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80.xml" ContentType="application/vnd.openxmlformats-officedocument.wordprocessingml.footer+xml"/>
  <Override PartName="/word/footer281.xml" ContentType="application/vnd.openxmlformats-officedocument.wordprocessingml.footer+xml"/>
  <Override PartName="/word/footer282.xml" ContentType="application/vnd.openxmlformats-officedocument.wordprocessingml.footer+xml"/>
  <Override PartName="/word/footer283.xml" ContentType="application/vnd.openxmlformats-officedocument.wordprocessingml.footer+xml"/>
  <Override PartName="/word/footer284.xml" ContentType="application/vnd.openxmlformats-officedocument.wordprocessingml.footer+xml"/>
  <Override PartName="/word/footer285.xml" ContentType="application/vnd.openxmlformats-officedocument.wordprocessingml.footer+xml"/>
  <Override PartName="/word/footer286.xml" ContentType="application/vnd.openxmlformats-officedocument.wordprocessingml.footer+xml"/>
  <Override PartName="/word/footer287.xml" ContentType="application/vnd.openxmlformats-officedocument.wordprocessingml.footer+xml"/>
  <Override PartName="/word/footer288.xml" ContentType="application/vnd.openxmlformats-officedocument.wordprocessingml.footer+xml"/>
  <Override PartName="/word/footer289.xml" ContentType="application/vnd.openxmlformats-officedocument.wordprocessingml.footer+xml"/>
  <Override PartName="/word/footer29.xml" ContentType="application/vnd.openxmlformats-officedocument.wordprocessingml.footer+xml"/>
  <Override PartName="/word/footer290.xml" ContentType="application/vnd.openxmlformats-officedocument.wordprocessingml.footer+xml"/>
  <Override PartName="/word/footer291.xml" ContentType="application/vnd.openxmlformats-officedocument.wordprocessingml.footer+xml"/>
  <Override PartName="/word/footer292.xml" ContentType="application/vnd.openxmlformats-officedocument.wordprocessingml.footer+xml"/>
  <Override PartName="/word/footer293.xml" ContentType="application/vnd.openxmlformats-officedocument.wordprocessingml.footer+xml"/>
  <Override PartName="/word/footer294.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82" w:lineRule="auto"/>
        <w:rPr/>
      </w:pPr>
      <w:r/>
    </w:p>
    <w:p>
      <w:pPr>
        <w:pStyle w:val="BodyText"/>
        <w:spacing w:line="283" w:lineRule="auto"/>
        <w:rPr/>
      </w:pPr>
      <w:r/>
    </w:p>
    <w:p>
      <w:pPr>
        <w:ind w:left="519"/>
        <w:spacing w:before="156" w:line="224" w:lineRule="auto"/>
        <w:outlineLvl w:val="0"/>
        <w:rPr>
          <w:rFonts w:ascii="KaiTi" w:hAnsi="KaiTi" w:eastAsia="KaiTi" w:cs="KaiTi"/>
          <w:sz w:val="48"/>
          <w:szCs w:val="48"/>
        </w:rPr>
      </w:pPr>
      <w:r>
        <w:rPr>
          <w:rFonts w:ascii="KaiTi" w:hAnsi="KaiTi" w:eastAsia="KaiTi" w:cs="KaiTi"/>
          <w:sz w:val="48"/>
          <w:szCs w:val="48"/>
          <w:b/>
          <w:bCs/>
          <w:spacing w:val="12"/>
        </w:rPr>
        <w:t>西乌珠穆沁旗白音华煤田四号露天矿</w:t>
      </w:r>
    </w:p>
    <w:p>
      <w:pPr>
        <w:ind w:left="3529"/>
        <w:spacing w:before="66" w:line="234" w:lineRule="auto"/>
        <w:outlineLvl w:val="0"/>
        <w:rPr>
          <w:rFonts w:ascii="KaiTi" w:hAnsi="KaiTi" w:eastAsia="KaiTi" w:cs="KaiTi"/>
          <w:sz w:val="48"/>
          <w:szCs w:val="48"/>
        </w:rPr>
      </w:pPr>
      <w:r>
        <w:rPr>
          <w:rFonts w:ascii="KaiTi" w:hAnsi="KaiTi" w:eastAsia="KaiTi" w:cs="KaiTi"/>
          <w:sz w:val="48"/>
          <w:szCs w:val="48"/>
          <w:b/>
          <w:bCs/>
          <w:spacing w:val="-1"/>
        </w:rPr>
        <w:t>改建项目</w:t>
      </w:r>
    </w:p>
    <w:p>
      <w:pPr>
        <w:spacing w:before="44" w:line="223" w:lineRule="auto"/>
        <w:outlineLvl w:val="0"/>
        <w:jc w:val="right"/>
        <w:rPr>
          <w:rFonts w:ascii="KaiTi" w:hAnsi="KaiTi" w:eastAsia="KaiTi" w:cs="KaiTi"/>
          <w:sz w:val="48"/>
          <w:szCs w:val="48"/>
        </w:rPr>
      </w:pPr>
      <w:r>
        <w:rPr>
          <w:rFonts w:ascii="KaiTi" w:hAnsi="KaiTi" w:eastAsia="KaiTi" w:cs="KaiTi"/>
          <w:sz w:val="48"/>
          <w:szCs w:val="48"/>
          <w:b/>
          <w:bCs/>
          <w:spacing w:val="10"/>
        </w:rPr>
        <w:t>（优化调整开采范围及地面输煤系统改建）</w:t>
      </w:r>
    </w:p>
    <w:p>
      <w:pPr>
        <w:pStyle w:val="BodyText"/>
        <w:spacing w:line="346" w:lineRule="auto"/>
        <w:rPr/>
      </w:pPr>
      <w:r/>
    </w:p>
    <w:p>
      <w:pPr>
        <w:pStyle w:val="BodyText"/>
        <w:spacing w:line="347" w:lineRule="auto"/>
        <w:rPr/>
      </w:pPr>
      <w:r/>
    </w:p>
    <w:p>
      <w:pPr>
        <w:ind w:left="2537"/>
        <w:spacing w:before="169" w:line="218" w:lineRule="auto"/>
        <w:outlineLvl w:val="0"/>
        <w:rPr>
          <w:rFonts w:ascii="SimSun" w:hAnsi="SimSun" w:eastAsia="SimSun" w:cs="SimSun"/>
          <w:sz w:val="52"/>
          <w:szCs w:val="52"/>
        </w:rPr>
      </w:pPr>
      <w:r>
        <w:rPr>
          <w:rFonts w:ascii="SimSun" w:hAnsi="SimSun" w:eastAsia="SimSun" w:cs="SimSun"/>
          <w:sz w:val="52"/>
          <w:szCs w:val="52"/>
          <w:b/>
          <w:bCs/>
          <w:spacing w:val="28"/>
        </w:rPr>
        <w:t>环境影响报告书</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967"/>
        <w:spacing w:before="102" w:line="224" w:lineRule="auto"/>
        <w:rPr>
          <w:rFonts w:ascii="SimSun" w:hAnsi="SimSun" w:eastAsia="SimSun" w:cs="SimSun"/>
          <w:sz w:val="31"/>
          <w:szCs w:val="31"/>
        </w:rPr>
      </w:pPr>
      <w:r>
        <w:rPr>
          <w:rFonts w:ascii="SimSun" w:hAnsi="SimSun" w:eastAsia="SimSun" w:cs="SimSun"/>
          <w:sz w:val="31"/>
          <w:szCs w:val="31"/>
          <w:b/>
          <w:bCs/>
          <w:spacing w:val="24"/>
        </w:rPr>
        <w:t>中煤科工集团南京设计研究院有限公司</w:t>
      </w:r>
    </w:p>
    <w:p>
      <w:pPr>
        <w:ind w:left="3746"/>
        <w:spacing w:before="205" w:line="219" w:lineRule="auto"/>
        <w:rPr>
          <w:rFonts w:ascii="SimSun" w:hAnsi="SimSun" w:eastAsia="SimSun" w:cs="SimSun"/>
          <w:sz w:val="30"/>
          <w:szCs w:val="30"/>
        </w:rPr>
      </w:pPr>
      <w:r>
        <w:rPr>
          <w:rFonts w:ascii="SimSun" w:hAnsi="SimSun" w:eastAsia="SimSun" w:cs="SimSun"/>
          <w:sz w:val="30"/>
          <w:szCs w:val="30"/>
          <w:b/>
          <w:bCs/>
          <w:spacing w:val="-5"/>
        </w:rPr>
        <w:t>二零二六年三月</w:t>
      </w:r>
    </w:p>
    <w:p>
      <w:pPr>
        <w:spacing w:line="219" w:lineRule="auto"/>
        <w:sectPr>
          <w:pgSz w:w="11906" w:h="16838"/>
          <w:pgMar w:top="1431" w:right="1017" w:bottom="0" w:left="1466" w:header="0" w:footer="0" w:gutter="0"/>
        </w:sectPr>
        <w:rPr>
          <w:rFonts w:ascii="SimSun" w:hAnsi="SimSun" w:eastAsia="SimSun" w:cs="SimSun"/>
          <w:sz w:val="30"/>
          <w:szCs w:val="30"/>
        </w:rPr>
      </w:pPr>
    </w:p>
    <w:p>
      <w:pPr>
        <w:pStyle w:val="BodyText"/>
        <w:spacing w:line="390" w:lineRule="auto"/>
        <w:rPr/>
      </w:pPr>
      <w:r/>
    </w:p>
    <w:p>
      <w:pPr>
        <w:spacing w:line="12854" w:lineRule="exact"/>
        <w:rPr/>
      </w:pPr>
      <w:r>
        <w:rPr>
          <w:position w:val="-257"/>
        </w:rPr>
        <w:drawing>
          <wp:inline distT="0" distB="0" distL="0" distR="0">
            <wp:extent cx="6185916" cy="8162544"/>
            <wp:effectExtent l="0" t="0" r="0" b="0"/>
            <wp:docPr id="2" name="IM 2"/>
            <wp:cNvGraphicFramePr/>
            <a:graphic>
              <a:graphicData uri="http://schemas.openxmlformats.org/drawingml/2006/picture">
                <pic:pic>
                  <pic:nvPicPr>
                    <pic:cNvPr id="2" name="IM 2"/>
                    <pic:cNvPicPr/>
                  </pic:nvPicPr>
                  <pic:blipFill>
                    <a:blip r:embed="rId2"/>
                    <a:stretch>
                      <a:fillRect/>
                    </a:stretch>
                  </pic:blipFill>
                  <pic:spPr>
                    <a:xfrm rot="0">
                      <a:off x="0" y="0"/>
                      <a:ext cx="6185916" cy="8162544"/>
                    </a:xfrm>
                    <a:prstGeom prst="rect">
                      <a:avLst/>
                    </a:prstGeom>
                  </pic:spPr>
                </pic:pic>
              </a:graphicData>
            </a:graphic>
          </wp:inline>
        </w:drawing>
      </w:r>
    </w:p>
    <w:p>
      <w:pPr>
        <w:spacing w:line="12854" w:lineRule="exact"/>
        <w:sectPr>
          <w:headerReference w:type="default" r:id="rId1"/>
          <w:pgSz w:w="11906" w:h="16838"/>
          <w:pgMar w:top="1114" w:right="747" w:bottom="0" w:left="1416" w:header="837" w:footer="0" w:gutter="0"/>
        </w:sectPr>
        <w:rPr/>
      </w:pPr>
    </w:p>
    <w:p>
      <w:pPr>
        <w:pStyle w:val="BodyText"/>
        <w:spacing w:line="430" w:lineRule="auto"/>
        <w:rPr/>
      </w:pPr>
      <w:r/>
    </w:p>
    <w:p>
      <w:pPr>
        <w:spacing w:line="3653" w:lineRule="exact"/>
        <w:rPr/>
      </w:pPr>
      <w:r>
        <w:rPr>
          <w:position w:val="-73"/>
        </w:rPr>
        <w:drawing>
          <wp:inline distT="0" distB="0" distL="0" distR="0">
            <wp:extent cx="5756148" cy="2319528"/>
            <wp:effectExtent l="0" t="0" r="0" b="0"/>
            <wp:docPr id="4" name="IM 4"/>
            <wp:cNvGraphicFramePr/>
            <a:graphic>
              <a:graphicData uri="http://schemas.openxmlformats.org/drawingml/2006/picture">
                <pic:pic>
                  <pic:nvPicPr>
                    <pic:cNvPr id="4" name="IM 4"/>
                    <pic:cNvPicPr/>
                  </pic:nvPicPr>
                  <pic:blipFill>
                    <a:blip r:embed="rId4"/>
                    <a:stretch>
                      <a:fillRect/>
                    </a:stretch>
                  </pic:blipFill>
                  <pic:spPr>
                    <a:xfrm rot="0">
                      <a:off x="0" y="0"/>
                      <a:ext cx="5756148" cy="2319528"/>
                    </a:xfrm>
                    <a:prstGeom prst="rect">
                      <a:avLst/>
                    </a:prstGeom>
                  </pic:spPr>
                </pic:pic>
              </a:graphicData>
            </a:graphic>
          </wp:inline>
        </w:drawing>
      </w:r>
    </w:p>
    <w:p>
      <w:pPr>
        <w:spacing w:line="3653" w:lineRule="exact"/>
        <w:sectPr>
          <w:headerReference w:type="default" r:id="rId3"/>
          <w:pgSz w:w="11906" w:h="16838"/>
          <w:pgMar w:top="1114" w:right="1417" w:bottom="0" w:left="1416" w:header="837" w:footer="0" w:gutter="0"/>
        </w:sectPr>
        <w:rPr/>
      </w:pPr>
    </w:p>
    <w:p>
      <w:pPr>
        <w:pStyle w:val="BodyText"/>
        <w:spacing w:line="342" w:lineRule="auto"/>
        <w:rPr/>
      </w:pPr>
      <w:r/>
    </w:p>
    <w:p>
      <w:pPr>
        <w:ind w:firstLine="791"/>
        <w:spacing w:line="13541" w:lineRule="exact"/>
        <w:rPr/>
      </w:pPr>
      <w:r>
        <w:rPr>
          <w:position w:val="-270"/>
        </w:rPr>
        <w:drawing>
          <wp:inline distT="0" distB="0" distL="0" distR="0">
            <wp:extent cx="4753355" cy="8598408"/>
            <wp:effectExtent l="0" t="0" r="0" b="0"/>
            <wp:docPr id="6" name="IM 6"/>
            <wp:cNvGraphicFramePr/>
            <a:graphic>
              <a:graphicData uri="http://schemas.openxmlformats.org/drawingml/2006/picture">
                <pic:pic>
                  <pic:nvPicPr>
                    <pic:cNvPr id="6" name="IM 6"/>
                    <pic:cNvPicPr/>
                  </pic:nvPicPr>
                  <pic:blipFill>
                    <a:blip r:embed="rId5"/>
                    <a:stretch>
                      <a:fillRect/>
                    </a:stretch>
                  </pic:blipFill>
                  <pic:spPr>
                    <a:xfrm rot="0">
                      <a:off x="0" y="0"/>
                      <a:ext cx="4753355" cy="8598408"/>
                    </a:xfrm>
                    <a:prstGeom prst="rect">
                      <a:avLst/>
                    </a:prstGeom>
                  </pic:spPr>
                </pic:pic>
              </a:graphicData>
            </a:graphic>
          </wp:inline>
        </w:drawing>
      </w:r>
    </w:p>
    <w:p>
      <w:pPr>
        <w:spacing w:line="13541" w:lineRule="exact"/>
        <w:sectPr>
          <w:pgSz w:w="11906" w:h="16838"/>
          <w:pgMar w:top="1114" w:right="1417" w:bottom="0" w:left="1416" w:header="837" w:footer="0" w:gutter="0"/>
        </w:sectPr>
        <w:rPr/>
      </w:pPr>
    </w:p>
    <w:p>
      <w:pPr>
        <w:pStyle w:val="BodyText"/>
        <w:spacing w:line="426" w:lineRule="auto"/>
        <w:rPr/>
      </w:pPr>
      <w:r/>
    </w:p>
    <w:sdt>
      <w:sdtPr>
        <w:rPr>
          <w:rFonts w:ascii="SimSun" w:hAnsi="SimSun" w:eastAsia="SimSun" w:cs="SimSun"/>
          <w:sz w:val="30"/>
          <w:szCs w:val="30"/>
        </w:rPr>
        <w:docPartObj>
          <w:docPartGallery w:val="Table of Contents"/>
          <w:docPartUnique/>
        </w:docPartObj>
      </w:sdtPr>
      <w:sdtEndPr>
        <w:rPr>
          <w:rFonts w:ascii="Times New Roman" w:hAnsi="Times New Roman" w:eastAsia="Times New Roman" w:cs="Times New Roman"/>
          <w:sz w:val="24"/>
          <w:szCs w:val="24"/>
        </w:rPr>
      </w:sdtEndPr>
      <w:sdtContent>
        <w:p>
          <w:pPr>
            <w:ind w:left="4153"/>
            <w:spacing w:before="98" w:line="221" w:lineRule="auto"/>
            <w:rPr>
              <w:rFonts w:ascii="SimSun" w:hAnsi="SimSun" w:eastAsia="SimSun" w:cs="SimSun"/>
              <w:sz w:val="30"/>
              <w:szCs w:val="30"/>
            </w:rPr>
          </w:pPr>
          <w:bookmarkStart w:name="bookmark1" w:id="1"/>
          <w:bookmarkEnd w:id="1"/>
          <w:r>
            <w:rPr>
              <w:rFonts w:ascii="SimSun" w:hAnsi="SimSun" w:eastAsia="SimSun" w:cs="SimSun"/>
              <w:sz w:val="30"/>
              <w:szCs w:val="30"/>
              <w:b/>
              <w:bCs/>
              <w:spacing w:val="-38"/>
            </w:rPr>
            <w:t>目</w:t>
          </w:r>
          <w:r>
            <w:rPr>
              <w:rFonts w:ascii="SimSun" w:hAnsi="SimSun" w:eastAsia="SimSun" w:cs="SimSun"/>
              <w:sz w:val="30"/>
              <w:szCs w:val="30"/>
              <w:spacing w:val="7"/>
            </w:rPr>
            <w:t xml:space="preserve">  </w:t>
          </w:r>
          <w:r>
            <w:rPr>
              <w:rFonts w:ascii="SimSun" w:hAnsi="SimSun" w:eastAsia="SimSun" w:cs="SimSun"/>
              <w:sz w:val="30"/>
              <w:szCs w:val="30"/>
              <w:b/>
              <w:bCs/>
              <w:spacing w:val="-38"/>
            </w:rPr>
            <w:t>录</w:t>
          </w:r>
        </w:p>
        <w:p>
          <w:pPr>
            <w:pStyle w:val="BodyText"/>
            <w:spacing w:line="261" w:lineRule="auto"/>
            <w:rPr/>
          </w:pPr>
          <w:r/>
        </w:p>
        <w:p>
          <w:pPr>
            <w:pStyle w:val="BodyText"/>
            <w:spacing w:line="261" w:lineRule="auto"/>
            <w:rPr/>
          </w:pPr>
          <w:r/>
        </w:p>
        <w:p>
          <w:pPr>
            <w:ind w:left="507"/>
            <w:spacing w:before="78" w:line="219" w:lineRule="auto"/>
            <w:tabs>
              <w:tab w:val="right" w:leader="dot" w:pos="9072"/>
            </w:tabs>
            <w:rPr>
              <w:rFonts w:ascii="SimSun" w:hAnsi="SimSun" w:eastAsia="SimSun" w:cs="SimSun"/>
              <w:sz w:val="24"/>
              <w:szCs w:val="24"/>
            </w:rPr>
          </w:pPr>
          <w:hyperlink w:history="true" w:anchor="bookmark2">
            <w:r>
              <w:rPr>
                <w:rFonts w:ascii="SimSun" w:hAnsi="SimSun" w:eastAsia="SimSun" w:cs="SimSun"/>
                <w:sz w:val="24"/>
                <w:szCs w:val="24"/>
                <w:spacing w:val="-13"/>
              </w:rPr>
              <w:t>1</w:t>
            </w:r>
            <w:r>
              <w:rPr>
                <w:rFonts w:ascii="SimSun" w:hAnsi="SimSun" w:eastAsia="SimSun" w:cs="SimSun"/>
                <w:sz w:val="24"/>
                <w:szCs w:val="24"/>
                <w:spacing w:val="-50"/>
              </w:rPr>
              <w:t xml:space="preserve"> </w:t>
            </w:r>
            <w:r>
              <w:rPr>
                <w:rFonts w:ascii="SimSun" w:hAnsi="SimSun" w:eastAsia="SimSun" w:cs="SimSun"/>
                <w:sz w:val="24"/>
                <w:szCs w:val="24"/>
                <w:spacing w:val="-13"/>
              </w:rPr>
              <w:t>概述</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20"/>
              </w:rPr>
              <w:t xml:space="preserve"> </w:t>
            </w:r>
            <w:r>
              <w:rPr>
                <w:rFonts w:ascii="SimSun" w:hAnsi="SimSun" w:eastAsia="SimSun" w:cs="SimSun"/>
                <w:sz w:val="24"/>
                <w:szCs w:val="24"/>
                <w:spacing w:val="-28"/>
              </w:rPr>
              <w:t>1</w:t>
            </w:r>
          </w:hyperlink>
        </w:p>
        <w:p>
          <w:pPr>
            <w:ind w:left="988"/>
            <w:spacing w:before="154" w:line="219" w:lineRule="auto"/>
            <w:tabs>
              <w:tab w:val="right" w:leader="dot" w:pos="9072"/>
            </w:tabs>
            <w:rPr>
              <w:rFonts w:ascii="Times New Roman" w:hAnsi="Times New Roman" w:eastAsia="Times New Roman" w:cs="Times New Roman"/>
              <w:sz w:val="24"/>
              <w:szCs w:val="24"/>
            </w:rPr>
          </w:pPr>
          <w:hyperlink w:history="true" w:anchor="bookmark3">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10"/>
              </w:rPr>
              <w:t>项目由来</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9"/>
              </w:rPr>
              <w:t>1</w:t>
            </w:r>
          </w:hyperlink>
        </w:p>
        <w:p>
          <w:pPr>
            <w:ind w:left="988"/>
            <w:spacing w:before="153" w:line="218" w:lineRule="auto"/>
            <w:tabs>
              <w:tab w:val="right" w:leader="dot" w:pos="9072"/>
            </w:tabs>
            <w:rPr>
              <w:rFonts w:ascii="Times New Roman" w:hAnsi="Times New Roman" w:eastAsia="Times New Roman" w:cs="Times New Roman"/>
              <w:sz w:val="24"/>
              <w:szCs w:val="24"/>
            </w:rPr>
          </w:pPr>
          <w:hyperlink w:history="true" w:anchor="bookmark4">
            <w:r>
              <w:rPr>
                <w:rFonts w:ascii="Times New Roman" w:hAnsi="Times New Roman" w:eastAsia="Times New Roman" w:cs="Times New Roman"/>
                <w:sz w:val="24"/>
                <w:szCs w:val="24"/>
                <w:spacing w:val="-2"/>
              </w:rPr>
              <w:t>1.2  </w:t>
            </w:r>
            <w:r>
              <w:rPr>
                <w:rFonts w:ascii="SimSun" w:hAnsi="SimSun" w:eastAsia="SimSun" w:cs="SimSun"/>
                <w:sz w:val="24"/>
                <w:szCs w:val="24"/>
                <w:spacing w:val="-2"/>
              </w:rPr>
              <w:t>环境影响评价工作过程</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68"/>
              </w:rPr>
              <w:t xml:space="preserve"> </w:t>
            </w:r>
            <w:r>
              <w:rPr>
                <w:rFonts w:ascii="Times New Roman" w:hAnsi="Times New Roman" w:eastAsia="Times New Roman" w:cs="Times New Roman"/>
                <w:sz w:val="24"/>
                <w:szCs w:val="24"/>
                <w:spacing w:val="-12"/>
              </w:rPr>
              <w:t>5</w:t>
            </w:r>
          </w:hyperlink>
        </w:p>
        <w:p>
          <w:pPr>
            <w:ind w:left="988"/>
            <w:spacing w:before="159" w:line="220" w:lineRule="auto"/>
            <w:tabs>
              <w:tab w:val="right" w:leader="dot" w:pos="9072"/>
            </w:tabs>
            <w:rPr>
              <w:rFonts w:ascii="Times New Roman" w:hAnsi="Times New Roman" w:eastAsia="Times New Roman" w:cs="Times New Roman"/>
              <w:sz w:val="24"/>
              <w:szCs w:val="24"/>
            </w:rPr>
          </w:pPr>
          <w:hyperlink w:history="true" w:anchor="bookmark5">
            <w:r>
              <w:rPr>
                <w:rFonts w:ascii="Times New Roman" w:hAnsi="Times New Roman" w:eastAsia="Times New Roman" w:cs="Times New Roman"/>
                <w:sz w:val="24"/>
                <w:szCs w:val="24"/>
                <w:spacing w:val="-3"/>
              </w:rPr>
              <w:t>1.3  </w:t>
            </w:r>
            <w:r>
              <w:rPr>
                <w:rFonts w:ascii="SimSun" w:hAnsi="SimSun" w:eastAsia="SimSun" w:cs="SimSun"/>
                <w:sz w:val="24"/>
                <w:szCs w:val="24"/>
                <w:spacing w:val="-3"/>
              </w:rPr>
              <w:t>关注的主要环境问题</w:t>
            </w:r>
            <w:r>
              <w:rPr>
                <w:rFonts w:ascii="SimSun" w:hAnsi="SimSun" w:eastAsia="SimSun" w:cs="SimSun"/>
                <w:sz w:val="24"/>
                <w:szCs w:val="24"/>
                <w:spacing w:val="-59"/>
              </w:rPr>
              <w:t xml:space="preserve"> </w:t>
            </w:r>
            <w:r>
              <w:rPr>
                <w:rFonts w:ascii="SimSun" w:hAnsi="SimSun" w:eastAsia="SimSun" w:cs="SimSun"/>
                <w:sz w:val="24"/>
                <w:szCs w:val="24"/>
              </w:rPr>
              <w:tab/>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11"/>
              </w:rPr>
              <w:t>6</w:t>
            </w:r>
          </w:hyperlink>
        </w:p>
        <w:p>
          <w:pPr>
            <w:ind w:left="988"/>
            <w:spacing w:before="153" w:line="220" w:lineRule="auto"/>
            <w:tabs>
              <w:tab w:val="right" w:leader="dot" w:pos="9072"/>
            </w:tabs>
            <w:rPr>
              <w:rFonts w:ascii="Times New Roman" w:hAnsi="Times New Roman" w:eastAsia="Times New Roman" w:cs="Times New Roman"/>
              <w:sz w:val="24"/>
              <w:szCs w:val="24"/>
            </w:rPr>
          </w:pPr>
          <w:hyperlink w:history="true" w:anchor="bookmark6">
            <w:r>
              <w:rPr>
                <w:rFonts w:ascii="Times New Roman" w:hAnsi="Times New Roman" w:eastAsia="Times New Roman" w:cs="Times New Roman"/>
                <w:sz w:val="24"/>
                <w:szCs w:val="24"/>
                <w:spacing w:val="-3"/>
              </w:rPr>
              <w:t>1.4  </w:t>
            </w:r>
            <w:r>
              <w:rPr>
                <w:rFonts w:ascii="SimSun" w:hAnsi="SimSun" w:eastAsia="SimSun" w:cs="SimSun"/>
                <w:sz w:val="24"/>
                <w:szCs w:val="24"/>
                <w:spacing w:val="-3"/>
              </w:rPr>
              <w:t>分析判定相关情况</w:t>
            </w:r>
            <w:r>
              <w:rPr>
                <w:rFonts w:ascii="SimSun" w:hAnsi="SimSun" w:eastAsia="SimSun" w:cs="SimSun"/>
                <w:sz w:val="24"/>
                <w:szCs w:val="24"/>
                <w:spacing w:val="-62"/>
              </w:rPr>
              <w:t xml:space="preserve"> </w:t>
            </w:r>
            <w:r>
              <w:rPr>
                <w:rFonts w:ascii="SimSun" w:hAnsi="SimSun" w:eastAsia="SimSun" w:cs="SimSun"/>
                <w:sz w:val="24"/>
                <w:szCs w:val="24"/>
              </w:rPr>
              <w:tab/>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9"/>
              </w:rPr>
              <w:t>7</w:t>
            </w:r>
          </w:hyperlink>
        </w:p>
        <w:p>
          <w:pPr>
            <w:ind w:left="988"/>
            <w:spacing w:before="153" w:line="218" w:lineRule="auto"/>
            <w:tabs>
              <w:tab w:val="right" w:leader="dot" w:pos="9072"/>
            </w:tabs>
            <w:rPr>
              <w:rFonts w:ascii="Times New Roman" w:hAnsi="Times New Roman" w:eastAsia="Times New Roman" w:cs="Times New Roman"/>
              <w:sz w:val="24"/>
              <w:szCs w:val="24"/>
            </w:rPr>
          </w:pPr>
          <w:hyperlink w:history="true" w:anchor="bookmark7">
            <w:r>
              <w:rPr>
                <w:rFonts w:ascii="Times New Roman" w:hAnsi="Times New Roman" w:eastAsia="Times New Roman" w:cs="Times New Roman"/>
                <w:sz w:val="24"/>
                <w:szCs w:val="24"/>
                <w:spacing w:val="-2"/>
              </w:rPr>
              <w:t>1.5  </w:t>
            </w:r>
            <w:r>
              <w:rPr>
                <w:rFonts w:ascii="SimSun" w:hAnsi="SimSun" w:eastAsia="SimSun" w:cs="SimSun"/>
                <w:sz w:val="24"/>
                <w:szCs w:val="24"/>
                <w:spacing w:val="-2"/>
              </w:rPr>
              <w:t>环境影响评价的主要结论</w:t>
            </w:r>
            <w:r>
              <w:rPr>
                <w:rFonts w:ascii="SimSun" w:hAnsi="SimSun" w:eastAsia="SimSun" w:cs="SimSun"/>
                <w:sz w:val="24"/>
                <w:szCs w:val="24"/>
                <w:spacing w:val="-69"/>
              </w:rPr>
              <w:t xml:space="preserve"> </w:t>
            </w:r>
            <w:r>
              <w:rPr>
                <w:rFonts w:ascii="SimSun" w:hAnsi="SimSun" w:eastAsia="SimSun" w:cs="SimSun"/>
                <w:sz w:val="24"/>
                <w:szCs w:val="24"/>
              </w:rPr>
              <w:tab/>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9"/>
              </w:rPr>
              <w:t>7</w:t>
            </w:r>
          </w:hyperlink>
        </w:p>
        <w:p>
          <w:pPr>
            <w:ind w:left="492"/>
            <w:spacing w:before="158" w:line="220" w:lineRule="auto"/>
            <w:tabs>
              <w:tab w:val="right" w:leader="dot" w:pos="9072"/>
            </w:tabs>
            <w:rPr>
              <w:rFonts w:ascii="SimSun" w:hAnsi="SimSun" w:eastAsia="SimSun" w:cs="SimSun"/>
              <w:sz w:val="24"/>
              <w:szCs w:val="24"/>
            </w:rPr>
          </w:pPr>
          <w:hyperlink w:history="true" w:anchor="bookmark8">
            <w:r>
              <w:rPr>
                <w:rFonts w:ascii="SimSun" w:hAnsi="SimSun" w:eastAsia="SimSun" w:cs="SimSun"/>
                <w:sz w:val="24"/>
                <w:szCs w:val="24"/>
                <w:spacing w:val="-10"/>
              </w:rPr>
              <w:t>2</w:t>
            </w:r>
            <w:r>
              <w:rPr>
                <w:rFonts w:ascii="SimSun" w:hAnsi="SimSun" w:eastAsia="SimSun" w:cs="SimSun"/>
                <w:sz w:val="24"/>
                <w:szCs w:val="24"/>
                <w:spacing w:val="-44"/>
              </w:rPr>
              <w:t xml:space="preserve"> </w:t>
            </w:r>
            <w:r>
              <w:rPr>
                <w:rFonts w:ascii="SimSun" w:hAnsi="SimSun" w:eastAsia="SimSun" w:cs="SimSun"/>
                <w:sz w:val="24"/>
                <w:szCs w:val="24"/>
                <w:spacing w:val="-10"/>
              </w:rPr>
              <w:t>总则</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37"/>
              </w:rPr>
              <w:t xml:space="preserve"> </w:t>
            </w:r>
            <w:r>
              <w:rPr>
                <w:rFonts w:ascii="SimSun" w:hAnsi="SimSun" w:eastAsia="SimSun" w:cs="SimSun"/>
                <w:sz w:val="24"/>
                <w:szCs w:val="24"/>
                <w:spacing w:val="-11"/>
              </w:rPr>
              <w:t>8</w:t>
            </w:r>
          </w:hyperlink>
        </w:p>
        <w:p>
          <w:pPr>
            <w:ind w:left="965"/>
            <w:spacing w:before="154" w:line="219" w:lineRule="auto"/>
            <w:tabs>
              <w:tab w:val="right" w:leader="dot" w:pos="9072"/>
            </w:tabs>
            <w:rPr>
              <w:rFonts w:ascii="Times New Roman" w:hAnsi="Times New Roman" w:eastAsia="Times New Roman" w:cs="Times New Roman"/>
              <w:sz w:val="24"/>
              <w:szCs w:val="24"/>
            </w:rPr>
          </w:pPr>
          <w:hyperlink w:history="true" w:anchor="bookmark9">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5"/>
              </w:rPr>
              <w:t xml:space="preserve">  </w:t>
            </w:r>
            <w:r>
              <w:rPr>
                <w:rFonts w:ascii="SimSun" w:hAnsi="SimSun" w:eastAsia="SimSun" w:cs="SimSun"/>
                <w:sz w:val="24"/>
                <w:szCs w:val="24"/>
                <w:spacing w:val="-7"/>
              </w:rPr>
              <w:t>编制法规</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65"/>
              </w:rPr>
              <w:t xml:space="preserve"> </w:t>
            </w:r>
            <w:r>
              <w:rPr>
                <w:rFonts w:ascii="Times New Roman" w:hAnsi="Times New Roman" w:eastAsia="Times New Roman" w:cs="Times New Roman"/>
                <w:sz w:val="24"/>
                <w:szCs w:val="24"/>
                <w:spacing w:val="-15"/>
              </w:rPr>
              <w:t>8</w:t>
            </w:r>
          </w:hyperlink>
        </w:p>
        <w:p>
          <w:pPr>
            <w:ind w:left="965"/>
            <w:spacing w:before="154" w:line="218" w:lineRule="auto"/>
            <w:tabs>
              <w:tab w:val="right" w:leader="dot" w:pos="9072"/>
            </w:tabs>
            <w:rPr>
              <w:rFonts w:ascii="Times New Roman" w:hAnsi="Times New Roman" w:eastAsia="Times New Roman" w:cs="Times New Roman"/>
              <w:sz w:val="24"/>
              <w:szCs w:val="24"/>
            </w:rPr>
          </w:pPr>
          <w:hyperlink w:history="true" w:anchor="bookmark10">
            <w:r>
              <w:rPr>
                <w:rFonts w:ascii="Times New Roman" w:hAnsi="Times New Roman" w:eastAsia="Times New Roman" w:cs="Times New Roman"/>
                <w:sz w:val="24"/>
                <w:szCs w:val="24"/>
                <w:spacing w:val="-1"/>
              </w:rPr>
              <w:t>2.2  </w:t>
            </w:r>
            <w:r>
              <w:rPr>
                <w:rFonts w:ascii="SimSun" w:hAnsi="SimSun" w:eastAsia="SimSun" w:cs="SimSun"/>
                <w:sz w:val="24"/>
                <w:szCs w:val="24"/>
                <w:spacing w:val="-1"/>
              </w:rPr>
              <w:t>评价目的及原则</w:t>
            </w:r>
            <w:r>
              <w:rPr>
                <w:rFonts w:ascii="SimSun" w:hAnsi="SimSun" w:eastAsia="SimSun" w:cs="SimSun"/>
                <w:sz w:val="24"/>
                <w:szCs w:val="24"/>
                <w:spacing w:val="-66"/>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5"/>
              </w:rPr>
              <w:t>13</w:t>
            </w:r>
          </w:hyperlink>
        </w:p>
        <w:p>
          <w:pPr>
            <w:ind w:left="965"/>
            <w:spacing w:before="158" w:line="218" w:lineRule="auto"/>
            <w:tabs>
              <w:tab w:val="right" w:leader="dot" w:pos="9072"/>
            </w:tabs>
            <w:rPr>
              <w:rFonts w:ascii="Times New Roman" w:hAnsi="Times New Roman" w:eastAsia="Times New Roman" w:cs="Times New Roman"/>
              <w:sz w:val="24"/>
              <w:szCs w:val="24"/>
            </w:rPr>
          </w:pPr>
          <w:hyperlink w:history="true" w:anchor="bookmark11">
            <w:r>
              <w:rPr>
                <w:rFonts w:ascii="Times New Roman" w:hAnsi="Times New Roman" w:eastAsia="Times New Roman" w:cs="Times New Roman"/>
                <w:sz w:val="24"/>
                <w:szCs w:val="24"/>
                <w:spacing w:val="-1"/>
              </w:rPr>
              <w:t>2.3  </w:t>
            </w:r>
            <w:r>
              <w:rPr>
                <w:rFonts w:ascii="SimSun" w:hAnsi="SimSun" w:eastAsia="SimSun" w:cs="SimSun"/>
                <w:sz w:val="24"/>
                <w:szCs w:val="24"/>
                <w:spacing w:val="-1"/>
              </w:rPr>
              <w:t>评价重点</w:t>
            </w:r>
            <w:r>
              <w:rPr>
                <w:rFonts w:ascii="SimSun" w:hAnsi="SimSun" w:eastAsia="SimSun" w:cs="SimSun"/>
                <w:sz w:val="24"/>
                <w:szCs w:val="24"/>
                <w:spacing w:val="-69"/>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965"/>
            <w:spacing w:before="156" w:line="218" w:lineRule="auto"/>
            <w:tabs>
              <w:tab w:val="right" w:leader="dot" w:pos="9072"/>
            </w:tabs>
            <w:rPr>
              <w:rFonts w:ascii="Times New Roman" w:hAnsi="Times New Roman" w:eastAsia="Times New Roman" w:cs="Times New Roman"/>
              <w:sz w:val="24"/>
              <w:szCs w:val="24"/>
            </w:rPr>
          </w:pPr>
          <w:hyperlink w:history="true" w:anchor="bookmark12">
            <w:r>
              <w:rPr>
                <w:rFonts w:ascii="Times New Roman" w:hAnsi="Times New Roman" w:eastAsia="Times New Roman" w:cs="Times New Roman"/>
                <w:sz w:val="24"/>
                <w:szCs w:val="24"/>
                <w:spacing w:val="-1"/>
              </w:rPr>
              <w:t>2.4  </w:t>
            </w:r>
            <w:r>
              <w:rPr>
                <w:rFonts w:ascii="SimSun" w:hAnsi="SimSun" w:eastAsia="SimSun" w:cs="SimSun"/>
                <w:sz w:val="24"/>
                <w:szCs w:val="24"/>
                <w:spacing w:val="-1"/>
              </w:rPr>
              <w:t>环境影响因素识别和评价因子筛选</w:t>
            </w:r>
            <w:r>
              <w:rPr>
                <w:rFonts w:ascii="SimSun" w:hAnsi="SimSun" w:eastAsia="SimSun" w:cs="SimSun"/>
                <w:sz w:val="24"/>
                <w:szCs w:val="24"/>
                <w:spacing w:val="-58"/>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1"/>
              </w:rPr>
              <w:t>1</w:t>
            </w:r>
            <w:r>
              <w:rPr>
                <w:rFonts w:ascii="Times New Roman" w:hAnsi="Times New Roman" w:eastAsia="Times New Roman" w:cs="Times New Roman"/>
                <w:sz w:val="24"/>
                <w:szCs w:val="24"/>
                <w:spacing w:val="-9"/>
              </w:rPr>
              <w:t>4</w:t>
            </w:r>
          </w:hyperlink>
        </w:p>
        <w:p>
          <w:pPr>
            <w:ind w:left="965"/>
            <w:spacing w:before="156" w:line="218" w:lineRule="auto"/>
            <w:tabs>
              <w:tab w:val="right" w:leader="dot" w:pos="9072"/>
            </w:tabs>
            <w:rPr>
              <w:rFonts w:ascii="Times New Roman" w:hAnsi="Times New Roman" w:eastAsia="Times New Roman" w:cs="Times New Roman"/>
              <w:sz w:val="24"/>
              <w:szCs w:val="24"/>
            </w:rPr>
          </w:pPr>
          <w:hyperlink w:history="true" w:anchor="bookmark13">
            <w:r>
              <w:rPr>
                <w:rFonts w:ascii="Times New Roman" w:hAnsi="Times New Roman" w:eastAsia="Times New Roman" w:cs="Times New Roman"/>
                <w:sz w:val="24"/>
                <w:szCs w:val="24"/>
                <w:spacing w:val="-1"/>
              </w:rPr>
              <w:t>2.5  </w:t>
            </w:r>
            <w:r>
              <w:rPr>
                <w:rFonts w:ascii="SimSun" w:hAnsi="SimSun" w:eastAsia="SimSun" w:cs="SimSun"/>
                <w:sz w:val="24"/>
                <w:szCs w:val="24"/>
                <w:spacing w:val="-1"/>
              </w:rPr>
              <w:t>评价等级与评价范围</w:t>
            </w:r>
            <w:r>
              <w:rPr>
                <w:rFonts w:ascii="SimSun" w:hAnsi="SimSun" w:eastAsia="SimSun" w:cs="SimSun"/>
                <w:sz w:val="24"/>
                <w:szCs w:val="24"/>
                <w:spacing w:val="-64"/>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0"/>
              </w:rPr>
              <w:t>1</w:t>
            </w:r>
            <w:r>
              <w:rPr>
                <w:rFonts w:ascii="Times New Roman" w:hAnsi="Times New Roman" w:eastAsia="Times New Roman" w:cs="Times New Roman"/>
                <w:sz w:val="24"/>
                <w:szCs w:val="24"/>
                <w:spacing w:val="-10"/>
              </w:rPr>
              <w:t>6</w:t>
            </w:r>
          </w:hyperlink>
        </w:p>
        <w:p>
          <w:pPr>
            <w:ind w:left="965"/>
            <w:spacing w:before="158" w:line="220" w:lineRule="auto"/>
            <w:tabs>
              <w:tab w:val="right" w:leader="dot" w:pos="9072"/>
            </w:tabs>
            <w:rPr>
              <w:rFonts w:ascii="Times New Roman" w:hAnsi="Times New Roman" w:eastAsia="Times New Roman" w:cs="Times New Roman"/>
              <w:sz w:val="24"/>
              <w:szCs w:val="24"/>
            </w:rPr>
          </w:pPr>
          <w:hyperlink w:history="true" w:anchor="bookmark14">
            <w:r>
              <w:rPr>
                <w:rFonts w:ascii="Times New Roman" w:hAnsi="Times New Roman" w:eastAsia="Times New Roman" w:cs="Times New Roman"/>
                <w:sz w:val="24"/>
                <w:szCs w:val="24"/>
                <w:spacing w:val="-1"/>
              </w:rPr>
              <w:t>2.6  </w:t>
            </w:r>
            <w:r>
              <w:rPr>
                <w:rFonts w:ascii="SimSun" w:hAnsi="SimSun" w:eastAsia="SimSun" w:cs="SimSun"/>
                <w:sz w:val="24"/>
                <w:szCs w:val="24"/>
                <w:spacing w:val="-1"/>
              </w:rPr>
              <w:t>环境功能区划</w:t>
            </w:r>
            <w:r>
              <w:rPr>
                <w:rFonts w:ascii="SimSun" w:hAnsi="SimSun" w:eastAsia="SimSun" w:cs="SimSun"/>
                <w:sz w:val="24"/>
                <w:szCs w:val="24"/>
                <w:spacing w:val="-67"/>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3"/>
              </w:rPr>
              <w:t>24</w:t>
            </w:r>
          </w:hyperlink>
        </w:p>
        <w:p>
          <w:pPr>
            <w:ind w:left="965"/>
            <w:spacing w:before="153" w:line="218" w:lineRule="auto"/>
            <w:tabs>
              <w:tab w:val="right" w:leader="dot" w:pos="9072"/>
            </w:tabs>
            <w:rPr>
              <w:rFonts w:ascii="Times New Roman" w:hAnsi="Times New Roman" w:eastAsia="Times New Roman" w:cs="Times New Roman"/>
              <w:sz w:val="24"/>
              <w:szCs w:val="24"/>
            </w:rPr>
          </w:pPr>
          <w:hyperlink w:history="true" w:anchor="bookmark15">
            <w:r>
              <w:rPr>
                <w:rFonts w:ascii="Times New Roman" w:hAnsi="Times New Roman" w:eastAsia="Times New Roman" w:cs="Times New Roman"/>
                <w:sz w:val="24"/>
                <w:szCs w:val="24"/>
                <w:spacing w:val="-1"/>
              </w:rPr>
              <w:t>2.7  </w:t>
            </w:r>
            <w:r>
              <w:rPr>
                <w:rFonts w:ascii="SimSun" w:hAnsi="SimSun" w:eastAsia="SimSun" w:cs="SimSun"/>
                <w:sz w:val="24"/>
                <w:szCs w:val="24"/>
                <w:spacing w:val="-1"/>
              </w:rPr>
              <w:t>评价标准</w:t>
            </w:r>
            <w:r>
              <w:rPr>
                <w:rFonts w:ascii="SimSun" w:hAnsi="SimSun" w:eastAsia="SimSun" w:cs="SimSun"/>
                <w:sz w:val="24"/>
                <w:szCs w:val="24"/>
                <w:spacing w:val="-69"/>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3"/>
              </w:rPr>
              <w:t>25</w:t>
            </w:r>
          </w:hyperlink>
        </w:p>
        <w:p>
          <w:pPr>
            <w:ind w:left="965"/>
            <w:spacing w:before="156" w:line="220" w:lineRule="auto"/>
            <w:tabs>
              <w:tab w:val="right" w:leader="dot" w:pos="9072"/>
            </w:tabs>
            <w:rPr>
              <w:rFonts w:ascii="Times New Roman" w:hAnsi="Times New Roman" w:eastAsia="Times New Roman" w:cs="Times New Roman"/>
              <w:sz w:val="24"/>
              <w:szCs w:val="24"/>
            </w:rPr>
          </w:pPr>
          <w:hyperlink w:history="true" w:anchor="bookmark16">
            <w:r>
              <w:rPr>
                <w:rFonts w:ascii="Times New Roman" w:hAnsi="Times New Roman" w:eastAsia="Times New Roman" w:cs="Times New Roman"/>
                <w:sz w:val="24"/>
                <w:szCs w:val="24"/>
                <w:spacing w:val="-1"/>
              </w:rPr>
              <w:t>2.8  </w:t>
            </w:r>
            <w:r>
              <w:rPr>
                <w:rFonts w:ascii="SimSun" w:hAnsi="SimSun" w:eastAsia="SimSun" w:cs="SimSun"/>
                <w:sz w:val="24"/>
                <w:szCs w:val="24"/>
                <w:spacing w:val="-1"/>
              </w:rPr>
              <w:t>环境保护目标</w:t>
            </w:r>
            <w:r>
              <w:rPr>
                <w:rFonts w:ascii="SimSun" w:hAnsi="SimSun" w:eastAsia="SimSun" w:cs="SimSun"/>
                <w:sz w:val="24"/>
                <w:szCs w:val="24"/>
                <w:spacing w:val="-67"/>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31</w:t>
            </w:r>
          </w:hyperlink>
        </w:p>
        <w:p>
          <w:pPr>
            <w:ind w:left="494"/>
            <w:spacing w:before="156" w:line="219" w:lineRule="auto"/>
            <w:tabs>
              <w:tab w:val="right" w:leader="dot" w:pos="9072"/>
            </w:tabs>
            <w:rPr>
              <w:rFonts w:ascii="SimSun" w:hAnsi="SimSun" w:eastAsia="SimSun" w:cs="SimSun"/>
              <w:sz w:val="24"/>
              <w:szCs w:val="24"/>
            </w:rPr>
          </w:pPr>
          <w:hyperlink w:history="true" w:anchor="bookmark17">
            <w:r>
              <w:rPr>
                <w:rFonts w:ascii="SimSun" w:hAnsi="SimSun" w:eastAsia="SimSun" w:cs="SimSun"/>
                <w:sz w:val="24"/>
                <w:szCs w:val="24"/>
                <w:spacing w:val="-3"/>
              </w:rPr>
              <w:t>3</w:t>
            </w:r>
            <w:r>
              <w:rPr>
                <w:rFonts w:ascii="SimSun" w:hAnsi="SimSun" w:eastAsia="SimSun" w:cs="SimSun"/>
                <w:sz w:val="24"/>
                <w:szCs w:val="24"/>
                <w:spacing w:val="-46"/>
              </w:rPr>
              <w:t xml:space="preserve"> </w:t>
            </w:r>
            <w:r>
              <w:rPr>
                <w:rFonts w:ascii="SimSun" w:hAnsi="SimSun" w:eastAsia="SimSun" w:cs="SimSun"/>
                <w:sz w:val="24"/>
                <w:szCs w:val="24"/>
                <w:spacing w:val="-3"/>
              </w:rPr>
              <w:t>项目概况与工程分析</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33"/>
              </w:rPr>
              <w:t xml:space="preserve"> </w:t>
            </w:r>
            <w:r>
              <w:rPr>
                <w:rFonts w:ascii="SimSun" w:hAnsi="SimSun" w:eastAsia="SimSun" w:cs="SimSun"/>
                <w:sz w:val="24"/>
                <w:szCs w:val="24"/>
                <w:spacing w:val="-8"/>
              </w:rPr>
              <w:t>34</w:t>
            </w:r>
          </w:hyperlink>
        </w:p>
        <w:p>
          <w:pPr>
            <w:ind w:left="969"/>
            <w:spacing w:before="154" w:line="219" w:lineRule="auto"/>
            <w:tabs>
              <w:tab w:val="right" w:leader="dot" w:pos="9072"/>
            </w:tabs>
            <w:rPr>
              <w:rFonts w:ascii="Times New Roman" w:hAnsi="Times New Roman" w:eastAsia="Times New Roman" w:cs="Times New Roman"/>
              <w:sz w:val="24"/>
              <w:szCs w:val="24"/>
            </w:rPr>
          </w:pPr>
          <w:hyperlink w:history="true" w:anchor="bookmark18">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项目历史沿革</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34</w:t>
            </w:r>
          </w:hyperlink>
        </w:p>
        <w:p>
          <w:pPr>
            <w:ind w:left="969"/>
            <w:spacing w:before="155" w:line="219" w:lineRule="auto"/>
            <w:tabs>
              <w:tab w:val="right" w:leader="dot" w:pos="9072"/>
            </w:tabs>
            <w:rPr>
              <w:rFonts w:ascii="Times New Roman" w:hAnsi="Times New Roman" w:eastAsia="Times New Roman" w:cs="Times New Roman"/>
              <w:sz w:val="24"/>
              <w:szCs w:val="24"/>
            </w:rPr>
          </w:pPr>
          <w:hyperlink w:history="true" w:anchor="bookmark19">
            <w:r>
              <w:rPr>
                <w:rFonts w:ascii="Times New Roman" w:hAnsi="Times New Roman" w:eastAsia="Times New Roman" w:cs="Times New Roman"/>
                <w:sz w:val="24"/>
                <w:szCs w:val="24"/>
                <w:spacing w:val="-1"/>
              </w:rPr>
              <w:t>3.2 </w:t>
            </w:r>
            <w:r>
              <w:rPr>
                <w:rFonts w:ascii="SimSun" w:hAnsi="SimSun" w:eastAsia="SimSun" w:cs="SimSun"/>
                <w:sz w:val="24"/>
                <w:szCs w:val="24"/>
                <w:spacing w:val="-1"/>
              </w:rPr>
              <w:t>现有项目概况</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37</w:t>
            </w:r>
          </w:hyperlink>
        </w:p>
        <w:p>
          <w:pPr>
            <w:ind w:left="969"/>
            <w:spacing w:before="156" w:line="218" w:lineRule="auto"/>
            <w:tabs>
              <w:tab w:val="right" w:leader="dot" w:pos="9072"/>
            </w:tabs>
            <w:rPr>
              <w:rFonts w:ascii="Times New Roman" w:hAnsi="Times New Roman" w:eastAsia="Times New Roman" w:cs="Times New Roman"/>
              <w:sz w:val="24"/>
              <w:szCs w:val="24"/>
            </w:rPr>
          </w:pPr>
          <w:hyperlink w:history="true" w:anchor="bookmark20">
            <w:r>
              <w:rPr>
                <w:rFonts w:ascii="Times New Roman" w:hAnsi="Times New Roman" w:eastAsia="Times New Roman" w:cs="Times New Roman"/>
                <w:sz w:val="24"/>
                <w:szCs w:val="24"/>
                <w:spacing w:val="-1"/>
              </w:rPr>
              <w:t>3.3  </w:t>
            </w:r>
            <w:r>
              <w:rPr>
                <w:rFonts w:ascii="SimSun" w:hAnsi="SimSun" w:eastAsia="SimSun" w:cs="SimSun"/>
                <w:sz w:val="24"/>
                <w:szCs w:val="24"/>
                <w:spacing w:val="-1"/>
              </w:rPr>
              <w:t>现有工程环境影响回顾性评价</w:t>
            </w:r>
            <w:r>
              <w:rPr>
                <w:rFonts w:ascii="SimSun" w:hAnsi="SimSun" w:eastAsia="SimSun" w:cs="SimSun"/>
                <w:sz w:val="24"/>
                <w:szCs w:val="24"/>
                <w:spacing w:val="-65"/>
              </w:rPr>
              <w:t xml:space="preserve"> </w:t>
            </w:r>
            <w:r>
              <w:rPr>
                <w:rFonts w:ascii="SimSun" w:hAnsi="SimSun" w:eastAsia="SimSun" w:cs="SimSun"/>
                <w:sz w:val="24"/>
                <w:szCs w:val="24"/>
              </w:rPr>
              <w:tab/>
            </w:r>
            <w:r>
              <w:rPr>
                <w:rFonts w:ascii="SimSun" w:hAnsi="SimSun" w:eastAsia="SimSun" w:cs="SimSun"/>
                <w:sz w:val="24"/>
                <w:szCs w:val="24"/>
                <w:spacing w:val="-76"/>
              </w:rPr>
              <w:t xml:space="preserve"> </w:t>
            </w:r>
            <w:r>
              <w:rPr>
                <w:rFonts w:ascii="Times New Roman" w:hAnsi="Times New Roman" w:eastAsia="Times New Roman" w:cs="Times New Roman"/>
                <w:sz w:val="24"/>
                <w:szCs w:val="24"/>
                <w:spacing w:val="-2"/>
              </w:rPr>
              <w:t>47</w:t>
            </w:r>
          </w:hyperlink>
        </w:p>
        <w:p>
          <w:pPr>
            <w:ind w:left="969"/>
            <w:spacing w:before="156" w:line="220" w:lineRule="auto"/>
            <w:tabs>
              <w:tab w:val="right" w:leader="dot" w:pos="9072"/>
            </w:tabs>
            <w:rPr>
              <w:rFonts w:ascii="Times New Roman" w:hAnsi="Times New Roman" w:eastAsia="Times New Roman" w:cs="Times New Roman"/>
              <w:sz w:val="24"/>
              <w:szCs w:val="24"/>
            </w:rPr>
          </w:pPr>
          <w:hyperlink w:history="true" w:anchor="bookmark21">
            <w:r>
              <w:rPr>
                <w:rFonts w:ascii="Times New Roman" w:hAnsi="Times New Roman" w:eastAsia="Times New Roman" w:cs="Times New Roman"/>
                <w:sz w:val="24"/>
                <w:szCs w:val="24"/>
                <w:spacing w:val="-1"/>
              </w:rPr>
              <w:t>3.4 </w:t>
            </w:r>
            <w:r>
              <w:rPr>
                <w:rFonts w:ascii="SimSun" w:hAnsi="SimSun" w:eastAsia="SimSun" w:cs="SimSun"/>
                <w:sz w:val="24"/>
                <w:szCs w:val="24"/>
                <w:spacing w:val="-1"/>
              </w:rPr>
              <w:t>环保措施落实情况</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76</w:t>
            </w:r>
          </w:hyperlink>
        </w:p>
        <w:p>
          <w:pPr>
            <w:ind w:left="969"/>
            <w:spacing w:before="154" w:line="219" w:lineRule="auto"/>
            <w:tabs>
              <w:tab w:val="right" w:leader="dot" w:pos="9072"/>
            </w:tabs>
            <w:rPr>
              <w:rFonts w:ascii="Times New Roman" w:hAnsi="Times New Roman" w:eastAsia="Times New Roman" w:cs="Times New Roman"/>
              <w:sz w:val="24"/>
              <w:szCs w:val="24"/>
            </w:rPr>
          </w:pPr>
          <w:hyperlink w:history="true" w:anchor="bookmark22">
            <w:r>
              <w:rPr>
                <w:rFonts w:ascii="Times New Roman" w:hAnsi="Times New Roman" w:eastAsia="Times New Roman" w:cs="Times New Roman"/>
                <w:sz w:val="24"/>
                <w:szCs w:val="24"/>
                <w:spacing w:val="-1"/>
              </w:rPr>
              <w:t>3.5  </w:t>
            </w:r>
            <w:r>
              <w:rPr>
                <w:rFonts w:ascii="SimSun" w:hAnsi="SimSun" w:eastAsia="SimSun" w:cs="SimSun"/>
                <w:sz w:val="24"/>
                <w:szCs w:val="24"/>
                <w:spacing w:val="-1"/>
              </w:rPr>
              <w:t>改建项目工程概况及工程分析</w:t>
            </w:r>
            <w:r>
              <w:rPr>
                <w:rFonts w:ascii="SimSun" w:hAnsi="SimSun" w:eastAsia="SimSun" w:cs="SimSun"/>
                <w:sz w:val="24"/>
                <w:szCs w:val="24"/>
                <w:spacing w:val="-65"/>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78</w:t>
            </w:r>
          </w:hyperlink>
        </w:p>
        <w:p>
          <w:pPr>
            <w:ind w:left="969"/>
            <w:spacing w:before="157" w:line="219" w:lineRule="auto"/>
            <w:tabs>
              <w:tab w:val="right" w:leader="dot" w:pos="9072"/>
            </w:tabs>
            <w:rPr>
              <w:rFonts w:ascii="Times New Roman" w:hAnsi="Times New Roman" w:eastAsia="Times New Roman" w:cs="Times New Roman"/>
              <w:sz w:val="24"/>
              <w:szCs w:val="24"/>
            </w:rPr>
          </w:pPr>
          <w:hyperlink w:history="true" w:anchor="bookmark23">
            <w:r>
              <w:rPr>
                <w:rFonts w:ascii="Times New Roman" w:hAnsi="Times New Roman" w:eastAsia="Times New Roman" w:cs="Times New Roman"/>
                <w:sz w:val="24"/>
                <w:szCs w:val="24"/>
                <w:spacing w:val="-1"/>
              </w:rPr>
              <w:t>3.6  </w:t>
            </w:r>
            <w:r>
              <w:rPr>
                <w:rFonts w:ascii="SimSun" w:hAnsi="SimSun" w:eastAsia="SimSun" w:cs="SimSun"/>
                <w:sz w:val="24"/>
                <w:szCs w:val="24"/>
                <w:spacing w:val="-1"/>
              </w:rPr>
              <w:t>改建项目污染源及防治措施</w:t>
            </w:r>
            <w:r>
              <w:rPr>
                <w:rFonts w:ascii="SimSun" w:hAnsi="SimSun" w:eastAsia="SimSun" w:cs="SimSun"/>
                <w:sz w:val="24"/>
                <w:szCs w:val="24"/>
                <w:spacing w:val="-66"/>
              </w:rPr>
              <w:t xml:space="preserve"> </w:t>
            </w:r>
            <w:r>
              <w:rPr>
                <w:rFonts w:ascii="SimSun" w:hAnsi="SimSun" w:eastAsia="SimSun" w:cs="SimSun"/>
                <w:sz w:val="24"/>
                <w:szCs w:val="24"/>
              </w:rPr>
              <w:tab/>
            </w:r>
            <w:r>
              <w:rPr>
                <w:rFonts w:ascii="SimSun" w:hAnsi="SimSun" w:eastAsia="SimSun" w:cs="SimSun"/>
                <w:sz w:val="24"/>
                <w:szCs w:val="24"/>
                <w:spacing w:val="-70"/>
              </w:rPr>
              <w:t xml:space="preserve"> </w:t>
            </w:r>
            <w:r>
              <w:rPr>
                <w:rFonts w:ascii="Times New Roman" w:hAnsi="Times New Roman" w:eastAsia="Times New Roman" w:cs="Times New Roman"/>
                <w:sz w:val="24"/>
                <w:szCs w:val="24"/>
                <w:spacing w:val="-5"/>
              </w:rPr>
              <w:t>97</w:t>
            </w:r>
          </w:hyperlink>
        </w:p>
        <w:p>
          <w:pPr>
            <w:ind w:left="488"/>
            <w:spacing w:before="154" w:line="218" w:lineRule="auto"/>
            <w:tabs>
              <w:tab w:val="right" w:leader="dot" w:pos="9072"/>
            </w:tabs>
            <w:rPr>
              <w:rFonts w:ascii="SimSun" w:hAnsi="SimSun" w:eastAsia="SimSun" w:cs="SimSun"/>
              <w:sz w:val="24"/>
              <w:szCs w:val="24"/>
            </w:rPr>
          </w:pPr>
          <w:hyperlink w:history="true" w:anchor="bookmark24">
            <w:r>
              <w:rPr>
                <w:rFonts w:ascii="SimSun" w:hAnsi="SimSun" w:eastAsia="SimSun" w:cs="SimSun"/>
                <w:sz w:val="24"/>
                <w:szCs w:val="24"/>
                <w:spacing w:val="-2"/>
              </w:rPr>
              <w:t>4</w:t>
            </w:r>
            <w:r>
              <w:rPr>
                <w:rFonts w:ascii="SimSun" w:hAnsi="SimSun" w:eastAsia="SimSun" w:cs="SimSun"/>
                <w:sz w:val="24"/>
                <w:szCs w:val="24"/>
                <w:spacing w:val="-50"/>
              </w:rPr>
              <w:t xml:space="preserve"> </w:t>
            </w:r>
            <w:r>
              <w:rPr>
                <w:rFonts w:ascii="SimSun" w:hAnsi="SimSun" w:eastAsia="SimSun" w:cs="SimSun"/>
                <w:sz w:val="24"/>
                <w:szCs w:val="24"/>
                <w:spacing w:val="-2"/>
              </w:rPr>
              <w:t>环境现状调查与评价</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19"/>
              </w:rPr>
              <w:t xml:space="preserve"> </w:t>
            </w:r>
            <w:r>
              <w:rPr>
                <w:rFonts w:ascii="SimSun" w:hAnsi="SimSun" w:eastAsia="SimSun" w:cs="SimSun"/>
                <w:sz w:val="24"/>
                <w:szCs w:val="24"/>
                <w:spacing w:val="-10"/>
              </w:rPr>
              <w:t>106</w:t>
            </w:r>
          </w:hyperlink>
        </w:p>
        <w:p>
          <w:pPr>
            <w:ind w:left="963"/>
            <w:spacing w:before="156" w:line="219" w:lineRule="auto"/>
            <w:tabs>
              <w:tab w:val="right" w:leader="dot" w:pos="9072"/>
            </w:tabs>
            <w:rPr>
              <w:rFonts w:ascii="Times New Roman" w:hAnsi="Times New Roman" w:eastAsia="Times New Roman" w:cs="Times New Roman"/>
              <w:sz w:val="24"/>
              <w:szCs w:val="24"/>
            </w:rPr>
          </w:pPr>
          <w:hyperlink w:history="true" w:anchor="bookmark25">
            <w:r>
              <w:rPr>
                <w:rFonts w:ascii="Times New Roman" w:hAnsi="Times New Roman" w:eastAsia="Times New Roman" w:cs="Times New Roman"/>
                <w:sz w:val="24"/>
                <w:szCs w:val="24"/>
                <w:spacing w:val="-9"/>
              </w:rPr>
              <w:t>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9"/>
              </w:rPr>
              <w:t>1</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9"/>
              </w:rPr>
              <w:t>自然环境概况</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106</w:t>
            </w:r>
          </w:hyperlink>
        </w:p>
        <w:p>
          <w:pPr>
            <w:ind w:left="963"/>
            <w:spacing w:before="156" w:line="218" w:lineRule="auto"/>
            <w:tabs>
              <w:tab w:val="right" w:leader="dot" w:pos="9072"/>
            </w:tabs>
            <w:rPr>
              <w:rFonts w:ascii="Times New Roman" w:hAnsi="Times New Roman" w:eastAsia="Times New Roman" w:cs="Times New Roman"/>
              <w:sz w:val="24"/>
              <w:szCs w:val="24"/>
            </w:rPr>
          </w:pPr>
          <w:hyperlink w:history="true" w:anchor="bookmark26">
            <w:r>
              <w:rPr>
                <w:rFonts w:ascii="Times New Roman" w:hAnsi="Times New Roman" w:eastAsia="Times New Roman" w:cs="Times New Roman"/>
                <w:sz w:val="24"/>
                <w:szCs w:val="24"/>
                <w:spacing w:val="-1"/>
              </w:rPr>
              <w:t>4.2  </w:t>
            </w:r>
            <w:r>
              <w:rPr>
                <w:rFonts w:ascii="SimSun" w:hAnsi="SimSun" w:eastAsia="SimSun" w:cs="SimSun"/>
                <w:sz w:val="24"/>
                <w:szCs w:val="24"/>
                <w:spacing w:val="-1"/>
              </w:rPr>
              <w:t>环境质量现状调查与评价</w:t>
            </w:r>
            <w:r>
              <w:rPr>
                <w:rFonts w:ascii="SimSun" w:hAnsi="SimSun" w:eastAsia="SimSun" w:cs="SimSun"/>
                <w:sz w:val="24"/>
                <w:szCs w:val="24"/>
                <w:spacing w:val="-61"/>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109</w:t>
            </w:r>
          </w:hyperlink>
        </w:p>
        <w:p>
          <w:pPr>
            <w:ind w:left="494"/>
            <w:spacing w:before="156" w:line="218" w:lineRule="auto"/>
            <w:tabs>
              <w:tab w:val="right" w:leader="dot" w:pos="9072"/>
            </w:tabs>
            <w:rPr>
              <w:rFonts w:ascii="SimSun" w:hAnsi="SimSun" w:eastAsia="SimSun" w:cs="SimSun"/>
              <w:sz w:val="24"/>
              <w:szCs w:val="24"/>
            </w:rPr>
          </w:pPr>
          <w:hyperlink w:history="true" w:anchor="bookmark27">
            <w:r>
              <w:rPr>
                <w:rFonts w:ascii="SimSun" w:hAnsi="SimSun" w:eastAsia="SimSun" w:cs="SimSun"/>
                <w:sz w:val="24"/>
                <w:szCs w:val="24"/>
                <w:spacing w:val="-3"/>
              </w:rPr>
              <w:t>5</w:t>
            </w:r>
            <w:r>
              <w:rPr>
                <w:rFonts w:ascii="SimSun" w:hAnsi="SimSun" w:eastAsia="SimSun" w:cs="SimSun"/>
                <w:sz w:val="24"/>
                <w:szCs w:val="24"/>
                <w:spacing w:val="-46"/>
              </w:rPr>
              <w:t xml:space="preserve"> </w:t>
            </w:r>
            <w:r>
              <w:rPr>
                <w:rFonts w:ascii="SimSun" w:hAnsi="SimSun" w:eastAsia="SimSun" w:cs="SimSun"/>
                <w:sz w:val="24"/>
                <w:szCs w:val="24"/>
                <w:spacing w:val="-3"/>
              </w:rPr>
              <w:t>环境影响预测与评价</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19"/>
              </w:rPr>
              <w:t xml:space="preserve"> </w:t>
            </w:r>
            <w:r>
              <w:rPr>
                <w:rFonts w:ascii="SimSun" w:hAnsi="SimSun" w:eastAsia="SimSun" w:cs="SimSun"/>
                <w:sz w:val="24"/>
                <w:szCs w:val="24"/>
                <w:spacing w:val="-10"/>
              </w:rPr>
              <w:t>155</w:t>
            </w:r>
          </w:hyperlink>
        </w:p>
        <w:p>
          <w:pPr>
            <w:ind w:left="971"/>
            <w:spacing w:before="156" w:line="220" w:lineRule="auto"/>
            <w:tabs>
              <w:tab w:val="right" w:leader="dot" w:pos="9072"/>
            </w:tabs>
            <w:rPr>
              <w:rFonts w:ascii="Times New Roman" w:hAnsi="Times New Roman" w:eastAsia="Times New Roman" w:cs="Times New Roman"/>
              <w:sz w:val="24"/>
              <w:szCs w:val="24"/>
            </w:rPr>
          </w:pPr>
          <w:hyperlink w:history="true" w:anchor="bookmark28">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生态环境影响分析</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155</w:t>
            </w:r>
          </w:hyperlink>
        </w:p>
        <w:p>
          <w:pPr>
            <w:ind w:left="971"/>
            <w:spacing w:before="156" w:line="218" w:lineRule="auto"/>
            <w:tabs>
              <w:tab w:val="right" w:leader="dot" w:pos="9072"/>
            </w:tabs>
            <w:rPr>
              <w:rFonts w:ascii="Times New Roman" w:hAnsi="Times New Roman" w:eastAsia="Times New Roman" w:cs="Times New Roman"/>
              <w:sz w:val="24"/>
              <w:szCs w:val="24"/>
            </w:rPr>
          </w:pPr>
          <w:hyperlink w:history="true" w:anchor="bookmark29">
            <w:r>
              <w:rPr>
                <w:rFonts w:ascii="Times New Roman" w:hAnsi="Times New Roman" w:eastAsia="Times New Roman" w:cs="Times New Roman"/>
                <w:sz w:val="24"/>
                <w:szCs w:val="24"/>
                <w:spacing w:val="-1"/>
              </w:rPr>
              <w:t>5.2 </w:t>
            </w:r>
            <w:r>
              <w:rPr>
                <w:rFonts w:ascii="SimSun" w:hAnsi="SimSun" w:eastAsia="SimSun" w:cs="SimSun"/>
                <w:sz w:val="24"/>
                <w:szCs w:val="24"/>
                <w:spacing w:val="-1"/>
              </w:rPr>
              <w:t>大气环境影响预测与评价</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163</w:t>
            </w:r>
          </w:hyperlink>
        </w:p>
        <w:p>
          <w:pPr>
            <w:ind w:left="971"/>
            <w:spacing w:before="155" w:line="218" w:lineRule="auto"/>
            <w:tabs>
              <w:tab w:val="right" w:leader="dot" w:pos="9072"/>
            </w:tabs>
            <w:rPr>
              <w:rFonts w:ascii="Times New Roman" w:hAnsi="Times New Roman" w:eastAsia="Times New Roman" w:cs="Times New Roman"/>
              <w:sz w:val="24"/>
              <w:szCs w:val="24"/>
            </w:rPr>
          </w:pPr>
          <w:hyperlink w:history="true" w:anchor="bookmark30">
            <w:r>
              <w:rPr>
                <w:rFonts w:ascii="Times New Roman" w:hAnsi="Times New Roman" w:eastAsia="Times New Roman" w:cs="Times New Roman"/>
                <w:sz w:val="24"/>
                <w:szCs w:val="24"/>
                <w:spacing w:val="-1"/>
              </w:rPr>
              <w:t>5.3  </w:t>
            </w:r>
            <w:r>
              <w:rPr>
                <w:rFonts w:ascii="SimSun" w:hAnsi="SimSun" w:eastAsia="SimSun" w:cs="SimSun"/>
                <w:sz w:val="24"/>
                <w:szCs w:val="24"/>
                <w:spacing w:val="-1"/>
              </w:rPr>
              <w:t>地表水环境影响分析与评价</w:t>
            </w:r>
            <w:r>
              <w:rPr>
                <w:rFonts w:ascii="SimSun" w:hAnsi="SimSun" w:eastAsia="SimSun" w:cs="SimSun"/>
                <w:sz w:val="24"/>
                <w:szCs w:val="24"/>
                <w:spacing w:val="-68"/>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177</w:t>
            </w:r>
          </w:hyperlink>
        </w:p>
        <w:p>
          <w:pPr>
            <w:ind w:left="971"/>
            <w:spacing w:before="156" w:line="218" w:lineRule="auto"/>
            <w:tabs>
              <w:tab w:val="right" w:leader="dot" w:pos="9072"/>
            </w:tabs>
            <w:rPr>
              <w:rFonts w:ascii="Times New Roman" w:hAnsi="Times New Roman" w:eastAsia="Times New Roman" w:cs="Times New Roman"/>
              <w:sz w:val="24"/>
              <w:szCs w:val="24"/>
            </w:rPr>
          </w:pPr>
          <w:hyperlink w:history="true" w:anchor="bookmark31">
            <w:r>
              <w:rPr>
                <w:rFonts w:ascii="Times New Roman" w:hAnsi="Times New Roman" w:eastAsia="Times New Roman" w:cs="Times New Roman"/>
                <w:sz w:val="24"/>
                <w:szCs w:val="24"/>
                <w:spacing w:val="-1"/>
              </w:rPr>
              <w:t>5.4  </w:t>
            </w:r>
            <w:r>
              <w:rPr>
                <w:rFonts w:ascii="SimSun" w:hAnsi="SimSun" w:eastAsia="SimSun" w:cs="SimSun"/>
                <w:sz w:val="24"/>
                <w:szCs w:val="24"/>
                <w:spacing w:val="-1"/>
              </w:rPr>
              <w:t>地下水环境影响预测与评价</w:t>
            </w:r>
            <w:r>
              <w:rPr>
                <w:rFonts w:ascii="SimSun" w:hAnsi="SimSun" w:eastAsia="SimSun" w:cs="SimSun"/>
                <w:sz w:val="24"/>
                <w:szCs w:val="24"/>
                <w:spacing w:val="-68"/>
              </w:rPr>
              <w:t xml:space="preserve"> </w:t>
            </w:r>
            <w:r>
              <w:rPr>
                <w:rFonts w:ascii="SimSun" w:hAnsi="SimSun" w:eastAsia="SimSun" w:cs="SimSun"/>
                <w:sz w:val="24"/>
                <w:szCs w:val="24"/>
              </w:rPr>
              <w:tab/>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10"/>
              </w:rPr>
              <w:t>8</w:t>
            </w:r>
            <w:r>
              <w:rPr>
                <w:rFonts w:ascii="Times New Roman" w:hAnsi="Times New Roman" w:eastAsia="Times New Roman" w:cs="Times New Roman"/>
                <w:sz w:val="24"/>
                <w:szCs w:val="24"/>
                <w:spacing w:val="-9"/>
              </w:rPr>
              <w:t>0</w:t>
            </w:r>
          </w:hyperlink>
        </w:p>
      </w:sdtContent>
    </w:sdt>
    <w:p>
      <w:pPr>
        <w:spacing w:line="218" w:lineRule="auto"/>
        <w:sectPr>
          <w:pgSz w:w="11906" w:h="16838"/>
          <w:pgMar w:top="1114" w:right="1417" w:bottom="0" w:left="1416" w:header="837" w:footer="0" w:gutter="0"/>
        </w:sectPr>
        <w:rPr>
          <w:rFonts w:ascii="Times New Roman" w:hAnsi="Times New Roman" w:eastAsia="Times New Roman" w:cs="Times New Roman"/>
          <w:sz w:val="24"/>
          <w:szCs w:val="24"/>
        </w:rPr>
      </w:pPr>
    </w:p>
    <w:p>
      <w:pPr>
        <w:pStyle w:val="BodyText"/>
        <w:spacing w:line="367" w:lineRule="auto"/>
        <w:rPr/>
      </w:pPr>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971"/>
            <w:spacing w:before="78" w:line="218" w:lineRule="auto"/>
            <w:tabs>
              <w:tab w:val="right" w:leader="dot" w:pos="9072"/>
            </w:tabs>
            <w:rPr>
              <w:rFonts w:ascii="Times New Roman" w:hAnsi="Times New Roman" w:eastAsia="Times New Roman" w:cs="Times New Roman"/>
              <w:sz w:val="24"/>
              <w:szCs w:val="24"/>
            </w:rPr>
          </w:pPr>
          <w:bookmarkStart w:name="bookmark32" w:id="2"/>
          <w:bookmarkEnd w:id="2"/>
          <w:hyperlink w:history="true" w:anchor="bookmark33">
            <w:r>
              <w:rPr>
                <w:rFonts w:ascii="Times New Roman" w:hAnsi="Times New Roman" w:eastAsia="Times New Roman" w:cs="Times New Roman"/>
                <w:sz w:val="24"/>
                <w:szCs w:val="24"/>
                <w:spacing w:val="-1"/>
              </w:rPr>
              <w:t>5.5  </w:t>
            </w:r>
            <w:r>
              <w:rPr>
                <w:rFonts w:ascii="SimSun" w:hAnsi="SimSun" w:eastAsia="SimSun" w:cs="SimSun"/>
                <w:sz w:val="24"/>
                <w:szCs w:val="24"/>
                <w:spacing w:val="-1"/>
              </w:rPr>
              <w:t>声环境影响分析与评价</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205</w:t>
            </w:r>
          </w:hyperlink>
        </w:p>
        <w:p>
          <w:pPr>
            <w:ind w:left="971"/>
            <w:spacing w:before="158" w:line="219" w:lineRule="auto"/>
            <w:tabs>
              <w:tab w:val="right" w:leader="dot" w:pos="9072"/>
            </w:tabs>
            <w:rPr>
              <w:rFonts w:ascii="Times New Roman" w:hAnsi="Times New Roman" w:eastAsia="Times New Roman" w:cs="Times New Roman"/>
              <w:sz w:val="24"/>
              <w:szCs w:val="24"/>
            </w:rPr>
          </w:pPr>
          <w:hyperlink w:history="true" w:anchor="bookmark34">
            <w:r>
              <w:rPr>
                <w:rFonts w:ascii="Times New Roman" w:hAnsi="Times New Roman" w:eastAsia="Times New Roman" w:cs="Times New Roman"/>
                <w:sz w:val="24"/>
                <w:szCs w:val="24"/>
                <w:spacing w:val="-4"/>
              </w:rPr>
              <w:t>5.6</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固体废弃物影响分析</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207</w:t>
            </w:r>
          </w:hyperlink>
        </w:p>
        <w:p>
          <w:pPr>
            <w:ind w:left="971"/>
            <w:spacing w:before="154" w:line="220" w:lineRule="auto"/>
            <w:tabs>
              <w:tab w:val="right" w:leader="dot" w:pos="9072"/>
            </w:tabs>
            <w:rPr>
              <w:rFonts w:ascii="Times New Roman" w:hAnsi="Times New Roman" w:eastAsia="Times New Roman" w:cs="Times New Roman"/>
              <w:sz w:val="24"/>
              <w:szCs w:val="24"/>
            </w:rPr>
          </w:pPr>
          <w:hyperlink w:history="true" w:anchor="bookmark35">
            <w:r>
              <w:rPr>
                <w:rFonts w:ascii="Times New Roman" w:hAnsi="Times New Roman" w:eastAsia="Times New Roman" w:cs="Times New Roman"/>
                <w:sz w:val="24"/>
                <w:szCs w:val="24"/>
                <w:spacing w:val="-1"/>
              </w:rPr>
              <w:t>5.7  </w:t>
            </w:r>
            <w:r>
              <w:rPr>
                <w:rFonts w:ascii="SimSun" w:hAnsi="SimSun" w:eastAsia="SimSun" w:cs="SimSun"/>
                <w:sz w:val="24"/>
                <w:szCs w:val="24"/>
                <w:spacing w:val="-1"/>
              </w:rPr>
              <w:t>土壤环境影响分析</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210</w:t>
            </w:r>
          </w:hyperlink>
        </w:p>
        <w:p>
          <w:pPr>
            <w:ind w:left="491"/>
            <w:spacing w:before="152" w:line="218" w:lineRule="auto"/>
            <w:tabs>
              <w:tab w:val="right" w:leader="dot" w:pos="9072"/>
            </w:tabs>
            <w:rPr>
              <w:rFonts w:ascii="SimSun" w:hAnsi="SimSun" w:eastAsia="SimSun" w:cs="SimSun"/>
              <w:sz w:val="24"/>
              <w:szCs w:val="24"/>
            </w:rPr>
          </w:pPr>
          <w:hyperlink w:history="true" w:anchor="bookmark36">
            <w:r>
              <w:rPr>
                <w:rFonts w:ascii="SimSun" w:hAnsi="SimSun" w:eastAsia="SimSun" w:cs="SimSun"/>
                <w:sz w:val="24"/>
                <w:szCs w:val="24"/>
                <w:spacing w:val="-2"/>
              </w:rPr>
              <w:t>6 环境风险预测与评价</w:t>
            </w:r>
            <w:r>
              <w:rPr>
                <w:rFonts w:ascii="SimSun" w:hAnsi="SimSun" w:eastAsia="SimSun" w:cs="SimSun"/>
                <w:sz w:val="24"/>
                <w:szCs w:val="24"/>
                <w:spacing w:val="-35"/>
              </w:rPr>
              <w:t xml:space="preserve"> </w:t>
            </w:r>
            <w:r>
              <w:rPr>
                <w:rFonts w:ascii="SimSun" w:hAnsi="SimSun" w:eastAsia="SimSun" w:cs="SimSun"/>
                <w:sz w:val="24"/>
                <w:szCs w:val="24"/>
              </w:rPr>
              <w:tab/>
            </w:r>
            <w:r>
              <w:rPr>
                <w:rFonts w:ascii="SimSun" w:hAnsi="SimSun" w:eastAsia="SimSun" w:cs="SimSun"/>
                <w:sz w:val="24"/>
                <w:szCs w:val="24"/>
                <w:spacing w:val="4"/>
              </w:rPr>
              <w:t>216</w:t>
            </w:r>
          </w:hyperlink>
        </w:p>
        <w:p>
          <w:pPr>
            <w:ind w:left="970"/>
            <w:spacing w:before="158" w:line="218" w:lineRule="auto"/>
            <w:tabs>
              <w:tab w:val="right" w:leader="dot" w:pos="9072"/>
            </w:tabs>
            <w:rPr>
              <w:rFonts w:ascii="Times New Roman" w:hAnsi="Times New Roman" w:eastAsia="Times New Roman" w:cs="Times New Roman"/>
              <w:sz w:val="24"/>
              <w:szCs w:val="24"/>
            </w:rPr>
          </w:pPr>
          <w:hyperlink w:history="true" w:anchor="bookmark37">
            <w:r>
              <w:rPr>
                <w:rFonts w:ascii="Times New Roman" w:hAnsi="Times New Roman" w:eastAsia="Times New Roman" w:cs="Times New Roman"/>
                <w:sz w:val="24"/>
                <w:szCs w:val="24"/>
                <w:spacing w:val="-5"/>
              </w:rPr>
              <w:t>6.</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评价原则</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216</w:t>
            </w:r>
          </w:hyperlink>
        </w:p>
        <w:p>
          <w:pPr>
            <w:ind w:left="970"/>
            <w:spacing w:before="156" w:line="218" w:lineRule="auto"/>
            <w:tabs>
              <w:tab w:val="right" w:leader="dot" w:pos="9072"/>
            </w:tabs>
            <w:rPr>
              <w:rFonts w:ascii="Times New Roman" w:hAnsi="Times New Roman" w:eastAsia="Times New Roman" w:cs="Times New Roman"/>
              <w:sz w:val="24"/>
              <w:szCs w:val="24"/>
            </w:rPr>
          </w:pPr>
          <w:hyperlink w:history="true" w:anchor="bookmark38">
            <w:r>
              <w:rPr>
                <w:rFonts w:ascii="Times New Roman" w:hAnsi="Times New Roman" w:eastAsia="Times New Roman" w:cs="Times New Roman"/>
                <w:sz w:val="24"/>
                <w:szCs w:val="24"/>
                <w:spacing w:val="-2"/>
              </w:rPr>
              <w:t>6.2 </w:t>
            </w:r>
            <w:r>
              <w:rPr>
                <w:rFonts w:ascii="SimSun" w:hAnsi="SimSun" w:eastAsia="SimSun" w:cs="SimSun"/>
                <w:sz w:val="24"/>
                <w:szCs w:val="24"/>
                <w:spacing w:val="-2"/>
              </w:rPr>
              <w:t>评价工作程序</w:t>
            </w:r>
            <w:r>
              <w:rPr>
                <w:rFonts w:ascii="SimSun" w:hAnsi="SimSun" w:eastAsia="SimSun" w:cs="SimSun"/>
                <w:sz w:val="24"/>
                <w:szCs w:val="24"/>
                <w:spacing w:val="-64"/>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216</w:t>
            </w:r>
          </w:hyperlink>
        </w:p>
        <w:p>
          <w:pPr>
            <w:ind w:left="970"/>
            <w:spacing w:before="156" w:line="220" w:lineRule="auto"/>
            <w:tabs>
              <w:tab w:val="right" w:leader="dot" w:pos="9072"/>
            </w:tabs>
            <w:rPr>
              <w:rFonts w:ascii="Times New Roman" w:hAnsi="Times New Roman" w:eastAsia="Times New Roman" w:cs="Times New Roman"/>
              <w:sz w:val="24"/>
              <w:szCs w:val="24"/>
            </w:rPr>
          </w:pPr>
          <w:hyperlink w:history="true" w:anchor="bookmark39">
            <w:r>
              <w:rPr>
                <w:rFonts w:ascii="Times New Roman" w:hAnsi="Times New Roman" w:eastAsia="Times New Roman" w:cs="Times New Roman"/>
                <w:sz w:val="24"/>
                <w:szCs w:val="24"/>
                <w:spacing w:val="-2"/>
              </w:rPr>
              <w:t>6.3 </w:t>
            </w:r>
            <w:r>
              <w:rPr>
                <w:rFonts w:ascii="SimSun" w:hAnsi="SimSun" w:eastAsia="SimSun" w:cs="SimSun"/>
                <w:sz w:val="24"/>
                <w:szCs w:val="24"/>
                <w:spacing w:val="-2"/>
              </w:rPr>
              <w:t>风险调查</w:t>
            </w:r>
            <w:r>
              <w:rPr>
                <w:rFonts w:ascii="SimSun" w:hAnsi="SimSun" w:eastAsia="SimSun" w:cs="SimSun"/>
                <w:sz w:val="24"/>
                <w:szCs w:val="24"/>
                <w:spacing w:val="-68"/>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217</w:t>
            </w:r>
          </w:hyperlink>
        </w:p>
        <w:p>
          <w:pPr>
            <w:ind w:left="970"/>
            <w:spacing w:before="156" w:line="219" w:lineRule="auto"/>
            <w:tabs>
              <w:tab w:val="right" w:leader="dot" w:pos="9072"/>
            </w:tabs>
            <w:rPr>
              <w:rFonts w:ascii="Times New Roman" w:hAnsi="Times New Roman" w:eastAsia="Times New Roman" w:cs="Times New Roman"/>
              <w:sz w:val="24"/>
              <w:szCs w:val="24"/>
            </w:rPr>
          </w:pPr>
          <w:hyperlink w:history="true" w:anchor="bookmark40">
            <w:r>
              <w:rPr>
                <w:rFonts w:ascii="Times New Roman" w:hAnsi="Times New Roman" w:eastAsia="Times New Roman" w:cs="Times New Roman"/>
                <w:sz w:val="24"/>
                <w:szCs w:val="24"/>
                <w:spacing w:val="-1"/>
              </w:rPr>
              <w:t>6.4 </w:t>
            </w:r>
            <w:r>
              <w:rPr>
                <w:rFonts w:ascii="SimSun" w:hAnsi="SimSun" w:eastAsia="SimSun" w:cs="SimSun"/>
                <w:sz w:val="24"/>
                <w:szCs w:val="24"/>
                <w:spacing w:val="-1"/>
              </w:rPr>
              <w:t>环境风险潜势初判</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217</w:t>
            </w:r>
          </w:hyperlink>
        </w:p>
        <w:p>
          <w:pPr>
            <w:ind w:left="970"/>
            <w:spacing w:before="154" w:line="220" w:lineRule="auto"/>
            <w:tabs>
              <w:tab w:val="right" w:leader="dot" w:pos="9072"/>
            </w:tabs>
            <w:rPr>
              <w:rFonts w:ascii="Times New Roman" w:hAnsi="Times New Roman" w:eastAsia="Times New Roman" w:cs="Times New Roman"/>
              <w:sz w:val="24"/>
              <w:szCs w:val="24"/>
            </w:rPr>
          </w:pPr>
          <w:hyperlink w:history="true" w:anchor="bookmark41">
            <w:r>
              <w:rPr>
                <w:rFonts w:ascii="Times New Roman" w:hAnsi="Times New Roman" w:eastAsia="Times New Roman" w:cs="Times New Roman"/>
                <w:sz w:val="24"/>
                <w:szCs w:val="24"/>
                <w:spacing w:val="-2"/>
              </w:rPr>
              <w:t>6.5 </w:t>
            </w:r>
            <w:r>
              <w:rPr>
                <w:rFonts w:ascii="SimSun" w:hAnsi="SimSun" w:eastAsia="SimSun" w:cs="SimSun"/>
                <w:sz w:val="24"/>
                <w:szCs w:val="24"/>
                <w:spacing w:val="-2"/>
              </w:rPr>
              <w:t>环境风险识别</w:t>
            </w:r>
            <w:r>
              <w:rPr>
                <w:rFonts w:ascii="SimSun" w:hAnsi="SimSun" w:eastAsia="SimSun" w:cs="SimSun"/>
                <w:sz w:val="24"/>
                <w:szCs w:val="24"/>
                <w:spacing w:val="-64"/>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218</w:t>
            </w:r>
          </w:hyperlink>
        </w:p>
        <w:p>
          <w:pPr>
            <w:ind w:left="970"/>
            <w:spacing w:before="154" w:line="220" w:lineRule="auto"/>
            <w:tabs>
              <w:tab w:val="right" w:leader="dot" w:pos="9072"/>
            </w:tabs>
            <w:rPr>
              <w:rFonts w:ascii="Times New Roman" w:hAnsi="Times New Roman" w:eastAsia="Times New Roman" w:cs="Times New Roman"/>
              <w:sz w:val="24"/>
              <w:szCs w:val="24"/>
            </w:rPr>
          </w:pPr>
          <w:hyperlink w:history="true" w:anchor="bookmark42">
            <w:r>
              <w:rPr>
                <w:rFonts w:ascii="Times New Roman" w:hAnsi="Times New Roman" w:eastAsia="Times New Roman" w:cs="Times New Roman"/>
                <w:sz w:val="24"/>
                <w:szCs w:val="24"/>
                <w:spacing w:val="-2"/>
              </w:rPr>
              <w:t>6.6 </w:t>
            </w:r>
            <w:r>
              <w:rPr>
                <w:rFonts w:ascii="SimSun" w:hAnsi="SimSun" w:eastAsia="SimSun" w:cs="SimSun"/>
                <w:sz w:val="24"/>
                <w:szCs w:val="24"/>
                <w:spacing w:val="-2"/>
              </w:rPr>
              <w:t>环境风险分析</w:t>
            </w:r>
            <w:r>
              <w:rPr>
                <w:rFonts w:ascii="SimSun" w:hAnsi="SimSun" w:eastAsia="SimSun" w:cs="SimSun"/>
                <w:sz w:val="24"/>
                <w:szCs w:val="24"/>
                <w:spacing w:val="-64"/>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219</w:t>
            </w:r>
          </w:hyperlink>
        </w:p>
        <w:p>
          <w:pPr>
            <w:ind w:left="970"/>
            <w:spacing w:before="155" w:line="220" w:lineRule="auto"/>
            <w:tabs>
              <w:tab w:val="right" w:leader="dot" w:pos="9072"/>
            </w:tabs>
            <w:rPr>
              <w:rFonts w:ascii="Times New Roman" w:hAnsi="Times New Roman" w:eastAsia="Times New Roman" w:cs="Times New Roman"/>
              <w:sz w:val="24"/>
              <w:szCs w:val="24"/>
            </w:rPr>
          </w:pPr>
          <w:hyperlink w:history="true" w:anchor="bookmark43">
            <w:r>
              <w:rPr>
                <w:rFonts w:ascii="Times New Roman" w:hAnsi="Times New Roman" w:eastAsia="Times New Roman" w:cs="Times New Roman"/>
                <w:sz w:val="24"/>
                <w:szCs w:val="24"/>
                <w:spacing w:val="-1"/>
              </w:rPr>
              <w:t>6.7 </w:t>
            </w:r>
            <w:r>
              <w:rPr>
                <w:rFonts w:ascii="SimSun" w:hAnsi="SimSun" w:eastAsia="SimSun" w:cs="SimSun"/>
                <w:sz w:val="24"/>
                <w:szCs w:val="24"/>
                <w:spacing w:val="-1"/>
              </w:rPr>
              <w:t>环境风险防治措施</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220</w:t>
            </w:r>
          </w:hyperlink>
        </w:p>
        <w:p>
          <w:pPr>
            <w:ind w:left="970"/>
            <w:spacing w:before="153" w:line="220" w:lineRule="auto"/>
            <w:tabs>
              <w:tab w:val="right" w:leader="dot" w:pos="9072"/>
            </w:tabs>
            <w:rPr>
              <w:rFonts w:ascii="Times New Roman" w:hAnsi="Times New Roman" w:eastAsia="Times New Roman" w:cs="Times New Roman"/>
              <w:sz w:val="24"/>
              <w:szCs w:val="24"/>
            </w:rPr>
          </w:pPr>
          <w:hyperlink w:history="true" w:anchor="bookmark44">
            <w:r>
              <w:rPr>
                <w:rFonts w:ascii="Times New Roman" w:hAnsi="Times New Roman" w:eastAsia="Times New Roman" w:cs="Times New Roman"/>
                <w:sz w:val="24"/>
                <w:szCs w:val="24"/>
                <w:spacing w:val="-1"/>
              </w:rPr>
              <w:t>6.8 </w:t>
            </w:r>
            <w:r>
              <w:rPr>
                <w:rFonts w:ascii="SimSun" w:hAnsi="SimSun" w:eastAsia="SimSun" w:cs="SimSun"/>
                <w:sz w:val="24"/>
                <w:szCs w:val="24"/>
                <w:spacing w:val="-1"/>
              </w:rPr>
              <w:t>环境风险应急预案</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222</w:t>
            </w:r>
          </w:hyperlink>
        </w:p>
        <w:p>
          <w:pPr>
            <w:ind w:left="970"/>
            <w:spacing w:before="153" w:line="218" w:lineRule="auto"/>
            <w:tabs>
              <w:tab w:val="right" w:leader="dot" w:pos="9072"/>
            </w:tabs>
            <w:rPr>
              <w:rFonts w:ascii="Times New Roman" w:hAnsi="Times New Roman" w:eastAsia="Times New Roman" w:cs="Times New Roman"/>
              <w:sz w:val="24"/>
              <w:szCs w:val="24"/>
            </w:rPr>
          </w:pPr>
          <w:hyperlink w:history="true" w:anchor="bookmark45">
            <w:r>
              <w:rPr>
                <w:rFonts w:ascii="Times New Roman" w:hAnsi="Times New Roman" w:eastAsia="Times New Roman" w:cs="Times New Roman"/>
                <w:sz w:val="24"/>
                <w:szCs w:val="24"/>
                <w:spacing w:val="-1"/>
              </w:rPr>
              <w:t>6.9 </w:t>
            </w:r>
            <w:r>
              <w:rPr>
                <w:rFonts w:ascii="SimSun" w:hAnsi="SimSun" w:eastAsia="SimSun" w:cs="SimSun"/>
                <w:sz w:val="24"/>
                <w:szCs w:val="24"/>
                <w:spacing w:val="-1"/>
              </w:rPr>
              <w:t>环境风险评价结论</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225</w:t>
            </w:r>
          </w:hyperlink>
        </w:p>
        <w:p>
          <w:pPr>
            <w:ind w:left="495"/>
            <w:spacing w:before="159" w:line="220" w:lineRule="auto"/>
            <w:tabs>
              <w:tab w:val="right" w:leader="dot" w:pos="9072"/>
            </w:tabs>
            <w:rPr>
              <w:rFonts w:ascii="SimSun" w:hAnsi="SimSun" w:eastAsia="SimSun" w:cs="SimSun"/>
              <w:sz w:val="24"/>
              <w:szCs w:val="24"/>
            </w:rPr>
          </w:pPr>
          <w:hyperlink w:history="true" w:anchor="bookmark46">
            <w:r>
              <w:rPr>
                <w:rFonts w:ascii="SimSun" w:hAnsi="SimSun" w:eastAsia="SimSun" w:cs="SimSun"/>
                <w:sz w:val="24"/>
                <w:szCs w:val="24"/>
                <w:spacing w:val="-2"/>
              </w:rPr>
              <w:t>7 环境保护措施及其可行性论证</w:t>
            </w:r>
            <w:r>
              <w:rPr>
                <w:rFonts w:ascii="SimSun" w:hAnsi="SimSun" w:eastAsia="SimSun" w:cs="SimSun"/>
                <w:sz w:val="24"/>
                <w:szCs w:val="24"/>
                <w:spacing w:val="-31"/>
              </w:rPr>
              <w:t xml:space="preserve"> </w:t>
            </w:r>
            <w:r>
              <w:rPr>
                <w:rFonts w:ascii="SimSun" w:hAnsi="SimSun" w:eastAsia="SimSun" w:cs="SimSun"/>
                <w:sz w:val="24"/>
                <w:szCs w:val="24"/>
              </w:rPr>
              <w:tab/>
            </w:r>
            <w:r>
              <w:rPr>
                <w:rFonts w:ascii="SimSun" w:hAnsi="SimSun" w:eastAsia="SimSun" w:cs="SimSun"/>
                <w:sz w:val="24"/>
                <w:szCs w:val="24"/>
                <w:spacing w:val="4"/>
              </w:rPr>
              <w:t>227</w:t>
            </w:r>
          </w:hyperlink>
        </w:p>
        <w:p>
          <w:pPr>
            <w:ind w:left="968"/>
            <w:spacing w:before="153" w:line="220" w:lineRule="auto"/>
            <w:tabs>
              <w:tab w:val="right" w:leader="dot" w:pos="9072"/>
            </w:tabs>
            <w:rPr>
              <w:rFonts w:ascii="Times New Roman" w:hAnsi="Times New Roman" w:eastAsia="Times New Roman" w:cs="Times New Roman"/>
              <w:sz w:val="24"/>
              <w:szCs w:val="24"/>
            </w:rPr>
          </w:pPr>
          <w:hyperlink w:history="true" w:anchor="bookmark47">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生态环境环保措施</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227</w:t>
            </w:r>
          </w:hyperlink>
        </w:p>
        <w:p>
          <w:pPr>
            <w:ind w:left="968"/>
            <w:spacing w:before="153" w:line="220" w:lineRule="auto"/>
            <w:tabs>
              <w:tab w:val="right" w:leader="dot" w:pos="9072"/>
            </w:tabs>
            <w:rPr>
              <w:rFonts w:ascii="Times New Roman" w:hAnsi="Times New Roman" w:eastAsia="Times New Roman" w:cs="Times New Roman"/>
              <w:sz w:val="24"/>
              <w:szCs w:val="24"/>
            </w:rPr>
          </w:pPr>
          <w:hyperlink w:history="true" w:anchor="bookmark48">
            <w:r>
              <w:rPr>
                <w:rFonts w:ascii="Times New Roman" w:hAnsi="Times New Roman" w:eastAsia="Times New Roman" w:cs="Times New Roman"/>
                <w:sz w:val="24"/>
                <w:szCs w:val="24"/>
                <w:spacing w:val="-1"/>
              </w:rPr>
              <w:t>7.2 </w:t>
            </w:r>
            <w:r>
              <w:rPr>
                <w:rFonts w:ascii="SimSun" w:hAnsi="SimSun" w:eastAsia="SimSun" w:cs="SimSun"/>
                <w:sz w:val="24"/>
                <w:szCs w:val="24"/>
                <w:spacing w:val="-1"/>
              </w:rPr>
              <w:t>大气污染防治措施</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243</w:t>
            </w:r>
          </w:hyperlink>
        </w:p>
        <w:p>
          <w:pPr>
            <w:ind w:left="968"/>
            <w:spacing w:before="156" w:line="219" w:lineRule="auto"/>
            <w:tabs>
              <w:tab w:val="right" w:leader="dot" w:pos="9072"/>
            </w:tabs>
            <w:rPr>
              <w:rFonts w:ascii="Times New Roman" w:hAnsi="Times New Roman" w:eastAsia="Times New Roman" w:cs="Times New Roman"/>
              <w:sz w:val="24"/>
              <w:szCs w:val="24"/>
            </w:rPr>
          </w:pPr>
          <w:hyperlink w:history="true" w:anchor="bookmark49">
            <w:r>
              <w:rPr>
                <w:rFonts w:ascii="Times New Roman" w:hAnsi="Times New Roman" w:eastAsia="Times New Roman" w:cs="Times New Roman"/>
                <w:sz w:val="24"/>
                <w:szCs w:val="24"/>
                <w:spacing w:val="-1"/>
              </w:rPr>
              <w:t>7.3  </w:t>
            </w:r>
            <w:r>
              <w:rPr>
                <w:rFonts w:ascii="SimSun" w:hAnsi="SimSun" w:eastAsia="SimSun" w:cs="SimSun"/>
                <w:sz w:val="24"/>
                <w:szCs w:val="24"/>
                <w:spacing w:val="-1"/>
              </w:rPr>
              <w:t>废水污染防治措施</w:t>
            </w:r>
            <w:r>
              <w:rPr>
                <w:rFonts w:ascii="SimSun" w:hAnsi="SimSun" w:eastAsia="SimSun" w:cs="SimSun"/>
                <w:sz w:val="24"/>
                <w:szCs w:val="24"/>
                <w:spacing w:val="-69"/>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243</w:t>
            </w:r>
          </w:hyperlink>
        </w:p>
        <w:p>
          <w:pPr>
            <w:ind w:left="968"/>
            <w:spacing w:before="154" w:line="220" w:lineRule="auto"/>
            <w:tabs>
              <w:tab w:val="right" w:leader="dot" w:pos="9072"/>
            </w:tabs>
            <w:rPr>
              <w:rFonts w:ascii="Times New Roman" w:hAnsi="Times New Roman" w:eastAsia="Times New Roman" w:cs="Times New Roman"/>
              <w:sz w:val="24"/>
              <w:szCs w:val="24"/>
            </w:rPr>
          </w:pPr>
          <w:hyperlink w:history="true" w:anchor="bookmark50">
            <w:r>
              <w:rPr>
                <w:rFonts w:ascii="Times New Roman" w:hAnsi="Times New Roman" w:eastAsia="Times New Roman" w:cs="Times New Roman"/>
                <w:sz w:val="24"/>
                <w:szCs w:val="24"/>
                <w:spacing w:val="-3"/>
              </w:rPr>
              <w:t>7.4</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3"/>
              </w:rPr>
              <w:t>噪声污染防治措施</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245</w:t>
            </w:r>
          </w:hyperlink>
        </w:p>
        <w:p>
          <w:pPr>
            <w:ind w:left="968"/>
            <w:spacing w:before="154" w:line="219" w:lineRule="auto"/>
            <w:tabs>
              <w:tab w:val="right" w:leader="dot" w:pos="9072"/>
            </w:tabs>
            <w:rPr>
              <w:rFonts w:ascii="Times New Roman" w:hAnsi="Times New Roman" w:eastAsia="Times New Roman" w:cs="Times New Roman"/>
              <w:sz w:val="24"/>
              <w:szCs w:val="24"/>
            </w:rPr>
          </w:pPr>
          <w:hyperlink w:history="true" w:anchor="bookmark51">
            <w:r>
              <w:rPr>
                <w:rFonts w:ascii="Times New Roman" w:hAnsi="Times New Roman" w:eastAsia="Times New Roman" w:cs="Times New Roman"/>
                <w:sz w:val="24"/>
                <w:szCs w:val="24"/>
                <w:spacing w:val="-4"/>
              </w:rPr>
              <w:t>7.5</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4"/>
              </w:rPr>
              <w:t>固体废弃物治理措施</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246</w:t>
            </w:r>
          </w:hyperlink>
        </w:p>
        <w:p>
          <w:pPr>
            <w:ind w:left="968"/>
            <w:spacing w:before="156" w:line="220" w:lineRule="auto"/>
            <w:tabs>
              <w:tab w:val="right" w:leader="dot" w:pos="9072"/>
            </w:tabs>
            <w:rPr>
              <w:rFonts w:ascii="Times New Roman" w:hAnsi="Times New Roman" w:eastAsia="Times New Roman" w:cs="Times New Roman"/>
              <w:sz w:val="24"/>
              <w:szCs w:val="24"/>
            </w:rPr>
          </w:pPr>
          <w:hyperlink w:history="true" w:anchor="bookmark52">
            <w:r>
              <w:rPr>
                <w:rFonts w:ascii="Times New Roman" w:hAnsi="Times New Roman" w:eastAsia="Times New Roman" w:cs="Times New Roman"/>
                <w:sz w:val="24"/>
                <w:szCs w:val="24"/>
                <w:spacing w:val="-1"/>
              </w:rPr>
              <w:t>7.6  </w:t>
            </w:r>
            <w:r>
              <w:rPr>
                <w:rFonts w:ascii="SimSun" w:hAnsi="SimSun" w:eastAsia="SimSun" w:cs="SimSun"/>
                <w:sz w:val="24"/>
                <w:szCs w:val="24"/>
                <w:spacing w:val="-1"/>
              </w:rPr>
              <w:t>土壤污染防治措施</w:t>
            </w:r>
            <w:r>
              <w:rPr>
                <w:rFonts w:ascii="SimSun" w:hAnsi="SimSun" w:eastAsia="SimSun" w:cs="SimSun"/>
                <w:sz w:val="24"/>
                <w:szCs w:val="24"/>
                <w:spacing w:val="-69"/>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247</w:t>
            </w:r>
          </w:hyperlink>
        </w:p>
        <w:p>
          <w:pPr>
            <w:ind w:left="490"/>
            <w:spacing w:before="154" w:line="220" w:lineRule="auto"/>
            <w:tabs>
              <w:tab w:val="right" w:leader="dot" w:pos="9072"/>
            </w:tabs>
            <w:rPr>
              <w:rFonts w:ascii="SimSun" w:hAnsi="SimSun" w:eastAsia="SimSun" w:cs="SimSun"/>
              <w:sz w:val="24"/>
              <w:szCs w:val="24"/>
            </w:rPr>
          </w:pPr>
          <w:hyperlink w:history="true" w:anchor="bookmark53">
            <w:r>
              <w:rPr>
                <w:rFonts w:ascii="SimSun" w:hAnsi="SimSun" w:eastAsia="SimSun" w:cs="SimSun"/>
                <w:sz w:val="24"/>
                <w:szCs w:val="24"/>
                <w:spacing w:val="-1"/>
              </w:rPr>
              <w:t>8 环境影响经济损益分析</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4"/>
              </w:rPr>
              <w:t>250</w:t>
            </w:r>
          </w:hyperlink>
        </w:p>
        <w:p>
          <w:pPr>
            <w:ind w:left="974"/>
            <w:spacing w:before="153" w:line="220" w:lineRule="auto"/>
            <w:tabs>
              <w:tab w:val="right" w:leader="dot" w:pos="9072"/>
            </w:tabs>
            <w:rPr>
              <w:rFonts w:ascii="Times New Roman" w:hAnsi="Times New Roman" w:eastAsia="Times New Roman" w:cs="Times New Roman"/>
              <w:sz w:val="24"/>
              <w:szCs w:val="24"/>
            </w:rPr>
          </w:pPr>
          <w:hyperlink w:history="true" w:anchor="bookmark54">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2"/>
              </w:rPr>
              <w:t>环境保护投资分析</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95"/>
              </w:rPr>
              <w:t xml:space="preserve"> </w:t>
            </w:r>
            <w:r>
              <w:rPr>
                <w:rFonts w:ascii="Times New Roman" w:hAnsi="Times New Roman" w:eastAsia="Times New Roman" w:cs="Times New Roman"/>
                <w:sz w:val="24"/>
                <w:szCs w:val="24"/>
                <w:spacing w:val="-2"/>
              </w:rPr>
              <w:t>250</w:t>
            </w:r>
          </w:hyperlink>
        </w:p>
        <w:p>
          <w:pPr>
            <w:ind w:left="974"/>
            <w:spacing w:before="155" w:line="220" w:lineRule="auto"/>
            <w:tabs>
              <w:tab w:val="right" w:leader="dot" w:pos="9072"/>
            </w:tabs>
            <w:rPr>
              <w:rFonts w:ascii="Times New Roman" w:hAnsi="Times New Roman" w:eastAsia="Times New Roman" w:cs="Times New Roman"/>
              <w:sz w:val="24"/>
              <w:szCs w:val="24"/>
            </w:rPr>
          </w:pPr>
          <w:hyperlink w:history="true" w:anchor="bookmark55">
            <w:r>
              <w:rPr>
                <w:rFonts w:ascii="Times New Roman" w:hAnsi="Times New Roman" w:eastAsia="Times New Roman" w:cs="Times New Roman"/>
                <w:sz w:val="24"/>
                <w:szCs w:val="24"/>
                <w:spacing w:val="-3"/>
              </w:rPr>
              <w:t>8.2</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环境经济损益分析</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95"/>
              </w:rPr>
              <w:t xml:space="preserve"> </w:t>
            </w:r>
            <w:r>
              <w:rPr>
                <w:rFonts w:ascii="Times New Roman" w:hAnsi="Times New Roman" w:eastAsia="Times New Roman" w:cs="Times New Roman"/>
                <w:sz w:val="24"/>
                <w:szCs w:val="24"/>
                <w:spacing w:val="-2"/>
              </w:rPr>
              <w:t>251</w:t>
            </w:r>
          </w:hyperlink>
        </w:p>
        <w:p>
          <w:pPr>
            <w:ind w:left="974"/>
            <w:spacing w:before="153" w:line="219" w:lineRule="auto"/>
            <w:tabs>
              <w:tab w:val="right" w:leader="dot" w:pos="9072"/>
            </w:tabs>
            <w:rPr>
              <w:rFonts w:ascii="Times New Roman" w:hAnsi="Times New Roman" w:eastAsia="Times New Roman" w:cs="Times New Roman"/>
              <w:sz w:val="24"/>
              <w:szCs w:val="24"/>
            </w:rPr>
          </w:pPr>
          <w:hyperlink w:history="true" w:anchor="bookmark56">
            <w:r>
              <w:rPr>
                <w:rFonts w:ascii="Times New Roman" w:hAnsi="Times New Roman" w:eastAsia="Times New Roman" w:cs="Times New Roman"/>
                <w:sz w:val="24"/>
                <w:szCs w:val="24"/>
                <w:spacing w:val="-3"/>
              </w:rPr>
              <w:t>8.3</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3"/>
              </w:rPr>
              <w:t>社会损益分析</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95"/>
              </w:rPr>
              <w:t xml:space="preserve"> </w:t>
            </w:r>
            <w:r>
              <w:rPr>
                <w:rFonts w:ascii="Times New Roman" w:hAnsi="Times New Roman" w:eastAsia="Times New Roman" w:cs="Times New Roman"/>
                <w:sz w:val="24"/>
                <w:szCs w:val="24"/>
                <w:spacing w:val="-2"/>
              </w:rPr>
              <w:t>254</w:t>
            </w:r>
          </w:hyperlink>
        </w:p>
        <w:p>
          <w:pPr>
            <w:ind w:left="490"/>
            <w:spacing w:before="155" w:line="219" w:lineRule="auto"/>
            <w:tabs>
              <w:tab w:val="right" w:leader="dot" w:pos="9072"/>
            </w:tabs>
            <w:rPr>
              <w:rFonts w:ascii="SimSun" w:hAnsi="SimSun" w:eastAsia="SimSun" w:cs="SimSun"/>
              <w:sz w:val="24"/>
              <w:szCs w:val="24"/>
            </w:rPr>
          </w:pPr>
          <w:hyperlink w:history="true" w:anchor="bookmark57">
            <w:r>
              <w:rPr>
                <w:rFonts w:ascii="SimSun" w:hAnsi="SimSun" w:eastAsia="SimSun" w:cs="SimSun"/>
                <w:sz w:val="24"/>
                <w:szCs w:val="24"/>
                <w:spacing w:val="-2"/>
              </w:rPr>
              <w:t>9</w:t>
            </w:r>
            <w:r>
              <w:rPr>
                <w:rFonts w:ascii="SimSun" w:hAnsi="SimSun" w:eastAsia="SimSun" w:cs="SimSun"/>
                <w:sz w:val="24"/>
                <w:szCs w:val="24"/>
                <w:spacing w:val="-51"/>
              </w:rPr>
              <w:t xml:space="preserve"> </w:t>
            </w:r>
            <w:r>
              <w:rPr>
                <w:rFonts w:ascii="SimSun" w:hAnsi="SimSun" w:eastAsia="SimSun" w:cs="SimSun"/>
                <w:sz w:val="24"/>
                <w:szCs w:val="24"/>
                <w:spacing w:val="-2"/>
              </w:rPr>
              <w:t>环境管理与监测计划</w:t>
            </w:r>
            <w:r>
              <w:rPr>
                <w:rFonts w:ascii="SimSun" w:hAnsi="SimSun" w:eastAsia="SimSun" w:cs="SimSun"/>
                <w:sz w:val="24"/>
                <w:szCs w:val="24"/>
                <w:spacing w:val="-45"/>
              </w:rPr>
              <w:t xml:space="preserve"> </w:t>
            </w:r>
            <w:r>
              <w:rPr>
                <w:rFonts w:ascii="SimSun" w:hAnsi="SimSun" w:eastAsia="SimSun" w:cs="SimSun"/>
                <w:sz w:val="24"/>
                <w:szCs w:val="24"/>
              </w:rPr>
              <w:tab/>
            </w:r>
            <w:r>
              <w:rPr>
                <w:rFonts w:ascii="SimSun" w:hAnsi="SimSun" w:eastAsia="SimSun" w:cs="SimSun"/>
                <w:sz w:val="24"/>
                <w:szCs w:val="24"/>
                <w:spacing w:val="-34"/>
              </w:rPr>
              <w:t xml:space="preserve"> </w:t>
            </w:r>
            <w:r>
              <w:rPr>
                <w:rFonts w:ascii="SimSun" w:hAnsi="SimSun" w:eastAsia="SimSun" w:cs="SimSun"/>
                <w:sz w:val="24"/>
                <w:szCs w:val="24"/>
                <w:spacing w:val="-5"/>
              </w:rPr>
              <w:t>255</w:t>
            </w:r>
          </w:hyperlink>
        </w:p>
        <w:p>
          <w:pPr>
            <w:ind w:left="969"/>
            <w:spacing w:before="157" w:line="219" w:lineRule="auto"/>
            <w:tabs>
              <w:tab w:val="right" w:leader="dot" w:pos="9072"/>
            </w:tabs>
            <w:rPr>
              <w:rFonts w:ascii="Times New Roman" w:hAnsi="Times New Roman" w:eastAsia="Times New Roman" w:cs="Times New Roman"/>
              <w:sz w:val="24"/>
              <w:szCs w:val="24"/>
            </w:rPr>
          </w:pPr>
          <w:hyperlink w:history="true" w:anchor="bookmark58">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13"/>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环境管理</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95"/>
              </w:rPr>
              <w:t xml:space="preserve"> </w:t>
            </w:r>
            <w:r>
              <w:rPr>
                <w:rFonts w:ascii="Times New Roman" w:hAnsi="Times New Roman" w:eastAsia="Times New Roman" w:cs="Times New Roman"/>
                <w:sz w:val="24"/>
                <w:szCs w:val="24"/>
                <w:spacing w:val="-2"/>
              </w:rPr>
              <w:t>255</w:t>
            </w:r>
          </w:hyperlink>
        </w:p>
        <w:p>
          <w:pPr>
            <w:ind w:left="969"/>
            <w:spacing w:before="154" w:line="220" w:lineRule="auto"/>
            <w:tabs>
              <w:tab w:val="right" w:leader="dot" w:pos="9072"/>
            </w:tabs>
            <w:rPr>
              <w:rFonts w:ascii="Times New Roman" w:hAnsi="Times New Roman" w:eastAsia="Times New Roman" w:cs="Times New Roman"/>
              <w:sz w:val="24"/>
              <w:szCs w:val="24"/>
            </w:rPr>
          </w:pPr>
          <w:hyperlink w:history="true" w:anchor="bookmark59">
            <w:r>
              <w:rPr>
                <w:rFonts w:ascii="Times New Roman" w:hAnsi="Times New Roman" w:eastAsia="Times New Roman" w:cs="Times New Roman"/>
                <w:sz w:val="24"/>
                <w:szCs w:val="24"/>
                <w:spacing w:val="-3"/>
              </w:rPr>
              <w:t>9.2</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3"/>
              </w:rPr>
              <w:t>环境监测</w:t>
            </w:r>
            <w:r>
              <w:rPr>
                <w:rFonts w:ascii="SimSun" w:hAnsi="SimSun" w:eastAsia="SimSun" w:cs="SimSun"/>
                <w:sz w:val="24"/>
                <w:szCs w:val="24"/>
                <w:spacing w:val="-56"/>
              </w:rPr>
              <w:t xml:space="preserve"> </w:t>
            </w:r>
            <w:r>
              <w:rPr>
                <w:rFonts w:ascii="SimSun" w:hAnsi="SimSun" w:eastAsia="SimSun" w:cs="SimSun"/>
                <w:sz w:val="24"/>
                <w:szCs w:val="24"/>
              </w:rPr>
              <w:tab/>
            </w:r>
            <w:r>
              <w:rPr>
                <w:rFonts w:ascii="SimSun" w:hAnsi="SimSun" w:eastAsia="SimSun" w:cs="SimSun"/>
                <w:sz w:val="24"/>
                <w:szCs w:val="24"/>
                <w:spacing w:val="-95"/>
              </w:rPr>
              <w:t xml:space="preserve"> </w:t>
            </w:r>
            <w:r>
              <w:rPr>
                <w:rFonts w:ascii="Times New Roman" w:hAnsi="Times New Roman" w:eastAsia="Times New Roman" w:cs="Times New Roman"/>
                <w:sz w:val="24"/>
                <w:szCs w:val="24"/>
                <w:spacing w:val="-2"/>
              </w:rPr>
              <w:t>256</w:t>
            </w:r>
          </w:hyperlink>
        </w:p>
        <w:p>
          <w:pPr>
            <w:ind w:left="969"/>
            <w:spacing w:before="154" w:line="219" w:lineRule="auto"/>
            <w:tabs>
              <w:tab w:val="right" w:leader="dot" w:pos="9072"/>
            </w:tabs>
            <w:rPr>
              <w:rFonts w:ascii="Times New Roman" w:hAnsi="Times New Roman" w:eastAsia="Times New Roman" w:cs="Times New Roman"/>
              <w:sz w:val="24"/>
              <w:szCs w:val="24"/>
            </w:rPr>
          </w:pPr>
          <w:hyperlink w:history="true" w:anchor="bookmark60">
            <w:r>
              <w:rPr>
                <w:rFonts w:ascii="Times New Roman" w:hAnsi="Times New Roman" w:eastAsia="Times New Roman" w:cs="Times New Roman"/>
                <w:sz w:val="24"/>
                <w:szCs w:val="24"/>
                <w:spacing w:val="-1"/>
              </w:rPr>
              <w:t>9.3 </w:t>
            </w:r>
            <w:r>
              <w:rPr>
                <w:rFonts w:ascii="SimSun" w:hAnsi="SimSun" w:eastAsia="SimSun" w:cs="SimSun"/>
                <w:sz w:val="24"/>
                <w:szCs w:val="24"/>
                <w:spacing w:val="-1"/>
              </w:rPr>
              <w:t>污染物排放管理要求</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257</w:t>
            </w:r>
          </w:hyperlink>
        </w:p>
        <w:p>
          <w:pPr>
            <w:ind w:left="969"/>
            <w:spacing w:before="157" w:line="219" w:lineRule="auto"/>
            <w:tabs>
              <w:tab w:val="right" w:leader="dot" w:pos="9072"/>
            </w:tabs>
            <w:rPr>
              <w:rFonts w:ascii="Times New Roman" w:hAnsi="Times New Roman" w:eastAsia="Times New Roman" w:cs="Times New Roman"/>
              <w:sz w:val="24"/>
              <w:szCs w:val="24"/>
            </w:rPr>
          </w:pPr>
          <w:hyperlink w:history="true" w:anchor="bookmark61">
            <w:r>
              <w:rPr>
                <w:rFonts w:ascii="Times New Roman" w:hAnsi="Times New Roman" w:eastAsia="Times New Roman" w:cs="Times New Roman"/>
                <w:sz w:val="24"/>
                <w:szCs w:val="24"/>
                <w:spacing w:val="-1"/>
              </w:rPr>
              <w:t>9.4</w:t>
            </w:r>
            <w:r>
              <w:rPr>
                <w:rFonts w:ascii="SimSun" w:hAnsi="SimSun" w:eastAsia="SimSun" w:cs="SimSun"/>
                <w:sz w:val="24"/>
                <w:szCs w:val="24"/>
                <w:spacing w:val="-1"/>
              </w:rPr>
              <w:t>建设项目环境保护措施及</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三同时</w:t>
            </w:r>
            <w:r>
              <w:rPr>
                <w:rFonts w:ascii="Times New Roman" w:hAnsi="Times New Roman" w:eastAsia="Times New Roman" w:cs="Times New Roman"/>
                <w:sz w:val="24"/>
                <w:szCs w:val="24"/>
                <w:spacing w:val="-1"/>
              </w:rPr>
              <w:t>”</w:t>
            </w:r>
            <w:r>
              <w:rPr>
                <w:rFonts w:ascii="SimSun" w:hAnsi="SimSun" w:eastAsia="SimSun" w:cs="SimSun"/>
                <w:sz w:val="24"/>
                <w:szCs w:val="24"/>
                <w:spacing w:val="-1"/>
              </w:rPr>
              <w:t>验收内容</w:t>
            </w:r>
            <w:r>
              <w:rPr>
                <w:rFonts w:ascii="SimSun" w:hAnsi="SimSun" w:eastAsia="SimSun" w:cs="SimSun"/>
                <w:sz w:val="24"/>
                <w:szCs w:val="24"/>
                <w:spacing w:val="-59"/>
              </w:rPr>
              <w:t xml:space="preserve"> </w:t>
            </w:r>
            <w:r>
              <w:rPr>
                <w:rFonts w:ascii="SimSun" w:hAnsi="SimSun" w:eastAsia="SimSun" w:cs="SimSun"/>
                <w:sz w:val="24"/>
                <w:szCs w:val="24"/>
              </w:rPr>
              <w:tab/>
            </w:r>
            <w:r>
              <w:rPr>
                <w:rFonts w:ascii="Times New Roman" w:hAnsi="Times New Roman" w:eastAsia="Times New Roman" w:cs="Times New Roman"/>
                <w:sz w:val="24"/>
                <w:szCs w:val="24"/>
                <w:spacing w:val="2"/>
              </w:rPr>
              <w:t>260</w:t>
            </w:r>
          </w:hyperlink>
        </w:p>
        <w:p>
          <w:pPr>
            <w:ind w:left="969"/>
            <w:spacing w:before="154" w:line="220" w:lineRule="auto"/>
            <w:tabs>
              <w:tab w:val="right" w:leader="dot" w:pos="9072"/>
            </w:tabs>
            <w:rPr>
              <w:rFonts w:ascii="Times New Roman" w:hAnsi="Times New Roman" w:eastAsia="Times New Roman" w:cs="Times New Roman"/>
              <w:sz w:val="24"/>
              <w:szCs w:val="24"/>
            </w:rPr>
          </w:pPr>
          <w:hyperlink w:history="true" w:anchor="bookmark62">
            <w:r>
              <w:rPr>
                <w:rFonts w:ascii="Times New Roman" w:hAnsi="Times New Roman" w:eastAsia="Times New Roman" w:cs="Times New Roman"/>
                <w:sz w:val="24"/>
                <w:szCs w:val="24"/>
                <w:spacing w:val="-3"/>
              </w:rPr>
              <w:t>9.5</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3"/>
              </w:rPr>
              <w:t>总量及排污许可</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261</w:t>
            </w:r>
          </w:hyperlink>
        </w:p>
        <w:p>
          <w:pPr>
            <w:ind w:left="507"/>
            <w:spacing w:before="154" w:line="219" w:lineRule="auto"/>
            <w:tabs>
              <w:tab w:val="right" w:leader="dot" w:pos="9072"/>
            </w:tabs>
            <w:rPr>
              <w:rFonts w:ascii="SimSun" w:hAnsi="SimSun" w:eastAsia="SimSun" w:cs="SimSun"/>
              <w:sz w:val="24"/>
              <w:szCs w:val="24"/>
            </w:rPr>
          </w:pPr>
          <w:hyperlink w:history="true" w:anchor="bookmark63">
            <w:r>
              <w:rPr>
                <w:rFonts w:ascii="SimSun" w:hAnsi="SimSun" w:eastAsia="SimSun" w:cs="SimSun"/>
                <w:sz w:val="24"/>
                <w:szCs w:val="24"/>
                <w:spacing w:val="-4"/>
              </w:rPr>
              <w:t>10 政策规划及“三线一单</w:t>
            </w:r>
            <w:r>
              <w:rPr>
                <w:rFonts w:ascii="SimSun" w:hAnsi="SimSun" w:eastAsia="SimSun" w:cs="SimSun"/>
                <w:sz w:val="24"/>
                <w:szCs w:val="24"/>
                <w:spacing w:val="-73"/>
              </w:rPr>
              <w:t xml:space="preserve"> </w:t>
            </w:r>
            <w:r>
              <w:rPr>
                <w:rFonts w:ascii="SimSun" w:hAnsi="SimSun" w:eastAsia="SimSun" w:cs="SimSun"/>
                <w:sz w:val="24"/>
                <w:szCs w:val="24"/>
                <w:spacing w:val="-4"/>
              </w:rPr>
              <w:t>”相符性分析</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4"/>
              </w:rPr>
              <w:t>262</w:t>
            </w:r>
          </w:hyperlink>
        </w:p>
        <w:p>
          <w:pPr>
            <w:ind w:left="988"/>
            <w:spacing w:before="156" w:line="219" w:lineRule="auto"/>
            <w:tabs>
              <w:tab w:val="right" w:leader="dot" w:pos="9072"/>
            </w:tabs>
            <w:rPr>
              <w:rFonts w:ascii="Times New Roman" w:hAnsi="Times New Roman" w:eastAsia="Times New Roman" w:cs="Times New Roman"/>
              <w:sz w:val="24"/>
              <w:szCs w:val="24"/>
            </w:rPr>
          </w:pPr>
          <w:hyperlink w:history="true" w:anchor="bookmark64">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产业政策相符性分析</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262</w:t>
            </w:r>
          </w:hyperlink>
        </w:p>
      </w:sdtContent>
    </w:sdt>
    <w:p>
      <w:pPr>
        <w:spacing w:line="219" w:lineRule="auto"/>
        <w:sectPr>
          <w:pgSz w:w="11906" w:h="16838"/>
          <w:pgMar w:top="1114" w:right="1417" w:bottom="0" w:left="1416" w:header="837" w:footer="0" w:gutter="0"/>
        </w:sectPr>
        <w:rPr>
          <w:rFonts w:ascii="Times New Roman" w:hAnsi="Times New Roman" w:eastAsia="Times New Roman" w:cs="Times New Roman"/>
          <w:sz w:val="24"/>
          <w:szCs w:val="24"/>
        </w:rPr>
      </w:pPr>
    </w:p>
    <w:p>
      <w:pPr>
        <w:pStyle w:val="BodyText"/>
        <w:spacing w:line="368" w:lineRule="auto"/>
        <w:rPr/>
      </w:pPr>
      <w:r/>
    </w:p>
    <w:sdt>
      <w:sdtPr>
        <w:rPr>
          <w:rFonts w:ascii="Times New Roman" w:hAnsi="Times New Roman" w:eastAsia="Times New Roman" w:cs="Times New Roman"/>
          <w:sz w:val="24"/>
          <w:szCs w:val="24"/>
        </w:rPr>
        <w:docPartObj>
          <w:docPartGallery w:val="Table of Contents"/>
          <w:docPartUnique/>
        </w:docPartObj>
      </w:sdtPr>
      <w:sdtEndPr>
        <w:rPr>
          <w:rFonts w:ascii="Times New Roman" w:hAnsi="Times New Roman" w:eastAsia="Times New Roman" w:cs="Times New Roman"/>
          <w:sz w:val="24"/>
          <w:szCs w:val="24"/>
        </w:rPr>
      </w:sdtEndPr>
      <w:sdtContent>
        <w:p>
          <w:pPr>
            <w:ind w:left="988"/>
            <w:spacing w:before="78" w:line="219" w:lineRule="auto"/>
            <w:tabs>
              <w:tab w:val="right" w:leader="dot" w:pos="9072"/>
            </w:tabs>
            <w:rPr>
              <w:rFonts w:ascii="Times New Roman" w:hAnsi="Times New Roman" w:eastAsia="Times New Roman" w:cs="Times New Roman"/>
              <w:sz w:val="24"/>
              <w:szCs w:val="24"/>
            </w:rPr>
          </w:pPr>
          <w:bookmarkStart w:name="bookmark65" w:id="3"/>
          <w:bookmarkEnd w:id="3"/>
          <w:hyperlink w:history="true" w:anchor="bookmark66">
            <w:r>
              <w:rPr>
                <w:rFonts w:ascii="Times New Roman" w:hAnsi="Times New Roman" w:eastAsia="Times New Roman" w:cs="Times New Roman"/>
                <w:sz w:val="24"/>
                <w:szCs w:val="24"/>
                <w:spacing w:val="-1"/>
              </w:rPr>
              <w:t>10.2  </w:t>
            </w:r>
            <w:r>
              <w:rPr>
                <w:rFonts w:ascii="SimSun" w:hAnsi="SimSun" w:eastAsia="SimSun" w:cs="SimSun"/>
                <w:sz w:val="24"/>
                <w:szCs w:val="24"/>
                <w:spacing w:val="-1"/>
              </w:rPr>
              <w:t>与矿区总体规划及总体规划环评</w:t>
            </w:r>
            <w:r>
              <w:rPr>
                <w:rFonts w:ascii="SimSun" w:hAnsi="SimSun" w:eastAsia="SimSun" w:cs="SimSun"/>
                <w:sz w:val="24"/>
                <w:szCs w:val="24"/>
                <w:spacing w:val="-2"/>
              </w:rPr>
              <w:t>符合性分析</w:t>
            </w:r>
            <w:r>
              <w:rPr>
                <w:rFonts w:ascii="SimSun" w:hAnsi="SimSun" w:eastAsia="SimSun" w:cs="SimSun"/>
                <w:sz w:val="24"/>
                <w:szCs w:val="24"/>
                <w:spacing w:val="-71"/>
              </w:rPr>
              <w:t xml:space="preserve"> </w:t>
            </w:r>
            <w:r>
              <w:rPr>
                <w:rFonts w:ascii="SimSun" w:hAnsi="SimSun" w:eastAsia="SimSun" w:cs="SimSun"/>
                <w:sz w:val="24"/>
                <w:szCs w:val="24"/>
              </w:rPr>
              <w:tab/>
            </w:r>
            <w:r>
              <w:rPr>
                <w:rFonts w:ascii="SimSun" w:hAnsi="SimSun" w:eastAsia="SimSun" w:cs="SimSun"/>
                <w:sz w:val="24"/>
                <w:szCs w:val="24"/>
                <w:spacing w:val="-74"/>
              </w:rPr>
              <w:t xml:space="preserve"> </w:t>
            </w:r>
            <w:r>
              <w:rPr>
                <w:rFonts w:ascii="Times New Roman" w:hAnsi="Times New Roman" w:eastAsia="Times New Roman" w:cs="Times New Roman"/>
                <w:sz w:val="24"/>
                <w:szCs w:val="24"/>
                <w:spacing w:val="-2"/>
              </w:rPr>
              <w:t>263</w:t>
            </w:r>
          </w:hyperlink>
        </w:p>
        <w:p>
          <w:pPr>
            <w:ind w:left="988"/>
            <w:spacing w:before="156" w:line="219" w:lineRule="auto"/>
            <w:tabs>
              <w:tab w:val="right" w:leader="dot" w:pos="9072"/>
            </w:tabs>
            <w:rPr>
              <w:rFonts w:ascii="Times New Roman" w:hAnsi="Times New Roman" w:eastAsia="Times New Roman" w:cs="Times New Roman"/>
              <w:sz w:val="24"/>
              <w:szCs w:val="24"/>
            </w:rPr>
          </w:pPr>
          <w:hyperlink w:history="true" w:anchor="bookmark67">
            <w:r>
              <w:rPr>
                <w:rFonts w:ascii="Times New Roman" w:hAnsi="Times New Roman" w:eastAsia="Times New Roman" w:cs="Times New Roman"/>
                <w:sz w:val="24"/>
                <w:szCs w:val="24"/>
                <w:spacing w:val="-2"/>
              </w:rPr>
              <w:t>10.3  </w:t>
            </w:r>
            <w:r>
              <w:rPr>
                <w:rFonts w:ascii="SimSun" w:hAnsi="SimSun" w:eastAsia="SimSun" w:cs="SimSun"/>
                <w:sz w:val="24"/>
                <w:szCs w:val="24"/>
                <w:spacing w:val="-2"/>
              </w:rPr>
              <w:t>与</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三线一单</w:t>
            </w:r>
            <w:r>
              <w:rPr>
                <w:rFonts w:ascii="Times New Roman" w:hAnsi="Times New Roman" w:eastAsia="Times New Roman" w:cs="Times New Roman"/>
                <w:sz w:val="24"/>
                <w:szCs w:val="24"/>
                <w:spacing w:val="-2"/>
              </w:rPr>
              <w:t>”</w:t>
            </w:r>
            <w:r>
              <w:rPr>
                <w:rFonts w:ascii="SimSun" w:hAnsi="SimSun" w:eastAsia="SimSun" w:cs="SimSun"/>
                <w:sz w:val="24"/>
                <w:szCs w:val="24"/>
                <w:spacing w:val="-2"/>
              </w:rPr>
              <w:t>相符性分析</w:t>
            </w:r>
            <w:r>
              <w:rPr>
                <w:rFonts w:ascii="SimSun" w:hAnsi="SimSun" w:eastAsia="SimSun" w:cs="SimSun"/>
                <w:sz w:val="24"/>
                <w:szCs w:val="24"/>
                <w:spacing w:val="-65"/>
              </w:rPr>
              <w:t xml:space="preserve"> </w:t>
            </w:r>
            <w:r>
              <w:rPr>
                <w:rFonts w:ascii="SimSun" w:hAnsi="SimSun" w:eastAsia="SimSun" w:cs="SimSun"/>
                <w:sz w:val="24"/>
                <w:szCs w:val="24"/>
              </w:rPr>
              <w:tab/>
            </w:r>
            <w:r>
              <w:rPr>
                <w:rFonts w:ascii="Times New Roman" w:hAnsi="Times New Roman" w:eastAsia="Times New Roman" w:cs="Times New Roman"/>
                <w:sz w:val="24"/>
                <w:szCs w:val="24"/>
                <w:spacing w:val="2"/>
              </w:rPr>
              <w:t>265</w:t>
            </w:r>
          </w:hyperlink>
        </w:p>
        <w:p>
          <w:pPr>
            <w:ind w:left="507"/>
            <w:spacing w:before="153" w:line="218" w:lineRule="auto"/>
            <w:tabs>
              <w:tab w:val="right" w:leader="dot" w:pos="9072"/>
            </w:tabs>
            <w:rPr>
              <w:rFonts w:ascii="SimSun" w:hAnsi="SimSun" w:eastAsia="SimSun" w:cs="SimSun"/>
              <w:sz w:val="24"/>
              <w:szCs w:val="24"/>
            </w:rPr>
          </w:pPr>
          <w:hyperlink w:history="true" w:anchor="bookmark68">
            <w:r>
              <w:rPr>
                <w:rFonts w:ascii="SimSun" w:hAnsi="SimSun" w:eastAsia="SimSun" w:cs="SimSun"/>
                <w:sz w:val="24"/>
                <w:szCs w:val="24"/>
                <w:spacing w:val="-4"/>
              </w:rPr>
              <w:t>11</w:t>
            </w:r>
            <w:r>
              <w:rPr>
                <w:rFonts w:ascii="SimSun" w:hAnsi="SimSun" w:eastAsia="SimSun" w:cs="SimSun"/>
                <w:sz w:val="24"/>
                <w:szCs w:val="24"/>
                <w:spacing w:val="-49"/>
              </w:rPr>
              <w:t xml:space="preserve"> </w:t>
            </w:r>
            <w:r>
              <w:rPr>
                <w:rFonts w:ascii="SimSun" w:hAnsi="SimSun" w:eastAsia="SimSun" w:cs="SimSun"/>
                <w:sz w:val="24"/>
                <w:szCs w:val="24"/>
                <w:spacing w:val="-4"/>
              </w:rPr>
              <w:t>环境影响评价结论</w:t>
            </w:r>
            <w:r>
              <w:rPr>
                <w:rFonts w:ascii="SimSun" w:hAnsi="SimSun" w:eastAsia="SimSun" w:cs="SimSun"/>
                <w:sz w:val="24"/>
                <w:szCs w:val="24"/>
                <w:spacing w:val="-44"/>
              </w:rPr>
              <w:t xml:space="preserve"> </w:t>
            </w:r>
            <w:r>
              <w:rPr>
                <w:rFonts w:ascii="SimSun" w:hAnsi="SimSun" w:eastAsia="SimSun" w:cs="SimSun"/>
                <w:sz w:val="24"/>
                <w:szCs w:val="24"/>
              </w:rPr>
              <w:tab/>
            </w:r>
            <w:r>
              <w:rPr>
                <w:rFonts w:ascii="SimSun" w:hAnsi="SimSun" w:eastAsia="SimSun" w:cs="SimSun"/>
                <w:sz w:val="24"/>
                <w:szCs w:val="24"/>
                <w:spacing w:val="-34"/>
              </w:rPr>
              <w:t xml:space="preserve"> </w:t>
            </w:r>
            <w:r>
              <w:rPr>
                <w:rFonts w:ascii="SimSun" w:hAnsi="SimSun" w:eastAsia="SimSun" w:cs="SimSun"/>
                <w:sz w:val="24"/>
                <w:szCs w:val="24"/>
                <w:spacing w:val="-5"/>
              </w:rPr>
              <w:t>280</w:t>
            </w:r>
          </w:hyperlink>
        </w:p>
        <w:p>
          <w:pPr>
            <w:ind w:left="988"/>
            <w:spacing w:before="156" w:line="219" w:lineRule="auto"/>
            <w:tabs>
              <w:tab w:val="right" w:leader="dot" w:pos="9072"/>
            </w:tabs>
            <w:rPr>
              <w:rFonts w:ascii="Times New Roman" w:hAnsi="Times New Roman" w:eastAsia="Times New Roman" w:cs="Times New Roman"/>
              <w:sz w:val="24"/>
              <w:szCs w:val="24"/>
            </w:rPr>
          </w:pPr>
          <w:hyperlink w:history="true" w:anchor="bookmark69">
            <w:r>
              <w:rPr>
                <w:rFonts w:ascii="Times New Roman" w:hAnsi="Times New Roman" w:eastAsia="Times New Roman" w:cs="Times New Roman"/>
                <w:sz w:val="24"/>
                <w:szCs w:val="24"/>
                <w:spacing w:val="-10"/>
              </w:rPr>
              <w:t>11.</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0"/>
              </w:rPr>
              <w:t>项目概况</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280</w:t>
            </w:r>
          </w:hyperlink>
        </w:p>
        <w:p>
          <w:pPr>
            <w:ind w:left="988"/>
            <w:spacing w:before="157" w:line="220" w:lineRule="auto"/>
            <w:tabs>
              <w:tab w:val="right" w:leader="dot" w:pos="9072"/>
            </w:tabs>
            <w:rPr>
              <w:rFonts w:ascii="Times New Roman" w:hAnsi="Times New Roman" w:eastAsia="Times New Roman" w:cs="Times New Roman"/>
              <w:sz w:val="24"/>
              <w:szCs w:val="24"/>
            </w:rPr>
          </w:pPr>
          <w:hyperlink w:history="true" w:anchor="bookmark70">
            <w:r>
              <w:rPr>
                <w:rFonts w:ascii="Times New Roman" w:hAnsi="Times New Roman" w:eastAsia="Times New Roman" w:cs="Times New Roman"/>
                <w:sz w:val="24"/>
                <w:szCs w:val="24"/>
                <w:spacing w:val="-3"/>
              </w:rPr>
              <w:t>11.2 </w:t>
            </w:r>
            <w:r>
              <w:rPr>
                <w:rFonts w:ascii="SimSun" w:hAnsi="SimSun" w:eastAsia="SimSun" w:cs="SimSun"/>
                <w:sz w:val="24"/>
                <w:szCs w:val="24"/>
                <w:spacing w:val="-3"/>
              </w:rPr>
              <w:t>建设项目环境可行性分析</w:t>
            </w:r>
            <w:r>
              <w:rPr>
                <w:rFonts w:ascii="SimSun" w:hAnsi="SimSun" w:eastAsia="SimSun" w:cs="SimSun"/>
                <w:sz w:val="24"/>
                <w:szCs w:val="24"/>
                <w:spacing w:val="-61"/>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280</w:t>
            </w:r>
          </w:hyperlink>
        </w:p>
        <w:p>
          <w:pPr>
            <w:ind w:left="988"/>
            <w:spacing w:before="153" w:line="219" w:lineRule="auto"/>
            <w:tabs>
              <w:tab w:val="right" w:leader="dot" w:pos="9072"/>
            </w:tabs>
            <w:rPr>
              <w:rFonts w:ascii="Times New Roman" w:hAnsi="Times New Roman" w:eastAsia="Times New Roman" w:cs="Times New Roman"/>
              <w:sz w:val="24"/>
              <w:szCs w:val="24"/>
            </w:rPr>
          </w:pPr>
          <w:hyperlink w:history="true" w:anchor="bookmark71">
            <w:r>
              <w:rPr>
                <w:rFonts w:ascii="Times New Roman" w:hAnsi="Times New Roman" w:eastAsia="Times New Roman" w:cs="Times New Roman"/>
                <w:sz w:val="24"/>
                <w:szCs w:val="24"/>
                <w:spacing w:val="-6"/>
              </w:rPr>
              <w:t>11.3</w:t>
            </w:r>
            <w:r>
              <w:rPr>
                <w:rFonts w:ascii="Times New Roman" w:hAnsi="Times New Roman" w:eastAsia="Times New Roman" w:cs="Times New Roman"/>
                <w:sz w:val="24"/>
                <w:szCs w:val="24"/>
                <w:spacing w:val="35"/>
                <w:w w:val="101"/>
              </w:rPr>
              <w:t xml:space="preserve"> </w:t>
            </w:r>
            <w:r>
              <w:rPr>
                <w:rFonts w:ascii="SimSun" w:hAnsi="SimSun" w:eastAsia="SimSun" w:cs="SimSun"/>
                <w:sz w:val="24"/>
                <w:szCs w:val="24"/>
                <w:spacing w:val="-6"/>
              </w:rPr>
              <w:t>区域环境质量现状</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283</w:t>
            </w:r>
          </w:hyperlink>
        </w:p>
        <w:p>
          <w:pPr>
            <w:ind w:left="988"/>
            <w:spacing w:before="154" w:line="220" w:lineRule="auto"/>
            <w:tabs>
              <w:tab w:val="right" w:leader="dot" w:pos="9072"/>
            </w:tabs>
            <w:rPr>
              <w:rFonts w:ascii="Times New Roman" w:hAnsi="Times New Roman" w:eastAsia="Times New Roman" w:cs="Times New Roman"/>
              <w:sz w:val="24"/>
              <w:szCs w:val="24"/>
            </w:rPr>
          </w:pPr>
          <w:hyperlink w:history="true" w:anchor="bookmark72">
            <w:r>
              <w:rPr>
                <w:rFonts w:ascii="Times New Roman" w:hAnsi="Times New Roman" w:eastAsia="Times New Roman" w:cs="Times New Roman"/>
                <w:sz w:val="24"/>
                <w:szCs w:val="24"/>
                <w:spacing w:val="-3"/>
              </w:rPr>
              <w:t>11.4 </w:t>
            </w:r>
            <w:r>
              <w:rPr>
                <w:rFonts w:ascii="SimSun" w:hAnsi="SimSun" w:eastAsia="SimSun" w:cs="SimSun"/>
                <w:sz w:val="24"/>
                <w:szCs w:val="24"/>
                <w:spacing w:val="-3"/>
              </w:rPr>
              <w:t>环境影响及保护措施</w:t>
            </w:r>
            <w:r>
              <w:rPr>
                <w:rFonts w:ascii="SimSun" w:hAnsi="SimSun" w:eastAsia="SimSun" w:cs="SimSun"/>
                <w:sz w:val="24"/>
                <w:szCs w:val="24"/>
                <w:spacing w:val="-67"/>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283</w:t>
            </w:r>
          </w:hyperlink>
        </w:p>
        <w:p>
          <w:pPr>
            <w:ind w:left="988"/>
            <w:spacing w:before="156" w:line="220" w:lineRule="auto"/>
            <w:tabs>
              <w:tab w:val="right" w:leader="dot" w:pos="9072"/>
            </w:tabs>
            <w:rPr>
              <w:rFonts w:ascii="Times New Roman" w:hAnsi="Times New Roman" w:eastAsia="Times New Roman" w:cs="Times New Roman"/>
              <w:sz w:val="24"/>
              <w:szCs w:val="24"/>
            </w:rPr>
          </w:pPr>
          <w:hyperlink w:history="true" w:anchor="bookmark73">
            <w:r>
              <w:rPr>
                <w:rFonts w:ascii="Times New Roman" w:hAnsi="Times New Roman" w:eastAsia="Times New Roman" w:cs="Times New Roman"/>
                <w:sz w:val="24"/>
                <w:szCs w:val="24"/>
                <w:spacing w:val="-3"/>
              </w:rPr>
              <w:t>11.5 </w:t>
            </w:r>
            <w:r>
              <w:rPr>
                <w:rFonts w:ascii="SimSun" w:hAnsi="SimSun" w:eastAsia="SimSun" w:cs="SimSun"/>
                <w:sz w:val="24"/>
                <w:szCs w:val="24"/>
                <w:spacing w:val="-3"/>
              </w:rPr>
              <w:t>环境影响经济损益分析</w:t>
            </w:r>
            <w:r>
              <w:rPr>
                <w:rFonts w:ascii="SimSun" w:hAnsi="SimSun" w:eastAsia="SimSun" w:cs="SimSun"/>
                <w:sz w:val="24"/>
                <w:szCs w:val="24"/>
                <w:spacing w:val="-64"/>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290</w:t>
            </w:r>
          </w:hyperlink>
        </w:p>
        <w:p>
          <w:pPr>
            <w:ind w:left="988"/>
            <w:spacing w:before="153" w:line="219" w:lineRule="auto"/>
            <w:tabs>
              <w:tab w:val="right" w:leader="dot" w:pos="9072"/>
            </w:tabs>
            <w:rPr>
              <w:rFonts w:ascii="Times New Roman" w:hAnsi="Times New Roman" w:eastAsia="Times New Roman" w:cs="Times New Roman"/>
              <w:sz w:val="24"/>
              <w:szCs w:val="24"/>
            </w:rPr>
          </w:pPr>
          <w:hyperlink w:history="true" w:anchor="bookmark74">
            <w:r>
              <w:rPr>
                <w:rFonts w:ascii="Times New Roman" w:hAnsi="Times New Roman" w:eastAsia="Times New Roman" w:cs="Times New Roman"/>
                <w:sz w:val="24"/>
                <w:szCs w:val="24"/>
                <w:spacing w:val="-7"/>
              </w:rPr>
              <w:t>11.6</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7"/>
              </w:rPr>
              <w:t>公众参与</w:t>
            </w:r>
            <w:r>
              <w:rPr>
                <w:rFonts w:ascii="SimSun" w:hAnsi="SimSun" w:eastAsia="SimSun" w:cs="SimSun"/>
                <w:sz w:val="24"/>
                <w:szCs w:val="24"/>
                <w:spacing w:val="-72"/>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290</w:t>
            </w:r>
          </w:hyperlink>
        </w:p>
        <w:p>
          <w:pPr>
            <w:ind w:left="988"/>
            <w:spacing w:before="155" w:line="220" w:lineRule="auto"/>
            <w:tabs>
              <w:tab w:val="right" w:leader="dot" w:pos="9072"/>
            </w:tabs>
            <w:rPr>
              <w:rFonts w:ascii="Times New Roman" w:hAnsi="Times New Roman" w:eastAsia="Times New Roman" w:cs="Times New Roman"/>
              <w:sz w:val="24"/>
              <w:szCs w:val="24"/>
            </w:rPr>
          </w:pPr>
          <w:hyperlink w:history="true" w:anchor="bookmark75">
            <w:r>
              <w:rPr>
                <w:rFonts w:ascii="Times New Roman" w:hAnsi="Times New Roman" w:eastAsia="Times New Roman" w:cs="Times New Roman"/>
                <w:sz w:val="24"/>
                <w:szCs w:val="24"/>
                <w:spacing w:val="-3"/>
              </w:rPr>
              <w:t>11.7 </w:t>
            </w:r>
            <w:r>
              <w:rPr>
                <w:rFonts w:ascii="SimSun" w:hAnsi="SimSun" w:eastAsia="SimSun" w:cs="SimSun"/>
                <w:sz w:val="24"/>
                <w:szCs w:val="24"/>
                <w:spacing w:val="-3"/>
              </w:rPr>
              <w:t>排污许可和总量控制</w:t>
            </w:r>
            <w:r>
              <w:rPr>
                <w:rFonts w:ascii="SimSun" w:hAnsi="SimSun" w:eastAsia="SimSun" w:cs="SimSun"/>
                <w:sz w:val="24"/>
                <w:szCs w:val="24"/>
                <w:spacing w:val="-67"/>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294</w:t>
            </w:r>
          </w:hyperlink>
        </w:p>
        <w:p>
          <w:pPr>
            <w:ind w:left="988"/>
            <w:spacing w:before="155" w:line="218" w:lineRule="auto"/>
            <w:tabs>
              <w:tab w:val="right" w:leader="dot" w:pos="9072"/>
            </w:tabs>
            <w:rPr>
              <w:rFonts w:ascii="Times New Roman" w:hAnsi="Times New Roman" w:eastAsia="Times New Roman" w:cs="Times New Roman"/>
              <w:sz w:val="24"/>
              <w:szCs w:val="24"/>
            </w:rPr>
          </w:pPr>
          <w:hyperlink w:history="true" w:anchor="bookmark76">
            <w:r>
              <w:rPr>
                <w:rFonts w:ascii="Times New Roman" w:hAnsi="Times New Roman" w:eastAsia="Times New Roman" w:cs="Times New Roman"/>
                <w:sz w:val="24"/>
                <w:szCs w:val="24"/>
                <w:spacing w:val="-3"/>
              </w:rPr>
              <w:t>11.8 </w:t>
            </w:r>
            <w:r>
              <w:rPr>
                <w:rFonts w:ascii="SimSun" w:hAnsi="SimSun" w:eastAsia="SimSun" w:cs="SimSun"/>
                <w:sz w:val="24"/>
                <w:szCs w:val="24"/>
                <w:spacing w:val="-3"/>
              </w:rPr>
              <w:t>环境影响评价结论</w:t>
            </w:r>
            <w:r>
              <w:rPr>
                <w:rFonts w:ascii="SimSun" w:hAnsi="SimSun" w:eastAsia="SimSun" w:cs="SimSun"/>
                <w:sz w:val="24"/>
                <w:szCs w:val="24"/>
                <w:spacing w:val="-70"/>
              </w:rPr>
              <w:t xml:space="preserve"> </w:t>
            </w:r>
            <w:r>
              <w:rPr>
                <w:rFonts w:ascii="SimSun" w:hAnsi="SimSun" w:eastAsia="SimSun" w:cs="SimSun"/>
                <w:sz w:val="24"/>
                <w:szCs w:val="24"/>
              </w:rPr>
              <w:tab/>
            </w:r>
            <w:r>
              <w:rPr>
                <w:rFonts w:ascii="SimSun" w:hAnsi="SimSun" w:eastAsia="SimSun" w:cs="SimSun"/>
                <w:sz w:val="24"/>
                <w:szCs w:val="24"/>
                <w:spacing w:val="-66"/>
              </w:rPr>
              <w:t xml:space="preserve"> </w:t>
            </w:r>
            <w:r>
              <w:rPr>
                <w:rFonts w:ascii="Times New Roman" w:hAnsi="Times New Roman" w:eastAsia="Times New Roman" w:cs="Times New Roman"/>
                <w:sz w:val="24"/>
                <w:szCs w:val="24"/>
                <w:spacing w:val="-2"/>
              </w:rPr>
              <w:t>294</w:t>
            </w:r>
          </w:hyperlink>
        </w:p>
      </w:sdtContent>
    </w:sdt>
    <w:p>
      <w:pPr>
        <w:pStyle w:val="BodyText"/>
        <w:spacing w:line="256" w:lineRule="auto"/>
        <w:rPr/>
      </w:pPr>
      <w:r/>
    </w:p>
    <w:p>
      <w:pPr>
        <w:pStyle w:val="BodyText"/>
        <w:spacing w:line="257" w:lineRule="auto"/>
        <w:rPr/>
      </w:pPr>
      <w:r/>
    </w:p>
    <w:p>
      <w:pPr>
        <w:ind w:left="508"/>
        <w:spacing w:before="78" w:line="219" w:lineRule="auto"/>
        <w:rPr>
          <w:rFonts w:ascii="SimSun" w:hAnsi="SimSun" w:eastAsia="SimSun" w:cs="SimSun"/>
          <w:sz w:val="24"/>
          <w:szCs w:val="24"/>
        </w:rPr>
      </w:pPr>
      <w:r>
        <w:rPr>
          <w:rFonts w:ascii="SimSun" w:hAnsi="SimSun" w:eastAsia="SimSun" w:cs="SimSun"/>
          <w:sz w:val="24"/>
          <w:szCs w:val="24"/>
          <w:spacing w:val="-11"/>
        </w:rPr>
        <w:t>附件</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11"/>
        </w:rPr>
        <w:t>委托书</w:t>
      </w:r>
    </w:p>
    <w:p>
      <w:pPr>
        <w:ind w:left="508"/>
        <w:spacing w:before="157" w:line="219"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项目备案文件</w:t>
      </w:r>
    </w:p>
    <w:p>
      <w:pPr>
        <w:ind w:left="508"/>
        <w:spacing w:before="155"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  </w:t>
      </w:r>
      <w:r>
        <w:rPr>
          <w:rFonts w:ascii="SimSun" w:hAnsi="SimSun" w:eastAsia="SimSun" w:cs="SimSun"/>
          <w:sz w:val="24"/>
          <w:szCs w:val="24"/>
          <w:spacing w:val="-5"/>
        </w:rPr>
        <w:t>采矿证</w:t>
      </w:r>
    </w:p>
    <w:p>
      <w:pPr>
        <w:ind w:right="4"/>
        <w:spacing w:before="154" w:line="219" w:lineRule="auto"/>
        <w:jc w:val="right"/>
        <w:rPr>
          <w:rFonts w:ascii="SimSun" w:hAnsi="SimSun" w:eastAsia="SimSun" w:cs="SimSun"/>
          <w:sz w:val="24"/>
          <w:szCs w:val="24"/>
        </w:rPr>
      </w:pPr>
      <w:r>
        <w:rPr>
          <w:rFonts w:ascii="SimSun" w:hAnsi="SimSun" w:eastAsia="SimSun" w:cs="SimSun"/>
          <w:sz w:val="24"/>
          <w:szCs w:val="24"/>
          <w:spacing w:val="2"/>
        </w:rPr>
        <w:t>附件</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关于内蒙古海州露天能源有限责任公司西乌珠穆沁旗白音华煤田四号露天</w:t>
      </w:r>
    </w:p>
    <w:p>
      <w:pPr>
        <w:ind w:left="507" w:right="4272" w:hanging="499"/>
        <w:spacing w:before="160" w:line="338" w:lineRule="auto"/>
        <w:rPr>
          <w:rFonts w:ascii="SimSun" w:hAnsi="SimSun" w:eastAsia="SimSun" w:cs="SimSun"/>
          <w:sz w:val="24"/>
          <w:szCs w:val="24"/>
        </w:rPr>
      </w:pPr>
      <w:r>
        <w:rPr>
          <w:rFonts w:ascii="SimSun" w:hAnsi="SimSun" w:eastAsia="SimSun" w:cs="SimSun"/>
          <w:sz w:val="24"/>
          <w:szCs w:val="24"/>
          <w:spacing w:val="-3"/>
        </w:rPr>
        <w:t>矿矿区范围是否涉及“三区三线</w:t>
      </w:r>
      <w:r>
        <w:rPr>
          <w:rFonts w:ascii="SimSun" w:hAnsi="SimSun" w:eastAsia="SimSun" w:cs="SimSun"/>
          <w:sz w:val="24"/>
          <w:szCs w:val="24"/>
          <w:spacing w:val="-70"/>
        </w:rPr>
        <w:t xml:space="preserve"> </w:t>
      </w:r>
      <w:r>
        <w:rPr>
          <w:rFonts w:ascii="SimSun" w:hAnsi="SimSun" w:eastAsia="SimSun" w:cs="SimSun"/>
          <w:sz w:val="24"/>
          <w:szCs w:val="24"/>
          <w:spacing w:val="-3"/>
        </w:rPr>
        <w:t>”情况的复函</w:t>
      </w:r>
      <w:r>
        <w:rPr>
          <w:rFonts w:ascii="SimSun" w:hAnsi="SimSun" w:eastAsia="SimSun" w:cs="SimSun"/>
          <w:sz w:val="24"/>
          <w:szCs w:val="24"/>
          <w:spacing w:val="-3"/>
        </w:rPr>
        <w:t>附件</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关于基本草原和公益林地的复函</w:t>
      </w:r>
      <w:r>
        <w:rPr>
          <w:rFonts w:ascii="SimSun" w:hAnsi="SimSun" w:eastAsia="SimSun" w:cs="SimSun"/>
          <w:sz w:val="24"/>
          <w:szCs w:val="24"/>
          <w:spacing w:val="-3"/>
        </w:rPr>
        <w:t>附件</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  </w:t>
      </w:r>
      <w:r>
        <w:rPr>
          <w:rFonts w:ascii="SimSun" w:hAnsi="SimSun" w:eastAsia="SimSun" w:cs="SimSun"/>
          <w:sz w:val="24"/>
          <w:szCs w:val="24"/>
          <w:spacing w:val="-3"/>
        </w:rPr>
        <w:t>是否压占文物复函</w:t>
      </w:r>
    </w:p>
    <w:p>
      <w:pPr>
        <w:ind w:left="508"/>
        <w:spacing w:line="218"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可研评审意见</w:t>
      </w:r>
    </w:p>
    <w:p>
      <w:pPr>
        <w:ind w:left="508"/>
        <w:spacing w:before="155"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5"/>
        </w:rPr>
        <w:t>8</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5"/>
        </w:rPr>
        <w:t>白音华矿区总体规划环评审查意见</w:t>
      </w:r>
    </w:p>
    <w:p>
      <w:pPr>
        <w:ind w:left="508"/>
        <w:spacing w:before="154" w:line="219"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44"/>
          <w:w w:val="101"/>
        </w:rPr>
        <w:t xml:space="preserve"> </w:t>
      </w:r>
      <w:r>
        <w:rPr>
          <w:rFonts w:ascii="SimSun" w:hAnsi="SimSun" w:eastAsia="SimSun" w:cs="SimSun"/>
          <w:sz w:val="24"/>
          <w:szCs w:val="24"/>
          <w:spacing w:val="-4"/>
        </w:rPr>
        <w:t>白音华四号露天矿一期（露天矿）环评批复</w:t>
      </w:r>
    </w:p>
    <w:p>
      <w:pPr>
        <w:ind w:left="508"/>
        <w:spacing w:before="157"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5"/>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四号露天矿一期（露天矿）验收合格函</w:t>
      </w:r>
    </w:p>
    <w:p>
      <w:pPr>
        <w:ind w:left="508"/>
        <w:spacing w:before="155" w:line="219" w:lineRule="auto"/>
        <w:rPr>
          <w:rFonts w:ascii="SimSun" w:hAnsi="SimSun" w:eastAsia="SimSun" w:cs="SimSun"/>
          <w:sz w:val="24"/>
          <w:szCs w:val="24"/>
        </w:rPr>
      </w:pPr>
      <w:r>
        <w:rPr>
          <w:rFonts w:ascii="SimSun" w:hAnsi="SimSun" w:eastAsia="SimSun" w:cs="SimSun"/>
          <w:sz w:val="24"/>
          <w:szCs w:val="24"/>
          <w:spacing w:val="-7"/>
        </w:rPr>
        <w:t>附件</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7"/>
        </w:rPr>
        <w:t>11</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7"/>
        </w:rPr>
        <w:t>白音华四号露天矿二期（</w:t>
      </w:r>
      <w:r>
        <w:rPr>
          <w:rFonts w:ascii="SimSun" w:hAnsi="SimSun" w:eastAsia="SimSun" w:cs="SimSun"/>
          <w:sz w:val="24"/>
          <w:szCs w:val="24"/>
          <w:spacing w:val="44"/>
        </w:rPr>
        <w:t xml:space="preserve"> </w:t>
      </w:r>
      <w:r>
        <w:rPr>
          <w:rFonts w:ascii="SimSun" w:hAnsi="SimSun" w:eastAsia="SimSun" w:cs="SimSun"/>
          <w:sz w:val="24"/>
          <w:szCs w:val="24"/>
          <w:spacing w:val="-7"/>
        </w:rPr>
        <w:t>井工矿）环评批复</w:t>
      </w:r>
    </w:p>
    <w:p>
      <w:pPr>
        <w:ind w:left="508"/>
        <w:spacing w:before="154"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5"/>
        </w:rPr>
        <w:t>白音华四号露天矿二期（井工矿）验收意见</w:t>
      </w:r>
    </w:p>
    <w:p>
      <w:pPr>
        <w:ind w:left="508"/>
        <w:spacing w:before="157" w:line="219" w:lineRule="auto"/>
        <w:rPr>
          <w:rFonts w:ascii="SimSun" w:hAnsi="SimSun" w:eastAsia="SimSun" w:cs="SimSun"/>
          <w:sz w:val="24"/>
          <w:szCs w:val="24"/>
        </w:rPr>
      </w:pPr>
      <w:r>
        <w:rPr>
          <w:rFonts w:ascii="SimSun" w:hAnsi="SimSun" w:eastAsia="SimSun" w:cs="SimSun"/>
          <w:sz w:val="24"/>
          <w:szCs w:val="24"/>
          <w:spacing w:val="-3"/>
        </w:rPr>
        <w:t>附件</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3"/>
        </w:rPr>
        <w:t>13 </w:t>
      </w:r>
      <w:r>
        <w:rPr>
          <w:rFonts w:ascii="SimSun" w:hAnsi="SimSun" w:eastAsia="SimSun" w:cs="SimSun"/>
          <w:sz w:val="24"/>
          <w:szCs w:val="24"/>
          <w:spacing w:val="-3"/>
        </w:rPr>
        <w:t>二期工程核增生产能力有关事项的函</w:t>
      </w:r>
    </w:p>
    <w:p>
      <w:pPr>
        <w:ind w:left="9" w:firstLine="498"/>
        <w:spacing w:before="155" w:line="339"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w:t>
      </w:r>
      <w:r>
        <w:rPr>
          <w:rFonts w:ascii="SimSun" w:hAnsi="SimSun" w:eastAsia="SimSun" w:cs="SimSun"/>
          <w:sz w:val="24"/>
          <w:szCs w:val="24"/>
          <w:spacing w:val="-4"/>
        </w:rPr>
        <w:t>《内蒙古自治区生态环境厅关于白</w:t>
      </w:r>
      <w:r>
        <w:rPr>
          <w:rFonts w:ascii="SimSun" w:hAnsi="SimSun" w:eastAsia="SimSun" w:cs="SimSun"/>
          <w:sz w:val="24"/>
          <w:szCs w:val="24"/>
          <w:spacing w:val="-5"/>
        </w:rPr>
        <w:t>音华四号露天矿二期工程（井工矿）环境</w:t>
      </w:r>
      <w:r>
        <w:rPr>
          <w:rFonts w:ascii="SimSun" w:hAnsi="SimSun" w:eastAsia="SimSun" w:cs="SimSun"/>
          <w:sz w:val="24"/>
          <w:szCs w:val="24"/>
          <w:spacing w:val="-1"/>
        </w:rPr>
        <w:t>影响后评价报告书相关事宜的复函》</w:t>
      </w:r>
    </w:p>
    <w:p>
      <w:pPr>
        <w:ind w:left="508"/>
        <w:spacing w:line="218"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5"/>
        </w:rPr>
        <w:t>15 </w:t>
      </w:r>
      <w:r>
        <w:rPr>
          <w:rFonts w:ascii="SimSun" w:hAnsi="SimSun" w:eastAsia="SimSun" w:cs="SimSun"/>
          <w:sz w:val="24"/>
          <w:szCs w:val="24"/>
          <w:spacing w:val="-5"/>
        </w:rPr>
        <w:t>危废暂存间环评批复</w:t>
      </w:r>
    </w:p>
    <w:p>
      <w:pPr>
        <w:ind w:left="508"/>
        <w:spacing w:before="155" w:line="219"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16  </w:t>
      </w:r>
      <w:r>
        <w:rPr>
          <w:rFonts w:ascii="SimSun" w:hAnsi="SimSun" w:eastAsia="SimSun" w:cs="SimSun"/>
          <w:sz w:val="24"/>
          <w:szCs w:val="24"/>
          <w:spacing w:val="-4"/>
        </w:rPr>
        <w:t>危废暂存间竣工验收意见</w:t>
      </w:r>
    </w:p>
    <w:p>
      <w:pPr>
        <w:ind w:left="508"/>
        <w:spacing w:before="154"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5"/>
        </w:rPr>
        <w:t>17  </w:t>
      </w:r>
      <w:r>
        <w:rPr>
          <w:rFonts w:ascii="SimSun" w:hAnsi="SimSun" w:eastAsia="SimSun" w:cs="SimSun"/>
          <w:sz w:val="24"/>
          <w:szCs w:val="24"/>
          <w:spacing w:val="-5"/>
        </w:rPr>
        <w:t>金山电厂供暖协议</w:t>
      </w:r>
    </w:p>
    <w:p>
      <w:pPr>
        <w:ind w:left="508"/>
        <w:spacing w:before="157" w:line="219" w:lineRule="auto"/>
        <w:rPr>
          <w:rFonts w:ascii="SimSun" w:hAnsi="SimSun" w:eastAsia="SimSun" w:cs="SimSun"/>
          <w:sz w:val="24"/>
          <w:szCs w:val="24"/>
        </w:rPr>
      </w:pPr>
      <w:r>
        <w:rPr>
          <w:rFonts w:ascii="SimSun" w:hAnsi="SimSun" w:eastAsia="SimSun" w:cs="SimSun"/>
          <w:sz w:val="24"/>
          <w:szCs w:val="24"/>
          <w:spacing w:val="-4"/>
        </w:rPr>
        <w:t>附件</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18  </w:t>
      </w:r>
      <w:r>
        <w:rPr>
          <w:rFonts w:ascii="SimSun" w:hAnsi="SimSun" w:eastAsia="SimSun" w:cs="SimSun"/>
          <w:sz w:val="24"/>
          <w:szCs w:val="24"/>
          <w:spacing w:val="-4"/>
        </w:rPr>
        <w:t>金山电厂供用水协议</w:t>
      </w:r>
    </w:p>
    <w:p>
      <w:pPr>
        <w:spacing w:line="219" w:lineRule="auto"/>
        <w:sectPr>
          <w:pgSz w:w="11906" w:h="16838"/>
          <w:pgMar w:top="1114" w:right="1417" w:bottom="0" w:left="1416" w:header="837" w:footer="0" w:gutter="0"/>
        </w:sectPr>
        <w:rPr>
          <w:rFonts w:ascii="SimSun" w:hAnsi="SimSun" w:eastAsia="SimSun" w:cs="SimSun"/>
          <w:sz w:val="24"/>
          <w:szCs w:val="24"/>
        </w:rPr>
      </w:pPr>
    </w:p>
    <w:p>
      <w:pPr>
        <w:pStyle w:val="BodyText"/>
        <w:spacing w:line="367" w:lineRule="auto"/>
        <w:rPr/>
      </w:pPr>
      <w:r/>
    </w:p>
    <w:p>
      <w:pPr>
        <w:ind w:left="508"/>
        <w:spacing w:before="78" w:line="219" w:lineRule="auto"/>
        <w:outlineLvl w:val="0"/>
        <w:rPr>
          <w:rFonts w:ascii="SimSun" w:hAnsi="SimSun" w:eastAsia="SimSun" w:cs="SimSun"/>
          <w:sz w:val="24"/>
          <w:szCs w:val="24"/>
        </w:rPr>
      </w:pPr>
      <w:bookmarkStart w:name="bookmark77" w:id="4"/>
      <w:bookmarkEnd w:id="4"/>
      <w:bookmarkStart w:name="bookmark8" w:id="5"/>
      <w:bookmarkEnd w:id="5"/>
      <w:bookmarkStart w:name="bookmark9" w:id="6"/>
      <w:bookmarkEnd w:id="6"/>
      <w:r>
        <w:rPr>
          <w:rFonts w:ascii="SimSun" w:hAnsi="SimSun" w:eastAsia="SimSun" w:cs="SimSun"/>
          <w:sz w:val="24"/>
          <w:szCs w:val="24"/>
          <w:spacing w:val="-5"/>
        </w:rPr>
        <w:t>附件</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5"/>
        </w:rPr>
        <w:t>19  </w:t>
      </w:r>
      <w:r>
        <w:rPr>
          <w:rFonts w:ascii="SimSun" w:hAnsi="SimSun" w:eastAsia="SimSun" w:cs="SimSun"/>
          <w:sz w:val="24"/>
          <w:szCs w:val="24"/>
          <w:spacing w:val="-5"/>
        </w:rPr>
        <w:t>危废处置协议</w:t>
      </w:r>
    </w:p>
    <w:p>
      <w:pPr>
        <w:ind w:left="508" w:right="252"/>
        <w:spacing w:before="157" w:line="338" w:lineRule="auto"/>
        <w:rPr>
          <w:rFonts w:ascii="SimSun" w:hAnsi="SimSun" w:eastAsia="SimSun" w:cs="SimSun"/>
          <w:sz w:val="24"/>
          <w:szCs w:val="24"/>
        </w:rPr>
      </w:pPr>
      <w:r>
        <w:rPr>
          <w:rFonts w:ascii="SimSun" w:hAnsi="SimSun" w:eastAsia="SimSun" w:cs="SimSun"/>
          <w:sz w:val="24"/>
          <w:szCs w:val="24"/>
          <w:spacing w:val="-2"/>
        </w:rPr>
        <w:t>附件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2"/>
        </w:rPr>
        <w:t>内蒙古自治区矿山地质环境保护与恢复治理及土地复垦工程验收</w:t>
      </w:r>
      <w:r>
        <w:rPr>
          <w:rFonts w:ascii="SimSun" w:hAnsi="SimSun" w:eastAsia="SimSun" w:cs="SimSun"/>
          <w:sz w:val="24"/>
          <w:szCs w:val="24"/>
          <w:spacing w:val="-3"/>
        </w:rPr>
        <w:t>意见书</w:t>
      </w:r>
      <w:r>
        <w:rPr>
          <w:rFonts w:ascii="SimSun" w:hAnsi="SimSun" w:eastAsia="SimSun" w:cs="SimSun"/>
          <w:sz w:val="24"/>
          <w:szCs w:val="24"/>
          <w:spacing w:val="-1"/>
        </w:rPr>
        <w:t>附件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21  </w:t>
      </w:r>
      <w:r>
        <w:rPr>
          <w:rFonts w:ascii="SimSun" w:hAnsi="SimSun" w:eastAsia="SimSun" w:cs="SimSun"/>
          <w:sz w:val="24"/>
          <w:szCs w:val="24"/>
          <w:spacing w:val="-1"/>
        </w:rPr>
        <w:t>转让土地使用权及处置地上资</w:t>
      </w:r>
      <w:r>
        <w:rPr>
          <w:rFonts w:ascii="SimSun" w:hAnsi="SimSun" w:eastAsia="SimSun" w:cs="SimSun"/>
          <w:sz w:val="24"/>
          <w:szCs w:val="24"/>
          <w:spacing w:val="-2"/>
        </w:rPr>
        <w:t>产草签意向性协议</w:t>
      </w:r>
    </w:p>
    <w:p>
      <w:pPr>
        <w:ind w:left="508"/>
        <w:spacing w:line="218"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5"/>
        </w:rPr>
        <w:t>22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四号露天矿建设用地的批复</w:t>
      </w:r>
    </w:p>
    <w:p>
      <w:pPr>
        <w:ind w:left="508"/>
        <w:spacing w:before="157" w:line="218" w:lineRule="auto"/>
        <w:rPr>
          <w:rFonts w:ascii="SimSun" w:hAnsi="SimSun" w:eastAsia="SimSun" w:cs="SimSun"/>
          <w:sz w:val="24"/>
          <w:szCs w:val="24"/>
        </w:rPr>
      </w:pPr>
      <w:r>
        <w:rPr>
          <w:rFonts w:ascii="SimSun" w:hAnsi="SimSun" w:eastAsia="SimSun" w:cs="SimSun"/>
          <w:sz w:val="24"/>
          <w:szCs w:val="24"/>
          <w:spacing w:val="-3"/>
        </w:rPr>
        <w:t>附件</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23  </w:t>
      </w:r>
      <w:r>
        <w:rPr>
          <w:rFonts w:ascii="SimSun" w:hAnsi="SimSun" w:eastAsia="SimSun" w:cs="SimSun"/>
          <w:sz w:val="24"/>
          <w:szCs w:val="24"/>
          <w:spacing w:val="-3"/>
        </w:rPr>
        <w:t>项目监测报告</w:t>
      </w:r>
    </w:p>
    <w:p>
      <w:pPr>
        <w:ind w:left="508"/>
        <w:spacing w:before="155" w:line="219" w:lineRule="auto"/>
        <w:rPr>
          <w:rFonts w:ascii="SimSun" w:hAnsi="SimSun" w:eastAsia="SimSun" w:cs="SimSun"/>
          <w:sz w:val="24"/>
          <w:szCs w:val="24"/>
        </w:rPr>
      </w:pPr>
      <w:r>
        <w:rPr>
          <w:rFonts w:ascii="SimSun" w:hAnsi="SimSun" w:eastAsia="SimSun" w:cs="SimSun"/>
          <w:sz w:val="24"/>
          <w:szCs w:val="24"/>
          <w:spacing w:val="-5"/>
        </w:rPr>
        <w:t>附件</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24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固定污染源排污登记表</w:t>
      </w:r>
    </w:p>
    <w:p>
      <w:pPr>
        <w:ind w:left="9" w:right="2" w:firstLine="498"/>
        <w:spacing w:before="154" w:line="339" w:lineRule="auto"/>
        <w:rPr>
          <w:rFonts w:ascii="SimSun" w:hAnsi="SimSun" w:eastAsia="SimSun" w:cs="SimSun"/>
          <w:sz w:val="24"/>
          <w:szCs w:val="24"/>
        </w:rPr>
      </w:pPr>
      <w:r>
        <w:rPr>
          <w:rFonts w:ascii="SimSun" w:hAnsi="SimSun" w:eastAsia="SimSun" w:cs="SimSun"/>
          <w:sz w:val="24"/>
          <w:szCs w:val="24"/>
          <w:spacing w:val="-1"/>
        </w:rPr>
        <w:t>附件</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25  </w:t>
      </w:r>
      <w:r>
        <w:rPr>
          <w:rFonts w:ascii="SimSun" w:hAnsi="SimSun" w:eastAsia="SimSun" w:cs="SimSun"/>
          <w:sz w:val="24"/>
          <w:szCs w:val="24"/>
          <w:spacing w:val="-1"/>
        </w:rPr>
        <w:t>关于《内蒙古自治区西乌珠穆沁旗白音华煤炭矿区总体规划（修编）环境</w:t>
      </w:r>
      <w:r>
        <w:rPr>
          <w:rFonts w:ascii="SimSun" w:hAnsi="SimSun" w:eastAsia="SimSun" w:cs="SimSun"/>
          <w:sz w:val="24"/>
          <w:szCs w:val="24"/>
          <w:spacing w:val="-1"/>
        </w:rPr>
        <w:t>影响补充报告》有关意见的复函</w:t>
      </w:r>
    </w:p>
    <w:p>
      <w:pPr>
        <w:ind w:left="508"/>
        <w:spacing w:before="1" w:line="218" w:lineRule="auto"/>
        <w:rPr>
          <w:rFonts w:ascii="SimSun" w:hAnsi="SimSun" w:eastAsia="SimSun" w:cs="SimSun"/>
          <w:sz w:val="24"/>
          <w:szCs w:val="24"/>
        </w:rPr>
      </w:pPr>
      <w:r>
        <w:rPr>
          <w:rFonts w:ascii="SimSun" w:hAnsi="SimSun" w:eastAsia="SimSun" w:cs="SimSun"/>
          <w:sz w:val="24"/>
          <w:szCs w:val="24"/>
          <w:spacing w:val="-2"/>
        </w:rPr>
        <w:t>附件</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26  </w:t>
      </w:r>
      <w:r>
        <w:rPr>
          <w:rFonts w:ascii="SimSun" w:hAnsi="SimSun" w:eastAsia="SimSun" w:cs="SimSun"/>
          <w:sz w:val="24"/>
          <w:szCs w:val="24"/>
          <w:spacing w:val="-2"/>
        </w:rPr>
        <w:t>纳入自治区级绿色矿山名录矿山名单</w:t>
      </w:r>
    </w:p>
    <w:p>
      <w:pPr>
        <w:ind w:left="508"/>
        <w:spacing w:before="154" w:line="219" w:lineRule="auto"/>
        <w:rPr>
          <w:rFonts w:ascii="SimSun" w:hAnsi="SimSun" w:eastAsia="SimSun" w:cs="SimSun"/>
          <w:sz w:val="24"/>
          <w:szCs w:val="24"/>
        </w:rPr>
      </w:pPr>
      <w:r>
        <w:rPr>
          <w:rFonts w:ascii="SimSun" w:hAnsi="SimSun" w:eastAsia="SimSun" w:cs="SimSun"/>
          <w:sz w:val="24"/>
          <w:szCs w:val="24"/>
          <w:spacing w:val="-3"/>
        </w:rPr>
        <w:t>附件</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27  </w:t>
      </w:r>
      <w:r>
        <w:rPr>
          <w:rFonts w:ascii="SimSun" w:hAnsi="SimSun" w:eastAsia="SimSun" w:cs="SimSun"/>
          <w:sz w:val="24"/>
          <w:szCs w:val="24"/>
          <w:spacing w:val="-3"/>
        </w:rPr>
        <w:t>土地复垦验收意见书</w:t>
      </w:r>
    </w:p>
    <w:p>
      <w:pPr>
        <w:spacing w:line="219" w:lineRule="auto"/>
        <w:sectPr>
          <w:pgSz w:w="11906" w:h="16838"/>
          <w:pgMar w:top="1114" w:right="1417" w:bottom="0" w:left="1416" w:header="837" w:footer="0" w:gutter="0"/>
        </w:sectPr>
        <w:rPr>
          <w:rFonts w:ascii="SimSun" w:hAnsi="SimSun" w:eastAsia="SimSun" w:cs="SimSun"/>
          <w:sz w:val="24"/>
          <w:szCs w:val="24"/>
        </w:rPr>
      </w:pPr>
    </w:p>
    <w:p>
      <w:pPr>
        <w:pStyle w:val="BodyText"/>
        <w:spacing w:line="269" w:lineRule="auto"/>
        <w:rPr/>
      </w:pPr>
      <w:r/>
    </w:p>
    <w:p>
      <w:pPr>
        <w:pStyle w:val="BodyText"/>
        <w:spacing w:line="269" w:lineRule="auto"/>
        <w:rPr/>
      </w:pPr>
      <w:r/>
    </w:p>
    <w:p>
      <w:pPr>
        <w:ind w:left="4083"/>
        <w:spacing w:before="117" w:line="221" w:lineRule="auto"/>
        <w:outlineLvl w:val="0"/>
        <w:rPr>
          <w:rFonts w:ascii="SimHei" w:hAnsi="SimHei" w:eastAsia="SimHei" w:cs="SimHei"/>
          <w:sz w:val="36"/>
          <w:szCs w:val="36"/>
        </w:rPr>
      </w:pPr>
      <w:bookmarkStart w:name="bookmark2" w:id="7"/>
      <w:bookmarkEnd w:id="7"/>
      <w:r>
        <w:rPr>
          <w:rFonts w:ascii="Times New Roman" w:hAnsi="Times New Roman" w:eastAsia="Times New Roman" w:cs="Times New Roman"/>
          <w:sz w:val="36"/>
          <w:szCs w:val="36"/>
          <w:spacing w:val="-18"/>
        </w:rPr>
        <w:t>1</w:t>
      </w:r>
      <w:r>
        <w:rPr>
          <w:rFonts w:ascii="Times New Roman" w:hAnsi="Times New Roman" w:eastAsia="Times New Roman" w:cs="Times New Roman"/>
          <w:sz w:val="36"/>
          <w:szCs w:val="36"/>
          <w:spacing w:val="12"/>
        </w:rPr>
        <w:t xml:space="preserve"> </w:t>
      </w:r>
      <w:r>
        <w:rPr>
          <w:rFonts w:ascii="SimHei" w:hAnsi="SimHei" w:eastAsia="SimHei" w:cs="SimHei"/>
          <w:sz w:val="36"/>
          <w:szCs w:val="36"/>
          <w:spacing w:val="-18"/>
        </w:rPr>
        <w:t>概述</w:t>
      </w:r>
    </w:p>
    <w:p>
      <w:pPr>
        <w:pStyle w:val="BodyText"/>
        <w:spacing w:line="458" w:lineRule="auto"/>
        <w:rPr/>
      </w:pPr>
      <w:r/>
    </w:p>
    <w:p>
      <w:pPr>
        <w:ind w:left="19"/>
        <w:spacing w:before="97" w:line="222" w:lineRule="auto"/>
        <w:outlineLvl w:val="1"/>
        <w:rPr>
          <w:rFonts w:ascii="SimHei" w:hAnsi="SimHei" w:eastAsia="SimHei" w:cs="SimHei"/>
          <w:sz w:val="30"/>
          <w:szCs w:val="30"/>
        </w:rPr>
      </w:pPr>
      <w:bookmarkStart w:name="bookmark3" w:id="8"/>
      <w:bookmarkEnd w:id="8"/>
      <w:r>
        <w:rPr>
          <w:rFonts w:ascii="Times New Roman" w:hAnsi="Times New Roman" w:eastAsia="Times New Roman" w:cs="Times New Roman"/>
          <w:sz w:val="30"/>
          <w:szCs w:val="30"/>
          <w:b/>
          <w:bCs/>
          <w:spacing w:val="-7"/>
        </w:rPr>
        <w:t>1.1</w:t>
      </w:r>
      <w:r>
        <w:rPr>
          <w:rFonts w:ascii="Times New Roman" w:hAnsi="Times New Roman" w:eastAsia="Times New Roman" w:cs="Times New Roman"/>
          <w:sz w:val="30"/>
          <w:szCs w:val="30"/>
          <w:b/>
          <w:bCs/>
          <w:spacing w:val="9"/>
        </w:rPr>
        <w:t xml:space="preserve">  </w:t>
      </w:r>
      <w:r>
        <w:rPr>
          <w:rFonts w:ascii="SimHei" w:hAnsi="SimHei" w:eastAsia="SimHei" w:cs="SimHei"/>
          <w:sz w:val="30"/>
          <w:szCs w:val="30"/>
          <w:b/>
          <w:bCs/>
          <w:spacing w:val="-7"/>
        </w:rPr>
        <w:t>项目由来</w:t>
      </w:r>
    </w:p>
    <w:p>
      <w:pPr>
        <w:ind w:left="3" w:right="80" w:firstLine="513"/>
        <w:spacing w:before="165" w:line="333" w:lineRule="auto"/>
        <w:jc w:val="both"/>
        <w:rPr>
          <w:rFonts w:ascii="SimSun" w:hAnsi="SimSun" w:eastAsia="SimSun" w:cs="SimSun"/>
          <w:sz w:val="24"/>
          <w:szCs w:val="24"/>
        </w:rPr>
      </w:pPr>
      <w:r>
        <w:rPr>
          <w:rFonts w:ascii="SimSun" w:hAnsi="SimSun" w:eastAsia="SimSun" w:cs="SimSun"/>
          <w:sz w:val="24"/>
          <w:szCs w:val="24"/>
          <w:spacing w:val="-2"/>
        </w:rPr>
        <w:t>白音华煤田四号露天矿是由内蒙古海州露天能源有限责任公</w:t>
      </w:r>
      <w:r>
        <w:rPr>
          <w:rFonts w:ascii="SimSun" w:hAnsi="SimSun" w:eastAsia="SimSun" w:cs="SimSun"/>
          <w:sz w:val="24"/>
          <w:szCs w:val="24"/>
          <w:spacing w:val="-3"/>
        </w:rPr>
        <w:t>司投资建设。位于内蒙</w:t>
      </w:r>
      <w:r>
        <w:rPr>
          <w:rFonts w:ascii="SimSun" w:hAnsi="SimSun" w:eastAsia="SimSun" w:cs="SimSun"/>
          <w:sz w:val="24"/>
          <w:szCs w:val="24"/>
          <w:spacing w:val="4"/>
        </w:rPr>
        <w:t>古自治区锡林郭勒盟境内，行政区划隶属</w:t>
      </w:r>
      <w:r>
        <w:rPr>
          <w:rFonts w:ascii="SimSun" w:hAnsi="SimSun" w:eastAsia="SimSun" w:cs="SimSun"/>
          <w:sz w:val="24"/>
          <w:szCs w:val="24"/>
          <w:spacing w:val="-53"/>
        </w:rPr>
        <w:t xml:space="preserve"> </w:t>
      </w:r>
      <w:r>
        <w:rPr>
          <w:rFonts w:ascii="SimSun" w:hAnsi="SimSun" w:eastAsia="SimSun" w:cs="SimSun"/>
          <w:sz w:val="24"/>
          <w:szCs w:val="24"/>
          <w:spacing w:val="4"/>
        </w:rPr>
        <w:t>内蒙古</w:t>
      </w:r>
      <w:r>
        <w:rPr>
          <w:rFonts w:ascii="SimSun" w:hAnsi="SimSun" w:eastAsia="SimSun" w:cs="SimSun"/>
          <w:sz w:val="24"/>
          <w:szCs w:val="24"/>
          <w:spacing w:val="-48"/>
        </w:rPr>
        <w:t xml:space="preserve"> </w:t>
      </w:r>
      <w:r>
        <w:rPr>
          <w:rFonts w:ascii="SimSun" w:hAnsi="SimSun" w:eastAsia="SimSun" w:cs="SimSun"/>
          <w:sz w:val="24"/>
          <w:szCs w:val="24"/>
          <w:spacing w:val="4"/>
        </w:rPr>
        <w:t>自治</w:t>
      </w:r>
      <w:r>
        <w:rPr>
          <w:rFonts w:ascii="SimSun" w:hAnsi="SimSun" w:eastAsia="SimSun" w:cs="SimSun"/>
          <w:sz w:val="24"/>
          <w:szCs w:val="24"/>
          <w:spacing w:val="-69"/>
        </w:rPr>
        <w:t xml:space="preserve"> </w:t>
      </w:r>
      <w:r>
        <w:rPr>
          <w:rFonts w:ascii="SimSun" w:hAnsi="SimSun" w:eastAsia="SimSun" w:cs="SimSun"/>
          <w:sz w:val="24"/>
          <w:szCs w:val="24"/>
          <w:spacing w:val="4"/>
        </w:rPr>
        <w:t>区锡林郭勒盟西乌珠穆沁旗</w:t>
      </w:r>
      <w:r>
        <w:rPr>
          <w:rFonts w:ascii="SimSun" w:hAnsi="SimSun" w:eastAsia="SimSun" w:cs="SimSun"/>
          <w:sz w:val="24"/>
          <w:szCs w:val="24"/>
          <w:spacing w:val="-51"/>
        </w:rPr>
        <w:t xml:space="preserve"> </w:t>
      </w:r>
      <w:r>
        <w:rPr>
          <w:rFonts w:ascii="SimSun" w:hAnsi="SimSun" w:eastAsia="SimSun" w:cs="SimSun"/>
          <w:sz w:val="24"/>
          <w:szCs w:val="24"/>
          <w:spacing w:val="4"/>
        </w:rPr>
        <w:t>白</w:t>
      </w:r>
      <w:r>
        <w:rPr>
          <w:rFonts w:ascii="SimSun" w:hAnsi="SimSun" w:eastAsia="SimSun" w:cs="SimSun"/>
          <w:sz w:val="24"/>
          <w:szCs w:val="24"/>
          <w:spacing w:val="1"/>
        </w:rPr>
        <w:t>音华苏木管辖</w:t>
      </w:r>
      <w:r>
        <w:rPr>
          <w:rFonts w:ascii="SimSun" w:hAnsi="SimSun" w:eastAsia="SimSun" w:cs="SimSun"/>
          <w:sz w:val="24"/>
          <w:szCs w:val="24"/>
          <w:spacing w:val="-54"/>
        </w:rPr>
        <w:t xml:space="preserve"> </w:t>
      </w:r>
      <w:r>
        <w:rPr>
          <w:rFonts w:ascii="SimSun" w:hAnsi="SimSun" w:eastAsia="SimSun" w:cs="SimSun"/>
          <w:sz w:val="24"/>
          <w:szCs w:val="24"/>
          <w:spacing w:val="1"/>
        </w:rPr>
        <w:t>，地理坐标位于东经</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1"/>
        </w:rPr>
        <w:t>118°36′47.68″</w:t>
      </w:r>
      <w:r>
        <w:rPr>
          <w:rFonts w:ascii="SimSun" w:hAnsi="SimSun" w:eastAsia="SimSun" w:cs="SimSun"/>
          <w:sz w:val="24"/>
          <w:szCs w:val="24"/>
          <w:spacing w:val="1"/>
        </w:rPr>
        <w:t>～</w:t>
      </w:r>
      <w:r>
        <w:rPr>
          <w:rFonts w:ascii="Times New Roman" w:hAnsi="Times New Roman" w:eastAsia="Times New Roman" w:cs="Times New Roman"/>
          <w:sz w:val="24"/>
          <w:szCs w:val="24"/>
          <w:spacing w:val="1"/>
        </w:rPr>
        <w:t>118°41′32.68″</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，北纬</w:t>
      </w:r>
      <w:r>
        <w:rPr>
          <w:rFonts w:ascii="Times New Roman" w:hAnsi="Times New Roman" w:eastAsia="Times New Roman" w:cs="Times New Roman"/>
          <w:sz w:val="24"/>
          <w:szCs w:val="24"/>
          <w:spacing w:val="1"/>
        </w:rPr>
        <w:t>44°56′31.55″</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7"/>
        </w:rPr>
        <w:t>45°00′46.56″</w:t>
      </w:r>
      <w:r>
        <w:rPr>
          <w:rFonts w:ascii="SimSun" w:hAnsi="SimSun" w:eastAsia="SimSun" w:cs="SimSun"/>
          <w:sz w:val="24"/>
          <w:szCs w:val="24"/>
          <w:spacing w:val="-7"/>
        </w:rPr>
        <w:t>。</w:t>
      </w:r>
    </w:p>
    <w:p>
      <w:pPr>
        <w:ind w:left="9" w:right="73" w:firstLine="468"/>
        <w:spacing w:before="24" w:line="339" w:lineRule="auto"/>
        <w:jc w:val="both"/>
        <w:rPr>
          <w:rFonts w:ascii="SimSun" w:hAnsi="SimSun" w:eastAsia="SimSun" w:cs="SimSun"/>
          <w:sz w:val="24"/>
          <w:szCs w:val="24"/>
        </w:rPr>
      </w:pPr>
      <w:r>
        <w:rPr>
          <w:rFonts w:ascii="Times New Roman" w:hAnsi="Times New Roman" w:eastAsia="Times New Roman" w:cs="Times New Roman"/>
          <w:sz w:val="24"/>
          <w:szCs w:val="24"/>
          <w:spacing w:val="-2"/>
        </w:rPr>
        <w:t>2004 </w:t>
      </w:r>
      <w:r>
        <w:rPr>
          <w:rFonts w:ascii="SimSun" w:hAnsi="SimSun" w:eastAsia="SimSun" w:cs="SimSun"/>
          <w:sz w:val="24"/>
          <w:szCs w:val="24"/>
          <w:spacing w:val="-2"/>
        </w:rPr>
        <w:t>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10 </w:t>
      </w:r>
      <w:r>
        <w:rPr>
          <w:rFonts w:ascii="SimSun" w:hAnsi="SimSun" w:eastAsia="SimSun" w:cs="SimSun"/>
          <w:sz w:val="24"/>
          <w:szCs w:val="24"/>
          <w:spacing w:val="-2"/>
        </w:rPr>
        <w:t>月，国家发展和改革委员以发改能源〔</w:t>
      </w:r>
      <w:r>
        <w:rPr>
          <w:rFonts w:ascii="Times New Roman" w:hAnsi="Times New Roman" w:eastAsia="Times New Roman" w:cs="Times New Roman"/>
          <w:sz w:val="24"/>
          <w:szCs w:val="24"/>
          <w:spacing w:val="-2"/>
        </w:rPr>
        <w:t>2004</w:t>
      </w:r>
      <w:r>
        <w:rPr>
          <w:rFonts w:ascii="SimSun" w:hAnsi="SimSun" w:eastAsia="SimSun" w:cs="SimSun"/>
          <w:sz w:val="24"/>
          <w:szCs w:val="24"/>
          <w:spacing w:val="-2"/>
        </w:rPr>
        <w:t>〕</w:t>
      </w:r>
      <w:r>
        <w:rPr>
          <w:rFonts w:ascii="Times New Roman" w:hAnsi="Times New Roman" w:eastAsia="Times New Roman" w:cs="Times New Roman"/>
          <w:sz w:val="24"/>
          <w:szCs w:val="24"/>
          <w:spacing w:val="-2"/>
        </w:rPr>
        <w:t>2339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号《国家发展改革委</w:t>
      </w:r>
      <w:r>
        <w:rPr>
          <w:rFonts w:ascii="SimSun" w:hAnsi="SimSun" w:eastAsia="SimSun" w:cs="SimSun"/>
          <w:sz w:val="24"/>
          <w:szCs w:val="24"/>
          <w:spacing w:val="-1"/>
        </w:rPr>
        <w:t>关于内蒙古白音华矿区总体规划的批复》批复了白</w:t>
      </w:r>
      <w:r>
        <w:rPr>
          <w:rFonts w:ascii="SimSun" w:hAnsi="SimSun" w:eastAsia="SimSun" w:cs="SimSun"/>
          <w:sz w:val="24"/>
          <w:szCs w:val="24"/>
          <w:spacing w:val="-2"/>
        </w:rPr>
        <w:t>音华矿区总体规划，根据白音华矿区</w:t>
      </w:r>
      <w:r>
        <w:rPr>
          <w:rFonts w:ascii="SimSun" w:hAnsi="SimSun" w:eastAsia="SimSun" w:cs="SimSun"/>
          <w:sz w:val="24"/>
          <w:szCs w:val="24"/>
          <w:spacing w:val="-4"/>
        </w:rPr>
        <w:t>总体规划，白音华四号露天矿位于白音华矿区内，建设规模为 </w:t>
      </w:r>
      <w:r>
        <w:rPr>
          <w:rFonts w:ascii="Times New Roman" w:hAnsi="Times New Roman" w:eastAsia="Times New Roman" w:cs="Times New Roman"/>
          <w:sz w:val="24"/>
          <w:szCs w:val="24"/>
          <w:spacing w:val="-4"/>
        </w:rPr>
        <w:t>2400  </w:t>
      </w:r>
      <w:r>
        <w:rPr>
          <w:rFonts w:ascii="SimSun" w:hAnsi="SimSun" w:eastAsia="SimSun" w:cs="SimSun"/>
          <w:sz w:val="24"/>
          <w:szCs w:val="24"/>
          <w:spacing w:val="-4"/>
        </w:rPr>
        <w:t>万吨</w:t>
      </w:r>
      <w:r>
        <w:rPr>
          <w:rFonts w:ascii="Times New Roman" w:hAnsi="Times New Roman" w:eastAsia="Times New Roman" w:cs="Times New Roman"/>
          <w:sz w:val="24"/>
          <w:szCs w:val="24"/>
          <w:spacing w:val="-4"/>
        </w:rPr>
        <w:t>/</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2009 </w:t>
      </w:r>
      <w:r>
        <w:rPr>
          <w:rFonts w:ascii="SimSun" w:hAnsi="SimSun" w:eastAsia="SimSun" w:cs="SimSun"/>
          <w:sz w:val="24"/>
          <w:szCs w:val="24"/>
          <w:spacing w:val="-4"/>
        </w:rPr>
        <w:t>年</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2</w:t>
      </w:r>
      <w:r>
        <w:rPr>
          <w:rFonts w:ascii="SimSun" w:hAnsi="SimSun" w:eastAsia="SimSun" w:cs="SimSun"/>
          <w:sz w:val="24"/>
          <w:szCs w:val="24"/>
          <w:spacing w:val="-1"/>
        </w:rPr>
        <w:t>月，内蒙古自治区环境科学研究院编制完成了《内蒙古自治区锡林</w:t>
      </w:r>
      <w:r>
        <w:rPr>
          <w:rFonts w:ascii="SimSun" w:hAnsi="SimSun" w:eastAsia="SimSun" w:cs="SimSun"/>
          <w:sz w:val="24"/>
          <w:szCs w:val="24"/>
          <w:spacing w:val="-2"/>
        </w:rPr>
        <w:t>郭勒盟白音华矿区总</w:t>
      </w:r>
      <w:r>
        <w:rPr>
          <w:rFonts w:ascii="SimSun" w:hAnsi="SimSun" w:eastAsia="SimSun" w:cs="SimSun"/>
          <w:sz w:val="24"/>
          <w:szCs w:val="24"/>
          <w:spacing w:val="-3"/>
        </w:rPr>
        <w:t>体规划环境影响报告书》，原环境保护部以环</w:t>
      </w:r>
      <w:r>
        <w:rPr>
          <w:rFonts w:ascii="SimSun" w:hAnsi="SimSun" w:eastAsia="SimSun" w:cs="SimSun"/>
          <w:sz w:val="24"/>
          <w:szCs w:val="24"/>
          <w:spacing w:val="-4"/>
        </w:rPr>
        <w:t>审</w:t>
      </w:r>
      <w:r>
        <w:rPr>
          <w:rFonts w:ascii="Times New Roman" w:hAnsi="Times New Roman" w:eastAsia="Times New Roman" w:cs="Times New Roman"/>
          <w:sz w:val="24"/>
          <w:szCs w:val="24"/>
          <w:spacing w:val="-4"/>
        </w:rPr>
        <w:t>[2009]84  </w:t>
      </w:r>
      <w:r>
        <w:rPr>
          <w:rFonts w:ascii="SimSun" w:hAnsi="SimSun" w:eastAsia="SimSun" w:cs="SimSun"/>
          <w:sz w:val="24"/>
          <w:szCs w:val="24"/>
          <w:spacing w:val="-4"/>
        </w:rPr>
        <w:t>号文出具了报告书审查意见。</w:t>
      </w:r>
    </w:p>
    <w:p>
      <w:pPr>
        <w:ind w:left="15" w:right="73" w:firstLine="461"/>
        <w:spacing w:before="1" w:line="338" w:lineRule="auto"/>
        <w:jc w:val="both"/>
        <w:rPr>
          <w:rFonts w:ascii="SimSun" w:hAnsi="SimSun" w:eastAsia="SimSun" w:cs="SimSun"/>
          <w:sz w:val="24"/>
          <w:szCs w:val="24"/>
        </w:rPr>
      </w:pPr>
      <w:r>
        <w:rPr>
          <w:rFonts w:ascii="Times New Roman" w:hAnsi="Times New Roman" w:eastAsia="Times New Roman" w:cs="Times New Roman"/>
          <w:sz w:val="24"/>
          <w:szCs w:val="24"/>
          <w:spacing w:val="-7"/>
        </w:rPr>
        <w:t>2006 </w:t>
      </w:r>
      <w:r>
        <w:rPr>
          <w:rFonts w:ascii="SimSun" w:hAnsi="SimSun" w:eastAsia="SimSun" w:cs="SimSun"/>
          <w:sz w:val="24"/>
          <w:szCs w:val="24"/>
          <w:spacing w:val="-7"/>
        </w:rPr>
        <w:t>年</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7"/>
        </w:rPr>
        <w:t>2 </w:t>
      </w:r>
      <w:r>
        <w:rPr>
          <w:rFonts w:ascii="SimSun" w:hAnsi="SimSun" w:eastAsia="SimSun" w:cs="SimSun"/>
          <w:sz w:val="24"/>
          <w:szCs w:val="24"/>
          <w:spacing w:val="-7"/>
        </w:rPr>
        <w:t>月</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7"/>
        </w:rPr>
        <w:t>17  </w:t>
      </w:r>
      <w:r>
        <w:rPr>
          <w:rFonts w:ascii="SimSun" w:hAnsi="SimSun" w:eastAsia="SimSun" w:cs="SimSun"/>
          <w:sz w:val="24"/>
          <w:szCs w:val="24"/>
          <w:spacing w:val="-7"/>
        </w:rPr>
        <w:t>日，原国家环境保护总局</w:t>
      </w:r>
      <w:r>
        <w:rPr>
          <w:rFonts w:ascii="SimSun" w:hAnsi="SimSun" w:eastAsia="SimSun" w:cs="SimSun"/>
          <w:sz w:val="24"/>
          <w:szCs w:val="24"/>
          <w:spacing w:val="-8"/>
        </w:rPr>
        <w:t>以</w:t>
      </w:r>
      <w:r>
        <w:rPr>
          <w:rFonts w:ascii="Times New Roman" w:hAnsi="Times New Roman" w:eastAsia="Times New Roman" w:cs="Times New Roman"/>
          <w:sz w:val="24"/>
          <w:szCs w:val="24"/>
          <w:spacing w:val="-8"/>
        </w:rPr>
        <w:t>“</w:t>
      </w:r>
      <w:r>
        <w:rPr>
          <w:rFonts w:ascii="SimSun" w:hAnsi="SimSun" w:eastAsia="SimSun" w:cs="SimSun"/>
          <w:sz w:val="24"/>
          <w:szCs w:val="24"/>
          <w:spacing w:val="-8"/>
        </w:rPr>
        <w:t>环审〔</w:t>
      </w:r>
      <w:r>
        <w:rPr>
          <w:rFonts w:ascii="Times New Roman" w:hAnsi="Times New Roman" w:eastAsia="Times New Roman" w:cs="Times New Roman"/>
          <w:sz w:val="24"/>
          <w:szCs w:val="24"/>
          <w:spacing w:val="-8"/>
        </w:rPr>
        <w:t>2006</w:t>
      </w:r>
      <w:r>
        <w:rPr>
          <w:rFonts w:ascii="SimSun" w:hAnsi="SimSun" w:eastAsia="SimSun" w:cs="SimSun"/>
          <w:sz w:val="24"/>
          <w:szCs w:val="24"/>
          <w:spacing w:val="-8"/>
        </w:rPr>
        <w:t>〕</w:t>
      </w:r>
      <w:r>
        <w:rPr>
          <w:rFonts w:ascii="Times New Roman" w:hAnsi="Times New Roman" w:eastAsia="Times New Roman" w:cs="Times New Roman"/>
          <w:sz w:val="24"/>
          <w:szCs w:val="24"/>
          <w:spacing w:val="-8"/>
        </w:rPr>
        <w:t>78</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8"/>
        </w:rPr>
        <w:t>号</w:t>
      </w:r>
      <w:r>
        <w:rPr>
          <w:rFonts w:ascii="Times New Roman" w:hAnsi="Times New Roman" w:eastAsia="Times New Roman" w:cs="Times New Roman"/>
          <w:sz w:val="24"/>
          <w:szCs w:val="24"/>
          <w:spacing w:val="-8"/>
        </w:rPr>
        <w:t>”</w:t>
      </w:r>
      <w:r>
        <w:rPr>
          <w:rFonts w:ascii="SimSun" w:hAnsi="SimSun" w:eastAsia="SimSun" w:cs="SimSun"/>
          <w:sz w:val="24"/>
          <w:szCs w:val="24"/>
          <w:spacing w:val="-8"/>
        </w:rPr>
        <w:t>文件下发了《关于内</w:t>
      </w:r>
      <w:r>
        <w:rPr>
          <w:rFonts w:ascii="SimSun" w:hAnsi="SimSun" w:eastAsia="SimSun" w:cs="SimSun"/>
          <w:sz w:val="24"/>
          <w:szCs w:val="24"/>
          <w:spacing w:val="-1"/>
        </w:rPr>
        <w:t>蒙古海州露天能源有限公司白音华四号露天矿项目环</w:t>
      </w:r>
      <w:r>
        <w:rPr>
          <w:rFonts w:ascii="SimSun" w:hAnsi="SimSun" w:eastAsia="SimSun" w:cs="SimSun"/>
          <w:sz w:val="24"/>
          <w:szCs w:val="24"/>
          <w:spacing w:val="-2"/>
        </w:rPr>
        <w:t>境影响报告的批复》，批复白音华</w:t>
      </w:r>
      <w:r>
        <w:rPr>
          <w:rFonts w:ascii="SimSun" w:hAnsi="SimSun" w:eastAsia="SimSun" w:cs="SimSun"/>
          <w:sz w:val="24"/>
          <w:szCs w:val="24"/>
          <w:spacing w:val="-4"/>
        </w:rPr>
        <w:t>四号露天矿一期工程（露天矿）生产能力为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5"/>
        </w:rPr>
        <w:t>00 </w:t>
      </w:r>
      <w:r>
        <w:rPr>
          <w:rFonts w:ascii="SimSun" w:hAnsi="SimSun" w:eastAsia="SimSun" w:cs="SimSun"/>
          <w:sz w:val="24"/>
          <w:szCs w:val="24"/>
          <w:spacing w:val="-5"/>
        </w:rPr>
        <w:t>万吨</w:t>
      </w:r>
      <w:r>
        <w:rPr>
          <w:rFonts w:ascii="Times New Roman" w:hAnsi="Times New Roman" w:eastAsia="Times New Roman" w:cs="Times New Roman"/>
          <w:sz w:val="24"/>
          <w:szCs w:val="24"/>
          <w:spacing w:val="-5"/>
        </w:rPr>
        <w:t>/</w:t>
      </w:r>
      <w:r>
        <w:rPr>
          <w:rFonts w:ascii="SimSun" w:hAnsi="SimSun" w:eastAsia="SimSun" w:cs="SimSun"/>
          <w:sz w:val="24"/>
          <w:szCs w:val="24"/>
          <w:spacing w:val="-5"/>
        </w:rPr>
        <w:t>年。</w:t>
      </w:r>
    </w:p>
    <w:p>
      <w:pPr>
        <w:ind w:left="8" w:right="18" w:firstLine="469"/>
        <w:spacing w:before="1" w:line="338" w:lineRule="auto"/>
        <w:jc w:val="both"/>
        <w:rPr>
          <w:rFonts w:ascii="SimSun" w:hAnsi="SimSun" w:eastAsia="SimSun" w:cs="SimSun"/>
          <w:sz w:val="24"/>
          <w:szCs w:val="24"/>
        </w:rPr>
      </w:pPr>
      <w:r>
        <w:rPr>
          <w:rFonts w:ascii="Times New Roman" w:hAnsi="Times New Roman" w:eastAsia="Times New Roman" w:cs="Times New Roman"/>
          <w:sz w:val="24"/>
          <w:szCs w:val="24"/>
          <w:spacing w:val="-9"/>
        </w:rPr>
        <w:t>2011 </w:t>
      </w:r>
      <w:r>
        <w:rPr>
          <w:rFonts w:ascii="SimSun" w:hAnsi="SimSun" w:eastAsia="SimSun" w:cs="SimSun"/>
          <w:sz w:val="24"/>
          <w:szCs w:val="24"/>
          <w:spacing w:val="-9"/>
        </w:rPr>
        <w:t>年</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9"/>
        </w:rPr>
        <w:t>12 </w:t>
      </w:r>
      <w:r>
        <w:rPr>
          <w:rFonts w:ascii="SimSun" w:hAnsi="SimSun" w:eastAsia="SimSun" w:cs="SimSun"/>
          <w:sz w:val="24"/>
          <w:szCs w:val="24"/>
          <w:spacing w:val="-9"/>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9"/>
        </w:rPr>
        <w:t>30  </w:t>
      </w:r>
      <w:r>
        <w:rPr>
          <w:rFonts w:ascii="SimSun" w:hAnsi="SimSun" w:eastAsia="SimSun" w:cs="SimSun"/>
          <w:sz w:val="24"/>
          <w:szCs w:val="24"/>
          <w:spacing w:val="-9"/>
        </w:rPr>
        <w:t>日国土资源部颁发了采矿许可证</w:t>
      </w:r>
      <w:r>
        <w:rPr>
          <w:rFonts w:ascii="SimSun" w:hAnsi="SimSun" w:eastAsia="SimSun" w:cs="SimSun"/>
          <w:sz w:val="24"/>
          <w:szCs w:val="24"/>
          <w:spacing w:val="-10"/>
        </w:rPr>
        <w:t>，证号：</w:t>
      </w:r>
      <w:r>
        <w:rPr>
          <w:rFonts w:ascii="Times New Roman" w:hAnsi="Times New Roman" w:eastAsia="Times New Roman" w:cs="Times New Roman"/>
          <w:sz w:val="24"/>
          <w:szCs w:val="24"/>
          <w:spacing w:val="-10"/>
        </w:rPr>
        <w:t>C1000002011121110122411</w:t>
      </w:r>
      <w:r>
        <w:rPr>
          <w:rFonts w:ascii="SimSun" w:hAnsi="SimSun" w:eastAsia="SimSun" w:cs="SimSun"/>
          <w:sz w:val="24"/>
          <w:szCs w:val="24"/>
          <w:spacing w:val="-10"/>
        </w:rPr>
        <w:t>，</w:t>
      </w:r>
      <w:r>
        <w:rPr>
          <w:rFonts w:ascii="SimSun" w:hAnsi="SimSun" w:eastAsia="SimSun" w:cs="SimSun"/>
          <w:sz w:val="24"/>
          <w:szCs w:val="24"/>
          <w:spacing w:val="-1"/>
        </w:rPr>
        <w:t>采矿权人：内蒙古海州露天能源有限责任公司，矿山名称：西乌珠穆</w:t>
      </w:r>
      <w:r>
        <w:rPr>
          <w:rFonts w:ascii="SimSun" w:hAnsi="SimSun" w:eastAsia="SimSun" w:cs="SimSun"/>
          <w:sz w:val="24"/>
          <w:szCs w:val="24"/>
          <w:spacing w:val="-2"/>
        </w:rPr>
        <w:t>沁旗白音华煤田四</w:t>
      </w:r>
      <w:r>
        <w:rPr>
          <w:rFonts w:ascii="SimSun" w:hAnsi="SimSun" w:eastAsia="SimSun" w:cs="SimSun"/>
          <w:sz w:val="24"/>
          <w:szCs w:val="24"/>
          <w:spacing w:val="-5"/>
        </w:rPr>
        <w:t>号露天矿，开采方式：露天</w:t>
      </w:r>
      <w:r>
        <w:rPr>
          <w:rFonts w:ascii="Times New Roman" w:hAnsi="Times New Roman" w:eastAsia="Times New Roman" w:cs="Times New Roman"/>
          <w:sz w:val="24"/>
          <w:szCs w:val="24"/>
          <w:spacing w:val="-5"/>
        </w:rPr>
        <w:t>/</w:t>
      </w:r>
      <w:r>
        <w:rPr>
          <w:rFonts w:ascii="SimSun" w:hAnsi="SimSun" w:eastAsia="SimSun" w:cs="SimSun"/>
          <w:sz w:val="24"/>
          <w:szCs w:val="24"/>
          <w:spacing w:val="-5"/>
        </w:rPr>
        <w:t>地下开采。生产规模</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500 </w:t>
      </w:r>
      <w:r>
        <w:rPr>
          <w:rFonts w:ascii="SimSun" w:hAnsi="SimSun" w:eastAsia="SimSun" w:cs="SimSun"/>
          <w:sz w:val="24"/>
          <w:szCs w:val="24"/>
          <w:spacing w:val="-5"/>
        </w:rPr>
        <w:t>万吨</w:t>
      </w:r>
      <w:r>
        <w:rPr>
          <w:rFonts w:ascii="Times New Roman" w:hAnsi="Times New Roman" w:eastAsia="Times New Roman" w:cs="Times New Roman"/>
          <w:sz w:val="24"/>
          <w:szCs w:val="24"/>
          <w:spacing w:val="-5"/>
        </w:rPr>
        <w:t>/</w:t>
      </w:r>
      <w:r>
        <w:rPr>
          <w:rFonts w:ascii="SimSun" w:hAnsi="SimSun" w:eastAsia="SimSun" w:cs="SimSun"/>
          <w:sz w:val="24"/>
          <w:szCs w:val="24"/>
          <w:spacing w:val="-5"/>
        </w:rPr>
        <w:t>年，矿区面积</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5"/>
        </w:rPr>
        <w:t>25.0</w:t>
      </w:r>
      <w:r>
        <w:rPr>
          <w:rFonts w:ascii="Times New Roman" w:hAnsi="Times New Roman" w:eastAsia="Times New Roman" w:cs="Times New Roman"/>
          <w:sz w:val="24"/>
          <w:szCs w:val="24"/>
          <w:spacing w:val="-6"/>
        </w:rPr>
        <w:t>441km</w:t>
      </w:r>
      <w:r>
        <w:rPr>
          <w:rFonts w:ascii="Times New Roman" w:hAnsi="Times New Roman" w:eastAsia="Times New Roman" w:cs="Times New Roman"/>
          <w:sz w:val="15"/>
          <w:szCs w:val="15"/>
          <w:spacing w:val="-6"/>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6"/>
        </w:rPr>
        <w:t>，有</w:t>
      </w:r>
      <w:r>
        <w:rPr>
          <w:rFonts w:ascii="SimSun" w:hAnsi="SimSun" w:eastAsia="SimSun" w:cs="SimSun"/>
          <w:sz w:val="24"/>
          <w:szCs w:val="24"/>
          <w:spacing w:val="-8"/>
        </w:rPr>
        <w:t>效期限</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30 </w:t>
      </w:r>
      <w:r>
        <w:rPr>
          <w:rFonts w:ascii="SimSun" w:hAnsi="SimSun" w:eastAsia="SimSun" w:cs="SimSun"/>
          <w:sz w:val="24"/>
          <w:szCs w:val="24"/>
          <w:spacing w:val="-8"/>
        </w:rPr>
        <w:t>年（</w:t>
      </w:r>
      <w:r>
        <w:rPr>
          <w:rFonts w:ascii="Times New Roman" w:hAnsi="Times New Roman" w:eastAsia="Times New Roman" w:cs="Times New Roman"/>
          <w:sz w:val="24"/>
          <w:szCs w:val="24"/>
          <w:spacing w:val="-8"/>
        </w:rPr>
        <w:t>2007 </w:t>
      </w:r>
      <w:r>
        <w:rPr>
          <w:rFonts w:ascii="SimSun" w:hAnsi="SimSun" w:eastAsia="SimSun" w:cs="SimSun"/>
          <w:sz w:val="24"/>
          <w:szCs w:val="24"/>
          <w:spacing w:val="-8"/>
        </w:rPr>
        <w:t>年</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8"/>
        </w:rPr>
        <w:t>4</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8"/>
        </w:rPr>
        <w:t>月</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8"/>
        </w:rPr>
        <w:t>18  </w:t>
      </w:r>
      <w:r>
        <w:rPr>
          <w:rFonts w:ascii="SimSun" w:hAnsi="SimSun" w:eastAsia="SimSun" w:cs="SimSun"/>
          <w:sz w:val="24"/>
          <w:szCs w:val="24"/>
          <w:spacing w:val="-8"/>
        </w:rPr>
        <w:t>日至</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8"/>
        </w:rPr>
        <w:t>2037 </w:t>
      </w:r>
      <w:r>
        <w:rPr>
          <w:rFonts w:ascii="SimSun" w:hAnsi="SimSun" w:eastAsia="SimSun" w:cs="SimSun"/>
          <w:sz w:val="24"/>
          <w:szCs w:val="24"/>
          <w:spacing w:val="-8"/>
        </w:rPr>
        <w:t>年</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8"/>
        </w:rPr>
        <w:t>4</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8"/>
        </w:rPr>
        <w:t>月</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8"/>
        </w:rPr>
        <w:t>18  </w:t>
      </w:r>
      <w:r>
        <w:rPr>
          <w:rFonts w:ascii="SimSun" w:hAnsi="SimSun" w:eastAsia="SimSun" w:cs="SimSun"/>
          <w:sz w:val="24"/>
          <w:szCs w:val="24"/>
          <w:spacing w:val="-8"/>
        </w:rPr>
        <w:t>日）。</w:t>
      </w:r>
    </w:p>
    <w:p>
      <w:pPr>
        <w:ind w:left="9" w:firstLine="471"/>
        <w:spacing w:before="2" w:line="338" w:lineRule="auto"/>
        <w:jc w:val="both"/>
        <w:rPr>
          <w:rFonts w:ascii="SimSun" w:hAnsi="SimSun" w:eastAsia="SimSun" w:cs="SimSun"/>
          <w:sz w:val="24"/>
          <w:szCs w:val="24"/>
        </w:rPr>
      </w:pPr>
      <w:r>
        <w:rPr>
          <w:rFonts w:ascii="SimSun" w:hAnsi="SimSun" w:eastAsia="SimSun" w:cs="SimSun"/>
          <w:sz w:val="24"/>
          <w:szCs w:val="24"/>
          <w:spacing w:val="-2"/>
        </w:rPr>
        <w:t>在初步设计阶段，确定项目采取露井联采方式，一期露天矿生产规</w:t>
      </w:r>
      <w:r>
        <w:rPr>
          <w:rFonts w:ascii="SimSun" w:hAnsi="SimSun" w:eastAsia="SimSun" w:cs="SimSun"/>
          <w:sz w:val="24"/>
          <w:szCs w:val="24"/>
          <w:spacing w:val="-3"/>
        </w:rPr>
        <w:t>模</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500 </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r>
        <w:rPr>
          <w:rFonts w:ascii="SimSun" w:hAnsi="SimSun" w:eastAsia="SimSun" w:cs="SimSun"/>
          <w:sz w:val="24"/>
          <w:szCs w:val="24"/>
          <w:spacing w:val="-7"/>
        </w:rPr>
        <w:t>开采浅部区域，二期井工矿生产规模</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7"/>
        </w:rPr>
        <w:t>500 </w:t>
      </w:r>
      <w:r>
        <w:rPr>
          <w:rFonts w:ascii="SimSun" w:hAnsi="SimSun" w:eastAsia="SimSun" w:cs="SimSun"/>
          <w:sz w:val="24"/>
          <w:szCs w:val="24"/>
          <w:spacing w:val="-7"/>
        </w:rPr>
        <w:t>万吨</w:t>
      </w:r>
      <w:r>
        <w:rPr>
          <w:rFonts w:ascii="Times New Roman" w:hAnsi="Times New Roman" w:eastAsia="Times New Roman" w:cs="Times New Roman"/>
          <w:sz w:val="24"/>
          <w:szCs w:val="24"/>
          <w:spacing w:val="-7"/>
        </w:rPr>
        <w:t>/</w:t>
      </w:r>
      <w:r>
        <w:rPr>
          <w:rFonts w:ascii="SimSun" w:hAnsi="SimSun" w:eastAsia="SimSun" w:cs="SimSun"/>
          <w:sz w:val="24"/>
          <w:szCs w:val="24"/>
          <w:spacing w:val="-7"/>
        </w:rPr>
        <w:t>年，开采深度区域（下文分别简称露天区、</w:t>
      </w:r>
      <w:r>
        <w:rPr>
          <w:rFonts w:ascii="SimSun" w:hAnsi="SimSun" w:eastAsia="SimSun" w:cs="SimSun"/>
          <w:sz w:val="24"/>
          <w:szCs w:val="24"/>
          <w:spacing w:val="-5"/>
        </w:rPr>
        <w:t>井工区）。</w:t>
      </w:r>
    </w:p>
    <w:p>
      <w:pPr>
        <w:ind w:left="500"/>
        <w:spacing w:line="220" w:lineRule="auto"/>
        <w:rPr>
          <w:rFonts w:ascii="SimSun" w:hAnsi="SimSun" w:eastAsia="SimSun" w:cs="SimSun"/>
          <w:sz w:val="24"/>
          <w:szCs w:val="24"/>
        </w:rPr>
      </w:pPr>
      <w:r>
        <w:rPr>
          <w:rFonts w:ascii="Times New Roman" w:hAnsi="Times New Roman" w:eastAsia="Times New Roman" w:cs="Times New Roman"/>
          <w:sz w:val="24"/>
          <w:szCs w:val="24"/>
          <w:spacing w:val="-13"/>
        </w:rPr>
        <w:t>1</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3"/>
        </w:rPr>
        <w:t>、露天区</w:t>
      </w:r>
    </w:p>
    <w:p>
      <w:pPr>
        <w:ind w:left="9" w:right="73" w:firstLine="468"/>
        <w:spacing w:before="153" w:line="339" w:lineRule="auto"/>
        <w:rPr>
          <w:rFonts w:ascii="SimSun" w:hAnsi="SimSun" w:eastAsia="SimSun" w:cs="SimSun"/>
          <w:sz w:val="24"/>
          <w:szCs w:val="24"/>
        </w:rPr>
      </w:pPr>
      <w:r>
        <w:rPr>
          <w:rFonts w:ascii="Times New Roman" w:hAnsi="Times New Roman" w:eastAsia="Times New Roman" w:cs="Times New Roman"/>
          <w:sz w:val="24"/>
          <w:szCs w:val="24"/>
          <w:spacing w:val="-8"/>
        </w:rPr>
        <w:t>2005 </w:t>
      </w:r>
      <w:r>
        <w:rPr>
          <w:rFonts w:ascii="SimSun" w:hAnsi="SimSun" w:eastAsia="SimSun" w:cs="SimSun"/>
          <w:sz w:val="24"/>
          <w:szCs w:val="24"/>
          <w:spacing w:val="-8"/>
        </w:rPr>
        <w:t>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7 </w:t>
      </w:r>
      <w:r>
        <w:rPr>
          <w:rFonts w:ascii="SimSun" w:hAnsi="SimSun" w:eastAsia="SimSun" w:cs="SimSun"/>
          <w:sz w:val="24"/>
          <w:szCs w:val="24"/>
          <w:spacing w:val="-8"/>
        </w:rPr>
        <w:t>月，内蒙古自治区环境科学研究院编制完成了该项目环境影响报</w:t>
      </w:r>
      <w:r>
        <w:rPr>
          <w:rFonts w:ascii="SimSun" w:hAnsi="SimSun" w:eastAsia="SimSun" w:cs="SimSun"/>
          <w:sz w:val="24"/>
          <w:szCs w:val="24"/>
          <w:spacing w:val="-9"/>
        </w:rPr>
        <w:t>告书，</w:t>
      </w:r>
      <w:r>
        <w:rPr>
          <w:rFonts w:ascii="Times New Roman" w:hAnsi="Times New Roman" w:eastAsia="Times New Roman" w:cs="Times New Roman"/>
          <w:sz w:val="24"/>
          <w:szCs w:val="24"/>
          <w:spacing w:val="-9"/>
        </w:rPr>
        <w:t>2006</w:t>
      </w:r>
      <w:r>
        <w:rPr>
          <w:rFonts w:ascii="SimSun" w:hAnsi="SimSun" w:eastAsia="SimSun" w:cs="SimSun"/>
          <w:sz w:val="24"/>
          <w:szCs w:val="24"/>
          <w:spacing w:val="-5"/>
        </w:rPr>
        <w:t>年</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5"/>
        </w:rPr>
        <w:t>2 </w:t>
      </w:r>
      <w:r>
        <w:rPr>
          <w:rFonts w:ascii="SimSun" w:hAnsi="SimSun" w:eastAsia="SimSun" w:cs="SimSun"/>
          <w:sz w:val="24"/>
          <w:szCs w:val="24"/>
          <w:spacing w:val="-5"/>
        </w:rPr>
        <w:t>月，原国家环境保护总局以“环审〔</w:t>
      </w:r>
      <w:r>
        <w:rPr>
          <w:rFonts w:ascii="Times New Roman" w:hAnsi="Times New Roman" w:eastAsia="Times New Roman" w:cs="Times New Roman"/>
          <w:sz w:val="24"/>
          <w:szCs w:val="24"/>
          <w:spacing w:val="-5"/>
        </w:rPr>
        <w:t>2006</w:t>
      </w:r>
      <w:r>
        <w:rPr>
          <w:rFonts w:ascii="SimSun" w:hAnsi="SimSun" w:eastAsia="SimSun" w:cs="SimSun"/>
          <w:sz w:val="24"/>
          <w:szCs w:val="24"/>
          <w:spacing w:val="-5"/>
        </w:rPr>
        <w:t>〕</w:t>
      </w:r>
      <w:r>
        <w:rPr>
          <w:rFonts w:ascii="Times New Roman" w:hAnsi="Times New Roman" w:eastAsia="Times New Roman" w:cs="Times New Roman"/>
          <w:sz w:val="24"/>
          <w:szCs w:val="24"/>
          <w:spacing w:val="-5"/>
        </w:rPr>
        <w:t>78 </w:t>
      </w:r>
      <w:r>
        <w:rPr>
          <w:rFonts w:ascii="SimSun" w:hAnsi="SimSun" w:eastAsia="SimSun" w:cs="SimSun"/>
          <w:sz w:val="24"/>
          <w:szCs w:val="24"/>
          <w:spacing w:val="-5"/>
        </w:rPr>
        <w:t>号</w:t>
      </w:r>
      <w:r>
        <w:rPr>
          <w:rFonts w:ascii="SimSun" w:hAnsi="SimSun" w:eastAsia="SimSun" w:cs="SimSun"/>
          <w:sz w:val="24"/>
          <w:szCs w:val="24"/>
          <w:spacing w:val="-93"/>
        </w:rPr>
        <w:t xml:space="preserve"> </w:t>
      </w:r>
      <w:r>
        <w:rPr>
          <w:rFonts w:ascii="SimSun" w:hAnsi="SimSun" w:eastAsia="SimSun" w:cs="SimSun"/>
          <w:sz w:val="24"/>
          <w:szCs w:val="24"/>
          <w:spacing w:val="-5"/>
        </w:rPr>
        <w:t>”文件进行了批复。</w:t>
      </w:r>
      <w:r>
        <w:rPr>
          <w:rFonts w:ascii="Times New Roman" w:hAnsi="Times New Roman" w:eastAsia="Times New Roman" w:cs="Times New Roman"/>
          <w:sz w:val="24"/>
          <w:szCs w:val="24"/>
          <w:spacing w:val="-5"/>
        </w:rPr>
        <w:t>2006 </w:t>
      </w:r>
      <w:r>
        <w:rPr>
          <w:rFonts w:ascii="SimSun" w:hAnsi="SimSun" w:eastAsia="SimSun" w:cs="SimSun"/>
          <w:sz w:val="24"/>
          <w:szCs w:val="24"/>
          <w:spacing w:val="-5"/>
        </w:rPr>
        <w:t>年</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4"/>
        </w:rPr>
        <w:t>国家发展和改革委员会以“发改能源〔</w:t>
      </w:r>
      <w:r>
        <w:rPr>
          <w:rFonts w:ascii="Times New Roman" w:hAnsi="Times New Roman" w:eastAsia="Times New Roman" w:cs="Times New Roman"/>
          <w:sz w:val="24"/>
          <w:szCs w:val="24"/>
          <w:spacing w:val="-4"/>
        </w:rPr>
        <w:t>2006</w:t>
      </w:r>
      <w:r>
        <w:rPr>
          <w:rFonts w:ascii="SimSun" w:hAnsi="SimSun" w:eastAsia="SimSun" w:cs="SimSun"/>
          <w:sz w:val="24"/>
          <w:szCs w:val="24"/>
          <w:spacing w:val="-4"/>
        </w:rPr>
        <w:t>〕</w:t>
      </w:r>
      <w:r>
        <w:rPr>
          <w:rFonts w:ascii="Times New Roman" w:hAnsi="Times New Roman" w:eastAsia="Times New Roman" w:cs="Times New Roman"/>
          <w:sz w:val="24"/>
          <w:szCs w:val="24"/>
          <w:spacing w:val="-4"/>
        </w:rPr>
        <w:t>15</w:t>
      </w:r>
      <w:r>
        <w:rPr>
          <w:rFonts w:ascii="Times New Roman" w:hAnsi="Times New Roman" w:eastAsia="Times New Roman" w:cs="Times New Roman"/>
          <w:sz w:val="24"/>
          <w:szCs w:val="24"/>
          <w:spacing w:val="-5"/>
        </w:rPr>
        <w:t>21 </w:t>
      </w:r>
      <w:r>
        <w:rPr>
          <w:rFonts w:ascii="SimSun" w:hAnsi="SimSun" w:eastAsia="SimSun" w:cs="SimSun"/>
          <w:sz w:val="24"/>
          <w:szCs w:val="24"/>
          <w:spacing w:val="-5"/>
        </w:rPr>
        <w:t>号</w:t>
      </w:r>
      <w:r>
        <w:rPr>
          <w:rFonts w:ascii="SimSun" w:hAnsi="SimSun" w:eastAsia="SimSun" w:cs="SimSun"/>
          <w:sz w:val="24"/>
          <w:szCs w:val="24"/>
          <w:spacing w:val="-93"/>
        </w:rPr>
        <w:t xml:space="preserve"> </w:t>
      </w:r>
      <w:r>
        <w:rPr>
          <w:rFonts w:ascii="SimSun" w:hAnsi="SimSun" w:eastAsia="SimSun" w:cs="SimSun"/>
          <w:sz w:val="24"/>
          <w:szCs w:val="24"/>
          <w:spacing w:val="-5"/>
        </w:rPr>
        <w:t>”文对该项目进行了核准。</w:t>
      </w:r>
      <w:r>
        <w:rPr>
          <w:rFonts w:ascii="Times New Roman" w:hAnsi="Times New Roman" w:eastAsia="Times New Roman" w:cs="Times New Roman"/>
          <w:sz w:val="24"/>
          <w:szCs w:val="24"/>
          <w:spacing w:val="-5"/>
        </w:rPr>
        <w:t>2006 </w:t>
      </w:r>
      <w:r>
        <w:rPr>
          <w:rFonts w:ascii="SimSun" w:hAnsi="SimSun" w:eastAsia="SimSun" w:cs="SimSun"/>
          <w:sz w:val="24"/>
          <w:szCs w:val="24"/>
          <w:spacing w:val="-5"/>
        </w:rPr>
        <w:t>年</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月，内蒙古自治区煤炭工业局以“</w:t>
      </w:r>
      <w:r>
        <w:rPr>
          <w:rFonts w:ascii="SimSun" w:hAnsi="SimSun" w:eastAsia="SimSun" w:cs="SimSun"/>
          <w:sz w:val="24"/>
          <w:szCs w:val="24"/>
          <w:spacing w:val="-82"/>
        </w:rPr>
        <w:t xml:space="preserve"> </w:t>
      </w:r>
      <w:r>
        <w:rPr>
          <w:rFonts w:ascii="SimSun" w:hAnsi="SimSun" w:eastAsia="SimSun" w:cs="SimSun"/>
          <w:sz w:val="24"/>
          <w:szCs w:val="24"/>
          <w:spacing w:val="-3"/>
        </w:rPr>
        <w:t>内煤局字〔</w:t>
      </w:r>
      <w:r>
        <w:rPr>
          <w:rFonts w:ascii="Times New Roman" w:hAnsi="Times New Roman" w:eastAsia="Times New Roman" w:cs="Times New Roman"/>
          <w:sz w:val="24"/>
          <w:szCs w:val="24"/>
          <w:spacing w:val="-3"/>
        </w:rPr>
        <w:t>2006</w:t>
      </w:r>
      <w:r>
        <w:rPr>
          <w:rFonts w:ascii="SimSun" w:hAnsi="SimSun" w:eastAsia="SimSun" w:cs="SimSun"/>
          <w:sz w:val="24"/>
          <w:szCs w:val="24"/>
          <w:spacing w:val="-3"/>
        </w:rPr>
        <w:t>〕</w:t>
      </w:r>
      <w:r>
        <w:rPr>
          <w:rFonts w:ascii="Times New Roman" w:hAnsi="Times New Roman" w:eastAsia="Times New Roman" w:cs="Times New Roman"/>
          <w:sz w:val="24"/>
          <w:szCs w:val="24"/>
          <w:spacing w:val="-3"/>
        </w:rPr>
        <w:t>275</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号</w:t>
      </w:r>
      <w:r>
        <w:rPr>
          <w:rFonts w:ascii="SimSun" w:hAnsi="SimSun" w:eastAsia="SimSun" w:cs="SimSun"/>
          <w:sz w:val="24"/>
          <w:szCs w:val="24"/>
          <w:spacing w:val="-88"/>
        </w:rPr>
        <w:t xml:space="preserve"> </w:t>
      </w:r>
      <w:r>
        <w:rPr>
          <w:rFonts w:ascii="SimSun" w:hAnsi="SimSun" w:eastAsia="SimSun" w:cs="SimSun"/>
          <w:sz w:val="24"/>
          <w:szCs w:val="24"/>
          <w:spacing w:val="-4"/>
        </w:rPr>
        <w:t>”文批复了该项目初步设</w:t>
      </w:r>
      <w:r>
        <w:rPr>
          <w:rFonts w:ascii="SimSun" w:hAnsi="SimSun" w:eastAsia="SimSun" w:cs="SimSun"/>
          <w:sz w:val="24"/>
          <w:szCs w:val="24"/>
          <w:spacing w:val="-1"/>
        </w:rPr>
        <w:t>计。由于白音华四号露天矿实际建设内容与批复的环评报告工程内</w:t>
      </w:r>
      <w:r>
        <w:rPr>
          <w:rFonts w:ascii="SimSun" w:hAnsi="SimSun" w:eastAsia="SimSun" w:cs="SimSun"/>
          <w:sz w:val="24"/>
          <w:szCs w:val="24"/>
          <w:spacing w:val="-2"/>
        </w:rPr>
        <w:t>容相比，以露天形式</w:t>
      </w:r>
      <w:r>
        <w:rPr>
          <w:rFonts w:ascii="SimSun" w:hAnsi="SimSun" w:eastAsia="SimSun" w:cs="SimSun"/>
          <w:sz w:val="24"/>
          <w:szCs w:val="24"/>
          <w:spacing w:val="-4"/>
        </w:rPr>
        <w:t>开采的境界大幅度缩小（环评阶段的</w:t>
      </w:r>
      <w:r>
        <w:rPr>
          <w:rFonts w:ascii="SimSun" w:hAnsi="SimSun" w:eastAsia="SimSun" w:cs="SimSun"/>
          <w:sz w:val="24"/>
          <w:szCs w:val="24"/>
          <w:spacing w:val="-62"/>
        </w:rPr>
        <w:t xml:space="preserve"> </w:t>
      </w:r>
      <w:r>
        <w:rPr>
          <w:rFonts w:ascii="Times New Roman" w:hAnsi="Times New Roman" w:eastAsia="Times New Roman" w:cs="Times New Roman"/>
          <w:sz w:val="24"/>
          <w:szCs w:val="24"/>
          <w:spacing w:val="-4"/>
        </w:rPr>
        <w:t>42.47km</w:t>
      </w:r>
      <w:r>
        <w:rPr>
          <w:rFonts w:ascii="Times New Roman" w:hAnsi="Times New Roman" w:eastAsia="Times New Roman" w:cs="Times New Roman"/>
          <w:sz w:val="15"/>
          <w:szCs w:val="15"/>
          <w:spacing w:val="-4"/>
          <w:position w:val="7"/>
        </w:rPr>
        <w:t>2 </w:t>
      </w:r>
      <w:r>
        <w:rPr>
          <w:rFonts w:ascii="SimSun" w:hAnsi="SimSun" w:eastAsia="SimSun" w:cs="SimSun"/>
          <w:sz w:val="24"/>
          <w:szCs w:val="24"/>
          <w:spacing w:val="-4"/>
        </w:rPr>
        <w:t>缩小为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9.2735km</w:t>
      </w:r>
      <w:r>
        <w:rPr>
          <w:rFonts w:ascii="Times New Roman" w:hAnsi="Times New Roman" w:eastAsia="Times New Roman" w:cs="Times New Roman"/>
          <w:sz w:val="15"/>
          <w:szCs w:val="15"/>
          <w:spacing w:val="-4"/>
          <w:position w:val="7"/>
        </w:rPr>
        <w:t>2 </w:t>
      </w:r>
      <w:r>
        <w:rPr>
          <w:rFonts w:ascii="SimSun" w:hAnsi="SimSun" w:eastAsia="SimSun" w:cs="SimSun"/>
          <w:sz w:val="24"/>
          <w:szCs w:val="24"/>
          <w:spacing w:val="-25"/>
        </w:rPr>
        <w:t>），</w:t>
      </w:r>
      <w:r>
        <w:rPr>
          <w:rFonts w:ascii="Times New Roman" w:hAnsi="Times New Roman" w:eastAsia="Times New Roman" w:cs="Times New Roman"/>
          <w:sz w:val="24"/>
          <w:szCs w:val="24"/>
          <w:spacing w:val="-4"/>
        </w:rPr>
        <w:t>2011</w:t>
      </w:r>
      <w:r>
        <w:rPr>
          <w:rFonts w:ascii="Times New Roman" w:hAnsi="Times New Roman" w:eastAsia="Times New Roman" w:cs="Times New Roman"/>
          <w:sz w:val="24"/>
          <w:szCs w:val="24"/>
          <w:spacing w:val="-5"/>
        </w:rPr>
        <w:t xml:space="preserve"> </w:t>
      </w:r>
      <w:r>
        <w:rPr>
          <w:rFonts w:ascii="SimSun" w:hAnsi="SimSun" w:eastAsia="SimSun" w:cs="SimSun"/>
          <w:sz w:val="24"/>
          <w:szCs w:val="24"/>
          <w:spacing w:val="-5"/>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11 </w:t>
      </w:r>
      <w:r>
        <w:rPr>
          <w:rFonts w:ascii="SimSun" w:hAnsi="SimSun" w:eastAsia="SimSun" w:cs="SimSun"/>
          <w:sz w:val="24"/>
          <w:szCs w:val="24"/>
          <w:spacing w:val="-5"/>
        </w:rPr>
        <w:t>月，内蒙</w:t>
      </w:r>
      <w:r>
        <w:rPr>
          <w:rFonts w:ascii="SimSun" w:hAnsi="SimSun" w:eastAsia="SimSun" w:cs="SimSun"/>
          <w:sz w:val="24"/>
          <w:szCs w:val="24"/>
          <w:spacing w:val="-11"/>
        </w:rPr>
        <w:t>古自治区煤炭工业局以“内煤局字〔</w:t>
      </w:r>
      <w:r>
        <w:rPr>
          <w:rFonts w:ascii="Times New Roman" w:hAnsi="Times New Roman" w:eastAsia="Times New Roman" w:cs="Times New Roman"/>
          <w:sz w:val="24"/>
          <w:szCs w:val="24"/>
          <w:spacing w:val="-11"/>
        </w:rPr>
        <w:t>2011</w:t>
      </w:r>
      <w:r>
        <w:rPr>
          <w:rFonts w:ascii="SimSun" w:hAnsi="SimSun" w:eastAsia="SimSun" w:cs="SimSun"/>
          <w:sz w:val="24"/>
          <w:szCs w:val="24"/>
          <w:spacing w:val="-11"/>
        </w:rPr>
        <w:t>〕</w:t>
      </w:r>
      <w:r>
        <w:rPr>
          <w:rFonts w:ascii="Times New Roman" w:hAnsi="Times New Roman" w:eastAsia="Times New Roman" w:cs="Times New Roman"/>
          <w:sz w:val="24"/>
          <w:szCs w:val="24"/>
          <w:spacing w:val="-12"/>
        </w:rPr>
        <w:t>465</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2"/>
        </w:rPr>
        <w:t>号</w:t>
      </w:r>
      <w:r>
        <w:rPr>
          <w:rFonts w:ascii="SimSun" w:hAnsi="SimSun" w:eastAsia="SimSun" w:cs="SimSun"/>
          <w:sz w:val="24"/>
          <w:szCs w:val="24"/>
          <w:spacing w:val="-93"/>
        </w:rPr>
        <w:t xml:space="preserve"> </w:t>
      </w:r>
      <w:r>
        <w:rPr>
          <w:rFonts w:ascii="SimSun" w:hAnsi="SimSun" w:eastAsia="SimSun" w:cs="SimSun"/>
          <w:sz w:val="24"/>
          <w:szCs w:val="24"/>
          <w:spacing w:val="-12"/>
        </w:rPr>
        <w:t>”文件批复了该项目初步设计变更。</w:t>
      </w:r>
      <w:r>
        <w:rPr>
          <w:rFonts w:ascii="Times New Roman" w:hAnsi="Times New Roman" w:eastAsia="Times New Roman" w:cs="Times New Roman"/>
          <w:sz w:val="24"/>
          <w:szCs w:val="24"/>
          <w:spacing w:val="-12"/>
        </w:rPr>
        <w:t>2014</w:t>
      </w:r>
      <w:r>
        <w:rPr>
          <w:rFonts w:ascii="SimSun" w:hAnsi="SimSun" w:eastAsia="SimSun" w:cs="SimSun"/>
          <w:sz w:val="24"/>
          <w:szCs w:val="24"/>
          <w:spacing w:val="-2"/>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月，建设单位委托内蒙古环科园环境科技有限责任公司编制了《内蒙古白音华海州</w:t>
      </w:r>
    </w:p>
    <w:p>
      <w:pPr>
        <w:spacing w:line="339" w:lineRule="auto"/>
        <w:sectPr>
          <w:headerReference w:type="default" r:id="rId6"/>
          <w:footerReference w:type="default" r:id="rId7"/>
          <w:pgSz w:w="11906" w:h="16838"/>
          <w:pgMar w:top="1170" w:right="1332" w:bottom="1080" w:left="1416" w:header="837" w:footer="918" w:gutter="0"/>
        </w:sectPr>
        <w:rPr>
          <w:rFonts w:ascii="SimSun" w:hAnsi="SimSun" w:eastAsia="SimSun" w:cs="SimSun"/>
          <w:sz w:val="24"/>
          <w:szCs w:val="24"/>
        </w:rPr>
      </w:pPr>
    </w:p>
    <w:p>
      <w:pPr>
        <w:pStyle w:val="BodyText"/>
        <w:spacing w:line="311" w:lineRule="auto"/>
        <w:rPr/>
      </w:pPr>
      <w:r/>
    </w:p>
    <w:p>
      <w:pPr>
        <w:ind w:left="8" w:right="80" w:firstLine="6"/>
        <w:spacing w:before="78" w:line="339" w:lineRule="auto"/>
        <w:jc w:val="both"/>
        <w:rPr>
          <w:rFonts w:ascii="SimSun" w:hAnsi="SimSun" w:eastAsia="SimSun" w:cs="SimSun"/>
          <w:sz w:val="24"/>
          <w:szCs w:val="24"/>
        </w:rPr>
      </w:pPr>
      <w:r>
        <w:rPr>
          <w:rFonts w:ascii="SimSun" w:hAnsi="SimSun" w:eastAsia="SimSun" w:cs="SimSun"/>
          <w:sz w:val="24"/>
          <w:szCs w:val="24"/>
          <w:spacing w:val="-5"/>
        </w:rPr>
        <w:t>露天煤矿有限公司白音华四号露天煤矿项目工程变更环境影响分析与说明》，于同年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5"/>
        </w:rPr>
        <w:t>10</w:t>
      </w:r>
      <w:r>
        <w:rPr>
          <w:rFonts w:ascii="SimSun" w:hAnsi="SimSun" w:eastAsia="SimSun" w:cs="SimSun"/>
          <w:sz w:val="24"/>
          <w:szCs w:val="24"/>
          <w:spacing w:val="-4"/>
        </w:rPr>
        <w:t>月上报环境保护部环评司验收处备案。</w:t>
      </w:r>
      <w:r>
        <w:rPr>
          <w:rFonts w:ascii="Times New Roman" w:hAnsi="Times New Roman" w:eastAsia="Times New Roman" w:cs="Times New Roman"/>
          <w:sz w:val="24"/>
          <w:szCs w:val="24"/>
          <w:spacing w:val="-4"/>
        </w:rPr>
        <w:t>2015 </w:t>
      </w:r>
      <w:r>
        <w:rPr>
          <w:rFonts w:ascii="SimSun" w:hAnsi="SimSun" w:eastAsia="SimSun" w:cs="SimSun"/>
          <w:sz w:val="24"/>
          <w:szCs w:val="24"/>
          <w:spacing w:val="-4"/>
        </w:rPr>
        <w:t>年</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月，北京欣国环环境</w:t>
      </w:r>
      <w:r>
        <w:rPr>
          <w:rFonts w:ascii="SimSun" w:hAnsi="SimSun" w:eastAsia="SimSun" w:cs="SimSun"/>
          <w:sz w:val="24"/>
          <w:szCs w:val="24"/>
          <w:spacing w:val="-5"/>
        </w:rPr>
        <w:t>技术发展有限公司</w:t>
      </w:r>
      <w:r>
        <w:rPr>
          <w:rFonts w:ascii="SimSun" w:hAnsi="SimSun" w:eastAsia="SimSun" w:cs="SimSun"/>
          <w:sz w:val="24"/>
          <w:szCs w:val="24"/>
          <w:spacing w:val="-3"/>
        </w:rPr>
        <w:t>编制完成了该项目竣工环境保护验收调查报告，</w:t>
      </w:r>
      <w:r>
        <w:rPr>
          <w:rFonts w:ascii="Times New Roman" w:hAnsi="Times New Roman" w:eastAsia="Times New Roman" w:cs="Times New Roman"/>
          <w:sz w:val="24"/>
          <w:szCs w:val="24"/>
          <w:spacing w:val="-3"/>
        </w:rPr>
        <w:t>2015 </w:t>
      </w:r>
      <w:r>
        <w:rPr>
          <w:rFonts w:ascii="SimSun" w:hAnsi="SimSun" w:eastAsia="SimSun" w:cs="SimSun"/>
          <w:sz w:val="24"/>
          <w:szCs w:val="24"/>
          <w:spacing w:val="-3"/>
        </w:rPr>
        <w:t>年</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4"/>
        </w:rPr>
        <w:t>，原国家环境保护部以“环</w:t>
      </w:r>
      <w:r>
        <w:rPr>
          <w:rFonts w:ascii="SimSun" w:hAnsi="SimSun" w:eastAsia="SimSun" w:cs="SimSun"/>
          <w:sz w:val="24"/>
          <w:szCs w:val="24"/>
          <w:spacing w:val="-5"/>
        </w:rPr>
        <w:t>验〔</w:t>
      </w:r>
      <w:r>
        <w:rPr>
          <w:rFonts w:ascii="Times New Roman" w:hAnsi="Times New Roman" w:eastAsia="Times New Roman" w:cs="Times New Roman"/>
          <w:sz w:val="24"/>
          <w:szCs w:val="24"/>
          <w:spacing w:val="-5"/>
        </w:rPr>
        <w:t>2015</w:t>
      </w:r>
      <w:r>
        <w:rPr>
          <w:rFonts w:ascii="SimSun" w:hAnsi="SimSun" w:eastAsia="SimSun" w:cs="SimSun"/>
          <w:sz w:val="24"/>
          <w:szCs w:val="24"/>
          <w:spacing w:val="-5"/>
        </w:rPr>
        <w:t>〕</w:t>
      </w:r>
      <w:r>
        <w:rPr>
          <w:rFonts w:ascii="Times New Roman" w:hAnsi="Times New Roman" w:eastAsia="Times New Roman" w:cs="Times New Roman"/>
          <w:sz w:val="24"/>
          <w:szCs w:val="24"/>
          <w:spacing w:val="-5"/>
        </w:rPr>
        <w:t>194 </w:t>
      </w:r>
      <w:r>
        <w:rPr>
          <w:rFonts w:ascii="SimSun" w:hAnsi="SimSun" w:eastAsia="SimSun" w:cs="SimSun"/>
          <w:sz w:val="24"/>
          <w:szCs w:val="24"/>
          <w:spacing w:val="-5"/>
        </w:rPr>
        <w:t>号</w:t>
      </w:r>
      <w:r>
        <w:rPr>
          <w:rFonts w:ascii="SimSun" w:hAnsi="SimSun" w:eastAsia="SimSun" w:cs="SimSun"/>
          <w:sz w:val="24"/>
          <w:szCs w:val="24"/>
          <w:spacing w:val="-76"/>
        </w:rPr>
        <w:t xml:space="preserve"> </w:t>
      </w:r>
      <w:r>
        <w:rPr>
          <w:rFonts w:ascii="SimSun" w:hAnsi="SimSun" w:eastAsia="SimSun" w:cs="SimSun"/>
          <w:sz w:val="24"/>
          <w:szCs w:val="24"/>
          <w:spacing w:val="-5"/>
        </w:rPr>
        <w:t>”文件对该项目进行了验收合格的函。</w:t>
      </w:r>
    </w:p>
    <w:p>
      <w:pPr>
        <w:ind w:left="477"/>
        <w:spacing w:line="220" w:lineRule="auto"/>
        <w:rPr>
          <w:rFonts w:ascii="SimSun" w:hAnsi="SimSun" w:eastAsia="SimSun" w:cs="SimSun"/>
          <w:sz w:val="24"/>
          <w:szCs w:val="24"/>
        </w:rPr>
      </w:pP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、井工区</w:t>
      </w:r>
    </w:p>
    <w:p>
      <w:pPr>
        <w:ind w:left="12" w:right="80" w:firstLine="465"/>
        <w:spacing w:before="154" w:line="338" w:lineRule="auto"/>
        <w:rPr>
          <w:rFonts w:ascii="SimSun" w:hAnsi="SimSun" w:eastAsia="SimSun" w:cs="SimSun"/>
          <w:sz w:val="24"/>
          <w:szCs w:val="24"/>
        </w:rPr>
      </w:pPr>
      <w:r>
        <w:rPr>
          <w:rFonts w:ascii="Times New Roman" w:hAnsi="Times New Roman" w:eastAsia="Times New Roman" w:cs="Times New Roman"/>
          <w:sz w:val="24"/>
          <w:szCs w:val="24"/>
          <w:spacing w:val="-7"/>
        </w:rPr>
        <w:t>2013 </w:t>
      </w:r>
      <w:r>
        <w:rPr>
          <w:rFonts w:ascii="SimSun" w:hAnsi="SimSun" w:eastAsia="SimSun" w:cs="SimSun"/>
          <w:sz w:val="24"/>
          <w:szCs w:val="24"/>
          <w:spacing w:val="-7"/>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月</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7"/>
        </w:rPr>
        <w:t>21  </w:t>
      </w:r>
      <w:r>
        <w:rPr>
          <w:rFonts w:ascii="SimSun" w:hAnsi="SimSun" w:eastAsia="SimSun" w:cs="SimSun"/>
          <w:sz w:val="24"/>
          <w:szCs w:val="24"/>
          <w:spacing w:val="-7"/>
        </w:rPr>
        <w:t>日国家能源局以《国家能源局关于同意内蒙古白音华四号</w:t>
      </w:r>
      <w:r>
        <w:rPr>
          <w:rFonts w:ascii="SimSun" w:hAnsi="SimSun" w:eastAsia="SimSun" w:cs="SimSun"/>
          <w:sz w:val="24"/>
          <w:szCs w:val="24"/>
          <w:spacing w:val="-8"/>
        </w:rPr>
        <w:t>露天矿二期</w:t>
      </w:r>
      <w:r>
        <w:rPr>
          <w:rFonts w:ascii="SimSun" w:hAnsi="SimSun" w:eastAsia="SimSun" w:cs="SimSun"/>
          <w:sz w:val="24"/>
          <w:szCs w:val="24"/>
          <w:spacing w:val="-3"/>
        </w:rPr>
        <w:t>工程开展项目前期工作的复函》（国能煤炭〔</w:t>
      </w:r>
      <w:r>
        <w:rPr>
          <w:rFonts w:ascii="Times New Roman" w:hAnsi="Times New Roman" w:eastAsia="Times New Roman" w:cs="Times New Roman"/>
          <w:sz w:val="24"/>
          <w:szCs w:val="24"/>
          <w:spacing w:val="-3"/>
        </w:rPr>
        <w:t>2013</w:t>
      </w:r>
      <w:r>
        <w:rPr>
          <w:rFonts w:ascii="SimSun" w:hAnsi="SimSun" w:eastAsia="SimSun" w:cs="SimSun"/>
          <w:sz w:val="24"/>
          <w:szCs w:val="24"/>
          <w:spacing w:val="-3"/>
        </w:rPr>
        <w:t>〕</w:t>
      </w:r>
      <w:r>
        <w:rPr>
          <w:rFonts w:ascii="Times New Roman" w:hAnsi="Times New Roman" w:eastAsia="Times New Roman" w:cs="Times New Roman"/>
          <w:sz w:val="24"/>
          <w:szCs w:val="24"/>
          <w:spacing w:val="-3"/>
        </w:rPr>
        <w:t>25 </w:t>
      </w:r>
      <w:r>
        <w:rPr>
          <w:rFonts w:ascii="SimSun" w:hAnsi="SimSun" w:eastAsia="SimSun" w:cs="SimSun"/>
          <w:sz w:val="24"/>
          <w:szCs w:val="24"/>
          <w:spacing w:val="-3"/>
        </w:rPr>
        <w:t>号）同意白音华四号露天矿二期</w:t>
      </w:r>
      <w:r>
        <w:rPr>
          <w:rFonts w:ascii="SimSun" w:hAnsi="SimSun" w:eastAsia="SimSun" w:cs="SimSun"/>
          <w:sz w:val="24"/>
          <w:szCs w:val="24"/>
          <w:spacing w:val="-5"/>
        </w:rPr>
        <w:t>工程开展前期工作。</w:t>
      </w:r>
    </w:p>
    <w:p>
      <w:pPr>
        <w:ind w:left="5" w:right="73" w:firstLine="472"/>
        <w:spacing w:before="3" w:line="338" w:lineRule="auto"/>
        <w:rPr>
          <w:rFonts w:ascii="SimSun" w:hAnsi="SimSun" w:eastAsia="SimSun" w:cs="SimSun"/>
          <w:sz w:val="24"/>
          <w:szCs w:val="24"/>
        </w:rPr>
      </w:pPr>
      <w:r>
        <w:rPr>
          <w:rFonts w:ascii="Times New Roman" w:hAnsi="Times New Roman" w:eastAsia="Times New Roman" w:cs="Times New Roman"/>
          <w:sz w:val="24"/>
          <w:szCs w:val="24"/>
          <w:spacing w:val="-4"/>
        </w:rPr>
        <w:t>2014 </w:t>
      </w:r>
      <w:r>
        <w:rPr>
          <w:rFonts w:ascii="SimSun" w:hAnsi="SimSun" w:eastAsia="SimSun" w:cs="SimSun"/>
          <w:sz w:val="24"/>
          <w:szCs w:val="24"/>
          <w:spacing w:val="-4"/>
        </w:rPr>
        <w:t>年</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10  </w:t>
      </w:r>
      <w:r>
        <w:rPr>
          <w:rFonts w:ascii="SimSun" w:hAnsi="SimSun" w:eastAsia="SimSun" w:cs="SimSun"/>
          <w:sz w:val="24"/>
          <w:szCs w:val="24"/>
          <w:spacing w:val="-4"/>
        </w:rPr>
        <w:t>日原内蒙古自治区环境保护厅以内环审〔</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
        </w:rPr>
        <w:t>014</w:t>
      </w:r>
      <w:r>
        <w:rPr>
          <w:rFonts w:ascii="SimSun" w:hAnsi="SimSun" w:eastAsia="SimSun" w:cs="SimSun"/>
          <w:sz w:val="24"/>
          <w:szCs w:val="24"/>
          <w:spacing w:val="-5"/>
        </w:rPr>
        <w:t>〕</w:t>
      </w:r>
      <w:r>
        <w:rPr>
          <w:rFonts w:ascii="Times New Roman" w:hAnsi="Times New Roman" w:eastAsia="Times New Roman" w:cs="Times New Roman"/>
          <w:sz w:val="24"/>
          <w:szCs w:val="24"/>
          <w:spacing w:val="-5"/>
        </w:rPr>
        <w:t>35  </w:t>
      </w:r>
      <w:r>
        <w:rPr>
          <w:rFonts w:ascii="SimSun" w:hAnsi="SimSun" w:eastAsia="SimSun" w:cs="SimSun"/>
          <w:sz w:val="24"/>
          <w:szCs w:val="24"/>
          <w:spacing w:val="-5"/>
        </w:rPr>
        <w:t>号下发了《关于</w:t>
      </w:r>
      <w:r>
        <w:rPr>
          <w:rFonts w:ascii="SimSun" w:hAnsi="SimSun" w:eastAsia="SimSun" w:cs="SimSun"/>
          <w:sz w:val="24"/>
          <w:szCs w:val="24"/>
          <w:spacing w:val="-1"/>
        </w:rPr>
        <w:t>内蒙古白音华海州露天煤矿有限公司白音华四号露天矿二期工程（井工矿）</w:t>
      </w:r>
      <w:r>
        <w:rPr>
          <w:rFonts w:ascii="SimSun" w:hAnsi="SimSun" w:eastAsia="SimSun" w:cs="SimSun"/>
          <w:sz w:val="24"/>
          <w:szCs w:val="24"/>
          <w:spacing w:val="-2"/>
        </w:rPr>
        <w:t>环境影响报</w:t>
      </w:r>
      <w:r>
        <w:rPr>
          <w:rFonts w:ascii="SimSun" w:hAnsi="SimSun" w:eastAsia="SimSun" w:cs="SimSun"/>
          <w:sz w:val="24"/>
          <w:szCs w:val="24"/>
          <w:spacing w:val="-2"/>
        </w:rPr>
        <w:t>告的批复》批复，批复白音华四号露天矿二期工程（井工矿）</w:t>
      </w:r>
      <w:r>
        <w:rPr>
          <w:rFonts w:ascii="SimSun" w:hAnsi="SimSun" w:eastAsia="SimSun" w:cs="SimSun"/>
          <w:sz w:val="24"/>
          <w:szCs w:val="24"/>
          <w:spacing w:val="-3"/>
        </w:rPr>
        <w:t>的生产能力为 </w:t>
      </w:r>
      <w:r>
        <w:rPr>
          <w:rFonts w:ascii="Times New Roman" w:hAnsi="Times New Roman" w:eastAsia="Times New Roman" w:cs="Times New Roman"/>
          <w:sz w:val="24"/>
          <w:szCs w:val="24"/>
          <w:spacing w:val="-3"/>
        </w:rPr>
        <w:t>500 </w:t>
      </w:r>
      <w:r>
        <w:rPr>
          <w:rFonts w:ascii="SimSun" w:hAnsi="SimSun" w:eastAsia="SimSun" w:cs="SimSun"/>
          <w:sz w:val="24"/>
          <w:szCs w:val="24"/>
          <w:spacing w:val="-3"/>
        </w:rPr>
        <w:t>万</w:t>
      </w:r>
      <w:r>
        <w:rPr>
          <w:rFonts w:ascii="Times New Roman" w:hAnsi="Times New Roman" w:eastAsia="Times New Roman" w:cs="Times New Roman"/>
          <w:sz w:val="24"/>
          <w:szCs w:val="24"/>
          <w:spacing w:val="-3"/>
        </w:rPr>
        <w:t>t/a</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5"/>
        </w:rPr>
        <w:t>2016 </w:t>
      </w:r>
      <w:r>
        <w:rPr>
          <w:rFonts w:ascii="SimSun" w:hAnsi="SimSun" w:eastAsia="SimSun" w:cs="SimSun"/>
          <w:sz w:val="24"/>
          <w:szCs w:val="24"/>
          <w:spacing w:val="-5"/>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12 </w:t>
      </w:r>
      <w:r>
        <w:rPr>
          <w:rFonts w:ascii="SimSun" w:hAnsi="SimSun" w:eastAsia="SimSun" w:cs="SimSun"/>
          <w:sz w:val="24"/>
          <w:szCs w:val="24"/>
          <w:spacing w:val="-5"/>
        </w:rPr>
        <w:t>月</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5"/>
        </w:rPr>
        <w:t>23  </w:t>
      </w:r>
      <w:r>
        <w:rPr>
          <w:rFonts w:ascii="SimSun" w:hAnsi="SimSun" w:eastAsia="SimSun" w:cs="SimSun"/>
          <w:sz w:val="24"/>
          <w:szCs w:val="24"/>
          <w:spacing w:val="-5"/>
        </w:rPr>
        <w:t>日国家发展与改革委员会以发改能源〔</w:t>
      </w:r>
      <w:r>
        <w:rPr>
          <w:rFonts w:ascii="Times New Roman" w:hAnsi="Times New Roman" w:eastAsia="Times New Roman" w:cs="Times New Roman"/>
          <w:sz w:val="24"/>
          <w:szCs w:val="24"/>
          <w:spacing w:val="-5"/>
        </w:rPr>
        <w:t>2016</w:t>
      </w:r>
      <w:r>
        <w:rPr>
          <w:rFonts w:ascii="SimSun" w:hAnsi="SimSun" w:eastAsia="SimSun" w:cs="SimSun"/>
          <w:sz w:val="24"/>
          <w:szCs w:val="24"/>
          <w:spacing w:val="-5"/>
        </w:rPr>
        <w:t>〕</w:t>
      </w:r>
      <w:r>
        <w:rPr>
          <w:rFonts w:ascii="Times New Roman" w:hAnsi="Times New Roman" w:eastAsia="Times New Roman" w:cs="Times New Roman"/>
          <w:sz w:val="24"/>
          <w:szCs w:val="24"/>
          <w:spacing w:val="-5"/>
        </w:rPr>
        <w:t>2725 </w:t>
      </w:r>
      <w:r>
        <w:rPr>
          <w:rFonts w:ascii="SimSun" w:hAnsi="SimSun" w:eastAsia="SimSun" w:cs="SimSun"/>
          <w:sz w:val="24"/>
          <w:szCs w:val="24"/>
          <w:spacing w:val="-5"/>
        </w:rPr>
        <w:t>号文对项目进行了核</w:t>
      </w:r>
      <w:r>
        <w:rPr>
          <w:rFonts w:ascii="SimSun" w:hAnsi="SimSun" w:eastAsia="SimSun" w:cs="SimSun"/>
          <w:sz w:val="24"/>
          <w:szCs w:val="24"/>
          <w:spacing w:val="-4"/>
        </w:rPr>
        <w:t>准批复。</w:t>
      </w:r>
    </w:p>
    <w:p>
      <w:pPr>
        <w:ind w:left="8" w:right="78" w:firstLine="469"/>
        <w:spacing w:before="1" w:line="338" w:lineRule="auto"/>
        <w:jc w:val="both"/>
        <w:rPr>
          <w:rFonts w:ascii="SimSun" w:hAnsi="SimSun" w:eastAsia="SimSun" w:cs="SimSun"/>
          <w:sz w:val="24"/>
          <w:szCs w:val="24"/>
        </w:rPr>
      </w:pPr>
      <w:r>
        <w:rPr>
          <w:rFonts w:ascii="Times New Roman" w:hAnsi="Times New Roman" w:eastAsia="Times New Roman" w:cs="Times New Roman"/>
          <w:sz w:val="24"/>
          <w:szCs w:val="24"/>
          <w:spacing w:val="-6"/>
        </w:rPr>
        <w:t>2017 </w:t>
      </w:r>
      <w:r>
        <w:rPr>
          <w:rFonts w:ascii="SimSun" w:hAnsi="SimSun" w:eastAsia="SimSun" w:cs="SimSun"/>
          <w:sz w:val="24"/>
          <w:szCs w:val="24"/>
          <w:spacing w:val="-6"/>
        </w:rPr>
        <w:t>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6 </w:t>
      </w:r>
      <w:r>
        <w:rPr>
          <w:rFonts w:ascii="SimSun" w:hAnsi="SimSun" w:eastAsia="SimSun" w:cs="SimSun"/>
          <w:sz w:val="24"/>
          <w:szCs w:val="24"/>
          <w:spacing w:val="-6"/>
        </w:rPr>
        <w:t>月</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日白音华四号露天矿二期工程（井工矿）投入试运营。</w:t>
      </w:r>
      <w:r>
        <w:rPr>
          <w:rFonts w:ascii="Times New Roman" w:hAnsi="Times New Roman" w:eastAsia="Times New Roman" w:cs="Times New Roman"/>
          <w:sz w:val="24"/>
          <w:szCs w:val="24"/>
          <w:spacing w:val="-6"/>
        </w:rPr>
        <w:t>2018 </w:t>
      </w:r>
      <w:r>
        <w:rPr>
          <w:rFonts w:ascii="SimSun" w:hAnsi="SimSun" w:eastAsia="SimSun" w:cs="SimSun"/>
          <w:sz w:val="24"/>
          <w:szCs w:val="24"/>
          <w:spacing w:val="-6"/>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6"/>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1"/>
        </w:rPr>
        <w:t>锡林郭勒盟环境保护局以锡环验〔</w:t>
      </w:r>
      <w:r>
        <w:rPr>
          <w:rFonts w:ascii="Times New Roman" w:hAnsi="Times New Roman" w:eastAsia="Times New Roman" w:cs="Times New Roman"/>
          <w:sz w:val="24"/>
          <w:szCs w:val="24"/>
          <w:spacing w:val="-1"/>
        </w:rPr>
        <w:t>2018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号文同意通过项目噪声</w:t>
      </w:r>
      <w:r>
        <w:rPr>
          <w:rFonts w:ascii="SimSun" w:hAnsi="SimSun" w:eastAsia="SimSun" w:cs="SimSun"/>
          <w:sz w:val="24"/>
          <w:szCs w:val="24"/>
          <w:spacing w:val="-2"/>
        </w:rPr>
        <w:t>和固废部分设施竣工</w:t>
      </w:r>
      <w:r>
        <w:rPr>
          <w:rFonts w:ascii="SimSun" w:hAnsi="SimSun" w:eastAsia="SimSun" w:cs="SimSun"/>
          <w:sz w:val="24"/>
          <w:szCs w:val="24"/>
          <w:spacing w:val="-4"/>
        </w:rPr>
        <w:t>环境保护验收。</w:t>
      </w:r>
    </w:p>
    <w:p>
      <w:pPr>
        <w:ind w:left="8" w:firstLine="469"/>
        <w:spacing w:before="4" w:line="338" w:lineRule="auto"/>
        <w:jc w:val="both"/>
        <w:rPr>
          <w:rFonts w:ascii="SimSun" w:hAnsi="SimSun" w:eastAsia="SimSun" w:cs="SimSun"/>
          <w:sz w:val="24"/>
          <w:szCs w:val="24"/>
        </w:rPr>
      </w:pPr>
      <w:r>
        <w:rPr>
          <w:rFonts w:ascii="Times New Roman" w:hAnsi="Times New Roman" w:eastAsia="Times New Roman" w:cs="Times New Roman"/>
          <w:sz w:val="24"/>
          <w:szCs w:val="24"/>
          <w:spacing w:val="-9"/>
        </w:rPr>
        <w:t>2019 </w:t>
      </w:r>
      <w:r>
        <w:rPr>
          <w:rFonts w:ascii="SimSun" w:hAnsi="SimSun" w:eastAsia="SimSun" w:cs="SimSun"/>
          <w:sz w:val="24"/>
          <w:szCs w:val="24"/>
          <w:spacing w:val="-9"/>
        </w:rPr>
        <w:t>年</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9"/>
        </w:rPr>
        <w:t>12</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9"/>
        </w:rPr>
        <w:t>月，根据国家安全监管总局、国家煤矿安监局、国家</w:t>
      </w:r>
      <w:r>
        <w:rPr>
          <w:rFonts w:ascii="SimSun" w:hAnsi="SimSun" w:eastAsia="SimSun" w:cs="SimSun"/>
          <w:sz w:val="24"/>
          <w:szCs w:val="24"/>
          <w:spacing w:val="-10"/>
        </w:rPr>
        <w:t>发展改革委、国家 能</w:t>
      </w:r>
      <w:r>
        <w:rPr>
          <w:rFonts w:ascii="SimSun" w:hAnsi="SimSun" w:eastAsia="SimSun" w:cs="SimSun"/>
          <w:sz w:val="24"/>
          <w:szCs w:val="24"/>
          <w:spacing w:val="-12"/>
        </w:rPr>
        <w:t>源局《关于印发煤矿生产能力管理办法和核定标准的通知》（安监总煤行〔</w:t>
      </w:r>
      <w:r>
        <w:rPr>
          <w:rFonts w:ascii="Times New Roman" w:hAnsi="Times New Roman" w:eastAsia="Times New Roman" w:cs="Times New Roman"/>
          <w:sz w:val="24"/>
          <w:szCs w:val="24"/>
          <w:spacing w:val="-12"/>
        </w:rPr>
        <w:t>2014</w:t>
      </w:r>
      <w:r>
        <w:rPr>
          <w:rFonts w:ascii="SimSun" w:hAnsi="SimSun" w:eastAsia="SimSun" w:cs="SimSun"/>
          <w:sz w:val="24"/>
          <w:szCs w:val="24"/>
          <w:spacing w:val="-12"/>
        </w:rPr>
        <w:t>〕</w:t>
      </w:r>
      <w:r>
        <w:rPr>
          <w:rFonts w:ascii="Times New Roman" w:hAnsi="Times New Roman" w:eastAsia="Times New Roman" w:cs="Times New Roman"/>
          <w:sz w:val="24"/>
          <w:szCs w:val="24"/>
          <w:spacing w:val="-12"/>
        </w:rPr>
        <w:t>61 </w:t>
      </w:r>
      <w:r>
        <w:rPr>
          <w:rFonts w:ascii="SimSun" w:hAnsi="SimSun" w:eastAsia="SimSun" w:cs="SimSun"/>
          <w:sz w:val="24"/>
          <w:szCs w:val="24"/>
          <w:spacing w:val="-12"/>
        </w:rPr>
        <w:t>号）、</w:t>
      </w:r>
      <w:r>
        <w:rPr>
          <w:rFonts w:ascii="SimSun" w:hAnsi="SimSun" w:eastAsia="SimSun" w:cs="SimSun"/>
          <w:sz w:val="24"/>
          <w:szCs w:val="24"/>
          <w:spacing w:val="15"/>
        </w:rPr>
        <w:t xml:space="preserve"> </w:t>
      </w:r>
      <w:r>
        <w:rPr>
          <w:rFonts w:ascii="SimSun" w:hAnsi="SimSun" w:eastAsia="SimSun" w:cs="SimSun"/>
          <w:sz w:val="24"/>
          <w:szCs w:val="24"/>
          <w:spacing w:val="-4"/>
        </w:rPr>
        <w:t>《关于做好符合条件的优质产能煤矿生产能力核定工作的通知》（发改运行〔</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
        </w:rPr>
        <w:t>017</w:t>
      </w:r>
      <w:r>
        <w:rPr>
          <w:rFonts w:ascii="SimSun" w:hAnsi="SimSun" w:eastAsia="SimSun" w:cs="SimSun"/>
          <w:sz w:val="24"/>
          <w:szCs w:val="24"/>
          <w:spacing w:val="-5"/>
        </w:rPr>
        <w:t>〕</w:t>
      </w:r>
      <w:r>
        <w:rPr>
          <w:rFonts w:ascii="Times New Roman" w:hAnsi="Times New Roman" w:eastAsia="Times New Roman" w:cs="Times New Roman"/>
          <w:sz w:val="24"/>
          <w:szCs w:val="24"/>
          <w:spacing w:val="-5"/>
        </w:rPr>
        <w:t>763</w:t>
      </w:r>
      <w:r>
        <w:rPr>
          <w:rFonts w:ascii="SimSun" w:hAnsi="SimSun" w:eastAsia="SimSun" w:cs="SimSun"/>
          <w:sz w:val="24"/>
          <w:szCs w:val="24"/>
          <w:spacing w:val="-1"/>
        </w:rPr>
        <w:t>号）以及内蒙古自治区煤炭工业局文件《关于煤矿生产能力核定资质</w:t>
      </w:r>
      <w:r>
        <w:rPr>
          <w:rFonts w:ascii="SimSun" w:hAnsi="SimSun" w:eastAsia="SimSun" w:cs="SimSun"/>
          <w:sz w:val="24"/>
          <w:szCs w:val="24"/>
          <w:spacing w:val="-2"/>
        </w:rPr>
        <w:t>管理工作有关事宜</w:t>
      </w:r>
      <w:r>
        <w:rPr>
          <w:rFonts w:ascii="SimSun" w:hAnsi="SimSun" w:eastAsia="SimSun" w:cs="SimSun"/>
          <w:sz w:val="24"/>
          <w:szCs w:val="24"/>
          <w:spacing w:val="-1"/>
        </w:rPr>
        <w:t>的通知》（内煤局字〔</w:t>
      </w:r>
      <w:r>
        <w:rPr>
          <w:rFonts w:ascii="Times New Roman" w:hAnsi="Times New Roman" w:eastAsia="Times New Roman" w:cs="Times New Roman"/>
          <w:sz w:val="24"/>
          <w:szCs w:val="24"/>
          <w:spacing w:val="-1"/>
        </w:rPr>
        <w:t>2014</w:t>
      </w:r>
      <w:r>
        <w:rPr>
          <w:rFonts w:ascii="SimSun" w:hAnsi="SimSun" w:eastAsia="SimSun" w:cs="SimSun"/>
          <w:sz w:val="24"/>
          <w:szCs w:val="24"/>
          <w:spacing w:val="-1"/>
        </w:rPr>
        <w:t>〕</w:t>
      </w:r>
      <w:r>
        <w:rPr>
          <w:rFonts w:ascii="Times New Roman" w:hAnsi="Times New Roman" w:eastAsia="Times New Roman" w:cs="Times New Roman"/>
          <w:sz w:val="24"/>
          <w:szCs w:val="24"/>
          <w:spacing w:val="-1"/>
        </w:rPr>
        <w:t>355 </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号）等通知，白音华四号露天矿二期工程（井工矿）</w:t>
      </w:r>
      <w:r>
        <w:rPr>
          <w:rFonts w:ascii="SimSun" w:hAnsi="SimSun" w:eastAsia="SimSun" w:cs="SimSun"/>
          <w:sz w:val="24"/>
          <w:szCs w:val="24"/>
          <w:spacing w:val="-4"/>
        </w:rPr>
        <w:t>煤矿进行矿井生产能力核定工作，核定矿井具备了</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800  </w:t>
      </w:r>
      <w:r>
        <w:rPr>
          <w:rFonts w:ascii="SimSun" w:hAnsi="SimSun" w:eastAsia="SimSun" w:cs="SimSun"/>
          <w:sz w:val="24"/>
          <w:szCs w:val="24"/>
          <w:spacing w:val="-4"/>
        </w:rPr>
        <w:t>万吨</w:t>
      </w:r>
      <w:r>
        <w:rPr>
          <w:rFonts w:ascii="Times New Roman" w:hAnsi="Times New Roman" w:eastAsia="Times New Roman" w:cs="Times New Roman"/>
          <w:sz w:val="24"/>
          <w:szCs w:val="24"/>
          <w:spacing w:val="-4"/>
        </w:rPr>
        <w:t>/</w:t>
      </w:r>
      <w:r>
        <w:rPr>
          <w:rFonts w:ascii="SimSun" w:hAnsi="SimSun" w:eastAsia="SimSun" w:cs="SimSun"/>
          <w:sz w:val="24"/>
          <w:szCs w:val="24"/>
          <w:spacing w:val="-4"/>
        </w:rPr>
        <w:t>年的生产条件。</w:t>
      </w:r>
    </w:p>
    <w:p>
      <w:pPr>
        <w:ind w:right="80" w:firstLine="482"/>
        <w:spacing w:before="3" w:line="338" w:lineRule="auto"/>
        <w:jc w:val="both"/>
        <w:rPr>
          <w:rFonts w:ascii="SimSun" w:hAnsi="SimSun" w:eastAsia="SimSun" w:cs="SimSun"/>
          <w:sz w:val="24"/>
          <w:szCs w:val="24"/>
        </w:rPr>
      </w:pPr>
      <w:r>
        <w:rPr>
          <w:rFonts w:ascii="Times New Roman" w:hAnsi="Times New Roman" w:eastAsia="Times New Roman" w:cs="Times New Roman"/>
          <w:sz w:val="24"/>
          <w:szCs w:val="24"/>
          <w:spacing w:val="-3"/>
        </w:rPr>
        <w:t>2019 </w:t>
      </w:r>
      <w:r>
        <w:rPr>
          <w:rFonts w:ascii="SimSun" w:hAnsi="SimSun" w:eastAsia="SimSun" w:cs="SimSun"/>
          <w:sz w:val="24"/>
          <w:szCs w:val="24"/>
          <w:spacing w:val="-3"/>
        </w:rPr>
        <w:t>年</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月，依据国家发展和改革委员会文件《国家发展改革委关于</w:t>
      </w:r>
      <w:r>
        <w:rPr>
          <w:rFonts w:ascii="SimSun" w:hAnsi="SimSun" w:eastAsia="SimSun" w:cs="SimSun"/>
          <w:sz w:val="24"/>
          <w:szCs w:val="24"/>
          <w:spacing w:val="-4"/>
        </w:rPr>
        <w:t>进一步加快</w:t>
      </w:r>
      <w:r>
        <w:rPr>
          <w:rFonts w:ascii="SimSun" w:hAnsi="SimSun" w:eastAsia="SimSun" w:cs="SimSun"/>
          <w:sz w:val="24"/>
          <w:szCs w:val="24"/>
          <w:spacing w:val="-4"/>
        </w:rPr>
        <w:t>建设煤矿产能置换工作的通知》（发改能源〔</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5"/>
        </w:rPr>
        <w:t>17</w:t>
      </w:r>
      <w:r>
        <w:rPr>
          <w:rFonts w:ascii="SimSun" w:hAnsi="SimSun" w:eastAsia="SimSun" w:cs="SimSun"/>
          <w:sz w:val="24"/>
          <w:szCs w:val="24"/>
          <w:spacing w:val="-5"/>
        </w:rPr>
        <w:t>〕</w:t>
      </w:r>
      <w:r>
        <w:rPr>
          <w:rFonts w:ascii="Times New Roman" w:hAnsi="Times New Roman" w:eastAsia="Times New Roman" w:cs="Times New Roman"/>
          <w:sz w:val="24"/>
          <w:szCs w:val="24"/>
          <w:spacing w:val="-5"/>
        </w:rPr>
        <w:t>609 </w:t>
      </w:r>
      <w:r>
        <w:rPr>
          <w:rFonts w:ascii="SimSun" w:hAnsi="SimSun" w:eastAsia="SimSun" w:cs="SimSun"/>
          <w:sz w:val="24"/>
          <w:szCs w:val="24"/>
          <w:spacing w:val="-5"/>
        </w:rPr>
        <w:t>号</w:t>
      </w:r>
      <w:r>
        <w:rPr>
          <w:rFonts w:ascii="SimSun" w:hAnsi="SimSun" w:eastAsia="SimSun" w:cs="SimSun"/>
          <w:sz w:val="24"/>
          <w:szCs w:val="24"/>
          <w:spacing w:val="-17"/>
        </w:rPr>
        <w:t>）</w:t>
      </w:r>
      <w:r>
        <w:rPr>
          <w:rFonts w:ascii="SimSun" w:hAnsi="SimSun" w:eastAsia="SimSun" w:cs="SimSun"/>
          <w:sz w:val="24"/>
          <w:szCs w:val="24"/>
          <w:spacing w:val="-43"/>
        </w:rPr>
        <w:t xml:space="preserve"> </w:t>
      </w:r>
      <w:r>
        <w:rPr>
          <w:rFonts w:ascii="SimSun" w:hAnsi="SimSun" w:eastAsia="SimSun" w:cs="SimSun"/>
          <w:sz w:val="24"/>
          <w:szCs w:val="24"/>
          <w:spacing w:val="-17"/>
        </w:rPr>
        <w:t>，</w:t>
      </w:r>
      <w:r>
        <w:rPr>
          <w:rFonts w:ascii="SimSun" w:hAnsi="SimSun" w:eastAsia="SimSun" w:cs="SimSun"/>
          <w:sz w:val="24"/>
          <w:szCs w:val="24"/>
          <w:spacing w:val="-23"/>
        </w:rPr>
        <w:t xml:space="preserve"> </w:t>
      </w:r>
      <w:r>
        <w:rPr>
          <w:rFonts w:ascii="SimSun" w:hAnsi="SimSun" w:eastAsia="SimSun" w:cs="SimSun"/>
          <w:sz w:val="24"/>
          <w:szCs w:val="24"/>
          <w:spacing w:val="-5"/>
        </w:rPr>
        <w:t>白音华四号露天矿二期</w:t>
      </w:r>
      <w:r>
        <w:rPr>
          <w:rFonts w:ascii="SimSun" w:hAnsi="SimSun" w:eastAsia="SimSun" w:cs="SimSun"/>
          <w:sz w:val="24"/>
          <w:szCs w:val="24"/>
          <w:spacing w:val="-2"/>
        </w:rPr>
        <w:t>工程（井工矿）取得了</w:t>
      </w:r>
      <w:r>
        <w:rPr>
          <w:rFonts w:ascii="Times New Roman" w:hAnsi="Times New Roman" w:eastAsia="Times New Roman" w:cs="Times New Roman"/>
          <w:sz w:val="24"/>
          <w:szCs w:val="24"/>
          <w:spacing w:val="-2"/>
        </w:rPr>
        <w:t>“</w:t>
      </w:r>
      <w:r>
        <w:rPr>
          <w:rFonts w:ascii="SimSun" w:hAnsi="SimSun" w:eastAsia="SimSun" w:cs="SimSun"/>
          <w:sz w:val="24"/>
          <w:szCs w:val="24"/>
          <w:spacing w:val="-2"/>
        </w:rPr>
        <w:t>国家发展改革委办公厅关于白音华四号井工矿</w:t>
      </w:r>
      <w:r>
        <w:rPr>
          <w:rFonts w:ascii="SimSun" w:hAnsi="SimSun" w:eastAsia="SimSun" w:cs="SimSun"/>
          <w:sz w:val="24"/>
          <w:szCs w:val="24"/>
          <w:spacing w:val="-3"/>
        </w:rPr>
        <w:t>等 </w:t>
      </w:r>
      <w:r>
        <w:rPr>
          <w:rFonts w:ascii="Times New Roman" w:hAnsi="Times New Roman" w:eastAsia="Times New Roman" w:cs="Times New Roman"/>
          <w:sz w:val="24"/>
          <w:szCs w:val="24"/>
          <w:spacing w:val="-3"/>
        </w:rPr>
        <w:t>4 </w:t>
      </w:r>
      <w:r>
        <w:rPr>
          <w:rFonts w:ascii="SimSun" w:hAnsi="SimSun" w:eastAsia="SimSun" w:cs="SimSun"/>
          <w:sz w:val="24"/>
          <w:szCs w:val="24"/>
          <w:spacing w:val="-3"/>
        </w:rPr>
        <w:t>处煤矿核增</w:t>
      </w:r>
      <w:r>
        <w:rPr>
          <w:rFonts w:ascii="SimSun" w:hAnsi="SimSun" w:eastAsia="SimSun" w:cs="SimSun"/>
          <w:sz w:val="24"/>
          <w:szCs w:val="24"/>
          <w:spacing w:val="-4"/>
        </w:rPr>
        <w:t>生产能力产能置换方案的复函</w:t>
      </w:r>
      <w:r>
        <w:rPr>
          <w:rFonts w:ascii="Times New Roman" w:hAnsi="Times New Roman" w:eastAsia="Times New Roman" w:cs="Times New Roman"/>
          <w:sz w:val="24"/>
          <w:szCs w:val="24"/>
          <w:spacing w:val="-4"/>
        </w:rPr>
        <w:t>”</w:t>
      </w:r>
      <w:r>
        <w:rPr>
          <w:rFonts w:ascii="SimSun" w:hAnsi="SimSun" w:eastAsia="SimSun" w:cs="SimSun"/>
          <w:sz w:val="24"/>
          <w:szCs w:val="24"/>
          <w:spacing w:val="-4"/>
        </w:rPr>
        <w:t>（发改办运行〔</w:t>
      </w:r>
      <w:r>
        <w:rPr>
          <w:rFonts w:ascii="Times New Roman" w:hAnsi="Times New Roman" w:eastAsia="Times New Roman" w:cs="Times New Roman"/>
          <w:sz w:val="24"/>
          <w:szCs w:val="24"/>
          <w:spacing w:val="-4"/>
        </w:rPr>
        <w:t>2019</w:t>
      </w:r>
      <w:r>
        <w:rPr>
          <w:rFonts w:ascii="SimSun" w:hAnsi="SimSun" w:eastAsia="SimSun" w:cs="SimSun"/>
          <w:sz w:val="24"/>
          <w:szCs w:val="24"/>
          <w:spacing w:val="-4"/>
        </w:rPr>
        <w:t>〕</w:t>
      </w:r>
      <w:r>
        <w:rPr>
          <w:rFonts w:ascii="Times New Roman" w:hAnsi="Times New Roman" w:eastAsia="Times New Roman" w:cs="Times New Roman"/>
          <w:sz w:val="24"/>
          <w:szCs w:val="24"/>
          <w:spacing w:val="-4"/>
        </w:rPr>
        <w:t>1130 </w:t>
      </w:r>
      <w:r>
        <w:rPr>
          <w:rFonts w:ascii="SimSun" w:hAnsi="SimSun" w:eastAsia="SimSun" w:cs="SimSun"/>
          <w:sz w:val="24"/>
          <w:szCs w:val="24"/>
          <w:spacing w:val="-4"/>
        </w:rPr>
        <w:t>号</w:t>
      </w:r>
      <w:r>
        <w:rPr>
          <w:rFonts w:ascii="SimSun" w:hAnsi="SimSun" w:eastAsia="SimSun" w:cs="SimSun"/>
          <w:sz w:val="24"/>
          <w:szCs w:val="24"/>
          <w:spacing w:val="-13"/>
        </w:rPr>
        <w:t>），</w:t>
      </w:r>
      <w:r>
        <w:rPr>
          <w:rFonts w:ascii="SimSun" w:hAnsi="SimSun" w:eastAsia="SimSun" w:cs="SimSun"/>
          <w:sz w:val="24"/>
          <w:szCs w:val="24"/>
          <w:spacing w:val="-4"/>
        </w:rPr>
        <w:t>置换产能指标</w:t>
      </w:r>
      <w:r>
        <w:rPr>
          <w:rFonts w:ascii="SimSun" w:hAnsi="SimSun" w:eastAsia="SimSun" w:cs="SimSun"/>
          <w:sz w:val="24"/>
          <w:szCs w:val="24"/>
          <w:spacing w:val="-69"/>
        </w:rPr>
        <w:t xml:space="preserve"> </w:t>
      </w:r>
      <w:r>
        <w:rPr>
          <w:rFonts w:ascii="Times New Roman" w:hAnsi="Times New Roman" w:eastAsia="Times New Roman" w:cs="Times New Roman"/>
          <w:sz w:val="24"/>
          <w:szCs w:val="24"/>
          <w:spacing w:val="-4"/>
        </w:rPr>
        <w:t>300 </w:t>
      </w:r>
      <w:r>
        <w:rPr>
          <w:rFonts w:ascii="SimSun" w:hAnsi="SimSun" w:eastAsia="SimSun" w:cs="SimSun"/>
          <w:sz w:val="24"/>
          <w:szCs w:val="24"/>
          <w:spacing w:val="-4"/>
        </w:rPr>
        <w:t>万吨</w:t>
      </w:r>
      <w:r>
        <w:rPr>
          <w:rFonts w:ascii="Times New Roman" w:hAnsi="Times New Roman" w:eastAsia="Times New Roman" w:cs="Times New Roman"/>
          <w:sz w:val="24"/>
          <w:szCs w:val="24"/>
          <w:spacing w:val="-4"/>
        </w:rPr>
        <w:t>/</w:t>
      </w:r>
      <w:r>
        <w:rPr>
          <w:rFonts w:ascii="SimSun" w:hAnsi="SimSun" w:eastAsia="SimSun" w:cs="SimSun"/>
          <w:sz w:val="24"/>
          <w:szCs w:val="24"/>
          <w:spacing w:val="-4"/>
        </w:rPr>
        <w:t>年。</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  </w:t>
      </w:r>
      <w:r>
        <w:rPr>
          <w:rFonts w:ascii="SimSun" w:hAnsi="SimSun" w:eastAsia="SimSun" w:cs="SimSun"/>
          <w:sz w:val="24"/>
          <w:szCs w:val="24"/>
          <w:spacing w:val="-4"/>
        </w:rPr>
        <w:t>日生态环境部召开了保供项目环评工作协调推进会，根据</w:t>
      </w:r>
      <w:r>
        <w:rPr>
          <w:rFonts w:ascii="Times New Roman" w:hAnsi="Times New Roman" w:eastAsia="Times New Roman" w:cs="Times New Roman"/>
          <w:sz w:val="24"/>
          <w:szCs w:val="24"/>
          <w:spacing w:val="-4"/>
        </w:rPr>
        <w:t>“</w:t>
      </w:r>
      <w:r>
        <w:rPr>
          <w:rFonts w:ascii="SimSun" w:hAnsi="SimSun" w:eastAsia="SimSun" w:cs="SimSun"/>
          <w:sz w:val="24"/>
          <w:szCs w:val="24"/>
          <w:spacing w:val="-4"/>
        </w:rPr>
        <w:t>关于煤</w:t>
      </w:r>
      <w:r>
        <w:rPr>
          <w:rFonts w:ascii="SimSun" w:hAnsi="SimSun" w:eastAsia="SimSun" w:cs="SimSun"/>
          <w:sz w:val="24"/>
          <w:szCs w:val="24"/>
        </w:rPr>
        <w:t>炭保供项目环评工作协调推进会的纪要</w:t>
      </w:r>
      <w:r>
        <w:rPr>
          <w:rFonts w:ascii="Times New Roman" w:hAnsi="Times New Roman" w:eastAsia="Times New Roman" w:cs="Times New Roman"/>
          <w:sz w:val="24"/>
          <w:szCs w:val="24"/>
        </w:rPr>
        <w:t>”</w:t>
      </w:r>
      <w:r>
        <w:rPr>
          <w:rFonts w:ascii="SimSun" w:hAnsi="SimSun" w:eastAsia="SimSun" w:cs="SimSun"/>
          <w:sz w:val="24"/>
          <w:szCs w:val="24"/>
        </w:rPr>
        <w:t>本项目属于环评批复后产能核增项目，可通过</w:t>
      </w:r>
      <w:r>
        <w:rPr>
          <w:rFonts w:ascii="SimSun" w:hAnsi="SimSun" w:eastAsia="SimSun" w:cs="SimSun"/>
          <w:sz w:val="24"/>
          <w:szCs w:val="24"/>
          <w:spacing w:val="-1"/>
        </w:rPr>
        <w:t>开展环境影响后评价方式完善手续。</w:t>
      </w:r>
    </w:p>
    <w:p>
      <w:pPr>
        <w:ind w:left="9" w:right="85" w:firstLine="475"/>
        <w:spacing w:before="1" w:line="340" w:lineRule="auto"/>
        <w:jc w:val="both"/>
        <w:rPr>
          <w:rFonts w:ascii="SimSun" w:hAnsi="SimSun" w:eastAsia="SimSun" w:cs="SimSun"/>
          <w:sz w:val="24"/>
          <w:szCs w:val="24"/>
        </w:rPr>
      </w:pPr>
      <w:r>
        <w:rPr>
          <w:rFonts w:ascii="Times New Roman" w:hAnsi="Times New Roman" w:eastAsia="Times New Roman" w:cs="Times New Roman"/>
          <w:sz w:val="24"/>
          <w:szCs w:val="24"/>
          <w:spacing w:val="-6"/>
        </w:rPr>
        <w:t>2021 </w:t>
      </w:r>
      <w:r>
        <w:rPr>
          <w:rFonts w:ascii="SimSun" w:hAnsi="SimSun" w:eastAsia="SimSun" w:cs="SimSun"/>
          <w:sz w:val="24"/>
          <w:szCs w:val="24"/>
          <w:spacing w:val="-6"/>
        </w:rPr>
        <w:t>年</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10  </w:t>
      </w:r>
      <w:r>
        <w:rPr>
          <w:rFonts w:ascii="SimSun" w:hAnsi="SimSun" w:eastAsia="SimSun" w:cs="SimSun"/>
          <w:sz w:val="24"/>
          <w:szCs w:val="24"/>
          <w:spacing w:val="-6"/>
        </w:rPr>
        <w:t>日内蒙古自治区能源局下发了《关于内蒙古白音华四号露天矿二期</w:t>
      </w:r>
      <w:r>
        <w:rPr>
          <w:rFonts w:ascii="SimSun" w:hAnsi="SimSun" w:eastAsia="SimSun" w:cs="SimSun"/>
          <w:sz w:val="24"/>
          <w:szCs w:val="24"/>
          <w:spacing w:val="-3"/>
        </w:rPr>
        <w:t>工程（井工矿）生产能力核定的复函》（内能煤运函〔</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w:t>
      </w:r>
      <w:r>
        <w:rPr>
          <w:rFonts w:ascii="Times New Roman" w:hAnsi="Times New Roman" w:eastAsia="Times New Roman" w:cs="Times New Roman"/>
          <w:sz w:val="24"/>
          <w:szCs w:val="24"/>
          <w:spacing w:val="-3"/>
        </w:rPr>
        <w:t>1107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SimSun" w:hAnsi="SimSun" w:eastAsia="SimSun" w:cs="SimSun"/>
          <w:sz w:val="24"/>
          <w:szCs w:val="24"/>
          <w:spacing w:val="-4"/>
        </w:rPr>
        <w:t>）文件，批准项目</w:t>
      </w:r>
      <w:r>
        <w:rPr>
          <w:rFonts w:ascii="SimSun" w:hAnsi="SimSun" w:eastAsia="SimSun" w:cs="SimSun"/>
          <w:sz w:val="24"/>
          <w:szCs w:val="24"/>
          <w:spacing w:val="-3"/>
        </w:rPr>
        <w:t>井工生产能力为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800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p>
    <w:p>
      <w:pPr>
        <w:spacing w:line="340" w:lineRule="auto"/>
        <w:sectPr>
          <w:footerReference w:type="default" r:id="rId8"/>
          <w:pgSz w:w="11906" w:h="16838"/>
          <w:pgMar w:top="1170" w:right="1332" w:bottom="1080" w:left="1416" w:header="837" w:footer="918" w:gutter="0"/>
        </w:sectPr>
        <w:rPr>
          <w:rFonts w:ascii="SimSun" w:hAnsi="SimSun" w:eastAsia="SimSun" w:cs="SimSun"/>
          <w:sz w:val="24"/>
          <w:szCs w:val="24"/>
        </w:rPr>
      </w:pPr>
    </w:p>
    <w:p>
      <w:pPr>
        <w:pStyle w:val="BodyText"/>
        <w:spacing w:line="311" w:lineRule="auto"/>
        <w:rPr/>
      </w:pPr>
      <w:r/>
    </w:p>
    <w:p>
      <w:pPr>
        <w:ind w:left="10" w:right="73" w:firstLine="472"/>
        <w:spacing w:before="78" w:line="339" w:lineRule="auto"/>
        <w:jc w:val="both"/>
        <w:rPr>
          <w:rFonts w:ascii="SimSun" w:hAnsi="SimSun" w:eastAsia="SimSun" w:cs="SimSun"/>
          <w:sz w:val="24"/>
          <w:szCs w:val="24"/>
        </w:rPr>
      </w:pP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月，内蒙古尚清环保科技有限公司编制完成了白音华四号露天矿二期工程</w:t>
      </w:r>
      <w:r>
        <w:rPr>
          <w:rFonts w:ascii="SimSun" w:hAnsi="SimSun" w:eastAsia="SimSun" w:cs="SimSun"/>
          <w:sz w:val="24"/>
          <w:szCs w:val="24"/>
          <w:spacing w:val="-3"/>
        </w:rPr>
        <w:t>（井工矿）环境影响后评价报告书。内蒙古自治区</w:t>
      </w:r>
      <w:r>
        <w:rPr>
          <w:rFonts w:ascii="SimSun" w:hAnsi="SimSun" w:eastAsia="SimSun" w:cs="SimSun"/>
          <w:sz w:val="24"/>
          <w:szCs w:val="24"/>
          <w:spacing w:val="-4"/>
        </w:rPr>
        <w:t>生态环境厅于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  </w:t>
      </w:r>
      <w:r>
        <w:rPr>
          <w:rFonts w:ascii="SimSun" w:hAnsi="SimSun" w:eastAsia="SimSun" w:cs="SimSun"/>
          <w:sz w:val="24"/>
          <w:szCs w:val="24"/>
          <w:spacing w:val="-4"/>
        </w:rPr>
        <w:t>日出具</w:t>
      </w:r>
      <w:r>
        <w:rPr>
          <w:rFonts w:ascii="SimSun" w:hAnsi="SimSun" w:eastAsia="SimSun" w:cs="SimSun"/>
          <w:sz w:val="24"/>
          <w:szCs w:val="24"/>
          <w:spacing w:val="-2"/>
        </w:rPr>
        <w:t>了《内蒙古自治区生态环境厅关于白音华四号露天矿二期工程（井工矿）环境影响后评</w:t>
      </w:r>
      <w:r>
        <w:rPr>
          <w:rFonts w:ascii="SimSun" w:hAnsi="SimSun" w:eastAsia="SimSun" w:cs="SimSun"/>
          <w:sz w:val="24"/>
          <w:szCs w:val="24"/>
          <w:spacing w:val="-1"/>
        </w:rPr>
        <w:t>价报告书相关事宜的复函》（内环函〔</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w:t>
      </w:r>
      <w:r>
        <w:rPr>
          <w:rFonts w:ascii="Times New Roman" w:hAnsi="Times New Roman" w:eastAsia="Times New Roman" w:cs="Times New Roman"/>
          <w:sz w:val="24"/>
          <w:szCs w:val="24"/>
          <w:spacing w:val="-1"/>
        </w:rPr>
        <w:t>90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w:t>
      </w:r>
    </w:p>
    <w:p>
      <w:pPr>
        <w:ind w:left="5" w:right="18" w:firstLine="480"/>
        <w:spacing w:before="1" w:line="338" w:lineRule="auto"/>
        <w:jc w:val="both"/>
        <w:rPr>
          <w:rFonts w:ascii="SimSun" w:hAnsi="SimSun" w:eastAsia="SimSun" w:cs="SimSun"/>
          <w:sz w:val="24"/>
          <w:szCs w:val="24"/>
        </w:rPr>
      </w:pP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月，中煤科工集团南京设计研究院有限公司编制完成了《内蒙古自治区西</w:t>
      </w:r>
      <w:r>
        <w:rPr>
          <w:rFonts w:ascii="SimSun" w:hAnsi="SimSun" w:eastAsia="SimSun" w:cs="SimSun"/>
          <w:sz w:val="24"/>
          <w:szCs w:val="24"/>
          <w:spacing w:val="-3"/>
        </w:rPr>
        <w:t>乌珠穆沁旗白音华煤矿矿区总体规划（修编）环境影响报告书》（以下简称规划环评</w:t>
      </w:r>
      <w:r>
        <w:rPr>
          <w:rFonts w:ascii="SimSun" w:hAnsi="SimSun" w:eastAsia="SimSun" w:cs="SimSun"/>
          <w:sz w:val="24"/>
          <w:szCs w:val="24"/>
          <w:spacing w:val="-59"/>
        </w:rPr>
        <w:t>），</w:t>
      </w:r>
      <w:r>
        <w:rPr>
          <w:rFonts w:ascii="SimSun" w:hAnsi="SimSun" w:eastAsia="SimSun" w:cs="SimSun"/>
          <w:sz w:val="24"/>
          <w:szCs w:val="24"/>
          <w:spacing w:val="1"/>
        </w:rPr>
        <w:t xml:space="preserve"> </w:t>
      </w:r>
      <w:r>
        <w:rPr>
          <w:rFonts w:ascii="Times New Roman" w:hAnsi="Times New Roman" w:eastAsia="Times New Roman" w:cs="Times New Roman"/>
          <w:sz w:val="24"/>
          <w:szCs w:val="24"/>
          <w:spacing w:val="-5"/>
        </w:rPr>
        <w:t>2023 </w:t>
      </w:r>
      <w:r>
        <w:rPr>
          <w:rFonts w:ascii="SimSun" w:hAnsi="SimSun" w:eastAsia="SimSun" w:cs="SimSun"/>
          <w:sz w:val="24"/>
          <w:szCs w:val="24"/>
          <w:spacing w:val="-5"/>
        </w:rPr>
        <w:t>年</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  </w:t>
      </w:r>
      <w:r>
        <w:rPr>
          <w:rFonts w:ascii="SimSun" w:hAnsi="SimSun" w:eastAsia="SimSun" w:cs="SimSun"/>
          <w:sz w:val="24"/>
          <w:szCs w:val="24"/>
          <w:spacing w:val="-5"/>
        </w:rPr>
        <w:t>日生态环境部以环审【</w:t>
      </w:r>
      <w:r>
        <w:rPr>
          <w:rFonts w:ascii="Times New Roman" w:hAnsi="Times New Roman" w:eastAsia="Times New Roman" w:cs="Times New Roman"/>
          <w:sz w:val="24"/>
          <w:szCs w:val="24"/>
          <w:spacing w:val="-5"/>
        </w:rPr>
        <w:t>2023</w:t>
      </w:r>
      <w:r>
        <w:rPr>
          <w:rFonts w:ascii="SimSun" w:hAnsi="SimSun" w:eastAsia="SimSun" w:cs="SimSun"/>
          <w:sz w:val="24"/>
          <w:szCs w:val="24"/>
          <w:spacing w:val="-5"/>
        </w:rPr>
        <w:t>】</w:t>
      </w:r>
      <w:r>
        <w:rPr>
          <w:rFonts w:ascii="Times New Roman" w:hAnsi="Times New Roman" w:eastAsia="Times New Roman" w:cs="Times New Roman"/>
          <w:sz w:val="24"/>
          <w:szCs w:val="24"/>
          <w:spacing w:val="-5"/>
        </w:rPr>
        <w:t>130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号出具相关审查意见。根据审查意见，</w:t>
      </w:r>
      <w:r>
        <w:rPr>
          <w:rFonts w:ascii="SimSun" w:hAnsi="SimSun" w:eastAsia="SimSun" w:cs="SimSun"/>
          <w:sz w:val="24"/>
          <w:szCs w:val="24"/>
          <w:spacing w:val="-4"/>
        </w:rPr>
        <w:t>白音华矿区现有矿（井）田</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4 </w:t>
      </w:r>
      <w:r>
        <w:rPr>
          <w:rFonts w:ascii="SimSun" w:hAnsi="SimSun" w:eastAsia="SimSun" w:cs="SimSun"/>
          <w:sz w:val="24"/>
          <w:szCs w:val="24"/>
          <w:spacing w:val="-4"/>
        </w:rPr>
        <w:t>个，其中四号露天矿一期露天开采，规模</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万吨</w:t>
      </w:r>
      <w:r>
        <w:rPr>
          <w:rFonts w:ascii="Times New Roman" w:hAnsi="Times New Roman" w:eastAsia="Times New Roman" w:cs="Times New Roman"/>
          <w:sz w:val="24"/>
          <w:szCs w:val="24"/>
          <w:spacing w:val="-4"/>
        </w:rPr>
        <w:t>/</w:t>
      </w:r>
      <w:r>
        <w:rPr>
          <w:rFonts w:ascii="SimSun" w:hAnsi="SimSun" w:eastAsia="SimSun" w:cs="SimSun"/>
          <w:sz w:val="24"/>
          <w:szCs w:val="24"/>
          <w:spacing w:val="-4"/>
        </w:rPr>
        <w:t>年；二</w:t>
      </w:r>
      <w:r>
        <w:rPr>
          <w:rFonts w:ascii="SimSun" w:hAnsi="SimSun" w:eastAsia="SimSun" w:cs="SimSun"/>
          <w:sz w:val="24"/>
          <w:szCs w:val="24"/>
          <w:spacing w:val="-3"/>
        </w:rPr>
        <w:t>期井工开采，规模</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3"/>
        </w:rPr>
        <w:t>800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w:t>
      </w:r>
    </w:p>
    <w:p>
      <w:pPr>
        <w:ind w:left="9" w:right="85" w:firstLine="519"/>
        <w:spacing w:before="3" w:line="338" w:lineRule="auto"/>
        <w:jc w:val="both"/>
        <w:rPr>
          <w:rFonts w:ascii="SimSun" w:hAnsi="SimSun" w:eastAsia="SimSun" w:cs="SimSun"/>
          <w:sz w:val="24"/>
          <w:szCs w:val="24"/>
        </w:rPr>
      </w:pPr>
      <w:r>
        <w:rPr>
          <w:rFonts w:ascii="SimSun" w:hAnsi="SimSun" w:eastAsia="SimSun" w:cs="SimSun"/>
          <w:sz w:val="24"/>
          <w:szCs w:val="24"/>
          <w:spacing w:val="-4"/>
        </w:rPr>
        <w:t>自</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月规划环评审批后，《内蒙古自治区西乌珠穆沁旗白音华煤矿矿区总</w:t>
      </w:r>
      <w:r>
        <w:rPr>
          <w:rFonts w:ascii="SimSun" w:hAnsi="SimSun" w:eastAsia="SimSun" w:cs="SimSun"/>
          <w:sz w:val="24"/>
          <w:szCs w:val="24"/>
          <w:spacing w:val="-2"/>
        </w:rPr>
        <w:t>体规划（修编）》（以下简称矿区总体规划）根据《审查意见》进行修改并提交主管部</w:t>
      </w:r>
      <w:r>
        <w:rPr>
          <w:rFonts w:ascii="SimSun" w:hAnsi="SimSun" w:eastAsia="SimSun" w:cs="SimSun"/>
          <w:sz w:val="24"/>
          <w:szCs w:val="24"/>
          <w:spacing w:val="-2"/>
        </w:rPr>
        <w:t>门审查。《矿区总体规划》上报过程中，对四号露天矿规划范围等进行调整，调整原因</w:t>
      </w:r>
      <w:r>
        <w:rPr>
          <w:rFonts w:ascii="SimSun" w:hAnsi="SimSun" w:eastAsia="SimSun" w:cs="SimSun"/>
          <w:sz w:val="24"/>
          <w:szCs w:val="24"/>
          <w:spacing w:val="-4"/>
        </w:rPr>
        <w:t>如下：</w:t>
      </w:r>
    </w:p>
    <w:p>
      <w:pPr>
        <w:ind w:left="495"/>
        <w:spacing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）经济剥采比</w:t>
      </w:r>
    </w:p>
    <w:p>
      <w:pPr>
        <w:ind w:left="15" w:right="85" w:firstLine="478"/>
        <w:spacing w:before="157" w:line="338" w:lineRule="auto"/>
        <w:rPr>
          <w:rFonts w:ascii="SimSun" w:hAnsi="SimSun" w:eastAsia="SimSun" w:cs="SimSun"/>
          <w:sz w:val="24"/>
          <w:szCs w:val="24"/>
        </w:rPr>
      </w:pPr>
      <w:r>
        <w:rPr>
          <w:rFonts w:ascii="SimSun" w:hAnsi="SimSun" w:eastAsia="SimSun" w:cs="SimSun"/>
          <w:sz w:val="24"/>
          <w:szCs w:val="24"/>
          <w:spacing w:val="-1"/>
        </w:rPr>
        <w:t>北部压覆资源根据《</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号煤层底板等高线及储量估算平面图》分析得，压覆区域 </w:t>
      </w:r>
      <w:r>
        <w:rPr>
          <w:rFonts w:ascii="Times New Roman" w:hAnsi="Times New Roman" w:eastAsia="Times New Roman" w:cs="Times New Roman"/>
          <w:sz w:val="24"/>
          <w:szCs w:val="24"/>
          <w:spacing w:val="-1"/>
        </w:rPr>
        <w:t>1</w:t>
      </w:r>
      <w:r>
        <w:rPr>
          <w:rFonts w:ascii="SimSun" w:hAnsi="SimSun" w:eastAsia="SimSun" w:cs="SimSun"/>
          <w:sz w:val="24"/>
          <w:szCs w:val="24"/>
          <w:spacing w:val="-1"/>
        </w:rPr>
        <w:t>号煤层平均厚度</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13.68m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，平均赋存深度</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165m</w:t>
      </w:r>
      <w:r>
        <w:rPr>
          <w:rFonts w:ascii="SimSun" w:hAnsi="SimSun" w:eastAsia="SimSun" w:cs="SimSun"/>
          <w:sz w:val="24"/>
          <w:szCs w:val="24"/>
          <w:spacing w:val="-1"/>
        </w:rPr>
        <w:t>；最大境界剥采比为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9.28m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/t</w:t>
      </w:r>
      <w:r>
        <w:rPr>
          <w:rFonts w:ascii="SimSun" w:hAnsi="SimSun" w:eastAsia="SimSun" w:cs="SimSun"/>
          <w:sz w:val="24"/>
          <w:szCs w:val="24"/>
          <w:spacing w:val="-1"/>
        </w:rPr>
        <w:t>＜经济</w:t>
      </w:r>
      <w:r>
        <w:rPr>
          <w:rFonts w:ascii="SimSun" w:hAnsi="SimSun" w:eastAsia="SimSun" w:cs="SimSun"/>
          <w:sz w:val="24"/>
          <w:szCs w:val="24"/>
          <w:spacing w:val="-2"/>
        </w:rPr>
        <w:t>剥采</w:t>
      </w:r>
      <w:r>
        <w:rPr>
          <w:rFonts w:ascii="SimSun" w:hAnsi="SimSun" w:eastAsia="SimSun" w:cs="SimSun"/>
          <w:sz w:val="24"/>
          <w:szCs w:val="24"/>
          <w:spacing w:val="-1"/>
        </w:rPr>
        <w:t>比为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11.4m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/t</w:t>
      </w:r>
      <w:r>
        <w:rPr>
          <w:rFonts w:ascii="SimSun" w:hAnsi="SimSun" w:eastAsia="SimSun" w:cs="SimSun"/>
          <w:sz w:val="24"/>
          <w:szCs w:val="24"/>
          <w:spacing w:val="-1"/>
        </w:rPr>
        <w:t>；通过经济剥采比分析，铁路压覆</w:t>
      </w:r>
      <w:r>
        <w:rPr>
          <w:rFonts w:ascii="SimSun" w:hAnsi="SimSun" w:eastAsia="SimSun" w:cs="SimSun"/>
          <w:sz w:val="24"/>
          <w:szCs w:val="24"/>
          <w:spacing w:val="-2"/>
        </w:rPr>
        <w:t>区域北部适合露天方式开采。</w:t>
      </w:r>
    </w:p>
    <w:p>
      <w:pPr>
        <w:ind w:left="495"/>
        <w:spacing w:before="1"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）设计工艺及开采安全性</w:t>
      </w:r>
    </w:p>
    <w:p>
      <w:pPr>
        <w:ind w:left="11" w:firstLine="481"/>
        <w:spacing w:before="152" w:line="339" w:lineRule="auto"/>
        <w:rPr>
          <w:rFonts w:ascii="SimSun" w:hAnsi="SimSun" w:eastAsia="SimSun" w:cs="SimSun"/>
          <w:sz w:val="24"/>
          <w:szCs w:val="24"/>
        </w:rPr>
      </w:pPr>
      <w:r>
        <w:rPr>
          <w:rFonts w:ascii="SimSun" w:hAnsi="SimSun" w:eastAsia="SimSun" w:cs="SimSun"/>
          <w:sz w:val="24"/>
          <w:szCs w:val="24"/>
          <w:spacing w:val="1"/>
        </w:rPr>
        <w:t>该区域煤层埋深约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，煤层顶板多为泥岩，底板多为粉砂</w:t>
      </w:r>
      <w:r>
        <w:rPr>
          <w:rFonts w:ascii="SimSun" w:hAnsi="SimSun" w:eastAsia="SimSun" w:cs="SimSun"/>
          <w:sz w:val="24"/>
          <w:szCs w:val="24"/>
        </w:rPr>
        <w:t>岩，属于软弱岩石，</w:t>
      </w:r>
      <w:r>
        <w:rPr>
          <w:rFonts w:ascii="SimSun" w:hAnsi="SimSun" w:eastAsia="SimSun" w:cs="SimSun"/>
          <w:sz w:val="24"/>
          <w:szCs w:val="24"/>
          <w:spacing w:val="-6"/>
        </w:rPr>
        <w:t>水文地质、工程地质条件中等，根据现有情况，井工采煤工作面回采导致地表下沉明显，</w:t>
      </w:r>
      <w:r>
        <w:rPr>
          <w:rFonts w:ascii="SimSun" w:hAnsi="SimSun" w:eastAsia="SimSun" w:cs="SimSun"/>
          <w:sz w:val="24"/>
          <w:szCs w:val="24"/>
          <w:spacing w:val="-2"/>
        </w:rPr>
        <w:t>易在地表形成大面积积水区，对开采下一分层工作面造成重大安全隐患，有大面积溃水</w:t>
      </w:r>
      <w:r>
        <w:rPr>
          <w:rFonts w:ascii="SimSun" w:hAnsi="SimSun" w:eastAsia="SimSun" w:cs="SimSun"/>
          <w:sz w:val="24"/>
          <w:szCs w:val="24"/>
          <w:spacing w:val="-6"/>
        </w:rPr>
        <w:t>危险。故该区域适宜露天开采，生产安全可靠性增加，可避免井工开采时难以避免的水、</w:t>
      </w:r>
      <w:r>
        <w:rPr>
          <w:rFonts w:ascii="SimSun" w:hAnsi="SimSun" w:eastAsia="SimSun" w:cs="SimSun"/>
          <w:sz w:val="24"/>
          <w:szCs w:val="24"/>
          <w:spacing w:val="-1"/>
        </w:rPr>
        <w:t>火、瓦斯、顶板等安全事故。</w:t>
      </w:r>
    </w:p>
    <w:p>
      <w:pPr>
        <w:ind w:left="495"/>
        <w:spacing w:before="1"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）金山电厂供煤需求</w:t>
      </w:r>
    </w:p>
    <w:p>
      <w:pPr>
        <w:ind w:left="8" w:right="85" w:firstLine="482"/>
        <w:spacing w:before="152" w:line="339" w:lineRule="auto"/>
        <w:rPr>
          <w:rFonts w:ascii="SimSun" w:hAnsi="SimSun" w:eastAsia="SimSun" w:cs="SimSun"/>
          <w:sz w:val="24"/>
          <w:szCs w:val="24"/>
        </w:rPr>
      </w:pPr>
      <w:r>
        <w:rPr>
          <w:rFonts w:ascii="SimSun" w:hAnsi="SimSun" w:eastAsia="SimSun" w:cs="SimSun"/>
          <w:sz w:val="24"/>
          <w:szCs w:val="24"/>
        </w:rPr>
        <w:t>金山电厂由沈阳金山能源股份有限公司、辽宁能源投资</w:t>
      </w:r>
      <w:r>
        <w:rPr>
          <w:rFonts w:ascii="Times New Roman" w:hAnsi="Times New Roman" w:eastAsia="Times New Roman" w:cs="Times New Roman"/>
          <w:sz w:val="24"/>
          <w:szCs w:val="24"/>
        </w:rPr>
        <w:t>(</w:t>
      </w:r>
      <w:r>
        <w:rPr>
          <w:rFonts w:ascii="SimSun" w:hAnsi="SimSun" w:eastAsia="SimSun" w:cs="SimSun"/>
          <w:sz w:val="24"/>
          <w:szCs w:val="24"/>
        </w:rPr>
        <w:t>集团</w:t>
      </w:r>
      <w:r>
        <w:rPr>
          <w:rFonts w:ascii="Times New Roman" w:hAnsi="Times New Roman" w:eastAsia="Times New Roman" w:cs="Times New Roman"/>
          <w:sz w:val="24"/>
          <w:szCs w:val="24"/>
        </w:rPr>
        <w:t>)</w:t>
      </w:r>
      <w:r>
        <w:rPr>
          <w:rFonts w:ascii="SimSun" w:hAnsi="SimSun" w:eastAsia="SimSun" w:cs="SimSun"/>
          <w:sz w:val="24"/>
          <w:szCs w:val="24"/>
        </w:rPr>
        <w:t>有限责任公司、阜新</w:t>
      </w:r>
      <w:r>
        <w:rPr>
          <w:rFonts w:ascii="SimSun" w:hAnsi="SimSun" w:eastAsia="SimSun" w:cs="SimSun"/>
          <w:sz w:val="24"/>
          <w:szCs w:val="24"/>
          <w:spacing w:val="-2"/>
        </w:rPr>
        <w:t>矿业</w:t>
      </w:r>
      <w:r>
        <w:rPr>
          <w:rFonts w:ascii="Times New Roman" w:hAnsi="Times New Roman" w:eastAsia="Times New Roman" w:cs="Times New Roman"/>
          <w:sz w:val="24"/>
          <w:szCs w:val="24"/>
          <w:spacing w:val="-2"/>
        </w:rPr>
        <w:t>(</w:t>
      </w:r>
      <w:r>
        <w:rPr>
          <w:rFonts w:ascii="SimSun" w:hAnsi="SimSun" w:eastAsia="SimSun" w:cs="SimSun"/>
          <w:sz w:val="24"/>
          <w:szCs w:val="24"/>
          <w:spacing w:val="-2"/>
        </w:rPr>
        <w:t>集团</w:t>
      </w:r>
      <w:r>
        <w:rPr>
          <w:rFonts w:ascii="Times New Roman" w:hAnsi="Times New Roman" w:eastAsia="Times New Roman" w:cs="Times New Roman"/>
          <w:sz w:val="24"/>
          <w:szCs w:val="24"/>
          <w:spacing w:val="-2"/>
        </w:rPr>
        <w:t>)</w:t>
      </w:r>
      <w:r>
        <w:rPr>
          <w:rFonts w:ascii="SimSun" w:hAnsi="SimSun" w:eastAsia="SimSun" w:cs="SimSun"/>
          <w:sz w:val="24"/>
          <w:szCs w:val="24"/>
          <w:spacing w:val="-2"/>
        </w:rPr>
        <w:t>有限责任公司按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61%</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30%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9%</w:t>
      </w:r>
      <w:r>
        <w:rPr>
          <w:rFonts w:ascii="SimSun" w:hAnsi="SimSun" w:eastAsia="SimSun" w:cs="SimSun"/>
          <w:sz w:val="24"/>
          <w:szCs w:val="24"/>
          <w:spacing w:val="-2"/>
        </w:rPr>
        <w:t>出资比例于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2006 </w:t>
      </w:r>
      <w:r>
        <w:rPr>
          <w:rFonts w:ascii="SimSun" w:hAnsi="SimSun" w:eastAsia="SimSun" w:cs="SimSun"/>
          <w:sz w:val="24"/>
          <w:szCs w:val="24"/>
          <w:spacing w:val="-2"/>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月注册成</w:t>
      </w:r>
      <w:r>
        <w:rPr>
          <w:rFonts w:ascii="SimSun" w:hAnsi="SimSun" w:eastAsia="SimSun" w:cs="SimSun"/>
          <w:sz w:val="24"/>
          <w:szCs w:val="24"/>
          <w:spacing w:val="-3"/>
        </w:rPr>
        <w:t>立，</w:t>
      </w:r>
      <w:r>
        <w:rPr>
          <w:rFonts w:ascii="Times New Roman" w:hAnsi="Times New Roman" w:eastAsia="Times New Roman" w:cs="Times New Roman"/>
          <w:sz w:val="24"/>
          <w:szCs w:val="24"/>
          <w:spacing w:val="-3"/>
        </w:rPr>
        <w:t>2009 </w:t>
      </w:r>
      <w:r>
        <w:rPr>
          <w:rFonts w:ascii="SimSun" w:hAnsi="SimSun" w:eastAsia="SimSun" w:cs="SimSun"/>
          <w:sz w:val="24"/>
          <w:szCs w:val="24"/>
          <w:spacing w:val="-3"/>
        </w:rPr>
        <w:t>年</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月归属中国华电集团有限公司。一期工程</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SimSun" w:hAnsi="SimSun" w:eastAsia="SimSun" w:cs="SimSun"/>
          <w:sz w:val="24"/>
          <w:szCs w:val="24"/>
          <w:spacing w:val="-3"/>
        </w:rPr>
        <w:t>×</w:t>
      </w:r>
      <w:r>
        <w:rPr>
          <w:rFonts w:ascii="Times New Roman" w:hAnsi="Times New Roman" w:eastAsia="Times New Roman" w:cs="Times New Roman"/>
          <w:sz w:val="24"/>
          <w:szCs w:val="24"/>
          <w:spacing w:val="-3"/>
        </w:rPr>
        <w:t>600MW</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空冷亚临界发电机组于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2005 </w:t>
      </w:r>
      <w:r>
        <w:rPr>
          <w:rFonts w:ascii="SimSun" w:hAnsi="SimSun" w:eastAsia="SimSun" w:cs="SimSun"/>
          <w:sz w:val="24"/>
          <w:szCs w:val="24"/>
          <w:spacing w:val="-3"/>
        </w:rPr>
        <w:t>年</w:t>
      </w:r>
      <w:r>
        <w:rPr>
          <w:rFonts w:ascii="Times New Roman" w:hAnsi="Times New Roman" w:eastAsia="Times New Roman" w:cs="Times New Roman"/>
          <w:sz w:val="24"/>
          <w:szCs w:val="24"/>
          <w:spacing w:val="-2"/>
        </w:rPr>
        <w:t>11 </w:t>
      </w:r>
      <w:r>
        <w:rPr>
          <w:rFonts w:ascii="SimSun" w:hAnsi="SimSun" w:eastAsia="SimSun" w:cs="SimSun"/>
          <w:sz w:val="24"/>
          <w:szCs w:val="24"/>
          <w:spacing w:val="-2"/>
        </w:rPr>
        <w:t>月核准，</w:t>
      </w:r>
      <w:r>
        <w:rPr>
          <w:rFonts w:ascii="Times New Roman" w:hAnsi="Times New Roman" w:eastAsia="Times New Roman" w:cs="Times New Roman"/>
          <w:sz w:val="24"/>
          <w:szCs w:val="24"/>
          <w:spacing w:val="-2"/>
        </w:rPr>
        <w:t>2006 </w:t>
      </w:r>
      <w:r>
        <w:rPr>
          <w:rFonts w:ascii="SimSun" w:hAnsi="SimSun" w:eastAsia="SimSun" w:cs="SimSun"/>
          <w:sz w:val="24"/>
          <w:szCs w:val="24"/>
          <w:spacing w:val="-2"/>
        </w:rPr>
        <w:t>年</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月开工，</w:t>
      </w:r>
      <w:r>
        <w:rPr>
          <w:rFonts w:ascii="Times New Roman" w:hAnsi="Times New Roman" w:eastAsia="Times New Roman" w:cs="Times New Roman"/>
          <w:sz w:val="24"/>
          <w:szCs w:val="24"/>
          <w:spacing w:val="-2"/>
        </w:rPr>
        <w:t>2010 </w:t>
      </w:r>
      <w:r>
        <w:rPr>
          <w:rFonts w:ascii="SimSun" w:hAnsi="SimSun" w:eastAsia="SimSun" w:cs="SimSun"/>
          <w:sz w:val="24"/>
          <w:szCs w:val="24"/>
          <w:spacing w:val="-2"/>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月实现双投，所发电力通过白赤辽两回</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500kV</w:t>
      </w:r>
      <w:r>
        <w:rPr>
          <w:rFonts w:ascii="SimSun" w:hAnsi="SimSun" w:eastAsia="SimSun" w:cs="SimSun"/>
          <w:sz w:val="24"/>
          <w:szCs w:val="24"/>
          <w:spacing w:val="2"/>
        </w:rPr>
        <w:t>输电线路送往东北负荷中心辽宁。电厂二期工程拟建设</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2</w:t>
      </w:r>
      <w:r>
        <w:rPr>
          <w:rFonts w:ascii="SimSun" w:hAnsi="SimSun" w:eastAsia="SimSun" w:cs="SimSun"/>
          <w:sz w:val="24"/>
          <w:szCs w:val="24"/>
          <w:spacing w:val="2"/>
        </w:rPr>
        <w:t>×</w:t>
      </w:r>
      <w:r>
        <w:rPr>
          <w:rFonts w:ascii="Times New Roman" w:hAnsi="Times New Roman" w:eastAsia="Times New Roman" w:cs="Times New Roman"/>
          <w:sz w:val="24"/>
          <w:szCs w:val="24"/>
          <w:spacing w:val="2"/>
        </w:rPr>
        <w:t>660</w:t>
      </w:r>
      <w:r>
        <w:rPr>
          <w:rFonts w:ascii="Times New Roman" w:hAnsi="Times New Roman" w:eastAsia="Times New Roman" w:cs="Times New Roman"/>
          <w:sz w:val="24"/>
          <w:szCs w:val="24"/>
        </w:rPr>
        <w:t>MW</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超临界间接空冷发</w:t>
      </w:r>
      <w:r>
        <w:rPr>
          <w:rFonts w:ascii="SimSun" w:hAnsi="SimSun" w:eastAsia="SimSun" w:cs="SimSun"/>
          <w:sz w:val="24"/>
          <w:szCs w:val="24"/>
          <w:spacing w:val="-1"/>
        </w:rPr>
        <w:t>电机组，于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2020 </w:t>
      </w:r>
      <w:r>
        <w:rPr>
          <w:rFonts w:ascii="SimSun" w:hAnsi="SimSun" w:eastAsia="SimSun" w:cs="SimSun"/>
          <w:sz w:val="24"/>
          <w:szCs w:val="24"/>
          <w:spacing w:val="-1"/>
        </w:rPr>
        <w:t>年</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月获得内蒙古自治区能源局核准批复，</w:t>
      </w:r>
      <w:r>
        <w:rPr>
          <w:rFonts w:ascii="Times New Roman" w:hAnsi="Times New Roman" w:eastAsia="Times New Roman" w:cs="Times New Roman"/>
          <w:sz w:val="24"/>
          <w:szCs w:val="24"/>
          <w:spacing w:val="-1"/>
        </w:rPr>
        <w:t>2022</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年</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月内蒙古自治区</w:t>
      </w:r>
      <w:r>
        <w:rPr>
          <w:rFonts w:ascii="SimSun" w:hAnsi="SimSun" w:eastAsia="SimSun" w:cs="SimSun"/>
          <w:sz w:val="24"/>
          <w:szCs w:val="24"/>
          <w:spacing w:val="-2"/>
        </w:rPr>
        <w:t>能源局出具同意核准延期一年的意见，目前具备开工条件，所发电力通过锡泰特高压直</w:t>
      </w:r>
      <w:r>
        <w:rPr>
          <w:rFonts w:ascii="SimSun" w:hAnsi="SimSun" w:eastAsia="SimSun" w:cs="SimSun"/>
          <w:sz w:val="24"/>
          <w:szCs w:val="24"/>
          <w:spacing w:val="-2"/>
        </w:rPr>
        <w:t>流输电线路送往华东负荷中心江苏。二期工程是国家重要能源战略规划电源项目之一，</w:t>
      </w:r>
    </w:p>
    <w:p>
      <w:pPr>
        <w:spacing w:line="339" w:lineRule="auto"/>
        <w:sectPr>
          <w:footerReference w:type="default" r:id="rId9"/>
          <w:pgSz w:w="11906" w:h="16838"/>
          <w:pgMar w:top="1170" w:right="1332" w:bottom="1080" w:left="1416" w:header="837" w:footer="918" w:gutter="0"/>
        </w:sectPr>
        <w:rPr>
          <w:rFonts w:ascii="SimSun" w:hAnsi="SimSun" w:eastAsia="SimSun" w:cs="SimSun"/>
          <w:sz w:val="24"/>
          <w:szCs w:val="24"/>
        </w:rPr>
      </w:pPr>
    </w:p>
    <w:p>
      <w:pPr>
        <w:pStyle w:val="BodyText"/>
        <w:spacing w:line="311" w:lineRule="auto"/>
        <w:rPr/>
      </w:pPr>
      <w:r/>
    </w:p>
    <w:p>
      <w:pPr>
        <w:ind w:left="37" w:right="13" w:hanging="30"/>
        <w:spacing w:before="78" w:line="339" w:lineRule="auto"/>
        <w:rPr>
          <w:rFonts w:ascii="SimSun" w:hAnsi="SimSun" w:eastAsia="SimSun" w:cs="SimSun"/>
          <w:sz w:val="24"/>
          <w:szCs w:val="24"/>
        </w:rPr>
      </w:pPr>
      <w:r>
        <w:rPr>
          <w:rFonts w:ascii="SimSun" w:hAnsi="SimSun" w:eastAsia="SimSun" w:cs="SimSun"/>
          <w:sz w:val="24"/>
          <w:szCs w:val="24"/>
          <w:spacing w:val="-1"/>
        </w:rPr>
        <w:t>将为锡盟地区经济发展、为京津冀鲁苏等地</w:t>
      </w:r>
      <w:r>
        <w:rPr>
          <w:rFonts w:ascii="SimSun" w:hAnsi="SimSun" w:eastAsia="SimSun" w:cs="SimSun"/>
          <w:sz w:val="24"/>
          <w:szCs w:val="24"/>
          <w:spacing w:val="-2"/>
        </w:rPr>
        <w:t>区电力保供和大气污染防治做出贡献。金山</w:t>
      </w:r>
      <w:r>
        <w:rPr>
          <w:rFonts w:ascii="SimSun" w:hAnsi="SimSun" w:eastAsia="SimSun" w:cs="SimSun"/>
          <w:sz w:val="24"/>
          <w:szCs w:val="24"/>
          <w:spacing w:val="-2"/>
        </w:rPr>
        <w:t>电厂一期工程、二期工程设计年耗煤量均约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450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万吨，全部由四号露天矿供应。</w:t>
      </w:r>
    </w:p>
    <w:p>
      <w:pPr>
        <w:ind w:left="18" w:right="13" w:firstLine="499"/>
        <w:spacing w:before="1" w:line="338" w:lineRule="auto"/>
        <w:jc w:val="both"/>
        <w:rPr>
          <w:rFonts w:ascii="SimSun" w:hAnsi="SimSun" w:eastAsia="SimSun" w:cs="SimSun"/>
          <w:sz w:val="24"/>
          <w:szCs w:val="24"/>
        </w:rPr>
      </w:pPr>
      <w:r>
        <w:rPr>
          <w:rFonts w:ascii="SimSun" w:hAnsi="SimSun" w:eastAsia="SimSun" w:cs="SimSun"/>
          <w:sz w:val="24"/>
          <w:szCs w:val="24"/>
          <w:spacing w:val="1"/>
        </w:rPr>
        <w:t>由于白音华四号露天矿采矿权内铁路压覆煤矿资源约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7316.19</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万吨，截至</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4"/>
        </w:rPr>
        <w:t>月，露天区剩余可采储量</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473.98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万吨，剩余服务年限约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0.8 </w:t>
      </w:r>
      <w:r>
        <w:rPr>
          <w:rFonts w:ascii="SimSun" w:hAnsi="SimSun" w:eastAsia="SimSun" w:cs="SimSun"/>
          <w:sz w:val="24"/>
          <w:szCs w:val="24"/>
          <w:spacing w:val="-4"/>
        </w:rPr>
        <w:t>年，露天开采区域资源面</w:t>
      </w:r>
      <w:r>
        <w:rPr>
          <w:rFonts w:ascii="SimSun" w:hAnsi="SimSun" w:eastAsia="SimSun" w:cs="SimSun"/>
          <w:sz w:val="24"/>
          <w:szCs w:val="24"/>
          <w:spacing w:val="-2"/>
        </w:rPr>
        <w:t>临枯竭。目前白音华四号露天矿供给金山电厂煤炭约</w:t>
      </w:r>
      <w:r>
        <w:rPr>
          <w:rFonts w:ascii="Times New Roman" w:hAnsi="Times New Roman" w:eastAsia="Times New Roman" w:cs="Times New Roman"/>
          <w:sz w:val="24"/>
          <w:szCs w:val="24"/>
          <w:spacing w:val="-2"/>
        </w:rPr>
        <w:t>900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SimSun" w:hAnsi="SimSun" w:eastAsia="SimSun" w:cs="SimSun"/>
          <w:sz w:val="24"/>
          <w:szCs w:val="24"/>
          <w:spacing w:val="-3"/>
        </w:rPr>
        <w:t>，露天资源枯竭后，产</w:t>
      </w:r>
      <w:r>
        <w:rPr>
          <w:rFonts w:ascii="SimSun" w:hAnsi="SimSun" w:eastAsia="SimSun" w:cs="SimSun"/>
          <w:sz w:val="24"/>
          <w:szCs w:val="24"/>
          <w:spacing w:val="-2"/>
        </w:rPr>
        <w:t>能仅有</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年，无法满足电厂四台机组年燃煤</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3"/>
        </w:rPr>
        <w:t>00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万吨的需求。</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）露天矿从业人员安置</w:t>
      </w:r>
    </w:p>
    <w:p>
      <w:pPr>
        <w:ind w:left="3" w:right="13" w:firstLine="508"/>
        <w:spacing w:before="157" w:line="338" w:lineRule="auto"/>
        <w:rPr>
          <w:rFonts w:ascii="SimSun" w:hAnsi="SimSun" w:eastAsia="SimSun" w:cs="SimSun"/>
          <w:sz w:val="24"/>
          <w:szCs w:val="24"/>
        </w:rPr>
      </w:pPr>
      <w:r>
        <w:rPr>
          <w:rFonts w:ascii="SimSun" w:hAnsi="SimSun" w:eastAsia="SimSun" w:cs="SimSun"/>
          <w:sz w:val="24"/>
          <w:szCs w:val="24"/>
          <w:spacing w:val="-2"/>
        </w:rPr>
        <w:t>四号露天矿项目的立项开发是源于阜新矿区资源枯竭。国务院</w:t>
      </w:r>
      <w:r>
        <w:rPr>
          <w:rFonts w:ascii="SimSun" w:hAnsi="SimSun" w:eastAsia="SimSun" w:cs="SimSun"/>
          <w:sz w:val="24"/>
          <w:szCs w:val="24"/>
          <w:spacing w:val="-3"/>
        </w:rPr>
        <w:t>就如何解决阜矿集团</w:t>
      </w:r>
      <w:r>
        <w:rPr>
          <w:rFonts w:ascii="Times New Roman" w:hAnsi="Times New Roman" w:eastAsia="Times New Roman" w:cs="Times New Roman"/>
          <w:sz w:val="24"/>
          <w:szCs w:val="24"/>
          <w:spacing w:val="-4"/>
        </w:rPr>
        <w:t>4.8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万名职工未来生存、社会稳定和企业发展问题专门研究决策，</w:t>
      </w:r>
      <w:r>
        <w:rPr>
          <w:rFonts w:ascii="Times New Roman" w:hAnsi="Times New Roman" w:eastAsia="Times New Roman" w:cs="Times New Roman"/>
          <w:sz w:val="24"/>
          <w:szCs w:val="24"/>
          <w:spacing w:val="-4"/>
        </w:rPr>
        <w:t>2004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月，国家发</w:t>
      </w:r>
      <w:r>
        <w:rPr>
          <w:rFonts w:ascii="SimSun" w:hAnsi="SimSun" w:eastAsia="SimSun" w:cs="SimSun"/>
          <w:sz w:val="24"/>
          <w:szCs w:val="24"/>
          <w:spacing w:val="-3"/>
        </w:rPr>
        <w:t>改委以发改能源〔</w:t>
      </w:r>
      <w:r>
        <w:rPr>
          <w:rFonts w:ascii="Times New Roman" w:hAnsi="Times New Roman" w:eastAsia="Times New Roman" w:cs="Times New Roman"/>
          <w:sz w:val="24"/>
          <w:szCs w:val="24"/>
          <w:spacing w:val="-3"/>
        </w:rPr>
        <w:t>2004</w:t>
      </w:r>
      <w:r>
        <w:rPr>
          <w:rFonts w:ascii="SimSun" w:hAnsi="SimSun" w:eastAsia="SimSun" w:cs="SimSun"/>
          <w:sz w:val="24"/>
          <w:szCs w:val="24"/>
          <w:spacing w:val="-3"/>
        </w:rPr>
        <w:t>〕</w:t>
      </w:r>
      <w:r>
        <w:rPr>
          <w:rFonts w:ascii="Times New Roman" w:hAnsi="Times New Roman" w:eastAsia="Times New Roman" w:cs="Times New Roman"/>
          <w:sz w:val="24"/>
          <w:szCs w:val="24"/>
          <w:spacing w:val="-3"/>
        </w:rPr>
        <w:t>2339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号文批复白音华总体规划时，提出“为加快资源枯竭</w:t>
      </w:r>
      <w:r>
        <w:rPr>
          <w:rFonts w:ascii="SimSun" w:hAnsi="SimSun" w:eastAsia="SimSun" w:cs="SimSun"/>
          <w:sz w:val="24"/>
          <w:szCs w:val="24"/>
          <w:spacing w:val="-4"/>
        </w:rPr>
        <w:t>城市</w:t>
      </w:r>
      <w:r>
        <w:rPr>
          <w:rFonts w:ascii="SimSun" w:hAnsi="SimSun" w:eastAsia="SimSun" w:cs="SimSun"/>
          <w:sz w:val="24"/>
          <w:szCs w:val="24"/>
          <w:spacing w:val="-1"/>
        </w:rPr>
        <w:t>经济转型，国家支持辽宁省阜新矿业（集团）有限责</w:t>
      </w:r>
      <w:r>
        <w:rPr>
          <w:rFonts w:ascii="SimSun" w:hAnsi="SimSun" w:eastAsia="SimSun" w:cs="SimSun"/>
          <w:sz w:val="24"/>
          <w:szCs w:val="24"/>
          <w:spacing w:val="-2"/>
        </w:rPr>
        <w:t>任公司勘探开发建设白音华四号露</w:t>
      </w:r>
      <w:r>
        <w:rPr>
          <w:rFonts w:ascii="SimSun" w:hAnsi="SimSun" w:eastAsia="SimSun" w:cs="SimSun"/>
          <w:sz w:val="24"/>
          <w:szCs w:val="24"/>
          <w:spacing w:val="-1"/>
        </w:rPr>
        <w:t>天矿</w:t>
      </w:r>
      <w:r>
        <w:rPr>
          <w:rFonts w:ascii="SimSun" w:hAnsi="SimSun" w:eastAsia="SimSun" w:cs="SimSun"/>
          <w:sz w:val="24"/>
          <w:szCs w:val="24"/>
          <w:spacing w:val="-88"/>
        </w:rPr>
        <w:t xml:space="preserve"> </w:t>
      </w:r>
      <w:r>
        <w:rPr>
          <w:rFonts w:ascii="SimSun" w:hAnsi="SimSun" w:eastAsia="SimSun" w:cs="SimSun"/>
          <w:sz w:val="24"/>
          <w:szCs w:val="24"/>
          <w:spacing w:val="-1"/>
        </w:rPr>
        <w:t>”。</w:t>
      </w:r>
    </w:p>
    <w:p>
      <w:pPr>
        <w:ind w:left="10" w:firstLine="524"/>
        <w:spacing w:before="4" w:line="338" w:lineRule="auto"/>
        <w:rPr>
          <w:rFonts w:ascii="SimSun" w:hAnsi="SimSun" w:eastAsia="SimSun" w:cs="SimSun"/>
          <w:sz w:val="24"/>
          <w:szCs w:val="24"/>
        </w:rPr>
      </w:pPr>
      <w:r>
        <w:rPr>
          <w:rFonts w:ascii="SimSun" w:hAnsi="SimSun" w:eastAsia="SimSun" w:cs="SimSun"/>
          <w:sz w:val="24"/>
          <w:szCs w:val="24"/>
          <w:spacing w:val="-3"/>
        </w:rPr>
        <w:t>目前露天矿各类管理、从业人员近千人，为保障目前从业人员的生活就业，维护地</w:t>
      </w:r>
      <w:r>
        <w:rPr>
          <w:rFonts w:ascii="SimSun" w:hAnsi="SimSun" w:eastAsia="SimSun" w:cs="SimSun"/>
          <w:sz w:val="24"/>
          <w:szCs w:val="24"/>
          <w:spacing w:val="-1"/>
        </w:rPr>
        <w:t>方的社会稳定，调整露天矿开采范围，可延长露天矿服务年限，具</w:t>
      </w:r>
      <w:r>
        <w:rPr>
          <w:rFonts w:ascii="SimSun" w:hAnsi="SimSun" w:eastAsia="SimSun" w:cs="SimSun"/>
          <w:sz w:val="24"/>
          <w:szCs w:val="24"/>
          <w:spacing w:val="-2"/>
        </w:rPr>
        <w:t>有重要的社会意义。</w:t>
      </w:r>
      <w:r>
        <w:rPr>
          <w:rFonts w:ascii="SimSun" w:hAnsi="SimSun" w:eastAsia="SimSun" w:cs="SimSun"/>
          <w:sz w:val="24"/>
          <w:szCs w:val="24"/>
          <w:spacing w:val="2"/>
        </w:rPr>
        <w:t>同时，白音华四号露天矿担负着阜新矿业（</w:t>
      </w:r>
      <w:r>
        <w:rPr>
          <w:rFonts w:ascii="SimSun" w:hAnsi="SimSun" w:eastAsia="SimSun" w:cs="SimSun"/>
          <w:sz w:val="24"/>
          <w:szCs w:val="24"/>
          <w:spacing w:val="1"/>
        </w:rPr>
        <w:t>集团）有限责任公司</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9408 </w:t>
      </w:r>
      <w:r>
        <w:rPr>
          <w:rFonts w:ascii="SimSun" w:hAnsi="SimSun" w:eastAsia="SimSun" w:cs="SimSun"/>
          <w:sz w:val="24"/>
          <w:szCs w:val="24"/>
          <w:spacing w:val="1"/>
        </w:rPr>
        <w:t>名职工的就业、</w:t>
      </w:r>
      <w:r>
        <w:rPr>
          <w:rFonts w:ascii="SimSun" w:hAnsi="SimSun" w:eastAsia="SimSun" w:cs="SimSun"/>
          <w:sz w:val="24"/>
          <w:szCs w:val="24"/>
          <w:spacing w:val="-3"/>
        </w:rPr>
        <w:t>生活问题。</w:t>
      </w:r>
    </w:p>
    <w:p>
      <w:pPr>
        <w:ind w:left="9" w:right="13" w:firstLine="509"/>
        <w:spacing w:before="2" w:line="338" w:lineRule="auto"/>
        <w:jc w:val="both"/>
        <w:rPr>
          <w:rFonts w:ascii="SimSun" w:hAnsi="SimSun" w:eastAsia="SimSun" w:cs="SimSun"/>
          <w:sz w:val="24"/>
          <w:szCs w:val="24"/>
        </w:rPr>
      </w:pPr>
      <w:r>
        <w:rPr>
          <w:rFonts w:ascii="SimSun" w:hAnsi="SimSun" w:eastAsia="SimSun" w:cs="SimSun"/>
          <w:sz w:val="24"/>
          <w:szCs w:val="24"/>
          <w:spacing w:val="4"/>
        </w:rPr>
        <w:t>内蒙古海州露天能源有限责任公司委托内蒙古煤炭设计研究院有限责任公司编制</w:t>
      </w:r>
      <w:r>
        <w:rPr>
          <w:rFonts w:ascii="SimSun" w:hAnsi="SimSun" w:eastAsia="SimSun" w:cs="SimSun"/>
          <w:sz w:val="24"/>
          <w:szCs w:val="24"/>
          <w:spacing w:val="-2"/>
        </w:rPr>
        <w:t>了《西乌珠穆沁旗白音华煤田四号露天矿优化调整开采范围论证报告》（以下简称《论</w:t>
      </w:r>
      <w:r>
        <w:rPr>
          <w:rFonts w:ascii="SimSun" w:hAnsi="SimSun" w:eastAsia="SimSun" w:cs="SimSun"/>
          <w:sz w:val="24"/>
          <w:szCs w:val="24"/>
          <w:spacing w:val="-7"/>
        </w:rPr>
        <w:t>证报告》</w:t>
      </w:r>
      <w:r>
        <w:rPr>
          <w:rFonts w:ascii="SimSun" w:hAnsi="SimSun" w:eastAsia="SimSun" w:cs="SimSun"/>
          <w:sz w:val="24"/>
          <w:szCs w:val="24"/>
          <w:spacing w:val="-37"/>
        </w:rPr>
        <w:t>），</w:t>
      </w:r>
      <w:r>
        <w:rPr>
          <w:rFonts w:ascii="SimSun" w:hAnsi="SimSun" w:eastAsia="SimSun" w:cs="SimSun"/>
          <w:sz w:val="24"/>
          <w:szCs w:val="24"/>
          <w:spacing w:val="-7"/>
        </w:rPr>
        <w:t>《论证报告》经煤炭工业规划设计研究</w:t>
      </w:r>
      <w:r>
        <w:rPr>
          <w:rFonts w:ascii="SimSun" w:hAnsi="SimSun" w:eastAsia="SimSun" w:cs="SimSun"/>
          <w:sz w:val="24"/>
          <w:szCs w:val="24"/>
          <w:spacing w:val="-8"/>
        </w:rPr>
        <w:t>院有限公司组织专家审查，并于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8"/>
        </w:rPr>
        <w:t>2024</w:t>
      </w:r>
      <w:r>
        <w:rPr>
          <w:rFonts w:ascii="SimSun" w:hAnsi="SimSun" w:eastAsia="SimSun" w:cs="SimSun"/>
          <w:sz w:val="24"/>
          <w:szCs w:val="24"/>
        </w:rPr>
        <w:t>年</w:t>
      </w:r>
      <w:r>
        <w:rPr>
          <w:rFonts w:ascii="SimSun" w:hAnsi="SimSun" w:eastAsia="SimSun" w:cs="SimSun"/>
          <w:sz w:val="24"/>
          <w:szCs w:val="24"/>
          <w:spacing w:val="-41"/>
        </w:rPr>
        <w:t xml:space="preserve"> </w:t>
      </w:r>
      <w:r>
        <w:rPr>
          <w:rFonts w:ascii="Times New Roman" w:hAnsi="Times New Roman" w:eastAsia="Times New Roman" w:cs="Times New Roman"/>
          <w:sz w:val="24"/>
          <w:szCs w:val="24"/>
        </w:rPr>
        <w:t>8</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21</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rPr>
        <w:t>日以煤规咨〔</w:t>
      </w:r>
      <w:r>
        <w:rPr>
          <w:rFonts w:ascii="Times New Roman" w:hAnsi="Times New Roman" w:eastAsia="Times New Roman" w:cs="Times New Roman"/>
          <w:sz w:val="24"/>
          <w:szCs w:val="24"/>
        </w:rPr>
        <w:t>2024</w:t>
      </w:r>
      <w:r>
        <w:rPr>
          <w:rFonts w:ascii="SimSun" w:hAnsi="SimSun" w:eastAsia="SimSun" w:cs="SimSun"/>
          <w:sz w:val="24"/>
          <w:szCs w:val="24"/>
        </w:rPr>
        <w:t>〕</w:t>
      </w:r>
      <w:r>
        <w:rPr>
          <w:rFonts w:ascii="Times New Roman" w:hAnsi="Times New Roman" w:eastAsia="Times New Roman" w:cs="Times New Roman"/>
          <w:sz w:val="24"/>
          <w:szCs w:val="24"/>
        </w:rPr>
        <w:t>79</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rPr>
        <w:t>号《关于</w:t>
      </w:r>
      <w:r>
        <w:rPr>
          <w:rFonts w:ascii="Times New Roman" w:hAnsi="Times New Roman" w:eastAsia="Times New Roman" w:cs="Times New Roman"/>
          <w:sz w:val="24"/>
          <w:szCs w:val="24"/>
        </w:rPr>
        <w:t>&lt;</w:t>
      </w:r>
      <w:r>
        <w:rPr>
          <w:rFonts w:ascii="SimSun" w:hAnsi="SimSun" w:eastAsia="SimSun" w:cs="SimSun"/>
          <w:sz w:val="24"/>
          <w:szCs w:val="24"/>
        </w:rPr>
        <w:t>西乌珠穆</w:t>
      </w:r>
      <w:r>
        <w:rPr>
          <w:rFonts w:ascii="SimSun" w:hAnsi="SimSun" w:eastAsia="SimSun" w:cs="SimSun"/>
          <w:sz w:val="24"/>
          <w:szCs w:val="24"/>
          <w:spacing w:val="-1"/>
        </w:rPr>
        <w:t>沁旗白音华煤田四号露天矿优化</w:t>
      </w:r>
      <w:r>
        <w:rPr>
          <w:rFonts w:ascii="SimSun" w:hAnsi="SimSun" w:eastAsia="SimSun" w:cs="SimSun"/>
          <w:sz w:val="24"/>
          <w:szCs w:val="24"/>
          <w:spacing w:val="-3"/>
        </w:rPr>
        <w:t>调整开采范围论证报告</w:t>
      </w:r>
      <w:r>
        <w:rPr>
          <w:rFonts w:ascii="Times New Roman" w:hAnsi="Times New Roman" w:eastAsia="Times New Roman" w:cs="Times New Roman"/>
          <w:sz w:val="24"/>
          <w:szCs w:val="24"/>
          <w:spacing w:val="-3"/>
        </w:rPr>
        <w:t>&gt;</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的评审意见》。</w:t>
      </w:r>
    </w:p>
    <w:p>
      <w:pPr>
        <w:ind w:left="8" w:right="13" w:firstLine="476"/>
        <w:spacing w:before="4" w:line="338" w:lineRule="auto"/>
        <w:jc w:val="both"/>
        <w:rPr>
          <w:rFonts w:ascii="SimSun" w:hAnsi="SimSun" w:eastAsia="SimSun" w:cs="SimSun"/>
          <w:sz w:val="24"/>
          <w:szCs w:val="24"/>
        </w:rPr>
      </w:pP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11 </w:t>
      </w:r>
      <w:r>
        <w:rPr>
          <w:rFonts w:ascii="SimSun" w:hAnsi="SimSun" w:eastAsia="SimSun" w:cs="SimSun"/>
          <w:sz w:val="24"/>
          <w:szCs w:val="24"/>
          <w:spacing w:val="-1"/>
        </w:rPr>
        <w:t>月，内蒙古煤矿设计研究院有限责任公司编制完成了《西乌珠穆沁旗白</w:t>
      </w:r>
      <w:r>
        <w:rPr>
          <w:rFonts w:ascii="SimSun" w:hAnsi="SimSun" w:eastAsia="SimSun" w:cs="SimSun"/>
          <w:sz w:val="24"/>
          <w:szCs w:val="24"/>
          <w:spacing w:val="-5"/>
        </w:rPr>
        <w:t>音华煤田四号露天矿优化调整开采范围可行性研究报告》。</w:t>
      </w:r>
      <w:r>
        <w:rPr>
          <w:rFonts w:ascii="Times New Roman" w:hAnsi="Times New Roman" w:eastAsia="Times New Roman" w:cs="Times New Roman"/>
          <w:sz w:val="24"/>
          <w:szCs w:val="24"/>
          <w:spacing w:val="-5"/>
        </w:rPr>
        <w:t>2024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 </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6"/>
        </w:rPr>
        <w:t>日，煤炭工</w:t>
      </w:r>
      <w:r>
        <w:rPr>
          <w:rFonts w:ascii="SimSun" w:hAnsi="SimSun" w:eastAsia="SimSun" w:cs="SimSun"/>
          <w:sz w:val="24"/>
          <w:szCs w:val="24"/>
          <w:spacing w:val="2"/>
        </w:rPr>
        <w:t>业规划设计研究院有限公司以煤规咨〔</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143</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号《关于</w:t>
      </w:r>
      <w:r>
        <w:rPr>
          <w:rFonts w:ascii="Times New Roman" w:hAnsi="Times New Roman" w:eastAsia="Times New Roman" w:cs="Times New Roman"/>
          <w:sz w:val="24"/>
          <w:szCs w:val="24"/>
          <w:spacing w:val="2"/>
        </w:rPr>
        <w:t>&lt;</w:t>
      </w:r>
      <w:r>
        <w:rPr>
          <w:rFonts w:ascii="SimSun" w:hAnsi="SimSun" w:eastAsia="SimSun" w:cs="SimSun"/>
          <w:sz w:val="24"/>
          <w:szCs w:val="24"/>
          <w:spacing w:val="2"/>
        </w:rPr>
        <w:t>西乌珠穆沁旗白音华煤田</w:t>
      </w:r>
      <w:r>
        <w:rPr>
          <w:rFonts w:ascii="SimSun" w:hAnsi="SimSun" w:eastAsia="SimSun" w:cs="SimSun"/>
          <w:sz w:val="24"/>
          <w:szCs w:val="24"/>
          <w:spacing w:val="-2"/>
        </w:rPr>
        <w:t>四号露天矿优化调整开采范围可行性研究报告</w:t>
      </w:r>
      <w:r>
        <w:rPr>
          <w:rFonts w:ascii="Times New Roman" w:hAnsi="Times New Roman" w:eastAsia="Times New Roman" w:cs="Times New Roman"/>
          <w:sz w:val="24"/>
          <w:szCs w:val="24"/>
          <w:spacing w:val="-2"/>
        </w:rPr>
        <w:t>&gt;</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2"/>
        </w:rPr>
        <w:t>的评审意见》。</w:t>
      </w:r>
    </w:p>
    <w:p>
      <w:pPr>
        <w:ind w:right="13"/>
        <w:spacing w:line="218" w:lineRule="auto"/>
        <w:jc w:val="right"/>
        <w:rPr>
          <w:rFonts w:ascii="SimSun" w:hAnsi="SimSun" w:eastAsia="SimSun" w:cs="SimSun"/>
          <w:sz w:val="24"/>
          <w:szCs w:val="24"/>
        </w:rPr>
      </w:pP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月，西乌珠穆沁旗发展和改革委员会同意《西乌珠穆沁旗白音华煤田四号</w:t>
      </w:r>
    </w:p>
    <w:p>
      <w:pPr>
        <w:ind w:left="15"/>
        <w:spacing w:before="155" w:line="219" w:lineRule="auto"/>
        <w:rPr>
          <w:rFonts w:ascii="SimSun" w:hAnsi="SimSun" w:eastAsia="SimSun" w:cs="SimSun"/>
          <w:sz w:val="24"/>
          <w:szCs w:val="24"/>
        </w:rPr>
      </w:pPr>
      <w:r>
        <w:rPr>
          <w:rFonts w:ascii="SimSun" w:hAnsi="SimSun" w:eastAsia="SimSun" w:cs="SimSun"/>
          <w:sz w:val="24"/>
          <w:szCs w:val="24"/>
          <w:spacing w:val="-1"/>
        </w:rPr>
        <w:t>露天矿改建项目（优化调整开采范围及地面输煤系统改建）》项目备案。</w:t>
      </w:r>
    </w:p>
    <w:p>
      <w:pPr>
        <w:ind w:left="8" w:right="17" w:firstLine="483"/>
        <w:spacing w:before="157" w:line="338" w:lineRule="auto"/>
        <w:jc w:val="both"/>
        <w:rPr>
          <w:rFonts w:ascii="SimSun" w:hAnsi="SimSun" w:eastAsia="SimSun" w:cs="SimSun"/>
          <w:sz w:val="24"/>
          <w:szCs w:val="24"/>
        </w:rPr>
      </w:pPr>
      <w:r>
        <w:rPr>
          <w:rFonts w:ascii="SimSun" w:hAnsi="SimSun" w:eastAsia="SimSun" w:cs="SimSun"/>
          <w:sz w:val="24"/>
          <w:szCs w:val="24"/>
          <w:spacing w:val="-1"/>
        </w:rPr>
        <w:t>工程主要内容：</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、优化调整开采范围：露天矿开采范围新增</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3.079km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，井工矿开</w:t>
      </w:r>
      <w:r>
        <w:rPr>
          <w:rFonts w:ascii="SimSun" w:hAnsi="SimSun" w:eastAsia="SimSun" w:cs="SimSun"/>
          <w:sz w:val="24"/>
          <w:szCs w:val="24"/>
          <w:spacing w:val="1"/>
        </w:rPr>
        <w:t>采面积相应减少；</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、地面输煤系统改建：新建九条带</w:t>
      </w:r>
      <w:r>
        <w:rPr>
          <w:rFonts w:ascii="SimSun" w:hAnsi="SimSun" w:eastAsia="SimSun" w:cs="SimSun"/>
          <w:sz w:val="24"/>
          <w:szCs w:val="24"/>
        </w:rPr>
        <w:t>式输送机、五座转载站、三个缓</w:t>
      </w:r>
      <w:r>
        <w:rPr>
          <w:rFonts w:ascii="SimSun" w:hAnsi="SimSun" w:eastAsia="SimSun" w:cs="SimSun"/>
          <w:sz w:val="24"/>
          <w:szCs w:val="24"/>
          <w:spacing w:val="-1"/>
        </w:rPr>
        <w:t>冲仓及配套设施等；采矿范围内铁路专用线拆除。</w:t>
      </w:r>
    </w:p>
    <w:p>
      <w:pPr>
        <w:ind w:left="15" w:right="13" w:firstLine="469"/>
        <w:spacing w:line="341" w:lineRule="auto"/>
        <w:rPr>
          <w:rFonts w:ascii="SimSun" w:hAnsi="SimSun" w:eastAsia="SimSun" w:cs="SimSun"/>
          <w:sz w:val="24"/>
          <w:szCs w:val="24"/>
        </w:rPr>
      </w:pP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月，中煤科工集团南京设计研究院有限公司编制完成的《内蒙</w:t>
      </w:r>
      <w:r>
        <w:rPr>
          <w:rFonts w:ascii="SimSun" w:hAnsi="SimSun" w:eastAsia="SimSun" w:cs="SimSun"/>
          <w:sz w:val="24"/>
          <w:szCs w:val="24"/>
          <w:spacing w:val="-2"/>
        </w:rPr>
        <w:t>古自治区</w:t>
      </w:r>
      <w:r>
        <w:rPr>
          <w:rFonts w:ascii="SimSun" w:hAnsi="SimSun" w:eastAsia="SimSun" w:cs="SimSun"/>
          <w:sz w:val="24"/>
          <w:szCs w:val="24"/>
          <w:spacing w:val="-2"/>
        </w:rPr>
        <w:t>西乌珠穆沁旗白音华煤炭矿区总体规划（修编）环境影响补充报告书》获得生态环境部</w:t>
      </w:r>
    </w:p>
    <w:p>
      <w:pPr>
        <w:spacing w:line="341" w:lineRule="auto"/>
        <w:sectPr>
          <w:headerReference w:type="default" r:id="rId10"/>
          <w:footerReference w:type="default" r:id="rId11"/>
          <w:pgSz w:w="11906" w:h="16838"/>
          <w:pgMar w:top="1170" w:right="1404" w:bottom="1080" w:left="1416" w:header="837" w:footer="918" w:gutter="0"/>
        </w:sectPr>
        <w:rPr>
          <w:rFonts w:ascii="SimSun" w:hAnsi="SimSun" w:eastAsia="SimSun" w:cs="SimSun"/>
          <w:sz w:val="24"/>
          <w:szCs w:val="24"/>
        </w:rPr>
      </w:pPr>
    </w:p>
    <w:p>
      <w:pPr>
        <w:pStyle w:val="BodyText"/>
        <w:spacing w:line="312" w:lineRule="auto"/>
        <w:rPr/>
      </w:pPr>
      <w:r/>
    </w:p>
    <w:p>
      <w:pPr>
        <w:ind w:left="32"/>
        <w:spacing w:before="78" w:line="220" w:lineRule="auto"/>
        <w:rPr>
          <w:rFonts w:ascii="SimSun" w:hAnsi="SimSun" w:eastAsia="SimSun" w:cs="SimSun"/>
          <w:sz w:val="24"/>
          <w:szCs w:val="24"/>
        </w:rPr>
      </w:pPr>
      <w:bookmarkStart w:name="bookmark78" w:id="9"/>
      <w:bookmarkEnd w:id="9"/>
      <w:r>
        <w:rPr>
          <w:rFonts w:ascii="SimSun" w:hAnsi="SimSun" w:eastAsia="SimSun" w:cs="SimSun"/>
          <w:sz w:val="24"/>
          <w:szCs w:val="24"/>
          <w:spacing w:val="-3"/>
        </w:rPr>
        <w:t>回函（环评函【</w:t>
      </w:r>
      <w:r>
        <w:rPr>
          <w:rFonts w:ascii="Times New Roman" w:hAnsi="Times New Roman" w:eastAsia="Times New Roman" w:cs="Times New Roman"/>
          <w:sz w:val="24"/>
          <w:szCs w:val="24"/>
          <w:spacing w:val="-3"/>
        </w:rPr>
        <w:t>2025</w:t>
      </w:r>
      <w:r>
        <w:rPr>
          <w:rFonts w:ascii="SimSun" w:hAnsi="SimSun" w:eastAsia="SimSun" w:cs="SimSun"/>
          <w:sz w:val="24"/>
          <w:szCs w:val="24"/>
          <w:spacing w:val="-3"/>
        </w:rPr>
        <w:t>】</w:t>
      </w:r>
      <w:r>
        <w:rPr>
          <w:rFonts w:ascii="Times New Roman" w:hAnsi="Times New Roman" w:eastAsia="Times New Roman" w:cs="Times New Roman"/>
          <w:sz w:val="24"/>
          <w:szCs w:val="24"/>
          <w:spacing w:val="-3"/>
        </w:rPr>
        <w:t>111 </w:t>
      </w:r>
      <w:r>
        <w:rPr>
          <w:rFonts w:ascii="SimSun" w:hAnsi="SimSun" w:eastAsia="SimSun" w:cs="SimSun"/>
          <w:sz w:val="24"/>
          <w:szCs w:val="24"/>
          <w:spacing w:val="-3"/>
        </w:rPr>
        <w:t>号）。</w:t>
      </w:r>
    </w:p>
    <w:p>
      <w:pPr>
        <w:ind w:left="491"/>
        <w:spacing w:before="155" w:line="219" w:lineRule="auto"/>
        <w:rPr>
          <w:rFonts w:ascii="SimSun" w:hAnsi="SimSun" w:eastAsia="SimSun" w:cs="SimSun"/>
          <w:sz w:val="24"/>
          <w:szCs w:val="24"/>
        </w:rPr>
      </w:pPr>
      <w:r>
        <w:rPr>
          <w:rFonts w:ascii="SimSun" w:hAnsi="SimSun" w:eastAsia="SimSun" w:cs="SimSun"/>
          <w:sz w:val="24"/>
          <w:szCs w:val="24"/>
          <w:spacing w:val="-2"/>
        </w:rPr>
        <w:t>调整前后白音华四号矿露天、井工开采范围示意图见图</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2"/>
        </w:rPr>
        <w:t>1-1-1</w:t>
      </w:r>
      <w:r>
        <w:rPr>
          <w:rFonts w:ascii="SimSun" w:hAnsi="SimSun" w:eastAsia="SimSun" w:cs="SimSun"/>
          <w:sz w:val="24"/>
          <w:szCs w:val="24"/>
          <w:spacing w:val="-2"/>
        </w:rPr>
        <w:t>。</w:t>
      </w:r>
    </w:p>
    <w:p>
      <w:pPr>
        <w:ind w:left="8" w:firstLine="480"/>
        <w:spacing w:before="152" w:line="327" w:lineRule="auto"/>
        <w:rPr>
          <w:rFonts w:ascii="SimSun" w:hAnsi="SimSun" w:eastAsia="SimSun" w:cs="SimSun"/>
          <w:sz w:val="24"/>
          <w:szCs w:val="24"/>
        </w:rPr>
      </w:pPr>
      <w:r>
        <w:pict>
          <v:shape id="_x0000_s6" style="position:absolute;margin-left:223.64pt;margin-top:176.961pt;mso-position-vertical-relative:text;mso-position-horizontal-relative:text;width:229.2pt;height:278.95pt;z-index:251669504;" filled="false" stroked="false" type="#_x0000_t202">
            <v:fill on="false"/>
            <v:stroke on="false"/>
            <v:path/>
            <v:imagedata o:title=""/>
            <o:lock v:ext="edit" aspectratio="false"/>
            <v:textbox inset="0mm,0mm,0mm,0mm">
              <w:txbxContent>
                <w:p>
                  <w:pPr>
                    <w:spacing w:line="20" w:lineRule="exact"/>
                    <w:rPr/>
                  </w:pPr>
                  <w:r/>
                </w:p>
                <w:tbl>
                  <w:tblPr>
                    <w:tblStyle w:val="TableNormal"/>
                    <w:tblW w:w="4538" w:type="dxa"/>
                    <w:tblInd w:w="22" w:type="dxa"/>
                    <w:tblLayout w:type="fixed"/>
                    <w:tblBorders>
                      <w:left w:val="single" w:color="000000" w:sz="2" w:space="0"/>
                      <w:bottom w:val="single" w:color="000000" w:sz="10" w:space="0"/>
                      <w:right w:val="single" w:color="000000" w:sz="2" w:space="0"/>
                      <w:top w:val="single" w:color="000000" w:sz="10" w:space="0"/>
                    </w:tblBorders>
                  </w:tblPr>
                  <w:tblGrid>
                    <w:gridCol w:w="4538"/>
                  </w:tblGrid>
                  <w:tr>
                    <w:trPr>
                      <w:trHeight w:val="5488" w:hRule="atLeast"/>
                    </w:trPr>
                    <w:tc>
                      <w:tcPr>
                        <w:tcW w:w="4538" w:type="dxa"/>
                        <w:vAlign w:val="top"/>
                      </w:tcPr>
                      <w:p>
                        <w:pPr>
                          <w:ind w:left="2349"/>
                          <w:spacing w:before="22" w:line="222" w:lineRule="auto"/>
                          <w:rPr>
                            <w:rFonts w:ascii="Arial" w:hAnsi="Arial" w:eastAsia="Arial" w:cs="Arial"/>
                            <w:sz w:val="9"/>
                            <w:szCs w:val="9"/>
                          </w:rPr>
                        </w:pPr>
                        <w:r>
                          <w:rPr>
                            <w:rFonts w:ascii="Arial" w:hAnsi="Arial" w:eastAsia="Arial" w:cs="Arial"/>
                            <w:sz w:val="9"/>
                            <w:szCs w:val="9"/>
                            <w:color w:val="0000FF"/>
                          </w:rPr>
                          <w:t>5</w:t>
                        </w:r>
                      </w:p>
                      <w:p>
                        <w:pPr>
                          <w:ind w:left="135"/>
                          <w:spacing w:before="160" w:line="199" w:lineRule="auto"/>
                          <w:rPr>
                            <w:rFonts w:ascii="SimSun" w:hAnsi="SimSun" w:eastAsia="SimSun" w:cs="SimSun"/>
                            <w:sz w:val="24"/>
                            <w:szCs w:val="24"/>
                          </w:rPr>
                        </w:pPr>
                        <w:r>
                          <w:rPr>
                            <w:rFonts w:ascii="SimSun" w:hAnsi="SimSun" w:eastAsia="SimSun" w:cs="SimSun"/>
                            <w:sz w:val="24"/>
                            <w:szCs w:val="24"/>
                            <w:spacing w:val="-6"/>
                          </w:rPr>
                          <w:t>改建后</w:t>
                        </w:r>
                      </w:p>
                      <w:p>
                        <w:pPr>
                          <w:ind w:firstLine="3141"/>
                          <w:spacing w:line="370" w:lineRule="exact"/>
                          <w:rPr/>
                        </w:pPr>
                        <w:r>
                          <w:rPr>
                            <w:position w:val="-7"/>
                          </w:rPr>
                          <w:drawing>
                            <wp:inline distT="0" distB="0" distL="0" distR="0">
                              <wp:extent cx="352894" cy="235458"/>
                              <wp:effectExtent l="0" t="0" r="0" b="0"/>
                              <wp:docPr id="8" name="IM 8"/>
                              <wp:cNvGraphicFramePr/>
                              <a:graphic>
                                <a:graphicData uri="http://schemas.openxmlformats.org/drawingml/2006/picture">
                                  <pic:pic>
                                    <pic:nvPicPr>
                                      <pic:cNvPr id="8" name="IM 8"/>
                                      <pic:cNvPicPr/>
                                    </pic:nvPicPr>
                                    <pic:blipFill>
                                      <a:blip r:embed="rId13"/>
                                      <a:stretch>
                                        <a:fillRect/>
                                      </a:stretch>
                                    </pic:blipFill>
                                    <pic:spPr>
                                      <a:xfrm rot="0">
                                        <a:off x="0" y="0"/>
                                        <a:ext cx="352894" cy="235458"/>
                                      </a:xfrm>
                                      <a:prstGeom prst="rect">
                                        <a:avLst/>
                                      </a:prstGeom>
                                    </pic:spPr>
                                  </pic:pic>
                                </a:graphicData>
                              </a:graphic>
                            </wp:inline>
                          </w:drawing>
                        </w:r>
                      </w:p>
                      <w:p>
                        <w:pPr>
                          <w:spacing w:line="387" w:lineRule="auto"/>
                          <w:rPr>
                            <w:rFonts w:ascii="Arial"/>
                            <w:sz w:val="21"/>
                          </w:rPr>
                        </w:pPr>
                        <w:r/>
                      </w:p>
                      <w:p>
                        <w:pPr>
                          <w:ind w:left="4399"/>
                          <w:spacing w:before="26" w:line="222" w:lineRule="auto"/>
                          <w:rPr>
                            <w:rFonts w:ascii="Arial" w:hAnsi="Arial" w:eastAsia="Arial" w:cs="Arial"/>
                            <w:sz w:val="9"/>
                            <w:szCs w:val="9"/>
                          </w:rPr>
                        </w:pPr>
                        <w:r>
                          <w:rPr>
                            <w:rFonts w:ascii="Arial" w:hAnsi="Arial" w:eastAsia="Arial" w:cs="Arial"/>
                            <w:sz w:val="9"/>
                            <w:szCs w:val="9"/>
                            <w:color w:val="0000FF"/>
                          </w:rPr>
                          <w:t>4</w:t>
                        </w:r>
                      </w:p>
                      <w:p>
                        <w:pPr>
                          <w:ind w:firstLine="1322"/>
                          <w:spacing w:before="165" w:line="582" w:lineRule="exact"/>
                          <w:rPr/>
                        </w:pPr>
                        <w:r>
                          <w:rPr>
                            <w:position w:val="-11"/>
                          </w:rPr>
                          <w:drawing>
                            <wp:inline distT="0" distB="0" distL="0" distR="0">
                              <wp:extent cx="204787" cy="369189"/>
                              <wp:effectExtent l="0" t="0" r="0" b="0"/>
                              <wp:docPr id="10" name="IM 10"/>
                              <wp:cNvGraphicFramePr/>
                              <a:graphic>
                                <a:graphicData uri="http://schemas.openxmlformats.org/drawingml/2006/picture">
                                  <pic:pic>
                                    <pic:nvPicPr>
                                      <pic:cNvPr id="10" name="IM 10"/>
                                      <pic:cNvPicPr/>
                                    </pic:nvPicPr>
                                    <pic:blipFill>
                                      <a:blip r:embed="rId14"/>
                                      <a:stretch>
                                        <a:fillRect/>
                                      </a:stretch>
                                    </pic:blipFill>
                                    <pic:spPr>
                                      <a:xfrm rot="0">
                                        <a:off x="0" y="0"/>
                                        <a:ext cx="204787" cy="369189"/>
                                      </a:xfrm>
                                      <a:prstGeom prst="rect">
                                        <a:avLst/>
                                      </a:prstGeom>
                                    </pic:spPr>
                                  </pic:pic>
                                </a:graphicData>
                              </a:graphic>
                            </wp:inline>
                          </w:drawing>
                        </w:r>
                      </w:p>
                      <w:p>
                        <w:pPr>
                          <w:spacing w:line="395" w:lineRule="auto"/>
                          <w:rPr>
                            <w:rFonts w:ascii="Arial"/>
                            <w:sz w:val="21"/>
                          </w:rPr>
                        </w:pPr>
                        <w:r/>
                      </w:p>
                      <w:p>
                        <w:pPr>
                          <w:ind w:firstLine="1714"/>
                          <w:spacing w:line="708" w:lineRule="exact"/>
                          <w:rPr/>
                        </w:pPr>
                        <w:r>
                          <w:rPr>
                            <w:position w:val="-14"/>
                          </w:rPr>
                          <w:drawing>
                            <wp:inline distT="0" distB="0" distL="0" distR="0">
                              <wp:extent cx="321564" cy="449097"/>
                              <wp:effectExtent l="0" t="0" r="0" b="0"/>
                              <wp:docPr id="12" name="IM 12"/>
                              <wp:cNvGraphicFramePr/>
                              <a:graphic>
                                <a:graphicData uri="http://schemas.openxmlformats.org/drawingml/2006/picture">
                                  <pic:pic>
                                    <pic:nvPicPr>
                                      <pic:cNvPr id="12" name="IM 12"/>
                                      <pic:cNvPicPr/>
                                    </pic:nvPicPr>
                                    <pic:blipFill>
                                      <a:blip r:embed="rId15"/>
                                      <a:stretch>
                                        <a:fillRect/>
                                      </a:stretch>
                                    </pic:blipFill>
                                    <pic:spPr>
                                      <a:xfrm rot="0">
                                        <a:off x="0" y="0"/>
                                        <a:ext cx="321564" cy="449097"/>
                                      </a:xfrm>
                                      <a:prstGeom prst="rect">
                                        <a:avLst/>
                                      </a:prstGeom>
                                    </pic:spPr>
                                  </pic:pic>
                                </a:graphicData>
                              </a:graphic>
                            </wp:inline>
                          </w:drawing>
                        </w:r>
                      </w:p>
                      <w:p>
                        <w:pPr>
                          <w:spacing w:line="295" w:lineRule="auto"/>
                          <w:rPr>
                            <w:rFonts w:ascii="Arial"/>
                            <w:sz w:val="21"/>
                          </w:rPr>
                        </w:pPr>
                        <w:r/>
                      </w:p>
                      <w:p>
                        <w:pPr>
                          <w:spacing w:line="296" w:lineRule="auto"/>
                          <w:rPr>
                            <w:rFonts w:ascii="Arial"/>
                            <w:sz w:val="21"/>
                          </w:rPr>
                        </w:pPr>
                        <w:r/>
                      </w:p>
                      <w:p>
                        <w:pPr>
                          <w:ind w:firstLine="2075"/>
                          <w:spacing w:line="127" w:lineRule="exact"/>
                          <w:rPr/>
                        </w:pPr>
                        <w:r>
                          <w:rPr>
                            <w:position w:val="-2"/>
                          </w:rPr>
                          <w:drawing>
                            <wp:inline distT="0" distB="0" distL="0" distR="0">
                              <wp:extent cx="48005" cy="80200"/>
                              <wp:effectExtent l="0" t="0" r="0" b="0"/>
                              <wp:docPr id="14" name="IM 14"/>
                              <wp:cNvGraphicFramePr/>
                              <a:graphic>
                                <a:graphicData uri="http://schemas.openxmlformats.org/drawingml/2006/picture">
                                  <pic:pic>
                                    <pic:nvPicPr>
                                      <pic:cNvPr id="14" name="IM 14"/>
                                      <pic:cNvPicPr/>
                                    </pic:nvPicPr>
                                    <pic:blipFill>
                                      <a:blip r:embed="rId16"/>
                                      <a:stretch>
                                        <a:fillRect/>
                                      </a:stretch>
                                    </pic:blipFill>
                                    <pic:spPr>
                                      <a:xfrm rot="0">
                                        <a:off x="0" y="0"/>
                                        <a:ext cx="48005" cy="80200"/>
                                      </a:xfrm>
                                      <a:prstGeom prst="rect">
                                        <a:avLst/>
                                      </a:prstGeom>
                                    </pic:spPr>
                                  </pic:pic>
                                </a:graphicData>
                              </a:graphic>
                            </wp:inline>
                          </w:drawing>
                        </w:r>
                      </w:p>
                      <w:p>
                        <w:pPr>
                          <w:spacing w:line="181" w:lineRule="exact"/>
                          <w:rPr/>
                        </w:pPr>
                        <w:r/>
                      </w:p>
                      <w:tbl>
                        <w:tblPr>
                          <w:tblStyle w:val="TableNormal"/>
                          <w:tblW w:w="542" w:type="dxa"/>
                          <w:tblInd w:w="318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2"/>
                        </w:tblGrid>
                        <w:tr>
                          <w:trPr>
                            <w:trHeight w:val="104" w:hRule="atLeast"/>
                          </w:trPr>
                          <w:tc>
                            <w:tcPr>
                              <w:tcW w:w="542" w:type="dxa"/>
                              <w:vAlign w:val="top"/>
                              <w:tcBorders>
                                <w:bottom w:val="single" w:color="000000" w:sz="6" w:space="0"/>
                              </w:tcBorders>
                            </w:tcPr>
                            <w:p>
                              <w:pPr>
                                <w:ind w:left="250"/>
                                <w:spacing w:before="83" w:line="11" w:lineRule="exact"/>
                                <w:rPr>
                                  <w:rFonts w:ascii="Arial" w:hAnsi="Arial" w:eastAsia="Arial" w:cs="Arial"/>
                                  <w:sz w:val="2"/>
                                  <w:szCs w:val="2"/>
                                </w:rPr>
                              </w:pPr>
                              <w:r>
                                <w:rPr>
                                  <w:rFonts w:ascii="Arial" w:hAnsi="Arial" w:eastAsia="Arial" w:cs="Arial"/>
                                  <w:sz w:val="2"/>
                                  <w:szCs w:val="2"/>
                                  <w:b/>
                                  <w:bCs/>
                                  <w:spacing w:val="26"/>
                                  <w:w w:val="175"/>
                                </w:rPr>
                                <w:t>+</w:t>
                              </w:r>
                            </w:p>
                          </w:tc>
                        </w:tr>
                        <w:tr>
                          <w:trPr>
                            <w:trHeight w:val="94" w:hRule="atLeast"/>
                          </w:trPr>
                          <w:tc>
                            <w:tcPr>
                              <w:tcW w:w="542" w:type="dxa"/>
                              <w:vAlign w:val="top"/>
                              <w:tcBorders>
                                <w:top w:val="single" w:color="000000" w:sz="6" w:space="0"/>
                              </w:tcBorders>
                            </w:tcPr>
                            <w:p>
                              <w:pPr>
                                <w:spacing w:line="84" w:lineRule="exact"/>
                                <w:rPr>
                                  <w:rFonts w:ascii="Arial"/>
                                  <w:sz w:val="7"/>
                                </w:rPr>
                              </w:pPr>
                              <w:r/>
                            </w:p>
                          </w:tc>
                        </w:tr>
                      </w:tbl>
                      <w:p>
                        <w:pPr>
                          <w:ind w:left="3778"/>
                          <w:spacing w:before="138" w:line="92" w:lineRule="exact"/>
                          <w:rPr>
                            <w:rFonts w:ascii="Microsoft YaHei" w:hAnsi="Microsoft YaHei" w:eastAsia="Microsoft YaHei" w:cs="Microsoft YaHei"/>
                            <w:sz w:val="9"/>
                            <w:szCs w:val="9"/>
                          </w:rPr>
                        </w:pPr>
                        <w:r>
                          <w:rPr>
                            <w:rFonts w:ascii="Microsoft YaHei" w:hAnsi="Microsoft YaHei" w:eastAsia="Microsoft YaHei" w:cs="Microsoft YaHei"/>
                            <w:sz w:val="9"/>
                            <w:szCs w:val="9"/>
                            <w:spacing w:val="-2"/>
                            <w:w w:val="80"/>
                          </w:rPr>
                          <w:t>露天、井工分界线</w:t>
                        </w:r>
                      </w:p>
                      <w:p>
                        <w:pPr>
                          <w:ind w:firstLine="733"/>
                          <w:spacing w:before="91" w:line="331" w:lineRule="exact"/>
                          <w:rPr/>
                        </w:pPr>
                        <w:r>
                          <w:rPr>
                            <w:position w:val="-6"/>
                          </w:rPr>
                          <w:drawing>
                            <wp:inline distT="0" distB="0" distL="0" distR="0">
                              <wp:extent cx="368045" cy="209651"/>
                              <wp:effectExtent l="0" t="0" r="0" b="0"/>
                              <wp:docPr id="16" name="IM 16"/>
                              <wp:cNvGraphicFramePr/>
                              <a:graphic>
                                <a:graphicData uri="http://schemas.openxmlformats.org/drawingml/2006/picture">
                                  <pic:pic>
                                    <pic:nvPicPr>
                                      <pic:cNvPr id="16" name="IM 16"/>
                                      <pic:cNvPicPr/>
                                    </pic:nvPicPr>
                                    <pic:blipFill>
                                      <a:blip r:embed="rId17"/>
                                      <a:stretch>
                                        <a:fillRect/>
                                      </a:stretch>
                                    </pic:blipFill>
                                    <pic:spPr>
                                      <a:xfrm rot="0">
                                        <a:off x="0" y="0"/>
                                        <a:ext cx="368045" cy="209651"/>
                                      </a:xfrm>
                                      <a:prstGeom prst="rect">
                                        <a:avLst/>
                                      </a:prstGeom>
                                    </pic:spPr>
                                  </pic:pic>
                                </a:graphicData>
                              </a:graphic>
                            </wp:inline>
                          </w:drawing>
                        </w:r>
                      </w:p>
                      <w:p>
                        <w:pPr>
                          <w:ind w:firstLine="1462"/>
                          <w:spacing w:before="121" w:line="98" w:lineRule="exact"/>
                          <w:rPr/>
                        </w:pPr>
                        <w:r>
                          <w:rPr>
                            <w:position w:val="-1"/>
                          </w:rPr>
                          <w:drawing>
                            <wp:inline distT="0" distB="0" distL="0" distR="0">
                              <wp:extent cx="30759" cy="61912"/>
                              <wp:effectExtent l="0" t="0" r="0" b="0"/>
                              <wp:docPr id="18" name="IM 18"/>
                              <wp:cNvGraphicFramePr/>
                              <a:graphic>
                                <a:graphicData uri="http://schemas.openxmlformats.org/drawingml/2006/picture">
                                  <pic:pic>
                                    <pic:nvPicPr>
                                      <pic:cNvPr id="18" name="IM 18"/>
                                      <pic:cNvPicPr/>
                                    </pic:nvPicPr>
                                    <pic:blipFill>
                                      <a:blip r:embed="rId18"/>
                                      <a:stretch>
                                        <a:fillRect/>
                                      </a:stretch>
                                    </pic:blipFill>
                                    <pic:spPr>
                                      <a:xfrm rot="0">
                                        <a:off x="0" y="0"/>
                                        <a:ext cx="30759" cy="61912"/>
                                      </a:xfrm>
                                      <a:prstGeom prst="rect">
                                        <a:avLst/>
                                      </a:prstGeom>
                                    </pic:spPr>
                                  </pic:pic>
                                </a:graphicData>
                              </a:graphic>
                            </wp:inline>
                          </w:drawing>
                        </w:r>
                      </w:p>
                      <w:p>
                        <w:pPr>
                          <w:ind w:left="1799"/>
                          <w:spacing w:before="62" w:line="128" w:lineRule="exact"/>
                          <w:rPr/>
                        </w:pPr>
                        <w:r>
                          <w:rPr>
                            <w:position w:val="-3"/>
                          </w:rPr>
                          <w:drawing>
                            <wp:inline distT="0" distB="0" distL="0" distR="0">
                              <wp:extent cx="395007" cy="81254"/>
                              <wp:effectExtent l="0" t="0" r="0" b="0"/>
                              <wp:docPr id="20" name="IM 20"/>
                              <wp:cNvGraphicFramePr/>
                              <a:graphic>
                                <a:graphicData uri="http://schemas.openxmlformats.org/drawingml/2006/picture">
                                  <pic:pic>
                                    <pic:nvPicPr>
                                      <pic:cNvPr id="20" name="IM 20"/>
                                      <pic:cNvPicPr/>
                                    </pic:nvPicPr>
                                    <pic:blipFill>
                                      <a:blip r:embed="rId19"/>
                                      <a:stretch>
                                        <a:fillRect/>
                                      </a:stretch>
                                    </pic:blipFill>
                                    <pic:spPr>
                                      <a:xfrm rot="0">
                                        <a:off x="0" y="0"/>
                                        <a:ext cx="395007" cy="81254"/>
                                      </a:xfrm>
                                      <a:prstGeom prst="rect">
                                        <a:avLst/>
                                      </a:prstGeom>
                                    </pic:spPr>
                                  </pic:pic>
                                </a:graphicData>
                              </a:graphic>
                            </wp:inline>
                          </w:drawing>
                        </w:r>
                      </w:p>
                    </w:tc>
                  </w:tr>
                </w:tbl>
                <w:p>
                  <w:pPr>
                    <w:pStyle w:val="BodyText"/>
                    <w:rPr/>
                  </w:pPr>
                  <w:r/>
                </w:p>
              </w:txbxContent>
            </v:textbox>
          </v:shape>
        </w:pict>
      </w:r>
      <w:r>
        <w:rPr>
          <w:rFonts w:ascii="SimSun" w:hAnsi="SimSun" w:eastAsia="SimSun" w:cs="SimSun"/>
          <w:sz w:val="24"/>
          <w:szCs w:val="24"/>
          <w:spacing w:val="-2"/>
        </w:rPr>
        <w:t>根据项目备案告知书，本次项目内容主要涉及开采范围的优化调整及地面输煤系统</w:t>
      </w:r>
      <w:r>
        <w:rPr>
          <w:rFonts w:ascii="SimSun" w:hAnsi="SimSun" w:eastAsia="SimSun" w:cs="SimSun"/>
          <w:sz w:val="24"/>
          <w:szCs w:val="24"/>
          <w:spacing w:val="-2"/>
        </w:rPr>
        <w:t>改建。根据《中华人民共和国环境影响评价法》和《建设项目环境保护管理条例》等相</w:t>
      </w:r>
      <w:r>
        <w:rPr>
          <w:rFonts w:ascii="SimSun" w:hAnsi="SimSun" w:eastAsia="SimSun" w:cs="SimSun"/>
          <w:sz w:val="24"/>
          <w:szCs w:val="24"/>
          <w:spacing w:val="-2"/>
        </w:rPr>
        <w:t>关法律法规的规定，该项目建设应进行环境影响评价工作</w:t>
      </w:r>
      <w:r>
        <w:rPr>
          <w:rFonts w:ascii="SimSun" w:hAnsi="SimSun" w:eastAsia="SimSun" w:cs="SimSun"/>
          <w:sz w:val="24"/>
          <w:szCs w:val="24"/>
          <w:color w:val="4472C4"/>
          <w:spacing w:val="-2"/>
        </w:rPr>
        <w:t>，</w:t>
      </w:r>
      <w:r>
        <w:rPr>
          <w:rFonts w:ascii="SimSun" w:hAnsi="SimSun" w:eastAsia="SimSun" w:cs="SimSun"/>
          <w:sz w:val="24"/>
          <w:szCs w:val="24"/>
          <w:spacing w:val="-2"/>
        </w:rPr>
        <w:t>本项目开采范围优化调整部</w:t>
      </w:r>
      <w:r>
        <w:rPr>
          <w:rFonts w:ascii="SimSun" w:hAnsi="SimSun" w:eastAsia="SimSun" w:cs="SimSun"/>
          <w:sz w:val="24"/>
          <w:szCs w:val="24"/>
          <w:spacing w:val="2"/>
        </w:rPr>
        <w:t>分内容属于《建设项目环境影响评价分类管理名录（</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年版）》中</w:t>
      </w:r>
      <w:r>
        <w:rPr>
          <w:rFonts w:ascii="Times New Roman" w:hAnsi="Times New Roman" w:eastAsia="Times New Roman" w:cs="Times New Roman"/>
          <w:sz w:val="24"/>
          <w:szCs w:val="24"/>
          <w:spacing w:val="2"/>
        </w:rPr>
        <w:t>“</w:t>
      </w:r>
      <w:r>
        <w:rPr>
          <w:rFonts w:ascii="SimSun" w:hAnsi="SimSun" w:eastAsia="SimSun" w:cs="SimSun"/>
          <w:sz w:val="24"/>
          <w:szCs w:val="24"/>
          <w:spacing w:val="1"/>
        </w:rPr>
        <w:t>四、煤炭开采和</w:t>
      </w:r>
      <w:r>
        <w:rPr>
          <w:rFonts w:ascii="SimSun" w:hAnsi="SimSun" w:eastAsia="SimSun" w:cs="SimSun"/>
          <w:sz w:val="24"/>
          <w:szCs w:val="24"/>
          <w:spacing w:val="-3"/>
        </w:rPr>
        <w:t>洗选业褐煤开采洗选 </w:t>
      </w:r>
      <w:r>
        <w:rPr>
          <w:rFonts w:ascii="Times New Roman" w:hAnsi="Times New Roman" w:eastAsia="Times New Roman" w:cs="Times New Roman"/>
          <w:sz w:val="24"/>
          <w:szCs w:val="24"/>
          <w:spacing w:val="-3"/>
        </w:rPr>
        <w:t>062”</w:t>
      </w:r>
      <w:r>
        <w:rPr>
          <w:rFonts w:ascii="SimSun" w:hAnsi="SimSun" w:eastAsia="SimSun" w:cs="SimSun"/>
          <w:sz w:val="24"/>
          <w:szCs w:val="24"/>
          <w:spacing w:val="-3"/>
        </w:rPr>
        <w:t>类别，应编制环境影响报告书。地面输煤系统改建属于“</w:t>
      </w:r>
      <w:r>
        <w:rPr>
          <w:rFonts w:ascii="SimSun" w:hAnsi="SimSun" w:eastAsia="SimSun" w:cs="SimSun"/>
          <w:sz w:val="24"/>
          <w:szCs w:val="24"/>
          <w:spacing w:val="-76"/>
        </w:rPr>
        <w:t xml:space="preserve"> </w:t>
      </w:r>
      <w:r>
        <w:rPr>
          <w:rFonts w:ascii="SimSun" w:hAnsi="SimSun" w:eastAsia="SimSun" w:cs="SimSun"/>
          <w:sz w:val="24"/>
          <w:szCs w:val="24"/>
          <w:spacing w:val="-3"/>
        </w:rPr>
        <w:t>四、</w:t>
      </w:r>
      <w:r>
        <w:rPr>
          <w:rFonts w:ascii="SimSun" w:hAnsi="SimSun" w:eastAsia="SimSun" w:cs="SimSun"/>
          <w:sz w:val="24"/>
          <w:szCs w:val="24"/>
          <w:spacing w:val="1"/>
        </w:rPr>
        <w:t>煤炭开采和洗选业 06</w:t>
      </w:r>
      <w:r>
        <w:rPr>
          <w:rFonts w:ascii="SimSun" w:hAnsi="SimSun" w:eastAsia="SimSun" w:cs="SimSun"/>
          <w:sz w:val="24"/>
          <w:szCs w:val="24"/>
          <w:spacing w:val="-51"/>
        </w:rPr>
        <w:t xml:space="preserve"> </w:t>
      </w:r>
      <w:r>
        <w:rPr>
          <w:rFonts w:ascii="SimSun" w:hAnsi="SimSun" w:eastAsia="SimSun" w:cs="SimSun"/>
          <w:sz w:val="24"/>
          <w:szCs w:val="24"/>
          <w:spacing w:val="1"/>
        </w:rPr>
        <w:t>褐煤开采洗选069 煤炭储存、集运</w:t>
      </w:r>
      <w:r>
        <w:rPr>
          <w:rFonts w:ascii="SimSun" w:hAnsi="SimSun" w:eastAsia="SimSun" w:cs="SimSun"/>
          <w:sz w:val="24"/>
          <w:szCs w:val="24"/>
          <w:spacing w:val="-88"/>
        </w:rPr>
        <w:t xml:space="preserve"> </w:t>
      </w:r>
      <w:r>
        <w:rPr>
          <w:rFonts w:ascii="SimSun" w:hAnsi="SimSun" w:eastAsia="SimSun" w:cs="SimSun"/>
          <w:sz w:val="24"/>
          <w:szCs w:val="24"/>
          <w:spacing w:val="1"/>
        </w:rPr>
        <w:t>”，应编制环境影响报</w:t>
      </w:r>
      <w:r>
        <w:rPr>
          <w:rFonts w:ascii="SimSun" w:hAnsi="SimSun" w:eastAsia="SimSun" w:cs="SimSun"/>
          <w:sz w:val="24"/>
          <w:szCs w:val="24"/>
        </w:rPr>
        <w:t>告表，</w:t>
      </w:r>
      <w:r>
        <w:rPr>
          <w:rFonts w:ascii="SimSun" w:hAnsi="SimSun" w:eastAsia="SimSun" w:cs="SimSun"/>
          <w:sz w:val="24"/>
          <w:szCs w:val="24"/>
          <w:spacing w:val="-3"/>
        </w:rPr>
        <w:t>该部分内容单独编制报告表，锡林郭勒盟生态环境局西乌旗分局于</w:t>
      </w:r>
      <w:r>
        <w:rPr>
          <w:rFonts w:ascii="SimSun" w:hAnsi="SimSun" w:eastAsia="SimSun" w:cs="SimSun"/>
          <w:sz w:val="24"/>
          <w:szCs w:val="24"/>
          <w:spacing w:val="-47"/>
        </w:rPr>
        <w:t xml:space="preserve"> </w:t>
      </w:r>
      <w:r>
        <w:rPr>
          <w:rFonts w:ascii="SimSun" w:hAnsi="SimSun" w:eastAsia="SimSun" w:cs="SimSun"/>
          <w:sz w:val="24"/>
          <w:szCs w:val="24"/>
          <w:spacing w:val="-3"/>
        </w:rPr>
        <w:t>2025</w:t>
      </w:r>
      <w:r>
        <w:rPr>
          <w:rFonts w:ascii="SimSun" w:hAnsi="SimSun" w:eastAsia="SimSun" w:cs="SimSun"/>
          <w:sz w:val="24"/>
          <w:szCs w:val="24"/>
          <w:spacing w:val="-50"/>
        </w:rPr>
        <w:t xml:space="preserve"> </w:t>
      </w:r>
      <w:r>
        <w:rPr>
          <w:rFonts w:ascii="SimSun" w:hAnsi="SimSun" w:eastAsia="SimSun" w:cs="SimSun"/>
          <w:sz w:val="24"/>
          <w:szCs w:val="24"/>
          <w:spacing w:val="-3"/>
        </w:rPr>
        <w:t>年</w:t>
      </w:r>
      <w:r>
        <w:rPr>
          <w:rFonts w:ascii="SimSun" w:hAnsi="SimSun" w:eastAsia="SimSun" w:cs="SimSun"/>
          <w:sz w:val="24"/>
          <w:szCs w:val="24"/>
          <w:spacing w:val="-33"/>
        </w:rPr>
        <w:t xml:space="preserve"> </w:t>
      </w:r>
      <w:r>
        <w:rPr>
          <w:rFonts w:ascii="SimSun" w:hAnsi="SimSun" w:eastAsia="SimSun" w:cs="SimSun"/>
          <w:sz w:val="24"/>
          <w:szCs w:val="24"/>
          <w:spacing w:val="-3"/>
        </w:rPr>
        <w:t>10</w:t>
      </w:r>
      <w:r>
        <w:rPr>
          <w:rFonts w:ascii="SimSun" w:hAnsi="SimSun" w:eastAsia="SimSun" w:cs="SimSun"/>
          <w:sz w:val="24"/>
          <w:szCs w:val="24"/>
          <w:spacing w:val="-45"/>
        </w:rPr>
        <w:t xml:space="preserve"> </w:t>
      </w:r>
      <w:r>
        <w:rPr>
          <w:rFonts w:ascii="SimSun" w:hAnsi="SimSun" w:eastAsia="SimSun" w:cs="SimSun"/>
          <w:sz w:val="24"/>
          <w:szCs w:val="24"/>
          <w:spacing w:val="-3"/>
        </w:rPr>
        <w:t>月</w:t>
      </w:r>
      <w:r>
        <w:rPr>
          <w:rFonts w:ascii="SimSun" w:hAnsi="SimSun" w:eastAsia="SimSun" w:cs="SimSun"/>
          <w:sz w:val="24"/>
          <w:szCs w:val="24"/>
          <w:spacing w:val="-4"/>
        </w:rPr>
        <w:t>对该报</w:t>
      </w:r>
      <w:r>
        <w:rPr>
          <w:rFonts w:ascii="SimSun" w:hAnsi="SimSun" w:eastAsia="SimSun" w:cs="SimSun"/>
          <w:sz w:val="24"/>
          <w:szCs w:val="24"/>
          <w:spacing w:val="-2"/>
        </w:rPr>
        <w:t>告表批复（西环审表【2025】23</w:t>
      </w:r>
      <w:r>
        <w:rPr>
          <w:rFonts w:ascii="SimSun" w:hAnsi="SimSun" w:eastAsia="SimSun" w:cs="SimSun"/>
          <w:sz w:val="24"/>
          <w:szCs w:val="24"/>
          <w:spacing w:val="-44"/>
        </w:rPr>
        <w:t xml:space="preserve"> </w:t>
      </w:r>
      <w:r>
        <w:rPr>
          <w:rFonts w:ascii="SimSun" w:hAnsi="SimSun" w:eastAsia="SimSun" w:cs="SimSun"/>
          <w:sz w:val="24"/>
          <w:szCs w:val="24"/>
          <w:spacing w:val="-2"/>
        </w:rPr>
        <w:t>号</w:t>
      </w:r>
      <w:r>
        <w:rPr>
          <w:rFonts w:ascii="SimSun" w:hAnsi="SimSun" w:eastAsia="SimSun" w:cs="SimSun"/>
          <w:sz w:val="24"/>
          <w:szCs w:val="24"/>
          <w:spacing w:val="15"/>
        </w:rPr>
        <w:t>），</w:t>
      </w:r>
      <w:r>
        <w:rPr>
          <w:rFonts w:ascii="SimSun" w:hAnsi="SimSun" w:eastAsia="SimSun" w:cs="SimSun"/>
          <w:sz w:val="24"/>
          <w:szCs w:val="24"/>
          <w:spacing w:val="-2"/>
        </w:rPr>
        <w:t>不在本次评价范围内。</w:t>
      </w:r>
    </w:p>
    <w:p>
      <w:pPr>
        <w:pStyle w:val="BodyText"/>
        <w:spacing w:line="5563" w:lineRule="exact"/>
        <w:rPr/>
      </w:pPr>
      <w:r>
        <mc:AlternateContent xmlns:mc="http://schemas.openxmlformats.org/markup-compatibility/2006">
          <mc:Choice Requires="wps">
            <w:drawing>
              <wp:anchor distT="0" distB="0" distL="0" distR="0" simplePos="0" relativeHeight="251672576" behindDoc="0" locked="0" layoutInCell="1" allowOverlap="1">
                <wp:simplePos x="0" y="0"/>
                <wp:positionH relativeFrom="column">
                  <wp:posOffset>4715353</wp:posOffset>
                </wp:positionH>
                <wp:positionV relativeFrom="paragraph">
                  <wp:posOffset>407923</wp:posOffset>
                </wp:positionV>
                <wp:extent cx="614680" cy="140335"/>
                <wp:effectExtent l="0" t="0" r="0" b="0"/>
                <wp:wrapNone/>
                <wp:docPr id="22" name="TextBox 22"/>
                <wp:cNvGraphicFramePr/>
                <a:graphic>
                  <a:graphicData uri="http://schemas.microsoft.com/office/word/2010/wordprocessingShape">
                    <wps:wsp>
                      <wps:cNvPr id="22" name="TextBox 22"/>
                      <wps:cNvSpPr txBox="1"/>
                      <wps:spPr>
                        <a:xfrm rot="12780000">
                          <a:off x="4715353" y="407923"/>
                          <a:ext cx="614680" cy="1403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5"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8" style="position:absolute;margin-left:371.288pt;margin-top:32.1199pt;mso-position-vertical-relative:text;mso-position-horizontal-relative:text;width:48.4pt;height:11.05pt;z-index:251672576;rotation:213;" filled="false" stroked="false" type="#_x0000_t202">
                <v:fill on="false"/>
                <v:stroke on="false"/>
                <v:path/>
                <v:imagedata o:title=""/>
                <o:lock v:ext="edit" aspectratio="false"/>
                <v:textbox inset="0mm,0mm,0mm,0mm">
                  <w:txbxContent>
                    <w:p>
                      <w:pPr>
                        <w:pStyle w:val="BodyText"/>
                        <w:ind w:left="20"/>
                        <w:spacing w:before="67" w:line="185"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73600" behindDoc="0" locked="0" layoutInCell="1" allowOverlap="1">
                <wp:simplePos x="0" y="0"/>
                <wp:positionH relativeFrom="column">
                  <wp:posOffset>3736933</wp:posOffset>
                </wp:positionH>
                <wp:positionV relativeFrom="paragraph">
                  <wp:posOffset>679922</wp:posOffset>
                </wp:positionV>
                <wp:extent cx="614044" cy="140335"/>
                <wp:effectExtent l="0" t="0" r="0" b="0"/>
                <wp:wrapNone/>
                <wp:docPr id="24" name="TextBox 24"/>
                <wp:cNvGraphicFramePr/>
                <a:graphic>
                  <a:graphicData uri="http://schemas.microsoft.com/office/word/2010/wordprocessingShape">
                    <wps:wsp>
                      <wps:cNvPr id="24" name="TextBox 24"/>
                      <wps:cNvSpPr txBox="1"/>
                      <wps:spPr>
                        <a:xfrm rot="7080000">
                          <a:off x="3736933" y="679922"/>
                          <a:ext cx="614044" cy="1403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6"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 style="position:absolute;margin-left:294.247pt;margin-top:53.5372pt;mso-position-vertical-relative:text;mso-position-horizontal-relative:text;width:48.35pt;height:11.05pt;z-index:251673600;rotation:118;" filled="false" stroked="false" type="#_x0000_t202">
                <v:fill on="false"/>
                <v:stroke on="false"/>
                <v:path/>
                <v:imagedata o:title=""/>
                <o:lock v:ext="edit" aspectratio="false"/>
                <v:textbox inset="0mm,0mm,0mm,0mm">
                  <w:txbxContent>
                    <w:p>
                      <w:pPr>
                        <w:pStyle w:val="BodyText"/>
                        <w:ind w:left="20"/>
                        <w:spacing w:before="67" w:line="186"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70528" behindDoc="0" locked="0" layoutInCell="1" allowOverlap="1">
                <wp:simplePos x="0" y="0"/>
                <wp:positionH relativeFrom="column">
                  <wp:posOffset>2853684</wp:posOffset>
                </wp:positionH>
                <wp:positionV relativeFrom="paragraph">
                  <wp:posOffset>1847237</wp:posOffset>
                </wp:positionV>
                <wp:extent cx="1143000" cy="141604"/>
                <wp:effectExtent l="0" t="0" r="0" b="0"/>
                <wp:wrapNone/>
                <wp:docPr id="26" name="TextBox 26"/>
                <wp:cNvGraphicFramePr/>
                <a:graphic>
                  <a:graphicData uri="http://schemas.microsoft.com/office/word/2010/wordprocessingShape">
                    <wps:wsp>
                      <wps:cNvPr id="26" name="TextBox 26"/>
                      <wps:cNvSpPr txBox="1"/>
                      <wps:spPr>
                        <a:xfrm rot="7080000">
                          <a:off x="2853684" y="1847237"/>
                          <a:ext cx="1143000" cy="14160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9" w:lineRule="auto"/>
                              <w:rPr>
                                <w:sz w:val="15"/>
                                <w:szCs w:val="15"/>
                              </w:rPr>
                            </w:pPr>
                            <w:r>
                              <w:rPr>
                                <w:sz w:val="15"/>
                                <w:szCs w:val="15"/>
                                <w:b/>
                                <w:bCs/>
                                <w:spacing w:val="6"/>
                              </w:rPr>
                              <w:t>+</w:t>
                            </w:r>
                            <w:r>
                              <w:rPr>
                                <w:sz w:val="15"/>
                                <w:szCs w:val="15"/>
                                <w:b/>
                                <w:bCs/>
                                <w:spacing w:val="1"/>
                              </w:rPr>
                              <w:t xml:space="preserve">                 </w:t>
                            </w:r>
                            <w:r>
                              <w:rPr>
                                <w:sz w:val="15"/>
                                <w:szCs w:val="15"/>
                                <w:b/>
                                <w:bCs/>
                                <w:spacing w:val="6"/>
                              </w:rPr>
                              <w:t>+</w:t>
                            </w:r>
                            <w:r>
                              <w:rPr>
                                <w:sz w:val="15"/>
                                <w:szCs w:val="15"/>
                                <w:b/>
                                <w:bCs/>
                                <w:spacing w:val="2"/>
                              </w:rPr>
                              <w:t xml:space="preserve">                 </w:t>
                            </w: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2" style="position:absolute;margin-left:224.7pt;margin-top:145.452pt;mso-position-vertical-relative:text;mso-position-horizontal-relative:text;width:90pt;height:11.15pt;z-index:251670528;rotation:118;" filled="false" stroked="false" type="#_x0000_t202">
                <v:fill on="false"/>
                <v:stroke on="false"/>
                <v:path/>
                <v:imagedata o:title=""/>
                <o:lock v:ext="edit" aspectratio="false"/>
                <v:textbox inset="0mm,0mm,0mm,0mm">
                  <w:txbxContent>
                    <w:p>
                      <w:pPr>
                        <w:pStyle w:val="BodyText"/>
                        <w:ind w:left="20"/>
                        <w:spacing w:before="67" w:line="189" w:lineRule="auto"/>
                        <w:rPr>
                          <w:sz w:val="15"/>
                          <w:szCs w:val="15"/>
                        </w:rPr>
                      </w:pPr>
                      <w:r>
                        <w:rPr>
                          <w:sz w:val="15"/>
                          <w:szCs w:val="15"/>
                          <w:b/>
                          <w:bCs/>
                          <w:spacing w:val="6"/>
                        </w:rPr>
                        <w:t>+</w:t>
                      </w:r>
                      <w:r>
                        <w:rPr>
                          <w:sz w:val="15"/>
                          <w:szCs w:val="15"/>
                          <w:b/>
                          <w:bCs/>
                          <w:spacing w:val="1"/>
                        </w:rPr>
                        <w:t xml:space="preserve">                 </w:t>
                      </w:r>
                      <w:r>
                        <w:rPr>
                          <w:sz w:val="15"/>
                          <w:szCs w:val="15"/>
                          <w:b/>
                          <w:bCs/>
                          <w:spacing w:val="6"/>
                        </w:rPr>
                        <w:t>+</w:t>
                      </w:r>
                      <w:r>
                        <w:rPr>
                          <w:sz w:val="15"/>
                          <w:szCs w:val="15"/>
                          <w:b/>
                          <w:bCs/>
                          <w:spacing w:val="2"/>
                        </w:rPr>
                        <w:t xml:space="preserve">                 </w:t>
                      </w: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71552" behindDoc="0" locked="0" layoutInCell="1" allowOverlap="1">
                <wp:simplePos x="0" y="0"/>
                <wp:positionH relativeFrom="column">
                  <wp:posOffset>4670946</wp:posOffset>
                </wp:positionH>
                <wp:positionV relativeFrom="paragraph">
                  <wp:posOffset>1613784</wp:posOffset>
                </wp:positionV>
                <wp:extent cx="1142364" cy="142239"/>
                <wp:effectExtent l="0" t="0" r="0" b="0"/>
                <wp:wrapNone/>
                <wp:docPr id="28" name="TextBox 28"/>
                <wp:cNvGraphicFramePr/>
                <a:graphic>
                  <a:graphicData uri="http://schemas.microsoft.com/office/word/2010/wordprocessingShape">
                    <wps:wsp>
                      <wps:cNvPr id="28" name="TextBox 28"/>
                      <wps:cNvSpPr txBox="1"/>
                      <wps:spPr>
                        <a:xfrm rot="17820000">
                          <a:off x="4670946" y="1613784"/>
                          <a:ext cx="1142364" cy="1422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90" w:lineRule="auto"/>
                              <w:rPr>
                                <w:sz w:val="15"/>
                                <w:szCs w:val="15"/>
                              </w:rPr>
                            </w:pPr>
                            <w:r>
                              <w:rPr>
                                <w:sz w:val="15"/>
                                <w:szCs w:val="15"/>
                                <w:b/>
                                <w:bCs/>
                                <w:spacing w:val="6"/>
                              </w:rPr>
                              <w:t>+</w:t>
                            </w:r>
                            <w:r>
                              <w:rPr>
                                <w:sz w:val="15"/>
                                <w:szCs w:val="15"/>
                                <w:b/>
                                <w:bCs/>
                                <w:spacing w:val="1"/>
                              </w:rPr>
                              <w:t xml:space="preserve">                 </w:t>
                            </w:r>
                            <w:r>
                              <w:rPr>
                                <w:sz w:val="15"/>
                                <w:szCs w:val="15"/>
                                <w:b/>
                                <w:bCs/>
                                <w:spacing w:val="6"/>
                              </w:rPr>
                              <w:t>+</w:t>
                            </w:r>
                            <w:r>
                              <w:rPr>
                                <w:sz w:val="15"/>
                                <w:szCs w:val="15"/>
                                <w:b/>
                                <w:bCs/>
                                <w:spacing w:val="2"/>
                              </w:rPr>
                              <w:t xml:space="preserve">                 </w:t>
                            </w: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4" style="position:absolute;margin-left:367.791pt;margin-top:127.07pt;mso-position-vertical-relative:text;mso-position-horizontal-relative:text;width:89.95pt;height:11.2pt;z-index:251671552;rotation:297;" filled="false" stroked="false" type="#_x0000_t202">
                <v:fill on="false"/>
                <v:stroke on="false"/>
                <v:path/>
                <v:imagedata o:title=""/>
                <o:lock v:ext="edit" aspectratio="false"/>
                <v:textbox inset="0mm,0mm,0mm,0mm">
                  <w:txbxContent>
                    <w:p>
                      <w:pPr>
                        <w:pStyle w:val="BodyText"/>
                        <w:ind w:left="20"/>
                        <w:spacing w:before="67" w:line="190" w:lineRule="auto"/>
                        <w:rPr>
                          <w:sz w:val="15"/>
                          <w:szCs w:val="15"/>
                        </w:rPr>
                      </w:pPr>
                      <w:r>
                        <w:rPr>
                          <w:sz w:val="15"/>
                          <w:szCs w:val="15"/>
                          <w:b/>
                          <w:bCs/>
                          <w:spacing w:val="6"/>
                        </w:rPr>
                        <w:t>+</w:t>
                      </w:r>
                      <w:r>
                        <w:rPr>
                          <w:sz w:val="15"/>
                          <w:szCs w:val="15"/>
                          <w:b/>
                          <w:bCs/>
                          <w:spacing w:val="1"/>
                        </w:rPr>
                        <w:t xml:space="preserve">                 </w:t>
                      </w:r>
                      <w:r>
                        <w:rPr>
                          <w:sz w:val="15"/>
                          <w:szCs w:val="15"/>
                          <w:b/>
                          <w:bCs/>
                          <w:spacing w:val="6"/>
                        </w:rPr>
                        <w:t>+</w:t>
                      </w:r>
                      <w:r>
                        <w:rPr>
                          <w:sz w:val="15"/>
                          <w:szCs w:val="15"/>
                          <w:b/>
                          <w:bCs/>
                          <w:spacing w:val="2"/>
                        </w:rPr>
                        <w:t xml:space="preserve">                 </w:t>
                      </w: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98176" behindDoc="0" locked="0" layoutInCell="1" allowOverlap="1">
                <wp:simplePos x="0" y="0"/>
                <wp:positionH relativeFrom="column">
                  <wp:posOffset>3235962</wp:posOffset>
                </wp:positionH>
                <wp:positionV relativeFrom="paragraph">
                  <wp:posOffset>2928766</wp:posOffset>
                </wp:positionV>
                <wp:extent cx="85725" cy="140335"/>
                <wp:effectExtent l="0" t="0" r="0" b="0"/>
                <wp:wrapNone/>
                <wp:docPr id="30" name="TextBox 30"/>
                <wp:cNvGraphicFramePr/>
                <a:graphic>
                  <a:graphicData uri="http://schemas.microsoft.com/office/word/2010/wordprocessingShape">
                    <wps:wsp>
                      <wps:cNvPr id="30" name="TextBox 30"/>
                      <wps:cNvSpPr txBox="1"/>
                      <wps:spPr>
                        <a:xfrm rot="1740000">
                          <a:off x="3235962" y="2928766"/>
                          <a:ext cx="85725" cy="14033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85" w:lineRule="auto"/>
                              <w:rPr>
                                <w:sz w:val="15"/>
                                <w:szCs w:val="15"/>
                              </w:rPr>
                            </w:pP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6" style="position:absolute;margin-left:254.8pt;margin-top:230.612pt;mso-position-vertical-relative:text;mso-position-horizontal-relative:text;width:6.75pt;height:11.05pt;z-index:251698176;rotation:29;" filled="false" stroked="false" type="#_x0000_t202">
                <v:fill on="false"/>
                <v:stroke on="false"/>
                <v:path/>
                <v:imagedata o:title=""/>
                <o:lock v:ext="edit" aspectratio="false"/>
                <v:textbox inset="0mm,0mm,0mm,0mm">
                  <w:txbxContent>
                    <w:p>
                      <w:pPr>
                        <w:pStyle w:val="BodyText"/>
                        <w:ind w:left="20"/>
                        <w:spacing w:before="67" w:line="185" w:lineRule="auto"/>
                        <w:rPr>
                          <w:sz w:val="15"/>
                          <w:szCs w:val="15"/>
                        </w:rPr>
                      </w:pP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74624" behindDoc="0" locked="0" layoutInCell="1" allowOverlap="1">
                <wp:simplePos x="0" y="0"/>
                <wp:positionH relativeFrom="column">
                  <wp:posOffset>4332311</wp:posOffset>
                </wp:positionH>
                <wp:positionV relativeFrom="paragraph">
                  <wp:posOffset>2789249</wp:posOffset>
                </wp:positionV>
                <wp:extent cx="614044" cy="142875"/>
                <wp:effectExtent l="0" t="0" r="0" b="0"/>
                <wp:wrapNone/>
                <wp:docPr id="32" name="TextBox 32"/>
                <wp:cNvGraphicFramePr/>
                <a:graphic>
                  <a:graphicData uri="http://schemas.microsoft.com/office/word/2010/wordprocessingShape">
                    <wps:wsp>
                      <wps:cNvPr id="32" name="TextBox 32"/>
                      <wps:cNvSpPr txBox="1"/>
                      <wps:spPr>
                        <a:xfrm rot="17820000">
                          <a:off x="4332311" y="2789249"/>
                          <a:ext cx="614044" cy="14287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191"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8" style="position:absolute;margin-left:341.127pt;margin-top:219.626pt;mso-position-vertical-relative:text;mso-position-horizontal-relative:text;width:48.35pt;height:11.25pt;z-index:251674624;rotation:297;" filled="false" stroked="false" type="#_x0000_t202">
                <v:fill on="false"/>
                <v:stroke on="false"/>
                <v:path/>
                <v:imagedata o:title=""/>
                <o:lock v:ext="edit" aspectratio="false"/>
                <v:textbox inset="0mm,0mm,0mm,0mm">
                  <w:txbxContent>
                    <w:p>
                      <w:pPr>
                        <w:pStyle w:val="BodyText"/>
                        <w:ind w:left="20"/>
                        <w:spacing w:before="67" w:line="191" w:lineRule="auto"/>
                        <w:rPr>
                          <w:sz w:val="15"/>
                          <w:szCs w:val="15"/>
                        </w:rPr>
                      </w:pPr>
                      <w:r>
                        <w:rPr>
                          <w:sz w:val="15"/>
                          <w:szCs w:val="15"/>
                          <w:b/>
                          <w:bCs/>
                          <w:spacing w:val="6"/>
                        </w:rPr>
                        <w:t>+</w:t>
                      </w:r>
                      <w:r>
                        <w:rPr>
                          <w:sz w:val="15"/>
                          <w:szCs w:val="15"/>
                          <w:b/>
                          <w:bCs/>
                          <w:spacing w:val="1"/>
                        </w:rPr>
                        <w:t xml:space="preserve">                 </w:t>
                      </w:r>
                      <w:r>
                        <w:rPr>
                          <w:sz w:val="15"/>
                          <w:szCs w:val="15"/>
                          <w:b/>
                          <w:bCs/>
                          <w:spacing w:val="6"/>
                        </w:rPr>
                        <w:t>+</w:t>
                      </w:r>
                    </w:p>
                  </w:txbxContent>
                </v:textbox>
              </v:shape>
            </w:pict>
          </mc:Fallback>
        </mc:AlternateContent>
      </w:r>
      <w:r>
        <mc:AlternateContent xmlns:mc="http://schemas.openxmlformats.org/markup-compatibility/2006">
          <mc:Choice Requires="wps">
            <w:drawing>
              <wp:anchor distT="0" distB="0" distL="0" distR="0" simplePos="0" relativeHeight="251692032" behindDoc="0" locked="0" layoutInCell="1" allowOverlap="1">
                <wp:simplePos x="0" y="0"/>
                <wp:positionH relativeFrom="column">
                  <wp:posOffset>3662504</wp:posOffset>
                </wp:positionH>
                <wp:positionV relativeFrom="paragraph">
                  <wp:posOffset>3127108</wp:posOffset>
                </wp:positionV>
                <wp:extent cx="229234" cy="212090"/>
                <wp:effectExtent l="0" t="0" r="0" b="0"/>
                <wp:wrapNone/>
                <wp:docPr id="34" name="TextBox 34"/>
                <wp:cNvGraphicFramePr/>
                <a:graphic>
                  <a:graphicData uri="http://schemas.microsoft.com/office/word/2010/wordprocessingShape">
                    <wps:wsp>
                      <wps:cNvPr id="34" name="TextBox 34"/>
                      <wps:cNvSpPr txBox="1"/>
                      <wps:spPr>
                        <a:xfrm rot="1740000">
                          <a:off x="3662504" y="3127108"/>
                          <a:ext cx="229234" cy="21209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pStyle w:val="BodyText"/>
                              <w:ind w:left="20"/>
                              <w:spacing w:before="67" w:line="246" w:lineRule="exact"/>
                              <w:rPr>
                                <w:sz w:val="15"/>
                                <w:szCs w:val="15"/>
                              </w:rPr>
                            </w:pPr>
                            <w:r>
                              <w:rPr>
                                <w:sz w:val="15"/>
                                <w:szCs w:val="15"/>
                              </w:rPr>
                              <w:drawing>
                                <wp:inline distT="0" distB="0" distL="0" distR="0">
                                  <wp:extent cx="12957" cy="14631"/>
                                  <wp:effectExtent l="0" t="0" r="0" b="0"/>
                                  <wp:docPr id="36" name="IM 36"/>
                                  <wp:cNvGraphicFramePr/>
                                  <a:graphic>
                                    <a:graphicData uri="http://schemas.openxmlformats.org/drawingml/2006/picture">
                                      <pic:pic>
                                        <pic:nvPicPr>
                                          <pic:cNvPr id="36" name="IM 36"/>
                                          <pic:cNvPicPr/>
                                        </pic:nvPicPr>
                                        <pic:blipFill>
                                          <a:blip r:embed="rId20"/>
                                          <a:stretch>
                                            <a:fillRect/>
                                          </a:stretch>
                                        </pic:blipFill>
                                        <pic:spPr>
                                          <a:xfrm rot="0">
                                            <a:off x="0" y="0"/>
                                            <a:ext cx="12957" cy="14631"/>
                                          </a:xfrm>
                                          <a:prstGeom prst="rect">
                                            <a:avLst/>
                                          </a:prstGeom>
                                        </pic:spPr>
                                      </pic:pic>
                                    </a:graphicData>
                                  </a:graphic>
                                </wp:inline>
                              </w:drawing>
                            </w:r>
                            <w:r>
                              <w:rPr>
                                <w:sz w:val="15"/>
                                <w:szCs w:val="15"/>
                                <w:b/>
                                <w:bCs/>
                                <w:spacing w:val="3"/>
                                <w:position w:val="-4"/>
                              </w:rPr>
                              <w:t xml:space="preserve"> </w:t>
                            </w:r>
                            <w:r>
                              <w:rPr>
                                <w:sz w:val="15"/>
                                <w:szCs w:val="15"/>
                                <w:b/>
                                <w:bCs/>
                                <w:spacing w:val="6"/>
                                <w:position w:val="-4"/>
                              </w:rPr>
                              <w:t>+</w:t>
                            </w:r>
                            <w:r>
                              <w:rPr>
                                <w:sz w:val="15"/>
                                <w:szCs w:val="15"/>
                                <w:b/>
                                <w:bCs/>
                                <w:spacing w:val="-24"/>
                                <w:position w:val="-4"/>
                              </w:rPr>
                              <w:t xml:space="preserve"> </w:t>
                            </w:r>
                            <w:r>
                              <w:rPr>
                                <w:sz w:val="15"/>
                                <w:szCs w:val="15"/>
                              </w:rPr>
                              <w:drawing>
                                <wp:inline distT="0" distB="0" distL="0" distR="0">
                                  <wp:extent cx="90321" cy="105930"/>
                                  <wp:effectExtent l="0" t="0" r="0" b="0"/>
                                  <wp:docPr id="38" name="IM 38"/>
                                  <wp:cNvGraphicFramePr/>
                                  <a:graphic>
                                    <a:graphicData uri="http://schemas.openxmlformats.org/drawingml/2006/picture">
                                      <pic:pic>
                                        <pic:nvPicPr>
                                          <pic:cNvPr id="38" name="IM 38"/>
                                          <pic:cNvPicPr/>
                                        </pic:nvPicPr>
                                        <pic:blipFill>
                                          <a:blip r:embed="rId21"/>
                                          <a:stretch>
                                            <a:fillRect/>
                                          </a:stretch>
                                        </pic:blipFill>
                                        <pic:spPr>
                                          <a:xfrm rot="0">
                                            <a:off x="0" y="0"/>
                                            <a:ext cx="90321" cy="10593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20" style="position:absolute;margin-left:288.386pt;margin-top:246.229pt;mso-position-vertical-relative:text;mso-position-horizontal-relative:text;width:18.05pt;height:16.7pt;z-index:251692032;rotation:29;" filled="false" stroked="false" type="#_x0000_t202">
                <v:fill on="false"/>
                <v:stroke on="false"/>
                <v:path/>
                <v:imagedata o:title=""/>
                <o:lock v:ext="edit" aspectratio="false"/>
                <v:textbox inset="0mm,0mm,0mm,0mm">
                  <w:txbxContent>
                    <w:p>
                      <w:pPr>
                        <w:pStyle w:val="BodyText"/>
                        <w:ind w:left="20"/>
                        <w:spacing w:before="67" w:line="246" w:lineRule="exact"/>
                        <w:rPr>
                          <w:sz w:val="15"/>
                          <w:szCs w:val="15"/>
                        </w:rPr>
                      </w:pPr>
                      <w:r>
                        <w:rPr>
                          <w:sz w:val="15"/>
                          <w:szCs w:val="15"/>
                        </w:rPr>
                        <w:drawing>
                          <wp:inline distT="0" distB="0" distL="0" distR="0">
                            <wp:extent cx="12957" cy="14631"/>
                            <wp:effectExtent l="0" t="0" r="0" b="0"/>
                            <wp:docPr id="40" name="IM 40"/>
                            <wp:cNvGraphicFramePr/>
                            <a:graphic>
                              <a:graphicData uri="http://schemas.openxmlformats.org/drawingml/2006/picture">
                                <pic:pic>
                                  <pic:nvPicPr>
                                    <pic:cNvPr id="40" name="IM 40"/>
                                    <pic:cNvPicPr/>
                                  </pic:nvPicPr>
                                  <pic:blipFill>
                                    <a:blip r:embed="rId22"/>
                                    <a:stretch>
                                      <a:fillRect/>
                                    </a:stretch>
                                  </pic:blipFill>
                                  <pic:spPr>
                                    <a:xfrm rot="0">
                                      <a:off x="0" y="0"/>
                                      <a:ext cx="12957" cy="14631"/>
                                    </a:xfrm>
                                    <a:prstGeom prst="rect">
                                      <a:avLst/>
                                    </a:prstGeom>
                                  </pic:spPr>
                                </pic:pic>
                              </a:graphicData>
                            </a:graphic>
                          </wp:inline>
                        </w:drawing>
                      </w:r>
                      <w:r>
                        <w:rPr>
                          <w:sz w:val="15"/>
                          <w:szCs w:val="15"/>
                          <w:b/>
                          <w:bCs/>
                          <w:spacing w:val="3"/>
                          <w:position w:val="-4"/>
                        </w:rPr>
                        <w:t xml:space="preserve"> </w:t>
                      </w:r>
                      <w:r>
                        <w:rPr>
                          <w:sz w:val="15"/>
                          <w:szCs w:val="15"/>
                          <w:b/>
                          <w:bCs/>
                          <w:spacing w:val="6"/>
                          <w:position w:val="-4"/>
                        </w:rPr>
                        <w:t>+</w:t>
                      </w:r>
                      <w:r>
                        <w:rPr>
                          <w:sz w:val="15"/>
                          <w:szCs w:val="15"/>
                          <w:b/>
                          <w:bCs/>
                          <w:spacing w:val="-24"/>
                          <w:position w:val="-4"/>
                        </w:rPr>
                        <w:t xml:space="preserve"> </w:t>
                      </w:r>
                      <w:r>
                        <w:rPr>
                          <w:sz w:val="15"/>
                          <w:szCs w:val="15"/>
                        </w:rPr>
                        <w:drawing>
                          <wp:inline distT="0" distB="0" distL="0" distR="0">
                            <wp:extent cx="90321" cy="105930"/>
                            <wp:effectExtent l="0" t="0" r="0" b="0"/>
                            <wp:docPr id="42" name="IM 42"/>
                            <wp:cNvGraphicFramePr/>
                            <a:graphic>
                              <a:graphicData uri="http://schemas.openxmlformats.org/drawingml/2006/picture">
                                <pic:pic>
                                  <pic:nvPicPr>
                                    <pic:cNvPr id="42" name="IM 42"/>
                                    <pic:cNvPicPr/>
                                  </pic:nvPicPr>
                                  <pic:blipFill>
                                    <a:blip r:embed="rId23"/>
                                    <a:stretch>
                                      <a:fillRect/>
                                    </a:stretch>
                                  </pic:blipFill>
                                  <pic:spPr>
                                    <a:xfrm rot="0">
                                      <a:off x="0" y="0"/>
                                      <a:ext cx="90321" cy="105930"/>
                                    </a:xfrm>
                                    <a:prstGeom prst="rect">
                                      <a:avLst/>
                                    </a:prstGeom>
                                  </pic:spPr>
                                </pic:pic>
                              </a:graphicData>
                            </a:graphic>
                          </wp:inline>
                        </w:drawing>
                      </w:r>
                    </w:p>
                  </w:txbxContent>
                </v:textbox>
              </v:shape>
            </w:pict>
          </mc:Fallback>
        </mc:AlternateContent>
      </w:r>
      <w:r>
        <w:pict>
          <v:shape id="_x0000_s22" style="position:absolute;margin-left:247.77pt;margin-top:191.378pt;mso-position-vertical-relative:text;mso-position-horizontal-relative:text;width:1pt;height:0.55pt;z-index:251708416;" filled="false" strokecolor="#000000" strokeweight="0.12pt" coordsize="20,11" coordorigin="0,0" path="m1,1l18,9e">
            <v:stroke endcap="round" miterlimit="10"/>
          </v:shape>
        </w:pict>
      </w:r>
      <w:r>
        <w:pict>
          <v:shape id="_x0000_s24" style="position:absolute;margin-left:433.358pt;margin-top:91.605pt;mso-position-vertical-relative:text;mso-position-horizontal-relative:text;width:1pt;height:0.55pt;z-index:251707392;" filled="false" strokecolor="#000000" strokeweight="0.12pt" coordsize="20,11" coordorigin="0,0" path="m18,9l1,1e">
            <v:stroke endcap="round" miterlimit="10"/>
          </v:shape>
        </w:pict>
      </w:r>
      <w:r>
        <w:pict>
          <v:shape id="_x0000_s26" style="position:absolute;margin-left:444.675pt;margin-top:69.533pt;mso-position-vertical-relative:text;mso-position-horizontal-relative:text;width:1pt;height:0.55pt;z-index:251662336;" filled="false" strokecolor="#000000" strokeweight="0.12pt" coordsize="20,11" coordorigin="0,0" path="m1,1l18,9e">
            <v:stroke endcap="round" miterlimit="10"/>
          </v:shape>
        </w:pict>
      </w:r>
      <w:r>
        <w:pict>
          <v:shape id="_x0000_s28" style="position:absolute;margin-left:444.847pt;margin-top:69.36pt;mso-position-vertical-relative:text;mso-position-horizontal-relative:text;width:0.65pt;height:1pt;z-index:251659264;" filled="false" strokecolor="#000000" strokeweight="0.12pt" coordsize="12,20" coordorigin="0,0" path="m11,1l1,18e">
            <v:stroke endcap="round" miterlimit="10"/>
          </v:shape>
        </w:pict>
      </w:r>
      <w:r>
        <w:pict>
          <v:shape id="_x0000_s30" style="position:absolute;margin-left:352.987pt;margin-top:248.093pt;mso-position-vertical-relative:text;mso-position-horizontal-relative:text;width:1.1pt;height:0.55pt;z-index:251706368;" filled="false" strokecolor="#000000" strokeweight="0.12pt" coordsize="22,11" coordorigin="0,0" path="m1,1l19,9e">
            <v:stroke endcap="round" miterlimit="10"/>
          </v:shape>
        </w:pict>
      </w:r>
      <w:r>
        <w:pict>
          <v:shape id="_x0000_s32" style="position:absolute;margin-left:376.312pt;margin-top:202.665pt;mso-position-vertical-relative:text;mso-position-horizontal-relative:text;width:1pt;height:0.65pt;z-index:251705344;" filled="false" strokecolor="#000000" strokeweight="0.12pt" coordsize="20,12" coordorigin="0,0" path="m18,11l1,1e">
            <v:stroke endcap="round" miterlimit="10"/>
          </v:shape>
        </w:pict>
      </w:r>
      <w:r>
        <w:drawing>
          <wp:anchor distT="0" distB="0" distL="0" distR="0" simplePos="0" relativeHeight="251664384" behindDoc="0" locked="0" layoutInCell="1" allowOverlap="1">
            <wp:simplePos x="0" y="0"/>
            <wp:positionH relativeFrom="column">
              <wp:posOffset>4191380</wp:posOffset>
            </wp:positionH>
            <wp:positionV relativeFrom="paragraph">
              <wp:posOffset>69151</wp:posOffset>
            </wp:positionV>
            <wp:extent cx="568071" cy="394055"/>
            <wp:effectExtent l="0" t="0" r="0" b="0"/>
            <wp:wrapNone/>
            <wp:docPr id="44" name="IM 44"/>
            <wp:cNvGraphicFramePr/>
            <a:graphic>
              <a:graphicData uri="http://schemas.openxmlformats.org/drawingml/2006/picture">
                <pic:pic>
                  <pic:nvPicPr>
                    <pic:cNvPr id="44" name="IM 44"/>
                    <pic:cNvPicPr/>
                  </pic:nvPicPr>
                  <pic:blipFill>
                    <a:blip r:embed="rId24"/>
                    <a:stretch>
                      <a:fillRect/>
                    </a:stretch>
                  </pic:blipFill>
                  <pic:spPr>
                    <a:xfrm rot="0">
                      <a:off x="0" y="0"/>
                      <a:ext cx="568071" cy="394055"/>
                    </a:xfrm>
                    <a:prstGeom prst="rect">
                      <a:avLst/>
                    </a:prstGeom>
                  </pic:spPr>
                </pic:pic>
              </a:graphicData>
            </a:graphic>
          </wp:anchor>
        </w:drawing>
      </w:r>
      <w:r>
        <w:pict>
          <v:group id="_x0000_s34" style="position:absolute;margin-left:331.222pt;margin-top:43.575pt;mso-position-vertical-relative:text;mso-position-horizontal-relative:text;width:20.9pt;height:35.95pt;z-index:251677696;" filled="false" stroked="false" coordsize="417,719" coordorigin="0,0">
            <v:shape id="_x0000_s36" style="position:absolute;left:377;top:1;width:40;height:48;" fillcolor="#FF0000" filled="true" stroked="false" coordsize="40,48" coordorigin="0,0" path="m39,10l18,47l0,37l22,0l39,10xe"/>
            <v:shape id="_x0000_s38" style="position:absolute;left:376;top:0;width:41;height:50;" filled="false" strokecolor="#FF0000" strokeweight="0.12pt" coordsize="41,50" coordorigin="0,0" path="m40,11l19,48l1,38l23,1l40,11xe">
              <v:stroke endcap="round" miterlimit="10"/>
            </v:shape>
            <v:shape id="_x0000_s40" style="position:absolute;left:231;top:75;width:143;height:232;" fillcolor="#FF0000" filled="true" stroked="false" coordsize="143,232" coordorigin="0,0" path="m143,10l17,232l0,222l125,0l143,10xe"/>
            <v:shape id="_x0000_s42" style="position:absolute;left:229;top:74;width:146;height:236;" filled="false" strokecolor="#FF0000" strokeweight="0.12pt" coordsize="146,236" coordorigin="0,0" path="m144,11l18,233l1,223l127,1l144,11xe">
              <v:stroke endcap="round" miterlimit="10"/>
            </v:shape>
            <v:shape id="_x0000_s44" style="position:absolute;left:188;top:335;width:40;height:48;" fillcolor="#FF0000" filled="true" stroked="false" coordsize="40,48" coordorigin="0,0" path="m39,10l18,47l0,37l22,0l39,10xe"/>
            <v:shape id="_x0000_s46" style="position:absolute;left:187;top:334;width:41;height:50;" filled="false" strokecolor="#FF0000" strokeweight="0.12pt" coordsize="41,50" coordorigin="0,0" path="m40,11l19,48l1,38l23,1l40,11xe">
              <v:stroke endcap="round" miterlimit="10"/>
            </v:shape>
            <v:shape id="_x0000_s48" style="position:absolute;left:42;top:410;width:145;height:232;" fillcolor="#FF0000" filled="true" stroked="false" coordsize="145,232" coordorigin="0,0" path="m144,10l18,232l0,222l125,0l144,10xe"/>
            <v:shape id="_x0000_s50" style="position:absolute;left:40;top:409;width:148;height:236;" filled="false" strokecolor="#FF0000" strokeweight="0.12pt" coordsize="148,236" coordorigin="0,0" path="m145,11l19,233l1,223l127,1l145,11xe">
              <v:stroke endcap="round" miterlimit="10"/>
            </v:shape>
            <v:shape id="_x0000_s52" style="position:absolute;left:1;top:670;width:37;height:48;" fillcolor="#FF0000" filled="true" stroked="false" coordsize="37,48" coordorigin="0,0" path="m37,10l16,47l0,37l20,0l37,10xe"/>
            <v:shape id="_x0000_s54" style="position:absolute;left:0;top:669;width:40;height:50;" filled="false" strokecolor="#FF0000" strokeweight="0.12pt" coordsize="40,50" coordorigin="0,0" path="m38,11l18,48l1,38l21,1l38,11xe">
              <v:stroke endcap="round" miterlimit="10"/>
            </v:shape>
          </v:group>
        </w:pict>
      </w:r>
      <w:r>
        <w:pict>
          <v:group id="_x0000_s56" style="position:absolute;margin-left:416.947pt;margin-top:51.218pt;mso-position-vertical-relative:text;mso-position-horizontal-relative:text;width:28.5pt;height:19.05pt;z-index:251658240;" filled="false" stroked="false" coordsize="570,380" coordorigin="0,0">
            <v:shape id="_x0000_s58" style="position:absolute;left:1;top:1;width:567;height:379;" fillcolor="#000000" filled="true" stroked="false" coordsize="567,379" coordorigin="0,0" path="m556,378l0,16l10,0l567,361l556,378xe"/>
            <v:shape id="_x0000_s60" style="position:absolute;left:0;top:0;width:570;height:380;" filled="false" strokecolor="#000000" strokeweight="0.12pt" coordsize="570,380" coordorigin="0,0" path="m557,379l1,18l11,1l568,362e">
              <v:stroke endcap="round" miterlimit="10"/>
            </v:shape>
          </v:group>
        </w:pict>
      </w:r>
      <w:r>
        <w:pict>
          <v:group id="_x0000_s62" style="position:absolute;margin-left:310.537pt;margin-top:44.168pt;mso-position-vertical-relative:text;mso-position-horizontal-relative:text;width:16.15pt;height:29.1pt;z-index:251680768;" filled="false" stroked="false" coordsize="322,582" coordorigin="0,0">
            <v:shape id="_x0000_s64" style="position:absolute;left:1;top:1;width:320;height:579;" fillcolor="#000000" filled="true" stroked="false" coordsize="320,579" coordorigin="0,0" path="m320,8l16,578l0,570l301,0l320,8xe"/>
            <v:shape id="_x0000_s66" style="position:absolute;left:0;top:0;width:322;height:582;" filled="false" strokecolor="#000000" strokeweight="0.12pt" coordsize="322,582" coordorigin="0,0" path="m321,9l18,580l1,571l302,1l321,9xe">
              <v:stroke endcap="round" miterlimit="10"/>
            </v:shape>
          </v:group>
        </w:pict>
      </w:r>
      <w:r>
        <w:pict>
          <v:group id="_x0000_s68" style="position:absolute;margin-left:433.298pt;margin-top:69.473pt;mso-position-vertical-relative:text;mso-position-horizontal-relative:text;width:12.25pt;height:22.6pt;z-index:251660288;" filled="false" stroked="false" coordsize="245,452" coordorigin="0,0">
            <v:shape id="_x0000_s70" style="position:absolute;left:1;top:1;width:243;height:450;" fillcolor="#000000" filled="true" stroked="false" coordsize="243,450" coordorigin="0,0" path="m0,441l226,0l243,8l16,450l0,441xe"/>
            <v:shape id="_x0000_s72" style="position:absolute;left:0;top:0;width:228;height:444;" filled="false" strokecolor="#000000" strokeweight="0.12pt" coordsize="228,444" coordorigin="0,0" path="m1,442l227,1e">
              <v:stroke endcap="round" miterlimit="10"/>
            </v:shape>
          </v:group>
        </w:pict>
      </w:r>
      <w:r>
        <w:pict>
          <v:shape id="_x0000_s74" style="position:absolute;margin-left:434.205pt;margin-top:69.953pt;mso-position-vertical-relative:text;mso-position-horizontal-relative:text;width:11.45pt;height:22.2pt;z-index:251661312;" filled="false" strokecolor="#000000" strokeweight="0.12pt" coordsize="228,444" coordorigin="0,0" path="m227,1l1,442e">
            <v:stroke endcap="round" miterlimit="10"/>
          </v:shape>
        </w:pict>
      </w:r>
      <w:r>
        <w:pict>
          <v:shape id="_x0000_s76" style="position:absolute;margin-left:412.715pt;margin-top:211.88pt;mso-position-vertical-relative:text;mso-position-horizontal-relative:text;width:32.7pt;height:6.75pt;z-index:251691008;" filled="false" stroked="false" type="#_x0000_t202">
            <v:fill on="false"/>
            <v:stroke on="false"/>
            <v:path/>
            <v:imagedata o:title=""/>
            <o:lock v:ext="edit" aspectratio="false"/>
            <v:textbox inset="0mm,0mm,0mm,0mm">
              <w:txbxContent>
                <w:p>
                  <w:pPr>
                    <w:spacing w:before="19" w:line="188" w:lineRule="auto"/>
                    <w:jc w:val="right"/>
                    <w:rPr>
                      <w:rFonts w:ascii="Microsoft YaHei" w:hAnsi="Microsoft YaHei" w:eastAsia="Microsoft YaHei" w:cs="Microsoft YaHei"/>
                      <w:sz w:val="7"/>
                      <w:szCs w:val="7"/>
                    </w:rPr>
                  </w:pPr>
                  <w:r>
                    <w:rPr>
                      <w:rFonts w:ascii="Microsoft YaHei" w:hAnsi="Microsoft YaHei" w:eastAsia="Microsoft YaHei" w:cs="Microsoft YaHei"/>
                      <w:sz w:val="7"/>
                      <w:szCs w:val="7"/>
                      <w:spacing w:val="-3"/>
                    </w:rPr>
                    <w:t>采</w:t>
                  </w:r>
                  <w:r>
                    <w:rPr>
                      <w:rFonts w:ascii="Microsoft YaHei" w:hAnsi="Microsoft YaHei" w:eastAsia="Microsoft YaHei" w:cs="Microsoft YaHei"/>
                      <w:sz w:val="7"/>
                      <w:szCs w:val="7"/>
                      <w:spacing w:val="-2"/>
                    </w:rPr>
                    <w:t>矿许可证井田边</w:t>
                  </w:r>
                  <w:r>
                    <w:rPr>
                      <w:rFonts w:ascii="Microsoft YaHei" w:hAnsi="Microsoft YaHei" w:eastAsia="Microsoft YaHei" w:cs="Microsoft YaHei"/>
                      <w:sz w:val="7"/>
                      <w:szCs w:val="7"/>
                      <w:spacing w:val="-1"/>
                    </w:rPr>
                    <w:t>界</w:t>
                  </w:r>
                </w:p>
              </w:txbxContent>
            </v:textbox>
          </v:shape>
        </w:pict>
      </w:r>
      <w:r>
        <w:pict>
          <v:group id="_x0000_s78" style="position:absolute;margin-left:357.27pt;margin-top:210.93pt;mso-position-vertical-relative:text;mso-position-horizontal-relative:text;width:15.7pt;height:29.35pt;z-index:251684864;" filled="false" stroked="false" coordsize="313,587" coordorigin="0,0">
            <v:shape id="_x0000_s80" style="position:absolute;left:1;top:1;width:312;height:585;" fillcolor="#000000" filled="true" stroked="false" coordsize="312,585" coordorigin="0,0" path="m0,575l294,0l311,10l17,584l0,575xe"/>
            <v:shape id="_x0000_s82" style="position:absolute;left:0;top:0;width:313;height:587;" filled="false" strokecolor="#000000" strokeweight="0.12pt" coordsize="313,587" coordorigin="0,0" path="m1,576l295,1l312,11l18,585l1,576xe">
              <v:stroke endcap="round" miterlimit="10"/>
            </v:shape>
          </v:group>
        </w:pict>
      </w:r>
      <w:r>
        <w:drawing>
          <wp:anchor distT="0" distB="0" distL="0" distR="0" simplePos="0" relativeHeight="251675648" behindDoc="0" locked="0" layoutInCell="1" allowOverlap="1">
            <wp:simplePos x="0" y="0"/>
            <wp:positionH relativeFrom="column">
              <wp:posOffset>2931795</wp:posOffset>
            </wp:positionH>
            <wp:positionV relativeFrom="paragraph">
              <wp:posOffset>2429738</wp:posOffset>
            </wp:positionV>
            <wp:extent cx="293458" cy="543877"/>
            <wp:effectExtent l="0" t="0" r="0" b="0"/>
            <wp:wrapNone/>
            <wp:docPr id="46" name="IM 46"/>
            <wp:cNvGraphicFramePr/>
            <a:graphic>
              <a:graphicData uri="http://schemas.openxmlformats.org/drawingml/2006/picture">
                <pic:pic>
                  <pic:nvPicPr>
                    <pic:cNvPr id="46" name="IM 46"/>
                    <pic:cNvPicPr/>
                  </pic:nvPicPr>
                  <pic:blipFill>
                    <a:blip r:embed="rId25"/>
                    <a:stretch>
                      <a:fillRect/>
                    </a:stretch>
                  </pic:blipFill>
                  <pic:spPr>
                    <a:xfrm rot="0">
                      <a:off x="0" y="0"/>
                      <a:ext cx="293458" cy="543877"/>
                    </a:xfrm>
                    <a:prstGeom prst="rect">
                      <a:avLst/>
                    </a:prstGeom>
                  </pic:spPr>
                </pic:pic>
              </a:graphicData>
            </a:graphic>
          </wp:anchor>
        </w:drawing>
      </w:r>
      <w:r>
        <w:pict>
          <v:group id="_x0000_s84" style="position:absolute;margin-left:304.492pt;margin-top:200.82pt;mso-position-vertical-relative:text;mso-position-horizontal-relative:text;width:25.25pt;height:50.6pt;z-index:251665408;" filled="false" stroked="false" coordsize="505,1011" coordorigin="0,0">
            <v:shape id="_x0000_s86" style="position:absolute;left:372;top:1;width:131;height:240;" fillcolor="#FF0000" filled="true" stroked="false" coordsize="131,240" coordorigin="0,0" path="m131,8l18,239l0,231l112,0l131,8xe"/>
            <v:shape id="_x0000_s88" style="position:absolute;left:371;top:0;width:133;height:242;" filled="false" strokecolor="#FF0000" strokeweight="0.12pt" coordsize="133,242" coordorigin="0,0" path="m132,9l19,240l1,232l113,1e">
              <v:stroke endcap="round" miterlimit="10"/>
            </v:shape>
            <v:shape id="_x0000_s90" style="position:absolute;left:336;top:271;width:35;height:45;" fillcolor="#FF0000" filled="true" stroked="false" coordsize="35,45" coordorigin="0,0" path="m35,8l16,45l0,37l18,0l35,8xe"/>
            <v:shape id="_x0000_s92" style="position:absolute;left:335;top:270;width:39;height:49;" filled="false" strokecolor="#FF0000" strokeweight="0.12pt" coordsize="39,49" coordorigin="0,0" path="m36,9l18,46l1,38l19,1l36,9xe">
              <v:stroke endcap="round" miterlimit="10"/>
            </v:shape>
            <v:shape id="_x0000_s94" style="position:absolute;left:205;top:347;width:130;height:240;" fillcolor="#FF0000" filled="true" stroked="false" coordsize="130,240" coordorigin="0,0" path="m129,8l18,239l0,231l112,0l129,8xe"/>
            <v:shape id="_x0000_s96" style="position:absolute;left:204;top:346;width:131;height:242;" filled="false" strokecolor="#FF0000" strokeweight="0.12pt" coordsize="131,242" coordorigin="0,0" path="m130,9l19,240l1,232l113,1l130,9xe">
              <v:stroke endcap="round" miterlimit="10"/>
            </v:shape>
            <v:shape id="_x0000_s98" style="position:absolute;left:168;top:616;width:37;height:48;" fillcolor="#FF0000" filled="true" stroked="false" coordsize="37,48" coordorigin="0,0" path="m37,8l18,47l0,38l18,0l37,8xe"/>
            <v:shape id="_x0000_s100" style="position:absolute;left:166;top:614;width:40;height:50;" filled="false" strokecolor="#FF0000" strokeweight="0.12pt" coordsize="40,50" coordorigin="0,0" path="m38,9l19,48l1,40l19,1l38,9xe">
              <v:stroke endcap="round" miterlimit="10"/>
            </v:shape>
            <v:shape id="_x0000_s102" style="position:absolute;left:38;top:692;width:130;height:240;" fillcolor="#FF0000" filled="true" stroked="false" coordsize="130,240" coordorigin="0,0" path="m129,10l17,239l0,231l110,0l129,10xe"/>
            <v:shape id="_x0000_s104" style="position:absolute;left:37;top:691;width:131;height:242;" filled="false" strokecolor="#FF0000" strokeweight="0.12pt" coordsize="131,242" coordorigin="0,0" path="m130,11l18,240l1,232l111,1l130,11xe">
              <v:stroke endcap="round" miterlimit="10"/>
            </v:shape>
            <v:shape id="_x0000_s106" style="position:absolute;left:1;top:962;width:37;height:48;" fillcolor="#FF0000" filled="true" stroked="false" coordsize="37,48" coordorigin="0,0" path="m37,8l18,47l0,37l18,0l37,8xe"/>
            <v:shape id="_x0000_s108" style="position:absolute;left:0;top:961;width:40;height:50;" filled="false" strokecolor="#FF0000" strokeweight="0.12pt" coordsize="40,50" coordorigin="0,0" path="m38,9l19,48l1,38l19,1l38,9xe">
              <v:stroke endcap="round" miterlimit="10"/>
            </v:shape>
          </v:group>
        </w:pict>
      </w:r>
      <w:r>
        <w:pict>
          <v:shape id="_x0000_s110" style="position:absolute;margin-left:383.09pt;margin-top:224.96pt;mso-position-vertical-relative:text;mso-position-horizontal-relative:text;width:29.4pt;height:13.2pt;z-index:251685888;" filled="false" stroked="false" type="#_x0000_t202">
            <v:fill on="false"/>
            <v:stroke on="false"/>
            <v:path/>
            <v:imagedata o:title=""/>
            <o:lock v:ext="edit" aspectratio="false"/>
            <v:textbox inset="0mm,0mm,0mm,0mm">
              <w:txbxContent>
                <w:p>
                  <w:pPr>
                    <w:spacing w:line="20" w:lineRule="exact"/>
                    <w:rPr/>
                  </w:pPr>
                  <w:r/>
                </w:p>
                <w:tbl>
                  <w:tblPr>
                    <w:tblStyle w:val="TableNormal"/>
                    <w:tblW w:w="542" w:type="dxa"/>
                    <w:tblInd w:w="22" w:type="dxa"/>
                    <w:tblLayout w:type="fixed"/>
                    <w:tblBorders>
                      <w:left w:val="single" w:color="000000" w:sz="2" w:space="0"/>
                      <w:bottom w:val="single" w:color="000000" w:sz="2" w:space="0"/>
                      <w:right w:val="single" w:color="000000" w:sz="2" w:space="0"/>
                      <w:top w:val="single" w:color="000000" w:sz="2" w:space="0"/>
                    </w:tblBorders>
                  </w:tblPr>
                  <w:tblGrid>
                    <w:gridCol w:w="542"/>
                  </w:tblGrid>
                  <w:tr>
                    <w:trPr>
                      <w:trHeight w:val="213" w:hRule="atLeast"/>
                    </w:trPr>
                    <w:tc>
                      <w:tcPr>
                        <w:tcW w:w="542" w:type="dxa"/>
                        <w:vAlign w:val="top"/>
                      </w:tcPr>
                      <w:p>
                        <w:pPr>
                          <w:ind w:firstLine="245"/>
                          <w:spacing w:before="95" w:line="22" w:lineRule="exact"/>
                          <w:rPr/>
                        </w:pPr>
                        <w:r>
                          <w:rPr/>
                          <w:drawing>
                            <wp:inline distT="0" distB="0" distL="0" distR="0">
                              <wp:extent cx="28575" cy="14389"/>
                              <wp:effectExtent l="0" t="0" r="0" b="0"/>
                              <wp:docPr id="48" name="IM 48"/>
                              <wp:cNvGraphicFramePr/>
                              <a:graphic>
                                <a:graphicData uri="http://schemas.openxmlformats.org/drawingml/2006/picture">
                                  <pic:pic>
                                    <pic:nvPicPr>
                                      <pic:cNvPr id="48" name="IM 48"/>
                                      <pic:cNvPicPr/>
                                    </pic:nvPicPr>
                                    <pic:blipFill>
                                      <a:blip r:embed="rId26"/>
                                      <a:stretch>
                                        <a:fillRect/>
                                      </a:stretch>
                                    </pic:blipFill>
                                    <pic:spPr>
                                      <a:xfrm rot="0">
                                        <a:off x="0" y="0"/>
                                        <a:ext cx="28575" cy="14389"/>
                                      </a:xfrm>
                                      <a:prstGeom prst="rect">
                                        <a:avLst/>
                                      </a:prstGeom>
                                    </pic:spPr>
                                  </pic:pic>
                                </a:graphicData>
                              </a:graphic>
                            </wp:inline>
                          </w:drawing>
                        </w:r>
                      </w:p>
                    </w:tc>
                  </w:tr>
                </w:tbl>
                <w:p>
                  <w:pPr>
                    <w:pStyle w:val="BodyText"/>
                    <w:rPr/>
                  </w:pPr>
                  <w:r/>
                </w:p>
              </w:txbxContent>
            </v:textbox>
          </v:shape>
        </w:pict>
      </w:r>
      <w:r>
        <w:pict>
          <v:group id="_x0000_s112" style="position:absolute;margin-left:341.61pt;margin-top:248.033pt;mso-position-vertical-relative:text;mso-position-horizontal-relative:text;width:12.4pt;height:22.65pt;z-index:251668480;" filled="false" stroked="false" coordsize="247,452" coordorigin="0,0">
            <v:shape id="_x0000_s114" style="position:absolute;left:1;top:1;width:246;height:450;" fillcolor="#000000" filled="true" stroked="false" coordsize="246,450" coordorigin="0,0" path="m0,441l226,0l245,8l18,450l0,441xe"/>
            <v:shape id="_x0000_s116" style="position:absolute;left:0;top:0;width:247;height:452;" filled="false" strokecolor="#000000" strokeweight="0.12pt" coordsize="247,452" coordorigin="0,0" path="m1,442l227,1m246,9l19,451e">
              <v:stroke endcap="round" miterlimit="10"/>
            </v:shape>
          </v:group>
        </w:pict>
      </w:r>
      <w:r>
        <w:pict>
          <v:group id="_x0000_s118" style="position:absolute;margin-left:298.192pt;margin-top:257.715pt;mso-position-vertical-relative:text;mso-position-horizontal-relative:text;width:22.1pt;height:12.8pt;z-index:251667456;" filled="false" stroked="false" coordsize="442,256" coordorigin="0,0">
            <v:shape id="_x0000_s120" style="position:absolute;left:1;top:1;width:440;height:253;" fillcolor="#000000" filled="true" stroked="false" coordsize="440,253" coordorigin="0,0" path="m8,0l439,235l429,253l0,16l8,0xe"/>
            <v:shape id="_x0000_s122" style="position:absolute;left:0;top:0;width:442;height:256;" filled="false" strokecolor="#000000" strokeweight="0.12pt" coordsize="442,256" coordorigin="0,0" path="m9,1l440,237m430,254l1,18e">
              <v:stroke endcap="round" miterlimit="10"/>
            </v:shape>
          </v:group>
        </w:pict>
      </w:r>
      <w:r>
        <w:pict>
          <v:group id="_x0000_s124" style="position:absolute;margin-left:352.162pt;margin-top:30.578pt;mso-position-vertical-relative:text;mso-position-horizontal-relative:text;width:7.3pt;height:11.8pt;z-index:251663360;" filled="false" stroked="false" coordsize="146,236" coordorigin="0,0">
            <v:shape id="_x0000_s126" style="position:absolute;left:1;top:1;width:143;height:232;" fillcolor="#FF0000" filled="true" stroked="false" coordsize="143,232" coordorigin="0,0" path="m143,10l17,232l0,222l125,0l143,10xe"/>
            <v:shape id="_x0000_s128" style="position:absolute;left:0;top:0;width:146;height:236;" filled="false" strokecolor="#FF0000" strokeweight="0.12pt" coordsize="146,236" coordorigin="0,0" path="m144,11l18,233l1,223l127,1e">
              <v:stroke endcap="round" miterlimit="10"/>
            </v:shape>
          </v:group>
        </w:pict>
      </w:r>
      <w:r>
        <w:pict>
          <v:group id="_x0000_s130" style="position:absolute;margin-left:414.225pt;margin-top:99.87pt;mso-position-vertical-relative:text;mso-position-horizontal-relative:text;width:15.8pt;height:29.35pt;z-index:251681792;" filled="false" stroked="false" coordsize="316,587" coordorigin="0,0">
            <v:shape id="_x0000_s132" style="position:absolute;left:1;top:1;width:313;height:585;" fillcolor="#000000" filled="true" stroked="false" coordsize="313,585" coordorigin="0,0" path="m0,573l294,0l313,10l18,584l0,573xe"/>
            <v:shape id="_x0000_s134" style="position:absolute;left:0;top:0;width:316;height:587;" filled="false" strokecolor="#000000" strokeweight="0.12pt" coordsize="316,587" coordorigin="0,0" path="m1,575l295,1l314,11l19,585l1,575xe">
              <v:stroke endcap="round" miterlimit="10"/>
            </v:shape>
          </v:group>
        </w:pict>
      </w:r>
      <w:r>
        <w:pict>
          <v:group id="_x0000_s136" style="position:absolute;margin-left:395.242pt;margin-top:136.89pt;mso-position-vertical-relative:text;mso-position-horizontal-relative:text;width:15.8pt;height:29.35pt;z-index:251682816;" filled="false" stroked="false" coordsize="316,587" coordorigin="0,0">
            <v:shape id="_x0000_s138" style="position:absolute;left:1;top:1;width:313;height:585;" fillcolor="#000000" filled="true" stroked="false" coordsize="313,585" coordorigin="0,0" path="m0,573l294,0l313,10l18,584l0,573xe"/>
            <v:shape id="_x0000_s140" style="position:absolute;left:0;top:0;width:316;height:587;" filled="false" strokecolor="#000000" strokeweight="0.12pt" coordsize="316,587" coordorigin="0,0" path="m1,575l295,1l314,11l19,585l1,575xe">
              <v:stroke endcap="round" miterlimit="10"/>
            </v:shape>
          </v:group>
        </w:pict>
      </w:r>
      <w:r>
        <w:pict>
          <v:group id="_x0000_s142" style="position:absolute;margin-left:362.122pt;margin-top:125.933pt;mso-position-vertical-relative:text;mso-position-horizontal-relative:text;width:3.9pt;height:6.35pt;z-index:251699200;" filled="false" stroked="false" coordsize="78,126" coordorigin="0,0">
            <v:shape id="_x0000_s144" style="position:absolute;left:56;top:0;width:22;height:11;" filled="false" strokecolor="#FF0000" strokeweight="0.12pt" coordsize="22,11" coordorigin="0,0" path="m19,9l1,1e">
              <v:stroke endcap="round" miterlimit="10"/>
            </v:shape>
            <v:shape id="_x0000_s146" style="position:absolute;left:19;top:38;width:37;height:48;" fillcolor="#FF0000" filled="true" stroked="false" coordsize="37,48" coordorigin="0,0" path="m37,10l18,47l0,39l18,0l37,10xe"/>
            <v:shape id="_x0000_s148" style="position:absolute;left:0;top:37;width:59;height:90;" filled="false" strokecolor="#FF0000" strokeweight="0.12pt" coordsize="59,90" coordorigin="0,0" path="m57,11l38,48l19,40l38,1l57,11xm1,79l19,87e">
              <v:stroke endcap="round" miterlimit="10"/>
            </v:shape>
          </v:group>
        </w:pict>
      </w:r>
      <w:r>
        <w:pict>
          <v:group id="_x0000_s150" style="position:absolute;margin-left:353.782pt;margin-top:143.168pt;mso-position-vertical-relative:text;mso-position-horizontal-relative:text;width:3.8pt;height:6.45pt;z-index:251701248;" filled="false" stroked="false" coordsize="75,128" coordorigin="0,0">
            <v:shape id="_x0000_s152" style="position:absolute;left:56;top:0;width:20;height:12;" filled="false" strokecolor="#FF0000" strokeweight="0.12pt" coordsize="20,12" coordorigin="0,0" path="m18,11l1,1e">
              <v:stroke endcap="round" miterlimit="10"/>
            </v:shape>
            <v:shape id="_x0000_s154" style="position:absolute;left:19;top:40;width:37;height:48;" fillcolor="#FF0000" filled="true" stroked="false" coordsize="37,48" coordorigin="0,0" path="m37,8l18,47l0,38l18,0l37,8xe"/>
            <v:shape id="_x0000_s156" style="position:absolute;left:0;top:39;width:59;height:88;" filled="false" strokecolor="#FF0000" strokeweight="0.12pt" coordsize="59,88" coordorigin="0,0" path="m57,9l38,48l19,40l38,1l57,9xm1,77l19,87e">
              <v:stroke endcap="round" miterlimit="10"/>
            </v:shape>
          </v:group>
        </w:pict>
      </w:r>
      <w:r>
        <w:pict>
          <v:group id="_x0000_s158" style="position:absolute;margin-left:364.935pt;margin-top:114.383pt;mso-position-vertical-relative:text;mso-position-horizontal-relative:text;width:6.6pt;height:12.1pt;z-index:251687936;" filled="false" stroked="false" coordsize="131,242" coordorigin="0,0">
            <v:shape id="_x0000_s160" style="position:absolute;left:1;top:1;width:130;height:240;" fillcolor="#FF0000" filled="true" stroked="false" coordsize="130,240" coordorigin="0,0" path="m129,8l18,239l0,230l112,0l129,8xe"/>
            <v:shape id="_x0000_s162" style="position:absolute;left:0;top:0;width:131;height:242;" filled="false" strokecolor="#FF0000" strokeweight="0.12pt" coordsize="131,242" coordorigin="0,0" path="m130,9l19,240m1,232l113,1e">
              <v:stroke endcap="round" miterlimit="10"/>
            </v:shape>
          </v:group>
        </w:pict>
      </w:r>
      <w:r>
        <w:pict>
          <v:group id="_x0000_s164" style="position:absolute;margin-left:356.587pt;margin-top:131.708pt;mso-position-vertical-relative:text;mso-position-horizontal-relative:text;width:6.6pt;height:12.1pt;z-index:251695104;" filled="false" stroked="false" coordsize="131,242" coordorigin="0,0">
            <v:shape id="_x0000_s166" style="position:absolute;left:1;top:1;width:130;height:240;" fillcolor="#FF0000" filled="true" stroked="false" coordsize="130,240" coordorigin="0,0" path="m129,8l17,239l0,229l110,0l129,8xe"/>
            <v:shape id="_x0000_s168" style="position:absolute;left:0;top:0;width:131;height:242;" filled="false" strokecolor="#FF0000" strokeweight="0.12pt" coordsize="131,242" coordorigin="0,0" path="m130,9l18,240m1,230l111,1e">
              <v:stroke endcap="round" miterlimit="10"/>
            </v:shape>
          </v:group>
        </w:pict>
      </w:r>
      <w:r>
        <w:pict>
          <v:group id="_x0000_s170" style="position:absolute;margin-left:271.545pt;margin-top:117.698pt;mso-position-vertical-relative:text;mso-position-horizontal-relative:text;width:16.15pt;height:29.2pt;z-index:251678720;" filled="false" stroked="false" coordsize="322,584" coordorigin="0,0">
            <v:shape id="_x0000_s172" style="position:absolute;left:1;top:1;width:320;height:580;" fillcolor="#000000" filled="true" stroked="false" coordsize="320,580" coordorigin="0,0" path="m320,10l18,580l0,570l301,0l320,10xe"/>
            <v:shape id="_x0000_s174" style="position:absolute;left:0;top:0;width:322;height:584;" filled="false" strokecolor="#000000" strokeweight="0.12pt" coordsize="322,584" coordorigin="0,0" path="m321,11l19,581l1,571l302,1l321,11xe">
              <v:stroke endcap="round" miterlimit="10"/>
            </v:shape>
          </v:group>
        </w:pict>
      </w:r>
      <w:r>
        <w:pict>
          <v:group id="_x0000_s176" style="position:absolute;margin-left:345.435pt;margin-top:160.493pt;mso-position-vertical-relative:text;mso-position-horizontal-relative:text;width:3.8pt;height:6.35pt;z-index:251702272;" filled="false" stroked="false" coordsize="75,126" coordorigin="0,0">
            <v:shape id="_x0000_s178" style="position:absolute;left:54;top:0;width:22;height:11;" filled="false" strokecolor="#FF0000" strokeweight="0.12pt" coordsize="22,11" coordorigin="0,0" path="m19,9l1,1e">
              <v:stroke endcap="round" miterlimit="10"/>
            </v:shape>
            <v:shape id="_x0000_s180" style="position:absolute;left:19;top:40;width:35;height:45;" fillcolor="#FF0000" filled="true" stroked="false" coordsize="35,45" coordorigin="0,0" path="m35,8l17,45l0,37l18,0l35,8xe"/>
            <v:shape id="_x0000_s182" style="position:absolute;left:0;top:39;width:56;height:88;" filled="false" strokecolor="#FF0000" strokeweight="0.12pt" coordsize="56,88" coordorigin="0,0" path="m55,9l37,47l19,38l38,1l55,9xm1,77l18,86e">
              <v:stroke endcap="round" miterlimit="10"/>
            </v:shape>
          </v:group>
        </w:pict>
      </w:r>
      <w:r>
        <w:pict>
          <v:group id="_x0000_s184" style="position:absolute;margin-left:337.012pt;margin-top:177.81pt;mso-position-vertical-relative:text;mso-position-horizontal-relative:text;width:3.9pt;height:6.35pt;z-index:251700224;" filled="false" stroked="false" coordsize="78,126" coordorigin="0,0">
            <v:shape id="_x0000_s186" style="position:absolute;left:56;top:0;width:22;height:11;" filled="false" strokecolor="#FF0000" strokeweight="0.12pt" coordsize="22,11" coordorigin="0,0" path="m19,9l1,1e">
              <v:stroke endcap="round" miterlimit="10"/>
            </v:shape>
            <v:shape id="_x0000_s188" style="position:absolute;left:19;top:38;width:37;height:48;" fillcolor="#FF0000" filled="true" stroked="false" coordsize="37,48" coordorigin="0,0" path="m37,8l18,47l0,38l18,0l37,8xe"/>
            <v:shape id="_x0000_s190" style="position:absolute;left:0;top:37;width:59;height:88;" filled="false" strokecolor="#FF0000" strokeweight="0.12pt" coordsize="59,88" coordorigin="0,0" path="m57,9l38,48l19,40l38,1l57,9xm1,79l19,87e">
              <v:stroke endcap="round" miterlimit="10"/>
            </v:shape>
          </v:group>
        </w:pict>
      </w:r>
      <w:r>
        <w:pict>
          <v:group id="_x0000_s192" style="position:absolute;margin-left:376.252pt;margin-top:173.91pt;mso-position-vertical-relative:text;mso-position-horizontal-relative:text;width:15.75pt;height:29.35pt;z-index:251683840;" filled="false" stroked="false" coordsize="315,587" coordorigin="0,0">
            <v:shape id="_x0000_s194" style="position:absolute;left:1;top:1;width:312;height:585;" fillcolor="#000000" filled="true" stroked="false" coordsize="312,585" coordorigin="0,0" path="m0,573l294,0l311,10l17,584l0,573xe"/>
            <v:shape id="_x0000_s196" style="position:absolute;left:0;top:0;width:315;height:587;" filled="false" strokecolor="#000000" strokeweight="0.12pt" coordsize="315,587" coordorigin="0,0" path="m1,575l295,1l312,11l18,585e">
              <v:stroke endcap="round" miterlimit="10"/>
            </v:shape>
          </v:group>
        </w:pict>
      </w:r>
      <w:r>
        <w:pict>
          <v:group id="_x0000_s198" style="position:absolute;margin-left:348.165pt;margin-top:148.943pt;mso-position-vertical-relative:text;mso-position-horizontal-relative:text;width:6.7pt;height:12.1pt;z-index:251694080;" filled="false" stroked="false" coordsize="133,242" coordorigin="0,0">
            <v:shape id="_x0000_s200" style="position:absolute;left:1;top:1;width:131;height:240;" fillcolor="#FF0000" filled="true" stroked="false" coordsize="131,240" coordorigin="0,0" path="m131,10l18,239l0,230l112,0l131,10xe"/>
            <v:shape id="_x0000_s202" style="position:absolute;left:0;top:0;width:133;height:242;" filled="false" strokecolor="#FF0000" strokeweight="0.12pt" coordsize="133,242" coordorigin="0,0" path="m132,11l19,240m1,232l113,1e">
              <v:stroke endcap="round" miterlimit="10"/>
            </v:shape>
          </v:group>
        </w:pict>
      </w:r>
      <w:r>
        <w:pict>
          <v:group id="_x0000_s204" style="position:absolute;margin-left:339.817pt;margin-top:166.268pt;mso-position-vertical-relative:text;mso-position-horizontal-relative:text;width:6.6pt;height:12.1pt;z-index:251696128;" filled="false" stroked="false" coordsize="131,242" coordorigin="0,0">
            <v:shape id="_x0000_s206" style="position:absolute;left:1;top:1;width:130;height:240;" fillcolor="#FF0000" filled="true" stroked="false" coordsize="130,240" coordorigin="0,0" path="m129,8l18,239l0,230l112,0l129,8xe"/>
            <v:shape id="_x0000_s208" style="position:absolute;left:0;top:0;width:131;height:242;" filled="false" strokecolor="#FF0000" strokeweight="0.12pt" coordsize="131,242" coordorigin="0,0" path="m130,9l19,240m1,232l113,1e">
              <v:stroke endcap="round" miterlimit="10"/>
            </v:shape>
          </v:group>
        </w:pict>
      </w:r>
      <w:r>
        <w:pict>
          <v:group id="_x0000_s210" style="position:absolute;margin-left:252.053pt;margin-top:154.463pt;mso-position-vertical-relative:text;mso-position-horizontal-relative:text;width:16.15pt;height:29.2pt;z-index:251679744;" filled="false" stroked="false" coordsize="322,584" coordorigin="0,0">
            <v:shape id="_x0000_s212" style="position:absolute;left:1;top:1;width:320;height:580;" fillcolor="#000000" filled="true" stroked="false" coordsize="320,580" coordorigin="0,0" path="m320,10l18,580l0,570l302,0l320,10xe"/>
            <v:shape id="_x0000_s214" style="position:absolute;left:0;top:0;width:322;height:584;" filled="false" strokecolor="#000000" strokeweight="0.12pt" coordsize="322,584" coordorigin="0,0" path="m321,11l19,581l1,571l304,1l321,11xe">
              <v:stroke endcap="round" miterlimit="10"/>
            </v:shape>
          </v:group>
        </w:pict>
      </w:r>
      <w:r>
        <w:drawing>
          <wp:anchor distT="0" distB="0" distL="0" distR="0" simplePos="0" relativeHeight="251693056" behindDoc="0" locked="0" layoutInCell="1" allowOverlap="1">
            <wp:simplePos x="0" y="0"/>
            <wp:positionH relativeFrom="column">
              <wp:posOffset>4099458</wp:posOffset>
            </wp:positionH>
            <wp:positionV relativeFrom="paragraph">
              <wp:posOffset>1025652</wp:posOffset>
            </wp:positionV>
            <wp:extent cx="106400" cy="150405"/>
            <wp:effectExtent l="0" t="0" r="0" b="0"/>
            <wp:wrapNone/>
            <wp:docPr id="50" name="IM 50"/>
            <wp:cNvGraphicFramePr/>
            <a:graphic>
              <a:graphicData uri="http://schemas.openxmlformats.org/drawingml/2006/picture">
                <pic:pic>
                  <pic:nvPicPr>
                    <pic:cNvPr id="50" name="IM 50"/>
                    <pic:cNvPicPr/>
                  </pic:nvPicPr>
                  <pic:blipFill>
                    <a:blip r:embed="rId27"/>
                    <a:stretch>
                      <a:fillRect/>
                    </a:stretch>
                  </pic:blipFill>
                  <pic:spPr>
                    <a:xfrm rot="0">
                      <a:off x="0" y="0"/>
                      <a:ext cx="106400" cy="150405"/>
                    </a:xfrm>
                    <a:prstGeom prst="rect">
                      <a:avLst/>
                    </a:prstGeom>
                  </pic:spPr>
                </pic:pic>
              </a:graphicData>
            </a:graphic>
          </wp:anchor>
        </w:drawing>
      </w:r>
      <w:r>
        <w:pict>
          <v:group id="_x0000_s216" style="position:absolute;margin-left:339.397pt;margin-top:91.035pt;mso-position-vertical-relative:text;mso-position-horizontal-relative:text;width:6.55pt;height:2.85pt;z-index:251704320;" filled="false" stroked="false" coordsize="131,56" coordorigin="0,0">
            <v:shape id="_x0000_s218" style="position:absolute;left:0;top:0;width:8;height:22;" filled="false" strokecolor="#FF0000" strokeweight="0.12pt" coordsize="8,22" coordorigin="0,0" path="m6,1l1,19e">
              <v:stroke endcap="round" miterlimit="10"/>
            </v:shape>
            <v:shape id="_x0000_s220" style="position:absolute;left:42;top:13;width:45;height:30;" fillcolor="#FF0000" filled="true" stroked="false" coordsize="45,30" coordorigin="0,0" path="m5,0l45,12l40,30l0,18l5,0xe"/>
            <v:shape id="_x0000_s222" style="position:absolute;left:40;top:11;width:90;height:45;" filled="false" strokecolor="#FF0000" strokeweight="0.12pt" coordsize="90,45" coordorigin="0,0" path="m6,1l47,13l41,31l1,19l6,1xm82,43l88,25e">
              <v:stroke endcap="round" miterlimit="10"/>
            </v:shape>
          </v:group>
        </w:pict>
      </w:r>
      <w:r>
        <w:pict>
          <v:group id="_x0000_s224" style="position:absolute;margin-left:357.87pt;margin-top:96.383pt;mso-position-vertical-relative:text;mso-position-horizontal-relative:text;width:6.6pt;height:2.85pt;z-index:251703296;" filled="false" stroked="false" coordsize="131,56" coordorigin="0,0">
            <v:shape id="_x0000_s226" style="position:absolute;left:0;top:0;width:8;height:22;" filled="false" strokecolor="#FF0000" strokeweight="0.12pt" coordsize="8,22" coordorigin="0,0" path="m6,1l1,19e">
              <v:stroke endcap="round" miterlimit="10"/>
            </v:shape>
            <v:shape id="_x0000_s228" style="position:absolute;left:42;top:13;width:46;height:30;" fillcolor="#FF0000" filled="true" stroked="false" coordsize="46,30" coordorigin="0,0" path="m5,0l46,11l40,30l0,18l5,0xe"/>
            <v:shape id="_x0000_s230" style="position:absolute;left:40;top:11;width:91;height:45;" filled="false" strokecolor="#FF0000" strokeweight="0.12pt" coordsize="91,45" coordorigin="0,0" path="m6,1l47,13l42,31l1,19l6,1xm82,43l89,24e">
              <v:stroke endcap="round" miterlimit="10"/>
            </v:shape>
          </v:group>
        </w:pict>
      </w:r>
      <w:r>
        <w:drawing>
          <wp:anchor distT="0" distB="0" distL="0" distR="0" simplePos="0" relativeHeight="251689984" behindDoc="0" locked="0" layoutInCell="1" allowOverlap="1">
            <wp:simplePos x="0" y="0"/>
            <wp:positionH relativeFrom="column">
              <wp:posOffset>4706010</wp:posOffset>
            </wp:positionH>
            <wp:positionV relativeFrom="paragraph">
              <wp:posOffset>1272641</wp:posOffset>
            </wp:positionV>
            <wp:extent cx="130212" cy="186969"/>
            <wp:effectExtent l="0" t="0" r="0" b="0"/>
            <wp:wrapNone/>
            <wp:docPr id="52" name="IM 52"/>
            <wp:cNvGraphicFramePr/>
            <a:graphic>
              <a:graphicData uri="http://schemas.openxmlformats.org/drawingml/2006/picture">
                <pic:pic>
                  <pic:nvPicPr>
                    <pic:cNvPr id="52" name="IM 52"/>
                    <pic:cNvPicPr/>
                  </pic:nvPicPr>
                  <pic:blipFill>
                    <a:blip r:embed="rId28"/>
                    <a:stretch>
                      <a:fillRect/>
                    </a:stretch>
                  </pic:blipFill>
                  <pic:spPr>
                    <a:xfrm rot="0">
                      <a:off x="0" y="0"/>
                      <a:ext cx="130212" cy="186969"/>
                    </a:xfrm>
                    <a:prstGeom prst="rect">
                      <a:avLst/>
                    </a:prstGeom>
                  </pic:spPr>
                </pic:pic>
              </a:graphicData>
            </a:graphic>
          </wp:anchor>
        </w:drawing>
      </w:r>
      <w:r>
        <w:pict>
          <v:group id="_x0000_s232" style="position:absolute;margin-left:326.287pt;margin-top:80.76pt;mso-position-vertical-relative:text;mso-position-horizontal-relative:text;width:13.5pt;height:11.35pt;z-index:251686912;" filled="false" stroked="false" coordsize="270,227" coordorigin="0,0">
            <v:shape id="_x0000_s234" style="position:absolute;left:1;top:1;width:96;height:146;" fillcolor="#FF0000" filled="true" stroked="false" coordsize="96,146" coordorigin="0,0" path="m95,10l16,146l0,135l76,0l95,10xe"/>
            <v:shape id="_x0000_s236" style="position:absolute;left:0;top:0;width:98;height:148;" filled="false" strokecolor="#FF0000" strokeweight="0.12pt" coordsize="98,148" coordorigin="0,0" path="m96,11l18,147m1,137l77,1e">
              <v:stroke endcap="round" miterlimit="10"/>
            </v:shape>
            <v:shape id="_x0000_s238" style="position:absolute;left:7;top:132;width:261;height:93;" fillcolor="#FF0000" filled="true" stroked="false" coordsize="261,93" coordorigin="0,0" path="m5,0l260,74l255,93l0,20l5,0xe"/>
            <v:shape id="_x0000_s240" style="position:absolute;left:6;top:130;width:262;height:96;" filled="false" strokecolor="#FF0000" strokeweight="0.12pt" coordsize="262,96" coordorigin="0,0" path="m6,1l261,75m256,94l1,21e">
              <v:stroke endcap="round" miterlimit="10"/>
            </v:shape>
          </v:group>
        </w:pict>
      </w:r>
      <w:r>
        <w:pict>
          <v:group id="_x0000_s242" style="position:absolute;margin-left:345.525pt;margin-top:92.82pt;mso-position-vertical-relative:text;mso-position-horizontal-relative:text;width:12.75pt;height:4.65pt;z-index:251697152;" filled="false" stroked="false" coordsize="255,93" coordorigin="0,0">
            <v:shape id="_x0000_s244" style="position:absolute;left:1;top:1;width:252;height:90;" fillcolor="#FF0000" filled="true" stroked="false" coordsize="252,90" coordorigin="0,0" path="m5,0l252,71l246,90l0,18l5,0xe"/>
            <v:shape id="_x0000_s246" style="position:absolute;left:0;top:0;width:255;height:93;" filled="false" strokecolor="#FF0000" strokeweight="0.12pt" coordsize="255,93" coordorigin="0,0" path="m6,1l253,72m248,91l1,19e">
              <v:stroke endcap="round" miterlimit="10"/>
            </v:shape>
          </v:group>
        </w:pict>
      </w:r>
      <w:r>
        <w:pict>
          <v:group id="_x0000_s248" style="position:absolute;margin-left:363.997pt;margin-top:98.168pt;mso-position-vertical-relative:text;mso-position-horizontal-relative:text;width:13.5pt;height:11pt;z-index:251688960;" filled="false" stroked="false" coordsize="270,220" coordorigin="0,0">
            <v:shape id="_x0000_s250" style="position:absolute;left:1;top:1;width:262;height:91;" fillcolor="#FF0000" filled="true" stroked="false" coordsize="262,91" coordorigin="0,0" path="m6,0l262,73l255,91l0,18l6,0xe"/>
            <v:shape id="_x0000_s252" style="position:absolute;left:0;top:0;width:265;height:95;" filled="false" strokecolor="#FF0000" strokeweight="0.12pt" coordsize="265,95" coordorigin="0,0" path="m7,1l263,74m256,92l1,19e">
              <v:stroke endcap="round" miterlimit="10"/>
            </v:shape>
            <v:shape id="_x0000_s254" style="position:absolute;left:186;top:79;width:81;height:140;" fillcolor="#FF0000" filled="true" stroked="false" coordsize="81,140" coordorigin="0,0" path="m81,8l18,139l0,130l64,0l81,8xe"/>
            <v:shape id="_x0000_s256" style="position:absolute;left:185;top:78;width:85;height:141;" filled="false" strokecolor="#FF0000" strokeweight="0.12pt" coordsize="85,141" coordorigin="0,0" path="m82,9l19,140m1,132l65,1e">
              <v:stroke endcap="round" miterlimit="10"/>
            </v:shape>
          </v:group>
        </w:pict>
      </w:r>
      <w:r>
        <w:pict>
          <v:group id="_x0000_s258" style="position:absolute;margin-left:331.477pt;margin-top:183.585pt;mso-position-vertical-relative:text;mso-position-horizontal-relative:text;width:6.6pt;height:12.05pt;z-index:251666432;" filled="false" stroked="false" coordsize="131,241" coordorigin="0,0">
            <v:shape id="_x0000_s260" style="position:absolute;left:1;top:1;width:130;height:237;" fillcolor="#FF0000" filled="true" stroked="false" coordsize="130,237" coordorigin="0,0" path="m129,8l16,237l0,229l110,0l129,8xe"/>
            <v:shape id="_x0000_s262" style="position:absolute;left:0;top:0;width:131;height:241;" filled="false" strokecolor="#FF0000" strokeweight="0.12pt" coordsize="131,241" coordorigin="0,0" path="m130,9l18,238m1,230l111,1e">
              <v:stroke endcap="round" miterlimit="10"/>
            </v:shape>
          </v:group>
        </w:pict>
      </w:r>
      <w:r>
        <w:drawing>
          <wp:anchor distT="0" distB="0" distL="0" distR="0" simplePos="0" relativeHeight="251676672" behindDoc="0" locked="0" layoutInCell="1" allowOverlap="1">
            <wp:simplePos x="0" y="0"/>
            <wp:positionH relativeFrom="column">
              <wp:posOffset>4499508</wp:posOffset>
            </wp:positionH>
            <wp:positionV relativeFrom="paragraph">
              <wp:posOffset>1989683</wp:posOffset>
            </wp:positionV>
            <wp:extent cx="323760" cy="443674"/>
            <wp:effectExtent l="0" t="0" r="0" b="0"/>
            <wp:wrapNone/>
            <wp:docPr id="54" name="IM 54"/>
            <wp:cNvGraphicFramePr/>
            <a:graphic>
              <a:graphicData uri="http://schemas.openxmlformats.org/drawingml/2006/picture">
                <pic:pic>
                  <pic:nvPicPr>
                    <pic:cNvPr id="54" name="IM 54"/>
                    <pic:cNvPicPr/>
                  </pic:nvPicPr>
                  <pic:blipFill>
                    <a:blip r:embed="rId29"/>
                    <a:stretch>
                      <a:fillRect/>
                    </a:stretch>
                  </pic:blipFill>
                  <pic:spPr>
                    <a:xfrm rot="0">
                      <a:off x="0" y="0"/>
                      <a:ext cx="323760" cy="443674"/>
                    </a:xfrm>
                    <a:prstGeom prst="rect">
                      <a:avLst/>
                    </a:prstGeom>
                  </pic:spPr>
                </pic:pic>
              </a:graphicData>
            </a:graphic>
          </wp:anchor>
        </w:drawing>
      </w:r>
      <w:r>
        <w:rPr>
          <w:position w:val="-111"/>
        </w:rPr>
        <w:pict>
          <v:group id="_x0000_s264" style="mso-position-vertical-relative:line;mso-position-horizontal-relative:char;width:222.15pt;height:278.2pt;" filled="false" stroked="false" coordsize="4442,5564" coordorigin="0,0">
            <v:shape id="_x0000_s266" style="position:absolute;left:0;top:0;width:4442;height:5564;" filled="false" stroked="false" type="#_x0000_t75">
              <v:imagedata o:title="" r:id="rId30"/>
            </v:shape>
            <v:shape id="_x0000_s268" style="position:absolute;left:-20;top:-20;width:4482;height:5604;" filled="false" stroked="false" type="#_x0000_t202">
              <v:fill on="false"/>
              <v:stroke on="false"/>
              <v:path/>
              <v:imagedata o:title=""/>
              <o:lock v:ext="edit" aspectratio="false"/>
              <v:textbox inset="0mm,0mm,0mm,0mm">
                <w:txbxContent>
                  <w:p>
                    <w:pPr>
                      <w:spacing w:line="241" w:lineRule="auto"/>
                      <w:rPr>
                        <w:rFonts w:ascii="Arial"/>
                        <w:sz w:val="21"/>
                      </w:rPr>
                    </w:pPr>
                    <w:r/>
                  </w:p>
                  <w:p>
                    <w:pPr>
                      <w:ind w:left="392"/>
                      <w:spacing w:before="78" w:line="219" w:lineRule="auto"/>
                      <w:rPr>
                        <w:rFonts w:ascii="SimSun" w:hAnsi="SimSun" w:eastAsia="SimSun" w:cs="SimSun"/>
                        <w:sz w:val="24"/>
                        <w:szCs w:val="24"/>
                      </w:rPr>
                    </w:pPr>
                    <w:r>
                      <w:rPr>
                        <w:rFonts w:ascii="SimSun" w:hAnsi="SimSun" w:eastAsia="SimSun" w:cs="SimSun"/>
                        <w:sz w:val="24"/>
                        <w:szCs w:val="24"/>
                        <w:spacing w:val="-6"/>
                      </w:rPr>
                      <w:t>改建前</w:t>
                    </w:r>
                  </w:p>
                </w:txbxContent>
              </v:textbox>
            </v:shape>
          </v:group>
        </w:pict>
      </w:r>
    </w:p>
    <w:p>
      <w:pPr>
        <w:ind w:left="1151"/>
        <w:spacing w:before="290"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21"/>
        </w:rPr>
        <w:t xml:space="preserve"> </w:t>
      </w:r>
      <w:r>
        <w:rPr>
          <w:rFonts w:ascii="Times New Roman" w:hAnsi="Times New Roman" w:eastAsia="Times New Roman" w:cs="Times New Roman"/>
          <w:sz w:val="24"/>
          <w:szCs w:val="24"/>
          <w:spacing w:val="-2"/>
        </w:rPr>
        <w:t>1-1-1    </w:t>
      </w:r>
      <w:r>
        <w:rPr>
          <w:rFonts w:ascii="SimHei" w:hAnsi="SimHei" w:eastAsia="SimHei" w:cs="SimHei"/>
          <w:sz w:val="24"/>
          <w:szCs w:val="24"/>
          <w:spacing w:val="-2"/>
        </w:rPr>
        <w:t>白音华四号露天矿调整前后露天、井工开采范围示意图</w:t>
      </w:r>
    </w:p>
    <w:p>
      <w:pPr>
        <w:ind w:left="19"/>
        <w:spacing w:before="259" w:line="222" w:lineRule="auto"/>
        <w:outlineLvl w:val="1"/>
        <w:rPr>
          <w:rFonts w:ascii="SimHei" w:hAnsi="SimHei" w:eastAsia="SimHei" w:cs="SimHei"/>
          <w:sz w:val="30"/>
          <w:szCs w:val="30"/>
        </w:rPr>
      </w:pPr>
      <w:bookmarkStart w:name="bookmark4" w:id="10"/>
      <w:bookmarkEnd w:id="10"/>
      <w:r>
        <w:rPr>
          <w:rFonts w:ascii="Times New Roman" w:hAnsi="Times New Roman" w:eastAsia="Times New Roman" w:cs="Times New Roman"/>
          <w:sz w:val="30"/>
          <w:szCs w:val="30"/>
          <w:b/>
          <w:bCs/>
          <w:spacing w:val="-3"/>
        </w:rPr>
        <w:t>1.2  </w:t>
      </w:r>
      <w:r>
        <w:rPr>
          <w:rFonts w:ascii="SimHei" w:hAnsi="SimHei" w:eastAsia="SimHei" w:cs="SimHei"/>
          <w:sz w:val="30"/>
          <w:szCs w:val="30"/>
          <w:b/>
          <w:bCs/>
          <w:spacing w:val="-3"/>
        </w:rPr>
        <w:t>环境影响评价工作过程</w:t>
      </w:r>
    </w:p>
    <w:p>
      <w:pPr>
        <w:ind w:left="13" w:right="85" w:firstLine="476"/>
        <w:spacing w:before="160" w:line="339" w:lineRule="auto"/>
        <w:jc w:val="both"/>
        <w:rPr>
          <w:rFonts w:ascii="SimSun" w:hAnsi="SimSun" w:eastAsia="SimSun" w:cs="SimSun"/>
          <w:sz w:val="24"/>
          <w:szCs w:val="24"/>
        </w:rPr>
      </w:pPr>
      <w:r>
        <w:rPr>
          <w:rFonts w:ascii="SimSun" w:hAnsi="SimSun" w:eastAsia="SimSun" w:cs="SimSun"/>
          <w:sz w:val="24"/>
          <w:szCs w:val="24"/>
          <w:spacing w:val="-2"/>
        </w:rPr>
        <w:t>根据《中华人民共和国环境保护法》、《中华人民共和国环境影响评价法》、《建</w:t>
      </w:r>
      <w:r>
        <w:rPr>
          <w:rFonts w:ascii="SimSun" w:hAnsi="SimSun" w:eastAsia="SimSun" w:cs="SimSun"/>
          <w:sz w:val="24"/>
          <w:szCs w:val="24"/>
          <w:spacing w:val="-2"/>
        </w:rPr>
        <w:t>设项目环境保护管理条例》（国务院第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682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号令）、《建设项目</w:t>
      </w:r>
      <w:r>
        <w:rPr>
          <w:rFonts w:ascii="SimSun" w:hAnsi="SimSun" w:eastAsia="SimSun" w:cs="SimSun"/>
          <w:sz w:val="24"/>
          <w:szCs w:val="24"/>
          <w:spacing w:val="-3"/>
        </w:rPr>
        <w:t>环境保护分类管理名录</w:t>
      </w:r>
      <w:r>
        <w:rPr>
          <w:rFonts w:ascii="SimSun" w:hAnsi="SimSun" w:eastAsia="SimSun" w:cs="SimSun"/>
          <w:sz w:val="24"/>
          <w:szCs w:val="24"/>
          <w:spacing w:val="-3"/>
        </w:rPr>
        <w:t>（</w:t>
      </w:r>
      <w:r>
        <w:rPr>
          <w:rFonts w:ascii="Times New Roman" w:hAnsi="Times New Roman" w:eastAsia="Times New Roman" w:cs="Times New Roman"/>
          <w:sz w:val="24"/>
          <w:szCs w:val="24"/>
          <w:spacing w:val="-3"/>
        </w:rPr>
        <w:t>2021</w:t>
      </w:r>
      <w:r>
        <w:rPr>
          <w:rFonts w:ascii="SimSun" w:hAnsi="SimSun" w:eastAsia="SimSun" w:cs="SimSun"/>
          <w:sz w:val="24"/>
          <w:szCs w:val="24"/>
          <w:spacing w:val="-3"/>
        </w:rPr>
        <w:t>版）》（生态环境部 部令第</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号令</w:t>
      </w:r>
      <w:r>
        <w:rPr>
          <w:rFonts w:ascii="SimSun" w:hAnsi="SimSun" w:eastAsia="SimSun" w:cs="SimSun"/>
          <w:sz w:val="24"/>
          <w:szCs w:val="24"/>
          <w:spacing w:val="5"/>
        </w:rPr>
        <w:t>），</w:t>
      </w:r>
      <w:r>
        <w:rPr>
          <w:rFonts w:ascii="SimSun" w:hAnsi="SimSun" w:eastAsia="SimSun" w:cs="SimSun"/>
          <w:sz w:val="24"/>
          <w:szCs w:val="24"/>
          <w:spacing w:val="-3"/>
        </w:rPr>
        <w:t>内蒙古海州露天能源有限责任公司委托</w:t>
      </w:r>
      <w:r>
        <w:rPr>
          <w:rFonts w:ascii="SimSun" w:hAnsi="SimSun" w:eastAsia="SimSun" w:cs="SimSun"/>
          <w:sz w:val="24"/>
          <w:szCs w:val="24"/>
          <w:spacing w:val="-1"/>
        </w:rPr>
        <w:t>中煤科工集团南京设计研究院有限公司开展本项目环境影响评价工作。</w:t>
      </w:r>
    </w:p>
    <w:p>
      <w:pPr>
        <w:ind w:left="17" w:right="85" w:firstLine="473"/>
        <w:spacing w:before="1" w:line="339" w:lineRule="auto"/>
        <w:rPr>
          <w:rFonts w:ascii="SimSun" w:hAnsi="SimSun" w:eastAsia="SimSun" w:cs="SimSun"/>
          <w:sz w:val="24"/>
          <w:szCs w:val="24"/>
        </w:rPr>
      </w:pPr>
      <w:r>
        <w:rPr>
          <w:rFonts w:ascii="SimSun" w:hAnsi="SimSun" w:eastAsia="SimSun" w:cs="SimSun"/>
          <w:sz w:val="24"/>
          <w:szCs w:val="24"/>
          <w:spacing w:val="-2"/>
        </w:rPr>
        <w:t>我单位在接受委托后，立即组织有关技术人员对拟建项目区域进行了现场踏勘，并</w:t>
      </w:r>
      <w:r>
        <w:rPr>
          <w:rFonts w:ascii="SimSun" w:hAnsi="SimSun" w:eastAsia="SimSun" w:cs="SimSun"/>
          <w:sz w:val="24"/>
          <w:szCs w:val="24"/>
          <w:spacing w:val="-1"/>
        </w:rPr>
        <w:t>收集了与项目有关的技术资料，建设单位在</w:t>
      </w:r>
      <w:r>
        <w:rPr>
          <w:rFonts w:ascii="Times New Roman" w:hAnsi="Times New Roman" w:eastAsia="Times New Roman" w:cs="Times New Roman"/>
          <w:sz w:val="24"/>
          <w:szCs w:val="24"/>
          <w:spacing w:val="-1"/>
        </w:rPr>
        <w:t>“</w:t>
      </w:r>
      <w:r>
        <w:rPr>
          <w:rFonts w:ascii="SimSun" w:hAnsi="SimSun" w:eastAsia="SimSun" w:cs="SimSun"/>
          <w:sz w:val="24"/>
          <w:szCs w:val="24"/>
          <w:spacing w:val="-1"/>
        </w:rPr>
        <w:t>白音华海州之家</w:t>
      </w:r>
      <w:r>
        <w:rPr>
          <w:rFonts w:ascii="Times New Roman" w:hAnsi="Times New Roman" w:eastAsia="Times New Roman" w:cs="Times New Roman"/>
          <w:sz w:val="24"/>
          <w:szCs w:val="24"/>
          <w:spacing w:val="-1"/>
        </w:rPr>
        <w:t>”</w:t>
      </w:r>
      <w:r>
        <w:rPr>
          <w:rFonts w:ascii="SimSun" w:hAnsi="SimSun" w:eastAsia="SimSun" w:cs="SimSun"/>
          <w:sz w:val="24"/>
          <w:szCs w:val="24"/>
          <w:spacing w:val="-1"/>
        </w:rPr>
        <w:t>进行了项目环境影响评价</w:t>
      </w:r>
    </w:p>
    <w:p>
      <w:pPr>
        <w:spacing w:line="339" w:lineRule="auto"/>
        <w:sectPr>
          <w:headerReference w:type="default" r:id="rId6"/>
          <w:footerReference w:type="default" r:id="rId12"/>
          <w:pgSz w:w="11906" w:h="16838"/>
          <w:pgMar w:top="1170" w:right="1332" w:bottom="1077" w:left="1416" w:header="837" w:footer="918" w:gutter="0"/>
        </w:sectPr>
        <w:rPr>
          <w:rFonts w:ascii="SimSun" w:hAnsi="SimSun" w:eastAsia="SimSun" w:cs="SimSun"/>
          <w:sz w:val="24"/>
          <w:szCs w:val="24"/>
        </w:rPr>
      </w:pPr>
    </w:p>
    <w:p>
      <w:pPr>
        <w:pStyle w:val="BodyText"/>
        <w:spacing w:line="316" w:lineRule="auto"/>
        <w:rPr/>
      </w:pPr>
      <w:r/>
    </w:p>
    <w:p>
      <w:pPr>
        <w:ind w:left="8"/>
        <w:spacing w:before="78" w:line="338" w:lineRule="auto"/>
        <w:jc w:val="both"/>
        <w:rPr>
          <w:rFonts w:ascii="SimSun" w:hAnsi="SimSun" w:eastAsia="SimSun" w:cs="SimSun"/>
          <w:sz w:val="24"/>
          <w:szCs w:val="24"/>
        </w:rPr>
      </w:pPr>
      <w:bookmarkStart w:name="bookmark79" w:id="11"/>
      <w:bookmarkEnd w:id="11"/>
      <w:r>
        <w:rPr>
          <w:rFonts w:ascii="SimSun" w:hAnsi="SimSun" w:eastAsia="SimSun" w:cs="SimSun"/>
          <w:sz w:val="24"/>
          <w:szCs w:val="24"/>
          <w:spacing w:val="-2"/>
        </w:rPr>
        <w:t>第一次公示；我单位委托内蒙古泽铭技术检测有限公司对项目区域地表水、地下水、大</w:t>
      </w:r>
      <w:r>
        <w:rPr>
          <w:rFonts w:ascii="SimSun" w:hAnsi="SimSun" w:eastAsia="SimSun" w:cs="SimSun"/>
          <w:sz w:val="24"/>
          <w:szCs w:val="24"/>
          <w:spacing w:val="-1"/>
        </w:rPr>
        <w:t>气、噪声、土壤等开展现状监测，评价组成员认真分析了项目建</w:t>
      </w:r>
      <w:r>
        <w:rPr>
          <w:rFonts w:ascii="SimSun" w:hAnsi="SimSun" w:eastAsia="SimSun" w:cs="SimSun"/>
          <w:sz w:val="24"/>
          <w:szCs w:val="24"/>
          <w:spacing w:val="-2"/>
        </w:rPr>
        <w:t>设规模、建设内容等，</w:t>
      </w:r>
      <w:r>
        <w:rPr>
          <w:rFonts w:ascii="SimSun" w:hAnsi="SimSun" w:eastAsia="SimSun" w:cs="SimSun"/>
          <w:sz w:val="24"/>
          <w:szCs w:val="24"/>
          <w:spacing w:val="-2"/>
        </w:rPr>
        <w:t>在对相关资料进行认真分析和研究，并在充分听取有关方面意见的基础上，按照国家对</w:t>
      </w:r>
      <w:r>
        <w:rPr>
          <w:rFonts w:ascii="SimSun" w:hAnsi="SimSun" w:eastAsia="SimSun" w:cs="SimSun"/>
          <w:sz w:val="24"/>
          <w:szCs w:val="24"/>
          <w:spacing w:val="-2"/>
        </w:rPr>
        <w:t>建设项目环境影响评价的有关规定、相关环保政策与技术规范，编制完成了《西乌珠穆</w:t>
      </w:r>
      <w:r>
        <w:rPr>
          <w:rFonts w:ascii="SimSun" w:hAnsi="SimSun" w:eastAsia="SimSun" w:cs="SimSun"/>
          <w:sz w:val="24"/>
          <w:szCs w:val="24"/>
          <w:spacing w:val="-1"/>
        </w:rPr>
        <w:t>沁旗白音华煤田四号露天矿改建项目（优化调整开采范围及地面</w:t>
      </w:r>
      <w:r>
        <w:rPr>
          <w:rFonts w:ascii="SimSun" w:hAnsi="SimSun" w:eastAsia="SimSun" w:cs="SimSun"/>
          <w:sz w:val="24"/>
          <w:szCs w:val="24"/>
          <w:spacing w:val="-2"/>
        </w:rPr>
        <w:t>输煤系统改建）环境影</w:t>
      </w:r>
      <w:r>
        <w:rPr>
          <w:rFonts w:ascii="SimSun" w:hAnsi="SimSun" w:eastAsia="SimSun" w:cs="SimSun"/>
          <w:sz w:val="24"/>
          <w:szCs w:val="24"/>
          <w:spacing w:val="-3"/>
        </w:rPr>
        <w:t>响报告书》。</w:t>
      </w:r>
    </w:p>
    <w:p>
      <w:pPr>
        <w:ind w:left="494"/>
        <w:spacing w:line="219" w:lineRule="auto"/>
        <w:rPr>
          <w:rFonts w:ascii="SimSun" w:hAnsi="SimSun" w:eastAsia="SimSun" w:cs="SimSun"/>
          <w:sz w:val="24"/>
          <w:szCs w:val="24"/>
        </w:rPr>
      </w:pPr>
      <w:r>
        <w:rPr>
          <w:rFonts w:ascii="SimSun" w:hAnsi="SimSun" w:eastAsia="SimSun" w:cs="SimSun"/>
          <w:sz w:val="24"/>
          <w:szCs w:val="24"/>
          <w:spacing w:val="-3"/>
        </w:rPr>
        <w:t>具体的工作程序见图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1-2-1</w:t>
      </w:r>
      <w:r>
        <w:rPr>
          <w:rFonts w:ascii="SimSun" w:hAnsi="SimSun" w:eastAsia="SimSun" w:cs="SimSun"/>
          <w:sz w:val="24"/>
          <w:szCs w:val="24"/>
          <w:spacing w:val="-3"/>
        </w:rPr>
        <w:t>。</w:t>
      </w:r>
    </w:p>
    <w:p>
      <w:pPr>
        <w:pStyle w:val="BodyText"/>
        <w:spacing w:line="448" w:lineRule="auto"/>
        <w:rPr/>
      </w:pPr>
      <w:r/>
    </w:p>
    <w:p>
      <w:pPr>
        <w:ind w:firstLine="480"/>
        <w:spacing w:line="7827" w:lineRule="exact"/>
        <w:rPr/>
      </w:pPr>
      <w:r>
        <w:rPr>
          <w:position w:val="-156"/>
        </w:rPr>
        <w:drawing>
          <wp:inline distT="0" distB="0" distL="0" distR="0">
            <wp:extent cx="4905756" cy="4969763"/>
            <wp:effectExtent l="0" t="0" r="0" b="0"/>
            <wp:docPr id="56" name="IM 56"/>
            <wp:cNvGraphicFramePr/>
            <a:graphic>
              <a:graphicData uri="http://schemas.openxmlformats.org/drawingml/2006/picture">
                <pic:pic>
                  <pic:nvPicPr>
                    <pic:cNvPr id="56" name="IM 56"/>
                    <pic:cNvPicPr/>
                  </pic:nvPicPr>
                  <pic:blipFill>
                    <a:blip r:embed="rId33"/>
                    <a:stretch>
                      <a:fillRect/>
                    </a:stretch>
                  </pic:blipFill>
                  <pic:spPr>
                    <a:xfrm rot="0">
                      <a:off x="0" y="0"/>
                      <a:ext cx="4905756" cy="4969763"/>
                    </a:xfrm>
                    <a:prstGeom prst="rect">
                      <a:avLst/>
                    </a:prstGeom>
                  </pic:spPr>
                </pic:pic>
              </a:graphicData>
            </a:graphic>
          </wp:inline>
        </w:drawing>
      </w:r>
    </w:p>
    <w:p>
      <w:pPr>
        <w:ind w:left="2831"/>
        <w:spacing w:before="285" w:line="222" w:lineRule="auto"/>
        <w:rPr>
          <w:rFonts w:ascii="SimHei" w:hAnsi="SimHei" w:eastAsia="SimHei" w:cs="SimHei"/>
          <w:sz w:val="24"/>
          <w:szCs w:val="24"/>
        </w:rPr>
      </w:pPr>
      <w:r>
        <w:rPr>
          <w:rFonts w:ascii="SimHei" w:hAnsi="SimHei" w:eastAsia="SimHei" w:cs="SimHei"/>
          <w:sz w:val="24"/>
          <w:szCs w:val="24"/>
          <w:spacing w:val="-3"/>
        </w:rPr>
        <w:t>图</w:t>
      </w:r>
      <w:r>
        <w:rPr>
          <w:rFonts w:ascii="SimHei" w:hAnsi="SimHei" w:eastAsia="SimHei" w:cs="SimHei"/>
          <w:sz w:val="24"/>
          <w:szCs w:val="24"/>
          <w:spacing w:val="-29"/>
        </w:rPr>
        <w:t xml:space="preserve"> </w:t>
      </w:r>
      <w:r>
        <w:rPr>
          <w:rFonts w:ascii="Times New Roman" w:hAnsi="Times New Roman" w:eastAsia="Times New Roman" w:cs="Times New Roman"/>
          <w:sz w:val="24"/>
          <w:szCs w:val="24"/>
          <w:spacing w:val="-3"/>
        </w:rPr>
        <w:t>1-2-1    </w:t>
      </w:r>
      <w:r>
        <w:rPr>
          <w:rFonts w:ascii="SimHei" w:hAnsi="SimHei" w:eastAsia="SimHei" w:cs="SimHei"/>
          <w:sz w:val="24"/>
          <w:szCs w:val="24"/>
          <w:spacing w:val="-3"/>
        </w:rPr>
        <w:t>环境影响评价工作程序</w:t>
      </w:r>
    </w:p>
    <w:p>
      <w:pPr>
        <w:ind w:left="19"/>
        <w:spacing w:before="259" w:line="222" w:lineRule="auto"/>
        <w:outlineLvl w:val="1"/>
        <w:rPr>
          <w:rFonts w:ascii="SimHei" w:hAnsi="SimHei" w:eastAsia="SimHei" w:cs="SimHei"/>
          <w:sz w:val="30"/>
          <w:szCs w:val="30"/>
        </w:rPr>
      </w:pPr>
      <w:bookmarkStart w:name="bookmark5" w:id="12"/>
      <w:bookmarkEnd w:id="12"/>
      <w:r>
        <w:rPr>
          <w:rFonts w:ascii="Times New Roman" w:hAnsi="Times New Roman" w:eastAsia="Times New Roman" w:cs="Times New Roman"/>
          <w:sz w:val="30"/>
          <w:szCs w:val="30"/>
          <w:b/>
          <w:bCs/>
          <w:spacing w:val="-3"/>
        </w:rPr>
        <w:t>1.3  </w:t>
      </w:r>
      <w:r>
        <w:rPr>
          <w:rFonts w:ascii="SimHei" w:hAnsi="SimHei" w:eastAsia="SimHei" w:cs="SimHei"/>
          <w:sz w:val="30"/>
          <w:szCs w:val="30"/>
          <w:b/>
          <w:bCs/>
          <w:spacing w:val="-3"/>
        </w:rPr>
        <w:t>关注的主要环境问题</w:t>
      </w:r>
    </w:p>
    <w:p>
      <w:pPr>
        <w:ind w:left="10" w:right="9" w:firstLine="480"/>
        <w:spacing w:before="163" w:line="340" w:lineRule="auto"/>
        <w:rPr>
          <w:rFonts w:ascii="SimSun" w:hAnsi="SimSun" w:eastAsia="SimSun" w:cs="SimSun"/>
          <w:sz w:val="24"/>
          <w:szCs w:val="24"/>
        </w:rPr>
      </w:pPr>
      <w:r>
        <w:rPr>
          <w:rFonts w:ascii="SimSun" w:hAnsi="SimSun" w:eastAsia="SimSun" w:cs="SimSun"/>
          <w:sz w:val="24"/>
          <w:szCs w:val="24"/>
          <w:spacing w:val="-2"/>
        </w:rPr>
        <w:t>本项目为改建项目，不涉及新增征地，主要工程变化内容为部分井工区开采范围调</w:t>
      </w:r>
      <w:r>
        <w:rPr>
          <w:rFonts w:ascii="SimSun" w:hAnsi="SimSun" w:eastAsia="SimSun" w:cs="SimSun"/>
          <w:sz w:val="24"/>
          <w:szCs w:val="24"/>
          <w:spacing w:val="-2"/>
        </w:rPr>
        <w:t>整为露天区域，井工区及露天区开拓开采方式均不发生变化。目前露天区外排土场已开</w:t>
      </w:r>
    </w:p>
    <w:p>
      <w:pPr>
        <w:spacing w:line="340" w:lineRule="auto"/>
        <w:sectPr>
          <w:headerReference w:type="default" r:id="rId31"/>
          <w:footerReference w:type="default" r:id="rId32"/>
          <w:pgSz w:w="11906" w:h="16838"/>
          <w:pgMar w:top="1170" w:right="1407" w:bottom="1080" w:left="1416" w:header="837" w:footer="918" w:gutter="0"/>
        </w:sectPr>
        <w:rPr>
          <w:rFonts w:ascii="SimSun" w:hAnsi="SimSun" w:eastAsia="SimSun" w:cs="SimSun"/>
          <w:sz w:val="24"/>
          <w:szCs w:val="24"/>
        </w:rPr>
      </w:pPr>
    </w:p>
    <w:p>
      <w:pPr>
        <w:pStyle w:val="BodyText"/>
        <w:spacing w:line="311" w:lineRule="auto"/>
        <w:rPr/>
      </w:pPr>
      <w:r/>
    </w:p>
    <w:p>
      <w:pPr>
        <w:ind w:left="9" w:right="186" w:firstLine="1"/>
        <w:spacing w:before="78" w:line="339" w:lineRule="auto"/>
        <w:rPr>
          <w:rFonts w:ascii="SimSun" w:hAnsi="SimSun" w:eastAsia="SimSun" w:cs="SimSun"/>
          <w:sz w:val="24"/>
          <w:szCs w:val="24"/>
        </w:rPr>
      </w:pPr>
      <w:r>
        <w:rPr>
          <w:rFonts w:ascii="SimSun" w:hAnsi="SimSun" w:eastAsia="SimSun" w:cs="SimSun"/>
          <w:sz w:val="24"/>
          <w:szCs w:val="24"/>
          <w:spacing w:val="-2"/>
        </w:rPr>
        <w:t>展生态恢复治理工程。本次改建工程重点关注白音华四号露天矿（露天区）开采范围增</w:t>
      </w:r>
      <w:r>
        <w:rPr>
          <w:rFonts w:ascii="SimSun" w:hAnsi="SimSun" w:eastAsia="SimSun" w:cs="SimSun"/>
          <w:sz w:val="24"/>
          <w:szCs w:val="24"/>
          <w:spacing w:val="-2"/>
        </w:rPr>
        <w:t>加对应的以下问题：</w:t>
      </w:r>
    </w:p>
    <w:p>
      <w:pPr>
        <w:ind w:left="8" w:right="193" w:firstLine="499"/>
        <w:spacing w:before="2" w:line="277" w:lineRule="auto"/>
        <w:rPr>
          <w:rFonts w:ascii="SimSun" w:hAnsi="SimSun" w:eastAsia="SimSun" w:cs="SimSun"/>
          <w:sz w:val="24"/>
          <w:szCs w:val="24"/>
        </w:rPr>
      </w:pP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25"/>
        </w:rPr>
        <w:t xml:space="preserve"> </w:t>
      </w:r>
      <w:r>
        <w:rPr>
          <w:rFonts w:ascii="SimSun" w:hAnsi="SimSun" w:eastAsia="SimSun" w:cs="SimSun"/>
          <w:sz w:val="24"/>
          <w:szCs w:val="24"/>
        </w:rPr>
        <w:t>、白音华四号露天矿（露天区）现有环保设施的建设及运行情况、运行效果及存</w:t>
      </w:r>
      <w:r>
        <w:rPr>
          <w:rFonts w:ascii="SimSun" w:hAnsi="SimSun" w:eastAsia="SimSun" w:cs="SimSun"/>
          <w:sz w:val="24"/>
          <w:szCs w:val="24"/>
          <w:spacing w:val="-1"/>
        </w:rPr>
        <w:t>在的问题，落实原项目环评报告书及批复文件的情况</w:t>
      </w:r>
      <w:r>
        <w:rPr>
          <w:rFonts w:ascii="SimSun" w:hAnsi="SimSun" w:eastAsia="SimSun" w:cs="SimSun"/>
          <w:sz w:val="24"/>
          <w:szCs w:val="24"/>
          <w:color w:val="4472C4"/>
          <w:spacing w:val="-1"/>
        </w:rPr>
        <w:t>。</w:t>
      </w:r>
    </w:p>
    <w:p>
      <w:pPr>
        <w:ind w:left="20" w:right="223" w:firstLine="464"/>
        <w:spacing w:before="157" w:line="279" w:lineRule="auto"/>
        <w:rPr>
          <w:rFonts w:ascii="SimSun" w:hAnsi="SimSun" w:eastAsia="SimSun" w:cs="SimSun"/>
          <w:sz w:val="24"/>
          <w:szCs w:val="24"/>
        </w:rPr>
      </w:pPr>
      <w:r>
        <w:rPr>
          <w:rFonts w:ascii="Times New Roman" w:hAnsi="Times New Roman" w:eastAsia="Times New Roman" w:cs="Times New Roman"/>
          <w:sz w:val="24"/>
          <w:szCs w:val="24"/>
          <w:color w:val="4472C4"/>
        </w:rPr>
        <w:t>2</w:t>
      </w:r>
      <w:r>
        <w:rPr>
          <w:rFonts w:ascii="Times New Roman" w:hAnsi="Times New Roman" w:eastAsia="Times New Roman" w:cs="Times New Roman"/>
          <w:sz w:val="24"/>
          <w:szCs w:val="24"/>
          <w:color w:val="4472C4"/>
          <w:spacing w:val="-29"/>
        </w:rPr>
        <w:t xml:space="preserve"> </w:t>
      </w:r>
      <w:r>
        <w:rPr>
          <w:rFonts w:ascii="SimSun" w:hAnsi="SimSun" w:eastAsia="SimSun" w:cs="SimSun"/>
          <w:sz w:val="24"/>
          <w:szCs w:val="24"/>
          <w:color w:val="4472C4"/>
        </w:rPr>
        <w:t>、</w:t>
      </w:r>
      <w:r>
        <w:rPr>
          <w:rFonts w:ascii="SimSun" w:hAnsi="SimSun" w:eastAsia="SimSun" w:cs="SimSun"/>
          <w:sz w:val="24"/>
          <w:szCs w:val="24"/>
        </w:rPr>
        <w:t>关注露天区采掘场、外排土场、地下水污染防治措施的有效性；露天区</w:t>
      </w:r>
      <w:r>
        <w:rPr>
          <w:rFonts w:ascii="SimSun" w:hAnsi="SimSun" w:eastAsia="SimSun" w:cs="SimSun"/>
          <w:sz w:val="24"/>
          <w:szCs w:val="24"/>
          <w:spacing w:val="-1"/>
        </w:rPr>
        <w:t>大气、</w:t>
      </w:r>
      <w:r>
        <w:rPr>
          <w:rFonts w:ascii="SimSun" w:hAnsi="SimSun" w:eastAsia="SimSun" w:cs="SimSun"/>
          <w:sz w:val="24"/>
          <w:szCs w:val="24"/>
          <w:spacing w:val="-1"/>
        </w:rPr>
        <w:t>噪声、污水及固体废弃物污染防治措施的可行性分析。</w:t>
      </w:r>
    </w:p>
    <w:p>
      <w:pPr>
        <w:ind w:left="489"/>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、关注调整后主要工程内容的变化情况。</w:t>
      </w:r>
    </w:p>
    <w:p>
      <w:pPr>
        <w:ind w:left="483"/>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、关注露天开采范围变化对生态破坏、大气、水环境影响及保护措施问题。</w:t>
      </w:r>
    </w:p>
    <w:p>
      <w:pPr>
        <w:ind w:left="19"/>
        <w:spacing w:before="231" w:line="222" w:lineRule="auto"/>
        <w:outlineLvl w:val="1"/>
        <w:rPr>
          <w:rFonts w:ascii="SimHei" w:hAnsi="SimHei" w:eastAsia="SimHei" w:cs="SimHei"/>
          <w:sz w:val="30"/>
          <w:szCs w:val="30"/>
        </w:rPr>
      </w:pPr>
      <w:bookmarkStart w:name="bookmark6" w:id="13"/>
      <w:bookmarkEnd w:id="13"/>
      <w:r>
        <w:rPr>
          <w:rFonts w:ascii="Times New Roman" w:hAnsi="Times New Roman" w:eastAsia="Times New Roman" w:cs="Times New Roman"/>
          <w:sz w:val="30"/>
          <w:szCs w:val="30"/>
          <w:b/>
          <w:bCs/>
          <w:spacing w:val="-3"/>
        </w:rPr>
        <w:t>1.4  </w:t>
      </w:r>
      <w:r>
        <w:rPr>
          <w:rFonts w:ascii="SimHei" w:hAnsi="SimHei" w:eastAsia="SimHei" w:cs="SimHei"/>
          <w:sz w:val="30"/>
          <w:szCs w:val="30"/>
          <w:b/>
          <w:bCs/>
          <w:spacing w:val="-3"/>
        </w:rPr>
        <w:t>分析判定相关情况</w:t>
      </w:r>
    </w:p>
    <w:p>
      <w:pPr>
        <w:ind w:left="10" w:right="101" w:firstLine="480"/>
        <w:spacing w:before="165" w:line="338" w:lineRule="auto"/>
        <w:jc w:val="both"/>
        <w:rPr>
          <w:rFonts w:ascii="SimSun" w:hAnsi="SimSun" w:eastAsia="SimSun" w:cs="SimSun"/>
          <w:sz w:val="24"/>
          <w:szCs w:val="24"/>
        </w:rPr>
      </w:pPr>
      <w:r>
        <w:rPr>
          <w:rFonts w:ascii="SimSun" w:hAnsi="SimSun" w:eastAsia="SimSun" w:cs="SimSun"/>
          <w:sz w:val="24"/>
          <w:szCs w:val="24"/>
          <w:spacing w:val="-6"/>
        </w:rPr>
        <w:t>本项目属于煤炭开采项目，四号露天矿（露天区）建设规模</w:t>
      </w:r>
      <w:r>
        <w:rPr>
          <w:rFonts w:ascii="Times New Roman" w:hAnsi="Times New Roman" w:eastAsia="Times New Roman" w:cs="Times New Roman"/>
          <w:sz w:val="24"/>
          <w:szCs w:val="24"/>
          <w:spacing w:val="-6"/>
        </w:rPr>
        <w:t>5.0Mt/a</w:t>
      </w:r>
      <w:r>
        <w:rPr>
          <w:rFonts w:ascii="SimSun" w:hAnsi="SimSun" w:eastAsia="SimSun" w:cs="SimSun"/>
          <w:sz w:val="24"/>
          <w:szCs w:val="24"/>
          <w:spacing w:val="-6"/>
        </w:rPr>
        <w:t>，原煤全部入</w:t>
      </w:r>
      <w:r>
        <w:rPr>
          <w:rFonts w:ascii="SimSun" w:hAnsi="SimSun" w:eastAsia="SimSun" w:cs="SimSun"/>
          <w:sz w:val="24"/>
          <w:szCs w:val="24"/>
          <w:spacing w:val="-7"/>
        </w:rPr>
        <w:t>选。</w:t>
      </w:r>
      <w:r>
        <w:rPr>
          <w:rFonts w:ascii="SimSun" w:hAnsi="SimSun" w:eastAsia="SimSun" w:cs="SimSun"/>
          <w:sz w:val="24"/>
          <w:szCs w:val="24"/>
          <w:spacing w:val="-1"/>
        </w:rPr>
        <w:t>符合《煤炭工业</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高质量发展指导意见》和《产业结构调整指导目录》（</w:t>
      </w:r>
      <w:r>
        <w:rPr>
          <w:rFonts w:ascii="Times New Roman" w:hAnsi="Times New Roman" w:eastAsia="Times New Roman" w:cs="Times New Roman"/>
          <w:sz w:val="24"/>
          <w:szCs w:val="24"/>
          <w:spacing w:val="-1"/>
        </w:rPr>
        <w:t>2024</w:t>
      </w:r>
      <w:r>
        <w:rPr>
          <w:rFonts w:ascii="SimSun" w:hAnsi="SimSun" w:eastAsia="SimSun" w:cs="SimSun"/>
          <w:sz w:val="24"/>
          <w:szCs w:val="24"/>
          <w:spacing w:val="-1"/>
        </w:rPr>
        <w:t>年</w:t>
      </w:r>
      <w:r>
        <w:rPr>
          <w:rFonts w:ascii="SimSun" w:hAnsi="SimSun" w:eastAsia="SimSun" w:cs="SimSun"/>
          <w:sz w:val="24"/>
          <w:szCs w:val="24"/>
          <w:spacing w:val="-2"/>
        </w:rPr>
        <w:t>本）政策要求。</w:t>
      </w:r>
    </w:p>
    <w:p>
      <w:pPr>
        <w:ind w:left="8" w:firstLine="480"/>
        <w:spacing w:line="339" w:lineRule="auto"/>
        <w:jc w:val="both"/>
        <w:rPr>
          <w:rFonts w:ascii="SimSun" w:hAnsi="SimSun" w:eastAsia="SimSun" w:cs="SimSun"/>
          <w:sz w:val="24"/>
          <w:szCs w:val="24"/>
        </w:rPr>
      </w:pPr>
      <w:r>
        <w:rPr>
          <w:rFonts w:ascii="SimSun" w:hAnsi="SimSun" w:eastAsia="SimSun" w:cs="SimSun"/>
          <w:sz w:val="24"/>
          <w:szCs w:val="24"/>
          <w:spacing w:val="-4"/>
        </w:rPr>
        <w:t>根据</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2024 </w:t>
      </w:r>
      <w:r>
        <w:rPr>
          <w:rFonts w:ascii="SimSun" w:hAnsi="SimSun" w:eastAsia="SimSun" w:cs="SimSun"/>
          <w:sz w:val="24"/>
          <w:szCs w:val="24"/>
          <w:spacing w:val="-4"/>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日西乌珠穆沁旗自然资源局相关复函，该项目位于西乌旗巴彦</w:t>
      </w:r>
      <w:r>
        <w:rPr>
          <w:rFonts w:ascii="SimSun" w:hAnsi="SimSun" w:eastAsia="SimSun" w:cs="SimSun"/>
          <w:sz w:val="24"/>
          <w:szCs w:val="24"/>
          <w:spacing w:val="-2"/>
        </w:rPr>
        <w:t>花镇境内，与最新调整的“三区三线</w:t>
      </w:r>
      <w:r>
        <w:rPr>
          <w:rFonts w:ascii="SimSun" w:hAnsi="SimSun" w:eastAsia="SimSun" w:cs="SimSun"/>
          <w:sz w:val="24"/>
          <w:szCs w:val="24"/>
          <w:spacing w:val="-88"/>
        </w:rPr>
        <w:t xml:space="preserve"> </w:t>
      </w:r>
      <w:r>
        <w:rPr>
          <w:rFonts w:ascii="SimSun" w:hAnsi="SimSun" w:eastAsia="SimSun" w:cs="SimSun"/>
          <w:sz w:val="24"/>
          <w:szCs w:val="24"/>
          <w:spacing w:val="-2"/>
        </w:rPr>
        <w:t>”范围进行套合，</w:t>
      </w:r>
      <w:r>
        <w:rPr>
          <w:rFonts w:ascii="SimSun" w:hAnsi="SimSun" w:eastAsia="SimSun" w:cs="SimSun"/>
          <w:sz w:val="24"/>
          <w:szCs w:val="24"/>
          <w:spacing w:val="-3"/>
        </w:rPr>
        <w:t>确认矿区范围不在西乌旗生态保</w:t>
      </w:r>
      <w:r>
        <w:rPr>
          <w:rFonts w:ascii="SimSun" w:hAnsi="SimSun" w:eastAsia="SimSun" w:cs="SimSun"/>
          <w:sz w:val="24"/>
          <w:szCs w:val="24"/>
          <w:spacing w:val="-2"/>
        </w:rPr>
        <w:t>护红线范围内、不在城镇开发边界内、不占用耕地。本项目井田范围涉及重点管控单元</w:t>
      </w:r>
      <w:r>
        <w:rPr>
          <w:rFonts w:ascii="SimSun" w:hAnsi="SimSun" w:eastAsia="SimSun" w:cs="SimSun"/>
          <w:sz w:val="24"/>
          <w:szCs w:val="24"/>
          <w:spacing w:val="-1"/>
        </w:rPr>
        <w:t>一个（西乌珠穆沁旗采矿用地</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1"/>
        </w:rPr>
        <w:t>ZH152526</w:t>
      </w:r>
      <w:r>
        <w:rPr>
          <w:rFonts w:ascii="Times New Roman" w:hAnsi="Times New Roman" w:eastAsia="Times New Roman" w:cs="Times New Roman"/>
          <w:sz w:val="24"/>
          <w:szCs w:val="24"/>
          <w:spacing w:val="-2"/>
        </w:rPr>
        <w:t>20002</w:t>
      </w:r>
      <w:r>
        <w:rPr>
          <w:rFonts w:ascii="SimSun" w:hAnsi="SimSun" w:eastAsia="SimSun" w:cs="SimSun"/>
          <w:sz w:val="24"/>
          <w:szCs w:val="24"/>
          <w:spacing w:val="-9"/>
        </w:rPr>
        <w:t>），</w:t>
      </w:r>
      <w:r>
        <w:rPr>
          <w:rFonts w:ascii="SimSun" w:hAnsi="SimSun" w:eastAsia="SimSun" w:cs="SimSun"/>
          <w:sz w:val="24"/>
          <w:szCs w:val="24"/>
          <w:spacing w:val="-2"/>
        </w:rPr>
        <w:t>一般管控单元一个（西乌珠穆沁旗一</w:t>
      </w:r>
      <w:r>
        <w:rPr>
          <w:rFonts w:ascii="SimSun" w:hAnsi="SimSun" w:eastAsia="SimSun" w:cs="SimSun"/>
          <w:sz w:val="24"/>
          <w:szCs w:val="24"/>
          <w:spacing w:val="-2"/>
        </w:rPr>
        <w:t>般管控单元</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ZH15252630001</w:t>
      </w:r>
      <w:r>
        <w:rPr>
          <w:rFonts w:ascii="SimSun" w:hAnsi="SimSun" w:eastAsia="SimSun" w:cs="SimSun"/>
          <w:sz w:val="24"/>
          <w:szCs w:val="24"/>
          <w:spacing w:val="-2"/>
        </w:rPr>
        <w:t>）。本项目与管控单元对应管控要求相符。项目土地资源及</w:t>
      </w:r>
      <w:r>
        <w:rPr>
          <w:rFonts w:ascii="SimSun" w:hAnsi="SimSun" w:eastAsia="SimSun" w:cs="SimSun"/>
          <w:sz w:val="24"/>
          <w:szCs w:val="24"/>
          <w:spacing w:val="-3"/>
        </w:rPr>
        <w:t>水资源利用均符合相关控制指标要求。在采取设计和环评提出的严格的污染防治措施后，</w:t>
      </w:r>
      <w:r>
        <w:rPr>
          <w:rFonts w:ascii="SimSun" w:hAnsi="SimSun" w:eastAsia="SimSun" w:cs="SimSun"/>
          <w:sz w:val="24"/>
          <w:szCs w:val="24"/>
          <w:spacing w:val="-8"/>
        </w:rPr>
        <w:t>项目实施对项目区环境质量影响不大，可以满足项目区环境质量管控要求。项目符合《锡</w:t>
      </w:r>
      <w:r>
        <w:rPr>
          <w:rFonts w:ascii="SimSun" w:hAnsi="SimSun" w:eastAsia="SimSun" w:cs="SimSun"/>
          <w:sz w:val="24"/>
          <w:szCs w:val="24"/>
          <w:spacing w:val="2"/>
        </w:rPr>
        <w:t>林郭勒盟生态环境准入清单》。白音华四号露天矿优化调整开采范围符合“三线一单</w:t>
      </w:r>
      <w:r>
        <w:rPr>
          <w:rFonts w:ascii="SimSun" w:hAnsi="SimSun" w:eastAsia="SimSun" w:cs="SimSun"/>
          <w:sz w:val="24"/>
          <w:szCs w:val="24"/>
          <w:spacing w:val="-86"/>
        </w:rPr>
        <w:t xml:space="preserve"> </w:t>
      </w:r>
      <w:r>
        <w:rPr>
          <w:rFonts w:ascii="SimSun" w:hAnsi="SimSun" w:eastAsia="SimSun" w:cs="SimSun"/>
          <w:sz w:val="24"/>
          <w:szCs w:val="24"/>
          <w:spacing w:val="2"/>
        </w:rPr>
        <w:t>”</w:t>
      </w:r>
      <w:r>
        <w:rPr>
          <w:rFonts w:ascii="SimSun" w:hAnsi="SimSun" w:eastAsia="SimSun" w:cs="SimSun"/>
          <w:sz w:val="24"/>
          <w:szCs w:val="24"/>
          <w:spacing w:val="-2"/>
        </w:rPr>
        <w:t>管控要求。</w:t>
      </w:r>
    </w:p>
    <w:p>
      <w:pPr>
        <w:ind w:left="19"/>
        <w:spacing w:before="69" w:line="222" w:lineRule="auto"/>
        <w:outlineLvl w:val="1"/>
        <w:rPr>
          <w:rFonts w:ascii="SimHei" w:hAnsi="SimHei" w:eastAsia="SimHei" w:cs="SimHei"/>
          <w:sz w:val="30"/>
          <w:szCs w:val="30"/>
        </w:rPr>
      </w:pPr>
      <w:bookmarkStart w:name="bookmark7" w:id="14"/>
      <w:bookmarkEnd w:id="14"/>
      <w:r>
        <w:rPr>
          <w:rFonts w:ascii="Times New Roman" w:hAnsi="Times New Roman" w:eastAsia="Times New Roman" w:cs="Times New Roman"/>
          <w:sz w:val="30"/>
          <w:szCs w:val="30"/>
          <w:b/>
          <w:bCs/>
          <w:spacing w:val="-3"/>
        </w:rPr>
        <w:t>1.5  </w:t>
      </w:r>
      <w:r>
        <w:rPr>
          <w:rFonts w:ascii="SimHei" w:hAnsi="SimHei" w:eastAsia="SimHei" w:cs="SimHei"/>
          <w:sz w:val="30"/>
          <w:szCs w:val="30"/>
          <w:b/>
          <w:bCs/>
          <w:spacing w:val="-3"/>
        </w:rPr>
        <w:t>环境影响评价的主要结论</w:t>
      </w:r>
    </w:p>
    <w:p>
      <w:pPr>
        <w:ind w:left="9" w:right="186" w:firstLine="480"/>
        <w:spacing w:before="163" w:line="340" w:lineRule="auto"/>
        <w:jc w:val="both"/>
        <w:rPr>
          <w:rFonts w:ascii="SimSun" w:hAnsi="SimSun" w:eastAsia="SimSun" w:cs="SimSun"/>
          <w:sz w:val="24"/>
          <w:szCs w:val="24"/>
        </w:rPr>
      </w:pPr>
      <w:r>
        <w:rPr>
          <w:rFonts w:ascii="SimSun" w:hAnsi="SimSun" w:eastAsia="SimSun" w:cs="SimSun"/>
          <w:sz w:val="24"/>
          <w:szCs w:val="24"/>
          <w:spacing w:val="-3"/>
        </w:rPr>
        <w:t>本项目符合《产业结构调整指导名录》（</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年本）中的要求；项目选址合</w:t>
      </w:r>
      <w:r>
        <w:rPr>
          <w:rFonts w:ascii="SimSun" w:hAnsi="SimSun" w:eastAsia="SimSun" w:cs="SimSun"/>
          <w:sz w:val="24"/>
          <w:szCs w:val="24"/>
          <w:spacing w:val="-4"/>
        </w:rPr>
        <w:t>理；当</w:t>
      </w:r>
      <w:r>
        <w:rPr>
          <w:rFonts w:ascii="SimSun" w:hAnsi="SimSun" w:eastAsia="SimSun" w:cs="SimSun"/>
          <w:sz w:val="24"/>
          <w:szCs w:val="24"/>
          <w:spacing w:val="-2"/>
        </w:rPr>
        <w:t>地环境质量现状较好；项目建设满足国家关于“环境质量底线、资源消耗上限、生态保</w:t>
      </w:r>
      <w:r>
        <w:rPr>
          <w:rFonts w:ascii="SimSun" w:hAnsi="SimSun" w:eastAsia="SimSun" w:cs="SimSun"/>
          <w:sz w:val="24"/>
          <w:szCs w:val="24"/>
          <w:spacing w:val="-2"/>
        </w:rPr>
        <w:t>护红线和环境生态准入清单</w:t>
      </w:r>
      <w:r>
        <w:rPr>
          <w:rFonts w:ascii="SimSun" w:hAnsi="SimSun" w:eastAsia="SimSun" w:cs="SimSun"/>
          <w:sz w:val="24"/>
          <w:szCs w:val="24"/>
          <w:spacing w:val="-88"/>
        </w:rPr>
        <w:t xml:space="preserve"> </w:t>
      </w:r>
      <w:r>
        <w:rPr>
          <w:rFonts w:ascii="SimSun" w:hAnsi="SimSun" w:eastAsia="SimSun" w:cs="SimSun"/>
          <w:sz w:val="24"/>
          <w:szCs w:val="24"/>
          <w:spacing w:val="-2"/>
        </w:rPr>
        <w:t>”相关要求。本项目在严</w:t>
      </w:r>
      <w:r>
        <w:rPr>
          <w:rFonts w:ascii="SimSun" w:hAnsi="SimSun" w:eastAsia="SimSun" w:cs="SimSun"/>
          <w:sz w:val="24"/>
          <w:szCs w:val="24"/>
          <w:spacing w:val="-3"/>
        </w:rPr>
        <w:t>格环境管理，认真落实本报告提出</w:t>
      </w:r>
      <w:r>
        <w:rPr>
          <w:rFonts w:ascii="SimSun" w:hAnsi="SimSun" w:eastAsia="SimSun" w:cs="SimSun"/>
          <w:sz w:val="24"/>
          <w:szCs w:val="24"/>
          <w:spacing w:val="-1"/>
        </w:rPr>
        <w:t>的污染防治和生态保护措施的前提下，项目建设可行。</w:t>
      </w:r>
    </w:p>
    <w:p>
      <w:pPr>
        <w:spacing w:line="340" w:lineRule="auto"/>
        <w:sectPr>
          <w:headerReference w:type="default" r:id="rId34"/>
          <w:footerReference w:type="default" r:id="rId35"/>
          <w:pgSz w:w="11906" w:h="16838"/>
          <w:pgMar w:top="1170" w:right="1231" w:bottom="1077" w:left="1416" w:header="837" w:footer="918" w:gutter="0"/>
        </w:sectPr>
        <w:rPr>
          <w:rFonts w:ascii="SimSun" w:hAnsi="SimSun" w:eastAsia="SimSun" w:cs="SimSun"/>
          <w:sz w:val="24"/>
          <w:szCs w:val="24"/>
        </w:rPr>
      </w:pPr>
    </w:p>
    <w:p>
      <w:pPr>
        <w:pStyle w:val="BodyText"/>
        <w:spacing w:line="268" w:lineRule="auto"/>
        <w:rPr/>
      </w:pPr>
      <w:r/>
    </w:p>
    <w:p>
      <w:pPr>
        <w:pStyle w:val="BodyText"/>
        <w:spacing w:line="269" w:lineRule="auto"/>
        <w:rPr/>
      </w:pPr>
      <w:r/>
    </w:p>
    <w:p>
      <w:pPr>
        <w:ind w:left="4049"/>
        <w:spacing w:before="117" w:line="222" w:lineRule="auto"/>
        <w:outlineLvl w:val="0"/>
        <w:rPr>
          <w:rFonts w:ascii="SimHei" w:hAnsi="SimHei" w:eastAsia="SimHei" w:cs="SimHei"/>
          <w:sz w:val="36"/>
          <w:szCs w:val="36"/>
        </w:rPr>
      </w:pPr>
      <w:bookmarkStart w:name="bookmark8" w:id="15"/>
      <w:bookmarkEnd w:id="15"/>
      <w:r>
        <w:rPr>
          <w:rFonts w:ascii="Times New Roman" w:hAnsi="Times New Roman" w:eastAsia="Times New Roman" w:cs="Times New Roman"/>
          <w:sz w:val="36"/>
          <w:szCs w:val="36"/>
          <w:spacing w:val="-10"/>
        </w:rPr>
        <w:t>2</w:t>
      </w:r>
      <w:r>
        <w:rPr>
          <w:rFonts w:ascii="Times New Roman" w:hAnsi="Times New Roman" w:eastAsia="Times New Roman" w:cs="Times New Roman"/>
          <w:sz w:val="36"/>
          <w:szCs w:val="36"/>
          <w:spacing w:val="22"/>
        </w:rPr>
        <w:t xml:space="preserve"> </w:t>
      </w:r>
      <w:r>
        <w:rPr>
          <w:rFonts w:ascii="SimHei" w:hAnsi="SimHei" w:eastAsia="SimHei" w:cs="SimHei"/>
          <w:sz w:val="36"/>
          <w:szCs w:val="36"/>
          <w:spacing w:val="-10"/>
        </w:rPr>
        <w:t>总则</w:t>
      </w:r>
    </w:p>
    <w:p>
      <w:pPr>
        <w:pStyle w:val="BodyText"/>
        <w:spacing w:line="457" w:lineRule="auto"/>
        <w:rPr/>
      </w:pPr>
      <w:r/>
    </w:p>
    <w:p>
      <w:pPr>
        <w:ind w:left="7"/>
        <w:spacing w:before="97" w:line="221" w:lineRule="auto"/>
        <w:outlineLvl w:val="1"/>
        <w:rPr>
          <w:rFonts w:ascii="SimHei" w:hAnsi="SimHei" w:eastAsia="SimHei" w:cs="SimHei"/>
          <w:sz w:val="30"/>
          <w:szCs w:val="30"/>
        </w:rPr>
      </w:pPr>
      <w:bookmarkStart w:name="bookmark80" w:id="16"/>
      <w:bookmarkEnd w:id="16"/>
      <w:bookmarkStart w:name="bookmark9" w:id="17"/>
      <w:bookmarkEnd w:id="17"/>
      <w:r>
        <w:rPr>
          <w:rFonts w:ascii="Times New Roman" w:hAnsi="Times New Roman" w:eastAsia="Times New Roman" w:cs="Times New Roman"/>
          <w:sz w:val="30"/>
          <w:szCs w:val="30"/>
          <w:b/>
          <w:bCs/>
          <w:spacing w:val="-2"/>
        </w:rPr>
        <w:t>2.1  </w:t>
      </w:r>
      <w:r>
        <w:rPr>
          <w:rFonts w:ascii="SimHei" w:hAnsi="SimHei" w:eastAsia="SimHei" w:cs="SimHei"/>
          <w:sz w:val="30"/>
          <w:szCs w:val="30"/>
          <w:b/>
          <w:bCs/>
          <w:spacing w:val="-2"/>
        </w:rPr>
        <w:t>编制法规</w:t>
      </w:r>
    </w:p>
    <w:p>
      <w:pPr>
        <w:ind w:left="6"/>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2.1.1  </w:t>
      </w:r>
      <w:r>
        <w:rPr>
          <w:rFonts w:ascii="SimHei" w:hAnsi="SimHei" w:eastAsia="SimHei" w:cs="SimHei"/>
          <w:sz w:val="28"/>
          <w:szCs w:val="28"/>
          <w:b/>
          <w:bCs/>
          <w:spacing w:val="-2"/>
        </w:rPr>
        <w:t>法律法规、产业政策及相关规划</w:t>
      </w:r>
    </w:p>
    <w:p>
      <w:pPr>
        <w:ind w:left="495"/>
        <w:spacing w:before="171"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SimSun" w:hAnsi="SimSun" w:eastAsia="SimSun" w:cs="SimSun"/>
          <w:sz w:val="24"/>
          <w:szCs w:val="24"/>
          <w:spacing w:val="-4"/>
        </w:rPr>
        <w:t>）《中华人民共和国环境保护法》，</w:t>
      </w:r>
      <w:r>
        <w:rPr>
          <w:rFonts w:ascii="Times New Roman" w:hAnsi="Times New Roman" w:eastAsia="Times New Roman" w:cs="Times New Roman"/>
          <w:sz w:val="24"/>
          <w:szCs w:val="24"/>
          <w:spacing w:val="-4"/>
        </w:rPr>
        <w:t>201</w:t>
      </w:r>
      <w:r>
        <w:rPr>
          <w:rFonts w:ascii="Times New Roman" w:hAnsi="Times New Roman" w:eastAsia="Times New Roman" w:cs="Times New Roman"/>
          <w:sz w:val="24"/>
          <w:szCs w:val="24"/>
          <w:spacing w:val="-5"/>
        </w:rPr>
        <w:t>5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日起施行；</w:t>
      </w:r>
    </w:p>
    <w:p>
      <w:pPr>
        <w:ind w:left="495"/>
        <w:spacing w:before="154"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）《中华人民共和国环境影响评价法》，</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4"/>
        </w:rPr>
        <w:t>18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29  </w:t>
      </w:r>
      <w:r>
        <w:rPr>
          <w:rFonts w:ascii="SimSun" w:hAnsi="SimSun" w:eastAsia="SimSun" w:cs="SimSun"/>
          <w:sz w:val="24"/>
          <w:szCs w:val="24"/>
          <w:spacing w:val="-4"/>
        </w:rPr>
        <w:t>日修订；</w:t>
      </w:r>
    </w:p>
    <w:p>
      <w:pPr>
        <w:ind w:left="495"/>
        <w:spacing w:before="159"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）《中华人民共和国大气污染防治法》，</w:t>
      </w:r>
      <w:r>
        <w:rPr>
          <w:rFonts w:ascii="Times New Roman" w:hAnsi="Times New Roman" w:eastAsia="Times New Roman" w:cs="Times New Roman"/>
          <w:sz w:val="24"/>
          <w:szCs w:val="24"/>
          <w:spacing w:val="-3"/>
        </w:rPr>
        <w:t>2018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4"/>
        </w:rPr>
        <w:t>6  </w:t>
      </w:r>
      <w:r>
        <w:rPr>
          <w:rFonts w:ascii="SimSun" w:hAnsi="SimSun" w:eastAsia="SimSun" w:cs="SimSun"/>
          <w:sz w:val="24"/>
          <w:szCs w:val="24"/>
          <w:spacing w:val="-4"/>
        </w:rPr>
        <w:t>日修订实施；</w:t>
      </w:r>
    </w:p>
    <w:p>
      <w:pPr>
        <w:ind w:left="495"/>
        <w:spacing w:before="15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4</w:t>
      </w:r>
      <w:r>
        <w:rPr>
          <w:rFonts w:ascii="SimSun" w:hAnsi="SimSun" w:eastAsia="SimSun" w:cs="SimSun"/>
          <w:sz w:val="24"/>
          <w:szCs w:val="24"/>
          <w:spacing w:val="-4"/>
        </w:rPr>
        <w:t>）《中华人民共和国水污染防治法》，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日起施行；</w:t>
      </w:r>
    </w:p>
    <w:p>
      <w:pPr>
        <w:ind w:left="495"/>
        <w:spacing w:before="15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）《中华人民共和国固体废物污染环境防治法》，</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4"/>
        </w:rPr>
        <w:t>20 </w:t>
      </w:r>
      <w:r>
        <w:rPr>
          <w:rFonts w:ascii="SimSun" w:hAnsi="SimSun" w:eastAsia="SimSun" w:cs="SimSun"/>
          <w:sz w:val="24"/>
          <w:szCs w:val="24"/>
          <w:spacing w:val="-4"/>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日实施；</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）《中华人民共和国噪声污染防治法》，</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日实施；</w:t>
      </w:r>
    </w:p>
    <w:p>
      <w:pPr>
        <w:ind w:left="495"/>
        <w:spacing w:before="15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7</w:t>
      </w:r>
      <w:r>
        <w:rPr>
          <w:rFonts w:ascii="SimSun" w:hAnsi="SimSun" w:eastAsia="SimSun" w:cs="SimSun"/>
          <w:sz w:val="24"/>
          <w:szCs w:val="24"/>
          <w:spacing w:val="-4"/>
        </w:rPr>
        <w:t>）《中华人民共和国土壤污染防治法》，</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5"/>
        </w:rPr>
        <w:t>日起实施；</w:t>
      </w:r>
    </w:p>
    <w:p>
      <w:pPr>
        <w:ind w:left="495"/>
        <w:spacing w:before="15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8</w:t>
      </w:r>
      <w:r>
        <w:rPr>
          <w:rFonts w:ascii="SimSun" w:hAnsi="SimSun" w:eastAsia="SimSun" w:cs="SimSun"/>
          <w:sz w:val="24"/>
          <w:szCs w:val="24"/>
          <w:spacing w:val="-3"/>
        </w:rPr>
        <w:t>）《中华人民共和国水法》，</w:t>
      </w:r>
      <w:r>
        <w:rPr>
          <w:rFonts w:ascii="Times New Roman" w:hAnsi="Times New Roman" w:eastAsia="Times New Roman" w:cs="Times New Roman"/>
          <w:sz w:val="24"/>
          <w:szCs w:val="24"/>
          <w:spacing w:val="-3"/>
        </w:rPr>
        <w:t>2016 </w:t>
      </w:r>
      <w:r>
        <w:rPr>
          <w:rFonts w:ascii="SimSun" w:hAnsi="SimSun" w:eastAsia="SimSun" w:cs="SimSun"/>
          <w:sz w:val="24"/>
          <w:szCs w:val="24"/>
          <w:spacing w:val="-3"/>
        </w:rPr>
        <w:t>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  </w:t>
      </w:r>
      <w:r>
        <w:rPr>
          <w:rFonts w:ascii="SimSun" w:hAnsi="SimSun" w:eastAsia="SimSun" w:cs="SimSun"/>
          <w:sz w:val="24"/>
          <w:szCs w:val="24"/>
          <w:spacing w:val="-4"/>
        </w:rPr>
        <w:t>日修订施行；</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9</w:t>
      </w:r>
      <w:r>
        <w:rPr>
          <w:rFonts w:ascii="SimSun" w:hAnsi="SimSun" w:eastAsia="SimSun" w:cs="SimSun"/>
          <w:sz w:val="24"/>
          <w:szCs w:val="24"/>
          <w:spacing w:val="-3"/>
        </w:rPr>
        <w:t>）《中华人民共和国防沙治沙法》，</w:t>
      </w:r>
      <w:r>
        <w:rPr>
          <w:rFonts w:ascii="Times New Roman" w:hAnsi="Times New Roman" w:eastAsia="Times New Roman" w:cs="Times New Roman"/>
          <w:sz w:val="24"/>
          <w:szCs w:val="24"/>
          <w:spacing w:val="-3"/>
        </w:rPr>
        <w:t>2018</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日修订实施；</w:t>
      </w:r>
    </w:p>
    <w:p>
      <w:pPr>
        <w:ind w:left="495"/>
        <w:spacing w:before="15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10</w:t>
      </w:r>
      <w:r>
        <w:rPr>
          <w:rFonts w:ascii="SimSun" w:hAnsi="SimSun" w:eastAsia="SimSun" w:cs="SimSun"/>
          <w:sz w:val="24"/>
          <w:szCs w:val="24"/>
          <w:spacing w:val="-4"/>
        </w:rPr>
        <w:t>）《中华人民共和国野生动物保护法》，</w:t>
      </w:r>
      <w:r>
        <w:rPr>
          <w:rFonts w:ascii="Times New Roman" w:hAnsi="Times New Roman" w:eastAsia="Times New Roman" w:cs="Times New Roman"/>
          <w:sz w:val="24"/>
          <w:szCs w:val="24"/>
          <w:spacing w:val="-4"/>
        </w:rPr>
        <w:t>2023 </w:t>
      </w:r>
      <w:r>
        <w:rPr>
          <w:rFonts w:ascii="SimSun" w:hAnsi="SimSun" w:eastAsia="SimSun" w:cs="SimSun"/>
          <w:sz w:val="24"/>
          <w:szCs w:val="24"/>
          <w:spacing w:val="-4"/>
        </w:rPr>
        <w:t>年</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日起施行；</w:t>
      </w:r>
    </w:p>
    <w:p>
      <w:pPr>
        <w:ind w:left="495"/>
        <w:spacing w:before="15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11</w:t>
      </w:r>
      <w:r>
        <w:rPr>
          <w:rFonts w:ascii="SimSun" w:hAnsi="SimSun" w:eastAsia="SimSun" w:cs="SimSun"/>
          <w:sz w:val="24"/>
          <w:szCs w:val="24"/>
          <w:spacing w:val="-3"/>
        </w:rPr>
        <w:t>）《中华人民共和国土地管理法》，</w:t>
      </w:r>
      <w:r>
        <w:rPr>
          <w:rFonts w:ascii="Times New Roman" w:hAnsi="Times New Roman" w:eastAsia="Times New Roman" w:cs="Times New Roman"/>
          <w:sz w:val="24"/>
          <w:szCs w:val="24"/>
          <w:spacing w:val="-3"/>
        </w:rPr>
        <w:t>2019 </w:t>
      </w:r>
      <w:r>
        <w:rPr>
          <w:rFonts w:ascii="SimSun" w:hAnsi="SimSun" w:eastAsia="SimSun" w:cs="SimSun"/>
          <w:sz w:val="24"/>
          <w:szCs w:val="24"/>
          <w:spacing w:val="-3"/>
        </w:rPr>
        <w:t>年</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26  </w:t>
      </w:r>
      <w:r>
        <w:rPr>
          <w:rFonts w:ascii="SimSun" w:hAnsi="SimSun" w:eastAsia="SimSun" w:cs="SimSun"/>
          <w:sz w:val="24"/>
          <w:szCs w:val="24"/>
          <w:spacing w:val="-3"/>
        </w:rPr>
        <w:t>日修</w:t>
      </w:r>
      <w:r>
        <w:rPr>
          <w:rFonts w:ascii="SimSun" w:hAnsi="SimSun" w:eastAsia="SimSun" w:cs="SimSun"/>
          <w:sz w:val="24"/>
          <w:szCs w:val="24"/>
          <w:spacing w:val="-4"/>
        </w:rPr>
        <w:t>订并实施；</w:t>
      </w:r>
    </w:p>
    <w:p>
      <w:pPr>
        <w:ind w:left="495"/>
        <w:spacing w:before="157"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12</w:t>
      </w:r>
      <w:r>
        <w:rPr>
          <w:rFonts w:ascii="SimSun" w:hAnsi="SimSun" w:eastAsia="SimSun" w:cs="SimSun"/>
          <w:sz w:val="24"/>
          <w:szCs w:val="24"/>
          <w:spacing w:val="-4"/>
        </w:rPr>
        <w:t>）《中华人民共和国水土保持法》，</w:t>
      </w:r>
      <w:r>
        <w:rPr>
          <w:rFonts w:ascii="Times New Roman" w:hAnsi="Times New Roman" w:eastAsia="Times New Roman" w:cs="Times New Roman"/>
          <w:sz w:val="24"/>
          <w:szCs w:val="24"/>
          <w:spacing w:val="-4"/>
        </w:rPr>
        <w:t>2011 </w:t>
      </w:r>
      <w:r>
        <w:rPr>
          <w:rFonts w:ascii="SimSun" w:hAnsi="SimSun" w:eastAsia="SimSun" w:cs="SimSun"/>
          <w:sz w:val="24"/>
          <w:szCs w:val="24"/>
          <w:spacing w:val="-4"/>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日修</w:t>
      </w:r>
      <w:r>
        <w:rPr>
          <w:rFonts w:ascii="SimSun" w:hAnsi="SimSun" w:eastAsia="SimSun" w:cs="SimSun"/>
          <w:sz w:val="24"/>
          <w:szCs w:val="24"/>
          <w:spacing w:val="-5"/>
        </w:rPr>
        <w:t>订；</w:t>
      </w:r>
    </w:p>
    <w:p>
      <w:pPr>
        <w:ind w:left="495"/>
        <w:spacing w:before="154"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13</w:t>
      </w:r>
      <w:r>
        <w:rPr>
          <w:rFonts w:ascii="SimSun" w:hAnsi="SimSun" w:eastAsia="SimSun" w:cs="SimSun"/>
          <w:sz w:val="24"/>
          <w:szCs w:val="24"/>
          <w:spacing w:val="-4"/>
        </w:rPr>
        <w:t>）《中华人民共和国节约能源法》，</w:t>
      </w:r>
      <w:r>
        <w:rPr>
          <w:rFonts w:ascii="Times New Roman" w:hAnsi="Times New Roman" w:eastAsia="Times New Roman" w:cs="Times New Roman"/>
          <w:sz w:val="24"/>
          <w:szCs w:val="24"/>
          <w:spacing w:val="-4"/>
        </w:rPr>
        <w:t>2018 </w:t>
      </w:r>
      <w:r>
        <w:rPr>
          <w:rFonts w:ascii="SimSun" w:hAnsi="SimSun" w:eastAsia="SimSun" w:cs="SimSun"/>
          <w:sz w:val="24"/>
          <w:szCs w:val="24"/>
          <w:spacing w:val="-4"/>
        </w:rPr>
        <w:t>年</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26  </w:t>
      </w:r>
      <w:r>
        <w:rPr>
          <w:rFonts w:ascii="SimSun" w:hAnsi="SimSun" w:eastAsia="SimSun" w:cs="SimSun"/>
          <w:sz w:val="24"/>
          <w:szCs w:val="24"/>
          <w:spacing w:val="-4"/>
        </w:rPr>
        <w:t>日修订；</w:t>
      </w:r>
    </w:p>
    <w:p>
      <w:pPr>
        <w:ind w:left="495"/>
        <w:spacing w:before="155"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14</w:t>
      </w:r>
      <w:r>
        <w:rPr>
          <w:rFonts w:ascii="SimSun" w:hAnsi="SimSun" w:eastAsia="SimSun" w:cs="SimSun"/>
          <w:sz w:val="24"/>
          <w:szCs w:val="24"/>
          <w:spacing w:val="-4"/>
        </w:rPr>
        <w:t>）《中华人民共和国矿产资源法》，</w:t>
      </w:r>
      <w:r>
        <w:rPr>
          <w:rFonts w:ascii="Times New Roman" w:hAnsi="Times New Roman" w:eastAsia="Times New Roman" w:cs="Times New Roman"/>
          <w:sz w:val="24"/>
          <w:szCs w:val="24"/>
          <w:spacing w:val="-4"/>
        </w:rPr>
        <w:t>2024 </w:t>
      </w:r>
      <w:r>
        <w:rPr>
          <w:rFonts w:ascii="SimSun" w:hAnsi="SimSun" w:eastAsia="SimSun" w:cs="SimSun"/>
          <w:sz w:val="24"/>
          <w:szCs w:val="24"/>
          <w:spacing w:val="-4"/>
        </w:rPr>
        <w:t>年</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4"/>
        </w:rPr>
        <w:t>11 </w:t>
      </w:r>
      <w:r>
        <w:rPr>
          <w:rFonts w:ascii="SimSun" w:hAnsi="SimSun" w:eastAsia="SimSun" w:cs="SimSun"/>
          <w:sz w:val="24"/>
          <w:szCs w:val="24"/>
          <w:spacing w:val="-4"/>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8  </w:t>
      </w:r>
      <w:r>
        <w:rPr>
          <w:rFonts w:ascii="SimSun" w:hAnsi="SimSun" w:eastAsia="SimSun" w:cs="SimSun"/>
          <w:sz w:val="24"/>
          <w:szCs w:val="24"/>
          <w:spacing w:val="-4"/>
        </w:rPr>
        <w:t>日修订；</w:t>
      </w:r>
    </w:p>
    <w:p>
      <w:pPr>
        <w:ind w:left="495"/>
        <w:spacing w:before="157"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15</w:t>
      </w:r>
      <w:r>
        <w:rPr>
          <w:rFonts w:ascii="SimSun" w:hAnsi="SimSun" w:eastAsia="SimSun" w:cs="SimSun"/>
          <w:sz w:val="24"/>
          <w:szCs w:val="24"/>
          <w:spacing w:val="-4"/>
        </w:rPr>
        <w:t>）《中华人民共和国煤炭法》，</w:t>
      </w:r>
      <w:r>
        <w:rPr>
          <w:rFonts w:ascii="Times New Roman" w:hAnsi="Times New Roman" w:eastAsia="Times New Roman" w:cs="Times New Roman"/>
          <w:sz w:val="24"/>
          <w:szCs w:val="24"/>
          <w:spacing w:val="-4"/>
        </w:rPr>
        <w:t>2016 </w:t>
      </w:r>
      <w:r>
        <w:rPr>
          <w:rFonts w:ascii="SimSun" w:hAnsi="SimSun" w:eastAsia="SimSun" w:cs="SimSun"/>
          <w:sz w:val="24"/>
          <w:szCs w:val="24"/>
          <w:spacing w:val="-4"/>
        </w:rPr>
        <w:t>年</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4"/>
        </w:rPr>
        <w:t>11 </w:t>
      </w:r>
      <w:r>
        <w:rPr>
          <w:rFonts w:ascii="SimSun" w:hAnsi="SimSun" w:eastAsia="SimSun" w:cs="SimSun"/>
          <w:sz w:val="24"/>
          <w:szCs w:val="24"/>
          <w:spacing w:val="-4"/>
        </w:rPr>
        <w:t>月</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日修正；</w:t>
      </w:r>
    </w:p>
    <w:p>
      <w:pPr>
        <w:ind w:left="495"/>
        <w:spacing w:before="153"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16</w:t>
      </w:r>
      <w:r>
        <w:rPr>
          <w:rFonts w:ascii="SimSun" w:hAnsi="SimSun" w:eastAsia="SimSun" w:cs="SimSun"/>
          <w:sz w:val="24"/>
          <w:szCs w:val="24"/>
          <w:spacing w:val="-4"/>
        </w:rPr>
        <w:t>）《中华人民共和国清洁生产促进法》，</w:t>
      </w:r>
      <w:r>
        <w:rPr>
          <w:rFonts w:ascii="Times New Roman" w:hAnsi="Times New Roman" w:eastAsia="Times New Roman" w:cs="Times New Roman"/>
          <w:sz w:val="24"/>
          <w:szCs w:val="24"/>
          <w:spacing w:val="-4"/>
        </w:rPr>
        <w:t>2012 </w:t>
      </w:r>
      <w:r>
        <w:rPr>
          <w:rFonts w:ascii="SimSun" w:hAnsi="SimSun" w:eastAsia="SimSun" w:cs="SimSun"/>
          <w:sz w:val="24"/>
          <w:szCs w:val="24"/>
          <w:spacing w:val="-4"/>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日施行；</w:t>
      </w:r>
    </w:p>
    <w:p>
      <w:pPr>
        <w:ind w:left="495"/>
        <w:spacing w:before="156"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17</w:t>
      </w:r>
      <w:r>
        <w:rPr>
          <w:rFonts w:ascii="SimSun" w:hAnsi="SimSun" w:eastAsia="SimSun" w:cs="SimSun"/>
          <w:sz w:val="24"/>
          <w:szCs w:val="24"/>
          <w:spacing w:val="-4"/>
        </w:rPr>
        <w:t>）《建设项目环境保护管理条例》，</w:t>
      </w:r>
      <w:r>
        <w:rPr>
          <w:rFonts w:ascii="Times New Roman" w:hAnsi="Times New Roman" w:eastAsia="Times New Roman" w:cs="Times New Roman"/>
          <w:sz w:val="24"/>
          <w:szCs w:val="24"/>
          <w:spacing w:val="-4"/>
        </w:rPr>
        <w:t>2017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5"/>
        </w:rPr>
        <w:t>日起施行；</w:t>
      </w:r>
    </w:p>
    <w:p>
      <w:pPr>
        <w:ind w:left="495"/>
        <w:spacing w:before="156" w:line="2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18</w:t>
      </w:r>
      <w:r>
        <w:rPr>
          <w:rFonts w:ascii="SimSun" w:hAnsi="SimSun" w:eastAsia="SimSun" w:cs="SimSun"/>
          <w:sz w:val="24"/>
          <w:szCs w:val="24"/>
          <w:spacing w:val="-5"/>
        </w:rPr>
        <w:t>）《地下水管理条例》，</w:t>
      </w:r>
      <w:r>
        <w:rPr>
          <w:rFonts w:ascii="Times New Roman" w:hAnsi="Times New Roman" w:eastAsia="Times New Roman" w:cs="Times New Roman"/>
          <w:sz w:val="24"/>
          <w:szCs w:val="24"/>
          <w:spacing w:val="-5"/>
        </w:rPr>
        <w:t>2021 </w:t>
      </w:r>
      <w:r>
        <w:rPr>
          <w:rFonts w:ascii="SimSun" w:hAnsi="SimSun" w:eastAsia="SimSun" w:cs="SimSun"/>
          <w:sz w:val="24"/>
          <w:szCs w:val="24"/>
          <w:spacing w:val="-5"/>
        </w:rPr>
        <w:t>年</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5"/>
        </w:rPr>
        <w:t>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  </w:t>
      </w:r>
      <w:r>
        <w:rPr>
          <w:rFonts w:ascii="SimSun" w:hAnsi="SimSun" w:eastAsia="SimSun" w:cs="SimSun"/>
          <w:sz w:val="24"/>
          <w:szCs w:val="24"/>
          <w:spacing w:val="-5"/>
        </w:rPr>
        <w:t>日起实施；</w:t>
      </w:r>
    </w:p>
    <w:p>
      <w:pPr>
        <w:ind w:left="495"/>
        <w:spacing w:before="15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19</w:t>
      </w:r>
      <w:r>
        <w:rPr>
          <w:rFonts w:ascii="SimSun" w:hAnsi="SimSun" w:eastAsia="SimSun" w:cs="SimSun"/>
          <w:sz w:val="24"/>
          <w:szCs w:val="24"/>
          <w:spacing w:val="-3"/>
        </w:rPr>
        <w:t>）《中华人民共和国野生植物保护实施条例》，</w:t>
      </w: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4"/>
        </w:rPr>
        <w:t>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  </w:t>
      </w:r>
      <w:r>
        <w:rPr>
          <w:rFonts w:ascii="SimSun" w:hAnsi="SimSun" w:eastAsia="SimSun" w:cs="SimSun"/>
          <w:sz w:val="24"/>
          <w:szCs w:val="24"/>
          <w:spacing w:val="-4"/>
        </w:rPr>
        <w:t>日修改；</w:t>
      </w:r>
    </w:p>
    <w:p>
      <w:pPr>
        <w:spacing w:before="154" w:line="219" w:lineRule="auto"/>
        <w:jc w:val="right"/>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20</w:t>
      </w:r>
      <w:r>
        <w:rPr>
          <w:rFonts w:ascii="SimSun" w:hAnsi="SimSun" w:eastAsia="SimSun" w:cs="SimSun"/>
          <w:sz w:val="24"/>
          <w:szCs w:val="24"/>
          <w:spacing w:val="-9"/>
        </w:rPr>
        <w:t>）《中华人民共和国陆生野生动物保护实施条例》，</w:t>
      </w:r>
      <w:r>
        <w:rPr>
          <w:rFonts w:ascii="Times New Roman" w:hAnsi="Times New Roman" w:eastAsia="Times New Roman" w:cs="Times New Roman"/>
          <w:sz w:val="24"/>
          <w:szCs w:val="24"/>
          <w:spacing w:val="-9"/>
        </w:rPr>
        <w:t>2016 </w:t>
      </w:r>
      <w:r>
        <w:rPr>
          <w:rFonts w:ascii="SimSun" w:hAnsi="SimSun" w:eastAsia="SimSun" w:cs="SimSun"/>
          <w:sz w:val="24"/>
          <w:szCs w:val="24"/>
          <w:spacing w:val="-9"/>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9"/>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9"/>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9"/>
        </w:rPr>
        <w:t>6  </w:t>
      </w:r>
      <w:r>
        <w:rPr>
          <w:rFonts w:ascii="SimSun" w:hAnsi="SimSun" w:eastAsia="SimSun" w:cs="SimSun"/>
          <w:sz w:val="24"/>
          <w:szCs w:val="24"/>
          <w:spacing w:val="-9"/>
        </w:rPr>
        <w:t>日</w:t>
      </w:r>
      <w:r>
        <w:rPr>
          <w:rFonts w:ascii="SimSun" w:hAnsi="SimSun" w:eastAsia="SimSun" w:cs="SimSun"/>
          <w:sz w:val="24"/>
          <w:szCs w:val="24"/>
          <w:spacing w:val="-10"/>
        </w:rPr>
        <w:t>修订施行；</w:t>
      </w:r>
    </w:p>
    <w:p>
      <w:pPr>
        <w:ind w:left="495"/>
        <w:spacing w:before="156"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21</w:t>
      </w:r>
      <w:r>
        <w:rPr>
          <w:rFonts w:ascii="SimSun" w:hAnsi="SimSun" w:eastAsia="SimSun" w:cs="SimSun"/>
          <w:sz w:val="24"/>
          <w:szCs w:val="24"/>
          <w:spacing w:val="-4"/>
        </w:rPr>
        <w:t>）《土地复垦条例》，国务院第</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592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号令，</w:t>
      </w:r>
      <w:r>
        <w:rPr>
          <w:rFonts w:ascii="Times New Roman" w:hAnsi="Times New Roman" w:eastAsia="Times New Roman" w:cs="Times New Roman"/>
          <w:sz w:val="24"/>
          <w:szCs w:val="24"/>
          <w:spacing w:val="-4"/>
        </w:rPr>
        <w:t>2012 </w:t>
      </w:r>
      <w:r>
        <w:rPr>
          <w:rFonts w:ascii="SimSun" w:hAnsi="SimSun" w:eastAsia="SimSun" w:cs="SimSun"/>
          <w:sz w:val="24"/>
          <w:szCs w:val="24"/>
          <w:spacing w:val="-4"/>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  </w:t>
      </w:r>
      <w:r>
        <w:rPr>
          <w:rFonts w:ascii="SimSun" w:hAnsi="SimSun" w:eastAsia="SimSun" w:cs="SimSun"/>
          <w:sz w:val="24"/>
          <w:szCs w:val="24"/>
          <w:spacing w:val="-4"/>
        </w:rPr>
        <w:t>日施行；</w:t>
      </w:r>
    </w:p>
    <w:p>
      <w:pPr>
        <w:ind w:left="13" w:right="63" w:firstLine="482"/>
        <w:spacing w:before="154"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22</w:t>
      </w:r>
      <w:r>
        <w:rPr>
          <w:rFonts w:ascii="SimSun" w:hAnsi="SimSun" w:eastAsia="SimSun" w:cs="SimSun"/>
          <w:sz w:val="24"/>
          <w:szCs w:val="24"/>
          <w:spacing w:val="-2"/>
        </w:rPr>
        <w:t>）《中共中央国务院关于全面加强生态环境保护坚决打好污染防治攻坚战的意</w:t>
      </w:r>
      <w:r>
        <w:rPr>
          <w:rFonts w:ascii="SimSun" w:hAnsi="SimSun" w:eastAsia="SimSun" w:cs="SimSun"/>
          <w:sz w:val="24"/>
          <w:szCs w:val="24"/>
          <w:spacing w:val="-1"/>
        </w:rPr>
        <w:t>见》，</w:t>
      </w:r>
      <w:r>
        <w:rPr>
          <w:rFonts w:ascii="Times New Roman" w:hAnsi="Times New Roman" w:eastAsia="Times New Roman" w:cs="Times New Roman"/>
          <w:sz w:val="24"/>
          <w:szCs w:val="24"/>
          <w:spacing w:val="-1"/>
        </w:rPr>
        <w:t>2018.06.24</w:t>
      </w:r>
      <w:r>
        <w:rPr>
          <w:rFonts w:ascii="SimSun" w:hAnsi="SimSun" w:eastAsia="SimSun" w:cs="SimSun"/>
          <w:sz w:val="24"/>
          <w:szCs w:val="24"/>
          <w:spacing w:val="-1"/>
        </w:rPr>
        <w:t>；</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23</w:t>
      </w:r>
      <w:r>
        <w:rPr>
          <w:rFonts w:ascii="SimSun" w:hAnsi="SimSun" w:eastAsia="SimSun" w:cs="SimSun"/>
          <w:sz w:val="24"/>
          <w:szCs w:val="24"/>
          <w:spacing w:val="-1"/>
        </w:rPr>
        <w:t>）《中共中央国务院关于深入打好污染防治攻坚战的意见》，</w:t>
      </w:r>
      <w:r>
        <w:rPr>
          <w:rFonts w:ascii="Times New Roman" w:hAnsi="Times New Roman" w:eastAsia="Times New Roman" w:cs="Times New Roman"/>
          <w:sz w:val="24"/>
          <w:szCs w:val="24"/>
          <w:spacing w:val="-1"/>
        </w:rPr>
        <w:t>2021.11.2</w:t>
      </w:r>
      <w:r>
        <w:rPr>
          <w:rFonts w:ascii="SimSun" w:hAnsi="SimSun" w:eastAsia="SimSun" w:cs="SimSun"/>
          <w:sz w:val="24"/>
          <w:szCs w:val="24"/>
          <w:spacing w:val="-1"/>
        </w:rPr>
        <w:t>；</w:t>
      </w:r>
    </w:p>
    <w:p>
      <w:pPr>
        <w:ind w:left="11" w:right="63" w:firstLine="484"/>
        <w:spacing w:before="153"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24</w:t>
      </w:r>
      <w:r>
        <w:rPr>
          <w:rFonts w:ascii="SimSun" w:hAnsi="SimSun" w:eastAsia="SimSun" w:cs="SimSun"/>
          <w:sz w:val="24"/>
          <w:szCs w:val="24"/>
          <w:spacing w:val="-2"/>
        </w:rPr>
        <w:t>）《中共中央办公厅国务院办公厅印发关于在国土空间规划中统筹划定落实三</w:t>
      </w:r>
      <w:r>
        <w:rPr>
          <w:rFonts w:ascii="SimSun" w:hAnsi="SimSun" w:eastAsia="SimSun" w:cs="SimSun"/>
          <w:sz w:val="24"/>
          <w:szCs w:val="24"/>
          <w:spacing w:val="-1"/>
        </w:rPr>
        <w:t>条控制线的指导意见》，</w:t>
      </w:r>
      <w:r>
        <w:rPr>
          <w:rFonts w:ascii="Times New Roman" w:hAnsi="Times New Roman" w:eastAsia="Times New Roman" w:cs="Times New Roman"/>
          <w:sz w:val="24"/>
          <w:szCs w:val="24"/>
          <w:spacing w:val="-1"/>
        </w:rPr>
        <w:t>2019.11.01</w:t>
      </w:r>
      <w:r>
        <w:rPr>
          <w:rFonts w:ascii="SimSun" w:hAnsi="SimSun" w:eastAsia="SimSun" w:cs="SimSun"/>
          <w:sz w:val="24"/>
          <w:szCs w:val="24"/>
          <w:spacing w:val="-1"/>
        </w:rPr>
        <w:t>；</w:t>
      </w:r>
    </w:p>
    <w:p>
      <w:pPr>
        <w:spacing w:line="279" w:lineRule="auto"/>
        <w:sectPr>
          <w:headerReference w:type="default" r:id="rId36"/>
          <w:footerReference w:type="default" r:id="rId37"/>
          <w:pgSz w:w="11906" w:h="16838"/>
          <w:pgMar w:top="1170" w:right="1353" w:bottom="1080" w:left="1416" w:header="837" w:footer="918" w:gutter="0"/>
        </w:sectPr>
        <w:rPr>
          <w:rFonts w:ascii="SimSun" w:hAnsi="SimSun" w:eastAsia="SimSun" w:cs="SimSun"/>
          <w:sz w:val="24"/>
          <w:szCs w:val="24"/>
        </w:rPr>
      </w:pPr>
    </w:p>
    <w:p>
      <w:pPr>
        <w:pStyle w:val="BodyText"/>
        <w:spacing w:line="311" w:lineRule="auto"/>
        <w:rPr/>
      </w:pPr>
      <w:r/>
    </w:p>
    <w:p>
      <w:pPr>
        <w:ind w:left="5" w:right="240" w:firstLine="490"/>
        <w:spacing w:before="78" w:line="281"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25</w:t>
      </w:r>
      <w:r>
        <w:rPr>
          <w:rFonts w:ascii="SimSun" w:hAnsi="SimSun" w:eastAsia="SimSun" w:cs="SimSun"/>
          <w:sz w:val="24"/>
          <w:szCs w:val="24"/>
        </w:rPr>
        <w:t>）《国务院办公厅关于加强草原保护修复的若干意见》，国办发</w:t>
      </w:r>
      <w:r>
        <w:rPr>
          <w:rFonts w:ascii="Times New Roman" w:hAnsi="Times New Roman" w:eastAsia="Times New Roman" w:cs="Times New Roman"/>
          <w:sz w:val="24"/>
          <w:szCs w:val="24"/>
        </w:rPr>
        <w:t>[2021]7</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rPr>
        <w:t>号， </w:t>
      </w:r>
      <w:r>
        <w:rPr>
          <w:rFonts w:ascii="Times New Roman" w:hAnsi="Times New Roman" w:eastAsia="Times New Roman" w:cs="Times New Roman"/>
          <w:sz w:val="24"/>
          <w:szCs w:val="24"/>
          <w:spacing w:val="-4"/>
        </w:rPr>
        <w:t>2021.3.</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4"/>
        </w:rPr>
        <w:t>12</w:t>
      </w:r>
      <w:r>
        <w:rPr>
          <w:rFonts w:ascii="SimSun" w:hAnsi="SimSun" w:eastAsia="SimSun" w:cs="SimSun"/>
          <w:sz w:val="24"/>
          <w:szCs w:val="24"/>
          <w:spacing w:val="-4"/>
        </w:rPr>
        <w:t>；</w:t>
      </w:r>
    </w:p>
    <w:p>
      <w:pPr>
        <w:ind w:left="5" w:firstLine="490"/>
        <w:spacing w:before="150" w:line="280" w:lineRule="auto"/>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26</w:t>
      </w:r>
      <w:r>
        <w:rPr>
          <w:rFonts w:ascii="SimSun" w:hAnsi="SimSun" w:eastAsia="SimSun" w:cs="SimSun"/>
          <w:sz w:val="24"/>
          <w:szCs w:val="24"/>
          <w:spacing w:val="-9"/>
        </w:rPr>
        <w:t>）《中共中央办公厅国务院办公厅印发关于进一步加强生物多样</w:t>
      </w:r>
      <w:r>
        <w:rPr>
          <w:rFonts w:ascii="SimSun" w:hAnsi="SimSun" w:eastAsia="SimSun" w:cs="SimSun"/>
          <w:sz w:val="24"/>
          <w:szCs w:val="24"/>
          <w:spacing w:val="-10"/>
        </w:rPr>
        <w:t>性保护的意见》，</w:t>
      </w:r>
      <w:r>
        <w:rPr>
          <w:rFonts w:ascii="SimSun" w:hAnsi="SimSun" w:eastAsia="SimSun" w:cs="SimSun"/>
          <w:sz w:val="24"/>
          <w:szCs w:val="24"/>
        </w:rPr>
        <w:t xml:space="preserve"> </w:t>
      </w:r>
      <w:r>
        <w:rPr>
          <w:rFonts w:ascii="Times New Roman" w:hAnsi="Times New Roman" w:eastAsia="Times New Roman" w:cs="Times New Roman"/>
          <w:sz w:val="24"/>
          <w:szCs w:val="24"/>
          <w:spacing w:val="-4"/>
        </w:rPr>
        <w:t>2021.10.</w:t>
      </w:r>
      <w:r>
        <w:rPr>
          <w:rFonts w:ascii="Times New Roman" w:hAnsi="Times New Roman" w:eastAsia="Times New Roman" w:cs="Times New Roman"/>
          <w:sz w:val="24"/>
          <w:szCs w:val="24"/>
          <w:spacing w:val="-23"/>
        </w:rPr>
        <w:t xml:space="preserve"> </w:t>
      </w:r>
      <w:r>
        <w:rPr>
          <w:rFonts w:ascii="Times New Roman" w:hAnsi="Times New Roman" w:eastAsia="Times New Roman" w:cs="Times New Roman"/>
          <w:sz w:val="24"/>
          <w:szCs w:val="24"/>
          <w:spacing w:val="-4"/>
        </w:rPr>
        <w:t>19</w:t>
      </w:r>
      <w:r>
        <w:rPr>
          <w:rFonts w:ascii="SimSun" w:hAnsi="SimSun" w:eastAsia="SimSun" w:cs="SimSun"/>
          <w:sz w:val="24"/>
          <w:szCs w:val="24"/>
          <w:spacing w:val="-4"/>
        </w:rPr>
        <w:t>；</w:t>
      </w:r>
    </w:p>
    <w:p>
      <w:pPr>
        <w:ind w:left="5" w:right="120" w:firstLine="490"/>
        <w:spacing w:before="152" w:line="280"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27</w:t>
      </w:r>
      <w:r>
        <w:rPr>
          <w:rFonts w:ascii="SimSun" w:hAnsi="SimSun" w:eastAsia="SimSun" w:cs="SimSun"/>
          <w:sz w:val="24"/>
          <w:szCs w:val="24"/>
          <w:spacing w:val="-6"/>
        </w:rPr>
        <w:t>）《中共中央办公厅国务院办公厅印发关于加强新时代</w:t>
      </w:r>
      <w:r>
        <w:rPr>
          <w:rFonts w:ascii="SimSun" w:hAnsi="SimSun" w:eastAsia="SimSun" w:cs="SimSun"/>
          <w:sz w:val="24"/>
          <w:szCs w:val="24"/>
          <w:spacing w:val="-7"/>
        </w:rPr>
        <w:t>水土保持工作的意见》，</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2023.1.3</w:t>
      </w:r>
      <w:r>
        <w:rPr>
          <w:rFonts w:ascii="SimSun" w:hAnsi="SimSun" w:eastAsia="SimSun" w:cs="SimSun"/>
          <w:sz w:val="24"/>
          <w:szCs w:val="24"/>
          <w:spacing w:val="-1"/>
        </w:rPr>
        <w:t>；</w:t>
      </w:r>
    </w:p>
    <w:p>
      <w:pPr>
        <w:ind w:left="14" w:right="186" w:firstLine="481"/>
        <w:spacing w:before="151"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28</w:t>
      </w:r>
      <w:r>
        <w:rPr>
          <w:rFonts w:ascii="SimSun" w:hAnsi="SimSun" w:eastAsia="SimSun" w:cs="SimSun"/>
          <w:sz w:val="24"/>
          <w:szCs w:val="24"/>
          <w:spacing w:val="-2"/>
        </w:rPr>
        <w:t>）《国务院办公厅关印发强化危险废物监管和利用处置能力改革实施方案的通</w:t>
      </w:r>
      <w:r>
        <w:rPr>
          <w:rFonts w:ascii="SimSun" w:hAnsi="SimSun" w:eastAsia="SimSun" w:cs="SimSun"/>
          <w:sz w:val="24"/>
          <w:szCs w:val="24"/>
          <w:spacing w:val="-2"/>
        </w:rPr>
        <w:t>知》（国办函</w:t>
      </w:r>
      <w:r>
        <w:rPr>
          <w:rFonts w:ascii="Times New Roman" w:hAnsi="Times New Roman" w:eastAsia="Times New Roman" w:cs="Times New Roman"/>
          <w:sz w:val="24"/>
          <w:szCs w:val="24"/>
          <w:spacing w:val="-2"/>
        </w:rPr>
        <w:t>[2021]47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spacing w:val="6"/>
        </w:rPr>
        <w:t>），</w:t>
      </w:r>
      <w:r>
        <w:rPr>
          <w:rFonts w:ascii="Times New Roman" w:hAnsi="Times New Roman" w:eastAsia="Times New Roman" w:cs="Times New Roman"/>
          <w:sz w:val="24"/>
          <w:szCs w:val="24"/>
          <w:spacing w:val="-2"/>
        </w:rPr>
        <w:t>2021.11.2</w:t>
      </w:r>
      <w:r>
        <w:rPr>
          <w:rFonts w:ascii="SimSun" w:hAnsi="SimSun" w:eastAsia="SimSun" w:cs="SimSun"/>
          <w:sz w:val="24"/>
          <w:szCs w:val="24"/>
          <w:spacing w:val="-2"/>
        </w:rPr>
        <w:t>；</w:t>
      </w:r>
    </w:p>
    <w:p>
      <w:pPr>
        <w:ind w:left="5" w:right="211" w:firstLine="490"/>
        <w:spacing w:before="165"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29</w:t>
      </w:r>
      <w:r>
        <w:rPr>
          <w:rFonts w:ascii="SimSun" w:hAnsi="SimSun" w:eastAsia="SimSun" w:cs="SimSun"/>
          <w:sz w:val="24"/>
          <w:szCs w:val="24"/>
          <w:spacing w:val="-2"/>
        </w:rPr>
        <w:t>）《国务院关于印发空气质量持续改善行动计划的通知》，国发</w:t>
      </w:r>
      <w:r>
        <w:rPr>
          <w:rFonts w:ascii="Times New Roman" w:hAnsi="Times New Roman" w:eastAsia="Times New Roman" w:cs="Times New Roman"/>
          <w:sz w:val="24"/>
          <w:szCs w:val="24"/>
          <w:spacing w:val="-2"/>
        </w:rPr>
        <w:t>[2023]2</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rPr>
        <w:t xml:space="preserve"> </w:t>
      </w:r>
      <w:r>
        <w:rPr>
          <w:rFonts w:ascii="Times New Roman" w:hAnsi="Times New Roman" w:eastAsia="Times New Roman" w:cs="Times New Roman"/>
          <w:sz w:val="24"/>
          <w:szCs w:val="24"/>
          <w:spacing w:val="-2"/>
        </w:rPr>
        <w:t>2023.11.30</w:t>
      </w:r>
      <w:r>
        <w:rPr>
          <w:rFonts w:ascii="SimSun" w:hAnsi="SimSun" w:eastAsia="SimSun" w:cs="SimSun"/>
          <w:sz w:val="24"/>
          <w:szCs w:val="24"/>
          <w:spacing w:val="-2"/>
        </w:rPr>
        <w:t>；</w:t>
      </w:r>
    </w:p>
    <w:p>
      <w:pPr>
        <w:ind w:left="15" w:right="186" w:firstLine="480"/>
        <w:spacing w:before="154" w:line="27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30</w:t>
      </w:r>
      <w:r>
        <w:rPr>
          <w:rFonts w:ascii="SimSun" w:hAnsi="SimSun" w:eastAsia="SimSun" w:cs="SimSun"/>
          <w:sz w:val="24"/>
          <w:szCs w:val="24"/>
          <w:spacing w:val="-3"/>
        </w:rPr>
        <w:t>）《国务院办公厅关于加快构建废弃物循环利用体系的意见》（国办发</w:t>
      </w:r>
      <w:r>
        <w:rPr>
          <w:rFonts w:ascii="Times New Roman" w:hAnsi="Times New Roman" w:eastAsia="Times New Roman" w:cs="Times New Roman"/>
          <w:sz w:val="24"/>
          <w:szCs w:val="24"/>
          <w:spacing w:val="-3"/>
        </w:rPr>
        <w:t>[2024]7</w:t>
      </w:r>
      <w:r>
        <w:rPr>
          <w:rFonts w:ascii="SimSun" w:hAnsi="SimSun" w:eastAsia="SimSun" w:cs="SimSun"/>
          <w:sz w:val="24"/>
          <w:szCs w:val="24"/>
          <w:spacing w:val="-3"/>
        </w:rPr>
        <w:t>号</w:t>
      </w:r>
      <w:r>
        <w:rPr>
          <w:rFonts w:ascii="SimSun" w:hAnsi="SimSun" w:eastAsia="SimSun" w:cs="SimSun"/>
          <w:sz w:val="24"/>
          <w:szCs w:val="24"/>
          <w:spacing w:val="6"/>
        </w:rPr>
        <w:t>），</w:t>
      </w:r>
      <w:r>
        <w:rPr>
          <w:rFonts w:ascii="Times New Roman" w:hAnsi="Times New Roman" w:eastAsia="Times New Roman" w:cs="Times New Roman"/>
          <w:sz w:val="24"/>
          <w:szCs w:val="24"/>
          <w:spacing w:val="-3"/>
        </w:rPr>
        <w:t>2024.2.6</w:t>
      </w:r>
      <w:r>
        <w:rPr>
          <w:rFonts w:ascii="SimSun" w:hAnsi="SimSun" w:eastAsia="SimSun" w:cs="SimSun"/>
          <w:sz w:val="24"/>
          <w:szCs w:val="24"/>
          <w:spacing w:val="-3"/>
        </w:rPr>
        <w:t>；</w:t>
      </w:r>
    </w:p>
    <w:p>
      <w:pPr>
        <w:spacing w:before="152" w:line="219" w:lineRule="auto"/>
        <w:jc w:val="right"/>
        <w:rPr>
          <w:rFonts w:ascii="SimSun" w:hAnsi="SimSun" w:eastAsia="SimSun" w:cs="SimSun"/>
          <w:sz w:val="24"/>
          <w:szCs w:val="24"/>
        </w:rPr>
      </w:pPr>
      <w:r>
        <w:rPr>
          <w:rFonts w:ascii="SimSun" w:hAnsi="SimSun" w:eastAsia="SimSun" w:cs="SimSun"/>
          <w:sz w:val="24"/>
          <w:szCs w:val="24"/>
          <w:spacing w:val="-11"/>
        </w:rPr>
        <w:t>（</w:t>
      </w:r>
      <w:r>
        <w:rPr>
          <w:rFonts w:ascii="Times New Roman" w:hAnsi="Times New Roman" w:eastAsia="Times New Roman" w:cs="Times New Roman"/>
          <w:sz w:val="24"/>
          <w:szCs w:val="24"/>
          <w:spacing w:val="-11"/>
        </w:rPr>
        <w:t>31</w:t>
      </w:r>
      <w:r>
        <w:rPr>
          <w:rFonts w:ascii="SimSun" w:hAnsi="SimSun" w:eastAsia="SimSun" w:cs="SimSun"/>
          <w:sz w:val="24"/>
          <w:szCs w:val="24"/>
          <w:spacing w:val="-11"/>
        </w:rPr>
        <w:t>）《中共中央办公厅国务院办公厅关于加强生态环境分区管控的意见》，</w:t>
      </w:r>
      <w:r>
        <w:rPr>
          <w:rFonts w:ascii="Times New Roman" w:hAnsi="Times New Roman" w:eastAsia="Times New Roman" w:cs="Times New Roman"/>
          <w:sz w:val="24"/>
          <w:szCs w:val="24"/>
          <w:spacing w:val="-11"/>
        </w:rPr>
        <w:t>2024.3.6</w:t>
      </w:r>
      <w:r>
        <w:rPr>
          <w:rFonts w:ascii="SimSun" w:hAnsi="SimSun" w:eastAsia="SimSun" w:cs="SimSun"/>
          <w:sz w:val="24"/>
          <w:szCs w:val="24"/>
          <w:spacing w:val="-11"/>
        </w:rPr>
        <w:t>；</w:t>
      </w:r>
    </w:p>
    <w:p>
      <w:pPr>
        <w:ind w:left="495"/>
        <w:spacing w:before="157"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32</w:t>
      </w:r>
      <w:r>
        <w:rPr>
          <w:rFonts w:ascii="SimSun" w:hAnsi="SimSun" w:eastAsia="SimSun" w:cs="SimSun"/>
          <w:sz w:val="24"/>
          <w:szCs w:val="24"/>
          <w:spacing w:val="-4"/>
        </w:rPr>
        <w:t>）《土地复垦条例实施办法》，</w:t>
      </w:r>
      <w:r>
        <w:rPr>
          <w:rFonts w:ascii="Times New Roman" w:hAnsi="Times New Roman" w:eastAsia="Times New Roman" w:cs="Times New Roman"/>
          <w:sz w:val="24"/>
          <w:szCs w:val="24"/>
          <w:spacing w:val="-4"/>
        </w:rPr>
        <w:t>2013 </w:t>
      </w:r>
      <w:r>
        <w:rPr>
          <w:rFonts w:ascii="SimSun" w:hAnsi="SimSun" w:eastAsia="SimSun" w:cs="SimSun"/>
          <w:sz w:val="24"/>
          <w:szCs w:val="24"/>
          <w:spacing w:val="-4"/>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日起施行；</w:t>
      </w:r>
    </w:p>
    <w:p>
      <w:pPr>
        <w:ind w:left="25" w:right="186" w:firstLine="470"/>
        <w:spacing w:before="154"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33</w:t>
      </w:r>
      <w:r>
        <w:rPr>
          <w:rFonts w:ascii="SimSun" w:hAnsi="SimSun" w:eastAsia="SimSun" w:cs="SimSun"/>
          <w:sz w:val="24"/>
          <w:szCs w:val="24"/>
          <w:spacing w:val="-2"/>
        </w:rPr>
        <w:t>）《关于推动内蒙古高质量发展奋力书写中国式现代化新篇章的意见》，国务</w:t>
      </w:r>
      <w:r>
        <w:rPr>
          <w:rFonts w:ascii="SimSun" w:hAnsi="SimSun" w:eastAsia="SimSun" w:cs="SimSun"/>
          <w:sz w:val="24"/>
          <w:szCs w:val="24"/>
          <w:spacing w:val="-2"/>
        </w:rPr>
        <w:t>院，国发</w:t>
      </w:r>
      <w:r>
        <w:rPr>
          <w:rFonts w:ascii="Times New Roman" w:hAnsi="Times New Roman" w:eastAsia="Times New Roman" w:cs="Times New Roman"/>
          <w:sz w:val="24"/>
          <w:szCs w:val="24"/>
          <w:spacing w:val="-2"/>
        </w:rPr>
        <w:t>[2023]16</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2023.10.5</w:t>
      </w:r>
      <w:r>
        <w:rPr>
          <w:rFonts w:ascii="SimSun" w:hAnsi="SimSun" w:eastAsia="SimSun" w:cs="SimSun"/>
          <w:sz w:val="24"/>
          <w:szCs w:val="24"/>
          <w:spacing w:val="-2"/>
        </w:rPr>
        <w:t>；</w:t>
      </w:r>
    </w:p>
    <w:p>
      <w:pPr>
        <w:ind w:left="495"/>
        <w:spacing w:before="16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34</w:t>
      </w:r>
      <w:r>
        <w:rPr>
          <w:rFonts w:ascii="SimSun" w:hAnsi="SimSun" w:eastAsia="SimSun" w:cs="SimSun"/>
          <w:sz w:val="24"/>
          <w:szCs w:val="24"/>
          <w:spacing w:val="-1"/>
        </w:rPr>
        <w:t>）《产业结构调整指导目录（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w:t>
      </w:r>
    </w:p>
    <w:p>
      <w:pPr>
        <w:ind w:left="15" w:right="147" w:firstLine="480"/>
        <w:spacing w:before="155"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35</w:t>
      </w:r>
      <w:r>
        <w:rPr>
          <w:rFonts w:ascii="SimSun" w:hAnsi="SimSun" w:eastAsia="SimSun" w:cs="SimSun"/>
          <w:sz w:val="24"/>
          <w:szCs w:val="24"/>
          <w:spacing w:val="-1"/>
        </w:rPr>
        <w:t>）国家发展和改革委员会水利部等《关于加强矿井水保护和利用的指导意见》</w:t>
      </w:r>
      <w:r>
        <w:rPr>
          <w:rFonts w:ascii="SimSun" w:hAnsi="SimSun" w:eastAsia="SimSun" w:cs="SimSun"/>
          <w:sz w:val="24"/>
          <w:szCs w:val="24"/>
          <w:spacing w:val="10"/>
        </w:rPr>
        <w:t xml:space="preserve"> </w:t>
      </w:r>
      <w:r>
        <w:rPr>
          <w:rFonts w:ascii="SimSun" w:hAnsi="SimSun" w:eastAsia="SimSun" w:cs="SimSun"/>
          <w:sz w:val="24"/>
          <w:szCs w:val="24"/>
          <w:spacing w:val="-3"/>
        </w:rPr>
        <w:t>（发改环资</w:t>
      </w:r>
      <w:r>
        <w:rPr>
          <w:rFonts w:ascii="Times New Roman" w:hAnsi="Times New Roman" w:eastAsia="Times New Roman" w:cs="Times New Roman"/>
          <w:sz w:val="24"/>
          <w:szCs w:val="24"/>
          <w:spacing w:val="-3"/>
        </w:rPr>
        <w:t>[2024]226</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号</w:t>
      </w:r>
      <w:r>
        <w:rPr>
          <w:rFonts w:ascii="SimSun" w:hAnsi="SimSun" w:eastAsia="SimSun" w:cs="SimSun"/>
          <w:sz w:val="24"/>
          <w:szCs w:val="24"/>
          <w:spacing w:val="6"/>
        </w:rPr>
        <w:t>）；</w:t>
      </w:r>
    </w:p>
    <w:p>
      <w:pPr>
        <w:ind w:left="29" w:right="186" w:firstLine="466"/>
        <w:spacing w:before="165"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36</w:t>
      </w:r>
      <w:r>
        <w:rPr>
          <w:rFonts w:ascii="SimSun" w:hAnsi="SimSun" w:eastAsia="SimSun" w:cs="SimSun"/>
          <w:sz w:val="24"/>
          <w:szCs w:val="24"/>
          <w:spacing w:val="-2"/>
        </w:rPr>
        <w:t>）国家发展改革委等部门《关于支持内蒙古绿色低碳高质量发展若干政策措施</w:t>
      </w:r>
      <w:r>
        <w:rPr>
          <w:rFonts w:ascii="SimSun" w:hAnsi="SimSun" w:eastAsia="SimSun" w:cs="SimSun"/>
          <w:sz w:val="24"/>
          <w:szCs w:val="24"/>
          <w:spacing w:val="-3"/>
        </w:rPr>
        <w:t>的通知》（发改环资</w:t>
      </w:r>
      <w:r>
        <w:rPr>
          <w:rFonts w:ascii="Times New Roman" w:hAnsi="Times New Roman" w:eastAsia="Times New Roman" w:cs="Times New Roman"/>
          <w:sz w:val="24"/>
          <w:szCs w:val="24"/>
          <w:spacing w:val="-3"/>
        </w:rPr>
        <w:t>[2024]379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w:t>
      </w:r>
      <w:r>
        <w:rPr>
          <w:rFonts w:ascii="SimSun" w:hAnsi="SimSun" w:eastAsia="SimSun" w:cs="SimSun"/>
          <w:sz w:val="24"/>
          <w:szCs w:val="24"/>
          <w:spacing w:val="6"/>
        </w:rPr>
        <w:t>）；</w:t>
      </w:r>
    </w:p>
    <w:p>
      <w:pPr>
        <w:ind w:left="19" w:right="186" w:firstLine="476"/>
        <w:spacing w:before="164" w:line="275"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37</w:t>
      </w:r>
      <w:r>
        <w:rPr>
          <w:rFonts w:ascii="SimSun" w:hAnsi="SimSun" w:eastAsia="SimSun" w:cs="SimSun"/>
          <w:sz w:val="24"/>
          <w:szCs w:val="24"/>
          <w:spacing w:val="5"/>
        </w:rPr>
        <w:t>）《国家发展改革委等部门关于加强煤炭清洁高效利用的意见》</w:t>
      </w:r>
      <w:r>
        <w:rPr>
          <w:rFonts w:ascii="SimSun" w:hAnsi="SimSun" w:eastAsia="SimSun" w:cs="SimSun"/>
          <w:sz w:val="24"/>
          <w:szCs w:val="24"/>
          <w:spacing w:val="4"/>
        </w:rPr>
        <w:t>（发改运行</w:t>
      </w:r>
      <w:r>
        <w:rPr>
          <w:rFonts w:ascii="Times New Roman" w:hAnsi="Times New Roman" w:eastAsia="Times New Roman" w:cs="Times New Roman"/>
          <w:sz w:val="24"/>
          <w:szCs w:val="24"/>
          <w:spacing w:val="-7"/>
        </w:rPr>
        <w:t>[2024]1234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7"/>
        </w:rPr>
        <w:t>号</w:t>
      </w:r>
      <w:r>
        <w:rPr>
          <w:rFonts w:ascii="SimSun" w:hAnsi="SimSun" w:eastAsia="SimSun" w:cs="SimSun"/>
          <w:sz w:val="24"/>
          <w:szCs w:val="24"/>
          <w:spacing w:val="8"/>
        </w:rPr>
        <w:t>），</w:t>
      </w:r>
      <w:r>
        <w:rPr>
          <w:rFonts w:ascii="Times New Roman" w:hAnsi="Times New Roman" w:eastAsia="Times New Roman" w:cs="Times New Roman"/>
          <w:sz w:val="24"/>
          <w:szCs w:val="24"/>
          <w:spacing w:val="-7"/>
        </w:rPr>
        <w:t>2024 </w:t>
      </w:r>
      <w:r>
        <w:rPr>
          <w:rFonts w:ascii="SimSun" w:hAnsi="SimSun" w:eastAsia="SimSun" w:cs="SimSun"/>
          <w:sz w:val="24"/>
          <w:szCs w:val="24"/>
          <w:spacing w:val="-7"/>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11  </w:t>
      </w:r>
      <w:r>
        <w:rPr>
          <w:rFonts w:ascii="SimSun" w:hAnsi="SimSun" w:eastAsia="SimSun" w:cs="SimSun"/>
          <w:sz w:val="24"/>
          <w:szCs w:val="24"/>
          <w:spacing w:val="-7"/>
        </w:rPr>
        <w:t>日；</w:t>
      </w:r>
    </w:p>
    <w:p>
      <w:pPr>
        <w:ind w:left="15" w:right="147" w:firstLine="480"/>
        <w:spacing w:before="166"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38</w:t>
      </w:r>
      <w:r>
        <w:rPr>
          <w:rFonts w:ascii="SimSun" w:hAnsi="SimSun" w:eastAsia="SimSun" w:cs="SimSun"/>
          <w:sz w:val="24"/>
          <w:szCs w:val="24"/>
          <w:spacing w:val="-1"/>
        </w:rPr>
        <w:t>）《国家能源局关于进一步加快煤矿智能化建设促进煤炭高质量发展的通知》</w:t>
      </w:r>
      <w:r>
        <w:rPr>
          <w:rFonts w:ascii="SimSun" w:hAnsi="SimSun" w:eastAsia="SimSun" w:cs="SimSun"/>
          <w:sz w:val="24"/>
          <w:szCs w:val="24"/>
          <w:spacing w:val="10"/>
        </w:rPr>
        <w:t xml:space="preserve"> </w:t>
      </w:r>
      <w:r>
        <w:rPr>
          <w:rFonts w:ascii="SimSun" w:hAnsi="SimSun" w:eastAsia="SimSun" w:cs="SimSun"/>
          <w:sz w:val="24"/>
          <w:szCs w:val="24"/>
          <w:spacing w:val="-5"/>
        </w:rPr>
        <w:t>（国能发煤炭</w:t>
      </w:r>
      <w:r>
        <w:rPr>
          <w:rFonts w:ascii="Times New Roman" w:hAnsi="Times New Roman" w:eastAsia="Times New Roman" w:cs="Times New Roman"/>
          <w:sz w:val="24"/>
          <w:szCs w:val="24"/>
          <w:spacing w:val="-5"/>
        </w:rPr>
        <w:t>[2024]38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w:t>
      </w:r>
      <w:r>
        <w:rPr>
          <w:rFonts w:ascii="SimSun" w:hAnsi="SimSun" w:eastAsia="SimSun" w:cs="SimSun"/>
          <w:sz w:val="24"/>
          <w:szCs w:val="24"/>
          <w:spacing w:val="11"/>
        </w:rPr>
        <w:t>），</w:t>
      </w:r>
      <w:r>
        <w:rPr>
          <w:rFonts w:ascii="Times New Roman" w:hAnsi="Times New Roman" w:eastAsia="Times New Roman" w:cs="Times New Roman"/>
          <w:sz w:val="24"/>
          <w:szCs w:val="24"/>
          <w:spacing w:val="-5"/>
        </w:rPr>
        <w:t>2024 </w:t>
      </w:r>
      <w:r>
        <w:rPr>
          <w:rFonts w:ascii="SimSun" w:hAnsi="SimSun" w:eastAsia="SimSun" w:cs="SimSun"/>
          <w:sz w:val="24"/>
          <w:szCs w:val="24"/>
          <w:spacing w:val="-5"/>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21  </w:t>
      </w:r>
      <w:r>
        <w:rPr>
          <w:rFonts w:ascii="SimSun" w:hAnsi="SimSun" w:eastAsia="SimSun" w:cs="SimSun"/>
          <w:sz w:val="24"/>
          <w:szCs w:val="24"/>
          <w:spacing w:val="-5"/>
        </w:rPr>
        <w:t>日；</w:t>
      </w:r>
    </w:p>
    <w:p>
      <w:pPr>
        <w:ind w:left="495"/>
        <w:spacing w:before="165"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39</w:t>
      </w:r>
      <w:r>
        <w:rPr>
          <w:rFonts w:ascii="SimSun" w:hAnsi="SimSun" w:eastAsia="SimSun" w:cs="SimSun"/>
          <w:sz w:val="24"/>
          <w:szCs w:val="24"/>
          <w:spacing w:val="-1"/>
        </w:rPr>
        <w:t>）《排污许可管理办法》（生态环境部令第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2024.7.1</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起施行</w:t>
      </w:r>
      <w:r>
        <w:rPr>
          <w:rFonts w:ascii="SimSun" w:hAnsi="SimSun" w:eastAsia="SimSun" w:cs="SimSun"/>
          <w:sz w:val="24"/>
          <w:szCs w:val="24"/>
        </w:rPr>
        <w:t>）；</w:t>
      </w:r>
    </w:p>
    <w:p>
      <w:pPr>
        <w:ind w:right="36"/>
        <w:spacing w:before="155" w:line="218" w:lineRule="auto"/>
        <w:jc w:val="right"/>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40</w:t>
      </w:r>
      <w:r>
        <w:rPr>
          <w:rFonts w:ascii="SimSun" w:hAnsi="SimSun" w:eastAsia="SimSun" w:cs="SimSun"/>
          <w:sz w:val="24"/>
          <w:szCs w:val="24"/>
          <w:spacing w:val="-3"/>
        </w:rPr>
        <w:t>）《环境影响评价公众参与办法》（生态环境部令第</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2019.1.1</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4"/>
        </w:rPr>
        <w:t>起施行</w:t>
      </w:r>
      <w:r>
        <w:rPr>
          <w:rFonts w:ascii="SimSun" w:hAnsi="SimSun" w:eastAsia="SimSun" w:cs="SimSun"/>
          <w:sz w:val="24"/>
          <w:szCs w:val="24"/>
          <w:spacing w:val="6"/>
        </w:rPr>
        <w:t>）；</w:t>
      </w:r>
    </w:p>
    <w:p>
      <w:pPr>
        <w:ind w:left="9" w:right="186" w:firstLine="486"/>
        <w:spacing w:before="154"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41</w:t>
      </w:r>
      <w:r>
        <w:rPr>
          <w:rFonts w:ascii="SimSun" w:hAnsi="SimSun" w:eastAsia="SimSun" w:cs="SimSun"/>
          <w:sz w:val="24"/>
          <w:szCs w:val="24"/>
          <w:spacing w:val="-2"/>
        </w:rPr>
        <w:t>）《关于以改善环境质量为核心加强环境影响评价管理的通知》环境保护部环</w:t>
      </w:r>
      <w:r>
        <w:rPr>
          <w:rFonts w:ascii="SimSun" w:hAnsi="SimSun" w:eastAsia="SimSun" w:cs="SimSun"/>
          <w:sz w:val="24"/>
          <w:szCs w:val="24"/>
          <w:spacing w:val="-5"/>
        </w:rPr>
        <w:t>环评〔</w:t>
      </w:r>
      <w:r>
        <w:rPr>
          <w:rFonts w:ascii="Times New Roman" w:hAnsi="Times New Roman" w:eastAsia="Times New Roman" w:cs="Times New Roman"/>
          <w:sz w:val="24"/>
          <w:szCs w:val="24"/>
          <w:spacing w:val="-5"/>
        </w:rPr>
        <w:t>2016</w:t>
      </w:r>
      <w:r>
        <w:rPr>
          <w:rFonts w:ascii="SimSun" w:hAnsi="SimSun" w:eastAsia="SimSun" w:cs="SimSun"/>
          <w:sz w:val="24"/>
          <w:szCs w:val="24"/>
          <w:spacing w:val="-5"/>
        </w:rPr>
        <w:t>〕</w:t>
      </w:r>
      <w:r>
        <w:rPr>
          <w:rFonts w:ascii="Times New Roman" w:hAnsi="Times New Roman" w:eastAsia="Times New Roman" w:cs="Times New Roman"/>
          <w:sz w:val="24"/>
          <w:szCs w:val="24"/>
          <w:spacing w:val="-5"/>
        </w:rPr>
        <w:t>150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号，</w:t>
      </w:r>
      <w:r>
        <w:rPr>
          <w:rFonts w:ascii="Times New Roman" w:hAnsi="Times New Roman" w:eastAsia="Times New Roman" w:cs="Times New Roman"/>
          <w:sz w:val="24"/>
          <w:szCs w:val="24"/>
          <w:spacing w:val="-5"/>
        </w:rPr>
        <w:t>2016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27  </w:t>
      </w:r>
      <w:r>
        <w:rPr>
          <w:rFonts w:ascii="SimSun" w:hAnsi="SimSun" w:eastAsia="SimSun" w:cs="SimSun"/>
          <w:sz w:val="24"/>
          <w:szCs w:val="24"/>
          <w:spacing w:val="-5"/>
        </w:rPr>
        <w:t>日印发；</w:t>
      </w:r>
    </w:p>
    <w:p>
      <w:pPr>
        <w:ind w:left="15" w:right="186" w:firstLine="480"/>
        <w:spacing w:before="153"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42</w:t>
      </w:r>
      <w:r>
        <w:rPr>
          <w:rFonts w:ascii="SimSun" w:hAnsi="SimSun" w:eastAsia="SimSun" w:cs="SimSun"/>
          <w:sz w:val="24"/>
          <w:szCs w:val="24"/>
          <w:spacing w:val="-2"/>
        </w:rPr>
        <w:t>）《关于进一步加强环境影响评价管理防范环境风险的通知》环发〔</w:t>
      </w:r>
      <w:r>
        <w:rPr>
          <w:rFonts w:ascii="Times New Roman" w:hAnsi="Times New Roman" w:eastAsia="Times New Roman" w:cs="Times New Roman"/>
          <w:sz w:val="24"/>
          <w:szCs w:val="24"/>
          <w:spacing w:val="-2"/>
        </w:rPr>
        <w:t>2012</w:t>
      </w:r>
      <w:r>
        <w:rPr>
          <w:rFonts w:ascii="SimSun" w:hAnsi="SimSun" w:eastAsia="SimSun" w:cs="SimSun"/>
          <w:sz w:val="24"/>
          <w:szCs w:val="24"/>
          <w:spacing w:val="-2"/>
        </w:rPr>
        <w:t>〕</w:t>
      </w:r>
      <w:r>
        <w:rPr>
          <w:rFonts w:ascii="Times New Roman" w:hAnsi="Times New Roman" w:eastAsia="Times New Roman" w:cs="Times New Roman"/>
          <w:sz w:val="24"/>
          <w:szCs w:val="24"/>
          <w:spacing w:val="-2"/>
        </w:rPr>
        <w:t>77</w:t>
      </w:r>
      <w:r>
        <w:rPr>
          <w:rFonts w:ascii="SimSun" w:hAnsi="SimSun" w:eastAsia="SimSun" w:cs="SimSun"/>
          <w:sz w:val="24"/>
          <w:szCs w:val="24"/>
          <w:spacing w:val="-5"/>
        </w:rPr>
        <w:t>号，</w:t>
      </w:r>
      <w:r>
        <w:rPr>
          <w:rFonts w:ascii="Times New Roman" w:hAnsi="Times New Roman" w:eastAsia="Times New Roman" w:cs="Times New Roman"/>
          <w:sz w:val="24"/>
          <w:szCs w:val="24"/>
          <w:spacing w:val="-5"/>
        </w:rPr>
        <w:t>2012 </w:t>
      </w:r>
      <w:r>
        <w:rPr>
          <w:rFonts w:ascii="SimSun" w:hAnsi="SimSun" w:eastAsia="SimSun" w:cs="SimSun"/>
          <w:sz w:val="24"/>
          <w:szCs w:val="24"/>
          <w:spacing w:val="-5"/>
        </w:rPr>
        <w:t>年</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号；</w:t>
      </w:r>
    </w:p>
    <w:p>
      <w:pPr>
        <w:spacing w:line="279" w:lineRule="auto"/>
        <w:sectPr>
          <w:headerReference w:type="default" r:id="rId38"/>
          <w:footerReference w:type="default" r:id="rId39"/>
          <w:pgSz w:w="11906" w:h="16838"/>
          <w:pgMar w:top="1170" w:right="1231" w:bottom="1080" w:left="1416" w:header="837" w:footer="918" w:gutter="0"/>
        </w:sectPr>
        <w:rPr>
          <w:rFonts w:ascii="SimSun" w:hAnsi="SimSun" w:eastAsia="SimSun" w:cs="SimSun"/>
          <w:sz w:val="24"/>
          <w:szCs w:val="24"/>
        </w:rPr>
      </w:pPr>
    </w:p>
    <w:p>
      <w:pPr>
        <w:pStyle w:val="BodyText"/>
        <w:spacing w:line="311" w:lineRule="auto"/>
        <w:rPr/>
      </w:pPr>
      <w:r/>
    </w:p>
    <w:p>
      <w:pPr>
        <w:ind w:left="15" w:right="63" w:firstLine="480"/>
        <w:spacing w:before="78"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43</w:t>
      </w:r>
      <w:r>
        <w:rPr>
          <w:rFonts w:ascii="SimSun" w:hAnsi="SimSun" w:eastAsia="SimSun" w:cs="SimSun"/>
          <w:sz w:val="24"/>
          <w:szCs w:val="24"/>
          <w:spacing w:val="-2"/>
        </w:rPr>
        <w:t>）《关于切实加强风险防范严格环境影响评价管理的通知》（环发〔</w:t>
      </w:r>
      <w:r>
        <w:rPr>
          <w:rFonts w:ascii="Times New Roman" w:hAnsi="Times New Roman" w:eastAsia="Times New Roman" w:cs="Times New Roman"/>
          <w:sz w:val="24"/>
          <w:szCs w:val="24"/>
          <w:spacing w:val="-2"/>
        </w:rPr>
        <w:t>2012</w:t>
      </w:r>
      <w:r>
        <w:rPr>
          <w:rFonts w:ascii="SimSun" w:hAnsi="SimSun" w:eastAsia="SimSun" w:cs="SimSun"/>
          <w:sz w:val="24"/>
          <w:szCs w:val="24"/>
          <w:spacing w:val="-2"/>
        </w:rPr>
        <w:t>〕</w:t>
      </w:r>
      <w:r>
        <w:rPr>
          <w:rFonts w:ascii="Times New Roman" w:hAnsi="Times New Roman" w:eastAsia="Times New Roman" w:cs="Times New Roman"/>
          <w:sz w:val="24"/>
          <w:szCs w:val="24"/>
          <w:spacing w:val="-2"/>
        </w:rPr>
        <w:t>98</w:t>
      </w:r>
      <w:r>
        <w:rPr>
          <w:rFonts w:ascii="SimSun" w:hAnsi="SimSun" w:eastAsia="SimSun" w:cs="SimSun"/>
          <w:sz w:val="24"/>
          <w:szCs w:val="24"/>
          <w:spacing w:val="-6"/>
        </w:rPr>
        <w:t>号文</w:t>
      </w:r>
      <w:r>
        <w:rPr>
          <w:rFonts w:ascii="SimSun" w:hAnsi="SimSun" w:eastAsia="SimSun" w:cs="SimSun"/>
          <w:sz w:val="24"/>
          <w:szCs w:val="24"/>
          <w:spacing w:val="7"/>
        </w:rPr>
        <w:t>），</w:t>
      </w:r>
      <w:r>
        <w:rPr>
          <w:rFonts w:ascii="Times New Roman" w:hAnsi="Times New Roman" w:eastAsia="Times New Roman" w:cs="Times New Roman"/>
          <w:sz w:val="24"/>
          <w:szCs w:val="24"/>
          <w:spacing w:val="-6"/>
        </w:rPr>
        <w:t>2012 </w:t>
      </w:r>
      <w:r>
        <w:rPr>
          <w:rFonts w:ascii="SimSun" w:hAnsi="SimSun" w:eastAsia="SimSun" w:cs="SimSun"/>
          <w:sz w:val="24"/>
          <w:szCs w:val="24"/>
          <w:spacing w:val="-6"/>
        </w:rPr>
        <w:t>年</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6"/>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6"/>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号印发；</w:t>
      </w:r>
    </w:p>
    <w:p>
      <w:pPr>
        <w:ind w:left="28" w:right="63" w:firstLine="467"/>
        <w:spacing w:before="152" w:line="27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44</w:t>
      </w:r>
      <w:r>
        <w:rPr>
          <w:rFonts w:ascii="SimSun" w:hAnsi="SimSun" w:eastAsia="SimSun" w:cs="SimSun"/>
          <w:sz w:val="24"/>
          <w:szCs w:val="24"/>
          <w:spacing w:val="3"/>
        </w:rPr>
        <w:t>）《建设项目环境影响评价分类管理名录（</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年版）》（生态环境部</w:t>
      </w:r>
      <w:r>
        <w:rPr>
          <w:rFonts w:ascii="SimSun" w:hAnsi="SimSun" w:eastAsia="SimSun" w:cs="SimSun"/>
          <w:sz w:val="24"/>
          <w:szCs w:val="24"/>
          <w:spacing w:val="2"/>
        </w:rPr>
        <w:t>令第</w:t>
      </w:r>
      <w:r>
        <w:rPr>
          <w:rFonts w:ascii="Times New Roman" w:hAnsi="Times New Roman" w:eastAsia="Times New Roman" w:cs="Times New Roman"/>
          <w:sz w:val="24"/>
          <w:szCs w:val="24"/>
          <w:spacing w:val="-10"/>
        </w:rPr>
        <w:t>16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0"/>
        </w:rPr>
        <w:t>号</w:t>
      </w:r>
      <w:r>
        <w:rPr>
          <w:rFonts w:ascii="SimSun" w:hAnsi="SimSun" w:eastAsia="SimSun" w:cs="SimSun"/>
          <w:sz w:val="24"/>
          <w:szCs w:val="24"/>
          <w:spacing w:val="7"/>
        </w:rPr>
        <w:t>），</w:t>
      </w:r>
      <w:r>
        <w:rPr>
          <w:rFonts w:ascii="Times New Roman" w:hAnsi="Times New Roman" w:eastAsia="Times New Roman" w:cs="Times New Roman"/>
          <w:sz w:val="24"/>
          <w:szCs w:val="24"/>
          <w:spacing w:val="-10"/>
        </w:rPr>
        <w:t>2021 </w:t>
      </w:r>
      <w:r>
        <w:rPr>
          <w:rFonts w:ascii="SimSun" w:hAnsi="SimSun" w:eastAsia="SimSun" w:cs="SimSun"/>
          <w:sz w:val="24"/>
          <w:szCs w:val="24"/>
          <w:spacing w:val="-10"/>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0"/>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  </w:t>
      </w:r>
      <w:r>
        <w:rPr>
          <w:rFonts w:ascii="SimSun" w:hAnsi="SimSun" w:eastAsia="SimSun" w:cs="SimSun"/>
          <w:sz w:val="24"/>
          <w:szCs w:val="24"/>
          <w:spacing w:val="-10"/>
        </w:rPr>
        <w:t>日起施行；</w:t>
      </w:r>
    </w:p>
    <w:p>
      <w:pPr>
        <w:ind w:left="10" w:right="63" w:firstLine="485"/>
        <w:spacing w:before="155" w:line="279" w:lineRule="auto"/>
        <w:rPr>
          <w:rFonts w:ascii="SimSun" w:hAnsi="SimSun" w:eastAsia="SimSun" w:cs="SimSun"/>
          <w:sz w:val="24"/>
          <w:szCs w:val="24"/>
        </w:rPr>
      </w:pPr>
      <w:r>
        <w:rPr>
          <w:rFonts w:ascii="SimSun" w:hAnsi="SimSun" w:eastAsia="SimSun" w:cs="SimSun"/>
          <w:sz w:val="24"/>
          <w:szCs w:val="24"/>
          <w:spacing w:val="-7"/>
        </w:rPr>
        <w:t>（</w:t>
      </w:r>
      <w:r>
        <w:rPr>
          <w:rFonts w:ascii="Times New Roman" w:hAnsi="Times New Roman" w:eastAsia="Times New Roman" w:cs="Times New Roman"/>
          <w:sz w:val="24"/>
          <w:szCs w:val="24"/>
          <w:spacing w:val="-7"/>
        </w:rPr>
        <w:t>45</w:t>
      </w:r>
      <w:r>
        <w:rPr>
          <w:rFonts w:ascii="SimSun" w:hAnsi="SimSun" w:eastAsia="SimSun" w:cs="SimSun"/>
          <w:sz w:val="24"/>
          <w:szCs w:val="24"/>
          <w:spacing w:val="-7"/>
        </w:rPr>
        <w:t>）《排污许可管理条例》（</w:t>
      </w:r>
      <w:r>
        <w:rPr>
          <w:rFonts w:ascii="Times New Roman" w:hAnsi="Times New Roman" w:eastAsia="Times New Roman" w:cs="Times New Roman"/>
          <w:sz w:val="24"/>
          <w:szCs w:val="24"/>
          <w:spacing w:val="-7"/>
        </w:rPr>
        <w:t>2024 </w:t>
      </w:r>
      <w:r>
        <w:rPr>
          <w:rFonts w:ascii="SimSun" w:hAnsi="SimSun" w:eastAsia="SimSun" w:cs="SimSun"/>
          <w:sz w:val="24"/>
          <w:szCs w:val="24"/>
          <w:spacing w:val="-7"/>
        </w:rPr>
        <w:t>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  </w:t>
      </w:r>
      <w:r>
        <w:rPr>
          <w:rFonts w:ascii="SimSun" w:hAnsi="SimSun" w:eastAsia="SimSun" w:cs="SimSun"/>
          <w:sz w:val="24"/>
          <w:szCs w:val="24"/>
          <w:spacing w:val="-7"/>
        </w:rPr>
        <w:t>日生态环境部令第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号公</w:t>
      </w:r>
      <w:r>
        <w:rPr>
          <w:rFonts w:ascii="SimSun" w:hAnsi="SimSun" w:eastAsia="SimSun" w:cs="SimSun"/>
          <w:sz w:val="24"/>
          <w:szCs w:val="24"/>
          <w:spacing w:val="-8"/>
        </w:rPr>
        <w:t>布</w:t>
      </w:r>
      <w:r>
        <w:rPr>
          <w:rFonts w:ascii="SimSun" w:hAnsi="SimSun" w:eastAsia="SimSun" w:cs="SimSun"/>
          <w:sz w:val="24"/>
          <w:szCs w:val="24"/>
          <w:spacing w:val="-36"/>
        </w:rPr>
        <w:t>），</w:t>
      </w:r>
      <w:r>
        <w:rPr>
          <w:rFonts w:ascii="Times New Roman" w:hAnsi="Times New Roman" w:eastAsia="Times New Roman" w:cs="Times New Roman"/>
          <w:sz w:val="24"/>
          <w:szCs w:val="24"/>
          <w:spacing w:val="-8"/>
        </w:rPr>
        <w:t>2024</w:t>
      </w:r>
      <w:r>
        <w:rPr>
          <w:rFonts w:ascii="SimSun" w:hAnsi="SimSun" w:eastAsia="SimSun" w:cs="SimSun"/>
          <w:sz w:val="24"/>
          <w:szCs w:val="24"/>
          <w:spacing w:val="-13"/>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3"/>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3"/>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3"/>
        </w:rPr>
        <w:t>1</w:t>
      </w:r>
      <w:r>
        <w:rPr>
          <w:rFonts w:ascii="Times New Roman" w:hAnsi="Times New Roman" w:eastAsia="Times New Roman" w:cs="Times New Roman"/>
          <w:sz w:val="24"/>
          <w:szCs w:val="24"/>
          <w:spacing w:val="51"/>
        </w:rPr>
        <w:t xml:space="preserve"> </w:t>
      </w:r>
      <w:r>
        <w:rPr>
          <w:rFonts w:ascii="SimSun" w:hAnsi="SimSun" w:eastAsia="SimSun" w:cs="SimSun"/>
          <w:sz w:val="24"/>
          <w:szCs w:val="24"/>
          <w:spacing w:val="-13"/>
        </w:rPr>
        <w:t>日起施行；</w:t>
      </w:r>
    </w:p>
    <w:p>
      <w:pPr>
        <w:ind w:left="8" w:firstLine="487"/>
        <w:spacing w:before="153"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46</w:t>
      </w:r>
      <w:r>
        <w:rPr>
          <w:rFonts w:ascii="SimSun" w:hAnsi="SimSun" w:eastAsia="SimSun" w:cs="SimSun"/>
          <w:sz w:val="24"/>
          <w:szCs w:val="24"/>
          <w:spacing w:val="-2"/>
        </w:rPr>
        <w:t>）生态环境部、国家发展和改革委员会、国家能源局《关于进一步加强煤炭资</w:t>
      </w:r>
      <w:r>
        <w:rPr>
          <w:rFonts w:ascii="SimSun" w:hAnsi="SimSun" w:eastAsia="SimSun" w:cs="SimSun"/>
          <w:sz w:val="24"/>
          <w:szCs w:val="24"/>
          <w:spacing w:val="-5"/>
        </w:rPr>
        <w:t>源开发环境影响评价管理的通知》</w:t>
      </w:r>
      <w:r>
        <w:rPr>
          <w:rFonts w:ascii="SimSun" w:hAnsi="SimSun" w:eastAsia="SimSun" w:cs="SimSun"/>
          <w:sz w:val="24"/>
          <w:szCs w:val="24"/>
          <w:spacing w:val="-36"/>
        </w:rPr>
        <w:t>，（</w:t>
      </w:r>
      <w:r>
        <w:rPr>
          <w:rFonts w:ascii="SimSun" w:hAnsi="SimSun" w:eastAsia="SimSun" w:cs="SimSun"/>
          <w:sz w:val="24"/>
          <w:szCs w:val="24"/>
          <w:spacing w:val="-5"/>
        </w:rPr>
        <w:t>环环评〔</w:t>
      </w:r>
      <w:r>
        <w:rPr>
          <w:rFonts w:ascii="Times New Roman" w:hAnsi="Times New Roman" w:eastAsia="Times New Roman" w:cs="Times New Roman"/>
          <w:sz w:val="24"/>
          <w:szCs w:val="24"/>
          <w:spacing w:val="-5"/>
        </w:rPr>
        <w:t>2020</w:t>
      </w:r>
      <w:r>
        <w:rPr>
          <w:rFonts w:ascii="SimSun" w:hAnsi="SimSun" w:eastAsia="SimSun" w:cs="SimSun"/>
          <w:sz w:val="24"/>
          <w:szCs w:val="24"/>
          <w:spacing w:val="-5"/>
        </w:rPr>
        <w:t>〕</w:t>
      </w:r>
      <w:r>
        <w:rPr>
          <w:rFonts w:ascii="Times New Roman" w:hAnsi="Times New Roman" w:eastAsia="Times New Roman" w:cs="Times New Roman"/>
          <w:sz w:val="24"/>
          <w:szCs w:val="24"/>
          <w:spacing w:val="-5"/>
        </w:rPr>
        <w:t>63</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5"/>
        </w:rPr>
        <w:t>号</w:t>
      </w:r>
      <w:r>
        <w:rPr>
          <w:rFonts w:ascii="SimSun" w:hAnsi="SimSun" w:eastAsia="SimSun" w:cs="SimSun"/>
          <w:sz w:val="24"/>
          <w:szCs w:val="24"/>
          <w:spacing w:val="-36"/>
        </w:rPr>
        <w:t>），</w:t>
      </w:r>
      <w:r>
        <w:rPr>
          <w:rFonts w:ascii="Times New Roman" w:hAnsi="Times New Roman" w:eastAsia="Times New Roman" w:cs="Times New Roman"/>
          <w:sz w:val="24"/>
          <w:szCs w:val="24"/>
          <w:spacing w:val="-5"/>
        </w:rPr>
        <w:t>2020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5"/>
        </w:rPr>
        <w:t>4  </w:t>
      </w:r>
      <w:r>
        <w:rPr>
          <w:rFonts w:ascii="SimSun" w:hAnsi="SimSun" w:eastAsia="SimSun" w:cs="SimSun"/>
          <w:sz w:val="24"/>
          <w:szCs w:val="24"/>
          <w:spacing w:val="-5"/>
        </w:rPr>
        <w:t>日印发；</w:t>
      </w:r>
    </w:p>
    <w:p>
      <w:pPr>
        <w:ind w:left="5" w:right="63" w:firstLine="490"/>
        <w:spacing w:before="156" w:line="27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47</w:t>
      </w:r>
      <w:r>
        <w:rPr>
          <w:rFonts w:ascii="SimSun" w:hAnsi="SimSun" w:eastAsia="SimSun" w:cs="SimSun"/>
          <w:sz w:val="24"/>
          <w:szCs w:val="24"/>
          <w:spacing w:val="-2"/>
        </w:rPr>
        <w:t>）《关于加快建设绿色矿山的实施意见》</w:t>
      </w:r>
      <w:r>
        <w:rPr>
          <w:rFonts w:ascii="SimSun" w:hAnsi="SimSun" w:eastAsia="SimSun" w:cs="SimSun"/>
          <w:sz w:val="24"/>
          <w:szCs w:val="24"/>
          <w:spacing w:val="-3"/>
        </w:rPr>
        <w:t>国土资规〔</w:t>
      </w:r>
      <w:r>
        <w:rPr>
          <w:rFonts w:ascii="Times New Roman" w:hAnsi="Times New Roman" w:eastAsia="Times New Roman" w:cs="Times New Roman"/>
          <w:sz w:val="24"/>
          <w:szCs w:val="24"/>
          <w:spacing w:val="-3"/>
        </w:rPr>
        <w:t>2017</w:t>
      </w: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Times New Roman" w:hAnsi="Times New Roman" w:eastAsia="Times New Roman" w:cs="Times New Roman"/>
          <w:sz w:val="24"/>
          <w:szCs w:val="24"/>
          <w:spacing w:val="-3"/>
        </w:rPr>
        <w:t>2017 </w:t>
      </w:r>
      <w:r>
        <w:rPr>
          <w:rFonts w:ascii="SimSun" w:hAnsi="SimSun" w:eastAsia="SimSun" w:cs="SimSun"/>
          <w:sz w:val="24"/>
          <w:szCs w:val="24"/>
          <w:spacing w:val="-3"/>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Times New Roman" w:hAnsi="Times New Roman" w:eastAsia="Times New Roman" w:cs="Times New Roman"/>
          <w:sz w:val="24"/>
          <w:szCs w:val="24"/>
          <w:spacing w:val="-10"/>
        </w:rPr>
        <w:t>22</w:t>
      </w:r>
      <w:r>
        <w:rPr>
          <w:rFonts w:ascii="Times New Roman" w:hAnsi="Times New Roman" w:eastAsia="Times New Roman" w:cs="Times New Roman"/>
          <w:sz w:val="24"/>
          <w:szCs w:val="24"/>
          <w:spacing w:val="53"/>
          <w:w w:val="101"/>
        </w:rPr>
        <w:t xml:space="preserve"> </w:t>
      </w:r>
      <w:r>
        <w:rPr>
          <w:rFonts w:ascii="SimSun" w:hAnsi="SimSun" w:eastAsia="SimSun" w:cs="SimSun"/>
          <w:sz w:val="24"/>
          <w:szCs w:val="24"/>
          <w:spacing w:val="-10"/>
        </w:rPr>
        <w:t>日发布；</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48</w:t>
      </w:r>
      <w:r>
        <w:rPr>
          <w:rFonts w:ascii="SimSun" w:hAnsi="SimSun" w:eastAsia="SimSun" w:cs="SimSun"/>
          <w:sz w:val="24"/>
          <w:szCs w:val="24"/>
          <w:spacing w:val="-3"/>
        </w:rPr>
        <w:t>）《国家重点保护野生动物名录》，</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日发布实施；</w:t>
      </w:r>
    </w:p>
    <w:p>
      <w:pPr>
        <w:ind w:left="10" w:right="63" w:firstLine="485"/>
        <w:spacing w:before="154" w:line="279" w:lineRule="auto"/>
        <w:rPr>
          <w:rFonts w:ascii="SimSun" w:hAnsi="SimSun" w:eastAsia="SimSun" w:cs="SimSun"/>
          <w:sz w:val="24"/>
          <w:szCs w:val="24"/>
        </w:rPr>
      </w:pPr>
      <w:r>
        <w:rPr>
          <w:rFonts w:ascii="SimSun" w:hAnsi="SimSun" w:eastAsia="SimSun" w:cs="SimSun"/>
          <w:sz w:val="24"/>
          <w:szCs w:val="24"/>
          <w:spacing w:val="-7"/>
        </w:rPr>
        <w:t>（</w:t>
      </w:r>
      <w:r>
        <w:rPr>
          <w:rFonts w:ascii="Times New Roman" w:hAnsi="Times New Roman" w:eastAsia="Times New Roman" w:cs="Times New Roman"/>
          <w:sz w:val="24"/>
          <w:szCs w:val="24"/>
          <w:spacing w:val="-7"/>
        </w:rPr>
        <w:t>49</w:t>
      </w:r>
      <w:r>
        <w:rPr>
          <w:rFonts w:ascii="SimSun" w:hAnsi="SimSun" w:eastAsia="SimSun" w:cs="SimSun"/>
          <w:sz w:val="24"/>
          <w:szCs w:val="24"/>
          <w:spacing w:val="-7"/>
        </w:rPr>
        <w:t>）《关于进一步优化环境影响评价工作的意见》（环</w:t>
      </w:r>
      <w:r>
        <w:rPr>
          <w:rFonts w:ascii="SimSun" w:hAnsi="SimSun" w:eastAsia="SimSun" w:cs="SimSun"/>
          <w:sz w:val="24"/>
          <w:szCs w:val="24"/>
          <w:spacing w:val="-8"/>
        </w:rPr>
        <w:t>环评〔</w:t>
      </w:r>
      <w:r>
        <w:rPr>
          <w:rFonts w:ascii="Times New Roman" w:hAnsi="Times New Roman" w:eastAsia="Times New Roman" w:cs="Times New Roman"/>
          <w:sz w:val="24"/>
          <w:szCs w:val="24"/>
          <w:spacing w:val="-8"/>
        </w:rPr>
        <w:t>2023</w:t>
      </w:r>
      <w:r>
        <w:rPr>
          <w:rFonts w:ascii="SimSun" w:hAnsi="SimSun" w:eastAsia="SimSun" w:cs="SimSun"/>
          <w:sz w:val="24"/>
          <w:szCs w:val="24"/>
          <w:spacing w:val="-8"/>
        </w:rPr>
        <w:t>〕</w:t>
      </w:r>
      <w:r>
        <w:rPr>
          <w:rFonts w:ascii="Times New Roman" w:hAnsi="Times New Roman" w:eastAsia="Times New Roman" w:cs="Times New Roman"/>
          <w:sz w:val="24"/>
          <w:szCs w:val="24"/>
          <w:spacing w:val="-8"/>
        </w:rPr>
        <w:t>52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号</w:t>
      </w:r>
      <w:r>
        <w:rPr>
          <w:rFonts w:ascii="SimSun" w:hAnsi="SimSun" w:eastAsia="SimSun" w:cs="SimSun"/>
          <w:sz w:val="24"/>
          <w:szCs w:val="24"/>
          <w:spacing w:val="-39"/>
        </w:rPr>
        <w:t>），</w:t>
      </w:r>
      <w:r>
        <w:rPr>
          <w:rFonts w:ascii="Times New Roman" w:hAnsi="Times New Roman" w:eastAsia="Times New Roman" w:cs="Times New Roman"/>
          <w:sz w:val="24"/>
          <w:szCs w:val="24"/>
          <w:spacing w:val="-8"/>
        </w:rPr>
        <w:t>2023</w:t>
      </w:r>
      <w:r>
        <w:rPr>
          <w:rFonts w:ascii="SimSun" w:hAnsi="SimSun" w:eastAsia="SimSun" w:cs="SimSun"/>
          <w:sz w:val="24"/>
          <w:szCs w:val="24"/>
          <w:spacing w:val="-14"/>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4"/>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4"/>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4"/>
        </w:rPr>
        <w:t>19  </w:t>
      </w:r>
      <w:r>
        <w:rPr>
          <w:rFonts w:ascii="SimSun" w:hAnsi="SimSun" w:eastAsia="SimSun" w:cs="SimSun"/>
          <w:sz w:val="24"/>
          <w:szCs w:val="24"/>
          <w:spacing w:val="-14"/>
        </w:rPr>
        <w:t>日；</w:t>
      </w:r>
    </w:p>
    <w:p>
      <w:pPr>
        <w:spacing w:before="157" w:line="210" w:lineRule="auto"/>
        <w:jc w:val="right"/>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50</w:t>
      </w:r>
      <w:r>
        <w:rPr>
          <w:rFonts w:ascii="SimSun" w:hAnsi="SimSun" w:eastAsia="SimSun" w:cs="SimSun"/>
          <w:sz w:val="24"/>
          <w:szCs w:val="24"/>
          <w:spacing w:val="-3"/>
        </w:rPr>
        <w:t>）《关于印发生态环境分区管控管理暂行规定的通知》（</w:t>
      </w:r>
      <w:r>
        <w:rPr>
          <w:rFonts w:ascii="SimSun" w:hAnsi="SimSun" w:eastAsia="SimSun" w:cs="SimSun"/>
          <w:sz w:val="24"/>
          <w:szCs w:val="24"/>
          <w:spacing w:val="-4"/>
        </w:rPr>
        <w:t>环环评</w:t>
      </w:r>
      <w:r>
        <w:rPr>
          <w:rFonts w:ascii="Times New Roman" w:hAnsi="Times New Roman" w:eastAsia="Times New Roman" w:cs="Times New Roman"/>
          <w:sz w:val="24"/>
          <w:szCs w:val="24"/>
          <w:spacing w:val="-4"/>
        </w:rPr>
        <w:t>[2024]41</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号</w:t>
      </w:r>
      <w:r>
        <w:rPr>
          <w:rFonts w:ascii="SimSun" w:hAnsi="SimSun" w:eastAsia="SimSun" w:cs="SimSun"/>
          <w:sz w:val="24"/>
          <w:szCs w:val="24"/>
          <w:spacing w:val="-52"/>
        </w:rPr>
        <w:t>）；</w:t>
      </w:r>
    </w:p>
    <w:p>
      <w:pPr>
        <w:ind w:left="495"/>
        <w:spacing w:before="166" w:line="21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51</w:t>
      </w:r>
      <w:r>
        <w:rPr>
          <w:rFonts w:ascii="SimSun" w:hAnsi="SimSun" w:eastAsia="SimSun" w:cs="SimSun"/>
          <w:sz w:val="24"/>
          <w:szCs w:val="24"/>
        </w:rPr>
        <w:t>）《内蒙古自治区环境保护条例（</w:t>
      </w:r>
      <w:r>
        <w:rPr>
          <w:rFonts w:ascii="Times New Roman" w:hAnsi="Times New Roman" w:eastAsia="Times New Roman" w:cs="Times New Roman"/>
          <w:sz w:val="24"/>
          <w:szCs w:val="24"/>
        </w:rPr>
        <w:t>2018</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年修正）》，</w:t>
      </w:r>
      <w:r>
        <w:rPr>
          <w:rFonts w:ascii="Times New Roman" w:hAnsi="Times New Roman" w:eastAsia="Times New Roman" w:cs="Times New Roman"/>
          <w:sz w:val="24"/>
          <w:szCs w:val="24"/>
          <w:spacing w:val="-1"/>
        </w:rPr>
        <w:t>2018.12.6</w:t>
      </w:r>
      <w:r>
        <w:rPr>
          <w:rFonts w:ascii="SimSun" w:hAnsi="SimSun" w:eastAsia="SimSun" w:cs="SimSun"/>
          <w:sz w:val="24"/>
          <w:szCs w:val="24"/>
          <w:spacing w:val="-1"/>
        </w:rPr>
        <w:t>；</w:t>
      </w:r>
    </w:p>
    <w:p>
      <w:pPr>
        <w:ind w:left="495"/>
        <w:spacing w:before="15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52</w:t>
      </w:r>
      <w:r>
        <w:rPr>
          <w:rFonts w:ascii="SimSun" w:hAnsi="SimSun" w:eastAsia="SimSun" w:cs="SimSun"/>
          <w:sz w:val="24"/>
          <w:szCs w:val="24"/>
          <w:spacing w:val="-2"/>
        </w:rPr>
        <w:t>）《内蒙古自治区草原管理条例》（</w:t>
      </w:r>
      <w:r>
        <w:rPr>
          <w:rFonts w:ascii="Times New Roman" w:hAnsi="Times New Roman" w:eastAsia="Times New Roman" w:cs="Times New Roman"/>
          <w:sz w:val="24"/>
          <w:szCs w:val="24"/>
          <w:spacing w:val="-2"/>
        </w:rPr>
        <w:t>2004.</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2"/>
        </w:rPr>
        <w:t>11</w:t>
      </w:r>
      <w:r>
        <w:rPr>
          <w:rFonts w:ascii="SimSun" w:hAnsi="SimSun" w:eastAsia="SimSun" w:cs="SimSun"/>
          <w:sz w:val="24"/>
          <w:szCs w:val="24"/>
          <w:spacing w:val="-1"/>
        </w:rPr>
        <w:t>）；</w:t>
      </w:r>
    </w:p>
    <w:p>
      <w:pPr>
        <w:ind w:left="495"/>
        <w:spacing w:before="15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53</w:t>
      </w:r>
      <w:r>
        <w:rPr>
          <w:rFonts w:ascii="SimSun" w:hAnsi="SimSun" w:eastAsia="SimSun" w:cs="SimSun"/>
          <w:sz w:val="24"/>
          <w:szCs w:val="24"/>
          <w:spacing w:val="-1"/>
        </w:rPr>
        <w:t>）《内蒙古自治区水土保持条例》（</w:t>
      </w:r>
      <w:r>
        <w:rPr>
          <w:rFonts w:ascii="Times New Roman" w:hAnsi="Times New Roman" w:eastAsia="Times New Roman" w:cs="Times New Roman"/>
          <w:sz w:val="24"/>
          <w:szCs w:val="24"/>
          <w:spacing w:val="-1"/>
        </w:rPr>
        <w:t>2015.7</w:t>
      </w:r>
      <w:r>
        <w:rPr>
          <w:rFonts w:ascii="SimSun" w:hAnsi="SimSun" w:eastAsia="SimSun" w:cs="SimSun"/>
          <w:sz w:val="24"/>
          <w:szCs w:val="24"/>
          <w:spacing w:val="4"/>
        </w:rPr>
        <w:t>）；</w:t>
      </w:r>
    </w:p>
    <w:p>
      <w:pPr>
        <w:ind w:left="495"/>
        <w:spacing w:before="15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54</w:t>
      </w:r>
      <w:r>
        <w:rPr>
          <w:rFonts w:ascii="SimSun" w:hAnsi="SimSun" w:eastAsia="SimSun" w:cs="SimSun"/>
          <w:sz w:val="24"/>
          <w:szCs w:val="24"/>
          <w:spacing w:val="-2"/>
        </w:rPr>
        <w:t>）《内蒙古自治区草原管理条例实施细则》（</w:t>
      </w:r>
      <w:r>
        <w:rPr>
          <w:rFonts w:ascii="Times New Roman" w:hAnsi="Times New Roman" w:eastAsia="Times New Roman" w:cs="Times New Roman"/>
          <w:sz w:val="24"/>
          <w:szCs w:val="24"/>
          <w:spacing w:val="-2"/>
        </w:rPr>
        <w:t>2006.</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6"/>
        </w:rPr>
        <w:t>）；</w:t>
      </w:r>
    </w:p>
    <w:p>
      <w:pPr>
        <w:ind w:left="495"/>
        <w:spacing w:before="15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55</w:t>
      </w:r>
      <w:r>
        <w:rPr>
          <w:rFonts w:ascii="SimSun" w:hAnsi="SimSun" w:eastAsia="SimSun" w:cs="SimSun"/>
          <w:sz w:val="24"/>
          <w:szCs w:val="24"/>
          <w:spacing w:val="-2"/>
        </w:rPr>
        <w:t>）《内蒙古自治区基本草原保护条例》（</w:t>
      </w:r>
      <w:r>
        <w:rPr>
          <w:rFonts w:ascii="Times New Roman" w:hAnsi="Times New Roman" w:eastAsia="Times New Roman" w:cs="Times New Roman"/>
          <w:sz w:val="24"/>
          <w:szCs w:val="24"/>
          <w:spacing w:val="-2"/>
        </w:rPr>
        <w:t>2024.</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2"/>
        </w:rPr>
        <w:t>11</w:t>
      </w:r>
      <w:r>
        <w:rPr>
          <w:rFonts w:ascii="SimSun" w:hAnsi="SimSun" w:eastAsia="SimSun" w:cs="SimSun"/>
          <w:sz w:val="24"/>
          <w:szCs w:val="24"/>
          <w:spacing w:val="-2"/>
        </w:rPr>
        <w:t>）</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56</w:t>
      </w:r>
      <w:r>
        <w:rPr>
          <w:rFonts w:ascii="SimSun" w:hAnsi="SimSun" w:eastAsia="SimSun" w:cs="SimSun"/>
          <w:sz w:val="24"/>
          <w:szCs w:val="24"/>
          <w:spacing w:val="-1"/>
        </w:rPr>
        <w:t>）《内蒙古自治区煤炭管理条例》，</w:t>
      </w:r>
      <w:r>
        <w:rPr>
          <w:rFonts w:ascii="Times New Roman" w:hAnsi="Times New Roman" w:eastAsia="Times New Roman" w:cs="Times New Roman"/>
          <w:sz w:val="24"/>
          <w:szCs w:val="24"/>
          <w:spacing w:val="-1"/>
        </w:rPr>
        <w:t>2023.1.1 </w:t>
      </w:r>
      <w:r>
        <w:rPr>
          <w:rFonts w:ascii="SimSun" w:hAnsi="SimSun" w:eastAsia="SimSun" w:cs="SimSun"/>
          <w:sz w:val="24"/>
          <w:szCs w:val="24"/>
          <w:spacing w:val="-1"/>
        </w:rPr>
        <w:t>起施行；</w:t>
      </w:r>
    </w:p>
    <w:p>
      <w:pPr>
        <w:ind w:left="495"/>
        <w:spacing w:before="155"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57</w:t>
      </w:r>
      <w:r>
        <w:rPr>
          <w:rFonts w:ascii="SimSun" w:hAnsi="SimSun" w:eastAsia="SimSun" w:cs="SimSun"/>
          <w:sz w:val="24"/>
          <w:szCs w:val="24"/>
          <w:spacing w:val="-1"/>
        </w:rPr>
        <w:t>）《内蒙古自治区河湖保护和管理条例》，</w:t>
      </w:r>
      <w:r>
        <w:rPr>
          <w:rFonts w:ascii="Times New Roman" w:hAnsi="Times New Roman" w:eastAsia="Times New Roman" w:cs="Times New Roman"/>
          <w:sz w:val="24"/>
          <w:szCs w:val="24"/>
          <w:spacing w:val="-1"/>
        </w:rPr>
        <w:t>2023.1.1 </w:t>
      </w:r>
      <w:r>
        <w:rPr>
          <w:rFonts w:ascii="SimSun" w:hAnsi="SimSun" w:eastAsia="SimSun" w:cs="SimSun"/>
          <w:sz w:val="24"/>
          <w:szCs w:val="24"/>
          <w:spacing w:val="-1"/>
        </w:rPr>
        <w:t>起施行；</w:t>
      </w:r>
    </w:p>
    <w:p>
      <w:pPr>
        <w:ind w:left="495"/>
        <w:spacing w:before="154" w:line="21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58</w:t>
      </w:r>
      <w:r>
        <w:rPr>
          <w:rFonts w:ascii="SimSun" w:hAnsi="SimSun" w:eastAsia="SimSun" w:cs="SimSun"/>
          <w:sz w:val="24"/>
          <w:szCs w:val="24"/>
        </w:rPr>
        <w:t>）《内蒙古自治区地下水保护和管理</w:t>
      </w:r>
      <w:r>
        <w:rPr>
          <w:rFonts w:ascii="SimSun" w:hAnsi="SimSun" w:eastAsia="SimSun" w:cs="SimSun"/>
          <w:sz w:val="24"/>
          <w:szCs w:val="24"/>
          <w:spacing w:val="-1"/>
        </w:rPr>
        <w:t>条例》，</w:t>
      </w:r>
      <w:r>
        <w:rPr>
          <w:rFonts w:ascii="Times New Roman" w:hAnsi="Times New Roman" w:eastAsia="Times New Roman" w:cs="Times New Roman"/>
          <w:sz w:val="24"/>
          <w:szCs w:val="24"/>
          <w:spacing w:val="-1"/>
        </w:rPr>
        <w:t>2022.1.1 </w:t>
      </w:r>
      <w:r>
        <w:rPr>
          <w:rFonts w:ascii="SimSun" w:hAnsi="SimSun" w:eastAsia="SimSun" w:cs="SimSun"/>
          <w:sz w:val="24"/>
          <w:szCs w:val="24"/>
          <w:spacing w:val="-1"/>
        </w:rPr>
        <w:t>起施行；</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59</w:t>
      </w:r>
      <w:r>
        <w:rPr>
          <w:rFonts w:ascii="SimSun" w:hAnsi="SimSun" w:eastAsia="SimSun" w:cs="SimSun"/>
          <w:sz w:val="24"/>
          <w:szCs w:val="24"/>
          <w:spacing w:val="-1"/>
        </w:rPr>
        <w:t>）《内蒙古自治区饮用水水源保护条例》，</w:t>
      </w:r>
      <w:r>
        <w:rPr>
          <w:rFonts w:ascii="Times New Roman" w:hAnsi="Times New Roman" w:eastAsia="Times New Roman" w:cs="Times New Roman"/>
          <w:sz w:val="24"/>
          <w:szCs w:val="24"/>
          <w:spacing w:val="-1"/>
        </w:rPr>
        <w:t>2017.9.29</w:t>
      </w:r>
      <w:r>
        <w:rPr>
          <w:rFonts w:ascii="SimSun" w:hAnsi="SimSun" w:eastAsia="SimSun" w:cs="SimSun"/>
          <w:sz w:val="24"/>
          <w:szCs w:val="24"/>
          <w:spacing w:val="-1"/>
        </w:rPr>
        <w:t>；</w:t>
      </w:r>
    </w:p>
    <w:p>
      <w:pPr>
        <w:ind w:left="19" w:right="63" w:firstLine="476"/>
        <w:spacing w:before="154"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60</w:t>
      </w:r>
      <w:r>
        <w:rPr>
          <w:rFonts w:ascii="SimSun" w:hAnsi="SimSun" w:eastAsia="SimSun" w:cs="SimSun"/>
          <w:sz w:val="24"/>
          <w:szCs w:val="24"/>
          <w:spacing w:val="-2"/>
        </w:rPr>
        <w:t>）《内蒙古自治区国家重点生态功能区产业准入负面清单（试行）》（内政发</w:t>
      </w:r>
      <w:r>
        <w:rPr>
          <w:rFonts w:ascii="Times New Roman" w:hAnsi="Times New Roman" w:eastAsia="Times New Roman" w:cs="Times New Roman"/>
          <w:sz w:val="24"/>
          <w:szCs w:val="24"/>
          <w:spacing w:val="-6"/>
        </w:rPr>
        <w:t>[2018]11 </w:t>
      </w:r>
      <w:r>
        <w:rPr>
          <w:rFonts w:ascii="SimSun" w:hAnsi="SimSun" w:eastAsia="SimSun" w:cs="SimSun"/>
          <w:sz w:val="24"/>
          <w:szCs w:val="24"/>
          <w:spacing w:val="-6"/>
        </w:rPr>
        <w:t>号</w:t>
      </w:r>
      <w:r>
        <w:rPr>
          <w:rFonts w:ascii="SimSun" w:hAnsi="SimSun" w:eastAsia="SimSun" w:cs="SimSun"/>
          <w:sz w:val="24"/>
          <w:szCs w:val="24"/>
          <w:spacing w:val="2"/>
        </w:rPr>
        <w:t>），</w:t>
      </w:r>
      <w:r>
        <w:rPr>
          <w:rFonts w:ascii="Times New Roman" w:hAnsi="Times New Roman" w:eastAsia="Times New Roman" w:cs="Times New Roman"/>
          <w:sz w:val="24"/>
          <w:szCs w:val="24"/>
          <w:spacing w:val="-6"/>
        </w:rPr>
        <w:t>2018 </w:t>
      </w:r>
      <w:r>
        <w:rPr>
          <w:rFonts w:ascii="SimSun" w:hAnsi="SimSun" w:eastAsia="SimSun" w:cs="SimSun"/>
          <w:sz w:val="24"/>
          <w:szCs w:val="24"/>
          <w:spacing w:val="-6"/>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7"/>
        </w:rPr>
        <w:t xml:space="preserve">  </w:t>
      </w:r>
      <w:r>
        <w:rPr>
          <w:rFonts w:ascii="SimSun" w:hAnsi="SimSun" w:eastAsia="SimSun" w:cs="SimSun"/>
          <w:sz w:val="24"/>
          <w:szCs w:val="24"/>
          <w:spacing w:val="-7"/>
        </w:rPr>
        <w:t>日；</w:t>
      </w:r>
    </w:p>
    <w:p>
      <w:pPr>
        <w:ind w:left="10" w:right="63" w:firstLine="485"/>
        <w:spacing w:before="166"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61</w:t>
      </w:r>
      <w:r>
        <w:rPr>
          <w:rFonts w:ascii="SimSun" w:hAnsi="SimSun" w:eastAsia="SimSun" w:cs="SimSun"/>
          <w:sz w:val="24"/>
          <w:szCs w:val="24"/>
          <w:spacing w:val="-2"/>
        </w:rPr>
        <w:t>）《内蒙古自治区人民政府办公厅关于印发内蒙古自治区控制污染物排放许可</w:t>
      </w:r>
      <w:r>
        <w:rPr>
          <w:rFonts w:ascii="SimSun" w:hAnsi="SimSun" w:eastAsia="SimSun" w:cs="SimSun"/>
          <w:sz w:val="24"/>
          <w:szCs w:val="24"/>
          <w:spacing w:val="-1"/>
        </w:rPr>
        <w:t>制实施方案》（内政办发</w:t>
      </w:r>
      <w:r>
        <w:rPr>
          <w:rFonts w:ascii="Times New Roman" w:hAnsi="Times New Roman" w:eastAsia="Times New Roman" w:cs="Times New Roman"/>
          <w:sz w:val="24"/>
          <w:szCs w:val="24"/>
          <w:spacing w:val="-1"/>
        </w:rPr>
        <w:t>[2017]98</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2017.6.6</w:t>
      </w:r>
      <w:r>
        <w:rPr>
          <w:rFonts w:ascii="SimSun" w:hAnsi="SimSun" w:eastAsia="SimSun" w:cs="SimSun"/>
          <w:sz w:val="24"/>
          <w:szCs w:val="24"/>
          <w:spacing w:val="1"/>
        </w:rPr>
        <w:t>）；</w:t>
      </w:r>
    </w:p>
    <w:p>
      <w:pPr>
        <w:ind w:left="9" w:right="63" w:firstLine="486"/>
        <w:spacing w:before="163"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62</w:t>
      </w:r>
      <w:r>
        <w:rPr>
          <w:rFonts w:ascii="SimSun" w:hAnsi="SimSun" w:eastAsia="SimSun" w:cs="SimSun"/>
          <w:sz w:val="24"/>
          <w:szCs w:val="24"/>
          <w:spacing w:val="-2"/>
        </w:rPr>
        <w:t>）《内蒙古自治区人民政府办公厅关于公布内蒙古自治区重点保护陆生野生动</w:t>
      </w:r>
      <w:r>
        <w:rPr>
          <w:rFonts w:ascii="SimSun" w:hAnsi="SimSun" w:eastAsia="SimSun" w:cs="SimSun"/>
          <w:sz w:val="24"/>
          <w:szCs w:val="24"/>
          <w:spacing w:val="-2"/>
        </w:rPr>
        <w:t>物名录的通知》（内政发</w:t>
      </w:r>
      <w:r>
        <w:rPr>
          <w:rFonts w:ascii="Times New Roman" w:hAnsi="Times New Roman" w:eastAsia="Times New Roman" w:cs="Times New Roman"/>
          <w:sz w:val="24"/>
          <w:szCs w:val="24"/>
          <w:spacing w:val="-2"/>
        </w:rPr>
        <w:t>[2021]78</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2021.11.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17</w:t>
      </w:r>
      <w:r>
        <w:rPr>
          <w:rFonts w:ascii="SimSun" w:hAnsi="SimSun" w:eastAsia="SimSun" w:cs="SimSun"/>
          <w:sz w:val="24"/>
          <w:szCs w:val="24"/>
          <w:spacing w:val="-1"/>
        </w:rPr>
        <w:t>）；</w:t>
      </w:r>
    </w:p>
    <w:p>
      <w:pPr>
        <w:ind w:left="14" w:right="63" w:firstLine="481"/>
        <w:spacing w:before="166"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63</w:t>
      </w:r>
      <w:r>
        <w:rPr>
          <w:rFonts w:ascii="SimSun" w:hAnsi="SimSun" w:eastAsia="SimSun" w:cs="SimSun"/>
          <w:sz w:val="24"/>
          <w:szCs w:val="24"/>
          <w:spacing w:val="-2"/>
        </w:rPr>
        <w:t>）《内蒙古自治区人民政府办公厅关于印发自治区矿山环境治理实施方案的通</w:t>
      </w:r>
      <w:r>
        <w:rPr>
          <w:rFonts w:ascii="SimSun" w:hAnsi="SimSun" w:eastAsia="SimSun" w:cs="SimSun"/>
          <w:sz w:val="24"/>
          <w:szCs w:val="24"/>
          <w:spacing w:val="-1"/>
        </w:rPr>
        <w:t>知》（内政办字</w:t>
      </w:r>
      <w:r>
        <w:rPr>
          <w:rFonts w:ascii="Times New Roman" w:hAnsi="Times New Roman" w:eastAsia="Times New Roman" w:cs="Times New Roman"/>
          <w:sz w:val="24"/>
          <w:szCs w:val="24"/>
          <w:spacing w:val="-1"/>
        </w:rPr>
        <w:t>[2020]56</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w:t>
      </w:r>
      <w:r>
        <w:rPr>
          <w:rFonts w:ascii="Times New Roman" w:hAnsi="Times New Roman" w:eastAsia="Times New Roman" w:cs="Times New Roman"/>
          <w:sz w:val="24"/>
          <w:szCs w:val="24"/>
          <w:spacing w:val="-1"/>
        </w:rPr>
        <w:t>202</w:t>
      </w:r>
      <w:r>
        <w:rPr>
          <w:rFonts w:ascii="Times New Roman" w:hAnsi="Times New Roman" w:eastAsia="Times New Roman" w:cs="Times New Roman"/>
          <w:sz w:val="24"/>
          <w:szCs w:val="24"/>
          <w:spacing w:val="-2"/>
        </w:rPr>
        <w:t>0.8.5</w:t>
      </w:r>
      <w:r>
        <w:rPr>
          <w:rFonts w:ascii="SimSun" w:hAnsi="SimSun" w:eastAsia="SimSun" w:cs="SimSun"/>
          <w:sz w:val="24"/>
          <w:szCs w:val="24"/>
        </w:rPr>
        <w:t>）；</w:t>
      </w:r>
    </w:p>
    <w:p>
      <w:pPr>
        <w:spacing w:line="275" w:lineRule="auto"/>
        <w:sectPr>
          <w:headerReference w:type="default" r:id="rId36"/>
          <w:footerReference w:type="default" r:id="rId40"/>
          <w:pgSz w:w="11906" w:h="16838"/>
          <w:pgMar w:top="1170" w:right="1353" w:bottom="1080" w:left="1416" w:header="837" w:footer="918" w:gutter="0"/>
        </w:sectPr>
        <w:rPr>
          <w:rFonts w:ascii="SimSun" w:hAnsi="SimSun" w:eastAsia="SimSun" w:cs="SimSun"/>
          <w:sz w:val="24"/>
          <w:szCs w:val="24"/>
        </w:rPr>
      </w:pPr>
    </w:p>
    <w:p>
      <w:pPr>
        <w:pStyle w:val="BodyText"/>
        <w:spacing w:line="312" w:lineRule="auto"/>
        <w:rPr/>
      </w:pPr>
      <w:r/>
    </w:p>
    <w:p>
      <w:pPr>
        <w:ind w:left="13" w:right="104" w:firstLine="482"/>
        <w:spacing w:before="78"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64</w:t>
      </w:r>
      <w:r>
        <w:rPr>
          <w:rFonts w:ascii="SimSun" w:hAnsi="SimSun" w:eastAsia="SimSun" w:cs="SimSun"/>
          <w:sz w:val="24"/>
          <w:szCs w:val="24"/>
          <w:spacing w:val="-2"/>
        </w:rPr>
        <w:t>）《内蒙古自治区人民政府关于印发自治区绿色矿山建设方案的通知》（内政</w:t>
      </w:r>
      <w:r>
        <w:rPr>
          <w:rFonts w:ascii="SimSun" w:hAnsi="SimSun" w:eastAsia="SimSun" w:cs="SimSun"/>
          <w:sz w:val="24"/>
          <w:szCs w:val="24"/>
          <w:spacing w:val="-2"/>
        </w:rPr>
        <w:t>发</w:t>
      </w:r>
      <w:r>
        <w:rPr>
          <w:rFonts w:ascii="Times New Roman" w:hAnsi="Times New Roman" w:eastAsia="Times New Roman" w:cs="Times New Roman"/>
          <w:sz w:val="24"/>
          <w:szCs w:val="24"/>
          <w:spacing w:val="-2"/>
        </w:rPr>
        <w:t>[2020]18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2020.11.5</w:t>
      </w:r>
      <w:r>
        <w:rPr>
          <w:rFonts w:ascii="SimSun" w:hAnsi="SimSun" w:eastAsia="SimSun" w:cs="SimSun"/>
          <w:sz w:val="24"/>
          <w:szCs w:val="24"/>
          <w:spacing w:val="1"/>
        </w:rPr>
        <w:t>）；</w:t>
      </w:r>
    </w:p>
    <w:p>
      <w:pPr>
        <w:ind w:left="8" w:right="104" w:firstLine="487"/>
        <w:spacing w:before="165" w:line="275" w:lineRule="auto"/>
        <w:rPr>
          <w:rFonts w:ascii="SimSun" w:hAnsi="SimSun" w:eastAsia="SimSun" w:cs="SimSun"/>
          <w:sz w:val="24"/>
          <w:szCs w:val="24"/>
        </w:rPr>
      </w:pPr>
      <w:r>
        <w:rPr>
          <w:rFonts w:ascii="SimSun" w:hAnsi="SimSun" w:eastAsia="SimSun" w:cs="SimSun"/>
          <w:sz w:val="24"/>
          <w:szCs w:val="24"/>
          <w:spacing w:val="-7"/>
        </w:rPr>
        <w:t>（</w:t>
      </w:r>
      <w:r>
        <w:rPr>
          <w:rFonts w:ascii="Times New Roman" w:hAnsi="Times New Roman" w:eastAsia="Times New Roman" w:cs="Times New Roman"/>
          <w:sz w:val="24"/>
          <w:szCs w:val="24"/>
          <w:spacing w:val="-7"/>
        </w:rPr>
        <w:t>65</w:t>
      </w:r>
      <w:r>
        <w:rPr>
          <w:rFonts w:ascii="SimSun" w:hAnsi="SimSun" w:eastAsia="SimSun" w:cs="SimSun"/>
          <w:sz w:val="24"/>
          <w:szCs w:val="24"/>
          <w:spacing w:val="-7"/>
        </w:rPr>
        <w:t>）《内蒙古自治区人民政府关于实施</w:t>
      </w:r>
      <w:r>
        <w:rPr>
          <w:rFonts w:ascii="Times New Roman" w:hAnsi="Times New Roman" w:eastAsia="Times New Roman" w:cs="Times New Roman"/>
          <w:sz w:val="24"/>
          <w:szCs w:val="24"/>
          <w:spacing w:val="-7"/>
        </w:rPr>
        <w:t>“</w:t>
      </w:r>
      <w:r>
        <w:rPr>
          <w:rFonts w:ascii="SimSun" w:hAnsi="SimSun" w:eastAsia="SimSun" w:cs="SimSun"/>
          <w:sz w:val="24"/>
          <w:szCs w:val="24"/>
          <w:spacing w:val="-7"/>
        </w:rPr>
        <w:t>三线一单</w:t>
      </w:r>
      <w:r>
        <w:rPr>
          <w:rFonts w:ascii="Times New Roman" w:hAnsi="Times New Roman" w:eastAsia="Times New Roman" w:cs="Times New Roman"/>
          <w:sz w:val="24"/>
          <w:szCs w:val="24"/>
          <w:spacing w:val="-7"/>
        </w:rPr>
        <w:t>”</w:t>
      </w:r>
      <w:r>
        <w:rPr>
          <w:rFonts w:ascii="SimSun" w:hAnsi="SimSun" w:eastAsia="SimSun" w:cs="SimSun"/>
          <w:sz w:val="24"/>
          <w:szCs w:val="24"/>
          <w:spacing w:val="-7"/>
        </w:rPr>
        <w:t>生态环境分区管控的</w:t>
      </w:r>
      <w:r>
        <w:rPr>
          <w:rFonts w:ascii="SimSun" w:hAnsi="SimSun" w:eastAsia="SimSun" w:cs="SimSun"/>
          <w:sz w:val="24"/>
          <w:szCs w:val="24"/>
          <w:spacing w:val="-8"/>
        </w:rPr>
        <w:t>意见》（内</w:t>
      </w:r>
      <w:r>
        <w:rPr>
          <w:rFonts w:ascii="SimSun" w:hAnsi="SimSun" w:eastAsia="SimSun" w:cs="SimSun"/>
          <w:sz w:val="24"/>
          <w:szCs w:val="24"/>
          <w:spacing w:val="-2"/>
        </w:rPr>
        <w:t>政发</w:t>
      </w:r>
      <w:r>
        <w:rPr>
          <w:rFonts w:ascii="Times New Roman" w:hAnsi="Times New Roman" w:eastAsia="Times New Roman" w:cs="Times New Roman"/>
          <w:sz w:val="24"/>
          <w:szCs w:val="24"/>
          <w:spacing w:val="-2"/>
        </w:rPr>
        <w:t>[2020]24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10"/>
        </w:rPr>
        <w:t>），</w:t>
      </w:r>
      <w:r>
        <w:rPr>
          <w:rFonts w:ascii="Times New Roman" w:hAnsi="Times New Roman" w:eastAsia="Times New Roman" w:cs="Times New Roman"/>
          <w:sz w:val="24"/>
          <w:szCs w:val="24"/>
          <w:spacing w:val="-2"/>
        </w:rPr>
        <w:t>2020.12.29</w:t>
      </w:r>
      <w:r>
        <w:rPr>
          <w:rFonts w:ascii="SimSun" w:hAnsi="SimSun" w:eastAsia="SimSun" w:cs="SimSun"/>
          <w:sz w:val="24"/>
          <w:szCs w:val="24"/>
          <w:spacing w:val="-2"/>
        </w:rPr>
        <w:t>；</w:t>
      </w:r>
    </w:p>
    <w:p>
      <w:pPr>
        <w:ind w:left="29" w:firstLine="466"/>
        <w:spacing w:before="165"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66</w:t>
      </w:r>
      <w:r>
        <w:rPr>
          <w:rFonts w:ascii="SimSun" w:hAnsi="SimSun" w:eastAsia="SimSun" w:cs="SimSun"/>
          <w:sz w:val="24"/>
          <w:szCs w:val="24"/>
          <w:spacing w:val="-1"/>
        </w:rPr>
        <w:t>）《内蒙古自治区人民政府关于印发内蒙古自治区国土空间规划（</w:t>
      </w:r>
      <w:r>
        <w:rPr>
          <w:rFonts w:ascii="Times New Roman" w:hAnsi="Times New Roman" w:eastAsia="Times New Roman" w:cs="Times New Roman"/>
          <w:sz w:val="24"/>
          <w:szCs w:val="24"/>
          <w:spacing w:val="-1"/>
        </w:rPr>
        <w:t>2021-2035</w:t>
      </w:r>
      <w:r>
        <w:rPr>
          <w:rFonts w:ascii="SimSun" w:hAnsi="SimSun" w:eastAsia="SimSun" w:cs="SimSun"/>
          <w:sz w:val="24"/>
          <w:szCs w:val="24"/>
          <w:spacing w:val="-1"/>
        </w:rPr>
        <w:t>）</w:t>
      </w:r>
      <w:r>
        <w:rPr>
          <w:rFonts w:ascii="SimSun" w:hAnsi="SimSun" w:eastAsia="SimSun" w:cs="SimSun"/>
          <w:sz w:val="24"/>
          <w:szCs w:val="24"/>
          <w:spacing w:val="-2"/>
        </w:rPr>
        <w:t>的通知》（内政发</w:t>
      </w:r>
      <w:r>
        <w:rPr>
          <w:rFonts w:ascii="Times New Roman" w:hAnsi="Times New Roman" w:eastAsia="Times New Roman" w:cs="Times New Roman"/>
          <w:sz w:val="24"/>
          <w:szCs w:val="24"/>
          <w:spacing w:val="-2"/>
        </w:rPr>
        <w:t>[2024]32</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3"/>
        </w:rPr>
        <w:t>），</w:t>
      </w:r>
      <w:r>
        <w:rPr>
          <w:rFonts w:ascii="Times New Roman" w:hAnsi="Times New Roman" w:eastAsia="Times New Roman" w:cs="Times New Roman"/>
          <w:sz w:val="24"/>
          <w:szCs w:val="24"/>
          <w:spacing w:val="-2"/>
        </w:rPr>
        <w:t>2024.7.3</w:t>
      </w:r>
      <w:r>
        <w:rPr>
          <w:rFonts w:ascii="SimSun" w:hAnsi="SimSun" w:eastAsia="SimSun" w:cs="SimSun"/>
          <w:sz w:val="24"/>
          <w:szCs w:val="24"/>
          <w:spacing w:val="-2"/>
        </w:rPr>
        <w:t>；</w:t>
      </w:r>
    </w:p>
    <w:p>
      <w:pPr>
        <w:ind w:left="15" w:right="65" w:firstLine="480"/>
        <w:spacing w:before="163"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67</w:t>
      </w:r>
      <w:r>
        <w:rPr>
          <w:rFonts w:ascii="SimSun" w:hAnsi="SimSun" w:eastAsia="SimSun" w:cs="SimSun"/>
          <w:sz w:val="24"/>
          <w:szCs w:val="24"/>
          <w:spacing w:val="-1"/>
        </w:rPr>
        <w:t>）《自治区人民政府办公厅关于加强生态保护红线管理的实施意见（试行）》</w:t>
      </w:r>
      <w:r>
        <w:rPr>
          <w:rFonts w:ascii="SimSun" w:hAnsi="SimSun" w:eastAsia="SimSun" w:cs="SimSun"/>
          <w:sz w:val="24"/>
          <w:szCs w:val="24"/>
          <w:spacing w:val="10"/>
        </w:rPr>
        <w:t xml:space="preserve"> </w:t>
      </w:r>
      <w:r>
        <w:rPr>
          <w:rFonts w:ascii="SimSun" w:hAnsi="SimSun" w:eastAsia="SimSun" w:cs="SimSun"/>
          <w:sz w:val="24"/>
          <w:szCs w:val="24"/>
          <w:spacing w:val="-2"/>
        </w:rPr>
        <w:t>（内政办发</w:t>
      </w:r>
      <w:r>
        <w:rPr>
          <w:rFonts w:ascii="Times New Roman" w:hAnsi="Times New Roman" w:eastAsia="Times New Roman" w:cs="Times New Roman"/>
          <w:sz w:val="24"/>
          <w:szCs w:val="24"/>
          <w:spacing w:val="-2"/>
        </w:rPr>
        <w:t>[2023]74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4"/>
        </w:rPr>
        <w:t>），</w:t>
      </w:r>
      <w:r>
        <w:rPr>
          <w:rFonts w:ascii="Times New Roman" w:hAnsi="Times New Roman" w:eastAsia="Times New Roman" w:cs="Times New Roman"/>
          <w:sz w:val="24"/>
          <w:szCs w:val="24"/>
          <w:spacing w:val="-2"/>
        </w:rPr>
        <w:t>2023.11</w:t>
      </w:r>
      <w:r>
        <w:rPr>
          <w:rFonts w:ascii="SimSun" w:hAnsi="SimSun" w:eastAsia="SimSun" w:cs="SimSun"/>
          <w:sz w:val="24"/>
          <w:szCs w:val="24"/>
          <w:spacing w:val="-2"/>
        </w:rPr>
        <w:t>；</w:t>
      </w:r>
    </w:p>
    <w:p>
      <w:pPr>
        <w:ind w:left="36" w:right="104" w:firstLine="459"/>
        <w:spacing w:before="166"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68</w:t>
      </w:r>
      <w:r>
        <w:rPr>
          <w:rFonts w:ascii="SimSun" w:hAnsi="SimSun" w:eastAsia="SimSun" w:cs="SimSun"/>
          <w:sz w:val="24"/>
          <w:szCs w:val="24"/>
          <w:spacing w:val="-2"/>
        </w:rPr>
        <w:t>）《自治区人民政府办公厅关于矿产资源开发项目征占用草原等手续办理有关</w:t>
      </w:r>
      <w:r>
        <w:rPr>
          <w:rFonts w:ascii="SimSun" w:hAnsi="SimSun" w:eastAsia="SimSun" w:cs="SimSun"/>
          <w:sz w:val="24"/>
          <w:szCs w:val="24"/>
          <w:spacing w:val="-3"/>
        </w:rPr>
        <w:t>问题的通知》（内政办发</w:t>
      </w:r>
      <w:r>
        <w:rPr>
          <w:rFonts w:ascii="Times New Roman" w:hAnsi="Times New Roman" w:eastAsia="Times New Roman" w:cs="Times New Roman"/>
          <w:sz w:val="24"/>
          <w:szCs w:val="24"/>
          <w:spacing w:val="-3"/>
        </w:rPr>
        <w:t>[2024]33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w:t>
      </w:r>
      <w:r>
        <w:rPr>
          <w:rFonts w:ascii="SimSun" w:hAnsi="SimSun" w:eastAsia="SimSun" w:cs="SimSun"/>
          <w:sz w:val="24"/>
          <w:szCs w:val="24"/>
          <w:spacing w:val="4"/>
        </w:rPr>
        <w:t>）；</w:t>
      </w:r>
    </w:p>
    <w:p>
      <w:pPr>
        <w:ind w:left="15" w:right="65" w:firstLine="480"/>
        <w:spacing w:before="165"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69</w:t>
      </w:r>
      <w:r>
        <w:rPr>
          <w:rFonts w:ascii="SimSun" w:hAnsi="SimSun" w:eastAsia="SimSun" w:cs="SimSun"/>
          <w:sz w:val="24"/>
          <w:szCs w:val="24"/>
          <w:spacing w:val="-1"/>
        </w:rPr>
        <w:t>）《内蒙古自治区林业和草原局等关于征占用草原林地分区用途管控的通知》</w:t>
      </w:r>
      <w:r>
        <w:rPr>
          <w:rFonts w:ascii="SimSun" w:hAnsi="SimSun" w:eastAsia="SimSun" w:cs="SimSun"/>
          <w:sz w:val="24"/>
          <w:szCs w:val="24"/>
          <w:spacing w:val="10"/>
        </w:rPr>
        <w:t xml:space="preserve"> </w:t>
      </w:r>
      <w:r>
        <w:rPr>
          <w:rFonts w:ascii="SimSun" w:hAnsi="SimSun" w:eastAsia="SimSun" w:cs="SimSun"/>
          <w:sz w:val="24"/>
          <w:szCs w:val="24"/>
          <w:spacing w:val="-2"/>
        </w:rPr>
        <w:t>（内林草草监发</w:t>
      </w:r>
      <w:r>
        <w:rPr>
          <w:rFonts w:ascii="Times New Roman" w:hAnsi="Times New Roman" w:eastAsia="Times New Roman" w:cs="Times New Roman"/>
          <w:sz w:val="24"/>
          <w:szCs w:val="24"/>
          <w:spacing w:val="-2"/>
        </w:rPr>
        <w:t>[2021]257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7"/>
        </w:rPr>
        <w:t>），</w:t>
      </w:r>
      <w:r>
        <w:rPr>
          <w:rFonts w:ascii="Times New Roman" w:hAnsi="Times New Roman" w:eastAsia="Times New Roman" w:cs="Times New Roman"/>
          <w:sz w:val="24"/>
          <w:szCs w:val="24"/>
          <w:spacing w:val="-2"/>
        </w:rPr>
        <w:t>2021.11</w:t>
      </w:r>
      <w:r>
        <w:rPr>
          <w:rFonts w:ascii="SimSun" w:hAnsi="SimSun" w:eastAsia="SimSun" w:cs="SimSun"/>
          <w:sz w:val="24"/>
          <w:szCs w:val="24"/>
          <w:spacing w:val="-2"/>
        </w:rPr>
        <w:t>；</w:t>
      </w:r>
    </w:p>
    <w:p>
      <w:pPr>
        <w:ind w:left="36" w:right="104" w:firstLine="459"/>
        <w:spacing w:before="165"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70</w:t>
      </w:r>
      <w:r>
        <w:rPr>
          <w:rFonts w:ascii="SimSun" w:hAnsi="SimSun" w:eastAsia="SimSun" w:cs="SimSun"/>
          <w:sz w:val="24"/>
          <w:szCs w:val="24"/>
          <w:spacing w:val="-2"/>
        </w:rPr>
        <w:t>）《内蒙古自治区主体功能区规划的通知》，内蒙古自治区人民政府，内政发</w:t>
      </w:r>
      <w:r>
        <w:rPr>
          <w:rFonts w:ascii="SimSun" w:hAnsi="SimSun" w:eastAsia="SimSun" w:cs="SimSun"/>
          <w:sz w:val="24"/>
          <w:szCs w:val="24"/>
          <w:spacing w:val="-6"/>
        </w:rPr>
        <w:t>〔</w:t>
      </w:r>
      <w:r>
        <w:rPr>
          <w:rFonts w:ascii="Times New Roman" w:hAnsi="Times New Roman" w:eastAsia="Times New Roman" w:cs="Times New Roman"/>
          <w:sz w:val="24"/>
          <w:szCs w:val="24"/>
          <w:spacing w:val="-6"/>
        </w:rPr>
        <w:t>2012</w:t>
      </w:r>
      <w:r>
        <w:rPr>
          <w:rFonts w:ascii="SimSun" w:hAnsi="SimSun" w:eastAsia="SimSun" w:cs="SimSun"/>
          <w:sz w:val="24"/>
          <w:szCs w:val="24"/>
          <w:spacing w:val="-6"/>
        </w:rPr>
        <w:t>〕</w:t>
      </w:r>
      <w:r>
        <w:rPr>
          <w:rFonts w:ascii="Times New Roman" w:hAnsi="Times New Roman" w:eastAsia="Times New Roman" w:cs="Times New Roman"/>
          <w:sz w:val="24"/>
          <w:szCs w:val="24"/>
          <w:spacing w:val="-6"/>
        </w:rPr>
        <w:t>85</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6"/>
        </w:rPr>
        <w:t>号；</w:t>
      </w:r>
    </w:p>
    <w:p>
      <w:pPr>
        <w:ind w:left="9" w:right="104" w:firstLine="486"/>
        <w:spacing w:before="152" w:line="275"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71</w:t>
      </w:r>
      <w:r>
        <w:rPr>
          <w:rFonts w:ascii="SimSun" w:hAnsi="SimSun" w:eastAsia="SimSun" w:cs="SimSun"/>
          <w:sz w:val="24"/>
          <w:szCs w:val="24"/>
          <w:spacing w:val="-2"/>
        </w:rPr>
        <w:t>）《内蒙古自治区自然资源厅林业和草原局关于进一步完善矿业权管理做好生</w:t>
      </w:r>
      <w:r>
        <w:rPr>
          <w:rFonts w:ascii="SimSun" w:hAnsi="SimSun" w:eastAsia="SimSun" w:cs="SimSun"/>
          <w:sz w:val="24"/>
          <w:szCs w:val="24"/>
          <w:spacing w:val="-1"/>
        </w:rPr>
        <w:t>态环境保护工作的通知》（内自然资字</w:t>
      </w:r>
      <w:r>
        <w:rPr>
          <w:rFonts w:ascii="Times New Roman" w:hAnsi="Times New Roman" w:eastAsia="Times New Roman" w:cs="Times New Roman"/>
          <w:sz w:val="24"/>
          <w:szCs w:val="24"/>
          <w:spacing w:val="-1"/>
        </w:rPr>
        <w:t>[2022]322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号</w:t>
      </w:r>
      <w:r>
        <w:rPr>
          <w:rFonts w:ascii="SimSun" w:hAnsi="SimSun" w:eastAsia="SimSun" w:cs="SimSun"/>
          <w:sz w:val="24"/>
          <w:szCs w:val="24"/>
          <w:spacing w:val="4"/>
        </w:rPr>
        <w:t>），</w:t>
      </w:r>
      <w:r>
        <w:rPr>
          <w:rFonts w:ascii="Times New Roman" w:hAnsi="Times New Roman" w:eastAsia="Times New Roman" w:cs="Times New Roman"/>
          <w:sz w:val="24"/>
          <w:szCs w:val="24"/>
          <w:spacing w:val="-1"/>
        </w:rPr>
        <w:t>2022.7</w:t>
      </w:r>
      <w:r>
        <w:rPr>
          <w:rFonts w:ascii="SimSun" w:hAnsi="SimSun" w:eastAsia="SimSun" w:cs="SimSun"/>
          <w:sz w:val="24"/>
          <w:szCs w:val="24"/>
          <w:spacing w:val="-1"/>
        </w:rPr>
        <w:t>；</w:t>
      </w:r>
    </w:p>
    <w:p>
      <w:pPr>
        <w:ind w:left="10" w:right="104" w:firstLine="485"/>
        <w:spacing w:before="166" w:line="27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72</w:t>
      </w:r>
      <w:r>
        <w:rPr>
          <w:rFonts w:ascii="SimSun" w:hAnsi="SimSun" w:eastAsia="SimSun" w:cs="SimSun"/>
          <w:sz w:val="24"/>
          <w:szCs w:val="24"/>
          <w:spacing w:val="-2"/>
        </w:rPr>
        <w:t>）《内蒙古自治区人民政府关于印发自治区国民经济和社会发展第十四个五年</w:t>
      </w:r>
      <w:r>
        <w:rPr>
          <w:rFonts w:ascii="SimSun" w:hAnsi="SimSun" w:eastAsia="SimSun" w:cs="SimSun"/>
          <w:sz w:val="24"/>
          <w:szCs w:val="24"/>
          <w:spacing w:val="-2"/>
        </w:rPr>
        <w:t>规划和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2035 </w:t>
      </w:r>
      <w:r>
        <w:rPr>
          <w:rFonts w:ascii="SimSun" w:hAnsi="SimSun" w:eastAsia="SimSun" w:cs="SimSun"/>
          <w:sz w:val="24"/>
          <w:szCs w:val="24"/>
          <w:spacing w:val="-2"/>
        </w:rPr>
        <w:t>年远景目标纲要的通知》，内蒙古自治区</w:t>
      </w:r>
      <w:r>
        <w:rPr>
          <w:rFonts w:ascii="SimSun" w:hAnsi="SimSun" w:eastAsia="SimSun" w:cs="SimSun"/>
          <w:sz w:val="24"/>
          <w:szCs w:val="24"/>
          <w:spacing w:val="-3"/>
        </w:rPr>
        <w:t>人民政府，</w:t>
      </w:r>
      <w:r>
        <w:rPr>
          <w:rFonts w:ascii="Times New Roman" w:hAnsi="Times New Roman" w:eastAsia="Times New Roman" w:cs="Times New Roman"/>
          <w:sz w:val="24"/>
          <w:szCs w:val="24"/>
          <w:spacing w:val="-3"/>
        </w:rPr>
        <w:t>2021 </w:t>
      </w:r>
      <w:r>
        <w:rPr>
          <w:rFonts w:ascii="SimSun" w:hAnsi="SimSun" w:eastAsia="SimSun" w:cs="SimSun"/>
          <w:sz w:val="24"/>
          <w:szCs w:val="24"/>
          <w:spacing w:val="-3"/>
        </w:rPr>
        <w:t>年</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  </w:t>
      </w:r>
      <w:r>
        <w:rPr>
          <w:rFonts w:ascii="SimSun" w:hAnsi="SimSun" w:eastAsia="SimSun" w:cs="SimSun"/>
          <w:sz w:val="24"/>
          <w:szCs w:val="24"/>
          <w:spacing w:val="-3"/>
        </w:rPr>
        <w:t>日；</w:t>
      </w:r>
    </w:p>
    <w:p>
      <w:pPr>
        <w:ind w:left="9" w:right="104" w:firstLine="486"/>
        <w:spacing w:before="154"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73</w:t>
      </w:r>
      <w:r>
        <w:rPr>
          <w:rFonts w:ascii="SimSun" w:hAnsi="SimSun" w:eastAsia="SimSun" w:cs="SimSun"/>
          <w:sz w:val="24"/>
          <w:szCs w:val="24"/>
          <w:spacing w:val="-2"/>
        </w:rPr>
        <w:t>）《内蒙古自治区</w:t>
      </w:r>
      <w:r>
        <w:rPr>
          <w:rFonts w:ascii="Times New Roman" w:hAnsi="Times New Roman" w:eastAsia="Times New Roman" w:cs="Times New Roman"/>
          <w:sz w:val="24"/>
          <w:szCs w:val="24"/>
          <w:spacing w:val="-2"/>
        </w:rPr>
        <w:t>“</w:t>
      </w:r>
      <w:r>
        <w:rPr>
          <w:rFonts w:ascii="SimSun" w:hAnsi="SimSun" w:eastAsia="SimSun" w:cs="SimSun"/>
          <w:sz w:val="24"/>
          <w:szCs w:val="24"/>
          <w:spacing w:val="-2"/>
        </w:rPr>
        <w:t>十四五</w:t>
      </w:r>
      <w:r>
        <w:rPr>
          <w:rFonts w:ascii="Times New Roman" w:hAnsi="Times New Roman" w:eastAsia="Times New Roman" w:cs="Times New Roman"/>
          <w:sz w:val="24"/>
          <w:szCs w:val="24"/>
          <w:spacing w:val="-2"/>
        </w:rPr>
        <w:t>”</w:t>
      </w:r>
      <w:r>
        <w:rPr>
          <w:rFonts w:ascii="SimSun" w:hAnsi="SimSun" w:eastAsia="SimSun" w:cs="SimSun"/>
          <w:sz w:val="24"/>
          <w:szCs w:val="24"/>
          <w:spacing w:val="-2"/>
        </w:rPr>
        <w:t>生态环境保护规划》内政办发</w:t>
      </w:r>
      <w:r>
        <w:rPr>
          <w:rFonts w:ascii="Times New Roman" w:hAnsi="Times New Roman" w:eastAsia="Times New Roman" w:cs="Times New Roman"/>
          <w:sz w:val="24"/>
          <w:szCs w:val="24"/>
          <w:spacing w:val="-2"/>
        </w:rPr>
        <w:t>[2021]51 </w:t>
      </w:r>
      <w:r>
        <w:rPr>
          <w:rFonts w:ascii="SimSun" w:hAnsi="SimSun" w:eastAsia="SimSun" w:cs="SimSun"/>
          <w:sz w:val="24"/>
          <w:szCs w:val="24"/>
          <w:spacing w:val="-2"/>
        </w:rPr>
        <w:t>号，</w:t>
      </w:r>
      <w:r>
        <w:rPr>
          <w:rFonts w:ascii="Times New Roman" w:hAnsi="Times New Roman" w:eastAsia="Times New Roman" w:cs="Times New Roman"/>
          <w:sz w:val="24"/>
          <w:szCs w:val="24"/>
          <w:spacing w:val="-2"/>
        </w:rPr>
        <w:t>2021 </w:t>
      </w:r>
      <w:r>
        <w:rPr>
          <w:rFonts w:ascii="SimSun" w:hAnsi="SimSun" w:eastAsia="SimSun" w:cs="SimSun"/>
          <w:sz w:val="24"/>
          <w:szCs w:val="24"/>
          <w:spacing w:val="-2"/>
        </w:rPr>
        <w:t>年</w:t>
      </w:r>
      <w:r>
        <w:rPr>
          <w:rFonts w:ascii="Times New Roman" w:hAnsi="Times New Roman" w:eastAsia="Times New Roman" w:cs="Times New Roman"/>
          <w:sz w:val="24"/>
          <w:szCs w:val="24"/>
          <w:spacing w:val="-11"/>
        </w:rPr>
        <w:t>9</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11"/>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1"/>
        </w:rPr>
        <w:t>26</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11"/>
        </w:rPr>
        <w:t>日实施；</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74</w:t>
      </w:r>
      <w:r>
        <w:rPr>
          <w:rFonts w:ascii="SimSun" w:hAnsi="SimSun" w:eastAsia="SimSun" w:cs="SimSun"/>
          <w:sz w:val="24"/>
          <w:szCs w:val="24"/>
          <w:spacing w:val="-1"/>
        </w:rPr>
        <w:t>）《内蒙古自治区矿产资源总体规划》（</w:t>
      </w:r>
      <w:r>
        <w:rPr>
          <w:rFonts w:ascii="Times New Roman" w:hAnsi="Times New Roman" w:eastAsia="Times New Roman" w:cs="Times New Roman"/>
          <w:sz w:val="24"/>
          <w:szCs w:val="24"/>
          <w:spacing w:val="-1"/>
        </w:rPr>
        <w:t>2021-2025 </w:t>
      </w:r>
      <w:r>
        <w:rPr>
          <w:rFonts w:ascii="SimSun" w:hAnsi="SimSun" w:eastAsia="SimSun" w:cs="SimSun"/>
          <w:sz w:val="24"/>
          <w:szCs w:val="24"/>
          <w:spacing w:val="-1"/>
        </w:rPr>
        <w:t>年</w:t>
      </w:r>
      <w:r>
        <w:rPr>
          <w:rFonts w:ascii="SimSun" w:hAnsi="SimSun" w:eastAsia="SimSun" w:cs="SimSun"/>
          <w:sz w:val="24"/>
          <w:szCs w:val="24"/>
          <w:spacing w:val="8"/>
        </w:rPr>
        <w:t>）；</w:t>
      </w:r>
    </w:p>
    <w:p>
      <w:pPr>
        <w:ind w:left="495"/>
        <w:spacing w:before="155"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75</w:t>
      </w:r>
      <w:r>
        <w:rPr>
          <w:rFonts w:ascii="SimSun" w:hAnsi="SimSun" w:eastAsia="SimSun" w:cs="SimSun"/>
          <w:sz w:val="24"/>
          <w:szCs w:val="24"/>
          <w:spacing w:val="-1"/>
        </w:rPr>
        <w:t>）《内蒙古自治区煤炭工业发展</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w:t>
      </w:r>
      <w:r>
        <w:rPr>
          <w:rFonts w:ascii="Times New Roman" w:hAnsi="Times New Roman" w:eastAsia="Times New Roman" w:cs="Times New Roman"/>
          <w:sz w:val="24"/>
          <w:szCs w:val="24"/>
          <w:spacing w:val="-1"/>
        </w:rPr>
        <w:t>2022.2</w:t>
      </w:r>
      <w:r>
        <w:rPr>
          <w:rFonts w:ascii="SimSun" w:hAnsi="SimSun" w:eastAsia="SimSun" w:cs="SimSun"/>
          <w:sz w:val="24"/>
          <w:szCs w:val="24"/>
          <w:spacing w:val="9"/>
        </w:rPr>
        <w:t>）；</w:t>
      </w:r>
    </w:p>
    <w:p>
      <w:pPr>
        <w:ind w:left="495"/>
        <w:spacing w:before="15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76</w:t>
      </w:r>
      <w:r>
        <w:rPr>
          <w:rFonts w:ascii="SimSun" w:hAnsi="SimSun" w:eastAsia="SimSun" w:cs="SimSun"/>
          <w:sz w:val="24"/>
          <w:szCs w:val="24"/>
          <w:spacing w:val="-1"/>
        </w:rPr>
        <w:t>）《锡林郭勒盟加强地下水生态保护和治理实施意见》，</w:t>
      </w:r>
      <w:r>
        <w:rPr>
          <w:rFonts w:ascii="Times New Roman" w:hAnsi="Times New Roman" w:eastAsia="Times New Roman" w:cs="Times New Roman"/>
          <w:sz w:val="24"/>
          <w:szCs w:val="24"/>
          <w:spacing w:val="-1"/>
        </w:rPr>
        <w:t>201</w:t>
      </w:r>
      <w:r>
        <w:rPr>
          <w:rFonts w:ascii="Times New Roman" w:hAnsi="Times New Roman" w:eastAsia="Times New Roman" w:cs="Times New Roman"/>
          <w:sz w:val="24"/>
          <w:szCs w:val="24"/>
          <w:spacing w:val="-2"/>
        </w:rPr>
        <w:t>9.4.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12</w:t>
      </w:r>
      <w:r>
        <w:rPr>
          <w:rFonts w:ascii="SimSun" w:hAnsi="SimSun" w:eastAsia="SimSun" w:cs="SimSun"/>
          <w:sz w:val="24"/>
          <w:szCs w:val="24"/>
          <w:spacing w:val="-2"/>
        </w:rPr>
        <w:t>；</w:t>
      </w:r>
    </w:p>
    <w:p>
      <w:pPr>
        <w:ind w:left="9" w:right="101" w:firstLine="486"/>
        <w:spacing w:before="155" w:line="296"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77</w:t>
      </w:r>
      <w:r>
        <w:rPr>
          <w:rFonts w:ascii="SimSun" w:hAnsi="SimSun" w:eastAsia="SimSun" w:cs="SimSun"/>
          <w:sz w:val="24"/>
          <w:szCs w:val="24"/>
          <w:spacing w:val="-1"/>
        </w:rPr>
        <w:t>）《锡林郭勒盟生态环境保护委员会办公室关于印发锡林郭勒盟</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w:t>
      </w:r>
      <w:r>
        <w:rPr>
          <w:rFonts w:ascii="SimSun" w:hAnsi="SimSun" w:eastAsia="SimSun" w:cs="SimSun"/>
          <w:sz w:val="24"/>
          <w:szCs w:val="24"/>
          <w:spacing w:val="5"/>
        </w:rPr>
        <w:t>态环境分区管控意见修改清单和锡林郭勒盟生态环境准入清单的通知》（锡环委办发</w:t>
      </w:r>
      <w:r>
        <w:rPr>
          <w:rFonts w:ascii="Times New Roman" w:hAnsi="Times New Roman" w:eastAsia="Times New Roman" w:cs="Times New Roman"/>
          <w:sz w:val="24"/>
          <w:szCs w:val="24"/>
          <w:spacing w:val="-2"/>
        </w:rPr>
        <w:t>[2024]1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号</w:t>
      </w:r>
      <w:r>
        <w:rPr>
          <w:rFonts w:ascii="SimSun" w:hAnsi="SimSun" w:eastAsia="SimSun" w:cs="SimSun"/>
          <w:sz w:val="24"/>
          <w:szCs w:val="24"/>
          <w:spacing w:val="5"/>
        </w:rPr>
        <w:t>），</w:t>
      </w:r>
      <w:r>
        <w:rPr>
          <w:rFonts w:ascii="Times New Roman" w:hAnsi="Times New Roman" w:eastAsia="Times New Roman" w:cs="Times New Roman"/>
          <w:sz w:val="24"/>
          <w:szCs w:val="24"/>
          <w:spacing w:val="-2"/>
        </w:rPr>
        <w:t>2024.1.31</w:t>
      </w:r>
      <w:r>
        <w:rPr>
          <w:rFonts w:ascii="SimSun" w:hAnsi="SimSun" w:eastAsia="SimSun" w:cs="SimSun"/>
          <w:sz w:val="24"/>
          <w:szCs w:val="24"/>
          <w:spacing w:val="-2"/>
        </w:rPr>
        <w:t>。</w:t>
      </w:r>
    </w:p>
    <w:p>
      <w:pPr>
        <w:ind w:left="495"/>
        <w:spacing w:before="16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78</w:t>
      </w:r>
      <w:r>
        <w:rPr>
          <w:rFonts w:ascii="SimSun" w:hAnsi="SimSun" w:eastAsia="SimSun" w:cs="SimSun"/>
          <w:sz w:val="24"/>
          <w:szCs w:val="24"/>
          <w:spacing w:val="-3"/>
        </w:rPr>
        <w:t>）《锡林郭勒盟生态功能区划》，</w:t>
      </w:r>
      <w:r>
        <w:rPr>
          <w:rFonts w:ascii="Times New Roman" w:hAnsi="Times New Roman" w:eastAsia="Times New Roman" w:cs="Times New Roman"/>
          <w:sz w:val="24"/>
          <w:szCs w:val="24"/>
          <w:spacing w:val="-3"/>
        </w:rPr>
        <w:t>202</w:t>
      </w:r>
      <w:r>
        <w:rPr>
          <w:rFonts w:ascii="Times New Roman" w:hAnsi="Times New Roman" w:eastAsia="Times New Roman" w:cs="Times New Roman"/>
          <w:sz w:val="24"/>
          <w:szCs w:val="24"/>
          <w:spacing w:val="-4"/>
        </w:rPr>
        <w:t>4 </w:t>
      </w:r>
      <w:r>
        <w:rPr>
          <w:rFonts w:ascii="SimSun" w:hAnsi="SimSun" w:eastAsia="SimSun" w:cs="SimSun"/>
          <w:sz w:val="24"/>
          <w:szCs w:val="24"/>
          <w:spacing w:val="-4"/>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  </w:t>
      </w:r>
      <w:r>
        <w:rPr>
          <w:rFonts w:ascii="SimSun" w:hAnsi="SimSun" w:eastAsia="SimSun" w:cs="SimSun"/>
          <w:sz w:val="24"/>
          <w:szCs w:val="24"/>
          <w:spacing w:val="-4"/>
        </w:rPr>
        <w:t>日。</w:t>
      </w:r>
    </w:p>
    <w:p>
      <w:pPr>
        <w:ind w:left="495"/>
        <w:spacing w:before="15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79</w:t>
      </w:r>
      <w:r>
        <w:rPr>
          <w:rFonts w:ascii="SimSun" w:hAnsi="SimSun" w:eastAsia="SimSun" w:cs="SimSun"/>
          <w:sz w:val="24"/>
          <w:szCs w:val="24"/>
          <w:spacing w:val="-2"/>
        </w:rPr>
        <w:t>）《锡林郭勒盟国土空间总体规划（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2"/>
        </w:rPr>
        <w:t>年）》</w:t>
      </w:r>
      <w:r>
        <w:rPr>
          <w:rFonts w:ascii="SimSun" w:hAnsi="SimSun" w:eastAsia="SimSun" w:cs="SimSun"/>
          <w:sz w:val="24"/>
          <w:szCs w:val="24"/>
          <w:spacing w:val="-3"/>
        </w:rPr>
        <w:t>，</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日。</w:t>
      </w:r>
    </w:p>
    <w:p>
      <w:pPr>
        <w:ind w:left="13" w:right="104" w:firstLine="482"/>
        <w:spacing w:before="157" w:line="279" w:lineRule="auto"/>
        <w:rPr>
          <w:rFonts w:ascii="SimSun" w:hAnsi="SimSun" w:eastAsia="SimSun" w:cs="SimSun"/>
          <w:sz w:val="24"/>
          <w:szCs w:val="24"/>
        </w:rPr>
      </w:pPr>
      <w:r>
        <w:rPr>
          <w:rFonts w:ascii="SimSun" w:hAnsi="SimSun" w:eastAsia="SimSun" w:cs="SimSun"/>
          <w:sz w:val="24"/>
          <w:szCs w:val="24"/>
          <w:spacing w:val="-2"/>
        </w:rPr>
        <w:t>（80）《内蒙古自治区人民政府办公厅关于矿产资源开发中加强草原生态保护的意</w:t>
      </w:r>
      <w:r>
        <w:rPr>
          <w:rFonts w:ascii="SimSun" w:hAnsi="SimSun" w:eastAsia="SimSun" w:cs="SimSun"/>
          <w:sz w:val="24"/>
          <w:szCs w:val="24"/>
          <w:spacing w:val="-2"/>
        </w:rPr>
        <w:t>见》（内政发办[2021]7</w:t>
      </w:r>
      <w:r>
        <w:rPr>
          <w:rFonts w:ascii="SimSun" w:hAnsi="SimSun" w:eastAsia="SimSun" w:cs="SimSun"/>
          <w:sz w:val="24"/>
          <w:szCs w:val="24"/>
          <w:spacing w:val="-43"/>
        </w:rPr>
        <w:t xml:space="preserve"> </w:t>
      </w:r>
      <w:r>
        <w:rPr>
          <w:rFonts w:ascii="SimSun" w:hAnsi="SimSun" w:eastAsia="SimSun" w:cs="SimSun"/>
          <w:sz w:val="24"/>
          <w:szCs w:val="24"/>
          <w:spacing w:val="-2"/>
        </w:rPr>
        <w:t>号）</w:t>
      </w:r>
    </w:p>
    <w:p>
      <w:pPr>
        <w:ind w:left="6"/>
        <w:spacing w:before="24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2.1.2  </w:t>
      </w:r>
      <w:r>
        <w:rPr>
          <w:rFonts w:ascii="SimHei" w:hAnsi="SimHei" w:eastAsia="SimHei" w:cs="SimHei"/>
          <w:sz w:val="28"/>
          <w:szCs w:val="28"/>
          <w:b/>
          <w:bCs/>
          <w:spacing w:val="-2"/>
        </w:rPr>
        <w:t>评价导则及技术规范</w:t>
      </w:r>
    </w:p>
    <w:p>
      <w:pPr>
        <w:ind w:left="495"/>
        <w:spacing w:before="168"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）《建设项目环境影响评价技术导则 总纲》</w:t>
      </w:r>
      <w:r>
        <w:rPr>
          <w:rFonts w:ascii="SimSun" w:hAnsi="SimSun" w:eastAsia="SimSun" w:cs="SimSun"/>
          <w:sz w:val="24"/>
          <w:szCs w:val="24"/>
          <w:spacing w:val="-2"/>
        </w:rPr>
        <w:t>（</w:t>
      </w:r>
      <w:r>
        <w:rPr>
          <w:rFonts w:ascii="Times New Roman" w:hAnsi="Times New Roman" w:eastAsia="Times New Roman" w:cs="Times New Roman"/>
          <w:sz w:val="24"/>
          <w:szCs w:val="24"/>
          <w:spacing w:val="-2"/>
        </w:rPr>
        <w:t>HJ2.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1-2016</w:t>
      </w:r>
      <w:r>
        <w:rPr>
          <w:rFonts w:ascii="SimSun" w:hAnsi="SimSun" w:eastAsia="SimSun" w:cs="SimSun"/>
          <w:sz w:val="24"/>
          <w:szCs w:val="24"/>
        </w:rPr>
        <w:t>）；</w:t>
      </w:r>
    </w:p>
    <w:p>
      <w:pPr>
        <w:spacing w:line="218" w:lineRule="auto"/>
        <w:sectPr>
          <w:headerReference w:type="default" r:id="rId41"/>
          <w:footerReference w:type="default" r:id="rId42"/>
          <w:pgSz w:w="11906" w:h="16838"/>
          <w:pgMar w:top="1170" w:right="1313" w:bottom="1080" w:left="1416" w:header="837" w:footer="918" w:gutter="0"/>
        </w:sectPr>
        <w:rPr>
          <w:rFonts w:ascii="SimSun" w:hAnsi="SimSun" w:eastAsia="SimSun" w:cs="SimSun"/>
          <w:sz w:val="24"/>
          <w:szCs w:val="24"/>
        </w:rPr>
      </w:pPr>
    </w:p>
    <w:p>
      <w:pPr>
        <w:pStyle w:val="BodyText"/>
        <w:spacing w:line="312" w:lineRule="auto"/>
        <w:rPr/>
      </w:pPr>
      <w:r/>
    </w:p>
    <w:p>
      <w:pPr>
        <w:ind w:left="495"/>
        <w:spacing w:before="78"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）《环境影响评价技术导则 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8"/>
        </w:rPr>
        <w:t>）；</w:t>
      </w:r>
    </w:p>
    <w:p>
      <w:pPr>
        <w:ind w:left="495"/>
        <w:spacing w:before="158"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）《环境影响评价技术导则 地表水环境》（</w:t>
      </w:r>
      <w:r>
        <w:rPr>
          <w:rFonts w:ascii="Times New Roman" w:hAnsi="Times New Roman" w:eastAsia="Times New Roman" w:cs="Times New Roman"/>
          <w:sz w:val="24"/>
          <w:szCs w:val="24"/>
          <w:spacing w:val="-1"/>
        </w:rPr>
        <w:t>HJ2.3-2018</w:t>
      </w:r>
      <w:r>
        <w:rPr>
          <w:rFonts w:ascii="SimSun" w:hAnsi="SimSun" w:eastAsia="SimSun" w:cs="SimSun"/>
          <w:sz w:val="24"/>
          <w:szCs w:val="24"/>
          <w:spacing w:val="8"/>
        </w:rPr>
        <w:t>）；</w:t>
      </w:r>
    </w:p>
    <w:p>
      <w:pPr>
        <w:ind w:left="495"/>
        <w:spacing w:before="155"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）《环境影响评价技术导则 大气环境》（</w:t>
      </w:r>
      <w:r>
        <w:rPr>
          <w:rFonts w:ascii="Times New Roman" w:hAnsi="Times New Roman" w:eastAsia="Times New Roman" w:cs="Times New Roman"/>
          <w:sz w:val="24"/>
          <w:szCs w:val="24"/>
          <w:spacing w:val="-1"/>
        </w:rPr>
        <w:t>HJ2.2-2018</w:t>
      </w:r>
      <w:r>
        <w:rPr>
          <w:rFonts w:ascii="SimSun" w:hAnsi="SimSun" w:eastAsia="SimSun" w:cs="SimSun"/>
          <w:sz w:val="24"/>
          <w:szCs w:val="24"/>
          <w:spacing w:val="7"/>
        </w:rPr>
        <w:t>）；</w:t>
      </w:r>
    </w:p>
    <w:p>
      <w:pPr>
        <w:ind w:left="495"/>
        <w:spacing w:before="155"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）《环境影响评价技术导则 声环境》（</w:t>
      </w:r>
      <w:r>
        <w:rPr>
          <w:rFonts w:ascii="Times New Roman" w:hAnsi="Times New Roman" w:eastAsia="Times New Roman" w:cs="Times New Roman"/>
          <w:sz w:val="24"/>
          <w:szCs w:val="24"/>
          <w:spacing w:val="-1"/>
        </w:rPr>
        <w:t>HJ2.4-2021</w:t>
      </w:r>
      <w:r>
        <w:rPr>
          <w:rFonts w:ascii="SimSun" w:hAnsi="SimSun" w:eastAsia="SimSun" w:cs="SimSun"/>
          <w:sz w:val="24"/>
          <w:szCs w:val="24"/>
          <w:spacing w:val="7"/>
        </w:rPr>
        <w:t>）；</w:t>
      </w:r>
    </w:p>
    <w:p>
      <w:pPr>
        <w:ind w:left="495"/>
        <w:spacing w:before="158" w:line="21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6</w:t>
      </w:r>
      <w:r>
        <w:rPr>
          <w:rFonts w:ascii="SimSun" w:hAnsi="SimSun" w:eastAsia="SimSun" w:cs="SimSun"/>
          <w:sz w:val="24"/>
          <w:szCs w:val="24"/>
        </w:rPr>
        <w:t>）《环境影响评价技术导则 土壤环境</w:t>
      </w:r>
      <w:r>
        <w:rPr>
          <w:rFonts w:ascii="SimSun" w:hAnsi="SimSun" w:eastAsia="SimSun" w:cs="SimSun"/>
          <w:sz w:val="24"/>
          <w:szCs w:val="24"/>
          <w:spacing w:val="-1"/>
        </w:rPr>
        <w:t>（试行）》（</w:t>
      </w:r>
      <w:r>
        <w:rPr>
          <w:rFonts w:ascii="Times New Roman" w:hAnsi="Times New Roman" w:eastAsia="Times New Roman" w:cs="Times New Roman"/>
          <w:sz w:val="24"/>
          <w:szCs w:val="24"/>
          <w:spacing w:val="-1"/>
        </w:rPr>
        <w:t>HJ964-2018</w:t>
      </w:r>
      <w:r>
        <w:rPr>
          <w:rFonts w:ascii="SimSun" w:hAnsi="SimSun" w:eastAsia="SimSun" w:cs="SimSun"/>
          <w:sz w:val="24"/>
          <w:szCs w:val="24"/>
        </w:rPr>
        <w:t>）；</w:t>
      </w:r>
    </w:p>
    <w:p>
      <w:pPr>
        <w:ind w:left="495"/>
        <w:spacing w:before="156"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）《环境影响评价技术导则 生态影响》（</w:t>
      </w:r>
      <w:r>
        <w:rPr>
          <w:rFonts w:ascii="Times New Roman" w:hAnsi="Times New Roman" w:eastAsia="Times New Roman" w:cs="Times New Roman"/>
          <w:sz w:val="24"/>
          <w:szCs w:val="24"/>
          <w:spacing w:val="-1"/>
        </w:rPr>
        <w:t>HJ19-2022</w:t>
      </w:r>
      <w:r>
        <w:rPr>
          <w:rFonts w:ascii="SimSun" w:hAnsi="SimSun" w:eastAsia="SimSun" w:cs="SimSun"/>
          <w:sz w:val="24"/>
          <w:szCs w:val="24"/>
          <w:spacing w:val="7"/>
        </w:rPr>
        <w:t>）；</w:t>
      </w:r>
    </w:p>
    <w:p>
      <w:pPr>
        <w:ind w:left="495"/>
        <w:spacing w:before="155"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）《建设项目环境风险评价 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7"/>
        </w:rPr>
        <w:t>）；</w:t>
      </w:r>
    </w:p>
    <w:p>
      <w:pPr>
        <w:ind w:left="495"/>
        <w:spacing w:before="159"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
        </w:rPr>
        <w:t>）《环境影响评价技术导则 煤炭采选工程》（</w:t>
      </w:r>
      <w:r>
        <w:rPr>
          <w:rFonts w:ascii="Times New Roman" w:hAnsi="Times New Roman" w:eastAsia="Times New Roman" w:cs="Times New Roman"/>
          <w:sz w:val="24"/>
          <w:szCs w:val="24"/>
          <w:spacing w:val="-1"/>
        </w:rPr>
        <w:t>HJ619-2011</w:t>
      </w:r>
      <w:r>
        <w:rPr>
          <w:rFonts w:ascii="SimSun" w:hAnsi="SimSun" w:eastAsia="SimSun" w:cs="SimSun"/>
          <w:sz w:val="24"/>
          <w:szCs w:val="24"/>
          <w:spacing w:val="2"/>
        </w:rPr>
        <w:t>）；</w:t>
      </w:r>
    </w:p>
    <w:p>
      <w:pPr>
        <w:ind w:left="495"/>
        <w:spacing w:before="156" w:line="21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10</w:t>
      </w:r>
      <w:r>
        <w:rPr>
          <w:rFonts w:ascii="SimSun" w:hAnsi="SimSun" w:eastAsia="SimSun" w:cs="SimSun"/>
          <w:sz w:val="24"/>
          <w:szCs w:val="24"/>
        </w:rPr>
        <w:t>）《矿山生态环境保护与恢复治理技术规范</w:t>
      </w:r>
      <w:r>
        <w:rPr>
          <w:rFonts w:ascii="SimSun" w:hAnsi="SimSun" w:eastAsia="SimSun" w:cs="SimSun"/>
          <w:sz w:val="24"/>
          <w:szCs w:val="24"/>
          <w:spacing w:val="-1"/>
        </w:rPr>
        <w:t>（试行）》（</w:t>
      </w:r>
      <w:r>
        <w:rPr>
          <w:rFonts w:ascii="Times New Roman" w:hAnsi="Times New Roman" w:eastAsia="Times New Roman" w:cs="Times New Roman"/>
          <w:sz w:val="24"/>
          <w:szCs w:val="24"/>
          <w:spacing w:val="-1"/>
        </w:rPr>
        <w:t>HJ651-2013</w:t>
      </w:r>
      <w:r>
        <w:rPr>
          <w:rFonts w:ascii="SimSun" w:hAnsi="SimSun" w:eastAsia="SimSun" w:cs="SimSun"/>
          <w:sz w:val="24"/>
          <w:szCs w:val="24"/>
        </w:rPr>
        <w:t>）；</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11</w:t>
      </w:r>
      <w:r>
        <w:rPr>
          <w:rFonts w:ascii="SimSun" w:hAnsi="SimSun" w:eastAsia="SimSun" w:cs="SimSun"/>
          <w:sz w:val="24"/>
          <w:szCs w:val="24"/>
          <w:spacing w:val="-1"/>
        </w:rPr>
        <w:t>）《土壤侵蚀分类分级标准》（</w:t>
      </w:r>
      <w:r>
        <w:rPr>
          <w:rFonts w:ascii="Times New Roman" w:hAnsi="Times New Roman" w:eastAsia="Times New Roman" w:cs="Times New Roman"/>
          <w:sz w:val="24"/>
          <w:szCs w:val="24"/>
          <w:spacing w:val="-1"/>
        </w:rPr>
        <w:t>SL190-20</w:t>
      </w:r>
      <w:r>
        <w:rPr>
          <w:rFonts w:ascii="Times New Roman" w:hAnsi="Times New Roman" w:eastAsia="Times New Roman" w:cs="Times New Roman"/>
          <w:sz w:val="24"/>
          <w:szCs w:val="24"/>
          <w:spacing w:val="-2"/>
        </w:rPr>
        <w:t>07</w:t>
      </w:r>
      <w:r>
        <w:rPr>
          <w:rFonts w:ascii="SimSun" w:hAnsi="SimSun" w:eastAsia="SimSun" w:cs="SimSun"/>
          <w:sz w:val="24"/>
          <w:szCs w:val="24"/>
        </w:rPr>
        <w:t>）；</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12</w:t>
      </w:r>
      <w:r>
        <w:rPr>
          <w:rFonts w:ascii="SimSun" w:hAnsi="SimSun" w:eastAsia="SimSun" w:cs="SimSun"/>
          <w:sz w:val="24"/>
          <w:szCs w:val="24"/>
          <w:spacing w:val="-1"/>
        </w:rPr>
        <w:t>）《土地利用现状分类》（</w:t>
      </w:r>
      <w:r>
        <w:rPr>
          <w:rFonts w:ascii="Times New Roman" w:hAnsi="Times New Roman" w:eastAsia="Times New Roman" w:cs="Times New Roman"/>
          <w:sz w:val="24"/>
          <w:szCs w:val="24"/>
          <w:spacing w:val="-1"/>
        </w:rPr>
        <w:t>GB/T21010-2017</w:t>
      </w:r>
      <w:r>
        <w:rPr>
          <w:rFonts w:ascii="SimSun" w:hAnsi="SimSun" w:eastAsia="SimSun" w:cs="SimSun"/>
          <w:sz w:val="24"/>
          <w:szCs w:val="24"/>
          <w:spacing w:val="4"/>
        </w:rPr>
        <w:t>）；</w:t>
      </w:r>
    </w:p>
    <w:p>
      <w:pPr>
        <w:ind w:left="495"/>
        <w:spacing w:before="155" w:line="212"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13</w:t>
      </w:r>
      <w:r>
        <w:rPr>
          <w:rFonts w:ascii="SimSun" w:hAnsi="SimSun" w:eastAsia="SimSun" w:cs="SimSun"/>
          <w:sz w:val="24"/>
          <w:szCs w:val="24"/>
          <w:spacing w:val="-1"/>
        </w:rPr>
        <w:t>）《排污单位自行监测技术指南总则》</w:t>
      </w:r>
      <w:r>
        <w:rPr>
          <w:rFonts w:ascii="Times New Roman" w:hAnsi="Times New Roman" w:eastAsia="Times New Roman" w:cs="Times New Roman"/>
          <w:sz w:val="24"/>
          <w:szCs w:val="24"/>
          <w:spacing w:val="-1"/>
        </w:rPr>
        <w:t>(HJ819-2017)</w:t>
      </w:r>
      <w:r>
        <w:rPr>
          <w:rFonts w:ascii="SimSun" w:hAnsi="SimSun" w:eastAsia="SimSun" w:cs="SimSun"/>
          <w:sz w:val="24"/>
          <w:szCs w:val="24"/>
          <w:spacing w:val="-1"/>
        </w:rPr>
        <w:t>；</w:t>
      </w:r>
    </w:p>
    <w:p>
      <w:pPr>
        <w:ind w:left="495"/>
        <w:spacing w:before="163"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14</w:t>
      </w:r>
      <w:r>
        <w:rPr>
          <w:rFonts w:ascii="SimSun" w:hAnsi="SimSun" w:eastAsia="SimSun" w:cs="SimSun"/>
          <w:sz w:val="24"/>
          <w:szCs w:val="24"/>
          <w:spacing w:val="-1"/>
        </w:rPr>
        <w:t>）《内蒙古自治区行业用水定额》（</w:t>
      </w:r>
      <w:r>
        <w:rPr>
          <w:rFonts w:ascii="Times New Roman" w:hAnsi="Times New Roman" w:eastAsia="Times New Roman" w:cs="Times New Roman"/>
          <w:sz w:val="24"/>
          <w:szCs w:val="24"/>
          <w:spacing w:val="-1"/>
        </w:rPr>
        <w:t>DB15/T385-2025</w:t>
      </w:r>
      <w:r>
        <w:rPr>
          <w:rFonts w:ascii="SimSun" w:hAnsi="SimSun" w:eastAsia="SimSun" w:cs="SimSun"/>
          <w:sz w:val="24"/>
          <w:szCs w:val="24"/>
          <w:spacing w:val="9"/>
        </w:rPr>
        <w:t>）；</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15</w:t>
      </w:r>
      <w:r>
        <w:rPr>
          <w:rFonts w:ascii="SimSun" w:hAnsi="SimSun" w:eastAsia="SimSun" w:cs="SimSun"/>
          <w:sz w:val="24"/>
          <w:szCs w:val="24"/>
          <w:spacing w:val="-1"/>
        </w:rPr>
        <w:t>）《生产建设项目水土保持技术标准》（</w:t>
      </w:r>
      <w:r>
        <w:rPr>
          <w:rFonts w:ascii="Times New Roman" w:hAnsi="Times New Roman" w:eastAsia="Times New Roman" w:cs="Times New Roman"/>
          <w:sz w:val="24"/>
          <w:szCs w:val="24"/>
          <w:spacing w:val="-1"/>
        </w:rPr>
        <w:t>GB50433-2018</w:t>
      </w:r>
      <w:r>
        <w:rPr>
          <w:rFonts w:ascii="SimSun" w:hAnsi="SimSun" w:eastAsia="SimSun" w:cs="SimSun"/>
          <w:sz w:val="24"/>
          <w:szCs w:val="24"/>
          <w:spacing w:val="7"/>
        </w:rPr>
        <w:t>）；</w:t>
      </w:r>
    </w:p>
    <w:p>
      <w:pPr>
        <w:ind w:left="495"/>
        <w:spacing w:before="155"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16</w:t>
      </w:r>
      <w:r>
        <w:rPr>
          <w:rFonts w:ascii="SimSun" w:hAnsi="SimSun" w:eastAsia="SimSun" w:cs="SimSun"/>
          <w:sz w:val="24"/>
          <w:szCs w:val="24"/>
          <w:spacing w:val="-1"/>
        </w:rPr>
        <w:t>）《固体废物鉴别标准通则》（</w:t>
      </w:r>
      <w:r>
        <w:rPr>
          <w:rFonts w:ascii="Times New Roman" w:hAnsi="Times New Roman" w:eastAsia="Times New Roman" w:cs="Times New Roman"/>
          <w:sz w:val="24"/>
          <w:szCs w:val="24"/>
          <w:spacing w:val="-1"/>
        </w:rPr>
        <w:t>GB34330-2017</w:t>
      </w:r>
      <w:r>
        <w:rPr>
          <w:rFonts w:ascii="SimSun" w:hAnsi="SimSun" w:eastAsia="SimSun" w:cs="SimSun"/>
          <w:sz w:val="24"/>
          <w:szCs w:val="24"/>
          <w:spacing w:val="-1"/>
        </w:rPr>
        <w:t>）。</w:t>
      </w:r>
    </w:p>
    <w:p>
      <w:pPr>
        <w:ind w:left="12" w:right="110" w:firstLine="483"/>
        <w:spacing w:before="153" w:line="28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17</w:t>
      </w:r>
      <w:r>
        <w:rPr>
          <w:rFonts w:ascii="SimSun" w:hAnsi="SimSun" w:eastAsia="SimSun" w:cs="SimSun"/>
          <w:sz w:val="24"/>
          <w:szCs w:val="24"/>
          <w:spacing w:val="-2"/>
        </w:rPr>
        <w:t>）《建筑物、水体、铁路及主要井巷煤柱留设与压煤开采规范》（国家安监总</w:t>
      </w:r>
      <w:r>
        <w:rPr>
          <w:rFonts w:ascii="SimSun" w:hAnsi="SimSun" w:eastAsia="SimSun" w:cs="SimSun"/>
          <w:sz w:val="24"/>
          <w:szCs w:val="24"/>
          <w:spacing w:val="-2"/>
        </w:rPr>
        <w:t>局，</w:t>
      </w:r>
      <w:r>
        <w:rPr>
          <w:rFonts w:ascii="Times New Roman" w:hAnsi="Times New Roman" w:eastAsia="Times New Roman" w:cs="Times New Roman"/>
          <w:sz w:val="24"/>
          <w:szCs w:val="24"/>
          <w:spacing w:val="-2"/>
        </w:rPr>
        <w:t>2017.5</w:t>
      </w:r>
      <w:r>
        <w:rPr>
          <w:rFonts w:ascii="SimSun" w:hAnsi="SimSun" w:eastAsia="SimSun" w:cs="SimSun"/>
          <w:sz w:val="24"/>
          <w:szCs w:val="24"/>
          <w:spacing w:val="-2"/>
        </w:rPr>
        <w:t>）</w:t>
      </w:r>
    </w:p>
    <w:p>
      <w:pPr>
        <w:ind w:left="495"/>
        <w:spacing w:before="153" w:line="21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18</w:t>
      </w:r>
      <w:r>
        <w:rPr>
          <w:rFonts w:ascii="SimSun" w:hAnsi="SimSun" w:eastAsia="SimSun" w:cs="SimSun"/>
          <w:sz w:val="24"/>
          <w:szCs w:val="24"/>
        </w:rPr>
        <w:t>）《工业企业土壤和地下水自行监测 技术</w:t>
      </w:r>
      <w:r>
        <w:rPr>
          <w:rFonts w:ascii="SimSun" w:hAnsi="SimSun" w:eastAsia="SimSun" w:cs="SimSun"/>
          <w:sz w:val="24"/>
          <w:szCs w:val="24"/>
          <w:spacing w:val="-1"/>
        </w:rPr>
        <w:t>指南》（</w:t>
      </w:r>
      <w:r>
        <w:rPr>
          <w:rFonts w:ascii="Times New Roman" w:hAnsi="Times New Roman" w:eastAsia="Times New Roman" w:cs="Times New Roman"/>
          <w:sz w:val="24"/>
          <w:szCs w:val="24"/>
          <w:spacing w:val="-1"/>
        </w:rPr>
        <w:t>HJ1209-2021</w:t>
      </w:r>
      <w:r>
        <w:rPr>
          <w:rFonts w:ascii="SimSun" w:hAnsi="SimSun" w:eastAsia="SimSun" w:cs="SimSun"/>
          <w:sz w:val="24"/>
          <w:szCs w:val="24"/>
          <w:spacing w:val="-1"/>
        </w:rPr>
        <w:t>）</w:t>
      </w:r>
    </w:p>
    <w:p>
      <w:pPr>
        <w:ind w:left="6"/>
        <w:spacing w:before="24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2.1.3  </w:t>
      </w:r>
      <w:r>
        <w:rPr>
          <w:rFonts w:ascii="SimHei" w:hAnsi="SimHei" w:eastAsia="SimHei" w:cs="SimHei"/>
          <w:sz w:val="28"/>
          <w:szCs w:val="28"/>
          <w:b/>
          <w:bCs/>
          <w:spacing w:val="-2"/>
        </w:rPr>
        <w:t>有关技术文件及工作文件</w:t>
      </w:r>
    </w:p>
    <w:p>
      <w:pPr>
        <w:ind w:left="38" w:right="44" w:firstLine="457"/>
        <w:spacing w:before="169" w:line="27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）《西乌珠穆沁旗白音华煤田四号露天矿优化调整开采范围可</w:t>
      </w:r>
      <w:r>
        <w:rPr>
          <w:rFonts w:ascii="SimSun" w:hAnsi="SimSun" w:eastAsia="SimSun" w:cs="SimSun"/>
          <w:sz w:val="24"/>
          <w:szCs w:val="24"/>
          <w:spacing w:val="-4"/>
        </w:rPr>
        <w:t>行性研究报告》，</w:t>
      </w:r>
      <w:r>
        <w:rPr>
          <w:rFonts w:ascii="SimSun" w:hAnsi="SimSun" w:eastAsia="SimSun" w:cs="SimSun"/>
          <w:sz w:val="24"/>
          <w:szCs w:val="24"/>
          <w:spacing w:val="-2"/>
        </w:rPr>
        <w:t>内蒙古煤矿设计研究院有限责任公司，</w:t>
      </w:r>
      <w:r>
        <w:rPr>
          <w:rFonts w:ascii="Times New Roman" w:hAnsi="Times New Roman" w:eastAsia="Times New Roman" w:cs="Times New Roman"/>
          <w:sz w:val="24"/>
          <w:szCs w:val="24"/>
          <w:spacing w:val="-2"/>
        </w:rPr>
        <w:t>2024.11</w:t>
      </w:r>
      <w:r>
        <w:rPr>
          <w:rFonts w:ascii="SimSun" w:hAnsi="SimSun" w:eastAsia="SimSun" w:cs="SimSun"/>
          <w:sz w:val="24"/>
          <w:szCs w:val="24"/>
          <w:spacing w:val="-2"/>
        </w:rPr>
        <w:t>；</w:t>
      </w:r>
    </w:p>
    <w:p>
      <w:pPr>
        <w:ind w:left="9" w:right="125" w:firstLine="486"/>
        <w:spacing w:before="154" w:line="27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）《内蒙古白音华四号露天矿水文地质类型划分报告》，阜新矿业集团地质测</w:t>
      </w:r>
      <w:r>
        <w:rPr>
          <w:rFonts w:ascii="SimSun" w:hAnsi="SimSun" w:eastAsia="SimSun" w:cs="SimSun"/>
          <w:sz w:val="24"/>
          <w:szCs w:val="24"/>
          <w:spacing w:val="-3"/>
        </w:rPr>
        <w:t>量勘察有限责任公司，</w:t>
      </w:r>
      <w:r>
        <w:rPr>
          <w:rFonts w:ascii="Times New Roman" w:hAnsi="Times New Roman" w:eastAsia="Times New Roman" w:cs="Times New Roman"/>
          <w:sz w:val="24"/>
          <w:szCs w:val="24"/>
          <w:spacing w:val="-3"/>
        </w:rPr>
        <w:t>2017.</w:t>
      </w:r>
      <w:r>
        <w:rPr>
          <w:rFonts w:ascii="Times New Roman" w:hAnsi="Times New Roman" w:eastAsia="Times New Roman" w:cs="Times New Roman"/>
          <w:sz w:val="24"/>
          <w:szCs w:val="24"/>
          <w:spacing w:val="-17"/>
        </w:rPr>
        <w:t xml:space="preserve"> </w:t>
      </w:r>
      <w:r>
        <w:rPr>
          <w:rFonts w:ascii="Times New Roman" w:hAnsi="Times New Roman" w:eastAsia="Times New Roman" w:cs="Times New Roman"/>
          <w:sz w:val="24"/>
          <w:szCs w:val="24"/>
          <w:spacing w:val="-3"/>
        </w:rPr>
        <w:t>12</w:t>
      </w:r>
      <w:r>
        <w:rPr>
          <w:rFonts w:ascii="SimSun" w:hAnsi="SimSun" w:eastAsia="SimSun" w:cs="SimSun"/>
          <w:sz w:val="24"/>
          <w:szCs w:val="24"/>
          <w:spacing w:val="-3"/>
        </w:rPr>
        <w:t>；</w:t>
      </w:r>
    </w:p>
    <w:p>
      <w:pPr>
        <w:ind w:left="15" w:firstLine="480"/>
        <w:spacing w:before="157" w:line="27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）《内蒙古海州露天能源有限责任公司白音华四号露天矿项目环境影响报告书》</w:t>
      </w:r>
      <w:r>
        <w:rPr>
          <w:rFonts w:ascii="SimSun" w:hAnsi="SimSun" w:eastAsia="SimSun" w:cs="SimSun"/>
          <w:sz w:val="24"/>
          <w:szCs w:val="24"/>
        </w:rPr>
        <w:t xml:space="preserve"> </w:t>
      </w:r>
      <w:r>
        <w:rPr>
          <w:rFonts w:ascii="SimSun" w:hAnsi="SimSun" w:eastAsia="SimSun" w:cs="SimSun"/>
          <w:sz w:val="24"/>
          <w:szCs w:val="24"/>
          <w:spacing w:val="-2"/>
        </w:rPr>
        <w:t>（内蒙古自治区环境科学研究院，</w:t>
      </w:r>
      <w:r>
        <w:rPr>
          <w:rFonts w:ascii="Times New Roman" w:hAnsi="Times New Roman" w:eastAsia="Times New Roman" w:cs="Times New Roman"/>
          <w:sz w:val="24"/>
          <w:szCs w:val="24"/>
          <w:spacing w:val="-2"/>
        </w:rPr>
        <w:t>2005.</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2"/>
        </w:rPr>
        <w:t>12</w:t>
      </w:r>
      <w:r>
        <w:rPr>
          <w:rFonts w:ascii="SimSun" w:hAnsi="SimSun" w:eastAsia="SimSun" w:cs="SimSun"/>
          <w:sz w:val="24"/>
          <w:szCs w:val="24"/>
          <w:spacing w:val="-2"/>
        </w:rPr>
        <w:t>）及其批复（环审〔</w:t>
      </w:r>
      <w:r>
        <w:rPr>
          <w:rFonts w:ascii="Times New Roman" w:hAnsi="Times New Roman" w:eastAsia="Times New Roman" w:cs="Times New Roman"/>
          <w:sz w:val="24"/>
          <w:szCs w:val="24"/>
          <w:spacing w:val="-2"/>
        </w:rPr>
        <w:t>2006</w:t>
      </w:r>
      <w:r>
        <w:rPr>
          <w:rFonts w:ascii="SimSun" w:hAnsi="SimSun" w:eastAsia="SimSun" w:cs="SimSun"/>
          <w:sz w:val="24"/>
          <w:szCs w:val="24"/>
          <w:spacing w:val="-2"/>
        </w:rPr>
        <w:t>〕</w:t>
      </w:r>
      <w:r>
        <w:rPr>
          <w:rFonts w:ascii="Times New Roman" w:hAnsi="Times New Roman" w:eastAsia="Times New Roman" w:cs="Times New Roman"/>
          <w:sz w:val="24"/>
          <w:szCs w:val="24"/>
          <w:spacing w:val="-2"/>
        </w:rPr>
        <w:t>78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w:t>
      </w:r>
      <w:r>
        <w:rPr>
          <w:rFonts w:ascii="SimSun" w:hAnsi="SimSun" w:eastAsia="SimSun" w:cs="SimSun"/>
          <w:sz w:val="24"/>
          <w:szCs w:val="24"/>
          <w:spacing w:val="8"/>
        </w:rPr>
        <w:t>）；</w:t>
      </w:r>
    </w:p>
    <w:p>
      <w:pPr>
        <w:ind w:left="8" w:right="113" w:firstLine="487"/>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）《内蒙古海州露天能源有限责任公司西乌珠穆沁旗白音华煤田四号露天煤矿</w:t>
      </w:r>
      <w:r>
        <w:rPr>
          <w:rFonts w:ascii="SimSun" w:hAnsi="SimSun" w:eastAsia="SimSun" w:cs="SimSun"/>
          <w:sz w:val="24"/>
          <w:szCs w:val="24"/>
          <w:spacing w:val="-1"/>
        </w:rPr>
        <w:t>矿山地质环境保护与土地复垦方案》（内蒙古盛立环保工程有限公司，</w:t>
      </w:r>
      <w:r>
        <w:rPr>
          <w:rFonts w:ascii="Times New Roman" w:hAnsi="Times New Roman" w:eastAsia="Times New Roman" w:cs="Times New Roman"/>
          <w:sz w:val="24"/>
          <w:szCs w:val="24"/>
          <w:spacing w:val="-1"/>
        </w:rPr>
        <w:t>2024.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12</w:t>
      </w:r>
      <w:r>
        <w:rPr>
          <w:rFonts w:ascii="SimSun" w:hAnsi="SimSun" w:eastAsia="SimSun" w:cs="SimSun"/>
          <w:sz w:val="24"/>
          <w:szCs w:val="24"/>
        </w:rPr>
        <w:t>））；</w:t>
      </w:r>
    </w:p>
    <w:p>
      <w:pPr>
        <w:ind w:left="12" w:right="125" w:firstLine="483"/>
        <w:spacing w:before="154"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）《内蒙古白音华海州露天煤矿有限公司白音华四号露天煤矿水土保持设施竣</w:t>
      </w:r>
      <w:r>
        <w:rPr>
          <w:rFonts w:ascii="SimSun" w:hAnsi="SimSun" w:eastAsia="SimSun" w:cs="SimSun"/>
          <w:sz w:val="24"/>
          <w:szCs w:val="24"/>
          <w:spacing w:val="-1"/>
        </w:rPr>
        <w:t>工验收技术报告》（内蒙古水利科学研究院，</w:t>
      </w:r>
      <w:r>
        <w:rPr>
          <w:rFonts w:ascii="Times New Roman" w:hAnsi="Times New Roman" w:eastAsia="Times New Roman" w:cs="Times New Roman"/>
          <w:sz w:val="24"/>
          <w:szCs w:val="24"/>
          <w:spacing w:val="-1"/>
        </w:rPr>
        <w:t>2010.9</w:t>
      </w:r>
      <w:r>
        <w:rPr>
          <w:rFonts w:ascii="SimSun" w:hAnsi="SimSun" w:eastAsia="SimSun" w:cs="SimSun"/>
          <w:sz w:val="24"/>
          <w:szCs w:val="24"/>
          <w:spacing w:val="6"/>
        </w:rPr>
        <w:t>）；</w:t>
      </w:r>
    </w:p>
    <w:p>
      <w:pPr>
        <w:ind w:left="10" w:right="125" w:firstLine="485"/>
        <w:spacing w:before="159"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）《内蒙古白音华海州露天煤矿有限公司白音华四号露天煤矿项目工程变更环</w:t>
      </w:r>
      <w:r>
        <w:rPr>
          <w:rFonts w:ascii="SimSun" w:hAnsi="SimSun" w:eastAsia="SimSun" w:cs="SimSun"/>
          <w:sz w:val="24"/>
          <w:szCs w:val="24"/>
        </w:rPr>
        <w:t>境影响分析与说明》（内蒙古环科园环境科技有</w:t>
      </w:r>
      <w:r>
        <w:rPr>
          <w:rFonts w:ascii="SimSun" w:hAnsi="SimSun" w:eastAsia="SimSun" w:cs="SimSun"/>
          <w:sz w:val="24"/>
          <w:szCs w:val="24"/>
          <w:spacing w:val="-1"/>
        </w:rPr>
        <w:t>限责任公司，</w:t>
      </w:r>
      <w:r>
        <w:rPr>
          <w:rFonts w:ascii="Times New Roman" w:hAnsi="Times New Roman" w:eastAsia="Times New Roman" w:cs="Times New Roman"/>
          <w:sz w:val="24"/>
          <w:szCs w:val="24"/>
          <w:spacing w:val="-1"/>
        </w:rPr>
        <w:t>2014.9</w:t>
      </w:r>
      <w:r>
        <w:rPr>
          <w:rFonts w:ascii="SimSun" w:hAnsi="SimSun" w:eastAsia="SimSun" w:cs="SimSun"/>
          <w:sz w:val="24"/>
          <w:szCs w:val="24"/>
        </w:rPr>
        <w:t>）；</w:t>
      </w:r>
    </w:p>
    <w:p>
      <w:pPr>
        <w:spacing w:line="278" w:lineRule="auto"/>
        <w:sectPr>
          <w:headerReference w:type="default" r:id="rId43"/>
          <w:footerReference w:type="default" r:id="rId44"/>
          <w:pgSz w:w="11906" w:h="16838"/>
          <w:pgMar w:top="1170" w:right="1306" w:bottom="1080" w:left="1416" w:header="837" w:footer="918" w:gutter="0"/>
        </w:sectPr>
        <w:rPr>
          <w:rFonts w:ascii="SimSun" w:hAnsi="SimSun" w:eastAsia="SimSun" w:cs="SimSun"/>
          <w:sz w:val="24"/>
          <w:szCs w:val="24"/>
        </w:rPr>
      </w:pPr>
    </w:p>
    <w:p>
      <w:pPr>
        <w:pStyle w:val="BodyText"/>
        <w:spacing w:line="312" w:lineRule="auto"/>
        <w:rPr/>
      </w:pPr>
      <w:r/>
    </w:p>
    <w:p>
      <w:pPr>
        <w:ind w:left="12" w:right="14" w:firstLine="483"/>
        <w:spacing w:before="78"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）《内蒙古海州露天能源有限责任公司白音华四号露天矿竣工环境保护验收调</w:t>
      </w:r>
      <w:r>
        <w:rPr>
          <w:rFonts w:ascii="SimSun" w:hAnsi="SimSun" w:eastAsia="SimSun" w:cs="SimSun"/>
          <w:sz w:val="24"/>
          <w:szCs w:val="24"/>
        </w:rPr>
        <w:t>查报告》（北京欣国环环境技术发展有限公司，</w:t>
      </w:r>
      <w:r>
        <w:rPr>
          <w:rFonts w:ascii="Times New Roman" w:hAnsi="Times New Roman" w:eastAsia="Times New Roman" w:cs="Times New Roman"/>
          <w:sz w:val="24"/>
          <w:szCs w:val="24"/>
        </w:rPr>
        <w:t>2015.7</w:t>
      </w:r>
      <w:r>
        <w:rPr>
          <w:rFonts w:ascii="SimSun" w:hAnsi="SimSun" w:eastAsia="SimSun" w:cs="SimSun"/>
          <w:sz w:val="24"/>
          <w:szCs w:val="24"/>
          <w:spacing w:val="-1"/>
        </w:rPr>
        <w:t>）及验收意见（环验字〔</w:t>
      </w:r>
      <w:r>
        <w:rPr>
          <w:rFonts w:ascii="Times New Roman" w:hAnsi="Times New Roman" w:eastAsia="Times New Roman" w:cs="Times New Roman"/>
          <w:sz w:val="24"/>
          <w:szCs w:val="24"/>
          <w:spacing w:val="-1"/>
        </w:rPr>
        <w:t>2015</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194</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号，国家环境保护部，</w:t>
      </w:r>
      <w:r>
        <w:rPr>
          <w:rFonts w:ascii="Times New Roman" w:hAnsi="Times New Roman" w:eastAsia="Times New Roman" w:cs="Times New Roman"/>
          <w:sz w:val="24"/>
          <w:szCs w:val="24"/>
          <w:spacing w:val="-3"/>
        </w:rPr>
        <w:t>2015.9.</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w:t>
      </w:r>
      <w:r>
        <w:rPr>
          <w:rFonts w:ascii="SimSun" w:hAnsi="SimSun" w:eastAsia="SimSun" w:cs="SimSun"/>
          <w:sz w:val="24"/>
          <w:szCs w:val="24"/>
          <w:spacing w:val="4"/>
        </w:rPr>
        <w:t>）；</w:t>
      </w:r>
    </w:p>
    <w:p>
      <w:pPr>
        <w:ind w:left="15" w:right="14" w:firstLine="480"/>
        <w:spacing w:before="153" w:line="27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）《内蒙古自治区西乌珠穆沁旗白音华煤炭矿区总体规划（修编）环境影响报</w:t>
      </w:r>
      <w:r>
        <w:rPr>
          <w:rFonts w:ascii="SimSun" w:hAnsi="SimSun" w:eastAsia="SimSun" w:cs="SimSun"/>
          <w:sz w:val="24"/>
          <w:szCs w:val="24"/>
          <w:spacing w:val="-2"/>
        </w:rPr>
        <w:t>告书及其审查意见》（环审</w:t>
      </w:r>
      <w:r>
        <w:rPr>
          <w:rFonts w:ascii="Times New Roman" w:hAnsi="Times New Roman" w:eastAsia="Times New Roman" w:cs="Times New Roman"/>
          <w:sz w:val="24"/>
          <w:szCs w:val="24"/>
          <w:spacing w:val="-2"/>
        </w:rPr>
        <w:t>[2023]130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号</w:t>
      </w:r>
      <w:r>
        <w:rPr>
          <w:rFonts w:ascii="SimSun" w:hAnsi="SimSun" w:eastAsia="SimSun" w:cs="SimSun"/>
          <w:sz w:val="24"/>
          <w:szCs w:val="24"/>
          <w:spacing w:val="6"/>
        </w:rPr>
        <w:t>）；</w:t>
      </w:r>
    </w:p>
    <w:p>
      <w:pPr>
        <w:ind w:left="495"/>
        <w:spacing w:before="165"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SimSun" w:hAnsi="SimSun" w:eastAsia="SimSun" w:cs="SimSun"/>
          <w:sz w:val="24"/>
          <w:szCs w:val="24"/>
          <w:spacing w:val="-1"/>
        </w:rPr>
        <w:t>）建设单位提供的相关技术资料及环境质量现状监测资料。</w:t>
      </w:r>
    </w:p>
    <w:p>
      <w:pPr>
        <w:ind w:left="7"/>
        <w:spacing w:before="232" w:line="222" w:lineRule="auto"/>
        <w:outlineLvl w:val="1"/>
        <w:rPr>
          <w:rFonts w:ascii="SimHei" w:hAnsi="SimHei" w:eastAsia="SimHei" w:cs="SimHei"/>
          <w:sz w:val="30"/>
          <w:szCs w:val="30"/>
        </w:rPr>
      </w:pPr>
      <w:bookmarkStart w:name="bookmark10" w:id="18"/>
      <w:bookmarkEnd w:id="18"/>
      <w:r>
        <w:rPr>
          <w:rFonts w:ascii="Times New Roman" w:hAnsi="Times New Roman" w:eastAsia="Times New Roman" w:cs="Times New Roman"/>
          <w:sz w:val="30"/>
          <w:szCs w:val="30"/>
          <w:b/>
          <w:bCs/>
          <w:spacing w:val="-2"/>
        </w:rPr>
        <w:t>2.2  </w:t>
      </w:r>
      <w:r>
        <w:rPr>
          <w:rFonts w:ascii="SimHei" w:hAnsi="SimHei" w:eastAsia="SimHei" w:cs="SimHei"/>
          <w:sz w:val="30"/>
          <w:szCs w:val="30"/>
          <w:b/>
          <w:bCs/>
          <w:spacing w:val="-2"/>
        </w:rPr>
        <w:t>评价目的及原则</w:t>
      </w:r>
    </w:p>
    <w:p>
      <w:pPr>
        <w:ind w:left="6"/>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2.2.1  </w:t>
      </w:r>
      <w:r>
        <w:rPr>
          <w:rFonts w:ascii="SimHei" w:hAnsi="SimHei" w:eastAsia="SimHei" w:cs="SimHei"/>
          <w:sz w:val="28"/>
          <w:szCs w:val="28"/>
          <w:b/>
          <w:bCs/>
          <w:spacing w:val="-2"/>
        </w:rPr>
        <w:t>评价目的</w:t>
      </w:r>
    </w:p>
    <w:p>
      <w:pPr>
        <w:ind w:left="15" w:right="67" w:firstLine="480"/>
        <w:spacing w:before="167" w:line="28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）通过对项目所在区域环境质量现状调查，了解</w:t>
      </w:r>
      <w:r>
        <w:rPr>
          <w:rFonts w:ascii="SimSun" w:hAnsi="SimSun" w:eastAsia="SimSun" w:cs="SimSun"/>
          <w:sz w:val="24"/>
          <w:szCs w:val="24"/>
          <w:spacing w:val="-1"/>
        </w:rPr>
        <w:t>项目所在区域环境质量现状，</w:t>
      </w:r>
      <w:r>
        <w:rPr>
          <w:rFonts w:ascii="SimSun" w:hAnsi="SimSun" w:eastAsia="SimSun" w:cs="SimSun"/>
          <w:sz w:val="24"/>
          <w:szCs w:val="24"/>
          <w:spacing w:val="-1"/>
        </w:rPr>
        <w:t>并结合该项目特点，确定主要环境保护对象和保护目标。</w:t>
      </w:r>
    </w:p>
    <w:p>
      <w:pPr>
        <w:ind w:left="11" w:firstLine="484"/>
        <w:spacing w:before="154" w:line="30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）通过对现有工程环境问题以及开采范围调整项目建设、运营过程中可能造成</w:t>
      </w:r>
      <w:r>
        <w:rPr>
          <w:rFonts w:ascii="SimSun" w:hAnsi="SimSun" w:eastAsia="SimSun" w:cs="SimSun"/>
          <w:sz w:val="24"/>
          <w:szCs w:val="24"/>
          <w:spacing w:val="-2"/>
        </w:rPr>
        <w:t>生态、大气、噪声、固废和土壤的环境污染以及项目将来实施过程中可能造成的生态影</w:t>
      </w:r>
      <w:r>
        <w:rPr>
          <w:rFonts w:ascii="SimSun" w:hAnsi="SimSun" w:eastAsia="SimSun" w:cs="SimSun"/>
          <w:sz w:val="24"/>
          <w:szCs w:val="24"/>
          <w:spacing w:val="-2"/>
        </w:rPr>
        <w:t>响以及地下水环境影响进行分析和评价，分析现有环保措施的有效性，并且提出合理可</w:t>
      </w:r>
      <w:r>
        <w:rPr>
          <w:rFonts w:ascii="SimSun" w:hAnsi="SimSun" w:eastAsia="SimSun" w:cs="SimSun"/>
          <w:sz w:val="24"/>
          <w:szCs w:val="24"/>
          <w:spacing w:val="-2"/>
        </w:rPr>
        <w:t>行的环境保护措施。</w:t>
      </w:r>
    </w:p>
    <w:p>
      <w:pPr>
        <w:ind w:left="7" w:firstLine="488"/>
        <w:spacing w:before="151" w:line="31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）根据项目污染物排放情况，对项目实施后的环境影响以及防治措施的有效性</w:t>
      </w:r>
      <w:r>
        <w:rPr>
          <w:rFonts w:ascii="SimSun" w:hAnsi="SimSun" w:eastAsia="SimSun" w:cs="SimSun"/>
          <w:sz w:val="24"/>
          <w:szCs w:val="24"/>
          <w:spacing w:val="-1"/>
        </w:rPr>
        <w:t>进行论证评价，并提出优化措施；对项目已</w:t>
      </w:r>
      <w:r>
        <w:rPr>
          <w:rFonts w:ascii="SimSun" w:hAnsi="SimSun" w:eastAsia="SimSun" w:cs="SimSun"/>
          <w:sz w:val="24"/>
          <w:szCs w:val="24"/>
          <w:spacing w:val="-2"/>
        </w:rPr>
        <w:t>造成的生态环境影响以及地下水环境影响进</w:t>
      </w:r>
      <w:r>
        <w:rPr>
          <w:rFonts w:ascii="SimSun" w:hAnsi="SimSun" w:eastAsia="SimSun" w:cs="SimSun"/>
          <w:sz w:val="24"/>
          <w:szCs w:val="24"/>
          <w:spacing w:val="-1"/>
        </w:rPr>
        <w:t>行分析，为以后开采造成的生态及地下水影</w:t>
      </w:r>
      <w:r>
        <w:rPr>
          <w:rFonts w:ascii="SimSun" w:hAnsi="SimSun" w:eastAsia="SimSun" w:cs="SimSun"/>
          <w:sz w:val="24"/>
          <w:szCs w:val="24"/>
          <w:spacing w:val="-2"/>
        </w:rPr>
        <w:t>响提供参考，优化生态环境保护措施。在前</w:t>
      </w:r>
      <w:r>
        <w:rPr>
          <w:rFonts w:ascii="SimSun" w:hAnsi="SimSun" w:eastAsia="SimSun" w:cs="SimSun"/>
          <w:sz w:val="24"/>
          <w:szCs w:val="24"/>
          <w:spacing w:val="2"/>
        </w:rPr>
        <w:t>述工作基础上，从环境保护角度对项目提出整改措施和建议，使项目真正能够满足</w:t>
      </w:r>
      <w:r>
        <w:rPr>
          <w:rFonts w:ascii="Times New Roman" w:hAnsi="Times New Roman" w:eastAsia="Times New Roman" w:cs="Times New Roman"/>
          <w:sz w:val="24"/>
          <w:szCs w:val="24"/>
          <w:spacing w:val="2"/>
        </w:rPr>
        <w:t>“</w:t>
      </w:r>
      <w:r>
        <w:rPr>
          <w:rFonts w:ascii="SimSun" w:hAnsi="SimSun" w:eastAsia="SimSun" w:cs="SimSun"/>
          <w:sz w:val="24"/>
          <w:szCs w:val="24"/>
          <w:spacing w:val="2"/>
        </w:rPr>
        <w:t>达</w:t>
      </w:r>
      <w:r>
        <w:rPr>
          <w:rFonts w:ascii="SimSun" w:hAnsi="SimSun" w:eastAsia="SimSun" w:cs="SimSun"/>
          <w:sz w:val="24"/>
          <w:szCs w:val="24"/>
        </w:rPr>
        <w:t>标排放</w:t>
      </w:r>
      <w:r>
        <w:rPr>
          <w:rFonts w:ascii="Times New Roman" w:hAnsi="Times New Roman" w:eastAsia="Times New Roman" w:cs="Times New Roman"/>
          <w:sz w:val="24"/>
          <w:szCs w:val="24"/>
        </w:rPr>
        <w:t>”</w:t>
      </w:r>
      <w:r>
        <w:rPr>
          <w:rFonts w:ascii="SimSun" w:hAnsi="SimSun" w:eastAsia="SimSun" w:cs="SimSun"/>
          <w:sz w:val="24"/>
          <w:szCs w:val="24"/>
        </w:rPr>
        <w:t>和</w:t>
      </w:r>
      <w:r>
        <w:rPr>
          <w:rFonts w:ascii="Times New Roman" w:hAnsi="Times New Roman" w:eastAsia="Times New Roman" w:cs="Times New Roman"/>
          <w:sz w:val="24"/>
          <w:szCs w:val="24"/>
        </w:rPr>
        <w:t>“</w:t>
      </w:r>
      <w:r>
        <w:rPr>
          <w:rFonts w:ascii="SimSun" w:hAnsi="SimSun" w:eastAsia="SimSun" w:cs="SimSun"/>
          <w:sz w:val="24"/>
          <w:szCs w:val="24"/>
        </w:rPr>
        <w:t>节能减排</w:t>
      </w:r>
      <w:r>
        <w:rPr>
          <w:rFonts w:ascii="Times New Roman" w:hAnsi="Times New Roman" w:eastAsia="Times New Roman" w:cs="Times New Roman"/>
          <w:sz w:val="24"/>
          <w:szCs w:val="24"/>
        </w:rPr>
        <w:t>”</w:t>
      </w:r>
      <w:r>
        <w:rPr>
          <w:rFonts w:ascii="SimSun" w:hAnsi="SimSun" w:eastAsia="SimSun" w:cs="SimSun"/>
          <w:sz w:val="24"/>
          <w:szCs w:val="24"/>
        </w:rPr>
        <w:t>的要求，为项目开展环境管理工作</w:t>
      </w:r>
      <w:r>
        <w:rPr>
          <w:rFonts w:ascii="SimSun" w:hAnsi="SimSun" w:eastAsia="SimSun" w:cs="SimSun"/>
          <w:sz w:val="24"/>
          <w:szCs w:val="24"/>
          <w:spacing w:val="-1"/>
        </w:rPr>
        <w:t>提供科学依据。</w:t>
      </w:r>
    </w:p>
    <w:p>
      <w:pPr>
        <w:ind w:left="6"/>
        <w:spacing w:before="24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2.2.2  </w:t>
      </w:r>
      <w:r>
        <w:rPr>
          <w:rFonts w:ascii="SimHei" w:hAnsi="SimHei" w:eastAsia="SimHei" w:cs="SimHei"/>
          <w:sz w:val="28"/>
          <w:szCs w:val="28"/>
          <w:b/>
          <w:bCs/>
          <w:spacing w:val="-2"/>
        </w:rPr>
        <w:t>评价原则</w:t>
      </w:r>
    </w:p>
    <w:p>
      <w:pPr>
        <w:ind w:left="495"/>
        <w:spacing w:before="170"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）依法评价</w:t>
      </w:r>
    </w:p>
    <w:p>
      <w:pPr>
        <w:ind w:left="15" w:firstLine="480"/>
        <w:spacing w:before="156" w:line="339" w:lineRule="auto"/>
        <w:rPr>
          <w:rFonts w:ascii="SimSun" w:hAnsi="SimSun" w:eastAsia="SimSun" w:cs="SimSun"/>
          <w:sz w:val="24"/>
          <w:szCs w:val="24"/>
        </w:rPr>
      </w:pPr>
      <w:r>
        <w:rPr>
          <w:rFonts w:ascii="SimSun" w:hAnsi="SimSun" w:eastAsia="SimSun" w:cs="SimSun"/>
          <w:sz w:val="24"/>
          <w:szCs w:val="24"/>
          <w:spacing w:val="-2"/>
        </w:rPr>
        <w:t>贯彻执行我国环境保护相关法律法规、标准、政策和规划等，优化项目建设，服务</w:t>
      </w:r>
      <w:r>
        <w:rPr>
          <w:rFonts w:ascii="SimSun" w:hAnsi="SimSun" w:eastAsia="SimSun" w:cs="SimSun"/>
          <w:sz w:val="24"/>
          <w:szCs w:val="24"/>
          <w:spacing w:val="-6"/>
        </w:rPr>
        <w:t>管理。</w:t>
      </w:r>
    </w:p>
    <w:p>
      <w:pPr>
        <w:ind w:left="495"/>
        <w:spacing w:before="1" w:line="217"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）科学评价</w:t>
      </w:r>
    </w:p>
    <w:p>
      <w:pPr>
        <w:ind w:left="489"/>
        <w:spacing w:before="156" w:line="218" w:lineRule="auto"/>
        <w:rPr>
          <w:rFonts w:ascii="SimSun" w:hAnsi="SimSun" w:eastAsia="SimSun" w:cs="SimSun"/>
          <w:sz w:val="24"/>
          <w:szCs w:val="24"/>
        </w:rPr>
      </w:pPr>
      <w:r>
        <w:rPr>
          <w:rFonts w:ascii="SimSun" w:hAnsi="SimSun" w:eastAsia="SimSun" w:cs="SimSun"/>
          <w:sz w:val="24"/>
          <w:szCs w:val="24"/>
          <w:spacing w:val="-1"/>
        </w:rPr>
        <w:t>根据项目环境影响评价方法，科学分析项目建设对环境质量的影响</w:t>
      </w:r>
    </w:p>
    <w:p>
      <w:pPr>
        <w:ind w:left="495"/>
        <w:spacing w:before="158" w:line="223"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）突出重点</w:t>
      </w:r>
    </w:p>
    <w:p>
      <w:pPr>
        <w:ind w:left="11" w:firstLine="478"/>
        <w:spacing w:before="150" w:line="339" w:lineRule="auto"/>
        <w:rPr>
          <w:rFonts w:ascii="SimSun" w:hAnsi="SimSun" w:eastAsia="SimSun" w:cs="SimSun"/>
          <w:sz w:val="24"/>
          <w:szCs w:val="24"/>
        </w:rPr>
      </w:pPr>
      <w:r>
        <w:rPr>
          <w:rFonts w:ascii="SimSun" w:hAnsi="SimSun" w:eastAsia="SimSun" w:cs="SimSun"/>
          <w:sz w:val="24"/>
          <w:szCs w:val="24"/>
          <w:spacing w:val="-2"/>
        </w:rPr>
        <w:t>根据建设项目的工程内容及其特点，明确与环境要素间的作用效应关系，充分利用</w:t>
      </w:r>
      <w:r>
        <w:rPr>
          <w:rFonts w:ascii="SimSun" w:hAnsi="SimSun" w:eastAsia="SimSun" w:cs="SimSun"/>
          <w:sz w:val="24"/>
          <w:szCs w:val="24"/>
        </w:rPr>
        <w:t>符合时效的数据资料及成果，对建设项目主要环</w:t>
      </w:r>
      <w:r>
        <w:rPr>
          <w:rFonts w:ascii="SimSun" w:hAnsi="SimSun" w:eastAsia="SimSun" w:cs="SimSun"/>
          <w:sz w:val="24"/>
          <w:szCs w:val="24"/>
          <w:spacing w:val="-1"/>
        </w:rPr>
        <w:t>境影响予以重点分析和评价。</w:t>
      </w:r>
    </w:p>
    <w:p>
      <w:pPr>
        <w:spacing w:line="339" w:lineRule="auto"/>
        <w:sectPr>
          <w:headerReference w:type="default" r:id="rId45"/>
          <w:footerReference w:type="default" r:id="rId46"/>
          <w:pgSz w:w="11906" w:h="16838"/>
          <w:pgMar w:top="1170" w:right="1417" w:bottom="1080" w:left="1416" w:header="837" w:footer="918" w:gutter="0"/>
        </w:sectPr>
        <w:rPr>
          <w:rFonts w:ascii="SimSun" w:hAnsi="SimSun" w:eastAsia="SimSun" w:cs="SimSun"/>
          <w:sz w:val="24"/>
          <w:szCs w:val="24"/>
        </w:rPr>
      </w:pPr>
    </w:p>
    <w:p>
      <w:pPr>
        <w:pStyle w:val="BodyText"/>
        <w:spacing w:line="369" w:lineRule="auto"/>
        <w:rPr/>
      </w:pPr>
      <w:r/>
    </w:p>
    <w:p>
      <w:pPr>
        <w:ind w:left="7"/>
        <w:spacing w:before="98" w:line="222" w:lineRule="auto"/>
        <w:outlineLvl w:val="1"/>
        <w:rPr>
          <w:rFonts w:ascii="SimHei" w:hAnsi="SimHei" w:eastAsia="SimHei" w:cs="SimHei"/>
          <w:sz w:val="30"/>
          <w:szCs w:val="30"/>
        </w:rPr>
      </w:pPr>
      <w:bookmarkStart w:name="bookmark11" w:id="19"/>
      <w:bookmarkEnd w:id="19"/>
      <w:r>
        <w:rPr>
          <w:rFonts w:ascii="Times New Roman" w:hAnsi="Times New Roman" w:eastAsia="Times New Roman" w:cs="Times New Roman"/>
          <w:sz w:val="30"/>
          <w:szCs w:val="30"/>
          <w:b/>
          <w:bCs/>
          <w:spacing w:val="-2"/>
        </w:rPr>
        <w:t>2.3  </w:t>
      </w:r>
      <w:r>
        <w:rPr>
          <w:rFonts w:ascii="SimHei" w:hAnsi="SimHei" w:eastAsia="SimHei" w:cs="SimHei"/>
          <w:sz w:val="30"/>
          <w:szCs w:val="30"/>
          <w:b/>
          <w:bCs/>
          <w:spacing w:val="-2"/>
        </w:rPr>
        <w:t>评价重点</w:t>
      </w:r>
    </w:p>
    <w:p>
      <w:pPr>
        <w:ind w:left="8" w:right="13" w:firstLine="481"/>
        <w:spacing w:before="163" w:line="338" w:lineRule="auto"/>
        <w:jc w:val="both"/>
        <w:rPr>
          <w:rFonts w:ascii="SimSun" w:hAnsi="SimSun" w:eastAsia="SimSun" w:cs="SimSun"/>
          <w:sz w:val="24"/>
          <w:szCs w:val="24"/>
        </w:rPr>
      </w:pPr>
      <w:r>
        <w:rPr>
          <w:rFonts w:ascii="SimSun" w:hAnsi="SimSun" w:eastAsia="SimSun" w:cs="SimSun"/>
          <w:sz w:val="24"/>
          <w:szCs w:val="24"/>
          <w:spacing w:val="-2"/>
        </w:rPr>
        <w:t>本项目为改建项目，在对现有工程情况及已经造成环境污染和生态破坏情况进行深</w:t>
      </w:r>
      <w:r>
        <w:rPr>
          <w:rFonts w:ascii="SimSun" w:hAnsi="SimSun" w:eastAsia="SimSun" w:cs="SimSun"/>
          <w:sz w:val="24"/>
          <w:szCs w:val="24"/>
          <w:spacing w:val="-2"/>
        </w:rPr>
        <w:t>入调查基础上，以控制污染排放与减缓生态破坏为重点，综合采用类比和参考监测资料</w:t>
      </w:r>
      <w:r>
        <w:rPr>
          <w:rFonts w:ascii="SimSun" w:hAnsi="SimSun" w:eastAsia="SimSun" w:cs="SimSun"/>
          <w:sz w:val="24"/>
          <w:szCs w:val="24"/>
        </w:rPr>
        <w:t>的方法，对项目建设开发给各环境要素造成的影响进</w:t>
      </w:r>
      <w:r>
        <w:rPr>
          <w:rFonts w:ascii="SimSun" w:hAnsi="SimSun" w:eastAsia="SimSun" w:cs="SimSun"/>
          <w:sz w:val="24"/>
          <w:szCs w:val="24"/>
          <w:spacing w:val="-1"/>
        </w:rPr>
        <w:t>行全面的分析和评价。</w:t>
      </w:r>
    </w:p>
    <w:p>
      <w:pPr>
        <w:ind w:left="9" w:right="13" w:firstLine="480"/>
        <w:spacing w:before="4" w:line="338" w:lineRule="auto"/>
        <w:rPr>
          <w:rFonts w:ascii="SimSun" w:hAnsi="SimSun" w:eastAsia="SimSun" w:cs="SimSun"/>
          <w:sz w:val="24"/>
          <w:szCs w:val="24"/>
        </w:rPr>
      </w:pPr>
      <w:r>
        <w:rPr>
          <w:rFonts w:ascii="SimSun" w:hAnsi="SimSun" w:eastAsia="SimSun" w:cs="SimSun"/>
          <w:sz w:val="24"/>
          <w:szCs w:val="24"/>
          <w:spacing w:val="-3"/>
        </w:rPr>
        <w:t>本次改建工程仅为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3.079km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1"/>
          <w:w w:val="101"/>
          <w:position w:val="7"/>
        </w:rPr>
        <w:t xml:space="preserve"> </w:t>
      </w:r>
      <w:r>
        <w:rPr>
          <w:rFonts w:ascii="SimSun" w:hAnsi="SimSun" w:eastAsia="SimSun" w:cs="SimSun"/>
          <w:sz w:val="24"/>
          <w:szCs w:val="24"/>
          <w:spacing w:val="-3"/>
        </w:rPr>
        <w:t>井工区开</w:t>
      </w:r>
      <w:r>
        <w:rPr>
          <w:rFonts w:ascii="SimSun" w:hAnsi="SimSun" w:eastAsia="SimSun" w:cs="SimSun"/>
          <w:sz w:val="24"/>
          <w:szCs w:val="24"/>
          <w:spacing w:val="-4"/>
        </w:rPr>
        <w:t>采范围调整为露天区开采范围，不涉及产能变</w:t>
      </w:r>
      <w:r>
        <w:rPr>
          <w:rFonts w:ascii="SimSun" w:hAnsi="SimSun" w:eastAsia="SimSun" w:cs="SimSun"/>
          <w:sz w:val="24"/>
          <w:szCs w:val="24"/>
          <w:spacing w:val="-2"/>
        </w:rPr>
        <w:t>化，地面工程无变化，因露天开采区域的调整，采掘场对声环境及环境空气的影响将产</w:t>
      </w:r>
      <w:r>
        <w:rPr>
          <w:rFonts w:ascii="SimSun" w:hAnsi="SimSun" w:eastAsia="SimSun" w:cs="SimSun"/>
          <w:sz w:val="24"/>
          <w:szCs w:val="24"/>
          <w:spacing w:val="12"/>
        </w:rPr>
        <w:t>生一定的变化。改建工程不新增劳动定员，废水、固废产</w:t>
      </w:r>
      <w:r>
        <w:rPr>
          <w:rFonts w:ascii="SimSun" w:hAnsi="SimSun" w:eastAsia="SimSun" w:cs="SimSun"/>
          <w:sz w:val="24"/>
          <w:szCs w:val="24"/>
          <w:spacing w:val="11"/>
        </w:rPr>
        <w:t>生量与后评价阶段不变。</w:t>
      </w:r>
      <w:r>
        <w:rPr>
          <w:rFonts w:ascii="SimSun" w:hAnsi="SimSun" w:eastAsia="SimSun" w:cs="SimSun"/>
          <w:sz w:val="24"/>
          <w:szCs w:val="24"/>
        </w:rPr>
        <w:t xml:space="preserve"> </w:t>
      </w:r>
      <w:r>
        <w:rPr>
          <w:rFonts w:ascii="Times New Roman" w:hAnsi="Times New Roman" w:eastAsia="Times New Roman" w:cs="Times New Roman"/>
          <w:sz w:val="24"/>
          <w:szCs w:val="24"/>
        </w:rPr>
        <w:t>3.079km</w:t>
      </w:r>
      <w:r>
        <w:rPr>
          <w:rFonts w:ascii="Times New Roman" w:hAnsi="Times New Roman" w:eastAsia="Times New Roman" w:cs="Times New Roman"/>
          <w:sz w:val="15"/>
          <w:szCs w:val="15"/>
          <w:position w:val="7"/>
        </w:rPr>
        <w:t>2</w:t>
      </w:r>
      <w:r>
        <w:rPr>
          <w:rFonts w:ascii="Times New Roman" w:hAnsi="Times New Roman" w:eastAsia="Times New Roman" w:cs="Times New Roman"/>
          <w:sz w:val="15"/>
          <w:szCs w:val="15"/>
          <w:spacing w:val="11"/>
          <w:w w:val="102"/>
          <w:position w:val="7"/>
        </w:rPr>
        <w:t xml:space="preserve"> </w:t>
      </w:r>
      <w:r>
        <w:rPr>
          <w:rFonts w:ascii="SimSun" w:hAnsi="SimSun" w:eastAsia="SimSun" w:cs="SimSun"/>
          <w:sz w:val="24"/>
          <w:szCs w:val="24"/>
        </w:rPr>
        <w:t>井工区域调整为露天区域，对生态</w:t>
      </w:r>
      <w:r>
        <w:rPr>
          <w:rFonts w:ascii="SimSun" w:hAnsi="SimSun" w:eastAsia="SimSun" w:cs="SimSun"/>
          <w:sz w:val="24"/>
          <w:szCs w:val="24"/>
          <w:spacing w:val="-1"/>
        </w:rPr>
        <w:t>环境和地下水环境的影响将产生变化。</w:t>
      </w:r>
    </w:p>
    <w:p>
      <w:pPr>
        <w:ind w:left="10" w:firstLine="480"/>
        <w:spacing w:line="339" w:lineRule="auto"/>
        <w:jc w:val="both"/>
        <w:rPr>
          <w:rFonts w:ascii="SimSun" w:hAnsi="SimSun" w:eastAsia="SimSun" w:cs="SimSun"/>
          <w:sz w:val="24"/>
          <w:szCs w:val="24"/>
        </w:rPr>
      </w:pPr>
      <w:r>
        <w:rPr>
          <w:rFonts w:ascii="SimSun" w:hAnsi="SimSun" w:eastAsia="SimSun" w:cs="SimSun"/>
          <w:sz w:val="24"/>
          <w:szCs w:val="24"/>
          <w:spacing w:val="-2"/>
        </w:rPr>
        <w:t>本次评价对项目已建成污染源不再进行预测和评价，依据污染源现状监测数据进行</w:t>
      </w:r>
      <w:r>
        <w:rPr>
          <w:rFonts w:ascii="SimSun" w:hAnsi="SimSun" w:eastAsia="SimSun" w:cs="SimSun"/>
          <w:sz w:val="24"/>
          <w:szCs w:val="24"/>
          <w:spacing w:val="-2"/>
        </w:rPr>
        <w:t>现状评价和未来影响变化趋势简要分析，把评价的重点放在煤炭开采生态环境影响和地</w:t>
      </w:r>
      <w:r>
        <w:rPr>
          <w:rFonts w:ascii="SimSun" w:hAnsi="SimSun" w:eastAsia="SimSun" w:cs="SimSun"/>
          <w:sz w:val="24"/>
          <w:szCs w:val="24"/>
          <w:spacing w:val="-1"/>
        </w:rPr>
        <w:t>下水资源影响评价方面。对项目建设和生产过程中各类污染物的排</w:t>
      </w:r>
      <w:r>
        <w:rPr>
          <w:rFonts w:ascii="SimSun" w:hAnsi="SimSun" w:eastAsia="SimSun" w:cs="SimSun"/>
          <w:sz w:val="24"/>
          <w:szCs w:val="24"/>
          <w:spacing w:val="-2"/>
        </w:rPr>
        <w:t>放对周围大气、水、</w:t>
      </w:r>
      <w:r>
        <w:rPr>
          <w:rFonts w:ascii="SimSun" w:hAnsi="SimSun" w:eastAsia="SimSun" w:cs="SimSun"/>
          <w:sz w:val="24"/>
          <w:szCs w:val="24"/>
          <w:spacing w:val="-2"/>
        </w:rPr>
        <w:t>土壤、声环境的影响进行分析和评价，对现状采取的各项污染防治措施及综合利用进行</w:t>
      </w:r>
      <w:r>
        <w:rPr>
          <w:rFonts w:ascii="SimSun" w:hAnsi="SimSun" w:eastAsia="SimSun" w:cs="SimSun"/>
          <w:sz w:val="24"/>
          <w:szCs w:val="24"/>
        </w:rPr>
        <w:t>可行性论证，对存在的问题提出整改措施，并根据预测</w:t>
      </w:r>
      <w:r>
        <w:rPr>
          <w:rFonts w:ascii="SimSun" w:hAnsi="SimSun" w:eastAsia="SimSun" w:cs="SimSun"/>
          <w:sz w:val="24"/>
          <w:szCs w:val="24"/>
          <w:spacing w:val="-1"/>
        </w:rPr>
        <w:t>结果进一步提出防治措施。</w:t>
      </w:r>
    </w:p>
    <w:p>
      <w:pPr>
        <w:ind w:left="7"/>
        <w:spacing w:before="71" w:line="222" w:lineRule="auto"/>
        <w:outlineLvl w:val="1"/>
        <w:rPr>
          <w:rFonts w:ascii="SimHei" w:hAnsi="SimHei" w:eastAsia="SimHei" w:cs="SimHei"/>
          <w:sz w:val="30"/>
          <w:szCs w:val="30"/>
        </w:rPr>
      </w:pPr>
      <w:bookmarkStart w:name="bookmark12" w:id="20"/>
      <w:bookmarkEnd w:id="20"/>
      <w:r>
        <w:rPr>
          <w:rFonts w:ascii="Times New Roman" w:hAnsi="Times New Roman" w:eastAsia="Times New Roman" w:cs="Times New Roman"/>
          <w:sz w:val="30"/>
          <w:szCs w:val="30"/>
          <w:b/>
          <w:bCs/>
          <w:spacing w:val="-2"/>
        </w:rPr>
        <w:t>2.4  </w:t>
      </w:r>
      <w:r>
        <w:rPr>
          <w:rFonts w:ascii="SimHei" w:hAnsi="SimHei" w:eastAsia="SimHei" w:cs="SimHei"/>
          <w:sz w:val="30"/>
          <w:szCs w:val="30"/>
          <w:b/>
          <w:bCs/>
          <w:spacing w:val="-2"/>
        </w:rPr>
        <w:t>环境影响因素识别和评价因子筛选</w:t>
      </w:r>
    </w:p>
    <w:p>
      <w:pPr>
        <w:ind w:left="9" w:right="13" w:firstLine="480"/>
        <w:spacing w:before="163" w:line="339" w:lineRule="auto"/>
        <w:jc w:val="both"/>
        <w:rPr>
          <w:rFonts w:ascii="SimSun" w:hAnsi="SimSun" w:eastAsia="SimSun" w:cs="SimSun"/>
          <w:sz w:val="24"/>
          <w:szCs w:val="24"/>
        </w:rPr>
      </w:pPr>
      <w:r>
        <w:rPr>
          <w:rFonts w:ascii="SimSun" w:hAnsi="SimSun" w:eastAsia="SimSun" w:cs="SimSun"/>
          <w:sz w:val="24"/>
          <w:szCs w:val="24"/>
          <w:spacing w:val="-2"/>
        </w:rPr>
        <w:t>根据本项目的工程特征、污染特征判别项目在不同工程阶段产生的污染因子和其对</w:t>
      </w:r>
      <w:r>
        <w:rPr>
          <w:rFonts w:ascii="SimSun" w:hAnsi="SimSun" w:eastAsia="SimSun" w:cs="SimSun"/>
          <w:sz w:val="24"/>
          <w:szCs w:val="24"/>
          <w:spacing w:val="-2"/>
        </w:rPr>
        <w:t>环境产生的影响因素及影响程度。通过分析判定项目的污染因子和评价因子，从而确定</w:t>
      </w:r>
      <w:r>
        <w:rPr>
          <w:rFonts w:ascii="SimSun" w:hAnsi="SimSun" w:eastAsia="SimSun" w:cs="SimSun"/>
          <w:sz w:val="24"/>
          <w:szCs w:val="24"/>
          <w:spacing w:val="-2"/>
        </w:rPr>
        <w:t>本项目工程的环境影响评价重点、影响范围和评价工作内容等，为环境影响预测评价提</w:t>
      </w:r>
      <w:r>
        <w:rPr>
          <w:rFonts w:ascii="SimSun" w:hAnsi="SimSun" w:eastAsia="SimSun" w:cs="SimSun"/>
          <w:sz w:val="24"/>
          <w:szCs w:val="24"/>
          <w:spacing w:val="-3"/>
        </w:rPr>
        <w:t>供依据。</w:t>
      </w:r>
    </w:p>
    <w:p>
      <w:pPr>
        <w:ind w:left="6"/>
        <w:spacing w:before="90"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2.4.1  </w:t>
      </w:r>
      <w:r>
        <w:rPr>
          <w:rFonts w:ascii="SimHei" w:hAnsi="SimHei" w:eastAsia="SimHei" w:cs="SimHei"/>
          <w:sz w:val="28"/>
          <w:szCs w:val="28"/>
          <w:b/>
          <w:bCs/>
          <w:spacing w:val="-2"/>
        </w:rPr>
        <w:t>环境影响因子识别</w:t>
      </w:r>
    </w:p>
    <w:p>
      <w:pPr>
        <w:ind w:left="11" w:right="13" w:firstLine="478"/>
        <w:spacing w:before="170" w:line="340" w:lineRule="auto"/>
        <w:rPr>
          <w:rFonts w:ascii="SimSun" w:hAnsi="SimSun" w:eastAsia="SimSun" w:cs="SimSun"/>
          <w:sz w:val="24"/>
          <w:szCs w:val="24"/>
        </w:rPr>
      </w:pPr>
      <w:r>
        <w:rPr>
          <w:rFonts w:ascii="SimSun" w:hAnsi="SimSun" w:eastAsia="SimSun" w:cs="SimSun"/>
          <w:sz w:val="24"/>
          <w:szCs w:val="24"/>
          <w:spacing w:val="-2"/>
        </w:rPr>
        <w:t>根据项目的污染排放现状以及项目所在地的环境保护要求、主要环境敏感点的分布</w:t>
      </w:r>
      <w:r>
        <w:rPr>
          <w:rFonts w:ascii="SimSun" w:hAnsi="SimSun" w:eastAsia="SimSun" w:cs="SimSun"/>
          <w:sz w:val="24"/>
          <w:szCs w:val="24"/>
          <w:spacing w:val="-1"/>
        </w:rPr>
        <w:t>等，确定本项目环境影响因素识别结果见表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2-4-1</w:t>
      </w:r>
      <w:r>
        <w:rPr>
          <w:rFonts w:ascii="SimSun" w:hAnsi="SimSun" w:eastAsia="SimSun" w:cs="SimSun"/>
          <w:sz w:val="24"/>
          <w:szCs w:val="24"/>
          <w:spacing w:val="-1"/>
        </w:rPr>
        <w:t>。</w:t>
      </w:r>
    </w:p>
    <w:p>
      <w:pPr>
        <w:spacing w:line="340" w:lineRule="auto"/>
        <w:sectPr>
          <w:headerReference w:type="default" r:id="rId47"/>
          <w:footerReference w:type="default" r:id="rId48"/>
          <w:pgSz w:w="11906" w:h="16838"/>
          <w:pgMar w:top="1170" w:right="1404" w:bottom="1080" w:left="1416" w:header="837" w:footer="918" w:gutter="0"/>
        </w:sectPr>
        <w:rPr>
          <w:rFonts w:ascii="SimSun" w:hAnsi="SimSun" w:eastAsia="SimSun" w:cs="SimSun"/>
          <w:sz w:val="24"/>
          <w:szCs w:val="24"/>
        </w:rPr>
      </w:pPr>
    </w:p>
    <w:p>
      <w:pPr>
        <w:pStyle w:val="BodyText"/>
        <w:spacing w:line="440" w:lineRule="auto"/>
        <w:rPr/>
      </w:pPr>
      <w:r/>
    </w:p>
    <w:p>
      <w:pPr>
        <w:ind w:left="3095"/>
        <w:spacing w:before="78" w:line="222" w:lineRule="auto"/>
        <w:rPr>
          <w:rFonts w:ascii="SimHei" w:hAnsi="SimHei" w:eastAsia="SimHei" w:cs="SimHei"/>
          <w:sz w:val="24"/>
          <w:szCs w:val="24"/>
        </w:rPr>
      </w:pPr>
      <w:r>
        <w:rPr>
          <w:rFonts w:ascii="SimHei" w:hAnsi="SimHei" w:eastAsia="SimHei" w:cs="SimHei"/>
          <w:sz w:val="24"/>
          <w:szCs w:val="24"/>
          <w:spacing w:val="-1"/>
        </w:rPr>
        <w:t>项目环境影响因素识别一览表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2-4-1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1"/>
        <w:gridCol w:w="1775"/>
        <w:gridCol w:w="818"/>
        <w:gridCol w:w="1029"/>
        <w:gridCol w:w="1127"/>
        <w:gridCol w:w="868"/>
        <w:gridCol w:w="1135"/>
        <w:gridCol w:w="1135"/>
        <w:gridCol w:w="962"/>
      </w:tblGrid>
      <w:tr>
        <w:trPr>
          <w:trHeight w:val="673" w:hRule="atLeast"/>
        </w:trPr>
        <w:tc>
          <w:tcPr>
            <w:tcW w:w="2216" w:type="dxa"/>
            <w:vAlign w:val="top"/>
            <w:gridSpan w:val="2"/>
          </w:tcPr>
          <w:p>
            <w:pPr>
              <w:ind w:left="694"/>
              <w:spacing w:before="287" w:line="228" w:lineRule="auto"/>
              <w:rPr>
                <w:rFonts w:ascii="SimSun" w:hAnsi="SimSun" w:eastAsia="SimSun" w:cs="SimSun"/>
                <w:sz w:val="20"/>
                <w:szCs w:val="20"/>
              </w:rPr>
            </w:pPr>
            <w:r>
              <w:rPr>
                <w:rFonts w:ascii="SimSun" w:hAnsi="SimSun" w:eastAsia="SimSun" w:cs="SimSun"/>
                <w:sz w:val="20"/>
                <w:szCs w:val="20"/>
                <w:spacing w:val="7"/>
              </w:rPr>
              <w:t>环境要素</w:t>
            </w:r>
          </w:p>
        </w:tc>
        <w:tc>
          <w:tcPr>
            <w:tcW w:w="818" w:type="dxa"/>
            <w:vAlign w:val="top"/>
          </w:tcPr>
          <w:p>
            <w:pPr>
              <w:ind w:left="311" w:right="201" w:hanging="110"/>
              <w:spacing w:before="153" w:line="235" w:lineRule="auto"/>
              <w:rPr>
                <w:rFonts w:ascii="SimSun" w:hAnsi="SimSun" w:eastAsia="SimSun" w:cs="SimSun"/>
                <w:sz w:val="20"/>
                <w:szCs w:val="20"/>
              </w:rPr>
            </w:pPr>
            <w:r>
              <w:rPr>
                <w:rFonts w:ascii="SimSun" w:hAnsi="SimSun" w:eastAsia="SimSun" w:cs="SimSun"/>
                <w:sz w:val="20"/>
                <w:szCs w:val="20"/>
                <w:spacing w:val="4"/>
              </w:rPr>
              <w:t>地表</w:t>
            </w:r>
            <w:r>
              <w:rPr>
                <w:rFonts w:ascii="SimSun" w:hAnsi="SimSun" w:eastAsia="SimSun" w:cs="SimSun"/>
                <w:sz w:val="20"/>
                <w:szCs w:val="20"/>
              </w:rPr>
              <w:t>水</w:t>
            </w:r>
          </w:p>
        </w:tc>
        <w:tc>
          <w:tcPr>
            <w:tcW w:w="1029" w:type="dxa"/>
            <w:vAlign w:val="top"/>
          </w:tcPr>
          <w:p>
            <w:pPr>
              <w:ind w:left="204"/>
              <w:spacing w:before="287" w:line="228" w:lineRule="auto"/>
              <w:rPr>
                <w:rFonts w:ascii="SimSun" w:hAnsi="SimSun" w:eastAsia="SimSun" w:cs="SimSun"/>
                <w:sz w:val="20"/>
                <w:szCs w:val="20"/>
              </w:rPr>
            </w:pPr>
            <w:r>
              <w:rPr>
                <w:rFonts w:ascii="SimSun" w:hAnsi="SimSun" w:eastAsia="SimSun" w:cs="SimSun"/>
                <w:sz w:val="20"/>
                <w:szCs w:val="20"/>
                <w:spacing w:val="6"/>
              </w:rPr>
              <w:t>地下水</w:t>
            </w:r>
          </w:p>
        </w:tc>
        <w:tc>
          <w:tcPr>
            <w:tcW w:w="1127" w:type="dxa"/>
            <w:vAlign w:val="top"/>
          </w:tcPr>
          <w:p>
            <w:pPr>
              <w:ind w:left="147"/>
              <w:spacing w:before="288" w:line="227" w:lineRule="auto"/>
              <w:rPr>
                <w:rFonts w:ascii="SimSun" w:hAnsi="SimSun" w:eastAsia="SimSun" w:cs="SimSun"/>
                <w:sz w:val="20"/>
                <w:szCs w:val="20"/>
              </w:rPr>
            </w:pPr>
            <w:r>
              <w:rPr>
                <w:rFonts w:ascii="SimSun" w:hAnsi="SimSun" w:eastAsia="SimSun" w:cs="SimSun"/>
                <w:sz w:val="20"/>
                <w:szCs w:val="20"/>
                <w:spacing w:val="7"/>
              </w:rPr>
              <w:t>环境空气</w:t>
            </w:r>
          </w:p>
        </w:tc>
        <w:tc>
          <w:tcPr>
            <w:tcW w:w="868" w:type="dxa"/>
            <w:vAlign w:val="top"/>
          </w:tcPr>
          <w:p>
            <w:pPr>
              <w:ind w:left="128"/>
              <w:spacing w:before="288" w:line="228" w:lineRule="auto"/>
              <w:rPr>
                <w:rFonts w:ascii="SimSun" w:hAnsi="SimSun" w:eastAsia="SimSun" w:cs="SimSun"/>
                <w:sz w:val="20"/>
                <w:szCs w:val="20"/>
              </w:rPr>
            </w:pPr>
            <w:r>
              <w:rPr>
                <w:rFonts w:ascii="SimSun" w:hAnsi="SimSun" w:eastAsia="SimSun" w:cs="SimSun"/>
                <w:sz w:val="20"/>
                <w:szCs w:val="20"/>
                <w:spacing w:val="5"/>
              </w:rPr>
              <w:t>声环境</w:t>
            </w:r>
          </w:p>
        </w:tc>
        <w:tc>
          <w:tcPr>
            <w:tcW w:w="1135" w:type="dxa"/>
            <w:vAlign w:val="top"/>
          </w:tcPr>
          <w:p>
            <w:pPr>
              <w:ind w:left="152"/>
              <w:spacing w:before="288" w:line="228" w:lineRule="auto"/>
              <w:rPr>
                <w:rFonts w:ascii="SimSun" w:hAnsi="SimSun" w:eastAsia="SimSun" w:cs="SimSun"/>
                <w:sz w:val="20"/>
                <w:szCs w:val="20"/>
              </w:rPr>
            </w:pPr>
            <w:r>
              <w:rPr>
                <w:rFonts w:ascii="SimSun" w:hAnsi="SimSun" w:eastAsia="SimSun" w:cs="SimSun"/>
                <w:sz w:val="20"/>
                <w:szCs w:val="20"/>
                <w:spacing w:val="7"/>
              </w:rPr>
              <w:t>土壤环境</w:t>
            </w:r>
          </w:p>
        </w:tc>
        <w:tc>
          <w:tcPr>
            <w:tcW w:w="1135" w:type="dxa"/>
            <w:vAlign w:val="top"/>
          </w:tcPr>
          <w:p>
            <w:pPr>
              <w:ind w:left="154"/>
              <w:spacing w:before="288" w:line="229" w:lineRule="auto"/>
              <w:rPr>
                <w:rFonts w:ascii="SimSun" w:hAnsi="SimSun" w:eastAsia="SimSun" w:cs="SimSun"/>
                <w:sz w:val="20"/>
                <w:szCs w:val="20"/>
              </w:rPr>
            </w:pPr>
            <w:r>
              <w:rPr>
                <w:rFonts w:ascii="SimSun" w:hAnsi="SimSun" w:eastAsia="SimSun" w:cs="SimSun"/>
                <w:sz w:val="20"/>
                <w:szCs w:val="20"/>
                <w:spacing w:val="7"/>
              </w:rPr>
              <w:t>土地利用</w:t>
            </w:r>
          </w:p>
        </w:tc>
        <w:tc>
          <w:tcPr>
            <w:tcW w:w="962" w:type="dxa"/>
            <w:vAlign w:val="top"/>
          </w:tcPr>
          <w:p>
            <w:pPr>
              <w:ind w:left="171"/>
              <w:spacing w:before="287" w:line="228" w:lineRule="auto"/>
              <w:rPr>
                <w:rFonts w:ascii="SimSun" w:hAnsi="SimSun" w:eastAsia="SimSun" w:cs="SimSun"/>
                <w:sz w:val="20"/>
                <w:szCs w:val="20"/>
              </w:rPr>
            </w:pPr>
            <w:r>
              <w:rPr>
                <w:rFonts w:ascii="SimSun" w:hAnsi="SimSun" w:eastAsia="SimSun" w:cs="SimSun"/>
                <w:sz w:val="20"/>
                <w:szCs w:val="20"/>
                <w:spacing w:val="6"/>
              </w:rPr>
              <w:t>动植物</w:t>
            </w:r>
          </w:p>
        </w:tc>
      </w:tr>
      <w:tr>
        <w:trPr>
          <w:trHeight w:val="395" w:hRule="atLeast"/>
        </w:trPr>
        <w:tc>
          <w:tcPr>
            <w:tcW w:w="441" w:type="dxa"/>
            <w:vAlign w:val="top"/>
            <w:vMerge w:val="restart"/>
            <w:textDirection w:val="tbRlV"/>
            <w:tcBorders>
              <w:bottom w:val="nil"/>
            </w:tcBorders>
          </w:tcPr>
          <w:p>
            <w:pPr>
              <w:ind w:left="901"/>
              <w:spacing w:before="114" w:line="216" w:lineRule="auto"/>
              <w:rPr>
                <w:rFonts w:ascii="SimSun" w:hAnsi="SimSun" w:eastAsia="SimSun" w:cs="SimSun"/>
                <w:sz w:val="20"/>
                <w:szCs w:val="20"/>
              </w:rPr>
            </w:pPr>
            <w:r>
              <w:rPr>
                <w:rFonts w:ascii="SimSun" w:hAnsi="SimSun" w:eastAsia="SimSun" w:cs="SimSun"/>
                <w:sz w:val="20"/>
                <w:szCs w:val="20"/>
                <w:spacing w:val="8"/>
              </w:rPr>
              <w:t>运</w:t>
            </w:r>
            <w:r>
              <w:rPr>
                <w:rFonts w:ascii="SimSun" w:hAnsi="SimSun" w:eastAsia="SimSun" w:cs="SimSun"/>
                <w:sz w:val="20"/>
                <w:szCs w:val="20"/>
                <w:spacing w:val="-37"/>
              </w:rPr>
              <w:t xml:space="preserve"> </w:t>
            </w:r>
            <w:r>
              <w:rPr>
                <w:rFonts w:ascii="SimSun" w:hAnsi="SimSun" w:eastAsia="SimSun" w:cs="SimSun"/>
                <w:sz w:val="20"/>
                <w:szCs w:val="20"/>
                <w:spacing w:val="8"/>
              </w:rPr>
              <w:t>行</w:t>
            </w:r>
            <w:r>
              <w:rPr>
                <w:rFonts w:ascii="SimSun" w:hAnsi="SimSun" w:eastAsia="SimSun" w:cs="SimSun"/>
                <w:sz w:val="20"/>
                <w:szCs w:val="20"/>
                <w:spacing w:val="-35"/>
              </w:rPr>
              <w:t xml:space="preserve"> </w:t>
            </w:r>
            <w:r>
              <w:rPr>
                <w:rFonts w:ascii="SimSun" w:hAnsi="SimSun" w:eastAsia="SimSun" w:cs="SimSun"/>
                <w:sz w:val="20"/>
                <w:szCs w:val="20"/>
                <w:spacing w:val="8"/>
              </w:rPr>
              <w:t>期</w:t>
            </w:r>
          </w:p>
        </w:tc>
        <w:tc>
          <w:tcPr>
            <w:tcW w:w="1775" w:type="dxa"/>
            <w:vAlign w:val="top"/>
          </w:tcPr>
          <w:p>
            <w:pPr>
              <w:ind w:left="470"/>
              <w:spacing w:before="149" w:line="217" w:lineRule="auto"/>
              <w:rPr>
                <w:rFonts w:ascii="SimSun" w:hAnsi="SimSun" w:eastAsia="SimSun" w:cs="SimSun"/>
                <w:sz w:val="20"/>
                <w:szCs w:val="20"/>
              </w:rPr>
            </w:pPr>
            <w:r>
              <w:rPr>
                <w:rFonts w:ascii="SimSun" w:hAnsi="SimSun" w:eastAsia="SimSun" w:cs="SimSun"/>
                <w:sz w:val="20"/>
                <w:szCs w:val="20"/>
                <w:spacing w:val="7"/>
              </w:rPr>
              <w:t>煤矿开采</w:t>
            </w:r>
          </w:p>
        </w:tc>
        <w:tc>
          <w:tcPr>
            <w:tcW w:w="818" w:type="dxa"/>
            <w:vAlign w:val="top"/>
          </w:tcPr>
          <w:p>
            <w:pPr>
              <w:pStyle w:val="TableText"/>
              <w:ind w:left="373"/>
              <w:spacing w:before="182" w:line="199" w:lineRule="auto"/>
              <w:rPr/>
            </w:pPr>
            <w:r>
              <w:rPr>
                <w:spacing w:val="2"/>
              </w:rPr>
              <w:t>/</w:t>
            </w:r>
          </w:p>
        </w:tc>
        <w:tc>
          <w:tcPr>
            <w:tcW w:w="1029" w:type="dxa"/>
            <w:vAlign w:val="top"/>
          </w:tcPr>
          <w:p>
            <w:pPr>
              <w:pStyle w:val="TableText"/>
              <w:ind w:left="367"/>
              <w:spacing w:before="186" w:line="195" w:lineRule="auto"/>
              <w:rPr/>
            </w:pPr>
            <w:r>
              <w:rPr>
                <w:spacing w:val="1"/>
              </w:rPr>
              <w:t>-2L</w:t>
            </w:r>
          </w:p>
        </w:tc>
        <w:tc>
          <w:tcPr>
            <w:tcW w:w="1127" w:type="dxa"/>
            <w:vAlign w:val="top"/>
          </w:tcPr>
          <w:p>
            <w:pPr>
              <w:pStyle w:val="TableText"/>
              <w:ind w:left="423"/>
              <w:spacing w:before="186" w:line="195" w:lineRule="auto"/>
              <w:rPr/>
            </w:pPr>
            <w:r>
              <w:rPr/>
              <w:t>-2S</w:t>
            </w:r>
          </w:p>
        </w:tc>
        <w:tc>
          <w:tcPr>
            <w:tcW w:w="868" w:type="dxa"/>
            <w:vAlign w:val="top"/>
          </w:tcPr>
          <w:p>
            <w:pPr>
              <w:pStyle w:val="TableText"/>
              <w:ind w:left="287"/>
              <w:spacing w:before="186" w:line="195" w:lineRule="auto"/>
              <w:rPr/>
            </w:pPr>
            <w:r>
              <w:rPr>
                <w:spacing w:val="1"/>
              </w:rPr>
              <w:t>-1L</w:t>
            </w:r>
          </w:p>
        </w:tc>
        <w:tc>
          <w:tcPr>
            <w:tcW w:w="1135" w:type="dxa"/>
            <w:vAlign w:val="top"/>
          </w:tcPr>
          <w:p>
            <w:pPr>
              <w:pStyle w:val="TableText"/>
              <w:ind w:left="423"/>
              <w:spacing w:before="186" w:line="195" w:lineRule="auto"/>
              <w:rPr/>
            </w:pPr>
            <w:r>
              <w:rPr/>
              <w:t>-1L</w:t>
            </w:r>
          </w:p>
        </w:tc>
        <w:tc>
          <w:tcPr>
            <w:tcW w:w="1135" w:type="dxa"/>
            <w:vAlign w:val="top"/>
          </w:tcPr>
          <w:p>
            <w:pPr>
              <w:pStyle w:val="TableText"/>
              <w:ind w:left="537"/>
              <w:spacing w:before="182" w:line="199" w:lineRule="auto"/>
              <w:rPr/>
            </w:pPr>
            <w:r>
              <w:rPr>
                <w:spacing w:val="2"/>
              </w:rPr>
              <w:t>/</w:t>
            </w:r>
          </w:p>
        </w:tc>
        <w:tc>
          <w:tcPr>
            <w:tcW w:w="962" w:type="dxa"/>
            <w:vAlign w:val="top"/>
          </w:tcPr>
          <w:p>
            <w:pPr>
              <w:pStyle w:val="TableText"/>
              <w:ind w:left="448"/>
              <w:spacing w:before="182" w:line="199" w:lineRule="auto"/>
              <w:rPr/>
            </w:pPr>
            <w:r>
              <w:rPr>
                <w:spacing w:val="2"/>
              </w:rPr>
              <w:t>/</w:t>
            </w:r>
          </w:p>
        </w:tc>
      </w:tr>
      <w:tr>
        <w:trPr>
          <w:trHeight w:val="398" w:hRule="atLeast"/>
        </w:trPr>
        <w:tc>
          <w:tcPr>
            <w:tcW w:w="441" w:type="dxa"/>
            <w:vAlign w:val="top"/>
            <w:vMerge w:val="continue"/>
            <w:textDirection w:val="tbRlV"/>
            <w:tcBorders>
              <w:top w:val="nil"/>
              <w:bottom w:val="nil"/>
            </w:tcBorders>
          </w:tcPr>
          <w:p>
            <w:pPr>
              <w:rPr>
                <w:rFonts w:ascii="Arial"/>
                <w:sz w:val="21"/>
              </w:rPr>
            </w:pPr>
            <w:r/>
          </w:p>
        </w:tc>
        <w:tc>
          <w:tcPr>
            <w:tcW w:w="1775" w:type="dxa"/>
            <w:vAlign w:val="top"/>
          </w:tcPr>
          <w:p>
            <w:pPr>
              <w:ind w:left="367"/>
              <w:spacing w:before="154" w:line="216" w:lineRule="auto"/>
              <w:rPr>
                <w:rFonts w:ascii="SimSun" w:hAnsi="SimSun" w:eastAsia="SimSun" w:cs="SimSun"/>
                <w:sz w:val="20"/>
                <w:szCs w:val="20"/>
              </w:rPr>
            </w:pPr>
            <w:r>
              <w:rPr>
                <w:rFonts w:ascii="SimSun" w:hAnsi="SimSun" w:eastAsia="SimSun" w:cs="SimSun"/>
                <w:sz w:val="20"/>
                <w:szCs w:val="20"/>
                <w:spacing w:val="7"/>
              </w:rPr>
              <w:t>生活污废水</w:t>
            </w:r>
          </w:p>
        </w:tc>
        <w:tc>
          <w:tcPr>
            <w:tcW w:w="818" w:type="dxa"/>
            <w:vAlign w:val="top"/>
          </w:tcPr>
          <w:p>
            <w:pPr>
              <w:pStyle w:val="TableText"/>
              <w:ind w:left="373"/>
              <w:spacing w:before="185" w:line="199" w:lineRule="auto"/>
              <w:rPr/>
            </w:pPr>
            <w:r>
              <w:rPr>
                <w:spacing w:val="2"/>
              </w:rPr>
              <w:t>/</w:t>
            </w:r>
          </w:p>
        </w:tc>
        <w:tc>
          <w:tcPr>
            <w:tcW w:w="1029" w:type="dxa"/>
            <w:vAlign w:val="top"/>
          </w:tcPr>
          <w:p>
            <w:pPr>
              <w:pStyle w:val="TableText"/>
              <w:ind w:left="479"/>
              <w:spacing w:before="185" w:line="199" w:lineRule="auto"/>
              <w:rPr/>
            </w:pPr>
            <w:r>
              <w:rPr>
                <w:spacing w:val="2"/>
              </w:rPr>
              <w:t>/</w:t>
            </w:r>
          </w:p>
        </w:tc>
        <w:tc>
          <w:tcPr>
            <w:tcW w:w="1127" w:type="dxa"/>
            <w:vAlign w:val="top"/>
          </w:tcPr>
          <w:p>
            <w:pPr>
              <w:pStyle w:val="TableText"/>
              <w:ind w:left="530"/>
              <w:spacing w:before="185" w:line="199" w:lineRule="auto"/>
              <w:rPr/>
            </w:pPr>
            <w:r>
              <w:rPr>
                <w:spacing w:val="2"/>
              </w:rPr>
              <w:t>/</w:t>
            </w:r>
          </w:p>
        </w:tc>
        <w:tc>
          <w:tcPr>
            <w:tcW w:w="868" w:type="dxa"/>
            <w:vAlign w:val="top"/>
          </w:tcPr>
          <w:p>
            <w:pPr>
              <w:pStyle w:val="TableText"/>
              <w:ind w:left="404"/>
              <w:spacing w:before="185" w:line="199" w:lineRule="auto"/>
              <w:rPr/>
            </w:pPr>
            <w:r>
              <w:rPr>
                <w:spacing w:val="2"/>
              </w:rPr>
              <w:t>/</w:t>
            </w:r>
          </w:p>
        </w:tc>
        <w:tc>
          <w:tcPr>
            <w:tcW w:w="1135" w:type="dxa"/>
            <w:vAlign w:val="top"/>
          </w:tcPr>
          <w:p>
            <w:pPr>
              <w:pStyle w:val="TableText"/>
              <w:ind w:left="423"/>
              <w:spacing w:before="189" w:line="195" w:lineRule="auto"/>
              <w:rPr/>
            </w:pPr>
            <w:r>
              <w:rPr>
                <w:spacing w:val="1"/>
              </w:rPr>
              <w:t>-1L</w:t>
            </w:r>
          </w:p>
        </w:tc>
        <w:tc>
          <w:tcPr>
            <w:tcW w:w="1135" w:type="dxa"/>
            <w:vAlign w:val="top"/>
          </w:tcPr>
          <w:p>
            <w:pPr>
              <w:pStyle w:val="TableText"/>
              <w:ind w:left="537"/>
              <w:spacing w:before="185" w:line="199" w:lineRule="auto"/>
              <w:rPr/>
            </w:pPr>
            <w:r>
              <w:rPr>
                <w:spacing w:val="2"/>
              </w:rPr>
              <w:t>/</w:t>
            </w:r>
          </w:p>
        </w:tc>
        <w:tc>
          <w:tcPr>
            <w:tcW w:w="962" w:type="dxa"/>
            <w:vAlign w:val="top"/>
          </w:tcPr>
          <w:p>
            <w:pPr>
              <w:pStyle w:val="TableText"/>
              <w:ind w:left="448"/>
              <w:spacing w:before="185" w:line="199" w:lineRule="auto"/>
              <w:rPr/>
            </w:pPr>
            <w:r>
              <w:rPr>
                <w:spacing w:val="2"/>
              </w:rPr>
              <w:t>/</w:t>
            </w:r>
          </w:p>
        </w:tc>
      </w:tr>
      <w:tr>
        <w:trPr>
          <w:trHeight w:val="433" w:hRule="atLeast"/>
        </w:trPr>
        <w:tc>
          <w:tcPr>
            <w:tcW w:w="441" w:type="dxa"/>
            <w:vAlign w:val="top"/>
            <w:vMerge w:val="continue"/>
            <w:textDirection w:val="tbRlV"/>
            <w:tcBorders>
              <w:top w:val="nil"/>
              <w:bottom w:val="nil"/>
            </w:tcBorders>
          </w:tcPr>
          <w:p>
            <w:pPr>
              <w:rPr>
                <w:rFonts w:ascii="Arial"/>
                <w:sz w:val="21"/>
              </w:rPr>
            </w:pPr>
            <w:r/>
          </w:p>
        </w:tc>
        <w:tc>
          <w:tcPr>
            <w:tcW w:w="1775" w:type="dxa"/>
            <w:vAlign w:val="top"/>
          </w:tcPr>
          <w:p>
            <w:pPr>
              <w:ind w:left="151"/>
              <w:spacing w:before="170" w:line="228" w:lineRule="auto"/>
              <w:rPr>
                <w:rFonts w:ascii="SimSun" w:hAnsi="SimSun" w:eastAsia="SimSun" w:cs="SimSun"/>
                <w:sz w:val="20"/>
                <w:szCs w:val="20"/>
              </w:rPr>
            </w:pPr>
            <w:r>
              <w:rPr>
                <w:rFonts w:ascii="SimSun" w:hAnsi="SimSun" w:eastAsia="SimSun" w:cs="SimSun"/>
                <w:sz w:val="20"/>
                <w:szCs w:val="20"/>
                <w:spacing w:val="9"/>
              </w:rPr>
              <w:t>矿井（坑）废水</w:t>
            </w:r>
          </w:p>
        </w:tc>
        <w:tc>
          <w:tcPr>
            <w:tcW w:w="818" w:type="dxa"/>
            <w:vAlign w:val="top"/>
          </w:tcPr>
          <w:p>
            <w:pPr>
              <w:pStyle w:val="TableText"/>
              <w:ind w:left="373"/>
              <w:spacing w:before="202" w:line="199" w:lineRule="auto"/>
              <w:rPr/>
            </w:pPr>
            <w:r>
              <w:rPr>
                <w:spacing w:val="2"/>
              </w:rPr>
              <w:t>/</w:t>
            </w:r>
          </w:p>
        </w:tc>
        <w:tc>
          <w:tcPr>
            <w:tcW w:w="1029" w:type="dxa"/>
            <w:vAlign w:val="top"/>
          </w:tcPr>
          <w:p>
            <w:pPr>
              <w:pStyle w:val="TableText"/>
              <w:ind w:left="367"/>
              <w:spacing w:before="206" w:line="195" w:lineRule="auto"/>
              <w:rPr/>
            </w:pPr>
            <w:r>
              <w:rPr>
                <w:spacing w:val="1"/>
              </w:rPr>
              <w:t>-2L</w:t>
            </w:r>
          </w:p>
        </w:tc>
        <w:tc>
          <w:tcPr>
            <w:tcW w:w="1127" w:type="dxa"/>
            <w:vAlign w:val="top"/>
          </w:tcPr>
          <w:p>
            <w:pPr>
              <w:pStyle w:val="TableText"/>
              <w:ind w:left="530"/>
              <w:spacing w:before="202" w:line="199" w:lineRule="auto"/>
              <w:rPr/>
            </w:pPr>
            <w:r>
              <w:rPr>
                <w:spacing w:val="2"/>
              </w:rPr>
              <w:t>/</w:t>
            </w:r>
          </w:p>
        </w:tc>
        <w:tc>
          <w:tcPr>
            <w:tcW w:w="868" w:type="dxa"/>
            <w:vAlign w:val="top"/>
          </w:tcPr>
          <w:p>
            <w:pPr>
              <w:pStyle w:val="TableText"/>
              <w:ind w:left="404"/>
              <w:spacing w:before="202" w:line="199" w:lineRule="auto"/>
              <w:rPr/>
            </w:pPr>
            <w:r>
              <w:rPr>
                <w:spacing w:val="2"/>
              </w:rPr>
              <w:t>/</w:t>
            </w:r>
          </w:p>
        </w:tc>
        <w:tc>
          <w:tcPr>
            <w:tcW w:w="1135" w:type="dxa"/>
            <w:vAlign w:val="top"/>
          </w:tcPr>
          <w:p>
            <w:pPr>
              <w:pStyle w:val="TableText"/>
              <w:ind w:left="423"/>
              <w:spacing w:before="206" w:line="195" w:lineRule="auto"/>
              <w:rPr/>
            </w:pPr>
            <w:r>
              <w:rPr>
                <w:spacing w:val="1"/>
              </w:rPr>
              <w:t>-1L</w:t>
            </w:r>
          </w:p>
        </w:tc>
        <w:tc>
          <w:tcPr>
            <w:tcW w:w="1135" w:type="dxa"/>
            <w:vAlign w:val="top"/>
          </w:tcPr>
          <w:p>
            <w:pPr>
              <w:pStyle w:val="TableText"/>
              <w:ind w:left="537"/>
              <w:spacing w:before="202" w:line="199" w:lineRule="auto"/>
              <w:rPr/>
            </w:pPr>
            <w:r>
              <w:rPr>
                <w:spacing w:val="2"/>
              </w:rPr>
              <w:t>/</w:t>
            </w:r>
          </w:p>
        </w:tc>
        <w:tc>
          <w:tcPr>
            <w:tcW w:w="962" w:type="dxa"/>
            <w:vAlign w:val="top"/>
          </w:tcPr>
          <w:p>
            <w:pPr>
              <w:pStyle w:val="TableText"/>
              <w:ind w:left="448"/>
              <w:spacing w:before="202" w:line="199" w:lineRule="auto"/>
              <w:rPr/>
            </w:pPr>
            <w:r>
              <w:rPr>
                <w:spacing w:val="2"/>
              </w:rPr>
              <w:t>/</w:t>
            </w:r>
          </w:p>
        </w:tc>
      </w:tr>
      <w:tr>
        <w:trPr>
          <w:trHeight w:val="398" w:hRule="atLeast"/>
        </w:trPr>
        <w:tc>
          <w:tcPr>
            <w:tcW w:w="441" w:type="dxa"/>
            <w:vAlign w:val="top"/>
            <w:vMerge w:val="continue"/>
            <w:textDirection w:val="tbRlV"/>
            <w:tcBorders>
              <w:top w:val="nil"/>
              <w:bottom w:val="nil"/>
            </w:tcBorders>
          </w:tcPr>
          <w:p>
            <w:pPr>
              <w:rPr>
                <w:rFonts w:ascii="Arial"/>
                <w:sz w:val="21"/>
              </w:rPr>
            </w:pPr>
            <w:r/>
          </w:p>
        </w:tc>
        <w:tc>
          <w:tcPr>
            <w:tcW w:w="1775" w:type="dxa"/>
            <w:vAlign w:val="top"/>
          </w:tcPr>
          <w:p>
            <w:pPr>
              <w:ind w:left="366"/>
              <w:spacing w:before="152" w:line="217" w:lineRule="auto"/>
              <w:rPr>
                <w:rFonts w:ascii="SimSun" w:hAnsi="SimSun" w:eastAsia="SimSun" w:cs="SimSun"/>
                <w:sz w:val="20"/>
                <w:szCs w:val="20"/>
              </w:rPr>
            </w:pPr>
            <w:r>
              <w:rPr>
                <w:rFonts w:ascii="SimSun" w:hAnsi="SimSun" w:eastAsia="SimSun" w:cs="SimSun"/>
                <w:sz w:val="20"/>
                <w:szCs w:val="20"/>
                <w:spacing w:val="8"/>
              </w:rPr>
              <w:t>压风及通风</w:t>
            </w:r>
          </w:p>
        </w:tc>
        <w:tc>
          <w:tcPr>
            <w:tcW w:w="818" w:type="dxa"/>
            <w:vAlign w:val="top"/>
          </w:tcPr>
          <w:p>
            <w:pPr>
              <w:pStyle w:val="TableText"/>
              <w:ind w:left="373"/>
              <w:spacing w:before="184" w:line="199" w:lineRule="auto"/>
              <w:rPr/>
            </w:pPr>
            <w:r>
              <w:rPr>
                <w:spacing w:val="2"/>
              </w:rPr>
              <w:t>/</w:t>
            </w:r>
          </w:p>
        </w:tc>
        <w:tc>
          <w:tcPr>
            <w:tcW w:w="1029" w:type="dxa"/>
            <w:vAlign w:val="top"/>
          </w:tcPr>
          <w:p>
            <w:pPr>
              <w:pStyle w:val="TableText"/>
              <w:ind w:left="479"/>
              <w:spacing w:before="184" w:line="199" w:lineRule="auto"/>
              <w:rPr/>
            </w:pPr>
            <w:r>
              <w:rPr>
                <w:spacing w:val="2"/>
              </w:rPr>
              <w:t>/</w:t>
            </w:r>
          </w:p>
        </w:tc>
        <w:tc>
          <w:tcPr>
            <w:tcW w:w="1127" w:type="dxa"/>
            <w:vAlign w:val="top"/>
          </w:tcPr>
          <w:p>
            <w:pPr>
              <w:pStyle w:val="TableText"/>
              <w:ind w:left="416"/>
              <w:spacing w:before="188" w:line="195" w:lineRule="auto"/>
              <w:rPr/>
            </w:pPr>
            <w:r>
              <w:rPr>
                <w:spacing w:val="1"/>
              </w:rPr>
              <w:t>-1L</w:t>
            </w:r>
          </w:p>
        </w:tc>
        <w:tc>
          <w:tcPr>
            <w:tcW w:w="868" w:type="dxa"/>
            <w:vAlign w:val="top"/>
          </w:tcPr>
          <w:p>
            <w:pPr>
              <w:pStyle w:val="TableText"/>
              <w:ind w:left="287"/>
              <w:spacing w:before="188" w:line="195" w:lineRule="auto"/>
              <w:rPr/>
            </w:pPr>
            <w:r>
              <w:rPr>
                <w:spacing w:val="1"/>
              </w:rPr>
              <w:t>-1L</w:t>
            </w:r>
          </w:p>
        </w:tc>
        <w:tc>
          <w:tcPr>
            <w:tcW w:w="1135" w:type="dxa"/>
            <w:vAlign w:val="top"/>
          </w:tcPr>
          <w:p>
            <w:pPr>
              <w:pStyle w:val="TableText"/>
              <w:ind w:left="537"/>
              <w:spacing w:before="184" w:line="199" w:lineRule="auto"/>
              <w:rPr/>
            </w:pPr>
            <w:r>
              <w:rPr>
                <w:spacing w:val="2"/>
              </w:rPr>
              <w:t>/</w:t>
            </w:r>
          </w:p>
        </w:tc>
        <w:tc>
          <w:tcPr>
            <w:tcW w:w="1135" w:type="dxa"/>
            <w:vAlign w:val="top"/>
          </w:tcPr>
          <w:p>
            <w:pPr>
              <w:pStyle w:val="TableText"/>
              <w:ind w:left="537"/>
              <w:spacing w:before="184" w:line="199" w:lineRule="auto"/>
              <w:rPr/>
            </w:pPr>
            <w:r>
              <w:rPr>
                <w:spacing w:val="2"/>
              </w:rPr>
              <w:t>/</w:t>
            </w:r>
          </w:p>
        </w:tc>
        <w:tc>
          <w:tcPr>
            <w:tcW w:w="962" w:type="dxa"/>
            <w:vAlign w:val="top"/>
          </w:tcPr>
          <w:p>
            <w:pPr>
              <w:pStyle w:val="TableText"/>
              <w:ind w:left="448"/>
              <w:spacing w:before="184" w:line="199" w:lineRule="auto"/>
              <w:rPr/>
            </w:pPr>
            <w:r>
              <w:rPr>
                <w:spacing w:val="2"/>
              </w:rPr>
              <w:t>/</w:t>
            </w:r>
          </w:p>
        </w:tc>
      </w:tr>
      <w:tr>
        <w:trPr>
          <w:trHeight w:val="395" w:hRule="atLeast"/>
        </w:trPr>
        <w:tc>
          <w:tcPr>
            <w:tcW w:w="441" w:type="dxa"/>
            <w:vAlign w:val="top"/>
            <w:vMerge w:val="continue"/>
            <w:textDirection w:val="tbRlV"/>
            <w:tcBorders>
              <w:top w:val="nil"/>
              <w:bottom w:val="nil"/>
            </w:tcBorders>
          </w:tcPr>
          <w:p>
            <w:pPr>
              <w:rPr>
                <w:rFonts w:ascii="Arial"/>
                <w:sz w:val="21"/>
              </w:rPr>
            </w:pPr>
            <w:r/>
          </w:p>
        </w:tc>
        <w:tc>
          <w:tcPr>
            <w:tcW w:w="1775" w:type="dxa"/>
            <w:vAlign w:val="top"/>
          </w:tcPr>
          <w:p>
            <w:pPr>
              <w:ind w:left="477"/>
              <w:spacing w:before="153" w:line="214" w:lineRule="auto"/>
              <w:rPr>
                <w:rFonts w:ascii="SimSun" w:hAnsi="SimSun" w:eastAsia="SimSun" w:cs="SimSun"/>
                <w:sz w:val="20"/>
                <w:szCs w:val="20"/>
              </w:rPr>
            </w:pPr>
            <w:r>
              <w:rPr>
                <w:rFonts w:ascii="SimSun" w:hAnsi="SimSun" w:eastAsia="SimSun" w:cs="SimSun"/>
                <w:sz w:val="20"/>
                <w:szCs w:val="20"/>
                <w:spacing w:val="5"/>
              </w:rPr>
              <w:t>员工生活</w:t>
            </w:r>
          </w:p>
        </w:tc>
        <w:tc>
          <w:tcPr>
            <w:tcW w:w="818" w:type="dxa"/>
            <w:vAlign w:val="top"/>
          </w:tcPr>
          <w:p>
            <w:pPr>
              <w:pStyle w:val="TableText"/>
              <w:ind w:left="373"/>
              <w:spacing w:before="184" w:line="199" w:lineRule="auto"/>
              <w:rPr/>
            </w:pPr>
            <w:r>
              <w:rPr>
                <w:spacing w:val="2"/>
              </w:rPr>
              <w:t>/</w:t>
            </w:r>
          </w:p>
        </w:tc>
        <w:tc>
          <w:tcPr>
            <w:tcW w:w="1029" w:type="dxa"/>
            <w:vAlign w:val="top"/>
          </w:tcPr>
          <w:p>
            <w:pPr>
              <w:pStyle w:val="TableText"/>
              <w:ind w:left="479"/>
              <w:spacing w:before="184" w:line="199" w:lineRule="auto"/>
              <w:rPr/>
            </w:pPr>
            <w:r>
              <w:rPr>
                <w:spacing w:val="2"/>
              </w:rPr>
              <w:t>/</w:t>
            </w:r>
          </w:p>
        </w:tc>
        <w:tc>
          <w:tcPr>
            <w:tcW w:w="1127" w:type="dxa"/>
            <w:vAlign w:val="top"/>
          </w:tcPr>
          <w:p>
            <w:pPr>
              <w:pStyle w:val="TableText"/>
              <w:ind w:left="530"/>
              <w:spacing w:before="184" w:line="199" w:lineRule="auto"/>
              <w:rPr/>
            </w:pPr>
            <w:r>
              <w:rPr>
                <w:spacing w:val="2"/>
              </w:rPr>
              <w:t>/</w:t>
            </w:r>
          </w:p>
        </w:tc>
        <w:tc>
          <w:tcPr>
            <w:tcW w:w="868" w:type="dxa"/>
            <w:vAlign w:val="top"/>
          </w:tcPr>
          <w:p>
            <w:pPr>
              <w:pStyle w:val="TableText"/>
              <w:ind w:left="287"/>
              <w:spacing w:before="188" w:line="195" w:lineRule="auto"/>
              <w:rPr/>
            </w:pPr>
            <w:r>
              <w:rPr>
                <w:spacing w:val="1"/>
              </w:rPr>
              <w:t>-1L</w:t>
            </w:r>
          </w:p>
        </w:tc>
        <w:tc>
          <w:tcPr>
            <w:tcW w:w="1135" w:type="dxa"/>
            <w:vAlign w:val="top"/>
          </w:tcPr>
          <w:p>
            <w:pPr>
              <w:pStyle w:val="TableText"/>
              <w:ind w:left="537"/>
              <w:spacing w:before="184" w:line="199" w:lineRule="auto"/>
              <w:rPr/>
            </w:pPr>
            <w:r>
              <w:rPr>
                <w:spacing w:val="2"/>
              </w:rPr>
              <w:t>/</w:t>
            </w:r>
          </w:p>
        </w:tc>
        <w:tc>
          <w:tcPr>
            <w:tcW w:w="1135" w:type="dxa"/>
            <w:vAlign w:val="top"/>
          </w:tcPr>
          <w:p>
            <w:pPr>
              <w:pStyle w:val="TableText"/>
              <w:ind w:left="537"/>
              <w:spacing w:before="184" w:line="199" w:lineRule="auto"/>
              <w:rPr/>
            </w:pPr>
            <w:r>
              <w:rPr>
                <w:spacing w:val="2"/>
              </w:rPr>
              <w:t>/</w:t>
            </w:r>
          </w:p>
        </w:tc>
        <w:tc>
          <w:tcPr>
            <w:tcW w:w="962" w:type="dxa"/>
            <w:vAlign w:val="top"/>
          </w:tcPr>
          <w:p>
            <w:pPr>
              <w:pStyle w:val="TableText"/>
              <w:ind w:left="448"/>
              <w:spacing w:before="184" w:line="199" w:lineRule="auto"/>
              <w:rPr/>
            </w:pPr>
            <w:r>
              <w:rPr>
                <w:spacing w:val="2"/>
              </w:rPr>
              <w:t>/</w:t>
            </w:r>
          </w:p>
        </w:tc>
      </w:tr>
      <w:tr>
        <w:trPr>
          <w:trHeight w:val="402" w:hRule="atLeast"/>
        </w:trPr>
        <w:tc>
          <w:tcPr>
            <w:tcW w:w="441" w:type="dxa"/>
            <w:vAlign w:val="top"/>
            <w:vMerge w:val="continue"/>
            <w:textDirection w:val="tbRlV"/>
            <w:tcBorders>
              <w:top w:val="nil"/>
            </w:tcBorders>
          </w:tcPr>
          <w:p>
            <w:pPr>
              <w:rPr>
                <w:rFonts w:ascii="Arial"/>
                <w:sz w:val="21"/>
              </w:rPr>
            </w:pPr>
            <w:r/>
          </w:p>
        </w:tc>
        <w:tc>
          <w:tcPr>
            <w:tcW w:w="1775" w:type="dxa"/>
            <w:vAlign w:val="top"/>
          </w:tcPr>
          <w:p>
            <w:pPr>
              <w:ind w:left="470"/>
              <w:spacing w:before="153" w:line="220" w:lineRule="auto"/>
              <w:rPr>
                <w:rFonts w:ascii="SimSun" w:hAnsi="SimSun" w:eastAsia="SimSun" w:cs="SimSun"/>
                <w:sz w:val="20"/>
                <w:szCs w:val="20"/>
              </w:rPr>
            </w:pPr>
            <w:r>
              <w:rPr>
                <w:rFonts w:ascii="SimSun" w:hAnsi="SimSun" w:eastAsia="SimSun" w:cs="SimSun"/>
                <w:sz w:val="20"/>
                <w:szCs w:val="20"/>
                <w:spacing w:val="7"/>
              </w:rPr>
              <w:t>煤炭运输</w:t>
            </w:r>
          </w:p>
        </w:tc>
        <w:tc>
          <w:tcPr>
            <w:tcW w:w="818" w:type="dxa"/>
            <w:vAlign w:val="top"/>
          </w:tcPr>
          <w:p>
            <w:pPr>
              <w:pStyle w:val="TableText"/>
              <w:ind w:left="373"/>
              <w:spacing w:before="185" w:line="199" w:lineRule="auto"/>
              <w:rPr/>
            </w:pPr>
            <w:r>
              <w:rPr>
                <w:spacing w:val="2"/>
              </w:rPr>
              <w:t>/</w:t>
            </w:r>
          </w:p>
        </w:tc>
        <w:tc>
          <w:tcPr>
            <w:tcW w:w="1029" w:type="dxa"/>
            <w:vAlign w:val="top"/>
          </w:tcPr>
          <w:p>
            <w:pPr>
              <w:pStyle w:val="TableText"/>
              <w:ind w:left="479"/>
              <w:spacing w:before="185" w:line="199" w:lineRule="auto"/>
              <w:rPr/>
            </w:pPr>
            <w:r>
              <w:rPr>
                <w:spacing w:val="2"/>
              </w:rPr>
              <w:t>/</w:t>
            </w:r>
          </w:p>
        </w:tc>
        <w:tc>
          <w:tcPr>
            <w:tcW w:w="1127" w:type="dxa"/>
            <w:vAlign w:val="top"/>
          </w:tcPr>
          <w:p>
            <w:pPr>
              <w:pStyle w:val="TableText"/>
              <w:ind w:left="530"/>
              <w:spacing w:before="185" w:line="199" w:lineRule="auto"/>
              <w:rPr/>
            </w:pPr>
            <w:r>
              <w:rPr>
                <w:spacing w:val="2"/>
              </w:rPr>
              <w:t>/</w:t>
            </w:r>
          </w:p>
        </w:tc>
        <w:tc>
          <w:tcPr>
            <w:tcW w:w="868" w:type="dxa"/>
            <w:vAlign w:val="top"/>
          </w:tcPr>
          <w:p>
            <w:pPr>
              <w:pStyle w:val="TableText"/>
              <w:ind w:left="287"/>
              <w:spacing w:before="189" w:line="195" w:lineRule="auto"/>
              <w:rPr/>
            </w:pPr>
            <w:r>
              <w:rPr>
                <w:spacing w:val="1"/>
              </w:rPr>
              <w:t>-1L</w:t>
            </w:r>
          </w:p>
        </w:tc>
        <w:tc>
          <w:tcPr>
            <w:tcW w:w="1135" w:type="dxa"/>
            <w:vAlign w:val="top"/>
          </w:tcPr>
          <w:p>
            <w:pPr>
              <w:pStyle w:val="TableText"/>
              <w:ind w:left="537"/>
              <w:spacing w:before="185" w:line="199" w:lineRule="auto"/>
              <w:rPr/>
            </w:pPr>
            <w:r>
              <w:rPr>
                <w:spacing w:val="2"/>
              </w:rPr>
              <w:t>/</w:t>
            </w:r>
          </w:p>
        </w:tc>
        <w:tc>
          <w:tcPr>
            <w:tcW w:w="1135" w:type="dxa"/>
            <w:vAlign w:val="top"/>
          </w:tcPr>
          <w:p>
            <w:pPr>
              <w:pStyle w:val="TableText"/>
              <w:ind w:left="537"/>
              <w:spacing w:before="185" w:line="199" w:lineRule="auto"/>
              <w:rPr/>
            </w:pPr>
            <w:r>
              <w:rPr>
                <w:spacing w:val="2"/>
              </w:rPr>
              <w:t>/</w:t>
            </w:r>
          </w:p>
        </w:tc>
        <w:tc>
          <w:tcPr>
            <w:tcW w:w="962" w:type="dxa"/>
            <w:vAlign w:val="top"/>
          </w:tcPr>
          <w:p>
            <w:pPr>
              <w:pStyle w:val="TableText"/>
              <w:ind w:left="448"/>
              <w:spacing w:before="185" w:line="199" w:lineRule="auto"/>
              <w:rPr/>
            </w:pPr>
            <w:r>
              <w:rPr>
                <w:spacing w:val="2"/>
              </w:rPr>
              <w:t>/</w:t>
            </w:r>
          </w:p>
        </w:tc>
      </w:tr>
    </w:tbl>
    <w:p>
      <w:pPr>
        <w:ind w:left="118"/>
        <w:spacing w:before="28" w:line="228" w:lineRule="auto"/>
        <w:rPr>
          <w:rFonts w:ascii="SimSun" w:hAnsi="SimSun" w:eastAsia="SimSun" w:cs="SimSun"/>
          <w:sz w:val="20"/>
          <w:szCs w:val="20"/>
        </w:rPr>
      </w:pPr>
      <w:r>
        <w:rPr>
          <w:rFonts w:ascii="SimSun" w:hAnsi="SimSun" w:eastAsia="SimSun" w:cs="SimSun"/>
          <w:sz w:val="20"/>
          <w:szCs w:val="20"/>
          <w:spacing w:val="7"/>
        </w:rPr>
        <w:t>注：</w:t>
      </w:r>
      <w:r>
        <w:rPr>
          <w:rFonts w:ascii="Times New Roman" w:hAnsi="Times New Roman" w:eastAsia="Times New Roman" w:cs="Times New Roman"/>
          <w:sz w:val="20"/>
          <w:szCs w:val="20"/>
          <w:spacing w:val="7"/>
        </w:rPr>
        <w:t>+</w:t>
      </w:r>
      <w:r>
        <w:rPr>
          <w:rFonts w:ascii="SimSun" w:hAnsi="SimSun" w:eastAsia="SimSun" w:cs="SimSun"/>
          <w:sz w:val="20"/>
          <w:szCs w:val="20"/>
          <w:spacing w:val="7"/>
        </w:rPr>
        <w:t>表示正面影响，</w:t>
      </w:r>
      <w:r>
        <w:rPr>
          <w:rFonts w:ascii="Times New Roman" w:hAnsi="Times New Roman" w:eastAsia="Times New Roman" w:cs="Times New Roman"/>
          <w:sz w:val="20"/>
          <w:szCs w:val="20"/>
          <w:spacing w:val="7"/>
        </w:rPr>
        <w:t>-</w:t>
      </w:r>
      <w:r>
        <w:rPr>
          <w:rFonts w:ascii="SimSun" w:hAnsi="SimSun" w:eastAsia="SimSun" w:cs="SimSun"/>
          <w:sz w:val="20"/>
          <w:szCs w:val="20"/>
          <w:spacing w:val="7"/>
        </w:rPr>
        <w:t>表示负面影响，</w:t>
      </w:r>
      <w:r>
        <w:rPr>
          <w:rFonts w:ascii="Times New Roman" w:hAnsi="Times New Roman" w:eastAsia="Times New Roman" w:cs="Times New Roman"/>
          <w:sz w:val="20"/>
          <w:szCs w:val="20"/>
          <w:spacing w:val="7"/>
        </w:rPr>
        <w:t>0 </w:t>
      </w:r>
      <w:r>
        <w:rPr>
          <w:rFonts w:ascii="SimSun" w:hAnsi="SimSun" w:eastAsia="SimSun" w:cs="SimSun"/>
          <w:sz w:val="20"/>
          <w:szCs w:val="20"/>
          <w:spacing w:val="7"/>
        </w:rPr>
        <w:t>表示影响轻微或无影</w:t>
      </w:r>
      <w:r>
        <w:rPr>
          <w:rFonts w:ascii="SimSun" w:hAnsi="SimSun" w:eastAsia="SimSun" w:cs="SimSun"/>
          <w:sz w:val="20"/>
          <w:szCs w:val="20"/>
          <w:spacing w:val="6"/>
        </w:rPr>
        <w:t>响；</w:t>
      </w:r>
      <w:r>
        <w:rPr>
          <w:rFonts w:ascii="Times New Roman" w:hAnsi="Times New Roman" w:eastAsia="Times New Roman" w:cs="Times New Roman"/>
          <w:sz w:val="20"/>
          <w:szCs w:val="20"/>
          <w:spacing w:val="6"/>
        </w:rPr>
        <w:t>1 </w:t>
      </w:r>
      <w:r>
        <w:rPr>
          <w:rFonts w:ascii="SimSun" w:hAnsi="SimSun" w:eastAsia="SimSun" w:cs="SimSun"/>
          <w:sz w:val="20"/>
          <w:szCs w:val="20"/>
          <w:spacing w:val="6"/>
        </w:rPr>
        <w:t>表示轻度影响；</w:t>
      </w:r>
      <w:r>
        <w:rPr>
          <w:rFonts w:ascii="Times New Roman" w:hAnsi="Times New Roman" w:eastAsia="Times New Roman" w:cs="Times New Roman"/>
          <w:sz w:val="20"/>
          <w:szCs w:val="20"/>
          <w:spacing w:val="6"/>
        </w:rPr>
        <w:t>2 </w:t>
      </w:r>
      <w:r>
        <w:rPr>
          <w:rFonts w:ascii="SimSun" w:hAnsi="SimSun" w:eastAsia="SimSun" w:cs="SimSun"/>
          <w:sz w:val="20"/>
          <w:szCs w:val="20"/>
          <w:spacing w:val="6"/>
        </w:rPr>
        <w:t>表示中度影响；</w:t>
      </w:r>
    </w:p>
    <w:p>
      <w:pPr>
        <w:ind w:left="118"/>
        <w:spacing w:before="27" w:line="228" w:lineRule="auto"/>
        <w:rPr>
          <w:rFonts w:ascii="SimSun" w:hAnsi="SimSun" w:eastAsia="SimSun" w:cs="SimSun"/>
          <w:sz w:val="20"/>
          <w:szCs w:val="20"/>
        </w:rPr>
      </w:pPr>
      <w:r>
        <w:rPr>
          <w:rFonts w:ascii="Times New Roman" w:hAnsi="Times New Roman" w:eastAsia="Times New Roman" w:cs="Times New Roman"/>
          <w:sz w:val="20"/>
          <w:szCs w:val="20"/>
          <w:spacing w:val="8"/>
        </w:rPr>
        <w:t>3 </w:t>
      </w:r>
      <w:r>
        <w:rPr>
          <w:rFonts w:ascii="SimSun" w:hAnsi="SimSun" w:eastAsia="SimSun" w:cs="SimSun"/>
          <w:sz w:val="20"/>
          <w:szCs w:val="20"/>
          <w:spacing w:val="8"/>
        </w:rPr>
        <w:t>表示重度影响；</w:t>
      </w:r>
      <w:r>
        <w:rPr>
          <w:rFonts w:ascii="Times New Roman" w:hAnsi="Times New Roman" w:eastAsia="Times New Roman" w:cs="Times New Roman"/>
          <w:sz w:val="20"/>
          <w:szCs w:val="20"/>
          <w:spacing w:val="8"/>
        </w:rPr>
        <w:t>S </w:t>
      </w:r>
      <w:r>
        <w:rPr>
          <w:rFonts w:ascii="SimSun" w:hAnsi="SimSun" w:eastAsia="SimSun" w:cs="SimSun"/>
          <w:sz w:val="20"/>
          <w:szCs w:val="20"/>
          <w:spacing w:val="8"/>
        </w:rPr>
        <w:t>表示短期影响；</w:t>
      </w:r>
      <w:r>
        <w:rPr>
          <w:rFonts w:ascii="Times New Roman" w:hAnsi="Times New Roman" w:eastAsia="Times New Roman" w:cs="Times New Roman"/>
          <w:sz w:val="20"/>
          <w:szCs w:val="20"/>
          <w:spacing w:val="8"/>
        </w:rPr>
        <w:t>L </w:t>
      </w:r>
      <w:r>
        <w:rPr>
          <w:rFonts w:ascii="SimSun" w:hAnsi="SimSun" w:eastAsia="SimSun" w:cs="SimSun"/>
          <w:sz w:val="20"/>
          <w:szCs w:val="20"/>
          <w:spacing w:val="8"/>
        </w:rPr>
        <w:t>表示长期影响</w:t>
      </w:r>
    </w:p>
    <w:p>
      <w:pPr>
        <w:pStyle w:val="BodyText"/>
        <w:spacing w:line="380" w:lineRule="auto"/>
        <w:rPr/>
      </w:pPr>
      <w:r/>
    </w:p>
    <w:p>
      <w:pPr>
        <w:ind w:left="117"/>
        <w:spacing w:before="92"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2.4.2  </w:t>
      </w:r>
      <w:r>
        <w:rPr>
          <w:rFonts w:ascii="SimHei" w:hAnsi="SimHei" w:eastAsia="SimHei" w:cs="SimHei"/>
          <w:sz w:val="28"/>
          <w:szCs w:val="28"/>
          <w:b/>
          <w:bCs/>
          <w:spacing w:val="-2"/>
        </w:rPr>
        <w:t>评价因子筛选</w:t>
      </w:r>
    </w:p>
    <w:p>
      <w:pPr>
        <w:ind w:left="120" w:right="112" w:firstLine="479"/>
        <w:spacing w:before="170" w:line="341" w:lineRule="auto"/>
        <w:rPr>
          <w:rFonts w:ascii="SimSun" w:hAnsi="SimSun" w:eastAsia="SimSun" w:cs="SimSun"/>
          <w:sz w:val="24"/>
          <w:szCs w:val="24"/>
        </w:rPr>
      </w:pPr>
      <w:r>
        <w:rPr>
          <w:rFonts w:ascii="SimSun" w:hAnsi="SimSun" w:eastAsia="SimSun" w:cs="SimSun"/>
          <w:sz w:val="24"/>
          <w:szCs w:val="24"/>
          <w:spacing w:val="-3"/>
        </w:rPr>
        <w:t>通过对环境影响因素的识别并结合项目排污特点，确定本次评价因子分别见表</w:t>
      </w:r>
      <w:r>
        <w:rPr>
          <w:rFonts w:ascii="Times New Roman" w:hAnsi="Times New Roman" w:eastAsia="Times New Roman" w:cs="Times New Roman"/>
          <w:sz w:val="24"/>
          <w:szCs w:val="24"/>
          <w:spacing w:val="-3"/>
        </w:rPr>
        <w:t>2-4-2</w:t>
      </w:r>
      <w:r>
        <w:rPr>
          <w:rFonts w:ascii="SimSun" w:hAnsi="SimSun" w:eastAsia="SimSun" w:cs="SimSun"/>
          <w:sz w:val="24"/>
          <w:szCs w:val="24"/>
          <w:spacing w:val="-3"/>
        </w:rPr>
        <w:t>和表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2-4-3</w:t>
      </w:r>
      <w:r>
        <w:rPr>
          <w:rFonts w:ascii="SimSun" w:hAnsi="SimSun" w:eastAsia="SimSun" w:cs="SimSun"/>
          <w:sz w:val="24"/>
          <w:szCs w:val="24"/>
          <w:spacing w:val="-3"/>
        </w:rPr>
        <w:t>。</w:t>
      </w:r>
    </w:p>
    <w:p>
      <w:pPr>
        <w:ind w:left="1055"/>
        <w:spacing w:before="121" w:line="222" w:lineRule="auto"/>
        <w:rPr>
          <w:rFonts w:ascii="SimHei" w:hAnsi="SimHei" w:eastAsia="SimHei" w:cs="SimHei"/>
          <w:sz w:val="24"/>
          <w:szCs w:val="24"/>
        </w:rPr>
      </w:pPr>
      <w:r>
        <w:rPr>
          <w:rFonts w:ascii="SimHei" w:hAnsi="SimHei" w:eastAsia="SimHei" w:cs="SimHei"/>
          <w:sz w:val="24"/>
          <w:szCs w:val="24"/>
        </w:rPr>
        <w:t>环境空气、地下水环境、声环境、土壤环境</w:t>
      </w:r>
      <w:r>
        <w:rPr>
          <w:rFonts w:ascii="SimHei" w:hAnsi="SimHei" w:eastAsia="SimHei" w:cs="SimHei"/>
          <w:sz w:val="24"/>
          <w:szCs w:val="24"/>
          <w:spacing w:val="-1"/>
        </w:rPr>
        <w:t>影响评价因子筛选一览表</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2-4-2</w:t>
      </w:r>
    </w:p>
    <w:tbl>
      <w:tblPr>
        <w:tblStyle w:val="TableNormal"/>
        <w:tblW w:w="9131" w:type="dxa"/>
        <w:tblInd w:w="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63"/>
        <w:gridCol w:w="1506"/>
        <w:gridCol w:w="4025"/>
        <w:gridCol w:w="2137"/>
      </w:tblGrid>
      <w:tr>
        <w:trPr>
          <w:trHeight w:val="403" w:hRule="atLeast"/>
        </w:trPr>
        <w:tc>
          <w:tcPr>
            <w:tcW w:w="1463" w:type="dxa"/>
            <w:vAlign w:val="top"/>
          </w:tcPr>
          <w:p>
            <w:pPr>
              <w:ind w:left="317"/>
              <w:spacing w:before="153" w:line="221" w:lineRule="auto"/>
              <w:rPr>
                <w:rFonts w:ascii="SimSun" w:hAnsi="SimSun" w:eastAsia="SimSun" w:cs="SimSun"/>
                <w:sz w:val="20"/>
                <w:szCs w:val="20"/>
              </w:rPr>
            </w:pPr>
            <w:r>
              <w:rPr>
                <w:rFonts w:ascii="SimSun" w:hAnsi="SimSun" w:eastAsia="SimSun" w:cs="SimSun"/>
                <w:sz w:val="20"/>
                <w:szCs w:val="20"/>
                <w:spacing w:val="7"/>
              </w:rPr>
              <w:t>环境要素</w:t>
            </w:r>
          </w:p>
        </w:tc>
        <w:tc>
          <w:tcPr>
            <w:tcW w:w="5531" w:type="dxa"/>
            <w:vAlign w:val="top"/>
            <w:gridSpan w:val="2"/>
          </w:tcPr>
          <w:p>
            <w:pPr>
              <w:ind w:left="2141"/>
              <w:spacing w:before="153" w:line="221" w:lineRule="auto"/>
              <w:rPr>
                <w:rFonts w:ascii="SimSun" w:hAnsi="SimSun" w:eastAsia="SimSun" w:cs="SimSun"/>
                <w:sz w:val="20"/>
                <w:szCs w:val="20"/>
              </w:rPr>
            </w:pPr>
            <w:r>
              <w:rPr>
                <w:rFonts w:ascii="SimSun" w:hAnsi="SimSun" w:eastAsia="SimSun" w:cs="SimSun"/>
                <w:sz w:val="20"/>
                <w:szCs w:val="20"/>
                <w:spacing w:val="7"/>
              </w:rPr>
              <w:t>现状评价因子</w:t>
            </w:r>
          </w:p>
        </w:tc>
        <w:tc>
          <w:tcPr>
            <w:tcW w:w="2137" w:type="dxa"/>
            <w:vAlign w:val="top"/>
          </w:tcPr>
          <w:p>
            <w:pPr>
              <w:ind w:left="444"/>
              <w:spacing w:before="153" w:line="221" w:lineRule="auto"/>
              <w:rPr>
                <w:rFonts w:ascii="SimSun" w:hAnsi="SimSun" w:eastAsia="SimSun" w:cs="SimSun"/>
                <w:sz w:val="20"/>
                <w:szCs w:val="20"/>
              </w:rPr>
            </w:pPr>
            <w:r>
              <w:rPr>
                <w:rFonts w:ascii="SimSun" w:hAnsi="SimSun" w:eastAsia="SimSun" w:cs="SimSun"/>
                <w:sz w:val="20"/>
                <w:szCs w:val="20"/>
                <w:spacing w:val="8"/>
              </w:rPr>
              <w:t>影响评价因子</w:t>
            </w:r>
          </w:p>
        </w:tc>
      </w:tr>
      <w:tr>
        <w:trPr>
          <w:trHeight w:val="395" w:hRule="atLeast"/>
        </w:trPr>
        <w:tc>
          <w:tcPr>
            <w:tcW w:w="1463" w:type="dxa"/>
            <w:vAlign w:val="top"/>
          </w:tcPr>
          <w:p>
            <w:pPr>
              <w:ind w:left="317"/>
              <w:spacing w:before="146" w:line="220" w:lineRule="auto"/>
              <w:rPr>
                <w:rFonts w:ascii="SimSun" w:hAnsi="SimSun" w:eastAsia="SimSun" w:cs="SimSun"/>
                <w:sz w:val="20"/>
                <w:szCs w:val="20"/>
              </w:rPr>
            </w:pPr>
            <w:r>
              <w:rPr>
                <w:rFonts w:ascii="SimSun" w:hAnsi="SimSun" w:eastAsia="SimSun" w:cs="SimSun"/>
                <w:sz w:val="20"/>
                <w:szCs w:val="20"/>
                <w:spacing w:val="7"/>
              </w:rPr>
              <w:t>环境空气</w:t>
            </w:r>
          </w:p>
        </w:tc>
        <w:tc>
          <w:tcPr>
            <w:tcW w:w="5531" w:type="dxa"/>
            <w:vAlign w:val="top"/>
            <w:gridSpan w:val="2"/>
          </w:tcPr>
          <w:p>
            <w:pPr>
              <w:pStyle w:val="TableText"/>
              <w:ind w:left="899"/>
              <w:spacing w:before="182" w:line="187" w:lineRule="auto"/>
              <w:rPr>
                <w:sz w:val="13"/>
                <w:szCs w:val="13"/>
              </w:rPr>
            </w:pPr>
            <w:r>
              <w:rPr/>
              <w:t>SO</w:t>
            </w:r>
            <w:r>
              <w:rPr>
                <w:sz w:val="13"/>
                <w:szCs w:val="13"/>
                <w:spacing w:val="1"/>
                <w:position w:val="-1"/>
              </w:rPr>
              <w:t>2</w:t>
            </w:r>
            <w:r>
              <w:rPr>
                <w:sz w:val="13"/>
                <w:szCs w:val="13"/>
                <w:spacing w:val="-1"/>
                <w:position w:val="-1"/>
              </w:rPr>
              <w:t xml:space="preserve"> </w:t>
            </w:r>
            <w:r>
              <w:rPr>
                <w:rFonts w:ascii="SimSun" w:hAnsi="SimSun" w:eastAsia="SimSun" w:cs="SimSun"/>
                <w:spacing w:val="1"/>
              </w:rPr>
              <w:t>、</w:t>
            </w:r>
            <w:r>
              <w:rPr/>
              <w:t>NO</w:t>
            </w:r>
            <w:r>
              <w:rPr>
                <w:sz w:val="13"/>
                <w:szCs w:val="13"/>
                <w:spacing w:val="1"/>
                <w:position w:val="-1"/>
              </w:rPr>
              <w:t>2</w:t>
            </w:r>
            <w:r>
              <w:rPr>
                <w:sz w:val="13"/>
                <w:szCs w:val="13"/>
                <w:spacing w:val="-11"/>
                <w:position w:val="-1"/>
              </w:rPr>
              <w:t xml:space="preserve"> </w:t>
            </w:r>
            <w:r>
              <w:rPr>
                <w:rFonts w:ascii="SimSun" w:hAnsi="SimSun" w:eastAsia="SimSun" w:cs="SimSun"/>
                <w:spacing w:val="1"/>
              </w:rPr>
              <w:t>、</w:t>
            </w:r>
            <w:r>
              <w:rPr/>
              <w:t>TSP</w:t>
            </w:r>
            <w:r>
              <w:rPr>
                <w:spacing w:val="-26"/>
              </w:rPr>
              <w:t xml:space="preserve"> </w:t>
            </w:r>
            <w:r>
              <w:rPr>
                <w:rFonts w:ascii="SimSun" w:hAnsi="SimSun" w:eastAsia="SimSun" w:cs="SimSun"/>
                <w:spacing w:val="1"/>
              </w:rPr>
              <w:t>、</w:t>
            </w:r>
            <w:r>
              <w:rPr/>
              <w:t>PM</w:t>
            </w:r>
            <w:r>
              <w:rPr>
                <w:sz w:val="13"/>
                <w:szCs w:val="13"/>
                <w:spacing w:val="1"/>
                <w:position w:val="-1"/>
              </w:rPr>
              <w:t>10</w:t>
            </w:r>
            <w:r>
              <w:rPr>
                <w:sz w:val="13"/>
                <w:szCs w:val="13"/>
                <w:spacing w:val="-11"/>
                <w:position w:val="-1"/>
              </w:rPr>
              <w:t xml:space="preserve"> </w:t>
            </w:r>
            <w:r>
              <w:rPr>
                <w:rFonts w:ascii="SimSun" w:hAnsi="SimSun" w:eastAsia="SimSun" w:cs="SimSun"/>
                <w:spacing w:val="1"/>
              </w:rPr>
              <w:t>、</w:t>
            </w:r>
            <w:r>
              <w:rPr/>
              <w:t>PM</w:t>
            </w:r>
            <w:r>
              <w:rPr>
                <w:sz w:val="13"/>
                <w:szCs w:val="13"/>
                <w:spacing w:val="1"/>
                <w:position w:val="-1"/>
              </w:rPr>
              <w:t>2.5</w:t>
            </w:r>
            <w:r>
              <w:rPr>
                <w:sz w:val="13"/>
                <w:szCs w:val="13"/>
                <w:spacing w:val="-11"/>
                <w:position w:val="-1"/>
              </w:rPr>
              <w:t xml:space="preserve"> </w:t>
            </w:r>
            <w:r>
              <w:rPr>
                <w:rFonts w:ascii="SimSun" w:hAnsi="SimSun" w:eastAsia="SimSun" w:cs="SimSun"/>
                <w:spacing w:val="1"/>
              </w:rPr>
              <w:t>、</w:t>
            </w:r>
            <w:r>
              <w:rPr/>
              <w:t>CO</w:t>
            </w:r>
            <w:r>
              <w:rPr>
                <w:spacing w:val="-22"/>
              </w:rPr>
              <w:t xml:space="preserve"> </w:t>
            </w:r>
            <w:r>
              <w:rPr>
                <w:rFonts w:ascii="SimSun" w:hAnsi="SimSun" w:eastAsia="SimSun" w:cs="SimSun"/>
                <w:spacing w:val="1"/>
              </w:rPr>
              <w:t>、</w:t>
            </w:r>
            <w:r>
              <w:rPr>
                <w:spacing w:val="1"/>
              </w:rPr>
              <w:t>O</w:t>
            </w:r>
            <w:r>
              <w:rPr>
                <w:sz w:val="13"/>
                <w:szCs w:val="13"/>
                <w:spacing w:val="1"/>
                <w:position w:val="-1"/>
              </w:rPr>
              <w:t>3</w:t>
            </w:r>
          </w:p>
        </w:tc>
        <w:tc>
          <w:tcPr>
            <w:tcW w:w="2137" w:type="dxa"/>
            <w:vAlign w:val="top"/>
          </w:tcPr>
          <w:p>
            <w:pPr>
              <w:pStyle w:val="TableText"/>
              <w:ind w:left="891"/>
              <w:spacing w:before="182" w:line="195" w:lineRule="auto"/>
              <w:rPr/>
            </w:pPr>
            <w:r>
              <w:rPr>
                <w:spacing w:val="1"/>
              </w:rPr>
              <w:t>TSP</w:t>
            </w:r>
          </w:p>
        </w:tc>
      </w:tr>
      <w:tr>
        <w:trPr>
          <w:trHeight w:val="1117" w:hRule="atLeast"/>
        </w:trPr>
        <w:tc>
          <w:tcPr>
            <w:tcW w:w="1463" w:type="dxa"/>
            <w:vAlign w:val="top"/>
          </w:tcPr>
          <w:p>
            <w:pPr>
              <w:spacing w:line="441" w:lineRule="auto"/>
              <w:rPr>
                <w:rFonts w:ascii="Arial"/>
                <w:sz w:val="21"/>
              </w:rPr>
            </w:pPr>
            <w:r/>
          </w:p>
          <w:p>
            <w:pPr>
              <w:ind w:left="211"/>
              <w:spacing w:before="65" w:line="228" w:lineRule="auto"/>
              <w:rPr>
                <w:rFonts w:ascii="SimSun" w:hAnsi="SimSun" w:eastAsia="SimSun" w:cs="SimSun"/>
                <w:sz w:val="20"/>
                <w:szCs w:val="20"/>
              </w:rPr>
            </w:pPr>
            <w:r>
              <w:rPr>
                <w:rFonts w:ascii="SimSun" w:hAnsi="SimSun" w:eastAsia="SimSun" w:cs="SimSun"/>
                <w:sz w:val="20"/>
                <w:szCs w:val="20"/>
                <w:spacing w:val="8"/>
              </w:rPr>
              <w:t>地下水环境</w:t>
            </w:r>
          </w:p>
        </w:tc>
        <w:tc>
          <w:tcPr>
            <w:tcW w:w="5531" w:type="dxa"/>
            <w:vAlign w:val="top"/>
            <w:gridSpan w:val="2"/>
          </w:tcPr>
          <w:p>
            <w:pPr>
              <w:pStyle w:val="TableText"/>
              <w:ind w:left="36"/>
              <w:spacing w:before="41" w:line="221" w:lineRule="auto"/>
              <w:rPr>
                <w:rFonts w:ascii="SimSun" w:hAnsi="SimSun" w:eastAsia="SimSun" w:cs="SimSun"/>
              </w:rPr>
            </w:pPr>
            <w:r>
              <w:rPr>
                <w:rFonts w:ascii="SimSun" w:hAnsi="SimSun" w:eastAsia="SimSun" w:cs="SimSun"/>
                <w:spacing w:val="8"/>
              </w:rPr>
              <w:t>八大离子、</w:t>
            </w:r>
            <w:r>
              <w:rPr/>
              <w:t>pH</w:t>
            </w:r>
            <w:r>
              <w:rPr>
                <w:spacing w:val="-30"/>
              </w:rPr>
              <w:t xml:space="preserve"> </w:t>
            </w:r>
            <w:r>
              <w:rPr>
                <w:rFonts w:ascii="SimSun" w:hAnsi="SimSun" w:eastAsia="SimSun" w:cs="SimSun"/>
                <w:spacing w:val="8"/>
              </w:rPr>
              <w:t>、氨氮、硝酸盐、亚硝酸盐、挥发性酚类、氰</w:t>
            </w:r>
          </w:p>
          <w:p>
            <w:pPr>
              <w:ind w:left="40"/>
              <w:spacing w:before="31" w:line="225" w:lineRule="auto"/>
              <w:rPr>
                <w:rFonts w:ascii="SimSun" w:hAnsi="SimSun" w:eastAsia="SimSun" w:cs="SimSun"/>
                <w:sz w:val="20"/>
                <w:szCs w:val="20"/>
              </w:rPr>
            </w:pPr>
            <w:r>
              <w:rPr>
                <w:rFonts w:ascii="SimSun" w:hAnsi="SimSun" w:eastAsia="SimSun" w:cs="SimSun"/>
                <w:sz w:val="20"/>
                <w:szCs w:val="20"/>
                <w:spacing w:val="9"/>
              </w:rPr>
              <w:t>化物、砷、汞、六价铬、总硬度、铅、氟、镉、铁、锰、溶</w:t>
            </w:r>
          </w:p>
          <w:p>
            <w:pPr>
              <w:spacing w:before="27" w:line="228" w:lineRule="auto"/>
              <w:jc w:val="right"/>
              <w:rPr>
                <w:rFonts w:ascii="SimSun" w:hAnsi="SimSun" w:eastAsia="SimSun" w:cs="SimSun"/>
                <w:sz w:val="20"/>
                <w:szCs w:val="20"/>
              </w:rPr>
            </w:pPr>
            <w:r>
              <w:rPr>
                <w:rFonts w:ascii="SimSun" w:hAnsi="SimSun" w:eastAsia="SimSun" w:cs="SimSun"/>
                <w:sz w:val="20"/>
                <w:szCs w:val="20"/>
                <w:spacing w:val="3"/>
              </w:rPr>
              <w:t>解性总固体、高锰酸盐指数、硫酸盐、氯化物、总大肠菌群、</w:t>
            </w:r>
          </w:p>
          <w:p>
            <w:pPr>
              <w:pStyle w:val="TableText"/>
              <w:ind w:left="304"/>
              <w:spacing w:before="26" w:line="228" w:lineRule="auto"/>
              <w:rPr>
                <w:rFonts w:ascii="SimSun" w:hAnsi="SimSun" w:eastAsia="SimSun" w:cs="SimSun"/>
              </w:rPr>
            </w:pPr>
            <w:r>
              <w:rPr>
                <w:rFonts w:ascii="SimSun" w:hAnsi="SimSun" w:eastAsia="SimSun" w:cs="SimSun"/>
                <w:spacing w:val="8"/>
              </w:rPr>
              <w:t>细菌总数共</w:t>
            </w:r>
            <w:r>
              <w:rPr>
                <w:rFonts w:ascii="SimSun" w:hAnsi="SimSun" w:eastAsia="SimSun" w:cs="SimSun"/>
                <w:spacing w:val="-28"/>
              </w:rPr>
              <w:t xml:space="preserve"> </w:t>
            </w:r>
            <w:r>
              <w:rPr>
                <w:spacing w:val="8"/>
              </w:rPr>
              <w:t>29 </w:t>
            </w:r>
            <w:r>
              <w:rPr>
                <w:rFonts w:ascii="SimSun" w:hAnsi="SimSun" w:eastAsia="SimSun" w:cs="SimSun"/>
                <w:spacing w:val="8"/>
              </w:rPr>
              <w:t>项，同时记录井深、水温、地下水水位</w:t>
            </w:r>
          </w:p>
        </w:tc>
        <w:tc>
          <w:tcPr>
            <w:tcW w:w="2137" w:type="dxa"/>
            <w:vAlign w:val="top"/>
          </w:tcPr>
          <w:p>
            <w:pPr>
              <w:spacing w:line="421" w:lineRule="auto"/>
              <w:rPr>
                <w:rFonts w:ascii="Arial"/>
                <w:sz w:val="21"/>
              </w:rPr>
            </w:pPr>
            <w:r/>
          </w:p>
          <w:p>
            <w:pPr>
              <w:pStyle w:val="TableText"/>
              <w:ind w:left="1036"/>
              <w:spacing w:before="58" w:line="199" w:lineRule="auto"/>
              <w:rPr/>
            </w:pPr>
            <w:r>
              <w:rPr>
                <w:spacing w:val="2"/>
              </w:rPr>
              <w:t>/</w:t>
            </w:r>
          </w:p>
        </w:tc>
      </w:tr>
      <w:tr>
        <w:trPr>
          <w:trHeight w:val="1213" w:hRule="atLeast"/>
        </w:trPr>
        <w:tc>
          <w:tcPr>
            <w:tcW w:w="1463" w:type="dxa"/>
            <w:vAlign w:val="top"/>
          </w:tcPr>
          <w:p>
            <w:pPr>
              <w:spacing w:line="245" w:lineRule="auto"/>
              <w:rPr>
                <w:rFonts w:ascii="Arial"/>
                <w:sz w:val="21"/>
              </w:rPr>
            </w:pPr>
            <w:r/>
          </w:p>
          <w:p>
            <w:pPr>
              <w:spacing w:line="245" w:lineRule="auto"/>
              <w:rPr>
                <w:rFonts w:ascii="Arial"/>
                <w:sz w:val="21"/>
              </w:rPr>
            </w:pPr>
            <w:r/>
          </w:p>
          <w:p>
            <w:pPr>
              <w:ind w:left="423"/>
              <w:spacing w:before="65" w:line="228" w:lineRule="auto"/>
              <w:rPr>
                <w:rFonts w:ascii="SimSun" w:hAnsi="SimSun" w:eastAsia="SimSun" w:cs="SimSun"/>
                <w:sz w:val="20"/>
                <w:szCs w:val="20"/>
              </w:rPr>
            </w:pPr>
            <w:r>
              <w:rPr>
                <w:rFonts w:ascii="SimSun" w:hAnsi="SimSun" w:eastAsia="SimSun" w:cs="SimSun"/>
                <w:sz w:val="20"/>
                <w:szCs w:val="20"/>
                <w:spacing w:val="6"/>
              </w:rPr>
              <w:t>地表水</w:t>
            </w:r>
          </w:p>
        </w:tc>
        <w:tc>
          <w:tcPr>
            <w:tcW w:w="5531" w:type="dxa"/>
            <w:vAlign w:val="top"/>
            <w:gridSpan w:val="2"/>
          </w:tcPr>
          <w:p>
            <w:pPr>
              <w:pStyle w:val="TableText"/>
              <w:ind w:left="66"/>
              <w:spacing w:before="151" w:line="221" w:lineRule="auto"/>
              <w:rPr>
                <w:rFonts w:ascii="SimSun" w:hAnsi="SimSun" w:eastAsia="SimSun" w:cs="SimSun"/>
              </w:rPr>
            </w:pPr>
            <w:r>
              <w:rPr>
                <w:rFonts w:ascii="SimSun" w:hAnsi="SimSun" w:eastAsia="SimSun" w:cs="SimSun"/>
                <w:spacing w:val="7"/>
              </w:rPr>
              <w:t>水温、</w:t>
            </w:r>
            <w:r>
              <w:rPr/>
              <w:t>pH</w:t>
            </w:r>
            <w:r>
              <w:rPr>
                <w:spacing w:val="-11"/>
              </w:rPr>
              <w:t xml:space="preserve"> </w:t>
            </w:r>
            <w:r>
              <w:rPr>
                <w:rFonts w:ascii="SimSun" w:hAnsi="SimSun" w:eastAsia="SimSun" w:cs="SimSun"/>
                <w:spacing w:val="7"/>
              </w:rPr>
              <w:t>、溶解氧、高锰酸盐指数、</w:t>
            </w:r>
            <w:r>
              <w:rPr/>
              <w:t>COD</w:t>
            </w:r>
            <w:r>
              <w:rPr>
                <w:spacing w:val="-23"/>
              </w:rPr>
              <w:t xml:space="preserve"> </w:t>
            </w:r>
            <w:r>
              <w:rPr>
                <w:rFonts w:ascii="SimSun" w:hAnsi="SimSun" w:eastAsia="SimSun" w:cs="SimSun"/>
                <w:spacing w:val="7"/>
              </w:rPr>
              <w:t>、</w:t>
            </w:r>
            <w:r>
              <w:rPr/>
              <w:t>BOD</w:t>
            </w:r>
            <w:r>
              <w:rPr>
                <w:sz w:val="13"/>
                <w:szCs w:val="13"/>
                <w:spacing w:val="7"/>
                <w:position w:val="-1"/>
              </w:rPr>
              <w:t>5</w:t>
            </w:r>
            <w:r>
              <w:rPr>
                <w:sz w:val="13"/>
                <w:szCs w:val="13"/>
                <w:spacing w:val="-11"/>
                <w:position w:val="-1"/>
              </w:rPr>
              <w:t xml:space="preserve"> </w:t>
            </w:r>
            <w:r>
              <w:rPr>
                <w:rFonts w:ascii="SimSun" w:hAnsi="SimSun" w:eastAsia="SimSun" w:cs="SimSun"/>
                <w:spacing w:val="7"/>
              </w:rPr>
              <w:t>、氨氮、</w:t>
            </w:r>
          </w:p>
          <w:p>
            <w:pPr>
              <w:ind w:left="40"/>
              <w:spacing w:before="31" w:line="225" w:lineRule="auto"/>
              <w:rPr>
                <w:rFonts w:ascii="SimSun" w:hAnsi="SimSun" w:eastAsia="SimSun" w:cs="SimSun"/>
                <w:sz w:val="20"/>
                <w:szCs w:val="20"/>
              </w:rPr>
            </w:pPr>
            <w:r>
              <w:rPr>
                <w:rFonts w:ascii="SimSun" w:hAnsi="SimSun" w:eastAsia="SimSun" w:cs="SimSun"/>
                <w:sz w:val="20"/>
                <w:szCs w:val="20"/>
                <w:spacing w:val="9"/>
              </w:rPr>
              <w:t>铜、锌、氟化物、砷、汞、镉、铬（六价）、铅、氰化物、</w:t>
            </w:r>
          </w:p>
          <w:p>
            <w:pPr>
              <w:pStyle w:val="TableText"/>
              <w:ind w:left="32"/>
              <w:spacing w:before="29" w:line="228" w:lineRule="auto"/>
              <w:rPr>
                <w:rFonts w:ascii="SimSun" w:hAnsi="SimSun" w:eastAsia="SimSun" w:cs="SimSun"/>
              </w:rPr>
            </w:pPr>
            <w:r>
              <w:rPr>
                <w:rFonts w:ascii="SimSun" w:hAnsi="SimSun" w:eastAsia="SimSun" w:cs="SimSun"/>
                <w:spacing w:val="8"/>
              </w:rPr>
              <w:t>挥发酚、石油类、硫化物和粪大肠菌群、</w:t>
            </w:r>
            <w:r>
              <w:rPr/>
              <w:t>SS</w:t>
            </w:r>
            <w:r>
              <w:rPr>
                <w:spacing w:val="-9"/>
              </w:rPr>
              <w:t xml:space="preserve"> </w:t>
            </w:r>
            <w:r>
              <w:rPr>
                <w:rFonts w:ascii="SimSun" w:hAnsi="SimSun" w:eastAsia="SimSun" w:cs="SimSun"/>
                <w:spacing w:val="8"/>
              </w:rPr>
              <w:t>、硫酸盐、氯化</w:t>
            </w:r>
          </w:p>
          <w:p>
            <w:pPr>
              <w:ind w:left="2140"/>
              <w:spacing w:before="24" w:line="218" w:lineRule="auto"/>
              <w:rPr>
                <w:rFonts w:ascii="SimSun" w:hAnsi="SimSun" w:eastAsia="SimSun" w:cs="SimSun"/>
                <w:sz w:val="20"/>
                <w:szCs w:val="20"/>
              </w:rPr>
            </w:pPr>
            <w:r>
              <w:rPr>
                <w:rFonts w:ascii="SimSun" w:hAnsi="SimSun" w:eastAsia="SimSun" w:cs="SimSun"/>
                <w:sz w:val="20"/>
                <w:szCs w:val="20"/>
                <w:spacing w:val="8"/>
              </w:rPr>
              <w:t>物、硝酸盐氮</w:t>
            </w:r>
          </w:p>
        </w:tc>
        <w:tc>
          <w:tcPr>
            <w:tcW w:w="2137" w:type="dxa"/>
            <w:vAlign w:val="top"/>
          </w:tcPr>
          <w:p>
            <w:pPr>
              <w:spacing w:line="265" w:lineRule="auto"/>
              <w:rPr>
                <w:rFonts w:ascii="Arial"/>
                <w:sz w:val="21"/>
              </w:rPr>
            </w:pPr>
            <w:r/>
          </w:p>
          <w:p>
            <w:pPr>
              <w:spacing w:line="265" w:lineRule="auto"/>
              <w:rPr>
                <w:rFonts w:ascii="Arial"/>
                <w:sz w:val="21"/>
              </w:rPr>
            </w:pPr>
            <w:r/>
          </w:p>
          <w:p>
            <w:pPr>
              <w:pStyle w:val="TableText"/>
              <w:ind w:left="1036"/>
              <w:spacing w:before="57" w:line="199" w:lineRule="auto"/>
              <w:rPr/>
            </w:pPr>
            <w:r>
              <w:rPr>
                <w:spacing w:val="2"/>
              </w:rPr>
              <w:t>/</w:t>
            </w:r>
          </w:p>
        </w:tc>
      </w:tr>
      <w:tr>
        <w:trPr>
          <w:trHeight w:val="398" w:hRule="atLeast"/>
        </w:trPr>
        <w:tc>
          <w:tcPr>
            <w:tcW w:w="1463" w:type="dxa"/>
            <w:vAlign w:val="top"/>
          </w:tcPr>
          <w:p>
            <w:pPr>
              <w:ind w:left="427"/>
              <w:spacing w:before="151" w:line="218" w:lineRule="auto"/>
              <w:rPr>
                <w:rFonts w:ascii="SimSun" w:hAnsi="SimSun" w:eastAsia="SimSun" w:cs="SimSun"/>
                <w:sz w:val="20"/>
                <w:szCs w:val="20"/>
              </w:rPr>
            </w:pPr>
            <w:r>
              <w:rPr>
                <w:rFonts w:ascii="SimSun" w:hAnsi="SimSun" w:eastAsia="SimSun" w:cs="SimSun"/>
                <w:sz w:val="20"/>
                <w:szCs w:val="20"/>
                <w:spacing w:val="5"/>
              </w:rPr>
              <w:t>声环境</w:t>
            </w:r>
          </w:p>
        </w:tc>
        <w:tc>
          <w:tcPr>
            <w:tcW w:w="5531" w:type="dxa"/>
            <w:vAlign w:val="top"/>
            <w:gridSpan w:val="2"/>
          </w:tcPr>
          <w:p>
            <w:pPr>
              <w:pStyle w:val="TableText"/>
              <w:ind w:left="2014"/>
              <w:spacing w:before="151" w:line="218" w:lineRule="auto"/>
              <w:rPr>
                <w:rFonts w:ascii="SimSun" w:hAnsi="SimSun" w:eastAsia="SimSun" w:cs="SimSun"/>
              </w:rPr>
            </w:pPr>
            <w:r>
              <w:rPr>
                <w:rFonts w:ascii="SimSun" w:hAnsi="SimSun" w:eastAsia="SimSun" w:cs="SimSun"/>
                <w:spacing w:val="5"/>
              </w:rPr>
              <w:t>等效连续</w:t>
            </w:r>
            <w:r>
              <w:rPr>
                <w:rFonts w:ascii="SimSun" w:hAnsi="SimSun" w:eastAsia="SimSun" w:cs="SimSun"/>
                <w:spacing w:val="-44"/>
              </w:rPr>
              <w:t xml:space="preserve"> </w:t>
            </w:r>
            <w:r>
              <w:rPr>
                <w:spacing w:val="5"/>
              </w:rPr>
              <w:t>A</w:t>
            </w:r>
            <w:r>
              <w:rPr>
                <w:spacing w:val="15"/>
                <w:w w:val="101"/>
              </w:rPr>
              <w:t xml:space="preserve"> </w:t>
            </w:r>
            <w:r>
              <w:rPr>
                <w:rFonts w:ascii="SimSun" w:hAnsi="SimSun" w:eastAsia="SimSun" w:cs="SimSun"/>
                <w:spacing w:val="5"/>
              </w:rPr>
              <w:t>声级</w:t>
            </w:r>
          </w:p>
        </w:tc>
        <w:tc>
          <w:tcPr>
            <w:tcW w:w="2137" w:type="dxa"/>
            <w:vAlign w:val="top"/>
          </w:tcPr>
          <w:p>
            <w:pPr>
              <w:pStyle w:val="TableText"/>
              <w:ind w:left="314"/>
              <w:spacing w:before="151" w:line="218" w:lineRule="auto"/>
              <w:rPr>
                <w:rFonts w:ascii="SimSun" w:hAnsi="SimSun" w:eastAsia="SimSun" w:cs="SimSun"/>
              </w:rPr>
            </w:pPr>
            <w:r>
              <w:rPr>
                <w:rFonts w:ascii="SimSun" w:hAnsi="SimSun" w:eastAsia="SimSun" w:cs="SimSun"/>
                <w:spacing w:val="5"/>
              </w:rPr>
              <w:t>等效连续</w:t>
            </w:r>
            <w:r>
              <w:rPr>
                <w:rFonts w:ascii="SimSun" w:hAnsi="SimSun" w:eastAsia="SimSun" w:cs="SimSun"/>
                <w:spacing w:val="-39"/>
              </w:rPr>
              <w:t xml:space="preserve"> </w:t>
            </w:r>
            <w:r>
              <w:rPr>
                <w:spacing w:val="5"/>
              </w:rPr>
              <w:t>A</w:t>
            </w:r>
            <w:r>
              <w:rPr>
                <w:spacing w:val="15"/>
                <w:w w:val="101"/>
              </w:rPr>
              <w:t xml:space="preserve"> </w:t>
            </w:r>
            <w:r>
              <w:rPr>
                <w:rFonts w:ascii="SimSun" w:hAnsi="SimSun" w:eastAsia="SimSun" w:cs="SimSun"/>
                <w:spacing w:val="5"/>
              </w:rPr>
              <w:t>声级</w:t>
            </w:r>
          </w:p>
        </w:tc>
      </w:tr>
      <w:tr>
        <w:trPr>
          <w:trHeight w:val="549" w:hRule="atLeast"/>
        </w:trPr>
        <w:tc>
          <w:tcPr>
            <w:tcW w:w="1463" w:type="dxa"/>
            <w:vAlign w:val="top"/>
          </w:tcPr>
          <w:p>
            <w:pPr>
              <w:ind w:left="319"/>
              <w:spacing w:before="227" w:line="228" w:lineRule="auto"/>
              <w:rPr>
                <w:rFonts w:ascii="SimSun" w:hAnsi="SimSun" w:eastAsia="SimSun" w:cs="SimSun"/>
                <w:sz w:val="20"/>
                <w:szCs w:val="20"/>
              </w:rPr>
            </w:pPr>
            <w:r>
              <w:rPr>
                <w:rFonts w:ascii="SimSun" w:hAnsi="SimSun" w:eastAsia="SimSun" w:cs="SimSun"/>
                <w:sz w:val="20"/>
                <w:szCs w:val="20"/>
                <w:spacing w:val="6"/>
              </w:rPr>
              <w:t>生态环境</w:t>
            </w:r>
          </w:p>
        </w:tc>
        <w:tc>
          <w:tcPr>
            <w:tcW w:w="5531" w:type="dxa"/>
            <w:vAlign w:val="top"/>
            <w:gridSpan w:val="2"/>
          </w:tcPr>
          <w:p>
            <w:pPr>
              <w:ind w:left="40"/>
              <w:spacing w:before="32" w:line="226" w:lineRule="auto"/>
              <w:rPr>
                <w:rFonts w:ascii="SimSun" w:hAnsi="SimSun" w:eastAsia="SimSun" w:cs="SimSun"/>
                <w:sz w:val="20"/>
                <w:szCs w:val="20"/>
              </w:rPr>
            </w:pPr>
            <w:r>
              <w:rPr>
                <w:rFonts w:ascii="SimSun" w:hAnsi="SimSun" w:eastAsia="SimSun" w:cs="SimSun"/>
                <w:sz w:val="20"/>
                <w:szCs w:val="20"/>
                <w:spacing w:val="9"/>
              </w:rPr>
              <w:t>土地利用、植被类型、动物资源、土壤侵蚀、植被覆盖度、</w:t>
            </w:r>
          </w:p>
          <w:p>
            <w:pPr>
              <w:ind w:left="2245"/>
              <w:spacing w:before="26" w:line="217" w:lineRule="auto"/>
              <w:rPr>
                <w:rFonts w:ascii="SimSun" w:hAnsi="SimSun" w:eastAsia="SimSun" w:cs="SimSun"/>
                <w:sz w:val="20"/>
                <w:szCs w:val="20"/>
              </w:rPr>
            </w:pPr>
            <w:r>
              <w:rPr>
                <w:rFonts w:ascii="SimSun" w:hAnsi="SimSun" w:eastAsia="SimSun" w:cs="SimSun"/>
                <w:sz w:val="20"/>
                <w:szCs w:val="20"/>
                <w:spacing w:val="7"/>
              </w:rPr>
              <w:t>生态系统等</w:t>
            </w:r>
          </w:p>
        </w:tc>
        <w:tc>
          <w:tcPr>
            <w:tcW w:w="2137" w:type="dxa"/>
            <w:vAlign w:val="top"/>
          </w:tcPr>
          <w:p>
            <w:pPr>
              <w:ind w:left="540" w:hanging="503"/>
              <w:spacing w:before="31" w:line="234" w:lineRule="auto"/>
              <w:rPr>
                <w:rFonts w:ascii="SimSun" w:hAnsi="SimSun" w:eastAsia="SimSun" w:cs="SimSun"/>
                <w:sz w:val="20"/>
                <w:szCs w:val="20"/>
              </w:rPr>
            </w:pPr>
            <w:r>
              <w:rPr>
                <w:rFonts w:ascii="SimSun" w:hAnsi="SimSun" w:eastAsia="SimSun" w:cs="SimSun"/>
                <w:sz w:val="20"/>
                <w:szCs w:val="20"/>
                <w:spacing w:val="-10"/>
              </w:rPr>
              <w:t>土地利用、植被、动物、</w:t>
            </w:r>
            <w:r>
              <w:rPr>
                <w:rFonts w:ascii="SimSun" w:hAnsi="SimSun" w:eastAsia="SimSun" w:cs="SimSun"/>
                <w:sz w:val="20"/>
                <w:szCs w:val="20"/>
                <w:spacing w:val="3"/>
              </w:rPr>
              <w:t>水土流失等</w:t>
            </w:r>
          </w:p>
        </w:tc>
      </w:tr>
      <w:tr>
        <w:trPr>
          <w:trHeight w:val="549" w:hRule="atLeast"/>
        </w:trPr>
        <w:tc>
          <w:tcPr>
            <w:tcW w:w="1463" w:type="dxa"/>
            <w:vAlign w:val="top"/>
            <w:vMerge w:val="restart"/>
            <w:tcBorders>
              <w:bottom w:val="nil"/>
            </w:tcBorders>
          </w:tcPr>
          <w:p>
            <w:pPr>
              <w:spacing w:line="438" w:lineRule="auto"/>
              <w:rPr>
                <w:rFonts w:ascii="Arial"/>
                <w:sz w:val="21"/>
              </w:rPr>
            </w:pPr>
            <w:r/>
          </w:p>
          <w:p>
            <w:pPr>
              <w:ind w:left="318"/>
              <w:spacing w:before="65" w:line="228" w:lineRule="auto"/>
              <w:rPr>
                <w:rFonts w:ascii="SimSun" w:hAnsi="SimSun" w:eastAsia="SimSun" w:cs="SimSun"/>
                <w:sz w:val="20"/>
                <w:szCs w:val="20"/>
              </w:rPr>
            </w:pPr>
            <w:r>
              <w:rPr>
                <w:rFonts w:ascii="SimSun" w:hAnsi="SimSun" w:eastAsia="SimSun" w:cs="SimSun"/>
                <w:sz w:val="20"/>
                <w:szCs w:val="20"/>
                <w:spacing w:val="7"/>
              </w:rPr>
              <w:t>土壤环境</w:t>
            </w:r>
          </w:p>
        </w:tc>
        <w:tc>
          <w:tcPr>
            <w:tcW w:w="1506" w:type="dxa"/>
            <w:vAlign w:val="top"/>
          </w:tcPr>
          <w:p>
            <w:pPr>
              <w:ind w:left="445"/>
              <w:spacing w:before="166" w:line="233" w:lineRule="auto"/>
              <w:rPr>
                <w:rFonts w:ascii="SimSun" w:hAnsi="SimSun" w:eastAsia="SimSun" w:cs="SimSun"/>
                <w:sz w:val="20"/>
                <w:szCs w:val="20"/>
              </w:rPr>
            </w:pPr>
            <w:r>
              <w:rPr>
                <w:rFonts w:ascii="SimSun" w:hAnsi="SimSun" w:eastAsia="SimSun" w:cs="SimSun"/>
                <w:sz w:val="20"/>
                <w:szCs w:val="20"/>
                <w:spacing w:val="6"/>
              </w:rPr>
              <w:t>生态型</w:t>
            </w:r>
          </w:p>
        </w:tc>
        <w:tc>
          <w:tcPr>
            <w:tcW w:w="4025" w:type="dxa"/>
            <w:vAlign w:val="top"/>
          </w:tcPr>
          <w:p>
            <w:pPr>
              <w:pStyle w:val="TableText"/>
              <w:ind w:left="34"/>
              <w:spacing w:before="32" w:line="221" w:lineRule="auto"/>
              <w:rPr>
                <w:rFonts w:ascii="SimSun" w:hAnsi="SimSun" w:eastAsia="SimSun" w:cs="SimSun"/>
              </w:rPr>
            </w:pPr>
            <w:r>
              <w:rPr>
                <w:rFonts w:ascii="SimSun" w:hAnsi="SimSun" w:eastAsia="SimSun" w:cs="SimSun"/>
                <w:spacing w:val="2"/>
              </w:rPr>
              <w:t>和</w:t>
            </w:r>
            <w:r>
              <w:rPr>
                <w:rFonts w:ascii="SimSun" w:hAnsi="SimSun" w:eastAsia="SimSun" w:cs="SimSun"/>
                <w:spacing w:val="-39"/>
              </w:rPr>
              <w:t xml:space="preserve"> </w:t>
            </w:r>
            <w:r>
              <w:rPr/>
              <w:t>GB</w:t>
            </w:r>
            <w:r>
              <w:rPr>
                <w:spacing w:val="2"/>
              </w:rPr>
              <w:t>15618-2018 </w:t>
            </w:r>
            <w:r>
              <w:rPr>
                <w:rFonts w:ascii="SimSun" w:hAnsi="SimSun" w:eastAsia="SimSun" w:cs="SimSun"/>
                <w:spacing w:val="2"/>
              </w:rPr>
              <w:t>表</w:t>
            </w:r>
            <w:r>
              <w:rPr>
                <w:rFonts w:ascii="SimSun" w:hAnsi="SimSun" w:eastAsia="SimSun" w:cs="SimSun"/>
                <w:spacing w:val="-21"/>
              </w:rPr>
              <w:t xml:space="preserve"> </w:t>
            </w:r>
            <w:r>
              <w:rPr>
                <w:spacing w:val="2"/>
              </w:rPr>
              <w:t>1</w:t>
            </w:r>
            <w:r>
              <w:rPr>
                <w:spacing w:val="29"/>
                <w:w w:val="101"/>
              </w:rPr>
              <w:t xml:space="preserve"> </w:t>
            </w:r>
            <w:r>
              <w:rPr>
                <w:rFonts w:ascii="SimSun" w:hAnsi="SimSun" w:eastAsia="SimSun" w:cs="SimSun"/>
                <w:spacing w:val="2"/>
              </w:rPr>
              <w:t>中的基本项和</w:t>
            </w:r>
            <w:r>
              <w:rPr>
                <w:rFonts w:ascii="SimSun" w:hAnsi="SimSun" w:eastAsia="SimSun" w:cs="SimSun"/>
                <w:spacing w:val="-43"/>
              </w:rPr>
              <w:t xml:space="preserve"> </w:t>
            </w:r>
            <w:r>
              <w:rPr/>
              <w:t>pH</w:t>
            </w:r>
            <w:r>
              <w:rPr>
                <w:rFonts w:ascii="SimSun" w:hAnsi="SimSun" w:eastAsia="SimSun" w:cs="SimSun"/>
                <w:spacing w:val="2"/>
              </w:rPr>
              <w:t>、土</w:t>
            </w:r>
          </w:p>
          <w:p>
            <w:pPr>
              <w:ind w:left="1598"/>
              <w:spacing w:before="31" w:line="217" w:lineRule="auto"/>
              <w:rPr>
                <w:rFonts w:ascii="SimSun" w:hAnsi="SimSun" w:eastAsia="SimSun" w:cs="SimSun"/>
                <w:sz w:val="20"/>
                <w:szCs w:val="20"/>
              </w:rPr>
            </w:pPr>
            <w:r>
              <w:rPr>
                <w:rFonts w:ascii="SimSun" w:hAnsi="SimSun" w:eastAsia="SimSun" w:cs="SimSun"/>
                <w:sz w:val="20"/>
                <w:szCs w:val="20"/>
                <w:spacing w:val="7"/>
              </w:rPr>
              <w:t>壤含盐量</w:t>
            </w:r>
          </w:p>
        </w:tc>
        <w:tc>
          <w:tcPr>
            <w:tcW w:w="2137" w:type="dxa"/>
            <w:vAlign w:val="top"/>
            <w:vMerge w:val="restart"/>
            <w:tcBorders>
              <w:bottom w:val="nil"/>
            </w:tcBorders>
          </w:tcPr>
          <w:p>
            <w:pPr>
              <w:spacing w:line="437" w:lineRule="auto"/>
              <w:rPr>
                <w:rFonts w:ascii="Arial"/>
                <w:sz w:val="21"/>
              </w:rPr>
            </w:pPr>
            <w:r/>
          </w:p>
          <w:p>
            <w:pPr>
              <w:pStyle w:val="TableText"/>
              <w:ind w:left="303"/>
              <w:spacing w:before="65" w:line="221" w:lineRule="auto"/>
              <w:rPr>
                <w:rFonts w:ascii="SimSun" w:hAnsi="SimSun" w:eastAsia="SimSun" w:cs="SimSun"/>
              </w:rPr>
            </w:pPr>
            <w:r>
              <w:rPr/>
              <w:t>pH</w:t>
            </w:r>
            <w:r>
              <w:rPr>
                <w:spacing w:val="-27"/>
              </w:rPr>
              <w:t xml:space="preserve"> </w:t>
            </w:r>
            <w:r>
              <w:rPr>
                <w:rFonts w:ascii="SimSun" w:hAnsi="SimSun" w:eastAsia="SimSun" w:cs="SimSun"/>
                <w:spacing w:val="8"/>
              </w:rPr>
              <w:t>、土壤含盐量</w:t>
            </w:r>
          </w:p>
        </w:tc>
      </w:tr>
      <w:tr>
        <w:trPr>
          <w:trHeight w:val="549" w:hRule="atLeast"/>
        </w:trPr>
        <w:tc>
          <w:tcPr>
            <w:tcW w:w="1463" w:type="dxa"/>
            <w:vAlign w:val="top"/>
            <w:vMerge w:val="continue"/>
            <w:tcBorders>
              <w:top w:val="nil"/>
            </w:tcBorders>
          </w:tcPr>
          <w:p>
            <w:pPr>
              <w:rPr>
                <w:rFonts w:ascii="Arial"/>
                <w:sz w:val="21"/>
              </w:rPr>
            </w:pPr>
            <w:r/>
          </w:p>
        </w:tc>
        <w:tc>
          <w:tcPr>
            <w:tcW w:w="1506" w:type="dxa"/>
            <w:vAlign w:val="top"/>
          </w:tcPr>
          <w:p>
            <w:pPr>
              <w:ind w:left="445"/>
              <w:spacing w:before="168" w:line="228" w:lineRule="auto"/>
              <w:rPr>
                <w:rFonts w:ascii="SimSun" w:hAnsi="SimSun" w:eastAsia="SimSun" w:cs="SimSun"/>
                <w:sz w:val="20"/>
                <w:szCs w:val="20"/>
              </w:rPr>
            </w:pPr>
            <w:r>
              <w:rPr>
                <w:rFonts w:ascii="SimSun" w:hAnsi="SimSun" w:eastAsia="SimSun" w:cs="SimSun"/>
                <w:sz w:val="20"/>
                <w:szCs w:val="20"/>
                <w:spacing w:val="6"/>
              </w:rPr>
              <w:t>污染型</w:t>
            </w:r>
          </w:p>
        </w:tc>
        <w:tc>
          <w:tcPr>
            <w:tcW w:w="4025" w:type="dxa"/>
            <w:vAlign w:val="top"/>
          </w:tcPr>
          <w:p>
            <w:pPr>
              <w:pStyle w:val="TableText"/>
              <w:ind w:left="33"/>
              <w:spacing w:before="33" w:line="221" w:lineRule="auto"/>
              <w:rPr>
                <w:rFonts w:ascii="SimSun" w:hAnsi="SimSun" w:eastAsia="SimSun" w:cs="SimSun"/>
              </w:rPr>
            </w:pPr>
            <w:r>
              <w:rPr/>
              <w:t>GB</w:t>
            </w:r>
            <w:r>
              <w:rPr>
                <w:spacing w:val="3"/>
              </w:rPr>
              <w:t>36600-2018 </w:t>
            </w:r>
            <w:r>
              <w:rPr>
                <w:rFonts w:ascii="SimSun" w:hAnsi="SimSun" w:eastAsia="SimSun" w:cs="SimSun"/>
                <w:spacing w:val="3"/>
              </w:rPr>
              <w:t>表</w:t>
            </w:r>
            <w:r>
              <w:rPr>
                <w:rFonts w:ascii="SimSun" w:hAnsi="SimSun" w:eastAsia="SimSun" w:cs="SimSun"/>
                <w:spacing w:val="-8"/>
              </w:rPr>
              <w:t xml:space="preserve"> </w:t>
            </w:r>
            <w:r>
              <w:rPr>
                <w:spacing w:val="3"/>
              </w:rPr>
              <w:t>1</w:t>
            </w:r>
            <w:r>
              <w:rPr>
                <w:spacing w:val="32"/>
              </w:rPr>
              <w:t xml:space="preserve"> </w:t>
            </w:r>
            <w:r>
              <w:rPr>
                <w:rFonts w:ascii="SimSun" w:hAnsi="SimSun" w:eastAsia="SimSun" w:cs="SimSun"/>
                <w:spacing w:val="3"/>
              </w:rPr>
              <w:t>中的基本项和</w:t>
            </w:r>
            <w:r>
              <w:rPr>
                <w:rFonts w:ascii="SimSun" w:hAnsi="SimSun" w:eastAsia="SimSun" w:cs="SimSun"/>
                <w:spacing w:val="-46"/>
              </w:rPr>
              <w:t xml:space="preserve"> </w:t>
            </w:r>
            <w:r>
              <w:rPr/>
              <w:t>pH</w:t>
            </w:r>
            <w:r>
              <w:rPr>
                <w:spacing w:val="-27"/>
              </w:rPr>
              <w:t xml:space="preserve"> </w:t>
            </w:r>
            <w:r>
              <w:rPr>
                <w:rFonts w:ascii="SimSun" w:hAnsi="SimSun" w:eastAsia="SimSun" w:cs="SimSun"/>
                <w:spacing w:val="3"/>
              </w:rPr>
              <w:t>、土壤</w:t>
            </w:r>
          </w:p>
          <w:p>
            <w:pPr>
              <w:ind w:left="1704"/>
              <w:spacing w:before="34" w:line="214" w:lineRule="auto"/>
              <w:rPr>
                <w:rFonts w:ascii="SimSun" w:hAnsi="SimSun" w:eastAsia="SimSun" w:cs="SimSun"/>
                <w:sz w:val="20"/>
                <w:szCs w:val="20"/>
              </w:rPr>
            </w:pPr>
            <w:r>
              <w:rPr>
                <w:rFonts w:ascii="SimSun" w:hAnsi="SimSun" w:eastAsia="SimSun" w:cs="SimSun"/>
                <w:sz w:val="20"/>
                <w:szCs w:val="20"/>
                <w:spacing w:val="6"/>
              </w:rPr>
              <w:t>含盐量</w:t>
            </w:r>
          </w:p>
        </w:tc>
        <w:tc>
          <w:tcPr>
            <w:tcW w:w="2137" w:type="dxa"/>
            <w:vAlign w:val="top"/>
            <w:vMerge w:val="continue"/>
            <w:tcBorders>
              <w:top w:val="nil"/>
            </w:tcBorders>
          </w:tcPr>
          <w:p>
            <w:pPr>
              <w:rPr>
                <w:rFonts w:ascii="Arial"/>
                <w:sz w:val="21"/>
              </w:rPr>
            </w:pPr>
            <w:r/>
          </w:p>
        </w:tc>
      </w:tr>
      <w:tr>
        <w:trPr>
          <w:trHeight w:val="578" w:hRule="atLeast"/>
        </w:trPr>
        <w:tc>
          <w:tcPr>
            <w:tcW w:w="1463" w:type="dxa"/>
            <w:vAlign w:val="top"/>
          </w:tcPr>
          <w:p>
            <w:pPr>
              <w:ind w:left="335"/>
              <w:spacing w:before="242" w:line="228" w:lineRule="auto"/>
              <w:rPr>
                <w:rFonts w:ascii="SimSun" w:hAnsi="SimSun" w:eastAsia="SimSun" w:cs="SimSun"/>
                <w:sz w:val="20"/>
                <w:szCs w:val="20"/>
              </w:rPr>
            </w:pPr>
            <w:r>
              <w:rPr>
                <w:rFonts w:ascii="SimSun" w:hAnsi="SimSun" w:eastAsia="SimSun" w:cs="SimSun"/>
                <w:sz w:val="20"/>
                <w:szCs w:val="20"/>
                <w:spacing w:val="2"/>
              </w:rPr>
              <w:t>固体废物</w:t>
            </w:r>
          </w:p>
        </w:tc>
        <w:tc>
          <w:tcPr>
            <w:tcW w:w="5531" w:type="dxa"/>
            <w:vAlign w:val="top"/>
            <w:gridSpan w:val="2"/>
          </w:tcPr>
          <w:p>
            <w:pPr>
              <w:pStyle w:val="TableText"/>
              <w:ind w:left="2734"/>
              <w:spacing w:before="276" w:line="199" w:lineRule="auto"/>
              <w:rPr/>
            </w:pPr>
            <w:r>
              <w:rPr>
                <w:spacing w:val="2"/>
              </w:rPr>
              <w:t>/</w:t>
            </w:r>
          </w:p>
        </w:tc>
        <w:tc>
          <w:tcPr>
            <w:tcW w:w="2137" w:type="dxa"/>
            <w:vAlign w:val="top"/>
          </w:tcPr>
          <w:p>
            <w:pPr>
              <w:ind w:left="232"/>
              <w:spacing w:before="242" w:line="228" w:lineRule="auto"/>
              <w:rPr>
                <w:rFonts w:ascii="SimSun" w:hAnsi="SimSun" w:eastAsia="SimSun" w:cs="SimSun"/>
                <w:sz w:val="20"/>
                <w:szCs w:val="20"/>
              </w:rPr>
            </w:pPr>
            <w:r>
              <w:rPr>
                <w:rFonts w:ascii="SimSun" w:hAnsi="SimSun" w:eastAsia="SimSun" w:cs="SimSun"/>
                <w:sz w:val="20"/>
                <w:szCs w:val="20"/>
                <w:spacing w:val="8"/>
              </w:rPr>
              <w:t>矿区范围固体废物</w:t>
            </w:r>
          </w:p>
        </w:tc>
      </w:tr>
      <w:tr>
        <w:trPr>
          <w:trHeight w:val="945" w:hRule="atLeast"/>
        </w:trPr>
        <w:tc>
          <w:tcPr>
            <w:tcW w:w="1463" w:type="dxa"/>
            <w:vAlign w:val="top"/>
          </w:tcPr>
          <w:p>
            <w:pPr>
              <w:spacing w:line="358" w:lineRule="auto"/>
              <w:rPr>
                <w:rFonts w:ascii="Arial"/>
                <w:sz w:val="21"/>
              </w:rPr>
            </w:pPr>
            <w:r/>
          </w:p>
          <w:p>
            <w:pPr>
              <w:ind w:left="317"/>
              <w:spacing w:before="65" w:line="228" w:lineRule="auto"/>
              <w:rPr>
                <w:rFonts w:ascii="SimSun" w:hAnsi="SimSun" w:eastAsia="SimSun" w:cs="SimSun"/>
                <w:sz w:val="20"/>
                <w:szCs w:val="20"/>
              </w:rPr>
            </w:pPr>
            <w:r>
              <w:rPr>
                <w:rFonts w:ascii="SimSun" w:hAnsi="SimSun" w:eastAsia="SimSun" w:cs="SimSun"/>
                <w:sz w:val="20"/>
                <w:szCs w:val="20"/>
                <w:spacing w:val="7"/>
              </w:rPr>
              <w:t>环境风险</w:t>
            </w:r>
          </w:p>
        </w:tc>
        <w:tc>
          <w:tcPr>
            <w:tcW w:w="5531" w:type="dxa"/>
            <w:vAlign w:val="top"/>
            <w:gridSpan w:val="2"/>
          </w:tcPr>
          <w:p>
            <w:pPr>
              <w:spacing w:line="357" w:lineRule="auto"/>
              <w:rPr>
                <w:rFonts w:ascii="Arial"/>
                <w:sz w:val="21"/>
              </w:rPr>
            </w:pPr>
            <w:r/>
          </w:p>
          <w:p>
            <w:pPr>
              <w:ind w:left="2355"/>
              <w:spacing w:before="65" w:line="227" w:lineRule="auto"/>
              <w:rPr>
                <w:rFonts w:ascii="SimSun" w:hAnsi="SimSun" w:eastAsia="SimSun" w:cs="SimSun"/>
                <w:sz w:val="20"/>
                <w:szCs w:val="20"/>
              </w:rPr>
            </w:pPr>
            <w:r>
              <w:rPr>
                <w:rFonts w:ascii="SimSun" w:hAnsi="SimSun" w:eastAsia="SimSun" w:cs="SimSun"/>
                <w:sz w:val="20"/>
                <w:szCs w:val="20"/>
                <w:spacing w:val="6"/>
              </w:rPr>
              <w:t>简单分析</w:t>
            </w:r>
          </w:p>
        </w:tc>
        <w:tc>
          <w:tcPr>
            <w:tcW w:w="2137" w:type="dxa"/>
            <w:vAlign w:val="top"/>
          </w:tcPr>
          <w:p>
            <w:pPr>
              <w:ind w:left="38"/>
              <w:spacing w:before="153" w:line="228" w:lineRule="auto"/>
              <w:rPr>
                <w:rFonts w:ascii="SimSun" w:hAnsi="SimSun" w:eastAsia="SimSun" w:cs="SimSun"/>
                <w:sz w:val="20"/>
                <w:szCs w:val="20"/>
              </w:rPr>
            </w:pPr>
            <w:r>
              <w:rPr>
                <w:rFonts w:ascii="SimSun" w:hAnsi="SimSun" w:eastAsia="SimSun" w:cs="SimSun"/>
                <w:sz w:val="20"/>
                <w:szCs w:val="20"/>
                <w:spacing w:val="7"/>
              </w:rPr>
              <w:t>危废暂存间油桶泄漏、</w:t>
            </w:r>
          </w:p>
          <w:p>
            <w:pPr>
              <w:ind w:left="36"/>
              <w:spacing w:before="24" w:line="228" w:lineRule="auto"/>
              <w:rPr>
                <w:rFonts w:ascii="SimSun" w:hAnsi="SimSun" w:eastAsia="SimSun" w:cs="SimSun"/>
                <w:sz w:val="20"/>
                <w:szCs w:val="20"/>
              </w:rPr>
            </w:pPr>
            <w:r>
              <w:rPr>
                <w:rFonts w:ascii="SimSun" w:hAnsi="SimSun" w:eastAsia="SimSun" w:cs="SimSun"/>
                <w:sz w:val="20"/>
                <w:szCs w:val="20"/>
                <w:spacing w:val="6"/>
              </w:rPr>
              <w:t>加油站储油罐泄漏、污</w:t>
            </w:r>
          </w:p>
          <w:p>
            <w:pPr>
              <w:ind w:left="335"/>
              <w:spacing w:before="24" w:line="220" w:lineRule="auto"/>
              <w:rPr>
                <w:rFonts w:ascii="SimSun" w:hAnsi="SimSun" w:eastAsia="SimSun" w:cs="SimSun"/>
                <w:sz w:val="20"/>
                <w:szCs w:val="20"/>
              </w:rPr>
            </w:pPr>
            <w:r>
              <w:rPr>
                <w:rFonts w:ascii="SimSun" w:hAnsi="SimSun" w:eastAsia="SimSun" w:cs="SimSun"/>
                <w:sz w:val="20"/>
                <w:szCs w:val="20"/>
                <w:spacing w:val="8"/>
              </w:rPr>
              <w:t>废水事故排放等</w:t>
            </w:r>
          </w:p>
        </w:tc>
      </w:tr>
    </w:tbl>
    <w:p>
      <w:pPr>
        <w:pStyle w:val="BodyText"/>
        <w:rPr/>
      </w:pPr>
      <w:r/>
    </w:p>
    <w:p>
      <w:pPr>
        <w:sectPr>
          <w:headerReference w:type="default" r:id="rId49"/>
          <w:footerReference w:type="default" r:id="rId50"/>
          <w:pgSz w:w="11906" w:h="16838"/>
          <w:pgMar w:top="1170" w:right="1304" w:bottom="1080" w:left="1305" w:header="837" w:footer="918" w:gutter="0"/>
        </w:sectPr>
        <w:rPr/>
      </w:pPr>
    </w:p>
    <w:p>
      <w:pPr>
        <w:pStyle w:val="BodyText"/>
        <w:spacing w:line="440" w:lineRule="auto"/>
        <w:rPr/>
      </w:pPr>
      <w:r/>
    </w:p>
    <w:p>
      <w:pPr>
        <w:ind w:left="2774"/>
        <w:spacing w:before="78" w:line="222" w:lineRule="auto"/>
        <w:rPr>
          <w:rFonts w:ascii="SimHei" w:hAnsi="SimHei" w:eastAsia="SimHei" w:cs="SimHei"/>
          <w:sz w:val="24"/>
          <w:szCs w:val="24"/>
        </w:rPr>
      </w:pPr>
      <w:bookmarkStart w:name="bookmark81" w:id="21"/>
      <w:bookmarkEnd w:id="21"/>
      <w:r>
        <w:rPr>
          <w:rFonts w:ascii="SimHei" w:hAnsi="SimHei" w:eastAsia="SimHei" w:cs="SimHei"/>
          <w:sz w:val="24"/>
          <w:szCs w:val="24"/>
          <w:spacing w:val="-1"/>
        </w:rPr>
        <w:t>生态环境影响评价因子筛选一览表</w:t>
      </w:r>
    </w:p>
    <w:p>
      <w:pPr>
        <w:ind w:left="38"/>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2-4-3</w:t>
      </w:r>
    </w:p>
    <w:tbl>
      <w:tblPr>
        <w:tblStyle w:val="TableNormal"/>
        <w:tblW w:w="9112" w:type="dxa"/>
        <w:tblInd w:w="3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29"/>
        <w:gridCol w:w="2547"/>
        <w:gridCol w:w="2024"/>
        <w:gridCol w:w="1319"/>
        <w:gridCol w:w="1593"/>
      </w:tblGrid>
      <w:tr>
        <w:trPr>
          <w:trHeight w:val="273" w:hRule="atLeast"/>
        </w:trPr>
        <w:tc>
          <w:tcPr>
            <w:tcW w:w="1629" w:type="dxa"/>
            <w:vAlign w:val="top"/>
          </w:tcPr>
          <w:p>
            <w:pPr>
              <w:ind w:left="295"/>
              <w:spacing w:before="29" w:line="216" w:lineRule="auto"/>
              <w:rPr>
                <w:rFonts w:ascii="SimSun" w:hAnsi="SimSun" w:eastAsia="SimSun" w:cs="SimSun"/>
                <w:sz w:val="20"/>
                <w:szCs w:val="20"/>
              </w:rPr>
            </w:pPr>
            <w:r>
              <w:rPr>
                <w:rFonts w:ascii="SimSun" w:hAnsi="SimSun" w:eastAsia="SimSun" w:cs="SimSun"/>
                <w:sz w:val="20"/>
                <w:szCs w:val="20"/>
                <w:spacing w:val="7"/>
              </w:rPr>
              <w:t>受影响对象</w:t>
            </w:r>
          </w:p>
        </w:tc>
        <w:tc>
          <w:tcPr>
            <w:tcW w:w="2547" w:type="dxa"/>
            <w:vAlign w:val="top"/>
          </w:tcPr>
          <w:p>
            <w:pPr>
              <w:ind w:left="857"/>
              <w:spacing w:before="29" w:line="216" w:lineRule="auto"/>
              <w:rPr>
                <w:rFonts w:ascii="SimSun" w:hAnsi="SimSun" w:eastAsia="SimSun" w:cs="SimSun"/>
                <w:sz w:val="20"/>
                <w:szCs w:val="20"/>
              </w:rPr>
            </w:pPr>
            <w:r>
              <w:rPr>
                <w:rFonts w:ascii="SimSun" w:hAnsi="SimSun" w:eastAsia="SimSun" w:cs="SimSun"/>
                <w:sz w:val="20"/>
                <w:szCs w:val="20"/>
                <w:spacing w:val="7"/>
              </w:rPr>
              <w:t>评价因子</w:t>
            </w:r>
          </w:p>
        </w:tc>
        <w:tc>
          <w:tcPr>
            <w:tcW w:w="2024" w:type="dxa"/>
            <w:vAlign w:val="top"/>
          </w:tcPr>
          <w:p>
            <w:pPr>
              <w:ind w:left="22"/>
              <w:spacing w:before="29" w:line="216" w:lineRule="auto"/>
              <w:rPr>
                <w:rFonts w:ascii="SimSun" w:hAnsi="SimSun" w:eastAsia="SimSun" w:cs="SimSun"/>
                <w:sz w:val="20"/>
                <w:szCs w:val="20"/>
              </w:rPr>
            </w:pPr>
            <w:r>
              <w:rPr>
                <w:rFonts w:ascii="SimSun" w:hAnsi="SimSun" w:eastAsia="SimSun" w:cs="SimSun"/>
                <w:sz w:val="20"/>
                <w:szCs w:val="20"/>
                <w:spacing w:val="8"/>
              </w:rPr>
              <w:t>工程内容及影响方 式</w:t>
            </w:r>
          </w:p>
        </w:tc>
        <w:tc>
          <w:tcPr>
            <w:tcW w:w="1319" w:type="dxa"/>
            <w:vAlign w:val="top"/>
          </w:tcPr>
          <w:p>
            <w:pPr>
              <w:ind w:left="247"/>
              <w:spacing w:before="29" w:line="216" w:lineRule="auto"/>
              <w:rPr>
                <w:rFonts w:ascii="SimSun" w:hAnsi="SimSun" w:eastAsia="SimSun" w:cs="SimSun"/>
                <w:sz w:val="20"/>
                <w:szCs w:val="20"/>
              </w:rPr>
            </w:pPr>
            <w:r>
              <w:rPr>
                <w:rFonts w:ascii="SimSun" w:hAnsi="SimSun" w:eastAsia="SimSun" w:cs="SimSun"/>
                <w:sz w:val="20"/>
                <w:szCs w:val="20"/>
                <w:spacing w:val="7"/>
              </w:rPr>
              <w:t>影响性质</w:t>
            </w:r>
          </w:p>
        </w:tc>
        <w:tc>
          <w:tcPr>
            <w:tcW w:w="1593" w:type="dxa"/>
            <w:vAlign w:val="top"/>
          </w:tcPr>
          <w:p>
            <w:pPr>
              <w:ind w:left="384"/>
              <w:spacing w:before="29" w:line="216" w:lineRule="auto"/>
              <w:rPr>
                <w:rFonts w:ascii="SimSun" w:hAnsi="SimSun" w:eastAsia="SimSun" w:cs="SimSun"/>
                <w:sz w:val="20"/>
                <w:szCs w:val="20"/>
              </w:rPr>
            </w:pPr>
            <w:r>
              <w:rPr>
                <w:rFonts w:ascii="SimSun" w:hAnsi="SimSun" w:eastAsia="SimSun" w:cs="SimSun"/>
                <w:sz w:val="20"/>
                <w:szCs w:val="20"/>
                <w:spacing w:val="7"/>
              </w:rPr>
              <w:t>影响程度</w:t>
            </w:r>
          </w:p>
        </w:tc>
      </w:tr>
      <w:tr>
        <w:trPr>
          <w:trHeight w:val="642" w:hRule="atLeast"/>
        </w:trPr>
        <w:tc>
          <w:tcPr>
            <w:tcW w:w="1629" w:type="dxa"/>
            <w:vAlign w:val="top"/>
          </w:tcPr>
          <w:p>
            <w:pPr>
              <w:ind w:left="607"/>
              <w:spacing w:before="212" w:line="228" w:lineRule="auto"/>
              <w:rPr>
                <w:rFonts w:ascii="SimSun" w:hAnsi="SimSun" w:eastAsia="SimSun" w:cs="SimSun"/>
                <w:sz w:val="20"/>
                <w:szCs w:val="20"/>
              </w:rPr>
            </w:pPr>
            <w:r>
              <w:rPr>
                <w:rFonts w:ascii="SimSun" w:hAnsi="SimSun" w:eastAsia="SimSun" w:cs="SimSun"/>
                <w:sz w:val="20"/>
                <w:szCs w:val="20"/>
                <w:spacing w:val="4"/>
              </w:rPr>
              <w:t>物种</w:t>
            </w:r>
          </w:p>
        </w:tc>
        <w:tc>
          <w:tcPr>
            <w:tcW w:w="2547" w:type="dxa"/>
            <w:vAlign w:val="top"/>
          </w:tcPr>
          <w:p>
            <w:pPr>
              <w:ind w:left="651" w:right="14" w:hanging="631"/>
              <w:spacing w:before="76" w:line="252" w:lineRule="auto"/>
              <w:rPr>
                <w:rFonts w:ascii="SimSun" w:hAnsi="SimSun" w:eastAsia="SimSun" w:cs="SimSun"/>
                <w:sz w:val="20"/>
                <w:szCs w:val="20"/>
              </w:rPr>
            </w:pPr>
            <w:r>
              <w:rPr>
                <w:rFonts w:ascii="SimSun" w:hAnsi="SimSun" w:eastAsia="SimSun" w:cs="SimSun"/>
                <w:sz w:val="20"/>
                <w:szCs w:val="20"/>
                <w:spacing w:val="8"/>
              </w:rPr>
              <w:t>分布范围、种群数量、种群</w:t>
            </w:r>
            <w:r>
              <w:rPr>
                <w:rFonts w:ascii="SimSun" w:hAnsi="SimSun" w:eastAsia="SimSun" w:cs="SimSun"/>
                <w:sz w:val="20"/>
                <w:szCs w:val="20"/>
                <w:spacing w:val="7"/>
              </w:rPr>
              <w:t>结构、行为等</w:t>
            </w:r>
          </w:p>
        </w:tc>
        <w:tc>
          <w:tcPr>
            <w:tcW w:w="2024" w:type="dxa"/>
            <w:vAlign w:val="top"/>
          </w:tcPr>
          <w:p>
            <w:pPr>
              <w:ind w:left="388"/>
              <w:spacing w:before="211" w:line="229" w:lineRule="auto"/>
              <w:rPr>
                <w:rFonts w:ascii="SimSun" w:hAnsi="SimSun" w:eastAsia="SimSun" w:cs="SimSun"/>
                <w:sz w:val="20"/>
                <w:szCs w:val="20"/>
              </w:rPr>
            </w:pPr>
            <w:r>
              <w:rPr>
                <w:rFonts w:ascii="SimSun" w:hAnsi="SimSun" w:eastAsia="SimSun" w:cs="SimSun"/>
                <w:sz w:val="20"/>
                <w:szCs w:val="20"/>
                <w:spacing w:val="7"/>
              </w:rPr>
              <w:t>直接生态影响</w:t>
            </w:r>
          </w:p>
        </w:tc>
        <w:tc>
          <w:tcPr>
            <w:tcW w:w="1319" w:type="dxa"/>
            <w:vAlign w:val="top"/>
          </w:tcPr>
          <w:p>
            <w:pPr>
              <w:ind w:left="139"/>
              <w:spacing w:before="212" w:line="228" w:lineRule="auto"/>
              <w:rPr>
                <w:rFonts w:ascii="SimSun" w:hAnsi="SimSun" w:eastAsia="SimSun" w:cs="SimSun"/>
                <w:sz w:val="20"/>
                <w:szCs w:val="20"/>
              </w:rPr>
            </w:pPr>
            <w:r>
              <w:rPr>
                <w:rFonts w:ascii="SimSun" w:hAnsi="SimSun" w:eastAsia="SimSun" w:cs="SimSun"/>
                <w:sz w:val="20"/>
                <w:szCs w:val="20"/>
                <w:spacing w:val="8"/>
              </w:rPr>
              <w:t>长期、可逆</w:t>
            </w:r>
          </w:p>
        </w:tc>
        <w:tc>
          <w:tcPr>
            <w:tcW w:w="1593" w:type="dxa"/>
            <w:vAlign w:val="top"/>
          </w:tcPr>
          <w:p>
            <w:pPr>
              <w:ind w:left="702"/>
              <w:spacing w:before="211" w:line="229" w:lineRule="auto"/>
              <w:rPr>
                <w:rFonts w:ascii="SimSun" w:hAnsi="SimSun" w:eastAsia="SimSun" w:cs="SimSun"/>
                <w:sz w:val="20"/>
                <w:szCs w:val="20"/>
              </w:rPr>
            </w:pPr>
            <w:r>
              <w:rPr>
                <w:rFonts w:ascii="SimSun" w:hAnsi="SimSun" w:eastAsia="SimSun" w:cs="SimSun"/>
                <w:sz w:val="20"/>
                <w:szCs w:val="20"/>
              </w:rPr>
              <w:t>弱</w:t>
            </w:r>
          </w:p>
        </w:tc>
      </w:tr>
      <w:tr>
        <w:trPr>
          <w:trHeight w:val="536" w:hRule="atLeast"/>
        </w:trPr>
        <w:tc>
          <w:tcPr>
            <w:tcW w:w="1629" w:type="dxa"/>
            <w:vAlign w:val="top"/>
          </w:tcPr>
          <w:p>
            <w:pPr>
              <w:ind w:left="609"/>
              <w:spacing w:before="160" w:line="228" w:lineRule="auto"/>
              <w:rPr>
                <w:rFonts w:ascii="SimSun" w:hAnsi="SimSun" w:eastAsia="SimSun" w:cs="SimSun"/>
                <w:sz w:val="20"/>
                <w:szCs w:val="20"/>
              </w:rPr>
            </w:pPr>
            <w:r>
              <w:rPr>
                <w:rFonts w:ascii="SimSun" w:hAnsi="SimSun" w:eastAsia="SimSun" w:cs="SimSun"/>
                <w:sz w:val="20"/>
                <w:szCs w:val="20"/>
                <w:spacing w:val="3"/>
              </w:rPr>
              <w:t>生境</w:t>
            </w:r>
          </w:p>
        </w:tc>
        <w:tc>
          <w:tcPr>
            <w:tcW w:w="2547" w:type="dxa"/>
            <w:vAlign w:val="top"/>
          </w:tcPr>
          <w:p>
            <w:pPr>
              <w:ind w:left="19"/>
              <w:spacing w:before="159" w:line="228" w:lineRule="auto"/>
              <w:rPr>
                <w:rFonts w:ascii="SimSun" w:hAnsi="SimSun" w:eastAsia="SimSun" w:cs="SimSun"/>
                <w:sz w:val="20"/>
                <w:szCs w:val="20"/>
              </w:rPr>
            </w:pPr>
            <w:r>
              <w:rPr>
                <w:rFonts w:ascii="SimSun" w:hAnsi="SimSun" w:eastAsia="SimSun" w:cs="SimSun"/>
                <w:sz w:val="20"/>
                <w:szCs w:val="20"/>
                <w:spacing w:val="8"/>
              </w:rPr>
              <w:t>生境面积、质量、连通性等</w:t>
            </w:r>
          </w:p>
        </w:tc>
        <w:tc>
          <w:tcPr>
            <w:tcW w:w="2024" w:type="dxa"/>
            <w:vAlign w:val="top"/>
          </w:tcPr>
          <w:p>
            <w:pPr>
              <w:ind w:left="388"/>
              <w:spacing w:before="160" w:line="229" w:lineRule="auto"/>
              <w:rPr>
                <w:rFonts w:ascii="SimSun" w:hAnsi="SimSun" w:eastAsia="SimSun" w:cs="SimSun"/>
                <w:sz w:val="20"/>
                <w:szCs w:val="20"/>
              </w:rPr>
            </w:pPr>
            <w:r>
              <w:rPr>
                <w:rFonts w:ascii="SimSun" w:hAnsi="SimSun" w:eastAsia="SimSun" w:cs="SimSun"/>
                <w:sz w:val="20"/>
                <w:szCs w:val="20"/>
                <w:spacing w:val="7"/>
              </w:rPr>
              <w:t>直接生态影响</w:t>
            </w:r>
          </w:p>
        </w:tc>
        <w:tc>
          <w:tcPr>
            <w:tcW w:w="1319" w:type="dxa"/>
            <w:vAlign w:val="top"/>
          </w:tcPr>
          <w:p>
            <w:pPr>
              <w:ind w:left="141"/>
              <w:spacing w:before="160" w:line="228" w:lineRule="auto"/>
              <w:rPr>
                <w:rFonts w:ascii="SimSun" w:hAnsi="SimSun" w:eastAsia="SimSun" w:cs="SimSun"/>
                <w:sz w:val="20"/>
                <w:szCs w:val="20"/>
              </w:rPr>
            </w:pPr>
            <w:r>
              <w:rPr>
                <w:rFonts w:ascii="SimSun" w:hAnsi="SimSun" w:eastAsia="SimSun" w:cs="SimSun"/>
                <w:sz w:val="20"/>
                <w:szCs w:val="20"/>
                <w:spacing w:val="7"/>
              </w:rPr>
              <w:t>短期、可逆</w:t>
            </w:r>
          </w:p>
        </w:tc>
        <w:tc>
          <w:tcPr>
            <w:tcW w:w="1593" w:type="dxa"/>
            <w:vAlign w:val="top"/>
          </w:tcPr>
          <w:p>
            <w:pPr>
              <w:ind w:left="702"/>
              <w:spacing w:before="160" w:line="229" w:lineRule="auto"/>
              <w:rPr>
                <w:rFonts w:ascii="SimSun" w:hAnsi="SimSun" w:eastAsia="SimSun" w:cs="SimSun"/>
                <w:sz w:val="20"/>
                <w:szCs w:val="20"/>
              </w:rPr>
            </w:pPr>
            <w:r>
              <w:rPr>
                <w:rFonts w:ascii="SimSun" w:hAnsi="SimSun" w:eastAsia="SimSun" w:cs="SimSun"/>
                <w:sz w:val="20"/>
                <w:szCs w:val="20"/>
              </w:rPr>
              <w:t>弱</w:t>
            </w:r>
          </w:p>
        </w:tc>
      </w:tr>
      <w:tr>
        <w:trPr>
          <w:trHeight w:val="273" w:hRule="atLeast"/>
        </w:trPr>
        <w:tc>
          <w:tcPr>
            <w:tcW w:w="1629" w:type="dxa"/>
            <w:vAlign w:val="top"/>
          </w:tcPr>
          <w:p>
            <w:pPr>
              <w:ind w:left="400"/>
              <w:spacing w:before="29" w:line="216" w:lineRule="auto"/>
              <w:rPr>
                <w:rFonts w:ascii="SimSun" w:hAnsi="SimSun" w:eastAsia="SimSun" w:cs="SimSun"/>
                <w:sz w:val="20"/>
                <w:szCs w:val="20"/>
              </w:rPr>
            </w:pPr>
            <w:r>
              <w:rPr>
                <w:rFonts w:ascii="SimSun" w:hAnsi="SimSun" w:eastAsia="SimSun" w:cs="SimSun"/>
                <w:sz w:val="20"/>
                <w:szCs w:val="20"/>
                <w:spacing w:val="6"/>
              </w:rPr>
              <w:t>生物群落</w:t>
            </w:r>
          </w:p>
        </w:tc>
        <w:tc>
          <w:tcPr>
            <w:tcW w:w="2547" w:type="dxa"/>
            <w:vAlign w:val="top"/>
          </w:tcPr>
          <w:p>
            <w:pPr>
              <w:ind w:left="226"/>
              <w:spacing w:before="29" w:line="216" w:lineRule="auto"/>
              <w:rPr>
                <w:rFonts w:ascii="SimSun" w:hAnsi="SimSun" w:eastAsia="SimSun" w:cs="SimSun"/>
                <w:sz w:val="20"/>
                <w:szCs w:val="20"/>
              </w:rPr>
            </w:pPr>
            <w:r>
              <w:rPr>
                <w:rFonts w:ascii="SimSun" w:hAnsi="SimSun" w:eastAsia="SimSun" w:cs="SimSun"/>
                <w:sz w:val="20"/>
                <w:szCs w:val="20"/>
                <w:spacing w:val="8"/>
              </w:rPr>
              <w:t>物种组成、群落结构等</w:t>
            </w:r>
          </w:p>
        </w:tc>
        <w:tc>
          <w:tcPr>
            <w:tcW w:w="2024" w:type="dxa"/>
            <w:vAlign w:val="top"/>
          </w:tcPr>
          <w:p>
            <w:pPr>
              <w:ind w:left="388"/>
              <w:spacing w:before="29" w:line="216" w:lineRule="auto"/>
              <w:rPr>
                <w:rFonts w:ascii="SimSun" w:hAnsi="SimSun" w:eastAsia="SimSun" w:cs="SimSun"/>
                <w:sz w:val="20"/>
                <w:szCs w:val="20"/>
              </w:rPr>
            </w:pPr>
            <w:r>
              <w:rPr>
                <w:rFonts w:ascii="SimSun" w:hAnsi="SimSun" w:eastAsia="SimSun" w:cs="SimSun"/>
                <w:sz w:val="20"/>
                <w:szCs w:val="20"/>
                <w:spacing w:val="7"/>
              </w:rPr>
              <w:t>直接生态影响</w:t>
            </w:r>
          </w:p>
        </w:tc>
        <w:tc>
          <w:tcPr>
            <w:tcW w:w="1319" w:type="dxa"/>
            <w:vAlign w:val="top"/>
          </w:tcPr>
          <w:p>
            <w:pPr>
              <w:ind w:left="141"/>
              <w:spacing w:before="29" w:line="216" w:lineRule="auto"/>
              <w:rPr>
                <w:rFonts w:ascii="SimSun" w:hAnsi="SimSun" w:eastAsia="SimSun" w:cs="SimSun"/>
                <w:sz w:val="20"/>
                <w:szCs w:val="20"/>
              </w:rPr>
            </w:pPr>
            <w:r>
              <w:rPr>
                <w:rFonts w:ascii="SimSun" w:hAnsi="SimSun" w:eastAsia="SimSun" w:cs="SimSun"/>
                <w:sz w:val="20"/>
                <w:szCs w:val="20"/>
                <w:spacing w:val="7"/>
              </w:rPr>
              <w:t>短期、可逆</w:t>
            </w:r>
          </w:p>
        </w:tc>
        <w:tc>
          <w:tcPr>
            <w:tcW w:w="1593" w:type="dxa"/>
            <w:vAlign w:val="top"/>
          </w:tcPr>
          <w:p>
            <w:pPr>
              <w:ind w:left="702"/>
              <w:spacing w:before="29" w:line="216" w:lineRule="auto"/>
              <w:rPr>
                <w:rFonts w:ascii="SimSun" w:hAnsi="SimSun" w:eastAsia="SimSun" w:cs="SimSun"/>
                <w:sz w:val="20"/>
                <w:szCs w:val="20"/>
              </w:rPr>
            </w:pPr>
            <w:r>
              <w:rPr>
                <w:rFonts w:ascii="SimSun" w:hAnsi="SimSun" w:eastAsia="SimSun" w:cs="SimSun"/>
                <w:sz w:val="20"/>
                <w:szCs w:val="20"/>
              </w:rPr>
              <w:t>弱</w:t>
            </w:r>
          </w:p>
        </w:tc>
      </w:tr>
      <w:tr>
        <w:trPr>
          <w:trHeight w:val="543" w:hRule="atLeast"/>
        </w:trPr>
        <w:tc>
          <w:tcPr>
            <w:tcW w:w="1629" w:type="dxa"/>
            <w:vAlign w:val="top"/>
          </w:tcPr>
          <w:p>
            <w:pPr>
              <w:ind w:left="400"/>
              <w:spacing w:before="164" w:line="229" w:lineRule="auto"/>
              <w:rPr>
                <w:rFonts w:ascii="SimSun" w:hAnsi="SimSun" w:eastAsia="SimSun" w:cs="SimSun"/>
                <w:sz w:val="20"/>
                <w:szCs w:val="20"/>
              </w:rPr>
            </w:pPr>
            <w:r>
              <w:rPr>
                <w:rFonts w:ascii="SimSun" w:hAnsi="SimSun" w:eastAsia="SimSun" w:cs="SimSun"/>
                <w:sz w:val="20"/>
                <w:szCs w:val="20"/>
                <w:spacing w:val="6"/>
              </w:rPr>
              <w:t>生态系统</w:t>
            </w:r>
          </w:p>
        </w:tc>
        <w:tc>
          <w:tcPr>
            <w:tcW w:w="2547" w:type="dxa"/>
            <w:vAlign w:val="top"/>
          </w:tcPr>
          <w:p>
            <w:pPr>
              <w:ind w:left="329" w:right="14" w:hanging="311"/>
              <w:spacing w:before="30" w:line="232" w:lineRule="auto"/>
              <w:rPr>
                <w:rFonts w:ascii="SimSun" w:hAnsi="SimSun" w:eastAsia="SimSun" w:cs="SimSun"/>
                <w:sz w:val="20"/>
                <w:szCs w:val="20"/>
              </w:rPr>
            </w:pPr>
            <w:r>
              <w:rPr>
                <w:rFonts w:ascii="SimSun" w:hAnsi="SimSun" w:eastAsia="SimSun" w:cs="SimSun"/>
                <w:sz w:val="20"/>
                <w:szCs w:val="20"/>
                <w:spacing w:val="9"/>
              </w:rPr>
              <w:t>植被覆盖度、生产力、生物</w:t>
            </w:r>
            <w:r>
              <w:rPr>
                <w:rFonts w:ascii="SimSun" w:hAnsi="SimSun" w:eastAsia="SimSun" w:cs="SimSun"/>
                <w:sz w:val="20"/>
                <w:szCs w:val="20"/>
                <w:spacing w:val="8"/>
              </w:rPr>
              <w:t>量、生态系统功能等</w:t>
            </w:r>
          </w:p>
        </w:tc>
        <w:tc>
          <w:tcPr>
            <w:tcW w:w="2024" w:type="dxa"/>
            <w:vAlign w:val="top"/>
          </w:tcPr>
          <w:p>
            <w:pPr>
              <w:ind w:left="403"/>
              <w:spacing w:before="164" w:line="229" w:lineRule="auto"/>
              <w:rPr>
                <w:rFonts w:ascii="SimSun" w:hAnsi="SimSun" w:eastAsia="SimSun" w:cs="SimSun"/>
                <w:sz w:val="20"/>
                <w:szCs w:val="20"/>
              </w:rPr>
            </w:pPr>
            <w:r>
              <w:rPr>
                <w:rFonts w:ascii="SimSun" w:hAnsi="SimSun" w:eastAsia="SimSun" w:cs="SimSun"/>
                <w:sz w:val="20"/>
                <w:szCs w:val="20"/>
                <w:spacing w:val="5"/>
              </w:rPr>
              <w:t>间接生态影响</w:t>
            </w:r>
          </w:p>
        </w:tc>
        <w:tc>
          <w:tcPr>
            <w:tcW w:w="1319" w:type="dxa"/>
            <w:vAlign w:val="top"/>
          </w:tcPr>
          <w:p>
            <w:pPr>
              <w:ind w:left="141"/>
              <w:spacing w:before="164" w:line="228" w:lineRule="auto"/>
              <w:rPr>
                <w:rFonts w:ascii="SimSun" w:hAnsi="SimSun" w:eastAsia="SimSun" w:cs="SimSun"/>
                <w:sz w:val="20"/>
                <w:szCs w:val="20"/>
              </w:rPr>
            </w:pPr>
            <w:r>
              <w:rPr>
                <w:rFonts w:ascii="SimSun" w:hAnsi="SimSun" w:eastAsia="SimSun" w:cs="SimSun"/>
                <w:sz w:val="20"/>
                <w:szCs w:val="20"/>
                <w:spacing w:val="7"/>
              </w:rPr>
              <w:t>短期、可逆</w:t>
            </w:r>
          </w:p>
        </w:tc>
        <w:tc>
          <w:tcPr>
            <w:tcW w:w="1593" w:type="dxa"/>
            <w:vAlign w:val="top"/>
          </w:tcPr>
          <w:p>
            <w:pPr>
              <w:ind w:left="702"/>
              <w:spacing w:before="164" w:line="229" w:lineRule="auto"/>
              <w:rPr>
                <w:rFonts w:ascii="SimSun" w:hAnsi="SimSun" w:eastAsia="SimSun" w:cs="SimSun"/>
                <w:sz w:val="20"/>
                <w:szCs w:val="20"/>
              </w:rPr>
            </w:pPr>
            <w:r>
              <w:rPr>
                <w:rFonts w:ascii="SimSun" w:hAnsi="SimSun" w:eastAsia="SimSun" w:cs="SimSun"/>
                <w:sz w:val="20"/>
                <w:szCs w:val="20"/>
              </w:rPr>
              <w:t>弱</w:t>
            </w:r>
          </w:p>
        </w:tc>
      </w:tr>
      <w:tr>
        <w:trPr>
          <w:trHeight w:val="546" w:hRule="atLeast"/>
        </w:trPr>
        <w:tc>
          <w:tcPr>
            <w:tcW w:w="1629" w:type="dxa"/>
            <w:vAlign w:val="top"/>
          </w:tcPr>
          <w:p>
            <w:pPr>
              <w:ind w:left="292"/>
              <w:spacing w:before="165" w:line="228" w:lineRule="auto"/>
              <w:rPr>
                <w:rFonts w:ascii="SimSun" w:hAnsi="SimSun" w:eastAsia="SimSun" w:cs="SimSun"/>
                <w:sz w:val="20"/>
                <w:szCs w:val="20"/>
              </w:rPr>
            </w:pPr>
            <w:r>
              <w:rPr>
                <w:rFonts w:ascii="SimSun" w:hAnsi="SimSun" w:eastAsia="SimSun" w:cs="SimSun"/>
                <w:sz w:val="20"/>
                <w:szCs w:val="20"/>
                <w:spacing w:val="7"/>
              </w:rPr>
              <w:t>生物多样性</w:t>
            </w:r>
          </w:p>
        </w:tc>
        <w:tc>
          <w:tcPr>
            <w:tcW w:w="2547" w:type="dxa"/>
            <w:vAlign w:val="top"/>
          </w:tcPr>
          <w:p>
            <w:pPr>
              <w:ind w:left="18"/>
              <w:spacing w:before="31" w:line="228" w:lineRule="auto"/>
              <w:rPr>
                <w:rFonts w:ascii="SimSun" w:hAnsi="SimSun" w:eastAsia="SimSun" w:cs="SimSun"/>
                <w:sz w:val="20"/>
                <w:szCs w:val="20"/>
              </w:rPr>
            </w:pPr>
            <w:r>
              <w:rPr>
                <w:rFonts w:ascii="SimSun" w:hAnsi="SimSun" w:eastAsia="SimSun" w:cs="SimSun"/>
                <w:sz w:val="20"/>
                <w:szCs w:val="20"/>
                <w:spacing w:val="9"/>
              </w:rPr>
              <w:t>物种丰富度、均匀度、优势</w:t>
            </w:r>
          </w:p>
          <w:p>
            <w:pPr>
              <w:ind w:left="1066"/>
              <w:spacing w:before="25" w:line="215" w:lineRule="auto"/>
              <w:rPr>
                <w:rFonts w:ascii="SimSun" w:hAnsi="SimSun" w:eastAsia="SimSun" w:cs="SimSun"/>
                <w:sz w:val="20"/>
                <w:szCs w:val="20"/>
              </w:rPr>
            </w:pPr>
            <w:r>
              <w:rPr>
                <w:rFonts w:ascii="SimSun" w:hAnsi="SimSun" w:eastAsia="SimSun" w:cs="SimSun"/>
                <w:sz w:val="20"/>
                <w:szCs w:val="20"/>
                <w:spacing w:val="5"/>
              </w:rPr>
              <w:t>度等</w:t>
            </w:r>
          </w:p>
        </w:tc>
        <w:tc>
          <w:tcPr>
            <w:tcW w:w="2024" w:type="dxa"/>
            <w:vAlign w:val="top"/>
          </w:tcPr>
          <w:p>
            <w:pPr>
              <w:ind w:left="403"/>
              <w:spacing w:before="165" w:line="229" w:lineRule="auto"/>
              <w:rPr>
                <w:rFonts w:ascii="SimSun" w:hAnsi="SimSun" w:eastAsia="SimSun" w:cs="SimSun"/>
                <w:sz w:val="20"/>
                <w:szCs w:val="20"/>
              </w:rPr>
            </w:pPr>
            <w:r>
              <w:rPr>
                <w:rFonts w:ascii="SimSun" w:hAnsi="SimSun" w:eastAsia="SimSun" w:cs="SimSun"/>
                <w:sz w:val="20"/>
                <w:szCs w:val="20"/>
                <w:spacing w:val="5"/>
              </w:rPr>
              <w:t>间接生态影响</w:t>
            </w:r>
          </w:p>
        </w:tc>
        <w:tc>
          <w:tcPr>
            <w:tcW w:w="1319" w:type="dxa"/>
            <w:vAlign w:val="top"/>
          </w:tcPr>
          <w:p>
            <w:pPr>
              <w:ind w:left="141"/>
              <w:spacing w:before="166" w:line="228" w:lineRule="auto"/>
              <w:rPr>
                <w:rFonts w:ascii="SimSun" w:hAnsi="SimSun" w:eastAsia="SimSun" w:cs="SimSun"/>
                <w:sz w:val="20"/>
                <w:szCs w:val="20"/>
              </w:rPr>
            </w:pPr>
            <w:r>
              <w:rPr>
                <w:rFonts w:ascii="SimSun" w:hAnsi="SimSun" w:eastAsia="SimSun" w:cs="SimSun"/>
                <w:sz w:val="20"/>
                <w:szCs w:val="20"/>
                <w:spacing w:val="7"/>
              </w:rPr>
              <w:t>短期、可逆</w:t>
            </w:r>
          </w:p>
        </w:tc>
        <w:tc>
          <w:tcPr>
            <w:tcW w:w="1593" w:type="dxa"/>
            <w:vAlign w:val="top"/>
          </w:tcPr>
          <w:p>
            <w:pPr>
              <w:ind w:left="702"/>
              <w:spacing w:before="165" w:line="229" w:lineRule="auto"/>
              <w:rPr>
                <w:rFonts w:ascii="SimSun" w:hAnsi="SimSun" w:eastAsia="SimSun" w:cs="SimSun"/>
                <w:sz w:val="20"/>
                <w:szCs w:val="20"/>
              </w:rPr>
            </w:pPr>
            <w:r>
              <w:rPr>
                <w:rFonts w:ascii="SimSun" w:hAnsi="SimSun" w:eastAsia="SimSun" w:cs="SimSun"/>
                <w:sz w:val="20"/>
                <w:szCs w:val="20"/>
              </w:rPr>
              <w:t>弱</w:t>
            </w:r>
          </w:p>
        </w:tc>
      </w:tr>
    </w:tbl>
    <w:p>
      <w:pPr>
        <w:pStyle w:val="BodyText"/>
        <w:spacing w:line="362" w:lineRule="auto"/>
        <w:rPr/>
      </w:pPr>
      <w:r/>
    </w:p>
    <w:p>
      <w:pPr>
        <w:ind w:left="38"/>
        <w:spacing w:before="97" w:line="221" w:lineRule="auto"/>
        <w:outlineLvl w:val="1"/>
        <w:rPr>
          <w:rFonts w:ascii="SimHei" w:hAnsi="SimHei" w:eastAsia="SimHei" w:cs="SimHei"/>
          <w:sz w:val="30"/>
          <w:szCs w:val="30"/>
        </w:rPr>
      </w:pPr>
      <w:bookmarkStart w:name="bookmark13" w:id="22"/>
      <w:bookmarkEnd w:id="22"/>
      <w:r>
        <w:rPr>
          <w:rFonts w:ascii="Times New Roman" w:hAnsi="Times New Roman" w:eastAsia="Times New Roman" w:cs="Times New Roman"/>
          <w:sz w:val="30"/>
          <w:szCs w:val="30"/>
          <w:b/>
          <w:bCs/>
          <w:spacing w:val="-2"/>
        </w:rPr>
        <w:t>2.5  </w:t>
      </w:r>
      <w:r>
        <w:rPr>
          <w:rFonts w:ascii="SimHei" w:hAnsi="SimHei" w:eastAsia="SimHei" w:cs="SimHei"/>
          <w:sz w:val="30"/>
          <w:szCs w:val="30"/>
          <w:b/>
          <w:bCs/>
          <w:spacing w:val="-2"/>
        </w:rPr>
        <w:t>评价等级与评价范围</w:t>
      </w:r>
    </w:p>
    <w:p>
      <w:pPr>
        <w:ind w:left="40" w:right="45" w:firstLine="480"/>
        <w:spacing w:before="162" w:line="340" w:lineRule="auto"/>
        <w:jc w:val="both"/>
        <w:rPr>
          <w:rFonts w:ascii="SimSun" w:hAnsi="SimSun" w:eastAsia="SimSun" w:cs="SimSun"/>
          <w:sz w:val="24"/>
          <w:szCs w:val="24"/>
        </w:rPr>
      </w:pPr>
      <w:r>
        <w:rPr>
          <w:rFonts w:ascii="SimSun" w:hAnsi="SimSun" w:eastAsia="SimSun" w:cs="SimSun"/>
          <w:sz w:val="24"/>
          <w:szCs w:val="24"/>
          <w:spacing w:val="12"/>
        </w:rPr>
        <w:t>根据相关的《环境影响评价技术导则》和《建设项目环境风险评价技术</w:t>
      </w:r>
      <w:r>
        <w:rPr>
          <w:rFonts w:ascii="SimSun" w:hAnsi="SimSun" w:eastAsia="SimSun" w:cs="SimSun"/>
          <w:sz w:val="24"/>
          <w:szCs w:val="24"/>
          <w:spacing w:val="11"/>
        </w:rPr>
        <w:t>导则》</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HJ169-2018</w:t>
      </w:r>
      <w:r>
        <w:rPr>
          <w:rFonts w:ascii="SimSun" w:hAnsi="SimSun" w:eastAsia="SimSun" w:cs="SimSun"/>
          <w:sz w:val="24"/>
          <w:szCs w:val="24"/>
          <w:spacing w:val="-1"/>
        </w:rPr>
        <w:t>）中有关评价工作等级划分规定，结合本项目地区地形和环境保护</w:t>
      </w:r>
      <w:r>
        <w:rPr>
          <w:rFonts w:ascii="SimSun" w:hAnsi="SimSun" w:eastAsia="SimSun" w:cs="SimSun"/>
          <w:sz w:val="24"/>
          <w:szCs w:val="24"/>
          <w:spacing w:val="-2"/>
        </w:rPr>
        <w:t>目标分</w:t>
      </w:r>
      <w:r>
        <w:rPr>
          <w:rFonts w:ascii="SimSun" w:hAnsi="SimSun" w:eastAsia="SimSun" w:cs="SimSun"/>
          <w:sz w:val="24"/>
          <w:szCs w:val="24"/>
          <w:spacing w:val="-1"/>
        </w:rPr>
        <w:t>布情况，各环境要素确定评价工作等级及评价范围。</w:t>
      </w:r>
    </w:p>
    <w:p>
      <w:pPr>
        <w:ind w:left="37"/>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2.5.1  </w:t>
      </w:r>
      <w:r>
        <w:rPr>
          <w:rFonts w:ascii="SimHei" w:hAnsi="SimHei" w:eastAsia="SimHei" w:cs="SimHei"/>
          <w:sz w:val="28"/>
          <w:szCs w:val="28"/>
          <w:b/>
          <w:bCs/>
          <w:spacing w:val="-2"/>
        </w:rPr>
        <w:t>环境空气评价等级与评价范围</w:t>
      </w:r>
    </w:p>
    <w:p>
      <w:pPr>
        <w:ind w:left="523"/>
        <w:spacing w:before="169" w:line="218" w:lineRule="auto"/>
        <w:rPr>
          <w:rFonts w:ascii="SimSun" w:hAnsi="SimSun" w:eastAsia="SimSun" w:cs="SimSun"/>
          <w:sz w:val="24"/>
          <w:szCs w:val="24"/>
        </w:rPr>
      </w:pPr>
      <w:r>
        <w:rPr>
          <w:rFonts w:ascii="SimSun" w:hAnsi="SimSun" w:eastAsia="SimSun" w:cs="SimSun"/>
          <w:sz w:val="24"/>
          <w:szCs w:val="24"/>
          <w:spacing w:val="-1"/>
        </w:rPr>
        <w:t>大气环境影响评价估算模型参数见表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2-5-1</w:t>
      </w:r>
      <w:r>
        <w:rPr>
          <w:rFonts w:ascii="SimSun" w:hAnsi="SimSun" w:eastAsia="SimSun" w:cs="SimSun"/>
          <w:sz w:val="24"/>
          <w:szCs w:val="24"/>
          <w:spacing w:val="-1"/>
        </w:rPr>
        <w:t>。</w:t>
      </w:r>
    </w:p>
    <w:p>
      <w:pPr>
        <w:ind w:left="3734"/>
        <w:spacing w:before="285" w:line="222" w:lineRule="auto"/>
        <w:rPr>
          <w:rFonts w:ascii="SimHei" w:hAnsi="SimHei" w:eastAsia="SimHei" w:cs="SimHei"/>
          <w:sz w:val="24"/>
          <w:szCs w:val="24"/>
        </w:rPr>
      </w:pPr>
      <w:r>
        <w:rPr>
          <w:rFonts w:ascii="SimHei" w:hAnsi="SimHei" w:eastAsia="SimHei" w:cs="SimHei"/>
          <w:sz w:val="24"/>
          <w:szCs w:val="24"/>
          <w:spacing w:val="-2"/>
        </w:rPr>
        <w:t>估算模型参数表</w:t>
      </w:r>
    </w:p>
    <w:p>
      <w:pPr>
        <w:ind w:left="38"/>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2-5-1</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21"/>
        <w:gridCol w:w="98"/>
        <w:gridCol w:w="4639"/>
        <w:gridCol w:w="2173"/>
      </w:tblGrid>
      <w:tr>
        <w:trPr>
          <w:trHeight w:val="283" w:hRule="atLeast"/>
        </w:trPr>
        <w:tc>
          <w:tcPr>
            <w:tcW w:w="6958" w:type="dxa"/>
            <w:vAlign w:val="top"/>
            <w:gridSpan w:val="3"/>
          </w:tcPr>
          <w:p>
            <w:pPr>
              <w:ind w:left="3276"/>
              <w:spacing w:before="33" w:line="221" w:lineRule="auto"/>
              <w:rPr>
                <w:rFonts w:ascii="SimSun" w:hAnsi="SimSun" w:eastAsia="SimSun" w:cs="SimSun"/>
                <w:sz w:val="20"/>
                <w:szCs w:val="20"/>
              </w:rPr>
            </w:pPr>
            <w:r>
              <w:rPr>
                <w:rFonts w:ascii="SimSun" w:hAnsi="SimSun" w:eastAsia="SimSun" w:cs="SimSun"/>
                <w:sz w:val="20"/>
                <w:szCs w:val="20"/>
                <w:spacing w:val="3"/>
              </w:rPr>
              <w:t>参数</w:t>
            </w:r>
          </w:p>
        </w:tc>
        <w:tc>
          <w:tcPr>
            <w:tcW w:w="2173" w:type="dxa"/>
            <w:vAlign w:val="top"/>
          </w:tcPr>
          <w:p>
            <w:pPr>
              <w:ind w:left="883"/>
              <w:spacing w:before="33" w:line="221" w:lineRule="auto"/>
              <w:rPr>
                <w:rFonts w:ascii="SimSun" w:hAnsi="SimSun" w:eastAsia="SimSun" w:cs="SimSun"/>
                <w:sz w:val="20"/>
                <w:szCs w:val="20"/>
              </w:rPr>
            </w:pPr>
            <w:r>
              <w:rPr>
                <w:rFonts w:ascii="SimSun" w:hAnsi="SimSun" w:eastAsia="SimSun" w:cs="SimSun"/>
                <w:sz w:val="20"/>
                <w:szCs w:val="20"/>
                <w:spacing w:val="3"/>
              </w:rPr>
              <w:t>取值</w:t>
            </w:r>
          </w:p>
        </w:tc>
      </w:tr>
      <w:tr>
        <w:trPr>
          <w:trHeight w:val="278" w:hRule="atLeast"/>
        </w:trPr>
        <w:tc>
          <w:tcPr>
            <w:tcW w:w="2319" w:type="dxa"/>
            <w:vAlign w:val="top"/>
            <w:gridSpan w:val="2"/>
            <w:vMerge w:val="restart"/>
            <w:tcBorders>
              <w:bottom w:val="nil"/>
            </w:tcBorders>
          </w:tcPr>
          <w:p>
            <w:pPr>
              <w:pStyle w:val="TableText"/>
              <w:ind w:left="507"/>
              <w:spacing w:before="170" w:line="227" w:lineRule="auto"/>
              <w:rPr>
                <w:rFonts w:ascii="SimSun" w:hAnsi="SimSun" w:eastAsia="SimSun" w:cs="SimSun"/>
              </w:rPr>
            </w:pPr>
            <w:r>
              <w:rPr>
                <w:rFonts w:ascii="SimSun" w:hAnsi="SimSun" w:eastAsia="SimSun" w:cs="SimSun"/>
                <w:spacing w:val="7"/>
              </w:rPr>
              <w:t>城市</w:t>
            </w:r>
            <w:r>
              <w:rPr>
                <w:spacing w:val="7"/>
              </w:rPr>
              <w:t>/</w:t>
            </w:r>
            <w:r>
              <w:rPr>
                <w:rFonts w:ascii="SimSun" w:hAnsi="SimSun" w:eastAsia="SimSun" w:cs="SimSun"/>
                <w:spacing w:val="7"/>
              </w:rPr>
              <w:t>农村选项</w:t>
            </w:r>
          </w:p>
        </w:tc>
        <w:tc>
          <w:tcPr>
            <w:tcW w:w="4639" w:type="dxa"/>
            <w:vAlign w:val="top"/>
          </w:tcPr>
          <w:p>
            <w:pPr>
              <w:pStyle w:val="TableText"/>
              <w:ind w:left="1876"/>
              <w:spacing w:before="28" w:line="221" w:lineRule="auto"/>
              <w:rPr>
                <w:rFonts w:ascii="SimSun" w:hAnsi="SimSun" w:eastAsia="SimSun" w:cs="SimSun"/>
              </w:rPr>
            </w:pPr>
            <w:r>
              <w:rPr>
                <w:rFonts w:ascii="SimSun" w:hAnsi="SimSun" w:eastAsia="SimSun" w:cs="SimSun"/>
                <w:spacing w:val="6"/>
              </w:rPr>
              <w:t>城市</w:t>
            </w:r>
            <w:r>
              <w:rPr>
                <w:spacing w:val="6"/>
              </w:rPr>
              <w:t>/</w:t>
            </w:r>
            <w:r>
              <w:rPr>
                <w:rFonts w:ascii="SimSun" w:hAnsi="SimSun" w:eastAsia="SimSun" w:cs="SimSun"/>
                <w:spacing w:val="6"/>
              </w:rPr>
              <w:t>农村</w:t>
            </w:r>
          </w:p>
        </w:tc>
        <w:tc>
          <w:tcPr>
            <w:tcW w:w="2173" w:type="dxa"/>
            <w:vAlign w:val="top"/>
          </w:tcPr>
          <w:p>
            <w:pPr>
              <w:ind w:left="881"/>
              <w:spacing w:before="28" w:line="221" w:lineRule="auto"/>
              <w:rPr>
                <w:rFonts w:ascii="SimSun" w:hAnsi="SimSun" w:eastAsia="SimSun" w:cs="SimSun"/>
                <w:sz w:val="20"/>
                <w:szCs w:val="20"/>
              </w:rPr>
            </w:pPr>
            <w:r>
              <w:rPr>
                <w:rFonts w:ascii="SimSun" w:hAnsi="SimSun" w:eastAsia="SimSun" w:cs="SimSun"/>
                <w:sz w:val="20"/>
                <w:szCs w:val="20"/>
                <w:spacing w:val="4"/>
              </w:rPr>
              <w:t>农村</w:t>
            </w:r>
          </w:p>
        </w:tc>
      </w:tr>
      <w:tr>
        <w:trPr>
          <w:trHeight w:val="278" w:hRule="atLeast"/>
        </w:trPr>
        <w:tc>
          <w:tcPr>
            <w:tcW w:w="2319" w:type="dxa"/>
            <w:vAlign w:val="top"/>
            <w:gridSpan w:val="2"/>
            <w:vMerge w:val="continue"/>
            <w:tcBorders>
              <w:top w:val="nil"/>
            </w:tcBorders>
          </w:tcPr>
          <w:p>
            <w:pPr>
              <w:rPr>
                <w:rFonts w:ascii="Arial"/>
                <w:sz w:val="21"/>
              </w:rPr>
            </w:pPr>
            <w:r/>
          </w:p>
        </w:tc>
        <w:tc>
          <w:tcPr>
            <w:tcW w:w="4639" w:type="dxa"/>
            <w:vAlign w:val="top"/>
          </w:tcPr>
          <w:p>
            <w:pPr>
              <w:ind w:left="1276"/>
              <w:spacing w:before="26" w:line="223" w:lineRule="auto"/>
              <w:rPr>
                <w:rFonts w:ascii="SimSun" w:hAnsi="SimSun" w:eastAsia="SimSun" w:cs="SimSun"/>
                <w:sz w:val="20"/>
                <w:szCs w:val="20"/>
              </w:rPr>
            </w:pPr>
            <w:r>
              <w:rPr>
                <w:rFonts w:ascii="SimSun" w:hAnsi="SimSun" w:eastAsia="SimSun" w:cs="SimSun"/>
                <w:sz w:val="20"/>
                <w:szCs w:val="20"/>
                <w:spacing w:val="7"/>
              </w:rPr>
              <w:t>人口数（城市选项时）</w:t>
            </w:r>
          </w:p>
        </w:tc>
        <w:tc>
          <w:tcPr>
            <w:tcW w:w="2173" w:type="dxa"/>
            <w:vAlign w:val="top"/>
          </w:tcPr>
          <w:p>
            <w:pPr>
              <w:pStyle w:val="TableText"/>
              <w:ind w:left="1053"/>
              <w:spacing w:before="61" w:line="199" w:lineRule="auto"/>
              <w:rPr/>
            </w:pPr>
            <w:r>
              <w:rPr>
                <w:spacing w:val="2"/>
              </w:rPr>
              <w:t>/</w:t>
            </w:r>
          </w:p>
        </w:tc>
      </w:tr>
      <w:tr>
        <w:trPr>
          <w:trHeight w:val="275" w:hRule="atLeast"/>
        </w:trPr>
        <w:tc>
          <w:tcPr>
            <w:tcW w:w="6958" w:type="dxa"/>
            <w:vAlign w:val="top"/>
            <w:gridSpan w:val="3"/>
          </w:tcPr>
          <w:p>
            <w:pPr>
              <w:ind w:left="2856"/>
              <w:spacing w:before="29" w:line="217" w:lineRule="auto"/>
              <w:rPr>
                <w:rFonts w:ascii="SimSun" w:hAnsi="SimSun" w:eastAsia="SimSun" w:cs="SimSun"/>
                <w:sz w:val="20"/>
                <w:szCs w:val="20"/>
              </w:rPr>
            </w:pPr>
            <w:r>
              <w:rPr>
                <w:rFonts w:ascii="SimSun" w:hAnsi="SimSun" w:eastAsia="SimSun" w:cs="SimSun"/>
                <w:sz w:val="20"/>
                <w:szCs w:val="20"/>
                <w:spacing w:val="7"/>
              </w:rPr>
              <w:t>最高环境温度</w:t>
            </w:r>
          </w:p>
        </w:tc>
        <w:tc>
          <w:tcPr>
            <w:tcW w:w="2173" w:type="dxa"/>
            <w:vAlign w:val="top"/>
          </w:tcPr>
          <w:p>
            <w:pPr>
              <w:pStyle w:val="TableText"/>
              <w:ind w:left="871"/>
              <w:spacing w:before="65" w:line="195" w:lineRule="auto"/>
              <w:rPr/>
            </w:pPr>
            <w:r>
              <w:rPr>
                <w:spacing w:val="5"/>
              </w:rPr>
              <w:t>40℃</w:t>
            </w:r>
          </w:p>
        </w:tc>
      </w:tr>
      <w:tr>
        <w:trPr>
          <w:trHeight w:val="278" w:hRule="atLeast"/>
        </w:trPr>
        <w:tc>
          <w:tcPr>
            <w:tcW w:w="6958" w:type="dxa"/>
            <w:vAlign w:val="top"/>
            <w:gridSpan w:val="3"/>
          </w:tcPr>
          <w:p>
            <w:pPr>
              <w:ind w:left="2856"/>
              <w:spacing w:before="32" w:line="217" w:lineRule="auto"/>
              <w:rPr>
                <w:rFonts w:ascii="SimSun" w:hAnsi="SimSun" w:eastAsia="SimSun" w:cs="SimSun"/>
                <w:sz w:val="20"/>
                <w:szCs w:val="20"/>
              </w:rPr>
            </w:pPr>
            <w:r>
              <w:rPr>
                <w:rFonts w:ascii="SimSun" w:hAnsi="SimSun" w:eastAsia="SimSun" w:cs="SimSun"/>
                <w:sz w:val="20"/>
                <w:szCs w:val="20"/>
                <w:spacing w:val="7"/>
              </w:rPr>
              <w:t>最低环境温度</w:t>
            </w:r>
          </w:p>
        </w:tc>
        <w:tc>
          <w:tcPr>
            <w:tcW w:w="2173" w:type="dxa"/>
            <w:vAlign w:val="top"/>
          </w:tcPr>
          <w:p>
            <w:pPr>
              <w:pStyle w:val="TableText"/>
              <w:ind w:left="766"/>
              <w:spacing w:before="68" w:line="195" w:lineRule="auto"/>
              <w:rPr/>
            </w:pPr>
            <w:r>
              <w:rPr>
                <w:spacing w:val="3"/>
              </w:rPr>
              <w:t>-40.7℃</w:t>
            </w:r>
          </w:p>
        </w:tc>
      </w:tr>
      <w:tr>
        <w:trPr>
          <w:trHeight w:val="280" w:hRule="atLeast"/>
        </w:trPr>
        <w:tc>
          <w:tcPr>
            <w:tcW w:w="6958" w:type="dxa"/>
            <w:vAlign w:val="top"/>
            <w:gridSpan w:val="3"/>
          </w:tcPr>
          <w:p>
            <w:pPr>
              <w:ind w:left="2855"/>
              <w:spacing w:before="32" w:line="219" w:lineRule="auto"/>
              <w:rPr>
                <w:rFonts w:ascii="SimSun" w:hAnsi="SimSun" w:eastAsia="SimSun" w:cs="SimSun"/>
                <w:sz w:val="20"/>
                <w:szCs w:val="20"/>
              </w:rPr>
            </w:pPr>
            <w:r>
              <w:rPr>
                <w:rFonts w:ascii="SimSun" w:hAnsi="SimSun" w:eastAsia="SimSun" w:cs="SimSun"/>
                <w:sz w:val="20"/>
                <w:szCs w:val="20"/>
                <w:spacing w:val="8"/>
              </w:rPr>
              <w:t>土地利用类型</w:t>
            </w:r>
          </w:p>
        </w:tc>
        <w:tc>
          <w:tcPr>
            <w:tcW w:w="2173" w:type="dxa"/>
            <w:vAlign w:val="top"/>
          </w:tcPr>
          <w:p>
            <w:pPr>
              <w:ind w:left="882"/>
              <w:spacing w:before="32" w:line="219" w:lineRule="auto"/>
              <w:rPr>
                <w:rFonts w:ascii="SimSun" w:hAnsi="SimSun" w:eastAsia="SimSun" w:cs="SimSun"/>
                <w:sz w:val="20"/>
                <w:szCs w:val="20"/>
              </w:rPr>
            </w:pPr>
            <w:r>
              <w:rPr>
                <w:rFonts w:ascii="SimSun" w:hAnsi="SimSun" w:eastAsia="SimSun" w:cs="SimSun"/>
                <w:sz w:val="20"/>
                <w:szCs w:val="20"/>
                <w:spacing w:val="3"/>
              </w:rPr>
              <w:t>草地</w:t>
            </w:r>
          </w:p>
        </w:tc>
      </w:tr>
      <w:tr>
        <w:trPr>
          <w:trHeight w:val="282" w:hRule="atLeast"/>
        </w:trPr>
        <w:tc>
          <w:tcPr>
            <w:tcW w:w="6958" w:type="dxa"/>
            <w:vAlign w:val="top"/>
            <w:gridSpan w:val="3"/>
          </w:tcPr>
          <w:p>
            <w:pPr>
              <w:ind w:left="2869"/>
              <w:spacing w:before="33" w:line="220" w:lineRule="auto"/>
              <w:rPr>
                <w:rFonts w:ascii="SimSun" w:hAnsi="SimSun" w:eastAsia="SimSun" w:cs="SimSun"/>
                <w:sz w:val="20"/>
                <w:szCs w:val="20"/>
              </w:rPr>
            </w:pPr>
            <w:r>
              <w:rPr>
                <w:rFonts w:ascii="SimSun" w:hAnsi="SimSun" w:eastAsia="SimSun" w:cs="SimSun"/>
                <w:sz w:val="20"/>
                <w:szCs w:val="20"/>
                <w:spacing w:val="5"/>
              </w:rPr>
              <w:t>区域湿度条件</w:t>
            </w:r>
          </w:p>
        </w:tc>
        <w:tc>
          <w:tcPr>
            <w:tcW w:w="2173" w:type="dxa"/>
            <w:vAlign w:val="top"/>
          </w:tcPr>
          <w:p>
            <w:pPr>
              <w:ind w:left="691"/>
              <w:spacing w:before="33" w:line="220" w:lineRule="auto"/>
              <w:rPr>
                <w:rFonts w:ascii="SimSun" w:hAnsi="SimSun" w:eastAsia="SimSun" w:cs="SimSun"/>
                <w:sz w:val="20"/>
                <w:szCs w:val="20"/>
              </w:rPr>
            </w:pPr>
            <w:r>
              <w:rPr>
                <w:rFonts w:ascii="SimSun" w:hAnsi="SimSun" w:eastAsia="SimSun" w:cs="SimSun"/>
                <w:sz w:val="20"/>
                <w:szCs w:val="20"/>
                <w:spacing w:val="2"/>
              </w:rPr>
              <w:t>中等湿度</w:t>
            </w:r>
          </w:p>
        </w:tc>
      </w:tr>
      <w:tr>
        <w:trPr>
          <w:trHeight w:val="278" w:hRule="atLeast"/>
        </w:trPr>
        <w:tc>
          <w:tcPr>
            <w:tcW w:w="2221" w:type="dxa"/>
            <w:vAlign w:val="top"/>
            <w:vMerge w:val="restart"/>
            <w:tcBorders>
              <w:bottom w:val="nil"/>
            </w:tcBorders>
          </w:tcPr>
          <w:p>
            <w:pPr>
              <w:ind w:left="277"/>
              <w:spacing w:before="171" w:line="227" w:lineRule="auto"/>
              <w:rPr>
                <w:rFonts w:ascii="SimSun" w:hAnsi="SimSun" w:eastAsia="SimSun" w:cs="SimSun"/>
                <w:sz w:val="20"/>
                <w:szCs w:val="20"/>
              </w:rPr>
            </w:pPr>
            <w:r>
              <w:rPr>
                <w:rFonts w:ascii="SimSun" w:hAnsi="SimSun" w:eastAsia="SimSun" w:cs="SimSun"/>
                <w:sz w:val="20"/>
                <w:szCs w:val="20"/>
                <w:spacing w:val="8"/>
              </w:rPr>
              <w:t>是否考虑地形条件</w:t>
            </w:r>
          </w:p>
        </w:tc>
        <w:tc>
          <w:tcPr>
            <w:tcW w:w="4737" w:type="dxa"/>
            <w:vAlign w:val="top"/>
            <w:gridSpan w:val="2"/>
          </w:tcPr>
          <w:p>
            <w:pPr>
              <w:ind w:left="1953"/>
              <w:spacing w:before="31" w:line="218" w:lineRule="auto"/>
              <w:rPr>
                <w:rFonts w:ascii="SimSun" w:hAnsi="SimSun" w:eastAsia="SimSun" w:cs="SimSun"/>
                <w:sz w:val="20"/>
                <w:szCs w:val="20"/>
              </w:rPr>
            </w:pPr>
            <w:r>
              <w:rPr>
                <w:rFonts w:ascii="SimSun" w:hAnsi="SimSun" w:eastAsia="SimSun" w:cs="SimSun"/>
                <w:sz w:val="20"/>
                <w:szCs w:val="20"/>
                <w:spacing w:val="7"/>
              </w:rPr>
              <w:t>考虑地形</w:t>
            </w:r>
          </w:p>
        </w:tc>
        <w:tc>
          <w:tcPr>
            <w:tcW w:w="2173" w:type="dxa"/>
            <w:vAlign w:val="top"/>
          </w:tcPr>
          <w:p>
            <w:pPr>
              <w:pStyle w:val="TableText"/>
              <w:ind w:left="721"/>
              <w:spacing w:before="31" w:line="218" w:lineRule="auto"/>
              <w:rPr>
                <w:rFonts w:ascii="SimSun" w:hAnsi="SimSun" w:eastAsia="SimSun" w:cs="SimSun"/>
              </w:rPr>
            </w:pPr>
            <w:r>
              <w:rPr>
                <w:rFonts w:ascii="MS UI Gothic" w:hAnsi="MS UI Gothic" w:eastAsia="MS UI Gothic" w:cs="MS UI Gothic"/>
                <w:spacing w:val="4"/>
              </w:rPr>
              <w:t>☑</w:t>
            </w:r>
            <w:r>
              <w:rPr>
                <w:rFonts w:ascii="SimSun" w:hAnsi="SimSun" w:eastAsia="SimSun" w:cs="SimSun"/>
                <w:spacing w:val="4"/>
              </w:rPr>
              <w:t>是</w:t>
            </w:r>
            <w:r>
              <w:rPr>
                <w:spacing w:val="4"/>
              </w:rPr>
              <w:t>□</w:t>
            </w:r>
            <w:r>
              <w:rPr>
                <w:rFonts w:ascii="SimSun" w:hAnsi="SimSun" w:eastAsia="SimSun" w:cs="SimSun"/>
                <w:spacing w:val="4"/>
              </w:rPr>
              <w:t>否</w:t>
            </w:r>
          </w:p>
        </w:tc>
      </w:tr>
      <w:tr>
        <w:trPr>
          <w:trHeight w:val="275" w:hRule="atLeast"/>
        </w:trPr>
        <w:tc>
          <w:tcPr>
            <w:tcW w:w="2221" w:type="dxa"/>
            <w:vAlign w:val="top"/>
            <w:vMerge w:val="continue"/>
            <w:tcBorders>
              <w:top w:val="nil"/>
            </w:tcBorders>
          </w:tcPr>
          <w:p>
            <w:pPr>
              <w:rPr>
                <w:rFonts w:ascii="Arial"/>
                <w:sz w:val="21"/>
              </w:rPr>
            </w:pPr>
            <w:r/>
          </w:p>
        </w:tc>
        <w:tc>
          <w:tcPr>
            <w:tcW w:w="4737" w:type="dxa"/>
            <w:vAlign w:val="top"/>
            <w:gridSpan w:val="2"/>
          </w:tcPr>
          <w:p>
            <w:pPr>
              <w:pStyle w:val="TableText"/>
              <w:ind w:left="1526"/>
              <w:spacing w:before="29" w:line="217" w:lineRule="auto"/>
              <w:rPr/>
            </w:pPr>
            <w:r>
              <w:rPr>
                <w:rFonts w:ascii="SimSun" w:hAnsi="SimSun" w:eastAsia="SimSun" w:cs="SimSun"/>
                <w:spacing w:val="7"/>
              </w:rPr>
              <w:t>地形数据分别率</w:t>
            </w:r>
            <w:r>
              <w:rPr>
                <w:spacing w:val="7"/>
              </w:rPr>
              <w:t>/m</w:t>
            </w:r>
          </w:p>
        </w:tc>
        <w:tc>
          <w:tcPr>
            <w:tcW w:w="2173" w:type="dxa"/>
            <w:vAlign w:val="top"/>
          </w:tcPr>
          <w:p>
            <w:pPr>
              <w:pStyle w:val="TableText"/>
              <w:ind w:left="984"/>
              <w:spacing w:before="65" w:line="195" w:lineRule="auto"/>
              <w:rPr/>
            </w:pPr>
            <w:r>
              <w:rPr>
                <w:spacing w:val="2"/>
              </w:rPr>
              <w:t>90</w:t>
            </w:r>
          </w:p>
        </w:tc>
      </w:tr>
      <w:tr>
        <w:trPr>
          <w:trHeight w:val="278" w:hRule="atLeast"/>
        </w:trPr>
        <w:tc>
          <w:tcPr>
            <w:tcW w:w="2221" w:type="dxa"/>
            <w:vAlign w:val="top"/>
            <w:vMerge w:val="restart"/>
            <w:tcBorders>
              <w:bottom w:val="nil"/>
            </w:tcBorders>
          </w:tcPr>
          <w:p>
            <w:pPr>
              <w:spacing w:line="249" w:lineRule="auto"/>
              <w:rPr>
                <w:rFonts w:ascii="Arial"/>
                <w:sz w:val="21"/>
              </w:rPr>
            </w:pPr>
            <w:r/>
          </w:p>
          <w:p>
            <w:pPr>
              <w:ind w:left="277"/>
              <w:spacing w:before="65" w:line="227" w:lineRule="auto"/>
              <w:rPr>
                <w:rFonts w:ascii="SimSun" w:hAnsi="SimSun" w:eastAsia="SimSun" w:cs="SimSun"/>
                <w:sz w:val="20"/>
                <w:szCs w:val="20"/>
              </w:rPr>
            </w:pPr>
            <w:r>
              <w:rPr>
                <w:rFonts w:ascii="SimSun" w:hAnsi="SimSun" w:eastAsia="SimSun" w:cs="SimSun"/>
                <w:sz w:val="20"/>
                <w:szCs w:val="20"/>
                <w:spacing w:val="8"/>
              </w:rPr>
              <w:t>是否考虑岸线熏烟</w:t>
            </w:r>
          </w:p>
        </w:tc>
        <w:tc>
          <w:tcPr>
            <w:tcW w:w="4737" w:type="dxa"/>
            <w:vAlign w:val="top"/>
            <w:gridSpan w:val="2"/>
          </w:tcPr>
          <w:p>
            <w:pPr>
              <w:ind w:left="1742"/>
              <w:spacing w:before="32" w:line="217" w:lineRule="auto"/>
              <w:rPr>
                <w:rFonts w:ascii="SimSun" w:hAnsi="SimSun" w:eastAsia="SimSun" w:cs="SimSun"/>
                <w:sz w:val="20"/>
                <w:szCs w:val="20"/>
              </w:rPr>
            </w:pPr>
            <w:r>
              <w:rPr>
                <w:rFonts w:ascii="SimSun" w:hAnsi="SimSun" w:eastAsia="SimSun" w:cs="SimSun"/>
                <w:sz w:val="20"/>
                <w:szCs w:val="20"/>
                <w:spacing w:val="8"/>
              </w:rPr>
              <w:t>考虑岸线熏烟</w:t>
            </w:r>
          </w:p>
        </w:tc>
        <w:tc>
          <w:tcPr>
            <w:tcW w:w="2173" w:type="dxa"/>
            <w:vAlign w:val="top"/>
          </w:tcPr>
          <w:p>
            <w:pPr>
              <w:pStyle w:val="TableText"/>
              <w:ind w:left="719"/>
              <w:spacing w:before="32" w:line="217" w:lineRule="auto"/>
              <w:rPr>
                <w:rFonts w:ascii="SimSun" w:hAnsi="SimSun" w:eastAsia="SimSun" w:cs="SimSun"/>
              </w:rPr>
            </w:pPr>
            <w:r>
              <w:rPr>
                <w:spacing w:val="4"/>
              </w:rPr>
              <w:t>□</w:t>
            </w:r>
            <w:r>
              <w:rPr>
                <w:rFonts w:ascii="SimSun" w:hAnsi="SimSun" w:eastAsia="SimSun" w:cs="SimSun"/>
                <w:spacing w:val="4"/>
              </w:rPr>
              <w:t>是</w:t>
            </w:r>
            <w:r>
              <w:rPr>
                <w:rFonts w:ascii="MS UI Gothic" w:hAnsi="MS UI Gothic" w:eastAsia="MS UI Gothic" w:cs="MS UI Gothic"/>
                <w:spacing w:val="4"/>
              </w:rPr>
              <w:t>☑</w:t>
            </w:r>
            <w:r>
              <w:rPr>
                <w:rFonts w:ascii="SimSun" w:hAnsi="SimSun" w:eastAsia="SimSun" w:cs="SimSun"/>
                <w:spacing w:val="4"/>
              </w:rPr>
              <w:t>否</w:t>
            </w:r>
          </w:p>
        </w:tc>
      </w:tr>
      <w:tr>
        <w:trPr>
          <w:trHeight w:val="278" w:hRule="atLeast"/>
        </w:trPr>
        <w:tc>
          <w:tcPr>
            <w:tcW w:w="2221" w:type="dxa"/>
            <w:vAlign w:val="top"/>
            <w:vMerge w:val="continue"/>
            <w:tcBorders>
              <w:top w:val="nil"/>
              <w:bottom w:val="nil"/>
            </w:tcBorders>
          </w:tcPr>
          <w:p>
            <w:pPr>
              <w:rPr>
                <w:rFonts w:ascii="Arial"/>
                <w:sz w:val="21"/>
              </w:rPr>
            </w:pPr>
            <w:r/>
          </w:p>
        </w:tc>
        <w:tc>
          <w:tcPr>
            <w:tcW w:w="4737" w:type="dxa"/>
            <w:vAlign w:val="top"/>
            <w:gridSpan w:val="2"/>
          </w:tcPr>
          <w:p>
            <w:pPr>
              <w:pStyle w:val="TableText"/>
              <w:ind w:left="1790"/>
              <w:spacing w:before="32" w:line="217" w:lineRule="auto"/>
              <w:rPr/>
            </w:pPr>
            <w:r>
              <w:rPr>
                <w:rFonts w:ascii="SimSun" w:hAnsi="SimSun" w:eastAsia="SimSun" w:cs="SimSun"/>
                <w:spacing w:val="8"/>
              </w:rPr>
              <w:t>岸线距离</w:t>
            </w:r>
            <w:r>
              <w:rPr>
                <w:spacing w:val="8"/>
              </w:rPr>
              <w:t>/</w:t>
            </w:r>
            <w:r>
              <w:rPr/>
              <w:t>km</w:t>
            </w:r>
          </w:p>
        </w:tc>
        <w:tc>
          <w:tcPr>
            <w:tcW w:w="2173" w:type="dxa"/>
            <w:vAlign w:val="top"/>
          </w:tcPr>
          <w:p>
            <w:pPr>
              <w:pStyle w:val="TableText"/>
              <w:ind w:left="1053"/>
              <w:spacing w:before="65" w:line="199" w:lineRule="auto"/>
              <w:rPr/>
            </w:pPr>
            <w:r>
              <w:rPr>
                <w:spacing w:val="2"/>
              </w:rPr>
              <w:t>/</w:t>
            </w:r>
          </w:p>
        </w:tc>
      </w:tr>
      <w:tr>
        <w:trPr>
          <w:trHeight w:val="280" w:hRule="atLeast"/>
        </w:trPr>
        <w:tc>
          <w:tcPr>
            <w:tcW w:w="2221" w:type="dxa"/>
            <w:vAlign w:val="top"/>
            <w:vMerge w:val="continue"/>
            <w:tcBorders>
              <w:top w:val="nil"/>
            </w:tcBorders>
          </w:tcPr>
          <w:p>
            <w:pPr>
              <w:rPr>
                <w:rFonts w:ascii="Arial"/>
                <w:sz w:val="21"/>
              </w:rPr>
            </w:pPr>
            <w:r/>
          </w:p>
        </w:tc>
        <w:tc>
          <w:tcPr>
            <w:tcW w:w="4737" w:type="dxa"/>
            <w:vAlign w:val="top"/>
            <w:gridSpan w:val="2"/>
          </w:tcPr>
          <w:p>
            <w:pPr>
              <w:pStyle w:val="TableText"/>
              <w:ind w:left="1881"/>
              <w:spacing w:before="30" w:line="221" w:lineRule="auto"/>
              <w:rPr/>
            </w:pPr>
            <w:r>
              <w:rPr>
                <w:rFonts w:ascii="SimSun" w:hAnsi="SimSun" w:eastAsia="SimSun" w:cs="SimSun"/>
                <w:spacing w:val="6"/>
              </w:rPr>
              <w:t>岸线方向</w:t>
            </w:r>
            <w:r>
              <w:rPr>
                <w:spacing w:val="6"/>
              </w:rPr>
              <w:t>/°</w:t>
            </w:r>
          </w:p>
        </w:tc>
        <w:tc>
          <w:tcPr>
            <w:tcW w:w="2173" w:type="dxa"/>
            <w:vAlign w:val="top"/>
          </w:tcPr>
          <w:p>
            <w:pPr>
              <w:pStyle w:val="TableText"/>
              <w:ind w:left="1053"/>
              <w:spacing w:before="63" w:line="199" w:lineRule="auto"/>
              <w:rPr/>
            </w:pPr>
            <w:r>
              <w:rPr>
                <w:spacing w:val="2"/>
              </w:rPr>
              <w:t>/</w:t>
            </w:r>
          </w:p>
        </w:tc>
      </w:tr>
    </w:tbl>
    <w:p>
      <w:pPr>
        <w:pStyle w:val="BodyText"/>
        <w:spacing w:line="339" w:lineRule="auto"/>
        <w:rPr/>
      </w:pPr>
      <w:r/>
    </w:p>
    <w:p>
      <w:pPr>
        <w:ind w:left="36"/>
        <w:spacing w:before="79"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2.5.1.1  </w:t>
      </w:r>
      <w:r>
        <w:rPr>
          <w:rFonts w:ascii="SimHei" w:hAnsi="SimHei" w:eastAsia="SimHei" w:cs="SimHei"/>
          <w:sz w:val="24"/>
          <w:szCs w:val="24"/>
          <w:b/>
          <w:bCs/>
          <w:spacing w:val="-2"/>
        </w:rPr>
        <w:t>评价等级判断</w:t>
      </w:r>
    </w:p>
    <w:p>
      <w:pPr>
        <w:ind w:left="39" w:right="45" w:firstLine="480"/>
        <w:spacing w:before="160" w:line="339" w:lineRule="auto"/>
        <w:jc w:val="both"/>
        <w:rPr>
          <w:rFonts w:ascii="SimSun" w:hAnsi="SimSun" w:eastAsia="SimSun" w:cs="SimSun"/>
          <w:sz w:val="24"/>
          <w:szCs w:val="24"/>
        </w:rPr>
      </w:pPr>
      <w:r>
        <w:rPr>
          <w:rFonts w:ascii="SimSun" w:hAnsi="SimSun" w:eastAsia="SimSun" w:cs="SimSun"/>
          <w:sz w:val="24"/>
          <w:szCs w:val="24"/>
          <w:spacing w:val="-2"/>
        </w:rPr>
        <w:t>根据《环境影响评价技术导则 大气环境》（</w:t>
      </w:r>
      <w:r>
        <w:rPr>
          <w:rFonts w:ascii="Times New Roman" w:hAnsi="Times New Roman" w:eastAsia="Times New Roman" w:cs="Times New Roman"/>
          <w:sz w:val="24"/>
          <w:szCs w:val="24"/>
          <w:spacing w:val="-3"/>
        </w:rPr>
        <w:t>HJ2.2-2018</w:t>
      </w:r>
      <w:r>
        <w:rPr>
          <w:rFonts w:ascii="SimSun" w:hAnsi="SimSun" w:eastAsia="SimSun" w:cs="SimSun"/>
          <w:sz w:val="24"/>
          <w:szCs w:val="24"/>
          <w:spacing w:val="-3"/>
        </w:rPr>
        <w:t>）有关规定，选择推荐模式</w:t>
      </w:r>
      <w:r>
        <w:rPr>
          <w:rFonts w:ascii="SimSun" w:hAnsi="SimSun" w:eastAsia="SimSun" w:cs="SimSun"/>
          <w:sz w:val="24"/>
          <w:szCs w:val="24"/>
          <w:spacing w:val="3"/>
        </w:rPr>
        <w:t>中的</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AERSCREEN</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估算模式对项目的环境空气评价工作进行分</w:t>
      </w:r>
      <w:r>
        <w:rPr>
          <w:rFonts w:ascii="SimSun" w:hAnsi="SimSun" w:eastAsia="SimSun" w:cs="SimSun"/>
          <w:sz w:val="24"/>
          <w:szCs w:val="24"/>
          <w:spacing w:val="2"/>
        </w:rPr>
        <w:t>级。结合项目的初步工</w:t>
      </w:r>
      <w:r>
        <w:rPr>
          <w:rFonts w:ascii="SimSun" w:hAnsi="SimSun" w:eastAsia="SimSun" w:cs="SimSun"/>
          <w:sz w:val="24"/>
          <w:szCs w:val="24"/>
          <w:spacing w:val="-2"/>
        </w:rPr>
        <w:t>程分析结果，选择正常排放的主要污染物及排放参数，采用估算模式计算污染物的最大</w:t>
      </w:r>
      <w:r>
        <w:rPr>
          <w:rFonts w:ascii="SimSun" w:hAnsi="SimSun" w:eastAsia="SimSun" w:cs="SimSun"/>
          <w:sz w:val="24"/>
          <w:szCs w:val="24"/>
          <w:spacing w:val="-1"/>
        </w:rPr>
        <w:t>影响程度和最远影响范围，然后按评价工作分级判据进行分级。</w:t>
      </w:r>
    </w:p>
    <w:p>
      <w:pPr>
        <w:spacing w:line="339" w:lineRule="auto"/>
        <w:sectPr>
          <w:headerReference w:type="default" r:id="rId51"/>
          <w:footerReference w:type="default" r:id="rId52"/>
          <w:pgSz w:w="11906" w:h="16838"/>
          <w:pgMar w:top="1170" w:right="1371" w:bottom="1080" w:left="1384" w:header="837" w:footer="918" w:gutter="0"/>
        </w:sectPr>
        <w:rPr>
          <w:rFonts w:ascii="SimSun" w:hAnsi="SimSun" w:eastAsia="SimSun" w:cs="SimSun"/>
          <w:sz w:val="24"/>
          <w:szCs w:val="24"/>
        </w:rPr>
      </w:pPr>
    </w:p>
    <w:p>
      <w:pPr>
        <w:pStyle w:val="BodyText"/>
        <w:spacing w:line="313" w:lineRule="auto"/>
        <w:rPr/>
      </w:pPr>
      <w:r/>
    </w:p>
    <w:p>
      <w:pPr>
        <w:ind w:left="11" w:right="14" w:firstLine="480"/>
        <w:spacing w:before="78" w:line="340" w:lineRule="auto"/>
        <w:jc w:val="both"/>
        <w:rPr>
          <w:rFonts w:ascii="SimSun" w:hAnsi="SimSun" w:eastAsia="SimSun" w:cs="SimSun"/>
          <w:sz w:val="24"/>
          <w:szCs w:val="24"/>
        </w:rPr>
      </w:pPr>
      <w:bookmarkStart w:name="bookmark82" w:id="23"/>
      <w:bookmarkEnd w:id="23"/>
      <w:r>
        <w:rPr>
          <w:rFonts w:ascii="SimSun" w:hAnsi="SimSun" w:eastAsia="SimSun" w:cs="SimSun"/>
          <w:sz w:val="24"/>
          <w:szCs w:val="24"/>
          <w:spacing w:val="-2"/>
        </w:rPr>
        <w:t>根据项目污染源初步调查结果，分别计算项目排放主要污染物的最大地面空气质量</w:t>
      </w:r>
      <w:r>
        <w:rPr>
          <w:rFonts w:ascii="SimSun" w:hAnsi="SimSun" w:eastAsia="SimSun" w:cs="SimSun"/>
          <w:sz w:val="24"/>
          <w:szCs w:val="24"/>
        </w:rPr>
        <w:t>浓度占标率</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Pi</w:t>
      </w:r>
      <w:r>
        <w:rPr>
          <w:rFonts w:ascii="SimSun" w:hAnsi="SimSun" w:eastAsia="SimSun" w:cs="SimSun"/>
          <w:sz w:val="24"/>
          <w:szCs w:val="24"/>
        </w:rPr>
        <w:t>（第</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i </w:t>
      </w:r>
      <w:r>
        <w:rPr>
          <w:rFonts w:ascii="SimSun" w:hAnsi="SimSun" w:eastAsia="SimSun" w:cs="SimSun"/>
          <w:sz w:val="24"/>
          <w:szCs w:val="24"/>
        </w:rPr>
        <w:t>个污染物，简称</w:t>
      </w:r>
      <w:r>
        <w:rPr>
          <w:rFonts w:ascii="Times New Roman" w:hAnsi="Times New Roman" w:eastAsia="Times New Roman" w:cs="Times New Roman"/>
          <w:sz w:val="24"/>
          <w:szCs w:val="24"/>
        </w:rPr>
        <w:t>“</w:t>
      </w:r>
      <w:r>
        <w:rPr>
          <w:rFonts w:ascii="SimSun" w:hAnsi="SimSun" w:eastAsia="SimSun" w:cs="SimSun"/>
          <w:sz w:val="24"/>
          <w:szCs w:val="24"/>
        </w:rPr>
        <w:t>最大浓度占标率</w:t>
      </w:r>
      <w:r>
        <w:rPr>
          <w:rFonts w:ascii="Times New Roman" w:hAnsi="Times New Roman" w:eastAsia="Times New Roman" w:cs="Times New Roman"/>
          <w:sz w:val="24"/>
          <w:szCs w:val="24"/>
        </w:rPr>
        <w:t>”</w:t>
      </w:r>
      <w:r>
        <w:rPr>
          <w:rFonts w:ascii="SimSun" w:hAnsi="SimSun" w:eastAsia="SimSun" w:cs="SimSun"/>
          <w:sz w:val="24"/>
          <w:szCs w:val="24"/>
          <w:spacing w:val="12"/>
        </w:rPr>
        <w:t>），</w:t>
      </w:r>
      <w:r>
        <w:rPr>
          <w:rFonts w:ascii="SimSun" w:hAnsi="SimSun" w:eastAsia="SimSun" w:cs="SimSun"/>
          <w:sz w:val="24"/>
          <w:szCs w:val="24"/>
        </w:rPr>
        <w:t>及第</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i </w:t>
      </w:r>
      <w:r>
        <w:rPr>
          <w:rFonts w:ascii="SimSun" w:hAnsi="SimSun" w:eastAsia="SimSun" w:cs="SimSun"/>
          <w:sz w:val="24"/>
          <w:szCs w:val="24"/>
        </w:rPr>
        <w:t>个污染物的地面空气</w:t>
      </w:r>
      <w:r>
        <w:rPr>
          <w:rFonts w:ascii="SimSun" w:hAnsi="SimSun" w:eastAsia="SimSun" w:cs="SimSun"/>
          <w:sz w:val="24"/>
          <w:szCs w:val="24"/>
          <w:spacing w:val="-1"/>
        </w:rPr>
        <w:t>质量浓度达到标准值的</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1"/>
        </w:rPr>
        <w:t>10%</w:t>
      </w:r>
      <w:r>
        <w:rPr>
          <w:rFonts w:ascii="SimSun" w:hAnsi="SimSun" w:eastAsia="SimSun" w:cs="SimSun"/>
          <w:sz w:val="24"/>
          <w:szCs w:val="24"/>
          <w:spacing w:val="-1"/>
        </w:rPr>
        <w:t>时所对应的最远距离</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D10%</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。其中</w:t>
      </w:r>
      <w:r>
        <w:rPr>
          <w:rFonts w:ascii="Times New Roman" w:hAnsi="Times New Roman" w:eastAsia="Times New Roman" w:cs="Times New Roman"/>
          <w:sz w:val="24"/>
          <w:szCs w:val="24"/>
          <w:spacing w:val="-1"/>
        </w:rPr>
        <w:t>Pi</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定义为：</w:t>
      </w:r>
    </w:p>
    <w:p>
      <w:pPr>
        <w:ind w:firstLine="3549"/>
        <w:spacing w:before="12" w:line="734" w:lineRule="exact"/>
        <w:rPr/>
      </w:pPr>
      <w:r>
        <w:rPr>
          <w:position w:val="-14"/>
        </w:rPr>
        <w:drawing>
          <wp:inline distT="0" distB="0" distL="0" distR="0">
            <wp:extent cx="1257300" cy="466344"/>
            <wp:effectExtent l="0" t="0" r="0" b="0"/>
            <wp:docPr id="58" name="IM 58"/>
            <wp:cNvGraphicFramePr/>
            <a:graphic>
              <a:graphicData uri="http://schemas.openxmlformats.org/drawingml/2006/picture">
                <pic:pic>
                  <pic:nvPicPr>
                    <pic:cNvPr id="58" name="IM 58"/>
                    <pic:cNvPicPr/>
                  </pic:nvPicPr>
                  <pic:blipFill>
                    <a:blip r:embed="rId55"/>
                    <a:stretch>
                      <a:fillRect/>
                    </a:stretch>
                  </pic:blipFill>
                  <pic:spPr>
                    <a:xfrm rot="0">
                      <a:off x="0" y="0"/>
                      <a:ext cx="1257300" cy="466344"/>
                    </a:xfrm>
                    <a:prstGeom prst="rect">
                      <a:avLst/>
                    </a:prstGeom>
                  </pic:spPr>
                </pic:pic>
              </a:graphicData>
            </a:graphic>
          </wp:inline>
        </w:drawing>
      </w:r>
    </w:p>
    <w:p>
      <w:pPr>
        <w:ind w:left="16"/>
        <w:spacing w:before="144"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P</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第</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个污染物的最大地面空气质量浓度占标率，</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731"/>
        <w:spacing w:before="156" w:line="210" w:lineRule="auto"/>
        <w:rPr>
          <w:rFonts w:ascii="SimSun" w:hAnsi="SimSun" w:eastAsia="SimSun" w:cs="SimSun"/>
          <w:sz w:val="24"/>
          <w:szCs w:val="24"/>
        </w:rPr>
      </w:pPr>
      <w:r>
        <w:rPr>
          <w:rFonts w:ascii="Times New Roman" w:hAnsi="Times New Roman" w:eastAsia="Times New Roman" w:cs="Times New Roman"/>
          <w:sz w:val="24"/>
          <w:szCs w:val="24"/>
        </w:rPr>
        <w:t>C</w:t>
      </w:r>
      <w:r>
        <w:rPr>
          <w:rFonts w:ascii="Times New Roman" w:hAnsi="Times New Roman" w:eastAsia="Times New Roman" w:cs="Times New Roman"/>
          <w:sz w:val="15"/>
          <w:szCs w:val="15"/>
          <w:position w:val="-1"/>
        </w:rPr>
        <w:t>i</w:t>
      </w:r>
      <w:r>
        <w:rPr>
          <w:rFonts w:ascii="Times New Roman" w:hAnsi="Times New Roman" w:eastAsia="Times New Roman" w:cs="Times New Roman"/>
          <w:sz w:val="24"/>
          <w:szCs w:val="24"/>
        </w:rPr>
        <w:t>—</w:t>
      </w:r>
      <w:r>
        <w:rPr>
          <w:rFonts w:ascii="SimSun" w:hAnsi="SimSun" w:eastAsia="SimSun" w:cs="SimSun"/>
          <w:sz w:val="24"/>
          <w:szCs w:val="24"/>
        </w:rPr>
        <w:t>采用估算模式计算出的第</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i </w:t>
      </w:r>
      <w:r>
        <w:rPr>
          <w:rFonts w:ascii="SimSun" w:hAnsi="SimSun" w:eastAsia="SimSun" w:cs="SimSun"/>
          <w:sz w:val="24"/>
          <w:szCs w:val="24"/>
        </w:rPr>
        <w:t>个污染物的最大地面空</w:t>
      </w:r>
      <w:r>
        <w:rPr>
          <w:rFonts w:ascii="SimSun" w:hAnsi="SimSun" w:eastAsia="SimSun" w:cs="SimSun"/>
          <w:sz w:val="24"/>
          <w:szCs w:val="24"/>
          <w:spacing w:val="-1"/>
        </w:rPr>
        <w:t>气质量浓度，</w:t>
      </w:r>
      <w:r>
        <w:rPr>
          <w:rFonts w:ascii="Times New Roman" w:hAnsi="Times New Roman" w:eastAsia="Times New Roman" w:cs="Times New Roman"/>
          <w:sz w:val="24"/>
          <w:szCs w:val="24"/>
          <w:spacing w:val="-1"/>
        </w:rPr>
        <w:t>μg/m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p>
    <w:p>
      <w:pPr>
        <w:ind w:left="10" w:right="14" w:firstLine="720"/>
        <w:spacing w:before="163" w:line="339" w:lineRule="auto"/>
        <w:rPr>
          <w:rFonts w:ascii="SimSun" w:hAnsi="SimSun" w:eastAsia="SimSun" w:cs="SimSun"/>
          <w:sz w:val="24"/>
          <w:szCs w:val="24"/>
        </w:rPr>
      </w:pPr>
      <w:r>
        <w:rPr>
          <w:rFonts w:ascii="Times New Roman" w:hAnsi="Times New Roman" w:eastAsia="Times New Roman" w:cs="Times New Roman"/>
          <w:sz w:val="24"/>
          <w:szCs w:val="24"/>
          <w:spacing w:val="-4"/>
        </w:rPr>
        <w:t>C</w:t>
      </w:r>
      <w:r>
        <w:rPr>
          <w:rFonts w:ascii="Times New Roman" w:hAnsi="Times New Roman" w:eastAsia="Times New Roman" w:cs="Times New Roman"/>
          <w:sz w:val="15"/>
          <w:szCs w:val="15"/>
          <w:spacing w:val="-4"/>
          <w:position w:val="-1"/>
        </w:rPr>
        <w:t>0i</w:t>
      </w:r>
      <w:r>
        <w:rPr>
          <w:rFonts w:ascii="Times New Roman" w:hAnsi="Times New Roman" w:eastAsia="Times New Roman" w:cs="Times New Roman"/>
          <w:sz w:val="24"/>
          <w:szCs w:val="24"/>
          <w:spacing w:val="-4"/>
        </w:rPr>
        <w:t>—</w:t>
      </w:r>
      <w:r>
        <w:rPr>
          <w:rFonts w:ascii="SimSun" w:hAnsi="SimSun" w:eastAsia="SimSun" w:cs="SimSun"/>
          <w:sz w:val="24"/>
          <w:szCs w:val="24"/>
          <w:spacing w:val="-4"/>
        </w:rPr>
        <w:t>第</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i </w:t>
      </w:r>
      <w:r>
        <w:rPr>
          <w:rFonts w:ascii="SimSun" w:hAnsi="SimSun" w:eastAsia="SimSun" w:cs="SimSun"/>
          <w:sz w:val="24"/>
          <w:szCs w:val="24"/>
          <w:spacing w:val="-4"/>
        </w:rPr>
        <w:t>个污染物的环境质量标准，</w:t>
      </w:r>
      <w:r>
        <w:rPr>
          <w:rFonts w:ascii="Times New Roman" w:hAnsi="Times New Roman" w:eastAsia="Times New Roman" w:cs="Times New Roman"/>
          <w:sz w:val="24"/>
          <w:szCs w:val="24"/>
          <w:spacing w:val="-4"/>
        </w:rPr>
        <w:t>μg/m</w:t>
      </w:r>
      <w:r>
        <w:rPr>
          <w:rFonts w:ascii="Times New Roman" w:hAnsi="Times New Roman" w:eastAsia="Times New Roman" w:cs="Times New Roman"/>
          <w:sz w:val="15"/>
          <w:szCs w:val="15"/>
          <w:spacing w:val="-4"/>
          <w:position w:val="8"/>
        </w:rPr>
        <w:t>3</w:t>
      </w:r>
      <w:r>
        <w:rPr>
          <w:rFonts w:ascii="SimSun" w:hAnsi="SimSun" w:eastAsia="SimSun" w:cs="SimSun"/>
          <w:sz w:val="24"/>
          <w:szCs w:val="24"/>
          <w:spacing w:val="-4"/>
        </w:rPr>
        <w:t>。一般选</w:t>
      </w:r>
      <w:r>
        <w:rPr>
          <w:rFonts w:ascii="SimSun" w:hAnsi="SimSun" w:eastAsia="SimSun" w:cs="SimSun"/>
          <w:sz w:val="24"/>
          <w:szCs w:val="24"/>
          <w:spacing w:val="-5"/>
        </w:rPr>
        <w:t>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GB095</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5"/>
        </w:rPr>
        <w:t>中</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1h </w:t>
      </w:r>
      <w:r>
        <w:rPr>
          <w:rFonts w:ascii="SimSun" w:hAnsi="SimSun" w:eastAsia="SimSun" w:cs="SimSun"/>
          <w:sz w:val="24"/>
          <w:szCs w:val="24"/>
          <w:spacing w:val="-5"/>
        </w:rPr>
        <w:t>平均质量浓度</w:t>
      </w:r>
      <w:r>
        <w:rPr>
          <w:rFonts w:ascii="SimSun" w:hAnsi="SimSun" w:eastAsia="SimSun" w:cs="SimSun"/>
          <w:sz w:val="24"/>
          <w:szCs w:val="24"/>
          <w:spacing w:val="-2"/>
        </w:rPr>
        <w:t>的二级浓度限值，如项目位于一类环境空气功能区，应选择相应的一级浓度限值；对该</w:t>
      </w:r>
      <w:r>
        <w:rPr>
          <w:rFonts w:ascii="SimSun" w:hAnsi="SimSun" w:eastAsia="SimSun" w:cs="SimSun"/>
          <w:sz w:val="24"/>
          <w:szCs w:val="24"/>
        </w:rPr>
        <w:t>标准中未包含的污染物，使用</w:t>
      </w:r>
      <w:r>
        <w:rPr>
          <w:rFonts w:ascii="SimSun" w:hAnsi="SimSun" w:eastAsia="SimSun" w:cs="SimSun"/>
          <w:sz w:val="24"/>
          <w:szCs w:val="24"/>
          <w:spacing w:val="-42"/>
        </w:rPr>
        <w:t xml:space="preserve"> </w:t>
      </w:r>
      <w:r>
        <w:rPr>
          <w:rFonts w:ascii="Times New Roman" w:hAnsi="Times New Roman" w:eastAsia="Times New Roman" w:cs="Times New Roman"/>
          <w:sz w:val="24"/>
          <w:szCs w:val="24"/>
        </w:rPr>
        <w:t>5.2 </w:t>
      </w:r>
      <w:r>
        <w:rPr>
          <w:rFonts w:ascii="SimSun" w:hAnsi="SimSun" w:eastAsia="SimSun" w:cs="SimSun"/>
          <w:sz w:val="24"/>
          <w:szCs w:val="24"/>
        </w:rPr>
        <w:t>确定的各评价因子</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1h </w:t>
      </w:r>
      <w:r>
        <w:rPr>
          <w:rFonts w:ascii="SimSun" w:hAnsi="SimSun" w:eastAsia="SimSun" w:cs="SimSun"/>
          <w:sz w:val="24"/>
          <w:szCs w:val="24"/>
        </w:rPr>
        <w:t>平均质</w:t>
      </w:r>
      <w:r>
        <w:rPr>
          <w:rFonts w:ascii="SimSun" w:hAnsi="SimSun" w:eastAsia="SimSun" w:cs="SimSun"/>
          <w:sz w:val="24"/>
          <w:szCs w:val="24"/>
          <w:spacing w:val="-1"/>
        </w:rPr>
        <w:t>量浓度限值。对仅有</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8h</w:t>
      </w:r>
      <w:r>
        <w:rPr>
          <w:rFonts w:ascii="SimSun" w:hAnsi="SimSun" w:eastAsia="SimSun" w:cs="SimSun"/>
          <w:sz w:val="24"/>
          <w:szCs w:val="24"/>
        </w:rPr>
        <w:t>平均质量浓度限值、</w:t>
      </w:r>
      <w:r>
        <w:rPr>
          <w:rFonts w:ascii="SimSun" w:hAnsi="SimSun" w:eastAsia="SimSun" w:cs="SimSun"/>
          <w:sz w:val="24"/>
          <w:szCs w:val="24"/>
          <w:spacing w:val="-67"/>
        </w:rPr>
        <w:t xml:space="preserve"> </w:t>
      </w:r>
      <w:r>
        <w:rPr>
          <w:rFonts w:ascii="SimSun" w:hAnsi="SimSun" w:eastAsia="SimSun" w:cs="SimSun"/>
          <w:sz w:val="24"/>
          <w:szCs w:val="24"/>
        </w:rPr>
        <w:t>日平均质量浓度限值或年平均质量浓度限值的，可</w:t>
      </w:r>
      <w:r>
        <w:rPr>
          <w:rFonts w:ascii="SimSun" w:hAnsi="SimSun" w:eastAsia="SimSun" w:cs="SimSun"/>
          <w:sz w:val="24"/>
          <w:szCs w:val="24"/>
          <w:spacing w:val="-1"/>
        </w:rPr>
        <w:t>分别按</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倍、</w:t>
      </w:r>
      <w:r>
        <w:rPr>
          <w:rFonts w:ascii="Times New Roman" w:hAnsi="Times New Roman" w:eastAsia="Times New Roman" w:cs="Times New Roman"/>
          <w:sz w:val="24"/>
          <w:szCs w:val="24"/>
          <w:spacing w:val="-1"/>
        </w:rPr>
        <w:t>3</w:t>
      </w:r>
      <w:r>
        <w:rPr>
          <w:rFonts w:ascii="SimSun" w:hAnsi="SimSun" w:eastAsia="SimSun" w:cs="SimSun"/>
          <w:sz w:val="24"/>
          <w:szCs w:val="24"/>
          <w:spacing w:val="-2"/>
        </w:rPr>
        <w:t>倍、</w:t>
      </w:r>
      <w:r>
        <w:rPr>
          <w:rFonts w:ascii="Times New Roman" w:hAnsi="Times New Roman" w:eastAsia="Times New Roman" w:cs="Times New Roman"/>
          <w:sz w:val="24"/>
          <w:szCs w:val="24"/>
          <w:spacing w:val="-2"/>
        </w:rPr>
        <w:t>6 </w:t>
      </w:r>
      <w:r>
        <w:rPr>
          <w:rFonts w:ascii="SimSun" w:hAnsi="SimSun" w:eastAsia="SimSun" w:cs="SimSun"/>
          <w:sz w:val="24"/>
          <w:szCs w:val="24"/>
          <w:spacing w:val="-2"/>
        </w:rPr>
        <w:t>倍折算为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1h </w:t>
      </w:r>
      <w:r>
        <w:rPr>
          <w:rFonts w:ascii="SimSun" w:hAnsi="SimSun" w:eastAsia="SimSun" w:cs="SimSun"/>
          <w:sz w:val="24"/>
          <w:szCs w:val="24"/>
          <w:spacing w:val="-2"/>
        </w:rPr>
        <w:t>平均质量浓度限值。</w:t>
      </w:r>
    </w:p>
    <w:p>
      <w:pPr>
        <w:ind w:left="11" w:right="14" w:firstLine="479"/>
        <w:spacing w:before="2" w:line="339" w:lineRule="auto"/>
        <w:rPr>
          <w:rFonts w:ascii="SimSun" w:hAnsi="SimSun" w:eastAsia="SimSun" w:cs="SimSun"/>
          <w:sz w:val="24"/>
          <w:szCs w:val="24"/>
        </w:rPr>
      </w:pPr>
      <w:r>
        <w:rPr>
          <w:rFonts w:ascii="SimSun" w:hAnsi="SimSun" w:eastAsia="SimSun" w:cs="SimSun"/>
          <w:sz w:val="24"/>
          <w:szCs w:val="24"/>
          <w:spacing w:val="-2"/>
        </w:rPr>
        <w:t>评价工作等级按表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2-5-2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的分级数据进行划分，最大地面浓度占标率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w:t>
      </w:r>
      <w:r>
        <w:rPr>
          <w:rFonts w:ascii="Times New Roman" w:hAnsi="Times New Roman" w:eastAsia="Times New Roman" w:cs="Times New Roman"/>
          <w:sz w:val="15"/>
          <w:szCs w:val="15"/>
          <w:spacing w:val="-2"/>
          <w:position w:val="-1"/>
        </w:rPr>
        <w:t>i</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spacing w:val="-2"/>
        </w:rPr>
        <w:t>按上述公式</w:t>
      </w:r>
      <w:r>
        <w:rPr>
          <w:rFonts w:ascii="SimSun" w:hAnsi="SimSun" w:eastAsia="SimSun" w:cs="SimSun"/>
          <w:sz w:val="24"/>
          <w:szCs w:val="24"/>
          <w:spacing w:val="-3"/>
        </w:rPr>
        <w:t>计算，如污染物数</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i </w:t>
      </w:r>
      <w:r>
        <w:rPr>
          <w:rFonts w:ascii="SimSun" w:hAnsi="SimSun" w:eastAsia="SimSun" w:cs="SimSun"/>
          <w:sz w:val="24"/>
          <w:szCs w:val="24"/>
          <w:spacing w:val="-3"/>
        </w:rPr>
        <w:t>大于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，取</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P </w:t>
      </w:r>
      <w:r>
        <w:rPr>
          <w:rFonts w:ascii="SimSun" w:hAnsi="SimSun" w:eastAsia="SimSun" w:cs="SimSun"/>
          <w:sz w:val="24"/>
          <w:szCs w:val="24"/>
          <w:spacing w:val="-3"/>
        </w:rPr>
        <w:t>值中最大者</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P</w:t>
      </w:r>
      <w:r>
        <w:rPr>
          <w:rFonts w:ascii="Times New Roman" w:hAnsi="Times New Roman" w:eastAsia="Times New Roman" w:cs="Times New Roman"/>
          <w:sz w:val="15"/>
          <w:szCs w:val="15"/>
          <w:spacing w:val="-3"/>
          <w:position w:val="-1"/>
        </w:rPr>
        <w:t>max</w:t>
      </w:r>
      <w:r>
        <w:rPr>
          <w:rFonts w:ascii="SimSun" w:hAnsi="SimSun" w:eastAsia="SimSun" w:cs="SimSun"/>
          <w:sz w:val="24"/>
          <w:szCs w:val="24"/>
          <w:spacing w:val="-3"/>
        </w:rPr>
        <w:t>。</w:t>
      </w:r>
    </w:p>
    <w:p>
      <w:pPr>
        <w:ind w:left="3466"/>
        <w:spacing w:before="124" w:line="221" w:lineRule="auto"/>
        <w:rPr>
          <w:rFonts w:ascii="SimHei" w:hAnsi="SimHei" w:eastAsia="SimHei" w:cs="SimHei"/>
          <w:sz w:val="24"/>
          <w:szCs w:val="24"/>
        </w:rPr>
      </w:pPr>
      <w:r>
        <w:rPr>
          <w:rFonts w:ascii="SimHei" w:hAnsi="SimHei" w:eastAsia="SimHei" w:cs="SimHei"/>
          <w:sz w:val="24"/>
          <w:szCs w:val="24"/>
          <w:spacing w:val="-1"/>
        </w:rPr>
        <w:t>评价工作等级判别表</w:t>
      </w:r>
    </w:p>
    <w:p>
      <w:pPr>
        <w:ind w:left="9"/>
        <w:spacing w:before="69"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2-5-2</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81"/>
        <w:gridCol w:w="6802"/>
      </w:tblGrid>
      <w:tr>
        <w:trPr>
          <w:trHeight w:val="282" w:hRule="atLeast"/>
        </w:trPr>
        <w:tc>
          <w:tcPr>
            <w:tcW w:w="2281" w:type="dxa"/>
            <w:vAlign w:val="top"/>
          </w:tcPr>
          <w:p>
            <w:pPr>
              <w:ind w:left="515"/>
              <w:spacing w:before="35" w:line="218" w:lineRule="auto"/>
              <w:rPr>
                <w:rFonts w:ascii="SimSun" w:hAnsi="SimSun" w:eastAsia="SimSun" w:cs="SimSun"/>
                <w:sz w:val="20"/>
                <w:szCs w:val="20"/>
              </w:rPr>
            </w:pPr>
            <w:r>
              <w:rPr>
                <w:rFonts w:ascii="SimSun" w:hAnsi="SimSun" w:eastAsia="SimSun" w:cs="SimSun"/>
                <w:sz w:val="20"/>
                <w:szCs w:val="20"/>
                <w:spacing w:val="8"/>
              </w:rPr>
              <w:t>评价工作等级</w:t>
            </w:r>
          </w:p>
        </w:tc>
        <w:tc>
          <w:tcPr>
            <w:tcW w:w="6802" w:type="dxa"/>
            <w:vAlign w:val="top"/>
          </w:tcPr>
          <w:p>
            <w:pPr>
              <w:ind w:left="2564"/>
              <w:spacing w:before="35" w:line="218" w:lineRule="auto"/>
              <w:rPr>
                <w:rFonts w:ascii="SimSun" w:hAnsi="SimSun" w:eastAsia="SimSun" w:cs="SimSun"/>
                <w:sz w:val="20"/>
                <w:szCs w:val="20"/>
              </w:rPr>
            </w:pPr>
            <w:r>
              <w:rPr>
                <w:rFonts w:ascii="SimSun" w:hAnsi="SimSun" w:eastAsia="SimSun" w:cs="SimSun"/>
                <w:sz w:val="20"/>
                <w:szCs w:val="20"/>
                <w:spacing w:val="8"/>
              </w:rPr>
              <w:t>评价工作分级判据</w:t>
            </w:r>
          </w:p>
        </w:tc>
      </w:tr>
      <w:tr>
        <w:trPr>
          <w:trHeight w:val="277" w:hRule="atLeast"/>
        </w:trPr>
        <w:tc>
          <w:tcPr>
            <w:tcW w:w="2281" w:type="dxa"/>
            <w:vAlign w:val="top"/>
          </w:tcPr>
          <w:p>
            <w:pPr>
              <w:ind w:left="940"/>
              <w:spacing w:before="29" w:line="219" w:lineRule="auto"/>
              <w:rPr>
                <w:rFonts w:ascii="SimSun" w:hAnsi="SimSun" w:eastAsia="SimSun" w:cs="SimSun"/>
                <w:sz w:val="20"/>
                <w:szCs w:val="20"/>
              </w:rPr>
            </w:pPr>
            <w:r>
              <w:rPr>
                <w:rFonts w:ascii="SimSun" w:hAnsi="SimSun" w:eastAsia="SimSun" w:cs="SimSun"/>
                <w:sz w:val="20"/>
                <w:szCs w:val="20"/>
                <w:spacing w:val="3"/>
              </w:rPr>
              <w:t>一级</w:t>
            </w:r>
          </w:p>
        </w:tc>
        <w:tc>
          <w:tcPr>
            <w:tcW w:w="6802" w:type="dxa"/>
            <w:vAlign w:val="top"/>
          </w:tcPr>
          <w:p>
            <w:pPr>
              <w:pStyle w:val="TableText"/>
              <w:ind w:left="2911"/>
              <w:spacing w:before="65" w:line="196" w:lineRule="auto"/>
              <w:rPr/>
            </w:pPr>
            <w:r>
              <w:rPr/>
              <w:t>Pmax</w:t>
            </w:r>
            <w:r>
              <w:rPr>
                <w:spacing w:val="10"/>
              </w:rPr>
              <w:t>≥10%</w:t>
            </w:r>
          </w:p>
        </w:tc>
      </w:tr>
      <w:tr>
        <w:trPr>
          <w:trHeight w:val="274" w:hRule="atLeast"/>
        </w:trPr>
        <w:tc>
          <w:tcPr>
            <w:tcW w:w="2281" w:type="dxa"/>
            <w:vAlign w:val="top"/>
          </w:tcPr>
          <w:p>
            <w:pPr>
              <w:ind w:left="937"/>
              <w:spacing w:before="31" w:line="215" w:lineRule="auto"/>
              <w:rPr>
                <w:rFonts w:ascii="SimSun" w:hAnsi="SimSun" w:eastAsia="SimSun" w:cs="SimSun"/>
                <w:sz w:val="20"/>
                <w:szCs w:val="20"/>
              </w:rPr>
            </w:pPr>
            <w:r>
              <w:rPr>
                <w:rFonts w:ascii="SimSun" w:hAnsi="SimSun" w:eastAsia="SimSun" w:cs="SimSun"/>
                <w:sz w:val="20"/>
                <w:szCs w:val="20"/>
                <w:b/>
                <w:bCs/>
                <w:spacing w:val="2"/>
              </w:rPr>
              <w:t>二级</w:t>
            </w:r>
          </w:p>
        </w:tc>
        <w:tc>
          <w:tcPr>
            <w:tcW w:w="6802" w:type="dxa"/>
            <w:vAlign w:val="top"/>
          </w:tcPr>
          <w:p>
            <w:pPr>
              <w:pStyle w:val="TableText"/>
              <w:ind w:left="2621"/>
              <w:spacing w:before="31" w:line="215" w:lineRule="auto"/>
              <w:rPr/>
            </w:pPr>
            <w:r>
              <w:rPr>
                <w:b/>
                <w:bCs/>
                <w:spacing w:val="8"/>
              </w:rPr>
              <w:t>1%</w:t>
            </w:r>
            <w:r>
              <w:rPr>
                <w:rFonts w:ascii="SimSun" w:hAnsi="SimSun" w:eastAsia="SimSun" w:cs="SimSun"/>
                <w:b/>
                <w:bCs/>
                <w:spacing w:val="8"/>
              </w:rPr>
              <w:t>≤</w:t>
            </w:r>
            <w:r>
              <w:rPr>
                <w:b/>
                <w:bCs/>
              </w:rPr>
              <w:t>Pmax</w:t>
            </w:r>
            <w:r>
              <w:rPr>
                <w:b/>
                <w:bCs/>
                <w:spacing w:val="8"/>
              </w:rPr>
              <w:t>&lt;10%</w:t>
            </w:r>
          </w:p>
        </w:tc>
      </w:tr>
      <w:tr>
        <w:trPr>
          <w:trHeight w:val="281" w:hRule="atLeast"/>
        </w:trPr>
        <w:tc>
          <w:tcPr>
            <w:tcW w:w="2281" w:type="dxa"/>
            <w:vAlign w:val="top"/>
          </w:tcPr>
          <w:p>
            <w:pPr>
              <w:ind w:left="936"/>
              <w:spacing w:before="32" w:line="220" w:lineRule="auto"/>
              <w:rPr>
                <w:rFonts w:ascii="SimSun" w:hAnsi="SimSun" w:eastAsia="SimSun" w:cs="SimSun"/>
                <w:sz w:val="20"/>
                <w:szCs w:val="20"/>
              </w:rPr>
            </w:pPr>
            <w:r>
              <w:rPr>
                <w:rFonts w:ascii="SimSun" w:hAnsi="SimSun" w:eastAsia="SimSun" w:cs="SimSun"/>
                <w:sz w:val="20"/>
                <w:szCs w:val="20"/>
                <w:spacing w:val="4"/>
              </w:rPr>
              <w:t>三级</w:t>
            </w:r>
          </w:p>
        </w:tc>
        <w:tc>
          <w:tcPr>
            <w:tcW w:w="6802" w:type="dxa"/>
            <w:vAlign w:val="top"/>
          </w:tcPr>
          <w:p>
            <w:pPr>
              <w:pStyle w:val="TableText"/>
              <w:ind w:left="2963"/>
              <w:spacing w:before="68" w:line="195" w:lineRule="auto"/>
              <w:rPr/>
            </w:pPr>
            <w:r>
              <w:rPr/>
              <w:t>Pmax</w:t>
            </w:r>
            <w:r>
              <w:rPr>
                <w:spacing w:val="12"/>
              </w:rPr>
              <w:t>&lt;1%</w:t>
            </w:r>
          </w:p>
        </w:tc>
      </w:tr>
    </w:tbl>
    <w:p>
      <w:pPr>
        <w:pStyle w:val="BodyText"/>
        <w:spacing w:line="337" w:lineRule="auto"/>
        <w:rPr/>
      </w:pPr>
      <w:r/>
    </w:p>
    <w:p>
      <w:pPr>
        <w:ind w:left="8"/>
        <w:spacing w:before="79"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2.5.1.2  </w:t>
      </w:r>
      <w:r>
        <w:rPr>
          <w:rFonts w:ascii="SimHei" w:hAnsi="SimHei" w:eastAsia="SimHei" w:cs="SimHei"/>
          <w:sz w:val="24"/>
          <w:szCs w:val="24"/>
          <w:b/>
          <w:bCs/>
          <w:spacing w:val="-2"/>
        </w:rPr>
        <w:t>评价等级结果</w:t>
      </w:r>
    </w:p>
    <w:p>
      <w:pPr>
        <w:ind w:left="17" w:right="14" w:firstLine="475"/>
        <w:spacing w:before="161" w:line="339" w:lineRule="auto"/>
        <w:rPr>
          <w:rFonts w:ascii="SimSun" w:hAnsi="SimSun" w:eastAsia="SimSun" w:cs="SimSun"/>
          <w:sz w:val="24"/>
          <w:szCs w:val="24"/>
        </w:rPr>
      </w:pPr>
      <w:r>
        <w:rPr>
          <w:rFonts w:ascii="SimSun" w:hAnsi="SimSun" w:eastAsia="SimSun" w:cs="SimSun"/>
          <w:sz w:val="24"/>
          <w:szCs w:val="24"/>
          <w:spacing w:val="-2"/>
        </w:rPr>
        <w:t>本项目为改建工程，采暖依托金山电厂，不设燃煤锅炉，运营期大气污染源主要为</w:t>
      </w:r>
      <w:r>
        <w:rPr>
          <w:rFonts w:ascii="SimSun" w:hAnsi="SimSun" w:eastAsia="SimSun" w:cs="SimSun"/>
          <w:sz w:val="24"/>
          <w:szCs w:val="24"/>
          <w:spacing w:val="-2"/>
        </w:rPr>
        <w:t>露天矿采掘场及排土场生产粉尘，污染因子为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TSP</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，为无组织排放。</w:t>
      </w:r>
    </w:p>
    <w:p>
      <w:pPr>
        <w:ind w:left="30" w:right="67" w:firstLine="462"/>
        <w:spacing w:before="2" w:line="330" w:lineRule="auto"/>
        <w:rPr>
          <w:rFonts w:ascii="SimSun" w:hAnsi="SimSun" w:eastAsia="SimSun" w:cs="SimSun"/>
          <w:sz w:val="24"/>
          <w:szCs w:val="24"/>
        </w:rPr>
      </w:pPr>
      <w:r>
        <w:rPr>
          <w:rFonts w:ascii="SimSun" w:hAnsi="SimSun" w:eastAsia="SimSun" w:cs="SimSun"/>
          <w:sz w:val="24"/>
          <w:szCs w:val="24"/>
          <w:spacing w:val="5"/>
        </w:rPr>
        <w:t>本项目大气污染源</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最大落地浓度为</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5"/>
        </w:rPr>
        <w:t>0.0388</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5"/>
        </w:rPr>
        <w:t>/m</w:t>
      </w:r>
      <w:r>
        <w:rPr>
          <w:rFonts w:ascii="Times New Roman" w:hAnsi="Times New Roman" w:eastAsia="Times New Roman" w:cs="Times New Roman"/>
          <w:sz w:val="15"/>
          <w:szCs w:val="15"/>
          <w:spacing w:val="5"/>
          <w:position w:val="8"/>
        </w:rPr>
        <w:t>3 </w:t>
      </w:r>
      <w:r>
        <w:rPr>
          <w:rFonts w:ascii="SimSun" w:hAnsi="SimSun" w:eastAsia="SimSun" w:cs="SimSun"/>
          <w:sz w:val="24"/>
          <w:szCs w:val="24"/>
          <w:spacing w:val="5"/>
        </w:rPr>
        <w:t>，最</w:t>
      </w:r>
      <w:r>
        <w:rPr>
          <w:rFonts w:ascii="SimSun" w:hAnsi="SimSun" w:eastAsia="SimSun" w:cs="SimSun"/>
          <w:sz w:val="24"/>
          <w:szCs w:val="24"/>
          <w:spacing w:val="4"/>
        </w:rPr>
        <w:t>大占标率为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4.319%</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1%&lt;Pmax&lt;10%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，因此本项目大气环境影响评价工作等级确定为二级。</w:t>
      </w:r>
    </w:p>
    <w:p>
      <w:pPr>
        <w:ind w:left="8"/>
        <w:spacing w:before="51"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2.5.1.3  </w:t>
      </w:r>
      <w:r>
        <w:rPr>
          <w:rFonts w:ascii="SimHei" w:hAnsi="SimHei" w:eastAsia="SimHei" w:cs="SimHei"/>
          <w:sz w:val="24"/>
          <w:szCs w:val="24"/>
          <w:b/>
          <w:bCs/>
          <w:spacing w:val="-2"/>
        </w:rPr>
        <w:t>评价范围</w:t>
      </w:r>
    </w:p>
    <w:p>
      <w:pPr>
        <w:ind w:left="7" w:right="14" w:firstLine="484"/>
        <w:spacing w:before="159" w:line="341" w:lineRule="auto"/>
        <w:rPr>
          <w:rFonts w:ascii="SimSun" w:hAnsi="SimSun" w:eastAsia="SimSun" w:cs="SimSun"/>
          <w:sz w:val="24"/>
          <w:szCs w:val="24"/>
        </w:rPr>
      </w:pPr>
      <w:r>
        <w:rPr>
          <w:rFonts w:ascii="SimSun" w:hAnsi="SimSun" w:eastAsia="SimSun" w:cs="SimSun"/>
          <w:sz w:val="24"/>
          <w:szCs w:val="24"/>
          <w:spacing w:val="-2"/>
        </w:rPr>
        <w:t>根据导则要求，本项目环境空气评价范围以改建工程的采掘场及内排土场边界外扩</w:t>
      </w:r>
      <w:r>
        <w:rPr>
          <w:rFonts w:ascii="Times New Roman" w:hAnsi="Times New Roman" w:eastAsia="Times New Roman" w:cs="Times New Roman"/>
          <w:sz w:val="24"/>
          <w:szCs w:val="24"/>
          <w:spacing w:val="-1"/>
        </w:rPr>
        <w:t>2.5km </w:t>
      </w:r>
      <w:r>
        <w:rPr>
          <w:rFonts w:ascii="SimSun" w:hAnsi="SimSun" w:eastAsia="SimSun" w:cs="SimSun"/>
          <w:sz w:val="24"/>
          <w:szCs w:val="24"/>
          <w:spacing w:val="-1"/>
        </w:rPr>
        <w:t>作为评价范围。</w:t>
      </w:r>
    </w:p>
    <w:p>
      <w:pPr>
        <w:ind w:left="9"/>
        <w:spacing w:before="8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2.5.2  </w:t>
      </w:r>
      <w:r>
        <w:rPr>
          <w:rFonts w:ascii="SimHei" w:hAnsi="SimHei" w:eastAsia="SimHei" w:cs="SimHei"/>
          <w:sz w:val="28"/>
          <w:szCs w:val="28"/>
          <w:b/>
          <w:bCs/>
          <w:spacing w:val="-2"/>
        </w:rPr>
        <w:t>水环境评价等级与评价范围</w:t>
      </w:r>
    </w:p>
    <w:p>
      <w:pPr>
        <w:ind w:left="8"/>
        <w:spacing w:before="203"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2.5.2.1  </w:t>
      </w:r>
      <w:r>
        <w:rPr>
          <w:rFonts w:ascii="SimHei" w:hAnsi="SimHei" w:eastAsia="SimHei" w:cs="SimHei"/>
          <w:sz w:val="24"/>
          <w:szCs w:val="24"/>
          <w:b/>
          <w:bCs/>
          <w:spacing w:val="-1"/>
        </w:rPr>
        <w:t>地表水环境</w:t>
      </w:r>
    </w:p>
    <w:p>
      <w:pPr>
        <w:ind w:left="11" w:right="1" w:firstLine="480"/>
        <w:spacing w:before="161" w:line="339" w:lineRule="auto"/>
        <w:rPr>
          <w:rFonts w:ascii="SimSun" w:hAnsi="SimSun" w:eastAsia="SimSun" w:cs="SimSun"/>
          <w:sz w:val="24"/>
          <w:szCs w:val="24"/>
        </w:rPr>
      </w:pPr>
      <w:r>
        <w:rPr>
          <w:rFonts w:ascii="SimSun" w:hAnsi="SimSun" w:eastAsia="SimSun" w:cs="SimSun"/>
          <w:sz w:val="24"/>
          <w:szCs w:val="24"/>
          <w:spacing w:val="-2"/>
        </w:rPr>
        <w:t>根据《环境影响评价技术导则 地表水环境》（</w:t>
      </w:r>
      <w:r>
        <w:rPr>
          <w:rFonts w:ascii="Times New Roman" w:hAnsi="Times New Roman" w:eastAsia="Times New Roman" w:cs="Times New Roman"/>
          <w:sz w:val="24"/>
          <w:szCs w:val="24"/>
          <w:spacing w:val="-2"/>
        </w:rPr>
        <w:t>HJ2.3-2018</w:t>
      </w:r>
      <w:r>
        <w:rPr>
          <w:rFonts w:ascii="SimSun" w:hAnsi="SimSun" w:eastAsia="SimSun" w:cs="SimSun"/>
          <w:sz w:val="24"/>
          <w:szCs w:val="24"/>
          <w:spacing w:val="-13"/>
        </w:rPr>
        <w:t>），</w:t>
      </w:r>
      <w:r>
        <w:rPr>
          <w:rFonts w:ascii="SimSun" w:hAnsi="SimSun" w:eastAsia="SimSun" w:cs="SimSun"/>
          <w:sz w:val="24"/>
          <w:szCs w:val="24"/>
          <w:spacing w:val="-2"/>
        </w:rPr>
        <w:t>建设项目地表水环境</w:t>
      </w:r>
      <w:r>
        <w:rPr>
          <w:rFonts w:ascii="SimSun" w:hAnsi="SimSun" w:eastAsia="SimSun" w:cs="SimSun"/>
          <w:sz w:val="24"/>
          <w:szCs w:val="24"/>
          <w:spacing w:val="-1"/>
        </w:rPr>
        <w:t>影响评价等级按照影响类型、排放方式、排放量或影响情况、受纳水</w:t>
      </w:r>
      <w:r>
        <w:rPr>
          <w:rFonts w:ascii="SimSun" w:hAnsi="SimSun" w:eastAsia="SimSun" w:cs="SimSun"/>
          <w:sz w:val="24"/>
          <w:szCs w:val="24"/>
          <w:spacing w:val="-2"/>
        </w:rPr>
        <w:t>体环境质量现状、</w:t>
      </w:r>
    </w:p>
    <w:p>
      <w:pPr>
        <w:spacing w:line="339" w:lineRule="auto"/>
        <w:sectPr>
          <w:headerReference w:type="default" r:id="rId53"/>
          <w:footerReference w:type="default" r:id="rId54"/>
          <w:pgSz w:w="11906" w:h="16838"/>
          <w:pgMar w:top="1170" w:right="1403" w:bottom="1080" w:left="1413" w:header="837" w:footer="918" w:gutter="0"/>
        </w:sectPr>
        <w:rPr>
          <w:rFonts w:ascii="SimSun" w:hAnsi="SimSun" w:eastAsia="SimSun" w:cs="SimSun"/>
          <w:sz w:val="24"/>
          <w:szCs w:val="24"/>
        </w:rPr>
      </w:pPr>
    </w:p>
    <w:p>
      <w:pPr>
        <w:pStyle w:val="BodyText"/>
        <w:spacing w:line="312" w:lineRule="auto"/>
        <w:rPr/>
      </w:pPr>
      <w:r/>
    </w:p>
    <w:p>
      <w:pPr>
        <w:ind w:left="41" w:right="33" w:firstLine="1"/>
        <w:spacing w:before="78" w:line="341" w:lineRule="auto"/>
        <w:rPr>
          <w:rFonts w:ascii="SimSun" w:hAnsi="SimSun" w:eastAsia="SimSun" w:cs="SimSun"/>
          <w:sz w:val="24"/>
          <w:szCs w:val="24"/>
        </w:rPr>
      </w:pPr>
      <w:r>
        <w:rPr>
          <w:rFonts w:ascii="SimSun" w:hAnsi="SimSun" w:eastAsia="SimSun" w:cs="SimSun"/>
          <w:sz w:val="24"/>
          <w:szCs w:val="24"/>
          <w:spacing w:val="-2"/>
        </w:rPr>
        <w:t>水环境保护目标等综合确定。水污染影响型建设项目根据排放方式和废水排放量划分评</w:t>
      </w:r>
      <w:r>
        <w:rPr>
          <w:rFonts w:ascii="SimSun" w:hAnsi="SimSun" w:eastAsia="SimSun" w:cs="SimSun"/>
          <w:sz w:val="24"/>
          <w:szCs w:val="24"/>
          <w:spacing w:val="-2"/>
        </w:rPr>
        <w:t>价等级，具体见表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2-5-3</w:t>
      </w:r>
      <w:r>
        <w:rPr>
          <w:rFonts w:ascii="SimSun" w:hAnsi="SimSun" w:eastAsia="SimSun" w:cs="SimSun"/>
          <w:sz w:val="24"/>
          <w:szCs w:val="24"/>
          <w:spacing w:val="-2"/>
        </w:rPr>
        <w:t>。</w:t>
      </w:r>
    </w:p>
    <w:p>
      <w:pPr>
        <w:ind w:left="2655"/>
        <w:spacing w:before="121" w:line="221" w:lineRule="auto"/>
        <w:rPr>
          <w:rFonts w:ascii="SimHei" w:hAnsi="SimHei" w:eastAsia="SimHei" w:cs="SimHei"/>
          <w:sz w:val="24"/>
          <w:szCs w:val="24"/>
        </w:rPr>
      </w:pPr>
      <w:r>
        <w:rPr>
          <w:rFonts w:ascii="SimHei" w:hAnsi="SimHei" w:eastAsia="SimHei" w:cs="SimHei"/>
          <w:sz w:val="24"/>
          <w:szCs w:val="24"/>
          <w:spacing w:val="-1"/>
        </w:rPr>
        <w:t>水污染影响型建设项目评价等级判定</w:t>
      </w:r>
    </w:p>
    <w:p>
      <w:pPr>
        <w:ind w:left="38"/>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2-5-3</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75"/>
        <w:gridCol w:w="1552"/>
        <w:gridCol w:w="5704"/>
      </w:tblGrid>
      <w:tr>
        <w:trPr>
          <w:trHeight w:val="311" w:hRule="atLeast"/>
        </w:trPr>
        <w:tc>
          <w:tcPr>
            <w:tcW w:w="1875" w:type="dxa"/>
            <w:vAlign w:val="top"/>
            <w:vMerge w:val="restart"/>
            <w:tcBorders>
              <w:bottom w:val="nil"/>
            </w:tcBorders>
          </w:tcPr>
          <w:p>
            <w:pPr>
              <w:ind w:left="523"/>
              <w:spacing w:before="192" w:line="226" w:lineRule="auto"/>
              <w:rPr>
                <w:rFonts w:ascii="SimSun" w:hAnsi="SimSun" w:eastAsia="SimSun" w:cs="SimSun"/>
                <w:sz w:val="20"/>
                <w:szCs w:val="20"/>
              </w:rPr>
            </w:pPr>
            <w:r>
              <w:rPr>
                <w:rFonts w:ascii="SimSun" w:hAnsi="SimSun" w:eastAsia="SimSun" w:cs="SimSun"/>
                <w:sz w:val="20"/>
                <w:szCs w:val="20"/>
                <w:spacing w:val="7"/>
              </w:rPr>
              <w:t>评价等级</w:t>
            </w:r>
          </w:p>
        </w:tc>
        <w:tc>
          <w:tcPr>
            <w:tcW w:w="7256" w:type="dxa"/>
            <w:vAlign w:val="top"/>
            <w:gridSpan w:val="2"/>
          </w:tcPr>
          <w:p>
            <w:pPr>
              <w:ind w:left="3211"/>
              <w:spacing w:before="48" w:line="227" w:lineRule="auto"/>
              <w:rPr>
                <w:rFonts w:ascii="SimSun" w:hAnsi="SimSun" w:eastAsia="SimSun" w:cs="SimSun"/>
                <w:sz w:val="20"/>
                <w:szCs w:val="20"/>
              </w:rPr>
            </w:pPr>
            <w:r>
              <w:rPr>
                <w:rFonts w:ascii="SimSun" w:hAnsi="SimSun" w:eastAsia="SimSun" w:cs="SimSun"/>
                <w:sz w:val="20"/>
                <w:szCs w:val="20"/>
                <w:spacing w:val="7"/>
              </w:rPr>
              <w:t>判定依据</w:t>
            </w:r>
          </w:p>
        </w:tc>
      </w:tr>
      <w:tr>
        <w:trPr>
          <w:trHeight w:val="280" w:hRule="atLeast"/>
        </w:trPr>
        <w:tc>
          <w:tcPr>
            <w:tcW w:w="1875" w:type="dxa"/>
            <w:vAlign w:val="top"/>
            <w:vMerge w:val="continue"/>
            <w:tcBorders>
              <w:top w:val="nil"/>
            </w:tcBorders>
          </w:tcPr>
          <w:p>
            <w:pPr>
              <w:rPr>
                <w:rFonts w:ascii="Arial"/>
                <w:sz w:val="21"/>
              </w:rPr>
            </w:pPr>
            <w:r/>
          </w:p>
        </w:tc>
        <w:tc>
          <w:tcPr>
            <w:tcW w:w="1552" w:type="dxa"/>
            <w:vAlign w:val="top"/>
          </w:tcPr>
          <w:p>
            <w:pPr>
              <w:ind w:left="360"/>
              <w:spacing w:before="32" w:line="219" w:lineRule="auto"/>
              <w:rPr>
                <w:rFonts w:ascii="SimSun" w:hAnsi="SimSun" w:eastAsia="SimSun" w:cs="SimSun"/>
                <w:sz w:val="20"/>
                <w:szCs w:val="20"/>
              </w:rPr>
            </w:pPr>
            <w:r>
              <w:rPr>
                <w:rFonts w:ascii="SimSun" w:hAnsi="SimSun" w:eastAsia="SimSun" w:cs="SimSun"/>
                <w:sz w:val="20"/>
                <w:szCs w:val="20"/>
                <w:spacing w:val="7"/>
              </w:rPr>
              <w:t>排放方式</w:t>
            </w:r>
          </w:p>
        </w:tc>
        <w:tc>
          <w:tcPr>
            <w:tcW w:w="5704" w:type="dxa"/>
            <w:vAlign w:val="top"/>
          </w:tcPr>
          <w:p>
            <w:pPr>
              <w:pStyle w:val="TableText"/>
              <w:ind w:left="410"/>
              <w:spacing w:before="32" w:line="219" w:lineRule="auto"/>
              <w:rPr>
                <w:rFonts w:ascii="SimSun" w:hAnsi="SimSun" w:eastAsia="SimSun" w:cs="SimSun"/>
              </w:rPr>
            </w:pPr>
            <w:r>
              <w:rPr>
                <w:rFonts w:ascii="SimSun" w:hAnsi="SimSun" w:eastAsia="SimSun" w:cs="SimSun"/>
                <w:spacing w:val="7"/>
              </w:rPr>
              <w:t>废水排放量</w:t>
            </w:r>
            <w:r>
              <w:rPr>
                <w:rFonts w:ascii="SimSun" w:hAnsi="SimSun" w:eastAsia="SimSun" w:cs="SimSun"/>
                <w:spacing w:val="-38"/>
              </w:rPr>
              <w:t xml:space="preserve"> </w:t>
            </w:r>
            <w:r>
              <w:rPr>
                <w:spacing w:val="7"/>
              </w:rPr>
              <w:t>Q/(m</w:t>
            </w:r>
            <w:r>
              <w:rPr>
                <w:sz w:val="13"/>
                <w:szCs w:val="13"/>
                <w:spacing w:val="7"/>
                <w:position w:val="6"/>
              </w:rPr>
              <w:t>3</w:t>
            </w:r>
            <w:r>
              <w:rPr>
                <w:spacing w:val="7"/>
              </w:rPr>
              <w:t>/d)</w:t>
            </w:r>
            <w:r>
              <w:rPr>
                <w:rFonts w:ascii="SimSun" w:hAnsi="SimSun" w:eastAsia="SimSun" w:cs="SimSun"/>
                <w:spacing w:val="7"/>
              </w:rPr>
              <w:t>；水污染物当量数</w:t>
            </w:r>
            <w:r>
              <w:rPr>
                <w:rFonts w:ascii="SimSun" w:hAnsi="SimSun" w:eastAsia="SimSun" w:cs="SimSun"/>
                <w:spacing w:val="-42"/>
              </w:rPr>
              <w:t xml:space="preserve"> </w:t>
            </w:r>
            <w:r>
              <w:rPr>
                <w:spacing w:val="7"/>
              </w:rPr>
              <w:t>W/</w:t>
            </w:r>
            <w:r>
              <w:rPr>
                <w:rFonts w:ascii="SimSun" w:hAnsi="SimSun" w:eastAsia="SimSun" w:cs="SimSun"/>
                <w:spacing w:val="7"/>
              </w:rPr>
              <w:t>（无</w:t>
            </w:r>
            <w:r>
              <w:rPr>
                <w:rFonts w:ascii="SimSun" w:hAnsi="SimSun" w:eastAsia="SimSun" w:cs="SimSun"/>
                <w:spacing w:val="6"/>
              </w:rPr>
              <w:t>量纲）</w:t>
            </w:r>
          </w:p>
        </w:tc>
      </w:tr>
      <w:tr>
        <w:trPr>
          <w:trHeight w:val="282" w:hRule="atLeast"/>
        </w:trPr>
        <w:tc>
          <w:tcPr>
            <w:tcW w:w="1875" w:type="dxa"/>
            <w:vAlign w:val="top"/>
          </w:tcPr>
          <w:p>
            <w:pPr>
              <w:ind w:left="733"/>
              <w:spacing w:before="32" w:line="221" w:lineRule="auto"/>
              <w:rPr>
                <w:rFonts w:ascii="SimSun" w:hAnsi="SimSun" w:eastAsia="SimSun" w:cs="SimSun"/>
                <w:sz w:val="20"/>
                <w:szCs w:val="20"/>
              </w:rPr>
            </w:pPr>
            <w:r>
              <w:rPr>
                <w:rFonts w:ascii="SimSun" w:hAnsi="SimSun" w:eastAsia="SimSun" w:cs="SimSun"/>
                <w:sz w:val="20"/>
                <w:szCs w:val="20"/>
                <w:spacing w:val="3"/>
              </w:rPr>
              <w:t>一级</w:t>
            </w:r>
          </w:p>
        </w:tc>
        <w:tc>
          <w:tcPr>
            <w:tcW w:w="1552" w:type="dxa"/>
            <w:vAlign w:val="top"/>
          </w:tcPr>
          <w:p>
            <w:pPr>
              <w:ind w:left="361"/>
              <w:spacing w:before="32" w:line="221" w:lineRule="auto"/>
              <w:rPr>
                <w:rFonts w:ascii="SimSun" w:hAnsi="SimSun" w:eastAsia="SimSun" w:cs="SimSun"/>
                <w:sz w:val="20"/>
                <w:szCs w:val="20"/>
              </w:rPr>
            </w:pPr>
            <w:r>
              <w:rPr>
                <w:rFonts w:ascii="SimSun" w:hAnsi="SimSun" w:eastAsia="SimSun" w:cs="SimSun"/>
                <w:sz w:val="20"/>
                <w:szCs w:val="20"/>
                <w:spacing w:val="6"/>
              </w:rPr>
              <w:t>直接排放</w:t>
            </w:r>
          </w:p>
        </w:tc>
        <w:tc>
          <w:tcPr>
            <w:tcW w:w="5704" w:type="dxa"/>
            <w:vAlign w:val="top"/>
          </w:tcPr>
          <w:p>
            <w:pPr>
              <w:pStyle w:val="TableText"/>
              <w:ind w:left="1831"/>
              <w:spacing w:before="32" w:line="221" w:lineRule="auto"/>
              <w:rPr/>
            </w:pPr>
            <w:r>
              <w:rPr>
                <w:spacing w:val="4"/>
              </w:rPr>
              <w:t>Q≥20000 </w:t>
            </w:r>
            <w:r>
              <w:rPr>
                <w:rFonts w:ascii="SimSun" w:hAnsi="SimSun" w:eastAsia="SimSun" w:cs="SimSun"/>
                <w:spacing w:val="4"/>
              </w:rPr>
              <w:t>或</w:t>
            </w:r>
            <w:r>
              <w:rPr>
                <w:rFonts w:ascii="SimSun" w:hAnsi="SimSun" w:eastAsia="SimSun" w:cs="SimSun"/>
                <w:spacing w:val="-31"/>
              </w:rPr>
              <w:t xml:space="preserve"> </w:t>
            </w:r>
            <w:r>
              <w:rPr>
                <w:spacing w:val="4"/>
              </w:rPr>
              <w:t>W≥600000</w:t>
            </w:r>
          </w:p>
        </w:tc>
      </w:tr>
      <w:tr>
        <w:trPr>
          <w:trHeight w:val="279" w:hRule="atLeast"/>
        </w:trPr>
        <w:tc>
          <w:tcPr>
            <w:tcW w:w="1875" w:type="dxa"/>
            <w:vAlign w:val="top"/>
          </w:tcPr>
          <w:p>
            <w:pPr>
              <w:ind w:left="733"/>
              <w:spacing w:before="33" w:line="217" w:lineRule="auto"/>
              <w:rPr>
                <w:rFonts w:ascii="SimSun" w:hAnsi="SimSun" w:eastAsia="SimSun" w:cs="SimSun"/>
                <w:sz w:val="20"/>
                <w:szCs w:val="20"/>
              </w:rPr>
            </w:pPr>
            <w:r>
              <w:rPr>
                <w:rFonts w:ascii="SimSun" w:hAnsi="SimSun" w:eastAsia="SimSun" w:cs="SimSun"/>
                <w:sz w:val="20"/>
                <w:szCs w:val="20"/>
                <w:spacing w:val="3"/>
              </w:rPr>
              <w:t>二级</w:t>
            </w:r>
          </w:p>
        </w:tc>
        <w:tc>
          <w:tcPr>
            <w:tcW w:w="1552" w:type="dxa"/>
            <w:vAlign w:val="top"/>
          </w:tcPr>
          <w:p>
            <w:pPr>
              <w:ind w:left="361"/>
              <w:spacing w:before="33" w:line="217" w:lineRule="auto"/>
              <w:rPr>
                <w:rFonts w:ascii="SimSun" w:hAnsi="SimSun" w:eastAsia="SimSun" w:cs="SimSun"/>
                <w:sz w:val="20"/>
                <w:szCs w:val="20"/>
              </w:rPr>
            </w:pPr>
            <w:r>
              <w:rPr>
                <w:rFonts w:ascii="SimSun" w:hAnsi="SimSun" w:eastAsia="SimSun" w:cs="SimSun"/>
                <w:sz w:val="20"/>
                <w:szCs w:val="20"/>
                <w:spacing w:val="6"/>
              </w:rPr>
              <w:t>直接排放</w:t>
            </w:r>
          </w:p>
        </w:tc>
        <w:tc>
          <w:tcPr>
            <w:tcW w:w="5704" w:type="dxa"/>
            <w:vAlign w:val="top"/>
          </w:tcPr>
          <w:p>
            <w:pPr>
              <w:ind w:left="2644"/>
              <w:spacing w:before="33" w:line="217" w:lineRule="auto"/>
              <w:rPr>
                <w:rFonts w:ascii="SimSun" w:hAnsi="SimSun" w:eastAsia="SimSun" w:cs="SimSun"/>
                <w:sz w:val="20"/>
                <w:szCs w:val="20"/>
              </w:rPr>
            </w:pPr>
            <w:r>
              <w:rPr>
                <w:rFonts w:ascii="SimSun" w:hAnsi="SimSun" w:eastAsia="SimSun" w:cs="SimSun"/>
                <w:sz w:val="20"/>
                <w:szCs w:val="20"/>
                <w:spacing w:val="4"/>
              </w:rPr>
              <w:t>其他</w:t>
            </w:r>
          </w:p>
        </w:tc>
      </w:tr>
      <w:tr>
        <w:trPr>
          <w:trHeight w:val="280" w:hRule="atLeast"/>
        </w:trPr>
        <w:tc>
          <w:tcPr>
            <w:tcW w:w="1875" w:type="dxa"/>
            <w:vAlign w:val="top"/>
          </w:tcPr>
          <w:p>
            <w:pPr>
              <w:pStyle w:val="TableText"/>
              <w:ind w:left="631"/>
              <w:spacing w:before="32" w:line="219" w:lineRule="auto"/>
              <w:rPr/>
            </w:pPr>
            <w:r>
              <w:rPr>
                <w:rFonts w:ascii="SimSun" w:hAnsi="SimSun" w:eastAsia="SimSun" w:cs="SimSun"/>
                <w:spacing w:val="4"/>
              </w:rPr>
              <w:t>三级</w:t>
            </w:r>
            <w:r>
              <w:rPr>
                <w:rFonts w:ascii="SimSun" w:hAnsi="SimSun" w:eastAsia="SimSun" w:cs="SimSun"/>
                <w:spacing w:val="-45"/>
              </w:rPr>
              <w:t xml:space="preserve"> </w:t>
            </w:r>
            <w:r>
              <w:rPr>
                <w:spacing w:val="4"/>
              </w:rPr>
              <w:t>A</w:t>
            </w:r>
          </w:p>
        </w:tc>
        <w:tc>
          <w:tcPr>
            <w:tcW w:w="1552" w:type="dxa"/>
            <w:vAlign w:val="top"/>
          </w:tcPr>
          <w:p>
            <w:pPr>
              <w:ind w:left="361"/>
              <w:spacing w:before="32" w:line="219" w:lineRule="auto"/>
              <w:rPr>
                <w:rFonts w:ascii="SimSun" w:hAnsi="SimSun" w:eastAsia="SimSun" w:cs="SimSun"/>
                <w:sz w:val="20"/>
                <w:szCs w:val="20"/>
              </w:rPr>
            </w:pPr>
            <w:r>
              <w:rPr>
                <w:rFonts w:ascii="SimSun" w:hAnsi="SimSun" w:eastAsia="SimSun" w:cs="SimSun"/>
                <w:sz w:val="20"/>
                <w:szCs w:val="20"/>
                <w:spacing w:val="6"/>
              </w:rPr>
              <w:t>直接排放</w:t>
            </w:r>
          </w:p>
        </w:tc>
        <w:tc>
          <w:tcPr>
            <w:tcW w:w="5704" w:type="dxa"/>
            <w:vAlign w:val="top"/>
          </w:tcPr>
          <w:p>
            <w:pPr>
              <w:pStyle w:val="TableText"/>
              <w:ind w:left="2035"/>
              <w:spacing w:before="32" w:line="219" w:lineRule="auto"/>
              <w:rPr/>
            </w:pPr>
            <w:r>
              <w:rPr>
                <w:spacing w:val="4"/>
              </w:rPr>
              <w:t>Q&lt;200 </w:t>
            </w:r>
            <w:r>
              <w:rPr>
                <w:rFonts w:ascii="SimSun" w:hAnsi="SimSun" w:eastAsia="SimSun" w:cs="SimSun"/>
                <w:spacing w:val="4"/>
              </w:rPr>
              <w:t>且</w:t>
            </w:r>
            <w:r>
              <w:rPr>
                <w:rFonts w:ascii="SimSun" w:hAnsi="SimSun" w:eastAsia="SimSun" w:cs="SimSun"/>
                <w:spacing w:val="-34"/>
              </w:rPr>
              <w:t xml:space="preserve"> </w:t>
            </w:r>
            <w:r>
              <w:rPr>
                <w:spacing w:val="4"/>
              </w:rPr>
              <w:t>W&lt;6000</w:t>
            </w:r>
          </w:p>
        </w:tc>
      </w:tr>
      <w:tr>
        <w:trPr>
          <w:trHeight w:val="299" w:hRule="atLeast"/>
        </w:trPr>
        <w:tc>
          <w:tcPr>
            <w:tcW w:w="1875" w:type="dxa"/>
            <w:vAlign w:val="top"/>
          </w:tcPr>
          <w:p>
            <w:pPr>
              <w:pStyle w:val="TableText"/>
              <w:ind w:left="634"/>
              <w:spacing w:before="40" w:line="229" w:lineRule="auto"/>
              <w:rPr/>
            </w:pPr>
            <w:r>
              <w:rPr>
                <w:rFonts w:ascii="SimSun" w:hAnsi="SimSun" w:eastAsia="SimSun" w:cs="SimSun"/>
                <w:b/>
                <w:bCs/>
                <w:spacing w:val="3"/>
              </w:rPr>
              <w:t>三级</w:t>
            </w:r>
            <w:r>
              <w:rPr>
                <w:rFonts w:ascii="SimSun" w:hAnsi="SimSun" w:eastAsia="SimSun" w:cs="SimSun"/>
                <w:spacing w:val="-41"/>
              </w:rPr>
              <w:t xml:space="preserve"> </w:t>
            </w:r>
            <w:r>
              <w:rPr>
                <w:b/>
                <w:bCs/>
                <w:spacing w:val="3"/>
              </w:rPr>
              <w:t>B</w:t>
            </w:r>
          </w:p>
        </w:tc>
        <w:tc>
          <w:tcPr>
            <w:tcW w:w="1552" w:type="dxa"/>
            <w:vAlign w:val="top"/>
          </w:tcPr>
          <w:p>
            <w:pPr>
              <w:ind w:left="376"/>
              <w:spacing w:before="40" w:line="229" w:lineRule="auto"/>
              <w:rPr>
                <w:rFonts w:ascii="SimSun" w:hAnsi="SimSun" w:eastAsia="SimSun" w:cs="SimSun"/>
                <w:sz w:val="20"/>
                <w:szCs w:val="20"/>
              </w:rPr>
            </w:pPr>
            <w:r>
              <w:rPr>
                <w:rFonts w:ascii="SimSun" w:hAnsi="SimSun" w:eastAsia="SimSun" w:cs="SimSun"/>
                <w:sz w:val="20"/>
                <w:szCs w:val="20"/>
                <w:b/>
                <w:bCs/>
                <w:spacing w:val="1"/>
              </w:rPr>
              <w:t>间接排放</w:t>
            </w:r>
          </w:p>
        </w:tc>
        <w:tc>
          <w:tcPr>
            <w:tcW w:w="5704" w:type="dxa"/>
            <w:vAlign w:val="top"/>
          </w:tcPr>
          <w:p>
            <w:pPr>
              <w:rPr>
                <w:rFonts w:ascii="Arial"/>
                <w:sz w:val="21"/>
              </w:rPr>
            </w:pPr>
            <w:r/>
          </w:p>
        </w:tc>
      </w:tr>
    </w:tbl>
    <w:p>
      <w:pPr>
        <w:ind w:left="39"/>
        <w:spacing w:before="29" w:line="226" w:lineRule="auto"/>
        <w:rPr>
          <w:rFonts w:ascii="SimSun" w:hAnsi="SimSun" w:eastAsia="SimSun" w:cs="SimSun"/>
          <w:sz w:val="20"/>
          <w:szCs w:val="20"/>
        </w:rPr>
      </w:pPr>
      <w:r>
        <w:rPr>
          <w:rFonts w:ascii="SimSun" w:hAnsi="SimSun" w:eastAsia="SimSun" w:cs="SimSun"/>
          <w:sz w:val="20"/>
          <w:szCs w:val="20"/>
          <w:spacing w:val="9"/>
        </w:rPr>
        <w:t>注：建设项目生产工艺中有废水产生，但作为回水利用，不排放到外环境的，按三级</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9"/>
        </w:rPr>
        <w:t>B </w:t>
      </w:r>
      <w:r>
        <w:rPr>
          <w:rFonts w:ascii="SimSun" w:hAnsi="SimSun" w:eastAsia="SimSun" w:cs="SimSun"/>
          <w:sz w:val="20"/>
          <w:szCs w:val="20"/>
          <w:spacing w:val="9"/>
        </w:rPr>
        <w:t>评价。</w:t>
      </w:r>
    </w:p>
    <w:p>
      <w:pPr>
        <w:ind w:left="40" w:right="33" w:firstLine="483"/>
        <w:spacing w:before="143" w:line="339" w:lineRule="auto"/>
        <w:jc w:val="both"/>
        <w:rPr>
          <w:rFonts w:ascii="SimSun" w:hAnsi="SimSun" w:eastAsia="SimSun" w:cs="SimSun"/>
          <w:sz w:val="24"/>
          <w:szCs w:val="24"/>
        </w:rPr>
      </w:pPr>
      <w:r>
        <w:rPr>
          <w:rFonts w:ascii="SimSun" w:hAnsi="SimSun" w:eastAsia="SimSun" w:cs="SimSun"/>
          <w:sz w:val="24"/>
          <w:szCs w:val="24"/>
          <w:spacing w:val="-2"/>
        </w:rPr>
        <w:t>项目运营期产生的矿井水与矿坑水经矿井（坑）水处理站处理后用于生产用水、生</w:t>
      </w:r>
      <w:r>
        <w:rPr>
          <w:rFonts w:ascii="SimSun" w:hAnsi="SimSun" w:eastAsia="SimSun" w:cs="SimSun"/>
          <w:sz w:val="24"/>
          <w:szCs w:val="24"/>
          <w:spacing w:val="-2"/>
        </w:rPr>
        <w:t>活用水、消防及道路、绿化洒水等，剩余部分回用于金山电厂用水；生活污水经生活污</w:t>
      </w:r>
      <w:r>
        <w:rPr>
          <w:rFonts w:ascii="SimSun" w:hAnsi="SimSun" w:eastAsia="SimSun" w:cs="SimSun"/>
          <w:sz w:val="24"/>
          <w:szCs w:val="24"/>
          <w:spacing w:val="-2"/>
        </w:rPr>
        <w:t>水处理站处理后用于道路、绿化洒水、输煤系统洒水及汽车冲洗洒水等，全部回用。矿</w:t>
      </w:r>
      <w:r>
        <w:rPr>
          <w:rFonts w:ascii="SimSun" w:hAnsi="SimSun" w:eastAsia="SimSun" w:cs="SimSun"/>
          <w:sz w:val="24"/>
          <w:szCs w:val="24"/>
          <w:spacing w:val="-1"/>
        </w:rPr>
        <w:t>井（坑）水与生活污水均处理后不外排，回用率</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1"/>
        </w:rPr>
        <w:t>100%</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。按照《环境影响评价技术导则</w:t>
      </w:r>
      <w:r>
        <w:rPr>
          <w:rFonts w:ascii="SimSun" w:hAnsi="SimSun" w:eastAsia="SimSun" w:cs="SimSun"/>
          <w:sz w:val="24"/>
          <w:szCs w:val="24"/>
        </w:rPr>
        <w:t>地表水环境》（</w:t>
      </w:r>
      <w:r>
        <w:rPr>
          <w:rFonts w:ascii="Times New Roman" w:hAnsi="Times New Roman" w:eastAsia="Times New Roman" w:cs="Times New Roman"/>
          <w:sz w:val="24"/>
          <w:szCs w:val="24"/>
        </w:rPr>
        <w:t>HJ2.3-2018</w:t>
      </w:r>
      <w:r>
        <w:rPr>
          <w:rFonts w:ascii="SimSun" w:hAnsi="SimSun" w:eastAsia="SimSun" w:cs="SimSun"/>
          <w:sz w:val="24"/>
          <w:szCs w:val="24"/>
        </w:rPr>
        <w:t>）的</w:t>
      </w:r>
      <w:r>
        <w:rPr>
          <w:rFonts w:ascii="SimSun" w:hAnsi="SimSun" w:eastAsia="SimSun" w:cs="SimSun"/>
          <w:sz w:val="24"/>
          <w:szCs w:val="24"/>
          <w:spacing w:val="-1"/>
        </w:rPr>
        <w:t>判别标准，评价等级为三级</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B</w:t>
      </w:r>
      <w:r>
        <w:rPr>
          <w:rFonts w:ascii="SimSun" w:hAnsi="SimSun" w:eastAsia="SimSun" w:cs="SimSun"/>
          <w:sz w:val="24"/>
          <w:szCs w:val="24"/>
          <w:spacing w:val="-1"/>
        </w:rPr>
        <w:t>。</w:t>
      </w:r>
    </w:p>
    <w:p>
      <w:pPr>
        <w:ind w:left="36"/>
        <w:spacing w:before="25"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2.5.2.2  </w:t>
      </w:r>
      <w:r>
        <w:rPr>
          <w:rFonts w:ascii="SimHei" w:hAnsi="SimHei" w:eastAsia="SimHei" w:cs="SimHei"/>
          <w:sz w:val="24"/>
          <w:szCs w:val="24"/>
          <w:b/>
          <w:bCs/>
          <w:spacing w:val="-1"/>
        </w:rPr>
        <w:t>地下水环境</w:t>
      </w:r>
    </w:p>
    <w:p>
      <w:pPr>
        <w:ind w:left="527"/>
        <w:spacing w:before="161"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）建设项目分级</w:t>
      </w:r>
    </w:p>
    <w:p>
      <w:pPr>
        <w:ind w:left="39" w:right="20" w:firstLine="480"/>
        <w:spacing w:before="152" w:line="339" w:lineRule="auto"/>
        <w:rPr>
          <w:rFonts w:ascii="SimSun" w:hAnsi="SimSun" w:eastAsia="SimSun" w:cs="SimSun"/>
          <w:sz w:val="24"/>
          <w:szCs w:val="24"/>
        </w:rPr>
      </w:pPr>
      <w:r>
        <w:rPr>
          <w:rFonts w:ascii="SimSun" w:hAnsi="SimSun" w:eastAsia="SimSun" w:cs="SimSun"/>
          <w:sz w:val="24"/>
          <w:szCs w:val="24"/>
          <w:spacing w:val="-2"/>
        </w:rPr>
        <w:t>根据《建设项目环境影响评价分类管理名录》，煤矿项目煤矸石转运场属于Ⅱ类建</w:t>
      </w:r>
      <w:r>
        <w:rPr>
          <w:rFonts w:ascii="SimSun" w:hAnsi="SimSun" w:eastAsia="SimSun" w:cs="SimSun"/>
          <w:sz w:val="24"/>
          <w:szCs w:val="24"/>
          <w:spacing w:val="-1"/>
        </w:rPr>
        <w:t>设项目，其余场地属于</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类建设项目。本项目不设置矸石转运场</w:t>
      </w:r>
      <w:r>
        <w:rPr>
          <w:rFonts w:ascii="SimSun" w:hAnsi="SimSun" w:eastAsia="SimSun" w:cs="SimSun"/>
          <w:sz w:val="24"/>
          <w:szCs w:val="24"/>
          <w:spacing w:val="-2"/>
        </w:rPr>
        <w:t>，选煤矸石均采用圆筒</w:t>
      </w:r>
      <w:r>
        <w:rPr>
          <w:rFonts w:ascii="SimSun" w:hAnsi="SimSun" w:eastAsia="SimSun" w:cs="SimSun"/>
          <w:sz w:val="24"/>
          <w:szCs w:val="24"/>
          <w:spacing w:val="-1"/>
        </w:rPr>
        <w:t>仓储存，风井场地无地下水污染源，本次不做评价。本次评价区内主要</w:t>
      </w:r>
      <w:r>
        <w:rPr>
          <w:rFonts w:ascii="SimSun" w:hAnsi="SimSun" w:eastAsia="SimSun" w:cs="SimSun"/>
          <w:sz w:val="24"/>
          <w:szCs w:val="24"/>
          <w:spacing w:val="-2"/>
        </w:rPr>
        <w:t>包含工业场地、</w:t>
      </w:r>
      <w:r>
        <w:rPr>
          <w:rFonts w:ascii="SimSun" w:hAnsi="SimSun" w:eastAsia="SimSun" w:cs="SimSun"/>
          <w:sz w:val="24"/>
          <w:szCs w:val="24"/>
          <w:spacing w:val="-1"/>
        </w:rPr>
        <w:t>矿井（坑）水处理厂，各场地属于</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类建设项目。</w:t>
      </w:r>
    </w:p>
    <w:p>
      <w:pPr>
        <w:ind w:left="527"/>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）地下水环境敏感程度</w:t>
      </w:r>
    </w:p>
    <w:p>
      <w:pPr>
        <w:ind w:left="41" w:right="33" w:firstLine="480"/>
        <w:spacing w:before="152" w:line="341" w:lineRule="auto"/>
        <w:rPr>
          <w:rFonts w:ascii="SimSun" w:hAnsi="SimSun" w:eastAsia="SimSun" w:cs="SimSun"/>
          <w:sz w:val="24"/>
          <w:szCs w:val="24"/>
        </w:rPr>
      </w:pPr>
      <w:r>
        <w:rPr>
          <w:rFonts w:ascii="SimSun" w:hAnsi="SimSun" w:eastAsia="SimSun" w:cs="SimSun"/>
          <w:sz w:val="24"/>
          <w:szCs w:val="24"/>
          <w:spacing w:val="-2"/>
        </w:rPr>
        <w:t>本项目评价范围内不涉及集中式饮用水源地准保护区、特殊地下水资源保护区及其</w:t>
      </w:r>
      <w:r>
        <w:rPr>
          <w:rFonts w:ascii="SimSun" w:hAnsi="SimSun" w:eastAsia="SimSun" w:cs="SimSun"/>
          <w:sz w:val="24"/>
          <w:szCs w:val="24"/>
          <w:spacing w:val="-2"/>
        </w:rPr>
        <w:t>它相关保护区；井田内牧民已经全部搬迁，无饮用水井分布，但是井田周边有分散牧民</w:t>
      </w:r>
      <w:r>
        <w:rPr>
          <w:rFonts w:ascii="SimSun" w:hAnsi="SimSun" w:eastAsia="SimSun" w:cs="SimSun"/>
          <w:sz w:val="24"/>
          <w:szCs w:val="24"/>
          <w:spacing w:val="1"/>
        </w:rPr>
        <w:t>水井分布，供饮用和牲畜用水；根据表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2-5-4</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，建设项目地下水环境</w:t>
      </w:r>
      <w:r>
        <w:rPr>
          <w:rFonts w:ascii="SimSun" w:hAnsi="SimSun" w:eastAsia="SimSun" w:cs="SimSun"/>
          <w:sz w:val="24"/>
          <w:szCs w:val="24"/>
        </w:rPr>
        <w:t>敏感程度为“较敏</w:t>
      </w:r>
      <w:r>
        <w:rPr>
          <w:rFonts w:ascii="SimSun" w:hAnsi="SimSun" w:eastAsia="SimSun" w:cs="SimSun"/>
          <w:sz w:val="24"/>
          <w:szCs w:val="24"/>
          <w:spacing w:val="-4"/>
        </w:rPr>
        <w:t>感</w:t>
      </w:r>
      <w:r>
        <w:rPr>
          <w:rFonts w:ascii="SimSun" w:hAnsi="SimSun" w:eastAsia="SimSun" w:cs="SimSun"/>
          <w:sz w:val="24"/>
          <w:szCs w:val="24"/>
          <w:spacing w:val="-87"/>
        </w:rPr>
        <w:t xml:space="preserve"> </w:t>
      </w:r>
      <w:r>
        <w:rPr>
          <w:rFonts w:ascii="SimSun" w:hAnsi="SimSun" w:eastAsia="SimSun" w:cs="SimSun"/>
          <w:sz w:val="24"/>
          <w:szCs w:val="24"/>
          <w:spacing w:val="-4"/>
        </w:rPr>
        <w:t>”。</w:t>
      </w:r>
    </w:p>
    <w:p>
      <w:pPr>
        <w:spacing w:line="341" w:lineRule="auto"/>
        <w:sectPr>
          <w:headerReference w:type="default" r:id="rId56"/>
          <w:footerReference w:type="default" r:id="rId57"/>
          <w:pgSz w:w="11906" w:h="16838"/>
          <w:pgMar w:top="1170" w:right="1383" w:bottom="1080" w:left="1384" w:header="837" w:footer="918" w:gutter="0"/>
        </w:sectPr>
        <w:rPr>
          <w:rFonts w:ascii="SimSun" w:hAnsi="SimSun" w:eastAsia="SimSun" w:cs="SimSun"/>
          <w:sz w:val="24"/>
          <w:szCs w:val="24"/>
        </w:rPr>
      </w:pPr>
    </w:p>
    <w:p>
      <w:pPr>
        <w:pStyle w:val="BodyText"/>
        <w:spacing w:line="441" w:lineRule="auto"/>
        <w:rPr/>
      </w:pPr>
      <w:r/>
    </w:p>
    <w:p>
      <w:pPr>
        <w:ind w:left="3336"/>
        <w:spacing w:before="78" w:line="221" w:lineRule="auto"/>
        <w:rPr>
          <w:rFonts w:ascii="SimHei" w:hAnsi="SimHei" w:eastAsia="SimHei" w:cs="SimHei"/>
          <w:sz w:val="24"/>
          <w:szCs w:val="24"/>
        </w:rPr>
      </w:pPr>
      <w:r>
        <w:rPr>
          <w:rFonts w:ascii="SimHei" w:hAnsi="SimHei" w:eastAsia="SimHei" w:cs="SimHei"/>
          <w:sz w:val="24"/>
          <w:szCs w:val="24"/>
          <w:spacing w:val="-1"/>
        </w:rPr>
        <w:t>地下水环境敏感程度分级</w:t>
      </w:r>
    </w:p>
    <w:p>
      <w:pPr>
        <w:ind w:left="118"/>
        <w:spacing w:before="183" w:line="221" w:lineRule="auto"/>
        <w:rPr>
          <w:rFonts w:ascii="Times New Roman" w:hAnsi="Times New Roman" w:eastAsia="Times New Roman" w:cs="Times New Roman"/>
          <w:sz w:val="24"/>
          <w:szCs w:val="24"/>
        </w:rPr>
      </w:pPr>
      <w:r>
        <w:rPr>
          <w:rFonts w:ascii="SimSun" w:hAnsi="SimSun" w:eastAsia="SimSun" w:cs="SimSun"/>
          <w:sz w:val="24"/>
          <w:szCs w:val="24"/>
          <w:spacing w:val="-3"/>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2-5-4</w:t>
      </w:r>
    </w:p>
    <w:p>
      <w:pPr>
        <w:spacing w:line="108"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96"/>
        <w:gridCol w:w="8194"/>
      </w:tblGrid>
      <w:tr>
        <w:trPr>
          <w:trHeight w:val="347" w:hRule="atLeast"/>
        </w:trPr>
        <w:tc>
          <w:tcPr>
            <w:tcW w:w="1096" w:type="dxa"/>
            <w:vAlign w:val="top"/>
          </w:tcPr>
          <w:p>
            <w:pPr>
              <w:ind w:left="344"/>
              <w:spacing w:before="67" w:line="228" w:lineRule="auto"/>
              <w:rPr>
                <w:rFonts w:ascii="SimSun" w:hAnsi="SimSun" w:eastAsia="SimSun" w:cs="SimSun"/>
                <w:sz w:val="20"/>
                <w:szCs w:val="20"/>
              </w:rPr>
            </w:pPr>
            <w:r>
              <w:rPr>
                <w:rFonts w:ascii="SimSun" w:hAnsi="SimSun" w:eastAsia="SimSun" w:cs="SimSun"/>
                <w:sz w:val="20"/>
                <w:szCs w:val="20"/>
                <w:spacing w:val="3"/>
              </w:rPr>
              <w:t>分级</w:t>
            </w:r>
          </w:p>
        </w:tc>
        <w:tc>
          <w:tcPr>
            <w:tcW w:w="8194" w:type="dxa"/>
            <w:vAlign w:val="top"/>
          </w:tcPr>
          <w:p>
            <w:pPr>
              <w:ind w:left="2632"/>
              <w:spacing w:before="67" w:line="228" w:lineRule="auto"/>
              <w:rPr>
                <w:rFonts w:ascii="SimSun" w:hAnsi="SimSun" w:eastAsia="SimSun" w:cs="SimSun"/>
                <w:sz w:val="20"/>
                <w:szCs w:val="20"/>
              </w:rPr>
            </w:pPr>
            <w:r>
              <w:rPr>
                <w:rFonts w:ascii="SimSun" w:hAnsi="SimSun" w:eastAsia="SimSun" w:cs="SimSun"/>
                <w:sz w:val="20"/>
                <w:szCs w:val="20"/>
                <w:spacing w:val="9"/>
              </w:rPr>
              <w:t>项目场地的地下水环境敏感特征</w:t>
            </w:r>
          </w:p>
        </w:tc>
      </w:tr>
      <w:tr>
        <w:trPr>
          <w:trHeight w:val="821" w:hRule="atLeast"/>
        </w:trPr>
        <w:tc>
          <w:tcPr>
            <w:tcW w:w="1096" w:type="dxa"/>
            <w:vAlign w:val="top"/>
          </w:tcPr>
          <w:p>
            <w:pPr>
              <w:ind w:left="342"/>
              <w:spacing w:before="303" w:line="228" w:lineRule="auto"/>
              <w:rPr>
                <w:rFonts w:ascii="SimSun" w:hAnsi="SimSun" w:eastAsia="SimSun" w:cs="SimSun"/>
                <w:sz w:val="20"/>
                <w:szCs w:val="20"/>
              </w:rPr>
            </w:pPr>
            <w:r>
              <w:rPr>
                <w:rFonts w:ascii="SimSun" w:hAnsi="SimSun" w:eastAsia="SimSun" w:cs="SimSun"/>
                <w:sz w:val="20"/>
                <w:szCs w:val="20"/>
                <w:spacing w:val="4"/>
              </w:rPr>
              <w:t>敏感</w:t>
            </w:r>
          </w:p>
        </w:tc>
        <w:tc>
          <w:tcPr>
            <w:tcW w:w="8194" w:type="dxa"/>
            <w:vAlign w:val="top"/>
          </w:tcPr>
          <w:p>
            <w:pPr>
              <w:ind w:right="12"/>
              <w:spacing w:before="31" w:line="228" w:lineRule="auto"/>
              <w:jc w:val="right"/>
              <w:rPr>
                <w:rFonts w:ascii="SimSun" w:hAnsi="SimSun" w:eastAsia="SimSun" w:cs="SimSun"/>
                <w:sz w:val="20"/>
                <w:szCs w:val="20"/>
              </w:rPr>
            </w:pPr>
            <w:r>
              <w:rPr>
                <w:rFonts w:ascii="SimSun" w:hAnsi="SimSun" w:eastAsia="SimSun" w:cs="SimSun"/>
                <w:sz w:val="20"/>
                <w:szCs w:val="20"/>
                <w:spacing w:val="7"/>
              </w:rPr>
              <w:t>集中式饮用水水源（包括已建成的在用、备用、应急水源地，在建和规</w:t>
            </w:r>
            <w:r>
              <w:rPr>
                <w:rFonts w:ascii="SimSun" w:hAnsi="SimSun" w:eastAsia="SimSun" w:cs="SimSun"/>
                <w:sz w:val="20"/>
                <w:szCs w:val="20"/>
                <w:spacing w:val="6"/>
              </w:rPr>
              <w:t>划的饮用水水源）</w:t>
            </w:r>
          </w:p>
          <w:p>
            <w:pPr>
              <w:ind w:left="111"/>
              <w:spacing w:before="24" w:line="227" w:lineRule="auto"/>
              <w:rPr>
                <w:rFonts w:ascii="SimSun" w:hAnsi="SimSun" w:eastAsia="SimSun" w:cs="SimSun"/>
                <w:sz w:val="20"/>
                <w:szCs w:val="20"/>
              </w:rPr>
            </w:pPr>
            <w:r>
              <w:rPr>
                <w:rFonts w:ascii="SimSun" w:hAnsi="SimSun" w:eastAsia="SimSun" w:cs="SimSun"/>
                <w:sz w:val="20"/>
                <w:szCs w:val="20"/>
                <w:spacing w:val="10"/>
              </w:rPr>
              <w:t>准保护区；除集中式饮用水水源以外的国家或地方政府</w:t>
            </w:r>
            <w:r>
              <w:rPr>
                <w:rFonts w:ascii="SimSun" w:hAnsi="SimSun" w:eastAsia="SimSun" w:cs="SimSun"/>
                <w:sz w:val="20"/>
                <w:szCs w:val="20"/>
                <w:spacing w:val="9"/>
              </w:rPr>
              <w:t>设定的与地下水环境相关的其它</w:t>
            </w:r>
          </w:p>
          <w:p>
            <w:pPr>
              <w:ind w:left="1370"/>
              <w:spacing w:before="25" w:line="218" w:lineRule="auto"/>
              <w:rPr>
                <w:rFonts w:ascii="SimSun" w:hAnsi="SimSun" w:eastAsia="SimSun" w:cs="SimSun"/>
                <w:sz w:val="20"/>
                <w:szCs w:val="20"/>
              </w:rPr>
            </w:pPr>
            <w:r>
              <w:rPr>
                <w:rFonts w:ascii="SimSun" w:hAnsi="SimSun" w:eastAsia="SimSun" w:cs="SimSun"/>
                <w:sz w:val="20"/>
                <w:szCs w:val="20"/>
                <w:spacing w:val="9"/>
              </w:rPr>
              <w:t>保护区，如热水、矿泉水、温泉等特殊地下水资源保护区。</w:t>
            </w:r>
          </w:p>
        </w:tc>
      </w:tr>
      <w:tr>
        <w:trPr>
          <w:trHeight w:val="1092" w:hRule="atLeast"/>
        </w:trPr>
        <w:tc>
          <w:tcPr>
            <w:tcW w:w="1096" w:type="dxa"/>
            <w:vAlign w:val="top"/>
          </w:tcPr>
          <w:p>
            <w:pPr>
              <w:spacing w:line="372" w:lineRule="auto"/>
              <w:rPr>
                <w:rFonts w:ascii="Arial"/>
                <w:sz w:val="21"/>
              </w:rPr>
            </w:pPr>
            <w:r/>
          </w:p>
          <w:p>
            <w:pPr>
              <w:ind w:left="238"/>
              <w:spacing w:before="65" w:line="228" w:lineRule="auto"/>
              <w:rPr>
                <w:rFonts w:ascii="SimSun" w:hAnsi="SimSun" w:eastAsia="SimSun" w:cs="SimSun"/>
                <w:sz w:val="20"/>
                <w:szCs w:val="20"/>
              </w:rPr>
            </w:pPr>
            <w:r>
              <w:rPr>
                <w:rFonts w:ascii="SimSun" w:hAnsi="SimSun" w:eastAsia="SimSun" w:cs="SimSun"/>
                <w:sz w:val="20"/>
                <w:szCs w:val="20"/>
                <w:spacing w:val="6"/>
              </w:rPr>
              <w:t>较敏感</w:t>
            </w:r>
          </w:p>
        </w:tc>
        <w:tc>
          <w:tcPr>
            <w:tcW w:w="8194" w:type="dxa"/>
            <w:vAlign w:val="top"/>
          </w:tcPr>
          <w:p>
            <w:pPr>
              <w:ind w:left="109"/>
              <w:spacing w:before="31" w:line="228" w:lineRule="auto"/>
              <w:rPr>
                <w:rFonts w:ascii="SimSun" w:hAnsi="SimSun" w:eastAsia="SimSun" w:cs="SimSun"/>
                <w:sz w:val="20"/>
                <w:szCs w:val="20"/>
              </w:rPr>
            </w:pPr>
            <w:r>
              <w:rPr>
                <w:rFonts w:ascii="SimSun" w:hAnsi="SimSun" w:eastAsia="SimSun" w:cs="SimSun"/>
                <w:sz w:val="20"/>
                <w:szCs w:val="20"/>
                <w:spacing w:val="9"/>
              </w:rPr>
              <w:t>集中式饮用水水源（包括已建成的在用、备用、应急水源，在建和规划的饮用水水源）</w:t>
            </w:r>
          </w:p>
          <w:p>
            <w:pPr>
              <w:ind w:left="111"/>
              <w:spacing w:before="26" w:line="228" w:lineRule="auto"/>
              <w:rPr>
                <w:rFonts w:ascii="SimSun" w:hAnsi="SimSun" w:eastAsia="SimSun" w:cs="SimSun"/>
                <w:sz w:val="20"/>
                <w:szCs w:val="20"/>
              </w:rPr>
            </w:pPr>
            <w:r>
              <w:rPr>
                <w:rFonts w:ascii="SimSun" w:hAnsi="SimSun" w:eastAsia="SimSun" w:cs="SimSun"/>
                <w:sz w:val="20"/>
                <w:szCs w:val="20"/>
                <w:spacing w:val="10"/>
              </w:rPr>
              <w:t>准保护区以外的补给径流区；未划定准保护区的集中水</w:t>
            </w:r>
            <w:r>
              <w:rPr>
                <w:rFonts w:ascii="SimSun" w:hAnsi="SimSun" w:eastAsia="SimSun" w:cs="SimSun"/>
                <w:sz w:val="20"/>
                <w:szCs w:val="20"/>
                <w:spacing w:val="9"/>
              </w:rPr>
              <w:t>式饮用水水源，其保护区以外的</w:t>
            </w:r>
          </w:p>
          <w:p>
            <w:pPr>
              <w:ind w:left="109"/>
              <w:spacing w:before="24" w:line="228" w:lineRule="auto"/>
              <w:rPr>
                <w:rFonts w:ascii="SimSun" w:hAnsi="SimSun" w:eastAsia="SimSun" w:cs="SimSun"/>
                <w:sz w:val="20"/>
                <w:szCs w:val="20"/>
              </w:rPr>
            </w:pPr>
            <w:r>
              <w:rPr>
                <w:rFonts w:ascii="SimSun" w:hAnsi="SimSun" w:eastAsia="SimSun" w:cs="SimSun"/>
                <w:sz w:val="20"/>
                <w:szCs w:val="20"/>
                <w:spacing w:val="9"/>
              </w:rPr>
              <w:t>补给径流区；</w:t>
            </w:r>
            <w:r>
              <w:rPr>
                <w:rFonts w:ascii="SimSun" w:hAnsi="SimSun" w:eastAsia="SimSun" w:cs="SimSun"/>
                <w:sz w:val="20"/>
                <w:szCs w:val="20"/>
                <w:b/>
                <w:bCs/>
                <w:spacing w:val="9"/>
              </w:rPr>
              <w:t>分散式饮用水水源；</w:t>
            </w:r>
            <w:r>
              <w:rPr>
                <w:rFonts w:ascii="SimSun" w:hAnsi="SimSun" w:eastAsia="SimSun" w:cs="SimSun"/>
                <w:sz w:val="20"/>
                <w:szCs w:val="20"/>
                <w:spacing w:val="9"/>
              </w:rPr>
              <w:t>特殊地下水资源（如矿泉水、温泉等）保护区以外的</w:t>
            </w:r>
          </w:p>
          <w:p>
            <w:pPr>
              <w:ind w:left="1792"/>
              <w:spacing w:before="26" w:line="214" w:lineRule="auto"/>
              <w:rPr>
                <w:rFonts w:ascii="SimSun" w:hAnsi="SimSun" w:eastAsia="SimSun" w:cs="SimSun"/>
                <w:sz w:val="20"/>
                <w:szCs w:val="20"/>
              </w:rPr>
            </w:pPr>
            <w:r>
              <w:rPr>
                <w:rFonts w:ascii="SimSun" w:hAnsi="SimSun" w:eastAsia="SimSun" w:cs="SimSun"/>
                <w:sz w:val="20"/>
                <w:szCs w:val="20"/>
                <w:spacing w:val="9"/>
              </w:rPr>
              <w:t>分布区等其它未列入上述敏感分级的环境敏感区。</w:t>
            </w:r>
          </w:p>
        </w:tc>
      </w:tr>
      <w:tr>
        <w:trPr>
          <w:trHeight w:val="350" w:hRule="atLeast"/>
        </w:trPr>
        <w:tc>
          <w:tcPr>
            <w:tcW w:w="1096" w:type="dxa"/>
            <w:vAlign w:val="top"/>
          </w:tcPr>
          <w:p>
            <w:pPr>
              <w:ind w:left="241"/>
              <w:spacing w:before="67" w:line="228" w:lineRule="auto"/>
              <w:rPr>
                <w:rFonts w:ascii="SimSun" w:hAnsi="SimSun" w:eastAsia="SimSun" w:cs="SimSun"/>
                <w:sz w:val="20"/>
                <w:szCs w:val="20"/>
              </w:rPr>
            </w:pPr>
            <w:r>
              <w:rPr>
                <w:rFonts w:ascii="SimSun" w:hAnsi="SimSun" w:eastAsia="SimSun" w:cs="SimSun"/>
                <w:sz w:val="20"/>
                <w:szCs w:val="20"/>
                <w:spacing w:val="5"/>
              </w:rPr>
              <w:t>不敏感</w:t>
            </w:r>
          </w:p>
        </w:tc>
        <w:tc>
          <w:tcPr>
            <w:tcW w:w="8194" w:type="dxa"/>
            <w:vAlign w:val="top"/>
          </w:tcPr>
          <w:p>
            <w:pPr>
              <w:ind w:left="2842"/>
              <w:spacing w:before="68" w:line="228" w:lineRule="auto"/>
              <w:rPr>
                <w:rFonts w:ascii="SimSun" w:hAnsi="SimSun" w:eastAsia="SimSun" w:cs="SimSun"/>
                <w:sz w:val="20"/>
                <w:szCs w:val="20"/>
              </w:rPr>
            </w:pPr>
            <w:r>
              <w:rPr>
                <w:rFonts w:ascii="SimSun" w:hAnsi="SimSun" w:eastAsia="SimSun" w:cs="SimSun"/>
                <w:sz w:val="20"/>
                <w:szCs w:val="20"/>
                <w:spacing w:val="8"/>
              </w:rPr>
              <w:t>上述地区之外的其它地区。</w:t>
            </w:r>
          </w:p>
        </w:tc>
      </w:tr>
    </w:tbl>
    <w:p>
      <w:pPr>
        <w:pStyle w:val="BodyText"/>
        <w:spacing w:line="251" w:lineRule="auto"/>
        <w:rPr/>
      </w:pPr>
      <w:r/>
    </w:p>
    <w:p>
      <w:pPr>
        <w:pStyle w:val="BodyText"/>
        <w:spacing w:line="251" w:lineRule="auto"/>
        <w:rPr/>
      </w:pPr>
      <w:r/>
    </w:p>
    <w:p>
      <w:pPr>
        <w:ind w:left="606"/>
        <w:spacing w:before="78"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）建设项目评价工作等级</w:t>
      </w:r>
    </w:p>
    <w:p>
      <w:pPr>
        <w:ind w:left="120" w:right="112" w:firstLine="480"/>
        <w:spacing w:before="157" w:line="339" w:lineRule="auto"/>
        <w:rPr>
          <w:rFonts w:ascii="SimSun" w:hAnsi="SimSun" w:eastAsia="SimSun" w:cs="SimSun"/>
          <w:sz w:val="24"/>
          <w:szCs w:val="24"/>
        </w:rPr>
      </w:pPr>
      <w:r>
        <w:rPr>
          <w:rFonts w:ascii="SimSun" w:hAnsi="SimSun" w:eastAsia="SimSun" w:cs="SimSun"/>
          <w:sz w:val="24"/>
          <w:szCs w:val="24"/>
          <w:spacing w:val="-2"/>
        </w:rPr>
        <w:t>本项目无矸石周转场，工业场地、矿井（坑）水处理厂属于Ⅲ类建设项目，地下水</w:t>
      </w:r>
      <w:r>
        <w:rPr>
          <w:rFonts w:ascii="SimSun" w:hAnsi="SimSun" w:eastAsia="SimSun" w:cs="SimSun"/>
          <w:sz w:val="24"/>
          <w:szCs w:val="24"/>
          <w:spacing w:val="-1"/>
        </w:rPr>
        <w:t>敏感程度为较敏感，根据《环境影响评价技术导则地下水环境》（</w:t>
      </w:r>
      <w:r>
        <w:rPr>
          <w:rFonts w:ascii="Times New Roman" w:hAnsi="Times New Roman" w:eastAsia="Times New Roman" w:cs="Times New Roman"/>
          <w:sz w:val="24"/>
          <w:szCs w:val="24"/>
          <w:spacing w:val="-1"/>
        </w:rPr>
        <w:t>HJ610-20</w:t>
      </w:r>
      <w:r>
        <w:rPr>
          <w:rFonts w:ascii="Times New Roman" w:hAnsi="Times New Roman" w:eastAsia="Times New Roman" w:cs="Times New Roman"/>
          <w:sz w:val="24"/>
          <w:szCs w:val="24"/>
          <w:spacing w:val="-2"/>
        </w:rPr>
        <w:t>16</w:t>
      </w:r>
      <w:r>
        <w:rPr>
          <w:rFonts w:ascii="SimSun" w:hAnsi="SimSun" w:eastAsia="SimSun" w:cs="SimSun"/>
          <w:sz w:val="24"/>
          <w:szCs w:val="24"/>
          <w:spacing w:val="-1"/>
        </w:rPr>
        <w:t>），</w:t>
      </w:r>
      <w:r>
        <w:rPr>
          <w:rFonts w:ascii="SimSun" w:hAnsi="SimSun" w:eastAsia="SimSun" w:cs="SimSun"/>
          <w:sz w:val="24"/>
          <w:szCs w:val="24"/>
          <w:spacing w:val="-2"/>
        </w:rPr>
        <w:t>本次</w:t>
      </w:r>
      <w:r>
        <w:rPr>
          <w:rFonts w:ascii="SimSun" w:hAnsi="SimSun" w:eastAsia="SimSun" w:cs="SimSun"/>
          <w:sz w:val="24"/>
          <w:szCs w:val="24"/>
          <w:spacing w:val="-1"/>
        </w:rPr>
        <w:t>工业场地、矿井（坑）水处理厂的地下水评价等级为三级。</w:t>
      </w:r>
    </w:p>
    <w:p>
      <w:pPr>
        <w:ind w:left="2976"/>
        <w:spacing w:before="125" w:line="221" w:lineRule="auto"/>
        <w:rPr>
          <w:rFonts w:ascii="SimHei" w:hAnsi="SimHei" w:eastAsia="SimHei" w:cs="SimHei"/>
          <w:sz w:val="24"/>
          <w:szCs w:val="24"/>
        </w:rPr>
      </w:pPr>
      <w:r>
        <w:rPr>
          <w:rFonts w:ascii="SimHei" w:hAnsi="SimHei" w:eastAsia="SimHei" w:cs="SimHei"/>
          <w:sz w:val="24"/>
          <w:szCs w:val="24"/>
          <w:spacing w:val="-1"/>
        </w:rPr>
        <w:t>地下水环境评价工作等级判定表</w:t>
      </w:r>
    </w:p>
    <w:p>
      <w:pPr>
        <w:ind w:left="118"/>
        <w:spacing w:before="185" w:line="221" w:lineRule="auto"/>
        <w:rPr>
          <w:rFonts w:ascii="Times New Roman" w:hAnsi="Times New Roman" w:eastAsia="Times New Roman" w:cs="Times New Roman"/>
          <w:sz w:val="24"/>
          <w:szCs w:val="24"/>
        </w:rPr>
      </w:pPr>
      <w:r>
        <w:rPr>
          <w:rFonts w:ascii="SimSun" w:hAnsi="SimSun" w:eastAsia="SimSun" w:cs="SimSun"/>
          <w:sz w:val="24"/>
          <w:szCs w:val="24"/>
          <w:spacing w:val="-3"/>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2-5-5</w:t>
      </w:r>
    </w:p>
    <w:p>
      <w:pPr>
        <w:spacing w:line="82"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03"/>
        <w:gridCol w:w="1799"/>
        <w:gridCol w:w="2464"/>
        <w:gridCol w:w="2324"/>
      </w:tblGrid>
      <w:tr>
        <w:trPr>
          <w:trHeight w:val="338" w:hRule="atLeast"/>
        </w:trPr>
        <w:tc>
          <w:tcPr>
            <w:tcW w:w="9290" w:type="dxa"/>
            <w:vAlign w:val="top"/>
            <w:gridSpan w:val="4"/>
          </w:tcPr>
          <w:p>
            <w:pPr>
              <w:ind w:left="4232"/>
              <w:spacing w:before="60" w:line="228" w:lineRule="auto"/>
              <w:rPr>
                <w:rFonts w:ascii="SimSun" w:hAnsi="SimSun" w:eastAsia="SimSun" w:cs="SimSun"/>
                <w:sz w:val="20"/>
                <w:szCs w:val="20"/>
              </w:rPr>
            </w:pPr>
            <w:r>
              <w:rPr>
                <w:rFonts w:ascii="SimSun" w:hAnsi="SimSun" w:eastAsia="SimSun" w:cs="SimSun"/>
                <w:sz w:val="20"/>
                <w:szCs w:val="20"/>
                <w:spacing w:val="6"/>
              </w:rPr>
              <w:t>工业场地</w:t>
            </w:r>
          </w:p>
        </w:tc>
      </w:tr>
      <w:tr>
        <w:trPr>
          <w:trHeight w:val="549" w:hRule="atLeast"/>
        </w:trPr>
        <w:tc>
          <w:tcPr>
            <w:tcW w:w="2703" w:type="dxa"/>
            <w:vAlign w:val="top"/>
          </w:tcPr>
          <w:p>
            <w:pPr>
              <w:ind w:left="940"/>
              <w:spacing w:before="28" w:line="228" w:lineRule="auto"/>
              <w:rPr>
                <w:rFonts w:ascii="SimSun" w:hAnsi="SimSun" w:eastAsia="SimSun" w:cs="SimSun"/>
                <w:sz w:val="20"/>
                <w:szCs w:val="20"/>
              </w:rPr>
            </w:pPr>
            <w:r>
              <w:rPr>
                <w:rFonts w:ascii="SimSun" w:hAnsi="SimSun" w:eastAsia="SimSun" w:cs="SimSun"/>
                <w:sz w:val="20"/>
                <w:szCs w:val="20"/>
                <w:spacing w:val="6"/>
              </w:rPr>
              <w:t>项目类别</w:t>
            </w:r>
          </w:p>
          <w:p>
            <w:pPr>
              <w:ind w:left="725"/>
              <w:spacing w:before="24" w:line="220" w:lineRule="auto"/>
              <w:rPr>
                <w:rFonts w:ascii="SimSun" w:hAnsi="SimSun" w:eastAsia="SimSun" w:cs="SimSun"/>
                <w:sz w:val="20"/>
                <w:szCs w:val="20"/>
              </w:rPr>
            </w:pPr>
            <w:r>
              <w:rPr>
                <w:rFonts w:ascii="SimSun" w:hAnsi="SimSun" w:eastAsia="SimSun" w:cs="SimSun"/>
                <w:sz w:val="20"/>
                <w:szCs w:val="20"/>
                <w:spacing w:val="8"/>
              </w:rPr>
              <w:t>环境敏感程度</w:t>
            </w:r>
          </w:p>
        </w:tc>
        <w:tc>
          <w:tcPr>
            <w:tcW w:w="1799" w:type="dxa"/>
            <w:vAlign w:val="top"/>
          </w:tcPr>
          <w:p>
            <w:pPr>
              <w:pStyle w:val="TableText"/>
              <w:ind w:left="525"/>
              <w:spacing w:before="163" w:line="228" w:lineRule="auto"/>
              <w:rPr>
                <w:rFonts w:ascii="SimSun" w:hAnsi="SimSun" w:eastAsia="SimSun" w:cs="SimSun"/>
              </w:rPr>
            </w:pPr>
            <w:r>
              <w:rPr>
                <w:spacing w:val="4"/>
              </w:rPr>
              <w:t>I</w:t>
            </w:r>
            <w:r>
              <w:rPr>
                <w:spacing w:val="12"/>
                <w:w w:val="101"/>
              </w:rPr>
              <w:t xml:space="preserve"> </w:t>
            </w:r>
            <w:r>
              <w:rPr>
                <w:rFonts w:ascii="SimSun" w:hAnsi="SimSun" w:eastAsia="SimSun" w:cs="SimSun"/>
                <w:spacing w:val="4"/>
              </w:rPr>
              <w:t>类项目</w:t>
            </w:r>
          </w:p>
        </w:tc>
        <w:tc>
          <w:tcPr>
            <w:tcW w:w="2464" w:type="dxa"/>
            <w:vAlign w:val="top"/>
          </w:tcPr>
          <w:p>
            <w:pPr>
              <w:pStyle w:val="TableText"/>
              <w:ind w:left="823"/>
              <w:spacing w:before="163" w:line="228" w:lineRule="auto"/>
              <w:rPr>
                <w:rFonts w:ascii="SimSun" w:hAnsi="SimSun" w:eastAsia="SimSun" w:cs="SimSun"/>
              </w:rPr>
            </w:pPr>
            <w:r>
              <w:rPr/>
              <w:t>II</w:t>
            </w:r>
            <w:r>
              <w:rPr>
                <w:spacing w:val="10"/>
              </w:rPr>
              <w:t xml:space="preserve"> </w:t>
            </w:r>
            <w:r>
              <w:rPr>
                <w:rFonts w:ascii="SimSun" w:hAnsi="SimSun" w:eastAsia="SimSun" w:cs="SimSun"/>
                <w:spacing w:val="7"/>
              </w:rPr>
              <w:t>类项目</w:t>
            </w:r>
          </w:p>
        </w:tc>
        <w:tc>
          <w:tcPr>
            <w:tcW w:w="2324" w:type="dxa"/>
            <w:vAlign w:val="top"/>
          </w:tcPr>
          <w:p>
            <w:pPr>
              <w:pStyle w:val="TableText"/>
              <w:ind w:left="927"/>
              <w:spacing w:before="163" w:line="228" w:lineRule="auto"/>
              <w:rPr>
                <w:rFonts w:ascii="SimSun" w:hAnsi="SimSun" w:eastAsia="SimSun" w:cs="SimSun"/>
              </w:rPr>
            </w:pPr>
            <w:r>
              <w:rPr/>
              <w:t>III</w:t>
            </w:r>
            <w:r>
              <w:rPr>
                <w:spacing w:val="10"/>
              </w:rPr>
              <w:t xml:space="preserve"> </w:t>
            </w:r>
            <w:r>
              <w:rPr>
                <w:rFonts w:ascii="SimSun" w:hAnsi="SimSun" w:eastAsia="SimSun" w:cs="SimSun"/>
                <w:spacing w:val="4"/>
              </w:rPr>
              <w:t>类</w:t>
            </w:r>
          </w:p>
        </w:tc>
      </w:tr>
      <w:tr>
        <w:trPr>
          <w:trHeight w:val="278" w:hRule="atLeast"/>
        </w:trPr>
        <w:tc>
          <w:tcPr>
            <w:tcW w:w="2703" w:type="dxa"/>
            <w:vAlign w:val="top"/>
          </w:tcPr>
          <w:p>
            <w:pPr>
              <w:ind w:left="1146"/>
              <w:spacing w:before="29" w:line="220" w:lineRule="auto"/>
              <w:rPr>
                <w:rFonts w:ascii="SimSun" w:hAnsi="SimSun" w:eastAsia="SimSun" w:cs="SimSun"/>
                <w:sz w:val="20"/>
                <w:szCs w:val="20"/>
              </w:rPr>
            </w:pPr>
            <w:r>
              <w:rPr>
                <w:rFonts w:ascii="SimSun" w:hAnsi="SimSun" w:eastAsia="SimSun" w:cs="SimSun"/>
                <w:sz w:val="20"/>
                <w:szCs w:val="20"/>
                <w:spacing w:val="4"/>
              </w:rPr>
              <w:t>敏感</w:t>
            </w:r>
          </w:p>
        </w:tc>
        <w:tc>
          <w:tcPr>
            <w:tcW w:w="1799" w:type="dxa"/>
            <w:vAlign w:val="top"/>
          </w:tcPr>
          <w:p>
            <w:pPr>
              <w:ind w:left="802"/>
              <w:spacing w:before="108" w:line="155" w:lineRule="exact"/>
              <w:rPr>
                <w:rFonts w:ascii="SimSun" w:hAnsi="SimSun" w:eastAsia="SimSun" w:cs="SimSun"/>
                <w:sz w:val="20"/>
                <w:szCs w:val="20"/>
              </w:rPr>
            </w:pPr>
            <w:r>
              <w:rPr>
                <w:rFonts w:ascii="SimSun" w:hAnsi="SimSun" w:eastAsia="SimSun" w:cs="SimSun"/>
                <w:sz w:val="20"/>
                <w:szCs w:val="20"/>
                <w:position w:val="-4"/>
              </w:rPr>
              <w:t>一</w:t>
            </w:r>
          </w:p>
        </w:tc>
        <w:tc>
          <w:tcPr>
            <w:tcW w:w="2464" w:type="dxa"/>
            <w:vAlign w:val="top"/>
          </w:tcPr>
          <w:p>
            <w:pPr>
              <w:ind w:left="1134"/>
              <w:spacing w:before="108" w:line="155" w:lineRule="exact"/>
              <w:rPr>
                <w:rFonts w:ascii="SimSun" w:hAnsi="SimSun" w:eastAsia="SimSun" w:cs="SimSun"/>
                <w:sz w:val="20"/>
                <w:szCs w:val="20"/>
              </w:rPr>
            </w:pPr>
            <w:r>
              <w:rPr>
                <w:rFonts w:ascii="SimSun" w:hAnsi="SimSun" w:eastAsia="SimSun" w:cs="SimSun"/>
                <w:sz w:val="20"/>
                <w:szCs w:val="20"/>
                <w:position w:val="-4"/>
              </w:rPr>
              <w:t>一</w:t>
            </w:r>
          </w:p>
        </w:tc>
        <w:tc>
          <w:tcPr>
            <w:tcW w:w="2324" w:type="dxa"/>
            <w:vAlign w:val="top"/>
          </w:tcPr>
          <w:p>
            <w:pPr>
              <w:ind w:left="1063"/>
              <w:spacing w:before="108" w:line="155" w:lineRule="exact"/>
              <w:rPr>
                <w:rFonts w:ascii="SimSun" w:hAnsi="SimSun" w:eastAsia="SimSun" w:cs="SimSun"/>
                <w:sz w:val="20"/>
                <w:szCs w:val="20"/>
              </w:rPr>
            </w:pPr>
            <w:r>
              <w:rPr>
                <w:rFonts w:ascii="SimSun" w:hAnsi="SimSun" w:eastAsia="SimSun" w:cs="SimSun"/>
                <w:sz w:val="20"/>
                <w:szCs w:val="20"/>
                <w:position w:val="-4"/>
              </w:rPr>
              <w:t>一</w:t>
            </w:r>
          </w:p>
        </w:tc>
      </w:tr>
      <w:tr>
        <w:trPr>
          <w:trHeight w:val="275" w:hRule="atLeast"/>
        </w:trPr>
        <w:tc>
          <w:tcPr>
            <w:tcW w:w="2703" w:type="dxa"/>
            <w:vAlign w:val="top"/>
          </w:tcPr>
          <w:p>
            <w:pPr>
              <w:ind w:left="1042"/>
              <w:spacing w:before="29" w:line="217" w:lineRule="auto"/>
              <w:rPr>
                <w:rFonts w:ascii="SimSun" w:hAnsi="SimSun" w:eastAsia="SimSun" w:cs="SimSun"/>
                <w:sz w:val="20"/>
                <w:szCs w:val="20"/>
              </w:rPr>
            </w:pPr>
            <w:r>
              <w:rPr>
                <w:rFonts w:ascii="SimSun" w:hAnsi="SimSun" w:eastAsia="SimSun" w:cs="SimSun"/>
                <w:sz w:val="20"/>
                <w:szCs w:val="20"/>
                <w:spacing w:val="6"/>
              </w:rPr>
              <w:t>较敏感</w:t>
            </w:r>
          </w:p>
        </w:tc>
        <w:tc>
          <w:tcPr>
            <w:tcW w:w="1799" w:type="dxa"/>
            <w:vAlign w:val="top"/>
          </w:tcPr>
          <w:p>
            <w:pPr>
              <w:ind w:left="802"/>
              <w:spacing w:before="108" w:line="156" w:lineRule="exact"/>
              <w:rPr>
                <w:rFonts w:ascii="SimSun" w:hAnsi="SimSun" w:eastAsia="SimSun" w:cs="SimSun"/>
                <w:sz w:val="20"/>
                <w:szCs w:val="20"/>
              </w:rPr>
            </w:pPr>
            <w:r>
              <w:rPr>
                <w:rFonts w:ascii="SimSun" w:hAnsi="SimSun" w:eastAsia="SimSun" w:cs="SimSun"/>
                <w:sz w:val="20"/>
                <w:szCs w:val="20"/>
                <w:position w:val="-4"/>
              </w:rPr>
              <w:t>一</w:t>
            </w:r>
          </w:p>
        </w:tc>
        <w:tc>
          <w:tcPr>
            <w:tcW w:w="2464" w:type="dxa"/>
            <w:vAlign w:val="top"/>
          </w:tcPr>
          <w:p>
            <w:pPr>
              <w:ind w:left="1134"/>
              <w:spacing w:before="68" w:line="181" w:lineRule="auto"/>
              <w:rPr>
                <w:rFonts w:ascii="SimSun" w:hAnsi="SimSun" w:eastAsia="SimSun" w:cs="SimSun"/>
                <w:sz w:val="20"/>
                <w:szCs w:val="20"/>
              </w:rPr>
            </w:pPr>
            <w:r>
              <w:rPr>
                <w:rFonts w:ascii="SimSun" w:hAnsi="SimSun" w:eastAsia="SimSun" w:cs="SimSun"/>
                <w:sz w:val="20"/>
                <w:szCs w:val="20"/>
              </w:rPr>
              <w:t>二</w:t>
            </w:r>
          </w:p>
        </w:tc>
        <w:tc>
          <w:tcPr>
            <w:tcW w:w="2324" w:type="dxa"/>
            <w:vAlign w:val="top"/>
          </w:tcPr>
          <w:p>
            <w:pPr>
              <w:ind w:left="743"/>
              <w:spacing w:before="29" w:line="217" w:lineRule="auto"/>
              <w:rPr>
                <w:rFonts w:ascii="SimSun" w:hAnsi="SimSun" w:eastAsia="SimSun" w:cs="SimSun"/>
                <w:sz w:val="20"/>
                <w:szCs w:val="20"/>
              </w:rPr>
            </w:pPr>
            <w:r>
              <w:rPr>
                <w:rFonts w:ascii="SimSun" w:hAnsi="SimSun" w:eastAsia="SimSun" w:cs="SimSun"/>
                <w:sz w:val="20"/>
                <w:szCs w:val="20"/>
                <w:b/>
                <w:bCs/>
                <w:spacing w:val="-22"/>
              </w:rPr>
              <w:t>三</w:t>
            </w:r>
            <w:r>
              <w:rPr>
                <w:rFonts w:ascii="SimSun" w:hAnsi="SimSun" w:eastAsia="SimSun" w:cs="SimSun"/>
                <w:sz w:val="20"/>
                <w:szCs w:val="20"/>
                <w:spacing w:val="21"/>
              </w:rPr>
              <w:t xml:space="preserve"> </w:t>
            </w:r>
            <w:r>
              <w:rPr>
                <w:rFonts w:ascii="SimSun" w:hAnsi="SimSun" w:eastAsia="SimSun" w:cs="SimSun"/>
                <w:sz w:val="20"/>
                <w:szCs w:val="20"/>
                <w:b/>
                <w:bCs/>
                <w:spacing w:val="-22"/>
              </w:rPr>
              <w:t>(</w:t>
            </w:r>
            <w:r>
              <w:rPr>
                <w:rFonts w:ascii="SimSun" w:hAnsi="SimSun" w:eastAsia="SimSun" w:cs="SimSun"/>
                <w:sz w:val="20"/>
                <w:szCs w:val="20"/>
                <w:spacing w:val="-22"/>
              </w:rPr>
              <w:t xml:space="preserve"> </w:t>
            </w:r>
            <w:r>
              <w:rPr>
                <w:rFonts w:ascii="SimSun" w:hAnsi="SimSun" w:eastAsia="SimSun" w:cs="SimSun"/>
                <w:sz w:val="20"/>
                <w:szCs w:val="20"/>
                <w:b/>
                <w:bCs/>
                <w:spacing w:val="-22"/>
              </w:rPr>
              <w:t>√</w:t>
            </w:r>
            <w:r>
              <w:rPr>
                <w:rFonts w:ascii="SimSun" w:hAnsi="SimSun" w:eastAsia="SimSun" w:cs="SimSun"/>
                <w:sz w:val="20"/>
                <w:szCs w:val="20"/>
                <w:spacing w:val="-65"/>
              </w:rPr>
              <w:t xml:space="preserve"> </w:t>
            </w:r>
            <w:r>
              <w:rPr>
                <w:rFonts w:ascii="SimSun" w:hAnsi="SimSun" w:eastAsia="SimSun" w:cs="SimSun"/>
                <w:sz w:val="20"/>
                <w:szCs w:val="20"/>
                <w:b/>
                <w:bCs/>
                <w:spacing w:val="-22"/>
              </w:rPr>
              <w:t>)</w:t>
            </w:r>
          </w:p>
        </w:tc>
      </w:tr>
      <w:tr>
        <w:trPr>
          <w:trHeight w:val="278" w:hRule="atLeast"/>
        </w:trPr>
        <w:tc>
          <w:tcPr>
            <w:tcW w:w="2703" w:type="dxa"/>
            <w:vAlign w:val="top"/>
          </w:tcPr>
          <w:p>
            <w:pPr>
              <w:ind w:left="1045"/>
              <w:spacing w:before="30" w:line="219" w:lineRule="auto"/>
              <w:rPr>
                <w:rFonts w:ascii="SimSun" w:hAnsi="SimSun" w:eastAsia="SimSun" w:cs="SimSun"/>
                <w:sz w:val="20"/>
                <w:szCs w:val="20"/>
              </w:rPr>
            </w:pPr>
            <w:r>
              <w:rPr>
                <w:rFonts w:ascii="SimSun" w:hAnsi="SimSun" w:eastAsia="SimSun" w:cs="SimSun"/>
                <w:sz w:val="20"/>
                <w:szCs w:val="20"/>
                <w:spacing w:val="5"/>
              </w:rPr>
              <w:t>不敏感</w:t>
            </w:r>
          </w:p>
        </w:tc>
        <w:tc>
          <w:tcPr>
            <w:tcW w:w="1799" w:type="dxa"/>
            <w:vAlign w:val="top"/>
          </w:tcPr>
          <w:p>
            <w:pPr>
              <w:ind w:left="802"/>
              <w:spacing w:before="69" w:line="183" w:lineRule="auto"/>
              <w:rPr>
                <w:rFonts w:ascii="SimSun" w:hAnsi="SimSun" w:eastAsia="SimSun" w:cs="SimSun"/>
                <w:sz w:val="20"/>
                <w:szCs w:val="20"/>
              </w:rPr>
            </w:pPr>
            <w:r>
              <w:rPr>
                <w:rFonts w:ascii="SimSun" w:hAnsi="SimSun" w:eastAsia="SimSun" w:cs="SimSun"/>
                <w:sz w:val="20"/>
                <w:szCs w:val="20"/>
              </w:rPr>
              <w:t>二</w:t>
            </w:r>
          </w:p>
        </w:tc>
        <w:tc>
          <w:tcPr>
            <w:tcW w:w="2464" w:type="dxa"/>
            <w:vAlign w:val="top"/>
          </w:tcPr>
          <w:p>
            <w:pPr>
              <w:ind w:left="1131"/>
              <w:spacing w:before="30" w:line="219" w:lineRule="auto"/>
              <w:rPr>
                <w:rFonts w:ascii="SimSun" w:hAnsi="SimSun" w:eastAsia="SimSun" w:cs="SimSun"/>
                <w:sz w:val="20"/>
                <w:szCs w:val="20"/>
              </w:rPr>
            </w:pPr>
            <w:r>
              <w:rPr>
                <w:rFonts w:ascii="SimSun" w:hAnsi="SimSun" w:eastAsia="SimSun" w:cs="SimSun"/>
                <w:sz w:val="20"/>
                <w:szCs w:val="20"/>
              </w:rPr>
              <w:t>三</w:t>
            </w:r>
          </w:p>
        </w:tc>
        <w:tc>
          <w:tcPr>
            <w:tcW w:w="2324" w:type="dxa"/>
            <w:vAlign w:val="top"/>
          </w:tcPr>
          <w:p>
            <w:pPr>
              <w:ind w:left="1060"/>
              <w:spacing w:before="30" w:line="219" w:lineRule="auto"/>
              <w:rPr>
                <w:rFonts w:ascii="SimSun" w:hAnsi="SimSun" w:eastAsia="SimSun" w:cs="SimSun"/>
                <w:sz w:val="20"/>
                <w:szCs w:val="20"/>
              </w:rPr>
            </w:pPr>
            <w:r>
              <w:rPr>
                <w:rFonts w:ascii="SimSun" w:hAnsi="SimSun" w:eastAsia="SimSun" w:cs="SimSun"/>
                <w:sz w:val="20"/>
                <w:szCs w:val="20"/>
              </w:rPr>
              <w:t>三</w:t>
            </w:r>
          </w:p>
        </w:tc>
      </w:tr>
      <w:tr>
        <w:trPr>
          <w:trHeight w:val="275" w:hRule="atLeast"/>
        </w:trPr>
        <w:tc>
          <w:tcPr>
            <w:tcW w:w="9290" w:type="dxa"/>
            <w:vAlign w:val="top"/>
            <w:gridSpan w:val="4"/>
          </w:tcPr>
          <w:p>
            <w:pPr>
              <w:ind w:left="3705"/>
              <w:spacing w:before="31" w:line="216" w:lineRule="auto"/>
              <w:rPr>
                <w:rFonts w:ascii="SimSun" w:hAnsi="SimSun" w:eastAsia="SimSun" w:cs="SimSun"/>
                <w:sz w:val="20"/>
                <w:szCs w:val="20"/>
              </w:rPr>
            </w:pPr>
            <w:r>
              <w:rPr>
                <w:rFonts w:ascii="SimSun" w:hAnsi="SimSun" w:eastAsia="SimSun" w:cs="SimSun"/>
                <w:sz w:val="20"/>
                <w:szCs w:val="20"/>
                <w:spacing w:val="9"/>
              </w:rPr>
              <w:t>矿井（坑）水处理厂</w:t>
            </w:r>
          </w:p>
        </w:tc>
      </w:tr>
      <w:tr>
        <w:trPr>
          <w:trHeight w:val="551" w:hRule="atLeast"/>
        </w:trPr>
        <w:tc>
          <w:tcPr>
            <w:tcW w:w="2703" w:type="dxa"/>
            <w:vAlign w:val="top"/>
          </w:tcPr>
          <w:p>
            <w:pPr>
              <w:ind w:left="940"/>
              <w:spacing w:before="33" w:line="228" w:lineRule="auto"/>
              <w:rPr>
                <w:rFonts w:ascii="SimSun" w:hAnsi="SimSun" w:eastAsia="SimSun" w:cs="SimSun"/>
                <w:sz w:val="20"/>
                <w:szCs w:val="20"/>
              </w:rPr>
            </w:pPr>
            <w:r>
              <w:rPr>
                <w:rFonts w:ascii="SimSun" w:hAnsi="SimSun" w:eastAsia="SimSun" w:cs="SimSun"/>
                <w:sz w:val="20"/>
                <w:szCs w:val="20"/>
                <w:spacing w:val="6"/>
              </w:rPr>
              <w:t>项目类别</w:t>
            </w:r>
          </w:p>
          <w:p>
            <w:pPr>
              <w:ind w:left="725"/>
              <w:spacing w:before="24" w:line="218" w:lineRule="auto"/>
              <w:rPr>
                <w:rFonts w:ascii="SimSun" w:hAnsi="SimSun" w:eastAsia="SimSun" w:cs="SimSun"/>
                <w:sz w:val="20"/>
                <w:szCs w:val="20"/>
              </w:rPr>
            </w:pPr>
            <w:r>
              <w:rPr>
                <w:rFonts w:ascii="SimSun" w:hAnsi="SimSun" w:eastAsia="SimSun" w:cs="SimSun"/>
                <w:sz w:val="20"/>
                <w:szCs w:val="20"/>
                <w:spacing w:val="8"/>
              </w:rPr>
              <w:t>环境敏感程度</w:t>
            </w:r>
          </w:p>
        </w:tc>
        <w:tc>
          <w:tcPr>
            <w:tcW w:w="1799" w:type="dxa"/>
            <w:vAlign w:val="top"/>
          </w:tcPr>
          <w:p>
            <w:pPr>
              <w:pStyle w:val="TableText"/>
              <w:ind w:left="525"/>
              <w:spacing w:before="168" w:line="228" w:lineRule="auto"/>
              <w:rPr>
                <w:rFonts w:ascii="SimSun" w:hAnsi="SimSun" w:eastAsia="SimSun" w:cs="SimSun"/>
              </w:rPr>
            </w:pPr>
            <w:r>
              <w:rPr>
                <w:spacing w:val="4"/>
              </w:rPr>
              <w:t>I</w:t>
            </w:r>
            <w:r>
              <w:rPr>
                <w:spacing w:val="12"/>
                <w:w w:val="101"/>
              </w:rPr>
              <w:t xml:space="preserve"> </w:t>
            </w:r>
            <w:r>
              <w:rPr>
                <w:rFonts w:ascii="SimSun" w:hAnsi="SimSun" w:eastAsia="SimSun" w:cs="SimSun"/>
                <w:spacing w:val="4"/>
              </w:rPr>
              <w:t>类项目</w:t>
            </w:r>
          </w:p>
        </w:tc>
        <w:tc>
          <w:tcPr>
            <w:tcW w:w="2464" w:type="dxa"/>
            <w:vAlign w:val="top"/>
          </w:tcPr>
          <w:p>
            <w:pPr>
              <w:pStyle w:val="TableText"/>
              <w:ind w:left="823"/>
              <w:spacing w:before="168" w:line="228" w:lineRule="auto"/>
              <w:rPr>
                <w:rFonts w:ascii="SimSun" w:hAnsi="SimSun" w:eastAsia="SimSun" w:cs="SimSun"/>
              </w:rPr>
            </w:pPr>
            <w:r>
              <w:rPr/>
              <w:t>II</w:t>
            </w:r>
            <w:r>
              <w:rPr>
                <w:spacing w:val="10"/>
              </w:rPr>
              <w:t xml:space="preserve"> </w:t>
            </w:r>
            <w:r>
              <w:rPr>
                <w:rFonts w:ascii="SimSun" w:hAnsi="SimSun" w:eastAsia="SimSun" w:cs="SimSun"/>
                <w:spacing w:val="7"/>
              </w:rPr>
              <w:t>类项目</w:t>
            </w:r>
          </w:p>
        </w:tc>
        <w:tc>
          <w:tcPr>
            <w:tcW w:w="2324" w:type="dxa"/>
            <w:vAlign w:val="top"/>
          </w:tcPr>
          <w:p>
            <w:pPr>
              <w:pStyle w:val="TableText"/>
              <w:ind w:left="927"/>
              <w:spacing w:before="168" w:line="228" w:lineRule="auto"/>
              <w:rPr>
                <w:rFonts w:ascii="SimSun" w:hAnsi="SimSun" w:eastAsia="SimSun" w:cs="SimSun"/>
              </w:rPr>
            </w:pPr>
            <w:r>
              <w:rPr/>
              <w:t>III</w:t>
            </w:r>
            <w:r>
              <w:rPr>
                <w:spacing w:val="10"/>
              </w:rPr>
              <w:t xml:space="preserve"> </w:t>
            </w:r>
            <w:r>
              <w:rPr>
                <w:rFonts w:ascii="SimSun" w:hAnsi="SimSun" w:eastAsia="SimSun" w:cs="SimSun"/>
                <w:spacing w:val="4"/>
              </w:rPr>
              <w:t>类</w:t>
            </w:r>
          </w:p>
        </w:tc>
      </w:tr>
      <w:tr>
        <w:trPr>
          <w:trHeight w:val="278" w:hRule="atLeast"/>
        </w:trPr>
        <w:tc>
          <w:tcPr>
            <w:tcW w:w="2703" w:type="dxa"/>
            <w:vAlign w:val="top"/>
          </w:tcPr>
          <w:p>
            <w:pPr>
              <w:ind w:left="1146"/>
              <w:spacing w:before="32" w:line="217" w:lineRule="auto"/>
              <w:rPr>
                <w:rFonts w:ascii="SimSun" w:hAnsi="SimSun" w:eastAsia="SimSun" w:cs="SimSun"/>
                <w:sz w:val="20"/>
                <w:szCs w:val="20"/>
              </w:rPr>
            </w:pPr>
            <w:r>
              <w:rPr>
                <w:rFonts w:ascii="SimSun" w:hAnsi="SimSun" w:eastAsia="SimSun" w:cs="SimSun"/>
                <w:sz w:val="20"/>
                <w:szCs w:val="20"/>
                <w:spacing w:val="4"/>
              </w:rPr>
              <w:t>敏感</w:t>
            </w:r>
          </w:p>
        </w:tc>
        <w:tc>
          <w:tcPr>
            <w:tcW w:w="1799" w:type="dxa"/>
            <w:vAlign w:val="top"/>
          </w:tcPr>
          <w:p>
            <w:pPr>
              <w:ind w:left="802"/>
              <w:spacing w:before="110" w:line="156" w:lineRule="exact"/>
              <w:rPr>
                <w:rFonts w:ascii="SimSun" w:hAnsi="SimSun" w:eastAsia="SimSun" w:cs="SimSun"/>
                <w:sz w:val="20"/>
                <w:szCs w:val="20"/>
              </w:rPr>
            </w:pPr>
            <w:r>
              <w:rPr>
                <w:rFonts w:ascii="SimSun" w:hAnsi="SimSun" w:eastAsia="SimSun" w:cs="SimSun"/>
                <w:sz w:val="20"/>
                <w:szCs w:val="20"/>
                <w:position w:val="-4"/>
              </w:rPr>
              <w:t>一</w:t>
            </w:r>
          </w:p>
        </w:tc>
        <w:tc>
          <w:tcPr>
            <w:tcW w:w="2464" w:type="dxa"/>
            <w:vAlign w:val="top"/>
          </w:tcPr>
          <w:p>
            <w:pPr>
              <w:ind w:left="1134"/>
              <w:spacing w:before="110" w:line="156" w:lineRule="exact"/>
              <w:rPr>
                <w:rFonts w:ascii="SimSun" w:hAnsi="SimSun" w:eastAsia="SimSun" w:cs="SimSun"/>
                <w:sz w:val="20"/>
                <w:szCs w:val="20"/>
              </w:rPr>
            </w:pPr>
            <w:r>
              <w:rPr>
                <w:rFonts w:ascii="SimSun" w:hAnsi="SimSun" w:eastAsia="SimSun" w:cs="SimSun"/>
                <w:sz w:val="20"/>
                <w:szCs w:val="20"/>
                <w:position w:val="-4"/>
              </w:rPr>
              <w:t>一</w:t>
            </w:r>
          </w:p>
        </w:tc>
        <w:tc>
          <w:tcPr>
            <w:tcW w:w="2324" w:type="dxa"/>
            <w:vAlign w:val="top"/>
          </w:tcPr>
          <w:p>
            <w:pPr>
              <w:ind w:left="1063"/>
              <w:spacing w:before="110" w:line="156" w:lineRule="exact"/>
              <w:rPr>
                <w:rFonts w:ascii="SimSun" w:hAnsi="SimSun" w:eastAsia="SimSun" w:cs="SimSun"/>
                <w:sz w:val="20"/>
                <w:szCs w:val="20"/>
              </w:rPr>
            </w:pPr>
            <w:r>
              <w:rPr>
                <w:rFonts w:ascii="SimSun" w:hAnsi="SimSun" w:eastAsia="SimSun" w:cs="SimSun"/>
                <w:sz w:val="20"/>
                <w:szCs w:val="20"/>
                <w:position w:val="-4"/>
              </w:rPr>
              <w:t>一</w:t>
            </w:r>
          </w:p>
        </w:tc>
      </w:tr>
      <w:tr>
        <w:trPr>
          <w:trHeight w:val="275" w:hRule="atLeast"/>
        </w:trPr>
        <w:tc>
          <w:tcPr>
            <w:tcW w:w="2703" w:type="dxa"/>
            <w:vAlign w:val="top"/>
          </w:tcPr>
          <w:p>
            <w:pPr>
              <w:ind w:left="1042"/>
              <w:spacing w:before="29" w:line="217" w:lineRule="auto"/>
              <w:rPr>
                <w:rFonts w:ascii="SimSun" w:hAnsi="SimSun" w:eastAsia="SimSun" w:cs="SimSun"/>
                <w:sz w:val="20"/>
                <w:szCs w:val="20"/>
              </w:rPr>
            </w:pPr>
            <w:r>
              <w:rPr>
                <w:rFonts w:ascii="SimSun" w:hAnsi="SimSun" w:eastAsia="SimSun" w:cs="SimSun"/>
                <w:sz w:val="20"/>
                <w:szCs w:val="20"/>
                <w:spacing w:val="6"/>
              </w:rPr>
              <w:t>较敏感</w:t>
            </w:r>
          </w:p>
        </w:tc>
        <w:tc>
          <w:tcPr>
            <w:tcW w:w="1799" w:type="dxa"/>
            <w:vAlign w:val="top"/>
          </w:tcPr>
          <w:p>
            <w:pPr>
              <w:ind w:left="802"/>
              <w:spacing w:before="108" w:line="156" w:lineRule="exact"/>
              <w:rPr>
                <w:rFonts w:ascii="SimSun" w:hAnsi="SimSun" w:eastAsia="SimSun" w:cs="SimSun"/>
                <w:sz w:val="20"/>
                <w:szCs w:val="20"/>
              </w:rPr>
            </w:pPr>
            <w:r>
              <w:rPr>
                <w:rFonts w:ascii="SimSun" w:hAnsi="SimSun" w:eastAsia="SimSun" w:cs="SimSun"/>
                <w:sz w:val="20"/>
                <w:szCs w:val="20"/>
                <w:position w:val="-4"/>
              </w:rPr>
              <w:t>一</w:t>
            </w:r>
          </w:p>
        </w:tc>
        <w:tc>
          <w:tcPr>
            <w:tcW w:w="2464" w:type="dxa"/>
            <w:vAlign w:val="top"/>
          </w:tcPr>
          <w:p>
            <w:pPr>
              <w:ind w:left="1134"/>
              <w:spacing w:before="68" w:line="181" w:lineRule="auto"/>
              <w:rPr>
                <w:rFonts w:ascii="SimSun" w:hAnsi="SimSun" w:eastAsia="SimSun" w:cs="SimSun"/>
                <w:sz w:val="20"/>
                <w:szCs w:val="20"/>
              </w:rPr>
            </w:pPr>
            <w:r>
              <w:rPr>
                <w:rFonts w:ascii="SimSun" w:hAnsi="SimSun" w:eastAsia="SimSun" w:cs="SimSun"/>
                <w:sz w:val="20"/>
                <w:szCs w:val="20"/>
              </w:rPr>
              <w:t>二</w:t>
            </w:r>
          </w:p>
        </w:tc>
        <w:tc>
          <w:tcPr>
            <w:tcW w:w="2324" w:type="dxa"/>
            <w:vAlign w:val="top"/>
          </w:tcPr>
          <w:p>
            <w:pPr>
              <w:ind w:left="743"/>
              <w:spacing w:before="29" w:line="217" w:lineRule="auto"/>
              <w:rPr>
                <w:rFonts w:ascii="SimSun" w:hAnsi="SimSun" w:eastAsia="SimSun" w:cs="SimSun"/>
                <w:sz w:val="20"/>
                <w:szCs w:val="20"/>
              </w:rPr>
            </w:pPr>
            <w:r>
              <w:rPr>
                <w:rFonts w:ascii="SimSun" w:hAnsi="SimSun" w:eastAsia="SimSun" w:cs="SimSun"/>
                <w:sz w:val="20"/>
                <w:szCs w:val="20"/>
                <w:b/>
                <w:bCs/>
                <w:spacing w:val="-22"/>
              </w:rPr>
              <w:t>三</w:t>
            </w:r>
            <w:r>
              <w:rPr>
                <w:rFonts w:ascii="SimSun" w:hAnsi="SimSun" w:eastAsia="SimSun" w:cs="SimSun"/>
                <w:sz w:val="20"/>
                <w:szCs w:val="20"/>
                <w:spacing w:val="21"/>
              </w:rPr>
              <w:t xml:space="preserve"> </w:t>
            </w:r>
            <w:r>
              <w:rPr>
                <w:rFonts w:ascii="SimSun" w:hAnsi="SimSun" w:eastAsia="SimSun" w:cs="SimSun"/>
                <w:sz w:val="20"/>
                <w:szCs w:val="20"/>
                <w:b/>
                <w:bCs/>
                <w:spacing w:val="-22"/>
              </w:rPr>
              <w:t>(</w:t>
            </w:r>
            <w:r>
              <w:rPr>
                <w:rFonts w:ascii="SimSun" w:hAnsi="SimSun" w:eastAsia="SimSun" w:cs="SimSun"/>
                <w:sz w:val="20"/>
                <w:szCs w:val="20"/>
                <w:spacing w:val="-22"/>
              </w:rPr>
              <w:t xml:space="preserve"> </w:t>
            </w:r>
            <w:r>
              <w:rPr>
                <w:rFonts w:ascii="SimSun" w:hAnsi="SimSun" w:eastAsia="SimSun" w:cs="SimSun"/>
                <w:sz w:val="20"/>
                <w:szCs w:val="20"/>
                <w:b/>
                <w:bCs/>
                <w:spacing w:val="-22"/>
              </w:rPr>
              <w:t>√</w:t>
            </w:r>
            <w:r>
              <w:rPr>
                <w:rFonts w:ascii="SimSun" w:hAnsi="SimSun" w:eastAsia="SimSun" w:cs="SimSun"/>
                <w:sz w:val="20"/>
                <w:szCs w:val="20"/>
                <w:spacing w:val="-65"/>
              </w:rPr>
              <w:t xml:space="preserve"> </w:t>
            </w:r>
            <w:r>
              <w:rPr>
                <w:rFonts w:ascii="SimSun" w:hAnsi="SimSun" w:eastAsia="SimSun" w:cs="SimSun"/>
                <w:sz w:val="20"/>
                <w:szCs w:val="20"/>
                <w:b/>
                <w:bCs/>
                <w:spacing w:val="-22"/>
              </w:rPr>
              <w:t>)</w:t>
            </w:r>
          </w:p>
        </w:tc>
      </w:tr>
      <w:tr>
        <w:trPr>
          <w:trHeight w:val="282" w:hRule="atLeast"/>
        </w:trPr>
        <w:tc>
          <w:tcPr>
            <w:tcW w:w="2703" w:type="dxa"/>
            <w:vAlign w:val="top"/>
          </w:tcPr>
          <w:p>
            <w:pPr>
              <w:ind w:left="1045"/>
              <w:spacing w:before="33" w:line="220" w:lineRule="auto"/>
              <w:rPr>
                <w:rFonts w:ascii="SimSun" w:hAnsi="SimSun" w:eastAsia="SimSun" w:cs="SimSun"/>
                <w:sz w:val="20"/>
                <w:szCs w:val="20"/>
              </w:rPr>
            </w:pPr>
            <w:r>
              <w:rPr>
                <w:rFonts w:ascii="SimSun" w:hAnsi="SimSun" w:eastAsia="SimSun" w:cs="SimSun"/>
                <w:sz w:val="20"/>
                <w:szCs w:val="20"/>
                <w:spacing w:val="5"/>
              </w:rPr>
              <w:t>不敏感</w:t>
            </w:r>
          </w:p>
        </w:tc>
        <w:tc>
          <w:tcPr>
            <w:tcW w:w="1799" w:type="dxa"/>
            <w:vAlign w:val="top"/>
          </w:tcPr>
          <w:p>
            <w:pPr>
              <w:ind w:left="802"/>
              <w:spacing w:before="72" w:line="183" w:lineRule="auto"/>
              <w:rPr>
                <w:rFonts w:ascii="SimSun" w:hAnsi="SimSun" w:eastAsia="SimSun" w:cs="SimSun"/>
                <w:sz w:val="20"/>
                <w:szCs w:val="20"/>
              </w:rPr>
            </w:pPr>
            <w:r>
              <w:rPr>
                <w:rFonts w:ascii="SimSun" w:hAnsi="SimSun" w:eastAsia="SimSun" w:cs="SimSun"/>
                <w:sz w:val="20"/>
                <w:szCs w:val="20"/>
              </w:rPr>
              <w:t>二</w:t>
            </w:r>
          </w:p>
        </w:tc>
        <w:tc>
          <w:tcPr>
            <w:tcW w:w="2464" w:type="dxa"/>
            <w:vAlign w:val="top"/>
          </w:tcPr>
          <w:p>
            <w:pPr>
              <w:ind w:left="1131"/>
              <w:spacing w:before="33" w:line="220" w:lineRule="auto"/>
              <w:rPr>
                <w:rFonts w:ascii="SimSun" w:hAnsi="SimSun" w:eastAsia="SimSun" w:cs="SimSun"/>
                <w:sz w:val="20"/>
                <w:szCs w:val="20"/>
              </w:rPr>
            </w:pPr>
            <w:r>
              <w:rPr>
                <w:rFonts w:ascii="SimSun" w:hAnsi="SimSun" w:eastAsia="SimSun" w:cs="SimSun"/>
                <w:sz w:val="20"/>
                <w:szCs w:val="20"/>
              </w:rPr>
              <w:t>三</w:t>
            </w:r>
          </w:p>
        </w:tc>
        <w:tc>
          <w:tcPr>
            <w:tcW w:w="2324" w:type="dxa"/>
            <w:vAlign w:val="top"/>
          </w:tcPr>
          <w:p>
            <w:pPr>
              <w:ind w:left="1060"/>
              <w:spacing w:before="33" w:line="220" w:lineRule="auto"/>
              <w:rPr>
                <w:rFonts w:ascii="SimSun" w:hAnsi="SimSun" w:eastAsia="SimSun" w:cs="SimSun"/>
                <w:sz w:val="20"/>
                <w:szCs w:val="20"/>
              </w:rPr>
            </w:pPr>
            <w:r>
              <w:rPr>
                <w:rFonts w:ascii="SimSun" w:hAnsi="SimSun" w:eastAsia="SimSun" w:cs="SimSun"/>
                <w:sz w:val="20"/>
                <w:szCs w:val="20"/>
              </w:rPr>
              <w:t>三</w:t>
            </w:r>
          </w:p>
        </w:tc>
      </w:tr>
    </w:tbl>
    <w:p>
      <w:pPr>
        <w:pStyle w:val="BodyText"/>
        <w:spacing w:line="251" w:lineRule="auto"/>
        <w:rPr/>
      </w:pPr>
      <w:r/>
    </w:p>
    <w:p>
      <w:pPr>
        <w:pStyle w:val="BodyText"/>
        <w:spacing w:line="251" w:lineRule="auto"/>
        <w:rPr/>
      </w:pPr>
      <w:r/>
    </w:p>
    <w:p>
      <w:pPr>
        <w:ind w:left="606"/>
        <w:spacing w:before="7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）建设项目对地下水水质影响范围</w:t>
      </w:r>
    </w:p>
    <w:p>
      <w:pPr>
        <w:ind w:left="123" w:right="112" w:firstLine="479"/>
        <w:spacing w:before="156" w:line="338" w:lineRule="auto"/>
        <w:rPr>
          <w:rFonts w:ascii="SimSun" w:hAnsi="SimSun" w:eastAsia="SimSun" w:cs="SimSun"/>
          <w:sz w:val="24"/>
          <w:szCs w:val="24"/>
        </w:rPr>
      </w:pPr>
      <w:r>
        <w:rPr>
          <w:rFonts w:ascii="SimSun" w:hAnsi="SimSun" w:eastAsia="SimSun" w:cs="SimSun"/>
          <w:sz w:val="24"/>
          <w:szCs w:val="24"/>
          <w:spacing w:val="-2"/>
        </w:rPr>
        <w:t>建设项目对地下水水质的影响主要是生活污水处理站、矿井（坑）水处理站等污染</w:t>
      </w:r>
      <w:r>
        <w:rPr>
          <w:rFonts w:ascii="SimSun" w:hAnsi="SimSun" w:eastAsia="SimSun" w:cs="SimSun"/>
          <w:sz w:val="24"/>
          <w:szCs w:val="24"/>
          <w:spacing w:val="-1"/>
        </w:rPr>
        <w:t>设施，跑冒滴漏可能对地下水水质产生的影响。</w:t>
      </w:r>
    </w:p>
    <w:p>
      <w:pPr>
        <w:ind w:left="600"/>
        <w:spacing w:before="2" w:line="217" w:lineRule="auto"/>
        <w:rPr>
          <w:rFonts w:ascii="SimSun" w:hAnsi="SimSun" w:eastAsia="SimSun" w:cs="SimSun"/>
          <w:sz w:val="24"/>
          <w:szCs w:val="24"/>
        </w:rPr>
      </w:pPr>
      <w:r>
        <w:rPr>
          <w:rFonts w:ascii="SimSun" w:hAnsi="SimSun" w:eastAsia="SimSun" w:cs="SimSun"/>
          <w:sz w:val="24"/>
          <w:szCs w:val="24"/>
          <w:spacing w:val="-1"/>
        </w:rPr>
        <w:t>利用公式法计算地下水影响评价范围，公式如下所示：</w:t>
      </w:r>
    </w:p>
    <w:p>
      <w:pPr>
        <w:ind w:left="3885"/>
        <w:spacing w:before="189" w:line="280" w:lineRule="exact"/>
        <w:rPr>
          <w:rFonts w:ascii="Malgun Gothic" w:hAnsi="Malgun Gothic" w:eastAsia="Malgun Gothic" w:cs="Malgun Gothic"/>
          <w:sz w:val="17"/>
          <w:szCs w:val="17"/>
        </w:rPr>
      </w:pPr>
      <w:r>
        <w:rPr>
          <w:rFonts w:ascii="Malgun Gothic" w:hAnsi="Malgun Gothic" w:eastAsia="Malgun Gothic" w:cs="Malgun Gothic"/>
          <w:sz w:val="24"/>
          <w:szCs w:val="24"/>
          <w:spacing w:val="-21"/>
          <w:w w:val="80"/>
          <w:position w:val="2"/>
        </w:rPr>
        <w:t>퐿</w:t>
      </w:r>
      <w:r>
        <w:rPr>
          <w:rFonts w:ascii="Malgun Gothic" w:hAnsi="Malgun Gothic" w:eastAsia="Malgun Gothic" w:cs="Malgun Gothic"/>
          <w:sz w:val="24"/>
          <w:szCs w:val="24"/>
          <w:spacing w:val="-2"/>
          <w:position w:val="2"/>
        </w:rPr>
        <w:t xml:space="preserve"> </w:t>
      </w:r>
      <w:r>
        <w:rPr>
          <w:rFonts w:ascii="Malgun Gothic" w:hAnsi="Malgun Gothic" w:eastAsia="Malgun Gothic" w:cs="Malgun Gothic"/>
          <w:sz w:val="24"/>
          <w:szCs w:val="24"/>
          <w:spacing w:val="-21"/>
          <w:w w:val="80"/>
          <w:position w:val="2"/>
        </w:rPr>
        <w:t>=</w:t>
      </w:r>
      <w:r>
        <w:rPr>
          <w:rFonts w:ascii="Malgun Gothic" w:hAnsi="Malgun Gothic" w:eastAsia="Malgun Gothic" w:cs="Malgun Gothic"/>
          <w:sz w:val="24"/>
          <w:szCs w:val="24"/>
          <w:spacing w:val="-2"/>
          <w:position w:val="2"/>
        </w:rPr>
        <w:t xml:space="preserve"> </w:t>
      </w:r>
      <w:r>
        <w:rPr>
          <w:rFonts w:ascii="Malgun Gothic" w:hAnsi="Malgun Gothic" w:eastAsia="Malgun Gothic" w:cs="Malgun Gothic"/>
          <w:sz w:val="24"/>
          <w:szCs w:val="24"/>
          <w:spacing w:val="-21"/>
          <w:w w:val="80"/>
          <w:position w:val="2"/>
        </w:rPr>
        <w:t>훼·퐾·퐼·푇/푛</w:t>
      </w:r>
      <w:r>
        <w:rPr>
          <w:rFonts w:ascii="Malgun Gothic" w:hAnsi="Malgun Gothic" w:eastAsia="Malgun Gothic" w:cs="Malgun Gothic"/>
          <w:sz w:val="17"/>
          <w:szCs w:val="17"/>
          <w:spacing w:val="15"/>
          <w:position w:val="-2"/>
        </w:rPr>
        <w:t>푒</w:t>
      </w:r>
    </w:p>
    <w:p>
      <w:pPr>
        <w:ind w:left="604"/>
        <w:spacing w:before="128" w:line="22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w:t>
      </w:r>
      <w:r>
        <w:rPr>
          <w:rFonts w:ascii="SimSun" w:hAnsi="SimSun" w:eastAsia="SimSun" w:cs="SimSun"/>
          <w:sz w:val="24"/>
          <w:szCs w:val="24"/>
          <w:spacing w:val="-1"/>
        </w:rPr>
        <w:t>下游迁移距离，</w:t>
      </w:r>
      <w:r>
        <w:rPr>
          <w:rFonts w:ascii="Times New Roman" w:hAnsi="Times New Roman" w:eastAsia="Times New Roman" w:cs="Times New Roman"/>
          <w:sz w:val="24"/>
          <w:szCs w:val="24"/>
          <w:spacing w:val="-1"/>
        </w:rPr>
        <w:t>m</w:t>
      </w:r>
      <w:r>
        <w:rPr>
          <w:rFonts w:ascii="SimSun" w:hAnsi="SimSun" w:eastAsia="SimSun" w:cs="SimSun"/>
          <w:sz w:val="24"/>
          <w:szCs w:val="24"/>
          <w:spacing w:val="-1"/>
        </w:rPr>
        <w:t>；</w:t>
      </w:r>
    </w:p>
    <w:p>
      <w:pPr>
        <w:ind w:left="840"/>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3"/>
        </w:rPr>
        <w:t>α—</w:t>
      </w:r>
      <w:r>
        <w:rPr>
          <w:rFonts w:ascii="SimSun" w:hAnsi="SimSun" w:eastAsia="SimSun" w:cs="SimSun"/>
          <w:sz w:val="24"/>
          <w:szCs w:val="24"/>
          <w:spacing w:val="-3"/>
        </w:rPr>
        <w:t>变化系数，</w:t>
      </w:r>
      <w:r>
        <w:rPr>
          <w:rFonts w:ascii="Times New Roman" w:hAnsi="Times New Roman" w:eastAsia="Times New Roman" w:cs="Times New Roman"/>
          <w:sz w:val="24"/>
          <w:szCs w:val="24"/>
          <w:spacing w:val="-3"/>
        </w:rPr>
        <w:t>α≥1</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，一般取</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SimSun" w:hAnsi="SimSun" w:eastAsia="SimSun" w:cs="SimSun"/>
          <w:sz w:val="24"/>
          <w:szCs w:val="24"/>
          <w:spacing w:val="-3"/>
        </w:rPr>
        <w:t>；</w:t>
      </w:r>
    </w:p>
    <w:p>
      <w:pPr>
        <w:spacing w:line="219" w:lineRule="auto"/>
        <w:sectPr>
          <w:headerReference w:type="default" r:id="rId49"/>
          <w:footerReference w:type="default" r:id="rId58"/>
          <w:pgSz w:w="11906" w:h="16838"/>
          <w:pgMar w:top="1170" w:right="1304" w:bottom="1080" w:left="1305" w:header="837" w:footer="918" w:gutter="0"/>
        </w:sectPr>
        <w:rPr>
          <w:rFonts w:ascii="SimSun" w:hAnsi="SimSun" w:eastAsia="SimSun" w:cs="SimSun"/>
          <w:sz w:val="24"/>
          <w:szCs w:val="24"/>
        </w:rPr>
      </w:pPr>
    </w:p>
    <w:p>
      <w:pPr>
        <w:pStyle w:val="BodyText"/>
        <w:spacing w:line="311" w:lineRule="auto"/>
        <w:rPr/>
      </w:pPr>
      <w:r/>
    </w:p>
    <w:p>
      <w:pPr>
        <w:ind w:left="753" w:right="197" w:hanging="1"/>
        <w:spacing w:before="78" w:line="339" w:lineRule="auto"/>
        <w:rPr>
          <w:rFonts w:ascii="SimSun" w:hAnsi="SimSun" w:eastAsia="SimSun" w:cs="SimSun"/>
          <w:sz w:val="24"/>
          <w:szCs w:val="24"/>
        </w:rPr>
      </w:pPr>
      <w:r>
        <w:rPr>
          <w:rFonts w:ascii="Times New Roman" w:hAnsi="Times New Roman" w:eastAsia="Times New Roman" w:cs="Times New Roman"/>
          <w:sz w:val="24"/>
          <w:szCs w:val="24"/>
          <w:spacing w:val="-3"/>
        </w:rPr>
        <w:t>K—</w:t>
      </w:r>
      <w:r>
        <w:rPr>
          <w:rFonts w:ascii="SimSun" w:hAnsi="SimSun" w:eastAsia="SimSun" w:cs="SimSun"/>
          <w:sz w:val="24"/>
          <w:szCs w:val="24"/>
          <w:spacing w:val="-3"/>
        </w:rPr>
        <w:t>渗透系数，</w:t>
      </w:r>
      <w:r>
        <w:rPr>
          <w:rFonts w:ascii="Times New Roman" w:hAnsi="Times New Roman" w:eastAsia="Times New Roman" w:cs="Times New Roman"/>
          <w:sz w:val="24"/>
          <w:szCs w:val="24"/>
          <w:spacing w:val="-3"/>
        </w:rPr>
        <w:t>m/d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，根据抽水试验结果，潜水含水层的渗透系数为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13.58m/d</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I—</w:t>
      </w:r>
      <w:r>
        <w:rPr>
          <w:rFonts w:ascii="SimSun" w:hAnsi="SimSun" w:eastAsia="SimSun" w:cs="SimSun"/>
          <w:sz w:val="24"/>
          <w:szCs w:val="24"/>
          <w:spacing w:val="-2"/>
        </w:rPr>
        <w:t>水力坡度，量纲为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，根据本次水位调查结果，水力坡度约为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2.3‰</w:t>
      </w:r>
      <w:r>
        <w:rPr>
          <w:rFonts w:ascii="SimSun" w:hAnsi="SimSun" w:eastAsia="SimSun" w:cs="SimSun"/>
          <w:sz w:val="24"/>
          <w:szCs w:val="24"/>
          <w:spacing w:val="-2"/>
        </w:rPr>
        <w:t>；</w:t>
      </w:r>
    </w:p>
    <w:p>
      <w:pPr>
        <w:ind w:left="756"/>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T—</w:t>
      </w:r>
      <w:r>
        <w:rPr>
          <w:rFonts w:ascii="SimSun" w:hAnsi="SimSun" w:eastAsia="SimSun" w:cs="SimSun"/>
          <w:sz w:val="24"/>
          <w:szCs w:val="24"/>
          <w:spacing w:val="-1"/>
        </w:rPr>
        <w:t>质点迁移天数，取值为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5000d</w:t>
      </w:r>
      <w:r>
        <w:rPr>
          <w:rFonts w:ascii="SimSun" w:hAnsi="SimSun" w:eastAsia="SimSun" w:cs="SimSun"/>
          <w:sz w:val="24"/>
          <w:szCs w:val="24"/>
          <w:spacing w:val="-1"/>
        </w:rPr>
        <w:t>；</w:t>
      </w:r>
    </w:p>
    <w:p>
      <w:pPr>
        <w:ind w:left="41" w:right="38" w:firstLine="709"/>
        <w:spacing w:before="154" w:line="322" w:lineRule="auto"/>
        <w:rPr>
          <w:rFonts w:ascii="SimSun" w:hAnsi="SimSun" w:eastAsia="SimSun" w:cs="SimSun"/>
          <w:sz w:val="24"/>
          <w:szCs w:val="24"/>
        </w:rPr>
      </w:pPr>
      <w:r>
        <w:rPr>
          <w:rFonts w:ascii="Times New Roman" w:hAnsi="Times New Roman" w:eastAsia="Times New Roman" w:cs="Times New Roman"/>
          <w:sz w:val="24"/>
          <w:szCs w:val="24"/>
        </w:rPr>
        <w:t>n</w:t>
      </w:r>
      <w:r>
        <w:rPr>
          <w:rFonts w:ascii="Times New Roman" w:hAnsi="Times New Roman" w:eastAsia="Times New Roman" w:cs="Times New Roman"/>
          <w:sz w:val="15"/>
          <w:szCs w:val="15"/>
          <w:position w:val="-1"/>
        </w:rPr>
        <w:t>e</w:t>
      </w:r>
      <w:r>
        <w:rPr>
          <w:rFonts w:ascii="Times New Roman" w:hAnsi="Times New Roman" w:eastAsia="Times New Roman" w:cs="Times New Roman"/>
          <w:sz w:val="24"/>
          <w:szCs w:val="24"/>
        </w:rPr>
        <w:t>—</w:t>
      </w:r>
      <w:r>
        <w:rPr>
          <w:rFonts w:ascii="SimSun" w:hAnsi="SimSun" w:eastAsia="SimSun" w:cs="SimSun"/>
          <w:sz w:val="24"/>
          <w:szCs w:val="24"/>
        </w:rPr>
        <w:t>有效孔隙度，量纲为</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，区域含水层介质主要为细砂含</w:t>
      </w:r>
      <w:r>
        <w:rPr>
          <w:rFonts w:ascii="SimSun" w:hAnsi="SimSun" w:eastAsia="SimSun" w:cs="SimSun"/>
          <w:sz w:val="24"/>
          <w:szCs w:val="24"/>
          <w:spacing w:val="-1"/>
        </w:rPr>
        <w:t>砾、中粗砂等，本次</w:t>
      </w:r>
      <w:r>
        <w:rPr>
          <w:rFonts w:ascii="SimSun" w:hAnsi="SimSun" w:eastAsia="SimSun" w:cs="SimSun"/>
          <w:sz w:val="24"/>
          <w:szCs w:val="24"/>
          <w:spacing w:val="-3"/>
        </w:rPr>
        <w:t>取经验值</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0.4</w:t>
      </w:r>
      <w:r>
        <w:rPr>
          <w:rFonts w:ascii="SimSun" w:hAnsi="SimSun" w:eastAsia="SimSun" w:cs="SimSun"/>
          <w:sz w:val="24"/>
          <w:szCs w:val="24"/>
          <w:spacing w:val="-3"/>
        </w:rPr>
        <w:t>。</w:t>
      </w:r>
    </w:p>
    <w:p>
      <w:pPr>
        <w:ind w:left="37" w:right="31" w:firstLine="482"/>
        <w:spacing w:line="346" w:lineRule="auto"/>
        <w:jc w:val="both"/>
        <w:rPr>
          <w:rFonts w:ascii="SimSun" w:hAnsi="SimSun" w:eastAsia="SimSun" w:cs="SimSun"/>
          <w:sz w:val="24"/>
          <w:szCs w:val="24"/>
        </w:rPr>
      </w:pPr>
      <w:r>
        <w:rPr>
          <w:rFonts w:ascii="SimSun" w:hAnsi="SimSun" w:eastAsia="SimSun" w:cs="SimSun"/>
          <w:sz w:val="24"/>
          <w:szCs w:val="24"/>
          <w:spacing w:val="-1"/>
        </w:rPr>
        <w:t>经计算，</w:t>
      </w:r>
      <w:r>
        <w:rPr>
          <w:rFonts w:ascii="Times New Roman" w:hAnsi="Times New Roman" w:eastAsia="Times New Roman" w:cs="Times New Roman"/>
          <w:sz w:val="24"/>
          <w:szCs w:val="24"/>
          <w:spacing w:val="-1"/>
        </w:rPr>
        <w:t>L=780.05m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，区域地下水流向为整体为自南向北，因此本次评价以各场地</w:t>
      </w:r>
      <w:r>
        <w:rPr>
          <w:rFonts w:ascii="SimSun" w:hAnsi="SimSun" w:eastAsia="SimSun" w:cs="SimSun"/>
          <w:sz w:val="24"/>
          <w:szCs w:val="24"/>
          <w:spacing w:val="3"/>
        </w:rPr>
        <w:t>边南界外扩</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800m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，北东西三个边界外扩</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400m</w:t>
      </w:r>
      <w:r>
        <w:rPr>
          <w:rFonts w:ascii="SimSun" w:hAnsi="SimSun" w:eastAsia="SimSun" w:cs="SimSun"/>
          <w:sz w:val="24"/>
          <w:szCs w:val="24"/>
          <w:spacing w:val="3"/>
        </w:rPr>
        <w:t>作</w:t>
      </w:r>
      <w:r>
        <w:rPr>
          <w:rFonts w:ascii="SimSun" w:hAnsi="SimSun" w:eastAsia="SimSun" w:cs="SimSun"/>
          <w:sz w:val="24"/>
          <w:szCs w:val="24"/>
          <w:spacing w:val="2"/>
        </w:rPr>
        <w:t>为地下水评价范围，矿井（坑）水处</w:t>
      </w:r>
      <w:r>
        <w:rPr>
          <w:rFonts w:ascii="SimSun" w:hAnsi="SimSun" w:eastAsia="SimSun" w:cs="SimSun"/>
          <w:sz w:val="24"/>
          <w:szCs w:val="24"/>
          <w:spacing w:val="6"/>
        </w:rPr>
        <w:t>理厂评价面积为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14</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6"/>
          <w:position w:val="8"/>
        </w:rPr>
        <w:t>2 </w:t>
      </w:r>
      <w:r>
        <w:rPr>
          <w:rFonts w:ascii="SimSun" w:hAnsi="SimSun" w:eastAsia="SimSun" w:cs="SimSun"/>
          <w:sz w:val="24"/>
          <w:szCs w:val="24"/>
          <w:spacing w:val="6"/>
        </w:rPr>
        <w:t>，工业场地评价面积为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6"/>
        </w:rPr>
        <w:t>4.98</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6"/>
          <w:position w:val="8"/>
        </w:rPr>
        <w:t>2 </w:t>
      </w:r>
      <w:r>
        <w:rPr>
          <w:rFonts w:ascii="SimSun" w:hAnsi="SimSun" w:eastAsia="SimSun" w:cs="SimSun"/>
          <w:sz w:val="24"/>
          <w:szCs w:val="24"/>
          <w:spacing w:val="6"/>
        </w:rPr>
        <w:t>，扣除重</w:t>
      </w:r>
      <w:r>
        <w:rPr>
          <w:rFonts w:ascii="SimSun" w:hAnsi="SimSun" w:eastAsia="SimSun" w:cs="SimSun"/>
          <w:sz w:val="24"/>
          <w:szCs w:val="24"/>
          <w:spacing w:val="5"/>
        </w:rPr>
        <w:t>叠区域，总面积为</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24"/>
        </w:rPr>
        <w:t xml:space="preserve"> </w:t>
      </w:r>
      <w:r>
        <w:rPr>
          <w:rFonts w:ascii="Times New Roman" w:hAnsi="Times New Roman" w:eastAsia="Times New Roman" w:cs="Times New Roman"/>
          <w:sz w:val="24"/>
          <w:szCs w:val="24"/>
          <w:spacing w:val="-4"/>
        </w:rPr>
        <w:t>15km</w:t>
      </w:r>
      <w:r>
        <w:rPr>
          <w:rFonts w:ascii="Times New Roman" w:hAnsi="Times New Roman" w:eastAsia="Times New Roman" w:cs="Times New Roman"/>
          <w:sz w:val="15"/>
          <w:szCs w:val="15"/>
          <w:spacing w:val="-4"/>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4"/>
        </w:rPr>
        <w:t>，如图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2-5-1 </w:t>
      </w:r>
      <w:r>
        <w:rPr>
          <w:rFonts w:ascii="SimSun" w:hAnsi="SimSun" w:eastAsia="SimSun" w:cs="SimSun"/>
          <w:sz w:val="24"/>
          <w:szCs w:val="24"/>
          <w:spacing w:val="-4"/>
        </w:rPr>
        <w:t>所示。</w:t>
      </w:r>
    </w:p>
    <w:p>
      <w:pPr>
        <w:ind w:left="524"/>
        <w:spacing w:before="2"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）建设项目对地下水水量的评价范围</w:t>
      </w:r>
    </w:p>
    <w:p>
      <w:pPr>
        <w:ind w:left="37" w:right="31" w:firstLine="481"/>
        <w:spacing w:before="159" w:line="339" w:lineRule="auto"/>
        <w:rPr>
          <w:rFonts w:ascii="SimSun" w:hAnsi="SimSun" w:eastAsia="SimSun" w:cs="SimSun"/>
          <w:sz w:val="24"/>
          <w:szCs w:val="24"/>
        </w:rPr>
      </w:pPr>
      <w:r>
        <w:rPr>
          <w:rFonts w:ascii="SimSun" w:hAnsi="SimSun" w:eastAsia="SimSun" w:cs="SimSun"/>
          <w:sz w:val="24"/>
          <w:szCs w:val="24"/>
          <w:spacing w:val="-2"/>
        </w:rPr>
        <w:t>本次评价根据四号矿采矿的特点，及项目区地形地貌、水文地质条件，确定地下水</w:t>
      </w:r>
      <w:r>
        <w:rPr>
          <w:rFonts w:ascii="SimSun" w:hAnsi="SimSun" w:eastAsia="SimSun" w:cs="SimSun"/>
          <w:sz w:val="24"/>
          <w:szCs w:val="24"/>
          <w:spacing w:val="-2"/>
        </w:rPr>
        <w:t>评价范围以露天矿区域及周围</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2km</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的范围内，面积为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67.68km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w:t>
      </w:r>
    </w:p>
    <w:p>
      <w:pPr>
        <w:pStyle w:val="BodyText"/>
        <w:spacing w:line="271" w:lineRule="auto"/>
        <w:rPr/>
      </w:pPr>
      <w:r/>
    </w:p>
    <w:p>
      <w:pPr>
        <w:ind w:left="35"/>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2.5.3  </w:t>
      </w:r>
      <w:r>
        <w:rPr>
          <w:rFonts w:ascii="SimHei" w:hAnsi="SimHei" w:eastAsia="SimHei" w:cs="SimHei"/>
          <w:sz w:val="28"/>
          <w:szCs w:val="28"/>
          <w:b/>
          <w:bCs/>
          <w:spacing w:val="-2"/>
        </w:rPr>
        <w:t>声环境评价等级与评价范围</w:t>
      </w:r>
    </w:p>
    <w:p>
      <w:pPr>
        <w:ind w:left="34"/>
        <w:spacing w:before="203"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2.5.3.1  </w:t>
      </w:r>
      <w:r>
        <w:rPr>
          <w:rFonts w:ascii="SimHei" w:hAnsi="SimHei" w:eastAsia="SimHei" w:cs="SimHei"/>
          <w:sz w:val="24"/>
          <w:szCs w:val="24"/>
          <w:b/>
          <w:bCs/>
          <w:spacing w:val="-2"/>
        </w:rPr>
        <w:t>评价等级</w:t>
      </w:r>
    </w:p>
    <w:p>
      <w:pPr>
        <w:ind w:left="39" w:right="67" w:firstLine="479"/>
        <w:spacing w:before="162" w:line="330" w:lineRule="auto"/>
        <w:rPr>
          <w:rFonts w:ascii="SimSun" w:hAnsi="SimSun" w:eastAsia="SimSun" w:cs="SimSun"/>
          <w:sz w:val="24"/>
          <w:szCs w:val="24"/>
        </w:rPr>
      </w:pPr>
      <w:r>
        <w:rPr>
          <w:rFonts w:ascii="SimSun" w:hAnsi="SimSun" w:eastAsia="SimSun" w:cs="SimSun"/>
          <w:sz w:val="24"/>
          <w:szCs w:val="24"/>
          <w:spacing w:val="-1"/>
        </w:rPr>
        <w:t>根据《环境影响评价技术导则 声环境》</w:t>
      </w:r>
      <w:r>
        <w:rPr>
          <w:rFonts w:ascii="Times New Roman" w:hAnsi="Times New Roman" w:eastAsia="Times New Roman" w:cs="Times New Roman"/>
          <w:sz w:val="24"/>
          <w:szCs w:val="24"/>
          <w:spacing w:val="-1"/>
        </w:rPr>
        <w:t>(HJ2.4</w:t>
      </w:r>
      <w:r>
        <w:rPr>
          <w:rFonts w:ascii="Times New Roman" w:hAnsi="Times New Roman" w:eastAsia="Times New Roman" w:cs="Times New Roman"/>
          <w:sz w:val="24"/>
          <w:szCs w:val="24"/>
          <w:spacing w:val="-2"/>
        </w:rPr>
        <w:t>-2021)</w:t>
      </w:r>
      <w:r>
        <w:rPr>
          <w:rFonts w:ascii="SimSun" w:hAnsi="SimSun" w:eastAsia="SimSun" w:cs="SimSun"/>
          <w:sz w:val="24"/>
          <w:szCs w:val="24"/>
          <w:spacing w:val="-2"/>
        </w:rPr>
        <w:t>中关于评价等级划分的规定，</w:t>
      </w:r>
      <w:r>
        <w:rPr>
          <w:rFonts w:ascii="SimSun" w:hAnsi="SimSun" w:eastAsia="SimSun" w:cs="SimSun"/>
          <w:sz w:val="24"/>
          <w:szCs w:val="24"/>
        </w:rPr>
        <w:t>本项目属于</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 </w:t>
      </w:r>
      <w:r>
        <w:rPr>
          <w:rFonts w:ascii="SimSun" w:hAnsi="SimSun" w:eastAsia="SimSun" w:cs="SimSun"/>
          <w:sz w:val="24"/>
          <w:szCs w:val="24"/>
        </w:rPr>
        <w:t>类区，项目建设前后受影响</w:t>
      </w:r>
      <w:r>
        <w:rPr>
          <w:rFonts w:ascii="SimSun" w:hAnsi="SimSun" w:eastAsia="SimSun" w:cs="SimSun"/>
          <w:sz w:val="24"/>
          <w:szCs w:val="24"/>
          <w:spacing w:val="-1"/>
        </w:rPr>
        <w:t>人口数量变化较少，故应为二级评价。</w:t>
      </w:r>
    </w:p>
    <w:p>
      <w:pPr>
        <w:ind w:left="34"/>
        <w:spacing w:before="53"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2.5.3.2  </w:t>
      </w:r>
      <w:r>
        <w:rPr>
          <w:rFonts w:ascii="SimHei" w:hAnsi="SimHei" w:eastAsia="SimHei" w:cs="SimHei"/>
          <w:sz w:val="24"/>
          <w:szCs w:val="24"/>
          <w:b/>
          <w:bCs/>
          <w:spacing w:val="-2"/>
        </w:rPr>
        <w:t>评价范围</w:t>
      </w:r>
    </w:p>
    <w:p>
      <w:pPr>
        <w:ind w:left="521"/>
        <w:spacing w:before="161" w:line="219" w:lineRule="auto"/>
        <w:rPr>
          <w:rFonts w:ascii="SimSun" w:hAnsi="SimSun" w:eastAsia="SimSun" w:cs="SimSun"/>
          <w:sz w:val="24"/>
          <w:szCs w:val="24"/>
        </w:rPr>
      </w:pPr>
      <w:r>
        <w:rPr>
          <w:rFonts w:ascii="SimSun" w:hAnsi="SimSun" w:eastAsia="SimSun" w:cs="SimSun"/>
          <w:sz w:val="24"/>
          <w:szCs w:val="24"/>
          <w:spacing w:val="-2"/>
        </w:rPr>
        <w:t>工业场地、采掘场边界外扩</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200m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范围内区域。</w:t>
      </w:r>
    </w:p>
    <w:p>
      <w:pPr>
        <w:ind w:left="35"/>
        <w:spacing w:before="24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2.5.4  </w:t>
      </w:r>
      <w:r>
        <w:rPr>
          <w:rFonts w:ascii="SimHei" w:hAnsi="SimHei" w:eastAsia="SimHei" w:cs="SimHei"/>
          <w:sz w:val="28"/>
          <w:szCs w:val="28"/>
          <w:b/>
          <w:bCs/>
          <w:spacing w:val="-2"/>
        </w:rPr>
        <w:t>生态环境评价等级与评价范围</w:t>
      </w:r>
    </w:p>
    <w:p>
      <w:pPr>
        <w:ind w:left="34"/>
        <w:spacing w:before="203"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2.5.4.1  </w:t>
      </w:r>
      <w:r>
        <w:rPr>
          <w:rFonts w:ascii="SimHei" w:hAnsi="SimHei" w:eastAsia="SimHei" w:cs="SimHei"/>
          <w:sz w:val="24"/>
          <w:szCs w:val="24"/>
          <w:b/>
          <w:bCs/>
          <w:spacing w:val="-2"/>
        </w:rPr>
        <w:t>评价等级</w:t>
      </w:r>
    </w:p>
    <w:p>
      <w:pPr>
        <w:ind w:left="37" w:right="31" w:firstLine="482"/>
        <w:spacing w:before="162" w:line="339" w:lineRule="auto"/>
        <w:rPr>
          <w:rFonts w:ascii="SimSun" w:hAnsi="SimSun" w:eastAsia="SimSun" w:cs="SimSun"/>
          <w:sz w:val="24"/>
          <w:szCs w:val="24"/>
        </w:rPr>
      </w:pPr>
      <w:r>
        <w:rPr>
          <w:rFonts w:ascii="SimSun" w:hAnsi="SimSun" w:eastAsia="SimSun" w:cs="SimSun"/>
          <w:sz w:val="24"/>
          <w:szCs w:val="24"/>
          <w:spacing w:val="-1"/>
        </w:rPr>
        <w:t>生态环境评价等级对照《环境影响评价技术导则生态影响》</w:t>
      </w:r>
      <w:r>
        <w:rPr>
          <w:rFonts w:ascii="SimSun" w:hAnsi="SimSun" w:eastAsia="SimSun" w:cs="SimSun"/>
          <w:sz w:val="24"/>
          <w:szCs w:val="24"/>
          <w:spacing w:val="-2"/>
        </w:rPr>
        <w:t>（</w:t>
      </w:r>
      <w:r>
        <w:rPr>
          <w:rFonts w:ascii="Times New Roman" w:hAnsi="Times New Roman" w:eastAsia="Times New Roman" w:cs="Times New Roman"/>
          <w:sz w:val="24"/>
          <w:szCs w:val="24"/>
          <w:spacing w:val="-2"/>
        </w:rPr>
        <w:t>HJ19-2022</w:t>
      </w:r>
      <w:r>
        <w:rPr>
          <w:rFonts w:ascii="SimSun" w:hAnsi="SimSun" w:eastAsia="SimSun" w:cs="SimSun"/>
          <w:sz w:val="24"/>
          <w:szCs w:val="24"/>
          <w:spacing w:val="-2"/>
        </w:rPr>
        <w:t>）中的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6.1</w:t>
      </w:r>
      <w:r>
        <w:rPr>
          <w:rFonts w:ascii="SimSun" w:hAnsi="SimSun" w:eastAsia="SimSun" w:cs="SimSun"/>
          <w:sz w:val="24"/>
          <w:szCs w:val="24"/>
          <w:spacing w:val="-1"/>
        </w:rPr>
        <w:t>评价等级判定原则进行判定，判定结果见表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2-5-6</w:t>
      </w:r>
      <w:r>
        <w:rPr>
          <w:rFonts w:ascii="SimSun" w:hAnsi="SimSun" w:eastAsia="SimSun" w:cs="SimSun"/>
          <w:sz w:val="24"/>
          <w:szCs w:val="24"/>
          <w:spacing w:val="-1"/>
        </w:rPr>
        <w:t>。</w:t>
      </w:r>
    </w:p>
    <w:p>
      <w:pPr>
        <w:ind w:left="3492"/>
        <w:spacing w:before="126" w:line="221" w:lineRule="auto"/>
        <w:rPr>
          <w:rFonts w:ascii="SimHei" w:hAnsi="SimHei" w:eastAsia="SimHei" w:cs="SimHei"/>
          <w:sz w:val="24"/>
          <w:szCs w:val="24"/>
        </w:rPr>
      </w:pPr>
      <w:r>
        <w:rPr>
          <w:rFonts w:ascii="SimHei" w:hAnsi="SimHei" w:eastAsia="SimHei" w:cs="SimHei"/>
          <w:sz w:val="24"/>
          <w:szCs w:val="24"/>
          <w:spacing w:val="-1"/>
        </w:rPr>
        <w:t>生态评价等级判定表</w:t>
      </w:r>
    </w:p>
    <w:p>
      <w:pPr>
        <w:ind w:left="36"/>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2-5-6</w:t>
      </w:r>
    </w:p>
    <w:p>
      <w:pPr>
        <w:spacing w:line="23" w:lineRule="exact"/>
        <w:rPr/>
      </w:pPr>
      <w:r/>
    </w:p>
    <w:tbl>
      <w:tblPr>
        <w:tblStyle w:val="TableNormal"/>
        <w:tblW w:w="912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0"/>
        <w:gridCol w:w="4346"/>
        <w:gridCol w:w="3063"/>
        <w:gridCol w:w="1058"/>
      </w:tblGrid>
      <w:tr>
        <w:trPr>
          <w:trHeight w:val="546" w:hRule="atLeast"/>
        </w:trPr>
        <w:tc>
          <w:tcPr>
            <w:tcW w:w="660" w:type="dxa"/>
            <w:vAlign w:val="top"/>
          </w:tcPr>
          <w:p>
            <w:pPr>
              <w:ind w:left="122"/>
              <w:spacing w:before="163" w:line="229" w:lineRule="auto"/>
              <w:rPr>
                <w:rFonts w:ascii="SimSun" w:hAnsi="SimSun" w:eastAsia="SimSun" w:cs="SimSun"/>
                <w:sz w:val="20"/>
                <w:szCs w:val="20"/>
              </w:rPr>
            </w:pPr>
            <w:r>
              <w:rPr>
                <w:rFonts w:ascii="SimSun" w:hAnsi="SimSun" w:eastAsia="SimSun" w:cs="SimSun"/>
                <w:sz w:val="20"/>
                <w:szCs w:val="20"/>
                <w:spacing w:val="5"/>
              </w:rPr>
              <w:t>序号</w:t>
            </w:r>
          </w:p>
        </w:tc>
        <w:tc>
          <w:tcPr>
            <w:tcW w:w="4346" w:type="dxa"/>
            <w:vAlign w:val="top"/>
          </w:tcPr>
          <w:p>
            <w:pPr>
              <w:ind w:left="1336"/>
              <w:spacing w:before="163" w:line="226" w:lineRule="auto"/>
              <w:rPr>
                <w:rFonts w:ascii="SimSun" w:hAnsi="SimSun" w:eastAsia="SimSun" w:cs="SimSun"/>
                <w:sz w:val="20"/>
                <w:szCs w:val="20"/>
              </w:rPr>
            </w:pPr>
            <w:r>
              <w:rPr>
                <w:rFonts w:ascii="SimSun" w:hAnsi="SimSun" w:eastAsia="SimSun" w:cs="SimSun"/>
                <w:sz w:val="20"/>
                <w:szCs w:val="20"/>
                <w:spacing w:val="8"/>
              </w:rPr>
              <w:t>评价等级判定依据</w:t>
            </w:r>
          </w:p>
        </w:tc>
        <w:tc>
          <w:tcPr>
            <w:tcW w:w="3063" w:type="dxa"/>
            <w:vAlign w:val="top"/>
          </w:tcPr>
          <w:p>
            <w:pPr>
              <w:ind w:left="1223"/>
              <w:spacing w:before="163" w:line="227" w:lineRule="auto"/>
              <w:rPr>
                <w:rFonts w:ascii="SimSun" w:hAnsi="SimSun" w:eastAsia="SimSun" w:cs="SimSun"/>
                <w:sz w:val="20"/>
                <w:szCs w:val="20"/>
              </w:rPr>
            </w:pPr>
            <w:r>
              <w:rPr>
                <w:rFonts w:ascii="SimSun" w:hAnsi="SimSun" w:eastAsia="SimSun" w:cs="SimSun"/>
                <w:sz w:val="20"/>
                <w:szCs w:val="20"/>
                <w:spacing w:val="6"/>
              </w:rPr>
              <w:t>本项目</w:t>
            </w:r>
          </w:p>
        </w:tc>
        <w:tc>
          <w:tcPr>
            <w:tcW w:w="1058" w:type="dxa"/>
            <w:vAlign w:val="top"/>
          </w:tcPr>
          <w:p>
            <w:pPr>
              <w:ind w:left="329" w:right="107" w:hanging="212"/>
              <w:spacing w:before="29" w:line="234" w:lineRule="auto"/>
              <w:rPr>
                <w:rFonts w:ascii="SimSun" w:hAnsi="SimSun" w:eastAsia="SimSun" w:cs="SimSun"/>
                <w:sz w:val="20"/>
                <w:szCs w:val="20"/>
              </w:rPr>
            </w:pPr>
            <w:r>
              <w:rPr>
                <w:rFonts w:ascii="SimSun" w:hAnsi="SimSun" w:eastAsia="SimSun" w:cs="SimSun"/>
                <w:sz w:val="20"/>
                <w:szCs w:val="20"/>
                <w:spacing w:val="6"/>
              </w:rPr>
              <w:t>等级判定</w:t>
            </w:r>
            <w:r>
              <w:rPr>
                <w:rFonts w:ascii="SimSun" w:hAnsi="SimSun" w:eastAsia="SimSun" w:cs="SimSun"/>
                <w:sz w:val="20"/>
                <w:szCs w:val="20"/>
                <w:spacing w:val="2"/>
              </w:rPr>
              <w:t>结果</w:t>
            </w:r>
          </w:p>
        </w:tc>
      </w:tr>
      <w:tr>
        <w:trPr>
          <w:trHeight w:val="543" w:hRule="atLeast"/>
        </w:trPr>
        <w:tc>
          <w:tcPr>
            <w:tcW w:w="660" w:type="dxa"/>
            <w:vAlign w:val="top"/>
          </w:tcPr>
          <w:p>
            <w:pPr>
              <w:pStyle w:val="TableText"/>
              <w:ind w:left="252"/>
              <w:spacing w:before="196" w:line="201" w:lineRule="auto"/>
              <w:rPr/>
            </w:pPr>
            <w:r>
              <w:rPr/>
              <w:t>a)</w:t>
            </w:r>
          </w:p>
        </w:tc>
        <w:tc>
          <w:tcPr>
            <w:tcW w:w="4346" w:type="dxa"/>
            <w:vAlign w:val="top"/>
          </w:tcPr>
          <w:p>
            <w:pPr>
              <w:ind w:left="79"/>
              <w:spacing w:before="27" w:line="228" w:lineRule="auto"/>
              <w:rPr>
                <w:rFonts w:ascii="SimSun" w:hAnsi="SimSun" w:eastAsia="SimSun" w:cs="SimSun"/>
                <w:sz w:val="20"/>
                <w:szCs w:val="20"/>
              </w:rPr>
            </w:pPr>
            <w:r>
              <w:rPr>
                <w:rFonts w:ascii="SimSun" w:hAnsi="SimSun" w:eastAsia="SimSun" w:cs="SimSun"/>
                <w:sz w:val="20"/>
                <w:szCs w:val="20"/>
                <w:spacing w:val="6"/>
              </w:rPr>
              <w:t>涉及国家公园、</w:t>
            </w:r>
            <w:r>
              <w:rPr>
                <w:rFonts w:ascii="SimSun" w:hAnsi="SimSun" w:eastAsia="SimSun" w:cs="SimSun"/>
                <w:sz w:val="20"/>
                <w:szCs w:val="20"/>
                <w:spacing w:val="-42"/>
              </w:rPr>
              <w:t xml:space="preserve"> </w:t>
            </w:r>
            <w:r>
              <w:rPr>
                <w:rFonts w:ascii="SimSun" w:hAnsi="SimSun" w:eastAsia="SimSun" w:cs="SimSun"/>
                <w:sz w:val="20"/>
                <w:szCs w:val="20"/>
                <w:spacing w:val="6"/>
              </w:rPr>
              <w:t>自然保护区、世界自然遗产、</w:t>
            </w:r>
          </w:p>
          <w:p>
            <w:pPr>
              <w:ind w:left="812"/>
              <w:spacing w:before="24" w:line="216" w:lineRule="auto"/>
              <w:rPr>
                <w:rFonts w:ascii="SimSun" w:hAnsi="SimSun" w:eastAsia="SimSun" w:cs="SimSun"/>
                <w:sz w:val="20"/>
                <w:szCs w:val="20"/>
              </w:rPr>
            </w:pPr>
            <w:r>
              <w:rPr>
                <w:rFonts w:ascii="SimSun" w:hAnsi="SimSun" w:eastAsia="SimSun" w:cs="SimSun"/>
                <w:sz w:val="20"/>
                <w:szCs w:val="20"/>
                <w:spacing w:val="9"/>
              </w:rPr>
              <w:t>重要生境时，评价等级为一级</w:t>
            </w:r>
          </w:p>
        </w:tc>
        <w:tc>
          <w:tcPr>
            <w:tcW w:w="3063" w:type="dxa"/>
            <w:vAlign w:val="top"/>
          </w:tcPr>
          <w:p>
            <w:pPr>
              <w:ind w:left="1226"/>
              <w:spacing w:before="162" w:line="229" w:lineRule="auto"/>
              <w:rPr>
                <w:rFonts w:ascii="SimSun" w:hAnsi="SimSun" w:eastAsia="SimSun" w:cs="SimSun"/>
                <w:sz w:val="20"/>
                <w:szCs w:val="20"/>
              </w:rPr>
            </w:pPr>
            <w:r>
              <w:rPr>
                <w:rFonts w:ascii="SimSun" w:hAnsi="SimSun" w:eastAsia="SimSun" w:cs="SimSun"/>
                <w:sz w:val="20"/>
                <w:szCs w:val="20"/>
                <w:spacing w:val="5"/>
              </w:rPr>
              <w:t>不涉及</w:t>
            </w:r>
          </w:p>
        </w:tc>
        <w:tc>
          <w:tcPr>
            <w:tcW w:w="1058" w:type="dxa"/>
            <w:vAlign w:val="top"/>
            <w:vMerge w:val="restart"/>
            <w:tcBorders>
              <w:bottom w:val="nil"/>
            </w:tcBorders>
          </w:tcPr>
          <w:p>
            <w:pPr>
              <w:spacing w:line="269" w:lineRule="auto"/>
              <w:rPr>
                <w:rFonts w:ascii="Arial"/>
                <w:sz w:val="21"/>
              </w:rPr>
            </w:pPr>
            <w:r/>
          </w:p>
          <w:p>
            <w:pPr>
              <w:spacing w:line="270" w:lineRule="auto"/>
              <w:rPr>
                <w:rFonts w:ascii="Arial"/>
                <w:sz w:val="21"/>
              </w:rPr>
            </w:pPr>
            <w:r/>
          </w:p>
          <w:p>
            <w:pPr>
              <w:spacing w:line="270" w:lineRule="auto"/>
              <w:rPr>
                <w:rFonts w:ascii="Arial"/>
                <w:sz w:val="21"/>
              </w:rPr>
            </w:pPr>
            <w:r/>
          </w:p>
          <w:p>
            <w:pPr>
              <w:ind w:left="327"/>
              <w:spacing w:before="65" w:line="230" w:lineRule="auto"/>
              <w:rPr>
                <w:rFonts w:ascii="SimSun" w:hAnsi="SimSun" w:eastAsia="SimSun" w:cs="SimSun"/>
                <w:sz w:val="20"/>
                <w:szCs w:val="20"/>
              </w:rPr>
            </w:pPr>
            <w:r>
              <w:rPr>
                <w:rFonts w:ascii="SimSun" w:hAnsi="SimSun" w:eastAsia="SimSun" w:cs="SimSun"/>
                <w:sz w:val="20"/>
                <w:szCs w:val="20"/>
                <w:b/>
                <w:bCs/>
                <w:spacing w:val="2"/>
              </w:rPr>
              <w:t>二级</w:t>
            </w:r>
          </w:p>
        </w:tc>
      </w:tr>
      <w:tr>
        <w:trPr>
          <w:trHeight w:val="302" w:hRule="atLeast"/>
        </w:trPr>
        <w:tc>
          <w:tcPr>
            <w:tcW w:w="660" w:type="dxa"/>
            <w:vAlign w:val="top"/>
          </w:tcPr>
          <w:p>
            <w:pPr>
              <w:pStyle w:val="TableText"/>
              <w:ind w:left="237"/>
              <w:spacing w:before="75" w:line="201" w:lineRule="auto"/>
              <w:rPr/>
            </w:pPr>
            <w:r>
              <w:rPr>
                <w:spacing w:val="4"/>
              </w:rPr>
              <w:t>b)</w:t>
            </w:r>
          </w:p>
        </w:tc>
        <w:tc>
          <w:tcPr>
            <w:tcW w:w="4346" w:type="dxa"/>
            <w:vAlign w:val="top"/>
          </w:tcPr>
          <w:p>
            <w:pPr>
              <w:ind w:left="602"/>
              <w:spacing w:before="43" w:line="226" w:lineRule="auto"/>
              <w:rPr>
                <w:rFonts w:ascii="SimSun" w:hAnsi="SimSun" w:eastAsia="SimSun" w:cs="SimSun"/>
                <w:sz w:val="20"/>
                <w:szCs w:val="20"/>
              </w:rPr>
            </w:pPr>
            <w:r>
              <w:rPr>
                <w:rFonts w:ascii="SimSun" w:hAnsi="SimSun" w:eastAsia="SimSun" w:cs="SimSun"/>
                <w:sz w:val="20"/>
                <w:szCs w:val="20"/>
                <w:spacing w:val="9"/>
              </w:rPr>
              <w:t>涉及自然公园时，评价等级为二级</w:t>
            </w:r>
          </w:p>
        </w:tc>
        <w:tc>
          <w:tcPr>
            <w:tcW w:w="3063" w:type="dxa"/>
            <w:vAlign w:val="top"/>
          </w:tcPr>
          <w:p>
            <w:pPr>
              <w:ind w:left="1226"/>
              <w:spacing w:before="43" w:line="229" w:lineRule="auto"/>
              <w:rPr>
                <w:rFonts w:ascii="SimSun" w:hAnsi="SimSun" w:eastAsia="SimSun" w:cs="SimSun"/>
                <w:sz w:val="20"/>
                <w:szCs w:val="20"/>
              </w:rPr>
            </w:pPr>
            <w:r>
              <w:rPr>
                <w:rFonts w:ascii="SimSun" w:hAnsi="SimSun" w:eastAsia="SimSun" w:cs="SimSun"/>
                <w:sz w:val="20"/>
                <w:szCs w:val="20"/>
                <w:spacing w:val="5"/>
              </w:rPr>
              <w:t>不涉及</w:t>
            </w:r>
          </w:p>
        </w:tc>
        <w:tc>
          <w:tcPr>
            <w:tcW w:w="1058" w:type="dxa"/>
            <w:vAlign w:val="top"/>
            <w:vMerge w:val="continue"/>
            <w:tcBorders>
              <w:top w:val="nil"/>
              <w:bottom w:val="nil"/>
            </w:tcBorders>
          </w:tcPr>
          <w:p>
            <w:pPr>
              <w:rPr>
                <w:rFonts w:ascii="Arial"/>
                <w:sz w:val="21"/>
              </w:rPr>
            </w:pPr>
            <w:r/>
          </w:p>
        </w:tc>
      </w:tr>
      <w:tr>
        <w:trPr>
          <w:trHeight w:val="299" w:hRule="atLeast"/>
        </w:trPr>
        <w:tc>
          <w:tcPr>
            <w:tcW w:w="660" w:type="dxa"/>
            <w:vAlign w:val="top"/>
          </w:tcPr>
          <w:p>
            <w:pPr>
              <w:pStyle w:val="TableText"/>
              <w:ind w:left="251"/>
              <w:spacing w:before="75" w:line="201" w:lineRule="auto"/>
              <w:rPr/>
            </w:pPr>
            <w:r>
              <w:rPr/>
              <w:t>c)</w:t>
            </w:r>
          </w:p>
        </w:tc>
        <w:tc>
          <w:tcPr>
            <w:tcW w:w="4346" w:type="dxa"/>
            <w:vAlign w:val="top"/>
          </w:tcPr>
          <w:p>
            <w:pPr>
              <w:ind w:left="182"/>
              <w:spacing w:before="44" w:line="226" w:lineRule="auto"/>
              <w:rPr>
                <w:rFonts w:ascii="SimSun" w:hAnsi="SimSun" w:eastAsia="SimSun" w:cs="SimSun"/>
                <w:sz w:val="20"/>
                <w:szCs w:val="20"/>
              </w:rPr>
            </w:pPr>
            <w:r>
              <w:rPr>
                <w:rFonts w:ascii="SimSun" w:hAnsi="SimSun" w:eastAsia="SimSun" w:cs="SimSun"/>
                <w:sz w:val="20"/>
                <w:szCs w:val="20"/>
                <w:spacing w:val="9"/>
              </w:rPr>
              <w:t>涉及生态保护红线时，评价等级不低于二级</w:t>
            </w:r>
          </w:p>
        </w:tc>
        <w:tc>
          <w:tcPr>
            <w:tcW w:w="3063" w:type="dxa"/>
            <w:vAlign w:val="top"/>
          </w:tcPr>
          <w:p>
            <w:pPr>
              <w:ind w:left="1226"/>
              <w:spacing w:before="44" w:line="226" w:lineRule="auto"/>
              <w:rPr>
                <w:rFonts w:ascii="SimSun" w:hAnsi="SimSun" w:eastAsia="SimSun" w:cs="SimSun"/>
                <w:sz w:val="20"/>
                <w:szCs w:val="20"/>
              </w:rPr>
            </w:pPr>
            <w:r>
              <w:rPr>
                <w:rFonts w:ascii="SimSun" w:hAnsi="SimSun" w:eastAsia="SimSun" w:cs="SimSun"/>
                <w:sz w:val="20"/>
                <w:szCs w:val="20"/>
                <w:spacing w:val="5"/>
              </w:rPr>
              <w:t>不涉及</w:t>
            </w:r>
          </w:p>
        </w:tc>
        <w:tc>
          <w:tcPr>
            <w:tcW w:w="1058" w:type="dxa"/>
            <w:vAlign w:val="top"/>
            <w:vMerge w:val="continue"/>
            <w:tcBorders>
              <w:top w:val="nil"/>
              <w:bottom w:val="nil"/>
            </w:tcBorders>
          </w:tcPr>
          <w:p>
            <w:pPr>
              <w:rPr>
                <w:rFonts w:ascii="Arial"/>
                <w:sz w:val="21"/>
              </w:rPr>
            </w:pPr>
            <w:r/>
          </w:p>
        </w:tc>
      </w:tr>
      <w:tr>
        <w:trPr>
          <w:trHeight w:val="816" w:hRule="atLeast"/>
        </w:trPr>
        <w:tc>
          <w:tcPr>
            <w:tcW w:w="660" w:type="dxa"/>
            <w:vAlign w:val="top"/>
          </w:tcPr>
          <w:p>
            <w:pPr>
              <w:spacing w:line="276" w:lineRule="auto"/>
              <w:rPr>
                <w:rFonts w:ascii="Arial"/>
                <w:sz w:val="21"/>
              </w:rPr>
            </w:pPr>
            <w:r/>
          </w:p>
          <w:p>
            <w:pPr>
              <w:pStyle w:val="TableText"/>
              <w:ind w:left="244"/>
              <w:spacing w:before="58" w:line="201" w:lineRule="auto"/>
              <w:rPr/>
            </w:pPr>
            <w:r>
              <w:rPr/>
              <w:t>d)</w:t>
            </w:r>
          </w:p>
        </w:tc>
        <w:tc>
          <w:tcPr>
            <w:tcW w:w="4346" w:type="dxa"/>
            <w:vAlign w:val="top"/>
          </w:tcPr>
          <w:p>
            <w:pPr>
              <w:pStyle w:val="TableText"/>
              <w:ind w:left="115"/>
              <w:spacing w:before="29" w:line="228" w:lineRule="auto"/>
              <w:rPr>
                <w:rFonts w:ascii="SimSun" w:hAnsi="SimSun" w:eastAsia="SimSun" w:cs="SimSun"/>
              </w:rPr>
            </w:pPr>
            <w:r>
              <w:rPr>
                <w:rFonts w:ascii="SimSun" w:hAnsi="SimSun" w:eastAsia="SimSun" w:cs="SimSun"/>
                <w:spacing w:val="8"/>
              </w:rPr>
              <w:t>根据 </w:t>
            </w:r>
            <w:r>
              <w:rPr/>
              <w:t>HJ</w:t>
            </w:r>
            <w:r>
              <w:rPr>
                <w:spacing w:val="8"/>
              </w:rPr>
              <w:t xml:space="preserve"> 2.3  </w:t>
            </w:r>
            <w:r>
              <w:rPr>
                <w:rFonts w:ascii="SimSun" w:hAnsi="SimSun" w:eastAsia="SimSun" w:cs="SimSun"/>
                <w:spacing w:val="8"/>
              </w:rPr>
              <w:t>判断属于水文要素影响型且地表</w:t>
            </w:r>
          </w:p>
          <w:p>
            <w:pPr>
              <w:ind w:left="80"/>
              <w:spacing w:before="27" w:line="226" w:lineRule="auto"/>
              <w:rPr>
                <w:rFonts w:ascii="SimSun" w:hAnsi="SimSun" w:eastAsia="SimSun" w:cs="SimSun"/>
                <w:sz w:val="20"/>
                <w:szCs w:val="20"/>
              </w:rPr>
            </w:pPr>
            <w:r>
              <w:rPr>
                <w:rFonts w:ascii="SimSun" w:hAnsi="SimSun" w:eastAsia="SimSun" w:cs="SimSun"/>
                <w:sz w:val="20"/>
                <w:szCs w:val="20"/>
                <w:spacing w:val="9"/>
              </w:rPr>
              <w:t>水评价等级不低于二级的建设项目，生态影响</w:t>
            </w:r>
          </w:p>
          <w:p>
            <w:pPr>
              <w:ind w:left="1231"/>
              <w:spacing w:before="26" w:line="213" w:lineRule="auto"/>
              <w:rPr>
                <w:rFonts w:ascii="SimSun" w:hAnsi="SimSun" w:eastAsia="SimSun" w:cs="SimSun"/>
                <w:sz w:val="20"/>
                <w:szCs w:val="20"/>
              </w:rPr>
            </w:pPr>
            <w:r>
              <w:rPr>
                <w:rFonts w:ascii="SimSun" w:hAnsi="SimSun" w:eastAsia="SimSun" w:cs="SimSun"/>
                <w:sz w:val="20"/>
                <w:szCs w:val="20"/>
                <w:spacing w:val="9"/>
              </w:rPr>
              <w:t>评价等级不低于二级</w:t>
            </w:r>
          </w:p>
        </w:tc>
        <w:tc>
          <w:tcPr>
            <w:tcW w:w="3063" w:type="dxa"/>
            <w:vAlign w:val="top"/>
          </w:tcPr>
          <w:p>
            <w:pPr>
              <w:ind w:left="66"/>
              <w:spacing w:before="30" w:line="226" w:lineRule="auto"/>
              <w:rPr>
                <w:rFonts w:ascii="SimSun" w:hAnsi="SimSun" w:eastAsia="SimSun" w:cs="SimSun"/>
                <w:sz w:val="20"/>
                <w:szCs w:val="20"/>
              </w:rPr>
            </w:pPr>
            <w:r>
              <w:rPr>
                <w:rFonts w:ascii="SimSun" w:hAnsi="SimSun" w:eastAsia="SimSun" w:cs="SimSun"/>
                <w:sz w:val="20"/>
                <w:szCs w:val="20"/>
                <w:spacing w:val="9"/>
              </w:rPr>
              <w:t>本项目地表水环境评价等级为三</w:t>
            </w:r>
          </w:p>
          <w:p>
            <w:pPr>
              <w:pStyle w:val="TableText"/>
              <w:ind w:left="81"/>
              <w:spacing w:before="28" w:line="228" w:lineRule="auto"/>
              <w:rPr>
                <w:rFonts w:ascii="SimSun" w:hAnsi="SimSun" w:eastAsia="SimSun" w:cs="SimSun"/>
              </w:rPr>
            </w:pPr>
            <w:r>
              <w:rPr>
                <w:rFonts w:ascii="SimSun" w:hAnsi="SimSun" w:eastAsia="SimSun" w:cs="SimSun"/>
                <w:spacing w:val="6"/>
              </w:rPr>
              <w:t>级</w:t>
            </w:r>
            <w:r>
              <w:rPr>
                <w:rFonts w:ascii="SimSun" w:hAnsi="SimSun" w:eastAsia="SimSun" w:cs="SimSun"/>
                <w:spacing w:val="-37"/>
              </w:rPr>
              <w:t xml:space="preserve"> </w:t>
            </w:r>
            <w:r>
              <w:rPr>
                <w:spacing w:val="6"/>
              </w:rPr>
              <w:t>B</w:t>
            </w:r>
            <w:r>
              <w:rPr>
                <w:spacing w:val="-25"/>
              </w:rPr>
              <w:t xml:space="preserve"> </w:t>
            </w:r>
            <w:r>
              <w:rPr>
                <w:rFonts w:ascii="SimSun" w:hAnsi="SimSun" w:eastAsia="SimSun" w:cs="SimSun"/>
                <w:spacing w:val="6"/>
              </w:rPr>
              <w:t>，且不属于水文要素影响型</w:t>
            </w:r>
          </w:p>
          <w:p>
            <w:pPr>
              <w:ind w:left="1329"/>
              <w:spacing w:before="24" w:line="213" w:lineRule="auto"/>
              <w:rPr>
                <w:rFonts w:ascii="SimSun" w:hAnsi="SimSun" w:eastAsia="SimSun" w:cs="SimSun"/>
                <w:sz w:val="20"/>
                <w:szCs w:val="20"/>
              </w:rPr>
            </w:pPr>
            <w:r>
              <w:rPr>
                <w:rFonts w:ascii="SimSun" w:hAnsi="SimSun" w:eastAsia="SimSun" w:cs="SimSun"/>
                <w:sz w:val="20"/>
                <w:szCs w:val="20"/>
                <w:spacing w:val="3"/>
              </w:rPr>
              <w:t>项目</w:t>
            </w:r>
          </w:p>
        </w:tc>
        <w:tc>
          <w:tcPr>
            <w:tcW w:w="1058" w:type="dxa"/>
            <w:vAlign w:val="top"/>
            <w:vMerge w:val="continue"/>
            <w:tcBorders>
              <w:top w:val="nil"/>
            </w:tcBorders>
          </w:tcPr>
          <w:p>
            <w:pPr>
              <w:rPr>
                <w:rFonts w:ascii="Arial"/>
                <w:sz w:val="21"/>
              </w:rPr>
            </w:pPr>
            <w:r/>
          </w:p>
        </w:tc>
      </w:tr>
    </w:tbl>
    <w:p>
      <w:pPr>
        <w:pStyle w:val="BodyText"/>
        <w:rPr/>
      </w:pPr>
      <w:r/>
    </w:p>
    <w:p>
      <w:pPr>
        <w:sectPr>
          <w:headerReference w:type="default" r:id="rId59"/>
          <w:footerReference w:type="default" r:id="rId60"/>
          <w:pgSz w:w="11906" w:h="16838"/>
          <w:pgMar w:top="1170" w:right="1386" w:bottom="1080" w:left="1387" w:header="837" w:footer="918" w:gutter="0"/>
        </w:sectPr>
        <w:rPr/>
      </w:pPr>
    </w:p>
    <w:p>
      <w:pPr>
        <w:spacing w:before="6"/>
        <w:rPr/>
      </w:pPr>
      <w:r/>
    </w:p>
    <w:tbl>
      <w:tblPr>
        <w:tblStyle w:val="TableNormal"/>
        <w:tblW w:w="9127"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0"/>
        <w:gridCol w:w="4346"/>
        <w:gridCol w:w="3063"/>
        <w:gridCol w:w="1058"/>
      </w:tblGrid>
      <w:tr>
        <w:trPr>
          <w:trHeight w:val="1090" w:hRule="atLeast"/>
        </w:trPr>
        <w:tc>
          <w:tcPr>
            <w:tcW w:w="660" w:type="dxa"/>
            <w:vAlign w:val="top"/>
          </w:tcPr>
          <w:p>
            <w:pPr>
              <w:spacing w:line="408" w:lineRule="auto"/>
              <w:rPr>
                <w:rFonts w:ascii="Arial"/>
                <w:sz w:val="21"/>
              </w:rPr>
            </w:pPr>
            <w:r/>
          </w:p>
          <w:p>
            <w:pPr>
              <w:pStyle w:val="TableText"/>
              <w:ind w:left="252"/>
              <w:spacing w:before="58" w:line="201" w:lineRule="auto"/>
              <w:rPr/>
            </w:pPr>
            <w:r>
              <w:rPr/>
              <w:t>e)</w:t>
            </w:r>
          </w:p>
        </w:tc>
        <w:tc>
          <w:tcPr>
            <w:tcW w:w="4346" w:type="dxa"/>
            <w:vAlign w:val="top"/>
          </w:tcPr>
          <w:p>
            <w:pPr>
              <w:pStyle w:val="TableText"/>
              <w:ind w:left="53"/>
              <w:spacing w:before="28" w:line="228" w:lineRule="auto"/>
              <w:rPr>
                <w:rFonts w:ascii="SimSun" w:hAnsi="SimSun" w:eastAsia="SimSun" w:cs="SimSun"/>
              </w:rPr>
            </w:pPr>
            <w:r>
              <w:rPr>
                <w:rFonts w:ascii="SimSun" w:hAnsi="SimSun" w:eastAsia="SimSun" w:cs="SimSun"/>
                <w:spacing w:val="8"/>
              </w:rPr>
              <w:t>根据</w:t>
            </w:r>
            <w:r>
              <w:rPr>
                <w:rFonts w:ascii="SimSun" w:hAnsi="SimSun" w:eastAsia="SimSun" w:cs="SimSun"/>
                <w:spacing w:val="-44"/>
              </w:rPr>
              <w:t xml:space="preserve"> </w:t>
            </w:r>
            <w:r>
              <w:rPr/>
              <w:t>HJ</w:t>
            </w:r>
            <w:r>
              <w:rPr>
                <w:spacing w:val="8"/>
              </w:rPr>
              <w:t xml:space="preserve"> 610</w:t>
            </w:r>
            <w:r>
              <w:rPr>
                <w:rFonts w:ascii="SimSun" w:hAnsi="SimSun" w:eastAsia="SimSun" w:cs="SimSun"/>
                <w:spacing w:val="8"/>
              </w:rPr>
              <w:t>、</w:t>
            </w:r>
            <w:r>
              <w:rPr/>
              <w:t>HJ</w:t>
            </w:r>
            <w:r>
              <w:rPr>
                <w:spacing w:val="8"/>
              </w:rPr>
              <w:t xml:space="preserve"> 964 </w:t>
            </w:r>
            <w:r>
              <w:rPr>
                <w:rFonts w:ascii="SimSun" w:hAnsi="SimSun" w:eastAsia="SimSun" w:cs="SimSun"/>
                <w:spacing w:val="8"/>
              </w:rPr>
              <w:t>判断地下水水位或土壤影</w:t>
            </w:r>
          </w:p>
          <w:p>
            <w:pPr>
              <w:ind w:left="88"/>
              <w:spacing w:before="26" w:line="227" w:lineRule="auto"/>
              <w:rPr>
                <w:rFonts w:ascii="SimSun" w:hAnsi="SimSun" w:eastAsia="SimSun" w:cs="SimSun"/>
                <w:sz w:val="20"/>
                <w:szCs w:val="20"/>
              </w:rPr>
            </w:pPr>
            <w:r>
              <w:rPr>
                <w:rFonts w:ascii="SimSun" w:hAnsi="SimSun" w:eastAsia="SimSun" w:cs="SimSun"/>
                <w:sz w:val="20"/>
                <w:szCs w:val="20"/>
                <w:spacing w:val="8"/>
              </w:rPr>
              <w:t>响范围内分布有天然林、公益林、湿地等生态</w:t>
            </w:r>
          </w:p>
          <w:p>
            <w:pPr>
              <w:ind w:left="78"/>
              <w:spacing w:before="25" w:line="226" w:lineRule="auto"/>
              <w:rPr>
                <w:rFonts w:ascii="SimSun" w:hAnsi="SimSun" w:eastAsia="SimSun" w:cs="SimSun"/>
                <w:sz w:val="20"/>
                <w:szCs w:val="20"/>
              </w:rPr>
            </w:pPr>
            <w:r>
              <w:rPr>
                <w:rFonts w:ascii="SimSun" w:hAnsi="SimSun" w:eastAsia="SimSun" w:cs="SimSun"/>
                <w:sz w:val="20"/>
                <w:szCs w:val="20"/>
                <w:spacing w:val="9"/>
              </w:rPr>
              <w:t>保护目标的建设项目，生态影响评价等级不低</w:t>
            </w:r>
          </w:p>
          <w:p>
            <w:pPr>
              <w:ind w:left="1864"/>
              <w:spacing w:before="28" w:line="215" w:lineRule="auto"/>
              <w:rPr>
                <w:rFonts w:ascii="SimSun" w:hAnsi="SimSun" w:eastAsia="SimSun" w:cs="SimSun"/>
                <w:sz w:val="20"/>
                <w:szCs w:val="20"/>
              </w:rPr>
            </w:pPr>
            <w:r>
              <w:rPr>
                <w:rFonts w:ascii="SimSun" w:hAnsi="SimSun" w:eastAsia="SimSun" w:cs="SimSun"/>
                <w:sz w:val="20"/>
                <w:szCs w:val="20"/>
                <w:spacing w:val="5"/>
              </w:rPr>
              <w:t>于二级</w:t>
            </w:r>
          </w:p>
        </w:tc>
        <w:tc>
          <w:tcPr>
            <w:tcW w:w="3063" w:type="dxa"/>
            <w:vAlign w:val="top"/>
          </w:tcPr>
          <w:p>
            <w:pPr>
              <w:ind w:left="65"/>
              <w:spacing w:before="28" w:line="228" w:lineRule="auto"/>
              <w:rPr>
                <w:rFonts w:ascii="SimSun" w:hAnsi="SimSun" w:eastAsia="SimSun" w:cs="SimSun"/>
                <w:sz w:val="20"/>
                <w:szCs w:val="20"/>
              </w:rPr>
            </w:pPr>
            <w:r>
              <w:rPr>
                <w:rFonts w:ascii="SimSun" w:hAnsi="SimSun" w:eastAsia="SimSun" w:cs="SimSun"/>
                <w:sz w:val="20"/>
                <w:szCs w:val="20"/>
                <w:spacing w:val="9"/>
              </w:rPr>
              <w:t>根据现场调查，项目地下水水位</w:t>
            </w:r>
          </w:p>
          <w:p>
            <w:pPr>
              <w:ind w:left="68"/>
              <w:spacing w:before="26" w:line="228" w:lineRule="auto"/>
              <w:rPr>
                <w:rFonts w:ascii="SimSun" w:hAnsi="SimSun" w:eastAsia="SimSun" w:cs="SimSun"/>
                <w:sz w:val="20"/>
                <w:szCs w:val="20"/>
              </w:rPr>
            </w:pPr>
            <w:r>
              <w:rPr>
                <w:rFonts w:ascii="SimSun" w:hAnsi="SimSun" w:eastAsia="SimSun" w:cs="SimSun"/>
                <w:sz w:val="20"/>
                <w:szCs w:val="20"/>
                <w:spacing w:val="8"/>
              </w:rPr>
              <w:t>或土壤影响范围内主要为草地，</w:t>
            </w:r>
          </w:p>
          <w:p>
            <w:pPr>
              <w:ind w:left="67"/>
              <w:spacing w:before="24" w:line="228" w:lineRule="auto"/>
              <w:rPr>
                <w:rFonts w:ascii="SimSun" w:hAnsi="SimSun" w:eastAsia="SimSun" w:cs="SimSun"/>
                <w:sz w:val="20"/>
                <w:szCs w:val="20"/>
              </w:rPr>
            </w:pPr>
            <w:r>
              <w:rPr>
                <w:rFonts w:ascii="SimSun" w:hAnsi="SimSun" w:eastAsia="SimSun" w:cs="SimSun"/>
                <w:sz w:val="20"/>
                <w:szCs w:val="20"/>
                <w:spacing w:val="9"/>
              </w:rPr>
              <w:t>无天然林、公益林、湿地等生态</w:t>
            </w:r>
          </w:p>
          <w:p>
            <w:pPr>
              <w:ind w:left="1014"/>
              <w:spacing w:before="26" w:line="215" w:lineRule="auto"/>
              <w:rPr>
                <w:rFonts w:ascii="SimSun" w:hAnsi="SimSun" w:eastAsia="SimSun" w:cs="SimSun"/>
                <w:sz w:val="20"/>
                <w:szCs w:val="20"/>
              </w:rPr>
            </w:pPr>
            <w:r>
              <w:rPr>
                <w:rFonts w:ascii="SimSun" w:hAnsi="SimSun" w:eastAsia="SimSun" w:cs="SimSun"/>
                <w:sz w:val="20"/>
                <w:szCs w:val="20"/>
                <w:spacing w:val="5"/>
              </w:rPr>
              <w:t>保护目标。</w:t>
            </w:r>
          </w:p>
        </w:tc>
        <w:tc>
          <w:tcPr>
            <w:tcW w:w="1058" w:type="dxa"/>
            <w:vAlign w:val="top"/>
            <w:vMerge w:val="restart"/>
            <w:tcBorders>
              <w:bottom w:val="nil"/>
            </w:tcBorders>
          </w:tcPr>
          <w:p>
            <w:pPr>
              <w:rPr>
                <w:rFonts w:ascii="Arial"/>
                <w:sz w:val="21"/>
              </w:rPr>
            </w:pPr>
            <w:r/>
          </w:p>
        </w:tc>
      </w:tr>
      <w:tr>
        <w:trPr>
          <w:trHeight w:val="1088" w:hRule="atLeast"/>
        </w:trPr>
        <w:tc>
          <w:tcPr>
            <w:tcW w:w="660" w:type="dxa"/>
            <w:vAlign w:val="top"/>
          </w:tcPr>
          <w:p>
            <w:pPr>
              <w:spacing w:line="408" w:lineRule="auto"/>
              <w:rPr>
                <w:rFonts w:ascii="Arial"/>
                <w:sz w:val="21"/>
              </w:rPr>
            </w:pPr>
            <w:r/>
          </w:p>
          <w:p>
            <w:pPr>
              <w:pStyle w:val="TableText"/>
              <w:ind w:left="264"/>
              <w:spacing w:before="57" w:line="201" w:lineRule="auto"/>
              <w:rPr/>
            </w:pPr>
            <w:r>
              <w:rPr>
                <w:spacing w:val="8"/>
              </w:rPr>
              <w:t>f)</w:t>
            </w:r>
          </w:p>
        </w:tc>
        <w:tc>
          <w:tcPr>
            <w:tcW w:w="4346" w:type="dxa"/>
            <w:vAlign w:val="top"/>
          </w:tcPr>
          <w:p>
            <w:pPr>
              <w:pStyle w:val="TableText"/>
              <w:ind w:left="61"/>
              <w:spacing w:before="28" w:line="228" w:lineRule="auto"/>
              <w:rPr>
                <w:rFonts w:ascii="SimSun" w:hAnsi="SimSun" w:eastAsia="SimSun" w:cs="SimSun"/>
              </w:rPr>
            </w:pPr>
            <w:r>
              <w:rPr>
                <w:rFonts w:ascii="SimSun" w:hAnsi="SimSun" w:eastAsia="SimSun" w:cs="SimSun"/>
                <w:spacing w:val="7"/>
              </w:rPr>
              <w:t>当工程占地规模大于</w:t>
            </w:r>
            <w:r>
              <w:rPr>
                <w:rFonts w:ascii="SimSun" w:hAnsi="SimSun" w:eastAsia="SimSun" w:cs="SimSun"/>
                <w:spacing w:val="-38"/>
              </w:rPr>
              <w:t xml:space="preserve"> </w:t>
            </w:r>
            <w:r>
              <w:rPr>
                <w:spacing w:val="7"/>
              </w:rPr>
              <w:t>20 </w:t>
            </w:r>
            <w:r>
              <w:rPr/>
              <w:t>km</w:t>
            </w:r>
            <w:r>
              <w:rPr>
                <w:sz w:val="13"/>
                <w:szCs w:val="13"/>
                <w:spacing w:val="7"/>
                <w:position w:val="6"/>
              </w:rPr>
              <w:t>2</w:t>
            </w:r>
            <w:r>
              <w:rPr>
                <w:sz w:val="13"/>
                <w:szCs w:val="13"/>
                <w:spacing w:val="18"/>
                <w:w w:val="101"/>
                <w:position w:val="6"/>
              </w:rPr>
              <w:t xml:space="preserve"> </w:t>
            </w:r>
            <w:r>
              <w:rPr>
                <w:rFonts w:ascii="SimSun" w:hAnsi="SimSun" w:eastAsia="SimSun" w:cs="SimSun"/>
                <w:spacing w:val="7"/>
              </w:rPr>
              <w:t>时（包括永久和临</w:t>
            </w:r>
          </w:p>
          <w:p>
            <w:pPr>
              <w:ind w:left="87"/>
              <w:spacing w:before="27" w:line="226" w:lineRule="auto"/>
              <w:rPr>
                <w:rFonts w:ascii="SimSun" w:hAnsi="SimSun" w:eastAsia="SimSun" w:cs="SimSun"/>
                <w:sz w:val="20"/>
                <w:szCs w:val="20"/>
              </w:rPr>
            </w:pPr>
            <w:r>
              <w:rPr>
                <w:rFonts w:ascii="SimSun" w:hAnsi="SimSun" w:eastAsia="SimSun" w:cs="SimSun"/>
                <w:sz w:val="20"/>
                <w:szCs w:val="20"/>
                <w:spacing w:val="7"/>
              </w:rPr>
              <w:t>时占用陆域和水域</w:t>
            </w:r>
            <w:r>
              <w:rPr>
                <w:rFonts w:ascii="SimSun" w:hAnsi="SimSun" w:eastAsia="SimSun" w:cs="SimSun"/>
                <w:sz w:val="20"/>
                <w:szCs w:val="20"/>
                <w:spacing w:val="22"/>
              </w:rPr>
              <w:t>），</w:t>
            </w:r>
            <w:r>
              <w:rPr>
                <w:rFonts w:ascii="SimSun" w:hAnsi="SimSun" w:eastAsia="SimSun" w:cs="SimSun"/>
                <w:sz w:val="20"/>
                <w:szCs w:val="20"/>
                <w:spacing w:val="7"/>
              </w:rPr>
              <w:t>评价等级不低于二级；</w:t>
            </w:r>
          </w:p>
          <w:p>
            <w:pPr>
              <w:ind w:left="84"/>
              <w:spacing w:before="25" w:line="228" w:lineRule="auto"/>
              <w:rPr>
                <w:rFonts w:ascii="SimSun" w:hAnsi="SimSun" w:eastAsia="SimSun" w:cs="SimSun"/>
                <w:sz w:val="20"/>
                <w:szCs w:val="20"/>
              </w:rPr>
            </w:pPr>
            <w:r>
              <w:rPr>
                <w:rFonts w:ascii="SimSun" w:hAnsi="SimSun" w:eastAsia="SimSun" w:cs="SimSun"/>
                <w:sz w:val="20"/>
                <w:szCs w:val="20"/>
                <w:spacing w:val="9"/>
              </w:rPr>
              <w:t>改建项目的占地范围以新增占地（包括陆域和</w:t>
            </w:r>
          </w:p>
          <w:p>
            <w:pPr>
              <w:ind w:left="1654"/>
              <w:spacing w:before="27" w:line="213" w:lineRule="auto"/>
              <w:rPr>
                <w:rFonts w:ascii="SimSun" w:hAnsi="SimSun" w:eastAsia="SimSun" w:cs="SimSun"/>
                <w:sz w:val="20"/>
                <w:szCs w:val="20"/>
              </w:rPr>
            </w:pPr>
            <w:r>
              <w:rPr>
                <w:rFonts w:ascii="SimSun" w:hAnsi="SimSun" w:eastAsia="SimSun" w:cs="SimSun"/>
                <w:sz w:val="20"/>
                <w:szCs w:val="20"/>
                <w:spacing w:val="7"/>
              </w:rPr>
              <w:t>水域）确定</w:t>
            </w:r>
          </w:p>
        </w:tc>
        <w:tc>
          <w:tcPr>
            <w:tcW w:w="3063" w:type="dxa"/>
            <w:vAlign w:val="top"/>
          </w:tcPr>
          <w:p>
            <w:pPr>
              <w:spacing w:line="250" w:lineRule="auto"/>
              <w:rPr>
                <w:rFonts w:ascii="Arial"/>
                <w:sz w:val="21"/>
              </w:rPr>
            </w:pPr>
            <w:r/>
          </w:p>
          <w:p>
            <w:pPr>
              <w:pStyle w:val="TableText"/>
              <w:ind w:left="165"/>
              <w:spacing w:before="65" w:line="228" w:lineRule="auto"/>
              <w:rPr>
                <w:rFonts w:ascii="SimSun" w:hAnsi="SimSun" w:eastAsia="SimSun" w:cs="SimSun"/>
              </w:rPr>
            </w:pPr>
            <w:r>
              <w:rPr>
                <w:rFonts w:ascii="SimSun" w:hAnsi="SimSun" w:eastAsia="SimSun" w:cs="SimSun"/>
                <w:spacing w:val="5"/>
              </w:rPr>
              <w:t>项目新增占地</w:t>
            </w:r>
            <w:r>
              <w:rPr>
                <w:rFonts w:ascii="SimSun" w:hAnsi="SimSun" w:eastAsia="SimSun" w:cs="SimSun"/>
                <w:spacing w:val="-34"/>
              </w:rPr>
              <w:t xml:space="preserve"> </w:t>
            </w:r>
            <w:r>
              <w:rPr>
                <w:spacing w:val="5"/>
              </w:rPr>
              <w:t>3.079</w:t>
            </w:r>
            <w:r>
              <w:rPr/>
              <w:t>km</w:t>
            </w:r>
            <w:r>
              <w:rPr>
                <w:sz w:val="13"/>
                <w:szCs w:val="13"/>
                <w:spacing w:val="5"/>
                <w:position w:val="6"/>
              </w:rPr>
              <w:t>2</w:t>
            </w:r>
            <w:r>
              <w:rPr>
                <w:sz w:val="13"/>
                <w:szCs w:val="13"/>
                <w:spacing w:val="-6"/>
                <w:position w:val="6"/>
              </w:rPr>
              <w:t xml:space="preserve"> </w:t>
            </w:r>
            <w:r>
              <w:rPr>
                <w:rFonts w:ascii="SimSun" w:hAnsi="SimSun" w:eastAsia="SimSun" w:cs="SimSun"/>
                <w:spacing w:val="5"/>
              </w:rPr>
              <w:t>，小于</w:t>
            </w:r>
          </w:p>
          <w:p>
            <w:pPr>
              <w:pStyle w:val="TableText"/>
              <w:ind w:left="1262"/>
              <w:spacing w:before="25" w:line="216" w:lineRule="auto"/>
              <w:rPr>
                <w:sz w:val="13"/>
                <w:szCs w:val="13"/>
              </w:rPr>
            </w:pPr>
            <w:r>
              <w:rPr>
                <w:spacing w:val="7"/>
              </w:rPr>
              <w:t>20</w:t>
            </w:r>
            <w:r>
              <w:rPr/>
              <w:t>km</w:t>
            </w:r>
            <w:r>
              <w:rPr>
                <w:sz w:val="13"/>
                <w:szCs w:val="13"/>
                <w:spacing w:val="7"/>
                <w:position w:val="6"/>
              </w:rPr>
              <w:t>2</w:t>
            </w:r>
          </w:p>
        </w:tc>
        <w:tc>
          <w:tcPr>
            <w:tcW w:w="1058" w:type="dxa"/>
            <w:vAlign w:val="top"/>
            <w:vMerge w:val="continue"/>
            <w:tcBorders>
              <w:top w:val="nil"/>
              <w:bottom w:val="nil"/>
            </w:tcBorders>
          </w:tcPr>
          <w:p>
            <w:pPr>
              <w:rPr>
                <w:rFonts w:ascii="Arial"/>
                <w:sz w:val="21"/>
              </w:rPr>
            </w:pPr>
            <w:r/>
          </w:p>
        </w:tc>
      </w:tr>
      <w:tr>
        <w:trPr>
          <w:trHeight w:val="544" w:hRule="atLeast"/>
        </w:trPr>
        <w:tc>
          <w:tcPr>
            <w:tcW w:w="660" w:type="dxa"/>
            <w:vAlign w:val="top"/>
          </w:tcPr>
          <w:p>
            <w:pPr>
              <w:pStyle w:val="TableText"/>
              <w:ind w:left="243"/>
              <w:spacing w:before="198" w:line="201" w:lineRule="auto"/>
              <w:rPr/>
            </w:pPr>
            <w:r>
              <w:rPr>
                <w:spacing w:val="-1"/>
              </w:rPr>
              <w:t>g)</w:t>
            </w:r>
          </w:p>
        </w:tc>
        <w:tc>
          <w:tcPr>
            <w:tcW w:w="4346" w:type="dxa"/>
            <w:vAlign w:val="top"/>
          </w:tcPr>
          <w:p>
            <w:pPr>
              <w:pStyle w:val="TableText"/>
              <w:ind w:left="73"/>
              <w:spacing w:before="29" w:line="227" w:lineRule="auto"/>
              <w:rPr>
                <w:rFonts w:ascii="SimSun" w:hAnsi="SimSun" w:eastAsia="SimSun" w:cs="SimSun"/>
              </w:rPr>
            </w:pPr>
            <w:r>
              <w:rPr>
                <w:rFonts w:ascii="SimSun" w:hAnsi="SimSun" w:eastAsia="SimSun" w:cs="SimSun"/>
                <w:spacing w:val="7"/>
              </w:rPr>
              <w:t>除本条 </w:t>
            </w:r>
            <w:r>
              <w:rPr>
                <w:spacing w:val="7"/>
              </w:rPr>
              <w:t>a</w:t>
            </w:r>
            <w:r>
              <w:rPr>
                <w:rFonts w:ascii="SimSun" w:hAnsi="SimSun" w:eastAsia="SimSun" w:cs="SimSun"/>
                <w:spacing w:val="7"/>
              </w:rPr>
              <w:t>）、</w:t>
            </w:r>
            <w:r>
              <w:rPr>
                <w:spacing w:val="7"/>
              </w:rPr>
              <w:t>b</w:t>
            </w:r>
            <w:r>
              <w:rPr>
                <w:rFonts w:ascii="SimSun" w:hAnsi="SimSun" w:eastAsia="SimSun" w:cs="SimSun"/>
                <w:spacing w:val="7"/>
              </w:rPr>
              <w:t>）、</w:t>
            </w:r>
            <w:r>
              <w:rPr>
                <w:spacing w:val="7"/>
              </w:rPr>
              <w:t>c</w:t>
            </w:r>
            <w:r>
              <w:rPr>
                <w:rFonts w:ascii="SimSun" w:hAnsi="SimSun" w:eastAsia="SimSun" w:cs="SimSun"/>
                <w:spacing w:val="7"/>
              </w:rPr>
              <w:t>）、</w:t>
            </w:r>
            <w:r>
              <w:rPr>
                <w:spacing w:val="7"/>
              </w:rPr>
              <w:t>d</w:t>
            </w:r>
            <w:r>
              <w:rPr>
                <w:rFonts w:ascii="SimSun" w:hAnsi="SimSun" w:eastAsia="SimSun" w:cs="SimSun"/>
                <w:spacing w:val="7"/>
              </w:rPr>
              <w:t>）、</w:t>
            </w:r>
            <w:r>
              <w:rPr>
                <w:spacing w:val="7"/>
              </w:rPr>
              <w:t>e</w:t>
            </w:r>
            <w:r>
              <w:rPr>
                <w:rFonts w:ascii="SimSun" w:hAnsi="SimSun" w:eastAsia="SimSun" w:cs="SimSun"/>
                <w:spacing w:val="7"/>
              </w:rPr>
              <w:t>）、</w:t>
            </w:r>
            <w:r>
              <w:rPr>
                <w:spacing w:val="7"/>
              </w:rPr>
              <w:t>f</w:t>
            </w:r>
            <w:r>
              <w:rPr>
                <w:rFonts w:ascii="SimSun" w:hAnsi="SimSun" w:eastAsia="SimSun" w:cs="SimSun"/>
                <w:spacing w:val="7"/>
              </w:rPr>
              <w:t>）以外的</w:t>
            </w:r>
          </w:p>
          <w:p>
            <w:pPr>
              <w:ind w:left="1124"/>
              <w:spacing w:before="25" w:line="215" w:lineRule="auto"/>
              <w:rPr>
                <w:rFonts w:ascii="SimSun" w:hAnsi="SimSun" w:eastAsia="SimSun" w:cs="SimSun"/>
                <w:sz w:val="20"/>
                <w:szCs w:val="20"/>
              </w:rPr>
            </w:pPr>
            <w:r>
              <w:rPr>
                <w:rFonts w:ascii="SimSun" w:hAnsi="SimSun" w:eastAsia="SimSun" w:cs="SimSun"/>
                <w:sz w:val="20"/>
                <w:szCs w:val="20"/>
                <w:spacing w:val="8"/>
              </w:rPr>
              <w:t>情况，评价等级为三级</w:t>
            </w:r>
          </w:p>
        </w:tc>
        <w:tc>
          <w:tcPr>
            <w:tcW w:w="3063" w:type="dxa"/>
            <w:vAlign w:val="top"/>
          </w:tcPr>
          <w:p>
            <w:pPr>
              <w:pStyle w:val="TableText"/>
              <w:ind w:left="1502"/>
              <w:spacing w:before="198" w:line="199" w:lineRule="auto"/>
              <w:rPr/>
            </w:pPr>
            <w:r>
              <w:rPr>
                <w:spacing w:val="2"/>
              </w:rPr>
              <w:t>/</w:t>
            </w:r>
          </w:p>
        </w:tc>
        <w:tc>
          <w:tcPr>
            <w:tcW w:w="1058" w:type="dxa"/>
            <w:vAlign w:val="top"/>
            <w:vMerge w:val="continue"/>
            <w:tcBorders>
              <w:top w:val="nil"/>
              <w:bottom w:val="nil"/>
            </w:tcBorders>
          </w:tcPr>
          <w:p>
            <w:pPr>
              <w:rPr>
                <w:rFonts w:ascii="Arial"/>
                <w:sz w:val="21"/>
              </w:rPr>
            </w:pPr>
            <w:r/>
          </w:p>
        </w:tc>
      </w:tr>
      <w:tr>
        <w:trPr>
          <w:trHeight w:val="1090" w:hRule="atLeast"/>
        </w:trPr>
        <w:tc>
          <w:tcPr>
            <w:tcW w:w="660" w:type="dxa"/>
            <w:vAlign w:val="top"/>
          </w:tcPr>
          <w:p>
            <w:pPr>
              <w:spacing w:line="414" w:lineRule="auto"/>
              <w:rPr>
                <w:rFonts w:ascii="Arial"/>
                <w:sz w:val="21"/>
              </w:rPr>
            </w:pPr>
            <w:r/>
          </w:p>
          <w:p>
            <w:pPr>
              <w:pStyle w:val="TableText"/>
              <w:ind w:left="123"/>
              <w:spacing w:before="57" w:line="195" w:lineRule="auto"/>
              <w:rPr/>
            </w:pPr>
            <w:r>
              <w:rPr>
                <w:spacing w:val="-3"/>
              </w:rPr>
              <w:t>6.</w:t>
            </w:r>
            <w:r>
              <w:rPr>
                <w:spacing w:val="-24"/>
              </w:rPr>
              <w:t xml:space="preserve"> </w:t>
            </w:r>
            <w:r>
              <w:rPr>
                <w:spacing w:val="-3"/>
              </w:rPr>
              <w:t>1.5</w:t>
            </w:r>
          </w:p>
        </w:tc>
        <w:tc>
          <w:tcPr>
            <w:tcW w:w="4346" w:type="dxa"/>
            <w:vAlign w:val="top"/>
          </w:tcPr>
          <w:p>
            <w:pPr>
              <w:ind w:left="76"/>
              <w:spacing w:before="164" w:line="227" w:lineRule="auto"/>
              <w:rPr>
                <w:rFonts w:ascii="SimSun" w:hAnsi="SimSun" w:eastAsia="SimSun" w:cs="SimSun"/>
                <w:sz w:val="20"/>
                <w:szCs w:val="20"/>
              </w:rPr>
            </w:pPr>
            <w:r>
              <w:rPr>
                <w:rFonts w:ascii="SimSun" w:hAnsi="SimSun" w:eastAsia="SimSun" w:cs="SimSun"/>
                <w:sz w:val="20"/>
                <w:szCs w:val="20"/>
                <w:spacing w:val="9"/>
              </w:rPr>
              <w:t>在矿山开采可能导致矿区土地利用类型明显改</w:t>
            </w:r>
          </w:p>
          <w:p>
            <w:pPr>
              <w:ind w:left="77"/>
              <w:spacing w:before="27" w:line="228" w:lineRule="auto"/>
              <w:rPr>
                <w:rFonts w:ascii="SimSun" w:hAnsi="SimSun" w:eastAsia="SimSun" w:cs="SimSun"/>
                <w:sz w:val="20"/>
                <w:szCs w:val="20"/>
              </w:rPr>
            </w:pPr>
            <w:r>
              <w:rPr>
                <w:rFonts w:ascii="SimSun" w:hAnsi="SimSun" w:eastAsia="SimSun" w:cs="SimSun"/>
                <w:sz w:val="20"/>
                <w:szCs w:val="20"/>
                <w:spacing w:val="9"/>
              </w:rPr>
              <w:t>变，或拦河闸坝建设可能明显改变水文情势等</w:t>
            </w:r>
          </w:p>
          <w:p>
            <w:pPr>
              <w:ind w:left="704"/>
              <w:spacing w:before="24" w:line="226" w:lineRule="auto"/>
              <w:rPr>
                <w:rFonts w:ascii="SimSun" w:hAnsi="SimSun" w:eastAsia="SimSun" w:cs="SimSun"/>
                <w:sz w:val="20"/>
                <w:szCs w:val="20"/>
              </w:rPr>
            </w:pPr>
            <w:r>
              <w:rPr>
                <w:rFonts w:ascii="SimSun" w:hAnsi="SimSun" w:eastAsia="SimSun" w:cs="SimSun"/>
                <w:sz w:val="20"/>
                <w:szCs w:val="20"/>
                <w:spacing w:val="8"/>
              </w:rPr>
              <w:t>情况下，评价等级应上调一级。</w:t>
            </w:r>
          </w:p>
        </w:tc>
        <w:tc>
          <w:tcPr>
            <w:tcW w:w="3063" w:type="dxa"/>
            <w:vAlign w:val="top"/>
          </w:tcPr>
          <w:p>
            <w:pPr>
              <w:ind w:left="66"/>
              <w:spacing w:before="30" w:line="227" w:lineRule="auto"/>
              <w:rPr>
                <w:rFonts w:ascii="SimSun" w:hAnsi="SimSun" w:eastAsia="SimSun" w:cs="SimSun"/>
                <w:sz w:val="20"/>
                <w:szCs w:val="20"/>
              </w:rPr>
            </w:pPr>
            <w:r>
              <w:rPr>
                <w:rFonts w:ascii="SimSun" w:hAnsi="SimSun" w:eastAsia="SimSun" w:cs="SimSun"/>
                <w:sz w:val="20"/>
                <w:szCs w:val="20"/>
                <w:spacing w:val="9"/>
              </w:rPr>
              <w:t>本项目露天开采部分，开采后导</w:t>
            </w:r>
          </w:p>
          <w:p>
            <w:pPr>
              <w:ind w:left="173"/>
              <w:spacing w:before="27" w:line="228" w:lineRule="auto"/>
              <w:rPr>
                <w:rFonts w:ascii="SimSun" w:hAnsi="SimSun" w:eastAsia="SimSun" w:cs="SimSun"/>
                <w:sz w:val="20"/>
                <w:szCs w:val="20"/>
              </w:rPr>
            </w:pPr>
            <w:r>
              <w:rPr>
                <w:rFonts w:ascii="SimSun" w:hAnsi="SimSun" w:eastAsia="SimSun" w:cs="SimSun"/>
                <w:sz w:val="20"/>
                <w:szCs w:val="20"/>
                <w:spacing w:val="9"/>
              </w:rPr>
              <w:t>致矿区内土地利用类型明显改</w:t>
            </w:r>
          </w:p>
          <w:p>
            <w:pPr>
              <w:ind w:left="65"/>
              <w:spacing w:before="24" w:line="226" w:lineRule="auto"/>
              <w:rPr>
                <w:rFonts w:ascii="SimSun" w:hAnsi="SimSun" w:eastAsia="SimSun" w:cs="SimSun"/>
                <w:sz w:val="20"/>
                <w:szCs w:val="20"/>
              </w:rPr>
            </w:pPr>
            <w:r>
              <w:rPr>
                <w:rFonts w:ascii="SimSun" w:hAnsi="SimSun" w:eastAsia="SimSun" w:cs="SimSun"/>
                <w:sz w:val="20"/>
                <w:szCs w:val="20"/>
                <w:spacing w:val="9"/>
              </w:rPr>
              <w:t>变，因此本项目评价等级上调一</w:t>
            </w:r>
          </w:p>
          <w:p>
            <w:pPr>
              <w:ind w:left="386"/>
              <w:spacing w:before="28" w:line="213" w:lineRule="auto"/>
              <w:rPr>
                <w:rFonts w:ascii="SimSun" w:hAnsi="SimSun" w:eastAsia="SimSun" w:cs="SimSun"/>
                <w:sz w:val="20"/>
                <w:szCs w:val="20"/>
              </w:rPr>
            </w:pPr>
            <w:r>
              <w:rPr>
                <w:rFonts w:ascii="SimSun" w:hAnsi="SimSun" w:eastAsia="SimSun" w:cs="SimSun"/>
                <w:sz w:val="20"/>
                <w:szCs w:val="20"/>
                <w:spacing w:val="8"/>
              </w:rPr>
              <w:t>级，评价等级确定为二级</w:t>
            </w:r>
          </w:p>
        </w:tc>
        <w:tc>
          <w:tcPr>
            <w:tcW w:w="1058" w:type="dxa"/>
            <w:vAlign w:val="top"/>
            <w:vMerge w:val="continue"/>
            <w:tcBorders>
              <w:top w:val="nil"/>
            </w:tcBorders>
          </w:tcPr>
          <w:p>
            <w:pPr>
              <w:rPr>
                <w:rFonts w:ascii="Arial"/>
                <w:sz w:val="21"/>
              </w:rPr>
            </w:pPr>
            <w:r/>
          </w:p>
        </w:tc>
      </w:tr>
    </w:tbl>
    <w:p>
      <w:pPr>
        <w:pStyle w:val="BodyText"/>
        <w:spacing w:line="372" w:lineRule="auto"/>
        <w:rPr/>
      </w:pPr>
      <w:r/>
    </w:p>
    <w:p>
      <w:pPr>
        <w:ind w:left="3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2.5.4.2  </w:t>
      </w:r>
      <w:r>
        <w:rPr>
          <w:rFonts w:ascii="SimHei" w:hAnsi="SimHei" w:eastAsia="SimHei" w:cs="SimHei"/>
          <w:sz w:val="24"/>
          <w:szCs w:val="24"/>
          <w:b/>
          <w:bCs/>
          <w:spacing w:val="-2"/>
        </w:rPr>
        <w:t>评价范围</w:t>
      </w:r>
    </w:p>
    <w:p>
      <w:pPr>
        <w:ind w:left="42" w:firstLine="480"/>
        <w:spacing w:before="158" w:line="341" w:lineRule="auto"/>
        <w:rPr>
          <w:rFonts w:ascii="SimSun" w:hAnsi="SimSun" w:eastAsia="SimSun" w:cs="SimSun"/>
          <w:sz w:val="24"/>
          <w:szCs w:val="24"/>
        </w:rPr>
      </w:pPr>
      <w:r>
        <w:rPr>
          <w:rFonts w:ascii="SimSun" w:hAnsi="SimSun" w:eastAsia="SimSun" w:cs="SimSun"/>
          <w:sz w:val="24"/>
          <w:szCs w:val="24"/>
          <w:spacing w:val="-6"/>
        </w:rPr>
        <w:t>生态影响评价考虑生态完整性，本项目生态评价范围是以矿区</w:t>
      </w:r>
      <w:r>
        <w:rPr>
          <w:rFonts w:ascii="SimSun" w:hAnsi="SimSun" w:eastAsia="SimSun" w:cs="SimSun"/>
          <w:sz w:val="24"/>
          <w:szCs w:val="24"/>
          <w:spacing w:val="-7"/>
        </w:rPr>
        <w:t>边界外扩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的区域，</w:t>
      </w:r>
      <w:r>
        <w:rPr>
          <w:rFonts w:ascii="SimSun" w:hAnsi="SimSun" w:eastAsia="SimSun" w:cs="SimSun"/>
          <w:sz w:val="24"/>
          <w:szCs w:val="24"/>
          <w:spacing w:val="-2"/>
        </w:rPr>
        <w:t>生态环境评价范围面积</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53.41km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37"/>
        <w:spacing w:before="8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2.5.5  </w:t>
      </w:r>
      <w:r>
        <w:rPr>
          <w:rFonts w:ascii="SimHei" w:hAnsi="SimHei" w:eastAsia="SimHei" w:cs="SimHei"/>
          <w:sz w:val="28"/>
          <w:szCs w:val="28"/>
          <w:b/>
          <w:bCs/>
          <w:spacing w:val="-2"/>
        </w:rPr>
        <w:t>环境风险评价等级与评价范围</w:t>
      </w:r>
    </w:p>
    <w:p>
      <w:pPr>
        <w:ind w:left="520"/>
        <w:spacing w:before="172" w:line="218" w:lineRule="auto"/>
        <w:rPr>
          <w:rFonts w:ascii="SimSun" w:hAnsi="SimSun" w:eastAsia="SimSun" w:cs="SimSun"/>
          <w:sz w:val="24"/>
          <w:szCs w:val="24"/>
        </w:rPr>
      </w:pPr>
      <w:r>
        <w:rPr>
          <w:rFonts w:ascii="SimSun" w:hAnsi="SimSun" w:eastAsia="SimSun" w:cs="SimSun"/>
          <w:sz w:val="24"/>
          <w:szCs w:val="24"/>
          <w:spacing w:val="-1"/>
        </w:rPr>
        <w:t>根据《建设项目环境风险评价技术导则》（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1"/>
        </w:rPr>
        <w:t>）的规定和要求</w:t>
      </w:r>
      <w:r>
        <w:rPr>
          <w:rFonts w:ascii="SimSun" w:hAnsi="SimSun" w:eastAsia="SimSun" w:cs="SimSun"/>
          <w:sz w:val="24"/>
          <w:szCs w:val="24"/>
          <w:spacing w:val="-2"/>
        </w:rPr>
        <w:t>并结合本项</w:t>
      </w:r>
    </w:p>
    <w:p>
      <w:pPr>
        <w:ind w:left="86"/>
        <w:spacing w:before="156" w:line="218" w:lineRule="auto"/>
        <w:rPr>
          <w:rFonts w:ascii="SimSun" w:hAnsi="SimSun" w:eastAsia="SimSun" w:cs="SimSun"/>
          <w:sz w:val="24"/>
          <w:szCs w:val="24"/>
        </w:rPr>
      </w:pPr>
      <w:r>
        <w:rPr>
          <w:rFonts w:ascii="SimSun" w:hAnsi="SimSun" w:eastAsia="SimSun" w:cs="SimSun"/>
          <w:sz w:val="24"/>
          <w:szCs w:val="24"/>
          <w:spacing w:val="-3"/>
        </w:rPr>
        <w:t>目特点，确定本项目环境风险评价等级及评价范围。</w:t>
      </w:r>
    </w:p>
    <w:p>
      <w:pPr>
        <w:pStyle w:val="BodyText"/>
        <w:spacing w:line="351" w:lineRule="auto"/>
        <w:rPr/>
      </w:pPr>
      <w:r/>
    </w:p>
    <w:p>
      <w:pPr>
        <w:ind w:left="36"/>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2.5.5.2  </w:t>
      </w:r>
      <w:r>
        <w:rPr>
          <w:rFonts w:ascii="SimHei" w:hAnsi="SimHei" w:eastAsia="SimHei" w:cs="SimHei"/>
          <w:sz w:val="24"/>
          <w:szCs w:val="24"/>
          <w:b/>
          <w:bCs/>
          <w:spacing w:val="-2"/>
        </w:rPr>
        <w:t>评价工作等级划分及评价范围</w:t>
      </w:r>
    </w:p>
    <w:p>
      <w:pPr>
        <w:ind w:left="39" w:right="182" w:firstLine="482"/>
        <w:spacing w:before="158" w:line="340" w:lineRule="auto"/>
        <w:jc w:val="both"/>
        <w:rPr>
          <w:rFonts w:ascii="SimSun" w:hAnsi="SimSun" w:eastAsia="SimSun" w:cs="SimSun"/>
          <w:sz w:val="24"/>
          <w:szCs w:val="24"/>
        </w:rPr>
      </w:pPr>
      <w:r>
        <w:rPr>
          <w:rFonts w:ascii="SimSun" w:hAnsi="SimSun" w:eastAsia="SimSun" w:cs="SimSun"/>
          <w:sz w:val="24"/>
          <w:szCs w:val="24"/>
          <w:spacing w:val="-1"/>
        </w:rPr>
        <w:t>依据《建设项目环境风险评价技术导则》（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3"/>
        </w:rPr>
        <w:t>），</w:t>
      </w:r>
      <w:r>
        <w:rPr>
          <w:rFonts w:ascii="SimSun" w:hAnsi="SimSun" w:eastAsia="SimSun" w:cs="SimSun"/>
          <w:sz w:val="24"/>
          <w:szCs w:val="24"/>
          <w:spacing w:val="-1"/>
        </w:rPr>
        <w:t>环境风险评价工</w:t>
      </w:r>
      <w:r>
        <w:rPr>
          <w:rFonts w:ascii="SimSun" w:hAnsi="SimSun" w:eastAsia="SimSun" w:cs="SimSun"/>
          <w:sz w:val="24"/>
          <w:szCs w:val="24"/>
          <w:spacing w:val="-2"/>
        </w:rPr>
        <w:t>作等级</w:t>
      </w:r>
      <w:r>
        <w:rPr>
          <w:rFonts w:ascii="SimSun" w:hAnsi="SimSun" w:eastAsia="SimSun" w:cs="SimSun"/>
          <w:sz w:val="24"/>
          <w:szCs w:val="24"/>
          <w:spacing w:val="-2"/>
        </w:rPr>
        <w:t>划分为一级、二级、三级。根据建设项目涉及的物质及工艺系统危险性和所在地的环境</w:t>
      </w:r>
      <w:r>
        <w:rPr>
          <w:rFonts w:ascii="SimSun" w:hAnsi="SimSun" w:eastAsia="SimSun" w:cs="SimSun"/>
          <w:sz w:val="24"/>
          <w:szCs w:val="24"/>
          <w:spacing w:val="-2"/>
        </w:rPr>
        <w:t>敏感性确定环境风险潜势，确定评价工作等级。风险潜势为</w:t>
      </w:r>
      <w:r>
        <w:rPr>
          <w:rFonts w:ascii="Times New Roman" w:hAnsi="Times New Roman" w:eastAsia="Times New Roman" w:cs="Times New Roman"/>
          <w:sz w:val="24"/>
          <w:szCs w:val="24"/>
          <w:spacing w:val="-2"/>
        </w:rPr>
        <w:t>Ⅳ</w:t>
      </w:r>
      <w:r>
        <w:rPr>
          <w:rFonts w:ascii="SimSun" w:hAnsi="SimSun" w:eastAsia="SimSun" w:cs="SimSun"/>
          <w:sz w:val="24"/>
          <w:szCs w:val="24"/>
          <w:spacing w:val="-2"/>
        </w:rPr>
        <w:t>及以上，进行一级评价；</w:t>
      </w:r>
      <w:r>
        <w:rPr>
          <w:rFonts w:ascii="SimSun" w:hAnsi="SimSun" w:eastAsia="SimSun" w:cs="SimSun"/>
          <w:sz w:val="24"/>
          <w:szCs w:val="24"/>
          <w:spacing w:val="-8"/>
        </w:rPr>
        <w:t>风险潜势为</w:t>
      </w:r>
      <w:r>
        <w:rPr>
          <w:rFonts w:ascii="Times New Roman" w:hAnsi="Times New Roman" w:eastAsia="Times New Roman" w:cs="Times New Roman"/>
          <w:sz w:val="24"/>
          <w:szCs w:val="24"/>
          <w:spacing w:val="-8"/>
        </w:rPr>
        <w:t>Ⅲ</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8"/>
        </w:rPr>
        <w:t>,</w:t>
      </w:r>
      <w:r>
        <w:rPr>
          <w:rFonts w:ascii="SimSun" w:hAnsi="SimSun" w:eastAsia="SimSun" w:cs="SimSun"/>
          <w:sz w:val="24"/>
          <w:szCs w:val="24"/>
          <w:spacing w:val="54"/>
        </w:rPr>
        <w:t xml:space="preserve"> </w:t>
      </w:r>
      <w:r>
        <w:rPr>
          <w:rFonts w:ascii="SimSun" w:hAnsi="SimSun" w:eastAsia="SimSun" w:cs="SimSun"/>
          <w:sz w:val="24"/>
          <w:szCs w:val="24"/>
          <w:spacing w:val="-8"/>
        </w:rPr>
        <w:t>进行二级评价；风险潜势为</w:t>
      </w:r>
      <w:r>
        <w:rPr>
          <w:rFonts w:ascii="Times New Roman" w:hAnsi="Times New Roman" w:eastAsia="Times New Roman" w:cs="Times New Roman"/>
          <w:sz w:val="24"/>
          <w:szCs w:val="24"/>
          <w:spacing w:val="-8"/>
        </w:rPr>
        <w:t>Ⅱ</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8"/>
        </w:rPr>
        <w:t>,</w:t>
      </w:r>
      <w:r>
        <w:rPr>
          <w:rFonts w:ascii="SimSun" w:hAnsi="SimSun" w:eastAsia="SimSun" w:cs="SimSun"/>
          <w:sz w:val="24"/>
          <w:szCs w:val="24"/>
          <w:spacing w:val="54"/>
        </w:rPr>
        <w:t xml:space="preserve"> </w:t>
      </w:r>
      <w:r>
        <w:rPr>
          <w:rFonts w:ascii="SimSun" w:hAnsi="SimSun" w:eastAsia="SimSun" w:cs="SimSun"/>
          <w:sz w:val="24"/>
          <w:szCs w:val="24"/>
          <w:spacing w:val="-8"/>
        </w:rPr>
        <w:t>进行三级评价；风险潜势为</w:t>
      </w:r>
      <w:r>
        <w:rPr>
          <w:rFonts w:ascii="Times New Roman" w:hAnsi="Times New Roman" w:eastAsia="Times New Roman" w:cs="Times New Roman"/>
          <w:sz w:val="24"/>
          <w:szCs w:val="24"/>
          <w:spacing w:val="-8"/>
        </w:rPr>
        <w:t>Ⅰ</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8"/>
        </w:rPr>
        <w:t>,</w:t>
      </w:r>
      <w:r>
        <w:rPr>
          <w:rFonts w:ascii="SimSun" w:hAnsi="SimSun" w:eastAsia="SimSun" w:cs="SimSun"/>
          <w:sz w:val="24"/>
          <w:szCs w:val="24"/>
          <w:spacing w:val="58"/>
        </w:rPr>
        <w:t xml:space="preserve"> </w:t>
      </w:r>
      <w:r>
        <w:rPr>
          <w:rFonts w:ascii="SimSun" w:hAnsi="SimSun" w:eastAsia="SimSun" w:cs="SimSun"/>
          <w:sz w:val="24"/>
          <w:szCs w:val="24"/>
          <w:spacing w:val="-8"/>
        </w:rPr>
        <w:t>可开展简</w:t>
      </w:r>
      <w:r>
        <w:rPr>
          <w:rFonts w:ascii="SimSun" w:hAnsi="SimSun" w:eastAsia="SimSun" w:cs="SimSun"/>
          <w:sz w:val="24"/>
          <w:szCs w:val="24"/>
          <w:spacing w:val="-3"/>
        </w:rPr>
        <w:t>单分析。</w:t>
      </w:r>
    </w:p>
    <w:p>
      <w:pPr>
        <w:ind w:left="3615"/>
        <w:spacing w:before="119" w:line="221" w:lineRule="auto"/>
        <w:rPr>
          <w:rFonts w:ascii="SimHei" w:hAnsi="SimHei" w:eastAsia="SimHei" w:cs="SimHei"/>
          <w:sz w:val="24"/>
          <w:szCs w:val="24"/>
        </w:rPr>
      </w:pPr>
      <w:r>
        <w:rPr>
          <w:rFonts w:ascii="SimHei" w:hAnsi="SimHei" w:eastAsia="SimHei" w:cs="SimHei"/>
          <w:sz w:val="24"/>
          <w:szCs w:val="24"/>
          <w:spacing w:val="-2"/>
        </w:rPr>
        <w:t>评价工作等级划分</w:t>
      </w:r>
    </w:p>
    <w:p>
      <w:pPr>
        <w:ind w:left="38"/>
        <w:spacing w:before="71"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2-5-7</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54"/>
        <w:gridCol w:w="1825"/>
        <w:gridCol w:w="1521"/>
        <w:gridCol w:w="1521"/>
        <w:gridCol w:w="2010"/>
      </w:tblGrid>
      <w:tr>
        <w:trPr>
          <w:trHeight w:val="573" w:hRule="atLeast"/>
        </w:trPr>
        <w:tc>
          <w:tcPr>
            <w:tcW w:w="2254" w:type="dxa"/>
            <w:vAlign w:val="top"/>
          </w:tcPr>
          <w:p>
            <w:pPr>
              <w:ind w:left="502"/>
              <w:spacing w:before="179" w:line="228" w:lineRule="auto"/>
              <w:rPr>
                <w:rFonts w:ascii="SimSun" w:hAnsi="SimSun" w:eastAsia="SimSun" w:cs="SimSun"/>
                <w:sz w:val="20"/>
                <w:szCs w:val="20"/>
              </w:rPr>
            </w:pPr>
            <w:r>
              <w:rPr>
                <w:rFonts w:ascii="SimSun" w:hAnsi="SimSun" w:eastAsia="SimSun" w:cs="SimSun"/>
                <w:sz w:val="20"/>
                <w:szCs w:val="20"/>
                <w:spacing w:val="8"/>
              </w:rPr>
              <w:t>环境风险潜势</w:t>
            </w:r>
          </w:p>
        </w:tc>
        <w:tc>
          <w:tcPr>
            <w:tcW w:w="1825" w:type="dxa"/>
            <w:vAlign w:val="top"/>
          </w:tcPr>
          <w:p>
            <w:pPr>
              <w:pStyle w:val="TableText"/>
              <w:ind w:left="549"/>
              <w:spacing w:before="207" w:line="194" w:lineRule="auto"/>
              <w:rPr/>
            </w:pPr>
            <w:r>
              <w:rPr/>
              <w:t>IV</w:t>
            </w:r>
            <w:r>
              <w:rPr>
                <w:sz w:val="13"/>
                <w:szCs w:val="13"/>
                <w:spacing w:val="1"/>
                <w:position w:val="6"/>
              </w:rPr>
              <w:t>+</w:t>
            </w:r>
            <w:r>
              <w:rPr>
                <w:sz w:val="13"/>
                <w:szCs w:val="13"/>
                <w:spacing w:val="-10"/>
                <w:position w:val="6"/>
              </w:rPr>
              <w:t xml:space="preserve"> </w:t>
            </w:r>
            <w:r>
              <w:rPr>
                <w:rFonts w:ascii="SimSun" w:hAnsi="SimSun" w:eastAsia="SimSun" w:cs="SimSun"/>
                <w:spacing w:val="1"/>
              </w:rPr>
              <w:t>、</w:t>
            </w:r>
            <w:r>
              <w:rPr/>
              <w:t>IV</w:t>
            </w:r>
          </w:p>
        </w:tc>
        <w:tc>
          <w:tcPr>
            <w:tcW w:w="1521" w:type="dxa"/>
            <w:vAlign w:val="top"/>
          </w:tcPr>
          <w:p>
            <w:pPr>
              <w:pStyle w:val="TableText"/>
              <w:ind w:left="656"/>
              <w:spacing w:before="219" w:line="192" w:lineRule="auto"/>
              <w:rPr/>
            </w:pPr>
            <w:r>
              <w:rPr>
                <w:spacing w:val="2"/>
              </w:rPr>
              <w:t>III</w:t>
            </w:r>
          </w:p>
        </w:tc>
        <w:tc>
          <w:tcPr>
            <w:tcW w:w="1521" w:type="dxa"/>
            <w:vAlign w:val="top"/>
          </w:tcPr>
          <w:p>
            <w:pPr>
              <w:pStyle w:val="TableText"/>
              <w:ind w:left="695"/>
              <w:spacing w:before="219" w:line="192" w:lineRule="auto"/>
              <w:rPr/>
            </w:pPr>
            <w:r>
              <w:rPr/>
              <w:t>II</w:t>
            </w:r>
          </w:p>
        </w:tc>
        <w:tc>
          <w:tcPr>
            <w:tcW w:w="2010" w:type="dxa"/>
            <w:vAlign w:val="top"/>
          </w:tcPr>
          <w:p>
            <w:pPr>
              <w:pStyle w:val="TableText"/>
              <w:ind w:left="972"/>
              <w:spacing w:before="219" w:line="192" w:lineRule="auto"/>
              <w:rPr/>
            </w:pPr>
            <w:r>
              <w:rPr/>
              <w:t>I</w:t>
            </w:r>
          </w:p>
        </w:tc>
      </w:tr>
      <w:tr>
        <w:trPr>
          <w:trHeight w:val="573" w:hRule="atLeast"/>
        </w:trPr>
        <w:tc>
          <w:tcPr>
            <w:tcW w:w="2254" w:type="dxa"/>
            <w:vAlign w:val="top"/>
          </w:tcPr>
          <w:p>
            <w:pPr>
              <w:ind w:left="501"/>
              <w:spacing w:before="178" w:line="226" w:lineRule="auto"/>
              <w:rPr>
                <w:rFonts w:ascii="SimSun" w:hAnsi="SimSun" w:eastAsia="SimSun" w:cs="SimSun"/>
                <w:sz w:val="20"/>
                <w:szCs w:val="20"/>
              </w:rPr>
            </w:pPr>
            <w:r>
              <w:rPr>
                <w:rFonts w:ascii="SimSun" w:hAnsi="SimSun" w:eastAsia="SimSun" w:cs="SimSun"/>
                <w:sz w:val="20"/>
                <w:szCs w:val="20"/>
                <w:spacing w:val="8"/>
              </w:rPr>
              <w:t>评价工作等级</w:t>
            </w:r>
          </w:p>
        </w:tc>
        <w:tc>
          <w:tcPr>
            <w:tcW w:w="1825" w:type="dxa"/>
            <w:vAlign w:val="top"/>
          </w:tcPr>
          <w:p>
            <w:pPr>
              <w:ind w:left="814"/>
              <w:spacing w:before="256" w:line="156" w:lineRule="exact"/>
              <w:rPr>
                <w:rFonts w:ascii="SimSun" w:hAnsi="SimSun" w:eastAsia="SimSun" w:cs="SimSun"/>
                <w:sz w:val="20"/>
                <w:szCs w:val="20"/>
              </w:rPr>
            </w:pPr>
            <w:r>
              <w:rPr>
                <w:rFonts w:ascii="SimSun" w:hAnsi="SimSun" w:eastAsia="SimSun" w:cs="SimSun"/>
                <w:sz w:val="20"/>
                <w:szCs w:val="20"/>
                <w:position w:val="-4"/>
              </w:rPr>
              <w:t>一</w:t>
            </w:r>
          </w:p>
        </w:tc>
        <w:tc>
          <w:tcPr>
            <w:tcW w:w="1521" w:type="dxa"/>
            <w:vAlign w:val="top"/>
          </w:tcPr>
          <w:p>
            <w:pPr>
              <w:ind w:left="662"/>
              <w:spacing w:before="217" w:line="183" w:lineRule="auto"/>
              <w:rPr>
                <w:rFonts w:ascii="SimSun" w:hAnsi="SimSun" w:eastAsia="SimSun" w:cs="SimSun"/>
                <w:sz w:val="20"/>
                <w:szCs w:val="20"/>
              </w:rPr>
            </w:pPr>
            <w:r>
              <w:rPr>
                <w:rFonts w:ascii="SimSun" w:hAnsi="SimSun" w:eastAsia="SimSun" w:cs="SimSun"/>
                <w:sz w:val="20"/>
                <w:szCs w:val="20"/>
              </w:rPr>
              <w:t>二</w:t>
            </w:r>
          </w:p>
        </w:tc>
        <w:tc>
          <w:tcPr>
            <w:tcW w:w="1521" w:type="dxa"/>
            <w:vAlign w:val="top"/>
          </w:tcPr>
          <w:p>
            <w:pPr>
              <w:ind w:left="662"/>
              <w:spacing w:before="178" w:line="265" w:lineRule="exact"/>
              <w:rPr>
                <w:rFonts w:ascii="SimSun" w:hAnsi="SimSun" w:eastAsia="SimSun" w:cs="SimSun"/>
                <w:sz w:val="20"/>
                <w:szCs w:val="20"/>
              </w:rPr>
            </w:pPr>
            <w:r>
              <w:rPr>
                <w:rFonts w:ascii="SimSun" w:hAnsi="SimSun" w:eastAsia="SimSun" w:cs="SimSun"/>
                <w:sz w:val="20"/>
                <w:szCs w:val="20"/>
                <w:position w:val="1"/>
              </w:rPr>
              <w:t>三</w:t>
            </w:r>
          </w:p>
        </w:tc>
        <w:tc>
          <w:tcPr>
            <w:tcW w:w="2010" w:type="dxa"/>
            <w:vAlign w:val="top"/>
          </w:tcPr>
          <w:p>
            <w:pPr>
              <w:pStyle w:val="TableText"/>
              <w:ind w:left="513"/>
              <w:spacing w:before="178" w:line="227" w:lineRule="auto"/>
              <w:rPr/>
            </w:pPr>
            <w:r>
              <w:rPr>
                <w:rFonts w:ascii="SimSun" w:hAnsi="SimSun" w:eastAsia="SimSun" w:cs="SimSun"/>
                <w:b/>
                <w:bCs/>
                <w:spacing w:val="3"/>
              </w:rPr>
              <w:t>简单分析</w:t>
            </w:r>
            <w:r>
              <w:rPr>
                <w:rFonts w:ascii="SimSun" w:hAnsi="SimSun" w:eastAsia="SimSun" w:cs="SimSun"/>
                <w:spacing w:val="-33"/>
              </w:rPr>
              <w:t xml:space="preserve"> </w:t>
            </w:r>
            <w:r>
              <w:rPr>
                <w:b/>
                <w:bCs/>
                <w:spacing w:val="3"/>
              </w:rPr>
              <w:t>a</w:t>
            </w:r>
          </w:p>
        </w:tc>
      </w:tr>
    </w:tbl>
    <w:p>
      <w:pPr>
        <w:ind w:left="39" w:right="181"/>
        <w:spacing w:before="28" w:line="254" w:lineRule="auto"/>
        <w:rPr>
          <w:rFonts w:ascii="SimSun" w:hAnsi="SimSun" w:eastAsia="SimSun" w:cs="SimSun"/>
          <w:sz w:val="20"/>
          <w:szCs w:val="20"/>
        </w:rPr>
      </w:pPr>
      <w:r>
        <w:rPr>
          <w:rFonts w:ascii="SimSun" w:hAnsi="SimSun" w:eastAsia="SimSun" w:cs="SimSun"/>
          <w:sz w:val="20"/>
          <w:szCs w:val="20"/>
          <w:spacing w:val="12"/>
        </w:rPr>
        <w:t>注：</w:t>
      </w:r>
      <w:r>
        <w:rPr>
          <w:rFonts w:ascii="Times New Roman" w:hAnsi="Times New Roman" w:eastAsia="Times New Roman" w:cs="Times New Roman"/>
          <w:sz w:val="20"/>
          <w:szCs w:val="20"/>
          <w:spacing w:val="12"/>
        </w:rPr>
        <w:t>a</w:t>
      </w:r>
      <w:r>
        <w:rPr>
          <w:rFonts w:ascii="Times New Roman" w:hAnsi="Times New Roman" w:eastAsia="Times New Roman" w:cs="Times New Roman"/>
          <w:sz w:val="20"/>
          <w:szCs w:val="20"/>
          <w:spacing w:val="21"/>
        </w:rPr>
        <w:t xml:space="preserve"> </w:t>
      </w:r>
      <w:r>
        <w:rPr>
          <w:rFonts w:ascii="SimSun" w:hAnsi="SimSun" w:eastAsia="SimSun" w:cs="SimSun"/>
          <w:sz w:val="20"/>
          <w:szCs w:val="20"/>
          <w:spacing w:val="12"/>
        </w:rPr>
        <w:t>是相对于详细评价工作内容而言，在描述危险物质、环境影响途径、环境</w:t>
      </w:r>
      <w:r>
        <w:rPr>
          <w:rFonts w:ascii="SimSun" w:hAnsi="SimSun" w:eastAsia="SimSun" w:cs="SimSun"/>
          <w:sz w:val="20"/>
          <w:szCs w:val="20"/>
          <w:spacing w:val="11"/>
        </w:rPr>
        <w:t>危害后果、风险防</w:t>
      </w:r>
      <w:r>
        <w:rPr>
          <w:rFonts w:ascii="SimSun" w:hAnsi="SimSun" w:eastAsia="SimSun" w:cs="SimSun"/>
          <w:sz w:val="20"/>
          <w:szCs w:val="20"/>
          <w:spacing w:val="8"/>
        </w:rPr>
        <w:t>措施等方面给出定性的说明。见附录</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8"/>
        </w:rPr>
        <w:t>A</w:t>
      </w:r>
      <w:r>
        <w:rPr>
          <w:rFonts w:ascii="SimSun" w:hAnsi="SimSun" w:eastAsia="SimSun" w:cs="SimSun"/>
          <w:sz w:val="20"/>
          <w:szCs w:val="20"/>
          <w:spacing w:val="8"/>
        </w:rPr>
        <w:t>。</w:t>
      </w:r>
    </w:p>
    <w:p>
      <w:pPr>
        <w:pStyle w:val="BodyText"/>
        <w:spacing w:line="274" w:lineRule="auto"/>
        <w:rPr/>
      </w:pPr>
      <w:r/>
    </w:p>
    <w:p>
      <w:pPr>
        <w:ind w:left="41" w:right="186" w:firstLine="480"/>
        <w:spacing w:before="78" w:line="338" w:lineRule="auto"/>
        <w:jc w:val="both"/>
        <w:rPr>
          <w:rFonts w:ascii="SimSun" w:hAnsi="SimSun" w:eastAsia="SimSun" w:cs="SimSun"/>
          <w:sz w:val="24"/>
          <w:szCs w:val="24"/>
        </w:rPr>
      </w:pPr>
      <w:r>
        <w:rPr>
          <w:rFonts w:ascii="SimSun" w:hAnsi="SimSun" w:eastAsia="SimSun" w:cs="SimSun"/>
          <w:sz w:val="24"/>
          <w:szCs w:val="24"/>
          <w:spacing w:val="-2"/>
        </w:rPr>
        <w:t>本项目仅涉及露天区范围的调整，开采规模不发生变化，工业场地依托现有工程，</w:t>
      </w:r>
      <w:r>
        <w:rPr>
          <w:rFonts w:ascii="SimSun" w:hAnsi="SimSun" w:eastAsia="SimSun" w:cs="SimSun"/>
          <w:sz w:val="24"/>
          <w:szCs w:val="24"/>
          <w:spacing w:val="-2"/>
        </w:rPr>
        <w:t>本项目危险物质数量及种类与现有工程基本一致，根据收集资料，危废暂存间及加油站</w:t>
      </w:r>
      <w:r>
        <w:rPr>
          <w:rFonts w:ascii="SimSun" w:hAnsi="SimSun" w:eastAsia="SimSun" w:cs="SimSun"/>
          <w:sz w:val="24"/>
          <w:szCs w:val="24"/>
          <w:spacing w:val="-3"/>
        </w:rPr>
        <w:t>危险物质数量与临界量的比值</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Q</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分别为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0.002</w:t>
      </w:r>
      <w:r>
        <w:rPr>
          <w:rFonts w:ascii="SimSun" w:hAnsi="SimSun" w:eastAsia="SimSun" w:cs="SimSun"/>
          <w:sz w:val="24"/>
          <w:szCs w:val="24"/>
          <w:spacing w:val="-3"/>
        </w:rPr>
        <w:t>、</w:t>
      </w:r>
      <w:r>
        <w:rPr>
          <w:rFonts w:ascii="Times New Roman" w:hAnsi="Times New Roman" w:eastAsia="Times New Roman" w:cs="Times New Roman"/>
          <w:sz w:val="24"/>
          <w:szCs w:val="24"/>
          <w:spacing w:val="-3"/>
        </w:rPr>
        <w:t>0.12</w:t>
      </w:r>
      <w:r>
        <w:rPr>
          <w:rFonts w:ascii="SimSun" w:hAnsi="SimSun" w:eastAsia="SimSun" w:cs="SimSun"/>
          <w:sz w:val="24"/>
          <w:szCs w:val="24"/>
          <w:spacing w:val="-3"/>
        </w:rPr>
        <w:t>，</w:t>
      </w:r>
      <w:r>
        <w:rPr>
          <w:rFonts w:ascii="Times New Roman" w:hAnsi="Times New Roman" w:eastAsia="Times New Roman" w:cs="Times New Roman"/>
          <w:sz w:val="24"/>
          <w:szCs w:val="24"/>
          <w:spacing w:val="-3"/>
        </w:rPr>
        <w:t>Q </w:t>
      </w:r>
      <w:r>
        <w:rPr>
          <w:rFonts w:ascii="SimSun" w:hAnsi="SimSun" w:eastAsia="SimSun" w:cs="SimSun"/>
          <w:sz w:val="24"/>
          <w:szCs w:val="24"/>
          <w:spacing w:val="-4"/>
        </w:rPr>
        <w:t>值合计为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0.122 &lt;1</w:t>
      </w:r>
      <w:r>
        <w:rPr>
          <w:rFonts w:ascii="SimSun" w:hAnsi="SimSun" w:eastAsia="SimSun" w:cs="SimSun"/>
          <w:sz w:val="24"/>
          <w:szCs w:val="24"/>
          <w:spacing w:val="-4"/>
        </w:rPr>
        <w:t>，根据《建设</w:t>
      </w:r>
    </w:p>
    <w:p>
      <w:pPr>
        <w:spacing w:line="338" w:lineRule="auto"/>
        <w:sectPr>
          <w:headerReference w:type="default" r:id="rId61"/>
          <w:footerReference w:type="default" r:id="rId62"/>
          <w:pgSz w:w="11906" w:h="16838"/>
          <w:pgMar w:top="1170" w:right="1231" w:bottom="1080" w:left="1384" w:header="837" w:footer="918" w:gutter="0"/>
        </w:sectPr>
        <w:rPr>
          <w:rFonts w:ascii="SimSun" w:hAnsi="SimSun" w:eastAsia="SimSun" w:cs="SimSun"/>
          <w:sz w:val="24"/>
          <w:szCs w:val="24"/>
        </w:rPr>
      </w:pPr>
    </w:p>
    <w:p>
      <w:pPr>
        <w:pStyle w:val="BodyText"/>
        <w:spacing w:line="312" w:lineRule="auto"/>
        <w:rPr/>
      </w:pPr>
      <w:r/>
    </w:p>
    <w:p>
      <w:pPr>
        <w:ind w:left="12" w:right="85" w:firstLine="2"/>
        <w:spacing w:before="78" w:line="341" w:lineRule="auto"/>
        <w:rPr>
          <w:rFonts w:ascii="SimSun" w:hAnsi="SimSun" w:eastAsia="SimSun" w:cs="SimSun"/>
          <w:sz w:val="24"/>
          <w:szCs w:val="24"/>
        </w:rPr>
      </w:pPr>
      <w:r>
        <w:rPr>
          <w:rFonts w:ascii="SimSun" w:hAnsi="SimSun" w:eastAsia="SimSun" w:cs="SimSun"/>
          <w:sz w:val="24"/>
          <w:szCs w:val="24"/>
          <w:spacing w:val="-5"/>
        </w:rPr>
        <w:t>项目环境风险评价技术导则》（</w:t>
      </w:r>
      <w:r>
        <w:rPr>
          <w:rFonts w:ascii="Times New Roman" w:hAnsi="Times New Roman" w:eastAsia="Times New Roman" w:cs="Times New Roman"/>
          <w:sz w:val="24"/>
          <w:szCs w:val="24"/>
          <w:spacing w:val="-5"/>
        </w:rPr>
        <w:t>HJ169-2018</w:t>
      </w:r>
      <w:r>
        <w:rPr>
          <w:rFonts w:ascii="SimSun" w:hAnsi="SimSun" w:eastAsia="SimSun" w:cs="SimSun"/>
          <w:sz w:val="24"/>
          <w:szCs w:val="24"/>
          <w:spacing w:val="-5"/>
        </w:rPr>
        <w:t>）附录</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C</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，本项目环境风险潜势为</w:t>
      </w:r>
      <w:r>
        <w:rPr>
          <w:rFonts w:ascii="Times New Roman" w:hAnsi="Times New Roman" w:eastAsia="Times New Roman" w:cs="Times New Roman"/>
          <w:sz w:val="24"/>
          <w:szCs w:val="24"/>
          <w:spacing w:val="-5"/>
        </w:rPr>
        <w:t>Ⅰ</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w:t>
      </w:r>
      <w:r>
        <w:rPr>
          <w:rFonts w:ascii="SimSun" w:hAnsi="SimSun" w:eastAsia="SimSun" w:cs="SimSun"/>
          <w:sz w:val="24"/>
          <w:szCs w:val="24"/>
          <w:spacing w:val="43"/>
        </w:rPr>
        <w:t xml:space="preserve"> </w:t>
      </w:r>
      <w:r>
        <w:rPr>
          <w:rFonts w:ascii="SimSun" w:hAnsi="SimSun" w:eastAsia="SimSun" w:cs="SimSun"/>
          <w:sz w:val="24"/>
          <w:szCs w:val="24"/>
          <w:spacing w:val="-5"/>
        </w:rPr>
        <w:t>对环境</w:t>
      </w:r>
      <w:r>
        <w:rPr>
          <w:rFonts w:ascii="SimSun" w:hAnsi="SimSun" w:eastAsia="SimSun" w:cs="SimSun"/>
          <w:sz w:val="24"/>
          <w:szCs w:val="24"/>
          <w:spacing w:val="-1"/>
        </w:rPr>
        <w:t>风险预测与评价进行简单分析。</w:t>
      </w:r>
    </w:p>
    <w:p>
      <w:pPr>
        <w:ind w:left="9"/>
        <w:spacing w:before="8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2.5.6  </w:t>
      </w:r>
      <w:r>
        <w:rPr>
          <w:rFonts w:ascii="SimHei" w:hAnsi="SimHei" w:eastAsia="SimHei" w:cs="SimHei"/>
          <w:sz w:val="28"/>
          <w:szCs w:val="28"/>
          <w:b/>
          <w:bCs/>
          <w:spacing w:val="-2"/>
        </w:rPr>
        <w:t>土壤环境评价等级与评价范围</w:t>
      </w:r>
    </w:p>
    <w:p>
      <w:pPr>
        <w:ind w:left="16" w:right="87" w:firstLine="477"/>
        <w:spacing w:before="170" w:line="340" w:lineRule="auto"/>
        <w:rPr>
          <w:rFonts w:ascii="SimSun" w:hAnsi="SimSun" w:eastAsia="SimSun" w:cs="SimSun"/>
          <w:sz w:val="24"/>
          <w:szCs w:val="24"/>
        </w:rPr>
      </w:pPr>
      <w:r>
        <w:rPr>
          <w:rFonts w:ascii="SimSun" w:hAnsi="SimSun" w:eastAsia="SimSun" w:cs="SimSun"/>
          <w:sz w:val="24"/>
          <w:szCs w:val="24"/>
          <w:spacing w:val="1"/>
        </w:rPr>
        <w:t>依据《环境影响评价技术导则 土壤环境（试行）》（</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964-2018</w:t>
      </w:r>
      <w:r>
        <w:rPr>
          <w:rFonts w:ascii="SimSun" w:hAnsi="SimSun" w:eastAsia="SimSun" w:cs="SimSun"/>
          <w:sz w:val="24"/>
          <w:szCs w:val="24"/>
          <w:spacing w:val="16"/>
        </w:rPr>
        <w:t>），</w:t>
      </w:r>
      <w:r>
        <w:rPr>
          <w:rFonts w:ascii="SimSun" w:hAnsi="SimSun" w:eastAsia="SimSun" w:cs="SimSun"/>
          <w:sz w:val="24"/>
          <w:szCs w:val="24"/>
          <w:spacing w:val="1"/>
        </w:rPr>
        <w:t>本项目为露</w:t>
      </w:r>
      <w:r>
        <w:rPr>
          <w:rFonts w:ascii="SimSun" w:hAnsi="SimSun" w:eastAsia="SimSun" w:cs="SimSun"/>
          <w:sz w:val="24"/>
          <w:szCs w:val="24"/>
          <w:spacing w:val="-1"/>
        </w:rPr>
        <w:t>天煤矿改建项目，其中开采区属于</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生态影响型</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，工业场地属于</w:t>
      </w:r>
      <w:r>
        <w:rPr>
          <w:rFonts w:ascii="Times New Roman" w:hAnsi="Times New Roman" w:eastAsia="Times New Roman" w:cs="Times New Roman"/>
          <w:sz w:val="24"/>
          <w:szCs w:val="24"/>
          <w:spacing w:val="-1"/>
        </w:rPr>
        <w:t>“</w:t>
      </w:r>
      <w:r>
        <w:rPr>
          <w:rFonts w:ascii="SimSun" w:hAnsi="SimSun" w:eastAsia="SimSun" w:cs="SimSun"/>
          <w:sz w:val="24"/>
          <w:szCs w:val="24"/>
          <w:spacing w:val="-2"/>
        </w:rPr>
        <w:t>污染影响型</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p>
    <w:p>
      <w:pPr>
        <w:ind w:left="8"/>
        <w:spacing w:before="2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2.5.6.1 </w:t>
      </w:r>
      <w:r>
        <w:rPr>
          <w:rFonts w:ascii="SimHei" w:hAnsi="SimHei" w:eastAsia="SimHei" w:cs="SimHei"/>
          <w:sz w:val="24"/>
          <w:szCs w:val="24"/>
          <w:b/>
          <w:bCs/>
          <w:spacing w:val="-2"/>
        </w:rPr>
        <w:t>生态影响型土壤环境等级与评价范围</w:t>
      </w:r>
    </w:p>
    <w:p>
      <w:pPr>
        <w:ind w:left="510"/>
        <w:spacing w:before="162" w:line="219"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、土壤环境影响类型</w:t>
      </w:r>
    </w:p>
    <w:p>
      <w:pPr>
        <w:ind w:left="492"/>
        <w:spacing w:before="154" w:line="219" w:lineRule="auto"/>
        <w:rPr>
          <w:rFonts w:ascii="SimSun" w:hAnsi="SimSun" w:eastAsia="SimSun" w:cs="SimSun"/>
          <w:sz w:val="24"/>
          <w:szCs w:val="24"/>
        </w:rPr>
      </w:pPr>
      <w:r>
        <w:rPr>
          <w:rFonts w:ascii="SimSun" w:hAnsi="SimSun" w:eastAsia="SimSun" w:cs="SimSun"/>
          <w:sz w:val="24"/>
          <w:szCs w:val="24"/>
          <w:spacing w:val="-1"/>
        </w:rPr>
        <w:t>本项目为煤炭采矿项目，露天开采属于</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生态影响型</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487"/>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、项目类别</w:t>
      </w:r>
    </w:p>
    <w:p>
      <w:pPr>
        <w:ind w:left="11" w:right="90" w:firstLine="480"/>
        <w:spacing w:before="157" w:line="339" w:lineRule="auto"/>
        <w:rPr>
          <w:rFonts w:ascii="SimSun" w:hAnsi="SimSun" w:eastAsia="SimSun" w:cs="SimSun"/>
          <w:sz w:val="24"/>
          <w:szCs w:val="24"/>
        </w:rPr>
      </w:pPr>
      <w:r>
        <w:rPr>
          <w:rFonts w:ascii="SimSun" w:hAnsi="SimSun" w:eastAsia="SimSun" w:cs="SimSun"/>
          <w:sz w:val="24"/>
          <w:szCs w:val="24"/>
          <w:spacing w:val="1"/>
        </w:rPr>
        <w:t>根据《环境影响评价技术导则 土壤环境（试行）》（</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964-2018</w:t>
      </w:r>
      <w:r>
        <w:rPr>
          <w:rFonts w:ascii="SimSun" w:hAnsi="SimSun" w:eastAsia="SimSun" w:cs="SimSun"/>
          <w:sz w:val="24"/>
          <w:szCs w:val="24"/>
          <w:spacing w:val="1"/>
        </w:rPr>
        <w:t>）附录</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，土壤</w:t>
      </w:r>
      <w:r>
        <w:rPr>
          <w:rFonts w:ascii="SimSun" w:hAnsi="SimSun" w:eastAsia="SimSun" w:cs="SimSun"/>
          <w:sz w:val="24"/>
          <w:szCs w:val="24"/>
          <w:spacing w:val="-1"/>
        </w:rPr>
        <w:t>环境影响评价项目类别见表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2-5-8</w:t>
      </w:r>
      <w:r>
        <w:rPr>
          <w:rFonts w:ascii="SimSun" w:hAnsi="SimSun" w:eastAsia="SimSun" w:cs="SimSun"/>
          <w:sz w:val="24"/>
          <w:szCs w:val="24"/>
          <w:spacing w:val="-1"/>
        </w:rPr>
        <w:t>。</w:t>
      </w:r>
    </w:p>
    <w:p>
      <w:pPr>
        <w:ind w:left="3107"/>
        <w:spacing w:before="126" w:line="221" w:lineRule="auto"/>
        <w:rPr>
          <w:rFonts w:ascii="SimHei" w:hAnsi="SimHei" w:eastAsia="SimHei" w:cs="SimHei"/>
          <w:sz w:val="24"/>
          <w:szCs w:val="24"/>
        </w:rPr>
      </w:pPr>
      <w:r>
        <w:rPr>
          <w:rFonts w:ascii="SimHei" w:hAnsi="SimHei" w:eastAsia="SimHei" w:cs="SimHei"/>
          <w:sz w:val="24"/>
          <w:szCs w:val="24"/>
          <w:spacing w:val="-1"/>
        </w:rPr>
        <w:t>土壤环境影响评价项目类别</w:t>
      </w:r>
    </w:p>
    <w:p>
      <w:pPr>
        <w:ind w:left="9"/>
        <w:spacing w:before="68"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2-5-8</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18"/>
        <w:gridCol w:w="1581"/>
        <w:gridCol w:w="4684"/>
        <w:gridCol w:w="945"/>
        <w:gridCol w:w="755"/>
      </w:tblGrid>
      <w:tr>
        <w:trPr>
          <w:trHeight w:val="282" w:hRule="atLeast"/>
        </w:trPr>
        <w:tc>
          <w:tcPr>
            <w:tcW w:w="1118" w:type="dxa"/>
            <w:vAlign w:val="top"/>
            <w:vMerge w:val="restart"/>
            <w:tcBorders>
              <w:bottom w:val="nil"/>
            </w:tcBorders>
          </w:tcPr>
          <w:p>
            <w:pPr>
              <w:ind w:left="145"/>
              <w:spacing w:before="172" w:line="228" w:lineRule="auto"/>
              <w:rPr>
                <w:rFonts w:ascii="SimSun" w:hAnsi="SimSun" w:eastAsia="SimSun" w:cs="SimSun"/>
                <w:sz w:val="20"/>
                <w:szCs w:val="20"/>
              </w:rPr>
            </w:pPr>
            <w:r>
              <w:rPr>
                <w:rFonts w:ascii="SimSun" w:hAnsi="SimSun" w:eastAsia="SimSun" w:cs="SimSun"/>
                <w:sz w:val="20"/>
                <w:szCs w:val="20"/>
                <w:spacing w:val="6"/>
              </w:rPr>
              <w:t>行业类别</w:t>
            </w:r>
          </w:p>
        </w:tc>
        <w:tc>
          <w:tcPr>
            <w:tcW w:w="7965" w:type="dxa"/>
            <w:vAlign w:val="top"/>
            <w:gridSpan w:val="4"/>
          </w:tcPr>
          <w:p>
            <w:pPr>
              <w:ind w:left="3568"/>
              <w:spacing w:before="33" w:line="220" w:lineRule="auto"/>
              <w:rPr>
                <w:rFonts w:ascii="SimSun" w:hAnsi="SimSun" w:eastAsia="SimSun" w:cs="SimSun"/>
                <w:sz w:val="20"/>
                <w:szCs w:val="20"/>
              </w:rPr>
            </w:pPr>
            <w:r>
              <w:rPr>
                <w:rFonts w:ascii="SimSun" w:hAnsi="SimSun" w:eastAsia="SimSun" w:cs="SimSun"/>
                <w:sz w:val="20"/>
                <w:szCs w:val="20"/>
                <w:spacing w:val="6"/>
              </w:rPr>
              <w:t>项目类别</w:t>
            </w:r>
          </w:p>
        </w:tc>
      </w:tr>
      <w:tr>
        <w:trPr>
          <w:trHeight w:val="275" w:hRule="atLeast"/>
        </w:trPr>
        <w:tc>
          <w:tcPr>
            <w:tcW w:w="1118" w:type="dxa"/>
            <w:vAlign w:val="top"/>
            <w:vMerge w:val="continue"/>
            <w:tcBorders>
              <w:top w:val="nil"/>
            </w:tcBorders>
          </w:tcPr>
          <w:p>
            <w:pPr>
              <w:rPr>
                <w:rFonts w:ascii="Arial"/>
                <w:sz w:val="21"/>
              </w:rPr>
            </w:pPr>
            <w:r/>
          </w:p>
        </w:tc>
        <w:tc>
          <w:tcPr>
            <w:tcW w:w="1581" w:type="dxa"/>
            <w:vAlign w:val="top"/>
          </w:tcPr>
          <w:p>
            <w:pPr>
              <w:pStyle w:val="TableText"/>
              <w:ind w:left="624"/>
              <w:spacing w:before="27" w:line="219" w:lineRule="auto"/>
              <w:rPr>
                <w:rFonts w:ascii="SimSun" w:hAnsi="SimSun" w:eastAsia="SimSun" w:cs="SimSun"/>
              </w:rPr>
            </w:pPr>
            <w:r>
              <w:rPr>
                <w:spacing w:val="-1"/>
              </w:rPr>
              <w:t>I</w:t>
            </w:r>
            <w:r>
              <w:rPr>
                <w:spacing w:val="8"/>
              </w:rPr>
              <w:t xml:space="preserve"> </w:t>
            </w:r>
            <w:r>
              <w:rPr>
                <w:rFonts w:ascii="SimSun" w:hAnsi="SimSun" w:eastAsia="SimSun" w:cs="SimSun"/>
                <w:spacing w:val="-1"/>
              </w:rPr>
              <w:t>类</w:t>
            </w:r>
          </w:p>
        </w:tc>
        <w:tc>
          <w:tcPr>
            <w:tcW w:w="4684" w:type="dxa"/>
            <w:vAlign w:val="top"/>
          </w:tcPr>
          <w:p>
            <w:pPr>
              <w:pStyle w:val="TableText"/>
              <w:ind w:left="2126"/>
              <w:spacing w:before="27" w:line="219" w:lineRule="auto"/>
              <w:rPr>
                <w:rFonts w:ascii="SimSun" w:hAnsi="SimSun" w:eastAsia="SimSun" w:cs="SimSun"/>
              </w:rPr>
            </w:pPr>
            <w:r>
              <w:rPr>
                <w:b/>
                <w:bCs/>
              </w:rPr>
              <w:t>II</w:t>
            </w:r>
            <w:r>
              <w:rPr>
                <w:b/>
                <w:bCs/>
                <w:spacing w:val="8"/>
              </w:rPr>
              <w:t xml:space="preserve"> </w:t>
            </w:r>
            <w:r>
              <w:rPr>
                <w:rFonts w:ascii="SimSun" w:hAnsi="SimSun" w:eastAsia="SimSun" w:cs="SimSun"/>
                <w:b/>
                <w:bCs/>
                <w:spacing w:val="4"/>
              </w:rPr>
              <w:t>类</w:t>
            </w:r>
          </w:p>
        </w:tc>
        <w:tc>
          <w:tcPr>
            <w:tcW w:w="945" w:type="dxa"/>
            <w:vAlign w:val="top"/>
          </w:tcPr>
          <w:p>
            <w:pPr>
              <w:pStyle w:val="TableText"/>
              <w:ind w:left="239"/>
              <w:spacing w:before="27" w:line="219" w:lineRule="auto"/>
              <w:rPr>
                <w:rFonts w:ascii="SimSun" w:hAnsi="SimSun" w:eastAsia="SimSun" w:cs="SimSun"/>
              </w:rPr>
            </w:pPr>
            <w:r>
              <w:rPr/>
              <w:t>III</w:t>
            </w:r>
            <w:r>
              <w:rPr>
                <w:spacing w:val="13"/>
              </w:rPr>
              <w:t xml:space="preserve"> </w:t>
            </w:r>
            <w:r>
              <w:rPr>
                <w:rFonts w:ascii="SimSun" w:hAnsi="SimSun" w:eastAsia="SimSun" w:cs="SimSun"/>
                <w:spacing w:val="4"/>
              </w:rPr>
              <w:t>类</w:t>
            </w:r>
          </w:p>
        </w:tc>
        <w:tc>
          <w:tcPr>
            <w:tcW w:w="755" w:type="dxa"/>
            <w:vAlign w:val="top"/>
          </w:tcPr>
          <w:p>
            <w:pPr>
              <w:pStyle w:val="TableText"/>
              <w:ind w:left="139"/>
              <w:spacing w:before="27" w:line="219" w:lineRule="auto"/>
              <w:rPr>
                <w:rFonts w:ascii="SimSun" w:hAnsi="SimSun" w:eastAsia="SimSun" w:cs="SimSun"/>
              </w:rPr>
            </w:pPr>
            <w:r>
              <w:rPr/>
              <w:t>IV</w:t>
            </w:r>
            <w:r>
              <w:rPr>
                <w:spacing w:val="11"/>
              </w:rPr>
              <w:t xml:space="preserve"> </w:t>
            </w:r>
            <w:r>
              <w:rPr>
                <w:rFonts w:ascii="SimSun" w:hAnsi="SimSun" w:eastAsia="SimSun" w:cs="SimSun"/>
                <w:spacing w:val="2"/>
              </w:rPr>
              <w:t>类</w:t>
            </w:r>
          </w:p>
        </w:tc>
      </w:tr>
      <w:tr>
        <w:trPr>
          <w:trHeight w:val="851" w:hRule="atLeast"/>
        </w:trPr>
        <w:tc>
          <w:tcPr>
            <w:tcW w:w="1118" w:type="dxa"/>
            <w:vAlign w:val="top"/>
          </w:tcPr>
          <w:p>
            <w:pPr>
              <w:spacing w:line="249" w:lineRule="auto"/>
              <w:rPr>
                <w:rFonts w:ascii="Arial"/>
                <w:sz w:val="21"/>
              </w:rPr>
            </w:pPr>
            <w:r/>
          </w:p>
          <w:p>
            <w:pPr>
              <w:ind w:left="244"/>
              <w:spacing w:before="65" w:line="227" w:lineRule="auto"/>
              <w:rPr>
                <w:rFonts w:ascii="SimSun" w:hAnsi="SimSun" w:eastAsia="SimSun" w:cs="SimSun"/>
                <w:sz w:val="20"/>
                <w:szCs w:val="20"/>
              </w:rPr>
            </w:pPr>
            <w:r>
              <w:rPr>
                <w:rFonts w:ascii="SimSun" w:hAnsi="SimSun" w:eastAsia="SimSun" w:cs="SimSun"/>
                <w:sz w:val="20"/>
                <w:szCs w:val="20"/>
                <w:spacing w:val="7"/>
              </w:rPr>
              <w:t>采矿业</w:t>
            </w:r>
          </w:p>
        </w:tc>
        <w:tc>
          <w:tcPr>
            <w:tcW w:w="1581" w:type="dxa"/>
            <w:vAlign w:val="top"/>
          </w:tcPr>
          <w:p>
            <w:pPr>
              <w:ind w:left="272" w:right="91" w:hanging="212"/>
              <w:spacing w:before="178" w:line="254" w:lineRule="auto"/>
              <w:rPr>
                <w:rFonts w:ascii="SimSun" w:hAnsi="SimSun" w:eastAsia="SimSun" w:cs="SimSun"/>
                <w:sz w:val="20"/>
                <w:szCs w:val="20"/>
              </w:rPr>
            </w:pPr>
            <w:r>
              <w:rPr>
                <w:rFonts w:ascii="SimSun" w:hAnsi="SimSun" w:eastAsia="SimSun" w:cs="SimSun"/>
                <w:sz w:val="20"/>
                <w:szCs w:val="20"/>
                <w:spacing w:val="3"/>
              </w:rPr>
              <w:t>金属矿、石油、</w:t>
            </w:r>
            <w:r>
              <w:rPr>
                <w:rFonts w:ascii="SimSun" w:hAnsi="SimSun" w:eastAsia="SimSun" w:cs="SimSun"/>
                <w:sz w:val="20"/>
                <w:szCs w:val="20"/>
                <w:spacing w:val="7"/>
              </w:rPr>
              <w:t>页岩油开采</w:t>
            </w:r>
          </w:p>
        </w:tc>
        <w:tc>
          <w:tcPr>
            <w:tcW w:w="4684" w:type="dxa"/>
            <w:vAlign w:val="top"/>
          </w:tcPr>
          <w:p>
            <w:pPr>
              <w:spacing w:before="45" w:line="227" w:lineRule="auto"/>
              <w:jc w:val="right"/>
              <w:rPr>
                <w:rFonts w:ascii="SimSun" w:hAnsi="SimSun" w:eastAsia="SimSun" w:cs="SimSun"/>
                <w:sz w:val="20"/>
                <w:szCs w:val="20"/>
              </w:rPr>
            </w:pPr>
            <w:r>
              <w:rPr>
                <w:rFonts w:ascii="SimSun" w:hAnsi="SimSun" w:eastAsia="SimSun" w:cs="SimSun"/>
                <w:sz w:val="20"/>
                <w:szCs w:val="20"/>
                <w:b/>
                <w:bCs/>
                <w:spacing w:val="1"/>
              </w:rPr>
              <w:t>化学矿采选；石棉矿采选；煤矿采选、天然气开采、</w:t>
            </w:r>
          </w:p>
          <w:p>
            <w:pPr>
              <w:ind w:left="33"/>
              <w:spacing w:before="25" w:line="227" w:lineRule="auto"/>
              <w:rPr>
                <w:rFonts w:ascii="SimSun" w:hAnsi="SimSun" w:eastAsia="SimSun" w:cs="SimSun"/>
                <w:sz w:val="20"/>
                <w:szCs w:val="20"/>
              </w:rPr>
            </w:pPr>
            <w:r>
              <w:rPr>
                <w:rFonts w:ascii="SimSun" w:hAnsi="SimSun" w:eastAsia="SimSun" w:cs="SimSun"/>
                <w:sz w:val="20"/>
                <w:szCs w:val="20"/>
                <w:b/>
                <w:bCs/>
                <w:spacing w:val="7"/>
              </w:rPr>
              <w:t>页岩气开采、砂岩气开采、煤层气开采（含净化、</w:t>
            </w:r>
          </w:p>
          <w:p>
            <w:pPr>
              <w:ind w:left="2031"/>
              <w:spacing w:before="25" w:line="228" w:lineRule="auto"/>
              <w:rPr>
                <w:rFonts w:ascii="SimSun" w:hAnsi="SimSun" w:eastAsia="SimSun" w:cs="SimSun"/>
                <w:sz w:val="20"/>
                <w:szCs w:val="20"/>
              </w:rPr>
            </w:pPr>
            <w:r>
              <w:rPr>
                <w:rFonts w:ascii="SimSun" w:hAnsi="SimSun" w:eastAsia="SimSun" w:cs="SimSun"/>
                <w:sz w:val="20"/>
                <w:szCs w:val="20"/>
                <w:b/>
                <w:bCs/>
              </w:rPr>
              <w:t>液化）</w:t>
            </w:r>
          </w:p>
        </w:tc>
        <w:tc>
          <w:tcPr>
            <w:tcW w:w="945" w:type="dxa"/>
            <w:vAlign w:val="top"/>
          </w:tcPr>
          <w:p>
            <w:pPr>
              <w:spacing w:line="250" w:lineRule="auto"/>
              <w:rPr>
                <w:rFonts w:ascii="Arial"/>
                <w:sz w:val="21"/>
              </w:rPr>
            </w:pPr>
            <w:r/>
          </w:p>
          <w:p>
            <w:pPr>
              <w:ind w:left="267"/>
              <w:spacing w:before="65" w:line="228" w:lineRule="auto"/>
              <w:rPr>
                <w:rFonts w:ascii="SimSun" w:hAnsi="SimSun" w:eastAsia="SimSun" w:cs="SimSun"/>
                <w:sz w:val="20"/>
                <w:szCs w:val="20"/>
              </w:rPr>
            </w:pPr>
            <w:r>
              <w:rPr>
                <w:rFonts w:ascii="SimSun" w:hAnsi="SimSun" w:eastAsia="SimSun" w:cs="SimSun"/>
                <w:sz w:val="20"/>
                <w:szCs w:val="20"/>
                <w:spacing w:val="4"/>
              </w:rPr>
              <w:t>其他</w:t>
            </w:r>
          </w:p>
        </w:tc>
        <w:tc>
          <w:tcPr>
            <w:tcW w:w="755" w:type="dxa"/>
            <w:vAlign w:val="top"/>
          </w:tcPr>
          <w:p>
            <w:pPr>
              <w:rPr>
                <w:rFonts w:ascii="Arial"/>
                <w:sz w:val="21"/>
              </w:rPr>
            </w:pPr>
            <w:r/>
          </w:p>
        </w:tc>
      </w:tr>
    </w:tbl>
    <w:p>
      <w:pPr>
        <w:ind w:left="492"/>
        <w:spacing w:before="144" w:line="218" w:lineRule="auto"/>
        <w:rPr>
          <w:rFonts w:ascii="SimSun" w:hAnsi="SimSun" w:eastAsia="SimSun" w:cs="SimSun"/>
          <w:sz w:val="24"/>
          <w:szCs w:val="24"/>
        </w:rPr>
      </w:pPr>
      <w:r>
        <w:rPr>
          <w:rFonts w:ascii="SimSun" w:hAnsi="SimSun" w:eastAsia="SimSun" w:cs="SimSun"/>
          <w:sz w:val="24"/>
          <w:szCs w:val="24"/>
          <w:spacing w:val="-1"/>
        </w:rPr>
        <w:t>本项目为煤矿采矿项目，根据导则要求，土壤环境影响评价属于</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II </w:t>
      </w:r>
      <w:r>
        <w:rPr>
          <w:rFonts w:ascii="SimSun" w:hAnsi="SimSun" w:eastAsia="SimSun" w:cs="SimSun"/>
          <w:sz w:val="24"/>
          <w:szCs w:val="24"/>
          <w:spacing w:val="-1"/>
        </w:rPr>
        <w:t>类项目。</w:t>
      </w:r>
    </w:p>
    <w:p>
      <w:pPr>
        <w:ind w:left="492"/>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、土壤环境敏感程度</w:t>
      </w:r>
    </w:p>
    <w:p>
      <w:pPr>
        <w:ind w:left="10" w:firstLine="480"/>
        <w:spacing w:before="156" w:line="337" w:lineRule="auto"/>
        <w:rPr>
          <w:rFonts w:ascii="SimSun" w:hAnsi="SimSun" w:eastAsia="SimSun" w:cs="SimSun"/>
          <w:sz w:val="24"/>
          <w:szCs w:val="24"/>
        </w:rPr>
      </w:pPr>
      <w:r>
        <w:rPr>
          <w:rFonts w:ascii="SimSun" w:hAnsi="SimSun" w:eastAsia="SimSun" w:cs="SimSun"/>
          <w:sz w:val="24"/>
          <w:szCs w:val="24"/>
          <w:spacing w:val="-1"/>
        </w:rPr>
        <w:t>根据收集资料，建设项目所在地年平均降水量为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355.2mm</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、蒸发量为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1632.6</w:t>
      </w:r>
      <w:r>
        <w:rPr>
          <w:rFonts w:ascii="Times New Roman" w:hAnsi="Times New Roman" w:eastAsia="Times New Roman" w:cs="Times New Roman"/>
          <w:sz w:val="24"/>
          <w:szCs w:val="24"/>
          <w:spacing w:val="-2"/>
        </w:rPr>
        <w:t>mm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w:t>
      </w:r>
      <w:r>
        <w:rPr>
          <w:rFonts w:ascii="SimSun" w:hAnsi="SimSun" w:eastAsia="SimSun" w:cs="SimSun"/>
          <w:sz w:val="24"/>
          <w:szCs w:val="24"/>
          <w:spacing w:val="1"/>
        </w:rPr>
        <w:t>干燥度为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4.6</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，潜水埋深大于</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1.5m</w:t>
      </w:r>
      <w:r>
        <w:rPr>
          <w:rFonts w:ascii="SimSun" w:hAnsi="SimSun" w:eastAsia="SimSun" w:cs="SimSun"/>
          <w:sz w:val="24"/>
          <w:szCs w:val="24"/>
          <w:spacing w:val="1"/>
        </w:rPr>
        <w:t>；根据现状监测评价结果，建设项目所在地土壤</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pH</w:t>
      </w:r>
      <w:r>
        <w:rPr>
          <w:rFonts w:ascii="SimSun" w:hAnsi="SimSun" w:eastAsia="SimSun" w:cs="SimSun"/>
          <w:sz w:val="24"/>
          <w:szCs w:val="24"/>
          <w:spacing w:val="-2"/>
        </w:rPr>
        <w:t>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7.43-8.</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2"/>
        </w:rPr>
        <w:t>12 </w:t>
      </w:r>
      <w:r>
        <w:rPr>
          <w:rFonts w:ascii="SimSun" w:hAnsi="SimSun" w:eastAsia="SimSun" w:cs="SimSun"/>
          <w:sz w:val="24"/>
          <w:szCs w:val="24"/>
          <w:spacing w:val="-2"/>
        </w:rPr>
        <w:t>之间，因此本项目所在地土壤无酸化碱化，项目区属于生态影响较</w:t>
      </w:r>
      <w:r>
        <w:rPr>
          <w:rFonts w:ascii="SimSun" w:hAnsi="SimSun" w:eastAsia="SimSun" w:cs="SimSun"/>
          <w:sz w:val="24"/>
          <w:szCs w:val="24"/>
          <w:spacing w:val="-3"/>
        </w:rPr>
        <w:t>敏感区。</w:t>
      </w:r>
      <w:r>
        <w:rPr>
          <w:rFonts w:ascii="SimSun" w:hAnsi="SimSun" w:eastAsia="SimSun" w:cs="SimSun"/>
          <w:sz w:val="24"/>
          <w:szCs w:val="24"/>
          <w:spacing w:val="-2"/>
        </w:rPr>
        <w:t>判断依据见表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2-5-9</w:t>
      </w:r>
      <w:r>
        <w:rPr>
          <w:rFonts w:ascii="SimSun" w:hAnsi="SimSun" w:eastAsia="SimSun" w:cs="SimSun"/>
          <w:sz w:val="24"/>
          <w:szCs w:val="24"/>
          <w:spacing w:val="-2"/>
        </w:rPr>
        <w:t>。</w:t>
      </w:r>
    </w:p>
    <w:p>
      <w:pPr>
        <w:ind w:left="3105"/>
        <w:spacing w:before="134" w:line="221" w:lineRule="auto"/>
        <w:rPr>
          <w:rFonts w:ascii="SimHei" w:hAnsi="SimHei" w:eastAsia="SimHei" w:cs="SimHei"/>
          <w:sz w:val="24"/>
          <w:szCs w:val="24"/>
        </w:rPr>
      </w:pPr>
      <w:r>
        <w:rPr>
          <w:rFonts w:ascii="SimHei" w:hAnsi="SimHei" w:eastAsia="SimHei" w:cs="SimHei"/>
          <w:sz w:val="24"/>
          <w:szCs w:val="24"/>
          <w:spacing w:val="-1"/>
        </w:rPr>
        <w:t>生态影响型敏感程度分级表</w:t>
      </w:r>
    </w:p>
    <w:p>
      <w:pPr>
        <w:ind w:left="9"/>
        <w:spacing w:before="69"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2-5-9</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93"/>
        <w:gridCol w:w="4970"/>
        <w:gridCol w:w="1564"/>
        <w:gridCol w:w="1556"/>
      </w:tblGrid>
      <w:tr>
        <w:trPr>
          <w:trHeight w:val="283" w:hRule="atLeast"/>
        </w:trPr>
        <w:tc>
          <w:tcPr>
            <w:tcW w:w="993" w:type="dxa"/>
            <w:vAlign w:val="top"/>
            <w:vMerge w:val="restart"/>
            <w:tcBorders>
              <w:bottom w:val="nil"/>
            </w:tcBorders>
          </w:tcPr>
          <w:p>
            <w:pPr>
              <w:ind w:left="294"/>
              <w:spacing w:before="38" w:line="228" w:lineRule="auto"/>
              <w:rPr>
                <w:rFonts w:ascii="SimSun" w:hAnsi="SimSun" w:eastAsia="SimSun" w:cs="SimSun"/>
                <w:sz w:val="20"/>
                <w:szCs w:val="20"/>
              </w:rPr>
            </w:pPr>
            <w:r>
              <w:rPr>
                <w:rFonts w:ascii="SimSun" w:hAnsi="SimSun" w:eastAsia="SimSun" w:cs="SimSun"/>
                <w:sz w:val="20"/>
                <w:szCs w:val="20"/>
                <w:spacing w:val="4"/>
              </w:rPr>
              <w:t>敏感</w:t>
            </w:r>
          </w:p>
          <w:p>
            <w:pPr>
              <w:ind w:left="292"/>
              <w:spacing w:before="26" w:line="225" w:lineRule="auto"/>
              <w:rPr>
                <w:rFonts w:ascii="SimSun" w:hAnsi="SimSun" w:eastAsia="SimSun" w:cs="SimSun"/>
                <w:sz w:val="20"/>
                <w:szCs w:val="20"/>
              </w:rPr>
            </w:pPr>
            <w:r>
              <w:rPr>
                <w:rFonts w:ascii="SimSun" w:hAnsi="SimSun" w:eastAsia="SimSun" w:cs="SimSun"/>
                <w:sz w:val="20"/>
                <w:szCs w:val="20"/>
                <w:spacing w:val="5"/>
              </w:rPr>
              <w:t>程度</w:t>
            </w:r>
          </w:p>
        </w:tc>
        <w:tc>
          <w:tcPr>
            <w:tcW w:w="8090" w:type="dxa"/>
            <w:vAlign w:val="top"/>
            <w:gridSpan w:val="3"/>
          </w:tcPr>
          <w:p>
            <w:pPr>
              <w:ind w:left="3630"/>
              <w:spacing w:before="35" w:line="219" w:lineRule="auto"/>
              <w:rPr>
                <w:rFonts w:ascii="SimSun" w:hAnsi="SimSun" w:eastAsia="SimSun" w:cs="SimSun"/>
                <w:sz w:val="20"/>
                <w:szCs w:val="20"/>
              </w:rPr>
            </w:pPr>
            <w:r>
              <w:rPr>
                <w:rFonts w:ascii="SimSun" w:hAnsi="SimSun" w:eastAsia="SimSun" w:cs="SimSun"/>
                <w:sz w:val="20"/>
                <w:szCs w:val="20"/>
                <w:spacing w:val="7"/>
              </w:rPr>
              <w:t>判别依据</w:t>
            </w:r>
          </w:p>
        </w:tc>
      </w:tr>
      <w:tr>
        <w:trPr>
          <w:trHeight w:val="278" w:hRule="atLeast"/>
        </w:trPr>
        <w:tc>
          <w:tcPr>
            <w:tcW w:w="993" w:type="dxa"/>
            <w:vAlign w:val="top"/>
            <w:vMerge w:val="continue"/>
            <w:tcBorders>
              <w:top w:val="nil"/>
            </w:tcBorders>
          </w:tcPr>
          <w:p>
            <w:pPr>
              <w:rPr>
                <w:rFonts w:ascii="Arial"/>
                <w:sz w:val="21"/>
              </w:rPr>
            </w:pPr>
            <w:r/>
          </w:p>
        </w:tc>
        <w:tc>
          <w:tcPr>
            <w:tcW w:w="4970" w:type="dxa"/>
            <w:vAlign w:val="top"/>
          </w:tcPr>
          <w:p>
            <w:pPr>
              <w:ind w:left="2283"/>
              <w:spacing w:before="28" w:line="221" w:lineRule="auto"/>
              <w:rPr>
                <w:rFonts w:ascii="SimSun" w:hAnsi="SimSun" w:eastAsia="SimSun" w:cs="SimSun"/>
                <w:sz w:val="20"/>
                <w:szCs w:val="20"/>
              </w:rPr>
            </w:pPr>
            <w:r>
              <w:rPr>
                <w:rFonts w:ascii="SimSun" w:hAnsi="SimSun" w:eastAsia="SimSun" w:cs="SimSun"/>
                <w:sz w:val="20"/>
                <w:szCs w:val="20"/>
                <w:spacing w:val="3"/>
              </w:rPr>
              <w:t>盐化</w:t>
            </w:r>
          </w:p>
        </w:tc>
        <w:tc>
          <w:tcPr>
            <w:tcW w:w="1564" w:type="dxa"/>
            <w:vAlign w:val="top"/>
          </w:tcPr>
          <w:p>
            <w:pPr>
              <w:ind w:left="578"/>
              <w:spacing w:before="28" w:line="221" w:lineRule="auto"/>
              <w:rPr>
                <w:rFonts w:ascii="SimSun" w:hAnsi="SimSun" w:eastAsia="SimSun" w:cs="SimSun"/>
                <w:sz w:val="20"/>
                <w:szCs w:val="20"/>
              </w:rPr>
            </w:pPr>
            <w:r>
              <w:rPr>
                <w:rFonts w:ascii="SimSun" w:hAnsi="SimSun" w:eastAsia="SimSun" w:cs="SimSun"/>
                <w:sz w:val="20"/>
                <w:szCs w:val="20"/>
                <w:spacing w:val="4"/>
              </w:rPr>
              <w:t>酸化</w:t>
            </w:r>
          </w:p>
        </w:tc>
        <w:tc>
          <w:tcPr>
            <w:tcW w:w="1556" w:type="dxa"/>
            <w:vAlign w:val="top"/>
          </w:tcPr>
          <w:p>
            <w:pPr>
              <w:ind w:left="572"/>
              <w:spacing w:before="28" w:line="221" w:lineRule="auto"/>
              <w:rPr>
                <w:rFonts w:ascii="SimSun" w:hAnsi="SimSun" w:eastAsia="SimSun" w:cs="SimSun"/>
                <w:sz w:val="20"/>
                <w:szCs w:val="20"/>
              </w:rPr>
            </w:pPr>
            <w:r>
              <w:rPr>
                <w:rFonts w:ascii="SimSun" w:hAnsi="SimSun" w:eastAsia="SimSun" w:cs="SimSun"/>
                <w:sz w:val="20"/>
                <w:szCs w:val="20"/>
                <w:spacing w:val="5"/>
              </w:rPr>
              <w:t>碱化</w:t>
            </w:r>
          </w:p>
        </w:tc>
      </w:tr>
      <w:tr>
        <w:trPr>
          <w:trHeight w:val="548" w:hRule="atLeast"/>
        </w:trPr>
        <w:tc>
          <w:tcPr>
            <w:tcW w:w="993" w:type="dxa"/>
            <w:vAlign w:val="top"/>
          </w:tcPr>
          <w:p>
            <w:pPr>
              <w:ind w:left="294"/>
              <w:spacing w:before="163" w:line="228" w:lineRule="auto"/>
              <w:rPr>
                <w:rFonts w:ascii="SimSun" w:hAnsi="SimSun" w:eastAsia="SimSun" w:cs="SimSun"/>
                <w:sz w:val="20"/>
                <w:szCs w:val="20"/>
              </w:rPr>
            </w:pPr>
            <w:r>
              <w:rPr>
                <w:rFonts w:ascii="SimSun" w:hAnsi="SimSun" w:eastAsia="SimSun" w:cs="SimSun"/>
                <w:sz w:val="20"/>
                <w:szCs w:val="20"/>
                <w:spacing w:val="4"/>
              </w:rPr>
              <w:t>敏感</w:t>
            </w:r>
          </w:p>
        </w:tc>
        <w:tc>
          <w:tcPr>
            <w:tcW w:w="4970" w:type="dxa"/>
            <w:vAlign w:val="top"/>
          </w:tcPr>
          <w:p>
            <w:pPr>
              <w:pStyle w:val="TableText"/>
              <w:ind w:left="76" w:right="75" w:firstLine="26"/>
              <w:spacing w:before="28" w:line="235" w:lineRule="auto"/>
              <w:rPr>
                <w:rFonts w:ascii="SimSun" w:hAnsi="SimSun" w:eastAsia="SimSun" w:cs="SimSun"/>
              </w:rPr>
            </w:pPr>
            <w:r>
              <w:rPr>
                <w:rFonts w:ascii="SimSun" w:hAnsi="SimSun" w:eastAsia="SimSun" w:cs="SimSun"/>
                <w:spacing w:val="8"/>
              </w:rPr>
              <w:t>建设项目所在地干燥度</w:t>
            </w:r>
            <w:r>
              <w:rPr>
                <w:rFonts w:ascii="SimSun" w:hAnsi="SimSun" w:eastAsia="SimSun" w:cs="SimSun"/>
                <w:spacing w:val="-37"/>
              </w:rPr>
              <w:t xml:space="preserve"> </w:t>
            </w:r>
            <w:r>
              <w:rPr>
                <w:spacing w:val="8"/>
              </w:rPr>
              <w:t>a&gt;2.5 </w:t>
            </w:r>
            <w:r>
              <w:rPr>
                <w:rFonts w:ascii="SimSun" w:hAnsi="SimSun" w:eastAsia="SimSun" w:cs="SimSun"/>
                <w:spacing w:val="8"/>
              </w:rPr>
              <w:t>且常年地</w:t>
            </w:r>
            <w:r>
              <w:rPr>
                <w:rFonts w:ascii="SimSun" w:hAnsi="SimSun" w:eastAsia="SimSun" w:cs="SimSun"/>
                <w:spacing w:val="7"/>
              </w:rPr>
              <w:t>下水平均埋深</w:t>
            </w:r>
            <w:r>
              <w:rPr>
                <w:spacing w:val="6"/>
              </w:rPr>
              <w:t>&lt;1.5m</w:t>
            </w:r>
            <w:r>
              <w:rPr>
                <w:spacing w:val="37"/>
                <w:w w:val="101"/>
              </w:rPr>
              <w:t xml:space="preserve"> </w:t>
            </w:r>
            <w:r>
              <w:rPr>
                <w:rFonts w:ascii="SimSun" w:hAnsi="SimSun" w:eastAsia="SimSun" w:cs="SimSun"/>
                <w:spacing w:val="6"/>
              </w:rPr>
              <w:t>的地势平坦区域；或土壤含盐量</w:t>
            </w:r>
            <w:r>
              <w:rPr>
                <w:spacing w:val="6"/>
              </w:rPr>
              <w:t>&gt;4g/</w:t>
            </w:r>
            <w:r>
              <w:rPr/>
              <w:t>kg</w:t>
            </w:r>
            <w:r>
              <w:rPr>
                <w:spacing w:val="32"/>
              </w:rPr>
              <w:t xml:space="preserve"> </w:t>
            </w:r>
            <w:r>
              <w:rPr>
                <w:rFonts w:ascii="SimSun" w:hAnsi="SimSun" w:eastAsia="SimSun" w:cs="SimSun"/>
                <w:spacing w:val="6"/>
              </w:rPr>
              <w:t>的区域</w:t>
            </w:r>
          </w:p>
        </w:tc>
        <w:tc>
          <w:tcPr>
            <w:tcW w:w="1564" w:type="dxa"/>
            <w:vAlign w:val="top"/>
          </w:tcPr>
          <w:p>
            <w:pPr>
              <w:pStyle w:val="TableText"/>
              <w:ind w:left="463"/>
              <w:spacing w:before="201" w:line="197" w:lineRule="auto"/>
              <w:rPr/>
            </w:pPr>
            <w:r>
              <w:rPr/>
              <w:t>pH</w:t>
            </w:r>
            <w:r>
              <w:rPr>
                <w:spacing w:val="7"/>
              </w:rPr>
              <w:t>≤4.5</w:t>
            </w:r>
          </w:p>
        </w:tc>
        <w:tc>
          <w:tcPr>
            <w:tcW w:w="1556" w:type="dxa"/>
            <w:vAlign w:val="top"/>
          </w:tcPr>
          <w:p>
            <w:pPr>
              <w:pStyle w:val="TableText"/>
              <w:ind w:left="457"/>
              <w:spacing w:before="201" w:line="197" w:lineRule="auto"/>
              <w:rPr/>
            </w:pPr>
            <w:r>
              <w:rPr/>
              <w:t>pH</w:t>
            </w:r>
            <w:r>
              <w:rPr>
                <w:spacing w:val="7"/>
              </w:rPr>
              <w:t>≥9.0</w:t>
            </w:r>
          </w:p>
        </w:tc>
      </w:tr>
      <w:tr>
        <w:trPr>
          <w:trHeight w:val="1363" w:hRule="atLeast"/>
        </w:trPr>
        <w:tc>
          <w:tcPr>
            <w:tcW w:w="993" w:type="dxa"/>
            <w:vAlign w:val="top"/>
          </w:tcPr>
          <w:p>
            <w:pPr>
              <w:spacing w:line="252" w:lineRule="auto"/>
              <w:rPr>
                <w:rFonts w:ascii="Arial"/>
                <w:sz w:val="21"/>
              </w:rPr>
            </w:pPr>
            <w:r/>
          </w:p>
          <w:p>
            <w:pPr>
              <w:spacing w:line="252" w:lineRule="auto"/>
              <w:rPr>
                <w:rFonts w:ascii="Arial"/>
                <w:sz w:val="21"/>
              </w:rPr>
            </w:pPr>
            <w:r/>
          </w:p>
          <w:p>
            <w:pPr>
              <w:ind w:left="185"/>
              <w:spacing w:before="65" w:line="228" w:lineRule="auto"/>
              <w:rPr>
                <w:rFonts w:ascii="SimSun" w:hAnsi="SimSun" w:eastAsia="SimSun" w:cs="SimSun"/>
                <w:sz w:val="20"/>
                <w:szCs w:val="20"/>
              </w:rPr>
            </w:pPr>
            <w:r>
              <w:rPr>
                <w:rFonts w:ascii="SimSun" w:hAnsi="SimSun" w:eastAsia="SimSun" w:cs="SimSun"/>
                <w:sz w:val="20"/>
                <w:szCs w:val="20"/>
                <w:b/>
                <w:bCs/>
                <w:spacing w:val="4"/>
              </w:rPr>
              <w:t>较敏感</w:t>
            </w:r>
          </w:p>
        </w:tc>
        <w:tc>
          <w:tcPr>
            <w:tcW w:w="4970" w:type="dxa"/>
            <w:vAlign w:val="top"/>
          </w:tcPr>
          <w:p>
            <w:pPr>
              <w:pStyle w:val="TableText"/>
              <w:ind w:left="59"/>
              <w:spacing w:before="30" w:line="227" w:lineRule="auto"/>
              <w:rPr>
                <w:rFonts w:ascii="SimSun" w:hAnsi="SimSun" w:eastAsia="SimSun" w:cs="SimSun"/>
              </w:rPr>
            </w:pPr>
            <w:r>
              <w:rPr>
                <w:rFonts w:ascii="SimSun" w:hAnsi="SimSun" w:eastAsia="SimSun" w:cs="SimSun"/>
                <w:b/>
                <w:bCs/>
                <w:spacing w:val="7"/>
              </w:rPr>
              <w:t>建设项目所在地干燥度</w:t>
            </w:r>
            <w:r>
              <w:rPr>
                <w:b/>
                <w:bCs/>
                <w:spacing w:val="7"/>
              </w:rPr>
              <w:t>&gt;2.5 </w:t>
            </w:r>
            <w:r>
              <w:rPr>
                <w:rFonts w:ascii="SimSun" w:hAnsi="SimSun" w:eastAsia="SimSun" w:cs="SimSun"/>
                <w:b/>
                <w:bCs/>
                <w:spacing w:val="7"/>
              </w:rPr>
              <w:t>且常年地下水平均埋深≥</w:t>
            </w:r>
          </w:p>
          <w:p>
            <w:pPr>
              <w:pStyle w:val="TableText"/>
              <w:ind w:left="14"/>
              <w:spacing w:before="25" w:line="227" w:lineRule="auto"/>
              <w:rPr/>
            </w:pPr>
            <w:r>
              <w:rPr>
                <w:b/>
                <w:bCs/>
                <w:spacing w:val="2"/>
              </w:rPr>
              <w:t>1.5m</w:t>
            </w:r>
            <w:r>
              <w:rPr>
                <w:rFonts w:ascii="SimSun" w:hAnsi="SimSun" w:eastAsia="SimSun" w:cs="SimSun"/>
                <w:b/>
                <w:bCs/>
                <w:spacing w:val="2"/>
              </w:rPr>
              <w:t>，或</w:t>
            </w:r>
            <w:r>
              <w:rPr>
                <w:rFonts w:ascii="SimSun" w:hAnsi="SimSun" w:eastAsia="SimSun" w:cs="SimSun"/>
                <w:spacing w:val="-48"/>
              </w:rPr>
              <w:t xml:space="preserve"> </w:t>
            </w:r>
            <w:r>
              <w:rPr>
                <w:b/>
                <w:bCs/>
                <w:spacing w:val="2"/>
              </w:rPr>
              <w:t>1.8&lt;</w:t>
            </w:r>
            <w:r>
              <w:rPr>
                <w:rFonts w:ascii="SimSun" w:hAnsi="SimSun" w:eastAsia="SimSun" w:cs="SimSun"/>
                <w:b/>
                <w:bCs/>
                <w:spacing w:val="2"/>
              </w:rPr>
              <w:t>干燥度≤</w:t>
            </w:r>
            <w:r>
              <w:rPr>
                <w:b/>
                <w:bCs/>
                <w:spacing w:val="2"/>
              </w:rPr>
              <w:t>2.5</w:t>
            </w:r>
            <w:r>
              <w:rPr>
                <w:b/>
                <w:bCs/>
                <w:spacing w:val="-14"/>
              </w:rPr>
              <w:t xml:space="preserve"> </w:t>
            </w:r>
            <w:r>
              <w:rPr>
                <w:rFonts w:ascii="SimSun" w:hAnsi="SimSun" w:eastAsia="SimSun" w:cs="SimSun"/>
                <w:b/>
                <w:bCs/>
                <w:spacing w:val="2"/>
              </w:rPr>
              <w:t>且常年地下水平均埋深</w:t>
            </w:r>
            <w:r>
              <w:rPr>
                <w:b/>
                <w:bCs/>
                <w:spacing w:val="2"/>
              </w:rPr>
              <w:t>&lt;1.8m</w:t>
            </w:r>
          </w:p>
          <w:p>
            <w:pPr>
              <w:ind w:left="1662"/>
              <w:spacing w:before="24" w:line="228" w:lineRule="auto"/>
              <w:rPr>
                <w:rFonts w:ascii="SimSun" w:hAnsi="SimSun" w:eastAsia="SimSun" w:cs="SimSun"/>
                <w:sz w:val="20"/>
                <w:szCs w:val="20"/>
              </w:rPr>
            </w:pPr>
            <w:r>
              <w:rPr>
                <w:rFonts w:ascii="SimSun" w:hAnsi="SimSun" w:eastAsia="SimSun" w:cs="SimSun"/>
                <w:sz w:val="20"/>
                <w:szCs w:val="20"/>
                <w:b/>
                <w:bCs/>
                <w:spacing w:val="3"/>
              </w:rPr>
              <w:t>的地势平坦区域；</w:t>
            </w:r>
          </w:p>
          <w:p>
            <w:pPr>
              <w:pStyle w:val="TableText"/>
              <w:ind w:left="167"/>
              <w:spacing w:before="26" w:line="227" w:lineRule="auto"/>
              <w:rPr>
                <w:rFonts w:ascii="SimSun" w:hAnsi="SimSun" w:eastAsia="SimSun" w:cs="SimSun"/>
              </w:rPr>
            </w:pPr>
            <w:r>
              <w:rPr>
                <w:rFonts w:ascii="SimSun" w:hAnsi="SimSun" w:eastAsia="SimSun" w:cs="SimSun"/>
                <w:b/>
                <w:bCs/>
                <w:spacing w:val="7"/>
              </w:rPr>
              <w:t>建设项目所在地干燥度</w:t>
            </w:r>
            <w:r>
              <w:rPr>
                <w:b/>
                <w:bCs/>
                <w:spacing w:val="7"/>
              </w:rPr>
              <w:t>&gt;2.5 </w:t>
            </w:r>
            <w:r>
              <w:rPr>
                <w:rFonts w:ascii="SimSun" w:hAnsi="SimSun" w:eastAsia="SimSun" w:cs="SimSun"/>
                <w:b/>
                <w:bCs/>
                <w:spacing w:val="7"/>
              </w:rPr>
              <w:t>或常年地下水平均埋深</w:t>
            </w:r>
          </w:p>
          <w:p>
            <w:pPr>
              <w:pStyle w:val="TableText"/>
              <w:ind w:left="4"/>
              <w:spacing w:before="28" w:line="215" w:lineRule="auto"/>
              <w:rPr>
                <w:rFonts w:ascii="SimSun" w:hAnsi="SimSun" w:eastAsia="SimSun" w:cs="SimSun"/>
              </w:rPr>
            </w:pPr>
            <w:r>
              <w:rPr>
                <w:b/>
                <w:bCs/>
                <w:spacing w:val="5"/>
              </w:rPr>
              <w:t>&lt;1.5m</w:t>
            </w:r>
            <w:r>
              <w:rPr>
                <w:b/>
                <w:bCs/>
                <w:spacing w:val="26"/>
                <w:w w:val="101"/>
              </w:rPr>
              <w:t xml:space="preserve"> </w:t>
            </w:r>
            <w:r>
              <w:rPr>
                <w:rFonts w:ascii="SimSun" w:hAnsi="SimSun" w:eastAsia="SimSun" w:cs="SimSun"/>
                <w:b/>
                <w:bCs/>
                <w:spacing w:val="5"/>
              </w:rPr>
              <w:t>的平原区；或</w:t>
            </w:r>
            <w:r>
              <w:rPr>
                <w:rFonts w:ascii="SimSun" w:hAnsi="SimSun" w:eastAsia="SimSun" w:cs="SimSun"/>
                <w:spacing w:val="-40"/>
              </w:rPr>
              <w:t xml:space="preserve"> </w:t>
            </w:r>
            <w:r>
              <w:rPr>
                <w:b/>
                <w:bCs/>
                <w:spacing w:val="5"/>
              </w:rPr>
              <w:t>2g/</w:t>
            </w:r>
            <w:r>
              <w:rPr>
                <w:b/>
                <w:bCs/>
              </w:rPr>
              <w:t>kg</w:t>
            </w:r>
            <w:r>
              <w:rPr>
                <w:b/>
                <w:bCs/>
                <w:spacing w:val="5"/>
              </w:rPr>
              <w:t>&lt;</w:t>
            </w:r>
            <w:r>
              <w:rPr>
                <w:rFonts w:ascii="SimSun" w:hAnsi="SimSun" w:eastAsia="SimSun" w:cs="SimSun"/>
                <w:b/>
                <w:bCs/>
                <w:spacing w:val="5"/>
              </w:rPr>
              <w:t>土壤含盐量≤</w:t>
            </w:r>
            <w:r>
              <w:rPr>
                <w:b/>
                <w:bCs/>
                <w:spacing w:val="5"/>
              </w:rPr>
              <w:t>4</w:t>
            </w:r>
            <w:r>
              <w:rPr>
                <w:b/>
                <w:bCs/>
                <w:spacing w:val="4"/>
              </w:rPr>
              <w:t>g/</w:t>
            </w:r>
            <w:r>
              <w:rPr>
                <w:b/>
                <w:bCs/>
              </w:rPr>
              <w:t>kg</w:t>
            </w:r>
            <w:r>
              <w:rPr>
                <w:b/>
                <w:bCs/>
                <w:spacing w:val="29"/>
                <w:w w:val="101"/>
              </w:rPr>
              <w:t xml:space="preserve"> </w:t>
            </w:r>
            <w:r>
              <w:rPr>
                <w:rFonts w:ascii="SimSun" w:hAnsi="SimSun" w:eastAsia="SimSun" w:cs="SimSun"/>
                <w:b/>
                <w:bCs/>
                <w:spacing w:val="4"/>
              </w:rPr>
              <w:t>的区域</w:t>
            </w:r>
          </w:p>
        </w:tc>
        <w:tc>
          <w:tcPr>
            <w:tcW w:w="1564" w:type="dxa"/>
            <w:vAlign w:val="top"/>
          </w:tcPr>
          <w:p>
            <w:pPr>
              <w:spacing w:line="252" w:lineRule="auto"/>
              <w:rPr>
                <w:rFonts w:ascii="Arial"/>
                <w:sz w:val="21"/>
              </w:rPr>
            </w:pPr>
            <w:r/>
          </w:p>
          <w:p>
            <w:pPr>
              <w:spacing w:line="252" w:lineRule="auto"/>
              <w:rPr>
                <w:rFonts w:ascii="Arial"/>
                <w:sz w:val="21"/>
              </w:rPr>
            </w:pPr>
            <w:r/>
          </w:p>
          <w:p>
            <w:pPr>
              <w:pStyle w:val="TableText"/>
              <w:ind w:left="217"/>
              <w:spacing w:before="65" w:line="221" w:lineRule="auto"/>
              <w:rPr/>
            </w:pPr>
            <w:r>
              <w:rPr>
                <w:b/>
                <w:bCs/>
                <w:spacing w:val="6"/>
              </w:rPr>
              <w:t>4.5&lt;</w:t>
            </w:r>
            <w:r>
              <w:rPr>
                <w:b/>
                <w:bCs/>
              </w:rPr>
              <w:t>pH</w:t>
            </w:r>
            <w:r>
              <w:rPr>
                <w:rFonts w:ascii="SimSun" w:hAnsi="SimSun" w:eastAsia="SimSun" w:cs="SimSun"/>
                <w:b/>
                <w:bCs/>
                <w:spacing w:val="6"/>
              </w:rPr>
              <w:t>≤</w:t>
            </w:r>
            <w:r>
              <w:rPr>
                <w:b/>
                <w:bCs/>
                <w:spacing w:val="6"/>
              </w:rPr>
              <w:t>5.5</w:t>
            </w:r>
          </w:p>
        </w:tc>
        <w:tc>
          <w:tcPr>
            <w:tcW w:w="1556" w:type="dxa"/>
            <w:vAlign w:val="top"/>
          </w:tcPr>
          <w:p>
            <w:pPr>
              <w:spacing w:line="252" w:lineRule="auto"/>
              <w:rPr>
                <w:rFonts w:ascii="Arial"/>
                <w:sz w:val="21"/>
              </w:rPr>
            </w:pPr>
            <w:r/>
          </w:p>
          <w:p>
            <w:pPr>
              <w:spacing w:line="252" w:lineRule="auto"/>
              <w:rPr>
                <w:rFonts w:ascii="Arial"/>
                <w:sz w:val="21"/>
              </w:rPr>
            </w:pPr>
            <w:r/>
          </w:p>
          <w:p>
            <w:pPr>
              <w:pStyle w:val="TableText"/>
              <w:ind w:left="215"/>
              <w:spacing w:before="65" w:line="221" w:lineRule="auto"/>
              <w:rPr/>
            </w:pPr>
            <w:r>
              <w:rPr>
                <w:b/>
                <w:bCs/>
                <w:spacing w:val="5"/>
              </w:rPr>
              <w:t>8.5&lt;</w:t>
            </w:r>
            <w:r>
              <w:rPr>
                <w:b/>
                <w:bCs/>
              </w:rPr>
              <w:t>pH</w:t>
            </w:r>
            <w:r>
              <w:rPr>
                <w:rFonts w:ascii="SimSun" w:hAnsi="SimSun" w:eastAsia="SimSun" w:cs="SimSun"/>
                <w:b/>
                <w:bCs/>
                <w:spacing w:val="5"/>
              </w:rPr>
              <w:t>≤</w:t>
            </w:r>
            <w:r>
              <w:rPr>
                <w:b/>
                <w:bCs/>
                <w:spacing w:val="5"/>
              </w:rPr>
              <w:t>9.0</w:t>
            </w:r>
          </w:p>
        </w:tc>
      </w:tr>
      <w:tr>
        <w:trPr>
          <w:trHeight w:val="282" w:hRule="atLeast"/>
        </w:trPr>
        <w:tc>
          <w:tcPr>
            <w:tcW w:w="993" w:type="dxa"/>
            <w:vAlign w:val="top"/>
          </w:tcPr>
          <w:p>
            <w:pPr>
              <w:ind w:left="188"/>
              <w:spacing w:before="32" w:line="221" w:lineRule="auto"/>
              <w:rPr>
                <w:rFonts w:ascii="SimSun" w:hAnsi="SimSun" w:eastAsia="SimSun" w:cs="SimSun"/>
                <w:sz w:val="20"/>
                <w:szCs w:val="20"/>
              </w:rPr>
            </w:pPr>
            <w:r>
              <w:rPr>
                <w:rFonts w:ascii="SimSun" w:hAnsi="SimSun" w:eastAsia="SimSun" w:cs="SimSun"/>
                <w:sz w:val="20"/>
                <w:szCs w:val="20"/>
                <w:spacing w:val="5"/>
              </w:rPr>
              <w:t>不敏感</w:t>
            </w:r>
          </w:p>
        </w:tc>
        <w:tc>
          <w:tcPr>
            <w:tcW w:w="4970" w:type="dxa"/>
            <w:vAlign w:val="top"/>
          </w:tcPr>
          <w:p>
            <w:pPr>
              <w:ind w:left="2282"/>
              <w:spacing w:before="32" w:line="221" w:lineRule="auto"/>
              <w:rPr>
                <w:rFonts w:ascii="SimSun" w:hAnsi="SimSun" w:eastAsia="SimSun" w:cs="SimSun"/>
                <w:sz w:val="20"/>
                <w:szCs w:val="20"/>
              </w:rPr>
            </w:pPr>
            <w:r>
              <w:rPr>
                <w:rFonts w:ascii="SimSun" w:hAnsi="SimSun" w:eastAsia="SimSun" w:cs="SimSun"/>
                <w:sz w:val="20"/>
                <w:szCs w:val="20"/>
                <w:spacing w:val="4"/>
              </w:rPr>
              <w:t>其他</w:t>
            </w:r>
          </w:p>
        </w:tc>
        <w:tc>
          <w:tcPr>
            <w:tcW w:w="3120" w:type="dxa"/>
            <w:vAlign w:val="top"/>
            <w:gridSpan w:val="2"/>
          </w:tcPr>
          <w:p>
            <w:pPr>
              <w:pStyle w:val="TableText"/>
              <w:ind w:left="1057"/>
              <w:spacing w:before="68" w:line="197" w:lineRule="auto"/>
              <w:rPr/>
            </w:pPr>
            <w:r>
              <w:rPr>
                <w:spacing w:val="5"/>
              </w:rPr>
              <w:t>5.5&lt;</w:t>
            </w:r>
            <w:r>
              <w:rPr/>
              <w:t>pH</w:t>
            </w:r>
            <w:r>
              <w:rPr>
                <w:spacing w:val="5"/>
              </w:rPr>
              <w:t>&lt;8.5</w:t>
            </w:r>
          </w:p>
        </w:tc>
      </w:tr>
    </w:tbl>
    <w:p>
      <w:pPr>
        <w:ind w:left="490"/>
        <w:spacing w:before="29" w:line="227" w:lineRule="auto"/>
        <w:rPr>
          <w:rFonts w:ascii="SimSun" w:hAnsi="SimSun" w:eastAsia="SimSun" w:cs="SimSun"/>
          <w:sz w:val="20"/>
          <w:szCs w:val="20"/>
        </w:rPr>
      </w:pPr>
      <w:r>
        <w:rPr>
          <w:rFonts w:ascii="SimSun" w:hAnsi="SimSun" w:eastAsia="SimSun" w:cs="SimSun"/>
          <w:sz w:val="20"/>
          <w:szCs w:val="20"/>
          <w:spacing w:val="8"/>
        </w:rPr>
        <w:t>注：</w:t>
      </w:r>
      <w:r>
        <w:rPr>
          <w:rFonts w:ascii="Times New Roman" w:hAnsi="Times New Roman" w:eastAsia="Times New Roman" w:cs="Times New Roman"/>
          <w:sz w:val="20"/>
          <w:szCs w:val="20"/>
          <w:spacing w:val="8"/>
        </w:rPr>
        <w:t>a </w:t>
      </w:r>
      <w:r>
        <w:rPr>
          <w:rFonts w:ascii="SimSun" w:hAnsi="SimSun" w:eastAsia="SimSun" w:cs="SimSun"/>
          <w:sz w:val="20"/>
          <w:szCs w:val="20"/>
          <w:spacing w:val="8"/>
        </w:rPr>
        <w:t>是指采用</w:t>
      </w:r>
      <w:r>
        <w:rPr>
          <w:rFonts w:ascii="SimSun" w:hAnsi="SimSun" w:eastAsia="SimSun" w:cs="SimSun"/>
          <w:sz w:val="20"/>
          <w:szCs w:val="20"/>
          <w:spacing w:val="-28"/>
        </w:rPr>
        <w:t xml:space="preserve"> </w:t>
      </w:r>
      <w:r>
        <w:rPr>
          <w:rFonts w:ascii="Times New Roman" w:hAnsi="Times New Roman" w:eastAsia="Times New Roman" w:cs="Times New Roman"/>
          <w:sz w:val="20"/>
          <w:szCs w:val="20"/>
          <w:spacing w:val="8"/>
        </w:rPr>
        <w:t>E601 </w:t>
      </w:r>
      <w:r>
        <w:rPr>
          <w:rFonts w:ascii="SimSun" w:hAnsi="SimSun" w:eastAsia="SimSun" w:cs="SimSun"/>
          <w:sz w:val="20"/>
          <w:szCs w:val="20"/>
          <w:spacing w:val="8"/>
        </w:rPr>
        <w:t>观测的多年平均水面蒸发量与降水量的比值，即蒸降比值。</w:t>
      </w:r>
    </w:p>
    <w:p>
      <w:pPr>
        <w:spacing w:line="227" w:lineRule="auto"/>
        <w:sectPr>
          <w:headerReference w:type="default" r:id="rId63"/>
          <w:footerReference w:type="default" r:id="rId64"/>
          <w:pgSz w:w="11906" w:h="16838"/>
          <w:pgMar w:top="1170" w:right="1332" w:bottom="1080" w:left="1413" w:header="837" w:footer="918" w:gutter="0"/>
        </w:sectPr>
        <w:rPr>
          <w:rFonts w:ascii="SimSun" w:hAnsi="SimSun" w:eastAsia="SimSun" w:cs="SimSun"/>
          <w:sz w:val="20"/>
          <w:szCs w:val="20"/>
        </w:rPr>
      </w:pPr>
    </w:p>
    <w:p>
      <w:pPr>
        <w:pStyle w:val="BodyText"/>
        <w:spacing w:line="312" w:lineRule="auto"/>
        <w:rPr/>
      </w:pPr>
      <w:r/>
    </w:p>
    <w:p>
      <w:pPr>
        <w:ind w:left="524"/>
        <w:spacing w:before="78" w:line="218" w:lineRule="auto"/>
        <w:rPr>
          <w:rFonts w:ascii="SimSun" w:hAnsi="SimSun" w:eastAsia="SimSun" w:cs="SimSun"/>
          <w:sz w:val="24"/>
          <w:szCs w:val="24"/>
        </w:rPr>
      </w:pPr>
      <w:bookmarkStart w:name="bookmark83" w:id="24"/>
      <w:bookmarkEnd w:id="24"/>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、评价等级</w:t>
      </w:r>
    </w:p>
    <w:p>
      <w:pPr>
        <w:ind w:left="533"/>
        <w:spacing w:before="158" w:line="218" w:lineRule="auto"/>
        <w:rPr>
          <w:rFonts w:ascii="SimSun" w:hAnsi="SimSun" w:eastAsia="SimSun" w:cs="SimSun"/>
          <w:sz w:val="24"/>
          <w:szCs w:val="24"/>
        </w:rPr>
      </w:pPr>
      <w:r>
        <w:rPr>
          <w:rFonts w:ascii="SimSun" w:hAnsi="SimSun" w:eastAsia="SimSun" w:cs="SimSun"/>
          <w:sz w:val="24"/>
          <w:szCs w:val="24"/>
          <w:spacing w:val="-1"/>
        </w:rPr>
        <w:t>建设项目土壤评价工作等级划分依据分别见表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2-5-10</w:t>
      </w:r>
      <w:r>
        <w:rPr>
          <w:rFonts w:ascii="SimSun" w:hAnsi="SimSun" w:eastAsia="SimSun" w:cs="SimSun"/>
          <w:sz w:val="24"/>
          <w:szCs w:val="24"/>
          <w:spacing w:val="-1"/>
        </w:rPr>
        <w:t>。</w:t>
      </w:r>
    </w:p>
    <w:p>
      <w:pPr>
        <w:ind w:left="2904"/>
        <w:spacing w:before="282" w:line="221" w:lineRule="auto"/>
        <w:rPr>
          <w:rFonts w:ascii="SimHei" w:hAnsi="SimHei" w:eastAsia="SimHei" w:cs="SimHei"/>
          <w:sz w:val="24"/>
          <w:szCs w:val="24"/>
        </w:rPr>
      </w:pPr>
      <w:r>
        <w:rPr>
          <w:rFonts w:ascii="SimHei" w:hAnsi="SimHei" w:eastAsia="SimHei" w:cs="SimHei"/>
          <w:sz w:val="24"/>
          <w:szCs w:val="24"/>
          <w:spacing w:val="-1"/>
        </w:rPr>
        <w:t>生态影响型评价工作等级划分表</w:t>
      </w:r>
    </w:p>
    <w:p>
      <w:pPr>
        <w:ind w:left="48"/>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2-5-10</w:t>
      </w:r>
    </w:p>
    <w:tbl>
      <w:tblPr>
        <w:tblStyle w:val="TableNormal"/>
        <w:tblW w:w="9083" w:type="dxa"/>
        <w:tblInd w:w="3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665"/>
        <w:gridCol w:w="1967"/>
        <w:gridCol w:w="1827"/>
        <w:gridCol w:w="1624"/>
      </w:tblGrid>
      <w:tr>
        <w:trPr>
          <w:trHeight w:val="282" w:hRule="atLeast"/>
        </w:trPr>
        <w:tc>
          <w:tcPr>
            <w:tcW w:w="3665" w:type="dxa"/>
            <w:vAlign w:val="top"/>
          </w:tcPr>
          <w:p>
            <w:pPr>
              <w:ind w:left="1419"/>
              <w:spacing w:before="33" w:line="220" w:lineRule="auto"/>
              <w:rPr>
                <w:rFonts w:ascii="SimSun" w:hAnsi="SimSun" w:eastAsia="SimSun" w:cs="SimSun"/>
                <w:sz w:val="20"/>
                <w:szCs w:val="20"/>
              </w:rPr>
            </w:pPr>
            <w:r>
              <w:rPr>
                <w:rFonts w:ascii="SimSun" w:hAnsi="SimSun" w:eastAsia="SimSun" w:cs="SimSun"/>
                <w:sz w:val="20"/>
                <w:szCs w:val="20"/>
                <w:spacing w:val="7"/>
              </w:rPr>
              <w:t>敏感程度</w:t>
            </w:r>
          </w:p>
        </w:tc>
        <w:tc>
          <w:tcPr>
            <w:tcW w:w="1967" w:type="dxa"/>
            <w:vAlign w:val="top"/>
          </w:tcPr>
          <w:p>
            <w:pPr>
              <w:pStyle w:val="TableText"/>
              <w:ind w:left="818"/>
              <w:spacing w:before="33" w:line="220" w:lineRule="auto"/>
              <w:rPr>
                <w:rFonts w:ascii="SimSun" w:hAnsi="SimSun" w:eastAsia="SimSun" w:cs="SimSun"/>
              </w:rPr>
            </w:pPr>
            <w:r>
              <w:rPr>
                <w:spacing w:val="-1"/>
              </w:rPr>
              <w:t>I</w:t>
            </w:r>
            <w:r>
              <w:rPr>
                <w:spacing w:val="8"/>
              </w:rPr>
              <w:t xml:space="preserve"> </w:t>
            </w:r>
            <w:r>
              <w:rPr>
                <w:rFonts w:ascii="SimSun" w:hAnsi="SimSun" w:eastAsia="SimSun" w:cs="SimSun"/>
                <w:spacing w:val="-1"/>
              </w:rPr>
              <w:t>类</w:t>
            </w:r>
          </w:p>
        </w:tc>
        <w:tc>
          <w:tcPr>
            <w:tcW w:w="1827" w:type="dxa"/>
            <w:vAlign w:val="top"/>
          </w:tcPr>
          <w:p>
            <w:pPr>
              <w:pStyle w:val="TableText"/>
              <w:ind w:left="716"/>
              <w:spacing w:before="33" w:line="220" w:lineRule="auto"/>
              <w:rPr>
                <w:rFonts w:ascii="SimSun" w:hAnsi="SimSun" w:eastAsia="SimSun" w:cs="SimSun"/>
              </w:rPr>
            </w:pPr>
            <w:r>
              <w:rPr/>
              <w:t>II</w:t>
            </w:r>
            <w:r>
              <w:rPr>
                <w:spacing w:val="10"/>
              </w:rPr>
              <w:t xml:space="preserve"> </w:t>
            </w:r>
            <w:r>
              <w:rPr>
                <w:rFonts w:ascii="SimSun" w:hAnsi="SimSun" w:eastAsia="SimSun" w:cs="SimSun"/>
                <w:spacing w:val="1"/>
              </w:rPr>
              <w:t>类</w:t>
            </w:r>
          </w:p>
        </w:tc>
        <w:tc>
          <w:tcPr>
            <w:tcW w:w="1624" w:type="dxa"/>
            <w:vAlign w:val="top"/>
          </w:tcPr>
          <w:p>
            <w:pPr>
              <w:pStyle w:val="TableText"/>
              <w:ind w:left="576"/>
              <w:spacing w:before="33" w:line="220" w:lineRule="auto"/>
              <w:rPr>
                <w:rFonts w:ascii="SimSun" w:hAnsi="SimSun" w:eastAsia="SimSun" w:cs="SimSun"/>
              </w:rPr>
            </w:pPr>
            <w:r>
              <w:rPr/>
              <w:t>III</w:t>
            </w:r>
            <w:r>
              <w:rPr>
                <w:spacing w:val="10"/>
              </w:rPr>
              <w:t xml:space="preserve"> </w:t>
            </w:r>
            <w:r>
              <w:rPr>
                <w:rFonts w:ascii="SimSun" w:hAnsi="SimSun" w:eastAsia="SimSun" w:cs="SimSun"/>
                <w:spacing w:val="7"/>
              </w:rPr>
              <w:t>类</w:t>
            </w:r>
          </w:p>
        </w:tc>
      </w:tr>
      <w:tr>
        <w:trPr>
          <w:trHeight w:val="277" w:hRule="atLeast"/>
        </w:trPr>
        <w:tc>
          <w:tcPr>
            <w:tcW w:w="3665" w:type="dxa"/>
            <w:vAlign w:val="top"/>
          </w:tcPr>
          <w:p>
            <w:pPr>
              <w:ind w:left="1628"/>
              <w:spacing w:before="29" w:line="219" w:lineRule="auto"/>
              <w:rPr>
                <w:rFonts w:ascii="SimSun" w:hAnsi="SimSun" w:eastAsia="SimSun" w:cs="SimSun"/>
                <w:sz w:val="20"/>
                <w:szCs w:val="20"/>
              </w:rPr>
            </w:pPr>
            <w:r>
              <w:rPr>
                <w:rFonts w:ascii="SimSun" w:hAnsi="SimSun" w:eastAsia="SimSun" w:cs="SimSun"/>
                <w:sz w:val="20"/>
                <w:szCs w:val="20"/>
                <w:spacing w:val="4"/>
              </w:rPr>
              <w:t>敏感</w:t>
            </w:r>
          </w:p>
        </w:tc>
        <w:tc>
          <w:tcPr>
            <w:tcW w:w="1967" w:type="dxa"/>
            <w:vAlign w:val="top"/>
          </w:tcPr>
          <w:p>
            <w:pPr>
              <w:ind w:left="781"/>
              <w:spacing w:before="29" w:line="219" w:lineRule="auto"/>
              <w:rPr>
                <w:rFonts w:ascii="SimSun" w:hAnsi="SimSun" w:eastAsia="SimSun" w:cs="SimSun"/>
                <w:sz w:val="20"/>
                <w:szCs w:val="20"/>
              </w:rPr>
            </w:pPr>
            <w:r>
              <w:rPr>
                <w:rFonts w:ascii="SimSun" w:hAnsi="SimSun" w:eastAsia="SimSun" w:cs="SimSun"/>
                <w:sz w:val="20"/>
                <w:szCs w:val="20"/>
                <w:spacing w:val="3"/>
              </w:rPr>
              <w:t>一级</w:t>
            </w:r>
          </w:p>
        </w:tc>
        <w:tc>
          <w:tcPr>
            <w:tcW w:w="1827" w:type="dxa"/>
            <w:vAlign w:val="top"/>
          </w:tcPr>
          <w:p>
            <w:pPr>
              <w:ind w:left="712"/>
              <w:spacing w:before="29" w:line="219" w:lineRule="auto"/>
              <w:rPr>
                <w:rFonts w:ascii="SimSun" w:hAnsi="SimSun" w:eastAsia="SimSun" w:cs="SimSun"/>
                <w:sz w:val="20"/>
                <w:szCs w:val="20"/>
              </w:rPr>
            </w:pPr>
            <w:r>
              <w:rPr>
                <w:rFonts w:ascii="SimSun" w:hAnsi="SimSun" w:eastAsia="SimSun" w:cs="SimSun"/>
                <w:sz w:val="20"/>
                <w:szCs w:val="20"/>
                <w:spacing w:val="3"/>
              </w:rPr>
              <w:t>二级</w:t>
            </w:r>
          </w:p>
        </w:tc>
        <w:tc>
          <w:tcPr>
            <w:tcW w:w="1624" w:type="dxa"/>
            <w:vAlign w:val="top"/>
          </w:tcPr>
          <w:p>
            <w:pPr>
              <w:ind w:left="608"/>
              <w:spacing w:before="29" w:line="219" w:lineRule="auto"/>
              <w:rPr>
                <w:rFonts w:ascii="SimSun" w:hAnsi="SimSun" w:eastAsia="SimSun" w:cs="SimSun"/>
                <w:sz w:val="20"/>
                <w:szCs w:val="20"/>
              </w:rPr>
            </w:pPr>
            <w:r>
              <w:rPr>
                <w:rFonts w:ascii="SimSun" w:hAnsi="SimSun" w:eastAsia="SimSun" w:cs="SimSun"/>
                <w:sz w:val="20"/>
                <w:szCs w:val="20"/>
                <w:spacing w:val="4"/>
              </w:rPr>
              <w:t>三级</w:t>
            </w:r>
          </w:p>
        </w:tc>
      </w:tr>
      <w:tr>
        <w:trPr>
          <w:trHeight w:val="274" w:hRule="atLeast"/>
        </w:trPr>
        <w:tc>
          <w:tcPr>
            <w:tcW w:w="3665" w:type="dxa"/>
            <w:vAlign w:val="top"/>
          </w:tcPr>
          <w:p>
            <w:pPr>
              <w:ind w:left="1522"/>
              <w:spacing w:before="31" w:line="215" w:lineRule="auto"/>
              <w:rPr>
                <w:rFonts w:ascii="SimSun" w:hAnsi="SimSun" w:eastAsia="SimSun" w:cs="SimSun"/>
                <w:sz w:val="20"/>
                <w:szCs w:val="20"/>
              </w:rPr>
            </w:pPr>
            <w:r>
              <w:rPr>
                <w:rFonts w:ascii="SimSun" w:hAnsi="SimSun" w:eastAsia="SimSun" w:cs="SimSun"/>
                <w:sz w:val="20"/>
                <w:szCs w:val="20"/>
                <w:spacing w:val="6"/>
              </w:rPr>
              <w:t>较敏感</w:t>
            </w:r>
          </w:p>
        </w:tc>
        <w:tc>
          <w:tcPr>
            <w:tcW w:w="1967" w:type="dxa"/>
            <w:vAlign w:val="top"/>
          </w:tcPr>
          <w:p>
            <w:pPr>
              <w:ind w:left="781"/>
              <w:spacing w:before="31" w:line="215" w:lineRule="auto"/>
              <w:rPr>
                <w:rFonts w:ascii="SimSun" w:hAnsi="SimSun" w:eastAsia="SimSun" w:cs="SimSun"/>
                <w:sz w:val="20"/>
                <w:szCs w:val="20"/>
              </w:rPr>
            </w:pPr>
            <w:r>
              <w:rPr>
                <w:rFonts w:ascii="SimSun" w:hAnsi="SimSun" w:eastAsia="SimSun" w:cs="SimSun"/>
                <w:sz w:val="20"/>
                <w:szCs w:val="20"/>
                <w:spacing w:val="3"/>
              </w:rPr>
              <w:t>二级</w:t>
            </w:r>
          </w:p>
        </w:tc>
        <w:tc>
          <w:tcPr>
            <w:tcW w:w="1827" w:type="dxa"/>
            <w:vAlign w:val="top"/>
          </w:tcPr>
          <w:p>
            <w:pPr>
              <w:ind w:left="712"/>
              <w:spacing w:before="31" w:line="215" w:lineRule="auto"/>
              <w:rPr>
                <w:rFonts w:ascii="SimSun" w:hAnsi="SimSun" w:eastAsia="SimSun" w:cs="SimSun"/>
                <w:sz w:val="20"/>
                <w:szCs w:val="20"/>
              </w:rPr>
            </w:pPr>
            <w:r>
              <w:rPr>
                <w:rFonts w:ascii="SimSun" w:hAnsi="SimSun" w:eastAsia="SimSun" w:cs="SimSun"/>
                <w:sz w:val="20"/>
                <w:szCs w:val="20"/>
                <w:b/>
                <w:bCs/>
                <w:spacing w:val="1"/>
              </w:rPr>
              <w:t>二级</w:t>
            </w:r>
          </w:p>
        </w:tc>
        <w:tc>
          <w:tcPr>
            <w:tcW w:w="1624" w:type="dxa"/>
            <w:vAlign w:val="top"/>
          </w:tcPr>
          <w:p>
            <w:pPr>
              <w:ind w:left="608"/>
              <w:spacing w:before="31" w:line="215" w:lineRule="auto"/>
              <w:rPr>
                <w:rFonts w:ascii="SimSun" w:hAnsi="SimSun" w:eastAsia="SimSun" w:cs="SimSun"/>
                <w:sz w:val="20"/>
                <w:szCs w:val="20"/>
              </w:rPr>
            </w:pPr>
            <w:r>
              <w:rPr>
                <w:rFonts w:ascii="SimSun" w:hAnsi="SimSun" w:eastAsia="SimSun" w:cs="SimSun"/>
                <w:sz w:val="20"/>
                <w:szCs w:val="20"/>
                <w:spacing w:val="4"/>
              </w:rPr>
              <w:t>三级</w:t>
            </w:r>
          </w:p>
        </w:tc>
      </w:tr>
      <w:tr>
        <w:trPr>
          <w:trHeight w:val="282" w:hRule="atLeast"/>
        </w:trPr>
        <w:tc>
          <w:tcPr>
            <w:tcW w:w="3665" w:type="dxa"/>
            <w:vAlign w:val="top"/>
          </w:tcPr>
          <w:p>
            <w:pPr>
              <w:ind w:left="1525"/>
              <w:spacing w:before="32" w:line="221" w:lineRule="auto"/>
              <w:rPr>
                <w:rFonts w:ascii="SimSun" w:hAnsi="SimSun" w:eastAsia="SimSun" w:cs="SimSun"/>
                <w:sz w:val="20"/>
                <w:szCs w:val="20"/>
              </w:rPr>
            </w:pPr>
            <w:r>
              <w:rPr>
                <w:rFonts w:ascii="SimSun" w:hAnsi="SimSun" w:eastAsia="SimSun" w:cs="SimSun"/>
                <w:sz w:val="20"/>
                <w:szCs w:val="20"/>
                <w:spacing w:val="5"/>
              </w:rPr>
              <w:t>不敏感</w:t>
            </w:r>
          </w:p>
        </w:tc>
        <w:tc>
          <w:tcPr>
            <w:tcW w:w="1967" w:type="dxa"/>
            <w:vAlign w:val="top"/>
          </w:tcPr>
          <w:p>
            <w:pPr>
              <w:ind w:left="781"/>
              <w:spacing w:before="32" w:line="221" w:lineRule="auto"/>
              <w:rPr>
                <w:rFonts w:ascii="SimSun" w:hAnsi="SimSun" w:eastAsia="SimSun" w:cs="SimSun"/>
                <w:sz w:val="20"/>
                <w:szCs w:val="20"/>
              </w:rPr>
            </w:pPr>
            <w:r>
              <w:rPr>
                <w:rFonts w:ascii="SimSun" w:hAnsi="SimSun" w:eastAsia="SimSun" w:cs="SimSun"/>
                <w:sz w:val="20"/>
                <w:szCs w:val="20"/>
                <w:spacing w:val="3"/>
              </w:rPr>
              <w:t>二级</w:t>
            </w:r>
          </w:p>
        </w:tc>
        <w:tc>
          <w:tcPr>
            <w:tcW w:w="1827" w:type="dxa"/>
            <w:vAlign w:val="top"/>
          </w:tcPr>
          <w:p>
            <w:pPr>
              <w:ind w:left="709"/>
              <w:spacing w:before="32" w:line="221" w:lineRule="auto"/>
              <w:rPr>
                <w:rFonts w:ascii="SimSun" w:hAnsi="SimSun" w:eastAsia="SimSun" w:cs="SimSun"/>
                <w:sz w:val="20"/>
                <w:szCs w:val="20"/>
              </w:rPr>
            </w:pPr>
            <w:r>
              <w:rPr>
                <w:rFonts w:ascii="SimSun" w:hAnsi="SimSun" w:eastAsia="SimSun" w:cs="SimSun"/>
                <w:sz w:val="20"/>
                <w:szCs w:val="20"/>
                <w:spacing w:val="4"/>
              </w:rPr>
              <w:t>三级</w:t>
            </w:r>
          </w:p>
        </w:tc>
        <w:tc>
          <w:tcPr>
            <w:tcW w:w="1624" w:type="dxa"/>
            <w:vAlign w:val="top"/>
          </w:tcPr>
          <w:p>
            <w:pPr>
              <w:pStyle w:val="TableText"/>
              <w:ind w:left="783"/>
              <w:spacing w:before="157" w:line="97" w:lineRule="exact"/>
              <w:rPr/>
            </w:pPr>
            <w:r>
              <w:rPr>
                <w:position w:val="-2"/>
              </w:rPr>
              <w:t>-</w:t>
            </w:r>
          </w:p>
        </w:tc>
      </w:tr>
    </w:tbl>
    <w:p>
      <w:pPr>
        <w:ind w:left="528"/>
        <w:spacing w:before="29" w:line="226" w:lineRule="auto"/>
        <w:rPr>
          <w:rFonts w:ascii="SimSun" w:hAnsi="SimSun" w:eastAsia="SimSun" w:cs="SimSun"/>
          <w:sz w:val="20"/>
          <w:szCs w:val="20"/>
        </w:rPr>
      </w:pPr>
      <w:r>
        <w:rPr>
          <w:rFonts w:ascii="SimSun" w:hAnsi="SimSun" w:eastAsia="SimSun" w:cs="SimSun"/>
          <w:sz w:val="20"/>
          <w:szCs w:val="20"/>
          <w:spacing w:val="8"/>
        </w:rPr>
        <w:t>注：</w:t>
      </w:r>
      <w:r>
        <w:rPr>
          <w:rFonts w:ascii="Times New Roman" w:hAnsi="Times New Roman" w:eastAsia="Times New Roman" w:cs="Times New Roman"/>
          <w:sz w:val="20"/>
          <w:szCs w:val="20"/>
          <w:spacing w:val="8"/>
        </w:rPr>
        <w:t>“-”</w:t>
      </w:r>
      <w:r>
        <w:rPr>
          <w:rFonts w:ascii="SimSun" w:hAnsi="SimSun" w:eastAsia="SimSun" w:cs="SimSun"/>
          <w:sz w:val="20"/>
          <w:szCs w:val="20"/>
          <w:spacing w:val="8"/>
        </w:rPr>
        <w:t>表示可不开展土壤环境影响评价工作。</w:t>
      </w:r>
    </w:p>
    <w:p>
      <w:pPr>
        <w:ind w:left="68" w:right="77" w:firstLine="462"/>
        <w:spacing w:before="143" w:line="338" w:lineRule="auto"/>
        <w:rPr>
          <w:rFonts w:ascii="SimSun" w:hAnsi="SimSun" w:eastAsia="SimSun" w:cs="SimSun"/>
          <w:sz w:val="24"/>
          <w:szCs w:val="24"/>
        </w:rPr>
      </w:pPr>
      <w:r>
        <w:rPr>
          <w:rFonts w:ascii="SimSun" w:hAnsi="SimSun" w:eastAsia="SimSun" w:cs="SimSun"/>
          <w:sz w:val="24"/>
          <w:szCs w:val="24"/>
          <w:spacing w:val="-2"/>
        </w:rPr>
        <w:t>本项目类别为</w:t>
      </w:r>
      <w:r>
        <w:rPr>
          <w:rFonts w:ascii="Times New Roman" w:hAnsi="Times New Roman" w:eastAsia="Times New Roman" w:cs="Times New Roman"/>
          <w:sz w:val="24"/>
          <w:szCs w:val="24"/>
          <w:spacing w:val="-2"/>
        </w:rPr>
        <w:t>“II </w:t>
      </w:r>
      <w:r>
        <w:rPr>
          <w:rFonts w:ascii="SimSun" w:hAnsi="SimSun" w:eastAsia="SimSun" w:cs="SimSun"/>
          <w:sz w:val="24"/>
          <w:szCs w:val="24"/>
          <w:spacing w:val="-2"/>
        </w:rPr>
        <w:t>类</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，露天开采属于</w:t>
      </w:r>
      <w:r>
        <w:rPr>
          <w:rFonts w:ascii="Times New Roman" w:hAnsi="Times New Roman" w:eastAsia="Times New Roman" w:cs="Times New Roman"/>
          <w:sz w:val="24"/>
          <w:szCs w:val="24"/>
          <w:spacing w:val="-2"/>
        </w:rPr>
        <w:t>“</w:t>
      </w:r>
      <w:r>
        <w:rPr>
          <w:rFonts w:ascii="SimSun" w:hAnsi="SimSun" w:eastAsia="SimSun" w:cs="SimSun"/>
          <w:sz w:val="24"/>
          <w:szCs w:val="24"/>
          <w:spacing w:val="-2"/>
        </w:rPr>
        <w:t>生态影响</w:t>
      </w:r>
      <w:r>
        <w:rPr>
          <w:rFonts w:ascii="SimSun" w:hAnsi="SimSun" w:eastAsia="SimSun" w:cs="SimSun"/>
          <w:sz w:val="24"/>
          <w:szCs w:val="24"/>
          <w:spacing w:val="-3"/>
        </w:rPr>
        <w:t>型</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，矿区占地范围属于较敏感区，</w:t>
      </w:r>
      <w:r>
        <w:rPr>
          <w:rFonts w:ascii="SimSun" w:hAnsi="SimSun" w:eastAsia="SimSun" w:cs="SimSun"/>
          <w:sz w:val="24"/>
          <w:szCs w:val="24"/>
          <w:spacing w:val="-3"/>
        </w:rPr>
        <w:t>因此土壤环境评价等级为二级。</w:t>
      </w:r>
    </w:p>
    <w:p>
      <w:pPr>
        <w:ind w:left="532"/>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7"/>
        </w:rPr>
        <w:t>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、评价范围</w:t>
      </w:r>
    </w:p>
    <w:p>
      <w:pPr>
        <w:ind w:left="71" w:right="24" w:firstLine="458"/>
        <w:spacing w:before="158" w:line="340" w:lineRule="auto"/>
        <w:rPr>
          <w:rFonts w:ascii="SimSun" w:hAnsi="SimSun" w:eastAsia="SimSun" w:cs="SimSun"/>
          <w:sz w:val="24"/>
          <w:szCs w:val="24"/>
        </w:rPr>
      </w:pPr>
      <w:r>
        <w:rPr>
          <w:rFonts w:ascii="SimSun" w:hAnsi="SimSun" w:eastAsia="SimSun" w:cs="SimSun"/>
          <w:sz w:val="24"/>
          <w:szCs w:val="24"/>
          <w:spacing w:val="2"/>
        </w:rPr>
        <w:t>根据《环境影响评价技术导则 土壤环境（试行）》（</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964-2018</w:t>
      </w:r>
      <w:r>
        <w:rPr>
          <w:rFonts w:ascii="SimSun" w:hAnsi="SimSun" w:eastAsia="SimSun" w:cs="SimSun"/>
          <w:sz w:val="24"/>
          <w:szCs w:val="24"/>
          <w:spacing w:val="2"/>
        </w:rPr>
        <w:t>）</w:t>
      </w:r>
      <w:r>
        <w:rPr>
          <w:rFonts w:ascii="SimSun" w:hAnsi="SimSun" w:eastAsia="SimSun" w:cs="SimSun"/>
          <w:sz w:val="24"/>
          <w:szCs w:val="24"/>
          <w:spacing w:val="1"/>
        </w:rPr>
        <w:t>中调查评价范</w:t>
      </w:r>
      <w:r>
        <w:rPr>
          <w:rFonts w:ascii="SimSun" w:hAnsi="SimSun" w:eastAsia="SimSun" w:cs="SimSun"/>
          <w:sz w:val="24"/>
          <w:szCs w:val="24"/>
          <w:spacing w:val="-5"/>
        </w:rPr>
        <w:t>围参考表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5"/>
        </w:rPr>
        <w:t>2-5-11</w:t>
      </w:r>
      <w:r>
        <w:rPr>
          <w:rFonts w:ascii="SimSun" w:hAnsi="SimSun" w:eastAsia="SimSun" w:cs="SimSun"/>
          <w:sz w:val="24"/>
          <w:szCs w:val="24"/>
          <w:spacing w:val="-5"/>
        </w:rPr>
        <w:t>。</w:t>
      </w:r>
    </w:p>
    <w:p>
      <w:pPr>
        <w:ind w:left="3866"/>
        <w:spacing w:before="124" w:line="222" w:lineRule="auto"/>
        <w:rPr>
          <w:rFonts w:ascii="SimHei" w:hAnsi="SimHei" w:eastAsia="SimHei" w:cs="SimHei"/>
          <w:sz w:val="24"/>
          <w:szCs w:val="24"/>
        </w:rPr>
      </w:pPr>
      <w:r>
        <w:rPr>
          <w:rFonts w:ascii="SimHei" w:hAnsi="SimHei" w:eastAsia="SimHei" w:cs="SimHei"/>
          <w:sz w:val="24"/>
          <w:szCs w:val="24"/>
          <w:spacing w:val="-2"/>
        </w:rPr>
        <w:t>现状调查范围</w:t>
      </w:r>
    </w:p>
    <w:p>
      <w:pPr>
        <w:ind w:left="48"/>
        <w:spacing w:before="67"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2"/>
        </w:rPr>
        <w:t>2-5-11</w:t>
      </w:r>
    </w:p>
    <w:p>
      <w:pPr>
        <w:spacing w:line="15" w:lineRule="exact"/>
        <w:rPr/>
      </w:pPr>
      <w:r/>
    </w:p>
    <w:tbl>
      <w:tblPr>
        <w:tblStyle w:val="TableNormal"/>
        <w:tblW w:w="912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91"/>
        <w:gridCol w:w="2271"/>
        <w:gridCol w:w="2276"/>
        <w:gridCol w:w="2291"/>
      </w:tblGrid>
      <w:tr>
        <w:trPr>
          <w:trHeight w:val="285" w:hRule="atLeast"/>
        </w:trPr>
        <w:tc>
          <w:tcPr>
            <w:tcW w:w="2291" w:type="dxa"/>
            <w:vAlign w:val="top"/>
            <w:vMerge w:val="restart"/>
            <w:tcBorders>
              <w:bottom w:val="nil"/>
            </w:tcBorders>
          </w:tcPr>
          <w:p>
            <w:pPr>
              <w:ind w:left="518"/>
              <w:spacing w:before="175" w:line="226" w:lineRule="auto"/>
              <w:rPr>
                <w:rFonts w:ascii="SimSun" w:hAnsi="SimSun" w:eastAsia="SimSun" w:cs="SimSun"/>
                <w:sz w:val="20"/>
                <w:szCs w:val="20"/>
              </w:rPr>
            </w:pPr>
            <w:r>
              <w:rPr>
                <w:rFonts w:ascii="SimSun" w:hAnsi="SimSun" w:eastAsia="SimSun" w:cs="SimSun"/>
                <w:sz w:val="20"/>
                <w:szCs w:val="20"/>
                <w:spacing w:val="8"/>
              </w:rPr>
              <w:t>评价工作等级</w:t>
            </w:r>
          </w:p>
        </w:tc>
        <w:tc>
          <w:tcPr>
            <w:tcW w:w="2271" w:type="dxa"/>
            <w:vAlign w:val="top"/>
            <w:vMerge w:val="restart"/>
            <w:tcBorders>
              <w:bottom w:val="nil"/>
            </w:tcBorders>
          </w:tcPr>
          <w:p>
            <w:pPr>
              <w:ind w:left="716"/>
              <w:spacing w:before="175" w:line="228" w:lineRule="auto"/>
              <w:rPr>
                <w:rFonts w:ascii="SimSun" w:hAnsi="SimSun" w:eastAsia="SimSun" w:cs="SimSun"/>
                <w:sz w:val="20"/>
                <w:szCs w:val="20"/>
              </w:rPr>
            </w:pPr>
            <w:r>
              <w:rPr>
                <w:rFonts w:ascii="SimSun" w:hAnsi="SimSun" w:eastAsia="SimSun" w:cs="SimSun"/>
                <w:sz w:val="20"/>
                <w:szCs w:val="20"/>
                <w:spacing w:val="7"/>
              </w:rPr>
              <w:t>影响类型</w:t>
            </w:r>
          </w:p>
        </w:tc>
        <w:tc>
          <w:tcPr>
            <w:tcW w:w="4567" w:type="dxa"/>
            <w:vAlign w:val="top"/>
            <w:gridSpan w:val="2"/>
          </w:tcPr>
          <w:p>
            <w:pPr>
              <w:pStyle w:val="TableText"/>
              <w:ind w:left="1812"/>
              <w:spacing w:before="36" w:line="220" w:lineRule="auto"/>
              <w:rPr>
                <w:sz w:val="13"/>
                <w:szCs w:val="13"/>
              </w:rPr>
            </w:pPr>
            <w:r>
              <w:rPr>
                <w:rFonts w:ascii="SimSun" w:hAnsi="SimSun" w:eastAsia="SimSun" w:cs="SimSun"/>
                <w:spacing w:val="5"/>
              </w:rPr>
              <w:t>调查范围</w:t>
            </w:r>
            <w:r>
              <w:rPr>
                <w:rFonts w:ascii="SimSun" w:hAnsi="SimSun" w:eastAsia="SimSun" w:cs="SimSun"/>
                <w:spacing w:val="-39"/>
              </w:rPr>
              <w:t xml:space="preserve"> </w:t>
            </w:r>
            <w:r>
              <w:rPr>
                <w:sz w:val="13"/>
                <w:szCs w:val="13"/>
                <w:spacing w:val="5"/>
                <w:position w:val="6"/>
              </w:rPr>
              <w:t>a</w:t>
            </w:r>
          </w:p>
        </w:tc>
      </w:tr>
      <w:tr>
        <w:trPr>
          <w:trHeight w:val="275" w:hRule="atLeast"/>
        </w:trPr>
        <w:tc>
          <w:tcPr>
            <w:tcW w:w="2291" w:type="dxa"/>
            <w:vAlign w:val="top"/>
            <w:vMerge w:val="continue"/>
            <w:tcBorders>
              <w:top w:val="nil"/>
            </w:tcBorders>
          </w:tcPr>
          <w:p>
            <w:pPr>
              <w:rPr>
                <w:rFonts w:ascii="Arial"/>
                <w:sz w:val="21"/>
              </w:rPr>
            </w:pPr>
            <w:r/>
          </w:p>
        </w:tc>
        <w:tc>
          <w:tcPr>
            <w:tcW w:w="2271" w:type="dxa"/>
            <w:vAlign w:val="top"/>
            <w:vMerge w:val="continue"/>
            <w:tcBorders>
              <w:top w:val="nil"/>
            </w:tcBorders>
          </w:tcPr>
          <w:p>
            <w:pPr>
              <w:rPr>
                <w:rFonts w:ascii="Arial"/>
                <w:sz w:val="21"/>
              </w:rPr>
            </w:pPr>
            <w:r/>
          </w:p>
        </w:tc>
        <w:tc>
          <w:tcPr>
            <w:tcW w:w="2276" w:type="dxa"/>
            <w:vAlign w:val="top"/>
          </w:tcPr>
          <w:p>
            <w:pPr>
              <w:pStyle w:val="TableText"/>
              <w:ind w:left="575"/>
              <w:spacing w:before="29" w:line="217" w:lineRule="auto"/>
              <w:rPr>
                <w:rFonts w:ascii="SimSun" w:hAnsi="SimSun" w:eastAsia="SimSun" w:cs="SimSun"/>
              </w:rPr>
            </w:pPr>
            <w:r>
              <w:rPr>
                <w:rFonts w:ascii="SimSun" w:hAnsi="SimSun" w:eastAsia="SimSun" w:cs="SimSun"/>
                <w:spacing w:val="-1"/>
              </w:rPr>
              <w:t>占地</w:t>
            </w:r>
            <w:r>
              <w:rPr>
                <w:rFonts w:ascii="SimSun" w:hAnsi="SimSun" w:eastAsia="SimSun" w:cs="SimSun"/>
                <w:spacing w:val="-46"/>
              </w:rPr>
              <w:t xml:space="preserve"> </w:t>
            </w:r>
            <w:r>
              <w:rPr>
                <w:sz w:val="13"/>
                <w:szCs w:val="13"/>
                <w:spacing w:val="-1"/>
                <w:position w:val="6"/>
              </w:rPr>
              <w:t>b</w:t>
            </w:r>
            <w:r>
              <w:rPr>
                <w:sz w:val="13"/>
                <w:szCs w:val="13"/>
                <w:spacing w:val="13"/>
                <w:w w:val="102"/>
                <w:position w:val="6"/>
              </w:rPr>
              <w:t xml:space="preserve"> </w:t>
            </w:r>
            <w:r>
              <w:rPr>
                <w:rFonts w:ascii="SimSun" w:hAnsi="SimSun" w:eastAsia="SimSun" w:cs="SimSun"/>
                <w:spacing w:val="-1"/>
              </w:rPr>
              <w:t>范围内</w:t>
            </w:r>
          </w:p>
        </w:tc>
        <w:tc>
          <w:tcPr>
            <w:tcW w:w="2291" w:type="dxa"/>
            <w:vAlign w:val="top"/>
          </w:tcPr>
          <w:p>
            <w:pPr>
              <w:ind w:left="661"/>
              <w:spacing w:before="29" w:line="217" w:lineRule="auto"/>
              <w:rPr>
                <w:rFonts w:ascii="SimSun" w:hAnsi="SimSun" w:eastAsia="SimSun" w:cs="SimSun"/>
                <w:sz w:val="20"/>
                <w:szCs w:val="20"/>
              </w:rPr>
            </w:pPr>
            <w:r>
              <w:rPr>
                <w:rFonts w:ascii="SimSun" w:hAnsi="SimSun" w:eastAsia="SimSun" w:cs="SimSun"/>
                <w:sz w:val="20"/>
                <w:szCs w:val="20"/>
                <w:spacing w:val="1"/>
              </w:rPr>
              <w:t>占地范围外</w:t>
            </w:r>
          </w:p>
        </w:tc>
      </w:tr>
      <w:tr>
        <w:trPr>
          <w:trHeight w:val="277" w:hRule="atLeast"/>
        </w:trPr>
        <w:tc>
          <w:tcPr>
            <w:tcW w:w="2291" w:type="dxa"/>
            <w:vAlign w:val="top"/>
            <w:vMerge w:val="restart"/>
            <w:tcBorders>
              <w:bottom w:val="nil"/>
            </w:tcBorders>
          </w:tcPr>
          <w:p>
            <w:pPr>
              <w:ind w:left="942"/>
              <w:spacing w:before="171" w:line="230" w:lineRule="auto"/>
              <w:rPr>
                <w:rFonts w:ascii="SimSun" w:hAnsi="SimSun" w:eastAsia="SimSun" w:cs="SimSun"/>
                <w:sz w:val="20"/>
                <w:szCs w:val="20"/>
              </w:rPr>
            </w:pPr>
            <w:r>
              <w:rPr>
                <w:rFonts w:ascii="SimSun" w:hAnsi="SimSun" w:eastAsia="SimSun" w:cs="SimSun"/>
                <w:sz w:val="20"/>
                <w:szCs w:val="20"/>
                <w:spacing w:val="3"/>
              </w:rPr>
              <w:t>一级</w:t>
            </w:r>
          </w:p>
        </w:tc>
        <w:tc>
          <w:tcPr>
            <w:tcW w:w="2271" w:type="dxa"/>
            <w:vAlign w:val="top"/>
          </w:tcPr>
          <w:p>
            <w:pPr>
              <w:ind w:left="615"/>
              <w:spacing w:before="29" w:line="219" w:lineRule="auto"/>
              <w:rPr>
                <w:rFonts w:ascii="SimSun" w:hAnsi="SimSun" w:eastAsia="SimSun" w:cs="SimSun"/>
                <w:sz w:val="20"/>
                <w:szCs w:val="20"/>
              </w:rPr>
            </w:pPr>
            <w:r>
              <w:rPr>
                <w:rFonts w:ascii="SimSun" w:hAnsi="SimSun" w:eastAsia="SimSun" w:cs="SimSun"/>
                <w:sz w:val="20"/>
                <w:szCs w:val="20"/>
                <w:spacing w:val="7"/>
              </w:rPr>
              <w:t>生态影响型</w:t>
            </w:r>
          </w:p>
        </w:tc>
        <w:tc>
          <w:tcPr>
            <w:tcW w:w="2276" w:type="dxa"/>
            <w:vAlign w:val="top"/>
            <w:vMerge w:val="restart"/>
            <w:tcBorders>
              <w:bottom w:val="nil"/>
            </w:tcBorders>
          </w:tcPr>
          <w:p>
            <w:pPr>
              <w:spacing w:line="333" w:lineRule="auto"/>
              <w:rPr>
                <w:rFonts w:ascii="Arial"/>
                <w:sz w:val="21"/>
              </w:rPr>
            </w:pPr>
            <w:r/>
          </w:p>
          <w:p>
            <w:pPr>
              <w:spacing w:line="333" w:lineRule="auto"/>
              <w:rPr>
                <w:rFonts w:ascii="Arial"/>
                <w:sz w:val="21"/>
              </w:rPr>
            </w:pPr>
            <w:r/>
          </w:p>
          <w:p>
            <w:pPr>
              <w:ind w:left="934"/>
              <w:spacing w:before="65" w:line="228" w:lineRule="auto"/>
              <w:rPr>
                <w:rFonts w:ascii="SimSun" w:hAnsi="SimSun" w:eastAsia="SimSun" w:cs="SimSun"/>
                <w:sz w:val="20"/>
                <w:szCs w:val="20"/>
              </w:rPr>
            </w:pPr>
            <w:r>
              <w:rPr>
                <w:rFonts w:ascii="SimSun" w:hAnsi="SimSun" w:eastAsia="SimSun" w:cs="SimSun"/>
                <w:sz w:val="20"/>
                <w:szCs w:val="20"/>
                <w:spacing w:val="4"/>
              </w:rPr>
              <w:t>全部</w:t>
            </w:r>
          </w:p>
        </w:tc>
        <w:tc>
          <w:tcPr>
            <w:tcW w:w="2291" w:type="dxa"/>
            <w:vAlign w:val="top"/>
          </w:tcPr>
          <w:p>
            <w:pPr>
              <w:pStyle w:val="TableText"/>
              <w:ind w:left="623"/>
              <w:spacing w:before="29" w:line="219" w:lineRule="auto"/>
              <w:rPr>
                <w:rFonts w:ascii="SimSun" w:hAnsi="SimSun" w:eastAsia="SimSun" w:cs="SimSun"/>
              </w:rPr>
            </w:pPr>
            <w:r>
              <w:rPr>
                <w:spacing w:val="5"/>
              </w:rPr>
              <w:t>5</w:t>
            </w:r>
            <w:r>
              <w:rPr/>
              <w:t>km</w:t>
            </w:r>
            <w:r>
              <w:rPr>
                <w:spacing w:val="17"/>
              </w:rPr>
              <w:t xml:space="preserve"> </w:t>
            </w:r>
            <w:r>
              <w:rPr>
                <w:rFonts w:ascii="SimSun" w:hAnsi="SimSun" w:eastAsia="SimSun" w:cs="SimSun"/>
                <w:spacing w:val="5"/>
              </w:rPr>
              <w:t>范围内</w:t>
            </w:r>
          </w:p>
        </w:tc>
      </w:tr>
      <w:tr>
        <w:trPr>
          <w:trHeight w:val="278" w:hRule="atLeast"/>
        </w:trPr>
        <w:tc>
          <w:tcPr>
            <w:tcW w:w="2291" w:type="dxa"/>
            <w:vAlign w:val="top"/>
            <w:vMerge w:val="continue"/>
            <w:tcBorders>
              <w:top w:val="nil"/>
            </w:tcBorders>
          </w:tcPr>
          <w:p>
            <w:pPr>
              <w:rPr>
                <w:rFonts w:ascii="Arial"/>
                <w:sz w:val="21"/>
              </w:rPr>
            </w:pPr>
            <w:r/>
          </w:p>
        </w:tc>
        <w:tc>
          <w:tcPr>
            <w:tcW w:w="2271" w:type="dxa"/>
            <w:vAlign w:val="top"/>
          </w:tcPr>
          <w:p>
            <w:pPr>
              <w:ind w:left="615"/>
              <w:spacing w:before="31" w:line="218" w:lineRule="auto"/>
              <w:rPr>
                <w:rFonts w:ascii="SimSun" w:hAnsi="SimSun" w:eastAsia="SimSun" w:cs="SimSun"/>
                <w:sz w:val="20"/>
                <w:szCs w:val="20"/>
              </w:rPr>
            </w:pPr>
            <w:r>
              <w:rPr>
                <w:rFonts w:ascii="SimSun" w:hAnsi="SimSun" w:eastAsia="SimSun" w:cs="SimSun"/>
                <w:sz w:val="20"/>
                <w:szCs w:val="20"/>
                <w:spacing w:val="7"/>
              </w:rPr>
              <w:t>污染影响型</w:t>
            </w:r>
          </w:p>
        </w:tc>
        <w:tc>
          <w:tcPr>
            <w:tcW w:w="2276" w:type="dxa"/>
            <w:vAlign w:val="top"/>
            <w:vMerge w:val="continue"/>
            <w:tcBorders>
              <w:top w:val="nil"/>
              <w:bottom w:val="nil"/>
            </w:tcBorders>
          </w:tcPr>
          <w:p>
            <w:pPr>
              <w:rPr>
                <w:rFonts w:ascii="Arial"/>
                <w:sz w:val="21"/>
              </w:rPr>
            </w:pPr>
            <w:r/>
          </w:p>
        </w:tc>
        <w:tc>
          <w:tcPr>
            <w:tcW w:w="2291" w:type="dxa"/>
            <w:vAlign w:val="top"/>
          </w:tcPr>
          <w:p>
            <w:pPr>
              <w:pStyle w:val="TableText"/>
              <w:ind w:left="638"/>
              <w:spacing w:before="31" w:line="218" w:lineRule="auto"/>
              <w:rPr>
                <w:rFonts w:ascii="SimSun" w:hAnsi="SimSun" w:eastAsia="SimSun" w:cs="SimSun"/>
              </w:rPr>
            </w:pPr>
            <w:r>
              <w:rPr>
                <w:spacing w:val="1"/>
              </w:rPr>
              <w:t>1</w:t>
            </w:r>
            <w:r>
              <w:rPr/>
              <w:t>km</w:t>
            </w:r>
            <w:r>
              <w:rPr>
                <w:spacing w:val="18"/>
                <w:w w:val="101"/>
              </w:rPr>
              <w:t xml:space="preserve"> </w:t>
            </w:r>
            <w:r>
              <w:rPr>
                <w:rFonts w:ascii="SimSun" w:hAnsi="SimSun" w:eastAsia="SimSun" w:cs="SimSun"/>
                <w:spacing w:val="1"/>
              </w:rPr>
              <w:t>范围内</w:t>
            </w:r>
          </w:p>
        </w:tc>
      </w:tr>
      <w:tr>
        <w:trPr>
          <w:trHeight w:val="275" w:hRule="atLeast"/>
        </w:trPr>
        <w:tc>
          <w:tcPr>
            <w:tcW w:w="2291" w:type="dxa"/>
            <w:vAlign w:val="top"/>
            <w:vMerge w:val="restart"/>
            <w:tcBorders>
              <w:bottom w:val="nil"/>
            </w:tcBorders>
          </w:tcPr>
          <w:p>
            <w:pPr>
              <w:ind w:left="942"/>
              <w:spacing w:before="170" w:line="230" w:lineRule="auto"/>
              <w:rPr>
                <w:rFonts w:ascii="SimSun" w:hAnsi="SimSun" w:eastAsia="SimSun" w:cs="SimSun"/>
                <w:sz w:val="20"/>
                <w:szCs w:val="20"/>
              </w:rPr>
            </w:pPr>
            <w:r>
              <w:rPr>
                <w:rFonts w:ascii="SimSun" w:hAnsi="SimSun" w:eastAsia="SimSun" w:cs="SimSun"/>
                <w:sz w:val="20"/>
                <w:szCs w:val="20"/>
                <w:spacing w:val="3"/>
              </w:rPr>
              <w:t>二级</w:t>
            </w:r>
          </w:p>
        </w:tc>
        <w:tc>
          <w:tcPr>
            <w:tcW w:w="2271" w:type="dxa"/>
            <w:vAlign w:val="top"/>
          </w:tcPr>
          <w:p>
            <w:pPr>
              <w:ind w:left="615"/>
              <w:spacing w:before="32" w:line="215" w:lineRule="auto"/>
              <w:rPr>
                <w:rFonts w:ascii="SimSun" w:hAnsi="SimSun" w:eastAsia="SimSun" w:cs="SimSun"/>
                <w:sz w:val="20"/>
                <w:szCs w:val="20"/>
              </w:rPr>
            </w:pPr>
            <w:r>
              <w:rPr>
                <w:rFonts w:ascii="SimSun" w:hAnsi="SimSun" w:eastAsia="SimSun" w:cs="SimSun"/>
                <w:sz w:val="20"/>
                <w:szCs w:val="20"/>
                <w:spacing w:val="7"/>
              </w:rPr>
              <w:t>生态影响型</w:t>
            </w:r>
          </w:p>
        </w:tc>
        <w:tc>
          <w:tcPr>
            <w:tcW w:w="2276" w:type="dxa"/>
            <w:vAlign w:val="top"/>
            <w:vMerge w:val="continue"/>
            <w:tcBorders>
              <w:top w:val="nil"/>
              <w:bottom w:val="nil"/>
            </w:tcBorders>
          </w:tcPr>
          <w:p>
            <w:pPr>
              <w:rPr>
                <w:rFonts w:ascii="Arial"/>
                <w:sz w:val="21"/>
              </w:rPr>
            </w:pPr>
            <w:r/>
          </w:p>
        </w:tc>
        <w:tc>
          <w:tcPr>
            <w:tcW w:w="2291" w:type="dxa"/>
            <w:vAlign w:val="top"/>
          </w:tcPr>
          <w:p>
            <w:pPr>
              <w:pStyle w:val="TableText"/>
              <w:ind w:left="618"/>
              <w:spacing w:before="32" w:line="215" w:lineRule="auto"/>
              <w:rPr>
                <w:rFonts w:ascii="SimSun" w:hAnsi="SimSun" w:eastAsia="SimSun" w:cs="SimSun"/>
              </w:rPr>
            </w:pPr>
            <w:r>
              <w:rPr>
                <w:spacing w:val="6"/>
              </w:rPr>
              <w:t>2</w:t>
            </w:r>
            <w:r>
              <w:rPr/>
              <w:t>km</w:t>
            </w:r>
            <w:r>
              <w:rPr>
                <w:spacing w:val="18"/>
                <w:w w:val="101"/>
              </w:rPr>
              <w:t xml:space="preserve"> </w:t>
            </w:r>
            <w:r>
              <w:rPr>
                <w:rFonts w:ascii="SimSun" w:hAnsi="SimSun" w:eastAsia="SimSun" w:cs="SimSun"/>
                <w:spacing w:val="6"/>
              </w:rPr>
              <w:t>范围内</w:t>
            </w:r>
          </w:p>
        </w:tc>
      </w:tr>
      <w:tr>
        <w:trPr>
          <w:trHeight w:val="278" w:hRule="atLeast"/>
        </w:trPr>
        <w:tc>
          <w:tcPr>
            <w:tcW w:w="2291" w:type="dxa"/>
            <w:vAlign w:val="top"/>
            <w:vMerge w:val="continue"/>
            <w:tcBorders>
              <w:top w:val="nil"/>
            </w:tcBorders>
          </w:tcPr>
          <w:p>
            <w:pPr>
              <w:rPr>
                <w:rFonts w:ascii="Arial"/>
                <w:sz w:val="21"/>
              </w:rPr>
            </w:pPr>
            <w:r/>
          </w:p>
        </w:tc>
        <w:tc>
          <w:tcPr>
            <w:tcW w:w="2271" w:type="dxa"/>
            <w:vAlign w:val="top"/>
          </w:tcPr>
          <w:p>
            <w:pPr>
              <w:ind w:left="615"/>
              <w:spacing w:before="32" w:line="217" w:lineRule="auto"/>
              <w:rPr>
                <w:rFonts w:ascii="SimSun" w:hAnsi="SimSun" w:eastAsia="SimSun" w:cs="SimSun"/>
                <w:sz w:val="20"/>
                <w:szCs w:val="20"/>
              </w:rPr>
            </w:pPr>
            <w:r>
              <w:rPr>
                <w:rFonts w:ascii="SimSun" w:hAnsi="SimSun" w:eastAsia="SimSun" w:cs="SimSun"/>
                <w:sz w:val="20"/>
                <w:szCs w:val="20"/>
                <w:spacing w:val="7"/>
              </w:rPr>
              <w:t>污染影响型</w:t>
            </w:r>
          </w:p>
        </w:tc>
        <w:tc>
          <w:tcPr>
            <w:tcW w:w="2276" w:type="dxa"/>
            <w:vAlign w:val="top"/>
            <w:vMerge w:val="continue"/>
            <w:tcBorders>
              <w:top w:val="nil"/>
              <w:bottom w:val="nil"/>
            </w:tcBorders>
          </w:tcPr>
          <w:p>
            <w:pPr>
              <w:rPr>
                <w:rFonts w:ascii="Arial"/>
                <w:sz w:val="21"/>
              </w:rPr>
            </w:pPr>
            <w:r/>
          </w:p>
        </w:tc>
        <w:tc>
          <w:tcPr>
            <w:tcW w:w="2291" w:type="dxa"/>
            <w:vAlign w:val="top"/>
          </w:tcPr>
          <w:p>
            <w:pPr>
              <w:pStyle w:val="TableText"/>
              <w:ind w:left="544"/>
              <w:spacing w:before="32" w:line="217" w:lineRule="auto"/>
              <w:rPr>
                <w:rFonts w:ascii="SimSun" w:hAnsi="SimSun" w:eastAsia="SimSun" w:cs="SimSun"/>
              </w:rPr>
            </w:pPr>
            <w:r>
              <w:rPr>
                <w:spacing w:val="5"/>
              </w:rPr>
              <w:t>0.2</w:t>
            </w:r>
            <w:r>
              <w:rPr/>
              <w:t>km</w:t>
            </w:r>
            <w:r>
              <w:rPr>
                <w:spacing w:val="15"/>
                <w:w w:val="101"/>
              </w:rPr>
              <w:t xml:space="preserve"> </w:t>
            </w:r>
            <w:r>
              <w:rPr>
                <w:rFonts w:ascii="SimSun" w:hAnsi="SimSun" w:eastAsia="SimSun" w:cs="SimSun"/>
                <w:spacing w:val="5"/>
              </w:rPr>
              <w:t>范围内</w:t>
            </w:r>
          </w:p>
        </w:tc>
      </w:tr>
      <w:tr>
        <w:trPr>
          <w:trHeight w:val="278" w:hRule="atLeast"/>
        </w:trPr>
        <w:tc>
          <w:tcPr>
            <w:tcW w:w="2291" w:type="dxa"/>
            <w:vAlign w:val="top"/>
            <w:vMerge w:val="restart"/>
            <w:tcBorders>
              <w:bottom w:val="nil"/>
            </w:tcBorders>
          </w:tcPr>
          <w:p>
            <w:pPr>
              <w:ind w:left="939"/>
              <w:spacing w:before="171" w:line="230" w:lineRule="auto"/>
              <w:rPr>
                <w:rFonts w:ascii="SimSun" w:hAnsi="SimSun" w:eastAsia="SimSun" w:cs="SimSun"/>
                <w:sz w:val="20"/>
                <w:szCs w:val="20"/>
              </w:rPr>
            </w:pPr>
            <w:r>
              <w:rPr>
                <w:rFonts w:ascii="SimSun" w:hAnsi="SimSun" w:eastAsia="SimSun" w:cs="SimSun"/>
                <w:sz w:val="20"/>
                <w:szCs w:val="20"/>
                <w:spacing w:val="4"/>
              </w:rPr>
              <w:t>三级</w:t>
            </w:r>
          </w:p>
        </w:tc>
        <w:tc>
          <w:tcPr>
            <w:tcW w:w="2271" w:type="dxa"/>
            <w:vAlign w:val="top"/>
          </w:tcPr>
          <w:p>
            <w:pPr>
              <w:ind w:left="615"/>
              <w:spacing w:before="32" w:line="217" w:lineRule="auto"/>
              <w:rPr>
                <w:rFonts w:ascii="SimSun" w:hAnsi="SimSun" w:eastAsia="SimSun" w:cs="SimSun"/>
                <w:sz w:val="20"/>
                <w:szCs w:val="20"/>
              </w:rPr>
            </w:pPr>
            <w:r>
              <w:rPr>
                <w:rFonts w:ascii="SimSun" w:hAnsi="SimSun" w:eastAsia="SimSun" w:cs="SimSun"/>
                <w:sz w:val="20"/>
                <w:szCs w:val="20"/>
                <w:spacing w:val="7"/>
              </w:rPr>
              <w:t>生态影响型</w:t>
            </w:r>
          </w:p>
        </w:tc>
        <w:tc>
          <w:tcPr>
            <w:tcW w:w="2276" w:type="dxa"/>
            <w:vAlign w:val="top"/>
            <w:vMerge w:val="continue"/>
            <w:tcBorders>
              <w:top w:val="nil"/>
              <w:bottom w:val="nil"/>
            </w:tcBorders>
          </w:tcPr>
          <w:p>
            <w:pPr>
              <w:rPr>
                <w:rFonts w:ascii="Arial"/>
                <w:sz w:val="21"/>
              </w:rPr>
            </w:pPr>
            <w:r/>
          </w:p>
        </w:tc>
        <w:tc>
          <w:tcPr>
            <w:tcW w:w="2291" w:type="dxa"/>
            <w:vAlign w:val="top"/>
          </w:tcPr>
          <w:p>
            <w:pPr>
              <w:pStyle w:val="TableText"/>
              <w:ind w:left="638"/>
              <w:spacing w:before="32" w:line="217" w:lineRule="auto"/>
              <w:rPr>
                <w:rFonts w:ascii="SimSun" w:hAnsi="SimSun" w:eastAsia="SimSun" w:cs="SimSun"/>
              </w:rPr>
            </w:pPr>
            <w:r>
              <w:rPr>
                <w:spacing w:val="1"/>
              </w:rPr>
              <w:t>1</w:t>
            </w:r>
            <w:r>
              <w:rPr/>
              <w:t>km</w:t>
            </w:r>
            <w:r>
              <w:rPr>
                <w:spacing w:val="18"/>
                <w:w w:val="101"/>
              </w:rPr>
              <w:t xml:space="preserve"> </w:t>
            </w:r>
            <w:r>
              <w:rPr>
                <w:rFonts w:ascii="SimSun" w:hAnsi="SimSun" w:eastAsia="SimSun" w:cs="SimSun"/>
                <w:spacing w:val="1"/>
              </w:rPr>
              <w:t>范围内</w:t>
            </w:r>
          </w:p>
        </w:tc>
      </w:tr>
      <w:tr>
        <w:trPr>
          <w:trHeight w:val="275" w:hRule="atLeast"/>
        </w:trPr>
        <w:tc>
          <w:tcPr>
            <w:tcW w:w="2291" w:type="dxa"/>
            <w:vAlign w:val="top"/>
            <w:vMerge w:val="continue"/>
            <w:tcBorders>
              <w:top w:val="nil"/>
            </w:tcBorders>
          </w:tcPr>
          <w:p>
            <w:pPr>
              <w:rPr>
                <w:rFonts w:ascii="Arial"/>
                <w:sz w:val="21"/>
              </w:rPr>
            </w:pPr>
            <w:r/>
          </w:p>
        </w:tc>
        <w:tc>
          <w:tcPr>
            <w:tcW w:w="2271" w:type="dxa"/>
            <w:vAlign w:val="top"/>
          </w:tcPr>
          <w:p>
            <w:pPr>
              <w:ind w:left="615"/>
              <w:spacing w:before="33" w:line="214" w:lineRule="auto"/>
              <w:rPr>
                <w:rFonts w:ascii="SimSun" w:hAnsi="SimSun" w:eastAsia="SimSun" w:cs="SimSun"/>
                <w:sz w:val="20"/>
                <w:szCs w:val="20"/>
              </w:rPr>
            </w:pPr>
            <w:r>
              <w:rPr>
                <w:rFonts w:ascii="SimSun" w:hAnsi="SimSun" w:eastAsia="SimSun" w:cs="SimSun"/>
                <w:sz w:val="20"/>
                <w:szCs w:val="20"/>
                <w:spacing w:val="7"/>
              </w:rPr>
              <w:t>污染影响型</w:t>
            </w:r>
          </w:p>
        </w:tc>
        <w:tc>
          <w:tcPr>
            <w:tcW w:w="2276" w:type="dxa"/>
            <w:vAlign w:val="top"/>
            <w:vMerge w:val="continue"/>
            <w:tcBorders>
              <w:top w:val="nil"/>
            </w:tcBorders>
          </w:tcPr>
          <w:p>
            <w:pPr>
              <w:rPr>
                <w:rFonts w:ascii="Arial"/>
                <w:sz w:val="21"/>
              </w:rPr>
            </w:pPr>
            <w:r/>
          </w:p>
        </w:tc>
        <w:tc>
          <w:tcPr>
            <w:tcW w:w="2291" w:type="dxa"/>
            <w:vAlign w:val="top"/>
          </w:tcPr>
          <w:p>
            <w:pPr>
              <w:pStyle w:val="TableText"/>
              <w:ind w:left="489"/>
              <w:spacing w:before="33" w:line="214" w:lineRule="auto"/>
              <w:rPr>
                <w:rFonts w:ascii="SimSun" w:hAnsi="SimSun" w:eastAsia="SimSun" w:cs="SimSun"/>
              </w:rPr>
            </w:pPr>
            <w:r>
              <w:rPr>
                <w:spacing w:val="5"/>
              </w:rPr>
              <w:t>0.05</w:t>
            </w:r>
            <w:r>
              <w:rPr/>
              <w:t>km</w:t>
            </w:r>
            <w:r>
              <w:rPr>
                <w:spacing w:val="18"/>
                <w:w w:val="101"/>
              </w:rPr>
              <w:t xml:space="preserve"> </w:t>
            </w:r>
            <w:r>
              <w:rPr>
                <w:rFonts w:ascii="SimSun" w:hAnsi="SimSun" w:eastAsia="SimSun" w:cs="SimSun"/>
                <w:spacing w:val="5"/>
              </w:rPr>
              <w:t>范围内</w:t>
            </w:r>
          </w:p>
        </w:tc>
      </w:tr>
      <w:tr>
        <w:trPr>
          <w:trHeight w:val="553" w:hRule="atLeast"/>
        </w:trPr>
        <w:tc>
          <w:tcPr>
            <w:tcW w:w="9129" w:type="dxa"/>
            <w:vAlign w:val="top"/>
            <w:gridSpan w:val="4"/>
          </w:tcPr>
          <w:p>
            <w:pPr>
              <w:pStyle w:val="TableText"/>
              <w:ind w:left="511"/>
              <w:spacing w:before="33" w:line="228" w:lineRule="auto"/>
              <w:rPr>
                <w:rFonts w:ascii="SimSun" w:hAnsi="SimSun" w:eastAsia="SimSun" w:cs="SimSun"/>
              </w:rPr>
            </w:pPr>
            <w:r>
              <w:rPr>
                <w:rFonts w:ascii="SimSun" w:hAnsi="SimSun" w:eastAsia="SimSun" w:cs="SimSun"/>
                <w:spacing w:val="9"/>
              </w:rPr>
              <w:t>注：</w:t>
            </w:r>
            <w:r>
              <w:rPr>
                <w:spacing w:val="9"/>
              </w:rPr>
              <w:t>a</w:t>
            </w:r>
            <w:r>
              <w:rPr>
                <w:spacing w:val="16"/>
                <w:w w:val="101"/>
              </w:rPr>
              <w:t xml:space="preserve"> </w:t>
            </w:r>
            <w:r>
              <w:rPr>
                <w:rFonts w:ascii="SimSun" w:hAnsi="SimSun" w:eastAsia="SimSun" w:cs="SimSun"/>
                <w:spacing w:val="9"/>
              </w:rPr>
              <w:t>涉及大气沉降途径影响的，可根据主导风向下风向的最大落地浓度点适当调整。</w:t>
            </w:r>
          </w:p>
          <w:p>
            <w:pPr>
              <w:pStyle w:val="TableText"/>
              <w:ind w:left="971"/>
              <w:spacing w:before="26" w:line="218" w:lineRule="auto"/>
              <w:rPr>
                <w:rFonts w:ascii="SimSun" w:hAnsi="SimSun" w:eastAsia="SimSun" w:cs="SimSun"/>
              </w:rPr>
            </w:pPr>
            <w:r>
              <w:rPr>
                <w:spacing w:val="9"/>
              </w:rPr>
              <w:t>b </w:t>
            </w:r>
            <w:r>
              <w:rPr>
                <w:rFonts w:ascii="SimSun" w:hAnsi="SimSun" w:eastAsia="SimSun" w:cs="SimSun"/>
                <w:spacing w:val="9"/>
              </w:rPr>
              <w:t>矿山类项目指开采区与各场地的占地；改、改建类的指现有工程与拟建工程的占地。</w:t>
            </w:r>
          </w:p>
        </w:tc>
      </w:tr>
    </w:tbl>
    <w:p>
      <w:pPr>
        <w:ind w:left="55" w:right="21" w:firstLine="477"/>
        <w:spacing w:before="148" w:line="340" w:lineRule="auto"/>
        <w:rPr>
          <w:rFonts w:ascii="SimSun" w:hAnsi="SimSun" w:eastAsia="SimSun" w:cs="SimSun"/>
          <w:sz w:val="24"/>
          <w:szCs w:val="24"/>
        </w:rPr>
      </w:pPr>
      <w:r>
        <w:rPr>
          <w:rFonts w:ascii="SimSun" w:hAnsi="SimSun" w:eastAsia="SimSun" w:cs="SimSun"/>
          <w:sz w:val="24"/>
          <w:szCs w:val="24"/>
          <w:spacing w:val="-2"/>
        </w:rPr>
        <w:t>综上所述，确定本项目生态影响型土壤环境调查评价范围为矿田范围内全部及占地</w:t>
      </w:r>
      <w:r>
        <w:rPr>
          <w:rFonts w:ascii="SimSun" w:hAnsi="SimSun" w:eastAsia="SimSun" w:cs="SimSun"/>
          <w:sz w:val="24"/>
          <w:szCs w:val="24"/>
          <w:spacing w:val="-5"/>
        </w:rPr>
        <w:t>范围外延</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2km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的范围。</w:t>
      </w:r>
    </w:p>
    <w:p>
      <w:pPr>
        <w:ind w:left="526"/>
        <w:spacing w:before="27"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2.5.6.2 </w:t>
      </w:r>
      <w:r>
        <w:rPr>
          <w:rFonts w:ascii="SimHei" w:hAnsi="SimHei" w:eastAsia="SimHei" w:cs="SimHei"/>
          <w:sz w:val="24"/>
          <w:szCs w:val="24"/>
          <w:b/>
          <w:bCs/>
          <w:spacing w:val="-2"/>
        </w:rPr>
        <w:t>污染影响型土壤环境评价等级与评价范围</w:t>
      </w:r>
    </w:p>
    <w:p>
      <w:pPr>
        <w:ind w:left="548"/>
        <w:spacing w:before="162" w:line="219"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、土壤环境影响类型</w:t>
      </w:r>
    </w:p>
    <w:p>
      <w:pPr>
        <w:ind w:left="49" w:right="21" w:firstLine="481"/>
        <w:spacing w:before="156" w:line="338" w:lineRule="auto"/>
        <w:rPr>
          <w:rFonts w:ascii="SimSun" w:hAnsi="SimSun" w:eastAsia="SimSun" w:cs="SimSun"/>
          <w:sz w:val="24"/>
          <w:szCs w:val="24"/>
        </w:rPr>
      </w:pPr>
      <w:r>
        <w:rPr>
          <w:rFonts w:ascii="SimSun" w:hAnsi="SimSun" w:eastAsia="SimSun" w:cs="SimSun"/>
          <w:sz w:val="24"/>
          <w:szCs w:val="24"/>
          <w:spacing w:val="-2"/>
        </w:rPr>
        <w:t>本项目工业场地包含办公生活区（含污水处理站）、机修厂和设备堆存区、危废暂</w:t>
      </w:r>
      <w:r>
        <w:rPr>
          <w:rFonts w:ascii="SimSun" w:hAnsi="SimSun" w:eastAsia="SimSun" w:cs="SimSun"/>
          <w:sz w:val="24"/>
          <w:szCs w:val="24"/>
          <w:spacing w:val="-2"/>
        </w:rPr>
        <w:t>存间等，这些区域污水通过跑冒滴漏或者淋溶液形式可能进入土壤，因此，工业场地属</w:t>
      </w:r>
      <w:r>
        <w:rPr>
          <w:rFonts w:ascii="SimSun" w:hAnsi="SimSun" w:eastAsia="SimSun" w:cs="SimSun"/>
          <w:sz w:val="24"/>
          <w:szCs w:val="24"/>
          <w:spacing w:val="-1"/>
        </w:rPr>
        <w:t>于</w:t>
      </w:r>
      <w:r>
        <w:rPr>
          <w:rFonts w:ascii="Times New Roman" w:hAnsi="Times New Roman" w:eastAsia="Times New Roman" w:cs="Times New Roman"/>
          <w:sz w:val="24"/>
          <w:szCs w:val="24"/>
          <w:spacing w:val="-1"/>
        </w:rPr>
        <w:t>“</w:t>
      </w:r>
      <w:r>
        <w:rPr>
          <w:rFonts w:ascii="SimSun" w:hAnsi="SimSun" w:eastAsia="SimSun" w:cs="SimSun"/>
          <w:sz w:val="24"/>
          <w:szCs w:val="24"/>
          <w:spacing w:val="-1"/>
        </w:rPr>
        <w:t>污染影响型</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54" w:right="21" w:firstLine="505"/>
        <w:spacing w:before="2" w:line="338" w:lineRule="auto"/>
        <w:rPr>
          <w:rFonts w:ascii="SimSun" w:hAnsi="SimSun" w:eastAsia="SimSun" w:cs="SimSun"/>
          <w:sz w:val="24"/>
          <w:szCs w:val="24"/>
        </w:rPr>
      </w:pPr>
      <w:r>
        <w:rPr>
          <w:rFonts w:ascii="SimSun" w:hAnsi="SimSun" w:eastAsia="SimSun" w:cs="SimSun"/>
          <w:sz w:val="24"/>
          <w:szCs w:val="24"/>
          <w:spacing w:val="-5"/>
        </w:rPr>
        <w:t>内排土场由剥离物重构形成，淋溶液对土壤有污染影响，因此，</w:t>
      </w:r>
      <w:r>
        <w:rPr>
          <w:rFonts w:ascii="SimSun" w:hAnsi="SimSun" w:eastAsia="SimSun" w:cs="SimSun"/>
          <w:sz w:val="24"/>
          <w:szCs w:val="24"/>
          <w:spacing w:val="-6"/>
        </w:rPr>
        <w:t>内排土场也属于</w:t>
      </w:r>
      <w:r>
        <w:rPr>
          <w:rFonts w:ascii="Times New Roman" w:hAnsi="Times New Roman" w:eastAsia="Times New Roman" w:cs="Times New Roman"/>
          <w:sz w:val="24"/>
          <w:szCs w:val="24"/>
          <w:spacing w:val="-6"/>
        </w:rPr>
        <w:t>“</w:t>
      </w:r>
      <w:r>
        <w:rPr>
          <w:rFonts w:ascii="SimSun" w:hAnsi="SimSun" w:eastAsia="SimSun" w:cs="SimSun"/>
          <w:sz w:val="24"/>
          <w:szCs w:val="24"/>
          <w:spacing w:val="-6"/>
        </w:rPr>
        <w:t>污</w:t>
      </w:r>
      <w:r>
        <w:rPr>
          <w:rFonts w:ascii="SimSun" w:hAnsi="SimSun" w:eastAsia="SimSun" w:cs="SimSun"/>
          <w:sz w:val="24"/>
          <w:szCs w:val="24"/>
          <w:spacing w:val="-3"/>
        </w:rPr>
        <w:t>染影响型</w:t>
      </w:r>
      <w:r>
        <w:rPr>
          <w:rFonts w:ascii="Times New Roman" w:hAnsi="Times New Roman" w:eastAsia="Times New Roman" w:cs="Times New Roman"/>
          <w:sz w:val="24"/>
          <w:szCs w:val="24"/>
          <w:spacing w:val="-3"/>
        </w:rPr>
        <w:t>”</w:t>
      </w:r>
      <w:r>
        <w:rPr>
          <w:rFonts w:ascii="SimSun" w:hAnsi="SimSun" w:eastAsia="SimSun" w:cs="SimSun"/>
          <w:sz w:val="24"/>
          <w:szCs w:val="24"/>
          <w:spacing w:val="-3"/>
        </w:rPr>
        <w:t>。</w:t>
      </w:r>
    </w:p>
    <w:p>
      <w:pPr>
        <w:ind w:left="52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、土壤环境敏感程度</w:t>
      </w:r>
    </w:p>
    <w:p>
      <w:pPr>
        <w:ind w:left="533"/>
        <w:spacing w:before="154" w:line="219" w:lineRule="auto"/>
        <w:rPr>
          <w:rFonts w:ascii="SimSun" w:hAnsi="SimSun" w:eastAsia="SimSun" w:cs="SimSun"/>
          <w:sz w:val="24"/>
          <w:szCs w:val="24"/>
        </w:rPr>
      </w:pPr>
      <w:r>
        <w:rPr>
          <w:rFonts w:ascii="SimSun" w:hAnsi="SimSun" w:eastAsia="SimSun" w:cs="SimSun"/>
          <w:sz w:val="24"/>
          <w:szCs w:val="24"/>
          <w:spacing w:val="-1"/>
        </w:rPr>
        <w:t>建设项目所在地周边的土壤环境敏感程度判别依据见表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2-5-12</w:t>
      </w:r>
      <w:r>
        <w:rPr>
          <w:rFonts w:ascii="SimSun" w:hAnsi="SimSun" w:eastAsia="SimSun" w:cs="SimSun"/>
          <w:sz w:val="24"/>
          <w:szCs w:val="24"/>
          <w:spacing w:val="-1"/>
        </w:rPr>
        <w:t>。</w:t>
      </w:r>
    </w:p>
    <w:p>
      <w:pPr>
        <w:spacing w:line="219" w:lineRule="auto"/>
        <w:sectPr>
          <w:headerReference w:type="default" r:id="rId65"/>
          <w:footerReference w:type="default" r:id="rId66"/>
          <w:pgSz w:w="11906" w:h="16838"/>
          <w:pgMar w:top="1170" w:right="1395" w:bottom="1080" w:left="1375" w:header="837" w:footer="918" w:gutter="0"/>
        </w:sectPr>
        <w:rPr>
          <w:rFonts w:ascii="SimSun" w:hAnsi="SimSun" w:eastAsia="SimSun" w:cs="SimSun"/>
          <w:sz w:val="24"/>
          <w:szCs w:val="24"/>
        </w:rPr>
      </w:pPr>
    </w:p>
    <w:p>
      <w:pPr>
        <w:pStyle w:val="BodyText"/>
        <w:spacing w:line="441" w:lineRule="auto"/>
        <w:rPr/>
      </w:pPr>
      <w:r/>
    </w:p>
    <w:p>
      <w:pPr>
        <w:ind w:left="3141"/>
        <w:spacing w:before="78" w:line="221" w:lineRule="auto"/>
        <w:rPr>
          <w:rFonts w:ascii="SimHei" w:hAnsi="SimHei" w:eastAsia="SimHei" w:cs="SimHei"/>
          <w:sz w:val="24"/>
          <w:szCs w:val="24"/>
        </w:rPr>
      </w:pPr>
      <w:r>
        <w:rPr>
          <w:rFonts w:ascii="SimHei" w:hAnsi="SimHei" w:eastAsia="SimHei" w:cs="SimHei"/>
          <w:sz w:val="24"/>
          <w:szCs w:val="24"/>
          <w:spacing w:val="-2"/>
        </w:rPr>
        <w:t>污染影响型敏感程度分级表</w:t>
      </w:r>
    </w:p>
    <w:p>
      <w:pPr>
        <w:ind w:left="38"/>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2-5-12</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88"/>
        <w:gridCol w:w="7843"/>
      </w:tblGrid>
      <w:tr>
        <w:trPr>
          <w:trHeight w:val="282" w:hRule="atLeast"/>
        </w:trPr>
        <w:tc>
          <w:tcPr>
            <w:tcW w:w="1288" w:type="dxa"/>
            <w:vAlign w:val="top"/>
          </w:tcPr>
          <w:p>
            <w:pPr>
              <w:ind w:left="227"/>
              <w:spacing w:before="33" w:line="220" w:lineRule="auto"/>
              <w:rPr>
                <w:rFonts w:ascii="SimSun" w:hAnsi="SimSun" w:eastAsia="SimSun" w:cs="SimSun"/>
                <w:sz w:val="20"/>
                <w:szCs w:val="20"/>
              </w:rPr>
            </w:pPr>
            <w:r>
              <w:rPr>
                <w:rFonts w:ascii="SimSun" w:hAnsi="SimSun" w:eastAsia="SimSun" w:cs="SimSun"/>
                <w:sz w:val="20"/>
                <w:szCs w:val="20"/>
                <w:spacing w:val="7"/>
              </w:rPr>
              <w:t>敏感程度</w:t>
            </w:r>
          </w:p>
        </w:tc>
        <w:tc>
          <w:tcPr>
            <w:tcW w:w="7843" w:type="dxa"/>
            <w:vAlign w:val="top"/>
          </w:tcPr>
          <w:p>
            <w:pPr>
              <w:ind w:left="3503"/>
              <w:spacing w:before="33" w:line="220" w:lineRule="auto"/>
              <w:rPr>
                <w:rFonts w:ascii="SimSun" w:hAnsi="SimSun" w:eastAsia="SimSun" w:cs="SimSun"/>
                <w:sz w:val="20"/>
                <w:szCs w:val="20"/>
              </w:rPr>
            </w:pPr>
            <w:r>
              <w:rPr>
                <w:rFonts w:ascii="SimSun" w:hAnsi="SimSun" w:eastAsia="SimSun" w:cs="SimSun"/>
                <w:sz w:val="20"/>
                <w:szCs w:val="20"/>
                <w:spacing w:val="7"/>
              </w:rPr>
              <w:t>判别依据</w:t>
            </w:r>
          </w:p>
        </w:tc>
      </w:tr>
      <w:tr>
        <w:trPr>
          <w:trHeight w:val="545" w:hRule="atLeast"/>
        </w:trPr>
        <w:tc>
          <w:tcPr>
            <w:tcW w:w="1288" w:type="dxa"/>
            <w:vAlign w:val="top"/>
          </w:tcPr>
          <w:p>
            <w:pPr>
              <w:ind w:left="438"/>
              <w:spacing w:before="164" w:line="228" w:lineRule="auto"/>
              <w:rPr>
                <w:rFonts w:ascii="SimSun" w:hAnsi="SimSun" w:eastAsia="SimSun" w:cs="SimSun"/>
                <w:sz w:val="20"/>
                <w:szCs w:val="20"/>
              </w:rPr>
            </w:pPr>
            <w:r>
              <w:rPr>
                <w:rFonts w:ascii="SimSun" w:hAnsi="SimSun" w:eastAsia="SimSun" w:cs="SimSun"/>
                <w:sz w:val="20"/>
                <w:szCs w:val="20"/>
                <w:b/>
                <w:bCs/>
                <w:spacing w:val="2"/>
              </w:rPr>
              <w:t>敏感</w:t>
            </w:r>
          </w:p>
        </w:tc>
        <w:tc>
          <w:tcPr>
            <w:tcW w:w="7843" w:type="dxa"/>
            <w:vAlign w:val="top"/>
          </w:tcPr>
          <w:p>
            <w:pPr>
              <w:ind w:left="32"/>
              <w:spacing w:before="27" w:line="227" w:lineRule="auto"/>
              <w:rPr>
                <w:rFonts w:ascii="SimSun" w:hAnsi="SimSun" w:eastAsia="SimSun" w:cs="SimSun"/>
                <w:sz w:val="20"/>
                <w:szCs w:val="20"/>
              </w:rPr>
            </w:pPr>
            <w:r>
              <w:rPr>
                <w:rFonts w:ascii="SimSun" w:hAnsi="SimSun" w:eastAsia="SimSun" w:cs="SimSun"/>
                <w:sz w:val="20"/>
                <w:szCs w:val="20"/>
                <w:b/>
                <w:bCs/>
                <w:spacing w:val="8"/>
              </w:rPr>
              <w:t>建设项目周边存在耕地、园地、牧草地、饮用水水源地或居民区、学校、疗养院、养</w:t>
            </w:r>
          </w:p>
          <w:p>
            <w:pPr>
              <w:ind w:left="2452"/>
              <w:spacing w:before="27" w:line="216" w:lineRule="auto"/>
              <w:rPr>
                <w:rFonts w:ascii="SimSun" w:hAnsi="SimSun" w:eastAsia="SimSun" w:cs="SimSun"/>
                <w:sz w:val="20"/>
                <w:szCs w:val="20"/>
              </w:rPr>
            </w:pPr>
            <w:r>
              <w:rPr>
                <w:rFonts w:ascii="SimSun" w:hAnsi="SimSun" w:eastAsia="SimSun" w:cs="SimSun"/>
                <w:sz w:val="20"/>
                <w:szCs w:val="20"/>
                <w:b/>
                <w:bCs/>
                <w:spacing w:val="7"/>
              </w:rPr>
              <w:t>老院、医院等土壤环境敏感目标</w:t>
            </w:r>
          </w:p>
        </w:tc>
      </w:tr>
      <w:tr>
        <w:trPr>
          <w:trHeight w:val="277" w:hRule="atLeast"/>
        </w:trPr>
        <w:tc>
          <w:tcPr>
            <w:tcW w:w="1288" w:type="dxa"/>
            <w:vAlign w:val="top"/>
          </w:tcPr>
          <w:p>
            <w:pPr>
              <w:ind w:left="334"/>
              <w:spacing w:before="34" w:line="215" w:lineRule="auto"/>
              <w:rPr>
                <w:rFonts w:ascii="SimSun" w:hAnsi="SimSun" w:eastAsia="SimSun" w:cs="SimSun"/>
                <w:sz w:val="20"/>
                <w:szCs w:val="20"/>
              </w:rPr>
            </w:pPr>
            <w:r>
              <w:rPr>
                <w:rFonts w:ascii="SimSun" w:hAnsi="SimSun" w:eastAsia="SimSun" w:cs="SimSun"/>
                <w:sz w:val="20"/>
                <w:szCs w:val="20"/>
                <w:spacing w:val="6"/>
              </w:rPr>
              <w:t>较敏感</w:t>
            </w:r>
          </w:p>
        </w:tc>
        <w:tc>
          <w:tcPr>
            <w:tcW w:w="7843" w:type="dxa"/>
            <w:vAlign w:val="top"/>
          </w:tcPr>
          <w:p>
            <w:pPr>
              <w:ind w:left="1928"/>
              <w:spacing w:before="34" w:line="215" w:lineRule="auto"/>
              <w:rPr>
                <w:rFonts w:ascii="SimSun" w:hAnsi="SimSun" w:eastAsia="SimSun" w:cs="SimSun"/>
                <w:sz w:val="20"/>
                <w:szCs w:val="20"/>
              </w:rPr>
            </w:pPr>
            <w:r>
              <w:rPr>
                <w:rFonts w:ascii="SimSun" w:hAnsi="SimSun" w:eastAsia="SimSun" w:cs="SimSun"/>
                <w:sz w:val="20"/>
                <w:szCs w:val="20"/>
                <w:spacing w:val="9"/>
              </w:rPr>
              <w:t>建设项目周边存在其他土壤环境敏感目标的</w:t>
            </w:r>
          </w:p>
        </w:tc>
      </w:tr>
      <w:tr>
        <w:trPr>
          <w:trHeight w:val="282" w:hRule="atLeast"/>
        </w:trPr>
        <w:tc>
          <w:tcPr>
            <w:tcW w:w="1288" w:type="dxa"/>
            <w:vAlign w:val="top"/>
          </w:tcPr>
          <w:p>
            <w:pPr>
              <w:ind w:left="337"/>
              <w:spacing w:before="33" w:line="220" w:lineRule="auto"/>
              <w:rPr>
                <w:rFonts w:ascii="SimSun" w:hAnsi="SimSun" w:eastAsia="SimSun" w:cs="SimSun"/>
                <w:sz w:val="20"/>
                <w:szCs w:val="20"/>
              </w:rPr>
            </w:pPr>
            <w:r>
              <w:rPr>
                <w:rFonts w:ascii="SimSun" w:hAnsi="SimSun" w:eastAsia="SimSun" w:cs="SimSun"/>
                <w:sz w:val="20"/>
                <w:szCs w:val="20"/>
                <w:spacing w:val="5"/>
              </w:rPr>
              <w:t>不敏感</w:t>
            </w:r>
          </w:p>
        </w:tc>
        <w:tc>
          <w:tcPr>
            <w:tcW w:w="7843" w:type="dxa"/>
            <w:vAlign w:val="top"/>
          </w:tcPr>
          <w:p>
            <w:pPr>
              <w:ind w:left="3503"/>
              <w:spacing w:before="33" w:line="220" w:lineRule="auto"/>
              <w:rPr>
                <w:rFonts w:ascii="SimSun" w:hAnsi="SimSun" w:eastAsia="SimSun" w:cs="SimSun"/>
                <w:sz w:val="20"/>
                <w:szCs w:val="20"/>
              </w:rPr>
            </w:pPr>
            <w:r>
              <w:rPr>
                <w:rFonts w:ascii="SimSun" w:hAnsi="SimSun" w:eastAsia="SimSun" w:cs="SimSun"/>
                <w:sz w:val="20"/>
                <w:szCs w:val="20"/>
                <w:spacing w:val="7"/>
              </w:rPr>
              <w:t>其他情况</w:t>
            </w:r>
          </w:p>
        </w:tc>
      </w:tr>
    </w:tbl>
    <w:p>
      <w:pPr>
        <w:ind w:left="40" w:right="66" w:firstLine="480"/>
        <w:spacing w:before="143" w:line="339" w:lineRule="auto"/>
        <w:rPr>
          <w:rFonts w:ascii="SimSun" w:hAnsi="SimSun" w:eastAsia="SimSun" w:cs="SimSun"/>
          <w:sz w:val="24"/>
          <w:szCs w:val="24"/>
        </w:rPr>
      </w:pPr>
      <w:r>
        <w:rPr>
          <w:rFonts w:ascii="SimSun" w:hAnsi="SimSun" w:eastAsia="SimSun" w:cs="SimSun"/>
          <w:sz w:val="24"/>
          <w:szCs w:val="24"/>
          <w:spacing w:val="-2"/>
        </w:rPr>
        <w:t>本项目工业场地位于矿区范围内，矿区范围内及周边均存在牧草地，因此项目区土</w:t>
      </w:r>
      <w:r>
        <w:rPr>
          <w:rFonts w:ascii="SimSun" w:hAnsi="SimSun" w:eastAsia="SimSun" w:cs="SimSun"/>
          <w:sz w:val="24"/>
          <w:szCs w:val="24"/>
          <w:spacing w:val="-1"/>
        </w:rPr>
        <w:t>壤敏感程度为</w:t>
      </w:r>
      <w:r>
        <w:rPr>
          <w:rFonts w:ascii="Times New Roman" w:hAnsi="Times New Roman" w:eastAsia="Times New Roman" w:cs="Times New Roman"/>
          <w:sz w:val="24"/>
          <w:szCs w:val="24"/>
          <w:spacing w:val="-1"/>
        </w:rPr>
        <w:t>“</w:t>
      </w:r>
      <w:r>
        <w:rPr>
          <w:rFonts w:ascii="SimSun" w:hAnsi="SimSun" w:eastAsia="SimSun" w:cs="SimSun"/>
          <w:sz w:val="24"/>
          <w:szCs w:val="24"/>
          <w:spacing w:val="-1"/>
        </w:rPr>
        <w:t>敏感</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521"/>
        <w:spacing w:line="219" w:lineRule="auto"/>
        <w:rPr>
          <w:rFonts w:ascii="SimSun" w:hAnsi="SimSun" w:eastAsia="SimSun" w:cs="SimSun"/>
          <w:sz w:val="24"/>
          <w:szCs w:val="24"/>
        </w:rPr>
      </w:pPr>
      <w:r>
        <w:rPr>
          <w:rFonts w:ascii="Times New Roman" w:hAnsi="Times New Roman" w:eastAsia="Times New Roman" w:cs="Times New Roman"/>
          <w:sz w:val="24"/>
          <w:szCs w:val="24"/>
          <w:spacing w:val="-15"/>
        </w:rPr>
        <w:t>3</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5"/>
        </w:rPr>
        <w:t>、</w:t>
      </w:r>
      <w:r>
        <w:rPr>
          <w:rFonts w:ascii="SimSun" w:hAnsi="SimSun" w:eastAsia="SimSun" w:cs="SimSun"/>
          <w:sz w:val="24"/>
          <w:szCs w:val="24"/>
          <w:spacing w:val="-71"/>
        </w:rPr>
        <w:t xml:space="preserve"> </w:t>
      </w:r>
      <w:r>
        <w:rPr>
          <w:rFonts w:ascii="SimSun" w:hAnsi="SimSun" w:eastAsia="SimSun" w:cs="SimSun"/>
          <w:sz w:val="24"/>
          <w:szCs w:val="24"/>
          <w:spacing w:val="-15"/>
        </w:rPr>
        <w:t>占地规模</w:t>
      </w:r>
    </w:p>
    <w:p>
      <w:pPr>
        <w:ind w:left="521"/>
        <w:spacing w:before="153" w:line="219" w:lineRule="auto"/>
        <w:rPr>
          <w:rFonts w:ascii="SimSun" w:hAnsi="SimSun" w:eastAsia="SimSun" w:cs="SimSun"/>
          <w:sz w:val="24"/>
          <w:szCs w:val="24"/>
        </w:rPr>
      </w:pPr>
      <w:r>
        <w:rPr>
          <w:rFonts w:ascii="SimSun" w:hAnsi="SimSun" w:eastAsia="SimSun" w:cs="SimSun"/>
          <w:sz w:val="24"/>
          <w:szCs w:val="24"/>
          <w:spacing w:val="-3"/>
        </w:rPr>
        <w:t>本项目工业场地占地面积为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26.01hm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3"/>
        </w:rPr>
        <w:t>，</w:t>
      </w:r>
      <w:r>
        <w:rPr>
          <w:rFonts w:ascii="SimSun" w:hAnsi="SimSun" w:eastAsia="SimSun" w:cs="SimSun"/>
          <w:sz w:val="24"/>
          <w:szCs w:val="24"/>
          <w:spacing w:val="-72"/>
        </w:rPr>
        <w:t xml:space="preserve"> </w:t>
      </w:r>
      <w:r>
        <w:rPr>
          <w:rFonts w:ascii="SimSun" w:hAnsi="SimSun" w:eastAsia="SimSun" w:cs="SimSun"/>
          <w:sz w:val="24"/>
          <w:szCs w:val="24"/>
          <w:spacing w:val="-3"/>
        </w:rPr>
        <w:t>占地规模属于中型。</w:t>
      </w:r>
    </w:p>
    <w:p>
      <w:pPr>
        <w:ind w:left="515"/>
        <w:spacing w:before="155" w:line="218" w:lineRule="auto"/>
        <w:rPr>
          <w:rFonts w:ascii="SimSun" w:hAnsi="SimSun" w:eastAsia="SimSun" w:cs="SimSun"/>
          <w:sz w:val="24"/>
          <w:szCs w:val="24"/>
        </w:rPr>
      </w:pPr>
      <w:r>
        <w:rPr>
          <w:rFonts w:ascii="Times New Roman" w:hAnsi="Times New Roman" w:eastAsia="Times New Roman" w:cs="Times New Roman"/>
          <w:sz w:val="24"/>
          <w:szCs w:val="24"/>
          <w:spacing w:val="-5"/>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、评价等级</w:t>
      </w:r>
    </w:p>
    <w:p>
      <w:pPr>
        <w:ind w:left="523"/>
        <w:spacing w:before="158" w:line="218" w:lineRule="auto"/>
        <w:rPr>
          <w:rFonts w:ascii="SimSun" w:hAnsi="SimSun" w:eastAsia="SimSun" w:cs="SimSun"/>
          <w:sz w:val="24"/>
          <w:szCs w:val="24"/>
        </w:rPr>
      </w:pPr>
      <w:r>
        <w:rPr>
          <w:rFonts w:ascii="SimSun" w:hAnsi="SimSun" w:eastAsia="SimSun" w:cs="SimSun"/>
          <w:sz w:val="24"/>
          <w:szCs w:val="24"/>
          <w:spacing w:val="-1"/>
        </w:rPr>
        <w:t>建设项目土壤评价工作等级划分依据分别见表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2-5-13</w:t>
      </w:r>
      <w:r>
        <w:rPr>
          <w:rFonts w:ascii="SimSun" w:hAnsi="SimSun" w:eastAsia="SimSun" w:cs="SimSun"/>
          <w:sz w:val="24"/>
          <w:szCs w:val="24"/>
          <w:spacing w:val="-1"/>
        </w:rPr>
        <w:t>。</w:t>
      </w:r>
    </w:p>
    <w:p>
      <w:pPr>
        <w:ind w:left="2901"/>
        <w:spacing w:before="283" w:line="221" w:lineRule="auto"/>
        <w:rPr>
          <w:rFonts w:ascii="SimHei" w:hAnsi="SimHei" w:eastAsia="SimHei" w:cs="SimHei"/>
          <w:sz w:val="24"/>
          <w:szCs w:val="24"/>
        </w:rPr>
      </w:pPr>
      <w:r>
        <w:rPr>
          <w:rFonts w:ascii="SimHei" w:hAnsi="SimHei" w:eastAsia="SimHei" w:cs="SimHei"/>
          <w:sz w:val="24"/>
          <w:szCs w:val="24"/>
          <w:spacing w:val="-2"/>
        </w:rPr>
        <w:t>污染影响型评价工作等级划分表</w:t>
      </w:r>
    </w:p>
    <w:p>
      <w:pPr>
        <w:ind w:left="38"/>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2-5-13</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11"/>
        <w:gridCol w:w="736"/>
        <w:gridCol w:w="739"/>
        <w:gridCol w:w="887"/>
        <w:gridCol w:w="890"/>
        <w:gridCol w:w="739"/>
        <w:gridCol w:w="739"/>
        <w:gridCol w:w="739"/>
        <w:gridCol w:w="739"/>
        <w:gridCol w:w="712"/>
      </w:tblGrid>
      <w:tr>
        <w:trPr>
          <w:trHeight w:val="291" w:hRule="atLeast"/>
        </w:trPr>
        <w:tc>
          <w:tcPr>
            <w:tcW w:w="2211" w:type="dxa"/>
            <w:vAlign w:val="top"/>
            <w:vMerge w:val="restart"/>
            <w:tcBorders>
              <w:bottom w:val="nil"/>
            </w:tcBorders>
          </w:tcPr>
          <w:p>
            <w:pPr>
              <w:ind w:left="692" w:right="473" w:hanging="210"/>
              <w:spacing w:before="50" w:line="241" w:lineRule="auto"/>
              <w:rPr>
                <w:rFonts w:ascii="SimSun" w:hAnsi="SimSun" w:eastAsia="SimSun" w:cs="SimSun"/>
                <w:sz w:val="20"/>
                <w:szCs w:val="20"/>
              </w:rPr>
            </w:pPr>
            <w:r>
              <w:rPr>
                <w:rFonts w:ascii="SimSun" w:hAnsi="SimSun" w:eastAsia="SimSun" w:cs="SimSun"/>
                <w:sz w:val="20"/>
                <w:szCs w:val="20"/>
                <w:spacing w:val="8"/>
              </w:rPr>
              <w:t>评级工作等级</w:t>
            </w:r>
            <w:r>
              <w:rPr>
                <w:rFonts w:ascii="SimSun" w:hAnsi="SimSun" w:eastAsia="SimSun" w:cs="SimSun"/>
                <w:sz w:val="20"/>
                <w:szCs w:val="20"/>
                <w:spacing w:val="7"/>
              </w:rPr>
              <w:t>敏感程度</w:t>
            </w:r>
          </w:p>
        </w:tc>
        <w:tc>
          <w:tcPr>
            <w:tcW w:w="2362" w:type="dxa"/>
            <w:vAlign w:val="top"/>
            <w:gridSpan w:val="3"/>
          </w:tcPr>
          <w:p>
            <w:pPr>
              <w:pStyle w:val="TableText"/>
              <w:ind w:left="1017"/>
              <w:spacing w:before="41" w:line="221" w:lineRule="auto"/>
              <w:rPr>
                <w:rFonts w:ascii="SimSun" w:hAnsi="SimSun" w:eastAsia="SimSun" w:cs="SimSun"/>
              </w:rPr>
            </w:pPr>
            <w:r>
              <w:rPr>
                <w:spacing w:val="-1"/>
              </w:rPr>
              <w:t>I</w:t>
            </w:r>
            <w:r>
              <w:rPr>
                <w:spacing w:val="10"/>
              </w:rPr>
              <w:t xml:space="preserve"> </w:t>
            </w:r>
            <w:r>
              <w:rPr>
                <w:rFonts w:ascii="SimSun" w:hAnsi="SimSun" w:eastAsia="SimSun" w:cs="SimSun"/>
                <w:spacing w:val="-1"/>
              </w:rPr>
              <w:t>类</w:t>
            </w:r>
          </w:p>
        </w:tc>
        <w:tc>
          <w:tcPr>
            <w:tcW w:w="2368" w:type="dxa"/>
            <w:vAlign w:val="top"/>
            <w:gridSpan w:val="3"/>
          </w:tcPr>
          <w:p>
            <w:pPr>
              <w:pStyle w:val="TableText"/>
              <w:ind w:left="988"/>
              <w:spacing w:before="41" w:line="221" w:lineRule="auto"/>
              <w:rPr>
                <w:rFonts w:ascii="SimSun" w:hAnsi="SimSun" w:eastAsia="SimSun" w:cs="SimSun"/>
              </w:rPr>
            </w:pPr>
            <w:r>
              <w:rPr>
                <w:spacing w:val="-1"/>
              </w:rPr>
              <w:t>II</w:t>
            </w:r>
            <w:r>
              <w:rPr>
                <w:spacing w:val="14"/>
                <w:w w:val="101"/>
              </w:rPr>
              <w:t xml:space="preserve"> </w:t>
            </w:r>
            <w:r>
              <w:rPr>
                <w:rFonts w:ascii="SimSun" w:hAnsi="SimSun" w:eastAsia="SimSun" w:cs="SimSun"/>
                <w:spacing w:val="-1"/>
              </w:rPr>
              <w:t>类</w:t>
            </w:r>
          </w:p>
        </w:tc>
        <w:tc>
          <w:tcPr>
            <w:tcW w:w="2190" w:type="dxa"/>
            <w:vAlign w:val="top"/>
            <w:gridSpan w:val="3"/>
          </w:tcPr>
          <w:p>
            <w:pPr>
              <w:pStyle w:val="TableText"/>
              <w:ind w:left="861"/>
              <w:spacing w:before="41" w:line="221" w:lineRule="auto"/>
              <w:rPr>
                <w:rFonts w:ascii="SimSun" w:hAnsi="SimSun" w:eastAsia="SimSun" w:cs="SimSun"/>
              </w:rPr>
            </w:pPr>
            <w:r>
              <w:rPr/>
              <w:t>III</w:t>
            </w:r>
            <w:r>
              <w:rPr>
                <w:spacing w:val="10"/>
              </w:rPr>
              <w:t xml:space="preserve"> </w:t>
            </w:r>
            <w:r>
              <w:rPr>
                <w:rFonts w:ascii="SimSun" w:hAnsi="SimSun" w:eastAsia="SimSun" w:cs="SimSun"/>
                <w:spacing w:val="4"/>
              </w:rPr>
              <w:t>类</w:t>
            </w:r>
          </w:p>
        </w:tc>
      </w:tr>
      <w:tr>
        <w:trPr>
          <w:trHeight w:val="287" w:hRule="atLeast"/>
        </w:trPr>
        <w:tc>
          <w:tcPr>
            <w:tcW w:w="2211" w:type="dxa"/>
            <w:vAlign w:val="top"/>
            <w:vMerge w:val="continue"/>
            <w:tcBorders>
              <w:top w:val="nil"/>
            </w:tcBorders>
          </w:tcPr>
          <w:p>
            <w:pPr>
              <w:rPr>
                <w:rFonts w:ascii="Arial"/>
                <w:sz w:val="21"/>
              </w:rPr>
            </w:pPr>
            <w:r/>
          </w:p>
        </w:tc>
        <w:tc>
          <w:tcPr>
            <w:tcW w:w="736" w:type="dxa"/>
            <w:vAlign w:val="top"/>
          </w:tcPr>
          <w:p>
            <w:pPr>
              <w:ind w:left="271"/>
              <w:spacing w:before="37" w:line="221" w:lineRule="auto"/>
              <w:rPr>
                <w:rFonts w:ascii="SimSun" w:hAnsi="SimSun" w:eastAsia="SimSun" w:cs="SimSun"/>
                <w:sz w:val="20"/>
                <w:szCs w:val="20"/>
              </w:rPr>
            </w:pPr>
            <w:r>
              <w:rPr>
                <w:rFonts w:ascii="SimSun" w:hAnsi="SimSun" w:eastAsia="SimSun" w:cs="SimSun"/>
                <w:sz w:val="20"/>
                <w:szCs w:val="20"/>
              </w:rPr>
              <w:t>大</w:t>
            </w:r>
          </w:p>
        </w:tc>
        <w:tc>
          <w:tcPr>
            <w:tcW w:w="739" w:type="dxa"/>
            <w:vAlign w:val="top"/>
          </w:tcPr>
          <w:p>
            <w:pPr>
              <w:ind w:left="286"/>
              <w:spacing w:before="37" w:line="221" w:lineRule="auto"/>
              <w:rPr>
                <w:rFonts w:ascii="SimSun" w:hAnsi="SimSun" w:eastAsia="SimSun" w:cs="SimSun"/>
                <w:sz w:val="20"/>
                <w:szCs w:val="20"/>
              </w:rPr>
            </w:pPr>
            <w:r>
              <w:rPr>
                <w:rFonts w:ascii="SimSun" w:hAnsi="SimSun" w:eastAsia="SimSun" w:cs="SimSun"/>
                <w:sz w:val="20"/>
                <w:szCs w:val="20"/>
              </w:rPr>
              <w:t>中</w:t>
            </w:r>
          </w:p>
        </w:tc>
        <w:tc>
          <w:tcPr>
            <w:tcW w:w="887" w:type="dxa"/>
            <w:vAlign w:val="top"/>
          </w:tcPr>
          <w:p>
            <w:pPr>
              <w:ind w:left="349"/>
              <w:spacing w:before="37" w:line="221" w:lineRule="auto"/>
              <w:rPr>
                <w:rFonts w:ascii="SimSun" w:hAnsi="SimSun" w:eastAsia="SimSun" w:cs="SimSun"/>
                <w:sz w:val="20"/>
                <w:szCs w:val="20"/>
              </w:rPr>
            </w:pPr>
            <w:r>
              <w:rPr>
                <w:rFonts w:ascii="SimSun" w:hAnsi="SimSun" w:eastAsia="SimSun" w:cs="SimSun"/>
                <w:sz w:val="20"/>
                <w:szCs w:val="20"/>
              </w:rPr>
              <w:t>小</w:t>
            </w:r>
          </w:p>
        </w:tc>
        <w:tc>
          <w:tcPr>
            <w:tcW w:w="890" w:type="dxa"/>
            <w:vAlign w:val="top"/>
          </w:tcPr>
          <w:p>
            <w:pPr>
              <w:ind w:left="347"/>
              <w:spacing w:before="37" w:line="221" w:lineRule="auto"/>
              <w:rPr>
                <w:rFonts w:ascii="SimSun" w:hAnsi="SimSun" w:eastAsia="SimSun" w:cs="SimSun"/>
                <w:sz w:val="20"/>
                <w:szCs w:val="20"/>
              </w:rPr>
            </w:pPr>
            <w:r>
              <w:rPr>
                <w:rFonts w:ascii="SimSun" w:hAnsi="SimSun" w:eastAsia="SimSun" w:cs="SimSun"/>
                <w:sz w:val="20"/>
                <w:szCs w:val="20"/>
              </w:rPr>
              <w:t>大</w:t>
            </w:r>
          </w:p>
        </w:tc>
        <w:tc>
          <w:tcPr>
            <w:tcW w:w="739" w:type="dxa"/>
            <w:vAlign w:val="top"/>
          </w:tcPr>
          <w:p>
            <w:pPr>
              <w:ind w:left="290"/>
              <w:spacing w:before="37" w:line="221" w:lineRule="auto"/>
              <w:rPr>
                <w:rFonts w:ascii="SimSun" w:hAnsi="SimSun" w:eastAsia="SimSun" w:cs="SimSun"/>
                <w:sz w:val="20"/>
                <w:szCs w:val="20"/>
              </w:rPr>
            </w:pPr>
            <w:r>
              <w:rPr>
                <w:rFonts w:ascii="SimSun" w:hAnsi="SimSun" w:eastAsia="SimSun" w:cs="SimSun"/>
                <w:sz w:val="20"/>
                <w:szCs w:val="20"/>
              </w:rPr>
              <w:t>中</w:t>
            </w:r>
          </w:p>
        </w:tc>
        <w:tc>
          <w:tcPr>
            <w:tcW w:w="739" w:type="dxa"/>
            <w:vAlign w:val="top"/>
          </w:tcPr>
          <w:p>
            <w:pPr>
              <w:ind w:left="277"/>
              <w:spacing w:before="37" w:line="221" w:lineRule="auto"/>
              <w:rPr>
                <w:rFonts w:ascii="SimSun" w:hAnsi="SimSun" w:eastAsia="SimSun" w:cs="SimSun"/>
                <w:sz w:val="20"/>
                <w:szCs w:val="20"/>
              </w:rPr>
            </w:pPr>
            <w:r>
              <w:rPr>
                <w:rFonts w:ascii="SimSun" w:hAnsi="SimSun" w:eastAsia="SimSun" w:cs="SimSun"/>
                <w:sz w:val="20"/>
                <w:szCs w:val="20"/>
              </w:rPr>
              <w:t>小</w:t>
            </w:r>
          </w:p>
        </w:tc>
        <w:tc>
          <w:tcPr>
            <w:tcW w:w="739" w:type="dxa"/>
            <w:vAlign w:val="top"/>
          </w:tcPr>
          <w:p>
            <w:pPr>
              <w:ind w:left="271"/>
              <w:spacing w:before="37" w:line="221" w:lineRule="auto"/>
              <w:rPr>
                <w:rFonts w:ascii="SimSun" w:hAnsi="SimSun" w:eastAsia="SimSun" w:cs="SimSun"/>
                <w:sz w:val="20"/>
                <w:szCs w:val="20"/>
              </w:rPr>
            </w:pPr>
            <w:r>
              <w:rPr>
                <w:rFonts w:ascii="SimSun" w:hAnsi="SimSun" w:eastAsia="SimSun" w:cs="SimSun"/>
                <w:sz w:val="20"/>
                <w:szCs w:val="20"/>
              </w:rPr>
              <w:t>大</w:t>
            </w:r>
          </w:p>
        </w:tc>
        <w:tc>
          <w:tcPr>
            <w:tcW w:w="739" w:type="dxa"/>
            <w:vAlign w:val="top"/>
          </w:tcPr>
          <w:p>
            <w:pPr>
              <w:ind w:left="291"/>
              <w:spacing w:before="37" w:line="221" w:lineRule="auto"/>
              <w:rPr>
                <w:rFonts w:ascii="SimSun" w:hAnsi="SimSun" w:eastAsia="SimSun" w:cs="SimSun"/>
                <w:sz w:val="20"/>
                <w:szCs w:val="20"/>
              </w:rPr>
            </w:pPr>
            <w:r>
              <w:rPr>
                <w:rFonts w:ascii="SimSun" w:hAnsi="SimSun" w:eastAsia="SimSun" w:cs="SimSun"/>
                <w:sz w:val="20"/>
                <w:szCs w:val="20"/>
              </w:rPr>
              <w:t>中</w:t>
            </w:r>
          </w:p>
        </w:tc>
        <w:tc>
          <w:tcPr>
            <w:tcW w:w="712" w:type="dxa"/>
            <w:vAlign w:val="top"/>
          </w:tcPr>
          <w:p>
            <w:pPr>
              <w:ind w:left="260"/>
              <w:spacing w:before="37" w:line="221" w:lineRule="auto"/>
              <w:rPr>
                <w:rFonts w:ascii="SimSun" w:hAnsi="SimSun" w:eastAsia="SimSun" w:cs="SimSun"/>
                <w:sz w:val="20"/>
                <w:szCs w:val="20"/>
              </w:rPr>
            </w:pPr>
            <w:r>
              <w:rPr>
                <w:rFonts w:ascii="SimSun" w:hAnsi="SimSun" w:eastAsia="SimSun" w:cs="SimSun"/>
                <w:sz w:val="20"/>
                <w:szCs w:val="20"/>
              </w:rPr>
              <w:t>小</w:t>
            </w:r>
          </w:p>
        </w:tc>
      </w:tr>
      <w:tr>
        <w:trPr>
          <w:trHeight w:val="289" w:hRule="atLeast"/>
        </w:trPr>
        <w:tc>
          <w:tcPr>
            <w:tcW w:w="2211" w:type="dxa"/>
            <w:vAlign w:val="top"/>
          </w:tcPr>
          <w:p>
            <w:pPr>
              <w:ind w:left="903"/>
              <w:spacing w:before="38" w:line="222" w:lineRule="auto"/>
              <w:rPr>
                <w:rFonts w:ascii="SimSun" w:hAnsi="SimSun" w:eastAsia="SimSun" w:cs="SimSun"/>
                <w:sz w:val="20"/>
                <w:szCs w:val="20"/>
              </w:rPr>
            </w:pPr>
            <w:r>
              <w:rPr>
                <w:rFonts w:ascii="SimSun" w:hAnsi="SimSun" w:eastAsia="SimSun" w:cs="SimSun"/>
                <w:sz w:val="20"/>
                <w:szCs w:val="20"/>
                <w:spacing w:val="4"/>
              </w:rPr>
              <w:t>敏感</w:t>
            </w:r>
          </w:p>
        </w:tc>
        <w:tc>
          <w:tcPr>
            <w:tcW w:w="736" w:type="dxa"/>
            <w:vAlign w:val="top"/>
          </w:tcPr>
          <w:p>
            <w:pPr>
              <w:ind w:left="166"/>
              <w:spacing w:before="38" w:line="222" w:lineRule="auto"/>
              <w:rPr>
                <w:rFonts w:ascii="SimSun" w:hAnsi="SimSun" w:eastAsia="SimSun" w:cs="SimSun"/>
                <w:sz w:val="20"/>
                <w:szCs w:val="20"/>
              </w:rPr>
            </w:pPr>
            <w:r>
              <w:rPr>
                <w:rFonts w:ascii="SimSun" w:hAnsi="SimSun" w:eastAsia="SimSun" w:cs="SimSun"/>
                <w:sz w:val="20"/>
                <w:szCs w:val="20"/>
                <w:spacing w:val="3"/>
              </w:rPr>
              <w:t>一级</w:t>
            </w:r>
          </w:p>
        </w:tc>
        <w:tc>
          <w:tcPr>
            <w:tcW w:w="739" w:type="dxa"/>
            <w:vAlign w:val="top"/>
          </w:tcPr>
          <w:p>
            <w:pPr>
              <w:ind w:left="167"/>
              <w:spacing w:before="38" w:line="222" w:lineRule="auto"/>
              <w:rPr>
                <w:rFonts w:ascii="SimSun" w:hAnsi="SimSun" w:eastAsia="SimSun" w:cs="SimSun"/>
                <w:sz w:val="20"/>
                <w:szCs w:val="20"/>
              </w:rPr>
            </w:pPr>
            <w:r>
              <w:rPr>
                <w:rFonts w:ascii="SimSun" w:hAnsi="SimSun" w:eastAsia="SimSun" w:cs="SimSun"/>
                <w:sz w:val="20"/>
                <w:szCs w:val="20"/>
                <w:spacing w:val="3"/>
              </w:rPr>
              <w:t>一级</w:t>
            </w:r>
          </w:p>
        </w:tc>
        <w:tc>
          <w:tcPr>
            <w:tcW w:w="887" w:type="dxa"/>
            <w:vAlign w:val="top"/>
          </w:tcPr>
          <w:p>
            <w:pPr>
              <w:ind w:left="239"/>
              <w:spacing w:before="38" w:line="222" w:lineRule="auto"/>
              <w:rPr>
                <w:rFonts w:ascii="SimSun" w:hAnsi="SimSun" w:eastAsia="SimSun" w:cs="SimSun"/>
                <w:sz w:val="20"/>
                <w:szCs w:val="20"/>
              </w:rPr>
            </w:pPr>
            <w:r>
              <w:rPr>
                <w:rFonts w:ascii="SimSun" w:hAnsi="SimSun" w:eastAsia="SimSun" w:cs="SimSun"/>
                <w:sz w:val="20"/>
                <w:szCs w:val="20"/>
                <w:spacing w:val="3"/>
              </w:rPr>
              <w:t>一级</w:t>
            </w:r>
          </w:p>
        </w:tc>
        <w:tc>
          <w:tcPr>
            <w:tcW w:w="890" w:type="dxa"/>
            <w:vAlign w:val="top"/>
          </w:tcPr>
          <w:p>
            <w:pPr>
              <w:ind w:left="245"/>
              <w:spacing w:before="38" w:line="222"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6"/>
              <w:spacing w:before="38" w:line="222"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9"/>
              <w:spacing w:before="38" w:line="222"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6"/>
              <w:spacing w:before="38" w:line="222"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ind w:left="166"/>
              <w:spacing w:before="38" w:line="222" w:lineRule="auto"/>
              <w:rPr>
                <w:rFonts w:ascii="SimSun" w:hAnsi="SimSun" w:eastAsia="SimSun" w:cs="SimSun"/>
                <w:sz w:val="20"/>
                <w:szCs w:val="20"/>
              </w:rPr>
            </w:pPr>
            <w:r>
              <w:rPr>
                <w:rFonts w:ascii="SimSun" w:hAnsi="SimSun" w:eastAsia="SimSun" w:cs="SimSun"/>
                <w:sz w:val="20"/>
                <w:szCs w:val="20"/>
                <w:spacing w:val="4"/>
              </w:rPr>
              <w:t>三级</w:t>
            </w:r>
          </w:p>
        </w:tc>
        <w:tc>
          <w:tcPr>
            <w:tcW w:w="712" w:type="dxa"/>
            <w:vAlign w:val="top"/>
          </w:tcPr>
          <w:p>
            <w:pPr>
              <w:ind w:left="152"/>
              <w:spacing w:before="38" w:line="222" w:lineRule="auto"/>
              <w:rPr>
                <w:rFonts w:ascii="SimSun" w:hAnsi="SimSun" w:eastAsia="SimSun" w:cs="SimSun"/>
                <w:sz w:val="20"/>
                <w:szCs w:val="20"/>
              </w:rPr>
            </w:pPr>
            <w:r>
              <w:rPr>
                <w:rFonts w:ascii="SimSun" w:hAnsi="SimSun" w:eastAsia="SimSun" w:cs="SimSun"/>
                <w:sz w:val="20"/>
                <w:szCs w:val="20"/>
                <w:spacing w:val="4"/>
              </w:rPr>
              <w:t>三级</w:t>
            </w:r>
          </w:p>
        </w:tc>
      </w:tr>
      <w:tr>
        <w:trPr>
          <w:trHeight w:val="287" w:hRule="atLeast"/>
        </w:trPr>
        <w:tc>
          <w:tcPr>
            <w:tcW w:w="2211" w:type="dxa"/>
            <w:vAlign w:val="top"/>
          </w:tcPr>
          <w:p>
            <w:pPr>
              <w:ind w:left="797"/>
              <w:spacing w:before="37" w:line="221" w:lineRule="auto"/>
              <w:rPr>
                <w:rFonts w:ascii="SimSun" w:hAnsi="SimSun" w:eastAsia="SimSun" w:cs="SimSun"/>
                <w:sz w:val="20"/>
                <w:szCs w:val="20"/>
              </w:rPr>
            </w:pPr>
            <w:r>
              <w:rPr>
                <w:rFonts w:ascii="SimSun" w:hAnsi="SimSun" w:eastAsia="SimSun" w:cs="SimSun"/>
                <w:sz w:val="20"/>
                <w:szCs w:val="20"/>
                <w:spacing w:val="6"/>
              </w:rPr>
              <w:t>较敏感</w:t>
            </w:r>
          </w:p>
        </w:tc>
        <w:tc>
          <w:tcPr>
            <w:tcW w:w="736" w:type="dxa"/>
            <w:vAlign w:val="top"/>
          </w:tcPr>
          <w:p>
            <w:pPr>
              <w:ind w:left="166"/>
              <w:spacing w:before="37" w:line="221" w:lineRule="auto"/>
              <w:rPr>
                <w:rFonts w:ascii="SimSun" w:hAnsi="SimSun" w:eastAsia="SimSun" w:cs="SimSun"/>
                <w:sz w:val="20"/>
                <w:szCs w:val="20"/>
              </w:rPr>
            </w:pPr>
            <w:r>
              <w:rPr>
                <w:rFonts w:ascii="SimSun" w:hAnsi="SimSun" w:eastAsia="SimSun" w:cs="SimSun"/>
                <w:sz w:val="20"/>
                <w:szCs w:val="20"/>
                <w:spacing w:val="3"/>
              </w:rPr>
              <w:t>一级</w:t>
            </w:r>
          </w:p>
        </w:tc>
        <w:tc>
          <w:tcPr>
            <w:tcW w:w="739" w:type="dxa"/>
            <w:vAlign w:val="top"/>
          </w:tcPr>
          <w:p>
            <w:pPr>
              <w:ind w:left="167"/>
              <w:spacing w:before="37" w:line="221" w:lineRule="auto"/>
              <w:rPr>
                <w:rFonts w:ascii="SimSun" w:hAnsi="SimSun" w:eastAsia="SimSun" w:cs="SimSun"/>
                <w:sz w:val="20"/>
                <w:szCs w:val="20"/>
              </w:rPr>
            </w:pPr>
            <w:r>
              <w:rPr>
                <w:rFonts w:ascii="SimSun" w:hAnsi="SimSun" w:eastAsia="SimSun" w:cs="SimSun"/>
                <w:sz w:val="20"/>
                <w:szCs w:val="20"/>
                <w:spacing w:val="3"/>
              </w:rPr>
              <w:t>一级</w:t>
            </w:r>
          </w:p>
        </w:tc>
        <w:tc>
          <w:tcPr>
            <w:tcW w:w="887" w:type="dxa"/>
            <w:vAlign w:val="top"/>
          </w:tcPr>
          <w:p>
            <w:pPr>
              <w:ind w:left="239"/>
              <w:spacing w:before="37" w:line="221" w:lineRule="auto"/>
              <w:rPr>
                <w:rFonts w:ascii="SimSun" w:hAnsi="SimSun" w:eastAsia="SimSun" w:cs="SimSun"/>
                <w:sz w:val="20"/>
                <w:szCs w:val="20"/>
              </w:rPr>
            </w:pPr>
            <w:r>
              <w:rPr>
                <w:rFonts w:ascii="SimSun" w:hAnsi="SimSun" w:eastAsia="SimSun" w:cs="SimSun"/>
                <w:sz w:val="20"/>
                <w:szCs w:val="20"/>
                <w:spacing w:val="3"/>
              </w:rPr>
              <w:t>二级</w:t>
            </w:r>
          </w:p>
        </w:tc>
        <w:tc>
          <w:tcPr>
            <w:tcW w:w="890" w:type="dxa"/>
            <w:vAlign w:val="top"/>
          </w:tcPr>
          <w:p>
            <w:pPr>
              <w:ind w:left="245"/>
              <w:spacing w:before="37" w:line="221"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6"/>
              <w:spacing w:before="37" w:line="221"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5"/>
              <w:spacing w:before="37" w:line="221"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ind w:left="166"/>
              <w:spacing w:before="37" w:line="221"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ind w:left="166"/>
              <w:spacing w:before="37" w:line="221" w:lineRule="auto"/>
              <w:rPr>
                <w:rFonts w:ascii="SimSun" w:hAnsi="SimSun" w:eastAsia="SimSun" w:cs="SimSun"/>
                <w:sz w:val="20"/>
                <w:szCs w:val="20"/>
              </w:rPr>
            </w:pPr>
            <w:r>
              <w:rPr>
                <w:rFonts w:ascii="SimSun" w:hAnsi="SimSun" w:eastAsia="SimSun" w:cs="SimSun"/>
                <w:sz w:val="20"/>
                <w:szCs w:val="20"/>
                <w:spacing w:val="4"/>
              </w:rPr>
              <w:t>三级</w:t>
            </w:r>
          </w:p>
        </w:tc>
        <w:tc>
          <w:tcPr>
            <w:tcW w:w="712" w:type="dxa"/>
            <w:vAlign w:val="top"/>
          </w:tcPr>
          <w:p>
            <w:pPr>
              <w:pStyle w:val="TableText"/>
              <w:ind w:left="327"/>
              <w:spacing w:before="161" w:line="97" w:lineRule="exact"/>
              <w:rPr/>
            </w:pPr>
            <w:r>
              <w:rPr>
                <w:position w:val="-2"/>
              </w:rPr>
              <w:t>-</w:t>
            </w:r>
          </w:p>
        </w:tc>
      </w:tr>
      <w:tr>
        <w:trPr>
          <w:trHeight w:val="292" w:hRule="atLeast"/>
        </w:trPr>
        <w:tc>
          <w:tcPr>
            <w:tcW w:w="2211" w:type="dxa"/>
            <w:vAlign w:val="top"/>
          </w:tcPr>
          <w:p>
            <w:pPr>
              <w:ind w:left="800"/>
              <w:spacing w:before="38" w:line="225" w:lineRule="auto"/>
              <w:rPr>
                <w:rFonts w:ascii="SimSun" w:hAnsi="SimSun" w:eastAsia="SimSun" w:cs="SimSun"/>
                <w:sz w:val="20"/>
                <w:szCs w:val="20"/>
              </w:rPr>
            </w:pPr>
            <w:r>
              <w:rPr>
                <w:rFonts w:ascii="SimSun" w:hAnsi="SimSun" w:eastAsia="SimSun" w:cs="SimSun"/>
                <w:sz w:val="20"/>
                <w:szCs w:val="20"/>
                <w:spacing w:val="5"/>
              </w:rPr>
              <w:t>不敏感</w:t>
            </w:r>
          </w:p>
        </w:tc>
        <w:tc>
          <w:tcPr>
            <w:tcW w:w="736" w:type="dxa"/>
            <w:vAlign w:val="top"/>
          </w:tcPr>
          <w:p>
            <w:pPr>
              <w:ind w:left="166"/>
              <w:spacing w:before="38" w:line="225" w:lineRule="auto"/>
              <w:rPr>
                <w:rFonts w:ascii="SimSun" w:hAnsi="SimSun" w:eastAsia="SimSun" w:cs="SimSun"/>
                <w:sz w:val="20"/>
                <w:szCs w:val="20"/>
              </w:rPr>
            </w:pPr>
            <w:r>
              <w:rPr>
                <w:rFonts w:ascii="SimSun" w:hAnsi="SimSun" w:eastAsia="SimSun" w:cs="SimSun"/>
                <w:sz w:val="20"/>
                <w:szCs w:val="20"/>
                <w:spacing w:val="3"/>
              </w:rPr>
              <w:t>一级</w:t>
            </w:r>
          </w:p>
        </w:tc>
        <w:tc>
          <w:tcPr>
            <w:tcW w:w="739" w:type="dxa"/>
            <w:vAlign w:val="top"/>
          </w:tcPr>
          <w:p>
            <w:pPr>
              <w:ind w:left="167"/>
              <w:spacing w:before="38" w:line="225" w:lineRule="auto"/>
              <w:rPr>
                <w:rFonts w:ascii="SimSun" w:hAnsi="SimSun" w:eastAsia="SimSun" w:cs="SimSun"/>
                <w:sz w:val="20"/>
                <w:szCs w:val="20"/>
              </w:rPr>
            </w:pPr>
            <w:r>
              <w:rPr>
                <w:rFonts w:ascii="SimSun" w:hAnsi="SimSun" w:eastAsia="SimSun" w:cs="SimSun"/>
                <w:sz w:val="20"/>
                <w:szCs w:val="20"/>
                <w:spacing w:val="3"/>
              </w:rPr>
              <w:t>二级</w:t>
            </w:r>
          </w:p>
        </w:tc>
        <w:tc>
          <w:tcPr>
            <w:tcW w:w="887" w:type="dxa"/>
            <w:vAlign w:val="top"/>
          </w:tcPr>
          <w:p>
            <w:pPr>
              <w:ind w:left="239"/>
              <w:spacing w:before="38" w:line="225" w:lineRule="auto"/>
              <w:rPr>
                <w:rFonts w:ascii="SimSun" w:hAnsi="SimSun" w:eastAsia="SimSun" w:cs="SimSun"/>
                <w:sz w:val="20"/>
                <w:szCs w:val="20"/>
              </w:rPr>
            </w:pPr>
            <w:r>
              <w:rPr>
                <w:rFonts w:ascii="SimSun" w:hAnsi="SimSun" w:eastAsia="SimSun" w:cs="SimSun"/>
                <w:sz w:val="20"/>
                <w:szCs w:val="20"/>
                <w:spacing w:val="3"/>
              </w:rPr>
              <w:t>二级</w:t>
            </w:r>
          </w:p>
        </w:tc>
        <w:tc>
          <w:tcPr>
            <w:tcW w:w="890" w:type="dxa"/>
            <w:vAlign w:val="top"/>
          </w:tcPr>
          <w:p>
            <w:pPr>
              <w:ind w:left="245"/>
              <w:spacing w:before="38" w:line="225" w:lineRule="auto"/>
              <w:rPr>
                <w:rFonts w:ascii="SimSun" w:hAnsi="SimSun" w:eastAsia="SimSun" w:cs="SimSun"/>
                <w:sz w:val="20"/>
                <w:szCs w:val="20"/>
              </w:rPr>
            </w:pPr>
            <w:r>
              <w:rPr>
                <w:rFonts w:ascii="SimSun" w:hAnsi="SimSun" w:eastAsia="SimSun" w:cs="SimSun"/>
                <w:sz w:val="20"/>
                <w:szCs w:val="20"/>
                <w:spacing w:val="3"/>
              </w:rPr>
              <w:t>二级</w:t>
            </w:r>
          </w:p>
        </w:tc>
        <w:tc>
          <w:tcPr>
            <w:tcW w:w="739" w:type="dxa"/>
            <w:vAlign w:val="top"/>
          </w:tcPr>
          <w:p>
            <w:pPr>
              <w:ind w:left="163"/>
              <w:spacing w:before="38" w:line="225"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ind w:left="165"/>
              <w:spacing w:before="38" w:line="225"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ind w:left="166"/>
              <w:spacing w:before="38" w:line="225" w:lineRule="auto"/>
              <w:rPr>
                <w:rFonts w:ascii="SimSun" w:hAnsi="SimSun" w:eastAsia="SimSun" w:cs="SimSun"/>
                <w:sz w:val="20"/>
                <w:szCs w:val="20"/>
              </w:rPr>
            </w:pPr>
            <w:r>
              <w:rPr>
                <w:rFonts w:ascii="SimSun" w:hAnsi="SimSun" w:eastAsia="SimSun" w:cs="SimSun"/>
                <w:sz w:val="20"/>
                <w:szCs w:val="20"/>
                <w:spacing w:val="4"/>
              </w:rPr>
              <w:t>三级</w:t>
            </w:r>
          </w:p>
        </w:tc>
        <w:tc>
          <w:tcPr>
            <w:tcW w:w="739" w:type="dxa"/>
            <w:vAlign w:val="top"/>
          </w:tcPr>
          <w:p>
            <w:pPr>
              <w:pStyle w:val="TableText"/>
              <w:ind w:left="341"/>
              <w:spacing w:before="162" w:line="97" w:lineRule="exact"/>
              <w:rPr/>
            </w:pPr>
            <w:r>
              <w:rPr>
                <w:position w:val="-2"/>
              </w:rPr>
              <w:t>-</w:t>
            </w:r>
          </w:p>
        </w:tc>
        <w:tc>
          <w:tcPr>
            <w:tcW w:w="712" w:type="dxa"/>
            <w:vAlign w:val="top"/>
          </w:tcPr>
          <w:p>
            <w:pPr>
              <w:pStyle w:val="TableText"/>
              <w:ind w:left="327"/>
              <w:spacing w:before="162" w:line="97" w:lineRule="exact"/>
              <w:rPr/>
            </w:pPr>
            <w:r>
              <w:rPr>
                <w:position w:val="-2"/>
              </w:rPr>
              <w:t>-</w:t>
            </w:r>
          </w:p>
        </w:tc>
      </w:tr>
    </w:tbl>
    <w:p>
      <w:pPr>
        <w:ind w:left="519"/>
        <w:spacing w:before="30" w:line="226" w:lineRule="auto"/>
        <w:rPr>
          <w:rFonts w:ascii="SimSun" w:hAnsi="SimSun" w:eastAsia="SimSun" w:cs="SimSun"/>
          <w:sz w:val="20"/>
          <w:szCs w:val="20"/>
        </w:rPr>
      </w:pPr>
      <w:r>
        <w:rPr>
          <w:rFonts w:ascii="SimSun" w:hAnsi="SimSun" w:eastAsia="SimSun" w:cs="SimSun"/>
          <w:sz w:val="20"/>
          <w:szCs w:val="20"/>
          <w:spacing w:val="8"/>
        </w:rPr>
        <w:t>注：</w:t>
      </w:r>
      <w:r>
        <w:rPr>
          <w:rFonts w:ascii="Times New Roman" w:hAnsi="Times New Roman" w:eastAsia="Times New Roman" w:cs="Times New Roman"/>
          <w:sz w:val="20"/>
          <w:szCs w:val="20"/>
          <w:spacing w:val="8"/>
        </w:rPr>
        <w:t>“-”</w:t>
      </w:r>
      <w:r>
        <w:rPr>
          <w:rFonts w:ascii="SimSun" w:hAnsi="SimSun" w:eastAsia="SimSun" w:cs="SimSun"/>
          <w:sz w:val="20"/>
          <w:szCs w:val="20"/>
          <w:spacing w:val="8"/>
        </w:rPr>
        <w:t>表示可不开展土壤环境影响评价工作。</w:t>
      </w:r>
    </w:p>
    <w:p>
      <w:pPr>
        <w:ind w:left="79" w:firstLine="443"/>
        <w:spacing w:before="140" w:line="339" w:lineRule="auto"/>
        <w:rPr>
          <w:rFonts w:ascii="SimSun" w:hAnsi="SimSun" w:eastAsia="SimSun" w:cs="SimSun"/>
          <w:sz w:val="24"/>
          <w:szCs w:val="24"/>
        </w:rPr>
      </w:pPr>
      <w:r>
        <w:rPr>
          <w:rFonts w:ascii="SimSun" w:hAnsi="SimSun" w:eastAsia="SimSun" w:cs="SimSun"/>
          <w:sz w:val="24"/>
          <w:szCs w:val="24"/>
          <w:spacing w:val="-9"/>
        </w:rPr>
        <w:t>综上所述，本项目类别为</w:t>
      </w:r>
      <w:r>
        <w:rPr>
          <w:rFonts w:ascii="Times New Roman" w:hAnsi="Times New Roman" w:eastAsia="Times New Roman" w:cs="Times New Roman"/>
          <w:sz w:val="24"/>
          <w:szCs w:val="24"/>
          <w:spacing w:val="-9"/>
        </w:rPr>
        <w:t>“II</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9"/>
        </w:rPr>
        <w:t>类</w:t>
      </w:r>
      <w:r>
        <w:rPr>
          <w:rFonts w:ascii="Times New Roman" w:hAnsi="Times New Roman" w:eastAsia="Times New Roman" w:cs="Times New Roman"/>
          <w:sz w:val="24"/>
          <w:szCs w:val="24"/>
          <w:spacing w:val="-9"/>
        </w:rPr>
        <w:t>”</w:t>
      </w:r>
      <w:r>
        <w:rPr>
          <w:rFonts w:ascii="SimSun" w:hAnsi="SimSun" w:eastAsia="SimSun" w:cs="SimSun"/>
          <w:sz w:val="24"/>
          <w:szCs w:val="24"/>
          <w:spacing w:val="-9"/>
        </w:rPr>
        <w:t>，工业场地属于</w:t>
      </w:r>
      <w:r>
        <w:rPr>
          <w:rFonts w:ascii="Times New Roman" w:hAnsi="Times New Roman" w:eastAsia="Times New Roman" w:cs="Times New Roman"/>
          <w:sz w:val="24"/>
          <w:szCs w:val="24"/>
          <w:spacing w:val="-9"/>
        </w:rPr>
        <w:t>“</w:t>
      </w:r>
      <w:r>
        <w:rPr>
          <w:rFonts w:ascii="SimSun" w:hAnsi="SimSun" w:eastAsia="SimSun" w:cs="SimSun"/>
          <w:sz w:val="24"/>
          <w:szCs w:val="24"/>
          <w:spacing w:val="-9"/>
        </w:rPr>
        <w:t>污染影响型</w:t>
      </w:r>
      <w:r>
        <w:rPr>
          <w:rFonts w:ascii="Times New Roman" w:hAnsi="Times New Roman" w:eastAsia="Times New Roman" w:cs="Times New Roman"/>
          <w:sz w:val="24"/>
          <w:szCs w:val="24"/>
          <w:spacing w:val="-9"/>
        </w:rPr>
        <w:t>”</w:t>
      </w:r>
      <w:r>
        <w:rPr>
          <w:rFonts w:ascii="SimSun" w:hAnsi="SimSun" w:eastAsia="SimSun" w:cs="SimSun"/>
          <w:sz w:val="24"/>
          <w:szCs w:val="24"/>
          <w:spacing w:val="-9"/>
        </w:rPr>
        <w:t>，敏</w:t>
      </w:r>
      <w:r>
        <w:rPr>
          <w:rFonts w:ascii="SimSun" w:hAnsi="SimSun" w:eastAsia="SimSun" w:cs="SimSun"/>
          <w:sz w:val="24"/>
          <w:szCs w:val="24"/>
          <w:spacing w:val="-10"/>
        </w:rPr>
        <w:t>感程度均为</w:t>
      </w:r>
      <w:r>
        <w:rPr>
          <w:rFonts w:ascii="Times New Roman" w:hAnsi="Times New Roman" w:eastAsia="Times New Roman" w:cs="Times New Roman"/>
          <w:sz w:val="24"/>
          <w:szCs w:val="24"/>
          <w:spacing w:val="-10"/>
        </w:rPr>
        <w:t>“</w:t>
      </w:r>
      <w:r>
        <w:rPr>
          <w:rFonts w:ascii="SimSun" w:hAnsi="SimSun" w:eastAsia="SimSun" w:cs="SimSun"/>
          <w:sz w:val="24"/>
          <w:szCs w:val="24"/>
          <w:spacing w:val="-10"/>
        </w:rPr>
        <w:t>敏感</w:t>
      </w:r>
      <w:r>
        <w:rPr>
          <w:rFonts w:ascii="Times New Roman" w:hAnsi="Times New Roman" w:eastAsia="Times New Roman" w:cs="Times New Roman"/>
          <w:sz w:val="24"/>
          <w:szCs w:val="24"/>
          <w:spacing w:val="-10"/>
        </w:rPr>
        <w:t>”</w:t>
      </w:r>
      <w:r>
        <w:rPr>
          <w:rFonts w:ascii="SimSun" w:hAnsi="SimSun" w:eastAsia="SimSun" w:cs="SimSun"/>
          <w:sz w:val="24"/>
          <w:szCs w:val="24"/>
          <w:spacing w:val="-10"/>
        </w:rPr>
        <w:t>，</w:t>
      </w:r>
      <w:r>
        <w:rPr>
          <w:rFonts w:ascii="SimSun" w:hAnsi="SimSun" w:eastAsia="SimSun" w:cs="SimSun"/>
          <w:sz w:val="24"/>
          <w:szCs w:val="24"/>
          <w:spacing w:val="-3"/>
        </w:rPr>
        <w:t>占地规模属于</w:t>
      </w:r>
      <w:r>
        <w:rPr>
          <w:rFonts w:ascii="Times New Roman" w:hAnsi="Times New Roman" w:eastAsia="Times New Roman" w:cs="Times New Roman"/>
          <w:sz w:val="24"/>
          <w:szCs w:val="24"/>
          <w:spacing w:val="-3"/>
        </w:rPr>
        <w:t>“</w:t>
      </w:r>
      <w:r>
        <w:rPr>
          <w:rFonts w:ascii="SimSun" w:hAnsi="SimSun" w:eastAsia="SimSun" w:cs="SimSun"/>
          <w:sz w:val="24"/>
          <w:szCs w:val="24"/>
          <w:spacing w:val="-3"/>
        </w:rPr>
        <w:t>中型</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，因此，土壤环境评价等级为二级。</w:t>
      </w:r>
    </w:p>
    <w:p>
      <w:pPr>
        <w:ind w:left="522"/>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7"/>
        </w:rPr>
        <w:t>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、评价范围</w:t>
      </w:r>
    </w:p>
    <w:p>
      <w:pPr>
        <w:ind w:left="79" w:right="66" w:firstLine="469"/>
        <w:spacing w:before="157" w:line="342" w:lineRule="auto"/>
        <w:rPr>
          <w:rFonts w:ascii="SimSun" w:hAnsi="SimSun" w:eastAsia="SimSun" w:cs="SimSun"/>
          <w:sz w:val="24"/>
          <w:szCs w:val="24"/>
        </w:rPr>
      </w:pPr>
      <w:r>
        <w:rPr>
          <w:rFonts w:ascii="SimSun" w:hAnsi="SimSun" w:eastAsia="SimSun" w:cs="SimSun"/>
          <w:sz w:val="24"/>
          <w:szCs w:val="24"/>
          <w:spacing w:val="-3"/>
        </w:rPr>
        <w:t>由表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2-5-11 </w:t>
      </w:r>
      <w:r>
        <w:rPr>
          <w:rFonts w:ascii="SimSun" w:hAnsi="SimSun" w:eastAsia="SimSun" w:cs="SimSun"/>
          <w:sz w:val="24"/>
          <w:szCs w:val="24"/>
          <w:spacing w:val="-3"/>
        </w:rPr>
        <w:t>可知，本项目污染影响型土壤调查范围为</w:t>
      </w:r>
      <w:r>
        <w:rPr>
          <w:rFonts w:ascii="SimSun" w:hAnsi="SimSun" w:eastAsia="SimSun" w:cs="SimSun"/>
          <w:sz w:val="24"/>
          <w:szCs w:val="24"/>
          <w:spacing w:val="-4"/>
        </w:rPr>
        <w:t>：工业场地占地范围内全部及</w:t>
      </w:r>
      <w:r>
        <w:rPr>
          <w:rFonts w:ascii="SimSun" w:hAnsi="SimSun" w:eastAsia="SimSun" w:cs="SimSun"/>
          <w:sz w:val="24"/>
          <w:szCs w:val="24"/>
          <w:spacing w:val="-6"/>
        </w:rPr>
        <w:t>占地范围外延</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6"/>
        </w:rPr>
        <w:t>0.2km</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6"/>
        </w:rPr>
        <w:t>的范围。</w:t>
      </w:r>
    </w:p>
    <w:p>
      <w:pPr>
        <w:ind w:left="38"/>
        <w:spacing w:before="66" w:line="222" w:lineRule="auto"/>
        <w:outlineLvl w:val="1"/>
        <w:rPr>
          <w:rFonts w:ascii="SimHei" w:hAnsi="SimHei" w:eastAsia="SimHei" w:cs="SimHei"/>
          <w:sz w:val="30"/>
          <w:szCs w:val="30"/>
        </w:rPr>
      </w:pPr>
      <w:bookmarkStart w:name="bookmark14" w:id="25"/>
      <w:bookmarkEnd w:id="25"/>
      <w:r>
        <w:rPr>
          <w:rFonts w:ascii="Times New Roman" w:hAnsi="Times New Roman" w:eastAsia="Times New Roman" w:cs="Times New Roman"/>
          <w:sz w:val="30"/>
          <w:szCs w:val="30"/>
          <w:b/>
          <w:bCs/>
          <w:spacing w:val="-2"/>
        </w:rPr>
        <w:t>2.6  </w:t>
      </w:r>
      <w:r>
        <w:rPr>
          <w:rFonts w:ascii="SimHei" w:hAnsi="SimHei" w:eastAsia="SimHei" w:cs="SimHei"/>
          <w:sz w:val="30"/>
          <w:szCs w:val="30"/>
          <w:b/>
          <w:bCs/>
          <w:spacing w:val="-2"/>
        </w:rPr>
        <w:t>环境功能区划</w:t>
      </w:r>
    </w:p>
    <w:p>
      <w:pPr>
        <w:ind w:left="527"/>
        <w:spacing w:before="164"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）环境空气</w:t>
      </w:r>
    </w:p>
    <w:p>
      <w:pPr>
        <w:ind w:left="40" w:right="66" w:firstLine="480"/>
        <w:spacing w:before="155" w:line="338" w:lineRule="auto"/>
        <w:rPr>
          <w:rFonts w:ascii="SimSun" w:hAnsi="SimSun" w:eastAsia="SimSun" w:cs="SimSun"/>
          <w:sz w:val="24"/>
          <w:szCs w:val="24"/>
        </w:rPr>
      </w:pPr>
      <w:r>
        <w:rPr>
          <w:rFonts w:ascii="SimSun" w:hAnsi="SimSun" w:eastAsia="SimSun" w:cs="SimSun"/>
          <w:sz w:val="24"/>
          <w:szCs w:val="24"/>
        </w:rPr>
        <w:t>根据《环境空气质量标准》（</w:t>
      </w:r>
      <w:r>
        <w:rPr>
          <w:rFonts w:ascii="Times New Roman" w:hAnsi="Times New Roman" w:eastAsia="Times New Roman" w:cs="Times New Roman"/>
          <w:sz w:val="24"/>
          <w:szCs w:val="24"/>
        </w:rPr>
        <w:t>GB3095-2026</w:t>
      </w:r>
      <w:r>
        <w:rPr>
          <w:rFonts w:ascii="SimSun" w:hAnsi="SimSun" w:eastAsia="SimSun" w:cs="SimSun"/>
          <w:sz w:val="24"/>
          <w:szCs w:val="24"/>
        </w:rPr>
        <w:t>）中环境空气质量功能区的分类：城镇</w:t>
      </w:r>
      <w:r>
        <w:rPr>
          <w:rFonts w:ascii="SimSun" w:hAnsi="SimSun" w:eastAsia="SimSun" w:cs="SimSun"/>
          <w:sz w:val="24"/>
          <w:szCs w:val="24"/>
          <w:spacing w:val="-2"/>
        </w:rPr>
        <w:t>规划中确定的居住区、商业交通居民混合区、文化区、一般工业区和农村地区均属于二</w:t>
      </w:r>
      <w:r>
        <w:rPr>
          <w:rFonts w:ascii="SimSun" w:hAnsi="SimSun" w:eastAsia="SimSun" w:cs="SimSun"/>
          <w:sz w:val="24"/>
          <w:szCs w:val="24"/>
        </w:rPr>
        <w:t>类功能区，本项目位于农村地区，环境空气</w:t>
      </w:r>
      <w:r>
        <w:rPr>
          <w:rFonts w:ascii="SimSun" w:hAnsi="SimSun" w:eastAsia="SimSun" w:cs="SimSun"/>
          <w:sz w:val="24"/>
          <w:szCs w:val="24"/>
          <w:spacing w:val="-1"/>
        </w:rPr>
        <w:t>功能区划属二类功能区。</w:t>
      </w:r>
    </w:p>
    <w:p>
      <w:pPr>
        <w:ind w:left="527"/>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）地下水环境</w:t>
      </w:r>
    </w:p>
    <w:p>
      <w:pPr>
        <w:ind w:left="44" w:right="5" w:firstLine="479"/>
        <w:spacing w:before="156" w:line="339" w:lineRule="auto"/>
        <w:rPr>
          <w:rFonts w:ascii="SimSun" w:hAnsi="SimSun" w:eastAsia="SimSun" w:cs="SimSun"/>
          <w:sz w:val="24"/>
          <w:szCs w:val="24"/>
        </w:rPr>
      </w:pPr>
      <w:r>
        <w:rPr>
          <w:rFonts w:ascii="SimSun" w:hAnsi="SimSun" w:eastAsia="SimSun" w:cs="SimSun"/>
          <w:sz w:val="24"/>
          <w:szCs w:val="24"/>
          <w:spacing w:val="-2"/>
        </w:rPr>
        <w:t>工业场地及井田范围内无集中式与分散式地下水饮用水源取水点，项目所在区域尚</w:t>
      </w:r>
      <w:r>
        <w:rPr>
          <w:rFonts w:ascii="SimSun" w:hAnsi="SimSun" w:eastAsia="SimSun" w:cs="SimSun"/>
          <w:sz w:val="24"/>
          <w:szCs w:val="24"/>
          <w:spacing w:val="-1"/>
        </w:rPr>
        <w:t>未划定地下水环境功能区划，本次评价将对照《地下水质量标准》（</w:t>
      </w:r>
      <w:r>
        <w:rPr>
          <w:rFonts w:ascii="Times New Roman" w:hAnsi="Times New Roman" w:eastAsia="Times New Roman" w:cs="Times New Roman"/>
          <w:sz w:val="24"/>
          <w:szCs w:val="24"/>
          <w:spacing w:val="-1"/>
        </w:rPr>
        <w:t>GB/T14848-2017</w:t>
      </w:r>
      <w:r>
        <w:rPr>
          <w:rFonts w:ascii="SimSun" w:hAnsi="SimSun" w:eastAsia="SimSun" w:cs="SimSun"/>
          <w:sz w:val="24"/>
          <w:szCs w:val="24"/>
          <w:spacing w:val="-1"/>
        </w:rPr>
        <w:t>）</w:t>
      </w:r>
      <w:r>
        <w:rPr>
          <w:rFonts w:ascii="SimSun" w:hAnsi="SimSun" w:eastAsia="SimSun" w:cs="SimSun"/>
          <w:sz w:val="24"/>
          <w:szCs w:val="24"/>
          <w:spacing w:val="-1"/>
        </w:rPr>
        <w:t>中</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类水标准，对区域监测点地下水环境现状进行评价。</w:t>
      </w:r>
    </w:p>
    <w:p>
      <w:pPr>
        <w:spacing w:line="339" w:lineRule="auto"/>
        <w:sectPr>
          <w:headerReference w:type="default" r:id="rId67"/>
          <w:footerReference w:type="default" r:id="rId68"/>
          <w:pgSz w:w="11906" w:h="16838"/>
          <w:pgMar w:top="1170" w:right="1351" w:bottom="1080" w:left="1384" w:header="837" w:footer="918" w:gutter="0"/>
        </w:sectPr>
        <w:rPr>
          <w:rFonts w:ascii="SimSun" w:hAnsi="SimSun" w:eastAsia="SimSun" w:cs="SimSun"/>
          <w:sz w:val="24"/>
          <w:szCs w:val="24"/>
        </w:rPr>
      </w:pPr>
    </w:p>
    <w:p>
      <w:pPr>
        <w:pStyle w:val="BodyText"/>
        <w:spacing w:line="312" w:lineRule="auto"/>
        <w:rPr/>
      </w:pPr>
      <w:r/>
    </w:p>
    <w:p>
      <w:pPr>
        <w:ind w:left="527"/>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）地表水环境</w:t>
      </w:r>
    </w:p>
    <w:p>
      <w:pPr>
        <w:ind w:left="43" w:right="33" w:firstLine="477"/>
        <w:spacing w:before="156" w:line="338" w:lineRule="auto"/>
        <w:rPr>
          <w:rFonts w:ascii="SimSun" w:hAnsi="SimSun" w:eastAsia="SimSun" w:cs="SimSun"/>
          <w:sz w:val="24"/>
          <w:szCs w:val="24"/>
        </w:rPr>
      </w:pPr>
      <w:r>
        <w:rPr>
          <w:rFonts w:ascii="SimSun" w:hAnsi="SimSun" w:eastAsia="SimSun" w:cs="SimSun"/>
          <w:sz w:val="24"/>
          <w:szCs w:val="24"/>
          <w:spacing w:val="-2"/>
        </w:rPr>
        <w:t>根据《锡林郭勒盟地表水环境功能区划技术报告》，本项目周边彦吉嘎河属乌拉盖</w:t>
      </w:r>
      <w:r>
        <w:rPr>
          <w:rFonts w:ascii="SimSun" w:hAnsi="SimSun" w:eastAsia="SimSun" w:cs="SimSun"/>
          <w:sz w:val="24"/>
          <w:szCs w:val="24"/>
        </w:rPr>
        <w:t>水系，执行《地表水环境质量标准》（</w:t>
      </w:r>
      <w:r>
        <w:rPr>
          <w:rFonts w:ascii="Times New Roman" w:hAnsi="Times New Roman" w:eastAsia="Times New Roman" w:cs="Times New Roman"/>
          <w:sz w:val="24"/>
          <w:szCs w:val="24"/>
        </w:rPr>
        <w:t>GB3838-2002</w:t>
      </w:r>
      <w:r>
        <w:rPr>
          <w:rFonts w:ascii="SimSun" w:hAnsi="SimSun" w:eastAsia="SimSun" w:cs="SimSun"/>
          <w:sz w:val="24"/>
          <w:szCs w:val="24"/>
        </w:rPr>
        <w:t>）中</w:t>
      </w:r>
      <w:r>
        <w:rPr>
          <w:rFonts w:ascii="SimSun" w:hAnsi="SimSun" w:eastAsia="SimSun" w:cs="SimSun"/>
          <w:sz w:val="24"/>
          <w:szCs w:val="24"/>
          <w:spacing w:val="-1"/>
        </w:rPr>
        <w:t>的</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类标准，为</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类水体。</w:t>
      </w:r>
    </w:p>
    <w:p>
      <w:pPr>
        <w:ind w:left="527"/>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）声环境</w:t>
      </w:r>
    </w:p>
    <w:p>
      <w:pPr>
        <w:ind w:left="58" w:right="35" w:firstLine="466"/>
        <w:spacing w:before="155" w:line="338" w:lineRule="auto"/>
        <w:rPr>
          <w:rFonts w:ascii="SimSun" w:hAnsi="SimSun" w:eastAsia="SimSun" w:cs="SimSun"/>
          <w:sz w:val="24"/>
          <w:szCs w:val="24"/>
        </w:rPr>
      </w:pPr>
      <w:r>
        <w:rPr>
          <w:rFonts w:ascii="SimSun" w:hAnsi="SimSun" w:eastAsia="SimSun" w:cs="SimSun"/>
          <w:sz w:val="24"/>
          <w:szCs w:val="24"/>
        </w:rPr>
        <w:t>项目所在地位于《声环境质量标准》（</w:t>
      </w:r>
      <w:r>
        <w:rPr>
          <w:rFonts w:ascii="Times New Roman" w:hAnsi="Times New Roman" w:eastAsia="Times New Roman" w:cs="Times New Roman"/>
          <w:sz w:val="24"/>
          <w:szCs w:val="24"/>
        </w:rPr>
        <w:t>GB3096-2008</w:t>
      </w:r>
      <w:r>
        <w:rPr>
          <w:rFonts w:ascii="SimSun" w:hAnsi="SimSun" w:eastAsia="SimSun" w:cs="SimSun"/>
          <w:sz w:val="24"/>
          <w:szCs w:val="24"/>
        </w:rPr>
        <w:t>）中的</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 </w:t>
      </w:r>
      <w:r>
        <w:rPr>
          <w:rFonts w:ascii="SimSun" w:hAnsi="SimSun" w:eastAsia="SimSun" w:cs="SimSun"/>
          <w:sz w:val="24"/>
          <w:szCs w:val="24"/>
        </w:rPr>
        <w:t>类声功</w:t>
      </w:r>
      <w:r>
        <w:rPr>
          <w:rFonts w:ascii="SimSun" w:hAnsi="SimSun" w:eastAsia="SimSun" w:cs="SimSun"/>
          <w:sz w:val="24"/>
          <w:szCs w:val="24"/>
          <w:spacing w:val="-1"/>
        </w:rPr>
        <w:t>能区，本项目</w:t>
      </w:r>
      <w:r>
        <w:rPr>
          <w:rFonts w:ascii="SimSun" w:hAnsi="SimSun" w:eastAsia="SimSun" w:cs="SimSun"/>
          <w:sz w:val="24"/>
          <w:szCs w:val="24"/>
          <w:spacing w:val="-2"/>
        </w:rPr>
        <w:t>区域执行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类区对应的声环境质量标准。</w:t>
      </w:r>
    </w:p>
    <w:p>
      <w:pPr>
        <w:ind w:left="527"/>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）土壤环境</w:t>
      </w:r>
    </w:p>
    <w:p>
      <w:pPr>
        <w:ind w:left="40" w:right="33" w:firstLine="480"/>
        <w:spacing w:before="157" w:line="338" w:lineRule="auto"/>
        <w:rPr>
          <w:rFonts w:ascii="SimSun" w:hAnsi="SimSun" w:eastAsia="SimSun" w:cs="SimSun"/>
          <w:sz w:val="24"/>
          <w:szCs w:val="24"/>
        </w:rPr>
      </w:pPr>
      <w:r>
        <w:rPr>
          <w:rFonts w:ascii="SimSun" w:hAnsi="SimSun" w:eastAsia="SimSun" w:cs="SimSun"/>
          <w:sz w:val="24"/>
          <w:szCs w:val="24"/>
          <w:spacing w:val="1"/>
        </w:rPr>
        <w:t>本项目占地范围内土壤环境质量执行《土壤环境质量标准 建设用地土壤污染风险</w:t>
      </w:r>
      <w:r>
        <w:rPr>
          <w:rFonts w:ascii="SimSun" w:hAnsi="SimSun" w:eastAsia="SimSun" w:cs="SimSun"/>
          <w:sz w:val="24"/>
          <w:szCs w:val="24"/>
        </w:rPr>
        <w:t>管控标准》（</w:t>
      </w:r>
      <w:r>
        <w:rPr>
          <w:rFonts w:ascii="Times New Roman" w:hAnsi="Times New Roman" w:eastAsia="Times New Roman" w:cs="Times New Roman"/>
          <w:sz w:val="24"/>
          <w:szCs w:val="24"/>
        </w:rPr>
        <w:t>GB36600-2018</w:t>
      </w:r>
      <w:r>
        <w:rPr>
          <w:rFonts w:ascii="SimSun" w:hAnsi="SimSun" w:eastAsia="SimSun" w:cs="SimSun"/>
          <w:sz w:val="24"/>
          <w:szCs w:val="24"/>
        </w:rPr>
        <w:t>）第二类用地筛选值标准和《土壤环境质量标准 农用地土</w:t>
      </w:r>
      <w:r>
        <w:rPr>
          <w:rFonts w:ascii="SimSun" w:hAnsi="SimSun" w:eastAsia="SimSun" w:cs="SimSun"/>
          <w:sz w:val="24"/>
          <w:szCs w:val="24"/>
        </w:rPr>
        <w:t>壤污染风险管控标准》（</w:t>
      </w:r>
      <w:r>
        <w:rPr>
          <w:rFonts w:ascii="Times New Roman" w:hAnsi="Times New Roman" w:eastAsia="Times New Roman" w:cs="Times New Roman"/>
          <w:sz w:val="24"/>
          <w:szCs w:val="24"/>
        </w:rPr>
        <w:t>GB15618-20</w:t>
      </w:r>
      <w:r>
        <w:rPr>
          <w:rFonts w:ascii="Times New Roman" w:hAnsi="Times New Roman" w:eastAsia="Times New Roman" w:cs="Times New Roman"/>
          <w:sz w:val="24"/>
          <w:szCs w:val="24"/>
          <w:spacing w:val="-1"/>
        </w:rPr>
        <w:t>18</w:t>
      </w:r>
      <w:r>
        <w:rPr>
          <w:rFonts w:ascii="SimSun" w:hAnsi="SimSun" w:eastAsia="SimSun" w:cs="SimSun"/>
          <w:sz w:val="24"/>
          <w:szCs w:val="24"/>
          <w:spacing w:val="-1"/>
        </w:rPr>
        <w:t>）筛选值标准。</w:t>
      </w:r>
    </w:p>
    <w:p>
      <w:pPr>
        <w:ind w:left="527"/>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）生态环境</w:t>
      </w:r>
    </w:p>
    <w:p>
      <w:pPr>
        <w:ind w:left="31" w:right="33" w:firstLine="489"/>
        <w:spacing w:before="152" w:line="340" w:lineRule="auto"/>
        <w:rPr>
          <w:rFonts w:ascii="SimSun" w:hAnsi="SimSun" w:eastAsia="SimSun" w:cs="SimSun"/>
          <w:sz w:val="24"/>
          <w:szCs w:val="24"/>
        </w:rPr>
      </w:pPr>
      <w:r>
        <w:rPr>
          <w:rFonts w:ascii="SimSun" w:hAnsi="SimSun" w:eastAsia="SimSun" w:cs="SimSun"/>
          <w:sz w:val="24"/>
          <w:szCs w:val="24"/>
          <w:spacing w:val="-3"/>
        </w:rPr>
        <w:t>根据《内蒙古自治区锡林郭勒盟生态功能区划》，</w:t>
      </w:r>
      <w:r>
        <w:rPr>
          <w:rFonts w:ascii="SimSun" w:hAnsi="SimSun" w:eastAsia="SimSun" w:cs="SimSun"/>
          <w:sz w:val="24"/>
          <w:szCs w:val="24"/>
          <w:spacing w:val="-4"/>
        </w:rPr>
        <w:t>项目区属于森林草原区河流</w:t>
      </w:r>
      <w:r>
        <w:rPr>
          <w:rFonts w:ascii="Times New Roman" w:hAnsi="Times New Roman" w:eastAsia="Times New Roman" w:cs="Times New Roman"/>
          <w:sz w:val="24"/>
          <w:szCs w:val="24"/>
          <w:spacing w:val="-4"/>
        </w:rPr>
        <w:t>/</w:t>
      </w:r>
      <w:r>
        <w:rPr>
          <w:rFonts w:ascii="SimSun" w:hAnsi="SimSun" w:eastAsia="SimSun" w:cs="SimSun"/>
          <w:sz w:val="24"/>
          <w:szCs w:val="24"/>
          <w:spacing w:val="-4"/>
        </w:rPr>
        <w:t>湖泊</w:t>
      </w:r>
      <w:r>
        <w:rPr>
          <w:rFonts w:ascii="Times New Roman" w:hAnsi="Times New Roman" w:eastAsia="Times New Roman" w:cs="Times New Roman"/>
          <w:sz w:val="24"/>
          <w:szCs w:val="24"/>
        </w:rPr>
        <w:t>/</w:t>
      </w:r>
      <w:r>
        <w:rPr>
          <w:rFonts w:ascii="SimSun" w:hAnsi="SimSun" w:eastAsia="SimSun" w:cs="SimSun"/>
          <w:sz w:val="24"/>
          <w:szCs w:val="24"/>
        </w:rPr>
        <w:t>沼泽湿地生物多样性保护生态功能区、草甸草原防风固沙生态功能恢复重建区。</w:t>
      </w:r>
    </w:p>
    <w:p>
      <w:pPr>
        <w:ind w:left="38"/>
        <w:spacing w:before="72" w:line="222" w:lineRule="auto"/>
        <w:outlineLvl w:val="1"/>
        <w:rPr>
          <w:rFonts w:ascii="SimHei" w:hAnsi="SimHei" w:eastAsia="SimHei" w:cs="SimHei"/>
          <w:sz w:val="30"/>
          <w:szCs w:val="30"/>
        </w:rPr>
      </w:pPr>
      <w:bookmarkStart w:name="bookmark15" w:id="26"/>
      <w:bookmarkEnd w:id="26"/>
      <w:r>
        <w:rPr>
          <w:rFonts w:ascii="Times New Roman" w:hAnsi="Times New Roman" w:eastAsia="Times New Roman" w:cs="Times New Roman"/>
          <w:sz w:val="30"/>
          <w:szCs w:val="30"/>
          <w:b/>
          <w:bCs/>
          <w:spacing w:val="-2"/>
        </w:rPr>
        <w:t>2.7  </w:t>
      </w:r>
      <w:r>
        <w:rPr>
          <w:rFonts w:ascii="SimHei" w:hAnsi="SimHei" w:eastAsia="SimHei" w:cs="SimHei"/>
          <w:sz w:val="30"/>
          <w:szCs w:val="30"/>
          <w:b/>
          <w:bCs/>
          <w:spacing w:val="-2"/>
        </w:rPr>
        <w:t>评价标准</w:t>
      </w:r>
    </w:p>
    <w:p>
      <w:pPr>
        <w:ind w:left="37"/>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2.7.1  </w:t>
      </w:r>
      <w:r>
        <w:rPr>
          <w:rFonts w:ascii="SimHei" w:hAnsi="SimHei" w:eastAsia="SimHei" w:cs="SimHei"/>
          <w:sz w:val="28"/>
          <w:szCs w:val="28"/>
          <w:b/>
          <w:bCs/>
          <w:spacing w:val="-2"/>
        </w:rPr>
        <w:t>环境质量标准</w:t>
      </w:r>
    </w:p>
    <w:p>
      <w:pPr>
        <w:ind w:left="36"/>
        <w:spacing w:before="201"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2.7.1.1  </w:t>
      </w:r>
      <w:r>
        <w:rPr>
          <w:rFonts w:ascii="SimHei" w:hAnsi="SimHei" w:eastAsia="SimHei" w:cs="SimHei"/>
          <w:sz w:val="24"/>
          <w:szCs w:val="24"/>
          <w:b/>
          <w:bCs/>
          <w:spacing w:val="-2"/>
        </w:rPr>
        <w:t>环境空气质量标准</w:t>
      </w:r>
    </w:p>
    <w:p>
      <w:pPr>
        <w:ind w:left="41" w:right="35" w:firstLine="482"/>
        <w:spacing w:before="161" w:line="340" w:lineRule="auto"/>
        <w:rPr>
          <w:rFonts w:ascii="SimSun" w:hAnsi="SimSun" w:eastAsia="SimSun" w:cs="SimSun"/>
          <w:sz w:val="24"/>
          <w:szCs w:val="24"/>
        </w:rPr>
      </w:pPr>
      <w:r>
        <w:rPr>
          <w:rFonts w:ascii="SimSun" w:hAnsi="SimSun" w:eastAsia="SimSun" w:cs="SimSun"/>
          <w:sz w:val="24"/>
          <w:szCs w:val="24"/>
        </w:rPr>
        <w:t>项目所在地环境空气执行《环境空气质量标准》（</w:t>
      </w:r>
      <w:r>
        <w:rPr>
          <w:rFonts w:ascii="Times New Roman" w:hAnsi="Times New Roman" w:eastAsia="Times New Roman" w:cs="Times New Roman"/>
          <w:sz w:val="24"/>
          <w:szCs w:val="24"/>
        </w:rPr>
        <w:t>GB3095-2026</w:t>
      </w:r>
      <w:r>
        <w:rPr>
          <w:rFonts w:ascii="SimSun" w:hAnsi="SimSun" w:eastAsia="SimSun" w:cs="SimSun"/>
          <w:sz w:val="24"/>
          <w:szCs w:val="24"/>
        </w:rPr>
        <w:t>）中二级标准，详</w:t>
      </w:r>
      <w:r>
        <w:rPr>
          <w:rFonts w:ascii="SimSun" w:hAnsi="SimSun" w:eastAsia="SimSun" w:cs="SimSun"/>
          <w:sz w:val="24"/>
          <w:szCs w:val="24"/>
          <w:spacing w:val="-2"/>
        </w:rPr>
        <w:t>细标准值见表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2-7-1</w:t>
      </w:r>
      <w:r>
        <w:rPr>
          <w:rFonts w:ascii="SimSun" w:hAnsi="SimSun" w:eastAsia="SimSun" w:cs="SimSun"/>
          <w:sz w:val="24"/>
          <w:szCs w:val="24"/>
          <w:spacing w:val="-2"/>
        </w:rPr>
        <w:t>。</w:t>
      </w:r>
    </w:p>
    <w:p>
      <w:pPr>
        <w:ind w:left="3376"/>
        <w:spacing w:before="125" w:line="219" w:lineRule="auto"/>
        <w:rPr>
          <w:rFonts w:ascii="SimHei" w:hAnsi="SimHei" w:eastAsia="SimHei" w:cs="SimHei"/>
          <w:sz w:val="24"/>
          <w:szCs w:val="24"/>
        </w:rPr>
      </w:pPr>
      <w:r>
        <w:rPr>
          <w:rFonts w:ascii="SimHei" w:hAnsi="SimHei" w:eastAsia="SimHei" w:cs="SimHei"/>
          <w:sz w:val="24"/>
          <w:szCs w:val="24"/>
          <w:spacing w:val="-1"/>
        </w:rPr>
        <w:t>环境空气质量执行标准</w:t>
      </w:r>
    </w:p>
    <w:p>
      <w:pPr>
        <w:ind w:left="38"/>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2-7-1</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01"/>
        <w:gridCol w:w="2689"/>
        <w:gridCol w:w="1197"/>
        <w:gridCol w:w="1199"/>
        <w:gridCol w:w="2245"/>
      </w:tblGrid>
      <w:tr>
        <w:trPr>
          <w:trHeight w:val="554" w:hRule="atLeast"/>
        </w:trPr>
        <w:tc>
          <w:tcPr>
            <w:tcW w:w="1801" w:type="dxa"/>
            <w:vAlign w:val="top"/>
          </w:tcPr>
          <w:p>
            <w:pPr>
              <w:ind w:left="384"/>
              <w:spacing w:before="168" w:line="228" w:lineRule="auto"/>
              <w:rPr>
                <w:rFonts w:ascii="SimSun" w:hAnsi="SimSun" w:eastAsia="SimSun" w:cs="SimSun"/>
                <w:sz w:val="20"/>
                <w:szCs w:val="20"/>
              </w:rPr>
            </w:pPr>
            <w:r>
              <w:rPr>
                <w:rFonts w:ascii="SimSun" w:hAnsi="SimSun" w:eastAsia="SimSun" w:cs="SimSun"/>
                <w:sz w:val="20"/>
                <w:szCs w:val="20"/>
                <w:spacing w:val="7"/>
              </w:rPr>
              <w:t>污染物名称</w:t>
            </w:r>
          </w:p>
        </w:tc>
        <w:tc>
          <w:tcPr>
            <w:tcW w:w="2689" w:type="dxa"/>
            <w:vAlign w:val="top"/>
          </w:tcPr>
          <w:p>
            <w:pPr>
              <w:ind w:left="931"/>
              <w:spacing w:before="167" w:line="228" w:lineRule="auto"/>
              <w:rPr>
                <w:rFonts w:ascii="SimSun" w:hAnsi="SimSun" w:eastAsia="SimSun" w:cs="SimSun"/>
                <w:sz w:val="20"/>
                <w:szCs w:val="20"/>
              </w:rPr>
            </w:pPr>
            <w:r>
              <w:rPr>
                <w:rFonts w:ascii="SimSun" w:hAnsi="SimSun" w:eastAsia="SimSun" w:cs="SimSun"/>
                <w:sz w:val="20"/>
                <w:szCs w:val="20"/>
                <w:spacing w:val="6"/>
              </w:rPr>
              <w:t>取值时间</w:t>
            </w:r>
          </w:p>
        </w:tc>
        <w:tc>
          <w:tcPr>
            <w:tcW w:w="1197" w:type="dxa"/>
            <w:vAlign w:val="top"/>
          </w:tcPr>
          <w:p>
            <w:pPr>
              <w:ind w:left="292" w:right="70" w:hanging="211"/>
              <w:spacing w:before="34" w:line="235" w:lineRule="auto"/>
              <w:rPr>
                <w:rFonts w:ascii="SimSun" w:hAnsi="SimSun" w:eastAsia="SimSun" w:cs="SimSun"/>
                <w:sz w:val="20"/>
                <w:szCs w:val="20"/>
              </w:rPr>
            </w:pPr>
            <w:r>
              <w:rPr>
                <w:rFonts w:ascii="SimSun" w:hAnsi="SimSun" w:eastAsia="SimSun" w:cs="SimSun"/>
                <w:sz w:val="20"/>
                <w:szCs w:val="20"/>
                <w:spacing w:val="8"/>
              </w:rPr>
              <w:t>过度阶段二</w:t>
            </w:r>
            <w:r>
              <w:rPr>
                <w:rFonts w:ascii="SimSun" w:hAnsi="SimSun" w:eastAsia="SimSun" w:cs="SimSun"/>
                <w:sz w:val="20"/>
                <w:szCs w:val="20"/>
                <w:spacing w:val="5"/>
              </w:rPr>
              <w:t>级标准</w:t>
            </w:r>
          </w:p>
        </w:tc>
        <w:tc>
          <w:tcPr>
            <w:tcW w:w="1199" w:type="dxa"/>
            <w:vAlign w:val="top"/>
          </w:tcPr>
          <w:p>
            <w:pPr>
              <w:ind w:left="189"/>
              <w:spacing w:before="168" w:line="228" w:lineRule="auto"/>
              <w:rPr>
                <w:rFonts w:ascii="SimSun" w:hAnsi="SimSun" w:eastAsia="SimSun" w:cs="SimSun"/>
                <w:sz w:val="20"/>
                <w:szCs w:val="20"/>
              </w:rPr>
            </w:pPr>
            <w:r>
              <w:rPr>
                <w:rFonts w:ascii="SimSun" w:hAnsi="SimSun" w:eastAsia="SimSun" w:cs="SimSun"/>
                <w:sz w:val="20"/>
                <w:szCs w:val="20"/>
                <w:spacing w:val="6"/>
              </w:rPr>
              <w:t>二级标准</w:t>
            </w:r>
          </w:p>
        </w:tc>
        <w:tc>
          <w:tcPr>
            <w:tcW w:w="2245" w:type="dxa"/>
            <w:vAlign w:val="top"/>
          </w:tcPr>
          <w:p>
            <w:pPr>
              <w:ind w:left="918"/>
              <w:spacing w:before="168" w:line="228" w:lineRule="auto"/>
              <w:rPr>
                <w:rFonts w:ascii="SimSun" w:hAnsi="SimSun" w:eastAsia="SimSun" w:cs="SimSun"/>
                <w:sz w:val="20"/>
                <w:szCs w:val="20"/>
              </w:rPr>
            </w:pPr>
            <w:r>
              <w:rPr>
                <w:rFonts w:ascii="SimSun" w:hAnsi="SimSun" w:eastAsia="SimSun" w:cs="SimSun"/>
                <w:sz w:val="20"/>
                <w:szCs w:val="20"/>
                <w:spacing w:val="3"/>
              </w:rPr>
              <w:t>单位</w:t>
            </w:r>
          </w:p>
        </w:tc>
      </w:tr>
      <w:tr>
        <w:trPr>
          <w:trHeight w:val="278" w:hRule="atLeast"/>
        </w:trPr>
        <w:tc>
          <w:tcPr>
            <w:tcW w:w="1801" w:type="dxa"/>
            <w:vAlign w:val="top"/>
            <w:vMerge w:val="restart"/>
            <w:tcBorders>
              <w:bottom w:val="nil"/>
            </w:tcBorders>
          </w:tcPr>
          <w:p>
            <w:pPr>
              <w:pStyle w:val="TableText"/>
              <w:ind w:left="723"/>
              <w:spacing w:before="206" w:line="195" w:lineRule="auto"/>
              <w:rPr/>
            </w:pPr>
            <w:r>
              <w:rPr>
                <w:spacing w:val="3"/>
              </w:rPr>
              <w:t>TSP</w:t>
            </w:r>
          </w:p>
        </w:tc>
        <w:tc>
          <w:tcPr>
            <w:tcW w:w="2689" w:type="dxa"/>
            <w:vAlign w:val="top"/>
          </w:tcPr>
          <w:p>
            <w:pPr>
              <w:ind w:left="1034"/>
              <w:spacing w:before="29" w:line="220" w:lineRule="auto"/>
              <w:rPr>
                <w:rFonts w:ascii="SimSun" w:hAnsi="SimSun" w:eastAsia="SimSun" w:cs="SimSun"/>
                <w:sz w:val="20"/>
                <w:szCs w:val="20"/>
              </w:rPr>
            </w:pPr>
            <w:r>
              <w:rPr>
                <w:rFonts w:ascii="SimSun" w:hAnsi="SimSun" w:eastAsia="SimSun" w:cs="SimSun"/>
                <w:sz w:val="20"/>
                <w:szCs w:val="20"/>
                <w:spacing w:val="6"/>
              </w:rPr>
              <w:t>年平均</w:t>
            </w:r>
          </w:p>
        </w:tc>
        <w:tc>
          <w:tcPr>
            <w:tcW w:w="1197" w:type="dxa"/>
            <w:vAlign w:val="top"/>
          </w:tcPr>
          <w:p>
            <w:pPr>
              <w:pStyle w:val="TableText"/>
              <w:ind w:left="569"/>
              <w:spacing w:before="61" w:line="199" w:lineRule="auto"/>
              <w:rPr/>
            </w:pPr>
            <w:r>
              <w:rPr>
                <w:spacing w:val="2"/>
              </w:rPr>
              <w:t>/</w:t>
            </w:r>
          </w:p>
        </w:tc>
        <w:tc>
          <w:tcPr>
            <w:tcW w:w="1199" w:type="dxa"/>
            <w:vAlign w:val="top"/>
          </w:tcPr>
          <w:p>
            <w:pPr>
              <w:pStyle w:val="TableText"/>
              <w:ind w:left="444"/>
              <w:spacing w:before="65" w:line="195" w:lineRule="auto"/>
              <w:rPr/>
            </w:pPr>
            <w:r>
              <w:rPr>
                <w:spacing w:val="3"/>
              </w:rPr>
              <w:t>200</w:t>
            </w:r>
          </w:p>
        </w:tc>
        <w:tc>
          <w:tcPr>
            <w:tcW w:w="2245" w:type="dxa"/>
            <w:vAlign w:val="top"/>
            <w:vMerge w:val="restart"/>
            <w:tcBorders>
              <w:bottom w:val="nil"/>
            </w:tcBorders>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877"/>
              <w:spacing w:before="57" w:line="218" w:lineRule="auto"/>
              <w:rPr>
                <w:sz w:val="13"/>
                <w:szCs w:val="13"/>
              </w:rPr>
            </w:pPr>
            <w:r>
              <w:rPr>
                <w:spacing w:val="2"/>
              </w:rPr>
              <w:t>μg/m</w:t>
            </w:r>
            <w:r>
              <w:rPr>
                <w:sz w:val="13"/>
                <w:szCs w:val="13"/>
                <w:spacing w:val="2"/>
                <w:position w:val="6"/>
              </w:rPr>
              <w:t>3</w:t>
            </w:r>
          </w:p>
        </w:tc>
      </w:tr>
      <w:tr>
        <w:trPr>
          <w:trHeight w:val="275"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792"/>
              <w:spacing w:before="29" w:line="217"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569"/>
              <w:spacing w:before="61" w:line="199" w:lineRule="auto"/>
              <w:rPr/>
            </w:pPr>
            <w:r>
              <w:rPr>
                <w:spacing w:val="2"/>
              </w:rPr>
              <w:t>/</w:t>
            </w:r>
          </w:p>
        </w:tc>
        <w:tc>
          <w:tcPr>
            <w:tcW w:w="1199" w:type="dxa"/>
            <w:vAlign w:val="top"/>
          </w:tcPr>
          <w:p>
            <w:pPr>
              <w:pStyle w:val="TableText"/>
              <w:ind w:left="448"/>
              <w:spacing w:before="65" w:line="195" w:lineRule="auto"/>
              <w:rPr/>
            </w:pPr>
            <w:r>
              <w:rPr>
                <w:spacing w:val="2"/>
              </w:rPr>
              <w:t>300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restart"/>
            <w:tcBorders>
              <w:bottom w:val="nil"/>
            </w:tcBorders>
          </w:tcPr>
          <w:p>
            <w:pPr>
              <w:pStyle w:val="TableText"/>
              <w:ind w:left="617"/>
              <w:spacing w:before="207" w:line="195" w:lineRule="auto"/>
              <w:rPr/>
            </w:pPr>
            <w:r>
              <w:rPr/>
              <w:t>PM</w:t>
            </w:r>
            <w:r>
              <w:rPr>
                <w:spacing w:val="7"/>
              </w:rPr>
              <w:t>2.5</w:t>
            </w:r>
          </w:p>
        </w:tc>
        <w:tc>
          <w:tcPr>
            <w:tcW w:w="2689" w:type="dxa"/>
            <w:vAlign w:val="top"/>
          </w:tcPr>
          <w:p>
            <w:pPr>
              <w:ind w:left="1034"/>
              <w:spacing w:before="30" w:line="219" w:lineRule="auto"/>
              <w:rPr>
                <w:rFonts w:ascii="SimSun" w:hAnsi="SimSun" w:eastAsia="SimSun" w:cs="SimSun"/>
                <w:sz w:val="20"/>
                <w:szCs w:val="20"/>
              </w:rPr>
            </w:pPr>
            <w:r>
              <w:rPr>
                <w:rFonts w:ascii="SimSun" w:hAnsi="SimSun" w:eastAsia="SimSun" w:cs="SimSun"/>
                <w:sz w:val="20"/>
                <w:szCs w:val="20"/>
                <w:spacing w:val="6"/>
              </w:rPr>
              <w:t>年平均</w:t>
            </w:r>
          </w:p>
        </w:tc>
        <w:tc>
          <w:tcPr>
            <w:tcW w:w="1197" w:type="dxa"/>
            <w:vAlign w:val="top"/>
          </w:tcPr>
          <w:p>
            <w:pPr>
              <w:pStyle w:val="TableText"/>
              <w:ind w:left="500"/>
              <w:spacing w:before="66" w:line="195" w:lineRule="auto"/>
              <w:rPr/>
            </w:pPr>
            <w:r>
              <w:rPr/>
              <w:t>30</w:t>
            </w:r>
          </w:p>
        </w:tc>
        <w:tc>
          <w:tcPr>
            <w:tcW w:w="1199" w:type="dxa"/>
            <w:vAlign w:val="top"/>
          </w:tcPr>
          <w:p>
            <w:pPr>
              <w:pStyle w:val="TableText"/>
              <w:ind w:left="497"/>
              <w:spacing w:before="66" w:line="195" w:lineRule="auto"/>
              <w:rPr/>
            </w:pPr>
            <w:r>
              <w:rPr>
                <w:spacing w:val="2"/>
              </w:rPr>
              <w:t>25</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792"/>
              <w:spacing w:before="30" w:line="219"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501"/>
              <w:spacing w:before="66" w:line="195" w:lineRule="auto"/>
              <w:rPr/>
            </w:pPr>
            <w:r>
              <w:rPr/>
              <w:t>60</w:t>
            </w:r>
          </w:p>
        </w:tc>
        <w:tc>
          <w:tcPr>
            <w:tcW w:w="1199" w:type="dxa"/>
            <w:vAlign w:val="top"/>
          </w:tcPr>
          <w:p>
            <w:pPr>
              <w:pStyle w:val="TableText"/>
              <w:ind w:left="502"/>
              <w:spacing w:before="66" w:line="195" w:lineRule="auto"/>
              <w:rPr/>
            </w:pPr>
            <w:r>
              <w:rPr/>
              <w:t>50</w:t>
            </w:r>
          </w:p>
        </w:tc>
        <w:tc>
          <w:tcPr>
            <w:tcW w:w="2245" w:type="dxa"/>
            <w:vAlign w:val="top"/>
            <w:vMerge w:val="continue"/>
            <w:tcBorders>
              <w:top w:val="nil"/>
              <w:bottom w:val="nil"/>
            </w:tcBorders>
          </w:tcPr>
          <w:p>
            <w:pPr>
              <w:rPr>
                <w:rFonts w:ascii="Arial"/>
                <w:sz w:val="21"/>
              </w:rPr>
            </w:pPr>
            <w:r/>
          </w:p>
        </w:tc>
      </w:tr>
      <w:tr>
        <w:trPr>
          <w:trHeight w:val="275" w:hRule="atLeast"/>
        </w:trPr>
        <w:tc>
          <w:tcPr>
            <w:tcW w:w="1801" w:type="dxa"/>
            <w:vAlign w:val="top"/>
            <w:vMerge w:val="restart"/>
            <w:tcBorders>
              <w:bottom w:val="nil"/>
            </w:tcBorders>
          </w:tcPr>
          <w:p>
            <w:pPr>
              <w:pStyle w:val="TableText"/>
              <w:ind w:left="641"/>
              <w:spacing w:before="205" w:line="195" w:lineRule="auto"/>
              <w:rPr/>
            </w:pPr>
            <w:r>
              <w:rPr/>
              <w:t>PM</w:t>
            </w:r>
            <w:r>
              <w:rPr>
                <w:spacing w:val="9"/>
              </w:rPr>
              <w:t>10</w:t>
            </w:r>
          </w:p>
        </w:tc>
        <w:tc>
          <w:tcPr>
            <w:tcW w:w="2689" w:type="dxa"/>
            <w:vAlign w:val="top"/>
          </w:tcPr>
          <w:p>
            <w:pPr>
              <w:ind w:left="1034"/>
              <w:spacing w:before="27" w:line="219" w:lineRule="auto"/>
              <w:rPr>
                <w:rFonts w:ascii="SimSun" w:hAnsi="SimSun" w:eastAsia="SimSun" w:cs="SimSun"/>
                <w:sz w:val="20"/>
                <w:szCs w:val="20"/>
              </w:rPr>
            </w:pPr>
            <w:r>
              <w:rPr>
                <w:rFonts w:ascii="SimSun" w:hAnsi="SimSun" w:eastAsia="SimSun" w:cs="SimSun"/>
                <w:sz w:val="20"/>
                <w:szCs w:val="20"/>
                <w:spacing w:val="6"/>
              </w:rPr>
              <w:t>年平均</w:t>
            </w:r>
          </w:p>
        </w:tc>
        <w:tc>
          <w:tcPr>
            <w:tcW w:w="1197" w:type="dxa"/>
            <w:vAlign w:val="top"/>
          </w:tcPr>
          <w:p>
            <w:pPr>
              <w:pStyle w:val="TableText"/>
              <w:ind w:left="501"/>
              <w:spacing w:before="64" w:line="195" w:lineRule="auto"/>
              <w:rPr/>
            </w:pPr>
            <w:r>
              <w:rPr/>
              <w:t>60</w:t>
            </w:r>
          </w:p>
        </w:tc>
        <w:tc>
          <w:tcPr>
            <w:tcW w:w="1199" w:type="dxa"/>
            <w:vAlign w:val="top"/>
          </w:tcPr>
          <w:p>
            <w:pPr>
              <w:pStyle w:val="TableText"/>
              <w:ind w:left="502"/>
              <w:spacing w:before="64" w:line="195" w:lineRule="auto"/>
              <w:rPr/>
            </w:pPr>
            <w:r>
              <w:rPr/>
              <w:t>50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792"/>
              <w:spacing w:before="31" w:line="218"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463"/>
              <w:spacing w:before="67" w:line="195" w:lineRule="auto"/>
              <w:rPr/>
            </w:pPr>
            <w:r>
              <w:rPr>
                <w:spacing w:val="-4"/>
              </w:rPr>
              <w:t>120</w:t>
            </w:r>
          </w:p>
        </w:tc>
        <w:tc>
          <w:tcPr>
            <w:tcW w:w="1199" w:type="dxa"/>
            <w:vAlign w:val="top"/>
          </w:tcPr>
          <w:p>
            <w:pPr>
              <w:pStyle w:val="TableText"/>
              <w:ind w:left="464"/>
              <w:spacing w:before="67" w:line="195" w:lineRule="auto"/>
              <w:rPr/>
            </w:pPr>
            <w:r>
              <w:rPr>
                <w:spacing w:val="-3"/>
              </w:rPr>
              <w:t>100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restart"/>
            <w:tcBorders>
              <w:bottom w:val="nil"/>
            </w:tcBorders>
          </w:tcPr>
          <w:p>
            <w:pPr>
              <w:spacing w:line="289" w:lineRule="auto"/>
              <w:rPr>
                <w:rFonts w:ascii="Arial"/>
                <w:sz w:val="21"/>
              </w:rPr>
            </w:pPr>
            <w:r/>
          </w:p>
          <w:p>
            <w:pPr>
              <w:pStyle w:val="TableText"/>
              <w:ind w:left="742"/>
              <w:spacing w:before="57" w:line="202" w:lineRule="auto"/>
              <w:rPr>
                <w:sz w:val="13"/>
                <w:szCs w:val="13"/>
              </w:rPr>
            </w:pPr>
            <w:r>
              <w:rPr/>
              <w:t>SO</w:t>
            </w:r>
            <w:r>
              <w:rPr>
                <w:sz w:val="13"/>
                <w:szCs w:val="13"/>
                <w:spacing w:val="3"/>
                <w:position w:val="-1"/>
              </w:rPr>
              <w:t>2</w:t>
            </w:r>
          </w:p>
        </w:tc>
        <w:tc>
          <w:tcPr>
            <w:tcW w:w="2689" w:type="dxa"/>
            <w:vAlign w:val="top"/>
          </w:tcPr>
          <w:p>
            <w:pPr>
              <w:ind w:left="1034"/>
              <w:spacing w:before="31" w:line="218" w:lineRule="auto"/>
              <w:rPr>
                <w:rFonts w:ascii="SimSun" w:hAnsi="SimSun" w:eastAsia="SimSun" w:cs="SimSun"/>
                <w:sz w:val="20"/>
                <w:szCs w:val="20"/>
              </w:rPr>
            </w:pPr>
            <w:r>
              <w:rPr>
                <w:rFonts w:ascii="SimSun" w:hAnsi="SimSun" w:eastAsia="SimSun" w:cs="SimSun"/>
                <w:sz w:val="20"/>
                <w:szCs w:val="20"/>
                <w:spacing w:val="6"/>
              </w:rPr>
              <w:t>年平均</w:t>
            </w:r>
          </w:p>
        </w:tc>
        <w:tc>
          <w:tcPr>
            <w:tcW w:w="1197" w:type="dxa"/>
            <w:vAlign w:val="top"/>
          </w:tcPr>
          <w:p>
            <w:pPr>
              <w:pStyle w:val="TableText"/>
              <w:ind w:left="501"/>
              <w:spacing w:before="67" w:line="195" w:lineRule="auto"/>
              <w:rPr/>
            </w:pPr>
            <w:r>
              <w:rPr/>
              <w:t>60</w:t>
            </w:r>
          </w:p>
        </w:tc>
        <w:tc>
          <w:tcPr>
            <w:tcW w:w="1199" w:type="dxa"/>
            <w:vAlign w:val="top"/>
          </w:tcPr>
          <w:p>
            <w:pPr>
              <w:pStyle w:val="TableText"/>
              <w:ind w:left="497"/>
              <w:spacing w:before="67" w:line="195" w:lineRule="auto"/>
              <w:rPr/>
            </w:pPr>
            <w:r>
              <w:rPr>
                <w:spacing w:val="2"/>
              </w:rPr>
              <w:t>20</w:t>
            </w:r>
          </w:p>
        </w:tc>
        <w:tc>
          <w:tcPr>
            <w:tcW w:w="2245" w:type="dxa"/>
            <w:vAlign w:val="top"/>
            <w:vMerge w:val="continue"/>
            <w:tcBorders>
              <w:top w:val="nil"/>
              <w:bottom w:val="nil"/>
            </w:tcBorders>
          </w:tcPr>
          <w:p>
            <w:pPr>
              <w:rPr>
                <w:rFonts w:ascii="Arial"/>
                <w:sz w:val="21"/>
              </w:rPr>
            </w:pPr>
            <w:r/>
          </w:p>
        </w:tc>
      </w:tr>
      <w:tr>
        <w:trPr>
          <w:trHeight w:val="276" w:hRule="atLeast"/>
        </w:trPr>
        <w:tc>
          <w:tcPr>
            <w:tcW w:w="1801" w:type="dxa"/>
            <w:vAlign w:val="top"/>
            <w:vMerge w:val="continue"/>
            <w:tcBorders>
              <w:top w:val="nil"/>
              <w:bottom w:val="nil"/>
            </w:tcBorders>
          </w:tcPr>
          <w:p>
            <w:pPr>
              <w:rPr>
                <w:rFonts w:ascii="Arial"/>
                <w:sz w:val="21"/>
              </w:rPr>
            </w:pPr>
            <w:r/>
          </w:p>
        </w:tc>
        <w:tc>
          <w:tcPr>
            <w:tcW w:w="2689" w:type="dxa"/>
            <w:vAlign w:val="top"/>
          </w:tcPr>
          <w:p>
            <w:pPr>
              <w:pStyle w:val="TableText"/>
              <w:ind w:left="792"/>
              <w:spacing w:before="29" w:line="218"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463"/>
              <w:spacing w:before="65" w:line="195" w:lineRule="auto"/>
              <w:rPr/>
            </w:pPr>
            <w:r>
              <w:rPr>
                <w:spacing w:val="-3"/>
              </w:rPr>
              <w:t>150</w:t>
            </w:r>
          </w:p>
        </w:tc>
        <w:tc>
          <w:tcPr>
            <w:tcW w:w="1199" w:type="dxa"/>
            <w:vAlign w:val="top"/>
          </w:tcPr>
          <w:p>
            <w:pPr>
              <w:pStyle w:val="TableText"/>
              <w:ind w:left="502"/>
              <w:spacing w:before="65" w:line="195" w:lineRule="auto"/>
              <w:rPr/>
            </w:pPr>
            <w:r>
              <w:rPr/>
              <w:t>50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865"/>
              <w:spacing w:before="31" w:line="218" w:lineRule="auto"/>
              <w:rPr>
                <w:rFonts w:ascii="SimSun" w:hAnsi="SimSun" w:eastAsia="SimSun" w:cs="SimSun"/>
              </w:rPr>
            </w:pPr>
            <w:r>
              <w:rPr/>
              <w:t>1</w:t>
            </w:r>
            <w:r>
              <w:rPr>
                <w:spacing w:val="18"/>
              </w:rPr>
              <w:t xml:space="preserve"> </w:t>
            </w:r>
            <w:r>
              <w:rPr>
                <w:rFonts w:ascii="SimSun" w:hAnsi="SimSun" w:eastAsia="SimSun" w:cs="SimSun"/>
              </w:rPr>
              <w:t>小时平均</w:t>
            </w:r>
          </w:p>
        </w:tc>
        <w:tc>
          <w:tcPr>
            <w:tcW w:w="1197" w:type="dxa"/>
            <w:vAlign w:val="top"/>
          </w:tcPr>
          <w:p>
            <w:pPr>
              <w:pStyle w:val="TableText"/>
              <w:ind w:left="449"/>
              <w:spacing w:before="67" w:line="195" w:lineRule="auto"/>
              <w:rPr/>
            </w:pPr>
            <w:r>
              <w:rPr>
                <w:spacing w:val="1"/>
              </w:rPr>
              <w:t>500</w:t>
            </w:r>
          </w:p>
        </w:tc>
        <w:tc>
          <w:tcPr>
            <w:tcW w:w="1199" w:type="dxa"/>
            <w:vAlign w:val="top"/>
          </w:tcPr>
          <w:p>
            <w:pPr>
              <w:pStyle w:val="TableText"/>
              <w:ind w:left="464"/>
              <w:spacing w:before="67" w:line="195" w:lineRule="auto"/>
              <w:rPr/>
            </w:pPr>
            <w:r>
              <w:rPr>
                <w:spacing w:val="-3"/>
              </w:rPr>
              <w:t>150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restart"/>
            <w:tcBorders>
              <w:bottom w:val="nil"/>
            </w:tcBorders>
          </w:tcPr>
          <w:p>
            <w:pPr>
              <w:spacing w:line="289" w:lineRule="auto"/>
              <w:rPr>
                <w:rFonts w:ascii="Arial"/>
                <w:sz w:val="21"/>
              </w:rPr>
            </w:pPr>
            <w:r/>
          </w:p>
          <w:p>
            <w:pPr>
              <w:pStyle w:val="TableText"/>
              <w:ind w:left="707"/>
              <w:spacing w:before="57" w:line="202" w:lineRule="auto"/>
              <w:rPr>
                <w:sz w:val="13"/>
                <w:szCs w:val="13"/>
              </w:rPr>
            </w:pPr>
            <w:r>
              <w:rPr>
                <w:spacing w:val="7"/>
              </w:rPr>
              <w:t>NO</w:t>
            </w:r>
            <w:r>
              <w:rPr>
                <w:sz w:val="13"/>
                <w:szCs w:val="13"/>
                <w:spacing w:val="7"/>
                <w:position w:val="-1"/>
              </w:rPr>
              <w:t>2</w:t>
            </w:r>
          </w:p>
        </w:tc>
        <w:tc>
          <w:tcPr>
            <w:tcW w:w="2689" w:type="dxa"/>
            <w:vAlign w:val="top"/>
          </w:tcPr>
          <w:p>
            <w:pPr>
              <w:ind w:left="1034"/>
              <w:spacing w:before="31" w:line="218" w:lineRule="auto"/>
              <w:rPr>
                <w:rFonts w:ascii="SimSun" w:hAnsi="SimSun" w:eastAsia="SimSun" w:cs="SimSun"/>
                <w:sz w:val="20"/>
                <w:szCs w:val="20"/>
              </w:rPr>
            </w:pPr>
            <w:r>
              <w:rPr>
                <w:rFonts w:ascii="SimSun" w:hAnsi="SimSun" w:eastAsia="SimSun" w:cs="SimSun"/>
                <w:sz w:val="20"/>
                <w:szCs w:val="20"/>
                <w:spacing w:val="6"/>
              </w:rPr>
              <w:t>年平均</w:t>
            </w:r>
          </w:p>
        </w:tc>
        <w:tc>
          <w:tcPr>
            <w:tcW w:w="1197" w:type="dxa"/>
            <w:vAlign w:val="top"/>
          </w:tcPr>
          <w:p>
            <w:pPr>
              <w:pStyle w:val="TableText"/>
              <w:ind w:left="495"/>
              <w:spacing w:before="67" w:line="195" w:lineRule="auto"/>
              <w:rPr/>
            </w:pPr>
            <w:r>
              <w:rPr>
                <w:spacing w:val="3"/>
              </w:rPr>
              <w:t>40</w:t>
            </w:r>
          </w:p>
        </w:tc>
        <w:tc>
          <w:tcPr>
            <w:tcW w:w="1199" w:type="dxa"/>
            <w:vAlign w:val="top"/>
          </w:tcPr>
          <w:p>
            <w:pPr>
              <w:pStyle w:val="TableText"/>
              <w:ind w:left="501"/>
              <w:spacing w:before="67" w:line="195" w:lineRule="auto"/>
              <w:rPr/>
            </w:pPr>
            <w:r>
              <w:rPr/>
              <w:t>30</w:t>
            </w:r>
          </w:p>
        </w:tc>
        <w:tc>
          <w:tcPr>
            <w:tcW w:w="2245" w:type="dxa"/>
            <w:vAlign w:val="top"/>
            <w:vMerge w:val="continue"/>
            <w:tcBorders>
              <w:top w:val="nil"/>
              <w:bottom w:val="nil"/>
            </w:tcBorders>
          </w:tcPr>
          <w:p>
            <w:pPr>
              <w:rPr>
                <w:rFonts w:ascii="Arial"/>
                <w:sz w:val="21"/>
              </w:rPr>
            </w:pPr>
            <w:r/>
          </w:p>
        </w:tc>
      </w:tr>
      <w:tr>
        <w:trPr>
          <w:trHeight w:val="275" w:hRule="atLeast"/>
        </w:trPr>
        <w:tc>
          <w:tcPr>
            <w:tcW w:w="1801" w:type="dxa"/>
            <w:vAlign w:val="top"/>
            <w:vMerge w:val="continue"/>
            <w:tcBorders>
              <w:top w:val="nil"/>
              <w:bottom w:val="nil"/>
            </w:tcBorders>
          </w:tcPr>
          <w:p>
            <w:pPr>
              <w:rPr>
                <w:rFonts w:ascii="Arial"/>
                <w:sz w:val="21"/>
              </w:rPr>
            </w:pPr>
            <w:r/>
          </w:p>
        </w:tc>
        <w:tc>
          <w:tcPr>
            <w:tcW w:w="2689" w:type="dxa"/>
            <w:vAlign w:val="top"/>
          </w:tcPr>
          <w:p>
            <w:pPr>
              <w:pStyle w:val="TableText"/>
              <w:ind w:left="792"/>
              <w:spacing w:before="29" w:line="217"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504"/>
              <w:spacing w:before="65" w:line="195" w:lineRule="auto"/>
              <w:rPr/>
            </w:pPr>
            <w:r>
              <w:rPr>
                <w:spacing w:val="-2"/>
              </w:rPr>
              <w:t>80</w:t>
            </w:r>
          </w:p>
        </w:tc>
        <w:tc>
          <w:tcPr>
            <w:tcW w:w="1199" w:type="dxa"/>
            <w:vAlign w:val="top"/>
          </w:tcPr>
          <w:p>
            <w:pPr>
              <w:pStyle w:val="TableText"/>
              <w:ind w:left="502"/>
              <w:spacing w:before="65" w:line="195" w:lineRule="auto"/>
              <w:rPr/>
            </w:pPr>
            <w:r>
              <w:rPr/>
              <w:t>50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865"/>
              <w:spacing w:before="32" w:line="217" w:lineRule="auto"/>
              <w:rPr>
                <w:rFonts w:ascii="SimSun" w:hAnsi="SimSun" w:eastAsia="SimSun" w:cs="SimSun"/>
              </w:rPr>
            </w:pPr>
            <w:r>
              <w:rPr/>
              <w:t>1</w:t>
            </w:r>
            <w:r>
              <w:rPr>
                <w:spacing w:val="18"/>
              </w:rPr>
              <w:t xml:space="preserve"> </w:t>
            </w:r>
            <w:r>
              <w:rPr>
                <w:rFonts w:ascii="SimSun" w:hAnsi="SimSun" w:eastAsia="SimSun" w:cs="SimSun"/>
              </w:rPr>
              <w:t>小时平均</w:t>
            </w:r>
          </w:p>
        </w:tc>
        <w:tc>
          <w:tcPr>
            <w:tcW w:w="1197" w:type="dxa"/>
            <w:vAlign w:val="top"/>
          </w:tcPr>
          <w:p>
            <w:pPr>
              <w:pStyle w:val="TableText"/>
              <w:ind w:left="443"/>
              <w:spacing w:before="68" w:line="195" w:lineRule="auto"/>
              <w:rPr/>
            </w:pPr>
            <w:r>
              <w:rPr>
                <w:spacing w:val="3"/>
              </w:rPr>
              <w:t>200</w:t>
            </w:r>
          </w:p>
        </w:tc>
        <w:tc>
          <w:tcPr>
            <w:tcW w:w="1199" w:type="dxa"/>
            <w:vAlign w:val="top"/>
          </w:tcPr>
          <w:p>
            <w:pPr>
              <w:pStyle w:val="TableText"/>
              <w:ind w:left="444"/>
              <w:spacing w:before="68" w:line="195" w:lineRule="auto"/>
              <w:rPr/>
            </w:pPr>
            <w:r>
              <w:rPr>
                <w:spacing w:val="3"/>
              </w:rPr>
              <w:t>200</w:t>
            </w:r>
          </w:p>
        </w:tc>
        <w:tc>
          <w:tcPr>
            <w:tcW w:w="2245" w:type="dxa"/>
            <w:vAlign w:val="top"/>
            <w:vMerge w:val="continue"/>
            <w:tcBorders>
              <w:top w:val="nil"/>
              <w:bottom w:val="nil"/>
            </w:tcBorders>
          </w:tcPr>
          <w:p>
            <w:pPr>
              <w:rPr>
                <w:rFonts w:ascii="Arial"/>
                <w:sz w:val="21"/>
              </w:rPr>
            </w:pPr>
            <w:r/>
          </w:p>
        </w:tc>
      </w:tr>
      <w:tr>
        <w:trPr>
          <w:trHeight w:val="275" w:hRule="atLeast"/>
        </w:trPr>
        <w:tc>
          <w:tcPr>
            <w:tcW w:w="1801" w:type="dxa"/>
            <w:vAlign w:val="top"/>
            <w:vMerge w:val="restart"/>
            <w:tcBorders>
              <w:bottom w:val="nil"/>
            </w:tcBorders>
          </w:tcPr>
          <w:p>
            <w:pPr>
              <w:pStyle w:val="TableText"/>
              <w:ind w:left="794"/>
              <w:spacing w:before="210" w:line="202" w:lineRule="auto"/>
              <w:rPr>
                <w:sz w:val="13"/>
                <w:szCs w:val="13"/>
              </w:rPr>
            </w:pPr>
            <w:r>
              <w:rPr>
                <w:spacing w:val="1"/>
              </w:rPr>
              <w:t>O</w:t>
            </w:r>
            <w:r>
              <w:rPr>
                <w:sz w:val="13"/>
                <w:szCs w:val="13"/>
                <w:spacing w:val="1"/>
                <w:position w:val="-1"/>
              </w:rPr>
              <w:t>3</w:t>
            </w:r>
          </w:p>
        </w:tc>
        <w:tc>
          <w:tcPr>
            <w:tcW w:w="2689" w:type="dxa"/>
            <w:vAlign w:val="top"/>
          </w:tcPr>
          <w:p>
            <w:pPr>
              <w:pStyle w:val="TableText"/>
              <w:ind w:left="853"/>
              <w:spacing w:before="33" w:line="214" w:lineRule="auto"/>
              <w:rPr>
                <w:rFonts w:ascii="SimSun" w:hAnsi="SimSun" w:eastAsia="SimSun" w:cs="SimSun"/>
              </w:rPr>
            </w:pPr>
            <w:r>
              <w:rPr>
                <w:spacing w:val="3"/>
              </w:rPr>
              <w:t>8</w:t>
            </w:r>
            <w:r>
              <w:rPr>
                <w:spacing w:val="15"/>
              </w:rPr>
              <w:t xml:space="preserve"> </w:t>
            </w:r>
            <w:r>
              <w:rPr>
                <w:rFonts w:ascii="SimSun" w:hAnsi="SimSun" w:eastAsia="SimSun" w:cs="SimSun"/>
                <w:spacing w:val="3"/>
              </w:rPr>
              <w:t>小时平均</w:t>
            </w:r>
          </w:p>
        </w:tc>
        <w:tc>
          <w:tcPr>
            <w:tcW w:w="1197" w:type="dxa"/>
            <w:vAlign w:val="top"/>
          </w:tcPr>
          <w:p>
            <w:pPr>
              <w:pStyle w:val="TableText"/>
              <w:ind w:left="463"/>
              <w:spacing w:before="68" w:line="195" w:lineRule="auto"/>
              <w:rPr/>
            </w:pPr>
            <w:r>
              <w:rPr>
                <w:spacing w:val="-3"/>
              </w:rPr>
              <w:t>160</w:t>
            </w:r>
          </w:p>
        </w:tc>
        <w:tc>
          <w:tcPr>
            <w:tcW w:w="1199" w:type="dxa"/>
            <w:vAlign w:val="top"/>
          </w:tcPr>
          <w:p>
            <w:pPr>
              <w:pStyle w:val="TableText"/>
              <w:ind w:left="464"/>
              <w:spacing w:before="68" w:line="195" w:lineRule="auto"/>
              <w:rPr/>
            </w:pPr>
            <w:r>
              <w:rPr>
                <w:spacing w:val="-3"/>
              </w:rPr>
              <w:t>160</w:t>
            </w:r>
          </w:p>
        </w:tc>
        <w:tc>
          <w:tcPr>
            <w:tcW w:w="2245" w:type="dxa"/>
            <w:vAlign w:val="top"/>
            <w:vMerge w:val="continue"/>
            <w:tcBorders>
              <w:top w:val="nil"/>
              <w:bottom w:val="nil"/>
            </w:tcBorders>
          </w:tcPr>
          <w:p>
            <w:pPr>
              <w:rPr>
                <w:rFonts w:ascii="Arial"/>
                <w:sz w:val="21"/>
              </w:rPr>
            </w:pPr>
            <w:r/>
          </w:p>
        </w:tc>
      </w:tr>
      <w:tr>
        <w:trPr>
          <w:trHeight w:val="278"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865"/>
              <w:spacing w:before="36" w:line="214" w:lineRule="auto"/>
              <w:rPr>
                <w:rFonts w:ascii="SimSun" w:hAnsi="SimSun" w:eastAsia="SimSun" w:cs="SimSun"/>
              </w:rPr>
            </w:pPr>
            <w:r>
              <w:rPr/>
              <w:t>1</w:t>
            </w:r>
            <w:r>
              <w:rPr>
                <w:spacing w:val="18"/>
              </w:rPr>
              <w:t xml:space="preserve"> </w:t>
            </w:r>
            <w:r>
              <w:rPr>
                <w:rFonts w:ascii="SimSun" w:hAnsi="SimSun" w:eastAsia="SimSun" w:cs="SimSun"/>
              </w:rPr>
              <w:t>小时平均</w:t>
            </w:r>
          </w:p>
        </w:tc>
        <w:tc>
          <w:tcPr>
            <w:tcW w:w="1197" w:type="dxa"/>
            <w:vAlign w:val="top"/>
          </w:tcPr>
          <w:p>
            <w:pPr>
              <w:pStyle w:val="TableText"/>
              <w:ind w:left="443"/>
              <w:spacing w:before="72" w:line="195" w:lineRule="auto"/>
              <w:rPr/>
            </w:pPr>
            <w:r>
              <w:rPr>
                <w:spacing w:val="3"/>
              </w:rPr>
              <w:t>200</w:t>
            </w:r>
          </w:p>
        </w:tc>
        <w:tc>
          <w:tcPr>
            <w:tcW w:w="1199" w:type="dxa"/>
            <w:vAlign w:val="top"/>
          </w:tcPr>
          <w:p>
            <w:pPr>
              <w:pStyle w:val="TableText"/>
              <w:ind w:left="444"/>
              <w:spacing w:before="72" w:line="195" w:lineRule="auto"/>
              <w:rPr/>
            </w:pPr>
            <w:r>
              <w:rPr>
                <w:spacing w:val="3"/>
              </w:rPr>
              <w:t>200</w:t>
            </w:r>
          </w:p>
        </w:tc>
        <w:tc>
          <w:tcPr>
            <w:tcW w:w="2245" w:type="dxa"/>
            <w:vAlign w:val="top"/>
            <w:vMerge w:val="continue"/>
            <w:tcBorders>
              <w:top w:val="nil"/>
            </w:tcBorders>
          </w:tcPr>
          <w:p>
            <w:pPr>
              <w:rPr>
                <w:rFonts w:ascii="Arial"/>
                <w:sz w:val="21"/>
              </w:rPr>
            </w:pPr>
            <w:r/>
          </w:p>
        </w:tc>
      </w:tr>
      <w:tr>
        <w:trPr>
          <w:trHeight w:val="278" w:hRule="atLeast"/>
        </w:trPr>
        <w:tc>
          <w:tcPr>
            <w:tcW w:w="1801" w:type="dxa"/>
            <w:vAlign w:val="top"/>
            <w:vMerge w:val="restart"/>
            <w:tcBorders>
              <w:bottom w:val="nil"/>
            </w:tcBorders>
          </w:tcPr>
          <w:p>
            <w:pPr>
              <w:pStyle w:val="TableText"/>
              <w:ind w:left="758"/>
              <w:spacing w:before="211" w:line="195" w:lineRule="auto"/>
              <w:rPr/>
            </w:pPr>
            <w:r>
              <w:rPr>
                <w:spacing w:val="2"/>
              </w:rPr>
              <w:t>CO</w:t>
            </w:r>
          </w:p>
        </w:tc>
        <w:tc>
          <w:tcPr>
            <w:tcW w:w="2689" w:type="dxa"/>
            <w:vAlign w:val="top"/>
          </w:tcPr>
          <w:p>
            <w:pPr>
              <w:pStyle w:val="TableText"/>
              <w:ind w:left="792"/>
              <w:spacing w:before="34" w:line="216" w:lineRule="auto"/>
              <w:rPr>
                <w:rFonts w:ascii="SimSun" w:hAnsi="SimSun" w:eastAsia="SimSun" w:cs="SimSun"/>
              </w:rPr>
            </w:pPr>
            <w:r>
              <w:rPr>
                <w:spacing w:val="4"/>
              </w:rPr>
              <w:t>24</w:t>
            </w:r>
            <w:r>
              <w:rPr>
                <w:spacing w:val="20"/>
              </w:rPr>
              <w:t xml:space="preserve"> </w:t>
            </w:r>
            <w:r>
              <w:rPr>
                <w:rFonts w:ascii="SimSun" w:hAnsi="SimSun" w:eastAsia="SimSun" w:cs="SimSun"/>
                <w:spacing w:val="4"/>
              </w:rPr>
              <w:t>小时平均</w:t>
            </w:r>
          </w:p>
        </w:tc>
        <w:tc>
          <w:tcPr>
            <w:tcW w:w="1197" w:type="dxa"/>
            <w:vAlign w:val="top"/>
          </w:tcPr>
          <w:p>
            <w:pPr>
              <w:pStyle w:val="TableText"/>
              <w:ind w:left="548"/>
              <w:spacing w:before="70" w:line="195" w:lineRule="auto"/>
              <w:rPr/>
            </w:pPr>
            <w:r>
              <w:rPr>
                <w:spacing w:val="1"/>
              </w:rPr>
              <w:t>4</w:t>
            </w:r>
          </w:p>
        </w:tc>
        <w:tc>
          <w:tcPr>
            <w:tcW w:w="1199" w:type="dxa"/>
            <w:vAlign w:val="top"/>
          </w:tcPr>
          <w:p>
            <w:pPr>
              <w:pStyle w:val="TableText"/>
              <w:ind w:left="546"/>
              <w:spacing w:before="70" w:line="195" w:lineRule="auto"/>
              <w:rPr/>
            </w:pPr>
            <w:r>
              <w:rPr>
                <w:spacing w:val="1"/>
              </w:rPr>
              <w:t>4</w:t>
            </w:r>
          </w:p>
        </w:tc>
        <w:tc>
          <w:tcPr>
            <w:tcW w:w="2245" w:type="dxa"/>
            <w:vAlign w:val="top"/>
            <w:vMerge w:val="restart"/>
            <w:tcBorders>
              <w:bottom w:val="nil"/>
            </w:tcBorders>
          </w:tcPr>
          <w:p>
            <w:pPr>
              <w:pStyle w:val="TableText"/>
              <w:ind w:left="841"/>
              <w:spacing w:before="191" w:line="218" w:lineRule="auto"/>
              <w:rPr>
                <w:sz w:val="13"/>
                <w:szCs w:val="13"/>
              </w:rPr>
            </w:pPr>
            <w:r>
              <w:rPr/>
              <w:t>mg</w:t>
            </w:r>
            <w:r>
              <w:rPr>
                <w:spacing w:val="8"/>
              </w:rPr>
              <w:t>/m</w:t>
            </w:r>
            <w:r>
              <w:rPr>
                <w:sz w:val="13"/>
                <w:szCs w:val="13"/>
                <w:spacing w:val="8"/>
                <w:position w:val="6"/>
              </w:rPr>
              <w:t>3</w:t>
            </w:r>
          </w:p>
        </w:tc>
      </w:tr>
      <w:tr>
        <w:trPr>
          <w:trHeight w:val="283" w:hRule="atLeast"/>
        </w:trPr>
        <w:tc>
          <w:tcPr>
            <w:tcW w:w="1801" w:type="dxa"/>
            <w:vAlign w:val="top"/>
            <w:vMerge w:val="continue"/>
            <w:tcBorders>
              <w:top w:val="nil"/>
            </w:tcBorders>
          </w:tcPr>
          <w:p>
            <w:pPr>
              <w:rPr>
                <w:rFonts w:ascii="Arial"/>
                <w:sz w:val="21"/>
              </w:rPr>
            </w:pPr>
            <w:r/>
          </w:p>
        </w:tc>
        <w:tc>
          <w:tcPr>
            <w:tcW w:w="2689" w:type="dxa"/>
            <w:vAlign w:val="top"/>
          </w:tcPr>
          <w:p>
            <w:pPr>
              <w:pStyle w:val="TableText"/>
              <w:ind w:left="865"/>
              <w:spacing w:before="34" w:line="220" w:lineRule="auto"/>
              <w:rPr>
                <w:rFonts w:ascii="SimSun" w:hAnsi="SimSun" w:eastAsia="SimSun" w:cs="SimSun"/>
              </w:rPr>
            </w:pPr>
            <w:r>
              <w:rPr/>
              <w:t>1</w:t>
            </w:r>
            <w:r>
              <w:rPr>
                <w:spacing w:val="18"/>
              </w:rPr>
              <w:t xml:space="preserve"> </w:t>
            </w:r>
            <w:r>
              <w:rPr>
                <w:rFonts w:ascii="SimSun" w:hAnsi="SimSun" w:eastAsia="SimSun" w:cs="SimSun"/>
              </w:rPr>
              <w:t>小时平均</w:t>
            </w:r>
          </w:p>
        </w:tc>
        <w:tc>
          <w:tcPr>
            <w:tcW w:w="1197" w:type="dxa"/>
            <w:vAlign w:val="top"/>
          </w:tcPr>
          <w:p>
            <w:pPr>
              <w:pStyle w:val="TableText"/>
              <w:ind w:left="516"/>
              <w:spacing w:before="70" w:line="195" w:lineRule="auto"/>
              <w:rPr/>
            </w:pPr>
            <w:r>
              <w:rPr>
                <w:spacing w:val="-8"/>
              </w:rPr>
              <w:t>10</w:t>
            </w:r>
          </w:p>
        </w:tc>
        <w:tc>
          <w:tcPr>
            <w:tcW w:w="1199" w:type="dxa"/>
            <w:vAlign w:val="top"/>
          </w:tcPr>
          <w:p>
            <w:pPr>
              <w:pStyle w:val="TableText"/>
              <w:ind w:left="517"/>
              <w:spacing w:before="70" w:line="195" w:lineRule="auto"/>
              <w:rPr/>
            </w:pPr>
            <w:r>
              <w:rPr>
                <w:spacing w:val="-8"/>
              </w:rPr>
              <w:t>10</w:t>
            </w:r>
          </w:p>
        </w:tc>
        <w:tc>
          <w:tcPr>
            <w:tcW w:w="2245" w:type="dxa"/>
            <w:vAlign w:val="top"/>
            <w:vMerge w:val="continue"/>
            <w:tcBorders>
              <w:top w:val="nil"/>
            </w:tcBorders>
          </w:tcPr>
          <w:p>
            <w:pPr>
              <w:rPr>
                <w:rFonts w:ascii="Arial"/>
                <w:sz w:val="21"/>
              </w:rPr>
            </w:pPr>
            <w:r/>
          </w:p>
        </w:tc>
      </w:tr>
    </w:tbl>
    <w:p>
      <w:pPr>
        <w:pStyle w:val="BodyText"/>
        <w:spacing w:line="92" w:lineRule="exact"/>
        <w:rPr>
          <w:sz w:val="8"/>
        </w:rPr>
      </w:pPr>
      <w:r/>
    </w:p>
    <w:p>
      <w:pPr>
        <w:spacing w:line="92" w:lineRule="exact"/>
        <w:sectPr>
          <w:headerReference w:type="default" r:id="rId56"/>
          <w:footerReference w:type="default" r:id="rId69"/>
          <w:pgSz w:w="11906" w:h="16838"/>
          <w:pgMar w:top="1170" w:right="1383" w:bottom="1080" w:left="1384" w:header="837" w:footer="918" w:gutter="0"/>
        </w:sectPr>
        <w:rPr>
          <w:sz w:val="8"/>
          <w:szCs w:val="8"/>
        </w:rPr>
      </w:pPr>
    </w:p>
    <w:p>
      <w:pPr>
        <w:pStyle w:val="BodyText"/>
        <w:spacing w:line="291" w:lineRule="auto"/>
        <w:rPr/>
      </w:pPr>
      <w:r/>
    </w:p>
    <w:p>
      <w:pPr>
        <w:pStyle w:val="BodyText"/>
        <w:spacing w:line="292" w:lineRule="auto"/>
        <w:rPr/>
      </w:pPr>
      <w:r/>
    </w:p>
    <w:p>
      <w:pPr>
        <w:ind w:left="116"/>
        <w:spacing w:before="78" w:line="222" w:lineRule="auto"/>
        <w:rPr>
          <w:rFonts w:ascii="SimHei" w:hAnsi="SimHei" w:eastAsia="SimHei" w:cs="SimHei"/>
          <w:sz w:val="24"/>
          <w:szCs w:val="24"/>
        </w:rPr>
      </w:pPr>
      <w:bookmarkStart w:name="bookmark84" w:id="27"/>
      <w:bookmarkEnd w:id="27"/>
      <w:r>
        <w:rPr>
          <w:rFonts w:ascii="Times New Roman" w:hAnsi="Times New Roman" w:eastAsia="Times New Roman" w:cs="Times New Roman"/>
          <w:sz w:val="24"/>
          <w:szCs w:val="24"/>
          <w:b/>
          <w:bCs/>
          <w:spacing w:val="-2"/>
        </w:rPr>
        <w:t>2.7.1.2  </w:t>
      </w:r>
      <w:r>
        <w:rPr>
          <w:rFonts w:ascii="SimHei" w:hAnsi="SimHei" w:eastAsia="SimHei" w:cs="SimHei"/>
          <w:sz w:val="24"/>
          <w:szCs w:val="24"/>
          <w:b/>
          <w:bCs/>
          <w:spacing w:val="-2"/>
        </w:rPr>
        <w:t>地表水环境质量标准</w:t>
      </w:r>
    </w:p>
    <w:p>
      <w:pPr>
        <w:ind w:left="120" w:right="117" w:firstLine="480"/>
        <w:spacing w:before="160" w:line="340" w:lineRule="auto"/>
        <w:rPr>
          <w:rFonts w:ascii="SimSun" w:hAnsi="SimSun" w:eastAsia="SimSun" w:cs="SimSun"/>
          <w:sz w:val="24"/>
          <w:szCs w:val="24"/>
        </w:rPr>
      </w:pPr>
      <w:r>
        <w:rPr>
          <w:rFonts w:ascii="SimSun" w:hAnsi="SimSun" w:eastAsia="SimSun" w:cs="SimSun"/>
          <w:sz w:val="24"/>
          <w:szCs w:val="24"/>
        </w:rPr>
        <w:t>本项目地表水执行《地表水环境质量标准》（</w:t>
      </w:r>
      <w:r>
        <w:rPr>
          <w:rFonts w:ascii="Times New Roman" w:hAnsi="Times New Roman" w:eastAsia="Times New Roman" w:cs="Times New Roman"/>
          <w:sz w:val="24"/>
          <w:szCs w:val="24"/>
        </w:rPr>
        <w:t>GB3838-2002</w:t>
      </w:r>
      <w:r>
        <w:rPr>
          <w:rFonts w:ascii="SimSun" w:hAnsi="SimSun" w:eastAsia="SimSun" w:cs="SimSun"/>
          <w:sz w:val="24"/>
          <w:szCs w:val="24"/>
        </w:rPr>
        <w:t>）</w:t>
      </w:r>
      <w:r>
        <w:rPr>
          <w:rFonts w:ascii="Times New Roman" w:hAnsi="Times New Roman" w:eastAsia="Times New Roman" w:cs="Times New Roman"/>
          <w:sz w:val="24"/>
          <w:szCs w:val="24"/>
        </w:rPr>
        <w:t>Ⅲ</w:t>
      </w:r>
      <w:r>
        <w:rPr>
          <w:rFonts w:ascii="SimSun" w:hAnsi="SimSun" w:eastAsia="SimSun" w:cs="SimSun"/>
          <w:sz w:val="24"/>
          <w:szCs w:val="24"/>
        </w:rPr>
        <w:t>类标准。地表水环</w:t>
      </w:r>
      <w:r>
        <w:rPr>
          <w:rFonts w:ascii="SimSun" w:hAnsi="SimSun" w:eastAsia="SimSun" w:cs="SimSun"/>
          <w:sz w:val="24"/>
          <w:szCs w:val="24"/>
          <w:spacing w:val="-2"/>
        </w:rPr>
        <w:t>境质量标准详见表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2-7-2</w:t>
      </w:r>
      <w:r>
        <w:rPr>
          <w:rFonts w:ascii="SimSun" w:hAnsi="SimSun" w:eastAsia="SimSun" w:cs="SimSun"/>
          <w:sz w:val="24"/>
          <w:szCs w:val="24"/>
          <w:spacing w:val="-2"/>
        </w:rPr>
        <w:t>。</w:t>
      </w:r>
    </w:p>
    <w:p>
      <w:pPr>
        <w:ind w:left="3576"/>
        <w:spacing w:before="123" w:line="222" w:lineRule="auto"/>
        <w:rPr>
          <w:rFonts w:ascii="SimHei" w:hAnsi="SimHei" w:eastAsia="SimHei" w:cs="SimHei"/>
          <w:sz w:val="24"/>
          <w:szCs w:val="24"/>
        </w:rPr>
      </w:pPr>
      <w:r>
        <w:rPr>
          <w:rFonts w:ascii="SimHei" w:hAnsi="SimHei" w:eastAsia="SimHei" w:cs="SimHei"/>
          <w:sz w:val="24"/>
          <w:szCs w:val="24"/>
          <w:spacing w:val="-2"/>
        </w:rPr>
        <w:t>地表水环境质量标准</w:t>
      </w:r>
    </w:p>
    <w:p>
      <w:pPr>
        <w:ind w:left="118"/>
        <w:spacing w:before="184" w:line="221" w:lineRule="auto"/>
        <w:rPr>
          <w:rFonts w:ascii="Times New Roman" w:hAnsi="Times New Roman" w:eastAsia="Times New Roman" w:cs="Times New Roman"/>
          <w:sz w:val="24"/>
          <w:szCs w:val="24"/>
        </w:rPr>
      </w:pPr>
      <w:r>
        <w:rPr>
          <w:rFonts w:ascii="SimSun" w:hAnsi="SimSun" w:eastAsia="SimSun" w:cs="SimSun"/>
          <w:sz w:val="24"/>
          <w:szCs w:val="24"/>
          <w:spacing w:val="-2"/>
        </w:rPr>
        <w:t>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2-7-2</w:t>
      </w:r>
    </w:p>
    <w:p>
      <w:pPr>
        <w:spacing w:line="87"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37"/>
        <w:gridCol w:w="1192"/>
        <w:gridCol w:w="1190"/>
        <w:gridCol w:w="1190"/>
        <w:gridCol w:w="1190"/>
        <w:gridCol w:w="1194"/>
        <w:gridCol w:w="1797"/>
      </w:tblGrid>
      <w:tr>
        <w:trPr>
          <w:trHeight w:val="349" w:hRule="atLeast"/>
        </w:trPr>
        <w:tc>
          <w:tcPr>
            <w:tcW w:w="1537" w:type="dxa"/>
            <w:vAlign w:val="top"/>
          </w:tcPr>
          <w:p>
            <w:pPr>
              <w:ind w:left="568"/>
              <w:spacing w:before="67" w:line="228" w:lineRule="auto"/>
              <w:rPr>
                <w:rFonts w:ascii="SimSun" w:hAnsi="SimSun" w:eastAsia="SimSun" w:cs="SimSun"/>
                <w:sz w:val="20"/>
                <w:szCs w:val="20"/>
              </w:rPr>
            </w:pPr>
            <w:r>
              <w:rPr>
                <w:rFonts w:ascii="SimSun" w:hAnsi="SimSun" w:eastAsia="SimSun" w:cs="SimSun"/>
                <w:sz w:val="20"/>
                <w:szCs w:val="20"/>
                <w:spacing w:val="3"/>
              </w:rPr>
              <w:t>项目</w:t>
            </w:r>
          </w:p>
        </w:tc>
        <w:tc>
          <w:tcPr>
            <w:tcW w:w="1192" w:type="dxa"/>
            <w:vAlign w:val="top"/>
          </w:tcPr>
          <w:p>
            <w:pPr>
              <w:pStyle w:val="TableText"/>
              <w:ind w:left="463"/>
              <w:spacing w:before="106" w:line="194" w:lineRule="auto"/>
              <w:rPr/>
            </w:pPr>
            <w:r>
              <w:rPr>
                <w:spacing w:val="6"/>
              </w:rPr>
              <w:t>pH</w:t>
            </w:r>
          </w:p>
        </w:tc>
        <w:tc>
          <w:tcPr>
            <w:tcW w:w="1190" w:type="dxa"/>
            <w:vAlign w:val="top"/>
          </w:tcPr>
          <w:p>
            <w:pPr>
              <w:pStyle w:val="TableText"/>
              <w:ind w:left="376"/>
              <w:spacing w:before="103" w:line="195" w:lineRule="auto"/>
              <w:rPr/>
            </w:pPr>
            <w:r>
              <w:rPr>
                <w:spacing w:val="3"/>
              </w:rPr>
              <w:t>COD</w:t>
            </w:r>
          </w:p>
        </w:tc>
        <w:tc>
          <w:tcPr>
            <w:tcW w:w="1190" w:type="dxa"/>
            <w:vAlign w:val="top"/>
          </w:tcPr>
          <w:p>
            <w:pPr>
              <w:pStyle w:val="TableText"/>
              <w:ind w:left="341"/>
              <w:spacing w:before="103" w:line="202" w:lineRule="auto"/>
              <w:rPr>
                <w:sz w:val="13"/>
                <w:szCs w:val="13"/>
              </w:rPr>
            </w:pPr>
            <w:r>
              <w:rPr/>
              <w:t>BOD</w:t>
            </w:r>
            <w:r>
              <w:rPr>
                <w:sz w:val="13"/>
                <w:szCs w:val="13"/>
                <w:spacing w:val="19"/>
                <w:position w:val="-1"/>
              </w:rPr>
              <w:t>5</w:t>
            </w:r>
          </w:p>
        </w:tc>
        <w:tc>
          <w:tcPr>
            <w:tcW w:w="1190" w:type="dxa"/>
            <w:vAlign w:val="top"/>
          </w:tcPr>
          <w:p>
            <w:pPr>
              <w:ind w:left="392"/>
              <w:spacing w:before="67" w:line="227" w:lineRule="auto"/>
              <w:rPr>
                <w:rFonts w:ascii="SimSun" w:hAnsi="SimSun" w:eastAsia="SimSun" w:cs="SimSun"/>
                <w:sz w:val="20"/>
                <w:szCs w:val="20"/>
              </w:rPr>
            </w:pPr>
            <w:r>
              <w:rPr>
                <w:rFonts w:ascii="SimSun" w:hAnsi="SimSun" w:eastAsia="SimSun" w:cs="SimSun"/>
                <w:sz w:val="20"/>
                <w:szCs w:val="20"/>
                <w:spacing w:val="4"/>
              </w:rPr>
              <w:t>氨氮</w:t>
            </w:r>
          </w:p>
        </w:tc>
        <w:tc>
          <w:tcPr>
            <w:tcW w:w="1194" w:type="dxa"/>
            <w:vAlign w:val="top"/>
          </w:tcPr>
          <w:p>
            <w:pPr>
              <w:ind w:left="396"/>
              <w:spacing w:before="67" w:line="228" w:lineRule="auto"/>
              <w:rPr>
                <w:rFonts w:ascii="SimSun" w:hAnsi="SimSun" w:eastAsia="SimSun" w:cs="SimSun"/>
                <w:sz w:val="20"/>
                <w:szCs w:val="20"/>
              </w:rPr>
            </w:pPr>
            <w:r>
              <w:rPr>
                <w:rFonts w:ascii="SimSun" w:hAnsi="SimSun" w:eastAsia="SimSun" w:cs="SimSun"/>
                <w:sz w:val="20"/>
                <w:szCs w:val="20"/>
                <w:spacing w:val="2"/>
              </w:rPr>
              <w:t>总磷</w:t>
            </w:r>
          </w:p>
        </w:tc>
        <w:tc>
          <w:tcPr>
            <w:tcW w:w="1797" w:type="dxa"/>
            <w:vAlign w:val="top"/>
          </w:tcPr>
          <w:p>
            <w:pPr>
              <w:ind w:left="587"/>
              <w:spacing w:before="67" w:line="228" w:lineRule="auto"/>
              <w:rPr>
                <w:rFonts w:ascii="SimSun" w:hAnsi="SimSun" w:eastAsia="SimSun" w:cs="SimSun"/>
                <w:sz w:val="20"/>
                <w:szCs w:val="20"/>
              </w:rPr>
            </w:pPr>
            <w:r>
              <w:rPr>
                <w:rFonts w:ascii="SimSun" w:hAnsi="SimSun" w:eastAsia="SimSun" w:cs="SimSun"/>
                <w:sz w:val="20"/>
                <w:szCs w:val="20"/>
                <w:spacing w:val="7"/>
              </w:rPr>
              <w:t>挥发酚</w:t>
            </w:r>
          </w:p>
        </w:tc>
      </w:tr>
      <w:tr>
        <w:trPr>
          <w:trHeight w:val="342" w:hRule="atLeast"/>
        </w:trPr>
        <w:tc>
          <w:tcPr>
            <w:tcW w:w="1537" w:type="dxa"/>
            <w:vAlign w:val="top"/>
          </w:tcPr>
          <w:p>
            <w:pPr>
              <w:pStyle w:val="TableText"/>
              <w:ind w:left="297"/>
              <w:spacing w:before="61" w:line="228" w:lineRule="auto"/>
              <w:rPr/>
            </w:pPr>
            <w:r>
              <w:rPr>
                <w:spacing w:val="8"/>
              </w:rPr>
              <w:t>Ⅲ</w:t>
            </w:r>
            <w:r>
              <w:rPr>
                <w:rFonts w:ascii="SimSun" w:hAnsi="SimSun" w:eastAsia="SimSun" w:cs="SimSun"/>
                <w:spacing w:val="8"/>
              </w:rPr>
              <w:t>类标准</w:t>
            </w:r>
            <w:r>
              <w:rPr>
                <w:spacing w:val="8"/>
              </w:rPr>
              <w:t>≤</w:t>
            </w:r>
          </w:p>
        </w:tc>
        <w:tc>
          <w:tcPr>
            <w:tcW w:w="1192" w:type="dxa"/>
            <w:vAlign w:val="top"/>
          </w:tcPr>
          <w:p>
            <w:pPr>
              <w:pStyle w:val="TableText"/>
              <w:ind w:left="461"/>
              <w:spacing w:before="99" w:line="195" w:lineRule="auto"/>
              <w:rPr/>
            </w:pPr>
            <w:r>
              <w:rPr/>
              <w:t>6-9</w:t>
            </w:r>
          </w:p>
        </w:tc>
        <w:tc>
          <w:tcPr>
            <w:tcW w:w="1190" w:type="dxa"/>
            <w:vAlign w:val="top"/>
          </w:tcPr>
          <w:p>
            <w:pPr>
              <w:pStyle w:val="TableText"/>
              <w:ind w:left="488"/>
              <w:spacing w:before="99" w:line="195" w:lineRule="auto"/>
              <w:rPr/>
            </w:pPr>
            <w:r>
              <w:rPr>
                <w:spacing w:val="4"/>
              </w:rPr>
              <w:t>20</w:t>
            </w:r>
          </w:p>
        </w:tc>
        <w:tc>
          <w:tcPr>
            <w:tcW w:w="1190" w:type="dxa"/>
            <w:vAlign w:val="top"/>
          </w:tcPr>
          <w:p>
            <w:pPr>
              <w:pStyle w:val="TableText"/>
              <w:ind w:left="543"/>
              <w:spacing w:before="99" w:line="195" w:lineRule="auto"/>
              <w:rPr/>
            </w:pPr>
            <w:r>
              <w:rPr>
                <w:spacing w:val="1"/>
              </w:rPr>
              <w:t>4</w:t>
            </w:r>
          </w:p>
        </w:tc>
        <w:tc>
          <w:tcPr>
            <w:tcW w:w="1190" w:type="dxa"/>
            <w:vAlign w:val="top"/>
          </w:tcPr>
          <w:p>
            <w:pPr>
              <w:pStyle w:val="TableText"/>
              <w:ind w:left="485"/>
              <w:spacing w:before="99" w:line="195" w:lineRule="auto"/>
              <w:rPr/>
            </w:pPr>
            <w:r>
              <w:rPr>
                <w:spacing w:val="-4"/>
              </w:rPr>
              <w:t>1.0</w:t>
            </w:r>
          </w:p>
        </w:tc>
        <w:tc>
          <w:tcPr>
            <w:tcW w:w="1194" w:type="dxa"/>
            <w:vAlign w:val="top"/>
          </w:tcPr>
          <w:p>
            <w:pPr>
              <w:pStyle w:val="TableText"/>
              <w:ind w:left="471"/>
              <w:spacing w:before="99" w:line="195" w:lineRule="auto"/>
              <w:rPr/>
            </w:pPr>
            <w:r>
              <w:rPr>
                <w:spacing w:val="1"/>
              </w:rPr>
              <w:t>0.2</w:t>
            </w:r>
          </w:p>
        </w:tc>
        <w:tc>
          <w:tcPr>
            <w:tcW w:w="1797" w:type="dxa"/>
            <w:vAlign w:val="top"/>
          </w:tcPr>
          <w:p>
            <w:pPr>
              <w:pStyle w:val="TableText"/>
              <w:ind w:left="664"/>
              <w:spacing w:before="99" w:line="195" w:lineRule="auto"/>
              <w:rPr/>
            </w:pPr>
            <w:r>
              <w:rPr>
                <w:spacing w:val="3"/>
              </w:rPr>
              <w:t>0.005</w:t>
            </w:r>
          </w:p>
        </w:tc>
      </w:tr>
      <w:tr>
        <w:trPr>
          <w:trHeight w:val="345" w:hRule="atLeast"/>
        </w:trPr>
        <w:tc>
          <w:tcPr>
            <w:tcW w:w="1537" w:type="dxa"/>
            <w:vAlign w:val="top"/>
          </w:tcPr>
          <w:p>
            <w:pPr>
              <w:ind w:left="568"/>
              <w:spacing w:before="65" w:line="228" w:lineRule="auto"/>
              <w:rPr>
                <w:rFonts w:ascii="SimSun" w:hAnsi="SimSun" w:eastAsia="SimSun" w:cs="SimSun"/>
                <w:sz w:val="20"/>
                <w:szCs w:val="20"/>
              </w:rPr>
            </w:pPr>
            <w:r>
              <w:rPr>
                <w:rFonts w:ascii="SimSun" w:hAnsi="SimSun" w:eastAsia="SimSun" w:cs="SimSun"/>
                <w:sz w:val="20"/>
                <w:szCs w:val="20"/>
                <w:spacing w:val="3"/>
              </w:rPr>
              <w:t>项目</w:t>
            </w:r>
          </w:p>
        </w:tc>
        <w:tc>
          <w:tcPr>
            <w:tcW w:w="1192" w:type="dxa"/>
            <w:vAlign w:val="top"/>
          </w:tcPr>
          <w:p>
            <w:pPr>
              <w:ind w:left="286"/>
              <w:spacing w:before="64" w:line="228" w:lineRule="auto"/>
              <w:rPr>
                <w:rFonts w:ascii="SimSun" w:hAnsi="SimSun" w:eastAsia="SimSun" w:cs="SimSun"/>
                <w:sz w:val="20"/>
                <w:szCs w:val="20"/>
              </w:rPr>
            </w:pPr>
            <w:r>
              <w:rPr>
                <w:rFonts w:ascii="SimSun" w:hAnsi="SimSun" w:eastAsia="SimSun" w:cs="SimSun"/>
                <w:sz w:val="20"/>
                <w:szCs w:val="20"/>
                <w:spacing w:val="6"/>
              </w:rPr>
              <w:t>氟化物</w:t>
            </w:r>
          </w:p>
        </w:tc>
        <w:tc>
          <w:tcPr>
            <w:tcW w:w="1190" w:type="dxa"/>
            <w:vAlign w:val="top"/>
          </w:tcPr>
          <w:p>
            <w:pPr>
              <w:ind w:left="491"/>
              <w:spacing w:before="65" w:line="228" w:lineRule="auto"/>
              <w:rPr>
                <w:rFonts w:ascii="SimSun" w:hAnsi="SimSun" w:eastAsia="SimSun" w:cs="SimSun"/>
                <w:sz w:val="20"/>
                <w:szCs w:val="20"/>
              </w:rPr>
            </w:pPr>
            <w:r>
              <w:rPr>
                <w:rFonts w:ascii="SimSun" w:hAnsi="SimSun" w:eastAsia="SimSun" w:cs="SimSun"/>
                <w:sz w:val="20"/>
                <w:szCs w:val="20"/>
                <w:spacing w:val="1"/>
              </w:rPr>
              <w:t>砷</w:t>
            </w:r>
          </w:p>
        </w:tc>
        <w:tc>
          <w:tcPr>
            <w:tcW w:w="1190" w:type="dxa"/>
            <w:vAlign w:val="top"/>
          </w:tcPr>
          <w:p>
            <w:pPr>
              <w:ind w:left="496"/>
              <w:spacing w:before="65" w:line="228" w:lineRule="auto"/>
              <w:rPr>
                <w:rFonts w:ascii="SimSun" w:hAnsi="SimSun" w:eastAsia="SimSun" w:cs="SimSun"/>
                <w:sz w:val="20"/>
                <w:szCs w:val="20"/>
              </w:rPr>
            </w:pPr>
            <w:r>
              <w:rPr>
                <w:rFonts w:ascii="SimSun" w:hAnsi="SimSun" w:eastAsia="SimSun" w:cs="SimSun"/>
                <w:sz w:val="20"/>
                <w:szCs w:val="20"/>
              </w:rPr>
              <w:t>汞</w:t>
            </w:r>
          </w:p>
        </w:tc>
        <w:tc>
          <w:tcPr>
            <w:tcW w:w="1190" w:type="dxa"/>
            <w:vAlign w:val="top"/>
          </w:tcPr>
          <w:p>
            <w:pPr>
              <w:ind w:left="286"/>
              <w:spacing w:before="65" w:line="226" w:lineRule="auto"/>
              <w:rPr>
                <w:rFonts w:ascii="SimSun" w:hAnsi="SimSun" w:eastAsia="SimSun" w:cs="SimSun"/>
                <w:sz w:val="20"/>
                <w:szCs w:val="20"/>
              </w:rPr>
            </w:pPr>
            <w:r>
              <w:rPr>
                <w:rFonts w:ascii="SimSun" w:hAnsi="SimSun" w:eastAsia="SimSun" w:cs="SimSun"/>
                <w:sz w:val="20"/>
                <w:szCs w:val="20"/>
                <w:spacing w:val="6"/>
              </w:rPr>
              <w:t>六价铬</w:t>
            </w:r>
          </w:p>
        </w:tc>
        <w:tc>
          <w:tcPr>
            <w:tcW w:w="1194" w:type="dxa"/>
            <w:vAlign w:val="top"/>
          </w:tcPr>
          <w:p>
            <w:pPr>
              <w:ind w:left="498"/>
              <w:spacing w:before="64" w:line="232" w:lineRule="auto"/>
              <w:rPr>
                <w:rFonts w:ascii="SimSun" w:hAnsi="SimSun" w:eastAsia="SimSun" w:cs="SimSun"/>
                <w:sz w:val="20"/>
                <w:szCs w:val="20"/>
              </w:rPr>
            </w:pPr>
            <w:r>
              <w:rPr>
                <w:rFonts w:ascii="SimSun" w:hAnsi="SimSun" w:eastAsia="SimSun" w:cs="SimSun"/>
                <w:sz w:val="20"/>
                <w:szCs w:val="20"/>
              </w:rPr>
              <w:t>铅</w:t>
            </w:r>
          </w:p>
        </w:tc>
        <w:tc>
          <w:tcPr>
            <w:tcW w:w="1797" w:type="dxa"/>
            <w:vAlign w:val="top"/>
          </w:tcPr>
          <w:p>
            <w:pPr>
              <w:ind w:left="795"/>
              <w:spacing w:before="64" w:line="231" w:lineRule="auto"/>
              <w:rPr>
                <w:rFonts w:ascii="SimSun" w:hAnsi="SimSun" w:eastAsia="SimSun" w:cs="SimSun"/>
                <w:sz w:val="20"/>
                <w:szCs w:val="20"/>
              </w:rPr>
            </w:pPr>
            <w:r>
              <w:rPr>
                <w:rFonts w:ascii="SimSun" w:hAnsi="SimSun" w:eastAsia="SimSun" w:cs="SimSun"/>
                <w:sz w:val="20"/>
                <w:szCs w:val="20"/>
                <w:spacing w:val="2"/>
              </w:rPr>
              <w:t>镉</w:t>
            </w:r>
          </w:p>
        </w:tc>
      </w:tr>
      <w:tr>
        <w:trPr>
          <w:trHeight w:val="345" w:hRule="atLeast"/>
        </w:trPr>
        <w:tc>
          <w:tcPr>
            <w:tcW w:w="1537" w:type="dxa"/>
            <w:vAlign w:val="top"/>
          </w:tcPr>
          <w:p>
            <w:pPr>
              <w:pStyle w:val="TableText"/>
              <w:ind w:left="297"/>
              <w:spacing w:before="64" w:line="228" w:lineRule="auto"/>
              <w:rPr/>
            </w:pPr>
            <w:r>
              <w:rPr>
                <w:spacing w:val="8"/>
              </w:rPr>
              <w:t>Ⅲ</w:t>
            </w:r>
            <w:r>
              <w:rPr>
                <w:rFonts w:ascii="SimSun" w:hAnsi="SimSun" w:eastAsia="SimSun" w:cs="SimSun"/>
                <w:spacing w:val="8"/>
              </w:rPr>
              <w:t>类标准</w:t>
            </w:r>
            <w:r>
              <w:rPr>
                <w:spacing w:val="8"/>
              </w:rPr>
              <w:t>≤</w:t>
            </w:r>
          </w:p>
        </w:tc>
        <w:tc>
          <w:tcPr>
            <w:tcW w:w="1192" w:type="dxa"/>
            <w:vAlign w:val="top"/>
          </w:tcPr>
          <w:p>
            <w:pPr>
              <w:pStyle w:val="TableText"/>
              <w:ind w:left="486"/>
              <w:spacing w:before="103" w:line="195" w:lineRule="auto"/>
              <w:rPr/>
            </w:pPr>
            <w:r>
              <w:rPr>
                <w:spacing w:val="-4"/>
              </w:rPr>
              <w:t>1.0</w:t>
            </w:r>
          </w:p>
        </w:tc>
        <w:tc>
          <w:tcPr>
            <w:tcW w:w="1190" w:type="dxa"/>
            <w:vAlign w:val="top"/>
          </w:tcPr>
          <w:p>
            <w:pPr>
              <w:pStyle w:val="TableText"/>
              <w:ind w:left="415"/>
              <w:spacing w:before="103" w:line="195" w:lineRule="auto"/>
              <w:rPr/>
            </w:pPr>
            <w:r>
              <w:rPr>
                <w:spacing w:val="2"/>
              </w:rPr>
              <w:t>0.05</w:t>
            </w:r>
          </w:p>
        </w:tc>
        <w:tc>
          <w:tcPr>
            <w:tcW w:w="1190" w:type="dxa"/>
            <w:vAlign w:val="top"/>
          </w:tcPr>
          <w:p>
            <w:pPr>
              <w:pStyle w:val="TableText"/>
              <w:ind w:left="309"/>
              <w:spacing w:before="103" w:line="195" w:lineRule="auto"/>
              <w:rPr/>
            </w:pPr>
            <w:r>
              <w:rPr>
                <w:spacing w:val="3"/>
              </w:rPr>
              <w:t>0.0001</w:t>
            </w:r>
          </w:p>
        </w:tc>
        <w:tc>
          <w:tcPr>
            <w:tcW w:w="1190" w:type="dxa"/>
            <w:vAlign w:val="top"/>
          </w:tcPr>
          <w:p>
            <w:pPr>
              <w:pStyle w:val="TableText"/>
              <w:ind w:left="415"/>
              <w:spacing w:before="103" w:line="195" w:lineRule="auto"/>
              <w:rPr/>
            </w:pPr>
            <w:r>
              <w:rPr>
                <w:spacing w:val="2"/>
              </w:rPr>
              <w:t>0.05</w:t>
            </w:r>
          </w:p>
        </w:tc>
        <w:tc>
          <w:tcPr>
            <w:tcW w:w="1194" w:type="dxa"/>
            <w:vAlign w:val="top"/>
          </w:tcPr>
          <w:p>
            <w:pPr>
              <w:pStyle w:val="TableText"/>
              <w:ind w:left="418"/>
              <w:spacing w:before="103" w:line="195" w:lineRule="auto"/>
              <w:rPr/>
            </w:pPr>
            <w:r>
              <w:rPr>
                <w:spacing w:val="2"/>
              </w:rPr>
              <w:t>0.05</w:t>
            </w:r>
          </w:p>
        </w:tc>
        <w:tc>
          <w:tcPr>
            <w:tcW w:w="1797" w:type="dxa"/>
            <w:vAlign w:val="top"/>
          </w:tcPr>
          <w:p>
            <w:pPr>
              <w:pStyle w:val="TableText"/>
              <w:ind w:left="664"/>
              <w:spacing w:before="103" w:line="195" w:lineRule="auto"/>
              <w:rPr/>
            </w:pPr>
            <w:r>
              <w:rPr>
                <w:spacing w:val="3"/>
              </w:rPr>
              <w:t>0.005</w:t>
            </w:r>
          </w:p>
        </w:tc>
      </w:tr>
      <w:tr>
        <w:trPr>
          <w:trHeight w:val="344" w:hRule="atLeast"/>
        </w:trPr>
        <w:tc>
          <w:tcPr>
            <w:tcW w:w="1537" w:type="dxa"/>
            <w:vAlign w:val="top"/>
          </w:tcPr>
          <w:p>
            <w:pPr>
              <w:ind w:left="568"/>
              <w:spacing w:before="66" w:line="228" w:lineRule="auto"/>
              <w:rPr>
                <w:rFonts w:ascii="SimSun" w:hAnsi="SimSun" w:eastAsia="SimSun" w:cs="SimSun"/>
                <w:sz w:val="20"/>
                <w:szCs w:val="20"/>
              </w:rPr>
            </w:pPr>
            <w:r>
              <w:rPr>
                <w:rFonts w:ascii="SimSun" w:hAnsi="SimSun" w:eastAsia="SimSun" w:cs="SimSun"/>
                <w:sz w:val="20"/>
                <w:szCs w:val="20"/>
                <w:spacing w:val="3"/>
              </w:rPr>
              <w:t>项目</w:t>
            </w:r>
          </w:p>
        </w:tc>
        <w:tc>
          <w:tcPr>
            <w:tcW w:w="1192" w:type="dxa"/>
            <w:vAlign w:val="top"/>
          </w:tcPr>
          <w:p>
            <w:pPr>
              <w:pStyle w:val="TableText"/>
              <w:ind w:left="442"/>
              <w:spacing w:before="65" w:line="229" w:lineRule="auto"/>
              <w:rPr/>
            </w:pPr>
            <w:r>
              <w:rPr>
                <w:rFonts w:ascii="SimSun" w:hAnsi="SimSun" w:eastAsia="SimSun" w:cs="SimSun"/>
                <w:spacing w:val="2"/>
              </w:rPr>
              <w:t>铁</w:t>
            </w:r>
            <w:r>
              <w:rPr>
                <w:spacing w:val="2"/>
              </w:rPr>
              <w:t>*</w:t>
            </w:r>
          </w:p>
        </w:tc>
        <w:tc>
          <w:tcPr>
            <w:tcW w:w="1190" w:type="dxa"/>
            <w:vAlign w:val="top"/>
          </w:tcPr>
          <w:p>
            <w:pPr>
              <w:pStyle w:val="TableText"/>
              <w:ind w:left="442"/>
              <w:spacing w:before="65" w:line="234" w:lineRule="auto"/>
              <w:rPr/>
            </w:pPr>
            <w:r>
              <w:rPr>
                <w:rFonts w:ascii="SimSun" w:hAnsi="SimSun" w:eastAsia="SimSun" w:cs="SimSun"/>
                <w:spacing w:val="3"/>
              </w:rPr>
              <w:t>锰</w:t>
            </w:r>
            <w:r>
              <w:rPr>
                <w:spacing w:val="3"/>
              </w:rPr>
              <w:t>*</w:t>
            </w:r>
          </w:p>
        </w:tc>
        <w:tc>
          <w:tcPr>
            <w:tcW w:w="1190" w:type="dxa"/>
            <w:vAlign w:val="top"/>
          </w:tcPr>
          <w:p>
            <w:pPr>
              <w:ind w:left="285"/>
              <w:spacing w:before="65" w:line="229" w:lineRule="auto"/>
              <w:rPr>
                <w:rFonts w:ascii="SimSun" w:hAnsi="SimSun" w:eastAsia="SimSun" w:cs="SimSun"/>
                <w:sz w:val="20"/>
                <w:szCs w:val="20"/>
              </w:rPr>
            </w:pPr>
            <w:r>
              <w:rPr>
                <w:rFonts w:ascii="SimSun" w:hAnsi="SimSun" w:eastAsia="SimSun" w:cs="SimSun"/>
                <w:sz w:val="20"/>
                <w:szCs w:val="20"/>
                <w:spacing w:val="7"/>
              </w:rPr>
              <w:t>硫化物</w:t>
            </w:r>
          </w:p>
        </w:tc>
        <w:tc>
          <w:tcPr>
            <w:tcW w:w="1190" w:type="dxa"/>
            <w:vAlign w:val="top"/>
          </w:tcPr>
          <w:p>
            <w:pPr>
              <w:ind w:left="285"/>
              <w:spacing w:before="65" w:line="228" w:lineRule="auto"/>
              <w:rPr>
                <w:rFonts w:ascii="SimSun" w:hAnsi="SimSun" w:eastAsia="SimSun" w:cs="SimSun"/>
                <w:sz w:val="20"/>
                <w:szCs w:val="20"/>
              </w:rPr>
            </w:pPr>
            <w:r>
              <w:rPr>
                <w:rFonts w:ascii="SimSun" w:hAnsi="SimSun" w:eastAsia="SimSun" w:cs="SimSun"/>
                <w:sz w:val="20"/>
                <w:szCs w:val="20"/>
                <w:spacing w:val="6"/>
              </w:rPr>
              <w:t>石油类</w:t>
            </w:r>
          </w:p>
        </w:tc>
        <w:tc>
          <w:tcPr>
            <w:tcW w:w="1194" w:type="dxa"/>
            <w:vAlign w:val="top"/>
          </w:tcPr>
          <w:p>
            <w:pPr>
              <w:ind w:left="289"/>
              <w:spacing w:before="65" w:line="227" w:lineRule="auto"/>
              <w:rPr>
                <w:rFonts w:ascii="SimSun" w:hAnsi="SimSun" w:eastAsia="SimSun" w:cs="SimSun"/>
                <w:sz w:val="20"/>
                <w:szCs w:val="20"/>
              </w:rPr>
            </w:pPr>
            <w:r>
              <w:rPr>
                <w:rFonts w:ascii="SimSun" w:hAnsi="SimSun" w:eastAsia="SimSun" w:cs="SimSun"/>
                <w:sz w:val="20"/>
                <w:szCs w:val="20"/>
                <w:spacing w:val="6"/>
              </w:rPr>
              <w:t>溶解氧</w:t>
            </w:r>
          </w:p>
        </w:tc>
        <w:tc>
          <w:tcPr>
            <w:tcW w:w="1797" w:type="dxa"/>
            <w:vAlign w:val="top"/>
          </w:tcPr>
          <w:p>
            <w:pPr>
              <w:ind w:left="379"/>
              <w:spacing w:before="65" w:line="228" w:lineRule="auto"/>
              <w:rPr>
                <w:rFonts w:ascii="SimSun" w:hAnsi="SimSun" w:eastAsia="SimSun" w:cs="SimSun"/>
                <w:sz w:val="20"/>
                <w:szCs w:val="20"/>
              </w:rPr>
            </w:pPr>
            <w:r>
              <w:rPr>
                <w:rFonts w:ascii="SimSun" w:hAnsi="SimSun" w:eastAsia="SimSun" w:cs="SimSun"/>
                <w:sz w:val="20"/>
                <w:szCs w:val="20"/>
                <w:spacing w:val="7"/>
              </w:rPr>
              <w:t>粪大肠菌群</w:t>
            </w:r>
          </w:p>
        </w:tc>
      </w:tr>
      <w:tr>
        <w:trPr>
          <w:trHeight w:val="349" w:hRule="atLeast"/>
        </w:trPr>
        <w:tc>
          <w:tcPr>
            <w:tcW w:w="1537" w:type="dxa"/>
            <w:vAlign w:val="top"/>
          </w:tcPr>
          <w:p>
            <w:pPr>
              <w:pStyle w:val="TableText"/>
              <w:ind w:left="297"/>
              <w:spacing w:before="66" w:line="228" w:lineRule="auto"/>
              <w:rPr/>
            </w:pPr>
            <w:r>
              <w:rPr>
                <w:spacing w:val="8"/>
              </w:rPr>
              <w:t>Ⅲ</w:t>
            </w:r>
            <w:r>
              <w:rPr>
                <w:rFonts w:ascii="SimSun" w:hAnsi="SimSun" w:eastAsia="SimSun" w:cs="SimSun"/>
                <w:spacing w:val="8"/>
              </w:rPr>
              <w:t>类标准</w:t>
            </w:r>
            <w:r>
              <w:rPr>
                <w:spacing w:val="8"/>
              </w:rPr>
              <w:t>≤</w:t>
            </w:r>
          </w:p>
        </w:tc>
        <w:tc>
          <w:tcPr>
            <w:tcW w:w="1192" w:type="dxa"/>
            <w:vAlign w:val="top"/>
          </w:tcPr>
          <w:p>
            <w:pPr>
              <w:pStyle w:val="TableText"/>
              <w:ind w:left="560"/>
              <w:spacing w:before="99" w:line="199" w:lineRule="auto"/>
              <w:rPr/>
            </w:pPr>
            <w:r>
              <w:rPr>
                <w:spacing w:val="2"/>
              </w:rPr>
              <w:t>/</w:t>
            </w:r>
          </w:p>
        </w:tc>
        <w:tc>
          <w:tcPr>
            <w:tcW w:w="1190" w:type="dxa"/>
            <w:vAlign w:val="top"/>
          </w:tcPr>
          <w:p>
            <w:pPr>
              <w:pStyle w:val="TableText"/>
              <w:ind w:left="561"/>
              <w:spacing w:before="99" w:line="199" w:lineRule="auto"/>
              <w:rPr/>
            </w:pPr>
            <w:r>
              <w:rPr>
                <w:spacing w:val="2"/>
              </w:rPr>
              <w:t>/</w:t>
            </w:r>
          </w:p>
        </w:tc>
        <w:tc>
          <w:tcPr>
            <w:tcW w:w="1190" w:type="dxa"/>
            <w:vAlign w:val="top"/>
          </w:tcPr>
          <w:p>
            <w:pPr>
              <w:pStyle w:val="TableText"/>
              <w:ind w:left="465"/>
              <w:spacing w:before="102" w:line="195" w:lineRule="auto"/>
              <w:rPr/>
            </w:pPr>
            <w:r>
              <w:rPr>
                <w:spacing w:val="2"/>
              </w:rPr>
              <w:t>0.2</w:t>
            </w:r>
          </w:p>
        </w:tc>
        <w:tc>
          <w:tcPr>
            <w:tcW w:w="1190" w:type="dxa"/>
            <w:vAlign w:val="top"/>
          </w:tcPr>
          <w:p>
            <w:pPr>
              <w:pStyle w:val="TableText"/>
              <w:ind w:left="415"/>
              <w:spacing w:before="102" w:line="195" w:lineRule="auto"/>
              <w:rPr/>
            </w:pPr>
            <w:r>
              <w:rPr>
                <w:spacing w:val="2"/>
              </w:rPr>
              <w:t>0.05</w:t>
            </w:r>
          </w:p>
        </w:tc>
        <w:tc>
          <w:tcPr>
            <w:tcW w:w="1194" w:type="dxa"/>
            <w:vAlign w:val="top"/>
          </w:tcPr>
          <w:p>
            <w:pPr>
              <w:pStyle w:val="TableText"/>
              <w:ind w:left="488"/>
              <w:spacing w:before="106" w:line="192" w:lineRule="auto"/>
              <w:rPr/>
            </w:pPr>
            <w:r>
              <w:rPr>
                <w:spacing w:val="2"/>
              </w:rPr>
              <w:t>≥5</w:t>
            </w:r>
          </w:p>
        </w:tc>
        <w:tc>
          <w:tcPr>
            <w:tcW w:w="1797" w:type="dxa"/>
            <w:vAlign w:val="top"/>
          </w:tcPr>
          <w:p>
            <w:pPr>
              <w:pStyle w:val="TableText"/>
              <w:ind w:left="432"/>
              <w:spacing w:before="66" w:line="228" w:lineRule="auto"/>
              <w:rPr/>
            </w:pPr>
            <w:r>
              <w:rPr>
                <w:spacing w:val="1"/>
              </w:rPr>
              <w:t>10000</w:t>
            </w:r>
            <w:r>
              <w:rPr>
                <w:spacing w:val="12"/>
              </w:rPr>
              <w:t xml:space="preserve"> </w:t>
            </w:r>
            <w:r>
              <w:rPr>
                <w:rFonts w:ascii="SimSun" w:hAnsi="SimSun" w:eastAsia="SimSun" w:cs="SimSun"/>
                <w:spacing w:val="1"/>
              </w:rPr>
              <w:t>个</w:t>
            </w:r>
            <w:r>
              <w:rPr>
                <w:spacing w:val="1"/>
              </w:rPr>
              <w:t>/L</w:t>
            </w:r>
          </w:p>
        </w:tc>
      </w:tr>
    </w:tbl>
    <w:p>
      <w:pPr>
        <w:ind w:left="602"/>
        <w:spacing w:before="144" w:line="212" w:lineRule="auto"/>
        <w:rPr>
          <w:rFonts w:ascii="SimSun" w:hAnsi="SimSun" w:eastAsia="SimSun" w:cs="SimSun"/>
          <w:sz w:val="24"/>
          <w:szCs w:val="24"/>
        </w:rPr>
      </w:pPr>
      <w:r>
        <w:rPr>
          <w:rFonts w:ascii="SimSun" w:hAnsi="SimSun" w:eastAsia="SimSun" w:cs="SimSun"/>
          <w:sz w:val="24"/>
          <w:szCs w:val="24"/>
          <w:spacing w:val="-2"/>
        </w:rPr>
        <w:t>备注：</w:t>
      </w:r>
      <w:r>
        <w:rPr>
          <w:rFonts w:ascii="Times New Roman" w:hAnsi="Times New Roman" w:eastAsia="Times New Roman" w:cs="Times New Roman"/>
          <w:sz w:val="24"/>
          <w:szCs w:val="24"/>
          <w:spacing w:val="-2"/>
        </w:rPr>
        <w:t>pH </w:t>
      </w:r>
      <w:r>
        <w:rPr>
          <w:rFonts w:ascii="SimSun" w:hAnsi="SimSun" w:eastAsia="SimSun" w:cs="SimSun"/>
          <w:sz w:val="24"/>
          <w:szCs w:val="24"/>
          <w:spacing w:val="-2"/>
        </w:rPr>
        <w:t>无量纲。</w:t>
      </w:r>
    </w:p>
    <w:p>
      <w:pPr>
        <w:pStyle w:val="BodyText"/>
        <w:spacing w:line="297" w:lineRule="auto"/>
        <w:rPr/>
      </w:pPr>
      <w:r/>
    </w:p>
    <w:p>
      <w:pPr>
        <w:pStyle w:val="BodyText"/>
        <w:spacing w:line="297" w:lineRule="auto"/>
        <w:rPr/>
      </w:pPr>
      <w:r/>
    </w:p>
    <w:p>
      <w:pPr>
        <w:ind w:left="116"/>
        <w:spacing w:before="7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2.7.1.3  </w:t>
      </w:r>
      <w:r>
        <w:rPr>
          <w:rFonts w:ascii="SimHei" w:hAnsi="SimHei" w:eastAsia="SimHei" w:cs="SimHei"/>
          <w:sz w:val="24"/>
          <w:szCs w:val="24"/>
          <w:b/>
          <w:bCs/>
          <w:spacing w:val="-2"/>
        </w:rPr>
        <w:t>地下水环境质量标准</w:t>
      </w:r>
    </w:p>
    <w:p>
      <w:pPr>
        <w:ind w:left="599"/>
        <w:spacing w:before="159" w:line="219" w:lineRule="auto"/>
        <w:rPr>
          <w:rFonts w:ascii="SimSun" w:hAnsi="SimSun" w:eastAsia="SimSun" w:cs="SimSun"/>
          <w:sz w:val="24"/>
          <w:szCs w:val="24"/>
        </w:rPr>
      </w:pPr>
      <w:r>
        <w:rPr>
          <w:rFonts w:ascii="SimSun" w:hAnsi="SimSun" w:eastAsia="SimSun" w:cs="SimSun"/>
          <w:sz w:val="24"/>
          <w:szCs w:val="24"/>
        </w:rPr>
        <w:t>地下水执行《地下水质量标准》（</w:t>
      </w:r>
      <w:r>
        <w:rPr>
          <w:rFonts w:ascii="Times New Roman" w:hAnsi="Times New Roman" w:eastAsia="Times New Roman" w:cs="Times New Roman"/>
          <w:sz w:val="24"/>
          <w:szCs w:val="24"/>
        </w:rPr>
        <w:t>GB/T14848-2017</w:t>
      </w:r>
      <w:r>
        <w:rPr>
          <w:rFonts w:ascii="SimSun" w:hAnsi="SimSun" w:eastAsia="SimSun" w:cs="SimSun"/>
          <w:sz w:val="24"/>
          <w:szCs w:val="24"/>
          <w:spacing w:val="-1"/>
        </w:rPr>
        <w:t>）</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类标准。详见表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2-7-3</w:t>
      </w:r>
      <w:r>
        <w:rPr>
          <w:rFonts w:ascii="SimSun" w:hAnsi="SimSun" w:eastAsia="SimSun" w:cs="SimSun"/>
          <w:sz w:val="24"/>
          <w:szCs w:val="24"/>
          <w:spacing w:val="-1"/>
        </w:rPr>
        <w:t>。</w:t>
      </w:r>
    </w:p>
    <w:p>
      <w:pPr>
        <w:ind w:left="3576"/>
        <w:spacing w:before="283" w:line="222" w:lineRule="auto"/>
        <w:rPr>
          <w:rFonts w:ascii="SimHei" w:hAnsi="SimHei" w:eastAsia="SimHei" w:cs="SimHei"/>
          <w:sz w:val="24"/>
          <w:szCs w:val="24"/>
        </w:rPr>
      </w:pPr>
      <w:r>
        <w:rPr>
          <w:rFonts w:ascii="SimHei" w:hAnsi="SimHei" w:eastAsia="SimHei" w:cs="SimHei"/>
          <w:sz w:val="24"/>
          <w:szCs w:val="24"/>
          <w:spacing w:val="-2"/>
        </w:rPr>
        <w:t>地下水环境质量标准</w:t>
      </w:r>
    </w:p>
    <w:p>
      <w:pPr>
        <w:ind w:left="117"/>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2-7-3</w:t>
      </w:r>
    </w:p>
    <w:tbl>
      <w:tblPr>
        <w:tblStyle w:val="TableNormal"/>
        <w:tblW w:w="9083" w:type="dxa"/>
        <w:tblInd w:w="1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3"/>
        <w:gridCol w:w="2235"/>
        <w:gridCol w:w="1641"/>
        <w:gridCol w:w="885"/>
        <w:gridCol w:w="1938"/>
        <w:gridCol w:w="1701"/>
      </w:tblGrid>
      <w:tr>
        <w:trPr>
          <w:trHeight w:val="597" w:hRule="atLeast"/>
        </w:trPr>
        <w:tc>
          <w:tcPr>
            <w:tcW w:w="683" w:type="dxa"/>
            <w:vAlign w:val="top"/>
          </w:tcPr>
          <w:p>
            <w:pPr>
              <w:ind w:left="136"/>
              <w:spacing w:before="189" w:line="229" w:lineRule="auto"/>
              <w:rPr>
                <w:rFonts w:ascii="SimSun" w:hAnsi="SimSun" w:eastAsia="SimSun" w:cs="SimSun"/>
                <w:sz w:val="20"/>
                <w:szCs w:val="20"/>
              </w:rPr>
            </w:pPr>
            <w:r>
              <w:rPr>
                <w:rFonts w:ascii="SimSun" w:hAnsi="SimSun" w:eastAsia="SimSun" w:cs="SimSun"/>
                <w:sz w:val="20"/>
                <w:szCs w:val="20"/>
                <w:spacing w:val="5"/>
              </w:rPr>
              <w:t>序号</w:t>
            </w:r>
          </w:p>
        </w:tc>
        <w:tc>
          <w:tcPr>
            <w:tcW w:w="2235" w:type="dxa"/>
            <w:vAlign w:val="top"/>
          </w:tcPr>
          <w:p>
            <w:pPr>
              <w:ind w:left="914"/>
              <w:spacing w:before="190" w:line="228" w:lineRule="auto"/>
              <w:rPr>
                <w:rFonts w:ascii="SimSun" w:hAnsi="SimSun" w:eastAsia="SimSun" w:cs="SimSun"/>
                <w:sz w:val="20"/>
                <w:szCs w:val="20"/>
              </w:rPr>
            </w:pPr>
            <w:r>
              <w:rPr>
                <w:rFonts w:ascii="SimSun" w:hAnsi="SimSun" w:eastAsia="SimSun" w:cs="SimSun"/>
                <w:sz w:val="20"/>
                <w:szCs w:val="20"/>
                <w:spacing w:val="3"/>
              </w:rPr>
              <w:t>项目</w:t>
            </w:r>
          </w:p>
        </w:tc>
        <w:tc>
          <w:tcPr>
            <w:tcW w:w="1641" w:type="dxa"/>
            <w:vAlign w:val="top"/>
          </w:tcPr>
          <w:p>
            <w:pPr>
              <w:pStyle w:val="TableText"/>
              <w:ind w:left="397" w:right="401" w:firstLine="10"/>
              <w:spacing w:before="56" w:line="245" w:lineRule="auto"/>
              <w:rPr>
                <w:rFonts w:ascii="SimSun" w:hAnsi="SimSun" w:eastAsia="SimSun" w:cs="SimSun"/>
              </w:rPr>
            </w:pPr>
            <w:r>
              <w:rPr>
                <w:spacing w:val="7"/>
              </w:rPr>
              <w:t>Ⅲ</w:t>
            </w:r>
            <w:r>
              <w:rPr>
                <w:rFonts w:ascii="SimSun" w:hAnsi="SimSun" w:eastAsia="SimSun" w:cs="SimSun"/>
                <w:spacing w:val="7"/>
              </w:rPr>
              <w:t>类标准</w:t>
            </w:r>
            <w:r>
              <w:rPr>
                <w:rFonts w:ascii="SimSun" w:hAnsi="SimSun" w:eastAsia="SimSun" w:cs="SimSun"/>
              </w:rPr>
              <w:t>（</w:t>
            </w:r>
            <w:r>
              <w:rPr/>
              <w:t>mg/L</w:t>
            </w:r>
            <w:r>
              <w:rPr>
                <w:rFonts w:ascii="SimSun" w:hAnsi="SimSun" w:eastAsia="SimSun" w:cs="SimSun"/>
              </w:rPr>
              <w:t>）</w:t>
            </w:r>
          </w:p>
        </w:tc>
        <w:tc>
          <w:tcPr>
            <w:tcW w:w="885" w:type="dxa"/>
            <w:vAlign w:val="top"/>
          </w:tcPr>
          <w:p>
            <w:pPr>
              <w:ind w:left="238"/>
              <w:spacing w:before="189" w:line="229" w:lineRule="auto"/>
              <w:rPr>
                <w:rFonts w:ascii="SimSun" w:hAnsi="SimSun" w:eastAsia="SimSun" w:cs="SimSun"/>
                <w:sz w:val="20"/>
                <w:szCs w:val="20"/>
              </w:rPr>
            </w:pPr>
            <w:r>
              <w:rPr>
                <w:rFonts w:ascii="SimSun" w:hAnsi="SimSun" w:eastAsia="SimSun" w:cs="SimSun"/>
                <w:sz w:val="20"/>
                <w:szCs w:val="20"/>
                <w:spacing w:val="5"/>
              </w:rPr>
              <w:t>序号</w:t>
            </w:r>
          </w:p>
        </w:tc>
        <w:tc>
          <w:tcPr>
            <w:tcW w:w="1938" w:type="dxa"/>
            <w:vAlign w:val="top"/>
          </w:tcPr>
          <w:p>
            <w:pPr>
              <w:ind w:left="768"/>
              <w:spacing w:before="190" w:line="228" w:lineRule="auto"/>
              <w:rPr>
                <w:rFonts w:ascii="SimSun" w:hAnsi="SimSun" w:eastAsia="SimSun" w:cs="SimSun"/>
                <w:sz w:val="20"/>
                <w:szCs w:val="20"/>
              </w:rPr>
            </w:pPr>
            <w:r>
              <w:rPr>
                <w:rFonts w:ascii="SimSun" w:hAnsi="SimSun" w:eastAsia="SimSun" w:cs="SimSun"/>
                <w:sz w:val="20"/>
                <w:szCs w:val="20"/>
                <w:spacing w:val="3"/>
              </w:rPr>
              <w:t>项目</w:t>
            </w:r>
          </w:p>
        </w:tc>
        <w:tc>
          <w:tcPr>
            <w:tcW w:w="1701" w:type="dxa"/>
            <w:vAlign w:val="top"/>
          </w:tcPr>
          <w:p>
            <w:pPr>
              <w:pStyle w:val="TableText"/>
              <w:ind w:left="428" w:right="429" w:firstLine="8"/>
              <w:spacing w:before="56" w:line="245" w:lineRule="auto"/>
              <w:rPr>
                <w:rFonts w:ascii="SimSun" w:hAnsi="SimSun" w:eastAsia="SimSun" w:cs="SimSun"/>
              </w:rPr>
            </w:pPr>
            <w:r>
              <w:rPr>
                <w:spacing w:val="7"/>
              </w:rPr>
              <w:t>Ⅲ</w:t>
            </w:r>
            <w:r>
              <w:rPr>
                <w:rFonts w:ascii="SimSun" w:hAnsi="SimSun" w:eastAsia="SimSun" w:cs="SimSun"/>
                <w:spacing w:val="7"/>
              </w:rPr>
              <w:t>类标准</w:t>
            </w:r>
            <w:r>
              <w:rPr>
                <w:rFonts w:ascii="SimSun" w:hAnsi="SimSun" w:eastAsia="SimSun" w:cs="SimSun"/>
              </w:rPr>
              <w:t>（</w:t>
            </w:r>
            <w:r>
              <w:rPr/>
              <w:t>mg/L</w:t>
            </w:r>
            <w:r>
              <w:rPr>
                <w:rFonts w:ascii="SimSun" w:hAnsi="SimSun" w:eastAsia="SimSun" w:cs="SimSun"/>
              </w:rPr>
              <w:t>）</w:t>
            </w:r>
          </w:p>
        </w:tc>
      </w:tr>
      <w:tr>
        <w:trPr>
          <w:trHeight w:val="285" w:hRule="atLeast"/>
        </w:trPr>
        <w:tc>
          <w:tcPr>
            <w:tcW w:w="683" w:type="dxa"/>
            <w:vAlign w:val="top"/>
          </w:tcPr>
          <w:p>
            <w:pPr>
              <w:pStyle w:val="TableText"/>
              <w:ind w:left="309"/>
              <w:spacing w:before="67" w:line="195" w:lineRule="auto"/>
              <w:rPr/>
            </w:pPr>
            <w:r>
              <w:rPr/>
              <w:t>1</w:t>
            </w:r>
          </w:p>
        </w:tc>
        <w:tc>
          <w:tcPr>
            <w:tcW w:w="2235" w:type="dxa"/>
            <w:vAlign w:val="top"/>
          </w:tcPr>
          <w:p>
            <w:pPr>
              <w:pStyle w:val="TableText"/>
              <w:ind w:left="329"/>
              <w:spacing w:before="31" w:line="221" w:lineRule="auto"/>
              <w:rPr>
                <w:rFonts w:ascii="SimSun" w:hAnsi="SimSun" w:eastAsia="SimSun" w:cs="SimSun"/>
              </w:rPr>
            </w:pPr>
            <w:r>
              <w:rPr/>
              <w:t>pH</w:t>
            </w:r>
            <w:r>
              <w:rPr>
                <w:spacing w:val="9"/>
              </w:rPr>
              <w:t xml:space="preserve"> </w:t>
            </w:r>
            <w:r>
              <w:rPr>
                <w:rFonts w:ascii="SimSun" w:hAnsi="SimSun" w:eastAsia="SimSun" w:cs="SimSun"/>
                <w:spacing w:val="9"/>
              </w:rPr>
              <w:t>值（无量纲）</w:t>
            </w:r>
          </w:p>
        </w:tc>
        <w:tc>
          <w:tcPr>
            <w:tcW w:w="1641" w:type="dxa"/>
            <w:vAlign w:val="top"/>
          </w:tcPr>
          <w:p>
            <w:pPr>
              <w:pStyle w:val="TableText"/>
              <w:ind w:left="529"/>
              <w:spacing w:before="67" w:line="195" w:lineRule="auto"/>
              <w:rPr/>
            </w:pPr>
            <w:r>
              <w:rPr>
                <w:spacing w:val="2"/>
              </w:rPr>
              <w:t>6.5-8.5</w:t>
            </w:r>
          </w:p>
        </w:tc>
        <w:tc>
          <w:tcPr>
            <w:tcW w:w="885" w:type="dxa"/>
            <w:vAlign w:val="top"/>
          </w:tcPr>
          <w:p>
            <w:pPr>
              <w:pStyle w:val="TableText"/>
              <w:ind w:left="358"/>
              <w:spacing w:before="67" w:line="195" w:lineRule="auto"/>
              <w:rPr/>
            </w:pPr>
            <w:r>
              <w:rPr>
                <w:spacing w:val="-6"/>
              </w:rPr>
              <w:t>12</w:t>
            </w:r>
          </w:p>
        </w:tc>
        <w:tc>
          <w:tcPr>
            <w:tcW w:w="1938" w:type="dxa"/>
            <w:vAlign w:val="top"/>
          </w:tcPr>
          <w:p>
            <w:pPr>
              <w:ind w:left="870"/>
              <w:spacing w:before="32" w:line="224" w:lineRule="auto"/>
              <w:rPr>
                <w:rFonts w:ascii="SimSun" w:hAnsi="SimSun" w:eastAsia="SimSun" w:cs="SimSun"/>
                <w:sz w:val="20"/>
                <w:szCs w:val="20"/>
              </w:rPr>
            </w:pPr>
            <w:r>
              <w:rPr>
                <w:rFonts w:ascii="SimSun" w:hAnsi="SimSun" w:eastAsia="SimSun" w:cs="SimSun"/>
                <w:sz w:val="20"/>
                <w:szCs w:val="20"/>
                <w:spacing w:val="1"/>
              </w:rPr>
              <w:t>砷</w:t>
            </w:r>
          </w:p>
        </w:tc>
        <w:tc>
          <w:tcPr>
            <w:tcW w:w="1701" w:type="dxa"/>
            <w:vAlign w:val="top"/>
          </w:tcPr>
          <w:p>
            <w:pPr>
              <w:pStyle w:val="TableText"/>
              <w:ind w:left="609"/>
              <w:spacing w:before="68" w:line="195" w:lineRule="auto"/>
              <w:rPr/>
            </w:pPr>
            <w:r>
              <w:rPr>
                <w:spacing w:val="4"/>
              </w:rPr>
              <w:t>≤0.01</w:t>
            </w:r>
          </w:p>
        </w:tc>
      </w:tr>
      <w:tr>
        <w:trPr>
          <w:trHeight w:val="287" w:hRule="atLeast"/>
        </w:trPr>
        <w:tc>
          <w:tcPr>
            <w:tcW w:w="683" w:type="dxa"/>
            <w:vAlign w:val="top"/>
          </w:tcPr>
          <w:p>
            <w:pPr>
              <w:pStyle w:val="TableText"/>
              <w:ind w:left="289"/>
              <w:spacing w:before="70" w:line="195" w:lineRule="auto"/>
              <w:rPr/>
            </w:pPr>
            <w:r>
              <w:rPr/>
              <w:t>2</w:t>
            </w:r>
          </w:p>
        </w:tc>
        <w:tc>
          <w:tcPr>
            <w:tcW w:w="2235" w:type="dxa"/>
            <w:vAlign w:val="top"/>
          </w:tcPr>
          <w:p>
            <w:pPr>
              <w:ind w:left="804"/>
              <w:spacing w:before="32" w:line="226" w:lineRule="auto"/>
              <w:rPr>
                <w:rFonts w:ascii="SimSun" w:hAnsi="SimSun" w:eastAsia="SimSun" w:cs="SimSun"/>
                <w:sz w:val="20"/>
                <w:szCs w:val="20"/>
              </w:rPr>
            </w:pPr>
            <w:r>
              <w:rPr>
                <w:rFonts w:ascii="SimSun" w:hAnsi="SimSun" w:eastAsia="SimSun" w:cs="SimSun"/>
                <w:sz w:val="20"/>
                <w:szCs w:val="20"/>
                <w:spacing w:val="7"/>
              </w:rPr>
              <w:t>挥发酚</w:t>
            </w:r>
          </w:p>
        </w:tc>
        <w:tc>
          <w:tcPr>
            <w:tcW w:w="1641" w:type="dxa"/>
            <w:vAlign w:val="top"/>
          </w:tcPr>
          <w:p>
            <w:pPr>
              <w:pStyle w:val="TableText"/>
              <w:ind w:left="525"/>
              <w:spacing w:before="71" w:line="195" w:lineRule="auto"/>
              <w:rPr/>
            </w:pPr>
            <w:r>
              <w:rPr>
                <w:spacing w:val="4"/>
              </w:rPr>
              <w:t>≤0.002</w:t>
            </w:r>
          </w:p>
        </w:tc>
        <w:tc>
          <w:tcPr>
            <w:tcW w:w="885" w:type="dxa"/>
            <w:vAlign w:val="top"/>
          </w:tcPr>
          <w:p>
            <w:pPr>
              <w:pStyle w:val="TableText"/>
              <w:ind w:left="358"/>
              <w:spacing w:before="70" w:line="195" w:lineRule="auto"/>
              <w:rPr/>
            </w:pPr>
            <w:r>
              <w:rPr>
                <w:spacing w:val="-6"/>
              </w:rPr>
              <w:t>13</w:t>
            </w:r>
          </w:p>
        </w:tc>
        <w:tc>
          <w:tcPr>
            <w:tcW w:w="1938" w:type="dxa"/>
            <w:vAlign w:val="top"/>
          </w:tcPr>
          <w:p>
            <w:pPr>
              <w:ind w:left="871"/>
              <w:spacing w:before="32" w:line="226" w:lineRule="auto"/>
              <w:rPr>
                <w:rFonts w:ascii="SimSun" w:hAnsi="SimSun" w:eastAsia="SimSun" w:cs="SimSun"/>
                <w:sz w:val="20"/>
                <w:szCs w:val="20"/>
              </w:rPr>
            </w:pPr>
            <w:r>
              <w:rPr>
                <w:rFonts w:ascii="SimSun" w:hAnsi="SimSun" w:eastAsia="SimSun" w:cs="SimSun"/>
                <w:sz w:val="20"/>
                <w:szCs w:val="20"/>
              </w:rPr>
              <w:t>汞</w:t>
            </w:r>
          </w:p>
        </w:tc>
        <w:tc>
          <w:tcPr>
            <w:tcW w:w="1701" w:type="dxa"/>
            <w:vAlign w:val="top"/>
          </w:tcPr>
          <w:p>
            <w:pPr>
              <w:pStyle w:val="TableText"/>
              <w:ind w:left="557"/>
              <w:spacing w:before="71" w:line="195" w:lineRule="auto"/>
              <w:rPr/>
            </w:pPr>
            <w:r>
              <w:rPr>
                <w:spacing w:val="4"/>
              </w:rPr>
              <w:t>≤0.001</w:t>
            </w:r>
          </w:p>
        </w:tc>
      </w:tr>
      <w:tr>
        <w:trPr>
          <w:trHeight w:val="283" w:hRule="atLeast"/>
        </w:trPr>
        <w:tc>
          <w:tcPr>
            <w:tcW w:w="683" w:type="dxa"/>
            <w:vAlign w:val="top"/>
          </w:tcPr>
          <w:p>
            <w:pPr>
              <w:pStyle w:val="TableText"/>
              <w:ind w:left="293"/>
              <w:spacing w:before="68" w:line="195" w:lineRule="auto"/>
              <w:rPr/>
            </w:pPr>
            <w:r>
              <w:rPr/>
              <w:t>3</w:t>
            </w:r>
          </w:p>
        </w:tc>
        <w:tc>
          <w:tcPr>
            <w:tcW w:w="2235" w:type="dxa"/>
            <w:vAlign w:val="top"/>
          </w:tcPr>
          <w:p>
            <w:pPr>
              <w:ind w:left="911"/>
              <w:spacing w:before="33" w:line="221" w:lineRule="auto"/>
              <w:rPr>
                <w:rFonts w:ascii="SimSun" w:hAnsi="SimSun" w:eastAsia="SimSun" w:cs="SimSun"/>
                <w:sz w:val="20"/>
                <w:szCs w:val="20"/>
              </w:rPr>
            </w:pPr>
            <w:r>
              <w:rPr>
                <w:rFonts w:ascii="SimSun" w:hAnsi="SimSun" w:eastAsia="SimSun" w:cs="SimSun"/>
                <w:sz w:val="20"/>
                <w:szCs w:val="20"/>
                <w:spacing w:val="4"/>
              </w:rPr>
              <w:t>氨氮</w:t>
            </w:r>
          </w:p>
        </w:tc>
        <w:tc>
          <w:tcPr>
            <w:tcW w:w="1641" w:type="dxa"/>
            <w:vAlign w:val="top"/>
          </w:tcPr>
          <w:p>
            <w:pPr>
              <w:pStyle w:val="TableText"/>
              <w:ind w:left="631"/>
              <w:spacing w:before="69" w:line="195" w:lineRule="auto"/>
              <w:rPr/>
            </w:pPr>
            <w:r>
              <w:rPr>
                <w:spacing w:val="3"/>
              </w:rPr>
              <w:t>≤0.5</w:t>
            </w:r>
          </w:p>
        </w:tc>
        <w:tc>
          <w:tcPr>
            <w:tcW w:w="885" w:type="dxa"/>
            <w:vAlign w:val="top"/>
          </w:tcPr>
          <w:p>
            <w:pPr>
              <w:pStyle w:val="TableText"/>
              <w:ind w:left="358"/>
              <w:spacing w:before="69" w:line="195" w:lineRule="auto"/>
              <w:rPr/>
            </w:pPr>
            <w:r>
              <w:rPr>
                <w:spacing w:val="-6"/>
              </w:rPr>
              <w:t>14</w:t>
            </w:r>
          </w:p>
        </w:tc>
        <w:tc>
          <w:tcPr>
            <w:tcW w:w="1938" w:type="dxa"/>
            <w:vAlign w:val="top"/>
          </w:tcPr>
          <w:p>
            <w:pPr>
              <w:ind w:left="870"/>
              <w:spacing w:before="33" w:line="221" w:lineRule="auto"/>
              <w:rPr>
                <w:rFonts w:ascii="SimSun" w:hAnsi="SimSun" w:eastAsia="SimSun" w:cs="SimSun"/>
                <w:sz w:val="20"/>
                <w:szCs w:val="20"/>
              </w:rPr>
            </w:pPr>
            <w:r>
              <w:rPr>
                <w:rFonts w:ascii="SimSun" w:hAnsi="SimSun" w:eastAsia="SimSun" w:cs="SimSun"/>
                <w:sz w:val="20"/>
                <w:szCs w:val="20"/>
                <w:spacing w:val="1"/>
              </w:rPr>
              <w:t>铁</w:t>
            </w:r>
          </w:p>
        </w:tc>
        <w:tc>
          <w:tcPr>
            <w:tcW w:w="1701" w:type="dxa"/>
            <w:vAlign w:val="top"/>
          </w:tcPr>
          <w:p>
            <w:pPr>
              <w:pStyle w:val="TableText"/>
              <w:ind w:left="662"/>
              <w:spacing w:before="69" w:line="195" w:lineRule="auto"/>
              <w:rPr/>
            </w:pPr>
            <w:r>
              <w:rPr>
                <w:spacing w:val="3"/>
              </w:rPr>
              <w:t>≤0.3</w:t>
            </w:r>
          </w:p>
        </w:tc>
      </w:tr>
      <w:tr>
        <w:trPr>
          <w:trHeight w:val="288" w:hRule="atLeast"/>
        </w:trPr>
        <w:tc>
          <w:tcPr>
            <w:tcW w:w="683" w:type="dxa"/>
            <w:vAlign w:val="top"/>
          </w:tcPr>
          <w:p>
            <w:pPr>
              <w:pStyle w:val="TableText"/>
              <w:ind w:left="288"/>
              <w:spacing w:before="71" w:line="195" w:lineRule="auto"/>
              <w:rPr/>
            </w:pPr>
            <w:r>
              <w:rPr>
                <w:spacing w:val="1"/>
              </w:rPr>
              <w:t>4</w:t>
            </w:r>
          </w:p>
        </w:tc>
        <w:tc>
          <w:tcPr>
            <w:tcW w:w="2235" w:type="dxa"/>
            <w:vAlign w:val="top"/>
          </w:tcPr>
          <w:p>
            <w:pPr>
              <w:ind w:left="811"/>
              <w:spacing w:before="35" w:line="224" w:lineRule="auto"/>
              <w:rPr>
                <w:rFonts w:ascii="SimSun" w:hAnsi="SimSun" w:eastAsia="SimSun" w:cs="SimSun"/>
                <w:sz w:val="20"/>
                <w:szCs w:val="20"/>
              </w:rPr>
            </w:pPr>
            <w:r>
              <w:rPr>
                <w:rFonts w:ascii="SimSun" w:hAnsi="SimSun" w:eastAsia="SimSun" w:cs="SimSun"/>
                <w:sz w:val="20"/>
                <w:szCs w:val="20"/>
                <w:spacing w:val="5"/>
              </w:rPr>
              <w:t>总硬度</w:t>
            </w:r>
          </w:p>
        </w:tc>
        <w:tc>
          <w:tcPr>
            <w:tcW w:w="1641" w:type="dxa"/>
            <w:vAlign w:val="top"/>
          </w:tcPr>
          <w:p>
            <w:pPr>
              <w:pStyle w:val="TableText"/>
              <w:ind w:left="605"/>
              <w:spacing w:before="71" w:line="195" w:lineRule="auto"/>
              <w:rPr/>
            </w:pPr>
            <w:r>
              <w:rPr>
                <w:spacing w:val="4"/>
              </w:rPr>
              <w:t>≤450</w:t>
            </w:r>
          </w:p>
        </w:tc>
        <w:tc>
          <w:tcPr>
            <w:tcW w:w="885" w:type="dxa"/>
            <w:vAlign w:val="top"/>
          </w:tcPr>
          <w:p>
            <w:pPr>
              <w:pStyle w:val="TableText"/>
              <w:ind w:left="358"/>
              <w:spacing w:before="71" w:line="195" w:lineRule="auto"/>
              <w:rPr/>
            </w:pPr>
            <w:r>
              <w:rPr>
                <w:spacing w:val="-6"/>
              </w:rPr>
              <w:t>15</w:t>
            </w:r>
          </w:p>
        </w:tc>
        <w:tc>
          <w:tcPr>
            <w:tcW w:w="1938" w:type="dxa"/>
            <w:vAlign w:val="top"/>
          </w:tcPr>
          <w:p>
            <w:pPr>
              <w:ind w:left="871"/>
              <w:spacing w:before="35" w:line="224" w:lineRule="auto"/>
              <w:rPr>
                <w:rFonts w:ascii="SimSun" w:hAnsi="SimSun" w:eastAsia="SimSun" w:cs="SimSun"/>
                <w:sz w:val="20"/>
                <w:szCs w:val="20"/>
              </w:rPr>
            </w:pPr>
            <w:r>
              <w:rPr>
                <w:rFonts w:ascii="SimSun" w:hAnsi="SimSun" w:eastAsia="SimSun" w:cs="SimSun"/>
                <w:sz w:val="20"/>
                <w:szCs w:val="20"/>
              </w:rPr>
              <w:t>锰</w:t>
            </w:r>
          </w:p>
        </w:tc>
        <w:tc>
          <w:tcPr>
            <w:tcW w:w="1701" w:type="dxa"/>
            <w:vAlign w:val="top"/>
          </w:tcPr>
          <w:p>
            <w:pPr>
              <w:pStyle w:val="TableText"/>
              <w:ind w:left="662"/>
              <w:spacing w:before="71" w:line="195" w:lineRule="auto"/>
              <w:rPr/>
            </w:pPr>
            <w:r>
              <w:rPr>
                <w:spacing w:val="2"/>
              </w:rPr>
              <w:t>≤0.</w:t>
            </w:r>
            <w:r>
              <w:rPr>
                <w:spacing w:val="-24"/>
              </w:rPr>
              <w:t xml:space="preserve"> </w:t>
            </w:r>
            <w:r>
              <w:rPr>
                <w:spacing w:val="2"/>
              </w:rPr>
              <w:t>1</w:t>
            </w:r>
          </w:p>
        </w:tc>
      </w:tr>
      <w:tr>
        <w:trPr>
          <w:trHeight w:val="287" w:hRule="atLeast"/>
        </w:trPr>
        <w:tc>
          <w:tcPr>
            <w:tcW w:w="683" w:type="dxa"/>
            <w:vAlign w:val="top"/>
          </w:tcPr>
          <w:p>
            <w:pPr>
              <w:pStyle w:val="TableText"/>
              <w:ind w:left="295"/>
              <w:spacing w:before="74" w:line="192" w:lineRule="auto"/>
              <w:rPr/>
            </w:pPr>
            <w:r>
              <w:rPr/>
              <w:t>5</w:t>
            </w:r>
          </w:p>
        </w:tc>
        <w:tc>
          <w:tcPr>
            <w:tcW w:w="2235" w:type="dxa"/>
            <w:vAlign w:val="top"/>
          </w:tcPr>
          <w:p>
            <w:pPr>
              <w:ind w:left="493"/>
              <w:spacing w:before="35" w:line="223" w:lineRule="auto"/>
              <w:rPr>
                <w:rFonts w:ascii="SimSun" w:hAnsi="SimSun" w:eastAsia="SimSun" w:cs="SimSun"/>
                <w:sz w:val="20"/>
                <w:szCs w:val="20"/>
              </w:rPr>
            </w:pPr>
            <w:r>
              <w:rPr>
                <w:rFonts w:ascii="SimSun" w:hAnsi="SimSun" w:eastAsia="SimSun" w:cs="SimSun"/>
                <w:sz w:val="20"/>
                <w:szCs w:val="20"/>
                <w:spacing w:val="7"/>
              </w:rPr>
              <w:t>溶解性总固体</w:t>
            </w:r>
          </w:p>
        </w:tc>
        <w:tc>
          <w:tcPr>
            <w:tcW w:w="1641" w:type="dxa"/>
            <w:vAlign w:val="top"/>
          </w:tcPr>
          <w:p>
            <w:pPr>
              <w:pStyle w:val="TableText"/>
              <w:ind w:left="549"/>
              <w:spacing w:before="71" w:line="195" w:lineRule="auto"/>
              <w:rPr/>
            </w:pPr>
            <w:r>
              <w:rPr>
                <w:spacing w:val="5"/>
              </w:rPr>
              <w:t>≤1000</w:t>
            </w:r>
          </w:p>
        </w:tc>
        <w:tc>
          <w:tcPr>
            <w:tcW w:w="885" w:type="dxa"/>
            <w:vAlign w:val="top"/>
          </w:tcPr>
          <w:p>
            <w:pPr>
              <w:pStyle w:val="TableText"/>
              <w:ind w:left="358"/>
              <w:spacing w:before="71" w:line="195" w:lineRule="auto"/>
              <w:rPr/>
            </w:pPr>
            <w:r>
              <w:rPr>
                <w:spacing w:val="-6"/>
              </w:rPr>
              <w:t>16</w:t>
            </w:r>
          </w:p>
        </w:tc>
        <w:tc>
          <w:tcPr>
            <w:tcW w:w="1938" w:type="dxa"/>
            <w:vAlign w:val="top"/>
          </w:tcPr>
          <w:p>
            <w:pPr>
              <w:ind w:left="869"/>
              <w:spacing w:before="35" w:line="223" w:lineRule="auto"/>
              <w:rPr>
                <w:rFonts w:ascii="SimSun" w:hAnsi="SimSun" w:eastAsia="SimSun" w:cs="SimSun"/>
                <w:sz w:val="20"/>
                <w:szCs w:val="20"/>
              </w:rPr>
            </w:pPr>
            <w:r>
              <w:rPr>
                <w:rFonts w:ascii="SimSun" w:hAnsi="SimSun" w:eastAsia="SimSun" w:cs="SimSun"/>
                <w:sz w:val="20"/>
                <w:szCs w:val="20"/>
                <w:spacing w:val="2"/>
              </w:rPr>
              <w:t>镉</w:t>
            </w:r>
          </w:p>
        </w:tc>
        <w:tc>
          <w:tcPr>
            <w:tcW w:w="1701" w:type="dxa"/>
            <w:vAlign w:val="top"/>
          </w:tcPr>
          <w:p>
            <w:pPr>
              <w:pStyle w:val="TableText"/>
              <w:ind w:left="557"/>
              <w:spacing w:before="71" w:line="195" w:lineRule="auto"/>
              <w:rPr/>
            </w:pPr>
            <w:r>
              <w:rPr>
                <w:spacing w:val="4"/>
              </w:rPr>
              <w:t>≤0.005</w:t>
            </w:r>
          </w:p>
        </w:tc>
      </w:tr>
      <w:tr>
        <w:trPr>
          <w:trHeight w:val="285" w:hRule="atLeast"/>
        </w:trPr>
        <w:tc>
          <w:tcPr>
            <w:tcW w:w="683" w:type="dxa"/>
            <w:vAlign w:val="top"/>
          </w:tcPr>
          <w:p>
            <w:pPr>
              <w:pStyle w:val="TableText"/>
              <w:ind w:left="294"/>
              <w:spacing w:before="71" w:line="195" w:lineRule="auto"/>
              <w:rPr/>
            </w:pPr>
            <w:r>
              <w:rPr/>
              <w:t>6</w:t>
            </w:r>
          </w:p>
        </w:tc>
        <w:tc>
          <w:tcPr>
            <w:tcW w:w="2235" w:type="dxa"/>
            <w:vAlign w:val="top"/>
          </w:tcPr>
          <w:p>
            <w:pPr>
              <w:ind w:left="806"/>
              <w:spacing w:before="33" w:line="223" w:lineRule="auto"/>
              <w:rPr>
                <w:rFonts w:ascii="SimSun" w:hAnsi="SimSun" w:eastAsia="SimSun" w:cs="SimSun"/>
                <w:sz w:val="20"/>
                <w:szCs w:val="20"/>
              </w:rPr>
            </w:pPr>
            <w:r>
              <w:rPr>
                <w:rFonts w:ascii="SimSun" w:hAnsi="SimSun" w:eastAsia="SimSun" w:cs="SimSun"/>
                <w:sz w:val="20"/>
                <w:szCs w:val="20"/>
                <w:spacing w:val="6"/>
              </w:rPr>
              <w:t>氟化物</w:t>
            </w:r>
          </w:p>
        </w:tc>
        <w:tc>
          <w:tcPr>
            <w:tcW w:w="1641" w:type="dxa"/>
            <w:vAlign w:val="top"/>
          </w:tcPr>
          <w:p>
            <w:pPr>
              <w:pStyle w:val="TableText"/>
              <w:ind w:left="631"/>
              <w:spacing w:before="72" w:line="195" w:lineRule="auto"/>
              <w:rPr/>
            </w:pPr>
            <w:r>
              <w:rPr>
                <w:spacing w:val="3"/>
              </w:rPr>
              <w:t>≤1.0</w:t>
            </w:r>
          </w:p>
        </w:tc>
        <w:tc>
          <w:tcPr>
            <w:tcW w:w="885" w:type="dxa"/>
            <w:vAlign w:val="top"/>
          </w:tcPr>
          <w:p>
            <w:pPr>
              <w:pStyle w:val="TableText"/>
              <w:ind w:left="358"/>
              <w:spacing w:before="71" w:line="195" w:lineRule="auto"/>
              <w:rPr/>
            </w:pPr>
            <w:r>
              <w:rPr>
                <w:spacing w:val="-6"/>
              </w:rPr>
              <w:t>17</w:t>
            </w:r>
          </w:p>
        </w:tc>
        <w:tc>
          <w:tcPr>
            <w:tcW w:w="1938" w:type="dxa"/>
            <w:vAlign w:val="top"/>
          </w:tcPr>
          <w:p>
            <w:pPr>
              <w:ind w:left="871"/>
              <w:spacing w:before="33" w:line="223" w:lineRule="auto"/>
              <w:rPr>
                <w:rFonts w:ascii="SimSun" w:hAnsi="SimSun" w:eastAsia="SimSun" w:cs="SimSun"/>
                <w:sz w:val="20"/>
                <w:szCs w:val="20"/>
              </w:rPr>
            </w:pPr>
            <w:r>
              <w:rPr>
                <w:rFonts w:ascii="SimSun" w:hAnsi="SimSun" w:eastAsia="SimSun" w:cs="SimSun"/>
                <w:sz w:val="20"/>
                <w:szCs w:val="20"/>
              </w:rPr>
              <w:t>铅</w:t>
            </w:r>
          </w:p>
        </w:tc>
        <w:tc>
          <w:tcPr>
            <w:tcW w:w="1701" w:type="dxa"/>
            <w:vAlign w:val="top"/>
          </w:tcPr>
          <w:p>
            <w:pPr>
              <w:pStyle w:val="TableText"/>
              <w:ind w:left="609"/>
              <w:spacing w:before="72" w:line="195" w:lineRule="auto"/>
              <w:rPr/>
            </w:pPr>
            <w:r>
              <w:rPr>
                <w:spacing w:val="4"/>
              </w:rPr>
              <w:t>≤0.01</w:t>
            </w:r>
          </w:p>
        </w:tc>
      </w:tr>
      <w:tr>
        <w:trPr>
          <w:trHeight w:val="563" w:hRule="atLeast"/>
        </w:trPr>
        <w:tc>
          <w:tcPr>
            <w:tcW w:w="683" w:type="dxa"/>
            <w:vAlign w:val="top"/>
          </w:tcPr>
          <w:p>
            <w:pPr>
              <w:pStyle w:val="TableText"/>
              <w:ind w:left="293"/>
              <w:spacing w:before="214" w:line="192" w:lineRule="auto"/>
              <w:rPr/>
            </w:pPr>
            <w:r>
              <w:rPr/>
              <w:t>7</w:t>
            </w:r>
          </w:p>
        </w:tc>
        <w:tc>
          <w:tcPr>
            <w:tcW w:w="2235" w:type="dxa"/>
            <w:vAlign w:val="top"/>
          </w:tcPr>
          <w:p>
            <w:pPr>
              <w:ind w:left="809"/>
              <w:spacing w:before="173" w:line="229" w:lineRule="auto"/>
              <w:rPr>
                <w:rFonts w:ascii="SimSun" w:hAnsi="SimSun" w:eastAsia="SimSun" w:cs="SimSun"/>
                <w:sz w:val="20"/>
                <w:szCs w:val="20"/>
              </w:rPr>
            </w:pPr>
            <w:r>
              <w:rPr>
                <w:rFonts w:ascii="SimSun" w:hAnsi="SimSun" w:eastAsia="SimSun" w:cs="SimSun"/>
                <w:sz w:val="20"/>
                <w:szCs w:val="20"/>
                <w:spacing w:val="5"/>
              </w:rPr>
              <w:t>氯化物</w:t>
            </w:r>
          </w:p>
        </w:tc>
        <w:tc>
          <w:tcPr>
            <w:tcW w:w="1641" w:type="dxa"/>
            <w:vAlign w:val="top"/>
          </w:tcPr>
          <w:p>
            <w:pPr>
              <w:pStyle w:val="TableText"/>
              <w:ind w:left="605"/>
              <w:spacing w:before="212" w:line="195" w:lineRule="auto"/>
              <w:rPr/>
            </w:pPr>
            <w:r>
              <w:rPr>
                <w:spacing w:val="4"/>
              </w:rPr>
              <w:t>≤250</w:t>
            </w:r>
          </w:p>
        </w:tc>
        <w:tc>
          <w:tcPr>
            <w:tcW w:w="885" w:type="dxa"/>
            <w:vAlign w:val="top"/>
          </w:tcPr>
          <w:p>
            <w:pPr>
              <w:pStyle w:val="TableText"/>
              <w:ind w:left="358"/>
              <w:spacing w:before="211" w:line="195" w:lineRule="auto"/>
              <w:rPr/>
            </w:pPr>
            <w:r>
              <w:rPr>
                <w:spacing w:val="-6"/>
              </w:rPr>
              <w:t>18</w:t>
            </w:r>
          </w:p>
        </w:tc>
        <w:tc>
          <w:tcPr>
            <w:tcW w:w="1938" w:type="dxa"/>
            <w:vAlign w:val="top"/>
          </w:tcPr>
          <w:p>
            <w:pPr>
              <w:pStyle w:val="TableText"/>
              <w:ind w:left="216" w:right="216" w:firstLine="240"/>
              <w:spacing w:before="39" w:line="237" w:lineRule="auto"/>
              <w:rPr>
                <w:rFonts w:ascii="SimSun" w:hAnsi="SimSun" w:eastAsia="SimSun" w:cs="SimSun"/>
              </w:rPr>
            </w:pPr>
            <w:r>
              <w:rPr>
                <w:rFonts w:ascii="SimSun" w:hAnsi="SimSun" w:eastAsia="SimSun" w:cs="SimSun"/>
                <w:spacing w:val="7"/>
              </w:rPr>
              <w:t>总大肠菌群</w:t>
            </w:r>
            <w:r>
              <w:rPr>
                <w:rFonts w:ascii="SimSun" w:hAnsi="SimSun" w:eastAsia="SimSun" w:cs="SimSun"/>
              </w:rPr>
              <w:t xml:space="preserve"> </w:t>
            </w:r>
            <w:r>
              <w:rPr>
                <w:rFonts w:ascii="SimSun" w:hAnsi="SimSun" w:eastAsia="SimSun" w:cs="SimSun"/>
                <w:spacing w:val="5"/>
              </w:rPr>
              <w:t>（</w:t>
            </w:r>
            <w:r>
              <w:rPr/>
              <w:t>MPN</w:t>
            </w:r>
            <w:r>
              <w:rPr>
                <w:spacing w:val="5"/>
              </w:rPr>
              <w:t>/100</w:t>
            </w:r>
            <w:r>
              <w:rPr/>
              <w:t>mL</w:t>
            </w:r>
            <w:r>
              <w:rPr>
                <w:rFonts w:ascii="SimSun" w:hAnsi="SimSun" w:eastAsia="SimSun" w:cs="SimSun"/>
                <w:spacing w:val="5"/>
              </w:rPr>
              <w:t>）</w:t>
            </w:r>
          </w:p>
        </w:tc>
        <w:tc>
          <w:tcPr>
            <w:tcW w:w="1701" w:type="dxa"/>
            <w:vAlign w:val="top"/>
          </w:tcPr>
          <w:p>
            <w:pPr>
              <w:pStyle w:val="TableText"/>
              <w:ind w:left="662"/>
              <w:spacing w:before="212" w:line="195" w:lineRule="auto"/>
              <w:rPr/>
            </w:pPr>
            <w:r>
              <w:rPr>
                <w:spacing w:val="3"/>
              </w:rPr>
              <w:t>≤3.0</w:t>
            </w:r>
          </w:p>
        </w:tc>
      </w:tr>
      <w:tr>
        <w:trPr>
          <w:trHeight w:val="568" w:hRule="atLeast"/>
        </w:trPr>
        <w:tc>
          <w:tcPr>
            <w:tcW w:w="683" w:type="dxa"/>
            <w:vAlign w:val="top"/>
          </w:tcPr>
          <w:p>
            <w:pPr>
              <w:pStyle w:val="TableText"/>
              <w:ind w:left="298"/>
              <w:spacing w:before="214" w:line="195" w:lineRule="auto"/>
              <w:rPr/>
            </w:pPr>
            <w:r>
              <w:rPr/>
              <w:t>8</w:t>
            </w:r>
          </w:p>
        </w:tc>
        <w:tc>
          <w:tcPr>
            <w:tcW w:w="2235" w:type="dxa"/>
            <w:vAlign w:val="top"/>
          </w:tcPr>
          <w:p>
            <w:pPr>
              <w:ind w:left="804"/>
              <w:spacing w:before="176" w:line="229" w:lineRule="auto"/>
              <w:rPr>
                <w:rFonts w:ascii="SimSun" w:hAnsi="SimSun" w:eastAsia="SimSun" w:cs="SimSun"/>
                <w:sz w:val="20"/>
                <w:szCs w:val="20"/>
              </w:rPr>
            </w:pPr>
            <w:r>
              <w:rPr>
                <w:rFonts w:ascii="SimSun" w:hAnsi="SimSun" w:eastAsia="SimSun" w:cs="SimSun"/>
                <w:sz w:val="20"/>
                <w:szCs w:val="20"/>
                <w:spacing w:val="7"/>
              </w:rPr>
              <w:t>硫酸盐</w:t>
            </w:r>
          </w:p>
        </w:tc>
        <w:tc>
          <w:tcPr>
            <w:tcW w:w="1641" w:type="dxa"/>
            <w:vAlign w:val="top"/>
          </w:tcPr>
          <w:p>
            <w:pPr>
              <w:pStyle w:val="TableText"/>
              <w:ind w:left="605"/>
              <w:spacing w:before="215" w:line="195" w:lineRule="auto"/>
              <w:rPr/>
            </w:pPr>
            <w:r>
              <w:rPr>
                <w:spacing w:val="4"/>
              </w:rPr>
              <w:t>≤250</w:t>
            </w:r>
          </w:p>
        </w:tc>
        <w:tc>
          <w:tcPr>
            <w:tcW w:w="885" w:type="dxa"/>
            <w:vAlign w:val="top"/>
          </w:tcPr>
          <w:p>
            <w:pPr>
              <w:pStyle w:val="TableText"/>
              <w:ind w:left="358"/>
              <w:spacing w:before="214" w:line="195" w:lineRule="auto"/>
              <w:rPr/>
            </w:pPr>
            <w:r>
              <w:rPr>
                <w:spacing w:val="-6"/>
              </w:rPr>
              <w:t>19</w:t>
            </w:r>
          </w:p>
        </w:tc>
        <w:tc>
          <w:tcPr>
            <w:tcW w:w="1938" w:type="dxa"/>
            <w:vAlign w:val="top"/>
          </w:tcPr>
          <w:p>
            <w:pPr>
              <w:pStyle w:val="TableText"/>
              <w:ind w:left="432" w:right="432" w:firstLine="128"/>
              <w:spacing w:before="42" w:line="238" w:lineRule="auto"/>
              <w:rPr>
                <w:rFonts w:ascii="SimSun" w:hAnsi="SimSun" w:eastAsia="SimSun" w:cs="SimSun"/>
              </w:rPr>
            </w:pPr>
            <w:r>
              <w:rPr>
                <w:rFonts w:ascii="SimSun" w:hAnsi="SimSun" w:eastAsia="SimSun" w:cs="SimSun"/>
                <w:spacing w:val="6"/>
              </w:rPr>
              <w:t>菌落总数</w:t>
            </w:r>
            <w:r>
              <w:rPr>
                <w:rFonts w:ascii="SimSun" w:hAnsi="SimSun" w:eastAsia="SimSun" w:cs="SimSun"/>
                <w:spacing w:val="3"/>
              </w:rPr>
              <w:t>（</w:t>
            </w:r>
            <w:r>
              <w:rPr/>
              <w:t>CFU</w:t>
            </w:r>
            <w:r>
              <w:rPr>
                <w:spacing w:val="3"/>
              </w:rPr>
              <w:t>/</w:t>
            </w:r>
            <w:r>
              <w:rPr/>
              <w:t>ml</w:t>
            </w:r>
            <w:r>
              <w:rPr>
                <w:rFonts w:ascii="SimSun" w:hAnsi="SimSun" w:eastAsia="SimSun" w:cs="SimSun"/>
                <w:spacing w:val="3"/>
              </w:rPr>
              <w:t>）</w:t>
            </w:r>
          </w:p>
        </w:tc>
        <w:tc>
          <w:tcPr>
            <w:tcW w:w="1701" w:type="dxa"/>
            <w:vAlign w:val="top"/>
          </w:tcPr>
          <w:p>
            <w:pPr>
              <w:pStyle w:val="TableText"/>
              <w:ind w:left="633"/>
              <w:spacing w:before="215" w:line="195" w:lineRule="auto"/>
              <w:rPr/>
            </w:pPr>
            <w:r>
              <w:rPr>
                <w:spacing w:val="5"/>
              </w:rPr>
              <w:t>≤100</w:t>
            </w:r>
          </w:p>
        </w:tc>
      </w:tr>
      <w:tr>
        <w:trPr>
          <w:trHeight w:val="285" w:hRule="atLeast"/>
        </w:trPr>
        <w:tc>
          <w:tcPr>
            <w:tcW w:w="683" w:type="dxa"/>
            <w:vAlign w:val="top"/>
          </w:tcPr>
          <w:p>
            <w:pPr>
              <w:pStyle w:val="TableText"/>
              <w:ind w:left="293"/>
              <w:spacing w:before="71" w:line="195" w:lineRule="auto"/>
              <w:rPr/>
            </w:pPr>
            <w:r>
              <w:rPr/>
              <w:t>9</w:t>
            </w:r>
          </w:p>
        </w:tc>
        <w:tc>
          <w:tcPr>
            <w:tcW w:w="2235" w:type="dxa"/>
            <w:vAlign w:val="top"/>
          </w:tcPr>
          <w:p>
            <w:pPr>
              <w:pStyle w:val="TableText"/>
              <w:ind w:left="260"/>
              <w:spacing w:before="35" w:line="221" w:lineRule="auto"/>
              <w:rPr>
                <w:rFonts w:ascii="SimSun" w:hAnsi="SimSun" w:eastAsia="SimSun" w:cs="SimSun"/>
              </w:rPr>
            </w:pPr>
            <w:r>
              <w:rPr>
                <w:rFonts w:ascii="SimSun" w:hAnsi="SimSun" w:eastAsia="SimSun" w:cs="SimSun"/>
                <w:spacing w:val="6"/>
              </w:rPr>
              <w:t>硝酸盐（以</w:t>
            </w:r>
            <w:r>
              <w:rPr>
                <w:rFonts w:ascii="SimSun" w:hAnsi="SimSun" w:eastAsia="SimSun" w:cs="SimSun"/>
                <w:spacing w:val="-45"/>
              </w:rPr>
              <w:t xml:space="preserve"> </w:t>
            </w:r>
            <w:r>
              <w:rPr>
                <w:spacing w:val="6"/>
              </w:rPr>
              <w:t>N </w:t>
            </w:r>
            <w:r>
              <w:rPr>
                <w:rFonts w:ascii="SimSun" w:hAnsi="SimSun" w:eastAsia="SimSun" w:cs="SimSun"/>
                <w:spacing w:val="6"/>
              </w:rPr>
              <w:t>计）</w:t>
            </w:r>
          </w:p>
        </w:tc>
        <w:tc>
          <w:tcPr>
            <w:tcW w:w="1641" w:type="dxa"/>
            <w:vAlign w:val="top"/>
          </w:tcPr>
          <w:p>
            <w:pPr>
              <w:pStyle w:val="TableText"/>
              <w:ind w:left="657"/>
              <w:spacing w:before="71" w:line="195" w:lineRule="auto"/>
              <w:rPr/>
            </w:pPr>
            <w:r>
              <w:rPr>
                <w:spacing w:val="4"/>
              </w:rPr>
              <w:t>≤20</w:t>
            </w:r>
          </w:p>
        </w:tc>
        <w:tc>
          <w:tcPr>
            <w:tcW w:w="885" w:type="dxa"/>
            <w:vAlign w:val="top"/>
          </w:tcPr>
          <w:p>
            <w:pPr>
              <w:pStyle w:val="TableText"/>
              <w:ind w:left="338"/>
              <w:spacing w:before="71" w:line="195" w:lineRule="auto"/>
              <w:rPr/>
            </w:pPr>
            <w:r>
              <w:rPr>
                <w:spacing w:val="4"/>
              </w:rPr>
              <w:t>20</w:t>
            </w:r>
          </w:p>
        </w:tc>
        <w:tc>
          <w:tcPr>
            <w:tcW w:w="1938" w:type="dxa"/>
            <w:vAlign w:val="top"/>
          </w:tcPr>
          <w:p>
            <w:pPr>
              <w:pStyle w:val="TableText"/>
              <w:ind w:left="82"/>
              <w:spacing w:before="35" w:line="221" w:lineRule="auto"/>
              <w:rPr>
                <w:rFonts w:ascii="SimSun" w:hAnsi="SimSun" w:eastAsia="SimSun" w:cs="SimSun"/>
              </w:rPr>
            </w:pPr>
            <w:r>
              <w:rPr>
                <w:rFonts w:ascii="SimSun" w:hAnsi="SimSun" w:eastAsia="SimSun" w:cs="SimSun"/>
                <w:spacing w:val="12"/>
              </w:rPr>
              <w:t>耗氧量（</w:t>
            </w:r>
            <w:r>
              <w:rPr/>
              <w:t>CODMn</w:t>
            </w:r>
            <w:r>
              <w:rPr>
                <w:rFonts w:ascii="SimSun" w:hAnsi="SimSun" w:eastAsia="SimSun" w:cs="SimSun"/>
                <w:spacing w:val="12"/>
              </w:rPr>
              <w:t>）</w:t>
            </w:r>
          </w:p>
        </w:tc>
        <w:tc>
          <w:tcPr>
            <w:tcW w:w="1701" w:type="dxa"/>
            <w:vAlign w:val="top"/>
          </w:tcPr>
          <w:p>
            <w:pPr>
              <w:pStyle w:val="TableText"/>
              <w:ind w:left="662"/>
              <w:spacing w:before="71" w:line="195" w:lineRule="auto"/>
              <w:rPr/>
            </w:pPr>
            <w:r>
              <w:rPr>
                <w:spacing w:val="3"/>
              </w:rPr>
              <w:t>≤3.0</w:t>
            </w:r>
          </w:p>
        </w:tc>
      </w:tr>
      <w:tr>
        <w:trPr>
          <w:trHeight w:val="288" w:hRule="atLeast"/>
        </w:trPr>
        <w:tc>
          <w:tcPr>
            <w:tcW w:w="683" w:type="dxa"/>
            <w:vAlign w:val="top"/>
          </w:tcPr>
          <w:p>
            <w:pPr>
              <w:pStyle w:val="TableText"/>
              <w:ind w:left="257"/>
              <w:spacing w:before="71" w:line="195" w:lineRule="auto"/>
              <w:rPr/>
            </w:pPr>
            <w:r>
              <w:rPr>
                <w:spacing w:val="-8"/>
              </w:rPr>
              <w:t>10</w:t>
            </w:r>
          </w:p>
        </w:tc>
        <w:tc>
          <w:tcPr>
            <w:tcW w:w="2235" w:type="dxa"/>
            <w:vAlign w:val="top"/>
          </w:tcPr>
          <w:p>
            <w:pPr>
              <w:pStyle w:val="TableText"/>
              <w:ind w:left="152"/>
              <w:spacing w:before="35" w:line="224" w:lineRule="auto"/>
              <w:rPr>
                <w:rFonts w:ascii="SimSun" w:hAnsi="SimSun" w:eastAsia="SimSun" w:cs="SimSun"/>
              </w:rPr>
            </w:pPr>
            <w:r>
              <w:rPr>
                <w:rFonts w:ascii="SimSun" w:hAnsi="SimSun" w:eastAsia="SimSun" w:cs="SimSun"/>
                <w:spacing w:val="12"/>
              </w:rPr>
              <w:t>亚硝酸盐（以</w:t>
            </w:r>
            <w:r>
              <w:rPr>
                <w:spacing w:val="12"/>
              </w:rPr>
              <w:t>N </w:t>
            </w:r>
            <w:r>
              <w:rPr>
                <w:rFonts w:ascii="SimSun" w:hAnsi="SimSun" w:eastAsia="SimSun" w:cs="SimSun"/>
                <w:spacing w:val="12"/>
              </w:rPr>
              <w:t>计）</w:t>
            </w:r>
          </w:p>
        </w:tc>
        <w:tc>
          <w:tcPr>
            <w:tcW w:w="1641" w:type="dxa"/>
            <w:vAlign w:val="top"/>
          </w:tcPr>
          <w:p>
            <w:pPr>
              <w:pStyle w:val="TableText"/>
              <w:ind w:left="631"/>
              <w:spacing w:before="72" w:line="195" w:lineRule="auto"/>
              <w:rPr/>
            </w:pPr>
            <w:r>
              <w:rPr>
                <w:spacing w:val="3"/>
              </w:rPr>
              <w:t>≤1.0</w:t>
            </w:r>
          </w:p>
        </w:tc>
        <w:tc>
          <w:tcPr>
            <w:tcW w:w="885" w:type="dxa"/>
            <w:vAlign w:val="top"/>
          </w:tcPr>
          <w:p>
            <w:pPr>
              <w:pStyle w:val="TableText"/>
              <w:ind w:left="338"/>
              <w:spacing w:before="71" w:line="195" w:lineRule="auto"/>
              <w:rPr/>
            </w:pPr>
            <w:r>
              <w:rPr>
                <w:spacing w:val="4"/>
              </w:rPr>
              <w:t>21</w:t>
            </w:r>
          </w:p>
        </w:tc>
        <w:tc>
          <w:tcPr>
            <w:tcW w:w="1938" w:type="dxa"/>
            <w:vAlign w:val="top"/>
          </w:tcPr>
          <w:p>
            <w:pPr>
              <w:ind w:left="661"/>
              <w:spacing w:before="35" w:line="224" w:lineRule="auto"/>
              <w:rPr>
                <w:rFonts w:ascii="SimSun" w:hAnsi="SimSun" w:eastAsia="SimSun" w:cs="SimSun"/>
                <w:sz w:val="20"/>
                <w:szCs w:val="20"/>
              </w:rPr>
            </w:pPr>
            <w:r>
              <w:rPr>
                <w:rFonts w:ascii="SimSun" w:hAnsi="SimSun" w:eastAsia="SimSun" w:cs="SimSun"/>
                <w:sz w:val="20"/>
                <w:szCs w:val="20"/>
                <w:spacing w:val="7"/>
              </w:rPr>
              <w:t>氰化物</w:t>
            </w:r>
          </w:p>
        </w:tc>
        <w:tc>
          <w:tcPr>
            <w:tcW w:w="1701" w:type="dxa"/>
            <w:vAlign w:val="top"/>
          </w:tcPr>
          <w:p>
            <w:pPr>
              <w:pStyle w:val="TableText"/>
              <w:ind w:left="609"/>
              <w:spacing w:before="72" w:line="195" w:lineRule="auto"/>
              <w:rPr/>
            </w:pPr>
            <w:r>
              <w:rPr>
                <w:spacing w:val="4"/>
              </w:rPr>
              <w:t>≤0.05</w:t>
            </w:r>
          </w:p>
        </w:tc>
      </w:tr>
      <w:tr>
        <w:trPr>
          <w:trHeight w:val="287" w:hRule="atLeast"/>
        </w:trPr>
        <w:tc>
          <w:tcPr>
            <w:tcW w:w="683" w:type="dxa"/>
            <w:vAlign w:val="top"/>
          </w:tcPr>
          <w:p>
            <w:pPr>
              <w:pStyle w:val="TableText"/>
              <w:ind w:left="257"/>
              <w:spacing w:before="74" w:line="195" w:lineRule="auto"/>
              <w:rPr/>
            </w:pPr>
            <w:r>
              <w:rPr>
                <w:spacing w:val="-8"/>
              </w:rPr>
              <w:t>11</w:t>
            </w:r>
          </w:p>
        </w:tc>
        <w:tc>
          <w:tcPr>
            <w:tcW w:w="2235" w:type="dxa"/>
            <w:vAlign w:val="top"/>
          </w:tcPr>
          <w:p>
            <w:pPr>
              <w:ind w:left="807"/>
              <w:spacing w:before="37" w:line="221" w:lineRule="auto"/>
              <w:rPr>
                <w:rFonts w:ascii="SimSun" w:hAnsi="SimSun" w:eastAsia="SimSun" w:cs="SimSun"/>
                <w:sz w:val="20"/>
                <w:szCs w:val="20"/>
              </w:rPr>
            </w:pPr>
            <w:r>
              <w:rPr>
                <w:rFonts w:ascii="SimSun" w:hAnsi="SimSun" w:eastAsia="SimSun" w:cs="SimSun"/>
                <w:sz w:val="20"/>
                <w:szCs w:val="20"/>
                <w:spacing w:val="6"/>
              </w:rPr>
              <w:t>六价铬</w:t>
            </w:r>
          </w:p>
        </w:tc>
        <w:tc>
          <w:tcPr>
            <w:tcW w:w="1641" w:type="dxa"/>
            <w:vAlign w:val="top"/>
          </w:tcPr>
          <w:p>
            <w:pPr>
              <w:pStyle w:val="TableText"/>
              <w:ind w:left="578"/>
              <w:spacing w:before="74" w:line="195" w:lineRule="auto"/>
              <w:rPr/>
            </w:pPr>
            <w:r>
              <w:rPr>
                <w:spacing w:val="4"/>
              </w:rPr>
              <w:t>≤0.05</w:t>
            </w:r>
          </w:p>
        </w:tc>
        <w:tc>
          <w:tcPr>
            <w:tcW w:w="885" w:type="dxa"/>
            <w:vAlign w:val="top"/>
          </w:tcPr>
          <w:p>
            <w:pPr>
              <w:pStyle w:val="TableText"/>
              <w:ind w:left="338"/>
              <w:spacing w:before="74" w:line="195" w:lineRule="auto"/>
              <w:rPr/>
            </w:pPr>
            <w:r>
              <w:rPr>
                <w:spacing w:val="4"/>
              </w:rPr>
              <w:t>22</w:t>
            </w:r>
          </w:p>
        </w:tc>
        <w:tc>
          <w:tcPr>
            <w:tcW w:w="1938" w:type="dxa"/>
            <w:vAlign w:val="top"/>
          </w:tcPr>
          <w:p>
            <w:pPr>
              <w:pStyle w:val="TableText"/>
              <w:ind w:left="802"/>
              <w:spacing w:before="65" w:line="204" w:lineRule="auto"/>
              <w:rPr>
                <w:sz w:val="13"/>
                <w:szCs w:val="13"/>
              </w:rPr>
            </w:pPr>
            <w:r>
              <w:rPr>
                <w:position w:val="-1"/>
              </w:rPr>
              <w:t>Na</w:t>
            </w:r>
            <w:r>
              <w:rPr>
                <w:sz w:val="13"/>
                <w:szCs w:val="13"/>
                <w:spacing w:val="17"/>
                <w:position w:val="5"/>
              </w:rPr>
              <w:t>+</w:t>
            </w:r>
          </w:p>
        </w:tc>
        <w:tc>
          <w:tcPr>
            <w:tcW w:w="1701" w:type="dxa"/>
            <w:vAlign w:val="top"/>
          </w:tcPr>
          <w:p>
            <w:pPr>
              <w:pStyle w:val="TableText"/>
              <w:ind w:left="633"/>
              <w:spacing w:before="74" w:line="195" w:lineRule="auto"/>
              <w:rPr/>
            </w:pPr>
            <w:r>
              <w:rPr>
                <w:spacing w:val="5"/>
              </w:rPr>
              <w:t>≤200</w:t>
            </w:r>
          </w:p>
        </w:tc>
      </w:tr>
      <w:tr>
        <w:trPr>
          <w:trHeight w:val="280" w:hRule="atLeast"/>
        </w:trPr>
        <w:tc>
          <w:tcPr>
            <w:tcW w:w="683" w:type="dxa"/>
            <w:vAlign w:val="top"/>
          </w:tcPr>
          <w:p>
            <w:pPr>
              <w:ind w:left="140"/>
              <w:spacing w:before="33" w:line="218" w:lineRule="auto"/>
              <w:rPr>
                <w:rFonts w:ascii="SimSun" w:hAnsi="SimSun" w:eastAsia="SimSun" w:cs="SimSun"/>
                <w:sz w:val="20"/>
                <w:szCs w:val="20"/>
              </w:rPr>
            </w:pPr>
            <w:r>
              <w:rPr>
                <w:rFonts w:ascii="SimSun" w:hAnsi="SimSun" w:eastAsia="SimSun" w:cs="SimSun"/>
                <w:sz w:val="20"/>
                <w:szCs w:val="20"/>
                <w:spacing w:val="3"/>
              </w:rPr>
              <w:t>备注</w:t>
            </w:r>
          </w:p>
        </w:tc>
        <w:tc>
          <w:tcPr>
            <w:tcW w:w="8400" w:type="dxa"/>
            <w:vAlign w:val="top"/>
            <w:gridSpan w:val="5"/>
          </w:tcPr>
          <w:p>
            <w:pPr>
              <w:rPr>
                <w:rFonts w:ascii="Arial"/>
                <w:sz w:val="21"/>
              </w:rPr>
            </w:pPr>
            <w:r/>
          </w:p>
        </w:tc>
      </w:tr>
    </w:tbl>
    <w:p>
      <w:pPr>
        <w:pStyle w:val="BodyText"/>
        <w:spacing w:line="337" w:lineRule="auto"/>
        <w:rPr/>
      </w:pPr>
      <w:r/>
    </w:p>
    <w:p>
      <w:pPr>
        <w:ind w:left="11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2.7.1.4  </w:t>
      </w:r>
      <w:r>
        <w:rPr>
          <w:rFonts w:ascii="SimHei" w:hAnsi="SimHei" w:eastAsia="SimHei" w:cs="SimHei"/>
          <w:sz w:val="24"/>
          <w:szCs w:val="24"/>
          <w:b/>
          <w:bCs/>
          <w:spacing w:val="-2"/>
        </w:rPr>
        <w:t>声环境质量标准</w:t>
      </w:r>
    </w:p>
    <w:p>
      <w:pPr>
        <w:ind w:left="600"/>
        <w:spacing w:before="160" w:line="219" w:lineRule="auto"/>
        <w:rPr>
          <w:rFonts w:ascii="SimSun" w:hAnsi="SimSun" w:eastAsia="SimSun" w:cs="SimSun"/>
          <w:sz w:val="24"/>
          <w:szCs w:val="24"/>
        </w:rPr>
      </w:pPr>
      <w:r>
        <w:rPr>
          <w:rFonts w:ascii="SimSun" w:hAnsi="SimSun" w:eastAsia="SimSun" w:cs="SimSun"/>
          <w:sz w:val="24"/>
          <w:szCs w:val="24"/>
          <w:spacing w:val="-1"/>
        </w:rPr>
        <w:t>本项目所在区域执行</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类区标准，标准值祥见表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2-7-4</w:t>
      </w:r>
      <w:r>
        <w:rPr>
          <w:rFonts w:ascii="SimSun" w:hAnsi="SimSun" w:eastAsia="SimSun" w:cs="SimSun"/>
          <w:sz w:val="24"/>
          <w:szCs w:val="24"/>
          <w:spacing w:val="-1"/>
        </w:rPr>
        <w:t>。</w:t>
      </w:r>
    </w:p>
    <w:p>
      <w:pPr>
        <w:spacing w:line="219" w:lineRule="auto"/>
        <w:sectPr>
          <w:headerReference w:type="default" r:id="rId49"/>
          <w:footerReference w:type="default" r:id="rId70"/>
          <w:pgSz w:w="11906" w:h="16838"/>
          <w:pgMar w:top="1170" w:right="1304" w:bottom="1080" w:left="1305" w:header="837" w:footer="918" w:gutter="0"/>
        </w:sectPr>
        <w:rPr>
          <w:rFonts w:ascii="SimSun" w:hAnsi="SimSun" w:eastAsia="SimSun" w:cs="SimSun"/>
          <w:sz w:val="24"/>
          <w:szCs w:val="24"/>
        </w:rPr>
      </w:pPr>
    </w:p>
    <w:p>
      <w:pPr>
        <w:pStyle w:val="BodyText"/>
        <w:spacing w:line="440" w:lineRule="auto"/>
        <w:rPr/>
      </w:pPr>
      <w:r/>
    </w:p>
    <w:p>
      <w:pPr>
        <w:ind w:left="3707"/>
        <w:spacing w:before="78" w:line="222" w:lineRule="auto"/>
        <w:rPr>
          <w:rFonts w:ascii="SimHei" w:hAnsi="SimHei" w:eastAsia="SimHei" w:cs="SimHei"/>
          <w:sz w:val="24"/>
          <w:szCs w:val="24"/>
        </w:rPr>
      </w:pPr>
      <w:r>
        <w:rPr>
          <w:rFonts w:ascii="SimHei" w:hAnsi="SimHei" w:eastAsia="SimHei" w:cs="SimHei"/>
          <w:sz w:val="24"/>
          <w:szCs w:val="24"/>
          <w:spacing w:val="-2"/>
        </w:rPr>
        <w:t>声环境质量标准</w:t>
      </w:r>
    </w:p>
    <w:p>
      <w:pPr>
        <w:ind w:left="9"/>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2-7-4</w:t>
      </w:r>
    </w:p>
    <w:tbl>
      <w:tblPr>
        <w:tblStyle w:val="TableNormal"/>
        <w:tblW w:w="910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95"/>
        <w:gridCol w:w="3250"/>
        <w:gridCol w:w="3258"/>
      </w:tblGrid>
      <w:tr>
        <w:trPr>
          <w:trHeight w:val="403" w:hRule="atLeast"/>
        </w:trPr>
        <w:tc>
          <w:tcPr>
            <w:tcW w:w="2595" w:type="dxa"/>
            <w:vAlign w:val="top"/>
            <w:vMerge w:val="restart"/>
            <w:tcBorders>
              <w:bottom w:val="nil"/>
            </w:tcBorders>
          </w:tcPr>
          <w:p>
            <w:pPr>
              <w:ind w:left="465"/>
              <w:spacing w:before="297" w:line="228" w:lineRule="auto"/>
              <w:rPr>
                <w:rFonts w:ascii="SimSun" w:hAnsi="SimSun" w:eastAsia="SimSun" w:cs="SimSun"/>
                <w:sz w:val="20"/>
                <w:szCs w:val="20"/>
              </w:rPr>
            </w:pPr>
            <w:r>
              <w:rPr>
                <w:rFonts w:ascii="SimSun" w:hAnsi="SimSun" w:eastAsia="SimSun" w:cs="SimSun"/>
                <w:sz w:val="20"/>
                <w:szCs w:val="20"/>
                <w:spacing w:val="8"/>
              </w:rPr>
              <w:t>声环境功能区类别</w:t>
            </w:r>
          </w:p>
        </w:tc>
        <w:tc>
          <w:tcPr>
            <w:tcW w:w="6508" w:type="dxa"/>
            <w:vAlign w:val="top"/>
            <w:gridSpan w:val="2"/>
          </w:tcPr>
          <w:p>
            <w:pPr>
              <w:pStyle w:val="TableText"/>
              <w:ind w:left="2412"/>
              <w:spacing w:before="95" w:line="228" w:lineRule="auto"/>
              <w:rPr>
                <w:rFonts w:ascii="SimSun" w:hAnsi="SimSun" w:eastAsia="SimSun" w:cs="SimSun"/>
              </w:rPr>
            </w:pPr>
            <w:r>
              <w:rPr>
                <w:rFonts w:ascii="SimSun" w:hAnsi="SimSun" w:eastAsia="SimSun" w:cs="SimSun"/>
                <w:spacing w:val="5"/>
              </w:rPr>
              <w:t>噪声限值</w:t>
            </w:r>
            <w:r>
              <w:rPr>
                <w:rFonts w:ascii="SimSun" w:hAnsi="SimSun" w:eastAsia="SimSun" w:cs="SimSun"/>
                <w:spacing w:val="-37"/>
              </w:rPr>
              <w:t xml:space="preserve"> </w:t>
            </w:r>
            <w:r>
              <w:rPr/>
              <w:t>dB</w:t>
            </w:r>
            <w:r>
              <w:rPr>
                <w:rFonts w:ascii="SimSun" w:hAnsi="SimSun" w:eastAsia="SimSun" w:cs="SimSun"/>
                <w:spacing w:val="5"/>
              </w:rPr>
              <w:t>（</w:t>
            </w:r>
            <w:r>
              <w:rPr>
                <w:spacing w:val="5"/>
              </w:rPr>
              <w:t>A</w:t>
            </w:r>
            <w:r>
              <w:rPr>
                <w:rFonts w:ascii="SimSun" w:hAnsi="SimSun" w:eastAsia="SimSun" w:cs="SimSun"/>
                <w:spacing w:val="5"/>
              </w:rPr>
              <w:t>）</w:t>
            </w:r>
          </w:p>
        </w:tc>
      </w:tr>
      <w:tr>
        <w:trPr>
          <w:trHeight w:val="401" w:hRule="atLeast"/>
        </w:trPr>
        <w:tc>
          <w:tcPr>
            <w:tcW w:w="2595" w:type="dxa"/>
            <w:vAlign w:val="top"/>
            <w:vMerge w:val="continue"/>
            <w:tcBorders>
              <w:top w:val="nil"/>
            </w:tcBorders>
          </w:tcPr>
          <w:p>
            <w:pPr>
              <w:rPr>
                <w:rFonts w:ascii="Arial"/>
                <w:sz w:val="21"/>
              </w:rPr>
            </w:pPr>
            <w:r/>
          </w:p>
        </w:tc>
        <w:tc>
          <w:tcPr>
            <w:tcW w:w="3250" w:type="dxa"/>
            <w:vAlign w:val="top"/>
          </w:tcPr>
          <w:p>
            <w:pPr>
              <w:ind w:left="1417"/>
              <w:spacing w:before="93" w:line="231" w:lineRule="auto"/>
              <w:rPr>
                <w:rFonts w:ascii="SimSun" w:hAnsi="SimSun" w:eastAsia="SimSun" w:cs="SimSun"/>
                <w:sz w:val="20"/>
                <w:szCs w:val="20"/>
              </w:rPr>
            </w:pPr>
            <w:r>
              <w:rPr>
                <w:rFonts w:ascii="SimSun" w:hAnsi="SimSun" w:eastAsia="SimSun" w:cs="SimSun"/>
                <w:sz w:val="20"/>
                <w:szCs w:val="20"/>
                <w:spacing w:val="5"/>
              </w:rPr>
              <w:t>昼间</w:t>
            </w:r>
          </w:p>
        </w:tc>
        <w:tc>
          <w:tcPr>
            <w:tcW w:w="3258" w:type="dxa"/>
            <w:vAlign w:val="top"/>
          </w:tcPr>
          <w:p>
            <w:pPr>
              <w:ind w:left="1423"/>
              <w:spacing w:before="93" w:line="228" w:lineRule="auto"/>
              <w:rPr>
                <w:rFonts w:ascii="SimSun" w:hAnsi="SimSun" w:eastAsia="SimSun" w:cs="SimSun"/>
                <w:sz w:val="20"/>
                <w:szCs w:val="20"/>
              </w:rPr>
            </w:pPr>
            <w:r>
              <w:rPr>
                <w:rFonts w:ascii="SimSun" w:hAnsi="SimSun" w:eastAsia="SimSun" w:cs="SimSun"/>
                <w:sz w:val="20"/>
                <w:szCs w:val="20"/>
                <w:spacing w:val="3"/>
              </w:rPr>
              <w:t>夜间</w:t>
            </w:r>
          </w:p>
        </w:tc>
      </w:tr>
      <w:tr>
        <w:trPr>
          <w:trHeight w:val="404" w:hRule="atLeast"/>
        </w:trPr>
        <w:tc>
          <w:tcPr>
            <w:tcW w:w="2595" w:type="dxa"/>
            <w:vAlign w:val="top"/>
          </w:tcPr>
          <w:p>
            <w:pPr>
              <w:pStyle w:val="TableText"/>
              <w:ind w:left="1247"/>
              <w:spacing w:before="131" w:line="195" w:lineRule="auto"/>
              <w:rPr/>
            </w:pPr>
            <w:r>
              <w:rPr/>
              <w:t>2</w:t>
            </w:r>
          </w:p>
        </w:tc>
        <w:tc>
          <w:tcPr>
            <w:tcW w:w="3250" w:type="dxa"/>
            <w:vAlign w:val="top"/>
          </w:tcPr>
          <w:p>
            <w:pPr>
              <w:pStyle w:val="TableText"/>
              <w:ind w:left="1527"/>
              <w:spacing w:before="131" w:line="195" w:lineRule="auto"/>
              <w:rPr/>
            </w:pPr>
            <w:r>
              <w:rPr/>
              <w:t>60</w:t>
            </w:r>
          </w:p>
        </w:tc>
        <w:tc>
          <w:tcPr>
            <w:tcW w:w="3258" w:type="dxa"/>
            <w:vAlign w:val="top"/>
          </w:tcPr>
          <w:p>
            <w:pPr>
              <w:pStyle w:val="TableText"/>
              <w:ind w:left="1530"/>
              <w:spacing w:before="131" w:line="195" w:lineRule="auto"/>
              <w:rPr/>
            </w:pPr>
            <w:r>
              <w:rPr/>
              <w:t>50</w:t>
            </w:r>
          </w:p>
        </w:tc>
      </w:tr>
    </w:tbl>
    <w:p>
      <w:pPr>
        <w:ind w:left="8"/>
        <w:spacing w:before="177"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2.7.1.5  </w:t>
      </w:r>
      <w:r>
        <w:rPr>
          <w:rFonts w:ascii="SimHei" w:hAnsi="SimHei" w:eastAsia="SimHei" w:cs="SimHei"/>
          <w:sz w:val="24"/>
          <w:szCs w:val="24"/>
          <w:b/>
          <w:bCs/>
          <w:spacing w:val="-2"/>
        </w:rPr>
        <w:t>土壤环境质量标准</w:t>
      </w:r>
    </w:p>
    <w:p>
      <w:pPr>
        <w:ind w:left="11" w:right="33" w:firstLine="483"/>
        <w:spacing w:before="160" w:line="340" w:lineRule="auto"/>
        <w:jc w:val="both"/>
        <w:rPr>
          <w:rFonts w:ascii="SimSun" w:hAnsi="SimSun" w:eastAsia="SimSun" w:cs="SimSun"/>
          <w:sz w:val="24"/>
          <w:szCs w:val="24"/>
        </w:rPr>
      </w:pPr>
      <w:r>
        <w:rPr>
          <w:rFonts w:ascii="SimSun" w:hAnsi="SimSun" w:eastAsia="SimSun" w:cs="SimSun"/>
          <w:sz w:val="24"/>
          <w:szCs w:val="24"/>
          <w:spacing w:val="-5"/>
        </w:rPr>
        <w:t>项目所在地土壤环境执行《土壤环境质量标准 建设用地土壤污染风险管控标准（试</w:t>
      </w:r>
      <w:r>
        <w:rPr>
          <w:rFonts w:ascii="SimSun" w:hAnsi="SimSun" w:eastAsia="SimSun" w:cs="SimSun"/>
          <w:sz w:val="24"/>
          <w:szCs w:val="24"/>
        </w:rPr>
        <w:t>行）》（</w:t>
      </w:r>
      <w:r>
        <w:rPr>
          <w:rFonts w:ascii="Times New Roman" w:hAnsi="Times New Roman" w:eastAsia="Times New Roman" w:cs="Times New Roman"/>
          <w:sz w:val="24"/>
          <w:szCs w:val="24"/>
        </w:rPr>
        <w:t>GB36600-2018</w:t>
      </w:r>
      <w:r>
        <w:rPr>
          <w:rFonts w:ascii="SimSun" w:hAnsi="SimSun" w:eastAsia="SimSun" w:cs="SimSun"/>
          <w:sz w:val="24"/>
          <w:szCs w:val="24"/>
        </w:rPr>
        <w:t>）表</w:t>
      </w:r>
      <w:r>
        <w:rPr>
          <w:rFonts w:ascii="SimSun" w:hAnsi="SimSun" w:eastAsia="SimSun" w:cs="SimSun"/>
          <w:sz w:val="24"/>
          <w:szCs w:val="24"/>
          <w:spacing w:val="-29"/>
        </w:rPr>
        <w:t xml:space="preserve"> </w:t>
      </w:r>
      <w:r>
        <w:rPr>
          <w:rFonts w:ascii="Times New Roman" w:hAnsi="Times New Roman" w:eastAsia="Times New Roman" w:cs="Times New Roman"/>
          <w:sz w:val="24"/>
          <w:szCs w:val="24"/>
        </w:rPr>
        <w:t>1 </w:t>
      </w:r>
      <w:r>
        <w:rPr>
          <w:rFonts w:ascii="SimSun" w:hAnsi="SimSun" w:eastAsia="SimSun" w:cs="SimSun"/>
          <w:sz w:val="24"/>
          <w:szCs w:val="24"/>
        </w:rPr>
        <w:t>第二</w:t>
      </w:r>
      <w:r>
        <w:rPr>
          <w:rFonts w:ascii="SimSun" w:hAnsi="SimSun" w:eastAsia="SimSun" w:cs="SimSun"/>
          <w:sz w:val="24"/>
          <w:szCs w:val="24"/>
          <w:spacing w:val="-1"/>
        </w:rPr>
        <w:t>类用地筛选值标准和《土壤环境质量标准 农用地土</w:t>
      </w:r>
      <w:r>
        <w:rPr>
          <w:rFonts w:ascii="SimSun" w:hAnsi="SimSun" w:eastAsia="SimSun" w:cs="SimSun"/>
          <w:sz w:val="24"/>
          <w:szCs w:val="24"/>
          <w:spacing w:val="-5"/>
        </w:rPr>
        <w:t>壤污染风险管控标准（试行）》（</w:t>
      </w:r>
      <w:r>
        <w:rPr>
          <w:rFonts w:ascii="Times New Roman" w:hAnsi="Times New Roman" w:eastAsia="Times New Roman" w:cs="Times New Roman"/>
          <w:sz w:val="24"/>
          <w:szCs w:val="24"/>
          <w:spacing w:val="-5"/>
        </w:rPr>
        <w:t>GB15618-2018</w:t>
      </w:r>
      <w:r>
        <w:rPr>
          <w:rFonts w:ascii="SimSun" w:hAnsi="SimSun" w:eastAsia="SimSun" w:cs="SimSun"/>
          <w:sz w:val="24"/>
          <w:szCs w:val="24"/>
          <w:spacing w:val="-5"/>
        </w:rPr>
        <w:t>）筛选值标准限值要求，分别见表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2-7-5</w:t>
      </w:r>
      <w:r>
        <w:rPr>
          <w:rFonts w:ascii="SimSun" w:hAnsi="SimSun" w:eastAsia="SimSun" w:cs="SimSun"/>
          <w:sz w:val="24"/>
          <w:szCs w:val="24"/>
          <w:spacing w:val="-2"/>
        </w:rPr>
        <w:t>和表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2-7-6</w:t>
      </w:r>
      <w:r>
        <w:rPr>
          <w:rFonts w:ascii="SimSun" w:hAnsi="SimSun" w:eastAsia="SimSun" w:cs="SimSun"/>
          <w:sz w:val="24"/>
          <w:szCs w:val="24"/>
          <w:spacing w:val="-2"/>
        </w:rPr>
        <w:t>。</w:t>
      </w:r>
    </w:p>
    <w:p>
      <w:pPr>
        <w:ind w:left="3107"/>
        <w:spacing w:before="118" w:line="222" w:lineRule="auto"/>
        <w:rPr>
          <w:rFonts w:ascii="SimHei" w:hAnsi="SimHei" w:eastAsia="SimHei" w:cs="SimHei"/>
          <w:sz w:val="24"/>
          <w:szCs w:val="24"/>
        </w:rPr>
      </w:pPr>
      <w:r>
        <w:rPr>
          <w:rFonts w:ascii="SimHei" w:hAnsi="SimHei" w:eastAsia="SimHei" w:cs="SimHei"/>
          <w:sz w:val="24"/>
          <w:szCs w:val="24"/>
          <w:spacing w:val="-1"/>
        </w:rPr>
        <w:t>建设用地土壤环境质量标准</w:t>
      </w:r>
    </w:p>
    <w:p>
      <w:pPr>
        <w:ind w:left="9"/>
        <w:spacing w:before="70" w:line="221" w:lineRule="auto"/>
        <w:rPr>
          <w:rFonts w:ascii="Times New Roman" w:hAnsi="Times New Roman" w:eastAsia="Times New Roman" w:cs="Times New Roman"/>
          <w:sz w:val="20"/>
          <w:szCs w:val="20"/>
        </w:rPr>
      </w:pPr>
      <w:r>
        <w:rPr>
          <w:rFonts w:ascii="SimSun" w:hAnsi="SimSun" w:eastAsia="SimSun" w:cs="SimSun"/>
          <w:sz w:val="20"/>
          <w:szCs w:val="20"/>
          <w:spacing w:val="5"/>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2-7-5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p>
      <w:pPr>
        <w:spacing w:line="53" w:lineRule="auto"/>
        <w:rPr>
          <w:rFonts w:ascii="Arial"/>
          <w:sz w:val="2"/>
        </w:rPr>
      </w:pPr>
      <w:r>
        <w:rPr>
          <w:rFonts w:ascii="Arial"/>
          <w:sz w:val="2"/>
        </w:r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65"/>
        <w:gridCol w:w="2461"/>
        <w:gridCol w:w="2111"/>
        <w:gridCol w:w="2746"/>
      </w:tblGrid>
      <w:tr>
        <w:trPr>
          <w:trHeight w:val="357" w:hRule="atLeast"/>
        </w:trPr>
        <w:tc>
          <w:tcPr>
            <w:tcW w:w="1765" w:type="dxa"/>
            <w:vAlign w:val="top"/>
            <w:vMerge w:val="restart"/>
            <w:tcBorders>
              <w:bottom w:val="nil"/>
            </w:tcBorders>
          </w:tcPr>
          <w:p>
            <w:pPr>
              <w:ind w:left="676"/>
              <w:spacing w:before="242" w:line="229" w:lineRule="auto"/>
              <w:rPr>
                <w:rFonts w:ascii="SimSun" w:hAnsi="SimSun" w:eastAsia="SimSun" w:cs="SimSun"/>
                <w:sz w:val="20"/>
                <w:szCs w:val="20"/>
              </w:rPr>
            </w:pPr>
            <w:r>
              <w:rPr>
                <w:rFonts w:ascii="SimSun" w:hAnsi="SimSun" w:eastAsia="SimSun" w:cs="SimSun"/>
                <w:sz w:val="20"/>
                <w:szCs w:val="20"/>
                <w:spacing w:val="5"/>
              </w:rPr>
              <w:t>序号</w:t>
            </w:r>
          </w:p>
        </w:tc>
        <w:tc>
          <w:tcPr>
            <w:tcW w:w="2461" w:type="dxa"/>
            <w:vAlign w:val="top"/>
            <w:vMerge w:val="restart"/>
            <w:tcBorders>
              <w:bottom w:val="nil"/>
            </w:tcBorders>
          </w:tcPr>
          <w:p>
            <w:pPr>
              <w:ind w:left="711"/>
              <w:spacing w:before="243" w:line="228" w:lineRule="auto"/>
              <w:rPr>
                <w:rFonts w:ascii="SimSun" w:hAnsi="SimSun" w:eastAsia="SimSun" w:cs="SimSun"/>
                <w:sz w:val="20"/>
                <w:szCs w:val="20"/>
              </w:rPr>
            </w:pPr>
            <w:r>
              <w:rPr>
                <w:rFonts w:ascii="SimSun" w:hAnsi="SimSun" w:eastAsia="SimSun" w:cs="SimSun"/>
                <w:sz w:val="20"/>
                <w:szCs w:val="20"/>
                <w:spacing w:val="7"/>
              </w:rPr>
              <w:t>污染物项目</w:t>
            </w:r>
          </w:p>
        </w:tc>
        <w:tc>
          <w:tcPr>
            <w:tcW w:w="2111" w:type="dxa"/>
            <w:vAlign w:val="top"/>
            <w:vMerge w:val="restart"/>
            <w:tcBorders>
              <w:bottom w:val="nil"/>
            </w:tcBorders>
          </w:tcPr>
          <w:p>
            <w:pPr>
              <w:pStyle w:val="TableText"/>
              <w:ind w:left="619"/>
              <w:spacing w:before="242" w:line="228" w:lineRule="auto"/>
              <w:rPr>
                <w:rFonts w:ascii="SimSun" w:hAnsi="SimSun" w:eastAsia="SimSun" w:cs="SimSun"/>
              </w:rPr>
            </w:pPr>
            <w:r>
              <w:rPr/>
              <w:t>CAS</w:t>
            </w:r>
            <w:r>
              <w:rPr>
                <w:spacing w:val="17"/>
              </w:rPr>
              <w:t xml:space="preserve"> </w:t>
            </w:r>
            <w:r>
              <w:rPr>
                <w:rFonts w:ascii="SimSun" w:hAnsi="SimSun" w:eastAsia="SimSun" w:cs="SimSun"/>
                <w:spacing w:val="7"/>
              </w:rPr>
              <w:t>编号</w:t>
            </w:r>
          </w:p>
        </w:tc>
        <w:tc>
          <w:tcPr>
            <w:tcW w:w="2746" w:type="dxa"/>
            <w:vAlign w:val="top"/>
          </w:tcPr>
          <w:p>
            <w:pPr>
              <w:ind w:left="1062"/>
              <w:spacing w:before="69" w:line="228" w:lineRule="auto"/>
              <w:rPr>
                <w:rFonts w:ascii="SimSun" w:hAnsi="SimSun" w:eastAsia="SimSun" w:cs="SimSun"/>
                <w:sz w:val="20"/>
                <w:szCs w:val="20"/>
              </w:rPr>
            </w:pPr>
            <w:r>
              <w:rPr>
                <w:rFonts w:ascii="SimSun" w:hAnsi="SimSun" w:eastAsia="SimSun" w:cs="SimSun"/>
                <w:sz w:val="20"/>
                <w:szCs w:val="20"/>
                <w:spacing w:val="6"/>
              </w:rPr>
              <w:t>筛选值</w:t>
            </w:r>
          </w:p>
        </w:tc>
      </w:tr>
      <w:tr>
        <w:trPr>
          <w:trHeight w:val="343" w:hRule="atLeast"/>
        </w:trPr>
        <w:tc>
          <w:tcPr>
            <w:tcW w:w="1765" w:type="dxa"/>
            <w:vAlign w:val="top"/>
            <w:vMerge w:val="continue"/>
            <w:tcBorders>
              <w:top w:val="nil"/>
            </w:tcBorders>
          </w:tcPr>
          <w:p>
            <w:pPr>
              <w:rPr>
                <w:rFonts w:ascii="Arial"/>
                <w:sz w:val="21"/>
              </w:rPr>
            </w:pPr>
            <w:r/>
          </w:p>
        </w:tc>
        <w:tc>
          <w:tcPr>
            <w:tcW w:w="2461" w:type="dxa"/>
            <w:vAlign w:val="top"/>
            <w:vMerge w:val="continue"/>
            <w:tcBorders>
              <w:top w:val="nil"/>
            </w:tcBorders>
          </w:tcPr>
          <w:p>
            <w:pPr>
              <w:rPr>
                <w:rFonts w:ascii="Arial"/>
                <w:sz w:val="21"/>
              </w:rPr>
            </w:pPr>
            <w:r/>
          </w:p>
        </w:tc>
        <w:tc>
          <w:tcPr>
            <w:tcW w:w="2111" w:type="dxa"/>
            <w:vAlign w:val="top"/>
            <w:vMerge w:val="continue"/>
            <w:tcBorders>
              <w:top w:val="nil"/>
            </w:tcBorders>
          </w:tcPr>
          <w:p>
            <w:pPr>
              <w:rPr>
                <w:rFonts w:ascii="Arial"/>
                <w:sz w:val="21"/>
              </w:rPr>
            </w:pPr>
            <w:r/>
          </w:p>
        </w:tc>
        <w:tc>
          <w:tcPr>
            <w:tcW w:w="2746" w:type="dxa"/>
            <w:vAlign w:val="top"/>
          </w:tcPr>
          <w:p>
            <w:pPr>
              <w:ind w:left="854"/>
              <w:spacing w:before="60" w:line="228" w:lineRule="auto"/>
              <w:rPr>
                <w:rFonts w:ascii="SimSun" w:hAnsi="SimSun" w:eastAsia="SimSun" w:cs="SimSun"/>
                <w:sz w:val="20"/>
                <w:szCs w:val="20"/>
              </w:rPr>
            </w:pPr>
            <w:r>
              <w:rPr>
                <w:rFonts w:ascii="SimSun" w:hAnsi="SimSun" w:eastAsia="SimSun" w:cs="SimSun"/>
                <w:sz w:val="20"/>
                <w:szCs w:val="20"/>
                <w:spacing w:val="8"/>
              </w:rPr>
              <w:t>第二类用地</w:t>
            </w:r>
          </w:p>
        </w:tc>
      </w:tr>
      <w:tr>
        <w:trPr>
          <w:trHeight w:val="340" w:hRule="atLeast"/>
        </w:trPr>
        <w:tc>
          <w:tcPr>
            <w:tcW w:w="9083" w:type="dxa"/>
            <w:vAlign w:val="top"/>
            <w:gridSpan w:val="4"/>
          </w:tcPr>
          <w:p>
            <w:pPr>
              <w:ind w:left="3810"/>
              <w:spacing w:before="60" w:line="227" w:lineRule="auto"/>
              <w:rPr>
                <w:rFonts w:ascii="SimSun" w:hAnsi="SimSun" w:eastAsia="SimSun" w:cs="SimSun"/>
                <w:sz w:val="20"/>
                <w:szCs w:val="20"/>
              </w:rPr>
            </w:pPr>
            <w:r>
              <w:rPr>
                <w:rFonts w:ascii="SimSun" w:hAnsi="SimSun" w:eastAsia="SimSun" w:cs="SimSun"/>
                <w:sz w:val="20"/>
                <w:szCs w:val="20"/>
                <w:spacing w:val="8"/>
              </w:rPr>
              <w:t>重金属和无机物</w:t>
            </w:r>
          </w:p>
        </w:tc>
      </w:tr>
      <w:tr>
        <w:trPr>
          <w:trHeight w:val="354" w:hRule="atLeast"/>
        </w:trPr>
        <w:tc>
          <w:tcPr>
            <w:tcW w:w="1765" w:type="dxa"/>
            <w:vAlign w:val="top"/>
          </w:tcPr>
          <w:p>
            <w:pPr>
              <w:pStyle w:val="TableText"/>
              <w:ind w:left="849"/>
              <w:spacing w:before="104" w:line="195" w:lineRule="auto"/>
              <w:rPr/>
            </w:pPr>
            <w:r>
              <w:rPr/>
              <w:t>1</w:t>
            </w:r>
          </w:p>
        </w:tc>
        <w:tc>
          <w:tcPr>
            <w:tcW w:w="2461" w:type="dxa"/>
            <w:vAlign w:val="top"/>
          </w:tcPr>
          <w:p>
            <w:pPr>
              <w:ind w:left="1129"/>
              <w:spacing w:before="68" w:line="228" w:lineRule="auto"/>
              <w:rPr>
                <w:rFonts w:ascii="SimSun" w:hAnsi="SimSun" w:eastAsia="SimSun" w:cs="SimSun"/>
                <w:sz w:val="20"/>
                <w:szCs w:val="20"/>
              </w:rPr>
            </w:pPr>
            <w:r>
              <w:rPr>
                <w:rFonts w:ascii="SimSun" w:hAnsi="SimSun" w:eastAsia="SimSun" w:cs="SimSun"/>
                <w:sz w:val="20"/>
                <w:szCs w:val="20"/>
                <w:spacing w:val="1"/>
              </w:rPr>
              <w:t>砷</w:t>
            </w:r>
          </w:p>
        </w:tc>
        <w:tc>
          <w:tcPr>
            <w:tcW w:w="2111" w:type="dxa"/>
            <w:vAlign w:val="top"/>
          </w:tcPr>
          <w:p>
            <w:pPr>
              <w:pStyle w:val="TableText"/>
              <w:ind w:left="622"/>
              <w:spacing w:before="104" w:line="195" w:lineRule="auto"/>
              <w:rPr/>
            </w:pPr>
            <w:r>
              <w:rPr>
                <w:spacing w:val="3"/>
              </w:rPr>
              <w:t>7440-38-2</w:t>
            </w:r>
          </w:p>
        </w:tc>
        <w:tc>
          <w:tcPr>
            <w:tcW w:w="2746" w:type="dxa"/>
            <w:vAlign w:val="top"/>
          </w:tcPr>
          <w:p>
            <w:pPr>
              <w:pStyle w:val="TableText"/>
              <w:ind w:left="1169"/>
              <w:spacing w:before="68" w:line="225" w:lineRule="auto"/>
              <w:rPr>
                <w:rFonts w:ascii="SimSun" w:hAnsi="SimSun" w:eastAsia="SimSun" w:cs="SimSun"/>
              </w:rPr>
            </w:pPr>
            <w:r>
              <w:rPr>
                <w:spacing w:val="2"/>
              </w:rPr>
              <w:t>60</w:t>
            </w:r>
            <w:r>
              <w:rPr>
                <w:rFonts w:ascii="SimSun" w:hAnsi="SimSun" w:eastAsia="SimSun" w:cs="SimSun"/>
                <w:spacing w:val="2"/>
              </w:rPr>
              <w:t>①</w:t>
            </w:r>
          </w:p>
        </w:tc>
      </w:tr>
      <w:tr>
        <w:trPr>
          <w:trHeight w:val="331" w:hRule="atLeast"/>
        </w:trPr>
        <w:tc>
          <w:tcPr>
            <w:tcW w:w="1765" w:type="dxa"/>
            <w:vAlign w:val="top"/>
          </w:tcPr>
          <w:p>
            <w:pPr>
              <w:pStyle w:val="TableText"/>
              <w:ind w:left="829"/>
              <w:spacing w:before="93" w:line="195" w:lineRule="auto"/>
              <w:rPr/>
            </w:pPr>
            <w:r>
              <w:rPr/>
              <w:t>2</w:t>
            </w:r>
          </w:p>
        </w:tc>
        <w:tc>
          <w:tcPr>
            <w:tcW w:w="2461" w:type="dxa"/>
            <w:vAlign w:val="top"/>
          </w:tcPr>
          <w:p>
            <w:pPr>
              <w:ind w:left="1128"/>
              <w:spacing w:before="56" w:line="231" w:lineRule="auto"/>
              <w:rPr>
                <w:rFonts w:ascii="SimSun" w:hAnsi="SimSun" w:eastAsia="SimSun" w:cs="SimSun"/>
                <w:sz w:val="20"/>
                <w:szCs w:val="20"/>
              </w:rPr>
            </w:pPr>
            <w:r>
              <w:rPr>
                <w:rFonts w:ascii="SimSun" w:hAnsi="SimSun" w:eastAsia="SimSun" w:cs="SimSun"/>
                <w:sz w:val="20"/>
                <w:szCs w:val="20"/>
                <w:spacing w:val="2"/>
              </w:rPr>
              <w:t>镉</w:t>
            </w:r>
          </w:p>
        </w:tc>
        <w:tc>
          <w:tcPr>
            <w:tcW w:w="2111" w:type="dxa"/>
            <w:vAlign w:val="top"/>
          </w:tcPr>
          <w:p>
            <w:pPr>
              <w:pStyle w:val="TableText"/>
              <w:ind w:left="622"/>
              <w:spacing w:before="93" w:line="195" w:lineRule="auto"/>
              <w:rPr/>
            </w:pPr>
            <w:r>
              <w:rPr>
                <w:spacing w:val="3"/>
              </w:rPr>
              <w:t>7440-43-9</w:t>
            </w:r>
          </w:p>
        </w:tc>
        <w:tc>
          <w:tcPr>
            <w:tcW w:w="2746" w:type="dxa"/>
            <w:vAlign w:val="top"/>
          </w:tcPr>
          <w:p>
            <w:pPr>
              <w:pStyle w:val="TableText"/>
              <w:ind w:left="1274"/>
              <w:spacing w:before="93" w:line="195" w:lineRule="auto"/>
              <w:rPr/>
            </w:pPr>
            <w:r>
              <w:rPr/>
              <w:t>65</w:t>
            </w:r>
          </w:p>
        </w:tc>
      </w:tr>
      <w:tr>
        <w:trPr>
          <w:trHeight w:val="331" w:hRule="atLeast"/>
        </w:trPr>
        <w:tc>
          <w:tcPr>
            <w:tcW w:w="1765" w:type="dxa"/>
            <w:vAlign w:val="top"/>
          </w:tcPr>
          <w:p>
            <w:pPr>
              <w:pStyle w:val="TableText"/>
              <w:ind w:left="833"/>
              <w:spacing w:before="93" w:line="195" w:lineRule="auto"/>
              <w:rPr/>
            </w:pPr>
            <w:r>
              <w:rPr/>
              <w:t>3</w:t>
            </w:r>
          </w:p>
        </w:tc>
        <w:tc>
          <w:tcPr>
            <w:tcW w:w="2461" w:type="dxa"/>
            <w:vAlign w:val="top"/>
          </w:tcPr>
          <w:p>
            <w:pPr>
              <w:ind w:left="709"/>
              <w:spacing w:before="57" w:line="226" w:lineRule="auto"/>
              <w:rPr>
                <w:rFonts w:ascii="SimSun" w:hAnsi="SimSun" w:eastAsia="SimSun" w:cs="SimSun"/>
                <w:sz w:val="20"/>
                <w:szCs w:val="20"/>
              </w:rPr>
            </w:pPr>
            <w:r>
              <w:rPr>
                <w:rFonts w:ascii="SimSun" w:hAnsi="SimSun" w:eastAsia="SimSun" w:cs="SimSun"/>
                <w:sz w:val="20"/>
                <w:szCs w:val="20"/>
                <w:spacing w:val="6"/>
              </w:rPr>
              <w:t>铬（六价）</w:t>
            </w:r>
          </w:p>
        </w:tc>
        <w:tc>
          <w:tcPr>
            <w:tcW w:w="2111" w:type="dxa"/>
            <w:vAlign w:val="top"/>
          </w:tcPr>
          <w:p>
            <w:pPr>
              <w:pStyle w:val="TableText"/>
              <w:ind w:left="588"/>
              <w:spacing w:before="93" w:line="195" w:lineRule="auto"/>
              <w:rPr/>
            </w:pPr>
            <w:r>
              <w:rPr>
                <w:spacing w:val="2"/>
              </w:rPr>
              <w:t>18540-29-9</w:t>
            </w:r>
          </w:p>
        </w:tc>
        <w:tc>
          <w:tcPr>
            <w:tcW w:w="2746" w:type="dxa"/>
            <w:vAlign w:val="top"/>
          </w:tcPr>
          <w:p>
            <w:pPr>
              <w:pStyle w:val="TableText"/>
              <w:ind w:left="1247"/>
              <w:spacing w:before="96" w:line="192" w:lineRule="auto"/>
              <w:rPr/>
            </w:pPr>
            <w:r>
              <w:rPr/>
              <w:t>5.7</w:t>
            </w:r>
          </w:p>
        </w:tc>
      </w:tr>
      <w:tr>
        <w:trPr>
          <w:trHeight w:val="331" w:hRule="atLeast"/>
        </w:trPr>
        <w:tc>
          <w:tcPr>
            <w:tcW w:w="1765" w:type="dxa"/>
            <w:vAlign w:val="top"/>
          </w:tcPr>
          <w:p>
            <w:pPr>
              <w:pStyle w:val="TableText"/>
              <w:ind w:left="828"/>
              <w:spacing w:before="93" w:line="195" w:lineRule="auto"/>
              <w:rPr/>
            </w:pPr>
            <w:r>
              <w:rPr>
                <w:spacing w:val="1"/>
              </w:rPr>
              <w:t>4</w:t>
            </w:r>
          </w:p>
        </w:tc>
        <w:tc>
          <w:tcPr>
            <w:tcW w:w="2461" w:type="dxa"/>
            <w:vAlign w:val="top"/>
          </w:tcPr>
          <w:p>
            <w:pPr>
              <w:ind w:left="1130"/>
              <w:spacing w:before="57" w:line="229" w:lineRule="auto"/>
              <w:rPr>
                <w:rFonts w:ascii="SimSun" w:hAnsi="SimSun" w:eastAsia="SimSun" w:cs="SimSun"/>
                <w:sz w:val="20"/>
                <w:szCs w:val="20"/>
              </w:rPr>
            </w:pPr>
            <w:r>
              <w:rPr>
                <w:rFonts w:ascii="SimSun" w:hAnsi="SimSun" w:eastAsia="SimSun" w:cs="SimSun"/>
                <w:sz w:val="20"/>
                <w:szCs w:val="20"/>
              </w:rPr>
              <w:t>铜</w:t>
            </w:r>
          </w:p>
        </w:tc>
        <w:tc>
          <w:tcPr>
            <w:tcW w:w="2111" w:type="dxa"/>
            <w:vAlign w:val="top"/>
          </w:tcPr>
          <w:p>
            <w:pPr>
              <w:pStyle w:val="TableText"/>
              <w:ind w:left="622"/>
              <w:spacing w:before="93" w:line="195" w:lineRule="auto"/>
              <w:rPr/>
            </w:pPr>
            <w:r>
              <w:rPr>
                <w:spacing w:val="3"/>
              </w:rPr>
              <w:t>7440-50-8</w:t>
            </w:r>
          </w:p>
        </w:tc>
        <w:tc>
          <w:tcPr>
            <w:tcW w:w="2746" w:type="dxa"/>
            <w:vAlign w:val="top"/>
          </w:tcPr>
          <w:p>
            <w:pPr>
              <w:pStyle w:val="TableText"/>
              <w:ind w:left="1132"/>
              <w:spacing w:before="93" w:line="195" w:lineRule="auto"/>
              <w:rPr/>
            </w:pPr>
            <w:r>
              <w:rPr/>
              <w:t>18000</w:t>
            </w:r>
          </w:p>
        </w:tc>
      </w:tr>
      <w:tr>
        <w:trPr>
          <w:trHeight w:val="331" w:hRule="atLeast"/>
        </w:trPr>
        <w:tc>
          <w:tcPr>
            <w:tcW w:w="1765" w:type="dxa"/>
            <w:vAlign w:val="top"/>
          </w:tcPr>
          <w:p>
            <w:pPr>
              <w:pStyle w:val="TableText"/>
              <w:ind w:left="835"/>
              <w:spacing w:before="96" w:line="192" w:lineRule="auto"/>
              <w:rPr/>
            </w:pPr>
            <w:r>
              <w:rPr/>
              <w:t>5</w:t>
            </w:r>
          </w:p>
        </w:tc>
        <w:tc>
          <w:tcPr>
            <w:tcW w:w="2461" w:type="dxa"/>
            <w:vAlign w:val="top"/>
          </w:tcPr>
          <w:p>
            <w:pPr>
              <w:ind w:left="1130"/>
              <w:spacing w:before="57" w:line="232" w:lineRule="auto"/>
              <w:rPr>
                <w:rFonts w:ascii="SimSun" w:hAnsi="SimSun" w:eastAsia="SimSun" w:cs="SimSun"/>
                <w:sz w:val="20"/>
                <w:szCs w:val="20"/>
              </w:rPr>
            </w:pPr>
            <w:r>
              <w:rPr>
                <w:rFonts w:ascii="SimSun" w:hAnsi="SimSun" w:eastAsia="SimSun" w:cs="SimSun"/>
                <w:sz w:val="20"/>
                <w:szCs w:val="20"/>
              </w:rPr>
              <w:t>铅</w:t>
            </w:r>
          </w:p>
        </w:tc>
        <w:tc>
          <w:tcPr>
            <w:tcW w:w="2111" w:type="dxa"/>
            <w:vAlign w:val="top"/>
          </w:tcPr>
          <w:p>
            <w:pPr>
              <w:pStyle w:val="TableText"/>
              <w:ind w:left="622"/>
              <w:spacing w:before="93" w:line="195" w:lineRule="auto"/>
              <w:rPr/>
            </w:pPr>
            <w:r>
              <w:rPr>
                <w:spacing w:val="3"/>
              </w:rPr>
              <w:t>7439-92-1</w:t>
            </w:r>
          </w:p>
        </w:tc>
        <w:tc>
          <w:tcPr>
            <w:tcW w:w="2746" w:type="dxa"/>
            <w:vAlign w:val="top"/>
          </w:tcPr>
          <w:p>
            <w:pPr>
              <w:pStyle w:val="TableText"/>
              <w:ind w:left="1225"/>
              <w:spacing w:before="93" w:line="195" w:lineRule="auto"/>
              <w:rPr/>
            </w:pPr>
            <w:r>
              <w:rPr/>
              <w:t>800</w:t>
            </w:r>
          </w:p>
        </w:tc>
      </w:tr>
      <w:tr>
        <w:trPr>
          <w:trHeight w:val="331" w:hRule="atLeast"/>
        </w:trPr>
        <w:tc>
          <w:tcPr>
            <w:tcW w:w="1765" w:type="dxa"/>
            <w:vAlign w:val="top"/>
          </w:tcPr>
          <w:p>
            <w:pPr>
              <w:pStyle w:val="TableText"/>
              <w:ind w:left="834"/>
              <w:spacing w:before="93" w:line="195" w:lineRule="auto"/>
              <w:rPr/>
            </w:pPr>
            <w:r>
              <w:rPr/>
              <w:t>6</w:t>
            </w:r>
          </w:p>
        </w:tc>
        <w:tc>
          <w:tcPr>
            <w:tcW w:w="2461" w:type="dxa"/>
            <w:vAlign w:val="top"/>
          </w:tcPr>
          <w:p>
            <w:pPr>
              <w:ind w:left="1130"/>
              <w:spacing w:before="57" w:line="228" w:lineRule="auto"/>
              <w:rPr>
                <w:rFonts w:ascii="SimSun" w:hAnsi="SimSun" w:eastAsia="SimSun" w:cs="SimSun"/>
                <w:sz w:val="20"/>
                <w:szCs w:val="20"/>
              </w:rPr>
            </w:pPr>
            <w:r>
              <w:rPr>
                <w:rFonts w:ascii="SimSun" w:hAnsi="SimSun" w:eastAsia="SimSun" w:cs="SimSun"/>
                <w:sz w:val="20"/>
                <w:szCs w:val="20"/>
              </w:rPr>
              <w:t>汞</w:t>
            </w:r>
          </w:p>
        </w:tc>
        <w:tc>
          <w:tcPr>
            <w:tcW w:w="2111" w:type="dxa"/>
            <w:vAlign w:val="top"/>
          </w:tcPr>
          <w:p>
            <w:pPr>
              <w:pStyle w:val="TableText"/>
              <w:ind w:left="622"/>
              <w:spacing w:before="93" w:line="195" w:lineRule="auto"/>
              <w:rPr/>
            </w:pPr>
            <w:r>
              <w:rPr>
                <w:spacing w:val="3"/>
              </w:rPr>
              <w:t>7439-97-6</w:t>
            </w:r>
          </w:p>
        </w:tc>
        <w:tc>
          <w:tcPr>
            <w:tcW w:w="2746" w:type="dxa"/>
            <w:vAlign w:val="top"/>
          </w:tcPr>
          <w:p>
            <w:pPr>
              <w:pStyle w:val="TableText"/>
              <w:ind w:left="1274"/>
              <w:spacing w:before="93" w:line="195" w:lineRule="auto"/>
              <w:rPr/>
            </w:pPr>
            <w:r>
              <w:rPr/>
              <w:t>38</w:t>
            </w:r>
          </w:p>
        </w:tc>
      </w:tr>
      <w:tr>
        <w:trPr>
          <w:trHeight w:val="335" w:hRule="atLeast"/>
        </w:trPr>
        <w:tc>
          <w:tcPr>
            <w:tcW w:w="1765" w:type="dxa"/>
            <w:vAlign w:val="top"/>
          </w:tcPr>
          <w:p>
            <w:pPr>
              <w:pStyle w:val="TableText"/>
              <w:ind w:left="833"/>
              <w:spacing w:before="96" w:line="192" w:lineRule="auto"/>
              <w:rPr/>
            </w:pPr>
            <w:r>
              <w:rPr/>
              <w:t>7</w:t>
            </w:r>
          </w:p>
        </w:tc>
        <w:tc>
          <w:tcPr>
            <w:tcW w:w="2461" w:type="dxa"/>
            <w:vAlign w:val="top"/>
          </w:tcPr>
          <w:p>
            <w:pPr>
              <w:ind w:left="1129"/>
              <w:spacing w:before="57" w:line="228" w:lineRule="auto"/>
              <w:rPr>
                <w:rFonts w:ascii="SimSun" w:hAnsi="SimSun" w:eastAsia="SimSun" w:cs="SimSun"/>
                <w:sz w:val="20"/>
                <w:szCs w:val="20"/>
              </w:rPr>
            </w:pPr>
            <w:r>
              <w:rPr>
                <w:rFonts w:ascii="SimSun" w:hAnsi="SimSun" w:eastAsia="SimSun" w:cs="SimSun"/>
                <w:sz w:val="20"/>
                <w:szCs w:val="20"/>
                <w:spacing w:val="1"/>
              </w:rPr>
              <w:t>镍</w:t>
            </w:r>
          </w:p>
        </w:tc>
        <w:tc>
          <w:tcPr>
            <w:tcW w:w="2111" w:type="dxa"/>
            <w:vAlign w:val="top"/>
          </w:tcPr>
          <w:p>
            <w:pPr>
              <w:pStyle w:val="TableText"/>
              <w:ind w:left="622"/>
              <w:spacing w:before="93" w:line="195" w:lineRule="auto"/>
              <w:rPr/>
            </w:pPr>
            <w:r>
              <w:rPr>
                <w:spacing w:val="3"/>
              </w:rPr>
              <w:t>7440-02-0</w:t>
            </w:r>
          </w:p>
        </w:tc>
        <w:tc>
          <w:tcPr>
            <w:tcW w:w="2746" w:type="dxa"/>
            <w:vAlign w:val="top"/>
          </w:tcPr>
          <w:p>
            <w:pPr>
              <w:pStyle w:val="TableText"/>
              <w:ind w:left="1221"/>
              <w:spacing w:before="93" w:line="195" w:lineRule="auto"/>
              <w:rPr/>
            </w:pPr>
            <w:r>
              <w:rPr>
                <w:spacing w:val="2"/>
              </w:rPr>
              <w:t>900</w:t>
            </w:r>
          </w:p>
        </w:tc>
      </w:tr>
      <w:tr>
        <w:trPr>
          <w:trHeight w:val="335" w:hRule="atLeast"/>
        </w:trPr>
        <w:tc>
          <w:tcPr>
            <w:tcW w:w="9083" w:type="dxa"/>
            <w:vAlign w:val="top"/>
            <w:gridSpan w:val="4"/>
          </w:tcPr>
          <w:p>
            <w:pPr>
              <w:ind w:left="3916"/>
              <w:spacing w:before="58" w:line="227" w:lineRule="auto"/>
              <w:rPr>
                <w:rFonts w:ascii="SimSun" w:hAnsi="SimSun" w:eastAsia="SimSun" w:cs="SimSun"/>
                <w:sz w:val="20"/>
                <w:szCs w:val="20"/>
              </w:rPr>
            </w:pPr>
            <w:r>
              <w:rPr>
                <w:rFonts w:ascii="SimSun" w:hAnsi="SimSun" w:eastAsia="SimSun" w:cs="SimSun"/>
                <w:sz w:val="20"/>
                <w:szCs w:val="20"/>
                <w:spacing w:val="8"/>
              </w:rPr>
              <w:t>挥发性有机物</w:t>
            </w:r>
          </w:p>
        </w:tc>
      </w:tr>
      <w:tr>
        <w:trPr>
          <w:trHeight w:val="335" w:hRule="atLeast"/>
        </w:trPr>
        <w:tc>
          <w:tcPr>
            <w:tcW w:w="1765" w:type="dxa"/>
            <w:vAlign w:val="top"/>
          </w:tcPr>
          <w:p>
            <w:pPr>
              <w:pStyle w:val="TableText"/>
              <w:ind w:left="838"/>
              <w:spacing w:before="97" w:line="195" w:lineRule="auto"/>
              <w:rPr/>
            </w:pPr>
            <w:r>
              <w:rPr/>
              <w:t>8</w:t>
            </w:r>
          </w:p>
        </w:tc>
        <w:tc>
          <w:tcPr>
            <w:tcW w:w="2461" w:type="dxa"/>
            <w:vAlign w:val="top"/>
          </w:tcPr>
          <w:p>
            <w:pPr>
              <w:ind w:left="835"/>
              <w:spacing w:before="61" w:line="228" w:lineRule="auto"/>
              <w:rPr>
                <w:rFonts w:ascii="SimSun" w:hAnsi="SimSun" w:eastAsia="SimSun" w:cs="SimSun"/>
                <w:sz w:val="20"/>
                <w:szCs w:val="20"/>
              </w:rPr>
            </w:pPr>
            <w:r>
              <w:rPr>
                <w:rFonts w:ascii="SimSun" w:hAnsi="SimSun" w:eastAsia="SimSun" w:cs="SimSun"/>
                <w:sz w:val="20"/>
                <w:szCs w:val="20"/>
                <w:spacing w:val="2"/>
              </w:rPr>
              <w:t>四氯化碳</w:t>
            </w:r>
          </w:p>
        </w:tc>
        <w:tc>
          <w:tcPr>
            <w:tcW w:w="2111" w:type="dxa"/>
            <w:vAlign w:val="top"/>
          </w:tcPr>
          <w:p>
            <w:pPr>
              <w:pStyle w:val="TableText"/>
              <w:ind w:left="730"/>
              <w:spacing w:before="97" w:line="195" w:lineRule="auto"/>
              <w:rPr/>
            </w:pPr>
            <w:r>
              <w:rPr>
                <w:spacing w:val="2"/>
              </w:rPr>
              <w:t>56-23-5</w:t>
            </w:r>
          </w:p>
        </w:tc>
        <w:tc>
          <w:tcPr>
            <w:tcW w:w="2746" w:type="dxa"/>
            <w:vAlign w:val="top"/>
          </w:tcPr>
          <w:p>
            <w:pPr>
              <w:pStyle w:val="TableText"/>
              <w:ind w:left="1241"/>
              <w:spacing w:before="97" w:line="195" w:lineRule="auto"/>
              <w:rPr/>
            </w:pPr>
            <w:r>
              <w:rPr>
                <w:spacing w:val="2"/>
              </w:rPr>
              <w:t>2.8</w:t>
            </w:r>
          </w:p>
        </w:tc>
      </w:tr>
      <w:tr>
        <w:trPr>
          <w:trHeight w:val="331" w:hRule="atLeast"/>
        </w:trPr>
        <w:tc>
          <w:tcPr>
            <w:tcW w:w="1765" w:type="dxa"/>
            <w:vAlign w:val="top"/>
          </w:tcPr>
          <w:p>
            <w:pPr>
              <w:pStyle w:val="TableText"/>
              <w:ind w:left="833"/>
              <w:spacing w:before="95" w:line="195" w:lineRule="auto"/>
              <w:rPr/>
            </w:pPr>
            <w:r>
              <w:rPr/>
              <w:t>9</w:t>
            </w:r>
          </w:p>
        </w:tc>
        <w:tc>
          <w:tcPr>
            <w:tcW w:w="2461" w:type="dxa"/>
            <w:vAlign w:val="top"/>
          </w:tcPr>
          <w:p>
            <w:pPr>
              <w:ind w:left="1027"/>
              <w:spacing w:before="57" w:line="228" w:lineRule="auto"/>
              <w:rPr>
                <w:rFonts w:ascii="SimSun" w:hAnsi="SimSun" w:eastAsia="SimSun" w:cs="SimSun"/>
                <w:sz w:val="20"/>
                <w:szCs w:val="20"/>
              </w:rPr>
            </w:pPr>
            <w:r>
              <w:rPr>
                <w:rFonts w:ascii="SimSun" w:hAnsi="SimSun" w:eastAsia="SimSun" w:cs="SimSun"/>
                <w:sz w:val="20"/>
                <w:szCs w:val="20"/>
                <w:spacing w:val="3"/>
              </w:rPr>
              <w:t>氯仿</w:t>
            </w:r>
          </w:p>
        </w:tc>
        <w:tc>
          <w:tcPr>
            <w:tcW w:w="2111" w:type="dxa"/>
            <w:vAlign w:val="top"/>
          </w:tcPr>
          <w:p>
            <w:pPr>
              <w:pStyle w:val="TableText"/>
              <w:ind w:left="729"/>
              <w:spacing w:before="95" w:line="195" w:lineRule="auto"/>
              <w:rPr/>
            </w:pPr>
            <w:r>
              <w:rPr>
                <w:spacing w:val="3"/>
              </w:rPr>
              <w:t>67-66-3</w:t>
            </w:r>
          </w:p>
        </w:tc>
        <w:tc>
          <w:tcPr>
            <w:tcW w:w="2746" w:type="dxa"/>
            <w:vAlign w:val="top"/>
          </w:tcPr>
          <w:p>
            <w:pPr>
              <w:pStyle w:val="TableText"/>
              <w:ind w:left="1244"/>
              <w:spacing w:before="95" w:line="195" w:lineRule="auto"/>
              <w:rPr/>
            </w:pPr>
            <w:r>
              <w:rPr>
                <w:spacing w:val="1"/>
              </w:rPr>
              <w:t>0.9</w:t>
            </w:r>
          </w:p>
        </w:tc>
      </w:tr>
      <w:tr>
        <w:trPr>
          <w:trHeight w:val="331" w:hRule="atLeast"/>
        </w:trPr>
        <w:tc>
          <w:tcPr>
            <w:tcW w:w="1765" w:type="dxa"/>
            <w:vAlign w:val="top"/>
          </w:tcPr>
          <w:p>
            <w:pPr>
              <w:pStyle w:val="TableText"/>
              <w:ind w:left="799"/>
              <w:spacing w:before="95" w:line="195" w:lineRule="auto"/>
              <w:rPr/>
            </w:pPr>
            <w:r>
              <w:rPr>
                <w:spacing w:val="-8"/>
              </w:rPr>
              <w:t>10</w:t>
            </w:r>
          </w:p>
        </w:tc>
        <w:tc>
          <w:tcPr>
            <w:tcW w:w="2461" w:type="dxa"/>
            <w:vAlign w:val="top"/>
          </w:tcPr>
          <w:p>
            <w:pPr>
              <w:ind w:left="924"/>
              <w:spacing w:before="57" w:line="228" w:lineRule="auto"/>
              <w:rPr>
                <w:rFonts w:ascii="SimSun" w:hAnsi="SimSun" w:eastAsia="SimSun" w:cs="SimSun"/>
                <w:sz w:val="20"/>
                <w:szCs w:val="20"/>
              </w:rPr>
            </w:pPr>
            <w:r>
              <w:rPr>
                <w:rFonts w:ascii="SimSun" w:hAnsi="SimSun" w:eastAsia="SimSun" w:cs="SimSun"/>
                <w:sz w:val="20"/>
                <w:szCs w:val="20"/>
                <w:spacing w:val="5"/>
              </w:rPr>
              <w:t>氯甲烷</w:t>
            </w:r>
          </w:p>
        </w:tc>
        <w:tc>
          <w:tcPr>
            <w:tcW w:w="2111" w:type="dxa"/>
            <w:vAlign w:val="top"/>
          </w:tcPr>
          <w:p>
            <w:pPr>
              <w:pStyle w:val="TableText"/>
              <w:ind w:left="727"/>
              <w:spacing w:before="95" w:line="195" w:lineRule="auto"/>
              <w:rPr/>
            </w:pPr>
            <w:r>
              <w:rPr>
                <w:spacing w:val="3"/>
              </w:rPr>
              <w:t>74-87-3</w:t>
            </w:r>
          </w:p>
        </w:tc>
        <w:tc>
          <w:tcPr>
            <w:tcW w:w="2746" w:type="dxa"/>
            <w:vAlign w:val="top"/>
          </w:tcPr>
          <w:p>
            <w:pPr>
              <w:pStyle w:val="TableText"/>
              <w:ind w:left="1274"/>
              <w:spacing w:before="95" w:line="195" w:lineRule="auto"/>
              <w:rPr/>
            </w:pPr>
            <w:r>
              <w:rPr/>
              <w:t>37</w:t>
            </w:r>
          </w:p>
        </w:tc>
      </w:tr>
      <w:tr>
        <w:trPr>
          <w:trHeight w:val="331" w:hRule="atLeast"/>
        </w:trPr>
        <w:tc>
          <w:tcPr>
            <w:tcW w:w="1765" w:type="dxa"/>
            <w:vAlign w:val="top"/>
          </w:tcPr>
          <w:p>
            <w:pPr>
              <w:pStyle w:val="TableText"/>
              <w:ind w:left="799"/>
              <w:spacing w:before="95" w:line="195" w:lineRule="auto"/>
              <w:rPr/>
            </w:pPr>
            <w:r>
              <w:rPr>
                <w:spacing w:val="-8"/>
              </w:rPr>
              <w:t>11</w:t>
            </w:r>
          </w:p>
        </w:tc>
        <w:tc>
          <w:tcPr>
            <w:tcW w:w="2461" w:type="dxa"/>
            <w:vAlign w:val="top"/>
          </w:tcPr>
          <w:p>
            <w:pPr>
              <w:pStyle w:val="TableText"/>
              <w:ind w:left="666"/>
              <w:spacing w:before="57" w:line="228" w:lineRule="auto"/>
              <w:rPr>
                <w:rFonts w:ascii="SimSun" w:hAnsi="SimSun" w:eastAsia="SimSun" w:cs="SimSun"/>
              </w:rPr>
            </w:pPr>
            <w:r>
              <w:rPr/>
              <w:t>1.</w:t>
            </w:r>
            <w:r>
              <w:rPr>
                <w:spacing w:val="-24"/>
              </w:rPr>
              <w:t xml:space="preserve"> </w:t>
            </w:r>
            <w:r>
              <w:rPr/>
              <w:t>1-</w:t>
            </w:r>
            <w:r>
              <w:rPr>
                <w:rFonts w:ascii="SimSun" w:hAnsi="SimSun" w:eastAsia="SimSun" w:cs="SimSun"/>
              </w:rPr>
              <w:t>二氯乙烷</w:t>
            </w:r>
          </w:p>
        </w:tc>
        <w:tc>
          <w:tcPr>
            <w:tcW w:w="2111" w:type="dxa"/>
            <w:vAlign w:val="top"/>
          </w:tcPr>
          <w:p>
            <w:pPr>
              <w:pStyle w:val="TableText"/>
              <w:ind w:left="727"/>
              <w:spacing w:before="95" w:line="195" w:lineRule="auto"/>
              <w:rPr/>
            </w:pPr>
            <w:r>
              <w:rPr>
                <w:spacing w:val="3"/>
              </w:rPr>
              <w:t>75-34-3</w:t>
            </w:r>
          </w:p>
        </w:tc>
        <w:tc>
          <w:tcPr>
            <w:tcW w:w="2746" w:type="dxa"/>
            <w:vAlign w:val="top"/>
          </w:tcPr>
          <w:p>
            <w:pPr>
              <w:pStyle w:val="TableText"/>
              <w:ind w:left="1324"/>
              <w:spacing w:before="95" w:line="195" w:lineRule="auto"/>
              <w:rPr/>
            </w:pPr>
            <w:r>
              <w:rPr/>
              <w:t>9</w:t>
            </w:r>
          </w:p>
        </w:tc>
      </w:tr>
      <w:tr>
        <w:trPr>
          <w:trHeight w:val="333" w:hRule="atLeast"/>
        </w:trPr>
        <w:tc>
          <w:tcPr>
            <w:tcW w:w="1765" w:type="dxa"/>
            <w:vAlign w:val="top"/>
          </w:tcPr>
          <w:p>
            <w:pPr>
              <w:pStyle w:val="TableText"/>
              <w:ind w:left="799"/>
              <w:spacing w:before="95" w:line="195" w:lineRule="auto"/>
              <w:rPr/>
            </w:pPr>
            <w:r>
              <w:rPr>
                <w:spacing w:val="-8"/>
              </w:rPr>
              <w:t>12</w:t>
            </w:r>
          </w:p>
        </w:tc>
        <w:tc>
          <w:tcPr>
            <w:tcW w:w="2461" w:type="dxa"/>
            <w:vAlign w:val="top"/>
          </w:tcPr>
          <w:p>
            <w:pPr>
              <w:pStyle w:val="TableText"/>
              <w:ind w:left="666"/>
              <w:spacing w:before="60" w:line="228" w:lineRule="auto"/>
              <w:rPr>
                <w:rFonts w:ascii="SimSun" w:hAnsi="SimSun" w:eastAsia="SimSun" w:cs="SimSun"/>
              </w:rPr>
            </w:pPr>
            <w:r>
              <w:rPr>
                <w:spacing w:val="3"/>
              </w:rPr>
              <w:t>1.2-</w:t>
            </w:r>
            <w:r>
              <w:rPr>
                <w:rFonts w:ascii="SimSun" w:hAnsi="SimSun" w:eastAsia="SimSun" w:cs="SimSun"/>
                <w:spacing w:val="3"/>
              </w:rPr>
              <w:t>二氯乙烷</w:t>
            </w:r>
          </w:p>
        </w:tc>
        <w:tc>
          <w:tcPr>
            <w:tcW w:w="2111" w:type="dxa"/>
            <w:vAlign w:val="top"/>
          </w:tcPr>
          <w:p>
            <w:pPr>
              <w:pStyle w:val="TableText"/>
              <w:ind w:left="691"/>
              <w:spacing w:before="95" w:line="195" w:lineRule="auto"/>
              <w:rPr/>
            </w:pPr>
            <w:r>
              <w:rPr>
                <w:spacing w:val="1"/>
              </w:rPr>
              <w:t>107-06-2</w:t>
            </w:r>
          </w:p>
        </w:tc>
        <w:tc>
          <w:tcPr>
            <w:tcW w:w="2746" w:type="dxa"/>
            <w:vAlign w:val="top"/>
          </w:tcPr>
          <w:p>
            <w:pPr>
              <w:pStyle w:val="TableText"/>
              <w:ind w:left="1326"/>
              <w:spacing w:before="98" w:line="192" w:lineRule="auto"/>
              <w:rPr/>
            </w:pPr>
            <w:r>
              <w:rPr/>
              <w:t>5</w:t>
            </w:r>
          </w:p>
        </w:tc>
      </w:tr>
      <w:tr>
        <w:trPr>
          <w:trHeight w:val="331" w:hRule="atLeast"/>
        </w:trPr>
        <w:tc>
          <w:tcPr>
            <w:tcW w:w="1765" w:type="dxa"/>
            <w:vAlign w:val="top"/>
          </w:tcPr>
          <w:p>
            <w:pPr>
              <w:pStyle w:val="TableText"/>
              <w:ind w:left="799"/>
              <w:spacing w:before="96" w:line="195" w:lineRule="auto"/>
              <w:rPr/>
            </w:pPr>
            <w:r>
              <w:rPr>
                <w:spacing w:val="-8"/>
              </w:rPr>
              <w:t>13</w:t>
            </w:r>
          </w:p>
        </w:tc>
        <w:tc>
          <w:tcPr>
            <w:tcW w:w="2461" w:type="dxa"/>
            <w:vAlign w:val="top"/>
          </w:tcPr>
          <w:p>
            <w:pPr>
              <w:pStyle w:val="TableText"/>
              <w:ind w:left="666"/>
              <w:spacing w:before="57" w:line="228" w:lineRule="auto"/>
              <w:rPr>
                <w:rFonts w:ascii="SimSun" w:hAnsi="SimSun" w:eastAsia="SimSun" w:cs="SimSun"/>
              </w:rPr>
            </w:pPr>
            <w:r>
              <w:rPr/>
              <w:t>1.</w:t>
            </w:r>
            <w:r>
              <w:rPr>
                <w:spacing w:val="-24"/>
              </w:rPr>
              <w:t xml:space="preserve"> </w:t>
            </w:r>
            <w:r>
              <w:rPr/>
              <w:t>1-</w:t>
            </w:r>
            <w:r>
              <w:rPr>
                <w:rFonts w:ascii="SimSun" w:hAnsi="SimSun" w:eastAsia="SimSun" w:cs="SimSun"/>
              </w:rPr>
              <w:t>二氯乙烯</w:t>
            </w:r>
          </w:p>
        </w:tc>
        <w:tc>
          <w:tcPr>
            <w:tcW w:w="2111" w:type="dxa"/>
            <w:vAlign w:val="top"/>
          </w:tcPr>
          <w:p>
            <w:pPr>
              <w:pStyle w:val="TableText"/>
              <w:ind w:left="727"/>
              <w:spacing w:before="96" w:line="195" w:lineRule="auto"/>
              <w:rPr/>
            </w:pPr>
            <w:r>
              <w:rPr>
                <w:spacing w:val="3"/>
              </w:rPr>
              <w:t>75-35-4</w:t>
            </w:r>
          </w:p>
        </w:tc>
        <w:tc>
          <w:tcPr>
            <w:tcW w:w="2746" w:type="dxa"/>
            <w:vAlign w:val="top"/>
          </w:tcPr>
          <w:p>
            <w:pPr>
              <w:pStyle w:val="TableText"/>
              <w:ind w:left="1274"/>
              <w:spacing w:before="96" w:line="195" w:lineRule="auto"/>
              <w:rPr/>
            </w:pPr>
            <w:r>
              <w:rPr/>
              <w:t>66</w:t>
            </w:r>
          </w:p>
        </w:tc>
      </w:tr>
      <w:tr>
        <w:trPr>
          <w:trHeight w:val="331" w:hRule="atLeast"/>
        </w:trPr>
        <w:tc>
          <w:tcPr>
            <w:tcW w:w="1765" w:type="dxa"/>
            <w:vAlign w:val="top"/>
          </w:tcPr>
          <w:p>
            <w:pPr>
              <w:pStyle w:val="TableText"/>
              <w:ind w:left="799"/>
              <w:spacing w:before="96" w:line="195" w:lineRule="auto"/>
              <w:rPr/>
            </w:pPr>
            <w:r>
              <w:rPr>
                <w:spacing w:val="-8"/>
              </w:rPr>
              <w:t>14</w:t>
            </w:r>
          </w:p>
        </w:tc>
        <w:tc>
          <w:tcPr>
            <w:tcW w:w="2461" w:type="dxa"/>
            <w:vAlign w:val="top"/>
          </w:tcPr>
          <w:p>
            <w:pPr>
              <w:pStyle w:val="TableText"/>
              <w:ind w:left="509"/>
              <w:spacing w:before="57" w:line="228" w:lineRule="auto"/>
              <w:rPr>
                <w:rFonts w:ascii="SimSun" w:hAnsi="SimSun" w:eastAsia="SimSun" w:cs="SimSun"/>
              </w:rPr>
            </w:pPr>
            <w:r>
              <w:rPr>
                <w:rFonts w:ascii="SimSun" w:hAnsi="SimSun" w:eastAsia="SimSun" w:cs="SimSun"/>
                <w:spacing w:val="5"/>
              </w:rPr>
              <w:t>顺</w:t>
            </w:r>
            <w:r>
              <w:rPr>
                <w:spacing w:val="5"/>
              </w:rPr>
              <w:t>-1.2-</w:t>
            </w:r>
            <w:r>
              <w:rPr>
                <w:rFonts w:ascii="SimSun" w:hAnsi="SimSun" w:eastAsia="SimSun" w:cs="SimSun"/>
                <w:spacing w:val="5"/>
              </w:rPr>
              <w:t>二氯乙烯</w:t>
            </w:r>
          </w:p>
        </w:tc>
        <w:tc>
          <w:tcPr>
            <w:tcW w:w="2111" w:type="dxa"/>
            <w:vAlign w:val="top"/>
          </w:tcPr>
          <w:p>
            <w:pPr>
              <w:pStyle w:val="TableText"/>
              <w:ind w:left="691"/>
              <w:spacing w:before="96" w:line="195" w:lineRule="auto"/>
              <w:rPr/>
            </w:pPr>
            <w:r>
              <w:rPr>
                <w:spacing w:val="1"/>
              </w:rPr>
              <w:t>156-59-2</w:t>
            </w:r>
          </w:p>
        </w:tc>
        <w:tc>
          <w:tcPr>
            <w:tcW w:w="2746" w:type="dxa"/>
            <w:vAlign w:val="top"/>
          </w:tcPr>
          <w:p>
            <w:pPr>
              <w:pStyle w:val="TableText"/>
              <w:ind w:left="1223"/>
              <w:spacing w:before="96" w:line="195" w:lineRule="auto"/>
              <w:rPr/>
            </w:pPr>
            <w:r>
              <w:rPr>
                <w:spacing w:val="1"/>
              </w:rPr>
              <w:t>596</w:t>
            </w:r>
          </w:p>
        </w:tc>
      </w:tr>
      <w:tr>
        <w:trPr>
          <w:trHeight w:val="331" w:hRule="atLeast"/>
        </w:trPr>
        <w:tc>
          <w:tcPr>
            <w:tcW w:w="1765" w:type="dxa"/>
            <w:vAlign w:val="top"/>
          </w:tcPr>
          <w:p>
            <w:pPr>
              <w:pStyle w:val="TableText"/>
              <w:ind w:left="799"/>
              <w:spacing w:before="96" w:line="195" w:lineRule="auto"/>
              <w:rPr/>
            </w:pPr>
            <w:r>
              <w:rPr>
                <w:spacing w:val="-8"/>
              </w:rPr>
              <w:t>15</w:t>
            </w:r>
          </w:p>
        </w:tc>
        <w:tc>
          <w:tcPr>
            <w:tcW w:w="2461" w:type="dxa"/>
            <w:vAlign w:val="top"/>
          </w:tcPr>
          <w:p>
            <w:pPr>
              <w:pStyle w:val="TableText"/>
              <w:ind w:left="509"/>
              <w:spacing w:before="57" w:line="228" w:lineRule="auto"/>
              <w:rPr>
                <w:rFonts w:ascii="SimSun" w:hAnsi="SimSun" w:eastAsia="SimSun" w:cs="SimSun"/>
              </w:rPr>
            </w:pPr>
            <w:r>
              <w:rPr>
                <w:rFonts w:ascii="SimSun" w:hAnsi="SimSun" w:eastAsia="SimSun" w:cs="SimSun"/>
                <w:spacing w:val="5"/>
              </w:rPr>
              <w:t>反</w:t>
            </w:r>
            <w:r>
              <w:rPr>
                <w:spacing w:val="5"/>
              </w:rPr>
              <w:t>-1.2-</w:t>
            </w:r>
            <w:r>
              <w:rPr>
                <w:rFonts w:ascii="SimSun" w:hAnsi="SimSun" w:eastAsia="SimSun" w:cs="SimSun"/>
                <w:spacing w:val="5"/>
              </w:rPr>
              <w:t>二氯乙烯</w:t>
            </w:r>
          </w:p>
        </w:tc>
        <w:tc>
          <w:tcPr>
            <w:tcW w:w="2111" w:type="dxa"/>
            <w:vAlign w:val="top"/>
          </w:tcPr>
          <w:p>
            <w:pPr>
              <w:pStyle w:val="TableText"/>
              <w:ind w:left="691"/>
              <w:spacing w:before="96" w:line="195" w:lineRule="auto"/>
              <w:rPr/>
            </w:pPr>
            <w:r>
              <w:rPr>
                <w:spacing w:val="1"/>
              </w:rPr>
              <w:t>156-60-5</w:t>
            </w:r>
          </w:p>
        </w:tc>
        <w:tc>
          <w:tcPr>
            <w:tcW w:w="2746" w:type="dxa"/>
            <w:vAlign w:val="top"/>
          </w:tcPr>
          <w:p>
            <w:pPr>
              <w:pStyle w:val="TableText"/>
              <w:ind w:left="1276"/>
              <w:spacing w:before="96" w:line="195" w:lineRule="auto"/>
              <w:rPr/>
            </w:pPr>
            <w:r>
              <w:rPr/>
              <w:t>54</w:t>
            </w:r>
          </w:p>
        </w:tc>
      </w:tr>
      <w:tr>
        <w:trPr>
          <w:trHeight w:val="331" w:hRule="atLeast"/>
        </w:trPr>
        <w:tc>
          <w:tcPr>
            <w:tcW w:w="1765" w:type="dxa"/>
            <w:vAlign w:val="top"/>
          </w:tcPr>
          <w:p>
            <w:pPr>
              <w:pStyle w:val="TableText"/>
              <w:ind w:left="799"/>
              <w:spacing w:before="96" w:line="195" w:lineRule="auto"/>
              <w:rPr/>
            </w:pPr>
            <w:r>
              <w:rPr>
                <w:spacing w:val="-8"/>
              </w:rPr>
              <w:t>16</w:t>
            </w:r>
          </w:p>
        </w:tc>
        <w:tc>
          <w:tcPr>
            <w:tcW w:w="2461" w:type="dxa"/>
            <w:vAlign w:val="top"/>
          </w:tcPr>
          <w:p>
            <w:pPr>
              <w:ind w:left="819"/>
              <w:spacing w:before="58" w:line="228" w:lineRule="auto"/>
              <w:rPr>
                <w:rFonts w:ascii="SimSun" w:hAnsi="SimSun" w:eastAsia="SimSun" w:cs="SimSun"/>
                <w:sz w:val="20"/>
                <w:szCs w:val="20"/>
              </w:rPr>
            </w:pPr>
            <w:r>
              <w:rPr>
                <w:rFonts w:ascii="SimSun" w:hAnsi="SimSun" w:eastAsia="SimSun" w:cs="SimSun"/>
                <w:sz w:val="20"/>
                <w:szCs w:val="20"/>
                <w:spacing w:val="6"/>
              </w:rPr>
              <w:t>二氯甲烷</w:t>
            </w:r>
          </w:p>
        </w:tc>
        <w:tc>
          <w:tcPr>
            <w:tcW w:w="2111" w:type="dxa"/>
            <w:vAlign w:val="top"/>
          </w:tcPr>
          <w:p>
            <w:pPr>
              <w:pStyle w:val="TableText"/>
              <w:ind w:left="747"/>
              <w:spacing w:before="96" w:line="195" w:lineRule="auto"/>
              <w:rPr/>
            </w:pPr>
            <w:r>
              <w:rPr>
                <w:spacing w:val="3"/>
              </w:rPr>
              <w:t>75-09--</w:t>
            </w:r>
          </w:p>
        </w:tc>
        <w:tc>
          <w:tcPr>
            <w:tcW w:w="2746" w:type="dxa"/>
            <w:vAlign w:val="top"/>
          </w:tcPr>
          <w:p>
            <w:pPr>
              <w:pStyle w:val="TableText"/>
              <w:ind w:left="1222"/>
              <w:spacing w:before="96" w:line="195" w:lineRule="auto"/>
              <w:rPr/>
            </w:pPr>
            <w:r>
              <w:rPr>
                <w:spacing w:val="2"/>
              </w:rPr>
              <w:t>616</w:t>
            </w:r>
          </w:p>
        </w:tc>
      </w:tr>
      <w:tr>
        <w:trPr>
          <w:trHeight w:val="331" w:hRule="atLeast"/>
        </w:trPr>
        <w:tc>
          <w:tcPr>
            <w:tcW w:w="1765" w:type="dxa"/>
            <w:vAlign w:val="top"/>
          </w:tcPr>
          <w:p>
            <w:pPr>
              <w:pStyle w:val="TableText"/>
              <w:ind w:left="799"/>
              <w:spacing w:before="96" w:line="195" w:lineRule="auto"/>
              <w:rPr/>
            </w:pPr>
            <w:r>
              <w:rPr>
                <w:spacing w:val="-8"/>
              </w:rPr>
              <w:t>17</w:t>
            </w:r>
          </w:p>
        </w:tc>
        <w:tc>
          <w:tcPr>
            <w:tcW w:w="2461" w:type="dxa"/>
            <w:vAlign w:val="top"/>
          </w:tcPr>
          <w:p>
            <w:pPr>
              <w:pStyle w:val="TableText"/>
              <w:ind w:left="666"/>
              <w:spacing w:before="58" w:line="228" w:lineRule="auto"/>
              <w:rPr>
                <w:rFonts w:ascii="SimSun" w:hAnsi="SimSun" w:eastAsia="SimSun" w:cs="SimSun"/>
              </w:rPr>
            </w:pPr>
            <w:r>
              <w:rPr>
                <w:spacing w:val="3"/>
              </w:rPr>
              <w:t>1.2-</w:t>
            </w:r>
            <w:r>
              <w:rPr>
                <w:rFonts w:ascii="SimSun" w:hAnsi="SimSun" w:eastAsia="SimSun" w:cs="SimSun"/>
                <w:spacing w:val="3"/>
              </w:rPr>
              <w:t>二氯丙烷</w:t>
            </w:r>
          </w:p>
        </w:tc>
        <w:tc>
          <w:tcPr>
            <w:tcW w:w="2111" w:type="dxa"/>
            <w:vAlign w:val="top"/>
          </w:tcPr>
          <w:p>
            <w:pPr>
              <w:pStyle w:val="TableText"/>
              <w:ind w:left="727"/>
              <w:spacing w:before="96" w:line="195" w:lineRule="auto"/>
              <w:rPr/>
            </w:pPr>
            <w:r>
              <w:rPr>
                <w:spacing w:val="3"/>
              </w:rPr>
              <w:t>78-87-5</w:t>
            </w:r>
          </w:p>
        </w:tc>
        <w:tc>
          <w:tcPr>
            <w:tcW w:w="2746" w:type="dxa"/>
            <w:vAlign w:val="top"/>
          </w:tcPr>
          <w:p>
            <w:pPr>
              <w:pStyle w:val="TableText"/>
              <w:ind w:left="1326"/>
              <w:spacing w:before="99" w:line="192" w:lineRule="auto"/>
              <w:rPr/>
            </w:pPr>
            <w:r>
              <w:rPr/>
              <w:t>5</w:t>
            </w:r>
          </w:p>
        </w:tc>
      </w:tr>
      <w:tr>
        <w:trPr>
          <w:trHeight w:val="331" w:hRule="atLeast"/>
        </w:trPr>
        <w:tc>
          <w:tcPr>
            <w:tcW w:w="1765" w:type="dxa"/>
            <w:vAlign w:val="top"/>
          </w:tcPr>
          <w:p>
            <w:pPr>
              <w:pStyle w:val="TableText"/>
              <w:ind w:left="799"/>
              <w:spacing w:before="96" w:line="195" w:lineRule="auto"/>
              <w:rPr/>
            </w:pPr>
            <w:r>
              <w:rPr>
                <w:spacing w:val="-8"/>
              </w:rPr>
              <w:t>18</w:t>
            </w:r>
          </w:p>
        </w:tc>
        <w:tc>
          <w:tcPr>
            <w:tcW w:w="2461" w:type="dxa"/>
            <w:vAlign w:val="top"/>
          </w:tcPr>
          <w:p>
            <w:pPr>
              <w:pStyle w:val="TableText"/>
              <w:ind w:left="508"/>
              <w:spacing w:before="58" w:line="228" w:lineRule="auto"/>
              <w:rPr>
                <w:rFonts w:ascii="SimSun" w:hAnsi="SimSun" w:eastAsia="SimSun" w:cs="SimSun"/>
              </w:rPr>
            </w:pPr>
            <w:r>
              <w:rPr>
                <w:spacing w:val="-1"/>
              </w:rPr>
              <w:t>1.</w:t>
            </w:r>
            <w:r>
              <w:rPr>
                <w:spacing w:val="-20"/>
              </w:rPr>
              <w:t xml:space="preserve"> </w:t>
            </w:r>
            <w:r>
              <w:rPr>
                <w:spacing w:val="-1"/>
              </w:rPr>
              <w:t>1.</w:t>
            </w:r>
            <w:r>
              <w:rPr>
                <w:spacing w:val="-25"/>
              </w:rPr>
              <w:t xml:space="preserve"> </w:t>
            </w:r>
            <w:r>
              <w:rPr>
                <w:spacing w:val="-1"/>
              </w:rPr>
              <w:t>1.2-</w:t>
            </w:r>
            <w:r>
              <w:rPr>
                <w:rFonts w:ascii="SimSun" w:hAnsi="SimSun" w:eastAsia="SimSun" w:cs="SimSun"/>
                <w:spacing w:val="-1"/>
              </w:rPr>
              <w:t>四氯乙烷</w:t>
            </w:r>
          </w:p>
        </w:tc>
        <w:tc>
          <w:tcPr>
            <w:tcW w:w="2111" w:type="dxa"/>
            <w:vAlign w:val="top"/>
          </w:tcPr>
          <w:p>
            <w:pPr>
              <w:pStyle w:val="TableText"/>
              <w:ind w:left="676"/>
              <w:spacing w:before="96" w:line="195" w:lineRule="auto"/>
              <w:rPr/>
            </w:pPr>
            <w:r>
              <w:rPr>
                <w:spacing w:val="3"/>
              </w:rPr>
              <w:t>630-20-6</w:t>
            </w:r>
          </w:p>
        </w:tc>
        <w:tc>
          <w:tcPr>
            <w:tcW w:w="2746" w:type="dxa"/>
            <w:vAlign w:val="top"/>
          </w:tcPr>
          <w:p>
            <w:pPr>
              <w:pStyle w:val="TableText"/>
              <w:ind w:left="1290"/>
              <w:spacing w:before="96" w:line="195" w:lineRule="auto"/>
              <w:rPr/>
            </w:pPr>
            <w:r>
              <w:rPr>
                <w:spacing w:val="-8"/>
              </w:rPr>
              <w:t>10</w:t>
            </w:r>
          </w:p>
        </w:tc>
      </w:tr>
      <w:tr>
        <w:trPr>
          <w:trHeight w:val="331" w:hRule="atLeast"/>
        </w:trPr>
        <w:tc>
          <w:tcPr>
            <w:tcW w:w="1765" w:type="dxa"/>
            <w:vAlign w:val="top"/>
          </w:tcPr>
          <w:p>
            <w:pPr>
              <w:pStyle w:val="TableText"/>
              <w:ind w:left="799"/>
              <w:spacing w:before="96" w:line="195" w:lineRule="auto"/>
              <w:rPr/>
            </w:pPr>
            <w:r>
              <w:rPr>
                <w:spacing w:val="-8"/>
              </w:rPr>
              <w:t>19</w:t>
            </w:r>
          </w:p>
        </w:tc>
        <w:tc>
          <w:tcPr>
            <w:tcW w:w="2461" w:type="dxa"/>
            <w:vAlign w:val="top"/>
          </w:tcPr>
          <w:p>
            <w:pPr>
              <w:pStyle w:val="TableText"/>
              <w:ind w:left="508"/>
              <w:spacing w:before="58" w:line="228" w:lineRule="auto"/>
              <w:rPr>
                <w:rFonts w:ascii="SimSun" w:hAnsi="SimSun" w:eastAsia="SimSun" w:cs="SimSun"/>
              </w:rPr>
            </w:pPr>
            <w:r>
              <w:rPr>
                <w:spacing w:val="1"/>
              </w:rPr>
              <w:t>1.</w:t>
            </w:r>
            <w:r>
              <w:rPr>
                <w:spacing w:val="-19"/>
              </w:rPr>
              <w:t xml:space="preserve"> </w:t>
            </w:r>
            <w:r>
              <w:rPr>
                <w:spacing w:val="1"/>
              </w:rPr>
              <w:t>1.2.2-</w:t>
            </w:r>
            <w:r>
              <w:rPr>
                <w:rFonts w:ascii="SimSun" w:hAnsi="SimSun" w:eastAsia="SimSun" w:cs="SimSun"/>
                <w:spacing w:val="1"/>
              </w:rPr>
              <w:t>四氯乙烷</w:t>
            </w:r>
          </w:p>
        </w:tc>
        <w:tc>
          <w:tcPr>
            <w:tcW w:w="2111" w:type="dxa"/>
            <w:vAlign w:val="top"/>
          </w:tcPr>
          <w:p>
            <w:pPr>
              <w:pStyle w:val="TableText"/>
              <w:ind w:left="727"/>
              <w:spacing w:before="96" w:line="195" w:lineRule="auto"/>
              <w:rPr/>
            </w:pPr>
            <w:r>
              <w:rPr>
                <w:spacing w:val="3"/>
              </w:rPr>
              <w:t>79-34-5</w:t>
            </w:r>
          </w:p>
        </w:tc>
        <w:tc>
          <w:tcPr>
            <w:tcW w:w="2746" w:type="dxa"/>
            <w:vAlign w:val="top"/>
          </w:tcPr>
          <w:p>
            <w:pPr>
              <w:pStyle w:val="TableText"/>
              <w:ind w:left="1246"/>
              <w:spacing w:before="96" w:line="195" w:lineRule="auto"/>
              <w:rPr/>
            </w:pPr>
            <w:r>
              <w:rPr>
                <w:spacing w:val="1"/>
              </w:rPr>
              <w:t>6.8</w:t>
            </w:r>
          </w:p>
        </w:tc>
      </w:tr>
      <w:tr>
        <w:trPr>
          <w:trHeight w:val="331" w:hRule="atLeast"/>
        </w:trPr>
        <w:tc>
          <w:tcPr>
            <w:tcW w:w="1765" w:type="dxa"/>
            <w:vAlign w:val="top"/>
          </w:tcPr>
          <w:p>
            <w:pPr>
              <w:pStyle w:val="TableText"/>
              <w:ind w:left="779"/>
              <w:spacing w:before="96" w:line="195" w:lineRule="auto"/>
              <w:rPr/>
            </w:pPr>
            <w:r>
              <w:rPr>
                <w:spacing w:val="2"/>
              </w:rPr>
              <w:t>20</w:t>
            </w:r>
          </w:p>
        </w:tc>
        <w:tc>
          <w:tcPr>
            <w:tcW w:w="2461" w:type="dxa"/>
            <w:vAlign w:val="top"/>
          </w:tcPr>
          <w:p>
            <w:pPr>
              <w:ind w:left="835"/>
              <w:spacing w:before="59" w:line="228" w:lineRule="auto"/>
              <w:rPr>
                <w:rFonts w:ascii="SimSun" w:hAnsi="SimSun" w:eastAsia="SimSun" w:cs="SimSun"/>
                <w:sz w:val="20"/>
                <w:szCs w:val="20"/>
              </w:rPr>
            </w:pPr>
            <w:r>
              <w:rPr>
                <w:rFonts w:ascii="SimSun" w:hAnsi="SimSun" w:eastAsia="SimSun" w:cs="SimSun"/>
                <w:sz w:val="20"/>
                <w:szCs w:val="20"/>
                <w:spacing w:val="2"/>
              </w:rPr>
              <w:t>四氯乙烯</w:t>
            </w:r>
          </w:p>
        </w:tc>
        <w:tc>
          <w:tcPr>
            <w:tcW w:w="2111" w:type="dxa"/>
            <w:vAlign w:val="top"/>
          </w:tcPr>
          <w:p>
            <w:pPr>
              <w:pStyle w:val="TableText"/>
              <w:ind w:left="691"/>
              <w:spacing w:before="96" w:line="195" w:lineRule="auto"/>
              <w:rPr/>
            </w:pPr>
            <w:r>
              <w:rPr>
                <w:spacing w:val="1"/>
              </w:rPr>
              <w:t>127-18-4</w:t>
            </w:r>
          </w:p>
        </w:tc>
        <w:tc>
          <w:tcPr>
            <w:tcW w:w="2746" w:type="dxa"/>
            <w:vAlign w:val="top"/>
          </w:tcPr>
          <w:p>
            <w:pPr>
              <w:pStyle w:val="TableText"/>
              <w:ind w:left="1276"/>
              <w:spacing w:before="96" w:line="195" w:lineRule="auto"/>
              <w:rPr/>
            </w:pPr>
            <w:r>
              <w:rPr/>
              <w:t>53</w:t>
            </w:r>
          </w:p>
        </w:tc>
      </w:tr>
      <w:tr>
        <w:trPr>
          <w:trHeight w:val="331" w:hRule="atLeast"/>
        </w:trPr>
        <w:tc>
          <w:tcPr>
            <w:tcW w:w="1765" w:type="dxa"/>
            <w:vAlign w:val="top"/>
          </w:tcPr>
          <w:p>
            <w:pPr>
              <w:pStyle w:val="TableText"/>
              <w:ind w:left="779"/>
              <w:spacing w:before="96" w:line="195" w:lineRule="auto"/>
              <w:rPr/>
            </w:pPr>
            <w:r>
              <w:rPr>
                <w:spacing w:val="2"/>
              </w:rPr>
              <w:t>21</w:t>
            </w:r>
          </w:p>
        </w:tc>
        <w:tc>
          <w:tcPr>
            <w:tcW w:w="2461" w:type="dxa"/>
            <w:vAlign w:val="top"/>
          </w:tcPr>
          <w:p>
            <w:pPr>
              <w:pStyle w:val="TableText"/>
              <w:ind w:left="584"/>
              <w:spacing w:before="60" w:line="228" w:lineRule="auto"/>
              <w:rPr>
                <w:rFonts w:ascii="SimSun" w:hAnsi="SimSun" w:eastAsia="SimSun" w:cs="SimSun"/>
              </w:rPr>
            </w:pPr>
            <w:r>
              <w:rPr>
                <w:spacing w:val="-2"/>
              </w:rPr>
              <w:t>1.</w:t>
            </w:r>
            <w:r>
              <w:rPr>
                <w:spacing w:val="-18"/>
              </w:rPr>
              <w:t xml:space="preserve"> </w:t>
            </w:r>
            <w:r>
              <w:rPr>
                <w:spacing w:val="-2"/>
              </w:rPr>
              <w:t>1.</w:t>
            </w:r>
            <w:r>
              <w:rPr>
                <w:spacing w:val="-25"/>
              </w:rPr>
              <w:t xml:space="preserve"> </w:t>
            </w:r>
            <w:r>
              <w:rPr>
                <w:spacing w:val="-2"/>
              </w:rPr>
              <w:t>1-</w:t>
            </w:r>
            <w:r>
              <w:rPr>
                <w:rFonts w:ascii="SimSun" w:hAnsi="SimSun" w:eastAsia="SimSun" w:cs="SimSun"/>
                <w:spacing w:val="-2"/>
              </w:rPr>
              <w:t>三氯乙烷</w:t>
            </w:r>
          </w:p>
        </w:tc>
        <w:tc>
          <w:tcPr>
            <w:tcW w:w="2111" w:type="dxa"/>
            <w:vAlign w:val="top"/>
          </w:tcPr>
          <w:p>
            <w:pPr>
              <w:pStyle w:val="TableText"/>
              <w:ind w:left="727"/>
              <w:spacing w:before="96" w:line="195" w:lineRule="auto"/>
              <w:rPr/>
            </w:pPr>
            <w:r>
              <w:rPr>
                <w:spacing w:val="3"/>
              </w:rPr>
              <w:t>71-55-6</w:t>
            </w:r>
          </w:p>
        </w:tc>
        <w:tc>
          <w:tcPr>
            <w:tcW w:w="2746" w:type="dxa"/>
            <w:vAlign w:val="top"/>
          </w:tcPr>
          <w:p>
            <w:pPr>
              <w:pStyle w:val="TableText"/>
              <w:ind w:left="1225"/>
              <w:spacing w:before="96" w:line="195" w:lineRule="auto"/>
              <w:rPr/>
            </w:pPr>
            <w:r>
              <w:rPr/>
              <w:t>840</w:t>
            </w:r>
          </w:p>
        </w:tc>
      </w:tr>
      <w:tr>
        <w:trPr>
          <w:trHeight w:val="335" w:hRule="atLeast"/>
        </w:trPr>
        <w:tc>
          <w:tcPr>
            <w:tcW w:w="1765" w:type="dxa"/>
            <w:vAlign w:val="top"/>
          </w:tcPr>
          <w:p>
            <w:pPr>
              <w:pStyle w:val="TableText"/>
              <w:ind w:left="779"/>
              <w:spacing w:before="96" w:line="195" w:lineRule="auto"/>
              <w:rPr/>
            </w:pPr>
            <w:r>
              <w:rPr>
                <w:spacing w:val="2"/>
              </w:rPr>
              <w:t>22</w:t>
            </w:r>
          </w:p>
        </w:tc>
        <w:tc>
          <w:tcPr>
            <w:tcW w:w="2461" w:type="dxa"/>
            <w:vAlign w:val="top"/>
          </w:tcPr>
          <w:p>
            <w:pPr>
              <w:pStyle w:val="TableText"/>
              <w:ind w:left="584"/>
              <w:spacing w:before="60" w:line="228" w:lineRule="auto"/>
              <w:rPr>
                <w:rFonts w:ascii="SimSun" w:hAnsi="SimSun" w:eastAsia="SimSun" w:cs="SimSun"/>
              </w:rPr>
            </w:pPr>
            <w:r>
              <w:rPr>
                <w:spacing w:val="1"/>
              </w:rPr>
              <w:t>1.</w:t>
            </w:r>
            <w:r>
              <w:rPr>
                <w:spacing w:val="-23"/>
              </w:rPr>
              <w:t xml:space="preserve"> </w:t>
            </w:r>
            <w:r>
              <w:rPr>
                <w:spacing w:val="1"/>
              </w:rPr>
              <w:t>1.2-</w:t>
            </w:r>
            <w:r>
              <w:rPr>
                <w:rFonts w:ascii="SimSun" w:hAnsi="SimSun" w:eastAsia="SimSun" w:cs="SimSun"/>
                <w:spacing w:val="1"/>
              </w:rPr>
              <w:t>三氯乙烷</w:t>
            </w:r>
          </w:p>
        </w:tc>
        <w:tc>
          <w:tcPr>
            <w:tcW w:w="2111" w:type="dxa"/>
            <w:vAlign w:val="top"/>
          </w:tcPr>
          <w:p>
            <w:pPr>
              <w:pStyle w:val="TableText"/>
              <w:ind w:left="727"/>
              <w:spacing w:before="96" w:line="195" w:lineRule="auto"/>
              <w:rPr/>
            </w:pPr>
            <w:r>
              <w:rPr>
                <w:spacing w:val="3"/>
              </w:rPr>
              <w:t>79-00-5</w:t>
            </w:r>
          </w:p>
        </w:tc>
        <w:tc>
          <w:tcPr>
            <w:tcW w:w="2746" w:type="dxa"/>
            <w:vAlign w:val="top"/>
          </w:tcPr>
          <w:p>
            <w:pPr>
              <w:pStyle w:val="TableText"/>
              <w:ind w:left="1241"/>
              <w:spacing w:before="96" w:line="195" w:lineRule="auto"/>
              <w:rPr/>
            </w:pPr>
            <w:r>
              <w:rPr>
                <w:spacing w:val="2"/>
              </w:rPr>
              <w:t>2.8</w:t>
            </w:r>
          </w:p>
        </w:tc>
      </w:tr>
    </w:tbl>
    <w:p>
      <w:pPr>
        <w:pStyle w:val="BodyText"/>
        <w:rPr/>
      </w:pPr>
      <w:r/>
    </w:p>
    <w:p>
      <w:pPr>
        <w:sectPr>
          <w:headerReference w:type="default" r:id="rId71"/>
          <w:footerReference w:type="default" r:id="rId72"/>
          <w:pgSz w:w="11906" w:h="16838"/>
          <w:pgMar w:top="1170" w:right="1383" w:bottom="1080" w:left="1413" w:header="837" w:footer="918" w:gutter="0"/>
        </w:sectPr>
        <w:rPr/>
      </w:pPr>
    </w:p>
    <w:p>
      <w:pPr>
        <w:spacing w:before="6"/>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65"/>
        <w:gridCol w:w="2461"/>
        <w:gridCol w:w="2111"/>
        <w:gridCol w:w="2746"/>
      </w:tblGrid>
      <w:tr>
        <w:trPr>
          <w:trHeight w:val="359" w:hRule="atLeast"/>
        </w:trPr>
        <w:tc>
          <w:tcPr>
            <w:tcW w:w="1765" w:type="dxa"/>
            <w:vAlign w:val="top"/>
            <w:vMerge w:val="restart"/>
            <w:tcBorders>
              <w:bottom w:val="nil"/>
            </w:tcBorders>
          </w:tcPr>
          <w:p>
            <w:pPr>
              <w:ind w:left="676"/>
              <w:spacing w:before="245" w:line="229" w:lineRule="auto"/>
              <w:rPr>
                <w:rFonts w:ascii="SimSun" w:hAnsi="SimSun" w:eastAsia="SimSun" w:cs="SimSun"/>
                <w:sz w:val="20"/>
                <w:szCs w:val="20"/>
              </w:rPr>
            </w:pPr>
            <w:r>
              <w:rPr>
                <w:rFonts w:ascii="SimSun" w:hAnsi="SimSun" w:eastAsia="SimSun" w:cs="SimSun"/>
                <w:sz w:val="20"/>
                <w:szCs w:val="20"/>
                <w:spacing w:val="5"/>
              </w:rPr>
              <w:t>序号</w:t>
            </w:r>
          </w:p>
        </w:tc>
        <w:tc>
          <w:tcPr>
            <w:tcW w:w="2461" w:type="dxa"/>
            <w:vAlign w:val="top"/>
            <w:vMerge w:val="restart"/>
            <w:tcBorders>
              <w:bottom w:val="nil"/>
            </w:tcBorders>
          </w:tcPr>
          <w:p>
            <w:pPr>
              <w:ind w:left="711"/>
              <w:spacing w:before="245" w:line="228" w:lineRule="auto"/>
              <w:rPr>
                <w:rFonts w:ascii="SimSun" w:hAnsi="SimSun" w:eastAsia="SimSun" w:cs="SimSun"/>
                <w:sz w:val="20"/>
                <w:szCs w:val="20"/>
              </w:rPr>
            </w:pPr>
            <w:r>
              <w:rPr>
                <w:rFonts w:ascii="SimSun" w:hAnsi="SimSun" w:eastAsia="SimSun" w:cs="SimSun"/>
                <w:sz w:val="20"/>
                <w:szCs w:val="20"/>
                <w:spacing w:val="7"/>
              </w:rPr>
              <w:t>污染物项目</w:t>
            </w:r>
          </w:p>
        </w:tc>
        <w:tc>
          <w:tcPr>
            <w:tcW w:w="2111" w:type="dxa"/>
            <w:vAlign w:val="top"/>
            <w:vMerge w:val="restart"/>
            <w:tcBorders>
              <w:bottom w:val="nil"/>
            </w:tcBorders>
          </w:tcPr>
          <w:p>
            <w:pPr>
              <w:pStyle w:val="TableText"/>
              <w:ind w:left="619"/>
              <w:spacing w:before="244" w:line="228" w:lineRule="auto"/>
              <w:rPr>
                <w:rFonts w:ascii="SimSun" w:hAnsi="SimSun" w:eastAsia="SimSun" w:cs="SimSun"/>
              </w:rPr>
            </w:pPr>
            <w:r>
              <w:rPr/>
              <w:t>CAS</w:t>
            </w:r>
            <w:r>
              <w:rPr>
                <w:spacing w:val="17"/>
              </w:rPr>
              <w:t xml:space="preserve"> </w:t>
            </w:r>
            <w:r>
              <w:rPr>
                <w:rFonts w:ascii="SimSun" w:hAnsi="SimSun" w:eastAsia="SimSun" w:cs="SimSun"/>
                <w:spacing w:val="7"/>
              </w:rPr>
              <w:t>编号</w:t>
            </w:r>
          </w:p>
        </w:tc>
        <w:tc>
          <w:tcPr>
            <w:tcW w:w="2746" w:type="dxa"/>
            <w:vAlign w:val="top"/>
          </w:tcPr>
          <w:p>
            <w:pPr>
              <w:ind w:left="1062"/>
              <w:spacing w:before="71" w:line="228" w:lineRule="auto"/>
              <w:rPr>
                <w:rFonts w:ascii="SimSun" w:hAnsi="SimSun" w:eastAsia="SimSun" w:cs="SimSun"/>
                <w:sz w:val="20"/>
                <w:szCs w:val="20"/>
              </w:rPr>
            </w:pPr>
            <w:r>
              <w:rPr>
                <w:rFonts w:ascii="SimSun" w:hAnsi="SimSun" w:eastAsia="SimSun" w:cs="SimSun"/>
                <w:sz w:val="20"/>
                <w:szCs w:val="20"/>
                <w:spacing w:val="6"/>
              </w:rPr>
              <w:t>筛选值</w:t>
            </w:r>
          </w:p>
        </w:tc>
      </w:tr>
      <w:tr>
        <w:trPr>
          <w:trHeight w:val="340" w:hRule="atLeast"/>
        </w:trPr>
        <w:tc>
          <w:tcPr>
            <w:tcW w:w="1765" w:type="dxa"/>
            <w:vAlign w:val="top"/>
            <w:vMerge w:val="continue"/>
            <w:tcBorders>
              <w:top w:val="nil"/>
            </w:tcBorders>
          </w:tcPr>
          <w:p>
            <w:pPr>
              <w:rPr>
                <w:rFonts w:ascii="Arial"/>
                <w:sz w:val="21"/>
              </w:rPr>
            </w:pPr>
            <w:r/>
          </w:p>
        </w:tc>
        <w:tc>
          <w:tcPr>
            <w:tcW w:w="2461" w:type="dxa"/>
            <w:vAlign w:val="top"/>
            <w:vMerge w:val="continue"/>
            <w:tcBorders>
              <w:top w:val="nil"/>
            </w:tcBorders>
          </w:tcPr>
          <w:p>
            <w:pPr>
              <w:rPr>
                <w:rFonts w:ascii="Arial"/>
                <w:sz w:val="21"/>
              </w:rPr>
            </w:pPr>
            <w:r/>
          </w:p>
        </w:tc>
        <w:tc>
          <w:tcPr>
            <w:tcW w:w="2111" w:type="dxa"/>
            <w:vAlign w:val="top"/>
            <w:vMerge w:val="continue"/>
            <w:tcBorders>
              <w:top w:val="nil"/>
            </w:tcBorders>
          </w:tcPr>
          <w:p>
            <w:pPr>
              <w:rPr>
                <w:rFonts w:ascii="Arial"/>
                <w:sz w:val="21"/>
              </w:rPr>
            </w:pPr>
            <w:r/>
          </w:p>
        </w:tc>
        <w:tc>
          <w:tcPr>
            <w:tcW w:w="2746" w:type="dxa"/>
            <w:vAlign w:val="top"/>
          </w:tcPr>
          <w:p>
            <w:pPr>
              <w:ind w:left="854"/>
              <w:spacing w:before="60" w:line="228" w:lineRule="auto"/>
              <w:rPr>
                <w:rFonts w:ascii="SimSun" w:hAnsi="SimSun" w:eastAsia="SimSun" w:cs="SimSun"/>
                <w:sz w:val="20"/>
                <w:szCs w:val="20"/>
              </w:rPr>
            </w:pPr>
            <w:r>
              <w:rPr>
                <w:rFonts w:ascii="SimSun" w:hAnsi="SimSun" w:eastAsia="SimSun" w:cs="SimSun"/>
                <w:sz w:val="20"/>
                <w:szCs w:val="20"/>
                <w:spacing w:val="8"/>
              </w:rPr>
              <w:t>第二类用地</w:t>
            </w:r>
          </w:p>
        </w:tc>
      </w:tr>
      <w:tr>
        <w:trPr>
          <w:trHeight w:val="331" w:hRule="atLeast"/>
        </w:trPr>
        <w:tc>
          <w:tcPr>
            <w:tcW w:w="1765" w:type="dxa"/>
            <w:vAlign w:val="top"/>
          </w:tcPr>
          <w:p>
            <w:pPr>
              <w:pStyle w:val="TableText"/>
              <w:ind w:left="779"/>
              <w:spacing w:before="95" w:line="195" w:lineRule="auto"/>
              <w:rPr/>
            </w:pPr>
            <w:r>
              <w:rPr>
                <w:spacing w:val="2"/>
              </w:rPr>
              <w:t>23</w:t>
            </w:r>
          </w:p>
        </w:tc>
        <w:tc>
          <w:tcPr>
            <w:tcW w:w="2461" w:type="dxa"/>
            <w:vAlign w:val="top"/>
          </w:tcPr>
          <w:p>
            <w:pPr>
              <w:ind w:left="815"/>
              <w:spacing w:before="56" w:line="228" w:lineRule="auto"/>
              <w:rPr>
                <w:rFonts w:ascii="SimSun" w:hAnsi="SimSun" w:eastAsia="SimSun" w:cs="SimSun"/>
                <w:sz w:val="20"/>
                <w:szCs w:val="20"/>
              </w:rPr>
            </w:pPr>
            <w:r>
              <w:rPr>
                <w:rFonts w:ascii="SimSun" w:hAnsi="SimSun" w:eastAsia="SimSun" w:cs="SimSun"/>
                <w:sz w:val="20"/>
                <w:szCs w:val="20"/>
                <w:spacing w:val="7"/>
              </w:rPr>
              <w:t>三氯乙烯</w:t>
            </w:r>
          </w:p>
        </w:tc>
        <w:tc>
          <w:tcPr>
            <w:tcW w:w="2111" w:type="dxa"/>
            <w:vAlign w:val="top"/>
          </w:tcPr>
          <w:p>
            <w:pPr>
              <w:pStyle w:val="TableText"/>
              <w:ind w:left="727"/>
              <w:spacing w:before="95" w:line="195" w:lineRule="auto"/>
              <w:rPr/>
            </w:pPr>
            <w:r>
              <w:rPr>
                <w:spacing w:val="3"/>
              </w:rPr>
              <w:t>79-01-6</w:t>
            </w:r>
          </w:p>
        </w:tc>
        <w:tc>
          <w:tcPr>
            <w:tcW w:w="2746" w:type="dxa"/>
            <w:vAlign w:val="top"/>
          </w:tcPr>
          <w:p>
            <w:pPr>
              <w:pStyle w:val="TableText"/>
              <w:ind w:left="1241"/>
              <w:spacing w:before="95" w:line="195" w:lineRule="auto"/>
              <w:rPr/>
            </w:pPr>
            <w:r>
              <w:rPr>
                <w:spacing w:val="2"/>
              </w:rPr>
              <w:t>2.8</w:t>
            </w:r>
          </w:p>
        </w:tc>
      </w:tr>
      <w:tr>
        <w:trPr>
          <w:trHeight w:val="331" w:hRule="atLeast"/>
        </w:trPr>
        <w:tc>
          <w:tcPr>
            <w:tcW w:w="1765" w:type="dxa"/>
            <w:vAlign w:val="top"/>
          </w:tcPr>
          <w:p>
            <w:pPr>
              <w:pStyle w:val="TableText"/>
              <w:ind w:left="779"/>
              <w:spacing w:before="95" w:line="195" w:lineRule="auto"/>
              <w:rPr/>
            </w:pPr>
            <w:r>
              <w:rPr>
                <w:spacing w:val="2"/>
              </w:rPr>
              <w:t>24</w:t>
            </w:r>
          </w:p>
        </w:tc>
        <w:tc>
          <w:tcPr>
            <w:tcW w:w="2461" w:type="dxa"/>
            <w:vAlign w:val="top"/>
          </w:tcPr>
          <w:p>
            <w:pPr>
              <w:pStyle w:val="TableText"/>
              <w:ind w:left="596"/>
              <w:spacing w:before="57" w:line="228" w:lineRule="auto"/>
              <w:rPr>
                <w:rFonts w:ascii="SimSun" w:hAnsi="SimSun" w:eastAsia="SimSun" w:cs="SimSun"/>
              </w:rPr>
            </w:pPr>
            <w:r>
              <w:rPr>
                <w:spacing w:val="3"/>
              </w:rPr>
              <w:t>1.2.3 </w:t>
            </w:r>
            <w:r>
              <w:rPr>
                <w:rFonts w:ascii="SimSun" w:hAnsi="SimSun" w:eastAsia="SimSun" w:cs="SimSun"/>
                <w:spacing w:val="3"/>
              </w:rPr>
              <w:t>三氯丙烷</w:t>
            </w:r>
          </w:p>
        </w:tc>
        <w:tc>
          <w:tcPr>
            <w:tcW w:w="2111" w:type="dxa"/>
            <w:vAlign w:val="top"/>
          </w:tcPr>
          <w:p>
            <w:pPr>
              <w:pStyle w:val="TableText"/>
              <w:ind w:left="728"/>
              <w:spacing w:before="95" w:line="195" w:lineRule="auto"/>
              <w:rPr/>
            </w:pPr>
            <w:r>
              <w:rPr>
                <w:spacing w:val="3"/>
              </w:rPr>
              <w:t>96-18-4</w:t>
            </w:r>
          </w:p>
        </w:tc>
        <w:tc>
          <w:tcPr>
            <w:tcW w:w="2746" w:type="dxa"/>
            <w:vAlign w:val="top"/>
          </w:tcPr>
          <w:p>
            <w:pPr>
              <w:pStyle w:val="TableText"/>
              <w:ind w:left="1244"/>
              <w:spacing w:before="95" w:line="195" w:lineRule="auto"/>
              <w:rPr/>
            </w:pPr>
            <w:r>
              <w:rPr>
                <w:spacing w:val="1"/>
              </w:rPr>
              <w:t>0.5</w:t>
            </w:r>
          </w:p>
        </w:tc>
      </w:tr>
      <w:tr>
        <w:trPr>
          <w:trHeight w:val="331" w:hRule="atLeast"/>
        </w:trPr>
        <w:tc>
          <w:tcPr>
            <w:tcW w:w="1765" w:type="dxa"/>
            <w:vAlign w:val="top"/>
          </w:tcPr>
          <w:p>
            <w:pPr>
              <w:pStyle w:val="TableText"/>
              <w:ind w:left="779"/>
              <w:spacing w:before="95" w:line="195" w:lineRule="auto"/>
              <w:rPr/>
            </w:pPr>
            <w:r>
              <w:rPr>
                <w:spacing w:val="2"/>
              </w:rPr>
              <w:t>25</w:t>
            </w:r>
          </w:p>
        </w:tc>
        <w:tc>
          <w:tcPr>
            <w:tcW w:w="2461" w:type="dxa"/>
            <w:vAlign w:val="top"/>
          </w:tcPr>
          <w:p>
            <w:pPr>
              <w:ind w:left="924"/>
              <w:spacing w:before="56" w:line="228" w:lineRule="auto"/>
              <w:rPr>
                <w:rFonts w:ascii="SimSun" w:hAnsi="SimSun" w:eastAsia="SimSun" w:cs="SimSun"/>
                <w:sz w:val="20"/>
                <w:szCs w:val="20"/>
              </w:rPr>
            </w:pPr>
            <w:r>
              <w:rPr>
                <w:rFonts w:ascii="SimSun" w:hAnsi="SimSun" w:eastAsia="SimSun" w:cs="SimSun"/>
                <w:sz w:val="20"/>
                <w:szCs w:val="20"/>
                <w:spacing w:val="5"/>
              </w:rPr>
              <w:t>氯乙烯</w:t>
            </w:r>
          </w:p>
        </w:tc>
        <w:tc>
          <w:tcPr>
            <w:tcW w:w="2111" w:type="dxa"/>
            <w:vAlign w:val="top"/>
          </w:tcPr>
          <w:p>
            <w:pPr>
              <w:pStyle w:val="TableText"/>
              <w:ind w:left="727"/>
              <w:spacing w:before="95" w:line="195" w:lineRule="auto"/>
              <w:rPr/>
            </w:pPr>
            <w:r>
              <w:rPr>
                <w:spacing w:val="3"/>
              </w:rPr>
              <w:t>75-01-4</w:t>
            </w:r>
          </w:p>
        </w:tc>
        <w:tc>
          <w:tcPr>
            <w:tcW w:w="2746" w:type="dxa"/>
            <w:vAlign w:val="top"/>
          </w:tcPr>
          <w:p>
            <w:pPr>
              <w:pStyle w:val="TableText"/>
              <w:ind w:left="1191"/>
              <w:spacing w:before="95" w:line="195" w:lineRule="auto"/>
              <w:rPr/>
            </w:pPr>
            <w:r>
              <w:rPr>
                <w:spacing w:val="3"/>
              </w:rPr>
              <w:t>0.43</w:t>
            </w:r>
          </w:p>
        </w:tc>
      </w:tr>
      <w:tr>
        <w:trPr>
          <w:trHeight w:val="331" w:hRule="atLeast"/>
        </w:trPr>
        <w:tc>
          <w:tcPr>
            <w:tcW w:w="1765" w:type="dxa"/>
            <w:vAlign w:val="top"/>
          </w:tcPr>
          <w:p>
            <w:pPr>
              <w:pStyle w:val="TableText"/>
              <w:ind w:left="779"/>
              <w:spacing w:before="95" w:line="195" w:lineRule="auto"/>
              <w:rPr/>
            </w:pPr>
            <w:r>
              <w:rPr>
                <w:spacing w:val="2"/>
              </w:rPr>
              <w:t>26</w:t>
            </w:r>
          </w:p>
        </w:tc>
        <w:tc>
          <w:tcPr>
            <w:tcW w:w="2461" w:type="dxa"/>
            <w:vAlign w:val="top"/>
          </w:tcPr>
          <w:p>
            <w:pPr>
              <w:ind w:left="1132"/>
              <w:spacing w:before="56" w:line="227" w:lineRule="auto"/>
              <w:rPr>
                <w:rFonts w:ascii="SimSun" w:hAnsi="SimSun" w:eastAsia="SimSun" w:cs="SimSun"/>
                <w:sz w:val="20"/>
                <w:szCs w:val="20"/>
              </w:rPr>
            </w:pPr>
            <w:r>
              <w:rPr>
                <w:rFonts w:ascii="SimSun" w:hAnsi="SimSun" w:eastAsia="SimSun" w:cs="SimSun"/>
                <w:sz w:val="20"/>
                <w:szCs w:val="20"/>
              </w:rPr>
              <w:t>苯</w:t>
            </w:r>
          </w:p>
        </w:tc>
        <w:tc>
          <w:tcPr>
            <w:tcW w:w="2111" w:type="dxa"/>
            <w:vAlign w:val="top"/>
          </w:tcPr>
          <w:p>
            <w:pPr>
              <w:pStyle w:val="TableText"/>
              <w:ind w:left="727"/>
              <w:spacing w:before="95" w:line="195" w:lineRule="auto"/>
              <w:rPr/>
            </w:pPr>
            <w:r>
              <w:rPr>
                <w:spacing w:val="3"/>
              </w:rPr>
              <w:t>71-43-2</w:t>
            </w:r>
          </w:p>
        </w:tc>
        <w:tc>
          <w:tcPr>
            <w:tcW w:w="2746" w:type="dxa"/>
            <w:vAlign w:val="top"/>
          </w:tcPr>
          <w:p>
            <w:pPr>
              <w:pStyle w:val="TableText"/>
              <w:ind w:left="1319"/>
              <w:spacing w:before="95" w:line="195" w:lineRule="auto"/>
              <w:rPr/>
            </w:pPr>
            <w:r>
              <w:rPr>
                <w:spacing w:val="1"/>
              </w:rPr>
              <w:t>4</w:t>
            </w:r>
          </w:p>
        </w:tc>
      </w:tr>
      <w:tr>
        <w:trPr>
          <w:trHeight w:val="331" w:hRule="atLeast"/>
        </w:trPr>
        <w:tc>
          <w:tcPr>
            <w:tcW w:w="1765" w:type="dxa"/>
            <w:vAlign w:val="top"/>
          </w:tcPr>
          <w:p>
            <w:pPr>
              <w:pStyle w:val="TableText"/>
              <w:ind w:left="779"/>
              <w:spacing w:before="95" w:line="195" w:lineRule="auto"/>
              <w:rPr/>
            </w:pPr>
            <w:r>
              <w:rPr>
                <w:spacing w:val="2"/>
              </w:rPr>
              <w:t>27</w:t>
            </w:r>
          </w:p>
        </w:tc>
        <w:tc>
          <w:tcPr>
            <w:tcW w:w="2461" w:type="dxa"/>
            <w:vAlign w:val="top"/>
          </w:tcPr>
          <w:p>
            <w:pPr>
              <w:ind w:left="1027"/>
              <w:spacing w:before="56" w:line="227" w:lineRule="auto"/>
              <w:rPr>
                <w:rFonts w:ascii="SimSun" w:hAnsi="SimSun" w:eastAsia="SimSun" w:cs="SimSun"/>
                <w:sz w:val="20"/>
                <w:szCs w:val="20"/>
              </w:rPr>
            </w:pPr>
            <w:r>
              <w:rPr>
                <w:rFonts w:ascii="SimSun" w:hAnsi="SimSun" w:eastAsia="SimSun" w:cs="SimSun"/>
                <w:sz w:val="20"/>
                <w:szCs w:val="20"/>
                <w:spacing w:val="3"/>
              </w:rPr>
              <w:t>氯苯</w:t>
            </w:r>
          </w:p>
        </w:tc>
        <w:tc>
          <w:tcPr>
            <w:tcW w:w="2111" w:type="dxa"/>
            <w:vAlign w:val="top"/>
          </w:tcPr>
          <w:p>
            <w:pPr>
              <w:pStyle w:val="TableText"/>
              <w:ind w:left="691"/>
              <w:spacing w:before="95" w:line="195" w:lineRule="auto"/>
              <w:rPr/>
            </w:pPr>
            <w:r>
              <w:rPr>
                <w:spacing w:val="1"/>
              </w:rPr>
              <w:t>108-90-7</w:t>
            </w:r>
          </w:p>
        </w:tc>
        <w:tc>
          <w:tcPr>
            <w:tcW w:w="2746" w:type="dxa"/>
            <w:vAlign w:val="top"/>
          </w:tcPr>
          <w:p>
            <w:pPr>
              <w:pStyle w:val="TableText"/>
              <w:ind w:left="1217"/>
              <w:spacing w:before="95" w:line="195" w:lineRule="auto"/>
              <w:rPr/>
            </w:pPr>
            <w:r>
              <w:rPr>
                <w:spacing w:val="3"/>
              </w:rPr>
              <w:t>270</w:t>
            </w:r>
          </w:p>
        </w:tc>
      </w:tr>
      <w:tr>
        <w:trPr>
          <w:trHeight w:val="331" w:hRule="atLeast"/>
        </w:trPr>
        <w:tc>
          <w:tcPr>
            <w:tcW w:w="1765" w:type="dxa"/>
            <w:vAlign w:val="top"/>
          </w:tcPr>
          <w:p>
            <w:pPr>
              <w:pStyle w:val="TableText"/>
              <w:ind w:left="779"/>
              <w:spacing w:before="95" w:line="195" w:lineRule="auto"/>
              <w:rPr/>
            </w:pPr>
            <w:r>
              <w:rPr>
                <w:spacing w:val="2"/>
              </w:rPr>
              <w:t>28</w:t>
            </w:r>
          </w:p>
        </w:tc>
        <w:tc>
          <w:tcPr>
            <w:tcW w:w="2461" w:type="dxa"/>
            <w:vAlign w:val="top"/>
          </w:tcPr>
          <w:p>
            <w:pPr>
              <w:pStyle w:val="TableText"/>
              <w:ind w:left="769"/>
              <w:spacing w:before="56" w:line="227" w:lineRule="auto"/>
              <w:rPr>
                <w:rFonts w:ascii="SimSun" w:hAnsi="SimSun" w:eastAsia="SimSun" w:cs="SimSun"/>
              </w:rPr>
            </w:pPr>
            <w:r>
              <w:rPr>
                <w:spacing w:val="2"/>
              </w:rPr>
              <w:t>1.2-</w:t>
            </w:r>
            <w:r>
              <w:rPr>
                <w:rFonts w:ascii="SimSun" w:hAnsi="SimSun" w:eastAsia="SimSun" w:cs="SimSun"/>
                <w:spacing w:val="2"/>
              </w:rPr>
              <w:t>二氯苯</w:t>
            </w:r>
          </w:p>
        </w:tc>
        <w:tc>
          <w:tcPr>
            <w:tcW w:w="2111" w:type="dxa"/>
            <w:vAlign w:val="top"/>
          </w:tcPr>
          <w:p>
            <w:pPr>
              <w:pStyle w:val="TableText"/>
              <w:ind w:left="728"/>
              <w:spacing w:before="95" w:line="195" w:lineRule="auto"/>
              <w:rPr/>
            </w:pPr>
            <w:r>
              <w:rPr>
                <w:spacing w:val="3"/>
              </w:rPr>
              <w:t>95-50-1</w:t>
            </w:r>
          </w:p>
        </w:tc>
        <w:tc>
          <w:tcPr>
            <w:tcW w:w="2746" w:type="dxa"/>
            <w:vAlign w:val="top"/>
          </w:tcPr>
          <w:p>
            <w:pPr>
              <w:pStyle w:val="TableText"/>
              <w:ind w:left="1223"/>
              <w:spacing w:before="95" w:line="195" w:lineRule="auto"/>
              <w:rPr/>
            </w:pPr>
            <w:r>
              <w:rPr>
                <w:spacing w:val="1"/>
              </w:rPr>
              <w:t>560</w:t>
            </w:r>
          </w:p>
        </w:tc>
      </w:tr>
      <w:tr>
        <w:trPr>
          <w:trHeight w:val="333" w:hRule="atLeast"/>
        </w:trPr>
        <w:tc>
          <w:tcPr>
            <w:tcW w:w="1765" w:type="dxa"/>
            <w:vAlign w:val="top"/>
          </w:tcPr>
          <w:p>
            <w:pPr>
              <w:pStyle w:val="TableText"/>
              <w:ind w:left="779"/>
              <w:spacing w:before="95" w:line="195" w:lineRule="auto"/>
              <w:rPr/>
            </w:pPr>
            <w:r>
              <w:rPr>
                <w:spacing w:val="2"/>
              </w:rPr>
              <w:t>29</w:t>
            </w:r>
          </w:p>
        </w:tc>
        <w:tc>
          <w:tcPr>
            <w:tcW w:w="2461" w:type="dxa"/>
            <w:vAlign w:val="top"/>
          </w:tcPr>
          <w:p>
            <w:pPr>
              <w:pStyle w:val="TableText"/>
              <w:ind w:left="769"/>
              <w:spacing w:before="59" w:line="227" w:lineRule="auto"/>
              <w:rPr>
                <w:rFonts w:ascii="SimSun" w:hAnsi="SimSun" w:eastAsia="SimSun" w:cs="SimSun"/>
              </w:rPr>
            </w:pPr>
            <w:r>
              <w:rPr>
                <w:spacing w:val="2"/>
              </w:rPr>
              <w:t>1.4-</w:t>
            </w:r>
            <w:r>
              <w:rPr>
                <w:rFonts w:ascii="SimSun" w:hAnsi="SimSun" w:eastAsia="SimSun" w:cs="SimSun"/>
                <w:spacing w:val="2"/>
              </w:rPr>
              <w:t>二氯苯</w:t>
            </w:r>
          </w:p>
        </w:tc>
        <w:tc>
          <w:tcPr>
            <w:tcW w:w="2111" w:type="dxa"/>
            <w:vAlign w:val="top"/>
          </w:tcPr>
          <w:p>
            <w:pPr>
              <w:pStyle w:val="TableText"/>
              <w:ind w:left="691"/>
              <w:spacing w:before="95" w:line="195" w:lineRule="auto"/>
              <w:rPr/>
            </w:pPr>
            <w:r>
              <w:rPr>
                <w:spacing w:val="1"/>
              </w:rPr>
              <w:t>106-46-7</w:t>
            </w:r>
          </w:p>
        </w:tc>
        <w:tc>
          <w:tcPr>
            <w:tcW w:w="2746" w:type="dxa"/>
            <w:vAlign w:val="top"/>
          </w:tcPr>
          <w:p>
            <w:pPr>
              <w:pStyle w:val="TableText"/>
              <w:ind w:left="1270"/>
              <w:spacing w:before="95" w:line="195" w:lineRule="auto"/>
              <w:rPr/>
            </w:pPr>
            <w:r>
              <w:rPr>
                <w:spacing w:val="2"/>
              </w:rPr>
              <w:t>20</w:t>
            </w:r>
          </w:p>
        </w:tc>
      </w:tr>
      <w:tr>
        <w:trPr>
          <w:trHeight w:val="331" w:hRule="atLeast"/>
        </w:trPr>
        <w:tc>
          <w:tcPr>
            <w:tcW w:w="1765" w:type="dxa"/>
            <w:vAlign w:val="top"/>
          </w:tcPr>
          <w:p>
            <w:pPr>
              <w:pStyle w:val="TableText"/>
              <w:ind w:left="783"/>
              <w:spacing w:before="95" w:line="195" w:lineRule="auto"/>
              <w:rPr/>
            </w:pPr>
            <w:r>
              <w:rPr/>
              <w:t>30</w:t>
            </w:r>
          </w:p>
        </w:tc>
        <w:tc>
          <w:tcPr>
            <w:tcW w:w="2461" w:type="dxa"/>
            <w:vAlign w:val="top"/>
          </w:tcPr>
          <w:p>
            <w:pPr>
              <w:ind w:left="1045"/>
              <w:spacing w:before="57" w:line="227" w:lineRule="auto"/>
              <w:rPr>
                <w:rFonts w:ascii="SimSun" w:hAnsi="SimSun" w:eastAsia="SimSun" w:cs="SimSun"/>
                <w:sz w:val="20"/>
                <w:szCs w:val="20"/>
              </w:rPr>
            </w:pPr>
            <w:r>
              <w:rPr>
                <w:rFonts w:ascii="SimSun" w:hAnsi="SimSun" w:eastAsia="SimSun" w:cs="SimSun"/>
                <w:sz w:val="20"/>
                <w:szCs w:val="20"/>
                <w:spacing w:val="-6"/>
              </w:rPr>
              <w:t>乙苯</w:t>
            </w:r>
          </w:p>
        </w:tc>
        <w:tc>
          <w:tcPr>
            <w:tcW w:w="2111" w:type="dxa"/>
            <w:vAlign w:val="top"/>
          </w:tcPr>
          <w:p>
            <w:pPr>
              <w:pStyle w:val="TableText"/>
              <w:ind w:left="691"/>
              <w:spacing w:before="95" w:line="195" w:lineRule="auto"/>
              <w:rPr/>
            </w:pPr>
            <w:r>
              <w:rPr>
                <w:spacing w:val="1"/>
              </w:rPr>
              <w:t>100-41-4</w:t>
            </w:r>
          </w:p>
        </w:tc>
        <w:tc>
          <w:tcPr>
            <w:tcW w:w="2746" w:type="dxa"/>
            <w:vAlign w:val="top"/>
          </w:tcPr>
          <w:p>
            <w:pPr>
              <w:pStyle w:val="TableText"/>
              <w:ind w:left="1270"/>
              <w:spacing w:before="95" w:line="195" w:lineRule="auto"/>
              <w:rPr/>
            </w:pPr>
            <w:r>
              <w:rPr>
                <w:spacing w:val="2"/>
              </w:rPr>
              <w:t>28</w:t>
            </w:r>
          </w:p>
        </w:tc>
      </w:tr>
      <w:tr>
        <w:trPr>
          <w:trHeight w:val="331" w:hRule="atLeast"/>
        </w:trPr>
        <w:tc>
          <w:tcPr>
            <w:tcW w:w="1765" w:type="dxa"/>
            <w:vAlign w:val="top"/>
          </w:tcPr>
          <w:p>
            <w:pPr>
              <w:pStyle w:val="TableText"/>
              <w:ind w:left="783"/>
              <w:spacing w:before="95" w:line="195" w:lineRule="auto"/>
              <w:rPr/>
            </w:pPr>
            <w:r>
              <w:rPr/>
              <w:t>31</w:t>
            </w:r>
          </w:p>
        </w:tc>
        <w:tc>
          <w:tcPr>
            <w:tcW w:w="2461" w:type="dxa"/>
            <w:vAlign w:val="top"/>
          </w:tcPr>
          <w:p>
            <w:pPr>
              <w:ind w:left="923"/>
              <w:spacing w:before="57" w:line="227" w:lineRule="auto"/>
              <w:rPr>
                <w:rFonts w:ascii="SimSun" w:hAnsi="SimSun" w:eastAsia="SimSun" w:cs="SimSun"/>
                <w:sz w:val="20"/>
                <w:szCs w:val="20"/>
              </w:rPr>
            </w:pPr>
            <w:r>
              <w:rPr>
                <w:rFonts w:ascii="SimSun" w:hAnsi="SimSun" w:eastAsia="SimSun" w:cs="SimSun"/>
                <w:sz w:val="20"/>
                <w:szCs w:val="20"/>
                <w:spacing w:val="6"/>
              </w:rPr>
              <w:t>苯乙烯</w:t>
            </w:r>
          </w:p>
        </w:tc>
        <w:tc>
          <w:tcPr>
            <w:tcW w:w="2111" w:type="dxa"/>
            <w:vAlign w:val="top"/>
          </w:tcPr>
          <w:p>
            <w:pPr>
              <w:pStyle w:val="TableText"/>
              <w:ind w:left="691"/>
              <w:spacing w:before="95" w:line="195" w:lineRule="auto"/>
              <w:rPr/>
            </w:pPr>
            <w:r>
              <w:rPr>
                <w:spacing w:val="1"/>
              </w:rPr>
              <w:t>100-42-5</w:t>
            </w:r>
          </w:p>
        </w:tc>
        <w:tc>
          <w:tcPr>
            <w:tcW w:w="2746" w:type="dxa"/>
            <w:vAlign w:val="top"/>
          </w:tcPr>
          <w:p>
            <w:pPr>
              <w:pStyle w:val="TableText"/>
              <w:ind w:left="1184"/>
              <w:spacing w:before="95" w:line="195" w:lineRule="auto"/>
              <w:rPr/>
            </w:pPr>
            <w:r>
              <w:rPr>
                <w:spacing w:val="-1"/>
              </w:rPr>
              <w:t>1290</w:t>
            </w:r>
          </w:p>
        </w:tc>
      </w:tr>
      <w:tr>
        <w:trPr>
          <w:trHeight w:val="331" w:hRule="atLeast"/>
        </w:trPr>
        <w:tc>
          <w:tcPr>
            <w:tcW w:w="1765" w:type="dxa"/>
            <w:vAlign w:val="top"/>
          </w:tcPr>
          <w:p>
            <w:pPr>
              <w:pStyle w:val="TableText"/>
              <w:ind w:left="783"/>
              <w:spacing w:before="95" w:line="195" w:lineRule="auto"/>
              <w:rPr/>
            </w:pPr>
            <w:r>
              <w:rPr/>
              <w:t>32</w:t>
            </w:r>
          </w:p>
        </w:tc>
        <w:tc>
          <w:tcPr>
            <w:tcW w:w="2461" w:type="dxa"/>
            <w:vAlign w:val="top"/>
          </w:tcPr>
          <w:p>
            <w:pPr>
              <w:ind w:left="1051"/>
              <w:spacing w:before="57" w:line="227" w:lineRule="auto"/>
              <w:rPr>
                <w:rFonts w:ascii="SimSun" w:hAnsi="SimSun" w:eastAsia="SimSun" w:cs="SimSun"/>
                <w:sz w:val="20"/>
                <w:szCs w:val="20"/>
              </w:rPr>
            </w:pPr>
            <w:r>
              <w:rPr>
                <w:rFonts w:ascii="SimSun" w:hAnsi="SimSun" w:eastAsia="SimSun" w:cs="SimSun"/>
                <w:sz w:val="20"/>
                <w:szCs w:val="20"/>
                <w:spacing w:val="-9"/>
              </w:rPr>
              <w:t>甲苯</w:t>
            </w:r>
          </w:p>
        </w:tc>
        <w:tc>
          <w:tcPr>
            <w:tcW w:w="2111" w:type="dxa"/>
            <w:vAlign w:val="top"/>
          </w:tcPr>
          <w:p>
            <w:pPr>
              <w:pStyle w:val="TableText"/>
              <w:ind w:left="691"/>
              <w:spacing w:before="95" w:line="195" w:lineRule="auto"/>
              <w:rPr/>
            </w:pPr>
            <w:r>
              <w:rPr>
                <w:spacing w:val="1"/>
              </w:rPr>
              <w:t>108-88-3</w:t>
            </w:r>
          </w:p>
        </w:tc>
        <w:tc>
          <w:tcPr>
            <w:tcW w:w="2746" w:type="dxa"/>
            <w:vAlign w:val="top"/>
          </w:tcPr>
          <w:p>
            <w:pPr>
              <w:pStyle w:val="TableText"/>
              <w:ind w:left="1184"/>
              <w:spacing w:before="95" w:line="195" w:lineRule="auto"/>
              <w:rPr/>
            </w:pPr>
            <w:r>
              <w:rPr>
                <w:spacing w:val="-1"/>
              </w:rPr>
              <w:t>1200</w:t>
            </w:r>
          </w:p>
        </w:tc>
      </w:tr>
      <w:tr>
        <w:trPr>
          <w:trHeight w:val="331" w:hRule="atLeast"/>
        </w:trPr>
        <w:tc>
          <w:tcPr>
            <w:tcW w:w="1765" w:type="dxa"/>
            <w:vAlign w:val="top"/>
          </w:tcPr>
          <w:p>
            <w:pPr>
              <w:pStyle w:val="TableText"/>
              <w:ind w:left="783"/>
              <w:spacing w:before="95" w:line="195" w:lineRule="auto"/>
              <w:rPr/>
            </w:pPr>
            <w:r>
              <w:rPr/>
              <w:t>33</w:t>
            </w:r>
          </w:p>
        </w:tc>
        <w:tc>
          <w:tcPr>
            <w:tcW w:w="2461" w:type="dxa"/>
            <w:vAlign w:val="top"/>
          </w:tcPr>
          <w:p>
            <w:pPr>
              <w:pStyle w:val="TableText"/>
              <w:ind w:left="352"/>
              <w:spacing w:before="57" w:line="227" w:lineRule="auto"/>
              <w:rPr>
                <w:rFonts w:ascii="SimSun" w:hAnsi="SimSun" w:eastAsia="SimSun" w:cs="SimSun"/>
              </w:rPr>
            </w:pPr>
            <w:r>
              <w:rPr>
                <w:rFonts w:ascii="SimSun" w:hAnsi="SimSun" w:eastAsia="SimSun" w:cs="SimSun"/>
                <w:spacing w:val="6"/>
              </w:rPr>
              <w:t>间二甲苯</w:t>
            </w:r>
            <w:r>
              <w:rPr>
                <w:spacing w:val="6"/>
              </w:rPr>
              <w:t>+</w:t>
            </w:r>
            <w:r>
              <w:rPr>
                <w:rFonts w:ascii="SimSun" w:hAnsi="SimSun" w:eastAsia="SimSun" w:cs="SimSun"/>
                <w:spacing w:val="6"/>
              </w:rPr>
              <w:t>对二甲苯</w:t>
            </w:r>
          </w:p>
        </w:tc>
        <w:tc>
          <w:tcPr>
            <w:tcW w:w="2111" w:type="dxa"/>
            <w:vAlign w:val="top"/>
          </w:tcPr>
          <w:p>
            <w:pPr>
              <w:pStyle w:val="TableText"/>
              <w:ind w:left="281"/>
              <w:spacing w:before="96" w:line="196" w:lineRule="auto"/>
              <w:rPr/>
            </w:pPr>
            <w:r>
              <w:rPr>
                <w:spacing w:val="1"/>
              </w:rPr>
              <w:t>108-38-3,</w:t>
            </w:r>
            <w:r>
              <w:rPr>
                <w:spacing w:val="-14"/>
              </w:rPr>
              <w:t xml:space="preserve"> </w:t>
            </w:r>
            <w:r>
              <w:rPr>
                <w:spacing w:val="1"/>
              </w:rPr>
              <w:t>106-42-3</w:t>
            </w:r>
          </w:p>
        </w:tc>
        <w:tc>
          <w:tcPr>
            <w:tcW w:w="2746" w:type="dxa"/>
            <w:vAlign w:val="top"/>
          </w:tcPr>
          <w:p>
            <w:pPr>
              <w:pStyle w:val="TableText"/>
              <w:ind w:left="1223"/>
              <w:spacing w:before="95" w:line="195" w:lineRule="auto"/>
              <w:rPr/>
            </w:pPr>
            <w:r>
              <w:rPr>
                <w:spacing w:val="1"/>
              </w:rPr>
              <w:t>570</w:t>
            </w:r>
          </w:p>
        </w:tc>
      </w:tr>
      <w:tr>
        <w:trPr>
          <w:trHeight w:val="338" w:hRule="atLeast"/>
        </w:trPr>
        <w:tc>
          <w:tcPr>
            <w:tcW w:w="1765" w:type="dxa"/>
            <w:vAlign w:val="top"/>
          </w:tcPr>
          <w:p>
            <w:pPr>
              <w:pStyle w:val="TableText"/>
              <w:ind w:left="783"/>
              <w:spacing w:before="97" w:line="195" w:lineRule="auto"/>
              <w:rPr/>
            </w:pPr>
            <w:r>
              <w:rPr/>
              <w:t>34</w:t>
            </w:r>
          </w:p>
        </w:tc>
        <w:tc>
          <w:tcPr>
            <w:tcW w:w="2461" w:type="dxa"/>
            <w:vAlign w:val="top"/>
          </w:tcPr>
          <w:p>
            <w:pPr>
              <w:ind w:left="814"/>
              <w:spacing w:before="61" w:line="227" w:lineRule="auto"/>
              <w:rPr>
                <w:rFonts w:ascii="SimSun" w:hAnsi="SimSun" w:eastAsia="SimSun" w:cs="SimSun"/>
                <w:sz w:val="20"/>
                <w:szCs w:val="20"/>
              </w:rPr>
            </w:pPr>
            <w:r>
              <w:rPr>
                <w:rFonts w:ascii="SimSun" w:hAnsi="SimSun" w:eastAsia="SimSun" w:cs="SimSun"/>
                <w:sz w:val="20"/>
                <w:szCs w:val="20"/>
                <w:spacing w:val="7"/>
              </w:rPr>
              <w:t>邻二甲苯</w:t>
            </w:r>
          </w:p>
        </w:tc>
        <w:tc>
          <w:tcPr>
            <w:tcW w:w="2111" w:type="dxa"/>
            <w:vAlign w:val="top"/>
          </w:tcPr>
          <w:p>
            <w:pPr>
              <w:pStyle w:val="TableText"/>
              <w:ind w:left="728"/>
              <w:spacing w:before="97" w:line="195" w:lineRule="auto"/>
              <w:rPr/>
            </w:pPr>
            <w:r>
              <w:rPr>
                <w:spacing w:val="3"/>
              </w:rPr>
              <w:t>95-47-6</w:t>
            </w:r>
          </w:p>
        </w:tc>
        <w:tc>
          <w:tcPr>
            <w:tcW w:w="2746" w:type="dxa"/>
            <w:vAlign w:val="top"/>
          </w:tcPr>
          <w:p>
            <w:pPr>
              <w:pStyle w:val="TableText"/>
              <w:ind w:left="1222"/>
              <w:spacing w:before="97" w:line="195" w:lineRule="auto"/>
              <w:rPr/>
            </w:pPr>
            <w:r>
              <w:rPr>
                <w:spacing w:val="2"/>
              </w:rPr>
              <w:t>640</w:t>
            </w:r>
          </w:p>
        </w:tc>
      </w:tr>
      <w:tr>
        <w:trPr>
          <w:trHeight w:val="335" w:hRule="atLeast"/>
        </w:trPr>
        <w:tc>
          <w:tcPr>
            <w:tcW w:w="9083" w:type="dxa"/>
            <w:vAlign w:val="top"/>
            <w:gridSpan w:val="4"/>
          </w:tcPr>
          <w:p>
            <w:pPr>
              <w:ind w:left="3812"/>
              <w:spacing w:before="59" w:line="227" w:lineRule="auto"/>
              <w:rPr>
                <w:rFonts w:ascii="SimSun" w:hAnsi="SimSun" w:eastAsia="SimSun" w:cs="SimSun"/>
                <w:sz w:val="20"/>
                <w:szCs w:val="20"/>
              </w:rPr>
            </w:pPr>
            <w:r>
              <w:rPr>
                <w:rFonts w:ascii="SimSun" w:hAnsi="SimSun" w:eastAsia="SimSun" w:cs="SimSun"/>
                <w:sz w:val="20"/>
                <w:szCs w:val="20"/>
                <w:spacing w:val="8"/>
              </w:rPr>
              <w:t>半挥发性有机物</w:t>
            </w:r>
          </w:p>
        </w:tc>
      </w:tr>
      <w:tr>
        <w:trPr>
          <w:trHeight w:val="335" w:hRule="atLeast"/>
        </w:trPr>
        <w:tc>
          <w:tcPr>
            <w:tcW w:w="1765" w:type="dxa"/>
            <w:vAlign w:val="top"/>
          </w:tcPr>
          <w:p>
            <w:pPr>
              <w:pStyle w:val="TableText"/>
              <w:ind w:left="783"/>
              <w:spacing w:before="98" w:line="195" w:lineRule="auto"/>
              <w:rPr/>
            </w:pPr>
            <w:r>
              <w:rPr/>
              <w:t>35</w:t>
            </w:r>
          </w:p>
        </w:tc>
        <w:tc>
          <w:tcPr>
            <w:tcW w:w="2461" w:type="dxa"/>
            <w:vAlign w:val="top"/>
          </w:tcPr>
          <w:p>
            <w:pPr>
              <w:ind w:left="923"/>
              <w:spacing w:before="60" w:line="227" w:lineRule="auto"/>
              <w:rPr>
                <w:rFonts w:ascii="SimSun" w:hAnsi="SimSun" w:eastAsia="SimSun" w:cs="SimSun"/>
                <w:sz w:val="20"/>
                <w:szCs w:val="20"/>
              </w:rPr>
            </w:pPr>
            <w:r>
              <w:rPr>
                <w:rFonts w:ascii="SimSun" w:hAnsi="SimSun" w:eastAsia="SimSun" w:cs="SimSun"/>
                <w:sz w:val="20"/>
                <w:szCs w:val="20"/>
                <w:spacing w:val="6"/>
              </w:rPr>
              <w:t>硝基苯</w:t>
            </w:r>
          </w:p>
        </w:tc>
        <w:tc>
          <w:tcPr>
            <w:tcW w:w="2111" w:type="dxa"/>
            <w:vAlign w:val="top"/>
          </w:tcPr>
          <w:p>
            <w:pPr>
              <w:pStyle w:val="TableText"/>
              <w:ind w:left="728"/>
              <w:spacing w:before="98" w:line="195" w:lineRule="auto"/>
              <w:rPr/>
            </w:pPr>
            <w:r>
              <w:rPr>
                <w:spacing w:val="3"/>
              </w:rPr>
              <w:t>98-95-3</w:t>
            </w:r>
          </w:p>
        </w:tc>
        <w:tc>
          <w:tcPr>
            <w:tcW w:w="2746" w:type="dxa"/>
            <w:vAlign w:val="top"/>
          </w:tcPr>
          <w:p>
            <w:pPr>
              <w:pStyle w:val="TableText"/>
              <w:ind w:left="1273"/>
              <w:spacing w:before="98" w:line="195" w:lineRule="auto"/>
              <w:rPr/>
            </w:pPr>
            <w:r>
              <w:rPr>
                <w:spacing w:val="1"/>
              </w:rPr>
              <w:t>76</w:t>
            </w:r>
          </w:p>
        </w:tc>
      </w:tr>
      <w:tr>
        <w:trPr>
          <w:trHeight w:val="331" w:hRule="atLeast"/>
        </w:trPr>
        <w:tc>
          <w:tcPr>
            <w:tcW w:w="1765" w:type="dxa"/>
            <w:vAlign w:val="top"/>
          </w:tcPr>
          <w:p>
            <w:pPr>
              <w:pStyle w:val="TableText"/>
              <w:ind w:left="783"/>
              <w:spacing w:before="94" w:line="195" w:lineRule="auto"/>
              <w:rPr/>
            </w:pPr>
            <w:r>
              <w:rPr/>
              <w:t>36</w:t>
            </w:r>
          </w:p>
        </w:tc>
        <w:tc>
          <w:tcPr>
            <w:tcW w:w="2461" w:type="dxa"/>
            <w:vAlign w:val="top"/>
          </w:tcPr>
          <w:p>
            <w:pPr>
              <w:ind w:left="1027"/>
              <w:spacing w:before="58" w:line="227" w:lineRule="auto"/>
              <w:rPr>
                <w:rFonts w:ascii="SimSun" w:hAnsi="SimSun" w:eastAsia="SimSun" w:cs="SimSun"/>
                <w:sz w:val="20"/>
                <w:szCs w:val="20"/>
              </w:rPr>
            </w:pPr>
            <w:r>
              <w:rPr>
                <w:rFonts w:ascii="SimSun" w:hAnsi="SimSun" w:eastAsia="SimSun" w:cs="SimSun"/>
                <w:sz w:val="20"/>
                <w:szCs w:val="20"/>
                <w:spacing w:val="3"/>
              </w:rPr>
              <w:t>苯胺</w:t>
            </w:r>
          </w:p>
        </w:tc>
        <w:tc>
          <w:tcPr>
            <w:tcW w:w="2111" w:type="dxa"/>
            <w:vAlign w:val="top"/>
          </w:tcPr>
          <w:p>
            <w:pPr>
              <w:pStyle w:val="TableText"/>
              <w:ind w:left="729"/>
              <w:spacing w:before="94" w:line="195" w:lineRule="auto"/>
              <w:rPr/>
            </w:pPr>
            <w:r>
              <w:rPr>
                <w:spacing w:val="3"/>
              </w:rPr>
              <w:t>62-53-3</w:t>
            </w:r>
          </w:p>
        </w:tc>
        <w:tc>
          <w:tcPr>
            <w:tcW w:w="2746" w:type="dxa"/>
            <w:vAlign w:val="top"/>
          </w:tcPr>
          <w:p>
            <w:pPr>
              <w:pStyle w:val="TableText"/>
              <w:ind w:left="1217"/>
              <w:spacing w:before="94" w:line="195" w:lineRule="auto"/>
              <w:rPr/>
            </w:pPr>
            <w:r>
              <w:rPr>
                <w:spacing w:val="3"/>
              </w:rPr>
              <w:t>260</w:t>
            </w:r>
          </w:p>
        </w:tc>
      </w:tr>
      <w:tr>
        <w:trPr>
          <w:trHeight w:val="331" w:hRule="atLeast"/>
        </w:trPr>
        <w:tc>
          <w:tcPr>
            <w:tcW w:w="1765" w:type="dxa"/>
            <w:vAlign w:val="top"/>
          </w:tcPr>
          <w:p>
            <w:pPr>
              <w:pStyle w:val="TableText"/>
              <w:ind w:left="783"/>
              <w:spacing w:before="94" w:line="195" w:lineRule="auto"/>
              <w:rPr/>
            </w:pPr>
            <w:r>
              <w:rPr/>
              <w:t>37</w:t>
            </w:r>
          </w:p>
        </w:tc>
        <w:tc>
          <w:tcPr>
            <w:tcW w:w="2461" w:type="dxa"/>
            <w:vAlign w:val="top"/>
          </w:tcPr>
          <w:p>
            <w:pPr>
              <w:pStyle w:val="TableText"/>
              <w:ind w:left="934"/>
              <w:spacing w:before="59" w:line="229" w:lineRule="auto"/>
              <w:rPr>
                <w:rFonts w:ascii="SimSun" w:hAnsi="SimSun" w:eastAsia="SimSun" w:cs="SimSun"/>
              </w:rPr>
            </w:pPr>
            <w:r>
              <w:rPr>
                <w:spacing w:val="5"/>
              </w:rPr>
              <w:t>2-</w:t>
            </w:r>
            <w:r>
              <w:rPr>
                <w:rFonts w:ascii="SimSun" w:hAnsi="SimSun" w:eastAsia="SimSun" w:cs="SimSun"/>
                <w:spacing w:val="5"/>
              </w:rPr>
              <w:t>氯酚</w:t>
            </w:r>
          </w:p>
        </w:tc>
        <w:tc>
          <w:tcPr>
            <w:tcW w:w="2111" w:type="dxa"/>
            <w:vAlign w:val="top"/>
          </w:tcPr>
          <w:p>
            <w:pPr>
              <w:pStyle w:val="TableText"/>
              <w:ind w:left="728"/>
              <w:spacing w:before="94" w:line="195" w:lineRule="auto"/>
              <w:rPr/>
            </w:pPr>
            <w:r>
              <w:rPr>
                <w:spacing w:val="3"/>
              </w:rPr>
              <w:t>95-57-8</w:t>
            </w:r>
          </w:p>
        </w:tc>
        <w:tc>
          <w:tcPr>
            <w:tcW w:w="2746" w:type="dxa"/>
            <w:vAlign w:val="top"/>
          </w:tcPr>
          <w:p>
            <w:pPr>
              <w:pStyle w:val="TableText"/>
              <w:ind w:left="1164"/>
              <w:spacing w:before="94" w:line="195" w:lineRule="auto"/>
              <w:rPr/>
            </w:pPr>
            <w:r>
              <w:rPr>
                <w:spacing w:val="4"/>
              </w:rPr>
              <w:t>2256</w:t>
            </w:r>
          </w:p>
        </w:tc>
      </w:tr>
      <w:tr>
        <w:trPr>
          <w:trHeight w:val="352" w:hRule="atLeast"/>
        </w:trPr>
        <w:tc>
          <w:tcPr>
            <w:tcW w:w="1765" w:type="dxa"/>
            <w:vAlign w:val="top"/>
          </w:tcPr>
          <w:p>
            <w:pPr>
              <w:pStyle w:val="TableText"/>
              <w:ind w:left="783"/>
              <w:spacing w:before="106" w:line="195" w:lineRule="auto"/>
              <w:rPr/>
            </w:pPr>
            <w:r>
              <w:rPr/>
              <w:t>38</w:t>
            </w:r>
          </w:p>
        </w:tc>
        <w:tc>
          <w:tcPr>
            <w:tcW w:w="2461" w:type="dxa"/>
            <w:vAlign w:val="top"/>
          </w:tcPr>
          <w:p>
            <w:pPr>
              <w:pStyle w:val="TableText"/>
              <w:ind w:left="806"/>
              <w:spacing w:before="70" w:line="221" w:lineRule="auto"/>
              <w:rPr>
                <w:rFonts w:ascii="SimSun" w:hAnsi="SimSun" w:eastAsia="SimSun" w:cs="SimSun"/>
              </w:rPr>
            </w:pPr>
            <w:r>
              <w:rPr>
                <w:rFonts w:ascii="SimSun" w:hAnsi="SimSun" w:eastAsia="SimSun" w:cs="SimSun"/>
                <w:spacing w:val="4"/>
              </w:rPr>
              <w:t>苯并</w:t>
            </w:r>
            <w:r>
              <w:rPr>
                <w:spacing w:val="4"/>
              </w:rPr>
              <w:t>[a]</w:t>
            </w:r>
            <w:r>
              <w:rPr>
                <w:rFonts w:ascii="SimSun" w:hAnsi="SimSun" w:eastAsia="SimSun" w:cs="SimSun"/>
                <w:spacing w:val="4"/>
              </w:rPr>
              <w:t>蒽</w:t>
            </w:r>
          </w:p>
        </w:tc>
        <w:tc>
          <w:tcPr>
            <w:tcW w:w="2111" w:type="dxa"/>
            <w:vAlign w:val="top"/>
          </w:tcPr>
          <w:p>
            <w:pPr>
              <w:pStyle w:val="TableText"/>
              <w:ind w:left="730"/>
              <w:spacing w:before="106" w:line="195" w:lineRule="auto"/>
              <w:rPr/>
            </w:pPr>
            <w:r>
              <w:rPr>
                <w:spacing w:val="2"/>
              </w:rPr>
              <w:t>56-55-3</w:t>
            </w:r>
          </w:p>
        </w:tc>
        <w:tc>
          <w:tcPr>
            <w:tcW w:w="2746" w:type="dxa"/>
            <w:vAlign w:val="top"/>
          </w:tcPr>
          <w:p>
            <w:pPr>
              <w:pStyle w:val="TableText"/>
              <w:ind w:left="1290"/>
              <w:spacing w:before="106" w:line="195" w:lineRule="auto"/>
              <w:rPr/>
            </w:pPr>
            <w:r>
              <w:rPr>
                <w:spacing w:val="-8"/>
              </w:rPr>
              <w:t>15</w:t>
            </w:r>
          </w:p>
        </w:tc>
      </w:tr>
      <w:tr>
        <w:trPr>
          <w:trHeight w:val="355" w:hRule="atLeast"/>
        </w:trPr>
        <w:tc>
          <w:tcPr>
            <w:tcW w:w="1765" w:type="dxa"/>
            <w:vAlign w:val="top"/>
          </w:tcPr>
          <w:p>
            <w:pPr>
              <w:pStyle w:val="TableText"/>
              <w:ind w:left="783"/>
              <w:spacing w:before="109" w:line="195" w:lineRule="auto"/>
              <w:rPr/>
            </w:pPr>
            <w:r>
              <w:rPr/>
              <w:t>39</w:t>
            </w:r>
          </w:p>
        </w:tc>
        <w:tc>
          <w:tcPr>
            <w:tcW w:w="2461" w:type="dxa"/>
            <w:vAlign w:val="top"/>
          </w:tcPr>
          <w:p>
            <w:pPr>
              <w:pStyle w:val="TableText"/>
              <w:ind w:left="806"/>
              <w:spacing w:before="71" w:line="221" w:lineRule="auto"/>
              <w:rPr>
                <w:rFonts w:ascii="SimSun" w:hAnsi="SimSun" w:eastAsia="SimSun" w:cs="SimSun"/>
              </w:rPr>
            </w:pPr>
            <w:r>
              <w:rPr>
                <w:rFonts w:ascii="SimSun" w:hAnsi="SimSun" w:eastAsia="SimSun" w:cs="SimSun"/>
                <w:spacing w:val="4"/>
              </w:rPr>
              <w:t>苯并</w:t>
            </w:r>
            <w:r>
              <w:rPr>
                <w:spacing w:val="4"/>
              </w:rPr>
              <w:t>[a]</w:t>
            </w:r>
            <w:r>
              <w:rPr>
                <w:rFonts w:ascii="SimSun" w:hAnsi="SimSun" w:eastAsia="SimSun" w:cs="SimSun"/>
                <w:spacing w:val="4"/>
              </w:rPr>
              <w:t>芘</w:t>
            </w:r>
          </w:p>
        </w:tc>
        <w:tc>
          <w:tcPr>
            <w:tcW w:w="2111" w:type="dxa"/>
            <w:vAlign w:val="top"/>
          </w:tcPr>
          <w:p>
            <w:pPr>
              <w:pStyle w:val="TableText"/>
              <w:ind w:left="730"/>
              <w:spacing w:before="109" w:line="195" w:lineRule="auto"/>
              <w:rPr/>
            </w:pPr>
            <w:r>
              <w:rPr>
                <w:spacing w:val="2"/>
              </w:rPr>
              <w:t>50-32-8</w:t>
            </w:r>
          </w:p>
        </w:tc>
        <w:tc>
          <w:tcPr>
            <w:tcW w:w="2746" w:type="dxa"/>
            <w:vAlign w:val="top"/>
          </w:tcPr>
          <w:p>
            <w:pPr>
              <w:pStyle w:val="TableText"/>
              <w:ind w:left="1261"/>
              <w:spacing w:before="109" w:line="195" w:lineRule="auto"/>
              <w:rPr/>
            </w:pPr>
            <w:r>
              <w:rPr>
                <w:spacing w:val="-4"/>
              </w:rPr>
              <w:t>1.5</w:t>
            </w:r>
          </w:p>
        </w:tc>
      </w:tr>
      <w:tr>
        <w:trPr>
          <w:trHeight w:val="331" w:hRule="atLeast"/>
        </w:trPr>
        <w:tc>
          <w:tcPr>
            <w:tcW w:w="1765" w:type="dxa"/>
            <w:vAlign w:val="top"/>
          </w:tcPr>
          <w:p>
            <w:pPr>
              <w:pStyle w:val="TableText"/>
              <w:ind w:left="778"/>
              <w:spacing w:before="95" w:line="195" w:lineRule="auto"/>
              <w:rPr/>
            </w:pPr>
            <w:r>
              <w:rPr>
                <w:spacing w:val="3"/>
              </w:rPr>
              <w:t>40</w:t>
            </w:r>
          </w:p>
        </w:tc>
        <w:tc>
          <w:tcPr>
            <w:tcW w:w="2461" w:type="dxa"/>
            <w:vAlign w:val="top"/>
          </w:tcPr>
          <w:p>
            <w:pPr>
              <w:pStyle w:val="TableText"/>
              <w:ind w:left="695"/>
              <w:spacing w:before="59" w:line="221" w:lineRule="auto"/>
              <w:rPr>
                <w:rFonts w:ascii="SimSun" w:hAnsi="SimSun" w:eastAsia="SimSun" w:cs="SimSun"/>
              </w:rPr>
            </w:pPr>
            <w:r>
              <w:rPr>
                <w:rFonts w:ascii="SimSun" w:hAnsi="SimSun" w:eastAsia="SimSun" w:cs="SimSun"/>
                <w:spacing w:val="5"/>
              </w:rPr>
              <w:t>苯并</w:t>
            </w:r>
            <w:r>
              <w:rPr>
                <w:spacing w:val="5"/>
              </w:rPr>
              <w:t>[b]</w:t>
            </w:r>
            <w:r>
              <w:rPr>
                <w:rFonts w:ascii="SimSun" w:hAnsi="SimSun" w:eastAsia="SimSun" w:cs="SimSun"/>
                <w:spacing w:val="5"/>
              </w:rPr>
              <w:t>荧蒽</w:t>
            </w:r>
          </w:p>
        </w:tc>
        <w:tc>
          <w:tcPr>
            <w:tcW w:w="2111" w:type="dxa"/>
            <w:vAlign w:val="top"/>
          </w:tcPr>
          <w:p>
            <w:pPr>
              <w:pStyle w:val="TableText"/>
              <w:ind w:left="671"/>
              <w:spacing w:before="95" w:line="195" w:lineRule="auto"/>
              <w:rPr/>
            </w:pPr>
            <w:r>
              <w:rPr>
                <w:spacing w:val="4"/>
              </w:rPr>
              <w:t>205-99-2</w:t>
            </w:r>
          </w:p>
        </w:tc>
        <w:tc>
          <w:tcPr>
            <w:tcW w:w="2746" w:type="dxa"/>
            <w:vAlign w:val="top"/>
          </w:tcPr>
          <w:p>
            <w:pPr>
              <w:pStyle w:val="TableText"/>
              <w:ind w:left="1290"/>
              <w:spacing w:before="95" w:line="195" w:lineRule="auto"/>
              <w:rPr/>
            </w:pPr>
            <w:r>
              <w:rPr>
                <w:spacing w:val="-8"/>
              </w:rPr>
              <w:t>15</w:t>
            </w:r>
          </w:p>
        </w:tc>
      </w:tr>
      <w:tr>
        <w:trPr>
          <w:trHeight w:val="328" w:hRule="atLeast"/>
        </w:trPr>
        <w:tc>
          <w:tcPr>
            <w:tcW w:w="1765" w:type="dxa"/>
            <w:vAlign w:val="top"/>
          </w:tcPr>
          <w:p>
            <w:pPr>
              <w:pStyle w:val="TableText"/>
              <w:ind w:left="778"/>
              <w:spacing w:before="95" w:line="195" w:lineRule="auto"/>
              <w:rPr/>
            </w:pPr>
            <w:r>
              <w:rPr>
                <w:spacing w:val="3"/>
              </w:rPr>
              <w:t>41</w:t>
            </w:r>
          </w:p>
        </w:tc>
        <w:tc>
          <w:tcPr>
            <w:tcW w:w="2461" w:type="dxa"/>
            <w:vAlign w:val="top"/>
          </w:tcPr>
          <w:p>
            <w:pPr>
              <w:pStyle w:val="TableText"/>
              <w:ind w:left="695"/>
              <w:spacing w:before="59" w:line="221" w:lineRule="auto"/>
              <w:rPr>
                <w:rFonts w:ascii="SimSun" w:hAnsi="SimSun" w:eastAsia="SimSun" w:cs="SimSun"/>
              </w:rPr>
            </w:pPr>
            <w:r>
              <w:rPr>
                <w:rFonts w:ascii="SimSun" w:hAnsi="SimSun" w:eastAsia="SimSun" w:cs="SimSun"/>
                <w:spacing w:val="5"/>
              </w:rPr>
              <w:t>苯并</w:t>
            </w:r>
            <w:r>
              <w:rPr>
                <w:spacing w:val="5"/>
              </w:rPr>
              <w:t>[k]</w:t>
            </w:r>
            <w:r>
              <w:rPr>
                <w:rFonts w:ascii="SimSun" w:hAnsi="SimSun" w:eastAsia="SimSun" w:cs="SimSun"/>
                <w:spacing w:val="5"/>
              </w:rPr>
              <w:t>荧蒽</w:t>
            </w:r>
          </w:p>
        </w:tc>
        <w:tc>
          <w:tcPr>
            <w:tcW w:w="2111" w:type="dxa"/>
            <w:vAlign w:val="top"/>
          </w:tcPr>
          <w:p>
            <w:pPr>
              <w:pStyle w:val="TableText"/>
              <w:ind w:left="671"/>
              <w:spacing w:before="95" w:line="195" w:lineRule="auto"/>
              <w:rPr/>
            </w:pPr>
            <w:r>
              <w:rPr>
                <w:spacing w:val="4"/>
              </w:rPr>
              <w:t>207-08-9</w:t>
            </w:r>
          </w:p>
        </w:tc>
        <w:tc>
          <w:tcPr>
            <w:tcW w:w="2746" w:type="dxa"/>
            <w:vAlign w:val="top"/>
          </w:tcPr>
          <w:p>
            <w:pPr>
              <w:pStyle w:val="TableText"/>
              <w:ind w:left="1237"/>
              <w:spacing w:before="95" w:line="195" w:lineRule="auto"/>
              <w:rPr/>
            </w:pPr>
            <w:r>
              <w:rPr>
                <w:spacing w:val="-3"/>
              </w:rPr>
              <w:t>151</w:t>
            </w:r>
          </w:p>
        </w:tc>
      </w:tr>
      <w:tr>
        <w:trPr>
          <w:trHeight w:val="333" w:hRule="atLeast"/>
        </w:trPr>
        <w:tc>
          <w:tcPr>
            <w:tcW w:w="1765" w:type="dxa"/>
            <w:vAlign w:val="top"/>
          </w:tcPr>
          <w:p>
            <w:pPr>
              <w:pStyle w:val="TableText"/>
              <w:ind w:left="778"/>
              <w:spacing w:before="98" w:line="195" w:lineRule="auto"/>
              <w:rPr/>
            </w:pPr>
            <w:r>
              <w:rPr>
                <w:spacing w:val="3"/>
              </w:rPr>
              <w:t>42</w:t>
            </w:r>
          </w:p>
        </w:tc>
        <w:tc>
          <w:tcPr>
            <w:tcW w:w="2461" w:type="dxa"/>
            <w:vAlign w:val="top"/>
          </w:tcPr>
          <w:p>
            <w:pPr>
              <w:ind w:left="1135"/>
              <w:spacing w:before="62" w:line="236" w:lineRule="auto"/>
              <w:rPr>
                <w:rFonts w:ascii="SimSun" w:hAnsi="SimSun" w:eastAsia="SimSun" w:cs="SimSun"/>
                <w:sz w:val="20"/>
                <w:szCs w:val="20"/>
              </w:rPr>
            </w:pPr>
            <w:r>
              <w:rPr>
                <w:rFonts w:ascii="SimSun" w:hAnsi="SimSun" w:eastAsia="SimSun" w:cs="SimSun"/>
                <w:sz w:val="20"/>
                <w:szCs w:val="20"/>
              </w:rPr>
              <w:t>蒽</w:t>
            </w:r>
          </w:p>
        </w:tc>
        <w:tc>
          <w:tcPr>
            <w:tcW w:w="2111" w:type="dxa"/>
            <w:vAlign w:val="top"/>
          </w:tcPr>
          <w:p>
            <w:pPr>
              <w:pStyle w:val="TableText"/>
              <w:ind w:left="707"/>
              <w:spacing w:before="98" w:line="195" w:lineRule="auto"/>
              <w:rPr/>
            </w:pPr>
            <w:r>
              <w:rPr>
                <w:spacing w:val="3"/>
              </w:rPr>
              <w:t>21801-9</w:t>
            </w:r>
          </w:p>
        </w:tc>
        <w:tc>
          <w:tcPr>
            <w:tcW w:w="2746" w:type="dxa"/>
            <w:vAlign w:val="top"/>
          </w:tcPr>
          <w:p>
            <w:pPr>
              <w:pStyle w:val="TableText"/>
              <w:ind w:left="1184"/>
              <w:spacing w:before="98" w:line="195" w:lineRule="auto"/>
              <w:rPr/>
            </w:pPr>
            <w:r>
              <w:rPr>
                <w:spacing w:val="-1"/>
              </w:rPr>
              <w:t>1293</w:t>
            </w:r>
          </w:p>
        </w:tc>
      </w:tr>
      <w:tr>
        <w:trPr>
          <w:trHeight w:val="331" w:hRule="atLeast"/>
        </w:trPr>
        <w:tc>
          <w:tcPr>
            <w:tcW w:w="1765" w:type="dxa"/>
            <w:vAlign w:val="top"/>
          </w:tcPr>
          <w:p>
            <w:pPr>
              <w:pStyle w:val="TableText"/>
              <w:ind w:left="778"/>
              <w:spacing w:before="96" w:line="195" w:lineRule="auto"/>
              <w:rPr/>
            </w:pPr>
            <w:r>
              <w:rPr>
                <w:spacing w:val="3"/>
              </w:rPr>
              <w:t>43</w:t>
            </w:r>
          </w:p>
        </w:tc>
        <w:tc>
          <w:tcPr>
            <w:tcW w:w="2461" w:type="dxa"/>
            <w:vAlign w:val="top"/>
          </w:tcPr>
          <w:p>
            <w:pPr>
              <w:pStyle w:val="TableText"/>
              <w:ind w:left="545"/>
              <w:spacing w:before="60" w:line="221" w:lineRule="auto"/>
              <w:rPr>
                <w:rFonts w:ascii="SimSun" w:hAnsi="SimSun" w:eastAsia="SimSun" w:cs="SimSun"/>
              </w:rPr>
            </w:pPr>
            <w:r>
              <w:rPr>
                <w:rFonts w:ascii="SimSun" w:hAnsi="SimSun" w:eastAsia="SimSun" w:cs="SimSun"/>
                <w:spacing w:val="3"/>
              </w:rPr>
              <w:t>二苯并</w:t>
            </w:r>
            <w:r>
              <w:rPr>
                <w:spacing w:val="3"/>
              </w:rPr>
              <w:t>[a</w:t>
            </w:r>
            <w:r>
              <w:rPr>
                <w:spacing w:val="-24"/>
              </w:rPr>
              <w:t xml:space="preserve"> </w:t>
            </w:r>
            <w:r>
              <w:rPr>
                <w:rFonts w:ascii="SimSun" w:hAnsi="SimSun" w:eastAsia="SimSun" w:cs="SimSun"/>
                <w:spacing w:val="3"/>
              </w:rPr>
              <w:t>，</w:t>
            </w:r>
            <w:r>
              <w:rPr>
                <w:spacing w:val="3"/>
              </w:rPr>
              <w:t>h]</w:t>
            </w:r>
            <w:r>
              <w:rPr>
                <w:rFonts w:ascii="SimSun" w:hAnsi="SimSun" w:eastAsia="SimSun" w:cs="SimSun"/>
                <w:spacing w:val="3"/>
              </w:rPr>
              <w:t>蒽</w:t>
            </w:r>
          </w:p>
        </w:tc>
        <w:tc>
          <w:tcPr>
            <w:tcW w:w="2111" w:type="dxa"/>
            <w:vAlign w:val="top"/>
          </w:tcPr>
          <w:p>
            <w:pPr>
              <w:pStyle w:val="TableText"/>
              <w:ind w:left="730"/>
              <w:spacing w:before="96" w:line="195" w:lineRule="auto"/>
              <w:rPr/>
            </w:pPr>
            <w:r>
              <w:rPr>
                <w:spacing w:val="2"/>
              </w:rPr>
              <w:t>53-70-3</w:t>
            </w:r>
          </w:p>
        </w:tc>
        <w:tc>
          <w:tcPr>
            <w:tcW w:w="2746" w:type="dxa"/>
            <w:vAlign w:val="top"/>
          </w:tcPr>
          <w:p>
            <w:pPr>
              <w:pStyle w:val="TableText"/>
              <w:ind w:left="1261"/>
              <w:spacing w:before="96" w:line="195" w:lineRule="auto"/>
              <w:rPr/>
            </w:pPr>
            <w:r>
              <w:rPr>
                <w:spacing w:val="-4"/>
              </w:rPr>
              <w:t>1.5</w:t>
            </w:r>
          </w:p>
        </w:tc>
      </w:tr>
      <w:tr>
        <w:trPr>
          <w:trHeight w:val="328" w:hRule="atLeast"/>
        </w:trPr>
        <w:tc>
          <w:tcPr>
            <w:tcW w:w="1765" w:type="dxa"/>
            <w:vAlign w:val="top"/>
          </w:tcPr>
          <w:p>
            <w:pPr>
              <w:pStyle w:val="TableText"/>
              <w:ind w:left="778"/>
              <w:spacing w:before="96" w:line="195" w:lineRule="auto"/>
              <w:rPr/>
            </w:pPr>
            <w:r>
              <w:rPr>
                <w:spacing w:val="3"/>
              </w:rPr>
              <w:t>44</w:t>
            </w:r>
          </w:p>
        </w:tc>
        <w:tc>
          <w:tcPr>
            <w:tcW w:w="2461" w:type="dxa"/>
            <w:vAlign w:val="top"/>
          </w:tcPr>
          <w:p>
            <w:pPr>
              <w:pStyle w:val="TableText"/>
              <w:ind w:left="616"/>
              <w:spacing w:before="60" w:line="221" w:lineRule="auto"/>
              <w:rPr>
                <w:rFonts w:ascii="SimSun" w:hAnsi="SimSun" w:eastAsia="SimSun" w:cs="SimSun"/>
              </w:rPr>
            </w:pPr>
            <w:r>
              <w:rPr>
                <w:rFonts w:ascii="SimSun" w:hAnsi="SimSun" w:eastAsia="SimSun" w:cs="SimSun"/>
                <w:spacing w:val="4"/>
              </w:rPr>
              <w:t>并</w:t>
            </w:r>
            <w:r>
              <w:rPr>
                <w:spacing w:val="4"/>
              </w:rPr>
              <w:t>[1,2,3-</w:t>
            </w:r>
            <w:r>
              <w:rPr/>
              <w:t>cd</w:t>
            </w:r>
            <w:r>
              <w:rPr>
                <w:spacing w:val="4"/>
              </w:rPr>
              <w:t>]</w:t>
            </w:r>
            <w:r>
              <w:rPr>
                <w:rFonts w:ascii="SimSun" w:hAnsi="SimSun" w:eastAsia="SimSun" w:cs="SimSun"/>
                <w:spacing w:val="4"/>
              </w:rPr>
              <w:t>芘</w:t>
            </w:r>
          </w:p>
        </w:tc>
        <w:tc>
          <w:tcPr>
            <w:tcW w:w="2111" w:type="dxa"/>
            <w:vAlign w:val="top"/>
          </w:tcPr>
          <w:p>
            <w:pPr>
              <w:pStyle w:val="TableText"/>
              <w:ind w:left="691"/>
              <w:spacing w:before="96" w:line="195" w:lineRule="auto"/>
              <w:rPr/>
            </w:pPr>
            <w:r>
              <w:rPr>
                <w:spacing w:val="1"/>
              </w:rPr>
              <w:t>193-39-5</w:t>
            </w:r>
          </w:p>
        </w:tc>
        <w:tc>
          <w:tcPr>
            <w:tcW w:w="2746" w:type="dxa"/>
            <w:vAlign w:val="top"/>
          </w:tcPr>
          <w:p>
            <w:pPr>
              <w:pStyle w:val="TableText"/>
              <w:ind w:left="1290"/>
              <w:spacing w:before="96" w:line="195" w:lineRule="auto"/>
              <w:rPr/>
            </w:pPr>
            <w:r>
              <w:rPr>
                <w:spacing w:val="-8"/>
              </w:rPr>
              <w:t>15</w:t>
            </w:r>
          </w:p>
        </w:tc>
      </w:tr>
      <w:tr>
        <w:trPr>
          <w:trHeight w:val="336" w:hRule="atLeast"/>
        </w:trPr>
        <w:tc>
          <w:tcPr>
            <w:tcW w:w="1765" w:type="dxa"/>
            <w:vAlign w:val="top"/>
          </w:tcPr>
          <w:p>
            <w:pPr>
              <w:pStyle w:val="TableText"/>
              <w:ind w:left="778"/>
              <w:spacing w:before="101" w:line="195" w:lineRule="auto"/>
              <w:rPr/>
            </w:pPr>
            <w:r>
              <w:rPr>
                <w:spacing w:val="3"/>
              </w:rPr>
              <w:t>45</w:t>
            </w:r>
          </w:p>
        </w:tc>
        <w:tc>
          <w:tcPr>
            <w:tcW w:w="2461" w:type="dxa"/>
            <w:vAlign w:val="top"/>
          </w:tcPr>
          <w:p>
            <w:pPr>
              <w:ind w:left="1130"/>
              <w:spacing w:before="66" w:line="228" w:lineRule="auto"/>
              <w:rPr>
                <w:rFonts w:ascii="SimSun" w:hAnsi="SimSun" w:eastAsia="SimSun" w:cs="SimSun"/>
                <w:sz w:val="20"/>
                <w:szCs w:val="20"/>
              </w:rPr>
            </w:pPr>
            <w:r>
              <w:rPr>
                <w:rFonts w:ascii="SimSun" w:hAnsi="SimSun" w:eastAsia="SimSun" w:cs="SimSun"/>
                <w:sz w:val="20"/>
                <w:szCs w:val="20"/>
              </w:rPr>
              <w:t>萘</w:t>
            </w:r>
          </w:p>
        </w:tc>
        <w:tc>
          <w:tcPr>
            <w:tcW w:w="2111" w:type="dxa"/>
            <w:vAlign w:val="top"/>
          </w:tcPr>
          <w:p>
            <w:pPr>
              <w:pStyle w:val="TableText"/>
              <w:ind w:left="728"/>
              <w:spacing w:before="101" w:line="195" w:lineRule="auto"/>
              <w:rPr/>
            </w:pPr>
            <w:r>
              <w:rPr>
                <w:spacing w:val="3"/>
              </w:rPr>
              <w:t>91-20-3</w:t>
            </w:r>
          </w:p>
        </w:tc>
        <w:tc>
          <w:tcPr>
            <w:tcW w:w="2746" w:type="dxa"/>
            <w:vAlign w:val="top"/>
          </w:tcPr>
          <w:p>
            <w:pPr>
              <w:pStyle w:val="TableText"/>
              <w:ind w:left="1273"/>
              <w:spacing w:before="101" w:line="195" w:lineRule="auto"/>
              <w:rPr/>
            </w:pPr>
            <w:r>
              <w:rPr>
                <w:spacing w:val="1"/>
              </w:rPr>
              <w:t>70</w:t>
            </w:r>
          </w:p>
        </w:tc>
      </w:tr>
      <w:tr>
        <w:trPr>
          <w:trHeight w:val="336" w:hRule="atLeast"/>
        </w:trPr>
        <w:tc>
          <w:tcPr>
            <w:tcW w:w="9083" w:type="dxa"/>
            <w:vAlign w:val="top"/>
            <w:gridSpan w:val="4"/>
          </w:tcPr>
          <w:p>
            <w:pPr>
              <w:ind w:left="4127"/>
              <w:spacing w:before="65" w:line="228" w:lineRule="auto"/>
              <w:rPr>
                <w:rFonts w:ascii="SimSun" w:hAnsi="SimSun" w:eastAsia="SimSun" w:cs="SimSun"/>
                <w:sz w:val="20"/>
                <w:szCs w:val="20"/>
              </w:rPr>
            </w:pPr>
            <w:r>
              <w:rPr>
                <w:rFonts w:ascii="SimSun" w:hAnsi="SimSun" w:eastAsia="SimSun" w:cs="SimSun"/>
                <w:sz w:val="20"/>
                <w:szCs w:val="20"/>
                <w:spacing w:val="7"/>
              </w:rPr>
              <w:t>石油烃类</w:t>
            </w:r>
          </w:p>
        </w:tc>
      </w:tr>
      <w:tr>
        <w:trPr>
          <w:trHeight w:val="362" w:hRule="atLeast"/>
        </w:trPr>
        <w:tc>
          <w:tcPr>
            <w:tcW w:w="1765" w:type="dxa"/>
            <w:vAlign w:val="top"/>
          </w:tcPr>
          <w:p>
            <w:pPr>
              <w:pStyle w:val="TableText"/>
              <w:ind w:left="778"/>
              <w:spacing w:before="111" w:line="195" w:lineRule="auto"/>
              <w:rPr/>
            </w:pPr>
            <w:r>
              <w:rPr>
                <w:spacing w:val="3"/>
              </w:rPr>
              <w:t>46</w:t>
            </w:r>
          </w:p>
        </w:tc>
        <w:tc>
          <w:tcPr>
            <w:tcW w:w="2461" w:type="dxa"/>
            <w:vAlign w:val="top"/>
          </w:tcPr>
          <w:p>
            <w:pPr>
              <w:pStyle w:val="TableText"/>
              <w:ind w:left="305"/>
              <w:spacing w:before="75" w:line="228" w:lineRule="auto"/>
              <w:rPr>
                <w:rFonts w:ascii="SimSun" w:hAnsi="SimSun" w:eastAsia="SimSun" w:cs="SimSun"/>
              </w:rPr>
            </w:pPr>
            <w:r>
              <w:rPr>
                <w:rFonts w:ascii="SimSun" w:hAnsi="SimSun" w:eastAsia="SimSun" w:cs="SimSun"/>
                <w:spacing w:val="5"/>
              </w:rPr>
              <w:t>石油烃（</w:t>
            </w:r>
            <w:r>
              <w:rPr>
                <w:spacing w:val="5"/>
              </w:rPr>
              <w:t>C10~C40</w:t>
            </w:r>
            <w:r>
              <w:rPr>
                <w:rFonts w:ascii="SimSun" w:hAnsi="SimSun" w:eastAsia="SimSun" w:cs="SimSun"/>
                <w:spacing w:val="5"/>
              </w:rPr>
              <w:t>）</w:t>
            </w:r>
          </w:p>
        </w:tc>
        <w:tc>
          <w:tcPr>
            <w:tcW w:w="2111" w:type="dxa"/>
            <w:vAlign w:val="top"/>
          </w:tcPr>
          <w:p>
            <w:pPr>
              <w:pStyle w:val="TableText"/>
              <w:ind w:left="992"/>
              <w:spacing w:before="199" w:line="97" w:lineRule="exact"/>
              <w:rPr/>
            </w:pPr>
            <w:r>
              <w:rPr>
                <w:position w:val="-2"/>
              </w:rPr>
              <w:t>--</w:t>
            </w:r>
          </w:p>
        </w:tc>
        <w:tc>
          <w:tcPr>
            <w:tcW w:w="2746" w:type="dxa"/>
            <w:vAlign w:val="top"/>
          </w:tcPr>
          <w:p>
            <w:pPr>
              <w:pStyle w:val="TableText"/>
              <w:ind w:left="1163"/>
              <w:spacing w:before="111" w:line="195" w:lineRule="auto"/>
              <w:rPr/>
            </w:pPr>
            <w:r>
              <w:rPr>
                <w:spacing w:val="4"/>
              </w:rPr>
              <w:t>4500</w:t>
            </w:r>
          </w:p>
        </w:tc>
      </w:tr>
    </w:tbl>
    <w:p>
      <w:pPr>
        <w:pStyle w:val="BodyText"/>
        <w:spacing w:line="432" w:lineRule="auto"/>
        <w:rPr/>
      </w:pPr>
      <w:r/>
    </w:p>
    <w:p>
      <w:pPr>
        <w:ind w:left="3227"/>
        <w:spacing w:before="78" w:line="222" w:lineRule="auto"/>
        <w:rPr>
          <w:rFonts w:ascii="SimHei" w:hAnsi="SimHei" w:eastAsia="SimHei" w:cs="SimHei"/>
          <w:sz w:val="24"/>
          <w:szCs w:val="24"/>
        </w:rPr>
      </w:pPr>
      <w:r>
        <w:rPr>
          <w:rFonts w:ascii="SimHei" w:hAnsi="SimHei" w:eastAsia="SimHei" w:cs="SimHei"/>
          <w:sz w:val="24"/>
          <w:szCs w:val="24"/>
          <w:spacing w:val="-1"/>
        </w:rPr>
        <w:t>农用地土壤环境质量标准</w:t>
      </w:r>
    </w:p>
    <w:p>
      <w:pPr>
        <w:ind w:left="9"/>
        <w:spacing w:before="69" w:line="221" w:lineRule="auto"/>
        <w:rPr>
          <w:rFonts w:ascii="Times New Roman" w:hAnsi="Times New Roman" w:eastAsia="Times New Roman" w:cs="Times New Roman"/>
          <w:sz w:val="20"/>
          <w:szCs w:val="20"/>
        </w:rPr>
      </w:pPr>
      <w:r>
        <w:rPr>
          <w:rFonts w:ascii="SimSun" w:hAnsi="SimSun" w:eastAsia="SimSun" w:cs="SimSun"/>
          <w:sz w:val="20"/>
          <w:szCs w:val="20"/>
          <w:spacing w:val="5"/>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5"/>
        </w:rPr>
        <w:t>2-7-6</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w:t>
      </w:r>
      <w:r>
        <w:rPr>
          <w:rFonts w:ascii="Times New Roman" w:hAnsi="Times New Roman" w:eastAsia="Times New Roman" w:cs="Times New Roman"/>
          <w:sz w:val="20"/>
          <w:szCs w:val="20"/>
        </w:rPr>
        <w:t>kg</w:t>
      </w:r>
    </w:p>
    <w:p>
      <w:pPr>
        <w:spacing w:line="51" w:lineRule="auto"/>
        <w:rPr>
          <w:rFonts w:ascii="Arial"/>
          <w:sz w:val="2"/>
        </w:rPr>
      </w:pPr>
      <w:r>
        <w:rPr>
          <w:rFonts w:ascii="Arial"/>
          <w:sz w:val="2"/>
        </w:r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34"/>
        <w:gridCol w:w="1290"/>
        <w:gridCol w:w="1288"/>
        <w:gridCol w:w="1293"/>
        <w:gridCol w:w="1293"/>
        <w:gridCol w:w="1290"/>
        <w:gridCol w:w="1295"/>
      </w:tblGrid>
      <w:tr>
        <w:trPr>
          <w:trHeight w:val="280" w:hRule="atLeast"/>
        </w:trPr>
        <w:tc>
          <w:tcPr>
            <w:tcW w:w="1334" w:type="dxa"/>
            <w:vAlign w:val="top"/>
            <w:vMerge w:val="restart"/>
            <w:tcBorders>
              <w:bottom w:val="nil"/>
            </w:tcBorders>
          </w:tcPr>
          <w:p>
            <w:pPr>
              <w:ind w:left="460"/>
              <w:spacing w:before="161" w:line="229" w:lineRule="auto"/>
              <w:rPr>
                <w:rFonts w:ascii="SimSun" w:hAnsi="SimSun" w:eastAsia="SimSun" w:cs="SimSun"/>
                <w:sz w:val="20"/>
                <w:szCs w:val="20"/>
              </w:rPr>
            </w:pPr>
            <w:r>
              <w:rPr>
                <w:rFonts w:ascii="SimSun" w:hAnsi="SimSun" w:eastAsia="SimSun" w:cs="SimSun"/>
                <w:sz w:val="20"/>
                <w:szCs w:val="20"/>
                <w:spacing w:val="5"/>
              </w:rPr>
              <w:t>序号</w:t>
            </w:r>
          </w:p>
        </w:tc>
        <w:tc>
          <w:tcPr>
            <w:tcW w:w="2578" w:type="dxa"/>
            <w:vAlign w:val="top"/>
            <w:gridSpan w:val="2"/>
            <w:vMerge w:val="restart"/>
            <w:tcBorders>
              <w:bottom w:val="nil"/>
            </w:tcBorders>
          </w:tcPr>
          <w:p>
            <w:pPr>
              <w:ind w:left="665"/>
              <w:spacing w:before="161" w:line="225" w:lineRule="auto"/>
              <w:rPr>
                <w:rFonts w:ascii="SimSun" w:hAnsi="SimSun" w:eastAsia="SimSun" w:cs="SimSun"/>
                <w:sz w:val="20"/>
                <w:szCs w:val="20"/>
              </w:rPr>
            </w:pPr>
            <w:r>
              <w:rPr>
                <w:rFonts w:ascii="SimSun" w:hAnsi="SimSun" w:eastAsia="SimSun" w:cs="SimSun"/>
                <w:sz w:val="20"/>
                <w:szCs w:val="20"/>
                <w:spacing w:val="7"/>
              </w:rPr>
              <w:t>污染项目①②</w:t>
            </w:r>
          </w:p>
        </w:tc>
        <w:tc>
          <w:tcPr>
            <w:tcW w:w="5171" w:type="dxa"/>
            <w:vAlign w:val="top"/>
            <w:gridSpan w:val="4"/>
          </w:tcPr>
          <w:p>
            <w:pPr>
              <w:ind w:left="2065"/>
              <w:spacing w:before="31" w:line="220" w:lineRule="auto"/>
              <w:rPr>
                <w:rFonts w:ascii="SimSun" w:hAnsi="SimSun" w:eastAsia="SimSun" w:cs="SimSun"/>
                <w:sz w:val="20"/>
                <w:szCs w:val="20"/>
              </w:rPr>
            </w:pPr>
            <w:r>
              <w:rPr>
                <w:rFonts w:ascii="SimSun" w:hAnsi="SimSun" w:eastAsia="SimSun" w:cs="SimSun"/>
                <w:sz w:val="20"/>
                <w:szCs w:val="20"/>
                <w:spacing w:val="8"/>
              </w:rPr>
              <w:t>风险筛选值</w:t>
            </w:r>
          </w:p>
        </w:tc>
      </w:tr>
      <w:tr>
        <w:trPr>
          <w:trHeight w:val="251" w:hRule="atLeast"/>
        </w:trPr>
        <w:tc>
          <w:tcPr>
            <w:tcW w:w="1334" w:type="dxa"/>
            <w:vAlign w:val="top"/>
            <w:vMerge w:val="continue"/>
            <w:tcBorders>
              <w:top w:val="nil"/>
            </w:tcBorders>
          </w:tcPr>
          <w:p>
            <w:pPr>
              <w:rPr>
                <w:rFonts w:ascii="Arial"/>
                <w:sz w:val="21"/>
              </w:rPr>
            </w:pPr>
            <w:r/>
          </w:p>
        </w:tc>
        <w:tc>
          <w:tcPr>
            <w:tcW w:w="2578" w:type="dxa"/>
            <w:vAlign w:val="top"/>
            <w:gridSpan w:val="2"/>
            <w:vMerge w:val="continue"/>
            <w:tcBorders>
              <w:top w:val="nil"/>
            </w:tcBorders>
          </w:tcPr>
          <w:p>
            <w:pPr>
              <w:rPr>
                <w:rFonts w:ascii="Arial"/>
                <w:sz w:val="21"/>
              </w:rPr>
            </w:pPr>
            <w:r/>
          </w:p>
        </w:tc>
        <w:tc>
          <w:tcPr>
            <w:tcW w:w="1293" w:type="dxa"/>
            <w:vAlign w:val="top"/>
          </w:tcPr>
          <w:p>
            <w:pPr>
              <w:pStyle w:val="TableText"/>
              <w:ind w:left="325"/>
              <w:spacing w:before="57" w:line="192" w:lineRule="auto"/>
              <w:rPr/>
            </w:pPr>
            <w:r>
              <w:rPr/>
              <w:t>pH</w:t>
            </w:r>
            <w:r>
              <w:rPr>
                <w:spacing w:val="7"/>
              </w:rPr>
              <w:t>≤5.5</w:t>
            </w:r>
          </w:p>
        </w:tc>
        <w:tc>
          <w:tcPr>
            <w:tcW w:w="1293" w:type="dxa"/>
            <w:vAlign w:val="top"/>
          </w:tcPr>
          <w:p>
            <w:pPr>
              <w:pStyle w:val="TableText"/>
              <w:ind w:left="147"/>
              <w:spacing w:before="54" w:line="195" w:lineRule="auto"/>
              <w:rPr/>
            </w:pPr>
            <w:r>
              <w:rPr>
                <w:spacing w:val="4"/>
              </w:rPr>
              <w:t>5.5&lt;</w:t>
            </w:r>
            <w:r>
              <w:rPr/>
              <w:t>pH</w:t>
            </w:r>
            <w:r>
              <w:rPr>
                <w:spacing w:val="4"/>
              </w:rPr>
              <w:t>≤6.5</w:t>
            </w:r>
          </w:p>
        </w:tc>
        <w:tc>
          <w:tcPr>
            <w:tcW w:w="1290" w:type="dxa"/>
            <w:vAlign w:val="top"/>
          </w:tcPr>
          <w:p>
            <w:pPr>
              <w:pStyle w:val="TableText"/>
              <w:ind w:left="144"/>
              <w:spacing w:before="54" w:line="195" w:lineRule="auto"/>
              <w:rPr/>
            </w:pPr>
            <w:r>
              <w:rPr>
                <w:spacing w:val="5"/>
              </w:rPr>
              <w:t>6.5&lt;</w:t>
            </w:r>
            <w:r>
              <w:rPr/>
              <w:t>pH</w:t>
            </w:r>
            <w:r>
              <w:rPr>
                <w:spacing w:val="5"/>
              </w:rPr>
              <w:t>≤7.5</w:t>
            </w:r>
          </w:p>
        </w:tc>
        <w:tc>
          <w:tcPr>
            <w:tcW w:w="1295" w:type="dxa"/>
            <w:vAlign w:val="top"/>
          </w:tcPr>
          <w:p>
            <w:pPr>
              <w:pStyle w:val="TableText"/>
              <w:ind w:left="325"/>
              <w:spacing w:before="57" w:line="192" w:lineRule="auto"/>
              <w:rPr/>
            </w:pPr>
            <w:r>
              <w:rPr/>
              <w:t>pH</w:t>
            </w:r>
            <w:r>
              <w:rPr>
                <w:spacing w:val="7"/>
              </w:rPr>
              <w:t>&gt;7.5</w:t>
            </w:r>
          </w:p>
        </w:tc>
      </w:tr>
      <w:tr>
        <w:trPr>
          <w:trHeight w:val="278" w:hRule="atLeast"/>
        </w:trPr>
        <w:tc>
          <w:tcPr>
            <w:tcW w:w="1334" w:type="dxa"/>
            <w:vAlign w:val="top"/>
            <w:vMerge w:val="restart"/>
            <w:tcBorders>
              <w:bottom w:val="nil"/>
            </w:tcBorders>
          </w:tcPr>
          <w:p>
            <w:pPr>
              <w:pStyle w:val="TableText"/>
              <w:ind w:left="633"/>
              <w:spacing w:before="208" w:line="195" w:lineRule="auto"/>
              <w:rPr/>
            </w:pPr>
            <w:r>
              <w:rPr/>
              <w:t>1</w:t>
            </w:r>
          </w:p>
        </w:tc>
        <w:tc>
          <w:tcPr>
            <w:tcW w:w="1290" w:type="dxa"/>
            <w:vAlign w:val="top"/>
            <w:vMerge w:val="restart"/>
            <w:tcBorders>
              <w:bottom w:val="nil"/>
            </w:tcBorders>
          </w:tcPr>
          <w:p>
            <w:pPr>
              <w:ind w:left="541"/>
              <w:spacing w:before="171" w:line="231" w:lineRule="auto"/>
              <w:rPr>
                <w:rFonts w:ascii="SimSun" w:hAnsi="SimSun" w:eastAsia="SimSun" w:cs="SimSun"/>
                <w:sz w:val="20"/>
                <w:szCs w:val="20"/>
              </w:rPr>
            </w:pPr>
            <w:r>
              <w:rPr>
                <w:rFonts w:ascii="SimSun" w:hAnsi="SimSun" w:eastAsia="SimSun" w:cs="SimSun"/>
                <w:sz w:val="20"/>
                <w:szCs w:val="20"/>
                <w:spacing w:val="2"/>
              </w:rPr>
              <w:t>镉</w:t>
            </w:r>
          </w:p>
        </w:tc>
        <w:tc>
          <w:tcPr>
            <w:tcW w:w="1288" w:type="dxa"/>
            <w:vAlign w:val="top"/>
          </w:tcPr>
          <w:p>
            <w:pPr>
              <w:ind w:left="439"/>
              <w:spacing w:before="30" w:line="219" w:lineRule="auto"/>
              <w:rPr>
                <w:rFonts w:ascii="SimSun" w:hAnsi="SimSun" w:eastAsia="SimSun" w:cs="SimSun"/>
                <w:sz w:val="20"/>
                <w:szCs w:val="20"/>
              </w:rPr>
            </w:pPr>
            <w:r>
              <w:rPr>
                <w:rFonts w:ascii="SimSun" w:hAnsi="SimSun" w:eastAsia="SimSun" w:cs="SimSun"/>
                <w:sz w:val="20"/>
                <w:szCs w:val="20"/>
                <w:spacing w:val="3"/>
              </w:rPr>
              <w:t>水田</w:t>
            </w:r>
          </w:p>
        </w:tc>
        <w:tc>
          <w:tcPr>
            <w:tcW w:w="1293" w:type="dxa"/>
            <w:vAlign w:val="top"/>
          </w:tcPr>
          <w:p>
            <w:pPr>
              <w:pStyle w:val="TableText"/>
              <w:ind w:left="520"/>
              <w:spacing w:before="66" w:line="195" w:lineRule="auto"/>
              <w:rPr/>
            </w:pPr>
            <w:r>
              <w:rPr>
                <w:spacing w:val="1"/>
              </w:rPr>
              <w:t>0.3</w:t>
            </w:r>
          </w:p>
        </w:tc>
        <w:tc>
          <w:tcPr>
            <w:tcW w:w="1293" w:type="dxa"/>
            <w:vAlign w:val="top"/>
          </w:tcPr>
          <w:p>
            <w:pPr>
              <w:pStyle w:val="TableText"/>
              <w:ind w:left="521"/>
              <w:spacing w:before="66" w:line="195" w:lineRule="auto"/>
              <w:rPr/>
            </w:pPr>
            <w:r>
              <w:rPr>
                <w:spacing w:val="1"/>
              </w:rPr>
              <w:t>0.4</w:t>
            </w:r>
          </w:p>
        </w:tc>
        <w:tc>
          <w:tcPr>
            <w:tcW w:w="1290" w:type="dxa"/>
            <w:vAlign w:val="top"/>
          </w:tcPr>
          <w:p>
            <w:pPr>
              <w:pStyle w:val="TableText"/>
              <w:ind w:left="519"/>
              <w:spacing w:before="66" w:line="195" w:lineRule="auto"/>
              <w:rPr/>
            </w:pPr>
            <w:r>
              <w:rPr>
                <w:spacing w:val="1"/>
              </w:rPr>
              <w:t>0.6</w:t>
            </w:r>
          </w:p>
        </w:tc>
        <w:tc>
          <w:tcPr>
            <w:tcW w:w="1295" w:type="dxa"/>
            <w:vAlign w:val="top"/>
          </w:tcPr>
          <w:p>
            <w:pPr>
              <w:pStyle w:val="TableText"/>
              <w:ind w:left="520"/>
              <w:spacing w:before="66" w:line="195" w:lineRule="auto"/>
              <w:rPr/>
            </w:pPr>
            <w:r>
              <w:rPr>
                <w:spacing w:val="1"/>
              </w:rPr>
              <w:t>0.8</w:t>
            </w:r>
          </w:p>
        </w:tc>
      </w:tr>
      <w:tr>
        <w:trPr>
          <w:trHeight w:val="278"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30" w:line="219"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20"/>
              <w:spacing w:before="66" w:line="195" w:lineRule="auto"/>
              <w:rPr/>
            </w:pPr>
            <w:r>
              <w:rPr>
                <w:spacing w:val="1"/>
              </w:rPr>
              <w:t>0.3</w:t>
            </w:r>
          </w:p>
        </w:tc>
        <w:tc>
          <w:tcPr>
            <w:tcW w:w="1293" w:type="dxa"/>
            <w:vAlign w:val="top"/>
          </w:tcPr>
          <w:p>
            <w:pPr>
              <w:pStyle w:val="TableText"/>
              <w:ind w:left="521"/>
              <w:spacing w:before="66" w:line="195" w:lineRule="auto"/>
              <w:rPr/>
            </w:pPr>
            <w:r>
              <w:rPr>
                <w:spacing w:val="1"/>
              </w:rPr>
              <w:t>0.3</w:t>
            </w:r>
          </w:p>
        </w:tc>
        <w:tc>
          <w:tcPr>
            <w:tcW w:w="1290" w:type="dxa"/>
            <w:vAlign w:val="top"/>
          </w:tcPr>
          <w:p>
            <w:pPr>
              <w:pStyle w:val="TableText"/>
              <w:ind w:left="519"/>
              <w:spacing w:before="66" w:line="195" w:lineRule="auto"/>
              <w:rPr/>
            </w:pPr>
            <w:r>
              <w:rPr>
                <w:spacing w:val="1"/>
              </w:rPr>
              <w:t>0.3</w:t>
            </w:r>
          </w:p>
        </w:tc>
        <w:tc>
          <w:tcPr>
            <w:tcW w:w="1295" w:type="dxa"/>
            <w:vAlign w:val="top"/>
          </w:tcPr>
          <w:p>
            <w:pPr>
              <w:pStyle w:val="TableText"/>
              <w:ind w:left="520"/>
              <w:spacing w:before="66" w:line="195" w:lineRule="auto"/>
              <w:rPr/>
            </w:pPr>
            <w:r>
              <w:rPr>
                <w:spacing w:val="1"/>
              </w:rPr>
              <w:t>0.6</w:t>
            </w:r>
          </w:p>
        </w:tc>
      </w:tr>
      <w:tr>
        <w:trPr>
          <w:trHeight w:val="275" w:hRule="atLeast"/>
        </w:trPr>
        <w:tc>
          <w:tcPr>
            <w:tcW w:w="1334" w:type="dxa"/>
            <w:vAlign w:val="top"/>
            <w:vMerge w:val="restart"/>
            <w:tcBorders>
              <w:bottom w:val="nil"/>
            </w:tcBorders>
          </w:tcPr>
          <w:p>
            <w:pPr>
              <w:pStyle w:val="TableText"/>
              <w:ind w:left="613"/>
              <w:spacing w:before="206" w:line="195" w:lineRule="auto"/>
              <w:rPr/>
            </w:pPr>
            <w:r>
              <w:rPr/>
              <w:t>2</w:t>
            </w:r>
          </w:p>
        </w:tc>
        <w:tc>
          <w:tcPr>
            <w:tcW w:w="1290" w:type="dxa"/>
            <w:vAlign w:val="top"/>
            <w:vMerge w:val="restart"/>
            <w:tcBorders>
              <w:bottom w:val="nil"/>
            </w:tcBorders>
          </w:tcPr>
          <w:p>
            <w:pPr>
              <w:ind w:left="544"/>
              <w:spacing w:before="170" w:line="228" w:lineRule="auto"/>
              <w:rPr>
                <w:rFonts w:ascii="SimSun" w:hAnsi="SimSun" w:eastAsia="SimSun" w:cs="SimSun"/>
                <w:sz w:val="20"/>
                <w:szCs w:val="20"/>
              </w:rPr>
            </w:pPr>
            <w:r>
              <w:rPr>
                <w:rFonts w:ascii="SimSun" w:hAnsi="SimSun" w:eastAsia="SimSun" w:cs="SimSun"/>
                <w:sz w:val="20"/>
                <w:szCs w:val="20"/>
              </w:rPr>
              <w:t>汞</w:t>
            </w:r>
          </w:p>
        </w:tc>
        <w:tc>
          <w:tcPr>
            <w:tcW w:w="1288" w:type="dxa"/>
            <w:vAlign w:val="top"/>
          </w:tcPr>
          <w:p>
            <w:pPr>
              <w:ind w:left="439"/>
              <w:spacing w:before="28" w:line="218" w:lineRule="auto"/>
              <w:rPr>
                <w:rFonts w:ascii="SimSun" w:hAnsi="SimSun" w:eastAsia="SimSun" w:cs="SimSun"/>
                <w:sz w:val="20"/>
                <w:szCs w:val="20"/>
              </w:rPr>
            </w:pPr>
            <w:r>
              <w:rPr>
                <w:rFonts w:ascii="SimSun" w:hAnsi="SimSun" w:eastAsia="SimSun" w:cs="SimSun"/>
                <w:sz w:val="20"/>
                <w:szCs w:val="20"/>
                <w:spacing w:val="3"/>
              </w:rPr>
              <w:t>水田</w:t>
            </w:r>
          </w:p>
        </w:tc>
        <w:tc>
          <w:tcPr>
            <w:tcW w:w="1293" w:type="dxa"/>
            <w:vAlign w:val="top"/>
          </w:tcPr>
          <w:p>
            <w:pPr>
              <w:pStyle w:val="TableText"/>
              <w:ind w:left="520"/>
              <w:spacing w:before="64" w:line="195" w:lineRule="auto"/>
              <w:rPr/>
            </w:pPr>
            <w:r>
              <w:rPr>
                <w:spacing w:val="1"/>
              </w:rPr>
              <w:t>0.5</w:t>
            </w:r>
          </w:p>
        </w:tc>
        <w:tc>
          <w:tcPr>
            <w:tcW w:w="1293" w:type="dxa"/>
            <w:vAlign w:val="top"/>
          </w:tcPr>
          <w:p>
            <w:pPr>
              <w:pStyle w:val="TableText"/>
              <w:ind w:left="521"/>
              <w:spacing w:before="64" w:line="195" w:lineRule="auto"/>
              <w:rPr/>
            </w:pPr>
            <w:r>
              <w:rPr>
                <w:spacing w:val="1"/>
              </w:rPr>
              <w:t>0.5</w:t>
            </w:r>
          </w:p>
        </w:tc>
        <w:tc>
          <w:tcPr>
            <w:tcW w:w="1290" w:type="dxa"/>
            <w:vAlign w:val="top"/>
          </w:tcPr>
          <w:p>
            <w:pPr>
              <w:pStyle w:val="TableText"/>
              <w:ind w:left="519"/>
              <w:spacing w:before="64" w:line="195" w:lineRule="auto"/>
              <w:rPr/>
            </w:pPr>
            <w:r>
              <w:rPr>
                <w:spacing w:val="1"/>
              </w:rPr>
              <w:t>0.6</w:t>
            </w:r>
          </w:p>
        </w:tc>
        <w:tc>
          <w:tcPr>
            <w:tcW w:w="1295" w:type="dxa"/>
            <w:vAlign w:val="top"/>
          </w:tcPr>
          <w:p>
            <w:pPr>
              <w:pStyle w:val="TableText"/>
              <w:ind w:left="537"/>
              <w:spacing w:before="64" w:line="195" w:lineRule="auto"/>
              <w:rPr/>
            </w:pPr>
            <w:r>
              <w:rPr>
                <w:spacing w:val="-4"/>
              </w:rPr>
              <w:t>1.0</w:t>
            </w:r>
          </w:p>
        </w:tc>
      </w:tr>
      <w:tr>
        <w:trPr>
          <w:trHeight w:val="278"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31" w:line="218"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37"/>
              <w:spacing w:before="67" w:line="195" w:lineRule="auto"/>
              <w:rPr/>
            </w:pPr>
            <w:r>
              <w:rPr>
                <w:spacing w:val="-4"/>
              </w:rPr>
              <w:t>1.3</w:t>
            </w:r>
          </w:p>
        </w:tc>
        <w:tc>
          <w:tcPr>
            <w:tcW w:w="1293" w:type="dxa"/>
            <w:vAlign w:val="top"/>
          </w:tcPr>
          <w:p>
            <w:pPr>
              <w:pStyle w:val="TableText"/>
              <w:ind w:left="538"/>
              <w:spacing w:before="67" w:line="195" w:lineRule="auto"/>
              <w:rPr/>
            </w:pPr>
            <w:r>
              <w:rPr>
                <w:spacing w:val="-4"/>
              </w:rPr>
              <w:t>1.8</w:t>
            </w:r>
          </w:p>
        </w:tc>
        <w:tc>
          <w:tcPr>
            <w:tcW w:w="1290" w:type="dxa"/>
            <w:vAlign w:val="top"/>
          </w:tcPr>
          <w:p>
            <w:pPr>
              <w:pStyle w:val="TableText"/>
              <w:ind w:left="516"/>
              <w:spacing w:before="67" w:line="195" w:lineRule="auto"/>
              <w:rPr/>
            </w:pPr>
            <w:r>
              <w:rPr>
                <w:spacing w:val="2"/>
              </w:rPr>
              <w:t>2.4</w:t>
            </w:r>
          </w:p>
        </w:tc>
        <w:tc>
          <w:tcPr>
            <w:tcW w:w="1295" w:type="dxa"/>
            <w:vAlign w:val="top"/>
          </w:tcPr>
          <w:p>
            <w:pPr>
              <w:pStyle w:val="TableText"/>
              <w:ind w:left="521"/>
              <w:spacing w:before="67" w:line="195" w:lineRule="auto"/>
              <w:rPr/>
            </w:pPr>
            <w:r>
              <w:rPr>
                <w:spacing w:val="1"/>
              </w:rPr>
              <w:t>3.4</w:t>
            </w:r>
          </w:p>
        </w:tc>
      </w:tr>
      <w:tr>
        <w:trPr>
          <w:trHeight w:val="278" w:hRule="atLeast"/>
        </w:trPr>
        <w:tc>
          <w:tcPr>
            <w:tcW w:w="1334" w:type="dxa"/>
            <w:vAlign w:val="top"/>
            <w:vMerge w:val="restart"/>
            <w:tcBorders>
              <w:bottom w:val="nil"/>
            </w:tcBorders>
          </w:tcPr>
          <w:p>
            <w:pPr>
              <w:pStyle w:val="TableText"/>
              <w:ind w:left="617"/>
              <w:spacing w:before="209" w:line="195" w:lineRule="auto"/>
              <w:rPr/>
            </w:pPr>
            <w:r>
              <w:rPr/>
              <w:t>3</w:t>
            </w:r>
          </w:p>
        </w:tc>
        <w:tc>
          <w:tcPr>
            <w:tcW w:w="1290" w:type="dxa"/>
            <w:vAlign w:val="top"/>
            <w:vMerge w:val="restart"/>
            <w:tcBorders>
              <w:bottom w:val="nil"/>
            </w:tcBorders>
          </w:tcPr>
          <w:p>
            <w:pPr>
              <w:ind w:left="542"/>
              <w:spacing w:before="171" w:line="228" w:lineRule="auto"/>
              <w:rPr>
                <w:rFonts w:ascii="SimSun" w:hAnsi="SimSun" w:eastAsia="SimSun" w:cs="SimSun"/>
                <w:sz w:val="20"/>
                <w:szCs w:val="20"/>
              </w:rPr>
            </w:pPr>
            <w:r>
              <w:rPr>
                <w:rFonts w:ascii="SimSun" w:hAnsi="SimSun" w:eastAsia="SimSun" w:cs="SimSun"/>
                <w:sz w:val="20"/>
                <w:szCs w:val="20"/>
                <w:spacing w:val="1"/>
              </w:rPr>
              <w:t>砷</w:t>
            </w:r>
          </w:p>
        </w:tc>
        <w:tc>
          <w:tcPr>
            <w:tcW w:w="1288" w:type="dxa"/>
            <w:vAlign w:val="top"/>
          </w:tcPr>
          <w:p>
            <w:pPr>
              <w:ind w:left="439"/>
              <w:spacing w:before="31" w:line="218" w:lineRule="auto"/>
              <w:rPr>
                <w:rFonts w:ascii="SimSun" w:hAnsi="SimSun" w:eastAsia="SimSun" w:cs="SimSun"/>
                <w:sz w:val="20"/>
                <w:szCs w:val="20"/>
              </w:rPr>
            </w:pPr>
            <w:r>
              <w:rPr>
                <w:rFonts w:ascii="SimSun" w:hAnsi="SimSun" w:eastAsia="SimSun" w:cs="SimSun"/>
                <w:sz w:val="20"/>
                <w:szCs w:val="20"/>
                <w:spacing w:val="3"/>
              </w:rPr>
              <w:t>水田</w:t>
            </w:r>
          </w:p>
        </w:tc>
        <w:tc>
          <w:tcPr>
            <w:tcW w:w="1293" w:type="dxa"/>
            <w:vAlign w:val="top"/>
          </w:tcPr>
          <w:p>
            <w:pPr>
              <w:pStyle w:val="TableText"/>
              <w:ind w:left="545"/>
              <w:spacing w:before="67" w:line="195" w:lineRule="auto"/>
              <w:rPr/>
            </w:pPr>
            <w:r>
              <w:rPr/>
              <w:t>30</w:t>
            </w:r>
          </w:p>
        </w:tc>
        <w:tc>
          <w:tcPr>
            <w:tcW w:w="1293" w:type="dxa"/>
            <w:vAlign w:val="top"/>
          </w:tcPr>
          <w:p>
            <w:pPr>
              <w:pStyle w:val="TableText"/>
              <w:ind w:left="548"/>
              <w:spacing w:before="67" w:line="195" w:lineRule="auto"/>
              <w:rPr/>
            </w:pPr>
            <w:r>
              <w:rPr/>
              <w:t>30</w:t>
            </w:r>
          </w:p>
        </w:tc>
        <w:tc>
          <w:tcPr>
            <w:tcW w:w="1290" w:type="dxa"/>
            <w:vAlign w:val="top"/>
          </w:tcPr>
          <w:p>
            <w:pPr>
              <w:pStyle w:val="TableText"/>
              <w:ind w:left="542"/>
              <w:spacing w:before="67" w:line="195" w:lineRule="auto"/>
              <w:rPr/>
            </w:pPr>
            <w:r>
              <w:rPr>
                <w:spacing w:val="2"/>
              </w:rPr>
              <w:t>25</w:t>
            </w:r>
          </w:p>
        </w:tc>
        <w:tc>
          <w:tcPr>
            <w:tcW w:w="1295" w:type="dxa"/>
            <w:vAlign w:val="top"/>
          </w:tcPr>
          <w:p>
            <w:pPr>
              <w:pStyle w:val="TableText"/>
              <w:ind w:left="541"/>
              <w:spacing w:before="67" w:line="195" w:lineRule="auto"/>
              <w:rPr/>
            </w:pPr>
            <w:r>
              <w:rPr>
                <w:spacing w:val="4"/>
              </w:rPr>
              <w:t>20</w:t>
            </w:r>
          </w:p>
        </w:tc>
      </w:tr>
      <w:tr>
        <w:trPr>
          <w:trHeight w:val="275"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29" w:line="217"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40"/>
              <w:spacing w:before="65" w:line="195" w:lineRule="auto"/>
              <w:rPr/>
            </w:pPr>
            <w:r>
              <w:rPr>
                <w:spacing w:val="3"/>
              </w:rPr>
              <w:t>40</w:t>
            </w:r>
          </w:p>
        </w:tc>
        <w:tc>
          <w:tcPr>
            <w:tcW w:w="1293" w:type="dxa"/>
            <w:vAlign w:val="top"/>
          </w:tcPr>
          <w:p>
            <w:pPr>
              <w:pStyle w:val="TableText"/>
              <w:ind w:left="543"/>
              <w:spacing w:before="65" w:line="195" w:lineRule="auto"/>
              <w:rPr/>
            </w:pPr>
            <w:r>
              <w:rPr>
                <w:spacing w:val="3"/>
              </w:rPr>
              <w:t>40</w:t>
            </w:r>
          </w:p>
        </w:tc>
        <w:tc>
          <w:tcPr>
            <w:tcW w:w="1290" w:type="dxa"/>
            <w:vAlign w:val="top"/>
          </w:tcPr>
          <w:p>
            <w:pPr>
              <w:pStyle w:val="TableText"/>
              <w:ind w:left="547"/>
              <w:spacing w:before="65" w:line="195" w:lineRule="auto"/>
              <w:rPr/>
            </w:pPr>
            <w:r>
              <w:rPr/>
              <w:t>30</w:t>
            </w:r>
          </w:p>
        </w:tc>
        <w:tc>
          <w:tcPr>
            <w:tcW w:w="1295" w:type="dxa"/>
            <w:vAlign w:val="top"/>
          </w:tcPr>
          <w:p>
            <w:pPr>
              <w:pStyle w:val="TableText"/>
              <w:ind w:left="541"/>
              <w:spacing w:before="65" w:line="195" w:lineRule="auto"/>
              <w:rPr/>
            </w:pPr>
            <w:r>
              <w:rPr>
                <w:spacing w:val="4"/>
              </w:rPr>
              <w:t>25</w:t>
            </w:r>
          </w:p>
        </w:tc>
      </w:tr>
      <w:tr>
        <w:trPr>
          <w:trHeight w:val="278" w:hRule="atLeast"/>
        </w:trPr>
        <w:tc>
          <w:tcPr>
            <w:tcW w:w="1334" w:type="dxa"/>
            <w:vAlign w:val="top"/>
            <w:vMerge w:val="restart"/>
            <w:tcBorders>
              <w:bottom w:val="nil"/>
            </w:tcBorders>
          </w:tcPr>
          <w:p>
            <w:pPr>
              <w:pStyle w:val="TableText"/>
              <w:ind w:left="612"/>
              <w:spacing w:before="210" w:line="195" w:lineRule="auto"/>
              <w:rPr/>
            </w:pPr>
            <w:r>
              <w:rPr>
                <w:spacing w:val="1"/>
              </w:rPr>
              <w:t>4</w:t>
            </w:r>
          </w:p>
        </w:tc>
        <w:tc>
          <w:tcPr>
            <w:tcW w:w="1290" w:type="dxa"/>
            <w:vAlign w:val="top"/>
            <w:vMerge w:val="restart"/>
            <w:tcBorders>
              <w:bottom w:val="nil"/>
            </w:tcBorders>
          </w:tcPr>
          <w:p>
            <w:pPr>
              <w:ind w:left="543"/>
              <w:spacing w:before="174" w:line="232" w:lineRule="auto"/>
              <w:rPr>
                <w:rFonts w:ascii="SimSun" w:hAnsi="SimSun" w:eastAsia="SimSun" w:cs="SimSun"/>
                <w:sz w:val="20"/>
                <w:szCs w:val="20"/>
              </w:rPr>
            </w:pPr>
            <w:r>
              <w:rPr>
                <w:rFonts w:ascii="SimSun" w:hAnsi="SimSun" w:eastAsia="SimSun" w:cs="SimSun"/>
                <w:sz w:val="20"/>
                <w:szCs w:val="20"/>
              </w:rPr>
              <w:t>铅</w:t>
            </w:r>
          </w:p>
        </w:tc>
        <w:tc>
          <w:tcPr>
            <w:tcW w:w="1288" w:type="dxa"/>
            <w:vAlign w:val="top"/>
          </w:tcPr>
          <w:p>
            <w:pPr>
              <w:ind w:left="439"/>
              <w:spacing w:before="32" w:line="217" w:lineRule="auto"/>
              <w:rPr>
                <w:rFonts w:ascii="SimSun" w:hAnsi="SimSun" w:eastAsia="SimSun" w:cs="SimSun"/>
                <w:sz w:val="20"/>
                <w:szCs w:val="20"/>
              </w:rPr>
            </w:pPr>
            <w:r>
              <w:rPr>
                <w:rFonts w:ascii="SimSun" w:hAnsi="SimSun" w:eastAsia="SimSun" w:cs="SimSun"/>
                <w:sz w:val="20"/>
                <w:szCs w:val="20"/>
                <w:spacing w:val="3"/>
              </w:rPr>
              <w:t>水田</w:t>
            </w:r>
          </w:p>
        </w:tc>
        <w:tc>
          <w:tcPr>
            <w:tcW w:w="1293" w:type="dxa"/>
            <w:vAlign w:val="top"/>
          </w:tcPr>
          <w:p>
            <w:pPr>
              <w:pStyle w:val="TableText"/>
              <w:ind w:left="550"/>
              <w:spacing w:before="68" w:line="195" w:lineRule="auto"/>
              <w:rPr/>
            </w:pPr>
            <w:r>
              <w:rPr>
                <w:spacing w:val="-2"/>
              </w:rPr>
              <w:t>80</w:t>
            </w:r>
          </w:p>
        </w:tc>
        <w:tc>
          <w:tcPr>
            <w:tcW w:w="1293" w:type="dxa"/>
            <w:vAlign w:val="top"/>
          </w:tcPr>
          <w:p>
            <w:pPr>
              <w:pStyle w:val="TableText"/>
              <w:ind w:left="512"/>
              <w:spacing w:before="68" w:line="195" w:lineRule="auto"/>
              <w:rPr/>
            </w:pPr>
            <w:r>
              <w:rPr>
                <w:spacing w:val="-3"/>
              </w:rPr>
              <w:t>100</w:t>
            </w:r>
          </w:p>
        </w:tc>
        <w:tc>
          <w:tcPr>
            <w:tcW w:w="1290" w:type="dxa"/>
            <w:vAlign w:val="top"/>
          </w:tcPr>
          <w:p>
            <w:pPr>
              <w:pStyle w:val="TableText"/>
              <w:ind w:left="507"/>
              <w:spacing w:before="68" w:line="195" w:lineRule="auto"/>
              <w:rPr/>
            </w:pPr>
            <w:r>
              <w:rPr>
                <w:spacing w:val="-3"/>
              </w:rPr>
              <w:t>140</w:t>
            </w:r>
          </w:p>
        </w:tc>
        <w:tc>
          <w:tcPr>
            <w:tcW w:w="1295" w:type="dxa"/>
            <w:vAlign w:val="top"/>
          </w:tcPr>
          <w:p>
            <w:pPr>
              <w:pStyle w:val="TableText"/>
              <w:ind w:left="491"/>
              <w:spacing w:before="68" w:line="195" w:lineRule="auto"/>
              <w:rPr/>
            </w:pPr>
            <w:r>
              <w:rPr>
                <w:spacing w:val="3"/>
              </w:rPr>
              <w:t>240</w:t>
            </w:r>
          </w:p>
        </w:tc>
      </w:tr>
      <w:tr>
        <w:trPr>
          <w:trHeight w:val="275"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33" w:line="214"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45"/>
              <w:spacing w:before="68" w:line="195" w:lineRule="auto"/>
              <w:rPr/>
            </w:pPr>
            <w:r>
              <w:rPr>
                <w:spacing w:val="1"/>
              </w:rPr>
              <w:t>70</w:t>
            </w:r>
          </w:p>
        </w:tc>
        <w:tc>
          <w:tcPr>
            <w:tcW w:w="1293" w:type="dxa"/>
            <w:vAlign w:val="top"/>
          </w:tcPr>
          <w:p>
            <w:pPr>
              <w:pStyle w:val="TableText"/>
              <w:ind w:left="548"/>
              <w:spacing w:before="68" w:line="195" w:lineRule="auto"/>
              <w:rPr/>
            </w:pPr>
            <w:r>
              <w:rPr/>
              <w:t>90</w:t>
            </w:r>
          </w:p>
        </w:tc>
        <w:tc>
          <w:tcPr>
            <w:tcW w:w="1290" w:type="dxa"/>
            <w:vAlign w:val="top"/>
          </w:tcPr>
          <w:p>
            <w:pPr>
              <w:pStyle w:val="TableText"/>
              <w:ind w:left="507"/>
              <w:spacing w:before="68" w:line="195" w:lineRule="auto"/>
              <w:rPr/>
            </w:pPr>
            <w:r>
              <w:rPr>
                <w:spacing w:val="-3"/>
              </w:rPr>
              <w:t>120</w:t>
            </w:r>
          </w:p>
        </w:tc>
        <w:tc>
          <w:tcPr>
            <w:tcW w:w="1295" w:type="dxa"/>
            <w:vAlign w:val="top"/>
          </w:tcPr>
          <w:p>
            <w:pPr>
              <w:pStyle w:val="TableText"/>
              <w:ind w:left="511"/>
              <w:spacing w:before="68" w:line="195" w:lineRule="auto"/>
              <w:rPr/>
            </w:pPr>
            <w:r>
              <w:rPr>
                <w:spacing w:val="-3"/>
              </w:rPr>
              <w:t>170</w:t>
            </w:r>
          </w:p>
        </w:tc>
      </w:tr>
      <w:tr>
        <w:trPr>
          <w:trHeight w:val="278" w:hRule="atLeast"/>
        </w:trPr>
        <w:tc>
          <w:tcPr>
            <w:tcW w:w="1334" w:type="dxa"/>
            <w:vAlign w:val="top"/>
            <w:vMerge w:val="restart"/>
            <w:tcBorders>
              <w:bottom w:val="nil"/>
            </w:tcBorders>
          </w:tcPr>
          <w:p>
            <w:pPr>
              <w:pStyle w:val="TableText"/>
              <w:ind w:left="619"/>
              <w:spacing w:before="214" w:line="192" w:lineRule="auto"/>
              <w:rPr/>
            </w:pPr>
            <w:r>
              <w:rPr/>
              <w:t>5</w:t>
            </w:r>
          </w:p>
        </w:tc>
        <w:tc>
          <w:tcPr>
            <w:tcW w:w="1290" w:type="dxa"/>
            <w:vAlign w:val="top"/>
            <w:vMerge w:val="restart"/>
            <w:tcBorders>
              <w:bottom w:val="nil"/>
            </w:tcBorders>
          </w:tcPr>
          <w:p>
            <w:pPr>
              <w:ind w:left="542"/>
              <w:spacing w:before="175" w:line="230" w:lineRule="auto"/>
              <w:rPr>
                <w:rFonts w:ascii="SimSun" w:hAnsi="SimSun" w:eastAsia="SimSun" w:cs="SimSun"/>
                <w:sz w:val="20"/>
                <w:szCs w:val="20"/>
              </w:rPr>
            </w:pPr>
            <w:r>
              <w:rPr>
                <w:rFonts w:ascii="SimSun" w:hAnsi="SimSun" w:eastAsia="SimSun" w:cs="SimSun"/>
                <w:sz w:val="20"/>
                <w:szCs w:val="20"/>
                <w:spacing w:val="1"/>
              </w:rPr>
              <w:t>铬</w:t>
            </w:r>
          </w:p>
        </w:tc>
        <w:tc>
          <w:tcPr>
            <w:tcW w:w="1288" w:type="dxa"/>
            <w:vAlign w:val="top"/>
          </w:tcPr>
          <w:p>
            <w:pPr>
              <w:ind w:left="439"/>
              <w:spacing w:before="34" w:line="216" w:lineRule="auto"/>
              <w:rPr>
                <w:rFonts w:ascii="SimSun" w:hAnsi="SimSun" w:eastAsia="SimSun" w:cs="SimSun"/>
                <w:sz w:val="20"/>
                <w:szCs w:val="20"/>
              </w:rPr>
            </w:pPr>
            <w:r>
              <w:rPr>
                <w:rFonts w:ascii="SimSun" w:hAnsi="SimSun" w:eastAsia="SimSun" w:cs="SimSun"/>
                <w:sz w:val="20"/>
                <w:szCs w:val="20"/>
                <w:spacing w:val="3"/>
              </w:rPr>
              <w:t>水田</w:t>
            </w:r>
          </w:p>
        </w:tc>
        <w:tc>
          <w:tcPr>
            <w:tcW w:w="1293" w:type="dxa"/>
            <w:vAlign w:val="top"/>
          </w:tcPr>
          <w:p>
            <w:pPr>
              <w:pStyle w:val="TableText"/>
              <w:ind w:left="491"/>
              <w:spacing w:before="69" w:line="195" w:lineRule="auto"/>
              <w:rPr/>
            </w:pPr>
            <w:r>
              <w:rPr>
                <w:spacing w:val="3"/>
              </w:rPr>
              <w:t>250</w:t>
            </w:r>
          </w:p>
        </w:tc>
        <w:tc>
          <w:tcPr>
            <w:tcW w:w="1293" w:type="dxa"/>
            <w:vAlign w:val="top"/>
          </w:tcPr>
          <w:p>
            <w:pPr>
              <w:pStyle w:val="TableText"/>
              <w:ind w:left="491"/>
              <w:spacing w:before="69" w:line="195" w:lineRule="auto"/>
              <w:rPr/>
            </w:pPr>
            <w:r>
              <w:rPr>
                <w:spacing w:val="3"/>
              </w:rPr>
              <w:t>250</w:t>
            </w:r>
          </w:p>
        </w:tc>
        <w:tc>
          <w:tcPr>
            <w:tcW w:w="1290" w:type="dxa"/>
            <w:vAlign w:val="top"/>
          </w:tcPr>
          <w:p>
            <w:pPr>
              <w:pStyle w:val="TableText"/>
              <w:ind w:left="491"/>
              <w:spacing w:before="69" w:line="195" w:lineRule="auto"/>
              <w:rPr/>
            </w:pPr>
            <w:r>
              <w:rPr>
                <w:spacing w:val="3"/>
              </w:rPr>
              <w:t>300</w:t>
            </w:r>
          </w:p>
        </w:tc>
        <w:tc>
          <w:tcPr>
            <w:tcW w:w="1295" w:type="dxa"/>
            <w:vAlign w:val="top"/>
          </w:tcPr>
          <w:p>
            <w:pPr>
              <w:pStyle w:val="TableText"/>
              <w:ind w:left="495"/>
              <w:spacing w:before="69" w:line="195" w:lineRule="auto"/>
              <w:rPr/>
            </w:pPr>
            <w:r>
              <w:rPr>
                <w:spacing w:val="2"/>
              </w:rPr>
              <w:t>350</w:t>
            </w:r>
          </w:p>
        </w:tc>
      </w:tr>
      <w:tr>
        <w:trPr>
          <w:trHeight w:val="280"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33" w:line="218"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11"/>
              <w:spacing w:before="69" w:line="195" w:lineRule="auto"/>
              <w:rPr/>
            </w:pPr>
            <w:r>
              <w:rPr>
                <w:spacing w:val="-3"/>
              </w:rPr>
              <w:t>150</w:t>
            </w:r>
          </w:p>
        </w:tc>
        <w:tc>
          <w:tcPr>
            <w:tcW w:w="1293" w:type="dxa"/>
            <w:vAlign w:val="top"/>
          </w:tcPr>
          <w:p>
            <w:pPr>
              <w:pStyle w:val="TableText"/>
              <w:ind w:left="512"/>
              <w:spacing w:before="69" w:line="195" w:lineRule="auto"/>
              <w:rPr/>
            </w:pPr>
            <w:r>
              <w:rPr>
                <w:spacing w:val="-3"/>
              </w:rPr>
              <w:t>150</w:t>
            </w:r>
          </w:p>
        </w:tc>
        <w:tc>
          <w:tcPr>
            <w:tcW w:w="1290" w:type="dxa"/>
            <w:vAlign w:val="top"/>
          </w:tcPr>
          <w:p>
            <w:pPr>
              <w:pStyle w:val="TableText"/>
              <w:ind w:left="487"/>
              <w:spacing w:before="69" w:line="195" w:lineRule="auto"/>
              <w:rPr/>
            </w:pPr>
            <w:r>
              <w:rPr>
                <w:spacing w:val="4"/>
              </w:rPr>
              <w:t>200</w:t>
            </w:r>
          </w:p>
        </w:tc>
        <w:tc>
          <w:tcPr>
            <w:tcW w:w="1295" w:type="dxa"/>
            <w:vAlign w:val="top"/>
          </w:tcPr>
          <w:p>
            <w:pPr>
              <w:pStyle w:val="TableText"/>
              <w:ind w:left="491"/>
              <w:spacing w:before="69" w:line="195" w:lineRule="auto"/>
              <w:rPr/>
            </w:pPr>
            <w:r>
              <w:rPr>
                <w:spacing w:val="3"/>
              </w:rPr>
              <w:t>250</w:t>
            </w:r>
          </w:p>
        </w:tc>
      </w:tr>
    </w:tbl>
    <w:p>
      <w:pPr>
        <w:pStyle w:val="BodyText"/>
        <w:rPr/>
      </w:pPr>
      <w:r/>
    </w:p>
    <w:p>
      <w:pPr>
        <w:sectPr>
          <w:headerReference w:type="default" r:id="rId53"/>
          <w:footerReference w:type="default" r:id="rId73"/>
          <w:pgSz w:w="11906" w:h="16838"/>
          <w:pgMar w:top="1170" w:right="1403" w:bottom="1080" w:left="1413" w:header="837" w:footer="918" w:gutter="0"/>
        </w:sectPr>
        <w:rPr/>
      </w:pPr>
    </w:p>
    <w:p>
      <w:pPr>
        <w:spacing w:before="6"/>
        <w:rPr/>
      </w:pPr>
      <w:r/>
    </w:p>
    <w:tbl>
      <w:tblPr>
        <w:tblStyle w:val="TableNormal"/>
        <w:tblW w:w="908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34"/>
        <w:gridCol w:w="1290"/>
        <w:gridCol w:w="1288"/>
        <w:gridCol w:w="1293"/>
        <w:gridCol w:w="1293"/>
        <w:gridCol w:w="1290"/>
        <w:gridCol w:w="1295"/>
      </w:tblGrid>
      <w:tr>
        <w:trPr>
          <w:trHeight w:val="282" w:hRule="atLeast"/>
        </w:trPr>
        <w:tc>
          <w:tcPr>
            <w:tcW w:w="1334" w:type="dxa"/>
            <w:vAlign w:val="top"/>
            <w:vMerge w:val="restart"/>
            <w:tcBorders>
              <w:bottom w:val="nil"/>
            </w:tcBorders>
          </w:tcPr>
          <w:p>
            <w:pPr>
              <w:pStyle w:val="TableText"/>
              <w:ind w:left="618"/>
              <w:spacing w:before="211" w:line="195" w:lineRule="auto"/>
              <w:rPr/>
            </w:pPr>
            <w:r>
              <w:rPr/>
              <w:t>6</w:t>
            </w:r>
          </w:p>
        </w:tc>
        <w:tc>
          <w:tcPr>
            <w:tcW w:w="1290" w:type="dxa"/>
            <w:vAlign w:val="top"/>
            <w:vMerge w:val="restart"/>
            <w:tcBorders>
              <w:bottom w:val="nil"/>
            </w:tcBorders>
          </w:tcPr>
          <w:p>
            <w:pPr>
              <w:ind w:left="543"/>
              <w:spacing w:before="175" w:line="229" w:lineRule="auto"/>
              <w:rPr>
                <w:rFonts w:ascii="SimSun" w:hAnsi="SimSun" w:eastAsia="SimSun" w:cs="SimSun"/>
                <w:sz w:val="20"/>
                <w:szCs w:val="20"/>
              </w:rPr>
            </w:pPr>
            <w:bookmarkStart w:name="bookmark85" w:id="28"/>
            <w:bookmarkEnd w:id="28"/>
            <w:r>
              <w:rPr>
                <w:rFonts w:ascii="SimSun" w:hAnsi="SimSun" w:eastAsia="SimSun" w:cs="SimSun"/>
                <w:sz w:val="20"/>
                <w:szCs w:val="20"/>
              </w:rPr>
              <w:t>铜</w:t>
            </w:r>
          </w:p>
        </w:tc>
        <w:tc>
          <w:tcPr>
            <w:tcW w:w="1288" w:type="dxa"/>
            <w:vAlign w:val="top"/>
          </w:tcPr>
          <w:p>
            <w:pPr>
              <w:ind w:left="440"/>
              <w:spacing w:before="33" w:line="220" w:lineRule="auto"/>
              <w:rPr>
                <w:rFonts w:ascii="SimSun" w:hAnsi="SimSun" w:eastAsia="SimSun" w:cs="SimSun"/>
                <w:sz w:val="20"/>
                <w:szCs w:val="20"/>
              </w:rPr>
            </w:pPr>
            <w:r>
              <w:rPr>
                <w:rFonts w:ascii="SimSun" w:hAnsi="SimSun" w:eastAsia="SimSun" w:cs="SimSun"/>
                <w:sz w:val="20"/>
                <w:szCs w:val="20"/>
                <w:spacing w:val="2"/>
              </w:rPr>
              <w:t>果园</w:t>
            </w:r>
          </w:p>
        </w:tc>
        <w:tc>
          <w:tcPr>
            <w:tcW w:w="1293" w:type="dxa"/>
            <w:vAlign w:val="top"/>
          </w:tcPr>
          <w:p>
            <w:pPr>
              <w:pStyle w:val="TableText"/>
              <w:ind w:left="511"/>
              <w:spacing w:before="69" w:line="195" w:lineRule="auto"/>
              <w:rPr/>
            </w:pPr>
            <w:r>
              <w:rPr>
                <w:spacing w:val="-3"/>
              </w:rPr>
              <w:t>150</w:t>
            </w:r>
          </w:p>
        </w:tc>
        <w:tc>
          <w:tcPr>
            <w:tcW w:w="1293" w:type="dxa"/>
            <w:vAlign w:val="top"/>
          </w:tcPr>
          <w:p>
            <w:pPr>
              <w:pStyle w:val="TableText"/>
              <w:ind w:left="512"/>
              <w:spacing w:before="69" w:line="195" w:lineRule="auto"/>
              <w:rPr/>
            </w:pPr>
            <w:r>
              <w:rPr>
                <w:spacing w:val="-3"/>
              </w:rPr>
              <w:t>150</w:t>
            </w:r>
          </w:p>
        </w:tc>
        <w:tc>
          <w:tcPr>
            <w:tcW w:w="1290" w:type="dxa"/>
            <w:vAlign w:val="top"/>
          </w:tcPr>
          <w:p>
            <w:pPr>
              <w:pStyle w:val="TableText"/>
              <w:ind w:left="487"/>
              <w:spacing w:before="69" w:line="195" w:lineRule="auto"/>
              <w:rPr/>
            </w:pPr>
            <w:r>
              <w:rPr>
                <w:spacing w:val="4"/>
              </w:rPr>
              <w:t>200</w:t>
            </w:r>
          </w:p>
        </w:tc>
        <w:tc>
          <w:tcPr>
            <w:tcW w:w="1295" w:type="dxa"/>
            <w:vAlign w:val="top"/>
          </w:tcPr>
          <w:p>
            <w:pPr>
              <w:pStyle w:val="TableText"/>
              <w:ind w:left="491"/>
              <w:spacing w:before="69" w:line="195" w:lineRule="auto"/>
              <w:rPr/>
            </w:pPr>
            <w:r>
              <w:rPr>
                <w:spacing w:val="3"/>
              </w:rPr>
              <w:t>200</w:t>
            </w:r>
          </w:p>
        </w:tc>
      </w:tr>
      <w:tr>
        <w:trPr>
          <w:trHeight w:val="277" w:hRule="atLeast"/>
        </w:trPr>
        <w:tc>
          <w:tcPr>
            <w:tcW w:w="1334" w:type="dxa"/>
            <w:vAlign w:val="top"/>
            <w:vMerge w:val="continue"/>
            <w:tcBorders>
              <w:top w:val="nil"/>
            </w:tcBorders>
          </w:tcPr>
          <w:p>
            <w:pPr>
              <w:rPr>
                <w:rFonts w:ascii="Arial"/>
                <w:sz w:val="21"/>
              </w:rPr>
            </w:pPr>
            <w:r/>
          </w:p>
        </w:tc>
        <w:tc>
          <w:tcPr>
            <w:tcW w:w="1290" w:type="dxa"/>
            <w:vAlign w:val="top"/>
            <w:vMerge w:val="continue"/>
            <w:tcBorders>
              <w:top w:val="nil"/>
            </w:tcBorders>
          </w:tcPr>
          <w:p>
            <w:pPr>
              <w:rPr>
                <w:rFonts w:ascii="Arial"/>
                <w:sz w:val="21"/>
              </w:rPr>
            </w:pPr>
            <w:r/>
          </w:p>
        </w:tc>
        <w:tc>
          <w:tcPr>
            <w:tcW w:w="1288" w:type="dxa"/>
            <w:vAlign w:val="top"/>
          </w:tcPr>
          <w:p>
            <w:pPr>
              <w:ind w:left="437"/>
              <w:spacing w:before="29" w:line="219" w:lineRule="auto"/>
              <w:rPr>
                <w:rFonts w:ascii="SimSun" w:hAnsi="SimSun" w:eastAsia="SimSun" w:cs="SimSun"/>
                <w:sz w:val="20"/>
                <w:szCs w:val="20"/>
              </w:rPr>
            </w:pPr>
            <w:r>
              <w:rPr>
                <w:rFonts w:ascii="SimSun" w:hAnsi="SimSun" w:eastAsia="SimSun" w:cs="SimSun"/>
                <w:sz w:val="20"/>
                <w:szCs w:val="20"/>
                <w:spacing w:val="4"/>
              </w:rPr>
              <w:t>其他</w:t>
            </w:r>
          </w:p>
        </w:tc>
        <w:tc>
          <w:tcPr>
            <w:tcW w:w="1293" w:type="dxa"/>
            <w:vAlign w:val="top"/>
          </w:tcPr>
          <w:p>
            <w:pPr>
              <w:pStyle w:val="TableText"/>
              <w:ind w:left="547"/>
              <w:spacing w:before="65" w:line="195" w:lineRule="auto"/>
              <w:rPr/>
            </w:pPr>
            <w:r>
              <w:rPr/>
              <w:t>50</w:t>
            </w:r>
          </w:p>
        </w:tc>
        <w:tc>
          <w:tcPr>
            <w:tcW w:w="1293" w:type="dxa"/>
            <w:vAlign w:val="top"/>
          </w:tcPr>
          <w:p>
            <w:pPr>
              <w:pStyle w:val="TableText"/>
              <w:ind w:left="550"/>
              <w:spacing w:before="65" w:line="195" w:lineRule="auto"/>
              <w:rPr/>
            </w:pPr>
            <w:r>
              <w:rPr/>
              <w:t>50</w:t>
            </w:r>
          </w:p>
        </w:tc>
        <w:tc>
          <w:tcPr>
            <w:tcW w:w="1290" w:type="dxa"/>
            <w:vAlign w:val="top"/>
          </w:tcPr>
          <w:p>
            <w:pPr>
              <w:pStyle w:val="TableText"/>
              <w:ind w:left="507"/>
              <w:spacing w:before="65" w:line="195" w:lineRule="auto"/>
              <w:rPr/>
            </w:pPr>
            <w:r>
              <w:rPr>
                <w:spacing w:val="-3"/>
              </w:rPr>
              <w:t>100</w:t>
            </w:r>
          </w:p>
        </w:tc>
        <w:tc>
          <w:tcPr>
            <w:tcW w:w="1295" w:type="dxa"/>
            <w:vAlign w:val="top"/>
          </w:tcPr>
          <w:p>
            <w:pPr>
              <w:pStyle w:val="TableText"/>
              <w:ind w:left="511"/>
              <w:spacing w:before="65" w:line="195" w:lineRule="auto"/>
              <w:rPr/>
            </w:pPr>
            <w:r>
              <w:rPr>
                <w:spacing w:val="-3"/>
              </w:rPr>
              <w:t>100</w:t>
            </w:r>
          </w:p>
        </w:tc>
      </w:tr>
      <w:tr>
        <w:trPr>
          <w:trHeight w:val="274" w:hRule="atLeast"/>
        </w:trPr>
        <w:tc>
          <w:tcPr>
            <w:tcW w:w="1334" w:type="dxa"/>
            <w:vAlign w:val="top"/>
          </w:tcPr>
          <w:p>
            <w:pPr>
              <w:pStyle w:val="TableText"/>
              <w:ind w:left="617"/>
              <w:spacing w:before="67" w:line="192" w:lineRule="auto"/>
              <w:rPr/>
            </w:pPr>
            <w:r>
              <w:rPr/>
              <w:t>7</w:t>
            </w:r>
          </w:p>
        </w:tc>
        <w:tc>
          <w:tcPr>
            <w:tcW w:w="2578" w:type="dxa"/>
            <w:vAlign w:val="top"/>
            <w:gridSpan w:val="2"/>
          </w:tcPr>
          <w:p>
            <w:pPr>
              <w:ind w:left="1188"/>
              <w:spacing w:before="28" w:line="217" w:lineRule="auto"/>
              <w:rPr>
                <w:rFonts w:ascii="SimSun" w:hAnsi="SimSun" w:eastAsia="SimSun" w:cs="SimSun"/>
                <w:sz w:val="20"/>
                <w:szCs w:val="20"/>
              </w:rPr>
            </w:pPr>
            <w:r>
              <w:rPr>
                <w:rFonts w:ascii="SimSun" w:hAnsi="SimSun" w:eastAsia="SimSun" w:cs="SimSun"/>
                <w:sz w:val="20"/>
                <w:szCs w:val="20"/>
                <w:spacing w:val="1"/>
              </w:rPr>
              <w:t>镍</w:t>
            </w:r>
          </w:p>
        </w:tc>
        <w:tc>
          <w:tcPr>
            <w:tcW w:w="1293" w:type="dxa"/>
            <w:vAlign w:val="top"/>
          </w:tcPr>
          <w:p>
            <w:pPr>
              <w:pStyle w:val="TableText"/>
              <w:ind w:left="546"/>
              <w:spacing w:before="64" w:line="195" w:lineRule="auto"/>
              <w:rPr/>
            </w:pPr>
            <w:r>
              <w:rPr/>
              <w:t>60</w:t>
            </w:r>
          </w:p>
        </w:tc>
        <w:tc>
          <w:tcPr>
            <w:tcW w:w="1293" w:type="dxa"/>
            <w:vAlign w:val="top"/>
          </w:tcPr>
          <w:p>
            <w:pPr>
              <w:pStyle w:val="TableText"/>
              <w:ind w:left="548"/>
              <w:spacing w:before="64" w:line="195" w:lineRule="auto"/>
              <w:rPr/>
            </w:pPr>
            <w:r>
              <w:rPr>
                <w:spacing w:val="1"/>
              </w:rPr>
              <w:t>70</w:t>
            </w:r>
          </w:p>
        </w:tc>
        <w:tc>
          <w:tcPr>
            <w:tcW w:w="1290" w:type="dxa"/>
            <w:vAlign w:val="top"/>
          </w:tcPr>
          <w:p>
            <w:pPr>
              <w:pStyle w:val="TableText"/>
              <w:ind w:left="507"/>
              <w:spacing w:before="64" w:line="195" w:lineRule="auto"/>
              <w:rPr/>
            </w:pPr>
            <w:r>
              <w:rPr>
                <w:spacing w:val="-3"/>
              </w:rPr>
              <w:t>100</w:t>
            </w:r>
          </w:p>
        </w:tc>
        <w:tc>
          <w:tcPr>
            <w:tcW w:w="1295" w:type="dxa"/>
            <w:vAlign w:val="top"/>
          </w:tcPr>
          <w:p>
            <w:pPr>
              <w:pStyle w:val="TableText"/>
              <w:ind w:left="511"/>
              <w:spacing w:before="64" w:line="195" w:lineRule="auto"/>
              <w:rPr/>
            </w:pPr>
            <w:r>
              <w:rPr>
                <w:spacing w:val="-3"/>
              </w:rPr>
              <w:t>190</w:t>
            </w:r>
          </w:p>
        </w:tc>
      </w:tr>
      <w:tr>
        <w:trPr>
          <w:trHeight w:val="282" w:hRule="atLeast"/>
        </w:trPr>
        <w:tc>
          <w:tcPr>
            <w:tcW w:w="1334" w:type="dxa"/>
            <w:vAlign w:val="top"/>
          </w:tcPr>
          <w:p>
            <w:pPr>
              <w:pStyle w:val="TableText"/>
              <w:ind w:left="622"/>
              <w:spacing w:before="68" w:line="195" w:lineRule="auto"/>
              <w:rPr/>
            </w:pPr>
            <w:r>
              <w:rPr/>
              <w:t>8</w:t>
            </w:r>
          </w:p>
        </w:tc>
        <w:tc>
          <w:tcPr>
            <w:tcW w:w="2578" w:type="dxa"/>
            <w:vAlign w:val="top"/>
            <w:gridSpan w:val="2"/>
          </w:tcPr>
          <w:p>
            <w:pPr>
              <w:ind w:left="1188"/>
              <w:spacing w:before="32" w:line="221" w:lineRule="auto"/>
              <w:rPr>
                <w:rFonts w:ascii="SimSun" w:hAnsi="SimSun" w:eastAsia="SimSun" w:cs="SimSun"/>
                <w:sz w:val="20"/>
                <w:szCs w:val="20"/>
              </w:rPr>
            </w:pPr>
            <w:r>
              <w:rPr>
                <w:rFonts w:ascii="SimSun" w:hAnsi="SimSun" w:eastAsia="SimSun" w:cs="SimSun"/>
                <w:sz w:val="20"/>
                <w:szCs w:val="20"/>
                <w:spacing w:val="1"/>
              </w:rPr>
              <w:t>锌</w:t>
            </w:r>
          </w:p>
        </w:tc>
        <w:tc>
          <w:tcPr>
            <w:tcW w:w="1293" w:type="dxa"/>
            <w:vAlign w:val="top"/>
          </w:tcPr>
          <w:p>
            <w:pPr>
              <w:pStyle w:val="TableText"/>
              <w:ind w:left="491"/>
              <w:spacing w:before="68" w:line="195" w:lineRule="auto"/>
              <w:rPr/>
            </w:pPr>
            <w:r>
              <w:rPr>
                <w:spacing w:val="3"/>
              </w:rPr>
              <w:t>200</w:t>
            </w:r>
          </w:p>
        </w:tc>
        <w:tc>
          <w:tcPr>
            <w:tcW w:w="1293" w:type="dxa"/>
            <w:vAlign w:val="top"/>
          </w:tcPr>
          <w:p>
            <w:pPr>
              <w:pStyle w:val="TableText"/>
              <w:ind w:left="491"/>
              <w:spacing w:before="68" w:line="195" w:lineRule="auto"/>
              <w:rPr/>
            </w:pPr>
            <w:r>
              <w:rPr>
                <w:spacing w:val="3"/>
              </w:rPr>
              <w:t>200</w:t>
            </w:r>
          </w:p>
        </w:tc>
        <w:tc>
          <w:tcPr>
            <w:tcW w:w="1290" w:type="dxa"/>
            <w:vAlign w:val="top"/>
          </w:tcPr>
          <w:p>
            <w:pPr>
              <w:pStyle w:val="TableText"/>
              <w:ind w:left="487"/>
              <w:spacing w:before="68" w:line="195" w:lineRule="auto"/>
              <w:rPr/>
            </w:pPr>
            <w:r>
              <w:rPr>
                <w:spacing w:val="4"/>
              </w:rPr>
              <w:t>250</w:t>
            </w:r>
          </w:p>
        </w:tc>
        <w:tc>
          <w:tcPr>
            <w:tcW w:w="1295" w:type="dxa"/>
            <w:vAlign w:val="top"/>
          </w:tcPr>
          <w:p>
            <w:pPr>
              <w:pStyle w:val="TableText"/>
              <w:ind w:left="495"/>
              <w:spacing w:before="68" w:line="195" w:lineRule="auto"/>
              <w:rPr/>
            </w:pPr>
            <w:r>
              <w:rPr>
                <w:spacing w:val="2"/>
              </w:rPr>
              <w:t>300</w:t>
            </w:r>
          </w:p>
        </w:tc>
      </w:tr>
    </w:tbl>
    <w:p>
      <w:pPr>
        <w:ind w:left="39"/>
        <w:spacing w:before="29" w:line="225" w:lineRule="auto"/>
        <w:rPr>
          <w:rFonts w:ascii="SimSun" w:hAnsi="SimSun" w:eastAsia="SimSun" w:cs="SimSun"/>
          <w:sz w:val="20"/>
          <w:szCs w:val="20"/>
        </w:rPr>
      </w:pPr>
      <w:r>
        <w:rPr>
          <w:rFonts w:ascii="SimSun" w:hAnsi="SimSun" w:eastAsia="SimSun" w:cs="SimSun"/>
          <w:sz w:val="20"/>
          <w:szCs w:val="20"/>
          <w:spacing w:val="9"/>
        </w:rPr>
        <w:t>注：①重金属和类金属砷均按元素总量计</w:t>
      </w:r>
    </w:p>
    <w:p>
      <w:pPr>
        <w:ind w:left="457"/>
        <w:spacing w:before="27" w:line="225" w:lineRule="auto"/>
        <w:rPr>
          <w:rFonts w:ascii="SimSun" w:hAnsi="SimSun" w:eastAsia="SimSun" w:cs="SimSun"/>
          <w:sz w:val="20"/>
          <w:szCs w:val="20"/>
        </w:rPr>
      </w:pPr>
      <w:r>
        <w:rPr>
          <w:rFonts w:ascii="SimSun" w:hAnsi="SimSun" w:eastAsia="SimSun" w:cs="SimSun"/>
          <w:sz w:val="20"/>
          <w:szCs w:val="20"/>
          <w:spacing w:val="9"/>
        </w:rPr>
        <w:t>②对于水旱轮作地，采用其中较严格的风险筛选值。</w:t>
      </w:r>
    </w:p>
    <w:p>
      <w:pPr>
        <w:ind w:left="36"/>
        <w:spacing w:before="174"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2.7.1.6  </w:t>
      </w:r>
      <w:r>
        <w:rPr>
          <w:rFonts w:ascii="SimHei" w:hAnsi="SimHei" w:eastAsia="SimHei" w:cs="SimHei"/>
          <w:sz w:val="24"/>
          <w:szCs w:val="24"/>
          <w:b/>
          <w:bCs/>
          <w:spacing w:val="-2"/>
        </w:rPr>
        <w:t>废气污染物排放标准</w:t>
      </w:r>
    </w:p>
    <w:p>
      <w:pPr>
        <w:ind w:left="44" w:right="33" w:firstLine="475"/>
        <w:spacing w:before="161" w:line="340" w:lineRule="auto"/>
        <w:rPr>
          <w:rFonts w:ascii="SimSun" w:hAnsi="SimSun" w:eastAsia="SimSun" w:cs="SimSun"/>
          <w:sz w:val="24"/>
          <w:szCs w:val="24"/>
        </w:rPr>
      </w:pPr>
      <w:r>
        <w:rPr>
          <w:rFonts w:ascii="SimSun" w:hAnsi="SimSun" w:eastAsia="SimSun" w:cs="SimSun"/>
          <w:sz w:val="24"/>
          <w:szCs w:val="24"/>
          <w:spacing w:val="-3"/>
        </w:rPr>
        <w:t>颗粒物排放执行《煤炭工业污染物排放标准》（</w:t>
      </w:r>
      <w:r>
        <w:rPr>
          <w:rFonts w:ascii="Times New Roman" w:hAnsi="Times New Roman" w:eastAsia="Times New Roman" w:cs="Times New Roman"/>
          <w:sz w:val="24"/>
          <w:szCs w:val="24"/>
          <w:spacing w:val="-3"/>
        </w:rPr>
        <w:t>GB20426-2006</w:t>
      </w:r>
      <w:r>
        <w:rPr>
          <w:rFonts w:ascii="SimSun" w:hAnsi="SimSun" w:eastAsia="SimSun" w:cs="SimSun"/>
          <w:sz w:val="24"/>
          <w:szCs w:val="24"/>
          <w:spacing w:val="-3"/>
        </w:rPr>
        <w:t>）表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煤炭工业无组</w:t>
      </w:r>
      <w:r>
        <w:rPr>
          <w:rFonts w:ascii="SimSun" w:hAnsi="SimSun" w:eastAsia="SimSun" w:cs="SimSun"/>
          <w:sz w:val="24"/>
          <w:szCs w:val="24"/>
          <w:spacing w:val="-2"/>
        </w:rPr>
        <w:t>织排放限值。标准值见表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2-7-7</w:t>
      </w:r>
      <w:r>
        <w:rPr>
          <w:rFonts w:ascii="SimSun" w:hAnsi="SimSun" w:eastAsia="SimSun" w:cs="SimSun"/>
          <w:sz w:val="24"/>
          <w:szCs w:val="24"/>
          <w:spacing w:val="-2"/>
        </w:rPr>
        <w:t>。</w:t>
      </w:r>
    </w:p>
    <w:p>
      <w:pPr>
        <w:ind w:left="3255"/>
        <w:spacing w:before="124" w:line="221" w:lineRule="auto"/>
        <w:rPr>
          <w:rFonts w:ascii="SimHei" w:hAnsi="SimHei" w:eastAsia="SimHei" w:cs="SimHei"/>
          <w:sz w:val="24"/>
          <w:szCs w:val="24"/>
        </w:rPr>
      </w:pPr>
      <w:r>
        <w:rPr>
          <w:rFonts w:ascii="SimHei" w:hAnsi="SimHei" w:eastAsia="SimHei" w:cs="SimHei"/>
          <w:sz w:val="24"/>
          <w:szCs w:val="24"/>
          <w:spacing w:val="-1"/>
        </w:rPr>
        <w:t>煤炭工业无组织排放限值</w:t>
      </w:r>
    </w:p>
    <w:p>
      <w:pPr>
        <w:ind w:left="38"/>
        <w:spacing w:before="71" w:line="221" w:lineRule="auto"/>
        <w:rPr>
          <w:rFonts w:ascii="Times New Roman" w:hAnsi="Times New Roman" w:eastAsia="Times New Roman" w:cs="Times New Roman"/>
          <w:sz w:val="13"/>
          <w:szCs w:val="13"/>
        </w:rPr>
      </w:pPr>
      <w:r>
        <w:rPr>
          <w:rFonts w:ascii="SimSun" w:hAnsi="SimSun" w:eastAsia="SimSun" w:cs="SimSun"/>
          <w:sz w:val="20"/>
          <w:szCs w:val="20"/>
          <w:spacing w:val="5"/>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5"/>
        </w:rPr>
        <w:t>2-7-7</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/m</w:t>
      </w:r>
      <w:r>
        <w:rPr>
          <w:rFonts w:ascii="Times New Roman" w:hAnsi="Times New Roman" w:eastAsia="Times New Roman" w:cs="Times New Roman"/>
          <w:sz w:val="13"/>
          <w:szCs w:val="13"/>
          <w:spacing w:val="5"/>
          <w:position w:val="6"/>
        </w:rPr>
        <w:t>3</w:t>
      </w:r>
    </w:p>
    <w:p>
      <w:pPr>
        <w:spacing w:line="27" w:lineRule="auto"/>
        <w:rPr>
          <w:rFonts w:ascii="Arial"/>
          <w:sz w:val="2"/>
        </w:rPr>
      </w:pPr>
      <w:r>
        <w:rPr>
          <w:rFonts w:ascii="Arial"/>
          <w:sz w:val="2"/>
        </w:r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96"/>
        <w:gridCol w:w="1501"/>
        <w:gridCol w:w="3176"/>
        <w:gridCol w:w="3058"/>
      </w:tblGrid>
      <w:tr>
        <w:trPr>
          <w:trHeight w:val="342" w:hRule="atLeast"/>
        </w:trPr>
        <w:tc>
          <w:tcPr>
            <w:tcW w:w="1396" w:type="dxa"/>
            <w:vAlign w:val="top"/>
            <w:vMerge w:val="restart"/>
            <w:tcBorders>
              <w:bottom w:val="nil"/>
            </w:tcBorders>
          </w:tcPr>
          <w:p>
            <w:pPr>
              <w:spacing w:line="448" w:lineRule="auto"/>
              <w:rPr>
                <w:rFonts w:ascii="Arial"/>
                <w:sz w:val="21"/>
              </w:rPr>
            </w:pPr>
            <w:r/>
          </w:p>
          <w:p>
            <w:pPr>
              <w:ind w:left="388"/>
              <w:spacing w:before="65" w:line="228" w:lineRule="auto"/>
              <w:rPr>
                <w:rFonts w:ascii="SimSun" w:hAnsi="SimSun" w:eastAsia="SimSun" w:cs="SimSun"/>
                <w:sz w:val="20"/>
                <w:szCs w:val="20"/>
              </w:rPr>
            </w:pPr>
            <w:r>
              <w:rPr>
                <w:rFonts w:ascii="SimSun" w:hAnsi="SimSun" w:eastAsia="SimSun" w:cs="SimSun"/>
                <w:sz w:val="20"/>
                <w:szCs w:val="20"/>
                <w:spacing w:val="6"/>
              </w:rPr>
              <w:t>污染物</w:t>
            </w:r>
          </w:p>
        </w:tc>
        <w:tc>
          <w:tcPr>
            <w:tcW w:w="1501" w:type="dxa"/>
            <w:vAlign w:val="top"/>
            <w:vMerge w:val="restart"/>
            <w:tcBorders>
              <w:bottom w:val="nil"/>
            </w:tcBorders>
          </w:tcPr>
          <w:p>
            <w:pPr>
              <w:spacing w:line="448" w:lineRule="auto"/>
              <w:rPr>
                <w:rFonts w:ascii="Arial"/>
                <w:sz w:val="21"/>
              </w:rPr>
            </w:pPr>
            <w:r/>
          </w:p>
          <w:p>
            <w:pPr>
              <w:ind w:left="439"/>
              <w:spacing w:before="65" w:line="228" w:lineRule="auto"/>
              <w:rPr>
                <w:rFonts w:ascii="SimSun" w:hAnsi="SimSun" w:eastAsia="SimSun" w:cs="SimSun"/>
                <w:sz w:val="20"/>
                <w:szCs w:val="20"/>
              </w:rPr>
            </w:pPr>
            <w:r>
              <w:rPr>
                <w:rFonts w:ascii="SimSun" w:hAnsi="SimSun" w:eastAsia="SimSun" w:cs="SimSun"/>
                <w:sz w:val="20"/>
                <w:szCs w:val="20"/>
                <w:spacing w:val="6"/>
              </w:rPr>
              <w:t>监控点</w:t>
            </w:r>
          </w:p>
        </w:tc>
        <w:tc>
          <w:tcPr>
            <w:tcW w:w="6234" w:type="dxa"/>
            <w:vAlign w:val="top"/>
            <w:gridSpan w:val="2"/>
          </w:tcPr>
          <w:p>
            <w:pPr>
              <w:ind w:left="2701"/>
              <w:spacing w:before="65" w:line="228" w:lineRule="auto"/>
              <w:rPr>
                <w:rFonts w:ascii="SimSun" w:hAnsi="SimSun" w:eastAsia="SimSun" w:cs="SimSun"/>
                <w:sz w:val="20"/>
                <w:szCs w:val="20"/>
              </w:rPr>
            </w:pPr>
            <w:r>
              <w:rPr>
                <w:rFonts w:ascii="SimSun" w:hAnsi="SimSun" w:eastAsia="SimSun" w:cs="SimSun"/>
                <w:sz w:val="20"/>
                <w:szCs w:val="20"/>
                <w:spacing w:val="7"/>
              </w:rPr>
              <w:t>作业场所</w:t>
            </w:r>
          </w:p>
        </w:tc>
      </w:tr>
      <w:tr>
        <w:trPr>
          <w:trHeight w:val="313" w:hRule="atLeast"/>
        </w:trPr>
        <w:tc>
          <w:tcPr>
            <w:tcW w:w="1396" w:type="dxa"/>
            <w:vAlign w:val="top"/>
            <w:vMerge w:val="continue"/>
            <w:tcBorders>
              <w:top w:val="nil"/>
              <w:bottom w:val="nil"/>
            </w:tcBorders>
          </w:tcPr>
          <w:p>
            <w:pPr>
              <w:rPr>
                <w:rFonts w:ascii="Arial"/>
                <w:sz w:val="21"/>
              </w:rPr>
            </w:pPr>
            <w:r/>
          </w:p>
        </w:tc>
        <w:tc>
          <w:tcPr>
            <w:tcW w:w="1501" w:type="dxa"/>
            <w:vAlign w:val="top"/>
            <w:vMerge w:val="continue"/>
            <w:tcBorders>
              <w:top w:val="nil"/>
              <w:bottom w:val="nil"/>
            </w:tcBorders>
          </w:tcPr>
          <w:p>
            <w:pPr>
              <w:rPr>
                <w:rFonts w:ascii="Arial"/>
                <w:sz w:val="21"/>
              </w:rPr>
            </w:pPr>
            <w:r/>
          </w:p>
        </w:tc>
        <w:tc>
          <w:tcPr>
            <w:tcW w:w="3176" w:type="dxa"/>
            <w:vAlign w:val="top"/>
          </w:tcPr>
          <w:p>
            <w:pPr>
              <w:ind w:left="546"/>
              <w:spacing w:before="49" w:line="228" w:lineRule="auto"/>
              <w:rPr>
                <w:rFonts w:ascii="SimSun" w:hAnsi="SimSun" w:eastAsia="SimSun" w:cs="SimSun"/>
                <w:sz w:val="20"/>
                <w:szCs w:val="20"/>
              </w:rPr>
            </w:pPr>
            <w:r>
              <w:rPr>
                <w:rFonts w:ascii="SimSun" w:hAnsi="SimSun" w:eastAsia="SimSun" w:cs="SimSun"/>
                <w:sz w:val="20"/>
                <w:szCs w:val="20"/>
                <w:spacing w:val="8"/>
              </w:rPr>
              <w:t>煤炭工业所属装卸场所</w:t>
            </w:r>
          </w:p>
        </w:tc>
        <w:tc>
          <w:tcPr>
            <w:tcW w:w="3058" w:type="dxa"/>
            <w:vAlign w:val="top"/>
          </w:tcPr>
          <w:p>
            <w:pPr>
              <w:ind w:left="166"/>
              <w:spacing w:before="48" w:line="228" w:lineRule="auto"/>
              <w:rPr>
                <w:rFonts w:ascii="SimSun" w:hAnsi="SimSun" w:eastAsia="SimSun" w:cs="SimSun"/>
                <w:sz w:val="20"/>
                <w:szCs w:val="20"/>
              </w:rPr>
            </w:pPr>
            <w:r>
              <w:rPr>
                <w:rFonts w:ascii="SimSun" w:hAnsi="SimSun" w:eastAsia="SimSun" w:cs="SimSun"/>
                <w:sz w:val="20"/>
                <w:szCs w:val="20"/>
                <w:spacing w:val="9"/>
              </w:rPr>
              <w:t>煤炭贮存场所、煤矸石堆置场</w:t>
            </w:r>
          </w:p>
        </w:tc>
      </w:tr>
      <w:tr>
        <w:trPr>
          <w:trHeight w:val="579" w:hRule="atLeast"/>
        </w:trPr>
        <w:tc>
          <w:tcPr>
            <w:tcW w:w="1396" w:type="dxa"/>
            <w:vAlign w:val="top"/>
            <w:vMerge w:val="continue"/>
            <w:tcBorders>
              <w:top w:val="nil"/>
            </w:tcBorders>
          </w:tcPr>
          <w:p>
            <w:pPr>
              <w:rPr>
                <w:rFonts w:ascii="Arial"/>
                <w:sz w:val="21"/>
              </w:rPr>
            </w:pPr>
            <w:r/>
          </w:p>
        </w:tc>
        <w:tc>
          <w:tcPr>
            <w:tcW w:w="1501" w:type="dxa"/>
            <w:vAlign w:val="top"/>
            <w:vMerge w:val="continue"/>
            <w:tcBorders>
              <w:top w:val="nil"/>
            </w:tcBorders>
          </w:tcPr>
          <w:p>
            <w:pPr>
              <w:rPr>
                <w:rFonts w:ascii="Arial"/>
                <w:sz w:val="21"/>
              </w:rPr>
            </w:pPr>
            <w:r/>
          </w:p>
        </w:tc>
        <w:tc>
          <w:tcPr>
            <w:tcW w:w="3176" w:type="dxa"/>
            <w:vAlign w:val="top"/>
          </w:tcPr>
          <w:p>
            <w:pPr>
              <w:pStyle w:val="TableText"/>
              <w:ind w:left="35"/>
              <w:spacing w:before="45" w:line="221" w:lineRule="auto"/>
              <w:rPr>
                <w:rFonts w:ascii="SimSun" w:hAnsi="SimSun" w:eastAsia="SimSun" w:cs="SimSun"/>
              </w:rPr>
            </w:pPr>
            <w:r>
              <w:rPr>
                <w:rFonts w:ascii="SimSun" w:hAnsi="SimSun" w:eastAsia="SimSun" w:cs="SimSun"/>
                <w:spacing w:val="10"/>
              </w:rPr>
              <w:t>无组织排放限值</w:t>
            </w:r>
            <w:r>
              <w:rPr>
                <w:spacing w:val="10"/>
              </w:rPr>
              <w:t>/</w:t>
            </w:r>
            <w:r>
              <w:rPr>
                <w:rFonts w:ascii="SimSun" w:hAnsi="SimSun" w:eastAsia="SimSun" w:cs="SimSun"/>
                <w:spacing w:val="10"/>
              </w:rPr>
              <w:t>（</w:t>
            </w:r>
            <w:r>
              <w:rPr/>
              <w:t>mg</w:t>
            </w:r>
            <w:r>
              <w:rPr>
                <w:spacing w:val="10"/>
              </w:rPr>
              <w:t>/m</w:t>
            </w:r>
            <w:r>
              <w:rPr>
                <w:sz w:val="13"/>
                <w:szCs w:val="13"/>
                <w:spacing w:val="10"/>
                <w:position w:val="6"/>
              </w:rPr>
              <w:t>3</w:t>
            </w:r>
            <w:r>
              <w:rPr>
                <w:sz w:val="13"/>
                <w:szCs w:val="13"/>
                <w:spacing w:val="-5"/>
                <w:position w:val="6"/>
              </w:rPr>
              <w:t xml:space="preserve"> </w:t>
            </w:r>
            <w:r>
              <w:rPr>
                <w:rFonts w:ascii="SimSun" w:hAnsi="SimSun" w:eastAsia="SimSun" w:cs="SimSun"/>
                <w:spacing w:val="-24"/>
              </w:rPr>
              <w:t>）（</w:t>
            </w:r>
            <w:r>
              <w:rPr>
                <w:rFonts w:ascii="SimSun" w:hAnsi="SimSun" w:eastAsia="SimSun" w:cs="SimSun"/>
                <w:spacing w:val="10"/>
              </w:rPr>
              <w:t>监控</w:t>
            </w:r>
          </w:p>
          <w:p>
            <w:pPr>
              <w:ind w:left="556"/>
              <w:spacing w:before="33" w:line="228" w:lineRule="auto"/>
              <w:rPr>
                <w:rFonts w:ascii="SimSun" w:hAnsi="SimSun" w:eastAsia="SimSun" w:cs="SimSun"/>
                <w:sz w:val="20"/>
                <w:szCs w:val="20"/>
              </w:rPr>
            </w:pPr>
            <w:r>
              <w:rPr>
                <w:rFonts w:ascii="SimSun" w:hAnsi="SimSun" w:eastAsia="SimSun" w:cs="SimSun"/>
                <w:sz w:val="20"/>
                <w:szCs w:val="20"/>
                <w:spacing w:val="7"/>
              </w:rPr>
              <w:t>点与参考点浓度差值）</w:t>
            </w:r>
          </w:p>
        </w:tc>
        <w:tc>
          <w:tcPr>
            <w:tcW w:w="3058" w:type="dxa"/>
            <w:vAlign w:val="top"/>
          </w:tcPr>
          <w:p>
            <w:pPr>
              <w:pStyle w:val="TableText"/>
              <w:ind w:left="71"/>
              <w:spacing w:before="45" w:line="221" w:lineRule="auto"/>
              <w:rPr>
                <w:rFonts w:ascii="SimSun" w:hAnsi="SimSun" w:eastAsia="SimSun" w:cs="SimSun"/>
              </w:rPr>
            </w:pPr>
            <w:r>
              <w:rPr>
                <w:rFonts w:ascii="SimSun" w:hAnsi="SimSun" w:eastAsia="SimSun" w:cs="SimSun"/>
                <w:spacing w:val="9"/>
              </w:rPr>
              <w:t>无组织排放限值</w:t>
            </w:r>
            <w:r>
              <w:rPr>
                <w:spacing w:val="9"/>
              </w:rPr>
              <w:t>/</w:t>
            </w:r>
            <w:r>
              <w:rPr>
                <w:rFonts w:ascii="SimSun" w:hAnsi="SimSun" w:eastAsia="SimSun" w:cs="SimSun"/>
                <w:spacing w:val="9"/>
              </w:rPr>
              <w:t>（</w:t>
            </w:r>
            <w:r>
              <w:rPr/>
              <w:t>mg</w:t>
            </w:r>
            <w:r>
              <w:rPr>
                <w:spacing w:val="9"/>
              </w:rPr>
              <w:t>/m</w:t>
            </w:r>
            <w:r>
              <w:rPr>
                <w:sz w:val="13"/>
                <w:szCs w:val="13"/>
                <w:spacing w:val="9"/>
                <w:position w:val="6"/>
              </w:rPr>
              <w:t>3 </w:t>
            </w:r>
            <w:r>
              <w:rPr>
                <w:rFonts w:ascii="SimSun" w:hAnsi="SimSun" w:eastAsia="SimSun" w:cs="SimSun"/>
                <w:spacing w:val="-16"/>
              </w:rPr>
              <w:t>）（</w:t>
            </w:r>
            <w:r>
              <w:rPr>
                <w:rFonts w:ascii="SimSun" w:hAnsi="SimSun" w:eastAsia="SimSun" w:cs="SimSun"/>
                <w:spacing w:val="9"/>
              </w:rPr>
              <w:t>监</w:t>
            </w:r>
          </w:p>
          <w:p>
            <w:pPr>
              <w:ind w:left="378"/>
              <w:spacing w:before="33" w:line="228" w:lineRule="auto"/>
              <w:rPr>
                <w:rFonts w:ascii="SimSun" w:hAnsi="SimSun" w:eastAsia="SimSun" w:cs="SimSun"/>
                <w:sz w:val="20"/>
                <w:szCs w:val="20"/>
              </w:rPr>
            </w:pPr>
            <w:r>
              <w:rPr>
                <w:rFonts w:ascii="SimSun" w:hAnsi="SimSun" w:eastAsia="SimSun" w:cs="SimSun"/>
                <w:sz w:val="20"/>
                <w:szCs w:val="20"/>
                <w:spacing w:val="8"/>
              </w:rPr>
              <w:t>控点与参考点浓度差值）</w:t>
            </w:r>
          </w:p>
        </w:tc>
      </w:tr>
      <w:tr>
        <w:trPr>
          <w:trHeight w:val="596" w:hRule="atLeast"/>
        </w:trPr>
        <w:tc>
          <w:tcPr>
            <w:tcW w:w="1396" w:type="dxa"/>
            <w:vAlign w:val="top"/>
          </w:tcPr>
          <w:p>
            <w:pPr>
              <w:ind w:left="386"/>
              <w:spacing w:before="191" w:line="228" w:lineRule="auto"/>
              <w:rPr>
                <w:rFonts w:ascii="SimSun" w:hAnsi="SimSun" w:eastAsia="SimSun" w:cs="SimSun"/>
                <w:sz w:val="20"/>
                <w:szCs w:val="20"/>
              </w:rPr>
            </w:pPr>
            <w:r>
              <w:rPr>
                <w:rFonts w:ascii="SimSun" w:hAnsi="SimSun" w:eastAsia="SimSun" w:cs="SimSun"/>
                <w:sz w:val="20"/>
                <w:szCs w:val="20"/>
                <w:spacing w:val="7"/>
              </w:rPr>
              <w:t>颗粒物</w:t>
            </w:r>
          </w:p>
        </w:tc>
        <w:tc>
          <w:tcPr>
            <w:tcW w:w="1501" w:type="dxa"/>
            <w:vAlign w:val="top"/>
          </w:tcPr>
          <w:p>
            <w:pPr>
              <w:pStyle w:val="TableText"/>
              <w:ind w:left="320" w:right="120" w:hanging="189"/>
              <w:spacing w:before="55" w:line="245" w:lineRule="auto"/>
              <w:rPr/>
            </w:pPr>
            <w:r>
              <w:rPr>
                <w:rFonts w:ascii="SimSun" w:hAnsi="SimSun" w:eastAsia="SimSun" w:cs="SimSun"/>
                <w:spacing w:val="7"/>
              </w:rPr>
              <w:t>界外质量浓度</w:t>
            </w:r>
            <w:r>
              <w:rPr>
                <w:rFonts w:ascii="SimSun" w:hAnsi="SimSun" w:eastAsia="SimSun" w:cs="SimSun"/>
                <w:spacing w:val="4"/>
              </w:rPr>
              <w:t>最高点</w:t>
            </w:r>
            <w:r>
              <w:rPr>
                <w:spacing w:val="4"/>
              </w:rPr>
              <w:t>(1)</w:t>
            </w:r>
          </w:p>
        </w:tc>
        <w:tc>
          <w:tcPr>
            <w:tcW w:w="3176" w:type="dxa"/>
            <w:vAlign w:val="top"/>
          </w:tcPr>
          <w:p>
            <w:pPr>
              <w:pStyle w:val="TableText"/>
              <w:ind w:left="1478"/>
              <w:spacing w:before="227" w:line="195" w:lineRule="auto"/>
              <w:rPr/>
            </w:pPr>
            <w:r>
              <w:rPr>
                <w:spacing w:val="-4"/>
              </w:rPr>
              <w:t>1.0</w:t>
            </w:r>
          </w:p>
        </w:tc>
        <w:tc>
          <w:tcPr>
            <w:tcW w:w="3058" w:type="dxa"/>
            <w:vAlign w:val="top"/>
          </w:tcPr>
          <w:p>
            <w:pPr>
              <w:pStyle w:val="TableText"/>
              <w:ind w:left="1417"/>
              <w:spacing w:before="227" w:line="195" w:lineRule="auto"/>
              <w:rPr/>
            </w:pPr>
            <w:r>
              <w:rPr>
                <w:spacing w:val="-4"/>
              </w:rPr>
              <w:t>1.0</w:t>
            </w:r>
          </w:p>
        </w:tc>
      </w:tr>
    </w:tbl>
    <w:p>
      <w:pPr>
        <w:ind w:left="39" w:right="35" w:firstLine="10"/>
        <w:spacing w:before="29" w:line="254" w:lineRule="auto"/>
        <w:rPr>
          <w:rFonts w:ascii="SimSun" w:hAnsi="SimSun" w:eastAsia="SimSun" w:cs="SimSun"/>
          <w:sz w:val="20"/>
          <w:szCs w:val="20"/>
        </w:rPr>
      </w:pPr>
      <w:r>
        <w:rPr>
          <w:rFonts w:ascii="SimSun" w:hAnsi="SimSun" w:eastAsia="SimSun" w:cs="SimSun"/>
          <w:sz w:val="20"/>
          <w:szCs w:val="20"/>
          <w:spacing w:val="10"/>
        </w:rPr>
        <w:t>（</w:t>
      </w:r>
      <w:r>
        <w:rPr>
          <w:rFonts w:ascii="Times New Roman" w:hAnsi="Times New Roman" w:eastAsia="Times New Roman" w:cs="Times New Roman"/>
          <w:sz w:val="20"/>
          <w:szCs w:val="20"/>
          <w:spacing w:val="10"/>
        </w:rPr>
        <w:t>1</w:t>
      </w:r>
      <w:r>
        <w:rPr>
          <w:rFonts w:ascii="SimSun" w:hAnsi="SimSun" w:eastAsia="SimSun" w:cs="SimSun"/>
          <w:sz w:val="20"/>
          <w:szCs w:val="20"/>
          <w:spacing w:val="-2"/>
        </w:rPr>
        <w:t>）</w:t>
      </w:r>
      <w:r>
        <w:rPr>
          <w:rFonts w:ascii="SimSun" w:hAnsi="SimSun" w:eastAsia="SimSun" w:cs="SimSun"/>
          <w:sz w:val="20"/>
          <w:szCs w:val="20"/>
          <w:spacing w:val="-59"/>
        </w:rPr>
        <w:t xml:space="preserve"> </w:t>
      </w:r>
      <w:r>
        <w:rPr>
          <w:rFonts w:ascii="SimSun" w:hAnsi="SimSun" w:eastAsia="SimSun" w:cs="SimSun"/>
          <w:sz w:val="20"/>
          <w:szCs w:val="20"/>
          <w:spacing w:val="-2"/>
        </w:rPr>
        <w:t>：</w:t>
      </w:r>
      <w:r>
        <w:rPr>
          <w:rFonts w:ascii="SimSun" w:hAnsi="SimSun" w:eastAsia="SimSun" w:cs="SimSun"/>
          <w:sz w:val="20"/>
          <w:szCs w:val="20"/>
          <w:spacing w:val="10"/>
        </w:rPr>
        <w:t>周界外质量浓度最高点一般应设置于无组织排放源下风向的单位周界外</w:t>
      </w:r>
      <w:r>
        <w:rPr>
          <w:rFonts w:ascii="SimSun" w:hAnsi="SimSun" w:eastAsia="SimSun" w:cs="SimSun"/>
          <w:sz w:val="20"/>
          <w:szCs w:val="20"/>
          <w:spacing w:val="-20"/>
        </w:rPr>
        <w:t xml:space="preserve"> </w:t>
      </w:r>
      <w:r>
        <w:rPr>
          <w:rFonts w:ascii="Times New Roman" w:hAnsi="Times New Roman" w:eastAsia="Times New Roman" w:cs="Times New Roman"/>
          <w:sz w:val="20"/>
          <w:szCs w:val="20"/>
          <w:spacing w:val="9"/>
        </w:rPr>
        <w:t>10m</w:t>
      </w:r>
      <w:r>
        <w:rPr>
          <w:rFonts w:ascii="Times New Roman" w:hAnsi="Times New Roman" w:eastAsia="Times New Roman" w:cs="Times New Roman"/>
          <w:sz w:val="20"/>
          <w:szCs w:val="20"/>
          <w:spacing w:val="16"/>
          <w:w w:val="101"/>
        </w:rPr>
        <w:t xml:space="preserve"> </w:t>
      </w:r>
      <w:r>
        <w:rPr>
          <w:rFonts w:ascii="SimSun" w:hAnsi="SimSun" w:eastAsia="SimSun" w:cs="SimSun"/>
          <w:sz w:val="20"/>
          <w:szCs w:val="20"/>
          <w:spacing w:val="9"/>
        </w:rPr>
        <w:t>范围内，若预</w:t>
      </w:r>
      <w:r>
        <w:rPr>
          <w:rFonts w:ascii="SimSun" w:hAnsi="SimSun" w:eastAsia="SimSun" w:cs="SimSun"/>
          <w:sz w:val="20"/>
          <w:szCs w:val="20"/>
          <w:spacing w:val="8"/>
        </w:rPr>
        <w:t>计无组织排放的最大落地质量浓度点越出</w:t>
      </w:r>
      <w:r>
        <w:rPr>
          <w:rFonts w:ascii="SimSun" w:hAnsi="SimSun" w:eastAsia="SimSun" w:cs="SimSun"/>
          <w:sz w:val="20"/>
          <w:szCs w:val="20"/>
          <w:spacing w:val="-2"/>
        </w:rPr>
        <w:t xml:space="preserve"> </w:t>
      </w:r>
      <w:r>
        <w:rPr>
          <w:rFonts w:ascii="Times New Roman" w:hAnsi="Times New Roman" w:eastAsia="Times New Roman" w:cs="Times New Roman"/>
          <w:sz w:val="20"/>
          <w:szCs w:val="20"/>
          <w:spacing w:val="8"/>
        </w:rPr>
        <w:t>10m</w:t>
      </w:r>
      <w:r>
        <w:rPr>
          <w:rFonts w:ascii="Times New Roman" w:hAnsi="Times New Roman" w:eastAsia="Times New Roman" w:cs="Times New Roman"/>
          <w:sz w:val="20"/>
          <w:szCs w:val="20"/>
          <w:spacing w:val="17"/>
        </w:rPr>
        <w:t xml:space="preserve"> </w:t>
      </w:r>
      <w:r>
        <w:rPr>
          <w:rFonts w:ascii="SimSun" w:hAnsi="SimSun" w:eastAsia="SimSun" w:cs="SimSun"/>
          <w:sz w:val="20"/>
          <w:szCs w:val="20"/>
          <w:spacing w:val="8"/>
        </w:rPr>
        <w:t>范围，可将监控点移至该预计质量浓度最高点</w:t>
      </w:r>
    </w:p>
    <w:p>
      <w:pPr>
        <w:pStyle w:val="BodyText"/>
        <w:spacing w:line="270" w:lineRule="auto"/>
        <w:rPr/>
      </w:pPr>
      <w:r/>
    </w:p>
    <w:p>
      <w:pPr>
        <w:pStyle w:val="BodyText"/>
        <w:spacing w:line="271" w:lineRule="auto"/>
        <w:rPr/>
      </w:pPr>
      <w:r/>
    </w:p>
    <w:p>
      <w:pPr>
        <w:ind w:left="3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2.7.1.7  </w:t>
      </w:r>
      <w:r>
        <w:rPr>
          <w:rFonts w:ascii="SimHei" w:hAnsi="SimHei" w:eastAsia="SimHei" w:cs="SimHei"/>
          <w:sz w:val="24"/>
          <w:szCs w:val="24"/>
          <w:b/>
          <w:bCs/>
          <w:spacing w:val="-2"/>
        </w:rPr>
        <w:t>废水排放标准</w:t>
      </w:r>
    </w:p>
    <w:p>
      <w:pPr>
        <w:ind w:left="42" w:right="33" w:firstLine="477"/>
        <w:spacing w:before="162" w:line="338" w:lineRule="auto"/>
        <w:jc w:val="both"/>
        <w:rPr>
          <w:rFonts w:ascii="SimSun" w:hAnsi="SimSun" w:eastAsia="SimSun" w:cs="SimSun"/>
          <w:sz w:val="24"/>
          <w:szCs w:val="24"/>
        </w:rPr>
      </w:pPr>
      <w:r>
        <w:rPr>
          <w:rFonts w:ascii="SimSun" w:hAnsi="SimSun" w:eastAsia="SimSun" w:cs="SimSun"/>
          <w:sz w:val="24"/>
          <w:szCs w:val="24"/>
          <w:spacing w:val="-3"/>
        </w:rPr>
        <w:t>矿坑水处理后回用执行《煤炭工业污染物排放标准》（</w:t>
      </w:r>
      <w:r>
        <w:rPr>
          <w:rFonts w:ascii="Times New Roman" w:hAnsi="Times New Roman" w:eastAsia="Times New Roman" w:cs="Times New Roman"/>
          <w:sz w:val="24"/>
          <w:szCs w:val="24"/>
          <w:spacing w:val="-3"/>
        </w:rPr>
        <w:t>GB20426-2006</w:t>
      </w:r>
      <w:r>
        <w:rPr>
          <w:rFonts w:ascii="SimSun" w:hAnsi="SimSun" w:eastAsia="SimSun" w:cs="SimSun"/>
          <w:sz w:val="24"/>
          <w:szCs w:val="24"/>
          <w:spacing w:val="-3"/>
        </w:rPr>
        <w:t>）、《煤矿井</w:t>
      </w:r>
      <w:r>
        <w:rPr>
          <w:rFonts w:ascii="SimSun" w:hAnsi="SimSun" w:eastAsia="SimSun" w:cs="SimSun"/>
          <w:sz w:val="24"/>
          <w:szCs w:val="24"/>
          <w:spacing w:val="-5"/>
        </w:rPr>
        <w:t>下消防洒水设计规范》（</w:t>
      </w:r>
      <w:r>
        <w:rPr>
          <w:rFonts w:ascii="Times New Roman" w:hAnsi="Times New Roman" w:eastAsia="Times New Roman" w:cs="Times New Roman"/>
          <w:sz w:val="24"/>
          <w:szCs w:val="24"/>
          <w:spacing w:val="-5"/>
        </w:rPr>
        <w:t>GB50383-2016</w:t>
      </w:r>
      <w:r>
        <w:rPr>
          <w:rFonts w:ascii="SimSun" w:hAnsi="SimSun" w:eastAsia="SimSun" w:cs="SimSun"/>
          <w:sz w:val="24"/>
          <w:szCs w:val="24"/>
          <w:spacing w:val="-5"/>
        </w:rPr>
        <w:t>）中井下洒水水质标准、《城</w:t>
      </w:r>
      <w:r>
        <w:rPr>
          <w:rFonts w:ascii="SimSun" w:hAnsi="SimSun" w:eastAsia="SimSun" w:cs="SimSun"/>
          <w:sz w:val="24"/>
          <w:szCs w:val="24"/>
          <w:spacing w:val="-6"/>
        </w:rPr>
        <w:t>市污水再生利用 城</w:t>
      </w:r>
      <w:r>
        <w:rPr>
          <w:rFonts w:ascii="SimSun" w:hAnsi="SimSun" w:eastAsia="SimSun" w:cs="SimSun"/>
          <w:sz w:val="24"/>
          <w:szCs w:val="24"/>
          <w:spacing w:val="-2"/>
        </w:rPr>
        <w:t>市杂用水水质》（</w:t>
      </w:r>
      <w:r>
        <w:rPr>
          <w:rFonts w:ascii="Times New Roman" w:hAnsi="Times New Roman" w:eastAsia="Times New Roman" w:cs="Times New Roman"/>
          <w:sz w:val="24"/>
          <w:szCs w:val="24"/>
          <w:spacing w:val="-2"/>
        </w:rPr>
        <w:t>GB/T18920-2020</w:t>
      </w:r>
      <w:r>
        <w:rPr>
          <w:rFonts w:ascii="SimSun" w:hAnsi="SimSun" w:eastAsia="SimSun" w:cs="SimSun"/>
          <w:sz w:val="24"/>
          <w:szCs w:val="24"/>
          <w:spacing w:val="-2"/>
        </w:rPr>
        <w:t>）中的绿化、道路清扫、消防用水水质标准、《城市</w:t>
      </w:r>
      <w:r>
        <w:rPr>
          <w:rFonts w:ascii="SimSun" w:hAnsi="SimSun" w:eastAsia="SimSun" w:cs="SimSun"/>
          <w:sz w:val="24"/>
          <w:szCs w:val="24"/>
          <w:spacing w:val="-2"/>
        </w:rPr>
        <w:t>污水再生利用 工业用水水质》（</w:t>
      </w:r>
      <w:r>
        <w:rPr>
          <w:rFonts w:ascii="Times New Roman" w:hAnsi="Times New Roman" w:eastAsia="Times New Roman" w:cs="Times New Roman"/>
          <w:sz w:val="24"/>
          <w:szCs w:val="24"/>
          <w:spacing w:val="-2"/>
        </w:rPr>
        <w:t>GB/T19923-2024</w:t>
      </w:r>
      <w:r>
        <w:rPr>
          <w:rFonts w:ascii="SimSun" w:hAnsi="SimSun" w:eastAsia="SimSun" w:cs="SimSun"/>
          <w:sz w:val="24"/>
          <w:szCs w:val="24"/>
          <w:spacing w:val="-2"/>
        </w:rPr>
        <w:t>）中表</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的相关要求；</w:t>
      </w:r>
    </w:p>
    <w:p>
      <w:pPr>
        <w:ind w:left="43" w:right="33" w:firstLine="479"/>
        <w:spacing w:before="2" w:line="338" w:lineRule="auto"/>
        <w:rPr>
          <w:rFonts w:ascii="SimSun" w:hAnsi="SimSun" w:eastAsia="SimSun" w:cs="SimSun"/>
          <w:sz w:val="24"/>
          <w:szCs w:val="24"/>
        </w:rPr>
      </w:pPr>
      <w:r>
        <w:rPr>
          <w:rFonts w:ascii="SimSun" w:hAnsi="SimSun" w:eastAsia="SimSun" w:cs="SimSun"/>
          <w:sz w:val="24"/>
          <w:szCs w:val="24"/>
          <w:spacing w:val="-2"/>
        </w:rPr>
        <w:t>生活污水处理后全部综合利用，不外排，回用水执行《城市污水再生利用城市杂用</w:t>
      </w:r>
      <w:r>
        <w:rPr>
          <w:rFonts w:ascii="SimSun" w:hAnsi="SimSun" w:eastAsia="SimSun" w:cs="SimSun"/>
          <w:sz w:val="24"/>
          <w:szCs w:val="24"/>
          <w:spacing w:val="-1"/>
        </w:rPr>
        <w:t>水水质》（</w:t>
      </w:r>
      <w:r>
        <w:rPr>
          <w:rFonts w:ascii="Times New Roman" w:hAnsi="Times New Roman" w:eastAsia="Times New Roman" w:cs="Times New Roman"/>
          <w:sz w:val="24"/>
          <w:szCs w:val="24"/>
          <w:spacing w:val="-1"/>
        </w:rPr>
        <w:t>GB/T</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
        </w:rPr>
        <w:t>18920-2020</w:t>
      </w:r>
      <w:r>
        <w:rPr>
          <w:rFonts w:ascii="SimSun" w:hAnsi="SimSun" w:eastAsia="SimSun" w:cs="SimSun"/>
          <w:sz w:val="24"/>
          <w:szCs w:val="24"/>
          <w:spacing w:val="-1"/>
        </w:rPr>
        <w:t>）中城市绿化和道路清扫</w:t>
      </w:r>
      <w:r>
        <w:rPr>
          <w:rFonts w:ascii="SimSun" w:hAnsi="SimSun" w:eastAsia="SimSun" w:cs="SimSun"/>
          <w:sz w:val="24"/>
          <w:szCs w:val="24"/>
          <w:spacing w:val="-2"/>
        </w:rPr>
        <w:t>用水水质标准。</w:t>
      </w:r>
    </w:p>
    <w:p>
      <w:pPr>
        <w:ind w:left="521"/>
        <w:spacing w:before="1" w:line="219" w:lineRule="auto"/>
        <w:rPr>
          <w:rFonts w:ascii="SimSun" w:hAnsi="SimSun" w:eastAsia="SimSun" w:cs="SimSun"/>
          <w:sz w:val="24"/>
          <w:szCs w:val="24"/>
        </w:rPr>
      </w:pPr>
      <w:r>
        <w:rPr>
          <w:rFonts w:ascii="SimSun" w:hAnsi="SimSun" w:eastAsia="SimSun" w:cs="SimSun"/>
          <w:sz w:val="24"/>
          <w:szCs w:val="24"/>
          <w:spacing w:val="-4"/>
        </w:rPr>
        <w:t>标准详见表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2-7-8~</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4"/>
        </w:rPr>
        <w:t>10</w:t>
      </w:r>
      <w:r>
        <w:rPr>
          <w:rFonts w:ascii="SimSun" w:hAnsi="SimSun" w:eastAsia="SimSun" w:cs="SimSun"/>
          <w:sz w:val="24"/>
          <w:szCs w:val="24"/>
          <w:spacing w:val="-4"/>
        </w:rPr>
        <w:t>。</w:t>
      </w:r>
    </w:p>
    <w:p>
      <w:pPr>
        <w:ind w:left="579"/>
        <w:spacing w:before="281" w:line="221" w:lineRule="auto"/>
        <w:rPr>
          <w:rFonts w:ascii="SimHei" w:hAnsi="SimHei" w:eastAsia="SimHei" w:cs="SimHei"/>
          <w:sz w:val="24"/>
          <w:szCs w:val="24"/>
        </w:rPr>
      </w:pPr>
      <w:r>
        <w:rPr>
          <w:rFonts w:ascii="SimHei" w:hAnsi="SimHei" w:eastAsia="SimHei" w:cs="SimHei"/>
          <w:sz w:val="24"/>
          <w:szCs w:val="24"/>
        </w:rPr>
        <w:t>《煤炭工业污染物排放标准》（</w:t>
      </w:r>
      <w:r>
        <w:rPr>
          <w:rFonts w:ascii="Times New Roman" w:hAnsi="Times New Roman" w:eastAsia="Times New Roman" w:cs="Times New Roman"/>
          <w:sz w:val="24"/>
          <w:szCs w:val="24"/>
        </w:rPr>
        <w:t>GB20426-2006</w:t>
      </w:r>
      <w:r>
        <w:rPr>
          <w:rFonts w:ascii="SimHei" w:hAnsi="SimHei" w:eastAsia="SimHei" w:cs="SimHei"/>
          <w:sz w:val="24"/>
          <w:szCs w:val="24"/>
        </w:rPr>
        <w:t>）中采煤废水污染物排</w:t>
      </w:r>
      <w:r>
        <w:rPr>
          <w:rFonts w:ascii="SimHei" w:hAnsi="SimHei" w:eastAsia="SimHei" w:cs="SimHei"/>
          <w:sz w:val="24"/>
          <w:szCs w:val="24"/>
          <w:spacing w:val="-1"/>
        </w:rPr>
        <w:t>放限值</w:t>
      </w:r>
    </w:p>
    <w:p>
      <w:pPr>
        <w:ind w:left="38"/>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2-7-8</w:t>
      </w:r>
    </w:p>
    <w:tbl>
      <w:tblPr>
        <w:tblStyle w:val="TableNormal"/>
        <w:tblW w:w="9083" w:type="dxa"/>
        <w:tblInd w:w="3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5"/>
        <w:gridCol w:w="3351"/>
        <w:gridCol w:w="4747"/>
      </w:tblGrid>
      <w:tr>
        <w:trPr>
          <w:trHeight w:val="347" w:hRule="atLeast"/>
        </w:trPr>
        <w:tc>
          <w:tcPr>
            <w:tcW w:w="985" w:type="dxa"/>
            <w:vAlign w:val="top"/>
            <w:vMerge w:val="restart"/>
            <w:tcBorders>
              <w:bottom w:val="nil"/>
            </w:tcBorders>
          </w:tcPr>
          <w:p>
            <w:pPr>
              <w:ind w:left="287"/>
              <w:spacing w:before="228" w:line="229" w:lineRule="auto"/>
              <w:rPr>
                <w:rFonts w:ascii="SimSun" w:hAnsi="SimSun" w:eastAsia="SimSun" w:cs="SimSun"/>
                <w:sz w:val="20"/>
                <w:szCs w:val="20"/>
              </w:rPr>
            </w:pPr>
            <w:r>
              <w:rPr>
                <w:rFonts w:ascii="SimSun" w:hAnsi="SimSun" w:eastAsia="SimSun" w:cs="SimSun"/>
                <w:sz w:val="20"/>
                <w:szCs w:val="20"/>
                <w:spacing w:val="5"/>
              </w:rPr>
              <w:t>序号</w:t>
            </w:r>
          </w:p>
        </w:tc>
        <w:tc>
          <w:tcPr>
            <w:tcW w:w="3351" w:type="dxa"/>
            <w:vAlign w:val="top"/>
            <w:vMerge w:val="restart"/>
            <w:tcBorders>
              <w:bottom w:val="nil"/>
            </w:tcBorders>
          </w:tcPr>
          <w:p>
            <w:pPr>
              <w:ind w:left="1367"/>
              <w:spacing w:before="228" w:line="228" w:lineRule="auto"/>
              <w:rPr>
                <w:rFonts w:ascii="SimSun" w:hAnsi="SimSun" w:eastAsia="SimSun" w:cs="SimSun"/>
                <w:sz w:val="20"/>
                <w:szCs w:val="20"/>
              </w:rPr>
            </w:pPr>
            <w:r>
              <w:rPr>
                <w:rFonts w:ascii="SimSun" w:hAnsi="SimSun" w:eastAsia="SimSun" w:cs="SimSun"/>
                <w:sz w:val="20"/>
                <w:szCs w:val="20"/>
                <w:spacing w:val="6"/>
              </w:rPr>
              <w:t>污染物</w:t>
            </w:r>
          </w:p>
        </w:tc>
        <w:tc>
          <w:tcPr>
            <w:tcW w:w="4747" w:type="dxa"/>
            <w:vAlign w:val="top"/>
          </w:tcPr>
          <w:p>
            <w:pPr>
              <w:pStyle w:val="TableText"/>
              <w:ind w:left="217"/>
              <w:spacing w:before="67" w:line="221" w:lineRule="auto"/>
              <w:rPr>
                <w:rFonts w:ascii="SimSun" w:hAnsi="SimSun" w:eastAsia="SimSun" w:cs="SimSun"/>
              </w:rPr>
            </w:pPr>
            <w:r>
              <w:rPr>
                <w:rFonts w:ascii="SimSun" w:hAnsi="SimSun" w:eastAsia="SimSun" w:cs="SimSun"/>
                <w:spacing w:val="7"/>
              </w:rPr>
              <w:t>日最高允许排放质量浓度</w:t>
            </w:r>
            <w:r>
              <w:rPr>
                <w:spacing w:val="7"/>
              </w:rPr>
              <w:t>/</w:t>
            </w:r>
            <w:r>
              <w:rPr>
                <w:rFonts w:ascii="SimSun" w:hAnsi="SimSun" w:eastAsia="SimSun" w:cs="SimSun"/>
                <w:spacing w:val="7"/>
              </w:rPr>
              <w:t>（</w:t>
            </w:r>
            <w:r>
              <w:rPr/>
              <w:t>mg</w:t>
            </w:r>
            <w:r>
              <w:rPr>
                <w:spacing w:val="7"/>
              </w:rPr>
              <w:t>/L</w:t>
            </w:r>
            <w:r>
              <w:rPr>
                <w:rFonts w:ascii="SimSun" w:hAnsi="SimSun" w:eastAsia="SimSun" w:cs="SimSun"/>
                <w:spacing w:val="1"/>
              </w:rPr>
              <w:t>）（</w:t>
            </w:r>
            <w:r>
              <w:rPr/>
              <w:t>pH</w:t>
            </w:r>
            <w:r>
              <w:rPr>
                <w:spacing w:val="24"/>
                <w:w w:val="101"/>
              </w:rPr>
              <w:t xml:space="preserve"> </w:t>
            </w:r>
            <w:r>
              <w:rPr>
                <w:rFonts w:ascii="SimSun" w:hAnsi="SimSun" w:eastAsia="SimSun" w:cs="SimSun"/>
                <w:spacing w:val="7"/>
              </w:rPr>
              <w:t>除外）</w:t>
            </w:r>
          </w:p>
        </w:tc>
      </w:tr>
      <w:tr>
        <w:trPr>
          <w:trHeight w:val="318" w:hRule="atLeast"/>
        </w:trPr>
        <w:tc>
          <w:tcPr>
            <w:tcW w:w="985" w:type="dxa"/>
            <w:vAlign w:val="top"/>
            <w:vMerge w:val="continue"/>
            <w:tcBorders>
              <w:top w:val="nil"/>
            </w:tcBorders>
          </w:tcPr>
          <w:p>
            <w:pPr>
              <w:rPr>
                <w:rFonts w:ascii="Arial"/>
                <w:sz w:val="21"/>
              </w:rPr>
            </w:pPr>
            <w:r/>
          </w:p>
        </w:tc>
        <w:tc>
          <w:tcPr>
            <w:tcW w:w="3351" w:type="dxa"/>
            <w:vAlign w:val="top"/>
            <w:vMerge w:val="continue"/>
            <w:tcBorders>
              <w:top w:val="nil"/>
            </w:tcBorders>
          </w:tcPr>
          <w:p>
            <w:pPr>
              <w:rPr>
                <w:rFonts w:ascii="Arial"/>
                <w:sz w:val="21"/>
              </w:rPr>
            </w:pPr>
            <w:r/>
          </w:p>
        </w:tc>
        <w:tc>
          <w:tcPr>
            <w:tcW w:w="4747" w:type="dxa"/>
            <w:vAlign w:val="top"/>
          </w:tcPr>
          <w:p>
            <w:pPr>
              <w:ind w:left="1329"/>
              <w:spacing w:before="51" w:line="228" w:lineRule="auto"/>
              <w:rPr>
                <w:rFonts w:ascii="SimSun" w:hAnsi="SimSun" w:eastAsia="SimSun" w:cs="SimSun"/>
                <w:sz w:val="20"/>
                <w:szCs w:val="20"/>
              </w:rPr>
            </w:pPr>
            <w:r>
              <w:rPr>
                <w:rFonts w:ascii="SimSun" w:hAnsi="SimSun" w:eastAsia="SimSun" w:cs="SimSun"/>
                <w:sz w:val="20"/>
                <w:szCs w:val="20"/>
                <w:spacing w:val="8"/>
              </w:rPr>
              <w:t>新建（扩、改）生产线</w:t>
            </w:r>
          </w:p>
        </w:tc>
      </w:tr>
      <w:tr>
        <w:trPr>
          <w:trHeight w:val="287" w:hRule="atLeast"/>
        </w:trPr>
        <w:tc>
          <w:tcPr>
            <w:tcW w:w="985" w:type="dxa"/>
            <w:vAlign w:val="top"/>
          </w:tcPr>
          <w:p>
            <w:pPr>
              <w:pStyle w:val="TableText"/>
              <w:ind w:left="461"/>
              <w:spacing w:before="74" w:line="195" w:lineRule="auto"/>
              <w:rPr/>
            </w:pPr>
            <w:r>
              <w:rPr/>
              <w:t>1</w:t>
            </w:r>
          </w:p>
        </w:tc>
        <w:tc>
          <w:tcPr>
            <w:tcW w:w="3351" w:type="dxa"/>
            <w:vAlign w:val="top"/>
          </w:tcPr>
          <w:p>
            <w:pPr>
              <w:pStyle w:val="TableText"/>
              <w:ind w:left="1411"/>
              <w:spacing w:before="35" w:line="221" w:lineRule="auto"/>
              <w:rPr>
                <w:rFonts w:ascii="SimSun" w:hAnsi="SimSun" w:eastAsia="SimSun" w:cs="SimSun"/>
              </w:rPr>
            </w:pPr>
            <w:r>
              <w:rPr/>
              <w:t>pH</w:t>
            </w:r>
            <w:r>
              <w:rPr>
                <w:spacing w:val="11"/>
              </w:rPr>
              <w:t xml:space="preserve"> </w:t>
            </w:r>
            <w:r>
              <w:rPr>
                <w:rFonts w:ascii="SimSun" w:hAnsi="SimSun" w:eastAsia="SimSun" w:cs="SimSun"/>
                <w:spacing w:val="13"/>
              </w:rPr>
              <w:t>值</w:t>
            </w:r>
          </w:p>
        </w:tc>
        <w:tc>
          <w:tcPr>
            <w:tcW w:w="4747" w:type="dxa"/>
            <w:vAlign w:val="top"/>
          </w:tcPr>
          <w:p>
            <w:pPr>
              <w:pStyle w:val="TableText"/>
              <w:ind w:left="2217"/>
              <w:spacing w:before="73" w:line="195" w:lineRule="auto"/>
              <w:rPr/>
            </w:pPr>
            <w:r>
              <w:rPr>
                <w:spacing w:val="1"/>
              </w:rPr>
              <w:t>6~9</w:t>
            </w:r>
          </w:p>
        </w:tc>
      </w:tr>
      <w:tr>
        <w:trPr>
          <w:trHeight w:val="285" w:hRule="atLeast"/>
        </w:trPr>
        <w:tc>
          <w:tcPr>
            <w:tcW w:w="985" w:type="dxa"/>
            <w:vAlign w:val="top"/>
          </w:tcPr>
          <w:p>
            <w:pPr>
              <w:pStyle w:val="TableText"/>
              <w:ind w:left="440"/>
              <w:spacing w:before="72" w:line="195" w:lineRule="auto"/>
              <w:rPr/>
            </w:pPr>
            <w:r>
              <w:rPr/>
              <w:t>2</w:t>
            </w:r>
          </w:p>
        </w:tc>
        <w:tc>
          <w:tcPr>
            <w:tcW w:w="3351" w:type="dxa"/>
            <w:vAlign w:val="top"/>
          </w:tcPr>
          <w:p>
            <w:pPr>
              <w:ind w:left="1265"/>
              <w:spacing w:before="36" w:line="220" w:lineRule="auto"/>
              <w:rPr>
                <w:rFonts w:ascii="SimSun" w:hAnsi="SimSun" w:eastAsia="SimSun" w:cs="SimSun"/>
                <w:sz w:val="20"/>
                <w:szCs w:val="20"/>
              </w:rPr>
            </w:pPr>
            <w:r>
              <w:rPr>
                <w:rFonts w:ascii="SimSun" w:hAnsi="SimSun" w:eastAsia="SimSun" w:cs="SimSun"/>
                <w:sz w:val="20"/>
                <w:szCs w:val="20"/>
                <w:spacing w:val="6"/>
              </w:rPr>
              <w:t>总悬浮物</w:t>
            </w:r>
          </w:p>
        </w:tc>
        <w:tc>
          <w:tcPr>
            <w:tcW w:w="4747" w:type="dxa"/>
            <w:vAlign w:val="top"/>
          </w:tcPr>
          <w:p>
            <w:pPr>
              <w:pStyle w:val="TableText"/>
              <w:ind w:left="2276"/>
              <w:spacing w:before="72" w:line="195" w:lineRule="auto"/>
              <w:rPr/>
            </w:pPr>
            <w:r>
              <w:rPr/>
              <w:t>50</w:t>
            </w:r>
          </w:p>
        </w:tc>
      </w:tr>
      <w:tr>
        <w:trPr>
          <w:trHeight w:val="321" w:hRule="atLeast"/>
        </w:trPr>
        <w:tc>
          <w:tcPr>
            <w:tcW w:w="985" w:type="dxa"/>
            <w:vAlign w:val="top"/>
          </w:tcPr>
          <w:p>
            <w:pPr>
              <w:pStyle w:val="TableText"/>
              <w:ind w:left="445"/>
              <w:spacing w:before="89" w:line="195" w:lineRule="auto"/>
              <w:rPr/>
            </w:pPr>
            <w:r>
              <w:rPr/>
              <w:t>3</w:t>
            </w:r>
          </w:p>
        </w:tc>
        <w:tc>
          <w:tcPr>
            <w:tcW w:w="3351" w:type="dxa"/>
            <w:vAlign w:val="top"/>
          </w:tcPr>
          <w:p>
            <w:pPr>
              <w:pStyle w:val="TableText"/>
              <w:ind w:left="641"/>
              <w:spacing w:before="53" w:line="227" w:lineRule="auto"/>
              <w:rPr>
                <w:rFonts w:ascii="SimSun" w:hAnsi="SimSun" w:eastAsia="SimSun" w:cs="SimSun"/>
              </w:rPr>
            </w:pPr>
            <w:r>
              <w:rPr>
                <w:rFonts w:ascii="SimSun" w:hAnsi="SimSun" w:eastAsia="SimSun" w:cs="SimSun"/>
                <w:spacing w:val="11"/>
              </w:rPr>
              <w:t>化学需氧量（</w:t>
            </w:r>
            <w:r>
              <w:rPr/>
              <w:t>CODcr</w:t>
            </w:r>
            <w:r>
              <w:rPr>
                <w:rFonts w:ascii="SimSun" w:hAnsi="SimSun" w:eastAsia="SimSun" w:cs="SimSun"/>
                <w:spacing w:val="11"/>
              </w:rPr>
              <w:t>）</w:t>
            </w:r>
          </w:p>
        </w:tc>
        <w:tc>
          <w:tcPr>
            <w:tcW w:w="4747" w:type="dxa"/>
            <w:vAlign w:val="top"/>
          </w:tcPr>
          <w:p>
            <w:pPr>
              <w:pStyle w:val="TableText"/>
              <w:ind w:left="2276"/>
              <w:spacing w:before="89" w:line="195" w:lineRule="auto"/>
              <w:rPr/>
            </w:pPr>
            <w:r>
              <w:rPr/>
              <w:t>50</w:t>
            </w:r>
          </w:p>
        </w:tc>
      </w:tr>
      <w:tr>
        <w:trPr>
          <w:trHeight w:val="287" w:hRule="atLeast"/>
        </w:trPr>
        <w:tc>
          <w:tcPr>
            <w:tcW w:w="985" w:type="dxa"/>
            <w:vAlign w:val="top"/>
          </w:tcPr>
          <w:p>
            <w:pPr>
              <w:pStyle w:val="TableText"/>
              <w:ind w:left="439"/>
              <w:spacing w:before="73" w:line="195" w:lineRule="auto"/>
              <w:rPr/>
            </w:pPr>
            <w:r>
              <w:rPr>
                <w:spacing w:val="1"/>
              </w:rPr>
              <w:t>4</w:t>
            </w:r>
          </w:p>
        </w:tc>
        <w:tc>
          <w:tcPr>
            <w:tcW w:w="3351" w:type="dxa"/>
            <w:vAlign w:val="top"/>
          </w:tcPr>
          <w:p>
            <w:pPr>
              <w:ind w:left="1366"/>
              <w:spacing w:before="37" w:line="221" w:lineRule="auto"/>
              <w:rPr>
                <w:rFonts w:ascii="SimSun" w:hAnsi="SimSun" w:eastAsia="SimSun" w:cs="SimSun"/>
                <w:sz w:val="20"/>
                <w:szCs w:val="20"/>
              </w:rPr>
            </w:pPr>
            <w:r>
              <w:rPr>
                <w:rFonts w:ascii="SimSun" w:hAnsi="SimSun" w:eastAsia="SimSun" w:cs="SimSun"/>
                <w:sz w:val="20"/>
                <w:szCs w:val="20"/>
                <w:spacing w:val="6"/>
              </w:rPr>
              <w:t>石油类</w:t>
            </w:r>
          </w:p>
        </w:tc>
        <w:tc>
          <w:tcPr>
            <w:tcW w:w="4747" w:type="dxa"/>
            <w:vAlign w:val="top"/>
          </w:tcPr>
          <w:p>
            <w:pPr>
              <w:pStyle w:val="TableText"/>
              <w:ind w:left="2326"/>
              <w:spacing w:before="76" w:line="192" w:lineRule="auto"/>
              <w:rPr/>
            </w:pPr>
            <w:r>
              <w:rPr/>
              <w:t>5</w:t>
            </w:r>
          </w:p>
        </w:tc>
      </w:tr>
      <w:tr>
        <w:trPr>
          <w:trHeight w:val="287" w:hRule="atLeast"/>
        </w:trPr>
        <w:tc>
          <w:tcPr>
            <w:tcW w:w="985" w:type="dxa"/>
            <w:vAlign w:val="top"/>
          </w:tcPr>
          <w:p>
            <w:pPr>
              <w:pStyle w:val="TableText"/>
              <w:ind w:left="446"/>
              <w:spacing w:before="76" w:line="192" w:lineRule="auto"/>
              <w:rPr/>
            </w:pPr>
            <w:r>
              <w:rPr/>
              <w:t>5</w:t>
            </w:r>
          </w:p>
        </w:tc>
        <w:tc>
          <w:tcPr>
            <w:tcW w:w="3351" w:type="dxa"/>
            <w:vAlign w:val="top"/>
          </w:tcPr>
          <w:p>
            <w:pPr>
              <w:ind w:left="1474"/>
              <w:spacing w:before="37" w:line="221" w:lineRule="auto"/>
              <w:rPr>
                <w:rFonts w:ascii="SimSun" w:hAnsi="SimSun" w:eastAsia="SimSun" w:cs="SimSun"/>
                <w:sz w:val="20"/>
                <w:szCs w:val="20"/>
              </w:rPr>
            </w:pPr>
            <w:r>
              <w:rPr>
                <w:rFonts w:ascii="SimSun" w:hAnsi="SimSun" w:eastAsia="SimSun" w:cs="SimSun"/>
                <w:sz w:val="20"/>
                <w:szCs w:val="20"/>
                <w:spacing w:val="2"/>
              </w:rPr>
              <w:t>总铁</w:t>
            </w:r>
          </w:p>
        </w:tc>
        <w:tc>
          <w:tcPr>
            <w:tcW w:w="4747" w:type="dxa"/>
            <w:vAlign w:val="top"/>
          </w:tcPr>
          <w:p>
            <w:pPr>
              <w:pStyle w:val="TableText"/>
              <w:ind w:left="2325"/>
              <w:spacing w:before="73" w:line="195" w:lineRule="auto"/>
              <w:rPr/>
            </w:pPr>
            <w:r>
              <w:rPr/>
              <w:t>6</w:t>
            </w:r>
          </w:p>
        </w:tc>
      </w:tr>
      <w:tr>
        <w:trPr>
          <w:trHeight w:val="304" w:hRule="atLeast"/>
        </w:trPr>
        <w:tc>
          <w:tcPr>
            <w:tcW w:w="985" w:type="dxa"/>
            <w:vAlign w:val="top"/>
          </w:tcPr>
          <w:p>
            <w:pPr>
              <w:pStyle w:val="TableText"/>
              <w:ind w:left="445"/>
              <w:spacing w:before="79" w:line="195" w:lineRule="auto"/>
              <w:rPr/>
            </w:pPr>
            <w:r>
              <w:rPr/>
              <w:t>6</w:t>
            </w:r>
          </w:p>
        </w:tc>
        <w:tc>
          <w:tcPr>
            <w:tcW w:w="3351" w:type="dxa"/>
            <w:vAlign w:val="top"/>
          </w:tcPr>
          <w:p>
            <w:pPr>
              <w:ind w:left="1474"/>
              <w:spacing w:before="43" w:line="231" w:lineRule="auto"/>
              <w:rPr>
                <w:rFonts w:ascii="SimSun" w:hAnsi="SimSun" w:eastAsia="SimSun" w:cs="SimSun"/>
                <w:sz w:val="20"/>
                <w:szCs w:val="20"/>
              </w:rPr>
            </w:pPr>
            <w:r>
              <w:rPr>
                <w:rFonts w:ascii="SimSun" w:hAnsi="SimSun" w:eastAsia="SimSun" w:cs="SimSun"/>
                <w:sz w:val="20"/>
                <w:szCs w:val="20"/>
                <w:spacing w:val="2"/>
              </w:rPr>
              <w:t>总锰</w:t>
            </w:r>
          </w:p>
        </w:tc>
        <w:tc>
          <w:tcPr>
            <w:tcW w:w="4747" w:type="dxa"/>
            <w:vAlign w:val="top"/>
          </w:tcPr>
          <w:p>
            <w:pPr>
              <w:pStyle w:val="TableText"/>
              <w:ind w:left="2319"/>
              <w:spacing w:before="79" w:line="195" w:lineRule="auto"/>
              <w:rPr/>
            </w:pPr>
            <w:r>
              <w:rPr>
                <w:spacing w:val="1"/>
              </w:rPr>
              <w:t>4</w:t>
            </w:r>
          </w:p>
        </w:tc>
      </w:tr>
    </w:tbl>
    <w:p>
      <w:pPr>
        <w:ind w:left="39"/>
        <w:spacing w:before="29" w:line="227" w:lineRule="auto"/>
        <w:rPr>
          <w:rFonts w:ascii="SimSun" w:hAnsi="SimSun" w:eastAsia="SimSun" w:cs="SimSun"/>
          <w:sz w:val="20"/>
          <w:szCs w:val="20"/>
        </w:rPr>
      </w:pPr>
      <w:r>
        <w:rPr>
          <w:rFonts w:ascii="SimSun" w:hAnsi="SimSun" w:eastAsia="SimSun" w:cs="SimSun"/>
          <w:sz w:val="20"/>
          <w:szCs w:val="20"/>
          <w:spacing w:val="8"/>
        </w:rPr>
        <w:t>注：总锰仅适用于酸性采煤废水。</w:t>
      </w:r>
    </w:p>
    <w:p>
      <w:pPr>
        <w:spacing w:line="227" w:lineRule="auto"/>
        <w:sectPr>
          <w:headerReference w:type="default" r:id="rId56"/>
          <w:footerReference w:type="default" r:id="rId74"/>
          <w:pgSz w:w="11906" w:h="16838"/>
          <w:pgMar w:top="1170" w:right="1383" w:bottom="1080" w:left="1384" w:header="837" w:footer="918" w:gutter="0"/>
        </w:sectPr>
        <w:rPr>
          <w:rFonts w:ascii="SimSun" w:hAnsi="SimSun" w:eastAsia="SimSun" w:cs="SimSun"/>
          <w:sz w:val="20"/>
          <w:szCs w:val="20"/>
        </w:rPr>
      </w:pPr>
    </w:p>
    <w:p>
      <w:pPr>
        <w:pStyle w:val="BodyText"/>
        <w:spacing w:line="440" w:lineRule="auto"/>
        <w:rPr/>
      </w:pPr>
      <w:r/>
    </w:p>
    <w:p>
      <w:pPr>
        <w:ind w:left="117" w:right="1144" w:firstLine="1021"/>
        <w:spacing w:before="78" w:line="252" w:lineRule="auto"/>
        <w:rPr>
          <w:rFonts w:ascii="Times New Roman" w:hAnsi="Times New Roman" w:eastAsia="Times New Roman" w:cs="Times New Roman"/>
          <w:sz w:val="20"/>
          <w:szCs w:val="20"/>
        </w:rPr>
      </w:pPr>
      <w:r>
        <w:rPr>
          <w:rFonts w:ascii="SimHei" w:hAnsi="SimHei" w:eastAsia="SimHei" w:cs="SimHei"/>
          <w:sz w:val="24"/>
          <w:szCs w:val="24"/>
        </w:rPr>
        <w:t>《煤矿井下消防洒水设计规范》（</w:t>
      </w:r>
      <w:r>
        <w:rPr>
          <w:rFonts w:ascii="Times New Roman" w:hAnsi="Times New Roman" w:eastAsia="Times New Roman" w:cs="Times New Roman"/>
          <w:sz w:val="24"/>
          <w:szCs w:val="24"/>
        </w:rPr>
        <w:t>GB50383-2016</w:t>
      </w:r>
      <w:r>
        <w:rPr>
          <w:rFonts w:ascii="SimHei" w:hAnsi="SimHei" w:eastAsia="SimHei" w:cs="SimHei"/>
          <w:sz w:val="24"/>
          <w:szCs w:val="24"/>
        </w:rPr>
        <w:t>）中井下洒</w:t>
      </w:r>
      <w:r>
        <w:rPr>
          <w:rFonts w:ascii="SimHei" w:hAnsi="SimHei" w:eastAsia="SimHei" w:cs="SimHei"/>
          <w:sz w:val="24"/>
          <w:szCs w:val="24"/>
          <w:spacing w:val="-1"/>
        </w:rPr>
        <w:t>水标准</w:t>
      </w: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2-7-9</w:t>
      </w:r>
    </w:p>
    <w:tbl>
      <w:tblPr>
        <w:tblStyle w:val="TableNormal"/>
        <w:tblW w:w="9103" w:type="dxa"/>
        <w:tblInd w:w="1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6"/>
        <w:gridCol w:w="3358"/>
        <w:gridCol w:w="4759"/>
      </w:tblGrid>
      <w:tr>
        <w:trPr>
          <w:trHeight w:val="641" w:hRule="atLeast"/>
        </w:trPr>
        <w:tc>
          <w:tcPr>
            <w:tcW w:w="986" w:type="dxa"/>
            <w:vAlign w:val="top"/>
          </w:tcPr>
          <w:p>
            <w:pPr>
              <w:ind w:left="287"/>
              <w:spacing w:before="213" w:line="229" w:lineRule="auto"/>
              <w:rPr>
                <w:rFonts w:ascii="SimSun" w:hAnsi="SimSun" w:eastAsia="SimSun" w:cs="SimSun"/>
                <w:sz w:val="20"/>
                <w:szCs w:val="20"/>
              </w:rPr>
            </w:pPr>
            <w:r>
              <w:rPr>
                <w:rFonts w:ascii="SimSun" w:hAnsi="SimSun" w:eastAsia="SimSun" w:cs="SimSun"/>
                <w:sz w:val="20"/>
                <w:szCs w:val="20"/>
                <w:spacing w:val="5"/>
              </w:rPr>
              <w:t>序号</w:t>
            </w:r>
          </w:p>
        </w:tc>
        <w:tc>
          <w:tcPr>
            <w:tcW w:w="3358" w:type="dxa"/>
            <w:vAlign w:val="top"/>
          </w:tcPr>
          <w:p>
            <w:pPr>
              <w:ind w:left="1370"/>
              <w:spacing w:before="214" w:line="228" w:lineRule="auto"/>
              <w:rPr>
                <w:rFonts w:ascii="SimSun" w:hAnsi="SimSun" w:eastAsia="SimSun" w:cs="SimSun"/>
                <w:sz w:val="20"/>
                <w:szCs w:val="20"/>
              </w:rPr>
            </w:pPr>
            <w:r>
              <w:rPr>
                <w:rFonts w:ascii="SimSun" w:hAnsi="SimSun" w:eastAsia="SimSun" w:cs="SimSun"/>
                <w:sz w:val="20"/>
                <w:szCs w:val="20"/>
                <w:spacing w:val="6"/>
              </w:rPr>
              <w:t>污染物</w:t>
            </w:r>
          </w:p>
        </w:tc>
        <w:tc>
          <w:tcPr>
            <w:tcW w:w="4759" w:type="dxa"/>
            <w:vAlign w:val="top"/>
          </w:tcPr>
          <w:p>
            <w:pPr>
              <w:ind w:left="2067"/>
              <w:spacing w:before="213" w:line="228" w:lineRule="auto"/>
              <w:rPr>
                <w:rFonts w:ascii="SimSun" w:hAnsi="SimSun" w:eastAsia="SimSun" w:cs="SimSun"/>
                <w:sz w:val="20"/>
                <w:szCs w:val="20"/>
              </w:rPr>
            </w:pPr>
            <w:r>
              <w:rPr>
                <w:rFonts w:ascii="SimSun" w:hAnsi="SimSun" w:eastAsia="SimSun" w:cs="SimSun"/>
                <w:sz w:val="20"/>
                <w:szCs w:val="20"/>
                <w:spacing w:val="6"/>
              </w:rPr>
              <w:t>浓度值</w:t>
            </w:r>
          </w:p>
        </w:tc>
      </w:tr>
      <w:tr>
        <w:trPr>
          <w:trHeight w:val="285" w:hRule="atLeast"/>
        </w:trPr>
        <w:tc>
          <w:tcPr>
            <w:tcW w:w="986" w:type="dxa"/>
            <w:vAlign w:val="top"/>
          </w:tcPr>
          <w:p>
            <w:pPr>
              <w:pStyle w:val="TableText"/>
              <w:ind w:left="463"/>
              <w:spacing w:before="71" w:line="195" w:lineRule="auto"/>
              <w:rPr/>
            </w:pPr>
            <w:r>
              <w:rPr/>
              <w:t>1</w:t>
            </w:r>
          </w:p>
        </w:tc>
        <w:tc>
          <w:tcPr>
            <w:tcW w:w="3358" w:type="dxa"/>
            <w:vAlign w:val="top"/>
          </w:tcPr>
          <w:p>
            <w:pPr>
              <w:ind w:left="1474"/>
              <w:spacing w:before="33" w:line="223" w:lineRule="auto"/>
              <w:rPr>
                <w:rFonts w:ascii="SimSun" w:hAnsi="SimSun" w:eastAsia="SimSun" w:cs="SimSun"/>
                <w:sz w:val="20"/>
                <w:szCs w:val="20"/>
              </w:rPr>
            </w:pPr>
            <w:r>
              <w:rPr>
                <w:rFonts w:ascii="SimSun" w:hAnsi="SimSun" w:eastAsia="SimSun" w:cs="SimSun"/>
                <w:sz w:val="20"/>
                <w:szCs w:val="20"/>
                <w:spacing w:val="3"/>
              </w:rPr>
              <w:t>浊度</w:t>
            </w:r>
          </w:p>
        </w:tc>
        <w:tc>
          <w:tcPr>
            <w:tcW w:w="4759" w:type="dxa"/>
            <w:vAlign w:val="top"/>
          </w:tcPr>
          <w:p>
            <w:pPr>
              <w:pStyle w:val="TableText"/>
              <w:ind w:left="2333"/>
              <w:spacing w:before="74" w:line="192" w:lineRule="auto"/>
              <w:rPr/>
            </w:pPr>
            <w:r>
              <w:rPr/>
              <w:t>5</w:t>
            </w:r>
          </w:p>
        </w:tc>
      </w:tr>
      <w:tr>
        <w:trPr>
          <w:trHeight w:val="285" w:hRule="atLeast"/>
        </w:trPr>
        <w:tc>
          <w:tcPr>
            <w:tcW w:w="986" w:type="dxa"/>
            <w:vAlign w:val="top"/>
          </w:tcPr>
          <w:p>
            <w:pPr>
              <w:pStyle w:val="TableText"/>
              <w:ind w:left="443"/>
              <w:spacing w:before="72" w:line="195" w:lineRule="auto"/>
              <w:rPr/>
            </w:pPr>
            <w:r>
              <w:rPr/>
              <w:t>2</w:t>
            </w:r>
          </w:p>
        </w:tc>
        <w:tc>
          <w:tcPr>
            <w:tcW w:w="3358" w:type="dxa"/>
            <w:vAlign w:val="top"/>
          </w:tcPr>
          <w:p>
            <w:pPr>
              <w:ind w:left="1170"/>
              <w:spacing w:before="36" w:line="220" w:lineRule="auto"/>
              <w:rPr>
                <w:rFonts w:ascii="SimSun" w:hAnsi="SimSun" w:eastAsia="SimSun" w:cs="SimSun"/>
                <w:sz w:val="20"/>
                <w:szCs w:val="20"/>
              </w:rPr>
            </w:pPr>
            <w:r>
              <w:rPr>
                <w:rFonts w:ascii="SimSun" w:hAnsi="SimSun" w:eastAsia="SimSun" w:cs="SimSun"/>
                <w:sz w:val="20"/>
                <w:szCs w:val="20"/>
                <w:spacing w:val="3"/>
              </w:rPr>
              <w:t>悬浮物粒径</w:t>
            </w:r>
          </w:p>
        </w:tc>
        <w:tc>
          <w:tcPr>
            <w:tcW w:w="4759" w:type="dxa"/>
            <w:vAlign w:val="top"/>
          </w:tcPr>
          <w:p>
            <w:pPr>
              <w:pStyle w:val="TableText"/>
              <w:ind w:left="2088"/>
              <w:spacing w:before="72" w:line="195" w:lineRule="auto"/>
              <w:rPr/>
            </w:pPr>
            <w:r>
              <w:rPr>
                <w:spacing w:val="6"/>
              </w:rPr>
              <w:t>0.3</w:t>
            </w:r>
            <w:r>
              <w:rPr/>
              <w:t>mm</w:t>
            </w:r>
          </w:p>
        </w:tc>
      </w:tr>
      <w:tr>
        <w:trPr>
          <w:trHeight w:val="320" w:hRule="atLeast"/>
        </w:trPr>
        <w:tc>
          <w:tcPr>
            <w:tcW w:w="986" w:type="dxa"/>
            <w:vAlign w:val="top"/>
          </w:tcPr>
          <w:p>
            <w:pPr>
              <w:pStyle w:val="TableText"/>
              <w:ind w:left="447"/>
              <w:spacing w:before="89" w:line="195" w:lineRule="auto"/>
              <w:rPr/>
            </w:pPr>
            <w:r>
              <w:rPr/>
              <w:t>3</w:t>
            </w:r>
          </w:p>
        </w:tc>
        <w:tc>
          <w:tcPr>
            <w:tcW w:w="3358" w:type="dxa"/>
            <w:vAlign w:val="top"/>
          </w:tcPr>
          <w:p>
            <w:pPr>
              <w:pStyle w:val="TableText"/>
              <w:ind w:left="1415"/>
              <w:spacing w:before="53" w:line="221" w:lineRule="auto"/>
              <w:rPr>
                <w:rFonts w:ascii="SimSun" w:hAnsi="SimSun" w:eastAsia="SimSun" w:cs="SimSun"/>
              </w:rPr>
            </w:pPr>
            <w:r>
              <w:rPr/>
              <w:t>pH</w:t>
            </w:r>
            <w:r>
              <w:rPr>
                <w:spacing w:val="8"/>
              </w:rPr>
              <w:t xml:space="preserve"> </w:t>
            </w:r>
            <w:r>
              <w:rPr>
                <w:rFonts w:ascii="SimSun" w:hAnsi="SimSun" w:eastAsia="SimSun" w:cs="SimSun"/>
                <w:spacing w:val="13"/>
              </w:rPr>
              <w:t>值</w:t>
            </w:r>
          </w:p>
        </w:tc>
        <w:tc>
          <w:tcPr>
            <w:tcW w:w="4759" w:type="dxa"/>
            <w:vAlign w:val="top"/>
          </w:tcPr>
          <w:p>
            <w:pPr>
              <w:pStyle w:val="TableText"/>
              <w:ind w:left="2221"/>
              <w:spacing w:before="89" w:line="195" w:lineRule="auto"/>
              <w:rPr/>
            </w:pPr>
            <w:r>
              <w:rPr>
                <w:spacing w:val="1"/>
              </w:rPr>
              <w:t>6~9</w:t>
            </w:r>
          </w:p>
        </w:tc>
      </w:tr>
      <w:tr>
        <w:trPr>
          <w:trHeight w:val="287" w:hRule="atLeast"/>
        </w:trPr>
        <w:tc>
          <w:tcPr>
            <w:tcW w:w="986" w:type="dxa"/>
            <w:vAlign w:val="top"/>
          </w:tcPr>
          <w:p>
            <w:pPr>
              <w:pStyle w:val="TableText"/>
              <w:ind w:left="442"/>
              <w:spacing w:before="76" w:line="195" w:lineRule="auto"/>
              <w:rPr/>
            </w:pPr>
            <w:r>
              <w:rPr>
                <w:spacing w:val="1"/>
              </w:rPr>
              <w:t>4</w:t>
            </w:r>
          </w:p>
        </w:tc>
        <w:tc>
          <w:tcPr>
            <w:tcW w:w="3358" w:type="dxa"/>
            <w:vAlign w:val="top"/>
          </w:tcPr>
          <w:p>
            <w:pPr>
              <w:ind w:left="1266"/>
              <w:spacing w:before="37" w:line="221" w:lineRule="auto"/>
              <w:rPr>
                <w:rFonts w:ascii="SimSun" w:hAnsi="SimSun" w:eastAsia="SimSun" w:cs="SimSun"/>
                <w:sz w:val="20"/>
                <w:szCs w:val="20"/>
              </w:rPr>
            </w:pPr>
            <w:r>
              <w:rPr>
                <w:rFonts w:ascii="SimSun" w:hAnsi="SimSun" w:eastAsia="SimSun" w:cs="SimSun"/>
                <w:sz w:val="20"/>
                <w:szCs w:val="20"/>
                <w:spacing w:val="6"/>
              </w:rPr>
              <w:t>大肠菌群</w:t>
            </w:r>
          </w:p>
        </w:tc>
        <w:tc>
          <w:tcPr>
            <w:tcW w:w="4759" w:type="dxa"/>
            <w:vAlign w:val="top"/>
          </w:tcPr>
          <w:p>
            <w:pPr>
              <w:pStyle w:val="TableText"/>
              <w:ind w:left="2105"/>
              <w:spacing w:before="37" w:line="221" w:lineRule="auto"/>
              <w:rPr/>
            </w:pPr>
            <w:r>
              <w:rPr>
                <w:spacing w:val="1"/>
              </w:rPr>
              <w:t>3</w:t>
            </w:r>
            <w:r>
              <w:rPr>
                <w:spacing w:val="10"/>
              </w:rPr>
              <w:t xml:space="preserve"> </w:t>
            </w:r>
            <w:r>
              <w:rPr>
                <w:rFonts w:ascii="SimSun" w:hAnsi="SimSun" w:eastAsia="SimSun" w:cs="SimSun"/>
                <w:spacing w:val="1"/>
              </w:rPr>
              <w:t>个</w:t>
            </w:r>
            <w:r>
              <w:rPr>
                <w:spacing w:val="1"/>
              </w:rPr>
              <w:t>/L</w:t>
            </w:r>
          </w:p>
        </w:tc>
      </w:tr>
      <w:tr>
        <w:trPr>
          <w:trHeight w:val="292" w:hRule="atLeast"/>
        </w:trPr>
        <w:tc>
          <w:tcPr>
            <w:tcW w:w="986" w:type="dxa"/>
            <w:vAlign w:val="top"/>
          </w:tcPr>
          <w:p>
            <w:pPr>
              <w:pStyle w:val="TableText"/>
              <w:ind w:left="449"/>
              <w:spacing w:before="77" w:line="192" w:lineRule="auto"/>
              <w:rPr/>
            </w:pPr>
            <w:r>
              <w:rPr/>
              <w:t>5</w:t>
            </w:r>
          </w:p>
        </w:tc>
        <w:tc>
          <w:tcPr>
            <w:tcW w:w="3358" w:type="dxa"/>
            <w:vAlign w:val="top"/>
          </w:tcPr>
          <w:p>
            <w:pPr>
              <w:pStyle w:val="TableText"/>
              <w:ind w:left="1422"/>
              <w:spacing w:before="74" w:line="202" w:lineRule="auto"/>
              <w:rPr>
                <w:sz w:val="13"/>
                <w:szCs w:val="13"/>
              </w:rPr>
            </w:pPr>
            <w:r>
              <w:rPr>
                <w:spacing w:val="5"/>
              </w:rPr>
              <w:t>BOD</w:t>
            </w:r>
            <w:r>
              <w:rPr>
                <w:sz w:val="13"/>
                <w:szCs w:val="13"/>
                <w:spacing w:val="5"/>
                <w:position w:val="-1"/>
              </w:rPr>
              <w:t>5</w:t>
            </w:r>
          </w:p>
        </w:tc>
        <w:tc>
          <w:tcPr>
            <w:tcW w:w="4759" w:type="dxa"/>
            <w:vAlign w:val="top"/>
          </w:tcPr>
          <w:p>
            <w:pPr>
              <w:pStyle w:val="TableText"/>
              <w:ind w:left="2294"/>
              <w:spacing w:before="74" w:line="195" w:lineRule="auto"/>
              <w:rPr/>
            </w:pPr>
            <w:r>
              <w:rPr>
                <w:spacing w:val="-8"/>
              </w:rPr>
              <w:t>10</w:t>
            </w:r>
          </w:p>
        </w:tc>
      </w:tr>
    </w:tbl>
    <w:p>
      <w:pPr>
        <w:pStyle w:val="BodyText"/>
        <w:spacing w:line="432" w:lineRule="auto"/>
        <w:rPr/>
      </w:pPr>
      <w:r/>
    </w:p>
    <w:p>
      <w:pPr>
        <w:ind w:left="1453"/>
        <w:spacing w:before="78" w:line="221" w:lineRule="auto"/>
        <w:rPr>
          <w:rFonts w:ascii="SimHei" w:hAnsi="SimHei" w:eastAsia="SimHei" w:cs="SimHei"/>
          <w:sz w:val="24"/>
          <w:szCs w:val="24"/>
        </w:rPr>
      </w:pPr>
      <w:r>
        <w:rPr>
          <w:rFonts w:ascii="SimHei" w:hAnsi="SimHei" w:eastAsia="SimHei" w:cs="SimHei"/>
          <w:sz w:val="24"/>
          <w:szCs w:val="24"/>
        </w:rPr>
        <w:t>《城市污水再生利用</w:t>
      </w:r>
      <w:r>
        <w:rPr>
          <w:rFonts w:ascii="SimHei" w:hAnsi="SimHei" w:eastAsia="SimHei" w:cs="SimHei"/>
          <w:sz w:val="24"/>
          <w:szCs w:val="24"/>
        </w:rPr>
        <w:t xml:space="preserve"> </w:t>
      </w:r>
      <w:r>
        <w:rPr>
          <w:rFonts w:ascii="SimHei" w:hAnsi="SimHei" w:eastAsia="SimHei" w:cs="SimHei"/>
          <w:sz w:val="24"/>
          <w:szCs w:val="24"/>
        </w:rPr>
        <w:t>城市杂用水水质》（</w:t>
      </w:r>
      <w:r>
        <w:rPr>
          <w:rFonts w:ascii="Times New Roman" w:hAnsi="Times New Roman" w:eastAsia="Times New Roman" w:cs="Times New Roman"/>
          <w:sz w:val="24"/>
          <w:szCs w:val="24"/>
        </w:rPr>
        <w:t>GB/T18920</w:t>
      </w:r>
      <w:r>
        <w:rPr>
          <w:rFonts w:ascii="Times New Roman" w:hAnsi="Times New Roman" w:eastAsia="Times New Roman" w:cs="Times New Roman"/>
          <w:sz w:val="24"/>
          <w:szCs w:val="24"/>
          <w:spacing w:val="-1"/>
        </w:rPr>
        <w:t>-2020</w:t>
      </w:r>
      <w:r>
        <w:rPr>
          <w:rFonts w:ascii="SimHei" w:hAnsi="SimHei" w:eastAsia="SimHei" w:cs="SimHei"/>
          <w:sz w:val="24"/>
          <w:szCs w:val="24"/>
          <w:spacing w:val="-1"/>
        </w:rPr>
        <w:t>）</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2-7-10</w:t>
      </w:r>
    </w:p>
    <w:tbl>
      <w:tblPr>
        <w:tblStyle w:val="TableNormal"/>
        <w:tblW w:w="9083" w:type="dxa"/>
        <w:tblInd w:w="1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1"/>
        <w:gridCol w:w="4274"/>
        <w:gridCol w:w="3948"/>
      </w:tblGrid>
      <w:tr>
        <w:trPr>
          <w:trHeight w:val="316" w:hRule="atLeast"/>
        </w:trPr>
        <w:tc>
          <w:tcPr>
            <w:tcW w:w="861" w:type="dxa"/>
            <w:vAlign w:val="top"/>
          </w:tcPr>
          <w:p>
            <w:pPr>
              <w:ind w:left="225"/>
              <w:spacing w:before="50" w:line="229" w:lineRule="auto"/>
              <w:rPr>
                <w:rFonts w:ascii="SimSun" w:hAnsi="SimSun" w:eastAsia="SimSun" w:cs="SimSun"/>
                <w:sz w:val="20"/>
                <w:szCs w:val="20"/>
              </w:rPr>
            </w:pPr>
            <w:r>
              <w:rPr>
                <w:rFonts w:ascii="SimSun" w:hAnsi="SimSun" w:eastAsia="SimSun" w:cs="SimSun"/>
                <w:sz w:val="20"/>
                <w:szCs w:val="20"/>
                <w:spacing w:val="5"/>
              </w:rPr>
              <w:t>序号</w:t>
            </w:r>
          </w:p>
        </w:tc>
        <w:tc>
          <w:tcPr>
            <w:tcW w:w="4274" w:type="dxa"/>
            <w:vAlign w:val="top"/>
          </w:tcPr>
          <w:p>
            <w:pPr>
              <w:ind w:left="1936"/>
              <w:spacing w:before="51" w:line="228" w:lineRule="auto"/>
              <w:rPr>
                <w:rFonts w:ascii="SimSun" w:hAnsi="SimSun" w:eastAsia="SimSun" w:cs="SimSun"/>
                <w:sz w:val="20"/>
                <w:szCs w:val="20"/>
              </w:rPr>
            </w:pPr>
            <w:r>
              <w:rPr>
                <w:rFonts w:ascii="SimSun" w:hAnsi="SimSun" w:eastAsia="SimSun" w:cs="SimSun"/>
                <w:sz w:val="20"/>
                <w:szCs w:val="20"/>
                <w:spacing w:val="3"/>
              </w:rPr>
              <w:t>项目</w:t>
            </w:r>
          </w:p>
        </w:tc>
        <w:tc>
          <w:tcPr>
            <w:tcW w:w="3948" w:type="dxa"/>
            <w:vAlign w:val="top"/>
          </w:tcPr>
          <w:p>
            <w:pPr>
              <w:ind w:left="193"/>
              <w:spacing w:before="50" w:line="228" w:lineRule="auto"/>
              <w:rPr>
                <w:rFonts w:ascii="SimSun" w:hAnsi="SimSun" w:eastAsia="SimSun" w:cs="SimSun"/>
                <w:sz w:val="20"/>
                <w:szCs w:val="20"/>
              </w:rPr>
            </w:pPr>
            <w:r>
              <w:rPr>
                <w:rFonts w:ascii="SimSun" w:hAnsi="SimSun" w:eastAsia="SimSun" w:cs="SimSun"/>
                <w:sz w:val="20"/>
                <w:szCs w:val="20"/>
                <w:spacing w:val="9"/>
              </w:rPr>
              <w:t>城市绿化、道路清扫、消防、建筑施工</w:t>
            </w:r>
          </w:p>
        </w:tc>
      </w:tr>
      <w:tr>
        <w:trPr>
          <w:trHeight w:val="287" w:hRule="atLeast"/>
        </w:trPr>
        <w:tc>
          <w:tcPr>
            <w:tcW w:w="861" w:type="dxa"/>
            <w:vAlign w:val="top"/>
          </w:tcPr>
          <w:p>
            <w:pPr>
              <w:pStyle w:val="TableText"/>
              <w:ind w:left="398"/>
              <w:spacing w:before="72" w:line="195" w:lineRule="auto"/>
              <w:rPr/>
            </w:pPr>
            <w:r>
              <w:rPr/>
              <w:t>1</w:t>
            </w:r>
          </w:p>
        </w:tc>
        <w:tc>
          <w:tcPr>
            <w:tcW w:w="4274" w:type="dxa"/>
            <w:vAlign w:val="top"/>
          </w:tcPr>
          <w:p>
            <w:pPr>
              <w:pStyle w:val="TableText"/>
              <w:ind w:left="2003"/>
              <w:spacing w:before="75" w:line="194" w:lineRule="auto"/>
              <w:rPr/>
            </w:pPr>
            <w:r>
              <w:rPr>
                <w:spacing w:val="6"/>
              </w:rPr>
              <w:t>pH</w:t>
            </w:r>
          </w:p>
        </w:tc>
        <w:tc>
          <w:tcPr>
            <w:tcW w:w="3948" w:type="dxa"/>
            <w:vAlign w:val="top"/>
          </w:tcPr>
          <w:p>
            <w:pPr>
              <w:pStyle w:val="TableText"/>
              <w:ind w:left="1660"/>
              <w:spacing w:before="72" w:line="195" w:lineRule="auto"/>
              <w:rPr/>
            </w:pPr>
            <w:r>
              <w:rPr>
                <w:spacing w:val="3"/>
              </w:rPr>
              <w:t>6.0~9.0</w:t>
            </w:r>
          </w:p>
        </w:tc>
      </w:tr>
      <w:tr>
        <w:trPr>
          <w:trHeight w:val="287" w:hRule="atLeast"/>
        </w:trPr>
        <w:tc>
          <w:tcPr>
            <w:tcW w:w="861" w:type="dxa"/>
            <w:vAlign w:val="top"/>
          </w:tcPr>
          <w:p>
            <w:pPr>
              <w:pStyle w:val="TableText"/>
              <w:ind w:left="378"/>
              <w:spacing w:before="71" w:line="195" w:lineRule="auto"/>
              <w:rPr/>
            </w:pPr>
            <w:r>
              <w:rPr/>
              <w:t>2</w:t>
            </w:r>
          </w:p>
        </w:tc>
        <w:tc>
          <w:tcPr>
            <w:tcW w:w="4274" w:type="dxa"/>
            <w:vAlign w:val="top"/>
          </w:tcPr>
          <w:p>
            <w:pPr>
              <w:pStyle w:val="TableText"/>
              <w:ind w:left="1139"/>
              <w:spacing w:before="35" w:line="223" w:lineRule="auto"/>
              <w:rPr/>
            </w:pPr>
            <w:r>
              <w:rPr>
                <w:rFonts w:ascii="SimSun" w:hAnsi="SimSun" w:eastAsia="SimSun" w:cs="SimSun"/>
                <w:spacing w:val="8"/>
              </w:rPr>
              <w:t>色度，铂钴色度单位</w:t>
            </w:r>
            <w:r>
              <w:rPr>
                <w:spacing w:val="8"/>
              </w:rPr>
              <w:t>≤</w:t>
            </w:r>
          </w:p>
        </w:tc>
        <w:tc>
          <w:tcPr>
            <w:tcW w:w="3948" w:type="dxa"/>
            <w:vAlign w:val="top"/>
          </w:tcPr>
          <w:p>
            <w:pPr>
              <w:pStyle w:val="TableText"/>
              <w:ind w:left="1874"/>
              <w:spacing w:before="71" w:line="195" w:lineRule="auto"/>
              <w:rPr/>
            </w:pPr>
            <w:r>
              <w:rPr/>
              <w:t>30</w:t>
            </w:r>
          </w:p>
        </w:tc>
      </w:tr>
      <w:tr>
        <w:trPr>
          <w:trHeight w:val="285" w:hRule="atLeast"/>
        </w:trPr>
        <w:tc>
          <w:tcPr>
            <w:tcW w:w="861" w:type="dxa"/>
            <w:vAlign w:val="top"/>
          </w:tcPr>
          <w:p>
            <w:pPr>
              <w:pStyle w:val="TableText"/>
              <w:ind w:left="382"/>
              <w:spacing w:before="71" w:line="195" w:lineRule="auto"/>
              <w:rPr/>
            </w:pPr>
            <w:r>
              <w:rPr/>
              <w:t>3</w:t>
            </w:r>
          </w:p>
        </w:tc>
        <w:tc>
          <w:tcPr>
            <w:tcW w:w="4274" w:type="dxa"/>
            <w:vAlign w:val="top"/>
          </w:tcPr>
          <w:p>
            <w:pPr>
              <w:ind w:left="2047"/>
              <w:spacing w:before="35" w:line="221" w:lineRule="auto"/>
              <w:rPr>
                <w:rFonts w:ascii="SimSun" w:hAnsi="SimSun" w:eastAsia="SimSun" w:cs="SimSun"/>
                <w:sz w:val="20"/>
                <w:szCs w:val="20"/>
              </w:rPr>
            </w:pPr>
            <w:r>
              <w:rPr>
                <w:rFonts w:ascii="SimSun" w:hAnsi="SimSun" w:eastAsia="SimSun" w:cs="SimSun"/>
                <w:sz w:val="20"/>
                <w:szCs w:val="20"/>
              </w:rPr>
              <w:t>嗅</w:t>
            </w:r>
          </w:p>
        </w:tc>
        <w:tc>
          <w:tcPr>
            <w:tcW w:w="3948" w:type="dxa"/>
            <w:vAlign w:val="top"/>
          </w:tcPr>
          <w:p>
            <w:pPr>
              <w:ind w:left="1561"/>
              <w:spacing w:before="35" w:line="221" w:lineRule="auto"/>
              <w:rPr>
                <w:rFonts w:ascii="SimSun" w:hAnsi="SimSun" w:eastAsia="SimSun" w:cs="SimSun"/>
                <w:sz w:val="20"/>
                <w:szCs w:val="20"/>
              </w:rPr>
            </w:pPr>
            <w:r>
              <w:rPr>
                <w:rFonts w:ascii="SimSun" w:hAnsi="SimSun" w:eastAsia="SimSun" w:cs="SimSun"/>
                <w:sz w:val="20"/>
                <w:szCs w:val="20"/>
                <w:spacing w:val="6"/>
              </w:rPr>
              <w:t>无不快感</w:t>
            </w:r>
          </w:p>
        </w:tc>
      </w:tr>
      <w:tr>
        <w:trPr>
          <w:trHeight w:val="287" w:hRule="atLeast"/>
        </w:trPr>
        <w:tc>
          <w:tcPr>
            <w:tcW w:w="861" w:type="dxa"/>
            <w:vAlign w:val="top"/>
          </w:tcPr>
          <w:p>
            <w:pPr>
              <w:pStyle w:val="TableText"/>
              <w:ind w:left="377"/>
              <w:spacing w:before="72" w:line="195" w:lineRule="auto"/>
              <w:rPr/>
            </w:pPr>
            <w:r>
              <w:rPr>
                <w:spacing w:val="1"/>
              </w:rPr>
              <w:t>4</w:t>
            </w:r>
          </w:p>
        </w:tc>
        <w:tc>
          <w:tcPr>
            <w:tcW w:w="4274" w:type="dxa"/>
            <w:vAlign w:val="top"/>
          </w:tcPr>
          <w:p>
            <w:pPr>
              <w:pStyle w:val="TableText"/>
              <w:ind w:left="1691"/>
              <w:spacing w:before="36" w:line="222" w:lineRule="auto"/>
              <w:rPr/>
            </w:pPr>
            <w:r>
              <w:rPr>
                <w:rFonts w:ascii="SimSun" w:hAnsi="SimSun" w:eastAsia="SimSun" w:cs="SimSun"/>
                <w:spacing w:val="9"/>
              </w:rPr>
              <w:t>浊度</w:t>
            </w:r>
            <w:r>
              <w:rPr>
                <w:spacing w:val="9"/>
              </w:rPr>
              <w:t>/</w:t>
            </w:r>
            <w:r>
              <w:rPr/>
              <w:t>NTU</w:t>
            </w:r>
          </w:p>
        </w:tc>
        <w:tc>
          <w:tcPr>
            <w:tcW w:w="3948" w:type="dxa"/>
            <w:vAlign w:val="top"/>
          </w:tcPr>
          <w:p>
            <w:pPr>
              <w:pStyle w:val="TableText"/>
              <w:ind w:left="1890"/>
              <w:spacing w:before="72" w:line="195" w:lineRule="auto"/>
              <w:rPr/>
            </w:pPr>
            <w:r>
              <w:rPr>
                <w:spacing w:val="-8"/>
              </w:rPr>
              <w:t>10</w:t>
            </w:r>
          </w:p>
        </w:tc>
      </w:tr>
      <w:tr>
        <w:trPr>
          <w:trHeight w:val="285" w:hRule="atLeast"/>
        </w:trPr>
        <w:tc>
          <w:tcPr>
            <w:tcW w:w="861" w:type="dxa"/>
            <w:vAlign w:val="top"/>
          </w:tcPr>
          <w:p>
            <w:pPr>
              <w:pStyle w:val="TableText"/>
              <w:ind w:left="384"/>
              <w:spacing w:before="76" w:line="192" w:lineRule="auto"/>
              <w:rPr/>
            </w:pPr>
            <w:r>
              <w:rPr/>
              <w:t>5</w:t>
            </w:r>
          </w:p>
        </w:tc>
        <w:tc>
          <w:tcPr>
            <w:tcW w:w="4274" w:type="dxa"/>
            <w:vAlign w:val="top"/>
          </w:tcPr>
          <w:p>
            <w:pPr>
              <w:pStyle w:val="TableText"/>
              <w:ind w:left="460"/>
              <w:spacing w:before="37" w:line="219" w:lineRule="auto"/>
              <w:rPr>
                <w:rFonts w:ascii="SimSun" w:hAnsi="SimSun" w:eastAsia="SimSun" w:cs="SimSun"/>
              </w:rPr>
            </w:pPr>
            <w:r>
              <w:rPr>
                <w:rFonts w:ascii="SimSun" w:hAnsi="SimSun" w:eastAsia="SimSun" w:cs="SimSun"/>
                <w:spacing w:val="9"/>
              </w:rPr>
              <w:t>五日生化需氧量（</w:t>
            </w:r>
            <w:r>
              <w:rPr/>
              <w:t>BOD</w:t>
            </w:r>
            <w:r>
              <w:rPr>
                <w:spacing w:val="9"/>
              </w:rPr>
              <w:t>5</w:t>
            </w:r>
            <w:r>
              <w:rPr>
                <w:rFonts w:ascii="SimSun" w:hAnsi="SimSun" w:eastAsia="SimSun" w:cs="SimSun"/>
                <w:spacing w:val="9"/>
              </w:rPr>
              <w:t>）</w:t>
            </w:r>
            <w:r>
              <w:rPr>
                <w:spacing w:val="9"/>
              </w:rPr>
              <w:t>/</w:t>
            </w:r>
            <w:r>
              <w:rPr>
                <w:rFonts w:ascii="SimSun" w:hAnsi="SimSun" w:eastAsia="SimSun" w:cs="SimSun"/>
                <w:spacing w:val="9"/>
              </w:rPr>
              <w:t>（</w:t>
            </w:r>
            <w:r>
              <w:rPr/>
              <w:t>mg</w:t>
            </w:r>
            <w:r>
              <w:rPr>
                <w:spacing w:val="9"/>
              </w:rPr>
              <w:t>/L</w:t>
            </w:r>
            <w:r>
              <w:rPr>
                <w:rFonts w:ascii="SimSun" w:hAnsi="SimSun" w:eastAsia="SimSun" w:cs="SimSun"/>
                <w:spacing w:val="9"/>
              </w:rPr>
              <w:t>）</w:t>
            </w:r>
          </w:p>
        </w:tc>
        <w:tc>
          <w:tcPr>
            <w:tcW w:w="3948" w:type="dxa"/>
            <w:vAlign w:val="top"/>
          </w:tcPr>
          <w:p>
            <w:pPr>
              <w:pStyle w:val="TableText"/>
              <w:ind w:left="1890"/>
              <w:spacing w:before="73" w:line="195" w:lineRule="auto"/>
              <w:rPr/>
            </w:pPr>
            <w:r>
              <w:rPr>
                <w:spacing w:val="-8"/>
              </w:rPr>
              <w:t>10</w:t>
            </w:r>
          </w:p>
        </w:tc>
      </w:tr>
      <w:tr>
        <w:trPr>
          <w:trHeight w:val="288" w:hRule="atLeast"/>
        </w:trPr>
        <w:tc>
          <w:tcPr>
            <w:tcW w:w="861" w:type="dxa"/>
            <w:vAlign w:val="top"/>
          </w:tcPr>
          <w:p>
            <w:pPr>
              <w:pStyle w:val="TableText"/>
              <w:ind w:left="383"/>
              <w:spacing w:before="75" w:line="195" w:lineRule="auto"/>
              <w:rPr/>
            </w:pPr>
            <w:r>
              <w:rPr/>
              <w:t>6</w:t>
            </w:r>
          </w:p>
        </w:tc>
        <w:tc>
          <w:tcPr>
            <w:tcW w:w="4274" w:type="dxa"/>
            <w:vAlign w:val="top"/>
          </w:tcPr>
          <w:p>
            <w:pPr>
              <w:pStyle w:val="TableText"/>
              <w:ind w:left="1465"/>
              <w:spacing w:before="39" w:line="220" w:lineRule="auto"/>
              <w:rPr>
                <w:rFonts w:ascii="SimSun" w:hAnsi="SimSun" w:eastAsia="SimSun" w:cs="SimSun"/>
              </w:rPr>
            </w:pPr>
            <w:r>
              <w:rPr>
                <w:rFonts w:ascii="SimSun" w:hAnsi="SimSun" w:eastAsia="SimSun" w:cs="SimSun"/>
                <w:spacing w:val="6"/>
              </w:rPr>
              <w:t>氨氮</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948" w:type="dxa"/>
            <w:vAlign w:val="top"/>
          </w:tcPr>
          <w:p>
            <w:pPr>
              <w:pStyle w:val="TableText"/>
              <w:ind w:left="1931"/>
              <w:spacing w:before="75" w:line="195" w:lineRule="auto"/>
              <w:rPr/>
            </w:pPr>
            <w:r>
              <w:rPr/>
              <w:t>8</w:t>
            </w:r>
          </w:p>
        </w:tc>
      </w:tr>
      <w:tr>
        <w:trPr>
          <w:trHeight w:val="287" w:hRule="atLeast"/>
        </w:trPr>
        <w:tc>
          <w:tcPr>
            <w:tcW w:w="861" w:type="dxa"/>
            <w:vAlign w:val="top"/>
          </w:tcPr>
          <w:p>
            <w:pPr>
              <w:pStyle w:val="TableText"/>
              <w:ind w:left="381"/>
              <w:spacing w:before="78" w:line="192" w:lineRule="auto"/>
              <w:rPr/>
            </w:pPr>
            <w:r>
              <w:rPr/>
              <w:t>7</w:t>
            </w:r>
          </w:p>
        </w:tc>
        <w:tc>
          <w:tcPr>
            <w:tcW w:w="4274" w:type="dxa"/>
            <w:vAlign w:val="top"/>
          </w:tcPr>
          <w:p>
            <w:pPr>
              <w:pStyle w:val="TableText"/>
              <w:ind w:left="852"/>
              <w:spacing w:before="37" w:line="221" w:lineRule="auto"/>
              <w:rPr>
                <w:rFonts w:ascii="SimSun" w:hAnsi="SimSun" w:eastAsia="SimSun" w:cs="SimSun"/>
              </w:rPr>
            </w:pPr>
            <w:r>
              <w:rPr>
                <w:rFonts w:ascii="SimSun" w:hAnsi="SimSun" w:eastAsia="SimSun" w:cs="SimSun"/>
                <w:spacing w:val="6"/>
              </w:rPr>
              <w:t>阴离子表面活性剂</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948" w:type="dxa"/>
            <w:vAlign w:val="top"/>
          </w:tcPr>
          <w:p>
            <w:pPr>
              <w:pStyle w:val="TableText"/>
              <w:ind w:left="1846"/>
              <w:spacing w:before="75" w:line="195" w:lineRule="auto"/>
              <w:rPr/>
            </w:pPr>
            <w:r>
              <w:rPr>
                <w:spacing w:val="1"/>
              </w:rPr>
              <w:t>0.5</w:t>
            </w:r>
          </w:p>
        </w:tc>
      </w:tr>
      <w:tr>
        <w:trPr>
          <w:trHeight w:val="288" w:hRule="atLeast"/>
        </w:trPr>
        <w:tc>
          <w:tcPr>
            <w:tcW w:w="861" w:type="dxa"/>
            <w:vAlign w:val="top"/>
          </w:tcPr>
          <w:p>
            <w:pPr>
              <w:pStyle w:val="TableText"/>
              <w:ind w:left="386"/>
              <w:spacing w:before="74" w:line="195" w:lineRule="auto"/>
              <w:rPr/>
            </w:pPr>
            <w:r>
              <w:rPr/>
              <w:t>8</w:t>
            </w:r>
          </w:p>
        </w:tc>
        <w:tc>
          <w:tcPr>
            <w:tcW w:w="4274" w:type="dxa"/>
            <w:vAlign w:val="top"/>
          </w:tcPr>
          <w:p>
            <w:pPr>
              <w:pStyle w:val="TableText"/>
              <w:ind w:left="1567"/>
              <w:spacing w:before="38" w:line="221" w:lineRule="auto"/>
              <w:rPr>
                <w:rFonts w:ascii="SimSun" w:hAnsi="SimSun" w:eastAsia="SimSun" w:cs="SimSun"/>
              </w:rPr>
            </w:pPr>
            <w:r>
              <w:rPr>
                <w:rFonts w:ascii="SimSun" w:hAnsi="SimSun" w:eastAsia="SimSun" w:cs="SimSun"/>
                <w:spacing w:val="5"/>
              </w:rPr>
              <w:t>铁</w:t>
            </w:r>
            <w:r>
              <w:rPr>
                <w:spacing w:val="5"/>
              </w:rPr>
              <w:t>/</w:t>
            </w:r>
            <w:r>
              <w:rPr>
                <w:rFonts w:ascii="SimSun" w:hAnsi="SimSun" w:eastAsia="SimSun" w:cs="SimSun"/>
                <w:spacing w:val="5"/>
              </w:rPr>
              <w:t>（</w:t>
            </w:r>
            <w:r>
              <w:rPr/>
              <w:t>mg</w:t>
            </w:r>
            <w:r>
              <w:rPr>
                <w:spacing w:val="5"/>
              </w:rPr>
              <w:t>/L</w:t>
            </w:r>
            <w:r>
              <w:rPr>
                <w:rFonts w:ascii="SimSun" w:hAnsi="SimSun" w:eastAsia="SimSun" w:cs="SimSun"/>
                <w:spacing w:val="5"/>
              </w:rPr>
              <w:t>）</w:t>
            </w:r>
          </w:p>
        </w:tc>
        <w:tc>
          <w:tcPr>
            <w:tcW w:w="3948" w:type="dxa"/>
            <w:vAlign w:val="top"/>
          </w:tcPr>
          <w:p>
            <w:pPr>
              <w:pStyle w:val="TableText"/>
              <w:ind w:left="1863"/>
              <w:spacing w:before="163" w:line="96" w:lineRule="exact"/>
              <w:rPr/>
            </w:pPr>
            <w:r>
              <w:rPr>
                <w:spacing w:val="12"/>
                <w:position w:val="-2"/>
              </w:rPr>
              <w:t>—</w:t>
            </w:r>
          </w:p>
        </w:tc>
      </w:tr>
      <w:tr>
        <w:trPr>
          <w:trHeight w:val="285" w:hRule="atLeast"/>
        </w:trPr>
        <w:tc>
          <w:tcPr>
            <w:tcW w:w="861" w:type="dxa"/>
            <w:vAlign w:val="top"/>
          </w:tcPr>
          <w:p>
            <w:pPr>
              <w:pStyle w:val="TableText"/>
              <w:ind w:left="382"/>
              <w:spacing w:before="73" w:line="195" w:lineRule="auto"/>
              <w:rPr/>
            </w:pPr>
            <w:r>
              <w:rPr/>
              <w:t>9</w:t>
            </w:r>
          </w:p>
        </w:tc>
        <w:tc>
          <w:tcPr>
            <w:tcW w:w="4274" w:type="dxa"/>
            <w:vAlign w:val="top"/>
          </w:tcPr>
          <w:p>
            <w:pPr>
              <w:pStyle w:val="TableText"/>
              <w:ind w:left="1568"/>
              <w:spacing w:before="37" w:line="219" w:lineRule="auto"/>
              <w:rPr>
                <w:rFonts w:ascii="SimSun" w:hAnsi="SimSun" w:eastAsia="SimSun" w:cs="SimSun"/>
              </w:rPr>
            </w:pPr>
            <w:r>
              <w:rPr>
                <w:rFonts w:ascii="SimSun" w:hAnsi="SimSun" w:eastAsia="SimSun" w:cs="SimSun"/>
                <w:spacing w:val="5"/>
              </w:rPr>
              <w:t>锰</w:t>
            </w:r>
            <w:r>
              <w:rPr>
                <w:spacing w:val="5"/>
              </w:rPr>
              <w:t>/</w:t>
            </w:r>
            <w:r>
              <w:rPr>
                <w:rFonts w:ascii="SimSun" w:hAnsi="SimSun" w:eastAsia="SimSun" w:cs="SimSun"/>
                <w:spacing w:val="5"/>
              </w:rPr>
              <w:t>（</w:t>
            </w:r>
            <w:r>
              <w:rPr/>
              <w:t>mg</w:t>
            </w:r>
            <w:r>
              <w:rPr>
                <w:spacing w:val="5"/>
              </w:rPr>
              <w:t>/L</w:t>
            </w:r>
            <w:r>
              <w:rPr>
                <w:rFonts w:ascii="SimSun" w:hAnsi="SimSun" w:eastAsia="SimSun" w:cs="SimSun"/>
                <w:spacing w:val="5"/>
              </w:rPr>
              <w:t>）</w:t>
            </w:r>
          </w:p>
        </w:tc>
        <w:tc>
          <w:tcPr>
            <w:tcW w:w="3948" w:type="dxa"/>
            <w:vAlign w:val="top"/>
          </w:tcPr>
          <w:p>
            <w:pPr>
              <w:pStyle w:val="TableText"/>
              <w:ind w:left="1863"/>
              <w:spacing w:before="163" w:line="95" w:lineRule="exact"/>
              <w:rPr/>
            </w:pPr>
            <w:r>
              <w:rPr>
                <w:spacing w:val="12"/>
                <w:position w:val="-2"/>
              </w:rPr>
              <w:t>—</w:t>
            </w:r>
          </w:p>
        </w:tc>
      </w:tr>
      <w:tr>
        <w:trPr>
          <w:trHeight w:val="287" w:hRule="atLeast"/>
        </w:trPr>
        <w:tc>
          <w:tcPr>
            <w:tcW w:w="861" w:type="dxa"/>
            <w:vAlign w:val="top"/>
          </w:tcPr>
          <w:p>
            <w:pPr>
              <w:pStyle w:val="TableText"/>
              <w:ind w:left="345"/>
              <w:spacing w:before="76" w:line="195" w:lineRule="auto"/>
              <w:rPr/>
            </w:pPr>
            <w:r>
              <w:rPr>
                <w:spacing w:val="-8"/>
              </w:rPr>
              <w:t>10</w:t>
            </w:r>
          </w:p>
        </w:tc>
        <w:tc>
          <w:tcPr>
            <w:tcW w:w="4274" w:type="dxa"/>
            <w:vAlign w:val="top"/>
          </w:tcPr>
          <w:p>
            <w:pPr>
              <w:pStyle w:val="TableText"/>
              <w:ind w:left="1047"/>
              <w:spacing w:before="38" w:line="220" w:lineRule="auto"/>
              <w:rPr>
                <w:rFonts w:ascii="SimSun" w:hAnsi="SimSun" w:eastAsia="SimSun" w:cs="SimSun"/>
              </w:rPr>
            </w:pPr>
            <w:r>
              <w:rPr>
                <w:rFonts w:ascii="SimSun" w:hAnsi="SimSun" w:eastAsia="SimSun" w:cs="SimSun"/>
                <w:spacing w:val="7"/>
              </w:rPr>
              <w:t>溶解性总固体</w:t>
            </w:r>
            <w:r>
              <w:rPr>
                <w:spacing w:val="7"/>
              </w:rPr>
              <w:t>/</w:t>
            </w:r>
            <w:r>
              <w:rPr>
                <w:rFonts w:ascii="SimSun" w:hAnsi="SimSun" w:eastAsia="SimSun" w:cs="SimSun"/>
                <w:spacing w:val="7"/>
              </w:rPr>
              <w:t>（</w:t>
            </w:r>
            <w:r>
              <w:rPr/>
              <w:t>mg</w:t>
            </w:r>
            <w:r>
              <w:rPr>
                <w:spacing w:val="7"/>
              </w:rPr>
              <w:t>/L</w:t>
            </w:r>
            <w:r>
              <w:rPr>
                <w:rFonts w:ascii="SimSun" w:hAnsi="SimSun" w:eastAsia="SimSun" w:cs="SimSun"/>
                <w:spacing w:val="7"/>
              </w:rPr>
              <w:t>）</w:t>
            </w:r>
          </w:p>
        </w:tc>
        <w:tc>
          <w:tcPr>
            <w:tcW w:w="3948" w:type="dxa"/>
            <w:vAlign w:val="top"/>
          </w:tcPr>
          <w:p>
            <w:pPr>
              <w:pStyle w:val="TableText"/>
              <w:ind w:left="1318"/>
              <w:spacing w:before="38" w:line="220" w:lineRule="auto"/>
              <w:rPr/>
            </w:pPr>
            <w:r>
              <w:rPr>
                <w:spacing w:val="3"/>
              </w:rPr>
              <w:t>1000</w:t>
            </w:r>
            <w:r>
              <w:rPr>
                <w:rFonts w:ascii="SimSun" w:hAnsi="SimSun" w:eastAsia="SimSun" w:cs="SimSun"/>
                <w:spacing w:val="3"/>
              </w:rPr>
              <w:t>（</w:t>
            </w:r>
            <w:r>
              <w:rPr>
                <w:spacing w:val="3"/>
              </w:rPr>
              <w:t>2000</w:t>
            </w:r>
            <w:r>
              <w:rPr>
                <w:rFonts w:ascii="SimSun" w:hAnsi="SimSun" w:eastAsia="SimSun" w:cs="SimSun"/>
                <w:spacing w:val="3"/>
              </w:rPr>
              <w:t>）</w:t>
            </w:r>
            <w:r>
              <w:rPr>
                <w:spacing w:val="3"/>
              </w:rPr>
              <w:t>a</w:t>
            </w:r>
          </w:p>
        </w:tc>
      </w:tr>
      <w:tr>
        <w:trPr>
          <w:trHeight w:val="285" w:hRule="atLeast"/>
        </w:trPr>
        <w:tc>
          <w:tcPr>
            <w:tcW w:w="861" w:type="dxa"/>
            <w:vAlign w:val="top"/>
          </w:tcPr>
          <w:p>
            <w:pPr>
              <w:pStyle w:val="TableText"/>
              <w:ind w:left="345"/>
              <w:spacing w:before="75" w:line="195" w:lineRule="auto"/>
              <w:rPr/>
            </w:pPr>
            <w:r>
              <w:rPr>
                <w:spacing w:val="-8"/>
              </w:rPr>
              <w:t>11</w:t>
            </w:r>
          </w:p>
        </w:tc>
        <w:tc>
          <w:tcPr>
            <w:tcW w:w="4274" w:type="dxa"/>
            <w:vAlign w:val="top"/>
          </w:tcPr>
          <w:p>
            <w:pPr>
              <w:pStyle w:val="TableText"/>
              <w:ind w:left="1362"/>
              <w:spacing w:before="38" w:line="218" w:lineRule="auto"/>
              <w:rPr>
                <w:rFonts w:ascii="SimSun" w:hAnsi="SimSun" w:eastAsia="SimSun" w:cs="SimSun"/>
              </w:rPr>
            </w:pPr>
            <w:r>
              <w:rPr>
                <w:rFonts w:ascii="SimSun" w:hAnsi="SimSun" w:eastAsia="SimSun" w:cs="SimSun"/>
                <w:spacing w:val="6"/>
              </w:rPr>
              <w:t>溶解氧</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948" w:type="dxa"/>
            <w:vAlign w:val="top"/>
          </w:tcPr>
          <w:p>
            <w:pPr>
              <w:pStyle w:val="TableText"/>
              <w:ind w:left="1843"/>
              <w:spacing w:before="75" w:line="195" w:lineRule="auto"/>
              <w:rPr/>
            </w:pPr>
            <w:r>
              <w:rPr>
                <w:spacing w:val="2"/>
              </w:rPr>
              <w:t>2.0</w:t>
            </w:r>
          </w:p>
        </w:tc>
      </w:tr>
      <w:tr>
        <w:trPr>
          <w:trHeight w:val="288" w:hRule="atLeast"/>
        </w:trPr>
        <w:tc>
          <w:tcPr>
            <w:tcW w:w="861" w:type="dxa"/>
            <w:vAlign w:val="top"/>
          </w:tcPr>
          <w:p>
            <w:pPr>
              <w:pStyle w:val="TableText"/>
              <w:ind w:left="345"/>
              <w:spacing w:before="75" w:line="195" w:lineRule="auto"/>
              <w:rPr/>
            </w:pPr>
            <w:r>
              <w:rPr>
                <w:spacing w:val="-8"/>
              </w:rPr>
              <w:t>12</w:t>
            </w:r>
          </w:p>
        </w:tc>
        <w:tc>
          <w:tcPr>
            <w:tcW w:w="4274" w:type="dxa"/>
            <w:vAlign w:val="top"/>
          </w:tcPr>
          <w:p>
            <w:pPr>
              <w:pStyle w:val="TableText"/>
              <w:ind w:left="1470"/>
              <w:spacing w:before="39" w:line="220" w:lineRule="auto"/>
              <w:rPr>
                <w:rFonts w:ascii="SimSun" w:hAnsi="SimSun" w:eastAsia="SimSun" w:cs="SimSun"/>
              </w:rPr>
            </w:pPr>
            <w:r>
              <w:rPr>
                <w:rFonts w:ascii="SimSun" w:hAnsi="SimSun" w:eastAsia="SimSun" w:cs="SimSun"/>
                <w:spacing w:val="5"/>
              </w:rPr>
              <w:t>总氯</w:t>
            </w:r>
            <w:r>
              <w:rPr>
                <w:spacing w:val="5"/>
              </w:rPr>
              <w:t>/</w:t>
            </w:r>
            <w:r>
              <w:rPr>
                <w:rFonts w:ascii="SimSun" w:hAnsi="SimSun" w:eastAsia="SimSun" w:cs="SimSun"/>
                <w:spacing w:val="5"/>
              </w:rPr>
              <w:t>（</w:t>
            </w:r>
            <w:r>
              <w:rPr/>
              <w:t>mg</w:t>
            </w:r>
            <w:r>
              <w:rPr>
                <w:spacing w:val="5"/>
              </w:rPr>
              <w:t>/L</w:t>
            </w:r>
            <w:r>
              <w:rPr>
                <w:rFonts w:ascii="SimSun" w:hAnsi="SimSun" w:eastAsia="SimSun" w:cs="SimSun"/>
                <w:spacing w:val="5"/>
              </w:rPr>
              <w:t>）</w:t>
            </w:r>
          </w:p>
        </w:tc>
        <w:tc>
          <w:tcPr>
            <w:tcW w:w="3948" w:type="dxa"/>
            <w:vAlign w:val="top"/>
          </w:tcPr>
          <w:p>
            <w:pPr>
              <w:pStyle w:val="TableText"/>
              <w:ind w:left="526"/>
              <w:spacing w:before="39" w:line="220" w:lineRule="auto"/>
              <w:rPr>
                <w:rFonts w:ascii="SimSun" w:hAnsi="SimSun" w:eastAsia="SimSun" w:cs="SimSun"/>
              </w:rPr>
            </w:pPr>
            <w:r>
              <w:rPr>
                <w:spacing w:val="4"/>
              </w:rPr>
              <w:t>1.0</w:t>
            </w:r>
            <w:r>
              <w:rPr>
                <w:rFonts w:ascii="SimSun" w:hAnsi="SimSun" w:eastAsia="SimSun" w:cs="SimSun"/>
                <w:spacing w:val="4"/>
              </w:rPr>
              <w:t>（出厂</w:t>
            </w:r>
            <w:r>
              <w:rPr>
                <w:rFonts w:ascii="SimSun" w:hAnsi="SimSun" w:eastAsia="SimSun" w:cs="SimSun"/>
                <w:spacing w:val="19"/>
              </w:rPr>
              <w:t>），</w:t>
            </w:r>
            <w:r>
              <w:rPr>
                <w:spacing w:val="4"/>
              </w:rPr>
              <w:t>0.2b</w:t>
            </w:r>
            <w:r>
              <w:rPr>
                <w:rFonts w:ascii="SimSun" w:hAnsi="SimSun" w:eastAsia="SimSun" w:cs="SimSun"/>
                <w:spacing w:val="4"/>
              </w:rPr>
              <w:t>（管网末端）</w:t>
            </w:r>
          </w:p>
        </w:tc>
      </w:tr>
      <w:tr>
        <w:trPr>
          <w:trHeight w:val="578" w:hRule="atLeast"/>
        </w:trPr>
        <w:tc>
          <w:tcPr>
            <w:tcW w:w="861" w:type="dxa"/>
            <w:vAlign w:val="top"/>
          </w:tcPr>
          <w:p>
            <w:pPr>
              <w:pStyle w:val="TableText"/>
              <w:ind w:left="345"/>
              <w:spacing w:before="219" w:line="195" w:lineRule="auto"/>
              <w:rPr/>
            </w:pPr>
            <w:r>
              <w:rPr>
                <w:spacing w:val="-8"/>
              </w:rPr>
              <w:t>13</w:t>
            </w:r>
          </w:p>
        </w:tc>
        <w:tc>
          <w:tcPr>
            <w:tcW w:w="4274" w:type="dxa"/>
            <w:vAlign w:val="top"/>
          </w:tcPr>
          <w:p>
            <w:pPr>
              <w:pStyle w:val="TableText"/>
              <w:ind w:left="680"/>
              <w:spacing w:before="61" w:line="221" w:lineRule="auto"/>
              <w:rPr>
                <w:rFonts w:ascii="SimSun" w:hAnsi="SimSun" w:eastAsia="SimSun" w:cs="SimSun"/>
              </w:rPr>
            </w:pPr>
            <w:r>
              <w:rPr>
                <w:rFonts w:ascii="SimSun" w:hAnsi="SimSun" w:eastAsia="SimSun" w:cs="SimSun"/>
                <w:spacing w:val="7"/>
              </w:rPr>
              <w:t>大肠埃希氏菌</w:t>
            </w:r>
            <w:r>
              <w:rPr>
                <w:spacing w:val="7"/>
              </w:rPr>
              <w:t>/(</w:t>
            </w:r>
            <w:r>
              <w:rPr/>
              <w:t>MNP</w:t>
            </w:r>
            <w:r>
              <w:rPr>
                <w:spacing w:val="7"/>
              </w:rPr>
              <w:t>/100</w:t>
            </w:r>
            <w:r>
              <w:rPr/>
              <w:t>mL</w:t>
            </w:r>
            <w:r>
              <w:rPr>
                <w:spacing w:val="-22"/>
              </w:rPr>
              <w:t xml:space="preserve"> </w:t>
            </w:r>
            <w:r>
              <w:rPr>
                <w:rFonts w:ascii="SimSun" w:hAnsi="SimSun" w:eastAsia="SimSun" w:cs="SimSun"/>
                <w:spacing w:val="7"/>
              </w:rPr>
              <w:t>，或</w:t>
            </w:r>
          </w:p>
          <w:p>
            <w:pPr>
              <w:pStyle w:val="TableText"/>
              <w:ind w:left="1567"/>
              <w:spacing w:before="51" w:line="201" w:lineRule="auto"/>
              <w:rPr/>
            </w:pPr>
            <w:r>
              <w:rPr/>
              <w:t>CFU</w:t>
            </w:r>
            <w:r>
              <w:rPr>
                <w:spacing w:val="9"/>
              </w:rPr>
              <w:t>/100</w:t>
            </w:r>
            <w:r>
              <w:rPr/>
              <w:t>mL</w:t>
            </w:r>
            <w:r>
              <w:rPr>
                <w:spacing w:val="9"/>
              </w:rPr>
              <w:t>)</w:t>
            </w:r>
          </w:p>
        </w:tc>
        <w:tc>
          <w:tcPr>
            <w:tcW w:w="3948" w:type="dxa"/>
            <w:vAlign w:val="top"/>
          </w:tcPr>
          <w:p>
            <w:pPr>
              <w:pStyle w:val="TableText"/>
              <w:ind w:left="1803"/>
              <w:spacing w:before="181" w:line="228" w:lineRule="auto"/>
              <w:rPr/>
            </w:pPr>
            <w:r>
              <w:rPr>
                <w:rFonts w:ascii="SimSun" w:hAnsi="SimSun" w:eastAsia="SimSun" w:cs="SimSun"/>
                <w:spacing w:val="-1"/>
              </w:rPr>
              <w:t>无</w:t>
            </w:r>
            <w:r>
              <w:rPr>
                <w:rFonts w:ascii="SimSun" w:hAnsi="SimSun" w:eastAsia="SimSun" w:cs="SimSun"/>
                <w:spacing w:val="-41"/>
              </w:rPr>
              <w:t xml:space="preserve"> </w:t>
            </w:r>
            <w:r>
              <w:rPr>
                <w:spacing w:val="-1"/>
              </w:rPr>
              <w:t>c</w:t>
            </w:r>
          </w:p>
        </w:tc>
      </w:tr>
    </w:tbl>
    <w:p>
      <w:pPr>
        <w:ind w:left="118"/>
        <w:spacing w:before="29" w:line="228" w:lineRule="auto"/>
        <w:rPr>
          <w:rFonts w:ascii="SimSun" w:hAnsi="SimSun" w:eastAsia="SimSun" w:cs="SimSun"/>
          <w:sz w:val="20"/>
          <w:szCs w:val="20"/>
        </w:rPr>
      </w:pPr>
      <w:r>
        <w:rPr>
          <w:rFonts w:ascii="SimSun" w:hAnsi="SimSun" w:eastAsia="SimSun" w:cs="SimSun"/>
          <w:sz w:val="20"/>
          <w:szCs w:val="20"/>
          <w:spacing w:val="7"/>
        </w:rPr>
        <w:t>注：</w:t>
      </w:r>
      <w:r>
        <w:rPr>
          <w:rFonts w:ascii="Times New Roman" w:hAnsi="Times New Roman" w:eastAsia="Times New Roman" w:cs="Times New Roman"/>
          <w:sz w:val="20"/>
          <w:szCs w:val="20"/>
          <w:spacing w:val="7"/>
        </w:rPr>
        <w:t>“—”</w:t>
      </w:r>
      <w:r>
        <w:rPr>
          <w:rFonts w:ascii="SimSun" w:hAnsi="SimSun" w:eastAsia="SimSun" w:cs="SimSun"/>
          <w:sz w:val="20"/>
          <w:szCs w:val="20"/>
          <w:spacing w:val="7"/>
        </w:rPr>
        <w:t>表示对此项无要求。</w:t>
      </w:r>
    </w:p>
    <w:p>
      <w:pPr>
        <w:ind w:left="537"/>
        <w:spacing w:before="24" w:line="227" w:lineRule="auto"/>
        <w:rPr>
          <w:rFonts w:ascii="SimSun" w:hAnsi="SimSun" w:eastAsia="SimSun" w:cs="SimSun"/>
          <w:sz w:val="20"/>
          <w:szCs w:val="20"/>
        </w:rPr>
      </w:pPr>
      <w:r>
        <w:rPr>
          <w:rFonts w:ascii="Times New Roman" w:hAnsi="Times New Roman" w:eastAsia="Times New Roman" w:cs="Times New Roman"/>
          <w:sz w:val="20"/>
          <w:szCs w:val="20"/>
          <w:spacing w:val="9"/>
        </w:rPr>
        <w:t>a </w:t>
      </w:r>
      <w:r>
        <w:rPr>
          <w:rFonts w:ascii="SimSun" w:hAnsi="SimSun" w:eastAsia="SimSun" w:cs="SimSun"/>
          <w:sz w:val="20"/>
          <w:szCs w:val="20"/>
          <w:spacing w:val="9"/>
        </w:rPr>
        <w:t>括号内指标为沿海及本地水源中溶解性固体含量较高的区域的</w:t>
      </w:r>
      <w:r>
        <w:rPr>
          <w:rFonts w:ascii="SimSun" w:hAnsi="SimSun" w:eastAsia="SimSun" w:cs="SimSun"/>
          <w:sz w:val="20"/>
          <w:szCs w:val="20"/>
          <w:spacing w:val="8"/>
        </w:rPr>
        <w:t>指标。</w:t>
      </w:r>
    </w:p>
    <w:p>
      <w:pPr>
        <w:ind w:left="530"/>
        <w:spacing w:before="28" w:line="221" w:lineRule="auto"/>
        <w:rPr>
          <w:rFonts w:ascii="SimSun" w:hAnsi="SimSun" w:eastAsia="SimSun" w:cs="SimSun"/>
          <w:sz w:val="20"/>
          <w:szCs w:val="20"/>
        </w:rPr>
      </w:pPr>
      <w:r>
        <w:rPr>
          <w:rFonts w:ascii="Times New Roman" w:hAnsi="Times New Roman" w:eastAsia="Times New Roman" w:cs="Times New Roman"/>
          <w:sz w:val="20"/>
          <w:szCs w:val="20"/>
          <w:spacing w:val="7"/>
        </w:rPr>
        <w:t>b </w:t>
      </w:r>
      <w:r>
        <w:rPr>
          <w:rFonts w:ascii="SimSun" w:hAnsi="SimSun" w:eastAsia="SimSun" w:cs="SimSun"/>
          <w:sz w:val="20"/>
          <w:szCs w:val="20"/>
          <w:spacing w:val="7"/>
        </w:rPr>
        <w:t>用于城市绿化时，不应超过</w:t>
      </w:r>
      <w:r>
        <w:rPr>
          <w:rFonts w:ascii="SimSun" w:hAnsi="SimSun" w:eastAsia="SimSun" w:cs="SimSun"/>
          <w:sz w:val="20"/>
          <w:szCs w:val="20"/>
          <w:spacing w:val="-28"/>
        </w:rPr>
        <w:t xml:space="preserve"> </w:t>
      </w:r>
      <w:r>
        <w:rPr>
          <w:rFonts w:ascii="Times New Roman" w:hAnsi="Times New Roman" w:eastAsia="Times New Roman" w:cs="Times New Roman"/>
          <w:sz w:val="20"/>
          <w:szCs w:val="20"/>
          <w:spacing w:val="7"/>
        </w:rPr>
        <w:t>2.5</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7"/>
        </w:rPr>
        <w:t>/L</w:t>
      </w:r>
      <w:r>
        <w:rPr>
          <w:rFonts w:ascii="SimSun" w:hAnsi="SimSun" w:eastAsia="SimSun" w:cs="SimSun"/>
          <w:sz w:val="20"/>
          <w:szCs w:val="20"/>
          <w:spacing w:val="7"/>
        </w:rPr>
        <w:t>。</w:t>
      </w:r>
    </w:p>
    <w:p>
      <w:pPr>
        <w:ind w:left="537"/>
        <w:spacing w:before="31" w:line="228" w:lineRule="auto"/>
        <w:rPr>
          <w:rFonts w:ascii="SimSun" w:hAnsi="SimSun" w:eastAsia="SimSun" w:cs="SimSun"/>
          <w:sz w:val="20"/>
          <w:szCs w:val="20"/>
        </w:rPr>
      </w:pPr>
      <w:r>
        <w:rPr>
          <w:rFonts w:ascii="Times New Roman" w:hAnsi="Times New Roman" w:eastAsia="Times New Roman" w:cs="Times New Roman"/>
          <w:sz w:val="20"/>
          <w:szCs w:val="20"/>
          <w:spacing w:val="7"/>
        </w:rPr>
        <w:t>c </w:t>
      </w:r>
      <w:r>
        <w:rPr>
          <w:rFonts w:ascii="SimSun" w:hAnsi="SimSun" w:eastAsia="SimSun" w:cs="SimSun"/>
          <w:sz w:val="20"/>
          <w:szCs w:val="20"/>
          <w:spacing w:val="7"/>
        </w:rPr>
        <w:t>大肠埃希氏菌不应检出</w:t>
      </w:r>
    </w:p>
    <w:p>
      <w:pPr>
        <w:pStyle w:val="BodyText"/>
        <w:spacing w:line="430" w:lineRule="auto"/>
        <w:rPr/>
      </w:pPr>
      <w:r/>
    </w:p>
    <w:p>
      <w:pPr>
        <w:ind w:left="117" w:right="1361" w:firstLine="1695"/>
        <w:spacing w:before="78" w:line="252" w:lineRule="auto"/>
        <w:rPr>
          <w:rFonts w:ascii="Times New Roman" w:hAnsi="Times New Roman" w:eastAsia="Times New Roman" w:cs="Times New Roman"/>
          <w:sz w:val="20"/>
          <w:szCs w:val="20"/>
        </w:rPr>
      </w:pPr>
      <w:r>
        <w:rPr>
          <w:rFonts w:ascii="SimHei" w:hAnsi="SimHei" w:eastAsia="SimHei" w:cs="SimHei"/>
          <w:sz w:val="24"/>
          <w:szCs w:val="24"/>
          <w:spacing w:val="-1"/>
        </w:rPr>
        <w:t>《城市污水再生利用</w:t>
      </w:r>
      <w:r>
        <w:rPr>
          <w:rFonts w:ascii="SimHei" w:hAnsi="SimHei" w:eastAsia="SimHei" w:cs="SimHei"/>
          <w:sz w:val="24"/>
          <w:szCs w:val="24"/>
          <w:spacing w:val="-1"/>
        </w:rPr>
        <w:t xml:space="preserve"> </w:t>
      </w:r>
      <w:r>
        <w:rPr>
          <w:rFonts w:ascii="SimHei" w:hAnsi="SimHei" w:eastAsia="SimHei" w:cs="SimHei"/>
          <w:sz w:val="24"/>
          <w:szCs w:val="24"/>
          <w:spacing w:val="-1"/>
        </w:rPr>
        <w:t>工业用水水质》（</w:t>
      </w:r>
      <w:r>
        <w:rPr>
          <w:rFonts w:ascii="Times New Roman" w:hAnsi="Times New Roman" w:eastAsia="Times New Roman" w:cs="Times New Roman"/>
          <w:sz w:val="24"/>
          <w:szCs w:val="24"/>
          <w:spacing w:val="-1"/>
        </w:rPr>
        <w:t>GB/T19923-2024</w:t>
      </w:r>
      <w:r>
        <w:rPr>
          <w:rFonts w:ascii="SimHei" w:hAnsi="SimHei" w:eastAsia="SimHei" w:cs="SimHei"/>
          <w:sz w:val="24"/>
          <w:szCs w:val="24"/>
          <w:spacing w:val="-1"/>
        </w:rPr>
        <w:t>）</w:t>
      </w:r>
      <w:r>
        <w:rPr>
          <w:rFonts w:ascii="SimSun" w:hAnsi="SimSun" w:eastAsia="SimSun" w:cs="SimSun"/>
          <w:sz w:val="20"/>
          <w:szCs w:val="20"/>
          <w:spacing w:val="2"/>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2"/>
        </w:rPr>
        <w:t>2-7-11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1"/>
        <w:gridCol w:w="2936"/>
        <w:gridCol w:w="3349"/>
        <w:gridCol w:w="2324"/>
      </w:tblGrid>
      <w:tr>
        <w:trPr>
          <w:trHeight w:val="553" w:hRule="atLeast"/>
        </w:trPr>
        <w:tc>
          <w:tcPr>
            <w:tcW w:w="681" w:type="dxa"/>
            <w:vAlign w:val="top"/>
          </w:tcPr>
          <w:p>
            <w:pPr>
              <w:ind w:left="134"/>
              <w:spacing w:before="33" w:line="229" w:lineRule="auto"/>
              <w:rPr>
                <w:rFonts w:ascii="SimSun" w:hAnsi="SimSun" w:eastAsia="SimSun" w:cs="SimSun"/>
                <w:sz w:val="20"/>
                <w:szCs w:val="20"/>
              </w:rPr>
            </w:pPr>
            <w:r>
              <w:rPr>
                <w:rFonts w:ascii="SimSun" w:hAnsi="SimSun" w:eastAsia="SimSun" w:cs="SimSun"/>
                <w:sz w:val="20"/>
                <w:szCs w:val="20"/>
                <w:spacing w:val="5"/>
              </w:rPr>
              <w:t>序号</w:t>
            </w:r>
          </w:p>
        </w:tc>
        <w:tc>
          <w:tcPr>
            <w:tcW w:w="2936" w:type="dxa"/>
            <w:vAlign w:val="top"/>
          </w:tcPr>
          <w:p>
            <w:pPr>
              <w:ind w:left="1051"/>
              <w:spacing w:before="34" w:line="228" w:lineRule="auto"/>
              <w:rPr>
                <w:rFonts w:ascii="SimSun" w:hAnsi="SimSun" w:eastAsia="SimSun" w:cs="SimSun"/>
                <w:sz w:val="20"/>
                <w:szCs w:val="20"/>
              </w:rPr>
            </w:pPr>
            <w:r>
              <w:rPr>
                <w:rFonts w:ascii="SimSun" w:hAnsi="SimSun" w:eastAsia="SimSun" w:cs="SimSun"/>
                <w:sz w:val="20"/>
                <w:szCs w:val="20"/>
                <w:spacing w:val="7"/>
              </w:rPr>
              <w:t>控制项目</w:t>
            </w:r>
          </w:p>
        </w:tc>
        <w:tc>
          <w:tcPr>
            <w:tcW w:w="3349" w:type="dxa"/>
            <w:vAlign w:val="top"/>
          </w:tcPr>
          <w:p>
            <w:pPr>
              <w:ind w:left="311" w:right="108" w:hanging="182"/>
              <w:spacing w:before="33" w:line="235" w:lineRule="auto"/>
              <w:rPr>
                <w:rFonts w:ascii="SimSun" w:hAnsi="SimSun" w:eastAsia="SimSun" w:cs="SimSun"/>
                <w:sz w:val="20"/>
                <w:szCs w:val="20"/>
              </w:rPr>
            </w:pPr>
            <w:r>
              <w:rPr>
                <w:rFonts w:ascii="SimSun" w:hAnsi="SimSun" w:eastAsia="SimSun" w:cs="SimSun"/>
                <w:sz w:val="20"/>
                <w:szCs w:val="20"/>
                <w:spacing w:val="7"/>
              </w:rPr>
              <w:t>间冷开式循环冷却水补充水、锅炉</w:t>
            </w:r>
            <w:r>
              <w:rPr>
                <w:rFonts w:ascii="SimSun" w:hAnsi="SimSun" w:eastAsia="SimSun" w:cs="SimSun"/>
                <w:sz w:val="20"/>
                <w:szCs w:val="20"/>
                <w:spacing w:val="9"/>
              </w:rPr>
              <w:t>补给水、工艺用水、产品用水</w:t>
            </w:r>
          </w:p>
        </w:tc>
        <w:tc>
          <w:tcPr>
            <w:tcW w:w="2324" w:type="dxa"/>
            <w:vAlign w:val="top"/>
          </w:tcPr>
          <w:p>
            <w:pPr>
              <w:ind w:left="118"/>
              <w:spacing w:before="33" w:line="228" w:lineRule="auto"/>
              <w:rPr>
                <w:rFonts w:ascii="SimSun" w:hAnsi="SimSun" w:eastAsia="SimSun" w:cs="SimSun"/>
                <w:sz w:val="20"/>
                <w:szCs w:val="20"/>
              </w:rPr>
            </w:pPr>
            <w:r>
              <w:rPr>
                <w:rFonts w:ascii="SimSun" w:hAnsi="SimSun" w:eastAsia="SimSun" w:cs="SimSun"/>
                <w:sz w:val="20"/>
                <w:szCs w:val="20"/>
                <w:spacing w:val="8"/>
              </w:rPr>
              <w:t>直流冷却水、洗涤用水</w:t>
            </w:r>
          </w:p>
        </w:tc>
      </w:tr>
      <w:tr>
        <w:trPr>
          <w:trHeight w:val="278" w:hRule="atLeast"/>
        </w:trPr>
        <w:tc>
          <w:tcPr>
            <w:tcW w:w="681" w:type="dxa"/>
            <w:vAlign w:val="top"/>
          </w:tcPr>
          <w:p>
            <w:pPr>
              <w:pStyle w:val="TableText"/>
              <w:ind w:left="309"/>
              <w:spacing w:before="66" w:line="195" w:lineRule="auto"/>
              <w:rPr/>
            </w:pPr>
            <w:r>
              <w:rPr/>
              <w:t>1</w:t>
            </w:r>
          </w:p>
        </w:tc>
        <w:tc>
          <w:tcPr>
            <w:tcW w:w="2936" w:type="dxa"/>
            <w:vAlign w:val="top"/>
          </w:tcPr>
          <w:p>
            <w:pPr>
              <w:pStyle w:val="TableText"/>
              <w:ind w:left="808"/>
              <w:spacing w:before="30" w:line="219" w:lineRule="auto"/>
              <w:rPr>
                <w:rFonts w:ascii="SimSun" w:hAnsi="SimSun" w:eastAsia="SimSun" w:cs="SimSun"/>
              </w:rPr>
            </w:pPr>
            <w:r>
              <w:rPr/>
              <w:t>pH</w:t>
            </w:r>
            <w:r>
              <w:rPr>
                <w:rFonts w:ascii="SimSun" w:hAnsi="SimSun" w:eastAsia="SimSun" w:cs="SimSun"/>
                <w:spacing w:val="10"/>
              </w:rPr>
              <w:t>（无量纲）</w:t>
            </w:r>
          </w:p>
        </w:tc>
        <w:tc>
          <w:tcPr>
            <w:tcW w:w="5673" w:type="dxa"/>
            <w:vAlign w:val="top"/>
            <w:gridSpan w:val="2"/>
          </w:tcPr>
          <w:p>
            <w:pPr>
              <w:pStyle w:val="TableText"/>
              <w:ind w:left="2521"/>
              <w:spacing w:before="51" w:line="195" w:lineRule="auto"/>
              <w:rPr/>
            </w:pPr>
            <w:r>
              <w:rPr>
                <w:spacing w:val="3"/>
              </w:rPr>
              <w:t>6.0~9.0</w:t>
            </w:r>
          </w:p>
        </w:tc>
      </w:tr>
      <w:tr>
        <w:trPr>
          <w:trHeight w:val="278" w:hRule="atLeast"/>
        </w:trPr>
        <w:tc>
          <w:tcPr>
            <w:tcW w:w="681" w:type="dxa"/>
            <w:vAlign w:val="top"/>
          </w:tcPr>
          <w:p>
            <w:pPr>
              <w:pStyle w:val="TableText"/>
              <w:ind w:left="289"/>
              <w:spacing w:before="66" w:line="195" w:lineRule="auto"/>
              <w:rPr/>
            </w:pPr>
            <w:r>
              <w:rPr/>
              <w:t>2</w:t>
            </w:r>
          </w:p>
        </w:tc>
        <w:tc>
          <w:tcPr>
            <w:tcW w:w="2936" w:type="dxa"/>
            <w:vAlign w:val="top"/>
          </w:tcPr>
          <w:p>
            <w:pPr>
              <w:pStyle w:val="TableText"/>
              <w:ind w:left="1131"/>
              <w:spacing w:before="30" w:line="219" w:lineRule="auto"/>
              <w:rPr>
                <w:rFonts w:ascii="SimSun" w:hAnsi="SimSun" w:eastAsia="SimSun" w:cs="SimSun"/>
              </w:rPr>
            </w:pPr>
            <w:r>
              <w:rPr>
                <w:rFonts w:ascii="SimSun" w:hAnsi="SimSun" w:eastAsia="SimSun" w:cs="SimSun"/>
                <w:spacing w:val="4"/>
              </w:rPr>
              <w:t>色度</w:t>
            </w:r>
            <w:r>
              <w:rPr>
                <w:spacing w:val="4"/>
              </w:rPr>
              <w:t>/</w:t>
            </w:r>
            <w:r>
              <w:rPr>
                <w:rFonts w:ascii="SimSun" w:hAnsi="SimSun" w:eastAsia="SimSun" w:cs="SimSun"/>
                <w:spacing w:val="4"/>
              </w:rPr>
              <w:t>度</w:t>
            </w:r>
          </w:p>
        </w:tc>
        <w:tc>
          <w:tcPr>
            <w:tcW w:w="5673" w:type="dxa"/>
            <w:vAlign w:val="top"/>
            <w:gridSpan w:val="2"/>
          </w:tcPr>
          <w:p>
            <w:pPr>
              <w:pStyle w:val="TableText"/>
              <w:ind w:left="2732"/>
              <w:spacing w:before="51" w:line="195" w:lineRule="auto"/>
              <w:rPr/>
            </w:pPr>
            <w:r>
              <w:rPr>
                <w:spacing w:val="2"/>
              </w:rPr>
              <w:t>20</w:t>
            </w:r>
          </w:p>
        </w:tc>
      </w:tr>
      <w:tr>
        <w:trPr>
          <w:trHeight w:val="275" w:hRule="atLeast"/>
        </w:trPr>
        <w:tc>
          <w:tcPr>
            <w:tcW w:w="681" w:type="dxa"/>
            <w:vAlign w:val="top"/>
          </w:tcPr>
          <w:p>
            <w:pPr>
              <w:pStyle w:val="TableText"/>
              <w:ind w:left="293"/>
              <w:spacing w:before="64" w:line="195" w:lineRule="auto"/>
              <w:rPr/>
            </w:pPr>
            <w:r>
              <w:rPr/>
              <w:t>3</w:t>
            </w:r>
          </w:p>
        </w:tc>
        <w:tc>
          <w:tcPr>
            <w:tcW w:w="2936" w:type="dxa"/>
            <w:vAlign w:val="top"/>
          </w:tcPr>
          <w:p>
            <w:pPr>
              <w:pStyle w:val="TableText"/>
              <w:ind w:left="1019"/>
              <w:spacing w:before="27" w:line="219" w:lineRule="auto"/>
              <w:rPr/>
            </w:pPr>
            <w:r>
              <w:rPr>
                <w:rFonts w:ascii="SimSun" w:hAnsi="SimSun" w:eastAsia="SimSun" w:cs="SimSun"/>
                <w:spacing w:val="10"/>
              </w:rPr>
              <w:t>浊度</w:t>
            </w:r>
            <w:r>
              <w:rPr>
                <w:spacing w:val="10"/>
              </w:rPr>
              <w:t>/</w:t>
            </w:r>
            <w:r>
              <w:rPr/>
              <w:t>NUT</w:t>
            </w:r>
          </w:p>
        </w:tc>
        <w:tc>
          <w:tcPr>
            <w:tcW w:w="3349" w:type="dxa"/>
            <w:vAlign w:val="top"/>
          </w:tcPr>
          <w:p>
            <w:pPr>
              <w:pStyle w:val="TableText"/>
              <w:ind w:left="1629"/>
              <w:spacing w:before="52" w:line="192" w:lineRule="auto"/>
              <w:rPr/>
            </w:pPr>
            <w:r>
              <w:rPr/>
              <w:t>5</w:t>
            </w:r>
          </w:p>
        </w:tc>
        <w:tc>
          <w:tcPr>
            <w:tcW w:w="2324" w:type="dxa"/>
            <w:vAlign w:val="top"/>
          </w:tcPr>
          <w:p>
            <w:pPr>
              <w:pStyle w:val="TableText"/>
              <w:ind w:left="1129"/>
              <w:spacing w:before="45" w:line="199" w:lineRule="auto"/>
              <w:rPr/>
            </w:pPr>
            <w:r>
              <w:rPr>
                <w:spacing w:val="2"/>
              </w:rPr>
              <w:t>/</w:t>
            </w:r>
          </w:p>
        </w:tc>
      </w:tr>
      <w:tr>
        <w:trPr>
          <w:trHeight w:val="278" w:hRule="atLeast"/>
        </w:trPr>
        <w:tc>
          <w:tcPr>
            <w:tcW w:w="681" w:type="dxa"/>
            <w:vAlign w:val="top"/>
          </w:tcPr>
          <w:p>
            <w:pPr>
              <w:pStyle w:val="TableText"/>
              <w:ind w:left="288"/>
              <w:spacing w:before="67" w:line="195" w:lineRule="auto"/>
              <w:rPr/>
            </w:pPr>
            <w:r>
              <w:rPr>
                <w:spacing w:val="1"/>
              </w:rPr>
              <w:t>4</w:t>
            </w:r>
          </w:p>
        </w:tc>
        <w:tc>
          <w:tcPr>
            <w:tcW w:w="2936" w:type="dxa"/>
            <w:vAlign w:val="top"/>
          </w:tcPr>
          <w:p>
            <w:pPr>
              <w:pStyle w:val="TableText"/>
              <w:ind w:left="745"/>
              <w:spacing w:before="31" w:line="218" w:lineRule="auto"/>
              <w:rPr>
                <w:rFonts w:ascii="SimSun" w:hAnsi="SimSun" w:eastAsia="SimSun" w:cs="SimSun"/>
              </w:rPr>
            </w:pPr>
            <w:r>
              <w:rPr/>
              <w:t>BOD</w:t>
            </w:r>
            <w:r>
              <w:rPr>
                <w:sz w:val="13"/>
                <w:szCs w:val="13"/>
                <w:spacing w:val="9"/>
                <w:position w:val="-1"/>
              </w:rPr>
              <w:t>5</w:t>
            </w:r>
            <w:r>
              <w:rPr>
                <w:spacing w:val="9"/>
              </w:rPr>
              <w:t>/</w:t>
            </w:r>
            <w:r>
              <w:rPr>
                <w:rFonts w:ascii="SimSun" w:hAnsi="SimSun" w:eastAsia="SimSun" w:cs="SimSun"/>
                <w:spacing w:val="9"/>
              </w:rPr>
              <w:t>（</w:t>
            </w:r>
            <w:r>
              <w:rPr/>
              <w:t>mg</w:t>
            </w:r>
            <w:r>
              <w:rPr>
                <w:spacing w:val="9"/>
              </w:rPr>
              <w:t>/L</w:t>
            </w:r>
            <w:r>
              <w:rPr>
                <w:rFonts w:ascii="SimSun" w:hAnsi="SimSun" w:eastAsia="SimSun" w:cs="SimSun"/>
                <w:spacing w:val="9"/>
              </w:rPr>
              <w:t>）</w:t>
            </w:r>
          </w:p>
        </w:tc>
        <w:tc>
          <w:tcPr>
            <w:tcW w:w="5673" w:type="dxa"/>
            <w:vAlign w:val="top"/>
            <w:gridSpan w:val="2"/>
          </w:tcPr>
          <w:p>
            <w:pPr>
              <w:pStyle w:val="TableText"/>
              <w:ind w:left="2752"/>
              <w:spacing w:before="52" w:line="195" w:lineRule="auto"/>
              <w:rPr/>
            </w:pPr>
            <w:r>
              <w:rPr>
                <w:spacing w:val="-8"/>
              </w:rPr>
              <w:t>10</w:t>
            </w:r>
          </w:p>
        </w:tc>
      </w:tr>
      <w:tr>
        <w:trPr>
          <w:trHeight w:val="278" w:hRule="atLeast"/>
        </w:trPr>
        <w:tc>
          <w:tcPr>
            <w:tcW w:w="681" w:type="dxa"/>
            <w:vAlign w:val="top"/>
          </w:tcPr>
          <w:p>
            <w:pPr>
              <w:pStyle w:val="TableText"/>
              <w:ind w:left="295"/>
              <w:spacing w:before="70" w:line="192" w:lineRule="auto"/>
              <w:rPr/>
            </w:pPr>
            <w:r>
              <w:rPr/>
              <w:t>5</w:t>
            </w:r>
          </w:p>
        </w:tc>
        <w:tc>
          <w:tcPr>
            <w:tcW w:w="2936" w:type="dxa"/>
            <w:vAlign w:val="top"/>
          </w:tcPr>
          <w:p>
            <w:pPr>
              <w:pStyle w:val="TableText"/>
              <w:ind w:left="783"/>
              <w:spacing w:before="31" w:line="218" w:lineRule="auto"/>
              <w:rPr>
                <w:rFonts w:ascii="SimSun" w:hAnsi="SimSun" w:eastAsia="SimSun" w:cs="SimSun"/>
              </w:rPr>
            </w:pPr>
            <w:r>
              <w:rPr/>
              <w:t>COD</w:t>
            </w:r>
            <w:r>
              <w:rPr>
                <w:spacing w:val="9"/>
              </w:rPr>
              <w:t>/</w:t>
            </w:r>
            <w:r>
              <w:rPr>
                <w:rFonts w:ascii="SimSun" w:hAnsi="SimSun" w:eastAsia="SimSun" w:cs="SimSun"/>
                <w:spacing w:val="9"/>
              </w:rPr>
              <w:t>（</w:t>
            </w:r>
            <w:r>
              <w:rPr/>
              <w:t>mg</w:t>
            </w:r>
            <w:r>
              <w:rPr>
                <w:spacing w:val="9"/>
              </w:rPr>
              <w:t>/L</w:t>
            </w:r>
            <w:r>
              <w:rPr>
                <w:rFonts w:ascii="SimSun" w:hAnsi="SimSun" w:eastAsia="SimSun" w:cs="SimSun"/>
                <w:spacing w:val="9"/>
              </w:rPr>
              <w:t>）</w:t>
            </w:r>
          </w:p>
        </w:tc>
        <w:tc>
          <w:tcPr>
            <w:tcW w:w="5673" w:type="dxa"/>
            <w:vAlign w:val="top"/>
            <w:gridSpan w:val="2"/>
          </w:tcPr>
          <w:p>
            <w:pPr>
              <w:pStyle w:val="TableText"/>
              <w:ind w:left="2738"/>
              <w:spacing w:before="53" w:line="195" w:lineRule="auto"/>
              <w:rPr/>
            </w:pPr>
            <w:r>
              <w:rPr/>
              <w:t>50</w:t>
            </w:r>
          </w:p>
        </w:tc>
      </w:tr>
      <w:tr>
        <w:trPr>
          <w:trHeight w:val="275" w:hRule="atLeast"/>
        </w:trPr>
        <w:tc>
          <w:tcPr>
            <w:tcW w:w="681" w:type="dxa"/>
            <w:vAlign w:val="top"/>
          </w:tcPr>
          <w:p>
            <w:pPr>
              <w:pStyle w:val="TableText"/>
              <w:ind w:left="294"/>
              <w:spacing w:before="65" w:line="195" w:lineRule="auto"/>
              <w:rPr/>
            </w:pPr>
            <w:r>
              <w:rPr/>
              <w:t>6</w:t>
            </w:r>
          </w:p>
        </w:tc>
        <w:tc>
          <w:tcPr>
            <w:tcW w:w="2936" w:type="dxa"/>
            <w:vAlign w:val="top"/>
          </w:tcPr>
          <w:p>
            <w:pPr>
              <w:pStyle w:val="TableText"/>
              <w:ind w:left="248"/>
              <w:spacing w:before="29" w:line="217" w:lineRule="auto"/>
              <w:rPr>
                <w:rFonts w:ascii="SimSun" w:hAnsi="SimSun" w:eastAsia="SimSun" w:cs="SimSun"/>
              </w:rPr>
            </w:pPr>
            <w:r>
              <w:rPr>
                <w:rFonts w:ascii="SimSun" w:hAnsi="SimSun" w:eastAsia="SimSun" w:cs="SimSun"/>
                <w:spacing w:val="7"/>
              </w:rPr>
              <w:t>氨氮（以</w:t>
            </w:r>
            <w:r>
              <w:rPr>
                <w:rFonts w:ascii="SimSun" w:hAnsi="SimSun" w:eastAsia="SimSun" w:cs="SimSun"/>
                <w:spacing w:val="-49"/>
              </w:rPr>
              <w:t xml:space="preserve"> </w:t>
            </w:r>
            <w:r>
              <w:rPr>
                <w:spacing w:val="7"/>
              </w:rPr>
              <w:t>N </w:t>
            </w:r>
            <w:r>
              <w:rPr>
                <w:rFonts w:ascii="SimSun" w:hAnsi="SimSun" w:eastAsia="SimSun" w:cs="SimSun"/>
                <w:spacing w:val="7"/>
              </w:rPr>
              <w:t>计）</w:t>
            </w:r>
            <w:r>
              <w:rPr>
                <w:spacing w:val="7"/>
              </w:rPr>
              <w:t>/</w:t>
            </w:r>
            <w:r>
              <w:rPr>
                <w:rFonts w:ascii="SimSun" w:hAnsi="SimSun" w:eastAsia="SimSun" w:cs="SimSun"/>
                <w:spacing w:val="7"/>
              </w:rPr>
              <w:t>（</w:t>
            </w:r>
            <w:r>
              <w:rPr/>
              <w:t>mg</w:t>
            </w:r>
            <w:r>
              <w:rPr>
                <w:spacing w:val="7"/>
              </w:rPr>
              <w:t>/L</w:t>
            </w:r>
            <w:r>
              <w:rPr>
                <w:rFonts w:ascii="SimSun" w:hAnsi="SimSun" w:eastAsia="SimSun" w:cs="SimSun"/>
                <w:spacing w:val="7"/>
              </w:rPr>
              <w:t>）</w:t>
            </w:r>
          </w:p>
        </w:tc>
        <w:tc>
          <w:tcPr>
            <w:tcW w:w="5673" w:type="dxa"/>
            <w:vAlign w:val="top"/>
            <w:gridSpan w:val="2"/>
          </w:tcPr>
          <w:p>
            <w:pPr>
              <w:pStyle w:val="TableText"/>
              <w:ind w:left="2791"/>
              <w:spacing w:before="53" w:line="192" w:lineRule="auto"/>
              <w:rPr/>
            </w:pPr>
            <w:r>
              <w:rPr/>
              <w:t>5</w:t>
            </w:r>
          </w:p>
        </w:tc>
      </w:tr>
      <w:tr>
        <w:trPr>
          <w:trHeight w:val="278" w:hRule="atLeast"/>
        </w:trPr>
        <w:tc>
          <w:tcPr>
            <w:tcW w:w="681" w:type="dxa"/>
            <w:vAlign w:val="top"/>
          </w:tcPr>
          <w:p>
            <w:pPr>
              <w:pStyle w:val="TableText"/>
              <w:ind w:left="293"/>
              <w:spacing w:before="71" w:line="192" w:lineRule="auto"/>
              <w:rPr/>
            </w:pPr>
            <w:r>
              <w:rPr/>
              <w:t>7</w:t>
            </w:r>
          </w:p>
        </w:tc>
        <w:tc>
          <w:tcPr>
            <w:tcW w:w="2936" w:type="dxa"/>
            <w:vAlign w:val="top"/>
          </w:tcPr>
          <w:p>
            <w:pPr>
              <w:pStyle w:val="TableText"/>
              <w:ind w:left="254"/>
              <w:spacing w:before="32" w:line="217" w:lineRule="auto"/>
              <w:rPr>
                <w:rFonts w:ascii="SimSun" w:hAnsi="SimSun" w:eastAsia="SimSun" w:cs="SimSun"/>
              </w:rPr>
            </w:pPr>
            <w:r>
              <w:rPr>
                <w:rFonts w:ascii="SimSun" w:hAnsi="SimSun" w:eastAsia="SimSun" w:cs="SimSun"/>
                <w:spacing w:val="6"/>
              </w:rPr>
              <w:t>总氮（以</w:t>
            </w:r>
            <w:r>
              <w:rPr>
                <w:rFonts w:ascii="SimSun" w:hAnsi="SimSun" w:eastAsia="SimSun" w:cs="SimSun"/>
                <w:spacing w:val="-42"/>
              </w:rPr>
              <w:t xml:space="preserve"> </w:t>
            </w:r>
            <w:r>
              <w:rPr>
                <w:spacing w:val="6"/>
              </w:rPr>
              <w:t>N </w:t>
            </w:r>
            <w:r>
              <w:rPr>
                <w:rFonts w:ascii="SimSun" w:hAnsi="SimSun" w:eastAsia="SimSun" w:cs="SimSun"/>
                <w:spacing w:val="6"/>
              </w:rPr>
              <w:t>计）</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5673" w:type="dxa"/>
            <w:vAlign w:val="top"/>
            <w:gridSpan w:val="2"/>
          </w:tcPr>
          <w:p>
            <w:pPr>
              <w:pStyle w:val="TableText"/>
              <w:ind w:left="2752"/>
              <w:spacing w:before="54" w:line="195" w:lineRule="auto"/>
              <w:rPr/>
            </w:pPr>
            <w:r>
              <w:rPr>
                <w:spacing w:val="-8"/>
              </w:rPr>
              <w:t>15</w:t>
            </w:r>
          </w:p>
        </w:tc>
      </w:tr>
      <w:tr>
        <w:trPr>
          <w:trHeight w:val="275" w:hRule="atLeast"/>
        </w:trPr>
        <w:tc>
          <w:tcPr>
            <w:tcW w:w="681" w:type="dxa"/>
            <w:vAlign w:val="top"/>
          </w:tcPr>
          <w:p>
            <w:pPr>
              <w:pStyle w:val="TableText"/>
              <w:ind w:left="298"/>
              <w:spacing w:before="68" w:line="195" w:lineRule="auto"/>
              <w:rPr/>
            </w:pPr>
            <w:r>
              <w:rPr/>
              <w:t>8</w:t>
            </w:r>
          </w:p>
        </w:tc>
        <w:tc>
          <w:tcPr>
            <w:tcW w:w="2936" w:type="dxa"/>
            <w:vAlign w:val="top"/>
          </w:tcPr>
          <w:p>
            <w:pPr>
              <w:pStyle w:val="TableText"/>
              <w:ind w:left="270"/>
              <w:spacing w:before="33" w:line="214" w:lineRule="auto"/>
              <w:rPr>
                <w:rFonts w:ascii="SimSun" w:hAnsi="SimSun" w:eastAsia="SimSun" w:cs="SimSun"/>
              </w:rPr>
            </w:pPr>
            <w:r>
              <w:rPr>
                <w:rFonts w:ascii="SimSun" w:hAnsi="SimSun" w:eastAsia="SimSun" w:cs="SimSun"/>
                <w:spacing w:val="6"/>
              </w:rPr>
              <w:t>总磷（以</w:t>
            </w:r>
            <w:r>
              <w:rPr>
                <w:rFonts w:ascii="SimSun" w:hAnsi="SimSun" w:eastAsia="SimSun" w:cs="SimSun"/>
                <w:spacing w:val="-44"/>
              </w:rPr>
              <w:t xml:space="preserve"> </w:t>
            </w:r>
            <w:r>
              <w:rPr>
                <w:spacing w:val="6"/>
              </w:rPr>
              <w:t>P </w:t>
            </w:r>
            <w:r>
              <w:rPr>
                <w:rFonts w:ascii="SimSun" w:hAnsi="SimSun" w:eastAsia="SimSun" w:cs="SimSun"/>
                <w:spacing w:val="6"/>
              </w:rPr>
              <w:t>计）</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5673" w:type="dxa"/>
            <w:vAlign w:val="top"/>
            <w:gridSpan w:val="2"/>
          </w:tcPr>
          <w:p>
            <w:pPr>
              <w:pStyle w:val="TableText"/>
              <w:ind w:left="2709"/>
              <w:spacing w:before="51" w:line="195" w:lineRule="auto"/>
              <w:rPr/>
            </w:pPr>
            <w:r>
              <w:rPr>
                <w:spacing w:val="1"/>
              </w:rPr>
              <w:t>0.5</w:t>
            </w:r>
          </w:p>
        </w:tc>
      </w:tr>
      <w:tr>
        <w:trPr>
          <w:trHeight w:val="278" w:hRule="atLeast"/>
        </w:trPr>
        <w:tc>
          <w:tcPr>
            <w:tcW w:w="681" w:type="dxa"/>
            <w:vAlign w:val="top"/>
          </w:tcPr>
          <w:p>
            <w:pPr>
              <w:pStyle w:val="TableText"/>
              <w:ind w:left="293"/>
              <w:spacing w:before="69" w:line="195" w:lineRule="auto"/>
              <w:rPr/>
            </w:pPr>
            <w:r>
              <w:rPr/>
              <w:t>9</w:t>
            </w:r>
          </w:p>
        </w:tc>
        <w:tc>
          <w:tcPr>
            <w:tcW w:w="2936" w:type="dxa"/>
            <w:vAlign w:val="top"/>
          </w:tcPr>
          <w:p>
            <w:pPr>
              <w:pStyle w:val="TableText"/>
              <w:ind w:left="180"/>
              <w:spacing w:before="34" w:line="216" w:lineRule="auto"/>
              <w:rPr>
                <w:rFonts w:ascii="SimSun" w:hAnsi="SimSun" w:eastAsia="SimSun" w:cs="SimSun"/>
              </w:rPr>
            </w:pPr>
            <w:r>
              <w:rPr>
                <w:rFonts w:ascii="SimSun" w:hAnsi="SimSun" w:eastAsia="SimSun" w:cs="SimSun"/>
                <w:spacing w:val="6"/>
              </w:rPr>
              <w:t>阴离子表面活性剂</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5673" w:type="dxa"/>
            <w:vAlign w:val="top"/>
            <w:gridSpan w:val="2"/>
          </w:tcPr>
          <w:p>
            <w:pPr>
              <w:pStyle w:val="TableText"/>
              <w:ind w:left="2709"/>
              <w:spacing w:before="55" w:line="195" w:lineRule="auto"/>
              <w:rPr/>
            </w:pPr>
            <w:r>
              <w:rPr>
                <w:spacing w:val="1"/>
              </w:rPr>
              <w:t>0.5</w:t>
            </w:r>
          </w:p>
        </w:tc>
      </w:tr>
      <w:tr>
        <w:trPr>
          <w:trHeight w:val="280" w:hRule="atLeast"/>
        </w:trPr>
        <w:tc>
          <w:tcPr>
            <w:tcW w:w="681" w:type="dxa"/>
            <w:vAlign w:val="top"/>
          </w:tcPr>
          <w:p>
            <w:pPr>
              <w:pStyle w:val="TableText"/>
              <w:ind w:left="257"/>
              <w:spacing w:before="69" w:line="195" w:lineRule="auto"/>
              <w:rPr/>
            </w:pPr>
            <w:r>
              <w:rPr>
                <w:spacing w:val="-8"/>
              </w:rPr>
              <w:t>10</w:t>
            </w:r>
          </w:p>
        </w:tc>
        <w:tc>
          <w:tcPr>
            <w:tcW w:w="2936" w:type="dxa"/>
            <w:vAlign w:val="top"/>
          </w:tcPr>
          <w:p>
            <w:pPr>
              <w:pStyle w:val="TableText"/>
              <w:ind w:left="690"/>
              <w:spacing w:before="33" w:line="218" w:lineRule="auto"/>
              <w:rPr>
                <w:rFonts w:ascii="SimSun" w:hAnsi="SimSun" w:eastAsia="SimSun" w:cs="SimSun"/>
              </w:rPr>
            </w:pPr>
            <w:r>
              <w:rPr>
                <w:rFonts w:ascii="SimSun" w:hAnsi="SimSun" w:eastAsia="SimSun" w:cs="SimSun"/>
                <w:spacing w:val="6"/>
              </w:rPr>
              <w:t>石油类</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5673" w:type="dxa"/>
            <w:vAlign w:val="top"/>
            <w:gridSpan w:val="2"/>
          </w:tcPr>
          <w:p>
            <w:pPr>
              <w:pStyle w:val="TableText"/>
              <w:ind w:left="2726"/>
              <w:spacing w:before="55" w:line="195" w:lineRule="auto"/>
              <w:rPr/>
            </w:pPr>
            <w:r>
              <w:rPr>
                <w:spacing w:val="-4"/>
              </w:rPr>
              <w:t>1.0</w:t>
            </w:r>
          </w:p>
        </w:tc>
      </w:tr>
    </w:tbl>
    <w:p>
      <w:pPr>
        <w:pStyle w:val="BodyText"/>
        <w:spacing w:line="198" w:lineRule="exact"/>
        <w:rPr>
          <w:sz w:val="17"/>
        </w:rPr>
      </w:pPr>
      <w:r/>
    </w:p>
    <w:p>
      <w:pPr>
        <w:spacing w:line="198" w:lineRule="exact"/>
        <w:sectPr>
          <w:headerReference w:type="default" r:id="rId49"/>
          <w:footerReference w:type="default" r:id="rId75"/>
          <w:pgSz w:w="11906" w:h="16838"/>
          <w:pgMar w:top="1170" w:right="1304" w:bottom="1080" w:left="1305" w:header="837" w:footer="918" w:gutter="0"/>
        </w:sectPr>
        <w:rPr>
          <w:sz w:val="17"/>
          <w:szCs w:val="17"/>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81"/>
        <w:gridCol w:w="2936"/>
        <w:gridCol w:w="3349"/>
        <w:gridCol w:w="2324"/>
      </w:tblGrid>
      <w:tr>
        <w:trPr>
          <w:trHeight w:val="282" w:hRule="atLeast"/>
        </w:trPr>
        <w:tc>
          <w:tcPr>
            <w:tcW w:w="681" w:type="dxa"/>
            <w:vAlign w:val="top"/>
          </w:tcPr>
          <w:p>
            <w:pPr>
              <w:pStyle w:val="TableText"/>
              <w:ind w:left="257"/>
              <w:spacing w:before="69" w:line="195" w:lineRule="auto"/>
              <w:rPr/>
            </w:pPr>
            <w:r>
              <w:rPr>
                <w:spacing w:val="-8"/>
              </w:rPr>
              <w:t>11</w:t>
            </w:r>
          </w:p>
        </w:tc>
        <w:tc>
          <w:tcPr>
            <w:tcW w:w="2936" w:type="dxa"/>
            <w:vAlign w:val="top"/>
          </w:tcPr>
          <w:p>
            <w:pPr>
              <w:pStyle w:val="TableText"/>
              <w:ind w:right="13"/>
              <w:spacing w:before="33" w:line="220" w:lineRule="auto"/>
              <w:jc w:val="right"/>
              <w:rPr>
                <w:rFonts w:ascii="SimSun" w:hAnsi="SimSun" w:eastAsia="SimSun" w:cs="SimSun"/>
              </w:rPr>
            </w:pPr>
            <w:r>
              <w:rPr>
                <w:rFonts w:ascii="SimSun" w:hAnsi="SimSun" w:eastAsia="SimSun" w:cs="SimSun"/>
                <w:spacing w:val="-4"/>
              </w:rPr>
              <w:t>总碱度（以</w:t>
            </w:r>
            <w:r>
              <w:rPr>
                <w:rFonts w:ascii="SimSun" w:hAnsi="SimSun" w:eastAsia="SimSun" w:cs="SimSun"/>
                <w:spacing w:val="-32"/>
              </w:rPr>
              <w:t xml:space="preserve"> </w:t>
            </w:r>
            <w:r>
              <w:rPr>
                <w:spacing w:val="-4"/>
              </w:rPr>
              <w:t>CaCO</w:t>
            </w:r>
            <w:r>
              <w:rPr>
                <w:sz w:val="13"/>
                <w:szCs w:val="13"/>
                <w:spacing w:val="-4"/>
                <w:position w:val="-1"/>
              </w:rPr>
              <w:t>3</w:t>
            </w:r>
            <w:r>
              <w:rPr>
                <w:sz w:val="13"/>
                <w:szCs w:val="13"/>
                <w:spacing w:val="10"/>
                <w:w w:val="102"/>
                <w:position w:val="-1"/>
              </w:rPr>
              <w:t xml:space="preserve"> </w:t>
            </w:r>
            <w:r>
              <w:rPr>
                <w:rFonts w:ascii="SimSun" w:hAnsi="SimSun" w:eastAsia="SimSun" w:cs="SimSun"/>
                <w:spacing w:val="-14"/>
              </w:rPr>
              <w:t>计）</w:t>
            </w:r>
            <w:r>
              <w:rPr>
                <w:spacing w:val="-14"/>
              </w:rPr>
              <w:t>/</w:t>
            </w:r>
            <w:r>
              <w:rPr>
                <w:rFonts w:ascii="SimSun" w:hAnsi="SimSun" w:eastAsia="SimSun" w:cs="SimSun"/>
                <w:spacing w:val="-14"/>
              </w:rPr>
              <w:t>（</w:t>
            </w:r>
            <w:r>
              <w:rPr>
                <w:spacing w:val="-14"/>
              </w:rPr>
              <w:t>mg/L</w:t>
            </w:r>
            <w:r>
              <w:rPr>
                <w:rFonts w:ascii="SimSun" w:hAnsi="SimSun" w:eastAsia="SimSun" w:cs="SimSun"/>
                <w:spacing w:val="-14"/>
              </w:rPr>
              <w:t>）</w:t>
            </w:r>
          </w:p>
        </w:tc>
        <w:tc>
          <w:tcPr>
            <w:tcW w:w="5673" w:type="dxa"/>
            <w:vAlign w:val="top"/>
            <w:gridSpan w:val="2"/>
          </w:tcPr>
          <w:p>
            <w:pPr>
              <w:pStyle w:val="TableText"/>
              <w:ind w:left="2684"/>
              <w:spacing w:before="55" w:line="195" w:lineRule="auto"/>
              <w:rPr/>
            </w:pPr>
            <w:r>
              <w:rPr>
                <w:spacing w:val="2"/>
              </w:rPr>
              <w:t>350</w:t>
            </w:r>
          </w:p>
        </w:tc>
      </w:tr>
      <w:tr>
        <w:trPr>
          <w:trHeight w:val="278" w:hRule="atLeast"/>
        </w:trPr>
        <w:tc>
          <w:tcPr>
            <w:tcW w:w="681" w:type="dxa"/>
            <w:vAlign w:val="top"/>
          </w:tcPr>
          <w:p>
            <w:pPr>
              <w:pStyle w:val="TableText"/>
              <w:ind w:left="257"/>
              <w:spacing w:before="51" w:line="195" w:lineRule="auto"/>
              <w:rPr/>
            </w:pPr>
            <w:r>
              <w:rPr>
                <w:spacing w:val="-8"/>
              </w:rPr>
              <w:t>12</w:t>
            </w:r>
          </w:p>
        </w:tc>
        <w:tc>
          <w:tcPr>
            <w:tcW w:w="2936" w:type="dxa"/>
            <w:vAlign w:val="top"/>
          </w:tcPr>
          <w:p>
            <w:pPr>
              <w:pStyle w:val="TableText"/>
              <w:ind w:right="13"/>
              <w:spacing w:before="29" w:line="220" w:lineRule="auto"/>
              <w:jc w:val="right"/>
              <w:rPr>
                <w:rFonts w:ascii="SimSun" w:hAnsi="SimSun" w:eastAsia="SimSun" w:cs="SimSun"/>
              </w:rPr>
            </w:pPr>
            <w:r>
              <w:rPr>
                <w:rFonts w:ascii="SimSun" w:hAnsi="SimSun" w:eastAsia="SimSun" w:cs="SimSun"/>
                <w:spacing w:val="-4"/>
              </w:rPr>
              <w:t>总硬度（以</w:t>
            </w:r>
            <w:r>
              <w:rPr>
                <w:rFonts w:ascii="SimSun" w:hAnsi="SimSun" w:eastAsia="SimSun" w:cs="SimSun"/>
                <w:spacing w:val="-32"/>
              </w:rPr>
              <w:t xml:space="preserve"> </w:t>
            </w:r>
            <w:r>
              <w:rPr>
                <w:spacing w:val="-4"/>
              </w:rPr>
              <w:t>CaCO</w:t>
            </w:r>
            <w:r>
              <w:rPr>
                <w:sz w:val="13"/>
                <w:szCs w:val="13"/>
                <w:spacing w:val="-4"/>
                <w:position w:val="-1"/>
              </w:rPr>
              <w:t>3</w:t>
            </w:r>
            <w:r>
              <w:rPr>
                <w:sz w:val="13"/>
                <w:szCs w:val="13"/>
                <w:spacing w:val="10"/>
                <w:w w:val="102"/>
                <w:position w:val="-1"/>
              </w:rPr>
              <w:t xml:space="preserve"> </w:t>
            </w:r>
            <w:r>
              <w:rPr>
                <w:rFonts w:ascii="SimSun" w:hAnsi="SimSun" w:eastAsia="SimSun" w:cs="SimSun"/>
                <w:spacing w:val="-14"/>
              </w:rPr>
              <w:t>计）</w:t>
            </w:r>
            <w:r>
              <w:rPr>
                <w:spacing w:val="-14"/>
              </w:rPr>
              <w:t>/</w:t>
            </w:r>
            <w:r>
              <w:rPr>
                <w:rFonts w:ascii="SimSun" w:hAnsi="SimSun" w:eastAsia="SimSun" w:cs="SimSun"/>
                <w:spacing w:val="-14"/>
              </w:rPr>
              <w:t>（</w:t>
            </w:r>
            <w:r>
              <w:rPr>
                <w:spacing w:val="-14"/>
              </w:rPr>
              <w:t>mg/L</w:t>
            </w:r>
            <w:r>
              <w:rPr>
                <w:rFonts w:ascii="SimSun" w:hAnsi="SimSun" w:eastAsia="SimSun" w:cs="SimSun"/>
                <w:spacing w:val="-14"/>
              </w:rPr>
              <w:t>）</w:t>
            </w:r>
          </w:p>
        </w:tc>
        <w:tc>
          <w:tcPr>
            <w:tcW w:w="5673" w:type="dxa"/>
            <w:vAlign w:val="top"/>
            <w:gridSpan w:val="2"/>
          </w:tcPr>
          <w:p>
            <w:pPr>
              <w:pStyle w:val="TableText"/>
              <w:ind w:left="2678"/>
              <w:spacing w:before="51" w:line="195" w:lineRule="auto"/>
              <w:rPr/>
            </w:pPr>
            <w:r>
              <w:rPr>
                <w:spacing w:val="4"/>
              </w:rPr>
              <w:t>450</w:t>
            </w:r>
          </w:p>
        </w:tc>
      </w:tr>
      <w:tr>
        <w:trPr>
          <w:trHeight w:val="275" w:hRule="atLeast"/>
        </w:trPr>
        <w:tc>
          <w:tcPr>
            <w:tcW w:w="681" w:type="dxa"/>
            <w:vAlign w:val="top"/>
          </w:tcPr>
          <w:p>
            <w:pPr>
              <w:pStyle w:val="TableText"/>
              <w:ind w:left="257"/>
              <w:spacing w:before="49" w:line="195" w:lineRule="auto"/>
              <w:rPr/>
            </w:pPr>
            <w:r>
              <w:rPr>
                <w:spacing w:val="-8"/>
              </w:rPr>
              <w:t>13</w:t>
            </w:r>
          </w:p>
        </w:tc>
        <w:tc>
          <w:tcPr>
            <w:tcW w:w="2936" w:type="dxa"/>
            <w:vAlign w:val="top"/>
          </w:tcPr>
          <w:p>
            <w:pPr>
              <w:pStyle w:val="TableText"/>
              <w:ind w:left="483"/>
              <w:spacing w:before="27" w:line="219" w:lineRule="auto"/>
              <w:rPr>
                <w:rFonts w:ascii="SimSun" w:hAnsi="SimSun" w:eastAsia="SimSun" w:cs="SimSun"/>
              </w:rPr>
            </w:pPr>
            <w:r>
              <w:rPr>
                <w:rFonts w:ascii="SimSun" w:hAnsi="SimSun" w:eastAsia="SimSun" w:cs="SimSun"/>
                <w:spacing w:val="6"/>
              </w:rPr>
              <w:t>溶解性总固</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349" w:type="dxa"/>
            <w:vAlign w:val="top"/>
          </w:tcPr>
          <w:p>
            <w:pPr>
              <w:pStyle w:val="TableText"/>
              <w:ind w:left="1485"/>
              <w:spacing w:before="49" w:line="195" w:lineRule="auto"/>
              <w:rPr/>
            </w:pPr>
            <w:r>
              <w:rPr>
                <w:spacing w:val="-1"/>
              </w:rPr>
              <w:t>1000</w:t>
            </w:r>
          </w:p>
        </w:tc>
        <w:tc>
          <w:tcPr>
            <w:tcW w:w="2324" w:type="dxa"/>
            <w:vAlign w:val="top"/>
          </w:tcPr>
          <w:p>
            <w:pPr>
              <w:pStyle w:val="TableText"/>
              <w:ind w:left="973"/>
              <w:spacing w:before="49" w:line="195" w:lineRule="auto"/>
              <w:rPr/>
            </w:pPr>
            <w:r>
              <w:rPr>
                <w:spacing w:val="-2"/>
              </w:rPr>
              <w:t>1500</w:t>
            </w:r>
          </w:p>
        </w:tc>
      </w:tr>
      <w:tr>
        <w:trPr>
          <w:trHeight w:val="278" w:hRule="atLeast"/>
        </w:trPr>
        <w:tc>
          <w:tcPr>
            <w:tcW w:w="681" w:type="dxa"/>
            <w:vAlign w:val="top"/>
          </w:tcPr>
          <w:p>
            <w:pPr>
              <w:pStyle w:val="TableText"/>
              <w:ind w:left="257"/>
              <w:spacing w:before="52" w:line="195" w:lineRule="auto"/>
              <w:rPr/>
            </w:pPr>
            <w:r>
              <w:rPr>
                <w:spacing w:val="-8"/>
              </w:rPr>
              <w:t>14</w:t>
            </w:r>
          </w:p>
        </w:tc>
        <w:tc>
          <w:tcPr>
            <w:tcW w:w="2936" w:type="dxa"/>
            <w:vAlign w:val="top"/>
          </w:tcPr>
          <w:p>
            <w:pPr>
              <w:pStyle w:val="TableText"/>
              <w:ind w:left="693"/>
              <w:spacing w:before="30" w:line="219" w:lineRule="auto"/>
              <w:rPr>
                <w:rFonts w:ascii="SimSun" w:hAnsi="SimSun" w:eastAsia="SimSun" w:cs="SimSun"/>
              </w:rPr>
            </w:pPr>
            <w:r>
              <w:rPr>
                <w:rFonts w:ascii="SimSun" w:hAnsi="SimSun" w:eastAsia="SimSun" w:cs="SimSun"/>
                <w:spacing w:val="6"/>
              </w:rPr>
              <w:t>氯化物</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349" w:type="dxa"/>
            <w:vAlign w:val="top"/>
          </w:tcPr>
          <w:p>
            <w:pPr>
              <w:pStyle w:val="TableText"/>
              <w:ind w:left="1518"/>
              <w:spacing w:before="52" w:line="195" w:lineRule="auto"/>
              <w:rPr/>
            </w:pPr>
            <w:r>
              <w:rPr>
                <w:spacing w:val="3"/>
              </w:rPr>
              <w:t>250</w:t>
            </w:r>
          </w:p>
        </w:tc>
        <w:tc>
          <w:tcPr>
            <w:tcW w:w="2324" w:type="dxa"/>
            <w:vAlign w:val="top"/>
          </w:tcPr>
          <w:p>
            <w:pPr>
              <w:pStyle w:val="TableText"/>
              <w:ind w:left="1002"/>
              <w:spacing w:before="52" w:line="195" w:lineRule="auto"/>
              <w:rPr/>
            </w:pPr>
            <w:r>
              <w:rPr>
                <w:spacing w:val="4"/>
              </w:rPr>
              <w:t>400</w:t>
            </w:r>
          </w:p>
        </w:tc>
      </w:tr>
      <w:tr>
        <w:trPr>
          <w:trHeight w:val="278" w:hRule="atLeast"/>
        </w:trPr>
        <w:tc>
          <w:tcPr>
            <w:tcW w:w="681" w:type="dxa"/>
            <w:vAlign w:val="top"/>
          </w:tcPr>
          <w:p>
            <w:pPr>
              <w:pStyle w:val="TableText"/>
              <w:ind w:left="257"/>
              <w:spacing w:before="52" w:line="195" w:lineRule="auto"/>
              <w:rPr/>
            </w:pPr>
            <w:r>
              <w:rPr>
                <w:spacing w:val="-8"/>
              </w:rPr>
              <w:t>15</w:t>
            </w:r>
          </w:p>
        </w:tc>
        <w:tc>
          <w:tcPr>
            <w:tcW w:w="2936" w:type="dxa"/>
            <w:vAlign w:val="top"/>
          </w:tcPr>
          <w:p>
            <w:pPr>
              <w:pStyle w:val="TableText"/>
              <w:ind w:right="13"/>
              <w:spacing w:before="30" w:line="219" w:lineRule="auto"/>
              <w:jc w:val="right"/>
              <w:rPr>
                <w:rFonts w:ascii="SimSun" w:hAnsi="SimSun" w:eastAsia="SimSun" w:cs="SimSun"/>
              </w:rPr>
            </w:pPr>
            <w:r>
              <w:rPr>
                <w:rFonts w:ascii="SimSun" w:hAnsi="SimSun" w:eastAsia="SimSun" w:cs="SimSun"/>
                <w:spacing w:val="1"/>
              </w:rPr>
              <w:t>硫酸盐（以</w:t>
            </w:r>
            <w:r>
              <w:rPr>
                <w:rFonts w:ascii="SimSun" w:hAnsi="SimSun" w:eastAsia="SimSun" w:cs="SimSun"/>
                <w:spacing w:val="-28"/>
              </w:rPr>
              <w:t xml:space="preserve"> </w:t>
            </w:r>
            <w:r>
              <w:rPr/>
              <w:t>SO</w:t>
            </w:r>
            <w:r>
              <w:rPr>
                <w:sz w:val="13"/>
                <w:szCs w:val="13"/>
                <w:spacing w:val="1"/>
                <w:position w:val="-1"/>
              </w:rPr>
              <w:t>4</w:t>
            </w:r>
            <w:r>
              <w:rPr>
                <w:sz w:val="13"/>
                <w:szCs w:val="13"/>
                <w:spacing w:val="1"/>
              </w:rPr>
              <w:t>2-</w:t>
            </w:r>
            <w:r>
              <w:rPr>
                <w:rFonts w:ascii="SimSun" w:hAnsi="SimSun" w:eastAsia="SimSun" w:cs="SimSun"/>
                <w:spacing w:val="1"/>
              </w:rPr>
              <w:t>计）</w:t>
            </w:r>
            <w:r>
              <w:rPr>
                <w:spacing w:val="1"/>
              </w:rPr>
              <w:t>/</w:t>
            </w:r>
            <w:r>
              <w:rPr>
                <w:rFonts w:ascii="SimSun" w:hAnsi="SimSun" w:eastAsia="SimSun" w:cs="SimSun"/>
                <w:spacing w:val="1"/>
              </w:rPr>
              <w:t>（</w:t>
            </w:r>
            <w:r>
              <w:rPr/>
              <w:t>mg</w:t>
            </w:r>
            <w:r>
              <w:rPr>
                <w:spacing w:val="1"/>
              </w:rPr>
              <w:t>/L</w:t>
            </w:r>
            <w:r>
              <w:rPr>
                <w:rFonts w:ascii="SimSun" w:hAnsi="SimSun" w:eastAsia="SimSun" w:cs="SimSun"/>
                <w:spacing w:val="1"/>
              </w:rPr>
              <w:t>）</w:t>
            </w:r>
          </w:p>
        </w:tc>
        <w:tc>
          <w:tcPr>
            <w:tcW w:w="3349" w:type="dxa"/>
            <w:vAlign w:val="top"/>
          </w:tcPr>
          <w:p>
            <w:pPr>
              <w:pStyle w:val="TableText"/>
              <w:ind w:left="1518"/>
              <w:spacing w:before="52" w:line="195" w:lineRule="auto"/>
              <w:rPr/>
            </w:pPr>
            <w:r>
              <w:rPr>
                <w:spacing w:val="3"/>
              </w:rPr>
              <w:t>250</w:t>
            </w:r>
          </w:p>
        </w:tc>
        <w:tc>
          <w:tcPr>
            <w:tcW w:w="2324" w:type="dxa"/>
            <w:vAlign w:val="top"/>
          </w:tcPr>
          <w:p>
            <w:pPr>
              <w:pStyle w:val="TableText"/>
              <w:ind w:left="1008"/>
              <w:spacing w:before="52" w:line="195" w:lineRule="auto"/>
              <w:rPr/>
            </w:pPr>
            <w:r>
              <w:rPr>
                <w:spacing w:val="2"/>
              </w:rPr>
              <w:t>600</w:t>
            </w:r>
          </w:p>
        </w:tc>
      </w:tr>
      <w:tr>
        <w:trPr>
          <w:trHeight w:val="275" w:hRule="atLeast"/>
        </w:trPr>
        <w:tc>
          <w:tcPr>
            <w:tcW w:w="681" w:type="dxa"/>
            <w:vAlign w:val="top"/>
          </w:tcPr>
          <w:p>
            <w:pPr>
              <w:pStyle w:val="TableText"/>
              <w:ind w:left="257"/>
              <w:spacing w:before="50" w:line="195" w:lineRule="auto"/>
              <w:rPr/>
            </w:pPr>
            <w:r>
              <w:rPr>
                <w:spacing w:val="-8"/>
              </w:rPr>
              <w:t>16</w:t>
            </w:r>
          </w:p>
        </w:tc>
        <w:tc>
          <w:tcPr>
            <w:tcW w:w="2936" w:type="dxa"/>
            <w:vAlign w:val="top"/>
          </w:tcPr>
          <w:p>
            <w:pPr>
              <w:pStyle w:val="TableText"/>
              <w:ind w:left="900"/>
              <w:spacing w:before="28" w:line="218" w:lineRule="auto"/>
              <w:rPr>
                <w:rFonts w:ascii="SimSun" w:hAnsi="SimSun" w:eastAsia="SimSun" w:cs="SimSun"/>
              </w:rPr>
            </w:pPr>
            <w:r>
              <w:rPr>
                <w:rFonts w:ascii="SimSun" w:hAnsi="SimSun" w:eastAsia="SimSun" w:cs="SimSun"/>
                <w:spacing w:val="5"/>
              </w:rPr>
              <w:t>铁</w:t>
            </w:r>
            <w:r>
              <w:rPr>
                <w:spacing w:val="5"/>
              </w:rPr>
              <w:t>/</w:t>
            </w:r>
            <w:r>
              <w:rPr>
                <w:rFonts w:ascii="SimSun" w:hAnsi="SimSun" w:eastAsia="SimSun" w:cs="SimSun"/>
                <w:spacing w:val="5"/>
              </w:rPr>
              <w:t>（</w:t>
            </w:r>
            <w:r>
              <w:rPr/>
              <w:t>mg</w:t>
            </w:r>
            <w:r>
              <w:rPr>
                <w:spacing w:val="5"/>
              </w:rPr>
              <w:t>/L</w:t>
            </w:r>
            <w:r>
              <w:rPr>
                <w:rFonts w:ascii="SimSun" w:hAnsi="SimSun" w:eastAsia="SimSun" w:cs="SimSun"/>
                <w:spacing w:val="5"/>
              </w:rPr>
              <w:t>）</w:t>
            </w:r>
          </w:p>
        </w:tc>
        <w:tc>
          <w:tcPr>
            <w:tcW w:w="3349" w:type="dxa"/>
            <w:vAlign w:val="top"/>
          </w:tcPr>
          <w:p>
            <w:pPr>
              <w:pStyle w:val="TableText"/>
              <w:ind w:left="1547"/>
              <w:spacing w:before="50" w:line="195" w:lineRule="auto"/>
              <w:rPr/>
            </w:pPr>
            <w:r>
              <w:rPr>
                <w:spacing w:val="1"/>
              </w:rPr>
              <w:t>0.3</w:t>
            </w:r>
          </w:p>
        </w:tc>
        <w:tc>
          <w:tcPr>
            <w:tcW w:w="2324" w:type="dxa"/>
            <w:vAlign w:val="top"/>
          </w:tcPr>
          <w:p>
            <w:pPr>
              <w:pStyle w:val="TableText"/>
              <w:ind w:left="1030"/>
              <w:spacing w:before="50" w:line="195" w:lineRule="auto"/>
              <w:rPr/>
            </w:pPr>
            <w:r>
              <w:rPr>
                <w:spacing w:val="2"/>
              </w:rPr>
              <w:t>0.5</w:t>
            </w:r>
          </w:p>
        </w:tc>
      </w:tr>
      <w:tr>
        <w:trPr>
          <w:trHeight w:val="278" w:hRule="atLeast"/>
        </w:trPr>
        <w:tc>
          <w:tcPr>
            <w:tcW w:w="681" w:type="dxa"/>
            <w:vAlign w:val="top"/>
          </w:tcPr>
          <w:p>
            <w:pPr>
              <w:pStyle w:val="TableText"/>
              <w:ind w:left="257"/>
              <w:spacing w:before="53" w:line="195" w:lineRule="auto"/>
              <w:rPr/>
            </w:pPr>
            <w:r>
              <w:rPr>
                <w:spacing w:val="-8"/>
              </w:rPr>
              <w:t>17</w:t>
            </w:r>
          </w:p>
        </w:tc>
        <w:tc>
          <w:tcPr>
            <w:tcW w:w="2936" w:type="dxa"/>
            <w:vAlign w:val="top"/>
          </w:tcPr>
          <w:p>
            <w:pPr>
              <w:pStyle w:val="TableText"/>
              <w:ind w:left="901"/>
              <w:spacing w:before="31" w:line="218" w:lineRule="auto"/>
              <w:rPr>
                <w:rFonts w:ascii="SimSun" w:hAnsi="SimSun" w:eastAsia="SimSun" w:cs="SimSun"/>
              </w:rPr>
            </w:pPr>
            <w:r>
              <w:rPr>
                <w:rFonts w:ascii="SimSun" w:hAnsi="SimSun" w:eastAsia="SimSun" w:cs="SimSun"/>
                <w:spacing w:val="4"/>
              </w:rPr>
              <w:t>锰</w:t>
            </w:r>
            <w:r>
              <w:rPr>
                <w:spacing w:val="4"/>
              </w:rPr>
              <w:t>/</w:t>
            </w:r>
            <w:r>
              <w:rPr>
                <w:rFonts w:ascii="SimSun" w:hAnsi="SimSun" w:eastAsia="SimSun" w:cs="SimSun"/>
                <w:spacing w:val="4"/>
              </w:rPr>
              <w:t>（</w:t>
            </w:r>
            <w:r>
              <w:rPr/>
              <w:t>mg</w:t>
            </w:r>
            <w:r>
              <w:rPr>
                <w:spacing w:val="4"/>
              </w:rPr>
              <w:t>/L</w:t>
            </w:r>
            <w:r>
              <w:rPr>
                <w:rFonts w:ascii="SimSun" w:hAnsi="SimSun" w:eastAsia="SimSun" w:cs="SimSun"/>
                <w:spacing w:val="4"/>
              </w:rPr>
              <w:t>）</w:t>
            </w:r>
          </w:p>
        </w:tc>
        <w:tc>
          <w:tcPr>
            <w:tcW w:w="3349" w:type="dxa"/>
            <w:vAlign w:val="top"/>
          </w:tcPr>
          <w:p>
            <w:pPr>
              <w:pStyle w:val="TableText"/>
              <w:ind w:left="1547"/>
              <w:spacing w:before="53" w:line="195" w:lineRule="auto"/>
              <w:rPr/>
            </w:pPr>
            <w:r>
              <w:rPr/>
              <w:t>0.</w:t>
            </w:r>
            <w:r>
              <w:rPr>
                <w:spacing w:val="-25"/>
              </w:rPr>
              <w:t xml:space="preserve"> </w:t>
            </w:r>
            <w:r>
              <w:rPr/>
              <w:t>1</w:t>
            </w:r>
          </w:p>
        </w:tc>
        <w:tc>
          <w:tcPr>
            <w:tcW w:w="2324" w:type="dxa"/>
            <w:vAlign w:val="top"/>
          </w:tcPr>
          <w:p>
            <w:pPr>
              <w:pStyle w:val="TableText"/>
              <w:ind w:left="1030"/>
              <w:spacing w:before="53" w:line="195" w:lineRule="auto"/>
              <w:rPr/>
            </w:pPr>
            <w:r>
              <w:rPr>
                <w:spacing w:val="2"/>
              </w:rPr>
              <w:t>0.2</w:t>
            </w:r>
          </w:p>
        </w:tc>
      </w:tr>
      <w:tr>
        <w:trPr>
          <w:trHeight w:val="278" w:hRule="atLeast"/>
        </w:trPr>
        <w:tc>
          <w:tcPr>
            <w:tcW w:w="681" w:type="dxa"/>
            <w:vAlign w:val="top"/>
          </w:tcPr>
          <w:p>
            <w:pPr>
              <w:pStyle w:val="TableText"/>
              <w:ind w:left="257"/>
              <w:spacing w:before="53" w:line="195" w:lineRule="auto"/>
              <w:rPr/>
            </w:pPr>
            <w:r>
              <w:rPr>
                <w:spacing w:val="-8"/>
              </w:rPr>
              <w:t>18</w:t>
            </w:r>
          </w:p>
        </w:tc>
        <w:tc>
          <w:tcPr>
            <w:tcW w:w="2936" w:type="dxa"/>
            <w:vAlign w:val="top"/>
          </w:tcPr>
          <w:p>
            <w:pPr>
              <w:pStyle w:val="TableText"/>
              <w:ind w:left="587"/>
              <w:spacing w:before="32" w:line="217" w:lineRule="auto"/>
              <w:rPr>
                <w:rFonts w:ascii="SimSun" w:hAnsi="SimSun" w:eastAsia="SimSun" w:cs="SimSun"/>
              </w:rPr>
            </w:pPr>
            <w:r>
              <w:rPr>
                <w:rFonts w:ascii="SimSun" w:hAnsi="SimSun" w:eastAsia="SimSun" w:cs="SimSun"/>
                <w:spacing w:val="6"/>
              </w:rPr>
              <w:t>二氧化硅</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c>
          <w:tcPr>
            <w:tcW w:w="3349" w:type="dxa"/>
            <w:vAlign w:val="top"/>
          </w:tcPr>
          <w:p>
            <w:pPr>
              <w:pStyle w:val="TableText"/>
              <w:ind w:left="1572"/>
              <w:spacing w:before="53" w:line="195" w:lineRule="auto"/>
              <w:rPr/>
            </w:pPr>
            <w:r>
              <w:rPr>
                <w:spacing w:val="1"/>
              </w:rPr>
              <w:t>30</w:t>
            </w:r>
          </w:p>
        </w:tc>
        <w:tc>
          <w:tcPr>
            <w:tcW w:w="2324" w:type="dxa"/>
            <w:vAlign w:val="top"/>
          </w:tcPr>
          <w:p>
            <w:pPr>
              <w:pStyle w:val="TableText"/>
              <w:ind w:left="1062"/>
              <w:spacing w:before="53" w:line="195" w:lineRule="auto"/>
              <w:rPr/>
            </w:pPr>
            <w:r>
              <w:rPr/>
              <w:t>50</w:t>
            </w:r>
          </w:p>
        </w:tc>
      </w:tr>
      <w:tr>
        <w:trPr>
          <w:trHeight w:val="275" w:hRule="atLeast"/>
        </w:trPr>
        <w:tc>
          <w:tcPr>
            <w:tcW w:w="681" w:type="dxa"/>
            <w:vAlign w:val="top"/>
          </w:tcPr>
          <w:p>
            <w:pPr>
              <w:pStyle w:val="TableText"/>
              <w:ind w:left="257"/>
              <w:spacing w:before="51" w:line="195" w:lineRule="auto"/>
              <w:rPr/>
            </w:pPr>
            <w:r>
              <w:rPr>
                <w:spacing w:val="-8"/>
              </w:rPr>
              <w:t>19</w:t>
            </w:r>
          </w:p>
        </w:tc>
        <w:tc>
          <w:tcPr>
            <w:tcW w:w="2936" w:type="dxa"/>
            <w:vAlign w:val="top"/>
          </w:tcPr>
          <w:p>
            <w:pPr>
              <w:pStyle w:val="TableText"/>
              <w:ind w:left="389"/>
              <w:spacing w:before="29" w:line="217" w:lineRule="auto"/>
              <w:rPr>
                <w:rFonts w:ascii="SimSun" w:hAnsi="SimSun" w:eastAsia="SimSun" w:cs="SimSun"/>
              </w:rPr>
            </w:pPr>
            <w:r>
              <w:rPr>
                <w:rFonts w:ascii="SimSun" w:hAnsi="SimSun" w:eastAsia="SimSun" w:cs="SimSun"/>
                <w:spacing w:val="8"/>
              </w:rPr>
              <w:t>粪大肠菌群</w:t>
            </w:r>
            <w:r>
              <w:rPr>
                <w:spacing w:val="8"/>
              </w:rPr>
              <w:t>/</w:t>
            </w:r>
            <w:r>
              <w:rPr>
                <w:rFonts w:ascii="SimSun" w:hAnsi="SimSun" w:eastAsia="SimSun" w:cs="SimSun"/>
                <w:spacing w:val="8"/>
              </w:rPr>
              <w:t>（</w:t>
            </w:r>
            <w:r>
              <w:rPr/>
              <w:t>MPN</w:t>
            </w:r>
            <w:r>
              <w:rPr>
                <w:spacing w:val="8"/>
              </w:rPr>
              <w:t>/L</w:t>
            </w:r>
            <w:r>
              <w:rPr>
                <w:rFonts w:ascii="SimSun" w:hAnsi="SimSun" w:eastAsia="SimSun" w:cs="SimSun"/>
                <w:spacing w:val="8"/>
              </w:rPr>
              <w:t>）</w:t>
            </w:r>
          </w:p>
        </w:tc>
        <w:tc>
          <w:tcPr>
            <w:tcW w:w="5673" w:type="dxa"/>
            <w:vAlign w:val="top"/>
            <w:gridSpan w:val="2"/>
          </w:tcPr>
          <w:p>
            <w:pPr>
              <w:pStyle w:val="TableText"/>
              <w:ind w:left="2644"/>
              <w:spacing w:before="51" w:line="195" w:lineRule="auto"/>
              <w:rPr/>
            </w:pPr>
            <w:r>
              <w:rPr>
                <w:spacing w:val="-1"/>
              </w:rPr>
              <w:t>1000</w:t>
            </w:r>
          </w:p>
        </w:tc>
      </w:tr>
      <w:tr>
        <w:trPr>
          <w:trHeight w:val="282" w:hRule="atLeast"/>
        </w:trPr>
        <w:tc>
          <w:tcPr>
            <w:tcW w:w="681" w:type="dxa"/>
            <w:vAlign w:val="top"/>
          </w:tcPr>
          <w:p>
            <w:pPr>
              <w:pStyle w:val="TableText"/>
              <w:ind w:left="236"/>
              <w:spacing w:before="54" w:line="195" w:lineRule="auto"/>
              <w:rPr/>
            </w:pPr>
            <w:r>
              <w:rPr>
                <w:spacing w:val="2"/>
              </w:rPr>
              <w:t>20</w:t>
            </w:r>
          </w:p>
        </w:tc>
        <w:tc>
          <w:tcPr>
            <w:tcW w:w="2936" w:type="dxa"/>
            <w:vAlign w:val="top"/>
          </w:tcPr>
          <w:p>
            <w:pPr>
              <w:pStyle w:val="TableText"/>
              <w:ind w:left="695"/>
              <w:spacing w:before="33" w:line="220" w:lineRule="auto"/>
              <w:rPr>
                <w:rFonts w:ascii="SimSun" w:hAnsi="SimSun" w:eastAsia="SimSun" w:cs="SimSun"/>
              </w:rPr>
            </w:pPr>
            <w:r>
              <w:rPr>
                <w:rFonts w:ascii="SimSun" w:hAnsi="SimSun" w:eastAsia="SimSun" w:cs="SimSun"/>
                <w:spacing w:val="5"/>
              </w:rPr>
              <w:t>总余氯</w:t>
            </w:r>
            <w:r>
              <w:rPr>
                <w:spacing w:val="5"/>
              </w:rPr>
              <w:t>/</w:t>
            </w:r>
            <w:r>
              <w:rPr>
                <w:rFonts w:ascii="SimSun" w:hAnsi="SimSun" w:eastAsia="SimSun" w:cs="SimSun"/>
                <w:spacing w:val="5"/>
              </w:rPr>
              <w:t>（</w:t>
            </w:r>
            <w:r>
              <w:rPr/>
              <w:t>mg</w:t>
            </w:r>
            <w:r>
              <w:rPr>
                <w:spacing w:val="5"/>
              </w:rPr>
              <w:t>/L</w:t>
            </w:r>
            <w:r>
              <w:rPr>
                <w:rFonts w:ascii="SimSun" w:hAnsi="SimSun" w:eastAsia="SimSun" w:cs="SimSun"/>
                <w:spacing w:val="5"/>
              </w:rPr>
              <w:t>）</w:t>
            </w:r>
          </w:p>
        </w:tc>
        <w:tc>
          <w:tcPr>
            <w:tcW w:w="5673" w:type="dxa"/>
            <w:vAlign w:val="top"/>
            <w:gridSpan w:val="2"/>
          </w:tcPr>
          <w:p>
            <w:pPr>
              <w:pStyle w:val="TableText"/>
              <w:ind w:left="2519"/>
              <w:spacing w:before="54" w:line="195" w:lineRule="auto"/>
              <w:rPr/>
            </w:pPr>
            <w:r>
              <w:rPr>
                <w:spacing w:val="-1"/>
              </w:rPr>
              <w:t>0.</w:t>
            </w:r>
            <w:r>
              <w:rPr>
                <w:spacing w:val="-21"/>
              </w:rPr>
              <w:t xml:space="preserve"> </w:t>
            </w:r>
            <w:r>
              <w:rPr>
                <w:spacing w:val="-1"/>
              </w:rPr>
              <w:t>1~0.2</w:t>
            </w:r>
          </w:p>
        </w:tc>
      </w:tr>
    </w:tbl>
    <w:p>
      <w:pPr>
        <w:pStyle w:val="BodyText"/>
        <w:spacing w:line="337" w:lineRule="auto"/>
        <w:rPr/>
      </w:pPr>
      <w:r/>
    </w:p>
    <w:p>
      <w:pPr>
        <w:ind w:left="11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3"/>
        </w:rPr>
        <w:t>2.7.1.8</w:t>
      </w:r>
      <w:r>
        <w:rPr>
          <w:rFonts w:ascii="Times New Roman" w:hAnsi="Times New Roman" w:eastAsia="Times New Roman" w:cs="Times New Roman"/>
          <w:sz w:val="24"/>
          <w:szCs w:val="24"/>
          <w:b/>
          <w:bCs/>
          <w:spacing w:val="10"/>
        </w:rPr>
        <w:t xml:space="preserve">  </w:t>
      </w:r>
      <w:r>
        <w:rPr>
          <w:rFonts w:ascii="SimHei" w:hAnsi="SimHei" w:eastAsia="SimHei" w:cs="SimHei"/>
          <w:sz w:val="24"/>
          <w:szCs w:val="24"/>
          <w:b/>
          <w:bCs/>
          <w:spacing w:val="-3"/>
        </w:rPr>
        <w:t>固废处置标准</w:t>
      </w:r>
    </w:p>
    <w:p>
      <w:pPr>
        <w:ind w:left="122" w:right="27" w:firstLine="480"/>
        <w:spacing w:before="157" w:line="342" w:lineRule="auto"/>
        <w:rPr>
          <w:rFonts w:ascii="SimSun" w:hAnsi="SimSun" w:eastAsia="SimSun" w:cs="SimSun"/>
          <w:sz w:val="24"/>
          <w:szCs w:val="24"/>
        </w:rPr>
      </w:pPr>
      <w:r>
        <w:rPr>
          <w:rFonts w:ascii="SimSun" w:hAnsi="SimSun" w:eastAsia="SimSun" w:cs="SimSun"/>
          <w:sz w:val="24"/>
          <w:szCs w:val="24"/>
          <w:spacing w:val="-12"/>
        </w:rPr>
        <w:t>一般固体废物执行《一般工业固体废物贮存和填埋污染控制标准》（</w:t>
      </w:r>
      <w:r>
        <w:rPr>
          <w:rFonts w:ascii="Times New Roman" w:hAnsi="Times New Roman" w:eastAsia="Times New Roman" w:cs="Times New Roman"/>
          <w:sz w:val="24"/>
          <w:szCs w:val="24"/>
          <w:spacing w:val="-12"/>
        </w:rPr>
        <w:t>GB18599-2020</w:t>
      </w:r>
      <w:r>
        <w:rPr>
          <w:rFonts w:ascii="SimSun" w:hAnsi="SimSun" w:eastAsia="SimSun" w:cs="SimSun"/>
          <w:sz w:val="24"/>
          <w:szCs w:val="24"/>
          <w:spacing w:val="-12"/>
        </w:rPr>
        <w:t>）、</w:t>
      </w:r>
      <w:r>
        <w:rPr>
          <w:rFonts w:ascii="SimSun" w:hAnsi="SimSun" w:eastAsia="SimSun" w:cs="SimSun"/>
          <w:sz w:val="24"/>
          <w:szCs w:val="24"/>
        </w:rPr>
        <w:t>危险废物执行《危险废物贮存污染控制标准》（</w:t>
      </w:r>
      <w:r>
        <w:rPr>
          <w:rFonts w:ascii="Times New Roman" w:hAnsi="Times New Roman" w:eastAsia="Times New Roman" w:cs="Times New Roman"/>
          <w:sz w:val="24"/>
          <w:szCs w:val="24"/>
        </w:rPr>
        <w:t>GB18597</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）中相关规定</w:t>
      </w:r>
      <w:r>
        <w:rPr>
          <w:rFonts w:ascii="SimSun" w:hAnsi="SimSun" w:eastAsia="SimSun" w:cs="SimSun"/>
          <w:sz w:val="24"/>
          <w:szCs w:val="24"/>
          <w:color w:val="4472C4"/>
          <w:spacing w:val="-1"/>
        </w:rPr>
        <w:t>。</w:t>
      </w:r>
    </w:p>
    <w:p>
      <w:pPr>
        <w:ind w:left="117"/>
        <w:spacing w:before="67" w:line="222" w:lineRule="auto"/>
        <w:outlineLvl w:val="1"/>
        <w:rPr>
          <w:rFonts w:ascii="SimHei" w:hAnsi="SimHei" w:eastAsia="SimHei" w:cs="SimHei"/>
          <w:sz w:val="30"/>
          <w:szCs w:val="30"/>
        </w:rPr>
      </w:pPr>
      <w:bookmarkStart w:name="bookmark16" w:id="29"/>
      <w:bookmarkEnd w:id="29"/>
      <w:r>
        <w:rPr>
          <w:rFonts w:ascii="Times New Roman" w:hAnsi="Times New Roman" w:eastAsia="Times New Roman" w:cs="Times New Roman"/>
          <w:sz w:val="30"/>
          <w:szCs w:val="30"/>
          <w:b/>
          <w:bCs/>
          <w:spacing w:val="-2"/>
        </w:rPr>
        <w:t>2.8  </w:t>
      </w:r>
      <w:r>
        <w:rPr>
          <w:rFonts w:ascii="SimHei" w:hAnsi="SimHei" w:eastAsia="SimHei" w:cs="SimHei"/>
          <w:sz w:val="30"/>
          <w:szCs w:val="30"/>
          <w:b/>
          <w:bCs/>
          <w:spacing w:val="-2"/>
        </w:rPr>
        <w:t>环境保护目标</w:t>
      </w:r>
    </w:p>
    <w:p>
      <w:pPr>
        <w:ind w:left="120" w:right="112" w:firstLine="480"/>
        <w:spacing w:before="163" w:line="340" w:lineRule="auto"/>
        <w:jc w:val="both"/>
        <w:rPr>
          <w:rFonts w:ascii="SimSun" w:hAnsi="SimSun" w:eastAsia="SimSun" w:cs="SimSun"/>
          <w:sz w:val="24"/>
          <w:szCs w:val="24"/>
        </w:rPr>
      </w:pPr>
      <w:r>
        <w:rPr>
          <w:rFonts w:ascii="SimSun" w:hAnsi="SimSun" w:eastAsia="SimSun" w:cs="SimSun"/>
          <w:sz w:val="24"/>
          <w:szCs w:val="24"/>
          <w:spacing w:val="-2"/>
        </w:rPr>
        <w:t>本次评价范围内无自然保护区、风景名胜区等特殊和重要生态敏感区，本矿主要环</w:t>
      </w:r>
      <w:r>
        <w:rPr>
          <w:rFonts w:ascii="SimSun" w:hAnsi="SimSun" w:eastAsia="SimSun" w:cs="SimSun"/>
          <w:sz w:val="24"/>
          <w:szCs w:val="24"/>
          <w:spacing w:val="-2"/>
        </w:rPr>
        <w:t>境保护目标为矿田周边的牧民点、地表水体彦吉嘎河以及矿区周围的草原。本次评价环</w:t>
      </w:r>
      <w:r>
        <w:rPr>
          <w:rFonts w:ascii="SimSun" w:hAnsi="SimSun" w:eastAsia="SimSun" w:cs="SimSun"/>
          <w:sz w:val="24"/>
          <w:szCs w:val="24"/>
          <w:spacing w:val="-1"/>
        </w:rPr>
        <w:t>境保护目标情况见表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2-8-1~2-8-4</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。保护目标分</w:t>
      </w:r>
      <w:r>
        <w:rPr>
          <w:rFonts w:ascii="SimSun" w:hAnsi="SimSun" w:eastAsia="SimSun" w:cs="SimSun"/>
          <w:sz w:val="24"/>
          <w:szCs w:val="24"/>
          <w:spacing w:val="-2"/>
        </w:rPr>
        <w:t>布见图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2-8-1~2-8-3</w:t>
      </w:r>
      <w:r>
        <w:rPr>
          <w:rFonts w:ascii="SimSun" w:hAnsi="SimSun" w:eastAsia="SimSun" w:cs="SimSun"/>
          <w:sz w:val="24"/>
          <w:szCs w:val="24"/>
          <w:spacing w:val="-2"/>
        </w:rPr>
        <w:t>。</w:t>
      </w:r>
    </w:p>
    <w:p>
      <w:pPr>
        <w:ind w:left="3335"/>
        <w:spacing w:before="121" w:line="222" w:lineRule="auto"/>
        <w:rPr>
          <w:rFonts w:ascii="SimHei" w:hAnsi="SimHei" w:eastAsia="SimHei" w:cs="SimHei"/>
          <w:sz w:val="24"/>
          <w:szCs w:val="24"/>
        </w:rPr>
      </w:pPr>
      <w:r>
        <w:rPr>
          <w:rFonts w:ascii="SimHei" w:hAnsi="SimHei" w:eastAsia="SimHei" w:cs="SimHei"/>
          <w:sz w:val="24"/>
          <w:szCs w:val="24"/>
          <w:spacing w:val="-1"/>
        </w:rPr>
        <w:t>环境空气保护目标一览表</w:t>
      </w:r>
    </w:p>
    <w:p>
      <w:pPr>
        <w:ind w:left="117"/>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2-8-1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8"/>
        <w:gridCol w:w="1525"/>
        <w:gridCol w:w="1106"/>
        <w:gridCol w:w="1034"/>
        <w:gridCol w:w="1029"/>
        <w:gridCol w:w="1041"/>
        <w:gridCol w:w="933"/>
        <w:gridCol w:w="991"/>
        <w:gridCol w:w="1173"/>
      </w:tblGrid>
      <w:tr>
        <w:trPr>
          <w:trHeight w:val="308" w:hRule="atLeast"/>
        </w:trPr>
        <w:tc>
          <w:tcPr>
            <w:tcW w:w="458" w:type="dxa"/>
            <w:vAlign w:val="top"/>
            <w:vMerge w:val="restart"/>
            <w:textDirection w:val="tbRlV"/>
            <w:tcBorders>
              <w:bottom w:val="nil"/>
            </w:tcBorders>
          </w:tcPr>
          <w:p>
            <w:pPr>
              <w:ind w:left="168"/>
              <w:spacing w:before="126" w:line="218" w:lineRule="auto"/>
              <w:rPr>
                <w:rFonts w:ascii="SimSun" w:hAnsi="SimSun" w:eastAsia="SimSun" w:cs="SimSun"/>
                <w:sz w:val="20"/>
                <w:szCs w:val="20"/>
              </w:rPr>
            </w:pPr>
            <w:r>
              <w:rPr>
                <w:rFonts w:ascii="SimSun" w:hAnsi="SimSun" w:eastAsia="SimSun" w:cs="SimSun"/>
                <w:sz w:val="20"/>
                <w:szCs w:val="20"/>
                <w:spacing w:val="8"/>
              </w:rPr>
              <w:t>序</w:t>
            </w:r>
            <w:r>
              <w:rPr>
                <w:rFonts w:ascii="SimSun" w:hAnsi="SimSun" w:eastAsia="SimSun" w:cs="SimSun"/>
                <w:sz w:val="20"/>
                <w:szCs w:val="20"/>
                <w:spacing w:val="-35"/>
              </w:rPr>
              <w:t xml:space="preserve"> </w:t>
            </w:r>
            <w:r>
              <w:rPr>
                <w:rFonts w:ascii="SimSun" w:hAnsi="SimSun" w:eastAsia="SimSun" w:cs="SimSun"/>
                <w:sz w:val="20"/>
                <w:szCs w:val="20"/>
                <w:spacing w:val="8"/>
              </w:rPr>
              <w:t>号</w:t>
            </w:r>
          </w:p>
        </w:tc>
        <w:tc>
          <w:tcPr>
            <w:tcW w:w="1525" w:type="dxa"/>
            <w:vAlign w:val="top"/>
            <w:vMerge w:val="restart"/>
            <w:tcBorders>
              <w:bottom w:val="nil"/>
            </w:tcBorders>
          </w:tcPr>
          <w:p>
            <w:pPr>
              <w:ind w:left="558"/>
              <w:spacing w:before="304" w:line="230" w:lineRule="auto"/>
              <w:rPr>
                <w:rFonts w:ascii="SimSun" w:hAnsi="SimSun" w:eastAsia="SimSun" w:cs="SimSun"/>
                <w:sz w:val="20"/>
                <w:szCs w:val="20"/>
              </w:rPr>
            </w:pPr>
            <w:r>
              <w:rPr>
                <w:rFonts w:ascii="SimSun" w:hAnsi="SimSun" w:eastAsia="SimSun" w:cs="SimSun"/>
                <w:sz w:val="20"/>
                <w:szCs w:val="20"/>
                <w:spacing w:val="3"/>
              </w:rPr>
              <w:t>名称</w:t>
            </w:r>
          </w:p>
        </w:tc>
        <w:tc>
          <w:tcPr>
            <w:tcW w:w="2140" w:type="dxa"/>
            <w:vAlign w:val="top"/>
            <w:gridSpan w:val="2"/>
          </w:tcPr>
          <w:p>
            <w:pPr>
              <w:pStyle w:val="TableText"/>
              <w:ind w:left="754"/>
              <w:spacing w:before="46" w:line="228" w:lineRule="auto"/>
              <w:rPr/>
            </w:pPr>
            <w:r>
              <w:rPr>
                <w:rFonts w:ascii="SimSun" w:hAnsi="SimSun" w:eastAsia="SimSun" w:cs="SimSun"/>
                <w:spacing w:val="4"/>
              </w:rPr>
              <w:t>坐标</w:t>
            </w:r>
            <w:r>
              <w:rPr>
                <w:spacing w:val="4"/>
              </w:rPr>
              <w:t>/m</w:t>
            </w:r>
          </w:p>
        </w:tc>
        <w:tc>
          <w:tcPr>
            <w:tcW w:w="1029" w:type="dxa"/>
            <w:vAlign w:val="top"/>
            <w:vMerge w:val="restart"/>
            <w:tcBorders>
              <w:bottom w:val="nil"/>
            </w:tcBorders>
          </w:tcPr>
          <w:p>
            <w:pPr>
              <w:ind w:left="420" w:right="200" w:hanging="217"/>
              <w:spacing w:before="168" w:line="254" w:lineRule="auto"/>
              <w:rPr>
                <w:rFonts w:ascii="SimSun" w:hAnsi="SimSun" w:eastAsia="SimSun" w:cs="SimSun"/>
                <w:sz w:val="20"/>
                <w:szCs w:val="20"/>
              </w:rPr>
            </w:pPr>
            <w:r>
              <w:rPr>
                <w:rFonts w:ascii="SimSun" w:hAnsi="SimSun" w:eastAsia="SimSun" w:cs="SimSun"/>
                <w:sz w:val="20"/>
                <w:szCs w:val="20"/>
                <w:spacing w:val="6"/>
              </w:rPr>
              <w:t>保护对</w:t>
            </w:r>
            <w:r>
              <w:rPr>
                <w:rFonts w:ascii="SimSun" w:hAnsi="SimSun" w:eastAsia="SimSun" w:cs="SimSun"/>
                <w:sz w:val="20"/>
                <w:szCs w:val="20"/>
              </w:rPr>
              <w:t>象</w:t>
            </w:r>
          </w:p>
        </w:tc>
        <w:tc>
          <w:tcPr>
            <w:tcW w:w="1041" w:type="dxa"/>
            <w:vAlign w:val="top"/>
            <w:vMerge w:val="restart"/>
            <w:tcBorders>
              <w:bottom w:val="nil"/>
            </w:tcBorders>
          </w:tcPr>
          <w:p>
            <w:pPr>
              <w:ind w:left="423" w:right="202" w:hanging="210"/>
              <w:spacing w:before="168" w:line="254" w:lineRule="auto"/>
              <w:rPr>
                <w:rFonts w:ascii="SimSun" w:hAnsi="SimSun" w:eastAsia="SimSun" w:cs="SimSun"/>
                <w:sz w:val="20"/>
                <w:szCs w:val="20"/>
              </w:rPr>
            </w:pPr>
            <w:r>
              <w:rPr>
                <w:rFonts w:ascii="SimSun" w:hAnsi="SimSun" w:eastAsia="SimSun" w:cs="SimSun"/>
                <w:sz w:val="20"/>
                <w:szCs w:val="20"/>
                <w:spacing w:val="6"/>
              </w:rPr>
              <w:t>保护内</w:t>
            </w:r>
            <w:r>
              <w:rPr>
                <w:rFonts w:ascii="SimSun" w:hAnsi="SimSun" w:eastAsia="SimSun" w:cs="SimSun"/>
                <w:sz w:val="20"/>
                <w:szCs w:val="20"/>
              </w:rPr>
              <w:t>容</w:t>
            </w:r>
          </w:p>
        </w:tc>
        <w:tc>
          <w:tcPr>
            <w:tcW w:w="933" w:type="dxa"/>
            <w:vAlign w:val="top"/>
            <w:vMerge w:val="restart"/>
            <w:tcBorders>
              <w:bottom w:val="nil"/>
            </w:tcBorders>
          </w:tcPr>
          <w:p>
            <w:pPr>
              <w:ind w:left="271" w:right="146" w:hanging="111"/>
              <w:spacing w:before="167" w:line="255" w:lineRule="auto"/>
              <w:rPr>
                <w:rFonts w:ascii="SimSun" w:hAnsi="SimSun" w:eastAsia="SimSun" w:cs="SimSun"/>
                <w:sz w:val="20"/>
                <w:szCs w:val="20"/>
              </w:rPr>
            </w:pPr>
            <w:r>
              <w:rPr>
                <w:rFonts w:ascii="SimSun" w:hAnsi="SimSun" w:eastAsia="SimSun" w:cs="SimSun"/>
                <w:sz w:val="20"/>
                <w:szCs w:val="20"/>
                <w:spacing w:val="6"/>
              </w:rPr>
              <w:t>环境功</w:t>
            </w:r>
            <w:r>
              <w:rPr>
                <w:rFonts w:ascii="SimSun" w:hAnsi="SimSun" w:eastAsia="SimSun" w:cs="SimSun"/>
                <w:sz w:val="20"/>
                <w:szCs w:val="20"/>
              </w:rPr>
              <w:t>能区</w:t>
            </w:r>
          </w:p>
        </w:tc>
        <w:tc>
          <w:tcPr>
            <w:tcW w:w="991" w:type="dxa"/>
            <w:vAlign w:val="top"/>
            <w:vMerge w:val="restart"/>
            <w:tcBorders>
              <w:bottom w:val="nil"/>
            </w:tcBorders>
          </w:tcPr>
          <w:p>
            <w:pPr>
              <w:ind w:left="187"/>
              <w:spacing w:before="33" w:line="227" w:lineRule="auto"/>
              <w:rPr>
                <w:rFonts w:ascii="SimSun" w:hAnsi="SimSun" w:eastAsia="SimSun" w:cs="SimSun"/>
                <w:sz w:val="20"/>
                <w:szCs w:val="20"/>
              </w:rPr>
            </w:pPr>
            <w:r>
              <w:rPr>
                <w:rFonts w:ascii="SimSun" w:hAnsi="SimSun" w:eastAsia="SimSun" w:cs="SimSun"/>
                <w:sz w:val="20"/>
                <w:szCs w:val="20"/>
                <w:spacing w:val="6"/>
              </w:rPr>
              <w:t>相对采</w:t>
            </w:r>
          </w:p>
          <w:p>
            <w:pPr>
              <w:ind w:left="398" w:right="177" w:hanging="212"/>
              <w:spacing w:before="26" w:line="234" w:lineRule="auto"/>
              <w:rPr>
                <w:rFonts w:ascii="SimSun" w:hAnsi="SimSun" w:eastAsia="SimSun" w:cs="SimSun"/>
                <w:sz w:val="20"/>
                <w:szCs w:val="20"/>
              </w:rPr>
            </w:pPr>
            <w:r>
              <w:rPr>
                <w:rFonts w:ascii="SimSun" w:hAnsi="SimSun" w:eastAsia="SimSun" w:cs="SimSun"/>
                <w:sz w:val="20"/>
                <w:szCs w:val="20"/>
                <w:spacing w:val="7"/>
              </w:rPr>
              <w:t>掘场方</w:t>
            </w:r>
            <w:r>
              <w:rPr>
                <w:rFonts w:ascii="SimSun" w:hAnsi="SimSun" w:eastAsia="SimSun" w:cs="SimSun"/>
                <w:sz w:val="20"/>
                <w:szCs w:val="20"/>
              </w:rPr>
              <w:t>位</w:t>
            </w:r>
          </w:p>
        </w:tc>
        <w:tc>
          <w:tcPr>
            <w:tcW w:w="1173" w:type="dxa"/>
            <w:vAlign w:val="top"/>
            <w:vMerge w:val="restart"/>
            <w:tcBorders>
              <w:bottom w:val="nil"/>
            </w:tcBorders>
          </w:tcPr>
          <w:p>
            <w:pPr>
              <w:ind w:left="168"/>
              <w:spacing w:before="33" w:line="227" w:lineRule="auto"/>
              <w:rPr>
                <w:rFonts w:ascii="SimSun" w:hAnsi="SimSun" w:eastAsia="SimSun" w:cs="SimSun"/>
                <w:sz w:val="20"/>
                <w:szCs w:val="20"/>
              </w:rPr>
            </w:pPr>
            <w:r>
              <w:rPr>
                <w:rFonts w:ascii="SimSun" w:hAnsi="SimSun" w:eastAsia="SimSun" w:cs="SimSun"/>
                <w:sz w:val="20"/>
                <w:szCs w:val="20"/>
                <w:spacing w:val="7"/>
              </w:rPr>
              <w:t>相对采掘</w:t>
            </w:r>
          </w:p>
          <w:p>
            <w:pPr>
              <w:pStyle w:val="TableText"/>
              <w:ind w:left="165" w:right="161" w:firstLine="2"/>
              <w:spacing w:before="26" w:line="234" w:lineRule="auto"/>
              <w:rPr/>
            </w:pPr>
            <w:r>
              <w:rPr>
                <w:rFonts w:ascii="SimSun" w:hAnsi="SimSun" w:eastAsia="SimSun" w:cs="SimSun"/>
                <w:spacing w:val="7"/>
              </w:rPr>
              <w:t>场边界最</w:t>
            </w:r>
            <w:r>
              <w:rPr>
                <w:rFonts w:ascii="SimSun" w:hAnsi="SimSun" w:eastAsia="SimSun" w:cs="SimSun"/>
                <w:spacing w:val="6"/>
              </w:rPr>
              <w:t>近距离</w:t>
            </w:r>
            <w:r>
              <w:rPr>
                <w:spacing w:val="6"/>
              </w:rPr>
              <w:t>/m</w:t>
            </w:r>
          </w:p>
        </w:tc>
      </w:tr>
      <w:tr>
        <w:trPr>
          <w:trHeight w:val="510" w:hRule="atLeast"/>
        </w:trPr>
        <w:tc>
          <w:tcPr>
            <w:tcW w:w="458" w:type="dxa"/>
            <w:vAlign w:val="top"/>
            <w:vMerge w:val="continue"/>
            <w:textDirection w:val="tbRlV"/>
            <w:tcBorders>
              <w:top w:val="nil"/>
            </w:tcBorders>
          </w:tcPr>
          <w:p>
            <w:pPr>
              <w:rPr>
                <w:rFonts w:ascii="Arial"/>
                <w:sz w:val="21"/>
              </w:rPr>
            </w:pPr>
            <w:r/>
          </w:p>
        </w:tc>
        <w:tc>
          <w:tcPr>
            <w:tcW w:w="1525" w:type="dxa"/>
            <w:vAlign w:val="top"/>
            <w:vMerge w:val="continue"/>
            <w:tcBorders>
              <w:top w:val="nil"/>
            </w:tcBorders>
          </w:tcPr>
          <w:p>
            <w:pPr>
              <w:rPr>
                <w:rFonts w:ascii="Arial"/>
                <w:sz w:val="21"/>
              </w:rPr>
            </w:pPr>
            <w:r/>
          </w:p>
        </w:tc>
        <w:tc>
          <w:tcPr>
            <w:tcW w:w="1106" w:type="dxa"/>
            <w:vAlign w:val="top"/>
          </w:tcPr>
          <w:p>
            <w:pPr>
              <w:pStyle w:val="TableText"/>
              <w:ind w:left="475"/>
              <w:spacing w:before="186" w:line="192" w:lineRule="auto"/>
              <w:rPr/>
            </w:pPr>
            <w:r>
              <w:rPr>
                <w:spacing w:val="5"/>
              </w:rPr>
              <w:t>X</w:t>
            </w:r>
          </w:p>
        </w:tc>
        <w:tc>
          <w:tcPr>
            <w:tcW w:w="1034" w:type="dxa"/>
            <w:vAlign w:val="top"/>
          </w:tcPr>
          <w:p>
            <w:pPr>
              <w:pStyle w:val="TableText"/>
              <w:ind w:left="438"/>
              <w:spacing w:before="186" w:line="192" w:lineRule="auto"/>
              <w:rPr/>
            </w:pPr>
            <w:r>
              <w:rPr>
                <w:spacing w:val="4"/>
              </w:rPr>
              <w:t>Y</w:t>
            </w:r>
          </w:p>
        </w:tc>
        <w:tc>
          <w:tcPr>
            <w:tcW w:w="1029" w:type="dxa"/>
            <w:vAlign w:val="top"/>
            <w:vMerge w:val="continue"/>
            <w:tcBorders>
              <w:top w:val="nil"/>
            </w:tcBorders>
          </w:tcPr>
          <w:p>
            <w:pPr>
              <w:rPr>
                <w:rFonts w:ascii="Arial"/>
                <w:sz w:val="21"/>
              </w:rPr>
            </w:pPr>
            <w:r/>
          </w:p>
        </w:tc>
        <w:tc>
          <w:tcPr>
            <w:tcW w:w="1041" w:type="dxa"/>
            <w:vAlign w:val="top"/>
            <w:vMerge w:val="continue"/>
            <w:tcBorders>
              <w:top w:val="nil"/>
            </w:tcBorders>
          </w:tcPr>
          <w:p>
            <w:pPr>
              <w:rPr>
                <w:rFonts w:ascii="Arial"/>
                <w:sz w:val="21"/>
              </w:rPr>
            </w:pPr>
            <w:r/>
          </w:p>
        </w:tc>
        <w:tc>
          <w:tcPr>
            <w:tcW w:w="933" w:type="dxa"/>
            <w:vAlign w:val="top"/>
            <w:vMerge w:val="continue"/>
            <w:tcBorders>
              <w:top w:val="nil"/>
            </w:tcBorders>
          </w:tcPr>
          <w:p>
            <w:pPr>
              <w:rPr>
                <w:rFonts w:ascii="Arial"/>
                <w:sz w:val="21"/>
              </w:rPr>
            </w:pPr>
            <w:r/>
          </w:p>
        </w:tc>
        <w:tc>
          <w:tcPr>
            <w:tcW w:w="991" w:type="dxa"/>
            <w:vAlign w:val="top"/>
            <w:vMerge w:val="continue"/>
            <w:tcBorders>
              <w:top w:val="nil"/>
            </w:tcBorders>
          </w:tcPr>
          <w:p>
            <w:pPr>
              <w:rPr>
                <w:rFonts w:ascii="Arial"/>
                <w:sz w:val="21"/>
              </w:rPr>
            </w:pPr>
            <w:r/>
          </w:p>
        </w:tc>
        <w:tc>
          <w:tcPr>
            <w:tcW w:w="1173" w:type="dxa"/>
            <w:vAlign w:val="top"/>
            <w:vMerge w:val="continue"/>
            <w:tcBorders>
              <w:top w:val="nil"/>
            </w:tcBorders>
          </w:tcPr>
          <w:p>
            <w:pPr>
              <w:rPr>
                <w:rFonts w:ascii="Arial"/>
                <w:sz w:val="21"/>
              </w:rPr>
            </w:pPr>
            <w:r/>
          </w:p>
        </w:tc>
      </w:tr>
      <w:tr>
        <w:trPr>
          <w:trHeight w:val="548" w:hRule="atLeast"/>
        </w:trPr>
        <w:tc>
          <w:tcPr>
            <w:tcW w:w="458" w:type="dxa"/>
            <w:vAlign w:val="top"/>
          </w:tcPr>
          <w:p>
            <w:pPr>
              <w:pStyle w:val="TableText"/>
              <w:ind w:left="197"/>
              <w:spacing w:before="204" w:line="195" w:lineRule="auto"/>
              <w:rPr/>
            </w:pPr>
            <w:r>
              <w:rPr/>
              <w:t>1</w:t>
            </w:r>
          </w:p>
        </w:tc>
        <w:tc>
          <w:tcPr>
            <w:tcW w:w="1525" w:type="dxa"/>
            <w:vAlign w:val="top"/>
          </w:tcPr>
          <w:p>
            <w:pPr>
              <w:ind w:left="663" w:right="134" w:hanging="519"/>
              <w:spacing w:before="30" w:line="234" w:lineRule="auto"/>
              <w:rPr>
                <w:rFonts w:ascii="SimSun" w:hAnsi="SimSun" w:eastAsia="SimSun" w:cs="SimSun"/>
                <w:sz w:val="20"/>
                <w:szCs w:val="20"/>
              </w:rPr>
            </w:pPr>
            <w:r>
              <w:rPr>
                <w:rFonts w:ascii="SimSun" w:hAnsi="SimSun" w:eastAsia="SimSun" w:cs="SimSun"/>
                <w:sz w:val="20"/>
                <w:szCs w:val="20"/>
                <w:spacing w:val="6"/>
              </w:rPr>
              <w:t>阿拉坦兴安嘎</w:t>
            </w:r>
            <w:r>
              <w:rPr>
                <w:rFonts w:ascii="SimSun" w:hAnsi="SimSun" w:eastAsia="SimSun" w:cs="SimSun"/>
                <w:sz w:val="20"/>
                <w:szCs w:val="20"/>
              </w:rPr>
              <w:t>查</w:t>
            </w:r>
          </w:p>
        </w:tc>
        <w:tc>
          <w:tcPr>
            <w:tcW w:w="1106" w:type="dxa"/>
            <w:vAlign w:val="top"/>
          </w:tcPr>
          <w:p>
            <w:pPr>
              <w:pStyle w:val="TableText"/>
              <w:ind w:left="344"/>
              <w:spacing w:before="204" w:line="195" w:lineRule="auto"/>
              <w:rPr/>
            </w:pPr>
            <w:r>
              <w:rPr>
                <w:spacing w:val="3"/>
              </w:rPr>
              <w:t>2240</w:t>
            </w:r>
          </w:p>
        </w:tc>
        <w:tc>
          <w:tcPr>
            <w:tcW w:w="1034" w:type="dxa"/>
            <w:vAlign w:val="top"/>
          </w:tcPr>
          <w:p>
            <w:pPr>
              <w:pStyle w:val="TableText"/>
              <w:ind w:left="307"/>
              <w:spacing w:before="204" w:line="195" w:lineRule="auto"/>
              <w:rPr/>
            </w:pPr>
            <w:r>
              <w:rPr>
                <w:spacing w:val="3"/>
              </w:rPr>
              <w:t>4720</w:t>
            </w:r>
          </w:p>
        </w:tc>
        <w:tc>
          <w:tcPr>
            <w:tcW w:w="1029" w:type="dxa"/>
            <w:vAlign w:val="top"/>
          </w:tcPr>
          <w:p>
            <w:pPr>
              <w:ind w:left="330" w:right="200" w:hanging="127"/>
              <w:spacing w:before="30" w:line="234" w:lineRule="auto"/>
              <w:rPr>
                <w:rFonts w:ascii="SimSun" w:hAnsi="SimSun" w:eastAsia="SimSun" w:cs="SimSun"/>
                <w:sz w:val="20"/>
                <w:szCs w:val="20"/>
              </w:rPr>
            </w:pPr>
            <w:r>
              <w:rPr>
                <w:rFonts w:ascii="SimSun" w:hAnsi="SimSun" w:eastAsia="SimSun" w:cs="SimSun"/>
                <w:sz w:val="20"/>
                <w:szCs w:val="20"/>
                <w:spacing w:val="6"/>
              </w:rPr>
              <w:t>村庄居</w:t>
            </w:r>
            <w:r>
              <w:rPr>
                <w:rFonts w:ascii="SimSun" w:hAnsi="SimSun" w:eastAsia="SimSun" w:cs="SimSun"/>
                <w:sz w:val="20"/>
                <w:szCs w:val="20"/>
                <w:spacing w:val="-6"/>
              </w:rPr>
              <w:t>民点</w:t>
            </w:r>
          </w:p>
        </w:tc>
        <w:tc>
          <w:tcPr>
            <w:tcW w:w="1041" w:type="dxa"/>
            <w:vAlign w:val="top"/>
          </w:tcPr>
          <w:p>
            <w:pPr>
              <w:pStyle w:val="TableText"/>
              <w:ind w:left="289" w:right="149" w:hanging="127"/>
              <w:spacing w:before="30" w:line="234" w:lineRule="auto"/>
              <w:rPr>
                <w:rFonts w:ascii="SimSun" w:hAnsi="SimSun" w:eastAsia="SimSun" w:cs="SimSun"/>
              </w:rPr>
            </w:pPr>
            <w:r>
              <w:rPr>
                <w:rFonts w:ascii="SimSun" w:hAnsi="SimSun" w:eastAsia="SimSun" w:cs="SimSun"/>
                <w:spacing w:val="-5"/>
              </w:rPr>
              <w:t>约</w:t>
            </w:r>
            <w:r>
              <w:rPr>
                <w:rFonts w:ascii="SimSun" w:hAnsi="SimSun" w:eastAsia="SimSun" w:cs="SimSun"/>
                <w:spacing w:val="-21"/>
              </w:rPr>
              <w:t xml:space="preserve"> </w:t>
            </w:r>
            <w:r>
              <w:rPr>
                <w:spacing w:val="-5"/>
              </w:rPr>
              <w:t>17</w:t>
            </w:r>
            <w:r>
              <w:rPr>
                <w:spacing w:val="13"/>
                <w:w w:val="101"/>
              </w:rPr>
              <w:t xml:space="preserve"> </w:t>
            </w:r>
            <w:r>
              <w:rPr>
                <w:rFonts w:ascii="SimSun" w:hAnsi="SimSun" w:eastAsia="SimSun" w:cs="SimSun"/>
                <w:spacing w:val="-5"/>
              </w:rPr>
              <w:t>户</w:t>
            </w:r>
            <w:r>
              <w:rPr/>
              <w:t>60</w:t>
            </w:r>
            <w:r>
              <w:rPr>
                <w:spacing w:val="13"/>
                <w:w w:val="101"/>
              </w:rPr>
              <w:t xml:space="preserve"> </w:t>
            </w:r>
            <w:r>
              <w:rPr>
                <w:rFonts w:ascii="SimSun" w:hAnsi="SimSun" w:eastAsia="SimSun" w:cs="SimSun"/>
              </w:rPr>
              <w:t>人</w:t>
            </w:r>
          </w:p>
        </w:tc>
        <w:tc>
          <w:tcPr>
            <w:tcW w:w="933" w:type="dxa"/>
            <w:vAlign w:val="top"/>
          </w:tcPr>
          <w:p>
            <w:pPr>
              <w:ind w:left="163"/>
              <w:spacing w:before="167" w:line="228" w:lineRule="auto"/>
              <w:rPr>
                <w:rFonts w:ascii="SimSun" w:hAnsi="SimSun" w:eastAsia="SimSun" w:cs="SimSun"/>
                <w:sz w:val="20"/>
                <w:szCs w:val="20"/>
              </w:rPr>
            </w:pPr>
            <w:r>
              <w:rPr>
                <w:rFonts w:ascii="SimSun" w:hAnsi="SimSun" w:eastAsia="SimSun" w:cs="SimSun"/>
                <w:sz w:val="20"/>
                <w:szCs w:val="20"/>
                <w:spacing w:val="5"/>
              </w:rPr>
              <w:t>二类区</w:t>
            </w:r>
          </w:p>
        </w:tc>
        <w:tc>
          <w:tcPr>
            <w:tcW w:w="991" w:type="dxa"/>
            <w:vAlign w:val="top"/>
          </w:tcPr>
          <w:p>
            <w:pPr>
              <w:ind w:left="194"/>
              <w:spacing w:before="167" w:line="228" w:lineRule="auto"/>
              <w:rPr>
                <w:rFonts w:ascii="SimSun" w:hAnsi="SimSun" w:eastAsia="SimSun" w:cs="SimSun"/>
                <w:sz w:val="20"/>
                <w:szCs w:val="20"/>
              </w:rPr>
            </w:pPr>
            <w:r>
              <w:rPr>
                <w:rFonts w:ascii="SimSun" w:hAnsi="SimSun" w:eastAsia="SimSun" w:cs="SimSun"/>
                <w:sz w:val="20"/>
                <w:szCs w:val="20"/>
                <w:spacing w:val="4"/>
              </w:rPr>
              <w:t>东南侧</w:t>
            </w:r>
          </w:p>
        </w:tc>
        <w:tc>
          <w:tcPr>
            <w:tcW w:w="1173" w:type="dxa"/>
            <w:vAlign w:val="top"/>
          </w:tcPr>
          <w:p>
            <w:pPr>
              <w:pStyle w:val="TableText"/>
              <w:ind w:left="226"/>
              <w:spacing w:before="167" w:line="233" w:lineRule="auto"/>
              <w:rPr/>
            </w:pPr>
            <w:r>
              <w:rPr>
                <w:rFonts w:ascii="SimSun" w:hAnsi="SimSun" w:eastAsia="SimSun" w:cs="SimSun"/>
                <w:spacing w:val="1"/>
              </w:rPr>
              <w:t>约</w:t>
            </w:r>
            <w:r>
              <w:rPr>
                <w:rFonts w:ascii="SimSun" w:hAnsi="SimSun" w:eastAsia="SimSun" w:cs="SimSun"/>
                <w:spacing w:val="-34"/>
              </w:rPr>
              <w:t xml:space="preserve"> </w:t>
            </w:r>
            <w:r>
              <w:rPr>
                <w:spacing w:val="1"/>
              </w:rPr>
              <w:t>805m</w:t>
            </w:r>
          </w:p>
        </w:tc>
      </w:tr>
      <w:tr>
        <w:trPr>
          <w:trHeight w:val="555" w:hRule="atLeast"/>
        </w:trPr>
        <w:tc>
          <w:tcPr>
            <w:tcW w:w="458" w:type="dxa"/>
            <w:vAlign w:val="top"/>
          </w:tcPr>
          <w:p>
            <w:pPr>
              <w:pStyle w:val="TableText"/>
              <w:ind w:left="176"/>
              <w:spacing w:before="205" w:line="195" w:lineRule="auto"/>
              <w:rPr/>
            </w:pPr>
            <w:r>
              <w:rPr/>
              <w:t>2</w:t>
            </w:r>
          </w:p>
        </w:tc>
        <w:tc>
          <w:tcPr>
            <w:tcW w:w="1525" w:type="dxa"/>
            <w:vAlign w:val="top"/>
          </w:tcPr>
          <w:p>
            <w:pPr>
              <w:ind w:left="662" w:right="134" w:hanging="505"/>
              <w:spacing w:before="33" w:line="236" w:lineRule="auto"/>
              <w:rPr>
                <w:rFonts w:ascii="SimSun" w:hAnsi="SimSun" w:eastAsia="SimSun" w:cs="SimSun"/>
                <w:sz w:val="20"/>
                <w:szCs w:val="20"/>
              </w:rPr>
            </w:pPr>
            <w:r>
              <w:rPr>
                <w:rFonts w:ascii="SimSun" w:hAnsi="SimSun" w:eastAsia="SimSun" w:cs="SimSun"/>
                <w:sz w:val="20"/>
                <w:szCs w:val="20"/>
                <w:spacing w:val="4"/>
              </w:rPr>
              <w:t>巴彦都日格嘎</w:t>
            </w:r>
            <w:r>
              <w:rPr>
                <w:rFonts w:ascii="SimSun" w:hAnsi="SimSun" w:eastAsia="SimSun" w:cs="SimSun"/>
                <w:sz w:val="20"/>
                <w:szCs w:val="20"/>
              </w:rPr>
              <w:t>查</w:t>
            </w:r>
          </w:p>
        </w:tc>
        <w:tc>
          <w:tcPr>
            <w:tcW w:w="1106" w:type="dxa"/>
            <w:vAlign w:val="top"/>
          </w:tcPr>
          <w:p>
            <w:pPr>
              <w:pStyle w:val="TableText"/>
              <w:ind w:left="312"/>
              <w:spacing w:before="205" w:line="195" w:lineRule="auto"/>
              <w:rPr/>
            </w:pPr>
            <w:r>
              <w:rPr>
                <w:spacing w:val="3"/>
              </w:rPr>
              <w:t>-2615</w:t>
            </w:r>
          </w:p>
        </w:tc>
        <w:tc>
          <w:tcPr>
            <w:tcW w:w="1034" w:type="dxa"/>
            <w:vAlign w:val="top"/>
          </w:tcPr>
          <w:p>
            <w:pPr>
              <w:pStyle w:val="TableText"/>
              <w:ind w:left="317"/>
              <w:spacing w:before="205" w:line="195" w:lineRule="auto"/>
              <w:rPr/>
            </w:pPr>
            <w:r>
              <w:rPr>
                <w:spacing w:val="1"/>
              </w:rPr>
              <w:t>8615</w:t>
            </w:r>
          </w:p>
        </w:tc>
        <w:tc>
          <w:tcPr>
            <w:tcW w:w="1029" w:type="dxa"/>
            <w:vAlign w:val="top"/>
          </w:tcPr>
          <w:p>
            <w:pPr>
              <w:ind w:left="330" w:right="200" w:hanging="127"/>
              <w:spacing w:before="33" w:line="236" w:lineRule="auto"/>
              <w:rPr>
                <w:rFonts w:ascii="SimSun" w:hAnsi="SimSun" w:eastAsia="SimSun" w:cs="SimSun"/>
                <w:sz w:val="20"/>
                <w:szCs w:val="20"/>
              </w:rPr>
            </w:pPr>
            <w:r>
              <w:rPr>
                <w:rFonts w:ascii="SimSun" w:hAnsi="SimSun" w:eastAsia="SimSun" w:cs="SimSun"/>
                <w:sz w:val="20"/>
                <w:szCs w:val="20"/>
                <w:spacing w:val="6"/>
              </w:rPr>
              <w:t>村庄居</w:t>
            </w:r>
            <w:r>
              <w:rPr>
                <w:rFonts w:ascii="SimSun" w:hAnsi="SimSun" w:eastAsia="SimSun" w:cs="SimSun"/>
                <w:sz w:val="20"/>
                <w:szCs w:val="20"/>
                <w:spacing w:val="-6"/>
              </w:rPr>
              <w:t>民点</w:t>
            </w:r>
          </w:p>
        </w:tc>
        <w:tc>
          <w:tcPr>
            <w:tcW w:w="1041" w:type="dxa"/>
            <w:vAlign w:val="top"/>
          </w:tcPr>
          <w:p>
            <w:pPr>
              <w:pStyle w:val="TableText"/>
              <w:ind w:left="422" w:right="105" w:hanging="303"/>
              <w:spacing w:before="33" w:line="236" w:lineRule="auto"/>
              <w:rPr>
                <w:rFonts w:ascii="SimSun" w:hAnsi="SimSun" w:eastAsia="SimSun" w:cs="SimSun"/>
              </w:rPr>
            </w:pPr>
            <w:r>
              <w:rPr>
                <w:rFonts w:ascii="SimSun" w:hAnsi="SimSun" w:eastAsia="SimSun" w:cs="SimSun"/>
                <w:spacing w:val="2"/>
              </w:rPr>
              <w:t>约</w:t>
            </w:r>
            <w:r>
              <w:rPr>
                <w:spacing w:val="2"/>
              </w:rPr>
              <w:t>4</w:t>
            </w:r>
            <w:r>
              <w:rPr>
                <w:spacing w:val="-8"/>
              </w:rPr>
              <w:t xml:space="preserve"> </w:t>
            </w:r>
            <w:r>
              <w:rPr>
                <w:rFonts w:ascii="SimSun" w:hAnsi="SimSun" w:eastAsia="SimSun" w:cs="SimSun"/>
                <w:spacing w:val="2"/>
              </w:rPr>
              <w:t>户</w:t>
            </w:r>
            <w:r>
              <w:rPr>
                <w:rFonts w:ascii="SimSun" w:hAnsi="SimSun" w:eastAsia="SimSun" w:cs="SimSun"/>
                <w:spacing w:val="-42"/>
              </w:rPr>
              <w:t xml:space="preserve"> </w:t>
            </w:r>
            <w:r>
              <w:rPr>
                <w:spacing w:val="2"/>
              </w:rPr>
              <w:t>12</w:t>
            </w:r>
            <w:r>
              <w:rPr>
                <w:rFonts w:ascii="SimSun" w:hAnsi="SimSun" w:eastAsia="SimSun" w:cs="SimSun"/>
              </w:rPr>
              <w:t>人</w:t>
            </w:r>
          </w:p>
        </w:tc>
        <w:tc>
          <w:tcPr>
            <w:tcW w:w="933" w:type="dxa"/>
            <w:vAlign w:val="top"/>
          </w:tcPr>
          <w:p>
            <w:pPr>
              <w:ind w:left="163"/>
              <w:spacing w:before="166" w:line="228" w:lineRule="auto"/>
              <w:rPr>
                <w:rFonts w:ascii="SimSun" w:hAnsi="SimSun" w:eastAsia="SimSun" w:cs="SimSun"/>
                <w:sz w:val="20"/>
                <w:szCs w:val="20"/>
              </w:rPr>
            </w:pPr>
            <w:r>
              <w:rPr>
                <w:rFonts w:ascii="SimSun" w:hAnsi="SimSun" w:eastAsia="SimSun" w:cs="SimSun"/>
                <w:sz w:val="20"/>
                <w:szCs w:val="20"/>
                <w:spacing w:val="5"/>
              </w:rPr>
              <w:t>二类区</w:t>
            </w:r>
          </w:p>
        </w:tc>
        <w:tc>
          <w:tcPr>
            <w:tcW w:w="991" w:type="dxa"/>
            <w:vAlign w:val="top"/>
          </w:tcPr>
          <w:p>
            <w:pPr>
              <w:ind w:left="192"/>
              <w:spacing w:before="166" w:line="228" w:lineRule="auto"/>
              <w:rPr>
                <w:rFonts w:ascii="SimSun" w:hAnsi="SimSun" w:eastAsia="SimSun" w:cs="SimSun"/>
                <w:sz w:val="20"/>
                <w:szCs w:val="20"/>
              </w:rPr>
            </w:pPr>
            <w:r>
              <w:rPr>
                <w:rFonts w:ascii="SimSun" w:hAnsi="SimSun" w:eastAsia="SimSun" w:cs="SimSun"/>
                <w:sz w:val="20"/>
                <w:szCs w:val="20"/>
                <w:spacing w:val="5"/>
              </w:rPr>
              <w:t>西北侧</w:t>
            </w:r>
          </w:p>
        </w:tc>
        <w:tc>
          <w:tcPr>
            <w:tcW w:w="1173" w:type="dxa"/>
            <w:vAlign w:val="top"/>
          </w:tcPr>
          <w:p>
            <w:pPr>
              <w:pStyle w:val="TableText"/>
              <w:ind w:left="173"/>
              <w:spacing w:before="166" w:line="233" w:lineRule="auto"/>
              <w:rPr/>
            </w:pPr>
            <w:r>
              <w:rPr>
                <w:rFonts w:ascii="SimSun" w:hAnsi="SimSun" w:eastAsia="SimSun" w:cs="SimSun"/>
                <w:spacing w:val="3"/>
              </w:rPr>
              <w:t>约</w:t>
            </w:r>
            <w:r>
              <w:rPr>
                <w:rFonts w:ascii="SimSun" w:hAnsi="SimSun" w:eastAsia="SimSun" w:cs="SimSun"/>
                <w:spacing w:val="-44"/>
              </w:rPr>
              <w:t xml:space="preserve"> </w:t>
            </w:r>
            <w:r>
              <w:rPr>
                <w:spacing w:val="3"/>
              </w:rPr>
              <w:t>2000m</w:t>
            </w:r>
          </w:p>
        </w:tc>
      </w:tr>
    </w:tbl>
    <w:p>
      <w:pPr>
        <w:ind w:left="117"/>
        <w:spacing w:before="23" w:line="219" w:lineRule="auto"/>
        <w:rPr>
          <w:rFonts w:ascii="SimSun" w:hAnsi="SimSun" w:eastAsia="SimSun" w:cs="SimSun"/>
          <w:sz w:val="18"/>
          <w:szCs w:val="18"/>
        </w:rPr>
      </w:pPr>
      <w:r>
        <w:rPr>
          <w:rFonts w:ascii="SimSun" w:hAnsi="SimSun" w:eastAsia="SimSun" w:cs="SimSun"/>
          <w:sz w:val="18"/>
          <w:szCs w:val="18"/>
          <w:spacing w:val="-2"/>
        </w:rPr>
        <w:t>注：</w:t>
      </w:r>
      <w:r>
        <w:rPr>
          <w:rFonts w:ascii="Times New Roman" w:hAnsi="Times New Roman" w:eastAsia="Times New Roman" w:cs="Times New Roman"/>
          <w:sz w:val="18"/>
          <w:szCs w:val="18"/>
          <w:spacing w:val="-2"/>
        </w:rPr>
        <w:t>X</w:t>
      </w:r>
      <w:r>
        <w:rPr>
          <w:rFonts w:ascii="Times New Roman" w:hAnsi="Times New Roman" w:eastAsia="Times New Roman" w:cs="Times New Roman"/>
          <w:sz w:val="18"/>
          <w:szCs w:val="18"/>
          <w:spacing w:val="-6"/>
        </w:rPr>
        <w:t xml:space="preserve"> </w:t>
      </w:r>
      <w:r>
        <w:rPr>
          <w:rFonts w:ascii="SimSun" w:hAnsi="SimSun" w:eastAsia="SimSun" w:cs="SimSun"/>
          <w:sz w:val="18"/>
          <w:szCs w:val="18"/>
          <w:spacing w:val="-2"/>
        </w:rPr>
        <w:t>、</w:t>
      </w:r>
      <w:r>
        <w:rPr>
          <w:rFonts w:ascii="Times New Roman" w:hAnsi="Times New Roman" w:eastAsia="Times New Roman" w:cs="Times New Roman"/>
          <w:sz w:val="18"/>
          <w:szCs w:val="18"/>
          <w:spacing w:val="-2"/>
        </w:rPr>
        <w:t>Y </w:t>
      </w:r>
      <w:r>
        <w:rPr>
          <w:rFonts w:ascii="SimSun" w:hAnsi="SimSun" w:eastAsia="SimSun" w:cs="SimSun"/>
          <w:sz w:val="18"/>
          <w:szCs w:val="18"/>
          <w:spacing w:val="-2"/>
        </w:rPr>
        <w:t>为较露天区工业场地西北角厂界相对距离</w:t>
      </w:r>
    </w:p>
    <w:p>
      <w:pPr>
        <w:ind w:left="3216"/>
        <w:spacing w:before="268" w:line="222" w:lineRule="auto"/>
        <w:rPr>
          <w:rFonts w:ascii="SimHei" w:hAnsi="SimHei" w:eastAsia="SimHei" w:cs="SimHei"/>
          <w:sz w:val="24"/>
          <w:szCs w:val="24"/>
        </w:rPr>
      </w:pPr>
      <w:r>
        <w:rPr>
          <w:rFonts w:ascii="SimHei" w:hAnsi="SimHei" w:eastAsia="SimHei" w:cs="SimHei"/>
          <w:sz w:val="24"/>
          <w:szCs w:val="24"/>
          <w:spacing w:val="-1"/>
        </w:rPr>
        <w:t>地下水环境保护目标一览表</w:t>
      </w:r>
    </w:p>
    <w:p>
      <w:pPr>
        <w:ind w:left="117"/>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2-8-2</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7"/>
        <w:gridCol w:w="1055"/>
        <w:gridCol w:w="1888"/>
        <w:gridCol w:w="746"/>
        <w:gridCol w:w="681"/>
        <w:gridCol w:w="1099"/>
        <w:gridCol w:w="801"/>
        <w:gridCol w:w="2063"/>
      </w:tblGrid>
      <w:tr>
        <w:trPr>
          <w:trHeight w:val="283" w:hRule="atLeast"/>
        </w:trPr>
        <w:tc>
          <w:tcPr>
            <w:tcW w:w="957" w:type="dxa"/>
            <w:vAlign w:val="top"/>
            <w:vMerge w:val="restart"/>
            <w:tcBorders>
              <w:bottom w:val="nil"/>
            </w:tcBorders>
          </w:tcPr>
          <w:p>
            <w:pPr>
              <w:spacing w:line="245" w:lineRule="auto"/>
              <w:rPr>
                <w:rFonts w:ascii="Arial"/>
                <w:sz w:val="21"/>
              </w:rPr>
            </w:pPr>
            <w:r/>
          </w:p>
          <w:p>
            <w:pPr>
              <w:ind w:left="379" w:right="162" w:hanging="211"/>
              <w:spacing w:before="65" w:line="252" w:lineRule="auto"/>
              <w:rPr>
                <w:rFonts w:ascii="SimSun" w:hAnsi="SimSun" w:eastAsia="SimSun" w:cs="SimSun"/>
                <w:sz w:val="20"/>
                <w:szCs w:val="20"/>
              </w:rPr>
            </w:pPr>
            <w:r>
              <w:rPr>
                <w:rFonts w:ascii="SimSun" w:hAnsi="SimSun" w:eastAsia="SimSun" w:cs="SimSun"/>
                <w:sz w:val="20"/>
                <w:szCs w:val="20"/>
                <w:spacing w:val="6"/>
              </w:rPr>
              <w:t>环境要</w:t>
            </w:r>
            <w:r>
              <w:rPr>
                <w:rFonts w:ascii="SimSun" w:hAnsi="SimSun" w:eastAsia="SimSun" w:cs="SimSun"/>
                <w:sz w:val="20"/>
                <w:szCs w:val="20"/>
              </w:rPr>
              <w:t>素</w:t>
            </w:r>
          </w:p>
        </w:tc>
        <w:tc>
          <w:tcPr>
            <w:tcW w:w="6270" w:type="dxa"/>
            <w:vAlign w:val="top"/>
            <w:gridSpan w:val="6"/>
          </w:tcPr>
          <w:p>
            <w:pPr>
              <w:ind w:left="2191"/>
              <w:spacing w:before="33" w:line="221" w:lineRule="auto"/>
              <w:rPr>
                <w:rFonts w:ascii="SimSun" w:hAnsi="SimSun" w:eastAsia="SimSun" w:cs="SimSun"/>
                <w:sz w:val="20"/>
                <w:szCs w:val="20"/>
              </w:rPr>
            </w:pPr>
            <w:r>
              <w:rPr>
                <w:rFonts w:ascii="SimSun" w:hAnsi="SimSun" w:eastAsia="SimSun" w:cs="SimSun"/>
                <w:sz w:val="20"/>
                <w:szCs w:val="20"/>
                <w:spacing w:val="9"/>
              </w:rPr>
              <w:t>评价范围内的水源井</w:t>
            </w:r>
          </w:p>
        </w:tc>
        <w:tc>
          <w:tcPr>
            <w:tcW w:w="2063" w:type="dxa"/>
            <w:vAlign w:val="top"/>
            <w:vMerge w:val="restart"/>
            <w:tcBorders>
              <w:bottom w:val="nil"/>
            </w:tcBorders>
          </w:tcPr>
          <w:p>
            <w:pPr>
              <w:spacing w:line="379" w:lineRule="auto"/>
              <w:rPr>
                <w:rFonts w:ascii="Arial"/>
                <w:sz w:val="21"/>
              </w:rPr>
            </w:pPr>
            <w:r/>
          </w:p>
          <w:p>
            <w:pPr>
              <w:ind w:left="615"/>
              <w:spacing w:before="65" w:line="228" w:lineRule="auto"/>
              <w:rPr>
                <w:rFonts w:ascii="SimSun" w:hAnsi="SimSun" w:eastAsia="SimSun" w:cs="SimSun"/>
                <w:sz w:val="20"/>
                <w:szCs w:val="20"/>
              </w:rPr>
            </w:pPr>
            <w:r>
              <w:rPr>
                <w:rFonts w:ascii="SimSun" w:hAnsi="SimSun" w:eastAsia="SimSun" w:cs="SimSun"/>
                <w:sz w:val="20"/>
                <w:szCs w:val="20"/>
                <w:spacing w:val="7"/>
              </w:rPr>
              <w:t>保护要求</w:t>
            </w:r>
          </w:p>
        </w:tc>
      </w:tr>
      <w:tr>
        <w:trPr>
          <w:trHeight w:val="822" w:hRule="atLeast"/>
        </w:trPr>
        <w:tc>
          <w:tcPr>
            <w:tcW w:w="957" w:type="dxa"/>
            <w:vAlign w:val="top"/>
            <w:vMerge w:val="continue"/>
            <w:tcBorders>
              <w:top w:val="nil"/>
            </w:tcBorders>
          </w:tcPr>
          <w:p>
            <w:pPr>
              <w:rPr>
                <w:rFonts w:ascii="Arial"/>
                <w:sz w:val="21"/>
              </w:rPr>
            </w:pPr>
            <w:r/>
          </w:p>
        </w:tc>
        <w:tc>
          <w:tcPr>
            <w:tcW w:w="1055" w:type="dxa"/>
            <w:vAlign w:val="top"/>
          </w:tcPr>
          <w:p>
            <w:pPr>
              <w:ind w:left="331"/>
              <w:spacing w:before="300" w:line="228" w:lineRule="auto"/>
              <w:rPr>
                <w:rFonts w:ascii="SimSun" w:hAnsi="SimSun" w:eastAsia="SimSun" w:cs="SimSun"/>
                <w:sz w:val="20"/>
                <w:szCs w:val="20"/>
              </w:rPr>
            </w:pPr>
            <w:r>
              <w:rPr>
                <w:rFonts w:ascii="SimSun" w:hAnsi="SimSun" w:eastAsia="SimSun" w:cs="SimSun"/>
                <w:sz w:val="20"/>
                <w:szCs w:val="20"/>
                <w:spacing w:val="-1"/>
              </w:rPr>
              <w:t>点位</w:t>
            </w:r>
          </w:p>
        </w:tc>
        <w:tc>
          <w:tcPr>
            <w:tcW w:w="1888" w:type="dxa"/>
            <w:vAlign w:val="top"/>
          </w:tcPr>
          <w:p>
            <w:pPr>
              <w:ind w:left="633" w:right="208" w:hanging="420"/>
              <w:spacing w:before="166" w:line="252" w:lineRule="auto"/>
              <w:rPr>
                <w:rFonts w:ascii="SimSun" w:hAnsi="SimSun" w:eastAsia="SimSun" w:cs="SimSun"/>
                <w:sz w:val="20"/>
                <w:szCs w:val="20"/>
              </w:rPr>
            </w:pPr>
            <w:r>
              <w:rPr>
                <w:rFonts w:ascii="SimSun" w:hAnsi="SimSun" w:eastAsia="SimSun" w:cs="SimSun"/>
                <w:sz w:val="20"/>
                <w:szCs w:val="20"/>
                <w:spacing w:val="8"/>
              </w:rPr>
              <w:t>相对矿区的方位</w:t>
            </w:r>
            <w:r>
              <w:rPr>
                <w:rFonts w:ascii="SimSun" w:hAnsi="SimSun" w:eastAsia="SimSun" w:cs="SimSun"/>
                <w:sz w:val="20"/>
                <w:szCs w:val="20"/>
                <w:spacing w:val="6"/>
              </w:rPr>
              <w:t>和距离</w:t>
            </w:r>
          </w:p>
        </w:tc>
        <w:tc>
          <w:tcPr>
            <w:tcW w:w="746" w:type="dxa"/>
            <w:vAlign w:val="top"/>
          </w:tcPr>
          <w:p>
            <w:pPr>
              <w:ind w:left="171"/>
              <w:spacing w:before="28" w:line="228" w:lineRule="auto"/>
              <w:rPr>
                <w:rFonts w:ascii="SimSun" w:hAnsi="SimSun" w:eastAsia="SimSun" w:cs="SimSun"/>
                <w:sz w:val="20"/>
                <w:szCs w:val="20"/>
              </w:rPr>
            </w:pPr>
            <w:r>
              <w:rPr>
                <w:rFonts w:ascii="SimSun" w:hAnsi="SimSun" w:eastAsia="SimSun" w:cs="SimSun"/>
                <w:sz w:val="20"/>
                <w:szCs w:val="20"/>
                <w:spacing w:val="3"/>
              </w:rPr>
              <w:t>水源</w:t>
            </w:r>
          </w:p>
          <w:p>
            <w:pPr>
              <w:ind w:left="273" w:right="162" w:hanging="105"/>
              <w:spacing w:before="24" w:line="236" w:lineRule="auto"/>
              <w:rPr>
                <w:rFonts w:ascii="SimSun" w:hAnsi="SimSun" w:eastAsia="SimSun" w:cs="SimSun"/>
                <w:sz w:val="20"/>
                <w:szCs w:val="20"/>
              </w:rPr>
            </w:pPr>
            <w:r>
              <w:rPr>
                <w:rFonts w:ascii="SimSun" w:hAnsi="SimSun" w:eastAsia="SimSun" w:cs="SimSun"/>
                <w:sz w:val="20"/>
                <w:szCs w:val="20"/>
                <w:spacing w:val="4"/>
              </w:rPr>
              <w:t>井数</w:t>
            </w:r>
            <w:r>
              <w:rPr>
                <w:rFonts w:ascii="SimSun" w:hAnsi="SimSun" w:eastAsia="SimSun" w:cs="SimSun"/>
                <w:sz w:val="20"/>
                <w:szCs w:val="20"/>
              </w:rPr>
              <w:t>量</w:t>
            </w:r>
          </w:p>
        </w:tc>
        <w:tc>
          <w:tcPr>
            <w:tcW w:w="681" w:type="dxa"/>
            <w:vAlign w:val="top"/>
          </w:tcPr>
          <w:p>
            <w:pPr>
              <w:ind w:left="140" w:right="130" w:hanging="5"/>
              <w:spacing w:before="166" w:line="252" w:lineRule="auto"/>
              <w:rPr>
                <w:rFonts w:ascii="SimSun" w:hAnsi="SimSun" w:eastAsia="SimSun" w:cs="SimSun"/>
                <w:sz w:val="20"/>
                <w:szCs w:val="20"/>
              </w:rPr>
            </w:pPr>
            <w:r>
              <w:rPr>
                <w:rFonts w:ascii="SimSun" w:hAnsi="SimSun" w:eastAsia="SimSun" w:cs="SimSun"/>
                <w:sz w:val="20"/>
                <w:szCs w:val="20"/>
                <w:spacing w:val="4"/>
              </w:rPr>
              <w:t>井深</w:t>
            </w:r>
            <w:r>
              <w:rPr>
                <w:rFonts w:ascii="SimSun" w:hAnsi="SimSun" w:eastAsia="SimSun" w:cs="SimSun"/>
                <w:sz w:val="20"/>
                <w:szCs w:val="20"/>
                <w:spacing w:val="2"/>
              </w:rPr>
              <w:t>范围</w:t>
            </w:r>
          </w:p>
        </w:tc>
        <w:tc>
          <w:tcPr>
            <w:tcW w:w="1099" w:type="dxa"/>
            <w:vAlign w:val="top"/>
          </w:tcPr>
          <w:p>
            <w:pPr>
              <w:ind w:left="136"/>
              <w:spacing w:before="299" w:line="228" w:lineRule="auto"/>
              <w:rPr>
                <w:rFonts w:ascii="SimSun" w:hAnsi="SimSun" w:eastAsia="SimSun" w:cs="SimSun"/>
                <w:sz w:val="20"/>
                <w:szCs w:val="20"/>
              </w:rPr>
            </w:pPr>
            <w:r>
              <w:rPr>
                <w:rFonts w:ascii="SimSun" w:hAnsi="SimSun" w:eastAsia="SimSun" w:cs="SimSun"/>
                <w:sz w:val="20"/>
                <w:szCs w:val="20"/>
                <w:spacing w:val="7"/>
              </w:rPr>
              <w:t>使用功能</w:t>
            </w:r>
          </w:p>
        </w:tc>
        <w:tc>
          <w:tcPr>
            <w:tcW w:w="801" w:type="dxa"/>
            <w:vAlign w:val="top"/>
          </w:tcPr>
          <w:p>
            <w:pPr>
              <w:ind w:left="196" w:right="189" w:firstLine="2"/>
              <w:spacing w:before="166" w:line="251" w:lineRule="auto"/>
              <w:rPr>
                <w:rFonts w:ascii="SimSun" w:hAnsi="SimSun" w:eastAsia="SimSun" w:cs="SimSun"/>
                <w:sz w:val="20"/>
                <w:szCs w:val="20"/>
              </w:rPr>
            </w:pPr>
            <w:r>
              <w:rPr>
                <w:rFonts w:ascii="SimSun" w:hAnsi="SimSun" w:eastAsia="SimSun" w:cs="SimSun"/>
                <w:sz w:val="20"/>
                <w:szCs w:val="20"/>
                <w:spacing w:val="3"/>
              </w:rPr>
              <w:t>取水</w:t>
            </w:r>
            <w:r>
              <w:rPr>
                <w:rFonts w:ascii="SimSun" w:hAnsi="SimSun" w:eastAsia="SimSun" w:cs="SimSun"/>
                <w:sz w:val="20"/>
                <w:szCs w:val="20"/>
                <w:spacing w:val="4"/>
              </w:rPr>
              <w:t>层位</w:t>
            </w:r>
          </w:p>
        </w:tc>
        <w:tc>
          <w:tcPr>
            <w:tcW w:w="2063" w:type="dxa"/>
            <w:vAlign w:val="top"/>
            <w:vMerge w:val="continue"/>
            <w:tcBorders>
              <w:top w:val="nil"/>
            </w:tcBorders>
          </w:tcPr>
          <w:p>
            <w:pPr>
              <w:rPr>
                <w:rFonts w:ascii="Arial"/>
                <w:sz w:val="21"/>
              </w:rPr>
            </w:pPr>
            <w:r/>
          </w:p>
        </w:tc>
      </w:tr>
      <w:tr>
        <w:trPr>
          <w:trHeight w:val="1167" w:hRule="atLeast"/>
        </w:trPr>
        <w:tc>
          <w:tcPr>
            <w:tcW w:w="957" w:type="dxa"/>
            <w:vAlign w:val="top"/>
            <w:vMerge w:val="restart"/>
            <w:tcBorders>
              <w:bottom w:val="nil"/>
            </w:tcBorders>
          </w:tcPr>
          <w:p>
            <w:pPr>
              <w:spacing w:line="274" w:lineRule="auto"/>
              <w:rPr>
                <w:rFonts w:ascii="Arial"/>
                <w:sz w:val="21"/>
              </w:rPr>
            </w:pPr>
            <w:r/>
          </w:p>
          <w:p>
            <w:pPr>
              <w:spacing w:line="274" w:lineRule="auto"/>
              <w:rPr>
                <w:rFonts w:ascii="Arial"/>
                <w:sz w:val="21"/>
              </w:rPr>
            </w:pPr>
            <w:r/>
          </w:p>
          <w:p>
            <w:pPr>
              <w:spacing w:line="275" w:lineRule="auto"/>
              <w:rPr>
                <w:rFonts w:ascii="Arial"/>
                <w:sz w:val="21"/>
              </w:rPr>
            </w:pPr>
            <w:r/>
          </w:p>
          <w:p>
            <w:pPr>
              <w:spacing w:line="275" w:lineRule="auto"/>
              <w:rPr>
                <w:rFonts w:ascii="Arial"/>
                <w:sz w:val="21"/>
              </w:rPr>
            </w:pPr>
            <w:r/>
          </w:p>
          <w:p>
            <w:pPr>
              <w:ind w:left="273" w:right="162" w:hanging="105"/>
              <w:spacing w:before="65" w:line="254" w:lineRule="auto"/>
              <w:rPr>
                <w:rFonts w:ascii="SimSun" w:hAnsi="SimSun" w:eastAsia="SimSun" w:cs="SimSun"/>
                <w:sz w:val="20"/>
                <w:szCs w:val="20"/>
              </w:rPr>
            </w:pPr>
            <w:r>
              <w:rPr>
                <w:rFonts w:ascii="SimSun" w:hAnsi="SimSun" w:eastAsia="SimSun" w:cs="SimSun"/>
                <w:sz w:val="20"/>
                <w:szCs w:val="20"/>
                <w:spacing w:val="6"/>
              </w:rPr>
              <w:t>地下水</w:t>
            </w:r>
            <w:r>
              <w:rPr>
                <w:rFonts w:ascii="SimSun" w:hAnsi="SimSun" w:eastAsia="SimSun" w:cs="SimSun"/>
                <w:sz w:val="20"/>
                <w:szCs w:val="20"/>
                <w:spacing w:val="4"/>
              </w:rPr>
              <w:t>环境</w:t>
            </w:r>
          </w:p>
        </w:tc>
        <w:tc>
          <w:tcPr>
            <w:tcW w:w="1055" w:type="dxa"/>
            <w:vAlign w:val="top"/>
          </w:tcPr>
          <w:p>
            <w:pPr>
              <w:spacing w:line="440" w:lineRule="auto"/>
              <w:rPr>
                <w:rFonts w:ascii="Arial"/>
                <w:sz w:val="21"/>
              </w:rPr>
            </w:pPr>
            <w:r/>
          </w:p>
          <w:p>
            <w:pPr>
              <w:pStyle w:val="TableText"/>
              <w:ind w:left="367"/>
              <w:spacing w:before="63" w:line="189" w:lineRule="auto"/>
              <w:rPr>
                <w:sz w:val="22"/>
                <w:szCs w:val="22"/>
              </w:rPr>
            </w:pPr>
            <w:r>
              <w:rPr>
                <w:sz w:val="22"/>
                <w:szCs w:val="22"/>
                <w:spacing w:val="-6"/>
              </w:rPr>
              <w:t>S22</w:t>
            </w:r>
          </w:p>
        </w:tc>
        <w:tc>
          <w:tcPr>
            <w:tcW w:w="1888" w:type="dxa"/>
            <w:vAlign w:val="top"/>
          </w:tcPr>
          <w:p>
            <w:pPr>
              <w:ind w:left="216"/>
              <w:spacing w:before="203" w:line="226" w:lineRule="auto"/>
              <w:rPr>
                <w:rFonts w:ascii="SimSun" w:hAnsi="SimSun" w:eastAsia="SimSun" w:cs="SimSun"/>
                <w:sz w:val="20"/>
                <w:szCs w:val="20"/>
              </w:rPr>
            </w:pPr>
            <w:r>
              <w:rPr>
                <w:rFonts w:ascii="SimSun" w:hAnsi="SimSun" w:eastAsia="SimSun" w:cs="SimSun"/>
                <w:sz w:val="20"/>
                <w:szCs w:val="20"/>
                <w:spacing w:val="8"/>
              </w:rPr>
              <w:t>工业场地评价范</w:t>
            </w:r>
          </w:p>
          <w:p>
            <w:pPr>
              <w:ind w:left="131"/>
              <w:spacing w:before="25" w:line="228" w:lineRule="auto"/>
              <w:rPr>
                <w:rFonts w:ascii="SimSun" w:hAnsi="SimSun" w:eastAsia="SimSun" w:cs="SimSun"/>
                <w:sz w:val="20"/>
                <w:szCs w:val="20"/>
              </w:rPr>
            </w:pPr>
            <w:r>
              <w:rPr>
                <w:rFonts w:ascii="SimSun" w:hAnsi="SimSun" w:eastAsia="SimSun" w:cs="SimSun"/>
                <w:sz w:val="20"/>
                <w:szCs w:val="20"/>
                <w:spacing w:val="5"/>
              </w:rPr>
              <w:t>围内，位于工业场</w:t>
            </w:r>
          </w:p>
          <w:p>
            <w:pPr>
              <w:pStyle w:val="TableText"/>
              <w:ind w:left="261"/>
              <w:spacing w:before="24" w:line="228" w:lineRule="auto"/>
              <w:rPr/>
            </w:pPr>
            <w:r>
              <w:rPr>
                <w:rFonts w:ascii="SimSun" w:hAnsi="SimSun" w:eastAsia="SimSun" w:cs="SimSun"/>
                <w:spacing w:val="5"/>
              </w:rPr>
              <w:t>地东南侧</w:t>
            </w:r>
            <w:r>
              <w:rPr>
                <w:rFonts w:ascii="SimSun" w:hAnsi="SimSun" w:eastAsia="SimSun" w:cs="SimSun"/>
                <w:spacing w:val="-31"/>
              </w:rPr>
              <w:t xml:space="preserve"> </w:t>
            </w:r>
            <w:r>
              <w:rPr>
                <w:spacing w:val="5"/>
              </w:rPr>
              <w:t>560m</w:t>
            </w:r>
          </w:p>
        </w:tc>
        <w:tc>
          <w:tcPr>
            <w:tcW w:w="746" w:type="dxa"/>
            <w:vAlign w:val="top"/>
          </w:tcPr>
          <w:p>
            <w:pPr>
              <w:spacing w:line="449" w:lineRule="auto"/>
              <w:rPr>
                <w:rFonts w:ascii="Arial"/>
                <w:sz w:val="21"/>
              </w:rPr>
            </w:pPr>
            <w:r/>
          </w:p>
          <w:p>
            <w:pPr>
              <w:pStyle w:val="TableText"/>
              <w:ind w:left="343"/>
              <w:spacing w:before="58" w:line="195" w:lineRule="auto"/>
              <w:rPr/>
            </w:pPr>
            <w:r>
              <w:rPr/>
              <w:t>1</w:t>
            </w:r>
          </w:p>
        </w:tc>
        <w:tc>
          <w:tcPr>
            <w:tcW w:w="681" w:type="dxa"/>
            <w:vAlign w:val="top"/>
          </w:tcPr>
          <w:p>
            <w:pPr>
              <w:spacing w:line="440" w:lineRule="auto"/>
              <w:rPr>
                <w:rFonts w:ascii="Arial"/>
                <w:sz w:val="21"/>
              </w:rPr>
            </w:pPr>
            <w:r/>
          </w:p>
          <w:p>
            <w:pPr>
              <w:pStyle w:val="TableText"/>
              <w:ind w:left="237"/>
              <w:spacing w:before="63" w:line="189" w:lineRule="auto"/>
              <w:rPr>
                <w:sz w:val="22"/>
                <w:szCs w:val="22"/>
              </w:rPr>
            </w:pPr>
            <w:r>
              <w:rPr>
                <w:sz w:val="22"/>
                <w:szCs w:val="22"/>
                <w:spacing w:val="-5"/>
              </w:rPr>
              <w:t>60</w:t>
            </w:r>
          </w:p>
        </w:tc>
        <w:tc>
          <w:tcPr>
            <w:tcW w:w="1099" w:type="dxa"/>
            <w:vAlign w:val="top"/>
          </w:tcPr>
          <w:p>
            <w:pPr>
              <w:spacing w:line="272" w:lineRule="auto"/>
              <w:rPr>
                <w:rFonts w:ascii="Arial"/>
                <w:sz w:val="21"/>
              </w:rPr>
            </w:pPr>
            <w:r/>
          </w:p>
          <w:p>
            <w:pPr>
              <w:pStyle w:val="TableText"/>
              <w:ind w:left="450" w:right="202" w:hanging="240"/>
              <w:spacing w:before="65" w:line="252"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spacing w:line="449" w:lineRule="auto"/>
              <w:rPr>
                <w:rFonts w:ascii="Arial"/>
                <w:sz w:val="21"/>
              </w:rPr>
            </w:pPr>
            <w:r/>
          </w:p>
          <w:p>
            <w:pPr>
              <w:pStyle w:val="TableText"/>
              <w:ind w:left="329"/>
              <w:spacing w:before="57" w:line="197" w:lineRule="auto"/>
              <w:rPr/>
            </w:pPr>
            <w:r>
              <w:rPr/>
              <w:t>Q</w:t>
            </w:r>
          </w:p>
        </w:tc>
        <w:tc>
          <w:tcPr>
            <w:tcW w:w="2063" w:type="dxa"/>
            <w:vAlign w:val="top"/>
            <w:vMerge w:val="restart"/>
            <w:tcBorders>
              <w:bottom w:val="nil"/>
            </w:tcBorders>
          </w:tcPr>
          <w:p>
            <w:pPr>
              <w:spacing w:line="354" w:lineRule="auto"/>
              <w:rPr>
                <w:rFonts w:ascii="Arial"/>
                <w:sz w:val="21"/>
              </w:rPr>
            </w:pPr>
            <w:r/>
          </w:p>
          <w:p>
            <w:pPr>
              <w:spacing w:line="355" w:lineRule="auto"/>
              <w:rPr>
                <w:rFonts w:ascii="Arial"/>
                <w:sz w:val="21"/>
              </w:rPr>
            </w:pPr>
            <w:r/>
          </w:p>
          <w:p>
            <w:pPr>
              <w:ind w:left="120"/>
              <w:spacing w:before="65" w:line="228" w:lineRule="auto"/>
              <w:rPr>
                <w:rFonts w:ascii="SimSun" w:hAnsi="SimSun" w:eastAsia="SimSun" w:cs="SimSun"/>
                <w:sz w:val="20"/>
                <w:szCs w:val="20"/>
              </w:rPr>
            </w:pPr>
            <w:r>
              <w:rPr>
                <w:rFonts w:ascii="SimSun" w:hAnsi="SimSun" w:eastAsia="SimSun" w:cs="SimSun"/>
                <w:sz w:val="20"/>
                <w:szCs w:val="20"/>
                <w:spacing w:val="7"/>
              </w:rPr>
              <w:t>《地下水质量标准》</w:t>
            </w:r>
          </w:p>
          <w:p>
            <w:pPr>
              <w:pStyle w:val="TableText"/>
              <w:ind w:left="118"/>
              <w:spacing w:before="42" w:line="201" w:lineRule="auto"/>
              <w:rPr/>
            </w:pPr>
            <w:r>
              <w:rPr>
                <w:spacing w:val="5"/>
              </w:rPr>
              <w:t>(</w:t>
            </w:r>
            <w:r>
              <w:rPr/>
              <w:t>GB</w:t>
            </w:r>
            <w:r>
              <w:rPr>
                <w:spacing w:val="5"/>
              </w:rPr>
              <w:t>/T14848-2017)Ⅲ</w:t>
            </w:r>
          </w:p>
          <w:p>
            <w:pPr>
              <w:ind w:left="115"/>
              <w:spacing w:before="29" w:line="228" w:lineRule="auto"/>
              <w:rPr>
                <w:rFonts w:ascii="SimSun" w:hAnsi="SimSun" w:eastAsia="SimSun" w:cs="SimSun"/>
                <w:sz w:val="20"/>
                <w:szCs w:val="20"/>
              </w:rPr>
            </w:pPr>
            <w:r>
              <w:rPr>
                <w:rFonts w:ascii="SimSun" w:hAnsi="SimSun" w:eastAsia="SimSun" w:cs="SimSun"/>
                <w:sz w:val="20"/>
                <w:szCs w:val="20"/>
                <w:spacing w:val="3"/>
              </w:rPr>
              <w:t>类标准，地下水水质</w:t>
            </w:r>
          </w:p>
          <w:p>
            <w:pPr>
              <w:ind w:left="197"/>
              <w:spacing w:before="26" w:line="228" w:lineRule="auto"/>
              <w:rPr>
                <w:rFonts w:ascii="SimSun" w:hAnsi="SimSun" w:eastAsia="SimSun" w:cs="SimSun"/>
                <w:sz w:val="20"/>
                <w:szCs w:val="20"/>
              </w:rPr>
            </w:pPr>
            <w:r>
              <w:rPr>
                <w:rFonts w:ascii="SimSun" w:hAnsi="SimSun" w:eastAsia="SimSun" w:cs="SimSun"/>
                <w:sz w:val="20"/>
                <w:szCs w:val="20"/>
                <w:spacing w:val="8"/>
              </w:rPr>
              <w:t>不因项目建设而恶</w:t>
            </w:r>
          </w:p>
          <w:p>
            <w:pPr>
              <w:ind w:left="826"/>
              <w:spacing w:before="24" w:line="229" w:lineRule="auto"/>
              <w:rPr>
                <w:rFonts w:ascii="SimSun" w:hAnsi="SimSun" w:eastAsia="SimSun" w:cs="SimSun"/>
                <w:sz w:val="20"/>
                <w:szCs w:val="20"/>
              </w:rPr>
            </w:pPr>
            <w:r>
              <w:rPr>
                <w:rFonts w:ascii="SimSun" w:hAnsi="SimSun" w:eastAsia="SimSun" w:cs="SimSun"/>
                <w:sz w:val="20"/>
                <w:szCs w:val="20"/>
              </w:rPr>
              <w:t>化。</w:t>
            </w:r>
          </w:p>
        </w:tc>
      </w:tr>
      <w:tr>
        <w:trPr>
          <w:trHeight w:val="551"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8" w:line="189" w:lineRule="auto"/>
              <w:rPr>
                <w:sz w:val="22"/>
                <w:szCs w:val="22"/>
              </w:rPr>
            </w:pPr>
            <w:r>
              <w:rPr>
                <w:sz w:val="22"/>
                <w:szCs w:val="22"/>
                <w:spacing w:val="-2"/>
              </w:rPr>
              <w:t>F-SD02</w:t>
            </w:r>
          </w:p>
        </w:tc>
        <w:tc>
          <w:tcPr>
            <w:tcW w:w="1888" w:type="dxa"/>
            <w:vAlign w:val="top"/>
          </w:tcPr>
          <w:p>
            <w:pPr>
              <w:ind w:left="216"/>
              <w:spacing w:before="45" w:line="228" w:lineRule="auto"/>
              <w:rPr>
                <w:rFonts w:ascii="SimSun" w:hAnsi="SimSun" w:eastAsia="SimSun" w:cs="SimSun"/>
                <w:sz w:val="20"/>
                <w:szCs w:val="20"/>
              </w:rPr>
            </w:pPr>
            <w:r>
              <w:rPr>
                <w:rFonts w:ascii="SimSun" w:hAnsi="SimSun" w:eastAsia="SimSun" w:cs="SimSun"/>
                <w:sz w:val="20"/>
                <w:szCs w:val="20"/>
                <w:spacing w:val="8"/>
              </w:rPr>
              <w:t>工业场地东南侧</w:t>
            </w:r>
          </w:p>
          <w:p>
            <w:pPr>
              <w:pStyle w:val="TableText"/>
              <w:ind w:left="712"/>
              <w:spacing w:before="46" w:line="195" w:lineRule="auto"/>
              <w:rPr/>
            </w:pPr>
            <w:r>
              <w:rPr>
                <w:spacing w:val="3"/>
              </w:rPr>
              <w:t>560m</w:t>
            </w:r>
          </w:p>
        </w:tc>
        <w:tc>
          <w:tcPr>
            <w:tcW w:w="746" w:type="dxa"/>
            <w:vAlign w:val="top"/>
          </w:tcPr>
          <w:p>
            <w:pPr>
              <w:pStyle w:val="TableText"/>
              <w:ind w:left="343"/>
              <w:spacing w:before="204" w:line="195" w:lineRule="auto"/>
              <w:rPr/>
            </w:pPr>
            <w:r>
              <w:rPr/>
              <w:t>1</w:t>
            </w:r>
          </w:p>
        </w:tc>
        <w:tc>
          <w:tcPr>
            <w:tcW w:w="681" w:type="dxa"/>
            <w:vAlign w:val="top"/>
          </w:tcPr>
          <w:p>
            <w:pPr>
              <w:pStyle w:val="TableText"/>
              <w:ind w:left="237"/>
              <w:spacing w:before="198" w:line="189" w:lineRule="auto"/>
              <w:rPr>
                <w:sz w:val="22"/>
                <w:szCs w:val="22"/>
              </w:rPr>
            </w:pPr>
            <w:r>
              <w:rPr>
                <w:sz w:val="22"/>
                <w:szCs w:val="22"/>
                <w:spacing w:val="-5"/>
              </w:rPr>
              <w:t>31</w:t>
            </w:r>
          </w:p>
        </w:tc>
        <w:tc>
          <w:tcPr>
            <w:tcW w:w="1099" w:type="dxa"/>
            <w:vAlign w:val="top"/>
          </w:tcPr>
          <w:p>
            <w:pPr>
              <w:pStyle w:val="TableText"/>
              <w:ind w:left="450" w:right="202" w:hanging="240"/>
              <w:spacing w:before="31" w:line="235"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329"/>
              <w:spacing w:before="204" w:line="197" w:lineRule="auto"/>
              <w:rPr/>
            </w:pPr>
            <w:r>
              <w:rPr/>
              <w:t>Q</w:t>
            </w:r>
          </w:p>
        </w:tc>
        <w:tc>
          <w:tcPr>
            <w:tcW w:w="2063" w:type="dxa"/>
            <w:vAlign w:val="top"/>
            <w:vMerge w:val="continue"/>
            <w:tcBorders>
              <w:top w:val="nil"/>
              <w:bottom w:val="nil"/>
            </w:tcBorders>
          </w:tcPr>
          <w:p>
            <w:pPr>
              <w:rPr>
                <w:rFonts w:ascii="Arial"/>
                <w:sz w:val="21"/>
              </w:rPr>
            </w:pPr>
            <w:r/>
          </w:p>
        </w:tc>
      </w:tr>
      <w:tr>
        <w:trPr>
          <w:trHeight w:val="546"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6" w:line="189" w:lineRule="auto"/>
              <w:rPr>
                <w:sz w:val="22"/>
                <w:szCs w:val="22"/>
              </w:rPr>
            </w:pPr>
            <w:r>
              <w:rPr>
                <w:sz w:val="22"/>
                <w:szCs w:val="22"/>
                <w:spacing w:val="-2"/>
              </w:rPr>
              <w:t>F-SD12</w:t>
            </w:r>
          </w:p>
        </w:tc>
        <w:tc>
          <w:tcPr>
            <w:tcW w:w="1888" w:type="dxa"/>
            <w:vAlign w:val="top"/>
          </w:tcPr>
          <w:p>
            <w:pPr>
              <w:pStyle w:val="TableText"/>
              <w:ind w:left="132" w:right="125" w:hanging="21"/>
              <w:spacing w:before="29" w:line="234" w:lineRule="auto"/>
              <w:rPr/>
            </w:pPr>
            <w:r>
              <w:rPr>
                <w:rFonts w:ascii="SimSun" w:hAnsi="SimSun" w:eastAsia="SimSun" w:cs="SimSun"/>
                <w:spacing w:val="5"/>
              </w:rPr>
              <w:t>评价范围东北侧，</w:t>
            </w:r>
            <w:r>
              <w:rPr>
                <w:rFonts w:ascii="SimSun" w:hAnsi="SimSun" w:eastAsia="SimSun" w:cs="SimSun"/>
                <w:spacing w:val="5"/>
              </w:rPr>
              <w:t>距离露天区</w:t>
            </w:r>
            <w:r>
              <w:rPr>
                <w:rFonts w:ascii="SimSun" w:hAnsi="SimSun" w:eastAsia="SimSun" w:cs="SimSun"/>
                <w:spacing w:val="-23"/>
              </w:rPr>
              <w:t xml:space="preserve"> </w:t>
            </w:r>
            <w:r>
              <w:rPr>
                <w:spacing w:val="5"/>
              </w:rPr>
              <w:t>1.8</w:t>
            </w:r>
            <w:r>
              <w:rPr/>
              <w:t>km</w:t>
            </w:r>
          </w:p>
        </w:tc>
        <w:tc>
          <w:tcPr>
            <w:tcW w:w="746" w:type="dxa"/>
            <w:vAlign w:val="top"/>
          </w:tcPr>
          <w:p>
            <w:pPr>
              <w:pStyle w:val="TableText"/>
              <w:ind w:left="343"/>
              <w:spacing w:before="202" w:line="195" w:lineRule="auto"/>
              <w:rPr/>
            </w:pPr>
            <w:r>
              <w:rPr/>
              <w:t>1</w:t>
            </w:r>
          </w:p>
        </w:tc>
        <w:tc>
          <w:tcPr>
            <w:tcW w:w="681" w:type="dxa"/>
            <w:vAlign w:val="top"/>
          </w:tcPr>
          <w:p>
            <w:pPr>
              <w:pStyle w:val="TableText"/>
              <w:ind w:left="237"/>
              <w:spacing w:before="197" w:line="189" w:lineRule="auto"/>
              <w:rPr>
                <w:sz w:val="22"/>
                <w:szCs w:val="22"/>
              </w:rPr>
            </w:pPr>
            <w:r>
              <w:rPr>
                <w:sz w:val="22"/>
                <w:szCs w:val="22"/>
                <w:spacing w:val="-5"/>
              </w:rPr>
              <w:t>34</w:t>
            </w:r>
          </w:p>
        </w:tc>
        <w:tc>
          <w:tcPr>
            <w:tcW w:w="1099" w:type="dxa"/>
            <w:vAlign w:val="top"/>
          </w:tcPr>
          <w:p>
            <w:pPr>
              <w:ind w:left="355"/>
              <w:spacing w:before="166" w:line="228" w:lineRule="auto"/>
              <w:rPr>
                <w:rFonts w:ascii="SimSun" w:hAnsi="SimSun" w:eastAsia="SimSun" w:cs="SimSun"/>
                <w:sz w:val="20"/>
                <w:szCs w:val="20"/>
              </w:rPr>
            </w:pPr>
            <w:r>
              <w:rPr>
                <w:rFonts w:ascii="SimSun" w:hAnsi="SimSun" w:eastAsia="SimSun" w:cs="SimSun"/>
                <w:sz w:val="20"/>
                <w:szCs w:val="20"/>
                <w:spacing w:val="-2"/>
              </w:rPr>
              <w:t>畜牧</w:t>
            </w:r>
          </w:p>
        </w:tc>
        <w:tc>
          <w:tcPr>
            <w:tcW w:w="801" w:type="dxa"/>
            <w:vAlign w:val="top"/>
          </w:tcPr>
          <w:p>
            <w:pPr>
              <w:pStyle w:val="TableText"/>
              <w:ind w:left="329"/>
              <w:spacing w:before="202" w:line="197" w:lineRule="auto"/>
              <w:rPr/>
            </w:pPr>
            <w:r>
              <w:rPr/>
              <w:t>Q</w:t>
            </w:r>
          </w:p>
        </w:tc>
        <w:tc>
          <w:tcPr>
            <w:tcW w:w="2063" w:type="dxa"/>
            <w:vAlign w:val="top"/>
            <w:vMerge w:val="continue"/>
            <w:tcBorders>
              <w:top w:val="nil"/>
              <w:bottom w:val="nil"/>
            </w:tcBorders>
          </w:tcPr>
          <w:p>
            <w:pPr>
              <w:rPr>
                <w:rFonts w:ascii="Arial"/>
                <w:sz w:val="21"/>
              </w:rPr>
            </w:pPr>
            <w:r/>
          </w:p>
        </w:tc>
      </w:tr>
      <w:tr>
        <w:trPr>
          <w:trHeight w:val="553" w:hRule="atLeast"/>
        </w:trPr>
        <w:tc>
          <w:tcPr>
            <w:tcW w:w="957" w:type="dxa"/>
            <w:vAlign w:val="top"/>
            <w:vMerge w:val="continue"/>
            <w:tcBorders>
              <w:top w:val="nil"/>
            </w:tcBorders>
          </w:tcPr>
          <w:p>
            <w:pPr>
              <w:rPr>
                <w:rFonts w:ascii="Arial"/>
                <w:sz w:val="21"/>
              </w:rPr>
            </w:pPr>
            <w:r/>
          </w:p>
        </w:tc>
        <w:tc>
          <w:tcPr>
            <w:tcW w:w="1055" w:type="dxa"/>
            <w:vAlign w:val="top"/>
          </w:tcPr>
          <w:p>
            <w:pPr>
              <w:pStyle w:val="TableText"/>
              <w:ind w:left="179"/>
              <w:spacing w:before="200" w:line="189" w:lineRule="auto"/>
              <w:rPr>
                <w:sz w:val="22"/>
                <w:szCs w:val="22"/>
              </w:rPr>
            </w:pPr>
            <w:r>
              <w:rPr>
                <w:sz w:val="22"/>
                <w:szCs w:val="22"/>
                <w:spacing w:val="-2"/>
              </w:rPr>
              <w:t>F-SD13</w:t>
            </w:r>
          </w:p>
        </w:tc>
        <w:tc>
          <w:tcPr>
            <w:tcW w:w="1888" w:type="dxa"/>
            <w:vAlign w:val="top"/>
          </w:tcPr>
          <w:p>
            <w:pPr>
              <w:pStyle w:val="TableText"/>
              <w:ind w:left="132" w:right="125" w:hanging="21"/>
              <w:spacing w:before="36" w:line="234" w:lineRule="auto"/>
              <w:rPr/>
            </w:pPr>
            <w:r>
              <w:rPr>
                <w:rFonts w:ascii="SimSun" w:hAnsi="SimSun" w:eastAsia="SimSun" w:cs="SimSun"/>
                <w:spacing w:val="5"/>
              </w:rPr>
              <w:t>评价范围东北侧，</w:t>
            </w:r>
            <w:r>
              <w:rPr>
                <w:rFonts w:ascii="SimSun" w:hAnsi="SimSun" w:eastAsia="SimSun" w:cs="SimSun"/>
                <w:spacing w:val="7"/>
              </w:rPr>
              <w:t>距离露天区</w:t>
            </w:r>
            <w:r>
              <w:rPr>
                <w:rFonts w:ascii="SimSun" w:hAnsi="SimSun" w:eastAsia="SimSun" w:cs="SimSun"/>
                <w:spacing w:val="-39"/>
              </w:rPr>
              <w:t xml:space="preserve"> </w:t>
            </w:r>
            <w:r>
              <w:rPr>
                <w:spacing w:val="7"/>
              </w:rPr>
              <w:t>2.0</w:t>
            </w:r>
            <w:r>
              <w:rPr/>
              <w:t>km</w:t>
            </w:r>
          </w:p>
        </w:tc>
        <w:tc>
          <w:tcPr>
            <w:tcW w:w="746" w:type="dxa"/>
            <w:vAlign w:val="top"/>
          </w:tcPr>
          <w:p>
            <w:pPr>
              <w:pStyle w:val="TableText"/>
              <w:ind w:left="343"/>
              <w:spacing w:before="206" w:line="195" w:lineRule="auto"/>
              <w:rPr/>
            </w:pPr>
            <w:r>
              <w:rPr/>
              <w:t>1</w:t>
            </w:r>
          </w:p>
        </w:tc>
        <w:tc>
          <w:tcPr>
            <w:tcW w:w="681" w:type="dxa"/>
            <w:vAlign w:val="top"/>
          </w:tcPr>
          <w:p>
            <w:pPr>
              <w:pStyle w:val="TableText"/>
              <w:ind w:left="237"/>
              <w:spacing w:before="200" w:line="189" w:lineRule="auto"/>
              <w:rPr>
                <w:sz w:val="22"/>
                <w:szCs w:val="22"/>
              </w:rPr>
            </w:pPr>
            <w:r>
              <w:rPr>
                <w:sz w:val="22"/>
                <w:szCs w:val="22"/>
                <w:spacing w:val="-5"/>
              </w:rPr>
              <w:t>60</w:t>
            </w:r>
          </w:p>
        </w:tc>
        <w:tc>
          <w:tcPr>
            <w:tcW w:w="1099" w:type="dxa"/>
            <w:vAlign w:val="top"/>
          </w:tcPr>
          <w:p>
            <w:pPr>
              <w:pStyle w:val="TableText"/>
              <w:ind w:left="450" w:right="202" w:hanging="240"/>
              <w:spacing w:before="36" w:line="234"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147"/>
              <w:spacing w:before="205" w:line="188" w:lineRule="auto"/>
              <w:rPr/>
            </w:pPr>
            <w:r>
              <w:rPr>
                <w:spacing w:val="-3"/>
              </w:rPr>
              <w:t>Q</w:t>
            </w:r>
            <w:r>
              <w:rPr>
                <w:spacing w:val="-24"/>
              </w:rPr>
              <w:t xml:space="preserve"> </w:t>
            </w:r>
            <w:r>
              <w:rPr>
                <w:rFonts w:ascii="SimSun" w:hAnsi="SimSun" w:eastAsia="SimSun" w:cs="SimSun"/>
                <w:spacing w:val="-3"/>
              </w:rPr>
              <w:t>，</w:t>
            </w:r>
            <w:r>
              <w:rPr>
                <w:spacing w:val="-3"/>
              </w:rPr>
              <w:t>K</w:t>
            </w:r>
          </w:p>
        </w:tc>
        <w:tc>
          <w:tcPr>
            <w:tcW w:w="2063" w:type="dxa"/>
            <w:vAlign w:val="top"/>
            <w:vMerge w:val="continue"/>
            <w:tcBorders>
              <w:top w:val="nil"/>
            </w:tcBorders>
          </w:tcPr>
          <w:p>
            <w:pPr>
              <w:rPr>
                <w:rFonts w:ascii="Arial"/>
                <w:sz w:val="21"/>
              </w:rPr>
            </w:pPr>
            <w:r/>
          </w:p>
        </w:tc>
      </w:tr>
    </w:tbl>
    <w:p>
      <w:pPr>
        <w:pStyle w:val="BodyText"/>
        <w:spacing w:line="92" w:lineRule="exact"/>
        <w:rPr>
          <w:sz w:val="8"/>
        </w:rPr>
      </w:pPr>
      <w:r/>
    </w:p>
    <w:p>
      <w:pPr>
        <w:spacing w:line="92" w:lineRule="exact"/>
        <w:sectPr>
          <w:footerReference w:type="default" r:id="rId76"/>
          <w:pgSz w:w="11906" w:h="16838"/>
          <w:pgMar w:top="1170" w:right="1304" w:bottom="1080" w:left="1305" w:header="837" w:footer="918" w:gutter="0"/>
        </w:sectPr>
        <w:rPr>
          <w:sz w:val="8"/>
          <w:szCs w:val="8"/>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7"/>
        <w:gridCol w:w="1055"/>
        <w:gridCol w:w="1888"/>
        <w:gridCol w:w="746"/>
        <w:gridCol w:w="681"/>
        <w:gridCol w:w="1099"/>
        <w:gridCol w:w="801"/>
        <w:gridCol w:w="2063"/>
      </w:tblGrid>
      <w:tr>
        <w:trPr>
          <w:trHeight w:val="283" w:hRule="atLeast"/>
        </w:trPr>
        <w:tc>
          <w:tcPr>
            <w:tcW w:w="957" w:type="dxa"/>
            <w:vAlign w:val="top"/>
            <w:vMerge w:val="restart"/>
            <w:tcBorders>
              <w:bottom w:val="nil"/>
            </w:tcBorders>
          </w:tcPr>
          <w:p>
            <w:pPr>
              <w:spacing w:line="245" w:lineRule="auto"/>
              <w:rPr>
                <w:rFonts w:ascii="Arial"/>
                <w:sz w:val="21"/>
              </w:rPr>
            </w:pPr>
            <w:r/>
          </w:p>
          <w:p>
            <w:pPr>
              <w:ind w:left="379" w:right="162" w:hanging="211"/>
              <w:spacing w:before="65" w:line="252" w:lineRule="auto"/>
              <w:rPr>
                <w:rFonts w:ascii="SimSun" w:hAnsi="SimSun" w:eastAsia="SimSun" w:cs="SimSun"/>
                <w:sz w:val="20"/>
                <w:szCs w:val="20"/>
              </w:rPr>
            </w:pPr>
            <w:r>
              <w:rPr>
                <w:rFonts w:ascii="SimSun" w:hAnsi="SimSun" w:eastAsia="SimSun" w:cs="SimSun"/>
                <w:sz w:val="20"/>
                <w:szCs w:val="20"/>
                <w:spacing w:val="6"/>
              </w:rPr>
              <w:t>环境要</w:t>
            </w:r>
            <w:r>
              <w:rPr>
                <w:rFonts w:ascii="SimSun" w:hAnsi="SimSun" w:eastAsia="SimSun" w:cs="SimSun"/>
                <w:sz w:val="20"/>
                <w:szCs w:val="20"/>
              </w:rPr>
              <w:t>素</w:t>
            </w:r>
          </w:p>
        </w:tc>
        <w:tc>
          <w:tcPr>
            <w:tcW w:w="6270" w:type="dxa"/>
            <w:vAlign w:val="top"/>
            <w:gridSpan w:val="6"/>
          </w:tcPr>
          <w:p>
            <w:pPr>
              <w:ind w:left="2191"/>
              <w:spacing w:before="33" w:line="221" w:lineRule="auto"/>
              <w:rPr>
                <w:rFonts w:ascii="SimSun" w:hAnsi="SimSun" w:eastAsia="SimSun" w:cs="SimSun"/>
                <w:sz w:val="20"/>
                <w:szCs w:val="20"/>
              </w:rPr>
            </w:pPr>
            <w:r>
              <w:rPr>
                <w:rFonts w:ascii="SimSun" w:hAnsi="SimSun" w:eastAsia="SimSun" w:cs="SimSun"/>
                <w:sz w:val="20"/>
                <w:szCs w:val="20"/>
                <w:spacing w:val="9"/>
              </w:rPr>
              <w:t>评价范围内的水源井</w:t>
            </w:r>
          </w:p>
        </w:tc>
        <w:tc>
          <w:tcPr>
            <w:tcW w:w="2063" w:type="dxa"/>
            <w:vAlign w:val="top"/>
            <w:vMerge w:val="restart"/>
            <w:tcBorders>
              <w:bottom w:val="nil"/>
            </w:tcBorders>
          </w:tcPr>
          <w:p>
            <w:pPr>
              <w:spacing w:line="382" w:lineRule="auto"/>
              <w:rPr>
                <w:rFonts w:ascii="Arial"/>
                <w:sz w:val="21"/>
              </w:rPr>
            </w:pPr>
            <w:r/>
          </w:p>
          <w:p>
            <w:pPr>
              <w:ind w:left="615"/>
              <w:spacing w:before="65" w:line="228" w:lineRule="auto"/>
              <w:rPr>
                <w:rFonts w:ascii="SimSun" w:hAnsi="SimSun" w:eastAsia="SimSun" w:cs="SimSun"/>
                <w:sz w:val="20"/>
                <w:szCs w:val="20"/>
              </w:rPr>
            </w:pPr>
            <w:r>
              <w:rPr>
                <w:rFonts w:ascii="SimSun" w:hAnsi="SimSun" w:eastAsia="SimSun" w:cs="SimSun"/>
                <w:sz w:val="20"/>
                <w:szCs w:val="20"/>
                <w:spacing w:val="7"/>
              </w:rPr>
              <w:t>保护要求</w:t>
            </w:r>
          </w:p>
        </w:tc>
      </w:tr>
      <w:tr>
        <w:trPr>
          <w:trHeight w:val="820" w:hRule="atLeast"/>
        </w:trPr>
        <w:tc>
          <w:tcPr>
            <w:tcW w:w="957" w:type="dxa"/>
            <w:vAlign w:val="top"/>
            <w:vMerge w:val="continue"/>
            <w:tcBorders>
              <w:top w:val="nil"/>
            </w:tcBorders>
          </w:tcPr>
          <w:p>
            <w:pPr>
              <w:rPr>
                <w:rFonts w:ascii="Arial"/>
                <w:sz w:val="21"/>
              </w:rPr>
            </w:pPr>
            <w:r/>
          </w:p>
        </w:tc>
        <w:tc>
          <w:tcPr>
            <w:tcW w:w="1055" w:type="dxa"/>
            <w:vAlign w:val="top"/>
          </w:tcPr>
          <w:p>
            <w:pPr>
              <w:ind w:left="331"/>
              <w:spacing w:before="300" w:line="229" w:lineRule="auto"/>
              <w:rPr>
                <w:rFonts w:ascii="SimSun" w:hAnsi="SimSun" w:eastAsia="SimSun" w:cs="SimSun"/>
                <w:sz w:val="20"/>
                <w:szCs w:val="20"/>
              </w:rPr>
            </w:pPr>
            <w:r>
              <w:rPr>
                <w:rFonts w:ascii="SimSun" w:hAnsi="SimSun" w:eastAsia="SimSun" w:cs="SimSun"/>
                <w:sz w:val="20"/>
                <w:szCs w:val="20"/>
                <w:spacing w:val="-1"/>
              </w:rPr>
              <w:t>点位</w:t>
            </w:r>
          </w:p>
        </w:tc>
        <w:tc>
          <w:tcPr>
            <w:tcW w:w="1888" w:type="dxa"/>
            <w:vAlign w:val="top"/>
          </w:tcPr>
          <w:p>
            <w:pPr>
              <w:ind w:left="633" w:right="208" w:hanging="420"/>
              <w:spacing w:before="166" w:line="252" w:lineRule="auto"/>
              <w:rPr>
                <w:rFonts w:ascii="SimSun" w:hAnsi="SimSun" w:eastAsia="SimSun" w:cs="SimSun"/>
                <w:sz w:val="20"/>
                <w:szCs w:val="20"/>
              </w:rPr>
            </w:pPr>
            <w:r>
              <w:rPr>
                <w:rFonts w:ascii="SimSun" w:hAnsi="SimSun" w:eastAsia="SimSun" w:cs="SimSun"/>
                <w:sz w:val="20"/>
                <w:szCs w:val="20"/>
                <w:spacing w:val="8"/>
              </w:rPr>
              <w:t>相对矿区的方位</w:t>
            </w:r>
            <w:r>
              <w:rPr>
                <w:rFonts w:ascii="SimSun" w:hAnsi="SimSun" w:eastAsia="SimSun" w:cs="SimSun"/>
                <w:sz w:val="20"/>
                <w:szCs w:val="20"/>
                <w:spacing w:val="6"/>
              </w:rPr>
              <w:t>和距离</w:t>
            </w:r>
          </w:p>
        </w:tc>
        <w:tc>
          <w:tcPr>
            <w:tcW w:w="746" w:type="dxa"/>
            <w:vAlign w:val="top"/>
          </w:tcPr>
          <w:p>
            <w:pPr>
              <w:ind w:left="171"/>
              <w:spacing w:before="28" w:line="228" w:lineRule="auto"/>
              <w:rPr>
                <w:rFonts w:ascii="SimSun" w:hAnsi="SimSun" w:eastAsia="SimSun" w:cs="SimSun"/>
                <w:sz w:val="20"/>
                <w:szCs w:val="20"/>
              </w:rPr>
            </w:pPr>
            <w:r>
              <w:rPr>
                <w:rFonts w:ascii="SimSun" w:hAnsi="SimSun" w:eastAsia="SimSun" w:cs="SimSun"/>
                <w:sz w:val="20"/>
                <w:szCs w:val="20"/>
                <w:spacing w:val="3"/>
              </w:rPr>
              <w:t>水源</w:t>
            </w:r>
          </w:p>
          <w:p>
            <w:pPr>
              <w:ind w:left="273" w:right="162" w:hanging="105"/>
              <w:spacing w:before="25" w:line="235" w:lineRule="auto"/>
              <w:rPr>
                <w:rFonts w:ascii="SimSun" w:hAnsi="SimSun" w:eastAsia="SimSun" w:cs="SimSun"/>
                <w:sz w:val="20"/>
                <w:szCs w:val="20"/>
              </w:rPr>
            </w:pPr>
            <w:r>
              <w:rPr>
                <w:rFonts w:ascii="SimSun" w:hAnsi="SimSun" w:eastAsia="SimSun" w:cs="SimSun"/>
                <w:sz w:val="20"/>
                <w:szCs w:val="20"/>
                <w:spacing w:val="4"/>
              </w:rPr>
              <w:t>井数</w:t>
            </w:r>
            <w:r>
              <w:rPr>
                <w:rFonts w:ascii="SimSun" w:hAnsi="SimSun" w:eastAsia="SimSun" w:cs="SimSun"/>
                <w:sz w:val="20"/>
                <w:szCs w:val="20"/>
              </w:rPr>
              <w:t>量</w:t>
            </w:r>
          </w:p>
        </w:tc>
        <w:tc>
          <w:tcPr>
            <w:tcW w:w="681" w:type="dxa"/>
            <w:vAlign w:val="top"/>
          </w:tcPr>
          <w:p>
            <w:pPr>
              <w:ind w:left="140" w:right="130" w:hanging="5"/>
              <w:spacing w:before="166" w:line="252" w:lineRule="auto"/>
              <w:rPr>
                <w:rFonts w:ascii="SimSun" w:hAnsi="SimSun" w:eastAsia="SimSun" w:cs="SimSun"/>
                <w:sz w:val="20"/>
                <w:szCs w:val="20"/>
              </w:rPr>
            </w:pPr>
            <w:r>
              <w:rPr>
                <w:rFonts w:ascii="SimSun" w:hAnsi="SimSun" w:eastAsia="SimSun" w:cs="SimSun"/>
                <w:sz w:val="20"/>
                <w:szCs w:val="20"/>
                <w:spacing w:val="4"/>
              </w:rPr>
              <w:t>井深</w:t>
            </w:r>
            <w:r>
              <w:rPr>
                <w:rFonts w:ascii="SimSun" w:hAnsi="SimSun" w:eastAsia="SimSun" w:cs="SimSun"/>
                <w:sz w:val="20"/>
                <w:szCs w:val="20"/>
                <w:spacing w:val="2"/>
              </w:rPr>
              <w:t>范围</w:t>
            </w:r>
          </w:p>
        </w:tc>
        <w:tc>
          <w:tcPr>
            <w:tcW w:w="1099" w:type="dxa"/>
            <w:vAlign w:val="top"/>
          </w:tcPr>
          <w:p>
            <w:pPr>
              <w:ind w:left="136"/>
              <w:spacing w:before="299" w:line="228" w:lineRule="auto"/>
              <w:rPr>
                <w:rFonts w:ascii="SimSun" w:hAnsi="SimSun" w:eastAsia="SimSun" w:cs="SimSun"/>
                <w:sz w:val="20"/>
                <w:szCs w:val="20"/>
              </w:rPr>
            </w:pPr>
            <w:r>
              <w:rPr>
                <w:rFonts w:ascii="SimSun" w:hAnsi="SimSun" w:eastAsia="SimSun" w:cs="SimSun"/>
                <w:sz w:val="20"/>
                <w:szCs w:val="20"/>
                <w:spacing w:val="7"/>
              </w:rPr>
              <w:t>使用功能</w:t>
            </w:r>
          </w:p>
        </w:tc>
        <w:tc>
          <w:tcPr>
            <w:tcW w:w="801" w:type="dxa"/>
            <w:vAlign w:val="top"/>
          </w:tcPr>
          <w:p>
            <w:pPr>
              <w:ind w:left="196" w:right="189" w:firstLine="2"/>
              <w:spacing w:before="165" w:line="252" w:lineRule="auto"/>
              <w:rPr>
                <w:rFonts w:ascii="SimSun" w:hAnsi="SimSun" w:eastAsia="SimSun" w:cs="SimSun"/>
                <w:sz w:val="20"/>
                <w:szCs w:val="20"/>
              </w:rPr>
            </w:pPr>
            <w:r>
              <w:rPr>
                <w:rFonts w:ascii="SimSun" w:hAnsi="SimSun" w:eastAsia="SimSun" w:cs="SimSun"/>
                <w:sz w:val="20"/>
                <w:szCs w:val="20"/>
                <w:spacing w:val="3"/>
              </w:rPr>
              <w:t>取水</w:t>
            </w:r>
            <w:r>
              <w:rPr>
                <w:rFonts w:ascii="SimSun" w:hAnsi="SimSun" w:eastAsia="SimSun" w:cs="SimSun"/>
                <w:sz w:val="20"/>
                <w:szCs w:val="20"/>
                <w:spacing w:val="4"/>
              </w:rPr>
              <w:t>层位</w:t>
            </w:r>
          </w:p>
        </w:tc>
        <w:tc>
          <w:tcPr>
            <w:tcW w:w="2063" w:type="dxa"/>
            <w:vAlign w:val="top"/>
            <w:vMerge w:val="continue"/>
            <w:tcBorders>
              <w:top w:val="nil"/>
            </w:tcBorders>
          </w:tcPr>
          <w:p>
            <w:pPr>
              <w:rPr>
                <w:rFonts w:ascii="Arial"/>
                <w:sz w:val="21"/>
              </w:rPr>
            </w:pPr>
            <w:r/>
          </w:p>
        </w:tc>
      </w:tr>
      <w:tr>
        <w:trPr>
          <w:trHeight w:val="551" w:hRule="atLeast"/>
        </w:trPr>
        <w:tc>
          <w:tcPr>
            <w:tcW w:w="957" w:type="dxa"/>
            <w:vAlign w:val="top"/>
            <w:vMerge w:val="restart"/>
            <w:tcBorders>
              <w:bottom w:val="nil"/>
            </w:tcBorders>
          </w:tcPr>
          <w:p>
            <w:pPr>
              <w:rPr>
                <w:rFonts w:ascii="Arial"/>
                <w:sz w:val="21"/>
              </w:rPr>
            </w:pPr>
            <w:r/>
          </w:p>
        </w:tc>
        <w:tc>
          <w:tcPr>
            <w:tcW w:w="1055" w:type="dxa"/>
            <w:vAlign w:val="top"/>
          </w:tcPr>
          <w:p>
            <w:pPr>
              <w:pStyle w:val="TableText"/>
              <w:ind w:left="179"/>
              <w:spacing w:before="196" w:line="189" w:lineRule="auto"/>
              <w:rPr>
                <w:sz w:val="22"/>
                <w:szCs w:val="22"/>
              </w:rPr>
            </w:pPr>
            <w:r>
              <w:rPr>
                <w:sz w:val="22"/>
                <w:szCs w:val="22"/>
                <w:spacing w:val="-2"/>
              </w:rPr>
              <w:t>F-SD15</w:t>
            </w:r>
          </w:p>
        </w:tc>
        <w:tc>
          <w:tcPr>
            <w:tcW w:w="1888" w:type="dxa"/>
            <w:vAlign w:val="top"/>
          </w:tcPr>
          <w:p>
            <w:pPr>
              <w:pStyle w:val="TableText"/>
              <w:ind w:left="132" w:right="125" w:hanging="21"/>
              <w:spacing w:before="31" w:line="235" w:lineRule="auto"/>
              <w:rPr/>
            </w:pPr>
            <w:r>
              <w:rPr>
                <w:rFonts w:ascii="SimSun" w:hAnsi="SimSun" w:eastAsia="SimSun" w:cs="SimSun"/>
                <w:spacing w:val="5"/>
              </w:rPr>
              <w:t>评价范围东北侧，</w:t>
            </w:r>
            <w:r>
              <w:rPr>
                <w:rFonts w:ascii="SimSun" w:hAnsi="SimSun" w:eastAsia="SimSun" w:cs="SimSun"/>
                <w:spacing w:val="5"/>
              </w:rPr>
              <w:t>距离露天区</w:t>
            </w:r>
            <w:r>
              <w:rPr>
                <w:rFonts w:ascii="SimSun" w:hAnsi="SimSun" w:eastAsia="SimSun" w:cs="SimSun"/>
                <w:spacing w:val="-23"/>
              </w:rPr>
              <w:t xml:space="preserve"> </w:t>
            </w:r>
            <w:r>
              <w:rPr>
                <w:spacing w:val="5"/>
              </w:rPr>
              <w:t>1.2</w:t>
            </w:r>
            <w:r>
              <w:rPr/>
              <w:t>km</w:t>
            </w:r>
          </w:p>
        </w:tc>
        <w:tc>
          <w:tcPr>
            <w:tcW w:w="746" w:type="dxa"/>
            <w:vAlign w:val="top"/>
          </w:tcPr>
          <w:p>
            <w:pPr>
              <w:pStyle w:val="TableText"/>
              <w:ind w:left="343"/>
              <w:spacing w:before="202" w:line="195" w:lineRule="auto"/>
              <w:rPr/>
            </w:pPr>
            <w:r>
              <w:rPr/>
              <w:t>1</w:t>
            </w:r>
          </w:p>
        </w:tc>
        <w:tc>
          <w:tcPr>
            <w:tcW w:w="681" w:type="dxa"/>
            <w:vAlign w:val="top"/>
          </w:tcPr>
          <w:p>
            <w:pPr>
              <w:pStyle w:val="TableText"/>
              <w:ind w:left="232"/>
              <w:spacing w:before="196" w:line="189" w:lineRule="auto"/>
              <w:rPr>
                <w:sz w:val="22"/>
                <w:szCs w:val="22"/>
              </w:rPr>
            </w:pPr>
            <w:r>
              <w:rPr>
                <w:sz w:val="22"/>
                <w:szCs w:val="22"/>
                <w:spacing w:val="-3"/>
              </w:rPr>
              <w:t>25</w:t>
            </w:r>
          </w:p>
        </w:tc>
        <w:tc>
          <w:tcPr>
            <w:tcW w:w="1099" w:type="dxa"/>
            <w:vAlign w:val="top"/>
          </w:tcPr>
          <w:p>
            <w:pPr>
              <w:pStyle w:val="TableText"/>
              <w:ind w:left="450" w:right="202" w:hanging="240"/>
              <w:spacing w:before="31" w:line="235"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329"/>
              <w:spacing w:before="202" w:line="197" w:lineRule="auto"/>
              <w:rPr/>
            </w:pPr>
            <w:r>
              <w:rPr/>
              <w:t>Q</w:t>
            </w:r>
          </w:p>
        </w:tc>
        <w:tc>
          <w:tcPr>
            <w:tcW w:w="2063" w:type="dxa"/>
            <w:vAlign w:val="top"/>
            <w:vMerge w:val="restart"/>
            <w:tcBorders>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7" w:line="189" w:lineRule="auto"/>
              <w:rPr>
                <w:sz w:val="22"/>
                <w:szCs w:val="22"/>
              </w:rPr>
            </w:pPr>
            <w:r>
              <w:rPr>
                <w:sz w:val="22"/>
                <w:szCs w:val="22"/>
                <w:spacing w:val="-2"/>
              </w:rPr>
              <w:t>F-SD16</w:t>
            </w:r>
          </w:p>
        </w:tc>
        <w:tc>
          <w:tcPr>
            <w:tcW w:w="1888" w:type="dxa"/>
            <w:vAlign w:val="top"/>
          </w:tcPr>
          <w:p>
            <w:pPr>
              <w:pStyle w:val="TableText"/>
              <w:ind w:left="132" w:right="125" w:hanging="21"/>
              <w:spacing w:before="29" w:line="235" w:lineRule="auto"/>
              <w:rPr/>
            </w:pPr>
            <w:r>
              <w:rPr>
                <w:rFonts w:ascii="SimSun" w:hAnsi="SimSun" w:eastAsia="SimSun" w:cs="SimSun"/>
                <w:spacing w:val="5"/>
              </w:rPr>
              <w:t>评价范围东北侧，</w:t>
            </w:r>
            <w:r>
              <w:rPr>
                <w:rFonts w:ascii="SimSun" w:hAnsi="SimSun" w:eastAsia="SimSun" w:cs="SimSun"/>
                <w:spacing w:val="5"/>
              </w:rPr>
              <w:t>距离露天区</w:t>
            </w:r>
            <w:r>
              <w:rPr>
                <w:rFonts w:ascii="SimSun" w:hAnsi="SimSun" w:eastAsia="SimSun" w:cs="SimSun"/>
                <w:spacing w:val="-23"/>
              </w:rPr>
              <w:t xml:space="preserve"> </w:t>
            </w:r>
            <w:r>
              <w:rPr>
                <w:spacing w:val="5"/>
              </w:rPr>
              <w:t>1.4</w:t>
            </w:r>
            <w:r>
              <w:rPr/>
              <w:t>km</w:t>
            </w:r>
          </w:p>
        </w:tc>
        <w:tc>
          <w:tcPr>
            <w:tcW w:w="746" w:type="dxa"/>
            <w:vAlign w:val="top"/>
          </w:tcPr>
          <w:p>
            <w:pPr>
              <w:pStyle w:val="TableText"/>
              <w:ind w:left="343"/>
              <w:spacing w:before="200" w:line="195" w:lineRule="auto"/>
              <w:rPr/>
            </w:pPr>
            <w:r>
              <w:rPr/>
              <w:t>1</w:t>
            </w:r>
          </w:p>
        </w:tc>
        <w:tc>
          <w:tcPr>
            <w:tcW w:w="681" w:type="dxa"/>
            <w:vAlign w:val="top"/>
          </w:tcPr>
          <w:p>
            <w:pPr>
              <w:pStyle w:val="TableText"/>
              <w:ind w:left="237"/>
              <w:spacing w:before="197" w:line="189" w:lineRule="auto"/>
              <w:rPr>
                <w:sz w:val="22"/>
                <w:szCs w:val="22"/>
              </w:rPr>
            </w:pPr>
            <w:r>
              <w:rPr>
                <w:sz w:val="22"/>
                <w:szCs w:val="22"/>
                <w:spacing w:val="-5"/>
              </w:rPr>
              <w:t>30</w:t>
            </w:r>
          </w:p>
        </w:tc>
        <w:tc>
          <w:tcPr>
            <w:tcW w:w="1099" w:type="dxa"/>
            <w:vAlign w:val="top"/>
          </w:tcPr>
          <w:p>
            <w:pPr>
              <w:pStyle w:val="TableText"/>
              <w:ind w:left="450" w:right="202" w:hanging="240"/>
              <w:spacing w:before="29" w:line="235"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329"/>
              <w:spacing w:before="200" w:line="197" w:lineRule="auto"/>
              <w:rPr/>
            </w:pPr>
            <w:r>
              <w:rPr/>
              <w:t>Q</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7" w:line="189" w:lineRule="auto"/>
              <w:rPr>
                <w:sz w:val="22"/>
                <w:szCs w:val="22"/>
              </w:rPr>
            </w:pPr>
            <w:r>
              <w:rPr>
                <w:sz w:val="22"/>
                <w:szCs w:val="22"/>
                <w:spacing w:val="-2"/>
              </w:rPr>
              <w:t>F-SD17</w:t>
            </w:r>
          </w:p>
        </w:tc>
        <w:tc>
          <w:tcPr>
            <w:tcW w:w="1888" w:type="dxa"/>
            <w:vAlign w:val="top"/>
          </w:tcPr>
          <w:p>
            <w:pPr>
              <w:ind w:left="117"/>
              <w:spacing w:before="44" w:line="228" w:lineRule="auto"/>
              <w:rPr>
                <w:rFonts w:ascii="SimSun" w:hAnsi="SimSun" w:eastAsia="SimSun" w:cs="SimSun"/>
                <w:sz w:val="20"/>
                <w:szCs w:val="20"/>
              </w:rPr>
            </w:pPr>
            <w:r>
              <w:rPr>
                <w:rFonts w:ascii="SimSun" w:hAnsi="SimSun" w:eastAsia="SimSun" w:cs="SimSun"/>
                <w:sz w:val="20"/>
                <w:szCs w:val="20"/>
                <w:spacing w:val="7"/>
              </w:rPr>
              <w:t>露天区东侧，距离</w:t>
            </w:r>
          </w:p>
          <w:p>
            <w:pPr>
              <w:pStyle w:val="TableText"/>
              <w:ind w:left="710"/>
              <w:spacing w:before="46" w:line="195" w:lineRule="auto"/>
              <w:rPr/>
            </w:pPr>
            <w:r>
              <w:rPr>
                <w:spacing w:val="3"/>
              </w:rPr>
              <w:t>340m</w:t>
            </w:r>
          </w:p>
        </w:tc>
        <w:tc>
          <w:tcPr>
            <w:tcW w:w="746" w:type="dxa"/>
            <w:vAlign w:val="top"/>
          </w:tcPr>
          <w:p>
            <w:pPr>
              <w:pStyle w:val="TableText"/>
              <w:ind w:left="343"/>
              <w:spacing w:before="201" w:line="195" w:lineRule="auto"/>
              <w:rPr/>
            </w:pPr>
            <w:r>
              <w:rPr/>
              <w:t>1</w:t>
            </w:r>
          </w:p>
        </w:tc>
        <w:tc>
          <w:tcPr>
            <w:tcW w:w="681" w:type="dxa"/>
            <w:vAlign w:val="top"/>
          </w:tcPr>
          <w:p>
            <w:pPr>
              <w:pStyle w:val="TableText"/>
              <w:ind w:left="237"/>
              <w:spacing w:before="197" w:line="189" w:lineRule="auto"/>
              <w:rPr>
                <w:sz w:val="22"/>
                <w:szCs w:val="22"/>
              </w:rPr>
            </w:pPr>
            <w:r>
              <w:rPr>
                <w:sz w:val="22"/>
                <w:szCs w:val="22"/>
                <w:spacing w:val="-5"/>
              </w:rPr>
              <w:t>65</w:t>
            </w:r>
          </w:p>
        </w:tc>
        <w:tc>
          <w:tcPr>
            <w:tcW w:w="1099" w:type="dxa"/>
            <w:vAlign w:val="top"/>
          </w:tcPr>
          <w:p>
            <w:pPr>
              <w:pStyle w:val="TableText"/>
              <w:ind w:left="450" w:right="202" w:hanging="240"/>
              <w:spacing w:before="29" w:line="235"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147"/>
              <w:spacing w:before="200" w:line="188" w:lineRule="auto"/>
              <w:rPr/>
            </w:pPr>
            <w:r>
              <w:rPr>
                <w:spacing w:val="-3"/>
              </w:rPr>
              <w:t>Q</w:t>
            </w:r>
            <w:r>
              <w:rPr>
                <w:spacing w:val="-24"/>
              </w:rPr>
              <w:t xml:space="preserve"> </w:t>
            </w:r>
            <w:r>
              <w:rPr>
                <w:rFonts w:ascii="SimSun" w:hAnsi="SimSun" w:eastAsia="SimSun" w:cs="SimSun"/>
                <w:spacing w:val="-3"/>
              </w:rPr>
              <w:t>，</w:t>
            </w:r>
            <w:r>
              <w:rPr>
                <w:spacing w:val="-3"/>
              </w:rPr>
              <w:t>K</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8" w:line="189" w:lineRule="auto"/>
              <w:rPr>
                <w:sz w:val="22"/>
                <w:szCs w:val="22"/>
              </w:rPr>
            </w:pPr>
            <w:r>
              <w:rPr>
                <w:sz w:val="22"/>
                <w:szCs w:val="22"/>
                <w:spacing w:val="-2"/>
              </w:rPr>
              <w:t>F-SD18</w:t>
            </w:r>
          </w:p>
        </w:tc>
        <w:tc>
          <w:tcPr>
            <w:tcW w:w="1888" w:type="dxa"/>
            <w:vAlign w:val="top"/>
          </w:tcPr>
          <w:p>
            <w:pPr>
              <w:pStyle w:val="TableText"/>
              <w:ind w:left="697" w:right="105" w:hanging="580"/>
              <w:spacing w:before="44" w:line="242" w:lineRule="auto"/>
              <w:rPr/>
            </w:pPr>
            <w:r>
              <w:rPr>
                <w:rFonts w:ascii="SimSun" w:hAnsi="SimSun" w:eastAsia="SimSun" w:cs="SimSun"/>
                <w:spacing w:val="7"/>
              </w:rPr>
              <w:t>露天区东侧，距离</w:t>
            </w:r>
            <w:r>
              <w:rPr/>
              <w:t>1.9km</w:t>
            </w:r>
          </w:p>
        </w:tc>
        <w:tc>
          <w:tcPr>
            <w:tcW w:w="746" w:type="dxa"/>
            <w:vAlign w:val="top"/>
          </w:tcPr>
          <w:p>
            <w:pPr>
              <w:pStyle w:val="TableText"/>
              <w:ind w:left="343"/>
              <w:spacing w:before="204" w:line="195" w:lineRule="auto"/>
              <w:rPr/>
            </w:pPr>
            <w:r>
              <w:rPr/>
              <w:t>1</w:t>
            </w:r>
          </w:p>
        </w:tc>
        <w:tc>
          <w:tcPr>
            <w:tcW w:w="681" w:type="dxa"/>
            <w:vAlign w:val="top"/>
          </w:tcPr>
          <w:p>
            <w:pPr>
              <w:pStyle w:val="TableText"/>
              <w:ind w:left="241"/>
              <w:spacing w:before="198" w:line="189" w:lineRule="auto"/>
              <w:rPr>
                <w:sz w:val="22"/>
                <w:szCs w:val="22"/>
              </w:rPr>
            </w:pPr>
            <w:r>
              <w:rPr>
                <w:sz w:val="22"/>
                <w:szCs w:val="22"/>
                <w:spacing w:val="-7"/>
              </w:rPr>
              <w:t>85</w:t>
            </w:r>
          </w:p>
        </w:tc>
        <w:tc>
          <w:tcPr>
            <w:tcW w:w="1099" w:type="dxa"/>
            <w:vAlign w:val="top"/>
          </w:tcPr>
          <w:p>
            <w:pPr>
              <w:pStyle w:val="TableText"/>
              <w:ind w:left="450" w:right="202" w:hanging="240"/>
              <w:spacing w:before="32" w:line="234"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147"/>
              <w:spacing w:before="201" w:line="188" w:lineRule="auto"/>
              <w:rPr/>
            </w:pPr>
            <w:r>
              <w:rPr>
                <w:spacing w:val="-3"/>
              </w:rPr>
              <w:t>Q</w:t>
            </w:r>
            <w:r>
              <w:rPr>
                <w:spacing w:val="-24"/>
              </w:rPr>
              <w:t xml:space="preserve"> </w:t>
            </w:r>
            <w:r>
              <w:rPr>
                <w:rFonts w:ascii="SimSun" w:hAnsi="SimSun" w:eastAsia="SimSun" w:cs="SimSun"/>
                <w:spacing w:val="-3"/>
              </w:rPr>
              <w:t>，</w:t>
            </w:r>
            <w:r>
              <w:rPr>
                <w:spacing w:val="-3"/>
              </w:rPr>
              <w:t>K</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8" w:line="189" w:lineRule="auto"/>
              <w:rPr>
                <w:sz w:val="22"/>
                <w:szCs w:val="22"/>
              </w:rPr>
            </w:pPr>
            <w:r>
              <w:rPr>
                <w:sz w:val="22"/>
                <w:szCs w:val="22"/>
                <w:spacing w:val="-2"/>
              </w:rPr>
              <w:t>F-SD19</w:t>
            </w:r>
          </w:p>
        </w:tc>
        <w:tc>
          <w:tcPr>
            <w:tcW w:w="1888" w:type="dxa"/>
            <w:vAlign w:val="top"/>
          </w:tcPr>
          <w:p>
            <w:pPr>
              <w:pStyle w:val="TableText"/>
              <w:ind w:left="697" w:right="105" w:hanging="580"/>
              <w:spacing w:before="46" w:line="241" w:lineRule="auto"/>
              <w:rPr/>
            </w:pPr>
            <w:r>
              <w:rPr>
                <w:rFonts w:ascii="SimSun" w:hAnsi="SimSun" w:eastAsia="SimSun" w:cs="SimSun"/>
                <w:spacing w:val="7"/>
              </w:rPr>
              <w:t>露天区东侧，距离</w:t>
            </w:r>
            <w:r>
              <w:rPr>
                <w:spacing w:val="-5"/>
              </w:rPr>
              <w:t>1.</w:t>
            </w:r>
            <w:r>
              <w:rPr>
                <w:spacing w:val="-25"/>
              </w:rPr>
              <w:t xml:space="preserve"> </w:t>
            </w:r>
            <w:r>
              <w:rPr>
                <w:spacing w:val="-5"/>
              </w:rPr>
              <w:t>1km</w:t>
            </w:r>
          </w:p>
        </w:tc>
        <w:tc>
          <w:tcPr>
            <w:tcW w:w="746" w:type="dxa"/>
            <w:vAlign w:val="top"/>
          </w:tcPr>
          <w:p>
            <w:pPr>
              <w:pStyle w:val="TableText"/>
              <w:ind w:left="343"/>
              <w:spacing w:before="204" w:line="195" w:lineRule="auto"/>
              <w:rPr/>
            </w:pPr>
            <w:r>
              <w:rPr/>
              <w:t>1</w:t>
            </w:r>
          </w:p>
        </w:tc>
        <w:tc>
          <w:tcPr>
            <w:tcW w:w="681" w:type="dxa"/>
            <w:vAlign w:val="top"/>
          </w:tcPr>
          <w:p>
            <w:pPr>
              <w:pStyle w:val="TableText"/>
              <w:ind w:left="231"/>
              <w:spacing w:before="198" w:line="189" w:lineRule="auto"/>
              <w:rPr>
                <w:sz w:val="22"/>
                <w:szCs w:val="22"/>
              </w:rPr>
            </w:pPr>
            <w:r>
              <w:rPr>
                <w:sz w:val="22"/>
                <w:szCs w:val="22"/>
                <w:spacing w:val="-2"/>
              </w:rPr>
              <w:t>45</w:t>
            </w:r>
          </w:p>
        </w:tc>
        <w:tc>
          <w:tcPr>
            <w:tcW w:w="1099" w:type="dxa"/>
            <w:vAlign w:val="top"/>
          </w:tcPr>
          <w:p>
            <w:pPr>
              <w:pStyle w:val="TableText"/>
              <w:ind w:left="450" w:right="202" w:hanging="240"/>
              <w:spacing w:before="32" w:line="234"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329"/>
              <w:spacing w:before="204" w:line="197" w:lineRule="auto"/>
              <w:rPr/>
            </w:pPr>
            <w:r>
              <w:rPr/>
              <w:t>Q</w:t>
            </w:r>
          </w:p>
        </w:tc>
        <w:tc>
          <w:tcPr>
            <w:tcW w:w="2063" w:type="dxa"/>
            <w:vAlign w:val="top"/>
            <w:vMerge w:val="continue"/>
            <w:tcBorders>
              <w:top w:val="nil"/>
              <w:bottom w:val="nil"/>
            </w:tcBorders>
          </w:tcPr>
          <w:p>
            <w:pPr>
              <w:rPr>
                <w:rFonts w:ascii="Arial"/>
                <w:sz w:val="21"/>
              </w:rPr>
            </w:pPr>
            <w:r/>
          </w:p>
        </w:tc>
      </w:tr>
      <w:tr>
        <w:trPr>
          <w:trHeight w:val="520"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84" w:line="189" w:lineRule="auto"/>
              <w:rPr>
                <w:sz w:val="22"/>
                <w:szCs w:val="22"/>
              </w:rPr>
            </w:pPr>
            <w:r>
              <w:rPr>
                <w:sz w:val="22"/>
                <w:szCs w:val="22"/>
                <w:spacing w:val="-2"/>
              </w:rPr>
              <w:t>F-SD22</w:t>
            </w:r>
          </w:p>
        </w:tc>
        <w:tc>
          <w:tcPr>
            <w:tcW w:w="1888" w:type="dxa"/>
            <w:vAlign w:val="top"/>
          </w:tcPr>
          <w:p>
            <w:pPr>
              <w:pStyle w:val="TableText"/>
              <w:ind w:left="697" w:right="105" w:hanging="580"/>
              <w:spacing w:before="32" w:line="234" w:lineRule="auto"/>
              <w:rPr/>
            </w:pPr>
            <w:r>
              <w:rPr>
                <w:rFonts w:ascii="SimSun" w:hAnsi="SimSun" w:eastAsia="SimSun" w:cs="SimSun"/>
                <w:spacing w:val="7"/>
              </w:rPr>
              <w:t>露天区东侧，距离</w:t>
            </w:r>
            <w:r>
              <w:rPr/>
              <w:t>1.0km</w:t>
            </w:r>
          </w:p>
        </w:tc>
        <w:tc>
          <w:tcPr>
            <w:tcW w:w="746" w:type="dxa"/>
            <w:vAlign w:val="top"/>
          </w:tcPr>
          <w:p>
            <w:pPr>
              <w:pStyle w:val="TableText"/>
              <w:ind w:left="343"/>
              <w:spacing w:before="188" w:line="195" w:lineRule="auto"/>
              <w:rPr/>
            </w:pPr>
            <w:r>
              <w:rPr/>
              <w:t>1</w:t>
            </w:r>
          </w:p>
        </w:tc>
        <w:tc>
          <w:tcPr>
            <w:tcW w:w="681" w:type="dxa"/>
            <w:vAlign w:val="top"/>
          </w:tcPr>
          <w:p>
            <w:pPr>
              <w:pStyle w:val="TableText"/>
              <w:ind w:left="231"/>
              <w:spacing w:before="184" w:line="189" w:lineRule="auto"/>
              <w:rPr>
                <w:sz w:val="22"/>
                <w:szCs w:val="22"/>
              </w:rPr>
            </w:pPr>
            <w:r>
              <w:rPr>
                <w:sz w:val="22"/>
                <w:szCs w:val="22"/>
                <w:spacing w:val="-2"/>
              </w:rPr>
              <w:t>48</w:t>
            </w:r>
          </w:p>
        </w:tc>
        <w:tc>
          <w:tcPr>
            <w:tcW w:w="1099" w:type="dxa"/>
            <w:vAlign w:val="top"/>
          </w:tcPr>
          <w:p>
            <w:pPr>
              <w:ind w:left="355"/>
              <w:spacing w:before="151" w:line="228" w:lineRule="auto"/>
              <w:rPr>
                <w:rFonts w:ascii="SimSun" w:hAnsi="SimSun" w:eastAsia="SimSun" w:cs="SimSun"/>
                <w:sz w:val="20"/>
                <w:szCs w:val="20"/>
              </w:rPr>
            </w:pPr>
            <w:r>
              <w:rPr>
                <w:rFonts w:ascii="SimSun" w:hAnsi="SimSun" w:eastAsia="SimSun" w:cs="SimSun"/>
                <w:sz w:val="20"/>
                <w:szCs w:val="20"/>
                <w:spacing w:val="-2"/>
              </w:rPr>
              <w:t>畜牧</w:t>
            </w:r>
          </w:p>
        </w:tc>
        <w:tc>
          <w:tcPr>
            <w:tcW w:w="801" w:type="dxa"/>
            <w:vAlign w:val="top"/>
          </w:tcPr>
          <w:p>
            <w:pPr>
              <w:pStyle w:val="TableText"/>
              <w:ind w:left="329"/>
              <w:spacing w:before="187" w:line="197" w:lineRule="auto"/>
              <w:rPr/>
            </w:pPr>
            <w:r>
              <w:rPr/>
              <w:t>Q</w:t>
            </w:r>
          </w:p>
        </w:tc>
        <w:tc>
          <w:tcPr>
            <w:tcW w:w="2063" w:type="dxa"/>
            <w:vAlign w:val="top"/>
            <w:vMerge w:val="continue"/>
            <w:tcBorders>
              <w:top w:val="nil"/>
              <w:bottom w:val="nil"/>
            </w:tcBorders>
          </w:tcPr>
          <w:p>
            <w:pPr>
              <w:rPr>
                <w:rFonts w:ascii="Arial"/>
                <w:sz w:val="21"/>
              </w:rPr>
            </w:pPr>
            <w:r/>
          </w:p>
        </w:tc>
      </w:tr>
      <w:tr>
        <w:trPr>
          <w:trHeight w:val="547"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7" w:line="189" w:lineRule="auto"/>
              <w:rPr>
                <w:sz w:val="22"/>
                <w:szCs w:val="22"/>
              </w:rPr>
            </w:pPr>
            <w:r>
              <w:rPr>
                <w:sz w:val="22"/>
                <w:szCs w:val="22"/>
                <w:spacing w:val="-2"/>
              </w:rPr>
              <w:t>F-SD33</w:t>
            </w:r>
          </w:p>
        </w:tc>
        <w:tc>
          <w:tcPr>
            <w:tcW w:w="1888" w:type="dxa"/>
            <w:vAlign w:val="top"/>
          </w:tcPr>
          <w:p>
            <w:pPr>
              <w:pStyle w:val="TableText"/>
              <w:ind w:left="156" w:right="151" w:hanging="45"/>
              <w:spacing w:before="29" w:line="234" w:lineRule="auto"/>
              <w:rPr/>
            </w:pPr>
            <w:r>
              <w:rPr>
                <w:rFonts w:ascii="SimSun" w:hAnsi="SimSun" w:eastAsia="SimSun" w:cs="SimSun"/>
                <w:spacing w:val="2"/>
              </w:rPr>
              <w:t>评价范围东北侧，</w:t>
            </w:r>
            <w:r>
              <w:rPr>
                <w:rFonts w:ascii="SimSun" w:hAnsi="SimSun" w:eastAsia="SimSun" w:cs="SimSun"/>
                <w:spacing w:val="5"/>
              </w:rPr>
              <w:t>距离露天区</w:t>
            </w:r>
            <w:r>
              <w:rPr>
                <w:rFonts w:ascii="SimSun" w:hAnsi="SimSun" w:eastAsia="SimSun" w:cs="SimSun"/>
                <w:spacing w:val="-29"/>
              </w:rPr>
              <w:t xml:space="preserve"> </w:t>
            </w:r>
            <w:r>
              <w:rPr>
                <w:spacing w:val="5"/>
              </w:rPr>
              <w:t>670m</w:t>
            </w:r>
          </w:p>
        </w:tc>
        <w:tc>
          <w:tcPr>
            <w:tcW w:w="746" w:type="dxa"/>
            <w:vAlign w:val="top"/>
          </w:tcPr>
          <w:p>
            <w:pPr>
              <w:pStyle w:val="TableText"/>
              <w:ind w:left="343"/>
              <w:spacing w:before="203" w:line="195" w:lineRule="auto"/>
              <w:rPr/>
            </w:pPr>
            <w:r>
              <w:rPr/>
              <w:t>1</w:t>
            </w:r>
          </w:p>
        </w:tc>
        <w:tc>
          <w:tcPr>
            <w:tcW w:w="681" w:type="dxa"/>
            <w:vAlign w:val="top"/>
          </w:tcPr>
          <w:p>
            <w:pPr>
              <w:pStyle w:val="TableText"/>
              <w:ind w:left="198"/>
              <w:spacing w:before="197" w:line="189" w:lineRule="auto"/>
              <w:rPr>
                <w:sz w:val="22"/>
                <w:szCs w:val="22"/>
              </w:rPr>
            </w:pPr>
            <w:r>
              <w:rPr>
                <w:sz w:val="22"/>
                <w:szCs w:val="22"/>
                <w:spacing w:val="-9"/>
              </w:rPr>
              <w:t>130</w:t>
            </w:r>
          </w:p>
        </w:tc>
        <w:tc>
          <w:tcPr>
            <w:tcW w:w="1099" w:type="dxa"/>
            <w:vAlign w:val="top"/>
          </w:tcPr>
          <w:p>
            <w:pPr>
              <w:ind w:left="355"/>
              <w:spacing w:before="166" w:line="228" w:lineRule="auto"/>
              <w:rPr>
                <w:rFonts w:ascii="SimSun" w:hAnsi="SimSun" w:eastAsia="SimSun" w:cs="SimSun"/>
                <w:sz w:val="20"/>
                <w:szCs w:val="20"/>
              </w:rPr>
            </w:pPr>
            <w:r>
              <w:rPr>
                <w:rFonts w:ascii="SimSun" w:hAnsi="SimSun" w:eastAsia="SimSun" w:cs="SimSun"/>
                <w:sz w:val="20"/>
                <w:szCs w:val="20"/>
                <w:spacing w:val="-2"/>
              </w:rPr>
              <w:t>畜牧</w:t>
            </w:r>
          </w:p>
        </w:tc>
        <w:tc>
          <w:tcPr>
            <w:tcW w:w="801" w:type="dxa"/>
            <w:vAlign w:val="top"/>
          </w:tcPr>
          <w:p>
            <w:pPr>
              <w:pStyle w:val="TableText"/>
              <w:ind w:left="147"/>
              <w:spacing w:before="202" w:line="188" w:lineRule="auto"/>
              <w:rPr/>
            </w:pPr>
            <w:r>
              <w:rPr>
                <w:spacing w:val="-3"/>
              </w:rPr>
              <w:t>Q</w:t>
            </w:r>
            <w:r>
              <w:rPr>
                <w:spacing w:val="-24"/>
              </w:rPr>
              <w:t xml:space="preserve"> </w:t>
            </w:r>
            <w:r>
              <w:rPr>
                <w:rFonts w:ascii="SimSun" w:hAnsi="SimSun" w:eastAsia="SimSun" w:cs="SimSun"/>
                <w:spacing w:val="-3"/>
              </w:rPr>
              <w:t>，</w:t>
            </w:r>
            <w:r>
              <w:rPr>
                <w:spacing w:val="-3"/>
              </w:rPr>
              <w:t>K</w:t>
            </w:r>
          </w:p>
        </w:tc>
        <w:tc>
          <w:tcPr>
            <w:tcW w:w="2063" w:type="dxa"/>
            <w:vAlign w:val="top"/>
            <w:vMerge w:val="continue"/>
            <w:tcBorders>
              <w:top w:val="nil"/>
              <w:bottom w:val="nil"/>
            </w:tcBorders>
          </w:tcPr>
          <w:p>
            <w:pPr>
              <w:rPr>
                <w:rFonts w:ascii="Arial"/>
                <w:sz w:val="21"/>
              </w:rPr>
            </w:pPr>
            <w:r/>
          </w:p>
        </w:tc>
      </w:tr>
      <w:tr>
        <w:trPr>
          <w:trHeight w:val="551"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199" w:line="189" w:lineRule="auto"/>
              <w:rPr>
                <w:sz w:val="22"/>
                <w:szCs w:val="22"/>
              </w:rPr>
            </w:pPr>
            <w:r>
              <w:rPr>
                <w:sz w:val="22"/>
                <w:szCs w:val="22"/>
                <w:spacing w:val="-2"/>
              </w:rPr>
              <w:t>F-SD34</w:t>
            </w:r>
          </w:p>
        </w:tc>
        <w:tc>
          <w:tcPr>
            <w:tcW w:w="1888" w:type="dxa"/>
            <w:vAlign w:val="top"/>
          </w:tcPr>
          <w:p>
            <w:pPr>
              <w:pStyle w:val="TableText"/>
              <w:ind w:left="215" w:right="105" w:hanging="103"/>
              <w:spacing w:before="33" w:line="234" w:lineRule="auto"/>
              <w:rPr>
                <w:rFonts w:ascii="SimSun" w:hAnsi="SimSun" w:eastAsia="SimSun" w:cs="SimSun"/>
              </w:rPr>
            </w:pPr>
            <w:r>
              <w:rPr>
                <w:rFonts w:ascii="SimSun" w:hAnsi="SimSun" w:eastAsia="SimSun" w:cs="SimSun"/>
                <w:spacing w:val="8"/>
              </w:rPr>
              <w:t>井田北侧。距离井</w:t>
            </w:r>
            <w:r>
              <w:rPr>
                <w:rFonts w:ascii="SimSun" w:hAnsi="SimSun" w:eastAsia="SimSun" w:cs="SimSun"/>
                <w:spacing w:val="3"/>
              </w:rPr>
              <w:t>工区</w:t>
            </w:r>
            <w:r>
              <w:rPr>
                <w:rFonts w:ascii="SimSun" w:hAnsi="SimSun" w:eastAsia="SimSun" w:cs="SimSun"/>
                <w:spacing w:val="-20"/>
              </w:rPr>
              <w:t xml:space="preserve"> </w:t>
            </w:r>
            <w:r>
              <w:rPr>
                <w:spacing w:val="3"/>
              </w:rPr>
              <w:t>100 </w:t>
            </w:r>
            <w:r>
              <w:rPr>
                <w:rFonts w:ascii="SimSun" w:hAnsi="SimSun" w:eastAsia="SimSun" w:cs="SimSun"/>
                <w:spacing w:val="3"/>
              </w:rPr>
              <w:t>米以内</w:t>
            </w:r>
          </w:p>
        </w:tc>
        <w:tc>
          <w:tcPr>
            <w:tcW w:w="746" w:type="dxa"/>
            <w:vAlign w:val="top"/>
          </w:tcPr>
          <w:p>
            <w:pPr>
              <w:pStyle w:val="TableText"/>
              <w:ind w:left="343"/>
              <w:spacing w:before="205" w:line="195" w:lineRule="auto"/>
              <w:rPr/>
            </w:pPr>
            <w:r>
              <w:rPr/>
              <w:t>1</w:t>
            </w:r>
          </w:p>
        </w:tc>
        <w:tc>
          <w:tcPr>
            <w:tcW w:w="681" w:type="dxa"/>
            <w:vAlign w:val="top"/>
          </w:tcPr>
          <w:p>
            <w:pPr>
              <w:pStyle w:val="TableText"/>
              <w:ind w:left="231"/>
              <w:spacing w:before="199" w:line="189" w:lineRule="auto"/>
              <w:rPr>
                <w:sz w:val="22"/>
                <w:szCs w:val="22"/>
              </w:rPr>
            </w:pPr>
            <w:r>
              <w:rPr>
                <w:sz w:val="22"/>
                <w:szCs w:val="22"/>
                <w:spacing w:val="-2"/>
              </w:rPr>
              <w:t>40</w:t>
            </w:r>
          </w:p>
        </w:tc>
        <w:tc>
          <w:tcPr>
            <w:tcW w:w="1099" w:type="dxa"/>
            <w:vAlign w:val="top"/>
          </w:tcPr>
          <w:p>
            <w:pPr>
              <w:ind w:left="355"/>
              <w:spacing w:before="169" w:line="228" w:lineRule="auto"/>
              <w:rPr>
                <w:rFonts w:ascii="SimSun" w:hAnsi="SimSun" w:eastAsia="SimSun" w:cs="SimSun"/>
                <w:sz w:val="20"/>
                <w:szCs w:val="20"/>
              </w:rPr>
            </w:pPr>
            <w:r>
              <w:rPr>
                <w:rFonts w:ascii="SimSun" w:hAnsi="SimSun" w:eastAsia="SimSun" w:cs="SimSun"/>
                <w:sz w:val="20"/>
                <w:szCs w:val="20"/>
                <w:spacing w:val="-2"/>
              </w:rPr>
              <w:t>畜牧</w:t>
            </w:r>
          </w:p>
        </w:tc>
        <w:tc>
          <w:tcPr>
            <w:tcW w:w="801" w:type="dxa"/>
            <w:vAlign w:val="top"/>
          </w:tcPr>
          <w:p>
            <w:pPr>
              <w:pStyle w:val="TableText"/>
              <w:ind w:left="329"/>
              <w:spacing w:before="205" w:line="197" w:lineRule="auto"/>
              <w:rPr/>
            </w:pPr>
            <w:r>
              <w:rPr/>
              <w:t>Q</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200" w:line="189" w:lineRule="auto"/>
              <w:rPr>
                <w:sz w:val="22"/>
                <w:szCs w:val="22"/>
              </w:rPr>
            </w:pPr>
            <w:r>
              <w:rPr>
                <w:sz w:val="22"/>
                <w:szCs w:val="22"/>
                <w:spacing w:val="-2"/>
              </w:rPr>
              <w:t>F-SD35</w:t>
            </w:r>
          </w:p>
        </w:tc>
        <w:tc>
          <w:tcPr>
            <w:tcW w:w="1888" w:type="dxa"/>
            <w:vAlign w:val="top"/>
          </w:tcPr>
          <w:p>
            <w:pPr>
              <w:pStyle w:val="TableText"/>
              <w:ind w:left="215" w:right="105" w:hanging="103"/>
              <w:spacing w:before="34" w:line="233" w:lineRule="auto"/>
              <w:rPr>
                <w:rFonts w:ascii="SimSun" w:hAnsi="SimSun" w:eastAsia="SimSun" w:cs="SimSun"/>
              </w:rPr>
            </w:pPr>
            <w:r>
              <w:rPr>
                <w:rFonts w:ascii="SimSun" w:hAnsi="SimSun" w:eastAsia="SimSun" w:cs="SimSun"/>
                <w:spacing w:val="8"/>
              </w:rPr>
              <w:t>井田北侧。距离井</w:t>
            </w:r>
            <w:r>
              <w:rPr>
                <w:rFonts w:ascii="SimSun" w:hAnsi="SimSun" w:eastAsia="SimSun" w:cs="SimSun"/>
                <w:spacing w:val="3"/>
              </w:rPr>
              <w:t>工区</w:t>
            </w:r>
            <w:r>
              <w:rPr>
                <w:rFonts w:ascii="SimSun" w:hAnsi="SimSun" w:eastAsia="SimSun" w:cs="SimSun"/>
                <w:spacing w:val="-20"/>
              </w:rPr>
              <w:t xml:space="preserve"> </w:t>
            </w:r>
            <w:r>
              <w:rPr>
                <w:spacing w:val="3"/>
              </w:rPr>
              <w:t>100 </w:t>
            </w:r>
            <w:r>
              <w:rPr>
                <w:rFonts w:ascii="SimSun" w:hAnsi="SimSun" w:eastAsia="SimSun" w:cs="SimSun"/>
                <w:spacing w:val="3"/>
              </w:rPr>
              <w:t>米以内</w:t>
            </w:r>
          </w:p>
        </w:tc>
        <w:tc>
          <w:tcPr>
            <w:tcW w:w="746" w:type="dxa"/>
            <w:vAlign w:val="top"/>
          </w:tcPr>
          <w:p>
            <w:pPr>
              <w:pStyle w:val="TableText"/>
              <w:ind w:left="343"/>
              <w:spacing w:before="203" w:line="195" w:lineRule="auto"/>
              <w:rPr/>
            </w:pPr>
            <w:r>
              <w:rPr/>
              <w:t>1</w:t>
            </w:r>
          </w:p>
        </w:tc>
        <w:tc>
          <w:tcPr>
            <w:tcW w:w="681" w:type="dxa"/>
            <w:vAlign w:val="top"/>
          </w:tcPr>
          <w:p>
            <w:pPr>
              <w:pStyle w:val="TableText"/>
              <w:ind w:left="231"/>
              <w:spacing w:before="200" w:line="189" w:lineRule="auto"/>
              <w:rPr>
                <w:sz w:val="22"/>
                <w:szCs w:val="22"/>
              </w:rPr>
            </w:pPr>
            <w:r>
              <w:rPr>
                <w:sz w:val="22"/>
                <w:szCs w:val="22"/>
                <w:spacing w:val="-2"/>
              </w:rPr>
              <w:t>45</w:t>
            </w:r>
          </w:p>
        </w:tc>
        <w:tc>
          <w:tcPr>
            <w:tcW w:w="1099" w:type="dxa"/>
            <w:vAlign w:val="top"/>
          </w:tcPr>
          <w:p>
            <w:pPr>
              <w:ind w:left="358"/>
              <w:spacing w:before="167" w:line="231" w:lineRule="auto"/>
              <w:rPr>
                <w:rFonts w:ascii="SimSun" w:hAnsi="SimSun" w:eastAsia="SimSun" w:cs="SimSun"/>
                <w:sz w:val="20"/>
                <w:szCs w:val="20"/>
              </w:rPr>
            </w:pPr>
            <w:r>
              <w:rPr>
                <w:rFonts w:ascii="SimSun" w:hAnsi="SimSun" w:eastAsia="SimSun" w:cs="SimSun"/>
                <w:sz w:val="20"/>
                <w:szCs w:val="20"/>
                <w:spacing w:val="-4"/>
              </w:rPr>
              <w:t>闲置</w:t>
            </w:r>
          </w:p>
        </w:tc>
        <w:tc>
          <w:tcPr>
            <w:tcW w:w="801" w:type="dxa"/>
            <w:vAlign w:val="top"/>
          </w:tcPr>
          <w:p>
            <w:pPr>
              <w:pStyle w:val="TableText"/>
              <w:ind w:left="329"/>
              <w:spacing w:before="203" w:line="197" w:lineRule="auto"/>
              <w:rPr/>
            </w:pPr>
            <w:r>
              <w:rPr/>
              <w:t>Q</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179"/>
              <w:spacing w:before="200" w:line="189" w:lineRule="auto"/>
              <w:rPr>
                <w:sz w:val="22"/>
                <w:szCs w:val="22"/>
              </w:rPr>
            </w:pPr>
            <w:r>
              <w:rPr>
                <w:sz w:val="22"/>
                <w:szCs w:val="22"/>
                <w:spacing w:val="-2"/>
              </w:rPr>
              <w:t>F-SD39</w:t>
            </w:r>
          </w:p>
        </w:tc>
        <w:tc>
          <w:tcPr>
            <w:tcW w:w="1888" w:type="dxa"/>
            <w:vAlign w:val="top"/>
          </w:tcPr>
          <w:p>
            <w:pPr>
              <w:pStyle w:val="TableText"/>
              <w:ind w:left="132" w:right="125" w:hanging="21"/>
              <w:spacing w:before="34" w:line="233" w:lineRule="auto"/>
              <w:rPr/>
            </w:pPr>
            <w:r>
              <w:rPr>
                <w:rFonts w:ascii="SimSun" w:hAnsi="SimSun" w:eastAsia="SimSun" w:cs="SimSun"/>
                <w:spacing w:val="5"/>
              </w:rPr>
              <w:t>评价范围东北侧，</w:t>
            </w:r>
            <w:r>
              <w:rPr>
                <w:rFonts w:ascii="SimSun" w:hAnsi="SimSun" w:eastAsia="SimSun" w:cs="SimSun"/>
                <w:spacing w:val="5"/>
              </w:rPr>
              <w:t>距离露天区</w:t>
            </w:r>
            <w:r>
              <w:rPr>
                <w:rFonts w:ascii="SimSun" w:hAnsi="SimSun" w:eastAsia="SimSun" w:cs="SimSun"/>
                <w:spacing w:val="-23"/>
              </w:rPr>
              <w:t xml:space="preserve"> </w:t>
            </w:r>
            <w:r>
              <w:rPr>
                <w:spacing w:val="5"/>
              </w:rPr>
              <w:t>1.9</w:t>
            </w:r>
            <w:r>
              <w:rPr/>
              <w:t>km</w:t>
            </w:r>
          </w:p>
        </w:tc>
        <w:tc>
          <w:tcPr>
            <w:tcW w:w="746" w:type="dxa"/>
            <w:vAlign w:val="top"/>
          </w:tcPr>
          <w:p>
            <w:pPr>
              <w:pStyle w:val="TableText"/>
              <w:ind w:left="343"/>
              <w:spacing w:before="204" w:line="195" w:lineRule="auto"/>
              <w:rPr/>
            </w:pPr>
            <w:r>
              <w:rPr/>
              <w:t>1</w:t>
            </w:r>
          </w:p>
        </w:tc>
        <w:tc>
          <w:tcPr>
            <w:tcW w:w="681" w:type="dxa"/>
            <w:vAlign w:val="top"/>
          </w:tcPr>
          <w:p>
            <w:pPr>
              <w:pStyle w:val="TableText"/>
              <w:ind w:left="231"/>
              <w:spacing w:before="200" w:line="189" w:lineRule="auto"/>
              <w:rPr>
                <w:sz w:val="22"/>
                <w:szCs w:val="22"/>
              </w:rPr>
            </w:pPr>
            <w:r>
              <w:rPr>
                <w:sz w:val="22"/>
                <w:szCs w:val="22"/>
                <w:spacing w:val="-2"/>
              </w:rPr>
              <w:t>45</w:t>
            </w:r>
          </w:p>
        </w:tc>
        <w:tc>
          <w:tcPr>
            <w:tcW w:w="1099" w:type="dxa"/>
            <w:vAlign w:val="top"/>
          </w:tcPr>
          <w:p>
            <w:pPr>
              <w:pStyle w:val="TableText"/>
              <w:ind w:left="450" w:right="202" w:hanging="240"/>
              <w:spacing w:before="34" w:line="233"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329"/>
              <w:spacing w:before="203" w:line="197" w:lineRule="auto"/>
              <w:rPr/>
            </w:pPr>
            <w:r>
              <w:rPr/>
              <w:t>Q</w:t>
            </w:r>
          </w:p>
        </w:tc>
        <w:tc>
          <w:tcPr>
            <w:tcW w:w="2063" w:type="dxa"/>
            <w:vAlign w:val="top"/>
            <w:vMerge w:val="continue"/>
            <w:tcBorders>
              <w:top w:val="nil"/>
              <w:bottom w:val="nil"/>
            </w:tcBorders>
          </w:tcPr>
          <w:p>
            <w:pPr>
              <w:rPr>
                <w:rFonts w:ascii="Arial"/>
                <w:sz w:val="21"/>
              </w:rPr>
            </w:pPr>
            <w:r/>
          </w:p>
        </w:tc>
      </w:tr>
      <w:tr>
        <w:trPr>
          <w:trHeight w:val="549" w:hRule="atLeast"/>
        </w:trPr>
        <w:tc>
          <w:tcPr>
            <w:tcW w:w="957" w:type="dxa"/>
            <w:vAlign w:val="top"/>
            <w:vMerge w:val="continue"/>
            <w:tcBorders>
              <w:top w:val="nil"/>
              <w:bottom w:val="nil"/>
            </w:tcBorders>
          </w:tcPr>
          <w:p>
            <w:pPr>
              <w:rPr>
                <w:rFonts w:ascii="Arial"/>
                <w:sz w:val="21"/>
              </w:rPr>
            </w:pPr>
            <w:r/>
          </w:p>
        </w:tc>
        <w:tc>
          <w:tcPr>
            <w:tcW w:w="1055" w:type="dxa"/>
            <w:vAlign w:val="top"/>
          </w:tcPr>
          <w:p>
            <w:pPr>
              <w:pStyle w:val="TableText"/>
              <w:ind w:left="367"/>
              <w:spacing w:before="201" w:line="189" w:lineRule="auto"/>
              <w:rPr>
                <w:sz w:val="22"/>
                <w:szCs w:val="22"/>
              </w:rPr>
            </w:pPr>
            <w:r>
              <w:rPr>
                <w:sz w:val="22"/>
                <w:szCs w:val="22"/>
                <w:spacing w:val="-6"/>
              </w:rPr>
              <w:t>S21</w:t>
            </w:r>
          </w:p>
        </w:tc>
        <w:tc>
          <w:tcPr>
            <w:tcW w:w="1888" w:type="dxa"/>
            <w:vAlign w:val="top"/>
          </w:tcPr>
          <w:p>
            <w:pPr>
              <w:pStyle w:val="TableText"/>
              <w:ind w:left="239" w:right="105" w:hanging="128"/>
              <w:spacing w:before="34" w:line="233" w:lineRule="auto"/>
              <w:rPr/>
            </w:pPr>
            <w:r>
              <w:rPr>
                <w:rFonts w:ascii="SimSun" w:hAnsi="SimSun" w:eastAsia="SimSun" w:cs="SimSun"/>
                <w:spacing w:val="8"/>
              </w:rPr>
              <w:t>评价范围南部，距</w:t>
            </w:r>
            <w:r>
              <w:rPr>
                <w:rFonts w:ascii="SimSun" w:hAnsi="SimSun" w:eastAsia="SimSun" w:cs="SimSun"/>
                <w:spacing w:val="3"/>
              </w:rPr>
              <w:t>离露天区</w:t>
            </w:r>
            <w:r>
              <w:rPr>
                <w:rFonts w:ascii="SimSun" w:hAnsi="SimSun" w:eastAsia="SimSun" w:cs="SimSun"/>
                <w:spacing w:val="-17"/>
              </w:rPr>
              <w:t xml:space="preserve"> </w:t>
            </w:r>
            <w:r>
              <w:rPr>
                <w:spacing w:val="3"/>
              </w:rPr>
              <w:t>1.8</w:t>
            </w:r>
            <w:r>
              <w:rPr/>
              <w:t>km</w:t>
            </w:r>
          </w:p>
        </w:tc>
        <w:tc>
          <w:tcPr>
            <w:tcW w:w="746" w:type="dxa"/>
            <w:vAlign w:val="top"/>
          </w:tcPr>
          <w:p>
            <w:pPr>
              <w:pStyle w:val="TableText"/>
              <w:ind w:left="343"/>
              <w:spacing w:before="207" w:line="195" w:lineRule="auto"/>
              <w:rPr/>
            </w:pPr>
            <w:r>
              <w:rPr/>
              <w:t>1</w:t>
            </w:r>
          </w:p>
        </w:tc>
        <w:tc>
          <w:tcPr>
            <w:tcW w:w="681" w:type="dxa"/>
            <w:vAlign w:val="top"/>
          </w:tcPr>
          <w:p>
            <w:pPr>
              <w:pStyle w:val="TableText"/>
              <w:ind w:left="238"/>
              <w:spacing w:before="201" w:line="189" w:lineRule="auto"/>
              <w:rPr>
                <w:sz w:val="22"/>
                <w:szCs w:val="22"/>
              </w:rPr>
            </w:pPr>
            <w:r>
              <w:rPr>
                <w:sz w:val="22"/>
                <w:szCs w:val="22"/>
                <w:spacing w:val="-6"/>
              </w:rPr>
              <w:t>50</w:t>
            </w:r>
          </w:p>
        </w:tc>
        <w:tc>
          <w:tcPr>
            <w:tcW w:w="1099" w:type="dxa"/>
            <w:vAlign w:val="top"/>
          </w:tcPr>
          <w:p>
            <w:pPr>
              <w:pStyle w:val="TableText"/>
              <w:ind w:left="450" w:right="202" w:hanging="240"/>
              <w:spacing w:before="34" w:line="233" w:lineRule="auto"/>
              <w:rPr>
                <w:rFonts w:ascii="SimSun" w:hAnsi="SimSun" w:eastAsia="SimSun" w:cs="SimSun"/>
              </w:rPr>
            </w:pPr>
            <w:r>
              <w:rPr>
                <w:rFonts w:ascii="SimSun" w:hAnsi="SimSun" w:eastAsia="SimSun" w:cs="SimSun"/>
                <w:spacing w:val="6"/>
              </w:rPr>
              <w:t>饮用</w:t>
            </w:r>
            <w:r>
              <w:rPr>
                <w:spacing w:val="6"/>
              </w:rPr>
              <w:t>/</w:t>
            </w:r>
            <w:r>
              <w:rPr>
                <w:rFonts w:ascii="SimSun" w:hAnsi="SimSun" w:eastAsia="SimSun" w:cs="SimSun"/>
                <w:spacing w:val="6"/>
              </w:rPr>
              <w:t>畜</w:t>
            </w:r>
            <w:r>
              <w:rPr>
                <w:rFonts w:ascii="SimSun" w:hAnsi="SimSun" w:eastAsia="SimSun" w:cs="SimSun"/>
              </w:rPr>
              <w:t>牧</w:t>
            </w:r>
          </w:p>
        </w:tc>
        <w:tc>
          <w:tcPr>
            <w:tcW w:w="801" w:type="dxa"/>
            <w:vAlign w:val="top"/>
          </w:tcPr>
          <w:p>
            <w:pPr>
              <w:pStyle w:val="TableText"/>
              <w:ind w:left="147"/>
              <w:spacing w:before="204" w:line="188" w:lineRule="auto"/>
              <w:rPr/>
            </w:pPr>
            <w:r>
              <w:rPr>
                <w:spacing w:val="-3"/>
              </w:rPr>
              <w:t>Q</w:t>
            </w:r>
            <w:r>
              <w:rPr>
                <w:spacing w:val="-24"/>
              </w:rPr>
              <w:t xml:space="preserve"> </w:t>
            </w:r>
            <w:r>
              <w:rPr>
                <w:rFonts w:ascii="SimSun" w:hAnsi="SimSun" w:eastAsia="SimSun" w:cs="SimSun"/>
                <w:spacing w:val="-3"/>
              </w:rPr>
              <w:t>，</w:t>
            </w:r>
            <w:r>
              <w:rPr>
                <w:spacing w:val="-3"/>
              </w:rPr>
              <w:t>K</w:t>
            </w:r>
          </w:p>
        </w:tc>
        <w:tc>
          <w:tcPr>
            <w:tcW w:w="2063" w:type="dxa"/>
            <w:vAlign w:val="top"/>
            <w:vMerge w:val="continue"/>
            <w:tcBorders>
              <w:top w:val="nil"/>
            </w:tcBorders>
          </w:tcPr>
          <w:p>
            <w:pPr>
              <w:rPr>
                <w:rFonts w:ascii="Arial"/>
                <w:sz w:val="21"/>
              </w:rPr>
            </w:pPr>
            <w:r/>
          </w:p>
        </w:tc>
      </w:tr>
      <w:tr>
        <w:trPr>
          <w:trHeight w:val="276" w:hRule="atLeast"/>
        </w:trPr>
        <w:tc>
          <w:tcPr>
            <w:tcW w:w="957" w:type="dxa"/>
            <w:vAlign w:val="top"/>
            <w:vMerge w:val="continue"/>
            <w:tcBorders>
              <w:top w:val="nil"/>
              <w:bottom w:val="nil"/>
            </w:tcBorders>
          </w:tcPr>
          <w:p>
            <w:pPr>
              <w:rPr>
                <w:rFonts w:ascii="Arial"/>
                <w:sz w:val="21"/>
              </w:rPr>
            </w:pPr>
            <w:r/>
          </w:p>
        </w:tc>
        <w:tc>
          <w:tcPr>
            <w:tcW w:w="6270" w:type="dxa"/>
            <w:vAlign w:val="top"/>
            <w:gridSpan w:val="6"/>
          </w:tcPr>
          <w:p>
            <w:pPr>
              <w:ind w:left="1883"/>
              <w:spacing w:before="34" w:line="214" w:lineRule="auto"/>
              <w:rPr>
                <w:rFonts w:ascii="SimSun" w:hAnsi="SimSun" w:eastAsia="SimSun" w:cs="SimSun"/>
                <w:sz w:val="20"/>
                <w:szCs w:val="20"/>
              </w:rPr>
            </w:pPr>
            <w:r>
              <w:rPr>
                <w:rFonts w:ascii="SimSun" w:hAnsi="SimSun" w:eastAsia="SimSun" w:cs="SimSun"/>
                <w:sz w:val="20"/>
                <w:szCs w:val="20"/>
                <w:spacing w:val="8"/>
              </w:rPr>
              <w:t>二、具有供水意义的含水层</w:t>
            </w:r>
          </w:p>
        </w:tc>
        <w:tc>
          <w:tcPr>
            <w:tcW w:w="2063" w:type="dxa"/>
            <w:vAlign w:val="top"/>
          </w:tcPr>
          <w:p>
            <w:pPr>
              <w:rPr>
                <w:rFonts w:ascii="Arial"/>
                <w:sz w:val="21"/>
              </w:rPr>
            </w:pPr>
            <w:r/>
          </w:p>
        </w:tc>
      </w:tr>
      <w:tr>
        <w:trPr>
          <w:trHeight w:val="823" w:hRule="atLeast"/>
        </w:trPr>
        <w:tc>
          <w:tcPr>
            <w:tcW w:w="957" w:type="dxa"/>
            <w:vAlign w:val="top"/>
            <w:vMerge w:val="continue"/>
            <w:tcBorders>
              <w:top w:val="nil"/>
              <w:bottom w:val="nil"/>
            </w:tcBorders>
          </w:tcPr>
          <w:p>
            <w:pPr>
              <w:rPr>
                <w:rFonts w:ascii="Arial"/>
                <w:sz w:val="21"/>
              </w:rPr>
            </w:pPr>
            <w:r/>
          </w:p>
        </w:tc>
        <w:tc>
          <w:tcPr>
            <w:tcW w:w="1055" w:type="dxa"/>
            <w:vAlign w:val="top"/>
          </w:tcPr>
          <w:p>
            <w:pPr>
              <w:ind w:left="112"/>
              <w:spacing w:before="37" w:line="228" w:lineRule="auto"/>
              <w:rPr>
                <w:rFonts w:ascii="SimSun" w:hAnsi="SimSun" w:eastAsia="SimSun" w:cs="SimSun"/>
                <w:sz w:val="20"/>
                <w:szCs w:val="20"/>
              </w:rPr>
            </w:pPr>
            <w:r>
              <w:rPr>
                <w:rFonts w:ascii="SimSun" w:hAnsi="SimSun" w:eastAsia="SimSun" w:cs="SimSun"/>
                <w:sz w:val="20"/>
                <w:szCs w:val="20"/>
                <w:spacing w:val="7"/>
              </w:rPr>
              <w:t>保护目标</w:t>
            </w:r>
          </w:p>
          <w:p>
            <w:pPr>
              <w:ind w:left="359" w:right="108" w:hanging="247"/>
              <w:spacing w:before="23" w:line="233" w:lineRule="auto"/>
              <w:rPr>
                <w:rFonts w:ascii="SimSun" w:hAnsi="SimSun" w:eastAsia="SimSun" w:cs="SimSun"/>
                <w:sz w:val="20"/>
                <w:szCs w:val="20"/>
              </w:rPr>
            </w:pPr>
            <w:r>
              <w:rPr>
                <w:rFonts w:ascii="SimSun" w:hAnsi="SimSun" w:eastAsia="SimSun" w:cs="SimSun"/>
                <w:sz w:val="20"/>
                <w:szCs w:val="20"/>
                <w:spacing w:val="7"/>
              </w:rPr>
              <w:t>保护类别</w:t>
            </w:r>
            <w:r>
              <w:rPr>
                <w:rFonts w:ascii="SimSun" w:hAnsi="SimSun" w:eastAsia="SimSun" w:cs="SimSun"/>
                <w:sz w:val="20"/>
                <w:szCs w:val="20"/>
                <w:spacing w:val="-16"/>
              </w:rPr>
              <w:t>目标</w:t>
            </w:r>
          </w:p>
        </w:tc>
        <w:tc>
          <w:tcPr>
            <w:tcW w:w="1888" w:type="dxa"/>
            <w:vAlign w:val="top"/>
          </w:tcPr>
          <w:p>
            <w:pPr>
              <w:spacing w:line="241" w:lineRule="auto"/>
              <w:rPr>
                <w:rFonts w:ascii="Arial"/>
                <w:sz w:val="21"/>
              </w:rPr>
            </w:pPr>
            <w:r/>
          </w:p>
          <w:p>
            <w:pPr>
              <w:ind w:left="213"/>
              <w:spacing w:before="65" w:line="228" w:lineRule="auto"/>
              <w:rPr>
                <w:rFonts w:ascii="SimSun" w:hAnsi="SimSun" w:eastAsia="SimSun" w:cs="SimSun"/>
                <w:sz w:val="20"/>
                <w:szCs w:val="20"/>
              </w:rPr>
            </w:pPr>
            <w:r>
              <w:rPr>
                <w:rFonts w:ascii="SimSun" w:hAnsi="SimSun" w:eastAsia="SimSun" w:cs="SimSun"/>
                <w:sz w:val="20"/>
                <w:szCs w:val="20"/>
                <w:spacing w:val="8"/>
              </w:rPr>
              <w:t>含水层埋藏条件</w:t>
            </w:r>
          </w:p>
        </w:tc>
        <w:tc>
          <w:tcPr>
            <w:tcW w:w="1427" w:type="dxa"/>
            <w:vAlign w:val="top"/>
            <w:gridSpan w:val="2"/>
          </w:tcPr>
          <w:p>
            <w:pPr>
              <w:spacing w:line="241" w:lineRule="auto"/>
              <w:rPr>
                <w:rFonts w:ascii="Arial"/>
                <w:sz w:val="21"/>
              </w:rPr>
            </w:pPr>
            <w:r/>
          </w:p>
          <w:p>
            <w:pPr>
              <w:ind w:left="514"/>
              <w:spacing w:before="65" w:line="228" w:lineRule="auto"/>
              <w:rPr>
                <w:rFonts w:ascii="SimSun" w:hAnsi="SimSun" w:eastAsia="SimSun" w:cs="SimSun"/>
                <w:sz w:val="20"/>
                <w:szCs w:val="20"/>
              </w:rPr>
            </w:pPr>
            <w:r>
              <w:rPr>
                <w:rFonts w:ascii="SimSun" w:hAnsi="SimSun" w:eastAsia="SimSun" w:cs="SimSun"/>
                <w:sz w:val="20"/>
                <w:szCs w:val="20"/>
                <w:spacing w:val="2"/>
              </w:rPr>
              <w:t>厚度</w:t>
            </w:r>
          </w:p>
        </w:tc>
        <w:tc>
          <w:tcPr>
            <w:tcW w:w="1099" w:type="dxa"/>
            <w:vAlign w:val="top"/>
          </w:tcPr>
          <w:p>
            <w:pPr>
              <w:ind w:left="452" w:right="128" w:hanging="316"/>
              <w:spacing w:before="170" w:line="255" w:lineRule="auto"/>
              <w:rPr>
                <w:rFonts w:ascii="SimSun" w:hAnsi="SimSun" w:eastAsia="SimSun" w:cs="SimSun"/>
                <w:sz w:val="20"/>
                <w:szCs w:val="20"/>
              </w:rPr>
            </w:pPr>
            <w:r>
              <w:rPr>
                <w:rFonts w:ascii="SimSun" w:hAnsi="SimSun" w:eastAsia="SimSun" w:cs="SimSun"/>
                <w:sz w:val="20"/>
                <w:szCs w:val="20"/>
                <w:spacing w:val="7"/>
              </w:rPr>
              <w:t>含水层岩</w:t>
            </w:r>
            <w:r>
              <w:rPr>
                <w:rFonts w:ascii="SimSun" w:hAnsi="SimSun" w:eastAsia="SimSun" w:cs="SimSun"/>
                <w:sz w:val="20"/>
                <w:szCs w:val="20"/>
              </w:rPr>
              <w:t>性</w:t>
            </w:r>
          </w:p>
        </w:tc>
        <w:tc>
          <w:tcPr>
            <w:tcW w:w="801" w:type="dxa"/>
            <w:vAlign w:val="top"/>
          </w:tcPr>
          <w:p>
            <w:pPr>
              <w:ind w:left="195" w:right="189" w:firstLine="11"/>
              <w:spacing w:before="171" w:line="254" w:lineRule="auto"/>
              <w:rPr>
                <w:rFonts w:ascii="SimSun" w:hAnsi="SimSun" w:eastAsia="SimSun" w:cs="SimSun"/>
                <w:sz w:val="20"/>
                <w:szCs w:val="20"/>
              </w:rPr>
            </w:pPr>
            <w:r>
              <w:rPr>
                <w:rFonts w:ascii="SimSun" w:hAnsi="SimSun" w:eastAsia="SimSun" w:cs="SimSun"/>
                <w:sz w:val="20"/>
                <w:szCs w:val="20"/>
                <w:spacing w:val="-1"/>
              </w:rPr>
              <w:t>富水</w:t>
            </w:r>
            <w:r>
              <w:rPr>
                <w:rFonts w:ascii="SimSun" w:hAnsi="SimSun" w:eastAsia="SimSun" w:cs="SimSun"/>
                <w:sz w:val="20"/>
                <w:szCs w:val="20"/>
                <w:spacing w:val="5"/>
              </w:rPr>
              <w:t>程度</w:t>
            </w:r>
          </w:p>
        </w:tc>
        <w:tc>
          <w:tcPr>
            <w:tcW w:w="2063" w:type="dxa"/>
            <w:vAlign w:val="top"/>
          </w:tcPr>
          <w:p>
            <w:pPr>
              <w:spacing w:line="241" w:lineRule="auto"/>
              <w:rPr>
                <w:rFonts w:ascii="Arial"/>
                <w:sz w:val="21"/>
              </w:rPr>
            </w:pPr>
            <w:r/>
          </w:p>
          <w:p>
            <w:pPr>
              <w:ind w:left="615"/>
              <w:spacing w:before="65" w:line="228" w:lineRule="auto"/>
              <w:rPr>
                <w:rFonts w:ascii="SimSun" w:hAnsi="SimSun" w:eastAsia="SimSun" w:cs="SimSun"/>
                <w:sz w:val="20"/>
                <w:szCs w:val="20"/>
              </w:rPr>
            </w:pPr>
            <w:r>
              <w:rPr>
                <w:rFonts w:ascii="SimSun" w:hAnsi="SimSun" w:eastAsia="SimSun" w:cs="SimSun"/>
                <w:sz w:val="20"/>
                <w:szCs w:val="20"/>
                <w:spacing w:val="7"/>
              </w:rPr>
              <w:t>保护要求</w:t>
            </w:r>
          </w:p>
        </w:tc>
      </w:tr>
      <w:tr>
        <w:trPr>
          <w:trHeight w:val="1372" w:hRule="atLeast"/>
        </w:trPr>
        <w:tc>
          <w:tcPr>
            <w:tcW w:w="957" w:type="dxa"/>
            <w:vAlign w:val="top"/>
            <w:vMerge w:val="continue"/>
            <w:tcBorders>
              <w:top w:val="nil"/>
            </w:tcBorders>
          </w:tcPr>
          <w:p>
            <w:pPr>
              <w:rPr>
                <w:rFonts w:ascii="Arial"/>
                <w:sz w:val="21"/>
              </w:rPr>
            </w:pPr>
            <w:r/>
          </w:p>
        </w:tc>
        <w:tc>
          <w:tcPr>
            <w:tcW w:w="1055" w:type="dxa"/>
            <w:vAlign w:val="top"/>
          </w:tcPr>
          <w:p>
            <w:pPr>
              <w:spacing w:line="375" w:lineRule="auto"/>
              <w:rPr>
                <w:rFonts w:ascii="Arial"/>
                <w:sz w:val="21"/>
              </w:rPr>
            </w:pPr>
            <w:r/>
          </w:p>
          <w:p>
            <w:pPr>
              <w:ind w:left="427" w:right="108" w:hanging="316"/>
              <w:spacing w:before="65" w:line="254" w:lineRule="auto"/>
              <w:rPr>
                <w:rFonts w:ascii="SimSun" w:hAnsi="SimSun" w:eastAsia="SimSun" w:cs="SimSun"/>
                <w:sz w:val="20"/>
                <w:szCs w:val="20"/>
              </w:rPr>
            </w:pPr>
            <w:r>
              <w:rPr>
                <w:rFonts w:ascii="SimSun" w:hAnsi="SimSun" w:eastAsia="SimSun" w:cs="SimSun"/>
                <w:sz w:val="20"/>
                <w:szCs w:val="20"/>
                <w:spacing w:val="7"/>
              </w:rPr>
              <w:t>第四系潜</w:t>
            </w:r>
            <w:r>
              <w:rPr>
                <w:rFonts w:ascii="SimSun" w:hAnsi="SimSun" w:eastAsia="SimSun" w:cs="SimSun"/>
                <w:sz w:val="20"/>
                <w:szCs w:val="20"/>
              </w:rPr>
              <w:t>水</w:t>
            </w:r>
          </w:p>
        </w:tc>
        <w:tc>
          <w:tcPr>
            <w:tcW w:w="1888" w:type="dxa"/>
            <w:vAlign w:val="top"/>
          </w:tcPr>
          <w:p>
            <w:pPr>
              <w:ind w:left="115"/>
              <w:spacing w:before="168" w:line="227" w:lineRule="auto"/>
              <w:rPr>
                <w:rFonts w:ascii="SimSun" w:hAnsi="SimSun" w:eastAsia="SimSun" w:cs="SimSun"/>
                <w:sz w:val="20"/>
                <w:szCs w:val="20"/>
              </w:rPr>
            </w:pPr>
            <w:r>
              <w:rPr>
                <w:rFonts w:ascii="SimSun" w:hAnsi="SimSun" w:eastAsia="SimSun" w:cs="SimSun"/>
                <w:sz w:val="20"/>
                <w:szCs w:val="20"/>
                <w:spacing w:val="7"/>
              </w:rPr>
              <w:t>分布于高力罕河、</w:t>
            </w:r>
          </w:p>
          <w:p>
            <w:pPr>
              <w:ind w:left="213"/>
              <w:spacing w:before="27" w:line="227" w:lineRule="auto"/>
              <w:rPr>
                <w:rFonts w:ascii="SimSun" w:hAnsi="SimSun" w:eastAsia="SimSun" w:cs="SimSun"/>
                <w:sz w:val="20"/>
                <w:szCs w:val="20"/>
              </w:rPr>
            </w:pPr>
            <w:r>
              <w:rPr>
                <w:rFonts w:ascii="SimSun" w:hAnsi="SimSun" w:eastAsia="SimSun" w:cs="SimSun"/>
                <w:sz w:val="20"/>
                <w:szCs w:val="20"/>
                <w:spacing w:val="8"/>
              </w:rPr>
              <w:t>彦吉嘎河两河谷</w:t>
            </w:r>
          </w:p>
          <w:p>
            <w:pPr>
              <w:ind w:left="212"/>
              <w:spacing w:before="25" w:line="228" w:lineRule="auto"/>
              <w:rPr>
                <w:rFonts w:ascii="SimSun" w:hAnsi="SimSun" w:eastAsia="SimSun" w:cs="SimSun"/>
                <w:sz w:val="20"/>
                <w:szCs w:val="20"/>
              </w:rPr>
            </w:pPr>
            <w:r>
              <w:rPr>
                <w:rFonts w:ascii="SimSun" w:hAnsi="SimSun" w:eastAsia="SimSun" w:cs="SimSun"/>
                <w:sz w:val="20"/>
                <w:szCs w:val="20"/>
                <w:spacing w:val="8"/>
              </w:rPr>
              <w:t>平原之间的广大</w:t>
            </w:r>
          </w:p>
          <w:p>
            <w:pPr>
              <w:ind w:left="319"/>
              <w:spacing w:before="26" w:line="228" w:lineRule="auto"/>
              <w:rPr>
                <w:rFonts w:ascii="SimSun" w:hAnsi="SimSun" w:eastAsia="SimSun" w:cs="SimSun"/>
                <w:sz w:val="20"/>
                <w:szCs w:val="20"/>
              </w:rPr>
            </w:pPr>
            <w:r>
              <w:rPr>
                <w:rFonts w:ascii="SimSun" w:hAnsi="SimSun" w:eastAsia="SimSun" w:cs="SimSun"/>
                <w:sz w:val="20"/>
                <w:szCs w:val="20"/>
                <w:spacing w:val="8"/>
              </w:rPr>
              <w:t>冲洪积平原区</w:t>
            </w:r>
          </w:p>
        </w:tc>
        <w:tc>
          <w:tcPr>
            <w:tcW w:w="1427" w:type="dxa"/>
            <w:vAlign w:val="top"/>
            <w:gridSpan w:val="2"/>
          </w:tcPr>
          <w:p>
            <w:pPr>
              <w:spacing w:line="389" w:lineRule="auto"/>
              <w:rPr>
                <w:rFonts w:ascii="Arial"/>
                <w:sz w:val="21"/>
              </w:rPr>
            </w:pPr>
            <w:r/>
          </w:p>
          <w:p>
            <w:pPr>
              <w:ind w:left="300"/>
              <w:spacing w:before="65" w:line="228" w:lineRule="auto"/>
              <w:rPr>
                <w:rFonts w:ascii="SimSun" w:hAnsi="SimSun" w:eastAsia="SimSun" w:cs="SimSun"/>
                <w:sz w:val="20"/>
                <w:szCs w:val="20"/>
              </w:rPr>
            </w:pPr>
            <w:r>
              <w:rPr>
                <w:rFonts w:ascii="SimSun" w:hAnsi="SimSun" w:eastAsia="SimSun" w:cs="SimSun"/>
                <w:sz w:val="20"/>
                <w:szCs w:val="20"/>
                <w:spacing w:val="7"/>
              </w:rPr>
              <w:t>最大厚度</w:t>
            </w:r>
          </w:p>
          <w:p>
            <w:pPr>
              <w:pStyle w:val="TableText"/>
              <w:ind w:left="401"/>
              <w:spacing w:before="48" w:line="195" w:lineRule="auto"/>
              <w:rPr/>
            </w:pPr>
            <w:r>
              <w:rPr>
                <w:spacing w:val="3"/>
              </w:rPr>
              <w:t>39.80m</w:t>
            </w:r>
          </w:p>
        </w:tc>
        <w:tc>
          <w:tcPr>
            <w:tcW w:w="1099" w:type="dxa"/>
            <w:vAlign w:val="top"/>
          </w:tcPr>
          <w:p>
            <w:pPr>
              <w:ind w:left="137"/>
              <w:spacing w:before="34" w:line="228" w:lineRule="auto"/>
              <w:rPr>
                <w:rFonts w:ascii="SimSun" w:hAnsi="SimSun" w:eastAsia="SimSun" w:cs="SimSun"/>
                <w:sz w:val="20"/>
                <w:szCs w:val="20"/>
              </w:rPr>
            </w:pPr>
            <w:r>
              <w:rPr>
                <w:rFonts w:ascii="SimSun" w:hAnsi="SimSun" w:eastAsia="SimSun" w:cs="SimSun"/>
                <w:sz w:val="20"/>
                <w:szCs w:val="20"/>
                <w:spacing w:val="6"/>
              </w:rPr>
              <w:t>上更新统</w:t>
            </w:r>
          </w:p>
          <w:p>
            <w:pPr>
              <w:ind w:left="136"/>
              <w:spacing w:before="26" w:line="228" w:lineRule="auto"/>
              <w:rPr>
                <w:rFonts w:ascii="SimSun" w:hAnsi="SimSun" w:eastAsia="SimSun" w:cs="SimSun"/>
                <w:sz w:val="20"/>
                <w:szCs w:val="20"/>
              </w:rPr>
            </w:pPr>
            <w:r>
              <w:rPr>
                <w:rFonts w:ascii="SimSun" w:hAnsi="SimSun" w:eastAsia="SimSun" w:cs="SimSun"/>
                <w:sz w:val="20"/>
                <w:szCs w:val="20"/>
                <w:spacing w:val="7"/>
              </w:rPr>
              <w:t>冲洪积中</w:t>
            </w:r>
          </w:p>
          <w:p>
            <w:pPr>
              <w:ind w:left="240"/>
              <w:spacing w:before="23" w:line="228" w:lineRule="auto"/>
              <w:rPr>
                <w:rFonts w:ascii="SimSun" w:hAnsi="SimSun" w:eastAsia="SimSun" w:cs="SimSun"/>
                <w:sz w:val="20"/>
                <w:szCs w:val="20"/>
              </w:rPr>
            </w:pPr>
            <w:r>
              <w:rPr>
                <w:rFonts w:ascii="SimSun" w:hAnsi="SimSun" w:eastAsia="SimSun" w:cs="SimSun"/>
                <w:sz w:val="20"/>
                <w:szCs w:val="20"/>
                <w:spacing w:val="6"/>
              </w:rPr>
              <w:t>细砂含</w:t>
            </w:r>
          </w:p>
          <w:p>
            <w:pPr>
              <w:ind w:left="135"/>
              <w:spacing w:before="27" w:line="228" w:lineRule="auto"/>
              <w:rPr>
                <w:rFonts w:ascii="SimSun" w:hAnsi="SimSun" w:eastAsia="SimSun" w:cs="SimSun"/>
                <w:sz w:val="20"/>
                <w:szCs w:val="20"/>
              </w:rPr>
            </w:pPr>
            <w:r>
              <w:rPr>
                <w:rFonts w:ascii="SimSun" w:hAnsi="SimSun" w:eastAsia="SimSun" w:cs="SimSun"/>
                <w:sz w:val="20"/>
                <w:szCs w:val="20"/>
                <w:spacing w:val="7"/>
              </w:rPr>
              <w:t>砾、中粗</w:t>
            </w:r>
          </w:p>
          <w:p>
            <w:pPr>
              <w:ind w:left="238"/>
              <w:spacing w:before="23" w:line="220" w:lineRule="auto"/>
              <w:rPr>
                <w:rFonts w:ascii="SimSun" w:hAnsi="SimSun" w:eastAsia="SimSun" w:cs="SimSun"/>
                <w:sz w:val="20"/>
                <w:szCs w:val="20"/>
              </w:rPr>
            </w:pPr>
            <w:r>
              <w:rPr>
                <w:rFonts w:ascii="SimSun" w:hAnsi="SimSun" w:eastAsia="SimSun" w:cs="SimSun"/>
                <w:sz w:val="20"/>
                <w:szCs w:val="20"/>
                <w:spacing w:val="7"/>
              </w:rPr>
              <w:t>砂组成</w:t>
            </w:r>
          </w:p>
        </w:tc>
        <w:tc>
          <w:tcPr>
            <w:tcW w:w="801" w:type="dxa"/>
            <w:vAlign w:val="top"/>
          </w:tcPr>
          <w:p>
            <w:pPr>
              <w:spacing w:line="375" w:lineRule="auto"/>
              <w:rPr>
                <w:rFonts w:ascii="Arial"/>
                <w:sz w:val="21"/>
              </w:rPr>
            </w:pPr>
            <w:r/>
          </w:p>
          <w:p>
            <w:pPr>
              <w:ind w:left="215" w:right="189" w:hanging="16"/>
              <w:spacing w:before="65" w:line="254" w:lineRule="auto"/>
              <w:rPr>
                <w:rFonts w:ascii="SimSun" w:hAnsi="SimSun" w:eastAsia="SimSun" w:cs="SimSun"/>
                <w:sz w:val="20"/>
                <w:szCs w:val="20"/>
              </w:rPr>
            </w:pPr>
            <w:r>
              <w:rPr>
                <w:rFonts w:ascii="SimSun" w:hAnsi="SimSun" w:eastAsia="SimSun" w:cs="SimSun"/>
                <w:sz w:val="20"/>
                <w:szCs w:val="20"/>
                <w:spacing w:val="17"/>
                <w:w w:val="118"/>
              </w:rPr>
              <w:t>弱~</w:t>
            </w:r>
            <w:r>
              <w:rPr>
                <w:rFonts w:ascii="SimSun" w:hAnsi="SimSun" w:eastAsia="SimSun" w:cs="SimSun"/>
                <w:sz w:val="20"/>
                <w:szCs w:val="20"/>
                <w:spacing w:val="-5"/>
              </w:rPr>
              <w:t>中等</w:t>
            </w:r>
          </w:p>
        </w:tc>
        <w:tc>
          <w:tcPr>
            <w:tcW w:w="2063" w:type="dxa"/>
            <w:vAlign w:val="top"/>
          </w:tcPr>
          <w:p>
            <w:pPr>
              <w:spacing w:line="375" w:lineRule="auto"/>
              <w:rPr>
                <w:rFonts w:ascii="Arial"/>
                <w:sz w:val="21"/>
              </w:rPr>
            </w:pPr>
            <w:r/>
          </w:p>
          <w:p>
            <w:pPr>
              <w:ind w:left="739" w:right="193" w:hanging="545"/>
              <w:spacing w:before="65" w:line="255" w:lineRule="auto"/>
              <w:rPr>
                <w:rFonts w:ascii="SimSun" w:hAnsi="SimSun" w:eastAsia="SimSun" w:cs="SimSun"/>
                <w:sz w:val="20"/>
                <w:szCs w:val="20"/>
              </w:rPr>
            </w:pPr>
            <w:r>
              <w:rPr>
                <w:rFonts w:ascii="SimSun" w:hAnsi="SimSun" w:eastAsia="SimSun" w:cs="SimSun"/>
                <w:sz w:val="20"/>
                <w:szCs w:val="20"/>
                <w:spacing w:val="8"/>
              </w:rPr>
              <w:t>减小对地下水资源</w:t>
            </w:r>
            <w:r>
              <w:rPr>
                <w:rFonts w:ascii="SimSun" w:hAnsi="SimSun" w:eastAsia="SimSun" w:cs="SimSun"/>
                <w:sz w:val="20"/>
                <w:szCs w:val="20"/>
                <w:spacing w:val="1"/>
              </w:rPr>
              <w:t>的影响</w:t>
            </w:r>
          </w:p>
        </w:tc>
      </w:tr>
    </w:tbl>
    <w:p>
      <w:pPr>
        <w:pStyle w:val="BodyText"/>
        <w:spacing w:line="315" w:lineRule="auto"/>
        <w:rPr/>
      </w:pPr>
      <w:r/>
    </w:p>
    <w:p>
      <w:pPr>
        <w:pStyle w:val="BodyText"/>
        <w:spacing w:line="315" w:lineRule="auto"/>
        <w:rPr/>
      </w:pPr>
      <w:r/>
    </w:p>
    <w:p>
      <w:pPr>
        <w:ind w:left="3333"/>
        <w:spacing w:before="78" w:line="222" w:lineRule="auto"/>
        <w:rPr>
          <w:rFonts w:ascii="SimHei" w:hAnsi="SimHei" w:eastAsia="SimHei" w:cs="SimHei"/>
          <w:sz w:val="24"/>
          <w:szCs w:val="24"/>
        </w:rPr>
      </w:pPr>
      <w:r>
        <w:rPr>
          <w:rFonts w:ascii="SimHei" w:hAnsi="SimHei" w:eastAsia="SimHei" w:cs="SimHei"/>
          <w:sz w:val="24"/>
          <w:szCs w:val="24"/>
          <w:spacing w:val="-1"/>
        </w:rPr>
        <w:t>生态环境保护目标一览表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2-8-3</w:t>
      </w:r>
    </w:p>
    <w:tbl>
      <w:tblPr>
        <w:tblStyle w:val="TableNormal"/>
        <w:tblW w:w="9124" w:type="dxa"/>
        <w:tblInd w:w="8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5"/>
        <w:gridCol w:w="1156"/>
        <w:gridCol w:w="1571"/>
        <w:gridCol w:w="3085"/>
        <w:gridCol w:w="2377"/>
      </w:tblGrid>
      <w:tr>
        <w:trPr>
          <w:trHeight w:val="441" w:hRule="atLeast"/>
        </w:trPr>
        <w:tc>
          <w:tcPr>
            <w:tcW w:w="935" w:type="dxa"/>
            <w:vAlign w:val="top"/>
          </w:tcPr>
          <w:p>
            <w:pPr>
              <w:ind w:left="53"/>
              <w:spacing w:before="112" w:line="228" w:lineRule="auto"/>
              <w:rPr>
                <w:rFonts w:ascii="SimSun" w:hAnsi="SimSun" w:eastAsia="SimSun" w:cs="SimSun"/>
                <w:sz w:val="20"/>
                <w:szCs w:val="20"/>
              </w:rPr>
            </w:pPr>
            <w:r>
              <w:rPr>
                <w:rFonts w:ascii="SimSun" w:hAnsi="SimSun" w:eastAsia="SimSun" w:cs="SimSun"/>
                <w:sz w:val="20"/>
                <w:szCs w:val="20"/>
                <w:spacing w:val="7"/>
              </w:rPr>
              <w:t>环境要素</w:t>
            </w:r>
          </w:p>
        </w:tc>
        <w:tc>
          <w:tcPr>
            <w:tcW w:w="1156" w:type="dxa"/>
            <w:vAlign w:val="top"/>
          </w:tcPr>
          <w:p>
            <w:pPr>
              <w:ind w:left="162"/>
              <w:spacing w:before="112" w:line="228" w:lineRule="auto"/>
              <w:rPr>
                <w:rFonts w:ascii="SimSun" w:hAnsi="SimSun" w:eastAsia="SimSun" w:cs="SimSun"/>
                <w:sz w:val="20"/>
                <w:szCs w:val="20"/>
              </w:rPr>
            </w:pPr>
            <w:r>
              <w:rPr>
                <w:rFonts w:ascii="SimSun" w:hAnsi="SimSun" w:eastAsia="SimSun" w:cs="SimSun"/>
                <w:sz w:val="20"/>
                <w:szCs w:val="20"/>
                <w:spacing w:val="7"/>
              </w:rPr>
              <w:t>影响因素</w:t>
            </w:r>
          </w:p>
        </w:tc>
        <w:tc>
          <w:tcPr>
            <w:tcW w:w="1571" w:type="dxa"/>
            <w:vAlign w:val="top"/>
          </w:tcPr>
          <w:p>
            <w:pPr>
              <w:ind w:left="370"/>
              <w:spacing w:before="113" w:line="228" w:lineRule="auto"/>
              <w:rPr>
                <w:rFonts w:ascii="SimSun" w:hAnsi="SimSun" w:eastAsia="SimSun" w:cs="SimSun"/>
                <w:sz w:val="20"/>
                <w:szCs w:val="20"/>
              </w:rPr>
            </w:pPr>
            <w:r>
              <w:rPr>
                <w:rFonts w:ascii="SimSun" w:hAnsi="SimSun" w:eastAsia="SimSun" w:cs="SimSun"/>
                <w:sz w:val="20"/>
                <w:szCs w:val="20"/>
                <w:spacing w:val="7"/>
              </w:rPr>
              <w:t>保护目标</w:t>
            </w:r>
          </w:p>
        </w:tc>
        <w:tc>
          <w:tcPr>
            <w:tcW w:w="3085" w:type="dxa"/>
            <w:vAlign w:val="top"/>
          </w:tcPr>
          <w:p>
            <w:pPr>
              <w:ind w:left="709"/>
              <w:spacing w:before="112" w:line="227" w:lineRule="auto"/>
              <w:rPr>
                <w:rFonts w:ascii="SimSun" w:hAnsi="SimSun" w:eastAsia="SimSun" w:cs="SimSun"/>
                <w:sz w:val="20"/>
                <w:szCs w:val="20"/>
              </w:rPr>
            </w:pPr>
            <w:r>
              <w:rPr>
                <w:rFonts w:ascii="SimSun" w:hAnsi="SimSun" w:eastAsia="SimSun" w:cs="SimSun"/>
                <w:sz w:val="20"/>
                <w:szCs w:val="20"/>
                <w:spacing w:val="8"/>
              </w:rPr>
              <w:t>保护目标基本情况</w:t>
            </w:r>
          </w:p>
        </w:tc>
        <w:tc>
          <w:tcPr>
            <w:tcW w:w="2377" w:type="dxa"/>
            <w:vAlign w:val="top"/>
          </w:tcPr>
          <w:p>
            <w:pPr>
              <w:ind w:left="773"/>
              <w:spacing w:before="113" w:line="228" w:lineRule="auto"/>
              <w:rPr>
                <w:rFonts w:ascii="SimSun" w:hAnsi="SimSun" w:eastAsia="SimSun" w:cs="SimSun"/>
                <w:sz w:val="20"/>
                <w:szCs w:val="20"/>
              </w:rPr>
            </w:pPr>
            <w:r>
              <w:rPr>
                <w:rFonts w:ascii="SimSun" w:hAnsi="SimSun" w:eastAsia="SimSun" w:cs="SimSun"/>
                <w:sz w:val="20"/>
                <w:szCs w:val="20"/>
                <w:spacing w:val="7"/>
              </w:rPr>
              <w:t>保护要求</w:t>
            </w:r>
          </w:p>
        </w:tc>
      </w:tr>
      <w:tr>
        <w:trPr>
          <w:trHeight w:val="1363" w:hRule="atLeast"/>
        </w:trPr>
        <w:tc>
          <w:tcPr>
            <w:tcW w:w="935" w:type="dxa"/>
            <w:vAlign w:val="top"/>
            <w:vMerge w:val="restart"/>
            <w:tcBorders>
              <w:bottom w:val="nil"/>
            </w:tcBorders>
          </w:tcPr>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spacing w:line="299" w:lineRule="auto"/>
              <w:rPr>
                <w:rFonts w:ascii="Arial"/>
                <w:sz w:val="21"/>
              </w:rPr>
            </w:pPr>
            <w:r/>
          </w:p>
          <w:p>
            <w:pPr>
              <w:ind w:left="55"/>
              <w:spacing w:before="65" w:line="228" w:lineRule="auto"/>
              <w:rPr>
                <w:rFonts w:ascii="SimSun" w:hAnsi="SimSun" w:eastAsia="SimSun" w:cs="SimSun"/>
                <w:sz w:val="20"/>
                <w:szCs w:val="20"/>
              </w:rPr>
            </w:pPr>
            <w:r>
              <w:rPr>
                <w:rFonts w:ascii="SimSun" w:hAnsi="SimSun" w:eastAsia="SimSun" w:cs="SimSun"/>
                <w:sz w:val="20"/>
                <w:szCs w:val="20"/>
                <w:spacing w:val="6"/>
              </w:rPr>
              <w:t>生态环境</w:t>
            </w:r>
          </w:p>
        </w:tc>
        <w:tc>
          <w:tcPr>
            <w:tcW w:w="1156" w:type="dxa"/>
            <w:vAlign w:val="top"/>
            <w:vMerge w:val="restart"/>
            <w:tcBorders>
              <w:bottom w:val="nil"/>
            </w:tcBorders>
          </w:tcPr>
          <w:p>
            <w:pPr>
              <w:spacing w:line="298" w:lineRule="auto"/>
              <w:rPr>
                <w:rFonts w:ascii="Arial"/>
                <w:sz w:val="21"/>
              </w:rPr>
            </w:pPr>
            <w:r/>
          </w:p>
          <w:p>
            <w:pPr>
              <w:spacing w:line="299" w:lineRule="auto"/>
              <w:rPr>
                <w:rFonts w:ascii="Arial"/>
                <w:sz w:val="21"/>
              </w:rPr>
            </w:pPr>
            <w:r/>
          </w:p>
          <w:p>
            <w:pPr>
              <w:spacing w:line="299" w:lineRule="auto"/>
              <w:rPr>
                <w:rFonts w:ascii="Arial"/>
                <w:sz w:val="21"/>
              </w:rPr>
            </w:pPr>
            <w:r/>
          </w:p>
          <w:p>
            <w:pPr>
              <w:spacing w:line="299" w:lineRule="auto"/>
              <w:rPr>
                <w:rFonts w:ascii="Arial"/>
                <w:sz w:val="21"/>
              </w:rPr>
            </w:pPr>
            <w:r/>
          </w:p>
          <w:p>
            <w:pPr>
              <w:ind w:left="167"/>
              <w:spacing w:before="65" w:line="227" w:lineRule="auto"/>
              <w:rPr>
                <w:rFonts w:ascii="SimSun" w:hAnsi="SimSun" w:eastAsia="SimSun" w:cs="SimSun"/>
                <w:sz w:val="20"/>
                <w:szCs w:val="20"/>
              </w:rPr>
            </w:pPr>
            <w:r>
              <w:rPr>
                <w:rFonts w:ascii="SimSun" w:hAnsi="SimSun" w:eastAsia="SimSun" w:cs="SimSun"/>
                <w:sz w:val="20"/>
                <w:szCs w:val="20"/>
                <w:spacing w:val="6"/>
              </w:rPr>
              <w:t>露天开采</w:t>
            </w:r>
          </w:p>
        </w:tc>
        <w:tc>
          <w:tcPr>
            <w:tcW w:w="4656" w:type="dxa"/>
            <w:vAlign w:val="top"/>
            <w:gridSpan w:val="2"/>
          </w:tcPr>
          <w:p>
            <w:pPr>
              <w:ind w:left="37"/>
              <w:spacing w:before="27" w:line="226" w:lineRule="auto"/>
              <w:rPr>
                <w:rFonts w:ascii="SimSun" w:hAnsi="SimSun" w:eastAsia="SimSun" w:cs="SimSun"/>
                <w:sz w:val="20"/>
                <w:szCs w:val="20"/>
              </w:rPr>
            </w:pPr>
            <w:r>
              <w:rPr>
                <w:rFonts w:ascii="SimSun" w:hAnsi="SimSun" w:eastAsia="SimSun" w:cs="SimSun"/>
                <w:sz w:val="20"/>
                <w:szCs w:val="20"/>
                <w:spacing w:val="8"/>
              </w:rPr>
              <w:t>项目生态影响评价范围内不涉及国家公园、自然保</w:t>
            </w:r>
          </w:p>
          <w:p>
            <w:pPr>
              <w:ind w:left="34"/>
              <w:spacing w:before="28" w:line="228" w:lineRule="auto"/>
              <w:rPr>
                <w:rFonts w:ascii="SimSun" w:hAnsi="SimSun" w:eastAsia="SimSun" w:cs="SimSun"/>
                <w:sz w:val="20"/>
                <w:szCs w:val="20"/>
              </w:rPr>
            </w:pPr>
            <w:r>
              <w:rPr>
                <w:rFonts w:ascii="SimSun" w:hAnsi="SimSun" w:eastAsia="SimSun" w:cs="SimSun"/>
                <w:sz w:val="20"/>
                <w:szCs w:val="20"/>
                <w:spacing w:val="6"/>
              </w:rPr>
              <w:t>护区、</w:t>
            </w:r>
            <w:r>
              <w:rPr>
                <w:rFonts w:ascii="SimSun" w:hAnsi="SimSun" w:eastAsia="SimSun" w:cs="SimSun"/>
                <w:sz w:val="20"/>
                <w:szCs w:val="20"/>
                <w:spacing w:val="-33"/>
              </w:rPr>
              <w:t xml:space="preserve"> </w:t>
            </w:r>
            <w:r>
              <w:rPr>
                <w:rFonts w:ascii="SimSun" w:hAnsi="SimSun" w:eastAsia="SimSun" w:cs="SimSun"/>
                <w:sz w:val="20"/>
                <w:szCs w:val="20"/>
                <w:spacing w:val="6"/>
              </w:rPr>
              <w:t>自然公园、世界自然遗产、生态保护红线、</w:t>
            </w:r>
          </w:p>
          <w:p>
            <w:pPr>
              <w:ind w:left="34"/>
              <w:spacing w:before="24" w:line="228" w:lineRule="auto"/>
              <w:rPr>
                <w:rFonts w:ascii="SimSun" w:hAnsi="SimSun" w:eastAsia="SimSun" w:cs="SimSun"/>
                <w:sz w:val="20"/>
                <w:szCs w:val="20"/>
              </w:rPr>
            </w:pPr>
            <w:r>
              <w:rPr>
                <w:rFonts w:ascii="SimSun" w:hAnsi="SimSun" w:eastAsia="SimSun" w:cs="SimSun"/>
                <w:sz w:val="20"/>
                <w:szCs w:val="20"/>
                <w:spacing w:val="8"/>
              </w:rPr>
              <w:t>重要生境及其他具有重要生态功能、对保护生物多</w:t>
            </w:r>
          </w:p>
          <w:p>
            <w:pPr>
              <w:ind w:left="32"/>
              <w:spacing w:before="25" w:line="228" w:lineRule="auto"/>
              <w:rPr>
                <w:rFonts w:ascii="SimSun" w:hAnsi="SimSun" w:eastAsia="SimSun" w:cs="SimSun"/>
                <w:sz w:val="20"/>
                <w:szCs w:val="20"/>
              </w:rPr>
            </w:pPr>
            <w:r>
              <w:rPr>
                <w:rFonts w:ascii="SimSun" w:hAnsi="SimSun" w:eastAsia="SimSun" w:cs="SimSun"/>
                <w:sz w:val="20"/>
                <w:szCs w:val="20"/>
                <w:spacing w:val="8"/>
              </w:rPr>
              <w:t>样性具有重要意义的区域等生态敏感区，也无国家</w:t>
            </w:r>
          </w:p>
          <w:p>
            <w:pPr>
              <w:ind w:left="1493"/>
              <w:spacing w:before="24" w:line="218" w:lineRule="auto"/>
              <w:rPr>
                <w:rFonts w:ascii="SimSun" w:hAnsi="SimSun" w:eastAsia="SimSun" w:cs="SimSun"/>
                <w:sz w:val="20"/>
                <w:szCs w:val="20"/>
              </w:rPr>
            </w:pPr>
            <w:r>
              <w:rPr>
                <w:rFonts w:ascii="SimSun" w:hAnsi="SimSun" w:eastAsia="SimSun" w:cs="SimSun"/>
                <w:sz w:val="20"/>
                <w:szCs w:val="20"/>
                <w:spacing w:val="7"/>
              </w:rPr>
              <w:t>重点保护动植物。</w:t>
            </w:r>
          </w:p>
        </w:tc>
        <w:tc>
          <w:tcPr>
            <w:tcW w:w="2377" w:type="dxa"/>
            <w:vAlign w:val="top"/>
          </w:tcPr>
          <w:p>
            <w:pPr>
              <w:ind w:left="35" w:right="30"/>
              <w:spacing w:before="25" w:line="245" w:lineRule="auto"/>
              <w:jc w:val="both"/>
              <w:rPr>
                <w:rFonts w:ascii="SimSun" w:hAnsi="SimSun" w:eastAsia="SimSun" w:cs="SimSun"/>
                <w:sz w:val="20"/>
                <w:szCs w:val="20"/>
              </w:rPr>
            </w:pPr>
            <w:r>
              <w:rPr>
                <w:rFonts w:ascii="SimSun" w:hAnsi="SimSun" w:eastAsia="SimSun" w:cs="SimSun"/>
                <w:sz w:val="20"/>
                <w:szCs w:val="20"/>
                <w:spacing w:val="30"/>
              </w:rPr>
              <w:t>采取生态环境保护措施</w:t>
            </w:r>
            <w:r>
              <w:rPr>
                <w:rFonts w:ascii="SimSun" w:hAnsi="SimSun" w:eastAsia="SimSun" w:cs="SimSun"/>
                <w:sz w:val="20"/>
                <w:szCs w:val="20"/>
                <w:spacing w:val="9"/>
              </w:rPr>
              <w:t>后，保证开采后影响区域</w:t>
            </w:r>
            <w:r>
              <w:rPr>
                <w:rFonts w:ascii="SimSun" w:hAnsi="SimSun" w:eastAsia="SimSun" w:cs="SimSun"/>
                <w:sz w:val="20"/>
                <w:szCs w:val="20"/>
                <w:spacing w:val="9"/>
              </w:rPr>
              <w:t>生态环境功能，不降低矿</w:t>
            </w:r>
            <w:r>
              <w:rPr>
                <w:rFonts w:ascii="SimSun" w:hAnsi="SimSun" w:eastAsia="SimSun" w:cs="SimSun"/>
                <w:sz w:val="20"/>
                <w:szCs w:val="20"/>
                <w:spacing w:val="25"/>
              </w:rPr>
              <w:t>业权范</w:t>
            </w:r>
            <w:r>
              <w:rPr>
                <w:rFonts w:ascii="SimSun" w:hAnsi="SimSun" w:eastAsia="SimSun" w:cs="SimSun"/>
                <w:sz w:val="20"/>
                <w:szCs w:val="20"/>
                <w:spacing w:val="-45"/>
              </w:rPr>
              <w:t xml:space="preserve"> </w:t>
            </w:r>
            <w:r>
              <w:rPr>
                <w:rFonts w:ascii="SimSun" w:hAnsi="SimSun" w:eastAsia="SimSun" w:cs="SimSun"/>
                <w:sz w:val="20"/>
                <w:szCs w:val="20"/>
                <w:spacing w:val="25"/>
              </w:rPr>
              <w:t>围内生态环境质</w:t>
            </w:r>
            <w:r>
              <w:rPr>
                <w:rFonts w:ascii="SimSun" w:hAnsi="SimSun" w:eastAsia="SimSun" w:cs="SimSun"/>
                <w:sz w:val="20"/>
                <w:szCs w:val="20"/>
              </w:rPr>
              <w:t>量。</w:t>
            </w:r>
          </w:p>
        </w:tc>
      </w:tr>
      <w:tr>
        <w:trPr>
          <w:trHeight w:val="893" w:hRule="atLeast"/>
        </w:trPr>
        <w:tc>
          <w:tcPr>
            <w:tcW w:w="935" w:type="dxa"/>
            <w:vAlign w:val="top"/>
            <w:vMerge w:val="continue"/>
            <w:tcBorders>
              <w:top w:val="nil"/>
              <w:bottom w:val="nil"/>
            </w:tcBorders>
          </w:tcPr>
          <w:p>
            <w:pPr>
              <w:rPr>
                <w:rFonts w:ascii="Arial"/>
                <w:sz w:val="21"/>
              </w:rPr>
            </w:pPr>
            <w:r/>
          </w:p>
        </w:tc>
        <w:tc>
          <w:tcPr>
            <w:tcW w:w="1156" w:type="dxa"/>
            <w:vAlign w:val="top"/>
            <w:vMerge w:val="continue"/>
            <w:tcBorders>
              <w:top w:val="nil"/>
              <w:bottom w:val="nil"/>
            </w:tcBorders>
          </w:tcPr>
          <w:p>
            <w:pPr>
              <w:rPr>
                <w:rFonts w:ascii="Arial"/>
                <w:sz w:val="21"/>
              </w:rPr>
            </w:pPr>
            <w:r/>
          </w:p>
        </w:tc>
        <w:tc>
          <w:tcPr>
            <w:tcW w:w="1571" w:type="dxa"/>
            <w:vAlign w:val="top"/>
          </w:tcPr>
          <w:p>
            <w:pPr>
              <w:spacing w:line="272" w:lineRule="auto"/>
              <w:rPr>
                <w:rFonts w:ascii="Arial"/>
                <w:sz w:val="21"/>
              </w:rPr>
            </w:pPr>
            <w:r/>
          </w:p>
          <w:p>
            <w:pPr>
              <w:ind w:left="160"/>
              <w:spacing w:before="65" w:line="227" w:lineRule="auto"/>
              <w:rPr>
                <w:rFonts w:ascii="SimSun" w:hAnsi="SimSun" w:eastAsia="SimSun" w:cs="SimSun"/>
                <w:sz w:val="20"/>
                <w:szCs w:val="20"/>
              </w:rPr>
            </w:pPr>
            <w:r>
              <w:rPr>
                <w:rFonts w:ascii="SimSun" w:hAnsi="SimSun" w:eastAsia="SimSun" w:cs="SimSun"/>
                <w:sz w:val="20"/>
                <w:szCs w:val="20"/>
                <w:spacing w:val="8"/>
              </w:rPr>
              <w:t>彦吉嘎河河道</w:t>
            </w:r>
          </w:p>
        </w:tc>
        <w:tc>
          <w:tcPr>
            <w:tcW w:w="3085" w:type="dxa"/>
            <w:vAlign w:val="top"/>
          </w:tcPr>
          <w:p>
            <w:pPr>
              <w:pStyle w:val="TableText"/>
              <w:ind w:left="35" w:firstLine="41"/>
              <w:spacing w:before="205" w:line="251" w:lineRule="auto"/>
              <w:rPr>
                <w:rFonts w:ascii="SimSun" w:hAnsi="SimSun" w:eastAsia="SimSun" w:cs="SimSun"/>
              </w:rPr>
            </w:pPr>
            <w:r>
              <w:rPr>
                <w:rFonts w:ascii="SimSun" w:hAnsi="SimSun" w:eastAsia="SimSun" w:cs="SimSun"/>
                <w:spacing w:val="6"/>
              </w:rPr>
              <w:t>彦吉嘎河现有河道与露天矿新增</w:t>
            </w:r>
            <w:r>
              <w:rPr>
                <w:rFonts w:ascii="SimSun" w:hAnsi="SimSun" w:eastAsia="SimSun" w:cs="SimSun"/>
                <w:spacing w:val="-4"/>
              </w:rPr>
              <w:t>开采范围有重叠，长度约为</w:t>
            </w:r>
            <w:r>
              <w:rPr>
                <w:rFonts w:ascii="SimSun" w:hAnsi="SimSun" w:eastAsia="SimSun" w:cs="SimSun"/>
                <w:spacing w:val="-45"/>
              </w:rPr>
              <w:t xml:space="preserve"> </w:t>
            </w:r>
            <w:r>
              <w:rPr>
                <w:spacing w:val="-4"/>
              </w:rPr>
              <w:t>582m</w:t>
            </w:r>
            <w:r>
              <w:rPr>
                <w:rFonts w:ascii="SimSun" w:hAnsi="SimSun" w:eastAsia="SimSun" w:cs="SimSun"/>
                <w:spacing w:val="-4"/>
              </w:rPr>
              <w:t>。</w:t>
            </w:r>
          </w:p>
        </w:tc>
        <w:tc>
          <w:tcPr>
            <w:tcW w:w="2377" w:type="dxa"/>
            <w:vAlign w:val="top"/>
          </w:tcPr>
          <w:p>
            <w:pPr>
              <w:spacing w:line="272" w:lineRule="auto"/>
              <w:rPr>
                <w:rFonts w:ascii="Arial"/>
                <w:sz w:val="21"/>
              </w:rPr>
            </w:pPr>
            <w:r/>
          </w:p>
          <w:p>
            <w:pPr>
              <w:ind w:left="36"/>
              <w:spacing w:before="65" w:line="228" w:lineRule="auto"/>
              <w:rPr>
                <w:rFonts w:ascii="SimSun" w:hAnsi="SimSun" w:eastAsia="SimSun" w:cs="SimSun"/>
                <w:sz w:val="20"/>
                <w:szCs w:val="20"/>
              </w:rPr>
            </w:pPr>
            <w:r>
              <w:rPr>
                <w:rFonts w:ascii="SimSun" w:hAnsi="SimSun" w:eastAsia="SimSun" w:cs="SimSun"/>
                <w:sz w:val="20"/>
                <w:szCs w:val="20"/>
                <w:spacing w:val="8"/>
              </w:rPr>
              <w:t>保证河道功能不受影响</w:t>
            </w:r>
          </w:p>
        </w:tc>
      </w:tr>
      <w:tr>
        <w:trPr>
          <w:trHeight w:val="489" w:hRule="atLeast"/>
        </w:trPr>
        <w:tc>
          <w:tcPr>
            <w:tcW w:w="935" w:type="dxa"/>
            <w:vAlign w:val="top"/>
            <w:vMerge w:val="continue"/>
            <w:tcBorders>
              <w:top w:val="nil"/>
            </w:tcBorders>
          </w:tcPr>
          <w:p>
            <w:pPr>
              <w:rPr>
                <w:rFonts w:ascii="Arial"/>
                <w:sz w:val="21"/>
              </w:rPr>
            </w:pPr>
            <w:r/>
          </w:p>
        </w:tc>
        <w:tc>
          <w:tcPr>
            <w:tcW w:w="1156" w:type="dxa"/>
            <w:vAlign w:val="top"/>
            <w:vMerge w:val="continue"/>
            <w:tcBorders>
              <w:top w:val="nil"/>
            </w:tcBorders>
          </w:tcPr>
          <w:p>
            <w:pPr>
              <w:rPr>
                <w:rFonts w:ascii="Arial"/>
                <w:sz w:val="21"/>
              </w:rPr>
            </w:pPr>
            <w:r/>
          </w:p>
        </w:tc>
        <w:tc>
          <w:tcPr>
            <w:tcW w:w="1571" w:type="dxa"/>
            <w:vAlign w:val="top"/>
          </w:tcPr>
          <w:p>
            <w:pPr>
              <w:ind w:left="369"/>
              <w:spacing w:before="136" w:line="227" w:lineRule="auto"/>
              <w:rPr>
                <w:rFonts w:ascii="SimSun" w:hAnsi="SimSun" w:eastAsia="SimSun" w:cs="SimSun"/>
                <w:sz w:val="20"/>
                <w:szCs w:val="20"/>
              </w:rPr>
            </w:pPr>
            <w:r>
              <w:rPr>
                <w:rFonts w:ascii="SimSun" w:hAnsi="SimSun" w:eastAsia="SimSun" w:cs="SimSun"/>
                <w:sz w:val="20"/>
                <w:szCs w:val="20"/>
                <w:spacing w:val="7"/>
              </w:rPr>
              <w:t>基本草原</w:t>
            </w:r>
          </w:p>
        </w:tc>
        <w:tc>
          <w:tcPr>
            <w:tcW w:w="3085" w:type="dxa"/>
            <w:vAlign w:val="top"/>
          </w:tcPr>
          <w:p>
            <w:pPr>
              <w:ind w:left="77"/>
              <w:spacing w:before="136" w:line="227" w:lineRule="auto"/>
              <w:rPr>
                <w:rFonts w:ascii="SimSun" w:hAnsi="SimSun" w:eastAsia="SimSun" w:cs="SimSun"/>
                <w:sz w:val="20"/>
                <w:szCs w:val="20"/>
              </w:rPr>
            </w:pPr>
            <w:r>
              <w:rPr>
                <w:rFonts w:ascii="SimSun" w:hAnsi="SimSun" w:eastAsia="SimSun" w:cs="SimSun"/>
                <w:sz w:val="20"/>
                <w:szCs w:val="20"/>
                <w:spacing w:val="9"/>
              </w:rPr>
              <w:t>矿田范围内不涉及基本草原，生</w:t>
            </w:r>
          </w:p>
        </w:tc>
        <w:tc>
          <w:tcPr>
            <w:tcW w:w="2377" w:type="dxa"/>
            <w:vAlign w:val="top"/>
          </w:tcPr>
          <w:p>
            <w:pPr>
              <w:pStyle w:val="TableText"/>
              <w:ind w:left="1158"/>
              <w:spacing w:before="169" w:line="199" w:lineRule="auto"/>
              <w:rPr/>
            </w:pPr>
            <w:r>
              <w:rPr>
                <w:spacing w:val="2"/>
              </w:rPr>
              <w:t>/</w:t>
            </w:r>
          </w:p>
        </w:tc>
      </w:tr>
    </w:tbl>
    <w:p>
      <w:pPr>
        <w:pStyle w:val="BodyText"/>
        <w:spacing w:line="133" w:lineRule="exact"/>
        <w:rPr>
          <w:sz w:val="11"/>
        </w:rPr>
      </w:pPr>
      <w:r/>
    </w:p>
    <w:p>
      <w:pPr>
        <w:spacing w:line="133" w:lineRule="exact"/>
        <w:sectPr>
          <w:footerReference w:type="default" r:id="rId77"/>
          <w:pgSz w:w="11906" w:h="16838"/>
          <w:pgMar w:top="1170" w:right="1304" w:bottom="1080" w:left="1305" w:header="837" w:footer="918" w:gutter="0"/>
        </w:sectPr>
        <w:rPr>
          <w:sz w:val="11"/>
          <w:szCs w:val="11"/>
        </w:rPr>
      </w:pPr>
    </w:p>
    <w:p>
      <w:pPr>
        <w:spacing w:before="6"/>
        <w:rPr/>
      </w:pPr>
      <w:r/>
    </w:p>
    <w:tbl>
      <w:tblPr>
        <w:tblStyle w:val="TableNormal"/>
        <w:tblW w:w="9124" w:type="dxa"/>
        <w:tblInd w:w="8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5"/>
        <w:gridCol w:w="1156"/>
        <w:gridCol w:w="1571"/>
        <w:gridCol w:w="3085"/>
        <w:gridCol w:w="2377"/>
      </w:tblGrid>
      <w:tr>
        <w:trPr>
          <w:trHeight w:val="441" w:hRule="atLeast"/>
        </w:trPr>
        <w:tc>
          <w:tcPr>
            <w:tcW w:w="935" w:type="dxa"/>
            <w:vAlign w:val="top"/>
          </w:tcPr>
          <w:p>
            <w:pPr>
              <w:ind w:left="53"/>
              <w:spacing w:before="112" w:line="228" w:lineRule="auto"/>
              <w:rPr>
                <w:rFonts w:ascii="SimSun" w:hAnsi="SimSun" w:eastAsia="SimSun" w:cs="SimSun"/>
                <w:sz w:val="20"/>
                <w:szCs w:val="20"/>
              </w:rPr>
            </w:pPr>
            <w:r>
              <w:rPr>
                <w:rFonts w:ascii="SimSun" w:hAnsi="SimSun" w:eastAsia="SimSun" w:cs="SimSun"/>
                <w:sz w:val="20"/>
                <w:szCs w:val="20"/>
                <w:spacing w:val="7"/>
              </w:rPr>
              <w:t>环境要素</w:t>
            </w:r>
          </w:p>
        </w:tc>
        <w:tc>
          <w:tcPr>
            <w:tcW w:w="1156" w:type="dxa"/>
            <w:vAlign w:val="top"/>
          </w:tcPr>
          <w:p>
            <w:pPr>
              <w:ind w:left="162"/>
              <w:spacing w:before="112" w:line="228" w:lineRule="auto"/>
              <w:rPr>
                <w:rFonts w:ascii="SimSun" w:hAnsi="SimSun" w:eastAsia="SimSun" w:cs="SimSun"/>
                <w:sz w:val="20"/>
                <w:szCs w:val="20"/>
              </w:rPr>
            </w:pPr>
            <w:r>
              <w:rPr>
                <w:rFonts w:ascii="SimSun" w:hAnsi="SimSun" w:eastAsia="SimSun" w:cs="SimSun"/>
                <w:sz w:val="20"/>
                <w:szCs w:val="20"/>
                <w:spacing w:val="7"/>
              </w:rPr>
              <w:t>影响因素</w:t>
            </w:r>
          </w:p>
        </w:tc>
        <w:tc>
          <w:tcPr>
            <w:tcW w:w="1571" w:type="dxa"/>
            <w:vAlign w:val="top"/>
          </w:tcPr>
          <w:p>
            <w:pPr>
              <w:ind w:left="370"/>
              <w:spacing w:before="113" w:line="228" w:lineRule="auto"/>
              <w:rPr>
                <w:rFonts w:ascii="SimSun" w:hAnsi="SimSun" w:eastAsia="SimSun" w:cs="SimSun"/>
                <w:sz w:val="20"/>
                <w:szCs w:val="20"/>
              </w:rPr>
            </w:pPr>
            <w:r>
              <w:rPr>
                <w:rFonts w:ascii="SimSun" w:hAnsi="SimSun" w:eastAsia="SimSun" w:cs="SimSun"/>
                <w:sz w:val="20"/>
                <w:szCs w:val="20"/>
                <w:spacing w:val="7"/>
              </w:rPr>
              <w:t>保护目标</w:t>
            </w:r>
          </w:p>
        </w:tc>
        <w:tc>
          <w:tcPr>
            <w:tcW w:w="3085" w:type="dxa"/>
            <w:vAlign w:val="top"/>
          </w:tcPr>
          <w:p>
            <w:pPr>
              <w:ind w:left="709"/>
              <w:spacing w:before="112" w:line="227" w:lineRule="auto"/>
              <w:rPr>
                <w:rFonts w:ascii="SimSun" w:hAnsi="SimSun" w:eastAsia="SimSun" w:cs="SimSun"/>
                <w:sz w:val="20"/>
                <w:szCs w:val="20"/>
              </w:rPr>
            </w:pPr>
            <w:r>
              <w:rPr>
                <w:rFonts w:ascii="SimSun" w:hAnsi="SimSun" w:eastAsia="SimSun" w:cs="SimSun"/>
                <w:sz w:val="20"/>
                <w:szCs w:val="20"/>
                <w:spacing w:val="8"/>
              </w:rPr>
              <w:t>保护目标基本情况</w:t>
            </w:r>
          </w:p>
        </w:tc>
        <w:tc>
          <w:tcPr>
            <w:tcW w:w="2377" w:type="dxa"/>
            <w:vAlign w:val="top"/>
          </w:tcPr>
          <w:p>
            <w:pPr>
              <w:ind w:left="773"/>
              <w:spacing w:before="113" w:line="228" w:lineRule="auto"/>
              <w:rPr>
                <w:rFonts w:ascii="SimSun" w:hAnsi="SimSun" w:eastAsia="SimSun" w:cs="SimSun"/>
                <w:sz w:val="20"/>
                <w:szCs w:val="20"/>
              </w:rPr>
            </w:pPr>
            <w:r>
              <w:rPr>
                <w:rFonts w:ascii="SimSun" w:hAnsi="SimSun" w:eastAsia="SimSun" w:cs="SimSun"/>
                <w:sz w:val="20"/>
                <w:szCs w:val="20"/>
                <w:spacing w:val="7"/>
              </w:rPr>
              <w:t>保护要求</w:t>
            </w:r>
          </w:p>
        </w:tc>
      </w:tr>
      <w:tr>
        <w:trPr>
          <w:trHeight w:val="518" w:hRule="atLeast"/>
        </w:trPr>
        <w:tc>
          <w:tcPr>
            <w:tcW w:w="935" w:type="dxa"/>
            <w:vAlign w:val="top"/>
          </w:tcPr>
          <w:p>
            <w:pPr>
              <w:rPr>
                <w:rFonts w:ascii="Arial"/>
                <w:sz w:val="21"/>
              </w:rPr>
            </w:pPr>
            <w:r/>
          </w:p>
        </w:tc>
        <w:tc>
          <w:tcPr>
            <w:tcW w:w="1156" w:type="dxa"/>
            <w:vAlign w:val="top"/>
          </w:tcPr>
          <w:p>
            <w:pPr>
              <w:rPr>
                <w:rFonts w:ascii="Arial"/>
                <w:sz w:val="21"/>
              </w:rPr>
            </w:pPr>
            <w:r/>
          </w:p>
        </w:tc>
        <w:tc>
          <w:tcPr>
            <w:tcW w:w="1571" w:type="dxa"/>
            <w:vAlign w:val="top"/>
          </w:tcPr>
          <w:p>
            <w:pPr>
              <w:rPr>
                <w:rFonts w:ascii="Arial"/>
                <w:sz w:val="21"/>
              </w:rPr>
            </w:pPr>
            <w:r/>
          </w:p>
        </w:tc>
        <w:tc>
          <w:tcPr>
            <w:tcW w:w="3085" w:type="dxa"/>
            <w:vAlign w:val="top"/>
          </w:tcPr>
          <w:p>
            <w:pPr>
              <w:ind w:left="289"/>
              <w:spacing w:before="29" w:line="226" w:lineRule="auto"/>
              <w:rPr>
                <w:rFonts w:ascii="SimSun" w:hAnsi="SimSun" w:eastAsia="SimSun" w:cs="SimSun"/>
                <w:sz w:val="20"/>
                <w:szCs w:val="20"/>
              </w:rPr>
            </w:pPr>
            <w:r>
              <w:rPr>
                <w:rFonts w:ascii="SimSun" w:hAnsi="SimSun" w:eastAsia="SimSun" w:cs="SimSun"/>
                <w:sz w:val="20"/>
                <w:szCs w:val="20"/>
                <w:spacing w:val="9"/>
              </w:rPr>
              <w:t>态评价范围内涉及基本草原</w:t>
            </w:r>
          </w:p>
          <w:p>
            <w:pPr>
              <w:pStyle w:val="TableText"/>
              <w:ind w:left="1162"/>
              <w:spacing w:before="30" w:line="212" w:lineRule="auto"/>
              <w:rPr>
                <w:sz w:val="13"/>
                <w:szCs w:val="13"/>
              </w:rPr>
            </w:pPr>
            <w:r>
              <w:rPr>
                <w:spacing w:val="2"/>
              </w:rPr>
              <w:t>14.08</w:t>
            </w:r>
            <w:r>
              <w:rPr/>
              <w:t>km</w:t>
            </w:r>
            <w:r>
              <w:rPr>
                <w:sz w:val="13"/>
                <w:szCs w:val="13"/>
                <w:spacing w:val="2"/>
                <w:position w:val="6"/>
              </w:rPr>
              <w:t>2</w:t>
            </w:r>
          </w:p>
        </w:tc>
        <w:tc>
          <w:tcPr>
            <w:tcW w:w="2377" w:type="dxa"/>
            <w:vAlign w:val="top"/>
          </w:tcPr>
          <w:p>
            <w:pPr>
              <w:rPr>
                <w:rFonts w:ascii="Arial"/>
                <w:sz w:val="21"/>
              </w:rPr>
            </w:pPr>
            <w:r/>
          </w:p>
        </w:tc>
      </w:tr>
      <w:tr>
        <w:trPr>
          <w:trHeight w:val="489" w:hRule="atLeast"/>
        </w:trPr>
        <w:tc>
          <w:tcPr>
            <w:tcW w:w="935" w:type="dxa"/>
            <w:vAlign w:val="top"/>
            <w:vMerge w:val="restart"/>
            <w:tcBorders>
              <w:bottom w:val="nil"/>
            </w:tcBorders>
          </w:tcPr>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ind w:left="54"/>
              <w:spacing w:before="65" w:line="228" w:lineRule="auto"/>
              <w:rPr>
                <w:rFonts w:ascii="SimSun" w:hAnsi="SimSun" w:eastAsia="SimSun" w:cs="SimSun"/>
                <w:sz w:val="20"/>
                <w:szCs w:val="20"/>
              </w:rPr>
            </w:pPr>
            <w:r>
              <w:rPr>
                <w:rFonts w:ascii="SimSun" w:hAnsi="SimSun" w:eastAsia="SimSun" w:cs="SimSun"/>
                <w:sz w:val="20"/>
                <w:szCs w:val="20"/>
                <w:spacing w:val="7"/>
              </w:rPr>
              <w:t>土壤环境</w:t>
            </w:r>
          </w:p>
        </w:tc>
        <w:tc>
          <w:tcPr>
            <w:tcW w:w="1156" w:type="dxa"/>
            <w:vAlign w:val="top"/>
            <w:vMerge w:val="restart"/>
            <w:tcBorders>
              <w:bottom w:val="nil"/>
            </w:tcBorders>
          </w:tcPr>
          <w:p>
            <w:pPr>
              <w:spacing w:line="312" w:lineRule="auto"/>
              <w:rPr>
                <w:rFonts w:ascii="Arial"/>
                <w:sz w:val="21"/>
              </w:rPr>
            </w:pPr>
            <w:r/>
          </w:p>
          <w:p>
            <w:pPr>
              <w:ind w:left="164"/>
              <w:spacing w:before="65" w:line="230" w:lineRule="auto"/>
              <w:rPr>
                <w:rFonts w:ascii="SimSun" w:hAnsi="SimSun" w:eastAsia="SimSun" w:cs="SimSun"/>
                <w:sz w:val="20"/>
                <w:szCs w:val="20"/>
              </w:rPr>
            </w:pPr>
            <w:r>
              <w:rPr>
                <w:rFonts w:ascii="SimSun" w:hAnsi="SimSun" w:eastAsia="SimSun" w:cs="SimSun"/>
                <w:sz w:val="20"/>
                <w:szCs w:val="20"/>
                <w:spacing w:val="6"/>
              </w:rPr>
              <w:t>生态影响</w:t>
            </w:r>
          </w:p>
        </w:tc>
        <w:tc>
          <w:tcPr>
            <w:tcW w:w="1571" w:type="dxa"/>
            <w:vAlign w:val="top"/>
          </w:tcPr>
          <w:p>
            <w:pPr>
              <w:ind w:left="265"/>
              <w:spacing w:before="135" w:line="227" w:lineRule="auto"/>
              <w:rPr>
                <w:rFonts w:ascii="SimSun" w:hAnsi="SimSun" w:eastAsia="SimSun" w:cs="SimSun"/>
                <w:sz w:val="20"/>
                <w:szCs w:val="20"/>
              </w:rPr>
            </w:pPr>
            <w:r>
              <w:rPr>
                <w:rFonts w:ascii="SimSun" w:hAnsi="SimSun" w:eastAsia="SimSun" w:cs="SimSun"/>
                <w:sz w:val="20"/>
                <w:szCs w:val="20"/>
                <w:spacing w:val="8"/>
              </w:rPr>
              <w:t>矿田开采区</w:t>
            </w:r>
          </w:p>
        </w:tc>
        <w:tc>
          <w:tcPr>
            <w:tcW w:w="3085" w:type="dxa"/>
            <w:vAlign w:val="top"/>
            <w:vMerge w:val="restart"/>
            <w:tcBorders>
              <w:bottom w:val="nil"/>
            </w:tcBorders>
          </w:tcPr>
          <w:p>
            <w:pPr>
              <w:pStyle w:val="TableText"/>
              <w:ind w:left="702" w:right="70" w:hanging="625"/>
              <w:spacing w:before="245" w:line="252" w:lineRule="auto"/>
              <w:rPr>
                <w:rFonts w:ascii="SimSun" w:hAnsi="SimSun" w:eastAsia="SimSun" w:cs="SimSun"/>
              </w:rPr>
            </w:pPr>
            <w:r>
              <w:rPr>
                <w:rFonts w:ascii="SimSun" w:hAnsi="SimSun" w:eastAsia="SimSun" w:cs="SimSun"/>
                <w:spacing w:val="9"/>
              </w:rPr>
              <w:t>矿田范围内全部及占地范围外延</w:t>
            </w:r>
            <w:r>
              <w:rPr>
                <w:spacing w:val="7"/>
              </w:rPr>
              <w:t>2</w:t>
            </w:r>
            <w:r>
              <w:rPr/>
              <w:t>km</w:t>
            </w:r>
            <w:r>
              <w:rPr>
                <w:spacing w:val="22"/>
                <w:w w:val="101"/>
              </w:rPr>
              <w:t xml:space="preserve"> </w:t>
            </w:r>
            <w:r>
              <w:rPr>
                <w:rFonts w:ascii="SimSun" w:hAnsi="SimSun" w:eastAsia="SimSun" w:cs="SimSun"/>
                <w:spacing w:val="7"/>
              </w:rPr>
              <w:t>范围内的土壤</w:t>
            </w:r>
          </w:p>
        </w:tc>
        <w:tc>
          <w:tcPr>
            <w:tcW w:w="2377" w:type="dxa"/>
            <w:vAlign w:val="top"/>
            <w:vMerge w:val="restart"/>
            <w:tcBorders>
              <w:bottom w:val="nil"/>
            </w:tcBorders>
          </w:tcPr>
          <w:p>
            <w:pPr>
              <w:ind w:left="34" w:right="30" w:firstLine="5"/>
              <w:spacing w:before="245" w:line="252" w:lineRule="auto"/>
              <w:rPr>
                <w:rFonts w:ascii="SimSun" w:hAnsi="SimSun" w:eastAsia="SimSun" w:cs="SimSun"/>
                <w:sz w:val="20"/>
                <w:szCs w:val="20"/>
              </w:rPr>
            </w:pPr>
            <w:r>
              <w:rPr>
                <w:rFonts w:ascii="SimSun" w:hAnsi="SimSun" w:eastAsia="SimSun" w:cs="SimSun"/>
                <w:sz w:val="20"/>
                <w:szCs w:val="20"/>
                <w:spacing w:val="9"/>
              </w:rPr>
              <w:t>不加剧土壤盐化、酸化和</w:t>
            </w:r>
            <w:r>
              <w:rPr>
                <w:rFonts w:ascii="SimSun" w:hAnsi="SimSun" w:eastAsia="SimSun" w:cs="SimSun"/>
                <w:sz w:val="20"/>
                <w:szCs w:val="20"/>
                <w:spacing w:val="7"/>
              </w:rPr>
              <w:t>碱化程度</w:t>
            </w:r>
          </w:p>
        </w:tc>
      </w:tr>
      <w:tr>
        <w:trPr>
          <w:trHeight w:val="486" w:hRule="atLeast"/>
        </w:trPr>
        <w:tc>
          <w:tcPr>
            <w:tcW w:w="935" w:type="dxa"/>
            <w:vAlign w:val="top"/>
            <w:vMerge w:val="continue"/>
            <w:tcBorders>
              <w:top w:val="nil"/>
              <w:bottom w:val="nil"/>
            </w:tcBorders>
          </w:tcPr>
          <w:p>
            <w:pPr>
              <w:rPr>
                <w:rFonts w:ascii="Arial"/>
                <w:sz w:val="21"/>
              </w:rPr>
            </w:pPr>
            <w:r/>
          </w:p>
        </w:tc>
        <w:tc>
          <w:tcPr>
            <w:tcW w:w="1156" w:type="dxa"/>
            <w:vAlign w:val="top"/>
            <w:vMerge w:val="continue"/>
            <w:tcBorders>
              <w:top w:val="nil"/>
            </w:tcBorders>
          </w:tcPr>
          <w:p>
            <w:pPr>
              <w:rPr>
                <w:rFonts w:ascii="Arial"/>
                <w:sz w:val="21"/>
              </w:rPr>
            </w:pPr>
            <w:r/>
          </w:p>
        </w:tc>
        <w:tc>
          <w:tcPr>
            <w:tcW w:w="1571" w:type="dxa"/>
            <w:vAlign w:val="top"/>
          </w:tcPr>
          <w:p>
            <w:pPr>
              <w:ind w:left="160"/>
              <w:spacing w:before="133" w:line="228" w:lineRule="auto"/>
              <w:rPr>
                <w:rFonts w:ascii="SimSun" w:hAnsi="SimSun" w:eastAsia="SimSun" w:cs="SimSun"/>
                <w:sz w:val="20"/>
                <w:szCs w:val="20"/>
              </w:rPr>
            </w:pPr>
            <w:r>
              <w:rPr>
                <w:rFonts w:ascii="SimSun" w:hAnsi="SimSun" w:eastAsia="SimSun" w:cs="SimSun"/>
                <w:sz w:val="20"/>
                <w:szCs w:val="20"/>
                <w:spacing w:val="8"/>
              </w:rPr>
              <w:t>场地周边土壤</w:t>
            </w:r>
          </w:p>
        </w:tc>
        <w:tc>
          <w:tcPr>
            <w:tcW w:w="3085" w:type="dxa"/>
            <w:vAlign w:val="top"/>
            <w:vMerge w:val="continue"/>
            <w:tcBorders>
              <w:top w:val="nil"/>
            </w:tcBorders>
          </w:tcPr>
          <w:p>
            <w:pPr>
              <w:rPr>
                <w:rFonts w:ascii="Arial"/>
                <w:sz w:val="21"/>
              </w:rPr>
            </w:pPr>
            <w:r/>
          </w:p>
        </w:tc>
        <w:tc>
          <w:tcPr>
            <w:tcW w:w="2377" w:type="dxa"/>
            <w:vAlign w:val="top"/>
            <w:vMerge w:val="continue"/>
            <w:tcBorders>
              <w:top w:val="nil"/>
            </w:tcBorders>
          </w:tcPr>
          <w:p>
            <w:pPr>
              <w:rPr>
                <w:rFonts w:ascii="Arial"/>
                <w:sz w:val="21"/>
              </w:rPr>
            </w:pPr>
            <w:r/>
          </w:p>
        </w:tc>
      </w:tr>
      <w:tr>
        <w:trPr>
          <w:trHeight w:val="2459" w:hRule="atLeast"/>
        </w:trPr>
        <w:tc>
          <w:tcPr>
            <w:tcW w:w="935" w:type="dxa"/>
            <w:vAlign w:val="top"/>
            <w:vMerge w:val="continue"/>
            <w:tcBorders>
              <w:top w:val="nil"/>
            </w:tcBorders>
          </w:tcPr>
          <w:p>
            <w:pPr>
              <w:rPr>
                <w:rFonts w:ascii="Arial"/>
                <w:sz w:val="21"/>
              </w:rPr>
            </w:pPr>
            <w:r/>
          </w:p>
        </w:tc>
        <w:tc>
          <w:tcPr>
            <w:tcW w:w="1156"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ind w:left="164"/>
              <w:spacing w:before="65" w:line="228" w:lineRule="auto"/>
              <w:rPr>
                <w:rFonts w:ascii="SimSun" w:hAnsi="SimSun" w:eastAsia="SimSun" w:cs="SimSun"/>
                <w:sz w:val="20"/>
                <w:szCs w:val="20"/>
              </w:rPr>
            </w:pPr>
            <w:r>
              <w:rPr>
                <w:rFonts w:ascii="SimSun" w:hAnsi="SimSun" w:eastAsia="SimSun" w:cs="SimSun"/>
                <w:sz w:val="20"/>
                <w:szCs w:val="20"/>
                <w:spacing w:val="6"/>
              </w:rPr>
              <w:t>污染影响</w:t>
            </w:r>
          </w:p>
        </w:tc>
        <w:tc>
          <w:tcPr>
            <w:tcW w:w="1571" w:type="dxa"/>
            <w:vAlign w:val="top"/>
          </w:tcPr>
          <w:p>
            <w:pPr>
              <w:spacing w:line="304" w:lineRule="auto"/>
              <w:rPr>
                <w:rFonts w:ascii="Arial"/>
                <w:sz w:val="21"/>
              </w:rPr>
            </w:pPr>
            <w:r/>
          </w:p>
          <w:p>
            <w:pPr>
              <w:spacing w:line="304" w:lineRule="auto"/>
              <w:rPr>
                <w:rFonts w:ascii="Arial"/>
                <w:sz w:val="21"/>
              </w:rPr>
            </w:pPr>
            <w:r/>
          </w:p>
          <w:p>
            <w:pPr>
              <w:spacing w:line="305" w:lineRule="auto"/>
              <w:rPr>
                <w:rFonts w:ascii="Arial"/>
                <w:sz w:val="21"/>
              </w:rPr>
            </w:pPr>
            <w:r/>
          </w:p>
          <w:p>
            <w:pPr>
              <w:ind w:left="581" w:right="52" w:hanging="526"/>
              <w:spacing w:before="65" w:line="252" w:lineRule="auto"/>
              <w:rPr>
                <w:rFonts w:ascii="SimSun" w:hAnsi="SimSun" w:eastAsia="SimSun" w:cs="SimSun"/>
                <w:sz w:val="20"/>
                <w:szCs w:val="20"/>
              </w:rPr>
            </w:pPr>
            <w:r>
              <w:rPr>
                <w:rFonts w:ascii="SimSun" w:hAnsi="SimSun" w:eastAsia="SimSun" w:cs="SimSun"/>
                <w:sz w:val="20"/>
                <w:szCs w:val="20"/>
                <w:spacing w:val="8"/>
              </w:rPr>
              <w:t>工业场地、内排</w:t>
            </w:r>
            <w:r>
              <w:rPr>
                <w:rFonts w:ascii="SimSun" w:hAnsi="SimSun" w:eastAsia="SimSun" w:cs="SimSun"/>
                <w:sz w:val="20"/>
                <w:szCs w:val="20"/>
                <w:spacing w:val="4"/>
              </w:rPr>
              <w:t>土场</w:t>
            </w:r>
          </w:p>
        </w:tc>
        <w:tc>
          <w:tcPr>
            <w:tcW w:w="3085"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80"/>
              <w:spacing w:before="65" w:line="228" w:lineRule="auto"/>
              <w:rPr>
                <w:rFonts w:ascii="SimSun" w:hAnsi="SimSun" w:eastAsia="SimSun" w:cs="SimSun"/>
                <w:sz w:val="20"/>
                <w:szCs w:val="20"/>
              </w:rPr>
            </w:pPr>
            <w:r>
              <w:rPr>
                <w:rFonts w:ascii="SimSun" w:hAnsi="SimSun" w:eastAsia="SimSun" w:cs="SimSun"/>
                <w:sz w:val="20"/>
                <w:szCs w:val="20"/>
                <w:spacing w:val="9"/>
              </w:rPr>
              <w:t>工业场地、内排土场占地范围内</w:t>
            </w:r>
          </w:p>
          <w:p>
            <w:pPr>
              <w:pStyle w:val="TableText"/>
              <w:ind w:left="77"/>
              <w:spacing w:before="24" w:line="228" w:lineRule="auto"/>
              <w:rPr>
                <w:rFonts w:ascii="SimSun" w:hAnsi="SimSun" w:eastAsia="SimSun" w:cs="SimSun"/>
              </w:rPr>
            </w:pPr>
            <w:r>
              <w:rPr>
                <w:rFonts w:ascii="SimSun" w:hAnsi="SimSun" w:eastAsia="SimSun" w:cs="SimSun"/>
                <w:spacing w:val="7"/>
              </w:rPr>
              <w:t>全部及占地范围外延</w:t>
            </w:r>
            <w:r>
              <w:rPr>
                <w:rFonts w:ascii="SimSun" w:hAnsi="SimSun" w:eastAsia="SimSun" w:cs="SimSun"/>
                <w:spacing w:val="-37"/>
              </w:rPr>
              <w:t xml:space="preserve"> </w:t>
            </w:r>
            <w:r>
              <w:rPr>
                <w:spacing w:val="7"/>
              </w:rPr>
              <w:t>0.2</w:t>
            </w:r>
            <w:r>
              <w:rPr/>
              <w:t>km</w:t>
            </w:r>
            <w:r>
              <w:rPr>
                <w:spacing w:val="16"/>
                <w:w w:val="101"/>
              </w:rPr>
              <w:t xml:space="preserve"> </w:t>
            </w:r>
            <w:r>
              <w:rPr>
                <w:rFonts w:ascii="SimSun" w:hAnsi="SimSun" w:eastAsia="SimSun" w:cs="SimSun"/>
                <w:spacing w:val="7"/>
              </w:rPr>
              <w:t>范围</w:t>
            </w:r>
          </w:p>
          <w:p>
            <w:pPr>
              <w:ind w:left="1051"/>
              <w:spacing w:before="26" w:line="228" w:lineRule="auto"/>
              <w:rPr>
                <w:rFonts w:ascii="SimSun" w:hAnsi="SimSun" w:eastAsia="SimSun" w:cs="SimSun"/>
                <w:sz w:val="20"/>
                <w:szCs w:val="20"/>
              </w:rPr>
            </w:pPr>
            <w:r>
              <w:rPr>
                <w:rFonts w:ascii="SimSun" w:hAnsi="SimSun" w:eastAsia="SimSun" w:cs="SimSun"/>
                <w:sz w:val="20"/>
                <w:szCs w:val="20"/>
              </w:rPr>
              <w:t>内的土壤。</w:t>
            </w:r>
          </w:p>
        </w:tc>
        <w:tc>
          <w:tcPr>
            <w:tcW w:w="2377" w:type="dxa"/>
            <w:vAlign w:val="top"/>
          </w:tcPr>
          <w:p>
            <w:pPr>
              <w:pStyle w:val="TableText"/>
              <w:ind w:left="35" w:right="7"/>
              <w:spacing w:before="31" w:line="248" w:lineRule="auto"/>
              <w:jc w:val="both"/>
              <w:rPr>
                <w:rFonts w:ascii="SimSun" w:hAnsi="SimSun" w:eastAsia="SimSun" w:cs="SimSun"/>
              </w:rPr>
            </w:pPr>
            <w:r>
              <w:rPr>
                <w:rFonts w:ascii="SimSun" w:hAnsi="SimSun" w:eastAsia="SimSun" w:cs="SimSun"/>
                <w:spacing w:val="9"/>
              </w:rPr>
              <w:t>满足《土壤环境质量标准</w:t>
            </w:r>
            <w:r>
              <w:rPr>
                <w:rFonts w:ascii="SimSun" w:hAnsi="SimSun" w:eastAsia="SimSun" w:cs="SimSun"/>
                <w:spacing w:val="9"/>
              </w:rPr>
              <w:t>建设用地土壤污染风险管</w:t>
            </w:r>
            <w:r>
              <w:rPr>
                <w:rFonts w:ascii="SimSun" w:hAnsi="SimSun" w:eastAsia="SimSun" w:cs="SimSun"/>
                <w:spacing w:val="-5"/>
              </w:rPr>
              <w:t>控 标 准 （</w:t>
            </w:r>
            <w:r>
              <w:rPr>
                <w:rFonts w:ascii="SimSun" w:hAnsi="SimSun" w:eastAsia="SimSun" w:cs="SimSun"/>
                <w:spacing w:val="36"/>
              </w:rPr>
              <w:t xml:space="preserve"> </w:t>
            </w:r>
            <w:r>
              <w:rPr>
                <w:rFonts w:ascii="SimSun" w:hAnsi="SimSun" w:eastAsia="SimSun" w:cs="SimSun"/>
                <w:spacing w:val="-5"/>
              </w:rPr>
              <w:t>试 行</w:t>
            </w:r>
            <w:r>
              <w:rPr>
                <w:rFonts w:ascii="SimSun" w:hAnsi="SimSun" w:eastAsia="SimSun" w:cs="SimSun"/>
                <w:spacing w:val="24"/>
              </w:rPr>
              <w:t xml:space="preserve"> </w:t>
            </w:r>
            <w:r>
              <w:rPr>
                <w:rFonts w:ascii="SimSun" w:hAnsi="SimSun" w:eastAsia="SimSun" w:cs="SimSun"/>
                <w:spacing w:val="-5"/>
              </w:rPr>
              <w:t>）</w:t>
            </w:r>
            <w:r>
              <w:rPr>
                <w:rFonts w:ascii="SimSun" w:hAnsi="SimSun" w:eastAsia="SimSun" w:cs="SimSun"/>
                <w:spacing w:val="16"/>
              </w:rPr>
              <w:t xml:space="preserve"> </w:t>
            </w:r>
            <w:r>
              <w:rPr>
                <w:rFonts w:ascii="SimSun" w:hAnsi="SimSun" w:eastAsia="SimSun" w:cs="SimSun"/>
                <w:spacing w:val="-5"/>
              </w:rPr>
              <w:t>》</w:t>
            </w:r>
            <w:r>
              <w:rPr>
                <w:rFonts w:ascii="SimSun" w:hAnsi="SimSun" w:eastAsia="SimSun" w:cs="SimSun"/>
              </w:rPr>
              <w:t xml:space="preserve"> </w:t>
            </w:r>
            <w:r>
              <w:rPr>
                <w:rFonts w:ascii="SimSun" w:hAnsi="SimSun" w:eastAsia="SimSun" w:cs="SimSun"/>
                <w:spacing w:val="4"/>
              </w:rPr>
              <w:t>（</w:t>
            </w:r>
            <w:r>
              <w:rPr/>
              <w:t>GB</w:t>
            </w:r>
            <w:r>
              <w:rPr>
                <w:spacing w:val="4"/>
              </w:rPr>
              <w:t>36600-2018</w:t>
            </w:r>
            <w:r>
              <w:rPr>
                <w:rFonts w:ascii="SimSun" w:hAnsi="SimSun" w:eastAsia="SimSun" w:cs="SimSun"/>
                <w:spacing w:val="4"/>
              </w:rPr>
              <w:t>）第二类</w:t>
            </w:r>
            <w:r>
              <w:rPr>
                <w:rFonts w:ascii="SimSun" w:hAnsi="SimSun" w:eastAsia="SimSun" w:cs="SimSun"/>
                <w:spacing w:val="9"/>
              </w:rPr>
              <w:t>用地筛选值标准和《土壤</w:t>
            </w:r>
            <w:r>
              <w:rPr>
                <w:rFonts w:ascii="SimSun" w:hAnsi="SimSun" w:eastAsia="SimSun" w:cs="SimSun"/>
                <w:spacing w:val="17"/>
              </w:rPr>
              <w:t>环境质量标准</w:t>
            </w:r>
            <w:r>
              <w:rPr>
                <w:rFonts w:ascii="SimSun" w:hAnsi="SimSun" w:eastAsia="SimSun" w:cs="SimSun"/>
                <w:spacing w:val="40"/>
              </w:rPr>
              <w:t xml:space="preserve"> </w:t>
            </w:r>
            <w:r>
              <w:rPr>
                <w:rFonts w:ascii="SimSun" w:hAnsi="SimSun" w:eastAsia="SimSun" w:cs="SimSun"/>
                <w:spacing w:val="17"/>
              </w:rPr>
              <w:t>农用地土</w:t>
            </w:r>
            <w:r>
              <w:rPr>
                <w:rFonts w:ascii="SimSun" w:hAnsi="SimSun" w:eastAsia="SimSun" w:cs="SimSun"/>
                <w:spacing w:val="9"/>
              </w:rPr>
              <w:t>壤污染风险管控标准（试</w:t>
            </w:r>
            <w:r>
              <w:rPr>
                <w:rFonts w:ascii="SimSun" w:hAnsi="SimSun" w:eastAsia="SimSun" w:cs="SimSun"/>
                <w:spacing w:val="5"/>
              </w:rPr>
              <w:t>行）》（</w:t>
            </w:r>
            <w:r>
              <w:rPr/>
              <w:t>GB</w:t>
            </w:r>
            <w:r>
              <w:rPr>
                <w:spacing w:val="5"/>
              </w:rPr>
              <w:t>15618-2018</w:t>
            </w:r>
            <w:r>
              <w:rPr>
                <w:rFonts w:ascii="SimSun" w:hAnsi="SimSun" w:eastAsia="SimSun" w:cs="SimSun"/>
                <w:spacing w:val="5"/>
              </w:rPr>
              <w:t>）</w:t>
            </w:r>
            <w:r>
              <w:rPr>
                <w:rFonts w:ascii="SimSun" w:hAnsi="SimSun" w:eastAsia="SimSun" w:cs="SimSun"/>
                <w:spacing w:val="9"/>
              </w:rPr>
              <w:t>筛选值标准限值要求</w:t>
            </w:r>
          </w:p>
        </w:tc>
      </w:tr>
    </w:tbl>
    <w:p>
      <w:pPr>
        <w:pStyle w:val="BodyText"/>
        <w:spacing w:line="262" w:lineRule="auto"/>
        <w:rPr/>
      </w:pPr>
      <w:r/>
    </w:p>
    <w:p>
      <w:pPr>
        <w:pStyle w:val="BodyText"/>
        <w:spacing w:line="263" w:lineRule="auto"/>
        <w:rPr/>
      </w:pPr>
      <w:r/>
    </w:p>
    <w:p>
      <w:pPr>
        <w:pStyle w:val="BodyText"/>
        <w:spacing w:line="263" w:lineRule="auto"/>
        <w:rPr/>
      </w:pPr>
      <w:r/>
    </w:p>
    <w:p>
      <w:pPr>
        <w:ind w:left="3338"/>
        <w:spacing w:before="78" w:line="222" w:lineRule="auto"/>
        <w:rPr>
          <w:rFonts w:ascii="SimHei" w:hAnsi="SimHei" w:eastAsia="SimHei" w:cs="SimHei"/>
          <w:sz w:val="24"/>
          <w:szCs w:val="24"/>
        </w:rPr>
      </w:pPr>
      <w:r>
        <w:rPr>
          <w:rFonts w:ascii="SimHei" w:hAnsi="SimHei" w:eastAsia="SimHei" w:cs="SimHei"/>
          <w:sz w:val="24"/>
          <w:szCs w:val="24"/>
          <w:spacing w:val="-2"/>
        </w:rPr>
        <w:t>其他要素保护目标一览表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2-8-4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6"/>
        <w:gridCol w:w="2288"/>
        <w:gridCol w:w="1835"/>
        <w:gridCol w:w="1478"/>
        <w:gridCol w:w="2303"/>
      </w:tblGrid>
      <w:tr>
        <w:trPr>
          <w:trHeight w:val="282" w:hRule="atLeast"/>
        </w:trPr>
        <w:tc>
          <w:tcPr>
            <w:tcW w:w="1386" w:type="dxa"/>
            <w:vAlign w:val="top"/>
          </w:tcPr>
          <w:p>
            <w:pPr>
              <w:ind w:left="279"/>
              <w:spacing w:before="33" w:line="220" w:lineRule="auto"/>
              <w:rPr>
                <w:rFonts w:ascii="SimSun" w:hAnsi="SimSun" w:eastAsia="SimSun" w:cs="SimSun"/>
                <w:sz w:val="20"/>
                <w:szCs w:val="20"/>
              </w:rPr>
            </w:pPr>
            <w:r>
              <w:rPr>
                <w:rFonts w:ascii="SimSun" w:hAnsi="SimSun" w:eastAsia="SimSun" w:cs="SimSun"/>
                <w:sz w:val="20"/>
                <w:szCs w:val="20"/>
                <w:spacing w:val="7"/>
              </w:rPr>
              <w:t>环境要素</w:t>
            </w:r>
          </w:p>
        </w:tc>
        <w:tc>
          <w:tcPr>
            <w:tcW w:w="2288" w:type="dxa"/>
            <w:vAlign w:val="top"/>
          </w:tcPr>
          <w:p>
            <w:pPr>
              <w:ind w:left="729"/>
              <w:spacing w:before="33" w:line="220" w:lineRule="auto"/>
              <w:rPr>
                <w:rFonts w:ascii="SimSun" w:hAnsi="SimSun" w:eastAsia="SimSun" w:cs="SimSun"/>
                <w:sz w:val="20"/>
                <w:szCs w:val="20"/>
              </w:rPr>
            </w:pPr>
            <w:r>
              <w:rPr>
                <w:rFonts w:ascii="SimSun" w:hAnsi="SimSun" w:eastAsia="SimSun" w:cs="SimSun"/>
                <w:sz w:val="20"/>
                <w:szCs w:val="20"/>
                <w:spacing w:val="7"/>
              </w:rPr>
              <w:t>保护目标</w:t>
            </w:r>
          </w:p>
        </w:tc>
        <w:tc>
          <w:tcPr>
            <w:tcW w:w="1835" w:type="dxa"/>
            <w:vAlign w:val="top"/>
          </w:tcPr>
          <w:p>
            <w:pPr>
              <w:pStyle w:val="TableText"/>
              <w:ind w:left="265"/>
              <w:spacing w:before="33" w:line="220" w:lineRule="auto"/>
              <w:rPr>
                <w:rFonts w:ascii="SimSun" w:hAnsi="SimSun" w:eastAsia="SimSun" w:cs="SimSun"/>
              </w:rPr>
            </w:pPr>
            <w:r>
              <w:rPr>
                <w:rFonts w:ascii="SimSun" w:hAnsi="SimSun" w:eastAsia="SimSun" w:cs="SimSun"/>
                <w:spacing w:val="7"/>
              </w:rPr>
              <w:t>相对距离</w:t>
            </w:r>
            <w:r>
              <w:rPr>
                <w:spacing w:val="7"/>
              </w:rPr>
              <w:t>/</w:t>
            </w:r>
            <w:r>
              <w:rPr>
                <w:rFonts w:ascii="SimSun" w:hAnsi="SimSun" w:eastAsia="SimSun" w:cs="SimSun"/>
                <w:spacing w:val="7"/>
              </w:rPr>
              <w:t>方位</w:t>
            </w:r>
          </w:p>
        </w:tc>
        <w:tc>
          <w:tcPr>
            <w:tcW w:w="1478" w:type="dxa"/>
            <w:vAlign w:val="top"/>
          </w:tcPr>
          <w:p>
            <w:pPr>
              <w:ind w:left="220"/>
              <w:spacing w:before="33" w:line="220" w:lineRule="auto"/>
              <w:rPr>
                <w:rFonts w:ascii="SimSun" w:hAnsi="SimSun" w:eastAsia="SimSun" w:cs="SimSun"/>
                <w:sz w:val="20"/>
                <w:szCs w:val="20"/>
              </w:rPr>
            </w:pPr>
            <w:r>
              <w:rPr>
                <w:rFonts w:ascii="SimSun" w:hAnsi="SimSun" w:eastAsia="SimSun" w:cs="SimSun"/>
                <w:sz w:val="20"/>
                <w:szCs w:val="20"/>
                <w:spacing w:val="8"/>
              </w:rPr>
              <w:t>环境功能区</w:t>
            </w:r>
          </w:p>
        </w:tc>
        <w:tc>
          <w:tcPr>
            <w:tcW w:w="2303" w:type="dxa"/>
            <w:vAlign w:val="top"/>
          </w:tcPr>
          <w:p>
            <w:pPr>
              <w:ind w:left="527"/>
              <w:spacing w:before="33" w:line="220" w:lineRule="auto"/>
              <w:rPr>
                <w:rFonts w:ascii="SimSun" w:hAnsi="SimSun" w:eastAsia="SimSun" w:cs="SimSun"/>
                <w:sz w:val="20"/>
                <w:szCs w:val="20"/>
              </w:rPr>
            </w:pPr>
            <w:r>
              <w:rPr>
                <w:rFonts w:ascii="SimSun" w:hAnsi="SimSun" w:eastAsia="SimSun" w:cs="SimSun"/>
                <w:sz w:val="20"/>
                <w:szCs w:val="20"/>
                <w:spacing w:val="7"/>
              </w:rPr>
              <w:t>主要保护措施</w:t>
            </w:r>
          </w:p>
        </w:tc>
      </w:tr>
      <w:tr>
        <w:trPr>
          <w:trHeight w:val="1092" w:hRule="atLeast"/>
        </w:trPr>
        <w:tc>
          <w:tcPr>
            <w:tcW w:w="1386" w:type="dxa"/>
            <w:vAlign w:val="top"/>
          </w:tcPr>
          <w:p>
            <w:pPr>
              <w:spacing w:line="371" w:lineRule="auto"/>
              <w:rPr>
                <w:rFonts w:ascii="Arial"/>
                <w:sz w:val="21"/>
              </w:rPr>
            </w:pPr>
            <w:r/>
          </w:p>
          <w:p>
            <w:pPr>
              <w:ind w:left="386"/>
              <w:spacing w:before="65" w:line="228" w:lineRule="auto"/>
              <w:rPr>
                <w:rFonts w:ascii="SimSun" w:hAnsi="SimSun" w:eastAsia="SimSun" w:cs="SimSun"/>
                <w:sz w:val="20"/>
                <w:szCs w:val="20"/>
              </w:rPr>
            </w:pPr>
            <w:r>
              <w:rPr>
                <w:rFonts w:ascii="SimSun" w:hAnsi="SimSun" w:eastAsia="SimSun" w:cs="SimSun"/>
                <w:sz w:val="20"/>
                <w:szCs w:val="20"/>
                <w:spacing w:val="5"/>
              </w:rPr>
              <w:t>声环境</w:t>
            </w:r>
          </w:p>
        </w:tc>
        <w:tc>
          <w:tcPr>
            <w:tcW w:w="2288" w:type="dxa"/>
            <w:vAlign w:val="top"/>
          </w:tcPr>
          <w:p>
            <w:pPr>
              <w:pStyle w:val="TableText"/>
              <w:ind w:left="122"/>
              <w:spacing w:before="30" w:line="228" w:lineRule="auto"/>
              <w:rPr>
                <w:rFonts w:ascii="SimSun" w:hAnsi="SimSun" w:eastAsia="SimSun" w:cs="SimSun"/>
              </w:rPr>
            </w:pPr>
            <w:r>
              <w:rPr>
                <w:rFonts w:ascii="SimSun" w:hAnsi="SimSun" w:eastAsia="SimSun" w:cs="SimSun"/>
                <w:spacing w:val="6"/>
              </w:rPr>
              <w:t>工业场地场外</w:t>
            </w:r>
            <w:r>
              <w:rPr>
                <w:rFonts w:ascii="SimSun" w:hAnsi="SimSun" w:eastAsia="SimSun" w:cs="SimSun"/>
                <w:spacing w:val="-31"/>
              </w:rPr>
              <w:t xml:space="preserve"> </w:t>
            </w:r>
            <w:r>
              <w:rPr>
                <w:spacing w:val="6"/>
              </w:rPr>
              <w:t>200m </w:t>
            </w:r>
            <w:r>
              <w:rPr>
                <w:rFonts w:ascii="SimSun" w:hAnsi="SimSun" w:eastAsia="SimSun" w:cs="SimSun"/>
                <w:spacing w:val="6"/>
              </w:rPr>
              <w:t>范</w:t>
            </w:r>
          </w:p>
          <w:p>
            <w:pPr>
              <w:pStyle w:val="TableText"/>
              <w:ind w:left="167"/>
              <w:spacing w:before="23" w:line="227" w:lineRule="auto"/>
              <w:rPr/>
            </w:pPr>
            <w:r>
              <w:rPr>
                <w:rFonts w:ascii="SimSun" w:hAnsi="SimSun" w:eastAsia="SimSun" w:cs="SimSun"/>
                <w:spacing w:val="5"/>
              </w:rPr>
              <w:t>围、采掘场场外</w:t>
            </w:r>
            <w:r>
              <w:rPr>
                <w:rFonts w:ascii="SimSun" w:hAnsi="SimSun" w:eastAsia="SimSun" w:cs="SimSun"/>
                <w:spacing w:val="-41"/>
              </w:rPr>
              <w:t xml:space="preserve"> </w:t>
            </w:r>
            <w:r>
              <w:rPr>
                <w:spacing w:val="5"/>
              </w:rPr>
              <w:t>200m</w:t>
            </w:r>
          </w:p>
          <w:p>
            <w:pPr>
              <w:ind w:left="208"/>
              <w:spacing w:before="24" w:line="228" w:lineRule="auto"/>
              <w:rPr>
                <w:rFonts w:ascii="SimSun" w:hAnsi="SimSun" w:eastAsia="SimSun" w:cs="SimSun"/>
                <w:sz w:val="20"/>
                <w:szCs w:val="20"/>
              </w:rPr>
            </w:pPr>
            <w:r>
              <w:rPr>
                <w:rFonts w:ascii="SimSun" w:hAnsi="SimSun" w:eastAsia="SimSun" w:cs="SimSun"/>
                <w:sz w:val="20"/>
                <w:szCs w:val="20"/>
                <w:spacing w:val="8"/>
              </w:rPr>
              <w:t>范围内无声环境保护</w:t>
            </w:r>
          </w:p>
          <w:p>
            <w:pPr>
              <w:ind w:left="975"/>
              <w:spacing w:before="26" w:line="218" w:lineRule="auto"/>
              <w:rPr>
                <w:rFonts w:ascii="SimSun" w:hAnsi="SimSun" w:eastAsia="SimSun" w:cs="SimSun"/>
                <w:sz w:val="20"/>
                <w:szCs w:val="20"/>
              </w:rPr>
            </w:pPr>
            <w:r>
              <w:rPr>
                <w:rFonts w:ascii="SimSun" w:hAnsi="SimSun" w:eastAsia="SimSun" w:cs="SimSun"/>
                <w:sz w:val="20"/>
                <w:szCs w:val="20"/>
                <w:spacing w:val="-16"/>
              </w:rPr>
              <w:t>目标</w:t>
            </w:r>
          </w:p>
        </w:tc>
        <w:tc>
          <w:tcPr>
            <w:tcW w:w="1835" w:type="dxa"/>
            <w:vAlign w:val="top"/>
          </w:tcPr>
          <w:p>
            <w:pPr>
              <w:spacing w:line="410" w:lineRule="auto"/>
              <w:rPr>
                <w:rFonts w:ascii="Arial"/>
                <w:sz w:val="21"/>
              </w:rPr>
            </w:pPr>
            <w:r/>
          </w:p>
          <w:p>
            <w:pPr>
              <w:pStyle w:val="TableText"/>
              <w:ind w:left="888"/>
              <w:spacing w:before="57" w:line="199" w:lineRule="auto"/>
              <w:rPr/>
            </w:pPr>
            <w:r>
              <w:rPr>
                <w:spacing w:val="2"/>
              </w:rPr>
              <w:t>/</w:t>
            </w:r>
          </w:p>
        </w:tc>
        <w:tc>
          <w:tcPr>
            <w:tcW w:w="1478" w:type="dxa"/>
            <w:vAlign w:val="top"/>
          </w:tcPr>
          <w:p>
            <w:pPr>
              <w:spacing w:line="370" w:lineRule="auto"/>
              <w:rPr>
                <w:rFonts w:ascii="Arial"/>
                <w:sz w:val="21"/>
              </w:rPr>
            </w:pPr>
            <w:r/>
          </w:p>
          <w:p>
            <w:pPr>
              <w:pStyle w:val="TableText"/>
              <w:ind w:left="454"/>
              <w:spacing w:before="65" w:line="228" w:lineRule="auto"/>
              <w:rPr>
                <w:rFonts w:ascii="SimSun" w:hAnsi="SimSun" w:eastAsia="SimSun" w:cs="SimSun"/>
              </w:rPr>
            </w:pPr>
            <w:r>
              <w:rPr>
                <w:spacing w:val="3"/>
              </w:rPr>
              <w:t>2</w:t>
            </w:r>
            <w:r>
              <w:rPr>
                <w:spacing w:val="9"/>
              </w:rPr>
              <w:t xml:space="preserve"> </w:t>
            </w:r>
            <w:r>
              <w:rPr>
                <w:rFonts w:ascii="SimSun" w:hAnsi="SimSun" w:eastAsia="SimSun" w:cs="SimSun"/>
                <w:spacing w:val="3"/>
              </w:rPr>
              <w:t>类区</w:t>
            </w:r>
          </w:p>
        </w:tc>
        <w:tc>
          <w:tcPr>
            <w:tcW w:w="2303" w:type="dxa"/>
            <w:vAlign w:val="top"/>
          </w:tcPr>
          <w:p>
            <w:pPr>
              <w:ind w:left="117"/>
              <w:spacing w:before="29" w:line="228" w:lineRule="auto"/>
              <w:rPr>
                <w:rFonts w:ascii="SimSun" w:hAnsi="SimSun" w:eastAsia="SimSun" w:cs="SimSun"/>
                <w:sz w:val="20"/>
                <w:szCs w:val="20"/>
              </w:rPr>
            </w:pPr>
            <w:r>
              <w:rPr>
                <w:rFonts w:ascii="SimSun" w:hAnsi="SimSun" w:eastAsia="SimSun" w:cs="SimSun"/>
                <w:sz w:val="20"/>
                <w:szCs w:val="20"/>
                <w:spacing w:val="6"/>
              </w:rPr>
              <w:t>厂界执行</w:t>
            </w:r>
          </w:p>
          <w:p>
            <w:pPr>
              <w:pStyle w:val="TableText"/>
              <w:ind w:left="111" w:right="150" w:firstLine="13"/>
              <w:spacing w:before="25"/>
              <w:rPr>
                <w:rFonts w:ascii="SimSun" w:hAnsi="SimSun" w:eastAsia="SimSun" w:cs="SimSun"/>
              </w:rPr>
            </w:pPr>
            <w:r>
              <w:rPr>
                <w:rFonts w:ascii="SimSun" w:hAnsi="SimSun" w:eastAsia="SimSun" w:cs="SimSun"/>
                <w:spacing w:val="2"/>
              </w:rPr>
              <w:t>（</w:t>
            </w:r>
            <w:r>
              <w:rPr/>
              <w:t>GB</w:t>
            </w:r>
            <w:r>
              <w:rPr>
                <w:spacing w:val="2"/>
              </w:rPr>
              <w:t>12348-2008</w:t>
            </w:r>
            <w:r>
              <w:rPr>
                <w:rFonts w:ascii="SimSun" w:hAnsi="SimSun" w:eastAsia="SimSun" w:cs="SimSun"/>
                <w:spacing w:val="2"/>
              </w:rPr>
              <w:t>）</w:t>
            </w:r>
            <w:r>
              <w:rPr>
                <w:rFonts w:ascii="SimSun" w:hAnsi="SimSun" w:eastAsia="SimSun" w:cs="SimSun"/>
                <w:spacing w:val="50"/>
              </w:rPr>
              <w:t xml:space="preserve"> </w:t>
            </w:r>
            <w:r>
              <w:rPr>
                <w:rFonts w:ascii="SimSun" w:hAnsi="SimSun" w:eastAsia="SimSun" w:cs="SimSun"/>
                <w:spacing w:val="2"/>
              </w:rPr>
              <w:t>中</w:t>
            </w:r>
            <w:r>
              <w:rPr>
                <w:spacing w:val="7"/>
              </w:rPr>
              <w:t>2  </w:t>
            </w:r>
            <w:r>
              <w:rPr>
                <w:rFonts w:ascii="SimSun" w:hAnsi="SimSun" w:eastAsia="SimSun" w:cs="SimSun"/>
                <w:spacing w:val="7"/>
              </w:rPr>
              <w:t>类功能区排放限值</w:t>
            </w:r>
            <w:r>
              <w:rPr>
                <w:rFonts w:ascii="SimSun" w:hAnsi="SimSun" w:eastAsia="SimSun" w:cs="SimSun"/>
                <w:spacing w:val="8"/>
              </w:rPr>
              <w:t>的相应要求</w:t>
            </w:r>
          </w:p>
        </w:tc>
      </w:tr>
      <w:tr>
        <w:trPr>
          <w:trHeight w:val="1097" w:hRule="atLeast"/>
        </w:trPr>
        <w:tc>
          <w:tcPr>
            <w:tcW w:w="1386" w:type="dxa"/>
            <w:vAlign w:val="top"/>
          </w:tcPr>
          <w:p>
            <w:pPr>
              <w:spacing w:line="372" w:lineRule="auto"/>
              <w:rPr>
                <w:rFonts w:ascii="Arial"/>
                <w:sz w:val="21"/>
              </w:rPr>
            </w:pPr>
            <w:r/>
          </w:p>
          <w:p>
            <w:pPr>
              <w:ind w:left="173"/>
              <w:spacing w:before="65" w:line="228" w:lineRule="auto"/>
              <w:rPr>
                <w:rFonts w:ascii="SimSun" w:hAnsi="SimSun" w:eastAsia="SimSun" w:cs="SimSun"/>
                <w:sz w:val="20"/>
                <w:szCs w:val="20"/>
              </w:rPr>
            </w:pPr>
            <w:r>
              <w:rPr>
                <w:rFonts w:ascii="SimSun" w:hAnsi="SimSun" w:eastAsia="SimSun" w:cs="SimSun"/>
                <w:sz w:val="20"/>
                <w:szCs w:val="20"/>
                <w:spacing w:val="8"/>
              </w:rPr>
              <w:t>地表水环境</w:t>
            </w:r>
          </w:p>
        </w:tc>
        <w:tc>
          <w:tcPr>
            <w:tcW w:w="2288" w:type="dxa"/>
            <w:vAlign w:val="top"/>
          </w:tcPr>
          <w:p>
            <w:pPr>
              <w:spacing w:line="372" w:lineRule="auto"/>
              <w:rPr>
                <w:rFonts w:ascii="Arial"/>
                <w:sz w:val="21"/>
              </w:rPr>
            </w:pPr>
            <w:r/>
          </w:p>
          <w:p>
            <w:pPr>
              <w:ind w:left="729"/>
              <w:spacing w:before="65" w:line="227" w:lineRule="auto"/>
              <w:rPr>
                <w:rFonts w:ascii="SimSun" w:hAnsi="SimSun" w:eastAsia="SimSun" w:cs="SimSun"/>
                <w:sz w:val="20"/>
                <w:szCs w:val="20"/>
              </w:rPr>
            </w:pPr>
            <w:r>
              <w:rPr>
                <w:rFonts w:ascii="SimSun" w:hAnsi="SimSun" w:eastAsia="SimSun" w:cs="SimSun"/>
                <w:sz w:val="20"/>
                <w:szCs w:val="20"/>
                <w:spacing w:val="7"/>
              </w:rPr>
              <w:t>彦吉嘎河</w:t>
            </w:r>
          </w:p>
        </w:tc>
        <w:tc>
          <w:tcPr>
            <w:tcW w:w="1835" w:type="dxa"/>
            <w:vAlign w:val="top"/>
          </w:tcPr>
          <w:p>
            <w:pPr>
              <w:pStyle w:val="TableText"/>
              <w:ind w:left="116"/>
              <w:spacing w:before="183" w:line="228" w:lineRule="auto"/>
              <w:rPr>
                <w:rFonts w:ascii="SimSun" w:hAnsi="SimSun" w:eastAsia="SimSun" w:cs="SimSun"/>
              </w:rPr>
            </w:pPr>
            <w:r>
              <w:rPr>
                <w:rFonts w:ascii="SimSun" w:hAnsi="SimSun" w:eastAsia="SimSun" w:cs="SimSun"/>
                <w:spacing w:val="4"/>
              </w:rPr>
              <w:t>约</w:t>
            </w:r>
            <w:r>
              <w:rPr>
                <w:rFonts w:ascii="SimSun" w:hAnsi="SimSun" w:eastAsia="SimSun" w:cs="SimSun"/>
                <w:spacing w:val="-42"/>
              </w:rPr>
              <w:t xml:space="preserve"> </w:t>
            </w:r>
            <w:r>
              <w:rPr>
                <w:spacing w:val="4"/>
              </w:rPr>
              <w:t>582m </w:t>
            </w:r>
            <w:r>
              <w:rPr>
                <w:rFonts w:ascii="SimSun" w:hAnsi="SimSun" w:eastAsia="SimSun" w:cs="SimSun"/>
                <w:spacing w:val="4"/>
              </w:rPr>
              <w:t>位于露天</w:t>
            </w:r>
          </w:p>
          <w:p>
            <w:pPr>
              <w:ind w:left="307"/>
              <w:spacing w:before="23" w:line="228" w:lineRule="auto"/>
              <w:rPr>
                <w:rFonts w:ascii="SimSun" w:hAnsi="SimSun" w:eastAsia="SimSun" w:cs="SimSun"/>
                <w:sz w:val="20"/>
                <w:szCs w:val="20"/>
              </w:rPr>
            </w:pPr>
            <w:r>
              <w:rPr>
                <w:rFonts w:ascii="SimSun" w:hAnsi="SimSun" w:eastAsia="SimSun" w:cs="SimSun"/>
                <w:sz w:val="20"/>
                <w:szCs w:val="20"/>
                <w:spacing w:val="5"/>
              </w:rPr>
              <w:t>区井田范围内</w:t>
            </w:r>
          </w:p>
          <w:p>
            <w:pPr>
              <w:pStyle w:val="TableText"/>
              <w:ind w:left="715"/>
              <w:spacing w:before="42" w:line="199" w:lineRule="auto"/>
              <w:rPr/>
            </w:pPr>
            <w:r>
              <w:rPr>
                <w:spacing w:val="4"/>
              </w:rPr>
              <w:t>/N/E</w:t>
            </w:r>
          </w:p>
        </w:tc>
        <w:tc>
          <w:tcPr>
            <w:tcW w:w="1478" w:type="dxa"/>
            <w:vAlign w:val="top"/>
          </w:tcPr>
          <w:p>
            <w:pPr>
              <w:spacing w:line="372" w:lineRule="auto"/>
              <w:rPr>
                <w:rFonts w:ascii="Arial"/>
                <w:sz w:val="21"/>
              </w:rPr>
            </w:pPr>
            <w:r/>
          </w:p>
          <w:p>
            <w:pPr>
              <w:ind w:left="325"/>
              <w:spacing w:before="65" w:line="228" w:lineRule="auto"/>
              <w:rPr>
                <w:rFonts w:ascii="SimSun" w:hAnsi="SimSun" w:eastAsia="SimSun" w:cs="SimSun"/>
                <w:sz w:val="20"/>
                <w:szCs w:val="20"/>
              </w:rPr>
            </w:pPr>
            <w:r>
              <w:rPr>
                <w:rFonts w:ascii="SimSun" w:hAnsi="SimSun" w:eastAsia="SimSun" w:cs="SimSun"/>
                <w:sz w:val="20"/>
                <w:szCs w:val="20"/>
                <w:spacing w:val="8"/>
              </w:rPr>
              <w:t>Ⅲ类水体</w:t>
            </w:r>
          </w:p>
        </w:tc>
        <w:tc>
          <w:tcPr>
            <w:tcW w:w="2303" w:type="dxa"/>
            <w:vAlign w:val="top"/>
          </w:tcPr>
          <w:p>
            <w:pPr>
              <w:ind w:left="115" w:right="109"/>
              <w:spacing w:before="33" w:line="250" w:lineRule="auto"/>
              <w:rPr>
                <w:rFonts w:ascii="SimSun" w:hAnsi="SimSun" w:eastAsia="SimSun" w:cs="SimSun"/>
                <w:sz w:val="20"/>
                <w:szCs w:val="20"/>
              </w:rPr>
            </w:pPr>
            <w:r>
              <w:rPr>
                <w:rFonts w:ascii="SimSun" w:hAnsi="SimSun" w:eastAsia="SimSun" w:cs="SimSun"/>
                <w:sz w:val="20"/>
                <w:szCs w:val="20"/>
                <w:spacing w:val="7"/>
              </w:rPr>
              <w:t>执行《地表水环境质量</w:t>
            </w:r>
            <w:r>
              <w:rPr>
                <w:rFonts w:ascii="SimSun" w:hAnsi="SimSun" w:eastAsia="SimSun" w:cs="SimSun"/>
                <w:sz w:val="20"/>
                <w:szCs w:val="20"/>
                <w:spacing w:val="2"/>
              </w:rPr>
              <w:t>标准》</w:t>
            </w:r>
          </w:p>
          <w:p>
            <w:pPr>
              <w:pStyle w:val="TableText"/>
              <w:ind w:left="112" w:right="150" w:firstLine="13"/>
              <w:spacing w:line="236" w:lineRule="auto"/>
              <w:rPr>
                <w:rFonts w:ascii="SimSun" w:hAnsi="SimSun" w:eastAsia="SimSun" w:cs="SimSun"/>
              </w:rPr>
            </w:pPr>
            <w:r>
              <w:rPr>
                <w:rFonts w:ascii="SimSun" w:hAnsi="SimSun" w:eastAsia="SimSun" w:cs="SimSun"/>
                <w:spacing w:val="5"/>
              </w:rPr>
              <w:t>（</w:t>
            </w:r>
            <w:r>
              <w:rPr/>
              <w:t>GB</w:t>
            </w:r>
            <w:r>
              <w:rPr>
                <w:spacing w:val="5"/>
              </w:rPr>
              <w:t>3838-2002</w:t>
            </w:r>
            <w:r>
              <w:rPr>
                <w:rFonts w:ascii="SimSun" w:hAnsi="SimSun" w:eastAsia="SimSun" w:cs="SimSun"/>
                <w:spacing w:val="5"/>
              </w:rPr>
              <w:t>）中的</w:t>
            </w:r>
            <w:r>
              <w:rPr>
                <w:spacing w:val="8"/>
              </w:rPr>
              <w:t>Ⅲ</w:t>
            </w:r>
            <w:r>
              <w:rPr>
                <w:rFonts w:ascii="SimSun" w:hAnsi="SimSun" w:eastAsia="SimSun" w:cs="SimSun"/>
                <w:spacing w:val="8"/>
              </w:rPr>
              <w:t>类标准相应要求</w:t>
            </w:r>
          </w:p>
        </w:tc>
      </w:tr>
    </w:tbl>
    <w:p>
      <w:pPr>
        <w:pStyle w:val="BodyText"/>
        <w:rPr/>
      </w:pPr>
      <w:r/>
    </w:p>
    <w:p>
      <w:pPr>
        <w:sectPr>
          <w:footerReference w:type="default" r:id="rId78"/>
          <w:pgSz w:w="11906" w:h="16838"/>
          <w:pgMar w:top="1170" w:right="1304" w:bottom="1080" w:left="1305" w:header="837" w:footer="918" w:gutter="0"/>
        </w:sectPr>
        <w:rPr/>
      </w:pPr>
    </w:p>
    <w:p>
      <w:pPr>
        <w:pStyle w:val="BodyText"/>
        <w:spacing w:line="269" w:lineRule="auto"/>
        <w:rPr/>
      </w:pPr>
      <w:r/>
    </w:p>
    <w:p>
      <w:pPr>
        <w:pStyle w:val="BodyText"/>
        <w:spacing w:line="269" w:lineRule="auto"/>
        <w:rPr/>
      </w:pPr>
      <w:r/>
    </w:p>
    <w:p>
      <w:pPr>
        <w:ind w:left="2796"/>
        <w:spacing w:before="117" w:line="221" w:lineRule="auto"/>
        <w:outlineLvl w:val="0"/>
        <w:rPr>
          <w:rFonts w:ascii="SimHei" w:hAnsi="SimHei" w:eastAsia="SimHei" w:cs="SimHei"/>
          <w:sz w:val="36"/>
          <w:szCs w:val="36"/>
        </w:rPr>
      </w:pPr>
      <w:bookmarkStart w:name="bookmark17" w:id="30"/>
      <w:bookmarkEnd w:id="30"/>
      <w:r>
        <w:rPr>
          <w:rFonts w:ascii="Times New Roman" w:hAnsi="Times New Roman" w:eastAsia="Times New Roman" w:cs="Times New Roman"/>
          <w:sz w:val="36"/>
          <w:szCs w:val="36"/>
          <w:spacing w:val="-2"/>
        </w:rPr>
        <w:t>3 </w:t>
      </w:r>
      <w:r>
        <w:rPr>
          <w:rFonts w:ascii="SimHei" w:hAnsi="SimHei" w:eastAsia="SimHei" w:cs="SimHei"/>
          <w:sz w:val="36"/>
          <w:szCs w:val="36"/>
          <w:spacing w:val="-2"/>
        </w:rPr>
        <w:t>项目概况与工程分析</w:t>
      </w:r>
    </w:p>
    <w:p>
      <w:pPr>
        <w:pStyle w:val="BodyText"/>
        <w:spacing w:line="458" w:lineRule="auto"/>
        <w:rPr/>
      </w:pPr>
      <w:r/>
    </w:p>
    <w:p>
      <w:pPr>
        <w:ind w:left="4"/>
        <w:spacing w:before="97" w:line="222" w:lineRule="auto"/>
        <w:outlineLvl w:val="1"/>
        <w:rPr>
          <w:rFonts w:ascii="SimHei" w:hAnsi="SimHei" w:eastAsia="SimHei" w:cs="SimHei"/>
          <w:sz w:val="30"/>
          <w:szCs w:val="30"/>
        </w:rPr>
      </w:pPr>
      <w:bookmarkStart w:name="bookmark18" w:id="31"/>
      <w:bookmarkEnd w:id="31"/>
      <w:r>
        <w:rPr>
          <w:rFonts w:ascii="Times New Roman" w:hAnsi="Times New Roman" w:eastAsia="Times New Roman" w:cs="Times New Roman"/>
          <w:sz w:val="30"/>
          <w:szCs w:val="30"/>
          <w:b/>
          <w:bCs/>
          <w:spacing w:val="-2"/>
        </w:rPr>
        <w:t>3.1  </w:t>
      </w:r>
      <w:r>
        <w:rPr>
          <w:rFonts w:ascii="SimHei" w:hAnsi="SimHei" w:eastAsia="SimHei" w:cs="SimHei"/>
          <w:sz w:val="30"/>
          <w:szCs w:val="30"/>
          <w:b/>
          <w:bCs/>
          <w:spacing w:val="-2"/>
        </w:rPr>
        <w:t>项目历史沿革</w:t>
      </w:r>
    </w:p>
    <w:p>
      <w:pPr>
        <w:ind w:left="8" w:right="4" w:firstLine="481"/>
        <w:spacing w:before="163" w:line="341" w:lineRule="auto"/>
        <w:rPr>
          <w:rFonts w:ascii="SimSun" w:hAnsi="SimSun" w:eastAsia="SimSun" w:cs="SimSun"/>
          <w:sz w:val="24"/>
          <w:szCs w:val="24"/>
        </w:rPr>
      </w:pPr>
      <w:r>
        <w:rPr>
          <w:rFonts w:ascii="SimSun" w:hAnsi="SimSun" w:eastAsia="SimSun" w:cs="SimSun"/>
          <w:sz w:val="24"/>
          <w:szCs w:val="24"/>
          <w:spacing w:val="1"/>
        </w:rPr>
        <w:t>本项目历史沿革及及相关手续情况汇总详见表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rPr>
        <w:t>-1-1</w:t>
      </w:r>
      <w:r>
        <w:rPr>
          <w:rFonts w:ascii="Times New Roman" w:hAnsi="Times New Roman" w:eastAsia="Times New Roman" w:cs="Times New Roman"/>
          <w:sz w:val="24"/>
          <w:szCs w:val="24"/>
          <w:spacing w:val="-22"/>
        </w:rPr>
        <w:t xml:space="preserve"> </w:t>
      </w:r>
      <w:r>
        <w:rPr>
          <w:rFonts w:ascii="SimSun" w:hAnsi="SimSun" w:eastAsia="SimSun" w:cs="SimSun"/>
          <w:sz w:val="24"/>
          <w:szCs w:val="24"/>
        </w:rPr>
        <w:t>。本项目相关环保手续情况见</w:t>
      </w:r>
      <w:r>
        <w:rPr>
          <w:rFonts w:ascii="SimSun" w:hAnsi="SimSun" w:eastAsia="SimSun" w:cs="SimSun"/>
          <w:sz w:val="24"/>
          <w:szCs w:val="24"/>
          <w:spacing w:val="-3"/>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3-1-2</w:t>
      </w:r>
      <w:r>
        <w:rPr>
          <w:rFonts w:ascii="SimSun" w:hAnsi="SimSun" w:eastAsia="SimSun" w:cs="SimSun"/>
          <w:sz w:val="24"/>
          <w:szCs w:val="24"/>
          <w:spacing w:val="-3"/>
        </w:rPr>
        <w:t>。</w:t>
      </w:r>
    </w:p>
    <w:p>
      <w:pPr>
        <w:spacing w:line="341" w:lineRule="auto"/>
        <w:sectPr>
          <w:headerReference w:type="default" r:id="rId79"/>
          <w:footerReference w:type="default" r:id="rId80"/>
          <w:pgSz w:w="11906" w:h="16838"/>
          <w:pgMar w:top="1170" w:right="1417" w:bottom="1080" w:left="1416" w:header="837" w:footer="918" w:gutter="0"/>
        </w:sectPr>
        <w:rPr>
          <w:rFonts w:ascii="SimSun" w:hAnsi="SimSun" w:eastAsia="SimSun" w:cs="SimSun"/>
          <w:sz w:val="24"/>
          <w:szCs w:val="24"/>
        </w:rPr>
      </w:pPr>
    </w:p>
    <w:p>
      <w:pPr>
        <w:pStyle w:val="BodyText"/>
        <w:spacing w:line="439" w:lineRule="auto"/>
        <w:rPr/>
      </w:pPr>
      <w:r/>
    </w:p>
    <w:p>
      <w:pPr>
        <w:ind w:left="5825"/>
        <w:spacing w:before="78" w:line="221" w:lineRule="auto"/>
        <w:rPr>
          <w:rFonts w:ascii="SimHei" w:hAnsi="SimHei" w:eastAsia="SimHei" w:cs="SimHei"/>
          <w:sz w:val="24"/>
          <w:szCs w:val="24"/>
        </w:rPr>
      </w:pPr>
      <w:r>
        <w:rPr>
          <w:rFonts w:ascii="SimHei" w:hAnsi="SimHei" w:eastAsia="SimHei" w:cs="SimHei"/>
          <w:sz w:val="24"/>
          <w:szCs w:val="24"/>
          <w:spacing w:val="-1"/>
        </w:rPr>
        <w:t>本项目历史沿革工程概况表</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3-1-1</w:t>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84"/>
        <w:gridCol w:w="2728"/>
        <w:gridCol w:w="1238"/>
        <w:gridCol w:w="1461"/>
        <w:gridCol w:w="2435"/>
        <w:gridCol w:w="5861"/>
      </w:tblGrid>
      <w:tr>
        <w:trPr>
          <w:trHeight w:val="283" w:hRule="atLeast"/>
        </w:trPr>
        <w:tc>
          <w:tcPr>
            <w:tcW w:w="784" w:type="dxa"/>
            <w:vAlign w:val="top"/>
          </w:tcPr>
          <w:p>
            <w:pPr>
              <w:ind w:left="112"/>
              <w:spacing w:before="33" w:line="221" w:lineRule="auto"/>
              <w:rPr>
                <w:rFonts w:ascii="SimSun" w:hAnsi="SimSun" w:eastAsia="SimSun" w:cs="SimSun"/>
                <w:sz w:val="20"/>
                <w:szCs w:val="20"/>
              </w:rPr>
            </w:pPr>
            <w:r>
              <w:rPr>
                <w:rFonts w:ascii="SimSun" w:hAnsi="SimSun" w:eastAsia="SimSun" w:cs="SimSun"/>
                <w:sz w:val="20"/>
                <w:szCs w:val="20"/>
                <w:spacing w:val="5"/>
              </w:rPr>
              <w:t>序号</w:t>
            </w:r>
          </w:p>
        </w:tc>
        <w:tc>
          <w:tcPr>
            <w:tcW w:w="2728" w:type="dxa"/>
            <w:vAlign w:val="top"/>
          </w:tcPr>
          <w:p>
            <w:pPr>
              <w:ind w:left="948"/>
              <w:spacing w:before="33" w:line="221" w:lineRule="auto"/>
              <w:rPr>
                <w:rFonts w:ascii="SimSun" w:hAnsi="SimSun" w:eastAsia="SimSun" w:cs="SimSun"/>
                <w:sz w:val="20"/>
                <w:szCs w:val="20"/>
              </w:rPr>
            </w:pPr>
            <w:r>
              <w:rPr>
                <w:rFonts w:ascii="SimSun" w:hAnsi="SimSun" w:eastAsia="SimSun" w:cs="SimSun"/>
                <w:sz w:val="20"/>
                <w:szCs w:val="20"/>
                <w:spacing w:val="6"/>
              </w:rPr>
              <w:t>文件名称</w:t>
            </w:r>
          </w:p>
        </w:tc>
        <w:tc>
          <w:tcPr>
            <w:tcW w:w="1238" w:type="dxa"/>
            <w:vAlign w:val="top"/>
          </w:tcPr>
          <w:p>
            <w:pPr>
              <w:ind w:left="212"/>
              <w:spacing w:before="33" w:line="221" w:lineRule="auto"/>
              <w:rPr>
                <w:rFonts w:ascii="SimSun" w:hAnsi="SimSun" w:eastAsia="SimSun" w:cs="SimSun"/>
                <w:sz w:val="20"/>
                <w:szCs w:val="20"/>
              </w:rPr>
            </w:pPr>
            <w:r>
              <w:rPr>
                <w:rFonts w:ascii="SimSun" w:hAnsi="SimSun" w:eastAsia="SimSun" w:cs="SimSun"/>
                <w:sz w:val="20"/>
                <w:szCs w:val="20"/>
                <w:spacing w:val="4"/>
              </w:rPr>
              <w:t>审批部门</w:t>
            </w:r>
          </w:p>
        </w:tc>
        <w:tc>
          <w:tcPr>
            <w:tcW w:w="1461" w:type="dxa"/>
            <w:vAlign w:val="top"/>
          </w:tcPr>
          <w:p>
            <w:pPr>
              <w:ind w:left="325"/>
              <w:spacing w:before="33" w:line="221" w:lineRule="auto"/>
              <w:rPr>
                <w:rFonts w:ascii="SimSun" w:hAnsi="SimSun" w:eastAsia="SimSun" w:cs="SimSun"/>
                <w:sz w:val="20"/>
                <w:szCs w:val="20"/>
              </w:rPr>
            </w:pPr>
            <w:r>
              <w:rPr>
                <w:rFonts w:ascii="SimSun" w:hAnsi="SimSun" w:eastAsia="SimSun" w:cs="SimSun"/>
                <w:sz w:val="20"/>
                <w:szCs w:val="20"/>
                <w:spacing w:val="4"/>
              </w:rPr>
              <w:t>审批时间</w:t>
            </w:r>
          </w:p>
        </w:tc>
        <w:tc>
          <w:tcPr>
            <w:tcW w:w="2435" w:type="dxa"/>
            <w:vAlign w:val="top"/>
          </w:tcPr>
          <w:p>
            <w:pPr>
              <w:ind w:left="813"/>
              <w:spacing w:before="33" w:line="221" w:lineRule="auto"/>
              <w:rPr>
                <w:rFonts w:ascii="SimSun" w:hAnsi="SimSun" w:eastAsia="SimSun" w:cs="SimSun"/>
                <w:sz w:val="20"/>
                <w:szCs w:val="20"/>
              </w:rPr>
            </w:pPr>
            <w:r>
              <w:rPr>
                <w:rFonts w:ascii="SimSun" w:hAnsi="SimSun" w:eastAsia="SimSun" w:cs="SimSun"/>
                <w:sz w:val="20"/>
                <w:szCs w:val="20"/>
                <w:spacing w:val="4"/>
              </w:rPr>
              <w:t>审批文号</w:t>
            </w:r>
          </w:p>
        </w:tc>
        <w:tc>
          <w:tcPr>
            <w:tcW w:w="5861" w:type="dxa"/>
            <w:vAlign w:val="top"/>
          </w:tcPr>
          <w:p>
            <w:pPr>
              <w:ind w:left="2305"/>
              <w:spacing w:before="33" w:line="221" w:lineRule="auto"/>
              <w:rPr>
                <w:rFonts w:ascii="SimSun" w:hAnsi="SimSun" w:eastAsia="SimSun" w:cs="SimSun"/>
                <w:sz w:val="20"/>
                <w:szCs w:val="20"/>
              </w:rPr>
            </w:pPr>
            <w:r>
              <w:rPr>
                <w:rFonts w:ascii="SimSun" w:hAnsi="SimSun" w:eastAsia="SimSun" w:cs="SimSun"/>
                <w:sz w:val="20"/>
                <w:szCs w:val="20"/>
                <w:spacing w:val="7"/>
              </w:rPr>
              <w:t>主要审批内容</w:t>
            </w:r>
          </w:p>
        </w:tc>
      </w:tr>
      <w:tr>
        <w:trPr>
          <w:trHeight w:val="822" w:hRule="atLeast"/>
        </w:trPr>
        <w:tc>
          <w:tcPr>
            <w:tcW w:w="784" w:type="dxa"/>
            <w:vAlign w:val="top"/>
          </w:tcPr>
          <w:p>
            <w:pPr>
              <w:spacing w:line="279" w:lineRule="auto"/>
              <w:rPr>
                <w:rFonts w:ascii="Arial"/>
                <w:sz w:val="21"/>
              </w:rPr>
            </w:pPr>
            <w:r/>
          </w:p>
          <w:p>
            <w:pPr>
              <w:pStyle w:val="TableText"/>
              <w:ind w:left="360"/>
              <w:spacing w:before="57" w:line="195" w:lineRule="auto"/>
              <w:rPr/>
            </w:pPr>
            <w:r>
              <w:rPr/>
              <w:t>1</w:t>
            </w:r>
          </w:p>
        </w:tc>
        <w:tc>
          <w:tcPr>
            <w:tcW w:w="2728" w:type="dxa"/>
            <w:vAlign w:val="top"/>
          </w:tcPr>
          <w:p>
            <w:pPr>
              <w:ind w:left="114" w:right="111"/>
              <w:spacing w:before="28" w:line="241" w:lineRule="auto"/>
              <w:jc w:val="both"/>
              <w:rPr>
                <w:rFonts w:ascii="SimSun" w:hAnsi="SimSun" w:eastAsia="SimSun" w:cs="SimSun"/>
                <w:sz w:val="20"/>
                <w:szCs w:val="20"/>
              </w:rPr>
            </w:pPr>
            <w:r>
              <w:rPr>
                <w:rFonts w:ascii="SimSun" w:hAnsi="SimSun" w:eastAsia="SimSun" w:cs="SimSun"/>
                <w:sz w:val="20"/>
                <w:szCs w:val="20"/>
                <w:spacing w:val="15"/>
              </w:rPr>
              <w:t>《</w:t>
            </w:r>
            <w:r>
              <w:rPr>
                <w:rFonts w:ascii="SimSun" w:hAnsi="SimSun" w:eastAsia="SimSun" w:cs="SimSun"/>
                <w:sz w:val="20"/>
                <w:szCs w:val="20"/>
                <w:spacing w:val="-24"/>
              </w:rPr>
              <w:t xml:space="preserve"> </w:t>
            </w:r>
            <w:r>
              <w:rPr>
                <w:rFonts w:ascii="SimSun" w:hAnsi="SimSun" w:eastAsia="SimSun" w:cs="SimSun"/>
                <w:sz w:val="20"/>
                <w:szCs w:val="20"/>
                <w:spacing w:val="15"/>
              </w:rPr>
              <w:t>国家发展改革委关于</w:t>
            </w:r>
            <w:r>
              <w:rPr>
                <w:rFonts w:ascii="SimSun" w:hAnsi="SimSun" w:eastAsia="SimSun" w:cs="SimSun"/>
                <w:sz w:val="20"/>
                <w:szCs w:val="20"/>
                <w:spacing w:val="-45"/>
              </w:rPr>
              <w:t xml:space="preserve"> </w:t>
            </w:r>
            <w:r>
              <w:rPr>
                <w:rFonts w:ascii="SimSun" w:hAnsi="SimSun" w:eastAsia="SimSun" w:cs="SimSun"/>
                <w:sz w:val="20"/>
                <w:szCs w:val="20"/>
                <w:spacing w:val="15"/>
              </w:rPr>
              <w:t>内</w:t>
            </w:r>
            <w:r>
              <w:rPr>
                <w:rFonts w:ascii="SimSun" w:hAnsi="SimSun" w:eastAsia="SimSun" w:cs="SimSun"/>
                <w:sz w:val="20"/>
                <w:szCs w:val="20"/>
                <w:spacing w:val="17"/>
              </w:rPr>
              <w:t>蒙古</w:t>
            </w:r>
            <w:r>
              <w:rPr>
                <w:rFonts w:ascii="SimSun" w:hAnsi="SimSun" w:eastAsia="SimSun" w:cs="SimSun"/>
                <w:sz w:val="20"/>
                <w:szCs w:val="20"/>
                <w:spacing w:val="-37"/>
              </w:rPr>
              <w:t xml:space="preserve"> </w:t>
            </w:r>
            <w:r>
              <w:rPr>
                <w:rFonts w:ascii="SimSun" w:hAnsi="SimSun" w:eastAsia="SimSun" w:cs="SimSun"/>
                <w:sz w:val="20"/>
                <w:szCs w:val="20"/>
                <w:spacing w:val="17"/>
              </w:rPr>
              <w:t>白音华矿</w:t>
            </w:r>
            <w:r>
              <w:rPr>
                <w:rFonts w:ascii="SimSun" w:hAnsi="SimSun" w:eastAsia="SimSun" w:cs="SimSun"/>
                <w:sz w:val="20"/>
                <w:szCs w:val="20"/>
                <w:spacing w:val="-55"/>
              </w:rPr>
              <w:t xml:space="preserve"> </w:t>
            </w:r>
            <w:r>
              <w:rPr>
                <w:rFonts w:ascii="SimSun" w:hAnsi="SimSun" w:eastAsia="SimSun" w:cs="SimSun"/>
                <w:sz w:val="20"/>
                <w:szCs w:val="20"/>
                <w:spacing w:val="17"/>
              </w:rPr>
              <w:t>区总体规划</w:t>
            </w:r>
            <w:r>
              <w:rPr>
                <w:rFonts w:ascii="SimSun" w:hAnsi="SimSun" w:eastAsia="SimSun" w:cs="SimSun"/>
                <w:sz w:val="20"/>
                <w:szCs w:val="20"/>
                <w:spacing w:val="3"/>
              </w:rPr>
              <w:t>的批复》</w:t>
            </w:r>
          </w:p>
        </w:tc>
        <w:tc>
          <w:tcPr>
            <w:tcW w:w="1238" w:type="dxa"/>
            <w:vAlign w:val="top"/>
          </w:tcPr>
          <w:p>
            <w:pPr>
              <w:ind w:left="222"/>
              <w:spacing w:before="29" w:line="228" w:lineRule="auto"/>
              <w:rPr>
                <w:rFonts w:ascii="SimSun" w:hAnsi="SimSun" w:eastAsia="SimSun" w:cs="SimSun"/>
                <w:sz w:val="20"/>
                <w:szCs w:val="20"/>
              </w:rPr>
            </w:pPr>
            <w:r>
              <w:rPr>
                <w:rFonts w:ascii="SimSun" w:hAnsi="SimSun" w:eastAsia="SimSun" w:cs="SimSun"/>
                <w:sz w:val="20"/>
                <w:szCs w:val="20"/>
                <w:spacing w:val="2"/>
              </w:rPr>
              <w:t>国家发展</w:t>
            </w:r>
          </w:p>
          <w:p>
            <w:pPr>
              <w:ind w:left="420" w:right="201" w:hanging="218"/>
              <w:spacing w:before="26" w:line="235" w:lineRule="auto"/>
              <w:rPr>
                <w:rFonts w:ascii="SimSun" w:hAnsi="SimSun" w:eastAsia="SimSun" w:cs="SimSun"/>
                <w:sz w:val="20"/>
                <w:szCs w:val="20"/>
              </w:rPr>
            </w:pPr>
            <w:r>
              <w:rPr>
                <w:rFonts w:ascii="SimSun" w:hAnsi="SimSun" w:eastAsia="SimSun" w:cs="SimSun"/>
                <w:sz w:val="20"/>
                <w:szCs w:val="20"/>
                <w:spacing w:val="7"/>
              </w:rPr>
              <w:t>和改革委</w:t>
            </w:r>
            <w:r>
              <w:rPr>
                <w:rFonts w:ascii="SimSun" w:hAnsi="SimSun" w:eastAsia="SimSun" w:cs="SimSun"/>
                <w:sz w:val="20"/>
                <w:szCs w:val="20"/>
              </w:rPr>
              <w:t>员会</w:t>
            </w:r>
          </w:p>
        </w:tc>
        <w:tc>
          <w:tcPr>
            <w:tcW w:w="1461" w:type="dxa"/>
            <w:vAlign w:val="top"/>
          </w:tcPr>
          <w:p>
            <w:pPr>
              <w:pStyle w:val="TableText"/>
              <w:ind w:left="126"/>
              <w:spacing w:before="302" w:line="228" w:lineRule="auto"/>
              <w:rPr>
                <w:rFonts w:ascii="SimSun" w:hAnsi="SimSun" w:eastAsia="SimSun" w:cs="SimSun"/>
              </w:rPr>
            </w:pPr>
            <w:r>
              <w:rPr>
                <w:spacing w:val="1"/>
              </w:rPr>
              <w:t>2004 </w:t>
            </w:r>
            <w:r>
              <w:rPr>
                <w:rFonts w:ascii="SimSun" w:hAnsi="SimSun" w:eastAsia="SimSun" w:cs="SimSun"/>
                <w:spacing w:val="1"/>
              </w:rPr>
              <w:t>年</w:t>
            </w:r>
            <w:r>
              <w:rPr>
                <w:rFonts w:ascii="SimSun" w:hAnsi="SimSun" w:eastAsia="SimSun" w:cs="SimSun"/>
                <w:spacing w:val="-18"/>
              </w:rPr>
              <w:t xml:space="preserve"> </w:t>
            </w:r>
            <w:r>
              <w:rPr>
                <w:spacing w:val="1"/>
              </w:rPr>
              <w:t>10</w:t>
            </w:r>
            <w:r>
              <w:rPr>
                <w:spacing w:val="12"/>
                <w:w w:val="101"/>
              </w:rPr>
              <w:t xml:space="preserve"> </w:t>
            </w:r>
            <w:r>
              <w:rPr>
                <w:rFonts w:ascii="SimSun" w:hAnsi="SimSun" w:eastAsia="SimSun" w:cs="SimSun"/>
                <w:spacing w:val="1"/>
              </w:rPr>
              <w:t>月</w:t>
            </w:r>
          </w:p>
        </w:tc>
        <w:tc>
          <w:tcPr>
            <w:tcW w:w="2435" w:type="dxa"/>
            <w:vAlign w:val="top"/>
          </w:tcPr>
          <w:p>
            <w:pPr>
              <w:pStyle w:val="TableText"/>
              <w:ind w:left="184"/>
              <w:spacing w:before="302" w:line="221" w:lineRule="auto"/>
              <w:rPr>
                <w:rFonts w:ascii="SimSun" w:hAnsi="SimSun" w:eastAsia="SimSun" w:cs="SimSun"/>
              </w:rPr>
            </w:pPr>
            <w:r>
              <w:rPr>
                <w:rFonts w:ascii="SimSun" w:hAnsi="SimSun" w:eastAsia="SimSun" w:cs="SimSun"/>
                <w:spacing w:val="5"/>
              </w:rPr>
              <w:t>发改能源</w:t>
            </w:r>
            <w:r>
              <w:rPr>
                <w:spacing w:val="5"/>
              </w:rPr>
              <w:t>[2004]2339 </w:t>
            </w:r>
            <w:r>
              <w:rPr>
                <w:rFonts w:ascii="SimSun" w:hAnsi="SimSun" w:eastAsia="SimSun" w:cs="SimSun"/>
                <w:spacing w:val="5"/>
              </w:rPr>
              <w:t>号</w:t>
            </w:r>
          </w:p>
        </w:tc>
        <w:tc>
          <w:tcPr>
            <w:tcW w:w="5861" w:type="dxa"/>
            <w:vAlign w:val="top"/>
          </w:tcPr>
          <w:p>
            <w:pPr>
              <w:pStyle w:val="TableText"/>
              <w:ind w:left="109" w:right="40" w:firstLine="3"/>
              <w:spacing w:before="28" w:line="241" w:lineRule="auto"/>
              <w:jc w:val="both"/>
              <w:rPr>
                <w:rFonts w:ascii="SimSun" w:hAnsi="SimSun" w:eastAsia="SimSun" w:cs="SimSun"/>
              </w:rPr>
            </w:pPr>
            <w:r>
              <w:rPr>
                <w:rFonts w:ascii="SimSun" w:hAnsi="SimSun" w:eastAsia="SimSun" w:cs="SimSun"/>
                <w:spacing w:val="5"/>
              </w:rPr>
              <w:t>矿区长约</w:t>
            </w:r>
            <w:r>
              <w:rPr>
                <w:rFonts w:ascii="SimSun" w:hAnsi="SimSun" w:eastAsia="SimSun" w:cs="SimSun"/>
                <w:spacing w:val="-38"/>
              </w:rPr>
              <w:t xml:space="preserve"> </w:t>
            </w:r>
            <w:r>
              <w:rPr>
                <w:spacing w:val="5"/>
              </w:rPr>
              <w:t>60</w:t>
            </w:r>
            <w:r>
              <w:rPr/>
              <w:t>km</w:t>
            </w:r>
            <w:r>
              <w:rPr>
                <w:spacing w:val="-24"/>
              </w:rPr>
              <w:t xml:space="preserve"> </w:t>
            </w:r>
            <w:r>
              <w:rPr>
                <w:rFonts w:ascii="SimSun" w:hAnsi="SimSun" w:eastAsia="SimSun" w:cs="SimSun"/>
                <w:spacing w:val="5"/>
              </w:rPr>
              <w:t>，平均宽</w:t>
            </w:r>
            <w:r>
              <w:rPr>
                <w:rFonts w:ascii="SimSun" w:hAnsi="SimSun" w:eastAsia="SimSun" w:cs="SimSun"/>
                <w:spacing w:val="-33"/>
              </w:rPr>
              <w:t xml:space="preserve"> </w:t>
            </w:r>
            <w:r>
              <w:rPr>
                <w:spacing w:val="5"/>
              </w:rPr>
              <w:t>8.5</w:t>
            </w:r>
            <w:r>
              <w:rPr/>
              <w:t>km</w:t>
            </w:r>
            <w:r>
              <w:rPr>
                <w:spacing w:val="-23"/>
              </w:rPr>
              <w:t xml:space="preserve"> </w:t>
            </w:r>
            <w:r>
              <w:rPr>
                <w:rFonts w:ascii="SimSun" w:hAnsi="SimSun" w:eastAsia="SimSun" w:cs="SimSun"/>
                <w:spacing w:val="5"/>
              </w:rPr>
              <w:t>，面积约</w:t>
            </w:r>
            <w:r>
              <w:rPr>
                <w:rFonts w:ascii="SimSun" w:hAnsi="SimSun" w:eastAsia="SimSun" w:cs="SimSun"/>
                <w:spacing w:val="-38"/>
              </w:rPr>
              <w:t xml:space="preserve"> </w:t>
            </w:r>
            <w:r>
              <w:rPr>
                <w:spacing w:val="5"/>
              </w:rPr>
              <w:t>510</w:t>
            </w:r>
            <w:r>
              <w:rPr/>
              <w:t>km</w:t>
            </w:r>
            <w:r>
              <w:rPr>
                <w:sz w:val="13"/>
                <w:szCs w:val="13"/>
                <w:spacing w:val="5"/>
                <w:position w:val="6"/>
              </w:rPr>
              <w:t>2</w:t>
            </w:r>
            <w:r>
              <w:rPr>
                <w:sz w:val="13"/>
                <w:szCs w:val="13"/>
                <w:spacing w:val="-5"/>
                <w:position w:val="6"/>
              </w:rPr>
              <w:t xml:space="preserve"> </w:t>
            </w:r>
            <w:r>
              <w:rPr>
                <w:rFonts w:ascii="SimSun" w:hAnsi="SimSun" w:eastAsia="SimSun" w:cs="SimSun"/>
                <w:spacing w:val="5"/>
              </w:rPr>
              <w:t>。矿区划分为</w:t>
            </w:r>
            <w:r>
              <w:rPr>
                <w:rFonts w:ascii="SimSun" w:hAnsi="SimSun" w:eastAsia="SimSun" w:cs="SimSun"/>
              </w:rPr>
              <w:t xml:space="preserve"> </w:t>
            </w:r>
            <w:r>
              <w:rPr>
                <w:spacing w:val="5"/>
              </w:rPr>
              <w:t>4 </w:t>
            </w:r>
            <w:r>
              <w:rPr>
                <w:rFonts w:ascii="SimSun" w:hAnsi="SimSun" w:eastAsia="SimSun" w:cs="SimSun"/>
                <w:spacing w:val="5"/>
              </w:rPr>
              <w:t>个露天矿田和</w:t>
            </w:r>
            <w:r>
              <w:rPr>
                <w:rFonts w:ascii="SimSun" w:hAnsi="SimSun" w:eastAsia="SimSun" w:cs="SimSun"/>
                <w:spacing w:val="-21"/>
              </w:rPr>
              <w:t xml:space="preserve"> </w:t>
            </w:r>
            <w:r>
              <w:rPr>
                <w:spacing w:val="5"/>
              </w:rPr>
              <w:t>1 </w:t>
            </w:r>
            <w:r>
              <w:rPr>
                <w:rFonts w:ascii="SimSun" w:hAnsi="SimSun" w:eastAsia="SimSun" w:cs="SimSun"/>
                <w:spacing w:val="5"/>
              </w:rPr>
              <w:t>个后备区，建设总规模暂定为</w:t>
            </w:r>
            <w:r>
              <w:rPr>
                <w:rFonts w:ascii="SimSun" w:hAnsi="SimSun" w:eastAsia="SimSun" w:cs="SimSun"/>
                <w:spacing w:val="-36"/>
              </w:rPr>
              <w:t xml:space="preserve"> </w:t>
            </w:r>
            <w:r>
              <w:rPr>
                <w:spacing w:val="4"/>
              </w:rPr>
              <w:t>6000 </w:t>
            </w:r>
            <w:r>
              <w:rPr>
                <w:rFonts w:ascii="SimSun" w:hAnsi="SimSun" w:eastAsia="SimSun" w:cs="SimSun"/>
                <w:spacing w:val="4"/>
              </w:rPr>
              <w:t>万吨</w:t>
            </w:r>
            <w:r>
              <w:rPr>
                <w:spacing w:val="4"/>
              </w:rPr>
              <w:t>/</w:t>
            </w:r>
            <w:r>
              <w:rPr>
                <w:rFonts w:ascii="SimSun" w:hAnsi="SimSun" w:eastAsia="SimSun" w:cs="SimSun"/>
                <w:spacing w:val="4"/>
              </w:rPr>
              <w:t>年。</w:t>
            </w:r>
            <w:r>
              <w:rPr>
                <w:rFonts w:ascii="SimSun" w:hAnsi="SimSun" w:eastAsia="SimSun" w:cs="SimSun"/>
                <w:spacing w:val="7"/>
              </w:rPr>
              <w:t>其中四号露天矿规模</w:t>
            </w:r>
            <w:r>
              <w:rPr>
                <w:rFonts w:ascii="SimSun" w:hAnsi="SimSun" w:eastAsia="SimSun" w:cs="SimSun"/>
                <w:spacing w:val="-42"/>
              </w:rPr>
              <w:t xml:space="preserve"> </w:t>
            </w:r>
            <w:r>
              <w:rPr>
                <w:spacing w:val="7"/>
              </w:rPr>
              <w:t>2400 </w:t>
            </w:r>
            <w:r>
              <w:rPr>
                <w:rFonts w:ascii="SimSun" w:hAnsi="SimSun" w:eastAsia="SimSun" w:cs="SimSun"/>
                <w:spacing w:val="7"/>
              </w:rPr>
              <w:t>万吨</w:t>
            </w:r>
            <w:r>
              <w:rPr>
                <w:spacing w:val="7"/>
              </w:rPr>
              <w:t>/</w:t>
            </w:r>
            <w:r>
              <w:rPr>
                <w:rFonts w:ascii="SimSun" w:hAnsi="SimSun" w:eastAsia="SimSun" w:cs="SimSun"/>
                <w:spacing w:val="7"/>
              </w:rPr>
              <w:t>年。</w:t>
            </w:r>
          </w:p>
        </w:tc>
      </w:tr>
      <w:tr>
        <w:trPr>
          <w:trHeight w:val="1093" w:hRule="atLeast"/>
        </w:trPr>
        <w:tc>
          <w:tcPr>
            <w:tcW w:w="784" w:type="dxa"/>
            <w:vAlign w:val="top"/>
          </w:tcPr>
          <w:p>
            <w:pPr>
              <w:spacing w:line="413" w:lineRule="auto"/>
              <w:rPr>
                <w:rFonts w:ascii="Arial"/>
                <w:sz w:val="21"/>
              </w:rPr>
            </w:pPr>
            <w:r/>
          </w:p>
          <w:p>
            <w:pPr>
              <w:pStyle w:val="TableText"/>
              <w:ind w:left="340"/>
              <w:spacing w:before="58" w:line="195" w:lineRule="auto"/>
              <w:rPr/>
            </w:pPr>
            <w:r>
              <w:rPr/>
              <w:t>2</w:t>
            </w:r>
          </w:p>
        </w:tc>
        <w:tc>
          <w:tcPr>
            <w:tcW w:w="2728" w:type="dxa"/>
            <w:vAlign w:val="top"/>
          </w:tcPr>
          <w:p>
            <w:pPr>
              <w:ind w:left="108" w:right="111" w:firstLine="6"/>
              <w:spacing w:before="29" w:line="243" w:lineRule="auto"/>
              <w:jc w:val="both"/>
              <w:rPr>
                <w:rFonts w:ascii="SimSun" w:hAnsi="SimSun" w:eastAsia="SimSun" w:cs="SimSun"/>
                <w:sz w:val="20"/>
                <w:szCs w:val="20"/>
              </w:rPr>
            </w:pPr>
            <w:r>
              <w:rPr>
                <w:rFonts w:ascii="SimSun" w:hAnsi="SimSun" w:eastAsia="SimSun" w:cs="SimSun"/>
                <w:sz w:val="20"/>
                <w:szCs w:val="20"/>
                <w:spacing w:val="17"/>
              </w:rPr>
              <w:t>《</w:t>
            </w:r>
            <w:r>
              <w:rPr>
                <w:rFonts w:ascii="SimSun" w:hAnsi="SimSun" w:eastAsia="SimSun" w:cs="SimSun"/>
                <w:sz w:val="20"/>
                <w:szCs w:val="20"/>
                <w:spacing w:val="-46"/>
              </w:rPr>
              <w:t xml:space="preserve"> </w:t>
            </w:r>
            <w:r>
              <w:rPr>
                <w:rFonts w:ascii="SimSun" w:hAnsi="SimSun" w:eastAsia="SimSun" w:cs="SimSun"/>
                <w:sz w:val="20"/>
                <w:szCs w:val="20"/>
                <w:spacing w:val="17"/>
              </w:rPr>
              <w:t>关于</w:t>
            </w:r>
            <w:r>
              <w:rPr>
                <w:rFonts w:ascii="SimSun" w:hAnsi="SimSun" w:eastAsia="SimSun" w:cs="SimSun"/>
                <w:sz w:val="20"/>
                <w:szCs w:val="20"/>
                <w:spacing w:val="-45"/>
              </w:rPr>
              <w:t xml:space="preserve"> </w:t>
            </w:r>
            <w:r>
              <w:rPr>
                <w:rFonts w:ascii="SimSun" w:hAnsi="SimSun" w:eastAsia="SimSun" w:cs="SimSun"/>
                <w:sz w:val="20"/>
                <w:szCs w:val="20"/>
                <w:spacing w:val="17"/>
              </w:rPr>
              <w:t>内蒙古海州露天能</w:t>
            </w:r>
            <w:r>
              <w:rPr>
                <w:rFonts w:ascii="SimSun" w:hAnsi="SimSun" w:eastAsia="SimSun" w:cs="SimSun"/>
                <w:sz w:val="20"/>
                <w:szCs w:val="20"/>
                <w:spacing w:val="19"/>
              </w:rPr>
              <w:t>源有</w:t>
            </w:r>
            <w:r>
              <w:rPr>
                <w:rFonts w:ascii="SimSun" w:hAnsi="SimSun" w:eastAsia="SimSun" w:cs="SimSun"/>
                <w:sz w:val="20"/>
                <w:szCs w:val="20"/>
                <w:spacing w:val="-56"/>
              </w:rPr>
              <w:t xml:space="preserve"> </w:t>
            </w:r>
            <w:r>
              <w:rPr>
                <w:rFonts w:ascii="SimSun" w:hAnsi="SimSun" w:eastAsia="SimSun" w:cs="SimSun"/>
                <w:sz w:val="20"/>
                <w:szCs w:val="20"/>
                <w:spacing w:val="19"/>
              </w:rPr>
              <w:t>限公司白音华</w:t>
            </w:r>
            <w:r>
              <w:rPr>
                <w:rFonts w:ascii="SimSun" w:hAnsi="SimSun" w:eastAsia="SimSun" w:cs="SimSun"/>
                <w:sz w:val="20"/>
                <w:szCs w:val="20"/>
                <w:spacing w:val="-51"/>
              </w:rPr>
              <w:t xml:space="preserve"> </w:t>
            </w:r>
            <w:r>
              <w:rPr>
                <w:rFonts w:ascii="SimSun" w:hAnsi="SimSun" w:eastAsia="SimSun" w:cs="SimSun"/>
                <w:sz w:val="20"/>
                <w:szCs w:val="20"/>
                <w:spacing w:val="19"/>
              </w:rPr>
              <w:t>四号露</w:t>
            </w:r>
            <w:r>
              <w:rPr>
                <w:rFonts w:ascii="SimSun" w:hAnsi="SimSun" w:eastAsia="SimSun" w:cs="SimSun"/>
                <w:sz w:val="20"/>
                <w:szCs w:val="20"/>
                <w:spacing w:val="13"/>
              </w:rPr>
              <w:t>天矿项</w:t>
            </w:r>
            <w:r>
              <w:rPr>
                <w:rFonts w:ascii="SimSun" w:hAnsi="SimSun" w:eastAsia="SimSun" w:cs="SimSun"/>
                <w:sz w:val="20"/>
                <w:szCs w:val="20"/>
                <w:spacing w:val="-28"/>
              </w:rPr>
              <w:t xml:space="preserve"> </w:t>
            </w:r>
            <w:r>
              <w:rPr>
                <w:rFonts w:ascii="SimSun" w:hAnsi="SimSun" w:eastAsia="SimSun" w:cs="SimSun"/>
                <w:sz w:val="20"/>
                <w:szCs w:val="20"/>
                <w:spacing w:val="13"/>
              </w:rPr>
              <w:t>目环境影</w:t>
            </w:r>
            <w:r>
              <w:rPr>
                <w:rFonts w:ascii="SimSun" w:hAnsi="SimSun" w:eastAsia="SimSun" w:cs="SimSun"/>
                <w:sz w:val="20"/>
                <w:szCs w:val="20"/>
                <w:spacing w:val="-60"/>
              </w:rPr>
              <w:t xml:space="preserve"> </w:t>
            </w:r>
            <w:r>
              <w:rPr>
                <w:rFonts w:ascii="SimSun" w:hAnsi="SimSun" w:eastAsia="SimSun" w:cs="SimSun"/>
                <w:sz w:val="20"/>
                <w:szCs w:val="20"/>
                <w:spacing w:val="13"/>
              </w:rPr>
              <w:t>响报告</w:t>
            </w:r>
            <w:r>
              <w:rPr>
                <w:rFonts w:ascii="SimSun" w:hAnsi="SimSun" w:eastAsia="SimSun" w:cs="SimSun"/>
                <w:sz w:val="20"/>
                <w:szCs w:val="20"/>
                <w:spacing w:val="-53"/>
              </w:rPr>
              <w:t xml:space="preserve"> </w:t>
            </w:r>
            <w:r>
              <w:rPr>
                <w:rFonts w:ascii="SimSun" w:hAnsi="SimSun" w:eastAsia="SimSun" w:cs="SimSun"/>
                <w:sz w:val="20"/>
                <w:szCs w:val="20"/>
                <w:spacing w:val="13"/>
              </w:rPr>
              <w:t>的</w:t>
            </w:r>
            <w:r>
              <w:rPr>
                <w:rFonts w:ascii="SimSun" w:hAnsi="SimSun" w:eastAsia="SimSun" w:cs="SimSun"/>
                <w:sz w:val="20"/>
                <w:szCs w:val="20"/>
                <w:spacing w:val="3"/>
              </w:rPr>
              <w:t>批复》</w:t>
            </w:r>
          </w:p>
        </w:tc>
        <w:tc>
          <w:tcPr>
            <w:tcW w:w="1238" w:type="dxa"/>
            <w:vAlign w:val="top"/>
          </w:tcPr>
          <w:p>
            <w:pPr>
              <w:ind w:left="202" w:right="201" w:firstLine="19"/>
              <w:spacing w:before="297" w:line="257" w:lineRule="auto"/>
              <w:rPr>
                <w:rFonts w:ascii="SimSun" w:hAnsi="SimSun" w:eastAsia="SimSun" w:cs="SimSun"/>
                <w:sz w:val="20"/>
                <w:szCs w:val="20"/>
              </w:rPr>
            </w:pPr>
            <w:r>
              <w:rPr>
                <w:rFonts w:ascii="SimSun" w:hAnsi="SimSun" w:eastAsia="SimSun" w:cs="SimSun"/>
                <w:sz w:val="20"/>
                <w:szCs w:val="20"/>
                <w:spacing w:val="2"/>
              </w:rPr>
              <w:t>国家环境</w:t>
            </w:r>
            <w:r>
              <w:rPr>
                <w:rFonts w:ascii="SimSun" w:hAnsi="SimSun" w:eastAsia="SimSun" w:cs="SimSun"/>
                <w:sz w:val="20"/>
                <w:szCs w:val="20"/>
                <w:spacing w:val="7"/>
              </w:rPr>
              <w:t>保护总局</w:t>
            </w:r>
          </w:p>
        </w:tc>
        <w:tc>
          <w:tcPr>
            <w:tcW w:w="1461" w:type="dxa"/>
            <w:vAlign w:val="top"/>
          </w:tcPr>
          <w:p>
            <w:pPr>
              <w:spacing w:line="370" w:lineRule="auto"/>
              <w:rPr>
                <w:rFonts w:ascii="Arial"/>
                <w:sz w:val="21"/>
              </w:rPr>
            </w:pPr>
            <w:r/>
          </w:p>
          <w:p>
            <w:pPr>
              <w:pStyle w:val="TableText"/>
              <w:ind w:left="178"/>
              <w:spacing w:before="65" w:line="228" w:lineRule="auto"/>
              <w:rPr>
                <w:rFonts w:ascii="SimSun" w:hAnsi="SimSun" w:eastAsia="SimSun" w:cs="SimSun"/>
              </w:rPr>
            </w:pPr>
            <w:r>
              <w:rPr>
                <w:spacing w:val="3"/>
              </w:rPr>
              <w:t>2006 </w:t>
            </w:r>
            <w:r>
              <w:rPr>
                <w:rFonts w:ascii="SimSun" w:hAnsi="SimSun" w:eastAsia="SimSun" w:cs="SimSun"/>
                <w:spacing w:val="3"/>
              </w:rPr>
              <w:t>年</w:t>
            </w:r>
            <w:r>
              <w:rPr>
                <w:rFonts w:ascii="SimSun" w:hAnsi="SimSun" w:eastAsia="SimSun" w:cs="SimSun"/>
                <w:spacing w:val="-41"/>
              </w:rPr>
              <w:t xml:space="preserve"> </w:t>
            </w:r>
            <w:r>
              <w:rPr>
                <w:spacing w:val="3"/>
              </w:rPr>
              <w:t>2</w:t>
            </w:r>
            <w:r>
              <w:rPr>
                <w:spacing w:val="17"/>
                <w:w w:val="101"/>
              </w:rPr>
              <w:t xml:space="preserve"> </w:t>
            </w:r>
            <w:r>
              <w:rPr>
                <w:rFonts w:ascii="SimSun" w:hAnsi="SimSun" w:eastAsia="SimSun" w:cs="SimSun"/>
                <w:spacing w:val="3"/>
              </w:rPr>
              <w:t>月</w:t>
            </w:r>
          </w:p>
        </w:tc>
        <w:tc>
          <w:tcPr>
            <w:tcW w:w="2435" w:type="dxa"/>
            <w:vAlign w:val="top"/>
          </w:tcPr>
          <w:p>
            <w:pPr>
              <w:spacing w:line="371" w:lineRule="auto"/>
              <w:rPr>
                <w:rFonts w:ascii="Arial"/>
                <w:sz w:val="21"/>
              </w:rPr>
            </w:pPr>
            <w:r/>
          </w:p>
          <w:p>
            <w:pPr>
              <w:pStyle w:val="TableText"/>
              <w:ind w:left="356"/>
              <w:spacing w:before="65" w:line="228" w:lineRule="auto"/>
              <w:rPr>
                <w:rFonts w:ascii="SimSun" w:hAnsi="SimSun" w:eastAsia="SimSun" w:cs="SimSun"/>
              </w:rPr>
            </w:pPr>
            <w:r>
              <w:rPr>
                <w:rFonts w:ascii="SimSun" w:hAnsi="SimSun" w:eastAsia="SimSun" w:cs="SimSun"/>
                <w:spacing w:val="6"/>
              </w:rPr>
              <w:t>环审〔</w:t>
            </w:r>
            <w:r>
              <w:rPr>
                <w:spacing w:val="6"/>
              </w:rPr>
              <w:t>2006</w:t>
            </w:r>
            <w:r>
              <w:rPr>
                <w:rFonts w:ascii="SimSun" w:hAnsi="SimSun" w:eastAsia="SimSun" w:cs="SimSun"/>
                <w:spacing w:val="6"/>
              </w:rPr>
              <w:t>〕</w:t>
            </w:r>
            <w:r>
              <w:rPr>
                <w:spacing w:val="6"/>
              </w:rPr>
              <w:t>78 </w:t>
            </w:r>
            <w:r>
              <w:rPr>
                <w:rFonts w:ascii="SimSun" w:hAnsi="SimSun" w:eastAsia="SimSun" w:cs="SimSun"/>
                <w:spacing w:val="6"/>
              </w:rPr>
              <w:t>号</w:t>
            </w:r>
          </w:p>
        </w:tc>
        <w:tc>
          <w:tcPr>
            <w:tcW w:w="5861" w:type="dxa"/>
            <w:vAlign w:val="top"/>
          </w:tcPr>
          <w:p>
            <w:pPr>
              <w:pStyle w:val="TableText"/>
              <w:ind w:left="114" w:right="40"/>
              <w:spacing w:before="29" w:line="243" w:lineRule="auto"/>
              <w:jc w:val="both"/>
              <w:rPr>
                <w:rFonts w:ascii="SimSun" w:hAnsi="SimSun" w:eastAsia="SimSun" w:cs="SimSun"/>
              </w:rPr>
            </w:pPr>
            <w:r>
              <w:rPr>
                <w:rFonts w:ascii="SimSun" w:hAnsi="SimSun" w:eastAsia="SimSun" w:cs="SimSun"/>
                <w:spacing w:val="10"/>
              </w:rPr>
              <w:t>井田设计开采范围</w:t>
            </w:r>
            <w:r>
              <w:rPr>
                <w:rFonts w:ascii="SimSun" w:hAnsi="SimSun" w:eastAsia="SimSun" w:cs="SimSun"/>
                <w:spacing w:val="-44"/>
              </w:rPr>
              <w:t xml:space="preserve"> </w:t>
            </w:r>
            <w:r>
              <w:rPr>
                <w:spacing w:val="10"/>
              </w:rPr>
              <w:t>42.47 </w:t>
            </w:r>
            <w:r>
              <w:rPr>
                <w:rFonts w:ascii="SimSun" w:hAnsi="SimSun" w:eastAsia="SimSun" w:cs="SimSun"/>
                <w:spacing w:val="10"/>
              </w:rPr>
              <w:t>平方公里，项目设计生产能力为</w:t>
            </w:r>
            <w:r>
              <w:rPr>
                <w:rFonts w:ascii="SimSun" w:hAnsi="SimSun" w:eastAsia="SimSun" w:cs="SimSun"/>
                <w:spacing w:val="-35"/>
              </w:rPr>
              <w:t xml:space="preserve"> </w:t>
            </w:r>
            <w:r>
              <w:rPr>
                <w:spacing w:val="10"/>
              </w:rPr>
              <w:t>5</w:t>
            </w:r>
            <w:r>
              <w:rPr>
                <w:spacing w:val="9"/>
              </w:rPr>
              <w:t>00</w:t>
            </w:r>
            <w:r>
              <w:rPr>
                <w:rFonts w:ascii="SimSun" w:hAnsi="SimSun" w:eastAsia="SimSun" w:cs="SimSun"/>
                <w:spacing w:val="1"/>
              </w:rPr>
              <w:t>万吨</w:t>
            </w:r>
            <w:r>
              <w:rPr>
                <w:spacing w:val="1"/>
              </w:rPr>
              <w:t>/</w:t>
            </w:r>
            <w:r>
              <w:rPr>
                <w:rFonts w:ascii="SimSun" w:hAnsi="SimSun" w:eastAsia="SimSun" w:cs="SimSun"/>
                <w:spacing w:val="1"/>
              </w:rPr>
              <w:t>年。工程主要包括露天矿、公路、改河工程、疏排水工程、</w:t>
            </w:r>
            <w:r>
              <w:rPr>
                <w:rFonts w:ascii="SimSun" w:hAnsi="SimSun" w:eastAsia="SimSun" w:cs="SimSun"/>
                <w:spacing w:val="8"/>
              </w:rPr>
              <w:t>地面配套工程等。项目采用单斗一移动式破碎机一胶带与单斗</w:t>
            </w:r>
            <w:r>
              <w:rPr>
                <w:rFonts w:ascii="SimSun" w:hAnsi="SimSun" w:eastAsia="SimSun" w:cs="SimSun"/>
                <w:spacing w:val="8"/>
              </w:rPr>
              <w:t>一汽车联合开采工艺。</w:t>
            </w:r>
          </w:p>
        </w:tc>
      </w:tr>
      <w:tr>
        <w:trPr>
          <w:trHeight w:val="1093" w:hRule="atLeast"/>
        </w:trPr>
        <w:tc>
          <w:tcPr>
            <w:tcW w:w="784" w:type="dxa"/>
            <w:vAlign w:val="top"/>
          </w:tcPr>
          <w:p>
            <w:pPr>
              <w:spacing w:line="412" w:lineRule="auto"/>
              <w:rPr>
                <w:rFonts w:ascii="Arial"/>
                <w:sz w:val="21"/>
              </w:rPr>
            </w:pPr>
            <w:r/>
          </w:p>
          <w:p>
            <w:pPr>
              <w:pStyle w:val="TableText"/>
              <w:ind w:left="344"/>
              <w:spacing w:before="58" w:line="195" w:lineRule="auto"/>
              <w:rPr/>
            </w:pPr>
            <w:r>
              <w:rPr/>
              <w:t>3</w:t>
            </w:r>
          </w:p>
        </w:tc>
        <w:tc>
          <w:tcPr>
            <w:tcW w:w="2728" w:type="dxa"/>
            <w:vAlign w:val="top"/>
          </w:tcPr>
          <w:p>
            <w:pPr>
              <w:ind w:left="110" w:right="111" w:firstLine="4"/>
              <w:spacing w:before="29" w:line="243" w:lineRule="auto"/>
              <w:jc w:val="both"/>
              <w:rPr>
                <w:rFonts w:ascii="SimSun" w:hAnsi="SimSun" w:eastAsia="SimSun" w:cs="SimSun"/>
                <w:sz w:val="20"/>
                <w:szCs w:val="20"/>
              </w:rPr>
            </w:pPr>
            <w:r>
              <w:rPr>
                <w:rFonts w:ascii="SimSun" w:hAnsi="SimSun" w:eastAsia="SimSun" w:cs="SimSun"/>
                <w:sz w:val="20"/>
                <w:szCs w:val="20"/>
                <w:spacing w:val="15"/>
              </w:rPr>
              <w:t>《</w:t>
            </w:r>
            <w:r>
              <w:rPr>
                <w:rFonts w:ascii="SimSun" w:hAnsi="SimSun" w:eastAsia="SimSun" w:cs="SimSun"/>
                <w:sz w:val="20"/>
                <w:szCs w:val="20"/>
                <w:spacing w:val="-24"/>
              </w:rPr>
              <w:t xml:space="preserve"> </w:t>
            </w:r>
            <w:r>
              <w:rPr>
                <w:rFonts w:ascii="SimSun" w:hAnsi="SimSun" w:eastAsia="SimSun" w:cs="SimSun"/>
                <w:sz w:val="20"/>
                <w:szCs w:val="20"/>
                <w:spacing w:val="15"/>
              </w:rPr>
              <w:t>国家发展改革委关于</w:t>
            </w:r>
            <w:r>
              <w:rPr>
                <w:rFonts w:ascii="SimSun" w:hAnsi="SimSun" w:eastAsia="SimSun" w:cs="SimSun"/>
                <w:sz w:val="20"/>
                <w:szCs w:val="20"/>
                <w:spacing w:val="-45"/>
              </w:rPr>
              <w:t xml:space="preserve"> </w:t>
            </w:r>
            <w:r>
              <w:rPr>
                <w:rFonts w:ascii="SimSun" w:hAnsi="SimSun" w:eastAsia="SimSun" w:cs="SimSun"/>
                <w:sz w:val="20"/>
                <w:szCs w:val="20"/>
                <w:spacing w:val="15"/>
              </w:rPr>
              <w:t>内</w:t>
            </w:r>
            <w:r>
              <w:rPr>
                <w:rFonts w:ascii="SimSun" w:hAnsi="SimSun" w:eastAsia="SimSun" w:cs="SimSun"/>
                <w:sz w:val="20"/>
                <w:szCs w:val="20"/>
                <w:spacing w:val="21"/>
              </w:rPr>
              <w:t>蒙古</w:t>
            </w:r>
            <w:r>
              <w:rPr>
                <w:rFonts w:ascii="SimSun" w:hAnsi="SimSun" w:eastAsia="SimSun" w:cs="SimSun"/>
                <w:sz w:val="20"/>
                <w:szCs w:val="20"/>
                <w:spacing w:val="-31"/>
              </w:rPr>
              <w:t xml:space="preserve"> </w:t>
            </w:r>
            <w:r>
              <w:rPr>
                <w:rFonts w:ascii="SimSun" w:hAnsi="SimSun" w:eastAsia="SimSun" w:cs="SimSun"/>
                <w:sz w:val="20"/>
                <w:szCs w:val="20"/>
                <w:spacing w:val="21"/>
              </w:rPr>
              <w:t>白音华海州露天煤矿</w:t>
            </w:r>
            <w:r>
              <w:rPr>
                <w:rFonts w:ascii="SimSun" w:hAnsi="SimSun" w:eastAsia="SimSun" w:cs="SimSun"/>
                <w:sz w:val="20"/>
                <w:szCs w:val="20"/>
                <w:spacing w:val="18"/>
              </w:rPr>
              <w:t>有</w:t>
            </w:r>
            <w:r>
              <w:rPr>
                <w:rFonts w:ascii="SimSun" w:hAnsi="SimSun" w:eastAsia="SimSun" w:cs="SimSun"/>
                <w:sz w:val="20"/>
                <w:szCs w:val="20"/>
                <w:spacing w:val="-47"/>
              </w:rPr>
              <w:t xml:space="preserve"> </w:t>
            </w:r>
            <w:r>
              <w:rPr>
                <w:rFonts w:ascii="SimSun" w:hAnsi="SimSun" w:eastAsia="SimSun" w:cs="SimSun"/>
                <w:sz w:val="20"/>
                <w:szCs w:val="20"/>
                <w:spacing w:val="18"/>
              </w:rPr>
              <w:t>限公司白音华</w:t>
            </w:r>
            <w:r>
              <w:rPr>
                <w:rFonts w:ascii="SimSun" w:hAnsi="SimSun" w:eastAsia="SimSun" w:cs="SimSun"/>
                <w:sz w:val="20"/>
                <w:szCs w:val="20"/>
                <w:spacing w:val="-51"/>
              </w:rPr>
              <w:t xml:space="preserve"> </w:t>
            </w:r>
            <w:r>
              <w:rPr>
                <w:rFonts w:ascii="SimSun" w:hAnsi="SimSun" w:eastAsia="SimSun" w:cs="SimSun"/>
                <w:sz w:val="20"/>
                <w:szCs w:val="20"/>
                <w:spacing w:val="18"/>
              </w:rPr>
              <w:t>四号露天</w:t>
            </w:r>
            <w:r>
              <w:rPr>
                <w:rFonts w:ascii="SimSun" w:hAnsi="SimSun" w:eastAsia="SimSun" w:cs="SimSun"/>
                <w:sz w:val="20"/>
                <w:szCs w:val="20"/>
                <w:spacing w:val="8"/>
              </w:rPr>
              <w:t>煤矿一期项目核准的批复》</w:t>
            </w:r>
          </w:p>
        </w:tc>
        <w:tc>
          <w:tcPr>
            <w:tcW w:w="1238" w:type="dxa"/>
            <w:vAlign w:val="top"/>
          </w:tcPr>
          <w:p>
            <w:pPr>
              <w:ind w:left="222"/>
              <w:spacing w:before="166" w:line="228" w:lineRule="auto"/>
              <w:rPr>
                <w:rFonts w:ascii="SimSun" w:hAnsi="SimSun" w:eastAsia="SimSun" w:cs="SimSun"/>
                <w:sz w:val="20"/>
                <w:szCs w:val="20"/>
              </w:rPr>
            </w:pPr>
            <w:r>
              <w:rPr>
                <w:rFonts w:ascii="SimSun" w:hAnsi="SimSun" w:eastAsia="SimSun" w:cs="SimSun"/>
                <w:sz w:val="20"/>
                <w:szCs w:val="20"/>
                <w:spacing w:val="2"/>
              </w:rPr>
              <w:t>国家发展</w:t>
            </w:r>
          </w:p>
          <w:p>
            <w:pPr>
              <w:ind w:left="420" w:right="201" w:hanging="218"/>
              <w:spacing w:before="22" w:line="254" w:lineRule="auto"/>
              <w:rPr>
                <w:rFonts w:ascii="SimSun" w:hAnsi="SimSun" w:eastAsia="SimSun" w:cs="SimSun"/>
                <w:sz w:val="20"/>
                <w:szCs w:val="20"/>
              </w:rPr>
            </w:pPr>
            <w:r>
              <w:rPr>
                <w:rFonts w:ascii="SimSun" w:hAnsi="SimSun" w:eastAsia="SimSun" w:cs="SimSun"/>
                <w:sz w:val="20"/>
                <w:szCs w:val="20"/>
                <w:spacing w:val="7"/>
              </w:rPr>
              <w:t>和改革委</w:t>
            </w:r>
            <w:r>
              <w:rPr>
                <w:rFonts w:ascii="SimSun" w:hAnsi="SimSun" w:eastAsia="SimSun" w:cs="SimSun"/>
                <w:sz w:val="20"/>
                <w:szCs w:val="20"/>
              </w:rPr>
              <w:t>员会</w:t>
            </w:r>
          </w:p>
        </w:tc>
        <w:tc>
          <w:tcPr>
            <w:tcW w:w="1461" w:type="dxa"/>
            <w:vAlign w:val="top"/>
          </w:tcPr>
          <w:p>
            <w:pPr>
              <w:spacing w:line="369" w:lineRule="auto"/>
              <w:rPr>
                <w:rFonts w:ascii="Arial"/>
                <w:sz w:val="21"/>
              </w:rPr>
            </w:pPr>
            <w:r/>
          </w:p>
          <w:p>
            <w:pPr>
              <w:pStyle w:val="TableText"/>
              <w:ind w:left="178"/>
              <w:spacing w:before="65" w:line="228" w:lineRule="auto"/>
              <w:rPr>
                <w:rFonts w:ascii="SimSun" w:hAnsi="SimSun" w:eastAsia="SimSun" w:cs="SimSun"/>
              </w:rPr>
            </w:pPr>
            <w:r>
              <w:rPr>
                <w:spacing w:val="3"/>
              </w:rPr>
              <w:t>2006 </w:t>
            </w:r>
            <w:r>
              <w:rPr>
                <w:rFonts w:ascii="SimSun" w:hAnsi="SimSun" w:eastAsia="SimSun" w:cs="SimSun"/>
                <w:spacing w:val="3"/>
              </w:rPr>
              <w:t>年</w:t>
            </w:r>
            <w:r>
              <w:rPr>
                <w:rFonts w:ascii="SimSun" w:hAnsi="SimSun" w:eastAsia="SimSun" w:cs="SimSun"/>
                <w:spacing w:val="-40"/>
              </w:rPr>
              <w:t xml:space="preserve"> </w:t>
            </w:r>
            <w:r>
              <w:rPr>
                <w:spacing w:val="3"/>
              </w:rPr>
              <w:t>7</w:t>
            </w:r>
            <w:r>
              <w:rPr>
                <w:spacing w:val="17"/>
              </w:rPr>
              <w:t xml:space="preserve"> </w:t>
            </w:r>
            <w:r>
              <w:rPr>
                <w:rFonts w:ascii="SimSun" w:hAnsi="SimSun" w:eastAsia="SimSun" w:cs="SimSun"/>
                <w:spacing w:val="3"/>
              </w:rPr>
              <w:t>月</w:t>
            </w:r>
          </w:p>
        </w:tc>
        <w:tc>
          <w:tcPr>
            <w:tcW w:w="2435" w:type="dxa"/>
            <w:vAlign w:val="top"/>
          </w:tcPr>
          <w:p>
            <w:pPr>
              <w:pStyle w:val="TableText"/>
              <w:ind w:left="177"/>
              <w:spacing w:before="304" w:line="228" w:lineRule="auto"/>
              <w:rPr/>
            </w:pPr>
            <w:r>
              <w:rPr>
                <w:rFonts w:ascii="SimSun" w:hAnsi="SimSun" w:eastAsia="SimSun" w:cs="SimSun"/>
                <w:spacing w:val="6"/>
              </w:rPr>
              <w:t>发改能源〔</w:t>
            </w:r>
            <w:r>
              <w:rPr>
                <w:spacing w:val="6"/>
              </w:rPr>
              <w:t>2006</w:t>
            </w:r>
            <w:r>
              <w:rPr>
                <w:rFonts w:ascii="SimSun" w:hAnsi="SimSun" w:eastAsia="SimSun" w:cs="SimSun"/>
                <w:spacing w:val="6"/>
              </w:rPr>
              <w:t>〕</w:t>
            </w:r>
            <w:r>
              <w:rPr>
                <w:spacing w:val="6"/>
              </w:rPr>
              <w:t>1521</w:t>
            </w:r>
          </w:p>
          <w:p>
            <w:pPr>
              <w:ind w:left="1121"/>
              <w:spacing w:before="24" w:line="229" w:lineRule="auto"/>
              <w:rPr>
                <w:rFonts w:ascii="SimSun" w:hAnsi="SimSun" w:eastAsia="SimSun" w:cs="SimSun"/>
                <w:sz w:val="20"/>
                <w:szCs w:val="20"/>
              </w:rPr>
            </w:pPr>
            <w:r>
              <w:rPr>
                <w:rFonts w:ascii="SimSun" w:hAnsi="SimSun" w:eastAsia="SimSun" w:cs="SimSun"/>
                <w:sz w:val="20"/>
                <w:szCs w:val="20"/>
              </w:rPr>
              <w:t>号</w:t>
            </w:r>
          </w:p>
        </w:tc>
        <w:tc>
          <w:tcPr>
            <w:tcW w:w="5861" w:type="dxa"/>
            <w:vAlign w:val="top"/>
          </w:tcPr>
          <w:p>
            <w:pPr>
              <w:pStyle w:val="TableText"/>
              <w:ind w:left="113" w:right="109" w:firstLine="21"/>
              <w:spacing w:before="166" w:line="252" w:lineRule="auto"/>
              <w:jc w:val="both"/>
              <w:rPr>
                <w:rFonts w:ascii="SimSun" w:hAnsi="SimSun" w:eastAsia="SimSun" w:cs="SimSun"/>
              </w:rPr>
            </w:pPr>
            <w:r>
              <w:rPr>
                <w:rFonts w:ascii="SimSun" w:hAnsi="SimSun" w:eastAsia="SimSun" w:cs="SimSun"/>
                <w:spacing w:val="15"/>
              </w:rPr>
              <w:t>同意内蒙古白音华海州露天煤矿有限公司建设白音华四号露</w:t>
            </w:r>
            <w:r>
              <w:rPr>
                <w:rFonts w:ascii="SimSun" w:hAnsi="SimSun" w:eastAsia="SimSun" w:cs="SimSun"/>
                <w:spacing w:val="10"/>
              </w:rPr>
              <w:t>天煤矿一期工程，建设规模为</w:t>
            </w:r>
            <w:r>
              <w:rPr>
                <w:rFonts w:ascii="SimSun" w:hAnsi="SimSun" w:eastAsia="SimSun" w:cs="SimSun"/>
                <w:spacing w:val="-35"/>
              </w:rPr>
              <w:t xml:space="preserve"> </w:t>
            </w:r>
            <w:r>
              <w:rPr>
                <w:spacing w:val="10"/>
              </w:rPr>
              <w:t>500 </w:t>
            </w:r>
            <w:r>
              <w:rPr>
                <w:rFonts w:ascii="SimSun" w:hAnsi="SimSun" w:eastAsia="SimSun" w:cs="SimSun"/>
                <w:spacing w:val="10"/>
              </w:rPr>
              <w:t>万吨</w:t>
            </w:r>
            <w:r>
              <w:rPr>
                <w:spacing w:val="10"/>
              </w:rPr>
              <w:t>/</w:t>
            </w:r>
            <w:r>
              <w:rPr>
                <w:rFonts w:ascii="SimSun" w:hAnsi="SimSun" w:eastAsia="SimSun" w:cs="SimSun"/>
                <w:spacing w:val="10"/>
              </w:rPr>
              <w:t>年。采用</w:t>
            </w:r>
            <w:r>
              <w:rPr>
                <w:rFonts w:ascii="SimSun" w:hAnsi="SimSun" w:eastAsia="SimSun" w:cs="SimSun"/>
                <w:spacing w:val="9"/>
              </w:rPr>
              <w:t>单斗</w:t>
            </w:r>
            <w:r>
              <w:rPr>
                <w:spacing w:val="9"/>
              </w:rPr>
              <w:t>-</w:t>
            </w:r>
            <w:r>
              <w:rPr>
                <w:rFonts w:ascii="SimSun" w:hAnsi="SimSun" w:eastAsia="SimSun" w:cs="SimSun"/>
                <w:spacing w:val="9"/>
              </w:rPr>
              <w:t>汽车开</w:t>
            </w:r>
            <w:r>
              <w:rPr>
                <w:rFonts w:ascii="SimSun" w:hAnsi="SimSun" w:eastAsia="SimSun" w:cs="SimSun"/>
                <w:spacing w:val="5"/>
              </w:rPr>
              <w:t>采工艺。</w:t>
            </w:r>
          </w:p>
        </w:tc>
      </w:tr>
      <w:tr>
        <w:trPr>
          <w:trHeight w:val="549" w:hRule="atLeast"/>
        </w:trPr>
        <w:tc>
          <w:tcPr>
            <w:tcW w:w="784" w:type="dxa"/>
            <w:vAlign w:val="top"/>
          </w:tcPr>
          <w:p>
            <w:pPr>
              <w:pStyle w:val="TableText"/>
              <w:ind w:left="339"/>
              <w:spacing w:before="202" w:line="195" w:lineRule="auto"/>
              <w:rPr/>
            </w:pPr>
            <w:r>
              <w:rPr>
                <w:spacing w:val="1"/>
              </w:rPr>
              <w:t>4</w:t>
            </w:r>
          </w:p>
        </w:tc>
        <w:tc>
          <w:tcPr>
            <w:tcW w:w="2728" w:type="dxa"/>
            <w:vAlign w:val="top"/>
          </w:tcPr>
          <w:p>
            <w:pPr>
              <w:ind w:left="840"/>
              <w:spacing w:before="166" w:line="227" w:lineRule="auto"/>
              <w:rPr>
                <w:rFonts w:ascii="SimSun" w:hAnsi="SimSun" w:eastAsia="SimSun" w:cs="SimSun"/>
                <w:sz w:val="20"/>
                <w:szCs w:val="20"/>
              </w:rPr>
            </w:pPr>
            <w:r>
              <w:rPr>
                <w:rFonts w:ascii="SimSun" w:hAnsi="SimSun" w:eastAsia="SimSun" w:cs="SimSun"/>
                <w:sz w:val="20"/>
                <w:szCs w:val="20"/>
                <w:spacing w:val="8"/>
              </w:rPr>
              <w:t>采矿许可证</w:t>
            </w:r>
          </w:p>
        </w:tc>
        <w:tc>
          <w:tcPr>
            <w:tcW w:w="1238" w:type="dxa"/>
            <w:vAlign w:val="top"/>
          </w:tcPr>
          <w:p>
            <w:pPr>
              <w:ind w:left="518" w:right="201" w:hanging="296"/>
              <w:spacing w:before="32" w:line="234" w:lineRule="auto"/>
              <w:rPr>
                <w:rFonts w:ascii="SimSun" w:hAnsi="SimSun" w:eastAsia="SimSun" w:cs="SimSun"/>
                <w:sz w:val="20"/>
                <w:szCs w:val="20"/>
              </w:rPr>
            </w:pPr>
            <w:r>
              <w:rPr>
                <w:rFonts w:ascii="SimSun" w:hAnsi="SimSun" w:eastAsia="SimSun" w:cs="SimSun"/>
                <w:sz w:val="20"/>
                <w:szCs w:val="20"/>
                <w:spacing w:val="2"/>
              </w:rPr>
              <w:t>国土资源</w:t>
            </w:r>
            <w:r>
              <w:rPr>
                <w:rFonts w:ascii="SimSun" w:hAnsi="SimSun" w:eastAsia="SimSun" w:cs="SimSun"/>
                <w:sz w:val="20"/>
                <w:szCs w:val="20"/>
              </w:rPr>
              <w:t>部</w:t>
            </w:r>
          </w:p>
        </w:tc>
        <w:tc>
          <w:tcPr>
            <w:tcW w:w="1461" w:type="dxa"/>
            <w:vAlign w:val="top"/>
          </w:tcPr>
          <w:p>
            <w:pPr>
              <w:pStyle w:val="TableText"/>
              <w:ind w:left="178"/>
              <w:spacing w:before="166" w:line="228" w:lineRule="auto"/>
              <w:rPr>
                <w:rFonts w:ascii="SimSun" w:hAnsi="SimSun" w:eastAsia="SimSun" w:cs="SimSun"/>
              </w:rPr>
            </w:pPr>
            <w:r>
              <w:rPr>
                <w:spacing w:val="3"/>
              </w:rPr>
              <w:t>2007 </w:t>
            </w:r>
            <w:r>
              <w:rPr>
                <w:rFonts w:ascii="SimSun" w:hAnsi="SimSun" w:eastAsia="SimSun" w:cs="SimSun"/>
                <w:spacing w:val="3"/>
              </w:rPr>
              <w:t>年</w:t>
            </w:r>
            <w:r>
              <w:rPr>
                <w:rFonts w:ascii="SimSun" w:hAnsi="SimSun" w:eastAsia="SimSun" w:cs="SimSun"/>
                <w:spacing w:val="-41"/>
              </w:rPr>
              <w:t xml:space="preserve"> </w:t>
            </w:r>
            <w:r>
              <w:rPr>
                <w:spacing w:val="3"/>
              </w:rPr>
              <w:t>4</w:t>
            </w:r>
            <w:r>
              <w:rPr>
                <w:spacing w:val="17"/>
                <w:w w:val="101"/>
              </w:rPr>
              <w:t xml:space="preserve"> </w:t>
            </w:r>
            <w:r>
              <w:rPr>
                <w:rFonts w:ascii="SimSun" w:hAnsi="SimSun" w:eastAsia="SimSun" w:cs="SimSun"/>
                <w:spacing w:val="3"/>
              </w:rPr>
              <w:t>月</w:t>
            </w:r>
          </w:p>
        </w:tc>
        <w:tc>
          <w:tcPr>
            <w:tcW w:w="2435" w:type="dxa"/>
            <w:vAlign w:val="top"/>
          </w:tcPr>
          <w:p>
            <w:pPr>
              <w:pStyle w:val="TableText"/>
              <w:ind w:left="172"/>
              <w:spacing w:before="230" w:line="188" w:lineRule="auto"/>
              <w:rPr>
                <w:sz w:val="18"/>
                <w:szCs w:val="18"/>
              </w:rPr>
            </w:pPr>
            <w:r>
              <w:rPr>
                <w:sz w:val="18"/>
                <w:szCs w:val="18"/>
                <w:spacing w:val="-1"/>
              </w:rPr>
              <w:t>C1000002011121110122411</w:t>
            </w:r>
          </w:p>
        </w:tc>
        <w:tc>
          <w:tcPr>
            <w:tcW w:w="5861" w:type="dxa"/>
            <w:vAlign w:val="top"/>
          </w:tcPr>
          <w:p>
            <w:pPr>
              <w:pStyle w:val="TableText"/>
              <w:ind w:left="116"/>
              <w:spacing w:before="166" w:line="228" w:lineRule="auto"/>
              <w:rPr>
                <w:rFonts w:ascii="SimSun" w:hAnsi="SimSun" w:eastAsia="SimSun" w:cs="SimSun"/>
              </w:rPr>
            </w:pPr>
            <w:r>
              <w:rPr>
                <w:rFonts w:ascii="SimSun" w:hAnsi="SimSun" w:eastAsia="SimSun" w:cs="SimSun"/>
                <w:spacing w:val="4"/>
              </w:rPr>
              <w:t>生产规模</w:t>
            </w:r>
            <w:r>
              <w:rPr>
                <w:rFonts w:ascii="SimSun" w:hAnsi="SimSun" w:eastAsia="SimSun" w:cs="SimSun"/>
                <w:spacing w:val="-31"/>
              </w:rPr>
              <w:t xml:space="preserve"> </w:t>
            </w:r>
            <w:r>
              <w:rPr>
                <w:spacing w:val="4"/>
              </w:rPr>
              <w:t>500</w:t>
            </w:r>
            <w:r>
              <w:rPr>
                <w:spacing w:val="17"/>
              </w:rPr>
              <w:t xml:space="preserve"> </w:t>
            </w:r>
            <w:r>
              <w:rPr>
                <w:rFonts w:ascii="SimSun" w:hAnsi="SimSun" w:eastAsia="SimSun" w:cs="SimSun"/>
                <w:spacing w:val="4"/>
              </w:rPr>
              <w:t>万吨</w:t>
            </w:r>
            <w:r>
              <w:rPr>
                <w:spacing w:val="4"/>
              </w:rPr>
              <w:t>/</w:t>
            </w:r>
            <w:r>
              <w:rPr>
                <w:rFonts w:ascii="SimSun" w:hAnsi="SimSun" w:eastAsia="SimSun" w:cs="SimSun"/>
                <w:spacing w:val="4"/>
              </w:rPr>
              <w:t>年</w:t>
            </w:r>
          </w:p>
        </w:tc>
      </w:tr>
      <w:tr>
        <w:trPr>
          <w:trHeight w:val="820" w:hRule="atLeast"/>
        </w:trPr>
        <w:tc>
          <w:tcPr>
            <w:tcW w:w="784" w:type="dxa"/>
            <w:vAlign w:val="top"/>
          </w:tcPr>
          <w:p>
            <w:pPr>
              <w:spacing w:line="285" w:lineRule="auto"/>
              <w:rPr>
                <w:rFonts w:ascii="Arial"/>
                <w:sz w:val="21"/>
              </w:rPr>
            </w:pPr>
            <w:r/>
          </w:p>
          <w:p>
            <w:pPr>
              <w:pStyle w:val="TableText"/>
              <w:ind w:left="345"/>
              <w:spacing w:before="58" w:line="192" w:lineRule="auto"/>
              <w:rPr/>
            </w:pPr>
            <w:r>
              <w:rPr/>
              <w:t>5</w:t>
            </w:r>
          </w:p>
        </w:tc>
        <w:tc>
          <w:tcPr>
            <w:tcW w:w="2728" w:type="dxa"/>
            <w:vAlign w:val="top"/>
          </w:tcPr>
          <w:p>
            <w:pPr>
              <w:ind w:left="110" w:right="114" w:firstLine="107"/>
              <w:spacing w:before="33" w:line="239" w:lineRule="auto"/>
              <w:jc w:val="both"/>
              <w:rPr>
                <w:rFonts w:ascii="SimSun" w:hAnsi="SimSun" w:eastAsia="SimSun" w:cs="SimSun"/>
                <w:sz w:val="20"/>
                <w:szCs w:val="20"/>
              </w:rPr>
            </w:pPr>
            <w:r>
              <w:rPr>
                <w:rFonts w:ascii="SimSun" w:hAnsi="SimSun" w:eastAsia="SimSun" w:cs="SimSun"/>
                <w:sz w:val="20"/>
                <w:szCs w:val="20"/>
                <w:spacing w:val="8"/>
              </w:rPr>
              <w:t>《内蒙古自治区锡林郭勒</w:t>
            </w:r>
            <w:r>
              <w:rPr>
                <w:rFonts w:ascii="SimSun" w:hAnsi="SimSun" w:eastAsia="SimSun" w:cs="SimSun"/>
                <w:sz w:val="20"/>
                <w:szCs w:val="20"/>
                <w:spacing w:val="18"/>
              </w:rPr>
              <w:t>盟白音华矿区总体规划环</w:t>
            </w:r>
            <w:r>
              <w:rPr>
                <w:rFonts w:ascii="SimSun" w:hAnsi="SimSun" w:eastAsia="SimSun" w:cs="SimSun"/>
                <w:sz w:val="20"/>
                <w:szCs w:val="20"/>
                <w:spacing w:val="8"/>
              </w:rPr>
              <w:t>境影响报告书的审查意见》</w:t>
            </w:r>
          </w:p>
        </w:tc>
        <w:tc>
          <w:tcPr>
            <w:tcW w:w="1238" w:type="dxa"/>
            <w:vAlign w:val="top"/>
          </w:tcPr>
          <w:p>
            <w:pPr>
              <w:ind w:left="413" w:right="201" w:hanging="207"/>
              <w:spacing w:before="169" w:line="252" w:lineRule="auto"/>
              <w:rPr>
                <w:rFonts w:ascii="SimSun" w:hAnsi="SimSun" w:eastAsia="SimSun" w:cs="SimSun"/>
                <w:sz w:val="20"/>
                <w:szCs w:val="20"/>
              </w:rPr>
            </w:pPr>
            <w:r>
              <w:rPr>
                <w:rFonts w:ascii="SimSun" w:hAnsi="SimSun" w:eastAsia="SimSun" w:cs="SimSun"/>
                <w:sz w:val="20"/>
                <w:szCs w:val="20"/>
                <w:spacing w:val="6"/>
              </w:rPr>
              <w:t>原环境保</w:t>
            </w:r>
            <w:r>
              <w:rPr>
                <w:rFonts w:ascii="SimSun" w:hAnsi="SimSun" w:eastAsia="SimSun" w:cs="SimSun"/>
                <w:sz w:val="20"/>
                <w:szCs w:val="20"/>
                <w:spacing w:val="4"/>
              </w:rPr>
              <w:t>护部</w:t>
            </w:r>
          </w:p>
        </w:tc>
        <w:tc>
          <w:tcPr>
            <w:tcW w:w="1461" w:type="dxa"/>
            <w:vAlign w:val="top"/>
          </w:tcPr>
          <w:p>
            <w:pPr>
              <w:pStyle w:val="TableText"/>
              <w:ind w:left="178"/>
              <w:spacing w:before="306" w:line="228" w:lineRule="auto"/>
              <w:rPr>
                <w:rFonts w:ascii="SimSun" w:hAnsi="SimSun" w:eastAsia="SimSun" w:cs="SimSun"/>
              </w:rPr>
            </w:pPr>
            <w:r>
              <w:rPr>
                <w:spacing w:val="3"/>
              </w:rPr>
              <w:t>2009 </w:t>
            </w:r>
            <w:r>
              <w:rPr>
                <w:rFonts w:ascii="SimSun" w:hAnsi="SimSun" w:eastAsia="SimSun" w:cs="SimSun"/>
                <w:spacing w:val="3"/>
              </w:rPr>
              <w:t>年</w:t>
            </w:r>
            <w:r>
              <w:rPr>
                <w:rFonts w:ascii="SimSun" w:hAnsi="SimSun" w:eastAsia="SimSun" w:cs="SimSun"/>
                <w:spacing w:val="-41"/>
              </w:rPr>
              <w:t xml:space="preserve"> </w:t>
            </w:r>
            <w:r>
              <w:rPr>
                <w:spacing w:val="3"/>
              </w:rPr>
              <w:t>2</w:t>
            </w:r>
            <w:r>
              <w:rPr>
                <w:spacing w:val="17"/>
                <w:w w:val="101"/>
              </w:rPr>
              <w:t xml:space="preserve"> </w:t>
            </w:r>
            <w:r>
              <w:rPr>
                <w:rFonts w:ascii="SimSun" w:hAnsi="SimSun" w:eastAsia="SimSun" w:cs="SimSun"/>
                <w:spacing w:val="3"/>
              </w:rPr>
              <w:t>月</w:t>
            </w:r>
          </w:p>
        </w:tc>
        <w:tc>
          <w:tcPr>
            <w:tcW w:w="2435" w:type="dxa"/>
            <w:vAlign w:val="top"/>
          </w:tcPr>
          <w:p>
            <w:pPr>
              <w:pStyle w:val="TableText"/>
              <w:ind w:left="497"/>
              <w:spacing w:before="306" w:line="221" w:lineRule="auto"/>
              <w:rPr>
                <w:rFonts w:ascii="SimSun" w:hAnsi="SimSun" w:eastAsia="SimSun" w:cs="SimSun"/>
              </w:rPr>
            </w:pPr>
            <w:r>
              <w:rPr>
                <w:rFonts w:ascii="SimSun" w:hAnsi="SimSun" w:eastAsia="SimSun" w:cs="SimSun"/>
                <w:spacing w:val="5"/>
              </w:rPr>
              <w:t>环审</w:t>
            </w:r>
            <w:r>
              <w:rPr>
                <w:spacing w:val="5"/>
              </w:rPr>
              <w:t>[2009]84 </w:t>
            </w:r>
            <w:r>
              <w:rPr>
                <w:rFonts w:ascii="SimSun" w:hAnsi="SimSun" w:eastAsia="SimSun" w:cs="SimSun"/>
                <w:spacing w:val="5"/>
              </w:rPr>
              <w:t>号</w:t>
            </w:r>
          </w:p>
        </w:tc>
        <w:tc>
          <w:tcPr>
            <w:tcW w:w="5861" w:type="dxa"/>
            <w:vAlign w:val="top"/>
          </w:tcPr>
          <w:p>
            <w:pPr>
              <w:pStyle w:val="TableText"/>
              <w:ind w:left="116" w:right="59" w:hanging="3"/>
              <w:spacing w:before="169" w:line="252" w:lineRule="auto"/>
              <w:rPr>
                <w:rFonts w:ascii="SimSun" w:hAnsi="SimSun" w:eastAsia="SimSun" w:cs="SimSun"/>
              </w:rPr>
            </w:pPr>
            <w:r>
              <w:rPr>
                <w:rFonts w:ascii="SimSun" w:hAnsi="SimSun" w:eastAsia="SimSun" w:cs="SimSun"/>
                <w:spacing w:val="4"/>
              </w:rPr>
              <w:t>矿区面积约</w:t>
            </w:r>
            <w:r>
              <w:rPr>
                <w:rFonts w:ascii="SimSun" w:hAnsi="SimSun" w:eastAsia="SimSun" w:cs="SimSun"/>
                <w:spacing w:val="-27"/>
              </w:rPr>
              <w:t xml:space="preserve"> </w:t>
            </w:r>
            <w:r>
              <w:rPr>
                <w:spacing w:val="4"/>
              </w:rPr>
              <w:t>510</w:t>
            </w:r>
            <w:r>
              <w:rPr/>
              <w:t>km</w:t>
            </w:r>
            <w:r>
              <w:rPr>
                <w:sz w:val="13"/>
                <w:szCs w:val="13"/>
                <w:spacing w:val="4"/>
                <w:position w:val="6"/>
              </w:rPr>
              <w:t>2</w:t>
            </w:r>
            <w:r>
              <w:rPr>
                <w:sz w:val="13"/>
                <w:szCs w:val="13"/>
                <w:spacing w:val="-5"/>
                <w:position w:val="6"/>
              </w:rPr>
              <w:t xml:space="preserve"> </w:t>
            </w:r>
            <w:r>
              <w:rPr>
                <w:rFonts w:ascii="SimSun" w:hAnsi="SimSun" w:eastAsia="SimSun" w:cs="SimSun"/>
                <w:spacing w:val="4"/>
              </w:rPr>
              <w:t>。矿区划分为</w:t>
            </w:r>
            <w:r>
              <w:rPr>
                <w:rFonts w:ascii="SimSun" w:hAnsi="SimSun" w:eastAsia="SimSun" w:cs="SimSun"/>
                <w:spacing w:val="-42"/>
              </w:rPr>
              <w:t xml:space="preserve"> </w:t>
            </w:r>
            <w:r>
              <w:rPr>
                <w:spacing w:val="4"/>
              </w:rPr>
              <w:t>4 </w:t>
            </w:r>
            <w:r>
              <w:rPr>
                <w:rFonts w:ascii="SimSun" w:hAnsi="SimSun" w:eastAsia="SimSun" w:cs="SimSun"/>
                <w:spacing w:val="4"/>
              </w:rPr>
              <w:t>个露天矿田和</w:t>
            </w:r>
            <w:r>
              <w:rPr>
                <w:rFonts w:ascii="SimSun" w:hAnsi="SimSun" w:eastAsia="SimSun" w:cs="SimSun"/>
                <w:spacing w:val="-18"/>
              </w:rPr>
              <w:t xml:space="preserve"> </w:t>
            </w:r>
            <w:r>
              <w:rPr>
                <w:spacing w:val="4"/>
              </w:rPr>
              <w:t>1 </w:t>
            </w:r>
            <w:r>
              <w:rPr>
                <w:rFonts w:ascii="SimSun" w:hAnsi="SimSun" w:eastAsia="SimSun" w:cs="SimSun"/>
                <w:spacing w:val="4"/>
              </w:rPr>
              <w:t>个后备区，</w:t>
            </w:r>
            <w:r>
              <w:rPr>
                <w:rFonts w:ascii="SimSun" w:hAnsi="SimSun" w:eastAsia="SimSun" w:cs="SimSun"/>
                <w:spacing w:val="6"/>
              </w:rPr>
              <w:t>建设总规模暂定为</w:t>
            </w:r>
            <w:r>
              <w:rPr>
                <w:rFonts w:ascii="SimSun" w:hAnsi="SimSun" w:eastAsia="SimSun" w:cs="SimSun"/>
                <w:spacing w:val="-36"/>
              </w:rPr>
              <w:t xml:space="preserve"> </w:t>
            </w:r>
            <w:r>
              <w:rPr>
                <w:spacing w:val="6"/>
              </w:rPr>
              <w:t>6000 </w:t>
            </w:r>
            <w:r>
              <w:rPr>
                <w:rFonts w:ascii="SimSun" w:hAnsi="SimSun" w:eastAsia="SimSun" w:cs="SimSun"/>
                <w:spacing w:val="6"/>
              </w:rPr>
              <w:t>万吨</w:t>
            </w:r>
            <w:r>
              <w:rPr>
                <w:spacing w:val="6"/>
              </w:rPr>
              <w:t>/</w:t>
            </w:r>
            <w:r>
              <w:rPr>
                <w:rFonts w:ascii="SimSun" w:hAnsi="SimSun" w:eastAsia="SimSun" w:cs="SimSun"/>
                <w:spacing w:val="6"/>
              </w:rPr>
              <w:t>年。</w:t>
            </w:r>
          </w:p>
        </w:tc>
      </w:tr>
      <w:tr>
        <w:trPr>
          <w:trHeight w:val="1096" w:hRule="atLeast"/>
        </w:trPr>
        <w:tc>
          <w:tcPr>
            <w:tcW w:w="784" w:type="dxa"/>
            <w:vAlign w:val="top"/>
          </w:tcPr>
          <w:p>
            <w:pPr>
              <w:spacing w:line="419" w:lineRule="auto"/>
              <w:rPr>
                <w:rFonts w:ascii="Arial"/>
                <w:sz w:val="21"/>
              </w:rPr>
            </w:pPr>
            <w:r/>
          </w:p>
          <w:p>
            <w:pPr>
              <w:pStyle w:val="TableText"/>
              <w:ind w:left="344"/>
              <w:spacing w:before="58" w:line="195" w:lineRule="auto"/>
              <w:rPr/>
            </w:pPr>
            <w:r>
              <w:rPr/>
              <w:t>6</w:t>
            </w:r>
          </w:p>
        </w:tc>
        <w:tc>
          <w:tcPr>
            <w:tcW w:w="2728" w:type="dxa"/>
            <w:vAlign w:val="top"/>
          </w:tcPr>
          <w:p>
            <w:pPr>
              <w:ind w:left="108" w:right="108" w:firstLine="6"/>
              <w:spacing w:before="37" w:line="242" w:lineRule="auto"/>
              <w:jc w:val="both"/>
              <w:rPr>
                <w:rFonts w:ascii="SimSun" w:hAnsi="SimSun" w:eastAsia="SimSun" w:cs="SimSun"/>
                <w:sz w:val="20"/>
                <w:szCs w:val="20"/>
              </w:rPr>
            </w:pPr>
            <w:r>
              <w:rPr>
                <w:rFonts w:ascii="SimSun" w:hAnsi="SimSun" w:eastAsia="SimSun" w:cs="SimSun"/>
                <w:sz w:val="20"/>
                <w:szCs w:val="20"/>
                <w:spacing w:val="11"/>
              </w:rPr>
              <w:t>《</w:t>
            </w:r>
            <w:r>
              <w:rPr>
                <w:rFonts w:ascii="SimSun" w:hAnsi="SimSun" w:eastAsia="SimSun" w:cs="SimSun"/>
                <w:sz w:val="20"/>
                <w:szCs w:val="20"/>
                <w:spacing w:val="-40"/>
              </w:rPr>
              <w:t xml:space="preserve"> </w:t>
            </w:r>
            <w:r>
              <w:rPr>
                <w:rFonts w:ascii="SimSun" w:hAnsi="SimSun" w:eastAsia="SimSun" w:cs="SimSun"/>
                <w:sz w:val="20"/>
                <w:szCs w:val="20"/>
                <w:spacing w:val="11"/>
              </w:rPr>
              <w:t>关于</w:t>
            </w:r>
            <w:r>
              <w:rPr>
                <w:rFonts w:ascii="SimSun" w:hAnsi="SimSun" w:eastAsia="SimSun" w:cs="SimSun"/>
                <w:sz w:val="20"/>
                <w:szCs w:val="20"/>
                <w:spacing w:val="-45"/>
              </w:rPr>
              <w:t xml:space="preserve"> </w:t>
            </w:r>
            <w:r>
              <w:rPr>
                <w:rFonts w:ascii="SimSun" w:hAnsi="SimSun" w:eastAsia="SimSun" w:cs="SimSun"/>
                <w:sz w:val="20"/>
                <w:szCs w:val="20"/>
                <w:spacing w:val="11"/>
              </w:rPr>
              <w:t>内蒙古</w:t>
            </w:r>
            <w:r>
              <w:rPr>
                <w:rFonts w:ascii="SimSun" w:hAnsi="SimSun" w:eastAsia="SimSun" w:cs="SimSun"/>
                <w:sz w:val="20"/>
                <w:szCs w:val="20"/>
                <w:spacing w:val="-40"/>
              </w:rPr>
              <w:t xml:space="preserve"> </w:t>
            </w:r>
            <w:r>
              <w:rPr>
                <w:rFonts w:ascii="SimSun" w:hAnsi="SimSun" w:eastAsia="SimSun" w:cs="SimSun"/>
                <w:sz w:val="20"/>
                <w:szCs w:val="20"/>
                <w:spacing w:val="11"/>
              </w:rPr>
              <w:t>白音华海州</w:t>
            </w:r>
            <w:r>
              <w:rPr>
                <w:rFonts w:ascii="SimSun" w:hAnsi="SimSun" w:eastAsia="SimSun" w:cs="SimSun"/>
                <w:sz w:val="20"/>
                <w:szCs w:val="20"/>
                <w:spacing w:val="27"/>
              </w:rPr>
              <w:t>露天煤矿有限公司白音华</w:t>
            </w:r>
            <w:r>
              <w:rPr>
                <w:rFonts w:ascii="SimSun" w:hAnsi="SimSun" w:eastAsia="SimSun" w:cs="SimSun"/>
                <w:sz w:val="20"/>
                <w:szCs w:val="20"/>
                <w:spacing w:val="8"/>
              </w:rPr>
              <w:t>四号露天矿二期工程（井工</w:t>
            </w:r>
            <w:r>
              <w:rPr>
                <w:rFonts w:ascii="SimSun" w:hAnsi="SimSun" w:eastAsia="SimSun" w:cs="SimSun"/>
                <w:sz w:val="20"/>
                <w:szCs w:val="20"/>
                <w:spacing w:val="8"/>
              </w:rPr>
              <w:t>矿）环境影响报告的批复》</w:t>
            </w:r>
          </w:p>
        </w:tc>
        <w:tc>
          <w:tcPr>
            <w:tcW w:w="1238" w:type="dxa"/>
            <w:vAlign w:val="top"/>
          </w:tcPr>
          <w:p>
            <w:pPr>
              <w:ind w:left="226"/>
              <w:spacing w:before="167" w:line="228" w:lineRule="auto"/>
              <w:rPr>
                <w:rFonts w:ascii="SimSun" w:hAnsi="SimSun" w:eastAsia="SimSun" w:cs="SimSun"/>
                <w:sz w:val="20"/>
                <w:szCs w:val="20"/>
              </w:rPr>
            </w:pPr>
            <w:r>
              <w:rPr>
                <w:rFonts w:ascii="SimSun" w:hAnsi="SimSun" w:eastAsia="SimSun" w:cs="SimSun"/>
                <w:sz w:val="20"/>
                <w:szCs w:val="20"/>
                <w:spacing w:val="1"/>
              </w:rPr>
              <w:t>内蒙古自</w:t>
            </w:r>
          </w:p>
          <w:p>
            <w:pPr>
              <w:ind w:left="307" w:right="201" w:hanging="101"/>
              <w:spacing w:before="29" w:line="252" w:lineRule="auto"/>
              <w:rPr>
                <w:rFonts w:ascii="SimSun" w:hAnsi="SimSun" w:eastAsia="SimSun" w:cs="SimSun"/>
                <w:sz w:val="20"/>
                <w:szCs w:val="20"/>
              </w:rPr>
            </w:pPr>
            <w:r>
              <w:rPr>
                <w:rFonts w:ascii="SimSun" w:hAnsi="SimSun" w:eastAsia="SimSun" w:cs="SimSun"/>
                <w:sz w:val="20"/>
                <w:szCs w:val="20"/>
                <w:spacing w:val="6"/>
              </w:rPr>
              <w:t>治区环境</w:t>
            </w:r>
            <w:r>
              <w:rPr>
                <w:rFonts w:ascii="SimSun" w:hAnsi="SimSun" w:eastAsia="SimSun" w:cs="SimSun"/>
                <w:sz w:val="20"/>
                <w:szCs w:val="20"/>
                <w:spacing w:val="6"/>
              </w:rPr>
              <w:t>保护厅</w:t>
            </w:r>
          </w:p>
        </w:tc>
        <w:tc>
          <w:tcPr>
            <w:tcW w:w="1461" w:type="dxa"/>
            <w:vAlign w:val="top"/>
          </w:tcPr>
          <w:p>
            <w:pPr>
              <w:spacing w:line="376" w:lineRule="auto"/>
              <w:rPr>
                <w:rFonts w:ascii="Arial"/>
                <w:sz w:val="21"/>
              </w:rPr>
            </w:pPr>
            <w:r/>
          </w:p>
          <w:p>
            <w:pPr>
              <w:pStyle w:val="TableText"/>
              <w:ind w:left="178"/>
              <w:spacing w:before="65" w:line="228" w:lineRule="auto"/>
              <w:rPr>
                <w:rFonts w:ascii="SimSun" w:hAnsi="SimSun" w:eastAsia="SimSun" w:cs="SimSun"/>
              </w:rPr>
            </w:pPr>
            <w:r>
              <w:rPr>
                <w:spacing w:val="3"/>
              </w:rPr>
              <w:t>2014 </w:t>
            </w:r>
            <w:r>
              <w:rPr>
                <w:rFonts w:ascii="SimSun" w:hAnsi="SimSun" w:eastAsia="SimSun" w:cs="SimSun"/>
                <w:spacing w:val="3"/>
              </w:rPr>
              <w:t>年</w:t>
            </w:r>
            <w:r>
              <w:rPr>
                <w:rFonts w:ascii="SimSun" w:hAnsi="SimSun" w:eastAsia="SimSun" w:cs="SimSun"/>
                <w:spacing w:val="-41"/>
              </w:rPr>
              <w:t xml:space="preserve"> </w:t>
            </w:r>
            <w:r>
              <w:rPr>
                <w:spacing w:val="3"/>
              </w:rPr>
              <w:t>2</w:t>
            </w:r>
            <w:r>
              <w:rPr>
                <w:spacing w:val="17"/>
                <w:w w:val="101"/>
              </w:rPr>
              <w:t xml:space="preserve"> </w:t>
            </w:r>
            <w:r>
              <w:rPr>
                <w:rFonts w:ascii="SimSun" w:hAnsi="SimSun" w:eastAsia="SimSun" w:cs="SimSun"/>
                <w:spacing w:val="3"/>
              </w:rPr>
              <w:t>月</w:t>
            </w:r>
          </w:p>
        </w:tc>
        <w:tc>
          <w:tcPr>
            <w:tcW w:w="2435" w:type="dxa"/>
            <w:vAlign w:val="top"/>
          </w:tcPr>
          <w:p>
            <w:pPr>
              <w:spacing w:line="376" w:lineRule="auto"/>
              <w:rPr>
                <w:rFonts w:ascii="Arial"/>
                <w:sz w:val="21"/>
              </w:rPr>
            </w:pPr>
            <w:r/>
          </w:p>
          <w:p>
            <w:pPr>
              <w:pStyle w:val="TableText"/>
              <w:ind w:left="275"/>
              <w:spacing w:before="65" w:line="228" w:lineRule="auto"/>
              <w:rPr>
                <w:rFonts w:ascii="SimSun" w:hAnsi="SimSun" w:eastAsia="SimSun" w:cs="SimSun"/>
              </w:rPr>
            </w:pPr>
            <w:r>
              <w:rPr>
                <w:rFonts w:ascii="SimSun" w:hAnsi="SimSun" w:eastAsia="SimSun" w:cs="SimSun"/>
                <w:spacing w:val="3"/>
              </w:rPr>
              <w:t>内环审〔</w:t>
            </w:r>
            <w:r>
              <w:rPr>
                <w:spacing w:val="3"/>
              </w:rPr>
              <w:t>2014</w:t>
            </w:r>
            <w:r>
              <w:rPr>
                <w:rFonts w:ascii="SimSun" w:hAnsi="SimSun" w:eastAsia="SimSun" w:cs="SimSun"/>
                <w:spacing w:val="3"/>
              </w:rPr>
              <w:t>〕</w:t>
            </w:r>
            <w:r>
              <w:rPr>
                <w:spacing w:val="3"/>
              </w:rPr>
              <w:t>35</w:t>
            </w:r>
            <w:r>
              <w:rPr>
                <w:spacing w:val="25"/>
                <w:w w:val="101"/>
              </w:rPr>
              <w:t xml:space="preserve"> </w:t>
            </w:r>
            <w:r>
              <w:rPr>
                <w:rFonts w:ascii="SimSun" w:hAnsi="SimSun" w:eastAsia="SimSun" w:cs="SimSun"/>
                <w:spacing w:val="3"/>
              </w:rPr>
              <w:t>号</w:t>
            </w:r>
          </w:p>
        </w:tc>
        <w:tc>
          <w:tcPr>
            <w:tcW w:w="5861" w:type="dxa"/>
            <w:vAlign w:val="top"/>
          </w:tcPr>
          <w:p>
            <w:pPr>
              <w:pStyle w:val="TableText"/>
              <w:ind w:left="115" w:right="111"/>
              <w:spacing w:before="306" w:line="254" w:lineRule="auto"/>
              <w:rPr>
                <w:rFonts w:ascii="SimSun" w:hAnsi="SimSun" w:eastAsia="SimSun" w:cs="SimSun"/>
              </w:rPr>
            </w:pPr>
            <w:r>
              <w:rPr>
                <w:rFonts w:ascii="SimSun" w:hAnsi="SimSun" w:eastAsia="SimSun" w:cs="SimSun"/>
                <w:spacing w:val="6"/>
              </w:rPr>
              <w:t>本期工程井田面积</w:t>
            </w:r>
            <w:r>
              <w:rPr>
                <w:rFonts w:ascii="SimSun" w:hAnsi="SimSun" w:eastAsia="SimSun" w:cs="SimSun"/>
                <w:spacing w:val="-23"/>
              </w:rPr>
              <w:t xml:space="preserve"> </w:t>
            </w:r>
            <w:r>
              <w:rPr>
                <w:spacing w:val="6"/>
              </w:rPr>
              <w:t>15.774</w:t>
            </w:r>
            <w:r>
              <w:rPr/>
              <w:t>km</w:t>
            </w:r>
            <w:r>
              <w:rPr>
                <w:sz w:val="13"/>
                <w:szCs w:val="13"/>
                <w:spacing w:val="6"/>
                <w:position w:val="6"/>
              </w:rPr>
              <w:t>2</w:t>
            </w:r>
            <w:r>
              <w:rPr>
                <w:sz w:val="13"/>
                <w:szCs w:val="13"/>
                <w:spacing w:val="-8"/>
                <w:position w:val="6"/>
              </w:rPr>
              <w:t xml:space="preserve"> </w:t>
            </w:r>
            <w:r>
              <w:rPr>
                <w:rFonts w:ascii="SimSun" w:hAnsi="SimSun" w:eastAsia="SimSun" w:cs="SimSun"/>
                <w:spacing w:val="6"/>
              </w:rPr>
              <w:t>，新建生产能力</w:t>
            </w:r>
            <w:r>
              <w:rPr>
                <w:rFonts w:ascii="SimSun" w:hAnsi="SimSun" w:eastAsia="SimSun" w:cs="SimSun"/>
                <w:spacing w:val="-35"/>
              </w:rPr>
              <w:t xml:space="preserve"> </w:t>
            </w:r>
            <w:r>
              <w:rPr>
                <w:spacing w:val="6"/>
              </w:rPr>
              <w:t>500</w:t>
            </w:r>
            <w:r>
              <w:rPr>
                <w:spacing w:val="5"/>
              </w:rPr>
              <w:t xml:space="preserve"> </w:t>
            </w:r>
            <w:r>
              <w:rPr>
                <w:rFonts w:ascii="SimSun" w:hAnsi="SimSun" w:eastAsia="SimSun" w:cs="SimSun"/>
                <w:spacing w:val="5"/>
              </w:rPr>
              <w:t>万吨</w:t>
            </w:r>
            <w:r>
              <w:rPr>
                <w:spacing w:val="5"/>
              </w:rPr>
              <w:t>/</w:t>
            </w:r>
            <w:r>
              <w:rPr>
                <w:rFonts w:ascii="SimSun" w:hAnsi="SimSun" w:eastAsia="SimSun" w:cs="SimSun"/>
                <w:spacing w:val="5"/>
              </w:rPr>
              <w:t>年，采</w:t>
            </w:r>
            <w:r>
              <w:rPr>
                <w:rFonts w:ascii="SimSun" w:hAnsi="SimSun" w:eastAsia="SimSun" w:cs="SimSun"/>
                <w:spacing w:val="7"/>
              </w:rPr>
              <w:t>用井工开采的方式。</w:t>
            </w:r>
          </w:p>
        </w:tc>
      </w:tr>
      <w:tr>
        <w:trPr>
          <w:trHeight w:val="1094" w:hRule="atLeast"/>
        </w:trPr>
        <w:tc>
          <w:tcPr>
            <w:tcW w:w="784" w:type="dxa"/>
            <w:vAlign w:val="top"/>
          </w:tcPr>
          <w:p>
            <w:pPr>
              <w:spacing w:line="420" w:lineRule="auto"/>
              <w:rPr>
                <w:rFonts w:ascii="Arial"/>
                <w:sz w:val="21"/>
              </w:rPr>
            </w:pPr>
            <w:r/>
          </w:p>
          <w:p>
            <w:pPr>
              <w:pStyle w:val="TableText"/>
              <w:ind w:left="343"/>
              <w:spacing w:before="58" w:line="192" w:lineRule="auto"/>
              <w:rPr/>
            </w:pPr>
            <w:r>
              <w:rPr/>
              <w:t>7</w:t>
            </w:r>
          </w:p>
        </w:tc>
        <w:tc>
          <w:tcPr>
            <w:tcW w:w="2728" w:type="dxa"/>
            <w:vAlign w:val="top"/>
          </w:tcPr>
          <w:p>
            <w:pPr>
              <w:ind w:left="108" w:right="111" w:firstLine="6"/>
              <w:spacing w:before="35" w:line="242" w:lineRule="auto"/>
              <w:jc w:val="both"/>
              <w:rPr>
                <w:rFonts w:ascii="SimSun" w:hAnsi="SimSun" w:eastAsia="SimSun" w:cs="SimSun"/>
                <w:sz w:val="20"/>
                <w:szCs w:val="20"/>
              </w:rPr>
            </w:pPr>
            <w:r>
              <w:rPr>
                <w:rFonts w:ascii="SimSun" w:hAnsi="SimSun" w:eastAsia="SimSun" w:cs="SimSun"/>
                <w:sz w:val="20"/>
                <w:szCs w:val="20"/>
                <w:spacing w:val="17"/>
              </w:rPr>
              <w:t>《</w:t>
            </w:r>
            <w:r>
              <w:rPr>
                <w:rFonts w:ascii="SimSun" w:hAnsi="SimSun" w:eastAsia="SimSun" w:cs="SimSun"/>
                <w:sz w:val="20"/>
                <w:szCs w:val="20"/>
                <w:spacing w:val="-46"/>
              </w:rPr>
              <w:t xml:space="preserve"> </w:t>
            </w:r>
            <w:r>
              <w:rPr>
                <w:rFonts w:ascii="SimSun" w:hAnsi="SimSun" w:eastAsia="SimSun" w:cs="SimSun"/>
                <w:sz w:val="20"/>
                <w:szCs w:val="20"/>
                <w:spacing w:val="17"/>
              </w:rPr>
              <w:t>关于</w:t>
            </w:r>
            <w:r>
              <w:rPr>
                <w:rFonts w:ascii="SimSun" w:hAnsi="SimSun" w:eastAsia="SimSun" w:cs="SimSun"/>
                <w:sz w:val="20"/>
                <w:szCs w:val="20"/>
                <w:spacing w:val="-45"/>
              </w:rPr>
              <w:t xml:space="preserve"> </w:t>
            </w:r>
            <w:r>
              <w:rPr>
                <w:rFonts w:ascii="SimSun" w:hAnsi="SimSun" w:eastAsia="SimSun" w:cs="SimSun"/>
                <w:sz w:val="20"/>
                <w:szCs w:val="20"/>
                <w:spacing w:val="17"/>
              </w:rPr>
              <w:t>内蒙古海州露天能</w:t>
            </w:r>
            <w:r>
              <w:rPr>
                <w:rFonts w:ascii="SimSun" w:hAnsi="SimSun" w:eastAsia="SimSun" w:cs="SimSun"/>
                <w:sz w:val="20"/>
                <w:szCs w:val="20"/>
                <w:spacing w:val="19"/>
              </w:rPr>
              <w:t>源有</w:t>
            </w:r>
            <w:r>
              <w:rPr>
                <w:rFonts w:ascii="SimSun" w:hAnsi="SimSun" w:eastAsia="SimSun" w:cs="SimSun"/>
                <w:sz w:val="20"/>
                <w:szCs w:val="20"/>
                <w:spacing w:val="-56"/>
              </w:rPr>
              <w:t xml:space="preserve"> </w:t>
            </w:r>
            <w:r>
              <w:rPr>
                <w:rFonts w:ascii="SimSun" w:hAnsi="SimSun" w:eastAsia="SimSun" w:cs="SimSun"/>
                <w:sz w:val="20"/>
                <w:szCs w:val="20"/>
                <w:spacing w:val="19"/>
              </w:rPr>
              <w:t>限责任公司白音华</w:t>
            </w:r>
            <w:r>
              <w:rPr>
                <w:rFonts w:ascii="SimSun" w:hAnsi="SimSun" w:eastAsia="SimSun" w:cs="SimSun"/>
                <w:sz w:val="20"/>
                <w:szCs w:val="20"/>
                <w:spacing w:val="-51"/>
              </w:rPr>
              <w:t xml:space="preserve"> </w:t>
            </w:r>
            <w:r>
              <w:rPr>
                <w:rFonts w:ascii="SimSun" w:hAnsi="SimSun" w:eastAsia="SimSun" w:cs="SimSun"/>
                <w:sz w:val="20"/>
                <w:szCs w:val="20"/>
                <w:spacing w:val="19"/>
              </w:rPr>
              <w:t>四</w:t>
            </w:r>
            <w:r>
              <w:rPr>
                <w:rFonts w:ascii="SimSun" w:hAnsi="SimSun" w:eastAsia="SimSun" w:cs="SimSun"/>
                <w:sz w:val="20"/>
                <w:szCs w:val="20"/>
                <w:spacing w:val="27"/>
              </w:rPr>
              <w:t>号露天矿竣工环境保护验</w:t>
            </w:r>
            <w:r>
              <w:rPr>
                <w:rFonts w:ascii="SimSun" w:hAnsi="SimSun" w:eastAsia="SimSun" w:cs="SimSun"/>
                <w:sz w:val="20"/>
                <w:szCs w:val="20"/>
                <w:spacing w:val="6"/>
              </w:rPr>
              <w:t>收合格的函》</w:t>
            </w:r>
          </w:p>
        </w:tc>
        <w:tc>
          <w:tcPr>
            <w:tcW w:w="1238" w:type="dxa"/>
            <w:vAlign w:val="top"/>
          </w:tcPr>
          <w:p>
            <w:pPr>
              <w:ind w:left="517" w:right="201" w:hanging="316"/>
              <w:spacing w:before="303" w:line="256" w:lineRule="auto"/>
              <w:rPr>
                <w:rFonts w:ascii="SimSun" w:hAnsi="SimSun" w:eastAsia="SimSun" w:cs="SimSun"/>
                <w:sz w:val="20"/>
                <w:szCs w:val="20"/>
              </w:rPr>
            </w:pPr>
            <w:r>
              <w:rPr>
                <w:rFonts w:ascii="SimSun" w:hAnsi="SimSun" w:eastAsia="SimSun" w:cs="SimSun"/>
                <w:sz w:val="20"/>
                <w:szCs w:val="20"/>
                <w:spacing w:val="7"/>
              </w:rPr>
              <w:t>环境保护</w:t>
            </w:r>
            <w:r>
              <w:rPr>
                <w:rFonts w:ascii="SimSun" w:hAnsi="SimSun" w:eastAsia="SimSun" w:cs="SimSun"/>
                <w:sz w:val="20"/>
                <w:szCs w:val="20"/>
              </w:rPr>
              <w:t>部</w:t>
            </w:r>
          </w:p>
        </w:tc>
        <w:tc>
          <w:tcPr>
            <w:tcW w:w="1461" w:type="dxa"/>
            <w:vAlign w:val="top"/>
          </w:tcPr>
          <w:p>
            <w:pPr>
              <w:spacing w:line="374" w:lineRule="auto"/>
              <w:rPr>
                <w:rFonts w:ascii="Arial"/>
                <w:sz w:val="21"/>
              </w:rPr>
            </w:pPr>
            <w:r/>
          </w:p>
          <w:p>
            <w:pPr>
              <w:pStyle w:val="TableText"/>
              <w:ind w:left="178"/>
              <w:spacing w:before="65" w:line="228" w:lineRule="auto"/>
              <w:rPr>
                <w:rFonts w:ascii="SimSun" w:hAnsi="SimSun" w:eastAsia="SimSun" w:cs="SimSun"/>
              </w:rPr>
            </w:pPr>
            <w:r>
              <w:rPr>
                <w:spacing w:val="2"/>
              </w:rPr>
              <w:t>2015 </w:t>
            </w:r>
            <w:r>
              <w:rPr>
                <w:rFonts w:ascii="SimSun" w:hAnsi="SimSun" w:eastAsia="SimSun" w:cs="SimSun"/>
                <w:spacing w:val="2"/>
              </w:rPr>
              <w:t>年</w:t>
            </w:r>
            <w:r>
              <w:rPr>
                <w:rFonts w:ascii="SimSun" w:hAnsi="SimSun" w:eastAsia="SimSun" w:cs="SimSun"/>
                <w:spacing w:val="-33"/>
              </w:rPr>
              <w:t xml:space="preserve"> </w:t>
            </w:r>
            <w:r>
              <w:rPr>
                <w:spacing w:val="2"/>
              </w:rPr>
              <w:t>9</w:t>
            </w:r>
            <w:r>
              <w:rPr>
                <w:spacing w:val="17"/>
                <w:w w:val="101"/>
              </w:rPr>
              <w:t xml:space="preserve"> </w:t>
            </w:r>
            <w:r>
              <w:rPr>
                <w:rFonts w:ascii="SimSun" w:hAnsi="SimSun" w:eastAsia="SimSun" w:cs="SimSun"/>
                <w:spacing w:val="2"/>
              </w:rPr>
              <w:t>月</w:t>
            </w:r>
          </w:p>
        </w:tc>
        <w:tc>
          <w:tcPr>
            <w:tcW w:w="2435" w:type="dxa"/>
            <w:vAlign w:val="top"/>
          </w:tcPr>
          <w:p>
            <w:pPr>
              <w:spacing w:line="374" w:lineRule="auto"/>
              <w:rPr>
                <w:rFonts w:ascii="Arial"/>
                <w:sz w:val="21"/>
              </w:rPr>
            </w:pPr>
            <w:r/>
          </w:p>
          <w:p>
            <w:pPr>
              <w:pStyle w:val="TableText"/>
              <w:ind w:left="303"/>
              <w:spacing w:before="65" w:line="229" w:lineRule="auto"/>
              <w:rPr>
                <w:rFonts w:ascii="SimSun" w:hAnsi="SimSun" w:eastAsia="SimSun" w:cs="SimSun"/>
              </w:rPr>
            </w:pPr>
            <w:r>
              <w:rPr>
                <w:rFonts w:ascii="SimSun" w:hAnsi="SimSun" w:eastAsia="SimSun" w:cs="SimSun"/>
                <w:spacing w:val="6"/>
              </w:rPr>
              <w:t>环验〔</w:t>
            </w:r>
            <w:r>
              <w:rPr>
                <w:spacing w:val="6"/>
              </w:rPr>
              <w:t>2015</w:t>
            </w:r>
            <w:r>
              <w:rPr>
                <w:rFonts w:ascii="SimSun" w:hAnsi="SimSun" w:eastAsia="SimSun" w:cs="SimSun"/>
                <w:spacing w:val="6"/>
              </w:rPr>
              <w:t>〕</w:t>
            </w:r>
            <w:r>
              <w:rPr>
                <w:spacing w:val="6"/>
              </w:rPr>
              <w:t>194 </w:t>
            </w:r>
            <w:r>
              <w:rPr>
                <w:rFonts w:ascii="SimSun" w:hAnsi="SimSun" w:eastAsia="SimSun" w:cs="SimSun"/>
                <w:spacing w:val="6"/>
              </w:rPr>
              <w:t>号</w:t>
            </w:r>
          </w:p>
        </w:tc>
        <w:tc>
          <w:tcPr>
            <w:tcW w:w="5861" w:type="dxa"/>
            <w:vAlign w:val="top"/>
          </w:tcPr>
          <w:p>
            <w:pPr>
              <w:ind w:left="113" w:right="113" w:firstLine="4"/>
              <w:spacing w:before="169" w:line="251" w:lineRule="auto"/>
              <w:jc w:val="both"/>
              <w:rPr>
                <w:rFonts w:ascii="SimSun" w:hAnsi="SimSun" w:eastAsia="SimSun" w:cs="SimSun"/>
                <w:sz w:val="20"/>
                <w:szCs w:val="20"/>
              </w:rPr>
            </w:pPr>
            <w:r>
              <w:rPr>
                <w:rFonts w:ascii="SimSun" w:hAnsi="SimSun" w:eastAsia="SimSun" w:cs="SimSun"/>
                <w:sz w:val="20"/>
                <w:szCs w:val="20"/>
                <w:spacing w:val="8"/>
              </w:rPr>
              <w:t>该工程实施过程中基本落实了环境影响评价文件及批复要求，</w:t>
            </w:r>
            <w:r>
              <w:rPr>
                <w:rFonts w:ascii="SimSun" w:hAnsi="SimSun" w:eastAsia="SimSun" w:cs="SimSun"/>
                <w:sz w:val="20"/>
                <w:szCs w:val="20"/>
                <w:spacing w:val="16"/>
              </w:rPr>
              <w:t>配套建设了相应的环境保护设施，落实了相应的环境保护措</w:t>
            </w:r>
            <w:r>
              <w:rPr>
                <w:rFonts w:ascii="SimSun" w:hAnsi="SimSun" w:eastAsia="SimSun" w:cs="SimSun"/>
                <w:sz w:val="20"/>
                <w:szCs w:val="20"/>
                <w:spacing w:val="9"/>
              </w:rPr>
              <w:t>施，经验收合格，同意该工程正式投入运营。</w:t>
            </w:r>
          </w:p>
        </w:tc>
      </w:tr>
      <w:tr>
        <w:trPr>
          <w:trHeight w:val="1096" w:hRule="atLeast"/>
        </w:trPr>
        <w:tc>
          <w:tcPr>
            <w:tcW w:w="784" w:type="dxa"/>
            <w:vAlign w:val="top"/>
          </w:tcPr>
          <w:p>
            <w:pPr>
              <w:spacing w:line="415" w:lineRule="auto"/>
              <w:rPr>
                <w:rFonts w:ascii="Arial"/>
                <w:sz w:val="21"/>
              </w:rPr>
            </w:pPr>
            <w:r/>
          </w:p>
          <w:p>
            <w:pPr>
              <w:pStyle w:val="TableText"/>
              <w:ind w:left="348"/>
              <w:spacing w:before="58" w:line="195" w:lineRule="auto"/>
              <w:rPr/>
            </w:pPr>
            <w:r>
              <w:rPr/>
              <w:t>8</w:t>
            </w:r>
          </w:p>
        </w:tc>
        <w:tc>
          <w:tcPr>
            <w:tcW w:w="2728" w:type="dxa"/>
            <w:vAlign w:val="top"/>
          </w:tcPr>
          <w:p>
            <w:pPr>
              <w:ind w:left="112" w:right="111" w:firstLine="1"/>
              <w:spacing w:before="30" w:line="253" w:lineRule="auto"/>
              <w:jc w:val="both"/>
              <w:rPr>
                <w:rFonts w:ascii="SimSun" w:hAnsi="SimSun" w:eastAsia="SimSun" w:cs="SimSun"/>
                <w:sz w:val="20"/>
                <w:szCs w:val="20"/>
              </w:rPr>
            </w:pPr>
            <w:r>
              <w:rPr>
                <w:rFonts w:ascii="SimSun" w:hAnsi="SimSun" w:eastAsia="SimSun" w:cs="SimSun"/>
                <w:sz w:val="20"/>
                <w:szCs w:val="20"/>
                <w:spacing w:val="7"/>
              </w:rPr>
              <w:t>《</w:t>
            </w:r>
            <w:r>
              <w:rPr>
                <w:rFonts w:ascii="SimSun" w:hAnsi="SimSun" w:eastAsia="SimSun" w:cs="SimSun"/>
                <w:sz w:val="20"/>
                <w:szCs w:val="20"/>
                <w:spacing w:val="-45"/>
              </w:rPr>
              <w:t xml:space="preserve"> </w:t>
            </w:r>
            <w:r>
              <w:rPr>
                <w:rFonts w:ascii="SimSun" w:hAnsi="SimSun" w:eastAsia="SimSun" w:cs="SimSun"/>
                <w:sz w:val="20"/>
                <w:szCs w:val="20"/>
                <w:spacing w:val="7"/>
              </w:rPr>
              <w:t>关于</w:t>
            </w:r>
            <w:r>
              <w:rPr>
                <w:rFonts w:ascii="SimSun" w:hAnsi="SimSun" w:eastAsia="SimSun" w:cs="SimSun"/>
                <w:sz w:val="20"/>
                <w:szCs w:val="20"/>
                <w:spacing w:val="-45"/>
              </w:rPr>
              <w:t xml:space="preserve"> </w:t>
            </w:r>
            <w:r>
              <w:rPr>
                <w:rFonts w:ascii="SimSun" w:hAnsi="SimSun" w:eastAsia="SimSun" w:cs="SimSun"/>
                <w:sz w:val="20"/>
                <w:szCs w:val="20"/>
                <w:spacing w:val="7"/>
              </w:rPr>
              <w:t>内蒙古</w:t>
            </w:r>
            <w:r>
              <w:rPr>
                <w:rFonts w:ascii="SimSun" w:hAnsi="SimSun" w:eastAsia="SimSun" w:cs="SimSun"/>
                <w:sz w:val="20"/>
                <w:szCs w:val="20"/>
                <w:spacing w:val="-41"/>
              </w:rPr>
              <w:t xml:space="preserve"> </w:t>
            </w:r>
            <w:r>
              <w:rPr>
                <w:rFonts w:ascii="SimSun" w:hAnsi="SimSun" w:eastAsia="SimSun" w:cs="SimSun"/>
                <w:sz w:val="20"/>
                <w:szCs w:val="20"/>
                <w:spacing w:val="7"/>
              </w:rPr>
              <w:t>白音华</w:t>
            </w:r>
            <w:r>
              <w:rPr>
                <w:rFonts w:ascii="SimSun" w:hAnsi="SimSun" w:eastAsia="SimSun" w:cs="SimSun"/>
                <w:sz w:val="20"/>
                <w:szCs w:val="20"/>
                <w:spacing w:val="-50"/>
              </w:rPr>
              <w:t xml:space="preserve"> </w:t>
            </w:r>
            <w:r>
              <w:rPr>
                <w:rFonts w:ascii="SimSun" w:hAnsi="SimSun" w:eastAsia="SimSun" w:cs="SimSun"/>
                <w:sz w:val="20"/>
                <w:szCs w:val="20"/>
                <w:spacing w:val="7"/>
              </w:rPr>
              <w:t>四号</w:t>
            </w:r>
            <w:r>
              <w:rPr>
                <w:rFonts w:ascii="SimSun" w:hAnsi="SimSun" w:eastAsia="SimSun" w:cs="SimSun"/>
                <w:sz w:val="20"/>
                <w:szCs w:val="20"/>
                <w:spacing w:val="7"/>
              </w:rPr>
              <w:t>露天矿二期工程（井工矿）</w:t>
            </w:r>
            <w:r>
              <w:rPr>
                <w:rFonts w:ascii="SimSun" w:hAnsi="SimSun" w:eastAsia="SimSun" w:cs="SimSun"/>
                <w:sz w:val="20"/>
                <w:szCs w:val="20"/>
                <w:spacing w:val="7"/>
              </w:rPr>
              <w:t>项目核准的批复》</w:t>
            </w:r>
          </w:p>
        </w:tc>
        <w:tc>
          <w:tcPr>
            <w:tcW w:w="1238" w:type="dxa"/>
            <w:vAlign w:val="top"/>
          </w:tcPr>
          <w:p>
            <w:pPr>
              <w:ind w:left="222"/>
              <w:spacing w:before="169" w:line="228" w:lineRule="auto"/>
              <w:rPr>
                <w:rFonts w:ascii="SimSun" w:hAnsi="SimSun" w:eastAsia="SimSun" w:cs="SimSun"/>
                <w:sz w:val="20"/>
                <w:szCs w:val="20"/>
              </w:rPr>
            </w:pPr>
            <w:r>
              <w:rPr>
                <w:rFonts w:ascii="SimSun" w:hAnsi="SimSun" w:eastAsia="SimSun" w:cs="SimSun"/>
                <w:sz w:val="20"/>
                <w:szCs w:val="20"/>
                <w:spacing w:val="2"/>
              </w:rPr>
              <w:t>国家发展</w:t>
            </w:r>
          </w:p>
          <w:p>
            <w:pPr>
              <w:ind w:left="420" w:right="201" w:hanging="218"/>
              <w:spacing w:before="22" w:line="254" w:lineRule="auto"/>
              <w:rPr>
                <w:rFonts w:ascii="SimSun" w:hAnsi="SimSun" w:eastAsia="SimSun" w:cs="SimSun"/>
                <w:sz w:val="20"/>
                <w:szCs w:val="20"/>
              </w:rPr>
            </w:pPr>
            <w:r>
              <w:rPr>
                <w:rFonts w:ascii="SimSun" w:hAnsi="SimSun" w:eastAsia="SimSun" w:cs="SimSun"/>
                <w:sz w:val="20"/>
                <w:szCs w:val="20"/>
                <w:spacing w:val="7"/>
              </w:rPr>
              <w:t>和改革委</w:t>
            </w:r>
            <w:r>
              <w:rPr>
                <w:rFonts w:ascii="SimSun" w:hAnsi="SimSun" w:eastAsia="SimSun" w:cs="SimSun"/>
                <w:sz w:val="20"/>
                <w:szCs w:val="20"/>
              </w:rPr>
              <w:t>员会</w:t>
            </w:r>
          </w:p>
        </w:tc>
        <w:tc>
          <w:tcPr>
            <w:tcW w:w="1461" w:type="dxa"/>
            <w:vAlign w:val="top"/>
          </w:tcPr>
          <w:p>
            <w:pPr>
              <w:spacing w:line="372" w:lineRule="auto"/>
              <w:rPr>
                <w:rFonts w:ascii="Arial"/>
                <w:sz w:val="21"/>
              </w:rPr>
            </w:pPr>
            <w:r/>
          </w:p>
          <w:p>
            <w:pPr>
              <w:pStyle w:val="TableText"/>
              <w:ind w:left="126"/>
              <w:spacing w:before="65" w:line="228" w:lineRule="auto"/>
              <w:rPr>
                <w:rFonts w:ascii="SimSun" w:hAnsi="SimSun" w:eastAsia="SimSun" w:cs="SimSun"/>
              </w:rPr>
            </w:pPr>
            <w:r>
              <w:rPr>
                <w:spacing w:val="1"/>
              </w:rPr>
              <w:t>2016 </w:t>
            </w:r>
            <w:r>
              <w:rPr>
                <w:rFonts w:ascii="SimSun" w:hAnsi="SimSun" w:eastAsia="SimSun" w:cs="SimSun"/>
                <w:spacing w:val="1"/>
              </w:rPr>
              <w:t>年</w:t>
            </w:r>
            <w:r>
              <w:rPr>
                <w:rFonts w:ascii="SimSun" w:hAnsi="SimSun" w:eastAsia="SimSun" w:cs="SimSun"/>
                <w:spacing w:val="-18"/>
              </w:rPr>
              <w:t xml:space="preserve"> </w:t>
            </w:r>
            <w:r>
              <w:rPr>
                <w:spacing w:val="1"/>
              </w:rPr>
              <w:t>12</w:t>
            </w:r>
            <w:r>
              <w:rPr>
                <w:spacing w:val="12"/>
                <w:w w:val="101"/>
              </w:rPr>
              <w:t xml:space="preserve"> </w:t>
            </w:r>
            <w:r>
              <w:rPr>
                <w:rFonts w:ascii="SimSun" w:hAnsi="SimSun" w:eastAsia="SimSun" w:cs="SimSun"/>
                <w:spacing w:val="1"/>
              </w:rPr>
              <w:t>月</w:t>
            </w:r>
          </w:p>
        </w:tc>
        <w:tc>
          <w:tcPr>
            <w:tcW w:w="2435" w:type="dxa"/>
            <w:vAlign w:val="top"/>
          </w:tcPr>
          <w:p>
            <w:pPr>
              <w:spacing w:line="372" w:lineRule="auto"/>
              <w:rPr>
                <w:rFonts w:ascii="Arial"/>
                <w:sz w:val="21"/>
              </w:rPr>
            </w:pPr>
            <w:r/>
          </w:p>
          <w:p>
            <w:pPr>
              <w:pStyle w:val="TableText"/>
              <w:ind w:left="184"/>
              <w:spacing w:before="65" w:line="221" w:lineRule="auto"/>
              <w:rPr>
                <w:rFonts w:ascii="SimSun" w:hAnsi="SimSun" w:eastAsia="SimSun" w:cs="SimSun"/>
              </w:rPr>
            </w:pPr>
            <w:r>
              <w:rPr>
                <w:rFonts w:ascii="SimSun" w:hAnsi="SimSun" w:eastAsia="SimSun" w:cs="SimSun"/>
                <w:spacing w:val="5"/>
              </w:rPr>
              <w:t>发改能源</w:t>
            </w:r>
            <w:r>
              <w:rPr>
                <w:spacing w:val="5"/>
              </w:rPr>
              <w:t>[2016]2725 </w:t>
            </w:r>
            <w:r>
              <w:rPr>
                <w:rFonts w:ascii="SimSun" w:hAnsi="SimSun" w:eastAsia="SimSun" w:cs="SimSun"/>
                <w:spacing w:val="5"/>
              </w:rPr>
              <w:t>号</w:t>
            </w:r>
          </w:p>
        </w:tc>
        <w:tc>
          <w:tcPr>
            <w:tcW w:w="5861" w:type="dxa"/>
            <w:vAlign w:val="top"/>
          </w:tcPr>
          <w:p>
            <w:pPr>
              <w:pStyle w:val="TableText"/>
              <w:ind w:left="117" w:right="109"/>
              <w:spacing w:before="33" w:line="243" w:lineRule="auto"/>
              <w:rPr>
                <w:rFonts w:ascii="SimSun" w:hAnsi="SimSun" w:eastAsia="SimSun" w:cs="SimSun"/>
              </w:rPr>
            </w:pPr>
            <w:r>
              <w:rPr>
                <w:rFonts w:ascii="SimSun" w:hAnsi="SimSun" w:eastAsia="SimSun" w:cs="SimSun"/>
                <w:spacing w:val="5"/>
              </w:rPr>
              <w:t>项目建设规模</w:t>
            </w:r>
            <w:r>
              <w:rPr>
                <w:rFonts w:ascii="SimSun" w:hAnsi="SimSun" w:eastAsia="SimSun" w:cs="SimSun"/>
                <w:spacing w:val="-38"/>
              </w:rPr>
              <w:t xml:space="preserve"> </w:t>
            </w:r>
            <w:r>
              <w:rPr>
                <w:spacing w:val="5"/>
              </w:rPr>
              <w:t>500</w:t>
            </w:r>
            <w:r>
              <w:rPr>
                <w:spacing w:val="17"/>
                <w:w w:val="101"/>
              </w:rPr>
              <w:t xml:space="preserve"> </w:t>
            </w:r>
            <w:r>
              <w:rPr>
                <w:rFonts w:ascii="SimSun" w:hAnsi="SimSun" w:eastAsia="SimSun" w:cs="SimSun"/>
                <w:spacing w:val="5"/>
              </w:rPr>
              <w:t>万吨</w:t>
            </w:r>
            <w:r>
              <w:rPr>
                <w:spacing w:val="5"/>
              </w:rPr>
              <w:t>/</w:t>
            </w:r>
            <w:r>
              <w:rPr>
                <w:rFonts w:ascii="SimSun" w:hAnsi="SimSun" w:eastAsia="SimSun" w:cs="SimSun"/>
                <w:spacing w:val="5"/>
              </w:rPr>
              <w:t>年。项目采用主斜井副立井</w:t>
            </w:r>
            <w:r>
              <w:rPr>
                <w:rFonts w:ascii="SimSun" w:hAnsi="SimSun" w:eastAsia="SimSun" w:cs="SimSun"/>
                <w:spacing w:val="4"/>
              </w:rPr>
              <w:t>综合开拓方</w:t>
            </w:r>
            <w:r>
              <w:rPr>
                <w:rFonts w:ascii="SimSun" w:hAnsi="SimSun" w:eastAsia="SimSun" w:cs="SimSun"/>
                <w:spacing w:val="5"/>
              </w:rPr>
              <w:t>式</w:t>
            </w:r>
            <w:r>
              <w:rPr>
                <w:spacing w:val="5"/>
              </w:rPr>
              <w:t>,</w:t>
            </w:r>
            <w:r>
              <w:rPr>
                <w:rFonts w:ascii="SimSun" w:hAnsi="SimSun" w:eastAsia="SimSun" w:cs="SimSun"/>
                <w:spacing w:val="5"/>
              </w:rPr>
              <w:t>初期采用中央并列式通风系统。投产时布置</w:t>
            </w:r>
            <w:r>
              <w:rPr>
                <w:rFonts w:ascii="SimSun" w:hAnsi="SimSun" w:eastAsia="SimSun" w:cs="SimSun"/>
                <w:spacing w:val="-19"/>
              </w:rPr>
              <w:t xml:space="preserve"> </w:t>
            </w:r>
            <w:r>
              <w:rPr>
                <w:spacing w:val="5"/>
              </w:rPr>
              <w:t>1 </w:t>
            </w:r>
            <w:r>
              <w:rPr>
                <w:rFonts w:ascii="SimSun" w:hAnsi="SimSun" w:eastAsia="SimSun" w:cs="SimSun"/>
                <w:spacing w:val="5"/>
              </w:rPr>
              <w:t>个综采放顶煤</w:t>
            </w:r>
            <w:r>
              <w:rPr>
                <w:rFonts w:ascii="SimSun" w:hAnsi="SimSun" w:eastAsia="SimSun" w:cs="SimSun"/>
                <w:spacing w:val="7"/>
              </w:rPr>
              <w:t>工作面。双回路电源引自高力罕</w:t>
            </w:r>
            <w:r>
              <w:rPr>
                <w:rFonts w:ascii="SimSun" w:hAnsi="SimSun" w:eastAsia="SimSun" w:cs="SimSun"/>
                <w:spacing w:val="-25"/>
              </w:rPr>
              <w:t xml:space="preserve"> </w:t>
            </w:r>
            <w:r>
              <w:rPr>
                <w:spacing w:val="7"/>
              </w:rPr>
              <w:t>220 </w:t>
            </w:r>
            <w:r>
              <w:rPr>
                <w:rFonts w:ascii="SimSun" w:hAnsi="SimSun" w:eastAsia="SimSun" w:cs="SimSun"/>
                <w:spacing w:val="7"/>
              </w:rPr>
              <w:t>千伏变电站不同母线段。</w:t>
            </w:r>
            <w:r>
              <w:rPr>
                <w:rFonts w:ascii="SimSun" w:hAnsi="SimSun" w:eastAsia="SimSun" w:cs="SimSun"/>
                <w:spacing w:val="14"/>
              </w:rPr>
              <w:t>项目生产用水取自处理后的矿井疏干水</w:t>
            </w:r>
            <w:r>
              <w:rPr>
                <w:spacing w:val="14"/>
              </w:rPr>
              <w:t>,</w:t>
            </w:r>
            <w:r>
              <w:rPr>
                <w:rFonts w:ascii="SimSun" w:hAnsi="SimSun" w:eastAsia="SimSun" w:cs="SimSun"/>
                <w:spacing w:val="14"/>
              </w:rPr>
              <w:t>生活用水取自露天矿</w:t>
            </w:r>
          </w:p>
        </w:tc>
      </w:tr>
    </w:tbl>
    <w:p>
      <w:pPr>
        <w:pStyle w:val="BodyText"/>
        <w:rPr/>
      </w:pPr>
      <w:r/>
    </w:p>
    <w:p>
      <w:pPr>
        <w:sectPr>
          <w:headerReference w:type="default" r:id="rId81"/>
          <w:footerReference w:type="default" r:id="rId82"/>
          <w:pgSz w:w="16838" w:h="11906"/>
          <w:pgMar w:top="1169" w:right="1305" w:bottom="1080" w:left="1020" w:header="836" w:footer="917" w:gutter="0"/>
        </w:sectPr>
        <w:rPr/>
      </w:pPr>
    </w:p>
    <w:p>
      <w:pPr>
        <w:spacing w:before="7"/>
        <w:rPr/>
      </w:p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84"/>
        <w:gridCol w:w="2728"/>
        <w:gridCol w:w="1238"/>
        <w:gridCol w:w="1461"/>
        <w:gridCol w:w="2435"/>
        <w:gridCol w:w="5861"/>
      </w:tblGrid>
      <w:tr>
        <w:trPr>
          <w:trHeight w:val="281" w:hRule="atLeast"/>
        </w:trPr>
        <w:tc>
          <w:tcPr>
            <w:tcW w:w="784" w:type="dxa"/>
            <w:vAlign w:val="top"/>
          </w:tcPr>
          <w:p>
            <w:pPr>
              <w:ind w:left="112"/>
              <w:spacing w:before="33" w:line="219" w:lineRule="auto"/>
              <w:rPr>
                <w:rFonts w:ascii="SimSun" w:hAnsi="SimSun" w:eastAsia="SimSun" w:cs="SimSun"/>
                <w:sz w:val="20"/>
                <w:szCs w:val="20"/>
              </w:rPr>
            </w:pPr>
            <w:r>
              <w:rPr>
                <w:rFonts w:ascii="SimSun" w:hAnsi="SimSun" w:eastAsia="SimSun" w:cs="SimSun"/>
                <w:sz w:val="20"/>
                <w:szCs w:val="20"/>
                <w:spacing w:val="5"/>
              </w:rPr>
              <w:t>序号</w:t>
            </w:r>
          </w:p>
        </w:tc>
        <w:tc>
          <w:tcPr>
            <w:tcW w:w="2728" w:type="dxa"/>
            <w:vAlign w:val="top"/>
          </w:tcPr>
          <w:p>
            <w:pPr>
              <w:ind w:left="948"/>
              <w:spacing w:before="33" w:line="219" w:lineRule="auto"/>
              <w:rPr>
                <w:rFonts w:ascii="SimSun" w:hAnsi="SimSun" w:eastAsia="SimSun" w:cs="SimSun"/>
                <w:sz w:val="20"/>
                <w:szCs w:val="20"/>
              </w:rPr>
            </w:pPr>
            <w:r>
              <w:rPr>
                <w:rFonts w:ascii="SimSun" w:hAnsi="SimSun" w:eastAsia="SimSun" w:cs="SimSun"/>
                <w:sz w:val="20"/>
                <w:szCs w:val="20"/>
                <w:spacing w:val="6"/>
              </w:rPr>
              <w:t>文件名称</w:t>
            </w:r>
          </w:p>
        </w:tc>
        <w:tc>
          <w:tcPr>
            <w:tcW w:w="1238" w:type="dxa"/>
            <w:vAlign w:val="top"/>
          </w:tcPr>
          <w:p>
            <w:pPr>
              <w:ind w:left="212"/>
              <w:spacing w:before="33" w:line="219" w:lineRule="auto"/>
              <w:rPr>
                <w:rFonts w:ascii="SimSun" w:hAnsi="SimSun" w:eastAsia="SimSun" w:cs="SimSun"/>
                <w:sz w:val="20"/>
                <w:szCs w:val="20"/>
              </w:rPr>
            </w:pPr>
            <w:r>
              <w:rPr>
                <w:rFonts w:ascii="SimSun" w:hAnsi="SimSun" w:eastAsia="SimSun" w:cs="SimSun"/>
                <w:sz w:val="20"/>
                <w:szCs w:val="20"/>
                <w:spacing w:val="4"/>
              </w:rPr>
              <w:t>审批部门</w:t>
            </w:r>
          </w:p>
        </w:tc>
        <w:tc>
          <w:tcPr>
            <w:tcW w:w="1461" w:type="dxa"/>
            <w:vAlign w:val="top"/>
          </w:tcPr>
          <w:p>
            <w:pPr>
              <w:ind w:left="325"/>
              <w:spacing w:before="33" w:line="219" w:lineRule="auto"/>
              <w:rPr>
                <w:rFonts w:ascii="SimSun" w:hAnsi="SimSun" w:eastAsia="SimSun" w:cs="SimSun"/>
                <w:sz w:val="20"/>
                <w:szCs w:val="20"/>
              </w:rPr>
            </w:pPr>
            <w:r>
              <w:rPr>
                <w:rFonts w:ascii="SimSun" w:hAnsi="SimSun" w:eastAsia="SimSun" w:cs="SimSun"/>
                <w:sz w:val="20"/>
                <w:szCs w:val="20"/>
                <w:spacing w:val="4"/>
              </w:rPr>
              <w:t>审批时间</w:t>
            </w:r>
          </w:p>
        </w:tc>
        <w:tc>
          <w:tcPr>
            <w:tcW w:w="2435" w:type="dxa"/>
            <w:vAlign w:val="top"/>
          </w:tcPr>
          <w:p>
            <w:pPr>
              <w:ind w:left="813"/>
              <w:spacing w:before="33" w:line="219" w:lineRule="auto"/>
              <w:rPr>
                <w:rFonts w:ascii="SimSun" w:hAnsi="SimSun" w:eastAsia="SimSun" w:cs="SimSun"/>
                <w:sz w:val="20"/>
                <w:szCs w:val="20"/>
              </w:rPr>
            </w:pPr>
            <w:r>
              <w:rPr>
                <w:rFonts w:ascii="SimSun" w:hAnsi="SimSun" w:eastAsia="SimSun" w:cs="SimSun"/>
                <w:sz w:val="20"/>
                <w:szCs w:val="20"/>
                <w:spacing w:val="4"/>
              </w:rPr>
              <w:t>审批文号</w:t>
            </w:r>
          </w:p>
        </w:tc>
        <w:tc>
          <w:tcPr>
            <w:tcW w:w="5861" w:type="dxa"/>
            <w:vAlign w:val="top"/>
          </w:tcPr>
          <w:p>
            <w:pPr>
              <w:ind w:left="2305"/>
              <w:spacing w:before="33" w:line="219" w:lineRule="auto"/>
              <w:rPr>
                <w:rFonts w:ascii="SimSun" w:hAnsi="SimSun" w:eastAsia="SimSun" w:cs="SimSun"/>
                <w:sz w:val="20"/>
                <w:szCs w:val="20"/>
              </w:rPr>
            </w:pPr>
            <w:r>
              <w:rPr>
                <w:rFonts w:ascii="SimSun" w:hAnsi="SimSun" w:eastAsia="SimSun" w:cs="SimSun"/>
                <w:sz w:val="20"/>
                <w:szCs w:val="20"/>
                <w:spacing w:val="7"/>
              </w:rPr>
              <w:t>主要审批内容</w:t>
            </w:r>
          </w:p>
        </w:tc>
      </w:tr>
      <w:tr>
        <w:trPr>
          <w:trHeight w:val="278" w:hRule="atLeast"/>
        </w:trPr>
        <w:tc>
          <w:tcPr>
            <w:tcW w:w="784" w:type="dxa"/>
            <w:vAlign w:val="top"/>
          </w:tcPr>
          <w:p>
            <w:pPr>
              <w:rPr>
                <w:rFonts w:ascii="Arial"/>
                <w:sz w:val="21"/>
              </w:rPr>
            </w:pPr>
            <w:r/>
          </w:p>
        </w:tc>
        <w:tc>
          <w:tcPr>
            <w:tcW w:w="2728" w:type="dxa"/>
            <w:vAlign w:val="top"/>
          </w:tcPr>
          <w:p>
            <w:pPr>
              <w:rPr>
                <w:rFonts w:ascii="Arial"/>
                <w:sz w:val="21"/>
              </w:rPr>
            </w:pPr>
            <w:r/>
          </w:p>
        </w:tc>
        <w:tc>
          <w:tcPr>
            <w:tcW w:w="1238" w:type="dxa"/>
            <w:vAlign w:val="top"/>
          </w:tcPr>
          <w:p>
            <w:pPr>
              <w:rPr>
                <w:rFonts w:ascii="Arial"/>
                <w:sz w:val="21"/>
              </w:rPr>
            </w:pPr>
            <w:r/>
          </w:p>
        </w:tc>
        <w:tc>
          <w:tcPr>
            <w:tcW w:w="1461" w:type="dxa"/>
            <w:vAlign w:val="top"/>
          </w:tcPr>
          <w:p>
            <w:pPr>
              <w:rPr>
                <w:rFonts w:ascii="Arial"/>
                <w:sz w:val="21"/>
              </w:rPr>
            </w:pPr>
            <w:r/>
          </w:p>
        </w:tc>
        <w:tc>
          <w:tcPr>
            <w:tcW w:w="2435" w:type="dxa"/>
            <w:vAlign w:val="top"/>
          </w:tcPr>
          <w:p>
            <w:pPr>
              <w:rPr>
                <w:rFonts w:ascii="Arial"/>
                <w:sz w:val="21"/>
              </w:rPr>
            </w:pPr>
            <w:r/>
          </w:p>
        </w:tc>
        <w:tc>
          <w:tcPr>
            <w:tcW w:w="5861" w:type="dxa"/>
            <w:vAlign w:val="top"/>
          </w:tcPr>
          <w:p>
            <w:pPr>
              <w:ind w:left="118"/>
              <w:spacing w:before="30" w:line="219" w:lineRule="auto"/>
              <w:rPr>
                <w:rFonts w:ascii="SimSun" w:hAnsi="SimSun" w:eastAsia="SimSun" w:cs="SimSun"/>
                <w:sz w:val="20"/>
                <w:szCs w:val="20"/>
              </w:rPr>
            </w:pPr>
            <w:r>
              <w:rPr>
                <w:rFonts w:ascii="SimSun" w:hAnsi="SimSun" w:eastAsia="SimSun" w:cs="SimSun"/>
                <w:sz w:val="20"/>
                <w:szCs w:val="20"/>
                <w:spacing w:val="7"/>
              </w:rPr>
              <w:t>一期工程疏干水。</w:t>
            </w:r>
          </w:p>
        </w:tc>
      </w:tr>
      <w:tr>
        <w:trPr>
          <w:trHeight w:val="1367" w:hRule="atLeast"/>
        </w:trPr>
        <w:tc>
          <w:tcPr>
            <w:tcW w:w="784" w:type="dxa"/>
            <w:vAlign w:val="top"/>
          </w:tcPr>
          <w:p>
            <w:pPr>
              <w:spacing w:line="274" w:lineRule="auto"/>
              <w:rPr>
                <w:rFonts w:ascii="Arial"/>
                <w:sz w:val="21"/>
              </w:rPr>
            </w:pPr>
            <w:r/>
          </w:p>
          <w:p>
            <w:pPr>
              <w:spacing w:line="274" w:lineRule="auto"/>
              <w:rPr>
                <w:rFonts w:ascii="Arial"/>
                <w:sz w:val="21"/>
              </w:rPr>
            </w:pPr>
            <w:r/>
          </w:p>
          <w:p>
            <w:pPr>
              <w:pStyle w:val="TableText"/>
              <w:ind w:left="344"/>
              <w:spacing w:before="58" w:line="195" w:lineRule="auto"/>
              <w:rPr/>
            </w:pPr>
            <w:r>
              <w:rPr/>
              <w:t>9</w:t>
            </w:r>
          </w:p>
        </w:tc>
        <w:tc>
          <w:tcPr>
            <w:tcW w:w="2728" w:type="dxa"/>
            <w:vAlign w:val="top"/>
          </w:tcPr>
          <w:p>
            <w:pPr>
              <w:ind w:left="114"/>
              <w:spacing w:before="28" w:line="227" w:lineRule="auto"/>
              <w:rPr>
                <w:rFonts w:ascii="SimSun" w:hAnsi="SimSun" w:eastAsia="SimSun" w:cs="SimSun"/>
                <w:sz w:val="20"/>
                <w:szCs w:val="20"/>
              </w:rPr>
            </w:pPr>
            <w:r>
              <w:rPr>
                <w:rFonts w:ascii="SimSun" w:hAnsi="SimSun" w:eastAsia="SimSun" w:cs="SimSun"/>
                <w:sz w:val="20"/>
                <w:szCs w:val="20"/>
                <w:spacing w:val="8"/>
              </w:rPr>
              <w:t>《内蒙古海州露天能源有</w:t>
            </w:r>
          </w:p>
          <w:p>
            <w:pPr>
              <w:ind w:left="124"/>
              <w:spacing w:before="24" w:line="228" w:lineRule="auto"/>
              <w:rPr>
                <w:rFonts w:ascii="SimSun" w:hAnsi="SimSun" w:eastAsia="SimSun" w:cs="SimSun"/>
                <w:sz w:val="20"/>
                <w:szCs w:val="20"/>
              </w:rPr>
            </w:pPr>
            <w:r>
              <w:rPr>
                <w:rFonts w:ascii="SimSun" w:hAnsi="SimSun" w:eastAsia="SimSun" w:cs="SimSun"/>
                <w:sz w:val="20"/>
                <w:szCs w:val="20"/>
                <w:spacing w:val="7"/>
              </w:rPr>
              <w:t>限责任公司白音华四号露</w:t>
            </w:r>
          </w:p>
          <w:p>
            <w:pPr>
              <w:pStyle w:val="TableText"/>
              <w:ind w:left="108" w:right="107" w:firstLine="5"/>
              <w:spacing w:before="27" w:line="241" w:lineRule="auto"/>
              <w:rPr>
                <w:rFonts w:ascii="SimSun" w:hAnsi="SimSun" w:eastAsia="SimSun" w:cs="SimSun"/>
              </w:rPr>
            </w:pPr>
            <w:r>
              <w:rPr>
                <w:rFonts w:ascii="SimSun" w:hAnsi="SimSun" w:eastAsia="SimSun" w:cs="SimSun"/>
              </w:rPr>
              <w:t>天矿二期工程（井工矿）</w:t>
            </w:r>
            <w:r>
              <w:rPr/>
              <w:t>500</w:t>
            </w:r>
            <w:r>
              <w:rPr>
                <w:rFonts w:ascii="SimSun" w:hAnsi="SimSun" w:eastAsia="SimSun" w:cs="SimSun"/>
                <w:spacing w:val="6"/>
              </w:rPr>
              <w:t>万</w:t>
            </w:r>
            <w:r>
              <w:rPr>
                <w:rFonts w:ascii="SimSun" w:hAnsi="SimSun" w:eastAsia="SimSun" w:cs="SimSun"/>
                <w:spacing w:val="-40"/>
              </w:rPr>
              <w:t xml:space="preserve"> </w:t>
            </w:r>
            <w:r>
              <w:rPr>
                <w:spacing w:val="6"/>
              </w:rPr>
              <w:t>t/a</w:t>
            </w:r>
            <w:r>
              <w:rPr>
                <w:spacing w:val="15"/>
                <w:w w:val="101"/>
              </w:rPr>
              <w:t xml:space="preserve"> </w:t>
            </w:r>
            <w:r>
              <w:rPr>
                <w:rFonts w:ascii="SimSun" w:hAnsi="SimSun" w:eastAsia="SimSun" w:cs="SimSun"/>
                <w:spacing w:val="6"/>
              </w:rPr>
              <w:t>项目》竣工环保自主</w:t>
            </w:r>
            <w:r>
              <w:rPr>
                <w:rFonts w:ascii="SimSun" w:hAnsi="SimSun" w:eastAsia="SimSun" w:cs="SimSun"/>
                <w:spacing w:val="5"/>
              </w:rPr>
              <w:t>验收</w:t>
            </w:r>
          </w:p>
        </w:tc>
        <w:tc>
          <w:tcPr>
            <w:tcW w:w="1238" w:type="dxa"/>
            <w:vAlign w:val="top"/>
          </w:tcPr>
          <w:p>
            <w:pPr>
              <w:spacing w:line="272" w:lineRule="auto"/>
              <w:rPr>
                <w:rFonts w:ascii="Arial"/>
                <w:sz w:val="21"/>
              </w:rPr>
            </w:pPr>
            <w:r/>
          </w:p>
          <w:p>
            <w:pPr>
              <w:spacing w:line="272" w:lineRule="auto"/>
              <w:rPr>
                <w:rFonts w:ascii="Arial"/>
                <w:sz w:val="21"/>
              </w:rPr>
            </w:pPr>
            <w:r/>
          </w:p>
          <w:p>
            <w:pPr>
              <w:pStyle w:val="TableText"/>
              <w:ind w:left="584"/>
              <w:spacing w:before="58" w:line="199" w:lineRule="auto"/>
              <w:rPr/>
            </w:pPr>
            <w:r>
              <w:rPr>
                <w:spacing w:val="2"/>
              </w:rPr>
              <w:t>/</w:t>
            </w:r>
          </w:p>
        </w:tc>
        <w:tc>
          <w:tcPr>
            <w:tcW w:w="1461" w:type="dxa"/>
            <w:vAlign w:val="top"/>
          </w:tcPr>
          <w:p>
            <w:pPr>
              <w:spacing w:line="252" w:lineRule="auto"/>
              <w:rPr>
                <w:rFonts w:ascii="Arial"/>
                <w:sz w:val="21"/>
              </w:rPr>
            </w:pPr>
            <w:r/>
          </w:p>
          <w:p>
            <w:pPr>
              <w:spacing w:line="253" w:lineRule="auto"/>
              <w:rPr>
                <w:rFonts w:ascii="Arial"/>
                <w:sz w:val="21"/>
              </w:rPr>
            </w:pPr>
            <w:r/>
          </w:p>
          <w:p>
            <w:pPr>
              <w:pStyle w:val="TableText"/>
              <w:ind w:left="178"/>
              <w:spacing w:before="65" w:line="228" w:lineRule="auto"/>
              <w:rPr>
                <w:rFonts w:ascii="SimSun" w:hAnsi="SimSun" w:eastAsia="SimSun" w:cs="SimSun"/>
              </w:rPr>
            </w:pPr>
            <w:r>
              <w:rPr>
                <w:spacing w:val="2"/>
              </w:rPr>
              <w:t>2018 </w:t>
            </w:r>
            <w:r>
              <w:rPr>
                <w:rFonts w:ascii="SimSun" w:hAnsi="SimSun" w:eastAsia="SimSun" w:cs="SimSun"/>
                <w:spacing w:val="2"/>
              </w:rPr>
              <w:t>年</w:t>
            </w:r>
            <w:r>
              <w:rPr>
                <w:rFonts w:ascii="SimSun" w:hAnsi="SimSun" w:eastAsia="SimSun" w:cs="SimSun"/>
                <w:spacing w:val="-33"/>
              </w:rPr>
              <w:t xml:space="preserve"> </w:t>
            </w:r>
            <w:r>
              <w:rPr>
                <w:spacing w:val="2"/>
              </w:rPr>
              <w:t>5</w:t>
            </w:r>
            <w:r>
              <w:rPr>
                <w:spacing w:val="17"/>
                <w:w w:val="101"/>
              </w:rPr>
              <w:t xml:space="preserve"> </w:t>
            </w:r>
            <w:r>
              <w:rPr>
                <w:rFonts w:ascii="SimSun" w:hAnsi="SimSun" w:eastAsia="SimSun" w:cs="SimSun"/>
                <w:spacing w:val="2"/>
              </w:rPr>
              <w:t>月</w:t>
            </w:r>
          </w:p>
        </w:tc>
        <w:tc>
          <w:tcPr>
            <w:tcW w:w="2435" w:type="dxa"/>
            <w:vAlign w:val="top"/>
          </w:tcPr>
          <w:p>
            <w:pPr>
              <w:spacing w:line="252" w:lineRule="auto"/>
              <w:rPr>
                <w:rFonts w:ascii="Arial"/>
                <w:sz w:val="21"/>
              </w:rPr>
            </w:pPr>
            <w:r/>
          </w:p>
          <w:p>
            <w:pPr>
              <w:spacing w:line="253" w:lineRule="auto"/>
              <w:rPr>
                <w:rFonts w:ascii="Arial"/>
                <w:sz w:val="21"/>
              </w:rPr>
            </w:pPr>
            <w:r/>
          </w:p>
          <w:p>
            <w:pPr>
              <w:ind w:left="836"/>
              <w:spacing w:before="65" w:line="228" w:lineRule="auto"/>
              <w:rPr>
                <w:rFonts w:ascii="SimSun" w:hAnsi="SimSun" w:eastAsia="SimSun" w:cs="SimSun"/>
                <w:sz w:val="20"/>
                <w:szCs w:val="20"/>
              </w:rPr>
            </w:pPr>
            <w:r>
              <w:rPr>
                <w:rFonts w:ascii="SimSun" w:hAnsi="SimSun" w:eastAsia="SimSun" w:cs="SimSun"/>
                <w:sz w:val="20"/>
                <w:szCs w:val="20"/>
                <w:spacing w:val="-2"/>
              </w:rPr>
              <w:t>自主验收</w:t>
            </w:r>
          </w:p>
        </w:tc>
        <w:tc>
          <w:tcPr>
            <w:tcW w:w="5861" w:type="dxa"/>
            <w:vAlign w:val="top"/>
          </w:tcPr>
          <w:p>
            <w:pPr>
              <w:pStyle w:val="TableText"/>
              <w:ind w:left="113" w:right="109"/>
              <w:spacing w:before="300" w:line="252" w:lineRule="auto"/>
              <w:jc w:val="both"/>
              <w:rPr>
                <w:rFonts w:ascii="SimSun" w:hAnsi="SimSun" w:eastAsia="SimSun" w:cs="SimSun"/>
              </w:rPr>
            </w:pPr>
            <w:r>
              <w:rPr>
                <w:rFonts w:ascii="SimSun" w:hAnsi="SimSun" w:eastAsia="SimSun" w:cs="SimSun"/>
                <w:spacing w:val="2"/>
              </w:rPr>
              <w:t>井田南北长</w:t>
            </w:r>
            <w:r>
              <w:rPr>
                <w:rFonts w:ascii="SimSun" w:hAnsi="SimSun" w:eastAsia="SimSun" w:cs="SimSun"/>
                <w:spacing w:val="-39"/>
              </w:rPr>
              <w:t xml:space="preserve"> </w:t>
            </w:r>
            <w:r>
              <w:rPr>
                <w:spacing w:val="2"/>
              </w:rPr>
              <w:t>7.08</w:t>
            </w:r>
            <w:r>
              <w:rPr/>
              <w:t>km</w:t>
            </w:r>
            <w:r>
              <w:rPr>
                <w:spacing w:val="-24"/>
              </w:rPr>
              <w:t xml:space="preserve"> </w:t>
            </w:r>
            <w:r>
              <w:rPr>
                <w:rFonts w:ascii="SimSun" w:hAnsi="SimSun" w:eastAsia="SimSun" w:cs="SimSun"/>
                <w:spacing w:val="2"/>
              </w:rPr>
              <w:t>，东西宽</w:t>
            </w:r>
            <w:r>
              <w:rPr>
                <w:rFonts w:ascii="SimSun" w:hAnsi="SimSun" w:eastAsia="SimSun" w:cs="SimSun"/>
                <w:spacing w:val="-21"/>
              </w:rPr>
              <w:t xml:space="preserve"> </w:t>
            </w:r>
            <w:r>
              <w:rPr>
                <w:spacing w:val="2"/>
              </w:rPr>
              <w:t>1.67</w:t>
            </w:r>
            <w:r>
              <w:rPr/>
              <w:t>km</w:t>
            </w:r>
            <w:r>
              <w:rPr>
                <w:spacing w:val="-26"/>
              </w:rPr>
              <w:t xml:space="preserve"> </w:t>
            </w:r>
            <w:r>
              <w:rPr>
                <w:rFonts w:ascii="SimSun" w:hAnsi="SimSun" w:eastAsia="SimSun" w:cs="SimSun"/>
                <w:spacing w:val="2"/>
              </w:rPr>
              <w:t>，面积</w:t>
            </w:r>
            <w:r>
              <w:rPr>
                <w:rFonts w:ascii="SimSun" w:hAnsi="SimSun" w:eastAsia="SimSun" w:cs="SimSun"/>
                <w:spacing w:val="-23"/>
              </w:rPr>
              <w:t xml:space="preserve"> </w:t>
            </w:r>
            <w:r>
              <w:rPr>
                <w:spacing w:val="2"/>
              </w:rPr>
              <w:t>1</w:t>
            </w:r>
            <w:r>
              <w:rPr>
                <w:spacing w:val="1"/>
              </w:rPr>
              <w:t>5.774</w:t>
            </w:r>
            <w:r>
              <w:rPr/>
              <w:t>km</w:t>
            </w:r>
            <w:r>
              <w:rPr>
                <w:sz w:val="13"/>
                <w:szCs w:val="13"/>
                <w:spacing w:val="1"/>
                <w:position w:val="6"/>
              </w:rPr>
              <w:t>2</w:t>
            </w:r>
            <w:r>
              <w:rPr>
                <w:sz w:val="13"/>
                <w:szCs w:val="13"/>
                <w:spacing w:val="-5"/>
                <w:position w:val="6"/>
              </w:rPr>
              <w:t xml:space="preserve"> </w:t>
            </w:r>
            <w:r>
              <w:rPr>
                <w:rFonts w:ascii="SimSun" w:hAnsi="SimSun" w:eastAsia="SimSun" w:cs="SimSun"/>
                <w:spacing w:val="1"/>
              </w:rPr>
              <w:t>。项目设</w:t>
            </w:r>
            <w:r>
              <w:rPr>
                <w:rFonts w:ascii="SimSun" w:hAnsi="SimSun" w:eastAsia="SimSun" w:cs="SimSun"/>
                <w:spacing w:val="8"/>
              </w:rPr>
              <w:t>计规模</w:t>
            </w:r>
            <w:r>
              <w:rPr>
                <w:rFonts w:ascii="SimSun" w:hAnsi="SimSun" w:eastAsia="SimSun" w:cs="SimSun"/>
                <w:spacing w:val="-34"/>
              </w:rPr>
              <w:t xml:space="preserve"> </w:t>
            </w:r>
            <w:r>
              <w:rPr>
                <w:spacing w:val="8"/>
              </w:rPr>
              <w:t>5.0</w:t>
            </w:r>
            <w:r>
              <w:rPr/>
              <w:t>Mt</w:t>
            </w:r>
            <w:r>
              <w:rPr>
                <w:spacing w:val="8"/>
              </w:rPr>
              <w:t>/a</w:t>
            </w:r>
            <w:r>
              <w:rPr>
                <w:spacing w:val="-21"/>
              </w:rPr>
              <w:t xml:space="preserve"> </w:t>
            </w:r>
            <w:r>
              <w:rPr>
                <w:rFonts w:ascii="SimSun" w:hAnsi="SimSun" w:eastAsia="SimSun" w:cs="SimSun"/>
                <w:spacing w:val="8"/>
              </w:rPr>
              <w:t>，项目设计可采储量为</w:t>
            </w:r>
            <w:r>
              <w:rPr>
                <w:rFonts w:ascii="SimSun" w:hAnsi="SimSun" w:eastAsia="SimSun" w:cs="SimSun"/>
                <w:spacing w:val="-42"/>
              </w:rPr>
              <w:t xml:space="preserve"> </w:t>
            </w:r>
            <w:r>
              <w:rPr>
                <w:spacing w:val="8"/>
              </w:rPr>
              <w:t>440.50</w:t>
            </w:r>
            <w:r>
              <w:rPr/>
              <w:t>Mt</w:t>
            </w:r>
            <w:r>
              <w:rPr>
                <w:spacing w:val="-23"/>
              </w:rPr>
              <w:t xml:space="preserve"> </w:t>
            </w:r>
            <w:r>
              <w:rPr>
                <w:rFonts w:ascii="SimSun" w:hAnsi="SimSun" w:eastAsia="SimSun" w:cs="SimSun"/>
                <w:spacing w:val="8"/>
              </w:rPr>
              <w:t>，采用分层综</w:t>
            </w:r>
            <w:r>
              <w:rPr>
                <w:rFonts w:ascii="SimSun" w:hAnsi="SimSun" w:eastAsia="SimSun" w:cs="SimSun"/>
                <w:spacing w:val="7"/>
              </w:rPr>
              <w:t>采放顶煤采煤工艺，服务年限为</w:t>
            </w:r>
            <w:r>
              <w:rPr>
                <w:rFonts w:ascii="SimSun" w:hAnsi="SimSun" w:eastAsia="SimSun" w:cs="SimSun"/>
                <w:spacing w:val="-33"/>
              </w:rPr>
              <w:t xml:space="preserve"> </w:t>
            </w:r>
            <w:r>
              <w:rPr>
                <w:spacing w:val="7"/>
              </w:rPr>
              <w:t>62.9a</w:t>
            </w:r>
            <w:r>
              <w:rPr>
                <w:rFonts w:ascii="SimSun" w:hAnsi="SimSun" w:eastAsia="SimSun" w:cs="SimSun"/>
                <w:spacing w:val="7"/>
              </w:rPr>
              <w:t>。</w:t>
            </w:r>
          </w:p>
        </w:tc>
      </w:tr>
      <w:tr>
        <w:trPr>
          <w:trHeight w:val="1638" w:hRule="atLeast"/>
        </w:trPr>
        <w:tc>
          <w:tcPr>
            <w:tcW w:w="784" w:type="dxa"/>
            <w:vAlign w:val="top"/>
          </w:tcPr>
          <w:p>
            <w:pPr>
              <w:spacing w:line="342" w:lineRule="auto"/>
              <w:rPr>
                <w:rFonts w:ascii="Arial"/>
                <w:sz w:val="21"/>
              </w:rPr>
            </w:pPr>
            <w:r/>
          </w:p>
          <w:p>
            <w:pPr>
              <w:spacing w:line="343" w:lineRule="auto"/>
              <w:rPr>
                <w:rFonts w:ascii="Arial"/>
                <w:sz w:val="21"/>
              </w:rPr>
            </w:pPr>
            <w:r/>
          </w:p>
          <w:p>
            <w:pPr>
              <w:pStyle w:val="TableText"/>
              <w:ind w:left="307"/>
              <w:spacing w:before="57" w:line="195" w:lineRule="auto"/>
              <w:rPr/>
            </w:pPr>
            <w:r>
              <w:rPr>
                <w:spacing w:val="-8"/>
              </w:rPr>
              <w:t>10</w:t>
            </w:r>
          </w:p>
        </w:tc>
        <w:tc>
          <w:tcPr>
            <w:tcW w:w="2728" w:type="dxa"/>
            <w:vAlign w:val="top"/>
          </w:tcPr>
          <w:p>
            <w:pPr>
              <w:ind w:left="114"/>
              <w:spacing w:before="29" w:line="227" w:lineRule="auto"/>
              <w:rPr>
                <w:rFonts w:ascii="SimSun" w:hAnsi="SimSun" w:eastAsia="SimSun" w:cs="SimSun"/>
                <w:sz w:val="20"/>
                <w:szCs w:val="20"/>
              </w:rPr>
            </w:pPr>
            <w:r>
              <w:rPr>
                <w:rFonts w:ascii="SimSun" w:hAnsi="SimSun" w:eastAsia="SimSun" w:cs="SimSun"/>
                <w:sz w:val="20"/>
                <w:szCs w:val="20"/>
                <w:spacing w:val="8"/>
              </w:rPr>
              <w:t>《关于内蒙古海州露天能</w:t>
            </w:r>
          </w:p>
          <w:p>
            <w:pPr>
              <w:ind w:left="108"/>
              <w:spacing w:before="24" w:line="228" w:lineRule="auto"/>
              <w:rPr>
                <w:rFonts w:ascii="SimSun" w:hAnsi="SimSun" w:eastAsia="SimSun" w:cs="SimSun"/>
                <w:sz w:val="20"/>
                <w:szCs w:val="20"/>
              </w:rPr>
            </w:pPr>
            <w:r>
              <w:rPr>
                <w:rFonts w:ascii="SimSun" w:hAnsi="SimSun" w:eastAsia="SimSun" w:cs="SimSun"/>
                <w:sz w:val="20"/>
                <w:szCs w:val="20"/>
                <w:spacing w:val="9"/>
              </w:rPr>
              <w:t>源有限责任公司白音华四</w:t>
            </w:r>
          </w:p>
          <w:p>
            <w:pPr>
              <w:ind w:left="114"/>
              <w:spacing w:before="24" w:line="228" w:lineRule="auto"/>
              <w:rPr>
                <w:rFonts w:ascii="SimSun" w:hAnsi="SimSun" w:eastAsia="SimSun" w:cs="SimSun"/>
                <w:sz w:val="20"/>
                <w:szCs w:val="20"/>
              </w:rPr>
            </w:pPr>
            <w:r>
              <w:rPr>
                <w:rFonts w:ascii="SimSun" w:hAnsi="SimSun" w:eastAsia="SimSun" w:cs="SimSun"/>
                <w:sz w:val="20"/>
                <w:szCs w:val="20"/>
                <w:spacing w:val="8"/>
              </w:rPr>
              <w:t>号露天矿二期工程（井工</w:t>
            </w:r>
          </w:p>
          <w:p>
            <w:pPr>
              <w:ind w:left="113" w:right="108" w:hanging="5"/>
              <w:spacing w:before="29" w:line="249" w:lineRule="auto"/>
              <w:rPr>
                <w:rFonts w:ascii="SimSun" w:hAnsi="SimSun" w:eastAsia="SimSun" w:cs="SimSun"/>
                <w:sz w:val="20"/>
                <w:szCs w:val="20"/>
              </w:rPr>
            </w:pPr>
            <w:r>
              <w:rPr>
                <w:rFonts w:ascii="SimSun" w:hAnsi="SimSun" w:eastAsia="SimSun" w:cs="SimSun"/>
                <w:sz w:val="20"/>
                <w:szCs w:val="20"/>
                <w:spacing w:val="8"/>
              </w:rPr>
              <w:t>矿）噪声和固体废物污染防</w:t>
            </w:r>
            <w:r>
              <w:rPr>
                <w:rFonts w:ascii="SimSun" w:hAnsi="SimSun" w:eastAsia="SimSun" w:cs="SimSun"/>
                <w:sz w:val="20"/>
                <w:szCs w:val="20"/>
                <w:spacing w:val="8"/>
              </w:rPr>
              <w:t>治设施竣工环境保护验收</w:t>
            </w:r>
          </w:p>
          <w:p>
            <w:pPr>
              <w:ind w:left="115"/>
              <w:spacing w:before="1" w:line="221" w:lineRule="auto"/>
              <w:rPr>
                <w:rFonts w:ascii="SimSun" w:hAnsi="SimSun" w:eastAsia="SimSun" w:cs="SimSun"/>
                <w:sz w:val="20"/>
                <w:szCs w:val="20"/>
              </w:rPr>
            </w:pPr>
            <w:r>
              <w:rPr>
                <w:rFonts w:ascii="SimSun" w:hAnsi="SimSun" w:eastAsia="SimSun" w:cs="SimSun"/>
                <w:sz w:val="20"/>
                <w:szCs w:val="20"/>
                <w:spacing w:val="2"/>
              </w:rPr>
              <w:t>意见</w:t>
            </w:r>
          </w:p>
        </w:tc>
        <w:tc>
          <w:tcPr>
            <w:tcW w:w="1238" w:type="dxa"/>
            <w:vAlign w:val="top"/>
          </w:tcPr>
          <w:p>
            <w:pPr>
              <w:spacing w:line="251" w:lineRule="auto"/>
              <w:rPr>
                <w:rFonts w:ascii="Arial"/>
                <w:sz w:val="21"/>
              </w:rPr>
            </w:pPr>
            <w:r/>
          </w:p>
          <w:p>
            <w:pPr>
              <w:ind w:left="200"/>
              <w:spacing w:before="65" w:line="227" w:lineRule="auto"/>
              <w:rPr>
                <w:rFonts w:ascii="SimSun" w:hAnsi="SimSun" w:eastAsia="SimSun" w:cs="SimSun"/>
                <w:sz w:val="20"/>
                <w:szCs w:val="20"/>
              </w:rPr>
            </w:pPr>
            <w:r>
              <w:rPr>
                <w:rFonts w:ascii="SimSun" w:hAnsi="SimSun" w:eastAsia="SimSun" w:cs="SimSun"/>
                <w:sz w:val="20"/>
                <w:szCs w:val="20"/>
                <w:spacing w:val="7"/>
              </w:rPr>
              <w:t>锡林郭勒</w:t>
            </w:r>
          </w:p>
          <w:p>
            <w:pPr>
              <w:ind w:left="201"/>
              <w:spacing w:before="25" w:line="228" w:lineRule="auto"/>
              <w:rPr>
                <w:rFonts w:ascii="SimSun" w:hAnsi="SimSun" w:eastAsia="SimSun" w:cs="SimSun"/>
                <w:sz w:val="20"/>
                <w:szCs w:val="20"/>
              </w:rPr>
            </w:pPr>
            <w:r>
              <w:rPr>
                <w:rFonts w:ascii="SimSun" w:hAnsi="SimSun" w:eastAsia="SimSun" w:cs="SimSun"/>
                <w:sz w:val="20"/>
                <w:szCs w:val="20"/>
                <w:spacing w:val="7"/>
              </w:rPr>
              <w:t>盟环境保</w:t>
            </w:r>
          </w:p>
          <w:p>
            <w:pPr>
              <w:ind w:left="413"/>
              <w:spacing w:before="24" w:line="228" w:lineRule="auto"/>
              <w:rPr>
                <w:rFonts w:ascii="SimSun" w:hAnsi="SimSun" w:eastAsia="SimSun" w:cs="SimSun"/>
                <w:sz w:val="20"/>
                <w:szCs w:val="20"/>
              </w:rPr>
            </w:pPr>
            <w:r>
              <w:rPr>
                <w:rFonts w:ascii="SimSun" w:hAnsi="SimSun" w:eastAsia="SimSun" w:cs="SimSun"/>
                <w:sz w:val="20"/>
                <w:szCs w:val="20"/>
                <w:spacing w:val="4"/>
              </w:rPr>
              <w:t>护局</w:t>
            </w:r>
          </w:p>
        </w:tc>
        <w:tc>
          <w:tcPr>
            <w:tcW w:w="1461" w:type="dxa"/>
            <w:vAlign w:val="top"/>
          </w:tcPr>
          <w:p>
            <w:pPr>
              <w:spacing w:line="319" w:lineRule="auto"/>
              <w:rPr>
                <w:rFonts w:ascii="Arial"/>
                <w:sz w:val="21"/>
              </w:rPr>
            </w:pPr>
            <w:r/>
          </w:p>
          <w:p>
            <w:pPr>
              <w:spacing w:line="320" w:lineRule="auto"/>
              <w:rPr>
                <w:rFonts w:ascii="Arial"/>
                <w:sz w:val="21"/>
              </w:rPr>
            </w:pPr>
            <w:r/>
          </w:p>
          <w:p>
            <w:pPr>
              <w:pStyle w:val="TableText"/>
              <w:ind w:left="178"/>
              <w:spacing w:before="65" w:line="228" w:lineRule="auto"/>
              <w:rPr>
                <w:rFonts w:ascii="SimSun" w:hAnsi="SimSun" w:eastAsia="SimSun" w:cs="SimSun"/>
              </w:rPr>
            </w:pPr>
            <w:r>
              <w:rPr>
                <w:spacing w:val="2"/>
              </w:rPr>
              <w:t>2018 </w:t>
            </w:r>
            <w:r>
              <w:rPr>
                <w:rFonts w:ascii="SimSun" w:hAnsi="SimSun" w:eastAsia="SimSun" w:cs="SimSun"/>
                <w:spacing w:val="2"/>
              </w:rPr>
              <w:t>年</w:t>
            </w:r>
            <w:r>
              <w:rPr>
                <w:rFonts w:ascii="SimSun" w:hAnsi="SimSun" w:eastAsia="SimSun" w:cs="SimSun"/>
                <w:spacing w:val="-33"/>
              </w:rPr>
              <w:t xml:space="preserve"> </w:t>
            </w:r>
            <w:r>
              <w:rPr>
                <w:spacing w:val="2"/>
              </w:rPr>
              <w:t>6</w:t>
            </w:r>
            <w:r>
              <w:rPr>
                <w:spacing w:val="17"/>
                <w:w w:val="101"/>
              </w:rPr>
              <w:t xml:space="preserve"> </w:t>
            </w:r>
            <w:r>
              <w:rPr>
                <w:rFonts w:ascii="SimSun" w:hAnsi="SimSun" w:eastAsia="SimSun" w:cs="SimSun"/>
                <w:spacing w:val="2"/>
              </w:rPr>
              <w:t>月</w:t>
            </w:r>
          </w:p>
        </w:tc>
        <w:tc>
          <w:tcPr>
            <w:tcW w:w="2435" w:type="dxa"/>
            <w:vAlign w:val="top"/>
          </w:tcPr>
          <w:p>
            <w:pPr>
              <w:spacing w:line="287" w:lineRule="auto"/>
              <w:rPr>
                <w:rFonts w:ascii="Arial"/>
                <w:sz w:val="21"/>
              </w:rPr>
            </w:pPr>
            <w:r/>
          </w:p>
          <w:p>
            <w:pPr>
              <w:spacing w:line="288" w:lineRule="auto"/>
              <w:rPr>
                <w:rFonts w:ascii="Arial"/>
                <w:sz w:val="21"/>
              </w:rPr>
            </w:pPr>
            <w:r/>
          </w:p>
          <w:p>
            <w:pPr>
              <w:pStyle w:val="TableText"/>
              <w:ind w:left="302"/>
              <w:spacing w:before="65" w:line="229" w:lineRule="auto"/>
              <w:rPr>
                <w:rFonts w:ascii="SimSun" w:hAnsi="SimSun" w:eastAsia="SimSun" w:cs="SimSun"/>
              </w:rPr>
            </w:pPr>
            <w:r>
              <w:rPr>
                <w:rFonts w:ascii="SimSun" w:hAnsi="SimSun" w:eastAsia="SimSun" w:cs="SimSun"/>
                <w:spacing w:val="6"/>
              </w:rPr>
              <w:t>锡环验〔</w:t>
            </w:r>
            <w:r>
              <w:rPr>
                <w:spacing w:val="6"/>
              </w:rPr>
              <w:t>2018</w:t>
            </w:r>
            <w:r>
              <w:rPr>
                <w:rFonts w:ascii="SimSun" w:hAnsi="SimSun" w:eastAsia="SimSun" w:cs="SimSun"/>
                <w:spacing w:val="6"/>
              </w:rPr>
              <w:t>〕</w:t>
            </w:r>
            <w:r>
              <w:rPr>
                <w:spacing w:val="6"/>
              </w:rPr>
              <w:t>2 </w:t>
            </w:r>
            <w:r>
              <w:rPr>
                <w:rFonts w:ascii="SimSun" w:hAnsi="SimSun" w:eastAsia="SimSun" w:cs="SimSun"/>
                <w:spacing w:val="6"/>
              </w:rPr>
              <w:t>号</w:t>
            </w:r>
          </w:p>
        </w:tc>
        <w:tc>
          <w:tcPr>
            <w:tcW w:w="5861" w:type="dxa"/>
            <w:vAlign w:val="top"/>
          </w:tcPr>
          <w:p>
            <w:pPr>
              <w:spacing w:line="369" w:lineRule="auto"/>
              <w:rPr>
                <w:rFonts w:ascii="Arial"/>
                <w:sz w:val="21"/>
              </w:rPr>
            </w:pPr>
            <w:r/>
          </w:p>
          <w:p>
            <w:pPr>
              <w:pStyle w:val="TableText"/>
              <w:ind w:left="114"/>
              <w:spacing w:before="65" w:line="228" w:lineRule="auto"/>
              <w:rPr>
                <w:rFonts w:ascii="SimSun" w:hAnsi="SimSun" w:eastAsia="SimSun" w:cs="SimSun"/>
              </w:rPr>
            </w:pPr>
            <w:r>
              <w:rPr>
                <w:rFonts w:ascii="SimSun" w:hAnsi="SimSun" w:eastAsia="SimSun" w:cs="SimSun"/>
                <w:spacing w:val="2"/>
              </w:rPr>
              <w:t>井田南北长</w:t>
            </w:r>
            <w:r>
              <w:rPr>
                <w:rFonts w:ascii="SimSun" w:hAnsi="SimSun" w:eastAsia="SimSun" w:cs="SimSun"/>
                <w:spacing w:val="-39"/>
              </w:rPr>
              <w:t xml:space="preserve"> </w:t>
            </w:r>
            <w:r>
              <w:rPr>
                <w:spacing w:val="2"/>
              </w:rPr>
              <w:t>7.08</w:t>
            </w:r>
            <w:r>
              <w:rPr/>
              <w:t>km</w:t>
            </w:r>
            <w:r>
              <w:rPr>
                <w:spacing w:val="-24"/>
              </w:rPr>
              <w:t xml:space="preserve"> </w:t>
            </w:r>
            <w:r>
              <w:rPr>
                <w:rFonts w:ascii="SimSun" w:hAnsi="SimSun" w:eastAsia="SimSun" w:cs="SimSun"/>
                <w:spacing w:val="2"/>
              </w:rPr>
              <w:t>，东西宽</w:t>
            </w:r>
            <w:r>
              <w:rPr>
                <w:rFonts w:ascii="SimSun" w:hAnsi="SimSun" w:eastAsia="SimSun" w:cs="SimSun"/>
                <w:spacing w:val="-21"/>
              </w:rPr>
              <w:t xml:space="preserve"> </w:t>
            </w:r>
            <w:r>
              <w:rPr>
                <w:spacing w:val="2"/>
              </w:rPr>
              <w:t>1.67</w:t>
            </w:r>
            <w:r>
              <w:rPr/>
              <w:t>km</w:t>
            </w:r>
            <w:r>
              <w:rPr>
                <w:spacing w:val="-26"/>
              </w:rPr>
              <w:t xml:space="preserve"> </w:t>
            </w:r>
            <w:r>
              <w:rPr>
                <w:rFonts w:ascii="SimSun" w:hAnsi="SimSun" w:eastAsia="SimSun" w:cs="SimSun"/>
                <w:spacing w:val="2"/>
              </w:rPr>
              <w:t>，面积</w:t>
            </w:r>
            <w:r>
              <w:rPr>
                <w:rFonts w:ascii="SimSun" w:hAnsi="SimSun" w:eastAsia="SimSun" w:cs="SimSun"/>
                <w:spacing w:val="-23"/>
              </w:rPr>
              <w:t xml:space="preserve"> </w:t>
            </w:r>
            <w:r>
              <w:rPr>
                <w:spacing w:val="2"/>
              </w:rPr>
              <w:t>1</w:t>
            </w:r>
            <w:r>
              <w:rPr>
                <w:spacing w:val="1"/>
              </w:rPr>
              <w:t>5.774</w:t>
            </w:r>
            <w:r>
              <w:rPr/>
              <w:t>km</w:t>
            </w:r>
            <w:r>
              <w:rPr>
                <w:sz w:val="13"/>
                <w:szCs w:val="13"/>
                <w:spacing w:val="1"/>
                <w:position w:val="6"/>
              </w:rPr>
              <w:t>2</w:t>
            </w:r>
            <w:r>
              <w:rPr>
                <w:sz w:val="13"/>
                <w:szCs w:val="13"/>
                <w:spacing w:val="-5"/>
                <w:position w:val="6"/>
              </w:rPr>
              <w:t xml:space="preserve"> </w:t>
            </w:r>
            <w:r>
              <w:rPr>
                <w:rFonts w:ascii="SimSun" w:hAnsi="SimSun" w:eastAsia="SimSun" w:cs="SimSun"/>
                <w:spacing w:val="1"/>
              </w:rPr>
              <w:t>。项目设</w:t>
            </w:r>
          </w:p>
          <w:p>
            <w:pPr>
              <w:pStyle w:val="TableText"/>
              <w:ind w:left="145"/>
              <w:spacing w:before="24" w:line="227" w:lineRule="auto"/>
              <w:rPr>
                <w:rFonts w:ascii="SimSun" w:hAnsi="SimSun" w:eastAsia="SimSun" w:cs="SimSun"/>
              </w:rPr>
            </w:pPr>
            <w:r>
              <w:rPr>
                <w:rFonts w:ascii="SimSun" w:hAnsi="SimSun" w:eastAsia="SimSun" w:cs="SimSun"/>
                <w:spacing w:val="6"/>
              </w:rPr>
              <w:t>计规模</w:t>
            </w:r>
            <w:r>
              <w:rPr>
                <w:rFonts w:ascii="SimSun" w:hAnsi="SimSun" w:eastAsia="SimSun" w:cs="SimSun"/>
                <w:spacing w:val="-35"/>
              </w:rPr>
              <w:t xml:space="preserve"> </w:t>
            </w:r>
            <w:r>
              <w:rPr>
                <w:spacing w:val="6"/>
              </w:rPr>
              <w:t>5.0</w:t>
            </w:r>
            <w:r>
              <w:rPr/>
              <w:t>Mt</w:t>
            </w:r>
            <w:r>
              <w:rPr>
                <w:spacing w:val="6"/>
              </w:rPr>
              <w:t>/a</w:t>
            </w:r>
            <w:r>
              <w:rPr>
                <w:spacing w:val="-23"/>
              </w:rPr>
              <w:t xml:space="preserve"> </w:t>
            </w:r>
            <w:r>
              <w:rPr>
                <w:rFonts w:ascii="SimSun" w:hAnsi="SimSun" w:eastAsia="SimSun" w:cs="SimSun"/>
                <w:spacing w:val="6"/>
              </w:rPr>
              <w:t>，设计可采储量为</w:t>
            </w:r>
            <w:r>
              <w:rPr>
                <w:rFonts w:ascii="SimSun" w:hAnsi="SimSun" w:eastAsia="SimSun" w:cs="SimSun"/>
                <w:spacing w:val="-42"/>
              </w:rPr>
              <w:t xml:space="preserve"> </w:t>
            </w:r>
            <w:r>
              <w:rPr>
                <w:spacing w:val="6"/>
              </w:rPr>
              <w:t>440.50</w:t>
            </w:r>
            <w:r>
              <w:rPr/>
              <w:t>Mt</w:t>
            </w:r>
            <w:r>
              <w:rPr>
                <w:spacing w:val="-28"/>
              </w:rPr>
              <w:t xml:space="preserve"> </w:t>
            </w:r>
            <w:r>
              <w:rPr>
                <w:rFonts w:ascii="SimSun" w:hAnsi="SimSun" w:eastAsia="SimSun" w:cs="SimSun"/>
                <w:spacing w:val="6"/>
              </w:rPr>
              <w:t>，采用分层综采放</w:t>
            </w:r>
          </w:p>
          <w:p>
            <w:pPr>
              <w:pStyle w:val="TableText"/>
              <w:ind w:left="1228"/>
              <w:spacing w:before="25" w:line="227" w:lineRule="auto"/>
              <w:rPr>
                <w:rFonts w:ascii="SimSun" w:hAnsi="SimSun" w:eastAsia="SimSun" w:cs="SimSun"/>
              </w:rPr>
            </w:pPr>
            <w:r>
              <w:rPr>
                <w:rFonts w:ascii="SimSun" w:hAnsi="SimSun" w:eastAsia="SimSun" w:cs="SimSun"/>
                <w:spacing w:val="6"/>
              </w:rPr>
              <w:t>顶煤采煤工艺，服务年限为</w:t>
            </w:r>
            <w:r>
              <w:rPr>
                <w:rFonts w:ascii="SimSun" w:hAnsi="SimSun" w:eastAsia="SimSun" w:cs="SimSun"/>
                <w:spacing w:val="-24"/>
              </w:rPr>
              <w:t xml:space="preserve"> </w:t>
            </w:r>
            <w:r>
              <w:rPr>
                <w:spacing w:val="6"/>
              </w:rPr>
              <w:t>62.9 </w:t>
            </w:r>
            <w:r>
              <w:rPr>
                <w:rFonts w:ascii="SimSun" w:hAnsi="SimSun" w:eastAsia="SimSun" w:cs="SimSun"/>
                <w:spacing w:val="6"/>
              </w:rPr>
              <w:t>年。</w:t>
            </w:r>
          </w:p>
        </w:tc>
      </w:tr>
      <w:tr>
        <w:trPr>
          <w:trHeight w:val="1909" w:hRule="atLeast"/>
        </w:trPr>
        <w:tc>
          <w:tcPr>
            <w:tcW w:w="784"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309"/>
              <w:spacing w:before="57" w:line="195" w:lineRule="auto"/>
              <w:rPr/>
            </w:pPr>
            <w:r>
              <w:rPr>
                <w:spacing w:val="-10"/>
              </w:rPr>
              <w:t>11</w:t>
            </w:r>
          </w:p>
        </w:tc>
        <w:tc>
          <w:tcPr>
            <w:tcW w:w="2728" w:type="dxa"/>
            <w:vAlign w:val="top"/>
          </w:tcPr>
          <w:p>
            <w:pPr>
              <w:spacing w:line="370" w:lineRule="auto"/>
              <w:rPr>
                <w:rFonts w:ascii="Arial"/>
                <w:sz w:val="21"/>
              </w:rPr>
            </w:pPr>
            <w:r/>
          </w:p>
          <w:p>
            <w:pPr>
              <w:pStyle w:val="TableText"/>
              <w:ind w:left="110" w:right="108" w:firstLine="19"/>
              <w:spacing w:before="65" w:line="253" w:lineRule="auto"/>
              <w:jc w:val="both"/>
              <w:rPr>
                <w:rFonts w:ascii="SimSun" w:hAnsi="SimSun" w:eastAsia="SimSun" w:cs="SimSun"/>
              </w:rPr>
            </w:pPr>
            <w:r>
              <w:rPr>
                <w:rFonts w:ascii="SimSun" w:hAnsi="SimSun" w:eastAsia="SimSun" w:cs="SimSun"/>
                <w:spacing w:val="25"/>
              </w:rPr>
              <w:t>国家发展改革委办公厅关</w:t>
            </w:r>
            <w:r>
              <w:rPr>
                <w:rFonts w:ascii="SimSun" w:hAnsi="SimSun" w:eastAsia="SimSun" w:cs="SimSun"/>
                <w:spacing w:val="7"/>
              </w:rPr>
              <w:t>于白音华四号井工矿等</w:t>
            </w:r>
            <w:r>
              <w:rPr>
                <w:rFonts w:ascii="SimSun" w:hAnsi="SimSun" w:eastAsia="SimSun" w:cs="SimSun"/>
                <w:spacing w:val="-38"/>
              </w:rPr>
              <w:t xml:space="preserve"> </w:t>
            </w:r>
            <w:r>
              <w:rPr>
                <w:spacing w:val="7"/>
              </w:rPr>
              <w:t>4 </w:t>
            </w:r>
            <w:r>
              <w:rPr>
                <w:rFonts w:ascii="SimSun" w:hAnsi="SimSun" w:eastAsia="SimSun" w:cs="SimSun"/>
                <w:spacing w:val="7"/>
              </w:rPr>
              <w:t>处</w:t>
            </w:r>
            <w:r>
              <w:rPr>
                <w:rFonts w:ascii="SimSun" w:hAnsi="SimSun" w:eastAsia="SimSun" w:cs="SimSun"/>
                <w:spacing w:val="27"/>
              </w:rPr>
              <w:t>煤矿核增生产能力产能置</w:t>
            </w:r>
            <w:r>
              <w:rPr>
                <w:rFonts w:ascii="SimSun" w:hAnsi="SimSun" w:eastAsia="SimSun" w:cs="SimSun"/>
                <w:spacing w:val="8"/>
              </w:rPr>
              <w:t>换方案的复函</w:t>
            </w:r>
          </w:p>
        </w:tc>
        <w:tc>
          <w:tcPr>
            <w:tcW w:w="1238" w:type="dxa"/>
            <w:vAlign w:val="top"/>
          </w:tcPr>
          <w:p>
            <w:pPr>
              <w:spacing w:line="320" w:lineRule="auto"/>
              <w:rPr>
                <w:rFonts w:ascii="Arial"/>
                <w:sz w:val="21"/>
              </w:rPr>
            </w:pPr>
            <w:r/>
          </w:p>
          <w:p>
            <w:pPr>
              <w:spacing w:line="320" w:lineRule="auto"/>
              <w:rPr>
                <w:rFonts w:ascii="Arial"/>
                <w:sz w:val="21"/>
              </w:rPr>
            </w:pPr>
            <w:r/>
          </w:p>
          <w:p>
            <w:pPr>
              <w:ind w:left="314" w:right="201" w:hanging="92"/>
              <w:spacing w:before="65" w:line="252" w:lineRule="auto"/>
              <w:rPr>
                <w:rFonts w:ascii="SimSun" w:hAnsi="SimSun" w:eastAsia="SimSun" w:cs="SimSun"/>
                <w:sz w:val="20"/>
                <w:szCs w:val="20"/>
              </w:rPr>
            </w:pPr>
            <w:r>
              <w:rPr>
                <w:rFonts w:ascii="SimSun" w:hAnsi="SimSun" w:eastAsia="SimSun" w:cs="SimSun"/>
                <w:sz w:val="20"/>
                <w:szCs w:val="20"/>
                <w:spacing w:val="2"/>
              </w:rPr>
              <w:t>国家发展</w:t>
            </w:r>
            <w:r>
              <w:rPr>
                <w:rFonts w:ascii="SimSun" w:hAnsi="SimSun" w:eastAsia="SimSun" w:cs="SimSun"/>
                <w:sz w:val="20"/>
                <w:szCs w:val="20"/>
                <w:spacing w:val="4"/>
              </w:rPr>
              <w:t>改革委</w:t>
            </w:r>
          </w:p>
        </w:tc>
        <w:tc>
          <w:tcPr>
            <w:tcW w:w="1461"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pStyle w:val="TableText"/>
              <w:ind w:left="126"/>
              <w:spacing w:before="65" w:line="228" w:lineRule="auto"/>
              <w:rPr>
                <w:rFonts w:ascii="SimSun" w:hAnsi="SimSun" w:eastAsia="SimSun" w:cs="SimSun"/>
              </w:rPr>
            </w:pPr>
            <w:r>
              <w:rPr>
                <w:spacing w:val="1"/>
              </w:rPr>
              <w:t>2019 </w:t>
            </w:r>
            <w:r>
              <w:rPr>
                <w:rFonts w:ascii="SimSun" w:hAnsi="SimSun" w:eastAsia="SimSun" w:cs="SimSun"/>
                <w:spacing w:val="1"/>
              </w:rPr>
              <w:t>年</w:t>
            </w:r>
            <w:r>
              <w:rPr>
                <w:rFonts w:ascii="SimSun" w:hAnsi="SimSun" w:eastAsia="SimSun" w:cs="SimSun"/>
                <w:spacing w:val="-18"/>
              </w:rPr>
              <w:t xml:space="preserve"> </w:t>
            </w:r>
            <w:r>
              <w:rPr>
                <w:spacing w:val="1"/>
              </w:rPr>
              <w:t>12</w:t>
            </w:r>
            <w:r>
              <w:rPr>
                <w:spacing w:val="12"/>
                <w:w w:val="101"/>
              </w:rPr>
              <w:t xml:space="preserve"> </w:t>
            </w:r>
            <w:r>
              <w:rPr>
                <w:rFonts w:ascii="SimSun" w:hAnsi="SimSun" w:eastAsia="SimSun" w:cs="SimSun"/>
                <w:spacing w:val="1"/>
              </w:rPr>
              <w:t>月</w:t>
            </w:r>
          </w:p>
        </w:tc>
        <w:tc>
          <w:tcPr>
            <w:tcW w:w="2435" w:type="dxa"/>
            <w:vAlign w:val="top"/>
          </w:tcPr>
          <w:p>
            <w:pPr>
              <w:spacing w:line="320" w:lineRule="auto"/>
              <w:rPr>
                <w:rFonts w:ascii="Arial"/>
                <w:sz w:val="21"/>
              </w:rPr>
            </w:pPr>
            <w:r/>
          </w:p>
          <w:p>
            <w:pPr>
              <w:spacing w:line="320" w:lineRule="auto"/>
              <w:rPr>
                <w:rFonts w:ascii="Arial"/>
                <w:sz w:val="21"/>
              </w:rPr>
            </w:pPr>
            <w:r/>
          </w:p>
          <w:p>
            <w:pPr>
              <w:pStyle w:val="TableText"/>
              <w:ind w:left="117"/>
              <w:spacing w:before="65" w:line="228" w:lineRule="auto"/>
              <w:rPr/>
            </w:pPr>
            <w:r>
              <w:rPr>
                <w:rFonts w:ascii="SimSun" w:hAnsi="SimSun" w:eastAsia="SimSun" w:cs="SimSun"/>
              </w:rPr>
              <w:t>发改办运行〔</w:t>
            </w:r>
            <w:r>
              <w:rPr/>
              <w:t>2019</w:t>
            </w:r>
            <w:r>
              <w:rPr>
                <w:rFonts w:ascii="SimSun" w:hAnsi="SimSun" w:eastAsia="SimSun" w:cs="SimSun"/>
              </w:rPr>
              <w:t>〕</w:t>
            </w:r>
            <w:r>
              <w:rPr/>
              <w:t>1130</w:t>
            </w:r>
          </w:p>
          <w:p>
            <w:pPr>
              <w:ind w:left="1121"/>
              <w:spacing w:before="24" w:line="229" w:lineRule="auto"/>
              <w:rPr>
                <w:rFonts w:ascii="SimSun" w:hAnsi="SimSun" w:eastAsia="SimSun" w:cs="SimSun"/>
                <w:sz w:val="20"/>
                <w:szCs w:val="20"/>
              </w:rPr>
            </w:pPr>
            <w:r>
              <w:rPr>
                <w:rFonts w:ascii="SimSun" w:hAnsi="SimSun" w:eastAsia="SimSun" w:cs="SimSun"/>
                <w:sz w:val="20"/>
                <w:szCs w:val="20"/>
              </w:rPr>
              <w:t>号</w:t>
            </w:r>
          </w:p>
        </w:tc>
        <w:tc>
          <w:tcPr>
            <w:tcW w:w="5861" w:type="dxa"/>
            <w:vAlign w:val="top"/>
          </w:tcPr>
          <w:p>
            <w:pPr>
              <w:pStyle w:val="TableText"/>
              <w:ind w:left="114" w:right="106" w:firstLine="30"/>
              <w:spacing w:before="33" w:line="246" w:lineRule="auto"/>
              <w:jc w:val="both"/>
              <w:rPr/>
            </w:pPr>
            <w:r>
              <w:rPr>
                <w:rFonts w:ascii="SimSun" w:hAnsi="SimSun" w:eastAsia="SimSun" w:cs="SimSun"/>
                <w:spacing w:val="6"/>
              </w:rPr>
              <w:t>白音华四号井工矿项目公告生产能力</w:t>
            </w:r>
            <w:r>
              <w:rPr>
                <w:spacing w:val="6"/>
              </w:rPr>
              <w:t>500</w:t>
            </w:r>
            <w:r>
              <w:rPr>
                <w:spacing w:val="18"/>
                <w:w w:val="101"/>
              </w:rPr>
              <w:t xml:space="preserve"> </w:t>
            </w:r>
            <w:r>
              <w:rPr>
                <w:rFonts w:ascii="SimSun" w:hAnsi="SimSun" w:eastAsia="SimSun" w:cs="SimSun"/>
                <w:spacing w:val="6"/>
              </w:rPr>
              <w:t>万吨</w:t>
            </w:r>
            <w:r>
              <w:rPr>
                <w:spacing w:val="6"/>
              </w:rPr>
              <w:t>/</w:t>
            </w:r>
            <w:r>
              <w:rPr>
                <w:rFonts w:ascii="SimSun" w:hAnsi="SimSun" w:eastAsia="SimSun" w:cs="SimSun"/>
                <w:spacing w:val="6"/>
              </w:rPr>
              <w:t>年，申请核增生</w:t>
            </w:r>
            <w:r>
              <w:rPr>
                <w:rFonts w:ascii="SimSun" w:hAnsi="SimSun" w:eastAsia="SimSun" w:cs="SimSun"/>
                <w:spacing w:val="11"/>
              </w:rPr>
              <w:t>产能力至 </w:t>
            </w:r>
            <w:r>
              <w:rPr>
                <w:spacing w:val="11"/>
              </w:rPr>
              <w:t>800 </w:t>
            </w:r>
            <w:r>
              <w:rPr>
                <w:rFonts w:ascii="SimSun" w:hAnsi="SimSun" w:eastAsia="SimSun" w:cs="SimSun"/>
                <w:spacing w:val="11"/>
              </w:rPr>
              <w:t>万吨</w:t>
            </w:r>
            <w:r>
              <w:rPr>
                <w:spacing w:val="11"/>
              </w:rPr>
              <w:t>/</w:t>
            </w:r>
            <w:r>
              <w:rPr>
                <w:rFonts w:ascii="SimSun" w:hAnsi="SimSun" w:eastAsia="SimSun" w:cs="SimSun"/>
                <w:spacing w:val="11"/>
              </w:rPr>
              <w:t>年，通过使用职工安置折算指标和</w:t>
            </w:r>
            <w:r>
              <w:rPr>
                <w:rFonts w:ascii="SimSun" w:hAnsi="SimSun" w:eastAsia="SimSun" w:cs="SimSun"/>
                <w:spacing w:val="10"/>
              </w:rPr>
              <w:t>购买产</w:t>
            </w:r>
            <w:r>
              <w:rPr>
                <w:rFonts w:ascii="SimSun" w:hAnsi="SimSun" w:eastAsia="SimSun" w:cs="SimSun"/>
                <w:spacing w:val="7"/>
              </w:rPr>
              <w:t>能置换指标进行产能置换，落实产能置换指标</w:t>
            </w:r>
            <w:r>
              <w:rPr>
                <w:rFonts w:ascii="SimSun" w:hAnsi="SimSun" w:eastAsia="SimSun" w:cs="SimSun"/>
                <w:spacing w:val="-25"/>
              </w:rPr>
              <w:t xml:space="preserve"> </w:t>
            </w:r>
            <w:r>
              <w:rPr>
                <w:spacing w:val="7"/>
              </w:rPr>
              <w:t>300 </w:t>
            </w:r>
            <w:r>
              <w:rPr>
                <w:rFonts w:ascii="SimSun" w:hAnsi="SimSun" w:eastAsia="SimSun" w:cs="SimSun"/>
                <w:spacing w:val="7"/>
              </w:rPr>
              <w:t>万吨。指标</w:t>
            </w:r>
            <w:r>
              <w:rPr>
                <w:rFonts w:ascii="SimSun" w:hAnsi="SimSun" w:eastAsia="SimSun" w:cs="SimSun"/>
                <w:spacing w:val="11"/>
              </w:rPr>
              <w:t>来源为</w:t>
            </w:r>
            <w:r>
              <w:rPr>
                <w:rFonts w:ascii="SimSun" w:hAnsi="SimSun" w:eastAsia="SimSun" w:cs="SimSun"/>
                <w:spacing w:val="-36"/>
              </w:rPr>
              <w:t xml:space="preserve"> </w:t>
            </w:r>
            <w:r>
              <w:rPr>
                <w:spacing w:val="11"/>
              </w:rPr>
              <w:t>2016 </w:t>
            </w:r>
            <w:r>
              <w:rPr>
                <w:rFonts w:ascii="SimSun" w:hAnsi="SimSun" w:eastAsia="SimSun" w:cs="SimSun"/>
                <w:spacing w:val="11"/>
              </w:rPr>
              <w:t>年关闭退出的阜新矿业（集团）有限责任公司所</w:t>
            </w:r>
            <w:r>
              <w:rPr>
                <w:rFonts w:ascii="SimSun" w:hAnsi="SimSun" w:eastAsia="SimSun" w:cs="SimSun"/>
                <w:spacing w:val="8"/>
              </w:rPr>
              <w:t>属五龙煤矿、清河门煤矿、辽宁海州露天矿业有限公司、兴阜</w:t>
            </w:r>
            <w:r>
              <w:rPr>
                <w:rFonts w:ascii="SimSun" w:hAnsi="SimSun" w:eastAsia="SimSun" w:cs="SimSun"/>
                <w:spacing w:val="1"/>
              </w:rPr>
              <w:t>煤矿、艾友煤矿、彩屯煤业有限公司等</w:t>
            </w:r>
            <w:r>
              <w:rPr>
                <w:rFonts w:ascii="SimSun" w:hAnsi="SimSun" w:eastAsia="SimSun" w:cs="SimSun"/>
                <w:spacing w:val="-25"/>
              </w:rPr>
              <w:t xml:space="preserve"> </w:t>
            </w:r>
            <w:r>
              <w:rPr>
                <w:spacing w:val="1"/>
              </w:rPr>
              <w:t>6</w:t>
            </w:r>
            <w:r>
              <w:rPr>
                <w:spacing w:val="14"/>
                <w:w w:val="101"/>
              </w:rPr>
              <w:t xml:space="preserve"> </w:t>
            </w:r>
            <w:r>
              <w:rPr>
                <w:rFonts w:ascii="SimSun" w:hAnsi="SimSun" w:eastAsia="SimSun" w:cs="SimSun"/>
                <w:spacing w:val="1"/>
              </w:rPr>
              <w:t>处煤矿、合计产能</w:t>
            </w:r>
            <w:r>
              <w:rPr>
                <w:rFonts w:ascii="SimSun" w:hAnsi="SimSun" w:eastAsia="SimSun" w:cs="SimSun"/>
                <w:spacing w:val="-39"/>
              </w:rPr>
              <w:t xml:space="preserve"> </w:t>
            </w:r>
            <w:r>
              <w:rPr>
                <w:spacing w:val="1"/>
              </w:rPr>
              <w:t>930</w:t>
            </w:r>
            <w:r>
              <w:rPr>
                <w:rFonts w:ascii="SimSun" w:hAnsi="SimSun" w:eastAsia="SimSun" w:cs="SimSun"/>
                <w:spacing w:val="7"/>
              </w:rPr>
              <w:t>万吨</w:t>
            </w:r>
            <w:r>
              <w:rPr>
                <w:spacing w:val="7"/>
              </w:rPr>
              <w:t>/</w:t>
            </w:r>
            <w:r>
              <w:rPr>
                <w:rFonts w:ascii="SimSun" w:hAnsi="SimSun" w:eastAsia="SimSun" w:cs="SimSun"/>
                <w:spacing w:val="7"/>
              </w:rPr>
              <w:t>年</w:t>
            </w:r>
            <w:r>
              <w:rPr>
                <w:spacing w:val="7"/>
              </w:rPr>
              <w:t>.</w:t>
            </w:r>
          </w:p>
        </w:tc>
      </w:tr>
      <w:tr>
        <w:trPr>
          <w:trHeight w:val="3547" w:hRule="atLeast"/>
        </w:trPr>
        <w:tc>
          <w:tcPr>
            <w:tcW w:w="784" w:type="dxa"/>
            <w:vAlign w:val="top"/>
          </w:tcPr>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307"/>
              <w:spacing w:before="58" w:line="195" w:lineRule="auto"/>
              <w:rPr/>
            </w:pPr>
            <w:r>
              <w:rPr>
                <w:spacing w:val="-8"/>
              </w:rPr>
              <w:t>12</w:t>
            </w:r>
          </w:p>
        </w:tc>
        <w:tc>
          <w:tcPr>
            <w:tcW w:w="2728" w:type="dxa"/>
            <w:vAlign w:val="top"/>
          </w:tcPr>
          <w:p>
            <w:pPr>
              <w:spacing w:line="261" w:lineRule="auto"/>
              <w:rPr>
                <w:rFonts w:ascii="Arial"/>
                <w:sz w:val="21"/>
              </w:rPr>
            </w:pPr>
            <w:r/>
          </w:p>
          <w:p>
            <w:pPr>
              <w:spacing w:line="261" w:lineRule="auto"/>
              <w:rPr>
                <w:rFonts w:ascii="Arial"/>
                <w:sz w:val="21"/>
              </w:rPr>
            </w:pPr>
            <w:r/>
          </w:p>
          <w:p>
            <w:pPr>
              <w:spacing w:line="261" w:lineRule="auto"/>
              <w:rPr>
                <w:rFonts w:ascii="Arial"/>
                <w:sz w:val="21"/>
              </w:rPr>
            </w:pPr>
            <w:r/>
          </w:p>
          <w:p>
            <w:pPr>
              <w:spacing w:line="262" w:lineRule="auto"/>
              <w:rPr>
                <w:rFonts w:ascii="Arial"/>
                <w:sz w:val="21"/>
              </w:rPr>
            </w:pPr>
            <w:r/>
          </w:p>
          <w:p>
            <w:pPr>
              <w:ind w:left="112" w:right="108" w:firstLine="1"/>
              <w:spacing w:before="66" w:line="253" w:lineRule="auto"/>
              <w:jc w:val="both"/>
              <w:rPr>
                <w:rFonts w:ascii="SimSun" w:hAnsi="SimSun" w:eastAsia="SimSun" w:cs="SimSun"/>
                <w:sz w:val="20"/>
                <w:szCs w:val="20"/>
              </w:rPr>
            </w:pPr>
            <w:r>
              <w:rPr>
                <w:rFonts w:ascii="SimSun" w:hAnsi="SimSun" w:eastAsia="SimSun" w:cs="SimSun"/>
                <w:sz w:val="20"/>
                <w:szCs w:val="20"/>
                <w:spacing w:val="10"/>
              </w:rPr>
              <w:t>《</w:t>
            </w:r>
            <w:r>
              <w:rPr>
                <w:rFonts w:ascii="SimSun" w:hAnsi="SimSun" w:eastAsia="SimSun" w:cs="SimSun"/>
                <w:sz w:val="20"/>
                <w:szCs w:val="20"/>
                <w:spacing w:val="-23"/>
              </w:rPr>
              <w:t xml:space="preserve"> </w:t>
            </w:r>
            <w:r>
              <w:rPr>
                <w:rFonts w:ascii="SimSun" w:hAnsi="SimSun" w:eastAsia="SimSun" w:cs="SimSun"/>
                <w:sz w:val="20"/>
                <w:szCs w:val="20"/>
                <w:spacing w:val="10"/>
              </w:rPr>
              <w:t>内蒙古</w:t>
            </w:r>
            <w:r>
              <w:rPr>
                <w:rFonts w:ascii="SimSun" w:hAnsi="SimSun" w:eastAsia="SimSun" w:cs="SimSun"/>
                <w:sz w:val="20"/>
                <w:szCs w:val="20"/>
                <w:spacing w:val="-36"/>
              </w:rPr>
              <w:t xml:space="preserve"> </w:t>
            </w:r>
            <w:r>
              <w:rPr>
                <w:rFonts w:ascii="SimSun" w:hAnsi="SimSun" w:eastAsia="SimSun" w:cs="SimSun"/>
                <w:sz w:val="20"/>
                <w:szCs w:val="20"/>
                <w:spacing w:val="10"/>
              </w:rPr>
              <w:t>自治</w:t>
            </w:r>
            <w:r>
              <w:rPr>
                <w:rFonts w:ascii="SimSun" w:hAnsi="SimSun" w:eastAsia="SimSun" w:cs="SimSun"/>
                <w:sz w:val="20"/>
                <w:szCs w:val="20"/>
                <w:spacing w:val="-55"/>
              </w:rPr>
              <w:t xml:space="preserve"> </w:t>
            </w:r>
            <w:r>
              <w:rPr>
                <w:rFonts w:ascii="SimSun" w:hAnsi="SimSun" w:eastAsia="SimSun" w:cs="SimSun"/>
                <w:sz w:val="20"/>
                <w:szCs w:val="20"/>
                <w:spacing w:val="10"/>
              </w:rPr>
              <w:t>区生态环境</w:t>
            </w:r>
            <w:r>
              <w:rPr>
                <w:rFonts w:ascii="SimSun" w:hAnsi="SimSun" w:eastAsia="SimSun" w:cs="SimSun"/>
                <w:sz w:val="20"/>
                <w:szCs w:val="20"/>
                <w:spacing w:val="17"/>
              </w:rPr>
              <w:t>厅关于</w:t>
            </w:r>
            <w:r>
              <w:rPr>
                <w:rFonts w:ascii="SimSun" w:hAnsi="SimSun" w:eastAsia="SimSun" w:cs="SimSun"/>
                <w:sz w:val="20"/>
                <w:szCs w:val="20"/>
                <w:spacing w:val="-39"/>
              </w:rPr>
              <w:t xml:space="preserve"> </w:t>
            </w:r>
            <w:r>
              <w:rPr>
                <w:rFonts w:ascii="SimSun" w:hAnsi="SimSun" w:eastAsia="SimSun" w:cs="SimSun"/>
                <w:sz w:val="20"/>
                <w:szCs w:val="20"/>
                <w:spacing w:val="17"/>
              </w:rPr>
              <w:t>白音华</w:t>
            </w:r>
            <w:r>
              <w:rPr>
                <w:rFonts w:ascii="SimSun" w:hAnsi="SimSun" w:eastAsia="SimSun" w:cs="SimSun"/>
                <w:sz w:val="20"/>
                <w:szCs w:val="20"/>
                <w:spacing w:val="-50"/>
              </w:rPr>
              <w:t xml:space="preserve"> </w:t>
            </w:r>
            <w:r>
              <w:rPr>
                <w:rFonts w:ascii="SimSun" w:hAnsi="SimSun" w:eastAsia="SimSun" w:cs="SimSun"/>
                <w:sz w:val="20"/>
                <w:szCs w:val="20"/>
                <w:spacing w:val="17"/>
              </w:rPr>
              <w:t>四号露天矿</w:t>
            </w:r>
            <w:r>
              <w:rPr>
                <w:rFonts w:ascii="SimSun" w:hAnsi="SimSun" w:eastAsia="SimSun" w:cs="SimSun"/>
                <w:sz w:val="20"/>
                <w:szCs w:val="20"/>
                <w:spacing w:val="8"/>
              </w:rPr>
              <w:t>二期工程（井工矿）环境影</w:t>
            </w:r>
            <w:r>
              <w:rPr>
                <w:rFonts w:ascii="SimSun" w:hAnsi="SimSun" w:eastAsia="SimSun" w:cs="SimSun"/>
                <w:sz w:val="20"/>
                <w:szCs w:val="20"/>
                <w:spacing w:val="27"/>
              </w:rPr>
              <w:t>响后评价报告书相关事宜</w:t>
            </w:r>
            <w:r>
              <w:rPr>
                <w:rFonts w:ascii="SimSun" w:hAnsi="SimSun" w:eastAsia="SimSun" w:cs="SimSun"/>
                <w:sz w:val="20"/>
                <w:szCs w:val="20"/>
                <w:spacing w:val="4"/>
              </w:rPr>
              <w:t>的复函》</w:t>
            </w:r>
          </w:p>
        </w:tc>
        <w:tc>
          <w:tcPr>
            <w:tcW w:w="1238" w:type="dxa"/>
            <w:vAlign w:val="top"/>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226"/>
              <w:spacing w:before="65" w:line="228" w:lineRule="auto"/>
              <w:rPr>
                <w:rFonts w:ascii="SimSun" w:hAnsi="SimSun" w:eastAsia="SimSun" w:cs="SimSun"/>
                <w:sz w:val="20"/>
                <w:szCs w:val="20"/>
              </w:rPr>
            </w:pPr>
            <w:r>
              <w:rPr>
                <w:rFonts w:ascii="SimSun" w:hAnsi="SimSun" w:eastAsia="SimSun" w:cs="SimSun"/>
                <w:sz w:val="20"/>
                <w:szCs w:val="20"/>
                <w:spacing w:val="1"/>
              </w:rPr>
              <w:t>内蒙古自</w:t>
            </w:r>
          </w:p>
          <w:p>
            <w:pPr>
              <w:ind w:left="206"/>
              <w:spacing w:before="24" w:line="228" w:lineRule="auto"/>
              <w:rPr>
                <w:rFonts w:ascii="SimSun" w:hAnsi="SimSun" w:eastAsia="SimSun" w:cs="SimSun"/>
                <w:sz w:val="20"/>
                <w:szCs w:val="20"/>
              </w:rPr>
            </w:pPr>
            <w:r>
              <w:rPr>
                <w:rFonts w:ascii="SimSun" w:hAnsi="SimSun" w:eastAsia="SimSun" w:cs="SimSun"/>
                <w:sz w:val="20"/>
                <w:szCs w:val="20"/>
                <w:spacing w:val="6"/>
              </w:rPr>
              <w:t>治区环保</w:t>
            </w:r>
          </w:p>
          <w:p>
            <w:pPr>
              <w:ind w:left="519"/>
              <w:spacing w:before="21" w:line="231" w:lineRule="auto"/>
              <w:rPr>
                <w:rFonts w:ascii="SimSun" w:hAnsi="SimSun" w:eastAsia="SimSun" w:cs="SimSun"/>
                <w:sz w:val="20"/>
                <w:szCs w:val="20"/>
              </w:rPr>
            </w:pPr>
            <w:r>
              <w:rPr>
                <w:rFonts w:ascii="SimSun" w:hAnsi="SimSun" w:eastAsia="SimSun" w:cs="SimSun"/>
                <w:sz w:val="20"/>
                <w:szCs w:val="20"/>
              </w:rPr>
              <w:t>厅</w:t>
            </w:r>
          </w:p>
        </w:tc>
        <w:tc>
          <w:tcPr>
            <w:tcW w:w="1461" w:type="dxa"/>
            <w:vAlign w:val="top"/>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178"/>
              <w:spacing w:before="65" w:line="228" w:lineRule="auto"/>
              <w:rPr>
                <w:rFonts w:ascii="SimSun" w:hAnsi="SimSun" w:eastAsia="SimSun" w:cs="SimSun"/>
              </w:rPr>
            </w:pPr>
            <w:r>
              <w:rPr>
                <w:spacing w:val="3"/>
              </w:rPr>
              <w:t>2023 </w:t>
            </w:r>
            <w:r>
              <w:rPr>
                <w:rFonts w:ascii="SimSun" w:hAnsi="SimSun" w:eastAsia="SimSun" w:cs="SimSun"/>
                <w:spacing w:val="3"/>
              </w:rPr>
              <w:t>年</w:t>
            </w:r>
            <w:r>
              <w:rPr>
                <w:rFonts w:ascii="SimSun" w:hAnsi="SimSun" w:eastAsia="SimSun" w:cs="SimSun"/>
                <w:spacing w:val="-41"/>
              </w:rPr>
              <w:t xml:space="preserve"> </w:t>
            </w:r>
            <w:r>
              <w:rPr>
                <w:spacing w:val="3"/>
              </w:rPr>
              <w:t>2</w:t>
            </w:r>
            <w:r>
              <w:rPr>
                <w:spacing w:val="17"/>
                <w:w w:val="101"/>
              </w:rPr>
              <w:t xml:space="preserve"> </w:t>
            </w:r>
            <w:r>
              <w:rPr>
                <w:rFonts w:ascii="SimSun" w:hAnsi="SimSun" w:eastAsia="SimSun" w:cs="SimSun"/>
                <w:spacing w:val="3"/>
              </w:rPr>
              <w:t>月</w:t>
            </w:r>
          </w:p>
        </w:tc>
        <w:tc>
          <w:tcPr>
            <w:tcW w:w="2435" w:type="dxa"/>
            <w:vAlign w:val="top"/>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pStyle w:val="TableText"/>
              <w:ind w:left="275"/>
              <w:spacing w:before="65" w:line="228" w:lineRule="auto"/>
              <w:rPr>
                <w:rFonts w:ascii="SimSun" w:hAnsi="SimSun" w:eastAsia="SimSun" w:cs="SimSun"/>
              </w:rPr>
            </w:pPr>
            <w:r>
              <w:rPr>
                <w:rFonts w:ascii="SimSun" w:hAnsi="SimSun" w:eastAsia="SimSun" w:cs="SimSun"/>
                <w:spacing w:val="3"/>
              </w:rPr>
              <w:t>内环函〔</w:t>
            </w:r>
            <w:r>
              <w:rPr>
                <w:spacing w:val="3"/>
              </w:rPr>
              <w:t>2023</w:t>
            </w:r>
            <w:r>
              <w:rPr>
                <w:rFonts w:ascii="SimSun" w:hAnsi="SimSun" w:eastAsia="SimSun" w:cs="SimSun"/>
                <w:spacing w:val="3"/>
              </w:rPr>
              <w:t>〕</w:t>
            </w:r>
            <w:r>
              <w:rPr>
                <w:spacing w:val="3"/>
              </w:rPr>
              <w:t>90</w:t>
            </w:r>
            <w:r>
              <w:rPr>
                <w:spacing w:val="25"/>
                <w:w w:val="101"/>
              </w:rPr>
              <w:t xml:space="preserve"> </w:t>
            </w:r>
            <w:r>
              <w:rPr>
                <w:rFonts w:ascii="SimSun" w:hAnsi="SimSun" w:eastAsia="SimSun" w:cs="SimSun"/>
                <w:spacing w:val="3"/>
              </w:rPr>
              <w:t>号</w:t>
            </w:r>
          </w:p>
        </w:tc>
        <w:tc>
          <w:tcPr>
            <w:tcW w:w="5861" w:type="dxa"/>
            <w:vAlign w:val="top"/>
          </w:tcPr>
          <w:p>
            <w:pPr>
              <w:pStyle w:val="TableText"/>
              <w:ind w:left="110" w:right="44" w:firstLine="7"/>
              <w:spacing w:before="30" w:line="249" w:lineRule="auto"/>
              <w:jc w:val="both"/>
              <w:rPr>
                <w:rFonts w:ascii="SimSun" w:hAnsi="SimSun" w:eastAsia="SimSun" w:cs="SimSun"/>
              </w:rPr>
            </w:pPr>
            <w:r>
              <w:rPr>
                <w:rFonts w:ascii="SimSun" w:hAnsi="SimSun" w:eastAsia="SimSun" w:cs="SimSun"/>
                <w:spacing w:val="8"/>
              </w:rPr>
              <w:t>该项目位于锡林郭勒盟西乌珠穆沁旗白音华苏木。项目井田面</w:t>
            </w:r>
            <w:r>
              <w:rPr>
                <w:rFonts w:ascii="SimSun" w:hAnsi="SimSun" w:eastAsia="SimSun" w:cs="SimSun"/>
                <w:spacing w:val="3"/>
              </w:rPr>
              <w:t>积为</w:t>
            </w:r>
            <w:r>
              <w:rPr>
                <w:rFonts w:ascii="SimSun" w:hAnsi="SimSun" w:eastAsia="SimSun" w:cs="SimSun"/>
                <w:spacing w:val="-5"/>
              </w:rPr>
              <w:t xml:space="preserve"> </w:t>
            </w:r>
            <w:r>
              <w:rPr>
                <w:spacing w:val="3"/>
              </w:rPr>
              <w:t>15.77 </w:t>
            </w:r>
            <w:r>
              <w:rPr>
                <w:rFonts w:ascii="SimSun" w:hAnsi="SimSun" w:eastAsia="SimSun" w:cs="SimSun"/>
                <w:spacing w:val="3"/>
              </w:rPr>
              <w:t>平方公里，原生产规模</w:t>
            </w:r>
            <w:r>
              <w:rPr>
                <w:rFonts w:ascii="SimSun" w:hAnsi="SimSun" w:eastAsia="SimSun" w:cs="SimSun"/>
                <w:spacing w:val="-37"/>
              </w:rPr>
              <w:t xml:space="preserve"> </w:t>
            </w:r>
            <w:r>
              <w:rPr>
                <w:spacing w:val="3"/>
              </w:rPr>
              <w:t>500 </w:t>
            </w:r>
            <w:r>
              <w:rPr>
                <w:rFonts w:ascii="SimSun" w:hAnsi="SimSun" w:eastAsia="SimSun" w:cs="SimSun"/>
                <w:spacing w:val="3"/>
              </w:rPr>
              <w:t>万吨</w:t>
            </w:r>
            <w:r>
              <w:rPr>
                <w:spacing w:val="3"/>
              </w:rPr>
              <w:t>/</w:t>
            </w:r>
            <w:r>
              <w:rPr>
                <w:rFonts w:ascii="SimSun" w:hAnsi="SimSun" w:eastAsia="SimSun" w:cs="SimSun"/>
                <w:spacing w:val="3"/>
              </w:rPr>
              <w:t>年，采用斜</w:t>
            </w:r>
            <w:r>
              <w:rPr>
                <w:spacing w:val="3"/>
              </w:rPr>
              <w:t>-</w:t>
            </w:r>
            <w:r>
              <w:rPr>
                <w:rFonts w:ascii="SimSun" w:hAnsi="SimSun" w:eastAsia="SimSun" w:cs="SimSun"/>
                <w:spacing w:val="3"/>
              </w:rPr>
              <w:t>立井混</w:t>
            </w:r>
            <w:r>
              <w:rPr>
                <w:rFonts w:ascii="SimSun" w:hAnsi="SimSun" w:eastAsia="SimSun" w:cs="SimSun"/>
                <w:spacing w:val="8"/>
              </w:rPr>
              <w:t>合开拓、走向长壁采煤方法，配套同等规模选煤厂。原项目于</w:t>
            </w:r>
            <w:r>
              <w:rPr>
                <w:spacing w:val="1"/>
              </w:rPr>
              <w:t>2014 </w:t>
            </w:r>
            <w:r>
              <w:rPr>
                <w:rFonts w:ascii="SimSun" w:hAnsi="SimSun" w:eastAsia="SimSun" w:cs="SimSun"/>
                <w:spacing w:val="1"/>
              </w:rPr>
              <w:t>年</w:t>
            </w:r>
            <w:r>
              <w:rPr>
                <w:rFonts w:ascii="SimSun" w:hAnsi="SimSun" w:eastAsia="SimSun" w:cs="SimSun"/>
                <w:spacing w:val="-41"/>
              </w:rPr>
              <w:t xml:space="preserve"> </w:t>
            </w:r>
            <w:r>
              <w:rPr>
                <w:spacing w:val="1"/>
              </w:rPr>
              <w:t>2</w:t>
            </w:r>
            <w:r>
              <w:rPr>
                <w:spacing w:val="15"/>
              </w:rPr>
              <w:t xml:space="preserve"> </w:t>
            </w:r>
            <w:r>
              <w:rPr>
                <w:rFonts w:ascii="SimSun" w:hAnsi="SimSun" w:eastAsia="SimSun" w:cs="SimSun"/>
                <w:spacing w:val="1"/>
              </w:rPr>
              <w:t>月取得原自治区环境保护厅环评批复（内</w:t>
            </w:r>
            <w:r>
              <w:rPr>
                <w:rFonts w:ascii="SimSun" w:hAnsi="SimSun" w:eastAsia="SimSun" w:cs="SimSun"/>
              </w:rPr>
              <w:t>环审〔</w:t>
            </w:r>
            <w:r>
              <w:rPr/>
              <w:t>2014</w:t>
            </w:r>
            <w:r>
              <w:rPr>
                <w:rFonts w:ascii="SimSun" w:hAnsi="SimSun" w:eastAsia="SimSun" w:cs="SimSun"/>
              </w:rPr>
              <w:t>〕 </w:t>
            </w:r>
            <w:r>
              <w:rPr>
                <w:spacing w:val="4"/>
              </w:rPr>
              <w:t>35</w:t>
            </w:r>
            <w:r>
              <w:rPr>
                <w:spacing w:val="15"/>
              </w:rPr>
              <w:t xml:space="preserve"> </w:t>
            </w:r>
            <w:r>
              <w:rPr>
                <w:rFonts w:ascii="SimSun" w:hAnsi="SimSun" w:eastAsia="SimSun" w:cs="SimSun"/>
                <w:spacing w:val="4"/>
              </w:rPr>
              <w:t>号 </w:t>
            </w:r>
            <w:r>
              <w:rPr>
                <w:spacing w:val="4"/>
              </w:rPr>
              <w:t>)</w:t>
            </w:r>
            <w:r>
              <w:rPr>
                <w:rFonts w:ascii="SimSun" w:hAnsi="SimSun" w:eastAsia="SimSun" w:cs="SimSun"/>
                <w:spacing w:val="4"/>
              </w:rPr>
              <w:t>，</w:t>
            </w:r>
            <w:r>
              <w:rPr>
                <w:spacing w:val="4"/>
              </w:rPr>
              <w:t>2018 </w:t>
            </w:r>
            <w:r>
              <w:rPr>
                <w:rFonts w:ascii="SimSun" w:hAnsi="SimSun" w:eastAsia="SimSun" w:cs="SimSun"/>
                <w:spacing w:val="4"/>
              </w:rPr>
              <w:t>年</w:t>
            </w:r>
            <w:r>
              <w:rPr>
                <w:rFonts w:ascii="SimSun" w:hAnsi="SimSun" w:eastAsia="SimSun" w:cs="SimSun"/>
                <w:spacing w:val="-36"/>
              </w:rPr>
              <w:t xml:space="preserve"> </w:t>
            </w:r>
            <w:r>
              <w:rPr>
                <w:spacing w:val="4"/>
              </w:rPr>
              <w:t>6</w:t>
            </w:r>
            <w:r>
              <w:rPr>
                <w:spacing w:val="14"/>
                <w:w w:val="101"/>
              </w:rPr>
              <w:t xml:space="preserve"> </w:t>
            </w:r>
            <w:r>
              <w:rPr>
                <w:rFonts w:ascii="SimSun" w:hAnsi="SimSun" w:eastAsia="SimSun" w:cs="SimSun"/>
                <w:spacing w:val="4"/>
              </w:rPr>
              <w:t>月通过原锡林郭勒盟环境保护</w:t>
            </w:r>
            <w:r>
              <w:rPr>
                <w:rFonts w:ascii="SimSun" w:hAnsi="SimSun" w:eastAsia="SimSun" w:cs="SimSun"/>
                <w:spacing w:val="3"/>
              </w:rPr>
              <w:t>局固体废物污</w:t>
            </w:r>
            <w:r>
              <w:rPr>
                <w:rFonts w:ascii="SimSun" w:hAnsi="SimSun" w:eastAsia="SimSun" w:cs="SimSun"/>
                <w:spacing w:val="6"/>
              </w:rPr>
              <w:t>染防治设施竣工环境保护验收（锡环验〔</w:t>
            </w:r>
            <w:r>
              <w:rPr>
                <w:spacing w:val="6"/>
              </w:rPr>
              <w:t>2018</w:t>
            </w:r>
            <w:r>
              <w:rPr>
                <w:rFonts w:ascii="SimSun" w:hAnsi="SimSun" w:eastAsia="SimSun" w:cs="SimSun"/>
                <w:spacing w:val="6"/>
              </w:rPr>
              <w:t>〕</w:t>
            </w:r>
            <w:r>
              <w:rPr>
                <w:spacing w:val="6"/>
              </w:rPr>
              <w:t>2 </w:t>
            </w:r>
            <w:r>
              <w:rPr>
                <w:rFonts w:ascii="SimSun" w:hAnsi="SimSun" w:eastAsia="SimSun" w:cs="SimSun"/>
                <w:spacing w:val="6"/>
              </w:rPr>
              <w:t>号</w:t>
            </w:r>
            <w:r>
              <w:rPr>
                <w:rFonts w:ascii="SimSun" w:hAnsi="SimSun" w:eastAsia="SimSun" w:cs="SimSun"/>
                <w:spacing w:val="-6"/>
              </w:rPr>
              <w:t>）</w:t>
            </w:r>
            <w:r>
              <w:rPr>
                <w:rFonts w:ascii="SimSun" w:hAnsi="SimSun" w:eastAsia="SimSun" w:cs="SimSun"/>
                <w:spacing w:val="26"/>
              </w:rPr>
              <w:t xml:space="preserve"> </w:t>
            </w:r>
            <w:r>
              <w:rPr>
                <w:rFonts w:ascii="SimSun" w:hAnsi="SimSun" w:eastAsia="SimSun" w:cs="SimSun"/>
                <w:spacing w:val="-6"/>
              </w:rPr>
              <w:t>，</w:t>
            </w:r>
            <w:r>
              <w:rPr>
                <w:rFonts w:ascii="SimSun" w:hAnsi="SimSun" w:eastAsia="SimSun" w:cs="SimSun"/>
                <w:spacing w:val="6"/>
              </w:rPr>
              <w:t>其他</w:t>
            </w:r>
            <w:r>
              <w:rPr>
                <w:rFonts w:ascii="SimSun" w:hAnsi="SimSun" w:eastAsia="SimSun" w:cs="SimSun"/>
                <w:spacing w:val="8"/>
              </w:rPr>
              <w:t>污染防治设施已由你单位自主完成竣工环境保护验收。</w:t>
            </w:r>
            <w:r>
              <w:rPr>
                <w:rFonts w:ascii="SimSun" w:hAnsi="SimSun" w:eastAsia="SimSun" w:cs="SimSun"/>
                <w:spacing w:val="-37"/>
              </w:rPr>
              <w:t xml:space="preserve"> </w:t>
            </w:r>
            <w:r>
              <w:rPr>
                <w:rFonts w:ascii="SimSun" w:hAnsi="SimSun" w:eastAsia="SimSun" w:cs="SimSun"/>
                <w:spacing w:val="8"/>
              </w:rPr>
              <w:t>目前，</w:t>
            </w:r>
            <w:r>
              <w:rPr>
                <w:rFonts w:ascii="SimSun" w:hAnsi="SimSun" w:eastAsia="SimSun" w:cs="SimSun"/>
                <w:spacing w:val="11"/>
              </w:rPr>
              <w:t>该项目实际生产能力由</w:t>
            </w:r>
            <w:r>
              <w:rPr>
                <w:spacing w:val="11"/>
              </w:rPr>
              <w:t>500 </w:t>
            </w:r>
            <w:r>
              <w:rPr>
                <w:rFonts w:ascii="SimSun" w:hAnsi="SimSun" w:eastAsia="SimSun" w:cs="SimSun"/>
                <w:spacing w:val="11"/>
              </w:rPr>
              <w:t>万吨</w:t>
            </w:r>
            <w:r>
              <w:rPr>
                <w:spacing w:val="11"/>
              </w:rPr>
              <w:t>/</w:t>
            </w:r>
            <w:r>
              <w:rPr>
                <w:rFonts w:ascii="SimSun" w:hAnsi="SimSun" w:eastAsia="SimSun" w:cs="SimSun"/>
                <w:spacing w:val="11"/>
              </w:rPr>
              <w:t>年增至</w:t>
            </w:r>
            <w:r>
              <w:rPr>
                <w:rFonts w:ascii="SimSun" w:hAnsi="SimSun" w:eastAsia="SimSun" w:cs="SimSun"/>
                <w:spacing w:val="-32"/>
              </w:rPr>
              <w:t xml:space="preserve"> </w:t>
            </w:r>
            <w:r>
              <w:rPr>
                <w:spacing w:val="11"/>
              </w:rPr>
              <w:t>800</w:t>
            </w:r>
            <w:r>
              <w:rPr>
                <w:spacing w:val="17"/>
              </w:rPr>
              <w:t xml:space="preserve"> </w:t>
            </w:r>
            <w:r>
              <w:rPr>
                <w:rFonts w:ascii="SimSun" w:hAnsi="SimSun" w:eastAsia="SimSun" w:cs="SimSun"/>
                <w:spacing w:val="11"/>
              </w:rPr>
              <w:t>万吨</w:t>
            </w:r>
            <w:r>
              <w:rPr>
                <w:spacing w:val="11"/>
              </w:rPr>
              <w:t>/</w:t>
            </w:r>
            <w:r>
              <w:rPr>
                <w:rFonts w:ascii="SimSun" w:hAnsi="SimSun" w:eastAsia="SimSun" w:cs="SimSun"/>
                <w:spacing w:val="10"/>
              </w:rPr>
              <w:t>年，已取得</w:t>
            </w:r>
            <w:r>
              <w:rPr>
                <w:rFonts w:ascii="SimSun" w:hAnsi="SimSun" w:eastAsia="SimSun" w:cs="SimSun"/>
                <w:spacing w:val="16"/>
              </w:rPr>
              <w:t>国家发展改革委及自治区能源局关于本项目产能置换方案及</w:t>
            </w:r>
            <w:r>
              <w:rPr>
                <w:rFonts w:ascii="SimSun" w:hAnsi="SimSun" w:eastAsia="SimSun" w:cs="SimSun"/>
                <w:spacing w:val="5"/>
              </w:rPr>
              <w:t>核定生产能力的同意文件（发改办运行〔</w:t>
            </w:r>
            <w:r>
              <w:rPr>
                <w:spacing w:val="5"/>
              </w:rPr>
              <w:t>2019</w:t>
            </w:r>
            <w:r>
              <w:rPr>
                <w:rFonts w:ascii="SimSun" w:hAnsi="SimSun" w:eastAsia="SimSun" w:cs="SimSun"/>
                <w:spacing w:val="5"/>
              </w:rPr>
              <w:t>〕</w:t>
            </w:r>
            <w:r>
              <w:rPr>
                <w:spacing w:val="5"/>
              </w:rPr>
              <w:t>1130</w:t>
            </w:r>
            <w:r>
              <w:rPr>
                <w:spacing w:val="27"/>
              </w:rPr>
              <w:t xml:space="preserve"> </w:t>
            </w:r>
            <w:r>
              <w:rPr>
                <w:rFonts w:ascii="SimSun" w:hAnsi="SimSun" w:eastAsia="SimSun" w:cs="SimSun"/>
                <w:spacing w:val="5"/>
              </w:rPr>
              <w:t>号、内能</w:t>
            </w:r>
            <w:r>
              <w:rPr>
                <w:rFonts w:ascii="SimSun" w:hAnsi="SimSun" w:eastAsia="SimSun" w:cs="SimSun"/>
                <w:spacing w:val="7"/>
              </w:rPr>
              <w:t>煤运函字〔</w:t>
            </w:r>
            <w:r>
              <w:rPr>
                <w:spacing w:val="7"/>
              </w:rPr>
              <w:t>2021 ]1107 </w:t>
            </w:r>
            <w:r>
              <w:rPr>
                <w:rFonts w:ascii="SimSun" w:hAnsi="SimSun" w:eastAsia="SimSun" w:cs="SimSun"/>
                <w:spacing w:val="7"/>
              </w:rPr>
              <w:t>号）</w:t>
            </w:r>
            <w:r>
              <w:rPr>
                <w:rFonts w:ascii="SimSun" w:hAnsi="SimSun" w:eastAsia="SimSun" w:cs="SimSun"/>
                <w:spacing w:val="-58"/>
              </w:rPr>
              <w:t xml:space="preserve"> </w:t>
            </w:r>
            <w:r>
              <w:rPr>
                <w:rFonts w:ascii="SimSun" w:hAnsi="SimSun" w:eastAsia="SimSun" w:cs="SimSun"/>
                <w:spacing w:val="7"/>
              </w:rPr>
              <w:t>。产能增加</w:t>
            </w:r>
            <w:r>
              <w:rPr>
                <w:rFonts w:ascii="SimSun" w:hAnsi="SimSun" w:eastAsia="SimSun" w:cs="SimSun"/>
                <w:spacing w:val="6"/>
              </w:rPr>
              <w:t>后项目井田面积、开拓</w:t>
            </w:r>
            <w:r>
              <w:rPr>
                <w:rFonts w:ascii="SimSun" w:hAnsi="SimSun" w:eastAsia="SimSun" w:cs="SimSun"/>
                <w:spacing w:val="8"/>
              </w:rPr>
              <w:t>方式、采煤工艺等均不发生变化，采出原煤由配套同等规模选</w:t>
            </w:r>
            <w:r>
              <w:rPr>
                <w:rFonts w:ascii="SimSun" w:hAnsi="SimSun" w:eastAsia="SimSun" w:cs="SimSun"/>
                <w:spacing w:val="7"/>
              </w:rPr>
              <w:t>煤厂进行处理。项目剩余服务年限约</w:t>
            </w:r>
            <w:r>
              <w:rPr>
                <w:rFonts w:ascii="SimSun" w:hAnsi="SimSun" w:eastAsia="SimSun" w:cs="SimSun"/>
                <w:spacing w:val="-29"/>
              </w:rPr>
              <w:t xml:space="preserve"> </w:t>
            </w:r>
            <w:r>
              <w:rPr>
                <w:spacing w:val="7"/>
              </w:rPr>
              <w:t>33.63 </w:t>
            </w:r>
            <w:r>
              <w:rPr>
                <w:rFonts w:ascii="SimSun" w:hAnsi="SimSun" w:eastAsia="SimSun" w:cs="SimSun"/>
                <w:spacing w:val="7"/>
              </w:rPr>
              <w:t>年。</w:t>
            </w:r>
          </w:p>
        </w:tc>
      </w:tr>
    </w:tbl>
    <w:p>
      <w:pPr>
        <w:pStyle w:val="BodyText"/>
        <w:rPr/>
      </w:pPr>
      <w:r/>
    </w:p>
    <w:p>
      <w:pPr>
        <w:sectPr>
          <w:footerReference w:type="default" r:id="rId83"/>
          <w:pgSz w:w="16838" w:h="11906"/>
          <w:pgMar w:top="1169" w:right="1305" w:bottom="1080" w:left="1020" w:header="836" w:footer="917" w:gutter="0"/>
        </w:sectPr>
        <w:rPr/>
      </w:pPr>
    </w:p>
    <w:p>
      <w:pPr>
        <w:pStyle w:val="BodyText"/>
        <w:spacing w:line="440" w:lineRule="auto"/>
        <w:rPr/>
      </w:pPr>
      <w:r/>
    </w:p>
    <w:p>
      <w:pPr>
        <w:ind w:left="3216"/>
        <w:spacing w:before="78" w:line="222" w:lineRule="auto"/>
        <w:rPr>
          <w:rFonts w:ascii="SimHei" w:hAnsi="SimHei" w:eastAsia="SimHei" w:cs="SimHei"/>
          <w:sz w:val="24"/>
          <w:szCs w:val="24"/>
        </w:rPr>
      </w:pPr>
      <w:r>
        <w:rPr>
          <w:rFonts w:ascii="SimHei" w:hAnsi="SimHei" w:eastAsia="SimHei" w:cs="SimHei"/>
          <w:sz w:val="24"/>
          <w:szCs w:val="24"/>
          <w:spacing w:val="-1"/>
        </w:rPr>
        <w:t>本项目相关环保手续一览表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3-1-2</w:t>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1"/>
        <w:gridCol w:w="2324"/>
        <w:gridCol w:w="1444"/>
        <w:gridCol w:w="1459"/>
        <w:gridCol w:w="1698"/>
        <w:gridCol w:w="1437"/>
      </w:tblGrid>
      <w:tr>
        <w:trPr>
          <w:trHeight w:val="283" w:hRule="atLeast"/>
        </w:trPr>
        <w:tc>
          <w:tcPr>
            <w:tcW w:w="921" w:type="dxa"/>
            <w:vAlign w:val="top"/>
          </w:tcPr>
          <w:p>
            <w:pPr>
              <w:ind w:left="254"/>
              <w:spacing w:before="33" w:line="221" w:lineRule="auto"/>
              <w:rPr>
                <w:rFonts w:ascii="SimSun" w:hAnsi="SimSun" w:eastAsia="SimSun" w:cs="SimSun"/>
                <w:sz w:val="20"/>
                <w:szCs w:val="20"/>
              </w:rPr>
            </w:pPr>
            <w:r>
              <w:rPr>
                <w:rFonts w:ascii="SimSun" w:hAnsi="SimSun" w:eastAsia="SimSun" w:cs="SimSun"/>
                <w:sz w:val="20"/>
                <w:szCs w:val="20"/>
                <w:spacing w:val="5"/>
              </w:rPr>
              <w:t>序号</w:t>
            </w:r>
          </w:p>
        </w:tc>
        <w:tc>
          <w:tcPr>
            <w:tcW w:w="2324" w:type="dxa"/>
            <w:vAlign w:val="top"/>
          </w:tcPr>
          <w:p>
            <w:pPr>
              <w:ind w:left="747"/>
              <w:spacing w:before="33" w:line="221" w:lineRule="auto"/>
              <w:rPr>
                <w:rFonts w:ascii="SimSun" w:hAnsi="SimSun" w:eastAsia="SimSun" w:cs="SimSun"/>
                <w:sz w:val="20"/>
                <w:szCs w:val="20"/>
              </w:rPr>
            </w:pPr>
            <w:r>
              <w:rPr>
                <w:rFonts w:ascii="SimSun" w:hAnsi="SimSun" w:eastAsia="SimSun" w:cs="SimSun"/>
                <w:sz w:val="20"/>
                <w:szCs w:val="20"/>
                <w:spacing w:val="6"/>
              </w:rPr>
              <w:t>文件名称</w:t>
            </w:r>
          </w:p>
        </w:tc>
        <w:tc>
          <w:tcPr>
            <w:tcW w:w="1444" w:type="dxa"/>
            <w:vAlign w:val="top"/>
          </w:tcPr>
          <w:p>
            <w:pPr>
              <w:ind w:left="318"/>
              <w:spacing w:before="33" w:line="221" w:lineRule="auto"/>
              <w:rPr>
                <w:rFonts w:ascii="SimSun" w:hAnsi="SimSun" w:eastAsia="SimSun" w:cs="SimSun"/>
                <w:sz w:val="20"/>
                <w:szCs w:val="20"/>
              </w:rPr>
            </w:pPr>
            <w:r>
              <w:rPr>
                <w:rFonts w:ascii="SimSun" w:hAnsi="SimSun" w:eastAsia="SimSun" w:cs="SimSun"/>
                <w:sz w:val="20"/>
                <w:szCs w:val="20"/>
                <w:spacing w:val="4"/>
              </w:rPr>
              <w:t>审批部门</w:t>
            </w:r>
          </w:p>
        </w:tc>
        <w:tc>
          <w:tcPr>
            <w:tcW w:w="1459" w:type="dxa"/>
            <w:vAlign w:val="top"/>
          </w:tcPr>
          <w:p>
            <w:pPr>
              <w:ind w:left="324"/>
              <w:spacing w:before="33" w:line="221" w:lineRule="auto"/>
              <w:rPr>
                <w:rFonts w:ascii="SimSun" w:hAnsi="SimSun" w:eastAsia="SimSun" w:cs="SimSun"/>
                <w:sz w:val="20"/>
                <w:szCs w:val="20"/>
              </w:rPr>
            </w:pPr>
            <w:r>
              <w:rPr>
                <w:rFonts w:ascii="SimSun" w:hAnsi="SimSun" w:eastAsia="SimSun" w:cs="SimSun"/>
                <w:sz w:val="20"/>
                <w:szCs w:val="20"/>
                <w:spacing w:val="4"/>
              </w:rPr>
              <w:t>审批时间</w:t>
            </w:r>
          </w:p>
        </w:tc>
        <w:tc>
          <w:tcPr>
            <w:tcW w:w="1698" w:type="dxa"/>
            <w:vAlign w:val="top"/>
          </w:tcPr>
          <w:p>
            <w:pPr>
              <w:ind w:left="444"/>
              <w:spacing w:before="33" w:line="221" w:lineRule="auto"/>
              <w:rPr>
                <w:rFonts w:ascii="SimSun" w:hAnsi="SimSun" w:eastAsia="SimSun" w:cs="SimSun"/>
                <w:sz w:val="20"/>
                <w:szCs w:val="20"/>
              </w:rPr>
            </w:pPr>
            <w:r>
              <w:rPr>
                <w:rFonts w:ascii="SimSun" w:hAnsi="SimSun" w:eastAsia="SimSun" w:cs="SimSun"/>
                <w:sz w:val="20"/>
                <w:szCs w:val="20"/>
                <w:spacing w:val="4"/>
              </w:rPr>
              <w:t>审批文号</w:t>
            </w:r>
          </w:p>
        </w:tc>
        <w:tc>
          <w:tcPr>
            <w:tcW w:w="1437" w:type="dxa"/>
            <w:vAlign w:val="top"/>
          </w:tcPr>
          <w:p>
            <w:pPr>
              <w:ind w:left="306"/>
              <w:spacing w:before="33" w:line="221" w:lineRule="auto"/>
              <w:rPr>
                <w:rFonts w:ascii="SimSun" w:hAnsi="SimSun" w:eastAsia="SimSun" w:cs="SimSun"/>
                <w:sz w:val="20"/>
                <w:szCs w:val="20"/>
              </w:rPr>
            </w:pPr>
            <w:r>
              <w:rPr>
                <w:rFonts w:ascii="SimSun" w:hAnsi="SimSun" w:eastAsia="SimSun" w:cs="SimSun"/>
                <w:sz w:val="20"/>
                <w:szCs w:val="20"/>
                <w:spacing w:val="6"/>
              </w:rPr>
              <w:t>项目规模</w:t>
            </w:r>
          </w:p>
        </w:tc>
      </w:tr>
      <w:tr>
        <w:trPr>
          <w:trHeight w:val="1091" w:hRule="atLeast"/>
        </w:trPr>
        <w:tc>
          <w:tcPr>
            <w:tcW w:w="921" w:type="dxa"/>
            <w:vAlign w:val="top"/>
          </w:tcPr>
          <w:p>
            <w:pPr>
              <w:spacing w:line="410" w:lineRule="auto"/>
              <w:rPr>
                <w:rFonts w:ascii="Arial"/>
                <w:sz w:val="21"/>
              </w:rPr>
            </w:pPr>
            <w:r/>
          </w:p>
          <w:p>
            <w:pPr>
              <w:pStyle w:val="TableText"/>
              <w:ind w:left="429"/>
              <w:spacing w:before="58" w:line="195" w:lineRule="auto"/>
              <w:rPr/>
            </w:pPr>
            <w:r>
              <w:rPr/>
              <w:t>1</w:t>
            </w:r>
          </w:p>
        </w:tc>
        <w:tc>
          <w:tcPr>
            <w:tcW w:w="2324" w:type="dxa"/>
            <w:vAlign w:val="top"/>
          </w:tcPr>
          <w:p>
            <w:pPr>
              <w:ind w:left="110" w:right="108" w:firstLine="4"/>
              <w:spacing w:before="27" w:line="243" w:lineRule="auto"/>
              <w:jc w:val="both"/>
              <w:rPr>
                <w:rFonts w:ascii="SimSun" w:hAnsi="SimSun" w:eastAsia="SimSun" w:cs="SimSun"/>
                <w:sz w:val="20"/>
                <w:szCs w:val="20"/>
              </w:rPr>
            </w:pPr>
            <w:r>
              <w:rPr>
                <w:rFonts w:ascii="SimSun" w:hAnsi="SimSun" w:eastAsia="SimSun" w:cs="SimSun"/>
                <w:sz w:val="20"/>
                <w:szCs w:val="20"/>
                <w:spacing w:val="9"/>
              </w:rPr>
              <w:t>关于内蒙古海州露天能</w:t>
            </w:r>
            <w:r>
              <w:rPr>
                <w:rFonts w:ascii="SimSun" w:hAnsi="SimSun" w:eastAsia="SimSun" w:cs="SimSun"/>
                <w:sz w:val="20"/>
                <w:szCs w:val="20"/>
                <w:spacing w:val="10"/>
              </w:rPr>
              <w:t>源有限公司白音华四号</w:t>
            </w:r>
            <w:r>
              <w:rPr>
                <w:rFonts w:ascii="SimSun" w:hAnsi="SimSun" w:eastAsia="SimSun" w:cs="SimSun"/>
                <w:sz w:val="20"/>
                <w:szCs w:val="20"/>
                <w:spacing w:val="10"/>
              </w:rPr>
              <w:t>露天矿项目环境影响报</w:t>
            </w:r>
            <w:r>
              <w:rPr>
                <w:rFonts w:ascii="SimSun" w:hAnsi="SimSun" w:eastAsia="SimSun" w:cs="SimSun"/>
                <w:sz w:val="20"/>
                <w:szCs w:val="20"/>
                <w:spacing w:val="7"/>
              </w:rPr>
              <w:t>告的批复</w:t>
            </w:r>
          </w:p>
        </w:tc>
        <w:tc>
          <w:tcPr>
            <w:tcW w:w="1444" w:type="dxa"/>
            <w:vAlign w:val="top"/>
          </w:tcPr>
          <w:p>
            <w:pPr>
              <w:ind w:left="413" w:right="195" w:hanging="191"/>
              <w:spacing w:before="300" w:line="252" w:lineRule="auto"/>
              <w:rPr>
                <w:rFonts w:ascii="SimSun" w:hAnsi="SimSun" w:eastAsia="SimSun" w:cs="SimSun"/>
                <w:sz w:val="20"/>
                <w:szCs w:val="20"/>
              </w:rPr>
            </w:pPr>
            <w:r>
              <w:rPr>
                <w:rFonts w:ascii="SimSun" w:hAnsi="SimSun" w:eastAsia="SimSun" w:cs="SimSun"/>
                <w:sz w:val="20"/>
                <w:szCs w:val="20"/>
                <w:spacing w:val="4"/>
              </w:rPr>
              <w:t>国家环境保</w:t>
            </w:r>
            <w:r>
              <w:rPr>
                <w:rFonts w:ascii="SimSun" w:hAnsi="SimSun" w:eastAsia="SimSun" w:cs="SimSun"/>
                <w:sz w:val="20"/>
                <w:szCs w:val="20"/>
                <w:spacing w:val="6"/>
              </w:rPr>
              <w:t>护总局</w:t>
            </w:r>
          </w:p>
        </w:tc>
        <w:tc>
          <w:tcPr>
            <w:tcW w:w="1459" w:type="dxa"/>
            <w:vAlign w:val="top"/>
          </w:tcPr>
          <w:p>
            <w:pPr>
              <w:spacing w:line="367" w:lineRule="auto"/>
              <w:rPr>
                <w:rFonts w:ascii="Arial"/>
                <w:sz w:val="21"/>
              </w:rPr>
            </w:pPr>
            <w:r/>
          </w:p>
          <w:p>
            <w:pPr>
              <w:pStyle w:val="TableText"/>
              <w:ind w:left="179"/>
              <w:spacing w:before="65" w:line="228" w:lineRule="auto"/>
              <w:rPr>
                <w:rFonts w:ascii="SimSun" w:hAnsi="SimSun" w:eastAsia="SimSun" w:cs="SimSun"/>
              </w:rPr>
            </w:pPr>
            <w:r>
              <w:rPr>
                <w:spacing w:val="2"/>
              </w:rPr>
              <w:t>2006</w:t>
            </w:r>
            <w:r>
              <w:rPr>
                <w:spacing w:val="12"/>
                <w:w w:val="101"/>
              </w:rPr>
              <w:t xml:space="preserve"> </w:t>
            </w:r>
            <w:r>
              <w:rPr>
                <w:rFonts w:ascii="SimSun" w:hAnsi="SimSun" w:eastAsia="SimSun" w:cs="SimSun"/>
                <w:spacing w:val="2"/>
              </w:rPr>
              <w:t>年</w:t>
            </w:r>
            <w:r>
              <w:rPr>
                <w:rFonts w:ascii="SimSun" w:hAnsi="SimSun" w:eastAsia="SimSun" w:cs="SimSun"/>
                <w:spacing w:val="-43"/>
              </w:rPr>
              <w:t xml:space="preserve"> </w:t>
            </w:r>
            <w:r>
              <w:rPr>
                <w:spacing w:val="2"/>
              </w:rPr>
              <w:t>2</w:t>
            </w:r>
            <w:r>
              <w:rPr>
                <w:spacing w:val="17"/>
              </w:rPr>
              <w:t xml:space="preserve"> </w:t>
            </w:r>
            <w:r>
              <w:rPr>
                <w:rFonts w:ascii="SimSun" w:hAnsi="SimSun" w:eastAsia="SimSun" w:cs="SimSun"/>
                <w:spacing w:val="2"/>
              </w:rPr>
              <w:t>月</w:t>
            </w:r>
          </w:p>
        </w:tc>
        <w:tc>
          <w:tcPr>
            <w:tcW w:w="1698" w:type="dxa"/>
            <w:vAlign w:val="top"/>
          </w:tcPr>
          <w:p>
            <w:pPr>
              <w:pStyle w:val="TableText"/>
              <w:ind w:left="755" w:right="119" w:hanging="641"/>
              <w:spacing w:before="301" w:line="252" w:lineRule="auto"/>
              <w:rPr>
                <w:rFonts w:ascii="SimSun" w:hAnsi="SimSun" w:eastAsia="SimSun" w:cs="SimSun"/>
              </w:rPr>
            </w:pPr>
            <w:r>
              <w:rPr>
                <w:rFonts w:ascii="SimSun" w:hAnsi="SimSun" w:eastAsia="SimSun" w:cs="SimSun"/>
                <w:spacing w:val="5"/>
              </w:rPr>
              <w:t>环审〔</w:t>
            </w:r>
            <w:r>
              <w:rPr>
                <w:spacing w:val="5"/>
              </w:rPr>
              <w:t>2006</w:t>
            </w:r>
            <w:r>
              <w:rPr>
                <w:rFonts w:ascii="SimSun" w:hAnsi="SimSun" w:eastAsia="SimSun" w:cs="SimSun"/>
                <w:spacing w:val="5"/>
              </w:rPr>
              <w:t>〕</w:t>
            </w:r>
            <w:r>
              <w:rPr>
                <w:spacing w:val="5"/>
              </w:rPr>
              <w:t>78</w:t>
            </w:r>
            <w:r>
              <w:rPr>
                <w:rFonts w:ascii="SimSun" w:hAnsi="SimSun" w:eastAsia="SimSun" w:cs="SimSun"/>
              </w:rPr>
              <w:t>号</w:t>
            </w:r>
          </w:p>
        </w:tc>
        <w:tc>
          <w:tcPr>
            <w:tcW w:w="1437" w:type="dxa"/>
            <w:vAlign w:val="top"/>
          </w:tcPr>
          <w:p>
            <w:pPr>
              <w:spacing w:line="367" w:lineRule="auto"/>
              <w:rPr>
                <w:rFonts w:ascii="Arial"/>
                <w:sz w:val="21"/>
              </w:rPr>
            </w:pPr>
            <w:r/>
          </w:p>
          <w:p>
            <w:pPr>
              <w:pStyle w:val="TableText"/>
              <w:ind w:left="196"/>
              <w:spacing w:before="65" w:line="228" w:lineRule="auto"/>
              <w:rPr>
                <w:rFonts w:ascii="SimSun" w:hAnsi="SimSun" w:eastAsia="SimSun" w:cs="SimSun"/>
              </w:rPr>
            </w:pPr>
            <w:r>
              <w:rPr>
                <w:spacing w:val="3"/>
              </w:rPr>
              <w:t>500</w:t>
            </w:r>
            <w:r>
              <w:rPr>
                <w:spacing w:val="16"/>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1094" w:hRule="atLeast"/>
        </w:trPr>
        <w:tc>
          <w:tcPr>
            <w:tcW w:w="921" w:type="dxa"/>
            <w:vAlign w:val="top"/>
          </w:tcPr>
          <w:p>
            <w:pPr>
              <w:spacing w:line="416" w:lineRule="auto"/>
              <w:rPr>
                <w:rFonts w:ascii="Arial"/>
                <w:sz w:val="21"/>
              </w:rPr>
            </w:pPr>
            <w:r/>
          </w:p>
          <w:p>
            <w:pPr>
              <w:pStyle w:val="TableText"/>
              <w:ind w:left="409"/>
              <w:spacing w:before="57" w:line="195" w:lineRule="auto"/>
              <w:rPr/>
            </w:pPr>
            <w:r>
              <w:rPr/>
              <w:t>2</w:t>
            </w:r>
          </w:p>
        </w:tc>
        <w:tc>
          <w:tcPr>
            <w:tcW w:w="2324" w:type="dxa"/>
            <w:vAlign w:val="top"/>
          </w:tcPr>
          <w:p>
            <w:pPr>
              <w:ind w:left="110" w:right="108" w:firstLine="4"/>
              <w:spacing w:before="31" w:line="243" w:lineRule="auto"/>
              <w:jc w:val="both"/>
              <w:rPr>
                <w:rFonts w:ascii="SimSun" w:hAnsi="SimSun" w:eastAsia="SimSun" w:cs="SimSun"/>
                <w:sz w:val="20"/>
                <w:szCs w:val="20"/>
              </w:rPr>
            </w:pPr>
            <w:r>
              <w:rPr>
                <w:rFonts w:ascii="SimSun" w:hAnsi="SimSun" w:eastAsia="SimSun" w:cs="SimSun"/>
                <w:sz w:val="20"/>
                <w:szCs w:val="20"/>
                <w:spacing w:val="9"/>
              </w:rPr>
              <w:t>关于内蒙古海州露天能</w:t>
            </w:r>
            <w:r>
              <w:rPr>
                <w:rFonts w:ascii="SimSun" w:hAnsi="SimSun" w:eastAsia="SimSun" w:cs="SimSun"/>
                <w:sz w:val="20"/>
                <w:szCs w:val="20"/>
                <w:spacing w:val="10"/>
              </w:rPr>
              <w:t>源有限责任公司白音华</w:t>
            </w:r>
            <w:r>
              <w:rPr>
                <w:rFonts w:ascii="SimSun" w:hAnsi="SimSun" w:eastAsia="SimSun" w:cs="SimSun"/>
                <w:sz w:val="20"/>
                <w:szCs w:val="20"/>
                <w:spacing w:val="10"/>
              </w:rPr>
              <w:t>四号露天矿竣工环境保</w:t>
            </w:r>
            <w:r>
              <w:rPr>
                <w:rFonts w:ascii="SimSun" w:hAnsi="SimSun" w:eastAsia="SimSun" w:cs="SimSun"/>
                <w:sz w:val="20"/>
                <w:szCs w:val="20"/>
                <w:spacing w:val="8"/>
              </w:rPr>
              <w:t>护验收合格的函</w:t>
            </w:r>
          </w:p>
        </w:tc>
        <w:tc>
          <w:tcPr>
            <w:tcW w:w="1444" w:type="dxa"/>
            <w:vAlign w:val="top"/>
          </w:tcPr>
          <w:p>
            <w:pPr>
              <w:spacing w:line="372" w:lineRule="auto"/>
              <w:rPr>
                <w:rFonts w:ascii="Arial"/>
                <w:sz w:val="21"/>
              </w:rPr>
            </w:pPr>
            <w:r/>
          </w:p>
          <w:p>
            <w:pPr>
              <w:ind w:left="202"/>
              <w:spacing w:before="65" w:line="228" w:lineRule="auto"/>
              <w:rPr>
                <w:rFonts w:ascii="SimSun" w:hAnsi="SimSun" w:eastAsia="SimSun" w:cs="SimSun"/>
                <w:sz w:val="20"/>
                <w:szCs w:val="20"/>
              </w:rPr>
            </w:pPr>
            <w:r>
              <w:rPr>
                <w:rFonts w:ascii="SimSun" w:hAnsi="SimSun" w:eastAsia="SimSun" w:cs="SimSun"/>
                <w:sz w:val="20"/>
                <w:szCs w:val="20"/>
                <w:spacing w:val="8"/>
              </w:rPr>
              <w:t>环境保护部</w:t>
            </w:r>
          </w:p>
        </w:tc>
        <w:tc>
          <w:tcPr>
            <w:tcW w:w="1459" w:type="dxa"/>
            <w:vAlign w:val="top"/>
          </w:tcPr>
          <w:p>
            <w:pPr>
              <w:spacing w:line="372" w:lineRule="auto"/>
              <w:rPr>
                <w:rFonts w:ascii="Arial"/>
                <w:sz w:val="21"/>
              </w:rPr>
            </w:pPr>
            <w:r/>
          </w:p>
          <w:p>
            <w:pPr>
              <w:pStyle w:val="TableText"/>
              <w:ind w:left="179"/>
              <w:spacing w:before="65" w:line="228" w:lineRule="auto"/>
              <w:rPr>
                <w:rFonts w:ascii="SimSun" w:hAnsi="SimSun" w:eastAsia="SimSun" w:cs="SimSun"/>
              </w:rPr>
            </w:pPr>
            <w:r>
              <w:rPr>
                <w:spacing w:val="1"/>
              </w:rPr>
              <w:t>2015</w:t>
            </w:r>
            <w:r>
              <w:rPr>
                <w:spacing w:val="15"/>
                <w:w w:val="101"/>
              </w:rPr>
              <w:t xml:space="preserve"> </w:t>
            </w:r>
            <w:r>
              <w:rPr>
                <w:rFonts w:ascii="SimSun" w:hAnsi="SimSun" w:eastAsia="SimSun" w:cs="SimSun"/>
                <w:spacing w:val="1"/>
              </w:rPr>
              <w:t>年</w:t>
            </w:r>
            <w:r>
              <w:rPr>
                <w:rFonts w:ascii="SimSun" w:hAnsi="SimSun" w:eastAsia="SimSun" w:cs="SimSun"/>
                <w:spacing w:val="-39"/>
              </w:rPr>
              <w:t xml:space="preserve"> </w:t>
            </w:r>
            <w:r>
              <w:rPr>
                <w:spacing w:val="1"/>
              </w:rPr>
              <w:t>9</w:t>
            </w:r>
            <w:r>
              <w:rPr>
                <w:spacing w:val="17"/>
              </w:rPr>
              <w:t xml:space="preserve"> </w:t>
            </w:r>
            <w:r>
              <w:rPr>
                <w:rFonts w:ascii="SimSun" w:hAnsi="SimSun" w:eastAsia="SimSun" w:cs="SimSun"/>
                <w:spacing w:val="1"/>
              </w:rPr>
              <w:t>月</w:t>
            </w:r>
          </w:p>
        </w:tc>
        <w:tc>
          <w:tcPr>
            <w:tcW w:w="1698" w:type="dxa"/>
            <w:vAlign w:val="top"/>
          </w:tcPr>
          <w:p>
            <w:pPr>
              <w:pStyle w:val="TableText"/>
              <w:ind w:left="755" w:right="107" w:hanging="641"/>
              <w:spacing w:before="304" w:line="252" w:lineRule="auto"/>
              <w:rPr>
                <w:rFonts w:ascii="SimSun" w:hAnsi="SimSun" w:eastAsia="SimSun" w:cs="SimSun"/>
              </w:rPr>
            </w:pPr>
            <w:r>
              <w:rPr>
                <w:rFonts w:ascii="SimSun" w:hAnsi="SimSun" w:eastAsia="SimSun" w:cs="SimSun"/>
                <w:spacing w:val="-3"/>
              </w:rPr>
              <w:t>环验〔</w:t>
            </w:r>
            <w:r>
              <w:rPr>
                <w:spacing w:val="-3"/>
              </w:rPr>
              <w:t>2015</w:t>
            </w:r>
            <w:r>
              <w:rPr>
                <w:rFonts w:ascii="SimSun" w:hAnsi="SimSun" w:eastAsia="SimSun" w:cs="SimSun"/>
                <w:spacing w:val="-3"/>
              </w:rPr>
              <w:t>〕</w:t>
            </w:r>
            <w:r>
              <w:rPr>
                <w:spacing w:val="-3"/>
              </w:rPr>
              <w:t>194</w:t>
            </w:r>
            <w:r>
              <w:rPr>
                <w:rFonts w:ascii="SimSun" w:hAnsi="SimSun" w:eastAsia="SimSun" w:cs="SimSun"/>
              </w:rPr>
              <w:t>号</w:t>
            </w:r>
          </w:p>
        </w:tc>
        <w:tc>
          <w:tcPr>
            <w:tcW w:w="1437" w:type="dxa"/>
            <w:vAlign w:val="top"/>
          </w:tcPr>
          <w:p>
            <w:pPr>
              <w:spacing w:line="372" w:lineRule="auto"/>
              <w:rPr>
                <w:rFonts w:ascii="Arial"/>
                <w:sz w:val="21"/>
              </w:rPr>
            </w:pPr>
            <w:r/>
          </w:p>
          <w:p>
            <w:pPr>
              <w:pStyle w:val="TableText"/>
              <w:ind w:left="196"/>
              <w:spacing w:before="65" w:line="228" w:lineRule="auto"/>
              <w:rPr>
                <w:rFonts w:ascii="SimSun" w:hAnsi="SimSun" w:eastAsia="SimSun" w:cs="SimSun"/>
              </w:rPr>
            </w:pPr>
            <w:r>
              <w:rPr>
                <w:spacing w:val="3"/>
              </w:rPr>
              <w:t>500</w:t>
            </w:r>
            <w:r>
              <w:rPr>
                <w:spacing w:val="16"/>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1367" w:hRule="atLeast"/>
        </w:trPr>
        <w:tc>
          <w:tcPr>
            <w:tcW w:w="921" w:type="dxa"/>
            <w:vAlign w:val="top"/>
          </w:tcPr>
          <w:p>
            <w:pPr>
              <w:spacing w:line="274" w:lineRule="auto"/>
              <w:rPr>
                <w:rFonts w:ascii="Arial"/>
                <w:sz w:val="21"/>
              </w:rPr>
            </w:pPr>
            <w:r/>
          </w:p>
          <w:p>
            <w:pPr>
              <w:spacing w:line="275" w:lineRule="auto"/>
              <w:rPr>
                <w:rFonts w:ascii="Arial"/>
                <w:sz w:val="21"/>
              </w:rPr>
            </w:pPr>
            <w:r/>
          </w:p>
          <w:p>
            <w:pPr>
              <w:pStyle w:val="TableText"/>
              <w:ind w:left="413"/>
              <w:spacing w:before="58" w:line="195" w:lineRule="auto"/>
              <w:rPr/>
            </w:pPr>
            <w:r>
              <w:rPr/>
              <w:t>3</w:t>
            </w:r>
          </w:p>
        </w:tc>
        <w:tc>
          <w:tcPr>
            <w:tcW w:w="2324" w:type="dxa"/>
            <w:vAlign w:val="top"/>
          </w:tcPr>
          <w:p>
            <w:pPr>
              <w:ind w:left="110" w:right="108" w:firstLine="26"/>
              <w:spacing w:before="29" w:line="245" w:lineRule="auto"/>
              <w:jc w:val="both"/>
              <w:rPr>
                <w:rFonts w:ascii="SimSun" w:hAnsi="SimSun" w:eastAsia="SimSun" w:cs="SimSun"/>
                <w:sz w:val="20"/>
                <w:szCs w:val="20"/>
              </w:rPr>
            </w:pPr>
            <w:r>
              <w:rPr>
                <w:rFonts w:ascii="SimSun" w:hAnsi="SimSun" w:eastAsia="SimSun" w:cs="SimSun"/>
                <w:sz w:val="20"/>
                <w:szCs w:val="20"/>
                <w:spacing w:val="7"/>
              </w:rPr>
              <w:t>内蒙古白音华海州露天</w:t>
            </w:r>
            <w:r>
              <w:rPr>
                <w:rFonts w:ascii="SimSun" w:hAnsi="SimSun" w:eastAsia="SimSun" w:cs="SimSun"/>
                <w:sz w:val="20"/>
                <w:szCs w:val="20"/>
                <w:spacing w:val="10"/>
              </w:rPr>
              <w:t>煤矿有限公司白音华四</w:t>
            </w:r>
            <w:r>
              <w:rPr>
                <w:rFonts w:ascii="SimSun" w:hAnsi="SimSun" w:eastAsia="SimSun" w:cs="SimSun"/>
                <w:sz w:val="20"/>
                <w:szCs w:val="20"/>
                <w:spacing w:val="10"/>
              </w:rPr>
              <w:t>号露天矿二期工程（井</w:t>
            </w:r>
            <w:r>
              <w:rPr>
                <w:rFonts w:ascii="SimSun" w:hAnsi="SimSun" w:eastAsia="SimSun" w:cs="SimSun"/>
                <w:sz w:val="20"/>
                <w:szCs w:val="20"/>
                <w:spacing w:val="10"/>
              </w:rPr>
              <w:t>工矿）环境影响报告的</w:t>
            </w:r>
            <w:r>
              <w:rPr>
                <w:rFonts w:ascii="SimSun" w:hAnsi="SimSun" w:eastAsia="SimSun" w:cs="SimSun"/>
                <w:sz w:val="20"/>
                <w:szCs w:val="20"/>
                <w:spacing w:val="5"/>
              </w:rPr>
              <w:t>批复</w:t>
            </w:r>
          </w:p>
        </w:tc>
        <w:tc>
          <w:tcPr>
            <w:tcW w:w="1444" w:type="dxa"/>
            <w:vAlign w:val="top"/>
          </w:tcPr>
          <w:p>
            <w:pPr>
              <w:spacing w:line="373" w:lineRule="auto"/>
              <w:rPr>
                <w:rFonts w:ascii="Arial"/>
                <w:sz w:val="21"/>
              </w:rPr>
            </w:pPr>
            <w:r/>
          </w:p>
          <w:p>
            <w:pPr>
              <w:ind w:left="322" w:right="195" w:hanging="95"/>
              <w:spacing w:before="65" w:line="252" w:lineRule="auto"/>
              <w:rPr>
                <w:rFonts w:ascii="SimSun" w:hAnsi="SimSun" w:eastAsia="SimSun" w:cs="SimSun"/>
                <w:sz w:val="20"/>
                <w:szCs w:val="20"/>
              </w:rPr>
            </w:pPr>
            <w:r>
              <w:rPr>
                <w:rFonts w:ascii="SimSun" w:hAnsi="SimSun" w:eastAsia="SimSun" w:cs="SimSun"/>
                <w:sz w:val="20"/>
                <w:szCs w:val="20"/>
                <w:spacing w:val="3"/>
              </w:rPr>
              <w:t>内蒙古自治</w:t>
            </w:r>
            <w:r>
              <w:rPr>
                <w:rFonts w:ascii="SimSun" w:hAnsi="SimSun" w:eastAsia="SimSun" w:cs="SimSun"/>
                <w:sz w:val="20"/>
                <w:szCs w:val="20"/>
                <w:spacing w:val="3"/>
              </w:rPr>
              <w:t>区环保厅</w:t>
            </w:r>
          </w:p>
        </w:tc>
        <w:tc>
          <w:tcPr>
            <w:tcW w:w="1459" w:type="dxa"/>
            <w:vAlign w:val="top"/>
          </w:tcPr>
          <w:p>
            <w:pPr>
              <w:spacing w:line="253" w:lineRule="auto"/>
              <w:rPr>
                <w:rFonts w:ascii="Arial"/>
                <w:sz w:val="21"/>
              </w:rPr>
            </w:pPr>
            <w:r/>
          </w:p>
          <w:p>
            <w:pPr>
              <w:spacing w:line="253" w:lineRule="auto"/>
              <w:rPr>
                <w:rFonts w:ascii="Arial"/>
                <w:sz w:val="21"/>
              </w:rPr>
            </w:pPr>
            <w:r/>
          </w:p>
          <w:p>
            <w:pPr>
              <w:pStyle w:val="TableText"/>
              <w:ind w:left="179"/>
              <w:spacing w:before="65" w:line="228" w:lineRule="auto"/>
              <w:rPr>
                <w:rFonts w:ascii="SimSun" w:hAnsi="SimSun" w:eastAsia="SimSun" w:cs="SimSun"/>
              </w:rPr>
            </w:pPr>
            <w:r>
              <w:rPr>
                <w:spacing w:val="2"/>
              </w:rPr>
              <w:t>2014</w:t>
            </w:r>
            <w:r>
              <w:rPr>
                <w:spacing w:val="12"/>
                <w:w w:val="101"/>
              </w:rPr>
              <w:t xml:space="preserve"> </w:t>
            </w:r>
            <w:r>
              <w:rPr>
                <w:rFonts w:ascii="SimSun" w:hAnsi="SimSun" w:eastAsia="SimSun" w:cs="SimSun"/>
                <w:spacing w:val="2"/>
              </w:rPr>
              <w:t>年</w:t>
            </w:r>
            <w:r>
              <w:rPr>
                <w:rFonts w:ascii="SimSun" w:hAnsi="SimSun" w:eastAsia="SimSun" w:cs="SimSun"/>
                <w:spacing w:val="-43"/>
              </w:rPr>
              <w:t xml:space="preserve"> </w:t>
            </w:r>
            <w:r>
              <w:rPr>
                <w:spacing w:val="2"/>
              </w:rPr>
              <w:t>2</w:t>
            </w:r>
            <w:r>
              <w:rPr>
                <w:spacing w:val="17"/>
              </w:rPr>
              <w:t xml:space="preserve"> </w:t>
            </w:r>
            <w:r>
              <w:rPr>
                <w:rFonts w:ascii="SimSun" w:hAnsi="SimSun" w:eastAsia="SimSun" w:cs="SimSun"/>
                <w:spacing w:val="2"/>
              </w:rPr>
              <w:t>月</w:t>
            </w:r>
          </w:p>
        </w:tc>
        <w:tc>
          <w:tcPr>
            <w:tcW w:w="1698" w:type="dxa"/>
            <w:vAlign w:val="top"/>
          </w:tcPr>
          <w:p>
            <w:pPr>
              <w:spacing w:line="374" w:lineRule="auto"/>
              <w:rPr>
                <w:rFonts w:ascii="Arial"/>
                <w:sz w:val="21"/>
              </w:rPr>
            </w:pPr>
            <w:r/>
          </w:p>
          <w:p>
            <w:pPr>
              <w:pStyle w:val="TableText"/>
              <w:ind w:left="617" w:right="149" w:hanging="471"/>
              <w:spacing w:before="65" w:line="252" w:lineRule="auto"/>
              <w:rPr>
                <w:rFonts w:ascii="SimSun" w:hAnsi="SimSun" w:eastAsia="SimSun" w:cs="SimSun"/>
              </w:rPr>
            </w:pPr>
            <w:r>
              <w:rPr>
                <w:rFonts w:ascii="SimSun" w:hAnsi="SimSun" w:eastAsia="SimSun" w:cs="SimSun"/>
                <w:spacing w:val="-1"/>
              </w:rPr>
              <w:t>内环审〔</w:t>
            </w:r>
            <w:r>
              <w:rPr>
                <w:spacing w:val="-1"/>
              </w:rPr>
              <w:t>2014</w:t>
            </w:r>
            <w:r>
              <w:rPr>
                <w:rFonts w:ascii="SimSun" w:hAnsi="SimSun" w:eastAsia="SimSun" w:cs="SimSun"/>
                <w:spacing w:val="-1"/>
              </w:rPr>
              <w:t>〕</w:t>
            </w:r>
            <w:r>
              <w:rPr>
                <w:rFonts w:ascii="SimSun" w:hAnsi="SimSun" w:eastAsia="SimSun" w:cs="SimSun"/>
                <w:spacing w:val="4"/>
              </w:rPr>
              <w:t xml:space="preserve"> </w:t>
            </w:r>
            <w:r>
              <w:rPr/>
              <w:t>35</w:t>
            </w:r>
            <w:r>
              <w:rPr>
                <w:spacing w:val="12"/>
                <w:w w:val="101"/>
              </w:rPr>
              <w:t xml:space="preserve"> </w:t>
            </w:r>
            <w:r>
              <w:rPr>
                <w:rFonts w:ascii="SimSun" w:hAnsi="SimSun" w:eastAsia="SimSun" w:cs="SimSun"/>
              </w:rPr>
              <w:t>号</w:t>
            </w:r>
          </w:p>
        </w:tc>
        <w:tc>
          <w:tcPr>
            <w:tcW w:w="1437" w:type="dxa"/>
            <w:vAlign w:val="top"/>
          </w:tcPr>
          <w:p>
            <w:pPr>
              <w:spacing w:line="253" w:lineRule="auto"/>
              <w:rPr>
                <w:rFonts w:ascii="Arial"/>
                <w:sz w:val="21"/>
              </w:rPr>
            </w:pPr>
            <w:r/>
          </w:p>
          <w:p>
            <w:pPr>
              <w:spacing w:line="253" w:lineRule="auto"/>
              <w:rPr>
                <w:rFonts w:ascii="Arial"/>
                <w:sz w:val="21"/>
              </w:rPr>
            </w:pPr>
            <w:r/>
          </w:p>
          <w:p>
            <w:pPr>
              <w:pStyle w:val="TableText"/>
              <w:ind w:left="196"/>
              <w:spacing w:before="65" w:line="228" w:lineRule="auto"/>
              <w:rPr>
                <w:rFonts w:ascii="SimSun" w:hAnsi="SimSun" w:eastAsia="SimSun" w:cs="SimSun"/>
              </w:rPr>
            </w:pPr>
            <w:r>
              <w:rPr>
                <w:spacing w:val="3"/>
              </w:rPr>
              <w:t>500</w:t>
            </w:r>
            <w:r>
              <w:rPr>
                <w:spacing w:val="16"/>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1094" w:hRule="atLeast"/>
        </w:trPr>
        <w:tc>
          <w:tcPr>
            <w:tcW w:w="921" w:type="dxa"/>
            <w:vAlign w:val="top"/>
          </w:tcPr>
          <w:p>
            <w:pPr>
              <w:spacing w:line="414" w:lineRule="auto"/>
              <w:rPr>
                <w:rFonts w:ascii="Arial"/>
                <w:sz w:val="21"/>
              </w:rPr>
            </w:pPr>
            <w:r/>
          </w:p>
          <w:p>
            <w:pPr>
              <w:pStyle w:val="TableText"/>
              <w:ind w:left="408"/>
              <w:spacing w:before="58" w:line="195" w:lineRule="auto"/>
              <w:rPr/>
            </w:pPr>
            <w:r>
              <w:rPr>
                <w:spacing w:val="1"/>
              </w:rPr>
              <w:t>4</w:t>
            </w:r>
          </w:p>
        </w:tc>
        <w:tc>
          <w:tcPr>
            <w:tcW w:w="2324" w:type="dxa"/>
            <w:vAlign w:val="top"/>
          </w:tcPr>
          <w:p>
            <w:pPr>
              <w:ind w:left="110" w:right="108" w:firstLine="26"/>
              <w:spacing w:before="31" w:line="243" w:lineRule="auto"/>
              <w:jc w:val="both"/>
              <w:rPr>
                <w:rFonts w:ascii="SimSun" w:hAnsi="SimSun" w:eastAsia="SimSun" w:cs="SimSun"/>
                <w:sz w:val="20"/>
                <w:szCs w:val="20"/>
              </w:rPr>
            </w:pPr>
            <w:r>
              <w:rPr>
                <w:rFonts w:ascii="SimSun" w:hAnsi="SimSun" w:eastAsia="SimSun" w:cs="SimSun"/>
                <w:sz w:val="20"/>
                <w:szCs w:val="20"/>
                <w:spacing w:val="7"/>
              </w:rPr>
              <w:t>内蒙古白音华四号露天</w:t>
            </w:r>
            <w:r>
              <w:rPr>
                <w:rFonts w:ascii="SimSun" w:hAnsi="SimSun" w:eastAsia="SimSun" w:cs="SimSun"/>
                <w:sz w:val="20"/>
                <w:szCs w:val="20"/>
                <w:spacing w:val="8"/>
              </w:rPr>
              <w:t>矿二期工程（井工矿）</w:t>
            </w:r>
            <w:r>
              <w:rPr>
                <w:rFonts w:ascii="SimSun" w:hAnsi="SimSun" w:eastAsia="SimSun" w:cs="SimSun"/>
                <w:sz w:val="20"/>
                <w:szCs w:val="20"/>
                <w:spacing w:val="10"/>
              </w:rPr>
              <w:t>竣工环境保护验收的批</w:t>
            </w:r>
            <w:r>
              <w:rPr>
                <w:rFonts w:ascii="SimSun" w:hAnsi="SimSun" w:eastAsia="SimSun" w:cs="SimSun"/>
                <w:sz w:val="20"/>
                <w:szCs w:val="20"/>
                <w:spacing w:val="1"/>
              </w:rPr>
              <w:t>复</w:t>
            </w:r>
          </w:p>
        </w:tc>
        <w:tc>
          <w:tcPr>
            <w:tcW w:w="1444" w:type="dxa"/>
            <w:vAlign w:val="top"/>
          </w:tcPr>
          <w:p>
            <w:pPr>
              <w:spacing w:line="371" w:lineRule="auto"/>
              <w:rPr>
                <w:rFonts w:ascii="Arial"/>
                <w:sz w:val="21"/>
              </w:rPr>
            </w:pPr>
            <w:r/>
          </w:p>
          <w:p>
            <w:pPr>
              <w:ind w:left="342"/>
              <w:spacing w:before="65" w:line="228" w:lineRule="auto"/>
              <w:rPr>
                <w:rFonts w:ascii="SimSun" w:hAnsi="SimSun" w:eastAsia="SimSun" w:cs="SimSun"/>
                <w:sz w:val="20"/>
                <w:szCs w:val="20"/>
              </w:rPr>
            </w:pPr>
            <w:r>
              <w:rPr>
                <w:rFonts w:ascii="SimSun" w:hAnsi="SimSun" w:eastAsia="SimSun" w:cs="SimSun"/>
                <w:sz w:val="20"/>
                <w:szCs w:val="20"/>
                <w:spacing w:val="-2"/>
              </w:rPr>
              <w:t>自主验收</w:t>
            </w:r>
          </w:p>
        </w:tc>
        <w:tc>
          <w:tcPr>
            <w:tcW w:w="1459" w:type="dxa"/>
            <w:vAlign w:val="top"/>
          </w:tcPr>
          <w:p>
            <w:pPr>
              <w:spacing w:line="371" w:lineRule="auto"/>
              <w:rPr>
                <w:rFonts w:ascii="Arial"/>
                <w:sz w:val="21"/>
              </w:rPr>
            </w:pPr>
            <w:r/>
          </w:p>
          <w:p>
            <w:pPr>
              <w:pStyle w:val="TableText"/>
              <w:ind w:left="179"/>
              <w:spacing w:before="65" w:line="228" w:lineRule="auto"/>
              <w:rPr>
                <w:rFonts w:ascii="SimSun" w:hAnsi="SimSun" w:eastAsia="SimSun" w:cs="SimSun"/>
              </w:rPr>
            </w:pPr>
            <w:r>
              <w:rPr>
                <w:spacing w:val="1"/>
              </w:rPr>
              <w:t>2018</w:t>
            </w:r>
            <w:r>
              <w:rPr>
                <w:spacing w:val="13"/>
                <w:w w:val="101"/>
              </w:rPr>
              <w:t xml:space="preserve"> </w:t>
            </w:r>
            <w:r>
              <w:rPr>
                <w:rFonts w:ascii="SimSun" w:hAnsi="SimSun" w:eastAsia="SimSun" w:cs="SimSun"/>
                <w:spacing w:val="1"/>
              </w:rPr>
              <w:t>年</w:t>
            </w:r>
            <w:r>
              <w:rPr>
                <w:rFonts w:ascii="SimSun" w:hAnsi="SimSun" w:eastAsia="SimSun" w:cs="SimSun"/>
                <w:spacing w:val="-37"/>
              </w:rPr>
              <w:t xml:space="preserve"> </w:t>
            </w:r>
            <w:r>
              <w:rPr>
                <w:spacing w:val="1"/>
              </w:rPr>
              <w:t>5</w:t>
            </w:r>
            <w:r>
              <w:rPr>
                <w:spacing w:val="17"/>
              </w:rPr>
              <w:t xml:space="preserve"> </w:t>
            </w:r>
            <w:r>
              <w:rPr>
                <w:rFonts w:ascii="SimSun" w:hAnsi="SimSun" w:eastAsia="SimSun" w:cs="SimSun"/>
                <w:spacing w:val="1"/>
              </w:rPr>
              <w:t>月</w:t>
            </w:r>
          </w:p>
        </w:tc>
        <w:tc>
          <w:tcPr>
            <w:tcW w:w="1698" w:type="dxa"/>
            <w:vAlign w:val="top"/>
          </w:tcPr>
          <w:p>
            <w:pPr>
              <w:pStyle w:val="TableText"/>
              <w:ind w:left="345" w:right="321" w:hanging="10"/>
              <w:spacing w:before="304" w:line="247" w:lineRule="auto"/>
              <w:rPr>
                <w:rFonts w:ascii="SimSun" w:hAnsi="SimSun" w:eastAsia="SimSun" w:cs="SimSun"/>
              </w:rPr>
            </w:pPr>
            <w:r>
              <w:rPr>
                <w:rFonts w:ascii="SimSun" w:hAnsi="SimSun" w:eastAsia="SimSun" w:cs="SimSun"/>
                <w:spacing w:val="7"/>
              </w:rPr>
              <w:t>蒙海能办自</w:t>
            </w:r>
            <w:r>
              <w:rPr>
                <w:spacing w:val="2"/>
              </w:rPr>
              <w:t>[2018]23</w:t>
            </w:r>
            <w:r>
              <w:rPr>
                <w:spacing w:val="17"/>
              </w:rPr>
              <w:t xml:space="preserve"> </w:t>
            </w:r>
            <w:r>
              <w:rPr>
                <w:rFonts w:ascii="SimSun" w:hAnsi="SimSun" w:eastAsia="SimSun" w:cs="SimSun"/>
                <w:spacing w:val="2"/>
              </w:rPr>
              <w:t>号</w:t>
            </w:r>
          </w:p>
        </w:tc>
        <w:tc>
          <w:tcPr>
            <w:tcW w:w="1437" w:type="dxa"/>
            <w:vAlign w:val="top"/>
          </w:tcPr>
          <w:p>
            <w:pPr>
              <w:spacing w:line="371" w:lineRule="auto"/>
              <w:rPr>
                <w:rFonts w:ascii="Arial"/>
                <w:sz w:val="21"/>
              </w:rPr>
            </w:pPr>
            <w:r/>
          </w:p>
          <w:p>
            <w:pPr>
              <w:pStyle w:val="TableText"/>
              <w:ind w:left="196"/>
              <w:spacing w:before="65" w:line="228" w:lineRule="auto"/>
              <w:rPr>
                <w:rFonts w:ascii="SimSun" w:hAnsi="SimSun" w:eastAsia="SimSun" w:cs="SimSun"/>
              </w:rPr>
            </w:pPr>
            <w:r>
              <w:rPr>
                <w:spacing w:val="3"/>
              </w:rPr>
              <w:t>500</w:t>
            </w:r>
            <w:r>
              <w:rPr>
                <w:spacing w:val="16"/>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1638" w:hRule="atLeast"/>
        </w:trPr>
        <w:tc>
          <w:tcPr>
            <w:tcW w:w="921" w:type="dxa"/>
            <w:vAlign w:val="top"/>
          </w:tcPr>
          <w:p>
            <w:pPr>
              <w:spacing w:line="344" w:lineRule="auto"/>
              <w:rPr>
                <w:rFonts w:ascii="Arial"/>
                <w:sz w:val="21"/>
              </w:rPr>
            </w:pPr>
            <w:r/>
          </w:p>
          <w:p>
            <w:pPr>
              <w:spacing w:line="345" w:lineRule="auto"/>
              <w:rPr>
                <w:rFonts w:ascii="Arial"/>
                <w:sz w:val="21"/>
              </w:rPr>
            </w:pPr>
            <w:r/>
          </w:p>
          <w:p>
            <w:pPr>
              <w:pStyle w:val="TableText"/>
              <w:ind w:left="415"/>
              <w:spacing w:before="58" w:line="192" w:lineRule="auto"/>
              <w:rPr/>
            </w:pPr>
            <w:r>
              <w:rPr/>
              <w:t>5</w:t>
            </w:r>
          </w:p>
        </w:tc>
        <w:tc>
          <w:tcPr>
            <w:tcW w:w="2324" w:type="dxa"/>
            <w:vAlign w:val="top"/>
          </w:tcPr>
          <w:p>
            <w:pPr>
              <w:ind w:left="110" w:right="108" w:firstLine="26"/>
              <w:spacing w:before="28" w:line="246" w:lineRule="auto"/>
              <w:jc w:val="both"/>
              <w:rPr>
                <w:rFonts w:ascii="SimSun" w:hAnsi="SimSun" w:eastAsia="SimSun" w:cs="SimSun"/>
                <w:sz w:val="20"/>
                <w:szCs w:val="20"/>
              </w:rPr>
            </w:pPr>
            <w:r>
              <w:rPr>
                <w:rFonts w:ascii="SimSun" w:hAnsi="SimSun" w:eastAsia="SimSun" w:cs="SimSun"/>
                <w:sz w:val="20"/>
                <w:szCs w:val="20"/>
                <w:spacing w:val="7"/>
              </w:rPr>
              <w:t>内蒙古海州露天能源有</w:t>
            </w:r>
            <w:r>
              <w:rPr>
                <w:rFonts w:ascii="SimSun" w:hAnsi="SimSun" w:eastAsia="SimSun" w:cs="SimSun"/>
                <w:sz w:val="20"/>
                <w:szCs w:val="20"/>
                <w:spacing w:val="10"/>
              </w:rPr>
              <w:t>限责任公司白音华四号</w:t>
            </w:r>
            <w:r>
              <w:rPr>
                <w:rFonts w:ascii="SimSun" w:hAnsi="SimSun" w:eastAsia="SimSun" w:cs="SimSun"/>
                <w:sz w:val="20"/>
                <w:szCs w:val="20"/>
                <w:spacing w:val="10"/>
              </w:rPr>
              <w:t>露天矿二期工程（井工</w:t>
            </w:r>
            <w:r>
              <w:rPr>
                <w:rFonts w:ascii="SimSun" w:hAnsi="SimSun" w:eastAsia="SimSun" w:cs="SimSun"/>
                <w:sz w:val="20"/>
                <w:szCs w:val="20"/>
                <w:spacing w:val="10"/>
              </w:rPr>
              <w:t>矿）噪声和固体废物污</w:t>
            </w:r>
            <w:r>
              <w:rPr>
                <w:rFonts w:ascii="SimSun" w:hAnsi="SimSun" w:eastAsia="SimSun" w:cs="SimSun"/>
                <w:sz w:val="20"/>
                <w:szCs w:val="20"/>
                <w:spacing w:val="10"/>
              </w:rPr>
              <w:t>染防治设施竣工环境保</w:t>
            </w:r>
            <w:r>
              <w:rPr>
                <w:rFonts w:ascii="SimSun" w:hAnsi="SimSun" w:eastAsia="SimSun" w:cs="SimSun"/>
                <w:sz w:val="20"/>
                <w:szCs w:val="20"/>
                <w:spacing w:val="7"/>
              </w:rPr>
              <w:t>护验收</w:t>
            </w:r>
          </w:p>
        </w:tc>
        <w:tc>
          <w:tcPr>
            <w:tcW w:w="1444" w:type="dxa"/>
            <w:vAlign w:val="top"/>
          </w:tcPr>
          <w:p>
            <w:pPr>
              <w:spacing w:line="253" w:lineRule="auto"/>
              <w:rPr>
                <w:rFonts w:ascii="Arial"/>
                <w:sz w:val="21"/>
              </w:rPr>
            </w:pPr>
            <w:r/>
          </w:p>
          <w:p>
            <w:pPr>
              <w:spacing w:line="254" w:lineRule="auto"/>
              <w:rPr>
                <w:rFonts w:ascii="Arial"/>
                <w:sz w:val="21"/>
              </w:rPr>
            </w:pPr>
            <w:r/>
          </w:p>
          <w:p>
            <w:pPr>
              <w:ind w:left="413" w:right="195" w:hanging="212"/>
              <w:spacing w:before="65" w:line="252" w:lineRule="auto"/>
              <w:rPr>
                <w:rFonts w:ascii="SimSun" w:hAnsi="SimSun" w:eastAsia="SimSun" w:cs="SimSun"/>
                <w:sz w:val="20"/>
                <w:szCs w:val="20"/>
              </w:rPr>
            </w:pPr>
            <w:r>
              <w:rPr>
                <w:rFonts w:ascii="SimSun" w:hAnsi="SimSun" w:eastAsia="SimSun" w:cs="SimSun"/>
                <w:sz w:val="20"/>
                <w:szCs w:val="20"/>
                <w:spacing w:val="8"/>
              </w:rPr>
              <w:t>锡林郭勒盟</w:t>
            </w:r>
            <w:r>
              <w:rPr>
                <w:rFonts w:ascii="SimSun" w:hAnsi="SimSun" w:eastAsia="SimSun" w:cs="SimSun"/>
                <w:sz w:val="20"/>
                <w:szCs w:val="20"/>
                <w:spacing w:val="6"/>
              </w:rPr>
              <w:t>环保局</w:t>
            </w:r>
          </w:p>
        </w:tc>
        <w:tc>
          <w:tcPr>
            <w:tcW w:w="1459" w:type="dxa"/>
            <w:vAlign w:val="top"/>
          </w:tcPr>
          <w:p>
            <w:pPr>
              <w:spacing w:line="320" w:lineRule="auto"/>
              <w:rPr>
                <w:rFonts w:ascii="Arial"/>
                <w:sz w:val="21"/>
              </w:rPr>
            </w:pPr>
            <w:r/>
          </w:p>
          <w:p>
            <w:pPr>
              <w:spacing w:line="320" w:lineRule="auto"/>
              <w:rPr>
                <w:rFonts w:ascii="Arial"/>
                <w:sz w:val="21"/>
              </w:rPr>
            </w:pPr>
            <w:r/>
          </w:p>
          <w:p>
            <w:pPr>
              <w:pStyle w:val="TableText"/>
              <w:ind w:left="179"/>
              <w:spacing w:before="65" w:line="228" w:lineRule="auto"/>
              <w:rPr>
                <w:rFonts w:ascii="SimSun" w:hAnsi="SimSun" w:eastAsia="SimSun" w:cs="SimSun"/>
              </w:rPr>
            </w:pPr>
            <w:r>
              <w:rPr>
                <w:spacing w:val="1"/>
              </w:rPr>
              <w:t>2018</w:t>
            </w:r>
            <w:r>
              <w:rPr>
                <w:spacing w:val="14"/>
                <w:w w:val="101"/>
              </w:rPr>
              <w:t xml:space="preserve"> </w:t>
            </w:r>
            <w:r>
              <w:rPr>
                <w:rFonts w:ascii="SimSun" w:hAnsi="SimSun" w:eastAsia="SimSun" w:cs="SimSun"/>
                <w:spacing w:val="1"/>
              </w:rPr>
              <w:t>年</w:t>
            </w:r>
            <w:r>
              <w:rPr>
                <w:rFonts w:ascii="SimSun" w:hAnsi="SimSun" w:eastAsia="SimSun" w:cs="SimSun"/>
                <w:spacing w:val="-38"/>
              </w:rPr>
              <w:t xml:space="preserve"> </w:t>
            </w:r>
            <w:r>
              <w:rPr>
                <w:spacing w:val="1"/>
              </w:rPr>
              <w:t>6</w:t>
            </w:r>
            <w:r>
              <w:rPr>
                <w:spacing w:val="17"/>
              </w:rPr>
              <w:t xml:space="preserve"> </w:t>
            </w:r>
            <w:r>
              <w:rPr>
                <w:rFonts w:ascii="SimSun" w:hAnsi="SimSun" w:eastAsia="SimSun" w:cs="SimSun"/>
                <w:spacing w:val="1"/>
              </w:rPr>
              <w:t>月</w:t>
            </w:r>
          </w:p>
        </w:tc>
        <w:tc>
          <w:tcPr>
            <w:tcW w:w="1698" w:type="dxa"/>
            <w:vAlign w:val="top"/>
          </w:tcPr>
          <w:p>
            <w:pPr>
              <w:spacing w:line="254" w:lineRule="auto"/>
              <w:rPr>
                <w:rFonts w:ascii="Arial"/>
                <w:sz w:val="21"/>
              </w:rPr>
            </w:pPr>
            <w:r/>
          </w:p>
          <w:p>
            <w:pPr>
              <w:spacing w:line="254" w:lineRule="auto"/>
              <w:rPr>
                <w:rFonts w:ascii="Arial"/>
                <w:sz w:val="21"/>
              </w:rPr>
            </w:pPr>
            <w:r/>
          </w:p>
          <w:p>
            <w:pPr>
              <w:pStyle w:val="TableText"/>
              <w:ind w:left="649" w:right="107" w:hanging="536"/>
              <w:spacing w:before="65" w:line="252" w:lineRule="auto"/>
              <w:rPr>
                <w:rFonts w:ascii="SimSun" w:hAnsi="SimSun" w:eastAsia="SimSun" w:cs="SimSun"/>
              </w:rPr>
            </w:pPr>
            <w:r>
              <w:rPr>
                <w:rFonts w:ascii="SimSun" w:hAnsi="SimSun" w:eastAsia="SimSun" w:cs="SimSun"/>
                <w:spacing w:val="-3"/>
              </w:rPr>
              <w:t>锡环验〔</w:t>
            </w:r>
            <w:r>
              <w:rPr>
                <w:spacing w:val="-3"/>
              </w:rPr>
              <w:t>2018</w:t>
            </w:r>
            <w:r>
              <w:rPr>
                <w:rFonts w:ascii="SimSun" w:hAnsi="SimSun" w:eastAsia="SimSun" w:cs="SimSun"/>
                <w:spacing w:val="-3"/>
              </w:rPr>
              <w:t>〕</w:t>
            </w:r>
            <w:r>
              <w:rPr>
                <w:spacing w:val="-3"/>
              </w:rPr>
              <w:t>2</w:t>
            </w:r>
            <w:r>
              <w:rPr>
                <w:rFonts w:ascii="SimSun" w:hAnsi="SimSun" w:eastAsia="SimSun" w:cs="SimSun"/>
                <w:spacing w:val="2"/>
              </w:rPr>
              <w:t>号文</w:t>
            </w:r>
          </w:p>
        </w:tc>
        <w:tc>
          <w:tcPr>
            <w:tcW w:w="1437" w:type="dxa"/>
            <w:vAlign w:val="top"/>
          </w:tcPr>
          <w:p>
            <w:pPr>
              <w:spacing w:line="320" w:lineRule="auto"/>
              <w:rPr>
                <w:rFonts w:ascii="Arial"/>
                <w:sz w:val="21"/>
              </w:rPr>
            </w:pPr>
            <w:r/>
          </w:p>
          <w:p>
            <w:pPr>
              <w:spacing w:line="320" w:lineRule="auto"/>
              <w:rPr>
                <w:rFonts w:ascii="Arial"/>
                <w:sz w:val="21"/>
              </w:rPr>
            </w:pPr>
            <w:r/>
          </w:p>
          <w:p>
            <w:pPr>
              <w:pStyle w:val="TableText"/>
              <w:ind w:left="196"/>
              <w:spacing w:before="65" w:line="228" w:lineRule="auto"/>
              <w:rPr>
                <w:rFonts w:ascii="SimSun" w:hAnsi="SimSun" w:eastAsia="SimSun" w:cs="SimSun"/>
              </w:rPr>
            </w:pPr>
            <w:r>
              <w:rPr>
                <w:spacing w:val="3"/>
              </w:rPr>
              <w:t>500</w:t>
            </w:r>
            <w:r>
              <w:rPr>
                <w:spacing w:val="16"/>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823" w:hRule="atLeast"/>
        </w:trPr>
        <w:tc>
          <w:tcPr>
            <w:tcW w:w="921" w:type="dxa"/>
            <w:vAlign w:val="top"/>
          </w:tcPr>
          <w:p>
            <w:pPr>
              <w:spacing w:line="279" w:lineRule="auto"/>
              <w:rPr>
                <w:rFonts w:ascii="Arial"/>
                <w:sz w:val="21"/>
              </w:rPr>
            </w:pPr>
            <w:r/>
          </w:p>
          <w:p>
            <w:pPr>
              <w:pStyle w:val="TableText"/>
              <w:ind w:left="414"/>
              <w:spacing w:before="58" w:line="195" w:lineRule="auto"/>
              <w:rPr/>
            </w:pPr>
            <w:r>
              <w:rPr/>
              <w:t>6</w:t>
            </w:r>
          </w:p>
        </w:tc>
        <w:tc>
          <w:tcPr>
            <w:tcW w:w="2324" w:type="dxa"/>
            <w:vAlign w:val="top"/>
          </w:tcPr>
          <w:p>
            <w:pPr>
              <w:ind w:left="114" w:right="108" w:firstLine="27"/>
              <w:spacing w:before="32"/>
              <w:jc w:val="both"/>
              <w:rPr>
                <w:rFonts w:ascii="SimSun" w:hAnsi="SimSun" w:eastAsia="SimSun" w:cs="SimSun"/>
                <w:sz w:val="20"/>
                <w:szCs w:val="20"/>
              </w:rPr>
            </w:pPr>
            <w:r>
              <w:rPr>
                <w:rFonts w:ascii="SimSun" w:hAnsi="SimSun" w:eastAsia="SimSun" w:cs="SimSun"/>
                <w:sz w:val="20"/>
                <w:szCs w:val="20"/>
                <w:spacing w:val="6"/>
              </w:rPr>
              <w:t>白音华四号露天矿二期</w:t>
            </w:r>
            <w:r>
              <w:rPr>
                <w:rFonts w:ascii="SimSun" w:hAnsi="SimSun" w:eastAsia="SimSun" w:cs="SimSun"/>
                <w:sz w:val="20"/>
                <w:szCs w:val="20"/>
                <w:spacing w:val="9"/>
              </w:rPr>
              <w:t>工程（井工矿）环境影</w:t>
            </w:r>
            <w:r>
              <w:rPr>
                <w:rFonts w:ascii="SimSun" w:hAnsi="SimSun" w:eastAsia="SimSun" w:cs="SimSun"/>
                <w:sz w:val="20"/>
                <w:szCs w:val="20"/>
                <w:spacing w:val="8"/>
              </w:rPr>
              <w:t>响后评价报告书</w:t>
            </w:r>
          </w:p>
        </w:tc>
        <w:tc>
          <w:tcPr>
            <w:tcW w:w="1444" w:type="dxa"/>
            <w:vAlign w:val="top"/>
          </w:tcPr>
          <w:p>
            <w:pPr>
              <w:ind w:left="322" w:right="195" w:hanging="95"/>
              <w:spacing w:before="169" w:line="252" w:lineRule="auto"/>
              <w:rPr>
                <w:rFonts w:ascii="SimSun" w:hAnsi="SimSun" w:eastAsia="SimSun" w:cs="SimSun"/>
                <w:sz w:val="20"/>
                <w:szCs w:val="20"/>
              </w:rPr>
            </w:pPr>
            <w:r>
              <w:rPr>
                <w:rFonts w:ascii="SimSun" w:hAnsi="SimSun" w:eastAsia="SimSun" w:cs="SimSun"/>
                <w:sz w:val="20"/>
                <w:szCs w:val="20"/>
                <w:spacing w:val="3"/>
              </w:rPr>
              <w:t>内蒙古自治</w:t>
            </w:r>
            <w:r>
              <w:rPr>
                <w:rFonts w:ascii="SimSun" w:hAnsi="SimSun" w:eastAsia="SimSun" w:cs="SimSun"/>
                <w:sz w:val="20"/>
                <w:szCs w:val="20"/>
                <w:spacing w:val="3"/>
              </w:rPr>
              <w:t>区环保厅</w:t>
            </w:r>
          </w:p>
        </w:tc>
        <w:tc>
          <w:tcPr>
            <w:tcW w:w="1459" w:type="dxa"/>
            <w:vAlign w:val="top"/>
          </w:tcPr>
          <w:p>
            <w:pPr>
              <w:pStyle w:val="TableText"/>
              <w:ind w:left="179"/>
              <w:spacing w:before="302" w:line="228" w:lineRule="auto"/>
              <w:rPr>
                <w:rFonts w:ascii="SimSun" w:hAnsi="SimSun" w:eastAsia="SimSun" w:cs="SimSun"/>
              </w:rPr>
            </w:pPr>
            <w:r>
              <w:rPr>
                <w:spacing w:val="2"/>
              </w:rPr>
              <w:t>2023</w:t>
            </w:r>
            <w:r>
              <w:rPr>
                <w:spacing w:val="12"/>
                <w:w w:val="101"/>
              </w:rPr>
              <w:t xml:space="preserve"> </w:t>
            </w:r>
            <w:r>
              <w:rPr>
                <w:rFonts w:ascii="SimSun" w:hAnsi="SimSun" w:eastAsia="SimSun" w:cs="SimSun"/>
                <w:spacing w:val="2"/>
              </w:rPr>
              <w:t>年</w:t>
            </w:r>
            <w:r>
              <w:rPr>
                <w:rFonts w:ascii="SimSun" w:hAnsi="SimSun" w:eastAsia="SimSun" w:cs="SimSun"/>
                <w:spacing w:val="-43"/>
              </w:rPr>
              <w:t xml:space="preserve"> </w:t>
            </w:r>
            <w:r>
              <w:rPr>
                <w:spacing w:val="2"/>
              </w:rPr>
              <w:t>2</w:t>
            </w:r>
            <w:r>
              <w:rPr>
                <w:spacing w:val="17"/>
              </w:rPr>
              <w:t xml:space="preserve"> </w:t>
            </w:r>
            <w:r>
              <w:rPr>
                <w:rFonts w:ascii="SimSun" w:hAnsi="SimSun" w:eastAsia="SimSun" w:cs="SimSun"/>
                <w:spacing w:val="2"/>
              </w:rPr>
              <w:t>月</w:t>
            </w:r>
          </w:p>
        </w:tc>
        <w:tc>
          <w:tcPr>
            <w:tcW w:w="1698" w:type="dxa"/>
            <w:vAlign w:val="top"/>
          </w:tcPr>
          <w:p>
            <w:pPr>
              <w:pStyle w:val="TableText"/>
              <w:ind w:left="617" w:right="149" w:hanging="471"/>
              <w:spacing w:before="169" w:line="252" w:lineRule="auto"/>
              <w:rPr>
                <w:rFonts w:ascii="SimSun" w:hAnsi="SimSun" w:eastAsia="SimSun" w:cs="SimSun"/>
              </w:rPr>
            </w:pPr>
            <w:r>
              <w:rPr>
                <w:rFonts w:ascii="SimSun" w:hAnsi="SimSun" w:eastAsia="SimSun" w:cs="SimSun"/>
                <w:spacing w:val="-1"/>
              </w:rPr>
              <w:t>内环函〔</w:t>
            </w:r>
            <w:r>
              <w:rPr>
                <w:spacing w:val="-1"/>
              </w:rPr>
              <w:t>2023</w:t>
            </w:r>
            <w:r>
              <w:rPr>
                <w:rFonts w:ascii="SimSun" w:hAnsi="SimSun" w:eastAsia="SimSun" w:cs="SimSun"/>
                <w:spacing w:val="-1"/>
              </w:rPr>
              <w:t>〕</w:t>
            </w:r>
            <w:r>
              <w:rPr>
                <w:rFonts w:ascii="SimSun" w:hAnsi="SimSun" w:eastAsia="SimSun" w:cs="SimSun"/>
                <w:spacing w:val="4"/>
              </w:rPr>
              <w:t xml:space="preserve"> </w:t>
            </w:r>
            <w:r>
              <w:rPr/>
              <w:t>90</w:t>
            </w:r>
            <w:r>
              <w:rPr>
                <w:spacing w:val="13"/>
              </w:rPr>
              <w:t xml:space="preserve"> </w:t>
            </w:r>
            <w:r>
              <w:rPr>
                <w:rFonts w:ascii="SimSun" w:hAnsi="SimSun" w:eastAsia="SimSun" w:cs="SimSun"/>
              </w:rPr>
              <w:t>号</w:t>
            </w:r>
          </w:p>
        </w:tc>
        <w:tc>
          <w:tcPr>
            <w:tcW w:w="1437" w:type="dxa"/>
            <w:vAlign w:val="top"/>
          </w:tcPr>
          <w:p>
            <w:pPr>
              <w:pStyle w:val="TableText"/>
              <w:ind w:left="199"/>
              <w:spacing w:before="302" w:line="228" w:lineRule="auto"/>
              <w:rPr>
                <w:rFonts w:ascii="SimSun" w:hAnsi="SimSun" w:eastAsia="SimSun" w:cs="SimSun"/>
              </w:rPr>
            </w:pPr>
            <w:r>
              <w:rPr>
                <w:spacing w:val="3"/>
              </w:rPr>
              <w:t>800</w:t>
            </w:r>
            <w:r>
              <w:rPr>
                <w:spacing w:val="13"/>
              </w:rPr>
              <w:t xml:space="preserve"> </w:t>
            </w:r>
            <w:r>
              <w:rPr>
                <w:rFonts w:ascii="SimSun" w:hAnsi="SimSun" w:eastAsia="SimSun" w:cs="SimSun"/>
                <w:spacing w:val="3"/>
              </w:rPr>
              <w:t>万吨</w:t>
            </w:r>
            <w:r>
              <w:rPr>
                <w:spacing w:val="3"/>
              </w:rPr>
              <w:t>/</w:t>
            </w:r>
            <w:r>
              <w:rPr>
                <w:rFonts w:ascii="SimSun" w:hAnsi="SimSun" w:eastAsia="SimSun" w:cs="SimSun"/>
                <w:spacing w:val="3"/>
              </w:rPr>
              <w:t>年</w:t>
            </w:r>
          </w:p>
        </w:tc>
      </w:tr>
      <w:tr>
        <w:trPr>
          <w:trHeight w:val="822" w:hRule="atLeast"/>
        </w:trPr>
        <w:tc>
          <w:tcPr>
            <w:tcW w:w="921" w:type="dxa"/>
            <w:vAlign w:val="top"/>
          </w:tcPr>
          <w:p>
            <w:pPr>
              <w:spacing w:line="282" w:lineRule="auto"/>
              <w:rPr>
                <w:rFonts w:ascii="Arial"/>
                <w:sz w:val="21"/>
              </w:rPr>
            </w:pPr>
            <w:r/>
          </w:p>
          <w:p>
            <w:pPr>
              <w:pStyle w:val="TableText"/>
              <w:ind w:left="413"/>
              <w:spacing w:before="58" w:line="192" w:lineRule="auto"/>
              <w:rPr/>
            </w:pPr>
            <w:r>
              <w:rPr/>
              <w:t>7</w:t>
            </w:r>
          </w:p>
        </w:tc>
        <w:tc>
          <w:tcPr>
            <w:tcW w:w="2324" w:type="dxa"/>
            <w:vAlign w:val="top"/>
          </w:tcPr>
          <w:p>
            <w:pPr>
              <w:ind w:left="110" w:right="108" w:firstLine="31"/>
              <w:spacing w:before="32"/>
              <w:jc w:val="both"/>
              <w:rPr>
                <w:rFonts w:ascii="SimSun" w:hAnsi="SimSun" w:eastAsia="SimSun" w:cs="SimSun"/>
                <w:sz w:val="20"/>
                <w:szCs w:val="20"/>
              </w:rPr>
            </w:pPr>
            <w:r>
              <w:rPr>
                <w:rFonts w:ascii="SimSun" w:hAnsi="SimSun" w:eastAsia="SimSun" w:cs="SimSun"/>
                <w:sz w:val="20"/>
                <w:szCs w:val="20"/>
                <w:spacing w:val="6"/>
              </w:rPr>
              <w:t>白音华海州露天煤矿危</w:t>
            </w:r>
            <w:r>
              <w:rPr>
                <w:rFonts w:ascii="SimSun" w:hAnsi="SimSun" w:eastAsia="SimSun" w:cs="SimSun"/>
                <w:sz w:val="20"/>
                <w:szCs w:val="20"/>
                <w:spacing w:val="10"/>
              </w:rPr>
              <w:t>废暂存间建设项目环评</w:t>
            </w:r>
            <w:r>
              <w:rPr>
                <w:rFonts w:ascii="SimSun" w:hAnsi="SimSun" w:eastAsia="SimSun" w:cs="SimSun"/>
                <w:sz w:val="20"/>
                <w:szCs w:val="20"/>
                <w:spacing w:val="7"/>
              </w:rPr>
              <w:t>报告表</w:t>
            </w:r>
          </w:p>
        </w:tc>
        <w:tc>
          <w:tcPr>
            <w:tcW w:w="1444" w:type="dxa"/>
            <w:vAlign w:val="top"/>
          </w:tcPr>
          <w:p>
            <w:pPr>
              <w:ind w:left="306" w:right="195" w:hanging="99"/>
              <w:spacing w:before="167" w:line="254" w:lineRule="auto"/>
              <w:rPr>
                <w:rFonts w:ascii="SimSun" w:hAnsi="SimSun" w:eastAsia="SimSun" w:cs="SimSun"/>
                <w:sz w:val="20"/>
                <w:szCs w:val="20"/>
              </w:rPr>
            </w:pPr>
            <w:r>
              <w:rPr>
                <w:rFonts w:ascii="SimSun" w:hAnsi="SimSun" w:eastAsia="SimSun" w:cs="SimSun"/>
                <w:sz w:val="20"/>
                <w:szCs w:val="20"/>
                <w:spacing w:val="7"/>
              </w:rPr>
              <w:t>西乌珠穆沁</w:t>
            </w:r>
            <w:r>
              <w:rPr>
                <w:rFonts w:ascii="SimSun" w:hAnsi="SimSun" w:eastAsia="SimSun" w:cs="SimSun"/>
                <w:sz w:val="20"/>
                <w:szCs w:val="20"/>
                <w:spacing w:val="7"/>
              </w:rPr>
              <w:t>旗环保局</w:t>
            </w:r>
          </w:p>
        </w:tc>
        <w:tc>
          <w:tcPr>
            <w:tcW w:w="1459" w:type="dxa"/>
            <w:vAlign w:val="top"/>
          </w:tcPr>
          <w:p>
            <w:pPr>
              <w:pStyle w:val="TableText"/>
              <w:ind w:left="124"/>
              <w:spacing w:before="302" w:line="228" w:lineRule="auto"/>
              <w:rPr>
                <w:rFonts w:ascii="SimSun" w:hAnsi="SimSun" w:eastAsia="SimSun" w:cs="SimSun"/>
              </w:rPr>
            </w:pPr>
            <w:r>
              <w:rPr>
                <w:spacing w:val="1"/>
              </w:rPr>
              <w:t>2019 </w:t>
            </w:r>
            <w:r>
              <w:rPr>
                <w:rFonts w:ascii="SimSun" w:hAnsi="SimSun" w:eastAsia="SimSun" w:cs="SimSun"/>
                <w:spacing w:val="1"/>
              </w:rPr>
              <w:t>年</w:t>
            </w:r>
            <w:r>
              <w:rPr>
                <w:rFonts w:ascii="SimSun" w:hAnsi="SimSun" w:eastAsia="SimSun" w:cs="SimSun"/>
                <w:spacing w:val="-18"/>
              </w:rPr>
              <w:t xml:space="preserve"> </w:t>
            </w:r>
            <w:r>
              <w:rPr>
                <w:spacing w:val="1"/>
              </w:rPr>
              <w:t>12</w:t>
            </w:r>
            <w:r>
              <w:rPr>
                <w:spacing w:val="12"/>
                <w:w w:val="101"/>
              </w:rPr>
              <w:t xml:space="preserve"> </w:t>
            </w:r>
            <w:r>
              <w:rPr>
                <w:rFonts w:ascii="SimSun" w:hAnsi="SimSun" w:eastAsia="SimSun" w:cs="SimSun"/>
                <w:spacing w:val="1"/>
              </w:rPr>
              <w:t>月</w:t>
            </w:r>
          </w:p>
        </w:tc>
        <w:tc>
          <w:tcPr>
            <w:tcW w:w="1698" w:type="dxa"/>
            <w:vAlign w:val="top"/>
          </w:tcPr>
          <w:p>
            <w:pPr>
              <w:pStyle w:val="TableText"/>
              <w:ind w:left="346" w:right="331" w:firstLine="92"/>
              <w:spacing w:before="167" w:line="249" w:lineRule="auto"/>
              <w:rPr>
                <w:rFonts w:ascii="SimSun" w:hAnsi="SimSun" w:eastAsia="SimSun" w:cs="SimSun"/>
              </w:rPr>
            </w:pPr>
            <w:r>
              <w:rPr>
                <w:rFonts w:ascii="SimSun" w:hAnsi="SimSun" w:eastAsia="SimSun" w:cs="SimSun"/>
                <w:spacing w:val="6"/>
              </w:rPr>
              <w:t>西环审表</w:t>
            </w:r>
            <w:r>
              <w:rPr>
                <w:rFonts w:ascii="SimSun" w:hAnsi="SimSun" w:eastAsia="SimSun" w:cs="SimSun"/>
              </w:rPr>
              <w:t xml:space="preserve"> </w:t>
            </w:r>
            <w:r>
              <w:rPr>
                <w:spacing w:val="1"/>
              </w:rPr>
              <w:t>[2019]35</w:t>
            </w:r>
            <w:r>
              <w:rPr>
                <w:spacing w:val="21"/>
                <w:w w:val="101"/>
              </w:rPr>
              <w:t xml:space="preserve"> </w:t>
            </w:r>
            <w:r>
              <w:rPr>
                <w:rFonts w:ascii="SimSun" w:hAnsi="SimSun" w:eastAsia="SimSun" w:cs="SimSun"/>
                <w:spacing w:val="1"/>
              </w:rPr>
              <w:t>号</w:t>
            </w:r>
          </w:p>
        </w:tc>
        <w:tc>
          <w:tcPr>
            <w:tcW w:w="1437" w:type="dxa"/>
            <w:vAlign w:val="top"/>
          </w:tcPr>
          <w:p>
            <w:pPr>
              <w:spacing w:line="276" w:lineRule="auto"/>
              <w:rPr>
                <w:rFonts w:ascii="Arial"/>
                <w:sz w:val="21"/>
              </w:rPr>
            </w:pPr>
            <w:r/>
          </w:p>
          <w:p>
            <w:pPr>
              <w:pStyle w:val="TableText"/>
              <w:ind w:left="683"/>
              <w:spacing w:before="57" w:line="199" w:lineRule="auto"/>
              <w:rPr/>
            </w:pPr>
            <w:r>
              <w:rPr>
                <w:spacing w:val="2"/>
              </w:rPr>
              <w:t>/</w:t>
            </w:r>
          </w:p>
        </w:tc>
      </w:tr>
      <w:tr>
        <w:trPr>
          <w:trHeight w:val="820" w:hRule="atLeast"/>
        </w:trPr>
        <w:tc>
          <w:tcPr>
            <w:tcW w:w="921" w:type="dxa"/>
            <w:vAlign w:val="top"/>
          </w:tcPr>
          <w:p>
            <w:pPr>
              <w:spacing w:line="280" w:lineRule="auto"/>
              <w:rPr>
                <w:rFonts w:ascii="Arial"/>
                <w:sz w:val="21"/>
              </w:rPr>
            </w:pPr>
            <w:r/>
          </w:p>
          <w:p>
            <w:pPr>
              <w:pStyle w:val="TableText"/>
              <w:ind w:left="418"/>
              <w:spacing w:before="58" w:line="195" w:lineRule="auto"/>
              <w:rPr/>
            </w:pPr>
            <w:r>
              <w:rPr/>
              <w:t>8</w:t>
            </w:r>
          </w:p>
        </w:tc>
        <w:tc>
          <w:tcPr>
            <w:tcW w:w="2324" w:type="dxa"/>
            <w:vAlign w:val="top"/>
          </w:tcPr>
          <w:p>
            <w:pPr>
              <w:ind w:left="110" w:right="108" w:firstLine="31"/>
              <w:spacing w:before="30"/>
              <w:jc w:val="both"/>
              <w:rPr>
                <w:rFonts w:ascii="SimSun" w:hAnsi="SimSun" w:eastAsia="SimSun" w:cs="SimSun"/>
                <w:sz w:val="20"/>
                <w:szCs w:val="20"/>
              </w:rPr>
            </w:pPr>
            <w:r>
              <w:rPr>
                <w:rFonts w:ascii="SimSun" w:hAnsi="SimSun" w:eastAsia="SimSun" w:cs="SimSun"/>
                <w:sz w:val="20"/>
                <w:szCs w:val="20"/>
                <w:spacing w:val="6"/>
              </w:rPr>
              <w:t>白音华海州露天煤矿危</w:t>
            </w:r>
            <w:r>
              <w:rPr>
                <w:rFonts w:ascii="SimSun" w:hAnsi="SimSun" w:eastAsia="SimSun" w:cs="SimSun"/>
                <w:sz w:val="20"/>
                <w:szCs w:val="20"/>
                <w:spacing w:val="10"/>
              </w:rPr>
              <w:t>废暂存间建设项目竣工</w:t>
            </w:r>
            <w:r>
              <w:rPr>
                <w:rFonts w:ascii="SimSun" w:hAnsi="SimSun" w:eastAsia="SimSun" w:cs="SimSun"/>
                <w:sz w:val="20"/>
                <w:szCs w:val="20"/>
                <w:spacing w:val="8"/>
              </w:rPr>
              <w:t>环保验收调查表</w:t>
            </w:r>
          </w:p>
        </w:tc>
        <w:tc>
          <w:tcPr>
            <w:tcW w:w="1444" w:type="dxa"/>
            <w:vAlign w:val="top"/>
          </w:tcPr>
          <w:p>
            <w:pPr>
              <w:ind w:left="342"/>
              <w:spacing w:before="303" w:line="228" w:lineRule="auto"/>
              <w:rPr>
                <w:rFonts w:ascii="SimSun" w:hAnsi="SimSun" w:eastAsia="SimSun" w:cs="SimSun"/>
                <w:sz w:val="20"/>
                <w:szCs w:val="20"/>
              </w:rPr>
            </w:pPr>
            <w:r>
              <w:rPr>
                <w:rFonts w:ascii="SimSun" w:hAnsi="SimSun" w:eastAsia="SimSun" w:cs="SimSun"/>
                <w:sz w:val="20"/>
                <w:szCs w:val="20"/>
                <w:spacing w:val="-2"/>
              </w:rPr>
              <w:t>自主验收</w:t>
            </w:r>
          </w:p>
        </w:tc>
        <w:tc>
          <w:tcPr>
            <w:tcW w:w="1459" w:type="dxa"/>
            <w:vAlign w:val="top"/>
          </w:tcPr>
          <w:p>
            <w:pPr>
              <w:pStyle w:val="TableText"/>
              <w:ind w:left="179"/>
              <w:spacing w:before="303" w:line="228" w:lineRule="auto"/>
              <w:rPr>
                <w:rFonts w:ascii="SimSun" w:hAnsi="SimSun" w:eastAsia="SimSun" w:cs="SimSun"/>
              </w:rPr>
            </w:pPr>
            <w:r>
              <w:rPr>
                <w:spacing w:val="1"/>
              </w:rPr>
              <w:t>2020</w:t>
            </w:r>
            <w:r>
              <w:rPr>
                <w:spacing w:val="15"/>
                <w:w w:val="101"/>
              </w:rPr>
              <w:t xml:space="preserve"> </w:t>
            </w:r>
            <w:r>
              <w:rPr>
                <w:rFonts w:ascii="SimSun" w:hAnsi="SimSun" w:eastAsia="SimSun" w:cs="SimSun"/>
                <w:spacing w:val="1"/>
              </w:rPr>
              <w:t>年</w:t>
            </w:r>
            <w:r>
              <w:rPr>
                <w:rFonts w:ascii="SimSun" w:hAnsi="SimSun" w:eastAsia="SimSun" w:cs="SimSun"/>
                <w:spacing w:val="-39"/>
              </w:rPr>
              <w:t xml:space="preserve"> </w:t>
            </w:r>
            <w:r>
              <w:rPr>
                <w:spacing w:val="1"/>
              </w:rPr>
              <w:t>9</w:t>
            </w:r>
            <w:r>
              <w:rPr>
                <w:spacing w:val="17"/>
              </w:rPr>
              <w:t xml:space="preserve"> </w:t>
            </w:r>
            <w:r>
              <w:rPr>
                <w:rFonts w:ascii="SimSun" w:hAnsi="SimSun" w:eastAsia="SimSun" w:cs="SimSun"/>
                <w:spacing w:val="1"/>
              </w:rPr>
              <w:t>月</w:t>
            </w:r>
          </w:p>
        </w:tc>
        <w:tc>
          <w:tcPr>
            <w:tcW w:w="1698" w:type="dxa"/>
            <w:vAlign w:val="top"/>
          </w:tcPr>
          <w:p>
            <w:pPr>
              <w:spacing w:line="277" w:lineRule="auto"/>
              <w:rPr>
                <w:rFonts w:ascii="Arial"/>
                <w:sz w:val="21"/>
              </w:rPr>
            </w:pPr>
            <w:r/>
          </w:p>
          <w:p>
            <w:pPr>
              <w:pStyle w:val="TableText"/>
              <w:ind w:left="819"/>
              <w:spacing w:before="57" w:line="199" w:lineRule="auto"/>
              <w:rPr/>
            </w:pPr>
            <w:r>
              <w:rPr>
                <w:spacing w:val="2"/>
              </w:rPr>
              <w:t>/</w:t>
            </w:r>
          </w:p>
        </w:tc>
        <w:tc>
          <w:tcPr>
            <w:tcW w:w="1437" w:type="dxa"/>
            <w:vAlign w:val="top"/>
          </w:tcPr>
          <w:p>
            <w:pPr>
              <w:spacing w:line="277" w:lineRule="auto"/>
              <w:rPr>
                <w:rFonts w:ascii="Arial"/>
                <w:sz w:val="21"/>
              </w:rPr>
            </w:pPr>
            <w:r/>
          </w:p>
          <w:p>
            <w:pPr>
              <w:pStyle w:val="TableText"/>
              <w:ind w:left="683"/>
              <w:spacing w:before="57" w:line="199" w:lineRule="auto"/>
              <w:rPr/>
            </w:pPr>
            <w:r>
              <w:rPr>
                <w:spacing w:val="2"/>
              </w:rPr>
              <w:t>/</w:t>
            </w:r>
          </w:p>
        </w:tc>
      </w:tr>
      <w:tr>
        <w:trPr>
          <w:trHeight w:val="1094" w:hRule="atLeast"/>
        </w:trPr>
        <w:tc>
          <w:tcPr>
            <w:tcW w:w="921" w:type="dxa"/>
            <w:vAlign w:val="top"/>
          </w:tcPr>
          <w:p>
            <w:pPr>
              <w:spacing w:line="417" w:lineRule="auto"/>
              <w:rPr>
                <w:rFonts w:ascii="Arial"/>
                <w:sz w:val="21"/>
              </w:rPr>
            </w:pPr>
            <w:r/>
          </w:p>
          <w:p>
            <w:pPr>
              <w:pStyle w:val="TableText"/>
              <w:ind w:left="413"/>
              <w:spacing w:before="58" w:line="195" w:lineRule="auto"/>
              <w:rPr/>
            </w:pPr>
            <w:r>
              <w:rPr/>
              <w:t>9</w:t>
            </w:r>
          </w:p>
        </w:tc>
        <w:tc>
          <w:tcPr>
            <w:tcW w:w="2324" w:type="dxa"/>
            <w:vAlign w:val="top"/>
          </w:tcPr>
          <w:p>
            <w:pPr>
              <w:ind w:left="110" w:right="108" w:firstLine="31"/>
              <w:spacing w:before="35" w:line="242" w:lineRule="auto"/>
              <w:jc w:val="both"/>
              <w:rPr>
                <w:rFonts w:ascii="SimSun" w:hAnsi="SimSun" w:eastAsia="SimSun" w:cs="SimSun"/>
                <w:sz w:val="20"/>
                <w:szCs w:val="20"/>
              </w:rPr>
            </w:pPr>
            <w:r>
              <w:rPr>
                <w:rFonts w:ascii="SimSun" w:hAnsi="SimSun" w:eastAsia="SimSun" w:cs="SimSun"/>
                <w:sz w:val="20"/>
                <w:szCs w:val="20"/>
                <w:spacing w:val="6"/>
              </w:rPr>
              <w:t>白音华海州露天煤矿有</w:t>
            </w:r>
            <w:r>
              <w:rPr>
                <w:rFonts w:ascii="SimSun" w:hAnsi="SimSun" w:eastAsia="SimSun" w:cs="SimSun"/>
                <w:sz w:val="20"/>
                <w:szCs w:val="20"/>
                <w:spacing w:val="10"/>
              </w:rPr>
              <w:t>限责任公司煤质提升智</w:t>
            </w:r>
            <w:r>
              <w:rPr>
                <w:rFonts w:ascii="SimSun" w:hAnsi="SimSun" w:eastAsia="SimSun" w:cs="SimSun"/>
                <w:sz w:val="20"/>
                <w:szCs w:val="20"/>
                <w:spacing w:val="10"/>
              </w:rPr>
              <w:t>能化改造项目环境影响</w:t>
            </w:r>
            <w:r>
              <w:rPr>
                <w:rFonts w:ascii="SimSun" w:hAnsi="SimSun" w:eastAsia="SimSun" w:cs="SimSun"/>
                <w:sz w:val="20"/>
                <w:szCs w:val="20"/>
                <w:spacing w:val="7"/>
              </w:rPr>
              <w:t>报告表</w:t>
            </w:r>
          </w:p>
        </w:tc>
        <w:tc>
          <w:tcPr>
            <w:tcW w:w="1444" w:type="dxa"/>
            <w:vAlign w:val="top"/>
          </w:tcPr>
          <w:p>
            <w:pPr>
              <w:ind w:left="201"/>
              <w:spacing w:before="167" w:line="227" w:lineRule="auto"/>
              <w:rPr>
                <w:rFonts w:ascii="SimSun" w:hAnsi="SimSun" w:eastAsia="SimSun" w:cs="SimSun"/>
                <w:sz w:val="20"/>
                <w:szCs w:val="20"/>
              </w:rPr>
            </w:pPr>
            <w:r>
              <w:rPr>
                <w:rFonts w:ascii="SimSun" w:hAnsi="SimSun" w:eastAsia="SimSun" w:cs="SimSun"/>
                <w:sz w:val="20"/>
                <w:szCs w:val="20"/>
                <w:spacing w:val="8"/>
              </w:rPr>
              <w:t>锡林郭勒盟</w:t>
            </w:r>
          </w:p>
          <w:p>
            <w:pPr>
              <w:ind w:left="203"/>
              <w:spacing w:before="25" w:line="228" w:lineRule="auto"/>
              <w:rPr>
                <w:rFonts w:ascii="SimSun" w:hAnsi="SimSun" w:eastAsia="SimSun" w:cs="SimSun"/>
                <w:sz w:val="20"/>
                <w:szCs w:val="20"/>
              </w:rPr>
            </w:pPr>
            <w:r>
              <w:rPr>
                <w:rFonts w:ascii="SimSun" w:hAnsi="SimSun" w:eastAsia="SimSun" w:cs="SimSun"/>
                <w:sz w:val="20"/>
                <w:szCs w:val="20"/>
                <w:spacing w:val="7"/>
              </w:rPr>
              <w:t>生态环境局</w:t>
            </w:r>
          </w:p>
          <w:p>
            <w:pPr>
              <w:ind w:left="207"/>
              <w:spacing w:before="26" w:line="228" w:lineRule="auto"/>
              <w:rPr>
                <w:rFonts w:ascii="SimSun" w:hAnsi="SimSun" w:eastAsia="SimSun" w:cs="SimSun"/>
                <w:sz w:val="20"/>
                <w:szCs w:val="20"/>
              </w:rPr>
            </w:pPr>
            <w:r>
              <w:rPr>
                <w:rFonts w:ascii="SimSun" w:hAnsi="SimSun" w:eastAsia="SimSun" w:cs="SimSun"/>
                <w:sz w:val="20"/>
                <w:szCs w:val="20"/>
                <w:spacing w:val="7"/>
              </w:rPr>
              <w:t>西乌旗分局</w:t>
            </w:r>
          </w:p>
        </w:tc>
        <w:tc>
          <w:tcPr>
            <w:tcW w:w="1459" w:type="dxa"/>
            <w:vAlign w:val="top"/>
          </w:tcPr>
          <w:p>
            <w:pPr>
              <w:spacing w:line="373" w:lineRule="auto"/>
              <w:rPr>
                <w:rFonts w:ascii="Arial"/>
                <w:sz w:val="21"/>
              </w:rPr>
            </w:pPr>
            <w:r/>
          </w:p>
          <w:p>
            <w:pPr>
              <w:pStyle w:val="TableText"/>
              <w:ind w:left="179"/>
              <w:spacing w:before="65" w:line="228" w:lineRule="auto"/>
              <w:rPr>
                <w:rFonts w:ascii="SimSun" w:hAnsi="SimSun" w:eastAsia="SimSun" w:cs="SimSun"/>
              </w:rPr>
            </w:pPr>
            <w:r>
              <w:rPr>
                <w:spacing w:val="1"/>
              </w:rPr>
              <w:t>2025</w:t>
            </w:r>
            <w:r>
              <w:rPr>
                <w:spacing w:val="13"/>
                <w:w w:val="101"/>
              </w:rPr>
              <w:t xml:space="preserve"> </w:t>
            </w:r>
            <w:r>
              <w:rPr>
                <w:rFonts w:ascii="SimSun" w:hAnsi="SimSun" w:eastAsia="SimSun" w:cs="SimSun"/>
                <w:spacing w:val="1"/>
              </w:rPr>
              <w:t>年</w:t>
            </w:r>
            <w:r>
              <w:rPr>
                <w:rFonts w:ascii="SimSun" w:hAnsi="SimSun" w:eastAsia="SimSun" w:cs="SimSun"/>
                <w:spacing w:val="-37"/>
              </w:rPr>
              <w:t xml:space="preserve"> </w:t>
            </w:r>
            <w:r>
              <w:rPr>
                <w:spacing w:val="1"/>
              </w:rPr>
              <w:t>5</w:t>
            </w:r>
            <w:r>
              <w:rPr>
                <w:spacing w:val="17"/>
              </w:rPr>
              <w:t xml:space="preserve"> </w:t>
            </w:r>
            <w:r>
              <w:rPr>
                <w:rFonts w:ascii="SimSun" w:hAnsi="SimSun" w:eastAsia="SimSun" w:cs="SimSun"/>
                <w:spacing w:val="1"/>
              </w:rPr>
              <w:t>月</w:t>
            </w:r>
          </w:p>
        </w:tc>
        <w:tc>
          <w:tcPr>
            <w:tcW w:w="1698" w:type="dxa"/>
            <w:vAlign w:val="top"/>
          </w:tcPr>
          <w:p>
            <w:pPr>
              <w:pStyle w:val="TableText"/>
              <w:ind w:left="346" w:right="331" w:firstLine="92"/>
              <w:spacing w:before="305" w:line="249" w:lineRule="auto"/>
              <w:rPr>
                <w:rFonts w:ascii="SimSun" w:hAnsi="SimSun" w:eastAsia="SimSun" w:cs="SimSun"/>
              </w:rPr>
            </w:pPr>
            <w:r>
              <w:rPr>
                <w:rFonts w:ascii="SimSun" w:hAnsi="SimSun" w:eastAsia="SimSun" w:cs="SimSun"/>
                <w:spacing w:val="6"/>
              </w:rPr>
              <w:t>西环审表</w:t>
            </w:r>
            <w:r>
              <w:rPr>
                <w:rFonts w:ascii="SimSun" w:hAnsi="SimSun" w:eastAsia="SimSun" w:cs="SimSun"/>
              </w:rPr>
              <w:t xml:space="preserve"> </w:t>
            </w:r>
            <w:r>
              <w:rPr>
                <w:spacing w:val="1"/>
              </w:rPr>
              <w:t>[2025]13</w:t>
            </w:r>
            <w:r>
              <w:rPr>
                <w:spacing w:val="21"/>
                <w:w w:val="101"/>
              </w:rPr>
              <w:t xml:space="preserve"> </w:t>
            </w:r>
            <w:r>
              <w:rPr>
                <w:rFonts w:ascii="SimSun" w:hAnsi="SimSun" w:eastAsia="SimSun" w:cs="SimSun"/>
                <w:spacing w:val="1"/>
              </w:rPr>
              <w:t>号</w:t>
            </w:r>
          </w:p>
        </w:tc>
        <w:tc>
          <w:tcPr>
            <w:tcW w:w="1437" w:type="dxa"/>
            <w:vAlign w:val="top"/>
          </w:tcPr>
          <w:p>
            <w:pPr>
              <w:spacing w:line="413" w:lineRule="auto"/>
              <w:rPr>
                <w:rFonts w:ascii="Arial"/>
                <w:sz w:val="21"/>
              </w:rPr>
            </w:pPr>
            <w:r/>
          </w:p>
          <w:p>
            <w:pPr>
              <w:pStyle w:val="TableText"/>
              <w:ind w:left="683"/>
              <w:spacing w:before="58" w:line="199" w:lineRule="auto"/>
              <w:rPr/>
            </w:pPr>
            <w:r>
              <w:rPr>
                <w:spacing w:val="2"/>
              </w:rPr>
              <w:t>/</w:t>
            </w:r>
          </w:p>
        </w:tc>
      </w:tr>
      <w:tr>
        <w:trPr>
          <w:trHeight w:val="1098" w:hRule="atLeast"/>
        </w:trPr>
        <w:tc>
          <w:tcPr>
            <w:tcW w:w="921" w:type="dxa"/>
            <w:vAlign w:val="top"/>
          </w:tcPr>
          <w:p>
            <w:pPr>
              <w:spacing w:line="417" w:lineRule="auto"/>
              <w:rPr>
                <w:rFonts w:ascii="Arial"/>
                <w:sz w:val="21"/>
              </w:rPr>
            </w:pPr>
            <w:r/>
          </w:p>
          <w:p>
            <w:pPr>
              <w:pStyle w:val="TableText"/>
              <w:ind w:left="377"/>
              <w:spacing w:before="58" w:line="195" w:lineRule="auto"/>
              <w:rPr/>
            </w:pPr>
            <w:r>
              <w:rPr>
                <w:spacing w:val="-8"/>
              </w:rPr>
              <w:t>10</w:t>
            </w:r>
          </w:p>
        </w:tc>
        <w:tc>
          <w:tcPr>
            <w:tcW w:w="2324" w:type="dxa"/>
            <w:vAlign w:val="top"/>
          </w:tcPr>
          <w:p>
            <w:pPr>
              <w:ind w:left="111" w:right="108" w:firstLine="5"/>
              <w:spacing w:before="35" w:line="243" w:lineRule="auto"/>
              <w:jc w:val="both"/>
              <w:rPr>
                <w:rFonts w:ascii="SimSun" w:hAnsi="SimSun" w:eastAsia="SimSun" w:cs="SimSun"/>
                <w:sz w:val="20"/>
                <w:szCs w:val="20"/>
              </w:rPr>
            </w:pPr>
            <w:r>
              <w:rPr>
                <w:rFonts w:ascii="SimSun" w:hAnsi="SimSun" w:eastAsia="SimSun" w:cs="SimSun"/>
                <w:sz w:val="20"/>
                <w:szCs w:val="20"/>
                <w:spacing w:val="9"/>
              </w:rPr>
              <w:t>西乌珠穆沁旗白音华煤</w:t>
            </w:r>
            <w:r>
              <w:rPr>
                <w:rFonts w:ascii="SimSun" w:hAnsi="SimSun" w:eastAsia="SimSun" w:cs="SimSun"/>
                <w:sz w:val="20"/>
                <w:szCs w:val="20"/>
                <w:spacing w:val="9"/>
              </w:rPr>
              <w:t>田四号露天矿改建项目</w:t>
            </w:r>
            <w:r>
              <w:rPr>
                <w:rFonts w:ascii="SimSun" w:hAnsi="SimSun" w:eastAsia="SimSun" w:cs="SimSun"/>
                <w:sz w:val="20"/>
                <w:szCs w:val="20"/>
                <w:spacing w:val="8"/>
              </w:rPr>
              <w:t>（地面输煤系统改建）</w:t>
            </w:r>
            <w:r>
              <w:rPr>
                <w:rFonts w:ascii="SimSun" w:hAnsi="SimSun" w:eastAsia="SimSun" w:cs="SimSun"/>
                <w:sz w:val="20"/>
                <w:szCs w:val="20"/>
                <w:spacing w:val="8"/>
              </w:rPr>
              <w:t>环境影响报告表</w:t>
            </w:r>
          </w:p>
        </w:tc>
        <w:tc>
          <w:tcPr>
            <w:tcW w:w="1444" w:type="dxa"/>
            <w:vAlign w:val="top"/>
          </w:tcPr>
          <w:p>
            <w:pPr>
              <w:ind w:left="201"/>
              <w:spacing w:before="168" w:line="227" w:lineRule="auto"/>
              <w:rPr>
                <w:rFonts w:ascii="SimSun" w:hAnsi="SimSun" w:eastAsia="SimSun" w:cs="SimSun"/>
                <w:sz w:val="20"/>
                <w:szCs w:val="20"/>
              </w:rPr>
            </w:pPr>
            <w:r>
              <w:rPr>
                <w:rFonts w:ascii="SimSun" w:hAnsi="SimSun" w:eastAsia="SimSun" w:cs="SimSun"/>
                <w:sz w:val="20"/>
                <w:szCs w:val="20"/>
                <w:spacing w:val="8"/>
              </w:rPr>
              <w:t>锡林郭勒盟</w:t>
            </w:r>
          </w:p>
          <w:p>
            <w:pPr>
              <w:ind w:left="203"/>
              <w:spacing w:before="28" w:line="228" w:lineRule="auto"/>
              <w:rPr>
                <w:rFonts w:ascii="SimSun" w:hAnsi="SimSun" w:eastAsia="SimSun" w:cs="SimSun"/>
                <w:sz w:val="20"/>
                <w:szCs w:val="20"/>
              </w:rPr>
            </w:pPr>
            <w:r>
              <w:rPr>
                <w:rFonts w:ascii="SimSun" w:hAnsi="SimSun" w:eastAsia="SimSun" w:cs="SimSun"/>
                <w:sz w:val="20"/>
                <w:szCs w:val="20"/>
                <w:spacing w:val="7"/>
              </w:rPr>
              <w:t>生态环境局</w:t>
            </w:r>
          </w:p>
          <w:p>
            <w:pPr>
              <w:ind w:left="207"/>
              <w:spacing w:before="24" w:line="228" w:lineRule="auto"/>
              <w:rPr>
                <w:rFonts w:ascii="SimSun" w:hAnsi="SimSun" w:eastAsia="SimSun" w:cs="SimSun"/>
                <w:sz w:val="20"/>
                <w:szCs w:val="20"/>
              </w:rPr>
            </w:pPr>
            <w:r>
              <w:rPr>
                <w:rFonts w:ascii="SimSun" w:hAnsi="SimSun" w:eastAsia="SimSun" w:cs="SimSun"/>
                <w:sz w:val="20"/>
                <w:szCs w:val="20"/>
                <w:spacing w:val="7"/>
              </w:rPr>
              <w:t>西乌旗分局</w:t>
            </w:r>
          </w:p>
        </w:tc>
        <w:tc>
          <w:tcPr>
            <w:tcW w:w="1459" w:type="dxa"/>
            <w:vAlign w:val="top"/>
          </w:tcPr>
          <w:p>
            <w:pPr>
              <w:spacing w:line="374" w:lineRule="auto"/>
              <w:rPr>
                <w:rFonts w:ascii="Arial"/>
                <w:sz w:val="21"/>
              </w:rPr>
            </w:pPr>
            <w:r/>
          </w:p>
          <w:p>
            <w:pPr>
              <w:pStyle w:val="TableText"/>
              <w:ind w:left="124"/>
              <w:spacing w:before="65" w:line="228" w:lineRule="auto"/>
              <w:rPr>
                <w:rFonts w:ascii="SimSun" w:hAnsi="SimSun" w:eastAsia="SimSun" w:cs="SimSun"/>
              </w:rPr>
            </w:pPr>
            <w:r>
              <w:rPr>
                <w:spacing w:val="1"/>
              </w:rPr>
              <w:t>2025 </w:t>
            </w:r>
            <w:r>
              <w:rPr>
                <w:rFonts w:ascii="SimSun" w:hAnsi="SimSun" w:eastAsia="SimSun" w:cs="SimSun"/>
                <w:spacing w:val="1"/>
              </w:rPr>
              <w:t>年</w:t>
            </w:r>
            <w:r>
              <w:rPr>
                <w:rFonts w:ascii="SimSun" w:hAnsi="SimSun" w:eastAsia="SimSun" w:cs="SimSun"/>
                <w:spacing w:val="-18"/>
              </w:rPr>
              <w:t xml:space="preserve"> </w:t>
            </w:r>
            <w:r>
              <w:rPr>
                <w:spacing w:val="1"/>
              </w:rPr>
              <w:t>10</w:t>
            </w:r>
            <w:r>
              <w:rPr>
                <w:spacing w:val="12"/>
                <w:w w:val="101"/>
              </w:rPr>
              <w:t xml:space="preserve"> </w:t>
            </w:r>
            <w:r>
              <w:rPr>
                <w:rFonts w:ascii="SimSun" w:hAnsi="SimSun" w:eastAsia="SimSun" w:cs="SimSun"/>
                <w:spacing w:val="1"/>
              </w:rPr>
              <w:t>月</w:t>
            </w:r>
          </w:p>
        </w:tc>
        <w:tc>
          <w:tcPr>
            <w:tcW w:w="1698" w:type="dxa"/>
            <w:vAlign w:val="top"/>
          </w:tcPr>
          <w:p>
            <w:pPr>
              <w:spacing w:line="241" w:lineRule="auto"/>
              <w:rPr>
                <w:rFonts w:ascii="Arial"/>
                <w:sz w:val="21"/>
              </w:rPr>
            </w:pPr>
            <w:r/>
          </w:p>
          <w:p>
            <w:pPr>
              <w:pStyle w:val="TableText"/>
              <w:ind w:left="346" w:right="331" w:firstLine="92"/>
              <w:spacing w:before="65" w:line="247" w:lineRule="auto"/>
              <w:rPr>
                <w:rFonts w:ascii="SimSun" w:hAnsi="SimSun" w:eastAsia="SimSun" w:cs="SimSun"/>
              </w:rPr>
            </w:pPr>
            <w:r>
              <w:rPr>
                <w:rFonts w:ascii="SimSun" w:hAnsi="SimSun" w:eastAsia="SimSun" w:cs="SimSun"/>
                <w:spacing w:val="6"/>
              </w:rPr>
              <w:t>西环审表</w:t>
            </w:r>
            <w:r>
              <w:rPr>
                <w:rFonts w:ascii="SimSun" w:hAnsi="SimSun" w:eastAsia="SimSun" w:cs="SimSun"/>
              </w:rPr>
              <w:t xml:space="preserve"> </w:t>
            </w:r>
            <w:r>
              <w:rPr>
                <w:spacing w:val="1"/>
              </w:rPr>
              <w:t>[2025]23</w:t>
            </w:r>
            <w:r>
              <w:rPr>
                <w:spacing w:val="21"/>
                <w:w w:val="101"/>
              </w:rPr>
              <w:t xml:space="preserve"> </w:t>
            </w:r>
            <w:r>
              <w:rPr>
                <w:rFonts w:ascii="SimSun" w:hAnsi="SimSun" w:eastAsia="SimSun" w:cs="SimSun"/>
                <w:spacing w:val="1"/>
              </w:rPr>
              <w:t>号</w:t>
            </w:r>
          </w:p>
        </w:tc>
        <w:tc>
          <w:tcPr>
            <w:tcW w:w="1437" w:type="dxa"/>
            <w:vAlign w:val="top"/>
          </w:tcPr>
          <w:p>
            <w:pPr>
              <w:spacing w:line="413" w:lineRule="auto"/>
              <w:rPr>
                <w:rFonts w:ascii="Arial"/>
                <w:sz w:val="21"/>
              </w:rPr>
            </w:pPr>
            <w:r/>
          </w:p>
          <w:p>
            <w:pPr>
              <w:pStyle w:val="TableText"/>
              <w:ind w:left="683"/>
              <w:spacing w:before="58" w:line="199" w:lineRule="auto"/>
              <w:rPr/>
            </w:pPr>
            <w:r>
              <w:rPr>
                <w:spacing w:val="2"/>
              </w:rPr>
              <w:t>/</w:t>
            </w:r>
          </w:p>
        </w:tc>
      </w:tr>
    </w:tbl>
    <w:p>
      <w:pPr>
        <w:pStyle w:val="BodyText"/>
        <w:spacing w:line="362" w:lineRule="auto"/>
        <w:rPr/>
      </w:pPr>
      <w:r/>
    </w:p>
    <w:p>
      <w:pPr>
        <w:ind w:left="158"/>
        <w:spacing w:before="97" w:line="221" w:lineRule="auto"/>
        <w:outlineLvl w:val="1"/>
        <w:rPr>
          <w:rFonts w:ascii="SimHei" w:hAnsi="SimHei" w:eastAsia="SimHei" w:cs="SimHei"/>
          <w:sz w:val="30"/>
          <w:szCs w:val="30"/>
        </w:rPr>
      </w:pPr>
      <w:bookmarkStart w:name="bookmark19" w:id="32"/>
      <w:bookmarkEnd w:id="32"/>
      <w:r>
        <w:rPr>
          <w:rFonts w:ascii="Times New Roman" w:hAnsi="Times New Roman" w:eastAsia="Times New Roman" w:cs="Times New Roman"/>
          <w:sz w:val="30"/>
          <w:szCs w:val="30"/>
          <w:b/>
          <w:bCs/>
          <w:spacing w:val="-3"/>
        </w:rPr>
        <w:t>3.2 </w:t>
      </w:r>
      <w:r>
        <w:rPr>
          <w:rFonts w:ascii="SimHei" w:hAnsi="SimHei" w:eastAsia="SimHei" w:cs="SimHei"/>
          <w:sz w:val="30"/>
          <w:szCs w:val="30"/>
          <w:b/>
          <w:bCs/>
          <w:spacing w:val="-3"/>
        </w:rPr>
        <w:t>现有项目概况</w:t>
      </w:r>
    </w:p>
    <w:p>
      <w:pPr>
        <w:ind w:left="122" w:right="105" w:firstLine="478"/>
        <w:spacing w:before="164" w:line="340" w:lineRule="auto"/>
        <w:rPr>
          <w:rFonts w:ascii="SimSun" w:hAnsi="SimSun" w:eastAsia="SimSun" w:cs="SimSun"/>
          <w:sz w:val="24"/>
          <w:szCs w:val="24"/>
        </w:rPr>
      </w:pPr>
      <w:r>
        <w:rPr>
          <w:rFonts w:ascii="SimSun" w:hAnsi="SimSun" w:eastAsia="SimSun" w:cs="SimSun"/>
          <w:sz w:val="24"/>
          <w:szCs w:val="24"/>
          <w:spacing w:val="-2"/>
        </w:rPr>
        <w:t>本项目位于白音华煤田范围内，白音华煤田位于内蒙古自治区锡林郭勒盟西乌珠穆</w:t>
      </w:r>
      <w:r>
        <w:rPr>
          <w:rFonts w:ascii="SimSun" w:hAnsi="SimSun" w:eastAsia="SimSun" w:cs="SimSun"/>
          <w:sz w:val="24"/>
          <w:szCs w:val="24"/>
          <w:spacing w:val="-10"/>
        </w:rPr>
        <w:t>沁</w:t>
      </w:r>
      <w:r>
        <w:rPr>
          <w:rFonts w:ascii="SimSun" w:hAnsi="SimSun" w:eastAsia="SimSun" w:cs="SimSun"/>
          <w:sz w:val="24"/>
          <w:szCs w:val="24"/>
          <w:spacing w:val="-52"/>
        </w:rPr>
        <w:t xml:space="preserve"> </w:t>
      </w:r>
      <w:r>
        <w:rPr>
          <w:rFonts w:ascii="SimSun" w:hAnsi="SimSun" w:eastAsia="SimSun" w:cs="SimSun"/>
          <w:sz w:val="24"/>
          <w:szCs w:val="24"/>
          <w:spacing w:val="-10"/>
        </w:rPr>
        <w:t>旗 白</w:t>
      </w:r>
      <w:r>
        <w:rPr>
          <w:rFonts w:ascii="SimSun" w:hAnsi="SimSun" w:eastAsia="SimSun" w:cs="SimSun"/>
          <w:sz w:val="24"/>
          <w:szCs w:val="24"/>
          <w:spacing w:val="-49"/>
        </w:rPr>
        <w:t xml:space="preserve"> </w:t>
      </w:r>
      <w:r>
        <w:rPr>
          <w:rFonts w:ascii="SimSun" w:hAnsi="SimSun" w:eastAsia="SimSun" w:cs="SimSun"/>
          <w:sz w:val="24"/>
          <w:szCs w:val="24"/>
          <w:spacing w:val="-10"/>
        </w:rPr>
        <w:t>音</w:t>
      </w:r>
      <w:r>
        <w:rPr>
          <w:rFonts w:ascii="SimSun" w:hAnsi="SimSun" w:eastAsia="SimSun" w:cs="SimSun"/>
          <w:sz w:val="24"/>
          <w:szCs w:val="24"/>
          <w:spacing w:val="-49"/>
        </w:rPr>
        <w:t xml:space="preserve"> </w:t>
      </w:r>
      <w:r>
        <w:rPr>
          <w:rFonts w:ascii="SimSun" w:hAnsi="SimSun" w:eastAsia="SimSun" w:cs="SimSun"/>
          <w:sz w:val="24"/>
          <w:szCs w:val="24"/>
          <w:spacing w:val="-10"/>
        </w:rPr>
        <w:t>华</w:t>
      </w:r>
      <w:r>
        <w:rPr>
          <w:rFonts w:ascii="SimSun" w:hAnsi="SimSun" w:eastAsia="SimSun" w:cs="SimSun"/>
          <w:sz w:val="24"/>
          <w:szCs w:val="24"/>
          <w:spacing w:val="-44"/>
        </w:rPr>
        <w:t xml:space="preserve"> </w:t>
      </w:r>
      <w:r>
        <w:rPr>
          <w:rFonts w:ascii="SimSun" w:hAnsi="SimSun" w:eastAsia="SimSun" w:cs="SimSun"/>
          <w:sz w:val="24"/>
          <w:szCs w:val="24"/>
          <w:spacing w:val="-10"/>
        </w:rPr>
        <w:t>苏</w:t>
      </w:r>
      <w:r>
        <w:rPr>
          <w:rFonts w:ascii="SimSun" w:hAnsi="SimSun" w:eastAsia="SimSun" w:cs="SimSun"/>
          <w:sz w:val="24"/>
          <w:szCs w:val="24"/>
          <w:spacing w:val="-49"/>
        </w:rPr>
        <w:t xml:space="preserve"> </w:t>
      </w:r>
      <w:r>
        <w:rPr>
          <w:rFonts w:ascii="SimSun" w:hAnsi="SimSun" w:eastAsia="SimSun" w:cs="SimSun"/>
          <w:sz w:val="24"/>
          <w:szCs w:val="24"/>
          <w:spacing w:val="-10"/>
        </w:rPr>
        <w:t>木</w:t>
      </w:r>
      <w:r>
        <w:rPr>
          <w:rFonts w:ascii="SimSun" w:hAnsi="SimSun" w:eastAsia="SimSun" w:cs="SimSun"/>
          <w:sz w:val="24"/>
          <w:szCs w:val="24"/>
          <w:spacing w:val="-45"/>
        </w:rPr>
        <w:t xml:space="preserve"> </w:t>
      </w:r>
      <w:r>
        <w:rPr>
          <w:rFonts w:ascii="SimSun" w:hAnsi="SimSun" w:eastAsia="SimSun" w:cs="SimSun"/>
          <w:sz w:val="24"/>
          <w:szCs w:val="24"/>
          <w:spacing w:val="-10"/>
        </w:rPr>
        <w:t>管</w:t>
      </w:r>
      <w:r>
        <w:rPr>
          <w:rFonts w:ascii="SimSun" w:hAnsi="SimSun" w:eastAsia="SimSun" w:cs="SimSun"/>
          <w:sz w:val="24"/>
          <w:szCs w:val="24"/>
          <w:spacing w:val="-49"/>
        </w:rPr>
        <w:t xml:space="preserve"> </w:t>
      </w:r>
      <w:r>
        <w:rPr>
          <w:rFonts w:ascii="SimSun" w:hAnsi="SimSun" w:eastAsia="SimSun" w:cs="SimSun"/>
          <w:sz w:val="24"/>
          <w:szCs w:val="24"/>
          <w:spacing w:val="-10"/>
        </w:rPr>
        <w:t>辖</w:t>
      </w:r>
      <w:r>
        <w:rPr>
          <w:rFonts w:ascii="SimSun" w:hAnsi="SimSun" w:eastAsia="SimSun" w:cs="SimSun"/>
          <w:sz w:val="24"/>
          <w:szCs w:val="24"/>
          <w:spacing w:val="-45"/>
        </w:rPr>
        <w:t xml:space="preserve"> </w:t>
      </w:r>
      <w:r>
        <w:rPr>
          <w:rFonts w:ascii="SimSun" w:hAnsi="SimSun" w:eastAsia="SimSun" w:cs="SimSun"/>
          <w:sz w:val="24"/>
          <w:szCs w:val="24"/>
          <w:spacing w:val="-10"/>
        </w:rPr>
        <w:t>范</w:t>
      </w:r>
      <w:r>
        <w:rPr>
          <w:rFonts w:ascii="SimSun" w:hAnsi="SimSun" w:eastAsia="SimSun" w:cs="SimSun"/>
          <w:sz w:val="24"/>
          <w:szCs w:val="24"/>
          <w:spacing w:val="-29"/>
        </w:rPr>
        <w:t xml:space="preserve"> </w:t>
      </w:r>
      <w:r>
        <w:rPr>
          <w:rFonts w:ascii="SimSun" w:hAnsi="SimSun" w:eastAsia="SimSun" w:cs="SimSun"/>
          <w:sz w:val="24"/>
          <w:szCs w:val="24"/>
          <w:spacing w:val="-10"/>
        </w:rPr>
        <w:t>围 内</w:t>
      </w:r>
      <w:r>
        <w:rPr>
          <w:rFonts w:ascii="SimSun" w:hAnsi="SimSun" w:eastAsia="SimSun" w:cs="SimSun"/>
          <w:sz w:val="24"/>
          <w:szCs w:val="24"/>
          <w:spacing w:val="-28"/>
        </w:rPr>
        <w:t xml:space="preserve"> </w:t>
      </w:r>
      <w:r>
        <w:rPr>
          <w:rFonts w:ascii="SimSun" w:hAnsi="SimSun" w:eastAsia="SimSun" w:cs="SimSun"/>
          <w:sz w:val="24"/>
          <w:szCs w:val="24"/>
          <w:spacing w:val="-10"/>
        </w:rPr>
        <w:t>。</w:t>
      </w:r>
      <w:r>
        <w:rPr>
          <w:rFonts w:ascii="SimSun" w:hAnsi="SimSun" w:eastAsia="SimSun" w:cs="SimSun"/>
          <w:sz w:val="24"/>
          <w:szCs w:val="24"/>
          <w:spacing w:val="-49"/>
        </w:rPr>
        <w:t xml:space="preserve"> </w:t>
      </w:r>
      <w:r>
        <w:rPr>
          <w:rFonts w:ascii="SimSun" w:hAnsi="SimSun" w:eastAsia="SimSun" w:cs="SimSun"/>
          <w:sz w:val="24"/>
          <w:szCs w:val="24"/>
          <w:spacing w:val="-10"/>
        </w:rPr>
        <w:t>煤 田</w:t>
      </w:r>
      <w:r>
        <w:rPr>
          <w:rFonts w:ascii="SimSun" w:hAnsi="SimSun" w:eastAsia="SimSun" w:cs="SimSun"/>
          <w:sz w:val="24"/>
          <w:szCs w:val="24"/>
          <w:spacing w:val="-51"/>
        </w:rPr>
        <w:t xml:space="preserve"> </w:t>
      </w:r>
      <w:r>
        <w:rPr>
          <w:rFonts w:ascii="SimSun" w:hAnsi="SimSun" w:eastAsia="SimSun" w:cs="SimSun"/>
          <w:sz w:val="24"/>
          <w:szCs w:val="24"/>
          <w:spacing w:val="-10"/>
        </w:rPr>
        <w:t>地</w:t>
      </w:r>
      <w:r>
        <w:rPr>
          <w:rFonts w:ascii="SimSun" w:hAnsi="SimSun" w:eastAsia="SimSun" w:cs="SimSun"/>
          <w:sz w:val="24"/>
          <w:szCs w:val="24"/>
          <w:spacing w:val="-47"/>
        </w:rPr>
        <w:t xml:space="preserve"> </w:t>
      </w:r>
      <w:r>
        <w:rPr>
          <w:rFonts w:ascii="SimSun" w:hAnsi="SimSun" w:eastAsia="SimSun" w:cs="SimSun"/>
          <w:sz w:val="24"/>
          <w:szCs w:val="24"/>
          <w:spacing w:val="-10"/>
        </w:rPr>
        <w:t>理</w:t>
      </w:r>
      <w:r>
        <w:rPr>
          <w:rFonts w:ascii="SimSun" w:hAnsi="SimSun" w:eastAsia="SimSun" w:cs="SimSun"/>
          <w:sz w:val="24"/>
          <w:szCs w:val="24"/>
          <w:spacing w:val="-50"/>
        </w:rPr>
        <w:t xml:space="preserve"> </w:t>
      </w:r>
      <w:r>
        <w:rPr>
          <w:rFonts w:ascii="SimSun" w:hAnsi="SimSun" w:eastAsia="SimSun" w:cs="SimSun"/>
          <w:sz w:val="24"/>
          <w:szCs w:val="24"/>
          <w:spacing w:val="-10"/>
        </w:rPr>
        <w:t>坐</w:t>
      </w:r>
      <w:r>
        <w:rPr>
          <w:rFonts w:ascii="SimSun" w:hAnsi="SimSun" w:eastAsia="SimSun" w:cs="SimSun"/>
          <w:sz w:val="24"/>
          <w:szCs w:val="24"/>
          <w:spacing w:val="-50"/>
        </w:rPr>
        <w:t xml:space="preserve"> </w:t>
      </w:r>
      <w:r>
        <w:rPr>
          <w:rFonts w:ascii="SimSun" w:hAnsi="SimSun" w:eastAsia="SimSun" w:cs="SimSun"/>
          <w:sz w:val="24"/>
          <w:szCs w:val="24"/>
          <w:spacing w:val="-10"/>
        </w:rPr>
        <w:t>标</w:t>
      </w:r>
      <w:r>
        <w:rPr>
          <w:rFonts w:ascii="SimSun" w:hAnsi="SimSun" w:eastAsia="SimSun" w:cs="SimSun"/>
          <w:sz w:val="24"/>
          <w:szCs w:val="24"/>
          <w:spacing w:val="-48"/>
        </w:rPr>
        <w:t xml:space="preserve"> </w:t>
      </w:r>
      <w:r>
        <w:rPr>
          <w:rFonts w:ascii="SimSun" w:hAnsi="SimSun" w:eastAsia="SimSun" w:cs="SimSun"/>
          <w:sz w:val="24"/>
          <w:szCs w:val="24"/>
          <w:spacing w:val="-10"/>
        </w:rPr>
        <w:t>为</w:t>
      </w:r>
      <w:r>
        <w:rPr>
          <w:rFonts w:ascii="SimSun" w:hAnsi="SimSun" w:eastAsia="SimSun" w:cs="SimSun"/>
          <w:sz w:val="24"/>
          <w:szCs w:val="24"/>
          <w:spacing w:val="-30"/>
        </w:rPr>
        <w:t xml:space="preserve"> </w:t>
      </w:r>
      <w:r>
        <w:rPr>
          <w:rFonts w:ascii="SimSun" w:hAnsi="SimSun" w:eastAsia="SimSun" w:cs="SimSun"/>
          <w:sz w:val="24"/>
          <w:szCs w:val="24"/>
          <w:spacing w:val="-10"/>
        </w:rPr>
        <w:t>：</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E118</w:t>
      </w:r>
      <w:r>
        <w:rPr>
          <w:rFonts w:ascii="Times New Roman" w:hAnsi="Times New Roman" w:eastAsia="Times New Roman" w:cs="Times New Roman"/>
          <w:sz w:val="24"/>
          <w:szCs w:val="24"/>
          <w:spacing w:val="-11"/>
        </w:rPr>
        <w:t>°35′40″~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1"/>
        </w:rPr>
        <w:t>118°41′</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1"/>
        </w:rPr>
        <w:t>18″ </w:t>
      </w:r>
      <w:r>
        <w:rPr>
          <w:rFonts w:ascii="SimSun" w:hAnsi="SimSun" w:eastAsia="SimSun" w:cs="SimSun"/>
          <w:sz w:val="24"/>
          <w:szCs w:val="24"/>
          <w:spacing w:val="-11"/>
        </w:rPr>
        <w:t>，</w:t>
      </w:r>
    </w:p>
    <w:p>
      <w:pPr>
        <w:spacing w:line="340" w:lineRule="auto"/>
        <w:sectPr>
          <w:headerReference w:type="default" r:id="rId84"/>
          <w:footerReference w:type="default" r:id="rId85"/>
          <w:pgSz w:w="11906" w:h="16838"/>
          <w:pgMar w:top="1170" w:right="1311" w:bottom="1080" w:left="1305" w:header="837" w:footer="918" w:gutter="0"/>
        </w:sectPr>
        <w:rPr>
          <w:rFonts w:ascii="SimSun" w:hAnsi="SimSun" w:eastAsia="SimSun" w:cs="SimSun"/>
          <w:sz w:val="24"/>
          <w:szCs w:val="24"/>
        </w:rPr>
      </w:pPr>
    </w:p>
    <w:p>
      <w:pPr>
        <w:pStyle w:val="BodyText"/>
        <w:spacing w:line="311" w:lineRule="auto"/>
        <w:rPr/>
      </w:pPr>
      <w:r/>
    </w:p>
    <w:p>
      <w:pPr>
        <w:ind w:left="12" w:right="108" w:hanging="13"/>
        <w:spacing w:before="78" w:line="339" w:lineRule="auto"/>
        <w:rPr>
          <w:rFonts w:ascii="SimSun" w:hAnsi="SimSun" w:eastAsia="SimSun" w:cs="SimSun"/>
          <w:sz w:val="24"/>
          <w:szCs w:val="24"/>
        </w:rPr>
      </w:pPr>
      <w:r>
        <w:rPr>
          <w:rFonts w:ascii="Times New Roman" w:hAnsi="Times New Roman" w:eastAsia="Times New Roman" w:cs="Times New Roman"/>
          <w:sz w:val="24"/>
          <w:szCs w:val="24"/>
          <w:spacing w:val="2"/>
        </w:rPr>
        <w:t>N44°56′35″~45°01′37″</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。四号露</w:t>
      </w:r>
      <w:r>
        <w:rPr>
          <w:rFonts w:ascii="SimSun" w:hAnsi="SimSun" w:eastAsia="SimSun" w:cs="SimSun"/>
          <w:sz w:val="24"/>
          <w:szCs w:val="24"/>
          <w:spacing w:val="1"/>
        </w:rPr>
        <w:t>天矿位于煤田东北部，隶属白音华苏木管辖。其地理坐</w:t>
      </w:r>
      <w:r>
        <w:rPr>
          <w:rFonts w:ascii="SimSun" w:hAnsi="SimSun" w:eastAsia="SimSun" w:cs="SimSun"/>
          <w:sz w:val="24"/>
          <w:szCs w:val="24"/>
          <w:spacing w:val="-3"/>
        </w:rPr>
        <w:t>标为：</w:t>
      </w:r>
      <w:r>
        <w:rPr>
          <w:rFonts w:ascii="Times New Roman" w:hAnsi="Times New Roman" w:eastAsia="Times New Roman" w:cs="Times New Roman"/>
          <w:sz w:val="24"/>
          <w:szCs w:val="24"/>
          <w:spacing w:val="-3"/>
        </w:rPr>
        <w:t>E118°36′45″~</w:t>
      </w:r>
      <w:r>
        <w:rPr>
          <w:rFonts w:ascii="Times New Roman" w:hAnsi="Times New Roman" w:eastAsia="Times New Roman" w:cs="Times New Roman"/>
          <w:sz w:val="24"/>
          <w:szCs w:val="24"/>
          <w:spacing w:val="-15"/>
        </w:rPr>
        <w:t xml:space="preserve"> </w:t>
      </w:r>
      <w:r>
        <w:rPr>
          <w:rFonts w:ascii="Times New Roman" w:hAnsi="Times New Roman" w:eastAsia="Times New Roman" w:cs="Times New Roman"/>
          <w:sz w:val="24"/>
          <w:szCs w:val="24"/>
          <w:spacing w:val="-3"/>
        </w:rPr>
        <w:t>118°39′</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3"/>
        </w:rPr>
        <w:t>15″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N44°57′</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15″~45°00′45″</w:t>
      </w:r>
      <w:r>
        <w:rPr>
          <w:rFonts w:ascii="SimSun" w:hAnsi="SimSun" w:eastAsia="SimSun" w:cs="SimSun"/>
          <w:sz w:val="24"/>
          <w:szCs w:val="24"/>
          <w:spacing w:val="-3"/>
        </w:rPr>
        <w:t>。</w:t>
      </w:r>
    </w:p>
    <w:p>
      <w:pPr>
        <w:ind w:left="11" w:firstLine="484"/>
        <w:spacing w:before="3" w:line="338" w:lineRule="auto"/>
        <w:jc w:val="both"/>
        <w:rPr>
          <w:rFonts w:ascii="SimSun" w:hAnsi="SimSun" w:eastAsia="SimSun" w:cs="SimSun"/>
          <w:sz w:val="24"/>
          <w:szCs w:val="24"/>
        </w:rPr>
      </w:pPr>
      <w:r>
        <w:rPr>
          <w:rFonts w:ascii="SimSun" w:hAnsi="SimSun" w:eastAsia="SimSun" w:cs="SimSun"/>
          <w:sz w:val="24"/>
          <w:szCs w:val="24"/>
          <w:spacing w:val="-1"/>
        </w:rPr>
        <w:t>项目所在区域交通方便，项目西南距西乌珠穆沁旗政府所在地巴彦乌拉镇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10km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w:t>
      </w:r>
      <w:r>
        <w:rPr>
          <w:rFonts w:ascii="SimSun" w:hAnsi="SimSun" w:eastAsia="SimSun" w:cs="SimSun"/>
          <w:sz w:val="24"/>
          <w:szCs w:val="24"/>
          <w:spacing w:val="-1"/>
        </w:rPr>
        <w:t>东北距霍林郭勒市</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130km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，南距巴林右旗政府所在地大板镇</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68km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S307</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省道项目区</w:t>
      </w:r>
      <w:r>
        <w:rPr>
          <w:rFonts w:ascii="SimSun" w:hAnsi="SimSun" w:eastAsia="SimSun" w:cs="SimSun"/>
          <w:sz w:val="24"/>
          <w:szCs w:val="24"/>
          <w:spacing w:val="-1"/>
        </w:rPr>
        <w:t>南侧东西向通过，白（音华</w:t>
      </w:r>
      <w:r>
        <w:rPr>
          <w:rFonts w:ascii="SimSun" w:hAnsi="SimSun" w:eastAsia="SimSun" w:cs="SimSun"/>
          <w:sz w:val="24"/>
          <w:szCs w:val="24"/>
          <w:spacing w:val="-11"/>
        </w:rPr>
        <w:t>）～</w:t>
      </w:r>
      <w:r>
        <w:rPr>
          <w:rFonts w:ascii="SimSun" w:hAnsi="SimSun" w:eastAsia="SimSun" w:cs="SimSun"/>
          <w:sz w:val="24"/>
          <w:szCs w:val="24"/>
          <w:spacing w:val="-1"/>
        </w:rPr>
        <w:t>霍（林河）一级公路从井田南侧东西向通过，锡（林浩</w:t>
      </w:r>
      <w:r>
        <w:rPr>
          <w:rFonts w:ascii="SimSun" w:hAnsi="SimSun" w:eastAsia="SimSun" w:cs="SimSun"/>
          <w:sz w:val="24"/>
          <w:szCs w:val="24"/>
          <w:spacing w:val="3"/>
        </w:rPr>
        <w:t>特</w:t>
      </w:r>
      <w:r>
        <w:rPr>
          <w:rFonts w:ascii="SimSun" w:hAnsi="SimSun" w:eastAsia="SimSun" w:cs="SimSun"/>
          <w:sz w:val="24"/>
          <w:szCs w:val="24"/>
          <w:spacing w:val="-9"/>
        </w:rPr>
        <w:t>）～</w:t>
      </w:r>
      <w:r>
        <w:rPr>
          <w:rFonts w:ascii="SimSun" w:hAnsi="SimSun" w:eastAsia="SimSun" w:cs="SimSun"/>
          <w:sz w:val="24"/>
          <w:szCs w:val="24"/>
          <w:spacing w:val="3"/>
        </w:rPr>
        <w:t>乌（兰浩特）铁路从井田南侧东西向通过，赤（峰</w:t>
      </w:r>
      <w:r>
        <w:rPr>
          <w:rFonts w:ascii="SimSun" w:hAnsi="SimSun" w:eastAsia="SimSun" w:cs="SimSun"/>
          <w:sz w:val="24"/>
          <w:szCs w:val="24"/>
          <w:spacing w:val="-9"/>
        </w:rPr>
        <w:t>）～</w:t>
      </w:r>
      <w:r>
        <w:rPr>
          <w:rFonts w:ascii="SimSun" w:hAnsi="SimSun" w:eastAsia="SimSun" w:cs="SimSun"/>
          <w:sz w:val="24"/>
          <w:szCs w:val="24"/>
          <w:spacing w:val="3"/>
        </w:rPr>
        <w:t>大（板</w:t>
      </w:r>
      <w:r>
        <w:rPr>
          <w:rFonts w:ascii="SimSun" w:hAnsi="SimSun" w:eastAsia="SimSun" w:cs="SimSun"/>
          <w:sz w:val="24"/>
          <w:szCs w:val="24"/>
          <w:spacing w:val="-9"/>
        </w:rPr>
        <w:t>）～</w:t>
      </w:r>
      <w:r>
        <w:rPr>
          <w:rFonts w:ascii="SimSun" w:hAnsi="SimSun" w:eastAsia="SimSun" w:cs="SimSun"/>
          <w:sz w:val="24"/>
          <w:szCs w:val="24"/>
          <w:spacing w:val="3"/>
        </w:rPr>
        <w:t>白（音 华）</w:t>
      </w:r>
      <w:r>
        <w:rPr>
          <w:rFonts w:ascii="SimSun" w:hAnsi="SimSun" w:eastAsia="SimSun" w:cs="SimSun"/>
          <w:sz w:val="24"/>
          <w:szCs w:val="24"/>
          <w:spacing w:val="-1"/>
        </w:rPr>
        <w:t>铁路在白音华镇与锡（林浩特</w:t>
      </w:r>
      <w:r>
        <w:rPr>
          <w:rFonts w:ascii="SimSun" w:hAnsi="SimSun" w:eastAsia="SimSun" w:cs="SimSun"/>
          <w:sz w:val="24"/>
          <w:szCs w:val="24"/>
          <w:spacing w:val="-10"/>
        </w:rPr>
        <w:t>）～</w:t>
      </w:r>
      <w:r>
        <w:rPr>
          <w:rFonts w:ascii="SimSun" w:hAnsi="SimSun" w:eastAsia="SimSun" w:cs="SimSun"/>
          <w:sz w:val="24"/>
          <w:szCs w:val="24"/>
          <w:spacing w:val="-1"/>
        </w:rPr>
        <w:t>乌（兰浩特）铁路接轨，扎（哈淖尔</w:t>
      </w:r>
      <w:r>
        <w:rPr>
          <w:rFonts w:ascii="SimSun" w:hAnsi="SimSun" w:eastAsia="SimSun" w:cs="SimSun"/>
          <w:sz w:val="24"/>
          <w:szCs w:val="24"/>
          <w:spacing w:val="-10"/>
        </w:rPr>
        <w:t>）～</w:t>
      </w:r>
      <w:r>
        <w:rPr>
          <w:rFonts w:ascii="SimSun" w:hAnsi="SimSun" w:eastAsia="SimSun" w:cs="SimSun"/>
          <w:sz w:val="24"/>
          <w:szCs w:val="24"/>
          <w:spacing w:val="-1"/>
        </w:rPr>
        <w:t>伊（图 塔）</w:t>
      </w:r>
      <w:r>
        <w:rPr>
          <w:rFonts w:ascii="SimSun" w:hAnsi="SimSun" w:eastAsia="SimSun" w:cs="SimSun"/>
          <w:sz w:val="24"/>
          <w:szCs w:val="24"/>
          <w:spacing w:val="-1"/>
        </w:rPr>
        <w:t>铁路为本矿煤炭运输专用通道，交通便利。</w:t>
      </w:r>
    </w:p>
    <w:p>
      <w:pPr>
        <w:ind w:left="11" w:right="104" w:firstLine="480"/>
        <w:spacing w:before="1" w:line="335" w:lineRule="auto"/>
        <w:jc w:val="both"/>
        <w:rPr>
          <w:rFonts w:ascii="SimSun" w:hAnsi="SimSun" w:eastAsia="SimSun" w:cs="SimSun"/>
          <w:sz w:val="24"/>
          <w:szCs w:val="24"/>
        </w:rPr>
      </w:pPr>
      <w:r>
        <w:rPr>
          <w:rFonts w:ascii="SimSun" w:hAnsi="SimSun" w:eastAsia="SimSun" w:cs="SimSun"/>
          <w:sz w:val="24"/>
          <w:szCs w:val="24"/>
          <w:spacing w:val="-3"/>
        </w:rPr>
        <w:t>井田位于白音华煤田内，为“一证两井</w:t>
      </w:r>
      <w:r>
        <w:rPr>
          <w:rFonts w:ascii="SimSun" w:hAnsi="SimSun" w:eastAsia="SimSun" w:cs="SimSun"/>
          <w:sz w:val="24"/>
          <w:szCs w:val="24"/>
          <w:spacing w:val="-71"/>
        </w:rPr>
        <w:t xml:space="preserve"> </w:t>
      </w:r>
      <w:r>
        <w:rPr>
          <w:rFonts w:ascii="SimSun" w:hAnsi="SimSun" w:eastAsia="SimSun" w:cs="SimSun"/>
          <w:sz w:val="24"/>
          <w:szCs w:val="24"/>
          <w:spacing w:val="-3"/>
        </w:rPr>
        <w:t>”矿，开采方式：露天／地下开采。一期工</w:t>
      </w:r>
      <w:r>
        <w:rPr>
          <w:rFonts w:ascii="SimSun" w:hAnsi="SimSun" w:eastAsia="SimSun" w:cs="SimSun"/>
          <w:sz w:val="24"/>
          <w:szCs w:val="24"/>
          <w:spacing w:val="-1"/>
        </w:rPr>
        <w:t>程为露天开采，二期工程为井工开采。</w:t>
      </w:r>
      <w:r>
        <w:rPr>
          <w:rFonts w:ascii="SimSun" w:hAnsi="SimSun" w:eastAsia="SimSun" w:cs="SimSun"/>
          <w:sz w:val="24"/>
          <w:szCs w:val="24"/>
          <w:spacing w:val="-65"/>
        </w:rPr>
        <w:t xml:space="preserve"> </w:t>
      </w:r>
      <w:r>
        <w:rPr>
          <w:rFonts w:ascii="SimSun" w:hAnsi="SimSun" w:eastAsia="SimSun" w:cs="SimSun"/>
          <w:sz w:val="24"/>
          <w:szCs w:val="24"/>
          <w:spacing w:val="-1"/>
        </w:rPr>
        <w:t>目前露天区开采面积</w:t>
      </w:r>
      <w:r>
        <w:rPr>
          <w:rFonts w:ascii="SimSun" w:hAnsi="SimSun" w:eastAsia="SimSun" w:cs="SimSun"/>
          <w:sz w:val="24"/>
          <w:szCs w:val="24"/>
          <w:spacing w:val="-42"/>
        </w:rPr>
        <w:t xml:space="preserve"> </w:t>
      </w:r>
      <w:r>
        <w:rPr>
          <w:rFonts w:ascii="SimSun" w:hAnsi="SimSun" w:eastAsia="SimSun" w:cs="SimSun"/>
          <w:sz w:val="24"/>
          <w:szCs w:val="24"/>
          <w:spacing w:val="-1"/>
        </w:rPr>
        <w:t>9.2375km</w:t>
      </w:r>
      <w:r>
        <w:rPr>
          <w:rFonts w:ascii="SimSun" w:hAnsi="SimSun" w:eastAsia="SimSun" w:cs="SimSun"/>
          <w:sz w:val="12"/>
          <w:szCs w:val="12"/>
          <w:spacing w:val="-1"/>
          <w:position w:val="11"/>
        </w:rPr>
        <w:t>2</w:t>
      </w:r>
      <w:r>
        <w:rPr>
          <w:rFonts w:ascii="SimSun" w:hAnsi="SimSun" w:eastAsia="SimSun" w:cs="SimSun"/>
          <w:sz w:val="12"/>
          <w:szCs w:val="12"/>
          <w:spacing w:val="-29"/>
          <w:position w:val="11"/>
        </w:rPr>
        <w:t xml:space="preserve"> </w:t>
      </w:r>
      <w:r>
        <w:rPr>
          <w:rFonts w:ascii="SimSun" w:hAnsi="SimSun" w:eastAsia="SimSun" w:cs="SimSun"/>
          <w:sz w:val="24"/>
          <w:szCs w:val="24"/>
          <w:spacing w:val="-1"/>
        </w:rPr>
        <w:t>，设计生产能力</w:t>
      </w:r>
      <w:r>
        <w:rPr>
          <w:rFonts w:ascii="SimSun" w:hAnsi="SimSun" w:eastAsia="SimSun" w:cs="SimSun"/>
          <w:sz w:val="24"/>
          <w:szCs w:val="24"/>
          <w:spacing w:val="-3"/>
        </w:rPr>
        <w:t>500</w:t>
      </w:r>
      <w:r>
        <w:rPr>
          <w:rFonts w:ascii="SimSun" w:hAnsi="SimSun" w:eastAsia="SimSun" w:cs="SimSun"/>
          <w:sz w:val="24"/>
          <w:szCs w:val="24"/>
          <w:spacing w:val="-32"/>
        </w:rPr>
        <w:t xml:space="preserve"> </w:t>
      </w:r>
      <w:r>
        <w:rPr>
          <w:rFonts w:ascii="SimSun" w:hAnsi="SimSun" w:eastAsia="SimSun" w:cs="SimSun"/>
          <w:sz w:val="24"/>
          <w:szCs w:val="24"/>
          <w:spacing w:val="-3"/>
        </w:rPr>
        <w:t>万吨/年，井工区开采面积</w:t>
      </w:r>
      <w:r>
        <w:rPr>
          <w:rFonts w:ascii="SimSun" w:hAnsi="SimSun" w:eastAsia="SimSun" w:cs="SimSun"/>
          <w:sz w:val="24"/>
          <w:szCs w:val="24"/>
          <w:spacing w:val="-32"/>
        </w:rPr>
        <w:t xml:space="preserve"> </w:t>
      </w:r>
      <w:r>
        <w:rPr>
          <w:rFonts w:ascii="SimSun" w:hAnsi="SimSun" w:eastAsia="SimSun" w:cs="SimSun"/>
          <w:sz w:val="24"/>
          <w:szCs w:val="24"/>
          <w:spacing w:val="-3"/>
        </w:rPr>
        <w:t>15.7706km</w:t>
      </w:r>
      <w:r>
        <w:rPr>
          <w:rFonts w:ascii="SimSun" w:hAnsi="SimSun" w:eastAsia="SimSun" w:cs="SimSun"/>
          <w:sz w:val="12"/>
          <w:szCs w:val="12"/>
          <w:spacing w:val="-3"/>
          <w:position w:val="12"/>
        </w:rPr>
        <w:t>2</w:t>
      </w:r>
      <w:r>
        <w:rPr>
          <w:rFonts w:ascii="SimSun" w:hAnsi="SimSun" w:eastAsia="SimSun" w:cs="SimSun"/>
          <w:sz w:val="12"/>
          <w:szCs w:val="12"/>
          <w:spacing w:val="-31"/>
          <w:position w:val="12"/>
        </w:rPr>
        <w:t xml:space="preserve"> </w:t>
      </w:r>
      <w:r>
        <w:rPr>
          <w:rFonts w:ascii="SimSun" w:hAnsi="SimSun" w:eastAsia="SimSun" w:cs="SimSun"/>
          <w:sz w:val="24"/>
          <w:szCs w:val="24"/>
          <w:spacing w:val="-3"/>
        </w:rPr>
        <w:t>，设计生产能力</w:t>
      </w:r>
      <w:r>
        <w:rPr>
          <w:rFonts w:ascii="SimSun" w:hAnsi="SimSun" w:eastAsia="SimSun" w:cs="SimSun"/>
          <w:sz w:val="24"/>
          <w:szCs w:val="24"/>
          <w:spacing w:val="-50"/>
        </w:rPr>
        <w:t xml:space="preserve"> </w:t>
      </w:r>
      <w:r>
        <w:rPr>
          <w:rFonts w:ascii="SimSun" w:hAnsi="SimSun" w:eastAsia="SimSun" w:cs="SimSun"/>
          <w:sz w:val="24"/>
          <w:szCs w:val="24"/>
          <w:spacing w:val="-3"/>
        </w:rPr>
        <w:t>800</w:t>
      </w:r>
      <w:r>
        <w:rPr>
          <w:rFonts w:ascii="SimSun" w:hAnsi="SimSun" w:eastAsia="SimSun" w:cs="SimSun"/>
          <w:sz w:val="24"/>
          <w:szCs w:val="24"/>
          <w:spacing w:val="-45"/>
        </w:rPr>
        <w:t xml:space="preserve"> </w:t>
      </w:r>
      <w:r>
        <w:rPr>
          <w:rFonts w:ascii="SimSun" w:hAnsi="SimSun" w:eastAsia="SimSun" w:cs="SimSun"/>
          <w:sz w:val="24"/>
          <w:szCs w:val="24"/>
          <w:spacing w:val="-3"/>
        </w:rPr>
        <w:t>万吨/年。</w:t>
      </w:r>
    </w:p>
    <w:p>
      <w:pPr>
        <w:ind w:left="13" w:right="104" w:firstLine="476"/>
        <w:spacing w:before="11" w:line="339" w:lineRule="auto"/>
        <w:rPr>
          <w:rFonts w:ascii="SimSun" w:hAnsi="SimSun" w:eastAsia="SimSun" w:cs="SimSun"/>
          <w:sz w:val="24"/>
          <w:szCs w:val="24"/>
        </w:rPr>
      </w:pPr>
      <w:r>
        <w:rPr>
          <w:rFonts w:ascii="SimSun" w:hAnsi="SimSun" w:eastAsia="SimSun" w:cs="SimSun"/>
          <w:sz w:val="24"/>
          <w:szCs w:val="24"/>
          <w:spacing w:val="-2"/>
        </w:rPr>
        <w:t>井田西南侧为白音华三号露天矿，井田南侧为白音华矿区中部后备区，西侧为白音</w:t>
      </w:r>
      <w:r>
        <w:rPr>
          <w:rFonts w:ascii="SimSun" w:hAnsi="SimSun" w:eastAsia="SimSun" w:cs="SimSun"/>
          <w:sz w:val="24"/>
          <w:szCs w:val="24"/>
          <w:spacing w:val="-1"/>
        </w:rPr>
        <w:t>华煤田地质详查区，北侧为后备区。</w:t>
      </w:r>
    </w:p>
    <w:p>
      <w:pPr>
        <w:ind w:left="493"/>
        <w:spacing w:before="1" w:line="218" w:lineRule="auto"/>
        <w:rPr>
          <w:rFonts w:ascii="SimSun" w:hAnsi="SimSun" w:eastAsia="SimSun" w:cs="SimSun"/>
          <w:sz w:val="24"/>
          <w:szCs w:val="24"/>
        </w:rPr>
      </w:pPr>
      <w:r>
        <w:rPr>
          <w:rFonts w:ascii="SimSun" w:hAnsi="SimSun" w:eastAsia="SimSun" w:cs="SimSun"/>
          <w:sz w:val="24"/>
          <w:szCs w:val="24"/>
          <w:spacing w:val="-2"/>
        </w:rPr>
        <w:t>本项目地理位置见图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。本项目四邻关系见图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w:t>
      </w:r>
      <w:r>
        <w:rPr>
          <w:rFonts w:ascii="Times New Roman" w:hAnsi="Times New Roman" w:eastAsia="Times New Roman" w:cs="Times New Roman"/>
          <w:sz w:val="24"/>
          <w:szCs w:val="24"/>
          <w:spacing w:val="-3"/>
        </w:rPr>
        <w:t xml:space="preserve"> 2</w:t>
      </w:r>
      <w:r>
        <w:rPr>
          <w:rFonts w:ascii="SimSun" w:hAnsi="SimSun" w:eastAsia="SimSun" w:cs="SimSun"/>
          <w:sz w:val="24"/>
          <w:szCs w:val="24"/>
          <w:spacing w:val="-3"/>
        </w:rPr>
        <w:t>。</w:t>
      </w:r>
    </w:p>
    <w:p>
      <w:pPr>
        <w:ind w:left="31"/>
        <w:spacing w:before="24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3.2.1</w:t>
      </w:r>
      <w:r>
        <w:rPr>
          <w:rFonts w:ascii="SimHei" w:hAnsi="SimHei" w:eastAsia="SimHei" w:cs="SimHei"/>
          <w:sz w:val="28"/>
          <w:szCs w:val="28"/>
          <w:b/>
          <w:bCs/>
          <w:spacing w:val="-2"/>
        </w:rPr>
        <w:t>现有工程概况</w:t>
      </w:r>
    </w:p>
    <w:p>
      <w:pPr>
        <w:ind w:left="13" w:right="104" w:firstLine="508"/>
        <w:spacing w:before="173" w:line="340" w:lineRule="auto"/>
        <w:jc w:val="both"/>
        <w:rPr>
          <w:rFonts w:ascii="SimSun" w:hAnsi="SimSun" w:eastAsia="SimSun" w:cs="SimSun"/>
          <w:sz w:val="24"/>
          <w:szCs w:val="24"/>
        </w:rPr>
      </w:pPr>
      <w:r>
        <w:rPr>
          <w:rFonts w:ascii="SimSun" w:hAnsi="SimSun" w:eastAsia="SimSun" w:cs="SimSun"/>
          <w:sz w:val="24"/>
          <w:szCs w:val="24"/>
          <w:spacing w:val="-4"/>
        </w:rPr>
        <w:t>内蒙古白音华海州露天煤矿有限公司白音华四号露天矿一期工程（露天矿）于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2006</w:t>
      </w:r>
      <w:r>
        <w:rPr>
          <w:rFonts w:ascii="SimSun" w:hAnsi="SimSun" w:eastAsia="SimSun" w:cs="SimSun"/>
          <w:sz w:val="24"/>
          <w:szCs w:val="24"/>
          <w:spacing w:val="-1"/>
        </w:rPr>
        <w:t>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月获得环评批复，批复产能</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500</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2006 </w:t>
      </w:r>
      <w:r>
        <w:rPr>
          <w:rFonts w:ascii="SimSun" w:hAnsi="SimSun" w:eastAsia="SimSun" w:cs="SimSun"/>
          <w:sz w:val="24"/>
          <w:szCs w:val="24"/>
          <w:spacing w:val="-1"/>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月项目进行了核准，</w:t>
      </w:r>
      <w:r>
        <w:rPr>
          <w:rFonts w:ascii="Times New Roman" w:hAnsi="Times New Roman" w:eastAsia="Times New Roman" w:cs="Times New Roman"/>
          <w:sz w:val="24"/>
          <w:szCs w:val="24"/>
          <w:spacing w:val="-1"/>
        </w:rPr>
        <w:t>2009 </w:t>
      </w:r>
      <w:r>
        <w:rPr>
          <w:rFonts w:ascii="SimSun" w:hAnsi="SimSun" w:eastAsia="SimSun" w:cs="SimSun"/>
          <w:sz w:val="24"/>
          <w:szCs w:val="24"/>
          <w:spacing w:val="-1"/>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w:t>
      </w:r>
      <w:r>
        <w:rPr>
          <w:rFonts w:ascii="SimSun" w:hAnsi="SimSun" w:eastAsia="SimSun" w:cs="SimSun"/>
          <w:sz w:val="24"/>
          <w:szCs w:val="24"/>
          <w:spacing w:val="-2"/>
        </w:rPr>
        <w:t>月投入试运营，</w:t>
      </w:r>
      <w:r>
        <w:rPr>
          <w:rFonts w:ascii="Times New Roman" w:hAnsi="Times New Roman" w:eastAsia="Times New Roman" w:cs="Times New Roman"/>
          <w:sz w:val="24"/>
          <w:szCs w:val="24"/>
          <w:spacing w:val="-2"/>
        </w:rPr>
        <w:t>2015 </w:t>
      </w:r>
      <w:r>
        <w:rPr>
          <w:rFonts w:ascii="SimSun" w:hAnsi="SimSun" w:eastAsia="SimSun" w:cs="SimSun"/>
          <w:sz w:val="24"/>
          <w:szCs w:val="24"/>
          <w:spacing w:val="-2"/>
        </w:rPr>
        <w:t>年</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月通过验收后正式生产</w:t>
      </w:r>
      <w:r>
        <w:rPr>
          <w:rFonts w:ascii="SimSun" w:hAnsi="SimSun" w:eastAsia="SimSun" w:cs="SimSun"/>
          <w:sz w:val="24"/>
          <w:szCs w:val="24"/>
          <w:color w:val="4472C4"/>
          <w:spacing w:val="-2"/>
        </w:rPr>
        <w:t>。</w:t>
      </w:r>
    </w:p>
    <w:p>
      <w:pPr>
        <w:spacing w:line="340" w:lineRule="auto"/>
        <w:sectPr>
          <w:headerReference w:type="default" r:id="rId86"/>
          <w:footerReference w:type="default" r:id="rId87"/>
          <w:pgSz w:w="11906" w:h="16838"/>
          <w:pgMar w:top="1170" w:right="1313" w:bottom="1080" w:left="1413" w:header="837" w:footer="918" w:gutter="0"/>
        </w:sectPr>
        <w:rPr>
          <w:rFonts w:ascii="SimSun" w:hAnsi="SimSun" w:eastAsia="SimSun" w:cs="SimSun"/>
          <w:sz w:val="24"/>
          <w:szCs w:val="24"/>
        </w:rPr>
      </w:pPr>
    </w:p>
    <w:p>
      <w:pPr>
        <w:pStyle w:val="BodyText"/>
        <w:spacing w:line="439" w:lineRule="auto"/>
        <w:rPr/>
      </w:pPr>
      <w:r/>
    </w:p>
    <w:p>
      <w:pPr>
        <w:ind w:left="6074"/>
        <w:spacing w:before="78" w:line="222" w:lineRule="auto"/>
        <w:rPr>
          <w:rFonts w:ascii="SimHei" w:hAnsi="SimHei" w:eastAsia="SimHei" w:cs="SimHei"/>
          <w:sz w:val="24"/>
          <w:szCs w:val="24"/>
        </w:rPr>
      </w:pPr>
      <w:r>
        <w:rPr>
          <w:rFonts w:ascii="SimHei" w:hAnsi="SimHei" w:eastAsia="SimHei" w:cs="SimHei"/>
          <w:sz w:val="24"/>
          <w:szCs w:val="24"/>
          <w:spacing w:val="-1"/>
        </w:rPr>
        <w:t>现有工程项目组成一览表</w:t>
      </w:r>
    </w:p>
    <w:p>
      <w:pPr>
        <w:ind w:left="7"/>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3-2-1</w:t>
      </w:r>
    </w:p>
    <w:tbl>
      <w:tblPr>
        <w:tblStyle w:val="TableNormal"/>
        <w:tblW w:w="14260"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0"/>
        <w:gridCol w:w="1435"/>
        <w:gridCol w:w="3975"/>
        <w:gridCol w:w="3893"/>
        <w:gridCol w:w="20"/>
        <w:gridCol w:w="3807"/>
      </w:tblGrid>
      <w:tr>
        <w:trPr>
          <w:trHeight w:val="547" w:hRule="atLeast"/>
        </w:trPr>
        <w:tc>
          <w:tcPr>
            <w:tcW w:w="1130" w:type="dxa"/>
            <w:vAlign w:val="top"/>
          </w:tcPr>
          <w:p>
            <w:pPr>
              <w:ind w:left="357"/>
              <w:spacing w:before="31" w:line="228" w:lineRule="auto"/>
              <w:rPr>
                <w:rFonts w:ascii="SimSun" w:hAnsi="SimSun" w:eastAsia="SimSun" w:cs="SimSun"/>
                <w:sz w:val="20"/>
                <w:szCs w:val="20"/>
              </w:rPr>
            </w:pPr>
            <w:bookmarkStart w:name="bookmark86" w:id="33"/>
            <w:bookmarkEnd w:id="33"/>
            <w:r>
              <w:rPr>
                <w:rFonts w:ascii="SimSun" w:hAnsi="SimSun" w:eastAsia="SimSun" w:cs="SimSun"/>
                <w:sz w:val="20"/>
                <w:szCs w:val="20"/>
                <w:b/>
                <w:bCs/>
                <w:spacing w:val="3"/>
              </w:rPr>
              <w:t>单项</w:t>
            </w:r>
          </w:p>
          <w:p>
            <w:pPr>
              <w:ind w:left="358"/>
              <w:spacing w:before="24" w:line="216" w:lineRule="auto"/>
              <w:rPr>
                <w:rFonts w:ascii="SimSun" w:hAnsi="SimSun" w:eastAsia="SimSun" w:cs="SimSun"/>
                <w:sz w:val="20"/>
                <w:szCs w:val="20"/>
              </w:rPr>
            </w:pPr>
            <w:r>
              <w:rPr>
                <w:rFonts w:ascii="SimSun" w:hAnsi="SimSun" w:eastAsia="SimSun" w:cs="SimSun"/>
                <w:sz w:val="20"/>
                <w:szCs w:val="20"/>
                <w:b/>
                <w:bCs/>
                <w:spacing w:val="2"/>
              </w:rPr>
              <w:t>工程</w:t>
            </w:r>
          </w:p>
        </w:tc>
        <w:tc>
          <w:tcPr>
            <w:tcW w:w="1435" w:type="dxa"/>
            <w:vAlign w:val="top"/>
          </w:tcPr>
          <w:p>
            <w:pPr>
              <w:ind w:left="298"/>
              <w:spacing w:before="165" w:line="228" w:lineRule="auto"/>
              <w:rPr>
                <w:rFonts w:ascii="SimSun" w:hAnsi="SimSun" w:eastAsia="SimSun" w:cs="SimSun"/>
                <w:sz w:val="20"/>
                <w:szCs w:val="20"/>
              </w:rPr>
            </w:pPr>
            <w:r>
              <w:rPr>
                <w:rFonts w:ascii="SimSun" w:hAnsi="SimSun" w:eastAsia="SimSun" w:cs="SimSun"/>
                <w:sz w:val="20"/>
                <w:szCs w:val="20"/>
                <w:b/>
                <w:bCs/>
                <w:spacing w:val="5"/>
              </w:rPr>
              <w:t>工程类别</w:t>
            </w:r>
          </w:p>
        </w:tc>
        <w:tc>
          <w:tcPr>
            <w:tcW w:w="3975" w:type="dxa"/>
            <w:vAlign w:val="top"/>
          </w:tcPr>
          <w:p>
            <w:pPr>
              <w:ind w:left="937"/>
              <w:spacing w:before="31" w:line="228" w:lineRule="auto"/>
              <w:rPr>
                <w:rFonts w:ascii="SimSun" w:hAnsi="SimSun" w:eastAsia="SimSun" w:cs="SimSun"/>
                <w:sz w:val="20"/>
                <w:szCs w:val="20"/>
              </w:rPr>
            </w:pPr>
            <w:r>
              <w:rPr>
                <w:rFonts w:ascii="SimSun" w:hAnsi="SimSun" w:eastAsia="SimSun" w:cs="SimSun"/>
                <w:sz w:val="20"/>
                <w:szCs w:val="20"/>
                <w:b/>
                <w:bCs/>
                <w:spacing w:val="7"/>
              </w:rPr>
              <w:t>环评时期项目工程内容</w:t>
            </w:r>
          </w:p>
          <w:p>
            <w:pPr>
              <w:pStyle w:val="TableText"/>
              <w:ind w:left="1237"/>
              <w:spacing w:before="24" w:line="216" w:lineRule="auto"/>
              <w:rPr>
                <w:rFonts w:ascii="SimSun" w:hAnsi="SimSun" w:eastAsia="SimSun" w:cs="SimSun"/>
              </w:rPr>
            </w:pPr>
            <w:r>
              <w:rPr>
                <w:rFonts w:ascii="SimSun" w:hAnsi="SimSun" w:eastAsia="SimSun" w:cs="SimSun"/>
                <w:b/>
                <w:bCs/>
              </w:rPr>
              <w:t>（</w:t>
            </w:r>
            <w:r>
              <w:rPr>
                <w:b/>
                <w:bCs/>
              </w:rPr>
              <w:t>2006 </w:t>
            </w:r>
            <w:r>
              <w:rPr>
                <w:rFonts w:ascii="SimSun" w:hAnsi="SimSun" w:eastAsia="SimSun" w:cs="SimSun"/>
                <w:b/>
                <w:bCs/>
              </w:rPr>
              <w:t>年</w:t>
            </w:r>
            <w:r>
              <w:rPr>
                <w:rFonts w:ascii="SimSun" w:hAnsi="SimSun" w:eastAsia="SimSun" w:cs="SimSun"/>
                <w:spacing w:val="-32"/>
              </w:rPr>
              <w:t xml:space="preserve"> </w:t>
            </w:r>
            <w:r>
              <w:rPr>
                <w:b/>
                <w:bCs/>
              </w:rPr>
              <w:t>2</w:t>
            </w:r>
            <w:r>
              <w:rPr>
                <w:b/>
                <w:bCs/>
                <w:spacing w:val="17"/>
              </w:rPr>
              <w:t xml:space="preserve"> </w:t>
            </w:r>
            <w:r>
              <w:rPr>
                <w:rFonts w:ascii="SimSun" w:hAnsi="SimSun" w:eastAsia="SimSun" w:cs="SimSun"/>
                <w:b/>
                <w:bCs/>
              </w:rPr>
              <w:t>月）</w:t>
            </w:r>
          </w:p>
        </w:tc>
        <w:tc>
          <w:tcPr>
            <w:tcW w:w="3893" w:type="dxa"/>
            <w:vAlign w:val="top"/>
          </w:tcPr>
          <w:p>
            <w:pPr>
              <w:ind w:left="899"/>
              <w:spacing w:before="31" w:line="228" w:lineRule="auto"/>
              <w:rPr>
                <w:rFonts w:ascii="SimSun" w:hAnsi="SimSun" w:eastAsia="SimSun" w:cs="SimSun"/>
                <w:sz w:val="20"/>
                <w:szCs w:val="20"/>
              </w:rPr>
            </w:pPr>
            <w:r>
              <w:rPr>
                <w:rFonts w:ascii="SimSun" w:hAnsi="SimSun" w:eastAsia="SimSun" w:cs="SimSun"/>
                <w:sz w:val="20"/>
                <w:szCs w:val="20"/>
                <w:b/>
                <w:bCs/>
                <w:spacing w:val="7"/>
              </w:rPr>
              <w:t>验收时期项目工程内容</w:t>
            </w:r>
          </w:p>
          <w:p>
            <w:pPr>
              <w:pStyle w:val="TableText"/>
              <w:ind w:left="1201"/>
              <w:spacing w:before="24" w:line="216" w:lineRule="auto"/>
              <w:rPr>
                <w:rFonts w:ascii="SimSun" w:hAnsi="SimSun" w:eastAsia="SimSun" w:cs="SimSun"/>
              </w:rPr>
            </w:pPr>
            <w:r>
              <w:rPr>
                <w:rFonts w:ascii="SimSun" w:hAnsi="SimSun" w:eastAsia="SimSun" w:cs="SimSun"/>
                <w:b/>
                <w:bCs/>
                <w:spacing w:val="1"/>
              </w:rPr>
              <w:t>（</w:t>
            </w:r>
            <w:r>
              <w:rPr>
                <w:b/>
                <w:bCs/>
                <w:spacing w:val="1"/>
              </w:rPr>
              <w:t>2015 </w:t>
            </w:r>
            <w:r>
              <w:rPr>
                <w:rFonts w:ascii="SimSun" w:hAnsi="SimSun" w:eastAsia="SimSun" w:cs="SimSun"/>
                <w:b/>
                <w:bCs/>
                <w:spacing w:val="1"/>
              </w:rPr>
              <w:t>年</w:t>
            </w:r>
            <w:r>
              <w:rPr>
                <w:rFonts w:ascii="SimSun" w:hAnsi="SimSun" w:eastAsia="SimSun" w:cs="SimSun"/>
                <w:spacing w:val="-39"/>
              </w:rPr>
              <w:t xml:space="preserve"> </w:t>
            </w:r>
            <w:r>
              <w:rPr>
                <w:b/>
                <w:bCs/>
                <w:spacing w:val="1"/>
              </w:rPr>
              <w:t>9</w:t>
            </w:r>
            <w:r>
              <w:rPr>
                <w:b/>
                <w:bCs/>
                <w:spacing w:val="14"/>
                <w:w w:val="101"/>
              </w:rPr>
              <w:t xml:space="preserve"> </w:t>
            </w:r>
            <w:r>
              <w:rPr>
                <w:rFonts w:ascii="SimSun" w:hAnsi="SimSun" w:eastAsia="SimSun" w:cs="SimSun"/>
                <w:b/>
                <w:bCs/>
                <w:spacing w:val="1"/>
              </w:rPr>
              <w:t>月）</w:t>
            </w:r>
          </w:p>
        </w:tc>
        <w:tc>
          <w:tcPr>
            <w:tcW w:w="3827" w:type="dxa"/>
            <w:vAlign w:val="top"/>
            <w:gridSpan w:val="2"/>
          </w:tcPr>
          <w:p>
            <w:pPr>
              <w:ind w:left="1291"/>
              <w:spacing w:before="31" w:line="228" w:lineRule="auto"/>
              <w:rPr>
                <w:rFonts w:ascii="SimSun" w:hAnsi="SimSun" w:eastAsia="SimSun" w:cs="SimSun"/>
                <w:sz w:val="20"/>
                <w:szCs w:val="20"/>
              </w:rPr>
            </w:pPr>
            <w:r>
              <w:rPr>
                <w:rFonts w:ascii="SimSun" w:hAnsi="SimSun" w:eastAsia="SimSun" w:cs="SimSun"/>
                <w:sz w:val="20"/>
                <w:szCs w:val="20"/>
                <w:b/>
                <w:bCs/>
                <w:spacing w:val="6"/>
              </w:rPr>
              <w:t>现有工程内容</w:t>
            </w:r>
          </w:p>
          <w:p>
            <w:pPr>
              <w:pStyle w:val="TableText"/>
              <w:ind w:left="1117"/>
              <w:spacing w:before="24" w:line="216" w:lineRule="auto"/>
              <w:rPr>
                <w:rFonts w:ascii="SimSun" w:hAnsi="SimSun" w:eastAsia="SimSun" w:cs="SimSun"/>
              </w:rPr>
            </w:pPr>
            <w:r>
              <w:rPr>
                <w:rFonts w:ascii="SimSun" w:hAnsi="SimSun" w:eastAsia="SimSun" w:cs="SimSun"/>
                <w:b/>
                <w:bCs/>
              </w:rPr>
              <w:t>（</w:t>
            </w:r>
            <w:r>
              <w:rPr>
                <w:b/>
                <w:bCs/>
              </w:rPr>
              <w:t>2024 </w:t>
            </w:r>
            <w:r>
              <w:rPr>
                <w:rFonts w:ascii="SimSun" w:hAnsi="SimSun" w:eastAsia="SimSun" w:cs="SimSun"/>
                <w:b/>
                <w:bCs/>
              </w:rPr>
              <w:t>年</w:t>
            </w:r>
            <w:r>
              <w:rPr>
                <w:rFonts w:ascii="SimSun" w:hAnsi="SimSun" w:eastAsia="SimSun" w:cs="SimSun"/>
                <w:spacing w:val="-27"/>
              </w:rPr>
              <w:t xml:space="preserve"> </w:t>
            </w:r>
            <w:r>
              <w:rPr>
                <w:b/>
                <w:bCs/>
              </w:rPr>
              <w:t>12</w:t>
            </w:r>
            <w:r>
              <w:rPr>
                <w:b/>
                <w:bCs/>
                <w:spacing w:val="17"/>
                <w:w w:val="101"/>
              </w:rPr>
              <w:t xml:space="preserve"> </w:t>
            </w:r>
            <w:r>
              <w:rPr>
                <w:rFonts w:ascii="SimSun" w:hAnsi="SimSun" w:eastAsia="SimSun" w:cs="SimSun"/>
                <w:b/>
                <w:bCs/>
              </w:rPr>
              <w:t>月）</w:t>
            </w:r>
          </w:p>
        </w:tc>
      </w:tr>
      <w:tr>
        <w:trPr>
          <w:trHeight w:val="455" w:hRule="atLeast"/>
        </w:trPr>
        <w:tc>
          <w:tcPr>
            <w:tcW w:w="2565" w:type="dxa"/>
            <w:vAlign w:val="top"/>
            <w:gridSpan w:val="2"/>
          </w:tcPr>
          <w:p>
            <w:pPr>
              <w:ind w:left="866"/>
              <w:spacing w:before="117" w:line="228" w:lineRule="auto"/>
              <w:rPr>
                <w:rFonts w:ascii="SimSun" w:hAnsi="SimSun" w:eastAsia="SimSun" w:cs="SimSun"/>
                <w:sz w:val="20"/>
                <w:szCs w:val="20"/>
              </w:rPr>
            </w:pPr>
            <w:r>
              <w:rPr>
                <w:rFonts w:ascii="SimSun" w:hAnsi="SimSun" w:eastAsia="SimSun" w:cs="SimSun"/>
                <w:sz w:val="20"/>
                <w:szCs w:val="20"/>
                <w:spacing w:val="6"/>
              </w:rPr>
              <w:t>生产规模</w:t>
            </w:r>
          </w:p>
        </w:tc>
        <w:tc>
          <w:tcPr>
            <w:tcW w:w="3975" w:type="dxa"/>
            <w:vAlign w:val="top"/>
          </w:tcPr>
          <w:p>
            <w:pPr>
              <w:pStyle w:val="TableText"/>
              <w:ind w:left="1661"/>
              <w:spacing w:before="149" w:line="199" w:lineRule="auto"/>
              <w:rPr/>
            </w:pPr>
            <w:r>
              <w:rPr>
                <w:spacing w:val="4"/>
              </w:rPr>
              <w:t>5.0</w:t>
            </w:r>
            <w:r>
              <w:rPr/>
              <w:t>Mt</w:t>
            </w:r>
            <w:r>
              <w:rPr>
                <w:spacing w:val="4"/>
              </w:rPr>
              <w:t>/a</w:t>
            </w:r>
          </w:p>
        </w:tc>
        <w:tc>
          <w:tcPr>
            <w:tcW w:w="3893" w:type="dxa"/>
            <w:vAlign w:val="top"/>
          </w:tcPr>
          <w:p>
            <w:pPr>
              <w:pStyle w:val="TableText"/>
              <w:ind w:left="1627"/>
              <w:spacing w:before="149" w:line="199" w:lineRule="auto"/>
              <w:rPr/>
            </w:pPr>
            <w:r>
              <w:rPr>
                <w:spacing w:val="4"/>
              </w:rPr>
              <w:t>5.0</w:t>
            </w:r>
            <w:r>
              <w:rPr/>
              <w:t>Mt</w:t>
            </w:r>
            <w:r>
              <w:rPr>
                <w:spacing w:val="4"/>
              </w:rPr>
              <w:t>/a</w:t>
            </w:r>
          </w:p>
        </w:tc>
        <w:tc>
          <w:tcPr>
            <w:tcW w:w="3827" w:type="dxa"/>
            <w:vAlign w:val="top"/>
            <w:gridSpan w:val="2"/>
          </w:tcPr>
          <w:p>
            <w:pPr>
              <w:pStyle w:val="TableText"/>
              <w:ind w:left="1596"/>
              <w:spacing w:before="149" w:line="199" w:lineRule="auto"/>
              <w:rPr/>
            </w:pPr>
            <w:r>
              <w:rPr>
                <w:spacing w:val="4"/>
              </w:rPr>
              <w:t>5.0</w:t>
            </w:r>
            <w:r>
              <w:rPr/>
              <w:t>Mt</w:t>
            </w:r>
            <w:r>
              <w:rPr>
                <w:spacing w:val="4"/>
              </w:rPr>
              <w:t>/a</w:t>
            </w:r>
          </w:p>
        </w:tc>
      </w:tr>
      <w:tr>
        <w:trPr>
          <w:trHeight w:val="453" w:hRule="atLeast"/>
        </w:trPr>
        <w:tc>
          <w:tcPr>
            <w:tcW w:w="2565" w:type="dxa"/>
            <w:vAlign w:val="top"/>
            <w:gridSpan w:val="2"/>
          </w:tcPr>
          <w:p>
            <w:pPr>
              <w:ind w:left="863"/>
              <w:spacing w:before="118" w:line="228" w:lineRule="auto"/>
              <w:rPr>
                <w:rFonts w:ascii="SimSun" w:hAnsi="SimSun" w:eastAsia="SimSun" w:cs="SimSun"/>
                <w:sz w:val="20"/>
                <w:szCs w:val="20"/>
              </w:rPr>
            </w:pPr>
            <w:r>
              <w:rPr>
                <w:rFonts w:ascii="SimSun" w:hAnsi="SimSun" w:eastAsia="SimSun" w:cs="SimSun"/>
                <w:sz w:val="20"/>
                <w:szCs w:val="20"/>
                <w:spacing w:val="7"/>
              </w:rPr>
              <w:t>矿田境界</w:t>
            </w:r>
          </w:p>
        </w:tc>
        <w:tc>
          <w:tcPr>
            <w:tcW w:w="3975" w:type="dxa"/>
            <w:vAlign w:val="top"/>
          </w:tcPr>
          <w:p>
            <w:pPr>
              <w:pStyle w:val="TableText"/>
              <w:ind w:left="1580"/>
              <w:spacing w:before="134" w:line="216" w:lineRule="auto"/>
              <w:rPr>
                <w:sz w:val="13"/>
                <w:szCs w:val="13"/>
              </w:rPr>
            </w:pPr>
            <w:r>
              <w:rPr>
                <w:spacing w:val="5"/>
              </w:rPr>
              <w:t>42.47</w:t>
            </w:r>
            <w:r>
              <w:rPr/>
              <w:t>km</w:t>
            </w:r>
            <w:r>
              <w:rPr>
                <w:sz w:val="13"/>
                <w:szCs w:val="13"/>
                <w:spacing w:val="5"/>
                <w:position w:val="6"/>
              </w:rPr>
              <w:t>2</w:t>
            </w:r>
          </w:p>
        </w:tc>
        <w:tc>
          <w:tcPr>
            <w:tcW w:w="3893" w:type="dxa"/>
            <w:vAlign w:val="top"/>
          </w:tcPr>
          <w:p>
            <w:pPr>
              <w:pStyle w:val="TableText"/>
              <w:ind w:left="1498"/>
              <w:spacing w:before="134" w:line="216" w:lineRule="auto"/>
              <w:rPr>
                <w:sz w:val="13"/>
                <w:szCs w:val="13"/>
              </w:rPr>
            </w:pPr>
            <w:r>
              <w:rPr>
                <w:spacing w:val="4"/>
              </w:rPr>
              <w:t>9.2735</w:t>
            </w:r>
            <w:r>
              <w:rPr/>
              <w:t>km</w:t>
            </w:r>
            <w:r>
              <w:rPr>
                <w:sz w:val="13"/>
                <w:szCs w:val="13"/>
                <w:spacing w:val="4"/>
                <w:position w:val="6"/>
              </w:rPr>
              <w:t>2</w:t>
            </w:r>
          </w:p>
        </w:tc>
        <w:tc>
          <w:tcPr>
            <w:tcW w:w="3827" w:type="dxa"/>
            <w:vAlign w:val="top"/>
            <w:gridSpan w:val="2"/>
          </w:tcPr>
          <w:p>
            <w:pPr>
              <w:pStyle w:val="TableText"/>
              <w:ind w:left="1467"/>
              <w:spacing w:before="134" w:line="216" w:lineRule="auto"/>
              <w:rPr>
                <w:sz w:val="13"/>
                <w:szCs w:val="13"/>
              </w:rPr>
            </w:pPr>
            <w:r>
              <w:rPr>
                <w:spacing w:val="4"/>
              </w:rPr>
              <w:t>9.2735</w:t>
            </w:r>
            <w:r>
              <w:rPr/>
              <w:t>km</w:t>
            </w:r>
            <w:r>
              <w:rPr>
                <w:sz w:val="13"/>
                <w:szCs w:val="13"/>
                <w:spacing w:val="4"/>
                <w:position w:val="6"/>
              </w:rPr>
              <w:t>2</w:t>
            </w:r>
          </w:p>
        </w:tc>
      </w:tr>
      <w:tr>
        <w:trPr>
          <w:trHeight w:val="271" w:hRule="atLeast"/>
        </w:trPr>
        <w:tc>
          <w:tcPr>
            <w:tcW w:w="2565" w:type="dxa"/>
            <w:vAlign w:val="top"/>
            <w:gridSpan w:val="2"/>
          </w:tcPr>
          <w:p>
            <w:pPr>
              <w:pStyle w:val="TableText"/>
              <w:ind w:left="417"/>
              <w:spacing w:before="28" w:line="215" w:lineRule="auto"/>
              <w:rPr>
                <w:rFonts w:ascii="SimSun" w:hAnsi="SimSun" w:eastAsia="SimSun" w:cs="SimSun"/>
              </w:rPr>
            </w:pPr>
            <w:r>
              <w:rPr>
                <w:rFonts w:ascii="SimSun" w:hAnsi="SimSun" w:eastAsia="SimSun" w:cs="SimSun"/>
                <w:spacing w:val="7"/>
              </w:rPr>
              <w:t>可采储量</w:t>
            </w:r>
            <w:r>
              <w:rPr>
                <w:spacing w:val="7"/>
              </w:rPr>
              <w:t>/</w:t>
            </w:r>
            <w:r>
              <w:rPr>
                <w:rFonts w:ascii="SimSun" w:hAnsi="SimSun" w:eastAsia="SimSun" w:cs="SimSun"/>
                <w:spacing w:val="7"/>
              </w:rPr>
              <w:t>服务年限</w:t>
            </w:r>
          </w:p>
        </w:tc>
        <w:tc>
          <w:tcPr>
            <w:tcW w:w="3975" w:type="dxa"/>
            <w:vAlign w:val="top"/>
          </w:tcPr>
          <w:p>
            <w:pPr>
              <w:pStyle w:val="TableText"/>
              <w:ind w:left="1308"/>
              <w:spacing w:before="59" w:line="199" w:lineRule="auto"/>
              <w:rPr/>
            </w:pPr>
            <w:r>
              <w:rPr>
                <w:spacing w:val="3"/>
              </w:rPr>
              <w:t>1715.05</w:t>
            </w:r>
            <w:r>
              <w:rPr/>
              <w:t>Mt</w:t>
            </w:r>
            <w:r>
              <w:rPr>
                <w:spacing w:val="3"/>
              </w:rPr>
              <w:t>/325a</w:t>
            </w:r>
          </w:p>
        </w:tc>
        <w:tc>
          <w:tcPr>
            <w:tcW w:w="3893" w:type="dxa"/>
            <w:vAlign w:val="top"/>
          </w:tcPr>
          <w:p>
            <w:pPr>
              <w:pStyle w:val="TableText"/>
              <w:ind w:left="1358"/>
              <w:spacing w:before="59" w:line="199" w:lineRule="auto"/>
              <w:rPr/>
            </w:pPr>
            <w:r>
              <w:rPr/>
              <w:t>175.</w:t>
            </w:r>
            <w:r>
              <w:rPr>
                <w:spacing w:val="-23"/>
              </w:rPr>
              <w:t xml:space="preserve"> </w:t>
            </w:r>
            <w:r>
              <w:rPr/>
              <w:t>11 Mt/32a</w:t>
            </w:r>
          </w:p>
        </w:tc>
        <w:tc>
          <w:tcPr>
            <w:tcW w:w="3827" w:type="dxa"/>
            <w:vAlign w:val="top"/>
            <w:gridSpan w:val="2"/>
          </w:tcPr>
          <w:p>
            <w:pPr>
              <w:pStyle w:val="TableText"/>
              <w:ind w:left="396"/>
              <w:spacing w:before="28" w:line="215" w:lineRule="auto"/>
              <w:rPr>
                <w:rFonts w:ascii="SimSun" w:hAnsi="SimSun" w:eastAsia="SimSun" w:cs="SimSun"/>
              </w:rPr>
            </w:pPr>
            <w:r>
              <w:rPr>
                <w:spacing w:val="5"/>
              </w:rPr>
              <w:t>473.98 </w:t>
            </w:r>
            <w:r>
              <w:rPr>
                <w:rFonts w:ascii="SimSun" w:hAnsi="SimSun" w:eastAsia="SimSun" w:cs="SimSun"/>
                <w:spacing w:val="5"/>
              </w:rPr>
              <w:t>万</w:t>
            </w:r>
            <w:r>
              <w:rPr>
                <w:rFonts w:ascii="SimSun" w:hAnsi="SimSun" w:eastAsia="SimSun" w:cs="SimSun"/>
                <w:spacing w:val="-33"/>
              </w:rPr>
              <w:t xml:space="preserve"> </w:t>
            </w:r>
            <w:r>
              <w:rPr>
                <w:spacing w:val="5"/>
              </w:rPr>
              <w:t>t/0.8a</w:t>
            </w:r>
            <w:r>
              <w:rPr>
                <w:rFonts w:ascii="SimSun" w:hAnsi="SimSun" w:eastAsia="SimSun" w:cs="SimSun"/>
                <w:spacing w:val="5"/>
              </w:rPr>
              <w:t>（剩余服务年限）</w:t>
            </w:r>
          </w:p>
        </w:tc>
      </w:tr>
      <w:tr>
        <w:trPr>
          <w:trHeight w:val="288" w:hRule="atLeast"/>
        </w:trPr>
        <w:tc>
          <w:tcPr>
            <w:tcW w:w="1130" w:type="dxa"/>
            <w:vAlign w:val="top"/>
            <w:vMerge w:val="restart"/>
            <w:tcBorders>
              <w:bottom w:val="nil"/>
            </w:tcBorders>
          </w:tcPr>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ind w:left="251"/>
              <w:spacing w:before="65" w:line="227" w:lineRule="auto"/>
              <w:rPr>
                <w:rFonts w:ascii="SimSun" w:hAnsi="SimSun" w:eastAsia="SimSun" w:cs="SimSun"/>
                <w:sz w:val="20"/>
                <w:szCs w:val="20"/>
              </w:rPr>
            </w:pPr>
            <w:r>
              <w:rPr>
                <w:rFonts w:ascii="SimSun" w:hAnsi="SimSun" w:eastAsia="SimSun" w:cs="SimSun"/>
                <w:sz w:val="20"/>
                <w:szCs w:val="20"/>
                <w:spacing w:val="7"/>
              </w:rPr>
              <w:t>采掘场</w:t>
            </w:r>
          </w:p>
        </w:tc>
        <w:tc>
          <w:tcPr>
            <w:tcW w:w="1435" w:type="dxa"/>
            <w:vAlign w:val="top"/>
          </w:tcPr>
          <w:p>
            <w:pPr>
              <w:ind w:left="299"/>
              <w:spacing w:before="37" w:line="222" w:lineRule="auto"/>
              <w:rPr>
                <w:rFonts w:ascii="SimSun" w:hAnsi="SimSun" w:eastAsia="SimSun" w:cs="SimSun"/>
                <w:sz w:val="20"/>
                <w:szCs w:val="20"/>
              </w:rPr>
            </w:pPr>
            <w:r>
              <w:rPr>
                <w:rFonts w:ascii="SimSun" w:hAnsi="SimSun" w:eastAsia="SimSun" w:cs="SimSun"/>
                <w:sz w:val="20"/>
                <w:szCs w:val="20"/>
                <w:spacing w:val="7"/>
              </w:rPr>
              <w:t>开采深度</w:t>
            </w:r>
          </w:p>
        </w:tc>
        <w:tc>
          <w:tcPr>
            <w:tcW w:w="3975" w:type="dxa"/>
            <w:vAlign w:val="top"/>
          </w:tcPr>
          <w:p>
            <w:pPr>
              <w:pStyle w:val="TableText"/>
              <w:ind w:left="1515"/>
              <w:spacing w:before="37" w:line="222" w:lineRule="auto"/>
              <w:rPr/>
            </w:pPr>
            <w:r>
              <w:rPr>
                <w:rFonts w:ascii="SimSun" w:hAnsi="SimSun" w:eastAsia="SimSun" w:cs="SimSun"/>
                <w:spacing w:val="4"/>
              </w:rPr>
              <w:t>最大</w:t>
            </w:r>
            <w:r>
              <w:rPr>
                <w:rFonts w:ascii="SimSun" w:hAnsi="SimSun" w:eastAsia="SimSun" w:cs="SimSun"/>
                <w:spacing w:val="-37"/>
              </w:rPr>
              <w:t xml:space="preserve"> </w:t>
            </w:r>
            <w:r>
              <w:rPr>
                <w:spacing w:val="4"/>
              </w:rPr>
              <w:t>380m</w:t>
            </w:r>
          </w:p>
        </w:tc>
        <w:tc>
          <w:tcPr>
            <w:tcW w:w="3893" w:type="dxa"/>
            <w:vAlign w:val="top"/>
          </w:tcPr>
          <w:p>
            <w:pPr>
              <w:pStyle w:val="TableText"/>
              <w:ind w:left="1481"/>
              <w:spacing w:before="37" w:line="222" w:lineRule="auto"/>
              <w:rPr/>
            </w:pPr>
            <w:r>
              <w:rPr>
                <w:rFonts w:ascii="SimSun" w:hAnsi="SimSun" w:eastAsia="SimSun" w:cs="SimSun"/>
                <w:spacing w:val="4"/>
              </w:rPr>
              <w:t>最大</w:t>
            </w:r>
            <w:r>
              <w:rPr>
                <w:rFonts w:ascii="SimSun" w:hAnsi="SimSun" w:eastAsia="SimSun" w:cs="SimSun"/>
                <w:spacing w:val="-37"/>
              </w:rPr>
              <w:t xml:space="preserve"> </w:t>
            </w:r>
            <w:r>
              <w:rPr>
                <w:spacing w:val="4"/>
              </w:rPr>
              <w:t>330m</w:t>
            </w:r>
          </w:p>
        </w:tc>
        <w:tc>
          <w:tcPr>
            <w:tcW w:w="3827" w:type="dxa"/>
            <w:vAlign w:val="top"/>
            <w:gridSpan w:val="2"/>
          </w:tcPr>
          <w:p>
            <w:pPr>
              <w:pStyle w:val="TableText"/>
              <w:ind w:left="1450"/>
              <w:spacing w:before="37" w:line="222" w:lineRule="auto"/>
              <w:rPr/>
            </w:pPr>
            <w:r>
              <w:rPr>
                <w:rFonts w:ascii="SimSun" w:hAnsi="SimSun" w:eastAsia="SimSun" w:cs="SimSun"/>
                <w:spacing w:val="4"/>
              </w:rPr>
              <w:t>最大</w:t>
            </w:r>
            <w:r>
              <w:rPr>
                <w:rFonts w:ascii="SimSun" w:hAnsi="SimSun" w:eastAsia="SimSun" w:cs="SimSun"/>
                <w:spacing w:val="-39"/>
              </w:rPr>
              <w:t xml:space="preserve"> </w:t>
            </w:r>
            <w:r>
              <w:rPr>
                <w:spacing w:val="4"/>
              </w:rPr>
              <w:t>330m</w:t>
            </w:r>
          </w:p>
        </w:tc>
      </w:tr>
      <w:tr>
        <w:trPr>
          <w:trHeight w:val="288"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297"/>
              <w:spacing w:before="35" w:line="224" w:lineRule="auto"/>
              <w:rPr>
                <w:rFonts w:ascii="SimSun" w:hAnsi="SimSun" w:eastAsia="SimSun" w:cs="SimSun"/>
                <w:sz w:val="20"/>
                <w:szCs w:val="20"/>
              </w:rPr>
            </w:pPr>
            <w:r>
              <w:rPr>
                <w:rFonts w:ascii="SimSun" w:hAnsi="SimSun" w:eastAsia="SimSun" w:cs="SimSun"/>
                <w:sz w:val="20"/>
                <w:szCs w:val="20"/>
                <w:spacing w:val="7"/>
              </w:rPr>
              <w:t>采区划分</w:t>
            </w:r>
          </w:p>
        </w:tc>
        <w:tc>
          <w:tcPr>
            <w:tcW w:w="3975" w:type="dxa"/>
            <w:vAlign w:val="top"/>
          </w:tcPr>
          <w:p>
            <w:pPr>
              <w:pStyle w:val="TableText"/>
              <w:ind w:left="519"/>
              <w:spacing w:before="35" w:line="224" w:lineRule="auto"/>
              <w:rPr>
                <w:rFonts w:ascii="SimSun" w:hAnsi="SimSun" w:eastAsia="SimSun" w:cs="SimSun"/>
              </w:rPr>
            </w:pPr>
            <w:r>
              <w:rPr>
                <w:spacing w:val="3"/>
              </w:rPr>
              <w:t>Ⅰ</w:t>
            </w:r>
            <w:r>
              <w:rPr>
                <w:spacing w:val="-24"/>
              </w:rPr>
              <w:t xml:space="preserve"> </w:t>
            </w:r>
            <w:r>
              <w:rPr>
                <w:rFonts w:ascii="SimSun" w:hAnsi="SimSun" w:eastAsia="SimSun" w:cs="SimSun"/>
                <w:spacing w:val="3"/>
              </w:rPr>
              <w:t>、</w:t>
            </w:r>
            <w:r>
              <w:rPr>
                <w:spacing w:val="3"/>
              </w:rPr>
              <w:t>Ⅱ</w:t>
            </w:r>
            <w:r>
              <w:rPr>
                <w:spacing w:val="-26"/>
              </w:rPr>
              <w:t xml:space="preserve"> </w:t>
            </w:r>
            <w:r>
              <w:rPr>
                <w:rFonts w:ascii="SimSun" w:hAnsi="SimSun" w:eastAsia="SimSun" w:cs="SimSun"/>
                <w:spacing w:val="3"/>
              </w:rPr>
              <w:t>、</w:t>
            </w:r>
            <w:r>
              <w:rPr>
                <w:spacing w:val="3"/>
              </w:rPr>
              <w:t>Ⅲ</w:t>
            </w:r>
            <w:r>
              <w:rPr>
                <w:spacing w:val="-26"/>
              </w:rPr>
              <w:t xml:space="preserve"> </w:t>
            </w:r>
            <w:r>
              <w:rPr>
                <w:rFonts w:ascii="SimSun" w:hAnsi="SimSun" w:eastAsia="SimSun" w:cs="SimSun"/>
                <w:spacing w:val="3"/>
              </w:rPr>
              <w:t>、</w:t>
            </w:r>
            <w:r>
              <w:rPr>
                <w:spacing w:val="3"/>
              </w:rPr>
              <w:t>Ⅳ</w:t>
            </w:r>
            <w:r>
              <w:rPr>
                <w:rFonts w:ascii="SimSun" w:hAnsi="SimSun" w:eastAsia="SimSun" w:cs="SimSun"/>
                <w:spacing w:val="3"/>
              </w:rPr>
              <w:t>采区，共</w:t>
            </w:r>
            <w:r>
              <w:rPr>
                <w:rFonts w:ascii="SimSun" w:hAnsi="SimSun" w:eastAsia="SimSun" w:cs="SimSun"/>
                <w:spacing w:val="-41"/>
              </w:rPr>
              <w:t xml:space="preserve"> </w:t>
            </w:r>
            <w:r>
              <w:rPr>
                <w:spacing w:val="3"/>
              </w:rPr>
              <w:t>4 </w:t>
            </w:r>
            <w:r>
              <w:rPr>
                <w:rFonts w:ascii="SimSun" w:hAnsi="SimSun" w:eastAsia="SimSun" w:cs="SimSun"/>
                <w:spacing w:val="3"/>
              </w:rPr>
              <w:t>个采区</w:t>
            </w:r>
          </w:p>
        </w:tc>
        <w:tc>
          <w:tcPr>
            <w:tcW w:w="3893" w:type="dxa"/>
            <w:vAlign w:val="top"/>
          </w:tcPr>
          <w:p>
            <w:pPr>
              <w:pStyle w:val="TableText"/>
              <w:ind w:left="1577"/>
              <w:spacing w:before="35" w:line="224" w:lineRule="auto"/>
              <w:rPr>
                <w:rFonts w:ascii="SimSun" w:hAnsi="SimSun" w:eastAsia="SimSun" w:cs="SimSun"/>
              </w:rPr>
            </w:pPr>
            <w:r>
              <w:rPr/>
              <w:t>1</w:t>
            </w:r>
            <w:r>
              <w:rPr>
                <w:spacing w:val="12"/>
              </w:rPr>
              <w:t xml:space="preserve"> </w:t>
            </w:r>
            <w:r>
              <w:rPr>
                <w:rFonts w:ascii="SimSun" w:hAnsi="SimSun" w:eastAsia="SimSun" w:cs="SimSun"/>
              </w:rPr>
              <w:t>个采区</w:t>
            </w:r>
          </w:p>
        </w:tc>
        <w:tc>
          <w:tcPr>
            <w:tcW w:w="3827" w:type="dxa"/>
            <w:vAlign w:val="top"/>
            <w:gridSpan w:val="2"/>
          </w:tcPr>
          <w:p>
            <w:pPr>
              <w:pStyle w:val="TableText"/>
              <w:ind w:left="1545"/>
              <w:spacing w:before="35" w:line="224" w:lineRule="auto"/>
              <w:rPr>
                <w:rFonts w:ascii="SimSun" w:hAnsi="SimSun" w:eastAsia="SimSun" w:cs="SimSun"/>
              </w:rPr>
            </w:pPr>
            <w:r>
              <w:rPr/>
              <w:t>1</w:t>
            </w:r>
            <w:r>
              <w:rPr>
                <w:spacing w:val="9"/>
              </w:rPr>
              <w:t xml:space="preserve"> </w:t>
            </w:r>
            <w:r>
              <w:rPr>
                <w:rFonts w:ascii="SimSun" w:hAnsi="SimSun" w:eastAsia="SimSun" w:cs="SimSun"/>
              </w:rPr>
              <w:t>个采区</w:t>
            </w:r>
          </w:p>
        </w:tc>
      </w:tr>
      <w:tr>
        <w:trPr>
          <w:trHeight w:val="544"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299"/>
              <w:spacing w:before="161" w:line="227" w:lineRule="auto"/>
              <w:rPr>
                <w:rFonts w:ascii="SimSun" w:hAnsi="SimSun" w:eastAsia="SimSun" w:cs="SimSun"/>
                <w:sz w:val="20"/>
                <w:szCs w:val="20"/>
              </w:rPr>
            </w:pPr>
            <w:r>
              <w:rPr>
                <w:rFonts w:ascii="SimSun" w:hAnsi="SimSun" w:eastAsia="SimSun" w:cs="SimSun"/>
                <w:sz w:val="20"/>
                <w:szCs w:val="20"/>
                <w:spacing w:val="7"/>
              </w:rPr>
              <w:t>开采工艺</w:t>
            </w:r>
          </w:p>
        </w:tc>
        <w:tc>
          <w:tcPr>
            <w:tcW w:w="3975" w:type="dxa"/>
            <w:vAlign w:val="top"/>
          </w:tcPr>
          <w:p>
            <w:pPr>
              <w:ind w:left="207"/>
              <w:spacing w:before="27" w:line="227" w:lineRule="auto"/>
              <w:rPr>
                <w:rFonts w:ascii="SimSun" w:hAnsi="SimSun" w:eastAsia="SimSun" w:cs="SimSun"/>
                <w:sz w:val="20"/>
                <w:szCs w:val="20"/>
              </w:rPr>
            </w:pPr>
            <w:r>
              <w:rPr>
                <w:rFonts w:ascii="SimSun" w:hAnsi="SimSun" w:eastAsia="SimSun" w:cs="SimSun"/>
                <w:sz w:val="20"/>
                <w:szCs w:val="20"/>
                <w:spacing w:val="9"/>
              </w:rPr>
              <w:t>单斗－移动式破碎机－胶带与单斗－汽</w:t>
            </w:r>
          </w:p>
          <w:p>
            <w:pPr>
              <w:ind w:left="1467"/>
              <w:spacing w:before="25" w:line="217" w:lineRule="auto"/>
              <w:rPr>
                <w:rFonts w:ascii="SimSun" w:hAnsi="SimSun" w:eastAsia="SimSun" w:cs="SimSun"/>
                <w:sz w:val="20"/>
                <w:szCs w:val="20"/>
              </w:rPr>
            </w:pPr>
            <w:r>
              <w:rPr>
                <w:rFonts w:ascii="SimSun" w:hAnsi="SimSun" w:eastAsia="SimSun" w:cs="SimSun"/>
                <w:sz w:val="20"/>
                <w:szCs w:val="20"/>
                <w:spacing w:val="7"/>
              </w:rPr>
              <w:t>车联合工艺</w:t>
            </w:r>
          </w:p>
        </w:tc>
        <w:tc>
          <w:tcPr>
            <w:tcW w:w="3893" w:type="dxa"/>
            <w:vAlign w:val="top"/>
          </w:tcPr>
          <w:p>
            <w:pPr>
              <w:ind w:left="172"/>
              <w:spacing w:before="27" w:line="227" w:lineRule="auto"/>
              <w:rPr>
                <w:rFonts w:ascii="SimSun" w:hAnsi="SimSun" w:eastAsia="SimSun" w:cs="SimSun"/>
                <w:sz w:val="20"/>
                <w:szCs w:val="20"/>
              </w:rPr>
            </w:pPr>
            <w:r>
              <w:rPr>
                <w:rFonts w:ascii="SimSun" w:hAnsi="SimSun" w:eastAsia="SimSun" w:cs="SimSun"/>
                <w:sz w:val="20"/>
                <w:szCs w:val="20"/>
                <w:spacing w:val="9"/>
              </w:rPr>
              <w:t>单斗－半固定破碎机－胶带与单斗－汽</w:t>
            </w:r>
          </w:p>
          <w:p>
            <w:pPr>
              <w:ind w:left="1432"/>
              <w:spacing w:before="25" w:line="217" w:lineRule="auto"/>
              <w:rPr>
                <w:rFonts w:ascii="SimSun" w:hAnsi="SimSun" w:eastAsia="SimSun" w:cs="SimSun"/>
                <w:sz w:val="20"/>
                <w:szCs w:val="20"/>
              </w:rPr>
            </w:pPr>
            <w:r>
              <w:rPr>
                <w:rFonts w:ascii="SimSun" w:hAnsi="SimSun" w:eastAsia="SimSun" w:cs="SimSun"/>
                <w:sz w:val="20"/>
                <w:szCs w:val="20"/>
                <w:spacing w:val="7"/>
              </w:rPr>
              <w:t>车联合工艺</w:t>
            </w:r>
          </w:p>
        </w:tc>
        <w:tc>
          <w:tcPr>
            <w:tcW w:w="3827" w:type="dxa"/>
            <w:vAlign w:val="top"/>
            <w:gridSpan w:val="2"/>
          </w:tcPr>
          <w:p>
            <w:pPr>
              <w:ind w:left="139"/>
              <w:spacing w:before="27" w:line="227" w:lineRule="auto"/>
              <w:rPr>
                <w:rFonts w:ascii="SimSun" w:hAnsi="SimSun" w:eastAsia="SimSun" w:cs="SimSun"/>
                <w:sz w:val="20"/>
                <w:szCs w:val="20"/>
              </w:rPr>
            </w:pPr>
            <w:r>
              <w:rPr>
                <w:rFonts w:ascii="SimSun" w:hAnsi="SimSun" w:eastAsia="SimSun" w:cs="SimSun"/>
                <w:sz w:val="20"/>
                <w:szCs w:val="20"/>
                <w:spacing w:val="9"/>
              </w:rPr>
              <w:t>单斗－半固定破碎机－胶带与单斗－汽</w:t>
            </w:r>
          </w:p>
          <w:p>
            <w:pPr>
              <w:ind w:left="1295"/>
              <w:spacing w:before="25" w:line="217" w:lineRule="auto"/>
              <w:rPr>
                <w:rFonts w:ascii="SimSun" w:hAnsi="SimSun" w:eastAsia="SimSun" w:cs="SimSun"/>
                <w:sz w:val="20"/>
                <w:szCs w:val="20"/>
              </w:rPr>
            </w:pPr>
            <w:r>
              <w:rPr>
                <w:rFonts w:ascii="SimSun" w:hAnsi="SimSun" w:eastAsia="SimSun" w:cs="SimSun"/>
                <w:sz w:val="20"/>
                <w:szCs w:val="20"/>
                <w:spacing w:val="7"/>
              </w:rPr>
              <w:t>车半连续工艺</w:t>
            </w:r>
          </w:p>
        </w:tc>
      </w:tr>
      <w:tr>
        <w:trPr>
          <w:trHeight w:val="815" w:hRule="atLeast"/>
        </w:trPr>
        <w:tc>
          <w:tcPr>
            <w:tcW w:w="1130" w:type="dxa"/>
            <w:vAlign w:val="top"/>
            <w:vMerge w:val="continue"/>
            <w:tcBorders>
              <w:top w:val="nil"/>
            </w:tcBorders>
          </w:tcPr>
          <w:p>
            <w:pPr>
              <w:rPr>
                <w:rFonts w:ascii="Arial"/>
                <w:sz w:val="21"/>
              </w:rPr>
            </w:pPr>
            <w:r/>
          </w:p>
        </w:tc>
        <w:tc>
          <w:tcPr>
            <w:tcW w:w="1435" w:type="dxa"/>
            <w:vAlign w:val="top"/>
          </w:tcPr>
          <w:p>
            <w:pPr>
              <w:ind w:left="299"/>
              <w:spacing w:before="301" w:line="227" w:lineRule="auto"/>
              <w:rPr>
                <w:rFonts w:ascii="SimSun" w:hAnsi="SimSun" w:eastAsia="SimSun" w:cs="SimSun"/>
                <w:sz w:val="20"/>
                <w:szCs w:val="20"/>
              </w:rPr>
            </w:pPr>
            <w:r>
              <w:rPr>
                <w:rFonts w:ascii="SimSun" w:hAnsi="SimSun" w:eastAsia="SimSun" w:cs="SimSun"/>
                <w:sz w:val="20"/>
                <w:szCs w:val="20"/>
                <w:spacing w:val="7"/>
              </w:rPr>
              <w:t>开采顺序</w:t>
            </w:r>
          </w:p>
        </w:tc>
        <w:tc>
          <w:tcPr>
            <w:tcW w:w="3975" w:type="dxa"/>
            <w:vAlign w:val="top"/>
          </w:tcPr>
          <w:p>
            <w:pPr>
              <w:pStyle w:val="TableText"/>
              <w:ind w:left="106"/>
              <w:spacing w:before="27" w:line="227" w:lineRule="auto"/>
              <w:rPr>
                <w:rFonts w:ascii="SimSun" w:hAnsi="SimSun" w:eastAsia="SimSun" w:cs="SimSun"/>
              </w:rPr>
            </w:pPr>
            <w:r>
              <w:rPr>
                <w:spacing w:val="4"/>
              </w:rPr>
              <w:t>Ⅰ</w:t>
            </w:r>
            <w:r>
              <w:rPr>
                <w:spacing w:val="-16"/>
              </w:rPr>
              <w:t xml:space="preserve"> </w:t>
            </w:r>
            <w:r>
              <w:rPr>
                <w:rFonts w:ascii="SimSun" w:hAnsi="SimSun" w:eastAsia="SimSun" w:cs="SimSun"/>
                <w:spacing w:val="4"/>
              </w:rPr>
              <w:t>、</w:t>
            </w:r>
            <w:r>
              <w:rPr>
                <w:spacing w:val="4"/>
              </w:rPr>
              <w:t>Ⅱ</w:t>
            </w:r>
            <w:r>
              <w:rPr>
                <w:spacing w:val="-28"/>
              </w:rPr>
              <w:t xml:space="preserve"> </w:t>
            </w:r>
            <w:r>
              <w:rPr>
                <w:rFonts w:ascii="SimSun" w:hAnsi="SimSun" w:eastAsia="SimSun" w:cs="SimSun"/>
                <w:spacing w:val="4"/>
              </w:rPr>
              <w:t>、</w:t>
            </w:r>
            <w:r>
              <w:rPr>
                <w:spacing w:val="4"/>
              </w:rPr>
              <w:t>Ⅲ</w:t>
            </w:r>
            <w:r>
              <w:rPr>
                <w:spacing w:val="-26"/>
              </w:rPr>
              <w:t xml:space="preserve"> </w:t>
            </w:r>
            <w:r>
              <w:rPr>
                <w:rFonts w:ascii="SimSun" w:hAnsi="SimSun" w:eastAsia="SimSun" w:cs="SimSun"/>
                <w:spacing w:val="4"/>
              </w:rPr>
              <w:t>、</w:t>
            </w:r>
            <w:r>
              <w:rPr>
                <w:spacing w:val="4"/>
              </w:rPr>
              <w:t>Ⅳ</w:t>
            </w:r>
            <w:r>
              <w:rPr>
                <w:rFonts w:ascii="SimSun" w:hAnsi="SimSun" w:eastAsia="SimSun" w:cs="SimSun"/>
                <w:spacing w:val="4"/>
              </w:rPr>
              <w:t>采区顺序进行，每区以重新</w:t>
            </w:r>
          </w:p>
          <w:p>
            <w:pPr>
              <w:ind w:left="111"/>
              <w:spacing w:before="27" w:line="227" w:lineRule="auto"/>
              <w:rPr>
                <w:rFonts w:ascii="SimSun" w:hAnsi="SimSun" w:eastAsia="SimSun" w:cs="SimSun"/>
                <w:sz w:val="20"/>
                <w:szCs w:val="20"/>
              </w:rPr>
            </w:pPr>
            <w:r>
              <w:rPr>
                <w:rFonts w:ascii="SimSun" w:hAnsi="SimSun" w:eastAsia="SimSun" w:cs="SimSun"/>
                <w:sz w:val="20"/>
                <w:szCs w:val="20"/>
                <w:spacing w:val="8"/>
              </w:rPr>
              <w:t>拉沟过渡方式开采，推进方向为从西南至</w:t>
            </w:r>
          </w:p>
          <w:p>
            <w:pPr>
              <w:ind w:left="1787"/>
              <w:spacing w:before="25" w:line="214" w:lineRule="auto"/>
              <w:rPr>
                <w:rFonts w:ascii="SimSun" w:hAnsi="SimSun" w:eastAsia="SimSun" w:cs="SimSun"/>
                <w:sz w:val="20"/>
                <w:szCs w:val="20"/>
              </w:rPr>
            </w:pPr>
            <w:r>
              <w:rPr>
                <w:rFonts w:ascii="SimSun" w:hAnsi="SimSun" w:eastAsia="SimSun" w:cs="SimSun"/>
                <w:sz w:val="20"/>
                <w:szCs w:val="20"/>
                <w:spacing w:val="1"/>
              </w:rPr>
              <w:t>东北</w:t>
            </w:r>
          </w:p>
        </w:tc>
        <w:tc>
          <w:tcPr>
            <w:tcW w:w="3893" w:type="dxa"/>
            <w:vAlign w:val="top"/>
          </w:tcPr>
          <w:p>
            <w:pPr>
              <w:ind w:left="612" w:right="98" w:hanging="501"/>
              <w:spacing w:before="164" w:line="252" w:lineRule="auto"/>
              <w:rPr>
                <w:rFonts w:ascii="SimSun" w:hAnsi="SimSun" w:eastAsia="SimSun" w:cs="SimSun"/>
                <w:sz w:val="20"/>
                <w:szCs w:val="20"/>
              </w:rPr>
            </w:pPr>
            <w:r>
              <w:rPr>
                <w:rFonts w:ascii="SimSun" w:hAnsi="SimSun" w:eastAsia="SimSun" w:cs="SimSun"/>
                <w:sz w:val="20"/>
                <w:szCs w:val="20"/>
                <w:spacing w:val="4"/>
              </w:rPr>
              <w:t>位于采区东南煤层露头处，倾向拉沟、走</w:t>
            </w:r>
            <w:r>
              <w:rPr>
                <w:rFonts w:ascii="SimSun" w:hAnsi="SimSun" w:eastAsia="SimSun" w:cs="SimSun"/>
                <w:sz w:val="20"/>
                <w:szCs w:val="20"/>
                <w:spacing w:val="7"/>
              </w:rPr>
              <w:t>向推进，即从东南向西北推进</w:t>
            </w:r>
          </w:p>
        </w:tc>
        <w:tc>
          <w:tcPr>
            <w:tcW w:w="3827" w:type="dxa"/>
            <w:vAlign w:val="top"/>
            <w:gridSpan w:val="2"/>
          </w:tcPr>
          <w:p>
            <w:pPr>
              <w:ind w:left="456" w:right="158" w:hanging="319"/>
              <w:spacing w:before="164" w:line="252" w:lineRule="auto"/>
              <w:rPr>
                <w:rFonts w:ascii="SimSun" w:hAnsi="SimSun" w:eastAsia="SimSun" w:cs="SimSun"/>
                <w:sz w:val="20"/>
                <w:szCs w:val="20"/>
              </w:rPr>
            </w:pPr>
            <w:r>
              <w:rPr>
                <w:rFonts w:ascii="SimSun" w:hAnsi="SimSun" w:eastAsia="SimSun" w:cs="SimSun"/>
                <w:sz w:val="20"/>
                <w:szCs w:val="20"/>
                <w:spacing w:val="7"/>
              </w:rPr>
              <w:t>位于采区东南煤层露头处，倾向拉沟、</w:t>
            </w:r>
            <w:r>
              <w:rPr>
                <w:rFonts w:ascii="SimSun" w:hAnsi="SimSun" w:eastAsia="SimSun" w:cs="SimSun"/>
                <w:sz w:val="20"/>
                <w:szCs w:val="20"/>
                <w:spacing w:val="9"/>
              </w:rPr>
              <w:t>走向推进，即从东南向西北推进</w:t>
            </w:r>
          </w:p>
        </w:tc>
      </w:tr>
      <w:tr>
        <w:trPr>
          <w:trHeight w:val="818" w:hRule="atLeast"/>
        </w:trPr>
        <w:tc>
          <w:tcPr>
            <w:tcW w:w="1130" w:type="dxa"/>
            <w:vAlign w:val="top"/>
            <w:vMerge w:val="restart"/>
            <w:tcBorders>
              <w:bottom w:val="nil"/>
            </w:tcBorders>
          </w:tcPr>
          <w:p>
            <w:pPr>
              <w:spacing w:line="322" w:lineRule="auto"/>
              <w:rPr>
                <w:rFonts w:ascii="Arial"/>
                <w:sz w:val="21"/>
              </w:rPr>
            </w:pPr>
            <w:r/>
          </w:p>
          <w:p>
            <w:pPr>
              <w:spacing w:line="322" w:lineRule="auto"/>
              <w:rPr>
                <w:rFonts w:ascii="Arial"/>
                <w:sz w:val="21"/>
              </w:rPr>
            </w:pPr>
            <w:r/>
          </w:p>
          <w:p>
            <w:pPr>
              <w:ind w:left="252"/>
              <w:spacing w:before="65" w:line="228" w:lineRule="auto"/>
              <w:rPr>
                <w:rFonts w:ascii="SimSun" w:hAnsi="SimSun" w:eastAsia="SimSun" w:cs="SimSun"/>
                <w:sz w:val="20"/>
                <w:szCs w:val="20"/>
              </w:rPr>
            </w:pPr>
            <w:r>
              <w:rPr>
                <w:rFonts w:ascii="SimSun" w:hAnsi="SimSun" w:eastAsia="SimSun" w:cs="SimSun"/>
                <w:sz w:val="20"/>
                <w:szCs w:val="20"/>
                <w:spacing w:val="6"/>
              </w:rPr>
              <w:t>排土场</w:t>
            </w:r>
          </w:p>
        </w:tc>
        <w:tc>
          <w:tcPr>
            <w:tcW w:w="1435" w:type="dxa"/>
            <w:vAlign w:val="top"/>
          </w:tcPr>
          <w:p>
            <w:pPr>
              <w:ind w:left="302"/>
              <w:spacing w:before="302" w:line="228" w:lineRule="auto"/>
              <w:rPr>
                <w:rFonts w:ascii="SimSun" w:hAnsi="SimSun" w:eastAsia="SimSun" w:cs="SimSun"/>
                <w:sz w:val="20"/>
                <w:szCs w:val="20"/>
              </w:rPr>
            </w:pPr>
            <w:r>
              <w:rPr>
                <w:rFonts w:ascii="SimSun" w:hAnsi="SimSun" w:eastAsia="SimSun" w:cs="SimSun"/>
                <w:sz w:val="20"/>
                <w:szCs w:val="20"/>
                <w:spacing w:val="6"/>
              </w:rPr>
              <w:t>外排土场</w:t>
            </w:r>
          </w:p>
        </w:tc>
        <w:tc>
          <w:tcPr>
            <w:tcW w:w="3975" w:type="dxa"/>
            <w:vAlign w:val="top"/>
          </w:tcPr>
          <w:p>
            <w:pPr>
              <w:ind w:left="112"/>
              <w:spacing w:before="28" w:line="227" w:lineRule="auto"/>
              <w:rPr>
                <w:rFonts w:ascii="SimSun" w:hAnsi="SimSun" w:eastAsia="SimSun" w:cs="SimSun"/>
                <w:sz w:val="20"/>
                <w:szCs w:val="20"/>
              </w:rPr>
            </w:pPr>
            <w:r>
              <w:rPr>
                <w:rFonts w:ascii="SimSun" w:hAnsi="SimSun" w:eastAsia="SimSun" w:cs="SimSun"/>
                <w:sz w:val="20"/>
                <w:szCs w:val="20"/>
                <w:spacing w:val="8"/>
              </w:rPr>
              <w:t>设置在首采区拉沟位置南侧，首采区东部</w:t>
            </w:r>
          </w:p>
          <w:p>
            <w:pPr>
              <w:pStyle w:val="TableText"/>
              <w:ind w:left="153"/>
              <w:spacing w:before="28" w:line="228" w:lineRule="auto"/>
              <w:rPr>
                <w:rFonts w:ascii="SimSun" w:hAnsi="SimSun" w:eastAsia="SimSun" w:cs="SimSun"/>
              </w:rPr>
            </w:pPr>
            <w:r>
              <w:rPr>
                <w:rFonts w:ascii="SimSun" w:hAnsi="SimSun" w:eastAsia="SimSun" w:cs="SimSun"/>
                <w:spacing w:val="4"/>
              </w:rPr>
              <w:t>境界之外，外排容量</w:t>
            </w:r>
            <w:r>
              <w:rPr>
                <w:rFonts w:ascii="SimSun" w:hAnsi="SimSun" w:eastAsia="SimSun" w:cs="SimSun"/>
                <w:spacing w:val="-38"/>
              </w:rPr>
              <w:t xml:space="preserve"> </w:t>
            </w:r>
            <w:r>
              <w:rPr>
                <w:spacing w:val="4"/>
              </w:rPr>
              <w:t>44.48</w:t>
            </w:r>
            <w:r>
              <w:rPr/>
              <w:t>Mm</w:t>
            </w:r>
            <w:r>
              <w:rPr>
                <w:sz w:val="13"/>
                <w:szCs w:val="13"/>
                <w:spacing w:val="4"/>
                <w:position w:val="6"/>
              </w:rPr>
              <w:t>3</w:t>
            </w:r>
            <w:r>
              <w:rPr>
                <w:sz w:val="13"/>
                <w:szCs w:val="13"/>
                <w:spacing w:val="-6"/>
                <w:position w:val="6"/>
              </w:rPr>
              <w:t xml:space="preserve"> </w:t>
            </w:r>
            <w:r>
              <w:rPr>
                <w:rFonts w:ascii="SimSun" w:hAnsi="SimSun" w:eastAsia="SimSun" w:cs="SimSun"/>
                <w:spacing w:val="4"/>
              </w:rPr>
              <w:t>，</w:t>
            </w:r>
            <w:r>
              <w:rPr>
                <w:rFonts w:ascii="SimSun" w:hAnsi="SimSun" w:eastAsia="SimSun" w:cs="SimSun"/>
                <w:spacing w:val="-51"/>
              </w:rPr>
              <w:t xml:space="preserve"> </w:t>
            </w:r>
            <w:r>
              <w:rPr>
                <w:rFonts w:ascii="SimSun" w:hAnsi="SimSun" w:eastAsia="SimSun" w:cs="SimSun"/>
                <w:spacing w:val="4"/>
              </w:rPr>
              <w:t>占地面</w:t>
            </w:r>
          </w:p>
          <w:p>
            <w:pPr>
              <w:pStyle w:val="TableText"/>
              <w:ind w:left="1537"/>
              <w:spacing w:before="24" w:line="216" w:lineRule="auto"/>
              <w:rPr>
                <w:sz w:val="13"/>
                <w:szCs w:val="13"/>
              </w:rPr>
            </w:pPr>
            <w:r>
              <w:rPr>
                <w:rFonts w:ascii="SimSun" w:hAnsi="SimSun" w:eastAsia="SimSun" w:cs="SimSun"/>
              </w:rPr>
              <w:t>积</w:t>
            </w:r>
            <w:r>
              <w:rPr>
                <w:rFonts w:ascii="SimSun" w:hAnsi="SimSun" w:eastAsia="SimSun" w:cs="SimSun"/>
                <w:spacing w:val="-23"/>
              </w:rPr>
              <w:t xml:space="preserve"> </w:t>
            </w:r>
            <w:r>
              <w:rPr/>
              <w:t>115hm</w:t>
            </w:r>
            <w:r>
              <w:rPr>
                <w:sz w:val="13"/>
                <w:szCs w:val="13"/>
                <w:position w:val="6"/>
              </w:rPr>
              <w:t>2</w:t>
            </w:r>
          </w:p>
        </w:tc>
        <w:tc>
          <w:tcPr>
            <w:tcW w:w="3893" w:type="dxa"/>
            <w:vAlign w:val="top"/>
          </w:tcPr>
          <w:p>
            <w:pPr>
              <w:pStyle w:val="TableText"/>
              <w:ind w:right="15"/>
              <w:spacing w:before="28" w:line="227" w:lineRule="auto"/>
              <w:jc w:val="right"/>
              <w:rPr>
                <w:rFonts w:ascii="SimSun" w:hAnsi="SimSun" w:eastAsia="SimSun" w:cs="SimSun"/>
              </w:rPr>
            </w:pPr>
            <w:r>
              <w:rPr>
                <w:rFonts w:ascii="SimSun" w:hAnsi="SimSun" w:eastAsia="SimSun" w:cs="SimSun"/>
                <w:spacing w:val="8"/>
              </w:rPr>
              <w:t>在采区拉沟位置东侧设置</w:t>
            </w:r>
            <w:r>
              <w:rPr>
                <w:rFonts w:ascii="SimSun" w:hAnsi="SimSun" w:eastAsia="SimSun" w:cs="SimSun"/>
                <w:spacing w:val="-41"/>
              </w:rPr>
              <w:t xml:space="preserve"> </w:t>
            </w:r>
            <w:r>
              <w:rPr>
                <w:spacing w:val="8"/>
              </w:rPr>
              <w:t>2 </w:t>
            </w:r>
            <w:r>
              <w:rPr>
                <w:rFonts w:ascii="SimSun" w:hAnsi="SimSun" w:eastAsia="SimSun" w:cs="SimSun"/>
                <w:spacing w:val="8"/>
              </w:rPr>
              <w:t>个外排土场，</w:t>
            </w:r>
          </w:p>
          <w:p>
            <w:pPr>
              <w:pStyle w:val="TableText"/>
              <w:ind w:left="388" w:right="141" w:hanging="272"/>
              <w:spacing w:before="28" w:line="233" w:lineRule="auto"/>
              <w:rPr>
                <w:sz w:val="13"/>
                <w:szCs w:val="13"/>
              </w:rPr>
            </w:pPr>
            <w:r>
              <w:rPr>
                <w:rFonts w:ascii="SimSun" w:hAnsi="SimSun" w:eastAsia="SimSun" w:cs="SimSun"/>
                <w:spacing w:val="6"/>
              </w:rPr>
              <w:t>总占地面积</w:t>
            </w:r>
            <w:r>
              <w:rPr>
                <w:rFonts w:ascii="SimSun" w:hAnsi="SimSun" w:eastAsia="SimSun" w:cs="SimSun"/>
                <w:spacing w:val="-24"/>
              </w:rPr>
              <w:t xml:space="preserve"> </w:t>
            </w:r>
            <w:r>
              <w:rPr>
                <w:spacing w:val="6"/>
              </w:rPr>
              <w:t>258</w:t>
            </w:r>
            <w:r>
              <w:rPr/>
              <w:t>hm</w:t>
            </w:r>
            <w:r>
              <w:rPr>
                <w:sz w:val="13"/>
                <w:szCs w:val="13"/>
                <w:spacing w:val="6"/>
                <w:position w:val="6"/>
              </w:rPr>
              <w:t>2</w:t>
            </w:r>
            <w:r>
              <w:rPr>
                <w:sz w:val="13"/>
                <w:szCs w:val="13"/>
                <w:spacing w:val="-9"/>
                <w:position w:val="6"/>
              </w:rPr>
              <w:t xml:space="preserve"> </w:t>
            </w:r>
            <w:r>
              <w:rPr>
                <w:rFonts w:ascii="SimSun" w:hAnsi="SimSun" w:eastAsia="SimSun" w:cs="SimSun"/>
                <w:spacing w:val="6"/>
              </w:rPr>
              <w:t>，在采掘场西帮设置</w:t>
            </w:r>
            <w:r>
              <w:rPr>
                <w:spacing w:val="1"/>
              </w:rPr>
              <w:t>1</w:t>
            </w:r>
            <w:r>
              <w:rPr>
                <w:spacing w:val="26"/>
                <w:w w:val="101"/>
              </w:rPr>
              <w:t xml:space="preserve"> </w:t>
            </w:r>
            <w:r>
              <w:rPr>
                <w:rFonts w:ascii="SimSun" w:hAnsi="SimSun" w:eastAsia="SimSun" w:cs="SimSun"/>
                <w:spacing w:val="1"/>
              </w:rPr>
              <w:t>处临时排土场，</w:t>
            </w:r>
            <w:r>
              <w:rPr>
                <w:rFonts w:ascii="SimSun" w:hAnsi="SimSun" w:eastAsia="SimSun" w:cs="SimSun"/>
                <w:spacing w:val="-52"/>
              </w:rPr>
              <w:t xml:space="preserve"> </w:t>
            </w:r>
            <w:r>
              <w:rPr>
                <w:rFonts w:ascii="SimSun" w:hAnsi="SimSun" w:eastAsia="SimSun" w:cs="SimSun"/>
                <w:spacing w:val="1"/>
              </w:rPr>
              <w:t>占地面积</w:t>
            </w:r>
            <w:r>
              <w:rPr>
                <w:rFonts w:ascii="SimSun" w:hAnsi="SimSun" w:eastAsia="SimSun" w:cs="SimSun"/>
                <w:spacing w:val="-23"/>
              </w:rPr>
              <w:t xml:space="preserve"> </w:t>
            </w:r>
            <w:r>
              <w:rPr>
                <w:spacing w:val="1"/>
              </w:rPr>
              <w:t>110</w:t>
            </w:r>
            <w:r>
              <w:rPr/>
              <w:t>hm</w:t>
            </w:r>
            <w:r>
              <w:rPr>
                <w:sz w:val="13"/>
                <w:szCs w:val="13"/>
                <w:spacing w:val="1"/>
                <w:position w:val="6"/>
              </w:rPr>
              <w:t>2</w:t>
            </w:r>
          </w:p>
        </w:tc>
        <w:tc>
          <w:tcPr>
            <w:tcW w:w="3827" w:type="dxa"/>
            <w:vAlign w:val="top"/>
            <w:gridSpan w:val="2"/>
          </w:tcPr>
          <w:p>
            <w:pPr>
              <w:pStyle w:val="TableText"/>
              <w:ind w:left="136"/>
              <w:spacing w:before="28" w:line="227" w:lineRule="auto"/>
              <w:rPr>
                <w:rFonts w:ascii="SimSun" w:hAnsi="SimSun" w:eastAsia="SimSun" w:cs="SimSun"/>
              </w:rPr>
            </w:pPr>
            <w:r>
              <w:rPr>
                <w:rFonts w:ascii="SimSun" w:hAnsi="SimSun" w:eastAsia="SimSun" w:cs="SimSun"/>
                <w:spacing w:val="8"/>
              </w:rPr>
              <w:t>在采区东侧设置</w:t>
            </w:r>
            <w:r>
              <w:rPr>
                <w:rFonts w:ascii="SimSun" w:hAnsi="SimSun" w:eastAsia="SimSun" w:cs="SimSun"/>
                <w:spacing w:val="-34"/>
              </w:rPr>
              <w:t xml:space="preserve"> </w:t>
            </w:r>
            <w:r>
              <w:rPr>
                <w:spacing w:val="8"/>
              </w:rPr>
              <w:t>2 </w:t>
            </w:r>
            <w:r>
              <w:rPr>
                <w:rFonts w:ascii="SimSun" w:hAnsi="SimSun" w:eastAsia="SimSun" w:cs="SimSun"/>
                <w:spacing w:val="8"/>
              </w:rPr>
              <w:t>个外排土场，外排土</w:t>
            </w:r>
          </w:p>
          <w:p>
            <w:pPr>
              <w:pStyle w:val="TableText"/>
              <w:ind w:left="122"/>
              <w:spacing w:before="27" w:line="228" w:lineRule="auto"/>
              <w:rPr>
                <w:rFonts w:ascii="SimSun" w:hAnsi="SimSun" w:eastAsia="SimSun" w:cs="SimSun"/>
              </w:rPr>
            </w:pPr>
            <w:r>
              <w:rPr>
                <w:rFonts w:ascii="SimSun" w:hAnsi="SimSun" w:eastAsia="SimSun" w:cs="SimSun"/>
                <w:spacing w:val="5"/>
              </w:rPr>
              <w:t>场已进行生态恢复。</w:t>
            </w:r>
            <w:r>
              <w:rPr>
                <w:spacing w:val="5"/>
              </w:rPr>
              <w:t>2014 </w:t>
            </w:r>
            <w:r>
              <w:rPr>
                <w:rFonts w:ascii="SimSun" w:hAnsi="SimSun" w:eastAsia="SimSun" w:cs="SimSun"/>
                <w:spacing w:val="5"/>
              </w:rPr>
              <w:t>年</w:t>
            </w:r>
            <w:r>
              <w:rPr>
                <w:rFonts w:ascii="SimSun" w:hAnsi="SimSun" w:eastAsia="SimSun" w:cs="SimSun"/>
                <w:spacing w:val="-26"/>
              </w:rPr>
              <w:t xml:space="preserve"> </w:t>
            </w:r>
            <w:r>
              <w:rPr>
                <w:spacing w:val="5"/>
              </w:rPr>
              <w:t>8</w:t>
            </w:r>
            <w:r>
              <w:rPr>
                <w:spacing w:val="17"/>
                <w:w w:val="101"/>
              </w:rPr>
              <w:t xml:space="preserve"> </w:t>
            </w:r>
            <w:r>
              <w:rPr>
                <w:rFonts w:ascii="SimSun" w:hAnsi="SimSun" w:eastAsia="SimSun" w:cs="SimSun"/>
                <w:spacing w:val="5"/>
              </w:rPr>
              <w:t>月实现内</w:t>
            </w:r>
          </w:p>
          <w:p>
            <w:pPr>
              <w:ind w:left="454"/>
              <w:spacing w:before="24" w:line="216" w:lineRule="auto"/>
              <w:rPr>
                <w:rFonts w:ascii="SimSun" w:hAnsi="SimSun" w:eastAsia="SimSun" w:cs="SimSun"/>
                <w:sz w:val="20"/>
                <w:szCs w:val="20"/>
              </w:rPr>
            </w:pPr>
            <w:r>
              <w:rPr>
                <w:rFonts w:ascii="SimSun" w:hAnsi="SimSun" w:eastAsia="SimSun" w:cs="SimSun"/>
                <w:sz w:val="20"/>
                <w:szCs w:val="20"/>
                <w:spacing w:val="8"/>
              </w:rPr>
              <w:t>排，现阶段剥离表土全部内排。</w:t>
            </w:r>
          </w:p>
        </w:tc>
      </w:tr>
      <w:tr>
        <w:trPr>
          <w:trHeight w:val="544"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324"/>
              <w:spacing w:before="165" w:line="228" w:lineRule="auto"/>
              <w:rPr>
                <w:rFonts w:ascii="SimSun" w:hAnsi="SimSun" w:eastAsia="SimSun" w:cs="SimSun"/>
                <w:sz w:val="20"/>
                <w:szCs w:val="20"/>
              </w:rPr>
            </w:pPr>
            <w:r>
              <w:rPr>
                <w:rFonts w:ascii="SimSun" w:hAnsi="SimSun" w:eastAsia="SimSun" w:cs="SimSun"/>
                <w:sz w:val="20"/>
                <w:szCs w:val="20"/>
                <w:spacing w:val="1"/>
              </w:rPr>
              <w:t>内排土场</w:t>
            </w:r>
          </w:p>
        </w:tc>
        <w:tc>
          <w:tcPr>
            <w:tcW w:w="3975" w:type="dxa"/>
            <w:vAlign w:val="top"/>
          </w:tcPr>
          <w:p>
            <w:pPr>
              <w:ind w:left="1046"/>
              <w:spacing w:before="165" w:line="227" w:lineRule="auto"/>
              <w:rPr>
                <w:rFonts w:ascii="SimSun" w:hAnsi="SimSun" w:eastAsia="SimSun" w:cs="SimSun"/>
                <w:sz w:val="20"/>
                <w:szCs w:val="20"/>
              </w:rPr>
            </w:pPr>
            <w:r>
              <w:rPr>
                <w:rFonts w:ascii="SimSun" w:hAnsi="SimSun" w:eastAsia="SimSun" w:cs="SimSun"/>
                <w:sz w:val="20"/>
                <w:szCs w:val="20"/>
                <w:spacing w:val="8"/>
              </w:rPr>
              <w:t>利用采掘场的采空区</w:t>
            </w:r>
          </w:p>
        </w:tc>
        <w:tc>
          <w:tcPr>
            <w:tcW w:w="3893" w:type="dxa"/>
            <w:vAlign w:val="top"/>
          </w:tcPr>
          <w:p>
            <w:pPr>
              <w:ind w:left="800"/>
              <w:spacing w:before="165" w:line="227" w:lineRule="auto"/>
              <w:rPr>
                <w:rFonts w:ascii="SimSun" w:hAnsi="SimSun" w:eastAsia="SimSun" w:cs="SimSun"/>
                <w:sz w:val="20"/>
                <w:szCs w:val="20"/>
              </w:rPr>
            </w:pPr>
            <w:r>
              <w:rPr>
                <w:rFonts w:ascii="SimSun" w:hAnsi="SimSun" w:eastAsia="SimSun" w:cs="SimSun"/>
                <w:sz w:val="20"/>
                <w:szCs w:val="20"/>
                <w:spacing w:val="9"/>
              </w:rPr>
              <w:t>利用采掘场的南侧采空区</w:t>
            </w:r>
          </w:p>
        </w:tc>
        <w:tc>
          <w:tcPr>
            <w:tcW w:w="3827" w:type="dxa"/>
            <w:vAlign w:val="top"/>
            <w:gridSpan w:val="2"/>
          </w:tcPr>
          <w:p>
            <w:pPr>
              <w:pStyle w:val="TableText"/>
              <w:ind w:left="634" w:right="123" w:hanging="472"/>
              <w:spacing w:before="29" w:line="233" w:lineRule="auto"/>
              <w:rPr/>
            </w:pPr>
            <w:r>
              <w:rPr>
                <w:rFonts w:ascii="SimSun" w:hAnsi="SimSun" w:eastAsia="SimSun" w:cs="SimSun"/>
                <w:spacing w:val="7"/>
              </w:rPr>
              <w:t>内排土场位于现有采掘场内，最终边坡</w:t>
            </w:r>
            <w:r>
              <w:rPr>
                <w:rFonts w:ascii="SimSun" w:hAnsi="SimSun" w:eastAsia="SimSun" w:cs="SimSun"/>
                <w:spacing w:val="-2"/>
              </w:rPr>
              <w:t>角取</w:t>
            </w:r>
            <w:r>
              <w:rPr>
                <w:rFonts w:ascii="SimSun" w:hAnsi="SimSun" w:eastAsia="SimSun" w:cs="SimSun"/>
                <w:spacing w:val="-23"/>
              </w:rPr>
              <w:t xml:space="preserve"> </w:t>
            </w:r>
            <w:r>
              <w:rPr>
                <w:spacing w:val="-2"/>
              </w:rPr>
              <w:t>18°</w:t>
            </w:r>
            <w:r>
              <w:rPr>
                <w:spacing w:val="-25"/>
              </w:rPr>
              <w:t xml:space="preserve"> </w:t>
            </w:r>
            <w:r>
              <w:rPr>
                <w:rFonts w:ascii="SimSun" w:hAnsi="SimSun" w:eastAsia="SimSun" w:cs="SimSun"/>
                <w:spacing w:val="-2"/>
              </w:rPr>
              <w:t>,</w:t>
            </w:r>
            <w:r>
              <w:rPr>
                <w:rFonts w:ascii="SimSun" w:hAnsi="SimSun" w:eastAsia="SimSun" w:cs="SimSun"/>
                <w:spacing w:val="76"/>
              </w:rPr>
              <w:t xml:space="preserve"> </w:t>
            </w:r>
            <w:r>
              <w:rPr>
                <w:rFonts w:ascii="SimSun" w:hAnsi="SimSun" w:eastAsia="SimSun" w:cs="SimSun"/>
                <w:spacing w:val="-2"/>
              </w:rPr>
              <w:t>台阶坡面角取</w:t>
            </w:r>
            <w:r>
              <w:rPr>
                <w:rFonts w:ascii="SimSun" w:hAnsi="SimSun" w:eastAsia="SimSun" w:cs="SimSun"/>
                <w:spacing w:val="-39"/>
              </w:rPr>
              <w:t xml:space="preserve"> </w:t>
            </w:r>
            <w:r>
              <w:rPr>
                <w:spacing w:val="-2"/>
              </w:rPr>
              <w:t>33°</w:t>
            </w:r>
          </w:p>
        </w:tc>
      </w:tr>
      <w:tr>
        <w:trPr>
          <w:trHeight w:val="271" w:hRule="atLeast"/>
        </w:trPr>
        <w:tc>
          <w:tcPr>
            <w:tcW w:w="1130" w:type="dxa"/>
            <w:vAlign w:val="top"/>
            <w:vMerge w:val="continue"/>
            <w:tcBorders>
              <w:top w:val="nil"/>
            </w:tcBorders>
          </w:tcPr>
          <w:p>
            <w:pPr>
              <w:rPr>
                <w:rFonts w:ascii="Arial"/>
                <w:sz w:val="21"/>
              </w:rPr>
            </w:pPr>
            <w:r/>
          </w:p>
        </w:tc>
        <w:tc>
          <w:tcPr>
            <w:tcW w:w="1435" w:type="dxa"/>
            <w:vAlign w:val="top"/>
          </w:tcPr>
          <w:p>
            <w:pPr>
              <w:ind w:left="298"/>
              <w:spacing w:before="29" w:line="214" w:lineRule="auto"/>
              <w:rPr>
                <w:rFonts w:ascii="SimSun" w:hAnsi="SimSun" w:eastAsia="SimSun" w:cs="SimSun"/>
                <w:sz w:val="20"/>
                <w:szCs w:val="20"/>
              </w:rPr>
            </w:pPr>
            <w:r>
              <w:rPr>
                <w:rFonts w:ascii="SimSun" w:hAnsi="SimSun" w:eastAsia="SimSun" w:cs="SimSun"/>
                <w:sz w:val="20"/>
                <w:szCs w:val="20"/>
                <w:spacing w:val="7"/>
              </w:rPr>
              <w:t>排土计划</w:t>
            </w:r>
          </w:p>
        </w:tc>
        <w:tc>
          <w:tcPr>
            <w:tcW w:w="3975" w:type="dxa"/>
            <w:vAlign w:val="top"/>
          </w:tcPr>
          <w:p>
            <w:pPr>
              <w:ind w:left="313"/>
              <w:spacing w:before="29" w:line="214" w:lineRule="auto"/>
              <w:rPr>
                <w:rFonts w:ascii="SimSun" w:hAnsi="SimSun" w:eastAsia="SimSun" w:cs="SimSun"/>
                <w:sz w:val="20"/>
                <w:szCs w:val="20"/>
              </w:rPr>
            </w:pPr>
            <w:r>
              <w:rPr>
                <w:rFonts w:ascii="SimSun" w:hAnsi="SimSun" w:eastAsia="SimSun" w:cs="SimSun"/>
                <w:sz w:val="20"/>
                <w:szCs w:val="20"/>
                <w:spacing w:val="9"/>
              </w:rPr>
              <w:t>分层排土，至达产年后一年实现内排</w:t>
            </w:r>
          </w:p>
        </w:tc>
        <w:tc>
          <w:tcPr>
            <w:tcW w:w="3893" w:type="dxa"/>
            <w:vAlign w:val="top"/>
          </w:tcPr>
          <w:p>
            <w:pPr>
              <w:pStyle w:val="TableText"/>
              <w:ind w:left="980"/>
              <w:spacing w:before="29" w:line="214" w:lineRule="auto"/>
              <w:rPr>
                <w:rFonts w:ascii="SimSun" w:hAnsi="SimSun" w:eastAsia="SimSun" w:cs="SimSun"/>
              </w:rPr>
            </w:pPr>
            <w:r>
              <w:rPr>
                <w:spacing w:val="4"/>
              </w:rPr>
              <w:t>2014 </w:t>
            </w:r>
            <w:r>
              <w:rPr>
                <w:rFonts w:ascii="SimSun" w:hAnsi="SimSun" w:eastAsia="SimSun" w:cs="SimSun"/>
                <w:spacing w:val="4"/>
              </w:rPr>
              <w:t>年</w:t>
            </w:r>
            <w:r>
              <w:rPr>
                <w:rFonts w:ascii="SimSun" w:hAnsi="SimSun" w:eastAsia="SimSun" w:cs="SimSun"/>
                <w:spacing w:val="-29"/>
              </w:rPr>
              <w:t xml:space="preserve"> </w:t>
            </w:r>
            <w:r>
              <w:rPr>
                <w:spacing w:val="4"/>
              </w:rPr>
              <w:t>8</w:t>
            </w:r>
            <w:r>
              <w:rPr>
                <w:spacing w:val="15"/>
              </w:rPr>
              <w:t xml:space="preserve"> </w:t>
            </w:r>
            <w:r>
              <w:rPr>
                <w:rFonts w:ascii="SimSun" w:hAnsi="SimSun" w:eastAsia="SimSun" w:cs="SimSun"/>
                <w:spacing w:val="4"/>
              </w:rPr>
              <w:t>月实现内排</w:t>
            </w:r>
          </w:p>
        </w:tc>
        <w:tc>
          <w:tcPr>
            <w:tcW w:w="3827" w:type="dxa"/>
            <w:vAlign w:val="top"/>
            <w:gridSpan w:val="2"/>
          </w:tcPr>
          <w:p>
            <w:pPr>
              <w:ind w:left="559"/>
              <w:spacing w:before="29" w:line="214" w:lineRule="auto"/>
              <w:rPr>
                <w:rFonts w:ascii="SimSun" w:hAnsi="SimSun" w:eastAsia="SimSun" w:cs="SimSun"/>
                <w:sz w:val="20"/>
                <w:szCs w:val="20"/>
              </w:rPr>
            </w:pPr>
            <w:r>
              <w:rPr>
                <w:rFonts w:ascii="SimSun" w:hAnsi="SimSun" w:eastAsia="SimSun" w:cs="SimSun"/>
                <w:sz w:val="20"/>
                <w:szCs w:val="20"/>
                <w:spacing w:val="9"/>
              </w:rPr>
              <w:t>现阶段剥离表土全部实现内排</w:t>
            </w:r>
          </w:p>
        </w:tc>
      </w:tr>
      <w:tr>
        <w:trPr>
          <w:trHeight w:val="818" w:hRule="atLeast"/>
        </w:trPr>
        <w:tc>
          <w:tcPr>
            <w:tcW w:w="1130"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252" w:right="251"/>
              <w:spacing w:before="65" w:line="256" w:lineRule="auto"/>
              <w:rPr>
                <w:rFonts w:ascii="SimSun" w:hAnsi="SimSun" w:eastAsia="SimSun" w:cs="SimSun"/>
                <w:sz w:val="20"/>
                <w:szCs w:val="20"/>
              </w:rPr>
            </w:pPr>
            <w:r>
              <w:rPr>
                <w:rFonts w:ascii="SimSun" w:hAnsi="SimSun" w:eastAsia="SimSun" w:cs="SimSun"/>
                <w:sz w:val="20"/>
                <w:szCs w:val="20"/>
                <w:spacing w:val="6"/>
              </w:rPr>
              <w:t>地面生</w:t>
            </w:r>
            <w:r>
              <w:rPr>
                <w:rFonts w:ascii="SimSun" w:hAnsi="SimSun" w:eastAsia="SimSun" w:cs="SimSun"/>
                <w:sz w:val="20"/>
                <w:szCs w:val="20"/>
                <w:spacing w:val="6"/>
              </w:rPr>
              <w:t>产系统</w:t>
            </w:r>
          </w:p>
        </w:tc>
        <w:tc>
          <w:tcPr>
            <w:tcW w:w="1435" w:type="dxa"/>
            <w:vAlign w:val="top"/>
          </w:tcPr>
          <w:p>
            <w:pPr>
              <w:ind w:left="403" w:right="404" w:firstLine="104"/>
              <w:spacing w:before="168" w:line="252" w:lineRule="auto"/>
              <w:rPr>
                <w:rFonts w:ascii="SimSun" w:hAnsi="SimSun" w:eastAsia="SimSun" w:cs="SimSun"/>
                <w:sz w:val="20"/>
                <w:szCs w:val="20"/>
              </w:rPr>
            </w:pPr>
            <w:r>
              <w:rPr>
                <w:rFonts w:ascii="SimSun" w:hAnsi="SimSun" w:eastAsia="SimSun" w:cs="SimSun"/>
                <w:sz w:val="20"/>
                <w:szCs w:val="20"/>
                <w:spacing w:val="4"/>
              </w:rPr>
              <w:t>毛煤</w:t>
            </w:r>
            <w:r>
              <w:rPr>
                <w:rFonts w:ascii="SimSun" w:hAnsi="SimSun" w:eastAsia="SimSun" w:cs="SimSun"/>
                <w:sz w:val="20"/>
                <w:szCs w:val="20"/>
                <w:spacing w:val="7"/>
              </w:rPr>
              <w:t>破碎站</w:t>
            </w:r>
          </w:p>
        </w:tc>
        <w:tc>
          <w:tcPr>
            <w:tcW w:w="3975" w:type="dxa"/>
            <w:vAlign w:val="top"/>
          </w:tcPr>
          <w:p>
            <w:pPr>
              <w:ind w:left="110"/>
              <w:spacing w:before="168" w:line="228" w:lineRule="auto"/>
              <w:rPr>
                <w:rFonts w:ascii="SimSun" w:hAnsi="SimSun" w:eastAsia="SimSun" w:cs="SimSun"/>
                <w:sz w:val="20"/>
                <w:szCs w:val="20"/>
              </w:rPr>
            </w:pPr>
            <w:r>
              <w:rPr>
                <w:rFonts w:ascii="SimSun" w:hAnsi="SimSun" w:eastAsia="SimSun" w:cs="SimSun"/>
                <w:sz w:val="20"/>
                <w:szCs w:val="20"/>
                <w:spacing w:val="8"/>
              </w:rPr>
              <w:t>毛煤坑下破碎，经坑口转载站，通过胶带</w:t>
            </w:r>
          </w:p>
          <w:p>
            <w:pPr>
              <w:ind w:left="1253"/>
              <w:spacing w:before="24" w:line="227" w:lineRule="auto"/>
              <w:rPr>
                <w:rFonts w:ascii="SimSun" w:hAnsi="SimSun" w:eastAsia="SimSun" w:cs="SimSun"/>
                <w:sz w:val="20"/>
                <w:szCs w:val="20"/>
              </w:rPr>
            </w:pPr>
            <w:r>
              <w:rPr>
                <w:rFonts w:ascii="SimSun" w:hAnsi="SimSun" w:eastAsia="SimSun" w:cs="SimSun"/>
                <w:sz w:val="20"/>
                <w:szCs w:val="20"/>
                <w:spacing w:val="8"/>
              </w:rPr>
              <w:t>输送机运往电厂</w:t>
            </w:r>
          </w:p>
        </w:tc>
        <w:tc>
          <w:tcPr>
            <w:tcW w:w="3893" w:type="dxa"/>
            <w:vAlign w:val="top"/>
          </w:tcPr>
          <w:p>
            <w:pPr>
              <w:pStyle w:val="TableText"/>
              <w:ind w:left="114"/>
              <w:spacing w:before="31" w:line="228" w:lineRule="auto"/>
              <w:rPr>
                <w:rFonts w:ascii="SimSun" w:hAnsi="SimSun" w:eastAsia="SimSun" w:cs="SimSun"/>
              </w:rPr>
            </w:pPr>
            <w:r>
              <w:rPr>
                <w:rFonts w:ascii="SimSun" w:hAnsi="SimSun" w:eastAsia="SimSun" w:cs="SimSun"/>
                <w:spacing w:val="5"/>
              </w:rPr>
              <w:t>北坑</w:t>
            </w:r>
            <w:r>
              <w:rPr>
                <w:rFonts w:ascii="SimSun" w:hAnsi="SimSun" w:eastAsia="SimSun" w:cs="SimSun"/>
                <w:spacing w:val="-29"/>
              </w:rPr>
              <w:t xml:space="preserve"> </w:t>
            </w:r>
            <w:r>
              <w:rPr>
                <w:spacing w:val="5"/>
              </w:rPr>
              <w:t>891 </w:t>
            </w:r>
            <w:r>
              <w:rPr>
                <w:rFonts w:ascii="SimSun" w:hAnsi="SimSun" w:eastAsia="SimSun" w:cs="SimSun"/>
                <w:spacing w:val="5"/>
              </w:rPr>
              <w:t>平盘一座小型破碎站</w:t>
            </w:r>
            <w:r>
              <w:rPr>
                <w:rFonts w:ascii="SimSun" w:hAnsi="SimSun" w:eastAsia="SimSun" w:cs="SimSun"/>
                <w:spacing w:val="-32"/>
              </w:rPr>
              <w:t xml:space="preserve"> </w:t>
            </w:r>
            <w:r>
              <w:rPr>
                <w:spacing w:val="5"/>
              </w:rPr>
              <w:t>800m</w:t>
            </w:r>
            <w:r>
              <w:rPr>
                <w:sz w:val="13"/>
                <w:szCs w:val="13"/>
                <w:spacing w:val="5"/>
                <w:position w:val="6"/>
              </w:rPr>
              <w:t>3</w:t>
            </w:r>
            <w:r>
              <w:rPr>
                <w:spacing w:val="5"/>
              </w:rPr>
              <w:t>/h</w:t>
            </w:r>
            <w:r>
              <w:rPr>
                <w:rFonts w:ascii="SimSun" w:hAnsi="SimSun" w:eastAsia="SimSun" w:cs="SimSun"/>
                <w:spacing w:val="5"/>
              </w:rPr>
              <w:t>，</w:t>
            </w:r>
          </w:p>
          <w:p>
            <w:pPr>
              <w:pStyle w:val="TableText"/>
              <w:ind w:left="135"/>
              <w:spacing w:before="22" w:line="227" w:lineRule="auto"/>
              <w:rPr>
                <w:rFonts w:ascii="SimSun" w:hAnsi="SimSun" w:eastAsia="SimSun" w:cs="SimSun"/>
              </w:rPr>
            </w:pPr>
            <w:r>
              <w:rPr>
                <w:rFonts w:ascii="SimSun" w:hAnsi="SimSun" w:eastAsia="SimSun" w:cs="SimSun"/>
                <w:spacing w:val="9"/>
              </w:rPr>
              <w:t>通过胶带输送机运往电厂，其余由伊</w:t>
            </w:r>
            <w:r>
              <w:rPr>
                <w:spacing w:val="9"/>
              </w:rPr>
              <w:t>-</w:t>
            </w:r>
            <w:r>
              <w:rPr>
                <w:rFonts w:ascii="SimSun" w:hAnsi="SimSun" w:eastAsia="SimSun" w:cs="SimSun"/>
                <w:spacing w:val="9"/>
              </w:rPr>
              <w:t>白</w:t>
            </w:r>
          </w:p>
          <w:p>
            <w:pPr>
              <w:ind w:left="1533"/>
              <w:spacing w:before="30" w:line="213" w:lineRule="auto"/>
              <w:rPr>
                <w:rFonts w:ascii="SimSun" w:hAnsi="SimSun" w:eastAsia="SimSun" w:cs="SimSun"/>
                <w:sz w:val="20"/>
                <w:szCs w:val="20"/>
              </w:rPr>
            </w:pPr>
            <w:r>
              <w:rPr>
                <w:rFonts w:ascii="SimSun" w:hAnsi="SimSun" w:eastAsia="SimSun" w:cs="SimSun"/>
                <w:sz w:val="20"/>
                <w:szCs w:val="20"/>
                <w:spacing w:val="7"/>
              </w:rPr>
              <w:t>铁路外运</w:t>
            </w:r>
          </w:p>
        </w:tc>
        <w:tc>
          <w:tcPr>
            <w:tcW w:w="3827" w:type="dxa"/>
            <w:vAlign w:val="top"/>
            <w:gridSpan w:val="2"/>
          </w:tcPr>
          <w:p>
            <w:pPr>
              <w:ind w:left="123" w:right="106" w:hanging="1"/>
              <w:spacing w:before="31" w:line="239" w:lineRule="auto"/>
              <w:jc w:val="both"/>
              <w:rPr>
                <w:rFonts w:ascii="SimSun" w:hAnsi="SimSun" w:eastAsia="SimSun" w:cs="SimSun"/>
                <w:sz w:val="20"/>
                <w:szCs w:val="20"/>
              </w:rPr>
            </w:pPr>
            <w:r>
              <w:rPr>
                <w:rFonts w:ascii="SimSun" w:hAnsi="SimSun" w:eastAsia="SimSun" w:cs="SimSun"/>
                <w:sz w:val="20"/>
                <w:szCs w:val="20"/>
                <w:spacing w:val="11"/>
              </w:rPr>
              <w:t>破碎站位于采掘场北部，毛煤经卡车运</w:t>
            </w:r>
            <w:r>
              <w:rPr>
                <w:rFonts w:ascii="SimSun" w:hAnsi="SimSun" w:eastAsia="SimSun" w:cs="SimSun"/>
                <w:sz w:val="20"/>
                <w:szCs w:val="20"/>
                <w:spacing w:val="11"/>
              </w:rPr>
              <w:t>至破碎站，过带式输送机转载，在东四</w:t>
            </w:r>
            <w:r>
              <w:rPr>
                <w:rFonts w:ascii="SimSun" w:hAnsi="SimSun" w:eastAsia="SimSun" w:cs="SimSun"/>
                <w:sz w:val="20"/>
                <w:szCs w:val="20"/>
                <w:spacing w:val="8"/>
              </w:rPr>
              <w:t>转载点可进行分流</w:t>
            </w:r>
          </w:p>
        </w:tc>
      </w:tr>
      <w:tr>
        <w:trPr>
          <w:trHeight w:val="544"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297"/>
              <w:spacing w:before="166" w:line="228" w:lineRule="auto"/>
              <w:rPr>
                <w:rFonts w:ascii="SimSun" w:hAnsi="SimSun" w:eastAsia="SimSun" w:cs="SimSun"/>
                <w:sz w:val="20"/>
                <w:szCs w:val="20"/>
              </w:rPr>
            </w:pPr>
            <w:r>
              <w:rPr>
                <w:rFonts w:ascii="SimSun" w:hAnsi="SimSun" w:eastAsia="SimSun" w:cs="SimSun"/>
                <w:sz w:val="20"/>
                <w:szCs w:val="20"/>
                <w:spacing w:val="7"/>
              </w:rPr>
              <w:t>输煤系统</w:t>
            </w:r>
          </w:p>
        </w:tc>
        <w:tc>
          <w:tcPr>
            <w:tcW w:w="3975" w:type="dxa"/>
            <w:vAlign w:val="top"/>
          </w:tcPr>
          <w:p>
            <w:pPr>
              <w:pStyle w:val="TableText"/>
              <w:ind w:left="437" w:right="110" w:hanging="323"/>
              <w:spacing w:before="29" w:line="233" w:lineRule="auto"/>
              <w:rPr/>
            </w:pPr>
            <w:r>
              <w:rPr>
                <w:rFonts w:ascii="SimSun" w:hAnsi="SimSun" w:eastAsia="SimSun" w:cs="SimSun"/>
                <w:spacing w:val="5"/>
              </w:rPr>
              <w:t>带式输送机，采用全封闭、固定式、</w:t>
            </w:r>
            <w:r>
              <w:rPr>
                <w:rFonts w:ascii="SimSun" w:hAnsi="SimSun" w:eastAsia="SimSun" w:cs="SimSun"/>
                <w:spacing w:val="-47"/>
              </w:rPr>
              <w:t xml:space="preserve"> </w:t>
            </w:r>
            <w:r>
              <w:rPr>
                <w:rFonts w:ascii="SimSun" w:hAnsi="SimSun" w:eastAsia="SimSun" w:cs="SimSun"/>
                <w:spacing w:val="5"/>
              </w:rPr>
              <w:t>自动</w:t>
            </w:r>
            <w:r>
              <w:rPr>
                <w:rFonts w:ascii="SimSun" w:hAnsi="SimSun" w:eastAsia="SimSun" w:cs="SimSun"/>
                <w:spacing w:val="8"/>
              </w:rPr>
              <w:t>化胶带输送走廊，廊道总长</w:t>
            </w:r>
            <w:r>
              <w:rPr>
                <w:rFonts w:ascii="SimSun" w:hAnsi="SimSun" w:eastAsia="SimSun" w:cs="SimSun"/>
                <w:spacing w:val="-31"/>
              </w:rPr>
              <w:t xml:space="preserve"> </w:t>
            </w:r>
            <w:r>
              <w:rPr>
                <w:spacing w:val="8"/>
              </w:rPr>
              <w:t>5.2</w:t>
            </w:r>
            <w:r>
              <w:rPr/>
              <w:t>km</w:t>
            </w:r>
          </w:p>
        </w:tc>
        <w:tc>
          <w:tcPr>
            <w:tcW w:w="3893" w:type="dxa"/>
            <w:vAlign w:val="top"/>
          </w:tcPr>
          <w:p>
            <w:pPr>
              <w:pStyle w:val="TableText"/>
              <w:ind w:left="351" w:right="98" w:hanging="235"/>
              <w:spacing w:before="29" w:line="233" w:lineRule="auto"/>
              <w:rPr/>
            </w:pPr>
            <w:r>
              <w:rPr>
                <w:rFonts w:ascii="SimSun" w:hAnsi="SimSun" w:eastAsia="SimSun" w:cs="SimSun"/>
                <w:spacing w:val="4"/>
              </w:rPr>
              <w:t>带式输送机，采用全封闭、固定式、自动</w:t>
            </w:r>
            <w:r>
              <w:rPr>
                <w:rFonts w:ascii="SimSun" w:hAnsi="SimSun" w:eastAsia="SimSun" w:cs="SimSun"/>
                <w:spacing w:val="8"/>
              </w:rPr>
              <w:t>化胶带输送走廊，廊道总长</w:t>
            </w:r>
            <w:r>
              <w:rPr>
                <w:rFonts w:ascii="SimSun" w:hAnsi="SimSun" w:eastAsia="SimSun" w:cs="SimSun"/>
                <w:spacing w:val="-36"/>
              </w:rPr>
              <w:t xml:space="preserve"> </w:t>
            </w:r>
            <w:r>
              <w:rPr>
                <w:spacing w:val="8"/>
              </w:rPr>
              <w:t>6.03</w:t>
            </w:r>
            <w:r>
              <w:rPr/>
              <w:t>km</w:t>
            </w:r>
          </w:p>
        </w:tc>
        <w:tc>
          <w:tcPr>
            <w:tcW w:w="3827" w:type="dxa"/>
            <w:vAlign w:val="top"/>
            <w:gridSpan w:val="2"/>
          </w:tcPr>
          <w:p>
            <w:pPr>
              <w:pStyle w:val="TableText"/>
              <w:ind w:left="213" w:right="123" w:hanging="71"/>
              <w:spacing w:before="29" w:line="233" w:lineRule="auto"/>
              <w:rPr/>
            </w:pPr>
            <w:r>
              <w:rPr>
                <w:rFonts w:ascii="SimSun" w:hAnsi="SimSun" w:eastAsia="SimSun" w:cs="SimSun"/>
                <w:spacing w:val="6"/>
              </w:rPr>
              <w:t>带式输送机，采用全封闭、固定式、</w:t>
            </w:r>
            <w:r>
              <w:rPr>
                <w:rFonts w:ascii="SimSun" w:hAnsi="SimSun" w:eastAsia="SimSun" w:cs="SimSun"/>
                <w:spacing w:val="-48"/>
              </w:rPr>
              <w:t xml:space="preserve"> </w:t>
            </w:r>
            <w:r>
              <w:rPr>
                <w:rFonts w:ascii="SimSun" w:hAnsi="SimSun" w:eastAsia="SimSun" w:cs="SimSun"/>
                <w:spacing w:val="6"/>
              </w:rPr>
              <w:t>自</w:t>
            </w:r>
            <w:r>
              <w:rPr>
                <w:rFonts w:ascii="SimSun" w:hAnsi="SimSun" w:eastAsia="SimSun" w:cs="SimSun"/>
                <w:spacing w:val="8"/>
              </w:rPr>
              <w:t>动化胶带输送走廊，廊道总长</w:t>
            </w:r>
            <w:r>
              <w:rPr>
                <w:rFonts w:ascii="SimSun" w:hAnsi="SimSun" w:eastAsia="SimSun" w:cs="SimSun"/>
                <w:spacing w:val="-33"/>
              </w:rPr>
              <w:t xml:space="preserve"> </w:t>
            </w:r>
            <w:r>
              <w:rPr>
                <w:spacing w:val="8"/>
              </w:rPr>
              <w:t>7.53</w:t>
            </w:r>
            <w:r>
              <w:rPr/>
              <w:t>km</w:t>
            </w:r>
          </w:p>
        </w:tc>
      </w:tr>
      <w:tr>
        <w:trPr>
          <w:trHeight w:val="453"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403"/>
              <w:spacing w:before="122" w:line="228" w:lineRule="auto"/>
              <w:rPr>
                <w:rFonts w:ascii="SimSun" w:hAnsi="SimSun" w:eastAsia="SimSun" w:cs="SimSun"/>
                <w:sz w:val="20"/>
                <w:szCs w:val="20"/>
              </w:rPr>
            </w:pPr>
            <w:r>
              <w:rPr>
                <w:rFonts w:ascii="SimSun" w:hAnsi="SimSun" w:eastAsia="SimSun" w:cs="SimSun"/>
                <w:sz w:val="20"/>
                <w:szCs w:val="20"/>
                <w:spacing w:val="7"/>
              </w:rPr>
              <w:t>储煤场</w:t>
            </w:r>
          </w:p>
        </w:tc>
        <w:tc>
          <w:tcPr>
            <w:tcW w:w="3975" w:type="dxa"/>
            <w:vAlign w:val="top"/>
          </w:tcPr>
          <w:p>
            <w:pPr>
              <w:ind w:left="1257"/>
              <w:spacing w:before="122" w:line="228" w:lineRule="auto"/>
              <w:rPr>
                <w:rFonts w:ascii="SimSun" w:hAnsi="SimSun" w:eastAsia="SimSun" w:cs="SimSun"/>
                <w:sz w:val="20"/>
                <w:szCs w:val="20"/>
              </w:rPr>
            </w:pPr>
            <w:r>
              <w:rPr>
                <w:rFonts w:ascii="SimSun" w:hAnsi="SimSun" w:eastAsia="SimSun" w:cs="SimSun"/>
                <w:sz w:val="20"/>
                <w:szCs w:val="20"/>
                <w:spacing w:val="8"/>
              </w:rPr>
              <w:t>不设地面储煤场</w:t>
            </w:r>
          </w:p>
        </w:tc>
        <w:tc>
          <w:tcPr>
            <w:tcW w:w="3893" w:type="dxa"/>
            <w:vAlign w:val="top"/>
          </w:tcPr>
          <w:p>
            <w:pPr>
              <w:ind w:left="1223"/>
              <w:spacing w:before="122" w:line="228" w:lineRule="auto"/>
              <w:rPr>
                <w:rFonts w:ascii="SimSun" w:hAnsi="SimSun" w:eastAsia="SimSun" w:cs="SimSun"/>
                <w:sz w:val="20"/>
                <w:szCs w:val="20"/>
              </w:rPr>
            </w:pPr>
            <w:r>
              <w:rPr>
                <w:rFonts w:ascii="SimSun" w:hAnsi="SimSun" w:eastAsia="SimSun" w:cs="SimSun"/>
                <w:sz w:val="20"/>
                <w:szCs w:val="20"/>
                <w:spacing w:val="8"/>
              </w:rPr>
              <w:t>不设地面储煤场</w:t>
            </w:r>
          </w:p>
        </w:tc>
        <w:tc>
          <w:tcPr>
            <w:tcW w:w="3827" w:type="dxa"/>
            <w:vAlign w:val="top"/>
            <w:gridSpan w:val="2"/>
          </w:tcPr>
          <w:p>
            <w:pPr>
              <w:ind w:left="1293"/>
              <w:spacing w:before="122" w:line="228" w:lineRule="auto"/>
              <w:rPr>
                <w:rFonts w:ascii="SimSun" w:hAnsi="SimSun" w:eastAsia="SimSun" w:cs="SimSun"/>
                <w:sz w:val="20"/>
                <w:szCs w:val="20"/>
              </w:rPr>
            </w:pPr>
            <w:r>
              <w:rPr>
                <w:rFonts w:ascii="SimSun" w:hAnsi="SimSun" w:eastAsia="SimSun" w:cs="SimSun"/>
                <w:sz w:val="20"/>
                <w:szCs w:val="20"/>
                <w:spacing w:val="8"/>
              </w:rPr>
              <w:t>封闭式储煤场</w:t>
            </w:r>
          </w:p>
        </w:tc>
      </w:tr>
      <w:tr>
        <w:trPr>
          <w:trHeight w:val="292" w:hRule="atLeast"/>
        </w:trPr>
        <w:tc>
          <w:tcPr>
            <w:tcW w:w="1130" w:type="dxa"/>
            <w:vAlign w:val="top"/>
            <w:vMerge w:val="continue"/>
            <w:tcBorders>
              <w:top w:val="nil"/>
            </w:tcBorders>
          </w:tcPr>
          <w:p>
            <w:pPr>
              <w:rPr>
                <w:rFonts w:ascii="Arial"/>
                <w:sz w:val="21"/>
              </w:rPr>
            </w:pPr>
            <w:r/>
          </w:p>
        </w:tc>
        <w:tc>
          <w:tcPr>
            <w:tcW w:w="1435" w:type="dxa"/>
            <w:vAlign w:val="top"/>
          </w:tcPr>
          <w:p>
            <w:pPr>
              <w:ind w:left="405"/>
              <w:spacing w:before="40" w:line="223" w:lineRule="auto"/>
              <w:rPr>
                <w:rFonts w:ascii="SimSun" w:hAnsi="SimSun" w:eastAsia="SimSun" w:cs="SimSun"/>
                <w:sz w:val="20"/>
                <w:szCs w:val="20"/>
              </w:rPr>
            </w:pPr>
            <w:r>
              <w:rPr>
                <w:rFonts w:ascii="SimSun" w:hAnsi="SimSun" w:eastAsia="SimSun" w:cs="SimSun"/>
                <w:sz w:val="20"/>
                <w:szCs w:val="20"/>
                <w:spacing w:val="6"/>
              </w:rPr>
              <w:t>煤加工</w:t>
            </w:r>
          </w:p>
        </w:tc>
        <w:tc>
          <w:tcPr>
            <w:tcW w:w="3975" w:type="dxa"/>
            <w:vAlign w:val="top"/>
          </w:tcPr>
          <w:p>
            <w:pPr>
              <w:ind w:left="311"/>
              <w:spacing w:before="40" w:line="223" w:lineRule="auto"/>
              <w:rPr>
                <w:rFonts w:ascii="SimSun" w:hAnsi="SimSun" w:eastAsia="SimSun" w:cs="SimSun"/>
                <w:sz w:val="20"/>
                <w:szCs w:val="20"/>
              </w:rPr>
            </w:pPr>
            <w:r>
              <w:rPr>
                <w:rFonts w:ascii="SimSun" w:hAnsi="SimSun" w:eastAsia="SimSun" w:cs="SimSun"/>
                <w:sz w:val="20"/>
                <w:szCs w:val="20"/>
                <w:spacing w:val="9"/>
              </w:rPr>
              <w:t>毛煤暂不进行分选加工，只进行选采</w:t>
            </w:r>
          </w:p>
        </w:tc>
        <w:tc>
          <w:tcPr>
            <w:tcW w:w="3893" w:type="dxa"/>
            <w:vAlign w:val="top"/>
          </w:tcPr>
          <w:p>
            <w:pPr>
              <w:ind w:left="275"/>
              <w:spacing w:before="40" w:line="223" w:lineRule="auto"/>
              <w:rPr>
                <w:rFonts w:ascii="SimSun" w:hAnsi="SimSun" w:eastAsia="SimSun" w:cs="SimSun"/>
                <w:sz w:val="20"/>
                <w:szCs w:val="20"/>
              </w:rPr>
            </w:pPr>
            <w:r>
              <w:rPr>
                <w:rFonts w:ascii="SimSun" w:hAnsi="SimSun" w:eastAsia="SimSun" w:cs="SimSun"/>
                <w:sz w:val="20"/>
                <w:szCs w:val="20"/>
                <w:spacing w:val="9"/>
              </w:rPr>
              <w:t>毛煤暂不进行分选加工，只进行选采</w:t>
            </w:r>
          </w:p>
        </w:tc>
        <w:tc>
          <w:tcPr>
            <w:tcW w:w="3827" w:type="dxa"/>
            <w:vAlign w:val="top"/>
            <w:gridSpan w:val="2"/>
          </w:tcPr>
          <w:p>
            <w:pPr>
              <w:ind w:left="1082"/>
              <w:spacing w:before="40" w:line="223" w:lineRule="auto"/>
              <w:rPr>
                <w:rFonts w:ascii="SimSun" w:hAnsi="SimSun" w:eastAsia="SimSun" w:cs="SimSun"/>
                <w:sz w:val="20"/>
                <w:szCs w:val="20"/>
              </w:rPr>
            </w:pPr>
            <w:r>
              <w:rPr>
                <w:rFonts w:ascii="SimSun" w:hAnsi="SimSun" w:eastAsia="SimSun" w:cs="SimSun"/>
                <w:sz w:val="20"/>
                <w:szCs w:val="20"/>
                <w:spacing w:val="8"/>
              </w:rPr>
              <w:t>运至井工矿选煤厂</w:t>
            </w:r>
          </w:p>
        </w:tc>
      </w:tr>
      <w:tr>
        <w:trPr>
          <w:trHeight w:val="544" w:hRule="atLeast"/>
        </w:trPr>
        <w:tc>
          <w:tcPr>
            <w:tcW w:w="1130" w:type="dxa"/>
            <w:vAlign w:val="top"/>
          </w:tcPr>
          <w:p>
            <w:pPr>
              <w:ind w:left="255" w:right="148" w:hanging="108"/>
              <w:spacing w:before="31" w:line="232" w:lineRule="auto"/>
              <w:rPr>
                <w:rFonts w:ascii="SimSun" w:hAnsi="SimSun" w:eastAsia="SimSun" w:cs="SimSun"/>
                <w:sz w:val="20"/>
                <w:szCs w:val="20"/>
              </w:rPr>
            </w:pPr>
            <w:r>
              <w:rPr>
                <w:rFonts w:ascii="SimSun" w:hAnsi="SimSun" w:eastAsia="SimSun" w:cs="SimSun"/>
                <w:sz w:val="20"/>
                <w:szCs w:val="20"/>
                <w:spacing w:val="7"/>
              </w:rPr>
              <w:t>地面防排</w:t>
            </w:r>
            <w:r>
              <w:rPr>
                <w:rFonts w:ascii="SimSun" w:hAnsi="SimSun" w:eastAsia="SimSun" w:cs="SimSun"/>
                <w:sz w:val="20"/>
                <w:szCs w:val="20"/>
                <w:spacing w:val="6"/>
              </w:rPr>
              <w:t>水工程</w:t>
            </w:r>
          </w:p>
        </w:tc>
        <w:tc>
          <w:tcPr>
            <w:tcW w:w="1435" w:type="dxa"/>
            <w:vAlign w:val="top"/>
          </w:tcPr>
          <w:p>
            <w:pPr>
              <w:ind w:left="511" w:right="196" w:hanging="318"/>
              <w:spacing w:before="31" w:line="232" w:lineRule="auto"/>
              <w:rPr>
                <w:rFonts w:ascii="SimSun" w:hAnsi="SimSun" w:eastAsia="SimSun" w:cs="SimSun"/>
                <w:sz w:val="20"/>
                <w:szCs w:val="20"/>
              </w:rPr>
            </w:pPr>
            <w:r>
              <w:rPr>
                <w:rFonts w:ascii="SimSun" w:hAnsi="SimSun" w:eastAsia="SimSun" w:cs="SimSun"/>
                <w:sz w:val="20"/>
                <w:szCs w:val="20"/>
                <w:spacing w:val="8"/>
              </w:rPr>
              <w:t>地面防排水</w:t>
            </w:r>
            <w:r>
              <w:rPr>
                <w:rFonts w:ascii="SimSun" w:hAnsi="SimSun" w:eastAsia="SimSun" w:cs="SimSun"/>
                <w:sz w:val="20"/>
                <w:szCs w:val="20"/>
                <w:spacing w:val="2"/>
              </w:rPr>
              <w:t>系统</w:t>
            </w:r>
          </w:p>
        </w:tc>
        <w:tc>
          <w:tcPr>
            <w:tcW w:w="3975" w:type="dxa"/>
            <w:vAlign w:val="top"/>
          </w:tcPr>
          <w:p>
            <w:pPr>
              <w:ind w:left="204"/>
              <w:spacing w:before="31" w:line="227" w:lineRule="auto"/>
              <w:rPr>
                <w:rFonts w:ascii="SimSun" w:hAnsi="SimSun" w:eastAsia="SimSun" w:cs="SimSun"/>
                <w:sz w:val="20"/>
                <w:szCs w:val="20"/>
              </w:rPr>
            </w:pPr>
            <w:r>
              <w:rPr>
                <w:rFonts w:ascii="SimSun" w:hAnsi="SimSun" w:eastAsia="SimSun" w:cs="SimSun"/>
                <w:sz w:val="20"/>
                <w:szCs w:val="20"/>
                <w:spacing w:val="9"/>
              </w:rPr>
              <w:t>在采掘场东南方向由露天矿剥离物修筑</w:t>
            </w:r>
          </w:p>
          <w:p>
            <w:pPr>
              <w:ind w:left="1469"/>
              <w:spacing w:before="24" w:line="214" w:lineRule="auto"/>
              <w:rPr>
                <w:rFonts w:ascii="SimSun" w:hAnsi="SimSun" w:eastAsia="SimSun" w:cs="SimSun"/>
                <w:sz w:val="20"/>
                <w:szCs w:val="20"/>
              </w:rPr>
            </w:pPr>
            <w:r>
              <w:rPr>
                <w:rFonts w:ascii="SimSun" w:hAnsi="SimSun" w:eastAsia="SimSun" w:cs="SimSun"/>
                <w:sz w:val="20"/>
                <w:szCs w:val="20"/>
                <w:spacing w:val="7"/>
              </w:rPr>
              <w:t>简易防洪堤</w:t>
            </w:r>
          </w:p>
        </w:tc>
        <w:tc>
          <w:tcPr>
            <w:tcW w:w="3913" w:type="dxa"/>
            <w:vAlign w:val="top"/>
            <w:gridSpan w:val="2"/>
          </w:tcPr>
          <w:p>
            <w:pPr>
              <w:ind w:left="174" w:right="106" w:hanging="63"/>
              <w:spacing w:before="31" w:line="232" w:lineRule="auto"/>
              <w:rPr>
                <w:rFonts w:ascii="SimSun" w:hAnsi="SimSun" w:eastAsia="SimSun" w:cs="SimSun"/>
                <w:sz w:val="20"/>
                <w:szCs w:val="20"/>
              </w:rPr>
            </w:pPr>
            <w:r>
              <w:rPr>
                <w:rFonts w:ascii="SimSun" w:hAnsi="SimSun" w:eastAsia="SimSun" w:cs="SimSun"/>
                <w:sz w:val="20"/>
                <w:szCs w:val="20"/>
                <w:spacing w:val="4"/>
              </w:rPr>
              <w:t>利用露天剥离土岩敷设疏干排水管路，在</w:t>
            </w:r>
            <w:r>
              <w:rPr>
                <w:rFonts w:ascii="SimSun" w:hAnsi="SimSun" w:eastAsia="SimSun" w:cs="SimSun"/>
                <w:sz w:val="20"/>
                <w:szCs w:val="20"/>
                <w:spacing w:val="9"/>
              </w:rPr>
              <w:t>地表形成一个包围采掘场的封闭环形防</w:t>
            </w:r>
          </w:p>
        </w:tc>
        <w:tc>
          <w:tcPr>
            <w:tcW w:w="3807" w:type="dxa"/>
            <w:vAlign w:val="top"/>
          </w:tcPr>
          <w:p>
            <w:pPr>
              <w:ind w:left="126" w:right="118" w:firstLine="102"/>
              <w:spacing w:before="31" w:line="232" w:lineRule="auto"/>
              <w:rPr>
                <w:rFonts w:ascii="SimSun" w:hAnsi="SimSun" w:eastAsia="SimSun" w:cs="SimSun"/>
                <w:sz w:val="20"/>
                <w:szCs w:val="20"/>
              </w:rPr>
            </w:pPr>
            <w:r>
              <w:rPr>
                <w:rFonts w:ascii="SimSun" w:hAnsi="SimSun" w:eastAsia="SimSun" w:cs="SimSun"/>
                <w:sz w:val="20"/>
                <w:szCs w:val="20"/>
                <w:spacing w:val="9"/>
              </w:rPr>
              <w:t>疏干排水管路采用半挖半埋的敷设方</w:t>
            </w:r>
            <w:r>
              <w:rPr>
                <w:rFonts w:ascii="SimSun" w:hAnsi="SimSun" w:eastAsia="SimSun" w:cs="SimSun"/>
                <w:sz w:val="20"/>
                <w:szCs w:val="20"/>
                <w:spacing w:val="9"/>
              </w:rPr>
              <w:t>式，在地表形成一个包围采掘场的封闭</w:t>
            </w:r>
          </w:p>
        </w:tc>
      </w:tr>
    </w:tbl>
    <w:p>
      <w:pPr>
        <w:pStyle w:val="BodyText"/>
        <w:rPr/>
      </w:pPr>
      <w:r/>
    </w:p>
    <w:p>
      <w:pPr>
        <w:sectPr>
          <w:headerReference w:type="default" r:id="rId88"/>
          <w:footerReference w:type="default" r:id="rId89"/>
          <w:pgSz w:w="16838" w:h="11906"/>
          <w:pgMar w:top="1169" w:right="1417" w:bottom="1080" w:left="1130" w:header="836" w:footer="917" w:gutter="0"/>
        </w:sectPr>
        <w:rPr/>
      </w:pPr>
    </w:p>
    <w:p>
      <w:pPr>
        <w:spacing w:before="7"/>
        <w:rPr/>
      </w:pPr>
      <w:r/>
    </w:p>
    <w:tbl>
      <w:tblPr>
        <w:tblStyle w:val="TableNormal"/>
        <w:tblW w:w="14260"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23"/>
        <w:gridCol w:w="1426"/>
        <w:gridCol w:w="3952"/>
        <w:gridCol w:w="3878"/>
        <w:gridCol w:w="104"/>
        <w:gridCol w:w="3777"/>
      </w:tblGrid>
      <w:tr>
        <w:trPr>
          <w:trHeight w:val="546" w:hRule="atLeast"/>
        </w:trPr>
        <w:tc>
          <w:tcPr>
            <w:tcW w:w="1123" w:type="dxa"/>
            <w:vAlign w:val="top"/>
          </w:tcPr>
          <w:p>
            <w:pPr>
              <w:ind w:left="357"/>
              <w:spacing w:before="29" w:line="228" w:lineRule="auto"/>
              <w:rPr>
                <w:rFonts w:ascii="SimSun" w:hAnsi="SimSun" w:eastAsia="SimSun" w:cs="SimSun"/>
                <w:sz w:val="20"/>
                <w:szCs w:val="20"/>
              </w:rPr>
            </w:pPr>
            <w:r>
              <w:rPr>
                <w:rFonts w:ascii="SimSun" w:hAnsi="SimSun" w:eastAsia="SimSun" w:cs="SimSun"/>
                <w:sz w:val="20"/>
                <w:szCs w:val="20"/>
                <w:b/>
                <w:bCs/>
                <w:spacing w:val="3"/>
              </w:rPr>
              <w:t>单项</w:t>
            </w:r>
          </w:p>
          <w:p>
            <w:pPr>
              <w:ind w:left="358"/>
              <w:spacing w:before="26" w:line="215" w:lineRule="auto"/>
              <w:rPr>
                <w:rFonts w:ascii="SimSun" w:hAnsi="SimSun" w:eastAsia="SimSun" w:cs="SimSun"/>
                <w:sz w:val="20"/>
                <w:szCs w:val="20"/>
              </w:rPr>
            </w:pPr>
            <w:r>
              <w:rPr>
                <w:rFonts w:ascii="SimSun" w:hAnsi="SimSun" w:eastAsia="SimSun" w:cs="SimSun"/>
                <w:sz w:val="20"/>
                <w:szCs w:val="20"/>
                <w:b/>
                <w:bCs/>
                <w:spacing w:val="2"/>
              </w:rPr>
              <w:t>工程</w:t>
            </w:r>
          </w:p>
        </w:tc>
        <w:tc>
          <w:tcPr>
            <w:tcW w:w="1426" w:type="dxa"/>
            <w:vAlign w:val="top"/>
          </w:tcPr>
          <w:p>
            <w:pPr>
              <w:ind w:left="305"/>
              <w:spacing w:before="165" w:line="228" w:lineRule="auto"/>
              <w:rPr>
                <w:rFonts w:ascii="SimSun" w:hAnsi="SimSun" w:eastAsia="SimSun" w:cs="SimSun"/>
                <w:sz w:val="20"/>
                <w:szCs w:val="20"/>
              </w:rPr>
            </w:pPr>
            <w:r>
              <w:rPr>
                <w:rFonts w:ascii="SimSun" w:hAnsi="SimSun" w:eastAsia="SimSun" w:cs="SimSun"/>
                <w:sz w:val="20"/>
                <w:szCs w:val="20"/>
                <w:b/>
                <w:bCs/>
                <w:spacing w:val="5"/>
              </w:rPr>
              <w:t>工程类别</w:t>
            </w:r>
          </w:p>
        </w:tc>
        <w:tc>
          <w:tcPr>
            <w:tcW w:w="3952" w:type="dxa"/>
            <w:vAlign w:val="top"/>
          </w:tcPr>
          <w:p>
            <w:pPr>
              <w:ind w:left="953"/>
              <w:spacing w:before="28" w:line="228" w:lineRule="auto"/>
              <w:rPr>
                <w:rFonts w:ascii="SimSun" w:hAnsi="SimSun" w:eastAsia="SimSun" w:cs="SimSun"/>
                <w:sz w:val="20"/>
                <w:szCs w:val="20"/>
              </w:rPr>
            </w:pPr>
            <w:r>
              <w:rPr>
                <w:rFonts w:ascii="SimSun" w:hAnsi="SimSun" w:eastAsia="SimSun" w:cs="SimSun"/>
                <w:sz w:val="20"/>
                <w:szCs w:val="20"/>
                <w:b/>
                <w:bCs/>
                <w:spacing w:val="7"/>
              </w:rPr>
              <w:t>环评时期项目工程内容</w:t>
            </w:r>
          </w:p>
          <w:p>
            <w:pPr>
              <w:pStyle w:val="TableText"/>
              <w:ind w:left="1253"/>
              <w:spacing w:before="27" w:line="215" w:lineRule="auto"/>
              <w:rPr>
                <w:rFonts w:ascii="SimSun" w:hAnsi="SimSun" w:eastAsia="SimSun" w:cs="SimSun"/>
              </w:rPr>
            </w:pPr>
            <w:r>
              <w:rPr>
                <w:rFonts w:ascii="SimSun" w:hAnsi="SimSun" w:eastAsia="SimSun" w:cs="SimSun"/>
                <w:b/>
                <w:bCs/>
              </w:rPr>
              <w:t>（</w:t>
            </w:r>
            <w:r>
              <w:rPr>
                <w:b/>
                <w:bCs/>
              </w:rPr>
              <w:t>2006 </w:t>
            </w:r>
            <w:r>
              <w:rPr>
                <w:rFonts w:ascii="SimSun" w:hAnsi="SimSun" w:eastAsia="SimSun" w:cs="SimSun"/>
                <w:b/>
                <w:bCs/>
              </w:rPr>
              <w:t>年</w:t>
            </w:r>
            <w:r>
              <w:rPr>
                <w:rFonts w:ascii="SimSun" w:hAnsi="SimSun" w:eastAsia="SimSun" w:cs="SimSun"/>
                <w:spacing w:val="-32"/>
              </w:rPr>
              <w:t xml:space="preserve"> </w:t>
            </w:r>
            <w:r>
              <w:rPr>
                <w:b/>
                <w:bCs/>
              </w:rPr>
              <w:t>2</w:t>
            </w:r>
            <w:r>
              <w:rPr>
                <w:b/>
                <w:bCs/>
                <w:spacing w:val="17"/>
              </w:rPr>
              <w:t xml:space="preserve"> </w:t>
            </w:r>
            <w:r>
              <w:rPr>
                <w:rFonts w:ascii="SimSun" w:hAnsi="SimSun" w:eastAsia="SimSun" w:cs="SimSun"/>
                <w:b/>
                <w:bCs/>
              </w:rPr>
              <w:t>月）</w:t>
            </w:r>
          </w:p>
        </w:tc>
        <w:tc>
          <w:tcPr>
            <w:tcW w:w="3878" w:type="dxa"/>
            <w:vAlign w:val="top"/>
          </w:tcPr>
          <w:p>
            <w:pPr>
              <w:ind w:left="938"/>
              <w:spacing w:before="28" w:line="228" w:lineRule="auto"/>
              <w:rPr>
                <w:rFonts w:ascii="SimSun" w:hAnsi="SimSun" w:eastAsia="SimSun" w:cs="SimSun"/>
                <w:sz w:val="20"/>
                <w:szCs w:val="20"/>
              </w:rPr>
            </w:pPr>
            <w:r>
              <w:rPr>
                <w:rFonts w:ascii="SimSun" w:hAnsi="SimSun" w:eastAsia="SimSun" w:cs="SimSun"/>
                <w:sz w:val="20"/>
                <w:szCs w:val="20"/>
                <w:b/>
                <w:bCs/>
                <w:spacing w:val="7"/>
              </w:rPr>
              <w:t>验收时期项目工程内容</w:t>
            </w:r>
          </w:p>
          <w:p>
            <w:pPr>
              <w:pStyle w:val="TableText"/>
              <w:ind w:left="1240"/>
              <w:spacing w:before="27" w:line="215" w:lineRule="auto"/>
              <w:rPr>
                <w:rFonts w:ascii="SimSun" w:hAnsi="SimSun" w:eastAsia="SimSun" w:cs="SimSun"/>
              </w:rPr>
            </w:pPr>
            <w:r>
              <w:rPr>
                <w:rFonts w:ascii="SimSun" w:hAnsi="SimSun" w:eastAsia="SimSun" w:cs="SimSun"/>
                <w:b/>
                <w:bCs/>
                <w:spacing w:val="1"/>
              </w:rPr>
              <w:t>（</w:t>
            </w:r>
            <w:r>
              <w:rPr>
                <w:b/>
                <w:bCs/>
                <w:spacing w:val="1"/>
              </w:rPr>
              <w:t>2015 </w:t>
            </w:r>
            <w:r>
              <w:rPr>
                <w:rFonts w:ascii="SimSun" w:hAnsi="SimSun" w:eastAsia="SimSun" w:cs="SimSun"/>
                <w:b/>
                <w:bCs/>
                <w:spacing w:val="1"/>
              </w:rPr>
              <w:t>年</w:t>
            </w:r>
            <w:r>
              <w:rPr>
                <w:rFonts w:ascii="SimSun" w:hAnsi="SimSun" w:eastAsia="SimSun" w:cs="SimSun"/>
                <w:spacing w:val="-39"/>
              </w:rPr>
              <w:t xml:space="preserve"> </w:t>
            </w:r>
            <w:r>
              <w:rPr>
                <w:b/>
                <w:bCs/>
                <w:spacing w:val="1"/>
              </w:rPr>
              <w:t>9</w:t>
            </w:r>
            <w:r>
              <w:rPr>
                <w:b/>
                <w:bCs/>
                <w:spacing w:val="14"/>
                <w:w w:val="101"/>
              </w:rPr>
              <w:t xml:space="preserve"> </w:t>
            </w:r>
            <w:r>
              <w:rPr>
                <w:rFonts w:ascii="SimSun" w:hAnsi="SimSun" w:eastAsia="SimSun" w:cs="SimSun"/>
                <w:b/>
                <w:bCs/>
                <w:spacing w:val="1"/>
              </w:rPr>
              <w:t>月）</w:t>
            </w:r>
          </w:p>
        </w:tc>
        <w:tc>
          <w:tcPr>
            <w:tcW w:w="3881" w:type="dxa"/>
            <w:vAlign w:val="top"/>
            <w:gridSpan w:val="2"/>
          </w:tcPr>
          <w:p>
            <w:pPr>
              <w:ind w:left="1345"/>
              <w:spacing w:before="28" w:line="228" w:lineRule="auto"/>
              <w:rPr>
                <w:rFonts w:ascii="SimSun" w:hAnsi="SimSun" w:eastAsia="SimSun" w:cs="SimSun"/>
                <w:sz w:val="20"/>
                <w:szCs w:val="20"/>
              </w:rPr>
            </w:pPr>
            <w:r>
              <w:rPr>
                <w:rFonts w:ascii="SimSun" w:hAnsi="SimSun" w:eastAsia="SimSun" w:cs="SimSun"/>
                <w:sz w:val="20"/>
                <w:szCs w:val="20"/>
                <w:b/>
                <w:bCs/>
                <w:spacing w:val="6"/>
              </w:rPr>
              <w:t>现有工程内容</w:t>
            </w:r>
          </w:p>
          <w:p>
            <w:pPr>
              <w:pStyle w:val="TableText"/>
              <w:ind w:left="1171"/>
              <w:spacing w:before="27" w:line="215" w:lineRule="auto"/>
              <w:rPr>
                <w:rFonts w:ascii="SimSun" w:hAnsi="SimSun" w:eastAsia="SimSun" w:cs="SimSun"/>
              </w:rPr>
            </w:pPr>
            <w:r>
              <w:rPr>
                <w:rFonts w:ascii="SimSun" w:hAnsi="SimSun" w:eastAsia="SimSun" w:cs="SimSun"/>
                <w:b/>
                <w:bCs/>
              </w:rPr>
              <w:t>（</w:t>
            </w:r>
            <w:r>
              <w:rPr>
                <w:b/>
                <w:bCs/>
              </w:rPr>
              <w:t>2024 </w:t>
            </w:r>
            <w:r>
              <w:rPr>
                <w:rFonts w:ascii="SimSun" w:hAnsi="SimSun" w:eastAsia="SimSun" w:cs="SimSun"/>
                <w:b/>
                <w:bCs/>
              </w:rPr>
              <w:t>年</w:t>
            </w:r>
            <w:r>
              <w:rPr>
                <w:rFonts w:ascii="SimSun" w:hAnsi="SimSun" w:eastAsia="SimSun" w:cs="SimSun"/>
                <w:spacing w:val="-27"/>
              </w:rPr>
              <w:t xml:space="preserve"> </w:t>
            </w:r>
            <w:r>
              <w:rPr>
                <w:b/>
                <w:bCs/>
              </w:rPr>
              <w:t>12</w:t>
            </w:r>
            <w:r>
              <w:rPr>
                <w:b/>
                <w:bCs/>
                <w:spacing w:val="17"/>
                <w:w w:val="101"/>
              </w:rPr>
              <w:t xml:space="preserve"> </w:t>
            </w:r>
            <w:r>
              <w:rPr>
                <w:rFonts w:ascii="SimSun" w:hAnsi="SimSun" w:eastAsia="SimSun" w:cs="SimSun"/>
                <w:b/>
                <w:bCs/>
              </w:rPr>
              <w:t>月）</w:t>
            </w:r>
          </w:p>
        </w:tc>
      </w:tr>
      <w:tr>
        <w:trPr>
          <w:trHeight w:val="514" w:hRule="atLeast"/>
        </w:trPr>
        <w:tc>
          <w:tcPr>
            <w:tcW w:w="1123" w:type="dxa"/>
            <w:vAlign w:val="top"/>
            <w:vMerge w:val="restart"/>
            <w:tcBorders>
              <w:bottom w:val="nil"/>
            </w:tcBorders>
          </w:tcPr>
          <w:p>
            <w:pPr>
              <w:rPr>
                <w:rFonts w:ascii="Arial"/>
                <w:sz w:val="21"/>
              </w:rPr>
            </w:pPr>
            <w:r/>
          </w:p>
        </w:tc>
        <w:tc>
          <w:tcPr>
            <w:tcW w:w="1426" w:type="dxa"/>
            <w:vAlign w:val="top"/>
          </w:tcPr>
          <w:p>
            <w:pPr>
              <w:rPr>
                <w:rFonts w:ascii="Arial"/>
                <w:sz w:val="21"/>
              </w:rPr>
            </w:pPr>
            <w:r/>
          </w:p>
        </w:tc>
        <w:tc>
          <w:tcPr>
            <w:tcW w:w="3952" w:type="dxa"/>
            <w:vAlign w:val="top"/>
          </w:tcPr>
          <w:p>
            <w:pPr>
              <w:rPr>
                <w:rFonts w:ascii="Arial"/>
                <w:sz w:val="21"/>
              </w:rPr>
            </w:pPr>
            <w:r/>
          </w:p>
        </w:tc>
        <w:tc>
          <w:tcPr>
            <w:tcW w:w="3878" w:type="dxa"/>
            <w:vAlign w:val="top"/>
            <w:tcBorders>
              <w:right w:val="nil"/>
            </w:tcBorders>
          </w:tcPr>
          <w:p>
            <w:pPr>
              <w:ind w:left="531"/>
              <w:spacing w:before="27" w:line="227" w:lineRule="auto"/>
              <w:rPr>
                <w:rFonts w:ascii="SimSun" w:hAnsi="SimSun" w:eastAsia="SimSun" w:cs="SimSun"/>
                <w:sz w:val="20"/>
                <w:szCs w:val="20"/>
              </w:rPr>
            </w:pPr>
            <w:r>
              <w:rPr>
                <w:rFonts w:ascii="SimSun" w:hAnsi="SimSun" w:eastAsia="SimSun" w:cs="SimSun"/>
                <w:sz w:val="20"/>
                <w:szCs w:val="20"/>
                <w:spacing w:val="9"/>
              </w:rPr>
              <w:t>洪堤，阻止地表汇水进入采掘场</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92"/>
              <w:spacing w:before="27" w:line="227" w:lineRule="auto"/>
              <w:rPr>
                <w:rFonts w:ascii="SimSun" w:hAnsi="SimSun" w:eastAsia="SimSun" w:cs="SimSun"/>
                <w:sz w:val="20"/>
                <w:szCs w:val="20"/>
              </w:rPr>
            </w:pPr>
            <w:r>
              <w:rPr>
                <w:rFonts w:ascii="SimSun" w:hAnsi="SimSun" w:eastAsia="SimSun" w:cs="SimSun"/>
                <w:sz w:val="20"/>
                <w:szCs w:val="20"/>
                <w:spacing w:val="9"/>
              </w:rPr>
              <w:t>环形防洪堤，阻止地表汇水进入采掘场</w:t>
            </w:r>
          </w:p>
        </w:tc>
      </w:tr>
      <w:tr>
        <w:trPr>
          <w:trHeight w:val="818" w:hRule="atLeast"/>
        </w:trPr>
        <w:tc>
          <w:tcPr>
            <w:tcW w:w="1123" w:type="dxa"/>
            <w:vAlign w:val="top"/>
            <w:vMerge w:val="continue"/>
            <w:tcBorders>
              <w:top w:val="nil"/>
              <w:bottom w:val="nil"/>
            </w:tcBorders>
          </w:tcPr>
          <w:p>
            <w:pPr>
              <w:rPr>
                <w:rFonts w:ascii="Arial"/>
                <w:sz w:val="21"/>
              </w:rPr>
            </w:pPr>
            <w:r/>
          </w:p>
        </w:tc>
        <w:tc>
          <w:tcPr>
            <w:tcW w:w="1426" w:type="dxa"/>
            <w:vAlign w:val="top"/>
          </w:tcPr>
          <w:p>
            <w:pPr>
              <w:ind w:left="514" w:right="388" w:hanging="104"/>
              <w:spacing w:before="163" w:line="252" w:lineRule="auto"/>
              <w:rPr>
                <w:rFonts w:ascii="SimSun" w:hAnsi="SimSun" w:eastAsia="SimSun" w:cs="SimSun"/>
                <w:sz w:val="20"/>
                <w:szCs w:val="20"/>
              </w:rPr>
            </w:pPr>
            <w:r>
              <w:rPr>
                <w:rFonts w:ascii="SimSun" w:hAnsi="SimSun" w:eastAsia="SimSun" w:cs="SimSun"/>
                <w:sz w:val="20"/>
                <w:szCs w:val="20"/>
                <w:spacing w:val="7"/>
              </w:rPr>
              <w:t>采掘场</w:t>
            </w:r>
            <w:r>
              <w:rPr>
                <w:rFonts w:ascii="SimSun" w:hAnsi="SimSun" w:eastAsia="SimSun" w:cs="SimSun"/>
                <w:sz w:val="20"/>
                <w:szCs w:val="20"/>
                <w:spacing w:val="4"/>
              </w:rPr>
              <w:t>排水</w:t>
            </w:r>
          </w:p>
        </w:tc>
        <w:tc>
          <w:tcPr>
            <w:tcW w:w="3952" w:type="dxa"/>
            <w:vAlign w:val="top"/>
          </w:tcPr>
          <w:p>
            <w:pPr>
              <w:ind w:left="124"/>
              <w:spacing w:before="163" w:line="227" w:lineRule="auto"/>
              <w:rPr>
                <w:rFonts w:ascii="SimSun" w:hAnsi="SimSun" w:eastAsia="SimSun" w:cs="SimSun"/>
                <w:sz w:val="20"/>
                <w:szCs w:val="20"/>
              </w:rPr>
            </w:pPr>
            <w:r>
              <w:rPr>
                <w:rFonts w:ascii="SimSun" w:hAnsi="SimSun" w:eastAsia="SimSun" w:cs="SimSun"/>
                <w:sz w:val="20"/>
                <w:szCs w:val="20"/>
                <w:spacing w:val="8"/>
              </w:rPr>
              <w:t>采场内设截水沟、导水沟、集水坑、移动</w:t>
            </w:r>
          </w:p>
          <w:p>
            <w:pPr>
              <w:ind w:left="1167"/>
              <w:spacing w:before="24" w:line="228" w:lineRule="auto"/>
              <w:rPr>
                <w:rFonts w:ascii="SimSun" w:hAnsi="SimSun" w:eastAsia="SimSun" w:cs="SimSun"/>
                <w:sz w:val="20"/>
                <w:szCs w:val="20"/>
              </w:rPr>
            </w:pPr>
            <w:r>
              <w:rPr>
                <w:rFonts w:ascii="SimSun" w:hAnsi="SimSun" w:eastAsia="SimSun" w:cs="SimSun"/>
                <w:sz w:val="20"/>
                <w:szCs w:val="20"/>
                <w:spacing w:val="8"/>
              </w:rPr>
              <w:t>泵站、坑下排水管</w:t>
            </w:r>
          </w:p>
        </w:tc>
        <w:tc>
          <w:tcPr>
            <w:tcW w:w="3878" w:type="dxa"/>
            <w:vAlign w:val="top"/>
            <w:tcBorders>
              <w:right w:val="nil"/>
            </w:tcBorders>
          </w:tcPr>
          <w:p>
            <w:pPr>
              <w:ind w:left="149"/>
              <w:spacing w:before="163" w:line="252" w:lineRule="auto"/>
              <w:rPr>
                <w:rFonts w:ascii="SimSun" w:hAnsi="SimSun" w:eastAsia="SimSun" w:cs="SimSun"/>
                <w:sz w:val="20"/>
                <w:szCs w:val="20"/>
              </w:rPr>
            </w:pPr>
            <w:r>
              <w:rPr>
                <w:rFonts w:ascii="SimSun" w:hAnsi="SimSun" w:eastAsia="SimSun" w:cs="SimSun"/>
                <w:sz w:val="20"/>
                <w:szCs w:val="20"/>
                <w:spacing w:val="3"/>
              </w:rPr>
              <w:t>采掘场坑底设置了截水沟、导水沟、集水</w:t>
            </w:r>
            <w:r>
              <w:rPr>
                <w:rFonts w:ascii="SimSun" w:hAnsi="SimSun" w:eastAsia="SimSun" w:cs="SimSun"/>
                <w:sz w:val="20"/>
                <w:szCs w:val="20"/>
                <w:spacing w:val="-4"/>
              </w:rPr>
              <w:t>坑、排水泵站及排水管线，排除坑底积水，</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91"/>
              <w:spacing w:before="26" w:line="227" w:lineRule="auto"/>
              <w:rPr>
                <w:rFonts w:ascii="SimSun" w:hAnsi="SimSun" w:eastAsia="SimSun" w:cs="SimSun"/>
                <w:sz w:val="20"/>
                <w:szCs w:val="20"/>
              </w:rPr>
            </w:pPr>
            <w:r>
              <w:rPr>
                <w:rFonts w:ascii="SimSun" w:hAnsi="SimSun" w:eastAsia="SimSun" w:cs="SimSun"/>
                <w:sz w:val="20"/>
                <w:szCs w:val="20"/>
                <w:spacing w:val="8"/>
              </w:rPr>
              <w:t>在采掘场平盘设临时集水沟、集水坑，</w:t>
            </w:r>
          </w:p>
          <w:p>
            <w:pPr>
              <w:ind w:left="92"/>
              <w:spacing w:before="24" w:line="228" w:lineRule="auto"/>
              <w:rPr>
                <w:rFonts w:ascii="SimSun" w:hAnsi="SimSun" w:eastAsia="SimSun" w:cs="SimSun"/>
                <w:sz w:val="20"/>
                <w:szCs w:val="20"/>
              </w:rPr>
            </w:pPr>
            <w:r>
              <w:rPr>
                <w:rFonts w:ascii="SimSun" w:hAnsi="SimSun" w:eastAsia="SimSun" w:cs="SimSun"/>
                <w:sz w:val="20"/>
                <w:szCs w:val="20"/>
                <w:spacing w:val="9"/>
              </w:rPr>
              <w:t>利用潜水泵、移动式泵站排水方式排至</w:t>
            </w:r>
          </w:p>
          <w:p>
            <w:pPr>
              <w:ind w:left="1248"/>
              <w:spacing w:before="26" w:line="218" w:lineRule="auto"/>
              <w:rPr>
                <w:rFonts w:ascii="SimSun" w:hAnsi="SimSun" w:eastAsia="SimSun" w:cs="SimSun"/>
                <w:sz w:val="20"/>
                <w:szCs w:val="20"/>
              </w:rPr>
            </w:pPr>
            <w:r>
              <w:rPr>
                <w:rFonts w:ascii="SimSun" w:hAnsi="SimSun" w:eastAsia="SimSun" w:cs="SimSun"/>
                <w:sz w:val="20"/>
                <w:szCs w:val="20"/>
                <w:spacing w:val="8"/>
              </w:rPr>
              <w:t>矿井水处理厂</w:t>
            </w:r>
          </w:p>
        </w:tc>
      </w:tr>
      <w:tr>
        <w:trPr>
          <w:trHeight w:val="1053" w:hRule="atLeast"/>
        </w:trPr>
        <w:tc>
          <w:tcPr>
            <w:tcW w:w="1123" w:type="dxa"/>
            <w:vAlign w:val="top"/>
            <w:vMerge w:val="continue"/>
            <w:tcBorders>
              <w:top w:val="nil"/>
            </w:tcBorders>
          </w:tcPr>
          <w:p>
            <w:pPr>
              <w:rPr>
                <w:rFonts w:ascii="Arial"/>
                <w:sz w:val="21"/>
              </w:rPr>
            </w:pPr>
            <w:r/>
          </w:p>
        </w:tc>
        <w:tc>
          <w:tcPr>
            <w:tcW w:w="1426" w:type="dxa"/>
            <w:vAlign w:val="top"/>
          </w:tcPr>
          <w:p>
            <w:pPr>
              <w:ind w:left="516" w:right="180" w:hanging="316"/>
              <w:spacing w:before="281" w:line="252" w:lineRule="auto"/>
              <w:rPr>
                <w:rFonts w:ascii="SimSun" w:hAnsi="SimSun" w:eastAsia="SimSun" w:cs="SimSun"/>
                <w:sz w:val="20"/>
                <w:szCs w:val="20"/>
              </w:rPr>
            </w:pPr>
            <w:r>
              <w:rPr>
                <w:rFonts w:ascii="SimSun" w:hAnsi="SimSun" w:eastAsia="SimSun" w:cs="SimSun"/>
                <w:sz w:val="20"/>
                <w:szCs w:val="20"/>
                <w:spacing w:val="8"/>
              </w:rPr>
              <w:t>地下水疏干</w:t>
            </w:r>
            <w:r>
              <w:rPr>
                <w:rFonts w:ascii="SimSun" w:hAnsi="SimSun" w:eastAsia="SimSun" w:cs="SimSun"/>
                <w:sz w:val="20"/>
                <w:szCs w:val="20"/>
                <w:spacing w:val="3"/>
              </w:rPr>
              <w:t>工程</w:t>
            </w:r>
          </w:p>
        </w:tc>
        <w:tc>
          <w:tcPr>
            <w:tcW w:w="3952" w:type="dxa"/>
            <w:vAlign w:val="top"/>
          </w:tcPr>
          <w:p>
            <w:pPr>
              <w:ind w:left="222"/>
              <w:spacing w:before="144" w:line="227" w:lineRule="auto"/>
              <w:rPr>
                <w:rFonts w:ascii="SimSun" w:hAnsi="SimSun" w:eastAsia="SimSun" w:cs="SimSun"/>
                <w:sz w:val="20"/>
                <w:szCs w:val="20"/>
              </w:rPr>
            </w:pPr>
            <w:r>
              <w:rPr>
                <w:rFonts w:ascii="SimSun" w:hAnsi="SimSun" w:eastAsia="SimSun" w:cs="SimSun"/>
                <w:sz w:val="20"/>
                <w:szCs w:val="20"/>
                <w:spacing w:val="9"/>
              </w:rPr>
              <w:t>沿露天矿边坡角设置疏干井，疏排地下</w:t>
            </w:r>
          </w:p>
          <w:p>
            <w:pPr>
              <w:pStyle w:val="TableText"/>
              <w:ind w:left="127"/>
              <w:spacing w:before="25" w:line="227" w:lineRule="auto"/>
              <w:rPr>
                <w:rFonts w:ascii="SimSun" w:hAnsi="SimSun" w:eastAsia="SimSun" w:cs="SimSun"/>
              </w:rPr>
            </w:pPr>
            <w:r>
              <w:rPr>
                <w:rFonts w:ascii="SimSun" w:hAnsi="SimSun" w:eastAsia="SimSun" w:cs="SimSun"/>
                <w:spacing w:val="5"/>
              </w:rPr>
              <w:t>水，稳定疏干水量约</w:t>
            </w:r>
            <w:r>
              <w:rPr>
                <w:rFonts w:ascii="SimSun" w:hAnsi="SimSun" w:eastAsia="SimSun" w:cs="SimSun"/>
                <w:spacing w:val="-40"/>
              </w:rPr>
              <w:t xml:space="preserve"> </w:t>
            </w:r>
            <w:r>
              <w:rPr>
                <w:spacing w:val="5"/>
              </w:rPr>
              <w:t>4300m</w:t>
            </w:r>
            <w:r>
              <w:rPr>
                <w:sz w:val="13"/>
                <w:szCs w:val="13"/>
                <w:spacing w:val="5"/>
                <w:position w:val="6"/>
              </w:rPr>
              <w:t>3</w:t>
            </w:r>
            <w:r>
              <w:rPr>
                <w:spacing w:val="5"/>
              </w:rPr>
              <w:t>/d</w:t>
            </w:r>
            <w:r>
              <w:rPr>
                <w:rFonts w:ascii="SimSun" w:hAnsi="SimSun" w:eastAsia="SimSun" w:cs="SimSun"/>
                <w:spacing w:val="5"/>
              </w:rPr>
              <w:t>，采场四周</w:t>
            </w:r>
          </w:p>
          <w:p>
            <w:pPr>
              <w:pStyle w:val="TableText"/>
              <w:ind w:left="322"/>
              <w:spacing w:before="27" w:line="227" w:lineRule="auto"/>
              <w:rPr/>
            </w:pPr>
            <w:r>
              <w:rPr>
                <w:rFonts w:ascii="SimSun" w:hAnsi="SimSun" w:eastAsia="SimSun" w:cs="SimSun"/>
                <w:spacing w:val="5"/>
              </w:rPr>
              <w:t>布置疏干井</w:t>
            </w:r>
            <w:r>
              <w:rPr>
                <w:rFonts w:ascii="SimSun" w:hAnsi="SimSun" w:eastAsia="SimSun" w:cs="SimSun"/>
                <w:spacing w:val="-31"/>
              </w:rPr>
              <w:t xml:space="preserve"> </w:t>
            </w:r>
            <w:r>
              <w:rPr>
                <w:spacing w:val="5"/>
              </w:rPr>
              <w:t>20</w:t>
            </w:r>
            <w:r>
              <w:rPr>
                <w:spacing w:val="23"/>
              </w:rPr>
              <w:t xml:space="preserve"> </w:t>
            </w:r>
            <w:r>
              <w:rPr>
                <w:rFonts w:ascii="SimSun" w:hAnsi="SimSun" w:eastAsia="SimSun" w:cs="SimSun"/>
                <w:spacing w:val="5"/>
              </w:rPr>
              <w:t>眼、疏干排水管</w:t>
            </w:r>
            <w:r>
              <w:rPr>
                <w:rFonts w:ascii="SimSun" w:hAnsi="SimSun" w:eastAsia="SimSun" w:cs="SimSun"/>
                <w:spacing w:val="-23"/>
              </w:rPr>
              <w:t xml:space="preserve"> </w:t>
            </w:r>
            <w:r>
              <w:rPr>
                <w:spacing w:val="5"/>
              </w:rPr>
              <w:t>10</w:t>
            </w:r>
            <w:r>
              <w:rPr/>
              <w:t>km</w:t>
            </w:r>
          </w:p>
        </w:tc>
        <w:tc>
          <w:tcPr>
            <w:tcW w:w="3878" w:type="dxa"/>
            <w:vAlign w:val="top"/>
            <w:tcBorders>
              <w:right w:val="nil"/>
            </w:tcBorders>
          </w:tcPr>
          <w:p>
            <w:pPr>
              <w:ind w:left="215"/>
              <w:spacing w:before="24" w:line="227" w:lineRule="auto"/>
              <w:rPr>
                <w:rFonts w:ascii="SimSun" w:hAnsi="SimSun" w:eastAsia="SimSun" w:cs="SimSun"/>
                <w:sz w:val="20"/>
                <w:szCs w:val="20"/>
              </w:rPr>
            </w:pPr>
            <w:r>
              <w:rPr>
                <w:rFonts w:ascii="SimSun" w:hAnsi="SimSun" w:eastAsia="SimSun" w:cs="SimSun"/>
                <w:sz w:val="20"/>
                <w:szCs w:val="20"/>
                <w:spacing w:val="9"/>
              </w:rPr>
              <w:t>沿露天矿边坡角设置疏干井，疏排地下</w:t>
            </w:r>
          </w:p>
          <w:p>
            <w:pPr>
              <w:pStyle w:val="TableText"/>
              <w:ind w:left="203"/>
              <w:spacing w:before="25" w:line="227" w:lineRule="auto"/>
              <w:rPr>
                <w:rFonts w:ascii="SimSun" w:hAnsi="SimSun" w:eastAsia="SimSun" w:cs="SimSun"/>
              </w:rPr>
            </w:pPr>
            <w:r>
              <w:rPr>
                <w:rFonts w:ascii="SimSun" w:hAnsi="SimSun" w:eastAsia="SimSun" w:cs="SimSun"/>
                <w:spacing w:val="6"/>
              </w:rPr>
              <w:t>水，验收时期疏干水量约</w:t>
            </w:r>
            <w:r>
              <w:rPr>
                <w:rFonts w:ascii="SimSun" w:hAnsi="SimSun" w:eastAsia="SimSun" w:cs="SimSun"/>
                <w:spacing w:val="-42"/>
              </w:rPr>
              <w:t xml:space="preserve"> </w:t>
            </w:r>
            <w:r>
              <w:rPr>
                <w:spacing w:val="6"/>
              </w:rPr>
              <w:t>4400m</w:t>
            </w:r>
            <w:r>
              <w:rPr>
                <w:sz w:val="13"/>
                <w:szCs w:val="13"/>
                <w:spacing w:val="6"/>
                <w:position w:val="6"/>
              </w:rPr>
              <w:t>3</w:t>
            </w:r>
            <w:r>
              <w:rPr>
                <w:spacing w:val="6"/>
              </w:rPr>
              <w:t>/d</w:t>
            </w:r>
            <w:r>
              <w:rPr>
                <w:spacing w:val="-27"/>
              </w:rPr>
              <w:t xml:space="preserve"> </w:t>
            </w:r>
            <w:r>
              <w:rPr>
                <w:rFonts w:ascii="SimSun" w:hAnsi="SimSun" w:eastAsia="SimSun" w:cs="SimSun"/>
                <w:spacing w:val="6"/>
              </w:rPr>
              <w:t>，采</w:t>
            </w:r>
          </w:p>
          <w:p>
            <w:pPr>
              <w:pStyle w:val="TableText"/>
              <w:ind w:left="266"/>
              <w:spacing w:before="27" w:line="227" w:lineRule="auto"/>
              <w:rPr>
                <w:rFonts w:ascii="SimSun" w:hAnsi="SimSun" w:eastAsia="SimSun" w:cs="SimSun"/>
              </w:rPr>
            </w:pPr>
            <w:r>
              <w:rPr>
                <w:rFonts w:ascii="SimSun" w:hAnsi="SimSun" w:eastAsia="SimSun" w:cs="SimSun"/>
                <w:spacing w:val="7"/>
              </w:rPr>
              <w:t>场四周布置疏干井</w:t>
            </w:r>
            <w:r>
              <w:rPr>
                <w:rFonts w:ascii="SimSun" w:hAnsi="SimSun" w:eastAsia="SimSun" w:cs="SimSun"/>
                <w:spacing w:val="-40"/>
              </w:rPr>
              <w:t xml:space="preserve"> </w:t>
            </w:r>
            <w:r>
              <w:rPr>
                <w:spacing w:val="7"/>
              </w:rPr>
              <w:t>24</w:t>
            </w:r>
            <w:r>
              <w:rPr>
                <w:spacing w:val="26"/>
              </w:rPr>
              <w:t xml:space="preserve"> </w:t>
            </w:r>
            <w:r>
              <w:rPr>
                <w:rFonts w:ascii="SimSun" w:hAnsi="SimSun" w:eastAsia="SimSun" w:cs="SimSun"/>
                <w:spacing w:val="7"/>
              </w:rPr>
              <w:t>眼、疏干排水管</w:t>
            </w:r>
          </w:p>
          <w:p>
            <w:pPr>
              <w:pStyle w:val="TableText"/>
              <w:ind w:left="1644"/>
              <w:spacing w:before="45" w:line="190" w:lineRule="auto"/>
              <w:rPr/>
            </w:pPr>
            <w:r>
              <w:rPr>
                <w:spacing w:val="2"/>
              </w:rPr>
              <w:t>14.87</w:t>
            </w:r>
            <w:r>
              <w:rPr/>
              <w:t>km</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97"/>
              <w:spacing w:before="281" w:line="227" w:lineRule="auto"/>
              <w:rPr>
                <w:rFonts w:ascii="SimSun" w:hAnsi="SimSun" w:eastAsia="SimSun" w:cs="SimSun"/>
                <w:sz w:val="20"/>
                <w:szCs w:val="20"/>
              </w:rPr>
            </w:pPr>
            <w:r>
              <w:rPr>
                <w:rFonts w:ascii="SimSun" w:hAnsi="SimSun" w:eastAsia="SimSun" w:cs="SimSun"/>
                <w:sz w:val="20"/>
                <w:szCs w:val="20"/>
                <w:spacing w:val="9"/>
              </w:rPr>
              <w:t>露天矿疏干水，通过疏干井及管路排至</w:t>
            </w:r>
          </w:p>
          <w:p>
            <w:pPr>
              <w:ind w:left="1248"/>
              <w:spacing w:before="24" w:line="228" w:lineRule="auto"/>
              <w:rPr>
                <w:rFonts w:ascii="SimSun" w:hAnsi="SimSun" w:eastAsia="SimSun" w:cs="SimSun"/>
                <w:sz w:val="20"/>
                <w:szCs w:val="20"/>
              </w:rPr>
            </w:pPr>
            <w:r>
              <w:rPr>
                <w:rFonts w:ascii="SimSun" w:hAnsi="SimSun" w:eastAsia="SimSun" w:cs="SimSun"/>
                <w:sz w:val="20"/>
                <w:szCs w:val="20"/>
                <w:spacing w:val="8"/>
              </w:rPr>
              <w:t>矿井水处理厂</w:t>
            </w:r>
          </w:p>
        </w:tc>
      </w:tr>
      <w:tr>
        <w:trPr>
          <w:trHeight w:val="1055" w:hRule="atLeast"/>
        </w:trPr>
        <w:tc>
          <w:tcPr>
            <w:tcW w:w="1123" w:type="dxa"/>
            <w:vAlign w:val="top"/>
            <w:vMerge w:val="restart"/>
            <w:tcBorders>
              <w:bottom w:val="nil"/>
            </w:tcBorders>
          </w:tcPr>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8" w:lineRule="auto"/>
              <w:rPr>
                <w:rFonts w:ascii="Arial"/>
                <w:sz w:val="21"/>
              </w:rPr>
            </w:pPr>
            <w:r/>
          </w:p>
          <w:p>
            <w:pPr>
              <w:ind w:left="361" w:right="141" w:hanging="213"/>
              <w:spacing w:before="65" w:line="257" w:lineRule="auto"/>
              <w:rPr>
                <w:rFonts w:ascii="SimSun" w:hAnsi="SimSun" w:eastAsia="SimSun" w:cs="SimSun"/>
                <w:sz w:val="20"/>
                <w:szCs w:val="20"/>
              </w:rPr>
            </w:pPr>
            <w:r>
              <w:rPr>
                <w:rFonts w:ascii="SimSun" w:hAnsi="SimSun" w:eastAsia="SimSun" w:cs="SimSun"/>
                <w:sz w:val="20"/>
                <w:szCs w:val="20"/>
                <w:spacing w:val="6"/>
              </w:rPr>
              <w:t>辅助生产</w:t>
            </w:r>
            <w:r>
              <w:rPr>
                <w:rFonts w:ascii="SimSun" w:hAnsi="SimSun" w:eastAsia="SimSun" w:cs="SimSun"/>
                <w:sz w:val="20"/>
                <w:szCs w:val="20"/>
                <w:spacing w:val="2"/>
              </w:rPr>
              <w:t>系统</w:t>
            </w:r>
          </w:p>
        </w:tc>
        <w:tc>
          <w:tcPr>
            <w:tcW w:w="1426" w:type="dxa"/>
            <w:vAlign w:val="top"/>
          </w:tcPr>
          <w:p>
            <w:pPr>
              <w:ind w:left="307" w:right="180" w:hanging="106"/>
              <w:spacing w:before="287" w:line="252" w:lineRule="auto"/>
              <w:rPr>
                <w:rFonts w:ascii="SimSun" w:hAnsi="SimSun" w:eastAsia="SimSun" w:cs="SimSun"/>
                <w:sz w:val="20"/>
                <w:szCs w:val="20"/>
              </w:rPr>
            </w:pPr>
            <w:r>
              <w:rPr>
                <w:rFonts w:ascii="SimSun" w:hAnsi="SimSun" w:eastAsia="SimSun" w:cs="SimSun"/>
                <w:sz w:val="20"/>
                <w:szCs w:val="20"/>
                <w:spacing w:val="7"/>
              </w:rPr>
              <w:t>生产生活区</w:t>
            </w:r>
            <w:r>
              <w:rPr>
                <w:rFonts w:ascii="SimSun" w:hAnsi="SimSun" w:eastAsia="SimSun" w:cs="SimSun"/>
                <w:sz w:val="20"/>
                <w:szCs w:val="20"/>
                <w:spacing w:val="6"/>
              </w:rPr>
              <w:t>工业场地</w:t>
            </w:r>
          </w:p>
        </w:tc>
        <w:tc>
          <w:tcPr>
            <w:tcW w:w="3952" w:type="dxa"/>
            <w:vAlign w:val="top"/>
          </w:tcPr>
          <w:p>
            <w:pPr>
              <w:ind w:left="127"/>
              <w:spacing w:before="149" w:line="227" w:lineRule="auto"/>
              <w:rPr>
                <w:rFonts w:ascii="SimSun" w:hAnsi="SimSun" w:eastAsia="SimSun" w:cs="SimSun"/>
                <w:sz w:val="20"/>
                <w:szCs w:val="20"/>
              </w:rPr>
            </w:pPr>
            <w:r>
              <w:rPr>
                <w:rFonts w:ascii="SimSun" w:hAnsi="SimSun" w:eastAsia="SimSun" w:cs="SimSun"/>
                <w:sz w:val="20"/>
                <w:szCs w:val="20"/>
                <w:spacing w:val="8"/>
              </w:rPr>
              <w:t>工业场地位于采掘场和排土场南部，距离</w:t>
            </w:r>
          </w:p>
          <w:p>
            <w:pPr>
              <w:pStyle w:val="TableText"/>
              <w:ind w:left="136"/>
              <w:spacing w:before="27" w:line="227" w:lineRule="auto"/>
              <w:rPr>
                <w:rFonts w:ascii="SimSun" w:hAnsi="SimSun" w:eastAsia="SimSun" w:cs="SimSun"/>
              </w:rPr>
            </w:pPr>
            <w:r>
              <w:rPr>
                <w:rFonts w:ascii="SimSun" w:hAnsi="SimSun" w:eastAsia="SimSun" w:cs="SimSun"/>
                <w:spacing w:val="1"/>
              </w:rPr>
              <w:t>采掘场</w:t>
            </w:r>
            <w:r>
              <w:rPr>
                <w:rFonts w:ascii="SimSun" w:hAnsi="SimSun" w:eastAsia="SimSun" w:cs="SimSun"/>
                <w:spacing w:val="-34"/>
              </w:rPr>
              <w:t xml:space="preserve"> </w:t>
            </w:r>
            <w:r>
              <w:rPr/>
              <w:t>SE</w:t>
            </w:r>
            <w:r>
              <w:rPr>
                <w:spacing w:val="1"/>
              </w:rPr>
              <w:t>800m</w:t>
            </w:r>
            <w:r>
              <w:rPr>
                <w:spacing w:val="-29"/>
              </w:rPr>
              <w:t xml:space="preserve"> </w:t>
            </w:r>
            <w:r>
              <w:rPr>
                <w:rFonts w:ascii="SimSun" w:hAnsi="SimSun" w:eastAsia="SimSun" w:cs="SimSun"/>
                <w:spacing w:val="1"/>
              </w:rPr>
              <w:t>，</w:t>
            </w:r>
            <w:r>
              <w:rPr>
                <w:rFonts w:ascii="SimSun" w:hAnsi="SimSun" w:eastAsia="SimSun" w:cs="SimSun"/>
                <w:spacing w:val="-51"/>
              </w:rPr>
              <w:t xml:space="preserve"> </w:t>
            </w:r>
            <w:r>
              <w:rPr>
                <w:rFonts w:ascii="SimSun" w:hAnsi="SimSun" w:eastAsia="SimSun" w:cs="SimSun"/>
                <w:spacing w:val="1"/>
              </w:rPr>
              <w:t>占地面积</w:t>
            </w:r>
            <w:r>
              <w:rPr>
                <w:rFonts w:ascii="SimSun" w:hAnsi="SimSun" w:eastAsia="SimSun" w:cs="SimSun"/>
                <w:spacing w:val="-21"/>
              </w:rPr>
              <w:t xml:space="preserve"> </w:t>
            </w:r>
            <w:r>
              <w:rPr>
                <w:spacing w:val="1"/>
              </w:rPr>
              <w:t>12.04</w:t>
            </w:r>
            <w:r>
              <w:rPr/>
              <w:t>hm</w:t>
            </w:r>
            <w:r>
              <w:rPr>
                <w:sz w:val="13"/>
                <w:szCs w:val="13"/>
                <w:spacing w:val="1"/>
                <w:position w:val="6"/>
              </w:rPr>
              <w:t>2 </w:t>
            </w:r>
            <w:r>
              <w:rPr>
                <w:rFonts w:ascii="SimSun" w:hAnsi="SimSun" w:eastAsia="SimSun" w:cs="SimSun"/>
                <w:spacing w:val="1"/>
              </w:rPr>
              <w:t>。设</w:t>
            </w:r>
          </w:p>
          <w:p>
            <w:pPr>
              <w:ind w:left="327"/>
              <w:spacing w:before="25" w:line="227" w:lineRule="auto"/>
              <w:rPr>
                <w:rFonts w:ascii="SimSun" w:hAnsi="SimSun" w:eastAsia="SimSun" w:cs="SimSun"/>
                <w:sz w:val="20"/>
                <w:szCs w:val="20"/>
              </w:rPr>
            </w:pPr>
            <w:r>
              <w:rPr>
                <w:rFonts w:ascii="SimSun" w:hAnsi="SimSun" w:eastAsia="SimSun" w:cs="SimSun"/>
                <w:sz w:val="20"/>
                <w:szCs w:val="20"/>
                <w:spacing w:val="9"/>
              </w:rPr>
              <w:t>有两个功能区，行政办公区和机修区</w:t>
            </w:r>
          </w:p>
        </w:tc>
        <w:tc>
          <w:tcPr>
            <w:tcW w:w="3878" w:type="dxa"/>
            <w:vAlign w:val="top"/>
            <w:tcBorders>
              <w:right w:val="nil"/>
            </w:tcBorders>
          </w:tcPr>
          <w:p>
            <w:pPr>
              <w:ind w:left="152"/>
              <w:spacing w:before="149" w:line="227" w:lineRule="auto"/>
              <w:rPr>
                <w:rFonts w:ascii="SimSun" w:hAnsi="SimSun" w:eastAsia="SimSun" w:cs="SimSun"/>
                <w:sz w:val="20"/>
                <w:szCs w:val="20"/>
              </w:rPr>
            </w:pPr>
            <w:r>
              <w:rPr>
                <w:rFonts w:ascii="SimSun" w:hAnsi="SimSun" w:eastAsia="SimSun" w:cs="SimSun"/>
                <w:sz w:val="20"/>
                <w:szCs w:val="20"/>
                <w:spacing w:val="4"/>
              </w:rPr>
              <w:t>工业场地位于采掘场和排土场东侧，占地</w:t>
            </w:r>
          </w:p>
          <w:p>
            <w:pPr>
              <w:pStyle w:val="TableText"/>
              <w:ind w:left="206"/>
              <w:spacing w:before="27" w:line="228" w:lineRule="auto"/>
              <w:rPr>
                <w:rFonts w:ascii="SimSun" w:hAnsi="SimSun" w:eastAsia="SimSun" w:cs="SimSun"/>
              </w:rPr>
            </w:pPr>
            <w:r>
              <w:rPr>
                <w:rFonts w:ascii="SimSun" w:hAnsi="SimSun" w:eastAsia="SimSun" w:cs="SimSun"/>
                <w:spacing w:val="6"/>
              </w:rPr>
              <w:t>面积</w:t>
            </w:r>
            <w:r>
              <w:rPr>
                <w:rFonts w:ascii="SimSun" w:hAnsi="SimSun" w:eastAsia="SimSun" w:cs="SimSun"/>
                <w:spacing w:val="-31"/>
              </w:rPr>
              <w:t xml:space="preserve"> </w:t>
            </w:r>
            <w:r>
              <w:rPr>
                <w:spacing w:val="6"/>
              </w:rPr>
              <w:t>23.65</w:t>
            </w:r>
            <w:r>
              <w:rPr/>
              <w:t>hm</w:t>
            </w:r>
            <w:r>
              <w:rPr>
                <w:sz w:val="13"/>
                <w:szCs w:val="13"/>
                <w:spacing w:val="6"/>
                <w:position w:val="6"/>
              </w:rPr>
              <w:t>2</w:t>
            </w:r>
            <w:r>
              <w:rPr>
                <w:sz w:val="13"/>
                <w:szCs w:val="13"/>
                <w:spacing w:val="-8"/>
                <w:position w:val="6"/>
              </w:rPr>
              <w:t xml:space="preserve"> </w:t>
            </w:r>
            <w:r>
              <w:rPr>
                <w:rFonts w:ascii="SimSun" w:hAnsi="SimSun" w:eastAsia="SimSun" w:cs="SimSun"/>
                <w:spacing w:val="6"/>
              </w:rPr>
              <w:t>，设有行政办公区和生活</w:t>
            </w:r>
          </w:p>
          <w:p>
            <w:pPr>
              <w:ind w:left="756"/>
              <w:spacing w:before="24" w:line="227" w:lineRule="auto"/>
              <w:rPr>
                <w:rFonts w:ascii="SimSun" w:hAnsi="SimSun" w:eastAsia="SimSun" w:cs="SimSun"/>
                <w:sz w:val="20"/>
                <w:szCs w:val="20"/>
              </w:rPr>
            </w:pPr>
            <w:r>
              <w:rPr>
                <w:rFonts w:ascii="SimSun" w:hAnsi="SimSun" w:eastAsia="SimSun" w:cs="SimSun"/>
                <w:sz w:val="20"/>
                <w:szCs w:val="20"/>
                <w:spacing w:val="7"/>
              </w:rPr>
              <w:t>区，机修区、组装区等功能</w:t>
            </w:r>
          </w:p>
        </w:tc>
        <w:tc>
          <w:tcPr>
            <w:tcW w:w="104" w:type="dxa"/>
            <w:vAlign w:val="top"/>
            <w:tcBorders>
              <w:left w:val="nil"/>
              <w:bottom w:val="nil"/>
              <w:right w:val="nil"/>
              <w:top w:val="nil"/>
            </w:tcBorders>
          </w:tcPr>
          <w:p>
            <w:pPr>
              <w:rPr>
                <w:rFonts w:ascii="Arial"/>
                <w:sz w:val="21"/>
              </w:rPr>
            </w:pPr>
            <w:r/>
          </w:p>
        </w:tc>
        <w:tc>
          <w:tcPr>
            <w:tcW w:w="3777" w:type="dxa"/>
            <w:vAlign w:val="top"/>
          </w:tcPr>
          <w:p>
            <w:pPr>
              <w:pStyle w:val="TableText"/>
              <w:ind w:left="116"/>
              <w:spacing w:before="29" w:line="228" w:lineRule="auto"/>
              <w:rPr>
                <w:rFonts w:ascii="SimSun" w:hAnsi="SimSun" w:eastAsia="SimSun" w:cs="SimSun"/>
              </w:rPr>
            </w:pPr>
            <w:r>
              <w:rPr>
                <w:rFonts w:ascii="SimSun" w:hAnsi="SimSun" w:eastAsia="SimSun" w:cs="SimSun"/>
                <w:spacing w:val="7"/>
              </w:rPr>
              <w:t>位于露天外排土场东侧约</w:t>
            </w:r>
            <w:r>
              <w:rPr>
                <w:rFonts w:ascii="SimSun" w:hAnsi="SimSun" w:eastAsia="SimSun" w:cs="SimSun"/>
                <w:spacing w:val="-22"/>
              </w:rPr>
              <w:t xml:space="preserve"> </w:t>
            </w:r>
            <w:r>
              <w:rPr>
                <w:spacing w:val="7"/>
              </w:rPr>
              <w:t>500m </w:t>
            </w:r>
            <w:r>
              <w:rPr>
                <w:rFonts w:ascii="SimSun" w:hAnsi="SimSun" w:eastAsia="SimSun" w:cs="SimSun"/>
                <w:spacing w:val="7"/>
              </w:rPr>
              <w:t>处，设</w:t>
            </w:r>
          </w:p>
          <w:p>
            <w:pPr>
              <w:ind w:left="92"/>
              <w:spacing w:before="26" w:line="227" w:lineRule="auto"/>
              <w:rPr>
                <w:rFonts w:ascii="SimSun" w:hAnsi="SimSun" w:eastAsia="SimSun" w:cs="SimSun"/>
                <w:sz w:val="20"/>
                <w:szCs w:val="20"/>
              </w:rPr>
            </w:pPr>
            <w:r>
              <w:rPr>
                <w:rFonts w:ascii="SimSun" w:hAnsi="SimSun" w:eastAsia="SimSun" w:cs="SimSun"/>
                <w:sz w:val="20"/>
                <w:szCs w:val="20"/>
                <w:spacing w:val="8"/>
              </w:rPr>
              <w:t>有大型设备组装场地、机修、车库区、</w:t>
            </w:r>
          </w:p>
          <w:p>
            <w:pPr>
              <w:ind w:left="201"/>
              <w:spacing w:before="24" w:line="228" w:lineRule="auto"/>
              <w:rPr>
                <w:rFonts w:ascii="SimSun" w:hAnsi="SimSun" w:eastAsia="SimSun" w:cs="SimSun"/>
                <w:sz w:val="20"/>
                <w:szCs w:val="20"/>
              </w:rPr>
            </w:pPr>
            <w:r>
              <w:rPr>
                <w:rFonts w:ascii="SimSun" w:hAnsi="SimSun" w:eastAsia="SimSun" w:cs="SimSun"/>
                <w:sz w:val="20"/>
                <w:szCs w:val="20"/>
                <w:spacing w:val="9"/>
              </w:rPr>
              <w:t>行政生活区等，工业场地总占地面积</w:t>
            </w:r>
          </w:p>
          <w:p>
            <w:pPr>
              <w:pStyle w:val="TableText"/>
              <w:ind w:left="1470"/>
              <w:spacing w:before="26" w:line="206" w:lineRule="auto"/>
              <w:rPr>
                <w:sz w:val="13"/>
                <w:szCs w:val="13"/>
              </w:rPr>
            </w:pPr>
            <w:r>
              <w:rPr>
                <w:spacing w:val="5"/>
              </w:rPr>
              <w:t>26.01</w:t>
            </w:r>
            <w:r>
              <w:rPr/>
              <w:t>hm</w:t>
            </w:r>
            <w:r>
              <w:rPr>
                <w:sz w:val="13"/>
                <w:szCs w:val="13"/>
                <w:spacing w:val="5"/>
                <w:position w:val="6"/>
              </w:rPr>
              <w:t>2</w:t>
            </w:r>
          </w:p>
        </w:tc>
      </w:tr>
      <w:tr>
        <w:trPr>
          <w:trHeight w:val="1076" w:hRule="atLeast"/>
        </w:trPr>
        <w:tc>
          <w:tcPr>
            <w:tcW w:w="1123" w:type="dxa"/>
            <w:vAlign w:val="top"/>
            <w:vMerge w:val="continue"/>
            <w:tcBorders>
              <w:top w:val="nil"/>
              <w:bottom w:val="nil"/>
            </w:tcBorders>
          </w:tcPr>
          <w:p>
            <w:pPr>
              <w:rPr>
                <w:rFonts w:ascii="Arial"/>
                <w:sz w:val="21"/>
              </w:rPr>
            </w:pPr>
            <w:r/>
          </w:p>
        </w:tc>
        <w:tc>
          <w:tcPr>
            <w:tcW w:w="1426" w:type="dxa"/>
            <w:vAlign w:val="top"/>
          </w:tcPr>
          <w:p>
            <w:pPr>
              <w:spacing w:line="241" w:lineRule="auto"/>
              <w:rPr>
                <w:rFonts w:ascii="Arial"/>
                <w:sz w:val="21"/>
              </w:rPr>
            </w:pPr>
            <w:r/>
          </w:p>
          <w:p>
            <w:pPr>
              <w:ind w:left="517" w:right="180" w:hanging="312"/>
              <w:spacing w:before="65" w:line="252" w:lineRule="auto"/>
              <w:rPr>
                <w:rFonts w:ascii="SimSun" w:hAnsi="SimSun" w:eastAsia="SimSun" w:cs="SimSun"/>
                <w:sz w:val="20"/>
                <w:szCs w:val="20"/>
              </w:rPr>
            </w:pPr>
            <w:r>
              <w:rPr>
                <w:rFonts w:ascii="SimSun" w:hAnsi="SimSun" w:eastAsia="SimSun" w:cs="SimSun"/>
                <w:sz w:val="20"/>
                <w:szCs w:val="20"/>
                <w:spacing w:val="7"/>
              </w:rPr>
              <w:t>露天矿辅助</w:t>
            </w:r>
            <w:r>
              <w:rPr>
                <w:rFonts w:ascii="SimSun" w:hAnsi="SimSun" w:eastAsia="SimSun" w:cs="SimSun"/>
                <w:sz w:val="20"/>
                <w:szCs w:val="20"/>
                <w:spacing w:val="3"/>
              </w:rPr>
              <w:t>设施</w:t>
            </w:r>
          </w:p>
        </w:tc>
        <w:tc>
          <w:tcPr>
            <w:tcW w:w="3952" w:type="dxa"/>
            <w:vAlign w:val="top"/>
          </w:tcPr>
          <w:p>
            <w:pPr>
              <w:spacing w:before="169" w:line="227" w:lineRule="auto"/>
              <w:jc w:val="right"/>
              <w:rPr>
                <w:rFonts w:ascii="SimSun" w:hAnsi="SimSun" w:eastAsia="SimSun" w:cs="SimSun"/>
                <w:sz w:val="20"/>
                <w:szCs w:val="20"/>
              </w:rPr>
            </w:pPr>
            <w:r>
              <w:rPr>
                <w:rFonts w:ascii="SimSun" w:hAnsi="SimSun" w:eastAsia="SimSun" w:cs="SimSun"/>
                <w:sz w:val="20"/>
                <w:szCs w:val="20"/>
                <w:spacing w:val="1"/>
              </w:rPr>
              <w:t>综合材料库、设备库、工程机械修理车间、</w:t>
            </w:r>
          </w:p>
          <w:p>
            <w:pPr>
              <w:ind w:left="124"/>
              <w:spacing w:before="25" w:line="227" w:lineRule="auto"/>
              <w:rPr>
                <w:rFonts w:ascii="SimSun" w:hAnsi="SimSun" w:eastAsia="SimSun" w:cs="SimSun"/>
                <w:sz w:val="20"/>
                <w:szCs w:val="20"/>
              </w:rPr>
            </w:pPr>
            <w:r>
              <w:rPr>
                <w:rFonts w:ascii="SimSun" w:hAnsi="SimSun" w:eastAsia="SimSun" w:cs="SimSun"/>
                <w:sz w:val="20"/>
                <w:szCs w:val="20"/>
                <w:spacing w:val="8"/>
              </w:rPr>
              <w:t>机械加工、电修车间、维修和清洗车间、</w:t>
            </w:r>
          </w:p>
          <w:p>
            <w:pPr>
              <w:ind w:left="957"/>
              <w:spacing w:before="27" w:line="228" w:lineRule="auto"/>
              <w:rPr>
                <w:rFonts w:ascii="SimSun" w:hAnsi="SimSun" w:eastAsia="SimSun" w:cs="SimSun"/>
                <w:sz w:val="20"/>
                <w:szCs w:val="20"/>
              </w:rPr>
            </w:pPr>
            <w:r>
              <w:rPr>
                <w:rFonts w:ascii="SimSun" w:hAnsi="SimSun" w:eastAsia="SimSun" w:cs="SimSun"/>
                <w:sz w:val="20"/>
                <w:szCs w:val="20"/>
                <w:spacing w:val="3"/>
              </w:rPr>
              <w:t>换热站、</w:t>
            </w:r>
            <w:r>
              <w:rPr>
                <w:rFonts w:ascii="SimSun" w:hAnsi="SimSun" w:eastAsia="SimSun" w:cs="SimSun"/>
                <w:sz w:val="20"/>
                <w:szCs w:val="20"/>
                <w:spacing w:val="-44"/>
              </w:rPr>
              <w:t xml:space="preserve"> </w:t>
            </w:r>
            <w:r>
              <w:rPr>
                <w:rFonts w:ascii="SimSun" w:hAnsi="SimSun" w:eastAsia="SimSun" w:cs="SimSun"/>
                <w:sz w:val="20"/>
                <w:szCs w:val="20"/>
                <w:spacing w:val="3"/>
              </w:rPr>
              <w:t>日用消防泵站</w:t>
            </w:r>
          </w:p>
        </w:tc>
        <w:tc>
          <w:tcPr>
            <w:tcW w:w="3878" w:type="dxa"/>
            <w:vAlign w:val="top"/>
            <w:tcBorders>
              <w:right w:val="nil"/>
            </w:tcBorders>
          </w:tcPr>
          <w:p>
            <w:pPr>
              <w:spacing w:before="169" w:line="227" w:lineRule="auto"/>
              <w:jc w:val="right"/>
              <w:rPr>
                <w:rFonts w:ascii="SimSun" w:hAnsi="SimSun" w:eastAsia="SimSun" w:cs="SimSun"/>
                <w:sz w:val="20"/>
                <w:szCs w:val="20"/>
              </w:rPr>
            </w:pPr>
            <w:r>
              <w:rPr>
                <w:rFonts w:ascii="SimSun" w:hAnsi="SimSun" w:eastAsia="SimSun" w:cs="SimSun"/>
                <w:sz w:val="20"/>
                <w:szCs w:val="20"/>
                <w:spacing w:val="-5"/>
              </w:rPr>
              <w:t>综合材料库、设备库、工程机械修理车间、</w:t>
            </w:r>
          </w:p>
          <w:p>
            <w:pPr>
              <w:spacing w:before="25" w:line="227" w:lineRule="auto"/>
              <w:jc w:val="right"/>
              <w:rPr>
                <w:rFonts w:ascii="SimSun" w:hAnsi="SimSun" w:eastAsia="SimSun" w:cs="SimSun"/>
                <w:sz w:val="20"/>
                <w:szCs w:val="20"/>
              </w:rPr>
            </w:pPr>
            <w:r>
              <w:rPr>
                <w:rFonts w:ascii="SimSun" w:hAnsi="SimSun" w:eastAsia="SimSun" w:cs="SimSun"/>
                <w:sz w:val="20"/>
                <w:szCs w:val="20"/>
                <w:spacing w:val="7"/>
              </w:rPr>
              <w:t>机械加工、电修车间、维修和清洗车间、</w:t>
            </w:r>
          </w:p>
          <w:p>
            <w:pPr>
              <w:ind w:left="882"/>
              <w:spacing w:before="27" w:line="228" w:lineRule="auto"/>
              <w:rPr>
                <w:rFonts w:ascii="SimSun" w:hAnsi="SimSun" w:eastAsia="SimSun" w:cs="SimSun"/>
                <w:sz w:val="20"/>
                <w:szCs w:val="20"/>
              </w:rPr>
            </w:pPr>
            <w:r>
              <w:rPr>
                <w:rFonts w:ascii="SimSun" w:hAnsi="SimSun" w:eastAsia="SimSun" w:cs="SimSun"/>
                <w:sz w:val="20"/>
                <w:szCs w:val="20"/>
                <w:spacing w:val="5"/>
              </w:rPr>
              <w:t>日用消防泵站以及锅炉房</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94"/>
              <w:spacing w:before="35" w:line="227" w:lineRule="auto"/>
              <w:rPr>
                <w:rFonts w:ascii="SimSun" w:hAnsi="SimSun" w:eastAsia="SimSun" w:cs="SimSun"/>
                <w:sz w:val="20"/>
                <w:szCs w:val="20"/>
              </w:rPr>
            </w:pPr>
            <w:r>
              <w:rPr>
                <w:rFonts w:ascii="SimSun" w:hAnsi="SimSun" w:eastAsia="SimSun" w:cs="SimSun"/>
                <w:sz w:val="20"/>
                <w:szCs w:val="20"/>
                <w:spacing w:val="9"/>
              </w:rPr>
              <w:t>综合材料库、设备库、工程机械修理车</w:t>
            </w:r>
          </w:p>
          <w:p>
            <w:pPr>
              <w:ind w:left="108"/>
              <w:spacing w:before="25" w:line="227" w:lineRule="auto"/>
              <w:rPr>
                <w:rFonts w:ascii="SimSun" w:hAnsi="SimSun" w:eastAsia="SimSun" w:cs="SimSun"/>
                <w:sz w:val="20"/>
                <w:szCs w:val="20"/>
              </w:rPr>
            </w:pPr>
            <w:r>
              <w:rPr>
                <w:rFonts w:ascii="SimSun" w:hAnsi="SimSun" w:eastAsia="SimSun" w:cs="SimSun"/>
                <w:sz w:val="20"/>
                <w:szCs w:val="20"/>
                <w:spacing w:val="8"/>
              </w:rPr>
              <w:t>间、机械加工、电修车间、维修和清洗</w:t>
            </w:r>
          </w:p>
          <w:p>
            <w:pPr>
              <w:ind w:left="93"/>
              <w:spacing w:before="24" w:line="228" w:lineRule="auto"/>
              <w:rPr>
                <w:rFonts w:ascii="SimSun" w:hAnsi="SimSun" w:eastAsia="SimSun" w:cs="SimSun"/>
                <w:sz w:val="20"/>
                <w:szCs w:val="20"/>
              </w:rPr>
            </w:pPr>
            <w:r>
              <w:rPr>
                <w:rFonts w:ascii="SimSun" w:hAnsi="SimSun" w:eastAsia="SimSun" w:cs="SimSun"/>
                <w:sz w:val="20"/>
                <w:szCs w:val="20"/>
                <w:spacing w:val="5"/>
              </w:rPr>
              <w:t>车间、</w:t>
            </w:r>
            <w:r>
              <w:rPr>
                <w:rFonts w:ascii="SimSun" w:hAnsi="SimSun" w:eastAsia="SimSun" w:cs="SimSun"/>
                <w:sz w:val="20"/>
                <w:szCs w:val="20"/>
                <w:spacing w:val="-39"/>
              </w:rPr>
              <w:t xml:space="preserve"> </w:t>
            </w:r>
            <w:r>
              <w:rPr>
                <w:rFonts w:ascii="SimSun" w:hAnsi="SimSun" w:eastAsia="SimSun" w:cs="SimSun"/>
                <w:sz w:val="20"/>
                <w:szCs w:val="20"/>
                <w:spacing w:val="5"/>
              </w:rPr>
              <w:t>日用消防泵站以及危废暂存间，</w:t>
            </w:r>
          </w:p>
          <w:p>
            <w:pPr>
              <w:ind w:left="827"/>
              <w:spacing w:before="26" w:line="198" w:lineRule="auto"/>
              <w:rPr>
                <w:rFonts w:ascii="SimSun" w:hAnsi="SimSun" w:eastAsia="SimSun" w:cs="SimSun"/>
                <w:sz w:val="20"/>
                <w:szCs w:val="20"/>
              </w:rPr>
            </w:pPr>
            <w:r>
              <w:rPr>
                <w:rFonts w:ascii="SimSun" w:hAnsi="SimSun" w:eastAsia="SimSun" w:cs="SimSun"/>
                <w:sz w:val="20"/>
                <w:szCs w:val="20"/>
                <w:spacing w:val="9"/>
              </w:rPr>
              <w:t>将锅炉房改造成换热站</w:t>
            </w:r>
          </w:p>
        </w:tc>
      </w:tr>
      <w:tr>
        <w:trPr>
          <w:trHeight w:val="420" w:hRule="atLeast"/>
        </w:trPr>
        <w:tc>
          <w:tcPr>
            <w:tcW w:w="1123" w:type="dxa"/>
            <w:vAlign w:val="top"/>
            <w:vMerge w:val="continue"/>
            <w:tcBorders>
              <w:top w:val="nil"/>
              <w:bottom w:val="nil"/>
            </w:tcBorders>
          </w:tcPr>
          <w:p>
            <w:pPr>
              <w:rPr>
                <w:rFonts w:ascii="Arial"/>
                <w:sz w:val="21"/>
              </w:rPr>
            </w:pPr>
            <w:r/>
          </w:p>
        </w:tc>
        <w:tc>
          <w:tcPr>
            <w:tcW w:w="1426" w:type="dxa"/>
            <w:vAlign w:val="top"/>
          </w:tcPr>
          <w:p>
            <w:pPr>
              <w:ind w:left="308"/>
              <w:spacing w:before="121" w:line="228" w:lineRule="auto"/>
              <w:rPr>
                <w:rFonts w:ascii="SimSun" w:hAnsi="SimSun" w:eastAsia="SimSun" w:cs="SimSun"/>
                <w:sz w:val="20"/>
                <w:szCs w:val="20"/>
              </w:rPr>
            </w:pPr>
            <w:r>
              <w:rPr>
                <w:rFonts w:ascii="SimSun" w:hAnsi="SimSun" w:eastAsia="SimSun" w:cs="SimSun"/>
                <w:sz w:val="20"/>
                <w:szCs w:val="20"/>
                <w:spacing w:val="6"/>
              </w:rPr>
              <w:t>组装场地</w:t>
            </w:r>
          </w:p>
        </w:tc>
        <w:tc>
          <w:tcPr>
            <w:tcW w:w="3952" w:type="dxa"/>
            <w:vAlign w:val="top"/>
          </w:tcPr>
          <w:p>
            <w:pPr>
              <w:ind w:left="1273"/>
              <w:spacing w:before="120" w:line="228" w:lineRule="auto"/>
              <w:rPr>
                <w:rFonts w:ascii="SimSun" w:hAnsi="SimSun" w:eastAsia="SimSun" w:cs="SimSun"/>
                <w:sz w:val="20"/>
                <w:szCs w:val="20"/>
              </w:rPr>
            </w:pPr>
            <w:r>
              <w:rPr>
                <w:rFonts w:ascii="SimSun" w:hAnsi="SimSun" w:eastAsia="SimSun" w:cs="SimSun"/>
                <w:sz w:val="20"/>
                <w:szCs w:val="20"/>
                <w:spacing w:val="8"/>
              </w:rPr>
              <w:t>设于工业场地内</w:t>
            </w:r>
          </w:p>
        </w:tc>
        <w:tc>
          <w:tcPr>
            <w:tcW w:w="3878" w:type="dxa"/>
            <w:vAlign w:val="top"/>
            <w:tcBorders>
              <w:right w:val="nil"/>
            </w:tcBorders>
          </w:tcPr>
          <w:p>
            <w:pPr>
              <w:ind w:left="1269"/>
              <w:spacing w:before="120" w:line="228" w:lineRule="auto"/>
              <w:rPr>
                <w:rFonts w:ascii="SimSun" w:hAnsi="SimSun" w:eastAsia="SimSun" w:cs="SimSun"/>
                <w:sz w:val="20"/>
                <w:szCs w:val="20"/>
              </w:rPr>
            </w:pPr>
            <w:r>
              <w:rPr>
                <w:rFonts w:ascii="SimSun" w:hAnsi="SimSun" w:eastAsia="SimSun" w:cs="SimSun"/>
                <w:sz w:val="20"/>
                <w:szCs w:val="20"/>
                <w:spacing w:val="8"/>
              </w:rPr>
              <w:t>设于工业场地内</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1146"/>
              <w:spacing w:before="120" w:line="228" w:lineRule="auto"/>
              <w:rPr>
                <w:rFonts w:ascii="SimSun" w:hAnsi="SimSun" w:eastAsia="SimSun" w:cs="SimSun"/>
                <w:sz w:val="20"/>
                <w:szCs w:val="20"/>
              </w:rPr>
            </w:pPr>
            <w:r>
              <w:rPr>
                <w:rFonts w:ascii="SimSun" w:hAnsi="SimSun" w:eastAsia="SimSun" w:cs="SimSun"/>
                <w:sz w:val="20"/>
                <w:szCs w:val="20"/>
                <w:spacing w:val="8"/>
              </w:rPr>
              <w:t>设于工业场地内</w:t>
            </w:r>
          </w:p>
        </w:tc>
      </w:tr>
      <w:tr>
        <w:trPr>
          <w:trHeight w:val="439" w:hRule="atLeast"/>
        </w:trPr>
        <w:tc>
          <w:tcPr>
            <w:tcW w:w="1123" w:type="dxa"/>
            <w:vAlign w:val="top"/>
            <w:vMerge w:val="continue"/>
            <w:tcBorders>
              <w:top w:val="nil"/>
              <w:bottom w:val="nil"/>
            </w:tcBorders>
          </w:tcPr>
          <w:p>
            <w:pPr>
              <w:rPr>
                <w:rFonts w:ascii="Arial"/>
                <w:sz w:val="21"/>
              </w:rPr>
            </w:pPr>
            <w:r/>
          </w:p>
        </w:tc>
        <w:tc>
          <w:tcPr>
            <w:tcW w:w="1426" w:type="dxa"/>
            <w:vAlign w:val="top"/>
          </w:tcPr>
          <w:p>
            <w:pPr>
              <w:ind w:left="411"/>
              <w:spacing w:before="122" w:line="231" w:lineRule="auto"/>
              <w:rPr>
                <w:rFonts w:ascii="SimSun" w:hAnsi="SimSun" w:eastAsia="SimSun" w:cs="SimSun"/>
                <w:sz w:val="20"/>
                <w:szCs w:val="20"/>
              </w:rPr>
            </w:pPr>
            <w:r>
              <w:rPr>
                <w:rFonts w:ascii="SimSun" w:hAnsi="SimSun" w:eastAsia="SimSun" w:cs="SimSun"/>
                <w:sz w:val="20"/>
                <w:szCs w:val="20"/>
                <w:spacing w:val="6"/>
              </w:rPr>
              <w:t>加油站</w:t>
            </w:r>
          </w:p>
        </w:tc>
        <w:tc>
          <w:tcPr>
            <w:tcW w:w="3952" w:type="dxa"/>
            <w:vAlign w:val="top"/>
          </w:tcPr>
          <w:p>
            <w:pPr>
              <w:ind w:left="850"/>
              <w:spacing w:before="123" w:line="227" w:lineRule="auto"/>
              <w:rPr>
                <w:rFonts w:ascii="SimSun" w:hAnsi="SimSun" w:eastAsia="SimSun" w:cs="SimSun"/>
                <w:sz w:val="20"/>
                <w:szCs w:val="20"/>
              </w:rPr>
            </w:pPr>
            <w:r>
              <w:rPr>
                <w:rFonts w:ascii="SimSun" w:hAnsi="SimSun" w:eastAsia="SimSun" w:cs="SimSun"/>
                <w:sz w:val="20"/>
                <w:szCs w:val="20"/>
                <w:spacing w:val="9"/>
              </w:rPr>
              <w:t>位于采场和组装场地之间</w:t>
            </w:r>
          </w:p>
        </w:tc>
        <w:tc>
          <w:tcPr>
            <w:tcW w:w="3878" w:type="dxa"/>
            <w:vAlign w:val="top"/>
            <w:tcBorders>
              <w:right w:val="nil"/>
            </w:tcBorders>
          </w:tcPr>
          <w:p>
            <w:pPr>
              <w:pStyle w:val="TableText"/>
              <w:ind w:left="951"/>
              <w:spacing w:before="122" w:line="228" w:lineRule="auto"/>
              <w:rPr>
                <w:rFonts w:ascii="SimSun" w:hAnsi="SimSun" w:eastAsia="SimSun" w:cs="SimSun"/>
              </w:rPr>
            </w:pPr>
            <w:r>
              <w:rPr>
                <w:rFonts w:ascii="SimSun" w:hAnsi="SimSun" w:eastAsia="SimSun" w:cs="SimSun"/>
                <w:spacing w:val="6"/>
              </w:rPr>
              <w:t>建设在第</w:t>
            </w:r>
            <w:r>
              <w:rPr>
                <w:rFonts w:ascii="SimSun" w:hAnsi="SimSun" w:eastAsia="SimSun" w:cs="SimSun"/>
                <w:spacing w:val="-28"/>
              </w:rPr>
              <w:t xml:space="preserve"> </w:t>
            </w:r>
            <w:r>
              <w:rPr>
                <w:spacing w:val="6"/>
              </w:rPr>
              <w:t>3 </w:t>
            </w:r>
            <w:r>
              <w:rPr>
                <w:rFonts w:ascii="SimSun" w:hAnsi="SimSun" w:eastAsia="SimSun" w:cs="SimSun"/>
                <w:spacing w:val="6"/>
              </w:rPr>
              <w:t>联络路旁边</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408"/>
              <w:spacing w:before="122" w:line="228" w:lineRule="auto"/>
              <w:rPr>
                <w:rFonts w:ascii="SimSun" w:hAnsi="SimSun" w:eastAsia="SimSun" w:cs="SimSun"/>
                <w:sz w:val="20"/>
                <w:szCs w:val="20"/>
              </w:rPr>
            </w:pPr>
            <w:r>
              <w:rPr>
                <w:rFonts w:ascii="SimSun" w:hAnsi="SimSun" w:eastAsia="SimSun" w:cs="SimSun"/>
                <w:sz w:val="20"/>
                <w:szCs w:val="20"/>
                <w:spacing w:val="9"/>
              </w:rPr>
              <w:t>加油站位于工业场地北侧入口处</w:t>
            </w:r>
          </w:p>
        </w:tc>
      </w:tr>
      <w:tr>
        <w:trPr>
          <w:trHeight w:val="1079" w:hRule="atLeast"/>
        </w:trPr>
        <w:tc>
          <w:tcPr>
            <w:tcW w:w="1123" w:type="dxa"/>
            <w:vAlign w:val="top"/>
            <w:vMerge w:val="continue"/>
            <w:tcBorders>
              <w:top w:val="nil"/>
            </w:tcBorders>
          </w:tcPr>
          <w:p>
            <w:pPr>
              <w:rPr>
                <w:rFonts w:ascii="Arial"/>
                <w:sz w:val="21"/>
              </w:rPr>
            </w:pPr>
            <w:r/>
          </w:p>
        </w:tc>
        <w:tc>
          <w:tcPr>
            <w:tcW w:w="1426" w:type="dxa"/>
            <w:vAlign w:val="top"/>
          </w:tcPr>
          <w:p>
            <w:pPr>
              <w:ind w:left="514" w:right="388" w:hanging="103"/>
              <w:spacing w:before="302" w:line="254" w:lineRule="auto"/>
              <w:rPr>
                <w:rFonts w:ascii="SimSun" w:hAnsi="SimSun" w:eastAsia="SimSun" w:cs="SimSun"/>
                <w:sz w:val="20"/>
                <w:szCs w:val="20"/>
              </w:rPr>
            </w:pPr>
            <w:r>
              <w:rPr>
                <w:rFonts w:ascii="SimSun" w:hAnsi="SimSun" w:eastAsia="SimSun" w:cs="SimSun"/>
                <w:sz w:val="20"/>
                <w:szCs w:val="20"/>
                <w:spacing w:val="6"/>
              </w:rPr>
              <w:t>爆破器</w:t>
            </w:r>
            <w:r>
              <w:rPr>
                <w:rFonts w:ascii="SimSun" w:hAnsi="SimSun" w:eastAsia="SimSun" w:cs="SimSun"/>
                <w:sz w:val="20"/>
                <w:szCs w:val="20"/>
                <w:spacing w:val="4"/>
              </w:rPr>
              <w:t>材库</w:t>
            </w:r>
          </w:p>
        </w:tc>
        <w:tc>
          <w:tcPr>
            <w:tcW w:w="3952" w:type="dxa"/>
            <w:vAlign w:val="top"/>
          </w:tcPr>
          <w:p>
            <w:pPr>
              <w:pStyle w:val="TableText"/>
              <w:ind w:left="125" w:right="14" w:firstLine="95"/>
              <w:spacing w:before="33" w:line="239" w:lineRule="auto"/>
              <w:jc w:val="both"/>
              <w:rPr>
                <w:sz w:val="13"/>
                <w:szCs w:val="13"/>
              </w:rPr>
            </w:pPr>
            <w:r>
              <w:rPr>
                <w:rFonts w:ascii="SimSun" w:hAnsi="SimSun" w:eastAsia="SimSun" w:cs="SimSun"/>
                <w:spacing w:val="9"/>
              </w:rPr>
              <w:t>爆破器材库位于工业场地东南侧矿田境</w:t>
            </w:r>
            <w:r>
              <w:rPr>
                <w:rFonts w:ascii="SimSun" w:hAnsi="SimSun" w:eastAsia="SimSun" w:cs="SimSun"/>
              </w:rPr>
              <w:t>界外约</w:t>
            </w:r>
            <w:r>
              <w:rPr>
                <w:rFonts w:ascii="SimSun" w:hAnsi="SimSun" w:eastAsia="SimSun" w:cs="SimSun"/>
                <w:spacing w:val="-50"/>
              </w:rPr>
              <w:t xml:space="preserve"> </w:t>
            </w:r>
            <w:r>
              <w:rPr/>
              <w:t>6.0km </w:t>
            </w:r>
            <w:r>
              <w:rPr>
                <w:rFonts w:ascii="SimSun" w:hAnsi="SimSun" w:eastAsia="SimSun" w:cs="SimSun"/>
              </w:rPr>
              <w:t>处的山坡上，距离矿区较远，</w:t>
            </w:r>
            <w:r>
              <w:rPr>
                <w:rFonts w:ascii="SimSun" w:hAnsi="SimSun" w:eastAsia="SimSun" w:cs="SimSun"/>
                <w:spacing w:val="8"/>
              </w:rPr>
              <w:t>满足安全距离要求，利用矿区公路及砂石</w:t>
            </w:r>
            <w:r>
              <w:rPr>
                <w:rFonts w:ascii="SimSun" w:hAnsi="SimSun" w:eastAsia="SimSun" w:cs="SimSun"/>
                <w:spacing w:val="9"/>
              </w:rPr>
              <w:t>路相连通，取送方便。</w:t>
            </w:r>
            <w:r>
              <w:rPr>
                <w:rFonts w:ascii="SimSun" w:hAnsi="SimSun" w:eastAsia="SimSun" w:cs="SimSun"/>
                <w:spacing w:val="-45"/>
              </w:rPr>
              <w:t xml:space="preserve"> </w:t>
            </w:r>
            <w:r>
              <w:rPr>
                <w:rFonts w:ascii="SimSun" w:hAnsi="SimSun" w:eastAsia="SimSun" w:cs="SimSun"/>
                <w:spacing w:val="9"/>
              </w:rPr>
              <w:t>占地面积</w:t>
            </w:r>
            <w:r>
              <w:rPr>
                <w:rFonts w:ascii="SimSun" w:hAnsi="SimSun" w:eastAsia="SimSun" w:cs="SimSun"/>
                <w:spacing w:val="-21"/>
              </w:rPr>
              <w:t xml:space="preserve"> </w:t>
            </w:r>
            <w:r>
              <w:rPr>
                <w:spacing w:val="9"/>
              </w:rPr>
              <w:t>1.2</w:t>
            </w:r>
            <w:r>
              <w:rPr/>
              <w:t>hm</w:t>
            </w:r>
            <w:r>
              <w:rPr>
                <w:sz w:val="13"/>
                <w:szCs w:val="13"/>
                <w:spacing w:val="9"/>
                <w:position w:val="6"/>
              </w:rPr>
              <w:t>2</w:t>
            </w:r>
          </w:p>
        </w:tc>
        <w:tc>
          <w:tcPr>
            <w:tcW w:w="3878" w:type="dxa"/>
            <w:vAlign w:val="top"/>
            <w:tcBorders>
              <w:right w:val="nil"/>
            </w:tcBorders>
          </w:tcPr>
          <w:p>
            <w:pPr>
              <w:ind w:left="175"/>
              <w:spacing w:before="303" w:line="226" w:lineRule="auto"/>
              <w:rPr>
                <w:rFonts w:ascii="SimSun" w:hAnsi="SimSun" w:eastAsia="SimSun" w:cs="SimSun"/>
                <w:sz w:val="20"/>
                <w:szCs w:val="20"/>
              </w:rPr>
            </w:pPr>
            <w:r>
              <w:rPr>
                <w:rFonts w:ascii="SimSun" w:hAnsi="SimSun" w:eastAsia="SimSun" w:cs="SimSun"/>
                <w:sz w:val="20"/>
                <w:szCs w:val="20"/>
                <w:spacing w:val="3"/>
              </w:rPr>
              <w:t>由于地质原因，本矿无需爆破作业，因此</w:t>
            </w:r>
          </w:p>
          <w:p>
            <w:pPr>
              <w:ind w:left="1163"/>
              <w:spacing w:before="28" w:line="226" w:lineRule="auto"/>
              <w:rPr>
                <w:rFonts w:ascii="SimSun" w:hAnsi="SimSun" w:eastAsia="SimSun" w:cs="SimSun"/>
                <w:sz w:val="20"/>
                <w:szCs w:val="20"/>
              </w:rPr>
            </w:pPr>
            <w:r>
              <w:rPr>
                <w:rFonts w:ascii="SimSun" w:hAnsi="SimSun" w:eastAsia="SimSun" w:cs="SimSun"/>
                <w:sz w:val="20"/>
                <w:szCs w:val="20"/>
                <w:spacing w:val="8"/>
              </w:rPr>
              <w:t>未设置爆破器材库</w:t>
            </w:r>
          </w:p>
        </w:tc>
        <w:tc>
          <w:tcPr>
            <w:tcW w:w="104" w:type="dxa"/>
            <w:vAlign w:val="top"/>
            <w:tcBorders>
              <w:left w:val="nil"/>
              <w:bottom w:val="nil"/>
              <w:right w:val="nil"/>
              <w:top w:val="nil"/>
            </w:tcBorders>
          </w:tcPr>
          <w:p>
            <w:pPr>
              <w:rPr>
                <w:rFonts w:ascii="Arial"/>
                <w:sz w:val="21"/>
              </w:rPr>
            </w:pPr>
            <w:r/>
          </w:p>
        </w:tc>
        <w:tc>
          <w:tcPr>
            <w:tcW w:w="3777" w:type="dxa"/>
            <w:vAlign w:val="top"/>
          </w:tcPr>
          <w:p>
            <w:pPr>
              <w:spacing w:line="372" w:lineRule="auto"/>
              <w:rPr>
                <w:rFonts w:ascii="Arial"/>
                <w:sz w:val="21"/>
              </w:rPr>
            </w:pPr>
            <w:r/>
          </w:p>
          <w:p>
            <w:pPr>
              <w:ind w:left="92"/>
              <w:spacing w:before="65" w:line="226" w:lineRule="auto"/>
              <w:rPr>
                <w:rFonts w:ascii="SimSun" w:hAnsi="SimSun" w:eastAsia="SimSun" w:cs="SimSun"/>
                <w:sz w:val="20"/>
                <w:szCs w:val="20"/>
              </w:rPr>
            </w:pPr>
            <w:r>
              <w:rPr>
                <w:rFonts w:ascii="SimSun" w:hAnsi="SimSun" w:eastAsia="SimSun" w:cs="SimSun"/>
                <w:sz w:val="20"/>
                <w:szCs w:val="20"/>
                <w:spacing w:val="9"/>
              </w:rPr>
              <w:t>本矿无需爆破作业，未设置爆破器材库</w:t>
            </w:r>
          </w:p>
        </w:tc>
      </w:tr>
      <w:tr>
        <w:trPr>
          <w:trHeight w:val="539" w:hRule="atLeast"/>
        </w:trPr>
        <w:tc>
          <w:tcPr>
            <w:tcW w:w="1123" w:type="dxa"/>
            <w:vAlign w:val="top"/>
            <w:vMerge w:val="restart"/>
            <w:tcBorders>
              <w:bottom w:val="nil"/>
            </w:tcBorders>
          </w:tcPr>
          <w:p>
            <w:pPr>
              <w:spacing w:line="384" w:lineRule="auto"/>
              <w:rPr>
                <w:rFonts w:ascii="Arial"/>
                <w:sz w:val="21"/>
              </w:rPr>
            </w:pPr>
            <w:r/>
          </w:p>
          <w:p>
            <w:pPr>
              <w:ind w:left="358" w:right="350"/>
              <w:spacing w:before="65" w:line="252" w:lineRule="auto"/>
              <w:rPr>
                <w:rFonts w:ascii="SimSun" w:hAnsi="SimSun" w:eastAsia="SimSun" w:cs="SimSun"/>
                <w:sz w:val="20"/>
                <w:szCs w:val="20"/>
              </w:rPr>
            </w:pPr>
            <w:r>
              <w:rPr>
                <w:rFonts w:ascii="SimSun" w:hAnsi="SimSun" w:eastAsia="SimSun" w:cs="SimSun"/>
                <w:sz w:val="20"/>
                <w:szCs w:val="20"/>
                <w:spacing w:val="4"/>
              </w:rPr>
              <w:t>地面</w:t>
            </w:r>
            <w:r>
              <w:rPr>
                <w:rFonts w:ascii="SimSun" w:hAnsi="SimSun" w:eastAsia="SimSun" w:cs="SimSun"/>
                <w:sz w:val="20"/>
                <w:szCs w:val="20"/>
                <w:spacing w:val="4"/>
              </w:rPr>
              <w:t>运输</w:t>
            </w:r>
          </w:p>
        </w:tc>
        <w:tc>
          <w:tcPr>
            <w:tcW w:w="1426" w:type="dxa"/>
            <w:vAlign w:val="top"/>
          </w:tcPr>
          <w:p>
            <w:pPr>
              <w:ind w:left="513"/>
              <w:spacing w:before="176" w:line="228" w:lineRule="auto"/>
              <w:rPr>
                <w:rFonts w:ascii="SimSun" w:hAnsi="SimSun" w:eastAsia="SimSun" w:cs="SimSun"/>
                <w:sz w:val="20"/>
                <w:szCs w:val="20"/>
              </w:rPr>
            </w:pPr>
            <w:r>
              <w:rPr>
                <w:rFonts w:ascii="SimSun" w:hAnsi="SimSun" w:eastAsia="SimSun" w:cs="SimSun"/>
                <w:sz w:val="20"/>
                <w:szCs w:val="20"/>
                <w:spacing w:val="5"/>
              </w:rPr>
              <w:t>铁路</w:t>
            </w:r>
          </w:p>
        </w:tc>
        <w:tc>
          <w:tcPr>
            <w:tcW w:w="3952" w:type="dxa"/>
            <w:vAlign w:val="top"/>
          </w:tcPr>
          <w:p>
            <w:pPr>
              <w:pStyle w:val="TableText"/>
              <w:ind w:left="153"/>
              <w:spacing w:before="39" w:line="227" w:lineRule="auto"/>
              <w:rPr>
                <w:rFonts w:ascii="SimSun" w:hAnsi="SimSun" w:eastAsia="SimSun" w:cs="SimSun"/>
              </w:rPr>
            </w:pPr>
            <w:r>
              <w:rPr>
                <w:rFonts w:ascii="SimSun" w:hAnsi="SimSun" w:eastAsia="SimSun" w:cs="SimSun"/>
                <w:spacing w:val="8"/>
              </w:rPr>
              <w:t>预留铁路装车系统及站场（赤峰</w:t>
            </w:r>
            <w:r>
              <w:rPr>
                <w:spacing w:val="8"/>
              </w:rPr>
              <w:t>-</w:t>
            </w:r>
            <w:r>
              <w:rPr>
                <w:rFonts w:ascii="SimSun" w:hAnsi="SimSun" w:eastAsia="SimSun" w:cs="SimSun"/>
                <w:spacing w:val="8"/>
              </w:rPr>
              <w:t>大板</w:t>
            </w:r>
            <w:r>
              <w:rPr>
                <w:spacing w:val="8"/>
              </w:rPr>
              <w:t>-</w:t>
            </w:r>
            <w:r>
              <w:rPr>
                <w:rFonts w:ascii="SimSun" w:hAnsi="SimSun" w:eastAsia="SimSun" w:cs="SimSun"/>
                <w:spacing w:val="8"/>
              </w:rPr>
              <w:t>白</w:t>
            </w:r>
          </w:p>
          <w:p>
            <w:pPr>
              <w:ind w:left="1483"/>
              <w:spacing w:before="27" w:line="199" w:lineRule="auto"/>
              <w:rPr>
                <w:rFonts w:ascii="SimSun" w:hAnsi="SimSun" w:eastAsia="SimSun" w:cs="SimSun"/>
                <w:sz w:val="20"/>
                <w:szCs w:val="20"/>
              </w:rPr>
            </w:pPr>
            <w:r>
              <w:rPr>
                <w:rFonts w:ascii="SimSun" w:hAnsi="SimSun" w:eastAsia="SimSun" w:cs="SimSun"/>
                <w:sz w:val="20"/>
                <w:szCs w:val="20"/>
                <w:spacing w:val="5"/>
              </w:rPr>
              <w:t>音华铁路）</w:t>
            </w:r>
          </w:p>
        </w:tc>
        <w:tc>
          <w:tcPr>
            <w:tcW w:w="3878" w:type="dxa"/>
            <w:vAlign w:val="top"/>
            <w:tcBorders>
              <w:right w:val="nil"/>
            </w:tcBorders>
          </w:tcPr>
          <w:p>
            <w:pPr>
              <w:pStyle w:val="TableText"/>
              <w:ind w:left="917"/>
              <w:spacing w:before="176" w:line="227" w:lineRule="auto"/>
              <w:rPr>
                <w:rFonts w:ascii="SimSun" w:hAnsi="SimSun" w:eastAsia="SimSun" w:cs="SimSun"/>
              </w:rPr>
            </w:pPr>
            <w:r>
              <w:rPr>
                <w:rFonts w:ascii="SimSun" w:hAnsi="SimSun" w:eastAsia="SimSun" w:cs="SimSun"/>
                <w:spacing w:val="8"/>
              </w:rPr>
              <w:t>依托伊图塔</w:t>
            </w:r>
            <w:r>
              <w:rPr>
                <w:spacing w:val="8"/>
              </w:rPr>
              <w:t>-</w:t>
            </w:r>
            <w:r>
              <w:rPr>
                <w:rFonts w:ascii="SimSun" w:hAnsi="SimSun" w:eastAsia="SimSun" w:cs="SimSun"/>
                <w:spacing w:val="8"/>
              </w:rPr>
              <w:t>白音华铁路</w:t>
            </w:r>
          </w:p>
        </w:tc>
        <w:tc>
          <w:tcPr>
            <w:tcW w:w="104" w:type="dxa"/>
            <w:vAlign w:val="top"/>
            <w:tcBorders>
              <w:left w:val="nil"/>
              <w:bottom w:val="nil"/>
              <w:right w:val="nil"/>
              <w:top w:val="nil"/>
            </w:tcBorders>
          </w:tcPr>
          <w:p>
            <w:pPr>
              <w:rPr>
                <w:rFonts w:ascii="Arial"/>
                <w:sz w:val="21"/>
              </w:rPr>
            </w:pPr>
            <w:r/>
          </w:p>
        </w:tc>
        <w:tc>
          <w:tcPr>
            <w:tcW w:w="3777" w:type="dxa"/>
            <w:vAlign w:val="top"/>
          </w:tcPr>
          <w:p>
            <w:pPr>
              <w:ind w:left="199"/>
              <w:spacing w:before="176" w:line="227" w:lineRule="auto"/>
              <w:rPr>
                <w:rFonts w:ascii="SimSun" w:hAnsi="SimSun" w:eastAsia="SimSun" w:cs="SimSun"/>
                <w:sz w:val="20"/>
                <w:szCs w:val="20"/>
              </w:rPr>
            </w:pPr>
            <w:r>
              <w:rPr>
                <w:rFonts w:ascii="SimSun" w:hAnsi="SimSun" w:eastAsia="SimSun" w:cs="SimSun"/>
                <w:sz w:val="20"/>
                <w:szCs w:val="20"/>
                <w:spacing w:val="10"/>
              </w:rPr>
              <w:t>依托扎（哈淖尔</w:t>
            </w:r>
            <w:r>
              <w:rPr>
                <w:rFonts w:ascii="SimSun" w:hAnsi="SimSun" w:eastAsia="SimSun" w:cs="SimSun"/>
                <w:sz w:val="20"/>
                <w:szCs w:val="20"/>
                <w:spacing w:val="3"/>
              </w:rPr>
              <w:t>）～</w:t>
            </w:r>
            <w:r>
              <w:rPr>
                <w:rFonts w:ascii="SimSun" w:hAnsi="SimSun" w:eastAsia="SimSun" w:cs="SimSun"/>
                <w:sz w:val="20"/>
                <w:szCs w:val="20"/>
                <w:spacing w:val="10"/>
              </w:rPr>
              <w:t>伊（图塔）铁路</w:t>
            </w:r>
          </w:p>
        </w:tc>
      </w:tr>
      <w:tr>
        <w:trPr>
          <w:trHeight w:val="832" w:hRule="atLeast"/>
        </w:trPr>
        <w:tc>
          <w:tcPr>
            <w:tcW w:w="1123" w:type="dxa"/>
            <w:vAlign w:val="top"/>
            <w:vMerge w:val="continue"/>
            <w:tcBorders>
              <w:top w:val="nil"/>
            </w:tcBorders>
          </w:tcPr>
          <w:p>
            <w:pPr>
              <w:rPr>
                <w:rFonts w:ascii="Arial"/>
                <w:sz w:val="21"/>
              </w:rPr>
            </w:pPr>
            <w:r/>
          </w:p>
        </w:tc>
        <w:tc>
          <w:tcPr>
            <w:tcW w:w="1426" w:type="dxa"/>
            <w:vAlign w:val="top"/>
          </w:tcPr>
          <w:p>
            <w:pPr>
              <w:ind w:left="621" w:right="180" w:hanging="422"/>
              <w:spacing w:before="184" w:line="252" w:lineRule="auto"/>
              <w:rPr>
                <w:rFonts w:ascii="SimSun" w:hAnsi="SimSun" w:eastAsia="SimSun" w:cs="SimSun"/>
                <w:sz w:val="20"/>
                <w:szCs w:val="20"/>
              </w:rPr>
            </w:pPr>
            <w:r>
              <w:rPr>
                <w:rFonts w:ascii="SimSun" w:hAnsi="SimSun" w:eastAsia="SimSun" w:cs="SimSun"/>
                <w:sz w:val="20"/>
                <w:szCs w:val="20"/>
                <w:spacing w:val="8"/>
              </w:rPr>
              <w:t>矿区内外道</w:t>
            </w:r>
            <w:r>
              <w:rPr>
                <w:rFonts w:ascii="SimSun" w:hAnsi="SimSun" w:eastAsia="SimSun" w:cs="SimSun"/>
                <w:sz w:val="20"/>
                <w:szCs w:val="20"/>
              </w:rPr>
              <w:t>路</w:t>
            </w:r>
          </w:p>
        </w:tc>
        <w:tc>
          <w:tcPr>
            <w:tcW w:w="3952" w:type="dxa"/>
            <w:vAlign w:val="top"/>
          </w:tcPr>
          <w:p>
            <w:pPr>
              <w:pStyle w:val="TableText"/>
              <w:ind w:left="362"/>
              <w:spacing w:before="47" w:line="227" w:lineRule="auto"/>
              <w:rPr>
                <w:rFonts w:ascii="SimSun" w:hAnsi="SimSun" w:eastAsia="SimSun" w:cs="SimSun"/>
              </w:rPr>
            </w:pPr>
            <w:r>
              <w:rPr>
                <w:rFonts w:ascii="SimSun" w:hAnsi="SimSun" w:eastAsia="SimSun" w:cs="SimSun"/>
                <w:spacing w:val="9"/>
              </w:rPr>
              <w:t>矿区主干道按工企</w:t>
            </w:r>
            <w:r>
              <w:rPr>
                <w:spacing w:val="9"/>
              </w:rPr>
              <w:t>Ⅱ</w:t>
            </w:r>
            <w:r>
              <w:rPr>
                <w:rFonts w:ascii="SimSun" w:hAnsi="SimSun" w:eastAsia="SimSun" w:cs="SimSun"/>
                <w:spacing w:val="9"/>
              </w:rPr>
              <w:t>级设计，总长为</w:t>
            </w:r>
          </w:p>
          <w:p>
            <w:pPr>
              <w:pStyle w:val="TableText"/>
              <w:ind w:left="141"/>
              <w:spacing w:before="25" w:line="227" w:lineRule="auto"/>
              <w:rPr>
                <w:rFonts w:ascii="SimSun" w:hAnsi="SimSun" w:eastAsia="SimSun" w:cs="SimSun"/>
              </w:rPr>
            </w:pPr>
            <w:r>
              <w:rPr>
                <w:spacing w:val="6"/>
              </w:rPr>
              <w:t>12.9</w:t>
            </w:r>
            <w:r>
              <w:rPr/>
              <w:t>km</w:t>
            </w:r>
            <w:r>
              <w:rPr>
                <w:rFonts w:ascii="SimSun" w:hAnsi="SimSun" w:eastAsia="SimSun" w:cs="SimSun"/>
                <w:spacing w:val="6"/>
              </w:rPr>
              <w:t>，火药库至矿区公路间的简易砂石</w:t>
            </w:r>
          </w:p>
          <w:p>
            <w:pPr>
              <w:pStyle w:val="TableText"/>
              <w:ind w:left="1398"/>
              <w:spacing w:before="27" w:line="212" w:lineRule="auto"/>
              <w:rPr/>
            </w:pPr>
            <w:r>
              <w:rPr>
                <w:rFonts w:ascii="SimSun" w:hAnsi="SimSun" w:eastAsia="SimSun" w:cs="SimSun"/>
                <w:spacing w:val="6"/>
              </w:rPr>
              <w:t>道路长</w:t>
            </w:r>
            <w:r>
              <w:rPr>
                <w:rFonts w:ascii="SimSun" w:hAnsi="SimSun" w:eastAsia="SimSun" w:cs="SimSun"/>
                <w:spacing w:val="-37"/>
              </w:rPr>
              <w:t xml:space="preserve"> </w:t>
            </w:r>
            <w:r>
              <w:rPr>
                <w:spacing w:val="6"/>
              </w:rPr>
              <w:t>3.5</w:t>
            </w:r>
            <w:r>
              <w:rPr/>
              <w:t>km</w:t>
            </w:r>
          </w:p>
        </w:tc>
        <w:tc>
          <w:tcPr>
            <w:tcW w:w="3878" w:type="dxa"/>
            <w:vAlign w:val="top"/>
            <w:tcBorders>
              <w:right w:val="nil"/>
            </w:tcBorders>
          </w:tcPr>
          <w:p>
            <w:pPr>
              <w:pStyle w:val="TableText"/>
              <w:ind w:left="355"/>
              <w:spacing w:before="199" w:line="227" w:lineRule="auto"/>
              <w:rPr>
                <w:rFonts w:ascii="SimSun" w:hAnsi="SimSun" w:eastAsia="SimSun" w:cs="SimSun"/>
              </w:rPr>
            </w:pPr>
            <w:r>
              <w:rPr>
                <w:rFonts w:ascii="SimSun" w:hAnsi="SimSun" w:eastAsia="SimSun" w:cs="SimSun"/>
                <w:spacing w:val="9"/>
              </w:rPr>
              <w:t>矿区主干道按工企</w:t>
            </w:r>
            <w:r>
              <w:rPr>
                <w:spacing w:val="9"/>
              </w:rPr>
              <w:t>Ⅱ</w:t>
            </w:r>
            <w:r>
              <w:rPr>
                <w:rFonts w:ascii="SimSun" w:hAnsi="SimSun" w:eastAsia="SimSun" w:cs="SimSun"/>
                <w:spacing w:val="9"/>
              </w:rPr>
              <w:t>级设计，总长为</w:t>
            </w:r>
          </w:p>
          <w:p>
            <w:pPr>
              <w:pStyle w:val="TableText"/>
              <w:ind w:left="1628"/>
              <w:spacing w:before="43" w:line="199" w:lineRule="auto"/>
              <w:rPr/>
            </w:pPr>
            <w:r>
              <w:rPr>
                <w:spacing w:val="5"/>
              </w:rPr>
              <w:t>9.325</w:t>
            </w:r>
            <w:r>
              <w:rPr/>
              <w:t>km</w:t>
            </w:r>
          </w:p>
        </w:tc>
        <w:tc>
          <w:tcPr>
            <w:tcW w:w="104" w:type="dxa"/>
            <w:vAlign w:val="top"/>
            <w:tcBorders>
              <w:left w:val="nil"/>
              <w:bottom w:val="nil"/>
              <w:right w:val="nil"/>
              <w:top w:val="nil"/>
            </w:tcBorders>
          </w:tcPr>
          <w:p>
            <w:pPr>
              <w:rPr>
                <w:rFonts w:ascii="Arial"/>
                <w:sz w:val="21"/>
              </w:rPr>
            </w:pPr>
            <w:r/>
          </w:p>
        </w:tc>
        <w:tc>
          <w:tcPr>
            <w:tcW w:w="3777" w:type="dxa"/>
            <w:vAlign w:val="top"/>
          </w:tcPr>
          <w:p>
            <w:pPr>
              <w:pStyle w:val="TableText"/>
              <w:ind w:left="235"/>
              <w:spacing w:before="199" w:line="227" w:lineRule="auto"/>
              <w:rPr>
                <w:rFonts w:ascii="SimSun" w:hAnsi="SimSun" w:eastAsia="SimSun" w:cs="SimSun"/>
              </w:rPr>
            </w:pPr>
            <w:r>
              <w:rPr>
                <w:rFonts w:ascii="SimSun" w:hAnsi="SimSun" w:eastAsia="SimSun" w:cs="SimSun"/>
                <w:spacing w:val="9"/>
              </w:rPr>
              <w:t>矿区主干道按工企</w:t>
            </w:r>
            <w:r>
              <w:rPr>
                <w:spacing w:val="9"/>
              </w:rPr>
              <w:t>Ⅱ</w:t>
            </w:r>
            <w:r>
              <w:rPr>
                <w:rFonts w:ascii="SimSun" w:hAnsi="SimSun" w:eastAsia="SimSun" w:cs="SimSun"/>
                <w:spacing w:val="9"/>
              </w:rPr>
              <w:t>级设计，总长为</w:t>
            </w:r>
          </w:p>
          <w:p>
            <w:pPr>
              <w:pStyle w:val="TableText"/>
              <w:ind w:left="1508"/>
              <w:spacing w:before="43" w:line="199" w:lineRule="auto"/>
              <w:rPr/>
            </w:pPr>
            <w:r>
              <w:rPr>
                <w:spacing w:val="5"/>
              </w:rPr>
              <w:t>9.778</w:t>
            </w:r>
            <w:r>
              <w:rPr/>
              <w:t>km</w:t>
            </w:r>
          </w:p>
        </w:tc>
      </w:tr>
    </w:tbl>
    <w:p>
      <w:pPr>
        <w:pStyle w:val="BodyText"/>
        <w:rPr/>
      </w:pPr>
      <w:r/>
    </w:p>
    <w:p>
      <w:pPr>
        <w:sectPr>
          <w:footerReference w:type="default" r:id="rId90"/>
          <w:pgSz w:w="16838" w:h="11906"/>
          <w:pgMar w:top="1169" w:right="1417" w:bottom="1080" w:left="1130" w:header="836" w:footer="917" w:gutter="0"/>
        </w:sectPr>
        <w:rPr/>
      </w:pPr>
    </w:p>
    <w:p>
      <w:pPr>
        <w:spacing w:before="7"/>
        <w:rPr/>
      </w:pPr>
      <w:r/>
    </w:p>
    <w:tbl>
      <w:tblPr>
        <w:tblStyle w:val="TableNormal"/>
        <w:tblW w:w="14260"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24"/>
        <w:gridCol w:w="1427"/>
        <w:gridCol w:w="3953"/>
        <w:gridCol w:w="3879"/>
        <w:gridCol w:w="104"/>
        <w:gridCol w:w="3773"/>
      </w:tblGrid>
      <w:tr>
        <w:trPr>
          <w:trHeight w:val="546" w:hRule="atLeast"/>
        </w:trPr>
        <w:tc>
          <w:tcPr>
            <w:tcW w:w="1124" w:type="dxa"/>
            <w:vAlign w:val="top"/>
          </w:tcPr>
          <w:p>
            <w:pPr>
              <w:ind w:left="357"/>
              <w:spacing w:before="29" w:line="228" w:lineRule="auto"/>
              <w:rPr>
                <w:rFonts w:ascii="SimSun" w:hAnsi="SimSun" w:eastAsia="SimSun" w:cs="SimSun"/>
                <w:sz w:val="20"/>
                <w:szCs w:val="20"/>
              </w:rPr>
            </w:pPr>
            <w:r>
              <w:rPr>
                <w:rFonts w:ascii="SimSun" w:hAnsi="SimSun" w:eastAsia="SimSun" w:cs="SimSun"/>
                <w:sz w:val="20"/>
                <w:szCs w:val="20"/>
                <w:b/>
                <w:bCs/>
                <w:spacing w:val="3"/>
              </w:rPr>
              <w:t>单项</w:t>
            </w:r>
          </w:p>
          <w:p>
            <w:pPr>
              <w:ind w:left="358"/>
              <w:spacing w:before="26" w:line="215" w:lineRule="auto"/>
              <w:rPr>
                <w:rFonts w:ascii="SimSun" w:hAnsi="SimSun" w:eastAsia="SimSun" w:cs="SimSun"/>
                <w:sz w:val="20"/>
                <w:szCs w:val="20"/>
              </w:rPr>
            </w:pPr>
            <w:r>
              <w:rPr>
                <w:rFonts w:ascii="SimSun" w:hAnsi="SimSun" w:eastAsia="SimSun" w:cs="SimSun"/>
                <w:sz w:val="20"/>
                <w:szCs w:val="20"/>
                <w:b/>
                <w:bCs/>
                <w:spacing w:val="2"/>
              </w:rPr>
              <w:t>工程</w:t>
            </w:r>
          </w:p>
        </w:tc>
        <w:tc>
          <w:tcPr>
            <w:tcW w:w="1427" w:type="dxa"/>
            <w:vAlign w:val="top"/>
          </w:tcPr>
          <w:p>
            <w:pPr>
              <w:ind w:left="304"/>
              <w:spacing w:before="165" w:line="228" w:lineRule="auto"/>
              <w:rPr>
                <w:rFonts w:ascii="SimSun" w:hAnsi="SimSun" w:eastAsia="SimSun" w:cs="SimSun"/>
                <w:sz w:val="20"/>
                <w:szCs w:val="20"/>
              </w:rPr>
            </w:pPr>
            <w:r>
              <w:rPr>
                <w:rFonts w:ascii="SimSun" w:hAnsi="SimSun" w:eastAsia="SimSun" w:cs="SimSun"/>
                <w:sz w:val="20"/>
                <w:szCs w:val="20"/>
                <w:b/>
                <w:bCs/>
                <w:spacing w:val="5"/>
              </w:rPr>
              <w:t>工程类别</w:t>
            </w:r>
          </w:p>
        </w:tc>
        <w:tc>
          <w:tcPr>
            <w:tcW w:w="3953" w:type="dxa"/>
            <w:vAlign w:val="top"/>
          </w:tcPr>
          <w:p>
            <w:pPr>
              <w:ind w:left="951"/>
              <w:spacing w:before="28" w:line="228" w:lineRule="auto"/>
              <w:rPr>
                <w:rFonts w:ascii="SimSun" w:hAnsi="SimSun" w:eastAsia="SimSun" w:cs="SimSun"/>
                <w:sz w:val="20"/>
                <w:szCs w:val="20"/>
              </w:rPr>
            </w:pPr>
            <w:r>
              <w:rPr>
                <w:rFonts w:ascii="SimSun" w:hAnsi="SimSun" w:eastAsia="SimSun" w:cs="SimSun"/>
                <w:sz w:val="20"/>
                <w:szCs w:val="20"/>
                <w:b/>
                <w:bCs/>
                <w:spacing w:val="7"/>
              </w:rPr>
              <w:t>环评时期项目工程内容</w:t>
            </w:r>
          </w:p>
          <w:p>
            <w:pPr>
              <w:pStyle w:val="TableText"/>
              <w:ind w:left="1251"/>
              <w:spacing w:before="27" w:line="215" w:lineRule="auto"/>
              <w:rPr>
                <w:rFonts w:ascii="SimSun" w:hAnsi="SimSun" w:eastAsia="SimSun" w:cs="SimSun"/>
              </w:rPr>
            </w:pPr>
            <w:r>
              <w:rPr>
                <w:rFonts w:ascii="SimSun" w:hAnsi="SimSun" w:eastAsia="SimSun" w:cs="SimSun"/>
                <w:b/>
                <w:bCs/>
              </w:rPr>
              <w:t>（</w:t>
            </w:r>
            <w:r>
              <w:rPr>
                <w:b/>
                <w:bCs/>
              </w:rPr>
              <w:t>2006 </w:t>
            </w:r>
            <w:r>
              <w:rPr>
                <w:rFonts w:ascii="SimSun" w:hAnsi="SimSun" w:eastAsia="SimSun" w:cs="SimSun"/>
                <w:b/>
                <w:bCs/>
              </w:rPr>
              <w:t>年</w:t>
            </w:r>
            <w:r>
              <w:rPr>
                <w:rFonts w:ascii="SimSun" w:hAnsi="SimSun" w:eastAsia="SimSun" w:cs="SimSun"/>
                <w:spacing w:val="-32"/>
              </w:rPr>
              <w:t xml:space="preserve"> </w:t>
            </w:r>
            <w:r>
              <w:rPr>
                <w:b/>
                <w:bCs/>
              </w:rPr>
              <w:t>2</w:t>
            </w:r>
            <w:r>
              <w:rPr>
                <w:b/>
                <w:bCs/>
                <w:spacing w:val="17"/>
              </w:rPr>
              <w:t xml:space="preserve"> </w:t>
            </w:r>
            <w:r>
              <w:rPr>
                <w:rFonts w:ascii="SimSun" w:hAnsi="SimSun" w:eastAsia="SimSun" w:cs="SimSun"/>
                <w:b/>
                <w:bCs/>
              </w:rPr>
              <w:t>月）</w:t>
            </w:r>
          </w:p>
        </w:tc>
        <w:tc>
          <w:tcPr>
            <w:tcW w:w="3879" w:type="dxa"/>
            <w:vAlign w:val="top"/>
          </w:tcPr>
          <w:p>
            <w:pPr>
              <w:ind w:left="935"/>
              <w:spacing w:before="28" w:line="228" w:lineRule="auto"/>
              <w:rPr>
                <w:rFonts w:ascii="SimSun" w:hAnsi="SimSun" w:eastAsia="SimSun" w:cs="SimSun"/>
                <w:sz w:val="20"/>
                <w:szCs w:val="20"/>
              </w:rPr>
            </w:pPr>
            <w:r>
              <w:rPr>
                <w:rFonts w:ascii="SimSun" w:hAnsi="SimSun" w:eastAsia="SimSun" w:cs="SimSun"/>
                <w:sz w:val="20"/>
                <w:szCs w:val="20"/>
                <w:b/>
                <w:bCs/>
                <w:spacing w:val="7"/>
              </w:rPr>
              <w:t>验收时期项目工程内容</w:t>
            </w:r>
          </w:p>
          <w:p>
            <w:pPr>
              <w:pStyle w:val="TableText"/>
              <w:ind w:left="1237"/>
              <w:spacing w:before="27" w:line="215" w:lineRule="auto"/>
              <w:rPr>
                <w:rFonts w:ascii="SimSun" w:hAnsi="SimSun" w:eastAsia="SimSun" w:cs="SimSun"/>
              </w:rPr>
            </w:pPr>
            <w:r>
              <w:rPr>
                <w:rFonts w:ascii="SimSun" w:hAnsi="SimSun" w:eastAsia="SimSun" w:cs="SimSun"/>
                <w:b/>
                <w:bCs/>
                <w:spacing w:val="1"/>
              </w:rPr>
              <w:t>（</w:t>
            </w:r>
            <w:r>
              <w:rPr>
                <w:b/>
                <w:bCs/>
                <w:spacing w:val="1"/>
              </w:rPr>
              <w:t>2015 </w:t>
            </w:r>
            <w:r>
              <w:rPr>
                <w:rFonts w:ascii="SimSun" w:hAnsi="SimSun" w:eastAsia="SimSun" w:cs="SimSun"/>
                <w:b/>
                <w:bCs/>
                <w:spacing w:val="1"/>
              </w:rPr>
              <w:t>年</w:t>
            </w:r>
            <w:r>
              <w:rPr>
                <w:rFonts w:ascii="SimSun" w:hAnsi="SimSun" w:eastAsia="SimSun" w:cs="SimSun"/>
                <w:spacing w:val="-39"/>
              </w:rPr>
              <w:t xml:space="preserve"> </w:t>
            </w:r>
            <w:r>
              <w:rPr>
                <w:b/>
                <w:bCs/>
                <w:spacing w:val="1"/>
              </w:rPr>
              <w:t>9</w:t>
            </w:r>
            <w:r>
              <w:rPr>
                <w:b/>
                <w:bCs/>
                <w:spacing w:val="14"/>
                <w:w w:val="101"/>
              </w:rPr>
              <w:t xml:space="preserve"> </w:t>
            </w:r>
            <w:r>
              <w:rPr>
                <w:rFonts w:ascii="SimSun" w:hAnsi="SimSun" w:eastAsia="SimSun" w:cs="SimSun"/>
                <w:b/>
                <w:bCs/>
                <w:spacing w:val="1"/>
              </w:rPr>
              <w:t>月）</w:t>
            </w:r>
          </w:p>
        </w:tc>
        <w:tc>
          <w:tcPr>
            <w:tcW w:w="3877" w:type="dxa"/>
            <w:vAlign w:val="top"/>
            <w:gridSpan w:val="2"/>
          </w:tcPr>
          <w:p>
            <w:pPr>
              <w:ind w:left="1341"/>
              <w:spacing w:before="28" w:line="228" w:lineRule="auto"/>
              <w:rPr>
                <w:rFonts w:ascii="SimSun" w:hAnsi="SimSun" w:eastAsia="SimSun" w:cs="SimSun"/>
                <w:sz w:val="20"/>
                <w:szCs w:val="20"/>
              </w:rPr>
            </w:pPr>
            <w:r>
              <w:rPr>
                <w:rFonts w:ascii="SimSun" w:hAnsi="SimSun" w:eastAsia="SimSun" w:cs="SimSun"/>
                <w:sz w:val="20"/>
                <w:szCs w:val="20"/>
                <w:b/>
                <w:bCs/>
                <w:spacing w:val="6"/>
              </w:rPr>
              <w:t>现有工程内容</w:t>
            </w:r>
          </w:p>
          <w:p>
            <w:pPr>
              <w:pStyle w:val="TableText"/>
              <w:ind w:left="1167"/>
              <w:spacing w:before="27" w:line="215" w:lineRule="auto"/>
              <w:rPr>
                <w:rFonts w:ascii="SimSun" w:hAnsi="SimSun" w:eastAsia="SimSun" w:cs="SimSun"/>
              </w:rPr>
            </w:pPr>
            <w:r>
              <w:rPr>
                <w:rFonts w:ascii="SimSun" w:hAnsi="SimSun" w:eastAsia="SimSun" w:cs="SimSun"/>
                <w:b/>
                <w:bCs/>
              </w:rPr>
              <w:t>（</w:t>
            </w:r>
            <w:r>
              <w:rPr>
                <w:b/>
                <w:bCs/>
              </w:rPr>
              <w:t>2024 </w:t>
            </w:r>
            <w:r>
              <w:rPr>
                <w:rFonts w:ascii="SimSun" w:hAnsi="SimSun" w:eastAsia="SimSun" w:cs="SimSun"/>
                <w:b/>
                <w:bCs/>
              </w:rPr>
              <w:t>年</w:t>
            </w:r>
            <w:r>
              <w:rPr>
                <w:rFonts w:ascii="SimSun" w:hAnsi="SimSun" w:eastAsia="SimSun" w:cs="SimSun"/>
                <w:spacing w:val="-27"/>
              </w:rPr>
              <w:t xml:space="preserve"> </w:t>
            </w:r>
            <w:r>
              <w:rPr>
                <w:b/>
                <w:bCs/>
              </w:rPr>
              <w:t>12</w:t>
            </w:r>
            <w:r>
              <w:rPr>
                <w:b/>
                <w:bCs/>
                <w:spacing w:val="17"/>
                <w:w w:val="101"/>
              </w:rPr>
              <w:t xml:space="preserve"> </w:t>
            </w:r>
            <w:r>
              <w:rPr>
                <w:rFonts w:ascii="SimSun" w:hAnsi="SimSun" w:eastAsia="SimSun" w:cs="SimSun"/>
                <w:b/>
                <w:bCs/>
              </w:rPr>
              <w:t>月）</w:t>
            </w:r>
          </w:p>
        </w:tc>
      </w:tr>
      <w:tr>
        <w:trPr>
          <w:trHeight w:val="1136" w:hRule="atLeast"/>
        </w:trPr>
        <w:tc>
          <w:tcPr>
            <w:tcW w:w="1124" w:type="dxa"/>
            <w:vAlign w:val="top"/>
            <w:vMerge w:val="restart"/>
            <w:tcBorders>
              <w:bottom w:val="nil"/>
            </w:tcBorders>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ind w:left="360" w:right="350" w:firstLine="3"/>
              <w:spacing w:before="65" w:line="252" w:lineRule="auto"/>
              <w:rPr>
                <w:rFonts w:ascii="SimSun" w:hAnsi="SimSun" w:eastAsia="SimSun" w:cs="SimSun"/>
                <w:sz w:val="20"/>
                <w:szCs w:val="20"/>
              </w:rPr>
            </w:pPr>
            <w:r>
              <w:rPr>
                <w:rFonts w:ascii="SimSun" w:hAnsi="SimSun" w:eastAsia="SimSun" w:cs="SimSun"/>
                <w:sz w:val="20"/>
                <w:szCs w:val="20"/>
                <w:spacing w:val="1"/>
              </w:rPr>
              <w:t>公用</w:t>
            </w:r>
            <w:r>
              <w:rPr>
                <w:rFonts w:ascii="SimSun" w:hAnsi="SimSun" w:eastAsia="SimSun" w:cs="SimSun"/>
                <w:sz w:val="20"/>
                <w:szCs w:val="20"/>
                <w:spacing w:val="3"/>
              </w:rPr>
              <w:t>工程</w:t>
            </w:r>
          </w:p>
        </w:tc>
        <w:tc>
          <w:tcPr>
            <w:tcW w:w="1427" w:type="dxa"/>
            <w:vAlign w:val="top"/>
          </w:tcPr>
          <w:p>
            <w:pPr>
              <w:spacing w:line="257" w:lineRule="auto"/>
              <w:rPr>
                <w:rFonts w:ascii="Arial"/>
                <w:sz w:val="21"/>
              </w:rPr>
            </w:pPr>
            <w:r/>
          </w:p>
          <w:p>
            <w:pPr>
              <w:ind w:left="516" w:right="287" w:hanging="208"/>
              <w:spacing w:before="65" w:line="252" w:lineRule="auto"/>
              <w:rPr>
                <w:rFonts w:ascii="SimSun" w:hAnsi="SimSun" w:eastAsia="SimSun" w:cs="SimSun"/>
                <w:sz w:val="20"/>
                <w:szCs w:val="20"/>
              </w:rPr>
            </w:pPr>
            <w:r>
              <w:rPr>
                <w:rFonts w:ascii="SimSun" w:hAnsi="SimSun" w:eastAsia="SimSun" w:cs="SimSun"/>
                <w:sz w:val="20"/>
                <w:szCs w:val="20"/>
                <w:spacing w:val="6"/>
              </w:rPr>
              <w:t>行政福利</w:t>
            </w:r>
            <w:r>
              <w:rPr>
                <w:rFonts w:ascii="SimSun" w:hAnsi="SimSun" w:eastAsia="SimSun" w:cs="SimSun"/>
                <w:sz w:val="20"/>
                <w:szCs w:val="20"/>
                <w:spacing w:val="3"/>
              </w:rPr>
              <w:t>设施</w:t>
            </w:r>
          </w:p>
        </w:tc>
        <w:tc>
          <w:tcPr>
            <w:tcW w:w="3953" w:type="dxa"/>
            <w:vAlign w:val="top"/>
          </w:tcPr>
          <w:p>
            <w:pPr>
              <w:ind w:left="125"/>
              <w:spacing w:before="185" w:line="228" w:lineRule="auto"/>
              <w:rPr>
                <w:rFonts w:ascii="SimSun" w:hAnsi="SimSun" w:eastAsia="SimSun" w:cs="SimSun"/>
                <w:sz w:val="20"/>
                <w:szCs w:val="20"/>
              </w:rPr>
            </w:pPr>
            <w:r>
              <w:rPr>
                <w:rFonts w:ascii="SimSun" w:hAnsi="SimSun" w:eastAsia="SimSun" w:cs="SimSun"/>
                <w:sz w:val="20"/>
                <w:szCs w:val="20"/>
                <w:spacing w:val="8"/>
              </w:rPr>
              <w:t>工业场地设置行政办公楼（包括工段办公</w:t>
            </w:r>
          </w:p>
          <w:p>
            <w:pPr>
              <w:spacing w:before="24" w:line="228" w:lineRule="auto"/>
              <w:jc w:val="right"/>
              <w:rPr>
                <w:rFonts w:ascii="SimSun" w:hAnsi="SimSun" w:eastAsia="SimSun" w:cs="SimSun"/>
                <w:sz w:val="20"/>
                <w:szCs w:val="20"/>
              </w:rPr>
            </w:pPr>
            <w:r>
              <w:rPr>
                <w:rFonts w:ascii="SimSun" w:hAnsi="SimSun" w:eastAsia="SimSun" w:cs="SimSun"/>
                <w:sz w:val="20"/>
                <w:szCs w:val="20"/>
              </w:rPr>
              <w:t>室）、夜班休息室、调度楼、浴室、食堂、</w:t>
            </w:r>
          </w:p>
          <w:p>
            <w:pPr>
              <w:ind w:left="1061"/>
              <w:spacing w:before="26" w:line="228" w:lineRule="auto"/>
              <w:rPr>
                <w:rFonts w:ascii="SimSun" w:hAnsi="SimSun" w:eastAsia="SimSun" w:cs="SimSun"/>
                <w:sz w:val="20"/>
                <w:szCs w:val="20"/>
              </w:rPr>
            </w:pPr>
            <w:r>
              <w:rPr>
                <w:rFonts w:ascii="SimSun" w:hAnsi="SimSun" w:eastAsia="SimSun" w:cs="SimSun"/>
                <w:sz w:val="20"/>
                <w:szCs w:val="20"/>
                <w:spacing w:val="8"/>
              </w:rPr>
              <w:t>单身宿舍、体育馆等</w:t>
            </w:r>
          </w:p>
        </w:tc>
        <w:tc>
          <w:tcPr>
            <w:tcW w:w="3879" w:type="dxa"/>
            <w:vAlign w:val="top"/>
            <w:tcBorders>
              <w:right w:val="nil"/>
            </w:tcBorders>
          </w:tcPr>
          <w:p>
            <w:pPr>
              <w:ind w:left="149"/>
              <w:spacing w:before="185" w:line="228" w:lineRule="auto"/>
              <w:rPr>
                <w:rFonts w:ascii="SimSun" w:hAnsi="SimSun" w:eastAsia="SimSun" w:cs="SimSun"/>
                <w:sz w:val="20"/>
                <w:szCs w:val="20"/>
              </w:rPr>
            </w:pPr>
            <w:r>
              <w:rPr>
                <w:rFonts w:ascii="SimSun" w:hAnsi="SimSun" w:eastAsia="SimSun" w:cs="SimSun"/>
                <w:sz w:val="20"/>
                <w:szCs w:val="20"/>
                <w:spacing w:val="4"/>
              </w:rPr>
              <w:t>工业场地设置行政办公楼（包括工段办公</w:t>
            </w:r>
          </w:p>
          <w:p>
            <w:pPr>
              <w:spacing w:before="24" w:line="228" w:lineRule="auto"/>
              <w:jc w:val="right"/>
              <w:rPr>
                <w:rFonts w:ascii="SimSun" w:hAnsi="SimSun" w:eastAsia="SimSun" w:cs="SimSun"/>
                <w:sz w:val="20"/>
                <w:szCs w:val="20"/>
              </w:rPr>
            </w:pPr>
            <w:r>
              <w:rPr>
                <w:rFonts w:ascii="SimSun" w:hAnsi="SimSun" w:eastAsia="SimSun" w:cs="SimSun"/>
                <w:sz w:val="20"/>
                <w:szCs w:val="20"/>
                <w:spacing w:val="-4"/>
              </w:rPr>
              <w:t>室）、夜班休息室、调度楼、浴室、食堂、</w:t>
            </w:r>
          </w:p>
          <w:p>
            <w:pPr>
              <w:ind w:left="1053"/>
              <w:spacing w:before="26" w:line="228" w:lineRule="auto"/>
              <w:rPr>
                <w:rFonts w:ascii="SimSun" w:hAnsi="SimSun" w:eastAsia="SimSun" w:cs="SimSun"/>
                <w:sz w:val="20"/>
                <w:szCs w:val="20"/>
              </w:rPr>
            </w:pPr>
            <w:r>
              <w:rPr>
                <w:rFonts w:ascii="SimSun" w:hAnsi="SimSun" w:eastAsia="SimSun" w:cs="SimSun"/>
                <w:sz w:val="20"/>
                <w:szCs w:val="20"/>
                <w:spacing w:val="8"/>
              </w:rPr>
              <w:t>单身宿舍、体育馆等</w:t>
            </w:r>
          </w:p>
        </w:tc>
        <w:tc>
          <w:tcPr>
            <w:tcW w:w="104" w:type="dxa"/>
            <w:vAlign w:val="top"/>
            <w:tcBorders>
              <w:left w:val="nil"/>
              <w:bottom w:val="nil"/>
              <w:right w:val="nil"/>
              <w:top w:val="nil"/>
            </w:tcBorders>
          </w:tcPr>
          <w:p>
            <w:pPr>
              <w:rPr>
                <w:rFonts w:ascii="Arial"/>
                <w:sz w:val="21"/>
              </w:rPr>
            </w:pPr>
            <w:r/>
          </w:p>
        </w:tc>
        <w:tc>
          <w:tcPr>
            <w:tcW w:w="3773" w:type="dxa"/>
            <w:vAlign w:val="top"/>
          </w:tcPr>
          <w:p>
            <w:pPr>
              <w:ind w:left="91"/>
              <w:spacing w:before="185" w:line="228" w:lineRule="auto"/>
              <w:rPr>
                <w:rFonts w:ascii="SimSun" w:hAnsi="SimSun" w:eastAsia="SimSun" w:cs="SimSun"/>
                <w:sz w:val="20"/>
                <w:szCs w:val="20"/>
              </w:rPr>
            </w:pPr>
            <w:r>
              <w:rPr>
                <w:rFonts w:ascii="SimSun" w:hAnsi="SimSun" w:eastAsia="SimSun" w:cs="SimSun"/>
                <w:sz w:val="20"/>
                <w:szCs w:val="20"/>
                <w:spacing w:val="9"/>
              </w:rPr>
              <w:t>设置行政办公楼（包括露天及公司办公</w:t>
            </w:r>
          </w:p>
          <w:p>
            <w:pPr>
              <w:ind w:left="87"/>
              <w:spacing w:before="24" w:line="228" w:lineRule="auto"/>
              <w:rPr>
                <w:rFonts w:ascii="SimSun" w:hAnsi="SimSun" w:eastAsia="SimSun" w:cs="SimSun"/>
                <w:sz w:val="20"/>
                <w:szCs w:val="20"/>
              </w:rPr>
            </w:pPr>
            <w:r>
              <w:rPr>
                <w:rFonts w:ascii="SimSun" w:hAnsi="SimSun" w:eastAsia="SimSun" w:cs="SimSun"/>
                <w:sz w:val="20"/>
                <w:szCs w:val="20"/>
                <w:spacing w:val="9"/>
              </w:rPr>
              <w:t>楼）、调度楼、浴室、食堂、宿舍、体</w:t>
            </w:r>
          </w:p>
          <w:p>
            <w:pPr>
              <w:ind w:left="1567"/>
              <w:spacing w:before="26" w:line="228" w:lineRule="auto"/>
              <w:rPr>
                <w:rFonts w:ascii="SimSun" w:hAnsi="SimSun" w:eastAsia="SimSun" w:cs="SimSun"/>
                <w:sz w:val="20"/>
                <w:szCs w:val="20"/>
              </w:rPr>
            </w:pPr>
            <w:r>
              <w:rPr>
                <w:rFonts w:ascii="SimSun" w:hAnsi="SimSun" w:eastAsia="SimSun" w:cs="SimSun"/>
                <w:sz w:val="20"/>
                <w:szCs w:val="20"/>
                <w:spacing w:val="4"/>
              </w:rPr>
              <w:t>育馆等</w:t>
            </w:r>
          </w:p>
        </w:tc>
      </w:tr>
      <w:tr>
        <w:trPr>
          <w:trHeight w:val="1137" w:hRule="atLeast"/>
        </w:trPr>
        <w:tc>
          <w:tcPr>
            <w:tcW w:w="1124" w:type="dxa"/>
            <w:vAlign w:val="top"/>
            <w:vMerge w:val="continue"/>
            <w:tcBorders>
              <w:top w:val="nil"/>
              <w:bottom w:val="nil"/>
            </w:tcBorders>
          </w:tcPr>
          <w:p>
            <w:pPr>
              <w:rPr>
                <w:rFonts w:ascii="Arial"/>
                <w:sz w:val="21"/>
              </w:rPr>
            </w:pPr>
            <w:r/>
          </w:p>
        </w:tc>
        <w:tc>
          <w:tcPr>
            <w:tcW w:w="1427" w:type="dxa"/>
            <w:vAlign w:val="top"/>
          </w:tcPr>
          <w:p>
            <w:pPr>
              <w:spacing w:line="391" w:lineRule="auto"/>
              <w:rPr>
                <w:rFonts w:ascii="Arial"/>
                <w:sz w:val="21"/>
              </w:rPr>
            </w:pPr>
            <w:r/>
          </w:p>
          <w:p>
            <w:pPr>
              <w:ind w:left="513"/>
              <w:spacing w:before="65" w:line="227" w:lineRule="auto"/>
              <w:rPr>
                <w:rFonts w:ascii="SimSun" w:hAnsi="SimSun" w:eastAsia="SimSun" w:cs="SimSun"/>
                <w:sz w:val="20"/>
                <w:szCs w:val="20"/>
              </w:rPr>
            </w:pPr>
            <w:r>
              <w:rPr>
                <w:rFonts w:ascii="SimSun" w:hAnsi="SimSun" w:eastAsia="SimSun" w:cs="SimSun"/>
                <w:sz w:val="20"/>
                <w:szCs w:val="20"/>
                <w:spacing w:val="4"/>
              </w:rPr>
              <w:t>供水</w:t>
            </w:r>
          </w:p>
        </w:tc>
        <w:tc>
          <w:tcPr>
            <w:tcW w:w="3953" w:type="dxa"/>
            <w:vAlign w:val="top"/>
          </w:tcPr>
          <w:p>
            <w:pPr>
              <w:ind w:left="125"/>
              <w:spacing w:before="201" w:line="227" w:lineRule="auto"/>
              <w:rPr>
                <w:rFonts w:ascii="SimSun" w:hAnsi="SimSun" w:eastAsia="SimSun" w:cs="SimSun"/>
                <w:sz w:val="20"/>
                <w:szCs w:val="20"/>
              </w:rPr>
            </w:pPr>
            <w:r>
              <w:rPr>
                <w:rFonts w:ascii="SimSun" w:hAnsi="SimSun" w:eastAsia="SimSun" w:cs="SimSun"/>
                <w:sz w:val="20"/>
                <w:szCs w:val="20"/>
                <w:spacing w:val="8"/>
              </w:rPr>
              <w:t>工业场地生活及消防用水由电厂供给，生</w:t>
            </w:r>
          </w:p>
          <w:p>
            <w:pPr>
              <w:ind w:left="219"/>
              <w:spacing w:before="25" w:line="227" w:lineRule="auto"/>
              <w:rPr>
                <w:rFonts w:ascii="SimSun" w:hAnsi="SimSun" w:eastAsia="SimSun" w:cs="SimSun"/>
                <w:sz w:val="20"/>
                <w:szCs w:val="20"/>
              </w:rPr>
            </w:pPr>
            <w:r>
              <w:rPr>
                <w:rFonts w:ascii="SimSun" w:hAnsi="SimSun" w:eastAsia="SimSun" w:cs="SimSun"/>
                <w:sz w:val="20"/>
                <w:szCs w:val="20"/>
                <w:spacing w:val="9"/>
              </w:rPr>
              <w:t>产用水由疏干水供给，生活供水管线长</w:t>
            </w:r>
          </w:p>
          <w:p>
            <w:pPr>
              <w:pStyle w:val="TableText"/>
              <w:ind w:left="1738"/>
              <w:spacing w:before="43" w:line="199" w:lineRule="auto"/>
              <w:rPr/>
            </w:pPr>
            <w:r>
              <w:rPr>
                <w:spacing w:val="5"/>
              </w:rPr>
              <w:t>3.5</w:t>
            </w:r>
            <w:r>
              <w:rPr/>
              <w:t>km</w:t>
            </w:r>
          </w:p>
        </w:tc>
        <w:tc>
          <w:tcPr>
            <w:tcW w:w="3879" w:type="dxa"/>
            <w:vAlign w:val="top"/>
            <w:tcBorders>
              <w:right w:val="nil"/>
            </w:tcBorders>
          </w:tcPr>
          <w:p>
            <w:pPr>
              <w:ind w:left="149"/>
              <w:spacing w:before="184" w:line="227" w:lineRule="auto"/>
              <w:rPr>
                <w:rFonts w:ascii="SimSun" w:hAnsi="SimSun" w:eastAsia="SimSun" w:cs="SimSun"/>
                <w:sz w:val="20"/>
                <w:szCs w:val="20"/>
              </w:rPr>
            </w:pPr>
            <w:r>
              <w:rPr>
                <w:rFonts w:ascii="SimSun" w:hAnsi="SimSun" w:eastAsia="SimSun" w:cs="SimSun"/>
                <w:sz w:val="20"/>
                <w:szCs w:val="20"/>
                <w:spacing w:val="4"/>
              </w:rPr>
              <w:t>工业场地生活及消防用水、生产用水均采</w:t>
            </w:r>
          </w:p>
          <w:p>
            <w:pPr>
              <w:ind w:left="148"/>
              <w:spacing w:before="27" w:line="227" w:lineRule="auto"/>
              <w:rPr>
                <w:rFonts w:ascii="SimSun" w:hAnsi="SimSun" w:eastAsia="SimSun" w:cs="SimSun"/>
                <w:sz w:val="20"/>
                <w:szCs w:val="20"/>
              </w:rPr>
            </w:pPr>
            <w:r>
              <w:rPr>
                <w:rFonts w:ascii="SimSun" w:hAnsi="SimSun" w:eastAsia="SimSun" w:cs="SimSun"/>
                <w:sz w:val="20"/>
                <w:szCs w:val="20"/>
                <w:spacing w:val="4"/>
              </w:rPr>
              <w:t>用处理后的疏干水，绿化用水采用处理后</w:t>
            </w:r>
          </w:p>
          <w:p>
            <w:pPr>
              <w:ind w:left="1489"/>
              <w:spacing w:before="24" w:line="228" w:lineRule="auto"/>
              <w:rPr>
                <w:rFonts w:ascii="SimSun" w:hAnsi="SimSun" w:eastAsia="SimSun" w:cs="SimSun"/>
                <w:sz w:val="20"/>
                <w:szCs w:val="20"/>
              </w:rPr>
            </w:pPr>
            <w:r>
              <w:rPr>
                <w:rFonts w:ascii="SimSun" w:hAnsi="SimSun" w:eastAsia="SimSun" w:cs="SimSun"/>
                <w:sz w:val="20"/>
                <w:szCs w:val="20"/>
                <w:spacing w:val="4"/>
              </w:rPr>
              <w:t>的生活污水</w:t>
            </w:r>
          </w:p>
        </w:tc>
        <w:tc>
          <w:tcPr>
            <w:tcW w:w="104" w:type="dxa"/>
            <w:vAlign w:val="top"/>
            <w:tcBorders>
              <w:left w:val="nil"/>
              <w:bottom w:val="nil"/>
              <w:right w:val="nil"/>
              <w:top w:val="nil"/>
            </w:tcBorders>
          </w:tcPr>
          <w:p>
            <w:pPr>
              <w:rPr>
                <w:rFonts w:ascii="Arial"/>
                <w:sz w:val="21"/>
              </w:rPr>
            </w:pPr>
            <w:r/>
          </w:p>
        </w:tc>
        <w:tc>
          <w:tcPr>
            <w:tcW w:w="3773" w:type="dxa"/>
            <w:vAlign w:val="top"/>
          </w:tcPr>
          <w:p>
            <w:pPr>
              <w:ind w:left="90"/>
              <w:spacing w:before="50" w:line="227" w:lineRule="auto"/>
              <w:rPr>
                <w:rFonts w:ascii="SimSun" w:hAnsi="SimSun" w:eastAsia="SimSun" w:cs="SimSun"/>
                <w:sz w:val="20"/>
                <w:szCs w:val="20"/>
              </w:rPr>
            </w:pPr>
            <w:r>
              <w:rPr>
                <w:rFonts w:ascii="SimSun" w:hAnsi="SimSun" w:eastAsia="SimSun" w:cs="SimSun"/>
                <w:sz w:val="20"/>
                <w:szCs w:val="20"/>
                <w:spacing w:val="9"/>
              </w:rPr>
              <w:t>工业场地消防用水、生产用水均采用处</w:t>
            </w:r>
          </w:p>
          <w:p>
            <w:pPr>
              <w:ind w:left="90"/>
              <w:spacing w:before="25" w:line="227" w:lineRule="auto"/>
              <w:rPr>
                <w:rFonts w:ascii="SimSun" w:hAnsi="SimSun" w:eastAsia="SimSun" w:cs="SimSun"/>
                <w:sz w:val="20"/>
                <w:szCs w:val="20"/>
              </w:rPr>
            </w:pPr>
            <w:r>
              <w:rPr>
                <w:rFonts w:ascii="SimSun" w:hAnsi="SimSun" w:eastAsia="SimSun" w:cs="SimSun"/>
                <w:sz w:val="20"/>
                <w:szCs w:val="20"/>
                <w:spacing w:val="9"/>
              </w:rPr>
              <w:t>理后的矿坑水及疏干水，绿化及生态恢</w:t>
            </w:r>
          </w:p>
          <w:p>
            <w:pPr>
              <w:ind w:left="93"/>
              <w:spacing w:before="25" w:line="227" w:lineRule="auto"/>
              <w:rPr>
                <w:rFonts w:ascii="SimSun" w:hAnsi="SimSun" w:eastAsia="SimSun" w:cs="SimSun"/>
                <w:sz w:val="20"/>
                <w:szCs w:val="20"/>
              </w:rPr>
            </w:pPr>
            <w:r>
              <w:rPr>
                <w:rFonts w:ascii="SimSun" w:hAnsi="SimSun" w:eastAsia="SimSun" w:cs="SimSun"/>
                <w:sz w:val="20"/>
                <w:szCs w:val="20"/>
                <w:spacing w:val="9"/>
              </w:rPr>
              <w:t>复用水采用处理后的生活污水，生活用</w:t>
            </w:r>
          </w:p>
          <w:p>
            <w:pPr>
              <w:ind w:left="616"/>
              <w:spacing w:before="27" w:line="227" w:lineRule="auto"/>
              <w:rPr>
                <w:rFonts w:ascii="SimSun" w:hAnsi="SimSun" w:eastAsia="SimSun" w:cs="SimSun"/>
                <w:sz w:val="20"/>
                <w:szCs w:val="20"/>
              </w:rPr>
            </w:pPr>
            <w:r>
              <w:rPr>
                <w:rFonts w:ascii="SimSun" w:hAnsi="SimSun" w:eastAsia="SimSun" w:cs="SimSun"/>
                <w:sz w:val="20"/>
                <w:szCs w:val="20"/>
                <w:spacing w:val="8"/>
              </w:rPr>
              <w:t>水采用深度处理后的疏干水</w:t>
            </w:r>
          </w:p>
        </w:tc>
      </w:tr>
      <w:tr>
        <w:trPr>
          <w:trHeight w:val="1398" w:hRule="atLeast"/>
        </w:trPr>
        <w:tc>
          <w:tcPr>
            <w:tcW w:w="1124" w:type="dxa"/>
            <w:vAlign w:val="top"/>
            <w:vMerge w:val="continue"/>
            <w:tcBorders>
              <w:top w:val="nil"/>
              <w:bottom w:val="nil"/>
            </w:tcBorders>
          </w:tcPr>
          <w:p>
            <w:pPr>
              <w:rPr>
                <w:rFonts w:ascii="Arial"/>
                <w:sz w:val="21"/>
              </w:rPr>
            </w:pPr>
            <w:r/>
          </w:p>
        </w:tc>
        <w:tc>
          <w:tcPr>
            <w:tcW w:w="1427" w:type="dxa"/>
            <w:vAlign w:val="top"/>
          </w:tcPr>
          <w:p>
            <w:pPr>
              <w:spacing w:line="263" w:lineRule="auto"/>
              <w:rPr>
                <w:rFonts w:ascii="Arial"/>
                <w:sz w:val="21"/>
              </w:rPr>
            </w:pPr>
            <w:r/>
          </w:p>
          <w:p>
            <w:pPr>
              <w:spacing w:line="264" w:lineRule="auto"/>
              <w:rPr>
                <w:rFonts w:ascii="Arial"/>
                <w:sz w:val="21"/>
              </w:rPr>
            </w:pPr>
            <w:r/>
          </w:p>
          <w:p>
            <w:pPr>
              <w:ind w:left="513"/>
              <w:spacing w:before="65" w:line="228" w:lineRule="auto"/>
              <w:rPr>
                <w:rFonts w:ascii="SimSun" w:hAnsi="SimSun" w:eastAsia="SimSun" w:cs="SimSun"/>
                <w:sz w:val="20"/>
                <w:szCs w:val="20"/>
              </w:rPr>
            </w:pPr>
            <w:r>
              <w:rPr>
                <w:rFonts w:ascii="SimSun" w:hAnsi="SimSun" w:eastAsia="SimSun" w:cs="SimSun"/>
                <w:sz w:val="20"/>
                <w:szCs w:val="20"/>
                <w:spacing w:val="4"/>
              </w:rPr>
              <w:t>排水</w:t>
            </w:r>
          </w:p>
        </w:tc>
        <w:tc>
          <w:tcPr>
            <w:tcW w:w="3953" w:type="dxa"/>
            <w:vAlign w:val="top"/>
          </w:tcPr>
          <w:p>
            <w:pPr>
              <w:ind w:left="131"/>
              <w:spacing w:before="187" w:line="227" w:lineRule="auto"/>
              <w:rPr>
                <w:rFonts w:ascii="SimSun" w:hAnsi="SimSun" w:eastAsia="SimSun" w:cs="SimSun"/>
                <w:sz w:val="20"/>
                <w:szCs w:val="20"/>
              </w:rPr>
            </w:pPr>
            <w:r>
              <w:rPr>
                <w:rFonts w:ascii="SimSun" w:hAnsi="SimSun" w:eastAsia="SimSun" w:cs="SimSun"/>
                <w:sz w:val="20"/>
                <w:szCs w:val="20"/>
                <w:spacing w:val="7"/>
              </w:rPr>
              <w:t>雨污分流。矿坑水经沉淀后排电厂，疏干</w:t>
            </w:r>
          </w:p>
          <w:p>
            <w:pPr>
              <w:ind w:left="125"/>
              <w:spacing w:before="24" w:line="228" w:lineRule="auto"/>
              <w:rPr>
                <w:rFonts w:ascii="SimSun" w:hAnsi="SimSun" w:eastAsia="SimSun" w:cs="SimSun"/>
                <w:sz w:val="20"/>
                <w:szCs w:val="20"/>
              </w:rPr>
            </w:pPr>
            <w:r>
              <w:rPr>
                <w:rFonts w:ascii="SimSun" w:hAnsi="SimSun" w:eastAsia="SimSun" w:cs="SimSun"/>
                <w:sz w:val="20"/>
                <w:szCs w:val="20"/>
                <w:spacing w:val="8"/>
              </w:rPr>
              <w:t>水部分用于生产用水，其余排入电厂，生</w:t>
            </w:r>
          </w:p>
          <w:p>
            <w:pPr>
              <w:ind w:left="126"/>
              <w:spacing w:before="26" w:line="228" w:lineRule="auto"/>
              <w:rPr>
                <w:rFonts w:ascii="SimSun" w:hAnsi="SimSun" w:eastAsia="SimSun" w:cs="SimSun"/>
                <w:sz w:val="20"/>
                <w:szCs w:val="20"/>
              </w:rPr>
            </w:pPr>
            <w:r>
              <w:rPr>
                <w:rFonts w:ascii="SimSun" w:hAnsi="SimSun" w:eastAsia="SimSun" w:cs="SimSun"/>
                <w:sz w:val="20"/>
                <w:szCs w:val="20"/>
                <w:spacing w:val="8"/>
              </w:rPr>
              <w:t>活、生产废水经处理达标后用于绿化、抑</w:t>
            </w:r>
          </w:p>
          <w:p>
            <w:pPr>
              <w:ind w:left="955"/>
              <w:spacing w:before="24" w:line="228" w:lineRule="auto"/>
              <w:rPr>
                <w:rFonts w:ascii="SimSun" w:hAnsi="SimSun" w:eastAsia="SimSun" w:cs="SimSun"/>
                <w:sz w:val="20"/>
                <w:szCs w:val="20"/>
              </w:rPr>
            </w:pPr>
            <w:r>
              <w:rPr>
                <w:rFonts w:ascii="SimSun" w:hAnsi="SimSun" w:eastAsia="SimSun" w:cs="SimSun"/>
                <w:sz w:val="20"/>
                <w:szCs w:val="20"/>
                <w:spacing w:val="8"/>
              </w:rPr>
              <w:t>尘，剩余部分排入电厂</w:t>
            </w:r>
          </w:p>
        </w:tc>
        <w:tc>
          <w:tcPr>
            <w:tcW w:w="3879" w:type="dxa"/>
            <w:vAlign w:val="top"/>
            <w:tcBorders>
              <w:right w:val="nil"/>
            </w:tcBorders>
          </w:tcPr>
          <w:p>
            <w:pPr>
              <w:ind w:left="155"/>
              <w:spacing w:before="187" w:line="227" w:lineRule="auto"/>
              <w:rPr>
                <w:rFonts w:ascii="SimSun" w:hAnsi="SimSun" w:eastAsia="SimSun" w:cs="SimSun"/>
                <w:sz w:val="20"/>
                <w:szCs w:val="20"/>
              </w:rPr>
            </w:pPr>
            <w:r>
              <w:rPr>
                <w:rFonts w:ascii="SimSun" w:hAnsi="SimSun" w:eastAsia="SimSun" w:cs="SimSun"/>
                <w:sz w:val="20"/>
                <w:szCs w:val="20"/>
                <w:spacing w:val="4"/>
              </w:rPr>
              <w:t>雨污分流。经处理后矿坑水和疏干水部分</w:t>
            </w:r>
          </w:p>
          <w:p>
            <w:pPr>
              <w:ind w:left="148"/>
              <w:spacing w:before="24" w:line="228" w:lineRule="auto"/>
              <w:rPr>
                <w:rFonts w:ascii="SimSun" w:hAnsi="SimSun" w:eastAsia="SimSun" w:cs="SimSun"/>
                <w:sz w:val="20"/>
                <w:szCs w:val="20"/>
              </w:rPr>
            </w:pPr>
            <w:r>
              <w:rPr>
                <w:rFonts w:ascii="SimSun" w:hAnsi="SimSun" w:eastAsia="SimSun" w:cs="SimSun"/>
                <w:sz w:val="20"/>
                <w:szCs w:val="20"/>
                <w:spacing w:val="4"/>
              </w:rPr>
              <w:t>用于生产、生活用水，其余排入电厂，生</w:t>
            </w:r>
          </w:p>
          <w:p>
            <w:pPr>
              <w:ind w:left="150"/>
              <w:spacing w:before="26" w:line="228" w:lineRule="auto"/>
              <w:rPr>
                <w:rFonts w:ascii="SimSun" w:hAnsi="SimSun" w:eastAsia="SimSun" w:cs="SimSun"/>
                <w:sz w:val="20"/>
                <w:szCs w:val="20"/>
              </w:rPr>
            </w:pPr>
            <w:r>
              <w:rPr>
                <w:rFonts w:ascii="SimSun" w:hAnsi="SimSun" w:eastAsia="SimSun" w:cs="SimSun"/>
                <w:sz w:val="20"/>
                <w:szCs w:val="20"/>
                <w:spacing w:val="4"/>
              </w:rPr>
              <w:t>活、生产废水经处理达标后用于绿化、抑</w:t>
            </w:r>
          </w:p>
          <w:p>
            <w:pPr>
              <w:ind w:left="1893"/>
              <w:spacing w:before="25" w:line="234" w:lineRule="auto"/>
              <w:rPr>
                <w:rFonts w:ascii="SimSun" w:hAnsi="SimSun" w:eastAsia="SimSun" w:cs="SimSun"/>
                <w:sz w:val="20"/>
                <w:szCs w:val="20"/>
              </w:rPr>
            </w:pPr>
            <w:r>
              <w:rPr>
                <w:rFonts w:ascii="SimSun" w:hAnsi="SimSun" w:eastAsia="SimSun" w:cs="SimSun"/>
                <w:sz w:val="20"/>
                <w:szCs w:val="20"/>
              </w:rPr>
              <w:t>尘</w:t>
            </w:r>
          </w:p>
        </w:tc>
        <w:tc>
          <w:tcPr>
            <w:tcW w:w="104" w:type="dxa"/>
            <w:vAlign w:val="top"/>
            <w:tcBorders>
              <w:left w:val="nil"/>
              <w:bottom w:val="nil"/>
              <w:right w:val="nil"/>
              <w:top w:val="nil"/>
            </w:tcBorders>
          </w:tcPr>
          <w:p>
            <w:pPr>
              <w:rPr>
                <w:rFonts w:ascii="Arial"/>
                <w:sz w:val="21"/>
              </w:rPr>
            </w:pPr>
            <w:r/>
          </w:p>
        </w:tc>
        <w:tc>
          <w:tcPr>
            <w:tcW w:w="3773" w:type="dxa"/>
            <w:vAlign w:val="top"/>
          </w:tcPr>
          <w:p>
            <w:pPr>
              <w:ind w:left="87" w:right="118" w:firstLine="8"/>
              <w:spacing w:before="186" w:line="252" w:lineRule="auto"/>
              <w:rPr>
                <w:rFonts w:ascii="SimSun" w:hAnsi="SimSun" w:eastAsia="SimSun" w:cs="SimSun"/>
                <w:sz w:val="20"/>
                <w:szCs w:val="20"/>
              </w:rPr>
            </w:pPr>
            <w:r>
              <w:rPr>
                <w:rFonts w:ascii="SimSun" w:hAnsi="SimSun" w:eastAsia="SimSun" w:cs="SimSun"/>
                <w:sz w:val="20"/>
                <w:szCs w:val="20"/>
                <w:spacing w:val="8"/>
              </w:rPr>
              <w:t>雨污分流。经处理后矿坑水和疏干水部</w:t>
            </w:r>
            <w:r>
              <w:rPr>
                <w:rFonts w:ascii="SimSun" w:hAnsi="SimSun" w:eastAsia="SimSun" w:cs="SimSun"/>
                <w:sz w:val="20"/>
                <w:szCs w:val="20"/>
                <w:spacing w:val="9"/>
              </w:rPr>
              <w:t>分用于生产、生活用水，其余供电厂生</w:t>
            </w:r>
            <w:r>
              <w:rPr>
                <w:rFonts w:ascii="SimSun" w:hAnsi="SimSun" w:eastAsia="SimSun" w:cs="SimSun"/>
                <w:sz w:val="20"/>
                <w:szCs w:val="20"/>
                <w:spacing w:val="9"/>
              </w:rPr>
              <w:t>产用水，生活污水经处理后用于绿化、</w:t>
            </w:r>
            <w:r>
              <w:rPr>
                <w:rFonts w:ascii="SimSun" w:hAnsi="SimSun" w:eastAsia="SimSun" w:cs="SimSun"/>
                <w:sz w:val="20"/>
                <w:szCs w:val="20"/>
                <w:spacing w:val="9"/>
              </w:rPr>
              <w:t>道路洒水输煤系统洒水及汽车冲洗水等</w:t>
            </w:r>
          </w:p>
        </w:tc>
      </w:tr>
      <w:tr>
        <w:trPr>
          <w:trHeight w:val="401" w:hRule="atLeast"/>
        </w:trPr>
        <w:tc>
          <w:tcPr>
            <w:tcW w:w="1124" w:type="dxa"/>
            <w:vAlign w:val="top"/>
            <w:vMerge w:val="continue"/>
            <w:tcBorders>
              <w:top w:val="nil"/>
              <w:bottom w:val="nil"/>
            </w:tcBorders>
          </w:tcPr>
          <w:p>
            <w:pPr>
              <w:rPr>
                <w:rFonts w:ascii="Arial"/>
                <w:sz w:val="21"/>
              </w:rPr>
            </w:pPr>
            <w:r/>
          </w:p>
        </w:tc>
        <w:tc>
          <w:tcPr>
            <w:tcW w:w="1427" w:type="dxa"/>
            <w:vAlign w:val="top"/>
          </w:tcPr>
          <w:p>
            <w:pPr>
              <w:ind w:left="513"/>
              <w:spacing w:before="99" w:line="227" w:lineRule="auto"/>
              <w:rPr>
                <w:rFonts w:ascii="SimSun" w:hAnsi="SimSun" w:eastAsia="SimSun" w:cs="SimSun"/>
                <w:sz w:val="20"/>
                <w:szCs w:val="20"/>
              </w:rPr>
            </w:pPr>
            <w:r>
              <w:rPr>
                <w:rFonts w:ascii="SimSun" w:hAnsi="SimSun" w:eastAsia="SimSun" w:cs="SimSun"/>
                <w:sz w:val="20"/>
                <w:szCs w:val="20"/>
                <w:spacing w:val="4"/>
              </w:rPr>
              <w:t>供电</w:t>
            </w:r>
          </w:p>
        </w:tc>
        <w:tc>
          <w:tcPr>
            <w:tcW w:w="3953" w:type="dxa"/>
            <w:vAlign w:val="top"/>
          </w:tcPr>
          <w:p>
            <w:pPr>
              <w:pStyle w:val="TableText"/>
              <w:ind w:left="983"/>
              <w:spacing w:before="100" w:line="228" w:lineRule="auto"/>
              <w:rPr>
                <w:rFonts w:ascii="SimSun" w:hAnsi="SimSun" w:eastAsia="SimSun" w:cs="SimSun"/>
              </w:rPr>
            </w:pPr>
            <w:r>
              <w:rPr>
                <w:rFonts w:ascii="SimSun" w:hAnsi="SimSun" w:eastAsia="SimSun" w:cs="SimSun"/>
                <w:spacing w:val="7"/>
              </w:rPr>
              <w:t>利用现有</w:t>
            </w:r>
            <w:r>
              <w:rPr>
                <w:rFonts w:ascii="SimSun" w:hAnsi="SimSun" w:eastAsia="SimSun" w:cs="SimSun"/>
                <w:spacing w:val="-35"/>
              </w:rPr>
              <w:t xml:space="preserve"> </w:t>
            </w:r>
            <w:r>
              <w:rPr>
                <w:spacing w:val="7"/>
              </w:rPr>
              <w:t>35</w:t>
            </w:r>
            <w:r>
              <w:rPr/>
              <w:t>kV</w:t>
            </w:r>
            <w:r>
              <w:rPr>
                <w:spacing w:val="7"/>
              </w:rPr>
              <w:t xml:space="preserve"> </w:t>
            </w:r>
            <w:r>
              <w:rPr>
                <w:rFonts w:ascii="SimSun" w:hAnsi="SimSun" w:eastAsia="SimSun" w:cs="SimSun"/>
                <w:spacing w:val="7"/>
              </w:rPr>
              <w:t>变电站</w:t>
            </w:r>
          </w:p>
        </w:tc>
        <w:tc>
          <w:tcPr>
            <w:tcW w:w="3879" w:type="dxa"/>
            <w:vAlign w:val="top"/>
            <w:tcBorders>
              <w:right w:val="nil"/>
            </w:tcBorders>
          </w:tcPr>
          <w:p>
            <w:pPr>
              <w:pStyle w:val="TableText"/>
              <w:ind w:left="975"/>
              <w:spacing w:before="100" w:line="228" w:lineRule="auto"/>
              <w:rPr>
                <w:rFonts w:ascii="SimSun" w:hAnsi="SimSun" w:eastAsia="SimSun" w:cs="SimSun"/>
              </w:rPr>
            </w:pPr>
            <w:r>
              <w:rPr>
                <w:rFonts w:ascii="SimSun" w:hAnsi="SimSun" w:eastAsia="SimSun" w:cs="SimSun"/>
                <w:spacing w:val="7"/>
              </w:rPr>
              <w:t>利用现有</w:t>
            </w:r>
            <w:r>
              <w:rPr>
                <w:rFonts w:ascii="SimSun" w:hAnsi="SimSun" w:eastAsia="SimSun" w:cs="SimSun"/>
                <w:spacing w:val="-35"/>
              </w:rPr>
              <w:t xml:space="preserve"> </w:t>
            </w:r>
            <w:r>
              <w:rPr>
                <w:spacing w:val="7"/>
              </w:rPr>
              <w:t>35</w:t>
            </w:r>
            <w:r>
              <w:rPr/>
              <w:t>kV</w:t>
            </w:r>
            <w:r>
              <w:rPr>
                <w:spacing w:val="7"/>
              </w:rPr>
              <w:t xml:space="preserve"> </w:t>
            </w:r>
            <w:r>
              <w:rPr>
                <w:rFonts w:ascii="SimSun" w:hAnsi="SimSun" w:eastAsia="SimSun" w:cs="SimSun"/>
                <w:spacing w:val="7"/>
              </w:rPr>
              <w:t>变电站</w:t>
            </w:r>
          </w:p>
        </w:tc>
        <w:tc>
          <w:tcPr>
            <w:tcW w:w="104" w:type="dxa"/>
            <w:vAlign w:val="top"/>
            <w:tcBorders>
              <w:left w:val="nil"/>
              <w:bottom w:val="nil"/>
              <w:right w:val="nil"/>
              <w:top w:val="nil"/>
            </w:tcBorders>
          </w:tcPr>
          <w:p>
            <w:pPr>
              <w:rPr>
                <w:rFonts w:ascii="Arial"/>
                <w:sz w:val="21"/>
              </w:rPr>
            </w:pPr>
            <w:r/>
          </w:p>
        </w:tc>
        <w:tc>
          <w:tcPr>
            <w:tcW w:w="3773" w:type="dxa"/>
            <w:vAlign w:val="top"/>
          </w:tcPr>
          <w:p>
            <w:pPr>
              <w:pStyle w:val="TableText"/>
              <w:ind w:left="748"/>
              <w:spacing w:before="100" w:line="228" w:lineRule="auto"/>
              <w:rPr>
                <w:rFonts w:ascii="SimSun" w:hAnsi="SimSun" w:eastAsia="SimSun" w:cs="SimSun"/>
              </w:rPr>
            </w:pPr>
            <w:r>
              <w:rPr>
                <w:rFonts w:ascii="SimSun" w:hAnsi="SimSun" w:eastAsia="SimSun" w:cs="SimSun"/>
                <w:spacing w:val="13"/>
              </w:rPr>
              <w:t>利用现有的</w:t>
            </w:r>
            <w:r>
              <w:rPr>
                <w:spacing w:val="13"/>
              </w:rPr>
              <w:t>35</w:t>
            </w:r>
            <w:r>
              <w:rPr/>
              <w:t>kV</w:t>
            </w:r>
            <w:r>
              <w:rPr>
                <w:spacing w:val="13"/>
              </w:rPr>
              <w:t xml:space="preserve"> </w:t>
            </w:r>
            <w:r>
              <w:rPr>
                <w:rFonts w:ascii="SimSun" w:hAnsi="SimSun" w:eastAsia="SimSun" w:cs="SimSun"/>
                <w:spacing w:val="13"/>
              </w:rPr>
              <w:t>变电站</w:t>
            </w:r>
          </w:p>
        </w:tc>
      </w:tr>
      <w:tr>
        <w:trPr>
          <w:trHeight w:val="3540" w:hRule="atLeast"/>
        </w:trPr>
        <w:tc>
          <w:tcPr>
            <w:tcW w:w="1124" w:type="dxa"/>
            <w:vAlign w:val="top"/>
            <w:vMerge w:val="continue"/>
            <w:tcBorders>
              <w:top w:val="nil"/>
            </w:tcBorders>
          </w:tcPr>
          <w:p>
            <w:pPr>
              <w:rPr>
                <w:rFonts w:ascii="Arial"/>
                <w:sz w:val="21"/>
              </w:rPr>
            </w:pPr>
            <w:r/>
          </w:p>
        </w:tc>
        <w:tc>
          <w:tcPr>
            <w:tcW w:w="1427"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513"/>
              <w:spacing w:before="65" w:line="227" w:lineRule="auto"/>
              <w:rPr>
                <w:rFonts w:ascii="SimSun" w:hAnsi="SimSun" w:eastAsia="SimSun" w:cs="SimSun"/>
                <w:sz w:val="20"/>
                <w:szCs w:val="20"/>
              </w:rPr>
            </w:pPr>
            <w:r>
              <w:rPr>
                <w:rFonts w:ascii="SimSun" w:hAnsi="SimSun" w:eastAsia="SimSun" w:cs="SimSun"/>
                <w:sz w:val="20"/>
                <w:szCs w:val="20"/>
                <w:spacing w:val="4"/>
              </w:rPr>
              <w:t>供热</w:t>
            </w:r>
          </w:p>
        </w:tc>
        <w:tc>
          <w:tcPr>
            <w:tcW w:w="3953"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1293"/>
              <w:spacing w:before="65" w:line="227" w:lineRule="auto"/>
              <w:rPr>
                <w:rFonts w:ascii="SimSun" w:hAnsi="SimSun" w:eastAsia="SimSun" w:cs="SimSun"/>
                <w:sz w:val="20"/>
                <w:szCs w:val="20"/>
              </w:rPr>
            </w:pPr>
            <w:r>
              <w:rPr>
                <w:rFonts w:ascii="SimSun" w:hAnsi="SimSun" w:eastAsia="SimSun" w:cs="SimSun"/>
                <w:sz w:val="20"/>
                <w:szCs w:val="20"/>
                <w:spacing w:val="5"/>
              </w:rPr>
              <w:t>由电厂统一供给</w:t>
            </w:r>
          </w:p>
        </w:tc>
        <w:tc>
          <w:tcPr>
            <w:tcW w:w="3879" w:type="dxa"/>
            <w:vAlign w:val="top"/>
            <w:tcBorders>
              <w:right w:val="nil"/>
            </w:tcBorders>
          </w:tcPr>
          <w:p>
            <w:pPr>
              <w:ind w:right="14"/>
              <w:spacing w:before="37" w:line="227" w:lineRule="auto"/>
              <w:jc w:val="right"/>
              <w:rPr>
                <w:rFonts w:ascii="SimSun" w:hAnsi="SimSun" w:eastAsia="SimSun" w:cs="SimSun"/>
                <w:sz w:val="20"/>
                <w:szCs w:val="20"/>
              </w:rPr>
            </w:pPr>
            <w:r>
              <w:rPr>
                <w:rFonts w:ascii="SimSun" w:hAnsi="SimSun" w:eastAsia="SimSun" w:cs="SimSun"/>
                <w:sz w:val="20"/>
                <w:szCs w:val="20"/>
                <w:spacing w:val="5"/>
              </w:rPr>
              <w:t>由工业场地锅炉房供暖（单独审批</w:t>
            </w:r>
            <w:r>
              <w:rPr>
                <w:rFonts w:ascii="SimSun" w:hAnsi="SimSun" w:eastAsia="SimSun" w:cs="SimSun"/>
                <w:sz w:val="20"/>
                <w:szCs w:val="20"/>
                <w:spacing w:val="4"/>
              </w:rPr>
              <w:t>），</w:t>
            </w:r>
            <w:r>
              <w:rPr>
                <w:rFonts w:ascii="SimSun" w:hAnsi="SimSun" w:eastAsia="SimSun" w:cs="SimSun"/>
                <w:sz w:val="20"/>
                <w:szCs w:val="20"/>
                <w:spacing w:val="5"/>
              </w:rPr>
              <w:t>内</w:t>
            </w:r>
          </w:p>
          <w:p>
            <w:pPr>
              <w:ind w:left="217"/>
              <w:spacing w:before="22" w:line="228" w:lineRule="auto"/>
              <w:rPr>
                <w:rFonts w:ascii="SimSun" w:hAnsi="SimSun" w:eastAsia="SimSun" w:cs="SimSun"/>
                <w:sz w:val="20"/>
                <w:szCs w:val="20"/>
              </w:rPr>
            </w:pPr>
            <w:r>
              <w:rPr>
                <w:rFonts w:ascii="SimSun" w:hAnsi="SimSun" w:eastAsia="SimSun" w:cs="SimSun"/>
                <w:sz w:val="20"/>
                <w:szCs w:val="20"/>
                <w:spacing w:val="9"/>
              </w:rPr>
              <w:t>蒙古锡林郭盟环境保护局以锡署环审表</w:t>
            </w:r>
          </w:p>
          <w:p>
            <w:pPr>
              <w:pStyle w:val="TableText"/>
              <w:ind w:left="948"/>
              <w:spacing w:before="29" w:line="229" w:lineRule="auto"/>
              <w:rPr>
                <w:rFonts w:ascii="SimSun" w:hAnsi="SimSun" w:eastAsia="SimSun" w:cs="SimSun"/>
              </w:rPr>
            </w:pPr>
            <w:r>
              <w:rPr>
                <w:rFonts w:ascii="SimSun" w:hAnsi="SimSun" w:eastAsia="SimSun" w:cs="SimSun"/>
                <w:spacing w:val="3"/>
              </w:rPr>
              <w:t>〔</w:t>
            </w:r>
            <w:r>
              <w:rPr>
                <w:spacing w:val="3"/>
              </w:rPr>
              <w:t>2012</w:t>
            </w:r>
            <w:r>
              <w:rPr>
                <w:rFonts w:ascii="SimSun" w:hAnsi="SimSun" w:eastAsia="SimSun" w:cs="SimSun"/>
                <w:spacing w:val="3"/>
              </w:rPr>
              <w:t>〕</w:t>
            </w:r>
            <w:r>
              <w:rPr>
                <w:spacing w:val="3"/>
              </w:rPr>
              <w:t>55 </w:t>
            </w:r>
            <w:r>
              <w:rPr>
                <w:rFonts w:ascii="SimSun" w:hAnsi="SimSun" w:eastAsia="SimSun" w:cs="SimSun"/>
                <w:spacing w:val="3"/>
              </w:rPr>
              <w:t>号文对</w:t>
            </w:r>
            <w:r>
              <w:rPr>
                <w:rFonts w:ascii="SimSun" w:hAnsi="SimSun" w:eastAsia="SimSun" w:cs="SimSun"/>
                <w:spacing w:val="-40"/>
              </w:rPr>
              <w:t xml:space="preserve"> </w:t>
            </w:r>
            <w:r>
              <w:rPr>
                <w:spacing w:val="3"/>
              </w:rPr>
              <w:t>2</w:t>
            </w:r>
            <w:r>
              <w:rPr>
                <w:spacing w:val="26"/>
                <w:w w:val="101"/>
              </w:rPr>
              <w:t xml:space="preserve"> </w:t>
            </w:r>
            <w:r>
              <w:rPr>
                <w:rFonts w:ascii="SimSun" w:hAnsi="SimSun" w:eastAsia="SimSun" w:cs="SimSun"/>
                <w:spacing w:val="3"/>
              </w:rPr>
              <w:t>台</w:t>
            </w:r>
          </w:p>
          <w:p>
            <w:pPr>
              <w:pStyle w:val="TableText"/>
              <w:ind w:left="161"/>
              <w:spacing w:before="22" w:line="228" w:lineRule="auto"/>
              <w:rPr>
                <w:rFonts w:ascii="SimSun" w:hAnsi="SimSun" w:eastAsia="SimSun" w:cs="SimSun"/>
              </w:rPr>
            </w:pPr>
            <w:r>
              <w:rPr/>
              <w:t>DZW</w:t>
            </w:r>
            <w:r>
              <w:rPr>
                <w:spacing w:val="6"/>
              </w:rPr>
              <w:t>7.0-1.0/115/70-H </w:t>
            </w:r>
            <w:r>
              <w:rPr>
                <w:rFonts w:ascii="SimSun" w:hAnsi="SimSun" w:eastAsia="SimSun" w:cs="SimSun"/>
                <w:spacing w:val="6"/>
              </w:rPr>
              <w:t>热水锅炉（一用一</w:t>
            </w:r>
          </w:p>
          <w:p>
            <w:pPr>
              <w:pStyle w:val="TableText"/>
              <w:ind w:left="192"/>
              <w:spacing w:before="26" w:line="228" w:lineRule="auto"/>
              <w:rPr>
                <w:rFonts w:ascii="SimSun" w:hAnsi="SimSun" w:eastAsia="SimSun" w:cs="SimSun"/>
              </w:rPr>
            </w:pPr>
            <w:r>
              <w:rPr>
                <w:rFonts w:ascii="SimSun" w:hAnsi="SimSun" w:eastAsia="SimSun" w:cs="SimSun"/>
                <w:spacing w:val="5"/>
              </w:rPr>
              <w:t>备）和</w:t>
            </w:r>
            <w:r>
              <w:rPr>
                <w:rFonts w:ascii="SimSun" w:hAnsi="SimSun" w:eastAsia="SimSun" w:cs="SimSun"/>
                <w:spacing w:val="-43"/>
              </w:rPr>
              <w:t xml:space="preserve"> </w:t>
            </w:r>
            <w:r>
              <w:rPr>
                <w:spacing w:val="5"/>
              </w:rPr>
              <w:t>2</w:t>
            </w:r>
            <w:r>
              <w:rPr>
                <w:spacing w:val="28"/>
                <w:w w:val="101"/>
              </w:rPr>
              <w:t xml:space="preserve"> </w:t>
            </w:r>
            <w:r>
              <w:rPr>
                <w:rFonts w:ascii="SimSun" w:hAnsi="SimSun" w:eastAsia="SimSun" w:cs="SimSun"/>
                <w:spacing w:val="5"/>
              </w:rPr>
              <w:t>台</w:t>
            </w:r>
            <w:r>
              <w:rPr>
                <w:rFonts w:ascii="SimSun" w:hAnsi="SimSun" w:eastAsia="SimSun" w:cs="SimSun"/>
                <w:spacing w:val="-44"/>
              </w:rPr>
              <w:t xml:space="preserve"> </w:t>
            </w:r>
            <w:r>
              <w:rPr/>
              <w:t>DZW</w:t>
            </w:r>
            <w:r>
              <w:rPr>
                <w:spacing w:val="5"/>
              </w:rPr>
              <w:t>4.2-0.7/95/70-H </w:t>
            </w:r>
            <w:r>
              <w:rPr>
                <w:rFonts w:ascii="SimSun" w:hAnsi="SimSun" w:eastAsia="SimSun" w:cs="SimSun"/>
                <w:spacing w:val="4"/>
              </w:rPr>
              <w:t>热水锅</w:t>
            </w:r>
          </w:p>
          <w:p>
            <w:pPr>
              <w:ind w:left="149"/>
              <w:spacing w:before="25" w:line="228" w:lineRule="auto"/>
              <w:rPr>
                <w:rFonts w:ascii="SimSun" w:hAnsi="SimSun" w:eastAsia="SimSun" w:cs="SimSun"/>
                <w:sz w:val="20"/>
                <w:szCs w:val="20"/>
              </w:rPr>
            </w:pPr>
            <w:r>
              <w:rPr>
                <w:rFonts w:ascii="SimSun" w:hAnsi="SimSun" w:eastAsia="SimSun" w:cs="SimSun"/>
                <w:sz w:val="20"/>
                <w:szCs w:val="20"/>
                <w:spacing w:val="4"/>
              </w:rPr>
              <w:t>炉（一用一备）进行了批复；以锡署环审</w:t>
            </w:r>
          </w:p>
          <w:p>
            <w:pPr>
              <w:pStyle w:val="TableText"/>
              <w:ind w:left="813"/>
              <w:spacing w:before="26" w:line="229" w:lineRule="auto"/>
              <w:rPr>
                <w:rFonts w:ascii="SimSun" w:hAnsi="SimSun" w:eastAsia="SimSun" w:cs="SimSun"/>
              </w:rPr>
            </w:pPr>
            <w:r>
              <w:rPr>
                <w:rFonts w:ascii="SimSun" w:hAnsi="SimSun" w:eastAsia="SimSun" w:cs="SimSun"/>
                <w:spacing w:val="5"/>
              </w:rPr>
              <w:t>表〔</w:t>
            </w:r>
            <w:r>
              <w:rPr>
                <w:spacing w:val="5"/>
              </w:rPr>
              <w:t>2013</w:t>
            </w:r>
            <w:r>
              <w:rPr>
                <w:rFonts w:ascii="SimSun" w:hAnsi="SimSun" w:eastAsia="SimSun" w:cs="SimSun"/>
                <w:spacing w:val="5"/>
              </w:rPr>
              <w:t>〕</w:t>
            </w:r>
            <w:r>
              <w:rPr>
                <w:spacing w:val="5"/>
              </w:rPr>
              <w:t>28 </w:t>
            </w:r>
            <w:r>
              <w:rPr>
                <w:rFonts w:ascii="SimSun" w:hAnsi="SimSun" w:eastAsia="SimSun" w:cs="SimSun"/>
                <w:spacing w:val="5"/>
              </w:rPr>
              <w:t>号文对</w:t>
            </w:r>
            <w:r>
              <w:rPr>
                <w:rFonts w:ascii="SimSun" w:hAnsi="SimSun" w:eastAsia="SimSun" w:cs="SimSun"/>
                <w:spacing w:val="-33"/>
              </w:rPr>
              <w:t xml:space="preserve"> </w:t>
            </w:r>
            <w:r>
              <w:rPr>
                <w:spacing w:val="5"/>
              </w:rPr>
              <w:t>2</w:t>
            </w:r>
            <w:r>
              <w:rPr>
                <w:spacing w:val="26"/>
                <w:w w:val="101"/>
              </w:rPr>
              <w:t xml:space="preserve"> </w:t>
            </w:r>
            <w:r>
              <w:rPr>
                <w:rFonts w:ascii="SimSun" w:hAnsi="SimSun" w:eastAsia="SimSun" w:cs="SimSun"/>
                <w:spacing w:val="5"/>
              </w:rPr>
              <w:t>台</w:t>
            </w:r>
          </w:p>
          <w:p>
            <w:pPr>
              <w:pStyle w:val="TableText"/>
              <w:ind w:left="209"/>
              <w:spacing w:before="23" w:line="228" w:lineRule="auto"/>
              <w:rPr>
                <w:rFonts w:ascii="SimSun" w:hAnsi="SimSun" w:eastAsia="SimSun" w:cs="SimSun"/>
              </w:rPr>
            </w:pPr>
            <w:r>
              <w:rPr/>
              <w:t>DZW</w:t>
            </w:r>
            <w:r>
              <w:rPr>
                <w:spacing w:val="7"/>
              </w:rPr>
              <w:t>7.0-1.0/95/70-H </w:t>
            </w:r>
            <w:r>
              <w:rPr>
                <w:rFonts w:ascii="SimSun" w:hAnsi="SimSun" w:eastAsia="SimSun" w:cs="SimSun"/>
                <w:spacing w:val="7"/>
              </w:rPr>
              <w:t>热水锅炉（</w:t>
            </w:r>
            <w:r>
              <w:rPr>
                <w:rFonts w:ascii="SimSun" w:hAnsi="SimSun" w:eastAsia="SimSun" w:cs="SimSun"/>
                <w:spacing w:val="6"/>
              </w:rPr>
              <w:t>一用一</w:t>
            </w:r>
          </w:p>
          <w:p>
            <w:pPr>
              <w:pStyle w:val="TableText"/>
              <w:ind w:left="149"/>
              <w:spacing w:before="24" w:line="228" w:lineRule="auto"/>
              <w:rPr>
                <w:rFonts w:ascii="SimSun" w:hAnsi="SimSun" w:eastAsia="SimSun" w:cs="SimSun"/>
              </w:rPr>
            </w:pPr>
            <w:r>
              <w:rPr>
                <w:rFonts w:ascii="SimSun" w:hAnsi="SimSun" w:eastAsia="SimSun" w:cs="SimSun"/>
                <w:spacing w:val="4"/>
              </w:rPr>
              <w:t>备）进行了批复。</w:t>
            </w:r>
            <w:r>
              <w:rPr>
                <w:spacing w:val="4"/>
              </w:rPr>
              <w:t>2013 </w:t>
            </w:r>
            <w:r>
              <w:rPr>
                <w:rFonts w:ascii="SimSun" w:hAnsi="SimSun" w:eastAsia="SimSun" w:cs="SimSun"/>
                <w:spacing w:val="4"/>
              </w:rPr>
              <w:t>年</w:t>
            </w:r>
            <w:r>
              <w:rPr>
                <w:rFonts w:ascii="SimSun" w:hAnsi="SimSun" w:eastAsia="SimSun" w:cs="SimSun"/>
                <w:spacing w:val="-15"/>
              </w:rPr>
              <w:t xml:space="preserve"> </w:t>
            </w:r>
            <w:r>
              <w:rPr>
                <w:spacing w:val="4"/>
              </w:rPr>
              <w:t>10</w:t>
            </w:r>
            <w:r>
              <w:rPr>
                <w:spacing w:val="17"/>
                <w:w w:val="101"/>
              </w:rPr>
              <w:t xml:space="preserve"> </w:t>
            </w:r>
            <w:r>
              <w:rPr>
                <w:rFonts w:ascii="SimSun" w:hAnsi="SimSun" w:eastAsia="SimSun" w:cs="SimSun"/>
                <w:spacing w:val="4"/>
              </w:rPr>
              <w:t>月，锡林郭</w:t>
            </w:r>
          </w:p>
          <w:p>
            <w:pPr>
              <w:pStyle w:val="TableText"/>
              <w:ind w:left="185"/>
              <w:spacing w:before="27" w:line="228" w:lineRule="auto"/>
              <w:rPr>
                <w:rFonts w:ascii="SimSun" w:hAnsi="SimSun" w:eastAsia="SimSun" w:cs="SimSun"/>
              </w:rPr>
            </w:pPr>
            <w:r>
              <w:rPr>
                <w:rFonts w:ascii="SimSun" w:hAnsi="SimSun" w:eastAsia="SimSun" w:cs="SimSun"/>
                <w:spacing w:val="7"/>
              </w:rPr>
              <w:t>盟环境保护局以锡环验〔</w:t>
            </w:r>
            <w:r>
              <w:rPr>
                <w:spacing w:val="7"/>
              </w:rPr>
              <w:t>2013</w:t>
            </w:r>
            <w:r>
              <w:rPr>
                <w:rFonts w:ascii="SimSun" w:hAnsi="SimSun" w:eastAsia="SimSun" w:cs="SimSun"/>
                <w:spacing w:val="7"/>
              </w:rPr>
              <w:t>〕</w:t>
            </w:r>
            <w:r>
              <w:rPr>
                <w:spacing w:val="7"/>
              </w:rPr>
              <w:t>15 </w:t>
            </w:r>
            <w:r>
              <w:rPr>
                <w:rFonts w:ascii="SimSun" w:hAnsi="SimSun" w:eastAsia="SimSun" w:cs="SimSun"/>
                <w:spacing w:val="7"/>
              </w:rPr>
              <w:t>号文</w:t>
            </w:r>
          </w:p>
          <w:p>
            <w:pPr>
              <w:pStyle w:val="TableText"/>
              <w:ind w:left="146"/>
              <w:spacing w:before="24" w:line="228" w:lineRule="auto"/>
              <w:rPr>
                <w:rFonts w:ascii="SimSun" w:hAnsi="SimSun" w:eastAsia="SimSun" w:cs="SimSun"/>
              </w:rPr>
            </w:pPr>
            <w:r>
              <w:rPr>
                <w:rFonts w:ascii="SimSun" w:hAnsi="SimSun" w:eastAsia="SimSun" w:cs="SimSun"/>
                <w:spacing w:val="2"/>
              </w:rPr>
              <w:t>对以上</w:t>
            </w:r>
            <w:r>
              <w:rPr>
                <w:rFonts w:ascii="SimSun" w:hAnsi="SimSun" w:eastAsia="SimSun" w:cs="SimSun"/>
                <w:spacing w:val="-22"/>
              </w:rPr>
              <w:t xml:space="preserve"> </w:t>
            </w:r>
            <w:r>
              <w:rPr>
                <w:spacing w:val="2"/>
              </w:rPr>
              <w:t>6</w:t>
            </w:r>
            <w:r>
              <w:rPr>
                <w:spacing w:val="26"/>
              </w:rPr>
              <w:t xml:space="preserve"> </w:t>
            </w:r>
            <w:r>
              <w:rPr>
                <w:rFonts w:ascii="SimSun" w:hAnsi="SimSun" w:eastAsia="SimSun" w:cs="SimSun"/>
                <w:spacing w:val="2"/>
              </w:rPr>
              <w:t>台锅炉进行了竣工环保验收。在</w:t>
            </w:r>
          </w:p>
          <w:p>
            <w:pPr>
              <w:ind w:left="147"/>
              <w:spacing w:before="24" w:line="227" w:lineRule="auto"/>
              <w:rPr>
                <w:rFonts w:ascii="SimSun" w:hAnsi="SimSun" w:eastAsia="SimSun" w:cs="SimSun"/>
                <w:sz w:val="20"/>
                <w:szCs w:val="20"/>
              </w:rPr>
            </w:pPr>
            <w:r>
              <w:rPr>
                <w:rFonts w:ascii="SimSun" w:hAnsi="SimSun" w:eastAsia="SimSun" w:cs="SimSun"/>
                <w:sz w:val="20"/>
                <w:szCs w:val="20"/>
                <w:spacing w:val="5"/>
              </w:rPr>
              <w:t>执行新标准前改进脱硫除尘设施，建议采</w:t>
            </w:r>
          </w:p>
          <w:p>
            <w:pPr>
              <w:pStyle w:val="TableText"/>
              <w:ind w:left="751"/>
              <w:spacing w:before="30" w:line="207" w:lineRule="auto"/>
              <w:rPr>
                <w:rFonts w:ascii="SimSun" w:hAnsi="SimSun" w:eastAsia="SimSun" w:cs="SimSun"/>
              </w:rPr>
            </w:pPr>
            <w:r>
              <w:rPr>
                <w:rFonts w:ascii="SimSun" w:hAnsi="SimSun" w:eastAsia="SimSun" w:cs="SimSun"/>
                <w:spacing w:val="8"/>
              </w:rPr>
              <w:t>用布袋除尘及</w:t>
            </w:r>
            <w:r>
              <w:rPr>
                <w:spacing w:val="8"/>
              </w:rPr>
              <w:t>“</w:t>
            </w:r>
            <w:r>
              <w:rPr>
                <w:rFonts w:ascii="SimSun" w:hAnsi="SimSun" w:eastAsia="SimSun" w:cs="SimSun"/>
                <w:spacing w:val="8"/>
              </w:rPr>
              <w:t>双碱法</w:t>
            </w:r>
            <w:r>
              <w:rPr>
                <w:spacing w:val="8"/>
              </w:rPr>
              <w:t>”</w:t>
            </w:r>
            <w:r>
              <w:rPr>
                <w:rFonts w:ascii="SimSun" w:hAnsi="SimSun" w:eastAsia="SimSun" w:cs="SimSun"/>
                <w:spacing w:val="8"/>
              </w:rPr>
              <w:t>脱硫</w:t>
            </w:r>
          </w:p>
        </w:tc>
        <w:tc>
          <w:tcPr>
            <w:tcW w:w="104" w:type="dxa"/>
            <w:vAlign w:val="top"/>
            <w:tcBorders>
              <w:left w:val="nil"/>
              <w:bottom w:val="nil"/>
              <w:right w:val="nil"/>
              <w:top w:val="nil"/>
            </w:tcBorders>
          </w:tcPr>
          <w:p>
            <w:pPr>
              <w:rPr>
                <w:rFonts w:ascii="Arial"/>
                <w:sz w:val="21"/>
              </w:rPr>
            </w:pPr>
            <w:r/>
          </w:p>
        </w:tc>
        <w:tc>
          <w:tcPr>
            <w:tcW w:w="3773"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1034"/>
              <w:spacing w:before="65" w:line="228" w:lineRule="auto"/>
              <w:rPr>
                <w:rFonts w:ascii="SimSun" w:hAnsi="SimSun" w:eastAsia="SimSun" w:cs="SimSun"/>
                <w:sz w:val="20"/>
                <w:szCs w:val="20"/>
              </w:rPr>
            </w:pPr>
            <w:r>
              <w:rPr>
                <w:rFonts w:ascii="SimSun" w:hAnsi="SimSun" w:eastAsia="SimSun" w:cs="SimSun"/>
                <w:sz w:val="20"/>
                <w:szCs w:val="20"/>
                <w:spacing w:val="8"/>
              </w:rPr>
              <w:t>利用金山电厂余热</w:t>
            </w:r>
          </w:p>
        </w:tc>
      </w:tr>
      <w:tr>
        <w:trPr>
          <w:trHeight w:val="833" w:hRule="atLeast"/>
        </w:trPr>
        <w:tc>
          <w:tcPr>
            <w:tcW w:w="1124" w:type="dxa"/>
            <w:vAlign w:val="top"/>
          </w:tcPr>
          <w:p>
            <w:pPr>
              <w:ind w:left="463" w:right="142" w:hanging="314"/>
              <w:spacing w:before="178" w:line="257" w:lineRule="auto"/>
              <w:rPr>
                <w:rFonts w:ascii="SimSun" w:hAnsi="SimSun" w:eastAsia="SimSun" w:cs="SimSun"/>
                <w:sz w:val="20"/>
                <w:szCs w:val="20"/>
              </w:rPr>
            </w:pPr>
            <w:r>
              <w:rPr>
                <w:rFonts w:ascii="SimSun" w:hAnsi="SimSun" w:eastAsia="SimSun" w:cs="SimSun"/>
                <w:sz w:val="20"/>
                <w:szCs w:val="20"/>
                <w:spacing w:val="6"/>
              </w:rPr>
              <w:t>水污染治</w:t>
            </w:r>
            <w:r>
              <w:rPr>
                <w:rFonts w:ascii="SimSun" w:hAnsi="SimSun" w:eastAsia="SimSun" w:cs="SimSun"/>
                <w:sz w:val="20"/>
                <w:szCs w:val="20"/>
              </w:rPr>
              <w:t>理</w:t>
            </w:r>
          </w:p>
        </w:tc>
        <w:tc>
          <w:tcPr>
            <w:tcW w:w="1427" w:type="dxa"/>
            <w:vAlign w:val="top"/>
          </w:tcPr>
          <w:p>
            <w:pPr>
              <w:ind w:left="517" w:right="390" w:hanging="108"/>
              <w:spacing w:before="178" w:line="254" w:lineRule="auto"/>
              <w:rPr>
                <w:rFonts w:ascii="SimSun" w:hAnsi="SimSun" w:eastAsia="SimSun" w:cs="SimSun"/>
                <w:sz w:val="20"/>
                <w:szCs w:val="20"/>
              </w:rPr>
            </w:pPr>
            <w:r>
              <w:rPr>
                <w:rFonts w:ascii="SimSun" w:hAnsi="SimSun" w:eastAsia="SimSun" w:cs="SimSun"/>
                <w:sz w:val="20"/>
                <w:szCs w:val="20"/>
                <w:spacing w:val="7"/>
              </w:rPr>
              <w:t>矿坑水</w:t>
            </w:r>
            <w:r>
              <w:rPr>
                <w:rFonts w:ascii="SimSun" w:hAnsi="SimSun" w:eastAsia="SimSun" w:cs="SimSun"/>
                <w:sz w:val="20"/>
                <w:szCs w:val="20"/>
                <w:spacing w:val="2"/>
              </w:rPr>
              <w:t>处理</w:t>
            </w:r>
          </w:p>
        </w:tc>
        <w:tc>
          <w:tcPr>
            <w:tcW w:w="3953" w:type="dxa"/>
            <w:vAlign w:val="top"/>
          </w:tcPr>
          <w:p>
            <w:pPr>
              <w:ind w:left="219"/>
              <w:spacing w:before="178" w:line="228" w:lineRule="auto"/>
              <w:rPr>
                <w:rFonts w:ascii="SimSun" w:hAnsi="SimSun" w:eastAsia="SimSun" w:cs="SimSun"/>
                <w:sz w:val="20"/>
                <w:szCs w:val="20"/>
              </w:rPr>
            </w:pPr>
            <w:r>
              <w:rPr>
                <w:rFonts w:ascii="SimSun" w:hAnsi="SimSun" w:eastAsia="SimSun" w:cs="SimSun"/>
                <w:sz w:val="20"/>
                <w:szCs w:val="20"/>
                <w:spacing w:val="9"/>
              </w:rPr>
              <w:t>坑内水处理间经旋流沉砂器和水力循环</w:t>
            </w:r>
          </w:p>
          <w:p>
            <w:pPr>
              <w:ind w:left="1688"/>
              <w:spacing w:before="24" w:line="228" w:lineRule="auto"/>
              <w:rPr>
                <w:rFonts w:ascii="SimSun" w:hAnsi="SimSun" w:eastAsia="SimSun" w:cs="SimSun"/>
                <w:sz w:val="20"/>
                <w:szCs w:val="20"/>
              </w:rPr>
            </w:pPr>
            <w:r>
              <w:rPr>
                <w:rFonts w:ascii="SimSun" w:hAnsi="SimSun" w:eastAsia="SimSun" w:cs="SimSun"/>
                <w:sz w:val="20"/>
                <w:szCs w:val="20"/>
                <w:spacing w:val="6"/>
              </w:rPr>
              <w:t>澄清池</w:t>
            </w:r>
          </w:p>
        </w:tc>
        <w:tc>
          <w:tcPr>
            <w:tcW w:w="3879" w:type="dxa"/>
            <w:vAlign w:val="top"/>
            <w:tcBorders>
              <w:right w:val="nil"/>
            </w:tcBorders>
          </w:tcPr>
          <w:p>
            <w:pPr>
              <w:pStyle w:val="TableText"/>
              <w:ind w:left="146" w:right="38" w:firstLine="12"/>
              <w:spacing w:before="42"/>
              <w:jc w:val="both"/>
              <w:rPr>
                <w:rFonts w:ascii="SimSun" w:hAnsi="SimSun" w:eastAsia="SimSun" w:cs="SimSun"/>
              </w:rPr>
            </w:pPr>
            <w:r>
              <w:rPr>
                <w:rFonts w:ascii="SimSun" w:hAnsi="SimSun" w:eastAsia="SimSun" w:cs="SimSun"/>
                <w:spacing w:val="4"/>
              </w:rPr>
              <w:t>采掘场坑下设</w:t>
            </w:r>
            <w:r>
              <w:rPr>
                <w:rFonts w:ascii="SimSun" w:hAnsi="SimSun" w:eastAsia="SimSun" w:cs="SimSun"/>
                <w:spacing w:val="-23"/>
              </w:rPr>
              <w:t xml:space="preserve"> </w:t>
            </w:r>
            <w:r>
              <w:rPr>
                <w:spacing w:val="4"/>
              </w:rPr>
              <w:t>1 </w:t>
            </w:r>
            <w:r>
              <w:rPr>
                <w:rFonts w:ascii="SimSun" w:hAnsi="SimSun" w:eastAsia="SimSun" w:cs="SimSun"/>
                <w:spacing w:val="4"/>
              </w:rPr>
              <w:t>座</w:t>
            </w:r>
            <w:r>
              <w:rPr>
                <w:rFonts w:ascii="SimSun" w:hAnsi="SimSun" w:eastAsia="SimSun" w:cs="SimSun"/>
                <w:spacing w:val="-38"/>
              </w:rPr>
              <w:t xml:space="preserve"> </w:t>
            </w:r>
            <w:r>
              <w:rPr>
                <w:spacing w:val="4"/>
              </w:rPr>
              <w:t>5000m</w:t>
            </w:r>
            <w:r>
              <w:rPr>
                <w:sz w:val="13"/>
                <w:szCs w:val="13"/>
                <w:spacing w:val="4"/>
                <w:position w:val="6"/>
              </w:rPr>
              <w:t>3  </w:t>
            </w:r>
            <w:r>
              <w:rPr>
                <w:rFonts w:ascii="SimSun" w:hAnsi="SimSun" w:eastAsia="SimSun" w:cs="SimSun"/>
                <w:spacing w:val="4"/>
              </w:rPr>
              <w:t>的矩形钢筋混</w:t>
            </w:r>
            <w:r>
              <w:rPr>
                <w:rFonts w:ascii="SimSun" w:hAnsi="SimSun" w:eastAsia="SimSun" w:cs="SimSun"/>
                <w:spacing w:val="3"/>
              </w:rPr>
              <w:t>凝土的沉淀池，即</w:t>
            </w:r>
            <w:r>
              <w:rPr>
                <w:rFonts w:ascii="SimSun" w:hAnsi="SimSun" w:eastAsia="SimSun" w:cs="SimSun"/>
                <w:spacing w:val="-23"/>
              </w:rPr>
              <w:t xml:space="preserve"> </w:t>
            </w:r>
            <w:r>
              <w:rPr>
                <w:spacing w:val="3"/>
              </w:rPr>
              <w:t>927 </w:t>
            </w:r>
            <w:r>
              <w:rPr>
                <w:rFonts w:ascii="SimSun" w:hAnsi="SimSun" w:eastAsia="SimSun" w:cs="SimSun"/>
                <w:spacing w:val="3"/>
              </w:rPr>
              <w:t>集水坑，建设一座</w:t>
            </w:r>
            <w:r>
              <w:rPr>
                <w:rFonts w:ascii="SimSun" w:hAnsi="SimSun" w:eastAsia="SimSun" w:cs="SimSun"/>
                <w:spacing w:val="5"/>
              </w:rPr>
              <w:t>矿坑水处理站，采用复合分离剂絮凝沉淀</w:t>
            </w:r>
          </w:p>
        </w:tc>
        <w:tc>
          <w:tcPr>
            <w:tcW w:w="104" w:type="dxa"/>
            <w:vAlign w:val="top"/>
            <w:tcBorders>
              <w:left w:val="nil"/>
              <w:bottom w:val="nil"/>
              <w:right w:val="nil"/>
              <w:top w:val="nil"/>
            </w:tcBorders>
          </w:tcPr>
          <w:p>
            <w:pPr>
              <w:rPr>
                <w:rFonts w:ascii="Arial"/>
                <w:sz w:val="21"/>
              </w:rPr>
            </w:pPr>
            <w:r/>
          </w:p>
        </w:tc>
        <w:tc>
          <w:tcPr>
            <w:tcW w:w="3773" w:type="dxa"/>
            <w:vAlign w:val="top"/>
          </w:tcPr>
          <w:p>
            <w:pPr>
              <w:pStyle w:val="TableText"/>
              <w:ind w:left="80" w:right="52" w:firstLine="11"/>
              <w:spacing w:before="42"/>
              <w:jc w:val="both"/>
              <w:rPr>
                <w:rFonts w:ascii="SimSun" w:hAnsi="SimSun" w:eastAsia="SimSun" w:cs="SimSun"/>
              </w:rPr>
            </w:pPr>
            <w:r>
              <w:rPr>
                <w:rFonts w:ascii="SimSun" w:hAnsi="SimSun" w:eastAsia="SimSun" w:cs="SimSun"/>
                <w:spacing w:val="8"/>
              </w:rPr>
              <w:t>项目现有</w:t>
            </w:r>
            <w:r>
              <w:rPr>
                <w:rFonts w:ascii="SimSun" w:hAnsi="SimSun" w:eastAsia="SimSun" w:cs="SimSun"/>
                <w:spacing w:val="-38"/>
              </w:rPr>
              <w:t xml:space="preserve"> </w:t>
            </w:r>
            <w:r>
              <w:rPr>
                <w:spacing w:val="8"/>
              </w:rPr>
              <w:t>2 </w:t>
            </w:r>
            <w:r>
              <w:rPr>
                <w:rFonts w:ascii="SimSun" w:hAnsi="SimSun" w:eastAsia="SimSun" w:cs="SimSun"/>
                <w:spacing w:val="8"/>
              </w:rPr>
              <w:t>座矿井（坑）水处理厂，一</w:t>
            </w:r>
            <w:r>
              <w:rPr>
                <w:rFonts w:ascii="SimSun" w:hAnsi="SimSun" w:eastAsia="SimSun" w:cs="SimSun"/>
              </w:rPr>
              <w:t>座处理规模</w:t>
            </w:r>
            <w:r>
              <w:rPr>
                <w:rFonts w:ascii="SimSun" w:hAnsi="SimSun" w:eastAsia="SimSun" w:cs="SimSun"/>
                <w:spacing w:val="-39"/>
              </w:rPr>
              <w:t xml:space="preserve"> </w:t>
            </w:r>
            <w:r>
              <w:rPr/>
              <w:t>8640m</w:t>
            </w:r>
            <w:r>
              <w:rPr>
                <w:sz w:val="13"/>
                <w:szCs w:val="13"/>
                <w:position w:val="6"/>
              </w:rPr>
              <w:t>3</w:t>
            </w:r>
            <w:r>
              <w:rPr/>
              <w:t>/d</w:t>
            </w:r>
            <w:r>
              <w:rPr>
                <w:rFonts w:ascii="SimSun" w:hAnsi="SimSun" w:eastAsia="SimSun" w:cs="SimSun"/>
              </w:rPr>
              <w:t>，处理站设备</w:t>
            </w:r>
            <w:r>
              <w:rPr>
                <w:rFonts w:ascii="SimSun" w:hAnsi="SimSun" w:eastAsia="SimSun" w:cs="SimSun"/>
                <w:spacing w:val="-1"/>
              </w:rPr>
              <w:t>老化，</w:t>
            </w:r>
            <w:r>
              <w:rPr>
                <w:rFonts w:ascii="SimSun" w:hAnsi="SimSun" w:eastAsia="SimSun" w:cs="SimSun"/>
                <w:spacing w:val="9"/>
              </w:rPr>
              <w:t>处理效果下降，已作为备用处理设施。</w:t>
            </w:r>
          </w:p>
        </w:tc>
      </w:tr>
    </w:tbl>
    <w:p>
      <w:pPr>
        <w:pStyle w:val="BodyText"/>
        <w:rPr/>
      </w:pPr>
      <w:r/>
    </w:p>
    <w:p>
      <w:pPr>
        <w:sectPr>
          <w:footerReference w:type="default" r:id="rId91"/>
          <w:pgSz w:w="16838" w:h="11906"/>
          <w:pgMar w:top="1169" w:right="1417" w:bottom="1080" w:left="1130" w:header="836" w:footer="917" w:gutter="0"/>
        </w:sectPr>
        <w:rPr/>
      </w:pPr>
    </w:p>
    <w:p>
      <w:pPr>
        <w:spacing w:before="7"/>
        <w:rPr/>
      </w:pPr>
      <w:r/>
    </w:p>
    <w:tbl>
      <w:tblPr>
        <w:tblStyle w:val="TableNormal"/>
        <w:tblW w:w="14260"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0"/>
        <w:gridCol w:w="1435"/>
        <w:gridCol w:w="3975"/>
        <w:gridCol w:w="3913"/>
        <w:gridCol w:w="3807"/>
      </w:tblGrid>
      <w:tr>
        <w:trPr>
          <w:trHeight w:val="808" w:hRule="atLeast"/>
        </w:trPr>
        <w:tc>
          <w:tcPr>
            <w:tcW w:w="1130" w:type="dxa"/>
            <w:vAlign w:val="top"/>
            <w:vMerge w:val="restart"/>
            <w:tcBorders>
              <w:bottom w:val="nil"/>
            </w:tcBorders>
          </w:tcPr>
          <w:p>
            <w:pPr>
              <w:rPr>
                <w:rFonts w:ascii="Arial"/>
                <w:sz w:val="21"/>
              </w:rPr>
            </w:pPr>
            <w:r/>
          </w:p>
        </w:tc>
        <w:tc>
          <w:tcPr>
            <w:tcW w:w="1435" w:type="dxa"/>
            <w:vAlign w:val="top"/>
          </w:tcPr>
          <w:p>
            <w:pPr>
              <w:rPr>
                <w:rFonts w:ascii="Arial"/>
                <w:sz w:val="21"/>
              </w:rPr>
            </w:pPr>
            <w:r/>
          </w:p>
        </w:tc>
        <w:tc>
          <w:tcPr>
            <w:tcW w:w="3975" w:type="dxa"/>
            <w:vAlign w:val="top"/>
          </w:tcPr>
          <w:p>
            <w:pPr>
              <w:rPr>
                <w:rFonts w:ascii="Arial"/>
                <w:sz w:val="21"/>
              </w:rPr>
            </w:pPr>
            <w:r/>
          </w:p>
        </w:tc>
        <w:tc>
          <w:tcPr>
            <w:tcW w:w="3913" w:type="dxa"/>
            <w:vAlign w:val="top"/>
          </w:tcPr>
          <w:p>
            <w:pPr>
              <w:pStyle w:val="TableText"/>
              <w:ind w:left="348"/>
              <w:spacing w:before="33" w:line="228" w:lineRule="auto"/>
              <w:rPr>
                <w:rFonts w:ascii="SimSun" w:hAnsi="SimSun" w:eastAsia="SimSun" w:cs="SimSun"/>
              </w:rPr>
            </w:pPr>
            <w:r>
              <w:rPr>
                <w:rFonts w:ascii="SimSun" w:hAnsi="SimSun" w:eastAsia="SimSun" w:cs="SimSun"/>
                <w:spacing w:val="7"/>
              </w:rPr>
              <w:t>工艺，处理能力为</w:t>
            </w:r>
            <w:r>
              <w:rPr>
                <w:rFonts w:ascii="SimSun" w:hAnsi="SimSun" w:eastAsia="SimSun" w:cs="SimSun"/>
                <w:spacing w:val="-36"/>
              </w:rPr>
              <w:t xml:space="preserve"> </w:t>
            </w:r>
            <w:r>
              <w:rPr>
                <w:spacing w:val="7"/>
              </w:rPr>
              <w:t>360m</w:t>
            </w:r>
            <w:r>
              <w:rPr>
                <w:sz w:val="13"/>
                <w:szCs w:val="13"/>
                <w:spacing w:val="7"/>
                <w:position w:val="6"/>
              </w:rPr>
              <w:t>3</w:t>
            </w:r>
            <w:r>
              <w:rPr>
                <w:spacing w:val="7"/>
              </w:rPr>
              <w:t>/h</w:t>
            </w:r>
            <w:r>
              <w:rPr>
                <w:spacing w:val="-26"/>
              </w:rPr>
              <w:t xml:space="preserve"> </w:t>
            </w:r>
            <w:r>
              <w:rPr>
                <w:rFonts w:ascii="SimSun" w:hAnsi="SimSun" w:eastAsia="SimSun" w:cs="SimSun"/>
                <w:spacing w:val="-12"/>
              </w:rPr>
              <w:t>，（</w:t>
            </w:r>
            <w:r>
              <w:rPr>
                <w:spacing w:val="7"/>
              </w:rPr>
              <w:t>3 </w:t>
            </w:r>
            <w:r>
              <w:rPr>
                <w:rFonts w:ascii="SimSun" w:hAnsi="SimSun" w:eastAsia="SimSun" w:cs="SimSun"/>
                <w:spacing w:val="7"/>
              </w:rPr>
              <w:t>套</w:t>
            </w:r>
          </w:p>
          <w:p>
            <w:pPr>
              <w:pStyle w:val="TableText"/>
              <w:ind w:left="1517"/>
              <w:spacing w:before="24"/>
              <w:rPr>
                <w:rFonts w:ascii="SimSun" w:hAnsi="SimSun" w:eastAsia="SimSun" w:cs="SimSun"/>
              </w:rPr>
            </w:pPr>
            <w:r>
              <w:rPr>
                <w:spacing w:val="1"/>
              </w:rPr>
              <w:t>120m</w:t>
            </w:r>
            <w:r>
              <w:rPr>
                <w:sz w:val="13"/>
                <w:szCs w:val="13"/>
                <w:spacing w:val="1"/>
                <w:position w:val="6"/>
              </w:rPr>
              <w:t>3</w:t>
            </w:r>
            <w:r>
              <w:rPr>
                <w:spacing w:val="1"/>
              </w:rPr>
              <w:t>/h</w:t>
            </w:r>
            <w:r>
              <w:rPr>
                <w:rFonts w:ascii="SimSun" w:hAnsi="SimSun" w:eastAsia="SimSun" w:cs="SimSun"/>
                <w:spacing w:val="1"/>
              </w:rPr>
              <w:t>）</w:t>
            </w:r>
          </w:p>
        </w:tc>
        <w:tc>
          <w:tcPr>
            <w:tcW w:w="3807" w:type="dxa"/>
            <w:vAlign w:val="top"/>
          </w:tcPr>
          <w:p>
            <w:pPr>
              <w:pStyle w:val="TableText"/>
              <w:ind w:left="323" w:right="157" w:hanging="157"/>
              <w:spacing w:before="33" w:line="252" w:lineRule="auto"/>
              <w:rPr>
                <w:rFonts w:ascii="SimSun" w:hAnsi="SimSun" w:eastAsia="SimSun" w:cs="SimSun"/>
              </w:rPr>
            </w:pPr>
            <w:r>
              <w:rPr>
                <w:rFonts w:ascii="SimSun" w:hAnsi="SimSun" w:eastAsia="SimSun" w:cs="SimSun"/>
                <w:spacing w:val="4"/>
              </w:rPr>
              <w:t>一座处理规模</w:t>
            </w:r>
            <w:r>
              <w:rPr>
                <w:rFonts w:ascii="SimSun" w:hAnsi="SimSun" w:eastAsia="SimSun" w:cs="SimSun"/>
                <w:spacing w:val="-12"/>
              </w:rPr>
              <w:t xml:space="preserve"> </w:t>
            </w:r>
            <w:r>
              <w:rPr>
                <w:spacing w:val="4"/>
              </w:rPr>
              <w:t>18000m</w:t>
            </w:r>
            <w:r>
              <w:rPr>
                <w:sz w:val="13"/>
                <w:szCs w:val="13"/>
                <w:spacing w:val="4"/>
                <w:position w:val="6"/>
              </w:rPr>
              <w:t>3</w:t>
            </w:r>
            <w:r>
              <w:rPr>
                <w:spacing w:val="4"/>
              </w:rPr>
              <w:t>/d</w:t>
            </w:r>
            <w:r>
              <w:rPr>
                <w:spacing w:val="-21"/>
              </w:rPr>
              <w:t xml:space="preserve"> </w:t>
            </w:r>
            <w:r>
              <w:rPr>
                <w:rFonts w:ascii="SimSun" w:hAnsi="SimSun" w:eastAsia="SimSun" w:cs="SimSun"/>
                <w:spacing w:val="4"/>
              </w:rPr>
              <w:t>，采用絮凝沉</w:t>
            </w:r>
            <w:r>
              <w:rPr>
                <w:rFonts w:ascii="SimSun" w:hAnsi="SimSun" w:eastAsia="SimSun" w:cs="SimSun"/>
                <w:spacing w:val="7"/>
              </w:rPr>
              <w:t>淀</w:t>
            </w:r>
            <w:r>
              <w:rPr>
                <w:spacing w:val="7"/>
              </w:rPr>
              <w:t>+</w:t>
            </w:r>
            <w:r>
              <w:rPr>
                <w:rFonts w:ascii="SimSun" w:hAnsi="SimSun" w:eastAsia="SimSun" w:cs="SimSun"/>
                <w:spacing w:val="7"/>
              </w:rPr>
              <w:t>气浮处理</w:t>
            </w:r>
            <w:r>
              <w:rPr>
                <w:spacing w:val="7"/>
              </w:rPr>
              <w:t>+</w:t>
            </w:r>
            <w:r>
              <w:rPr>
                <w:rFonts w:ascii="SimSun" w:hAnsi="SimSun" w:eastAsia="SimSun" w:cs="SimSun"/>
                <w:spacing w:val="7"/>
              </w:rPr>
              <w:t>一体化净水器工艺。</w:t>
            </w:r>
          </w:p>
        </w:tc>
      </w:tr>
      <w:tr>
        <w:trPr>
          <w:trHeight w:val="1367" w:hRule="atLeast"/>
        </w:trPr>
        <w:tc>
          <w:tcPr>
            <w:tcW w:w="1130" w:type="dxa"/>
            <w:vAlign w:val="top"/>
            <w:vMerge w:val="continue"/>
            <w:tcBorders>
              <w:top w:val="nil"/>
            </w:tcBorders>
          </w:tcPr>
          <w:p>
            <w:pPr>
              <w:rPr>
                <w:rFonts w:ascii="Arial"/>
                <w:sz w:val="21"/>
              </w:rPr>
            </w:pPr>
            <w:r/>
          </w:p>
        </w:tc>
        <w:tc>
          <w:tcPr>
            <w:tcW w:w="1435" w:type="dxa"/>
            <w:vAlign w:val="top"/>
          </w:tcPr>
          <w:p>
            <w:pPr>
              <w:spacing w:line="372" w:lineRule="auto"/>
              <w:rPr>
                <w:rFonts w:ascii="Arial"/>
                <w:sz w:val="21"/>
              </w:rPr>
            </w:pPr>
            <w:r/>
          </w:p>
          <w:p>
            <w:pPr>
              <w:ind w:left="614" w:right="196" w:hanging="420"/>
              <w:spacing w:before="65" w:line="257" w:lineRule="auto"/>
              <w:rPr>
                <w:rFonts w:ascii="SimSun" w:hAnsi="SimSun" w:eastAsia="SimSun" w:cs="SimSun"/>
                <w:sz w:val="20"/>
                <w:szCs w:val="20"/>
              </w:rPr>
            </w:pPr>
            <w:r>
              <w:rPr>
                <w:rFonts w:ascii="SimSun" w:hAnsi="SimSun" w:eastAsia="SimSun" w:cs="SimSun"/>
                <w:sz w:val="20"/>
                <w:szCs w:val="20"/>
                <w:spacing w:val="7"/>
              </w:rPr>
              <w:t>生活污水处</w:t>
            </w:r>
            <w:r>
              <w:rPr>
                <w:rFonts w:ascii="SimSun" w:hAnsi="SimSun" w:eastAsia="SimSun" w:cs="SimSun"/>
                <w:sz w:val="20"/>
                <w:szCs w:val="20"/>
              </w:rPr>
              <w:t>理</w:t>
            </w:r>
          </w:p>
        </w:tc>
        <w:tc>
          <w:tcPr>
            <w:tcW w:w="3975" w:type="dxa"/>
            <w:vAlign w:val="top"/>
          </w:tcPr>
          <w:p>
            <w:pPr>
              <w:spacing w:line="384" w:lineRule="auto"/>
              <w:rPr>
                <w:rFonts w:ascii="Arial"/>
                <w:sz w:val="21"/>
              </w:rPr>
            </w:pPr>
            <w:r/>
          </w:p>
          <w:p>
            <w:pPr>
              <w:pStyle w:val="TableText"/>
              <w:ind w:left="273"/>
              <w:spacing w:before="65" w:line="228" w:lineRule="auto"/>
              <w:rPr>
                <w:rFonts w:ascii="SimSun" w:hAnsi="SimSun" w:eastAsia="SimSun" w:cs="SimSun"/>
              </w:rPr>
            </w:pPr>
            <w:r>
              <w:rPr>
                <w:rFonts w:ascii="SimSun" w:hAnsi="SimSun" w:eastAsia="SimSun" w:cs="SimSun"/>
                <w:spacing w:val="-5"/>
              </w:rPr>
              <w:t>一套</w:t>
            </w:r>
            <w:r>
              <w:rPr>
                <w:spacing w:val="-5"/>
              </w:rPr>
              <w:t>ZWB-20 </w:t>
            </w:r>
            <w:r>
              <w:rPr>
                <w:rFonts w:ascii="SimSun" w:hAnsi="SimSun" w:eastAsia="SimSun" w:cs="SimSun"/>
                <w:spacing w:val="-5"/>
              </w:rPr>
              <w:t>型污水处理设备，处理量为</w:t>
            </w:r>
          </w:p>
          <w:p>
            <w:pPr>
              <w:pStyle w:val="TableText"/>
              <w:ind w:left="1713"/>
              <w:spacing w:before="31" w:line="213" w:lineRule="auto"/>
              <w:rPr/>
            </w:pPr>
            <w:r>
              <w:rPr>
                <w:spacing w:val="-4"/>
              </w:rPr>
              <w:t>20m</w:t>
            </w:r>
            <w:r>
              <w:rPr>
                <w:sz w:val="13"/>
                <w:szCs w:val="13"/>
                <w:spacing w:val="-4"/>
                <w:position w:val="6"/>
              </w:rPr>
              <w:t>3</w:t>
            </w:r>
            <w:r>
              <w:rPr>
                <w:spacing w:val="-4"/>
              </w:rPr>
              <w:t>/h</w:t>
            </w:r>
          </w:p>
        </w:tc>
        <w:tc>
          <w:tcPr>
            <w:tcW w:w="3913" w:type="dxa"/>
            <w:vAlign w:val="top"/>
          </w:tcPr>
          <w:p>
            <w:pPr>
              <w:pStyle w:val="TableText"/>
              <w:ind w:left="160"/>
              <w:spacing w:before="164" w:line="228" w:lineRule="auto"/>
              <w:rPr>
                <w:rFonts w:ascii="SimSun" w:hAnsi="SimSun" w:eastAsia="SimSun" w:cs="SimSun"/>
              </w:rPr>
            </w:pPr>
            <w:r>
              <w:rPr>
                <w:rFonts w:ascii="SimSun" w:hAnsi="SimSun" w:eastAsia="SimSun" w:cs="SimSun"/>
                <w:spacing w:val="4"/>
              </w:rPr>
              <w:t>一套</w:t>
            </w:r>
            <w:r>
              <w:rPr>
                <w:rFonts w:ascii="SimSun" w:hAnsi="SimSun" w:eastAsia="SimSun" w:cs="SimSun"/>
                <w:spacing w:val="-36"/>
              </w:rPr>
              <w:t xml:space="preserve"> </w:t>
            </w:r>
            <w:r>
              <w:rPr/>
              <w:t>MBR</w:t>
            </w:r>
            <w:r>
              <w:rPr>
                <w:spacing w:val="4"/>
              </w:rPr>
              <w:t>-15</w:t>
            </w:r>
            <w:r>
              <w:rPr>
                <w:spacing w:val="16"/>
                <w:w w:val="101"/>
              </w:rPr>
              <w:t xml:space="preserve"> </w:t>
            </w:r>
            <w:r>
              <w:rPr>
                <w:rFonts w:ascii="SimSun" w:hAnsi="SimSun" w:eastAsia="SimSun" w:cs="SimSun"/>
                <w:spacing w:val="4"/>
              </w:rPr>
              <w:t>型（处理量为</w:t>
            </w:r>
            <w:r>
              <w:rPr>
                <w:rFonts w:ascii="SimSun" w:hAnsi="SimSun" w:eastAsia="SimSun" w:cs="SimSun"/>
                <w:spacing w:val="-21"/>
              </w:rPr>
              <w:t xml:space="preserve"> </w:t>
            </w:r>
            <w:r>
              <w:rPr>
                <w:spacing w:val="4"/>
              </w:rPr>
              <w:t>15m</w:t>
            </w:r>
            <w:r>
              <w:rPr>
                <w:sz w:val="13"/>
                <w:szCs w:val="13"/>
                <w:spacing w:val="4"/>
                <w:position w:val="6"/>
              </w:rPr>
              <w:t>3</w:t>
            </w:r>
            <w:r>
              <w:rPr>
                <w:spacing w:val="4"/>
              </w:rPr>
              <w:t>/h</w:t>
            </w:r>
            <w:r>
              <w:rPr>
                <w:rFonts w:ascii="SimSun" w:hAnsi="SimSun" w:eastAsia="SimSun" w:cs="SimSun"/>
                <w:spacing w:val="4"/>
              </w:rPr>
              <w:t>）、</w:t>
            </w:r>
          </w:p>
          <w:p>
            <w:pPr>
              <w:pStyle w:val="TableText"/>
              <w:ind w:left="160"/>
              <w:spacing w:before="29" w:line="228" w:lineRule="auto"/>
              <w:rPr>
                <w:rFonts w:ascii="SimSun" w:hAnsi="SimSun" w:eastAsia="SimSun" w:cs="SimSun"/>
              </w:rPr>
            </w:pPr>
            <w:r>
              <w:rPr>
                <w:rFonts w:ascii="SimSun" w:hAnsi="SimSun" w:eastAsia="SimSun" w:cs="SimSun"/>
                <w:spacing w:val="7"/>
              </w:rPr>
              <w:t>一套</w:t>
            </w:r>
            <w:r>
              <w:rPr>
                <w:rFonts w:ascii="SimSun" w:hAnsi="SimSun" w:eastAsia="SimSun" w:cs="SimSun"/>
                <w:spacing w:val="-38"/>
              </w:rPr>
              <w:t xml:space="preserve"> </w:t>
            </w:r>
            <w:r>
              <w:rPr/>
              <w:t>MBR</w:t>
            </w:r>
            <w:r>
              <w:rPr>
                <w:spacing w:val="7"/>
              </w:rPr>
              <w:t>-20</w:t>
            </w:r>
            <w:r>
              <w:rPr>
                <w:spacing w:val="17"/>
              </w:rPr>
              <w:t xml:space="preserve"> </w:t>
            </w:r>
            <w:r>
              <w:rPr>
                <w:rFonts w:ascii="SimSun" w:hAnsi="SimSun" w:eastAsia="SimSun" w:cs="SimSun"/>
                <w:spacing w:val="7"/>
              </w:rPr>
              <w:t>型（处理量为</w:t>
            </w:r>
            <w:r>
              <w:rPr>
                <w:rFonts w:ascii="SimSun" w:hAnsi="SimSun" w:eastAsia="SimSun" w:cs="SimSun"/>
                <w:spacing w:val="-41"/>
              </w:rPr>
              <w:t xml:space="preserve"> </w:t>
            </w:r>
            <w:r>
              <w:rPr>
                <w:spacing w:val="7"/>
              </w:rPr>
              <w:t>20m</w:t>
            </w:r>
            <w:r>
              <w:rPr>
                <w:sz w:val="13"/>
                <w:szCs w:val="13"/>
                <w:spacing w:val="7"/>
                <w:position w:val="7"/>
              </w:rPr>
              <w:t>3</w:t>
            </w:r>
            <w:r>
              <w:rPr>
                <w:spacing w:val="7"/>
              </w:rPr>
              <w:t>/h</w:t>
            </w:r>
            <w:r>
              <w:rPr>
                <w:rFonts w:ascii="SimSun" w:hAnsi="SimSun" w:eastAsia="SimSun" w:cs="SimSun"/>
                <w:spacing w:val="7"/>
              </w:rPr>
              <w:t>）的</w:t>
            </w:r>
          </w:p>
          <w:p>
            <w:pPr>
              <w:ind w:left="112"/>
              <w:spacing w:before="23" w:line="227" w:lineRule="auto"/>
              <w:rPr>
                <w:rFonts w:ascii="SimSun" w:hAnsi="SimSun" w:eastAsia="SimSun" w:cs="SimSun"/>
                <w:sz w:val="20"/>
                <w:szCs w:val="20"/>
              </w:rPr>
            </w:pPr>
            <w:r>
              <w:rPr>
                <w:rFonts w:ascii="SimSun" w:hAnsi="SimSun" w:eastAsia="SimSun" w:cs="SimSun"/>
                <w:sz w:val="20"/>
                <w:szCs w:val="20"/>
                <w:spacing w:val="4"/>
              </w:rPr>
              <w:t>污水处理设备，工艺均为生化接触氧化法</w:t>
            </w:r>
          </w:p>
          <w:p>
            <w:pPr>
              <w:ind w:left="1545"/>
              <w:spacing w:before="27" w:line="232" w:lineRule="auto"/>
              <w:rPr>
                <w:rFonts w:ascii="SimSun" w:hAnsi="SimSun" w:eastAsia="SimSun" w:cs="SimSun"/>
                <w:sz w:val="20"/>
                <w:szCs w:val="20"/>
              </w:rPr>
            </w:pPr>
            <w:r>
              <w:rPr>
                <w:rFonts w:ascii="SimSun" w:hAnsi="SimSun" w:eastAsia="SimSun" w:cs="SimSun"/>
                <w:sz w:val="20"/>
                <w:szCs w:val="20"/>
                <w:spacing w:val="6"/>
              </w:rPr>
              <w:t>处理工艺</w:t>
            </w:r>
          </w:p>
        </w:tc>
        <w:tc>
          <w:tcPr>
            <w:tcW w:w="3807" w:type="dxa"/>
            <w:vAlign w:val="top"/>
          </w:tcPr>
          <w:p>
            <w:pPr>
              <w:pStyle w:val="TableText"/>
              <w:ind w:left="157"/>
              <w:spacing w:before="31" w:line="228" w:lineRule="auto"/>
              <w:rPr>
                <w:rFonts w:ascii="SimSun" w:hAnsi="SimSun" w:eastAsia="SimSun" w:cs="SimSun"/>
              </w:rPr>
            </w:pPr>
            <w:r>
              <w:rPr>
                <w:rFonts w:ascii="SimSun" w:hAnsi="SimSun" w:eastAsia="SimSun" w:cs="SimSun"/>
                <w:spacing w:val="6"/>
              </w:rPr>
              <w:t>目前使用的是一套</w:t>
            </w:r>
            <w:r>
              <w:rPr>
                <w:rFonts w:ascii="SimSun" w:hAnsi="SimSun" w:eastAsia="SimSun" w:cs="SimSun"/>
                <w:spacing w:val="-42"/>
              </w:rPr>
              <w:t xml:space="preserve"> </w:t>
            </w:r>
            <w:r>
              <w:rPr/>
              <w:t>MBR</w:t>
            </w:r>
            <w:r>
              <w:rPr>
                <w:spacing w:val="6"/>
              </w:rPr>
              <w:t>-50</w:t>
            </w:r>
            <w:r>
              <w:rPr>
                <w:spacing w:val="16"/>
                <w:w w:val="101"/>
              </w:rPr>
              <w:t xml:space="preserve"> </w:t>
            </w:r>
            <w:r>
              <w:rPr>
                <w:rFonts w:ascii="SimSun" w:hAnsi="SimSun" w:eastAsia="SimSun" w:cs="SimSun"/>
                <w:spacing w:val="6"/>
              </w:rPr>
              <w:t>型（处理量</w:t>
            </w:r>
          </w:p>
          <w:p>
            <w:pPr>
              <w:pStyle w:val="TableText"/>
              <w:ind w:left="115"/>
              <w:spacing w:before="24" w:line="228" w:lineRule="auto"/>
              <w:rPr>
                <w:rFonts w:ascii="SimSun" w:hAnsi="SimSun" w:eastAsia="SimSun" w:cs="SimSun"/>
              </w:rPr>
            </w:pPr>
            <w:r>
              <w:rPr>
                <w:rFonts w:ascii="SimSun" w:hAnsi="SimSun" w:eastAsia="SimSun" w:cs="SimSun"/>
                <w:spacing w:val="7"/>
              </w:rPr>
              <w:t>为</w:t>
            </w:r>
            <w:r>
              <w:rPr>
                <w:rFonts w:ascii="SimSun" w:hAnsi="SimSun" w:eastAsia="SimSun" w:cs="SimSun"/>
                <w:spacing w:val="-38"/>
              </w:rPr>
              <w:t xml:space="preserve"> </w:t>
            </w:r>
            <w:r>
              <w:rPr>
                <w:spacing w:val="7"/>
              </w:rPr>
              <w:t>50m</w:t>
            </w:r>
            <w:r>
              <w:rPr>
                <w:sz w:val="13"/>
                <w:szCs w:val="13"/>
                <w:spacing w:val="7"/>
                <w:position w:val="6"/>
              </w:rPr>
              <w:t>3</w:t>
            </w:r>
            <w:r>
              <w:rPr>
                <w:spacing w:val="7"/>
              </w:rPr>
              <w:t>/h</w:t>
            </w:r>
            <w:r>
              <w:rPr>
                <w:rFonts w:ascii="SimSun" w:hAnsi="SimSun" w:eastAsia="SimSun" w:cs="SimSun"/>
                <w:spacing w:val="7"/>
              </w:rPr>
              <w:t>）的污水处理设备，工艺为生</w:t>
            </w:r>
          </w:p>
          <w:p>
            <w:pPr>
              <w:pStyle w:val="TableText"/>
              <w:ind w:left="144"/>
              <w:spacing w:before="26" w:line="227" w:lineRule="auto"/>
              <w:rPr/>
            </w:pPr>
            <w:r>
              <w:rPr>
                <w:rFonts w:ascii="SimSun" w:hAnsi="SimSun" w:eastAsia="SimSun" w:cs="SimSun"/>
                <w:spacing w:val="9"/>
              </w:rPr>
              <w:t>化接触氧化法处理工艺、一套</w:t>
            </w:r>
            <w:r>
              <w:rPr>
                <w:rFonts w:ascii="SimSun" w:hAnsi="SimSun" w:eastAsia="SimSun" w:cs="SimSun"/>
                <w:spacing w:val="-36"/>
              </w:rPr>
              <w:t xml:space="preserve"> </w:t>
            </w:r>
            <w:r>
              <w:rPr/>
              <w:t>MBR</w:t>
            </w:r>
            <w:r>
              <w:rPr>
                <w:spacing w:val="9"/>
              </w:rPr>
              <w:t>-20</w:t>
            </w:r>
          </w:p>
          <w:p>
            <w:pPr>
              <w:pStyle w:val="TableText"/>
              <w:ind w:left="119"/>
              <w:spacing w:before="24" w:line="228" w:lineRule="auto"/>
              <w:rPr>
                <w:rFonts w:ascii="SimSun" w:hAnsi="SimSun" w:eastAsia="SimSun" w:cs="SimSun"/>
              </w:rPr>
            </w:pPr>
            <w:r>
              <w:rPr>
                <w:rFonts w:ascii="SimSun" w:hAnsi="SimSun" w:eastAsia="SimSun" w:cs="SimSun"/>
                <w:spacing w:val="7"/>
              </w:rPr>
              <w:t>型（处理量为</w:t>
            </w:r>
            <w:r>
              <w:rPr>
                <w:rFonts w:ascii="SimSun" w:hAnsi="SimSun" w:eastAsia="SimSun" w:cs="SimSun"/>
                <w:spacing w:val="-41"/>
              </w:rPr>
              <w:t xml:space="preserve"> </w:t>
            </w:r>
            <w:r>
              <w:rPr>
                <w:spacing w:val="7"/>
              </w:rPr>
              <w:t>20m</w:t>
            </w:r>
            <w:r>
              <w:rPr>
                <w:sz w:val="13"/>
                <w:szCs w:val="13"/>
                <w:spacing w:val="7"/>
                <w:position w:val="6"/>
              </w:rPr>
              <w:t>3</w:t>
            </w:r>
            <w:r>
              <w:rPr>
                <w:spacing w:val="7"/>
              </w:rPr>
              <w:t>/h</w:t>
            </w:r>
            <w:r>
              <w:rPr>
                <w:rFonts w:ascii="SimSun" w:hAnsi="SimSun" w:eastAsia="SimSun" w:cs="SimSun"/>
                <w:spacing w:val="7"/>
              </w:rPr>
              <w:t>）的污水处理设备</w:t>
            </w:r>
          </w:p>
          <w:p>
            <w:pPr>
              <w:ind w:left="1488"/>
              <w:spacing w:before="28" w:line="217" w:lineRule="auto"/>
              <w:rPr>
                <w:rFonts w:ascii="SimSun" w:hAnsi="SimSun" w:eastAsia="SimSun" w:cs="SimSun"/>
                <w:sz w:val="20"/>
                <w:szCs w:val="20"/>
              </w:rPr>
            </w:pPr>
            <w:r>
              <w:rPr>
                <w:rFonts w:ascii="SimSun" w:hAnsi="SimSun" w:eastAsia="SimSun" w:cs="SimSun"/>
                <w:sz w:val="20"/>
                <w:szCs w:val="20"/>
                <w:spacing w:val="7"/>
              </w:rPr>
              <w:t>作为备用</w:t>
            </w:r>
          </w:p>
        </w:tc>
      </w:tr>
      <w:tr>
        <w:trPr>
          <w:trHeight w:val="1086" w:hRule="atLeast"/>
        </w:trPr>
        <w:tc>
          <w:tcPr>
            <w:tcW w:w="1130" w:type="dxa"/>
            <w:vAlign w:val="top"/>
          </w:tcPr>
          <w:p>
            <w:pPr>
              <w:ind w:left="358" w:right="251" w:hanging="106"/>
              <w:spacing w:before="298" w:line="255" w:lineRule="auto"/>
              <w:rPr>
                <w:rFonts w:ascii="SimSun" w:hAnsi="SimSun" w:eastAsia="SimSun" w:cs="SimSun"/>
                <w:sz w:val="20"/>
                <w:szCs w:val="20"/>
              </w:rPr>
            </w:pPr>
            <w:r>
              <w:rPr>
                <w:rFonts w:ascii="SimSun" w:hAnsi="SimSun" w:eastAsia="SimSun" w:cs="SimSun"/>
                <w:sz w:val="20"/>
                <w:szCs w:val="20"/>
                <w:spacing w:val="6"/>
              </w:rPr>
              <w:t>地下水</w:t>
            </w:r>
            <w:r>
              <w:rPr>
                <w:rFonts w:ascii="SimSun" w:hAnsi="SimSun" w:eastAsia="SimSun" w:cs="SimSun"/>
                <w:sz w:val="20"/>
                <w:szCs w:val="20"/>
                <w:spacing w:val="4"/>
              </w:rPr>
              <w:t>监测</w:t>
            </w:r>
          </w:p>
        </w:tc>
        <w:tc>
          <w:tcPr>
            <w:tcW w:w="1435" w:type="dxa"/>
            <w:vAlign w:val="top"/>
          </w:tcPr>
          <w:p>
            <w:pPr>
              <w:spacing w:line="369" w:lineRule="auto"/>
              <w:rPr>
                <w:rFonts w:ascii="Arial"/>
                <w:sz w:val="21"/>
              </w:rPr>
            </w:pPr>
            <w:r/>
          </w:p>
          <w:p>
            <w:pPr>
              <w:ind w:left="405"/>
              <w:spacing w:before="65" w:line="228" w:lineRule="auto"/>
              <w:rPr>
                <w:rFonts w:ascii="SimSun" w:hAnsi="SimSun" w:eastAsia="SimSun" w:cs="SimSun"/>
                <w:sz w:val="20"/>
                <w:szCs w:val="20"/>
              </w:rPr>
            </w:pPr>
            <w:r>
              <w:rPr>
                <w:rFonts w:ascii="SimSun" w:hAnsi="SimSun" w:eastAsia="SimSun" w:cs="SimSun"/>
                <w:sz w:val="20"/>
                <w:szCs w:val="20"/>
                <w:spacing w:val="6"/>
              </w:rPr>
              <w:t>监测井</w:t>
            </w:r>
          </w:p>
        </w:tc>
        <w:tc>
          <w:tcPr>
            <w:tcW w:w="3975" w:type="dxa"/>
            <w:vAlign w:val="top"/>
          </w:tcPr>
          <w:p>
            <w:pPr>
              <w:spacing w:line="408" w:lineRule="auto"/>
              <w:rPr>
                <w:rFonts w:ascii="Arial"/>
                <w:sz w:val="21"/>
              </w:rPr>
            </w:pPr>
            <w:r/>
          </w:p>
          <w:p>
            <w:pPr>
              <w:pStyle w:val="TableText"/>
              <w:ind w:left="1954"/>
              <w:spacing w:before="57" w:line="199" w:lineRule="auto"/>
              <w:rPr/>
            </w:pPr>
            <w:r>
              <w:rPr>
                <w:spacing w:val="2"/>
              </w:rPr>
              <w:t>/</w:t>
            </w:r>
          </w:p>
        </w:tc>
        <w:tc>
          <w:tcPr>
            <w:tcW w:w="3913" w:type="dxa"/>
            <w:vAlign w:val="top"/>
          </w:tcPr>
          <w:p>
            <w:pPr>
              <w:spacing w:line="408" w:lineRule="auto"/>
              <w:rPr>
                <w:rFonts w:ascii="Arial"/>
                <w:sz w:val="21"/>
              </w:rPr>
            </w:pPr>
            <w:r/>
          </w:p>
          <w:p>
            <w:pPr>
              <w:pStyle w:val="TableText"/>
              <w:ind w:left="1924"/>
              <w:spacing w:before="57" w:line="199" w:lineRule="auto"/>
              <w:rPr/>
            </w:pPr>
            <w:r>
              <w:rPr>
                <w:spacing w:val="2"/>
              </w:rPr>
              <w:t>/</w:t>
            </w:r>
          </w:p>
        </w:tc>
        <w:tc>
          <w:tcPr>
            <w:tcW w:w="3807" w:type="dxa"/>
            <w:vAlign w:val="top"/>
          </w:tcPr>
          <w:p>
            <w:pPr>
              <w:spacing w:line="368" w:lineRule="auto"/>
              <w:rPr>
                <w:rFonts w:ascii="Arial"/>
                <w:sz w:val="21"/>
              </w:rPr>
            </w:pPr>
            <w:r/>
          </w:p>
          <w:p>
            <w:pPr>
              <w:pStyle w:val="TableText"/>
              <w:ind w:left="651"/>
              <w:spacing w:before="65" w:line="228" w:lineRule="auto"/>
              <w:rPr>
                <w:rFonts w:ascii="SimSun" w:hAnsi="SimSun" w:eastAsia="SimSun" w:cs="SimSun"/>
              </w:rPr>
            </w:pPr>
            <w:r>
              <w:rPr>
                <w:rFonts w:ascii="SimSun" w:hAnsi="SimSun" w:eastAsia="SimSun" w:cs="SimSun"/>
                <w:spacing w:val="7"/>
              </w:rPr>
              <w:t>设有</w:t>
            </w:r>
            <w:r>
              <w:rPr>
                <w:rFonts w:ascii="SimSun" w:hAnsi="SimSun" w:eastAsia="SimSun" w:cs="SimSun"/>
                <w:spacing w:val="-34"/>
              </w:rPr>
              <w:t xml:space="preserve"> </w:t>
            </w:r>
            <w:r>
              <w:rPr>
                <w:spacing w:val="7"/>
              </w:rPr>
              <w:t>6 </w:t>
            </w:r>
            <w:r>
              <w:rPr>
                <w:rFonts w:ascii="SimSun" w:hAnsi="SimSun" w:eastAsia="SimSun" w:cs="SimSun"/>
                <w:spacing w:val="7"/>
              </w:rPr>
              <w:t>个地下水水质监测井</w:t>
            </w:r>
          </w:p>
        </w:tc>
      </w:tr>
      <w:tr>
        <w:trPr>
          <w:trHeight w:val="1098" w:hRule="atLeast"/>
        </w:trPr>
        <w:tc>
          <w:tcPr>
            <w:tcW w:w="1130" w:type="dxa"/>
            <w:vAlign w:val="top"/>
            <w:vMerge w:val="restart"/>
            <w:tcBorders>
              <w:bottom w:val="nil"/>
            </w:tcBorders>
          </w:tcPr>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ind w:left="362" w:right="148" w:hanging="213"/>
              <w:spacing w:before="65" w:line="259" w:lineRule="auto"/>
              <w:rPr>
                <w:rFonts w:ascii="SimSun" w:hAnsi="SimSun" w:eastAsia="SimSun" w:cs="SimSun"/>
                <w:sz w:val="20"/>
                <w:szCs w:val="20"/>
              </w:rPr>
            </w:pPr>
            <w:r>
              <w:rPr>
                <w:rFonts w:ascii="SimSun" w:hAnsi="SimSun" w:eastAsia="SimSun" w:cs="SimSun"/>
                <w:sz w:val="20"/>
                <w:szCs w:val="20"/>
                <w:spacing w:val="6"/>
              </w:rPr>
              <w:t>大气污染</w:t>
            </w:r>
            <w:r>
              <w:rPr>
                <w:rFonts w:ascii="SimSun" w:hAnsi="SimSun" w:eastAsia="SimSun" w:cs="SimSun"/>
                <w:sz w:val="20"/>
                <w:szCs w:val="20"/>
                <w:spacing w:val="2"/>
              </w:rPr>
              <w:t>治理</w:t>
            </w:r>
          </w:p>
        </w:tc>
        <w:tc>
          <w:tcPr>
            <w:tcW w:w="1435" w:type="dxa"/>
            <w:vAlign w:val="top"/>
          </w:tcPr>
          <w:p>
            <w:pPr>
              <w:ind w:left="508" w:right="106" w:hanging="399"/>
              <w:spacing w:before="304" w:line="255" w:lineRule="auto"/>
              <w:rPr>
                <w:rFonts w:ascii="SimSun" w:hAnsi="SimSun" w:eastAsia="SimSun" w:cs="SimSun"/>
                <w:sz w:val="20"/>
                <w:szCs w:val="20"/>
              </w:rPr>
            </w:pPr>
            <w:r>
              <w:rPr>
                <w:rFonts w:ascii="SimSun" w:hAnsi="SimSun" w:eastAsia="SimSun" w:cs="SimSun"/>
                <w:sz w:val="20"/>
                <w:szCs w:val="20"/>
                <w:spacing w:val="2"/>
              </w:rPr>
              <w:t>锅炉房除尘、</w:t>
            </w:r>
            <w:r>
              <w:rPr>
                <w:rFonts w:ascii="SimSun" w:hAnsi="SimSun" w:eastAsia="SimSun" w:cs="SimSun"/>
                <w:sz w:val="20"/>
                <w:szCs w:val="20"/>
                <w:spacing w:val="4"/>
              </w:rPr>
              <w:t>脱硫</w:t>
            </w:r>
          </w:p>
        </w:tc>
        <w:tc>
          <w:tcPr>
            <w:tcW w:w="3975" w:type="dxa"/>
            <w:vAlign w:val="top"/>
          </w:tcPr>
          <w:p>
            <w:pPr>
              <w:spacing w:line="416" w:lineRule="auto"/>
              <w:rPr>
                <w:rFonts w:ascii="Arial"/>
                <w:sz w:val="21"/>
              </w:rPr>
            </w:pPr>
            <w:r/>
          </w:p>
          <w:p>
            <w:pPr>
              <w:pStyle w:val="TableText"/>
              <w:ind w:left="1954"/>
              <w:spacing w:before="57" w:line="199" w:lineRule="auto"/>
              <w:rPr/>
            </w:pPr>
            <w:r>
              <w:rPr>
                <w:spacing w:val="2"/>
              </w:rPr>
              <w:t>/</w:t>
            </w:r>
          </w:p>
        </w:tc>
        <w:tc>
          <w:tcPr>
            <w:tcW w:w="3913" w:type="dxa"/>
            <w:vAlign w:val="top"/>
          </w:tcPr>
          <w:p>
            <w:pPr>
              <w:pStyle w:val="TableText"/>
              <w:ind w:left="119" w:right="106" w:hanging="5"/>
              <w:spacing w:before="171" w:line="251" w:lineRule="auto"/>
              <w:jc w:val="both"/>
              <w:rPr>
                <w:rFonts w:ascii="SimSun" w:hAnsi="SimSun" w:eastAsia="SimSun" w:cs="SimSun"/>
              </w:rPr>
            </w:pPr>
            <w:r>
              <w:rPr>
                <w:rFonts w:ascii="SimSun" w:hAnsi="SimSun" w:eastAsia="SimSun" w:cs="SimSun"/>
                <w:spacing w:val="2"/>
              </w:rPr>
              <w:t>设</w:t>
            </w:r>
            <w:r>
              <w:rPr>
                <w:rFonts w:ascii="SimSun" w:hAnsi="SimSun" w:eastAsia="SimSun" w:cs="SimSun"/>
                <w:spacing w:val="-50"/>
              </w:rPr>
              <w:t xml:space="preserve"> </w:t>
            </w:r>
            <w:r>
              <w:rPr>
                <w:spacing w:val="2"/>
              </w:rPr>
              <w:t>2</w:t>
            </w:r>
            <w:r>
              <w:rPr>
                <w:spacing w:val="21"/>
                <w:w w:val="101"/>
              </w:rPr>
              <w:t xml:space="preserve"> </w:t>
            </w:r>
            <w:r>
              <w:rPr>
                <w:rFonts w:ascii="SimSun" w:hAnsi="SimSun" w:eastAsia="SimSun" w:cs="SimSun"/>
                <w:spacing w:val="2"/>
              </w:rPr>
              <w:t>台</w:t>
            </w:r>
            <w:r>
              <w:rPr>
                <w:rFonts w:ascii="SimSun" w:hAnsi="SimSun" w:eastAsia="SimSun" w:cs="SimSun"/>
                <w:spacing w:val="-30"/>
              </w:rPr>
              <w:t xml:space="preserve"> </w:t>
            </w:r>
            <w:r>
              <w:rPr>
                <w:spacing w:val="2"/>
              </w:rPr>
              <w:t>10t/h  </w:t>
            </w:r>
            <w:r>
              <w:rPr>
                <w:rFonts w:ascii="SimSun" w:hAnsi="SimSun" w:eastAsia="SimSun" w:cs="SimSun"/>
                <w:spacing w:val="2"/>
              </w:rPr>
              <w:t>热水锅炉和</w:t>
            </w:r>
            <w:r>
              <w:rPr>
                <w:rFonts w:ascii="SimSun" w:hAnsi="SimSun" w:eastAsia="SimSun" w:cs="SimSun"/>
                <w:spacing w:val="-51"/>
              </w:rPr>
              <w:t xml:space="preserve"> </w:t>
            </w:r>
            <w:r>
              <w:rPr>
                <w:spacing w:val="2"/>
              </w:rPr>
              <w:t>2</w:t>
            </w:r>
            <w:r>
              <w:rPr>
                <w:spacing w:val="21"/>
                <w:w w:val="101"/>
              </w:rPr>
              <w:t xml:space="preserve"> </w:t>
            </w:r>
            <w:r>
              <w:rPr>
                <w:rFonts w:ascii="SimSun" w:hAnsi="SimSun" w:eastAsia="SimSun" w:cs="SimSun"/>
                <w:spacing w:val="2"/>
              </w:rPr>
              <w:t>台</w:t>
            </w:r>
            <w:r>
              <w:rPr>
                <w:rFonts w:ascii="SimSun" w:hAnsi="SimSun" w:eastAsia="SimSun" w:cs="SimSun"/>
                <w:spacing w:val="-46"/>
              </w:rPr>
              <w:t xml:space="preserve"> </w:t>
            </w:r>
            <w:r>
              <w:rPr>
                <w:spacing w:val="2"/>
              </w:rPr>
              <w:t>6t/h </w:t>
            </w:r>
            <w:r>
              <w:rPr>
                <w:rFonts w:ascii="SimSun" w:hAnsi="SimSun" w:eastAsia="SimSun" w:cs="SimSun"/>
                <w:spacing w:val="1"/>
              </w:rPr>
              <w:t>热水锅</w:t>
            </w:r>
            <w:r>
              <w:rPr>
                <w:rFonts w:ascii="SimSun" w:hAnsi="SimSun" w:eastAsia="SimSun" w:cs="SimSun"/>
                <w:spacing w:val="4"/>
              </w:rPr>
              <w:t>炉和</w:t>
            </w:r>
            <w:r>
              <w:rPr>
                <w:rFonts w:ascii="SimSun" w:hAnsi="SimSun" w:eastAsia="SimSun" w:cs="SimSun"/>
                <w:spacing w:val="-28"/>
              </w:rPr>
              <w:t xml:space="preserve"> </w:t>
            </w:r>
            <w:r>
              <w:rPr>
                <w:spacing w:val="4"/>
              </w:rPr>
              <w:t>2</w:t>
            </w:r>
            <w:r>
              <w:rPr>
                <w:spacing w:val="29"/>
              </w:rPr>
              <w:t xml:space="preserve"> </w:t>
            </w:r>
            <w:r>
              <w:rPr>
                <w:rFonts w:ascii="SimSun" w:hAnsi="SimSun" w:eastAsia="SimSun" w:cs="SimSun"/>
                <w:spacing w:val="4"/>
              </w:rPr>
              <w:t>台</w:t>
            </w:r>
            <w:r>
              <w:rPr>
                <w:rFonts w:ascii="SimSun" w:hAnsi="SimSun" w:eastAsia="SimSun" w:cs="SimSun"/>
                <w:spacing w:val="-23"/>
              </w:rPr>
              <w:t xml:space="preserve"> </w:t>
            </w:r>
            <w:r>
              <w:rPr>
                <w:spacing w:val="4"/>
              </w:rPr>
              <w:t>10t/h </w:t>
            </w:r>
            <w:r>
              <w:rPr>
                <w:rFonts w:ascii="SimSun" w:hAnsi="SimSun" w:eastAsia="SimSun" w:cs="SimSun"/>
                <w:spacing w:val="4"/>
              </w:rPr>
              <w:t>热水锅炉，每台锅炉均采</w:t>
            </w:r>
            <w:r>
              <w:rPr>
                <w:rFonts w:ascii="SimSun" w:hAnsi="SimSun" w:eastAsia="SimSun" w:cs="SimSun"/>
                <w:spacing w:val="9"/>
              </w:rPr>
              <w:t>用多管除尘器</w:t>
            </w:r>
            <w:r>
              <w:rPr>
                <w:spacing w:val="9"/>
              </w:rPr>
              <w:t>+</w:t>
            </w:r>
            <w:r>
              <w:rPr>
                <w:rFonts w:ascii="SimSun" w:hAnsi="SimSun" w:eastAsia="SimSun" w:cs="SimSun"/>
                <w:spacing w:val="9"/>
              </w:rPr>
              <w:t>湿式脱硫除尘器两级除尘</w:t>
            </w:r>
          </w:p>
        </w:tc>
        <w:tc>
          <w:tcPr>
            <w:tcW w:w="3807" w:type="dxa"/>
            <w:vAlign w:val="top"/>
          </w:tcPr>
          <w:p>
            <w:pPr>
              <w:spacing w:line="374" w:lineRule="auto"/>
              <w:rPr>
                <w:rFonts w:ascii="Arial"/>
                <w:sz w:val="21"/>
              </w:rPr>
            </w:pPr>
            <w:r/>
          </w:p>
          <w:p>
            <w:pPr>
              <w:ind w:left="1487"/>
              <w:spacing w:before="65" w:line="228" w:lineRule="auto"/>
              <w:rPr>
                <w:rFonts w:ascii="SimSun" w:hAnsi="SimSun" w:eastAsia="SimSun" w:cs="SimSun"/>
                <w:sz w:val="20"/>
                <w:szCs w:val="20"/>
              </w:rPr>
            </w:pPr>
            <w:r>
              <w:rPr>
                <w:rFonts w:ascii="SimSun" w:hAnsi="SimSun" w:eastAsia="SimSun" w:cs="SimSun"/>
                <w:sz w:val="20"/>
                <w:szCs w:val="20"/>
                <w:spacing w:val="7"/>
              </w:rPr>
              <w:t>锅炉停用</w:t>
            </w:r>
          </w:p>
        </w:tc>
      </w:tr>
      <w:tr>
        <w:trPr>
          <w:trHeight w:val="549"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520" w:right="404" w:hanging="117"/>
              <w:spacing w:before="34" w:line="233" w:lineRule="auto"/>
              <w:rPr>
                <w:rFonts w:ascii="SimSun" w:hAnsi="SimSun" w:eastAsia="SimSun" w:cs="SimSun"/>
                <w:sz w:val="20"/>
                <w:szCs w:val="20"/>
              </w:rPr>
            </w:pPr>
            <w:r>
              <w:rPr>
                <w:rFonts w:ascii="SimSun" w:hAnsi="SimSun" w:eastAsia="SimSun" w:cs="SimSun"/>
                <w:sz w:val="20"/>
                <w:szCs w:val="20"/>
                <w:spacing w:val="7"/>
              </w:rPr>
              <w:t>储煤场</w:t>
            </w:r>
            <w:r>
              <w:rPr>
                <w:rFonts w:ascii="SimSun" w:hAnsi="SimSun" w:eastAsia="SimSun" w:cs="SimSun"/>
                <w:sz w:val="20"/>
                <w:szCs w:val="20"/>
                <w:spacing w:val="-2"/>
              </w:rPr>
              <w:t>防尘</w:t>
            </w:r>
          </w:p>
        </w:tc>
        <w:tc>
          <w:tcPr>
            <w:tcW w:w="3975" w:type="dxa"/>
            <w:vAlign w:val="top"/>
          </w:tcPr>
          <w:p>
            <w:pPr>
              <w:ind w:left="1363"/>
              <w:spacing w:before="169" w:line="228" w:lineRule="auto"/>
              <w:rPr>
                <w:rFonts w:ascii="SimSun" w:hAnsi="SimSun" w:eastAsia="SimSun" w:cs="SimSun"/>
                <w:sz w:val="20"/>
                <w:szCs w:val="20"/>
              </w:rPr>
            </w:pPr>
            <w:r>
              <w:rPr>
                <w:rFonts w:ascii="SimSun" w:hAnsi="SimSun" w:eastAsia="SimSun" w:cs="SimSun"/>
                <w:sz w:val="20"/>
                <w:szCs w:val="20"/>
                <w:spacing w:val="7"/>
              </w:rPr>
              <w:t>未设置储煤场</w:t>
            </w:r>
          </w:p>
        </w:tc>
        <w:tc>
          <w:tcPr>
            <w:tcW w:w="3913" w:type="dxa"/>
            <w:vAlign w:val="top"/>
          </w:tcPr>
          <w:p>
            <w:pPr>
              <w:ind w:left="1333"/>
              <w:spacing w:before="169" w:line="228" w:lineRule="auto"/>
              <w:rPr>
                <w:rFonts w:ascii="SimSun" w:hAnsi="SimSun" w:eastAsia="SimSun" w:cs="SimSun"/>
                <w:sz w:val="20"/>
                <w:szCs w:val="20"/>
              </w:rPr>
            </w:pPr>
            <w:r>
              <w:rPr>
                <w:rFonts w:ascii="SimSun" w:hAnsi="SimSun" w:eastAsia="SimSun" w:cs="SimSun"/>
                <w:sz w:val="20"/>
                <w:szCs w:val="20"/>
                <w:spacing w:val="7"/>
              </w:rPr>
              <w:t>未设置储煤场</w:t>
            </w:r>
          </w:p>
        </w:tc>
        <w:tc>
          <w:tcPr>
            <w:tcW w:w="3807" w:type="dxa"/>
            <w:vAlign w:val="top"/>
          </w:tcPr>
          <w:p>
            <w:pPr>
              <w:ind w:left="1278"/>
              <w:spacing w:before="169" w:line="228" w:lineRule="auto"/>
              <w:rPr>
                <w:rFonts w:ascii="SimSun" w:hAnsi="SimSun" w:eastAsia="SimSun" w:cs="SimSun"/>
                <w:sz w:val="20"/>
                <w:szCs w:val="20"/>
              </w:rPr>
            </w:pPr>
            <w:r>
              <w:rPr>
                <w:rFonts w:ascii="SimSun" w:hAnsi="SimSun" w:eastAsia="SimSun" w:cs="SimSun"/>
                <w:sz w:val="20"/>
                <w:szCs w:val="20"/>
                <w:spacing w:val="8"/>
              </w:rPr>
              <w:t>封闭式储煤场</w:t>
            </w:r>
          </w:p>
        </w:tc>
      </w:tr>
      <w:tr>
        <w:trPr>
          <w:trHeight w:val="916"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300" w:right="196" w:hanging="108"/>
              <w:spacing w:before="217" w:line="252" w:lineRule="auto"/>
              <w:rPr>
                <w:rFonts w:ascii="SimSun" w:hAnsi="SimSun" w:eastAsia="SimSun" w:cs="SimSun"/>
                <w:sz w:val="20"/>
                <w:szCs w:val="20"/>
              </w:rPr>
            </w:pPr>
            <w:r>
              <w:rPr>
                <w:rFonts w:ascii="SimSun" w:hAnsi="SimSun" w:eastAsia="SimSun" w:cs="SimSun"/>
                <w:sz w:val="20"/>
                <w:szCs w:val="20"/>
                <w:spacing w:val="8"/>
              </w:rPr>
              <w:t>采场和道路</w:t>
            </w:r>
            <w:r>
              <w:rPr>
                <w:rFonts w:ascii="SimSun" w:hAnsi="SimSun" w:eastAsia="SimSun" w:cs="SimSun"/>
                <w:sz w:val="20"/>
                <w:szCs w:val="20"/>
                <w:spacing w:val="6"/>
              </w:rPr>
              <w:t>洒水抑尘</w:t>
            </w:r>
          </w:p>
        </w:tc>
        <w:tc>
          <w:tcPr>
            <w:tcW w:w="3975" w:type="dxa"/>
            <w:vAlign w:val="top"/>
          </w:tcPr>
          <w:p>
            <w:pPr>
              <w:spacing w:line="284" w:lineRule="auto"/>
              <w:rPr>
                <w:rFonts w:ascii="Arial"/>
                <w:sz w:val="21"/>
              </w:rPr>
            </w:pPr>
            <w:r/>
          </w:p>
          <w:p>
            <w:pPr>
              <w:pStyle w:val="TableText"/>
              <w:ind w:left="1358"/>
              <w:spacing w:before="65" w:line="228" w:lineRule="auto"/>
              <w:rPr>
                <w:rFonts w:ascii="SimSun" w:hAnsi="SimSun" w:eastAsia="SimSun" w:cs="SimSun"/>
              </w:rPr>
            </w:pPr>
            <w:r>
              <w:rPr>
                <w:rFonts w:ascii="SimSun" w:hAnsi="SimSun" w:eastAsia="SimSun" w:cs="SimSun"/>
                <w:spacing w:val="5"/>
              </w:rPr>
              <w:t>购洒水车</w:t>
            </w:r>
            <w:r>
              <w:rPr>
                <w:rFonts w:ascii="SimSun" w:hAnsi="SimSun" w:eastAsia="SimSun" w:cs="SimSun"/>
                <w:spacing w:val="-33"/>
              </w:rPr>
              <w:t xml:space="preserve"> </w:t>
            </w:r>
            <w:r>
              <w:rPr>
                <w:spacing w:val="5"/>
              </w:rPr>
              <w:t>3 </w:t>
            </w:r>
            <w:r>
              <w:rPr>
                <w:rFonts w:ascii="SimSun" w:hAnsi="SimSun" w:eastAsia="SimSun" w:cs="SimSun"/>
                <w:spacing w:val="5"/>
              </w:rPr>
              <w:t>辆</w:t>
            </w:r>
          </w:p>
        </w:tc>
        <w:tc>
          <w:tcPr>
            <w:tcW w:w="3913" w:type="dxa"/>
            <w:vAlign w:val="top"/>
          </w:tcPr>
          <w:p>
            <w:pPr>
              <w:pStyle w:val="TableText"/>
              <w:ind w:left="110"/>
              <w:spacing w:before="80" w:line="228" w:lineRule="auto"/>
              <w:rPr>
                <w:rFonts w:ascii="SimSun" w:hAnsi="SimSun" w:eastAsia="SimSun" w:cs="SimSun"/>
              </w:rPr>
            </w:pPr>
            <w:r>
              <w:rPr>
                <w:rFonts w:ascii="SimSun" w:hAnsi="SimSun" w:eastAsia="SimSun" w:cs="SimSun"/>
                <w:spacing w:val="7"/>
              </w:rPr>
              <w:t>矿区自备</w:t>
            </w:r>
            <w:r>
              <w:rPr>
                <w:rFonts w:ascii="SimSun" w:hAnsi="SimSun" w:eastAsia="SimSun" w:cs="SimSun"/>
                <w:spacing w:val="-37"/>
              </w:rPr>
              <w:t xml:space="preserve"> </w:t>
            </w:r>
            <w:r>
              <w:rPr>
                <w:spacing w:val="7"/>
              </w:rPr>
              <w:t>40t</w:t>
            </w:r>
            <w:r>
              <w:rPr>
                <w:rFonts w:ascii="SimSun" w:hAnsi="SimSun" w:eastAsia="SimSun" w:cs="SimSun"/>
                <w:spacing w:val="7"/>
              </w:rPr>
              <w:t>洒水车</w:t>
            </w:r>
            <w:r>
              <w:rPr>
                <w:rFonts w:ascii="SimSun" w:hAnsi="SimSun" w:eastAsia="SimSun" w:cs="SimSun"/>
                <w:spacing w:val="-43"/>
              </w:rPr>
              <w:t xml:space="preserve"> </w:t>
            </w:r>
            <w:r>
              <w:rPr>
                <w:spacing w:val="7"/>
              </w:rPr>
              <w:t>2</w:t>
            </w:r>
            <w:r>
              <w:rPr>
                <w:spacing w:val="29"/>
              </w:rPr>
              <w:t xml:space="preserve"> </w:t>
            </w:r>
            <w:r>
              <w:rPr>
                <w:rFonts w:ascii="SimSun" w:hAnsi="SimSun" w:eastAsia="SimSun" w:cs="SimSun"/>
                <w:spacing w:val="7"/>
              </w:rPr>
              <w:t>台（配置了车载高</w:t>
            </w:r>
          </w:p>
          <w:p>
            <w:pPr>
              <w:pStyle w:val="TableText"/>
              <w:ind w:left="123"/>
              <w:spacing w:before="24" w:line="228" w:lineRule="auto"/>
              <w:rPr>
                <w:rFonts w:ascii="SimSun" w:hAnsi="SimSun" w:eastAsia="SimSun" w:cs="SimSun"/>
              </w:rPr>
            </w:pPr>
            <w:r>
              <w:rPr>
                <w:rFonts w:ascii="SimSun" w:hAnsi="SimSun" w:eastAsia="SimSun" w:cs="SimSun"/>
                <w:spacing w:val="4"/>
              </w:rPr>
              <w:t>压消防水枪</w:t>
            </w:r>
            <w:r>
              <w:rPr>
                <w:rFonts w:ascii="SimSun" w:hAnsi="SimSun" w:eastAsia="SimSun" w:cs="SimSun"/>
                <w:spacing w:val="19"/>
              </w:rPr>
              <w:t>），</w:t>
            </w:r>
            <w:r>
              <w:rPr>
                <w:rFonts w:ascii="SimSun" w:hAnsi="SimSun" w:eastAsia="SimSun" w:cs="SimSun"/>
                <w:spacing w:val="4"/>
              </w:rPr>
              <w:t>东风</w:t>
            </w:r>
            <w:r>
              <w:rPr>
                <w:rFonts w:ascii="SimSun" w:hAnsi="SimSun" w:eastAsia="SimSun" w:cs="SimSun"/>
                <w:spacing w:val="-23"/>
              </w:rPr>
              <w:t xml:space="preserve"> </w:t>
            </w:r>
            <w:r>
              <w:rPr>
                <w:spacing w:val="4"/>
              </w:rPr>
              <w:t>1208 </w:t>
            </w:r>
            <w:r>
              <w:rPr>
                <w:rFonts w:ascii="SimSun" w:hAnsi="SimSun" w:eastAsia="SimSun" w:cs="SimSun"/>
                <w:spacing w:val="4"/>
              </w:rPr>
              <w:t>型洒水车</w:t>
            </w:r>
            <w:r>
              <w:rPr>
                <w:rFonts w:ascii="SimSun" w:hAnsi="SimSun" w:eastAsia="SimSun" w:cs="SimSun"/>
                <w:spacing w:val="-36"/>
              </w:rPr>
              <w:t xml:space="preserve"> </w:t>
            </w:r>
            <w:r>
              <w:rPr>
                <w:spacing w:val="4"/>
              </w:rPr>
              <w:t>6</w:t>
            </w:r>
            <w:r>
              <w:rPr>
                <w:spacing w:val="29"/>
              </w:rPr>
              <w:t xml:space="preserve"> </w:t>
            </w:r>
            <w:r>
              <w:rPr>
                <w:rFonts w:ascii="SimSun" w:hAnsi="SimSun" w:eastAsia="SimSun" w:cs="SimSun"/>
                <w:spacing w:val="4"/>
              </w:rPr>
              <w:t>台</w:t>
            </w:r>
          </w:p>
          <w:p>
            <w:pPr>
              <w:pStyle w:val="TableText"/>
              <w:ind w:left="927"/>
              <w:spacing w:before="26" w:line="225" w:lineRule="auto"/>
              <w:rPr>
                <w:rFonts w:ascii="SimSun" w:hAnsi="SimSun" w:eastAsia="SimSun" w:cs="SimSun"/>
              </w:rPr>
            </w:pPr>
            <w:r>
              <w:rPr>
                <w:rFonts w:ascii="SimSun" w:hAnsi="SimSun" w:eastAsia="SimSun" w:cs="SimSun"/>
                <w:spacing w:val="-6"/>
              </w:rPr>
              <w:t>,</w:t>
            </w:r>
            <w:r>
              <w:rPr>
                <w:rFonts w:ascii="SimSun" w:hAnsi="SimSun" w:eastAsia="SimSun" w:cs="SimSun"/>
                <w:spacing w:val="76"/>
              </w:rPr>
              <w:t xml:space="preserve"> </w:t>
            </w:r>
            <w:r>
              <w:rPr>
                <w:rFonts w:ascii="SimSun" w:hAnsi="SimSun" w:eastAsia="SimSun" w:cs="SimSun"/>
                <w:spacing w:val="-6"/>
              </w:rPr>
              <w:t>东风</w:t>
            </w:r>
            <w:r>
              <w:rPr>
                <w:rFonts w:ascii="SimSun" w:hAnsi="SimSun" w:eastAsia="SimSun" w:cs="SimSun"/>
                <w:spacing w:val="-21"/>
              </w:rPr>
              <w:t xml:space="preserve"> </w:t>
            </w:r>
            <w:r>
              <w:rPr>
                <w:spacing w:val="-6"/>
              </w:rPr>
              <w:t>153 </w:t>
            </w:r>
            <w:r>
              <w:rPr>
                <w:rFonts w:ascii="SimSun" w:hAnsi="SimSun" w:eastAsia="SimSun" w:cs="SimSun"/>
                <w:spacing w:val="-6"/>
              </w:rPr>
              <w:t>洒水车</w:t>
            </w:r>
            <w:r>
              <w:rPr>
                <w:rFonts w:ascii="SimSun" w:hAnsi="SimSun" w:eastAsia="SimSun" w:cs="SimSun"/>
                <w:spacing w:val="-22"/>
              </w:rPr>
              <w:t xml:space="preserve"> </w:t>
            </w:r>
            <w:r>
              <w:rPr>
                <w:spacing w:val="-6"/>
              </w:rPr>
              <w:t>1</w:t>
            </w:r>
            <w:r>
              <w:rPr>
                <w:spacing w:val="28"/>
              </w:rPr>
              <w:t xml:space="preserve"> </w:t>
            </w:r>
            <w:r>
              <w:rPr>
                <w:rFonts w:ascii="SimSun" w:hAnsi="SimSun" w:eastAsia="SimSun" w:cs="SimSun"/>
                <w:spacing w:val="-6"/>
              </w:rPr>
              <w:t>台</w:t>
            </w:r>
          </w:p>
        </w:tc>
        <w:tc>
          <w:tcPr>
            <w:tcW w:w="3807" w:type="dxa"/>
            <w:vAlign w:val="top"/>
          </w:tcPr>
          <w:p>
            <w:pPr>
              <w:pStyle w:val="TableText"/>
              <w:ind w:left="673" w:right="170" w:hanging="497"/>
              <w:spacing w:before="217" w:line="252" w:lineRule="auto"/>
              <w:rPr>
                <w:rFonts w:ascii="SimSun" w:hAnsi="SimSun" w:eastAsia="SimSun" w:cs="SimSun"/>
              </w:rPr>
            </w:pPr>
            <w:r>
              <w:rPr>
                <w:rFonts w:ascii="SimSun" w:hAnsi="SimSun" w:eastAsia="SimSun" w:cs="SimSun"/>
                <w:spacing w:val="7"/>
              </w:rPr>
              <w:t>矿区自备洒水车</w:t>
            </w:r>
            <w:r>
              <w:rPr>
                <w:rFonts w:ascii="SimSun" w:hAnsi="SimSun" w:eastAsia="SimSun" w:cs="SimSun"/>
                <w:spacing w:val="-37"/>
              </w:rPr>
              <w:t xml:space="preserve"> </w:t>
            </w:r>
            <w:r>
              <w:rPr/>
              <w:t>TR</w:t>
            </w:r>
            <w:r>
              <w:rPr>
                <w:spacing w:val="7"/>
              </w:rPr>
              <w:t>50W </w:t>
            </w:r>
            <w:r>
              <w:rPr>
                <w:rFonts w:ascii="SimSun" w:hAnsi="SimSun" w:eastAsia="SimSun" w:cs="SimSun"/>
                <w:spacing w:val="7"/>
              </w:rPr>
              <w:t>型（</w:t>
            </w:r>
            <w:r>
              <w:rPr>
                <w:spacing w:val="7"/>
              </w:rPr>
              <w:t>40t</w:t>
            </w:r>
            <w:r>
              <w:rPr>
                <w:rFonts w:ascii="SimSun" w:hAnsi="SimSun" w:eastAsia="SimSun" w:cs="SimSun"/>
                <w:spacing w:val="7"/>
              </w:rPr>
              <w:t>）  </w:t>
            </w:r>
            <w:r>
              <w:rPr>
                <w:spacing w:val="7"/>
              </w:rPr>
              <w:t>2</w:t>
            </w:r>
            <w:r>
              <w:rPr>
                <w:rFonts w:ascii="SimSun" w:hAnsi="SimSun" w:eastAsia="SimSun" w:cs="SimSun"/>
                <w:spacing w:val="3"/>
              </w:rPr>
              <w:t>台，解放</w:t>
            </w:r>
            <w:r>
              <w:rPr>
                <w:rFonts w:ascii="SimSun" w:hAnsi="SimSun" w:eastAsia="SimSun" w:cs="SimSun"/>
                <w:spacing w:val="-30"/>
              </w:rPr>
              <w:t xml:space="preserve"> </w:t>
            </w:r>
            <w:r>
              <w:rPr>
                <w:spacing w:val="3"/>
              </w:rPr>
              <w:t>J6</w:t>
            </w:r>
            <w:r>
              <w:rPr>
                <w:spacing w:val="16"/>
                <w:w w:val="101"/>
              </w:rPr>
              <w:t xml:space="preserve"> </w:t>
            </w:r>
            <w:r>
              <w:rPr>
                <w:rFonts w:ascii="SimSun" w:hAnsi="SimSun" w:eastAsia="SimSun" w:cs="SimSun"/>
                <w:spacing w:val="3"/>
              </w:rPr>
              <w:t>型（</w:t>
            </w:r>
            <w:r>
              <w:rPr>
                <w:spacing w:val="3"/>
              </w:rPr>
              <w:t>24t</w:t>
            </w:r>
            <w:r>
              <w:rPr>
                <w:rFonts w:ascii="SimSun" w:hAnsi="SimSun" w:eastAsia="SimSun" w:cs="SimSun"/>
                <w:spacing w:val="3"/>
              </w:rPr>
              <w:t>） </w:t>
            </w:r>
            <w:r>
              <w:rPr>
                <w:spacing w:val="3"/>
              </w:rPr>
              <w:t>4</w:t>
            </w:r>
            <w:r>
              <w:rPr>
                <w:spacing w:val="26"/>
              </w:rPr>
              <w:t xml:space="preserve"> </w:t>
            </w:r>
            <w:r>
              <w:rPr>
                <w:rFonts w:ascii="SimSun" w:hAnsi="SimSun" w:eastAsia="SimSun" w:cs="SimSun"/>
                <w:spacing w:val="3"/>
              </w:rPr>
              <w:t>台</w:t>
            </w:r>
          </w:p>
        </w:tc>
      </w:tr>
      <w:tr>
        <w:trPr>
          <w:trHeight w:val="405" w:hRule="atLeast"/>
        </w:trPr>
        <w:tc>
          <w:tcPr>
            <w:tcW w:w="1130" w:type="dxa"/>
            <w:vAlign w:val="top"/>
            <w:vMerge w:val="continue"/>
            <w:tcBorders>
              <w:top w:val="nil"/>
              <w:bottom w:val="nil"/>
            </w:tcBorders>
          </w:tcPr>
          <w:p>
            <w:pPr>
              <w:rPr>
                <w:rFonts w:ascii="Arial"/>
                <w:sz w:val="21"/>
              </w:rPr>
            </w:pPr>
            <w:r/>
          </w:p>
        </w:tc>
        <w:tc>
          <w:tcPr>
            <w:tcW w:w="1435" w:type="dxa"/>
            <w:vAlign w:val="top"/>
          </w:tcPr>
          <w:p>
            <w:pPr>
              <w:ind w:left="403"/>
              <w:spacing w:before="98" w:line="228" w:lineRule="auto"/>
              <w:rPr>
                <w:rFonts w:ascii="SimSun" w:hAnsi="SimSun" w:eastAsia="SimSun" w:cs="SimSun"/>
                <w:sz w:val="20"/>
                <w:szCs w:val="20"/>
              </w:rPr>
            </w:pPr>
            <w:r>
              <w:rPr>
                <w:rFonts w:ascii="SimSun" w:hAnsi="SimSun" w:eastAsia="SimSun" w:cs="SimSun"/>
                <w:sz w:val="20"/>
                <w:szCs w:val="20"/>
                <w:spacing w:val="7"/>
              </w:rPr>
              <w:t>选煤厂</w:t>
            </w:r>
          </w:p>
        </w:tc>
        <w:tc>
          <w:tcPr>
            <w:tcW w:w="3975" w:type="dxa"/>
            <w:vAlign w:val="top"/>
          </w:tcPr>
          <w:p>
            <w:pPr>
              <w:ind w:left="1363"/>
              <w:spacing w:before="98" w:line="228" w:lineRule="auto"/>
              <w:rPr>
                <w:rFonts w:ascii="SimSun" w:hAnsi="SimSun" w:eastAsia="SimSun" w:cs="SimSun"/>
                <w:sz w:val="20"/>
                <w:szCs w:val="20"/>
              </w:rPr>
            </w:pPr>
            <w:r>
              <w:rPr>
                <w:rFonts w:ascii="SimSun" w:hAnsi="SimSun" w:eastAsia="SimSun" w:cs="SimSun"/>
                <w:sz w:val="20"/>
                <w:szCs w:val="20"/>
                <w:spacing w:val="7"/>
              </w:rPr>
              <w:t>未设置选煤厂</w:t>
            </w:r>
          </w:p>
        </w:tc>
        <w:tc>
          <w:tcPr>
            <w:tcW w:w="3913" w:type="dxa"/>
            <w:vAlign w:val="top"/>
          </w:tcPr>
          <w:p>
            <w:pPr>
              <w:ind w:left="1333"/>
              <w:spacing w:before="98" w:line="228" w:lineRule="auto"/>
              <w:rPr>
                <w:rFonts w:ascii="SimSun" w:hAnsi="SimSun" w:eastAsia="SimSun" w:cs="SimSun"/>
                <w:sz w:val="20"/>
                <w:szCs w:val="20"/>
              </w:rPr>
            </w:pPr>
            <w:r>
              <w:rPr>
                <w:rFonts w:ascii="SimSun" w:hAnsi="SimSun" w:eastAsia="SimSun" w:cs="SimSun"/>
                <w:sz w:val="20"/>
                <w:szCs w:val="20"/>
                <w:spacing w:val="7"/>
              </w:rPr>
              <w:t>未设置选煤厂</w:t>
            </w:r>
          </w:p>
        </w:tc>
        <w:tc>
          <w:tcPr>
            <w:tcW w:w="3807" w:type="dxa"/>
            <w:vAlign w:val="top"/>
          </w:tcPr>
          <w:p>
            <w:pPr>
              <w:ind w:left="226"/>
              <w:spacing w:before="97" w:line="228" w:lineRule="auto"/>
              <w:rPr>
                <w:rFonts w:ascii="SimSun" w:hAnsi="SimSun" w:eastAsia="SimSun" w:cs="SimSun"/>
                <w:sz w:val="20"/>
                <w:szCs w:val="20"/>
              </w:rPr>
            </w:pPr>
            <w:r>
              <w:rPr>
                <w:rFonts w:ascii="SimSun" w:hAnsi="SimSun" w:eastAsia="SimSun" w:cs="SimSun"/>
                <w:sz w:val="20"/>
                <w:szCs w:val="20"/>
                <w:spacing w:val="9"/>
              </w:rPr>
              <w:t>进入四号矿（井工区）地面生产系统</w:t>
            </w:r>
          </w:p>
        </w:tc>
      </w:tr>
      <w:tr>
        <w:trPr>
          <w:trHeight w:val="823" w:hRule="atLeast"/>
        </w:trPr>
        <w:tc>
          <w:tcPr>
            <w:tcW w:w="1130" w:type="dxa"/>
            <w:vAlign w:val="top"/>
            <w:vMerge w:val="continue"/>
            <w:tcBorders>
              <w:top w:val="nil"/>
            </w:tcBorders>
          </w:tcPr>
          <w:p>
            <w:pPr>
              <w:rPr>
                <w:rFonts w:ascii="Arial"/>
                <w:sz w:val="21"/>
              </w:rPr>
            </w:pPr>
            <w:r/>
          </w:p>
        </w:tc>
        <w:tc>
          <w:tcPr>
            <w:tcW w:w="1435" w:type="dxa"/>
            <w:vAlign w:val="top"/>
          </w:tcPr>
          <w:p>
            <w:pPr>
              <w:ind w:left="507" w:right="196" w:hanging="314"/>
              <w:spacing w:before="172" w:line="252" w:lineRule="auto"/>
              <w:rPr>
                <w:rFonts w:ascii="SimSun" w:hAnsi="SimSun" w:eastAsia="SimSun" w:cs="SimSun"/>
                <w:sz w:val="20"/>
                <w:szCs w:val="20"/>
              </w:rPr>
            </w:pPr>
            <w:r>
              <w:rPr>
                <w:rFonts w:ascii="SimSun" w:hAnsi="SimSun" w:eastAsia="SimSun" w:cs="SimSun"/>
                <w:sz w:val="20"/>
                <w:szCs w:val="20"/>
                <w:spacing w:val="8"/>
              </w:rPr>
              <w:t>全封闭输煤</w:t>
            </w:r>
            <w:r>
              <w:rPr>
                <w:rFonts w:ascii="SimSun" w:hAnsi="SimSun" w:eastAsia="SimSun" w:cs="SimSun"/>
                <w:sz w:val="20"/>
                <w:szCs w:val="20"/>
                <w:spacing w:val="4"/>
              </w:rPr>
              <w:t>栈道</w:t>
            </w:r>
          </w:p>
        </w:tc>
        <w:tc>
          <w:tcPr>
            <w:tcW w:w="3975" w:type="dxa"/>
            <w:vAlign w:val="top"/>
          </w:tcPr>
          <w:p>
            <w:pPr>
              <w:ind w:left="413"/>
              <w:spacing w:before="304" w:line="227" w:lineRule="auto"/>
              <w:rPr>
                <w:rFonts w:ascii="SimSun" w:hAnsi="SimSun" w:eastAsia="SimSun" w:cs="SimSun"/>
                <w:sz w:val="20"/>
                <w:szCs w:val="20"/>
              </w:rPr>
            </w:pPr>
            <w:r>
              <w:rPr>
                <w:rFonts w:ascii="SimSun" w:hAnsi="SimSun" w:eastAsia="SimSun" w:cs="SimSun"/>
                <w:sz w:val="20"/>
                <w:szCs w:val="20"/>
                <w:spacing w:val="9"/>
              </w:rPr>
              <w:t>对煤输送过程采取全封闭输送措施</w:t>
            </w:r>
          </w:p>
        </w:tc>
        <w:tc>
          <w:tcPr>
            <w:tcW w:w="3913" w:type="dxa"/>
            <w:vAlign w:val="top"/>
          </w:tcPr>
          <w:p>
            <w:pPr>
              <w:ind w:left="386"/>
              <w:spacing w:before="304" w:line="227" w:lineRule="auto"/>
              <w:rPr>
                <w:rFonts w:ascii="SimSun" w:hAnsi="SimSun" w:eastAsia="SimSun" w:cs="SimSun"/>
                <w:sz w:val="20"/>
                <w:szCs w:val="20"/>
              </w:rPr>
            </w:pPr>
            <w:r>
              <w:rPr>
                <w:rFonts w:ascii="SimSun" w:hAnsi="SimSun" w:eastAsia="SimSun" w:cs="SimSun"/>
                <w:sz w:val="20"/>
                <w:szCs w:val="20"/>
                <w:spacing w:val="9"/>
              </w:rPr>
              <w:t>对煤输送过程采取全封闭输送措施</w:t>
            </w:r>
          </w:p>
        </w:tc>
        <w:tc>
          <w:tcPr>
            <w:tcW w:w="3807" w:type="dxa"/>
            <w:vAlign w:val="top"/>
          </w:tcPr>
          <w:p>
            <w:pPr>
              <w:ind w:left="121"/>
              <w:spacing w:before="36" w:line="227" w:lineRule="auto"/>
              <w:rPr>
                <w:rFonts w:ascii="SimSun" w:hAnsi="SimSun" w:eastAsia="SimSun" w:cs="SimSun"/>
                <w:sz w:val="20"/>
                <w:szCs w:val="20"/>
              </w:rPr>
            </w:pPr>
            <w:r>
              <w:rPr>
                <w:rFonts w:ascii="SimSun" w:hAnsi="SimSun" w:eastAsia="SimSun" w:cs="SimSun"/>
                <w:sz w:val="20"/>
                <w:szCs w:val="20"/>
                <w:spacing w:val="10"/>
              </w:rPr>
              <w:t>对煤输送过程采取全封闭输送措施，同</w:t>
            </w:r>
          </w:p>
          <w:p>
            <w:pPr>
              <w:ind w:left="131"/>
              <w:spacing w:before="23" w:line="226" w:lineRule="auto"/>
              <w:rPr>
                <w:rFonts w:ascii="SimSun" w:hAnsi="SimSun" w:eastAsia="SimSun" w:cs="SimSun"/>
                <w:sz w:val="20"/>
                <w:szCs w:val="20"/>
              </w:rPr>
            </w:pPr>
            <w:r>
              <w:rPr>
                <w:rFonts w:ascii="SimSun" w:hAnsi="SimSun" w:eastAsia="SimSun" w:cs="SimSun"/>
                <w:sz w:val="20"/>
                <w:szCs w:val="20"/>
                <w:spacing w:val="10"/>
              </w:rPr>
              <w:t>时在转载点处设置水喷淋降尘措施，同</w:t>
            </w:r>
          </w:p>
          <w:p>
            <w:pPr>
              <w:ind w:left="657"/>
              <w:spacing w:before="31" w:line="214" w:lineRule="auto"/>
              <w:rPr>
                <w:rFonts w:ascii="SimSun" w:hAnsi="SimSun" w:eastAsia="SimSun" w:cs="SimSun"/>
                <w:sz w:val="20"/>
                <w:szCs w:val="20"/>
              </w:rPr>
            </w:pPr>
            <w:r>
              <w:rPr>
                <w:rFonts w:ascii="SimSun" w:hAnsi="SimSun" w:eastAsia="SimSun" w:cs="SimSun"/>
                <w:sz w:val="20"/>
                <w:szCs w:val="20"/>
                <w:spacing w:val="8"/>
              </w:rPr>
              <w:t>时在端口处设置防风抑尘网</w:t>
            </w:r>
          </w:p>
        </w:tc>
      </w:tr>
      <w:tr>
        <w:trPr>
          <w:trHeight w:val="400" w:hRule="atLeast"/>
        </w:trPr>
        <w:tc>
          <w:tcPr>
            <w:tcW w:w="1130" w:type="dxa"/>
            <w:vAlign w:val="top"/>
            <w:vMerge w:val="restart"/>
            <w:tcBorders>
              <w:bottom w:val="nil"/>
            </w:tcBorders>
          </w:tcPr>
          <w:p>
            <w:pPr>
              <w:ind w:left="156"/>
              <w:spacing w:before="281" w:line="228" w:lineRule="auto"/>
              <w:rPr>
                <w:rFonts w:ascii="SimSun" w:hAnsi="SimSun" w:eastAsia="SimSun" w:cs="SimSun"/>
                <w:sz w:val="20"/>
                <w:szCs w:val="20"/>
              </w:rPr>
            </w:pPr>
            <w:r>
              <w:rPr>
                <w:rFonts w:ascii="SimSun" w:hAnsi="SimSun" w:eastAsia="SimSun" w:cs="SimSun"/>
                <w:sz w:val="20"/>
                <w:szCs w:val="20"/>
                <w:spacing w:val="4"/>
              </w:rPr>
              <w:t>噪声治理</w:t>
            </w:r>
          </w:p>
        </w:tc>
        <w:tc>
          <w:tcPr>
            <w:tcW w:w="1435" w:type="dxa"/>
            <w:vAlign w:val="top"/>
          </w:tcPr>
          <w:p>
            <w:pPr>
              <w:ind w:left="406"/>
              <w:spacing w:before="95" w:line="228" w:lineRule="auto"/>
              <w:rPr>
                <w:rFonts w:ascii="SimSun" w:hAnsi="SimSun" w:eastAsia="SimSun" w:cs="SimSun"/>
                <w:sz w:val="20"/>
                <w:szCs w:val="20"/>
              </w:rPr>
            </w:pPr>
            <w:r>
              <w:rPr>
                <w:rFonts w:ascii="SimSun" w:hAnsi="SimSun" w:eastAsia="SimSun" w:cs="SimSun"/>
                <w:sz w:val="20"/>
                <w:szCs w:val="20"/>
                <w:spacing w:val="6"/>
              </w:rPr>
              <w:t>水泵房</w:t>
            </w:r>
          </w:p>
        </w:tc>
        <w:tc>
          <w:tcPr>
            <w:tcW w:w="3975" w:type="dxa"/>
            <w:vAlign w:val="top"/>
          </w:tcPr>
          <w:p>
            <w:pPr>
              <w:ind w:left="1155"/>
              <w:spacing w:before="96" w:line="228" w:lineRule="auto"/>
              <w:rPr>
                <w:rFonts w:ascii="SimSun" w:hAnsi="SimSun" w:eastAsia="SimSun" w:cs="SimSun"/>
                <w:sz w:val="20"/>
                <w:szCs w:val="20"/>
              </w:rPr>
            </w:pPr>
            <w:r>
              <w:rPr>
                <w:rFonts w:ascii="SimSun" w:hAnsi="SimSun" w:eastAsia="SimSun" w:cs="SimSun"/>
                <w:sz w:val="20"/>
                <w:szCs w:val="20"/>
                <w:spacing w:val="8"/>
              </w:rPr>
              <w:t>消声器、减振基础</w:t>
            </w:r>
          </w:p>
        </w:tc>
        <w:tc>
          <w:tcPr>
            <w:tcW w:w="3913" w:type="dxa"/>
            <w:vAlign w:val="top"/>
          </w:tcPr>
          <w:p>
            <w:pPr>
              <w:ind w:left="1125"/>
              <w:spacing w:before="96" w:line="228" w:lineRule="auto"/>
              <w:rPr>
                <w:rFonts w:ascii="SimSun" w:hAnsi="SimSun" w:eastAsia="SimSun" w:cs="SimSun"/>
                <w:sz w:val="20"/>
                <w:szCs w:val="20"/>
              </w:rPr>
            </w:pPr>
            <w:r>
              <w:rPr>
                <w:rFonts w:ascii="SimSun" w:hAnsi="SimSun" w:eastAsia="SimSun" w:cs="SimSun"/>
                <w:sz w:val="20"/>
                <w:szCs w:val="20"/>
                <w:spacing w:val="8"/>
              </w:rPr>
              <w:t>消声器、减振基础</w:t>
            </w:r>
          </w:p>
        </w:tc>
        <w:tc>
          <w:tcPr>
            <w:tcW w:w="3807" w:type="dxa"/>
            <w:vAlign w:val="top"/>
          </w:tcPr>
          <w:p>
            <w:pPr>
              <w:ind w:left="1071"/>
              <w:spacing w:before="96" w:line="228" w:lineRule="auto"/>
              <w:rPr>
                <w:rFonts w:ascii="SimSun" w:hAnsi="SimSun" w:eastAsia="SimSun" w:cs="SimSun"/>
                <w:sz w:val="20"/>
                <w:szCs w:val="20"/>
              </w:rPr>
            </w:pPr>
            <w:r>
              <w:rPr>
                <w:rFonts w:ascii="SimSun" w:hAnsi="SimSun" w:eastAsia="SimSun" w:cs="SimSun"/>
                <w:sz w:val="20"/>
                <w:szCs w:val="20"/>
                <w:spacing w:val="8"/>
              </w:rPr>
              <w:t>消声器、减振基础</w:t>
            </w:r>
          </w:p>
        </w:tc>
      </w:tr>
      <w:tr>
        <w:trPr>
          <w:trHeight w:val="367" w:hRule="atLeast"/>
        </w:trPr>
        <w:tc>
          <w:tcPr>
            <w:tcW w:w="1130" w:type="dxa"/>
            <w:vAlign w:val="top"/>
            <w:vMerge w:val="continue"/>
            <w:tcBorders>
              <w:top w:val="nil"/>
            </w:tcBorders>
          </w:tcPr>
          <w:p>
            <w:pPr>
              <w:rPr>
                <w:rFonts w:ascii="Arial"/>
                <w:sz w:val="21"/>
              </w:rPr>
            </w:pPr>
            <w:r/>
          </w:p>
        </w:tc>
        <w:tc>
          <w:tcPr>
            <w:tcW w:w="1435" w:type="dxa"/>
            <w:vAlign w:val="top"/>
          </w:tcPr>
          <w:p>
            <w:pPr>
              <w:ind w:left="297"/>
              <w:spacing w:before="36" w:line="227" w:lineRule="auto"/>
              <w:rPr>
                <w:rFonts w:ascii="SimSun" w:hAnsi="SimSun" w:eastAsia="SimSun" w:cs="SimSun"/>
                <w:sz w:val="20"/>
                <w:szCs w:val="20"/>
              </w:rPr>
            </w:pPr>
            <w:r>
              <w:rPr>
                <w:rFonts w:ascii="SimSun" w:hAnsi="SimSun" w:eastAsia="SimSun" w:cs="SimSun"/>
                <w:sz w:val="20"/>
                <w:szCs w:val="20"/>
                <w:spacing w:val="7"/>
              </w:rPr>
              <w:t>机修车间</w:t>
            </w:r>
          </w:p>
        </w:tc>
        <w:tc>
          <w:tcPr>
            <w:tcW w:w="3975" w:type="dxa"/>
            <w:vAlign w:val="top"/>
          </w:tcPr>
          <w:p>
            <w:pPr>
              <w:ind w:left="1057"/>
              <w:spacing w:before="80" w:line="228" w:lineRule="auto"/>
              <w:rPr>
                <w:rFonts w:ascii="SimSun" w:hAnsi="SimSun" w:eastAsia="SimSun" w:cs="SimSun"/>
                <w:sz w:val="20"/>
                <w:szCs w:val="20"/>
              </w:rPr>
            </w:pPr>
            <w:r>
              <w:rPr>
                <w:rFonts w:ascii="SimSun" w:hAnsi="SimSun" w:eastAsia="SimSun" w:cs="SimSun"/>
                <w:sz w:val="20"/>
                <w:szCs w:val="20"/>
                <w:spacing w:val="7"/>
              </w:rPr>
              <w:t>隔声门窗、减振基础</w:t>
            </w:r>
          </w:p>
        </w:tc>
        <w:tc>
          <w:tcPr>
            <w:tcW w:w="3913" w:type="dxa"/>
            <w:vAlign w:val="top"/>
          </w:tcPr>
          <w:p>
            <w:pPr>
              <w:ind w:left="1028"/>
              <w:spacing w:before="80" w:line="228" w:lineRule="auto"/>
              <w:rPr>
                <w:rFonts w:ascii="SimSun" w:hAnsi="SimSun" w:eastAsia="SimSun" w:cs="SimSun"/>
                <w:sz w:val="20"/>
                <w:szCs w:val="20"/>
              </w:rPr>
            </w:pPr>
            <w:r>
              <w:rPr>
                <w:rFonts w:ascii="SimSun" w:hAnsi="SimSun" w:eastAsia="SimSun" w:cs="SimSun"/>
                <w:sz w:val="20"/>
                <w:szCs w:val="20"/>
                <w:spacing w:val="7"/>
              </w:rPr>
              <w:t>隔声门窗、减振基础</w:t>
            </w:r>
          </w:p>
        </w:tc>
        <w:tc>
          <w:tcPr>
            <w:tcW w:w="3807" w:type="dxa"/>
            <w:vAlign w:val="top"/>
          </w:tcPr>
          <w:p>
            <w:pPr>
              <w:ind w:left="974"/>
              <w:spacing w:before="80" w:line="228" w:lineRule="auto"/>
              <w:rPr>
                <w:rFonts w:ascii="SimSun" w:hAnsi="SimSun" w:eastAsia="SimSun" w:cs="SimSun"/>
                <w:sz w:val="20"/>
                <w:szCs w:val="20"/>
              </w:rPr>
            </w:pPr>
            <w:r>
              <w:rPr>
                <w:rFonts w:ascii="SimSun" w:hAnsi="SimSun" w:eastAsia="SimSun" w:cs="SimSun"/>
                <w:sz w:val="20"/>
                <w:szCs w:val="20"/>
                <w:spacing w:val="7"/>
              </w:rPr>
              <w:t>隔声门窗、减振基础</w:t>
            </w:r>
          </w:p>
        </w:tc>
      </w:tr>
      <w:tr>
        <w:trPr>
          <w:trHeight w:val="1012" w:hRule="atLeast"/>
        </w:trPr>
        <w:tc>
          <w:tcPr>
            <w:tcW w:w="1130" w:type="dxa"/>
            <w:vAlign w:val="top"/>
          </w:tcPr>
          <w:p>
            <w:pPr>
              <w:ind w:left="362" w:right="148" w:hanging="197"/>
              <w:spacing w:before="264" w:line="254" w:lineRule="auto"/>
              <w:rPr>
                <w:rFonts w:ascii="SimSun" w:hAnsi="SimSun" w:eastAsia="SimSun" w:cs="SimSun"/>
                <w:sz w:val="20"/>
                <w:szCs w:val="20"/>
              </w:rPr>
            </w:pPr>
            <w:r>
              <w:rPr>
                <w:rFonts w:ascii="SimSun" w:hAnsi="SimSun" w:eastAsia="SimSun" w:cs="SimSun"/>
                <w:sz w:val="20"/>
                <w:szCs w:val="20"/>
                <w:spacing w:val="2"/>
              </w:rPr>
              <w:t>固体废物</w:t>
            </w:r>
            <w:r>
              <w:rPr>
                <w:rFonts w:ascii="SimSun" w:hAnsi="SimSun" w:eastAsia="SimSun" w:cs="SimSun"/>
                <w:sz w:val="20"/>
                <w:szCs w:val="20"/>
                <w:spacing w:val="2"/>
              </w:rPr>
              <w:t>处置</w:t>
            </w:r>
          </w:p>
        </w:tc>
        <w:tc>
          <w:tcPr>
            <w:tcW w:w="1435" w:type="dxa"/>
            <w:vAlign w:val="top"/>
          </w:tcPr>
          <w:p>
            <w:pPr>
              <w:ind w:left="610" w:right="196" w:hanging="416"/>
              <w:spacing w:before="264" w:line="255" w:lineRule="auto"/>
              <w:rPr>
                <w:rFonts w:ascii="SimSun" w:hAnsi="SimSun" w:eastAsia="SimSun" w:cs="SimSun"/>
                <w:sz w:val="20"/>
                <w:szCs w:val="20"/>
              </w:rPr>
            </w:pPr>
            <w:r>
              <w:rPr>
                <w:rFonts w:ascii="SimSun" w:hAnsi="SimSun" w:eastAsia="SimSun" w:cs="SimSun"/>
                <w:sz w:val="20"/>
                <w:szCs w:val="20"/>
                <w:spacing w:val="7"/>
              </w:rPr>
              <w:t>生活垃圾处</w:t>
            </w:r>
            <w:r>
              <w:rPr>
                <w:rFonts w:ascii="SimSun" w:hAnsi="SimSun" w:eastAsia="SimSun" w:cs="SimSun"/>
                <w:sz w:val="20"/>
                <w:szCs w:val="20"/>
                <w:spacing w:val="2"/>
              </w:rPr>
              <w:t>置</w:t>
            </w:r>
          </w:p>
        </w:tc>
        <w:tc>
          <w:tcPr>
            <w:tcW w:w="3975" w:type="dxa"/>
            <w:vAlign w:val="top"/>
          </w:tcPr>
          <w:p>
            <w:pPr>
              <w:ind w:left="730" w:right="107" w:hanging="619"/>
              <w:spacing w:before="264" w:line="252" w:lineRule="auto"/>
              <w:rPr>
                <w:rFonts w:ascii="SimSun" w:hAnsi="SimSun" w:eastAsia="SimSun" w:cs="SimSun"/>
                <w:sz w:val="20"/>
                <w:szCs w:val="20"/>
              </w:rPr>
            </w:pPr>
            <w:r>
              <w:rPr>
                <w:rFonts w:ascii="SimSun" w:hAnsi="SimSun" w:eastAsia="SimSun" w:cs="SimSun"/>
                <w:sz w:val="20"/>
                <w:szCs w:val="20"/>
                <w:spacing w:val="8"/>
              </w:rPr>
              <w:t>生活区设置垃圾桶，由西乌珠穆沁旗沁华</w:t>
            </w:r>
            <w:r>
              <w:rPr>
                <w:rFonts w:ascii="SimSun" w:hAnsi="SimSun" w:eastAsia="SimSun" w:cs="SimSun"/>
                <w:sz w:val="20"/>
                <w:szCs w:val="20"/>
                <w:spacing w:val="9"/>
              </w:rPr>
              <w:t>环保有限责任公司负责清运</w:t>
            </w:r>
          </w:p>
        </w:tc>
        <w:tc>
          <w:tcPr>
            <w:tcW w:w="3913" w:type="dxa"/>
            <w:vAlign w:val="top"/>
          </w:tcPr>
          <w:p>
            <w:pPr>
              <w:ind w:left="700" w:right="106" w:hanging="588"/>
              <w:spacing w:before="264" w:line="252" w:lineRule="auto"/>
              <w:rPr>
                <w:rFonts w:ascii="SimSun" w:hAnsi="SimSun" w:eastAsia="SimSun" w:cs="SimSun"/>
                <w:sz w:val="20"/>
                <w:szCs w:val="20"/>
              </w:rPr>
            </w:pPr>
            <w:r>
              <w:rPr>
                <w:rFonts w:ascii="SimSun" w:hAnsi="SimSun" w:eastAsia="SimSun" w:cs="SimSun"/>
                <w:sz w:val="20"/>
                <w:szCs w:val="20"/>
                <w:spacing w:val="4"/>
              </w:rPr>
              <w:t>生活区设置垃圾桶，由西乌珠穆沁旗沁华</w:t>
            </w:r>
            <w:r>
              <w:rPr>
                <w:rFonts w:ascii="SimSun" w:hAnsi="SimSun" w:eastAsia="SimSun" w:cs="SimSun"/>
                <w:sz w:val="20"/>
                <w:szCs w:val="20"/>
                <w:spacing w:val="9"/>
              </w:rPr>
              <w:t>环保有限责任公司负责清运</w:t>
            </w:r>
          </w:p>
        </w:tc>
        <w:tc>
          <w:tcPr>
            <w:tcW w:w="3807" w:type="dxa"/>
            <w:vAlign w:val="top"/>
          </w:tcPr>
          <w:p>
            <w:pPr>
              <w:ind w:left="123"/>
              <w:spacing w:before="264" w:line="228" w:lineRule="auto"/>
              <w:rPr>
                <w:rFonts w:ascii="SimSun" w:hAnsi="SimSun" w:eastAsia="SimSun" w:cs="SimSun"/>
                <w:sz w:val="20"/>
                <w:szCs w:val="20"/>
              </w:rPr>
            </w:pPr>
            <w:r>
              <w:rPr>
                <w:rFonts w:ascii="SimSun" w:hAnsi="SimSun" w:eastAsia="SimSun" w:cs="SimSun"/>
                <w:sz w:val="20"/>
                <w:szCs w:val="20"/>
                <w:spacing w:val="9"/>
              </w:rPr>
              <w:t>生活区设置垃圾桶，由西乌珠穆沁旗当</w:t>
            </w:r>
          </w:p>
          <w:p>
            <w:pPr>
              <w:ind w:left="962"/>
              <w:spacing w:before="24" w:line="228" w:lineRule="auto"/>
              <w:rPr>
                <w:rFonts w:ascii="SimSun" w:hAnsi="SimSun" w:eastAsia="SimSun" w:cs="SimSun"/>
                <w:sz w:val="20"/>
                <w:szCs w:val="20"/>
              </w:rPr>
            </w:pPr>
            <w:r>
              <w:rPr>
                <w:rFonts w:ascii="SimSun" w:hAnsi="SimSun" w:eastAsia="SimSun" w:cs="SimSun"/>
                <w:sz w:val="20"/>
                <w:szCs w:val="20"/>
                <w:spacing w:val="8"/>
              </w:rPr>
              <w:t>地环卫部门负责清运</w:t>
            </w:r>
          </w:p>
        </w:tc>
      </w:tr>
    </w:tbl>
    <w:p>
      <w:pPr>
        <w:pStyle w:val="BodyText"/>
        <w:rPr/>
      </w:pPr>
      <w:r/>
    </w:p>
    <w:p>
      <w:pPr>
        <w:sectPr>
          <w:footerReference w:type="default" r:id="rId92"/>
          <w:pgSz w:w="16838" w:h="11906"/>
          <w:pgMar w:top="1169" w:right="1417" w:bottom="1080" w:left="1130" w:header="836" w:footer="917" w:gutter="0"/>
        </w:sectPr>
        <w:rPr/>
      </w:pPr>
    </w:p>
    <w:p>
      <w:pPr>
        <w:spacing w:before="7"/>
        <w:rPr/>
      </w:pPr>
      <w:r/>
    </w:p>
    <w:tbl>
      <w:tblPr>
        <w:tblStyle w:val="TableNormal"/>
        <w:tblW w:w="14260" w:type="dxa"/>
        <w:tblInd w:w="1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30"/>
        <w:gridCol w:w="1435"/>
        <w:gridCol w:w="3975"/>
        <w:gridCol w:w="3913"/>
        <w:gridCol w:w="3807"/>
      </w:tblGrid>
      <w:tr>
        <w:trPr>
          <w:trHeight w:val="554" w:hRule="atLeast"/>
        </w:trPr>
        <w:tc>
          <w:tcPr>
            <w:tcW w:w="1130" w:type="dxa"/>
            <w:vAlign w:val="top"/>
            <w:vMerge w:val="restart"/>
            <w:tcBorders>
              <w:bottom w:val="nil"/>
            </w:tcBorders>
          </w:tcPr>
          <w:p>
            <w:pPr>
              <w:rPr>
                <w:rFonts w:ascii="Arial"/>
                <w:sz w:val="21"/>
              </w:rPr>
            </w:pPr>
            <w:r/>
          </w:p>
        </w:tc>
        <w:tc>
          <w:tcPr>
            <w:tcW w:w="1435" w:type="dxa"/>
            <w:vAlign w:val="top"/>
          </w:tcPr>
          <w:p>
            <w:pPr>
              <w:ind w:left="301"/>
              <w:spacing w:before="171" w:line="228" w:lineRule="auto"/>
              <w:rPr>
                <w:rFonts w:ascii="SimSun" w:hAnsi="SimSun" w:eastAsia="SimSun" w:cs="SimSun"/>
                <w:sz w:val="20"/>
                <w:szCs w:val="20"/>
              </w:rPr>
            </w:pPr>
            <w:r>
              <w:rPr>
                <w:rFonts w:ascii="SimSun" w:hAnsi="SimSun" w:eastAsia="SimSun" w:cs="SimSun"/>
                <w:sz w:val="20"/>
                <w:szCs w:val="20"/>
                <w:spacing w:val="6"/>
              </w:rPr>
              <w:t>危险废物</w:t>
            </w:r>
          </w:p>
        </w:tc>
        <w:tc>
          <w:tcPr>
            <w:tcW w:w="3975" w:type="dxa"/>
            <w:vAlign w:val="top"/>
          </w:tcPr>
          <w:p>
            <w:pPr>
              <w:pStyle w:val="TableText"/>
              <w:ind w:left="1954"/>
              <w:spacing w:before="202" w:line="199" w:lineRule="auto"/>
              <w:rPr/>
            </w:pPr>
            <w:r>
              <w:rPr>
                <w:spacing w:val="2"/>
              </w:rPr>
              <w:t>/</w:t>
            </w:r>
          </w:p>
        </w:tc>
        <w:tc>
          <w:tcPr>
            <w:tcW w:w="3913" w:type="dxa"/>
            <w:vAlign w:val="top"/>
          </w:tcPr>
          <w:p>
            <w:pPr>
              <w:pStyle w:val="TableText"/>
              <w:ind w:left="1924"/>
              <w:spacing w:before="202" w:line="199" w:lineRule="auto"/>
              <w:rPr/>
            </w:pPr>
            <w:r>
              <w:rPr>
                <w:spacing w:val="2"/>
              </w:rPr>
              <w:t>/</w:t>
            </w:r>
          </w:p>
        </w:tc>
        <w:tc>
          <w:tcPr>
            <w:tcW w:w="3807" w:type="dxa"/>
            <w:vAlign w:val="top"/>
          </w:tcPr>
          <w:p>
            <w:pPr>
              <w:pStyle w:val="TableText"/>
              <w:ind w:left="311" w:right="250" w:hanging="55"/>
              <w:spacing w:before="34" w:line="235" w:lineRule="auto"/>
              <w:rPr>
                <w:rFonts w:ascii="SimSun" w:hAnsi="SimSun" w:eastAsia="SimSun" w:cs="SimSun"/>
              </w:rPr>
            </w:pPr>
            <w:r>
              <w:rPr>
                <w:rFonts w:ascii="SimSun" w:hAnsi="SimSun" w:eastAsia="SimSun" w:cs="SimSun"/>
                <w:spacing w:val="5"/>
              </w:rPr>
              <w:t>危废库已建成，</w:t>
            </w:r>
            <w:r>
              <w:rPr>
                <w:spacing w:val="5"/>
              </w:rPr>
              <w:t>2019 </w:t>
            </w:r>
            <w:r>
              <w:rPr>
                <w:rFonts w:ascii="SimSun" w:hAnsi="SimSun" w:eastAsia="SimSun" w:cs="SimSun"/>
                <w:spacing w:val="5"/>
              </w:rPr>
              <w:t>年</w:t>
            </w:r>
            <w:r>
              <w:rPr>
                <w:rFonts w:ascii="SimSun" w:hAnsi="SimSun" w:eastAsia="SimSun" w:cs="SimSun"/>
                <w:spacing w:val="-7"/>
              </w:rPr>
              <w:t xml:space="preserve"> </w:t>
            </w:r>
            <w:r>
              <w:rPr>
                <w:spacing w:val="5"/>
              </w:rPr>
              <w:t>12 </w:t>
            </w:r>
            <w:r>
              <w:rPr>
                <w:rFonts w:ascii="SimSun" w:hAnsi="SimSun" w:eastAsia="SimSun" w:cs="SimSun"/>
                <w:spacing w:val="5"/>
              </w:rPr>
              <w:t>月取得批</w:t>
            </w:r>
            <w:r>
              <w:rPr>
                <w:rFonts w:ascii="SimSun" w:hAnsi="SimSun" w:eastAsia="SimSun" w:cs="SimSun"/>
                <w:spacing w:val="6"/>
              </w:rPr>
              <w:t>复，</w:t>
            </w:r>
            <w:r>
              <w:rPr>
                <w:spacing w:val="6"/>
              </w:rPr>
              <w:t>2020 </w:t>
            </w:r>
            <w:r>
              <w:rPr>
                <w:rFonts w:ascii="SimSun" w:hAnsi="SimSun" w:eastAsia="SimSun" w:cs="SimSun"/>
                <w:spacing w:val="6"/>
              </w:rPr>
              <w:t>年</w:t>
            </w:r>
            <w:r>
              <w:rPr>
                <w:rFonts w:ascii="SimSun" w:hAnsi="SimSun" w:eastAsia="SimSun" w:cs="SimSun"/>
                <w:spacing w:val="-39"/>
              </w:rPr>
              <w:t xml:space="preserve"> </w:t>
            </w:r>
            <w:r>
              <w:rPr>
                <w:spacing w:val="6"/>
              </w:rPr>
              <w:t>9</w:t>
            </w:r>
            <w:r>
              <w:rPr>
                <w:spacing w:val="18"/>
              </w:rPr>
              <w:t xml:space="preserve"> </w:t>
            </w:r>
            <w:r>
              <w:rPr>
                <w:rFonts w:ascii="SimSun" w:hAnsi="SimSun" w:eastAsia="SimSun" w:cs="SimSun"/>
                <w:spacing w:val="6"/>
              </w:rPr>
              <w:t>月通过企业自主验收</w:t>
            </w:r>
          </w:p>
        </w:tc>
      </w:tr>
      <w:tr>
        <w:trPr>
          <w:trHeight w:val="402" w:hRule="atLeast"/>
        </w:trPr>
        <w:tc>
          <w:tcPr>
            <w:tcW w:w="1130" w:type="dxa"/>
            <w:vAlign w:val="top"/>
            <w:vMerge w:val="continue"/>
            <w:tcBorders>
              <w:top w:val="nil"/>
            </w:tcBorders>
          </w:tcPr>
          <w:p>
            <w:pPr>
              <w:rPr>
                <w:rFonts w:ascii="Arial"/>
                <w:sz w:val="21"/>
              </w:rPr>
            </w:pPr>
            <w:r/>
          </w:p>
        </w:tc>
        <w:tc>
          <w:tcPr>
            <w:tcW w:w="1435" w:type="dxa"/>
            <w:vAlign w:val="top"/>
          </w:tcPr>
          <w:p>
            <w:pPr>
              <w:ind w:left="298"/>
              <w:spacing w:before="91" w:line="228" w:lineRule="auto"/>
              <w:rPr>
                <w:rFonts w:ascii="SimSun" w:hAnsi="SimSun" w:eastAsia="SimSun" w:cs="SimSun"/>
                <w:sz w:val="20"/>
                <w:szCs w:val="20"/>
              </w:rPr>
            </w:pPr>
            <w:r>
              <w:rPr>
                <w:rFonts w:ascii="SimSun" w:hAnsi="SimSun" w:eastAsia="SimSun" w:cs="SimSun"/>
                <w:sz w:val="20"/>
                <w:szCs w:val="20"/>
                <w:spacing w:val="7"/>
              </w:rPr>
              <w:t>锅炉灰渣</w:t>
            </w:r>
          </w:p>
        </w:tc>
        <w:tc>
          <w:tcPr>
            <w:tcW w:w="3975" w:type="dxa"/>
            <w:vAlign w:val="top"/>
          </w:tcPr>
          <w:p>
            <w:pPr>
              <w:pStyle w:val="TableText"/>
              <w:ind w:left="1954"/>
              <w:spacing w:before="123" w:line="199" w:lineRule="auto"/>
              <w:rPr/>
            </w:pPr>
            <w:r>
              <w:rPr>
                <w:spacing w:val="2"/>
              </w:rPr>
              <w:t>/</w:t>
            </w:r>
          </w:p>
        </w:tc>
        <w:tc>
          <w:tcPr>
            <w:tcW w:w="3913" w:type="dxa"/>
            <w:vAlign w:val="top"/>
          </w:tcPr>
          <w:p>
            <w:pPr>
              <w:ind w:left="912"/>
              <w:spacing w:before="91" w:line="228" w:lineRule="auto"/>
              <w:rPr>
                <w:rFonts w:ascii="SimSun" w:hAnsi="SimSun" w:eastAsia="SimSun" w:cs="SimSun"/>
                <w:sz w:val="20"/>
                <w:szCs w:val="20"/>
              </w:rPr>
            </w:pPr>
            <w:r>
              <w:rPr>
                <w:rFonts w:ascii="SimSun" w:hAnsi="SimSun" w:eastAsia="SimSun" w:cs="SimSun"/>
                <w:sz w:val="20"/>
                <w:szCs w:val="20"/>
                <w:spacing w:val="8"/>
              </w:rPr>
              <w:t>用于露天矿内道路铺设</w:t>
            </w:r>
          </w:p>
        </w:tc>
        <w:tc>
          <w:tcPr>
            <w:tcW w:w="3807" w:type="dxa"/>
            <w:vAlign w:val="top"/>
          </w:tcPr>
          <w:p>
            <w:pPr>
              <w:ind w:left="858"/>
              <w:spacing w:before="91" w:line="228" w:lineRule="auto"/>
              <w:rPr>
                <w:rFonts w:ascii="SimSun" w:hAnsi="SimSun" w:eastAsia="SimSun" w:cs="SimSun"/>
                <w:sz w:val="20"/>
                <w:szCs w:val="20"/>
              </w:rPr>
            </w:pPr>
            <w:r>
              <w:rPr>
                <w:rFonts w:ascii="SimSun" w:hAnsi="SimSun" w:eastAsia="SimSun" w:cs="SimSun"/>
                <w:sz w:val="20"/>
                <w:szCs w:val="20"/>
                <w:spacing w:val="8"/>
              </w:rPr>
              <w:t>锅炉停用，不产生灰渣</w:t>
            </w:r>
          </w:p>
        </w:tc>
      </w:tr>
      <w:tr>
        <w:trPr>
          <w:trHeight w:val="3094" w:hRule="atLeast"/>
        </w:trPr>
        <w:tc>
          <w:tcPr>
            <w:tcW w:w="1130"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ind w:left="251" w:right="148" w:hanging="103"/>
              <w:spacing w:before="65" w:line="252" w:lineRule="auto"/>
              <w:rPr>
                <w:rFonts w:ascii="SimSun" w:hAnsi="SimSun" w:eastAsia="SimSun" w:cs="SimSun"/>
                <w:sz w:val="20"/>
                <w:szCs w:val="20"/>
              </w:rPr>
            </w:pPr>
            <w:r>
              <w:rPr>
                <w:rFonts w:ascii="SimSun" w:hAnsi="SimSun" w:eastAsia="SimSun" w:cs="SimSun"/>
                <w:sz w:val="20"/>
                <w:szCs w:val="20"/>
                <w:spacing w:val="6"/>
              </w:rPr>
              <w:t>绿化及生</w:t>
            </w:r>
            <w:r>
              <w:rPr>
                <w:rFonts w:ascii="SimSun" w:hAnsi="SimSun" w:eastAsia="SimSun" w:cs="SimSun"/>
                <w:sz w:val="20"/>
                <w:szCs w:val="20"/>
                <w:spacing w:val="6"/>
              </w:rPr>
              <w:t>态恢复</w:t>
            </w:r>
          </w:p>
        </w:tc>
        <w:tc>
          <w:tcPr>
            <w:tcW w:w="1435"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spacing w:line="246" w:lineRule="auto"/>
              <w:rPr>
                <w:rFonts w:ascii="Arial"/>
                <w:sz w:val="21"/>
              </w:rPr>
            </w:pPr>
            <w:r/>
          </w:p>
          <w:p>
            <w:pPr>
              <w:ind w:left="299" w:right="111" w:hanging="191"/>
              <w:spacing w:before="65" w:line="252" w:lineRule="auto"/>
              <w:rPr>
                <w:rFonts w:ascii="SimSun" w:hAnsi="SimSun" w:eastAsia="SimSun" w:cs="SimSun"/>
                <w:sz w:val="20"/>
                <w:szCs w:val="20"/>
              </w:rPr>
            </w:pPr>
            <w:r>
              <w:rPr>
                <w:rFonts w:ascii="SimSun" w:hAnsi="SimSun" w:eastAsia="SimSun" w:cs="SimSun"/>
                <w:sz w:val="20"/>
                <w:szCs w:val="20"/>
                <w:spacing w:val="1"/>
              </w:rPr>
              <w:t>场地绿化、排</w:t>
            </w:r>
            <w:r>
              <w:rPr>
                <w:rFonts w:ascii="SimSun" w:hAnsi="SimSun" w:eastAsia="SimSun" w:cs="SimSun"/>
                <w:sz w:val="20"/>
                <w:szCs w:val="20"/>
                <w:spacing w:val="7"/>
              </w:rPr>
              <w:t>土场复垦</w:t>
            </w:r>
          </w:p>
        </w:tc>
        <w:tc>
          <w:tcPr>
            <w:tcW w:w="3975"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6" w:lineRule="auto"/>
              <w:rPr>
                <w:rFonts w:ascii="Arial"/>
                <w:sz w:val="21"/>
              </w:rPr>
            </w:pPr>
            <w:r/>
          </w:p>
          <w:p>
            <w:pPr>
              <w:ind w:left="111"/>
              <w:spacing w:before="65" w:line="228" w:lineRule="auto"/>
              <w:rPr>
                <w:rFonts w:ascii="SimSun" w:hAnsi="SimSun" w:eastAsia="SimSun" w:cs="SimSun"/>
                <w:sz w:val="20"/>
                <w:szCs w:val="20"/>
              </w:rPr>
            </w:pPr>
            <w:r>
              <w:rPr>
                <w:rFonts w:ascii="SimSun" w:hAnsi="SimSun" w:eastAsia="SimSun" w:cs="SimSun"/>
                <w:sz w:val="20"/>
                <w:szCs w:val="20"/>
                <w:spacing w:val="8"/>
              </w:rPr>
              <w:t>工业广场道路两旁进行绿化，排土场进行</w:t>
            </w:r>
          </w:p>
          <w:p>
            <w:pPr>
              <w:ind w:left="1781"/>
              <w:spacing w:before="24" w:line="229" w:lineRule="auto"/>
              <w:rPr>
                <w:rFonts w:ascii="SimSun" w:hAnsi="SimSun" w:eastAsia="SimSun" w:cs="SimSun"/>
                <w:sz w:val="20"/>
                <w:szCs w:val="20"/>
              </w:rPr>
            </w:pPr>
            <w:r>
              <w:rPr>
                <w:rFonts w:ascii="SimSun" w:hAnsi="SimSun" w:eastAsia="SimSun" w:cs="SimSun"/>
                <w:sz w:val="20"/>
                <w:szCs w:val="20"/>
                <w:spacing w:val="3"/>
              </w:rPr>
              <w:t>绿化</w:t>
            </w:r>
          </w:p>
        </w:tc>
        <w:tc>
          <w:tcPr>
            <w:tcW w:w="3913" w:type="dxa"/>
            <w:vAlign w:val="top"/>
          </w:tcPr>
          <w:p>
            <w:pPr>
              <w:spacing w:line="276" w:lineRule="auto"/>
              <w:rPr>
                <w:rFonts w:ascii="Arial"/>
                <w:sz w:val="21"/>
              </w:rPr>
            </w:pPr>
            <w:r/>
          </w:p>
          <w:p>
            <w:pPr>
              <w:spacing w:line="277" w:lineRule="auto"/>
              <w:rPr>
                <w:rFonts w:ascii="Arial"/>
                <w:sz w:val="21"/>
              </w:rPr>
            </w:pPr>
            <w:r/>
          </w:p>
          <w:p>
            <w:pPr>
              <w:spacing w:line="277" w:lineRule="auto"/>
              <w:rPr>
                <w:rFonts w:ascii="Arial"/>
                <w:sz w:val="21"/>
              </w:rPr>
            </w:pPr>
            <w:r/>
          </w:p>
          <w:p>
            <w:pPr>
              <w:spacing w:line="277" w:lineRule="auto"/>
              <w:rPr>
                <w:rFonts w:ascii="Arial"/>
                <w:sz w:val="21"/>
              </w:rPr>
            </w:pPr>
            <w:r/>
          </w:p>
          <w:p>
            <w:pPr>
              <w:pStyle w:val="TableText"/>
              <w:ind w:left="112" w:right="106"/>
              <w:spacing w:before="65" w:line="252" w:lineRule="auto"/>
              <w:rPr>
                <w:rFonts w:ascii="SimSun" w:hAnsi="SimSun" w:eastAsia="SimSun" w:cs="SimSun"/>
              </w:rPr>
            </w:pPr>
            <w:r>
              <w:rPr>
                <w:rFonts w:ascii="SimSun" w:hAnsi="SimSun" w:eastAsia="SimSun" w:cs="SimSun"/>
                <w:spacing w:val="4"/>
              </w:rPr>
              <w:t>工业广场道路两旁进行绿化，东一排土场</w:t>
            </w:r>
            <w:r>
              <w:rPr>
                <w:rFonts w:ascii="SimSun" w:hAnsi="SimSun" w:eastAsia="SimSun" w:cs="SimSun"/>
                <w:spacing w:val="2"/>
              </w:rPr>
              <w:t>绿化面积</w:t>
            </w:r>
            <w:r>
              <w:rPr>
                <w:rFonts w:ascii="SimSun" w:hAnsi="SimSun" w:eastAsia="SimSun" w:cs="SimSun"/>
                <w:spacing w:val="-23"/>
              </w:rPr>
              <w:t xml:space="preserve"> </w:t>
            </w:r>
            <w:r>
              <w:rPr>
                <w:spacing w:val="2"/>
              </w:rPr>
              <w:t>45.56</w:t>
            </w:r>
            <w:r>
              <w:rPr/>
              <w:t>hm</w:t>
            </w:r>
            <w:r>
              <w:rPr>
                <w:sz w:val="13"/>
                <w:szCs w:val="13"/>
                <w:spacing w:val="2"/>
                <w:position w:val="6"/>
              </w:rPr>
              <w:t>2</w:t>
            </w:r>
            <w:r>
              <w:rPr>
                <w:rFonts w:ascii="SimSun" w:hAnsi="SimSun" w:eastAsia="SimSun" w:cs="SimSun"/>
                <w:spacing w:val="2"/>
              </w:rPr>
              <w:t>，东二排土场绿化面积</w:t>
            </w:r>
          </w:p>
          <w:p>
            <w:pPr>
              <w:pStyle w:val="TableText"/>
              <w:ind w:left="1556"/>
              <w:spacing w:before="1" w:line="213" w:lineRule="auto"/>
              <w:rPr>
                <w:sz w:val="13"/>
                <w:szCs w:val="13"/>
              </w:rPr>
            </w:pPr>
            <w:r>
              <w:rPr>
                <w:spacing w:val="4"/>
              </w:rPr>
              <w:t>92.51</w:t>
            </w:r>
            <w:r>
              <w:rPr/>
              <w:t>hm</w:t>
            </w:r>
            <w:r>
              <w:rPr>
                <w:sz w:val="13"/>
                <w:szCs w:val="13"/>
                <w:spacing w:val="4"/>
                <w:position w:val="6"/>
              </w:rPr>
              <w:t>2</w:t>
            </w:r>
          </w:p>
        </w:tc>
        <w:tc>
          <w:tcPr>
            <w:tcW w:w="3807" w:type="dxa"/>
            <w:vAlign w:val="top"/>
          </w:tcPr>
          <w:p>
            <w:pPr>
              <w:spacing w:line="280" w:lineRule="auto"/>
              <w:rPr>
                <w:rFonts w:ascii="Arial"/>
                <w:sz w:val="21"/>
              </w:rPr>
            </w:pPr>
            <w:r/>
          </w:p>
          <w:p>
            <w:pPr>
              <w:pStyle w:val="TableText"/>
              <w:ind w:left="115"/>
              <w:spacing w:before="65" w:line="228" w:lineRule="auto"/>
              <w:rPr>
                <w:rFonts w:ascii="SimSun" w:hAnsi="SimSun" w:eastAsia="SimSun" w:cs="SimSun"/>
              </w:rPr>
            </w:pPr>
            <w:r>
              <w:rPr>
                <w:rFonts w:ascii="SimSun" w:hAnsi="SimSun" w:eastAsia="SimSun" w:cs="SimSun"/>
                <w:spacing w:val="2"/>
              </w:rPr>
              <w:t>工业广场绿化面积</w:t>
            </w:r>
            <w:r>
              <w:rPr>
                <w:rFonts w:ascii="SimSun" w:hAnsi="SimSun" w:eastAsia="SimSun" w:cs="SimSun"/>
                <w:spacing w:val="-30"/>
              </w:rPr>
              <w:t xml:space="preserve"> </w:t>
            </w:r>
            <w:r>
              <w:rPr>
                <w:spacing w:val="2"/>
              </w:rPr>
              <w:t>9.75</w:t>
            </w:r>
            <w:r>
              <w:rPr/>
              <w:t>hm</w:t>
            </w:r>
            <w:r>
              <w:rPr>
                <w:sz w:val="13"/>
                <w:szCs w:val="13"/>
                <w:spacing w:val="2"/>
                <w:position w:val="6"/>
              </w:rPr>
              <w:t>2</w:t>
            </w:r>
            <w:r>
              <w:rPr>
                <w:rFonts w:ascii="SimSun" w:hAnsi="SimSun" w:eastAsia="SimSun" w:cs="SimSun"/>
                <w:spacing w:val="2"/>
              </w:rPr>
              <w:t>，外排土场进</w:t>
            </w:r>
          </w:p>
          <w:p>
            <w:pPr>
              <w:ind w:left="125"/>
              <w:spacing w:before="25" w:line="228" w:lineRule="auto"/>
              <w:rPr>
                <w:rFonts w:ascii="SimSun" w:hAnsi="SimSun" w:eastAsia="SimSun" w:cs="SimSun"/>
                <w:sz w:val="20"/>
                <w:szCs w:val="20"/>
              </w:rPr>
            </w:pPr>
            <w:r>
              <w:rPr>
                <w:rFonts w:ascii="SimSun" w:hAnsi="SimSun" w:eastAsia="SimSun" w:cs="SimSun"/>
                <w:sz w:val="20"/>
                <w:szCs w:val="20"/>
                <w:spacing w:val="8"/>
              </w:rPr>
              <w:t>行土地复垦、边坡治理工程，种羊草、</w:t>
            </w:r>
          </w:p>
          <w:p>
            <w:pPr>
              <w:pStyle w:val="TableText"/>
              <w:ind w:left="115"/>
              <w:spacing w:before="24" w:line="228" w:lineRule="auto"/>
              <w:rPr>
                <w:rFonts w:ascii="SimSun" w:hAnsi="SimSun" w:eastAsia="SimSun" w:cs="SimSun"/>
              </w:rPr>
            </w:pPr>
            <w:r>
              <w:rPr>
                <w:rFonts w:ascii="SimSun" w:hAnsi="SimSun" w:eastAsia="SimSun" w:cs="SimSun"/>
                <w:spacing w:val="6"/>
              </w:rPr>
              <w:t>苜蓿、植柠条、披碱草等植物，</w:t>
            </w:r>
            <w:r>
              <w:rPr>
                <w:spacing w:val="6"/>
              </w:rPr>
              <w:t>2019 </w:t>
            </w:r>
            <w:r>
              <w:rPr>
                <w:rFonts w:ascii="SimSun" w:hAnsi="SimSun" w:eastAsia="SimSun" w:cs="SimSun"/>
                <w:spacing w:val="6"/>
              </w:rPr>
              <w:t>年</w:t>
            </w:r>
          </w:p>
          <w:p>
            <w:pPr>
              <w:pStyle w:val="TableText"/>
              <w:ind w:left="169"/>
              <w:spacing w:before="24" w:line="227" w:lineRule="auto"/>
              <w:rPr>
                <w:rFonts w:ascii="SimSun" w:hAnsi="SimSun" w:eastAsia="SimSun" w:cs="SimSun"/>
              </w:rPr>
            </w:pPr>
            <w:r>
              <w:rPr>
                <w:spacing w:val="3"/>
              </w:rPr>
              <w:t>11 </w:t>
            </w:r>
            <w:r>
              <w:rPr>
                <w:rFonts w:ascii="SimSun" w:hAnsi="SimSun" w:eastAsia="SimSun" w:cs="SimSun"/>
                <w:spacing w:val="3"/>
              </w:rPr>
              <w:t>月</w:t>
            </w:r>
            <w:r>
              <w:rPr>
                <w:rFonts w:ascii="SimSun" w:hAnsi="SimSun" w:eastAsia="SimSun" w:cs="SimSun"/>
                <w:spacing w:val="-32"/>
              </w:rPr>
              <w:t xml:space="preserve"> </w:t>
            </w:r>
            <w:r>
              <w:rPr>
                <w:spacing w:val="3"/>
              </w:rPr>
              <w:t>27  </w:t>
            </w:r>
            <w:r>
              <w:rPr>
                <w:rFonts w:ascii="SimSun" w:hAnsi="SimSun" w:eastAsia="SimSun" w:cs="SimSun"/>
                <w:spacing w:val="3"/>
              </w:rPr>
              <w:t>日通过了锡林郭勒盟自然资源</w:t>
            </w:r>
          </w:p>
          <w:p>
            <w:pPr>
              <w:ind w:left="124"/>
              <w:spacing w:before="27" w:line="228" w:lineRule="auto"/>
              <w:rPr>
                <w:rFonts w:ascii="SimSun" w:hAnsi="SimSun" w:eastAsia="SimSun" w:cs="SimSun"/>
                <w:sz w:val="20"/>
                <w:szCs w:val="20"/>
              </w:rPr>
            </w:pPr>
            <w:r>
              <w:rPr>
                <w:rFonts w:ascii="SimSun" w:hAnsi="SimSun" w:eastAsia="SimSun" w:cs="SimSun"/>
                <w:sz w:val="20"/>
                <w:szCs w:val="20"/>
                <w:spacing w:val="9"/>
              </w:rPr>
              <w:t>局组织的验收，取得了《内蒙古自治区</w:t>
            </w:r>
          </w:p>
          <w:p>
            <w:pPr>
              <w:ind w:left="121"/>
              <w:spacing w:before="24" w:line="228" w:lineRule="auto"/>
              <w:rPr>
                <w:rFonts w:ascii="SimSun" w:hAnsi="SimSun" w:eastAsia="SimSun" w:cs="SimSun"/>
                <w:sz w:val="20"/>
                <w:szCs w:val="20"/>
              </w:rPr>
            </w:pPr>
            <w:r>
              <w:rPr>
                <w:rFonts w:ascii="SimSun" w:hAnsi="SimSun" w:eastAsia="SimSun" w:cs="SimSun"/>
                <w:sz w:val="20"/>
                <w:szCs w:val="20"/>
                <w:spacing w:val="9"/>
              </w:rPr>
              <w:t>矿山地质环境保护与恢复治理及土地复</w:t>
            </w:r>
          </w:p>
          <w:p>
            <w:pPr>
              <w:pStyle w:val="TableText"/>
              <w:ind w:left="147"/>
              <w:spacing w:before="25" w:line="227" w:lineRule="auto"/>
              <w:rPr>
                <w:rFonts w:ascii="SimSun" w:hAnsi="SimSun" w:eastAsia="SimSun" w:cs="SimSun"/>
              </w:rPr>
            </w:pPr>
            <w:r>
              <w:rPr>
                <w:rFonts w:ascii="SimSun" w:hAnsi="SimSun" w:eastAsia="SimSun" w:cs="SimSun"/>
                <w:spacing w:val="6"/>
              </w:rPr>
              <w:t>垦工程验收意见书》，</w:t>
            </w:r>
            <w:r>
              <w:rPr>
                <w:spacing w:val="6"/>
              </w:rPr>
              <w:t>2020 </w:t>
            </w:r>
            <w:r>
              <w:rPr>
                <w:rFonts w:ascii="SimSun" w:hAnsi="SimSun" w:eastAsia="SimSun" w:cs="SimSun"/>
                <w:spacing w:val="6"/>
              </w:rPr>
              <w:t>年</w:t>
            </w:r>
            <w:r>
              <w:rPr>
                <w:rFonts w:ascii="SimSun" w:hAnsi="SimSun" w:eastAsia="SimSun" w:cs="SimSun"/>
                <w:spacing w:val="-19"/>
              </w:rPr>
              <w:t xml:space="preserve"> </w:t>
            </w:r>
            <w:r>
              <w:rPr>
                <w:spacing w:val="6"/>
              </w:rPr>
              <w:t>10 </w:t>
            </w:r>
            <w:r>
              <w:rPr>
                <w:rFonts w:ascii="SimSun" w:hAnsi="SimSun" w:eastAsia="SimSun" w:cs="SimSun"/>
                <w:spacing w:val="6"/>
              </w:rPr>
              <w:t>月企</w:t>
            </w:r>
          </w:p>
          <w:p>
            <w:pPr>
              <w:ind w:left="121"/>
              <w:spacing w:before="30" w:line="228" w:lineRule="auto"/>
              <w:rPr>
                <w:rFonts w:ascii="SimSun" w:hAnsi="SimSun" w:eastAsia="SimSun" w:cs="SimSun"/>
                <w:sz w:val="20"/>
                <w:szCs w:val="20"/>
              </w:rPr>
            </w:pPr>
            <w:r>
              <w:rPr>
                <w:rFonts w:ascii="SimSun" w:hAnsi="SimSun" w:eastAsia="SimSun" w:cs="SimSun"/>
                <w:sz w:val="20"/>
                <w:szCs w:val="20"/>
                <w:spacing w:val="6"/>
              </w:rPr>
              <w:t>业完成两座排土场削坡治理工程，</w:t>
            </w:r>
            <w:r>
              <w:rPr>
                <w:rFonts w:ascii="SimSun" w:hAnsi="SimSun" w:eastAsia="SimSun" w:cs="SimSun"/>
                <w:sz w:val="20"/>
                <w:szCs w:val="20"/>
                <w:spacing w:val="-42"/>
              </w:rPr>
              <w:t xml:space="preserve"> </w:t>
            </w:r>
            <w:r>
              <w:rPr>
                <w:rFonts w:ascii="SimSun" w:hAnsi="SimSun" w:eastAsia="SimSun" w:cs="SimSun"/>
                <w:sz w:val="20"/>
                <w:szCs w:val="20"/>
                <w:spacing w:val="6"/>
              </w:rPr>
              <w:t>目前</w:t>
            </w:r>
          </w:p>
          <w:p>
            <w:pPr>
              <w:ind w:left="984"/>
              <w:spacing w:before="24" w:line="228" w:lineRule="auto"/>
              <w:rPr>
                <w:rFonts w:ascii="SimSun" w:hAnsi="SimSun" w:eastAsia="SimSun" w:cs="SimSun"/>
                <w:sz w:val="20"/>
                <w:szCs w:val="20"/>
              </w:rPr>
            </w:pPr>
            <w:r>
              <w:rPr>
                <w:rFonts w:ascii="SimSun" w:hAnsi="SimSun" w:eastAsia="SimSun" w:cs="SimSun"/>
                <w:sz w:val="20"/>
                <w:szCs w:val="20"/>
                <w:spacing w:val="6"/>
              </w:rPr>
              <w:t>已完成覆土绿化工程</w:t>
            </w:r>
          </w:p>
        </w:tc>
      </w:tr>
    </w:tbl>
    <w:p>
      <w:pPr>
        <w:pStyle w:val="BodyText"/>
        <w:rPr/>
      </w:pPr>
      <w:r/>
    </w:p>
    <w:p>
      <w:pPr>
        <w:sectPr>
          <w:footerReference w:type="default" r:id="rId93"/>
          <w:pgSz w:w="16838" w:h="11906"/>
          <w:pgMar w:top="1169" w:right="1417" w:bottom="1080" w:left="1130" w:header="836" w:footer="917" w:gutter="0"/>
        </w:sectPr>
        <w:rPr/>
      </w:pPr>
    </w:p>
    <w:p>
      <w:pPr>
        <w:pStyle w:val="BodyText"/>
        <w:spacing w:line="345" w:lineRule="auto"/>
        <w:rPr/>
      </w:pPr>
      <w:r/>
    </w:p>
    <w:p>
      <w:pPr>
        <w:ind w:left="3"/>
        <w:spacing w:before="78" w:line="224" w:lineRule="auto"/>
        <w:rPr>
          <w:rFonts w:ascii="SimHei" w:hAnsi="SimHei" w:eastAsia="SimHei" w:cs="SimHei"/>
          <w:sz w:val="24"/>
          <w:szCs w:val="24"/>
        </w:rPr>
      </w:pPr>
      <w:r>
        <w:rPr>
          <w:rFonts w:ascii="Times New Roman" w:hAnsi="Times New Roman" w:eastAsia="Times New Roman" w:cs="Times New Roman"/>
          <w:sz w:val="24"/>
          <w:szCs w:val="24"/>
          <w:b/>
          <w:bCs/>
          <w:spacing w:val="-1"/>
        </w:rPr>
        <w:t>3.2.1.2 </w:t>
      </w:r>
      <w:r>
        <w:rPr>
          <w:rFonts w:ascii="SimHei" w:hAnsi="SimHei" w:eastAsia="SimHei" w:cs="SimHei"/>
          <w:sz w:val="24"/>
          <w:szCs w:val="24"/>
          <w:b/>
          <w:bCs/>
          <w:spacing w:val="-1"/>
        </w:rPr>
        <w:t>地面总布置</w:t>
      </w:r>
    </w:p>
    <w:p>
      <w:pPr>
        <w:ind w:left="8" w:right="66" w:firstLine="486"/>
        <w:spacing w:before="154" w:line="339" w:lineRule="auto"/>
        <w:rPr>
          <w:rFonts w:ascii="SimSun" w:hAnsi="SimSun" w:eastAsia="SimSun" w:cs="SimSun"/>
          <w:sz w:val="24"/>
          <w:szCs w:val="24"/>
        </w:rPr>
      </w:pPr>
      <w:r>
        <w:rPr>
          <w:rFonts w:ascii="SimSun" w:hAnsi="SimSun" w:eastAsia="SimSun" w:cs="SimSun"/>
          <w:sz w:val="24"/>
          <w:szCs w:val="24"/>
          <w:spacing w:val="-2"/>
        </w:rPr>
        <w:t>露天区为正常生产的煤矿，生产能力</w:t>
      </w:r>
      <w:r>
        <w:rPr>
          <w:rFonts w:ascii="Times New Roman" w:hAnsi="Times New Roman" w:eastAsia="Times New Roman" w:cs="Times New Roman"/>
          <w:sz w:val="24"/>
          <w:szCs w:val="24"/>
          <w:spacing w:val="-2"/>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年。工业场地</w:t>
      </w:r>
      <w:r>
        <w:rPr>
          <w:rFonts w:ascii="SimSun" w:hAnsi="SimSun" w:eastAsia="SimSun" w:cs="SimSun"/>
          <w:sz w:val="24"/>
          <w:szCs w:val="24"/>
          <w:spacing w:val="-3"/>
        </w:rPr>
        <w:t>、地面生产系统、场外</w:t>
      </w:r>
      <w:r>
        <w:rPr>
          <w:rFonts w:ascii="SimSun" w:hAnsi="SimSun" w:eastAsia="SimSun" w:cs="SimSun"/>
          <w:sz w:val="24"/>
          <w:szCs w:val="24"/>
        </w:rPr>
        <w:t>道路等设施均已形成，首采区目前已开采至</w:t>
      </w:r>
      <w:r>
        <w:rPr>
          <w:rFonts w:ascii="SimSun" w:hAnsi="SimSun" w:eastAsia="SimSun" w:cs="SimSun"/>
          <w:sz w:val="24"/>
          <w:szCs w:val="24"/>
          <w:spacing w:val="-1"/>
        </w:rPr>
        <w:t>中东部，实现全内排。</w:t>
      </w:r>
    </w:p>
    <w:p>
      <w:pPr>
        <w:ind w:left="495"/>
        <w:spacing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）采掘场</w:t>
      </w:r>
    </w:p>
    <w:p>
      <w:pPr>
        <w:ind w:left="495"/>
        <w:spacing w:before="154" w:line="219" w:lineRule="auto"/>
        <w:rPr>
          <w:rFonts w:ascii="SimSun" w:hAnsi="SimSun" w:eastAsia="SimSun" w:cs="SimSun"/>
          <w:sz w:val="24"/>
          <w:szCs w:val="24"/>
        </w:rPr>
      </w:pPr>
      <w:r>
        <w:rPr>
          <w:rFonts w:ascii="SimSun" w:hAnsi="SimSun" w:eastAsia="SimSun" w:cs="SimSun"/>
          <w:sz w:val="24"/>
          <w:szCs w:val="24"/>
          <w:spacing w:val="-2"/>
        </w:rPr>
        <w:t>露天区划分为一个采区，采掘场位于矿田东南部，</w:t>
      </w:r>
      <w:r>
        <w:rPr>
          <w:rFonts w:ascii="SimSun" w:hAnsi="SimSun" w:eastAsia="SimSun" w:cs="SimSun"/>
          <w:sz w:val="24"/>
          <w:szCs w:val="24"/>
          <w:spacing w:val="-65"/>
        </w:rPr>
        <w:t xml:space="preserve"> </w:t>
      </w:r>
      <w:r>
        <w:rPr>
          <w:rFonts w:ascii="SimSun" w:hAnsi="SimSun" w:eastAsia="SimSun" w:cs="SimSun"/>
          <w:sz w:val="24"/>
          <w:szCs w:val="24"/>
          <w:spacing w:val="-2"/>
        </w:rPr>
        <w:t>目前</w:t>
      </w:r>
      <w:r>
        <w:rPr>
          <w:rFonts w:ascii="SimSun" w:hAnsi="SimSun" w:eastAsia="SimSun" w:cs="SimSun"/>
          <w:sz w:val="24"/>
          <w:szCs w:val="24"/>
          <w:spacing w:val="-3"/>
        </w:rPr>
        <w:t>已开采至中东部。</w:t>
      </w:r>
    </w:p>
    <w:p>
      <w:pPr>
        <w:ind w:left="495"/>
        <w:spacing w:before="158"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）排土场</w:t>
      </w:r>
    </w:p>
    <w:p>
      <w:pPr>
        <w:ind w:left="7" w:right="66" w:firstLine="487"/>
        <w:spacing w:before="150" w:line="339" w:lineRule="auto"/>
        <w:rPr>
          <w:rFonts w:ascii="SimSun" w:hAnsi="SimSun" w:eastAsia="SimSun" w:cs="SimSun"/>
          <w:sz w:val="24"/>
          <w:szCs w:val="24"/>
        </w:rPr>
      </w:pPr>
      <w:r>
        <w:rPr>
          <w:rFonts w:ascii="SimSun" w:hAnsi="SimSun" w:eastAsia="SimSun" w:cs="SimSun"/>
          <w:sz w:val="24"/>
          <w:szCs w:val="24"/>
          <w:spacing w:val="-3"/>
        </w:rPr>
        <w:t>露天区含</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座内排土场和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座外排土场。内排土场位于采区的南部，与采掘场紧邻</w:t>
      </w:r>
      <w:r>
        <w:rPr>
          <w:rFonts w:ascii="SimSun" w:hAnsi="SimSun" w:eastAsia="SimSun" w:cs="SimSun"/>
          <w:sz w:val="24"/>
          <w:szCs w:val="24"/>
        </w:rPr>
        <w:t>布置。</w:t>
      </w:r>
      <w:r>
        <w:rPr>
          <w:rFonts w:ascii="Times New Roman" w:hAnsi="Times New Roman" w:eastAsia="Times New Roman" w:cs="Times New Roman"/>
          <w:sz w:val="24"/>
          <w:szCs w:val="24"/>
        </w:rPr>
        <w:t>2 </w:t>
      </w:r>
      <w:r>
        <w:rPr>
          <w:rFonts w:ascii="SimSun" w:hAnsi="SimSun" w:eastAsia="SimSun" w:cs="SimSun"/>
          <w:sz w:val="24"/>
          <w:szCs w:val="24"/>
        </w:rPr>
        <w:t>个外排土场，即：东一号外排土场及东二号外排土场，均位于露天区采掘场东</w:t>
      </w:r>
      <w:r>
        <w:rPr>
          <w:rFonts w:ascii="SimSun" w:hAnsi="SimSun" w:eastAsia="SimSun" w:cs="SimSun"/>
          <w:sz w:val="24"/>
          <w:szCs w:val="24"/>
          <w:spacing w:val="-1"/>
        </w:rPr>
        <w:t>侧，现已经停止排弃并已进入生态修复阶段</w:t>
      </w:r>
      <w:r>
        <w:rPr>
          <w:rFonts w:ascii="SimSun" w:hAnsi="SimSun" w:eastAsia="SimSun" w:cs="SimSun"/>
          <w:sz w:val="24"/>
          <w:szCs w:val="24"/>
          <w:spacing w:val="-2"/>
        </w:rPr>
        <w:t>，矿田目前进入全内排时期，东一排土场最</w:t>
      </w:r>
      <w:r>
        <w:rPr>
          <w:rFonts w:ascii="SimSun" w:hAnsi="SimSun" w:eastAsia="SimSun" w:cs="SimSun"/>
          <w:sz w:val="24"/>
          <w:szCs w:val="24"/>
          <w:spacing w:val="-4"/>
        </w:rPr>
        <w:t>终排弃高度</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60m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w:t>
      </w:r>
      <w:r>
        <w:rPr>
          <w:rFonts w:ascii="SimSun" w:hAnsi="SimSun" w:eastAsia="SimSun" w:cs="SimSun"/>
          <w:sz w:val="24"/>
          <w:szCs w:val="24"/>
          <w:spacing w:val="-71"/>
        </w:rPr>
        <w:t xml:space="preserve"> </w:t>
      </w:r>
      <w:r>
        <w:rPr>
          <w:rFonts w:ascii="SimSun" w:hAnsi="SimSun" w:eastAsia="SimSun" w:cs="SimSun"/>
          <w:sz w:val="24"/>
          <w:szCs w:val="24"/>
          <w:spacing w:val="-4"/>
        </w:rPr>
        <w:t>占地面积约为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4"/>
        </w:rPr>
        <w:t>144hm</w:t>
      </w:r>
      <w:r>
        <w:rPr>
          <w:rFonts w:ascii="Times New Roman" w:hAnsi="Times New Roman" w:eastAsia="Times New Roman" w:cs="Times New Roman"/>
          <w:sz w:val="15"/>
          <w:szCs w:val="15"/>
          <w:spacing w:val="-4"/>
          <w:position w:val="8"/>
        </w:rPr>
        <w:t>2 </w:t>
      </w:r>
      <w:r>
        <w:rPr>
          <w:rFonts w:ascii="SimSun" w:hAnsi="SimSun" w:eastAsia="SimSun" w:cs="SimSun"/>
          <w:sz w:val="24"/>
          <w:szCs w:val="24"/>
          <w:spacing w:val="-4"/>
        </w:rPr>
        <w:t>；东二排土场最终排弃</w:t>
      </w:r>
      <w:r>
        <w:rPr>
          <w:rFonts w:ascii="SimSun" w:hAnsi="SimSun" w:eastAsia="SimSun" w:cs="SimSun"/>
          <w:sz w:val="24"/>
          <w:szCs w:val="24"/>
          <w:spacing w:val="-5"/>
        </w:rPr>
        <w:t>高度</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5"/>
        </w:rPr>
        <w:t>90m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5"/>
        </w:rPr>
        <w:t>，</w:t>
      </w:r>
      <w:r>
        <w:rPr>
          <w:rFonts w:ascii="SimSun" w:hAnsi="SimSun" w:eastAsia="SimSun" w:cs="SimSun"/>
          <w:sz w:val="24"/>
          <w:szCs w:val="24"/>
          <w:spacing w:val="-69"/>
        </w:rPr>
        <w:t xml:space="preserve"> </w:t>
      </w:r>
      <w:r>
        <w:rPr>
          <w:rFonts w:ascii="SimSun" w:hAnsi="SimSun" w:eastAsia="SimSun" w:cs="SimSun"/>
          <w:sz w:val="24"/>
          <w:szCs w:val="24"/>
          <w:spacing w:val="-5"/>
        </w:rPr>
        <w:t>占地面积约</w:t>
      </w:r>
      <w:r>
        <w:rPr>
          <w:rFonts w:ascii="SimSun" w:hAnsi="SimSun" w:eastAsia="SimSun" w:cs="SimSun"/>
          <w:sz w:val="24"/>
          <w:szCs w:val="24"/>
          <w:spacing w:val="-5"/>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114hm</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w:t>
      </w:r>
    </w:p>
    <w:p>
      <w:pPr>
        <w:ind w:left="495"/>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）工业场地</w:t>
      </w:r>
    </w:p>
    <w:p>
      <w:pPr>
        <w:ind w:left="8" w:right="66" w:firstLine="482"/>
        <w:spacing w:before="155" w:line="338" w:lineRule="auto"/>
        <w:rPr>
          <w:rFonts w:ascii="SimSun" w:hAnsi="SimSun" w:eastAsia="SimSun" w:cs="SimSun"/>
          <w:sz w:val="24"/>
          <w:szCs w:val="24"/>
        </w:rPr>
      </w:pPr>
      <w:r>
        <w:rPr>
          <w:rFonts w:ascii="SimSun" w:hAnsi="SimSun" w:eastAsia="SimSun" w:cs="SimSun"/>
          <w:sz w:val="24"/>
          <w:szCs w:val="24"/>
          <w:spacing w:val="-1"/>
        </w:rPr>
        <w:t>现有露天区工业场地位于露天外排土场东侧约</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500m</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处，设有大型设备组装场地、</w:t>
      </w:r>
      <w:r>
        <w:rPr>
          <w:rFonts w:ascii="SimSun" w:hAnsi="SimSun" w:eastAsia="SimSun" w:cs="SimSun"/>
          <w:sz w:val="24"/>
          <w:szCs w:val="24"/>
          <w:spacing w:val="-3"/>
        </w:rPr>
        <w:t>机修、车库区、行政生活区等，工业场地总占地面积</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26.01hm</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3"/>
        </w:rPr>
        <w:t>。露天区工业场地布置图</w:t>
      </w:r>
      <w:r>
        <w:rPr>
          <w:rFonts w:ascii="SimSun" w:hAnsi="SimSun" w:eastAsia="SimSun" w:cs="SimSun"/>
          <w:sz w:val="24"/>
          <w:szCs w:val="24"/>
          <w:spacing w:val="-3"/>
        </w:rPr>
        <w:t>见</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3-2-3</w:t>
      </w:r>
      <w:r>
        <w:rPr>
          <w:rFonts w:ascii="SimSun" w:hAnsi="SimSun" w:eastAsia="SimSun" w:cs="SimSun"/>
          <w:sz w:val="24"/>
          <w:szCs w:val="24"/>
          <w:spacing w:val="-3"/>
        </w:rPr>
        <w:t>。</w:t>
      </w:r>
    </w:p>
    <w:p>
      <w:pPr>
        <w:ind w:left="495"/>
        <w:spacing w:line="222"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）加油站</w:t>
      </w:r>
    </w:p>
    <w:p>
      <w:pPr>
        <w:ind w:left="495"/>
        <w:spacing w:before="151" w:line="219" w:lineRule="auto"/>
        <w:rPr>
          <w:rFonts w:ascii="SimSun" w:hAnsi="SimSun" w:eastAsia="SimSun" w:cs="SimSun"/>
          <w:sz w:val="24"/>
          <w:szCs w:val="24"/>
        </w:rPr>
      </w:pPr>
      <w:r>
        <w:rPr>
          <w:rFonts w:ascii="SimSun" w:hAnsi="SimSun" w:eastAsia="SimSun" w:cs="SimSun"/>
          <w:sz w:val="24"/>
          <w:szCs w:val="24"/>
          <w:spacing w:val="-2"/>
        </w:rPr>
        <w:t>露天区现有加油站位于工业场地北侧入口处，</w:t>
      </w:r>
      <w:r>
        <w:rPr>
          <w:rFonts w:ascii="SimSun" w:hAnsi="SimSun" w:eastAsia="SimSun" w:cs="SimSun"/>
          <w:sz w:val="24"/>
          <w:szCs w:val="24"/>
          <w:spacing w:val="-71"/>
        </w:rPr>
        <w:t xml:space="preserve"> </w:t>
      </w:r>
      <w:r>
        <w:rPr>
          <w:rFonts w:ascii="SimSun" w:hAnsi="SimSun" w:eastAsia="SimSun" w:cs="SimSun"/>
          <w:sz w:val="24"/>
          <w:szCs w:val="24"/>
          <w:spacing w:val="-2"/>
        </w:rPr>
        <w:t>占地面积约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0.5</w:t>
      </w:r>
      <w:r>
        <w:rPr>
          <w:rFonts w:ascii="Times New Roman" w:hAnsi="Times New Roman" w:eastAsia="Times New Roman" w:cs="Times New Roman"/>
          <w:sz w:val="24"/>
          <w:szCs w:val="24"/>
          <w:spacing w:val="-3"/>
        </w:rPr>
        <w:t>9hm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p>
    <w:p>
      <w:pPr>
        <w:ind w:left="3"/>
        <w:spacing w:before="187"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3.2.1.3 </w:t>
      </w:r>
      <w:r>
        <w:rPr>
          <w:rFonts w:ascii="SimHei" w:hAnsi="SimHei" w:eastAsia="SimHei" w:cs="SimHei"/>
          <w:sz w:val="24"/>
          <w:szCs w:val="24"/>
          <w:b/>
          <w:bCs/>
          <w:spacing w:val="-1"/>
        </w:rPr>
        <w:t>采矿工程</w:t>
      </w:r>
    </w:p>
    <w:p>
      <w:pPr>
        <w:ind w:left="13" w:firstLine="521"/>
        <w:spacing w:before="161" w:line="338" w:lineRule="auto"/>
        <w:rPr>
          <w:rFonts w:ascii="SimSun" w:hAnsi="SimSun" w:eastAsia="SimSun" w:cs="SimSun"/>
          <w:sz w:val="24"/>
          <w:szCs w:val="24"/>
        </w:rPr>
      </w:pPr>
      <w:r>
        <w:rPr>
          <w:rFonts w:ascii="SimSun" w:hAnsi="SimSun" w:eastAsia="SimSun" w:cs="SimSun"/>
          <w:sz w:val="24"/>
          <w:szCs w:val="24"/>
          <w:spacing w:val="-8"/>
        </w:rPr>
        <w:t>目前采掘场工作线基本南北方向全部拉开，直至露天区服务结束，均视作一个采区，</w:t>
      </w:r>
      <w:r>
        <w:rPr>
          <w:rFonts w:ascii="SimSun" w:hAnsi="SimSun" w:eastAsia="SimSun" w:cs="SimSun"/>
          <w:sz w:val="24"/>
          <w:szCs w:val="24"/>
          <w:spacing w:val="-2"/>
        </w:rPr>
        <w:t>不必对采区进行细分。</w:t>
      </w:r>
    </w:p>
    <w:p>
      <w:pPr>
        <w:ind w:left="508"/>
        <w:spacing w:line="218"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、开采工艺及开采参数</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）开采工艺</w:t>
      </w:r>
    </w:p>
    <w:p>
      <w:pPr>
        <w:ind w:left="8" w:right="66" w:firstLine="486"/>
        <w:spacing w:before="155" w:line="339" w:lineRule="auto"/>
        <w:rPr>
          <w:rFonts w:ascii="SimSun" w:hAnsi="SimSun" w:eastAsia="SimSun" w:cs="SimSun"/>
          <w:sz w:val="24"/>
          <w:szCs w:val="24"/>
        </w:rPr>
      </w:pPr>
      <w:r>
        <w:rPr>
          <w:rFonts w:ascii="SimSun" w:hAnsi="SimSun" w:eastAsia="SimSun" w:cs="SimSun"/>
          <w:sz w:val="24"/>
          <w:szCs w:val="24"/>
          <w:spacing w:val="-2"/>
        </w:rPr>
        <w:t>露天区正常生产多年，剥离采用单斗</w:t>
      </w:r>
      <w:r>
        <w:rPr>
          <w:rFonts w:ascii="Times New Roman" w:hAnsi="Times New Roman" w:eastAsia="Times New Roman" w:cs="Times New Roman"/>
          <w:sz w:val="24"/>
          <w:szCs w:val="24"/>
          <w:spacing w:val="-2"/>
        </w:rPr>
        <w:t>——</w:t>
      </w:r>
      <w:r>
        <w:rPr>
          <w:rFonts w:ascii="SimSun" w:hAnsi="SimSun" w:eastAsia="SimSun" w:cs="SimSun"/>
          <w:sz w:val="24"/>
          <w:szCs w:val="24"/>
          <w:spacing w:val="-2"/>
        </w:rPr>
        <w:t>卡车工艺；采煤采用单斗</w:t>
      </w:r>
      <w:r>
        <w:rPr>
          <w:rFonts w:ascii="Times New Roman" w:hAnsi="Times New Roman" w:eastAsia="Times New Roman" w:cs="Times New Roman"/>
          <w:sz w:val="24"/>
          <w:szCs w:val="24"/>
          <w:spacing w:val="-2"/>
        </w:rPr>
        <w:t>——</w:t>
      </w:r>
      <w:r>
        <w:rPr>
          <w:rFonts w:ascii="SimSun" w:hAnsi="SimSun" w:eastAsia="SimSun" w:cs="SimSun"/>
          <w:sz w:val="24"/>
          <w:szCs w:val="24"/>
          <w:spacing w:val="-2"/>
        </w:rPr>
        <w:t>卡车半移动</w:t>
      </w:r>
      <w:r>
        <w:rPr>
          <w:rFonts w:ascii="SimSun" w:hAnsi="SimSun" w:eastAsia="SimSun" w:cs="SimSun"/>
          <w:sz w:val="24"/>
          <w:szCs w:val="24"/>
          <w:spacing w:val="-1"/>
        </w:rPr>
        <w:t>破碎机</w:t>
      </w:r>
      <w:r>
        <w:rPr>
          <w:rFonts w:ascii="Times New Roman" w:hAnsi="Times New Roman" w:eastAsia="Times New Roman" w:cs="Times New Roman"/>
          <w:sz w:val="24"/>
          <w:szCs w:val="24"/>
          <w:spacing w:val="-1"/>
        </w:rPr>
        <w:t>——</w:t>
      </w:r>
      <w:r>
        <w:rPr>
          <w:rFonts w:ascii="SimSun" w:hAnsi="SimSun" w:eastAsia="SimSun" w:cs="SimSun"/>
          <w:sz w:val="24"/>
          <w:szCs w:val="24"/>
          <w:spacing w:val="-1"/>
        </w:rPr>
        <w:t>胶带运输机的半连续工艺，可以满足生产需要。</w:t>
      </w:r>
    </w:p>
    <w:p>
      <w:pPr>
        <w:ind w:left="495"/>
        <w:spacing w:before="1"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）开采参数</w:t>
      </w:r>
    </w:p>
    <w:p>
      <w:pPr>
        <w:ind w:left="29" w:right="66" w:firstLine="463"/>
        <w:spacing w:before="154" w:line="339" w:lineRule="auto"/>
        <w:rPr>
          <w:rFonts w:ascii="SimSun" w:hAnsi="SimSun" w:eastAsia="SimSun" w:cs="SimSun"/>
          <w:sz w:val="24"/>
          <w:szCs w:val="24"/>
        </w:rPr>
      </w:pPr>
      <w:r>
        <w:rPr>
          <w:rFonts w:ascii="SimSun" w:hAnsi="SimSun" w:eastAsia="SimSun" w:cs="SimSun"/>
          <w:sz w:val="24"/>
          <w:szCs w:val="24"/>
          <w:spacing w:val="-2"/>
        </w:rPr>
        <w:t>剥离采用单斗</w:t>
      </w:r>
      <w:r>
        <w:rPr>
          <w:rFonts w:ascii="Times New Roman" w:hAnsi="Times New Roman" w:eastAsia="Times New Roman" w:cs="Times New Roman"/>
          <w:sz w:val="24"/>
          <w:szCs w:val="24"/>
          <w:spacing w:val="-2"/>
        </w:rPr>
        <w:t>——</w:t>
      </w:r>
      <w:r>
        <w:rPr>
          <w:rFonts w:ascii="SimSun" w:hAnsi="SimSun" w:eastAsia="SimSun" w:cs="SimSun"/>
          <w:sz w:val="24"/>
          <w:szCs w:val="24"/>
          <w:spacing w:val="-2"/>
        </w:rPr>
        <w:t>卡车工艺；采煤采用单斗</w:t>
      </w:r>
      <w:r>
        <w:rPr>
          <w:rFonts w:ascii="Times New Roman" w:hAnsi="Times New Roman" w:eastAsia="Times New Roman" w:cs="Times New Roman"/>
          <w:sz w:val="24"/>
          <w:szCs w:val="24"/>
          <w:spacing w:val="-2"/>
        </w:rPr>
        <w:t>——</w:t>
      </w:r>
      <w:r>
        <w:rPr>
          <w:rFonts w:ascii="SimSun" w:hAnsi="SimSun" w:eastAsia="SimSun" w:cs="SimSun"/>
          <w:sz w:val="24"/>
          <w:szCs w:val="24"/>
          <w:spacing w:val="-2"/>
        </w:rPr>
        <w:t>卡车半移动破碎机</w:t>
      </w:r>
      <w:r>
        <w:rPr>
          <w:rFonts w:ascii="Times New Roman" w:hAnsi="Times New Roman" w:eastAsia="Times New Roman" w:cs="Times New Roman"/>
          <w:sz w:val="24"/>
          <w:szCs w:val="24"/>
          <w:spacing w:val="-2"/>
        </w:rPr>
        <w:t>——</w:t>
      </w:r>
      <w:r>
        <w:rPr>
          <w:rFonts w:ascii="SimSun" w:hAnsi="SimSun" w:eastAsia="SimSun" w:cs="SimSun"/>
          <w:sz w:val="24"/>
          <w:szCs w:val="24"/>
          <w:spacing w:val="-2"/>
        </w:rPr>
        <w:t>胶带运输机</w:t>
      </w:r>
      <w:r>
        <w:rPr>
          <w:rFonts w:ascii="SimSun" w:hAnsi="SimSun" w:eastAsia="SimSun" w:cs="SimSun"/>
          <w:sz w:val="24"/>
          <w:szCs w:val="24"/>
          <w:spacing w:val="-5"/>
        </w:rPr>
        <w:t>的半连续工艺。</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）台阶高度</w:t>
      </w:r>
    </w:p>
    <w:p>
      <w:pPr>
        <w:ind w:left="10" w:right="66" w:firstLine="497"/>
        <w:spacing w:before="155" w:line="339" w:lineRule="auto"/>
        <w:rPr>
          <w:rFonts w:ascii="SimSun" w:hAnsi="SimSun" w:eastAsia="SimSun" w:cs="SimSun"/>
          <w:sz w:val="24"/>
          <w:szCs w:val="24"/>
        </w:rPr>
      </w:pPr>
      <w:r>
        <w:rPr>
          <w:rFonts w:ascii="SimSun" w:hAnsi="SimSun" w:eastAsia="SimSun" w:cs="SimSun"/>
          <w:sz w:val="24"/>
          <w:szCs w:val="24"/>
          <w:spacing w:val="-2"/>
        </w:rPr>
        <w:t>台阶高度是根据该露天矿剥离土岩性质、工艺特点、设备规格、开拓</w:t>
      </w:r>
      <w:r>
        <w:rPr>
          <w:rFonts w:ascii="SimSun" w:hAnsi="SimSun" w:eastAsia="SimSun" w:cs="SimSun"/>
          <w:sz w:val="24"/>
          <w:szCs w:val="24"/>
          <w:spacing w:val="-3"/>
        </w:rPr>
        <w:t>开采要求以及</w:t>
      </w:r>
      <w:r>
        <w:rPr>
          <w:rFonts w:ascii="SimSun" w:hAnsi="SimSun" w:eastAsia="SimSun" w:cs="SimSun"/>
          <w:sz w:val="24"/>
          <w:szCs w:val="24"/>
          <w:spacing w:val="-2"/>
        </w:rPr>
        <w:t>从改善设备作业条件、提高设备生产效率等因素综合考虑确定。台阶高度是露天矿的主</w:t>
      </w:r>
      <w:r>
        <w:rPr>
          <w:rFonts w:ascii="SimSun" w:hAnsi="SimSun" w:eastAsia="SimSun" w:cs="SimSun"/>
          <w:sz w:val="24"/>
          <w:szCs w:val="24"/>
          <w:spacing w:val="-2"/>
        </w:rPr>
        <w:t>要开采参数之一，设计考虑液压挖掘机最大挖掘深度，对剥离的台阶高度确定如下：剥</w:t>
      </w:r>
      <w:r>
        <w:rPr>
          <w:rFonts w:ascii="SimSun" w:hAnsi="SimSun" w:eastAsia="SimSun" w:cs="SimSun"/>
          <w:sz w:val="24"/>
          <w:szCs w:val="24"/>
          <w:spacing w:val="-2"/>
        </w:rPr>
        <w:t>离台阶高度</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12m(</w:t>
      </w:r>
      <w:r>
        <w:rPr>
          <w:rFonts w:ascii="SimSun" w:hAnsi="SimSun" w:eastAsia="SimSun" w:cs="SimSun"/>
          <w:sz w:val="24"/>
          <w:szCs w:val="24"/>
          <w:spacing w:val="-2"/>
        </w:rPr>
        <w:t>最大不超过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，表土层水平、煤层中夹矸倾斜划分台阶。剥</w:t>
      </w:r>
      <w:r>
        <w:rPr>
          <w:rFonts w:ascii="SimSun" w:hAnsi="SimSun" w:eastAsia="SimSun" w:cs="SimSun"/>
          <w:sz w:val="24"/>
          <w:szCs w:val="24"/>
          <w:spacing w:val="-3"/>
        </w:rPr>
        <w:t>采设备</w:t>
      </w:r>
    </w:p>
    <w:p>
      <w:pPr>
        <w:spacing w:line="339" w:lineRule="auto"/>
        <w:sectPr>
          <w:headerReference w:type="default" r:id="rId94"/>
          <w:footerReference w:type="default" r:id="rId95"/>
          <w:pgSz w:w="11906" w:h="16838"/>
          <w:pgMar w:top="1170" w:right="1351" w:bottom="1080" w:left="1416" w:header="837" w:footer="918" w:gutter="0"/>
        </w:sectPr>
        <w:rPr>
          <w:rFonts w:ascii="SimSun" w:hAnsi="SimSun" w:eastAsia="SimSun" w:cs="SimSun"/>
          <w:sz w:val="24"/>
          <w:szCs w:val="24"/>
        </w:rPr>
      </w:pPr>
    </w:p>
    <w:p>
      <w:pPr>
        <w:pStyle w:val="BodyText"/>
        <w:spacing w:line="311" w:lineRule="auto"/>
        <w:rPr/>
      </w:pPr>
      <w:r/>
    </w:p>
    <w:p>
      <w:pPr>
        <w:ind w:left="12"/>
        <w:spacing w:before="78" w:line="219" w:lineRule="auto"/>
        <w:rPr>
          <w:rFonts w:ascii="SimSun" w:hAnsi="SimSun" w:eastAsia="SimSun" w:cs="SimSun"/>
          <w:sz w:val="24"/>
          <w:szCs w:val="24"/>
        </w:rPr>
      </w:pPr>
      <w:r>
        <w:rPr>
          <w:rFonts w:ascii="SimSun" w:hAnsi="SimSun" w:eastAsia="SimSun" w:cs="SimSun"/>
          <w:sz w:val="24"/>
          <w:szCs w:val="24"/>
          <w:spacing w:val="-2"/>
        </w:rPr>
        <w:t>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2.8  </w:t>
      </w:r>
      <w:r>
        <w:rPr>
          <w:rFonts w:ascii="SimSun" w:hAnsi="SimSun" w:eastAsia="SimSun" w:cs="SimSun"/>
          <w:sz w:val="24"/>
          <w:szCs w:val="24"/>
          <w:spacing w:val="-2"/>
        </w:rPr>
        <w:t>～</w:t>
      </w:r>
      <w:r>
        <w:rPr>
          <w:rFonts w:ascii="Times New Roman" w:hAnsi="Times New Roman" w:eastAsia="Times New Roman" w:cs="Times New Roman"/>
          <w:sz w:val="24"/>
          <w:szCs w:val="24"/>
          <w:spacing w:val="-2"/>
        </w:rPr>
        <w:t>3.2m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3"/>
          <w:w w:val="101"/>
          <w:position w:val="7"/>
        </w:rPr>
        <w:t xml:space="preserve"> </w:t>
      </w:r>
      <w:r>
        <w:rPr>
          <w:rFonts w:ascii="SimSun" w:hAnsi="SimSun" w:eastAsia="SimSun" w:cs="SimSun"/>
          <w:sz w:val="24"/>
          <w:szCs w:val="24"/>
          <w:spacing w:val="-2"/>
        </w:rPr>
        <w:t>液压挖掘机，采用分层作业方式，以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4m </w:t>
      </w:r>
      <w:r>
        <w:rPr>
          <w:rFonts w:ascii="SimSun" w:hAnsi="SimSun" w:eastAsia="SimSun" w:cs="SimSun"/>
          <w:sz w:val="24"/>
          <w:szCs w:val="24"/>
          <w:spacing w:val="-2"/>
        </w:rPr>
        <w:t>划分小台阶进行开采。</w:t>
      </w:r>
    </w:p>
    <w:p>
      <w:pPr>
        <w:ind w:left="485"/>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）采煤台阶高度</w:t>
      </w:r>
    </w:p>
    <w:p>
      <w:pPr>
        <w:ind w:left="8" w:firstLine="510"/>
        <w:spacing w:before="156" w:line="338" w:lineRule="auto"/>
        <w:rPr>
          <w:rFonts w:ascii="SimSun" w:hAnsi="SimSun" w:eastAsia="SimSun" w:cs="SimSun"/>
          <w:sz w:val="24"/>
          <w:szCs w:val="24"/>
        </w:rPr>
      </w:pPr>
      <w:r>
        <w:rPr>
          <w:rFonts w:ascii="SimSun" w:hAnsi="SimSun" w:eastAsia="SimSun" w:cs="SimSun"/>
          <w:sz w:val="24"/>
          <w:szCs w:val="24"/>
          <w:spacing w:val="-3"/>
        </w:rPr>
        <w:t>由于煤层倾角约为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SimSun" w:hAnsi="SimSun" w:eastAsia="SimSun" w:cs="SimSun"/>
          <w:sz w:val="24"/>
          <w:szCs w:val="24"/>
          <w:spacing w:val="51"/>
        </w:rPr>
        <w:t xml:space="preserve"> </w:t>
      </w:r>
      <w:r>
        <w:rPr>
          <w:rFonts w:ascii="SimSun" w:hAnsi="SimSun" w:eastAsia="SimSun" w:cs="SimSun"/>
          <w:sz w:val="24"/>
          <w:szCs w:val="24"/>
          <w:spacing w:val="-3"/>
        </w:rPr>
        <w:t>因此采用水平分层划分台阶。由于该</w:t>
      </w:r>
      <w:r>
        <w:rPr>
          <w:rFonts w:ascii="SimSun" w:hAnsi="SimSun" w:eastAsia="SimSun" w:cs="SimSun"/>
          <w:sz w:val="24"/>
          <w:szCs w:val="24"/>
          <w:spacing w:val="-4"/>
        </w:rPr>
        <w:t>矿煤层厚度较大，</w:t>
      </w:r>
      <w:r>
        <w:rPr>
          <w:rFonts w:ascii="SimSun" w:hAnsi="SimSun" w:eastAsia="SimSun" w:cs="SimSun"/>
          <w:sz w:val="24"/>
          <w:szCs w:val="24"/>
          <w:spacing w:val="-4"/>
        </w:rPr>
        <w:t>采煤台阶高度为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12m</w:t>
      </w:r>
      <w:r>
        <w:rPr>
          <w:rFonts w:ascii="SimSun" w:hAnsi="SimSun" w:eastAsia="SimSun" w:cs="SimSun"/>
          <w:sz w:val="24"/>
          <w:szCs w:val="24"/>
          <w:spacing w:val="-4"/>
        </w:rPr>
        <w:t>。采煤设备为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2.8m</w:t>
      </w:r>
      <w:r>
        <w:rPr>
          <w:rFonts w:ascii="Times New Roman" w:hAnsi="Times New Roman" w:eastAsia="Times New Roman" w:cs="Times New Roman"/>
          <w:sz w:val="15"/>
          <w:szCs w:val="15"/>
          <w:spacing w:val="-4"/>
          <w:position w:val="7"/>
        </w:rPr>
        <w:t>3</w:t>
      </w:r>
      <w:r>
        <w:rPr>
          <w:rFonts w:ascii="Times New Roman" w:hAnsi="Times New Roman" w:eastAsia="Times New Roman" w:cs="Times New Roman"/>
          <w:sz w:val="15"/>
          <w:szCs w:val="15"/>
          <w:spacing w:val="13"/>
          <w:w w:val="101"/>
          <w:position w:val="7"/>
        </w:rPr>
        <w:t xml:space="preserve"> </w:t>
      </w:r>
      <w:r>
        <w:rPr>
          <w:rFonts w:ascii="SimSun" w:hAnsi="SimSun" w:eastAsia="SimSun" w:cs="SimSun"/>
          <w:sz w:val="24"/>
          <w:szCs w:val="24"/>
          <w:spacing w:val="-4"/>
        </w:rPr>
        <w:t>液压挖掘机，采用分层作业方</w:t>
      </w:r>
      <w:r>
        <w:rPr>
          <w:rFonts w:ascii="SimSun" w:hAnsi="SimSun" w:eastAsia="SimSun" w:cs="SimSun"/>
          <w:sz w:val="24"/>
          <w:szCs w:val="24"/>
          <w:spacing w:val="-5"/>
        </w:rPr>
        <w:t>式，以</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5"/>
        </w:rPr>
        <w:t>4</w:t>
      </w: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w:t>
      </w:r>
      <w:r>
        <w:rPr>
          <w:rFonts w:ascii="Times New Roman" w:hAnsi="Times New Roman" w:eastAsia="Times New Roman" w:cs="Times New Roman"/>
          <w:sz w:val="24"/>
          <w:szCs w:val="24"/>
          <w:spacing w:val="-5"/>
        </w:rPr>
        <w:t>4m</w:t>
      </w:r>
      <w:r>
        <w:rPr>
          <w:rFonts w:ascii="SimSun" w:hAnsi="SimSun" w:eastAsia="SimSun" w:cs="SimSun"/>
          <w:sz w:val="24"/>
          <w:szCs w:val="24"/>
          <w:spacing w:val="-1"/>
        </w:rPr>
        <w:t>划分小台阶进行开采。</w:t>
      </w:r>
    </w:p>
    <w:p>
      <w:pPr>
        <w:ind w:left="489"/>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）台阶坡面角</w:t>
      </w:r>
    </w:p>
    <w:p>
      <w:pPr>
        <w:ind w:left="508"/>
        <w:spacing w:before="156" w:line="216" w:lineRule="auto"/>
        <w:rPr>
          <w:rFonts w:ascii="SimSun" w:hAnsi="SimSun" w:eastAsia="SimSun" w:cs="SimSun"/>
          <w:sz w:val="24"/>
          <w:szCs w:val="24"/>
        </w:rPr>
      </w:pPr>
      <w:r>
        <w:rPr>
          <w:rFonts w:ascii="SimSun" w:hAnsi="SimSun" w:eastAsia="SimSun" w:cs="SimSun"/>
          <w:sz w:val="24"/>
          <w:szCs w:val="24"/>
          <w:spacing w:val="-7"/>
        </w:rPr>
        <w:t>台阶坡面角</w:t>
      </w:r>
      <w:r>
        <w:rPr>
          <w:rFonts w:ascii="Times New Roman" w:hAnsi="Times New Roman" w:eastAsia="Times New Roman" w:cs="Times New Roman"/>
          <w:sz w:val="24"/>
          <w:szCs w:val="24"/>
          <w:spacing w:val="-7"/>
        </w:rPr>
        <w:t>:</w:t>
      </w:r>
      <w:r>
        <w:rPr>
          <w:rFonts w:ascii="SimSun" w:hAnsi="SimSun" w:eastAsia="SimSun" w:cs="SimSun"/>
          <w:sz w:val="24"/>
          <w:szCs w:val="24"/>
          <w:spacing w:val="-7"/>
        </w:rPr>
        <w:t>表土为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7"/>
        </w:rPr>
        <w:t>50°</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w:t>
      </w:r>
      <w:r>
        <w:rPr>
          <w:rFonts w:ascii="SimSun" w:hAnsi="SimSun" w:eastAsia="SimSun" w:cs="SimSun"/>
          <w:sz w:val="24"/>
          <w:szCs w:val="24"/>
          <w:spacing w:val="63"/>
        </w:rPr>
        <w:t xml:space="preserve"> </w:t>
      </w:r>
      <w:r>
        <w:rPr>
          <w:rFonts w:ascii="SimSun" w:hAnsi="SimSun" w:eastAsia="SimSun" w:cs="SimSun"/>
          <w:sz w:val="24"/>
          <w:szCs w:val="24"/>
          <w:spacing w:val="-7"/>
        </w:rPr>
        <w:t>煤、岩为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7"/>
        </w:rPr>
        <w:t>65°</w:t>
      </w:r>
      <w:r>
        <w:rPr>
          <w:rFonts w:ascii="SimSun" w:hAnsi="SimSun" w:eastAsia="SimSun" w:cs="SimSun"/>
          <w:sz w:val="24"/>
          <w:szCs w:val="24"/>
          <w:spacing w:val="-7"/>
        </w:rPr>
        <w:t>。</w:t>
      </w:r>
    </w:p>
    <w:p>
      <w:pPr>
        <w:ind w:left="483"/>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）采掘带宽度</w:t>
      </w:r>
    </w:p>
    <w:p>
      <w:pPr>
        <w:ind w:left="28" w:right="66" w:firstLine="464"/>
        <w:spacing w:before="156" w:line="336" w:lineRule="auto"/>
        <w:rPr>
          <w:rFonts w:ascii="SimSun" w:hAnsi="SimSun" w:eastAsia="SimSun" w:cs="SimSun"/>
          <w:sz w:val="24"/>
          <w:szCs w:val="24"/>
        </w:rPr>
      </w:pPr>
      <w:r>
        <w:rPr>
          <w:rFonts w:ascii="SimSun" w:hAnsi="SimSun" w:eastAsia="SimSun" w:cs="SimSun"/>
          <w:sz w:val="24"/>
          <w:szCs w:val="24"/>
          <w:spacing w:val="5"/>
        </w:rPr>
        <w:t>综合考虑作业设备的规格、采装作业条件等因素，确定剥离台阶采掘带宽度均为</w:t>
      </w:r>
      <w:r>
        <w:rPr>
          <w:rFonts w:ascii="Times New Roman" w:hAnsi="Times New Roman" w:eastAsia="Times New Roman" w:cs="Times New Roman"/>
          <w:sz w:val="24"/>
          <w:szCs w:val="24"/>
          <w:spacing w:val="-8"/>
        </w:rPr>
        <w:t>12m</w:t>
      </w:r>
      <w:r>
        <w:rPr>
          <w:rFonts w:ascii="SimSun" w:hAnsi="SimSun" w:eastAsia="SimSun" w:cs="SimSun"/>
          <w:sz w:val="24"/>
          <w:szCs w:val="24"/>
          <w:spacing w:val="-8"/>
        </w:rPr>
        <w:t>。</w:t>
      </w:r>
    </w:p>
    <w:p>
      <w:pPr>
        <w:ind w:left="495"/>
        <w:spacing w:before="6"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）采煤方法</w:t>
      </w:r>
    </w:p>
    <w:p>
      <w:pPr>
        <w:ind w:left="8" w:right="77" w:firstLine="481"/>
        <w:spacing w:before="154" w:line="339" w:lineRule="auto"/>
        <w:rPr>
          <w:rFonts w:ascii="SimSun" w:hAnsi="SimSun" w:eastAsia="SimSun" w:cs="SimSun"/>
          <w:sz w:val="24"/>
          <w:szCs w:val="24"/>
        </w:rPr>
      </w:pPr>
      <w:r>
        <w:rPr>
          <w:rFonts w:ascii="SimSun" w:hAnsi="SimSun" w:eastAsia="SimSun" w:cs="SimSun"/>
          <w:sz w:val="24"/>
          <w:szCs w:val="24"/>
        </w:rPr>
        <w:t>本矿煤层倾角除局部外一般为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5°</w:t>
      </w:r>
      <w:r>
        <w:rPr>
          <w:rFonts w:ascii="SimSun" w:hAnsi="SimSun" w:eastAsia="SimSun" w:cs="SimSun"/>
          <w:sz w:val="24"/>
          <w:szCs w:val="24"/>
        </w:rPr>
        <w:t>~</w:t>
      </w:r>
      <w:r>
        <w:rPr>
          <w:rFonts w:ascii="Times New Roman" w:hAnsi="Times New Roman" w:eastAsia="Times New Roman" w:cs="Times New Roman"/>
          <w:sz w:val="24"/>
          <w:szCs w:val="24"/>
        </w:rPr>
        <w:t>10°</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w:t>
      </w:r>
      <w:r>
        <w:rPr>
          <w:rFonts w:ascii="SimSun" w:hAnsi="SimSun" w:eastAsia="SimSun" w:cs="SimSun"/>
          <w:sz w:val="24"/>
          <w:szCs w:val="24"/>
          <w:spacing w:val="65"/>
        </w:rPr>
        <w:t xml:space="preserve"> </w:t>
      </w:r>
      <w:r>
        <w:rPr>
          <w:rFonts w:ascii="SimSun" w:hAnsi="SimSun" w:eastAsia="SimSun" w:cs="SimSun"/>
          <w:sz w:val="24"/>
          <w:szCs w:val="24"/>
        </w:rPr>
        <w:t>属缓倾斜煤层，为提高煤质，采煤台阶水</w:t>
      </w:r>
      <w:r>
        <w:rPr>
          <w:rFonts w:ascii="SimSun" w:hAnsi="SimSun" w:eastAsia="SimSun" w:cs="SimSun"/>
          <w:sz w:val="24"/>
          <w:szCs w:val="24"/>
          <w:spacing w:val="-1"/>
        </w:rPr>
        <w:t>平划分台阶，采煤方法采用顶板露煤端工作面</w:t>
      </w:r>
      <w:r>
        <w:rPr>
          <w:rFonts w:ascii="Times New Roman" w:hAnsi="Times New Roman" w:eastAsia="Times New Roman" w:cs="Times New Roman"/>
          <w:sz w:val="24"/>
          <w:szCs w:val="24"/>
          <w:spacing w:val="-1"/>
        </w:rPr>
        <w:t>“</w:t>
      </w:r>
      <w:r>
        <w:rPr>
          <w:rFonts w:ascii="SimSun" w:hAnsi="SimSun" w:eastAsia="SimSun" w:cs="SimSun"/>
          <w:sz w:val="24"/>
          <w:szCs w:val="24"/>
          <w:spacing w:val="-1"/>
        </w:rPr>
        <w:t>之</w:t>
      </w:r>
      <w:r>
        <w:rPr>
          <w:rFonts w:ascii="Times New Roman" w:hAnsi="Times New Roman" w:eastAsia="Times New Roman" w:cs="Times New Roman"/>
          <w:sz w:val="24"/>
          <w:szCs w:val="24"/>
          <w:spacing w:val="-1"/>
        </w:rPr>
        <w:t>”</w:t>
      </w:r>
      <w:r>
        <w:rPr>
          <w:rFonts w:ascii="SimSun" w:hAnsi="SimSun" w:eastAsia="SimSun" w:cs="SimSun"/>
          <w:sz w:val="24"/>
          <w:szCs w:val="24"/>
          <w:spacing w:val="-1"/>
        </w:rPr>
        <w:t>字走行水平装车作业方式进行</w:t>
      </w:r>
      <w:r>
        <w:rPr>
          <w:rFonts w:ascii="SimSun" w:hAnsi="SimSun" w:eastAsia="SimSun" w:cs="SimSun"/>
          <w:sz w:val="24"/>
          <w:szCs w:val="24"/>
          <w:spacing w:val="-2"/>
        </w:rPr>
        <w:t>开采。</w:t>
      </w:r>
    </w:p>
    <w:p>
      <w:pPr>
        <w:ind w:left="495"/>
        <w:spacing w:before="1"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）开拓运输</w:t>
      </w:r>
    </w:p>
    <w:p>
      <w:pPr>
        <w:ind w:left="11" w:right="66" w:firstLine="480"/>
        <w:spacing w:before="153" w:line="339" w:lineRule="auto"/>
        <w:rPr>
          <w:rFonts w:ascii="SimSun" w:hAnsi="SimSun" w:eastAsia="SimSun" w:cs="SimSun"/>
          <w:sz w:val="24"/>
          <w:szCs w:val="24"/>
        </w:rPr>
      </w:pPr>
      <w:r>
        <w:rPr>
          <w:rFonts w:ascii="SimSun" w:hAnsi="SimSun" w:eastAsia="SimSun" w:cs="SimSun"/>
          <w:sz w:val="24"/>
          <w:szCs w:val="24"/>
          <w:spacing w:val="-2"/>
        </w:rPr>
        <w:t>剥离运输方式：分剥离物由卡车通过各水平工作面经工作帮移动坑线、端帮运输道</w:t>
      </w:r>
      <w:r>
        <w:rPr>
          <w:rFonts w:ascii="SimSun" w:hAnsi="SimSun" w:eastAsia="SimSun" w:cs="SimSun"/>
          <w:sz w:val="24"/>
          <w:szCs w:val="24"/>
          <w:spacing w:val="-2"/>
        </w:rPr>
        <w:t>路运往内排土场。</w:t>
      </w:r>
    </w:p>
    <w:p>
      <w:pPr>
        <w:ind w:left="15" w:right="66" w:firstLine="473"/>
        <w:spacing w:before="2" w:line="339" w:lineRule="auto"/>
        <w:rPr>
          <w:rFonts w:ascii="SimSun" w:hAnsi="SimSun" w:eastAsia="SimSun" w:cs="SimSun"/>
          <w:sz w:val="24"/>
          <w:szCs w:val="24"/>
        </w:rPr>
      </w:pPr>
      <w:r>
        <w:rPr>
          <w:rFonts w:ascii="SimSun" w:hAnsi="SimSun" w:eastAsia="SimSun" w:cs="SimSun"/>
          <w:sz w:val="24"/>
          <w:szCs w:val="24"/>
          <w:spacing w:val="-2"/>
        </w:rPr>
        <w:t>运煤方式为：部分原煤由卡车通过运输道路去往坑内破碎站，由破碎机破碎后通过</w:t>
      </w:r>
      <w:r>
        <w:rPr>
          <w:rFonts w:ascii="SimSun" w:hAnsi="SimSun" w:eastAsia="SimSun" w:cs="SimSun"/>
          <w:sz w:val="24"/>
          <w:szCs w:val="24"/>
          <w:spacing w:val="-1"/>
        </w:rPr>
        <w:t>带式输送机运输至风选车间，风选后经带式输送机送往金山电厂。</w:t>
      </w:r>
    </w:p>
    <w:p>
      <w:pPr>
        <w:ind w:left="3"/>
        <w:spacing w:before="29"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3.2.1.4 </w:t>
      </w:r>
      <w:r>
        <w:rPr>
          <w:rFonts w:ascii="SimHei" w:hAnsi="SimHei" w:eastAsia="SimHei" w:cs="SimHei"/>
          <w:sz w:val="24"/>
          <w:szCs w:val="24"/>
          <w:b/>
          <w:bCs/>
          <w:spacing w:val="-2"/>
        </w:rPr>
        <w:t>生产加工系统</w:t>
      </w:r>
    </w:p>
    <w:p>
      <w:pPr>
        <w:ind w:left="512"/>
        <w:spacing w:before="193"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、生产系统</w:t>
      </w:r>
    </w:p>
    <w:p>
      <w:pPr>
        <w:ind w:left="8" w:right="66" w:firstLine="486"/>
        <w:spacing w:before="159" w:line="340" w:lineRule="auto"/>
        <w:rPr>
          <w:rFonts w:ascii="SimSun" w:hAnsi="SimSun" w:eastAsia="SimSun" w:cs="SimSun"/>
          <w:sz w:val="24"/>
          <w:szCs w:val="24"/>
        </w:rPr>
      </w:pPr>
      <w:r>
        <w:rPr>
          <w:rFonts w:ascii="SimSun" w:hAnsi="SimSun" w:eastAsia="SimSun" w:cs="SimSun"/>
          <w:sz w:val="24"/>
          <w:szCs w:val="24"/>
          <w:spacing w:val="-2"/>
        </w:rPr>
        <w:t>露天区现有生产系统的破碎站布置于采掘场北部，露天区的煤，在采场由单斗铲采</w:t>
      </w:r>
      <w:r>
        <w:rPr>
          <w:rFonts w:ascii="SimSun" w:hAnsi="SimSun" w:eastAsia="SimSun" w:cs="SimSun"/>
          <w:sz w:val="24"/>
          <w:szCs w:val="24"/>
          <w:spacing w:val="-2"/>
        </w:rPr>
        <w:t>装，由</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20t </w:t>
      </w:r>
      <w:r>
        <w:rPr>
          <w:rFonts w:ascii="SimSun" w:hAnsi="SimSun" w:eastAsia="SimSun" w:cs="SimSun"/>
          <w:sz w:val="24"/>
          <w:szCs w:val="24"/>
          <w:spacing w:val="-2"/>
        </w:rPr>
        <w:t>级自卸卡车短距离运输至</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M101 </w:t>
      </w:r>
      <w:r>
        <w:rPr>
          <w:rFonts w:ascii="SimSun" w:hAnsi="SimSun" w:eastAsia="SimSun" w:cs="SimSun"/>
          <w:sz w:val="24"/>
          <w:szCs w:val="24"/>
          <w:spacing w:val="-2"/>
        </w:rPr>
        <w:t>破碎站，原煤粒度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w:t>
      </w:r>
      <w:r>
        <w:rPr>
          <w:rFonts w:ascii="SimSun" w:hAnsi="SimSun" w:eastAsia="SimSun" w:cs="SimSun"/>
          <w:sz w:val="24"/>
          <w:szCs w:val="24"/>
          <w:spacing w:val="-2"/>
        </w:rPr>
        <w:t>～</w:t>
      </w:r>
      <w:r>
        <w:rPr>
          <w:rFonts w:ascii="Times New Roman" w:hAnsi="Times New Roman" w:eastAsia="Times New Roman" w:cs="Times New Roman"/>
          <w:sz w:val="24"/>
          <w:szCs w:val="24"/>
          <w:spacing w:val="-2"/>
        </w:rPr>
        <w:t>1200mm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M101 </w:t>
      </w:r>
      <w:r>
        <w:rPr>
          <w:rFonts w:ascii="SimSun" w:hAnsi="SimSun" w:eastAsia="SimSun" w:cs="SimSun"/>
          <w:sz w:val="24"/>
          <w:szCs w:val="24"/>
          <w:spacing w:val="-2"/>
        </w:rPr>
        <w:t>破</w:t>
      </w:r>
      <w:r>
        <w:rPr>
          <w:rFonts w:ascii="SimSun" w:hAnsi="SimSun" w:eastAsia="SimSun" w:cs="SimSun"/>
          <w:sz w:val="24"/>
          <w:szCs w:val="24"/>
        </w:rPr>
        <w:t>碎站破碎至</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0</w:t>
      </w:r>
      <w:r>
        <w:rPr>
          <w:rFonts w:ascii="SimSun" w:hAnsi="SimSun" w:eastAsia="SimSun" w:cs="SimSun"/>
          <w:sz w:val="24"/>
          <w:szCs w:val="24"/>
        </w:rPr>
        <w:t>～</w:t>
      </w:r>
      <w:r>
        <w:rPr>
          <w:rFonts w:ascii="Times New Roman" w:hAnsi="Times New Roman" w:eastAsia="Times New Roman" w:cs="Times New Roman"/>
          <w:sz w:val="24"/>
          <w:szCs w:val="24"/>
        </w:rPr>
        <w:t>300mm</w:t>
      </w:r>
      <w:r>
        <w:rPr>
          <w:rFonts w:ascii="SimSun" w:hAnsi="SimSun" w:eastAsia="SimSun" w:cs="SimSun"/>
          <w:sz w:val="24"/>
          <w:szCs w:val="24"/>
        </w:rPr>
        <w:t>后，通过带式输送</w:t>
      </w:r>
      <w:r>
        <w:rPr>
          <w:rFonts w:ascii="SimSun" w:hAnsi="SimSun" w:eastAsia="SimSun" w:cs="SimSun"/>
          <w:sz w:val="24"/>
          <w:szCs w:val="24"/>
          <w:spacing w:val="-1"/>
        </w:rPr>
        <w:t>机转载经带式输送机转载运到风选楼，进入井</w:t>
      </w:r>
      <w:r>
        <w:rPr>
          <w:rFonts w:ascii="SimSun" w:hAnsi="SimSun" w:eastAsia="SimSun" w:cs="SimSun"/>
          <w:sz w:val="24"/>
          <w:szCs w:val="24"/>
          <w:spacing w:val="-1"/>
        </w:rPr>
        <w:t>工矿地面生产系统后送往金山电厂。</w:t>
      </w:r>
    </w:p>
    <w:p>
      <w:pPr>
        <w:ind w:left="489"/>
        <w:spacing w:before="27"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、破碎系统</w:t>
      </w:r>
    </w:p>
    <w:p>
      <w:pPr>
        <w:ind w:left="5" w:right="59" w:firstLine="480"/>
        <w:spacing w:before="166" w:line="338" w:lineRule="auto"/>
        <w:rPr>
          <w:rFonts w:ascii="SimSun" w:hAnsi="SimSun" w:eastAsia="SimSun" w:cs="SimSun"/>
          <w:sz w:val="24"/>
          <w:szCs w:val="24"/>
        </w:rPr>
      </w:pPr>
      <w:r>
        <w:rPr>
          <w:rFonts w:ascii="Times New Roman" w:hAnsi="Times New Roman" w:eastAsia="Times New Roman" w:cs="Times New Roman"/>
          <w:sz w:val="24"/>
          <w:szCs w:val="24"/>
          <w:spacing w:val="8"/>
        </w:rPr>
        <w:t>2012</w:t>
      </w:r>
      <w:r>
        <w:rPr>
          <w:rFonts w:ascii="SimSun" w:hAnsi="SimSun" w:eastAsia="SimSun" w:cs="SimSun"/>
          <w:sz w:val="24"/>
          <w:szCs w:val="24"/>
          <w:spacing w:val="8"/>
        </w:rPr>
        <w:t>年</w:t>
      </w:r>
      <w:r>
        <w:rPr>
          <w:rFonts w:ascii="Times New Roman" w:hAnsi="Times New Roman" w:eastAsia="Times New Roman" w:cs="Times New Roman"/>
          <w:sz w:val="24"/>
          <w:szCs w:val="24"/>
          <w:spacing w:val="8"/>
        </w:rPr>
        <w:t>7</w:t>
      </w:r>
      <w:r>
        <w:rPr>
          <w:rFonts w:ascii="SimSun" w:hAnsi="SimSun" w:eastAsia="SimSun" w:cs="SimSun"/>
          <w:sz w:val="24"/>
          <w:szCs w:val="24"/>
          <w:spacing w:val="8"/>
        </w:rPr>
        <w:t>月，将坑下破碎站移至地面东二排土场一层平台。生产能力不变，仍为</w:t>
      </w:r>
      <w:r>
        <w:rPr>
          <w:rFonts w:ascii="Times New Roman" w:hAnsi="Times New Roman" w:eastAsia="Times New Roman" w:cs="Times New Roman"/>
          <w:sz w:val="24"/>
          <w:szCs w:val="24"/>
          <w:spacing w:val="-2"/>
        </w:rPr>
        <w:t>2000m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。自卸卡车将煤炭运至该破</w:t>
      </w:r>
      <w:r>
        <w:rPr>
          <w:rFonts w:ascii="SimSun" w:hAnsi="SimSun" w:eastAsia="SimSun" w:cs="SimSun"/>
          <w:sz w:val="24"/>
          <w:szCs w:val="24"/>
          <w:spacing w:val="-3"/>
        </w:rPr>
        <w:t>碎站，再由输煤胶带系统直接运至电厂储煤仓。</w:t>
      </w:r>
      <w:r>
        <w:rPr>
          <w:rFonts w:ascii="SimSun" w:hAnsi="SimSun" w:eastAsia="SimSun" w:cs="SimSun"/>
          <w:sz w:val="24"/>
          <w:szCs w:val="24"/>
          <w:spacing w:val="-70"/>
        </w:rPr>
        <w:t xml:space="preserve"> </w:t>
      </w:r>
      <w:r>
        <w:rPr>
          <w:rFonts w:ascii="SimSun" w:hAnsi="SimSun" w:eastAsia="SimSun" w:cs="SimSun"/>
          <w:sz w:val="24"/>
          <w:szCs w:val="24"/>
          <w:spacing w:val="-3"/>
        </w:rPr>
        <w:t>目</w:t>
      </w:r>
      <w:r>
        <w:rPr>
          <w:rFonts w:ascii="SimSun" w:hAnsi="SimSun" w:eastAsia="SimSun" w:cs="SimSun"/>
          <w:sz w:val="24"/>
          <w:szCs w:val="24"/>
          <w:spacing w:val="-1"/>
        </w:rPr>
        <w:t>前该破碎站作为备用。</w:t>
      </w:r>
    </w:p>
    <w:p>
      <w:pPr>
        <w:ind w:left="10" w:right="66" w:firstLine="474"/>
        <w:spacing w:before="2" w:line="339" w:lineRule="auto"/>
        <w:rPr>
          <w:rFonts w:ascii="SimSun" w:hAnsi="SimSun" w:eastAsia="SimSun" w:cs="SimSun"/>
          <w:sz w:val="24"/>
          <w:szCs w:val="24"/>
        </w:rPr>
      </w:pPr>
      <w:r>
        <w:rPr>
          <w:rFonts w:ascii="Times New Roman" w:hAnsi="Times New Roman" w:eastAsia="Times New Roman" w:cs="Times New Roman"/>
          <w:sz w:val="24"/>
          <w:szCs w:val="24"/>
          <w:spacing w:val="-1"/>
        </w:rPr>
        <w:t>2013</w:t>
      </w:r>
      <w:r>
        <w:rPr>
          <w:rFonts w:ascii="SimSun" w:hAnsi="SimSun" w:eastAsia="SimSun" w:cs="SimSun"/>
          <w:sz w:val="24"/>
          <w:szCs w:val="24"/>
          <w:spacing w:val="-1"/>
        </w:rPr>
        <w:t>年，在北坑</w:t>
      </w:r>
      <w:r>
        <w:rPr>
          <w:rFonts w:ascii="Times New Roman" w:hAnsi="Times New Roman" w:eastAsia="Times New Roman" w:cs="Times New Roman"/>
          <w:sz w:val="24"/>
          <w:szCs w:val="24"/>
          <w:spacing w:val="-1"/>
        </w:rPr>
        <w:t>891</w:t>
      </w:r>
      <w:r>
        <w:rPr>
          <w:rFonts w:ascii="SimSun" w:hAnsi="SimSun" w:eastAsia="SimSun" w:cs="SimSun"/>
          <w:sz w:val="24"/>
          <w:szCs w:val="24"/>
          <w:spacing w:val="-1"/>
        </w:rPr>
        <w:t>平盘新建一座小型破碎站，生产能力</w:t>
      </w:r>
      <w:r>
        <w:rPr>
          <w:rFonts w:ascii="Times New Roman" w:hAnsi="Times New Roman" w:eastAsia="Times New Roman" w:cs="Times New Roman"/>
          <w:sz w:val="24"/>
          <w:szCs w:val="24"/>
          <w:spacing w:val="-1"/>
        </w:rPr>
        <w:t>800m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2"/>
        </w:rPr>
        <w:t>/h</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。煤炭经坑内破碎</w:t>
      </w:r>
      <w:r>
        <w:rPr>
          <w:rFonts w:ascii="SimSun" w:hAnsi="SimSun" w:eastAsia="SimSun" w:cs="SimSun"/>
          <w:sz w:val="24"/>
          <w:szCs w:val="24"/>
          <w:spacing w:val="-1"/>
        </w:rPr>
        <w:t>站破碎后直接由地面生产系统运往电厂。</w:t>
      </w:r>
    </w:p>
    <w:p>
      <w:pPr>
        <w:spacing w:line="339" w:lineRule="auto"/>
        <w:sectPr>
          <w:footerReference w:type="default" r:id="rId96"/>
          <w:pgSz w:w="11906" w:h="16838"/>
          <w:pgMar w:top="1170" w:right="1351" w:bottom="1080" w:left="1416" w:header="837" w:footer="918" w:gutter="0"/>
        </w:sectPr>
        <w:rPr>
          <w:rFonts w:ascii="SimSun" w:hAnsi="SimSun" w:eastAsia="SimSun" w:cs="SimSun"/>
          <w:sz w:val="24"/>
          <w:szCs w:val="24"/>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4"/>
        <w:gridCol w:w="2320"/>
        <w:gridCol w:w="2322"/>
        <w:gridCol w:w="2324"/>
      </w:tblGrid>
      <w:tr>
        <w:trPr>
          <w:trHeight w:val="2116" w:hRule="atLeast"/>
        </w:trPr>
        <w:tc>
          <w:tcPr>
            <w:tcW w:w="2324" w:type="dxa"/>
            <w:vAlign w:val="top"/>
          </w:tcPr>
          <w:p>
            <w:pPr>
              <w:ind w:firstLine="105"/>
              <w:spacing w:before="4" w:line="1997" w:lineRule="exact"/>
              <w:rPr/>
            </w:pPr>
            <w:r>
              <w:rPr>
                <w:position w:val="-39"/>
              </w:rPr>
              <w:drawing>
                <wp:inline distT="0" distB="0" distL="0" distR="0">
                  <wp:extent cx="1405635" cy="1267968"/>
                  <wp:effectExtent l="0" t="0" r="0" b="0"/>
                  <wp:docPr id="60" name="IM 60"/>
                  <wp:cNvGraphicFramePr/>
                  <a:graphic>
                    <a:graphicData uri="http://schemas.openxmlformats.org/drawingml/2006/picture">
                      <pic:pic>
                        <pic:nvPicPr>
                          <pic:cNvPr id="60" name="IM 60"/>
                          <pic:cNvPicPr/>
                        </pic:nvPicPr>
                        <pic:blipFill>
                          <a:blip r:embed="rId99"/>
                          <a:stretch>
                            <a:fillRect/>
                          </a:stretch>
                        </pic:blipFill>
                        <pic:spPr>
                          <a:xfrm rot="0">
                            <a:off x="0" y="0"/>
                            <a:ext cx="1405635" cy="1267968"/>
                          </a:xfrm>
                          <a:prstGeom prst="rect">
                            <a:avLst/>
                          </a:prstGeom>
                        </pic:spPr>
                      </pic:pic>
                    </a:graphicData>
                  </a:graphic>
                </wp:inline>
              </w:drawing>
            </w:r>
          </w:p>
        </w:tc>
        <w:tc>
          <w:tcPr>
            <w:tcW w:w="2320" w:type="dxa"/>
            <w:vAlign w:val="top"/>
          </w:tcPr>
          <w:p>
            <w:pPr>
              <w:ind w:firstLine="104"/>
              <w:spacing w:before="4" w:line="2101" w:lineRule="exact"/>
              <w:rPr/>
            </w:pPr>
            <w:r>
              <w:rPr>
                <w:position w:val="-42"/>
              </w:rPr>
              <w:drawing>
                <wp:inline distT="0" distB="0" distL="0" distR="0">
                  <wp:extent cx="1403603" cy="1334389"/>
                  <wp:effectExtent l="0" t="0" r="0" b="0"/>
                  <wp:docPr id="62" name="IM 62"/>
                  <wp:cNvGraphicFramePr/>
                  <a:graphic>
                    <a:graphicData uri="http://schemas.openxmlformats.org/drawingml/2006/picture">
                      <pic:pic>
                        <pic:nvPicPr>
                          <pic:cNvPr id="62" name="IM 62"/>
                          <pic:cNvPicPr/>
                        </pic:nvPicPr>
                        <pic:blipFill>
                          <a:blip r:embed="rId100"/>
                          <a:stretch>
                            <a:fillRect/>
                          </a:stretch>
                        </pic:blipFill>
                        <pic:spPr>
                          <a:xfrm rot="0">
                            <a:off x="0" y="0"/>
                            <a:ext cx="1403603" cy="1334389"/>
                          </a:xfrm>
                          <a:prstGeom prst="rect">
                            <a:avLst/>
                          </a:prstGeom>
                        </pic:spPr>
                      </pic:pic>
                    </a:graphicData>
                  </a:graphic>
                </wp:inline>
              </w:drawing>
            </w:r>
          </w:p>
        </w:tc>
        <w:tc>
          <w:tcPr>
            <w:tcW w:w="2322" w:type="dxa"/>
            <w:vAlign w:val="top"/>
          </w:tcPr>
          <w:p>
            <w:pPr>
              <w:ind w:firstLine="110"/>
              <w:spacing w:before="100" w:line="1985" w:lineRule="exact"/>
              <w:rPr/>
            </w:pPr>
            <w:r>
              <w:rPr>
                <w:position w:val="-39"/>
              </w:rPr>
              <w:drawing>
                <wp:inline distT="0" distB="0" distL="0" distR="0">
                  <wp:extent cx="1401317" cy="1260347"/>
                  <wp:effectExtent l="0" t="0" r="0" b="0"/>
                  <wp:docPr id="64" name="IM 64"/>
                  <wp:cNvGraphicFramePr/>
                  <a:graphic>
                    <a:graphicData uri="http://schemas.openxmlformats.org/drawingml/2006/picture">
                      <pic:pic>
                        <pic:nvPicPr>
                          <pic:cNvPr id="64" name="IM 64"/>
                          <pic:cNvPicPr/>
                        </pic:nvPicPr>
                        <pic:blipFill>
                          <a:blip r:embed="rId101"/>
                          <a:stretch>
                            <a:fillRect/>
                          </a:stretch>
                        </pic:blipFill>
                        <pic:spPr>
                          <a:xfrm rot="0">
                            <a:off x="0" y="0"/>
                            <a:ext cx="1401317" cy="1260347"/>
                          </a:xfrm>
                          <a:prstGeom prst="rect">
                            <a:avLst/>
                          </a:prstGeom>
                        </pic:spPr>
                      </pic:pic>
                    </a:graphicData>
                  </a:graphic>
                </wp:inline>
              </w:drawing>
            </w:r>
          </w:p>
        </w:tc>
        <w:tc>
          <w:tcPr>
            <w:tcW w:w="2324" w:type="dxa"/>
            <w:vAlign w:val="top"/>
          </w:tcPr>
          <w:p>
            <w:pPr>
              <w:ind w:firstLine="104"/>
              <w:spacing w:before="4" w:line="2101" w:lineRule="exact"/>
              <w:rPr/>
            </w:pPr>
            <w:r>
              <w:rPr>
                <w:position w:val="-42"/>
              </w:rPr>
              <w:drawing>
                <wp:inline distT="0" distB="0" distL="0" distR="0">
                  <wp:extent cx="1406397" cy="1334389"/>
                  <wp:effectExtent l="0" t="0" r="0" b="0"/>
                  <wp:docPr id="66" name="IM 66"/>
                  <wp:cNvGraphicFramePr/>
                  <a:graphic>
                    <a:graphicData uri="http://schemas.openxmlformats.org/drawingml/2006/picture">
                      <pic:pic>
                        <pic:nvPicPr>
                          <pic:cNvPr id="66" name="IM 66"/>
                          <pic:cNvPicPr/>
                        </pic:nvPicPr>
                        <pic:blipFill>
                          <a:blip r:embed="rId102"/>
                          <a:stretch>
                            <a:fillRect/>
                          </a:stretch>
                        </pic:blipFill>
                        <pic:spPr>
                          <a:xfrm rot="0">
                            <a:off x="0" y="0"/>
                            <a:ext cx="1406397" cy="1334389"/>
                          </a:xfrm>
                          <a:prstGeom prst="rect">
                            <a:avLst/>
                          </a:prstGeom>
                        </pic:spPr>
                      </pic:pic>
                    </a:graphicData>
                  </a:graphic>
                </wp:inline>
              </w:drawing>
            </w:r>
          </w:p>
        </w:tc>
      </w:tr>
      <w:tr>
        <w:trPr>
          <w:trHeight w:val="581" w:hRule="atLeast"/>
        </w:trPr>
        <w:tc>
          <w:tcPr>
            <w:tcW w:w="2324" w:type="dxa"/>
            <w:vAlign w:val="top"/>
          </w:tcPr>
          <w:p>
            <w:pPr>
              <w:ind w:left="434"/>
              <w:spacing w:before="204" w:line="227" w:lineRule="auto"/>
              <w:rPr>
                <w:rFonts w:ascii="SimSun" w:hAnsi="SimSun" w:eastAsia="SimSun" w:cs="SimSun"/>
                <w:sz w:val="20"/>
                <w:szCs w:val="20"/>
              </w:rPr>
            </w:pPr>
            <w:r>
              <w:rPr>
                <w:rFonts w:ascii="SimSun" w:hAnsi="SimSun" w:eastAsia="SimSun" w:cs="SimSun"/>
                <w:sz w:val="20"/>
                <w:szCs w:val="20"/>
                <w:spacing w:val="8"/>
              </w:rPr>
              <w:t>现有露天采掘场</w:t>
            </w:r>
          </w:p>
        </w:tc>
        <w:tc>
          <w:tcPr>
            <w:tcW w:w="2320" w:type="dxa"/>
            <w:vAlign w:val="top"/>
          </w:tcPr>
          <w:p>
            <w:pPr>
              <w:ind w:left="439" w:right="442" w:firstLine="97"/>
              <w:spacing w:before="63" w:line="234" w:lineRule="auto"/>
              <w:rPr>
                <w:rFonts w:ascii="SimSun" w:hAnsi="SimSun" w:eastAsia="SimSun" w:cs="SimSun"/>
                <w:sz w:val="20"/>
                <w:szCs w:val="20"/>
              </w:rPr>
            </w:pPr>
            <w:r>
              <w:rPr>
                <w:rFonts w:ascii="SimSun" w:hAnsi="SimSun" w:eastAsia="SimSun" w:cs="SimSun"/>
                <w:sz w:val="20"/>
                <w:szCs w:val="20"/>
                <w:spacing w:val="7"/>
              </w:rPr>
              <w:t>现有外排土场</w:t>
            </w:r>
            <w:r>
              <w:rPr>
                <w:rFonts w:ascii="SimSun" w:hAnsi="SimSun" w:eastAsia="SimSun" w:cs="SimSun"/>
                <w:sz w:val="20"/>
                <w:szCs w:val="20"/>
                <w:spacing w:val="4"/>
              </w:rPr>
              <w:t>（东一排土场）</w:t>
            </w:r>
          </w:p>
        </w:tc>
        <w:tc>
          <w:tcPr>
            <w:tcW w:w="2322" w:type="dxa"/>
            <w:vAlign w:val="top"/>
          </w:tcPr>
          <w:p>
            <w:pPr>
              <w:ind w:left="440" w:right="444" w:firstLine="94"/>
              <w:spacing w:before="63" w:line="234" w:lineRule="auto"/>
              <w:rPr>
                <w:rFonts w:ascii="SimSun" w:hAnsi="SimSun" w:eastAsia="SimSun" w:cs="SimSun"/>
                <w:sz w:val="20"/>
                <w:szCs w:val="20"/>
              </w:rPr>
            </w:pPr>
            <w:r>
              <w:rPr>
                <w:rFonts w:ascii="SimSun" w:hAnsi="SimSun" w:eastAsia="SimSun" w:cs="SimSun"/>
                <w:sz w:val="20"/>
                <w:szCs w:val="20"/>
                <w:spacing w:val="7"/>
              </w:rPr>
              <w:t>现有外排土场</w:t>
            </w:r>
            <w:r>
              <w:rPr>
                <w:rFonts w:ascii="SimSun" w:hAnsi="SimSun" w:eastAsia="SimSun" w:cs="SimSun"/>
                <w:sz w:val="20"/>
                <w:szCs w:val="20"/>
                <w:spacing w:val="4"/>
              </w:rPr>
              <w:t>（东二排土场）</w:t>
            </w:r>
          </w:p>
        </w:tc>
        <w:tc>
          <w:tcPr>
            <w:tcW w:w="2324" w:type="dxa"/>
            <w:vAlign w:val="top"/>
          </w:tcPr>
          <w:p>
            <w:pPr>
              <w:ind w:left="433"/>
              <w:spacing w:before="204" w:line="228" w:lineRule="auto"/>
              <w:rPr>
                <w:rFonts w:ascii="SimSun" w:hAnsi="SimSun" w:eastAsia="SimSun" w:cs="SimSun"/>
                <w:sz w:val="20"/>
                <w:szCs w:val="20"/>
              </w:rPr>
            </w:pPr>
            <w:r>
              <w:rPr>
                <w:rFonts w:ascii="SimSun" w:hAnsi="SimSun" w:eastAsia="SimSun" w:cs="SimSun"/>
                <w:sz w:val="20"/>
                <w:szCs w:val="20"/>
                <w:spacing w:val="8"/>
              </w:rPr>
              <w:t>生活污水处理站</w:t>
            </w:r>
          </w:p>
        </w:tc>
      </w:tr>
      <w:tr>
        <w:trPr>
          <w:trHeight w:val="2143" w:hRule="atLeast"/>
        </w:trPr>
        <w:tc>
          <w:tcPr>
            <w:tcW w:w="2324" w:type="dxa"/>
            <w:vAlign w:val="top"/>
          </w:tcPr>
          <w:p>
            <w:pPr>
              <w:ind w:firstLine="105"/>
              <w:spacing w:before="2" w:line="2126" w:lineRule="exact"/>
              <w:rPr/>
            </w:pPr>
            <w:r>
              <w:rPr>
                <w:position w:val="-42"/>
              </w:rPr>
              <w:drawing>
                <wp:inline distT="0" distB="0" distL="0" distR="0">
                  <wp:extent cx="1405635" cy="1350264"/>
                  <wp:effectExtent l="0" t="0" r="0" b="0"/>
                  <wp:docPr id="68" name="IM 68"/>
                  <wp:cNvGraphicFramePr/>
                  <a:graphic>
                    <a:graphicData uri="http://schemas.openxmlformats.org/drawingml/2006/picture">
                      <pic:pic>
                        <pic:nvPicPr>
                          <pic:cNvPr id="68" name="IM 68"/>
                          <pic:cNvPicPr/>
                        </pic:nvPicPr>
                        <pic:blipFill>
                          <a:blip r:embed="rId103"/>
                          <a:stretch>
                            <a:fillRect/>
                          </a:stretch>
                        </pic:blipFill>
                        <pic:spPr>
                          <a:xfrm rot="0">
                            <a:off x="0" y="0"/>
                            <a:ext cx="1405635" cy="1350264"/>
                          </a:xfrm>
                          <a:prstGeom prst="rect">
                            <a:avLst/>
                          </a:prstGeom>
                        </pic:spPr>
                      </pic:pic>
                    </a:graphicData>
                  </a:graphic>
                </wp:inline>
              </w:drawing>
            </w:r>
          </w:p>
        </w:tc>
        <w:tc>
          <w:tcPr>
            <w:tcW w:w="2320" w:type="dxa"/>
            <w:vAlign w:val="top"/>
          </w:tcPr>
          <w:p>
            <w:pPr>
              <w:ind w:firstLine="104"/>
              <w:spacing w:before="2" w:line="2126" w:lineRule="exact"/>
              <w:rPr/>
            </w:pPr>
            <w:r>
              <w:rPr>
                <w:position w:val="-42"/>
              </w:rPr>
              <w:drawing>
                <wp:inline distT="0" distB="0" distL="0" distR="0">
                  <wp:extent cx="1403603" cy="1350264"/>
                  <wp:effectExtent l="0" t="0" r="0" b="0"/>
                  <wp:docPr id="70" name="IM 70"/>
                  <wp:cNvGraphicFramePr/>
                  <a:graphic>
                    <a:graphicData uri="http://schemas.openxmlformats.org/drawingml/2006/picture">
                      <pic:pic>
                        <pic:nvPicPr>
                          <pic:cNvPr id="70" name="IM 70"/>
                          <pic:cNvPicPr/>
                        </pic:nvPicPr>
                        <pic:blipFill>
                          <a:blip r:embed="rId104"/>
                          <a:stretch>
                            <a:fillRect/>
                          </a:stretch>
                        </pic:blipFill>
                        <pic:spPr>
                          <a:xfrm rot="0">
                            <a:off x="0" y="0"/>
                            <a:ext cx="1403603" cy="1350264"/>
                          </a:xfrm>
                          <a:prstGeom prst="rect">
                            <a:avLst/>
                          </a:prstGeom>
                        </pic:spPr>
                      </pic:pic>
                    </a:graphicData>
                  </a:graphic>
                </wp:inline>
              </w:drawing>
            </w:r>
          </w:p>
        </w:tc>
        <w:tc>
          <w:tcPr>
            <w:tcW w:w="2322" w:type="dxa"/>
            <w:vAlign w:val="top"/>
          </w:tcPr>
          <w:p>
            <w:pPr>
              <w:ind w:firstLine="105"/>
              <w:spacing w:before="2" w:line="2119" w:lineRule="exact"/>
              <w:rPr/>
            </w:pPr>
            <w:r>
              <w:rPr>
                <w:position w:val="-42"/>
              </w:rPr>
              <w:drawing>
                <wp:inline distT="0" distB="0" distL="0" distR="0">
                  <wp:extent cx="1404365" cy="1345692"/>
                  <wp:effectExtent l="0" t="0" r="0" b="0"/>
                  <wp:docPr id="72" name="IM 72"/>
                  <wp:cNvGraphicFramePr/>
                  <a:graphic>
                    <a:graphicData uri="http://schemas.openxmlformats.org/drawingml/2006/picture">
                      <pic:pic>
                        <pic:nvPicPr>
                          <pic:cNvPr id="72" name="IM 72"/>
                          <pic:cNvPicPr/>
                        </pic:nvPicPr>
                        <pic:blipFill>
                          <a:blip r:embed="rId105"/>
                          <a:stretch>
                            <a:fillRect/>
                          </a:stretch>
                        </pic:blipFill>
                        <pic:spPr>
                          <a:xfrm rot="0">
                            <a:off x="0" y="0"/>
                            <a:ext cx="1404365" cy="1345692"/>
                          </a:xfrm>
                          <a:prstGeom prst="rect">
                            <a:avLst/>
                          </a:prstGeom>
                        </pic:spPr>
                      </pic:pic>
                    </a:graphicData>
                  </a:graphic>
                </wp:inline>
              </w:drawing>
            </w:r>
          </w:p>
        </w:tc>
        <w:tc>
          <w:tcPr>
            <w:tcW w:w="2324" w:type="dxa"/>
            <w:vAlign w:val="top"/>
          </w:tcPr>
          <w:p>
            <w:pPr>
              <w:ind w:firstLine="104"/>
              <w:spacing w:before="2" w:line="2119" w:lineRule="exact"/>
              <w:rPr/>
            </w:pPr>
            <w:r>
              <w:rPr>
                <w:position w:val="-42"/>
              </w:rPr>
              <w:drawing>
                <wp:inline distT="0" distB="0" distL="0" distR="0">
                  <wp:extent cx="1406397" cy="1345692"/>
                  <wp:effectExtent l="0" t="0" r="0" b="0"/>
                  <wp:docPr id="74" name="IM 74"/>
                  <wp:cNvGraphicFramePr/>
                  <a:graphic>
                    <a:graphicData uri="http://schemas.openxmlformats.org/drawingml/2006/picture">
                      <pic:pic>
                        <pic:nvPicPr>
                          <pic:cNvPr id="74" name="IM 74"/>
                          <pic:cNvPicPr/>
                        </pic:nvPicPr>
                        <pic:blipFill>
                          <a:blip r:embed="rId106"/>
                          <a:stretch>
                            <a:fillRect/>
                          </a:stretch>
                        </pic:blipFill>
                        <pic:spPr>
                          <a:xfrm rot="0">
                            <a:off x="0" y="0"/>
                            <a:ext cx="1406397" cy="1345692"/>
                          </a:xfrm>
                          <a:prstGeom prst="rect">
                            <a:avLst/>
                          </a:prstGeom>
                        </pic:spPr>
                      </pic:pic>
                    </a:graphicData>
                  </a:graphic>
                </wp:inline>
              </w:drawing>
            </w:r>
          </w:p>
        </w:tc>
      </w:tr>
      <w:tr>
        <w:trPr>
          <w:trHeight w:val="451" w:hRule="atLeast"/>
        </w:trPr>
        <w:tc>
          <w:tcPr>
            <w:tcW w:w="2324" w:type="dxa"/>
            <w:vAlign w:val="top"/>
          </w:tcPr>
          <w:p>
            <w:pPr>
              <w:pStyle w:val="TableText"/>
              <w:ind w:left="191"/>
              <w:spacing w:before="175" w:line="228" w:lineRule="auto"/>
              <w:rPr>
                <w:rFonts w:ascii="SimSun" w:hAnsi="SimSun" w:eastAsia="SimSun" w:cs="SimSun"/>
              </w:rPr>
            </w:pPr>
            <w:r>
              <w:rPr>
                <w:rFonts w:ascii="SimSun" w:hAnsi="SimSun" w:eastAsia="SimSun" w:cs="SimSun"/>
                <w:spacing w:val="8"/>
              </w:rPr>
              <w:t>矿井水</w:t>
            </w:r>
            <w:r>
              <w:rPr>
                <w:spacing w:val="8"/>
              </w:rPr>
              <w:t>/</w:t>
            </w:r>
            <w:r>
              <w:rPr>
                <w:rFonts w:ascii="SimSun" w:hAnsi="SimSun" w:eastAsia="SimSun" w:cs="SimSun"/>
                <w:spacing w:val="8"/>
              </w:rPr>
              <w:t>矿坑水处理站</w:t>
            </w:r>
          </w:p>
        </w:tc>
        <w:tc>
          <w:tcPr>
            <w:tcW w:w="2320" w:type="dxa"/>
            <w:vAlign w:val="top"/>
          </w:tcPr>
          <w:p>
            <w:pPr>
              <w:ind w:left="742"/>
              <w:spacing w:before="175" w:line="228" w:lineRule="auto"/>
              <w:rPr>
                <w:rFonts w:ascii="SimSun" w:hAnsi="SimSun" w:eastAsia="SimSun" w:cs="SimSun"/>
                <w:sz w:val="20"/>
                <w:szCs w:val="20"/>
              </w:rPr>
            </w:pPr>
            <w:r>
              <w:rPr>
                <w:rFonts w:ascii="SimSun" w:hAnsi="SimSun" w:eastAsia="SimSun" w:cs="SimSun"/>
                <w:sz w:val="20"/>
                <w:szCs w:val="20"/>
                <w:spacing w:val="7"/>
              </w:rPr>
              <w:t>风选车间</w:t>
            </w:r>
          </w:p>
        </w:tc>
        <w:tc>
          <w:tcPr>
            <w:tcW w:w="2322" w:type="dxa"/>
            <w:vAlign w:val="top"/>
          </w:tcPr>
          <w:p>
            <w:pPr>
              <w:ind w:left="532"/>
              <w:spacing w:before="176" w:line="228" w:lineRule="auto"/>
              <w:rPr>
                <w:rFonts w:ascii="SimSun" w:hAnsi="SimSun" w:eastAsia="SimSun" w:cs="SimSun"/>
                <w:sz w:val="20"/>
                <w:szCs w:val="20"/>
              </w:rPr>
            </w:pPr>
            <w:r>
              <w:rPr>
                <w:rFonts w:ascii="SimSun" w:hAnsi="SimSun" w:eastAsia="SimSun" w:cs="SimSun"/>
                <w:sz w:val="20"/>
                <w:szCs w:val="20"/>
                <w:spacing w:val="8"/>
              </w:rPr>
              <w:t>封闭式储煤场</w:t>
            </w:r>
          </w:p>
        </w:tc>
        <w:tc>
          <w:tcPr>
            <w:tcW w:w="2324" w:type="dxa"/>
            <w:vAlign w:val="top"/>
          </w:tcPr>
          <w:p>
            <w:pPr>
              <w:ind w:left="642"/>
              <w:spacing w:before="175" w:line="228" w:lineRule="auto"/>
              <w:rPr>
                <w:rFonts w:ascii="SimSun" w:hAnsi="SimSun" w:eastAsia="SimSun" w:cs="SimSun"/>
                <w:sz w:val="20"/>
                <w:szCs w:val="20"/>
              </w:rPr>
            </w:pPr>
            <w:r>
              <w:rPr>
                <w:rFonts w:ascii="SimSun" w:hAnsi="SimSun" w:eastAsia="SimSun" w:cs="SimSun"/>
                <w:sz w:val="20"/>
                <w:szCs w:val="20"/>
                <w:spacing w:val="7"/>
              </w:rPr>
              <w:t>危废贮存间</w:t>
            </w:r>
          </w:p>
        </w:tc>
      </w:tr>
    </w:tbl>
    <w:p>
      <w:pPr>
        <w:ind w:left="3696"/>
        <w:spacing w:before="144" w:line="219" w:lineRule="auto"/>
        <w:rPr>
          <w:rFonts w:ascii="SimSun" w:hAnsi="SimSun" w:eastAsia="SimSun" w:cs="SimSun"/>
          <w:sz w:val="24"/>
          <w:szCs w:val="24"/>
        </w:rPr>
      </w:pPr>
      <w:r>
        <w:rPr>
          <w:rFonts w:ascii="SimSun" w:hAnsi="SimSun" w:eastAsia="SimSun" w:cs="SimSun"/>
          <w:sz w:val="24"/>
          <w:szCs w:val="24"/>
          <w:b/>
          <w:bCs/>
          <w:spacing w:val="-4"/>
        </w:rPr>
        <w:t>工业场地现状照片</w:t>
      </w:r>
    </w:p>
    <w:p>
      <w:pPr>
        <w:spacing w:line="219" w:lineRule="auto"/>
        <w:sectPr>
          <w:headerReference w:type="default" r:id="rId97"/>
          <w:footerReference w:type="default" r:id="rId98"/>
          <w:pgSz w:w="11906" w:h="16838"/>
          <w:pgMar w:top="1170" w:right="1304" w:bottom="1080" w:left="1305" w:header="837" w:footer="918" w:gutter="0"/>
        </w:sectPr>
        <w:rPr>
          <w:rFonts w:ascii="SimSun" w:hAnsi="SimSun" w:eastAsia="SimSun" w:cs="SimSun"/>
          <w:sz w:val="24"/>
          <w:szCs w:val="24"/>
        </w:rPr>
      </w:pPr>
    </w:p>
    <w:p>
      <w:pPr>
        <w:pStyle w:val="BodyText"/>
        <w:spacing w:line="345" w:lineRule="auto"/>
        <w:rPr/>
      </w:pPr>
      <w:r/>
    </w:p>
    <w:p>
      <w:pPr>
        <w:ind w:left="3"/>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3.2.1.4 </w:t>
      </w:r>
      <w:r>
        <w:rPr>
          <w:rFonts w:ascii="SimHei" w:hAnsi="SimHei" w:eastAsia="SimHei" w:cs="SimHei"/>
          <w:sz w:val="24"/>
          <w:szCs w:val="24"/>
          <w:b/>
          <w:bCs/>
          <w:spacing w:val="-2"/>
        </w:rPr>
        <w:t>现有地面生产系统情况（选煤厂）</w:t>
      </w:r>
    </w:p>
    <w:p>
      <w:pPr>
        <w:ind w:left="15" w:right="54" w:firstLine="473"/>
        <w:spacing w:before="158" w:line="339" w:lineRule="auto"/>
        <w:rPr>
          <w:rFonts w:ascii="SimSun" w:hAnsi="SimSun" w:eastAsia="SimSun" w:cs="SimSun"/>
          <w:sz w:val="24"/>
          <w:szCs w:val="24"/>
        </w:rPr>
      </w:pPr>
      <w:r>
        <w:rPr>
          <w:rFonts w:ascii="SimSun" w:hAnsi="SimSun" w:eastAsia="SimSun" w:cs="SimSun"/>
          <w:sz w:val="24"/>
          <w:szCs w:val="24"/>
          <w:spacing w:val="-2"/>
        </w:rPr>
        <w:t>选煤厂采用</w:t>
      </w:r>
      <w:r>
        <w:rPr>
          <w:rFonts w:ascii="Times New Roman" w:hAnsi="Times New Roman" w:eastAsia="Times New Roman" w:cs="Times New Roman"/>
          <w:sz w:val="24"/>
          <w:szCs w:val="24"/>
          <w:spacing w:val="-2"/>
        </w:rPr>
        <w:t>“</w:t>
      </w:r>
      <w:r>
        <w:rPr>
          <w:rFonts w:ascii="SimSun" w:hAnsi="SimSun" w:eastAsia="SimSun" w:cs="SimSun"/>
          <w:sz w:val="24"/>
          <w:szCs w:val="24"/>
          <w:spacing w:val="-2"/>
        </w:rPr>
        <w:t>人工选矸</w:t>
      </w:r>
      <w:r>
        <w:rPr>
          <w:rFonts w:ascii="Times New Roman" w:hAnsi="Times New Roman" w:eastAsia="Times New Roman" w:cs="Times New Roman"/>
          <w:sz w:val="24"/>
          <w:szCs w:val="24"/>
          <w:spacing w:val="-2"/>
        </w:rPr>
        <w:t>+</w:t>
      </w:r>
      <w:r>
        <w:rPr>
          <w:rFonts w:ascii="SimSun" w:hAnsi="SimSun" w:eastAsia="SimSun" w:cs="SimSun"/>
          <w:sz w:val="24"/>
          <w:szCs w:val="24"/>
          <w:spacing w:val="-2"/>
        </w:rPr>
        <w:t>智能选矸</w:t>
      </w:r>
      <w:r>
        <w:rPr>
          <w:rFonts w:ascii="Times New Roman" w:hAnsi="Times New Roman" w:eastAsia="Times New Roman" w:cs="Times New Roman"/>
          <w:sz w:val="24"/>
          <w:szCs w:val="24"/>
          <w:spacing w:val="-2"/>
        </w:rPr>
        <w:t>+</w:t>
      </w:r>
      <w:r>
        <w:rPr>
          <w:rFonts w:ascii="SimSun" w:hAnsi="SimSun" w:eastAsia="SimSun" w:cs="SimSun"/>
          <w:sz w:val="24"/>
          <w:szCs w:val="24"/>
          <w:spacing w:val="-2"/>
        </w:rPr>
        <w:t>干法选煤方法</w:t>
      </w:r>
      <w:r>
        <w:rPr>
          <w:rFonts w:ascii="Times New Roman" w:hAnsi="Times New Roman" w:eastAsia="Times New Roman" w:cs="Times New Roman"/>
          <w:sz w:val="24"/>
          <w:szCs w:val="24"/>
          <w:spacing w:val="-2"/>
        </w:rPr>
        <w:t>”</w:t>
      </w:r>
      <w:r>
        <w:rPr>
          <w:rFonts w:ascii="SimSun" w:hAnsi="SimSun" w:eastAsia="SimSun" w:cs="SimSun"/>
          <w:sz w:val="24"/>
          <w:szCs w:val="24"/>
          <w:spacing w:val="-2"/>
        </w:rPr>
        <w:t>。地面生产系统设计选煤能力</w:t>
      </w:r>
      <w:r>
        <w:rPr>
          <w:rFonts w:ascii="Times New Roman" w:hAnsi="Times New Roman" w:eastAsia="Times New Roman" w:cs="Times New Roman"/>
          <w:sz w:val="24"/>
          <w:szCs w:val="24"/>
          <w:spacing w:val="-2"/>
        </w:rPr>
        <w:t>1300</w:t>
      </w:r>
      <w:r>
        <w:rPr>
          <w:rFonts w:ascii="SimSun" w:hAnsi="SimSun" w:eastAsia="SimSun" w:cs="SimSun"/>
          <w:sz w:val="24"/>
          <w:szCs w:val="24"/>
          <w:spacing w:val="-4"/>
        </w:rPr>
        <w:t>万</w:t>
      </w:r>
      <w:r>
        <w:rPr>
          <w:rFonts w:ascii="Times New Roman" w:hAnsi="Times New Roman" w:eastAsia="Times New Roman" w:cs="Times New Roman"/>
          <w:sz w:val="24"/>
          <w:szCs w:val="24"/>
          <w:spacing w:val="-4"/>
        </w:rPr>
        <w:t>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SimSun" w:hAnsi="SimSun" w:eastAsia="SimSun" w:cs="SimSun"/>
          <w:sz w:val="24"/>
          <w:szCs w:val="24"/>
          <w:spacing w:val="-65"/>
        </w:rPr>
        <w:t xml:space="preserve"> </w:t>
      </w:r>
      <w:r>
        <w:rPr>
          <w:rFonts w:ascii="SimSun" w:hAnsi="SimSun" w:eastAsia="SimSun" w:cs="SimSun"/>
          <w:sz w:val="24"/>
          <w:szCs w:val="24"/>
          <w:spacing w:val="-4"/>
        </w:rPr>
        <w:t>目前主要对井工区及露天区矸石进</w:t>
      </w:r>
      <w:r>
        <w:rPr>
          <w:rFonts w:ascii="SimSun" w:hAnsi="SimSun" w:eastAsia="SimSun" w:cs="SimSun"/>
          <w:sz w:val="24"/>
          <w:szCs w:val="24"/>
          <w:spacing w:val="-5"/>
        </w:rPr>
        <w:t>行风选。</w:t>
      </w:r>
    </w:p>
    <w:p>
      <w:pPr>
        <w:ind w:left="489"/>
        <w:spacing w:line="219" w:lineRule="auto"/>
        <w:rPr>
          <w:rFonts w:ascii="SimSun" w:hAnsi="SimSun" w:eastAsia="SimSun" w:cs="SimSun"/>
          <w:sz w:val="24"/>
          <w:szCs w:val="24"/>
        </w:rPr>
      </w:pPr>
      <w:r>
        <w:rPr>
          <w:rFonts w:ascii="SimSun" w:hAnsi="SimSun" w:eastAsia="SimSun" w:cs="SimSun"/>
          <w:sz w:val="24"/>
          <w:szCs w:val="24"/>
          <w:spacing w:val="-1"/>
        </w:rPr>
        <w:t>地面生产系统工艺流程见图</w:t>
      </w:r>
      <w:r>
        <w:rPr>
          <w:rFonts w:ascii="Times New Roman" w:hAnsi="Times New Roman" w:eastAsia="Times New Roman" w:cs="Times New Roman"/>
          <w:sz w:val="24"/>
          <w:szCs w:val="24"/>
          <w:spacing w:val="-1"/>
        </w:rPr>
        <w:t>3-2-6</w:t>
      </w:r>
      <w:r>
        <w:rPr>
          <w:rFonts w:ascii="SimSun" w:hAnsi="SimSun" w:eastAsia="SimSun" w:cs="SimSun"/>
          <w:sz w:val="24"/>
          <w:szCs w:val="24"/>
          <w:spacing w:val="-1"/>
        </w:rPr>
        <w:t>。</w:t>
      </w:r>
    </w:p>
    <w:p>
      <w:pPr>
        <w:pStyle w:val="BodyText"/>
        <w:spacing w:line="446" w:lineRule="auto"/>
        <w:rPr/>
      </w:pPr>
      <w:r/>
    </w:p>
    <w:p>
      <w:pPr>
        <w:ind w:firstLine="715"/>
        <w:spacing w:line="5669" w:lineRule="exact"/>
        <w:rPr/>
      </w:pPr>
      <w:r>
        <w:rPr>
          <w:position w:val="-113"/>
        </w:rPr>
        <w:drawing>
          <wp:inline distT="0" distB="0" distL="0" distR="0">
            <wp:extent cx="4850891" cy="3599687"/>
            <wp:effectExtent l="0" t="0" r="0" b="0"/>
            <wp:docPr id="76" name="IM 76"/>
            <wp:cNvGraphicFramePr/>
            <a:graphic>
              <a:graphicData uri="http://schemas.openxmlformats.org/drawingml/2006/picture">
                <pic:pic>
                  <pic:nvPicPr>
                    <pic:cNvPr id="76" name="IM 76"/>
                    <pic:cNvPicPr/>
                  </pic:nvPicPr>
                  <pic:blipFill>
                    <a:blip r:embed="rId109"/>
                    <a:stretch>
                      <a:fillRect/>
                    </a:stretch>
                  </pic:blipFill>
                  <pic:spPr>
                    <a:xfrm rot="0">
                      <a:off x="0" y="0"/>
                      <a:ext cx="4850891" cy="3599687"/>
                    </a:xfrm>
                    <a:prstGeom prst="rect">
                      <a:avLst/>
                    </a:prstGeom>
                  </pic:spPr>
                </pic:pic>
              </a:graphicData>
            </a:graphic>
          </wp:inline>
        </w:drawing>
      </w:r>
    </w:p>
    <w:p>
      <w:pPr>
        <w:ind w:left="2733"/>
        <w:spacing w:before="45" w:line="221" w:lineRule="auto"/>
        <w:rPr>
          <w:rFonts w:ascii="SimHei" w:hAnsi="SimHei" w:eastAsia="SimHei" w:cs="SimHei"/>
          <w:sz w:val="24"/>
          <w:szCs w:val="24"/>
        </w:rPr>
      </w:pPr>
      <w:r>
        <w:rPr>
          <w:rFonts w:ascii="SimHei" w:hAnsi="SimHei" w:eastAsia="SimHei" w:cs="SimHei"/>
          <w:sz w:val="24"/>
          <w:szCs w:val="24"/>
          <w:b/>
          <w:bCs/>
          <w:spacing w:val="-3"/>
        </w:rPr>
        <w:t>图</w:t>
      </w:r>
      <w:r>
        <w:rPr>
          <w:rFonts w:ascii="Times New Roman" w:hAnsi="Times New Roman" w:eastAsia="Times New Roman" w:cs="Times New Roman"/>
          <w:sz w:val="24"/>
          <w:szCs w:val="24"/>
          <w:b/>
          <w:bCs/>
          <w:spacing w:val="-3"/>
        </w:rPr>
        <w:t>3-2-4    </w:t>
      </w:r>
      <w:r>
        <w:rPr>
          <w:rFonts w:ascii="SimHei" w:hAnsi="SimHei" w:eastAsia="SimHei" w:cs="SimHei"/>
          <w:sz w:val="24"/>
          <w:szCs w:val="24"/>
          <w:b/>
          <w:bCs/>
          <w:spacing w:val="-3"/>
        </w:rPr>
        <w:t>地面生产系统工艺流程图</w:t>
      </w:r>
    </w:p>
    <w:p>
      <w:pPr>
        <w:ind w:left="3"/>
        <w:spacing w:before="166"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3.2.1.4 </w:t>
      </w:r>
      <w:r>
        <w:rPr>
          <w:rFonts w:ascii="SimHei" w:hAnsi="SimHei" w:eastAsia="SimHei" w:cs="SimHei"/>
          <w:sz w:val="24"/>
          <w:szCs w:val="24"/>
          <w:b/>
          <w:bCs/>
          <w:spacing w:val="-2"/>
        </w:rPr>
        <w:t>现有工程总平面布置</w:t>
      </w:r>
    </w:p>
    <w:p>
      <w:pPr>
        <w:ind w:left="8" w:firstLine="482"/>
        <w:spacing w:before="160" w:line="340" w:lineRule="auto"/>
        <w:rPr>
          <w:rFonts w:ascii="SimSun" w:hAnsi="SimSun" w:eastAsia="SimSun" w:cs="SimSun"/>
          <w:sz w:val="24"/>
          <w:szCs w:val="24"/>
        </w:rPr>
      </w:pPr>
      <w:r>
        <w:rPr>
          <w:rFonts w:ascii="SimSun" w:hAnsi="SimSun" w:eastAsia="SimSun" w:cs="SimSun"/>
          <w:sz w:val="24"/>
          <w:szCs w:val="24"/>
          <w:spacing w:val="-2"/>
        </w:rPr>
        <w:t>现有工程地面总布置主要包括矿井（坑）水处理厂、地面生产系统（位于井工区工</w:t>
      </w:r>
      <w:r>
        <w:rPr>
          <w:rFonts w:ascii="SimSun" w:hAnsi="SimSun" w:eastAsia="SimSun" w:cs="SimSun"/>
          <w:sz w:val="24"/>
          <w:szCs w:val="24"/>
          <w:spacing w:val="-1"/>
        </w:rPr>
        <w:t>业场地附近）、场外道路及露天区工业场地。现有露天区工业场地平面布置见图</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
        </w:rPr>
        <w:t>-2-3</w:t>
      </w:r>
      <w:r>
        <w:rPr>
          <w:rFonts w:ascii="SimSun" w:hAnsi="SimSun" w:eastAsia="SimSun" w:cs="SimSun"/>
          <w:sz w:val="24"/>
          <w:szCs w:val="24"/>
          <w:spacing w:val="-2"/>
        </w:rPr>
        <w:t>。</w:t>
      </w:r>
    </w:p>
    <w:p>
      <w:pPr>
        <w:ind w:left="4"/>
        <w:spacing w:before="72" w:line="222" w:lineRule="auto"/>
        <w:outlineLvl w:val="1"/>
        <w:rPr>
          <w:rFonts w:ascii="SimHei" w:hAnsi="SimHei" w:eastAsia="SimHei" w:cs="SimHei"/>
          <w:sz w:val="30"/>
          <w:szCs w:val="30"/>
        </w:rPr>
      </w:pPr>
      <w:bookmarkStart w:name="bookmark20" w:id="34"/>
      <w:bookmarkEnd w:id="34"/>
      <w:r>
        <w:rPr>
          <w:rFonts w:ascii="Times New Roman" w:hAnsi="Times New Roman" w:eastAsia="Times New Roman" w:cs="Times New Roman"/>
          <w:sz w:val="30"/>
          <w:szCs w:val="30"/>
          <w:b/>
          <w:bCs/>
          <w:spacing w:val="-2"/>
        </w:rPr>
        <w:t>3.3  </w:t>
      </w:r>
      <w:r>
        <w:rPr>
          <w:rFonts w:ascii="SimHei" w:hAnsi="SimHei" w:eastAsia="SimHei" w:cs="SimHei"/>
          <w:sz w:val="30"/>
          <w:szCs w:val="30"/>
          <w:b/>
          <w:bCs/>
          <w:spacing w:val="-2"/>
        </w:rPr>
        <w:t>现有工程环境影响回顾性评价</w:t>
      </w:r>
    </w:p>
    <w:p>
      <w:pPr>
        <w:ind w:left="26"/>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3.3.1</w:t>
      </w:r>
      <w:r>
        <w:rPr>
          <w:rFonts w:ascii="SimHei" w:hAnsi="SimHei" w:eastAsia="SimHei" w:cs="SimHei"/>
          <w:sz w:val="28"/>
          <w:szCs w:val="28"/>
          <w:b/>
          <w:bCs/>
          <w:spacing w:val="-2"/>
        </w:rPr>
        <w:t>生态环境影响回顾性评价</w:t>
      </w:r>
    </w:p>
    <w:p>
      <w:pPr>
        <w:ind w:left="3"/>
        <w:spacing w:before="29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3.3.1.1 </w:t>
      </w:r>
      <w:r>
        <w:rPr>
          <w:rFonts w:ascii="SimHei" w:hAnsi="SimHei" w:eastAsia="SimHei" w:cs="SimHei"/>
          <w:sz w:val="24"/>
          <w:szCs w:val="24"/>
          <w:b/>
          <w:bCs/>
          <w:spacing w:val="-2"/>
        </w:rPr>
        <w:t>矿区开发对生态环境影响回顾性评价</w:t>
      </w:r>
    </w:p>
    <w:p>
      <w:pPr>
        <w:ind w:left="508"/>
        <w:spacing w:before="185"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、开采现状</w:t>
      </w:r>
    </w:p>
    <w:p>
      <w:pPr>
        <w:ind w:left="8" w:right="54" w:firstLine="515"/>
        <w:spacing w:before="155" w:line="339" w:lineRule="auto"/>
        <w:rPr>
          <w:rFonts w:ascii="SimSun" w:hAnsi="SimSun" w:eastAsia="SimSun" w:cs="SimSun"/>
          <w:sz w:val="24"/>
          <w:szCs w:val="24"/>
        </w:rPr>
      </w:pPr>
      <w:r>
        <w:rPr>
          <w:rFonts w:ascii="SimSun" w:hAnsi="SimSun" w:eastAsia="SimSun" w:cs="SimSun"/>
          <w:sz w:val="24"/>
          <w:szCs w:val="24"/>
          <w:spacing w:val="-8"/>
        </w:rPr>
        <w:t>白音华四号露天矿（露天区）于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2005 </w:t>
      </w:r>
      <w:r>
        <w:rPr>
          <w:rFonts w:ascii="SimSun" w:hAnsi="SimSun" w:eastAsia="SimSun" w:cs="SimSun"/>
          <w:sz w:val="24"/>
          <w:szCs w:val="24"/>
          <w:spacing w:val="-8"/>
        </w:rPr>
        <w:t>年开</w:t>
      </w:r>
      <w:r>
        <w:rPr>
          <w:rFonts w:ascii="SimSun" w:hAnsi="SimSun" w:eastAsia="SimSun" w:cs="SimSun"/>
          <w:sz w:val="24"/>
          <w:szCs w:val="24"/>
          <w:spacing w:val="-9"/>
        </w:rPr>
        <w:t>工建设，设计生产规模</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9"/>
        </w:rPr>
        <w:t>500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9"/>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9"/>
        </w:rPr>
        <w:t>t/a</w:t>
      </w:r>
      <w:r>
        <w:rPr>
          <w:rFonts w:ascii="SimSun" w:hAnsi="SimSun" w:eastAsia="SimSun" w:cs="SimSun"/>
          <w:sz w:val="24"/>
          <w:szCs w:val="24"/>
          <w:spacing w:val="-9"/>
        </w:rPr>
        <w:t>，于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9"/>
        </w:rPr>
        <w:t>2015</w:t>
      </w:r>
      <w:r>
        <w:rPr>
          <w:rFonts w:ascii="SimSun" w:hAnsi="SimSun" w:eastAsia="SimSun" w:cs="SimSun"/>
          <w:sz w:val="24"/>
          <w:szCs w:val="24"/>
        </w:rPr>
        <w:t>年以</w:t>
      </w:r>
      <w:r>
        <w:rPr>
          <w:rFonts w:ascii="Times New Roman" w:hAnsi="Times New Roman" w:eastAsia="Times New Roman" w:cs="Times New Roman"/>
          <w:sz w:val="24"/>
          <w:szCs w:val="24"/>
        </w:rPr>
        <w:t>“</w:t>
      </w:r>
      <w:r>
        <w:rPr>
          <w:rFonts w:ascii="SimSun" w:hAnsi="SimSun" w:eastAsia="SimSun" w:cs="SimSun"/>
          <w:sz w:val="24"/>
          <w:szCs w:val="24"/>
        </w:rPr>
        <w:t>内煤局字〔</w:t>
      </w:r>
      <w:r>
        <w:rPr>
          <w:rFonts w:ascii="Times New Roman" w:hAnsi="Times New Roman" w:eastAsia="Times New Roman" w:cs="Times New Roman"/>
          <w:sz w:val="24"/>
          <w:szCs w:val="24"/>
        </w:rPr>
        <w:t>2015</w:t>
      </w:r>
      <w:r>
        <w:rPr>
          <w:rFonts w:ascii="SimSun" w:hAnsi="SimSun" w:eastAsia="SimSun" w:cs="SimSun"/>
          <w:sz w:val="24"/>
          <w:szCs w:val="24"/>
        </w:rPr>
        <w:t>〕</w:t>
      </w:r>
      <w:r>
        <w:rPr>
          <w:rFonts w:ascii="Times New Roman" w:hAnsi="Times New Roman" w:eastAsia="Times New Roman" w:cs="Times New Roman"/>
          <w:sz w:val="24"/>
          <w:szCs w:val="24"/>
        </w:rPr>
        <w:t>246  </w:t>
      </w:r>
      <w:r>
        <w:rPr>
          <w:rFonts w:ascii="SimSun" w:hAnsi="SimSun" w:eastAsia="SimSun" w:cs="SimSun"/>
          <w:sz w:val="24"/>
          <w:szCs w:val="24"/>
        </w:rPr>
        <w:t>号</w:t>
      </w:r>
      <w:r>
        <w:rPr>
          <w:rFonts w:ascii="Times New Roman" w:hAnsi="Times New Roman" w:eastAsia="Times New Roman" w:cs="Times New Roman"/>
          <w:sz w:val="24"/>
          <w:szCs w:val="24"/>
        </w:rPr>
        <w:t>”</w:t>
      </w:r>
      <w:r>
        <w:rPr>
          <w:rFonts w:ascii="SimSun" w:hAnsi="SimSun" w:eastAsia="SimSun" w:cs="SimSun"/>
          <w:sz w:val="24"/>
          <w:szCs w:val="24"/>
        </w:rPr>
        <w:t>通过项目竣工验收。露天矿开采标高</w:t>
      </w:r>
      <w:r>
        <w:rPr>
          <w:rFonts w:ascii="Times New Roman" w:hAnsi="Times New Roman" w:eastAsia="Times New Roman" w:cs="Times New Roman"/>
          <w:sz w:val="24"/>
          <w:szCs w:val="24"/>
        </w:rPr>
        <w:t>+930m</w:t>
      </w:r>
      <w:r>
        <w:rPr>
          <w:rFonts w:ascii="SimSun" w:hAnsi="SimSun" w:eastAsia="SimSun" w:cs="SimSun"/>
          <w:sz w:val="24"/>
          <w:szCs w:val="24"/>
        </w:rPr>
        <w:t>～</w:t>
      </w:r>
      <w:r>
        <w:rPr>
          <w:rFonts w:ascii="Times New Roman" w:hAnsi="Times New Roman" w:eastAsia="Times New Roman" w:cs="Times New Roman"/>
          <w:sz w:val="24"/>
          <w:szCs w:val="24"/>
        </w:rPr>
        <w:t>+640m</w:t>
      </w:r>
      <w:r>
        <w:rPr>
          <w:rFonts w:ascii="Times New Roman" w:hAnsi="Times New Roman" w:eastAsia="Times New Roman" w:cs="Times New Roman"/>
          <w:sz w:val="24"/>
          <w:szCs w:val="24"/>
          <w:spacing w:val="-17"/>
        </w:rPr>
        <w:t xml:space="preserve"> </w:t>
      </w:r>
      <w:r>
        <w:rPr>
          <w:rFonts w:ascii="SimSun" w:hAnsi="SimSun" w:eastAsia="SimSun" w:cs="SimSun"/>
          <w:sz w:val="24"/>
          <w:szCs w:val="24"/>
        </w:rPr>
        <w:t>，</w:t>
      </w:r>
      <w:r>
        <w:rPr>
          <w:rFonts w:ascii="SimSun" w:hAnsi="SimSun" w:eastAsia="SimSun" w:cs="SimSun"/>
          <w:sz w:val="24"/>
          <w:szCs w:val="24"/>
          <w:spacing w:val="-4"/>
        </w:rPr>
        <w:t>主采一煤层。整个露天矿划分为一个采区，现已达产内排，形成露天采坑</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处，内排土</w:t>
      </w:r>
      <w:r>
        <w:rPr>
          <w:rFonts w:ascii="SimSun" w:hAnsi="SimSun" w:eastAsia="SimSun" w:cs="SimSun"/>
          <w:sz w:val="24"/>
          <w:szCs w:val="24"/>
        </w:rPr>
        <w:t>场</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  </w:t>
      </w:r>
      <w:r>
        <w:rPr>
          <w:rFonts w:ascii="SimSun" w:hAnsi="SimSun" w:eastAsia="SimSun" w:cs="SimSun"/>
          <w:sz w:val="24"/>
          <w:szCs w:val="24"/>
        </w:rPr>
        <w:t>处，外排土场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  </w:t>
      </w:r>
      <w:r>
        <w:rPr>
          <w:rFonts w:ascii="SimSun" w:hAnsi="SimSun" w:eastAsia="SimSun" w:cs="SimSun"/>
          <w:sz w:val="24"/>
          <w:szCs w:val="24"/>
        </w:rPr>
        <w:t>处，露天工业场地</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 </w:t>
      </w:r>
      <w:r>
        <w:rPr>
          <w:rFonts w:ascii="SimSun" w:hAnsi="SimSun" w:eastAsia="SimSun" w:cs="SimSun"/>
          <w:sz w:val="24"/>
          <w:szCs w:val="24"/>
        </w:rPr>
        <w:t>处。四号露天</w:t>
      </w:r>
      <w:r>
        <w:rPr>
          <w:rFonts w:ascii="SimSun" w:hAnsi="SimSun" w:eastAsia="SimSun" w:cs="SimSun"/>
          <w:sz w:val="24"/>
          <w:szCs w:val="24"/>
          <w:spacing w:val="-1"/>
        </w:rPr>
        <w:t>矿（露天区）现有地面总布置</w:t>
      </w:r>
      <w:r>
        <w:rPr>
          <w:rFonts w:ascii="SimSun" w:hAnsi="SimSun" w:eastAsia="SimSun" w:cs="SimSun"/>
          <w:sz w:val="24"/>
          <w:szCs w:val="24"/>
          <w:spacing w:val="1"/>
        </w:rPr>
        <w:t>图详见图</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3-3-1</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。根据《内蒙古自治区人</w:t>
      </w:r>
      <w:r>
        <w:rPr>
          <w:rFonts w:ascii="SimSun" w:hAnsi="SimSun" w:eastAsia="SimSun" w:cs="SimSun"/>
          <w:sz w:val="24"/>
          <w:szCs w:val="24"/>
        </w:rPr>
        <w:t>民政府办公厅关于持续推进绿色矿山建设的通</w:t>
      </w:r>
    </w:p>
    <w:p>
      <w:pPr>
        <w:spacing w:line="339" w:lineRule="auto"/>
        <w:sectPr>
          <w:headerReference w:type="default" r:id="rId107"/>
          <w:footerReference w:type="default" r:id="rId108"/>
          <w:pgSz w:w="11906" w:h="16838"/>
          <w:pgMar w:top="1170" w:right="1365" w:bottom="1078" w:left="1416" w:header="837" w:footer="915" w:gutter="0"/>
        </w:sectPr>
        <w:rPr>
          <w:rFonts w:ascii="SimSun" w:hAnsi="SimSun" w:eastAsia="SimSun" w:cs="SimSun"/>
          <w:sz w:val="24"/>
          <w:szCs w:val="24"/>
        </w:rPr>
      </w:pPr>
    </w:p>
    <w:p>
      <w:pPr>
        <w:pStyle w:val="BodyText"/>
        <w:spacing w:line="311" w:lineRule="auto"/>
        <w:rPr/>
      </w:pPr>
      <w:r/>
    </w:p>
    <w:p>
      <w:pPr>
        <w:ind w:left="8" w:right="85" w:firstLine="5"/>
        <w:spacing w:before="78" w:line="339" w:lineRule="auto"/>
        <w:jc w:val="both"/>
        <w:rPr>
          <w:rFonts w:ascii="SimSun" w:hAnsi="SimSun" w:eastAsia="SimSun" w:cs="SimSun"/>
          <w:sz w:val="24"/>
          <w:szCs w:val="24"/>
        </w:rPr>
      </w:pPr>
      <w:r>
        <w:rPr>
          <w:rFonts w:ascii="SimSun" w:hAnsi="SimSun" w:eastAsia="SimSun" w:cs="SimSun"/>
          <w:sz w:val="24"/>
          <w:szCs w:val="24"/>
          <w:spacing w:val="-3"/>
        </w:rPr>
        <w:t>知》（内政办发〔</w:t>
      </w:r>
      <w:r>
        <w:rPr>
          <w:rFonts w:ascii="Times New Roman" w:hAnsi="Times New Roman" w:eastAsia="Times New Roman" w:cs="Times New Roman"/>
          <w:sz w:val="24"/>
          <w:szCs w:val="24"/>
          <w:spacing w:val="-3"/>
        </w:rPr>
        <w:t>2024</w:t>
      </w:r>
      <w:r>
        <w:rPr>
          <w:rFonts w:ascii="SimSun" w:hAnsi="SimSun" w:eastAsia="SimSun" w:cs="SimSun"/>
          <w:sz w:val="24"/>
          <w:szCs w:val="24"/>
          <w:spacing w:val="-3"/>
        </w:rPr>
        <w:t>〕</w:t>
      </w:r>
      <w:r>
        <w:rPr>
          <w:rFonts w:ascii="Times New Roman" w:hAnsi="Times New Roman" w:eastAsia="Times New Roman" w:cs="Times New Roman"/>
          <w:sz w:val="24"/>
          <w:szCs w:val="24"/>
          <w:spacing w:val="-3"/>
        </w:rPr>
        <w:t>13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号）有关规定，经</w:t>
      </w:r>
      <w:r>
        <w:rPr>
          <w:rFonts w:ascii="SimSun" w:hAnsi="SimSun" w:eastAsia="SimSun" w:cs="SimSun"/>
          <w:sz w:val="24"/>
          <w:szCs w:val="24"/>
          <w:spacing w:val="-4"/>
        </w:rPr>
        <w:t>企业自评，旗县（市、区）各部门联合初</w:t>
      </w:r>
      <w:r>
        <w:rPr>
          <w:rFonts w:ascii="SimSun" w:hAnsi="SimSun" w:eastAsia="SimSun" w:cs="SimSun"/>
          <w:sz w:val="24"/>
          <w:szCs w:val="24"/>
          <w:spacing w:val="-2"/>
        </w:rPr>
        <w:t>审，盟市各部门联合组织第三方评估、实地核查审定、公示，自治区绿色矿山建设协调</w:t>
      </w:r>
      <w:r>
        <w:rPr>
          <w:rFonts w:ascii="SimSun" w:hAnsi="SimSun" w:eastAsia="SimSun" w:cs="SimSun"/>
          <w:sz w:val="24"/>
          <w:szCs w:val="24"/>
          <w:spacing w:val="-5"/>
        </w:rPr>
        <w:t>机制成员单位联合资料核查、实地抽查、协调机制会议审议，</w:t>
      </w:r>
      <w:r>
        <w:rPr>
          <w:rFonts w:ascii="Times New Roman" w:hAnsi="Times New Roman" w:eastAsia="Times New Roman" w:cs="Times New Roman"/>
          <w:sz w:val="24"/>
          <w:szCs w:val="24"/>
          <w:spacing w:val="-5"/>
        </w:rPr>
        <w:t>2024</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6"/>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31  </w:t>
      </w:r>
      <w:r>
        <w:rPr>
          <w:rFonts w:ascii="SimSun" w:hAnsi="SimSun" w:eastAsia="SimSun" w:cs="SimSun"/>
          <w:sz w:val="24"/>
          <w:szCs w:val="24"/>
          <w:spacing w:val="-6"/>
        </w:rPr>
        <w:t>日本矿山</w:t>
      </w:r>
      <w:r>
        <w:rPr>
          <w:rFonts w:ascii="SimSun" w:hAnsi="SimSun" w:eastAsia="SimSun" w:cs="SimSun"/>
          <w:sz w:val="24"/>
          <w:szCs w:val="24"/>
          <w:spacing w:val="-1"/>
        </w:rPr>
        <w:t>正式被纳入自治区级绿色矿山名录。详见附件</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26</w:t>
      </w:r>
      <w:r>
        <w:rPr>
          <w:rFonts w:ascii="SimSun" w:hAnsi="SimSun" w:eastAsia="SimSun" w:cs="SimSun"/>
          <w:sz w:val="24"/>
          <w:szCs w:val="24"/>
          <w:spacing w:val="-1"/>
        </w:rPr>
        <w:t>。</w:t>
      </w:r>
    </w:p>
    <w:p>
      <w:pPr>
        <w:ind w:left="495"/>
        <w:spacing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）排土场基本情况</w:t>
      </w:r>
    </w:p>
    <w:p>
      <w:pPr>
        <w:ind w:left="13" w:right="82" w:firstLine="481"/>
        <w:spacing w:before="156" w:line="338" w:lineRule="auto"/>
        <w:rPr>
          <w:rFonts w:ascii="SimSun" w:hAnsi="SimSun" w:eastAsia="SimSun" w:cs="SimSun"/>
          <w:sz w:val="24"/>
          <w:szCs w:val="24"/>
        </w:rPr>
      </w:pPr>
      <w:r>
        <w:rPr>
          <w:rFonts w:ascii="SimSun" w:hAnsi="SimSun" w:eastAsia="SimSun" w:cs="SimSun"/>
          <w:sz w:val="24"/>
          <w:szCs w:val="24"/>
          <w:spacing w:val="-2"/>
        </w:rPr>
        <w:t>露天区已形成东一、东二两个外排土场和一个内排土场，面积总计</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558.35hm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w:t>
      </w:r>
      <w:r>
        <w:rPr>
          <w:rFonts w:ascii="SimSun" w:hAnsi="SimSun" w:eastAsia="SimSun" w:cs="SimSun"/>
          <w:sz w:val="24"/>
          <w:szCs w:val="24"/>
          <w:spacing w:val="-63"/>
        </w:rPr>
        <w:t xml:space="preserve"> </w:t>
      </w:r>
      <w:r>
        <w:rPr>
          <w:rFonts w:ascii="SimSun" w:hAnsi="SimSun" w:eastAsia="SimSun" w:cs="SimSun"/>
          <w:sz w:val="24"/>
          <w:szCs w:val="24"/>
          <w:spacing w:val="-2"/>
        </w:rPr>
        <w:t>目</w:t>
      </w:r>
      <w:r>
        <w:rPr>
          <w:rFonts w:ascii="SimSun" w:hAnsi="SimSun" w:eastAsia="SimSun" w:cs="SimSun"/>
          <w:sz w:val="24"/>
          <w:szCs w:val="24"/>
          <w:spacing w:val="1"/>
        </w:rPr>
        <w:t>前白音华露天煤矿已全部内排，外排土场服务期满并于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年全部复垦完毕并通</w:t>
      </w:r>
      <w:r>
        <w:rPr>
          <w:rFonts w:ascii="SimSun" w:hAnsi="SimSun" w:eastAsia="SimSun" w:cs="SimSun"/>
          <w:sz w:val="24"/>
          <w:szCs w:val="24"/>
        </w:rPr>
        <w:t>过验</w:t>
      </w:r>
      <w:r>
        <w:rPr>
          <w:rFonts w:ascii="SimSun" w:hAnsi="SimSun" w:eastAsia="SimSun" w:cs="SimSun"/>
          <w:sz w:val="24"/>
          <w:szCs w:val="24"/>
          <w:spacing w:val="-7"/>
        </w:rPr>
        <w:t>收。</w:t>
      </w:r>
    </w:p>
    <w:p>
      <w:pPr>
        <w:ind w:left="572"/>
        <w:spacing w:line="220" w:lineRule="auto"/>
        <w:rPr>
          <w:rFonts w:ascii="SimSun" w:hAnsi="SimSun" w:eastAsia="SimSun" w:cs="SimSun"/>
          <w:sz w:val="24"/>
          <w:szCs w:val="24"/>
        </w:rPr>
      </w:pPr>
      <w:r>
        <w:pict>
          <v:shape id="_x0000_s324" style="position:absolute;margin-left:24.06pt;margin-top:0.17157pt;mso-position-vertical-relative:text;mso-position-horizontal-relative:text;width:12.15pt;height:12.15pt;z-index:253859840;" filled="false" strokecolor="#000000" strokeweight="0.12pt" coordsize="242,242" coordorigin="0,0" path="m241,121c241,188,185,241,121,241c53,241,1,188,1,121c1,56,53,1,121,1c185,1,241,56,241,121e">
            <v:stroke endcap="round" miterlimit="10"/>
          </v:shape>
        </w:pict>
      </w:r>
      <w:r>
        <w:rPr>
          <w:rFonts w:ascii="SimSun" w:hAnsi="SimSun" w:eastAsia="SimSun" w:cs="SimSun"/>
          <w:sz w:val="19"/>
          <w:szCs w:val="19"/>
          <w:spacing w:val="-7"/>
        </w:rPr>
        <w:t>1</w:t>
      </w:r>
      <w:r>
        <w:rPr>
          <w:rFonts w:ascii="SimSun" w:hAnsi="SimSun" w:eastAsia="SimSun" w:cs="SimSun"/>
          <w:sz w:val="19"/>
          <w:szCs w:val="19"/>
          <w:spacing w:val="8"/>
        </w:rPr>
        <w:t xml:space="preserve">  </w:t>
      </w:r>
      <w:r>
        <w:rPr>
          <w:rFonts w:ascii="SimSun" w:hAnsi="SimSun" w:eastAsia="SimSun" w:cs="SimSun"/>
          <w:sz w:val="24"/>
          <w:szCs w:val="24"/>
          <w:spacing w:val="-7"/>
        </w:rPr>
        <w:t>外排土场</w:t>
      </w:r>
    </w:p>
    <w:p>
      <w:pPr>
        <w:ind w:left="9" w:right="18" w:firstLine="488"/>
        <w:spacing w:before="151" w:line="339" w:lineRule="auto"/>
        <w:rPr>
          <w:rFonts w:ascii="SimSun" w:hAnsi="SimSun" w:eastAsia="SimSun" w:cs="SimSun"/>
          <w:sz w:val="24"/>
          <w:szCs w:val="24"/>
        </w:rPr>
      </w:pPr>
      <w:r>
        <w:rPr>
          <w:rFonts w:ascii="SimSun" w:hAnsi="SimSun" w:eastAsia="SimSun" w:cs="SimSun"/>
          <w:sz w:val="24"/>
          <w:szCs w:val="24"/>
          <w:spacing w:val="-5"/>
        </w:rPr>
        <w:t>东一外排土场在首采区拉沟位置的东南侧，长度为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1560m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，宽度为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1100m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5"/>
        </w:rPr>
        <w:t>，占地面</w:t>
      </w:r>
      <w:r>
        <w:rPr>
          <w:rFonts w:ascii="SimSun" w:hAnsi="SimSun" w:eastAsia="SimSun" w:cs="SimSun"/>
          <w:sz w:val="24"/>
          <w:szCs w:val="24"/>
          <w:spacing w:val="-5"/>
        </w:rPr>
        <w:t>积为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164.27hm</w:t>
      </w:r>
      <w:r>
        <w:rPr>
          <w:rFonts w:ascii="Times New Roman" w:hAnsi="Times New Roman" w:eastAsia="Times New Roman" w:cs="Times New Roman"/>
          <w:sz w:val="15"/>
          <w:szCs w:val="15"/>
          <w:spacing w:val="-5"/>
          <w:position w:val="8"/>
        </w:rPr>
        <w:t>2</w:t>
      </w:r>
      <w:r>
        <w:rPr>
          <w:rFonts w:ascii="SimSun" w:hAnsi="SimSun" w:eastAsia="SimSun" w:cs="SimSun"/>
          <w:sz w:val="24"/>
          <w:szCs w:val="24"/>
          <w:spacing w:val="-5"/>
        </w:rPr>
        <w:t>。顶部平台标高为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1035m</w:t>
      </w:r>
      <w:r>
        <w:rPr>
          <w:rFonts w:ascii="SimSun" w:hAnsi="SimSun" w:eastAsia="SimSun" w:cs="SimSun"/>
          <w:sz w:val="24"/>
          <w:szCs w:val="24"/>
          <w:spacing w:val="-5"/>
        </w:rPr>
        <w:t>，最大排放弃高度为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60m</w:t>
      </w:r>
      <w:r>
        <w:rPr>
          <w:rFonts w:ascii="SimSun" w:hAnsi="SimSun" w:eastAsia="SimSun" w:cs="SimSun"/>
          <w:sz w:val="24"/>
          <w:szCs w:val="24"/>
          <w:spacing w:val="-5"/>
        </w:rPr>
        <w:t>，分</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3-4  </w:t>
      </w:r>
      <w:r>
        <w:rPr>
          <w:rFonts w:ascii="SimSun" w:hAnsi="SimSun" w:eastAsia="SimSun" w:cs="SimSun"/>
          <w:sz w:val="24"/>
          <w:szCs w:val="24"/>
          <w:spacing w:val="-5"/>
        </w:rPr>
        <w:t>个台阶堆放，</w:t>
      </w:r>
      <w:r>
        <w:rPr>
          <w:rFonts w:ascii="SimSun" w:hAnsi="SimSun" w:eastAsia="SimSun" w:cs="SimSun"/>
          <w:sz w:val="24"/>
          <w:szCs w:val="24"/>
          <w:spacing w:val="-6"/>
        </w:rPr>
        <w:t>台阶高度</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6"/>
        </w:rPr>
        <w:t>12-15m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，台阶坡面角为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25°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w:t>
      </w:r>
      <w:r>
        <w:rPr>
          <w:rFonts w:ascii="SimSun" w:hAnsi="SimSun" w:eastAsia="SimSun" w:cs="SimSun"/>
          <w:sz w:val="24"/>
          <w:szCs w:val="24"/>
          <w:spacing w:val="72"/>
        </w:rPr>
        <w:t xml:space="preserve"> </w:t>
      </w:r>
      <w:r>
        <w:rPr>
          <w:rFonts w:ascii="SimSun" w:hAnsi="SimSun" w:eastAsia="SimSun" w:cs="SimSun"/>
          <w:sz w:val="24"/>
          <w:szCs w:val="24"/>
          <w:spacing w:val="-6"/>
        </w:rPr>
        <w:t>累积排土量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69.86Mm</w:t>
      </w:r>
      <w:r>
        <w:rPr>
          <w:rFonts w:ascii="Times New Roman" w:hAnsi="Times New Roman" w:eastAsia="Times New Roman" w:cs="Times New Roman"/>
          <w:sz w:val="15"/>
          <w:szCs w:val="15"/>
          <w:spacing w:val="-6"/>
          <w:position w:val="8"/>
        </w:rPr>
        <w:t>3 </w:t>
      </w:r>
      <w:r>
        <w:rPr>
          <w:rFonts w:ascii="SimSun" w:hAnsi="SimSun" w:eastAsia="SimSun" w:cs="SimSun"/>
          <w:sz w:val="24"/>
          <w:szCs w:val="24"/>
          <w:spacing w:val="-6"/>
        </w:rPr>
        <w:t>，最终松散系数</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6"/>
        </w:rPr>
        <w:t>1.15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，最</w:t>
      </w:r>
      <w:r>
        <w:rPr>
          <w:rFonts w:ascii="SimSun" w:hAnsi="SimSun" w:eastAsia="SimSun" w:cs="SimSun"/>
          <w:sz w:val="24"/>
          <w:szCs w:val="24"/>
          <w:spacing w:val="-5"/>
        </w:rPr>
        <w:t>终帮坡角</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18°</w:t>
      </w:r>
      <w:r>
        <w:rPr>
          <w:rFonts w:ascii="SimSun" w:hAnsi="SimSun" w:eastAsia="SimSun" w:cs="SimSun"/>
          <w:sz w:val="24"/>
          <w:szCs w:val="24"/>
          <w:spacing w:val="-5"/>
        </w:rPr>
        <w:t>。</w:t>
      </w:r>
    </w:p>
    <w:p>
      <w:pPr>
        <w:ind w:left="8" w:right="85" w:firstLine="489"/>
        <w:spacing w:before="2" w:line="338" w:lineRule="auto"/>
        <w:jc w:val="both"/>
        <w:rPr>
          <w:rFonts w:ascii="SimSun" w:hAnsi="SimSun" w:eastAsia="SimSun" w:cs="SimSun"/>
          <w:sz w:val="24"/>
          <w:szCs w:val="24"/>
        </w:rPr>
      </w:pPr>
      <w:r>
        <w:rPr>
          <w:rFonts w:ascii="SimSun" w:hAnsi="SimSun" w:eastAsia="SimSun" w:cs="SimSun"/>
          <w:sz w:val="24"/>
          <w:szCs w:val="24"/>
          <w:spacing w:val="2"/>
        </w:rPr>
        <w:t>东二外排土场选择在首采区的东侧，长度为</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2"/>
        </w:rPr>
        <w:t>1630m</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，宽度为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990m</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w:t>
      </w:r>
      <w:r>
        <w:rPr>
          <w:rFonts w:ascii="SimSun" w:hAnsi="SimSun" w:eastAsia="SimSun" w:cs="SimSun"/>
          <w:sz w:val="24"/>
          <w:szCs w:val="24"/>
          <w:spacing w:val="-59"/>
        </w:rPr>
        <w:t xml:space="preserve"> </w:t>
      </w:r>
      <w:r>
        <w:rPr>
          <w:rFonts w:ascii="SimSun" w:hAnsi="SimSun" w:eastAsia="SimSun" w:cs="SimSun"/>
          <w:sz w:val="24"/>
          <w:szCs w:val="24"/>
          <w:spacing w:val="2"/>
        </w:rPr>
        <w:t>占地面积为</w:t>
      </w:r>
      <w:r>
        <w:rPr>
          <w:rFonts w:ascii="Times New Roman" w:hAnsi="Times New Roman" w:eastAsia="Times New Roman" w:cs="Times New Roman"/>
          <w:sz w:val="24"/>
          <w:szCs w:val="24"/>
          <w:spacing w:val="-3"/>
        </w:rPr>
        <w:t>153.68hm</w:t>
      </w:r>
      <w:r>
        <w:rPr>
          <w:rFonts w:ascii="Times New Roman" w:hAnsi="Times New Roman" w:eastAsia="Times New Roman" w:cs="Times New Roman"/>
          <w:sz w:val="15"/>
          <w:szCs w:val="15"/>
          <w:spacing w:val="-3"/>
          <w:position w:val="8"/>
        </w:rPr>
        <w:t>2 </w:t>
      </w:r>
      <w:r>
        <w:rPr>
          <w:rFonts w:ascii="SimSun" w:hAnsi="SimSun" w:eastAsia="SimSun" w:cs="SimSun"/>
          <w:sz w:val="24"/>
          <w:szCs w:val="24"/>
          <w:spacing w:val="-3"/>
        </w:rPr>
        <w:t>。顶部平台标高为</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1070m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，最大排弃高度为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90m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，分</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6  </w:t>
      </w:r>
      <w:r>
        <w:rPr>
          <w:rFonts w:ascii="SimSun" w:hAnsi="SimSun" w:eastAsia="SimSun" w:cs="SimSun"/>
          <w:sz w:val="24"/>
          <w:szCs w:val="24"/>
          <w:spacing w:val="-3"/>
        </w:rPr>
        <w:t>个台阶堆放，台阶高</w:t>
      </w:r>
      <w:r>
        <w:rPr>
          <w:rFonts w:ascii="SimSun" w:hAnsi="SimSun" w:eastAsia="SimSun" w:cs="SimSun"/>
          <w:sz w:val="24"/>
          <w:szCs w:val="24"/>
          <w:spacing w:val="-7"/>
        </w:rPr>
        <w:t>度</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7"/>
        </w:rPr>
        <w:t>12-20m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，台阶坡面角为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25°</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w:t>
      </w:r>
      <w:r>
        <w:rPr>
          <w:rFonts w:ascii="SimSun" w:hAnsi="SimSun" w:eastAsia="SimSun" w:cs="SimSun"/>
          <w:sz w:val="24"/>
          <w:szCs w:val="24"/>
          <w:spacing w:val="56"/>
        </w:rPr>
        <w:t xml:space="preserve"> </w:t>
      </w:r>
      <w:r>
        <w:rPr>
          <w:rFonts w:ascii="SimSun" w:hAnsi="SimSun" w:eastAsia="SimSun" w:cs="SimSun"/>
          <w:sz w:val="24"/>
          <w:szCs w:val="24"/>
          <w:spacing w:val="-7"/>
        </w:rPr>
        <w:t>最终松散系数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1.15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，最终帮坡角</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18°</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。东二排土场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2013</w:t>
      </w:r>
      <w:r>
        <w:rPr>
          <w:rFonts w:ascii="SimSun" w:hAnsi="SimSun" w:eastAsia="SimSun" w:cs="SimSun"/>
          <w:sz w:val="24"/>
          <w:szCs w:val="24"/>
          <w:spacing w:val="-2"/>
        </w:rPr>
        <w:t>年开始启用，</w:t>
      </w:r>
      <w:r>
        <w:rPr>
          <w:rFonts w:ascii="SimSun" w:hAnsi="SimSun" w:eastAsia="SimSun" w:cs="SimSun"/>
          <w:sz w:val="24"/>
          <w:szCs w:val="24"/>
          <w:spacing w:val="-65"/>
        </w:rPr>
        <w:t xml:space="preserve"> </w:t>
      </w:r>
      <w:r>
        <w:rPr>
          <w:rFonts w:ascii="SimSun" w:hAnsi="SimSun" w:eastAsia="SimSun" w:cs="SimSun"/>
          <w:sz w:val="24"/>
          <w:szCs w:val="24"/>
          <w:spacing w:val="-2"/>
        </w:rPr>
        <w:t>目前东二排土场已排弃到界，累积排土量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3"/>
        </w:rPr>
        <w:t>6.56Mm</w:t>
      </w:r>
      <w:r>
        <w:rPr>
          <w:rFonts w:ascii="Times New Roman" w:hAnsi="Times New Roman" w:eastAsia="Times New Roman" w:cs="Times New Roman"/>
          <w:sz w:val="15"/>
          <w:szCs w:val="15"/>
          <w:spacing w:val="-3"/>
          <w:position w:val="8"/>
        </w:rPr>
        <w:t>3</w:t>
      </w:r>
      <w:r>
        <w:rPr>
          <w:rFonts w:ascii="SimSun" w:hAnsi="SimSun" w:eastAsia="SimSun" w:cs="SimSun"/>
          <w:sz w:val="24"/>
          <w:szCs w:val="24"/>
          <w:spacing w:val="-3"/>
        </w:rPr>
        <w:t>。</w:t>
      </w:r>
    </w:p>
    <w:p>
      <w:pPr>
        <w:ind w:left="8" w:firstLine="482"/>
        <w:spacing w:before="2" w:line="339" w:lineRule="auto"/>
        <w:jc w:val="both"/>
        <w:rPr>
          <w:rFonts w:ascii="SimSun" w:hAnsi="SimSun" w:eastAsia="SimSun" w:cs="SimSun"/>
          <w:sz w:val="24"/>
          <w:szCs w:val="24"/>
        </w:rPr>
      </w:pPr>
      <w:r>
        <w:rPr>
          <w:rFonts w:ascii="SimSun" w:hAnsi="SimSun" w:eastAsia="SimSun" w:cs="SimSun"/>
          <w:sz w:val="24"/>
          <w:szCs w:val="24"/>
          <w:spacing w:val="-2"/>
        </w:rPr>
        <w:t>现状东一外排土场和东二外排土场已全部治理，并通过主管部门验收，两个外排土</w:t>
      </w:r>
      <w:r>
        <w:rPr>
          <w:rFonts w:ascii="SimSun" w:hAnsi="SimSun" w:eastAsia="SimSun" w:cs="SimSun"/>
          <w:sz w:val="24"/>
          <w:szCs w:val="24"/>
          <w:spacing w:val="-2"/>
        </w:rPr>
        <w:t>场主要恢复为天然牧草地。首先对排土场边坡及平台进行修坡、整形，然后在平台与坡</w:t>
      </w:r>
      <w:r>
        <w:rPr>
          <w:rFonts w:ascii="SimSun" w:hAnsi="SimSun" w:eastAsia="SimSun" w:cs="SimSun"/>
          <w:sz w:val="24"/>
          <w:szCs w:val="24"/>
          <w:spacing w:val="-5"/>
        </w:rPr>
        <w:t>面先用草皮土进行覆盖，坡面混合种草，平</w:t>
      </w:r>
      <w:r>
        <w:rPr>
          <w:rFonts w:ascii="SimSun" w:hAnsi="SimSun" w:eastAsia="SimSun" w:cs="SimSun"/>
          <w:sz w:val="24"/>
          <w:szCs w:val="24"/>
          <w:spacing w:val="-6"/>
        </w:rPr>
        <w:t>台种植沙棘、杨树和草。草种主要有老芒麦、</w:t>
      </w:r>
      <w:r>
        <w:rPr>
          <w:rFonts w:ascii="SimSun" w:hAnsi="SimSun" w:eastAsia="SimSun" w:cs="SimSun"/>
          <w:sz w:val="24"/>
          <w:szCs w:val="24"/>
          <w:spacing w:val="-2"/>
        </w:rPr>
        <w:t>披碱草、紫花苜混播。按标准修筑截排水沟和挡水围堰，铺设灌溉管路。排土场顶部平</w:t>
      </w:r>
      <w:r>
        <w:rPr>
          <w:rFonts w:ascii="SimSun" w:hAnsi="SimSun" w:eastAsia="SimSun" w:cs="SimSun"/>
          <w:sz w:val="24"/>
          <w:szCs w:val="24"/>
          <w:spacing w:val="-2"/>
        </w:rPr>
        <w:t>台、边坡上植被恢复良好，平台顶部有灌溉系统，可以保障植被管护。边坡进行了排水</w:t>
      </w:r>
      <w:r>
        <w:rPr>
          <w:rFonts w:ascii="SimSun" w:hAnsi="SimSun" w:eastAsia="SimSun" w:cs="SimSun"/>
          <w:sz w:val="24"/>
          <w:szCs w:val="24"/>
          <w:spacing w:val="-1"/>
        </w:rPr>
        <w:t>沟设计，可以有效防止雨水对边坡的冲刷。</w:t>
      </w:r>
    </w:p>
    <w:p>
      <w:pPr>
        <w:spacing w:line="339" w:lineRule="auto"/>
        <w:sectPr>
          <w:headerReference w:type="default" r:id="rId110"/>
          <w:footerReference w:type="default" r:id="rId111"/>
          <w:pgSz w:w="11906" w:h="16838"/>
          <w:pgMar w:top="1170" w:right="1334" w:bottom="1078" w:left="1416" w:header="837" w:footer="915" w:gutter="0"/>
        </w:sectPr>
        <w:rPr>
          <w:rFonts w:ascii="SimSun" w:hAnsi="SimSun" w:eastAsia="SimSun" w:cs="SimSun"/>
          <w:sz w:val="24"/>
          <w:szCs w:val="24"/>
        </w:rPr>
      </w:pPr>
    </w:p>
    <w:p>
      <w:pPr>
        <w:pStyle w:val="BodyText"/>
        <w:spacing w:line="246" w:lineRule="auto"/>
        <w:rPr/>
      </w:pPr>
      <w:r/>
    </w:p>
    <w:p>
      <w:pPr>
        <w:spacing w:line="5110" w:lineRule="exact"/>
        <w:rPr/>
      </w:pPr>
      <w:r>
        <w:rPr>
          <w:position w:val="-102"/>
        </w:rPr>
        <w:drawing>
          <wp:inline distT="0" distB="0" distL="0" distR="0">
            <wp:extent cx="5766816" cy="3244596"/>
            <wp:effectExtent l="0" t="0" r="0" b="0"/>
            <wp:docPr id="78" name="IM 78"/>
            <wp:cNvGraphicFramePr/>
            <a:graphic>
              <a:graphicData uri="http://schemas.openxmlformats.org/drawingml/2006/picture">
                <pic:pic>
                  <pic:nvPicPr>
                    <pic:cNvPr id="78" name="IM 78"/>
                    <pic:cNvPicPr/>
                  </pic:nvPicPr>
                  <pic:blipFill>
                    <a:blip r:embed="rId114"/>
                    <a:stretch>
                      <a:fillRect/>
                    </a:stretch>
                  </pic:blipFill>
                  <pic:spPr>
                    <a:xfrm rot="0">
                      <a:off x="0" y="0"/>
                      <a:ext cx="5766816" cy="3244596"/>
                    </a:xfrm>
                    <a:prstGeom prst="rect">
                      <a:avLst/>
                    </a:prstGeom>
                  </pic:spPr>
                </pic:pic>
              </a:graphicData>
            </a:graphic>
          </wp:inline>
        </w:drawing>
      </w:r>
    </w:p>
    <w:p>
      <w:pPr>
        <w:pStyle w:val="BodyText"/>
        <w:spacing w:line="281" w:lineRule="auto"/>
        <w:rPr/>
      </w:pPr>
      <w:r/>
    </w:p>
    <w:p>
      <w:pPr>
        <w:ind w:firstLine="38"/>
        <w:spacing w:line="5066" w:lineRule="exact"/>
        <w:rPr/>
      </w:pPr>
      <w:r>
        <w:rPr>
          <w:position w:val="-101"/>
        </w:rPr>
        <w:drawing>
          <wp:inline distT="0" distB="0" distL="0" distR="0">
            <wp:extent cx="5716523" cy="3217163"/>
            <wp:effectExtent l="0" t="0" r="0" b="0"/>
            <wp:docPr id="80" name="IM 80"/>
            <wp:cNvGraphicFramePr/>
            <a:graphic>
              <a:graphicData uri="http://schemas.openxmlformats.org/drawingml/2006/picture">
                <pic:pic>
                  <pic:nvPicPr>
                    <pic:cNvPr id="80" name="IM 80"/>
                    <pic:cNvPicPr/>
                  </pic:nvPicPr>
                  <pic:blipFill>
                    <a:blip r:embed="rId115"/>
                    <a:stretch>
                      <a:fillRect/>
                    </a:stretch>
                  </pic:blipFill>
                  <pic:spPr>
                    <a:xfrm rot="0">
                      <a:off x="0" y="0"/>
                      <a:ext cx="5716523" cy="3217163"/>
                    </a:xfrm>
                    <a:prstGeom prst="rect">
                      <a:avLst/>
                    </a:prstGeom>
                  </pic:spPr>
                </pic:pic>
              </a:graphicData>
            </a:graphic>
          </wp:inline>
        </w:drawing>
      </w:r>
    </w:p>
    <w:p>
      <w:pPr>
        <w:spacing w:line="5066" w:lineRule="exact"/>
        <w:sectPr>
          <w:headerReference w:type="default" r:id="rId112"/>
          <w:footerReference w:type="default" r:id="rId113"/>
          <w:pgSz w:w="11906" w:h="16838"/>
          <w:pgMar w:top="1170" w:right="1407" w:bottom="1078" w:left="1416" w:header="837" w:footer="915" w:gutter="0"/>
        </w:sectPr>
        <w:rPr/>
      </w:pPr>
    </w:p>
    <w:p>
      <w:pPr>
        <w:pStyle w:val="BodyText"/>
        <w:spacing w:line="246" w:lineRule="auto"/>
        <w:rPr/>
      </w:pPr>
      <w:r/>
    </w:p>
    <w:p>
      <w:pPr>
        <w:spacing w:line="5093" w:lineRule="exact"/>
        <w:rPr/>
      </w:pPr>
      <w:r>
        <w:rPr>
          <w:position w:val="-101"/>
        </w:rPr>
        <w:drawing>
          <wp:inline distT="0" distB="0" distL="0" distR="0">
            <wp:extent cx="5748528" cy="3233928"/>
            <wp:effectExtent l="0" t="0" r="0" b="0"/>
            <wp:docPr id="82" name="IM 82"/>
            <wp:cNvGraphicFramePr/>
            <a:graphic>
              <a:graphicData uri="http://schemas.openxmlformats.org/drawingml/2006/picture">
                <pic:pic>
                  <pic:nvPicPr>
                    <pic:cNvPr id="82" name="IM 82"/>
                    <pic:cNvPicPr/>
                  </pic:nvPicPr>
                  <pic:blipFill>
                    <a:blip r:embed="rId118"/>
                    <a:stretch>
                      <a:fillRect/>
                    </a:stretch>
                  </pic:blipFill>
                  <pic:spPr>
                    <a:xfrm rot="0">
                      <a:off x="0" y="0"/>
                      <a:ext cx="5748528" cy="3233928"/>
                    </a:xfrm>
                    <a:prstGeom prst="rect">
                      <a:avLst/>
                    </a:prstGeom>
                  </pic:spPr>
                </pic:pic>
              </a:graphicData>
            </a:graphic>
          </wp:inline>
        </w:drawing>
      </w:r>
    </w:p>
    <w:p>
      <w:pPr>
        <w:pStyle w:val="BodyText"/>
        <w:spacing w:line="351" w:lineRule="auto"/>
        <w:rPr/>
      </w:pPr>
      <w:r/>
    </w:p>
    <w:p>
      <w:pPr>
        <w:ind w:left="3101"/>
        <w:spacing w:before="78" w:line="222" w:lineRule="auto"/>
        <w:rPr>
          <w:rFonts w:ascii="SimHei" w:hAnsi="SimHei" w:eastAsia="SimHei" w:cs="SimHei"/>
          <w:sz w:val="24"/>
          <w:szCs w:val="24"/>
        </w:rPr>
      </w:pPr>
      <w:r>
        <w:rPr>
          <w:rFonts w:ascii="SimHei" w:hAnsi="SimHei" w:eastAsia="SimHei" w:cs="SimHei"/>
          <w:sz w:val="24"/>
          <w:szCs w:val="24"/>
          <w:spacing w:val="-1"/>
        </w:rPr>
        <w:t>生态恢复区（外排土场）现状图</w:t>
      </w:r>
    </w:p>
    <w:p>
      <w:pPr>
        <w:ind w:left="559"/>
        <w:spacing w:before="151" w:line="219" w:lineRule="auto"/>
        <w:rPr>
          <w:rFonts w:ascii="SimSun" w:hAnsi="SimSun" w:eastAsia="SimSun" w:cs="SimSun"/>
          <w:sz w:val="24"/>
          <w:szCs w:val="24"/>
        </w:rPr>
      </w:pPr>
      <w:r>
        <w:pict>
          <v:shape id="_x0000_s330" style="position:absolute;margin-left:24.06pt;margin-top:7.86789pt;mso-position-vertical-relative:text;mso-position-horizontal-relative:text;width:12.15pt;height:12.15pt;z-index:253963264;" filled="false" strokecolor="#000000" strokeweight="0.12pt" coordsize="242,242" coordorigin="0,0" path="m241,121c241,185,185,241,121,241c53,241,1,185,1,121c1,53,53,1,121,1c185,1,241,53,241,121e">
            <v:stroke endcap="round" miterlimit="10"/>
          </v:shape>
        </w:pict>
      </w:r>
      <w:r>
        <w:rPr>
          <w:rFonts w:ascii="SimSun" w:hAnsi="SimSun" w:eastAsia="SimSun" w:cs="SimSun"/>
          <w:sz w:val="19"/>
          <w:szCs w:val="19"/>
          <w:spacing w:val="-9"/>
        </w:rPr>
        <w:t>2</w:t>
      </w:r>
      <w:r>
        <w:rPr>
          <w:rFonts w:ascii="SimSun" w:hAnsi="SimSun" w:eastAsia="SimSun" w:cs="SimSun"/>
          <w:sz w:val="19"/>
          <w:szCs w:val="19"/>
          <w:spacing w:val="19"/>
        </w:rPr>
        <w:t xml:space="preserve">  </w:t>
      </w:r>
      <w:r>
        <w:rPr>
          <w:rFonts w:ascii="SimSun" w:hAnsi="SimSun" w:eastAsia="SimSun" w:cs="SimSun"/>
          <w:sz w:val="24"/>
          <w:szCs w:val="24"/>
          <w:spacing w:val="-9"/>
        </w:rPr>
        <w:t>内排土场</w:t>
      </w:r>
    </w:p>
    <w:p>
      <w:pPr>
        <w:ind w:left="9" w:right="2" w:firstLine="509"/>
        <w:spacing w:before="154" w:line="311" w:lineRule="auto"/>
        <w:rPr>
          <w:rFonts w:ascii="SimSun" w:hAnsi="SimSun" w:eastAsia="SimSun" w:cs="SimSun"/>
          <w:sz w:val="24"/>
          <w:szCs w:val="24"/>
        </w:rPr>
      </w:pPr>
      <w:r>
        <w:rPr>
          <w:rFonts w:ascii="SimSun" w:hAnsi="SimSun" w:eastAsia="SimSun" w:cs="SimSun"/>
          <w:sz w:val="24"/>
          <w:szCs w:val="24"/>
          <w:spacing w:val="-1"/>
        </w:rPr>
        <w:t>内排土场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2014 </w:t>
      </w:r>
      <w:r>
        <w:rPr>
          <w:rFonts w:ascii="SimSun" w:hAnsi="SimSun" w:eastAsia="SimSun" w:cs="SimSun"/>
          <w:sz w:val="24"/>
          <w:szCs w:val="24"/>
          <w:spacing w:val="-1"/>
        </w:rPr>
        <w:t>年</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月开始实现内排，</w:t>
      </w:r>
      <w:r>
        <w:rPr>
          <w:rFonts w:ascii="SimSun" w:hAnsi="SimSun" w:eastAsia="SimSun" w:cs="SimSun"/>
          <w:sz w:val="24"/>
          <w:szCs w:val="24"/>
          <w:spacing w:val="-2"/>
        </w:rPr>
        <w:t>位于露天采坑南侧，长度为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2400m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，宽度为</w:t>
      </w:r>
      <w:r>
        <w:rPr>
          <w:rFonts w:ascii="Times New Roman" w:hAnsi="Times New Roman" w:eastAsia="Times New Roman" w:cs="Times New Roman"/>
          <w:sz w:val="24"/>
          <w:szCs w:val="24"/>
          <w:spacing w:val="-2"/>
        </w:rPr>
        <w:t>1200m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w:t>
      </w:r>
      <w:r>
        <w:rPr>
          <w:rFonts w:ascii="SimSun" w:hAnsi="SimSun" w:eastAsia="SimSun" w:cs="SimSun"/>
          <w:sz w:val="24"/>
          <w:szCs w:val="24"/>
          <w:spacing w:val="-69"/>
        </w:rPr>
        <w:t xml:space="preserve"> </w:t>
      </w:r>
      <w:r>
        <w:rPr>
          <w:rFonts w:ascii="SimSun" w:hAnsi="SimSun" w:eastAsia="SimSun" w:cs="SimSun"/>
          <w:sz w:val="24"/>
          <w:szCs w:val="24"/>
          <w:spacing w:val="-2"/>
        </w:rPr>
        <w:t>占地面积为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240.4hm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。顶部平台标高为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970m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，平台三面与周边地形齐平，在</w:t>
      </w:r>
      <w:r>
        <w:rPr>
          <w:rFonts w:ascii="SimSun" w:hAnsi="SimSun" w:eastAsia="SimSun" w:cs="SimSun"/>
          <w:sz w:val="24"/>
          <w:szCs w:val="24"/>
          <w:spacing w:val="-3"/>
        </w:rPr>
        <w:t>推进边坡处形成</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11  </w:t>
      </w:r>
      <w:r>
        <w:rPr>
          <w:rFonts w:ascii="SimSun" w:hAnsi="SimSun" w:eastAsia="SimSun" w:cs="SimSun"/>
          <w:sz w:val="24"/>
          <w:szCs w:val="24"/>
          <w:spacing w:val="-3"/>
        </w:rPr>
        <w:t>个台阶，台阶高度为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12m  </w:t>
      </w:r>
      <w:r>
        <w:rPr>
          <w:rFonts w:ascii="SimSun" w:hAnsi="SimSun" w:eastAsia="SimSun" w:cs="SimSun"/>
          <w:sz w:val="24"/>
          <w:szCs w:val="24"/>
          <w:spacing w:val="-3"/>
        </w:rPr>
        <w:t>左右，台阶坡面角</w:t>
      </w:r>
      <w:r>
        <w:rPr>
          <w:rFonts w:ascii="SimSun" w:hAnsi="SimSun" w:eastAsia="SimSun" w:cs="SimSun"/>
          <w:sz w:val="24"/>
          <w:szCs w:val="24"/>
          <w:spacing w:val="-4"/>
        </w:rPr>
        <w:t>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。目前顶部平台</w:t>
      </w:r>
      <w:r>
        <w:rPr>
          <w:rFonts w:ascii="SimSun" w:hAnsi="SimSun" w:eastAsia="SimSun" w:cs="SimSun"/>
          <w:sz w:val="24"/>
          <w:szCs w:val="24"/>
        </w:rPr>
        <w:t>部分区域已经进行了平整、覆土、植被恢复工程，</w:t>
      </w:r>
      <w:r>
        <w:rPr>
          <w:rFonts w:ascii="SimSun" w:hAnsi="SimSun" w:eastAsia="SimSun" w:cs="SimSun"/>
          <w:sz w:val="24"/>
          <w:szCs w:val="24"/>
          <w:spacing w:val="-1"/>
        </w:rPr>
        <w:t>已治理面积为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44.6hm</w:t>
      </w:r>
      <w:r>
        <w:rPr>
          <w:rFonts w:ascii="Times New Roman" w:hAnsi="Times New Roman" w:eastAsia="Times New Roman" w:cs="Times New Roman"/>
          <w:sz w:val="15"/>
          <w:szCs w:val="15"/>
          <w:spacing w:val="-1"/>
          <w:position w:val="8"/>
        </w:rPr>
        <w:t>2</w:t>
      </w:r>
      <w:r>
        <w:rPr>
          <w:rFonts w:ascii="SimSun" w:hAnsi="SimSun" w:eastAsia="SimSun" w:cs="SimSun"/>
          <w:sz w:val="24"/>
          <w:szCs w:val="24"/>
          <w:spacing w:val="-1"/>
        </w:rPr>
        <w:t>。</w:t>
      </w:r>
    </w:p>
    <w:p>
      <w:pPr>
        <w:spacing w:line="5179" w:lineRule="exact"/>
        <w:rPr/>
      </w:pPr>
      <w:r>
        <w:rPr>
          <w:position w:val="-103"/>
        </w:rPr>
        <w:drawing>
          <wp:inline distT="0" distB="0" distL="0" distR="0">
            <wp:extent cx="5686044" cy="3288791"/>
            <wp:effectExtent l="0" t="0" r="0" b="0"/>
            <wp:docPr id="84" name="IM 84"/>
            <wp:cNvGraphicFramePr/>
            <a:graphic>
              <a:graphicData uri="http://schemas.openxmlformats.org/drawingml/2006/picture">
                <pic:pic>
                  <pic:nvPicPr>
                    <pic:cNvPr id="84" name="IM 84"/>
                    <pic:cNvPicPr/>
                  </pic:nvPicPr>
                  <pic:blipFill>
                    <a:blip r:embed="rId119"/>
                    <a:stretch>
                      <a:fillRect/>
                    </a:stretch>
                  </pic:blipFill>
                  <pic:spPr>
                    <a:xfrm rot="0">
                      <a:off x="0" y="0"/>
                      <a:ext cx="5686044" cy="3288791"/>
                    </a:xfrm>
                    <a:prstGeom prst="rect">
                      <a:avLst/>
                    </a:prstGeom>
                  </pic:spPr>
                </pic:pic>
              </a:graphicData>
            </a:graphic>
          </wp:inline>
        </w:drawing>
      </w:r>
    </w:p>
    <w:p>
      <w:pPr>
        <w:ind w:left="4091"/>
        <w:spacing w:before="43" w:line="219" w:lineRule="auto"/>
        <w:rPr>
          <w:rFonts w:ascii="SimSun" w:hAnsi="SimSun" w:eastAsia="SimSun" w:cs="SimSun"/>
          <w:sz w:val="24"/>
          <w:szCs w:val="24"/>
        </w:rPr>
      </w:pPr>
      <w:r>
        <w:rPr>
          <w:rFonts w:ascii="SimSun" w:hAnsi="SimSun" w:eastAsia="SimSun" w:cs="SimSun"/>
          <w:sz w:val="24"/>
          <w:szCs w:val="24"/>
          <w:b/>
          <w:bCs/>
          <w:spacing w:val="-9"/>
        </w:rPr>
        <w:t>内排土场现状</w:t>
      </w:r>
    </w:p>
    <w:p>
      <w:pPr>
        <w:ind w:left="561"/>
        <w:spacing w:before="294" w:line="219" w:lineRule="auto"/>
        <w:rPr>
          <w:rFonts w:ascii="SimSun" w:hAnsi="SimSun" w:eastAsia="SimSun" w:cs="SimSun"/>
          <w:sz w:val="24"/>
          <w:szCs w:val="24"/>
        </w:rPr>
      </w:pPr>
      <w:r>
        <w:pict>
          <v:shape id="_x0000_s332" style="position:absolute;margin-left:24.06pt;margin-top:14.853pt;mso-position-vertical-relative:text;mso-position-horizontal-relative:text;width:12.15pt;height:12.15pt;z-index:253962240;" filled="false" strokecolor="#000000" strokeweight="0.12pt" coordsize="242,242" coordorigin="0,0" path="m241,121c241,188,185,241,121,241c53,241,1,188,1,121c1,56,53,1,121,1c185,1,241,56,241,121e">
            <v:stroke endcap="round" miterlimit="10"/>
          </v:shape>
        </w:pict>
      </w:r>
      <w:r>
        <w:rPr>
          <w:rFonts w:ascii="SimSun" w:hAnsi="SimSun" w:eastAsia="SimSun" w:cs="SimSun"/>
          <w:sz w:val="19"/>
          <w:szCs w:val="19"/>
          <w:spacing w:val="-1"/>
        </w:rPr>
        <w:t>3  </w:t>
      </w:r>
      <w:r>
        <w:rPr>
          <w:rFonts w:ascii="SimSun" w:hAnsi="SimSun" w:eastAsia="SimSun" w:cs="SimSun"/>
          <w:sz w:val="24"/>
          <w:szCs w:val="24"/>
          <w:spacing w:val="-1"/>
        </w:rPr>
        <w:t>粉煤灰处置场</w:t>
      </w:r>
    </w:p>
    <w:p>
      <w:pPr>
        <w:spacing w:line="219" w:lineRule="auto"/>
        <w:sectPr>
          <w:headerReference w:type="default" r:id="rId116"/>
          <w:footerReference w:type="default" r:id="rId117"/>
          <w:pgSz w:w="11906" w:h="16838"/>
          <w:pgMar w:top="1170" w:right="1417" w:bottom="1078" w:left="1416" w:header="837" w:footer="915" w:gutter="0"/>
        </w:sectPr>
        <w:rPr>
          <w:rFonts w:ascii="SimSun" w:hAnsi="SimSun" w:eastAsia="SimSun" w:cs="SimSun"/>
          <w:sz w:val="24"/>
          <w:szCs w:val="24"/>
        </w:rPr>
      </w:pPr>
    </w:p>
    <w:p>
      <w:pPr>
        <w:pStyle w:val="BodyText"/>
        <w:spacing w:line="312" w:lineRule="auto"/>
        <w:rPr/>
      </w:pPr>
      <w:r/>
    </w:p>
    <w:p>
      <w:pPr>
        <w:ind w:left="9" w:right="2" w:firstLine="479"/>
        <w:spacing w:before="78" w:line="336" w:lineRule="auto"/>
        <w:rPr>
          <w:rFonts w:ascii="SimSun" w:hAnsi="SimSun" w:eastAsia="SimSun" w:cs="SimSun"/>
          <w:sz w:val="24"/>
          <w:szCs w:val="24"/>
        </w:rPr>
      </w:pPr>
      <w:r>
        <w:rPr>
          <w:rFonts w:ascii="SimSun" w:hAnsi="SimSun" w:eastAsia="SimSun" w:cs="SimSun"/>
          <w:sz w:val="24"/>
          <w:szCs w:val="24"/>
          <w:spacing w:val="-2"/>
        </w:rPr>
        <w:t>粉煤灰处置场位于露采区南部，为前期开采形成的采坑。预留粉煤灰处置场占地面</w:t>
      </w:r>
      <w:r>
        <w:rPr>
          <w:rFonts w:ascii="SimSun" w:hAnsi="SimSun" w:eastAsia="SimSun" w:cs="SimSun"/>
          <w:sz w:val="24"/>
          <w:szCs w:val="24"/>
          <w:spacing w:val="-3"/>
        </w:rPr>
        <w:t>积为</w:t>
      </w:r>
      <w:r>
        <w:rPr>
          <w:rFonts w:ascii="SimSun" w:hAnsi="SimSun" w:eastAsia="SimSun" w:cs="SimSun"/>
          <w:sz w:val="24"/>
          <w:szCs w:val="24"/>
          <w:spacing w:val="-35"/>
        </w:rPr>
        <w:t xml:space="preserve"> </w:t>
      </w:r>
      <w:r>
        <w:rPr>
          <w:rFonts w:ascii="SimSun" w:hAnsi="SimSun" w:eastAsia="SimSun" w:cs="SimSun"/>
          <w:sz w:val="24"/>
          <w:szCs w:val="24"/>
          <w:spacing w:val="-3"/>
        </w:rPr>
        <w:t>50.84hm</w:t>
      </w:r>
      <w:r>
        <w:rPr>
          <w:rFonts w:ascii="SimSun" w:hAnsi="SimSun" w:eastAsia="SimSun" w:cs="SimSun"/>
          <w:sz w:val="12"/>
          <w:szCs w:val="12"/>
          <w:spacing w:val="-3"/>
          <w:position w:val="12"/>
        </w:rPr>
        <w:t>2</w:t>
      </w:r>
      <w:r>
        <w:rPr>
          <w:rFonts w:ascii="SimSun" w:hAnsi="SimSun" w:eastAsia="SimSun" w:cs="SimSun"/>
          <w:sz w:val="12"/>
          <w:szCs w:val="12"/>
          <w:spacing w:val="-31"/>
          <w:position w:val="12"/>
        </w:rPr>
        <w:t xml:space="preserve"> </w:t>
      </w:r>
      <w:r>
        <w:rPr>
          <w:rFonts w:ascii="SimSun" w:hAnsi="SimSun" w:eastAsia="SimSun" w:cs="SimSun"/>
          <w:sz w:val="24"/>
          <w:szCs w:val="24"/>
          <w:spacing w:val="-3"/>
        </w:rPr>
        <w:t>，南北长度约为</w:t>
      </w:r>
      <w:r>
        <w:rPr>
          <w:rFonts w:ascii="SimSun" w:hAnsi="SimSun" w:eastAsia="SimSun" w:cs="SimSun"/>
          <w:sz w:val="24"/>
          <w:szCs w:val="24"/>
          <w:spacing w:val="-50"/>
        </w:rPr>
        <w:t xml:space="preserve"> </w:t>
      </w:r>
      <w:r>
        <w:rPr>
          <w:rFonts w:ascii="SimSun" w:hAnsi="SimSun" w:eastAsia="SimSun" w:cs="SimSun"/>
          <w:sz w:val="24"/>
          <w:szCs w:val="24"/>
          <w:spacing w:val="-3"/>
        </w:rPr>
        <w:t>800m，东西宽度约为</w:t>
      </w:r>
      <w:r>
        <w:rPr>
          <w:rFonts w:ascii="SimSun" w:hAnsi="SimSun" w:eastAsia="SimSun" w:cs="SimSun"/>
          <w:sz w:val="24"/>
          <w:szCs w:val="24"/>
          <w:spacing w:val="-33"/>
        </w:rPr>
        <w:t xml:space="preserve"> </w:t>
      </w:r>
      <w:r>
        <w:rPr>
          <w:rFonts w:ascii="SimSun" w:hAnsi="SimSun" w:eastAsia="SimSun" w:cs="SimSun"/>
          <w:sz w:val="24"/>
          <w:szCs w:val="24"/>
          <w:spacing w:val="-3"/>
        </w:rPr>
        <w:t>1000m。</w:t>
      </w:r>
    </w:p>
    <w:p>
      <w:pPr>
        <w:ind w:left="13" w:right="2" w:firstLine="510"/>
        <w:spacing w:before="8" w:line="338" w:lineRule="auto"/>
        <w:jc w:val="both"/>
        <w:rPr>
          <w:rFonts w:ascii="SimSun" w:hAnsi="SimSun" w:eastAsia="SimSun" w:cs="SimSun"/>
          <w:sz w:val="24"/>
          <w:szCs w:val="24"/>
        </w:rPr>
      </w:pPr>
      <w:r>
        <w:rPr>
          <w:rFonts w:ascii="SimSun" w:hAnsi="SimSun" w:eastAsia="SimSun" w:cs="SimSun"/>
          <w:sz w:val="24"/>
          <w:szCs w:val="24"/>
          <w:spacing w:val="-3"/>
        </w:rPr>
        <w:t>白音华四号露天矿已与电厂签署排灰协议（见附件</w:t>
      </w:r>
      <w:r>
        <w:rPr>
          <w:rFonts w:ascii="SimSun" w:hAnsi="SimSun" w:eastAsia="SimSun" w:cs="SimSun"/>
          <w:sz w:val="24"/>
          <w:szCs w:val="24"/>
          <w:spacing w:val="3"/>
        </w:rPr>
        <w:t>），</w:t>
      </w:r>
      <w:r>
        <w:rPr>
          <w:rFonts w:ascii="SimSun" w:hAnsi="SimSun" w:eastAsia="SimSun" w:cs="SimSun"/>
          <w:sz w:val="24"/>
          <w:szCs w:val="24"/>
          <w:spacing w:val="-3"/>
        </w:rPr>
        <w:t>电厂将该区域作为长期规划</w:t>
      </w:r>
      <w:r>
        <w:rPr>
          <w:rFonts w:ascii="SimSun" w:hAnsi="SimSun" w:eastAsia="SimSun" w:cs="SimSun"/>
          <w:sz w:val="24"/>
          <w:szCs w:val="24"/>
          <w:spacing w:val="-2"/>
        </w:rPr>
        <w:t>的灰场使用，且已经委托第三方单位单独编制了土地复垦方案，预留粉煤灰处置场不属</w:t>
      </w:r>
      <w:r>
        <w:rPr>
          <w:rFonts w:ascii="SimSun" w:hAnsi="SimSun" w:eastAsia="SimSun" w:cs="SimSun"/>
          <w:sz w:val="24"/>
          <w:szCs w:val="24"/>
          <w:spacing w:val="-1"/>
        </w:rPr>
        <w:t>于白音华煤田四号露天矿的工程建设及土地复垦内容。</w:t>
      </w:r>
    </w:p>
    <w:p>
      <w:pPr>
        <w:ind w:left="9" w:right="2" w:firstLine="479"/>
        <w:spacing w:before="3" w:line="336" w:lineRule="auto"/>
        <w:jc w:val="both"/>
        <w:rPr>
          <w:rFonts w:ascii="SimSun" w:hAnsi="SimSun" w:eastAsia="SimSun" w:cs="SimSun"/>
          <w:sz w:val="24"/>
          <w:szCs w:val="24"/>
        </w:rPr>
      </w:pPr>
      <w:r>
        <w:rPr>
          <w:rFonts w:ascii="SimSun" w:hAnsi="SimSun" w:eastAsia="SimSun" w:cs="SimSun"/>
          <w:sz w:val="24"/>
          <w:szCs w:val="24"/>
          <w:spacing w:val="-3"/>
        </w:rPr>
        <w:t>粉煤灰综合利用处置一期工程环评报告于</w:t>
      </w:r>
      <w:r>
        <w:rPr>
          <w:rFonts w:ascii="Times New Roman" w:hAnsi="Times New Roman" w:eastAsia="Times New Roman" w:cs="Times New Roman"/>
          <w:sz w:val="24"/>
          <w:szCs w:val="24"/>
          <w:spacing w:val="-3"/>
        </w:rPr>
        <w:t>2017</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3"/>
        </w:rPr>
        <w:t>年获得西乌珠穆沁旗环保局批复（西</w:t>
      </w:r>
      <w:r>
        <w:rPr>
          <w:rFonts w:ascii="SimSun" w:hAnsi="SimSun" w:eastAsia="SimSun" w:cs="SimSun"/>
          <w:sz w:val="24"/>
          <w:szCs w:val="24"/>
          <w:spacing w:val="-1"/>
        </w:rPr>
        <w:t>环审书</w:t>
      </w:r>
      <w:r>
        <w:rPr>
          <w:rFonts w:ascii="Times New Roman" w:hAnsi="Times New Roman" w:eastAsia="Times New Roman" w:cs="Times New Roman"/>
          <w:sz w:val="24"/>
          <w:szCs w:val="24"/>
          <w:spacing w:val="-1"/>
        </w:rPr>
        <w:t>[2017]3 </w:t>
      </w:r>
      <w:r>
        <w:rPr>
          <w:rFonts w:ascii="SimSun" w:hAnsi="SimSun" w:eastAsia="SimSun" w:cs="SimSun"/>
          <w:sz w:val="24"/>
          <w:szCs w:val="24"/>
          <w:spacing w:val="-1"/>
        </w:rPr>
        <w:t>号</w:t>
      </w:r>
      <w:r>
        <w:rPr>
          <w:rFonts w:ascii="SimSun" w:hAnsi="SimSun" w:eastAsia="SimSun" w:cs="SimSun"/>
          <w:sz w:val="24"/>
          <w:szCs w:val="24"/>
          <w:spacing w:val="-2"/>
        </w:rPr>
        <w:t>），</w:t>
      </w:r>
      <w:r>
        <w:rPr>
          <w:rFonts w:ascii="SimSun" w:hAnsi="SimSun" w:eastAsia="SimSun" w:cs="SimSun"/>
          <w:sz w:val="24"/>
          <w:szCs w:val="24"/>
          <w:spacing w:val="-1"/>
        </w:rPr>
        <w:t>粉煤灰综合利用二期工程环评报告于</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2022 </w:t>
      </w:r>
      <w:r>
        <w:rPr>
          <w:rFonts w:ascii="SimSun" w:hAnsi="SimSun" w:eastAsia="SimSun" w:cs="SimSun"/>
          <w:sz w:val="24"/>
          <w:szCs w:val="24"/>
          <w:spacing w:val="-1"/>
        </w:rPr>
        <w:t>年获得锡林郭勒盟生态</w:t>
      </w:r>
      <w:r>
        <w:rPr>
          <w:rFonts w:ascii="SimSun" w:hAnsi="SimSun" w:eastAsia="SimSun" w:cs="SimSun"/>
          <w:sz w:val="24"/>
          <w:szCs w:val="24"/>
          <w:spacing w:val="-2"/>
        </w:rPr>
        <w:t>环境局批复（锡署环审书【</w:t>
      </w:r>
      <w:r>
        <w:rPr>
          <w:rFonts w:ascii="Times New Roman" w:hAnsi="Times New Roman" w:eastAsia="Times New Roman" w:cs="Times New Roman"/>
          <w:sz w:val="24"/>
          <w:szCs w:val="24"/>
          <w:spacing w:val="-2"/>
        </w:rPr>
        <w:t>2022</w:t>
      </w:r>
      <w:r>
        <w:rPr>
          <w:rFonts w:ascii="SimSun" w:hAnsi="SimSun" w:eastAsia="SimSun" w:cs="SimSun"/>
          <w:sz w:val="24"/>
          <w:szCs w:val="24"/>
          <w:spacing w:val="-2"/>
        </w:rPr>
        <w:t>】</w:t>
      </w:r>
      <w:r>
        <w:rPr>
          <w:rFonts w:ascii="Times New Roman" w:hAnsi="Times New Roman" w:eastAsia="Times New Roman" w:cs="Times New Roman"/>
          <w:sz w:val="24"/>
          <w:szCs w:val="24"/>
          <w:spacing w:val="-2"/>
        </w:rPr>
        <w:t>33</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2"/>
        </w:rPr>
        <w:t>号）。</w:t>
      </w:r>
    </w:p>
    <w:p>
      <w:pPr>
        <w:ind w:left="491"/>
        <w:spacing w:before="5" w:line="219" w:lineRule="auto"/>
        <w:rPr>
          <w:rFonts w:ascii="SimSun" w:hAnsi="SimSun" w:eastAsia="SimSun" w:cs="SimSun"/>
          <w:sz w:val="24"/>
          <w:szCs w:val="24"/>
        </w:rPr>
      </w:pPr>
      <w:r>
        <w:rPr>
          <w:rFonts w:ascii="SimSun" w:hAnsi="SimSun" w:eastAsia="SimSun" w:cs="SimSun"/>
          <w:sz w:val="24"/>
          <w:szCs w:val="24"/>
          <w:spacing w:val="-1"/>
        </w:rPr>
        <w:t>现有采掘场、排土场、粉煤灰处置场分布情况见下图</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3-3-2</w:t>
      </w:r>
      <w:r>
        <w:rPr>
          <w:rFonts w:ascii="SimSun" w:hAnsi="SimSun" w:eastAsia="SimSun" w:cs="SimSun"/>
          <w:sz w:val="24"/>
          <w:szCs w:val="24"/>
          <w:spacing w:val="-1"/>
        </w:rPr>
        <w:t>。</w:t>
      </w:r>
    </w:p>
    <w:p>
      <w:pPr>
        <w:ind w:firstLine="1665"/>
        <w:spacing w:before="11" w:line="9777" w:lineRule="exact"/>
        <w:rPr/>
      </w:pPr>
      <w:r>
        <w:rPr>
          <w:position w:val="-195"/>
        </w:rPr>
        <w:drawing>
          <wp:inline distT="0" distB="0" distL="0" distR="0">
            <wp:extent cx="3950207" cy="6208775"/>
            <wp:effectExtent l="0" t="0" r="0" b="0"/>
            <wp:docPr id="86" name="IM 86"/>
            <wp:cNvGraphicFramePr/>
            <a:graphic>
              <a:graphicData uri="http://schemas.openxmlformats.org/drawingml/2006/picture">
                <pic:pic>
                  <pic:nvPicPr>
                    <pic:cNvPr id="86" name="IM 86"/>
                    <pic:cNvPicPr/>
                  </pic:nvPicPr>
                  <pic:blipFill>
                    <a:blip r:embed="rId121"/>
                    <a:stretch>
                      <a:fillRect/>
                    </a:stretch>
                  </pic:blipFill>
                  <pic:spPr>
                    <a:xfrm rot="0">
                      <a:off x="0" y="0"/>
                      <a:ext cx="3950207" cy="6208775"/>
                    </a:xfrm>
                    <a:prstGeom prst="rect">
                      <a:avLst/>
                    </a:prstGeom>
                  </pic:spPr>
                </pic:pic>
              </a:graphicData>
            </a:graphic>
          </wp:inline>
        </w:drawing>
      </w:r>
    </w:p>
    <w:p>
      <w:pPr>
        <w:ind w:left="2108"/>
        <w:spacing w:before="36" w:line="219" w:lineRule="auto"/>
        <w:rPr>
          <w:rFonts w:ascii="SimSun" w:hAnsi="SimSun" w:eastAsia="SimSun" w:cs="SimSun"/>
          <w:sz w:val="24"/>
          <w:szCs w:val="24"/>
        </w:rPr>
      </w:pPr>
      <w:r>
        <w:rPr>
          <w:rFonts w:ascii="SimSun" w:hAnsi="SimSun" w:eastAsia="SimSun" w:cs="SimSun"/>
          <w:sz w:val="24"/>
          <w:szCs w:val="24"/>
          <w:b/>
          <w:bCs/>
          <w:spacing w:val="-3"/>
        </w:rPr>
        <w:t>图</w:t>
      </w:r>
      <w:r>
        <w:rPr>
          <w:rFonts w:ascii="SimSun" w:hAnsi="SimSun" w:eastAsia="SimSun" w:cs="SimSun"/>
          <w:sz w:val="24"/>
          <w:szCs w:val="24"/>
          <w:spacing w:val="-45"/>
        </w:rPr>
        <w:t xml:space="preserve"> </w:t>
      </w:r>
      <w:r>
        <w:rPr>
          <w:rFonts w:ascii="Times New Roman" w:hAnsi="Times New Roman" w:eastAsia="Times New Roman" w:cs="Times New Roman"/>
          <w:sz w:val="24"/>
          <w:szCs w:val="24"/>
          <w:b/>
          <w:bCs/>
          <w:spacing w:val="-3"/>
        </w:rPr>
        <w:t>3-3-2    </w:t>
      </w:r>
      <w:r>
        <w:rPr>
          <w:rFonts w:ascii="SimSun" w:hAnsi="SimSun" w:eastAsia="SimSun" w:cs="SimSun"/>
          <w:sz w:val="24"/>
          <w:szCs w:val="24"/>
          <w:b/>
          <w:bCs/>
          <w:spacing w:val="-3"/>
        </w:rPr>
        <w:t>现有采掘场、排土场、粉煤灰处置场分布</w:t>
      </w:r>
    </w:p>
    <w:p>
      <w:pPr>
        <w:spacing w:line="219" w:lineRule="auto"/>
        <w:sectPr>
          <w:footerReference w:type="default" r:id="rId120"/>
          <w:pgSz w:w="11906" w:h="16838"/>
          <w:pgMar w:top="1170" w:right="1417" w:bottom="1078" w:left="1416" w:header="837" w:footer="915" w:gutter="0"/>
        </w:sectPr>
        <w:rPr>
          <w:rFonts w:ascii="SimSun" w:hAnsi="SimSun" w:eastAsia="SimSun" w:cs="SimSun"/>
          <w:sz w:val="24"/>
          <w:szCs w:val="24"/>
        </w:rPr>
      </w:pPr>
    </w:p>
    <w:p>
      <w:pPr>
        <w:pStyle w:val="BodyText"/>
        <w:spacing w:line="312" w:lineRule="auto"/>
        <w:rPr/>
      </w:pPr>
      <w:r/>
    </w:p>
    <w:p>
      <w:pPr>
        <w:ind w:left="487"/>
        <w:spacing w:before="78" w:line="217" w:lineRule="auto"/>
        <w:rPr>
          <w:rFonts w:ascii="SimSun" w:hAnsi="SimSun" w:eastAsia="SimSun" w:cs="SimSun"/>
          <w:sz w:val="24"/>
          <w:szCs w:val="24"/>
        </w:rPr>
      </w:pPr>
      <w:r>
        <w:rPr>
          <w:rFonts w:ascii="SimSun" w:hAnsi="SimSun" w:eastAsia="SimSun" w:cs="SimSun"/>
          <w:sz w:val="24"/>
          <w:szCs w:val="24"/>
          <w:spacing w:val="-4"/>
        </w:rPr>
        <w:t>④</w:t>
      </w:r>
      <w:r>
        <w:rPr>
          <w:rFonts w:ascii="SimSun" w:hAnsi="SimSun" w:eastAsia="SimSun" w:cs="SimSun"/>
          <w:sz w:val="24"/>
          <w:szCs w:val="24"/>
          <w:spacing w:val="12"/>
        </w:rPr>
        <w:t xml:space="preserve"> </w:t>
      </w:r>
      <w:r>
        <w:rPr>
          <w:rFonts w:ascii="SimSun" w:hAnsi="SimSun" w:eastAsia="SimSun" w:cs="SimSun"/>
          <w:sz w:val="24"/>
          <w:szCs w:val="24"/>
          <w:spacing w:val="-4"/>
        </w:rPr>
        <w:t>南部采坑</w:t>
      </w:r>
    </w:p>
    <w:p>
      <w:pPr>
        <w:ind w:left="10" w:right="347" w:firstLine="484"/>
        <w:spacing w:before="161" w:line="338" w:lineRule="auto"/>
        <w:rPr>
          <w:rFonts w:ascii="SimSun" w:hAnsi="SimSun" w:eastAsia="SimSun" w:cs="SimSun"/>
          <w:sz w:val="24"/>
          <w:szCs w:val="24"/>
        </w:rPr>
      </w:pPr>
      <w:r>
        <w:rPr>
          <w:rFonts w:ascii="SimSun" w:hAnsi="SimSun" w:eastAsia="SimSun" w:cs="SimSun"/>
          <w:sz w:val="24"/>
          <w:szCs w:val="24"/>
        </w:rPr>
        <w:t>露天矿南部与粉煤灰处置场相邻有一处遗留采坑，坑底标高为</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83</w:t>
      </w:r>
      <w:r>
        <w:rPr>
          <w:rFonts w:ascii="Times New Roman" w:hAnsi="Times New Roman" w:eastAsia="Times New Roman" w:cs="Times New Roman"/>
          <w:sz w:val="24"/>
          <w:szCs w:val="24"/>
          <w:spacing w:val="-1"/>
        </w:rPr>
        <w:t>1m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，最大深度为</w:t>
      </w:r>
      <w:r>
        <w:rPr>
          <w:rFonts w:ascii="Times New Roman" w:hAnsi="Times New Roman" w:eastAsia="Times New Roman" w:cs="Times New Roman"/>
          <w:sz w:val="24"/>
          <w:szCs w:val="24"/>
          <w:spacing w:val="-2"/>
        </w:rPr>
        <w:t>87m</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2"/>
        </w:rPr>
        <w:t>，形成</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5</w:t>
      </w:r>
      <w:r>
        <w:rPr>
          <w:rFonts w:ascii="SimSun" w:hAnsi="SimSun" w:eastAsia="SimSun" w:cs="SimSun"/>
          <w:sz w:val="24"/>
          <w:szCs w:val="24"/>
          <w:spacing w:val="-2"/>
        </w:rPr>
        <w:t>～</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个台阶，台阶高度</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12m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，底部中间区域为积水区，为地下水出露和大</w:t>
      </w:r>
      <w:r>
        <w:rPr>
          <w:rFonts w:ascii="SimSun" w:hAnsi="SimSun" w:eastAsia="SimSun" w:cs="SimSun"/>
          <w:sz w:val="24"/>
          <w:szCs w:val="24"/>
          <w:spacing w:val="-2"/>
        </w:rPr>
        <w:t>气降水造成的积水区。</w:t>
      </w:r>
    </w:p>
    <w:p>
      <w:pPr>
        <w:ind w:left="495"/>
        <w:spacing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）工业场地基本情况</w:t>
      </w:r>
    </w:p>
    <w:p>
      <w:pPr>
        <w:ind w:left="11" w:right="332" w:firstLine="483"/>
        <w:spacing w:before="154" w:line="339" w:lineRule="auto"/>
        <w:rPr>
          <w:rFonts w:ascii="SimSun" w:hAnsi="SimSun" w:eastAsia="SimSun" w:cs="SimSun"/>
          <w:sz w:val="24"/>
          <w:szCs w:val="24"/>
        </w:rPr>
      </w:pPr>
      <w:r>
        <w:rPr>
          <w:rFonts w:ascii="SimSun" w:hAnsi="SimSun" w:eastAsia="SimSun" w:cs="SimSun"/>
          <w:sz w:val="24"/>
          <w:szCs w:val="24"/>
          <w:spacing w:val="-1"/>
        </w:rPr>
        <w:t>露天工业场地位于矿区外东侧，包括组装场地区</w:t>
      </w:r>
      <w:r>
        <w:rPr>
          <w:rFonts w:ascii="SimSun" w:hAnsi="SimSun" w:eastAsia="SimSun" w:cs="SimSun"/>
          <w:sz w:val="24"/>
          <w:szCs w:val="24"/>
          <w:spacing w:val="-2"/>
        </w:rPr>
        <w:t>、机修区、仓库区、行政办公区、</w:t>
      </w:r>
      <w:r>
        <w:rPr>
          <w:rFonts w:ascii="SimSun" w:hAnsi="SimSun" w:eastAsia="SimSun" w:cs="SimSun"/>
          <w:sz w:val="24"/>
          <w:szCs w:val="24"/>
          <w:spacing w:val="-1"/>
        </w:rPr>
        <w:t>宿舍区、临时设施区、变电站等。建筑主要为单层、多层砖混结构。</w:t>
      </w:r>
    </w:p>
    <w:p>
      <w:pPr>
        <w:ind w:left="9" w:right="281" w:firstLine="482"/>
        <w:spacing w:before="6" w:line="338" w:lineRule="auto"/>
        <w:jc w:val="both"/>
        <w:rPr>
          <w:rFonts w:ascii="SimSun" w:hAnsi="SimSun" w:eastAsia="SimSun" w:cs="SimSun"/>
          <w:sz w:val="24"/>
          <w:szCs w:val="24"/>
        </w:rPr>
      </w:pPr>
      <w:r>
        <w:rPr>
          <w:rFonts w:ascii="SimSun" w:hAnsi="SimSun" w:eastAsia="SimSun" w:cs="SimSun"/>
          <w:sz w:val="24"/>
          <w:szCs w:val="24"/>
        </w:rPr>
        <w:t>工业场地已经完成了场地绿化工作，包括拦挡措施、截排水设施、临时防护措施、</w:t>
      </w:r>
      <w:r>
        <w:rPr>
          <w:rFonts w:ascii="SimSun" w:hAnsi="SimSun" w:eastAsia="SimSun" w:cs="SimSun"/>
          <w:sz w:val="24"/>
          <w:szCs w:val="24"/>
          <w:spacing w:val="-6"/>
        </w:rPr>
        <w:t>土地整治措施、场地绿化措施、场内灌溉措施等。在场地道路两旁栽行道树与种草配合，</w:t>
      </w:r>
      <w:r>
        <w:rPr>
          <w:rFonts w:ascii="SimSun" w:hAnsi="SimSun" w:eastAsia="SimSun" w:cs="SimSun"/>
          <w:sz w:val="24"/>
          <w:szCs w:val="24"/>
        </w:rPr>
        <w:t>树种有唐槭、蒙古栎、白蜡、金叶榆、山杏等，木树种有水蜡球、紫丁香、金银忍冬、</w:t>
      </w:r>
      <w:r>
        <w:rPr>
          <w:rFonts w:ascii="SimSun" w:hAnsi="SimSun" w:eastAsia="SimSun" w:cs="SimSun"/>
          <w:sz w:val="24"/>
          <w:szCs w:val="24"/>
        </w:rPr>
        <w:t>榆叶梅、金银接骨木、金钟连翘、珍珠秀成菊等，绿篱有水蜡、红瑞木、金山绣线菊、</w:t>
      </w:r>
      <w:r>
        <w:rPr>
          <w:rFonts w:ascii="SimSun" w:hAnsi="SimSun" w:eastAsia="SimSun" w:cs="SimSun"/>
          <w:sz w:val="24"/>
          <w:szCs w:val="24"/>
          <w:spacing w:val="-1"/>
        </w:rPr>
        <w:t>榆叶海柳叶绣线菊等。种植</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3330  </w:t>
      </w:r>
      <w:r>
        <w:rPr>
          <w:rFonts w:ascii="SimSun" w:hAnsi="SimSun" w:eastAsia="SimSun" w:cs="SimSun"/>
          <w:sz w:val="24"/>
          <w:szCs w:val="24"/>
          <w:spacing w:val="-1"/>
        </w:rPr>
        <w:t>棵乔木，</w:t>
      </w:r>
      <w:r>
        <w:rPr>
          <w:rFonts w:ascii="Times New Roman" w:hAnsi="Times New Roman" w:eastAsia="Times New Roman" w:cs="Times New Roman"/>
          <w:sz w:val="24"/>
          <w:szCs w:val="24"/>
          <w:spacing w:val="-1"/>
        </w:rPr>
        <w:t>72150  </w:t>
      </w:r>
      <w:r>
        <w:rPr>
          <w:rFonts w:ascii="SimSun" w:hAnsi="SimSun" w:eastAsia="SimSun" w:cs="SimSun"/>
          <w:sz w:val="24"/>
          <w:szCs w:val="24"/>
          <w:spacing w:val="-1"/>
        </w:rPr>
        <w:t>棵，灌木绿化率达</w:t>
      </w:r>
      <w:r>
        <w:rPr>
          <w:rFonts w:ascii="SimSun" w:hAnsi="SimSun" w:eastAsia="SimSun" w:cs="SimSun"/>
          <w:sz w:val="24"/>
          <w:szCs w:val="24"/>
          <w:spacing w:val="-2"/>
        </w:rPr>
        <w:t>到了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w:t>
      </w:r>
    </w:p>
    <w:p>
      <w:pPr>
        <w:spacing w:before="131" w:line="3651" w:lineRule="exact"/>
        <w:rPr/>
      </w:pPr>
      <w:r>
        <w:rPr>
          <w:position w:val="-73"/>
        </w:rPr>
        <w:drawing>
          <wp:inline distT="0" distB="0" distL="0" distR="0">
            <wp:extent cx="5980176" cy="2318004"/>
            <wp:effectExtent l="0" t="0" r="0" b="0"/>
            <wp:docPr id="88" name="IM 88"/>
            <wp:cNvGraphicFramePr/>
            <a:graphic>
              <a:graphicData uri="http://schemas.openxmlformats.org/drawingml/2006/picture">
                <pic:pic>
                  <pic:nvPicPr>
                    <pic:cNvPr id="88" name="IM 88"/>
                    <pic:cNvPicPr/>
                  </pic:nvPicPr>
                  <pic:blipFill>
                    <a:blip r:embed="rId124"/>
                    <a:stretch>
                      <a:fillRect/>
                    </a:stretch>
                  </pic:blipFill>
                  <pic:spPr>
                    <a:xfrm rot="0">
                      <a:off x="0" y="0"/>
                      <a:ext cx="5980176" cy="2318004"/>
                    </a:xfrm>
                    <a:prstGeom prst="rect">
                      <a:avLst/>
                    </a:prstGeom>
                  </pic:spPr>
                </pic:pic>
              </a:graphicData>
            </a:graphic>
          </wp:inline>
        </w:drawing>
      </w:r>
    </w:p>
    <w:p>
      <w:pPr>
        <w:pStyle w:val="BodyText"/>
        <w:spacing w:line="244" w:lineRule="auto"/>
        <w:rPr/>
      </w:pPr>
      <w:r/>
    </w:p>
    <w:p>
      <w:pPr>
        <w:ind w:left="4303"/>
        <w:spacing w:before="78" w:line="224" w:lineRule="auto"/>
        <w:rPr>
          <w:rFonts w:ascii="SimHei" w:hAnsi="SimHei" w:eastAsia="SimHei" w:cs="SimHei"/>
          <w:sz w:val="24"/>
          <w:szCs w:val="24"/>
        </w:rPr>
      </w:pPr>
      <w:r>
        <w:rPr>
          <w:rFonts w:ascii="SimHei" w:hAnsi="SimHei" w:eastAsia="SimHei" w:cs="SimHei"/>
          <w:sz w:val="24"/>
          <w:szCs w:val="24"/>
          <w:spacing w:val="-3"/>
        </w:rPr>
        <w:t>工业场地</w:t>
      </w:r>
    </w:p>
    <w:p>
      <w:pPr>
        <w:ind w:left="485"/>
        <w:spacing w:before="130" w:line="219"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、地质环境治理与土地复垦验收情况</w:t>
      </w:r>
    </w:p>
    <w:p>
      <w:pPr>
        <w:ind w:left="8" w:right="347" w:firstLine="515"/>
        <w:spacing w:before="158" w:line="338" w:lineRule="auto"/>
        <w:rPr>
          <w:rFonts w:ascii="SimSun" w:hAnsi="SimSun" w:eastAsia="SimSun" w:cs="SimSun"/>
          <w:sz w:val="24"/>
          <w:szCs w:val="24"/>
        </w:rPr>
      </w:pPr>
      <w:r>
        <w:rPr>
          <w:rFonts w:ascii="SimSun" w:hAnsi="SimSun" w:eastAsia="SimSun" w:cs="SimSun"/>
          <w:sz w:val="24"/>
          <w:szCs w:val="24"/>
          <w:spacing w:val="-2"/>
        </w:rPr>
        <w:t>白音华四号矿自生产以来，一直坚持</w:t>
      </w:r>
      <w:r>
        <w:rPr>
          <w:rFonts w:ascii="Times New Roman" w:hAnsi="Times New Roman" w:eastAsia="Times New Roman" w:cs="Times New Roman"/>
          <w:sz w:val="24"/>
          <w:szCs w:val="24"/>
          <w:spacing w:val="-2"/>
        </w:rPr>
        <w:t>“</w:t>
      </w:r>
      <w:r>
        <w:rPr>
          <w:rFonts w:ascii="SimSun" w:hAnsi="SimSun" w:eastAsia="SimSun" w:cs="SimSun"/>
          <w:sz w:val="24"/>
          <w:szCs w:val="24"/>
          <w:spacing w:val="-2"/>
        </w:rPr>
        <w:t>边开采、边治理</w:t>
      </w:r>
      <w:r>
        <w:rPr>
          <w:rFonts w:ascii="Times New Roman" w:hAnsi="Times New Roman" w:eastAsia="Times New Roman" w:cs="Times New Roman"/>
          <w:sz w:val="24"/>
          <w:szCs w:val="24"/>
          <w:spacing w:val="-2"/>
        </w:rPr>
        <w:t>”</w:t>
      </w:r>
      <w:r>
        <w:rPr>
          <w:rFonts w:ascii="SimSun" w:hAnsi="SimSun" w:eastAsia="SimSun" w:cs="SimSun"/>
          <w:sz w:val="24"/>
          <w:szCs w:val="24"/>
          <w:spacing w:val="-2"/>
        </w:rPr>
        <w:t>的原则，根据原《矿山地质</w:t>
      </w:r>
      <w:r>
        <w:rPr>
          <w:rFonts w:ascii="SimSun" w:hAnsi="SimSun" w:eastAsia="SimSun" w:cs="SimSun"/>
          <w:sz w:val="24"/>
          <w:szCs w:val="24"/>
          <w:spacing w:val="-2"/>
        </w:rPr>
        <w:t>环境治理及土地复垦方案》及《矿山地质环境治理及土地复垦分期方案》逐步实施矿山</w:t>
      </w:r>
      <w:r>
        <w:rPr>
          <w:rFonts w:ascii="SimSun" w:hAnsi="SimSun" w:eastAsia="SimSun" w:cs="SimSun"/>
          <w:sz w:val="24"/>
          <w:szCs w:val="24"/>
          <w:spacing w:val="-2"/>
        </w:rPr>
        <w:t>地质环境治理及土地复垦，现已进行了三期治理工程。其中首期治理工程和二期治理工</w:t>
      </w:r>
      <w:r>
        <w:rPr>
          <w:rFonts w:ascii="SimSun" w:hAnsi="SimSun" w:eastAsia="SimSun" w:cs="SimSun"/>
          <w:sz w:val="24"/>
          <w:szCs w:val="24"/>
        </w:rPr>
        <w:t>程均以通过锡林郭勒盟国土资源局验收，各</w:t>
      </w:r>
      <w:r>
        <w:rPr>
          <w:rFonts w:ascii="SimSun" w:hAnsi="SimSun" w:eastAsia="SimSun" w:cs="SimSun"/>
          <w:sz w:val="24"/>
          <w:szCs w:val="24"/>
          <w:spacing w:val="-1"/>
        </w:rPr>
        <w:t>期治理工程分述如下：</w:t>
      </w:r>
    </w:p>
    <w:p>
      <w:pPr>
        <w:ind w:left="495"/>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）首期治理工程</w:t>
      </w:r>
    </w:p>
    <w:p>
      <w:pPr>
        <w:ind w:left="11" w:right="347" w:firstLine="478"/>
        <w:spacing w:before="152" w:line="334" w:lineRule="auto"/>
        <w:rPr>
          <w:rFonts w:ascii="SimSun" w:hAnsi="SimSun" w:eastAsia="SimSun" w:cs="SimSun"/>
          <w:sz w:val="24"/>
          <w:szCs w:val="24"/>
        </w:rPr>
      </w:pPr>
      <w:r>
        <w:rPr>
          <w:rFonts w:ascii="SimSun" w:hAnsi="SimSun" w:eastAsia="SimSun" w:cs="SimSun"/>
          <w:sz w:val="24"/>
          <w:szCs w:val="24"/>
          <w:spacing w:val="-2"/>
        </w:rPr>
        <w:t>第一期治理时间为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2014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月～</w:t>
      </w:r>
      <w:r>
        <w:rPr>
          <w:rFonts w:ascii="Times New Roman" w:hAnsi="Times New Roman" w:eastAsia="Times New Roman" w:cs="Times New Roman"/>
          <w:sz w:val="24"/>
          <w:szCs w:val="24"/>
          <w:spacing w:val="-2"/>
        </w:rPr>
        <w:t>2016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年</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月，验收总面积</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9.0km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w:t>
      </w:r>
      <w:r>
        <w:rPr>
          <w:rFonts w:ascii="SimSun" w:hAnsi="SimSun" w:eastAsia="SimSun" w:cs="SimSun"/>
          <w:sz w:val="24"/>
          <w:szCs w:val="24"/>
          <w:spacing w:val="-3"/>
        </w:rPr>
        <w:t>根据《验收</w:t>
      </w:r>
      <w:r>
        <w:rPr>
          <w:rFonts w:ascii="SimSun" w:hAnsi="SimSun" w:eastAsia="SimSun" w:cs="SimSun"/>
          <w:sz w:val="24"/>
          <w:szCs w:val="24"/>
          <w:spacing w:val="1"/>
        </w:rPr>
        <w:t>意见书》，本期主要完成治理工程有：①排土场平整、整形，</w:t>
      </w:r>
      <w:r>
        <w:rPr>
          <w:rFonts w:ascii="SimSun" w:hAnsi="SimSun" w:eastAsia="SimSun" w:cs="SimSun"/>
          <w:sz w:val="24"/>
          <w:szCs w:val="24"/>
        </w:rPr>
        <w:t>覆土</w:t>
      </w:r>
      <w:r>
        <w:rPr>
          <w:rFonts w:ascii="SimSun" w:hAnsi="SimSun" w:eastAsia="SimSun" w:cs="SimSun"/>
          <w:sz w:val="24"/>
          <w:szCs w:val="24"/>
          <w:spacing w:val="-29"/>
        </w:rPr>
        <w:t xml:space="preserve"> </w:t>
      </w:r>
      <w:r>
        <w:rPr>
          <w:rFonts w:ascii="Times New Roman" w:hAnsi="Times New Roman" w:eastAsia="Times New Roman" w:cs="Times New Roman"/>
          <w:sz w:val="24"/>
          <w:szCs w:val="24"/>
        </w:rPr>
        <w:t>186000m</w:t>
      </w:r>
      <w:r>
        <w:rPr>
          <w:rFonts w:ascii="Times New Roman" w:hAnsi="Times New Roman" w:eastAsia="Times New Roman" w:cs="Times New Roman"/>
          <w:sz w:val="15"/>
          <w:szCs w:val="15"/>
          <w:position w:val="8"/>
        </w:rPr>
        <w:t>2 </w:t>
      </w:r>
      <w:r>
        <w:rPr>
          <w:rFonts w:ascii="SimSun" w:hAnsi="SimSun" w:eastAsia="SimSun" w:cs="SimSun"/>
          <w:sz w:val="24"/>
          <w:szCs w:val="24"/>
        </w:rPr>
        <w:t>，挡水围</w:t>
      </w:r>
      <w:r>
        <w:rPr>
          <w:rFonts w:ascii="SimSun" w:hAnsi="SimSun" w:eastAsia="SimSun" w:cs="SimSun"/>
          <w:sz w:val="24"/>
          <w:szCs w:val="24"/>
          <w:spacing w:val="-4"/>
        </w:rPr>
        <w:t>埂</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4800m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，恢复植被</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1001000m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4"/>
        </w:rPr>
        <w:t>；②设置灌溉管道</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14800m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，修建排水沟</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430m</w:t>
      </w:r>
      <w:r>
        <w:rPr>
          <w:rFonts w:ascii="SimSun" w:hAnsi="SimSun" w:eastAsia="SimSun" w:cs="SimSun"/>
          <w:sz w:val="24"/>
          <w:szCs w:val="24"/>
          <w:spacing w:val="-4"/>
        </w:rPr>
        <w:t>；</w:t>
      </w:r>
      <w:r>
        <w:rPr>
          <w:rFonts w:ascii="SimSun" w:hAnsi="SimSun" w:eastAsia="SimSun" w:cs="SimSun"/>
          <w:sz w:val="24"/>
          <w:szCs w:val="24"/>
          <w:spacing w:val="-5"/>
        </w:rPr>
        <w:t>③矿区</w:t>
      </w:r>
      <w:r>
        <w:rPr>
          <w:rFonts w:ascii="SimSun" w:hAnsi="SimSun" w:eastAsia="SimSun" w:cs="SimSun"/>
          <w:sz w:val="24"/>
          <w:szCs w:val="24"/>
        </w:rPr>
        <w:t xml:space="preserve"> </w:t>
      </w:r>
      <w:r>
        <w:rPr>
          <w:rFonts w:ascii="SimSun" w:hAnsi="SimSun" w:eastAsia="SimSun" w:cs="SimSun"/>
          <w:sz w:val="24"/>
          <w:szCs w:val="24"/>
          <w:spacing w:val="-2"/>
        </w:rPr>
        <w:t>、防护林及排土场植树</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11200 </w:t>
      </w:r>
      <w:r>
        <w:rPr>
          <w:rFonts w:ascii="SimSun" w:hAnsi="SimSun" w:eastAsia="SimSun" w:cs="SimSun"/>
          <w:sz w:val="24"/>
          <w:szCs w:val="24"/>
          <w:spacing w:val="-2"/>
        </w:rPr>
        <w:t>株；④采场边坡设置雷达监测，排土</w:t>
      </w:r>
      <w:r>
        <w:rPr>
          <w:rFonts w:ascii="SimSun" w:hAnsi="SimSun" w:eastAsia="SimSun" w:cs="SimSun"/>
          <w:sz w:val="24"/>
          <w:szCs w:val="24"/>
          <w:spacing w:val="-3"/>
        </w:rPr>
        <w:t>场边坡人工仪器监测</w:t>
      </w:r>
    </w:p>
    <w:p>
      <w:pPr>
        <w:spacing w:line="334" w:lineRule="auto"/>
        <w:sectPr>
          <w:headerReference w:type="default" r:id="rId122"/>
          <w:footerReference w:type="default" r:id="rId123"/>
          <w:pgSz w:w="11906" w:h="16838"/>
          <w:pgMar w:top="1170" w:right="1071" w:bottom="1078" w:left="1416" w:header="837" w:footer="915" w:gutter="0"/>
        </w:sectPr>
        <w:rPr>
          <w:rFonts w:ascii="SimSun" w:hAnsi="SimSun" w:eastAsia="SimSun" w:cs="SimSun"/>
          <w:sz w:val="24"/>
          <w:szCs w:val="24"/>
        </w:rPr>
      </w:pPr>
    </w:p>
    <w:p>
      <w:pPr>
        <w:pStyle w:val="BodyText"/>
        <w:spacing w:line="311" w:lineRule="auto"/>
        <w:rPr/>
      </w:pPr>
      <w:r/>
    </w:p>
    <w:p>
      <w:pPr>
        <w:ind w:left="125" w:right="115" w:firstLine="14"/>
        <w:spacing w:before="78" w:line="339" w:lineRule="auto"/>
        <w:rPr>
          <w:rFonts w:ascii="SimSun" w:hAnsi="SimSun" w:eastAsia="SimSun" w:cs="SimSun"/>
          <w:sz w:val="24"/>
          <w:szCs w:val="24"/>
        </w:rPr>
      </w:pPr>
      <w:r>
        <w:rPr>
          <w:rFonts w:ascii="SimSun" w:hAnsi="SimSun" w:eastAsia="SimSun" w:cs="SimSun"/>
          <w:sz w:val="24"/>
          <w:szCs w:val="24"/>
          <w:spacing w:val="-5"/>
        </w:rPr>
        <w:t>; ⑤经现场踏勘矿山采取了一定的治理措施，完成了本期治理</w:t>
      </w:r>
      <w:r>
        <w:rPr>
          <w:rFonts w:ascii="SimSun" w:hAnsi="SimSun" w:eastAsia="SimSun" w:cs="SimSun"/>
          <w:sz w:val="24"/>
          <w:szCs w:val="24"/>
          <w:spacing w:val="-6"/>
        </w:rPr>
        <w:t>工程量，投入资金</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1311.49</w:t>
      </w:r>
      <w:r>
        <w:rPr>
          <w:rFonts w:ascii="SimSun" w:hAnsi="SimSun" w:eastAsia="SimSun" w:cs="SimSun"/>
          <w:sz w:val="24"/>
          <w:szCs w:val="24"/>
          <w:spacing w:val="-6"/>
        </w:rPr>
        <w:t>万元。</w:t>
      </w:r>
    </w:p>
    <w:p>
      <w:pPr>
        <w:ind w:left="605"/>
        <w:spacing w:line="220" w:lineRule="auto"/>
        <w:rPr>
          <w:rFonts w:ascii="SimSun" w:hAnsi="SimSun" w:eastAsia="SimSun" w:cs="SimSun"/>
          <w:sz w:val="24"/>
          <w:szCs w:val="24"/>
        </w:rPr>
      </w:pPr>
      <w:r>
        <w:rPr>
          <w:rFonts w:ascii="SimSun" w:hAnsi="SimSun" w:eastAsia="SimSun" w:cs="SimSun"/>
          <w:sz w:val="24"/>
          <w:szCs w:val="24"/>
          <w:spacing w:val="-2"/>
        </w:rPr>
        <w:t>治理后效果如下：</w:t>
      </w:r>
    </w:p>
    <w:p>
      <w:pPr>
        <w:spacing w:line="92"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44"/>
        <w:gridCol w:w="4646"/>
      </w:tblGrid>
      <w:tr>
        <w:trPr>
          <w:trHeight w:val="3369" w:hRule="atLeast"/>
        </w:trPr>
        <w:tc>
          <w:tcPr>
            <w:tcW w:w="4644" w:type="dxa"/>
            <w:vAlign w:val="top"/>
          </w:tcPr>
          <w:p>
            <w:pPr>
              <w:ind w:firstLine="105"/>
              <w:spacing w:before="4" w:line="3346" w:lineRule="exact"/>
              <w:rPr/>
            </w:pPr>
            <w:r>
              <w:rPr>
                <w:position w:val="-66"/>
              </w:rPr>
              <w:drawing>
                <wp:inline distT="0" distB="0" distL="0" distR="0">
                  <wp:extent cx="2831592" cy="2124456"/>
                  <wp:effectExtent l="0" t="0" r="0" b="0"/>
                  <wp:docPr id="90" name="IM 90"/>
                  <wp:cNvGraphicFramePr/>
                  <a:graphic>
                    <a:graphicData uri="http://schemas.openxmlformats.org/drawingml/2006/picture">
                      <pic:pic>
                        <pic:nvPicPr>
                          <pic:cNvPr id="90" name="IM 90"/>
                          <pic:cNvPicPr/>
                        </pic:nvPicPr>
                        <pic:blipFill>
                          <a:blip r:embed="rId127"/>
                          <a:stretch>
                            <a:fillRect/>
                          </a:stretch>
                        </pic:blipFill>
                        <pic:spPr>
                          <a:xfrm rot="0">
                            <a:off x="0" y="0"/>
                            <a:ext cx="2831592" cy="2124456"/>
                          </a:xfrm>
                          <a:prstGeom prst="rect">
                            <a:avLst/>
                          </a:prstGeom>
                        </pic:spPr>
                      </pic:pic>
                    </a:graphicData>
                  </a:graphic>
                </wp:inline>
              </w:drawing>
            </w:r>
          </w:p>
        </w:tc>
        <w:tc>
          <w:tcPr>
            <w:tcW w:w="4646" w:type="dxa"/>
            <w:vAlign w:val="top"/>
          </w:tcPr>
          <w:p>
            <w:pPr>
              <w:ind w:firstLine="139"/>
              <w:spacing w:before="45" w:line="3262" w:lineRule="exact"/>
              <w:rPr/>
            </w:pPr>
            <w:r>
              <w:rPr>
                <w:position w:val="-65"/>
              </w:rPr>
              <w:drawing>
                <wp:inline distT="0" distB="0" distL="0" distR="0">
                  <wp:extent cx="2761488" cy="2071116"/>
                  <wp:effectExtent l="0" t="0" r="0" b="0"/>
                  <wp:docPr id="92" name="IM 92"/>
                  <wp:cNvGraphicFramePr/>
                  <a:graphic>
                    <a:graphicData uri="http://schemas.openxmlformats.org/drawingml/2006/picture">
                      <pic:pic>
                        <pic:nvPicPr>
                          <pic:cNvPr id="92" name="IM 92"/>
                          <pic:cNvPicPr/>
                        </pic:nvPicPr>
                        <pic:blipFill>
                          <a:blip r:embed="rId128"/>
                          <a:stretch>
                            <a:fillRect/>
                          </a:stretch>
                        </pic:blipFill>
                        <pic:spPr>
                          <a:xfrm rot="0">
                            <a:off x="0" y="0"/>
                            <a:ext cx="2761488" cy="2071116"/>
                          </a:xfrm>
                          <a:prstGeom prst="rect">
                            <a:avLst/>
                          </a:prstGeom>
                        </pic:spPr>
                      </pic:pic>
                    </a:graphicData>
                  </a:graphic>
                </wp:inline>
              </w:drawing>
            </w:r>
          </w:p>
        </w:tc>
      </w:tr>
      <w:tr>
        <w:trPr>
          <w:trHeight w:val="317" w:hRule="atLeast"/>
        </w:trPr>
        <w:tc>
          <w:tcPr>
            <w:tcW w:w="4644" w:type="dxa"/>
            <w:vAlign w:val="top"/>
          </w:tcPr>
          <w:p>
            <w:pPr>
              <w:ind w:left="892"/>
              <w:spacing w:before="36" w:line="208" w:lineRule="auto"/>
              <w:rPr>
                <w:rFonts w:ascii="SimSun" w:hAnsi="SimSun" w:eastAsia="SimSun" w:cs="SimSun"/>
                <w:sz w:val="24"/>
                <w:szCs w:val="24"/>
              </w:rPr>
            </w:pPr>
            <w:r>
              <w:rPr>
                <w:rFonts w:ascii="SimSun" w:hAnsi="SimSun" w:eastAsia="SimSun" w:cs="SimSun"/>
                <w:sz w:val="24"/>
                <w:szCs w:val="24"/>
                <w:spacing w:val="-2"/>
              </w:rPr>
              <w:t>外排土场顶部平台撒播草籽</w:t>
            </w:r>
          </w:p>
        </w:tc>
        <w:tc>
          <w:tcPr>
            <w:tcW w:w="4646" w:type="dxa"/>
            <w:vAlign w:val="top"/>
          </w:tcPr>
          <w:p>
            <w:pPr>
              <w:ind w:left="892"/>
              <w:spacing w:before="36" w:line="208" w:lineRule="auto"/>
              <w:rPr>
                <w:rFonts w:ascii="SimSun" w:hAnsi="SimSun" w:eastAsia="SimSun" w:cs="SimSun"/>
                <w:sz w:val="24"/>
                <w:szCs w:val="24"/>
              </w:rPr>
            </w:pPr>
            <w:r>
              <w:rPr>
                <w:rFonts w:ascii="SimSun" w:hAnsi="SimSun" w:eastAsia="SimSun" w:cs="SimSun"/>
                <w:sz w:val="24"/>
                <w:szCs w:val="24"/>
                <w:spacing w:val="-2"/>
              </w:rPr>
              <w:t>外排土场顶部平台种植杨树</w:t>
            </w:r>
          </w:p>
        </w:tc>
      </w:tr>
      <w:tr>
        <w:trPr>
          <w:trHeight w:val="3566" w:hRule="atLeast"/>
        </w:trPr>
        <w:tc>
          <w:tcPr>
            <w:tcW w:w="4644" w:type="dxa"/>
            <w:vAlign w:val="top"/>
          </w:tcPr>
          <w:p>
            <w:pPr>
              <w:ind w:firstLine="105"/>
              <w:spacing w:line="3551" w:lineRule="exact"/>
              <w:rPr/>
            </w:pPr>
            <w:r>
              <w:rPr>
                <w:position w:val="-71"/>
              </w:rPr>
              <w:drawing>
                <wp:inline distT="0" distB="0" distL="0" distR="0">
                  <wp:extent cx="2878835" cy="2255393"/>
                  <wp:effectExtent l="0" t="0" r="0" b="0"/>
                  <wp:docPr id="94" name="IM 94"/>
                  <wp:cNvGraphicFramePr/>
                  <a:graphic>
                    <a:graphicData uri="http://schemas.openxmlformats.org/drawingml/2006/picture">
                      <pic:pic>
                        <pic:nvPicPr>
                          <pic:cNvPr id="94" name="IM 94"/>
                          <pic:cNvPicPr/>
                        </pic:nvPicPr>
                        <pic:blipFill>
                          <a:blip r:embed="rId129"/>
                          <a:stretch>
                            <a:fillRect/>
                          </a:stretch>
                        </pic:blipFill>
                        <pic:spPr>
                          <a:xfrm rot="0">
                            <a:off x="0" y="0"/>
                            <a:ext cx="2878835" cy="2255393"/>
                          </a:xfrm>
                          <a:prstGeom prst="rect">
                            <a:avLst/>
                          </a:prstGeom>
                        </pic:spPr>
                      </pic:pic>
                    </a:graphicData>
                  </a:graphic>
                </wp:inline>
              </w:drawing>
            </w:r>
          </w:p>
        </w:tc>
        <w:tc>
          <w:tcPr>
            <w:tcW w:w="4646" w:type="dxa"/>
            <w:vAlign w:val="top"/>
          </w:tcPr>
          <w:p>
            <w:pPr>
              <w:ind w:firstLine="105"/>
              <w:spacing w:before="110" w:line="3329" w:lineRule="exact"/>
              <w:rPr/>
            </w:pPr>
            <w:r>
              <w:rPr>
                <w:position w:val="-66"/>
              </w:rPr>
              <w:drawing>
                <wp:inline distT="0" distB="0" distL="0" distR="0">
                  <wp:extent cx="2819400" cy="2113788"/>
                  <wp:effectExtent l="0" t="0" r="0" b="0"/>
                  <wp:docPr id="96" name="IM 96"/>
                  <wp:cNvGraphicFramePr/>
                  <a:graphic>
                    <a:graphicData uri="http://schemas.openxmlformats.org/drawingml/2006/picture">
                      <pic:pic>
                        <pic:nvPicPr>
                          <pic:cNvPr id="96" name="IM 96"/>
                          <pic:cNvPicPr/>
                        </pic:nvPicPr>
                        <pic:blipFill>
                          <a:blip r:embed="rId130"/>
                          <a:stretch>
                            <a:fillRect/>
                          </a:stretch>
                        </pic:blipFill>
                        <pic:spPr>
                          <a:xfrm rot="0">
                            <a:off x="0" y="0"/>
                            <a:ext cx="2819400" cy="2113788"/>
                          </a:xfrm>
                          <a:prstGeom prst="rect">
                            <a:avLst/>
                          </a:prstGeom>
                        </pic:spPr>
                      </pic:pic>
                    </a:graphicData>
                  </a:graphic>
                </wp:inline>
              </w:drawing>
            </w:r>
          </w:p>
        </w:tc>
      </w:tr>
      <w:tr>
        <w:trPr>
          <w:trHeight w:val="317" w:hRule="atLeast"/>
        </w:trPr>
        <w:tc>
          <w:tcPr>
            <w:tcW w:w="4644" w:type="dxa"/>
            <w:vAlign w:val="top"/>
          </w:tcPr>
          <w:p>
            <w:pPr>
              <w:ind w:left="1607"/>
              <w:spacing w:before="34" w:line="210" w:lineRule="auto"/>
              <w:rPr>
                <w:rFonts w:ascii="SimSun" w:hAnsi="SimSun" w:eastAsia="SimSun" w:cs="SimSun"/>
                <w:sz w:val="24"/>
                <w:szCs w:val="24"/>
              </w:rPr>
            </w:pPr>
            <w:r>
              <w:rPr>
                <w:rFonts w:ascii="SimSun" w:hAnsi="SimSun" w:eastAsia="SimSun" w:cs="SimSun"/>
                <w:sz w:val="24"/>
                <w:szCs w:val="24"/>
                <w:spacing w:val="-2"/>
              </w:rPr>
              <w:t>修建截水沟照</w:t>
            </w:r>
          </w:p>
        </w:tc>
        <w:tc>
          <w:tcPr>
            <w:tcW w:w="4646" w:type="dxa"/>
            <w:vAlign w:val="top"/>
          </w:tcPr>
          <w:p>
            <w:pPr>
              <w:ind w:left="1132"/>
              <w:spacing w:before="34" w:line="210" w:lineRule="auto"/>
              <w:rPr>
                <w:rFonts w:ascii="SimSun" w:hAnsi="SimSun" w:eastAsia="SimSun" w:cs="SimSun"/>
                <w:sz w:val="24"/>
                <w:szCs w:val="24"/>
              </w:rPr>
            </w:pPr>
            <w:r>
              <w:rPr>
                <w:rFonts w:ascii="SimSun" w:hAnsi="SimSun" w:eastAsia="SimSun" w:cs="SimSun"/>
                <w:sz w:val="24"/>
                <w:szCs w:val="24"/>
                <w:spacing w:val="-2"/>
              </w:rPr>
              <w:t>外排土场平台变形监测</w:t>
            </w:r>
          </w:p>
        </w:tc>
      </w:tr>
      <w:tr>
        <w:trPr>
          <w:trHeight w:val="2872" w:hRule="atLeast"/>
        </w:trPr>
        <w:tc>
          <w:tcPr>
            <w:tcW w:w="4644" w:type="dxa"/>
            <w:vAlign w:val="top"/>
          </w:tcPr>
          <w:p>
            <w:pPr>
              <w:ind w:firstLine="105"/>
              <w:spacing w:line="2862" w:lineRule="exact"/>
              <w:rPr/>
            </w:pPr>
            <w:r>
              <w:rPr>
                <w:position w:val="-57"/>
              </w:rPr>
              <w:drawing>
                <wp:inline distT="0" distB="0" distL="0" distR="0">
                  <wp:extent cx="2878835" cy="1817370"/>
                  <wp:effectExtent l="0" t="0" r="0" b="0"/>
                  <wp:docPr id="98" name="IM 98"/>
                  <wp:cNvGraphicFramePr/>
                  <a:graphic>
                    <a:graphicData uri="http://schemas.openxmlformats.org/drawingml/2006/picture">
                      <pic:pic>
                        <pic:nvPicPr>
                          <pic:cNvPr id="98" name="IM 98"/>
                          <pic:cNvPicPr/>
                        </pic:nvPicPr>
                        <pic:blipFill>
                          <a:blip r:embed="rId131"/>
                          <a:stretch>
                            <a:fillRect/>
                          </a:stretch>
                        </pic:blipFill>
                        <pic:spPr>
                          <a:xfrm rot="0">
                            <a:off x="0" y="0"/>
                            <a:ext cx="2878835" cy="1817370"/>
                          </a:xfrm>
                          <a:prstGeom prst="rect">
                            <a:avLst/>
                          </a:prstGeom>
                        </pic:spPr>
                      </pic:pic>
                    </a:graphicData>
                  </a:graphic>
                </wp:inline>
              </w:drawing>
            </w:r>
          </w:p>
        </w:tc>
        <w:tc>
          <w:tcPr>
            <w:tcW w:w="4646" w:type="dxa"/>
            <w:vAlign w:val="top"/>
          </w:tcPr>
          <w:p>
            <w:pPr>
              <w:ind w:firstLine="112"/>
              <w:spacing w:before="88" w:line="2760" w:lineRule="exact"/>
              <w:rPr/>
            </w:pPr>
            <w:r>
              <w:rPr>
                <w:position w:val="-55"/>
              </w:rPr>
              <w:drawing>
                <wp:inline distT="0" distB="0" distL="0" distR="0">
                  <wp:extent cx="2875533" cy="1752599"/>
                  <wp:effectExtent l="0" t="0" r="0" b="0"/>
                  <wp:docPr id="100" name="IM 100"/>
                  <wp:cNvGraphicFramePr/>
                  <a:graphic>
                    <a:graphicData uri="http://schemas.openxmlformats.org/drawingml/2006/picture">
                      <pic:pic>
                        <pic:nvPicPr>
                          <pic:cNvPr id="100" name="IM 100"/>
                          <pic:cNvPicPr/>
                        </pic:nvPicPr>
                        <pic:blipFill>
                          <a:blip r:embed="rId132"/>
                          <a:stretch>
                            <a:fillRect/>
                          </a:stretch>
                        </pic:blipFill>
                        <pic:spPr>
                          <a:xfrm rot="0">
                            <a:off x="0" y="0"/>
                            <a:ext cx="2875533" cy="1752599"/>
                          </a:xfrm>
                          <a:prstGeom prst="rect">
                            <a:avLst/>
                          </a:prstGeom>
                        </pic:spPr>
                      </pic:pic>
                    </a:graphicData>
                  </a:graphic>
                </wp:inline>
              </w:drawing>
            </w:r>
          </w:p>
        </w:tc>
      </w:tr>
      <w:tr>
        <w:trPr>
          <w:trHeight w:val="348" w:hRule="atLeast"/>
        </w:trPr>
        <w:tc>
          <w:tcPr>
            <w:tcW w:w="4644" w:type="dxa"/>
            <w:vAlign w:val="top"/>
          </w:tcPr>
          <w:p>
            <w:pPr>
              <w:ind w:left="1495"/>
              <w:spacing w:before="64" w:line="210" w:lineRule="auto"/>
              <w:rPr>
                <w:rFonts w:ascii="SimSun" w:hAnsi="SimSun" w:eastAsia="SimSun" w:cs="SimSun"/>
                <w:sz w:val="24"/>
                <w:szCs w:val="24"/>
              </w:rPr>
            </w:pPr>
            <w:r>
              <w:rPr>
                <w:rFonts w:ascii="SimSun" w:hAnsi="SimSun" w:eastAsia="SimSun" w:cs="SimSun"/>
                <w:sz w:val="24"/>
                <w:szCs w:val="24"/>
                <w:spacing w:val="-3"/>
              </w:rPr>
              <w:t>东一排土场现状</w:t>
            </w:r>
          </w:p>
        </w:tc>
        <w:tc>
          <w:tcPr>
            <w:tcW w:w="4646" w:type="dxa"/>
            <w:vAlign w:val="top"/>
          </w:tcPr>
          <w:p>
            <w:pPr>
              <w:ind w:left="1495"/>
              <w:spacing w:before="64" w:line="210" w:lineRule="auto"/>
              <w:rPr>
                <w:rFonts w:ascii="SimSun" w:hAnsi="SimSun" w:eastAsia="SimSun" w:cs="SimSun"/>
                <w:sz w:val="24"/>
                <w:szCs w:val="24"/>
              </w:rPr>
            </w:pPr>
            <w:r>
              <w:rPr>
                <w:rFonts w:ascii="SimSun" w:hAnsi="SimSun" w:eastAsia="SimSun" w:cs="SimSun"/>
                <w:sz w:val="24"/>
                <w:szCs w:val="24"/>
                <w:spacing w:val="-3"/>
              </w:rPr>
              <w:t>东二排土场现状</w:t>
            </w:r>
          </w:p>
        </w:tc>
      </w:tr>
    </w:tbl>
    <w:p>
      <w:pPr>
        <w:pStyle w:val="BodyText"/>
        <w:spacing w:line="251" w:lineRule="auto"/>
        <w:rPr/>
      </w:pPr>
      <w:r/>
    </w:p>
    <w:p>
      <w:pPr>
        <w:pStyle w:val="BodyText"/>
        <w:spacing w:line="251" w:lineRule="auto"/>
        <w:rPr/>
      </w:pPr>
      <w:r/>
    </w:p>
    <w:p>
      <w:pPr>
        <w:ind w:left="606"/>
        <w:spacing w:before="78"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）二期治理工程</w:t>
      </w:r>
    </w:p>
    <w:p>
      <w:pPr>
        <w:ind w:left="121" w:right="113" w:firstLine="478"/>
        <w:spacing w:before="155" w:line="339" w:lineRule="auto"/>
        <w:rPr>
          <w:rFonts w:ascii="Times New Roman" w:hAnsi="Times New Roman" w:eastAsia="Times New Roman" w:cs="Times New Roman"/>
          <w:sz w:val="15"/>
          <w:szCs w:val="15"/>
        </w:rPr>
      </w:pPr>
      <w:r>
        <w:rPr>
          <w:rFonts w:ascii="SimSun" w:hAnsi="SimSun" w:eastAsia="SimSun" w:cs="SimSun"/>
          <w:sz w:val="24"/>
          <w:szCs w:val="24"/>
          <w:spacing w:val="-1"/>
        </w:rPr>
        <w:t>第二期治理时间为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12  </w:t>
      </w:r>
      <w:r>
        <w:rPr>
          <w:rFonts w:ascii="SimSun" w:hAnsi="SimSun" w:eastAsia="SimSun" w:cs="SimSun"/>
          <w:sz w:val="24"/>
          <w:szCs w:val="24"/>
          <w:spacing w:val="-1"/>
        </w:rPr>
        <w:t>月～</w:t>
      </w:r>
      <w:r>
        <w:rPr>
          <w:rFonts w:ascii="Times New Roman" w:hAnsi="Times New Roman" w:eastAsia="Times New Roman" w:cs="Times New Roman"/>
          <w:sz w:val="24"/>
          <w:szCs w:val="24"/>
          <w:spacing w:val="-1"/>
        </w:rPr>
        <w:t>2019  </w:t>
      </w:r>
      <w:r>
        <w:rPr>
          <w:rFonts w:ascii="SimSun" w:hAnsi="SimSun" w:eastAsia="SimSun" w:cs="SimSun"/>
          <w:sz w:val="24"/>
          <w:szCs w:val="24"/>
          <w:spacing w:val="-1"/>
        </w:rPr>
        <w:t>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10"/>
        </w:rPr>
        <w:t xml:space="preserve">  </w:t>
      </w:r>
      <w:r>
        <w:rPr>
          <w:rFonts w:ascii="SimSun" w:hAnsi="SimSun" w:eastAsia="SimSun" w:cs="SimSun"/>
          <w:sz w:val="24"/>
          <w:szCs w:val="24"/>
          <w:spacing w:val="-1"/>
        </w:rPr>
        <w:t>月，验收面积为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452.95hm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，本期</w:t>
      </w:r>
      <w:r>
        <w:rPr>
          <w:rFonts w:ascii="SimSun" w:hAnsi="SimSun" w:eastAsia="SimSun" w:cs="SimSun"/>
          <w:sz w:val="24"/>
          <w:szCs w:val="24"/>
          <w:spacing w:val="-5"/>
        </w:rPr>
        <w:t>主要完成治理工程有：①种草</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237.5hm</w:t>
      </w:r>
      <w:r>
        <w:rPr>
          <w:rFonts w:ascii="Times New Roman" w:hAnsi="Times New Roman" w:eastAsia="Times New Roman" w:cs="Times New Roman"/>
          <w:sz w:val="15"/>
          <w:szCs w:val="15"/>
          <w:spacing w:val="-5"/>
          <w:position w:val="8"/>
        </w:rPr>
        <w:t>2</w:t>
      </w:r>
      <w:r>
        <w:rPr>
          <w:rFonts w:ascii="SimSun" w:hAnsi="SimSun" w:eastAsia="SimSun" w:cs="SimSun"/>
          <w:sz w:val="24"/>
          <w:szCs w:val="24"/>
          <w:spacing w:val="-5"/>
        </w:rPr>
        <w:t>（包括排土场补种和沉陷区治理</w:t>
      </w:r>
      <w:r>
        <w:rPr>
          <w:rFonts w:ascii="SimSun" w:hAnsi="SimSun" w:eastAsia="SimSun" w:cs="SimSun"/>
          <w:sz w:val="24"/>
          <w:szCs w:val="24"/>
          <w:spacing w:val="-52"/>
          <w:w w:val="82"/>
        </w:rPr>
        <w:t>），</w:t>
      </w:r>
      <w:r>
        <w:rPr>
          <w:rFonts w:ascii="SimSun" w:hAnsi="SimSun" w:eastAsia="SimSun" w:cs="SimSun"/>
          <w:sz w:val="24"/>
          <w:szCs w:val="24"/>
          <w:spacing w:val="-5"/>
        </w:rPr>
        <w:t>覆土</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230000</w:t>
      </w:r>
      <w:r>
        <w:rPr>
          <w:rFonts w:ascii="Times New Roman" w:hAnsi="Times New Roman" w:eastAsia="Times New Roman" w:cs="Times New Roman"/>
          <w:sz w:val="24"/>
          <w:szCs w:val="24"/>
          <w:spacing w:val="-6"/>
        </w:rPr>
        <w:t>m</w:t>
      </w:r>
      <w:r>
        <w:rPr>
          <w:rFonts w:ascii="Times New Roman" w:hAnsi="Times New Roman" w:eastAsia="Times New Roman" w:cs="Times New Roman"/>
          <w:sz w:val="15"/>
          <w:szCs w:val="15"/>
          <w:spacing w:val="-6"/>
          <w:position w:val="8"/>
        </w:rPr>
        <w:t>3</w:t>
      </w:r>
    </w:p>
    <w:p>
      <w:pPr>
        <w:spacing w:line="339" w:lineRule="auto"/>
        <w:sectPr>
          <w:headerReference w:type="default" r:id="rId125"/>
          <w:footerReference w:type="default" r:id="rId126"/>
          <w:pgSz w:w="11906" w:h="16838"/>
          <w:pgMar w:top="1170" w:right="1304" w:bottom="1078" w:left="1305" w:header="837" w:footer="915" w:gutter="0"/>
        </w:sectPr>
        <w:rPr>
          <w:rFonts w:ascii="Times New Roman" w:hAnsi="Times New Roman" w:eastAsia="Times New Roman" w:cs="Times New Roman"/>
          <w:sz w:val="15"/>
          <w:szCs w:val="15"/>
        </w:rPr>
      </w:pPr>
    </w:p>
    <w:p>
      <w:pPr>
        <w:pStyle w:val="BodyText"/>
        <w:spacing w:line="312" w:lineRule="auto"/>
        <w:rPr/>
      </w:pPr>
      <w:r/>
    </w:p>
    <w:p>
      <w:pPr>
        <w:ind w:left="118" w:right="99" w:firstLine="20"/>
        <w:spacing w:before="78" w:line="339" w:lineRule="auto"/>
        <w:jc w:val="both"/>
        <w:rPr>
          <w:rFonts w:ascii="SimSun" w:hAnsi="SimSun" w:eastAsia="SimSun" w:cs="SimSun"/>
          <w:sz w:val="24"/>
          <w:szCs w:val="24"/>
        </w:rPr>
      </w:pPr>
      <w:r>
        <w:rPr>
          <w:rFonts w:ascii="SimSun" w:hAnsi="SimSun" w:eastAsia="SimSun" w:cs="SimSun"/>
          <w:sz w:val="24"/>
          <w:szCs w:val="24"/>
          <w:spacing w:val="-11"/>
        </w:rPr>
        <w:t>,</w:t>
      </w:r>
      <w:r>
        <w:rPr>
          <w:rFonts w:ascii="SimSun" w:hAnsi="SimSun" w:eastAsia="SimSun" w:cs="SimSun"/>
          <w:sz w:val="24"/>
          <w:szCs w:val="24"/>
          <w:spacing w:val="67"/>
        </w:rPr>
        <w:t xml:space="preserve"> </w:t>
      </w:r>
      <w:r>
        <w:rPr>
          <w:rFonts w:ascii="SimSun" w:hAnsi="SimSun" w:eastAsia="SimSun" w:cs="SimSun"/>
          <w:sz w:val="24"/>
          <w:szCs w:val="24"/>
          <w:spacing w:val="-11"/>
        </w:rPr>
        <w:t>平整</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1"/>
        </w:rPr>
        <w:t>511000m</w:t>
      </w:r>
      <w:r>
        <w:rPr>
          <w:rFonts w:ascii="Times New Roman" w:hAnsi="Times New Roman" w:eastAsia="Times New Roman" w:cs="Times New Roman"/>
          <w:sz w:val="15"/>
          <w:szCs w:val="15"/>
          <w:spacing w:val="-2"/>
          <w:position w:val="7"/>
        </w:rPr>
        <w:t>3 </w:t>
      </w:r>
      <w:r>
        <w:rPr>
          <w:rFonts w:ascii="SimSun" w:hAnsi="SimSun" w:eastAsia="SimSun" w:cs="SimSun"/>
          <w:sz w:val="24"/>
          <w:szCs w:val="24"/>
          <w:spacing w:val="-2"/>
        </w:rPr>
        <w:t>，修路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20000m</w:t>
      </w:r>
      <w:r>
        <w:rPr>
          <w:rFonts w:ascii="Times New Roman" w:hAnsi="Times New Roman" w:eastAsia="Times New Roman" w:cs="Times New Roman"/>
          <w:sz w:val="15"/>
          <w:szCs w:val="15"/>
          <w:spacing w:val="-2"/>
          <w:position w:val="7"/>
        </w:rPr>
        <w:t>3 </w:t>
      </w:r>
      <w:r>
        <w:rPr>
          <w:rFonts w:ascii="SimSun" w:hAnsi="SimSun" w:eastAsia="SimSun" w:cs="SimSun"/>
          <w:sz w:val="24"/>
          <w:szCs w:val="24"/>
          <w:spacing w:val="-2"/>
        </w:rPr>
        <w:t>，沉陷区回填</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1614000m</w:t>
      </w:r>
      <w:r>
        <w:rPr>
          <w:rFonts w:ascii="Times New Roman" w:hAnsi="Times New Roman" w:eastAsia="Times New Roman" w:cs="Times New Roman"/>
          <w:sz w:val="15"/>
          <w:szCs w:val="15"/>
          <w:spacing w:val="-2"/>
          <w:position w:val="7"/>
        </w:rPr>
        <w:t>3 </w:t>
      </w:r>
      <w:r>
        <w:rPr>
          <w:rFonts w:ascii="SimSun" w:hAnsi="SimSun" w:eastAsia="SimSun" w:cs="SimSun"/>
          <w:sz w:val="24"/>
          <w:szCs w:val="24"/>
          <w:spacing w:val="-2"/>
        </w:rPr>
        <w:t>，补插沙障</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21700</w:t>
      </w:r>
      <w:r>
        <w:rPr>
          <w:rFonts w:ascii="Times New Roman" w:hAnsi="Times New Roman" w:eastAsia="Times New Roman" w:cs="Times New Roman"/>
          <w:sz w:val="24"/>
          <w:szCs w:val="24"/>
          <w:spacing w:val="-3"/>
        </w:rPr>
        <w:t>0m</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3"/>
        </w:rPr>
        <w:t>，排土</w:t>
      </w:r>
      <w:r>
        <w:rPr>
          <w:rFonts w:ascii="SimSun" w:hAnsi="SimSun" w:eastAsia="SimSun" w:cs="SimSun"/>
          <w:sz w:val="24"/>
          <w:szCs w:val="24"/>
          <w:spacing w:val="-7"/>
        </w:rPr>
        <w:t>场坡面削坡整形</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7"/>
        </w:rPr>
        <w:t>1950000 m</w:t>
      </w:r>
      <w:r>
        <w:rPr>
          <w:rFonts w:ascii="Times New Roman" w:hAnsi="Times New Roman" w:eastAsia="Times New Roman" w:cs="Times New Roman"/>
          <w:sz w:val="15"/>
          <w:szCs w:val="15"/>
          <w:spacing w:val="-7"/>
          <w:position w:val="7"/>
        </w:rPr>
        <w:t>3</w:t>
      </w:r>
      <w:r>
        <w:rPr>
          <w:rFonts w:ascii="SimSun" w:hAnsi="SimSun" w:eastAsia="SimSun" w:cs="SimSun"/>
          <w:sz w:val="24"/>
          <w:szCs w:val="24"/>
          <w:spacing w:val="-7"/>
        </w:rPr>
        <w:t>，地表土回收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27000 m</w:t>
      </w:r>
      <w:r>
        <w:rPr>
          <w:rFonts w:ascii="Times New Roman" w:hAnsi="Times New Roman" w:eastAsia="Times New Roman" w:cs="Times New Roman"/>
          <w:sz w:val="15"/>
          <w:szCs w:val="15"/>
          <w:spacing w:val="-7"/>
          <w:position w:val="7"/>
        </w:rPr>
        <w:t>3</w:t>
      </w:r>
      <w:r>
        <w:rPr>
          <w:rFonts w:ascii="SimSun" w:hAnsi="SimSun" w:eastAsia="SimSun" w:cs="SimSun"/>
          <w:sz w:val="24"/>
          <w:szCs w:val="24"/>
          <w:spacing w:val="-7"/>
        </w:rPr>
        <w:t>，栽植乔木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7"/>
        </w:rPr>
        <w:t>8430  </w:t>
      </w:r>
      <w:r>
        <w:rPr>
          <w:rFonts w:ascii="SimSun" w:hAnsi="SimSun" w:eastAsia="SimSun" w:cs="SimSun"/>
          <w:sz w:val="24"/>
          <w:szCs w:val="24"/>
          <w:spacing w:val="-7"/>
        </w:rPr>
        <w:t>棵，截排水沟</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1500m</w:t>
      </w:r>
      <w:r>
        <w:rPr>
          <w:rFonts w:ascii="Times New Roman" w:hAnsi="Times New Roman" w:eastAsia="Times New Roman" w:cs="Times New Roman"/>
          <w:sz w:val="24"/>
          <w:szCs w:val="24"/>
        </w:rPr>
        <w:t xml:space="preserve"> </w:t>
      </w:r>
      <w:r>
        <w:rPr>
          <w:rFonts w:ascii="SimSun" w:hAnsi="SimSun" w:eastAsia="SimSun" w:cs="SimSun"/>
          <w:sz w:val="24"/>
          <w:szCs w:val="24"/>
          <w:spacing w:val="-3"/>
        </w:rPr>
        <w:t>;</w:t>
      </w:r>
      <w:r>
        <w:rPr>
          <w:rFonts w:ascii="SimSun" w:hAnsi="SimSun" w:eastAsia="SimSun" w:cs="SimSun"/>
          <w:sz w:val="24"/>
          <w:szCs w:val="24"/>
          <w:spacing w:val="54"/>
        </w:rPr>
        <w:t xml:space="preserve"> </w:t>
      </w:r>
      <w:r>
        <w:rPr>
          <w:rFonts w:ascii="SimSun" w:hAnsi="SimSun" w:eastAsia="SimSun" w:cs="SimSun"/>
          <w:sz w:val="24"/>
          <w:szCs w:val="24"/>
          <w:spacing w:val="-3"/>
        </w:rPr>
        <w:t>②厂区绿化，主要对场地进行硬化；以地砖铺设人行道；在场地道路两旁栽行道树与</w:t>
      </w:r>
      <w:r>
        <w:rPr>
          <w:rFonts w:ascii="SimSun" w:hAnsi="SimSun" w:eastAsia="SimSun" w:cs="SimSun"/>
          <w:sz w:val="24"/>
          <w:szCs w:val="24"/>
          <w:spacing w:val="-2"/>
        </w:rPr>
        <w:t>种草配合，树种有唐槭、蒙古栎、白蜡、金叶榆、山杏等，灌木树种有水蜡球、紫丁香</w:t>
      </w:r>
      <w:r>
        <w:rPr>
          <w:rFonts w:ascii="SimSun" w:hAnsi="SimSun" w:eastAsia="SimSun" w:cs="SimSun"/>
          <w:sz w:val="24"/>
          <w:szCs w:val="24"/>
          <w:spacing w:val="16"/>
        </w:rPr>
        <w:t xml:space="preserve"> </w:t>
      </w:r>
      <w:r>
        <w:rPr>
          <w:rFonts w:ascii="SimSun" w:hAnsi="SimSun" w:eastAsia="SimSun" w:cs="SimSun"/>
          <w:sz w:val="24"/>
          <w:szCs w:val="24"/>
          <w:spacing w:val="-1"/>
        </w:rPr>
        <w:t>、金银忍冬、榆叶梅、金银接骨木、金钟连翘、珍珠秀成菊等，绿篱有</w:t>
      </w:r>
      <w:r>
        <w:rPr>
          <w:rFonts w:ascii="SimSun" w:hAnsi="SimSun" w:eastAsia="SimSun" w:cs="SimSun"/>
          <w:sz w:val="24"/>
          <w:szCs w:val="24"/>
          <w:spacing w:val="-2"/>
        </w:rPr>
        <w:t>水蜡、红瑞木、</w:t>
      </w:r>
      <w:r>
        <w:rPr>
          <w:rFonts w:ascii="SimSun" w:hAnsi="SimSun" w:eastAsia="SimSun" w:cs="SimSun"/>
          <w:sz w:val="24"/>
          <w:szCs w:val="24"/>
          <w:spacing w:val="5"/>
        </w:rPr>
        <w:t>金山绣线菊、榆叶海柳叶绣线菊等。种植</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5"/>
        </w:rPr>
        <w:t>3330  </w:t>
      </w:r>
      <w:r>
        <w:rPr>
          <w:rFonts w:ascii="SimSun" w:hAnsi="SimSun" w:eastAsia="SimSun" w:cs="SimSun"/>
          <w:sz w:val="24"/>
          <w:szCs w:val="24"/>
          <w:spacing w:val="5"/>
        </w:rPr>
        <w:t>棵乔木，</w:t>
      </w:r>
      <w:r>
        <w:rPr>
          <w:rFonts w:ascii="Times New Roman" w:hAnsi="Times New Roman" w:eastAsia="Times New Roman" w:cs="Times New Roman"/>
          <w:sz w:val="24"/>
          <w:szCs w:val="24"/>
          <w:spacing w:val="5"/>
        </w:rPr>
        <w:t>72150  </w:t>
      </w:r>
      <w:r>
        <w:rPr>
          <w:rFonts w:ascii="SimSun" w:hAnsi="SimSun" w:eastAsia="SimSun" w:cs="SimSun"/>
          <w:sz w:val="24"/>
          <w:szCs w:val="24"/>
          <w:spacing w:val="5"/>
        </w:rPr>
        <w:t>棵灌木；③灌溉管路</w:t>
      </w:r>
      <w:r>
        <w:rPr>
          <w:rFonts w:ascii="Times New Roman" w:hAnsi="Times New Roman" w:eastAsia="Times New Roman" w:cs="Times New Roman"/>
          <w:sz w:val="24"/>
          <w:szCs w:val="24"/>
          <w:spacing w:val="-4"/>
        </w:rPr>
        <w:t>14500m</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，喷头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350 </w:t>
      </w:r>
      <w:r>
        <w:rPr>
          <w:rFonts w:ascii="SimSun" w:hAnsi="SimSun" w:eastAsia="SimSun" w:cs="SimSun"/>
          <w:sz w:val="24"/>
          <w:szCs w:val="24"/>
          <w:spacing w:val="-4"/>
        </w:rPr>
        <w:t>个。</w:t>
      </w:r>
    </w:p>
    <w:p>
      <w:pPr>
        <w:spacing w:before="49"/>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53"/>
        <w:gridCol w:w="4637"/>
      </w:tblGrid>
      <w:tr>
        <w:trPr>
          <w:trHeight w:val="3504" w:hRule="atLeast"/>
        </w:trPr>
        <w:tc>
          <w:tcPr>
            <w:tcW w:w="4653" w:type="dxa"/>
            <w:vAlign w:val="top"/>
          </w:tcPr>
          <w:p>
            <w:pPr>
              <w:ind w:firstLine="105"/>
              <w:spacing w:before="4" w:line="3490" w:lineRule="exact"/>
              <w:rPr/>
            </w:pPr>
            <w:r>
              <w:rPr>
                <w:position w:val="-69"/>
              </w:rPr>
              <w:drawing>
                <wp:inline distT="0" distB="0" distL="0" distR="0">
                  <wp:extent cx="2884550" cy="2215768"/>
                  <wp:effectExtent l="0" t="0" r="0" b="0"/>
                  <wp:docPr id="102" name="IM 102"/>
                  <wp:cNvGraphicFramePr/>
                  <a:graphic>
                    <a:graphicData uri="http://schemas.openxmlformats.org/drawingml/2006/picture">
                      <pic:pic>
                        <pic:nvPicPr>
                          <pic:cNvPr id="102" name="IM 102"/>
                          <pic:cNvPicPr/>
                        </pic:nvPicPr>
                        <pic:blipFill>
                          <a:blip r:embed="rId134"/>
                          <a:stretch>
                            <a:fillRect/>
                          </a:stretch>
                        </pic:blipFill>
                        <pic:spPr>
                          <a:xfrm rot="0">
                            <a:off x="0" y="0"/>
                            <a:ext cx="2884550" cy="2215768"/>
                          </a:xfrm>
                          <a:prstGeom prst="rect">
                            <a:avLst/>
                          </a:prstGeom>
                        </pic:spPr>
                      </pic:pic>
                    </a:graphicData>
                  </a:graphic>
                </wp:inline>
              </w:drawing>
            </w:r>
          </w:p>
        </w:tc>
        <w:tc>
          <w:tcPr>
            <w:tcW w:w="4637" w:type="dxa"/>
            <w:vAlign w:val="top"/>
          </w:tcPr>
          <w:p>
            <w:pPr>
              <w:ind w:firstLine="105"/>
              <w:spacing w:before="4" w:line="3480" w:lineRule="exact"/>
              <w:rPr/>
            </w:pPr>
            <w:r>
              <w:rPr>
                <w:position w:val="-69"/>
              </w:rPr>
              <w:drawing>
                <wp:inline distT="0" distB="0" distL="0" distR="0">
                  <wp:extent cx="2874010" cy="2209800"/>
                  <wp:effectExtent l="0" t="0" r="0" b="0"/>
                  <wp:docPr id="104" name="IM 104"/>
                  <wp:cNvGraphicFramePr/>
                  <a:graphic>
                    <a:graphicData uri="http://schemas.openxmlformats.org/drawingml/2006/picture">
                      <pic:pic>
                        <pic:nvPicPr>
                          <pic:cNvPr id="104" name="IM 104"/>
                          <pic:cNvPicPr/>
                        </pic:nvPicPr>
                        <pic:blipFill>
                          <a:blip r:embed="rId135"/>
                          <a:stretch>
                            <a:fillRect/>
                          </a:stretch>
                        </pic:blipFill>
                        <pic:spPr>
                          <a:xfrm rot="0">
                            <a:off x="0" y="0"/>
                            <a:ext cx="2874010" cy="2209800"/>
                          </a:xfrm>
                          <a:prstGeom prst="rect">
                            <a:avLst/>
                          </a:prstGeom>
                        </pic:spPr>
                      </pic:pic>
                    </a:graphicData>
                  </a:graphic>
                </wp:inline>
              </w:drawing>
            </w:r>
          </w:p>
        </w:tc>
      </w:tr>
      <w:tr>
        <w:trPr>
          <w:trHeight w:val="321" w:hRule="atLeast"/>
        </w:trPr>
        <w:tc>
          <w:tcPr>
            <w:tcW w:w="4653" w:type="dxa"/>
            <w:vAlign w:val="top"/>
          </w:tcPr>
          <w:p>
            <w:pPr>
              <w:ind w:left="1491"/>
              <w:spacing w:before="40" w:line="208" w:lineRule="auto"/>
              <w:rPr>
                <w:rFonts w:ascii="SimSun" w:hAnsi="SimSun" w:eastAsia="SimSun" w:cs="SimSun"/>
                <w:sz w:val="24"/>
                <w:szCs w:val="24"/>
              </w:rPr>
            </w:pPr>
            <w:r>
              <w:rPr>
                <w:rFonts w:ascii="SimSun" w:hAnsi="SimSun" w:eastAsia="SimSun" w:cs="SimSun"/>
                <w:sz w:val="24"/>
                <w:szCs w:val="24"/>
                <w:spacing w:val="-2"/>
              </w:rPr>
              <w:t>场地硬化和绿化</w:t>
            </w:r>
          </w:p>
        </w:tc>
        <w:tc>
          <w:tcPr>
            <w:tcW w:w="4637" w:type="dxa"/>
            <w:vAlign w:val="top"/>
          </w:tcPr>
          <w:p>
            <w:pPr>
              <w:ind w:left="1846"/>
              <w:spacing w:before="40" w:line="208" w:lineRule="auto"/>
              <w:rPr>
                <w:rFonts w:ascii="SimSun" w:hAnsi="SimSun" w:eastAsia="SimSun" w:cs="SimSun"/>
                <w:sz w:val="24"/>
                <w:szCs w:val="24"/>
              </w:rPr>
            </w:pPr>
            <w:r>
              <w:rPr>
                <w:rFonts w:ascii="SimSun" w:hAnsi="SimSun" w:eastAsia="SimSun" w:cs="SimSun"/>
                <w:sz w:val="24"/>
                <w:szCs w:val="24"/>
                <w:spacing w:val="-4"/>
              </w:rPr>
              <w:t>厂区绿化</w:t>
            </w:r>
          </w:p>
        </w:tc>
      </w:tr>
    </w:tbl>
    <w:p>
      <w:pPr>
        <w:ind w:left="606"/>
        <w:spacing w:before="146"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）三期治理工程</w:t>
      </w:r>
    </w:p>
    <w:p>
      <w:pPr>
        <w:ind w:left="119" w:right="115" w:firstLine="480"/>
        <w:spacing w:before="152" w:line="339" w:lineRule="auto"/>
        <w:rPr>
          <w:rFonts w:ascii="SimSun" w:hAnsi="SimSun" w:eastAsia="SimSun" w:cs="SimSun"/>
          <w:sz w:val="24"/>
          <w:szCs w:val="24"/>
        </w:rPr>
      </w:pPr>
      <w:r>
        <w:rPr>
          <w:rFonts w:ascii="SimSun" w:hAnsi="SimSun" w:eastAsia="SimSun" w:cs="SimSun"/>
          <w:sz w:val="24"/>
          <w:szCs w:val="24"/>
          <w:spacing w:val="-4"/>
        </w:rPr>
        <w:t>第三期治理时间为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2019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2024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月，主要对露天采坑、内排土场和现</w:t>
      </w:r>
      <w:r>
        <w:rPr>
          <w:rFonts w:ascii="SimSun" w:hAnsi="SimSun" w:eastAsia="SimSun" w:cs="SimSun"/>
          <w:sz w:val="24"/>
          <w:szCs w:val="24"/>
          <w:spacing w:val="-1"/>
        </w:rPr>
        <w:t>状塌陷区等单元进行治理，按治理单元已完成治理工程有：</w:t>
      </w:r>
    </w:p>
    <w:p>
      <w:pPr>
        <w:ind w:left="618"/>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）露天采坑</w:t>
      </w:r>
    </w:p>
    <w:p>
      <w:pPr>
        <w:ind w:left="125" w:right="113" w:firstLine="473"/>
        <w:spacing w:before="155" w:line="340" w:lineRule="auto"/>
        <w:rPr>
          <w:rFonts w:ascii="SimSun" w:hAnsi="SimSun" w:eastAsia="SimSun" w:cs="SimSun"/>
          <w:sz w:val="24"/>
          <w:szCs w:val="24"/>
        </w:rPr>
      </w:pPr>
      <w:r>
        <w:rPr>
          <w:rFonts w:ascii="SimSun" w:hAnsi="SimSun" w:eastAsia="SimSun" w:cs="SimSun"/>
          <w:sz w:val="24"/>
          <w:szCs w:val="24"/>
          <w:spacing w:val="-2"/>
        </w:rPr>
        <w:t>对表土进行剥离集中堆放；对采坑边坡进行削坡、清</w:t>
      </w:r>
      <w:r>
        <w:rPr>
          <w:rFonts w:ascii="SimSun" w:hAnsi="SimSun" w:eastAsia="SimSun" w:cs="SimSun"/>
          <w:sz w:val="24"/>
          <w:szCs w:val="24"/>
          <w:spacing w:val="-3"/>
        </w:rPr>
        <w:t>理危岩体；在采场设置了</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GPS</w:t>
      </w:r>
      <w:r>
        <w:rPr>
          <w:rFonts w:ascii="SimSun" w:hAnsi="SimSun" w:eastAsia="SimSun" w:cs="SimSun"/>
          <w:sz w:val="24"/>
          <w:szCs w:val="24"/>
          <w:spacing w:val="-2"/>
        </w:rPr>
        <w:t>定位系统，定期对边坡稳定性和地表变形情况进行监测并记录；在矿区外围设置网围栏</w:t>
      </w:r>
    </w:p>
    <w:p>
      <w:pPr>
        <w:ind w:left="143"/>
        <w:spacing w:before="152" w:line="121" w:lineRule="exact"/>
        <w:rPr>
          <w:rFonts w:ascii="SimSun" w:hAnsi="SimSun" w:eastAsia="SimSun" w:cs="SimSun"/>
          <w:sz w:val="24"/>
          <w:szCs w:val="24"/>
        </w:rPr>
      </w:pPr>
      <w:r>
        <w:rPr>
          <w:rFonts w:ascii="SimSun" w:hAnsi="SimSun" w:eastAsia="SimSun" w:cs="SimSun"/>
          <w:sz w:val="24"/>
          <w:szCs w:val="24"/>
          <w:position w:val="1"/>
        </w:rPr>
        <w:t>。</w:t>
      </w:r>
    </w:p>
    <w:p>
      <w:pPr>
        <w:spacing w:line="121" w:lineRule="exact"/>
        <w:sectPr>
          <w:footerReference w:type="default" r:id="rId133"/>
          <w:pgSz w:w="11906" w:h="16838"/>
          <w:pgMar w:top="1170" w:right="1304" w:bottom="1078" w:left="1305" w:header="837" w:footer="915" w:gutter="0"/>
        </w:sectPr>
        <w:rPr>
          <w:rFonts w:ascii="SimSun" w:hAnsi="SimSun" w:eastAsia="SimSun" w:cs="SimSun"/>
          <w:sz w:val="24"/>
          <w:szCs w:val="24"/>
        </w:rPr>
      </w:pPr>
    </w:p>
    <w:p>
      <w:pPr>
        <w:pStyle w:val="BodyText"/>
        <w:spacing w:line="246" w:lineRule="auto"/>
        <w:rPr/>
      </w:pPr>
      <w:r/>
    </w:p>
    <w:p>
      <w:pPr>
        <w:ind w:firstLine="1245"/>
        <w:spacing w:line="4920" w:lineRule="exact"/>
        <w:rPr/>
      </w:pPr>
      <w:r>
        <w:rPr>
          <w:position w:val="-98"/>
        </w:rPr>
        <w:drawing>
          <wp:inline distT="0" distB="0" distL="0" distR="0">
            <wp:extent cx="4172711" cy="3124200"/>
            <wp:effectExtent l="0" t="0" r="0" b="0"/>
            <wp:docPr id="106" name="IM 106"/>
            <wp:cNvGraphicFramePr/>
            <a:graphic>
              <a:graphicData uri="http://schemas.openxmlformats.org/drawingml/2006/picture">
                <pic:pic>
                  <pic:nvPicPr>
                    <pic:cNvPr id="106" name="IM 106"/>
                    <pic:cNvPicPr/>
                  </pic:nvPicPr>
                  <pic:blipFill>
                    <a:blip r:embed="rId137"/>
                    <a:stretch>
                      <a:fillRect/>
                    </a:stretch>
                  </pic:blipFill>
                  <pic:spPr>
                    <a:xfrm rot="0">
                      <a:off x="0" y="0"/>
                      <a:ext cx="4172711" cy="3124200"/>
                    </a:xfrm>
                    <a:prstGeom prst="rect">
                      <a:avLst/>
                    </a:prstGeom>
                  </pic:spPr>
                </pic:pic>
              </a:graphicData>
            </a:graphic>
          </wp:inline>
        </w:drawing>
      </w:r>
    </w:p>
    <w:p>
      <w:pPr>
        <w:ind w:left="3468"/>
        <w:spacing w:before="33" w:line="219" w:lineRule="auto"/>
        <w:rPr>
          <w:rFonts w:ascii="SimSun" w:hAnsi="SimSun" w:eastAsia="SimSun" w:cs="SimSun"/>
          <w:sz w:val="24"/>
          <w:szCs w:val="24"/>
        </w:rPr>
      </w:pPr>
      <w:r>
        <w:rPr>
          <w:rFonts w:ascii="SimSun" w:hAnsi="SimSun" w:eastAsia="SimSun" w:cs="SimSun"/>
          <w:sz w:val="24"/>
          <w:szCs w:val="24"/>
          <w:spacing w:val="-2"/>
        </w:rPr>
        <w:t>露天采坑外围网围栏</w:t>
      </w:r>
    </w:p>
    <w:p>
      <w:pPr>
        <w:ind w:left="485"/>
        <w:spacing w:before="138"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）内排土场</w:t>
      </w:r>
    </w:p>
    <w:p>
      <w:pPr>
        <w:ind w:left="9" w:right="2" w:firstLine="479"/>
        <w:spacing w:before="152" w:line="339" w:lineRule="auto"/>
        <w:rPr>
          <w:rFonts w:ascii="SimSun" w:hAnsi="SimSun" w:eastAsia="SimSun" w:cs="SimSun"/>
          <w:sz w:val="24"/>
          <w:szCs w:val="24"/>
        </w:rPr>
      </w:pPr>
      <w:r>
        <w:rPr>
          <w:rFonts w:ascii="SimSun" w:hAnsi="SimSun" w:eastAsia="SimSun" w:cs="SimSun"/>
          <w:sz w:val="24"/>
          <w:szCs w:val="24"/>
          <w:spacing w:val="-2"/>
        </w:rPr>
        <w:t>对达到排弃标高的内排土场平台进行整平；修建平台道路将内排土场平台分隔成区</w:t>
      </w:r>
      <w:r>
        <w:rPr>
          <w:rFonts w:ascii="SimSun" w:hAnsi="SimSun" w:eastAsia="SimSun" w:cs="SimSun"/>
          <w:sz w:val="24"/>
          <w:szCs w:val="24"/>
          <w:spacing w:val="-2"/>
        </w:rPr>
        <w:t>块；对治理后的内排土场进行覆土；随后播撒草籽，草种选择老芒麦、披碱草、紫花苜</w:t>
      </w:r>
      <w:r>
        <w:rPr>
          <w:rFonts w:ascii="SimSun" w:hAnsi="SimSun" w:eastAsia="SimSun" w:cs="SimSun"/>
          <w:sz w:val="24"/>
          <w:szCs w:val="24"/>
          <w:spacing w:val="1"/>
        </w:rPr>
        <w:t>蓿、柠条等；在内排土场边坡设置了</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GPS</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定位系统，定期对边坡</w:t>
      </w:r>
      <w:r>
        <w:rPr>
          <w:rFonts w:ascii="SimSun" w:hAnsi="SimSun" w:eastAsia="SimSun" w:cs="SimSun"/>
          <w:sz w:val="24"/>
          <w:szCs w:val="24"/>
        </w:rPr>
        <w:t>稳定性和地表变形情</w:t>
      </w:r>
      <w:r>
        <w:rPr>
          <w:rFonts w:ascii="SimSun" w:hAnsi="SimSun" w:eastAsia="SimSun" w:cs="SimSun"/>
          <w:sz w:val="24"/>
          <w:szCs w:val="24"/>
          <w:spacing w:val="-2"/>
        </w:rPr>
        <w:t>况进行监测并记录。</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）预测塌陷区</w:t>
      </w:r>
    </w:p>
    <w:p>
      <w:pPr>
        <w:ind w:left="11" w:right="2" w:firstLine="477"/>
        <w:spacing w:before="153" w:line="339" w:lineRule="auto"/>
        <w:rPr>
          <w:rFonts w:ascii="SimSun" w:hAnsi="SimSun" w:eastAsia="SimSun" w:cs="SimSun"/>
          <w:sz w:val="24"/>
          <w:szCs w:val="24"/>
        </w:rPr>
      </w:pPr>
      <w:r>
        <w:rPr>
          <w:rFonts w:ascii="SimSun" w:hAnsi="SimSun" w:eastAsia="SimSun" w:cs="SimSun"/>
          <w:sz w:val="24"/>
          <w:szCs w:val="24"/>
          <w:spacing w:val="-2"/>
        </w:rPr>
        <w:t>对于预测塌陷区进行预填土；待采空区稳沉后对其进行平整、覆土；最后撒播草籽</w:t>
      </w:r>
      <w:r>
        <w:rPr>
          <w:rFonts w:ascii="SimSun" w:hAnsi="SimSun" w:eastAsia="SimSun" w:cs="SimSun"/>
          <w:sz w:val="24"/>
          <w:szCs w:val="24"/>
          <w:spacing w:val="-3"/>
        </w:rPr>
        <w:t>恢复植被。</w:t>
      </w:r>
    </w:p>
    <w:p>
      <w:pPr>
        <w:ind w:left="10" w:right="2" w:firstLine="480"/>
        <w:spacing w:before="1" w:line="301" w:lineRule="auto"/>
        <w:jc w:val="both"/>
        <w:rPr>
          <w:rFonts w:ascii="SimSun" w:hAnsi="SimSun" w:eastAsia="SimSun" w:cs="SimSun"/>
          <w:sz w:val="24"/>
          <w:szCs w:val="24"/>
        </w:rPr>
      </w:pPr>
      <w:r>
        <w:rPr>
          <w:rFonts w:ascii="SimSun" w:hAnsi="SimSun" w:eastAsia="SimSun" w:cs="SimSun"/>
          <w:sz w:val="24"/>
          <w:szCs w:val="24"/>
          <w:spacing w:val="-2"/>
        </w:rPr>
        <w:t>预填土工艺即在煤炭开采前进行预填土，首先根据矿山开采计划确定即将开采的工</w:t>
      </w:r>
      <w:r>
        <w:rPr>
          <w:rFonts w:ascii="SimSun" w:hAnsi="SimSun" w:eastAsia="SimSun" w:cs="SimSun"/>
          <w:sz w:val="24"/>
          <w:szCs w:val="24"/>
          <w:spacing w:val="-2"/>
        </w:rPr>
        <w:t>作面，利用露天矿剥离物在工作面地表位置堆</w:t>
      </w:r>
      <w:r>
        <w:rPr>
          <w:rFonts w:ascii="SimSun" w:hAnsi="SimSun" w:eastAsia="SimSun" w:cs="SimSun"/>
          <w:sz w:val="24"/>
          <w:szCs w:val="24"/>
          <w:spacing w:val="-3"/>
        </w:rPr>
        <w:t>弃成梯台，填土高度为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15m</w:t>
      </w:r>
      <w:r>
        <w:rPr>
          <w:rFonts w:ascii="SimSun" w:hAnsi="SimSun" w:eastAsia="SimSun" w:cs="SimSun"/>
          <w:sz w:val="24"/>
          <w:szCs w:val="24"/>
          <w:spacing w:val="-3"/>
        </w:rPr>
        <w:t>，使其塌陷后</w:t>
      </w:r>
      <w:r>
        <w:rPr>
          <w:rFonts w:ascii="SimSun" w:hAnsi="SimSun" w:eastAsia="SimSun" w:cs="SimSun"/>
          <w:sz w:val="24"/>
          <w:szCs w:val="24"/>
          <w:spacing w:val="-1"/>
        </w:rPr>
        <w:t>与开采前原始地面标高基本持平，避免形成积水区。</w:t>
      </w:r>
    </w:p>
    <w:tbl>
      <w:tblPr>
        <w:tblStyle w:val="TableNormal"/>
        <w:tblW w:w="8649" w:type="dxa"/>
        <w:tblInd w:w="21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52"/>
        <w:gridCol w:w="4197"/>
      </w:tblGrid>
      <w:tr>
        <w:trPr>
          <w:trHeight w:val="3348" w:hRule="atLeast"/>
        </w:trPr>
        <w:tc>
          <w:tcPr>
            <w:tcW w:w="4452" w:type="dxa"/>
            <w:vAlign w:val="top"/>
          </w:tcPr>
          <w:p>
            <w:pPr>
              <w:ind w:firstLine="4"/>
              <w:spacing w:before="2" w:line="3328" w:lineRule="exact"/>
              <w:rPr/>
            </w:pPr>
            <w:r>
              <w:rPr>
                <w:position w:val="-66"/>
              </w:rPr>
              <w:drawing>
                <wp:inline distT="0" distB="0" distL="0" distR="0">
                  <wp:extent cx="2817876" cy="2113788"/>
                  <wp:effectExtent l="0" t="0" r="0" b="0"/>
                  <wp:docPr id="108" name="IM 108"/>
                  <wp:cNvGraphicFramePr/>
                  <a:graphic>
                    <a:graphicData uri="http://schemas.openxmlformats.org/drawingml/2006/picture">
                      <pic:pic>
                        <pic:nvPicPr>
                          <pic:cNvPr id="108" name="IM 108"/>
                          <pic:cNvPicPr/>
                        </pic:nvPicPr>
                        <pic:blipFill>
                          <a:blip r:embed="rId138"/>
                          <a:stretch>
                            <a:fillRect/>
                          </a:stretch>
                        </pic:blipFill>
                        <pic:spPr>
                          <a:xfrm rot="0">
                            <a:off x="0" y="0"/>
                            <a:ext cx="2817876" cy="2113788"/>
                          </a:xfrm>
                          <a:prstGeom prst="rect">
                            <a:avLst/>
                          </a:prstGeom>
                        </pic:spPr>
                      </pic:pic>
                    </a:graphicData>
                  </a:graphic>
                </wp:inline>
              </w:drawing>
            </w:r>
          </w:p>
        </w:tc>
        <w:tc>
          <w:tcPr>
            <w:tcW w:w="4197" w:type="dxa"/>
            <w:vAlign w:val="top"/>
          </w:tcPr>
          <w:p>
            <w:pPr>
              <w:spacing w:before="23" w:line="3315" w:lineRule="exact"/>
              <w:rPr/>
            </w:pPr>
            <w:r>
              <w:rPr>
                <w:position w:val="-66"/>
              </w:rPr>
              <w:drawing>
                <wp:inline distT="0" distB="0" distL="0" distR="0">
                  <wp:extent cx="2661920" cy="2104516"/>
                  <wp:effectExtent l="0" t="0" r="0" b="0"/>
                  <wp:docPr id="110" name="IM 110"/>
                  <wp:cNvGraphicFramePr/>
                  <a:graphic>
                    <a:graphicData uri="http://schemas.openxmlformats.org/drawingml/2006/picture">
                      <pic:pic>
                        <pic:nvPicPr>
                          <pic:cNvPr id="110" name="IM 110"/>
                          <pic:cNvPicPr/>
                        </pic:nvPicPr>
                        <pic:blipFill>
                          <a:blip r:embed="rId139"/>
                          <a:stretch>
                            <a:fillRect/>
                          </a:stretch>
                        </pic:blipFill>
                        <pic:spPr>
                          <a:xfrm rot="0">
                            <a:off x="0" y="0"/>
                            <a:ext cx="2661920" cy="2104516"/>
                          </a:xfrm>
                          <a:prstGeom prst="rect">
                            <a:avLst/>
                          </a:prstGeom>
                        </pic:spPr>
                      </pic:pic>
                    </a:graphicData>
                  </a:graphic>
                </wp:inline>
              </w:drawing>
            </w:r>
          </w:p>
        </w:tc>
      </w:tr>
      <w:tr>
        <w:trPr>
          <w:trHeight w:val="318" w:hRule="atLeast"/>
        </w:trPr>
        <w:tc>
          <w:tcPr>
            <w:tcW w:w="4452" w:type="dxa"/>
            <w:vAlign w:val="top"/>
          </w:tcPr>
          <w:p>
            <w:pPr>
              <w:ind w:left="1082"/>
              <w:spacing w:before="37" w:line="208" w:lineRule="auto"/>
              <w:rPr>
                <w:rFonts w:ascii="SimSun" w:hAnsi="SimSun" w:eastAsia="SimSun" w:cs="SimSun"/>
                <w:sz w:val="24"/>
                <w:szCs w:val="24"/>
              </w:rPr>
            </w:pPr>
            <w:r>
              <w:rPr>
                <w:rFonts w:ascii="SimSun" w:hAnsi="SimSun" w:eastAsia="SimSun" w:cs="SimSun"/>
                <w:sz w:val="24"/>
                <w:szCs w:val="24"/>
                <w:spacing w:val="-7"/>
              </w:rPr>
              <w:t>内排土场顶部撒播草籽</w:t>
            </w:r>
          </w:p>
        </w:tc>
        <w:tc>
          <w:tcPr>
            <w:tcW w:w="4197" w:type="dxa"/>
            <w:vAlign w:val="top"/>
          </w:tcPr>
          <w:p>
            <w:pPr>
              <w:ind w:left="1632"/>
              <w:spacing w:before="37" w:line="208" w:lineRule="auto"/>
              <w:rPr>
                <w:rFonts w:ascii="SimSun" w:hAnsi="SimSun" w:eastAsia="SimSun" w:cs="SimSun"/>
                <w:sz w:val="24"/>
                <w:szCs w:val="24"/>
              </w:rPr>
            </w:pPr>
            <w:r>
              <w:rPr>
                <w:rFonts w:ascii="SimSun" w:hAnsi="SimSun" w:eastAsia="SimSun" w:cs="SimSun"/>
                <w:sz w:val="24"/>
                <w:szCs w:val="24"/>
                <w:spacing w:val="-5"/>
              </w:rPr>
              <w:t>灌溉设施</w:t>
            </w:r>
          </w:p>
        </w:tc>
      </w:tr>
    </w:tbl>
    <w:p>
      <w:pPr>
        <w:pStyle w:val="BodyText"/>
        <w:rPr/>
      </w:pPr>
      <w:r/>
    </w:p>
    <w:p>
      <w:pPr>
        <w:sectPr>
          <w:headerReference w:type="default" r:id="rId116"/>
          <w:footerReference w:type="default" r:id="rId136"/>
          <w:pgSz w:w="11906" w:h="16838"/>
          <w:pgMar w:top="1170" w:right="1417" w:bottom="1075" w:left="1416" w:header="837" w:footer="915" w:gutter="0"/>
        </w:sectPr>
        <w:rPr/>
      </w:pPr>
    </w:p>
    <w:p>
      <w:pPr>
        <w:spacing w:before="6"/>
        <w:rPr/>
      </w:pPr>
      <w:r/>
    </w:p>
    <w:tbl>
      <w:tblPr>
        <w:tblStyle w:val="TableNormal"/>
        <w:tblW w:w="8649" w:type="dxa"/>
        <w:tblInd w:w="21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452"/>
        <w:gridCol w:w="4197"/>
      </w:tblGrid>
      <w:tr>
        <w:trPr>
          <w:trHeight w:val="3348" w:hRule="atLeast"/>
        </w:trPr>
        <w:tc>
          <w:tcPr>
            <w:tcW w:w="4452" w:type="dxa"/>
            <w:vAlign w:val="top"/>
          </w:tcPr>
          <w:p>
            <w:pPr>
              <w:ind w:firstLine="4"/>
              <w:spacing w:before="4" w:line="3329" w:lineRule="exact"/>
              <w:rPr/>
            </w:pPr>
            <w:r>
              <w:rPr>
                <w:position w:val="-66"/>
              </w:rPr>
              <w:drawing>
                <wp:inline distT="0" distB="0" distL="0" distR="0">
                  <wp:extent cx="2817876" cy="2113788"/>
                  <wp:effectExtent l="0" t="0" r="0" b="0"/>
                  <wp:docPr id="112" name="IM 112"/>
                  <wp:cNvGraphicFramePr/>
                  <a:graphic>
                    <a:graphicData uri="http://schemas.openxmlformats.org/drawingml/2006/picture">
                      <pic:pic>
                        <pic:nvPicPr>
                          <pic:cNvPr id="112" name="IM 112"/>
                          <pic:cNvPicPr/>
                        </pic:nvPicPr>
                        <pic:blipFill>
                          <a:blip r:embed="rId141"/>
                          <a:stretch>
                            <a:fillRect/>
                          </a:stretch>
                        </pic:blipFill>
                        <pic:spPr>
                          <a:xfrm rot="0">
                            <a:off x="0" y="0"/>
                            <a:ext cx="2817876" cy="2113788"/>
                          </a:xfrm>
                          <a:prstGeom prst="rect">
                            <a:avLst/>
                          </a:prstGeom>
                        </pic:spPr>
                      </pic:pic>
                    </a:graphicData>
                  </a:graphic>
                </wp:inline>
              </w:drawing>
            </w:r>
          </w:p>
        </w:tc>
        <w:tc>
          <w:tcPr>
            <w:tcW w:w="4197" w:type="dxa"/>
            <w:vAlign w:val="top"/>
          </w:tcPr>
          <w:p>
            <w:pPr>
              <w:spacing w:before="26" w:line="3300" w:lineRule="exact"/>
              <w:rPr/>
            </w:pPr>
            <w:r>
              <w:rPr>
                <w:position w:val="-66"/>
              </w:rPr>
              <w:drawing>
                <wp:inline distT="0" distB="0" distL="0" distR="0">
                  <wp:extent cx="2661920" cy="2095500"/>
                  <wp:effectExtent l="0" t="0" r="0" b="0"/>
                  <wp:docPr id="114" name="IM 114"/>
                  <wp:cNvGraphicFramePr/>
                  <a:graphic>
                    <a:graphicData uri="http://schemas.openxmlformats.org/drawingml/2006/picture">
                      <pic:pic>
                        <pic:nvPicPr>
                          <pic:cNvPr id="114" name="IM 114"/>
                          <pic:cNvPicPr/>
                        </pic:nvPicPr>
                        <pic:blipFill>
                          <a:blip r:embed="rId142"/>
                          <a:stretch>
                            <a:fillRect/>
                          </a:stretch>
                        </pic:blipFill>
                        <pic:spPr>
                          <a:xfrm rot="0">
                            <a:off x="0" y="0"/>
                            <a:ext cx="2661920" cy="2095500"/>
                          </a:xfrm>
                          <a:prstGeom prst="rect">
                            <a:avLst/>
                          </a:prstGeom>
                        </pic:spPr>
                      </pic:pic>
                    </a:graphicData>
                  </a:graphic>
                </wp:inline>
              </w:drawing>
            </w:r>
          </w:p>
        </w:tc>
      </w:tr>
      <w:tr>
        <w:trPr>
          <w:trHeight w:val="316" w:hRule="atLeast"/>
        </w:trPr>
        <w:tc>
          <w:tcPr>
            <w:tcW w:w="4452" w:type="dxa"/>
            <w:vAlign w:val="top"/>
          </w:tcPr>
          <w:p>
            <w:pPr>
              <w:ind w:left="1524"/>
              <w:spacing w:before="35" w:line="208" w:lineRule="auto"/>
              <w:rPr>
                <w:rFonts w:ascii="SimSun" w:hAnsi="SimSun" w:eastAsia="SimSun" w:cs="SimSun"/>
                <w:sz w:val="24"/>
                <w:szCs w:val="24"/>
              </w:rPr>
            </w:pPr>
            <w:r>
              <w:rPr>
                <w:rFonts w:ascii="SimSun" w:hAnsi="SimSun" w:eastAsia="SimSun" w:cs="SimSun"/>
                <w:sz w:val="24"/>
                <w:szCs w:val="24"/>
                <w:spacing w:val="-5"/>
              </w:rPr>
              <w:t>塌陷区预填土</w:t>
            </w:r>
          </w:p>
        </w:tc>
        <w:tc>
          <w:tcPr>
            <w:tcW w:w="4197" w:type="dxa"/>
            <w:vAlign w:val="top"/>
          </w:tcPr>
          <w:p>
            <w:pPr>
              <w:ind w:left="1517"/>
              <w:spacing w:before="35" w:line="208" w:lineRule="auto"/>
              <w:rPr>
                <w:rFonts w:ascii="SimSun" w:hAnsi="SimSun" w:eastAsia="SimSun" w:cs="SimSun"/>
                <w:sz w:val="24"/>
                <w:szCs w:val="24"/>
              </w:rPr>
            </w:pPr>
            <w:r>
              <w:rPr>
                <w:rFonts w:ascii="SimSun" w:hAnsi="SimSun" w:eastAsia="SimSun" w:cs="SimSun"/>
                <w:sz w:val="24"/>
                <w:szCs w:val="24"/>
                <w:spacing w:val="-6"/>
              </w:rPr>
              <w:t>塌陷坑回填</w:t>
            </w:r>
          </w:p>
        </w:tc>
      </w:tr>
      <w:tr>
        <w:trPr>
          <w:trHeight w:val="3343" w:hRule="atLeast"/>
        </w:trPr>
        <w:tc>
          <w:tcPr>
            <w:tcW w:w="4452" w:type="dxa"/>
            <w:vAlign w:val="top"/>
          </w:tcPr>
          <w:p>
            <w:pPr>
              <w:ind w:firstLine="4"/>
              <w:spacing w:before="2" w:line="3329" w:lineRule="exact"/>
              <w:rPr/>
            </w:pPr>
            <w:r>
              <w:rPr>
                <w:position w:val="-66"/>
              </w:rPr>
              <w:drawing>
                <wp:inline distT="0" distB="0" distL="0" distR="0">
                  <wp:extent cx="2817876" cy="2113788"/>
                  <wp:effectExtent l="0" t="0" r="0" b="0"/>
                  <wp:docPr id="116" name="IM 116"/>
                  <wp:cNvGraphicFramePr/>
                  <a:graphic>
                    <a:graphicData uri="http://schemas.openxmlformats.org/drawingml/2006/picture">
                      <pic:pic>
                        <pic:nvPicPr>
                          <pic:cNvPr id="116" name="IM 116"/>
                          <pic:cNvPicPr/>
                        </pic:nvPicPr>
                        <pic:blipFill>
                          <a:blip r:embed="rId143"/>
                          <a:stretch>
                            <a:fillRect/>
                          </a:stretch>
                        </pic:blipFill>
                        <pic:spPr>
                          <a:xfrm rot="0">
                            <a:off x="0" y="0"/>
                            <a:ext cx="2817876" cy="2113788"/>
                          </a:xfrm>
                          <a:prstGeom prst="rect">
                            <a:avLst/>
                          </a:prstGeom>
                        </pic:spPr>
                      </pic:pic>
                    </a:graphicData>
                  </a:graphic>
                </wp:inline>
              </w:drawing>
            </w:r>
          </w:p>
        </w:tc>
        <w:tc>
          <w:tcPr>
            <w:tcW w:w="4197" w:type="dxa"/>
            <w:vAlign w:val="top"/>
          </w:tcPr>
          <w:p>
            <w:pPr>
              <w:spacing w:before="2" w:line="3329" w:lineRule="exact"/>
              <w:rPr/>
            </w:pPr>
            <w:r>
              <w:rPr>
                <w:position w:val="-66"/>
              </w:rPr>
              <w:drawing>
                <wp:inline distT="0" distB="0" distL="0" distR="0">
                  <wp:extent cx="2661920" cy="2113788"/>
                  <wp:effectExtent l="0" t="0" r="0" b="0"/>
                  <wp:docPr id="118" name="IM 118"/>
                  <wp:cNvGraphicFramePr/>
                  <a:graphic>
                    <a:graphicData uri="http://schemas.openxmlformats.org/drawingml/2006/picture">
                      <pic:pic>
                        <pic:nvPicPr>
                          <pic:cNvPr id="118" name="IM 118"/>
                          <pic:cNvPicPr/>
                        </pic:nvPicPr>
                        <pic:blipFill>
                          <a:blip r:embed="rId144"/>
                          <a:stretch>
                            <a:fillRect/>
                          </a:stretch>
                        </pic:blipFill>
                        <pic:spPr>
                          <a:xfrm rot="0">
                            <a:off x="0" y="0"/>
                            <a:ext cx="2661920" cy="2113788"/>
                          </a:xfrm>
                          <a:prstGeom prst="rect">
                            <a:avLst/>
                          </a:prstGeom>
                        </pic:spPr>
                      </pic:pic>
                    </a:graphicData>
                  </a:graphic>
                </wp:inline>
              </w:drawing>
            </w:r>
          </w:p>
        </w:tc>
      </w:tr>
      <w:tr>
        <w:trPr>
          <w:trHeight w:val="321" w:hRule="atLeast"/>
        </w:trPr>
        <w:tc>
          <w:tcPr>
            <w:tcW w:w="4452" w:type="dxa"/>
            <w:vAlign w:val="top"/>
          </w:tcPr>
          <w:p>
            <w:pPr>
              <w:ind w:left="1637"/>
              <w:spacing w:before="39" w:line="209" w:lineRule="auto"/>
              <w:rPr>
                <w:rFonts w:ascii="SimSun" w:hAnsi="SimSun" w:eastAsia="SimSun" w:cs="SimSun"/>
                <w:sz w:val="24"/>
                <w:szCs w:val="24"/>
              </w:rPr>
            </w:pPr>
            <w:r>
              <w:rPr>
                <w:rFonts w:ascii="SimSun" w:hAnsi="SimSun" w:eastAsia="SimSun" w:cs="SimSun"/>
                <w:sz w:val="24"/>
                <w:szCs w:val="24"/>
                <w:spacing w:val="-4"/>
              </w:rPr>
              <w:t>塌陷区平整</w:t>
            </w:r>
          </w:p>
        </w:tc>
        <w:tc>
          <w:tcPr>
            <w:tcW w:w="4197" w:type="dxa"/>
            <w:vAlign w:val="top"/>
          </w:tcPr>
          <w:p>
            <w:pPr>
              <w:ind w:left="1284"/>
              <w:spacing w:before="39" w:line="209" w:lineRule="auto"/>
              <w:rPr>
                <w:rFonts w:ascii="SimSun" w:hAnsi="SimSun" w:eastAsia="SimSun" w:cs="SimSun"/>
                <w:sz w:val="24"/>
                <w:szCs w:val="24"/>
              </w:rPr>
            </w:pPr>
            <w:r>
              <w:rPr>
                <w:rFonts w:ascii="SimSun" w:hAnsi="SimSun" w:eastAsia="SimSun" w:cs="SimSun"/>
                <w:sz w:val="24"/>
                <w:szCs w:val="24"/>
                <w:spacing w:val="-6"/>
              </w:rPr>
              <w:t>塌陷区撒播草籽</w:t>
            </w:r>
          </w:p>
        </w:tc>
      </w:tr>
    </w:tbl>
    <w:p>
      <w:pPr>
        <w:ind w:left="495"/>
        <w:spacing w:before="14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）近期矿山土地复垦情况</w:t>
      </w:r>
    </w:p>
    <w:p>
      <w:pPr>
        <w:ind w:left="508"/>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3"/>
        </w:rPr>
        <w:t>1</w:t>
      </w:r>
      <w:r>
        <w:rPr>
          <w:rFonts w:ascii="SimSun" w:hAnsi="SimSun" w:eastAsia="SimSun" w:cs="SimSun"/>
          <w:sz w:val="24"/>
          <w:szCs w:val="24"/>
          <w:spacing w:val="-3"/>
        </w:rPr>
        <w:t>）</w:t>
      </w:r>
      <w:r>
        <w:rPr>
          <w:rFonts w:ascii="Times New Roman" w:hAnsi="Times New Roman" w:eastAsia="Times New Roman" w:cs="Times New Roman"/>
          <w:sz w:val="24"/>
          <w:szCs w:val="24"/>
          <w:spacing w:val="-3"/>
        </w:rPr>
        <w:t>2022 </w:t>
      </w:r>
      <w:r>
        <w:rPr>
          <w:rFonts w:ascii="SimSun" w:hAnsi="SimSun" w:eastAsia="SimSun" w:cs="SimSun"/>
          <w:sz w:val="24"/>
          <w:szCs w:val="24"/>
          <w:spacing w:val="-3"/>
        </w:rPr>
        <w:t>年治理情况</w:t>
      </w:r>
    </w:p>
    <w:p>
      <w:pPr>
        <w:ind w:left="8" w:right="2" w:firstLine="482"/>
        <w:spacing w:before="151" w:line="339" w:lineRule="auto"/>
        <w:rPr>
          <w:rFonts w:ascii="SimSun" w:hAnsi="SimSun" w:eastAsia="SimSun" w:cs="SimSun"/>
          <w:sz w:val="24"/>
          <w:szCs w:val="24"/>
        </w:rPr>
      </w:pPr>
      <w:r>
        <w:rPr>
          <w:rFonts w:ascii="SimSun" w:hAnsi="SimSun" w:eastAsia="SimSun" w:cs="SimSun"/>
          <w:sz w:val="24"/>
          <w:szCs w:val="24"/>
          <w:spacing w:val="-2"/>
        </w:rPr>
        <w:t>完成露天矿到界的内排土场进行复垦绿化</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32.05  </w:t>
      </w:r>
      <w:r>
        <w:rPr>
          <w:rFonts w:ascii="SimSun" w:hAnsi="SimSun" w:eastAsia="SimSun" w:cs="SimSun"/>
          <w:sz w:val="24"/>
          <w:szCs w:val="24"/>
          <w:spacing w:val="-2"/>
        </w:rPr>
        <w:t>公顷。完成对东一、东二排土场滑</w:t>
      </w:r>
      <w:r>
        <w:rPr>
          <w:rFonts w:ascii="SimSun" w:hAnsi="SimSun" w:eastAsia="SimSun" w:cs="SimSun"/>
          <w:sz w:val="24"/>
          <w:szCs w:val="24"/>
          <w:spacing w:val="-2"/>
        </w:rPr>
        <w:t>坡、冲沟等自然灾害恢复治理、维护及养护。东西联络路至二排土场道路混凝土硬化工</w:t>
      </w:r>
      <w:r>
        <w:rPr>
          <w:rFonts w:ascii="SimSun" w:hAnsi="SimSun" w:eastAsia="SimSun" w:cs="SimSun"/>
          <w:sz w:val="24"/>
          <w:szCs w:val="24"/>
          <w:spacing w:val="-3"/>
        </w:rPr>
        <w:t>程</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440  </w:t>
      </w:r>
      <w:r>
        <w:rPr>
          <w:rFonts w:ascii="SimSun" w:hAnsi="SimSun" w:eastAsia="SimSun" w:cs="SimSun"/>
          <w:sz w:val="24"/>
          <w:szCs w:val="24"/>
          <w:spacing w:val="-3"/>
        </w:rPr>
        <w:t>米。完成矿区苗木栽植补换工程，完成复垦绿化面积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32.24  </w:t>
      </w:r>
      <w:r>
        <w:rPr>
          <w:rFonts w:ascii="SimSun" w:hAnsi="SimSun" w:eastAsia="SimSun" w:cs="SimSun"/>
          <w:sz w:val="24"/>
          <w:szCs w:val="24"/>
          <w:spacing w:val="-3"/>
        </w:rPr>
        <w:t>公顷。完成露天矿新</w:t>
      </w:r>
      <w:r>
        <w:rPr>
          <w:rFonts w:ascii="SimSun" w:hAnsi="SimSun" w:eastAsia="SimSun" w:cs="SimSun"/>
          <w:sz w:val="24"/>
          <w:szCs w:val="24"/>
          <w:spacing w:val="-4"/>
        </w:rPr>
        <w:t>建中坑蓄水池工程，容积</w:t>
      </w:r>
      <w:r>
        <w:rPr>
          <w:rFonts w:ascii="Times New Roman" w:hAnsi="Times New Roman" w:eastAsia="Times New Roman" w:cs="Times New Roman"/>
          <w:sz w:val="24"/>
          <w:szCs w:val="24"/>
          <w:spacing w:val="-4"/>
        </w:rPr>
        <w:t>4.5  </w:t>
      </w:r>
      <w:r>
        <w:rPr>
          <w:rFonts w:ascii="SimSun" w:hAnsi="SimSun" w:eastAsia="SimSun" w:cs="SimSun"/>
          <w:sz w:val="24"/>
          <w:szCs w:val="24"/>
          <w:spacing w:val="-4"/>
        </w:rPr>
        <w:t>万</w:t>
      </w:r>
      <w:r>
        <w:rPr>
          <w:rFonts w:ascii="Times New Roman" w:hAnsi="Times New Roman" w:eastAsia="Times New Roman" w:cs="Times New Roman"/>
          <w:sz w:val="24"/>
          <w:szCs w:val="24"/>
          <w:spacing w:val="-4"/>
        </w:rPr>
        <w:t>m</w:t>
      </w:r>
      <w:r>
        <w:rPr>
          <w:rFonts w:ascii="SimSun" w:hAnsi="SimSun" w:eastAsia="SimSun" w:cs="SimSun"/>
          <w:sz w:val="24"/>
          <w:szCs w:val="24"/>
          <w:spacing w:val="-4"/>
        </w:rPr>
        <w:t>³。</w:t>
      </w:r>
      <w:r>
        <w:rPr>
          <w:rFonts w:ascii="Times New Roman" w:hAnsi="Times New Roman" w:eastAsia="Times New Roman" w:cs="Times New Roman"/>
          <w:sz w:val="24"/>
          <w:szCs w:val="24"/>
          <w:spacing w:val="-4"/>
        </w:rPr>
        <w:t>2022  </w:t>
      </w:r>
      <w:r>
        <w:rPr>
          <w:rFonts w:ascii="SimSun" w:hAnsi="SimSun" w:eastAsia="SimSun" w:cs="SimSun"/>
          <w:sz w:val="24"/>
          <w:szCs w:val="24"/>
          <w:spacing w:val="-4"/>
        </w:rPr>
        <w:t>年足额计提矿山地质环境治理基金</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10391.5  </w:t>
      </w:r>
      <w:r>
        <w:rPr>
          <w:rFonts w:ascii="SimSun" w:hAnsi="SimSun" w:eastAsia="SimSun" w:cs="SimSun"/>
          <w:sz w:val="24"/>
          <w:szCs w:val="24"/>
          <w:spacing w:val="-4"/>
        </w:rPr>
        <w:t>万</w:t>
      </w:r>
      <w:r>
        <w:rPr>
          <w:rFonts w:ascii="SimSun" w:hAnsi="SimSun" w:eastAsia="SimSun" w:cs="SimSun"/>
          <w:sz w:val="24"/>
          <w:szCs w:val="24"/>
          <w:spacing w:val="-5"/>
        </w:rPr>
        <w:t>元。</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w:t>
      </w:r>
      <w:r>
        <w:rPr>
          <w:rFonts w:ascii="Times New Roman" w:hAnsi="Times New Roman" w:eastAsia="Times New Roman" w:cs="Times New Roman"/>
          <w:sz w:val="24"/>
          <w:szCs w:val="24"/>
          <w:spacing w:val="-1"/>
        </w:rPr>
        <w:t>2023 </w:t>
      </w:r>
      <w:r>
        <w:rPr>
          <w:rFonts w:ascii="SimSun" w:hAnsi="SimSun" w:eastAsia="SimSun" w:cs="SimSun"/>
          <w:sz w:val="24"/>
          <w:szCs w:val="24"/>
          <w:spacing w:val="-1"/>
        </w:rPr>
        <w:t>年治理情况</w:t>
      </w:r>
    </w:p>
    <w:p>
      <w:pPr>
        <w:ind w:left="10" w:right="2" w:firstLine="479"/>
        <w:spacing w:before="153" w:line="339" w:lineRule="auto"/>
        <w:rPr>
          <w:rFonts w:ascii="SimSun" w:hAnsi="SimSun" w:eastAsia="SimSun" w:cs="SimSun"/>
          <w:sz w:val="24"/>
          <w:szCs w:val="24"/>
        </w:rPr>
      </w:pPr>
      <w:r>
        <w:rPr>
          <w:rFonts w:ascii="SimSun" w:hAnsi="SimSun" w:eastAsia="SimSun" w:cs="SimSun"/>
          <w:sz w:val="24"/>
          <w:szCs w:val="24"/>
          <w:spacing w:val="-5"/>
        </w:rPr>
        <w:t>排土场滑坡、冲沟回填治理，工程量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3.6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m</w:t>
      </w:r>
      <w:r>
        <w:rPr>
          <w:rFonts w:ascii="SimSun" w:hAnsi="SimSun" w:eastAsia="SimSun" w:cs="SimSun"/>
          <w:sz w:val="24"/>
          <w:szCs w:val="24"/>
          <w:spacing w:val="-5"/>
        </w:rPr>
        <w:t>³</w:t>
      </w:r>
      <w:r>
        <w:rPr>
          <w:rFonts w:ascii="SimSun" w:hAnsi="SimSun" w:eastAsia="SimSun" w:cs="SimSun"/>
          <w:sz w:val="24"/>
          <w:szCs w:val="24"/>
          <w:spacing w:val="-91"/>
        </w:rPr>
        <w:t xml:space="preserve"> </w:t>
      </w:r>
      <w:r>
        <w:rPr>
          <w:rFonts w:ascii="SimSun" w:hAnsi="SimSun" w:eastAsia="SimSun" w:cs="SimSun"/>
          <w:sz w:val="24"/>
          <w:szCs w:val="24"/>
          <w:spacing w:val="-5"/>
        </w:rPr>
        <w:t>,</w:t>
      </w:r>
      <w:r>
        <w:rPr>
          <w:rFonts w:ascii="SimSun" w:hAnsi="SimSun" w:eastAsia="SimSun" w:cs="SimSun"/>
          <w:sz w:val="24"/>
          <w:szCs w:val="24"/>
          <w:spacing w:val="42"/>
        </w:rPr>
        <w:t xml:space="preserve"> </w:t>
      </w:r>
      <w:r>
        <w:rPr>
          <w:rFonts w:ascii="SimSun" w:hAnsi="SimSun" w:eastAsia="SimSun" w:cs="SimSun"/>
          <w:sz w:val="24"/>
          <w:szCs w:val="24"/>
          <w:spacing w:val="-5"/>
        </w:rPr>
        <w:t>投入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5"/>
        </w:rPr>
        <w:t>40  </w:t>
      </w:r>
      <w:r>
        <w:rPr>
          <w:rFonts w:ascii="SimSun" w:hAnsi="SimSun" w:eastAsia="SimSun" w:cs="SimSun"/>
          <w:sz w:val="24"/>
          <w:szCs w:val="24"/>
          <w:spacing w:val="-5"/>
        </w:rPr>
        <w:t>万元。矿区复垦</w:t>
      </w:r>
      <w:r>
        <w:rPr>
          <w:rFonts w:ascii="SimSun" w:hAnsi="SimSun" w:eastAsia="SimSun" w:cs="SimSun"/>
          <w:sz w:val="24"/>
          <w:szCs w:val="24"/>
          <w:spacing w:val="-6"/>
        </w:rPr>
        <w:t>绿化、补</w:t>
      </w:r>
      <w:r>
        <w:rPr>
          <w:rFonts w:ascii="SimSun" w:hAnsi="SimSun" w:eastAsia="SimSun" w:cs="SimSun"/>
          <w:sz w:val="24"/>
          <w:szCs w:val="24"/>
          <w:spacing w:val="-2"/>
        </w:rPr>
        <w:t>植补种（包括生产和生活区域</w:t>
      </w:r>
      <w:r>
        <w:rPr>
          <w:rFonts w:ascii="SimSun" w:hAnsi="SimSun" w:eastAsia="SimSun" w:cs="SimSun"/>
          <w:sz w:val="24"/>
          <w:szCs w:val="24"/>
        </w:rPr>
        <w:t>），</w:t>
      </w:r>
      <w:r>
        <w:rPr>
          <w:rFonts w:ascii="SimSun" w:hAnsi="SimSun" w:eastAsia="SimSun" w:cs="SimSun"/>
          <w:sz w:val="24"/>
          <w:szCs w:val="24"/>
          <w:spacing w:val="-2"/>
        </w:rPr>
        <w:t>治理面积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90  </w:t>
      </w:r>
      <w:r>
        <w:rPr>
          <w:rFonts w:ascii="SimSun" w:hAnsi="SimSun" w:eastAsia="SimSun" w:cs="SimSun"/>
          <w:sz w:val="24"/>
          <w:szCs w:val="24"/>
          <w:spacing w:val="-2"/>
        </w:rPr>
        <w:t>公顷，投入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350  </w:t>
      </w:r>
      <w:r>
        <w:rPr>
          <w:rFonts w:ascii="SimSun" w:hAnsi="SimSun" w:eastAsia="SimSun" w:cs="SimSun"/>
          <w:sz w:val="24"/>
          <w:szCs w:val="24"/>
          <w:spacing w:val="-2"/>
        </w:rPr>
        <w:t>万元。绿化区域灌溉系</w:t>
      </w:r>
      <w:r>
        <w:rPr>
          <w:rFonts w:ascii="SimSun" w:hAnsi="SimSun" w:eastAsia="SimSun" w:cs="SimSun"/>
          <w:sz w:val="24"/>
          <w:szCs w:val="24"/>
          <w:spacing w:val="-2"/>
        </w:rPr>
        <w:t>统增设管路及维护，投入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260  </w:t>
      </w:r>
      <w:r>
        <w:rPr>
          <w:rFonts w:ascii="SimSun" w:hAnsi="SimSun" w:eastAsia="SimSun" w:cs="SimSun"/>
          <w:sz w:val="24"/>
          <w:szCs w:val="24"/>
          <w:spacing w:val="-2"/>
        </w:rPr>
        <w:t>万元。联络路至二排道路延伸硬化</w:t>
      </w:r>
      <w:r>
        <w:rPr>
          <w:rFonts w:ascii="SimSun" w:hAnsi="SimSun" w:eastAsia="SimSun" w:cs="SimSun"/>
          <w:sz w:val="24"/>
          <w:szCs w:val="24"/>
          <w:spacing w:val="-3"/>
        </w:rPr>
        <w:t>及修补工程，投入</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120</w:t>
      </w:r>
      <w:r>
        <w:rPr>
          <w:rFonts w:ascii="SimSun" w:hAnsi="SimSun" w:eastAsia="SimSun" w:cs="SimSun"/>
          <w:sz w:val="24"/>
          <w:szCs w:val="24"/>
          <w:spacing w:val="-4"/>
        </w:rPr>
        <w:t>万元。</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年治理情况</w:t>
      </w:r>
    </w:p>
    <w:p>
      <w:pPr>
        <w:spacing w:line="219" w:lineRule="auto"/>
        <w:sectPr>
          <w:footerReference w:type="default" r:id="rId140"/>
          <w:pgSz w:w="11906" w:h="16838"/>
          <w:pgMar w:top="1170" w:right="1417" w:bottom="1078" w:left="1416" w:header="837" w:footer="915" w:gutter="0"/>
        </w:sectPr>
        <w:rPr>
          <w:rFonts w:ascii="SimSun" w:hAnsi="SimSun" w:eastAsia="SimSun" w:cs="SimSun"/>
          <w:sz w:val="24"/>
          <w:szCs w:val="24"/>
        </w:rPr>
      </w:pPr>
    </w:p>
    <w:p>
      <w:pPr>
        <w:pStyle w:val="BodyText"/>
        <w:spacing w:line="314" w:lineRule="auto"/>
        <w:rPr/>
      </w:pPr>
      <w:r/>
    </w:p>
    <w:p>
      <w:pPr>
        <w:ind w:left="9" w:right="2" w:firstLine="480"/>
        <w:spacing w:before="78" w:line="338" w:lineRule="auto"/>
        <w:jc w:val="both"/>
        <w:rPr>
          <w:rFonts w:ascii="SimSun" w:hAnsi="SimSun" w:eastAsia="SimSun" w:cs="SimSun"/>
          <w:sz w:val="24"/>
          <w:szCs w:val="24"/>
        </w:rPr>
      </w:pPr>
      <w:r>
        <w:rPr>
          <w:rFonts w:ascii="SimSun" w:hAnsi="SimSun" w:eastAsia="SimSun" w:cs="SimSun"/>
          <w:sz w:val="24"/>
          <w:szCs w:val="24"/>
          <w:spacing w:val="-2"/>
        </w:rPr>
        <w:t>排土场冲沟回填，计划回填土方</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m</w:t>
      </w:r>
      <w:r>
        <w:rPr>
          <w:rFonts w:ascii="SimSun" w:hAnsi="SimSun" w:eastAsia="SimSun" w:cs="SimSun"/>
          <w:sz w:val="24"/>
          <w:szCs w:val="24"/>
          <w:spacing w:val="-2"/>
        </w:rPr>
        <w:t>³</w:t>
      </w:r>
      <w:r>
        <w:rPr>
          <w:rFonts w:ascii="SimSun" w:hAnsi="SimSun" w:eastAsia="SimSun" w:cs="SimSun"/>
          <w:sz w:val="24"/>
          <w:szCs w:val="24"/>
          <w:spacing w:val="-91"/>
        </w:rPr>
        <w:t xml:space="preserve"> </w:t>
      </w:r>
      <w:r>
        <w:rPr>
          <w:rFonts w:ascii="SimSun" w:hAnsi="SimSun" w:eastAsia="SimSun" w:cs="SimSun"/>
          <w:sz w:val="24"/>
          <w:szCs w:val="24"/>
          <w:spacing w:val="-2"/>
        </w:rPr>
        <w:t>,</w:t>
      </w:r>
      <w:r>
        <w:rPr>
          <w:rFonts w:ascii="SimSun" w:hAnsi="SimSun" w:eastAsia="SimSun" w:cs="SimSun"/>
          <w:sz w:val="24"/>
          <w:szCs w:val="24"/>
          <w:spacing w:val="68"/>
        </w:rPr>
        <w:t xml:space="preserve"> </w:t>
      </w:r>
      <w:r>
        <w:rPr>
          <w:rFonts w:ascii="SimSun" w:hAnsi="SimSun" w:eastAsia="SimSun" w:cs="SimSun"/>
          <w:sz w:val="24"/>
          <w:szCs w:val="24"/>
          <w:spacing w:val="-2"/>
        </w:rPr>
        <w:t>投入</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33  </w:t>
      </w:r>
      <w:r>
        <w:rPr>
          <w:rFonts w:ascii="SimSun" w:hAnsi="SimSun" w:eastAsia="SimSun" w:cs="SimSun"/>
          <w:sz w:val="24"/>
          <w:szCs w:val="24"/>
          <w:spacing w:val="-2"/>
        </w:rPr>
        <w:t>万元。矿区复垦绿化、补植补</w:t>
      </w:r>
      <w:r>
        <w:rPr>
          <w:rFonts w:ascii="SimSun" w:hAnsi="SimSun" w:eastAsia="SimSun" w:cs="SimSun"/>
          <w:sz w:val="24"/>
          <w:szCs w:val="24"/>
          <w:spacing w:val="-2"/>
        </w:rPr>
        <w:t>种，对露天矿到界内排土场及井工矿沉陷区土方平整并覆盖草皮土并种草绿化，同时对</w:t>
      </w:r>
      <w:r>
        <w:rPr>
          <w:rFonts w:ascii="SimSun" w:hAnsi="SimSun" w:eastAsia="SimSun" w:cs="SimSun"/>
          <w:sz w:val="24"/>
          <w:szCs w:val="24"/>
          <w:spacing w:val="-4"/>
        </w:rPr>
        <w:t>外排土场进行补种草籽，计划治理面积</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75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SimSun" w:hAnsi="SimSun" w:eastAsia="SimSun" w:cs="SimSun"/>
          <w:sz w:val="24"/>
          <w:szCs w:val="24"/>
          <w:spacing w:val="-4"/>
        </w:rPr>
        <w:t>²</w:t>
      </w:r>
      <w:r>
        <w:rPr>
          <w:rFonts w:ascii="SimSun" w:hAnsi="SimSun" w:eastAsia="SimSun" w:cs="SimSun"/>
          <w:sz w:val="24"/>
          <w:szCs w:val="24"/>
          <w:spacing w:val="-91"/>
        </w:rPr>
        <w:t xml:space="preserve"> </w:t>
      </w:r>
      <w:r>
        <w:rPr>
          <w:rFonts w:ascii="SimSun" w:hAnsi="SimSun" w:eastAsia="SimSun" w:cs="SimSun"/>
          <w:sz w:val="24"/>
          <w:szCs w:val="24"/>
          <w:spacing w:val="-4"/>
        </w:rPr>
        <w:t>,</w:t>
      </w:r>
      <w:r>
        <w:rPr>
          <w:rFonts w:ascii="SimSun" w:hAnsi="SimSun" w:eastAsia="SimSun" w:cs="SimSun"/>
          <w:sz w:val="24"/>
          <w:szCs w:val="24"/>
          <w:spacing w:val="65"/>
        </w:rPr>
        <w:t xml:space="preserve"> </w:t>
      </w:r>
      <w:r>
        <w:rPr>
          <w:rFonts w:ascii="SimSun" w:hAnsi="SimSun" w:eastAsia="SimSun" w:cs="SimSun"/>
          <w:sz w:val="24"/>
          <w:szCs w:val="24"/>
          <w:spacing w:val="-4"/>
        </w:rPr>
        <w:t>投入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70  </w:t>
      </w:r>
      <w:r>
        <w:rPr>
          <w:rFonts w:ascii="SimSun" w:hAnsi="SimSun" w:eastAsia="SimSun" w:cs="SimSun"/>
          <w:sz w:val="24"/>
          <w:szCs w:val="24"/>
          <w:spacing w:val="-4"/>
        </w:rPr>
        <w:t>万元。</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年治理情况</w:t>
      </w:r>
    </w:p>
    <w:p>
      <w:pPr>
        <w:ind w:left="7" w:right="2" w:firstLine="487"/>
        <w:spacing w:before="158" w:line="338" w:lineRule="auto"/>
        <w:rPr>
          <w:rFonts w:ascii="SimSun" w:hAnsi="SimSun" w:eastAsia="SimSun" w:cs="SimSun"/>
          <w:sz w:val="24"/>
          <w:szCs w:val="24"/>
        </w:rPr>
      </w:pPr>
      <w:r>
        <w:rPr>
          <w:rFonts w:ascii="SimSun" w:hAnsi="SimSun" w:eastAsia="SimSun" w:cs="SimSun"/>
          <w:sz w:val="24"/>
          <w:szCs w:val="24"/>
          <w:spacing w:val="-1"/>
        </w:rPr>
        <w:t>露天矿到界内排土场覆土平整、种草绿化</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公顷，预计需要草籽</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210</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公斤</w:t>
      </w:r>
      <w:r>
        <w:rPr>
          <w:rFonts w:ascii="Times New Roman" w:hAnsi="Times New Roman" w:eastAsia="Times New Roman" w:cs="Times New Roman"/>
          <w:sz w:val="24"/>
          <w:szCs w:val="24"/>
          <w:spacing w:val="-2"/>
        </w:rPr>
        <w:t>/</w:t>
      </w:r>
      <w:r>
        <w:rPr>
          <w:rFonts w:ascii="SimSun" w:hAnsi="SimSun" w:eastAsia="SimSun" w:cs="SimSun"/>
          <w:sz w:val="24"/>
          <w:szCs w:val="24"/>
          <w:spacing w:val="-2"/>
        </w:rPr>
        <w:t>公顷，</w:t>
      </w:r>
      <w:r>
        <w:rPr>
          <w:rFonts w:ascii="SimSun" w:hAnsi="SimSun" w:eastAsia="SimSun" w:cs="SimSun"/>
          <w:sz w:val="24"/>
          <w:szCs w:val="24"/>
          <w:spacing w:val="-1"/>
        </w:rPr>
        <w:t>购买草籽</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8400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公斤。西帮地表覆土平整，种草绿化</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8.3</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1"/>
        </w:rPr>
        <w:t>公顷，预计需要</w:t>
      </w:r>
      <w:r>
        <w:rPr>
          <w:rFonts w:ascii="SimSun" w:hAnsi="SimSun" w:eastAsia="SimSun" w:cs="SimSun"/>
          <w:sz w:val="24"/>
          <w:szCs w:val="24"/>
          <w:spacing w:val="-2"/>
        </w:rPr>
        <w:t>草籽</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210</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2"/>
        </w:rPr>
        <w:t>公斤</w:t>
      </w:r>
      <w:r>
        <w:rPr>
          <w:rFonts w:ascii="Times New Roman" w:hAnsi="Times New Roman" w:eastAsia="Times New Roman" w:cs="Times New Roman"/>
          <w:sz w:val="24"/>
          <w:szCs w:val="24"/>
          <w:spacing w:val="-2"/>
        </w:rPr>
        <w:t>/</w:t>
      </w:r>
      <w:r>
        <w:rPr>
          <w:rFonts w:ascii="SimSun" w:hAnsi="SimSun" w:eastAsia="SimSun" w:cs="SimSun"/>
          <w:sz w:val="24"/>
          <w:szCs w:val="24"/>
          <w:spacing w:val="-4"/>
        </w:rPr>
        <w:t>公顷，购买草籽</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4"/>
        </w:rPr>
        <w:t>1743</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公斤，相关总投入</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万元。</w:t>
      </w:r>
    </w:p>
    <w:p>
      <w:pPr>
        <w:ind w:left="483"/>
        <w:spacing w:line="220" w:lineRule="auto"/>
        <w:rPr>
          <w:rFonts w:ascii="SimSun" w:hAnsi="SimSun" w:eastAsia="SimSun" w:cs="SimSun"/>
          <w:sz w:val="24"/>
          <w:szCs w:val="24"/>
        </w:rPr>
      </w:pP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、居民搬迁情况</w:t>
      </w:r>
    </w:p>
    <w:p>
      <w:pPr>
        <w:ind w:left="489"/>
        <w:spacing w:before="152" w:line="219" w:lineRule="auto"/>
        <w:rPr>
          <w:rFonts w:ascii="SimSun" w:hAnsi="SimSun" w:eastAsia="SimSun" w:cs="SimSun"/>
          <w:sz w:val="24"/>
          <w:szCs w:val="24"/>
        </w:rPr>
      </w:pPr>
      <w:r>
        <w:rPr>
          <w:rFonts w:ascii="SimSun" w:hAnsi="SimSun" w:eastAsia="SimSun" w:cs="SimSun"/>
          <w:sz w:val="24"/>
          <w:szCs w:val="24"/>
          <w:spacing w:val="-1"/>
        </w:rPr>
        <w:t>根据矿方提供的资料，矿田范围内仅有的</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户牧民已完成搬迁。</w:t>
      </w:r>
    </w:p>
    <w:p>
      <w:pPr>
        <w:ind w:left="491"/>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、彦吉嘎河改道工程</w:t>
      </w:r>
    </w:p>
    <w:p>
      <w:pPr>
        <w:ind w:left="9" w:right="2" w:firstLine="480"/>
        <w:spacing w:before="156" w:line="339" w:lineRule="auto"/>
        <w:rPr>
          <w:rFonts w:ascii="SimSun" w:hAnsi="SimSun" w:eastAsia="SimSun" w:cs="SimSun"/>
          <w:sz w:val="24"/>
          <w:szCs w:val="24"/>
        </w:rPr>
      </w:pPr>
      <w:r>
        <w:rPr>
          <w:rFonts w:ascii="SimSun" w:hAnsi="SimSun" w:eastAsia="SimSun" w:cs="SimSun"/>
          <w:sz w:val="24"/>
          <w:szCs w:val="24"/>
          <w:spacing w:val="-2"/>
        </w:rPr>
        <w:t>彦吉嘎河南北向紧贴煤矿边界，属西乌旗境内较大河流，为确保安全，白音华海州</w:t>
      </w:r>
      <w:r>
        <w:rPr>
          <w:rFonts w:ascii="SimSun" w:hAnsi="SimSun" w:eastAsia="SimSun" w:cs="SimSun"/>
          <w:sz w:val="24"/>
          <w:szCs w:val="24"/>
          <w:spacing w:val="-2"/>
        </w:rPr>
        <w:t>露天煤矿有限公司于</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2006  </w:t>
      </w:r>
      <w:r>
        <w:rPr>
          <w:rFonts w:ascii="SimSun" w:hAnsi="SimSun" w:eastAsia="SimSun" w:cs="SimSun"/>
          <w:sz w:val="24"/>
          <w:szCs w:val="24"/>
          <w:spacing w:val="-2"/>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月，报送了《彦吉嘎河改道设计简要说明》。锡林郭勒</w:t>
      </w:r>
      <w:r>
        <w:rPr>
          <w:rFonts w:ascii="SimSun" w:hAnsi="SimSun" w:eastAsia="SimSun" w:cs="SimSun"/>
          <w:sz w:val="24"/>
          <w:szCs w:val="24"/>
          <w:spacing w:val="-1"/>
        </w:rPr>
        <w:t>盟水利局以锡水发［</w:t>
      </w:r>
      <w:r>
        <w:rPr>
          <w:rFonts w:ascii="Times New Roman" w:hAnsi="Times New Roman" w:eastAsia="Times New Roman" w:cs="Times New Roman"/>
          <w:sz w:val="24"/>
          <w:szCs w:val="24"/>
          <w:spacing w:val="-1"/>
        </w:rPr>
        <w:t>2006</w:t>
      </w:r>
      <w:r>
        <w:rPr>
          <w:rFonts w:ascii="SimSun" w:hAnsi="SimSun" w:eastAsia="SimSun" w:cs="SimSun"/>
          <w:sz w:val="24"/>
          <w:szCs w:val="24"/>
          <w:spacing w:val="-1"/>
        </w:rPr>
        <w:t>］</w:t>
      </w:r>
      <w:r>
        <w:rPr>
          <w:rFonts w:ascii="Times New Roman" w:hAnsi="Times New Roman" w:eastAsia="Times New Roman" w:cs="Times New Roman"/>
          <w:sz w:val="24"/>
          <w:szCs w:val="24"/>
          <w:spacing w:val="-1"/>
        </w:rPr>
        <w:t>226  </w:t>
      </w:r>
      <w:r>
        <w:rPr>
          <w:rFonts w:ascii="SimSun" w:hAnsi="SimSun" w:eastAsia="SimSun" w:cs="SimSun"/>
          <w:sz w:val="24"/>
          <w:szCs w:val="24"/>
          <w:spacing w:val="-1"/>
        </w:rPr>
        <w:t>号文予以批复</w:t>
      </w:r>
      <w:r>
        <w:rPr>
          <w:rFonts w:ascii="SimSun" w:hAnsi="SimSun" w:eastAsia="SimSun" w:cs="SimSun"/>
          <w:sz w:val="24"/>
          <w:szCs w:val="24"/>
          <w:spacing w:val="-2"/>
        </w:rPr>
        <w:t>。根据盟水利局的批复，海州矿委托锡盟</w:t>
      </w:r>
      <w:r>
        <w:rPr>
          <w:rFonts w:ascii="SimSun" w:hAnsi="SimSun" w:eastAsia="SimSun" w:cs="SimSun"/>
          <w:sz w:val="24"/>
          <w:szCs w:val="24"/>
        </w:rPr>
        <w:t>水利勘测设计队，进行该项工程的初步设计工作，从</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2006  </w:t>
      </w:r>
      <w:r>
        <w:rPr>
          <w:rFonts w:ascii="SimSun" w:hAnsi="SimSun" w:eastAsia="SimSun" w:cs="SimSun"/>
          <w:sz w:val="24"/>
          <w:szCs w:val="2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10  </w:t>
      </w:r>
      <w:r>
        <w:rPr>
          <w:rFonts w:ascii="SimSun" w:hAnsi="SimSun" w:eastAsia="SimSun" w:cs="SimSun"/>
          <w:sz w:val="24"/>
          <w:szCs w:val="24"/>
        </w:rPr>
        <w:t>月开始对煤矿内的彦</w:t>
      </w:r>
      <w:r>
        <w:rPr>
          <w:rFonts w:ascii="SimSun" w:hAnsi="SimSun" w:eastAsia="SimSun" w:cs="SimSun"/>
          <w:sz w:val="24"/>
          <w:szCs w:val="24"/>
          <w:spacing w:val="-5"/>
        </w:rPr>
        <w:t>吉嘎河河道全面改道并于</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5"/>
        </w:rPr>
        <w:t>2007  </w:t>
      </w:r>
      <w:r>
        <w:rPr>
          <w:rFonts w:ascii="SimSun" w:hAnsi="SimSun" w:eastAsia="SimSun" w:cs="SimSun"/>
          <w:sz w:val="24"/>
          <w:szCs w:val="24"/>
          <w:spacing w:val="-5"/>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   </w:t>
      </w:r>
      <w:r>
        <w:rPr>
          <w:rFonts w:ascii="SimSun" w:hAnsi="SimSun" w:eastAsia="SimSun" w:cs="SimSun"/>
          <w:sz w:val="24"/>
          <w:szCs w:val="24"/>
          <w:spacing w:val="-5"/>
        </w:rPr>
        <w:t>日对该工程进行了验收，在煤矿东部开挖建</w:t>
      </w:r>
      <w:r>
        <w:rPr>
          <w:rFonts w:ascii="SimSun" w:hAnsi="SimSun" w:eastAsia="SimSun" w:cs="SimSun"/>
          <w:sz w:val="24"/>
          <w:szCs w:val="24"/>
          <w:spacing w:val="-1"/>
        </w:rPr>
        <w:t>设新河道，使原在煤矿内通过的河道改流绕过煤矿界外通过。</w:t>
      </w:r>
    </w:p>
    <w:p>
      <w:pPr>
        <w:ind w:left="3"/>
        <w:spacing w:before="2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3.3.1.2 </w:t>
      </w:r>
      <w:r>
        <w:rPr>
          <w:rFonts w:ascii="SimHei" w:hAnsi="SimHei" w:eastAsia="SimHei" w:cs="SimHei"/>
          <w:sz w:val="24"/>
          <w:szCs w:val="24"/>
          <w:b/>
          <w:bCs/>
          <w:spacing w:val="-2"/>
        </w:rPr>
        <w:t>影响回顾重点与数据源</w:t>
      </w:r>
    </w:p>
    <w:p>
      <w:pPr>
        <w:ind w:left="508"/>
        <w:spacing w:before="162" w:line="220"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、影响回顾重点</w:t>
      </w:r>
    </w:p>
    <w:p>
      <w:pPr>
        <w:ind w:left="5" w:right="2" w:firstLine="486"/>
        <w:spacing w:before="154" w:line="338" w:lineRule="auto"/>
        <w:rPr>
          <w:rFonts w:ascii="SimSun" w:hAnsi="SimSun" w:eastAsia="SimSun" w:cs="SimSun"/>
          <w:sz w:val="24"/>
          <w:szCs w:val="24"/>
        </w:rPr>
      </w:pPr>
      <w:r>
        <w:rPr>
          <w:rFonts w:ascii="SimSun" w:hAnsi="SimSun" w:eastAsia="SimSun" w:cs="SimSun"/>
          <w:sz w:val="24"/>
          <w:szCs w:val="24"/>
          <w:spacing w:val="-2"/>
        </w:rPr>
        <w:t>生态环境影响回顾的目的是分析矿区开发生态累积环境影响，为后续影响预测和整</w:t>
      </w:r>
      <w:r>
        <w:rPr>
          <w:rFonts w:ascii="SimSun" w:hAnsi="SimSun" w:eastAsia="SimSun" w:cs="SimSun"/>
          <w:sz w:val="24"/>
          <w:szCs w:val="24"/>
          <w:spacing w:val="1"/>
        </w:rPr>
        <w:t>治措施设计提供基础资料。为了进一步了解开采影响情况，本次评价对比了</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2014 </w:t>
      </w:r>
      <w:r>
        <w:rPr>
          <w:rFonts w:ascii="SimSun" w:hAnsi="SimSun" w:eastAsia="SimSun" w:cs="SimSun"/>
          <w:sz w:val="24"/>
          <w:szCs w:val="24"/>
          <w:spacing w:val="1"/>
        </w:rPr>
        <w:t>年、</w:t>
      </w:r>
      <w:r>
        <w:rPr>
          <w:rFonts w:ascii="SimSun" w:hAnsi="SimSun" w:eastAsia="SimSun" w:cs="SimSun"/>
          <w:sz w:val="24"/>
          <w:szCs w:val="24"/>
        </w:rPr>
        <w:t xml:space="preserve"> </w:t>
      </w:r>
      <w:r>
        <w:rPr>
          <w:rFonts w:ascii="Times New Roman" w:hAnsi="Times New Roman" w:eastAsia="Times New Roman" w:cs="Times New Roman"/>
          <w:sz w:val="24"/>
          <w:szCs w:val="24"/>
        </w:rPr>
        <w:t>2018 </w:t>
      </w:r>
      <w:r>
        <w:rPr>
          <w:rFonts w:ascii="SimSun" w:hAnsi="SimSun" w:eastAsia="SimSun" w:cs="SimSun"/>
          <w:sz w:val="24"/>
          <w:szCs w:val="24"/>
        </w:rPr>
        <w:t>年及</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2024 </w:t>
      </w:r>
      <w:r>
        <w:rPr>
          <w:rFonts w:ascii="SimSun" w:hAnsi="SimSun" w:eastAsia="SimSun" w:cs="SimSun"/>
          <w:sz w:val="24"/>
          <w:szCs w:val="24"/>
        </w:rPr>
        <w:t>年相关遥感数据，从而进一步分析开采对土地利用、植被覆盖、土</w:t>
      </w:r>
      <w:r>
        <w:rPr>
          <w:rFonts w:ascii="SimSun" w:hAnsi="SimSun" w:eastAsia="SimSun" w:cs="SimSun"/>
          <w:sz w:val="24"/>
          <w:szCs w:val="24"/>
          <w:spacing w:val="-1"/>
        </w:rPr>
        <w:t>壤侵</w:t>
      </w:r>
      <w:r>
        <w:rPr>
          <w:rFonts w:ascii="SimSun" w:hAnsi="SimSun" w:eastAsia="SimSun" w:cs="SimSun"/>
          <w:sz w:val="24"/>
          <w:szCs w:val="24"/>
          <w:spacing w:val="-1"/>
        </w:rPr>
        <w:t>蚀、地形地貌、野生动物的影响情况。</w:t>
      </w:r>
    </w:p>
    <w:p>
      <w:pPr>
        <w:ind w:left="485"/>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、数据源</w:t>
      </w:r>
    </w:p>
    <w:p>
      <w:pPr>
        <w:ind w:left="1" w:right="2" w:firstLine="486"/>
        <w:spacing w:before="153" w:line="339" w:lineRule="auto"/>
        <w:rPr>
          <w:rFonts w:ascii="SimSun" w:hAnsi="SimSun" w:eastAsia="SimSun" w:cs="SimSun"/>
          <w:sz w:val="24"/>
          <w:szCs w:val="24"/>
        </w:rPr>
      </w:pPr>
      <w:r>
        <w:rPr>
          <w:rFonts w:ascii="SimSun" w:hAnsi="SimSun" w:eastAsia="SimSun" w:cs="SimSun"/>
          <w:sz w:val="24"/>
          <w:szCs w:val="24"/>
          <w:spacing w:val="1"/>
        </w:rPr>
        <w:t>采用遥感（</w:t>
      </w:r>
      <w:r>
        <w:rPr>
          <w:rFonts w:ascii="Times New Roman" w:hAnsi="Times New Roman" w:eastAsia="Times New Roman" w:cs="Times New Roman"/>
          <w:sz w:val="24"/>
          <w:szCs w:val="24"/>
        </w:rPr>
        <w:t>RS</w:t>
      </w:r>
      <w:r>
        <w:rPr>
          <w:rFonts w:ascii="SimSun" w:hAnsi="SimSun" w:eastAsia="SimSun" w:cs="SimSun"/>
          <w:sz w:val="24"/>
          <w:szCs w:val="24"/>
          <w:spacing w:val="1"/>
        </w:rPr>
        <w:t>）、地理信息系统（</w:t>
      </w:r>
      <w:r>
        <w:rPr>
          <w:rFonts w:ascii="Times New Roman" w:hAnsi="Times New Roman" w:eastAsia="Times New Roman" w:cs="Times New Roman"/>
          <w:sz w:val="24"/>
          <w:szCs w:val="24"/>
        </w:rPr>
        <w:t>GIS</w:t>
      </w:r>
      <w:r>
        <w:rPr>
          <w:rFonts w:ascii="SimSun" w:hAnsi="SimSun" w:eastAsia="SimSun" w:cs="SimSun"/>
          <w:sz w:val="24"/>
          <w:szCs w:val="24"/>
          <w:spacing w:val="1"/>
        </w:rPr>
        <w:t>）和全球定</w:t>
      </w:r>
      <w:r>
        <w:rPr>
          <w:rFonts w:ascii="SimSun" w:hAnsi="SimSun" w:eastAsia="SimSun" w:cs="SimSun"/>
          <w:sz w:val="24"/>
          <w:szCs w:val="24"/>
        </w:rPr>
        <w:t>位系统（</w:t>
      </w:r>
      <w:r>
        <w:rPr>
          <w:rFonts w:ascii="Times New Roman" w:hAnsi="Times New Roman" w:eastAsia="Times New Roman" w:cs="Times New Roman"/>
          <w:sz w:val="24"/>
          <w:szCs w:val="24"/>
        </w:rPr>
        <w:t>GPS</w:t>
      </w:r>
      <w:r>
        <w:rPr>
          <w:rFonts w:ascii="SimSun" w:hAnsi="SimSun" w:eastAsia="SimSun" w:cs="SimSun"/>
          <w:sz w:val="24"/>
          <w:szCs w:val="24"/>
        </w:rPr>
        <w:t>）等高新技术结合</w:t>
      </w:r>
      <w:r>
        <w:rPr>
          <w:rFonts w:ascii="SimSun" w:hAnsi="SimSun" w:eastAsia="SimSun" w:cs="SimSun"/>
          <w:sz w:val="24"/>
          <w:szCs w:val="24"/>
          <w:spacing w:val="-1"/>
        </w:rPr>
        <w:t>的方法进行环境影响评价区生态环境信息的获取。以</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2014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2018 </w:t>
      </w:r>
      <w:r>
        <w:rPr>
          <w:rFonts w:ascii="SimSun" w:hAnsi="SimSun" w:eastAsia="SimSun" w:cs="SimSun"/>
          <w:sz w:val="24"/>
          <w:szCs w:val="24"/>
          <w:spacing w:val="-2"/>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Landsat5 </w:t>
      </w:r>
      <w:r>
        <w:rPr>
          <w:rFonts w:ascii="SimSun" w:hAnsi="SimSun" w:eastAsia="SimSun" w:cs="SimSun"/>
          <w:sz w:val="24"/>
          <w:szCs w:val="24"/>
          <w:spacing w:val="-2"/>
        </w:rPr>
        <w:t>影</w:t>
      </w:r>
      <w:r>
        <w:rPr>
          <w:rFonts w:ascii="SimSun" w:hAnsi="SimSun" w:eastAsia="SimSun" w:cs="SimSun"/>
          <w:sz w:val="24"/>
          <w:szCs w:val="24"/>
          <w:spacing w:val="-1"/>
        </w:rPr>
        <w:t>像数据（分辨率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30m</w:t>
      </w:r>
      <w:r>
        <w:rPr>
          <w:rFonts w:ascii="SimSun" w:hAnsi="SimSun" w:eastAsia="SimSun" w:cs="SimSun"/>
          <w:sz w:val="24"/>
          <w:szCs w:val="24"/>
          <w:spacing w:val="-1"/>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月高分一号卫星遥感影像数据（分</w:t>
      </w:r>
      <w:r>
        <w:rPr>
          <w:rFonts w:ascii="SimSun" w:hAnsi="SimSun" w:eastAsia="SimSun" w:cs="SimSun"/>
          <w:sz w:val="24"/>
          <w:szCs w:val="24"/>
          <w:spacing w:val="-2"/>
        </w:rPr>
        <w:t>辨率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2.5m</w:t>
      </w:r>
      <w:r>
        <w:rPr>
          <w:rFonts w:ascii="SimSun" w:hAnsi="SimSun" w:eastAsia="SimSun" w:cs="SimSun"/>
          <w:sz w:val="24"/>
          <w:szCs w:val="24"/>
          <w:spacing w:val="-2"/>
        </w:rPr>
        <w:t>）为数</w:t>
      </w:r>
      <w:r>
        <w:rPr>
          <w:rFonts w:ascii="SimSun" w:hAnsi="SimSun" w:eastAsia="SimSun" w:cs="SimSun"/>
          <w:sz w:val="24"/>
          <w:szCs w:val="24"/>
          <w:spacing w:val="-1"/>
        </w:rPr>
        <w:t>据源，结合</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Bigmap</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、奥维地图等网络平台中的高分辨率影像数据，依托</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ENVI</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PCI</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rPr>
        <w:t>ArcGIS</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2"/>
        </w:rPr>
        <w:t>等作为生态环境专题因子分布现状和变化信息遥感解译提取的软件平台，同时</w:t>
      </w:r>
      <w:r>
        <w:rPr>
          <w:rFonts w:ascii="SimSun" w:hAnsi="SimSun" w:eastAsia="SimSun" w:cs="SimSun"/>
          <w:sz w:val="24"/>
          <w:szCs w:val="24"/>
          <w:spacing w:val="-1"/>
        </w:rPr>
        <w:t>结合土地利用等矢量数据，采用人机交互解译方法</w:t>
      </w:r>
      <w:r>
        <w:rPr>
          <w:rFonts w:ascii="SimSun" w:hAnsi="SimSun" w:eastAsia="SimSun" w:cs="SimSun"/>
          <w:sz w:val="24"/>
          <w:szCs w:val="24"/>
          <w:spacing w:val="-2"/>
        </w:rPr>
        <w:t>进行生态环境信息提取。进行区域生</w:t>
      </w:r>
      <w:r>
        <w:rPr>
          <w:rFonts w:ascii="SimSun" w:hAnsi="SimSun" w:eastAsia="SimSun" w:cs="SimSun"/>
          <w:sz w:val="24"/>
          <w:szCs w:val="24"/>
          <w:spacing w:val="-1"/>
        </w:rPr>
        <w:t>态环境调查并进行数据对比，调查范围与矿区生态</w:t>
      </w:r>
      <w:r>
        <w:rPr>
          <w:rFonts w:ascii="SimSun" w:hAnsi="SimSun" w:eastAsia="SimSun" w:cs="SimSun"/>
          <w:sz w:val="24"/>
          <w:szCs w:val="24"/>
          <w:spacing w:val="-2"/>
        </w:rPr>
        <w:t>环境评价范围一致。各时期影像图见</w:t>
      </w:r>
      <w:r>
        <w:rPr>
          <w:rFonts w:ascii="SimSun" w:hAnsi="SimSun" w:eastAsia="SimSun" w:cs="SimSun"/>
          <w:sz w:val="24"/>
          <w:szCs w:val="24"/>
          <w:spacing w:val="-2"/>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3-3-3</w:t>
      </w:r>
      <w:r>
        <w:rPr>
          <w:rFonts w:ascii="SimSun" w:hAnsi="SimSun" w:eastAsia="SimSun" w:cs="SimSun"/>
          <w:sz w:val="24"/>
          <w:szCs w:val="24"/>
          <w:spacing w:val="-2"/>
        </w:rPr>
        <w:t>。</w:t>
      </w:r>
    </w:p>
    <w:p>
      <w:pPr>
        <w:spacing w:line="339" w:lineRule="auto"/>
        <w:sectPr>
          <w:footerReference w:type="default" r:id="rId145"/>
          <w:pgSz w:w="11906" w:h="16838"/>
          <w:pgMar w:top="1170" w:right="1417" w:bottom="1075" w:left="1416" w:header="837" w:footer="915" w:gutter="0"/>
        </w:sectPr>
        <w:rPr>
          <w:rFonts w:ascii="SimSun" w:hAnsi="SimSun" w:eastAsia="SimSun" w:cs="SimSun"/>
          <w:sz w:val="24"/>
          <w:szCs w:val="24"/>
        </w:rPr>
      </w:pPr>
    </w:p>
    <w:p>
      <w:pPr>
        <w:pStyle w:val="BodyText"/>
        <w:spacing w:line="345" w:lineRule="auto"/>
        <w:rPr/>
      </w:pPr>
      <w:r/>
    </w:p>
    <w:p>
      <w:pPr>
        <w:ind w:left="114"/>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3.3.1.3 </w:t>
      </w:r>
      <w:r>
        <w:rPr>
          <w:rFonts w:ascii="SimHei" w:hAnsi="SimHei" w:eastAsia="SimHei" w:cs="SimHei"/>
          <w:sz w:val="24"/>
          <w:szCs w:val="24"/>
          <w:b/>
          <w:bCs/>
          <w:spacing w:val="-2"/>
        </w:rPr>
        <w:t>土地利用影响回顾</w:t>
      </w:r>
    </w:p>
    <w:p>
      <w:pPr>
        <w:ind w:left="139" w:right="115" w:firstLine="459"/>
        <w:spacing w:before="157" w:line="339" w:lineRule="auto"/>
        <w:rPr>
          <w:rFonts w:ascii="SimSun" w:hAnsi="SimSun" w:eastAsia="SimSun" w:cs="SimSun"/>
          <w:sz w:val="24"/>
          <w:szCs w:val="24"/>
        </w:rPr>
      </w:pPr>
      <w:r>
        <w:rPr>
          <w:rFonts w:ascii="SimSun" w:hAnsi="SimSun" w:eastAsia="SimSun" w:cs="SimSun"/>
          <w:sz w:val="24"/>
          <w:szCs w:val="24"/>
          <w:spacing w:val="-2"/>
        </w:rPr>
        <w:t>评价区土地利用类型以工矿仓储用地和草地为主，反映了评价区作为草原区域环境</w:t>
      </w:r>
      <w:r>
        <w:rPr>
          <w:rFonts w:ascii="SimSun" w:hAnsi="SimSun" w:eastAsia="SimSun" w:cs="SimSun"/>
          <w:sz w:val="24"/>
          <w:szCs w:val="24"/>
          <w:spacing w:val="-2"/>
        </w:rPr>
        <w:t>的特点。各土地利用类型所占比例及其变化情况</w:t>
      </w:r>
      <w:r>
        <w:rPr>
          <w:rFonts w:ascii="SimSun" w:hAnsi="SimSun" w:eastAsia="SimSun" w:cs="SimSun"/>
          <w:sz w:val="24"/>
          <w:szCs w:val="24"/>
          <w:spacing w:val="-3"/>
        </w:rPr>
        <w:t>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3-3-4</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3"/>
        </w:rPr>
        <w:t>以及表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3-3-1</w:t>
      </w:r>
      <w:r>
        <w:rPr>
          <w:rFonts w:ascii="SimSun" w:hAnsi="SimSun" w:eastAsia="SimSun" w:cs="SimSun"/>
          <w:sz w:val="24"/>
          <w:szCs w:val="24"/>
          <w:spacing w:val="-3"/>
        </w:rPr>
        <w:t>。</w:t>
      </w:r>
    </w:p>
    <w:p>
      <w:pPr>
        <w:ind w:left="119" w:right="48" w:firstLine="479"/>
        <w:spacing w:before="1" w:line="338" w:lineRule="auto"/>
        <w:jc w:val="both"/>
        <w:rPr>
          <w:rFonts w:ascii="SimSun" w:hAnsi="SimSun" w:eastAsia="SimSun" w:cs="SimSun"/>
          <w:sz w:val="24"/>
          <w:szCs w:val="24"/>
        </w:rPr>
      </w:pPr>
      <w:r>
        <w:rPr>
          <w:rFonts w:ascii="SimSun" w:hAnsi="SimSun" w:eastAsia="SimSun" w:cs="SimSun"/>
          <w:sz w:val="24"/>
          <w:szCs w:val="24"/>
        </w:rPr>
        <w:t>据调查可知，草地在评价范围内占比最大，工矿仓储用地次之。</w:t>
      </w:r>
      <w:r>
        <w:rPr>
          <w:rFonts w:ascii="Times New Roman" w:hAnsi="Times New Roman" w:eastAsia="Times New Roman" w:cs="Times New Roman"/>
          <w:sz w:val="24"/>
          <w:szCs w:val="24"/>
        </w:rPr>
        <w:t>201</w:t>
      </w:r>
      <w:r>
        <w:rPr>
          <w:rFonts w:ascii="Times New Roman" w:hAnsi="Times New Roman" w:eastAsia="Times New Roman" w:cs="Times New Roman"/>
          <w:sz w:val="24"/>
          <w:szCs w:val="24"/>
          <w:spacing w:val="-1"/>
        </w:rPr>
        <w:t>4~2018 </w:t>
      </w:r>
      <w:r>
        <w:rPr>
          <w:rFonts w:ascii="SimSun" w:hAnsi="SimSun" w:eastAsia="SimSun" w:cs="SimSun"/>
          <w:sz w:val="24"/>
          <w:szCs w:val="24"/>
          <w:spacing w:val="-1"/>
        </w:rPr>
        <w:t>年，草</w:t>
      </w:r>
      <w:r>
        <w:rPr>
          <w:rFonts w:ascii="SimSun" w:hAnsi="SimSun" w:eastAsia="SimSun" w:cs="SimSun"/>
          <w:sz w:val="24"/>
          <w:szCs w:val="24"/>
          <w:spacing w:val="1"/>
        </w:rPr>
        <w:t>地面减少了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1.48</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1"/>
          <w:position w:val="7"/>
        </w:rPr>
        <w:t>2 </w:t>
      </w:r>
      <w:r>
        <w:rPr>
          <w:rFonts w:ascii="SimSun" w:hAnsi="SimSun" w:eastAsia="SimSun" w:cs="SimSun"/>
          <w:sz w:val="24"/>
          <w:szCs w:val="24"/>
          <w:spacing w:val="1"/>
        </w:rPr>
        <w:t>，水域及水利设施用地</w:t>
      </w:r>
      <w:r>
        <w:rPr>
          <w:rFonts w:ascii="SimSun" w:hAnsi="SimSun" w:eastAsia="SimSun" w:cs="SimSun"/>
          <w:sz w:val="24"/>
          <w:szCs w:val="24"/>
        </w:rPr>
        <w:t>减少了</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0.33km</w:t>
      </w:r>
      <w:r>
        <w:rPr>
          <w:rFonts w:ascii="Times New Roman" w:hAnsi="Times New Roman" w:eastAsia="Times New Roman" w:cs="Times New Roman"/>
          <w:sz w:val="15"/>
          <w:szCs w:val="15"/>
          <w:position w:val="7"/>
        </w:rPr>
        <w:t>2 </w:t>
      </w:r>
      <w:r>
        <w:rPr>
          <w:rFonts w:ascii="SimSun" w:hAnsi="SimSun" w:eastAsia="SimSun" w:cs="SimSun"/>
          <w:sz w:val="24"/>
          <w:szCs w:val="24"/>
        </w:rPr>
        <w:t>，工矿仓储用地面积增加了</w:t>
      </w:r>
      <w:r>
        <w:rPr>
          <w:rFonts w:ascii="Times New Roman" w:hAnsi="Times New Roman" w:eastAsia="Times New Roman" w:cs="Times New Roman"/>
          <w:sz w:val="24"/>
          <w:szCs w:val="24"/>
          <w:spacing w:val="-2"/>
        </w:rPr>
        <w:t>1.45km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6"/>
        </w:rPr>
        <w:t>。</w:t>
      </w:r>
      <w:r>
        <w:rPr>
          <w:rFonts w:ascii="Times New Roman" w:hAnsi="Times New Roman" w:eastAsia="Times New Roman" w:cs="Times New Roman"/>
          <w:sz w:val="24"/>
          <w:szCs w:val="24"/>
          <w:spacing w:val="-6"/>
        </w:rPr>
        <w:t>2018-2024 </w:t>
      </w:r>
      <w:r>
        <w:rPr>
          <w:rFonts w:ascii="SimSun" w:hAnsi="SimSun" w:eastAsia="SimSun" w:cs="SimSun"/>
          <w:sz w:val="24"/>
          <w:szCs w:val="24"/>
          <w:spacing w:val="-6"/>
        </w:rPr>
        <w:t>年间，草地面积减少了</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15km</w:t>
      </w:r>
      <w:r>
        <w:rPr>
          <w:rFonts w:ascii="Times New Roman" w:hAnsi="Times New Roman" w:eastAsia="Times New Roman" w:cs="Times New Roman"/>
          <w:sz w:val="15"/>
          <w:szCs w:val="15"/>
          <w:spacing w:val="-6"/>
          <w:position w:val="7"/>
        </w:rPr>
        <w:t>2</w:t>
      </w:r>
      <w:r>
        <w:rPr>
          <w:rFonts w:ascii="SimSun" w:hAnsi="SimSun" w:eastAsia="SimSun" w:cs="SimSun"/>
          <w:sz w:val="24"/>
          <w:szCs w:val="24"/>
          <w:spacing w:val="-7"/>
        </w:rPr>
        <w:t>，工矿仓储用地面积增加了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1.86km</w:t>
      </w:r>
      <w:r>
        <w:rPr>
          <w:rFonts w:ascii="Times New Roman" w:hAnsi="Times New Roman" w:eastAsia="Times New Roman" w:cs="Times New Roman"/>
          <w:sz w:val="15"/>
          <w:szCs w:val="15"/>
          <w:spacing w:val="-7"/>
          <w:position w:val="7"/>
        </w:rPr>
        <w:t>2</w:t>
      </w:r>
      <w:r>
        <w:rPr>
          <w:rFonts w:ascii="SimSun" w:hAnsi="SimSun" w:eastAsia="SimSun" w:cs="SimSun"/>
          <w:sz w:val="24"/>
          <w:szCs w:val="24"/>
          <w:spacing w:val="-7"/>
        </w:rPr>
        <w:t>，</w:t>
      </w:r>
      <w:r>
        <w:rPr>
          <w:rFonts w:ascii="SimSun" w:hAnsi="SimSun" w:eastAsia="SimSun" w:cs="SimSun"/>
          <w:sz w:val="24"/>
          <w:szCs w:val="24"/>
          <w:spacing w:val="-2"/>
        </w:rPr>
        <w:t>水域及水利设施用地增加了</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1.42km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w:t>
      </w:r>
    </w:p>
    <w:p>
      <w:pPr>
        <w:ind w:left="117" w:right="115" w:firstLine="477"/>
        <w:spacing w:before="3" w:line="339" w:lineRule="auto"/>
        <w:jc w:val="both"/>
        <w:rPr>
          <w:rFonts w:ascii="SimSun" w:hAnsi="SimSun" w:eastAsia="SimSun" w:cs="SimSun"/>
          <w:sz w:val="24"/>
          <w:szCs w:val="24"/>
        </w:rPr>
      </w:pPr>
      <w:r>
        <w:rPr>
          <w:rFonts w:ascii="Times New Roman" w:hAnsi="Times New Roman" w:eastAsia="Times New Roman" w:cs="Times New Roman"/>
          <w:sz w:val="24"/>
          <w:szCs w:val="24"/>
          <w:spacing w:val="1"/>
        </w:rPr>
        <w:t>2014-2024 </w:t>
      </w:r>
      <w:r>
        <w:rPr>
          <w:rFonts w:ascii="SimSun" w:hAnsi="SimSun" w:eastAsia="SimSun" w:cs="SimSun"/>
          <w:sz w:val="24"/>
          <w:szCs w:val="24"/>
          <w:spacing w:val="1"/>
        </w:rPr>
        <w:t>这十年间，总体而言，评价区草地面积在不断减少，工矿仓储用</w:t>
      </w:r>
      <w:r>
        <w:rPr>
          <w:rFonts w:ascii="SimSun" w:hAnsi="SimSun" w:eastAsia="SimSun" w:cs="SimSun"/>
          <w:sz w:val="24"/>
          <w:szCs w:val="24"/>
        </w:rPr>
        <w:t>地面积</w:t>
      </w:r>
      <w:r>
        <w:rPr>
          <w:rFonts w:ascii="SimSun" w:hAnsi="SimSun" w:eastAsia="SimSun" w:cs="SimSun"/>
          <w:sz w:val="24"/>
          <w:szCs w:val="24"/>
          <w:spacing w:val="-2"/>
        </w:rPr>
        <w:t>在不断增加，水域及水利设施用地略有增加。复垦后的两个外排土场土地利用类型分类</w:t>
      </w:r>
      <w:r>
        <w:rPr>
          <w:rFonts w:ascii="SimSun" w:hAnsi="SimSun" w:eastAsia="SimSun" w:cs="SimSun"/>
          <w:sz w:val="24"/>
          <w:szCs w:val="24"/>
          <w:spacing w:val="-2"/>
        </w:rPr>
        <w:t>属于工矿仓储用地，由于外排土场已完成复垦并且植被生长良好，植被覆盖度高，因此</w:t>
      </w:r>
      <w:r>
        <w:rPr>
          <w:rFonts w:ascii="SimSun" w:hAnsi="SimSun" w:eastAsia="SimSun" w:cs="SimSun"/>
          <w:sz w:val="24"/>
          <w:szCs w:val="24"/>
          <w:spacing w:val="-3"/>
        </w:rPr>
        <w:t>实际的植被面积还要再增加</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1km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，随着后续内排土场治理的实施，草地植被面积还会</w:t>
      </w:r>
      <w:r>
        <w:rPr>
          <w:rFonts w:ascii="SimSun" w:hAnsi="SimSun" w:eastAsia="SimSun" w:cs="SimSun"/>
          <w:sz w:val="24"/>
          <w:szCs w:val="24"/>
          <w:spacing w:val="-2"/>
        </w:rPr>
        <w:t>进一步增加。</w:t>
      </w:r>
    </w:p>
    <w:p>
      <w:pPr>
        <w:ind w:left="2496"/>
        <w:spacing w:before="120" w:line="221" w:lineRule="auto"/>
        <w:rPr>
          <w:rFonts w:ascii="SimHei" w:hAnsi="SimHei" w:eastAsia="SimHei" w:cs="SimHei"/>
          <w:sz w:val="24"/>
          <w:szCs w:val="24"/>
        </w:rPr>
      </w:pPr>
      <w:r>
        <w:rPr>
          <w:rFonts w:ascii="SimHei" w:hAnsi="SimHei" w:eastAsia="SimHei" w:cs="SimHei"/>
          <w:sz w:val="24"/>
          <w:szCs w:val="24"/>
          <w:spacing w:val="-1"/>
        </w:rPr>
        <w:t>不同时期评价范围土地利用类型所占比例</w:t>
      </w:r>
    </w:p>
    <w:p>
      <w:pPr>
        <w:ind w:left="117"/>
        <w:spacing w:before="72"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18"/>
        <w:gridCol w:w="820"/>
        <w:gridCol w:w="952"/>
        <w:gridCol w:w="875"/>
        <w:gridCol w:w="991"/>
        <w:gridCol w:w="842"/>
        <w:gridCol w:w="991"/>
        <w:gridCol w:w="1199"/>
        <w:gridCol w:w="1202"/>
      </w:tblGrid>
      <w:tr>
        <w:trPr>
          <w:trHeight w:val="520" w:hRule="atLeast"/>
        </w:trPr>
        <w:tc>
          <w:tcPr>
            <w:tcW w:w="1418" w:type="dxa"/>
            <w:vAlign w:val="top"/>
            <w:vMerge w:val="restart"/>
            <w:tcBorders>
              <w:bottom w:val="nil"/>
            </w:tcBorders>
          </w:tcPr>
          <w:p>
            <w:pPr>
              <w:ind w:left="613" w:right="184" w:hanging="425"/>
              <w:spacing w:before="278" w:line="256" w:lineRule="auto"/>
              <w:rPr>
                <w:rFonts w:ascii="SimSun" w:hAnsi="SimSun" w:eastAsia="SimSun" w:cs="SimSun"/>
                <w:sz w:val="20"/>
                <w:szCs w:val="20"/>
              </w:rPr>
            </w:pPr>
            <w:r>
              <w:rPr>
                <w:rFonts w:ascii="SimSun" w:hAnsi="SimSun" w:eastAsia="SimSun" w:cs="SimSun"/>
                <w:sz w:val="20"/>
                <w:szCs w:val="20"/>
                <w:spacing w:val="8"/>
              </w:rPr>
              <w:t>土地利用类</w:t>
            </w:r>
            <w:r>
              <w:rPr>
                <w:rFonts w:ascii="SimSun" w:hAnsi="SimSun" w:eastAsia="SimSun" w:cs="SimSun"/>
                <w:sz w:val="20"/>
                <w:szCs w:val="20"/>
              </w:rPr>
              <w:t>型</w:t>
            </w:r>
          </w:p>
        </w:tc>
        <w:tc>
          <w:tcPr>
            <w:tcW w:w="1772" w:type="dxa"/>
            <w:vAlign w:val="top"/>
            <w:gridSpan w:val="2"/>
          </w:tcPr>
          <w:p>
            <w:pPr>
              <w:pStyle w:val="TableText"/>
              <w:ind w:left="542"/>
              <w:spacing w:before="153" w:line="228" w:lineRule="auto"/>
              <w:rPr>
                <w:rFonts w:ascii="SimSun" w:hAnsi="SimSun" w:eastAsia="SimSun" w:cs="SimSun"/>
              </w:rPr>
            </w:pPr>
            <w:r>
              <w:rPr>
                <w:spacing w:val="3"/>
              </w:rPr>
              <w:t>2014</w:t>
            </w:r>
            <w:r>
              <w:rPr>
                <w:spacing w:val="13"/>
                <w:w w:val="101"/>
              </w:rPr>
              <w:t xml:space="preserve"> </w:t>
            </w:r>
            <w:r>
              <w:rPr>
                <w:rFonts w:ascii="SimSun" w:hAnsi="SimSun" w:eastAsia="SimSun" w:cs="SimSun"/>
                <w:spacing w:val="3"/>
              </w:rPr>
              <w:t>年</w:t>
            </w:r>
          </w:p>
        </w:tc>
        <w:tc>
          <w:tcPr>
            <w:tcW w:w="1866" w:type="dxa"/>
            <w:vAlign w:val="top"/>
            <w:gridSpan w:val="2"/>
          </w:tcPr>
          <w:p>
            <w:pPr>
              <w:pStyle w:val="TableText"/>
              <w:ind w:left="591"/>
              <w:spacing w:before="153" w:line="228" w:lineRule="auto"/>
              <w:rPr>
                <w:rFonts w:ascii="SimSun" w:hAnsi="SimSun" w:eastAsia="SimSun" w:cs="SimSun"/>
              </w:rPr>
            </w:pPr>
            <w:r>
              <w:rPr>
                <w:spacing w:val="3"/>
              </w:rPr>
              <w:t>2018</w:t>
            </w:r>
            <w:r>
              <w:rPr>
                <w:spacing w:val="11"/>
              </w:rPr>
              <w:t xml:space="preserve"> </w:t>
            </w:r>
            <w:r>
              <w:rPr>
                <w:rFonts w:ascii="SimSun" w:hAnsi="SimSun" w:eastAsia="SimSun" w:cs="SimSun"/>
                <w:spacing w:val="3"/>
              </w:rPr>
              <w:t>年</w:t>
            </w:r>
          </w:p>
        </w:tc>
        <w:tc>
          <w:tcPr>
            <w:tcW w:w="1833" w:type="dxa"/>
            <w:vAlign w:val="top"/>
            <w:gridSpan w:val="2"/>
          </w:tcPr>
          <w:p>
            <w:pPr>
              <w:pStyle w:val="TableText"/>
              <w:ind w:left="576"/>
              <w:spacing w:before="153" w:line="228" w:lineRule="auto"/>
              <w:rPr>
                <w:rFonts w:ascii="SimSun" w:hAnsi="SimSun" w:eastAsia="SimSun" w:cs="SimSun"/>
              </w:rPr>
            </w:pPr>
            <w:r>
              <w:rPr>
                <w:spacing w:val="3"/>
              </w:rPr>
              <w:t>2024</w:t>
            </w:r>
            <w:r>
              <w:rPr>
                <w:spacing w:val="13"/>
                <w:w w:val="101"/>
              </w:rPr>
              <w:t xml:space="preserve"> </w:t>
            </w:r>
            <w:r>
              <w:rPr>
                <w:rFonts w:ascii="SimSun" w:hAnsi="SimSun" w:eastAsia="SimSun" w:cs="SimSun"/>
                <w:spacing w:val="3"/>
              </w:rPr>
              <w:t>年</w:t>
            </w:r>
          </w:p>
        </w:tc>
        <w:tc>
          <w:tcPr>
            <w:tcW w:w="1199" w:type="dxa"/>
            <w:vAlign w:val="top"/>
            <w:vMerge w:val="restart"/>
            <w:tcBorders>
              <w:bottom w:val="nil"/>
            </w:tcBorders>
          </w:tcPr>
          <w:p>
            <w:pPr>
              <w:pStyle w:val="TableText"/>
              <w:ind w:left="108"/>
              <w:spacing w:before="194" w:line="195" w:lineRule="auto"/>
              <w:rPr/>
            </w:pPr>
            <w:r>
              <w:rPr>
                <w:spacing w:val="4"/>
              </w:rPr>
              <w:t>2014~2018</w:t>
            </w:r>
          </w:p>
          <w:p>
            <w:pPr>
              <w:ind w:left="184"/>
              <w:spacing w:before="32"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67"/>
              <w:spacing w:before="27" w:line="215" w:lineRule="auto"/>
              <w:rPr/>
            </w:pPr>
            <w:r>
              <w:rPr>
                <w:spacing w:val="4"/>
              </w:rPr>
              <w:t>(</w:t>
            </w:r>
            <w:r>
              <w:rPr/>
              <w:t>km</w:t>
            </w:r>
            <w:r>
              <w:rPr>
                <w:sz w:val="13"/>
                <w:szCs w:val="13"/>
                <w:spacing w:val="4"/>
                <w:position w:val="6"/>
              </w:rPr>
              <w:t>2</w:t>
            </w:r>
            <w:r>
              <w:rPr>
                <w:spacing w:val="4"/>
              </w:rPr>
              <w:t>)</w:t>
            </w:r>
          </w:p>
        </w:tc>
        <w:tc>
          <w:tcPr>
            <w:tcW w:w="1202" w:type="dxa"/>
            <w:vAlign w:val="top"/>
            <w:vMerge w:val="restart"/>
            <w:tcBorders>
              <w:bottom w:val="nil"/>
            </w:tcBorders>
          </w:tcPr>
          <w:p>
            <w:pPr>
              <w:pStyle w:val="TableText"/>
              <w:ind w:left="109"/>
              <w:spacing w:before="194" w:line="195" w:lineRule="auto"/>
              <w:rPr/>
            </w:pPr>
            <w:r>
              <w:rPr>
                <w:spacing w:val="4"/>
              </w:rPr>
              <w:t>2018~2024</w:t>
            </w:r>
          </w:p>
          <w:p>
            <w:pPr>
              <w:ind w:left="183"/>
              <w:spacing w:before="32"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65"/>
              <w:spacing w:before="27" w:line="215" w:lineRule="auto"/>
              <w:rPr/>
            </w:pPr>
            <w:r>
              <w:rPr>
                <w:spacing w:val="4"/>
              </w:rPr>
              <w:t>(</w:t>
            </w:r>
            <w:r>
              <w:rPr/>
              <w:t>km</w:t>
            </w:r>
            <w:r>
              <w:rPr>
                <w:sz w:val="13"/>
                <w:szCs w:val="13"/>
                <w:spacing w:val="4"/>
                <w:position w:val="6"/>
              </w:rPr>
              <w:t>2</w:t>
            </w:r>
            <w:r>
              <w:rPr>
                <w:spacing w:val="4"/>
              </w:rPr>
              <w:t>)</w:t>
            </w:r>
          </w:p>
        </w:tc>
      </w:tr>
      <w:tr>
        <w:trPr>
          <w:trHeight w:val="518" w:hRule="atLeast"/>
        </w:trPr>
        <w:tc>
          <w:tcPr>
            <w:tcW w:w="1418" w:type="dxa"/>
            <w:vAlign w:val="top"/>
            <w:vMerge w:val="continue"/>
            <w:tcBorders>
              <w:top w:val="nil"/>
            </w:tcBorders>
          </w:tcPr>
          <w:p>
            <w:pPr>
              <w:rPr>
                <w:rFonts w:ascii="Arial"/>
                <w:sz w:val="21"/>
              </w:rPr>
            </w:pPr>
            <w:r/>
          </w:p>
        </w:tc>
        <w:tc>
          <w:tcPr>
            <w:tcW w:w="820" w:type="dxa"/>
            <w:vAlign w:val="top"/>
          </w:tcPr>
          <w:p>
            <w:pPr>
              <w:pStyle w:val="TableText"/>
              <w:ind w:left="174" w:right="174" w:firstLine="26"/>
              <w:spacing w:before="30" w:line="234" w:lineRule="auto"/>
              <w:rPr/>
            </w:pPr>
            <w:r>
              <w:rPr>
                <w:rFonts w:ascii="SimSun" w:hAnsi="SimSun" w:eastAsia="SimSun" w:cs="SimSun"/>
                <w:spacing w:val="4"/>
              </w:rPr>
              <w:t>面积</w:t>
            </w:r>
            <w:r>
              <w:rPr>
                <w:spacing w:val="4"/>
              </w:rPr>
              <w:t>(</w:t>
            </w:r>
            <w:r>
              <w:rPr/>
              <w:t>km</w:t>
            </w:r>
            <w:r>
              <w:rPr>
                <w:sz w:val="13"/>
                <w:szCs w:val="13"/>
                <w:spacing w:val="4"/>
                <w:position w:val="6"/>
              </w:rPr>
              <w:t>2</w:t>
            </w:r>
            <w:r>
              <w:rPr>
                <w:spacing w:val="4"/>
              </w:rPr>
              <w:t>)</w:t>
            </w:r>
          </w:p>
        </w:tc>
        <w:tc>
          <w:tcPr>
            <w:tcW w:w="952" w:type="dxa"/>
            <w:vAlign w:val="top"/>
          </w:tcPr>
          <w:p>
            <w:pPr>
              <w:ind w:left="302"/>
              <w:spacing w:before="149" w:line="229" w:lineRule="auto"/>
              <w:rPr>
                <w:rFonts w:ascii="SimSun" w:hAnsi="SimSun" w:eastAsia="SimSun" w:cs="SimSun"/>
                <w:sz w:val="20"/>
                <w:szCs w:val="20"/>
              </w:rPr>
            </w:pPr>
            <w:r>
              <w:rPr>
                <w:rFonts w:ascii="SimSun" w:hAnsi="SimSun" w:eastAsia="SimSun" w:cs="SimSun"/>
                <w:sz w:val="20"/>
                <w:szCs w:val="20"/>
                <w:spacing w:val="-13"/>
              </w:rPr>
              <w:t>占比</w:t>
            </w:r>
          </w:p>
        </w:tc>
        <w:tc>
          <w:tcPr>
            <w:tcW w:w="875" w:type="dxa"/>
            <w:vAlign w:val="top"/>
          </w:tcPr>
          <w:p>
            <w:pPr>
              <w:pStyle w:val="TableText"/>
              <w:ind w:left="204" w:right="198" w:firstLine="29"/>
              <w:spacing w:before="30" w:line="234" w:lineRule="auto"/>
              <w:rPr/>
            </w:pPr>
            <w:r>
              <w:rPr>
                <w:rFonts w:ascii="SimSun" w:hAnsi="SimSun" w:eastAsia="SimSun" w:cs="SimSun"/>
                <w:spacing w:val="4"/>
              </w:rPr>
              <w:t>面积</w:t>
            </w:r>
            <w:r>
              <w:rPr>
                <w:spacing w:val="4"/>
              </w:rPr>
              <w:t>(</w:t>
            </w:r>
            <w:r>
              <w:rPr/>
              <w:t>km</w:t>
            </w:r>
            <w:r>
              <w:rPr>
                <w:sz w:val="13"/>
                <w:szCs w:val="13"/>
                <w:spacing w:val="4"/>
                <w:position w:val="6"/>
              </w:rPr>
              <w:t>2</w:t>
            </w:r>
            <w:r>
              <w:rPr>
                <w:spacing w:val="4"/>
              </w:rPr>
              <w:t>)</w:t>
            </w:r>
          </w:p>
        </w:tc>
        <w:tc>
          <w:tcPr>
            <w:tcW w:w="991" w:type="dxa"/>
            <w:vAlign w:val="top"/>
          </w:tcPr>
          <w:p>
            <w:pPr>
              <w:ind w:left="323"/>
              <w:spacing w:before="149" w:line="229" w:lineRule="auto"/>
              <w:rPr>
                <w:rFonts w:ascii="SimSun" w:hAnsi="SimSun" w:eastAsia="SimSun" w:cs="SimSun"/>
                <w:sz w:val="20"/>
                <w:szCs w:val="20"/>
              </w:rPr>
            </w:pPr>
            <w:r>
              <w:rPr>
                <w:rFonts w:ascii="SimSun" w:hAnsi="SimSun" w:eastAsia="SimSun" w:cs="SimSun"/>
                <w:sz w:val="20"/>
                <w:szCs w:val="20"/>
                <w:spacing w:val="-13"/>
              </w:rPr>
              <w:t>占比</w:t>
            </w:r>
          </w:p>
        </w:tc>
        <w:tc>
          <w:tcPr>
            <w:tcW w:w="842" w:type="dxa"/>
            <w:vAlign w:val="top"/>
          </w:tcPr>
          <w:p>
            <w:pPr>
              <w:pStyle w:val="TableText"/>
              <w:ind w:left="191" w:right="181" w:firstLine="24"/>
              <w:spacing w:before="30" w:line="234" w:lineRule="auto"/>
              <w:rPr/>
            </w:pPr>
            <w:r>
              <w:rPr>
                <w:rFonts w:ascii="SimSun" w:hAnsi="SimSun" w:eastAsia="SimSun" w:cs="SimSun"/>
                <w:spacing w:val="4"/>
              </w:rPr>
              <w:t>面积</w:t>
            </w:r>
            <w:r>
              <w:rPr>
                <w:spacing w:val="3"/>
              </w:rPr>
              <w:t>(</w:t>
            </w:r>
            <w:r>
              <w:rPr/>
              <w:t>km</w:t>
            </w:r>
            <w:r>
              <w:rPr>
                <w:sz w:val="13"/>
                <w:szCs w:val="13"/>
                <w:spacing w:val="3"/>
                <w:position w:val="6"/>
              </w:rPr>
              <w:t>2</w:t>
            </w:r>
            <w:r>
              <w:rPr>
                <w:spacing w:val="3"/>
              </w:rPr>
              <w:t>)</w:t>
            </w:r>
          </w:p>
        </w:tc>
        <w:tc>
          <w:tcPr>
            <w:tcW w:w="991" w:type="dxa"/>
            <w:vAlign w:val="top"/>
          </w:tcPr>
          <w:p>
            <w:pPr>
              <w:ind w:left="324"/>
              <w:spacing w:before="149" w:line="229" w:lineRule="auto"/>
              <w:rPr>
                <w:rFonts w:ascii="SimSun" w:hAnsi="SimSun" w:eastAsia="SimSun" w:cs="SimSun"/>
                <w:sz w:val="20"/>
                <w:szCs w:val="20"/>
              </w:rPr>
            </w:pPr>
            <w:r>
              <w:rPr>
                <w:rFonts w:ascii="SimSun" w:hAnsi="SimSun" w:eastAsia="SimSun" w:cs="SimSun"/>
                <w:sz w:val="20"/>
                <w:szCs w:val="20"/>
                <w:spacing w:val="-12"/>
              </w:rPr>
              <w:t>占比</w:t>
            </w:r>
          </w:p>
        </w:tc>
        <w:tc>
          <w:tcPr>
            <w:tcW w:w="1199" w:type="dxa"/>
            <w:vAlign w:val="top"/>
            <w:vMerge w:val="continue"/>
            <w:tcBorders>
              <w:top w:val="nil"/>
            </w:tcBorders>
          </w:tcPr>
          <w:p>
            <w:pPr>
              <w:rPr>
                <w:rFonts w:ascii="Arial"/>
                <w:sz w:val="21"/>
              </w:rPr>
            </w:pPr>
            <w:r/>
          </w:p>
        </w:tc>
        <w:tc>
          <w:tcPr>
            <w:tcW w:w="1202" w:type="dxa"/>
            <w:vAlign w:val="top"/>
            <w:vMerge w:val="continue"/>
            <w:tcBorders>
              <w:top w:val="nil"/>
            </w:tcBorders>
          </w:tcPr>
          <w:p>
            <w:pPr>
              <w:rPr>
                <w:rFonts w:ascii="Arial"/>
                <w:sz w:val="21"/>
              </w:rPr>
            </w:pPr>
            <w:r/>
          </w:p>
        </w:tc>
      </w:tr>
      <w:tr>
        <w:trPr>
          <w:trHeight w:val="551" w:hRule="atLeast"/>
        </w:trPr>
        <w:tc>
          <w:tcPr>
            <w:tcW w:w="1418" w:type="dxa"/>
            <w:vAlign w:val="top"/>
          </w:tcPr>
          <w:p>
            <w:pPr>
              <w:ind w:left="607" w:right="184" w:hanging="417"/>
              <w:spacing w:before="29" w:line="236" w:lineRule="auto"/>
              <w:rPr>
                <w:rFonts w:ascii="SimSun" w:hAnsi="SimSun" w:eastAsia="SimSun" w:cs="SimSun"/>
                <w:sz w:val="20"/>
                <w:szCs w:val="20"/>
              </w:rPr>
            </w:pPr>
            <w:r>
              <w:rPr>
                <w:rFonts w:ascii="SimSun" w:hAnsi="SimSun" w:eastAsia="SimSun" w:cs="SimSun"/>
                <w:sz w:val="20"/>
                <w:szCs w:val="20"/>
                <w:spacing w:val="7"/>
              </w:rPr>
              <w:t>工矿仓储用</w:t>
            </w:r>
            <w:r>
              <w:rPr>
                <w:rFonts w:ascii="SimSun" w:hAnsi="SimSun" w:eastAsia="SimSun" w:cs="SimSun"/>
                <w:sz w:val="20"/>
                <w:szCs w:val="20"/>
              </w:rPr>
              <w:t>地</w:t>
            </w:r>
          </w:p>
        </w:tc>
        <w:tc>
          <w:tcPr>
            <w:tcW w:w="820" w:type="dxa"/>
            <w:vAlign w:val="top"/>
          </w:tcPr>
          <w:p>
            <w:pPr>
              <w:pStyle w:val="TableText"/>
              <w:ind w:left="190"/>
              <w:spacing w:before="202" w:line="195" w:lineRule="auto"/>
              <w:rPr/>
            </w:pPr>
            <w:r>
              <w:rPr/>
              <w:t>10.87</w:t>
            </w:r>
          </w:p>
        </w:tc>
        <w:tc>
          <w:tcPr>
            <w:tcW w:w="952" w:type="dxa"/>
            <w:vAlign w:val="top"/>
          </w:tcPr>
          <w:p>
            <w:pPr>
              <w:pStyle w:val="TableText"/>
              <w:ind w:left="151"/>
              <w:spacing w:before="202" w:line="195" w:lineRule="auto"/>
              <w:rPr/>
            </w:pPr>
            <w:r>
              <w:rPr>
                <w:spacing w:val="4"/>
              </w:rPr>
              <w:t>20.35%</w:t>
            </w:r>
          </w:p>
        </w:tc>
        <w:tc>
          <w:tcPr>
            <w:tcW w:w="875" w:type="dxa"/>
            <w:vAlign w:val="top"/>
          </w:tcPr>
          <w:p>
            <w:pPr>
              <w:pStyle w:val="TableText"/>
              <w:ind w:left="220"/>
              <w:spacing w:before="202" w:line="195" w:lineRule="auto"/>
              <w:rPr/>
            </w:pPr>
            <w:r>
              <w:rPr/>
              <w:t>12.15</w:t>
            </w:r>
          </w:p>
        </w:tc>
        <w:tc>
          <w:tcPr>
            <w:tcW w:w="991" w:type="dxa"/>
            <w:vAlign w:val="top"/>
          </w:tcPr>
          <w:p>
            <w:pPr>
              <w:pStyle w:val="TableText"/>
              <w:ind w:left="172"/>
              <w:spacing w:before="202" w:line="195" w:lineRule="auto"/>
              <w:rPr/>
            </w:pPr>
            <w:r>
              <w:rPr>
                <w:spacing w:val="4"/>
              </w:rPr>
              <w:t>22.76%</w:t>
            </w:r>
          </w:p>
        </w:tc>
        <w:tc>
          <w:tcPr>
            <w:tcW w:w="842" w:type="dxa"/>
            <w:vAlign w:val="top"/>
          </w:tcPr>
          <w:p>
            <w:pPr>
              <w:pStyle w:val="TableText"/>
              <w:ind w:left="207"/>
              <w:spacing w:before="202" w:line="195" w:lineRule="auto"/>
              <w:rPr/>
            </w:pPr>
            <w:r>
              <w:rPr>
                <w:spacing w:val="-1"/>
              </w:rPr>
              <w:t>14.01</w:t>
            </w:r>
          </w:p>
        </w:tc>
        <w:tc>
          <w:tcPr>
            <w:tcW w:w="991" w:type="dxa"/>
            <w:vAlign w:val="top"/>
          </w:tcPr>
          <w:p>
            <w:pPr>
              <w:pStyle w:val="TableText"/>
              <w:ind w:left="173"/>
              <w:spacing w:before="202" w:line="195" w:lineRule="auto"/>
              <w:rPr/>
            </w:pPr>
            <w:r>
              <w:rPr>
                <w:spacing w:val="4"/>
              </w:rPr>
              <w:t>26.23%</w:t>
            </w:r>
          </w:p>
        </w:tc>
        <w:tc>
          <w:tcPr>
            <w:tcW w:w="1199" w:type="dxa"/>
            <w:vAlign w:val="top"/>
          </w:tcPr>
          <w:p>
            <w:pPr>
              <w:pStyle w:val="TableText"/>
              <w:ind w:left="438"/>
              <w:spacing w:before="202" w:line="195" w:lineRule="auto"/>
              <w:rPr/>
            </w:pPr>
            <w:r>
              <w:rPr>
                <w:spacing w:val="-2"/>
              </w:rPr>
              <w:t>1.29</w:t>
            </w:r>
          </w:p>
        </w:tc>
        <w:tc>
          <w:tcPr>
            <w:tcW w:w="1202" w:type="dxa"/>
            <w:vAlign w:val="top"/>
          </w:tcPr>
          <w:p>
            <w:pPr>
              <w:pStyle w:val="TableText"/>
              <w:ind w:left="439"/>
              <w:spacing w:before="202" w:line="195" w:lineRule="auto"/>
              <w:rPr/>
            </w:pPr>
            <w:r>
              <w:rPr>
                <w:spacing w:val="-2"/>
              </w:rPr>
              <w:t>1.85</w:t>
            </w:r>
          </w:p>
        </w:tc>
      </w:tr>
      <w:tr>
        <w:trPr>
          <w:trHeight w:val="304" w:hRule="atLeast"/>
        </w:trPr>
        <w:tc>
          <w:tcPr>
            <w:tcW w:w="1418" w:type="dxa"/>
            <w:vAlign w:val="top"/>
          </w:tcPr>
          <w:p>
            <w:pPr>
              <w:ind w:left="504"/>
              <w:spacing w:before="42" w:line="228" w:lineRule="auto"/>
              <w:rPr>
                <w:rFonts w:ascii="SimSun" w:hAnsi="SimSun" w:eastAsia="SimSun" w:cs="SimSun"/>
                <w:sz w:val="20"/>
                <w:szCs w:val="20"/>
              </w:rPr>
            </w:pPr>
            <w:r>
              <w:rPr>
                <w:rFonts w:ascii="SimSun" w:hAnsi="SimSun" w:eastAsia="SimSun" w:cs="SimSun"/>
                <w:sz w:val="20"/>
                <w:szCs w:val="20"/>
                <w:spacing w:val="3"/>
              </w:rPr>
              <w:t>草地</w:t>
            </w:r>
          </w:p>
        </w:tc>
        <w:tc>
          <w:tcPr>
            <w:tcW w:w="820" w:type="dxa"/>
            <w:vAlign w:val="top"/>
          </w:tcPr>
          <w:p>
            <w:pPr>
              <w:pStyle w:val="TableText"/>
              <w:ind w:left="174"/>
              <w:spacing w:before="78" w:line="195" w:lineRule="auto"/>
              <w:rPr/>
            </w:pPr>
            <w:r>
              <w:rPr>
                <w:spacing w:val="3"/>
              </w:rPr>
              <w:t>38.40</w:t>
            </w:r>
          </w:p>
        </w:tc>
        <w:tc>
          <w:tcPr>
            <w:tcW w:w="952" w:type="dxa"/>
            <w:vAlign w:val="top"/>
          </w:tcPr>
          <w:p>
            <w:pPr>
              <w:pStyle w:val="TableText"/>
              <w:ind w:left="155"/>
              <w:spacing w:before="78" w:line="195" w:lineRule="auto"/>
              <w:rPr/>
            </w:pPr>
            <w:r>
              <w:rPr>
                <w:spacing w:val="4"/>
              </w:rPr>
              <w:t>71.90%</w:t>
            </w:r>
          </w:p>
        </w:tc>
        <w:tc>
          <w:tcPr>
            <w:tcW w:w="875" w:type="dxa"/>
            <w:vAlign w:val="top"/>
          </w:tcPr>
          <w:p>
            <w:pPr>
              <w:pStyle w:val="TableText"/>
              <w:ind w:left="204"/>
              <w:spacing w:before="78" w:line="195" w:lineRule="auto"/>
              <w:rPr/>
            </w:pPr>
            <w:r>
              <w:rPr>
                <w:spacing w:val="3"/>
              </w:rPr>
              <w:t>36.92</w:t>
            </w:r>
          </w:p>
        </w:tc>
        <w:tc>
          <w:tcPr>
            <w:tcW w:w="991" w:type="dxa"/>
            <w:vAlign w:val="top"/>
          </w:tcPr>
          <w:p>
            <w:pPr>
              <w:pStyle w:val="TableText"/>
              <w:ind w:left="177"/>
              <w:spacing w:before="78" w:line="195" w:lineRule="auto"/>
              <w:rPr/>
            </w:pPr>
            <w:r>
              <w:rPr>
                <w:spacing w:val="-1"/>
              </w:rPr>
              <w:t>69.</w:t>
            </w:r>
            <w:r>
              <w:rPr>
                <w:spacing w:val="-22"/>
              </w:rPr>
              <w:t xml:space="preserve"> </w:t>
            </w:r>
            <w:r>
              <w:rPr>
                <w:spacing w:val="-1"/>
              </w:rPr>
              <w:t>13%</w:t>
            </w:r>
          </w:p>
        </w:tc>
        <w:tc>
          <w:tcPr>
            <w:tcW w:w="842" w:type="dxa"/>
            <w:vAlign w:val="top"/>
          </w:tcPr>
          <w:p>
            <w:pPr>
              <w:pStyle w:val="TableText"/>
              <w:ind w:left="191"/>
              <w:spacing w:before="78" w:line="195" w:lineRule="auto"/>
              <w:rPr/>
            </w:pPr>
            <w:r>
              <w:rPr>
                <w:spacing w:val="3"/>
              </w:rPr>
              <w:t>34.77</w:t>
            </w:r>
          </w:p>
        </w:tc>
        <w:tc>
          <w:tcPr>
            <w:tcW w:w="991" w:type="dxa"/>
            <w:vAlign w:val="top"/>
          </w:tcPr>
          <w:p>
            <w:pPr>
              <w:pStyle w:val="TableText"/>
              <w:ind w:left="177"/>
              <w:spacing w:before="78" w:line="195" w:lineRule="auto"/>
              <w:rPr/>
            </w:pPr>
            <w:r>
              <w:rPr>
                <w:spacing w:val="-1"/>
              </w:rPr>
              <w:t>65.</w:t>
            </w:r>
            <w:r>
              <w:rPr>
                <w:spacing w:val="-22"/>
              </w:rPr>
              <w:t xml:space="preserve"> </w:t>
            </w:r>
            <w:r>
              <w:rPr>
                <w:spacing w:val="-1"/>
              </w:rPr>
              <w:t>11%</w:t>
            </w:r>
          </w:p>
        </w:tc>
        <w:tc>
          <w:tcPr>
            <w:tcW w:w="1199" w:type="dxa"/>
            <w:vAlign w:val="top"/>
          </w:tcPr>
          <w:p>
            <w:pPr>
              <w:pStyle w:val="TableText"/>
              <w:ind w:left="386"/>
              <w:spacing w:before="78" w:line="195" w:lineRule="auto"/>
              <w:rPr/>
            </w:pPr>
            <w:r>
              <w:rPr>
                <w:spacing w:val="3"/>
              </w:rPr>
              <w:t>-1.48</w:t>
            </w:r>
          </w:p>
        </w:tc>
        <w:tc>
          <w:tcPr>
            <w:tcW w:w="1202" w:type="dxa"/>
            <w:vAlign w:val="top"/>
          </w:tcPr>
          <w:p>
            <w:pPr>
              <w:pStyle w:val="TableText"/>
              <w:ind w:left="387"/>
              <w:spacing w:before="78" w:line="195" w:lineRule="auto"/>
              <w:rPr/>
            </w:pPr>
            <w:r>
              <w:rPr>
                <w:spacing w:val="-3"/>
              </w:rPr>
              <w:t>-2.</w:t>
            </w:r>
            <w:r>
              <w:rPr>
                <w:spacing w:val="-23"/>
              </w:rPr>
              <w:t xml:space="preserve"> </w:t>
            </w:r>
            <w:r>
              <w:rPr>
                <w:spacing w:val="-3"/>
              </w:rPr>
              <w:t>15</w:t>
            </w:r>
          </w:p>
        </w:tc>
      </w:tr>
      <w:tr>
        <w:trPr>
          <w:trHeight w:val="304" w:hRule="atLeast"/>
        </w:trPr>
        <w:tc>
          <w:tcPr>
            <w:tcW w:w="1418" w:type="dxa"/>
            <w:vAlign w:val="top"/>
          </w:tcPr>
          <w:p>
            <w:pPr>
              <w:ind w:left="291"/>
              <w:spacing w:before="42" w:line="228" w:lineRule="auto"/>
              <w:rPr>
                <w:rFonts w:ascii="SimSun" w:hAnsi="SimSun" w:eastAsia="SimSun" w:cs="SimSun"/>
                <w:sz w:val="20"/>
                <w:szCs w:val="20"/>
              </w:rPr>
            </w:pPr>
            <w:r>
              <w:rPr>
                <w:rFonts w:ascii="SimSun" w:hAnsi="SimSun" w:eastAsia="SimSun" w:cs="SimSun"/>
                <w:sz w:val="20"/>
                <w:szCs w:val="20"/>
                <w:spacing w:val="7"/>
              </w:rPr>
              <w:t>坑塘水面</w:t>
            </w:r>
          </w:p>
        </w:tc>
        <w:tc>
          <w:tcPr>
            <w:tcW w:w="820" w:type="dxa"/>
            <w:vAlign w:val="top"/>
          </w:tcPr>
          <w:p>
            <w:pPr>
              <w:pStyle w:val="TableText"/>
              <w:ind w:left="228"/>
              <w:spacing w:before="79" w:line="195" w:lineRule="auto"/>
              <w:rPr/>
            </w:pPr>
            <w:r>
              <w:rPr>
                <w:spacing w:val="2"/>
              </w:rPr>
              <w:t>0.41</w:t>
            </w:r>
          </w:p>
        </w:tc>
        <w:tc>
          <w:tcPr>
            <w:tcW w:w="952" w:type="dxa"/>
            <w:vAlign w:val="top"/>
          </w:tcPr>
          <w:p>
            <w:pPr>
              <w:pStyle w:val="TableText"/>
              <w:ind w:left="207"/>
              <w:spacing w:before="79" w:line="195" w:lineRule="auto"/>
              <w:rPr/>
            </w:pPr>
            <w:r>
              <w:rPr>
                <w:spacing w:val="4"/>
              </w:rPr>
              <w:t>0.77%</w:t>
            </w:r>
          </w:p>
        </w:tc>
        <w:tc>
          <w:tcPr>
            <w:tcW w:w="875" w:type="dxa"/>
            <w:vAlign w:val="top"/>
          </w:tcPr>
          <w:p>
            <w:pPr>
              <w:pStyle w:val="TableText"/>
              <w:ind w:left="256"/>
              <w:spacing w:before="79" w:line="195" w:lineRule="auto"/>
              <w:rPr/>
            </w:pPr>
            <w:r>
              <w:rPr>
                <w:spacing w:val="3"/>
              </w:rPr>
              <w:t>0.32</w:t>
            </w:r>
          </w:p>
        </w:tc>
        <w:tc>
          <w:tcPr>
            <w:tcW w:w="991" w:type="dxa"/>
            <w:vAlign w:val="top"/>
          </w:tcPr>
          <w:p>
            <w:pPr>
              <w:pStyle w:val="TableText"/>
              <w:ind w:left="228"/>
              <w:spacing w:before="79" w:line="195" w:lineRule="auto"/>
              <w:rPr/>
            </w:pPr>
            <w:r>
              <w:rPr>
                <w:spacing w:val="4"/>
              </w:rPr>
              <w:t>0.60%</w:t>
            </w:r>
          </w:p>
        </w:tc>
        <w:tc>
          <w:tcPr>
            <w:tcW w:w="842" w:type="dxa"/>
            <w:vAlign w:val="top"/>
          </w:tcPr>
          <w:p>
            <w:pPr>
              <w:pStyle w:val="TableText"/>
              <w:ind w:left="240"/>
              <w:spacing w:before="79" w:line="195" w:lineRule="auto"/>
              <w:rPr/>
            </w:pPr>
            <w:r>
              <w:rPr>
                <w:spacing w:val="3"/>
              </w:rPr>
              <w:t>0.80</w:t>
            </w:r>
          </w:p>
        </w:tc>
        <w:tc>
          <w:tcPr>
            <w:tcW w:w="991" w:type="dxa"/>
            <w:vAlign w:val="top"/>
          </w:tcPr>
          <w:p>
            <w:pPr>
              <w:pStyle w:val="TableText"/>
              <w:ind w:left="246"/>
              <w:spacing w:before="79" w:line="195" w:lineRule="auto"/>
              <w:rPr/>
            </w:pPr>
            <w:r>
              <w:rPr/>
              <w:t>1.49%</w:t>
            </w:r>
          </w:p>
        </w:tc>
        <w:tc>
          <w:tcPr>
            <w:tcW w:w="1199" w:type="dxa"/>
            <w:vAlign w:val="top"/>
          </w:tcPr>
          <w:p>
            <w:pPr>
              <w:pStyle w:val="TableText"/>
              <w:ind w:left="386"/>
              <w:spacing w:before="79" w:line="195" w:lineRule="auto"/>
              <w:rPr/>
            </w:pPr>
            <w:r>
              <w:rPr>
                <w:spacing w:val="3"/>
              </w:rPr>
              <w:t>-0.10</w:t>
            </w:r>
          </w:p>
        </w:tc>
        <w:tc>
          <w:tcPr>
            <w:tcW w:w="1202" w:type="dxa"/>
            <w:vAlign w:val="top"/>
          </w:tcPr>
          <w:p>
            <w:pPr>
              <w:pStyle w:val="TableText"/>
              <w:ind w:left="422"/>
              <w:spacing w:before="79" w:line="195" w:lineRule="auto"/>
              <w:rPr/>
            </w:pPr>
            <w:r>
              <w:rPr>
                <w:spacing w:val="2"/>
              </w:rPr>
              <w:t>0.48</w:t>
            </w:r>
          </w:p>
        </w:tc>
      </w:tr>
      <w:tr>
        <w:trPr>
          <w:trHeight w:val="549" w:hRule="atLeast"/>
        </w:trPr>
        <w:tc>
          <w:tcPr>
            <w:tcW w:w="1418" w:type="dxa"/>
            <w:vAlign w:val="top"/>
          </w:tcPr>
          <w:p>
            <w:pPr>
              <w:ind w:left="607" w:right="184" w:hanging="415"/>
              <w:spacing w:before="32" w:line="234" w:lineRule="auto"/>
              <w:rPr>
                <w:rFonts w:ascii="SimSun" w:hAnsi="SimSun" w:eastAsia="SimSun" w:cs="SimSun"/>
                <w:sz w:val="20"/>
                <w:szCs w:val="20"/>
              </w:rPr>
            </w:pPr>
            <w:r>
              <w:rPr>
                <w:rFonts w:ascii="SimSun" w:hAnsi="SimSun" w:eastAsia="SimSun" w:cs="SimSun"/>
                <w:sz w:val="20"/>
                <w:szCs w:val="20"/>
                <w:spacing w:val="7"/>
              </w:rPr>
              <w:t>交通运输用</w:t>
            </w:r>
            <w:r>
              <w:rPr>
                <w:rFonts w:ascii="SimSun" w:hAnsi="SimSun" w:eastAsia="SimSun" w:cs="SimSun"/>
                <w:sz w:val="20"/>
                <w:szCs w:val="20"/>
              </w:rPr>
              <w:t>地</w:t>
            </w:r>
          </w:p>
        </w:tc>
        <w:tc>
          <w:tcPr>
            <w:tcW w:w="820" w:type="dxa"/>
            <w:vAlign w:val="top"/>
          </w:tcPr>
          <w:p>
            <w:pPr>
              <w:pStyle w:val="TableText"/>
              <w:ind w:left="245"/>
              <w:spacing w:before="202" w:line="195" w:lineRule="auto"/>
              <w:rPr/>
            </w:pPr>
            <w:r>
              <w:rPr>
                <w:spacing w:val="-2"/>
              </w:rPr>
              <w:t>1.40</w:t>
            </w:r>
          </w:p>
        </w:tc>
        <w:tc>
          <w:tcPr>
            <w:tcW w:w="952" w:type="dxa"/>
            <w:vAlign w:val="top"/>
          </w:tcPr>
          <w:p>
            <w:pPr>
              <w:pStyle w:val="TableText"/>
              <w:ind w:left="204"/>
              <w:spacing w:before="202" w:line="195" w:lineRule="auto"/>
              <w:rPr/>
            </w:pPr>
            <w:r>
              <w:rPr>
                <w:spacing w:val="5"/>
              </w:rPr>
              <w:t>2.61%</w:t>
            </w:r>
          </w:p>
        </w:tc>
        <w:tc>
          <w:tcPr>
            <w:tcW w:w="875" w:type="dxa"/>
            <w:vAlign w:val="top"/>
          </w:tcPr>
          <w:p>
            <w:pPr>
              <w:pStyle w:val="TableText"/>
              <w:ind w:left="273"/>
              <w:spacing w:before="202" w:line="195" w:lineRule="auto"/>
              <w:rPr/>
            </w:pPr>
            <w:r>
              <w:rPr>
                <w:spacing w:val="-1"/>
              </w:rPr>
              <w:t>1.40</w:t>
            </w:r>
          </w:p>
        </w:tc>
        <w:tc>
          <w:tcPr>
            <w:tcW w:w="991" w:type="dxa"/>
            <w:vAlign w:val="top"/>
          </w:tcPr>
          <w:p>
            <w:pPr>
              <w:pStyle w:val="TableText"/>
              <w:ind w:left="225"/>
              <w:spacing w:before="202" w:line="195" w:lineRule="auto"/>
              <w:rPr/>
            </w:pPr>
            <w:r>
              <w:rPr>
                <w:spacing w:val="5"/>
              </w:rPr>
              <w:t>2.62%</w:t>
            </w:r>
          </w:p>
        </w:tc>
        <w:tc>
          <w:tcPr>
            <w:tcW w:w="842" w:type="dxa"/>
            <w:vAlign w:val="top"/>
          </w:tcPr>
          <w:p>
            <w:pPr>
              <w:pStyle w:val="TableText"/>
              <w:ind w:left="257"/>
              <w:spacing w:before="202" w:line="195" w:lineRule="auto"/>
              <w:rPr/>
            </w:pPr>
            <w:r>
              <w:rPr>
                <w:spacing w:val="-1"/>
              </w:rPr>
              <w:t>1.30</w:t>
            </w:r>
          </w:p>
        </w:tc>
        <w:tc>
          <w:tcPr>
            <w:tcW w:w="991" w:type="dxa"/>
            <w:vAlign w:val="top"/>
          </w:tcPr>
          <w:p>
            <w:pPr>
              <w:pStyle w:val="TableText"/>
              <w:ind w:left="226"/>
              <w:spacing w:before="202" w:line="195" w:lineRule="auto"/>
              <w:rPr/>
            </w:pPr>
            <w:r>
              <w:rPr>
                <w:spacing w:val="4"/>
              </w:rPr>
              <w:t>2.43%</w:t>
            </w:r>
          </w:p>
        </w:tc>
        <w:tc>
          <w:tcPr>
            <w:tcW w:w="1199" w:type="dxa"/>
            <w:vAlign w:val="top"/>
          </w:tcPr>
          <w:p>
            <w:pPr>
              <w:pStyle w:val="TableText"/>
              <w:ind w:left="421"/>
              <w:spacing w:before="202" w:line="195" w:lineRule="auto"/>
              <w:rPr/>
            </w:pPr>
            <w:r>
              <w:rPr>
                <w:spacing w:val="2"/>
              </w:rPr>
              <w:t>0.00</w:t>
            </w:r>
          </w:p>
        </w:tc>
        <w:tc>
          <w:tcPr>
            <w:tcW w:w="1202" w:type="dxa"/>
            <w:vAlign w:val="top"/>
          </w:tcPr>
          <w:p>
            <w:pPr>
              <w:pStyle w:val="TableText"/>
              <w:ind w:left="387"/>
              <w:spacing w:before="202" w:line="195" w:lineRule="auto"/>
              <w:rPr/>
            </w:pPr>
            <w:r>
              <w:rPr>
                <w:spacing w:val="-3"/>
              </w:rPr>
              <w:t>-0.</w:t>
            </w:r>
            <w:r>
              <w:rPr>
                <w:spacing w:val="-23"/>
              </w:rPr>
              <w:t xml:space="preserve"> </w:t>
            </w:r>
            <w:r>
              <w:rPr>
                <w:spacing w:val="-3"/>
              </w:rPr>
              <w:t>10</w:t>
            </w:r>
          </w:p>
        </w:tc>
      </w:tr>
      <w:tr>
        <w:trPr>
          <w:trHeight w:val="304" w:hRule="atLeast"/>
        </w:trPr>
        <w:tc>
          <w:tcPr>
            <w:tcW w:w="1418" w:type="dxa"/>
            <w:vAlign w:val="top"/>
          </w:tcPr>
          <w:p>
            <w:pPr>
              <w:ind w:left="291"/>
              <w:spacing w:before="44" w:line="228" w:lineRule="auto"/>
              <w:rPr>
                <w:rFonts w:ascii="SimSun" w:hAnsi="SimSun" w:eastAsia="SimSun" w:cs="SimSun"/>
                <w:sz w:val="20"/>
                <w:szCs w:val="20"/>
              </w:rPr>
            </w:pPr>
            <w:r>
              <w:rPr>
                <w:rFonts w:ascii="SimSun" w:hAnsi="SimSun" w:eastAsia="SimSun" w:cs="SimSun"/>
                <w:sz w:val="20"/>
                <w:szCs w:val="20"/>
                <w:spacing w:val="7"/>
              </w:rPr>
              <w:t>其他土地</w:t>
            </w:r>
          </w:p>
        </w:tc>
        <w:tc>
          <w:tcPr>
            <w:tcW w:w="820" w:type="dxa"/>
            <w:vAlign w:val="top"/>
          </w:tcPr>
          <w:p>
            <w:pPr>
              <w:pStyle w:val="TableText"/>
              <w:ind w:left="228"/>
              <w:spacing w:before="82" w:line="195" w:lineRule="auto"/>
              <w:rPr/>
            </w:pPr>
            <w:r>
              <w:rPr>
                <w:spacing w:val="2"/>
              </w:rPr>
              <w:t>0.48</w:t>
            </w:r>
          </w:p>
        </w:tc>
        <w:tc>
          <w:tcPr>
            <w:tcW w:w="952" w:type="dxa"/>
            <w:vAlign w:val="top"/>
          </w:tcPr>
          <w:p>
            <w:pPr>
              <w:pStyle w:val="TableText"/>
              <w:ind w:left="207"/>
              <w:spacing w:before="82" w:line="195" w:lineRule="auto"/>
              <w:rPr/>
            </w:pPr>
            <w:r>
              <w:rPr>
                <w:spacing w:val="4"/>
              </w:rPr>
              <w:t>0.90%</w:t>
            </w:r>
          </w:p>
        </w:tc>
        <w:tc>
          <w:tcPr>
            <w:tcW w:w="875" w:type="dxa"/>
            <w:vAlign w:val="top"/>
          </w:tcPr>
          <w:p>
            <w:pPr>
              <w:pStyle w:val="TableText"/>
              <w:ind w:left="256"/>
              <w:spacing w:before="82" w:line="195" w:lineRule="auto"/>
              <w:rPr/>
            </w:pPr>
            <w:r>
              <w:rPr>
                <w:spacing w:val="3"/>
              </w:rPr>
              <w:t>0.63</w:t>
            </w:r>
          </w:p>
        </w:tc>
        <w:tc>
          <w:tcPr>
            <w:tcW w:w="991" w:type="dxa"/>
            <w:vAlign w:val="top"/>
          </w:tcPr>
          <w:p>
            <w:pPr>
              <w:pStyle w:val="TableText"/>
              <w:ind w:left="245"/>
              <w:spacing w:before="82" w:line="195" w:lineRule="auto"/>
              <w:rPr/>
            </w:pPr>
            <w:r>
              <w:rPr>
                <w:spacing w:val="-4"/>
              </w:rPr>
              <w:t>1.</w:t>
            </w:r>
            <w:r>
              <w:rPr>
                <w:spacing w:val="-25"/>
              </w:rPr>
              <w:t xml:space="preserve"> </w:t>
            </w:r>
            <w:r>
              <w:rPr>
                <w:spacing w:val="-4"/>
              </w:rPr>
              <w:t>17%</w:t>
            </w:r>
          </w:p>
        </w:tc>
        <w:tc>
          <w:tcPr>
            <w:tcW w:w="842" w:type="dxa"/>
            <w:vAlign w:val="top"/>
          </w:tcPr>
          <w:p>
            <w:pPr>
              <w:pStyle w:val="TableText"/>
              <w:ind w:left="240"/>
              <w:spacing w:before="82" w:line="195" w:lineRule="auto"/>
              <w:rPr/>
            </w:pPr>
            <w:r>
              <w:rPr>
                <w:spacing w:val="3"/>
              </w:rPr>
              <w:t>0.57</w:t>
            </w:r>
          </w:p>
        </w:tc>
        <w:tc>
          <w:tcPr>
            <w:tcW w:w="991" w:type="dxa"/>
            <w:vAlign w:val="top"/>
          </w:tcPr>
          <w:p>
            <w:pPr>
              <w:pStyle w:val="TableText"/>
              <w:ind w:left="246"/>
              <w:spacing w:before="82" w:line="195" w:lineRule="auto"/>
              <w:rPr/>
            </w:pPr>
            <w:r>
              <w:rPr/>
              <w:t>1.07%</w:t>
            </w:r>
          </w:p>
        </w:tc>
        <w:tc>
          <w:tcPr>
            <w:tcW w:w="1199" w:type="dxa"/>
            <w:vAlign w:val="top"/>
          </w:tcPr>
          <w:p>
            <w:pPr>
              <w:pStyle w:val="TableText"/>
              <w:ind w:left="421"/>
              <w:spacing w:before="82" w:line="195" w:lineRule="auto"/>
              <w:rPr/>
            </w:pPr>
            <w:r>
              <w:rPr>
                <w:spacing w:val="2"/>
              </w:rPr>
              <w:t>0.15</w:t>
            </w:r>
          </w:p>
        </w:tc>
        <w:tc>
          <w:tcPr>
            <w:tcW w:w="1202" w:type="dxa"/>
            <w:vAlign w:val="top"/>
          </w:tcPr>
          <w:p>
            <w:pPr>
              <w:pStyle w:val="TableText"/>
              <w:ind w:left="387"/>
              <w:spacing w:before="82" w:line="195" w:lineRule="auto"/>
              <w:rPr/>
            </w:pPr>
            <w:r>
              <w:rPr>
                <w:spacing w:val="2"/>
              </w:rPr>
              <w:t>-0.05</w:t>
            </w:r>
          </w:p>
        </w:tc>
      </w:tr>
      <w:tr>
        <w:trPr>
          <w:trHeight w:val="304" w:hRule="atLeast"/>
        </w:trPr>
        <w:tc>
          <w:tcPr>
            <w:tcW w:w="1418" w:type="dxa"/>
            <w:vAlign w:val="top"/>
          </w:tcPr>
          <w:p>
            <w:pPr>
              <w:ind w:left="290"/>
              <w:spacing w:before="44" w:line="229" w:lineRule="auto"/>
              <w:rPr>
                <w:rFonts w:ascii="SimSun" w:hAnsi="SimSun" w:eastAsia="SimSun" w:cs="SimSun"/>
                <w:sz w:val="20"/>
                <w:szCs w:val="20"/>
              </w:rPr>
            </w:pPr>
            <w:r>
              <w:rPr>
                <w:rFonts w:ascii="SimSun" w:hAnsi="SimSun" w:eastAsia="SimSun" w:cs="SimSun"/>
                <w:sz w:val="20"/>
                <w:szCs w:val="20"/>
                <w:spacing w:val="7"/>
              </w:rPr>
              <w:t>住宅用地</w:t>
            </w:r>
          </w:p>
        </w:tc>
        <w:tc>
          <w:tcPr>
            <w:tcW w:w="820" w:type="dxa"/>
            <w:vAlign w:val="top"/>
          </w:tcPr>
          <w:p>
            <w:pPr>
              <w:pStyle w:val="TableText"/>
              <w:ind w:left="228"/>
              <w:spacing w:before="83" w:line="195" w:lineRule="auto"/>
              <w:rPr/>
            </w:pPr>
            <w:r>
              <w:rPr>
                <w:spacing w:val="2"/>
              </w:rPr>
              <w:t>0.09</w:t>
            </w:r>
          </w:p>
        </w:tc>
        <w:tc>
          <w:tcPr>
            <w:tcW w:w="952" w:type="dxa"/>
            <w:vAlign w:val="top"/>
          </w:tcPr>
          <w:p>
            <w:pPr>
              <w:pStyle w:val="TableText"/>
              <w:ind w:left="207"/>
              <w:spacing w:before="83" w:line="195" w:lineRule="auto"/>
              <w:rPr/>
            </w:pPr>
            <w:r>
              <w:rPr>
                <w:spacing w:val="-1"/>
              </w:rPr>
              <w:t>0.</w:t>
            </w:r>
            <w:r>
              <w:rPr>
                <w:spacing w:val="-25"/>
              </w:rPr>
              <w:t xml:space="preserve"> </w:t>
            </w:r>
            <w:r>
              <w:rPr>
                <w:spacing w:val="-1"/>
              </w:rPr>
              <w:t>17%</w:t>
            </w:r>
          </w:p>
        </w:tc>
        <w:tc>
          <w:tcPr>
            <w:tcW w:w="875" w:type="dxa"/>
            <w:vAlign w:val="top"/>
          </w:tcPr>
          <w:p>
            <w:pPr>
              <w:pStyle w:val="TableText"/>
              <w:ind w:left="256"/>
              <w:spacing w:before="83" w:line="195" w:lineRule="auto"/>
              <w:rPr/>
            </w:pPr>
            <w:r>
              <w:rPr>
                <w:spacing w:val="3"/>
              </w:rPr>
              <w:t>0.10</w:t>
            </w:r>
          </w:p>
        </w:tc>
        <w:tc>
          <w:tcPr>
            <w:tcW w:w="991" w:type="dxa"/>
            <w:vAlign w:val="top"/>
          </w:tcPr>
          <w:p>
            <w:pPr>
              <w:pStyle w:val="TableText"/>
              <w:ind w:left="228"/>
              <w:spacing w:before="83" w:line="195" w:lineRule="auto"/>
              <w:rPr/>
            </w:pPr>
            <w:r>
              <w:rPr>
                <w:spacing w:val="4"/>
              </w:rPr>
              <w:t>0.20%</w:t>
            </w:r>
          </w:p>
        </w:tc>
        <w:tc>
          <w:tcPr>
            <w:tcW w:w="842" w:type="dxa"/>
            <w:vAlign w:val="top"/>
          </w:tcPr>
          <w:p>
            <w:pPr>
              <w:pStyle w:val="TableText"/>
              <w:ind w:left="240"/>
              <w:spacing w:before="83" w:line="195" w:lineRule="auto"/>
              <w:rPr/>
            </w:pPr>
            <w:r>
              <w:rPr>
                <w:spacing w:val="3"/>
              </w:rPr>
              <w:t>0.08</w:t>
            </w:r>
          </w:p>
        </w:tc>
        <w:tc>
          <w:tcPr>
            <w:tcW w:w="991" w:type="dxa"/>
            <w:vAlign w:val="top"/>
          </w:tcPr>
          <w:p>
            <w:pPr>
              <w:pStyle w:val="TableText"/>
              <w:ind w:left="229"/>
              <w:spacing w:before="83" w:line="195" w:lineRule="auto"/>
              <w:rPr/>
            </w:pPr>
            <w:r>
              <w:rPr>
                <w:spacing w:val="-2"/>
              </w:rPr>
              <w:t>0.</w:t>
            </w:r>
            <w:r>
              <w:rPr>
                <w:spacing w:val="-22"/>
              </w:rPr>
              <w:t xml:space="preserve"> </w:t>
            </w:r>
            <w:r>
              <w:rPr>
                <w:spacing w:val="-2"/>
              </w:rPr>
              <w:t>15%</w:t>
            </w:r>
          </w:p>
        </w:tc>
        <w:tc>
          <w:tcPr>
            <w:tcW w:w="1199" w:type="dxa"/>
            <w:vAlign w:val="top"/>
          </w:tcPr>
          <w:p>
            <w:pPr>
              <w:pStyle w:val="TableText"/>
              <w:ind w:left="421"/>
              <w:spacing w:before="83" w:line="195" w:lineRule="auto"/>
              <w:rPr/>
            </w:pPr>
            <w:r>
              <w:rPr>
                <w:spacing w:val="2"/>
              </w:rPr>
              <w:t>0.01</w:t>
            </w:r>
          </w:p>
        </w:tc>
        <w:tc>
          <w:tcPr>
            <w:tcW w:w="1202" w:type="dxa"/>
            <w:vAlign w:val="top"/>
          </w:tcPr>
          <w:p>
            <w:pPr>
              <w:pStyle w:val="TableText"/>
              <w:ind w:left="387"/>
              <w:spacing w:before="83" w:line="195" w:lineRule="auto"/>
              <w:rPr/>
            </w:pPr>
            <w:r>
              <w:rPr>
                <w:spacing w:val="2"/>
              </w:rPr>
              <w:t>-0.03</w:t>
            </w:r>
          </w:p>
        </w:tc>
      </w:tr>
      <w:tr>
        <w:trPr>
          <w:trHeight w:val="307" w:hRule="atLeast"/>
        </w:trPr>
        <w:tc>
          <w:tcPr>
            <w:tcW w:w="1418" w:type="dxa"/>
            <w:vAlign w:val="top"/>
          </w:tcPr>
          <w:p>
            <w:pPr>
              <w:ind w:left="316"/>
              <w:spacing w:before="47" w:line="228" w:lineRule="auto"/>
              <w:rPr>
                <w:rFonts w:ascii="SimSun" w:hAnsi="SimSun" w:eastAsia="SimSun" w:cs="SimSun"/>
                <w:sz w:val="20"/>
                <w:szCs w:val="20"/>
              </w:rPr>
            </w:pPr>
            <w:r>
              <w:rPr>
                <w:rFonts w:ascii="SimSun" w:hAnsi="SimSun" w:eastAsia="SimSun" w:cs="SimSun"/>
                <w:sz w:val="20"/>
                <w:szCs w:val="20"/>
                <w:spacing w:val="1"/>
              </w:rPr>
              <w:t>内陆滩涂</w:t>
            </w:r>
          </w:p>
        </w:tc>
        <w:tc>
          <w:tcPr>
            <w:tcW w:w="820" w:type="dxa"/>
            <w:vAlign w:val="top"/>
          </w:tcPr>
          <w:p>
            <w:pPr>
              <w:pStyle w:val="TableText"/>
              <w:ind w:left="228"/>
              <w:spacing w:before="83" w:line="195" w:lineRule="auto"/>
              <w:rPr/>
            </w:pPr>
            <w:r>
              <w:rPr>
                <w:spacing w:val="2"/>
              </w:rPr>
              <w:t>0.80</w:t>
            </w:r>
          </w:p>
        </w:tc>
        <w:tc>
          <w:tcPr>
            <w:tcW w:w="952" w:type="dxa"/>
            <w:vAlign w:val="top"/>
          </w:tcPr>
          <w:p>
            <w:pPr>
              <w:pStyle w:val="TableText"/>
              <w:ind w:left="224"/>
              <w:spacing w:before="83" w:line="195" w:lineRule="auto"/>
              <w:rPr/>
            </w:pPr>
            <w:r>
              <w:rPr>
                <w:spacing w:val="1"/>
              </w:rPr>
              <w:t>1.51%</w:t>
            </w:r>
          </w:p>
        </w:tc>
        <w:tc>
          <w:tcPr>
            <w:tcW w:w="875" w:type="dxa"/>
            <w:vAlign w:val="top"/>
          </w:tcPr>
          <w:p>
            <w:pPr>
              <w:pStyle w:val="TableText"/>
              <w:ind w:left="256"/>
              <w:spacing w:before="83" w:line="195" w:lineRule="auto"/>
              <w:rPr/>
            </w:pPr>
            <w:r>
              <w:rPr>
                <w:spacing w:val="3"/>
              </w:rPr>
              <w:t>0.76</w:t>
            </w:r>
          </w:p>
        </w:tc>
        <w:tc>
          <w:tcPr>
            <w:tcW w:w="991" w:type="dxa"/>
            <w:vAlign w:val="top"/>
          </w:tcPr>
          <w:p>
            <w:pPr>
              <w:pStyle w:val="TableText"/>
              <w:ind w:left="245"/>
              <w:spacing w:before="83" w:line="195" w:lineRule="auto"/>
              <w:rPr/>
            </w:pPr>
            <w:r>
              <w:rPr>
                <w:spacing w:val="1"/>
              </w:rPr>
              <w:t>1.42%</w:t>
            </w:r>
          </w:p>
        </w:tc>
        <w:tc>
          <w:tcPr>
            <w:tcW w:w="842" w:type="dxa"/>
            <w:vAlign w:val="top"/>
          </w:tcPr>
          <w:p>
            <w:pPr>
              <w:pStyle w:val="TableText"/>
              <w:ind w:left="240"/>
              <w:spacing w:before="83" w:line="195" w:lineRule="auto"/>
              <w:rPr/>
            </w:pPr>
            <w:r>
              <w:rPr>
                <w:spacing w:val="3"/>
              </w:rPr>
              <w:t>0.79</w:t>
            </w:r>
          </w:p>
        </w:tc>
        <w:tc>
          <w:tcPr>
            <w:tcW w:w="991" w:type="dxa"/>
            <w:vAlign w:val="top"/>
          </w:tcPr>
          <w:p>
            <w:pPr>
              <w:pStyle w:val="TableText"/>
              <w:ind w:left="246"/>
              <w:spacing w:before="83" w:line="195" w:lineRule="auto"/>
              <w:rPr/>
            </w:pPr>
            <w:r>
              <w:rPr/>
              <w:t>1.49%</w:t>
            </w:r>
          </w:p>
        </w:tc>
        <w:tc>
          <w:tcPr>
            <w:tcW w:w="1199" w:type="dxa"/>
            <w:vAlign w:val="top"/>
          </w:tcPr>
          <w:p>
            <w:pPr>
              <w:pStyle w:val="TableText"/>
              <w:ind w:left="386"/>
              <w:spacing w:before="83" w:line="195" w:lineRule="auto"/>
              <w:rPr/>
            </w:pPr>
            <w:r>
              <w:rPr>
                <w:spacing w:val="3"/>
              </w:rPr>
              <w:t>-0.04</w:t>
            </w:r>
          </w:p>
        </w:tc>
        <w:tc>
          <w:tcPr>
            <w:tcW w:w="1202" w:type="dxa"/>
            <w:vAlign w:val="top"/>
          </w:tcPr>
          <w:p>
            <w:pPr>
              <w:pStyle w:val="TableText"/>
              <w:ind w:left="422"/>
              <w:spacing w:before="83" w:line="195" w:lineRule="auto"/>
              <w:rPr/>
            </w:pPr>
            <w:r>
              <w:rPr>
                <w:spacing w:val="2"/>
              </w:rPr>
              <w:t>0.03</w:t>
            </w:r>
          </w:p>
        </w:tc>
      </w:tr>
      <w:tr>
        <w:trPr>
          <w:trHeight w:val="304" w:hRule="atLeast"/>
        </w:trPr>
        <w:tc>
          <w:tcPr>
            <w:tcW w:w="1418" w:type="dxa"/>
            <w:vAlign w:val="top"/>
          </w:tcPr>
          <w:p>
            <w:pPr>
              <w:ind w:left="290"/>
              <w:spacing w:before="45" w:line="228" w:lineRule="auto"/>
              <w:rPr>
                <w:rFonts w:ascii="SimSun" w:hAnsi="SimSun" w:eastAsia="SimSun" w:cs="SimSun"/>
                <w:sz w:val="20"/>
                <w:szCs w:val="20"/>
              </w:rPr>
            </w:pPr>
            <w:r>
              <w:rPr>
                <w:rFonts w:ascii="SimSun" w:hAnsi="SimSun" w:eastAsia="SimSun" w:cs="SimSun"/>
                <w:sz w:val="20"/>
                <w:szCs w:val="20"/>
                <w:spacing w:val="7"/>
              </w:rPr>
              <w:t>河流水面</w:t>
            </w:r>
          </w:p>
        </w:tc>
        <w:tc>
          <w:tcPr>
            <w:tcW w:w="820" w:type="dxa"/>
            <w:vAlign w:val="top"/>
          </w:tcPr>
          <w:p>
            <w:pPr>
              <w:pStyle w:val="TableText"/>
              <w:ind w:left="228"/>
              <w:spacing w:before="81" w:line="195" w:lineRule="auto"/>
              <w:rPr/>
            </w:pPr>
            <w:r>
              <w:rPr>
                <w:spacing w:val="2"/>
              </w:rPr>
              <w:t>0.24</w:t>
            </w:r>
          </w:p>
        </w:tc>
        <w:tc>
          <w:tcPr>
            <w:tcW w:w="952" w:type="dxa"/>
            <w:vAlign w:val="top"/>
          </w:tcPr>
          <w:p>
            <w:pPr>
              <w:pStyle w:val="TableText"/>
              <w:ind w:left="207"/>
              <w:spacing w:before="81" w:line="195" w:lineRule="auto"/>
              <w:rPr/>
            </w:pPr>
            <w:r>
              <w:rPr>
                <w:spacing w:val="4"/>
              </w:rPr>
              <w:t>0.45%</w:t>
            </w:r>
          </w:p>
        </w:tc>
        <w:tc>
          <w:tcPr>
            <w:tcW w:w="875" w:type="dxa"/>
            <w:vAlign w:val="top"/>
          </w:tcPr>
          <w:p>
            <w:pPr>
              <w:pStyle w:val="TableText"/>
              <w:ind w:left="256"/>
              <w:spacing w:before="81" w:line="195" w:lineRule="auto"/>
              <w:rPr/>
            </w:pPr>
            <w:r>
              <w:rPr>
                <w:spacing w:val="3"/>
              </w:rPr>
              <w:t>0.23</w:t>
            </w:r>
          </w:p>
        </w:tc>
        <w:tc>
          <w:tcPr>
            <w:tcW w:w="991" w:type="dxa"/>
            <w:vAlign w:val="top"/>
          </w:tcPr>
          <w:p>
            <w:pPr>
              <w:pStyle w:val="TableText"/>
              <w:ind w:left="228"/>
              <w:spacing w:before="81" w:line="195" w:lineRule="auto"/>
              <w:rPr/>
            </w:pPr>
            <w:r>
              <w:rPr>
                <w:spacing w:val="4"/>
              </w:rPr>
              <w:t>0.43%</w:t>
            </w:r>
          </w:p>
        </w:tc>
        <w:tc>
          <w:tcPr>
            <w:tcW w:w="842" w:type="dxa"/>
            <w:vAlign w:val="top"/>
          </w:tcPr>
          <w:p>
            <w:pPr>
              <w:pStyle w:val="TableText"/>
              <w:ind w:left="240"/>
              <w:spacing w:before="81" w:line="195" w:lineRule="auto"/>
              <w:rPr/>
            </w:pPr>
            <w:r>
              <w:rPr>
                <w:spacing w:val="3"/>
              </w:rPr>
              <w:t>0.23</w:t>
            </w:r>
          </w:p>
        </w:tc>
        <w:tc>
          <w:tcPr>
            <w:tcW w:w="991" w:type="dxa"/>
            <w:vAlign w:val="top"/>
          </w:tcPr>
          <w:p>
            <w:pPr>
              <w:pStyle w:val="TableText"/>
              <w:ind w:left="229"/>
              <w:spacing w:before="81" w:line="195" w:lineRule="auto"/>
              <w:rPr/>
            </w:pPr>
            <w:r>
              <w:rPr>
                <w:spacing w:val="3"/>
              </w:rPr>
              <w:t>0.43%</w:t>
            </w:r>
          </w:p>
        </w:tc>
        <w:tc>
          <w:tcPr>
            <w:tcW w:w="1199" w:type="dxa"/>
            <w:vAlign w:val="top"/>
          </w:tcPr>
          <w:p>
            <w:pPr>
              <w:pStyle w:val="TableText"/>
              <w:ind w:left="386"/>
              <w:spacing w:before="81" w:line="195" w:lineRule="auto"/>
              <w:rPr/>
            </w:pPr>
            <w:r>
              <w:rPr>
                <w:spacing w:val="3"/>
              </w:rPr>
              <w:t>-0.01</w:t>
            </w:r>
          </w:p>
        </w:tc>
        <w:tc>
          <w:tcPr>
            <w:tcW w:w="1202" w:type="dxa"/>
            <w:vAlign w:val="top"/>
          </w:tcPr>
          <w:p>
            <w:pPr>
              <w:pStyle w:val="TableText"/>
              <w:ind w:left="422"/>
              <w:spacing w:before="81" w:line="195" w:lineRule="auto"/>
              <w:rPr/>
            </w:pPr>
            <w:r>
              <w:rPr>
                <w:spacing w:val="2"/>
              </w:rPr>
              <w:t>0.00</w:t>
            </w:r>
          </w:p>
        </w:tc>
      </w:tr>
      <w:tr>
        <w:trPr>
          <w:trHeight w:val="304" w:hRule="atLeast"/>
        </w:trPr>
        <w:tc>
          <w:tcPr>
            <w:tcW w:w="1418" w:type="dxa"/>
            <w:vAlign w:val="top"/>
          </w:tcPr>
          <w:p>
            <w:pPr>
              <w:ind w:left="503"/>
              <w:spacing w:before="45" w:line="228" w:lineRule="auto"/>
              <w:rPr>
                <w:rFonts w:ascii="SimSun" w:hAnsi="SimSun" w:eastAsia="SimSun" w:cs="SimSun"/>
                <w:sz w:val="20"/>
                <w:szCs w:val="20"/>
              </w:rPr>
            </w:pPr>
            <w:r>
              <w:rPr>
                <w:rFonts w:ascii="SimSun" w:hAnsi="SimSun" w:eastAsia="SimSun" w:cs="SimSun"/>
                <w:sz w:val="20"/>
                <w:szCs w:val="20"/>
                <w:spacing w:val="4"/>
              </w:rPr>
              <w:t>林地</w:t>
            </w:r>
          </w:p>
        </w:tc>
        <w:tc>
          <w:tcPr>
            <w:tcW w:w="820" w:type="dxa"/>
            <w:vAlign w:val="top"/>
          </w:tcPr>
          <w:p>
            <w:pPr>
              <w:pStyle w:val="TableText"/>
              <w:ind w:left="228"/>
              <w:spacing w:before="81" w:line="195" w:lineRule="auto"/>
              <w:rPr/>
            </w:pPr>
            <w:r>
              <w:rPr>
                <w:spacing w:val="2"/>
              </w:rPr>
              <w:t>0.57</w:t>
            </w:r>
          </w:p>
        </w:tc>
        <w:tc>
          <w:tcPr>
            <w:tcW w:w="952" w:type="dxa"/>
            <w:vAlign w:val="top"/>
          </w:tcPr>
          <w:p>
            <w:pPr>
              <w:pStyle w:val="TableText"/>
              <w:ind w:left="224"/>
              <w:spacing w:before="81" w:line="195" w:lineRule="auto"/>
              <w:rPr/>
            </w:pPr>
            <w:r>
              <w:rPr>
                <w:spacing w:val="1"/>
              </w:rPr>
              <w:t>1.06%</w:t>
            </w:r>
          </w:p>
        </w:tc>
        <w:tc>
          <w:tcPr>
            <w:tcW w:w="875" w:type="dxa"/>
            <w:vAlign w:val="top"/>
          </w:tcPr>
          <w:p>
            <w:pPr>
              <w:pStyle w:val="TableText"/>
              <w:ind w:left="256"/>
              <w:spacing w:before="81" w:line="195" w:lineRule="auto"/>
              <w:rPr/>
            </w:pPr>
            <w:r>
              <w:rPr>
                <w:spacing w:val="3"/>
              </w:rPr>
              <w:t>0.74</w:t>
            </w:r>
          </w:p>
        </w:tc>
        <w:tc>
          <w:tcPr>
            <w:tcW w:w="991" w:type="dxa"/>
            <w:vAlign w:val="top"/>
          </w:tcPr>
          <w:p>
            <w:pPr>
              <w:pStyle w:val="TableText"/>
              <w:ind w:left="245"/>
              <w:spacing w:before="81" w:line="195" w:lineRule="auto"/>
              <w:rPr/>
            </w:pPr>
            <w:r>
              <w:rPr>
                <w:spacing w:val="1"/>
              </w:rPr>
              <w:t>1.39%</w:t>
            </w:r>
          </w:p>
        </w:tc>
        <w:tc>
          <w:tcPr>
            <w:tcW w:w="842" w:type="dxa"/>
            <w:vAlign w:val="top"/>
          </w:tcPr>
          <w:p>
            <w:pPr>
              <w:pStyle w:val="TableText"/>
              <w:ind w:left="240"/>
              <w:spacing w:before="81" w:line="195" w:lineRule="auto"/>
              <w:rPr/>
            </w:pPr>
            <w:r>
              <w:rPr>
                <w:spacing w:val="3"/>
              </w:rPr>
              <w:t>0.70</w:t>
            </w:r>
          </w:p>
        </w:tc>
        <w:tc>
          <w:tcPr>
            <w:tcW w:w="991" w:type="dxa"/>
            <w:vAlign w:val="top"/>
          </w:tcPr>
          <w:p>
            <w:pPr>
              <w:pStyle w:val="TableText"/>
              <w:ind w:left="246"/>
              <w:spacing w:before="81" w:line="195" w:lineRule="auto"/>
              <w:rPr/>
            </w:pPr>
            <w:r>
              <w:rPr/>
              <w:t>1.31%</w:t>
            </w:r>
          </w:p>
        </w:tc>
        <w:tc>
          <w:tcPr>
            <w:tcW w:w="1199" w:type="dxa"/>
            <w:vAlign w:val="top"/>
          </w:tcPr>
          <w:p>
            <w:pPr>
              <w:pStyle w:val="TableText"/>
              <w:ind w:left="421"/>
              <w:spacing w:before="81" w:line="195" w:lineRule="auto"/>
              <w:rPr/>
            </w:pPr>
            <w:r>
              <w:rPr>
                <w:spacing w:val="2"/>
              </w:rPr>
              <w:t>0.18</w:t>
            </w:r>
          </w:p>
        </w:tc>
        <w:tc>
          <w:tcPr>
            <w:tcW w:w="1202" w:type="dxa"/>
            <w:vAlign w:val="top"/>
          </w:tcPr>
          <w:p>
            <w:pPr>
              <w:pStyle w:val="TableText"/>
              <w:ind w:left="387"/>
              <w:spacing w:before="81" w:line="195" w:lineRule="auto"/>
              <w:rPr/>
            </w:pPr>
            <w:r>
              <w:rPr>
                <w:spacing w:val="2"/>
              </w:rPr>
              <w:t>-0.04</w:t>
            </w:r>
          </w:p>
        </w:tc>
      </w:tr>
      <w:tr>
        <w:trPr>
          <w:trHeight w:val="305" w:hRule="atLeast"/>
        </w:trPr>
        <w:tc>
          <w:tcPr>
            <w:tcW w:w="1418" w:type="dxa"/>
            <w:vAlign w:val="top"/>
          </w:tcPr>
          <w:p>
            <w:pPr>
              <w:ind w:left="295"/>
              <w:spacing w:before="47" w:line="228" w:lineRule="auto"/>
              <w:rPr>
                <w:rFonts w:ascii="SimSun" w:hAnsi="SimSun" w:eastAsia="SimSun" w:cs="SimSun"/>
                <w:sz w:val="20"/>
                <w:szCs w:val="20"/>
              </w:rPr>
            </w:pPr>
            <w:r>
              <w:rPr>
                <w:rFonts w:ascii="SimSun" w:hAnsi="SimSun" w:eastAsia="SimSun" w:cs="SimSun"/>
                <w:sz w:val="20"/>
                <w:szCs w:val="20"/>
                <w:spacing w:val="6"/>
              </w:rPr>
              <w:t>商服用地</w:t>
            </w:r>
          </w:p>
        </w:tc>
        <w:tc>
          <w:tcPr>
            <w:tcW w:w="820" w:type="dxa"/>
            <w:vAlign w:val="top"/>
          </w:tcPr>
          <w:p>
            <w:pPr>
              <w:pStyle w:val="TableText"/>
              <w:ind w:left="228"/>
              <w:spacing w:before="84" w:line="195" w:lineRule="auto"/>
              <w:rPr/>
            </w:pPr>
            <w:r>
              <w:rPr>
                <w:spacing w:val="2"/>
              </w:rPr>
              <w:t>0.15</w:t>
            </w:r>
          </w:p>
        </w:tc>
        <w:tc>
          <w:tcPr>
            <w:tcW w:w="952" w:type="dxa"/>
            <w:vAlign w:val="top"/>
          </w:tcPr>
          <w:p>
            <w:pPr>
              <w:pStyle w:val="TableText"/>
              <w:ind w:left="207"/>
              <w:spacing w:before="84" w:line="195" w:lineRule="auto"/>
              <w:rPr/>
            </w:pPr>
            <w:r>
              <w:rPr>
                <w:spacing w:val="4"/>
              </w:rPr>
              <w:t>0.28%</w:t>
            </w:r>
          </w:p>
        </w:tc>
        <w:tc>
          <w:tcPr>
            <w:tcW w:w="875" w:type="dxa"/>
            <w:vAlign w:val="top"/>
          </w:tcPr>
          <w:p>
            <w:pPr>
              <w:pStyle w:val="TableText"/>
              <w:ind w:left="256"/>
              <w:spacing w:before="84" w:line="195" w:lineRule="auto"/>
              <w:rPr/>
            </w:pPr>
            <w:r>
              <w:rPr>
                <w:spacing w:val="3"/>
              </w:rPr>
              <w:t>0.15</w:t>
            </w:r>
          </w:p>
        </w:tc>
        <w:tc>
          <w:tcPr>
            <w:tcW w:w="991" w:type="dxa"/>
            <w:vAlign w:val="top"/>
          </w:tcPr>
          <w:p>
            <w:pPr>
              <w:pStyle w:val="TableText"/>
              <w:ind w:left="228"/>
              <w:spacing w:before="84" w:line="195" w:lineRule="auto"/>
              <w:rPr/>
            </w:pPr>
            <w:r>
              <w:rPr>
                <w:spacing w:val="4"/>
              </w:rPr>
              <w:t>0.28%</w:t>
            </w:r>
          </w:p>
        </w:tc>
        <w:tc>
          <w:tcPr>
            <w:tcW w:w="842" w:type="dxa"/>
            <w:vAlign w:val="top"/>
          </w:tcPr>
          <w:p>
            <w:pPr>
              <w:pStyle w:val="TableText"/>
              <w:ind w:left="240"/>
              <w:spacing w:before="84" w:line="195" w:lineRule="auto"/>
              <w:rPr/>
            </w:pPr>
            <w:r>
              <w:rPr>
                <w:spacing w:val="3"/>
              </w:rPr>
              <w:t>0.15</w:t>
            </w:r>
          </w:p>
        </w:tc>
        <w:tc>
          <w:tcPr>
            <w:tcW w:w="991" w:type="dxa"/>
            <w:vAlign w:val="top"/>
          </w:tcPr>
          <w:p>
            <w:pPr>
              <w:pStyle w:val="TableText"/>
              <w:ind w:left="229"/>
              <w:spacing w:before="84" w:line="195" w:lineRule="auto"/>
              <w:rPr/>
            </w:pPr>
            <w:r>
              <w:rPr>
                <w:spacing w:val="3"/>
              </w:rPr>
              <w:t>0.28%</w:t>
            </w:r>
          </w:p>
        </w:tc>
        <w:tc>
          <w:tcPr>
            <w:tcW w:w="1199" w:type="dxa"/>
            <w:vAlign w:val="top"/>
          </w:tcPr>
          <w:p>
            <w:pPr>
              <w:pStyle w:val="TableText"/>
              <w:ind w:left="421"/>
              <w:spacing w:before="84" w:line="195" w:lineRule="auto"/>
              <w:rPr/>
            </w:pPr>
            <w:r>
              <w:rPr>
                <w:spacing w:val="2"/>
              </w:rPr>
              <w:t>0.00</w:t>
            </w:r>
          </w:p>
        </w:tc>
        <w:tc>
          <w:tcPr>
            <w:tcW w:w="1202" w:type="dxa"/>
            <w:vAlign w:val="top"/>
          </w:tcPr>
          <w:p>
            <w:pPr>
              <w:pStyle w:val="TableText"/>
              <w:ind w:left="422"/>
              <w:spacing w:before="84" w:line="195" w:lineRule="auto"/>
              <w:rPr/>
            </w:pPr>
            <w:r>
              <w:rPr>
                <w:spacing w:val="2"/>
              </w:rPr>
              <w:t>0.00</w:t>
            </w:r>
          </w:p>
        </w:tc>
      </w:tr>
      <w:tr>
        <w:trPr>
          <w:trHeight w:val="309" w:hRule="atLeast"/>
        </w:trPr>
        <w:tc>
          <w:tcPr>
            <w:tcW w:w="1418" w:type="dxa"/>
            <w:vAlign w:val="top"/>
          </w:tcPr>
          <w:p>
            <w:pPr>
              <w:ind w:left="507"/>
              <w:spacing w:before="46" w:line="229" w:lineRule="auto"/>
              <w:rPr>
                <w:rFonts w:ascii="SimSun" w:hAnsi="SimSun" w:eastAsia="SimSun" w:cs="SimSun"/>
                <w:sz w:val="20"/>
                <w:szCs w:val="20"/>
              </w:rPr>
            </w:pPr>
            <w:r>
              <w:rPr>
                <w:rFonts w:ascii="SimSun" w:hAnsi="SimSun" w:eastAsia="SimSun" w:cs="SimSun"/>
                <w:sz w:val="20"/>
                <w:szCs w:val="20"/>
                <w:spacing w:val="2"/>
              </w:rPr>
              <w:t>总计</w:t>
            </w:r>
          </w:p>
        </w:tc>
        <w:tc>
          <w:tcPr>
            <w:tcW w:w="820" w:type="dxa"/>
            <w:vAlign w:val="top"/>
          </w:tcPr>
          <w:p>
            <w:pPr>
              <w:pStyle w:val="TableText"/>
              <w:ind w:left="175"/>
              <w:spacing w:before="84" w:line="195" w:lineRule="auto"/>
              <w:rPr/>
            </w:pPr>
            <w:r>
              <w:rPr>
                <w:spacing w:val="3"/>
              </w:rPr>
              <w:t>53.41</w:t>
            </w:r>
          </w:p>
        </w:tc>
        <w:tc>
          <w:tcPr>
            <w:tcW w:w="952" w:type="dxa"/>
            <w:vAlign w:val="top"/>
          </w:tcPr>
          <w:p>
            <w:pPr>
              <w:pStyle w:val="TableText"/>
              <w:ind w:left="253"/>
              <w:spacing w:before="84" w:line="195" w:lineRule="auto"/>
              <w:rPr/>
            </w:pPr>
            <w:r>
              <w:rPr>
                <w:spacing w:val="-1"/>
              </w:rPr>
              <w:t>100%</w:t>
            </w:r>
          </w:p>
        </w:tc>
        <w:tc>
          <w:tcPr>
            <w:tcW w:w="875" w:type="dxa"/>
            <w:vAlign w:val="top"/>
          </w:tcPr>
          <w:p>
            <w:pPr>
              <w:pStyle w:val="TableText"/>
              <w:ind w:left="206"/>
              <w:spacing w:before="84" w:line="195" w:lineRule="auto"/>
              <w:rPr/>
            </w:pPr>
            <w:r>
              <w:rPr>
                <w:spacing w:val="3"/>
              </w:rPr>
              <w:t>53.41</w:t>
            </w:r>
          </w:p>
        </w:tc>
        <w:tc>
          <w:tcPr>
            <w:tcW w:w="991" w:type="dxa"/>
            <w:vAlign w:val="top"/>
          </w:tcPr>
          <w:p>
            <w:pPr>
              <w:pStyle w:val="TableText"/>
              <w:ind w:left="274"/>
              <w:spacing w:before="84" w:line="195" w:lineRule="auto"/>
              <w:rPr/>
            </w:pPr>
            <w:r>
              <w:rPr>
                <w:spacing w:val="-1"/>
              </w:rPr>
              <w:t>100%</w:t>
            </w:r>
          </w:p>
        </w:tc>
        <w:tc>
          <w:tcPr>
            <w:tcW w:w="842" w:type="dxa"/>
            <w:vAlign w:val="top"/>
          </w:tcPr>
          <w:p>
            <w:pPr>
              <w:pStyle w:val="TableText"/>
              <w:ind w:left="193"/>
              <w:spacing w:before="84" w:line="195" w:lineRule="auto"/>
              <w:rPr/>
            </w:pPr>
            <w:r>
              <w:rPr>
                <w:spacing w:val="2"/>
              </w:rPr>
              <w:t>53.41</w:t>
            </w:r>
          </w:p>
        </w:tc>
        <w:tc>
          <w:tcPr>
            <w:tcW w:w="991" w:type="dxa"/>
            <w:vAlign w:val="top"/>
          </w:tcPr>
          <w:p>
            <w:pPr>
              <w:pStyle w:val="TableText"/>
              <w:ind w:left="270"/>
              <w:spacing w:before="84" w:line="195" w:lineRule="auto"/>
              <w:rPr/>
            </w:pPr>
            <w:r>
              <w:rPr/>
              <w:t>100%</w:t>
            </w:r>
          </w:p>
        </w:tc>
        <w:tc>
          <w:tcPr>
            <w:tcW w:w="1199" w:type="dxa"/>
            <w:vAlign w:val="top"/>
          </w:tcPr>
          <w:p>
            <w:pPr>
              <w:pStyle w:val="TableText"/>
              <w:ind w:left="421"/>
              <w:spacing w:before="84" w:line="195" w:lineRule="auto"/>
              <w:rPr/>
            </w:pPr>
            <w:r>
              <w:rPr>
                <w:spacing w:val="2"/>
              </w:rPr>
              <w:t>0.00</w:t>
            </w:r>
          </w:p>
        </w:tc>
        <w:tc>
          <w:tcPr>
            <w:tcW w:w="1202" w:type="dxa"/>
            <w:vAlign w:val="top"/>
          </w:tcPr>
          <w:p>
            <w:pPr>
              <w:pStyle w:val="TableText"/>
              <w:ind w:left="422"/>
              <w:spacing w:before="84" w:line="195" w:lineRule="auto"/>
              <w:rPr/>
            </w:pPr>
            <w:r>
              <w:rPr>
                <w:spacing w:val="2"/>
              </w:rPr>
              <w:t>0.00</w:t>
            </w:r>
          </w:p>
        </w:tc>
      </w:tr>
    </w:tbl>
    <w:p>
      <w:pPr>
        <w:pStyle w:val="BodyText"/>
        <w:spacing w:line="267" w:lineRule="auto"/>
        <w:rPr/>
      </w:pPr>
      <w:r/>
    </w:p>
    <w:p>
      <w:pPr>
        <w:pStyle w:val="BodyText"/>
        <w:spacing w:line="268" w:lineRule="auto"/>
        <w:rPr/>
      </w:pPr>
      <w:r/>
    </w:p>
    <w:p>
      <w:pPr>
        <w:ind w:left="114"/>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3.3.1.4 </w:t>
      </w:r>
      <w:r>
        <w:rPr>
          <w:rFonts w:ascii="SimHei" w:hAnsi="SimHei" w:eastAsia="SimHei" w:cs="SimHei"/>
          <w:sz w:val="24"/>
          <w:szCs w:val="24"/>
          <w:b/>
          <w:bCs/>
          <w:spacing w:val="-2"/>
        </w:rPr>
        <w:t>植被类型影响回顾</w:t>
      </w:r>
    </w:p>
    <w:p>
      <w:pPr>
        <w:ind w:left="119" w:right="115" w:firstLine="479"/>
        <w:spacing w:before="163" w:line="339" w:lineRule="auto"/>
        <w:jc w:val="both"/>
        <w:rPr>
          <w:rFonts w:ascii="SimSun" w:hAnsi="SimSun" w:eastAsia="SimSun" w:cs="SimSun"/>
          <w:sz w:val="24"/>
          <w:szCs w:val="24"/>
        </w:rPr>
      </w:pPr>
      <w:r>
        <w:rPr>
          <w:rFonts w:ascii="SimSun" w:hAnsi="SimSun" w:eastAsia="SimSun" w:cs="SimSun"/>
          <w:sz w:val="24"/>
          <w:szCs w:val="24"/>
          <w:spacing w:val="-2"/>
        </w:rPr>
        <w:t>评价区属于典型草原区，草原景观占面积比例最大。露天煤矿开采前草场保持着较</w:t>
      </w:r>
      <w:r>
        <w:rPr>
          <w:rFonts w:ascii="SimSun" w:hAnsi="SimSun" w:eastAsia="SimSun" w:cs="SimSun"/>
          <w:sz w:val="24"/>
          <w:szCs w:val="24"/>
          <w:spacing w:val="-2"/>
        </w:rPr>
        <w:t>好的状态，植物种类丰富，生物多样性高。露天开采与排土彻底改变了原地形地貌，使</w:t>
      </w:r>
      <w:r>
        <w:rPr>
          <w:rFonts w:ascii="SimSun" w:hAnsi="SimSun" w:eastAsia="SimSun" w:cs="SimSun"/>
          <w:sz w:val="24"/>
          <w:szCs w:val="24"/>
          <w:spacing w:val="-2"/>
        </w:rPr>
        <w:t>原高原低山缓坡丘陵地形地貌在人工干扰下转为采掘场区的人工挖损地貌，排土场表现</w:t>
      </w:r>
      <w:r>
        <w:rPr>
          <w:rFonts w:ascii="SimSun" w:hAnsi="SimSun" w:eastAsia="SimSun" w:cs="SimSun"/>
          <w:sz w:val="24"/>
          <w:szCs w:val="24"/>
          <w:spacing w:val="-1"/>
        </w:rPr>
        <w:t>为边坡与平台相间的人工地貌。</w:t>
      </w:r>
    </w:p>
    <w:p>
      <w:pPr>
        <w:spacing w:line="339" w:lineRule="auto"/>
        <w:sectPr>
          <w:headerReference w:type="default" r:id="rId125"/>
          <w:footerReference w:type="default" r:id="rId146"/>
          <w:pgSz w:w="11906" w:h="16838"/>
          <w:pgMar w:top="1170" w:right="1304" w:bottom="1078" w:left="1305" w:header="837" w:footer="915" w:gutter="0"/>
        </w:sectPr>
        <w:rPr>
          <w:rFonts w:ascii="SimSun" w:hAnsi="SimSun" w:eastAsia="SimSun" w:cs="SimSun"/>
          <w:sz w:val="24"/>
          <w:szCs w:val="24"/>
        </w:rPr>
      </w:pPr>
    </w:p>
    <w:p>
      <w:pPr>
        <w:pStyle w:val="BodyText"/>
        <w:spacing w:line="316" w:lineRule="auto"/>
        <w:rPr/>
      </w:pPr>
      <w:r/>
    </w:p>
    <w:p>
      <w:pPr>
        <w:ind w:left="123" w:right="115" w:firstLine="480"/>
        <w:spacing w:before="78" w:line="338" w:lineRule="auto"/>
        <w:jc w:val="both"/>
        <w:rPr>
          <w:rFonts w:ascii="SimSun" w:hAnsi="SimSun" w:eastAsia="SimSun" w:cs="SimSun"/>
          <w:sz w:val="24"/>
          <w:szCs w:val="24"/>
        </w:rPr>
      </w:pPr>
      <w:r>
        <w:rPr>
          <w:rFonts w:ascii="SimSun" w:hAnsi="SimSun" w:eastAsia="SimSun" w:cs="SimSun"/>
          <w:sz w:val="24"/>
          <w:szCs w:val="24"/>
          <w:spacing w:val="-2"/>
        </w:rPr>
        <w:t>经现场调查，本项目主要涉及羊草、线叶菊等草甸草原群系；拂子茅、野大麦、芨</w:t>
      </w:r>
      <w:r>
        <w:rPr>
          <w:rFonts w:ascii="SimSun" w:hAnsi="SimSun" w:eastAsia="SimSun" w:cs="SimSun"/>
          <w:sz w:val="24"/>
          <w:szCs w:val="24"/>
          <w:spacing w:val="-2"/>
        </w:rPr>
        <w:t>芨草等河滩草甸群系；羊草、丛生禾草草原群系为主要建群种（优势种）的</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种植被类</w:t>
      </w:r>
      <w:r>
        <w:rPr>
          <w:rFonts w:ascii="SimSun" w:hAnsi="SimSun" w:eastAsia="SimSun" w:cs="SimSun"/>
          <w:sz w:val="24"/>
          <w:szCs w:val="24"/>
          <w:spacing w:val="-2"/>
        </w:rPr>
        <w:t>型。评价区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2014~2018 </w:t>
      </w:r>
      <w:r>
        <w:rPr>
          <w:rFonts w:ascii="SimSun" w:hAnsi="SimSun" w:eastAsia="SimSun" w:cs="SimSun"/>
          <w:sz w:val="24"/>
          <w:szCs w:val="24"/>
          <w:spacing w:val="-2"/>
        </w:rPr>
        <w:t>年间羊草、线叶菊等草甸草原和拂子茅、野大麦、芨芨草等河滩</w:t>
      </w:r>
      <w:r>
        <w:rPr>
          <w:rFonts w:ascii="SimSun" w:hAnsi="SimSun" w:eastAsia="SimSun" w:cs="SimSun"/>
          <w:sz w:val="24"/>
          <w:szCs w:val="24"/>
          <w:spacing w:val="-2"/>
        </w:rPr>
        <w:t>草甸面积减少了</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3.42km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5"/>
          <w:position w:val="7"/>
        </w:rPr>
        <w:t xml:space="preserve"> </w:t>
      </w:r>
      <w:r>
        <w:rPr>
          <w:rFonts w:ascii="SimSun" w:hAnsi="SimSun" w:eastAsia="SimSun" w:cs="SimSun"/>
          <w:sz w:val="24"/>
          <w:szCs w:val="24"/>
          <w:spacing w:val="-2"/>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0.68km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2"/>
        </w:rPr>
        <w:t>，</w:t>
      </w:r>
      <w:r>
        <w:rPr>
          <w:rFonts w:ascii="SimSun" w:hAnsi="SimSun" w:eastAsia="SimSun" w:cs="SimSun"/>
          <w:sz w:val="24"/>
          <w:szCs w:val="24"/>
          <w:spacing w:val="-69"/>
        </w:rPr>
        <w:t xml:space="preserve"> </w:t>
      </w:r>
      <w:r>
        <w:rPr>
          <w:rFonts w:ascii="SimSun" w:hAnsi="SimSun" w:eastAsia="SimSun" w:cs="SimSun"/>
          <w:sz w:val="24"/>
          <w:szCs w:val="24"/>
          <w:spacing w:val="-2"/>
        </w:rPr>
        <w:t>占比为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6.4%</w:t>
      </w:r>
      <w:r>
        <w:rPr>
          <w:rFonts w:ascii="SimSun" w:hAnsi="SimSun" w:eastAsia="SimSun" w:cs="SimSun"/>
          <w:sz w:val="24"/>
          <w:szCs w:val="24"/>
          <w:spacing w:val="-2"/>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1.27%</w:t>
      </w:r>
      <w:r>
        <w:rPr>
          <w:rFonts w:ascii="SimSun" w:hAnsi="SimSun" w:eastAsia="SimSun" w:cs="SimSun"/>
          <w:sz w:val="24"/>
          <w:szCs w:val="24"/>
          <w:spacing w:val="-2"/>
        </w:rPr>
        <w:t>；羊草、丛</w:t>
      </w:r>
      <w:r>
        <w:rPr>
          <w:rFonts w:ascii="SimSun" w:hAnsi="SimSun" w:eastAsia="SimSun" w:cs="SimSun"/>
          <w:sz w:val="24"/>
          <w:szCs w:val="24"/>
          <w:spacing w:val="-3"/>
        </w:rPr>
        <w:t>生禾草草原和无</w:t>
      </w:r>
      <w:r>
        <w:rPr>
          <w:rFonts w:ascii="SimSun" w:hAnsi="SimSun" w:eastAsia="SimSun" w:cs="SimSun"/>
          <w:sz w:val="24"/>
          <w:szCs w:val="24"/>
          <w:spacing w:val="-3"/>
        </w:rPr>
        <w:t>植被面积增加，分别增加了</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2.82km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5"/>
          <w:position w:val="7"/>
        </w:rPr>
        <w:t xml:space="preserve"> </w:t>
      </w:r>
      <w:r>
        <w:rPr>
          <w:rFonts w:ascii="SimSun" w:hAnsi="SimSun" w:eastAsia="SimSun" w:cs="SimSun"/>
          <w:sz w:val="24"/>
          <w:szCs w:val="24"/>
          <w:spacing w:val="-3"/>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1.28km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3"/>
        </w:rPr>
        <w:t>，</w:t>
      </w:r>
      <w:r>
        <w:rPr>
          <w:rFonts w:ascii="SimSun" w:hAnsi="SimSun" w:eastAsia="SimSun" w:cs="SimSun"/>
          <w:sz w:val="24"/>
          <w:szCs w:val="24"/>
          <w:spacing w:val="-69"/>
        </w:rPr>
        <w:t xml:space="preserve"> </w:t>
      </w:r>
      <w:r>
        <w:rPr>
          <w:rFonts w:ascii="SimSun" w:hAnsi="SimSun" w:eastAsia="SimSun" w:cs="SimSun"/>
          <w:sz w:val="24"/>
          <w:szCs w:val="24"/>
          <w:spacing w:val="-3"/>
        </w:rPr>
        <w:t>占评价区面积的</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5.28%</w:t>
      </w:r>
      <w:r>
        <w:rPr>
          <w:rFonts w:ascii="SimSun" w:hAnsi="SimSun" w:eastAsia="SimSun" w:cs="SimSun"/>
          <w:sz w:val="24"/>
          <w:szCs w:val="24"/>
          <w:spacing w:val="-3"/>
        </w:rPr>
        <w:t>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2.4%</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。这四</w:t>
      </w:r>
      <w:r>
        <w:rPr>
          <w:rFonts w:ascii="SimSun" w:hAnsi="SimSun" w:eastAsia="SimSun" w:cs="SimSun"/>
          <w:sz w:val="24"/>
          <w:szCs w:val="24"/>
          <w:spacing w:val="-1"/>
        </w:rPr>
        <w:t>年间由于露天矿采区向北推进，使评价区植被面积占比有所下降。</w:t>
      </w:r>
    </w:p>
    <w:p>
      <w:pPr>
        <w:ind w:left="123" w:right="115" w:firstLine="474"/>
        <w:spacing w:before="1" w:line="338" w:lineRule="auto"/>
        <w:jc w:val="both"/>
        <w:rPr>
          <w:rFonts w:ascii="SimSun" w:hAnsi="SimSun" w:eastAsia="SimSun" w:cs="SimSun"/>
          <w:sz w:val="24"/>
          <w:szCs w:val="24"/>
        </w:rPr>
      </w:pPr>
      <w:r>
        <w:rPr>
          <w:rFonts w:ascii="Times New Roman" w:hAnsi="Times New Roman" w:eastAsia="Times New Roman" w:cs="Times New Roman"/>
          <w:sz w:val="24"/>
          <w:szCs w:val="24"/>
        </w:rPr>
        <w:t>2018~2024 </w:t>
      </w:r>
      <w:r>
        <w:rPr>
          <w:rFonts w:ascii="SimSun" w:hAnsi="SimSun" w:eastAsia="SimSun" w:cs="SimSun"/>
          <w:sz w:val="24"/>
          <w:szCs w:val="24"/>
        </w:rPr>
        <w:t>年无植被略有降低，拂子茅、野大麦、芨芨草等河滩草</w:t>
      </w:r>
      <w:r>
        <w:rPr>
          <w:rFonts w:ascii="SimSun" w:hAnsi="SimSun" w:eastAsia="SimSun" w:cs="SimSun"/>
          <w:sz w:val="24"/>
          <w:szCs w:val="24"/>
          <w:spacing w:val="-1"/>
        </w:rPr>
        <w:t>甸和羊草、丛生</w:t>
      </w:r>
      <w:r>
        <w:rPr>
          <w:rFonts w:ascii="SimSun" w:hAnsi="SimSun" w:eastAsia="SimSun" w:cs="SimSun"/>
          <w:sz w:val="24"/>
          <w:szCs w:val="24"/>
          <w:spacing w:val="-2"/>
        </w:rPr>
        <w:t>禾草草原面积有所增加。这主要是因为煤矿排土场土地复垦的完成，评价区增加的植被</w:t>
      </w:r>
      <w:r>
        <w:rPr>
          <w:rFonts w:ascii="SimSun" w:hAnsi="SimSun" w:eastAsia="SimSun" w:cs="SimSun"/>
          <w:sz w:val="24"/>
          <w:szCs w:val="24"/>
          <w:spacing w:val="-1"/>
        </w:rPr>
        <w:t>面积要大于露天矿新增开采面积。</w:t>
      </w:r>
    </w:p>
    <w:p>
      <w:pPr>
        <w:ind w:left="121" w:right="120" w:firstLine="476"/>
        <w:spacing w:before="1" w:line="338" w:lineRule="auto"/>
        <w:rPr>
          <w:rFonts w:ascii="SimSun" w:hAnsi="SimSun" w:eastAsia="SimSun" w:cs="SimSun"/>
          <w:sz w:val="24"/>
          <w:szCs w:val="24"/>
        </w:rPr>
      </w:pPr>
      <w:r>
        <w:rPr>
          <w:rFonts w:ascii="Times New Roman" w:hAnsi="Times New Roman" w:eastAsia="Times New Roman" w:cs="Times New Roman"/>
          <w:sz w:val="24"/>
          <w:szCs w:val="24"/>
          <w:spacing w:val="1"/>
        </w:rPr>
        <w:t>2014-2024 </w:t>
      </w:r>
      <w:r>
        <w:rPr>
          <w:rFonts w:ascii="SimSun" w:hAnsi="SimSun" w:eastAsia="SimSun" w:cs="SimSun"/>
          <w:sz w:val="24"/>
          <w:szCs w:val="24"/>
          <w:spacing w:val="1"/>
        </w:rPr>
        <w:t>这十年间，由于排土场复垦的完成评价区植被面积稍有增加，总</w:t>
      </w:r>
      <w:r>
        <w:rPr>
          <w:rFonts w:ascii="SimSun" w:hAnsi="SimSun" w:eastAsia="SimSun" w:cs="SimSun"/>
          <w:sz w:val="24"/>
          <w:szCs w:val="24"/>
        </w:rPr>
        <w:t>体而言</w:t>
      </w:r>
      <w:r>
        <w:rPr>
          <w:rFonts w:ascii="SimSun" w:hAnsi="SimSun" w:eastAsia="SimSun" w:cs="SimSun"/>
          <w:sz w:val="24"/>
          <w:szCs w:val="24"/>
          <w:spacing w:val="-1"/>
        </w:rPr>
        <w:t>矿区开发对植被的影响可控可恢复。</w:t>
      </w:r>
    </w:p>
    <w:p>
      <w:pPr>
        <w:ind w:left="123" w:right="115" w:firstLine="477"/>
        <w:spacing w:before="2" w:line="339" w:lineRule="auto"/>
        <w:rPr>
          <w:rFonts w:ascii="SimSun" w:hAnsi="SimSun" w:eastAsia="SimSun" w:cs="SimSun"/>
          <w:sz w:val="24"/>
          <w:szCs w:val="24"/>
        </w:rPr>
      </w:pPr>
      <w:r>
        <w:rPr>
          <w:rFonts w:ascii="SimSun" w:hAnsi="SimSun" w:eastAsia="SimSun" w:cs="SimSun"/>
          <w:sz w:val="24"/>
          <w:szCs w:val="24"/>
          <w:spacing w:val="-2"/>
        </w:rPr>
        <w:t>评价区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2014</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年植被类型发生了一定变化，各类型植被所占比</w:t>
      </w:r>
      <w:r>
        <w:rPr>
          <w:rFonts w:ascii="SimSun" w:hAnsi="SimSun" w:eastAsia="SimSun" w:cs="SimSun"/>
          <w:sz w:val="24"/>
          <w:szCs w:val="24"/>
          <w:spacing w:val="-3"/>
        </w:rPr>
        <w:t>例及其变化情</w:t>
      </w:r>
      <w:r>
        <w:rPr>
          <w:rFonts w:ascii="SimSun" w:hAnsi="SimSun" w:eastAsia="SimSun" w:cs="SimSun"/>
          <w:sz w:val="24"/>
          <w:szCs w:val="24"/>
          <w:spacing w:val="-5"/>
        </w:rPr>
        <w:t>况见图</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5"/>
        </w:rPr>
        <w:t>3-3-5</w:t>
      </w:r>
      <w:r>
        <w:rPr>
          <w:rFonts w:ascii="Times New Roman" w:hAnsi="Times New Roman" w:eastAsia="Times New Roman" w:cs="Times New Roman"/>
          <w:sz w:val="24"/>
          <w:szCs w:val="24"/>
          <w:spacing w:val="36"/>
          <w:w w:val="101"/>
        </w:rPr>
        <w:t xml:space="preserve"> </w:t>
      </w:r>
      <w:r>
        <w:rPr>
          <w:rFonts w:ascii="SimSun" w:hAnsi="SimSun" w:eastAsia="SimSun" w:cs="SimSun"/>
          <w:sz w:val="24"/>
          <w:szCs w:val="24"/>
          <w:spacing w:val="-5"/>
        </w:rPr>
        <w:t>以及表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3-3-2</w:t>
      </w:r>
      <w:r>
        <w:rPr>
          <w:rFonts w:ascii="SimSun" w:hAnsi="SimSun" w:eastAsia="SimSun" w:cs="SimSun"/>
          <w:sz w:val="24"/>
          <w:szCs w:val="24"/>
          <w:spacing w:val="-5"/>
        </w:rPr>
        <w:t>。</w:t>
      </w:r>
    </w:p>
    <w:p>
      <w:pPr>
        <w:ind w:left="2498"/>
        <w:spacing w:before="124" w:line="221" w:lineRule="auto"/>
        <w:rPr>
          <w:rFonts w:ascii="SimHei" w:hAnsi="SimHei" w:eastAsia="SimHei" w:cs="SimHei"/>
          <w:sz w:val="24"/>
          <w:szCs w:val="24"/>
        </w:rPr>
      </w:pPr>
      <w:r>
        <w:rPr>
          <w:rFonts w:ascii="SimHei" w:hAnsi="SimHei" w:eastAsia="SimHei" w:cs="SimHei"/>
          <w:sz w:val="24"/>
          <w:szCs w:val="24"/>
          <w:spacing w:val="-1"/>
        </w:rPr>
        <w:t>不同时期评价区各植被类型面积所占比例</w:t>
      </w:r>
    </w:p>
    <w:p>
      <w:pPr>
        <w:ind w:left="120"/>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3-3-2</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72"/>
        <w:gridCol w:w="832"/>
        <w:gridCol w:w="1111"/>
        <w:gridCol w:w="655"/>
        <w:gridCol w:w="899"/>
        <w:gridCol w:w="655"/>
        <w:gridCol w:w="899"/>
        <w:gridCol w:w="1082"/>
        <w:gridCol w:w="1087"/>
      </w:tblGrid>
      <w:tr>
        <w:trPr>
          <w:trHeight w:val="548" w:hRule="atLeast"/>
        </w:trPr>
        <w:tc>
          <w:tcPr>
            <w:tcW w:w="2072" w:type="dxa"/>
            <w:vAlign w:val="top"/>
            <w:vMerge w:val="restart"/>
            <w:tcBorders>
              <w:bottom w:val="nil"/>
            </w:tcBorders>
          </w:tcPr>
          <w:p>
            <w:pPr>
              <w:spacing w:line="362" w:lineRule="auto"/>
              <w:rPr>
                <w:rFonts w:ascii="Arial"/>
                <w:sz w:val="21"/>
              </w:rPr>
            </w:pPr>
            <w:r/>
          </w:p>
          <w:p>
            <w:pPr>
              <w:ind w:left="620"/>
              <w:spacing w:before="65" w:line="228" w:lineRule="auto"/>
              <w:rPr>
                <w:rFonts w:ascii="SimSun" w:hAnsi="SimSun" w:eastAsia="SimSun" w:cs="SimSun"/>
                <w:sz w:val="20"/>
                <w:szCs w:val="20"/>
              </w:rPr>
            </w:pPr>
            <w:r>
              <w:rPr>
                <w:rFonts w:ascii="SimSun" w:hAnsi="SimSun" w:eastAsia="SimSun" w:cs="SimSun"/>
                <w:sz w:val="20"/>
                <w:szCs w:val="20"/>
                <w:spacing w:val="7"/>
              </w:rPr>
              <w:t>植被类型</w:t>
            </w:r>
          </w:p>
        </w:tc>
        <w:tc>
          <w:tcPr>
            <w:tcW w:w="1943" w:type="dxa"/>
            <w:vAlign w:val="top"/>
            <w:gridSpan w:val="2"/>
          </w:tcPr>
          <w:p>
            <w:pPr>
              <w:pStyle w:val="TableText"/>
              <w:ind w:left="605"/>
              <w:spacing w:before="167" w:line="228" w:lineRule="auto"/>
              <w:rPr>
                <w:rFonts w:ascii="SimSun" w:hAnsi="SimSun" w:eastAsia="SimSun" w:cs="SimSun"/>
              </w:rPr>
            </w:pPr>
            <w:r>
              <w:rPr>
                <w:spacing w:val="2"/>
              </w:rPr>
              <w:t>2014</w:t>
            </w:r>
            <w:r>
              <w:rPr>
                <w:spacing w:val="7"/>
              </w:rPr>
              <w:t xml:space="preserve">  </w:t>
            </w:r>
            <w:r>
              <w:rPr>
                <w:rFonts w:ascii="SimSun" w:hAnsi="SimSun" w:eastAsia="SimSun" w:cs="SimSun"/>
                <w:spacing w:val="2"/>
              </w:rPr>
              <w:t>年</w:t>
            </w:r>
          </w:p>
        </w:tc>
        <w:tc>
          <w:tcPr>
            <w:tcW w:w="1554" w:type="dxa"/>
            <w:vAlign w:val="top"/>
            <w:gridSpan w:val="2"/>
          </w:tcPr>
          <w:p>
            <w:pPr>
              <w:pStyle w:val="TableText"/>
              <w:ind w:left="438"/>
              <w:spacing w:before="167" w:line="228" w:lineRule="auto"/>
              <w:rPr>
                <w:rFonts w:ascii="SimSun" w:hAnsi="SimSun" w:eastAsia="SimSun" w:cs="SimSun"/>
              </w:rPr>
            </w:pPr>
            <w:r>
              <w:rPr>
                <w:spacing w:val="3"/>
              </w:rPr>
              <w:t>2018</w:t>
            </w:r>
            <w:r>
              <w:rPr>
                <w:spacing w:val="9"/>
              </w:rPr>
              <w:t xml:space="preserve"> </w:t>
            </w:r>
            <w:r>
              <w:rPr>
                <w:rFonts w:ascii="SimSun" w:hAnsi="SimSun" w:eastAsia="SimSun" w:cs="SimSun"/>
                <w:spacing w:val="3"/>
              </w:rPr>
              <w:t>年</w:t>
            </w:r>
          </w:p>
        </w:tc>
        <w:tc>
          <w:tcPr>
            <w:tcW w:w="1554" w:type="dxa"/>
            <w:vAlign w:val="top"/>
            <w:gridSpan w:val="2"/>
          </w:tcPr>
          <w:p>
            <w:pPr>
              <w:pStyle w:val="TableText"/>
              <w:ind w:left="437"/>
              <w:spacing w:before="167" w:line="228" w:lineRule="auto"/>
              <w:rPr>
                <w:rFonts w:ascii="SimSun" w:hAnsi="SimSun" w:eastAsia="SimSun" w:cs="SimSun"/>
              </w:rPr>
            </w:pPr>
            <w:r>
              <w:rPr>
                <w:spacing w:val="3"/>
              </w:rPr>
              <w:t>2024</w:t>
            </w:r>
            <w:r>
              <w:rPr>
                <w:spacing w:val="13"/>
                <w:w w:val="101"/>
              </w:rPr>
              <w:t xml:space="preserve"> </w:t>
            </w:r>
            <w:r>
              <w:rPr>
                <w:rFonts w:ascii="SimSun" w:hAnsi="SimSun" w:eastAsia="SimSun" w:cs="SimSun"/>
                <w:spacing w:val="3"/>
              </w:rPr>
              <w:t>年</w:t>
            </w:r>
          </w:p>
        </w:tc>
        <w:tc>
          <w:tcPr>
            <w:tcW w:w="1082" w:type="dxa"/>
            <w:vAlign w:val="top"/>
            <w:vMerge w:val="restart"/>
            <w:tcBorders>
              <w:bottom w:val="nil"/>
            </w:tcBorders>
          </w:tcPr>
          <w:p>
            <w:pPr>
              <w:pStyle w:val="TableText"/>
              <w:ind w:left="66"/>
              <w:spacing w:before="208" w:line="195" w:lineRule="auto"/>
              <w:rPr/>
            </w:pPr>
            <w:r>
              <w:rPr>
                <w:spacing w:val="4"/>
              </w:rPr>
              <w:t>2014~2018</w:t>
            </w:r>
          </w:p>
          <w:p>
            <w:pPr>
              <w:ind w:left="130"/>
              <w:spacing w:before="32"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10"/>
              <w:spacing w:before="27" w:line="215" w:lineRule="auto"/>
              <w:rPr/>
            </w:pPr>
            <w:r>
              <w:rPr>
                <w:spacing w:val="5"/>
              </w:rPr>
              <w:t>(</w:t>
            </w:r>
            <w:r>
              <w:rPr/>
              <w:t>km</w:t>
            </w:r>
            <w:r>
              <w:rPr>
                <w:sz w:val="13"/>
                <w:szCs w:val="13"/>
                <w:spacing w:val="5"/>
                <w:position w:val="6"/>
              </w:rPr>
              <w:t>2</w:t>
            </w:r>
            <w:r>
              <w:rPr>
                <w:spacing w:val="5"/>
              </w:rPr>
              <w:t>)</w:t>
            </w:r>
          </w:p>
        </w:tc>
        <w:tc>
          <w:tcPr>
            <w:tcW w:w="1087" w:type="dxa"/>
            <w:vAlign w:val="top"/>
            <w:vMerge w:val="restart"/>
            <w:tcBorders>
              <w:bottom w:val="nil"/>
            </w:tcBorders>
          </w:tcPr>
          <w:p>
            <w:pPr>
              <w:pStyle w:val="TableText"/>
              <w:ind w:left="67"/>
              <w:spacing w:before="208" w:line="195" w:lineRule="auto"/>
              <w:rPr/>
            </w:pPr>
            <w:r>
              <w:rPr>
                <w:spacing w:val="4"/>
              </w:rPr>
              <w:t>2018~2024</w:t>
            </w:r>
          </w:p>
          <w:p>
            <w:pPr>
              <w:ind w:left="128"/>
              <w:spacing w:before="32"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08"/>
              <w:spacing w:before="27" w:line="215" w:lineRule="auto"/>
              <w:rPr/>
            </w:pPr>
            <w:r>
              <w:rPr>
                <w:spacing w:val="5"/>
              </w:rPr>
              <w:t>(</w:t>
            </w:r>
            <w:r>
              <w:rPr/>
              <w:t>km</w:t>
            </w:r>
            <w:r>
              <w:rPr>
                <w:sz w:val="13"/>
                <w:szCs w:val="13"/>
                <w:spacing w:val="5"/>
                <w:position w:val="6"/>
              </w:rPr>
              <w:t>2</w:t>
            </w:r>
            <w:r>
              <w:rPr>
                <w:spacing w:val="5"/>
              </w:rPr>
              <w:t>)</w:t>
            </w:r>
          </w:p>
        </w:tc>
      </w:tr>
      <w:tr>
        <w:trPr>
          <w:trHeight w:val="517" w:hRule="atLeast"/>
        </w:trPr>
        <w:tc>
          <w:tcPr>
            <w:tcW w:w="2072" w:type="dxa"/>
            <w:vAlign w:val="top"/>
            <w:vMerge w:val="continue"/>
            <w:tcBorders>
              <w:top w:val="nil"/>
            </w:tcBorders>
          </w:tcPr>
          <w:p>
            <w:pPr>
              <w:rPr>
                <w:rFonts w:ascii="Arial"/>
                <w:sz w:val="21"/>
              </w:rPr>
            </w:pPr>
            <w:r/>
          </w:p>
        </w:tc>
        <w:tc>
          <w:tcPr>
            <w:tcW w:w="832" w:type="dxa"/>
            <w:vAlign w:val="top"/>
          </w:tcPr>
          <w:p>
            <w:pPr>
              <w:pStyle w:val="TableText"/>
              <w:ind w:left="180" w:right="180" w:firstLine="29"/>
              <w:spacing w:before="31" w:line="233" w:lineRule="auto"/>
              <w:rPr/>
            </w:pPr>
            <w:r>
              <w:rPr>
                <w:rFonts w:ascii="SimSun" w:hAnsi="SimSun" w:eastAsia="SimSun" w:cs="SimSun"/>
                <w:spacing w:val="4"/>
              </w:rPr>
              <w:t>面积</w:t>
            </w:r>
            <w:r>
              <w:rPr>
                <w:spacing w:val="4"/>
              </w:rPr>
              <w:t>(</w:t>
            </w:r>
            <w:r>
              <w:rPr/>
              <w:t>km</w:t>
            </w:r>
            <w:r>
              <w:rPr>
                <w:sz w:val="13"/>
                <w:szCs w:val="13"/>
                <w:spacing w:val="4"/>
                <w:position w:val="6"/>
              </w:rPr>
              <w:t>2</w:t>
            </w:r>
            <w:r>
              <w:rPr>
                <w:spacing w:val="4"/>
              </w:rPr>
              <w:t>)</w:t>
            </w:r>
          </w:p>
        </w:tc>
        <w:tc>
          <w:tcPr>
            <w:tcW w:w="1111" w:type="dxa"/>
            <w:vAlign w:val="top"/>
          </w:tcPr>
          <w:p>
            <w:pPr>
              <w:ind w:left="382"/>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655" w:type="dxa"/>
            <w:vAlign w:val="top"/>
          </w:tcPr>
          <w:p>
            <w:pPr>
              <w:pStyle w:val="TableText"/>
              <w:ind w:left="94" w:right="86" w:firstLine="26"/>
              <w:spacing w:before="31" w:line="233" w:lineRule="auto"/>
              <w:rPr/>
            </w:pPr>
            <w:r>
              <w:rPr>
                <w:rFonts w:ascii="SimSun" w:hAnsi="SimSun" w:eastAsia="SimSun" w:cs="SimSun"/>
                <w:spacing w:val="4"/>
              </w:rPr>
              <w:t>面积</w:t>
            </w:r>
            <w:r>
              <w:rPr>
                <w:spacing w:val="5"/>
              </w:rPr>
              <w:t>(</w:t>
            </w:r>
            <w:r>
              <w:rPr/>
              <w:t>km</w:t>
            </w:r>
            <w:r>
              <w:rPr>
                <w:sz w:val="13"/>
                <w:szCs w:val="13"/>
                <w:spacing w:val="5"/>
                <w:position w:val="6"/>
              </w:rPr>
              <w:t>2</w:t>
            </w:r>
            <w:r>
              <w:rPr>
                <w:spacing w:val="5"/>
              </w:rPr>
              <w:t>)</w:t>
            </w:r>
          </w:p>
        </w:tc>
        <w:tc>
          <w:tcPr>
            <w:tcW w:w="899" w:type="dxa"/>
            <w:vAlign w:val="top"/>
          </w:tcPr>
          <w:p>
            <w:pPr>
              <w:ind w:left="277"/>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655" w:type="dxa"/>
            <w:vAlign w:val="top"/>
          </w:tcPr>
          <w:p>
            <w:pPr>
              <w:pStyle w:val="TableText"/>
              <w:ind w:left="93" w:right="87" w:firstLine="31"/>
              <w:spacing w:before="31" w:line="233" w:lineRule="auto"/>
              <w:rPr/>
            </w:pPr>
            <w:r>
              <w:rPr>
                <w:rFonts w:ascii="SimSun" w:hAnsi="SimSun" w:eastAsia="SimSun" w:cs="SimSun"/>
                <w:spacing w:val="4"/>
              </w:rPr>
              <w:t>面积</w:t>
            </w:r>
            <w:r>
              <w:rPr>
                <w:spacing w:val="5"/>
              </w:rPr>
              <w:t>(</w:t>
            </w:r>
            <w:r>
              <w:rPr/>
              <w:t>km</w:t>
            </w:r>
            <w:r>
              <w:rPr>
                <w:sz w:val="13"/>
                <w:szCs w:val="13"/>
                <w:spacing w:val="5"/>
                <w:position w:val="6"/>
              </w:rPr>
              <w:t>2</w:t>
            </w:r>
            <w:r>
              <w:rPr>
                <w:spacing w:val="5"/>
              </w:rPr>
              <w:t>)</w:t>
            </w:r>
          </w:p>
        </w:tc>
        <w:tc>
          <w:tcPr>
            <w:tcW w:w="899" w:type="dxa"/>
            <w:vAlign w:val="top"/>
          </w:tcPr>
          <w:p>
            <w:pPr>
              <w:ind w:left="278"/>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1082" w:type="dxa"/>
            <w:vAlign w:val="top"/>
            <w:vMerge w:val="continue"/>
            <w:tcBorders>
              <w:top w:val="nil"/>
            </w:tcBorders>
          </w:tcPr>
          <w:p>
            <w:pPr>
              <w:rPr>
                <w:rFonts w:ascii="Arial"/>
                <w:sz w:val="21"/>
              </w:rPr>
            </w:pPr>
            <w:r/>
          </w:p>
        </w:tc>
        <w:tc>
          <w:tcPr>
            <w:tcW w:w="1087" w:type="dxa"/>
            <w:vAlign w:val="top"/>
            <w:vMerge w:val="continue"/>
            <w:tcBorders>
              <w:top w:val="nil"/>
            </w:tcBorders>
          </w:tcPr>
          <w:p>
            <w:pPr>
              <w:rPr>
                <w:rFonts w:ascii="Arial"/>
                <w:sz w:val="21"/>
              </w:rPr>
            </w:pPr>
            <w:r/>
          </w:p>
        </w:tc>
      </w:tr>
      <w:tr>
        <w:trPr>
          <w:trHeight w:val="551" w:hRule="atLeast"/>
        </w:trPr>
        <w:tc>
          <w:tcPr>
            <w:tcW w:w="2072" w:type="dxa"/>
            <w:vAlign w:val="top"/>
          </w:tcPr>
          <w:p>
            <w:pPr>
              <w:spacing w:before="33" w:line="228" w:lineRule="auto"/>
              <w:jc w:val="right"/>
              <w:rPr>
                <w:rFonts w:ascii="SimSun" w:hAnsi="SimSun" w:eastAsia="SimSun" w:cs="SimSun"/>
                <w:sz w:val="20"/>
                <w:szCs w:val="20"/>
              </w:rPr>
            </w:pPr>
            <w:r>
              <w:rPr>
                <w:rFonts w:ascii="SimSun" w:hAnsi="SimSun" w:eastAsia="SimSun" w:cs="SimSun"/>
                <w:sz w:val="20"/>
                <w:szCs w:val="20"/>
                <w:spacing w:val="6"/>
              </w:rPr>
              <w:t>羊草、线叶菊等草甸草</w:t>
            </w:r>
          </w:p>
          <w:p>
            <w:pPr>
              <w:ind w:left="939"/>
              <w:spacing w:before="24" w:line="218" w:lineRule="auto"/>
              <w:rPr>
                <w:rFonts w:ascii="SimSun" w:hAnsi="SimSun" w:eastAsia="SimSun" w:cs="SimSun"/>
                <w:sz w:val="20"/>
                <w:szCs w:val="20"/>
              </w:rPr>
            </w:pPr>
            <w:r>
              <w:rPr>
                <w:rFonts w:ascii="SimSun" w:hAnsi="SimSun" w:eastAsia="SimSun" w:cs="SimSun"/>
                <w:sz w:val="20"/>
                <w:szCs w:val="20"/>
              </w:rPr>
              <w:t>原</w:t>
            </w:r>
          </w:p>
        </w:tc>
        <w:tc>
          <w:tcPr>
            <w:tcW w:w="832" w:type="dxa"/>
            <w:vAlign w:val="top"/>
          </w:tcPr>
          <w:p>
            <w:pPr>
              <w:pStyle w:val="TableText"/>
              <w:ind w:left="178"/>
              <w:spacing w:before="204" w:line="195" w:lineRule="auto"/>
              <w:rPr/>
            </w:pPr>
            <w:r>
              <w:rPr>
                <w:spacing w:val="-2"/>
              </w:rPr>
              <w:t>21.</w:t>
            </w:r>
            <w:r>
              <w:rPr>
                <w:spacing w:val="-22"/>
              </w:rPr>
              <w:t xml:space="preserve"> </w:t>
            </w:r>
            <w:r>
              <w:rPr>
                <w:spacing w:val="-2"/>
              </w:rPr>
              <w:t>14</w:t>
            </w:r>
          </w:p>
        </w:tc>
        <w:tc>
          <w:tcPr>
            <w:tcW w:w="1111" w:type="dxa"/>
            <w:vAlign w:val="top"/>
          </w:tcPr>
          <w:p>
            <w:pPr>
              <w:pStyle w:val="TableText"/>
              <w:ind w:left="236"/>
              <w:spacing w:before="204" w:line="195" w:lineRule="auto"/>
              <w:rPr/>
            </w:pPr>
            <w:r>
              <w:rPr>
                <w:spacing w:val="4"/>
              </w:rPr>
              <w:t>39.58%</w:t>
            </w:r>
          </w:p>
        </w:tc>
        <w:tc>
          <w:tcPr>
            <w:tcW w:w="655" w:type="dxa"/>
            <w:vAlign w:val="top"/>
          </w:tcPr>
          <w:p>
            <w:pPr>
              <w:pStyle w:val="TableText"/>
              <w:ind w:left="110"/>
              <w:spacing w:before="204" w:line="195" w:lineRule="auto"/>
              <w:rPr/>
            </w:pPr>
            <w:r>
              <w:rPr/>
              <w:t>17.72</w:t>
            </w:r>
          </w:p>
        </w:tc>
        <w:tc>
          <w:tcPr>
            <w:tcW w:w="899" w:type="dxa"/>
            <w:vAlign w:val="top"/>
          </w:tcPr>
          <w:p>
            <w:pPr>
              <w:pStyle w:val="TableText"/>
              <w:ind w:left="131"/>
              <w:spacing w:before="204" w:line="195" w:lineRule="auto"/>
              <w:rPr/>
            </w:pPr>
            <w:r>
              <w:rPr>
                <w:spacing w:val="-1"/>
              </w:rPr>
              <w:t>33.</w:t>
            </w:r>
            <w:r>
              <w:rPr>
                <w:spacing w:val="-21"/>
              </w:rPr>
              <w:t xml:space="preserve"> </w:t>
            </w:r>
            <w:r>
              <w:rPr>
                <w:spacing w:val="-1"/>
              </w:rPr>
              <w:t>18%</w:t>
            </w:r>
          </w:p>
        </w:tc>
        <w:tc>
          <w:tcPr>
            <w:tcW w:w="655" w:type="dxa"/>
            <w:vAlign w:val="top"/>
          </w:tcPr>
          <w:p>
            <w:pPr>
              <w:pStyle w:val="TableText"/>
              <w:ind w:left="111"/>
              <w:spacing w:before="204" w:line="195" w:lineRule="auto"/>
              <w:rPr/>
            </w:pPr>
            <w:r>
              <w:rPr/>
              <w:t>13.89</w:t>
            </w:r>
          </w:p>
        </w:tc>
        <w:tc>
          <w:tcPr>
            <w:tcW w:w="899" w:type="dxa"/>
            <w:vAlign w:val="top"/>
          </w:tcPr>
          <w:p>
            <w:pPr>
              <w:pStyle w:val="TableText"/>
              <w:ind w:left="128"/>
              <w:spacing w:before="204" w:line="195" w:lineRule="auto"/>
              <w:rPr/>
            </w:pPr>
            <w:r>
              <w:rPr>
                <w:spacing w:val="4"/>
              </w:rPr>
              <w:t>26.01%</w:t>
            </w:r>
          </w:p>
        </w:tc>
        <w:tc>
          <w:tcPr>
            <w:tcW w:w="1082" w:type="dxa"/>
            <w:vAlign w:val="top"/>
          </w:tcPr>
          <w:p>
            <w:pPr>
              <w:pStyle w:val="TableText"/>
              <w:ind w:left="327"/>
              <w:spacing w:before="204" w:line="195" w:lineRule="auto"/>
              <w:rPr/>
            </w:pPr>
            <w:r>
              <w:rPr>
                <w:spacing w:val="3"/>
              </w:rPr>
              <w:t>-3.42</w:t>
            </w:r>
          </w:p>
        </w:tc>
        <w:tc>
          <w:tcPr>
            <w:tcW w:w="1087" w:type="dxa"/>
            <w:vAlign w:val="top"/>
          </w:tcPr>
          <w:p>
            <w:pPr>
              <w:pStyle w:val="TableText"/>
              <w:ind w:left="332"/>
              <w:spacing w:before="204" w:line="195" w:lineRule="auto"/>
              <w:rPr/>
            </w:pPr>
            <w:r>
              <w:rPr>
                <w:spacing w:val="2"/>
              </w:rPr>
              <w:t>-3.83</w:t>
            </w:r>
          </w:p>
        </w:tc>
      </w:tr>
      <w:tr>
        <w:trPr>
          <w:trHeight w:val="548" w:hRule="atLeast"/>
        </w:trPr>
        <w:tc>
          <w:tcPr>
            <w:tcW w:w="2072" w:type="dxa"/>
            <w:vAlign w:val="top"/>
          </w:tcPr>
          <w:p>
            <w:pPr>
              <w:ind w:left="415" w:hanging="416"/>
              <w:spacing w:before="30" w:line="234" w:lineRule="auto"/>
              <w:rPr>
                <w:rFonts w:ascii="SimSun" w:hAnsi="SimSun" w:eastAsia="SimSun" w:cs="SimSun"/>
                <w:sz w:val="20"/>
                <w:szCs w:val="20"/>
              </w:rPr>
            </w:pPr>
            <w:r>
              <w:rPr>
                <w:rFonts w:ascii="SimSun" w:hAnsi="SimSun" w:eastAsia="SimSun" w:cs="SimSun"/>
                <w:sz w:val="20"/>
                <w:szCs w:val="20"/>
                <w:spacing w:val="6"/>
              </w:rPr>
              <w:t>拂子茅、野大麦、芨芨</w:t>
            </w:r>
            <w:r>
              <w:rPr>
                <w:rFonts w:ascii="SimSun" w:hAnsi="SimSun" w:eastAsia="SimSun" w:cs="SimSun"/>
                <w:sz w:val="20"/>
                <w:szCs w:val="20"/>
                <w:spacing w:val="6"/>
              </w:rPr>
              <w:t>草等河滩草甸</w:t>
            </w:r>
          </w:p>
        </w:tc>
        <w:tc>
          <w:tcPr>
            <w:tcW w:w="832" w:type="dxa"/>
            <w:vAlign w:val="top"/>
          </w:tcPr>
          <w:p>
            <w:pPr>
              <w:pStyle w:val="TableText"/>
              <w:ind w:left="198"/>
              <w:spacing w:before="202" w:line="195" w:lineRule="auto"/>
              <w:rPr/>
            </w:pPr>
            <w:r>
              <w:rPr>
                <w:spacing w:val="-1"/>
              </w:rPr>
              <w:t>10.68</w:t>
            </w:r>
          </w:p>
        </w:tc>
        <w:tc>
          <w:tcPr>
            <w:tcW w:w="1111" w:type="dxa"/>
            <w:vAlign w:val="top"/>
          </w:tcPr>
          <w:p>
            <w:pPr>
              <w:pStyle w:val="TableText"/>
              <w:ind w:left="232"/>
              <w:spacing w:before="202" w:line="195" w:lineRule="auto"/>
              <w:rPr/>
            </w:pPr>
            <w:r>
              <w:rPr>
                <w:spacing w:val="4"/>
              </w:rPr>
              <w:t>20.01%</w:t>
            </w:r>
          </w:p>
        </w:tc>
        <w:tc>
          <w:tcPr>
            <w:tcW w:w="655" w:type="dxa"/>
            <w:vAlign w:val="top"/>
          </w:tcPr>
          <w:p>
            <w:pPr>
              <w:pStyle w:val="TableText"/>
              <w:ind w:left="110"/>
              <w:spacing w:before="202" w:line="195" w:lineRule="auto"/>
              <w:rPr/>
            </w:pPr>
            <w:r>
              <w:rPr/>
              <w:t>10.01</w:t>
            </w:r>
          </w:p>
        </w:tc>
        <w:tc>
          <w:tcPr>
            <w:tcW w:w="899" w:type="dxa"/>
            <w:vAlign w:val="top"/>
          </w:tcPr>
          <w:p>
            <w:pPr>
              <w:pStyle w:val="TableText"/>
              <w:ind w:left="146"/>
              <w:spacing w:before="202" w:line="195" w:lineRule="auto"/>
              <w:rPr/>
            </w:pPr>
            <w:r>
              <w:rPr>
                <w:spacing w:val="1"/>
              </w:rPr>
              <w:t>18.73%</w:t>
            </w:r>
          </w:p>
        </w:tc>
        <w:tc>
          <w:tcPr>
            <w:tcW w:w="655" w:type="dxa"/>
            <w:vAlign w:val="top"/>
          </w:tcPr>
          <w:p>
            <w:pPr>
              <w:pStyle w:val="TableText"/>
              <w:ind w:left="111"/>
              <w:spacing w:before="202" w:line="195" w:lineRule="auto"/>
              <w:rPr/>
            </w:pPr>
            <w:r>
              <w:rPr/>
              <w:t>13.39</w:t>
            </w:r>
          </w:p>
        </w:tc>
        <w:tc>
          <w:tcPr>
            <w:tcW w:w="899" w:type="dxa"/>
            <w:vAlign w:val="top"/>
          </w:tcPr>
          <w:p>
            <w:pPr>
              <w:pStyle w:val="TableText"/>
              <w:ind w:left="128"/>
              <w:spacing w:before="202" w:line="195" w:lineRule="auto"/>
              <w:rPr/>
            </w:pPr>
            <w:r>
              <w:rPr>
                <w:spacing w:val="4"/>
              </w:rPr>
              <w:t>25.07%</w:t>
            </w:r>
          </w:p>
        </w:tc>
        <w:tc>
          <w:tcPr>
            <w:tcW w:w="1082" w:type="dxa"/>
            <w:vAlign w:val="top"/>
          </w:tcPr>
          <w:p>
            <w:pPr>
              <w:pStyle w:val="TableText"/>
              <w:ind w:left="327"/>
              <w:spacing w:before="202" w:line="195" w:lineRule="auto"/>
              <w:rPr/>
            </w:pPr>
            <w:r>
              <w:rPr>
                <w:spacing w:val="3"/>
              </w:rPr>
              <w:t>-0.68</w:t>
            </w:r>
          </w:p>
        </w:tc>
        <w:tc>
          <w:tcPr>
            <w:tcW w:w="1087" w:type="dxa"/>
            <w:vAlign w:val="top"/>
          </w:tcPr>
          <w:p>
            <w:pPr>
              <w:pStyle w:val="TableText"/>
              <w:ind w:left="364"/>
              <w:spacing w:before="202" w:line="195" w:lineRule="auto"/>
              <w:rPr/>
            </w:pPr>
            <w:r>
              <w:rPr>
                <w:spacing w:val="3"/>
              </w:rPr>
              <w:t>3.38</w:t>
            </w:r>
          </w:p>
        </w:tc>
      </w:tr>
      <w:tr>
        <w:trPr>
          <w:trHeight w:val="295" w:hRule="atLeast"/>
        </w:trPr>
        <w:tc>
          <w:tcPr>
            <w:tcW w:w="2072" w:type="dxa"/>
            <w:vAlign w:val="top"/>
          </w:tcPr>
          <w:p>
            <w:pPr>
              <w:ind w:left="100"/>
              <w:spacing w:before="41" w:line="225" w:lineRule="auto"/>
              <w:rPr>
                <w:rFonts w:ascii="SimSun" w:hAnsi="SimSun" w:eastAsia="SimSun" w:cs="SimSun"/>
                <w:sz w:val="20"/>
                <w:szCs w:val="20"/>
              </w:rPr>
            </w:pPr>
            <w:r>
              <w:rPr>
                <w:rFonts w:ascii="SimSun" w:hAnsi="SimSun" w:eastAsia="SimSun" w:cs="SimSun"/>
                <w:sz w:val="20"/>
                <w:szCs w:val="20"/>
                <w:spacing w:val="8"/>
              </w:rPr>
              <w:t>羊草、丛生禾草草原</w:t>
            </w:r>
          </w:p>
        </w:tc>
        <w:tc>
          <w:tcPr>
            <w:tcW w:w="832" w:type="dxa"/>
            <w:vAlign w:val="top"/>
          </w:tcPr>
          <w:p>
            <w:pPr>
              <w:pStyle w:val="TableText"/>
              <w:ind w:left="237"/>
              <w:spacing w:before="76" w:line="195" w:lineRule="auto"/>
              <w:rPr/>
            </w:pPr>
            <w:r>
              <w:rPr>
                <w:spacing w:val="2"/>
              </w:rPr>
              <w:t>7.13</w:t>
            </w:r>
          </w:p>
        </w:tc>
        <w:tc>
          <w:tcPr>
            <w:tcW w:w="1111" w:type="dxa"/>
            <w:vAlign w:val="top"/>
          </w:tcPr>
          <w:p>
            <w:pPr>
              <w:pStyle w:val="TableText"/>
              <w:ind w:left="252"/>
              <w:spacing w:before="76" w:line="195" w:lineRule="auto"/>
              <w:rPr/>
            </w:pPr>
            <w:r>
              <w:rPr>
                <w:spacing w:val="1"/>
              </w:rPr>
              <w:t>13.35%</w:t>
            </w:r>
          </w:p>
        </w:tc>
        <w:tc>
          <w:tcPr>
            <w:tcW w:w="655" w:type="dxa"/>
            <w:vAlign w:val="top"/>
          </w:tcPr>
          <w:p>
            <w:pPr>
              <w:pStyle w:val="TableText"/>
              <w:ind w:left="147"/>
              <w:spacing w:before="76" w:line="195" w:lineRule="auto"/>
              <w:rPr/>
            </w:pPr>
            <w:r>
              <w:rPr>
                <w:spacing w:val="3"/>
              </w:rPr>
              <w:t>9.94</w:t>
            </w:r>
          </w:p>
        </w:tc>
        <w:tc>
          <w:tcPr>
            <w:tcW w:w="899" w:type="dxa"/>
            <w:vAlign w:val="top"/>
          </w:tcPr>
          <w:p>
            <w:pPr>
              <w:pStyle w:val="TableText"/>
              <w:ind w:left="146"/>
              <w:spacing w:before="76" w:line="195" w:lineRule="auto"/>
              <w:rPr/>
            </w:pPr>
            <w:r>
              <w:rPr>
                <w:spacing w:val="1"/>
              </w:rPr>
              <w:t>18.62%</w:t>
            </w:r>
          </w:p>
        </w:tc>
        <w:tc>
          <w:tcPr>
            <w:tcW w:w="655" w:type="dxa"/>
            <w:vAlign w:val="top"/>
          </w:tcPr>
          <w:p>
            <w:pPr>
              <w:pStyle w:val="TableText"/>
              <w:ind w:left="111"/>
              <w:spacing w:before="76" w:line="195" w:lineRule="auto"/>
              <w:rPr/>
            </w:pPr>
            <w:r>
              <w:rPr/>
              <w:t>12.03</w:t>
            </w:r>
          </w:p>
        </w:tc>
        <w:tc>
          <w:tcPr>
            <w:tcW w:w="899" w:type="dxa"/>
            <w:vAlign w:val="top"/>
          </w:tcPr>
          <w:p>
            <w:pPr>
              <w:pStyle w:val="TableText"/>
              <w:ind w:left="128"/>
              <w:spacing w:before="76" w:line="195" w:lineRule="auto"/>
              <w:rPr/>
            </w:pPr>
            <w:r>
              <w:rPr>
                <w:spacing w:val="4"/>
              </w:rPr>
              <w:t>22.53%</w:t>
            </w:r>
          </w:p>
        </w:tc>
        <w:tc>
          <w:tcPr>
            <w:tcW w:w="1082" w:type="dxa"/>
            <w:vAlign w:val="top"/>
          </w:tcPr>
          <w:p>
            <w:pPr>
              <w:pStyle w:val="TableText"/>
              <w:ind w:left="359"/>
              <w:spacing w:before="76" w:line="195" w:lineRule="auto"/>
              <w:rPr/>
            </w:pPr>
            <w:r>
              <w:rPr>
                <w:spacing w:val="4"/>
              </w:rPr>
              <w:t>2.82</w:t>
            </w:r>
          </w:p>
        </w:tc>
        <w:tc>
          <w:tcPr>
            <w:tcW w:w="1087" w:type="dxa"/>
            <w:vAlign w:val="top"/>
          </w:tcPr>
          <w:p>
            <w:pPr>
              <w:pStyle w:val="TableText"/>
              <w:ind w:left="359"/>
              <w:spacing w:before="76" w:line="195" w:lineRule="auto"/>
              <w:rPr/>
            </w:pPr>
            <w:r>
              <w:rPr>
                <w:spacing w:val="4"/>
              </w:rPr>
              <w:t>2.09</w:t>
            </w:r>
          </w:p>
        </w:tc>
      </w:tr>
      <w:tr>
        <w:trPr>
          <w:trHeight w:val="295" w:hRule="atLeast"/>
        </w:trPr>
        <w:tc>
          <w:tcPr>
            <w:tcW w:w="2072" w:type="dxa"/>
            <w:vAlign w:val="top"/>
          </w:tcPr>
          <w:p>
            <w:pPr>
              <w:ind w:left="727"/>
              <w:spacing w:before="41" w:line="225" w:lineRule="auto"/>
              <w:rPr>
                <w:rFonts w:ascii="SimSun" w:hAnsi="SimSun" w:eastAsia="SimSun" w:cs="SimSun"/>
                <w:sz w:val="20"/>
                <w:szCs w:val="20"/>
              </w:rPr>
            </w:pPr>
            <w:r>
              <w:rPr>
                <w:rFonts w:ascii="SimSun" w:hAnsi="SimSun" w:eastAsia="SimSun" w:cs="SimSun"/>
                <w:sz w:val="20"/>
                <w:szCs w:val="20"/>
                <w:spacing w:val="6"/>
              </w:rPr>
              <w:t>无植被</w:t>
            </w:r>
          </w:p>
        </w:tc>
        <w:tc>
          <w:tcPr>
            <w:tcW w:w="832" w:type="dxa"/>
            <w:vAlign w:val="top"/>
          </w:tcPr>
          <w:p>
            <w:pPr>
              <w:pStyle w:val="TableText"/>
              <w:ind w:left="198"/>
              <w:spacing w:before="76" w:line="195" w:lineRule="auto"/>
              <w:rPr/>
            </w:pPr>
            <w:r>
              <w:rPr>
                <w:spacing w:val="-1"/>
              </w:rPr>
              <w:t>14.45</w:t>
            </w:r>
          </w:p>
        </w:tc>
        <w:tc>
          <w:tcPr>
            <w:tcW w:w="1111" w:type="dxa"/>
            <w:vAlign w:val="top"/>
          </w:tcPr>
          <w:p>
            <w:pPr>
              <w:pStyle w:val="TableText"/>
              <w:ind w:left="232"/>
              <w:spacing w:before="76" w:line="195" w:lineRule="auto"/>
              <w:rPr/>
            </w:pPr>
            <w:r>
              <w:rPr>
                <w:spacing w:val="4"/>
              </w:rPr>
              <w:t>27.06%</w:t>
            </w:r>
          </w:p>
        </w:tc>
        <w:tc>
          <w:tcPr>
            <w:tcW w:w="655" w:type="dxa"/>
            <w:vAlign w:val="top"/>
          </w:tcPr>
          <w:p>
            <w:pPr>
              <w:pStyle w:val="TableText"/>
              <w:ind w:left="110"/>
              <w:spacing w:before="76" w:line="195" w:lineRule="auto"/>
              <w:rPr/>
            </w:pPr>
            <w:r>
              <w:rPr/>
              <w:t>15.74</w:t>
            </w:r>
          </w:p>
        </w:tc>
        <w:tc>
          <w:tcPr>
            <w:tcW w:w="899" w:type="dxa"/>
            <w:vAlign w:val="top"/>
          </w:tcPr>
          <w:p>
            <w:pPr>
              <w:pStyle w:val="TableText"/>
              <w:ind w:left="126"/>
              <w:spacing w:before="76" w:line="195" w:lineRule="auto"/>
              <w:rPr/>
            </w:pPr>
            <w:r>
              <w:rPr>
                <w:spacing w:val="4"/>
              </w:rPr>
              <w:t>29.46%</w:t>
            </w:r>
          </w:p>
        </w:tc>
        <w:tc>
          <w:tcPr>
            <w:tcW w:w="655" w:type="dxa"/>
            <w:vAlign w:val="top"/>
          </w:tcPr>
          <w:p>
            <w:pPr>
              <w:pStyle w:val="TableText"/>
              <w:ind w:left="111"/>
              <w:spacing w:before="76" w:line="195" w:lineRule="auto"/>
              <w:rPr/>
            </w:pPr>
            <w:r>
              <w:rPr/>
              <w:t>14.09</w:t>
            </w:r>
          </w:p>
        </w:tc>
        <w:tc>
          <w:tcPr>
            <w:tcW w:w="899" w:type="dxa"/>
            <w:vAlign w:val="top"/>
          </w:tcPr>
          <w:p>
            <w:pPr>
              <w:pStyle w:val="TableText"/>
              <w:ind w:left="128"/>
              <w:spacing w:before="76" w:line="195" w:lineRule="auto"/>
              <w:rPr/>
            </w:pPr>
            <w:r>
              <w:rPr>
                <w:spacing w:val="4"/>
              </w:rPr>
              <w:t>26.39%</w:t>
            </w:r>
          </w:p>
        </w:tc>
        <w:tc>
          <w:tcPr>
            <w:tcW w:w="1082" w:type="dxa"/>
            <w:vAlign w:val="top"/>
          </w:tcPr>
          <w:p>
            <w:pPr>
              <w:pStyle w:val="TableText"/>
              <w:ind w:left="379"/>
              <w:spacing w:before="76" w:line="195" w:lineRule="auto"/>
              <w:rPr/>
            </w:pPr>
            <w:r>
              <w:rPr>
                <w:spacing w:val="-1"/>
              </w:rPr>
              <w:t>1.28</w:t>
            </w:r>
          </w:p>
        </w:tc>
        <w:tc>
          <w:tcPr>
            <w:tcW w:w="1087" w:type="dxa"/>
            <w:vAlign w:val="top"/>
          </w:tcPr>
          <w:p>
            <w:pPr>
              <w:pStyle w:val="TableText"/>
              <w:ind w:left="332"/>
              <w:spacing w:before="76" w:line="195" w:lineRule="auto"/>
              <w:rPr/>
            </w:pPr>
            <w:r>
              <w:rPr>
                <w:spacing w:val="2"/>
              </w:rPr>
              <w:t>-1.64</w:t>
            </w:r>
          </w:p>
        </w:tc>
      </w:tr>
      <w:tr>
        <w:trPr>
          <w:trHeight w:val="299" w:hRule="atLeast"/>
        </w:trPr>
        <w:tc>
          <w:tcPr>
            <w:tcW w:w="2072" w:type="dxa"/>
            <w:vAlign w:val="top"/>
          </w:tcPr>
          <w:p>
            <w:pPr>
              <w:ind w:left="839"/>
              <w:spacing w:before="40" w:line="229" w:lineRule="auto"/>
              <w:rPr>
                <w:rFonts w:ascii="SimSun" w:hAnsi="SimSun" w:eastAsia="SimSun" w:cs="SimSun"/>
                <w:sz w:val="20"/>
                <w:szCs w:val="20"/>
              </w:rPr>
            </w:pPr>
            <w:r>
              <w:rPr>
                <w:rFonts w:ascii="SimSun" w:hAnsi="SimSun" w:eastAsia="SimSun" w:cs="SimSun"/>
                <w:sz w:val="20"/>
                <w:szCs w:val="20"/>
                <w:spacing w:val="2"/>
              </w:rPr>
              <w:t>总计</w:t>
            </w:r>
          </w:p>
        </w:tc>
        <w:tc>
          <w:tcPr>
            <w:tcW w:w="832" w:type="dxa"/>
            <w:vAlign w:val="top"/>
          </w:tcPr>
          <w:p>
            <w:pPr>
              <w:pStyle w:val="TableText"/>
              <w:ind w:left="184"/>
              <w:spacing w:before="76" w:line="195" w:lineRule="auto"/>
              <w:rPr/>
            </w:pPr>
            <w:r>
              <w:rPr>
                <w:spacing w:val="2"/>
              </w:rPr>
              <w:t>53.41</w:t>
            </w:r>
          </w:p>
        </w:tc>
        <w:tc>
          <w:tcPr>
            <w:tcW w:w="1111" w:type="dxa"/>
            <w:vAlign w:val="top"/>
          </w:tcPr>
          <w:p>
            <w:pPr>
              <w:pStyle w:val="TableText"/>
              <w:ind w:left="201"/>
              <w:spacing w:before="76" w:line="195" w:lineRule="auto"/>
              <w:rPr/>
            </w:pPr>
            <w:r>
              <w:rPr>
                <w:spacing w:val="1"/>
              </w:rPr>
              <w:t>100.00%</w:t>
            </w:r>
          </w:p>
        </w:tc>
        <w:tc>
          <w:tcPr>
            <w:tcW w:w="655" w:type="dxa"/>
            <w:vAlign w:val="top"/>
          </w:tcPr>
          <w:p>
            <w:pPr>
              <w:pStyle w:val="TableText"/>
              <w:ind w:left="96"/>
              <w:spacing w:before="76" w:line="195" w:lineRule="auto"/>
              <w:rPr/>
            </w:pPr>
            <w:r>
              <w:rPr>
                <w:spacing w:val="3"/>
              </w:rPr>
              <w:t>53.41</w:t>
            </w:r>
          </w:p>
        </w:tc>
        <w:tc>
          <w:tcPr>
            <w:tcW w:w="899" w:type="dxa"/>
            <w:vAlign w:val="top"/>
          </w:tcPr>
          <w:p>
            <w:pPr>
              <w:pStyle w:val="TableText"/>
              <w:ind w:left="94"/>
              <w:spacing w:before="76" w:line="195" w:lineRule="auto"/>
              <w:rPr/>
            </w:pPr>
            <w:r>
              <w:rPr>
                <w:spacing w:val="1"/>
              </w:rPr>
              <w:t>100.00%</w:t>
            </w:r>
          </w:p>
        </w:tc>
        <w:tc>
          <w:tcPr>
            <w:tcW w:w="655" w:type="dxa"/>
            <w:vAlign w:val="top"/>
          </w:tcPr>
          <w:p>
            <w:pPr>
              <w:pStyle w:val="TableText"/>
              <w:ind w:left="97"/>
              <w:spacing w:before="76" w:line="195" w:lineRule="auto"/>
              <w:rPr/>
            </w:pPr>
            <w:r>
              <w:rPr>
                <w:spacing w:val="3"/>
              </w:rPr>
              <w:t>53.41</w:t>
            </w:r>
          </w:p>
        </w:tc>
        <w:tc>
          <w:tcPr>
            <w:tcW w:w="899" w:type="dxa"/>
            <w:vAlign w:val="top"/>
          </w:tcPr>
          <w:p>
            <w:pPr>
              <w:pStyle w:val="TableText"/>
              <w:ind w:left="97"/>
              <w:spacing w:before="76" w:line="195" w:lineRule="auto"/>
              <w:rPr/>
            </w:pPr>
            <w:r>
              <w:rPr>
                <w:spacing w:val="1"/>
              </w:rPr>
              <w:t>100.00%</w:t>
            </w:r>
          </w:p>
        </w:tc>
        <w:tc>
          <w:tcPr>
            <w:tcW w:w="1082" w:type="dxa"/>
            <w:vAlign w:val="top"/>
          </w:tcPr>
          <w:p>
            <w:pPr>
              <w:pStyle w:val="TableText"/>
              <w:ind w:left="362"/>
              <w:spacing w:before="76" w:line="195" w:lineRule="auto"/>
              <w:rPr/>
            </w:pPr>
            <w:r>
              <w:rPr>
                <w:spacing w:val="3"/>
              </w:rPr>
              <w:t>0.00</w:t>
            </w:r>
          </w:p>
        </w:tc>
        <w:tc>
          <w:tcPr>
            <w:tcW w:w="1087" w:type="dxa"/>
            <w:vAlign w:val="top"/>
          </w:tcPr>
          <w:p>
            <w:pPr>
              <w:pStyle w:val="TableText"/>
              <w:ind w:left="363"/>
              <w:spacing w:before="76" w:line="195" w:lineRule="auto"/>
              <w:rPr/>
            </w:pPr>
            <w:r>
              <w:rPr>
                <w:spacing w:val="3"/>
              </w:rPr>
              <w:t>0.00</w:t>
            </w:r>
          </w:p>
        </w:tc>
      </w:tr>
    </w:tbl>
    <w:p>
      <w:pPr>
        <w:pStyle w:val="BodyText"/>
        <w:spacing w:line="337" w:lineRule="auto"/>
        <w:rPr/>
      </w:pPr>
      <w:r/>
    </w:p>
    <w:p>
      <w:pPr>
        <w:ind w:left="11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3.3.1.5 </w:t>
      </w:r>
      <w:r>
        <w:rPr>
          <w:rFonts w:ascii="SimHei" w:hAnsi="SimHei" w:eastAsia="SimHei" w:cs="SimHei"/>
          <w:sz w:val="24"/>
          <w:szCs w:val="24"/>
          <w:b/>
          <w:bCs/>
          <w:spacing w:val="-2"/>
        </w:rPr>
        <w:t>植被覆盖度影响回顾</w:t>
      </w:r>
    </w:p>
    <w:p>
      <w:pPr>
        <w:ind w:left="123" w:right="115" w:firstLine="478"/>
        <w:spacing w:before="160" w:line="338" w:lineRule="auto"/>
        <w:rPr>
          <w:rFonts w:ascii="SimSun" w:hAnsi="SimSun" w:eastAsia="SimSun" w:cs="SimSun"/>
          <w:sz w:val="24"/>
          <w:szCs w:val="24"/>
        </w:rPr>
      </w:pPr>
      <w:r>
        <w:rPr>
          <w:rFonts w:ascii="SimSun" w:hAnsi="SimSun" w:eastAsia="SimSun" w:cs="SimSun"/>
          <w:sz w:val="24"/>
          <w:szCs w:val="24"/>
          <w:spacing w:val="-2"/>
        </w:rPr>
        <w:t>评价区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2014 </w:t>
      </w:r>
      <w:r>
        <w:rPr>
          <w:rFonts w:ascii="SimSun" w:hAnsi="SimSun" w:eastAsia="SimSun" w:cs="SimSun"/>
          <w:sz w:val="24"/>
          <w:szCs w:val="24"/>
          <w:spacing w:val="-2"/>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年植被覆盖度发生了一定变化，各类型植被覆盖度所占比例及</w:t>
      </w:r>
      <w:r>
        <w:rPr>
          <w:rFonts w:ascii="SimSun" w:hAnsi="SimSun" w:eastAsia="SimSun" w:cs="SimSun"/>
          <w:sz w:val="24"/>
          <w:szCs w:val="24"/>
          <w:spacing w:val="-2"/>
        </w:rPr>
        <w:t>其变化情况具体见图</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2"/>
        </w:rPr>
        <w:t>3-3-6 </w:t>
      </w:r>
      <w:r>
        <w:rPr>
          <w:rFonts w:ascii="SimSun" w:hAnsi="SimSun" w:eastAsia="SimSun" w:cs="SimSun"/>
          <w:sz w:val="24"/>
          <w:szCs w:val="24"/>
          <w:spacing w:val="-2"/>
        </w:rPr>
        <w:t>及表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3-3-3</w:t>
      </w:r>
      <w:r>
        <w:rPr>
          <w:rFonts w:ascii="SimSun" w:hAnsi="SimSun" w:eastAsia="SimSun" w:cs="SimSun"/>
          <w:sz w:val="24"/>
          <w:szCs w:val="24"/>
          <w:spacing w:val="-2"/>
        </w:rPr>
        <w:t>。</w:t>
      </w:r>
    </w:p>
    <w:p>
      <w:pPr>
        <w:ind w:left="122" w:right="115" w:firstLine="478"/>
        <w:spacing w:before="2" w:line="338" w:lineRule="auto"/>
        <w:jc w:val="both"/>
        <w:rPr>
          <w:rFonts w:ascii="SimSun" w:hAnsi="SimSun" w:eastAsia="SimSun" w:cs="SimSun"/>
          <w:sz w:val="24"/>
          <w:szCs w:val="24"/>
        </w:rPr>
      </w:pPr>
      <w:r>
        <w:rPr>
          <w:rFonts w:ascii="SimSun" w:hAnsi="SimSun" w:eastAsia="SimSun" w:cs="SimSun"/>
          <w:sz w:val="24"/>
          <w:szCs w:val="24"/>
          <w:spacing w:val="3"/>
        </w:rPr>
        <w:t>对比结果可知，</w:t>
      </w:r>
      <w:r>
        <w:rPr>
          <w:rFonts w:ascii="Times New Roman" w:hAnsi="Times New Roman" w:eastAsia="Times New Roman" w:cs="Times New Roman"/>
          <w:sz w:val="24"/>
          <w:szCs w:val="24"/>
          <w:spacing w:val="3"/>
        </w:rPr>
        <w:t>2014</w:t>
      </w:r>
      <w:r>
        <w:rPr>
          <w:rFonts w:ascii="SimSun" w:hAnsi="SimSun" w:eastAsia="SimSun" w:cs="SimSun"/>
          <w:sz w:val="24"/>
          <w:szCs w:val="24"/>
          <w:spacing w:val="3"/>
        </w:rPr>
        <w:t>～</w:t>
      </w:r>
      <w:r>
        <w:rPr>
          <w:rFonts w:ascii="Times New Roman" w:hAnsi="Times New Roman" w:eastAsia="Times New Roman" w:cs="Times New Roman"/>
          <w:sz w:val="24"/>
          <w:szCs w:val="24"/>
          <w:spacing w:val="3"/>
        </w:rPr>
        <w:t>2018 </w:t>
      </w:r>
      <w:r>
        <w:rPr>
          <w:rFonts w:ascii="SimSun" w:hAnsi="SimSun" w:eastAsia="SimSun" w:cs="SimSun"/>
          <w:sz w:val="24"/>
          <w:szCs w:val="24"/>
          <w:spacing w:val="3"/>
        </w:rPr>
        <w:t>年，评价范围内植被高覆盖度和中低覆盖度面积减少</w:t>
      </w:r>
      <w:r>
        <w:rPr>
          <w:rFonts w:ascii="Times New Roman" w:hAnsi="Times New Roman" w:eastAsia="Times New Roman" w:cs="Times New Roman"/>
          <w:sz w:val="24"/>
          <w:szCs w:val="24"/>
          <w:spacing w:val="-1"/>
        </w:rPr>
        <w:t>3.33km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2"/>
          <w:w w:val="101"/>
          <w:position w:val="7"/>
        </w:rPr>
        <w:t xml:space="preserve"> </w:t>
      </w:r>
      <w:r>
        <w:rPr>
          <w:rFonts w:ascii="SimSun" w:hAnsi="SimSun" w:eastAsia="SimSun" w:cs="SimSun"/>
          <w:sz w:val="24"/>
          <w:szCs w:val="24"/>
          <w:spacing w:val="-1"/>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0.53km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1"/>
        </w:rPr>
        <w:t>，其它植</w:t>
      </w:r>
      <w:r>
        <w:rPr>
          <w:rFonts w:ascii="SimSun" w:hAnsi="SimSun" w:eastAsia="SimSun" w:cs="SimSun"/>
          <w:sz w:val="24"/>
          <w:szCs w:val="24"/>
          <w:spacing w:val="-2"/>
        </w:rPr>
        <w:t>被覆盖度均有不同程度的增加。</w:t>
      </w:r>
      <w:r>
        <w:rPr>
          <w:rFonts w:ascii="Times New Roman" w:hAnsi="Times New Roman" w:eastAsia="Times New Roman" w:cs="Times New Roman"/>
          <w:sz w:val="24"/>
          <w:szCs w:val="24"/>
          <w:spacing w:val="-2"/>
        </w:rPr>
        <w:t>2018~2024 </w:t>
      </w:r>
      <w:r>
        <w:rPr>
          <w:rFonts w:ascii="SimSun" w:hAnsi="SimSun" w:eastAsia="SimSun" w:cs="SimSun"/>
          <w:sz w:val="24"/>
          <w:szCs w:val="24"/>
          <w:spacing w:val="-2"/>
        </w:rPr>
        <w:t>年，评价区低覆</w:t>
      </w:r>
      <w:r>
        <w:rPr>
          <w:rFonts w:ascii="SimSun" w:hAnsi="SimSun" w:eastAsia="SimSun" w:cs="SimSun"/>
          <w:sz w:val="24"/>
          <w:szCs w:val="24"/>
          <w:spacing w:val="-1"/>
        </w:rPr>
        <w:t>盖度和中低覆盖度面积增加，其余覆盖度增减少。</w:t>
      </w:r>
    </w:p>
    <w:p>
      <w:pPr>
        <w:ind w:left="122" w:right="115" w:firstLine="486"/>
        <w:spacing w:before="1" w:line="340" w:lineRule="auto"/>
        <w:jc w:val="both"/>
        <w:rPr>
          <w:rFonts w:ascii="SimSun" w:hAnsi="SimSun" w:eastAsia="SimSun" w:cs="SimSun"/>
          <w:sz w:val="24"/>
          <w:szCs w:val="24"/>
        </w:rPr>
      </w:pPr>
      <w:r>
        <w:rPr>
          <w:rFonts w:ascii="SimSun" w:hAnsi="SimSun" w:eastAsia="SimSun" w:cs="SimSun"/>
          <w:sz w:val="24"/>
          <w:szCs w:val="24"/>
          <w:spacing w:val="-2"/>
        </w:rPr>
        <w:t>总体而言，评价区高植被覆盖度面积降低，低植被覆盖度和中高植被覆盖度面积增</w:t>
      </w:r>
      <w:r>
        <w:rPr>
          <w:rFonts w:ascii="SimSun" w:hAnsi="SimSun" w:eastAsia="SimSun" w:cs="SimSun"/>
          <w:sz w:val="24"/>
          <w:szCs w:val="24"/>
          <w:spacing w:val="-2"/>
        </w:rPr>
        <w:t>加，这主要是因为露天矿的开采形成导致高覆盖度面积减少，低覆盖度面积增加，而排</w:t>
      </w:r>
      <w:r>
        <w:rPr>
          <w:rFonts w:ascii="SimSun" w:hAnsi="SimSun" w:eastAsia="SimSun" w:cs="SimSun"/>
          <w:sz w:val="24"/>
          <w:szCs w:val="24"/>
          <w:spacing w:val="-1"/>
        </w:rPr>
        <w:t>土场土地复垦的实施使中高覆盖度面积增加。</w:t>
      </w:r>
    </w:p>
    <w:p>
      <w:pPr>
        <w:spacing w:line="340" w:lineRule="auto"/>
        <w:sectPr>
          <w:headerReference w:type="default" r:id="rId147"/>
          <w:footerReference w:type="default" r:id="rId148"/>
          <w:pgSz w:w="11906" w:h="16838"/>
          <w:pgMar w:top="1170" w:right="1304" w:bottom="1078" w:left="1303" w:header="837" w:footer="915" w:gutter="0"/>
        </w:sectPr>
        <w:rPr>
          <w:rFonts w:ascii="SimSun" w:hAnsi="SimSun" w:eastAsia="SimSun" w:cs="SimSun"/>
          <w:sz w:val="24"/>
          <w:szCs w:val="24"/>
        </w:rPr>
      </w:pPr>
    </w:p>
    <w:p>
      <w:pPr>
        <w:pStyle w:val="BodyText"/>
        <w:spacing w:line="440" w:lineRule="auto"/>
        <w:rPr/>
      </w:pPr>
      <w:r/>
    </w:p>
    <w:p>
      <w:pPr>
        <w:ind w:left="2496"/>
        <w:spacing w:before="78" w:line="222" w:lineRule="auto"/>
        <w:rPr>
          <w:rFonts w:ascii="SimHei" w:hAnsi="SimHei" w:eastAsia="SimHei" w:cs="SimHei"/>
          <w:sz w:val="24"/>
          <w:szCs w:val="24"/>
        </w:rPr>
      </w:pPr>
      <w:r>
        <w:rPr>
          <w:rFonts w:ascii="SimHei" w:hAnsi="SimHei" w:eastAsia="SimHei" w:cs="SimHei"/>
          <w:sz w:val="24"/>
          <w:szCs w:val="24"/>
          <w:spacing w:val="-1"/>
        </w:rPr>
        <w:t>不同时期评价区植被覆盖度面积所占比例</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3-3-3</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97"/>
        <w:gridCol w:w="1161"/>
        <w:gridCol w:w="871"/>
        <w:gridCol w:w="871"/>
        <w:gridCol w:w="1017"/>
        <w:gridCol w:w="871"/>
        <w:gridCol w:w="746"/>
        <w:gridCol w:w="1077"/>
        <w:gridCol w:w="1079"/>
      </w:tblGrid>
      <w:tr>
        <w:trPr>
          <w:trHeight w:val="498" w:hRule="atLeast"/>
        </w:trPr>
        <w:tc>
          <w:tcPr>
            <w:tcW w:w="1597" w:type="dxa"/>
            <w:vAlign w:val="top"/>
            <w:vMerge w:val="restart"/>
            <w:tcBorders>
              <w:bottom w:val="nil"/>
            </w:tcBorders>
          </w:tcPr>
          <w:p>
            <w:pPr>
              <w:spacing w:line="336" w:lineRule="auto"/>
              <w:rPr>
                <w:rFonts w:ascii="Arial"/>
                <w:sz w:val="21"/>
              </w:rPr>
            </w:pPr>
            <w:r/>
          </w:p>
          <w:p>
            <w:pPr>
              <w:ind w:left="279"/>
              <w:spacing w:before="65" w:line="228" w:lineRule="auto"/>
              <w:rPr>
                <w:rFonts w:ascii="SimSun" w:hAnsi="SimSun" w:eastAsia="SimSun" w:cs="SimSun"/>
                <w:sz w:val="20"/>
                <w:szCs w:val="20"/>
              </w:rPr>
            </w:pPr>
            <w:r>
              <w:rPr>
                <w:rFonts w:ascii="SimSun" w:hAnsi="SimSun" w:eastAsia="SimSun" w:cs="SimSun"/>
                <w:sz w:val="20"/>
                <w:szCs w:val="20"/>
                <w:spacing w:val="8"/>
              </w:rPr>
              <w:t>植被覆盖度</w:t>
            </w:r>
          </w:p>
        </w:tc>
        <w:tc>
          <w:tcPr>
            <w:tcW w:w="2032" w:type="dxa"/>
            <w:vAlign w:val="top"/>
            <w:gridSpan w:val="2"/>
          </w:tcPr>
          <w:p>
            <w:pPr>
              <w:pStyle w:val="TableText"/>
              <w:ind w:left="646"/>
              <w:spacing w:before="141" w:line="228" w:lineRule="auto"/>
              <w:rPr>
                <w:rFonts w:ascii="SimSun" w:hAnsi="SimSun" w:eastAsia="SimSun" w:cs="SimSun"/>
              </w:rPr>
            </w:pPr>
            <w:r>
              <w:rPr>
                <w:spacing w:val="3"/>
              </w:rPr>
              <w:t>2014</w:t>
            </w:r>
            <w:r>
              <w:rPr>
                <w:spacing w:val="8"/>
              </w:rPr>
              <w:t xml:space="preserve">  </w:t>
            </w:r>
            <w:r>
              <w:rPr>
                <w:rFonts w:ascii="SimSun" w:hAnsi="SimSun" w:eastAsia="SimSun" w:cs="SimSun"/>
                <w:spacing w:val="3"/>
              </w:rPr>
              <w:t>年</w:t>
            </w:r>
          </w:p>
        </w:tc>
        <w:tc>
          <w:tcPr>
            <w:tcW w:w="1888" w:type="dxa"/>
            <w:vAlign w:val="top"/>
            <w:gridSpan w:val="2"/>
          </w:tcPr>
          <w:p>
            <w:pPr>
              <w:pStyle w:val="TableText"/>
              <w:ind w:left="601"/>
              <w:spacing w:before="141" w:line="228" w:lineRule="auto"/>
              <w:rPr>
                <w:rFonts w:ascii="SimSun" w:hAnsi="SimSun" w:eastAsia="SimSun" w:cs="SimSun"/>
              </w:rPr>
            </w:pPr>
            <w:r>
              <w:rPr>
                <w:spacing w:val="3"/>
              </w:rPr>
              <w:t>2018</w:t>
            </w:r>
            <w:r>
              <w:rPr>
                <w:spacing w:val="11"/>
              </w:rPr>
              <w:t xml:space="preserve"> </w:t>
            </w:r>
            <w:r>
              <w:rPr>
                <w:rFonts w:ascii="SimSun" w:hAnsi="SimSun" w:eastAsia="SimSun" w:cs="SimSun"/>
                <w:spacing w:val="3"/>
              </w:rPr>
              <w:t>年</w:t>
            </w:r>
          </w:p>
        </w:tc>
        <w:tc>
          <w:tcPr>
            <w:tcW w:w="1617" w:type="dxa"/>
            <w:vAlign w:val="top"/>
            <w:gridSpan w:val="2"/>
          </w:tcPr>
          <w:p>
            <w:pPr>
              <w:pStyle w:val="TableText"/>
              <w:ind w:left="470"/>
              <w:spacing w:before="141" w:line="228" w:lineRule="auto"/>
              <w:rPr>
                <w:rFonts w:ascii="SimSun" w:hAnsi="SimSun" w:eastAsia="SimSun" w:cs="SimSun"/>
              </w:rPr>
            </w:pPr>
            <w:r>
              <w:rPr>
                <w:spacing w:val="2"/>
              </w:rPr>
              <w:t>2024</w:t>
            </w:r>
            <w:r>
              <w:rPr>
                <w:spacing w:val="11"/>
              </w:rPr>
              <w:t xml:space="preserve"> </w:t>
            </w:r>
            <w:r>
              <w:rPr>
                <w:rFonts w:ascii="SimSun" w:hAnsi="SimSun" w:eastAsia="SimSun" w:cs="SimSun"/>
                <w:spacing w:val="2"/>
              </w:rPr>
              <w:t>年</w:t>
            </w:r>
          </w:p>
        </w:tc>
        <w:tc>
          <w:tcPr>
            <w:tcW w:w="1077" w:type="dxa"/>
            <w:vAlign w:val="top"/>
            <w:vMerge w:val="restart"/>
            <w:tcBorders>
              <w:bottom w:val="nil"/>
            </w:tcBorders>
          </w:tcPr>
          <w:p>
            <w:pPr>
              <w:pStyle w:val="TableText"/>
              <w:ind w:left="65"/>
              <w:spacing w:before="182" w:line="195" w:lineRule="auto"/>
              <w:rPr/>
            </w:pPr>
            <w:r>
              <w:rPr>
                <w:spacing w:val="4"/>
              </w:rPr>
              <w:t>2014~2018</w:t>
            </w:r>
          </w:p>
          <w:p>
            <w:pPr>
              <w:ind w:left="121"/>
              <w:spacing w:before="34" w:line="228" w:lineRule="auto"/>
              <w:rPr>
                <w:rFonts w:ascii="SimSun" w:hAnsi="SimSun" w:eastAsia="SimSun" w:cs="SimSun"/>
                <w:sz w:val="20"/>
                <w:szCs w:val="20"/>
              </w:rPr>
            </w:pPr>
            <w:r>
              <w:rPr>
                <w:rFonts w:ascii="SimSun" w:hAnsi="SimSun" w:eastAsia="SimSun" w:cs="SimSun"/>
                <w:sz w:val="20"/>
                <w:szCs w:val="20"/>
                <w:spacing w:val="8"/>
              </w:rPr>
              <w:t>变化情况</w:t>
            </w:r>
          </w:p>
          <w:p>
            <w:pPr>
              <w:pStyle w:val="TableText"/>
              <w:ind w:left="304"/>
              <w:spacing w:before="25" w:line="218" w:lineRule="auto"/>
              <w:rPr/>
            </w:pPr>
            <w:r>
              <w:rPr>
                <w:spacing w:val="4"/>
              </w:rPr>
              <w:t>(</w:t>
            </w:r>
            <w:r>
              <w:rPr/>
              <w:t>km</w:t>
            </w:r>
            <w:r>
              <w:rPr>
                <w:sz w:val="13"/>
                <w:szCs w:val="13"/>
                <w:spacing w:val="4"/>
                <w:position w:val="6"/>
              </w:rPr>
              <w:t>2</w:t>
            </w:r>
            <w:r>
              <w:rPr>
                <w:spacing w:val="4"/>
              </w:rPr>
              <w:t>)</w:t>
            </w:r>
          </w:p>
        </w:tc>
        <w:tc>
          <w:tcPr>
            <w:tcW w:w="1079" w:type="dxa"/>
            <w:vAlign w:val="top"/>
            <w:vMerge w:val="restart"/>
            <w:tcBorders>
              <w:bottom w:val="nil"/>
            </w:tcBorders>
          </w:tcPr>
          <w:p>
            <w:pPr>
              <w:pStyle w:val="TableText"/>
              <w:ind w:left="61"/>
              <w:spacing w:before="182" w:line="195" w:lineRule="auto"/>
              <w:rPr/>
            </w:pPr>
            <w:r>
              <w:rPr>
                <w:spacing w:val="4"/>
              </w:rPr>
              <w:t>2018~2024</w:t>
            </w:r>
          </w:p>
          <w:p>
            <w:pPr>
              <w:ind w:left="122"/>
              <w:spacing w:before="34"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05"/>
              <w:spacing w:before="25" w:line="218" w:lineRule="auto"/>
              <w:rPr/>
            </w:pPr>
            <w:r>
              <w:rPr>
                <w:spacing w:val="4"/>
              </w:rPr>
              <w:t>(</w:t>
            </w:r>
            <w:r>
              <w:rPr/>
              <w:t>km</w:t>
            </w:r>
            <w:r>
              <w:rPr>
                <w:sz w:val="13"/>
                <w:szCs w:val="13"/>
                <w:spacing w:val="4"/>
                <w:position w:val="6"/>
              </w:rPr>
              <w:t>2</w:t>
            </w:r>
            <w:r>
              <w:rPr>
                <w:spacing w:val="4"/>
              </w:rPr>
              <w:t>)</w:t>
            </w:r>
          </w:p>
        </w:tc>
      </w:tr>
      <w:tr>
        <w:trPr>
          <w:trHeight w:val="517" w:hRule="atLeast"/>
        </w:trPr>
        <w:tc>
          <w:tcPr>
            <w:tcW w:w="1597" w:type="dxa"/>
            <w:vAlign w:val="top"/>
            <w:vMerge w:val="continue"/>
            <w:tcBorders>
              <w:top w:val="nil"/>
            </w:tcBorders>
          </w:tcPr>
          <w:p>
            <w:pPr>
              <w:rPr>
                <w:rFonts w:ascii="Arial"/>
                <w:sz w:val="21"/>
              </w:rPr>
            </w:pPr>
            <w:r/>
          </w:p>
        </w:tc>
        <w:tc>
          <w:tcPr>
            <w:tcW w:w="1161" w:type="dxa"/>
            <w:vAlign w:val="top"/>
          </w:tcPr>
          <w:p>
            <w:pPr>
              <w:pStyle w:val="TableText"/>
              <w:ind w:left="134"/>
              <w:spacing w:before="150" w:line="221" w:lineRule="auto"/>
              <w:rPr/>
            </w:pPr>
            <w:r>
              <w:rPr>
                <w:rFonts w:ascii="SimSun" w:hAnsi="SimSun" w:eastAsia="SimSun" w:cs="SimSun"/>
                <w:spacing w:val="6"/>
              </w:rPr>
              <w:t>面积</w:t>
            </w:r>
            <w:r>
              <w:rPr>
                <w:spacing w:val="6"/>
              </w:rPr>
              <w:t>(</w:t>
            </w:r>
            <w:r>
              <w:rPr/>
              <w:t>km</w:t>
            </w:r>
            <w:r>
              <w:rPr>
                <w:sz w:val="13"/>
                <w:szCs w:val="13"/>
                <w:spacing w:val="6"/>
                <w:position w:val="6"/>
              </w:rPr>
              <w:t>2</w:t>
            </w:r>
            <w:r>
              <w:rPr>
                <w:spacing w:val="6"/>
              </w:rPr>
              <w:t>)</w:t>
            </w:r>
          </w:p>
        </w:tc>
        <w:tc>
          <w:tcPr>
            <w:tcW w:w="871" w:type="dxa"/>
            <w:vAlign w:val="top"/>
          </w:tcPr>
          <w:p>
            <w:pPr>
              <w:ind w:left="262"/>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871" w:type="dxa"/>
            <w:vAlign w:val="top"/>
          </w:tcPr>
          <w:p>
            <w:pPr>
              <w:pStyle w:val="TableText"/>
              <w:ind w:left="202" w:right="194" w:firstLine="26"/>
              <w:spacing w:before="29" w:line="234" w:lineRule="auto"/>
              <w:rPr/>
            </w:pPr>
            <w:r>
              <w:rPr>
                <w:rFonts w:ascii="SimSun" w:hAnsi="SimSun" w:eastAsia="SimSun" w:cs="SimSun"/>
                <w:spacing w:val="4"/>
              </w:rPr>
              <w:t>面积</w:t>
            </w:r>
            <w:r>
              <w:rPr>
                <w:spacing w:val="5"/>
              </w:rPr>
              <w:t>(</w:t>
            </w:r>
            <w:r>
              <w:rPr/>
              <w:t>km</w:t>
            </w:r>
            <w:r>
              <w:rPr>
                <w:sz w:val="13"/>
                <w:szCs w:val="13"/>
                <w:spacing w:val="5"/>
                <w:position w:val="6"/>
              </w:rPr>
              <w:t>2</w:t>
            </w:r>
            <w:r>
              <w:rPr>
                <w:spacing w:val="5"/>
              </w:rPr>
              <w:t>)</w:t>
            </w:r>
          </w:p>
        </w:tc>
        <w:tc>
          <w:tcPr>
            <w:tcW w:w="1017" w:type="dxa"/>
            <w:vAlign w:val="top"/>
          </w:tcPr>
          <w:p>
            <w:pPr>
              <w:ind w:left="337"/>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871" w:type="dxa"/>
            <w:vAlign w:val="top"/>
          </w:tcPr>
          <w:p>
            <w:pPr>
              <w:pStyle w:val="TableText"/>
              <w:ind w:left="200" w:right="198" w:firstLine="29"/>
              <w:spacing w:before="29" w:line="234" w:lineRule="auto"/>
              <w:rPr/>
            </w:pPr>
            <w:r>
              <w:rPr>
                <w:rFonts w:ascii="SimSun" w:hAnsi="SimSun" w:eastAsia="SimSun" w:cs="SimSun"/>
                <w:spacing w:val="4"/>
              </w:rPr>
              <w:t>面积</w:t>
            </w:r>
            <w:r>
              <w:rPr>
                <w:spacing w:val="4"/>
              </w:rPr>
              <w:t>(</w:t>
            </w:r>
            <w:r>
              <w:rPr/>
              <w:t>km</w:t>
            </w:r>
            <w:r>
              <w:rPr>
                <w:sz w:val="13"/>
                <w:szCs w:val="13"/>
                <w:spacing w:val="4"/>
                <w:position w:val="6"/>
              </w:rPr>
              <w:t>2</w:t>
            </w:r>
            <w:r>
              <w:rPr>
                <w:spacing w:val="4"/>
              </w:rPr>
              <w:t>)</w:t>
            </w:r>
          </w:p>
        </w:tc>
        <w:tc>
          <w:tcPr>
            <w:tcW w:w="746" w:type="dxa"/>
            <w:vAlign w:val="top"/>
          </w:tcPr>
          <w:p>
            <w:pPr>
              <w:ind w:left="201"/>
              <w:spacing w:before="150" w:line="229" w:lineRule="auto"/>
              <w:rPr>
                <w:rFonts w:ascii="SimSun" w:hAnsi="SimSun" w:eastAsia="SimSun" w:cs="SimSun"/>
                <w:sz w:val="20"/>
                <w:szCs w:val="20"/>
              </w:rPr>
            </w:pPr>
            <w:r>
              <w:rPr>
                <w:rFonts w:ascii="SimSun" w:hAnsi="SimSun" w:eastAsia="SimSun" w:cs="SimSun"/>
                <w:sz w:val="20"/>
                <w:szCs w:val="20"/>
                <w:spacing w:val="-13"/>
              </w:rPr>
              <w:t>占比</w:t>
            </w:r>
          </w:p>
        </w:tc>
        <w:tc>
          <w:tcPr>
            <w:tcW w:w="1077" w:type="dxa"/>
            <w:vAlign w:val="top"/>
            <w:vMerge w:val="continue"/>
            <w:tcBorders>
              <w:top w:val="nil"/>
            </w:tcBorders>
          </w:tcPr>
          <w:p>
            <w:pPr>
              <w:rPr>
                <w:rFonts w:ascii="Arial"/>
                <w:sz w:val="21"/>
              </w:rPr>
            </w:pPr>
            <w:r/>
          </w:p>
        </w:tc>
        <w:tc>
          <w:tcPr>
            <w:tcW w:w="1079" w:type="dxa"/>
            <w:vAlign w:val="top"/>
            <w:vMerge w:val="continue"/>
            <w:tcBorders>
              <w:top w:val="nil"/>
            </w:tcBorders>
          </w:tcPr>
          <w:p>
            <w:pPr>
              <w:rPr>
                <w:rFonts w:ascii="Arial"/>
                <w:sz w:val="21"/>
              </w:rPr>
            </w:pPr>
            <w:r/>
          </w:p>
        </w:tc>
      </w:tr>
      <w:tr>
        <w:trPr>
          <w:trHeight w:val="294" w:hRule="atLeast"/>
        </w:trPr>
        <w:tc>
          <w:tcPr>
            <w:tcW w:w="1597" w:type="dxa"/>
            <w:vAlign w:val="top"/>
          </w:tcPr>
          <w:p>
            <w:pPr>
              <w:pStyle w:val="TableText"/>
              <w:ind w:left="206"/>
              <w:spacing w:before="41" w:line="224" w:lineRule="auto"/>
              <w:rPr>
                <w:rFonts w:ascii="SimSun" w:hAnsi="SimSun" w:eastAsia="SimSun" w:cs="SimSun"/>
              </w:rPr>
            </w:pPr>
            <w:r>
              <w:rPr>
                <w:rFonts w:ascii="SimSun" w:hAnsi="SimSun" w:eastAsia="SimSun" w:cs="SimSun"/>
                <w:spacing w:val="4"/>
              </w:rPr>
              <w:t>低（</w:t>
            </w:r>
            <w:r>
              <w:rPr>
                <w:spacing w:val="4"/>
              </w:rPr>
              <w:t>0-20%</w:t>
            </w:r>
            <w:r>
              <w:rPr>
                <w:rFonts w:ascii="SimSun" w:hAnsi="SimSun" w:eastAsia="SimSun" w:cs="SimSun"/>
                <w:spacing w:val="4"/>
              </w:rPr>
              <w:t>）</w:t>
            </w:r>
          </w:p>
        </w:tc>
        <w:tc>
          <w:tcPr>
            <w:tcW w:w="1161" w:type="dxa"/>
            <w:vAlign w:val="top"/>
          </w:tcPr>
          <w:p>
            <w:pPr>
              <w:pStyle w:val="TableText"/>
              <w:ind w:left="397"/>
              <w:spacing w:before="76" w:line="195" w:lineRule="auto"/>
              <w:rPr/>
            </w:pPr>
            <w:r>
              <w:rPr>
                <w:spacing w:val="3"/>
              </w:rPr>
              <w:t>7.46</w:t>
            </w:r>
          </w:p>
        </w:tc>
        <w:tc>
          <w:tcPr>
            <w:tcW w:w="871" w:type="dxa"/>
            <w:vAlign w:val="top"/>
          </w:tcPr>
          <w:p>
            <w:pPr>
              <w:pStyle w:val="TableText"/>
              <w:ind w:left="131"/>
              <w:spacing w:before="76" w:line="195" w:lineRule="auto"/>
              <w:rPr/>
            </w:pPr>
            <w:r>
              <w:rPr>
                <w:spacing w:val="1"/>
              </w:rPr>
              <w:t>13.96%</w:t>
            </w:r>
          </w:p>
        </w:tc>
        <w:tc>
          <w:tcPr>
            <w:tcW w:w="871" w:type="dxa"/>
            <w:vAlign w:val="top"/>
          </w:tcPr>
          <w:p>
            <w:pPr>
              <w:pStyle w:val="TableText"/>
              <w:ind w:left="259"/>
              <w:spacing w:before="76" w:line="195" w:lineRule="auto"/>
              <w:rPr/>
            </w:pPr>
            <w:r>
              <w:rPr>
                <w:spacing w:val="2"/>
              </w:rPr>
              <w:t>8.23</w:t>
            </w:r>
          </w:p>
        </w:tc>
        <w:tc>
          <w:tcPr>
            <w:tcW w:w="1017" w:type="dxa"/>
            <w:vAlign w:val="top"/>
          </w:tcPr>
          <w:p>
            <w:pPr>
              <w:pStyle w:val="TableText"/>
              <w:ind w:left="204"/>
              <w:spacing w:before="76" w:line="195" w:lineRule="auto"/>
              <w:rPr/>
            </w:pPr>
            <w:r>
              <w:rPr>
                <w:spacing w:val="1"/>
              </w:rPr>
              <w:t>15.41%</w:t>
            </w:r>
          </w:p>
        </w:tc>
        <w:tc>
          <w:tcPr>
            <w:tcW w:w="871" w:type="dxa"/>
            <w:vAlign w:val="top"/>
          </w:tcPr>
          <w:p>
            <w:pPr>
              <w:pStyle w:val="TableText"/>
              <w:ind w:left="219"/>
              <w:spacing w:before="76" w:line="195" w:lineRule="auto"/>
              <w:rPr/>
            </w:pPr>
            <w:r>
              <w:rPr/>
              <w:t>10.32</w:t>
            </w:r>
          </w:p>
        </w:tc>
        <w:tc>
          <w:tcPr>
            <w:tcW w:w="746" w:type="dxa"/>
            <w:vAlign w:val="top"/>
          </w:tcPr>
          <w:p>
            <w:pPr>
              <w:pStyle w:val="TableText"/>
              <w:ind w:left="70"/>
              <w:spacing w:before="76" w:line="195" w:lineRule="auto"/>
              <w:rPr/>
            </w:pPr>
            <w:r>
              <w:rPr>
                <w:spacing w:val="1"/>
              </w:rPr>
              <w:t>19.32%</w:t>
            </w:r>
          </w:p>
        </w:tc>
        <w:tc>
          <w:tcPr>
            <w:tcW w:w="1077" w:type="dxa"/>
            <w:vAlign w:val="top"/>
          </w:tcPr>
          <w:p>
            <w:pPr>
              <w:pStyle w:val="TableText"/>
              <w:ind w:left="358"/>
              <w:spacing w:before="76" w:line="195" w:lineRule="auto"/>
              <w:rPr/>
            </w:pPr>
            <w:r>
              <w:rPr>
                <w:spacing w:val="3"/>
              </w:rPr>
              <w:t>0.77</w:t>
            </w:r>
          </w:p>
        </w:tc>
        <w:tc>
          <w:tcPr>
            <w:tcW w:w="1079" w:type="dxa"/>
            <w:vAlign w:val="top"/>
          </w:tcPr>
          <w:p>
            <w:pPr>
              <w:pStyle w:val="TableText"/>
              <w:ind w:left="356"/>
              <w:spacing w:before="76" w:line="195" w:lineRule="auto"/>
              <w:rPr/>
            </w:pPr>
            <w:r>
              <w:rPr>
                <w:spacing w:val="3"/>
              </w:rPr>
              <w:t>2.09</w:t>
            </w:r>
          </w:p>
        </w:tc>
      </w:tr>
      <w:tr>
        <w:trPr>
          <w:trHeight w:val="575" w:hRule="atLeast"/>
        </w:trPr>
        <w:tc>
          <w:tcPr>
            <w:tcW w:w="1597" w:type="dxa"/>
            <w:vAlign w:val="top"/>
          </w:tcPr>
          <w:p>
            <w:pPr>
              <w:pStyle w:val="TableText"/>
              <w:ind w:left="70"/>
              <w:spacing w:before="181" w:line="228" w:lineRule="auto"/>
              <w:rPr>
                <w:rFonts w:ascii="SimSun" w:hAnsi="SimSun" w:eastAsia="SimSun" w:cs="SimSun"/>
              </w:rPr>
            </w:pPr>
            <w:r>
              <w:rPr>
                <w:rFonts w:ascii="SimSun" w:hAnsi="SimSun" w:eastAsia="SimSun" w:cs="SimSun"/>
                <w:spacing w:val="3"/>
              </w:rPr>
              <w:t>中低（</w:t>
            </w:r>
            <w:r>
              <w:rPr>
                <w:spacing w:val="3"/>
              </w:rPr>
              <w:t>20-40%</w:t>
            </w:r>
            <w:r>
              <w:rPr>
                <w:rFonts w:ascii="SimSun" w:hAnsi="SimSun" w:eastAsia="SimSun" w:cs="SimSun"/>
                <w:spacing w:val="3"/>
              </w:rPr>
              <w:t>）</w:t>
            </w:r>
          </w:p>
        </w:tc>
        <w:tc>
          <w:tcPr>
            <w:tcW w:w="1161" w:type="dxa"/>
            <w:vAlign w:val="top"/>
          </w:tcPr>
          <w:p>
            <w:pPr>
              <w:pStyle w:val="TableText"/>
              <w:ind w:left="398"/>
              <w:spacing w:before="219" w:line="195" w:lineRule="auto"/>
              <w:rPr/>
            </w:pPr>
            <w:r>
              <w:rPr>
                <w:spacing w:val="2"/>
              </w:rPr>
              <w:t>6.83</w:t>
            </w:r>
          </w:p>
        </w:tc>
        <w:tc>
          <w:tcPr>
            <w:tcW w:w="871" w:type="dxa"/>
            <w:vAlign w:val="top"/>
          </w:tcPr>
          <w:p>
            <w:pPr>
              <w:pStyle w:val="TableText"/>
              <w:ind w:left="131"/>
              <w:spacing w:before="219" w:line="195" w:lineRule="auto"/>
              <w:rPr/>
            </w:pPr>
            <w:r>
              <w:rPr>
                <w:spacing w:val="1"/>
              </w:rPr>
              <w:t>12.79%</w:t>
            </w:r>
          </w:p>
        </w:tc>
        <w:tc>
          <w:tcPr>
            <w:tcW w:w="871" w:type="dxa"/>
            <w:vAlign w:val="top"/>
          </w:tcPr>
          <w:p>
            <w:pPr>
              <w:pStyle w:val="TableText"/>
              <w:ind w:left="255"/>
              <w:spacing w:before="219" w:line="195" w:lineRule="auto"/>
              <w:rPr/>
            </w:pPr>
            <w:r>
              <w:rPr>
                <w:spacing w:val="2"/>
              </w:rPr>
              <w:t>6.30</w:t>
            </w:r>
          </w:p>
        </w:tc>
        <w:tc>
          <w:tcPr>
            <w:tcW w:w="1017" w:type="dxa"/>
            <w:vAlign w:val="top"/>
          </w:tcPr>
          <w:p>
            <w:pPr>
              <w:pStyle w:val="TableText"/>
              <w:ind w:left="204"/>
              <w:spacing w:before="219" w:line="195" w:lineRule="auto"/>
              <w:rPr/>
            </w:pPr>
            <w:r>
              <w:rPr>
                <w:spacing w:val="1"/>
              </w:rPr>
              <w:t>11.79%</w:t>
            </w:r>
          </w:p>
        </w:tc>
        <w:tc>
          <w:tcPr>
            <w:tcW w:w="871" w:type="dxa"/>
            <w:vAlign w:val="top"/>
          </w:tcPr>
          <w:p>
            <w:pPr>
              <w:pStyle w:val="TableText"/>
              <w:ind w:left="262"/>
              <w:spacing w:before="219" w:line="195" w:lineRule="auto"/>
              <w:rPr/>
            </w:pPr>
            <w:r>
              <w:rPr>
                <w:spacing w:val="1"/>
              </w:rPr>
              <w:t>8.42</w:t>
            </w:r>
          </w:p>
        </w:tc>
        <w:tc>
          <w:tcPr>
            <w:tcW w:w="746" w:type="dxa"/>
            <w:vAlign w:val="top"/>
          </w:tcPr>
          <w:p>
            <w:pPr>
              <w:pStyle w:val="TableText"/>
              <w:ind w:left="70"/>
              <w:spacing w:before="219" w:line="195" w:lineRule="auto"/>
              <w:rPr/>
            </w:pPr>
            <w:r>
              <w:rPr>
                <w:spacing w:val="1"/>
              </w:rPr>
              <w:t>15.77%</w:t>
            </w:r>
          </w:p>
        </w:tc>
        <w:tc>
          <w:tcPr>
            <w:tcW w:w="1077" w:type="dxa"/>
            <w:vAlign w:val="top"/>
          </w:tcPr>
          <w:p>
            <w:pPr>
              <w:pStyle w:val="TableText"/>
              <w:ind w:left="323"/>
              <w:spacing w:before="219" w:line="195" w:lineRule="auto"/>
              <w:rPr/>
            </w:pPr>
            <w:r>
              <w:rPr>
                <w:spacing w:val="3"/>
              </w:rPr>
              <w:t>-0.53</w:t>
            </w:r>
          </w:p>
        </w:tc>
        <w:tc>
          <w:tcPr>
            <w:tcW w:w="1079" w:type="dxa"/>
            <w:vAlign w:val="top"/>
          </w:tcPr>
          <w:p>
            <w:pPr>
              <w:pStyle w:val="TableText"/>
              <w:ind w:left="356"/>
              <w:spacing w:before="219" w:line="195" w:lineRule="auto"/>
              <w:rPr/>
            </w:pPr>
            <w:r>
              <w:rPr>
                <w:spacing w:val="-3"/>
              </w:rPr>
              <w:t>2.</w:t>
            </w:r>
            <w:r>
              <w:rPr>
                <w:spacing w:val="-25"/>
              </w:rPr>
              <w:t xml:space="preserve"> </w:t>
            </w:r>
            <w:r>
              <w:rPr>
                <w:spacing w:val="-3"/>
              </w:rPr>
              <w:t>12</w:t>
            </w:r>
          </w:p>
        </w:tc>
      </w:tr>
      <w:tr>
        <w:trPr>
          <w:trHeight w:val="295" w:hRule="atLeast"/>
        </w:trPr>
        <w:tc>
          <w:tcPr>
            <w:tcW w:w="1597" w:type="dxa"/>
            <w:vAlign w:val="top"/>
          </w:tcPr>
          <w:p>
            <w:pPr>
              <w:pStyle w:val="TableText"/>
              <w:ind w:left="173"/>
              <w:spacing w:before="40" w:line="226" w:lineRule="auto"/>
              <w:rPr>
                <w:rFonts w:ascii="SimSun" w:hAnsi="SimSun" w:eastAsia="SimSun" w:cs="SimSun"/>
              </w:rPr>
            </w:pPr>
            <w:r>
              <w:rPr>
                <w:rFonts w:ascii="SimSun" w:hAnsi="SimSun" w:eastAsia="SimSun" w:cs="SimSun"/>
                <w:spacing w:val="2"/>
              </w:rPr>
              <w:t>中（</w:t>
            </w:r>
            <w:r>
              <w:rPr>
                <w:spacing w:val="2"/>
              </w:rPr>
              <w:t>40-60%</w:t>
            </w:r>
            <w:r>
              <w:rPr>
                <w:rFonts w:ascii="SimSun" w:hAnsi="SimSun" w:eastAsia="SimSun" w:cs="SimSun"/>
                <w:spacing w:val="2"/>
              </w:rPr>
              <w:t>）</w:t>
            </w:r>
          </w:p>
        </w:tc>
        <w:tc>
          <w:tcPr>
            <w:tcW w:w="1161" w:type="dxa"/>
            <w:vAlign w:val="top"/>
          </w:tcPr>
          <w:p>
            <w:pPr>
              <w:pStyle w:val="TableText"/>
              <w:ind w:left="361"/>
              <w:spacing w:before="78" w:line="195" w:lineRule="auto"/>
              <w:rPr/>
            </w:pPr>
            <w:r>
              <w:rPr/>
              <w:t>13.73</w:t>
            </w:r>
          </w:p>
        </w:tc>
        <w:tc>
          <w:tcPr>
            <w:tcW w:w="871" w:type="dxa"/>
            <w:vAlign w:val="top"/>
          </w:tcPr>
          <w:p>
            <w:pPr>
              <w:pStyle w:val="TableText"/>
              <w:ind w:left="111"/>
              <w:spacing w:before="78" w:line="195" w:lineRule="auto"/>
              <w:rPr/>
            </w:pPr>
            <w:r>
              <w:rPr>
                <w:spacing w:val="4"/>
              </w:rPr>
              <w:t>25.71%</w:t>
            </w:r>
          </w:p>
        </w:tc>
        <w:tc>
          <w:tcPr>
            <w:tcW w:w="871" w:type="dxa"/>
            <w:vAlign w:val="top"/>
          </w:tcPr>
          <w:p>
            <w:pPr>
              <w:pStyle w:val="TableText"/>
              <w:ind w:left="218"/>
              <w:spacing w:before="78" w:line="195" w:lineRule="auto"/>
              <w:rPr/>
            </w:pPr>
            <w:r>
              <w:rPr/>
              <w:t>15.29</w:t>
            </w:r>
          </w:p>
        </w:tc>
        <w:tc>
          <w:tcPr>
            <w:tcW w:w="1017" w:type="dxa"/>
            <w:vAlign w:val="top"/>
          </w:tcPr>
          <w:p>
            <w:pPr>
              <w:pStyle w:val="TableText"/>
              <w:ind w:left="184"/>
              <w:spacing w:before="78" w:line="195" w:lineRule="auto"/>
              <w:rPr/>
            </w:pPr>
            <w:r>
              <w:rPr>
                <w:spacing w:val="4"/>
              </w:rPr>
              <w:t>28.63%</w:t>
            </w:r>
          </w:p>
        </w:tc>
        <w:tc>
          <w:tcPr>
            <w:tcW w:w="871" w:type="dxa"/>
            <w:vAlign w:val="top"/>
          </w:tcPr>
          <w:p>
            <w:pPr>
              <w:pStyle w:val="TableText"/>
              <w:ind w:left="219"/>
              <w:spacing w:before="78" w:line="195" w:lineRule="auto"/>
              <w:rPr/>
            </w:pPr>
            <w:r>
              <w:rPr/>
              <w:t>13.62</w:t>
            </w:r>
          </w:p>
        </w:tc>
        <w:tc>
          <w:tcPr>
            <w:tcW w:w="746" w:type="dxa"/>
            <w:vAlign w:val="top"/>
          </w:tcPr>
          <w:p>
            <w:pPr>
              <w:pStyle w:val="TableText"/>
              <w:ind w:left="50"/>
              <w:spacing w:before="78" w:line="195" w:lineRule="auto"/>
              <w:rPr/>
            </w:pPr>
            <w:r>
              <w:rPr>
                <w:spacing w:val="4"/>
              </w:rPr>
              <w:t>25.51%</w:t>
            </w:r>
          </w:p>
        </w:tc>
        <w:tc>
          <w:tcPr>
            <w:tcW w:w="1077" w:type="dxa"/>
            <w:vAlign w:val="top"/>
          </w:tcPr>
          <w:p>
            <w:pPr>
              <w:pStyle w:val="TableText"/>
              <w:ind w:left="375"/>
              <w:spacing w:before="78" w:line="195" w:lineRule="auto"/>
              <w:rPr/>
            </w:pPr>
            <w:r>
              <w:rPr>
                <w:spacing w:val="-1"/>
              </w:rPr>
              <w:t>1.56</w:t>
            </w:r>
          </w:p>
        </w:tc>
        <w:tc>
          <w:tcPr>
            <w:tcW w:w="1079" w:type="dxa"/>
            <w:vAlign w:val="top"/>
          </w:tcPr>
          <w:p>
            <w:pPr>
              <w:pStyle w:val="TableText"/>
              <w:ind w:left="324"/>
              <w:spacing w:before="78" w:line="195" w:lineRule="auto"/>
              <w:rPr/>
            </w:pPr>
            <w:r>
              <w:rPr>
                <w:spacing w:val="3"/>
              </w:rPr>
              <w:t>-1.67</w:t>
            </w:r>
          </w:p>
        </w:tc>
      </w:tr>
      <w:tr>
        <w:trPr>
          <w:trHeight w:val="575" w:hRule="atLeast"/>
        </w:trPr>
        <w:tc>
          <w:tcPr>
            <w:tcW w:w="1597" w:type="dxa"/>
            <w:vAlign w:val="top"/>
          </w:tcPr>
          <w:p>
            <w:pPr>
              <w:pStyle w:val="TableText"/>
              <w:ind w:left="70"/>
              <w:spacing w:before="181" w:line="228" w:lineRule="auto"/>
              <w:rPr>
                <w:rFonts w:ascii="SimSun" w:hAnsi="SimSun" w:eastAsia="SimSun" w:cs="SimSun"/>
              </w:rPr>
            </w:pPr>
            <w:r>
              <w:rPr>
                <w:rFonts w:ascii="SimSun" w:hAnsi="SimSun" w:eastAsia="SimSun" w:cs="SimSun"/>
                <w:spacing w:val="3"/>
              </w:rPr>
              <w:t>中高（</w:t>
            </w:r>
            <w:r>
              <w:rPr>
                <w:spacing w:val="3"/>
              </w:rPr>
              <w:t>60-80%</w:t>
            </w:r>
            <w:r>
              <w:rPr>
                <w:rFonts w:ascii="SimSun" w:hAnsi="SimSun" w:eastAsia="SimSun" w:cs="SimSun"/>
                <w:spacing w:val="3"/>
              </w:rPr>
              <w:t>）</w:t>
            </w:r>
          </w:p>
        </w:tc>
        <w:tc>
          <w:tcPr>
            <w:tcW w:w="1161" w:type="dxa"/>
            <w:vAlign w:val="top"/>
          </w:tcPr>
          <w:p>
            <w:pPr>
              <w:pStyle w:val="TableText"/>
              <w:ind w:left="361"/>
              <w:spacing w:before="217" w:line="195" w:lineRule="auto"/>
              <w:rPr/>
            </w:pPr>
            <w:r>
              <w:rPr/>
              <w:t>12.31</w:t>
            </w:r>
          </w:p>
        </w:tc>
        <w:tc>
          <w:tcPr>
            <w:tcW w:w="871" w:type="dxa"/>
            <w:vAlign w:val="top"/>
          </w:tcPr>
          <w:p>
            <w:pPr>
              <w:pStyle w:val="TableText"/>
              <w:ind w:left="111"/>
              <w:spacing w:before="217" w:line="195" w:lineRule="auto"/>
              <w:rPr/>
            </w:pPr>
            <w:r>
              <w:rPr>
                <w:spacing w:val="4"/>
              </w:rPr>
              <w:t>23.06%</w:t>
            </w:r>
          </w:p>
        </w:tc>
        <w:tc>
          <w:tcPr>
            <w:tcW w:w="871" w:type="dxa"/>
            <w:vAlign w:val="top"/>
          </w:tcPr>
          <w:p>
            <w:pPr>
              <w:pStyle w:val="TableText"/>
              <w:ind w:left="218"/>
              <w:spacing w:before="217" w:line="195" w:lineRule="auto"/>
              <w:rPr/>
            </w:pPr>
            <w:r>
              <w:rPr/>
              <w:t>13.85</w:t>
            </w:r>
          </w:p>
        </w:tc>
        <w:tc>
          <w:tcPr>
            <w:tcW w:w="1017" w:type="dxa"/>
            <w:vAlign w:val="top"/>
          </w:tcPr>
          <w:p>
            <w:pPr>
              <w:pStyle w:val="TableText"/>
              <w:ind w:left="184"/>
              <w:spacing w:before="217" w:line="195" w:lineRule="auto"/>
              <w:rPr/>
            </w:pPr>
            <w:r>
              <w:rPr>
                <w:spacing w:val="4"/>
              </w:rPr>
              <w:t>25.92%</w:t>
            </w:r>
          </w:p>
        </w:tc>
        <w:tc>
          <w:tcPr>
            <w:tcW w:w="871" w:type="dxa"/>
            <w:vAlign w:val="top"/>
          </w:tcPr>
          <w:p>
            <w:pPr>
              <w:pStyle w:val="TableText"/>
              <w:ind w:left="219"/>
              <w:spacing w:before="217" w:line="195" w:lineRule="auto"/>
              <w:rPr/>
            </w:pPr>
            <w:r>
              <w:rPr/>
              <w:t>13.31</w:t>
            </w:r>
          </w:p>
        </w:tc>
        <w:tc>
          <w:tcPr>
            <w:tcW w:w="746" w:type="dxa"/>
            <w:vAlign w:val="top"/>
          </w:tcPr>
          <w:p>
            <w:pPr>
              <w:pStyle w:val="TableText"/>
              <w:ind w:left="50"/>
              <w:spacing w:before="217" w:line="195" w:lineRule="auto"/>
              <w:rPr/>
            </w:pPr>
            <w:r>
              <w:rPr>
                <w:spacing w:val="4"/>
              </w:rPr>
              <w:t>24.92%</w:t>
            </w:r>
          </w:p>
        </w:tc>
        <w:tc>
          <w:tcPr>
            <w:tcW w:w="1077" w:type="dxa"/>
            <w:vAlign w:val="top"/>
          </w:tcPr>
          <w:p>
            <w:pPr>
              <w:pStyle w:val="TableText"/>
              <w:ind w:left="375"/>
              <w:spacing w:before="217" w:line="195" w:lineRule="auto"/>
              <w:rPr/>
            </w:pPr>
            <w:r>
              <w:rPr>
                <w:spacing w:val="-1"/>
              </w:rPr>
              <w:t>1.53</w:t>
            </w:r>
          </w:p>
        </w:tc>
        <w:tc>
          <w:tcPr>
            <w:tcW w:w="1079" w:type="dxa"/>
            <w:vAlign w:val="top"/>
          </w:tcPr>
          <w:p>
            <w:pPr>
              <w:pStyle w:val="TableText"/>
              <w:ind w:left="324"/>
              <w:spacing w:before="217" w:line="195" w:lineRule="auto"/>
              <w:rPr/>
            </w:pPr>
            <w:r>
              <w:rPr>
                <w:spacing w:val="3"/>
              </w:rPr>
              <w:t>-0.54</w:t>
            </w:r>
          </w:p>
        </w:tc>
      </w:tr>
      <w:tr>
        <w:trPr>
          <w:trHeight w:val="295" w:hRule="atLeast"/>
        </w:trPr>
        <w:tc>
          <w:tcPr>
            <w:tcW w:w="1597" w:type="dxa"/>
            <w:vAlign w:val="top"/>
          </w:tcPr>
          <w:p>
            <w:pPr>
              <w:pStyle w:val="TableText"/>
              <w:ind w:left="107"/>
              <w:spacing w:before="41" w:line="225" w:lineRule="auto"/>
              <w:rPr>
                <w:rFonts w:ascii="SimSun" w:hAnsi="SimSun" w:eastAsia="SimSun" w:cs="SimSun"/>
              </w:rPr>
            </w:pPr>
            <w:r>
              <w:rPr>
                <w:rFonts w:ascii="SimSun" w:hAnsi="SimSun" w:eastAsia="SimSun" w:cs="SimSun"/>
                <w:spacing w:val="4"/>
              </w:rPr>
              <w:t>高（</w:t>
            </w:r>
            <w:r>
              <w:rPr>
                <w:spacing w:val="4"/>
              </w:rPr>
              <w:t>80-100%</w:t>
            </w:r>
            <w:r>
              <w:rPr>
                <w:rFonts w:ascii="SimSun" w:hAnsi="SimSun" w:eastAsia="SimSun" w:cs="SimSun"/>
                <w:spacing w:val="4"/>
              </w:rPr>
              <w:t>）</w:t>
            </w:r>
          </w:p>
        </w:tc>
        <w:tc>
          <w:tcPr>
            <w:tcW w:w="1161" w:type="dxa"/>
            <w:vAlign w:val="top"/>
          </w:tcPr>
          <w:p>
            <w:pPr>
              <w:pStyle w:val="TableText"/>
              <w:ind w:left="361"/>
              <w:spacing w:before="79" w:line="195" w:lineRule="auto"/>
              <w:rPr/>
            </w:pPr>
            <w:r>
              <w:rPr/>
              <w:t>13.08</w:t>
            </w:r>
          </w:p>
        </w:tc>
        <w:tc>
          <w:tcPr>
            <w:tcW w:w="871" w:type="dxa"/>
            <w:vAlign w:val="top"/>
          </w:tcPr>
          <w:p>
            <w:pPr>
              <w:pStyle w:val="TableText"/>
              <w:ind w:left="111"/>
              <w:spacing w:before="79" w:line="195" w:lineRule="auto"/>
              <w:rPr/>
            </w:pPr>
            <w:r>
              <w:rPr>
                <w:spacing w:val="4"/>
              </w:rPr>
              <w:t>24.48%</w:t>
            </w:r>
          </w:p>
        </w:tc>
        <w:tc>
          <w:tcPr>
            <w:tcW w:w="871" w:type="dxa"/>
            <w:vAlign w:val="top"/>
          </w:tcPr>
          <w:p>
            <w:pPr>
              <w:pStyle w:val="TableText"/>
              <w:ind w:left="255"/>
              <w:spacing w:before="79" w:line="195" w:lineRule="auto"/>
              <w:rPr/>
            </w:pPr>
            <w:r>
              <w:rPr>
                <w:spacing w:val="3"/>
              </w:rPr>
              <w:t>9.74</w:t>
            </w:r>
          </w:p>
        </w:tc>
        <w:tc>
          <w:tcPr>
            <w:tcW w:w="1017" w:type="dxa"/>
            <w:vAlign w:val="top"/>
          </w:tcPr>
          <w:p>
            <w:pPr>
              <w:pStyle w:val="TableText"/>
              <w:ind w:left="204"/>
              <w:spacing w:before="79" w:line="195" w:lineRule="auto"/>
              <w:rPr/>
            </w:pPr>
            <w:r>
              <w:rPr>
                <w:spacing w:val="1"/>
              </w:rPr>
              <w:t>18.24%</w:t>
            </w:r>
          </w:p>
        </w:tc>
        <w:tc>
          <w:tcPr>
            <w:tcW w:w="871" w:type="dxa"/>
            <w:vAlign w:val="top"/>
          </w:tcPr>
          <w:p>
            <w:pPr>
              <w:pStyle w:val="TableText"/>
              <w:ind w:left="257"/>
              <w:spacing w:before="79" w:line="195" w:lineRule="auto"/>
              <w:rPr/>
            </w:pPr>
            <w:r>
              <w:rPr>
                <w:spacing w:val="2"/>
              </w:rPr>
              <w:t>7.73</w:t>
            </w:r>
          </w:p>
        </w:tc>
        <w:tc>
          <w:tcPr>
            <w:tcW w:w="746" w:type="dxa"/>
            <w:vAlign w:val="top"/>
          </w:tcPr>
          <w:p>
            <w:pPr>
              <w:pStyle w:val="TableText"/>
              <w:ind w:left="70"/>
              <w:spacing w:before="79" w:line="195" w:lineRule="auto"/>
              <w:rPr/>
            </w:pPr>
            <w:r>
              <w:rPr>
                <w:spacing w:val="1"/>
              </w:rPr>
              <w:t>14.47%</w:t>
            </w:r>
          </w:p>
        </w:tc>
        <w:tc>
          <w:tcPr>
            <w:tcW w:w="1077" w:type="dxa"/>
            <w:vAlign w:val="top"/>
          </w:tcPr>
          <w:p>
            <w:pPr>
              <w:pStyle w:val="TableText"/>
              <w:ind w:left="323"/>
              <w:spacing w:before="79" w:line="195" w:lineRule="auto"/>
              <w:rPr/>
            </w:pPr>
            <w:r>
              <w:rPr>
                <w:spacing w:val="3"/>
              </w:rPr>
              <w:t>-3.33</w:t>
            </w:r>
          </w:p>
        </w:tc>
        <w:tc>
          <w:tcPr>
            <w:tcW w:w="1079" w:type="dxa"/>
            <w:vAlign w:val="top"/>
          </w:tcPr>
          <w:p>
            <w:pPr>
              <w:pStyle w:val="TableText"/>
              <w:ind w:left="324"/>
              <w:spacing w:before="79" w:line="195" w:lineRule="auto"/>
              <w:rPr/>
            </w:pPr>
            <w:r>
              <w:rPr>
                <w:spacing w:val="3"/>
              </w:rPr>
              <w:t>-2.02</w:t>
            </w:r>
          </w:p>
        </w:tc>
      </w:tr>
      <w:tr>
        <w:trPr>
          <w:trHeight w:val="299" w:hRule="atLeast"/>
        </w:trPr>
        <w:tc>
          <w:tcPr>
            <w:tcW w:w="1597" w:type="dxa"/>
            <w:vAlign w:val="top"/>
          </w:tcPr>
          <w:p>
            <w:pPr>
              <w:ind w:left="596"/>
              <w:spacing w:before="40" w:line="229" w:lineRule="auto"/>
              <w:rPr>
                <w:rFonts w:ascii="SimSun" w:hAnsi="SimSun" w:eastAsia="SimSun" w:cs="SimSun"/>
                <w:sz w:val="20"/>
                <w:szCs w:val="20"/>
              </w:rPr>
            </w:pPr>
            <w:r>
              <w:rPr>
                <w:rFonts w:ascii="SimSun" w:hAnsi="SimSun" w:eastAsia="SimSun" w:cs="SimSun"/>
                <w:sz w:val="20"/>
                <w:szCs w:val="20"/>
                <w:spacing w:val="2"/>
              </w:rPr>
              <w:t>总计</w:t>
            </w:r>
          </w:p>
        </w:tc>
        <w:tc>
          <w:tcPr>
            <w:tcW w:w="1161" w:type="dxa"/>
            <w:vAlign w:val="top"/>
          </w:tcPr>
          <w:p>
            <w:pPr>
              <w:pStyle w:val="TableText"/>
              <w:ind w:left="347"/>
              <w:spacing w:before="79" w:line="195" w:lineRule="auto"/>
              <w:rPr/>
            </w:pPr>
            <w:r>
              <w:rPr>
                <w:spacing w:val="3"/>
              </w:rPr>
              <w:t>53.41</w:t>
            </w:r>
          </w:p>
        </w:tc>
        <w:tc>
          <w:tcPr>
            <w:tcW w:w="871" w:type="dxa"/>
            <w:vAlign w:val="top"/>
          </w:tcPr>
          <w:p>
            <w:pPr>
              <w:pStyle w:val="TableText"/>
              <w:ind w:left="81"/>
              <w:spacing w:before="79" w:line="195" w:lineRule="auto"/>
              <w:rPr/>
            </w:pPr>
            <w:r>
              <w:rPr>
                <w:spacing w:val="1"/>
              </w:rPr>
              <w:t>100.00%</w:t>
            </w:r>
          </w:p>
        </w:tc>
        <w:tc>
          <w:tcPr>
            <w:tcW w:w="871" w:type="dxa"/>
            <w:vAlign w:val="top"/>
          </w:tcPr>
          <w:p>
            <w:pPr>
              <w:pStyle w:val="TableText"/>
              <w:ind w:left="204"/>
              <w:spacing w:before="79" w:line="195" w:lineRule="auto"/>
              <w:rPr/>
            </w:pPr>
            <w:r>
              <w:rPr>
                <w:spacing w:val="3"/>
              </w:rPr>
              <w:t>53.41</w:t>
            </w:r>
          </w:p>
        </w:tc>
        <w:tc>
          <w:tcPr>
            <w:tcW w:w="1017" w:type="dxa"/>
            <w:vAlign w:val="top"/>
          </w:tcPr>
          <w:p>
            <w:pPr>
              <w:pStyle w:val="TableText"/>
              <w:ind w:left="151"/>
              <w:spacing w:before="79" w:line="195" w:lineRule="auto"/>
              <w:rPr/>
            </w:pPr>
            <w:r>
              <w:rPr>
                <w:spacing w:val="1"/>
              </w:rPr>
              <w:t>100.00%</w:t>
            </w:r>
          </w:p>
        </w:tc>
        <w:tc>
          <w:tcPr>
            <w:tcW w:w="871" w:type="dxa"/>
            <w:vAlign w:val="top"/>
          </w:tcPr>
          <w:p>
            <w:pPr>
              <w:pStyle w:val="TableText"/>
              <w:ind w:left="204"/>
              <w:spacing w:before="79" w:line="195" w:lineRule="auto"/>
              <w:rPr/>
            </w:pPr>
            <w:r>
              <w:rPr>
                <w:spacing w:val="3"/>
              </w:rPr>
              <w:t>53.41</w:t>
            </w:r>
          </w:p>
        </w:tc>
        <w:tc>
          <w:tcPr>
            <w:tcW w:w="746" w:type="dxa"/>
            <w:vAlign w:val="top"/>
          </w:tcPr>
          <w:p>
            <w:pPr>
              <w:pStyle w:val="TableText"/>
              <w:spacing w:before="79" w:line="195" w:lineRule="auto"/>
              <w:jc w:val="right"/>
              <w:rPr/>
            </w:pPr>
            <w:r>
              <w:rPr/>
              <w:t>100.00%</w:t>
            </w:r>
          </w:p>
        </w:tc>
        <w:tc>
          <w:tcPr>
            <w:tcW w:w="1077" w:type="dxa"/>
            <w:vAlign w:val="top"/>
          </w:tcPr>
          <w:p>
            <w:pPr>
              <w:pStyle w:val="TableText"/>
              <w:ind w:left="358"/>
              <w:spacing w:before="79" w:line="195" w:lineRule="auto"/>
              <w:rPr/>
            </w:pPr>
            <w:r>
              <w:rPr>
                <w:spacing w:val="3"/>
              </w:rPr>
              <w:t>0.00</w:t>
            </w:r>
          </w:p>
        </w:tc>
        <w:tc>
          <w:tcPr>
            <w:tcW w:w="1079" w:type="dxa"/>
            <w:vAlign w:val="top"/>
          </w:tcPr>
          <w:p>
            <w:pPr>
              <w:pStyle w:val="TableText"/>
              <w:ind w:left="359"/>
              <w:spacing w:before="79" w:line="195" w:lineRule="auto"/>
              <w:rPr/>
            </w:pPr>
            <w:r>
              <w:rPr>
                <w:spacing w:val="2"/>
              </w:rPr>
              <w:t>0.00</w:t>
            </w:r>
          </w:p>
        </w:tc>
      </w:tr>
    </w:tbl>
    <w:p>
      <w:pPr>
        <w:pStyle w:val="BodyText"/>
        <w:spacing w:line="338" w:lineRule="auto"/>
        <w:rPr/>
      </w:pPr>
      <w:r/>
    </w:p>
    <w:p>
      <w:pPr>
        <w:ind w:left="114"/>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3.3.1.6 </w:t>
      </w:r>
      <w:r>
        <w:rPr>
          <w:rFonts w:ascii="SimHei" w:hAnsi="SimHei" w:eastAsia="SimHei" w:cs="SimHei"/>
          <w:sz w:val="24"/>
          <w:szCs w:val="24"/>
          <w:b/>
          <w:bCs/>
          <w:spacing w:val="-2"/>
        </w:rPr>
        <w:t>土壤侵蚀回顾</w:t>
      </w:r>
    </w:p>
    <w:p>
      <w:pPr>
        <w:ind w:left="120" w:right="115" w:firstLine="478"/>
        <w:spacing w:before="156" w:line="339" w:lineRule="auto"/>
        <w:rPr>
          <w:rFonts w:ascii="SimSun" w:hAnsi="SimSun" w:eastAsia="SimSun" w:cs="SimSun"/>
          <w:sz w:val="24"/>
          <w:szCs w:val="24"/>
        </w:rPr>
      </w:pPr>
      <w:r>
        <w:rPr>
          <w:rFonts w:ascii="SimSun" w:hAnsi="SimSun" w:eastAsia="SimSun" w:cs="SimSun"/>
          <w:sz w:val="24"/>
          <w:szCs w:val="24"/>
          <w:spacing w:val="-2"/>
        </w:rPr>
        <w:t>评价区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2014 </w:t>
      </w:r>
      <w:r>
        <w:rPr>
          <w:rFonts w:ascii="SimSun" w:hAnsi="SimSun" w:eastAsia="SimSun" w:cs="SimSun"/>
          <w:sz w:val="24"/>
          <w:szCs w:val="24"/>
          <w:spacing w:val="-2"/>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年土壤侵蚀发生了一定变化，各类型土壤侵蚀所占比例及其变</w:t>
      </w:r>
      <w:r>
        <w:rPr>
          <w:rFonts w:ascii="SimSun" w:hAnsi="SimSun" w:eastAsia="SimSun" w:cs="SimSun"/>
          <w:sz w:val="24"/>
          <w:szCs w:val="24"/>
          <w:spacing w:val="-2"/>
        </w:rPr>
        <w:t>化情况具体见图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3-3-7 </w:t>
      </w:r>
      <w:r>
        <w:rPr>
          <w:rFonts w:ascii="SimSun" w:hAnsi="SimSun" w:eastAsia="SimSun" w:cs="SimSun"/>
          <w:sz w:val="24"/>
          <w:szCs w:val="24"/>
          <w:spacing w:val="-2"/>
        </w:rPr>
        <w:t>及表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3-3-4</w:t>
      </w:r>
      <w:r>
        <w:rPr>
          <w:rFonts w:ascii="SimSun" w:hAnsi="SimSun" w:eastAsia="SimSun" w:cs="SimSun"/>
          <w:sz w:val="24"/>
          <w:szCs w:val="24"/>
          <w:spacing w:val="-2"/>
        </w:rPr>
        <w:t>。</w:t>
      </w:r>
    </w:p>
    <w:p>
      <w:pPr>
        <w:ind w:left="119" w:right="115" w:firstLine="479"/>
        <w:spacing w:before="2" w:line="339" w:lineRule="auto"/>
        <w:jc w:val="both"/>
        <w:rPr>
          <w:rFonts w:ascii="SimSun" w:hAnsi="SimSun" w:eastAsia="SimSun" w:cs="SimSun"/>
          <w:sz w:val="24"/>
          <w:szCs w:val="24"/>
        </w:rPr>
      </w:pPr>
      <w:r>
        <w:rPr>
          <w:rFonts w:ascii="SimSun" w:hAnsi="SimSun" w:eastAsia="SimSun" w:cs="SimSun"/>
          <w:sz w:val="24"/>
          <w:szCs w:val="24"/>
          <w:spacing w:val="5"/>
        </w:rPr>
        <w:t>评价区解译得到矿区土壤侵蚀分布图。据统计，</w:t>
      </w:r>
      <w:r>
        <w:rPr>
          <w:rFonts w:ascii="Times New Roman" w:hAnsi="Times New Roman" w:eastAsia="Times New Roman" w:cs="Times New Roman"/>
          <w:sz w:val="24"/>
          <w:szCs w:val="24"/>
          <w:spacing w:val="5"/>
        </w:rPr>
        <w:t>2014~2018</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5"/>
        </w:rPr>
        <w:t>年，微度侵蚀减少了</w:t>
      </w:r>
      <w:r>
        <w:rPr>
          <w:rFonts w:ascii="Times New Roman" w:hAnsi="Times New Roman" w:eastAsia="Times New Roman" w:cs="Times New Roman"/>
          <w:sz w:val="24"/>
          <w:szCs w:val="24"/>
          <w:spacing w:val="-1"/>
        </w:rPr>
        <w:t>5.65km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1"/>
        </w:rPr>
        <w:t>，强度侵蚀增加了</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4.82km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1"/>
        </w:rPr>
        <w:t>，其余侵蚀等级均有了一定的增长；</w:t>
      </w:r>
      <w:r>
        <w:rPr>
          <w:rFonts w:ascii="Times New Roman" w:hAnsi="Times New Roman" w:eastAsia="Times New Roman" w:cs="Times New Roman"/>
          <w:sz w:val="24"/>
          <w:szCs w:val="24"/>
          <w:spacing w:val="-1"/>
        </w:rPr>
        <w:t>201</w:t>
      </w:r>
      <w:r>
        <w:rPr>
          <w:rFonts w:ascii="Times New Roman" w:hAnsi="Times New Roman" w:eastAsia="Times New Roman" w:cs="Times New Roman"/>
          <w:sz w:val="24"/>
          <w:szCs w:val="24"/>
          <w:spacing w:val="-2"/>
        </w:rPr>
        <w:t>8~2024 </w:t>
      </w:r>
      <w:r>
        <w:rPr>
          <w:rFonts w:ascii="SimSun" w:hAnsi="SimSun" w:eastAsia="SimSun" w:cs="SimSun"/>
          <w:sz w:val="24"/>
          <w:szCs w:val="24"/>
          <w:spacing w:val="-2"/>
        </w:rPr>
        <w:t>年，</w:t>
      </w:r>
      <w:r>
        <w:rPr>
          <w:rFonts w:ascii="SimSun" w:hAnsi="SimSun" w:eastAsia="SimSun" w:cs="SimSun"/>
          <w:sz w:val="24"/>
          <w:szCs w:val="24"/>
          <w:spacing w:val="-4"/>
        </w:rPr>
        <w:t>微度侵蚀和中度侵蚀增加了</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17km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12"/>
          <w:w w:val="101"/>
          <w:position w:val="8"/>
        </w:rPr>
        <w:t xml:space="preserve"> </w:t>
      </w:r>
      <w:r>
        <w:rPr>
          <w:rFonts w:ascii="SimSun" w:hAnsi="SimSun" w:eastAsia="SimSun" w:cs="SimSun"/>
          <w:sz w:val="24"/>
          <w:szCs w:val="24"/>
          <w:spacing w:val="-4"/>
        </w:rPr>
        <w:t>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0.23km</w:t>
      </w:r>
      <w:r>
        <w:rPr>
          <w:rFonts w:ascii="Times New Roman" w:hAnsi="Times New Roman" w:eastAsia="Times New Roman" w:cs="Times New Roman"/>
          <w:sz w:val="15"/>
          <w:szCs w:val="15"/>
          <w:spacing w:val="-4"/>
          <w:position w:val="8"/>
        </w:rPr>
        <w:t>2</w:t>
      </w:r>
      <w:r>
        <w:rPr>
          <w:rFonts w:ascii="SimSun" w:hAnsi="SimSun" w:eastAsia="SimSun" w:cs="SimSun"/>
          <w:sz w:val="24"/>
          <w:szCs w:val="24"/>
          <w:spacing w:val="-4"/>
        </w:rPr>
        <w:t>，其余侵蚀等级均有了一定</w:t>
      </w:r>
      <w:r>
        <w:rPr>
          <w:rFonts w:ascii="SimSun" w:hAnsi="SimSun" w:eastAsia="SimSun" w:cs="SimSun"/>
          <w:sz w:val="24"/>
          <w:szCs w:val="24"/>
          <w:spacing w:val="-5"/>
        </w:rPr>
        <w:t>的减少。</w:t>
      </w:r>
      <w:r>
        <w:rPr>
          <w:rFonts w:ascii="Times New Roman" w:hAnsi="Times New Roman" w:eastAsia="Times New Roman" w:cs="Times New Roman"/>
          <w:sz w:val="24"/>
          <w:szCs w:val="24"/>
          <w:spacing w:val="-5"/>
        </w:rPr>
        <w:t>2014</w:t>
      </w:r>
      <w:r>
        <w:rPr>
          <w:rFonts w:ascii="SimSun" w:hAnsi="SimSun" w:eastAsia="SimSun" w:cs="SimSun"/>
          <w:sz w:val="24"/>
          <w:szCs w:val="24"/>
          <w:spacing w:val="1"/>
        </w:rPr>
        <w:t>至</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2018</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1"/>
        </w:rPr>
        <w:t>随着露天矿开采强度的增加，强</w:t>
      </w:r>
      <w:r>
        <w:rPr>
          <w:rFonts w:ascii="SimSun" w:hAnsi="SimSun" w:eastAsia="SimSun" w:cs="SimSun"/>
          <w:sz w:val="24"/>
          <w:szCs w:val="24"/>
        </w:rPr>
        <w:t>度侵蚀有较大的增加，后续随着内外排土场及</w:t>
      </w:r>
      <w:r>
        <w:rPr>
          <w:rFonts w:ascii="SimSun" w:hAnsi="SimSun" w:eastAsia="SimSun" w:cs="SimSun"/>
          <w:sz w:val="24"/>
          <w:szCs w:val="24"/>
          <w:spacing w:val="-2"/>
        </w:rPr>
        <w:t>预填土区域的土地复垦，微度侵蚀的面积又随着增加。评价区总体以微度和轻度侵蚀为</w:t>
      </w:r>
      <w:r>
        <w:rPr>
          <w:rFonts w:ascii="SimSun" w:hAnsi="SimSun" w:eastAsia="SimSun" w:cs="SimSun"/>
          <w:sz w:val="24"/>
          <w:szCs w:val="24"/>
          <w:spacing w:val="-1"/>
        </w:rPr>
        <w:t>主的土壤侵蚀类型未变。</w:t>
      </w:r>
    </w:p>
    <w:p>
      <w:pPr>
        <w:ind w:left="2736"/>
        <w:spacing w:before="120" w:line="222" w:lineRule="auto"/>
        <w:rPr>
          <w:rFonts w:ascii="SimHei" w:hAnsi="SimHei" w:eastAsia="SimHei" w:cs="SimHei"/>
          <w:sz w:val="24"/>
          <w:szCs w:val="24"/>
        </w:rPr>
      </w:pPr>
      <w:r>
        <w:rPr>
          <w:rFonts w:ascii="SimHei" w:hAnsi="SimHei" w:eastAsia="SimHei" w:cs="SimHei"/>
          <w:sz w:val="24"/>
          <w:szCs w:val="24"/>
          <w:spacing w:val="-1"/>
        </w:rPr>
        <w:t>不同时期评价区各土壤侵蚀面积所占比例</w:t>
      </w:r>
    </w:p>
    <w:p>
      <w:pPr>
        <w:ind w:left="117"/>
        <w:spacing w:before="70"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42"/>
        <w:gridCol w:w="892"/>
        <w:gridCol w:w="1019"/>
        <w:gridCol w:w="1020"/>
        <w:gridCol w:w="1022"/>
        <w:gridCol w:w="1019"/>
        <w:gridCol w:w="1022"/>
        <w:gridCol w:w="1075"/>
        <w:gridCol w:w="1079"/>
      </w:tblGrid>
      <w:tr>
        <w:trPr>
          <w:trHeight w:val="308" w:hRule="atLeast"/>
        </w:trPr>
        <w:tc>
          <w:tcPr>
            <w:tcW w:w="1142" w:type="dxa"/>
            <w:vAlign w:val="top"/>
            <w:vMerge w:val="restart"/>
            <w:tcBorders>
              <w:bottom w:val="nil"/>
            </w:tcBorders>
          </w:tcPr>
          <w:p>
            <w:pPr>
              <w:ind w:left="155"/>
              <w:spacing w:before="273" w:line="229" w:lineRule="auto"/>
              <w:rPr>
                <w:rFonts w:ascii="SimSun" w:hAnsi="SimSun" w:eastAsia="SimSun" w:cs="SimSun"/>
                <w:sz w:val="20"/>
                <w:szCs w:val="20"/>
              </w:rPr>
            </w:pPr>
            <w:r>
              <w:rPr>
                <w:rFonts w:ascii="SimSun" w:hAnsi="SimSun" w:eastAsia="SimSun" w:cs="SimSun"/>
                <w:sz w:val="20"/>
                <w:szCs w:val="20"/>
                <w:spacing w:val="7"/>
              </w:rPr>
              <w:t>土壤侵蚀</w:t>
            </w:r>
          </w:p>
        </w:tc>
        <w:tc>
          <w:tcPr>
            <w:tcW w:w="1911" w:type="dxa"/>
            <w:vAlign w:val="top"/>
            <w:gridSpan w:val="2"/>
          </w:tcPr>
          <w:p>
            <w:pPr>
              <w:pStyle w:val="TableText"/>
              <w:ind w:left="585"/>
              <w:spacing w:before="45" w:line="228" w:lineRule="auto"/>
              <w:rPr>
                <w:rFonts w:ascii="SimSun" w:hAnsi="SimSun" w:eastAsia="SimSun" w:cs="SimSun"/>
              </w:rPr>
            </w:pPr>
            <w:r>
              <w:rPr>
                <w:spacing w:val="3"/>
              </w:rPr>
              <w:t>2014</w:t>
            </w:r>
            <w:r>
              <w:rPr>
                <w:spacing w:val="8"/>
              </w:rPr>
              <w:t xml:space="preserve">  </w:t>
            </w:r>
            <w:r>
              <w:rPr>
                <w:rFonts w:ascii="SimSun" w:hAnsi="SimSun" w:eastAsia="SimSun" w:cs="SimSun"/>
                <w:spacing w:val="3"/>
              </w:rPr>
              <w:t>年</w:t>
            </w:r>
          </w:p>
        </w:tc>
        <w:tc>
          <w:tcPr>
            <w:tcW w:w="2042" w:type="dxa"/>
            <w:vAlign w:val="top"/>
            <w:gridSpan w:val="2"/>
          </w:tcPr>
          <w:p>
            <w:pPr>
              <w:pStyle w:val="TableText"/>
              <w:ind w:left="678"/>
              <w:spacing w:before="45" w:line="228" w:lineRule="auto"/>
              <w:rPr>
                <w:rFonts w:ascii="SimSun" w:hAnsi="SimSun" w:eastAsia="SimSun" w:cs="SimSun"/>
              </w:rPr>
            </w:pPr>
            <w:r>
              <w:rPr>
                <w:spacing w:val="3"/>
              </w:rPr>
              <w:t>2018</w:t>
            </w:r>
            <w:r>
              <w:rPr>
                <w:spacing w:val="11"/>
              </w:rPr>
              <w:t xml:space="preserve"> </w:t>
            </w:r>
            <w:r>
              <w:rPr>
                <w:rFonts w:ascii="SimSun" w:hAnsi="SimSun" w:eastAsia="SimSun" w:cs="SimSun"/>
                <w:spacing w:val="3"/>
              </w:rPr>
              <w:t>年</w:t>
            </w:r>
          </w:p>
        </w:tc>
        <w:tc>
          <w:tcPr>
            <w:tcW w:w="2041" w:type="dxa"/>
            <w:vAlign w:val="top"/>
            <w:gridSpan w:val="2"/>
          </w:tcPr>
          <w:p>
            <w:pPr>
              <w:pStyle w:val="TableText"/>
              <w:ind w:left="678"/>
              <w:spacing w:before="45" w:line="228" w:lineRule="auto"/>
              <w:rPr>
                <w:rFonts w:ascii="SimSun" w:hAnsi="SimSun" w:eastAsia="SimSun" w:cs="SimSun"/>
              </w:rPr>
            </w:pPr>
            <w:r>
              <w:rPr>
                <w:spacing w:val="4"/>
              </w:rPr>
              <w:t>2024 </w:t>
            </w:r>
            <w:r>
              <w:rPr>
                <w:rFonts w:ascii="SimSun" w:hAnsi="SimSun" w:eastAsia="SimSun" w:cs="SimSun"/>
                <w:spacing w:val="4"/>
              </w:rPr>
              <w:t>年</w:t>
            </w:r>
          </w:p>
        </w:tc>
        <w:tc>
          <w:tcPr>
            <w:tcW w:w="1075" w:type="dxa"/>
            <w:vAlign w:val="top"/>
            <w:vMerge w:val="restart"/>
            <w:tcBorders>
              <w:bottom w:val="nil"/>
            </w:tcBorders>
          </w:tcPr>
          <w:p>
            <w:pPr>
              <w:pStyle w:val="TableText"/>
              <w:ind w:left="63"/>
              <w:spacing w:before="52" w:line="195" w:lineRule="auto"/>
              <w:rPr/>
            </w:pPr>
            <w:r>
              <w:rPr>
                <w:spacing w:val="4"/>
              </w:rPr>
              <w:t>2014~2018</w:t>
            </w:r>
          </w:p>
          <w:p>
            <w:pPr>
              <w:ind w:left="122"/>
              <w:spacing w:before="34"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07"/>
              <w:spacing w:before="25" w:line="211" w:lineRule="auto"/>
              <w:rPr/>
            </w:pPr>
            <w:r>
              <w:rPr>
                <w:spacing w:val="3"/>
              </w:rPr>
              <w:t>(</w:t>
            </w:r>
            <w:r>
              <w:rPr/>
              <w:t>km</w:t>
            </w:r>
            <w:r>
              <w:rPr>
                <w:sz w:val="13"/>
                <w:szCs w:val="13"/>
                <w:spacing w:val="3"/>
                <w:position w:val="6"/>
              </w:rPr>
              <w:t>2</w:t>
            </w:r>
            <w:r>
              <w:rPr>
                <w:spacing w:val="3"/>
              </w:rPr>
              <w:t>)</w:t>
            </w:r>
          </w:p>
        </w:tc>
        <w:tc>
          <w:tcPr>
            <w:tcW w:w="1079" w:type="dxa"/>
            <w:vAlign w:val="top"/>
            <w:vMerge w:val="restart"/>
            <w:tcBorders>
              <w:bottom w:val="nil"/>
            </w:tcBorders>
          </w:tcPr>
          <w:p>
            <w:pPr>
              <w:pStyle w:val="TableText"/>
              <w:ind w:left="61"/>
              <w:spacing w:before="52" w:line="195" w:lineRule="auto"/>
              <w:rPr/>
            </w:pPr>
            <w:r>
              <w:rPr>
                <w:spacing w:val="4"/>
              </w:rPr>
              <w:t>2018~2024</w:t>
            </w:r>
          </w:p>
          <w:p>
            <w:pPr>
              <w:ind w:left="122"/>
              <w:spacing w:before="34" w:line="228" w:lineRule="auto"/>
              <w:rPr>
                <w:rFonts w:ascii="SimSun" w:hAnsi="SimSun" w:eastAsia="SimSun" w:cs="SimSun"/>
                <w:sz w:val="20"/>
                <w:szCs w:val="20"/>
              </w:rPr>
            </w:pPr>
            <w:r>
              <w:rPr>
                <w:rFonts w:ascii="SimSun" w:hAnsi="SimSun" w:eastAsia="SimSun" w:cs="SimSun"/>
                <w:sz w:val="20"/>
                <w:szCs w:val="20"/>
                <w:spacing w:val="7"/>
              </w:rPr>
              <w:t>变化情况</w:t>
            </w:r>
          </w:p>
          <w:p>
            <w:pPr>
              <w:pStyle w:val="TableText"/>
              <w:ind w:left="305"/>
              <w:spacing w:before="25" w:line="211" w:lineRule="auto"/>
              <w:rPr/>
            </w:pPr>
            <w:r>
              <w:rPr>
                <w:spacing w:val="4"/>
              </w:rPr>
              <w:t>(</w:t>
            </w:r>
            <w:r>
              <w:rPr/>
              <w:t>km</w:t>
            </w:r>
            <w:r>
              <w:rPr>
                <w:sz w:val="13"/>
                <w:szCs w:val="13"/>
                <w:spacing w:val="4"/>
                <w:position w:val="6"/>
              </w:rPr>
              <w:t>2</w:t>
            </w:r>
            <w:r>
              <w:rPr>
                <w:spacing w:val="4"/>
              </w:rPr>
              <w:t>)</w:t>
            </w:r>
          </w:p>
        </w:tc>
      </w:tr>
      <w:tr>
        <w:trPr>
          <w:trHeight w:val="446" w:hRule="atLeast"/>
        </w:trPr>
        <w:tc>
          <w:tcPr>
            <w:tcW w:w="1142" w:type="dxa"/>
            <w:vAlign w:val="top"/>
            <w:vMerge w:val="continue"/>
            <w:tcBorders>
              <w:top w:val="nil"/>
            </w:tcBorders>
          </w:tcPr>
          <w:p>
            <w:pPr>
              <w:rPr>
                <w:rFonts w:ascii="Arial"/>
                <w:sz w:val="21"/>
              </w:rPr>
            </w:pPr>
            <w:r/>
          </w:p>
        </w:tc>
        <w:tc>
          <w:tcPr>
            <w:tcW w:w="892" w:type="dxa"/>
            <w:vAlign w:val="top"/>
          </w:tcPr>
          <w:p>
            <w:pPr>
              <w:pStyle w:val="TableText"/>
              <w:ind w:left="1"/>
              <w:spacing w:before="114" w:line="221" w:lineRule="auto"/>
              <w:rPr/>
            </w:pPr>
            <w:r>
              <w:rPr>
                <w:rFonts w:ascii="SimSun" w:hAnsi="SimSun" w:eastAsia="SimSun" w:cs="SimSun"/>
                <w:spacing w:val="6"/>
              </w:rPr>
              <w:t>面积</w:t>
            </w:r>
            <w:r>
              <w:rPr>
                <w:spacing w:val="6"/>
              </w:rPr>
              <w:t>(</w:t>
            </w:r>
            <w:r>
              <w:rPr/>
              <w:t>km</w:t>
            </w:r>
            <w:r>
              <w:rPr>
                <w:sz w:val="13"/>
                <w:szCs w:val="13"/>
                <w:spacing w:val="6"/>
                <w:position w:val="6"/>
              </w:rPr>
              <w:t>2</w:t>
            </w:r>
            <w:r>
              <w:rPr>
                <w:spacing w:val="6"/>
              </w:rPr>
              <w:t>)</w:t>
            </w:r>
          </w:p>
        </w:tc>
        <w:tc>
          <w:tcPr>
            <w:tcW w:w="1019" w:type="dxa"/>
            <w:vAlign w:val="top"/>
          </w:tcPr>
          <w:p>
            <w:pPr>
              <w:ind w:left="336"/>
              <w:spacing w:before="114" w:line="229" w:lineRule="auto"/>
              <w:rPr>
                <w:rFonts w:ascii="SimSun" w:hAnsi="SimSun" w:eastAsia="SimSun" w:cs="SimSun"/>
                <w:sz w:val="20"/>
                <w:szCs w:val="20"/>
              </w:rPr>
            </w:pPr>
            <w:r>
              <w:rPr>
                <w:rFonts w:ascii="SimSun" w:hAnsi="SimSun" w:eastAsia="SimSun" w:cs="SimSun"/>
                <w:sz w:val="20"/>
                <w:szCs w:val="20"/>
                <w:spacing w:val="-12"/>
              </w:rPr>
              <w:t>占比</w:t>
            </w:r>
          </w:p>
        </w:tc>
        <w:tc>
          <w:tcPr>
            <w:tcW w:w="1020" w:type="dxa"/>
            <w:vAlign w:val="top"/>
          </w:tcPr>
          <w:p>
            <w:pPr>
              <w:pStyle w:val="TableText"/>
              <w:ind w:left="66"/>
              <w:spacing w:before="114" w:line="221" w:lineRule="auto"/>
              <w:rPr/>
            </w:pPr>
            <w:r>
              <w:rPr>
                <w:rFonts w:ascii="SimSun" w:hAnsi="SimSun" w:eastAsia="SimSun" w:cs="SimSun"/>
                <w:spacing w:val="6"/>
              </w:rPr>
              <w:t>面积</w:t>
            </w:r>
            <w:r>
              <w:rPr>
                <w:spacing w:val="6"/>
              </w:rPr>
              <w:t>(</w:t>
            </w:r>
            <w:r>
              <w:rPr/>
              <w:t>km</w:t>
            </w:r>
            <w:r>
              <w:rPr>
                <w:sz w:val="13"/>
                <w:szCs w:val="13"/>
                <w:spacing w:val="6"/>
                <w:position w:val="6"/>
              </w:rPr>
              <w:t>2</w:t>
            </w:r>
            <w:r>
              <w:rPr>
                <w:spacing w:val="6"/>
              </w:rPr>
              <w:t>)</w:t>
            </w:r>
          </w:p>
        </w:tc>
        <w:tc>
          <w:tcPr>
            <w:tcW w:w="1022" w:type="dxa"/>
            <w:vAlign w:val="top"/>
          </w:tcPr>
          <w:p>
            <w:pPr>
              <w:ind w:left="337"/>
              <w:spacing w:before="114" w:line="229" w:lineRule="auto"/>
              <w:rPr>
                <w:rFonts w:ascii="SimSun" w:hAnsi="SimSun" w:eastAsia="SimSun" w:cs="SimSun"/>
                <w:sz w:val="20"/>
                <w:szCs w:val="20"/>
              </w:rPr>
            </w:pPr>
            <w:r>
              <w:rPr>
                <w:rFonts w:ascii="SimSun" w:hAnsi="SimSun" w:eastAsia="SimSun" w:cs="SimSun"/>
                <w:sz w:val="20"/>
                <w:szCs w:val="20"/>
                <w:spacing w:val="-12"/>
              </w:rPr>
              <w:t>占比</w:t>
            </w:r>
          </w:p>
        </w:tc>
        <w:tc>
          <w:tcPr>
            <w:tcW w:w="1019" w:type="dxa"/>
            <w:vAlign w:val="top"/>
          </w:tcPr>
          <w:p>
            <w:pPr>
              <w:pStyle w:val="TableText"/>
              <w:ind w:left="68"/>
              <w:spacing w:before="114" w:line="221" w:lineRule="auto"/>
              <w:rPr/>
            </w:pPr>
            <w:r>
              <w:rPr>
                <w:rFonts w:ascii="SimSun" w:hAnsi="SimSun" w:eastAsia="SimSun" w:cs="SimSun"/>
                <w:spacing w:val="6"/>
              </w:rPr>
              <w:t>面积</w:t>
            </w:r>
            <w:r>
              <w:rPr>
                <w:spacing w:val="6"/>
              </w:rPr>
              <w:t>(</w:t>
            </w:r>
            <w:r>
              <w:rPr/>
              <w:t>km</w:t>
            </w:r>
            <w:r>
              <w:rPr>
                <w:sz w:val="13"/>
                <w:szCs w:val="13"/>
                <w:spacing w:val="6"/>
                <w:position w:val="6"/>
              </w:rPr>
              <w:t>2</w:t>
            </w:r>
            <w:r>
              <w:rPr>
                <w:spacing w:val="6"/>
              </w:rPr>
              <w:t>)</w:t>
            </w:r>
          </w:p>
        </w:tc>
        <w:tc>
          <w:tcPr>
            <w:tcW w:w="1022" w:type="dxa"/>
            <w:vAlign w:val="top"/>
          </w:tcPr>
          <w:p>
            <w:pPr>
              <w:ind w:left="338"/>
              <w:spacing w:before="114" w:line="229" w:lineRule="auto"/>
              <w:rPr>
                <w:rFonts w:ascii="SimSun" w:hAnsi="SimSun" w:eastAsia="SimSun" w:cs="SimSun"/>
                <w:sz w:val="20"/>
                <w:szCs w:val="20"/>
              </w:rPr>
            </w:pPr>
            <w:r>
              <w:rPr>
                <w:rFonts w:ascii="SimSun" w:hAnsi="SimSun" w:eastAsia="SimSun" w:cs="SimSun"/>
                <w:sz w:val="20"/>
                <w:szCs w:val="20"/>
                <w:spacing w:val="-13"/>
              </w:rPr>
              <w:t>占比</w:t>
            </w:r>
          </w:p>
        </w:tc>
        <w:tc>
          <w:tcPr>
            <w:tcW w:w="1075" w:type="dxa"/>
            <w:vAlign w:val="top"/>
            <w:vMerge w:val="continue"/>
            <w:tcBorders>
              <w:top w:val="nil"/>
            </w:tcBorders>
          </w:tcPr>
          <w:p>
            <w:pPr>
              <w:rPr>
                <w:rFonts w:ascii="Arial"/>
                <w:sz w:val="21"/>
              </w:rPr>
            </w:pPr>
            <w:r/>
          </w:p>
        </w:tc>
        <w:tc>
          <w:tcPr>
            <w:tcW w:w="1079" w:type="dxa"/>
            <w:vAlign w:val="top"/>
            <w:vMerge w:val="continue"/>
            <w:tcBorders>
              <w:top w:val="nil"/>
            </w:tcBorders>
          </w:tcPr>
          <w:p>
            <w:pPr>
              <w:rPr>
                <w:rFonts w:ascii="Arial"/>
                <w:sz w:val="21"/>
              </w:rPr>
            </w:pPr>
            <w:r/>
          </w:p>
        </w:tc>
      </w:tr>
      <w:tr>
        <w:trPr>
          <w:trHeight w:val="305" w:hRule="atLeast"/>
        </w:trPr>
        <w:tc>
          <w:tcPr>
            <w:tcW w:w="1142" w:type="dxa"/>
            <w:vAlign w:val="top"/>
          </w:tcPr>
          <w:p>
            <w:pPr>
              <w:ind w:left="154"/>
              <w:spacing w:before="47" w:line="228" w:lineRule="auto"/>
              <w:rPr>
                <w:rFonts w:ascii="SimSun" w:hAnsi="SimSun" w:eastAsia="SimSun" w:cs="SimSun"/>
                <w:sz w:val="20"/>
                <w:szCs w:val="20"/>
              </w:rPr>
            </w:pPr>
            <w:r>
              <w:rPr>
                <w:rFonts w:ascii="SimSun" w:hAnsi="SimSun" w:eastAsia="SimSun" w:cs="SimSun"/>
                <w:sz w:val="20"/>
                <w:szCs w:val="20"/>
                <w:spacing w:val="7"/>
              </w:rPr>
              <w:t>微度侵蚀</w:t>
            </w:r>
          </w:p>
        </w:tc>
        <w:tc>
          <w:tcPr>
            <w:tcW w:w="892" w:type="dxa"/>
            <w:vAlign w:val="top"/>
          </w:tcPr>
          <w:p>
            <w:pPr>
              <w:pStyle w:val="TableText"/>
              <w:ind w:left="206"/>
              <w:spacing w:before="83" w:line="195" w:lineRule="auto"/>
              <w:rPr/>
            </w:pPr>
            <w:r>
              <w:rPr>
                <w:spacing w:val="4"/>
              </w:rPr>
              <w:t>28.34</w:t>
            </w:r>
          </w:p>
        </w:tc>
        <w:tc>
          <w:tcPr>
            <w:tcW w:w="1019" w:type="dxa"/>
            <w:vAlign w:val="top"/>
          </w:tcPr>
          <w:p>
            <w:pPr>
              <w:pStyle w:val="TableText"/>
              <w:ind w:left="191"/>
              <w:spacing w:before="83" w:line="195" w:lineRule="auto"/>
              <w:rPr/>
            </w:pPr>
            <w:r>
              <w:rPr>
                <w:spacing w:val="3"/>
              </w:rPr>
              <w:t>53.06%</w:t>
            </w:r>
          </w:p>
        </w:tc>
        <w:tc>
          <w:tcPr>
            <w:tcW w:w="1020" w:type="dxa"/>
            <w:vAlign w:val="top"/>
            <w:tcBorders>
              <w:bottom w:val="single" w:color="000000" w:sz="6" w:space="0"/>
              <w:right w:val="single" w:color="000000" w:sz="6" w:space="0"/>
            </w:tcBorders>
          </w:tcPr>
          <w:p>
            <w:pPr>
              <w:pStyle w:val="TableText"/>
              <w:ind w:left="272"/>
              <w:spacing w:before="83" w:line="195" w:lineRule="auto"/>
              <w:rPr/>
            </w:pPr>
            <w:r>
              <w:rPr>
                <w:spacing w:val="4"/>
              </w:rPr>
              <w:t>22.69</w:t>
            </w:r>
          </w:p>
        </w:tc>
        <w:tc>
          <w:tcPr>
            <w:tcW w:w="1022" w:type="dxa"/>
            <w:vAlign w:val="top"/>
            <w:tcBorders>
              <w:left w:val="single" w:color="000000" w:sz="6" w:space="0"/>
              <w:bottom w:val="single" w:color="000000" w:sz="6" w:space="0"/>
              <w:right w:val="single" w:color="000000" w:sz="6" w:space="0"/>
            </w:tcBorders>
          </w:tcPr>
          <w:p>
            <w:pPr>
              <w:pStyle w:val="TableText"/>
              <w:ind w:left="180"/>
              <w:spacing w:before="83" w:line="195" w:lineRule="auto"/>
              <w:rPr/>
            </w:pPr>
            <w:r>
              <w:rPr>
                <w:spacing w:val="4"/>
              </w:rPr>
              <w:t>42.49%</w:t>
            </w:r>
          </w:p>
        </w:tc>
        <w:tc>
          <w:tcPr>
            <w:tcW w:w="1019" w:type="dxa"/>
            <w:vAlign w:val="top"/>
            <w:tcBorders>
              <w:left w:val="single" w:color="000000" w:sz="6" w:space="0"/>
            </w:tcBorders>
          </w:tcPr>
          <w:p>
            <w:pPr>
              <w:pStyle w:val="TableText"/>
              <w:ind w:left="268"/>
              <w:spacing w:before="83" w:line="195" w:lineRule="auto"/>
              <w:rPr/>
            </w:pPr>
            <w:r>
              <w:rPr>
                <w:spacing w:val="4"/>
              </w:rPr>
              <w:t>24.86</w:t>
            </w:r>
          </w:p>
        </w:tc>
        <w:tc>
          <w:tcPr>
            <w:tcW w:w="1022" w:type="dxa"/>
            <w:vAlign w:val="top"/>
          </w:tcPr>
          <w:p>
            <w:pPr>
              <w:pStyle w:val="TableText"/>
              <w:ind w:left="186"/>
              <w:spacing w:before="83" w:line="195" w:lineRule="auto"/>
              <w:rPr/>
            </w:pPr>
            <w:r>
              <w:rPr>
                <w:spacing w:val="4"/>
              </w:rPr>
              <w:t>46.55%</w:t>
            </w:r>
          </w:p>
        </w:tc>
        <w:tc>
          <w:tcPr>
            <w:tcW w:w="1075" w:type="dxa"/>
            <w:vAlign w:val="top"/>
          </w:tcPr>
          <w:p>
            <w:pPr>
              <w:pStyle w:val="TableText"/>
              <w:ind w:left="324"/>
              <w:spacing w:before="83" w:line="195" w:lineRule="auto"/>
              <w:rPr/>
            </w:pPr>
            <w:r>
              <w:rPr>
                <w:spacing w:val="2"/>
              </w:rPr>
              <w:t>-5.65</w:t>
            </w:r>
          </w:p>
        </w:tc>
        <w:tc>
          <w:tcPr>
            <w:tcW w:w="1079" w:type="dxa"/>
            <w:vAlign w:val="top"/>
          </w:tcPr>
          <w:p>
            <w:pPr>
              <w:pStyle w:val="TableText"/>
              <w:ind w:left="356"/>
              <w:spacing w:before="83" w:line="195" w:lineRule="auto"/>
              <w:rPr/>
            </w:pPr>
            <w:r>
              <w:rPr>
                <w:spacing w:val="3"/>
              </w:rPr>
              <w:t>2.17</w:t>
            </w:r>
          </w:p>
        </w:tc>
      </w:tr>
      <w:tr>
        <w:trPr>
          <w:trHeight w:val="302" w:hRule="atLeast"/>
        </w:trPr>
        <w:tc>
          <w:tcPr>
            <w:tcW w:w="1142" w:type="dxa"/>
            <w:vAlign w:val="top"/>
          </w:tcPr>
          <w:p>
            <w:pPr>
              <w:ind w:left="155"/>
              <w:spacing w:before="47" w:line="226" w:lineRule="auto"/>
              <w:rPr>
                <w:rFonts w:ascii="SimSun" w:hAnsi="SimSun" w:eastAsia="SimSun" w:cs="SimSun"/>
                <w:sz w:val="20"/>
                <w:szCs w:val="20"/>
              </w:rPr>
            </w:pPr>
            <w:r>
              <w:rPr>
                <w:rFonts w:ascii="SimSun" w:hAnsi="SimSun" w:eastAsia="SimSun" w:cs="SimSun"/>
                <w:sz w:val="20"/>
                <w:szCs w:val="20"/>
                <w:spacing w:val="7"/>
              </w:rPr>
              <w:t>轻度侵蚀</w:t>
            </w:r>
          </w:p>
        </w:tc>
        <w:tc>
          <w:tcPr>
            <w:tcW w:w="892" w:type="dxa"/>
            <w:vAlign w:val="top"/>
          </w:tcPr>
          <w:p>
            <w:pPr>
              <w:pStyle w:val="TableText"/>
              <w:ind w:left="226"/>
              <w:spacing w:before="84" w:line="195" w:lineRule="auto"/>
              <w:rPr/>
            </w:pPr>
            <w:r>
              <w:rPr/>
              <w:t>17.29</w:t>
            </w:r>
          </w:p>
        </w:tc>
        <w:tc>
          <w:tcPr>
            <w:tcW w:w="1019" w:type="dxa"/>
            <w:vAlign w:val="top"/>
          </w:tcPr>
          <w:p>
            <w:pPr>
              <w:pStyle w:val="TableText"/>
              <w:ind w:left="189"/>
              <w:spacing w:before="84" w:line="195" w:lineRule="auto"/>
              <w:rPr/>
            </w:pPr>
            <w:r>
              <w:rPr>
                <w:spacing w:val="4"/>
              </w:rPr>
              <w:t>32.38%</w:t>
            </w:r>
          </w:p>
        </w:tc>
        <w:tc>
          <w:tcPr>
            <w:tcW w:w="1020" w:type="dxa"/>
            <w:vAlign w:val="top"/>
            <w:tcBorders>
              <w:bottom w:val="single" w:color="000000" w:sz="6" w:space="0"/>
              <w:right w:val="single" w:color="000000" w:sz="6" w:space="0"/>
              <w:top w:val="single" w:color="000000" w:sz="6" w:space="0"/>
            </w:tcBorders>
          </w:tcPr>
          <w:p>
            <w:pPr>
              <w:pStyle w:val="TableText"/>
              <w:ind w:left="292"/>
              <w:spacing w:before="84" w:line="195" w:lineRule="auto"/>
              <w:rPr/>
            </w:pPr>
            <w:r>
              <w:rPr/>
              <w:t>17.99</w:t>
            </w:r>
          </w:p>
        </w:tc>
        <w:tc>
          <w:tcPr>
            <w:tcW w:w="1022" w:type="dxa"/>
            <w:vAlign w:val="top"/>
            <w:tcBorders>
              <w:left w:val="single" w:color="000000" w:sz="6" w:space="0"/>
              <w:bottom w:val="single" w:color="000000" w:sz="6" w:space="0"/>
              <w:right w:val="single" w:color="000000" w:sz="6" w:space="0"/>
              <w:top w:val="single" w:color="000000" w:sz="6" w:space="0"/>
            </w:tcBorders>
          </w:tcPr>
          <w:p>
            <w:pPr>
              <w:pStyle w:val="TableText"/>
              <w:ind w:left="185"/>
              <w:spacing w:before="84" w:line="195" w:lineRule="auto"/>
              <w:rPr/>
            </w:pPr>
            <w:r>
              <w:rPr>
                <w:spacing w:val="4"/>
              </w:rPr>
              <w:t>33.69%</w:t>
            </w:r>
          </w:p>
        </w:tc>
        <w:tc>
          <w:tcPr>
            <w:tcW w:w="1019" w:type="dxa"/>
            <w:vAlign w:val="top"/>
            <w:tcBorders>
              <w:left w:val="single" w:color="000000" w:sz="6" w:space="0"/>
            </w:tcBorders>
          </w:tcPr>
          <w:p>
            <w:pPr>
              <w:pStyle w:val="TableText"/>
              <w:ind w:left="288"/>
              <w:spacing w:before="84" w:line="195" w:lineRule="auto"/>
              <w:rPr/>
            </w:pPr>
            <w:r>
              <w:rPr/>
              <w:t>17.21</w:t>
            </w:r>
          </w:p>
        </w:tc>
        <w:tc>
          <w:tcPr>
            <w:tcW w:w="1022" w:type="dxa"/>
            <w:vAlign w:val="top"/>
          </w:tcPr>
          <w:p>
            <w:pPr>
              <w:pStyle w:val="TableText"/>
              <w:ind w:left="191"/>
              <w:spacing w:before="84" w:line="195" w:lineRule="auto"/>
              <w:rPr/>
            </w:pPr>
            <w:r>
              <w:rPr>
                <w:spacing w:val="4"/>
              </w:rPr>
              <w:t>32.23%</w:t>
            </w:r>
          </w:p>
        </w:tc>
        <w:tc>
          <w:tcPr>
            <w:tcW w:w="1075" w:type="dxa"/>
            <w:vAlign w:val="top"/>
          </w:tcPr>
          <w:p>
            <w:pPr>
              <w:pStyle w:val="TableText"/>
              <w:ind w:left="356"/>
              <w:spacing w:before="84" w:line="195" w:lineRule="auto"/>
              <w:rPr/>
            </w:pPr>
            <w:r>
              <w:rPr>
                <w:spacing w:val="3"/>
              </w:rPr>
              <w:t>0.70</w:t>
            </w:r>
          </w:p>
        </w:tc>
        <w:tc>
          <w:tcPr>
            <w:tcW w:w="1079" w:type="dxa"/>
            <w:vAlign w:val="top"/>
          </w:tcPr>
          <w:p>
            <w:pPr>
              <w:pStyle w:val="TableText"/>
              <w:ind w:left="324"/>
              <w:spacing w:before="84" w:line="195" w:lineRule="auto"/>
              <w:rPr/>
            </w:pPr>
            <w:r>
              <w:rPr>
                <w:spacing w:val="3"/>
              </w:rPr>
              <w:t>-0.78</w:t>
            </w:r>
          </w:p>
        </w:tc>
      </w:tr>
      <w:tr>
        <w:trPr>
          <w:trHeight w:val="302" w:hRule="atLeast"/>
        </w:trPr>
        <w:tc>
          <w:tcPr>
            <w:tcW w:w="1142" w:type="dxa"/>
            <w:vAlign w:val="top"/>
          </w:tcPr>
          <w:p>
            <w:pPr>
              <w:ind w:left="173"/>
              <w:spacing w:before="51" w:line="222" w:lineRule="auto"/>
              <w:rPr>
                <w:rFonts w:ascii="SimSun" w:hAnsi="SimSun" w:eastAsia="SimSun" w:cs="SimSun"/>
                <w:sz w:val="20"/>
                <w:szCs w:val="20"/>
              </w:rPr>
            </w:pPr>
            <w:r>
              <w:rPr>
                <w:rFonts w:ascii="SimSun" w:hAnsi="SimSun" w:eastAsia="SimSun" w:cs="SimSun"/>
                <w:sz w:val="20"/>
                <w:szCs w:val="20"/>
                <w:spacing w:val="2"/>
              </w:rPr>
              <w:t>中度侵蚀</w:t>
            </w:r>
          </w:p>
        </w:tc>
        <w:tc>
          <w:tcPr>
            <w:tcW w:w="892" w:type="dxa"/>
            <w:vAlign w:val="top"/>
          </w:tcPr>
          <w:p>
            <w:pPr>
              <w:pStyle w:val="TableText"/>
              <w:ind w:left="281"/>
              <w:spacing w:before="87" w:line="195" w:lineRule="auto"/>
              <w:rPr/>
            </w:pPr>
            <w:r>
              <w:rPr>
                <w:spacing w:val="-2"/>
              </w:rPr>
              <w:t>1.62</w:t>
            </w:r>
          </w:p>
        </w:tc>
        <w:tc>
          <w:tcPr>
            <w:tcW w:w="1019" w:type="dxa"/>
            <w:vAlign w:val="top"/>
          </w:tcPr>
          <w:p>
            <w:pPr>
              <w:pStyle w:val="TableText"/>
              <w:ind w:left="242"/>
              <w:spacing w:before="87" w:line="195" w:lineRule="auto"/>
              <w:rPr/>
            </w:pPr>
            <w:r>
              <w:rPr>
                <w:spacing w:val="3"/>
              </w:rPr>
              <w:t>3.03%</w:t>
            </w:r>
          </w:p>
        </w:tc>
        <w:tc>
          <w:tcPr>
            <w:tcW w:w="1020" w:type="dxa"/>
            <w:vAlign w:val="top"/>
            <w:tcBorders>
              <w:bottom w:val="single" w:color="000000" w:sz="6" w:space="0"/>
              <w:right w:val="single" w:color="000000" w:sz="6" w:space="0"/>
              <w:top w:val="single" w:color="000000" w:sz="6" w:space="0"/>
            </w:tcBorders>
          </w:tcPr>
          <w:p>
            <w:pPr>
              <w:pStyle w:val="TableText"/>
              <w:ind w:left="345"/>
              <w:spacing w:before="87" w:line="195" w:lineRule="auto"/>
              <w:rPr/>
            </w:pPr>
            <w:r>
              <w:rPr>
                <w:spacing w:val="-1"/>
              </w:rPr>
              <w:t>1.72</w:t>
            </w:r>
          </w:p>
        </w:tc>
        <w:tc>
          <w:tcPr>
            <w:tcW w:w="1022" w:type="dxa"/>
            <w:vAlign w:val="top"/>
            <w:tcBorders>
              <w:left w:val="single" w:color="000000" w:sz="6" w:space="0"/>
              <w:bottom w:val="single" w:color="000000" w:sz="6" w:space="0"/>
              <w:right w:val="single" w:color="000000" w:sz="6" w:space="0"/>
              <w:top w:val="single" w:color="000000" w:sz="6" w:space="0"/>
            </w:tcBorders>
          </w:tcPr>
          <w:p>
            <w:pPr>
              <w:pStyle w:val="TableText"/>
              <w:ind w:left="238"/>
              <w:spacing w:before="87" w:line="195" w:lineRule="auto"/>
              <w:rPr/>
            </w:pPr>
            <w:r>
              <w:rPr>
                <w:spacing w:val="4"/>
              </w:rPr>
              <w:t>3.22%</w:t>
            </w:r>
          </w:p>
        </w:tc>
        <w:tc>
          <w:tcPr>
            <w:tcW w:w="1019" w:type="dxa"/>
            <w:vAlign w:val="top"/>
            <w:tcBorders>
              <w:left w:val="single" w:color="000000" w:sz="6" w:space="0"/>
            </w:tcBorders>
          </w:tcPr>
          <w:p>
            <w:pPr>
              <w:pStyle w:val="TableText"/>
              <w:ind w:left="343"/>
              <w:spacing w:before="87" w:line="195" w:lineRule="auto"/>
              <w:rPr/>
            </w:pPr>
            <w:r>
              <w:rPr>
                <w:spacing w:val="-2"/>
              </w:rPr>
              <w:t>1.95</w:t>
            </w:r>
          </w:p>
        </w:tc>
        <w:tc>
          <w:tcPr>
            <w:tcW w:w="1022" w:type="dxa"/>
            <w:vAlign w:val="top"/>
          </w:tcPr>
          <w:p>
            <w:pPr>
              <w:pStyle w:val="TableText"/>
              <w:ind w:left="244"/>
              <w:spacing w:before="87" w:line="195" w:lineRule="auto"/>
              <w:rPr/>
            </w:pPr>
            <w:r>
              <w:rPr>
                <w:spacing w:val="4"/>
              </w:rPr>
              <w:t>3.65%</w:t>
            </w:r>
          </w:p>
        </w:tc>
        <w:tc>
          <w:tcPr>
            <w:tcW w:w="1075" w:type="dxa"/>
            <w:vAlign w:val="top"/>
          </w:tcPr>
          <w:p>
            <w:pPr>
              <w:pStyle w:val="TableText"/>
              <w:ind w:left="356"/>
              <w:spacing w:before="87" w:line="195" w:lineRule="auto"/>
              <w:rPr/>
            </w:pPr>
            <w:r>
              <w:rPr>
                <w:spacing w:val="3"/>
              </w:rPr>
              <w:t>0.10</w:t>
            </w:r>
          </w:p>
        </w:tc>
        <w:tc>
          <w:tcPr>
            <w:tcW w:w="1079" w:type="dxa"/>
            <w:vAlign w:val="top"/>
          </w:tcPr>
          <w:p>
            <w:pPr>
              <w:pStyle w:val="TableText"/>
              <w:ind w:left="359"/>
              <w:spacing w:before="87" w:line="195" w:lineRule="auto"/>
              <w:rPr/>
            </w:pPr>
            <w:r>
              <w:rPr>
                <w:spacing w:val="2"/>
              </w:rPr>
              <w:t>0.23</w:t>
            </w:r>
          </w:p>
        </w:tc>
      </w:tr>
      <w:tr>
        <w:trPr>
          <w:trHeight w:val="305" w:hRule="atLeast"/>
        </w:trPr>
        <w:tc>
          <w:tcPr>
            <w:tcW w:w="1142" w:type="dxa"/>
            <w:vAlign w:val="top"/>
          </w:tcPr>
          <w:p>
            <w:pPr>
              <w:ind w:left="159"/>
              <w:spacing w:before="53" w:line="223" w:lineRule="auto"/>
              <w:rPr>
                <w:rFonts w:ascii="SimSun" w:hAnsi="SimSun" w:eastAsia="SimSun" w:cs="SimSun"/>
                <w:sz w:val="20"/>
                <w:szCs w:val="20"/>
              </w:rPr>
            </w:pPr>
            <w:r>
              <w:rPr>
                <w:rFonts w:ascii="SimSun" w:hAnsi="SimSun" w:eastAsia="SimSun" w:cs="SimSun"/>
                <w:sz w:val="20"/>
                <w:szCs w:val="20"/>
                <w:spacing w:val="6"/>
              </w:rPr>
              <w:t>强度侵蚀</w:t>
            </w:r>
          </w:p>
        </w:tc>
        <w:tc>
          <w:tcPr>
            <w:tcW w:w="892" w:type="dxa"/>
            <w:vAlign w:val="top"/>
          </w:tcPr>
          <w:p>
            <w:pPr>
              <w:pStyle w:val="TableText"/>
              <w:ind w:left="265"/>
              <w:spacing w:before="89" w:line="195" w:lineRule="auto"/>
              <w:rPr/>
            </w:pPr>
            <w:r>
              <w:rPr>
                <w:spacing w:val="-4"/>
              </w:rPr>
              <w:t>6.</w:t>
            </w:r>
            <w:r>
              <w:rPr>
                <w:spacing w:val="-25"/>
              </w:rPr>
              <w:t xml:space="preserve"> </w:t>
            </w:r>
            <w:r>
              <w:rPr>
                <w:spacing w:val="-4"/>
              </w:rPr>
              <w:t>14</w:t>
            </w:r>
          </w:p>
        </w:tc>
        <w:tc>
          <w:tcPr>
            <w:tcW w:w="1019" w:type="dxa"/>
            <w:vAlign w:val="top"/>
          </w:tcPr>
          <w:p>
            <w:pPr>
              <w:pStyle w:val="TableText"/>
              <w:ind w:left="207"/>
              <w:spacing w:before="89" w:line="195" w:lineRule="auto"/>
              <w:rPr/>
            </w:pPr>
            <w:r>
              <w:rPr>
                <w:spacing w:val="-1"/>
              </w:rPr>
              <w:t>11.51%</w:t>
            </w:r>
          </w:p>
        </w:tc>
        <w:tc>
          <w:tcPr>
            <w:tcW w:w="1020" w:type="dxa"/>
            <w:vAlign w:val="top"/>
            <w:tcBorders>
              <w:bottom w:val="single" w:color="000000" w:sz="6" w:space="0"/>
              <w:right w:val="single" w:color="000000" w:sz="6" w:space="0"/>
              <w:top w:val="single" w:color="000000" w:sz="6" w:space="0"/>
            </w:tcBorders>
          </w:tcPr>
          <w:p>
            <w:pPr>
              <w:pStyle w:val="TableText"/>
              <w:ind w:left="292"/>
              <w:spacing w:before="89" w:line="195" w:lineRule="auto"/>
              <w:rPr/>
            </w:pPr>
            <w:r>
              <w:rPr/>
              <w:t>10.96</w:t>
            </w:r>
          </w:p>
        </w:tc>
        <w:tc>
          <w:tcPr>
            <w:tcW w:w="1022" w:type="dxa"/>
            <w:vAlign w:val="top"/>
            <w:tcBorders>
              <w:left w:val="single" w:color="000000" w:sz="6" w:space="0"/>
              <w:bottom w:val="single" w:color="000000" w:sz="6" w:space="0"/>
              <w:right w:val="single" w:color="000000" w:sz="6" w:space="0"/>
              <w:top w:val="single" w:color="000000" w:sz="6" w:space="0"/>
            </w:tcBorders>
          </w:tcPr>
          <w:p>
            <w:pPr>
              <w:pStyle w:val="TableText"/>
              <w:ind w:left="181"/>
              <w:spacing w:before="89" w:line="195" w:lineRule="auto"/>
              <w:rPr/>
            </w:pPr>
            <w:r>
              <w:rPr>
                <w:spacing w:val="4"/>
              </w:rPr>
              <w:t>20.52%</w:t>
            </w:r>
          </w:p>
        </w:tc>
        <w:tc>
          <w:tcPr>
            <w:tcW w:w="1019" w:type="dxa"/>
            <w:vAlign w:val="top"/>
            <w:tcBorders>
              <w:left w:val="single" w:color="000000" w:sz="6" w:space="0"/>
            </w:tcBorders>
          </w:tcPr>
          <w:p>
            <w:pPr>
              <w:pStyle w:val="TableText"/>
              <w:ind w:left="327"/>
              <w:spacing w:before="89" w:line="195" w:lineRule="auto"/>
              <w:rPr/>
            </w:pPr>
            <w:r>
              <w:rPr>
                <w:spacing w:val="2"/>
              </w:rPr>
              <w:t>9.37</w:t>
            </w:r>
          </w:p>
        </w:tc>
        <w:tc>
          <w:tcPr>
            <w:tcW w:w="1022" w:type="dxa"/>
            <w:vAlign w:val="top"/>
          </w:tcPr>
          <w:p>
            <w:pPr>
              <w:pStyle w:val="TableText"/>
              <w:ind w:left="207"/>
              <w:spacing w:before="89" w:line="195" w:lineRule="auto"/>
              <w:rPr/>
            </w:pPr>
            <w:r>
              <w:rPr>
                <w:spacing w:val="1"/>
              </w:rPr>
              <w:t>17.54%</w:t>
            </w:r>
          </w:p>
        </w:tc>
        <w:tc>
          <w:tcPr>
            <w:tcW w:w="1075" w:type="dxa"/>
            <w:vAlign w:val="top"/>
          </w:tcPr>
          <w:p>
            <w:pPr>
              <w:pStyle w:val="TableText"/>
              <w:ind w:left="352"/>
              <w:spacing w:before="89" w:line="195" w:lineRule="auto"/>
              <w:rPr/>
            </w:pPr>
            <w:r>
              <w:rPr>
                <w:spacing w:val="4"/>
              </w:rPr>
              <w:t>4.82</w:t>
            </w:r>
          </w:p>
        </w:tc>
        <w:tc>
          <w:tcPr>
            <w:tcW w:w="1079" w:type="dxa"/>
            <w:vAlign w:val="top"/>
          </w:tcPr>
          <w:p>
            <w:pPr>
              <w:pStyle w:val="TableText"/>
              <w:ind w:left="324"/>
              <w:spacing w:before="89" w:line="195" w:lineRule="auto"/>
              <w:rPr/>
            </w:pPr>
            <w:r>
              <w:rPr>
                <w:spacing w:val="3"/>
              </w:rPr>
              <w:t>-1.59</w:t>
            </w:r>
          </w:p>
        </w:tc>
      </w:tr>
      <w:tr>
        <w:trPr>
          <w:trHeight w:val="302" w:hRule="atLeast"/>
        </w:trPr>
        <w:tc>
          <w:tcPr>
            <w:tcW w:w="1142" w:type="dxa"/>
            <w:vAlign w:val="top"/>
          </w:tcPr>
          <w:p>
            <w:pPr>
              <w:ind w:left="53"/>
              <w:spacing w:before="52" w:line="221" w:lineRule="auto"/>
              <w:rPr>
                <w:rFonts w:ascii="SimSun" w:hAnsi="SimSun" w:eastAsia="SimSun" w:cs="SimSun"/>
                <w:sz w:val="20"/>
                <w:szCs w:val="20"/>
              </w:rPr>
            </w:pPr>
            <w:r>
              <w:rPr>
                <w:rFonts w:ascii="SimSun" w:hAnsi="SimSun" w:eastAsia="SimSun" w:cs="SimSun"/>
                <w:sz w:val="20"/>
                <w:szCs w:val="20"/>
                <w:spacing w:val="7"/>
              </w:rPr>
              <w:t>极强度侵蚀</w:t>
            </w:r>
          </w:p>
        </w:tc>
        <w:tc>
          <w:tcPr>
            <w:tcW w:w="892" w:type="dxa"/>
            <w:vAlign w:val="top"/>
          </w:tcPr>
          <w:p>
            <w:pPr>
              <w:pStyle w:val="TableText"/>
              <w:ind w:left="264"/>
              <w:spacing w:before="90" w:line="195" w:lineRule="auto"/>
              <w:rPr/>
            </w:pPr>
            <w:r>
              <w:rPr>
                <w:spacing w:val="2"/>
              </w:rPr>
              <w:t>0.01</w:t>
            </w:r>
          </w:p>
        </w:tc>
        <w:tc>
          <w:tcPr>
            <w:tcW w:w="1019" w:type="dxa"/>
            <w:vAlign w:val="top"/>
          </w:tcPr>
          <w:p>
            <w:pPr>
              <w:pStyle w:val="TableText"/>
              <w:ind w:left="241"/>
              <w:spacing w:before="90" w:line="195" w:lineRule="auto"/>
              <w:rPr/>
            </w:pPr>
            <w:r>
              <w:rPr>
                <w:spacing w:val="3"/>
              </w:rPr>
              <w:t>0.02%</w:t>
            </w:r>
          </w:p>
        </w:tc>
        <w:tc>
          <w:tcPr>
            <w:tcW w:w="1020" w:type="dxa"/>
            <w:vAlign w:val="top"/>
            <w:tcBorders>
              <w:bottom w:val="single" w:color="000000" w:sz="6" w:space="0"/>
              <w:right w:val="single" w:color="000000" w:sz="6" w:space="0"/>
              <w:top w:val="single" w:color="000000" w:sz="6" w:space="0"/>
            </w:tcBorders>
          </w:tcPr>
          <w:p>
            <w:pPr>
              <w:pStyle w:val="TableText"/>
              <w:ind w:left="328"/>
              <w:spacing w:before="90" w:line="195" w:lineRule="auto"/>
              <w:rPr/>
            </w:pPr>
            <w:r>
              <w:rPr>
                <w:spacing w:val="3"/>
              </w:rPr>
              <w:t>0.04</w:t>
            </w:r>
          </w:p>
        </w:tc>
        <w:tc>
          <w:tcPr>
            <w:tcW w:w="1022" w:type="dxa"/>
            <w:vAlign w:val="top"/>
            <w:tcBorders>
              <w:left w:val="single" w:color="000000" w:sz="6" w:space="0"/>
              <w:bottom w:val="single" w:color="000000" w:sz="6" w:space="0"/>
              <w:right w:val="single" w:color="000000" w:sz="6" w:space="0"/>
              <w:top w:val="single" w:color="000000" w:sz="6" w:space="0"/>
            </w:tcBorders>
          </w:tcPr>
          <w:p>
            <w:pPr>
              <w:pStyle w:val="TableText"/>
              <w:ind w:left="237"/>
              <w:spacing w:before="90" w:line="195" w:lineRule="auto"/>
              <w:rPr/>
            </w:pPr>
            <w:r>
              <w:rPr>
                <w:spacing w:val="4"/>
              </w:rPr>
              <w:t>0.07%</w:t>
            </w:r>
          </w:p>
        </w:tc>
        <w:tc>
          <w:tcPr>
            <w:tcW w:w="1019" w:type="dxa"/>
            <w:vAlign w:val="top"/>
            <w:tcBorders>
              <w:left w:val="single" w:color="000000" w:sz="6" w:space="0"/>
            </w:tcBorders>
          </w:tcPr>
          <w:p>
            <w:pPr>
              <w:pStyle w:val="TableText"/>
              <w:ind w:left="326"/>
              <w:spacing w:before="90" w:line="195" w:lineRule="auto"/>
              <w:rPr/>
            </w:pPr>
            <w:r>
              <w:rPr>
                <w:spacing w:val="2"/>
              </w:rPr>
              <w:t>0.01</w:t>
            </w:r>
          </w:p>
        </w:tc>
        <w:tc>
          <w:tcPr>
            <w:tcW w:w="1022" w:type="dxa"/>
            <w:vAlign w:val="top"/>
          </w:tcPr>
          <w:p>
            <w:pPr>
              <w:pStyle w:val="TableText"/>
              <w:ind w:left="243"/>
              <w:spacing w:before="90" w:line="195" w:lineRule="auto"/>
              <w:rPr/>
            </w:pPr>
            <w:r>
              <w:rPr>
                <w:spacing w:val="4"/>
              </w:rPr>
              <w:t>0.02%</w:t>
            </w:r>
          </w:p>
        </w:tc>
        <w:tc>
          <w:tcPr>
            <w:tcW w:w="1075" w:type="dxa"/>
            <w:vAlign w:val="top"/>
          </w:tcPr>
          <w:p>
            <w:pPr>
              <w:pStyle w:val="TableText"/>
              <w:ind w:left="356"/>
              <w:spacing w:before="90" w:line="195" w:lineRule="auto"/>
              <w:rPr/>
            </w:pPr>
            <w:r>
              <w:rPr>
                <w:spacing w:val="3"/>
              </w:rPr>
              <w:t>0.03</w:t>
            </w:r>
          </w:p>
        </w:tc>
        <w:tc>
          <w:tcPr>
            <w:tcW w:w="1079" w:type="dxa"/>
            <w:vAlign w:val="top"/>
          </w:tcPr>
          <w:p>
            <w:pPr>
              <w:pStyle w:val="TableText"/>
              <w:ind w:left="324"/>
              <w:spacing w:before="90" w:line="195" w:lineRule="auto"/>
              <w:rPr/>
            </w:pPr>
            <w:r>
              <w:rPr>
                <w:spacing w:val="3"/>
              </w:rPr>
              <w:t>-0.02</w:t>
            </w:r>
          </w:p>
        </w:tc>
      </w:tr>
      <w:tr>
        <w:trPr>
          <w:trHeight w:val="317" w:hRule="atLeast"/>
        </w:trPr>
        <w:tc>
          <w:tcPr>
            <w:tcW w:w="1142" w:type="dxa"/>
            <w:vAlign w:val="top"/>
          </w:tcPr>
          <w:p>
            <w:pPr>
              <w:ind w:left="368"/>
              <w:spacing w:before="57" w:line="229" w:lineRule="auto"/>
              <w:rPr>
                <w:rFonts w:ascii="SimSun" w:hAnsi="SimSun" w:eastAsia="SimSun" w:cs="SimSun"/>
                <w:sz w:val="20"/>
                <w:szCs w:val="20"/>
              </w:rPr>
            </w:pPr>
            <w:r>
              <w:rPr>
                <w:rFonts w:ascii="SimSun" w:hAnsi="SimSun" w:eastAsia="SimSun" w:cs="SimSun"/>
                <w:sz w:val="20"/>
                <w:szCs w:val="20"/>
                <w:spacing w:val="2"/>
              </w:rPr>
              <w:t>总计</w:t>
            </w:r>
          </w:p>
        </w:tc>
        <w:tc>
          <w:tcPr>
            <w:tcW w:w="892" w:type="dxa"/>
            <w:vAlign w:val="top"/>
          </w:tcPr>
          <w:p>
            <w:pPr>
              <w:pStyle w:val="TableText"/>
              <w:ind w:left="211"/>
              <w:spacing w:before="93" w:line="195" w:lineRule="auto"/>
              <w:rPr/>
            </w:pPr>
            <w:r>
              <w:rPr>
                <w:spacing w:val="3"/>
              </w:rPr>
              <w:t>53.41</w:t>
            </w:r>
          </w:p>
        </w:tc>
        <w:tc>
          <w:tcPr>
            <w:tcW w:w="1019" w:type="dxa"/>
            <w:vAlign w:val="top"/>
          </w:tcPr>
          <w:p>
            <w:pPr>
              <w:pStyle w:val="TableText"/>
              <w:ind w:left="152"/>
              <w:spacing w:before="93" w:line="195" w:lineRule="auto"/>
              <w:rPr/>
            </w:pPr>
            <w:r>
              <w:rPr>
                <w:spacing w:val="1"/>
              </w:rPr>
              <w:t>100.00%</w:t>
            </w:r>
          </w:p>
        </w:tc>
        <w:tc>
          <w:tcPr>
            <w:tcW w:w="1020" w:type="dxa"/>
            <w:vAlign w:val="top"/>
            <w:tcBorders>
              <w:bottom w:val="single" w:color="000000" w:sz="6" w:space="0"/>
              <w:right w:val="single" w:color="000000" w:sz="6" w:space="0"/>
              <w:top w:val="single" w:color="000000" w:sz="6" w:space="0"/>
            </w:tcBorders>
          </w:tcPr>
          <w:p>
            <w:pPr>
              <w:pStyle w:val="TableText"/>
              <w:ind w:left="278"/>
              <w:spacing w:before="93" w:line="195" w:lineRule="auto"/>
              <w:rPr/>
            </w:pPr>
            <w:r>
              <w:rPr>
                <w:spacing w:val="3"/>
              </w:rPr>
              <w:t>53.41</w:t>
            </w:r>
          </w:p>
        </w:tc>
        <w:tc>
          <w:tcPr>
            <w:tcW w:w="1022" w:type="dxa"/>
            <w:vAlign w:val="top"/>
            <w:tcBorders>
              <w:left w:val="single" w:color="000000" w:sz="6" w:space="0"/>
              <w:bottom w:val="single" w:color="000000" w:sz="6" w:space="0"/>
              <w:right w:val="single" w:color="000000" w:sz="6" w:space="0"/>
              <w:top w:val="single" w:color="000000" w:sz="6" w:space="0"/>
            </w:tcBorders>
          </w:tcPr>
          <w:p>
            <w:pPr>
              <w:pStyle w:val="TableText"/>
              <w:ind w:left="148"/>
              <w:spacing w:before="93" w:line="195" w:lineRule="auto"/>
              <w:rPr/>
            </w:pPr>
            <w:r>
              <w:rPr>
                <w:spacing w:val="1"/>
              </w:rPr>
              <w:t>100.00%</w:t>
            </w:r>
          </w:p>
        </w:tc>
        <w:tc>
          <w:tcPr>
            <w:tcW w:w="1019" w:type="dxa"/>
            <w:vAlign w:val="top"/>
            <w:tcBorders>
              <w:left w:val="single" w:color="000000" w:sz="6" w:space="0"/>
            </w:tcBorders>
          </w:tcPr>
          <w:p>
            <w:pPr>
              <w:pStyle w:val="TableText"/>
              <w:ind w:left="273"/>
              <w:spacing w:before="93" w:line="195" w:lineRule="auto"/>
              <w:rPr/>
            </w:pPr>
            <w:r>
              <w:rPr>
                <w:spacing w:val="3"/>
              </w:rPr>
              <w:t>53.41</w:t>
            </w:r>
          </w:p>
        </w:tc>
        <w:tc>
          <w:tcPr>
            <w:tcW w:w="1022" w:type="dxa"/>
            <w:vAlign w:val="top"/>
          </w:tcPr>
          <w:p>
            <w:pPr>
              <w:pStyle w:val="TableText"/>
              <w:ind w:left="157"/>
              <w:spacing w:before="93" w:line="195" w:lineRule="auto"/>
              <w:rPr/>
            </w:pPr>
            <w:r>
              <w:rPr>
                <w:spacing w:val="1"/>
              </w:rPr>
              <w:t>100.00%</w:t>
            </w:r>
          </w:p>
        </w:tc>
        <w:tc>
          <w:tcPr>
            <w:tcW w:w="1075" w:type="dxa"/>
            <w:vAlign w:val="top"/>
          </w:tcPr>
          <w:p>
            <w:pPr>
              <w:pStyle w:val="TableText"/>
              <w:ind w:left="356"/>
              <w:spacing w:before="93" w:line="195" w:lineRule="auto"/>
              <w:rPr/>
            </w:pPr>
            <w:r>
              <w:rPr>
                <w:spacing w:val="3"/>
              </w:rPr>
              <w:t>0.00</w:t>
            </w:r>
          </w:p>
        </w:tc>
        <w:tc>
          <w:tcPr>
            <w:tcW w:w="1079" w:type="dxa"/>
            <w:vAlign w:val="top"/>
          </w:tcPr>
          <w:p>
            <w:pPr>
              <w:pStyle w:val="TableText"/>
              <w:ind w:left="359"/>
              <w:spacing w:before="93" w:line="195" w:lineRule="auto"/>
              <w:rPr/>
            </w:pPr>
            <w:r>
              <w:rPr>
                <w:spacing w:val="2"/>
              </w:rPr>
              <w:t>0.00</w:t>
            </w:r>
          </w:p>
        </w:tc>
      </w:tr>
    </w:tbl>
    <w:p>
      <w:pPr>
        <w:pStyle w:val="BodyText"/>
        <w:spacing w:line="267" w:lineRule="auto"/>
        <w:rPr/>
      </w:pPr>
      <w:r/>
    </w:p>
    <w:p>
      <w:pPr>
        <w:pStyle w:val="BodyText"/>
        <w:spacing w:line="268" w:lineRule="auto"/>
        <w:rPr/>
      </w:pPr>
      <w:r/>
    </w:p>
    <w:p>
      <w:pPr>
        <w:ind w:left="114"/>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3.3.1.7 </w:t>
      </w:r>
      <w:r>
        <w:rPr>
          <w:rFonts w:ascii="SimHei" w:hAnsi="SimHei" w:eastAsia="SimHei" w:cs="SimHei"/>
          <w:sz w:val="24"/>
          <w:szCs w:val="24"/>
          <w:b/>
          <w:bCs/>
          <w:spacing w:val="-2"/>
        </w:rPr>
        <w:t>生态系统类型回顾</w:t>
      </w:r>
    </w:p>
    <w:p>
      <w:pPr>
        <w:ind w:left="602"/>
        <w:spacing w:before="162" w:line="219" w:lineRule="auto"/>
        <w:rPr>
          <w:rFonts w:ascii="SimSun" w:hAnsi="SimSun" w:eastAsia="SimSun" w:cs="SimSun"/>
          <w:sz w:val="24"/>
          <w:szCs w:val="24"/>
        </w:rPr>
      </w:pPr>
      <w:r>
        <w:rPr>
          <w:rFonts w:ascii="SimSun" w:hAnsi="SimSun" w:eastAsia="SimSun" w:cs="SimSun"/>
          <w:sz w:val="24"/>
          <w:szCs w:val="24"/>
          <w:spacing w:val="1"/>
        </w:rPr>
        <w:t>各类型生态系统所占比例及其变化情况具体见</w:t>
      </w:r>
      <w:r>
        <w:rPr>
          <w:rFonts w:ascii="SimSun" w:hAnsi="SimSun" w:eastAsia="SimSun" w:cs="SimSun"/>
          <w:sz w:val="24"/>
          <w:szCs w:val="24"/>
          <w:color w:val="FF0000"/>
          <w:spacing w:val="1"/>
        </w:rPr>
        <w:t>图</w:t>
      </w:r>
      <w:r>
        <w:rPr>
          <w:rFonts w:ascii="Times New Roman" w:hAnsi="Times New Roman" w:eastAsia="Times New Roman" w:cs="Times New Roman"/>
          <w:sz w:val="24"/>
          <w:szCs w:val="24"/>
          <w:color w:val="FF0000"/>
          <w:spacing w:val="1"/>
        </w:rPr>
        <w:t>3-3-8 </w:t>
      </w:r>
      <w:r>
        <w:rPr>
          <w:rFonts w:ascii="SimSun" w:hAnsi="SimSun" w:eastAsia="SimSun" w:cs="SimSun"/>
          <w:sz w:val="24"/>
          <w:szCs w:val="24"/>
          <w:spacing w:val="1"/>
        </w:rPr>
        <w:t>及表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3-3-5</w:t>
      </w:r>
      <w:r>
        <w:rPr>
          <w:rFonts w:ascii="SimSun" w:hAnsi="SimSun" w:eastAsia="SimSun" w:cs="SimSun"/>
          <w:sz w:val="24"/>
          <w:szCs w:val="24"/>
          <w:spacing w:val="1"/>
        </w:rPr>
        <w:t>。</w:t>
      </w:r>
    </w:p>
    <w:p>
      <w:pPr>
        <w:ind w:left="598"/>
        <w:spacing w:before="154" w:line="218" w:lineRule="auto"/>
        <w:rPr>
          <w:rFonts w:ascii="SimSun" w:hAnsi="SimSun" w:eastAsia="SimSun" w:cs="SimSun"/>
          <w:sz w:val="24"/>
          <w:szCs w:val="24"/>
        </w:rPr>
      </w:pPr>
      <w:r>
        <w:rPr>
          <w:rFonts w:ascii="SimSun" w:hAnsi="SimSun" w:eastAsia="SimSun" w:cs="SimSun"/>
          <w:sz w:val="24"/>
          <w:szCs w:val="24"/>
          <w:spacing w:val="-2"/>
        </w:rPr>
        <w:t>评价区生态系统类型以草原生态系统为主。从</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2014 </w:t>
      </w:r>
      <w:r>
        <w:rPr>
          <w:rFonts w:ascii="SimSun" w:hAnsi="SimSun" w:eastAsia="SimSun" w:cs="SimSun"/>
          <w:sz w:val="24"/>
          <w:szCs w:val="24"/>
          <w:spacing w:val="-2"/>
        </w:rPr>
        <w:t>年到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年，这十年间主要是</w:t>
      </w:r>
    </w:p>
    <w:p>
      <w:pPr>
        <w:spacing w:line="218" w:lineRule="auto"/>
        <w:sectPr>
          <w:headerReference w:type="default" r:id="rId125"/>
          <w:footerReference w:type="default" r:id="rId149"/>
          <w:pgSz w:w="11906" w:h="16838"/>
          <w:pgMar w:top="1170" w:right="1304" w:bottom="1078" w:left="1305" w:header="837" w:footer="915" w:gutter="0"/>
        </w:sectPr>
        <w:rPr>
          <w:rFonts w:ascii="SimSun" w:hAnsi="SimSun" w:eastAsia="SimSun" w:cs="SimSun"/>
          <w:sz w:val="24"/>
          <w:szCs w:val="24"/>
        </w:rPr>
      </w:pPr>
    </w:p>
    <w:p>
      <w:pPr>
        <w:pStyle w:val="BodyText"/>
        <w:spacing w:line="313" w:lineRule="auto"/>
        <w:rPr/>
      </w:pPr>
      <w:r/>
    </w:p>
    <w:p>
      <w:pPr>
        <w:ind w:left="119" w:right="115" w:firstLine="1"/>
        <w:spacing w:before="78" w:line="343" w:lineRule="auto"/>
        <w:jc w:val="both"/>
        <w:rPr>
          <w:rFonts w:ascii="SimSun" w:hAnsi="SimSun" w:eastAsia="SimSun" w:cs="SimSun"/>
          <w:sz w:val="24"/>
          <w:szCs w:val="24"/>
        </w:rPr>
      </w:pPr>
      <w:r>
        <w:rPr>
          <w:rFonts w:ascii="SimSun" w:hAnsi="SimSun" w:eastAsia="SimSun" w:cs="SimSun"/>
          <w:sz w:val="24"/>
          <w:szCs w:val="24"/>
          <w:spacing w:val="-2"/>
        </w:rPr>
        <w:t>草原生态系统、湿地生态系统、荒漠生态系统和森林生态系统减少；城镇生态系统面积</w:t>
      </w:r>
      <w:r>
        <w:rPr>
          <w:rFonts w:ascii="SimSun" w:hAnsi="SimSun" w:eastAsia="SimSun" w:cs="SimSun"/>
          <w:sz w:val="24"/>
          <w:szCs w:val="24"/>
          <w:spacing w:val="-2"/>
        </w:rPr>
        <w:t>增加。草地、湿地等生态系统减少主要是因为露天矿的开采使原本的草原转变为工矿用</w:t>
      </w:r>
      <w:r>
        <w:rPr>
          <w:rFonts w:ascii="SimSun" w:hAnsi="SimSun" w:eastAsia="SimSun" w:cs="SimSun"/>
          <w:sz w:val="24"/>
          <w:szCs w:val="24"/>
          <w:spacing w:val="-5"/>
        </w:rPr>
        <w:t>地。</w:t>
      </w:r>
    </w:p>
    <w:p>
      <w:pPr>
        <w:ind w:left="2616"/>
        <w:spacing w:before="110" w:line="221" w:lineRule="auto"/>
        <w:rPr>
          <w:rFonts w:ascii="SimHei" w:hAnsi="SimHei" w:eastAsia="SimHei" w:cs="SimHei"/>
          <w:sz w:val="24"/>
          <w:szCs w:val="24"/>
        </w:rPr>
      </w:pPr>
      <w:r>
        <w:rPr>
          <w:rFonts w:ascii="SimHei" w:hAnsi="SimHei" w:eastAsia="SimHei" w:cs="SimHei"/>
          <w:sz w:val="24"/>
          <w:szCs w:val="24"/>
          <w:spacing w:val="-1"/>
        </w:rPr>
        <w:t>不同时期评价区生态系统类型面积所占比例</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3-3-5</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30"/>
        <w:gridCol w:w="739"/>
        <w:gridCol w:w="952"/>
        <w:gridCol w:w="947"/>
        <w:gridCol w:w="952"/>
        <w:gridCol w:w="912"/>
        <w:gridCol w:w="955"/>
        <w:gridCol w:w="1149"/>
        <w:gridCol w:w="1154"/>
      </w:tblGrid>
      <w:tr>
        <w:trPr>
          <w:trHeight w:val="299" w:hRule="atLeast"/>
        </w:trPr>
        <w:tc>
          <w:tcPr>
            <w:tcW w:w="1530" w:type="dxa"/>
            <w:vAlign w:val="top"/>
            <w:vMerge w:val="restart"/>
            <w:tcBorders>
              <w:bottom w:val="nil"/>
            </w:tcBorders>
          </w:tcPr>
          <w:p>
            <w:pPr>
              <w:ind w:left="352"/>
              <w:spacing w:before="302" w:line="229" w:lineRule="auto"/>
              <w:rPr>
                <w:rFonts w:ascii="SimSun" w:hAnsi="SimSun" w:eastAsia="SimSun" w:cs="SimSun"/>
                <w:sz w:val="20"/>
                <w:szCs w:val="20"/>
              </w:rPr>
            </w:pPr>
            <w:r>
              <w:rPr>
                <w:rFonts w:ascii="SimSun" w:hAnsi="SimSun" w:eastAsia="SimSun" w:cs="SimSun"/>
                <w:sz w:val="20"/>
                <w:szCs w:val="20"/>
                <w:spacing w:val="6"/>
              </w:rPr>
              <w:t>生态系统</w:t>
            </w:r>
          </w:p>
        </w:tc>
        <w:tc>
          <w:tcPr>
            <w:tcW w:w="1691" w:type="dxa"/>
            <w:vAlign w:val="top"/>
            <w:gridSpan w:val="2"/>
          </w:tcPr>
          <w:p>
            <w:pPr>
              <w:pStyle w:val="TableText"/>
              <w:ind w:left="478"/>
              <w:spacing w:before="40" w:line="228" w:lineRule="auto"/>
              <w:rPr>
                <w:rFonts w:ascii="SimSun" w:hAnsi="SimSun" w:eastAsia="SimSun" w:cs="SimSun"/>
              </w:rPr>
            </w:pPr>
            <w:r>
              <w:rPr>
                <w:spacing w:val="3"/>
              </w:rPr>
              <w:t>2014</w:t>
            </w:r>
            <w:r>
              <w:rPr>
                <w:spacing w:val="5"/>
              </w:rPr>
              <w:t xml:space="preserve">  </w:t>
            </w:r>
            <w:r>
              <w:rPr>
                <w:rFonts w:ascii="SimSun" w:hAnsi="SimSun" w:eastAsia="SimSun" w:cs="SimSun"/>
                <w:spacing w:val="3"/>
              </w:rPr>
              <w:t>年</w:t>
            </w:r>
          </w:p>
        </w:tc>
        <w:tc>
          <w:tcPr>
            <w:tcW w:w="1899" w:type="dxa"/>
            <w:vAlign w:val="top"/>
            <w:gridSpan w:val="2"/>
          </w:tcPr>
          <w:p>
            <w:pPr>
              <w:pStyle w:val="TableText"/>
              <w:ind w:left="608"/>
              <w:spacing w:before="40" w:line="228" w:lineRule="auto"/>
              <w:rPr>
                <w:rFonts w:ascii="SimSun" w:hAnsi="SimSun" w:eastAsia="SimSun" w:cs="SimSun"/>
              </w:rPr>
            </w:pPr>
            <w:r>
              <w:rPr>
                <w:spacing w:val="4"/>
              </w:rPr>
              <w:t>2018 </w:t>
            </w:r>
            <w:r>
              <w:rPr>
                <w:rFonts w:ascii="SimSun" w:hAnsi="SimSun" w:eastAsia="SimSun" w:cs="SimSun"/>
                <w:spacing w:val="4"/>
              </w:rPr>
              <w:t>年</w:t>
            </w:r>
          </w:p>
        </w:tc>
        <w:tc>
          <w:tcPr>
            <w:tcW w:w="1867" w:type="dxa"/>
            <w:vAlign w:val="top"/>
            <w:gridSpan w:val="2"/>
          </w:tcPr>
          <w:p>
            <w:pPr>
              <w:pStyle w:val="TableText"/>
              <w:ind w:left="591"/>
              <w:spacing w:before="40" w:line="228" w:lineRule="auto"/>
              <w:rPr>
                <w:rFonts w:ascii="SimSun" w:hAnsi="SimSun" w:eastAsia="SimSun" w:cs="SimSun"/>
              </w:rPr>
            </w:pPr>
            <w:r>
              <w:rPr>
                <w:spacing w:val="3"/>
              </w:rPr>
              <w:t>2024</w:t>
            </w:r>
            <w:r>
              <w:rPr>
                <w:spacing w:val="11"/>
              </w:rPr>
              <w:t xml:space="preserve"> </w:t>
            </w:r>
            <w:r>
              <w:rPr>
                <w:rFonts w:ascii="SimSun" w:hAnsi="SimSun" w:eastAsia="SimSun" w:cs="SimSun"/>
                <w:spacing w:val="3"/>
              </w:rPr>
              <w:t>年</w:t>
            </w:r>
          </w:p>
        </w:tc>
        <w:tc>
          <w:tcPr>
            <w:tcW w:w="1149" w:type="dxa"/>
            <w:vAlign w:val="top"/>
            <w:vMerge w:val="restart"/>
            <w:tcBorders>
              <w:bottom w:val="nil"/>
            </w:tcBorders>
          </w:tcPr>
          <w:p>
            <w:pPr>
              <w:pStyle w:val="TableText"/>
              <w:ind w:left="189" w:right="147" w:hanging="37"/>
              <w:spacing w:before="67" w:line="238" w:lineRule="auto"/>
              <w:jc w:val="both"/>
              <w:rPr/>
            </w:pPr>
            <w:r>
              <w:rPr>
                <w:spacing w:val="4"/>
              </w:rPr>
              <w:t>2014~201</w:t>
            </w:r>
            <w:r>
              <w:rPr>
                <w:spacing w:val="2"/>
              </w:rPr>
              <w:t xml:space="preserve"> </w:t>
            </w:r>
            <w:r>
              <w:rPr>
                <w:spacing w:val="3"/>
              </w:rPr>
              <w:t>8</w:t>
            </w:r>
            <w:r>
              <w:rPr>
                <w:spacing w:val="9"/>
              </w:rPr>
              <w:t xml:space="preserve"> </w:t>
            </w:r>
            <w:r>
              <w:rPr>
                <w:rFonts w:ascii="SimSun" w:hAnsi="SimSun" w:eastAsia="SimSun" w:cs="SimSun"/>
                <w:spacing w:val="3"/>
              </w:rPr>
              <w:t>变化情</w:t>
            </w:r>
            <w:r>
              <w:rPr>
                <w:rFonts w:ascii="SimSun" w:hAnsi="SimSun" w:eastAsia="SimSun" w:cs="SimSun"/>
                <w:spacing w:val="17"/>
              </w:rPr>
              <w:t>况</w:t>
            </w:r>
            <w:r>
              <w:rPr>
                <w:spacing w:val="17"/>
              </w:rPr>
              <w:t>(</w:t>
            </w:r>
            <w:r>
              <w:rPr/>
              <w:t>km</w:t>
            </w:r>
            <w:r>
              <w:rPr>
                <w:sz w:val="13"/>
                <w:szCs w:val="13"/>
                <w:spacing w:val="17"/>
                <w:position w:val="6"/>
              </w:rPr>
              <w:t>2</w:t>
            </w:r>
            <w:r>
              <w:rPr>
                <w:spacing w:val="17"/>
              </w:rPr>
              <w:t>)</w:t>
            </w:r>
          </w:p>
        </w:tc>
        <w:tc>
          <w:tcPr>
            <w:tcW w:w="1154" w:type="dxa"/>
            <w:vAlign w:val="top"/>
            <w:vMerge w:val="restart"/>
            <w:tcBorders>
              <w:bottom w:val="nil"/>
            </w:tcBorders>
          </w:tcPr>
          <w:p>
            <w:pPr>
              <w:pStyle w:val="TableText"/>
              <w:ind w:left="180" w:right="149" w:hanging="25"/>
              <w:spacing w:before="67" w:line="238" w:lineRule="auto"/>
              <w:jc w:val="both"/>
              <w:rPr/>
            </w:pPr>
            <w:r>
              <w:rPr>
                <w:spacing w:val="4"/>
              </w:rPr>
              <w:t>2018~202</w:t>
            </w:r>
            <w:r>
              <w:rPr>
                <w:spacing w:val="2"/>
              </w:rPr>
              <w:t xml:space="preserve"> </w:t>
            </w:r>
            <w:r>
              <w:rPr>
                <w:spacing w:val="5"/>
              </w:rPr>
              <w:t>4</w:t>
            </w:r>
            <w:r>
              <w:rPr>
                <w:spacing w:val="13"/>
              </w:rPr>
              <w:t xml:space="preserve"> </w:t>
            </w:r>
            <w:r>
              <w:rPr>
                <w:rFonts w:ascii="SimSun" w:hAnsi="SimSun" w:eastAsia="SimSun" w:cs="SimSun"/>
                <w:spacing w:val="5"/>
              </w:rPr>
              <w:t>变化情</w:t>
            </w:r>
            <w:r>
              <w:rPr>
                <w:rFonts w:ascii="SimSun" w:hAnsi="SimSun" w:eastAsia="SimSun" w:cs="SimSun"/>
                <w:spacing w:val="20"/>
              </w:rPr>
              <w:t>况</w:t>
            </w:r>
            <w:r>
              <w:rPr>
                <w:spacing w:val="20"/>
              </w:rPr>
              <w:t>(</w:t>
            </w:r>
            <w:r>
              <w:rPr/>
              <w:t>km</w:t>
            </w:r>
            <w:r>
              <w:rPr>
                <w:sz w:val="13"/>
                <w:szCs w:val="13"/>
                <w:spacing w:val="20"/>
                <w:position w:val="6"/>
              </w:rPr>
              <w:t>2</w:t>
            </w:r>
            <w:r>
              <w:rPr>
                <w:spacing w:val="20"/>
              </w:rPr>
              <w:t>)</w:t>
            </w:r>
          </w:p>
        </w:tc>
      </w:tr>
      <w:tr>
        <w:trPr>
          <w:trHeight w:val="517" w:hRule="atLeast"/>
        </w:trPr>
        <w:tc>
          <w:tcPr>
            <w:tcW w:w="1530" w:type="dxa"/>
            <w:vAlign w:val="top"/>
            <w:vMerge w:val="continue"/>
            <w:tcBorders>
              <w:top w:val="nil"/>
            </w:tcBorders>
          </w:tcPr>
          <w:p>
            <w:pPr>
              <w:rPr>
                <w:rFonts w:ascii="Arial"/>
                <w:sz w:val="21"/>
              </w:rPr>
            </w:pPr>
            <w:r/>
          </w:p>
        </w:tc>
        <w:tc>
          <w:tcPr>
            <w:tcW w:w="739" w:type="dxa"/>
            <w:vAlign w:val="top"/>
          </w:tcPr>
          <w:p>
            <w:pPr>
              <w:pStyle w:val="TableText"/>
              <w:ind w:left="134" w:right="133" w:firstLine="31"/>
              <w:spacing w:before="29" w:line="234" w:lineRule="auto"/>
              <w:rPr/>
            </w:pPr>
            <w:r>
              <w:rPr>
                <w:rFonts w:ascii="SimSun" w:hAnsi="SimSun" w:eastAsia="SimSun" w:cs="SimSun"/>
                <w:spacing w:val="4"/>
              </w:rPr>
              <w:t>面积</w:t>
            </w:r>
            <w:r>
              <w:rPr>
                <w:spacing w:val="4"/>
              </w:rPr>
              <w:t>(</w:t>
            </w:r>
            <w:r>
              <w:rPr/>
              <w:t>km</w:t>
            </w:r>
            <w:r>
              <w:rPr>
                <w:sz w:val="13"/>
                <w:szCs w:val="13"/>
                <w:spacing w:val="4"/>
                <w:position w:val="6"/>
              </w:rPr>
              <w:t>2</w:t>
            </w:r>
            <w:r>
              <w:rPr>
                <w:spacing w:val="4"/>
              </w:rPr>
              <w:t>)</w:t>
            </w:r>
          </w:p>
        </w:tc>
        <w:tc>
          <w:tcPr>
            <w:tcW w:w="952" w:type="dxa"/>
            <w:vAlign w:val="top"/>
          </w:tcPr>
          <w:p>
            <w:pPr>
              <w:ind w:left="302"/>
              <w:spacing w:before="149" w:line="229" w:lineRule="auto"/>
              <w:rPr>
                <w:rFonts w:ascii="SimSun" w:hAnsi="SimSun" w:eastAsia="SimSun" w:cs="SimSun"/>
                <w:sz w:val="20"/>
                <w:szCs w:val="20"/>
              </w:rPr>
            </w:pPr>
            <w:r>
              <w:rPr>
                <w:rFonts w:ascii="SimSun" w:hAnsi="SimSun" w:eastAsia="SimSun" w:cs="SimSun"/>
                <w:sz w:val="20"/>
                <w:szCs w:val="20"/>
                <w:spacing w:val="-13"/>
              </w:rPr>
              <w:t>占比</w:t>
            </w:r>
          </w:p>
        </w:tc>
        <w:tc>
          <w:tcPr>
            <w:tcW w:w="947" w:type="dxa"/>
            <w:vAlign w:val="top"/>
          </w:tcPr>
          <w:p>
            <w:pPr>
              <w:pStyle w:val="TableText"/>
              <w:ind w:left="238" w:right="234" w:firstLine="29"/>
              <w:spacing w:before="29" w:line="234" w:lineRule="auto"/>
              <w:rPr/>
            </w:pPr>
            <w:r>
              <w:rPr>
                <w:rFonts w:ascii="SimSun" w:hAnsi="SimSun" w:eastAsia="SimSun" w:cs="SimSun"/>
                <w:spacing w:val="5"/>
              </w:rPr>
              <w:t>面积</w:t>
            </w:r>
            <w:r>
              <w:rPr>
                <w:spacing w:val="5"/>
              </w:rPr>
              <w:t>(</w:t>
            </w:r>
            <w:r>
              <w:rPr/>
              <w:t>km</w:t>
            </w:r>
            <w:r>
              <w:rPr>
                <w:sz w:val="13"/>
                <w:szCs w:val="13"/>
                <w:spacing w:val="5"/>
                <w:position w:val="6"/>
              </w:rPr>
              <w:t>2</w:t>
            </w:r>
            <w:r>
              <w:rPr>
                <w:spacing w:val="5"/>
              </w:rPr>
              <w:t>)</w:t>
            </w:r>
          </w:p>
        </w:tc>
        <w:tc>
          <w:tcPr>
            <w:tcW w:w="952" w:type="dxa"/>
            <w:vAlign w:val="top"/>
          </w:tcPr>
          <w:p>
            <w:pPr>
              <w:ind w:left="304"/>
              <w:spacing w:before="149" w:line="229" w:lineRule="auto"/>
              <w:rPr>
                <w:rFonts w:ascii="SimSun" w:hAnsi="SimSun" w:eastAsia="SimSun" w:cs="SimSun"/>
                <w:sz w:val="20"/>
                <w:szCs w:val="20"/>
              </w:rPr>
            </w:pPr>
            <w:r>
              <w:rPr>
                <w:rFonts w:ascii="SimSun" w:hAnsi="SimSun" w:eastAsia="SimSun" w:cs="SimSun"/>
                <w:sz w:val="20"/>
                <w:szCs w:val="20"/>
                <w:spacing w:val="-13"/>
              </w:rPr>
              <w:t>占比</w:t>
            </w:r>
          </w:p>
        </w:tc>
        <w:tc>
          <w:tcPr>
            <w:tcW w:w="912" w:type="dxa"/>
            <w:vAlign w:val="top"/>
          </w:tcPr>
          <w:p>
            <w:pPr>
              <w:pStyle w:val="TableText"/>
              <w:ind w:left="223" w:right="214" w:firstLine="29"/>
              <w:spacing w:before="29" w:line="234" w:lineRule="auto"/>
              <w:rPr/>
            </w:pPr>
            <w:r>
              <w:rPr>
                <w:rFonts w:ascii="SimSun" w:hAnsi="SimSun" w:eastAsia="SimSun" w:cs="SimSun"/>
                <w:spacing w:val="5"/>
              </w:rPr>
              <w:t>面积</w:t>
            </w:r>
            <w:r>
              <w:rPr>
                <w:spacing w:val="5"/>
              </w:rPr>
              <w:t>(</w:t>
            </w:r>
            <w:r>
              <w:rPr/>
              <w:t>km</w:t>
            </w:r>
            <w:r>
              <w:rPr>
                <w:sz w:val="13"/>
                <w:szCs w:val="13"/>
                <w:spacing w:val="5"/>
                <w:position w:val="6"/>
              </w:rPr>
              <w:t>2</w:t>
            </w:r>
            <w:r>
              <w:rPr>
                <w:spacing w:val="5"/>
              </w:rPr>
              <w:t>)</w:t>
            </w:r>
          </w:p>
        </w:tc>
        <w:tc>
          <w:tcPr>
            <w:tcW w:w="955" w:type="dxa"/>
            <w:vAlign w:val="top"/>
          </w:tcPr>
          <w:p>
            <w:pPr>
              <w:ind w:left="305"/>
              <w:spacing w:before="149" w:line="229" w:lineRule="auto"/>
              <w:rPr>
                <w:rFonts w:ascii="SimSun" w:hAnsi="SimSun" w:eastAsia="SimSun" w:cs="SimSun"/>
                <w:sz w:val="20"/>
                <w:szCs w:val="20"/>
              </w:rPr>
            </w:pPr>
            <w:r>
              <w:rPr>
                <w:rFonts w:ascii="SimSun" w:hAnsi="SimSun" w:eastAsia="SimSun" w:cs="SimSun"/>
                <w:sz w:val="20"/>
                <w:szCs w:val="20"/>
                <w:spacing w:val="-13"/>
              </w:rPr>
              <w:t>占比</w:t>
            </w:r>
          </w:p>
        </w:tc>
        <w:tc>
          <w:tcPr>
            <w:tcW w:w="1149" w:type="dxa"/>
            <w:vAlign w:val="top"/>
            <w:vMerge w:val="continue"/>
            <w:tcBorders>
              <w:top w:val="nil"/>
            </w:tcBorders>
          </w:tcPr>
          <w:p>
            <w:pPr>
              <w:rPr>
                <w:rFonts w:ascii="Arial"/>
                <w:sz w:val="21"/>
              </w:rPr>
            </w:pPr>
            <w:r/>
          </w:p>
        </w:tc>
        <w:tc>
          <w:tcPr>
            <w:tcW w:w="1154" w:type="dxa"/>
            <w:vAlign w:val="top"/>
            <w:vMerge w:val="continue"/>
            <w:tcBorders>
              <w:top w:val="nil"/>
            </w:tcBorders>
          </w:tcPr>
          <w:p>
            <w:pPr>
              <w:rPr>
                <w:rFonts w:ascii="Arial"/>
                <w:sz w:val="21"/>
              </w:rPr>
            </w:pPr>
            <w:r/>
          </w:p>
        </w:tc>
      </w:tr>
      <w:tr>
        <w:trPr>
          <w:trHeight w:val="294" w:hRule="atLeast"/>
        </w:trPr>
        <w:tc>
          <w:tcPr>
            <w:tcW w:w="1530" w:type="dxa"/>
            <w:vAlign w:val="top"/>
          </w:tcPr>
          <w:p>
            <w:pPr>
              <w:ind w:left="137"/>
              <w:spacing w:before="38" w:line="227" w:lineRule="auto"/>
              <w:rPr>
                <w:rFonts w:ascii="SimSun" w:hAnsi="SimSun" w:eastAsia="SimSun" w:cs="SimSun"/>
                <w:sz w:val="20"/>
                <w:szCs w:val="20"/>
              </w:rPr>
            </w:pPr>
            <w:r>
              <w:rPr>
                <w:rFonts w:ascii="SimSun" w:hAnsi="SimSun" w:eastAsia="SimSun" w:cs="SimSun"/>
                <w:sz w:val="20"/>
                <w:szCs w:val="20"/>
                <w:spacing w:val="8"/>
              </w:rPr>
              <w:t>城镇生态系统</w:t>
            </w:r>
          </w:p>
        </w:tc>
        <w:tc>
          <w:tcPr>
            <w:tcW w:w="739" w:type="dxa"/>
            <w:vAlign w:val="top"/>
          </w:tcPr>
          <w:p>
            <w:pPr>
              <w:pStyle w:val="TableText"/>
              <w:ind w:left="150"/>
              <w:spacing w:before="76" w:line="195" w:lineRule="auto"/>
              <w:rPr/>
            </w:pPr>
            <w:r>
              <w:rPr/>
              <w:t>12.18</w:t>
            </w:r>
          </w:p>
        </w:tc>
        <w:tc>
          <w:tcPr>
            <w:tcW w:w="952" w:type="dxa"/>
            <w:vAlign w:val="top"/>
          </w:tcPr>
          <w:p>
            <w:pPr>
              <w:pStyle w:val="TableText"/>
              <w:ind w:left="154"/>
              <w:spacing w:before="76" w:line="195" w:lineRule="auto"/>
              <w:rPr/>
            </w:pPr>
            <w:r>
              <w:rPr>
                <w:spacing w:val="4"/>
              </w:rPr>
              <w:t>22.81%</w:t>
            </w:r>
          </w:p>
        </w:tc>
        <w:tc>
          <w:tcPr>
            <w:tcW w:w="947" w:type="dxa"/>
            <w:vAlign w:val="top"/>
          </w:tcPr>
          <w:p>
            <w:pPr>
              <w:pStyle w:val="TableText"/>
              <w:ind w:left="256"/>
              <w:spacing w:before="76" w:line="195" w:lineRule="auto"/>
              <w:rPr/>
            </w:pPr>
            <w:r>
              <w:rPr/>
              <w:t>13.82</w:t>
            </w:r>
          </w:p>
        </w:tc>
        <w:tc>
          <w:tcPr>
            <w:tcW w:w="952" w:type="dxa"/>
            <w:vAlign w:val="top"/>
          </w:tcPr>
          <w:p>
            <w:pPr>
              <w:pStyle w:val="TableText"/>
              <w:ind w:left="153"/>
              <w:spacing w:before="76" w:line="195" w:lineRule="auto"/>
              <w:rPr/>
            </w:pPr>
            <w:r>
              <w:rPr>
                <w:spacing w:val="4"/>
              </w:rPr>
              <w:t>25.88%</w:t>
            </w:r>
          </w:p>
        </w:tc>
        <w:tc>
          <w:tcPr>
            <w:tcW w:w="912" w:type="dxa"/>
            <w:vAlign w:val="top"/>
          </w:tcPr>
          <w:p>
            <w:pPr>
              <w:pStyle w:val="TableText"/>
              <w:ind w:left="241"/>
              <w:spacing w:before="76" w:line="195" w:lineRule="auto"/>
              <w:rPr/>
            </w:pPr>
            <w:r>
              <w:rPr>
                <w:spacing w:val="-1"/>
              </w:rPr>
              <w:t>16.05</w:t>
            </w:r>
          </w:p>
        </w:tc>
        <w:tc>
          <w:tcPr>
            <w:tcW w:w="955" w:type="dxa"/>
            <w:vAlign w:val="top"/>
          </w:tcPr>
          <w:p>
            <w:pPr>
              <w:pStyle w:val="TableText"/>
              <w:ind w:left="158"/>
              <w:spacing w:before="76" w:line="195" w:lineRule="auto"/>
              <w:rPr/>
            </w:pPr>
            <w:r>
              <w:rPr>
                <w:spacing w:val="4"/>
              </w:rPr>
              <w:t>30.06%</w:t>
            </w:r>
          </w:p>
        </w:tc>
        <w:tc>
          <w:tcPr>
            <w:tcW w:w="1149" w:type="dxa"/>
            <w:vAlign w:val="top"/>
          </w:tcPr>
          <w:p>
            <w:pPr>
              <w:pStyle w:val="TableText"/>
              <w:ind w:left="412"/>
              <w:spacing w:before="76" w:line="195" w:lineRule="auto"/>
              <w:rPr/>
            </w:pPr>
            <w:r>
              <w:rPr>
                <w:spacing w:val="-2"/>
              </w:rPr>
              <w:t>1.64</w:t>
            </w:r>
          </w:p>
        </w:tc>
        <w:tc>
          <w:tcPr>
            <w:tcW w:w="1154" w:type="dxa"/>
            <w:vAlign w:val="top"/>
          </w:tcPr>
          <w:p>
            <w:pPr>
              <w:pStyle w:val="TableText"/>
              <w:ind w:left="395"/>
              <w:spacing w:before="76" w:line="195" w:lineRule="auto"/>
              <w:rPr/>
            </w:pPr>
            <w:r>
              <w:rPr>
                <w:spacing w:val="3"/>
              </w:rPr>
              <w:t>2.23</w:t>
            </w:r>
          </w:p>
        </w:tc>
      </w:tr>
      <w:tr>
        <w:trPr>
          <w:trHeight w:val="294" w:hRule="atLeast"/>
        </w:trPr>
        <w:tc>
          <w:tcPr>
            <w:tcW w:w="1530" w:type="dxa"/>
            <w:vAlign w:val="top"/>
          </w:tcPr>
          <w:p>
            <w:pPr>
              <w:ind w:left="139"/>
              <w:spacing w:before="39" w:line="226" w:lineRule="auto"/>
              <w:rPr>
                <w:rFonts w:ascii="SimSun" w:hAnsi="SimSun" w:eastAsia="SimSun" w:cs="SimSun"/>
                <w:sz w:val="20"/>
                <w:szCs w:val="20"/>
              </w:rPr>
            </w:pPr>
            <w:r>
              <w:rPr>
                <w:rFonts w:ascii="SimSun" w:hAnsi="SimSun" w:eastAsia="SimSun" w:cs="SimSun"/>
                <w:sz w:val="20"/>
                <w:szCs w:val="20"/>
                <w:spacing w:val="7"/>
              </w:rPr>
              <w:t>草地生态系统</w:t>
            </w:r>
          </w:p>
        </w:tc>
        <w:tc>
          <w:tcPr>
            <w:tcW w:w="739" w:type="dxa"/>
            <w:vAlign w:val="top"/>
          </w:tcPr>
          <w:p>
            <w:pPr>
              <w:pStyle w:val="TableText"/>
              <w:ind w:left="134"/>
              <w:spacing w:before="77" w:line="195" w:lineRule="auto"/>
              <w:rPr/>
            </w:pPr>
            <w:r>
              <w:rPr>
                <w:spacing w:val="3"/>
              </w:rPr>
              <w:t>38.39</w:t>
            </w:r>
          </w:p>
        </w:tc>
        <w:tc>
          <w:tcPr>
            <w:tcW w:w="952" w:type="dxa"/>
            <w:vAlign w:val="top"/>
          </w:tcPr>
          <w:p>
            <w:pPr>
              <w:pStyle w:val="TableText"/>
              <w:ind w:left="157"/>
              <w:spacing w:before="77" w:line="195" w:lineRule="auto"/>
              <w:rPr/>
            </w:pPr>
            <w:r>
              <w:rPr>
                <w:spacing w:val="3"/>
              </w:rPr>
              <w:t>71.87%</w:t>
            </w:r>
          </w:p>
        </w:tc>
        <w:tc>
          <w:tcPr>
            <w:tcW w:w="947" w:type="dxa"/>
            <w:vAlign w:val="top"/>
          </w:tcPr>
          <w:p>
            <w:pPr>
              <w:pStyle w:val="TableText"/>
              <w:ind w:left="240"/>
              <w:spacing w:before="77" w:line="195" w:lineRule="auto"/>
              <w:rPr/>
            </w:pPr>
            <w:r>
              <w:rPr>
                <w:spacing w:val="3"/>
              </w:rPr>
              <w:t>36.92</w:t>
            </w:r>
          </w:p>
        </w:tc>
        <w:tc>
          <w:tcPr>
            <w:tcW w:w="952" w:type="dxa"/>
            <w:vAlign w:val="top"/>
          </w:tcPr>
          <w:p>
            <w:pPr>
              <w:pStyle w:val="TableText"/>
              <w:ind w:left="158"/>
              <w:spacing w:before="77" w:line="195" w:lineRule="auto"/>
              <w:rPr/>
            </w:pPr>
            <w:r>
              <w:rPr>
                <w:spacing w:val="-1"/>
              </w:rPr>
              <w:t>69.</w:t>
            </w:r>
            <w:r>
              <w:rPr>
                <w:spacing w:val="-22"/>
              </w:rPr>
              <w:t xml:space="preserve"> </w:t>
            </w:r>
            <w:r>
              <w:rPr>
                <w:spacing w:val="-1"/>
              </w:rPr>
              <w:t>13%</w:t>
            </w:r>
          </w:p>
        </w:tc>
        <w:tc>
          <w:tcPr>
            <w:tcW w:w="912" w:type="dxa"/>
            <w:vAlign w:val="top"/>
          </w:tcPr>
          <w:p>
            <w:pPr>
              <w:pStyle w:val="TableText"/>
              <w:ind w:left="225"/>
              <w:spacing w:before="77" w:line="195" w:lineRule="auto"/>
              <w:rPr/>
            </w:pPr>
            <w:r>
              <w:rPr>
                <w:spacing w:val="3"/>
              </w:rPr>
              <w:t>34.39</w:t>
            </w:r>
          </w:p>
        </w:tc>
        <w:tc>
          <w:tcPr>
            <w:tcW w:w="955" w:type="dxa"/>
            <w:vAlign w:val="top"/>
          </w:tcPr>
          <w:p>
            <w:pPr>
              <w:pStyle w:val="TableText"/>
              <w:ind w:left="159"/>
              <w:spacing w:before="77" w:line="195" w:lineRule="auto"/>
              <w:rPr/>
            </w:pPr>
            <w:r>
              <w:rPr>
                <w:spacing w:val="3"/>
              </w:rPr>
              <w:t>64.39%</w:t>
            </w:r>
          </w:p>
        </w:tc>
        <w:tc>
          <w:tcPr>
            <w:tcW w:w="1149" w:type="dxa"/>
            <w:vAlign w:val="top"/>
          </w:tcPr>
          <w:p>
            <w:pPr>
              <w:pStyle w:val="TableText"/>
              <w:ind w:left="360"/>
              <w:spacing w:before="77" w:line="195" w:lineRule="auto"/>
              <w:rPr/>
            </w:pPr>
            <w:r>
              <w:rPr>
                <w:spacing w:val="3"/>
              </w:rPr>
              <w:t>-1.47</w:t>
            </w:r>
          </w:p>
        </w:tc>
        <w:tc>
          <w:tcPr>
            <w:tcW w:w="1154" w:type="dxa"/>
            <w:vAlign w:val="top"/>
          </w:tcPr>
          <w:p>
            <w:pPr>
              <w:pStyle w:val="TableText"/>
              <w:ind w:left="363"/>
              <w:spacing w:before="77" w:line="195" w:lineRule="auto"/>
              <w:rPr/>
            </w:pPr>
            <w:r>
              <w:rPr>
                <w:spacing w:val="2"/>
              </w:rPr>
              <w:t>-2.53</w:t>
            </w:r>
          </w:p>
        </w:tc>
      </w:tr>
      <w:tr>
        <w:trPr>
          <w:trHeight w:val="294" w:hRule="atLeast"/>
        </w:trPr>
        <w:tc>
          <w:tcPr>
            <w:tcW w:w="1530" w:type="dxa"/>
            <w:vAlign w:val="top"/>
          </w:tcPr>
          <w:p>
            <w:pPr>
              <w:ind w:left="137"/>
              <w:spacing w:before="40" w:line="225" w:lineRule="auto"/>
              <w:rPr>
                <w:rFonts w:ascii="SimSun" w:hAnsi="SimSun" w:eastAsia="SimSun" w:cs="SimSun"/>
                <w:sz w:val="20"/>
                <w:szCs w:val="20"/>
              </w:rPr>
            </w:pPr>
            <w:r>
              <w:rPr>
                <w:rFonts w:ascii="SimSun" w:hAnsi="SimSun" w:eastAsia="SimSun" w:cs="SimSun"/>
                <w:sz w:val="20"/>
                <w:szCs w:val="20"/>
                <w:spacing w:val="8"/>
              </w:rPr>
              <w:t>湿地生态系统</w:t>
            </w:r>
          </w:p>
        </w:tc>
        <w:tc>
          <w:tcPr>
            <w:tcW w:w="739" w:type="dxa"/>
            <w:vAlign w:val="top"/>
          </w:tcPr>
          <w:p>
            <w:pPr>
              <w:pStyle w:val="TableText"/>
              <w:ind w:left="205"/>
              <w:spacing w:before="78" w:line="195" w:lineRule="auto"/>
              <w:rPr/>
            </w:pPr>
            <w:r>
              <w:rPr>
                <w:spacing w:val="-2"/>
              </w:rPr>
              <w:t>1.64</w:t>
            </w:r>
          </w:p>
        </w:tc>
        <w:tc>
          <w:tcPr>
            <w:tcW w:w="952" w:type="dxa"/>
            <w:vAlign w:val="top"/>
          </w:tcPr>
          <w:p>
            <w:pPr>
              <w:pStyle w:val="TableText"/>
              <w:ind w:left="208"/>
              <w:spacing w:before="78" w:line="195" w:lineRule="auto"/>
              <w:rPr/>
            </w:pPr>
            <w:r>
              <w:rPr>
                <w:spacing w:val="3"/>
              </w:rPr>
              <w:t>3.07%</w:t>
            </w:r>
          </w:p>
        </w:tc>
        <w:tc>
          <w:tcPr>
            <w:tcW w:w="947" w:type="dxa"/>
            <w:vAlign w:val="top"/>
          </w:tcPr>
          <w:p>
            <w:pPr>
              <w:pStyle w:val="TableText"/>
              <w:ind w:left="309"/>
              <w:spacing w:before="78" w:line="195" w:lineRule="auto"/>
              <w:rPr/>
            </w:pPr>
            <w:r>
              <w:rPr>
                <w:spacing w:val="-1"/>
              </w:rPr>
              <w:t>1.31</w:t>
            </w:r>
          </w:p>
        </w:tc>
        <w:tc>
          <w:tcPr>
            <w:tcW w:w="952" w:type="dxa"/>
            <w:vAlign w:val="top"/>
          </w:tcPr>
          <w:p>
            <w:pPr>
              <w:pStyle w:val="TableText"/>
              <w:ind w:left="204"/>
              <w:spacing w:before="78" w:line="195" w:lineRule="auto"/>
              <w:rPr/>
            </w:pPr>
            <w:r>
              <w:rPr>
                <w:spacing w:val="5"/>
              </w:rPr>
              <w:t>2.45%</w:t>
            </w:r>
          </w:p>
        </w:tc>
        <w:tc>
          <w:tcPr>
            <w:tcW w:w="912" w:type="dxa"/>
            <w:vAlign w:val="top"/>
          </w:tcPr>
          <w:p>
            <w:pPr>
              <w:pStyle w:val="TableText"/>
              <w:ind w:left="292"/>
              <w:spacing w:before="78" w:line="195" w:lineRule="auto"/>
              <w:rPr/>
            </w:pPr>
            <w:r>
              <w:rPr>
                <w:spacing w:val="-1"/>
              </w:rPr>
              <w:t>1.54</w:t>
            </w:r>
          </w:p>
        </w:tc>
        <w:tc>
          <w:tcPr>
            <w:tcW w:w="955" w:type="dxa"/>
            <w:vAlign w:val="top"/>
          </w:tcPr>
          <w:p>
            <w:pPr>
              <w:pStyle w:val="TableText"/>
              <w:ind w:left="207"/>
              <w:spacing w:before="78" w:line="195" w:lineRule="auto"/>
              <w:rPr/>
            </w:pPr>
            <w:r>
              <w:rPr>
                <w:spacing w:val="5"/>
              </w:rPr>
              <w:t>2.89%</w:t>
            </w:r>
          </w:p>
        </w:tc>
        <w:tc>
          <w:tcPr>
            <w:tcW w:w="1149" w:type="dxa"/>
            <w:vAlign w:val="top"/>
          </w:tcPr>
          <w:p>
            <w:pPr>
              <w:pStyle w:val="TableText"/>
              <w:ind w:left="360"/>
              <w:spacing w:before="78" w:line="195" w:lineRule="auto"/>
              <w:rPr/>
            </w:pPr>
            <w:r>
              <w:rPr>
                <w:spacing w:val="3"/>
              </w:rPr>
              <w:t>-0.33</w:t>
            </w:r>
          </w:p>
        </w:tc>
        <w:tc>
          <w:tcPr>
            <w:tcW w:w="1154" w:type="dxa"/>
            <w:vAlign w:val="top"/>
          </w:tcPr>
          <w:p>
            <w:pPr>
              <w:pStyle w:val="TableText"/>
              <w:ind w:left="398"/>
              <w:spacing w:before="78" w:line="195" w:lineRule="auto"/>
              <w:rPr/>
            </w:pPr>
            <w:r>
              <w:rPr>
                <w:spacing w:val="2"/>
              </w:rPr>
              <w:t>0.23</w:t>
            </w:r>
          </w:p>
        </w:tc>
      </w:tr>
      <w:tr>
        <w:trPr>
          <w:trHeight w:val="295" w:hRule="atLeast"/>
        </w:trPr>
        <w:tc>
          <w:tcPr>
            <w:tcW w:w="1530" w:type="dxa"/>
            <w:vAlign w:val="top"/>
          </w:tcPr>
          <w:p>
            <w:pPr>
              <w:ind w:left="140"/>
              <w:spacing w:before="41" w:line="225" w:lineRule="auto"/>
              <w:rPr>
                <w:rFonts w:ascii="SimSun" w:hAnsi="SimSun" w:eastAsia="SimSun" w:cs="SimSun"/>
                <w:sz w:val="20"/>
                <w:szCs w:val="20"/>
              </w:rPr>
            </w:pPr>
            <w:r>
              <w:rPr>
                <w:rFonts w:ascii="SimSun" w:hAnsi="SimSun" w:eastAsia="SimSun" w:cs="SimSun"/>
                <w:sz w:val="20"/>
                <w:szCs w:val="20"/>
                <w:spacing w:val="7"/>
              </w:rPr>
              <w:t>荒漠生态系统</w:t>
            </w:r>
          </w:p>
        </w:tc>
        <w:tc>
          <w:tcPr>
            <w:tcW w:w="739" w:type="dxa"/>
            <w:vAlign w:val="top"/>
          </w:tcPr>
          <w:p>
            <w:pPr>
              <w:pStyle w:val="TableText"/>
              <w:ind w:left="188"/>
              <w:spacing w:before="79" w:line="195" w:lineRule="auto"/>
              <w:rPr/>
            </w:pPr>
            <w:r>
              <w:rPr>
                <w:spacing w:val="2"/>
              </w:rPr>
              <w:t>0.38</w:t>
            </w:r>
          </w:p>
        </w:tc>
        <w:tc>
          <w:tcPr>
            <w:tcW w:w="952" w:type="dxa"/>
            <w:vAlign w:val="top"/>
          </w:tcPr>
          <w:p>
            <w:pPr>
              <w:pStyle w:val="TableText"/>
              <w:ind w:left="207"/>
              <w:spacing w:before="79" w:line="195" w:lineRule="auto"/>
              <w:rPr/>
            </w:pPr>
            <w:r>
              <w:rPr>
                <w:spacing w:val="3"/>
              </w:rPr>
              <w:t>0.70%</w:t>
            </w:r>
          </w:p>
        </w:tc>
        <w:tc>
          <w:tcPr>
            <w:tcW w:w="947" w:type="dxa"/>
            <w:vAlign w:val="top"/>
          </w:tcPr>
          <w:p>
            <w:pPr>
              <w:pStyle w:val="TableText"/>
              <w:ind w:left="292"/>
              <w:spacing w:before="79" w:line="195" w:lineRule="auto"/>
              <w:rPr/>
            </w:pPr>
            <w:r>
              <w:rPr>
                <w:spacing w:val="3"/>
              </w:rPr>
              <w:t>0.30</w:t>
            </w:r>
          </w:p>
        </w:tc>
        <w:tc>
          <w:tcPr>
            <w:tcW w:w="952" w:type="dxa"/>
            <w:vAlign w:val="top"/>
          </w:tcPr>
          <w:p>
            <w:pPr>
              <w:pStyle w:val="TableText"/>
              <w:ind w:left="207"/>
              <w:spacing w:before="79" w:line="195" w:lineRule="auto"/>
              <w:rPr/>
            </w:pPr>
            <w:r>
              <w:rPr>
                <w:spacing w:val="4"/>
              </w:rPr>
              <w:t>0.55%</w:t>
            </w:r>
          </w:p>
        </w:tc>
        <w:tc>
          <w:tcPr>
            <w:tcW w:w="912" w:type="dxa"/>
            <w:vAlign w:val="top"/>
          </w:tcPr>
          <w:p>
            <w:pPr>
              <w:pStyle w:val="TableText"/>
              <w:ind w:left="275"/>
              <w:spacing w:before="79" w:line="195" w:lineRule="auto"/>
              <w:rPr/>
            </w:pPr>
            <w:r>
              <w:rPr>
                <w:spacing w:val="3"/>
              </w:rPr>
              <w:t>0.31</w:t>
            </w:r>
          </w:p>
        </w:tc>
        <w:tc>
          <w:tcPr>
            <w:tcW w:w="955" w:type="dxa"/>
            <w:vAlign w:val="top"/>
          </w:tcPr>
          <w:p>
            <w:pPr>
              <w:pStyle w:val="TableText"/>
              <w:ind w:left="210"/>
              <w:spacing w:before="79" w:line="195" w:lineRule="auto"/>
              <w:rPr/>
            </w:pPr>
            <w:r>
              <w:rPr>
                <w:spacing w:val="4"/>
              </w:rPr>
              <w:t>0.58%</w:t>
            </w:r>
          </w:p>
        </w:tc>
        <w:tc>
          <w:tcPr>
            <w:tcW w:w="1149" w:type="dxa"/>
            <w:vAlign w:val="top"/>
          </w:tcPr>
          <w:p>
            <w:pPr>
              <w:pStyle w:val="TableText"/>
              <w:ind w:left="360"/>
              <w:spacing w:before="79" w:line="195" w:lineRule="auto"/>
              <w:rPr/>
            </w:pPr>
            <w:r>
              <w:rPr>
                <w:spacing w:val="3"/>
              </w:rPr>
              <w:t>-0.08</w:t>
            </w:r>
          </w:p>
        </w:tc>
        <w:tc>
          <w:tcPr>
            <w:tcW w:w="1154" w:type="dxa"/>
            <w:vAlign w:val="top"/>
          </w:tcPr>
          <w:p>
            <w:pPr>
              <w:pStyle w:val="TableText"/>
              <w:ind w:left="398"/>
              <w:spacing w:before="79" w:line="195" w:lineRule="auto"/>
              <w:rPr/>
            </w:pPr>
            <w:r>
              <w:rPr>
                <w:spacing w:val="2"/>
              </w:rPr>
              <w:t>0.01</w:t>
            </w:r>
          </w:p>
        </w:tc>
      </w:tr>
      <w:tr>
        <w:trPr>
          <w:trHeight w:val="295" w:hRule="atLeast"/>
        </w:trPr>
        <w:tc>
          <w:tcPr>
            <w:tcW w:w="1530" w:type="dxa"/>
            <w:vAlign w:val="top"/>
          </w:tcPr>
          <w:p>
            <w:pPr>
              <w:ind w:left="140"/>
              <w:spacing w:before="41" w:line="225" w:lineRule="auto"/>
              <w:rPr>
                <w:rFonts w:ascii="SimSun" w:hAnsi="SimSun" w:eastAsia="SimSun" w:cs="SimSun"/>
                <w:sz w:val="20"/>
                <w:szCs w:val="20"/>
              </w:rPr>
            </w:pPr>
            <w:r>
              <w:rPr>
                <w:rFonts w:ascii="SimSun" w:hAnsi="SimSun" w:eastAsia="SimSun" w:cs="SimSun"/>
                <w:sz w:val="20"/>
                <w:szCs w:val="20"/>
                <w:spacing w:val="7"/>
              </w:rPr>
              <w:t>灌丛生态系统</w:t>
            </w:r>
          </w:p>
        </w:tc>
        <w:tc>
          <w:tcPr>
            <w:tcW w:w="739" w:type="dxa"/>
            <w:vAlign w:val="top"/>
          </w:tcPr>
          <w:p>
            <w:pPr>
              <w:pStyle w:val="TableText"/>
              <w:ind w:left="188"/>
              <w:spacing w:before="79" w:line="195" w:lineRule="auto"/>
              <w:rPr/>
            </w:pPr>
            <w:r>
              <w:rPr>
                <w:spacing w:val="2"/>
              </w:rPr>
              <w:t>0.18</w:t>
            </w:r>
          </w:p>
        </w:tc>
        <w:tc>
          <w:tcPr>
            <w:tcW w:w="952" w:type="dxa"/>
            <w:vAlign w:val="top"/>
          </w:tcPr>
          <w:p>
            <w:pPr>
              <w:pStyle w:val="TableText"/>
              <w:ind w:left="207"/>
              <w:spacing w:before="79" w:line="195" w:lineRule="auto"/>
              <w:rPr/>
            </w:pPr>
            <w:r>
              <w:rPr>
                <w:spacing w:val="3"/>
              </w:rPr>
              <w:t>0.34%</w:t>
            </w:r>
          </w:p>
        </w:tc>
        <w:tc>
          <w:tcPr>
            <w:tcW w:w="947" w:type="dxa"/>
            <w:vAlign w:val="top"/>
          </w:tcPr>
          <w:p>
            <w:pPr>
              <w:pStyle w:val="TableText"/>
              <w:ind w:left="292"/>
              <w:spacing w:before="79" w:line="195" w:lineRule="auto"/>
              <w:rPr/>
            </w:pPr>
            <w:r>
              <w:rPr>
                <w:spacing w:val="3"/>
              </w:rPr>
              <w:t>0.34</w:t>
            </w:r>
          </w:p>
        </w:tc>
        <w:tc>
          <w:tcPr>
            <w:tcW w:w="952" w:type="dxa"/>
            <w:vAlign w:val="top"/>
          </w:tcPr>
          <w:p>
            <w:pPr>
              <w:pStyle w:val="TableText"/>
              <w:ind w:left="207"/>
              <w:spacing w:before="79" w:line="195" w:lineRule="auto"/>
              <w:rPr/>
            </w:pPr>
            <w:r>
              <w:rPr>
                <w:spacing w:val="4"/>
              </w:rPr>
              <w:t>0.63%</w:t>
            </w:r>
          </w:p>
        </w:tc>
        <w:tc>
          <w:tcPr>
            <w:tcW w:w="912" w:type="dxa"/>
            <w:vAlign w:val="top"/>
          </w:tcPr>
          <w:p>
            <w:pPr>
              <w:pStyle w:val="TableText"/>
              <w:ind w:left="275"/>
              <w:spacing w:before="79" w:line="195" w:lineRule="auto"/>
              <w:rPr/>
            </w:pPr>
            <w:r>
              <w:rPr>
                <w:spacing w:val="3"/>
              </w:rPr>
              <w:t>0.53</w:t>
            </w:r>
          </w:p>
        </w:tc>
        <w:tc>
          <w:tcPr>
            <w:tcW w:w="955" w:type="dxa"/>
            <w:vAlign w:val="top"/>
          </w:tcPr>
          <w:p>
            <w:pPr>
              <w:pStyle w:val="TableText"/>
              <w:ind w:left="210"/>
              <w:spacing w:before="79" w:line="195" w:lineRule="auto"/>
              <w:rPr/>
            </w:pPr>
            <w:r>
              <w:rPr>
                <w:spacing w:val="4"/>
              </w:rPr>
              <w:t>0.99%</w:t>
            </w:r>
          </w:p>
        </w:tc>
        <w:tc>
          <w:tcPr>
            <w:tcW w:w="1149" w:type="dxa"/>
            <w:vAlign w:val="top"/>
          </w:tcPr>
          <w:p>
            <w:pPr>
              <w:pStyle w:val="TableText"/>
              <w:ind w:left="395"/>
              <w:spacing w:before="79" w:line="195" w:lineRule="auto"/>
              <w:rPr/>
            </w:pPr>
            <w:r>
              <w:rPr>
                <w:spacing w:val="2"/>
              </w:rPr>
              <w:t>0.15</w:t>
            </w:r>
          </w:p>
        </w:tc>
        <w:tc>
          <w:tcPr>
            <w:tcW w:w="1154" w:type="dxa"/>
            <w:vAlign w:val="top"/>
          </w:tcPr>
          <w:p>
            <w:pPr>
              <w:pStyle w:val="TableText"/>
              <w:ind w:left="398"/>
              <w:spacing w:before="79" w:line="195" w:lineRule="auto"/>
              <w:rPr/>
            </w:pPr>
            <w:r>
              <w:rPr>
                <w:spacing w:val="2"/>
              </w:rPr>
              <w:t>0.19</w:t>
            </w:r>
          </w:p>
        </w:tc>
      </w:tr>
      <w:tr>
        <w:trPr>
          <w:trHeight w:val="295" w:hRule="atLeast"/>
        </w:trPr>
        <w:tc>
          <w:tcPr>
            <w:tcW w:w="1530" w:type="dxa"/>
            <w:vAlign w:val="top"/>
          </w:tcPr>
          <w:p>
            <w:pPr>
              <w:ind w:left="137"/>
              <w:spacing w:before="41" w:line="225" w:lineRule="auto"/>
              <w:rPr>
                <w:rFonts w:ascii="SimSun" w:hAnsi="SimSun" w:eastAsia="SimSun" w:cs="SimSun"/>
                <w:sz w:val="20"/>
                <w:szCs w:val="20"/>
              </w:rPr>
            </w:pPr>
            <w:r>
              <w:rPr>
                <w:rFonts w:ascii="SimSun" w:hAnsi="SimSun" w:eastAsia="SimSun" w:cs="SimSun"/>
                <w:sz w:val="20"/>
                <w:szCs w:val="20"/>
                <w:spacing w:val="8"/>
              </w:rPr>
              <w:t>森林生态系统</w:t>
            </w:r>
          </w:p>
        </w:tc>
        <w:tc>
          <w:tcPr>
            <w:tcW w:w="739" w:type="dxa"/>
            <w:vAlign w:val="top"/>
          </w:tcPr>
          <w:p>
            <w:pPr>
              <w:pStyle w:val="TableText"/>
              <w:ind w:left="188"/>
              <w:spacing w:before="79" w:line="195" w:lineRule="auto"/>
              <w:rPr/>
            </w:pPr>
            <w:r>
              <w:rPr>
                <w:spacing w:val="2"/>
              </w:rPr>
              <w:t>0.38</w:t>
            </w:r>
          </w:p>
        </w:tc>
        <w:tc>
          <w:tcPr>
            <w:tcW w:w="952" w:type="dxa"/>
            <w:vAlign w:val="top"/>
          </w:tcPr>
          <w:p>
            <w:pPr>
              <w:pStyle w:val="TableText"/>
              <w:ind w:left="207"/>
              <w:spacing w:before="79" w:line="195" w:lineRule="auto"/>
              <w:rPr/>
            </w:pPr>
            <w:r>
              <w:rPr>
                <w:spacing w:val="3"/>
              </w:rPr>
              <w:t>0.72%</w:t>
            </w:r>
          </w:p>
        </w:tc>
        <w:tc>
          <w:tcPr>
            <w:tcW w:w="947" w:type="dxa"/>
            <w:vAlign w:val="top"/>
          </w:tcPr>
          <w:p>
            <w:pPr>
              <w:pStyle w:val="TableText"/>
              <w:ind w:left="292"/>
              <w:spacing w:before="79" w:line="195" w:lineRule="auto"/>
              <w:rPr/>
            </w:pPr>
            <w:r>
              <w:rPr>
                <w:spacing w:val="3"/>
              </w:rPr>
              <w:t>0.41</w:t>
            </w:r>
          </w:p>
        </w:tc>
        <w:tc>
          <w:tcPr>
            <w:tcW w:w="952" w:type="dxa"/>
            <w:vAlign w:val="top"/>
          </w:tcPr>
          <w:p>
            <w:pPr>
              <w:pStyle w:val="TableText"/>
              <w:ind w:left="207"/>
              <w:spacing w:before="79" w:line="195" w:lineRule="auto"/>
              <w:rPr/>
            </w:pPr>
            <w:r>
              <w:rPr>
                <w:spacing w:val="4"/>
              </w:rPr>
              <w:t>0.76%</w:t>
            </w:r>
          </w:p>
        </w:tc>
        <w:tc>
          <w:tcPr>
            <w:tcW w:w="912" w:type="dxa"/>
            <w:vAlign w:val="top"/>
          </w:tcPr>
          <w:p>
            <w:pPr>
              <w:pStyle w:val="TableText"/>
              <w:ind w:left="275"/>
              <w:spacing w:before="79" w:line="195" w:lineRule="auto"/>
              <w:rPr/>
            </w:pPr>
            <w:r>
              <w:rPr>
                <w:spacing w:val="3"/>
              </w:rPr>
              <w:t>0.17</w:t>
            </w:r>
          </w:p>
        </w:tc>
        <w:tc>
          <w:tcPr>
            <w:tcW w:w="955" w:type="dxa"/>
            <w:vAlign w:val="top"/>
          </w:tcPr>
          <w:p>
            <w:pPr>
              <w:pStyle w:val="TableText"/>
              <w:ind w:left="210"/>
              <w:spacing w:before="79" w:line="195" w:lineRule="auto"/>
              <w:rPr/>
            </w:pPr>
            <w:r>
              <w:rPr>
                <w:spacing w:val="4"/>
              </w:rPr>
              <w:t>0.32%</w:t>
            </w:r>
          </w:p>
        </w:tc>
        <w:tc>
          <w:tcPr>
            <w:tcW w:w="1149" w:type="dxa"/>
            <w:vAlign w:val="top"/>
          </w:tcPr>
          <w:p>
            <w:pPr>
              <w:pStyle w:val="TableText"/>
              <w:ind w:left="395"/>
              <w:spacing w:before="79" w:line="195" w:lineRule="auto"/>
              <w:rPr/>
            </w:pPr>
            <w:r>
              <w:rPr>
                <w:spacing w:val="2"/>
              </w:rPr>
              <w:t>0.02</w:t>
            </w:r>
          </w:p>
        </w:tc>
        <w:tc>
          <w:tcPr>
            <w:tcW w:w="1154" w:type="dxa"/>
            <w:vAlign w:val="top"/>
          </w:tcPr>
          <w:p>
            <w:pPr>
              <w:pStyle w:val="TableText"/>
              <w:ind w:left="363"/>
              <w:spacing w:before="79" w:line="195" w:lineRule="auto"/>
              <w:rPr/>
            </w:pPr>
            <w:r>
              <w:rPr>
                <w:spacing w:val="2"/>
              </w:rPr>
              <w:t>-0.23</w:t>
            </w:r>
          </w:p>
        </w:tc>
      </w:tr>
      <w:tr>
        <w:trPr>
          <w:trHeight w:val="295" w:hRule="atLeast"/>
        </w:trPr>
        <w:tc>
          <w:tcPr>
            <w:tcW w:w="1530" w:type="dxa"/>
            <w:vAlign w:val="top"/>
          </w:tcPr>
          <w:p>
            <w:pPr>
              <w:ind w:left="558"/>
              <w:spacing w:before="41" w:line="225" w:lineRule="auto"/>
              <w:rPr>
                <w:rFonts w:ascii="SimSun" w:hAnsi="SimSun" w:eastAsia="SimSun" w:cs="SimSun"/>
                <w:sz w:val="20"/>
                <w:szCs w:val="20"/>
              </w:rPr>
            </w:pPr>
            <w:r>
              <w:rPr>
                <w:rFonts w:ascii="SimSun" w:hAnsi="SimSun" w:eastAsia="SimSun" w:cs="SimSun"/>
                <w:sz w:val="20"/>
                <w:szCs w:val="20"/>
                <w:spacing w:val="4"/>
              </w:rPr>
              <w:t>其他</w:t>
            </w:r>
          </w:p>
        </w:tc>
        <w:tc>
          <w:tcPr>
            <w:tcW w:w="739" w:type="dxa"/>
            <w:vAlign w:val="top"/>
          </w:tcPr>
          <w:p>
            <w:pPr>
              <w:pStyle w:val="TableText"/>
              <w:ind w:left="188"/>
              <w:spacing w:before="79" w:line="195" w:lineRule="auto"/>
              <w:rPr/>
            </w:pPr>
            <w:r>
              <w:rPr>
                <w:spacing w:val="2"/>
              </w:rPr>
              <w:t>0.26</w:t>
            </w:r>
          </w:p>
        </w:tc>
        <w:tc>
          <w:tcPr>
            <w:tcW w:w="952" w:type="dxa"/>
            <w:vAlign w:val="top"/>
          </w:tcPr>
          <w:p>
            <w:pPr>
              <w:pStyle w:val="TableText"/>
              <w:ind w:left="207"/>
              <w:spacing w:before="79" w:line="195" w:lineRule="auto"/>
              <w:rPr/>
            </w:pPr>
            <w:r>
              <w:rPr>
                <w:spacing w:val="3"/>
              </w:rPr>
              <w:t>0.48%</w:t>
            </w:r>
          </w:p>
        </w:tc>
        <w:tc>
          <w:tcPr>
            <w:tcW w:w="947" w:type="dxa"/>
            <w:vAlign w:val="top"/>
          </w:tcPr>
          <w:p>
            <w:pPr>
              <w:pStyle w:val="TableText"/>
              <w:ind w:left="292"/>
              <w:spacing w:before="79" w:line="195" w:lineRule="auto"/>
              <w:rPr/>
            </w:pPr>
            <w:r>
              <w:rPr>
                <w:spacing w:val="3"/>
              </w:rPr>
              <w:t>0.32</w:t>
            </w:r>
          </w:p>
        </w:tc>
        <w:tc>
          <w:tcPr>
            <w:tcW w:w="952" w:type="dxa"/>
            <w:vAlign w:val="top"/>
          </w:tcPr>
          <w:p>
            <w:pPr>
              <w:pStyle w:val="TableText"/>
              <w:ind w:left="207"/>
              <w:spacing w:before="79" w:line="195" w:lineRule="auto"/>
              <w:rPr/>
            </w:pPr>
            <w:r>
              <w:rPr>
                <w:spacing w:val="4"/>
              </w:rPr>
              <w:t>0.60%</w:t>
            </w:r>
          </w:p>
        </w:tc>
        <w:tc>
          <w:tcPr>
            <w:tcW w:w="912" w:type="dxa"/>
            <w:vAlign w:val="top"/>
          </w:tcPr>
          <w:p>
            <w:pPr>
              <w:pStyle w:val="TableText"/>
              <w:ind w:left="275"/>
              <w:spacing w:before="79" w:line="195" w:lineRule="auto"/>
              <w:rPr/>
            </w:pPr>
            <w:r>
              <w:rPr>
                <w:spacing w:val="3"/>
              </w:rPr>
              <w:t>0.41</w:t>
            </w:r>
          </w:p>
        </w:tc>
        <w:tc>
          <w:tcPr>
            <w:tcW w:w="955" w:type="dxa"/>
            <w:vAlign w:val="top"/>
          </w:tcPr>
          <w:p>
            <w:pPr>
              <w:pStyle w:val="TableText"/>
              <w:ind w:left="210"/>
              <w:spacing w:before="79" w:line="195" w:lineRule="auto"/>
              <w:rPr/>
            </w:pPr>
            <w:r>
              <w:rPr>
                <w:spacing w:val="4"/>
              </w:rPr>
              <w:t>0.77%</w:t>
            </w:r>
          </w:p>
        </w:tc>
        <w:tc>
          <w:tcPr>
            <w:tcW w:w="1149" w:type="dxa"/>
            <w:vAlign w:val="top"/>
          </w:tcPr>
          <w:p>
            <w:pPr>
              <w:pStyle w:val="TableText"/>
              <w:ind w:left="395"/>
              <w:spacing w:before="79" w:line="195" w:lineRule="auto"/>
              <w:rPr/>
            </w:pPr>
            <w:r>
              <w:rPr>
                <w:spacing w:val="2"/>
              </w:rPr>
              <w:t>0.06</w:t>
            </w:r>
          </w:p>
        </w:tc>
        <w:tc>
          <w:tcPr>
            <w:tcW w:w="1154" w:type="dxa"/>
            <w:vAlign w:val="top"/>
          </w:tcPr>
          <w:p>
            <w:pPr>
              <w:pStyle w:val="TableText"/>
              <w:ind w:left="398"/>
              <w:spacing w:before="79" w:line="195" w:lineRule="auto"/>
              <w:rPr/>
            </w:pPr>
            <w:r>
              <w:rPr>
                <w:spacing w:val="2"/>
              </w:rPr>
              <w:t>0.09</w:t>
            </w:r>
          </w:p>
        </w:tc>
      </w:tr>
      <w:tr>
        <w:trPr>
          <w:trHeight w:val="491" w:hRule="atLeast"/>
        </w:trPr>
        <w:tc>
          <w:tcPr>
            <w:tcW w:w="1530" w:type="dxa"/>
            <w:vAlign w:val="top"/>
          </w:tcPr>
          <w:p>
            <w:pPr>
              <w:ind w:left="563"/>
              <w:spacing w:before="137" w:line="229" w:lineRule="auto"/>
              <w:rPr>
                <w:rFonts w:ascii="SimSun" w:hAnsi="SimSun" w:eastAsia="SimSun" w:cs="SimSun"/>
                <w:sz w:val="20"/>
                <w:szCs w:val="20"/>
              </w:rPr>
            </w:pPr>
            <w:r>
              <w:rPr>
                <w:rFonts w:ascii="SimSun" w:hAnsi="SimSun" w:eastAsia="SimSun" w:cs="SimSun"/>
                <w:sz w:val="20"/>
                <w:szCs w:val="20"/>
                <w:spacing w:val="2"/>
              </w:rPr>
              <w:t>总计</w:t>
            </w:r>
          </w:p>
        </w:tc>
        <w:tc>
          <w:tcPr>
            <w:tcW w:w="739" w:type="dxa"/>
            <w:vAlign w:val="top"/>
          </w:tcPr>
          <w:p>
            <w:pPr>
              <w:pStyle w:val="TableText"/>
              <w:ind w:left="135"/>
              <w:spacing w:before="175" w:line="195" w:lineRule="auto"/>
              <w:rPr/>
            </w:pPr>
            <w:r>
              <w:rPr>
                <w:spacing w:val="3"/>
              </w:rPr>
              <w:t>53.41</w:t>
            </w:r>
          </w:p>
        </w:tc>
        <w:tc>
          <w:tcPr>
            <w:tcW w:w="952" w:type="dxa"/>
            <w:vAlign w:val="top"/>
          </w:tcPr>
          <w:p>
            <w:pPr>
              <w:pStyle w:val="TableText"/>
              <w:ind w:left="205"/>
              <w:spacing w:before="55" w:line="195" w:lineRule="auto"/>
              <w:rPr/>
            </w:pPr>
            <w:r>
              <w:rPr/>
              <w:t>100.00</w:t>
            </w:r>
          </w:p>
          <w:p>
            <w:pPr>
              <w:pStyle w:val="TableText"/>
              <w:ind w:left="390"/>
              <w:spacing w:before="53" w:line="193" w:lineRule="auto"/>
              <w:rPr/>
            </w:pPr>
            <w:r>
              <w:rPr/>
              <w:t>%</w:t>
            </w:r>
          </w:p>
        </w:tc>
        <w:tc>
          <w:tcPr>
            <w:tcW w:w="947" w:type="dxa"/>
            <w:vAlign w:val="top"/>
          </w:tcPr>
          <w:p>
            <w:pPr>
              <w:pStyle w:val="TableText"/>
              <w:ind w:left="242"/>
              <w:spacing w:before="175" w:line="195" w:lineRule="auto"/>
              <w:rPr/>
            </w:pPr>
            <w:r>
              <w:rPr>
                <w:spacing w:val="3"/>
              </w:rPr>
              <w:t>53.41</w:t>
            </w:r>
          </w:p>
        </w:tc>
        <w:tc>
          <w:tcPr>
            <w:tcW w:w="952" w:type="dxa"/>
            <w:vAlign w:val="top"/>
          </w:tcPr>
          <w:p>
            <w:pPr>
              <w:pStyle w:val="TableText"/>
              <w:ind w:left="207"/>
              <w:spacing w:before="55" w:line="195" w:lineRule="auto"/>
              <w:rPr/>
            </w:pPr>
            <w:r>
              <w:rPr/>
              <w:t>100.00</w:t>
            </w:r>
          </w:p>
          <w:p>
            <w:pPr>
              <w:pStyle w:val="TableText"/>
              <w:ind w:left="394"/>
              <w:spacing w:before="53" w:line="193" w:lineRule="auto"/>
              <w:rPr/>
            </w:pPr>
            <w:r>
              <w:rPr/>
              <w:t>%</w:t>
            </w:r>
          </w:p>
        </w:tc>
        <w:tc>
          <w:tcPr>
            <w:tcW w:w="912" w:type="dxa"/>
            <w:vAlign w:val="top"/>
          </w:tcPr>
          <w:p>
            <w:pPr>
              <w:pStyle w:val="TableText"/>
              <w:ind w:left="227"/>
              <w:spacing w:before="175" w:line="195" w:lineRule="auto"/>
              <w:rPr/>
            </w:pPr>
            <w:r>
              <w:rPr>
                <w:spacing w:val="2"/>
              </w:rPr>
              <w:t>53.41</w:t>
            </w:r>
          </w:p>
        </w:tc>
        <w:tc>
          <w:tcPr>
            <w:tcW w:w="955" w:type="dxa"/>
            <w:vAlign w:val="top"/>
          </w:tcPr>
          <w:p>
            <w:pPr>
              <w:pStyle w:val="TableText"/>
              <w:ind w:left="208"/>
              <w:spacing w:before="55" w:line="195" w:lineRule="auto"/>
              <w:rPr/>
            </w:pPr>
            <w:r>
              <w:rPr/>
              <w:t>100.00</w:t>
            </w:r>
          </w:p>
          <w:p>
            <w:pPr>
              <w:pStyle w:val="TableText"/>
              <w:ind w:left="395"/>
              <w:spacing w:before="53" w:line="193" w:lineRule="auto"/>
              <w:rPr/>
            </w:pPr>
            <w:r>
              <w:rPr/>
              <w:t>%</w:t>
            </w:r>
          </w:p>
        </w:tc>
        <w:tc>
          <w:tcPr>
            <w:tcW w:w="1149" w:type="dxa"/>
            <w:vAlign w:val="top"/>
          </w:tcPr>
          <w:p>
            <w:pPr>
              <w:pStyle w:val="TableText"/>
              <w:ind w:left="395"/>
              <w:spacing w:before="175" w:line="195" w:lineRule="auto"/>
              <w:rPr/>
            </w:pPr>
            <w:r>
              <w:rPr>
                <w:spacing w:val="2"/>
              </w:rPr>
              <w:t>0.00</w:t>
            </w:r>
          </w:p>
        </w:tc>
        <w:tc>
          <w:tcPr>
            <w:tcW w:w="1154" w:type="dxa"/>
            <w:vAlign w:val="top"/>
          </w:tcPr>
          <w:p>
            <w:pPr>
              <w:pStyle w:val="TableText"/>
              <w:ind w:left="398"/>
              <w:spacing w:before="175" w:line="195" w:lineRule="auto"/>
              <w:rPr/>
            </w:pPr>
            <w:r>
              <w:rPr>
                <w:spacing w:val="2"/>
              </w:rPr>
              <w:t>0.00</w:t>
            </w:r>
          </w:p>
        </w:tc>
      </w:tr>
    </w:tbl>
    <w:p>
      <w:pPr>
        <w:pStyle w:val="BodyText"/>
        <w:spacing w:line="267" w:lineRule="auto"/>
        <w:rPr/>
      </w:pPr>
      <w:r/>
    </w:p>
    <w:p>
      <w:pPr>
        <w:pStyle w:val="BodyText"/>
        <w:spacing w:line="268" w:lineRule="auto"/>
        <w:rPr/>
      </w:pPr>
      <w:r/>
    </w:p>
    <w:p>
      <w:pPr>
        <w:ind w:left="114"/>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3.3.1.8 </w:t>
      </w:r>
      <w:r>
        <w:rPr>
          <w:rFonts w:ascii="SimHei" w:hAnsi="SimHei" w:eastAsia="SimHei" w:cs="SimHei"/>
          <w:sz w:val="24"/>
          <w:szCs w:val="24"/>
          <w:b/>
          <w:bCs/>
          <w:spacing w:val="-2"/>
        </w:rPr>
        <w:t>野生动物影响回顾</w:t>
      </w:r>
    </w:p>
    <w:p>
      <w:pPr>
        <w:ind w:left="122" w:right="115" w:firstLine="476"/>
        <w:spacing w:before="160" w:line="339" w:lineRule="auto"/>
        <w:rPr>
          <w:rFonts w:ascii="SimSun" w:hAnsi="SimSun" w:eastAsia="SimSun" w:cs="SimSun"/>
          <w:sz w:val="24"/>
          <w:szCs w:val="24"/>
        </w:rPr>
      </w:pPr>
      <w:r>
        <w:rPr>
          <w:rFonts w:ascii="SimSun" w:hAnsi="SimSun" w:eastAsia="SimSun" w:cs="SimSun"/>
          <w:sz w:val="24"/>
          <w:szCs w:val="24"/>
          <w:spacing w:val="-2"/>
        </w:rPr>
        <w:t>评价区地处中温带，野生动物的地理分布在动物地理区划中属古北界、蒙新区、东</w:t>
      </w:r>
      <w:r>
        <w:rPr>
          <w:rFonts w:ascii="SimSun" w:hAnsi="SimSun" w:eastAsia="SimSun" w:cs="SimSun"/>
          <w:sz w:val="24"/>
          <w:szCs w:val="24"/>
          <w:spacing w:val="-1"/>
        </w:rPr>
        <w:t>部草原亚区、东部内蒙古干草原省。</w:t>
      </w:r>
    </w:p>
    <w:p>
      <w:pPr>
        <w:ind w:left="119" w:right="29"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根据现场调查、分析结合现场观察和访问，区域内常见的哺乳动物有蒙古兔、蒙古</w:t>
      </w:r>
      <w:r>
        <w:rPr>
          <w:rFonts w:ascii="SimSun" w:hAnsi="SimSun" w:eastAsia="SimSun" w:cs="SimSun"/>
          <w:sz w:val="24"/>
          <w:szCs w:val="24"/>
          <w:spacing w:val="-6"/>
        </w:rPr>
        <w:t>鼠兔、草原黄鼠、仓鼠、花鼠等；爬行动物有草原沙蜥、蝮蛇等。两栖动物有中华蟾蜍、</w:t>
      </w:r>
      <w:r>
        <w:rPr>
          <w:rFonts w:ascii="SimSun" w:hAnsi="SimSun" w:eastAsia="SimSun" w:cs="SimSun"/>
          <w:sz w:val="24"/>
          <w:szCs w:val="24"/>
          <w:spacing w:val="-2"/>
        </w:rPr>
        <w:t>青蛙等；鸟类主要有沙鸡、鹌鹑、野鸭等，这些动物均为广布种，对照《国家重点保护</w:t>
      </w:r>
      <w:r>
        <w:rPr>
          <w:rFonts w:ascii="SimSun" w:hAnsi="SimSun" w:eastAsia="SimSun" w:cs="SimSun"/>
          <w:sz w:val="24"/>
          <w:szCs w:val="24"/>
          <w:spacing w:val="-2"/>
        </w:rPr>
        <w:t>野生动物名录》及《内蒙古自治区重点保护陆生野生动物名录》，未发现名录中涉及的</w:t>
      </w:r>
      <w:r>
        <w:rPr>
          <w:rFonts w:ascii="SimSun" w:hAnsi="SimSun" w:eastAsia="SimSun" w:cs="SimSun"/>
          <w:sz w:val="24"/>
          <w:szCs w:val="24"/>
          <w:spacing w:val="-2"/>
        </w:rPr>
        <w:t>保护动物。</w:t>
      </w:r>
    </w:p>
    <w:p>
      <w:pPr>
        <w:ind w:left="124" w:right="110" w:firstLine="488"/>
        <w:spacing w:before="1" w:line="340" w:lineRule="auto"/>
        <w:jc w:val="both"/>
        <w:rPr>
          <w:rFonts w:ascii="SimSun" w:hAnsi="SimSun" w:eastAsia="SimSun" w:cs="SimSun"/>
          <w:sz w:val="24"/>
          <w:szCs w:val="24"/>
        </w:rPr>
      </w:pPr>
      <w:r>
        <w:rPr>
          <w:rFonts w:ascii="SimSun" w:hAnsi="SimSun" w:eastAsia="SimSun" w:cs="SimSun"/>
          <w:sz w:val="24"/>
          <w:szCs w:val="24"/>
          <w:spacing w:val="5"/>
        </w:rPr>
        <w:t>随着排土场生态整治措施实施以及植被覆盖度逐步提高，排土场植被</w:t>
      </w:r>
      <w:r>
        <w:rPr>
          <w:rFonts w:ascii="SimSun" w:hAnsi="SimSun" w:eastAsia="SimSun" w:cs="SimSun"/>
          <w:sz w:val="24"/>
          <w:szCs w:val="24"/>
          <w:spacing w:val="4"/>
        </w:rPr>
        <w:t>种类逐步增</w:t>
      </w:r>
      <w:r>
        <w:rPr>
          <w:rFonts w:ascii="SimSun" w:hAnsi="SimSun" w:eastAsia="SimSun" w:cs="SimSun"/>
          <w:sz w:val="24"/>
          <w:szCs w:val="24"/>
          <w:spacing w:val="-2"/>
        </w:rPr>
        <w:t>多，尤其是在东一排土场和东二排土场，吸引着一些野生动物前来栖息，较为常见的是</w:t>
      </w:r>
      <w:r>
        <w:rPr>
          <w:rFonts w:ascii="SimSun" w:hAnsi="SimSun" w:eastAsia="SimSun" w:cs="SimSun"/>
          <w:sz w:val="24"/>
          <w:szCs w:val="24"/>
          <w:spacing w:val="-5"/>
        </w:rPr>
        <w:t>鸟类。</w:t>
      </w:r>
    </w:p>
    <w:p>
      <w:pPr>
        <w:ind w:left="136"/>
        <w:spacing w:before="8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3.3.2</w:t>
      </w:r>
      <w:r>
        <w:rPr>
          <w:rFonts w:ascii="SimHei" w:hAnsi="SimHei" w:eastAsia="SimHei" w:cs="SimHei"/>
          <w:sz w:val="28"/>
          <w:szCs w:val="28"/>
          <w:b/>
          <w:bCs/>
          <w:spacing w:val="-2"/>
        </w:rPr>
        <w:t>大气环境影响回顾性评价</w:t>
      </w:r>
    </w:p>
    <w:p>
      <w:pPr>
        <w:ind w:left="114"/>
        <w:spacing w:before="202"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3.3.2.1 </w:t>
      </w:r>
      <w:r>
        <w:rPr>
          <w:rFonts w:ascii="SimHei" w:hAnsi="SimHei" w:eastAsia="SimHei" w:cs="SimHei"/>
          <w:sz w:val="24"/>
          <w:szCs w:val="24"/>
          <w:b/>
          <w:bCs/>
          <w:spacing w:val="-2"/>
        </w:rPr>
        <w:t>污染源及污染防治措施情况</w:t>
      </w:r>
    </w:p>
    <w:p>
      <w:pPr>
        <w:ind w:left="122" w:right="29" w:firstLine="511"/>
        <w:spacing w:before="156" w:line="334" w:lineRule="auto"/>
        <w:jc w:val="both"/>
        <w:rPr>
          <w:rFonts w:ascii="SimSun" w:hAnsi="SimSun" w:eastAsia="SimSun" w:cs="SimSun"/>
          <w:sz w:val="24"/>
          <w:szCs w:val="24"/>
        </w:rPr>
      </w:pPr>
      <w:r>
        <w:rPr>
          <w:rFonts w:ascii="SimSun" w:hAnsi="SimSun" w:eastAsia="SimSun" w:cs="SimSun"/>
          <w:sz w:val="24"/>
          <w:szCs w:val="24"/>
          <w:spacing w:val="-7"/>
        </w:rPr>
        <w:t>白音华四号露天矿（露天区）运营期主要大气污染源为采掘场及排土场生产性扬尘、</w:t>
      </w:r>
      <w:r>
        <w:rPr>
          <w:rFonts w:ascii="SimSun" w:hAnsi="SimSun" w:eastAsia="SimSun" w:cs="SimSun"/>
          <w:sz w:val="24"/>
          <w:szCs w:val="24"/>
          <w:spacing w:val="-2"/>
        </w:rPr>
        <w:t>原煤运输产生的扬尘。采掘场内设置洒水车，利用处理后的矿井（坑）水对采掘场进行</w:t>
      </w:r>
      <w:r>
        <w:rPr>
          <w:rFonts w:ascii="SimSun" w:hAnsi="SimSun" w:eastAsia="SimSun" w:cs="SimSun"/>
          <w:sz w:val="24"/>
          <w:szCs w:val="24"/>
          <w:spacing w:val="-2"/>
        </w:rPr>
        <w:t>洒水降尘。目前露天区两座外排土场已进行固土防风，进行了生态恢复。排土场内设置</w:t>
      </w:r>
      <w:r>
        <w:rPr>
          <w:rFonts w:ascii="SimSun" w:hAnsi="SimSun" w:eastAsia="SimSun" w:cs="SimSun"/>
          <w:sz w:val="24"/>
          <w:szCs w:val="24"/>
          <w:spacing w:val="-2"/>
        </w:rPr>
        <w:t>洒水车，利用处理后的矿井（坑）水对采掘场进行洒水降尘。坑下采煤系统破碎站采取</w:t>
      </w:r>
      <w:r>
        <w:rPr>
          <w:rFonts w:ascii="SimSun" w:hAnsi="SimSun" w:eastAsia="SimSun" w:cs="SimSun"/>
          <w:sz w:val="24"/>
          <w:szCs w:val="24"/>
          <w:spacing w:val="-1"/>
        </w:rPr>
        <w:t>喷雾抑尘、设置带式输送系统、转载点设置除尘器。</w:t>
      </w:r>
    </w:p>
    <w:p>
      <w:pPr>
        <w:spacing w:line="334" w:lineRule="auto"/>
        <w:sectPr>
          <w:footerReference w:type="default" r:id="rId150"/>
          <w:pgSz w:w="11906" w:h="16838"/>
          <w:pgMar w:top="1170" w:right="1304" w:bottom="1078" w:left="1305" w:header="837" w:footer="915" w:gutter="0"/>
        </w:sectPr>
        <w:rPr>
          <w:rFonts w:ascii="SimSun" w:hAnsi="SimSun" w:eastAsia="SimSun" w:cs="SimSun"/>
          <w:sz w:val="24"/>
          <w:szCs w:val="24"/>
        </w:rPr>
      </w:pPr>
    </w:p>
    <w:p>
      <w:pPr>
        <w:pStyle w:val="BodyText"/>
        <w:spacing w:line="311" w:lineRule="auto"/>
        <w:rPr/>
      </w:pPr>
      <w:r/>
    </w:p>
    <w:p>
      <w:pPr>
        <w:ind w:left="598"/>
        <w:spacing w:before="78" w:line="219" w:lineRule="auto"/>
        <w:rPr>
          <w:rFonts w:ascii="SimSun" w:hAnsi="SimSun" w:eastAsia="SimSun" w:cs="SimSun"/>
          <w:sz w:val="24"/>
          <w:szCs w:val="24"/>
        </w:rPr>
      </w:pPr>
      <w:r>
        <w:rPr>
          <w:rFonts w:ascii="SimSun" w:hAnsi="SimSun" w:eastAsia="SimSun" w:cs="SimSun"/>
          <w:sz w:val="24"/>
          <w:szCs w:val="24"/>
          <w:spacing w:val="-1"/>
        </w:rPr>
        <w:t>矿井现有污染源大气污染防治措施如下：</w:t>
      </w:r>
    </w:p>
    <w:p>
      <w:pPr>
        <w:spacing w:line="137"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644"/>
        <w:gridCol w:w="4646"/>
      </w:tblGrid>
      <w:tr>
        <w:trPr>
          <w:trHeight w:val="2847" w:hRule="atLeast"/>
        </w:trPr>
        <w:tc>
          <w:tcPr>
            <w:tcW w:w="4644" w:type="dxa"/>
            <w:vAlign w:val="top"/>
          </w:tcPr>
          <w:p>
            <w:pPr>
              <w:ind w:firstLine="506"/>
              <w:spacing w:before="2" w:line="2834" w:lineRule="exact"/>
              <w:rPr/>
            </w:pPr>
            <w:r>
              <w:rPr>
                <w:position w:val="-56"/>
              </w:rPr>
              <w:drawing>
                <wp:inline distT="0" distB="0" distL="0" distR="0">
                  <wp:extent cx="2400300" cy="1799843"/>
                  <wp:effectExtent l="0" t="0" r="0" b="0"/>
                  <wp:docPr id="120" name="IM 120"/>
                  <wp:cNvGraphicFramePr/>
                  <a:graphic>
                    <a:graphicData uri="http://schemas.openxmlformats.org/drawingml/2006/picture">
                      <pic:pic>
                        <pic:nvPicPr>
                          <pic:cNvPr id="120" name="IM 120"/>
                          <pic:cNvPicPr/>
                        </pic:nvPicPr>
                        <pic:blipFill>
                          <a:blip r:embed="rId152"/>
                          <a:stretch>
                            <a:fillRect/>
                          </a:stretch>
                        </pic:blipFill>
                        <pic:spPr>
                          <a:xfrm rot="0">
                            <a:off x="0" y="0"/>
                            <a:ext cx="2400300" cy="1799843"/>
                          </a:xfrm>
                          <a:prstGeom prst="rect">
                            <a:avLst/>
                          </a:prstGeom>
                        </pic:spPr>
                      </pic:pic>
                    </a:graphicData>
                  </a:graphic>
                </wp:inline>
              </w:drawing>
            </w:r>
          </w:p>
        </w:tc>
        <w:tc>
          <w:tcPr>
            <w:tcW w:w="4646" w:type="dxa"/>
            <w:vAlign w:val="top"/>
          </w:tcPr>
          <w:p>
            <w:pPr>
              <w:ind w:firstLine="419"/>
              <w:spacing w:before="2" w:line="2834" w:lineRule="exact"/>
              <w:rPr/>
            </w:pPr>
            <w:r>
              <w:rPr>
                <w:position w:val="-56"/>
              </w:rPr>
              <w:drawing>
                <wp:inline distT="0" distB="0" distL="0" distR="0">
                  <wp:extent cx="2400300" cy="1799843"/>
                  <wp:effectExtent l="0" t="0" r="0" b="0"/>
                  <wp:docPr id="122" name="IM 122"/>
                  <wp:cNvGraphicFramePr/>
                  <a:graphic>
                    <a:graphicData uri="http://schemas.openxmlformats.org/drawingml/2006/picture">
                      <pic:pic>
                        <pic:nvPicPr>
                          <pic:cNvPr id="122" name="IM 122"/>
                          <pic:cNvPicPr/>
                        </pic:nvPicPr>
                        <pic:blipFill>
                          <a:blip r:embed="rId153"/>
                          <a:stretch>
                            <a:fillRect/>
                          </a:stretch>
                        </pic:blipFill>
                        <pic:spPr>
                          <a:xfrm rot="0">
                            <a:off x="0" y="0"/>
                            <a:ext cx="2400300" cy="1799843"/>
                          </a:xfrm>
                          <a:prstGeom prst="rect">
                            <a:avLst/>
                          </a:prstGeom>
                        </pic:spPr>
                      </pic:pic>
                    </a:graphicData>
                  </a:graphic>
                </wp:inline>
              </w:drawing>
            </w:r>
          </w:p>
        </w:tc>
      </w:tr>
      <w:tr>
        <w:trPr>
          <w:trHeight w:val="316" w:hRule="atLeast"/>
        </w:trPr>
        <w:tc>
          <w:tcPr>
            <w:tcW w:w="4644" w:type="dxa"/>
            <w:vAlign w:val="top"/>
          </w:tcPr>
          <w:p>
            <w:pPr>
              <w:ind w:left="1368"/>
              <w:spacing w:before="35" w:line="208" w:lineRule="auto"/>
              <w:rPr>
                <w:rFonts w:ascii="SimSun" w:hAnsi="SimSun" w:eastAsia="SimSun" w:cs="SimSun"/>
                <w:sz w:val="24"/>
                <w:szCs w:val="24"/>
              </w:rPr>
            </w:pPr>
            <w:r>
              <w:rPr>
                <w:rFonts w:ascii="SimSun" w:hAnsi="SimSun" w:eastAsia="SimSun" w:cs="SimSun"/>
                <w:sz w:val="24"/>
                <w:szCs w:val="24"/>
                <w:spacing w:val="-2"/>
              </w:rPr>
              <w:t>转载点布袋除尘器</w:t>
            </w:r>
          </w:p>
        </w:tc>
        <w:tc>
          <w:tcPr>
            <w:tcW w:w="4646" w:type="dxa"/>
            <w:vAlign w:val="top"/>
          </w:tcPr>
          <w:p>
            <w:pPr>
              <w:ind w:left="1486"/>
              <w:spacing w:before="35" w:line="208" w:lineRule="auto"/>
              <w:rPr>
                <w:rFonts w:ascii="SimSun" w:hAnsi="SimSun" w:eastAsia="SimSun" w:cs="SimSun"/>
                <w:sz w:val="24"/>
                <w:szCs w:val="24"/>
              </w:rPr>
            </w:pPr>
            <w:r>
              <w:rPr>
                <w:rFonts w:ascii="SimSun" w:hAnsi="SimSun" w:eastAsia="SimSun" w:cs="SimSun"/>
                <w:sz w:val="24"/>
                <w:szCs w:val="24"/>
                <w:spacing w:val="-2"/>
              </w:rPr>
              <w:t>采掘场洒水降尘</w:t>
            </w:r>
          </w:p>
        </w:tc>
      </w:tr>
      <w:tr>
        <w:trPr>
          <w:trHeight w:val="2842" w:hRule="atLeast"/>
        </w:trPr>
        <w:tc>
          <w:tcPr>
            <w:tcW w:w="4644" w:type="dxa"/>
            <w:vAlign w:val="top"/>
          </w:tcPr>
          <w:p>
            <w:pPr>
              <w:ind w:firstLine="506"/>
              <w:spacing w:before="2" w:line="2830" w:lineRule="exact"/>
              <w:rPr/>
            </w:pPr>
            <w:r>
              <w:rPr>
                <w:position w:val="-56"/>
              </w:rPr>
              <w:drawing>
                <wp:inline distT="0" distB="0" distL="0" distR="0">
                  <wp:extent cx="2400300" cy="1797049"/>
                  <wp:effectExtent l="0" t="0" r="0" b="0"/>
                  <wp:docPr id="124" name="IM 124"/>
                  <wp:cNvGraphicFramePr/>
                  <a:graphic>
                    <a:graphicData uri="http://schemas.openxmlformats.org/drawingml/2006/picture">
                      <pic:pic>
                        <pic:nvPicPr>
                          <pic:cNvPr id="124" name="IM 124"/>
                          <pic:cNvPicPr/>
                        </pic:nvPicPr>
                        <pic:blipFill>
                          <a:blip r:embed="rId154"/>
                          <a:stretch>
                            <a:fillRect/>
                          </a:stretch>
                        </pic:blipFill>
                        <pic:spPr>
                          <a:xfrm rot="0">
                            <a:off x="0" y="0"/>
                            <a:ext cx="2400300" cy="1797049"/>
                          </a:xfrm>
                          <a:prstGeom prst="rect">
                            <a:avLst/>
                          </a:prstGeom>
                        </pic:spPr>
                      </pic:pic>
                    </a:graphicData>
                  </a:graphic>
                </wp:inline>
              </w:drawing>
            </w:r>
          </w:p>
        </w:tc>
        <w:tc>
          <w:tcPr>
            <w:tcW w:w="4646" w:type="dxa"/>
            <w:vAlign w:val="top"/>
          </w:tcPr>
          <w:p>
            <w:pPr>
              <w:ind w:firstLine="503"/>
              <w:spacing w:before="2" w:line="2830" w:lineRule="exact"/>
              <w:rPr/>
            </w:pPr>
            <w:r>
              <w:rPr>
                <w:position w:val="-56"/>
              </w:rPr>
              <w:drawing>
                <wp:inline distT="0" distB="0" distL="0" distR="0">
                  <wp:extent cx="2400300" cy="1797049"/>
                  <wp:effectExtent l="0" t="0" r="0" b="0"/>
                  <wp:docPr id="126" name="IM 126"/>
                  <wp:cNvGraphicFramePr/>
                  <a:graphic>
                    <a:graphicData uri="http://schemas.openxmlformats.org/drawingml/2006/picture">
                      <pic:pic>
                        <pic:nvPicPr>
                          <pic:cNvPr id="126" name="IM 126"/>
                          <pic:cNvPicPr/>
                        </pic:nvPicPr>
                        <pic:blipFill>
                          <a:blip r:embed="rId155"/>
                          <a:stretch>
                            <a:fillRect/>
                          </a:stretch>
                        </pic:blipFill>
                        <pic:spPr>
                          <a:xfrm rot="0">
                            <a:off x="0" y="0"/>
                            <a:ext cx="2400300" cy="1797049"/>
                          </a:xfrm>
                          <a:prstGeom prst="rect">
                            <a:avLst/>
                          </a:prstGeom>
                        </pic:spPr>
                      </pic:pic>
                    </a:graphicData>
                  </a:graphic>
                </wp:inline>
              </w:drawing>
            </w:r>
          </w:p>
        </w:tc>
      </w:tr>
      <w:tr>
        <w:trPr>
          <w:trHeight w:val="446" w:hRule="atLeast"/>
        </w:trPr>
        <w:tc>
          <w:tcPr>
            <w:tcW w:w="4644" w:type="dxa"/>
            <w:vAlign w:val="top"/>
          </w:tcPr>
          <w:p>
            <w:pPr>
              <w:ind w:left="1396"/>
              <w:spacing w:before="150" w:line="219" w:lineRule="auto"/>
              <w:rPr>
                <w:rFonts w:ascii="SimSun" w:hAnsi="SimSun" w:eastAsia="SimSun" w:cs="SimSun"/>
                <w:sz w:val="24"/>
                <w:szCs w:val="24"/>
              </w:rPr>
            </w:pPr>
            <w:r>
              <w:rPr>
                <w:rFonts w:ascii="SimSun" w:hAnsi="SimSun" w:eastAsia="SimSun" w:cs="SimSun"/>
                <w:sz w:val="24"/>
                <w:szCs w:val="24"/>
                <w:spacing w:val="-5"/>
              </w:rPr>
              <w:t>内排土场洒水降尘</w:t>
            </w:r>
          </w:p>
        </w:tc>
        <w:tc>
          <w:tcPr>
            <w:tcW w:w="4646" w:type="dxa"/>
            <w:vAlign w:val="top"/>
          </w:tcPr>
          <w:p>
            <w:pPr>
              <w:ind w:left="1486"/>
              <w:spacing w:before="149" w:line="219" w:lineRule="auto"/>
              <w:rPr>
                <w:rFonts w:ascii="SimSun" w:hAnsi="SimSun" w:eastAsia="SimSun" w:cs="SimSun"/>
                <w:sz w:val="24"/>
                <w:szCs w:val="24"/>
              </w:rPr>
            </w:pPr>
            <w:r>
              <w:rPr>
                <w:rFonts w:ascii="SimSun" w:hAnsi="SimSun" w:eastAsia="SimSun" w:cs="SimSun"/>
                <w:sz w:val="24"/>
                <w:szCs w:val="24"/>
                <w:spacing w:val="-2"/>
              </w:rPr>
              <w:t>封闭式输煤栈桥</w:t>
            </w:r>
          </w:p>
        </w:tc>
      </w:tr>
      <w:tr>
        <w:trPr>
          <w:trHeight w:val="2842" w:hRule="atLeast"/>
        </w:trPr>
        <w:tc>
          <w:tcPr>
            <w:tcW w:w="4644" w:type="dxa"/>
            <w:vAlign w:val="top"/>
          </w:tcPr>
          <w:p>
            <w:pPr>
              <w:ind w:firstLine="419"/>
              <w:spacing w:before="4" w:line="2828" w:lineRule="exact"/>
              <w:rPr/>
            </w:pPr>
            <w:r>
              <w:rPr>
                <w:position w:val="-56"/>
              </w:rPr>
              <w:drawing>
                <wp:inline distT="0" distB="0" distL="0" distR="0">
                  <wp:extent cx="2400300" cy="1795779"/>
                  <wp:effectExtent l="0" t="0" r="0" b="0"/>
                  <wp:docPr id="128" name="IM 128"/>
                  <wp:cNvGraphicFramePr/>
                  <a:graphic>
                    <a:graphicData uri="http://schemas.openxmlformats.org/drawingml/2006/picture">
                      <pic:pic>
                        <pic:nvPicPr>
                          <pic:cNvPr id="128" name="IM 128"/>
                          <pic:cNvPicPr/>
                        </pic:nvPicPr>
                        <pic:blipFill>
                          <a:blip r:embed="rId156"/>
                          <a:stretch>
                            <a:fillRect/>
                          </a:stretch>
                        </pic:blipFill>
                        <pic:spPr>
                          <a:xfrm rot="0">
                            <a:off x="0" y="0"/>
                            <a:ext cx="2400300" cy="1795779"/>
                          </a:xfrm>
                          <a:prstGeom prst="rect">
                            <a:avLst/>
                          </a:prstGeom>
                        </pic:spPr>
                      </pic:pic>
                    </a:graphicData>
                  </a:graphic>
                </wp:inline>
              </w:drawing>
            </w:r>
          </w:p>
        </w:tc>
        <w:tc>
          <w:tcPr>
            <w:tcW w:w="4646" w:type="dxa"/>
            <w:vAlign w:val="top"/>
          </w:tcPr>
          <w:p>
            <w:pPr>
              <w:ind w:firstLine="503"/>
              <w:spacing w:before="4" w:line="2828" w:lineRule="exact"/>
              <w:rPr/>
            </w:pPr>
            <w:r>
              <w:rPr>
                <w:position w:val="-56"/>
              </w:rPr>
              <w:drawing>
                <wp:inline distT="0" distB="0" distL="0" distR="0">
                  <wp:extent cx="2400300" cy="1795779"/>
                  <wp:effectExtent l="0" t="0" r="0" b="0"/>
                  <wp:docPr id="130" name="IM 130"/>
                  <wp:cNvGraphicFramePr/>
                  <a:graphic>
                    <a:graphicData uri="http://schemas.openxmlformats.org/drawingml/2006/picture">
                      <pic:pic>
                        <pic:nvPicPr>
                          <pic:cNvPr id="130" name="IM 130"/>
                          <pic:cNvPicPr/>
                        </pic:nvPicPr>
                        <pic:blipFill>
                          <a:blip r:embed="rId157"/>
                          <a:stretch>
                            <a:fillRect/>
                          </a:stretch>
                        </pic:blipFill>
                        <pic:spPr>
                          <a:xfrm rot="0">
                            <a:off x="0" y="0"/>
                            <a:ext cx="2400300" cy="1795779"/>
                          </a:xfrm>
                          <a:prstGeom prst="rect">
                            <a:avLst/>
                          </a:prstGeom>
                        </pic:spPr>
                      </pic:pic>
                    </a:graphicData>
                  </a:graphic>
                </wp:inline>
              </w:drawing>
            </w:r>
          </w:p>
        </w:tc>
      </w:tr>
      <w:tr>
        <w:trPr>
          <w:trHeight w:val="451" w:hRule="atLeast"/>
        </w:trPr>
        <w:tc>
          <w:tcPr>
            <w:tcW w:w="4644" w:type="dxa"/>
            <w:vAlign w:val="top"/>
          </w:tcPr>
          <w:p>
            <w:pPr>
              <w:ind w:left="1606"/>
              <w:spacing w:before="151" w:line="219" w:lineRule="auto"/>
              <w:rPr>
                <w:rFonts w:ascii="SimSun" w:hAnsi="SimSun" w:eastAsia="SimSun" w:cs="SimSun"/>
                <w:sz w:val="24"/>
                <w:szCs w:val="24"/>
              </w:rPr>
            </w:pPr>
            <w:r>
              <w:rPr>
                <w:rFonts w:ascii="SimSun" w:hAnsi="SimSun" w:eastAsia="SimSun" w:cs="SimSun"/>
                <w:sz w:val="24"/>
                <w:szCs w:val="24"/>
                <w:spacing w:val="-2"/>
              </w:rPr>
              <w:t>封闭式储煤场</w:t>
            </w:r>
          </w:p>
        </w:tc>
        <w:tc>
          <w:tcPr>
            <w:tcW w:w="4646" w:type="dxa"/>
            <w:vAlign w:val="top"/>
          </w:tcPr>
          <w:p>
            <w:pPr>
              <w:ind w:left="1247"/>
              <w:spacing w:before="152" w:line="219" w:lineRule="auto"/>
              <w:rPr>
                <w:rFonts w:ascii="SimSun" w:hAnsi="SimSun" w:eastAsia="SimSun" w:cs="SimSun"/>
                <w:sz w:val="24"/>
                <w:szCs w:val="24"/>
              </w:rPr>
            </w:pPr>
            <w:r>
              <w:rPr>
                <w:rFonts w:ascii="SimSun" w:hAnsi="SimSun" w:eastAsia="SimSun" w:cs="SimSun"/>
                <w:sz w:val="24"/>
                <w:szCs w:val="24"/>
                <w:spacing w:val="-2"/>
              </w:rPr>
              <w:t>排土场生态恢复现状</w:t>
            </w:r>
          </w:p>
        </w:tc>
      </w:tr>
    </w:tbl>
    <w:p>
      <w:pPr>
        <w:pStyle w:val="BodyText"/>
        <w:spacing w:line="267" w:lineRule="auto"/>
        <w:rPr/>
      </w:pPr>
      <w:r/>
    </w:p>
    <w:p>
      <w:pPr>
        <w:pStyle w:val="BodyText"/>
        <w:spacing w:line="268" w:lineRule="auto"/>
        <w:rPr/>
      </w:pPr>
      <w:r/>
    </w:p>
    <w:p>
      <w:pPr>
        <w:ind w:left="114"/>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3.3.2.2 </w:t>
      </w:r>
      <w:r>
        <w:rPr>
          <w:rFonts w:ascii="SimHei" w:hAnsi="SimHei" w:eastAsia="SimHei" w:cs="SimHei"/>
          <w:sz w:val="24"/>
          <w:szCs w:val="24"/>
          <w:b/>
          <w:bCs/>
          <w:spacing w:val="-2"/>
        </w:rPr>
        <w:t>大气污染源达标排放情况</w:t>
      </w:r>
    </w:p>
    <w:p>
      <w:pPr>
        <w:ind w:left="125" w:right="115" w:firstLine="509"/>
        <w:spacing w:before="160" w:line="340" w:lineRule="auto"/>
        <w:rPr>
          <w:rFonts w:ascii="SimSun" w:hAnsi="SimSun" w:eastAsia="SimSun" w:cs="SimSun"/>
          <w:sz w:val="24"/>
          <w:szCs w:val="24"/>
        </w:rPr>
      </w:pPr>
      <w:r>
        <w:rPr>
          <w:rFonts w:ascii="SimSun" w:hAnsi="SimSun" w:eastAsia="SimSun" w:cs="SimSun"/>
          <w:sz w:val="24"/>
          <w:szCs w:val="24"/>
          <w:spacing w:val="2"/>
        </w:rPr>
        <w:t>白音华四号矿委托内蒙古谱和技术服务有限公司</w:t>
      </w:r>
      <w:r>
        <w:rPr>
          <w:rFonts w:ascii="SimSun" w:hAnsi="SimSun" w:eastAsia="SimSun" w:cs="SimSun"/>
          <w:sz w:val="24"/>
          <w:szCs w:val="24"/>
          <w:spacing w:val="1"/>
        </w:rPr>
        <w:t>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1"/>
        </w:rPr>
        <w:t>月、</w:t>
      </w:r>
      <w:r>
        <w:rPr>
          <w:rFonts w:ascii="Times New Roman" w:hAnsi="Times New Roman" w:eastAsia="Times New Roman" w:cs="Times New Roman"/>
          <w:sz w:val="24"/>
          <w:szCs w:val="24"/>
          <w:spacing w:val="1"/>
        </w:rPr>
        <w:t>6</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1"/>
        </w:rPr>
        <w:t>月、</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1"/>
        </w:rPr>
        <w:t>月、</w:t>
      </w:r>
      <w:r>
        <w:rPr>
          <w:rFonts w:ascii="Times New Roman" w:hAnsi="Times New Roman" w:eastAsia="Times New Roman" w:cs="Times New Roman"/>
          <w:sz w:val="24"/>
          <w:szCs w:val="24"/>
          <w:spacing w:val="1"/>
        </w:rPr>
        <w:t>11</w:t>
      </w:r>
      <w:r>
        <w:rPr>
          <w:rFonts w:ascii="SimSun" w:hAnsi="SimSun" w:eastAsia="SimSun" w:cs="SimSun"/>
          <w:sz w:val="24"/>
          <w:szCs w:val="24"/>
          <w:spacing w:val="-1"/>
        </w:rPr>
        <w:t>月对工业场地上、下风向开展环境空气质量例行监测。相关监测数据见表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3-3-6</w:t>
      </w:r>
      <w:r>
        <w:rPr>
          <w:rFonts w:ascii="SimSun" w:hAnsi="SimSun" w:eastAsia="SimSun" w:cs="SimSun"/>
          <w:sz w:val="24"/>
          <w:szCs w:val="24"/>
          <w:spacing w:val="-1"/>
        </w:rPr>
        <w:t>。</w:t>
      </w:r>
    </w:p>
    <w:p>
      <w:pPr>
        <w:ind w:left="2040"/>
        <w:spacing w:before="124" w:line="222" w:lineRule="auto"/>
        <w:rPr>
          <w:rFonts w:ascii="SimHei" w:hAnsi="SimHei" w:eastAsia="SimHei" w:cs="SimHei"/>
          <w:sz w:val="24"/>
          <w:szCs w:val="24"/>
        </w:rPr>
      </w:pPr>
      <w:r>
        <w:rPr>
          <w:rFonts w:ascii="Times New Roman" w:hAnsi="Times New Roman" w:eastAsia="Times New Roman" w:cs="Times New Roman"/>
          <w:sz w:val="24"/>
          <w:szCs w:val="24"/>
        </w:rPr>
        <w:t>2024 </w:t>
      </w:r>
      <w:r>
        <w:rPr>
          <w:rFonts w:ascii="SimHei" w:hAnsi="SimHei" w:eastAsia="SimHei" w:cs="SimHei"/>
          <w:sz w:val="24"/>
          <w:szCs w:val="24"/>
        </w:rPr>
        <w:t>年白音华四号露天矿无组织排放</w:t>
      </w:r>
      <w:r>
        <w:rPr>
          <w:rFonts w:ascii="SimHei" w:hAnsi="SimHei" w:eastAsia="SimHei" w:cs="SimHei"/>
          <w:sz w:val="24"/>
          <w:szCs w:val="24"/>
          <w:spacing w:val="-1"/>
        </w:rPr>
        <w:t>例行监测数据表</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3-3-6</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95"/>
        <w:gridCol w:w="1662"/>
        <w:gridCol w:w="1044"/>
        <w:gridCol w:w="1161"/>
        <w:gridCol w:w="1758"/>
        <w:gridCol w:w="3070"/>
      </w:tblGrid>
      <w:tr>
        <w:trPr>
          <w:trHeight w:val="551" w:hRule="atLeast"/>
        </w:trPr>
        <w:tc>
          <w:tcPr>
            <w:tcW w:w="595" w:type="dxa"/>
            <w:vAlign w:val="top"/>
            <w:textDirection w:val="tbRlV"/>
          </w:tcPr>
          <w:p>
            <w:pPr>
              <w:ind w:left="33"/>
              <w:spacing w:before="193" w:line="218" w:lineRule="auto"/>
              <w:rPr>
                <w:rFonts w:ascii="SimSun" w:hAnsi="SimSun" w:eastAsia="SimSun" w:cs="SimSun"/>
                <w:sz w:val="20"/>
                <w:szCs w:val="20"/>
              </w:rPr>
            </w:pPr>
            <w:r>
              <w:rPr>
                <w:rFonts w:ascii="SimSun" w:hAnsi="SimSun" w:eastAsia="SimSun" w:cs="SimSun"/>
                <w:sz w:val="20"/>
                <w:szCs w:val="20"/>
                <w:spacing w:val="8"/>
              </w:rPr>
              <w:t>序</w:t>
            </w:r>
            <w:r>
              <w:rPr>
                <w:rFonts w:ascii="SimSun" w:hAnsi="SimSun" w:eastAsia="SimSun" w:cs="SimSun"/>
                <w:sz w:val="20"/>
                <w:szCs w:val="20"/>
                <w:spacing w:val="-38"/>
              </w:rPr>
              <w:t xml:space="preserve"> </w:t>
            </w:r>
            <w:r>
              <w:rPr>
                <w:rFonts w:ascii="SimSun" w:hAnsi="SimSun" w:eastAsia="SimSun" w:cs="SimSun"/>
                <w:sz w:val="20"/>
                <w:szCs w:val="20"/>
                <w:spacing w:val="8"/>
              </w:rPr>
              <w:t>号</w:t>
            </w:r>
          </w:p>
        </w:tc>
        <w:tc>
          <w:tcPr>
            <w:tcW w:w="1662" w:type="dxa"/>
            <w:vAlign w:val="top"/>
          </w:tcPr>
          <w:p>
            <w:pPr>
              <w:ind w:left="416"/>
              <w:spacing w:before="34" w:line="228" w:lineRule="auto"/>
              <w:rPr>
                <w:rFonts w:ascii="SimSun" w:hAnsi="SimSun" w:eastAsia="SimSun" w:cs="SimSun"/>
                <w:sz w:val="20"/>
                <w:szCs w:val="20"/>
              </w:rPr>
            </w:pPr>
            <w:r>
              <w:rPr>
                <w:rFonts w:ascii="SimSun" w:hAnsi="SimSun" w:eastAsia="SimSun" w:cs="SimSun"/>
                <w:sz w:val="20"/>
                <w:szCs w:val="20"/>
                <w:spacing w:val="7"/>
              </w:rPr>
              <w:t>监测点位</w:t>
            </w:r>
          </w:p>
        </w:tc>
        <w:tc>
          <w:tcPr>
            <w:tcW w:w="1044" w:type="dxa"/>
            <w:vAlign w:val="top"/>
          </w:tcPr>
          <w:p>
            <w:pPr>
              <w:ind w:left="461" w:right="209" w:hanging="252"/>
              <w:spacing w:before="33" w:line="234" w:lineRule="auto"/>
              <w:rPr>
                <w:rFonts w:ascii="SimSun" w:hAnsi="SimSun" w:eastAsia="SimSun" w:cs="SimSun"/>
                <w:sz w:val="20"/>
                <w:szCs w:val="20"/>
              </w:rPr>
            </w:pPr>
            <w:r>
              <w:rPr>
                <w:rFonts w:ascii="SimSun" w:hAnsi="SimSun" w:eastAsia="SimSun" w:cs="SimSun"/>
                <w:sz w:val="20"/>
                <w:szCs w:val="20"/>
                <w:spacing w:val="6"/>
              </w:rPr>
              <w:t>监测项</w:t>
            </w:r>
            <w:r>
              <w:rPr>
                <w:rFonts w:ascii="SimSun" w:hAnsi="SimSun" w:eastAsia="SimSun" w:cs="SimSun"/>
                <w:sz w:val="20"/>
                <w:szCs w:val="20"/>
              </w:rPr>
              <w:t>目</w:t>
            </w:r>
          </w:p>
        </w:tc>
        <w:tc>
          <w:tcPr>
            <w:tcW w:w="1161" w:type="dxa"/>
            <w:vAlign w:val="top"/>
          </w:tcPr>
          <w:p>
            <w:pPr>
              <w:ind w:left="163"/>
              <w:spacing w:before="33" w:line="229" w:lineRule="auto"/>
              <w:rPr>
                <w:rFonts w:ascii="SimSun" w:hAnsi="SimSun" w:eastAsia="SimSun" w:cs="SimSun"/>
                <w:sz w:val="20"/>
                <w:szCs w:val="20"/>
              </w:rPr>
            </w:pPr>
            <w:r>
              <w:rPr>
                <w:rFonts w:ascii="SimSun" w:hAnsi="SimSun" w:eastAsia="SimSun" w:cs="SimSun"/>
                <w:sz w:val="20"/>
                <w:szCs w:val="20"/>
                <w:spacing w:val="7"/>
              </w:rPr>
              <w:t>监测时间</w:t>
            </w:r>
          </w:p>
        </w:tc>
        <w:tc>
          <w:tcPr>
            <w:tcW w:w="1758" w:type="dxa"/>
            <w:vAlign w:val="top"/>
          </w:tcPr>
          <w:p>
            <w:pPr>
              <w:pStyle w:val="TableText"/>
              <w:ind w:left="404" w:right="408" w:firstLine="57"/>
              <w:spacing w:before="33" w:line="234" w:lineRule="auto"/>
              <w:rPr>
                <w:rFonts w:ascii="SimSun" w:hAnsi="SimSun" w:eastAsia="SimSun" w:cs="SimSun"/>
              </w:rPr>
            </w:pPr>
            <w:r>
              <w:rPr>
                <w:rFonts w:ascii="SimSun" w:hAnsi="SimSun" w:eastAsia="SimSun" w:cs="SimSun"/>
                <w:spacing w:val="7"/>
              </w:rPr>
              <w:t>监测结果</w:t>
            </w:r>
            <w:r>
              <w:rPr>
                <w:rFonts w:ascii="SimSun" w:hAnsi="SimSun" w:eastAsia="SimSun" w:cs="SimSun"/>
                <w:spacing w:val="1"/>
              </w:rPr>
              <w:t>（</w:t>
            </w:r>
            <w:r>
              <w:rPr/>
              <w:t>mg</w:t>
            </w:r>
            <w:r>
              <w:rPr>
                <w:spacing w:val="1"/>
              </w:rPr>
              <w:t>/m</w:t>
            </w:r>
            <w:r>
              <w:rPr>
                <w:sz w:val="13"/>
                <w:szCs w:val="13"/>
                <w:spacing w:val="1"/>
                <w:position w:val="6"/>
              </w:rPr>
              <w:t>3</w:t>
            </w:r>
            <w:r>
              <w:rPr>
                <w:rFonts w:ascii="SimSun" w:hAnsi="SimSun" w:eastAsia="SimSun" w:cs="SimSun"/>
                <w:spacing w:val="1"/>
              </w:rPr>
              <w:t>）</w:t>
            </w:r>
          </w:p>
        </w:tc>
        <w:tc>
          <w:tcPr>
            <w:tcW w:w="3070" w:type="dxa"/>
            <w:vAlign w:val="top"/>
          </w:tcPr>
          <w:p>
            <w:pPr>
              <w:pStyle w:val="TableText"/>
              <w:ind w:left="210" w:right="109" w:hanging="93"/>
              <w:spacing w:before="33" w:line="234" w:lineRule="auto"/>
              <w:rPr>
                <w:rFonts w:ascii="SimSun" w:hAnsi="SimSun" w:eastAsia="SimSun" w:cs="SimSun"/>
              </w:rPr>
            </w:pPr>
            <w:r>
              <w:rPr>
                <w:rFonts w:ascii="SimSun" w:hAnsi="SimSun" w:eastAsia="SimSun" w:cs="SimSun"/>
                <w:spacing w:val="2"/>
              </w:rPr>
              <w:t>《煤炭工业污染物排放标准》无</w:t>
            </w:r>
            <w:r>
              <w:rPr>
                <w:rFonts w:ascii="SimSun" w:hAnsi="SimSun" w:eastAsia="SimSun" w:cs="SimSun"/>
                <w:spacing w:val="8"/>
              </w:rPr>
              <w:t>组织排放限值要求（</w:t>
            </w:r>
            <w:r>
              <w:rPr/>
              <w:t>mg</w:t>
            </w:r>
            <w:r>
              <w:rPr>
                <w:spacing w:val="8"/>
              </w:rPr>
              <w:t>/m</w:t>
            </w:r>
            <w:r>
              <w:rPr>
                <w:sz w:val="13"/>
                <w:szCs w:val="13"/>
                <w:spacing w:val="8"/>
                <w:position w:val="6"/>
              </w:rPr>
              <w:t>3</w:t>
            </w:r>
            <w:r>
              <w:rPr>
                <w:rFonts w:ascii="SimSun" w:hAnsi="SimSun" w:eastAsia="SimSun" w:cs="SimSun"/>
                <w:spacing w:val="8"/>
              </w:rPr>
              <w:t>）</w:t>
            </w:r>
          </w:p>
        </w:tc>
      </w:tr>
      <w:tr>
        <w:trPr>
          <w:trHeight w:val="246" w:hRule="atLeast"/>
        </w:trPr>
        <w:tc>
          <w:tcPr>
            <w:tcW w:w="595" w:type="dxa"/>
            <w:vAlign w:val="top"/>
            <w:vMerge w:val="restart"/>
            <w:tcBorders>
              <w:bottom w:val="nil"/>
            </w:tcBorders>
          </w:tcPr>
          <w:p>
            <w:pPr>
              <w:pStyle w:val="TableText"/>
              <w:ind w:left="264"/>
              <w:spacing w:before="202" w:line="195" w:lineRule="auto"/>
              <w:rPr/>
            </w:pPr>
            <w:r>
              <w:rPr/>
              <w:t>1</w:t>
            </w:r>
          </w:p>
        </w:tc>
        <w:tc>
          <w:tcPr>
            <w:tcW w:w="1662" w:type="dxa"/>
            <w:vAlign w:val="top"/>
            <w:vMerge w:val="restart"/>
            <w:tcBorders>
              <w:bottom w:val="nil"/>
            </w:tcBorders>
          </w:tcPr>
          <w:p>
            <w:pPr>
              <w:ind w:left="749" w:right="204" w:hanging="544"/>
              <w:spacing w:before="32" w:line="234" w:lineRule="auto"/>
              <w:rPr>
                <w:rFonts w:ascii="SimSun" w:hAnsi="SimSun" w:eastAsia="SimSun" w:cs="SimSun"/>
                <w:sz w:val="20"/>
                <w:szCs w:val="20"/>
              </w:rPr>
            </w:pPr>
            <w:r>
              <w:rPr>
                <w:rFonts w:ascii="SimSun" w:hAnsi="SimSun" w:eastAsia="SimSun" w:cs="SimSun"/>
                <w:sz w:val="20"/>
                <w:szCs w:val="20"/>
                <w:spacing w:val="7"/>
              </w:rPr>
              <w:t>工业场地上风</w:t>
            </w:r>
            <w:r>
              <w:rPr>
                <w:rFonts w:ascii="SimSun" w:hAnsi="SimSun" w:eastAsia="SimSun" w:cs="SimSun"/>
                <w:sz w:val="20"/>
                <w:szCs w:val="20"/>
              </w:rPr>
              <w:t>向</w:t>
            </w:r>
          </w:p>
        </w:tc>
        <w:tc>
          <w:tcPr>
            <w:tcW w:w="1044" w:type="dxa"/>
            <w:vAlign w:val="top"/>
          </w:tcPr>
          <w:p>
            <w:pPr>
              <w:pStyle w:val="TableText"/>
              <w:ind w:left="341"/>
              <w:spacing w:before="53" w:line="190" w:lineRule="auto"/>
              <w:rPr/>
            </w:pPr>
            <w:r>
              <w:rPr>
                <w:spacing w:val="4"/>
              </w:rPr>
              <w:t>TSP</w:t>
            </w:r>
          </w:p>
        </w:tc>
        <w:tc>
          <w:tcPr>
            <w:tcW w:w="1161" w:type="dxa"/>
            <w:vAlign w:val="top"/>
            <w:vMerge w:val="restart"/>
            <w:tcBorders>
              <w:bottom w:val="nil"/>
            </w:tcBorders>
          </w:tcPr>
          <w:p>
            <w:pPr>
              <w:pStyle w:val="TableText"/>
              <w:ind w:left="214"/>
              <w:spacing w:before="202" w:line="195" w:lineRule="auto"/>
              <w:rPr/>
            </w:pPr>
            <w:r>
              <w:rPr>
                <w:spacing w:val="3"/>
              </w:rPr>
              <w:t>2024.2.2</w:t>
            </w:r>
          </w:p>
        </w:tc>
        <w:tc>
          <w:tcPr>
            <w:tcW w:w="1758" w:type="dxa"/>
            <w:vAlign w:val="top"/>
          </w:tcPr>
          <w:p>
            <w:pPr>
              <w:pStyle w:val="TableText"/>
              <w:ind w:left="352"/>
              <w:spacing w:before="53" w:line="190" w:lineRule="auto"/>
              <w:rPr/>
            </w:pPr>
            <w:r>
              <w:rPr>
                <w:spacing w:val="3"/>
              </w:rPr>
              <w:t>0.237~0.262</w:t>
            </w:r>
          </w:p>
        </w:tc>
        <w:tc>
          <w:tcPr>
            <w:tcW w:w="3070" w:type="dxa"/>
            <w:vAlign w:val="top"/>
          </w:tcPr>
          <w:p>
            <w:pPr>
              <w:pStyle w:val="TableText"/>
              <w:ind w:left="1421"/>
              <w:spacing w:before="53" w:line="190" w:lineRule="auto"/>
              <w:rPr/>
            </w:pPr>
            <w:r>
              <w:rPr>
                <w:spacing w:val="-4"/>
              </w:rPr>
              <w:t>1.0</w:t>
            </w:r>
          </w:p>
        </w:tc>
      </w:tr>
      <w:tr>
        <w:trPr>
          <w:trHeight w:val="298" w:hRule="atLeast"/>
        </w:trPr>
        <w:tc>
          <w:tcPr>
            <w:tcW w:w="595" w:type="dxa"/>
            <w:vAlign w:val="top"/>
            <w:vMerge w:val="continue"/>
            <w:tcBorders>
              <w:top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8" w:line="202" w:lineRule="auto"/>
              <w:rPr>
                <w:sz w:val="13"/>
                <w:szCs w:val="13"/>
              </w:rPr>
            </w:pPr>
            <w:r>
              <w:rPr/>
              <w:t>SO</w:t>
            </w:r>
            <w:r>
              <w:rPr>
                <w:sz w:val="13"/>
                <w:szCs w:val="13"/>
                <w:spacing w:val="5"/>
                <w:position w:val="-1"/>
              </w:rPr>
              <w:t>2</w:t>
            </w:r>
          </w:p>
        </w:tc>
        <w:tc>
          <w:tcPr>
            <w:tcW w:w="1161" w:type="dxa"/>
            <w:vAlign w:val="top"/>
            <w:vMerge w:val="continue"/>
            <w:tcBorders>
              <w:top w:val="nil"/>
            </w:tcBorders>
          </w:tcPr>
          <w:p>
            <w:pPr>
              <w:rPr>
                <w:rFonts w:ascii="Arial"/>
                <w:sz w:val="21"/>
              </w:rPr>
            </w:pPr>
            <w:r/>
          </w:p>
        </w:tc>
        <w:tc>
          <w:tcPr>
            <w:tcW w:w="1758" w:type="dxa"/>
            <w:vAlign w:val="top"/>
          </w:tcPr>
          <w:p>
            <w:pPr>
              <w:pStyle w:val="TableText"/>
              <w:ind w:left="569"/>
              <w:spacing w:before="31" w:line="237" w:lineRule="auto"/>
              <w:rPr/>
            </w:pPr>
            <w:r>
              <w:rPr>
                <w:rFonts w:ascii="SimSun" w:hAnsi="SimSun" w:eastAsia="SimSun" w:cs="SimSun"/>
                <w:spacing w:val="-1"/>
              </w:rPr>
              <w:t>≦</w:t>
            </w:r>
            <w:r>
              <w:rPr>
                <w:spacing w:val="-1"/>
              </w:rPr>
              <w:t>0.008</w:t>
            </w:r>
          </w:p>
        </w:tc>
        <w:tc>
          <w:tcPr>
            <w:tcW w:w="3070" w:type="dxa"/>
            <w:vAlign w:val="top"/>
          </w:tcPr>
          <w:p>
            <w:pPr>
              <w:pStyle w:val="TableText"/>
              <w:ind w:left="1404"/>
              <w:spacing w:before="52" w:line="195" w:lineRule="auto"/>
              <w:rPr/>
            </w:pPr>
            <w:r>
              <w:rPr>
                <w:spacing w:val="1"/>
              </w:rPr>
              <w:t>0.4</w:t>
            </w:r>
          </w:p>
        </w:tc>
      </w:tr>
    </w:tbl>
    <w:p>
      <w:pPr>
        <w:pStyle w:val="BodyText"/>
        <w:rPr/>
      </w:pPr>
      <w:r/>
    </w:p>
    <w:p>
      <w:pPr>
        <w:sectPr>
          <w:footerReference w:type="default" r:id="rId151"/>
          <w:pgSz w:w="11906" w:h="16838"/>
          <w:pgMar w:top="1170" w:right="1304" w:bottom="1078" w:left="1305" w:header="837" w:footer="915"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95"/>
        <w:gridCol w:w="1662"/>
        <w:gridCol w:w="1044"/>
        <w:gridCol w:w="1161"/>
        <w:gridCol w:w="1758"/>
        <w:gridCol w:w="3070"/>
      </w:tblGrid>
      <w:tr>
        <w:trPr>
          <w:trHeight w:val="252" w:hRule="atLeast"/>
        </w:trPr>
        <w:tc>
          <w:tcPr>
            <w:tcW w:w="595" w:type="dxa"/>
            <w:vAlign w:val="top"/>
            <w:vMerge w:val="restart"/>
            <w:tcBorders>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33" w:line="237" w:lineRule="auto"/>
              <w:rPr/>
            </w:pPr>
            <w:r>
              <w:rPr>
                <w:rFonts w:ascii="SimSun" w:hAnsi="SimSun" w:eastAsia="SimSun" w:cs="SimSun"/>
                <w:spacing w:val="7"/>
              </w:rPr>
              <w:t>工业场地下风</w:t>
            </w:r>
            <w:r>
              <w:rPr>
                <w:rFonts w:ascii="SimSun" w:hAnsi="SimSun" w:eastAsia="SimSun" w:cs="SimSun"/>
                <w:spacing w:val="-12"/>
              </w:rPr>
              <w:t>向</w:t>
            </w:r>
            <w:r>
              <w:rPr>
                <w:rFonts w:ascii="SimSun" w:hAnsi="SimSun" w:eastAsia="SimSun" w:cs="SimSun"/>
                <w:spacing w:val="-21"/>
              </w:rPr>
              <w:t xml:space="preserve"> </w:t>
            </w:r>
            <w:r>
              <w:rPr>
                <w:spacing w:val="-12"/>
              </w:rPr>
              <w:t>1#</w:t>
            </w:r>
          </w:p>
        </w:tc>
        <w:tc>
          <w:tcPr>
            <w:tcW w:w="1044" w:type="dxa"/>
            <w:vAlign w:val="top"/>
          </w:tcPr>
          <w:p>
            <w:pPr>
              <w:pStyle w:val="TableText"/>
              <w:ind w:left="341"/>
              <w:spacing w:before="55" w:line="195" w:lineRule="auto"/>
              <w:rPr/>
            </w:pPr>
            <w:r>
              <w:rPr>
                <w:spacing w:val="4"/>
              </w:rPr>
              <w:t>TSP</w:t>
            </w:r>
          </w:p>
        </w:tc>
        <w:tc>
          <w:tcPr>
            <w:tcW w:w="1161" w:type="dxa"/>
            <w:vAlign w:val="top"/>
            <w:vMerge w:val="restart"/>
            <w:tcBorders>
              <w:bottom w:val="nil"/>
            </w:tcBorders>
          </w:tcPr>
          <w:p>
            <w:pPr>
              <w:rPr>
                <w:rFonts w:ascii="Arial"/>
                <w:sz w:val="21"/>
              </w:rPr>
            </w:pPr>
            <w:r/>
          </w:p>
        </w:tc>
        <w:tc>
          <w:tcPr>
            <w:tcW w:w="1758" w:type="dxa"/>
            <w:vAlign w:val="top"/>
          </w:tcPr>
          <w:p>
            <w:pPr>
              <w:pStyle w:val="TableText"/>
              <w:ind w:left="352"/>
              <w:spacing w:before="56" w:line="194" w:lineRule="auto"/>
              <w:rPr/>
            </w:pPr>
            <w:r>
              <w:rPr>
                <w:spacing w:val="3"/>
              </w:rPr>
              <w:t>0.273~0.300</w:t>
            </w:r>
          </w:p>
        </w:tc>
        <w:tc>
          <w:tcPr>
            <w:tcW w:w="3070" w:type="dxa"/>
            <w:vAlign w:val="top"/>
          </w:tcPr>
          <w:p>
            <w:pPr>
              <w:pStyle w:val="TableText"/>
              <w:ind w:left="1421"/>
              <w:spacing w:before="56" w:line="194" w:lineRule="auto"/>
              <w:rPr/>
            </w:pPr>
            <w:r>
              <w:rPr>
                <w:spacing w:val="-4"/>
              </w:rPr>
              <w:t>1.0</w:t>
            </w:r>
          </w:p>
        </w:tc>
      </w:tr>
      <w:tr>
        <w:trPr>
          <w:trHeight w:val="300" w:hRule="atLeast"/>
        </w:trPr>
        <w:tc>
          <w:tcPr>
            <w:tcW w:w="595" w:type="dxa"/>
            <w:vAlign w:val="top"/>
            <w:vMerge w:val="continue"/>
            <w:tcBorders>
              <w:top w:val="nil"/>
              <w:bottom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4"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569"/>
              <w:spacing w:before="28" w:line="241" w:lineRule="auto"/>
              <w:rPr/>
            </w:pPr>
            <w:r>
              <w:rPr>
                <w:rFonts w:ascii="SimSun" w:hAnsi="SimSun" w:eastAsia="SimSun" w:cs="SimSun"/>
                <w:spacing w:val="-1"/>
              </w:rPr>
              <w:t>≦</w:t>
            </w:r>
            <w:r>
              <w:rPr>
                <w:spacing w:val="-1"/>
              </w:rPr>
              <w:t>0.013</w:t>
            </w:r>
          </w:p>
        </w:tc>
        <w:tc>
          <w:tcPr>
            <w:tcW w:w="3070" w:type="dxa"/>
            <w:vAlign w:val="top"/>
          </w:tcPr>
          <w:p>
            <w:pPr>
              <w:pStyle w:val="TableText"/>
              <w:ind w:left="1404"/>
              <w:spacing w:before="50" w:line="195" w:lineRule="auto"/>
              <w:rPr/>
            </w:pPr>
            <w:r>
              <w:rPr>
                <w:spacing w:val="1"/>
              </w:rPr>
              <w:t>0.4</w:t>
            </w:r>
          </w:p>
        </w:tc>
      </w:tr>
      <w:tr>
        <w:trPr>
          <w:trHeight w:val="244" w:hRule="atLeast"/>
        </w:trPr>
        <w:tc>
          <w:tcPr>
            <w:tcW w:w="595" w:type="dxa"/>
            <w:vAlign w:val="top"/>
            <w:vMerge w:val="continue"/>
            <w:tcBorders>
              <w:top w:val="nil"/>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26" w:line="235" w:lineRule="auto"/>
              <w:rPr/>
            </w:pPr>
            <w:r>
              <w:rPr>
                <w:rFonts w:ascii="SimSun" w:hAnsi="SimSun" w:eastAsia="SimSun" w:cs="SimSun"/>
                <w:spacing w:val="7"/>
              </w:rPr>
              <w:t>工业场地下风</w:t>
            </w:r>
            <w:r>
              <w:rPr>
                <w:rFonts w:ascii="SimSun" w:hAnsi="SimSun" w:eastAsia="SimSun" w:cs="SimSun"/>
                <w:spacing w:val="-5"/>
              </w:rPr>
              <w:t>向</w:t>
            </w:r>
            <w:r>
              <w:rPr>
                <w:rFonts w:ascii="SimSun" w:hAnsi="SimSun" w:eastAsia="SimSun" w:cs="SimSun"/>
                <w:spacing w:val="-41"/>
              </w:rPr>
              <w:t xml:space="preserve"> </w:t>
            </w:r>
            <w:r>
              <w:rPr>
                <w:spacing w:val="-5"/>
              </w:rPr>
              <w:t>2#</w:t>
            </w:r>
          </w:p>
        </w:tc>
        <w:tc>
          <w:tcPr>
            <w:tcW w:w="1044" w:type="dxa"/>
            <w:vAlign w:val="top"/>
          </w:tcPr>
          <w:p>
            <w:pPr>
              <w:pStyle w:val="TableText"/>
              <w:ind w:left="341"/>
              <w:spacing w:before="48" w:line="194"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48" w:line="194" w:lineRule="auto"/>
              <w:rPr/>
            </w:pPr>
            <w:r>
              <w:rPr>
                <w:spacing w:val="3"/>
              </w:rPr>
              <w:t>0.271~0.293</w:t>
            </w:r>
          </w:p>
        </w:tc>
        <w:tc>
          <w:tcPr>
            <w:tcW w:w="3070" w:type="dxa"/>
            <w:vAlign w:val="top"/>
          </w:tcPr>
          <w:p>
            <w:pPr>
              <w:pStyle w:val="TableText"/>
              <w:ind w:left="1421"/>
              <w:spacing w:before="48" w:line="194" w:lineRule="auto"/>
              <w:rPr/>
            </w:pPr>
            <w:r>
              <w:rPr>
                <w:spacing w:val="-4"/>
              </w:rPr>
              <w:t>1.0</w:t>
            </w:r>
          </w:p>
        </w:tc>
      </w:tr>
      <w:tr>
        <w:trPr>
          <w:trHeight w:val="297" w:hRule="atLeast"/>
        </w:trPr>
        <w:tc>
          <w:tcPr>
            <w:tcW w:w="595" w:type="dxa"/>
            <w:vAlign w:val="top"/>
            <w:vMerge w:val="continue"/>
            <w:tcBorders>
              <w:top w:val="nil"/>
              <w:bottom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4" w:line="205"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569"/>
              <w:spacing w:before="29" w:line="238" w:lineRule="auto"/>
              <w:rPr/>
            </w:pPr>
            <w:r>
              <w:rPr>
                <w:rFonts w:ascii="SimSun" w:hAnsi="SimSun" w:eastAsia="SimSun" w:cs="SimSun"/>
                <w:spacing w:val="-1"/>
              </w:rPr>
              <w:t>≦</w:t>
            </w:r>
            <w:r>
              <w:rPr>
                <w:spacing w:val="-1"/>
              </w:rPr>
              <w:t>0.015</w:t>
            </w:r>
          </w:p>
        </w:tc>
        <w:tc>
          <w:tcPr>
            <w:tcW w:w="3070" w:type="dxa"/>
            <w:vAlign w:val="top"/>
          </w:tcPr>
          <w:p>
            <w:pPr>
              <w:pStyle w:val="TableText"/>
              <w:ind w:left="1404"/>
              <w:spacing w:before="50" w:line="195" w:lineRule="auto"/>
              <w:rPr/>
            </w:pPr>
            <w:r>
              <w:rPr>
                <w:spacing w:val="1"/>
              </w:rPr>
              <w:t>0.4</w:t>
            </w:r>
          </w:p>
        </w:tc>
      </w:tr>
      <w:tr>
        <w:trPr>
          <w:trHeight w:val="247" w:hRule="atLeast"/>
        </w:trPr>
        <w:tc>
          <w:tcPr>
            <w:tcW w:w="595" w:type="dxa"/>
            <w:vAlign w:val="top"/>
            <w:vMerge w:val="continue"/>
            <w:tcBorders>
              <w:top w:val="nil"/>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32" w:line="235" w:lineRule="auto"/>
              <w:rPr/>
            </w:pPr>
            <w:r>
              <w:rPr>
                <w:rFonts w:ascii="SimSun" w:hAnsi="SimSun" w:eastAsia="SimSun" w:cs="SimSun"/>
                <w:spacing w:val="7"/>
              </w:rPr>
              <w:t>工业场地下风</w:t>
            </w:r>
            <w:r>
              <w:rPr>
                <w:rFonts w:ascii="SimSun" w:hAnsi="SimSun" w:eastAsia="SimSun" w:cs="SimSun"/>
                <w:spacing w:val="-7"/>
              </w:rPr>
              <w:t>向</w:t>
            </w:r>
            <w:r>
              <w:rPr>
                <w:rFonts w:ascii="SimSun" w:hAnsi="SimSun" w:eastAsia="SimSun" w:cs="SimSun"/>
                <w:spacing w:val="-36"/>
              </w:rPr>
              <w:t xml:space="preserve"> </w:t>
            </w:r>
            <w:r>
              <w:rPr>
                <w:spacing w:val="-7"/>
              </w:rPr>
              <w:t>3#</w:t>
            </w:r>
          </w:p>
        </w:tc>
        <w:tc>
          <w:tcPr>
            <w:tcW w:w="1044" w:type="dxa"/>
            <w:vAlign w:val="top"/>
          </w:tcPr>
          <w:p>
            <w:pPr>
              <w:pStyle w:val="TableText"/>
              <w:ind w:left="341"/>
              <w:spacing w:before="51" w:line="194"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1" w:line="194" w:lineRule="auto"/>
              <w:rPr/>
            </w:pPr>
            <w:r>
              <w:rPr>
                <w:spacing w:val="3"/>
              </w:rPr>
              <w:t>0.269~0.293</w:t>
            </w:r>
          </w:p>
        </w:tc>
        <w:tc>
          <w:tcPr>
            <w:tcW w:w="3070" w:type="dxa"/>
            <w:vAlign w:val="top"/>
          </w:tcPr>
          <w:p>
            <w:pPr>
              <w:pStyle w:val="TableText"/>
              <w:ind w:left="1421"/>
              <w:spacing w:before="51" w:line="194" w:lineRule="auto"/>
              <w:rPr/>
            </w:pPr>
            <w:r>
              <w:rPr>
                <w:spacing w:val="-4"/>
              </w:rPr>
              <w:t>1.0</w:t>
            </w:r>
          </w:p>
        </w:tc>
      </w:tr>
      <w:tr>
        <w:trPr>
          <w:trHeight w:val="300" w:hRule="atLeast"/>
        </w:trPr>
        <w:tc>
          <w:tcPr>
            <w:tcW w:w="595" w:type="dxa"/>
            <w:vAlign w:val="top"/>
            <w:vMerge w:val="continue"/>
            <w:tcBorders>
              <w:top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5" w:line="202" w:lineRule="auto"/>
              <w:rPr>
                <w:sz w:val="13"/>
                <w:szCs w:val="13"/>
              </w:rPr>
            </w:pPr>
            <w:r>
              <w:rPr/>
              <w:t>SO</w:t>
            </w:r>
            <w:r>
              <w:rPr>
                <w:sz w:val="13"/>
                <w:szCs w:val="13"/>
                <w:spacing w:val="5"/>
                <w:position w:val="-1"/>
              </w:rPr>
              <w:t>2</w:t>
            </w:r>
          </w:p>
        </w:tc>
        <w:tc>
          <w:tcPr>
            <w:tcW w:w="1161" w:type="dxa"/>
            <w:vAlign w:val="top"/>
            <w:vMerge w:val="continue"/>
            <w:tcBorders>
              <w:top w:val="nil"/>
            </w:tcBorders>
          </w:tcPr>
          <w:p>
            <w:pPr>
              <w:rPr>
                <w:rFonts w:ascii="Arial"/>
                <w:sz w:val="21"/>
              </w:rPr>
            </w:pPr>
            <w:r/>
          </w:p>
        </w:tc>
        <w:tc>
          <w:tcPr>
            <w:tcW w:w="1758" w:type="dxa"/>
            <w:vAlign w:val="top"/>
          </w:tcPr>
          <w:p>
            <w:pPr>
              <w:pStyle w:val="TableText"/>
              <w:ind w:left="569"/>
              <w:spacing w:before="30"/>
              <w:rPr/>
            </w:pPr>
            <w:r>
              <w:rPr>
                <w:rFonts w:ascii="SimSun" w:hAnsi="SimSun" w:eastAsia="SimSun" w:cs="SimSun"/>
                <w:spacing w:val="-1"/>
              </w:rPr>
              <w:t>≦</w:t>
            </w:r>
            <w:r>
              <w:rPr>
                <w:spacing w:val="-1"/>
              </w:rPr>
              <w:t>0.014</w:t>
            </w:r>
          </w:p>
        </w:tc>
        <w:tc>
          <w:tcPr>
            <w:tcW w:w="3070" w:type="dxa"/>
            <w:vAlign w:val="top"/>
          </w:tcPr>
          <w:p>
            <w:pPr>
              <w:pStyle w:val="TableText"/>
              <w:ind w:left="1404"/>
              <w:spacing w:before="51" w:line="195" w:lineRule="auto"/>
              <w:rPr/>
            </w:pPr>
            <w:r>
              <w:rPr>
                <w:spacing w:val="1"/>
              </w:rPr>
              <w:t>0.4</w:t>
            </w:r>
          </w:p>
        </w:tc>
      </w:tr>
      <w:tr>
        <w:trPr>
          <w:trHeight w:val="549" w:hRule="atLeast"/>
        </w:trPr>
        <w:tc>
          <w:tcPr>
            <w:tcW w:w="595"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pStyle w:val="TableText"/>
              <w:ind w:left="244"/>
              <w:spacing w:before="57" w:line="195" w:lineRule="auto"/>
              <w:rPr/>
            </w:pPr>
            <w:r>
              <w:rPr/>
              <w:t>2</w:t>
            </w:r>
          </w:p>
        </w:tc>
        <w:tc>
          <w:tcPr>
            <w:tcW w:w="1662" w:type="dxa"/>
            <w:vAlign w:val="top"/>
          </w:tcPr>
          <w:p>
            <w:pPr>
              <w:ind w:left="749" w:right="204" w:hanging="544"/>
              <w:spacing w:before="29" w:line="235" w:lineRule="auto"/>
              <w:rPr>
                <w:rFonts w:ascii="SimSun" w:hAnsi="SimSun" w:eastAsia="SimSun" w:cs="SimSun"/>
                <w:sz w:val="20"/>
                <w:szCs w:val="20"/>
              </w:rPr>
            </w:pPr>
            <w:r>
              <w:rPr>
                <w:rFonts w:ascii="SimSun" w:hAnsi="SimSun" w:eastAsia="SimSun" w:cs="SimSun"/>
                <w:sz w:val="20"/>
                <w:szCs w:val="20"/>
                <w:spacing w:val="7"/>
              </w:rPr>
              <w:t>工业场地上风</w:t>
            </w:r>
            <w:r>
              <w:rPr>
                <w:rFonts w:ascii="SimSun" w:hAnsi="SimSun" w:eastAsia="SimSun" w:cs="SimSun"/>
                <w:sz w:val="20"/>
                <w:szCs w:val="20"/>
              </w:rPr>
              <w:t>向</w:t>
            </w:r>
          </w:p>
        </w:tc>
        <w:tc>
          <w:tcPr>
            <w:tcW w:w="1044" w:type="dxa"/>
            <w:vAlign w:val="top"/>
          </w:tcPr>
          <w:p>
            <w:pPr>
              <w:pStyle w:val="TableText"/>
              <w:ind w:left="341"/>
              <w:spacing w:before="199" w:line="195" w:lineRule="auto"/>
              <w:rPr/>
            </w:pPr>
            <w:r>
              <w:rPr>
                <w:spacing w:val="4"/>
              </w:rPr>
              <w:t>TSP</w:t>
            </w:r>
          </w:p>
        </w:tc>
        <w:tc>
          <w:tcPr>
            <w:tcW w:w="1161"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pStyle w:val="TableText"/>
              <w:ind w:left="159"/>
              <w:spacing w:before="57" w:line="195" w:lineRule="auto"/>
              <w:rPr/>
            </w:pPr>
            <w:r>
              <w:rPr>
                <w:spacing w:val="4"/>
              </w:rPr>
              <w:t>2024.6.13</w:t>
            </w:r>
          </w:p>
        </w:tc>
        <w:tc>
          <w:tcPr>
            <w:tcW w:w="1758" w:type="dxa"/>
            <w:vAlign w:val="top"/>
          </w:tcPr>
          <w:p>
            <w:pPr>
              <w:pStyle w:val="TableText"/>
              <w:ind w:left="352"/>
              <w:spacing w:before="199" w:line="195" w:lineRule="auto"/>
              <w:rPr/>
            </w:pPr>
            <w:r>
              <w:rPr>
                <w:spacing w:val="3"/>
              </w:rPr>
              <w:t>0.374~0.388</w:t>
            </w:r>
          </w:p>
        </w:tc>
        <w:tc>
          <w:tcPr>
            <w:tcW w:w="3070" w:type="dxa"/>
            <w:vAlign w:val="top"/>
          </w:tcPr>
          <w:p>
            <w:pPr>
              <w:pStyle w:val="TableText"/>
              <w:ind w:left="1421"/>
              <w:spacing w:before="199" w:line="195" w:lineRule="auto"/>
              <w:rPr/>
            </w:pPr>
            <w:r>
              <w:rPr>
                <w:spacing w:val="-4"/>
              </w:rPr>
              <w:t>1.0</w:t>
            </w:r>
          </w:p>
        </w:tc>
      </w:tr>
      <w:tr>
        <w:trPr>
          <w:trHeight w:val="549" w:hRule="atLeast"/>
        </w:trPr>
        <w:tc>
          <w:tcPr>
            <w:tcW w:w="595" w:type="dxa"/>
            <w:vAlign w:val="top"/>
            <w:vMerge w:val="continue"/>
            <w:tcBorders>
              <w:top w:val="nil"/>
              <w:bottom w:val="nil"/>
            </w:tcBorders>
          </w:tcPr>
          <w:p>
            <w:pPr>
              <w:rPr>
                <w:rFonts w:ascii="Arial"/>
                <w:sz w:val="21"/>
              </w:rPr>
            </w:pPr>
            <w:r/>
          </w:p>
        </w:tc>
        <w:tc>
          <w:tcPr>
            <w:tcW w:w="1662" w:type="dxa"/>
            <w:vAlign w:val="top"/>
          </w:tcPr>
          <w:p>
            <w:pPr>
              <w:pStyle w:val="TableText"/>
              <w:ind w:left="617" w:right="204" w:hanging="412"/>
              <w:spacing w:before="29" w:line="235" w:lineRule="auto"/>
              <w:rPr/>
            </w:pPr>
            <w:r>
              <w:rPr>
                <w:rFonts w:ascii="SimSun" w:hAnsi="SimSun" w:eastAsia="SimSun" w:cs="SimSun"/>
                <w:spacing w:val="7"/>
              </w:rPr>
              <w:t>工业场地下风</w:t>
            </w:r>
            <w:r>
              <w:rPr>
                <w:rFonts w:ascii="SimSun" w:hAnsi="SimSun" w:eastAsia="SimSun" w:cs="SimSun"/>
                <w:spacing w:val="-12"/>
              </w:rPr>
              <w:t>向</w:t>
            </w:r>
            <w:r>
              <w:rPr>
                <w:rFonts w:ascii="SimSun" w:hAnsi="SimSun" w:eastAsia="SimSun" w:cs="SimSun"/>
                <w:spacing w:val="-21"/>
              </w:rPr>
              <w:t xml:space="preserve"> </w:t>
            </w:r>
            <w:r>
              <w:rPr>
                <w:spacing w:val="-12"/>
              </w:rPr>
              <w:t>1#</w:t>
            </w:r>
          </w:p>
        </w:tc>
        <w:tc>
          <w:tcPr>
            <w:tcW w:w="1044" w:type="dxa"/>
            <w:vAlign w:val="top"/>
          </w:tcPr>
          <w:p>
            <w:pPr>
              <w:pStyle w:val="TableText"/>
              <w:ind w:left="341"/>
              <w:spacing w:before="200" w:line="195"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200" w:line="195" w:lineRule="auto"/>
              <w:rPr/>
            </w:pPr>
            <w:r>
              <w:rPr>
                <w:spacing w:val="3"/>
              </w:rPr>
              <w:t>0.493~0.528</w:t>
            </w:r>
          </w:p>
        </w:tc>
        <w:tc>
          <w:tcPr>
            <w:tcW w:w="3070" w:type="dxa"/>
            <w:vAlign w:val="top"/>
          </w:tcPr>
          <w:p>
            <w:pPr>
              <w:pStyle w:val="TableText"/>
              <w:ind w:left="1421"/>
              <w:spacing w:before="200" w:line="195" w:lineRule="auto"/>
              <w:rPr/>
            </w:pPr>
            <w:r>
              <w:rPr>
                <w:spacing w:val="-4"/>
              </w:rPr>
              <w:t>1.0</w:t>
            </w:r>
          </w:p>
        </w:tc>
      </w:tr>
      <w:tr>
        <w:trPr>
          <w:trHeight w:val="549" w:hRule="atLeast"/>
        </w:trPr>
        <w:tc>
          <w:tcPr>
            <w:tcW w:w="595" w:type="dxa"/>
            <w:vAlign w:val="top"/>
            <w:vMerge w:val="continue"/>
            <w:tcBorders>
              <w:top w:val="nil"/>
              <w:bottom w:val="nil"/>
            </w:tcBorders>
          </w:tcPr>
          <w:p>
            <w:pPr>
              <w:rPr>
                <w:rFonts w:ascii="Arial"/>
                <w:sz w:val="21"/>
              </w:rPr>
            </w:pPr>
            <w:r/>
          </w:p>
        </w:tc>
        <w:tc>
          <w:tcPr>
            <w:tcW w:w="1662" w:type="dxa"/>
            <w:vAlign w:val="top"/>
          </w:tcPr>
          <w:p>
            <w:pPr>
              <w:pStyle w:val="TableText"/>
              <w:ind w:left="617" w:right="204" w:hanging="412"/>
              <w:spacing w:before="29" w:line="235" w:lineRule="auto"/>
              <w:rPr/>
            </w:pPr>
            <w:r>
              <w:rPr>
                <w:rFonts w:ascii="SimSun" w:hAnsi="SimSun" w:eastAsia="SimSun" w:cs="SimSun"/>
                <w:spacing w:val="7"/>
              </w:rPr>
              <w:t>工业场地下风</w:t>
            </w:r>
            <w:r>
              <w:rPr>
                <w:rFonts w:ascii="SimSun" w:hAnsi="SimSun" w:eastAsia="SimSun" w:cs="SimSun"/>
                <w:spacing w:val="-5"/>
              </w:rPr>
              <w:t>向</w:t>
            </w:r>
            <w:r>
              <w:rPr>
                <w:rFonts w:ascii="SimSun" w:hAnsi="SimSun" w:eastAsia="SimSun" w:cs="SimSun"/>
                <w:spacing w:val="-41"/>
              </w:rPr>
              <w:t xml:space="preserve"> </w:t>
            </w:r>
            <w:r>
              <w:rPr>
                <w:spacing w:val="-5"/>
              </w:rPr>
              <w:t>2#</w:t>
            </w:r>
          </w:p>
        </w:tc>
        <w:tc>
          <w:tcPr>
            <w:tcW w:w="1044" w:type="dxa"/>
            <w:vAlign w:val="top"/>
          </w:tcPr>
          <w:p>
            <w:pPr>
              <w:pStyle w:val="TableText"/>
              <w:ind w:left="341"/>
              <w:spacing w:before="202" w:line="195"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202" w:line="195" w:lineRule="auto"/>
              <w:rPr/>
            </w:pPr>
            <w:r>
              <w:rPr>
                <w:spacing w:val="3"/>
              </w:rPr>
              <w:t>0.488~0.513</w:t>
            </w:r>
          </w:p>
        </w:tc>
        <w:tc>
          <w:tcPr>
            <w:tcW w:w="3070" w:type="dxa"/>
            <w:vAlign w:val="top"/>
          </w:tcPr>
          <w:p>
            <w:pPr>
              <w:pStyle w:val="TableText"/>
              <w:ind w:left="1421"/>
              <w:spacing w:before="202" w:line="195" w:lineRule="auto"/>
              <w:rPr/>
            </w:pPr>
            <w:r>
              <w:rPr>
                <w:spacing w:val="-4"/>
              </w:rPr>
              <w:t>1.0</w:t>
            </w:r>
          </w:p>
        </w:tc>
      </w:tr>
      <w:tr>
        <w:trPr>
          <w:trHeight w:val="549" w:hRule="atLeast"/>
        </w:trPr>
        <w:tc>
          <w:tcPr>
            <w:tcW w:w="595" w:type="dxa"/>
            <w:vAlign w:val="top"/>
            <w:vMerge w:val="continue"/>
            <w:tcBorders>
              <w:top w:val="nil"/>
            </w:tcBorders>
          </w:tcPr>
          <w:p>
            <w:pPr>
              <w:rPr>
                <w:rFonts w:ascii="Arial"/>
                <w:sz w:val="21"/>
              </w:rPr>
            </w:pPr>
            <w:r/>
          </w:p>
        </w:tc>
        <w:tc>
          <w:tcPr>
            <w:tcW w:w="1662" w:type="dxa"/>
            <w:vAlign w:val="top"/>
          </w:tcPr>
          <w:p>
            <w:pPr>
              <w:pStyle w:val="TableText"/>
              <w:ind w:left="617" w:right="204" w:hanging="412"/>
              <w:spacing w:before="29" w:line="235" w:lineRule="auto"/>
              <w:rPr/>
            </w:pPr>
            <w:r>
              <w:rPr>
                <w:rFonts w:ascii="SimSun" w:hAnsi="SimSun" w:eastAsia="SimSun" w:cs="SimSun"/>
                <w:spacing w:val="7"/>
              </w:rPr>
              <w:t>工业场地下风</w:t>
            </w:r>
            <w:r>
              <w:rPr>
                <w:rFonts w:ascii="SimSun" w:hAnsi="SimSun" w:eastAsia="SimSun" w:cs="SimSun"/>
                <w:spacing w:val="-7"/>
              </w:rPr>
              <w:t>向</w:t>
            </w:r>
            <w:r>
              <w:rPr>
                <w:rFonts w:ascii="SimSun" w:hAnsi="SimSun" w:eastAsia="SimSun" w:cs="SimSun"/>
                <w:spacing w:val="-36"/>
              </w:rPr>
              <w:t xml:space="preserve"> </w:t>
            </w:r>
            <w:r>
              <w:rPr>
                <w:spacing w:val="-7"/>
              </w:rPr>
              <w:t>3#</w:t>
            </w:r>
          </w:p>
        </w:tc>
        <w:tc>
          <w:tcPr>
            <w:tcW w:w="1044" w:type="dxa"/>
            <w:vAlign w:val="top"/>
          </w:tcPr>
          <w:p>
            <w:pPr>
              <w:pStyle w:val="TableText"/>
              <w:ind w:left="341"/>
              <w:spacing w:before="203" w:line="195" w:lineRule="auto"/>
              <w:rPr/>
            </w:pPr>
            <w:r>
              <w:rPr>
                <w:spacing w:val="4"/>
              </w:rPr>
              <w:t>TSP</w:t>
            </w:r>
          </w:p>
        </w:tc>
        <w:tc>
          <w:tcPr>
            <w:tcW w:w="1161" w:type="dxa"/>
            <w:vAlign w:val="top"/>
            <w:vMerge w:val="continue"/>
            <w:tcBorders>
              <w:top w:val="nil"/>
            </w:tcBorders>
          </w:tcPr>
          <w:p>
            <w:pPr>
              <w:rPr>
                <w:rFonts w:ascii="Arial"/>
                <w:sz w:val="21"/>
              </w:rPr>
            </w:pPr>
            <w:r/>
          </w:p>
        </w:tc>
        <w:tc>
          <w:tcPr>
            <w:tcW w:w="1758" w:type="dxa"/>
            <w:vAlign w:val="top"/>
          </w:tcPr>
          <w:p>
            <w:pPr>
              <w:pStyle w:val="TableText"/>
              <w:ind w:left="352"/>
              <w:spacing w:before="203" w:line="195" w:lineRule="auto"/>
              <w:rPr/>
            </w:pPr>
            <w:r>
              <w:rPr>
                <w:spacing w:val="3"/>
              </w:rPr>
              <w:t>0.492~0.516</w:t>
            </w:r>
          </w:p>
        </w:tc>
        <w:tc>
          <w:tcPr>
            <w:tcW w:w="3070" w:type="dxa"/>
            <w:vAlign w:val="top"/>
          </w:tcPr>
          <w:p>
            <w:pPr>
              <w:pStyle w:val="TableText"/>
              <w:ind w:left="1421"/>
              <w:spacing w:before="203" w:line="195" w:lineRule="auto"/>
              <w:rPr/>
            </w:pPr>
            <w:r>
              <w:rPr>
                <w:spacing w:val="-4"/>
              </w:rPr>
              <w:t>1.0</w:t>
            </w:r>
          </w:p>
        </w:tc>
      </w:tr>
      <w:tr>
        <w:trPr>
          <w:trHeight w:val="549" w:hRule="atLeast"/>
        </w:trPr>
        <w:tc>
          <w:tcPr>
            <w:tcW w:w="595"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248"/>
              <w:spacing w:before="58" w:line="195" w:lineRule="auto"/>
              <w:rPr/>
            </w:pPr>
            <w:r>
              <w:rPr/>
              <w:t>3</w:t>
            </w:r>
          </w:p>
        </w:tc>
        <w:tc>
          <w:tcPr>
            <w:tcW w:w="1662" w:type="dxa"/>
            <w:vAlign w:val="top"/>
          </w:tcPr>
          <w:p>
            <w:pPr>
              <w:ind w:left="749" w:right="204" w:hanging="544"/>
              <w:spacing w:before="32" w:line="234" w:lineRule="auto"/>
              <w:rPr>
                <w:rFonts w:ascii="SimSun" w:hAnsi="SimSun" w:eastAsia="SimSun" w:cs="SimSun"/>
                <w:sz w:val="20"/>
                <w:szCs w:val="20"/>
              </w:rPr>
            </w:pPr>
            <w:r>
              <w:rPr>
                <w:rFonts w:ascii="SimSun" w:hAnsi="SimSun" w:eastAsia="SimSun" w:cs="SimSun"/>
                <w:sz w:val="20"/>
                <w:szCs w:val="20"/>
                <w:spacing w:val="7"/>
              </w:rPr>
              <w:t>工业场地上风</w:t>
            </w:r>
            <w:r>
              <w:rPr>
                <w:rFonts w:ascii="SimSun" w:hAnsi="SimSun" w:eastAsia="SimSun" w:cs="SimSun"/>
                <w:sz w:val="20"/>
                <w:szCs w:val="20"/>
              </w:rPr>
              <w:t>向</w:t>
            </w:r>
          </w:p>
        </w:tc>
        <w:tc>
          <w:tcPr>
            <w:tcW w:w="1044" w:type="dxa"/>
            <w:vAlign w:val="top"/>
          </w:tcPr>
          <w:p>
            <w:pPr>
              <w:pStyle w:val="TableText"/>
              <w:ind w:left="359"/>
              <w:spacing w:before="203" w:line="202" w:lineRule="auto"/>
              <w:rPr>
                <w:sz w:val="13"/>
                <w:szCs w:val="13"/>
              </w:rPr>
            </w:pPr>
            <w:r>
              <w:rPr/>
              <w:t>SO</w:t>
            </w:r>
            <w:r>
              <w:rPr>
                <w:sz w:val="13"/>
                <w:szCs w:val="13"/>
                <w:spacing w:val="5"/>
                <w:position w:val="-1"/>
              </w:rPr>
              <w:t>2</w:t>
            </w:r>
          </w:p>
        </w:tc>
        <w:tc>
          <w:tcPr>
            <w:tcW w:w="1161"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214"/>
              <w:spacing w:before="58" w:line="195" w:lineRule="auto"/>
              <w:rPr/>
            </w:pPr>
            <w:r>
              <w:rPr>
                <w:spacing w:val="3"/>
              </w:rPr>
              <w:t>2024.7.5</w:t>
            </w:r>
          </w:p>
        </w:tc>
        <w:tc>
          <w:tcPr>
            <w:tcW w:w="1758" w:type="dxa"/>
            <w:vAlign w:val="top"/>
          </w:tcPr>
          <w:p>
            <w:pPr>
              <w:pStyle w:val="TableText"/>
              <w:ind w:left="405"/>
              <w:spacing w:before="203" w:line="195" w:lineRule="auto"/>
              <w:rPr/>
            </w:pPr>
            <w:r>
              <w:rPr>
                <w:spacing w:val="4"/>
              </w:rPr>
              <w:t>0.008~0.01</w:t>
            </w:r>
          </w:p>
        </w:tc>
        <w:tc>
          <w:tcPr>
            <w:tcW w:w="3070" w:type="dxa"/>
            <w:vAlign w:val="top"/>
          </w:tcPr>
          <w:p>
            <w:pPr>
              <w:pStyle w:val="TableText"/>
              <w:ind w:left="1404"/>
              <w:spacing w:before="203" w:line="195" w:lineRule="auto"/>
              <w:rPr/>
            </w:pPr>
            <w:r>
              <w:rPr>
                <w:spacing w:val="1"/>
              </w:rPr>
              <w:t>0.4</w:t>
            </w:r>
          </w:p>
        </w:tc>
      </w:tr>
      <w:tr>
        <w:trPr>
          <w:trHeight w:val="549" w:hRule="atLeast"/>
        </w:trPr>
        <w:tc>
          <w:tcPr>
            <w:tcW w:w="595" w:type="dxa"/>
            <w:vAlign w:val="top"/>
            <w:vMerge w:val="continue"/>
            <w:tcBorders>
              <w:top w:val="nil"/>
              <w:bottom w:val="nil"/>
            </w:tcBorders>
          </w:tcPr>
          <w:p>
            <w:pPr>
              <w:rPr>
                <w:rFonts w:ascii="Arial"/>
                <w:sz w:val="21"/>
              </w:rPr>
            </w:pPr>
            <w:r/>
          </w:p>
        </w:tc>
        <w:tc>
          <w:tcPr>
            <w:tcW w:w="1662" w:type="dxa"/>
            <w:vAlign w:val="top"/>
          </w:tcPr>
          <w:p>
            <w:pPr>
              <w:pStyle w:val="TableText"/>
              <w:ind w:left="617" w:right="204" w:hanging="412"/>
              <w:spacing w:before="32" w:line="234" w:lineRule="auto"/>
              <w:rPr/>
            </w:pPr>
            <w:r>
              <w:rPr>
                <w:rFonts w:ascii="SimSun" w:hAnsi="SimSun" w:eastAsia="SimSun" w:cs="SimSun"/>
                <w:spacing w:val="7"/>
              </w:rPr>
              <w:t>工业场地下风</w:t>
            </w:r>
            <w:r>
              <w:rPr>
                <w:rFonts w:ascii="SimSun" w:hAnsi="SimSun" w:eastAsia="SimSun" w:cs="SimSun"/>
                <w:spacing w:val="-12"/>
              </w:rPr>
              <w:t>向</w:t>
            </w:r>
            <w:r>
              <w:rPr>
                <w:rFonts w:ascii="SimSun" w:hAnsi="SimSun" w:eastAsia="SimSun" w:cs="SimSun"/>
                <w:spacing w:val="-21"/>
              </w:rPr>
              <w:t xml:space="preserve"> </w:t>
            </w:r>
            <w:r>
              <w:rPr>
                <w:spacing w:val="-12"/>
              </w:rPr>
              <w:t>1#</w:t>
            </w:r>
          </w:p>
        </w:tc>
        <w:tc>
          <w:tcPr>
            <w:tcW w:w="1044" w:type="dxa"/>
            <w:vAlign w:val="top"/>
          </w:tcPr>
          <w:p>
            <w:pPr>
              <w:pStyle w:val="TableText"/>
              <w:ind w:left="359"/>
              <w:spacing w:before="204"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204" w:line="195" w:lineRule="auto"/>
              <w:rPr/>
            </w:pPr>
            <w:r>
              <w:rPr>
                <w:spacing w:val="3"/>
              </w:rPr>
              <w:t>0.011~0.013</w:t>
            </w:r>
          </w:p>
        </w:tc>
        <w:tc>
          <w:tcPr>
            <w:tcW w:w="3070" w:type="dxa"/>
            <w:vAlign w:val="top"/>
          </w:tcPr>
          <w:p>
            <w:pPr>
              <w:pStyle w:val="TableText"/>
              <w:ind w:left="1404"/>
              <w:spacing w:before="204" w:line="195" w:lineRule="auto"/>
              <w:rPr/>
            </w:pPr>
            <w:r>
              <w:rPr>
                <w:spacing w:val="1"/>
              </w:rPr>
              <w:t>0.4</w:t>
            </w:r>
          </w:p>
        </w:tc>
      </w:tr>
      <w:tr>
        <w:trPr>
          <w:trHeight w:val="551" w:hRule="atLeast"/>
        </w:trPr>
        <w:tc>
          <w:tcPr>
            <w:tcW w:w="595" w:type="dxa"/>
            <w:vAlign w:val="top"/>
            <w:vMerge w:val="continue"/>
            <w:tcBorders>
              <w:top w:val="nil"/>
              <w:bottom w:val="nil"/>
            </w:tcBorders>
          </w:tcPr>
          <w:p>
            <w:pPr>
              <w:rPr>
                <w:rFonts w:ascii="Arial"/>
                <w:sz w:val="21"/>
              </w:rPr>
            </w:pPr>
            <w:r/>
          </w:p>
        </w:tc>
        <w:tc>
          <w:tcPr>
            <w:tcW w:w="1662" w:type="dxa"/>
            <w:vAlign w:val="top"/>
          </w:tcPr>
          <w:p>
            <w:pPr>
              <w:pStyle w:val="TableText"/>
              <w:ind w:left="617" w:right="204" w:hanging="412"/>
              <w:spacing w:before="31" w:line="235" w:lineRule="auto"/>
              <w:rPr/>
            </w:pPr>
            <w:r>
              <w:rPr>
                <w:rFonts w:ascii="SimSun" w:hAnsi="SimSun" w:eastAsia="SimSun" w:cs="SimSun"/>
                <w:spacing w:val="7"/>
              </w:rPr>
              <w:t>工业场地下风</w:t>
            </w:r>
            <w:r>
              <w:rPr>
                <w:rFonts w:ascii="SimSun" w:hAnsi="SimSun" w:eastAsia="SimSun" w:cs="SimSun"/>
                <w:spacing w:val="-5"/>
              </w:rPr>
              <w:t>向</w:t>
            </w:r>
            <w:r>
              <w:rPr>
                <w:rFonts w:ascii="SimSun" w:hAnsi="SimSun" w:eastAsia="SimSun" w:cs="SimSun"/>
                <w:spacing w:val="-41"/>
              </w:rPr>
              <w:t xml:space="preserve"> </w:t>
            </w:r>
            <w:r>
              <w:rPr>
                <w:spacing w:val="-5"/>
              </w:rPr>
              <w:t>2#</w:t>
            </w:r>
          </w:p>
        </w:tc>
        <w:tc>
          <w:tcPr>
            <w:tcW w:w="1044" w:type="dxa"/>
            <w:vAlign w:val="top"/>
          </w:tcPr>
          <w:p>
            <w:pPr>
              <w:pStyle w:val="TableText"/>
              <w:ind w:left="359"/>
              <w:spacing w:before="204"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204" w:line="195" w:lineRule="auto"/>
              <w:rPr/>
            </w:pPr>
            <w:r>
              <w:rPr>
                <w:spacing w:val="3"/>
              </w:rPr>
              <w:t>0.012~0.014</w:t>
            </w:r>
          </w:p>
        </w:tc>
        <w:tc>
          <w:tcPr>
            <w:tcW w:w="3070" w:type="dxa"/>
            <w:vAlign w:val="top"/>
          </w:tcPr>
          <w:p>
            <w:pPr>
              <w:pStyle w:val="TableText"/>
              <w:ind w:left="1404"/>
              <w:spacing w:before="204" w:line="195" w:lineRule="auto"/>
              <w:rPr/>
            </w:pPr>
            <w:r>
              <w:rPr>
                <w:spacing w:val="1"/>
              </w:rPr>
              <w:t>0.4</w:t>
            </w:r>
          </w:p>
        </w:tc>
      </w:tr>
      <w:tr>
        <w:trPr>
          <w:trHeight w:val="549" w:hRule="atLeast"/>
        </w:trPr>
        <w:tc>
          <w:tcPr>
            <w:tcW w:w="595" w:type="dxa"/>
            <w:vAlign w:val="top"/>
            <w:vMerge w:val="continue"/>
            <w:tcBorders>
              <w:top w:val="nil"/>
            </w:tcBorders>
          </w:tcPr>
          <w:p>
            <w:pPr>
              <w:rPr>
                <w:rFonts w:ascii="Arial"/>
                <w:sz w:val="21"/>
              </w:rPr>
            </w:pPr>
            <w:r/>
          </w:p>
        </w:tc>
        <w:tc>
          <w:tcPr>
            <w:tcW w:w="1662" w:type="dxa"/>
            <w:vAlign w:val="top"/>
          </w:tcPr>
          <w:p>
            <w:pPr>
              <w:pStyle w:val="TableText"/>
              <w:ind w:left="617" w:right="204" w:hanging="412"/>
              <w:spacing w:before="29" w:line="235" w:lineRule="auto"/>
              <w:rPr/>
            </w:pPr>
            <w:r>
              <w:rPr>
                <w:rFonts w:ascii="SimSun" w:hAnsi="SimSun" w:eastAsia="SimSun" w:cs="SimSun"/>
                <w:spacing w:val="7"/>
              </w:rPr>
              <w:t>工业场地下风</w:t>
            </w:r>
            <w:r>
              <w:rPr>
                <w:rFonts w:ascii="SimSun" w:hAnsi="SimSun" w:eastAsia="SimSun" w:cs="SimSun"/>
                <w:spacing w:val="-7"/>
              </w:rPr>
              <w:t>向</w:t>
            </w:r>
            <w:r>
              <w:rPr>
                <w:rFonts w:ascii="SimSun" w:hAnsi="SimSun" w:eastAsia="SimSun" w:cs="SimSun"/>
                <w:spacing w:val="-36"/>
              </w:rPr>
              <w:t xml:space="preserve"> </w:t>
            </w:r>
            <w:r>
              <w:rPr>
                <w:spacing w:val="-7"/>
              </w:rPr>
              <w:t>3#</w:t>
            </w:r>
          </w:p>
        </w:tc>
        <w:tc>
          <w:tcPr>
            <w:tcW w:w="1044" w:type="dxa"/>
            <w:vAlign w:val="top"/>
          </w:tcPr>
          <w:p>
            <w:pPr>
              <w:pStyle w:val="TableText"/>
              <w:ind w:left="359"/>
              <w:spacing w:before="203" w:line="202" w:lineRule="auto"/>
              <w:rPr>
                <w:sz w:val="13"/>
                <w:szCs w:val="13"/>
              </w:rPr>
            </w:pPr>
            <w:r>
              <w:rPr/>
              <w:t>SO</w:t>
            </w:r>
            <w:r>
              <w:rPr>
                <w:sz w:val="13"/>
                <w:szCs w:val="13"/>
                <w:spacing w:val="5"/>
                <w:position w:val="-1"/>
              </w:rPr>
              <w:t>2</w:t>
            </w:r>
          </w:p>
        </w:tc>
        <w:tc>
          <w:tcPr>
            <w:tcW w:w="1161" w:type="dxa"/>
            <w:vAlign w:val="top"/>
            <w:vMerge w:val="continue"/>
            <w:tcBorders>
              <w:top w:val="nil"/>
            </w:tcBorders>
          </w:tcPr>
          <w:p>
            <w:pPr>
              <w:rPr>
                <w:rFonts w:ascii="Arial"/>
                <w:sz w:val="21"/>
              </w:rPr>
            </w:pPr>
            <w:r/>
          </w:p>
        </w:tc>
        <w:tc>
          <w:tcPr>
            <w:tcW w:w="1758" w:type="dxa"/>
            <w:vAlign w:val="top"/>
          </w:tcPr>
          <w:p>
            <w:pPr>
              <w:pStyle w:val="TableText"/>
              <w:ind w:left="352"/>
              <w:spacing w:before="202" w:line="195" w:lineRule="auto"/>
              <w:rPr/>
            </w:pPr>
            <w:r>
              <w:rPr>
                <w:spacing w:val="3"/>
              </w:rPr>
              <w:t>0.011~0.014</w:t>
            </w:r>
          </w:p>
        </w:tc>
        <w:tc>
          <w:tcPr>
            <w:tcW w:w="3070" w:type="dxa"/>
            <w:vAlign w:val="top"/>
          </w:tcPr>
          <w:p>
            <w:pPr>
              <w:pStyle w:val="TableText"/>
              <w:ind w:left="1404"/>
              <w:spacing w:before="202" w:line="195" w:lineRule="auto"/>
              <w:rPr/>
            </w:pPr>
            <w:r>
              <w:rPr>
                <w:spacing w:val="1"/>
              </w:rPr>
              <w:t>0.4</w:t>
            </w:r>
          </w:p>
        </w:tc>
      </w:tr>
      <w:tr>
        <w:trPr>
          <w:trHeight w:val="244" w:hRule="atLeast"/>
        </w:trPr>
        <w:tc>
          <w:tcPr>
            <w:tcW w:w="595"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243"/>
              <w:spacing w:before="58" w:line="195" w:lineRule="auto"/>
              <w:rPr/>
            </w:pPr>
            <w:r>
              <w:rPr>
                <w:spacing w:val="1"/>
              </w:rPr>
              <w:t>4</w:t>
            </w:r>
          </w:p>
        </w:tc>
        <w:tc>
          <w:tcPr>
            <w:tcW w:w="1662" w:type="dxa"/>
            <w:vAlign w:val="top"/>
            <w:vMerge w:val="restart"/>
            <w:tcBorders>
              <w:bottom w:val="nil"/>
            </w:tcBorders>
          </w:tcPr>
          <w:p>
            <w:pPr>
              <w:ind w:left="749" w:right="204" w:hanging="544"/>
              <w:spacing w:before="32" w:line="234" w:lineRule="auto"/>
              <w:rPr>
                <w:rFonts w:ascii="SimSun" w:hAnsi="SimSun" w:eastAsia="SimSun" w:cs="SimSun"/>
                <w:sz w:val="20"/>
                <w:szCs w:val="20"/>
              </w:rPr>
            </w:pPr>
            <w:r>
              <w:rPr>
                <w:rFonts w:ascii="SimSun" w:hAnsi="SimSun" w:eastAsia="SimSun" w:cs="SimSun"/>
                <w:sz w:val="20"/>
                <w:szCs w:val="20"/>
                <w:spacing w:val="7"/>
              </w:rPr>
              <w:t>工业场地上风</w:t>
            </w:r>
            <w:r>
              <w:rPr>
                <w:rFonts w:ascii="SimSun" w:hAnsi="SimSun" w:eastAsia="SimSun" w:cs="SimSun"/>
                <w:sz w:val="20"/>
                <w:szCs w:val="20"/>
              </w:rPr>
              <w:t>向</w:t>
            </w:r>
          </w:p>
        </w:tc>
        <w:tc>
          <w:tcPr>
            <w:tcW w:w="1044" w:type="dxa"/>
            <w:vAlign w:val="top"/>
          </w:tcPr>
          <w:p>
            <w:pPr>
              <w:pStyle w:val="TableText"/>
              <w:ind w:left="341"/>
              <w:spacing w:before="51" w:line="190" w:lineRule="auto"/>
              <w:rPr/>
            </w:pPr>
            <w:r>
              <w:rPr>
                <w:spacing w:val="4"/>
              </w:rPr>
              <w:t>TSP</w:t>
            </w:r>
          </w:p>
        </w:tc>
        <w:tc>
          <w:tcPr>
            <w:tcW w:w="1161"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106"/>
              <w:spacing w:before="58" w:line="195" w:lineRule="auto"/>
              <w:rPr/>
            </w:pPr>
            <w:r>
              <w:rPr>
                <w:spacing w:val="1"/>
              </w:rPr>
              <w:t>2024.</w:t>
            </w:r>
            <w:r>
              <w:rPr>
                <w:spacing w:val="-19"/>
              </w:rPr>
              <w:t xml:space="preserve"> </w:t>
            </w:r>
            <w:r>
              <w:rPr>
                <w:spacing w:val="1"/>
              </w:rPr>
              <w:t>11.13</w:t>
            </w:r>
          </w:p>
        </w:tc>
        <w:tc>
          <w:tcPr>
            <w:tcW w:w="1758" w:type="dxa"/>
            <w:vAlign w:val="top"/>
          </w:tcPr>
          <w:p>
            <w:pPr>
              <w:pStyle w:val="TableText"/>
              <w:ind w:left="352"/>
              <w:spacing w:before="52" w:line="189" w:lineRule="auto"/>
              <w:rPr/>
            </w:pPr>
            <w:r>
              <w:rPr>
                <w:spacing w:val="3"/>
              </w:rPr>
              <w:t>0.317~0.336</w:t>
            </w:r>
          </w:p>
        </w:tc>
        <w:tc>
          <w:tcPr>
            <w:tcW w:w="3070" w:type="dxa"/>
            <w:vAlign w:val="top"/>
          </w:tcPr>
          <w:p>
            <w:pPr>
              <w:pStyle w:val="TableText"/>
              <w:ind w:left="1421"/>
              <w:spacing w:before="52" w:line="189" w:lineRule="auto"/>
              <w:rPr/>
            </w:pPr>
            <w:r>
              <w:rPr>
                <w:spacing w:val="-4"/>
              </w:rPr>
              <w:t>1.0</w:t>
            </w:r>
          </w:p>
        </w:tc>
      </w:tr>
      <w:tr>
        <w:trPr>
          <w:trHeight w:val="300" w:hRule="atLeast"/>
        </w:trPr>
        <w:tc>
          <w:tcPr>
            <w:tcW w:w="595" w:type="dxa"/>
            <w:vAlign w:val="top"/>
            <w:vMerge w:val="continue"/>
            <w:tcBorders>
              <w:top w:val="nil"/>
              <w:bottom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81"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405"/>
              <w:spacing w:before="55" w:line="195" w:lineRule="auto"/>
              <w:rPr/>
            </w:pPr>
            <w:r>
              <w:rPr>
                <w:spacing w:val="4"/>
              </w:rPr>
              <w:t>0.008~0.01</w:t>
            </w:r>
          </w:p>
        </w:tc>
        <w:tc>
          <w:tcPr>
            <w:tcW w:w="3070" w:type="dxa"/>
            <w:vAlign w:val="top"/>
          </w:tcPr>
          <w:p>
            <w:pPr>
              <w:pStyle w:val="TableText"/>
              <w:ind w:left="1404"/>
              <w:spacing w:before="55" w:line="195" w:lineRule="auto"/>
              <w:rPr/>
            </w:pPr>
            <w:r>
              <w:rPr>
                <w:spacing w:val="1"/>
              </w:rPr>
              <w:t>0.4</w:t>
            </w:r>
          </w:p>
        </w:tc>
      </w:tr>
      <w:tr>
        <w:trPr>
          <w:trHeight w:val="247" w:hRule="atLeast"/>
        </w:trPr>
        <w:tc>
          <w:tcPr>
            <w:tcW w:w="595" w:type="dxa"/>
            <w:vAlign w:val="top"/>
            <w:vMerge w:val="continue"/>
            <w:tcBorders>
              <w:top w:val="nil"/>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34" w:line="233" w:lineRule="auto"/>
              <w:rPr/>
            </w:pPr>
            <w:r>
              <w:rPr>
                <w:rFonts w:ascii="SimSun" w:hAnsi="SimSun" w:eastAsia="SimSun" w:cs="SimSun"/>
                <w:spacing w:val="7"/>
              </w:rPr>
              <w:t>工业场地下风</w:t>
            </w:r>
            <w:r>
              <w:rPr>
                <w:rFonts w:ascii="SimSun" w:hAnsi="SimSun" w:eastAsia="SimSun" w:cs="SimSun"/>
                <w:spacing w:val="-12"/>
              </w:rPr>
              <w:t>向</w:t>
            </w:r>
            <w:r>
              <w:rPr>
                <w:rFonts w:ascii="SimSun" w:hAnsi="SimSun" w:eastAsia="SimSun" w:cs="SimSun"/>
                <w:spacing w:val="-21"/>
              </w:rPr>
              <w:t xml:space="preserve"> </w:t>
            </w:r>
            <w:r>
              <w:rPr>
                <w:spacing w:val="-12"/>
              </w:rPr>
              <w:t>1#</w:t>
            </w:r>
          </w:p>
        </w:tc>
        <w:tc>
          <w:tcPr>
            <w:tcW w:w="1044" w:type="dxa"/>
            <w:vAlign w:val="top"/>
          </w:tcPr>
          <w:p>
            <w:pPr>
              <w:pStyle w:val="TableText"/>
              <w:ind w:left="341"/>
              <w:spacing w:before="54" w:line="190"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4" w:line="190" w:lineRule="auto"/>
              <w:rPr/>
            </w:pPr>
            <w:r>
              <w:rPr>
                <w:spacing w:val="3"/>
              </w:rPr>
              <w:t>0.484~0.519</w:t>
            </w:r>
          </w:p>
        </w:tc>
        <w:tc>
          <w:tcPr>
            <w:tcW w:w="3070" w:type="dxa"/>
            <w:vAlign w:val="top"/>
          </w:tcPr>
          <w:p>
            <w:pPr>
              <w:pStyle w:val="TableText"/>
              <w:ind w:left="1421"/>
              <w:spacing w:before="54" w:line="190" w:lineRule="auto"/>
              <w:rPr/>
            </w:pPr>
            <w:r>
              <w:rPr>
                <w:spacing w:val="-4"/>
              </w:rPr>
              <w:t>1.0</w:t>
            </w:r>
          </w:p>
        </w:tc>
      </w:tr>
      <w:tr>
        <w:trPr>
          <w:trHeight w:val="297" w:hRule="atLeast"/>
        </w:trPr>
        <w:tc>
          <w:tcPr>
            <w:tcW w:w="595" w:type="dxa"/>
            <w:vAlign w:val="top"/>
            <w:vMerge w:val="continue"/>
            <w:tcBorders>
              <w:top w:val="nil"/>
              <w:bottom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9"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2" w:line="195" w:lineRule="auto"/>
              <w:rPr/>
            </w:pPr>
            <w:r>
              <w:rPr>
                <w:spacing w:val="3"/>
              </w:rPr>
              <w:t>0.011~0.012</w:t>
            </w:r>
          </w:p>
        </w:tc>
        <w:tc>
          <w:tcPr>
            <w:tcW w:w="3070" w:type="dxa"/>
            <w:vAlign w:val="top"/>
          </w:tcPr>
          <w:p>
            <w:pPr>
              <w:pStyle w:val="TableText"/>
              <w:ind w:left="1404"/>
              <w:spacing w:before="52" w:line="195" w:lineRule="auto"/>
              <w:rPr/>
            </w:pPr>
            <w:r>
              <w:rPr>
                <w:spacing w:val="1"/>
              </w:rPr>
              <w:t>0.4</w:t>
            </w:r>
          </w:p>
        </w:tc>
      </w:tr>
      <w:tr>
        <w:trPr>
          <w:trHeight w:val="244" w:hRule="atLeast"/>
        </w:trPr>
        <w:tc>
          <w:tcPr>
            <w:tcW w:w="595" w:type="dxa"/>
            <w:vAlign w:val="top"/>
            <w:vMerge w:val="continue"/>
            <w:tcBorders>
              <w:top w:val="nil"/>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34" w:line="233" w:lineRule="auto"/>
              <w:rPr/>
            </w:pPr>
            <w:r>
              <w:rPr>
                <w:rFonts w:ascii="SimSun" w:hAnsi="SimSun" w:eastAsia="SimSun" w:cs="SimSun"/>
                <w:spacing w:val="7"/>
              </w:rPr>
              <w:t>工业场地下风</w:t>
            </w:r>
            <w:r>
              <w:rPr>
                <w:rFonts w:ascii="SimSun" w:hAnsi="SimSun" w:eastAsia="SimSun" w:cs="SimSun"/>
                <w:spacing w:val="-5"/>
              </w:rPr>
              <w:t>向</w:t>
            </w:r>
            <w:r>
              <w:rPr>
                <w:rFonts w:ascii="SimSun" w:hAnsi="SimSun" w:eastAsia="SimSun" w:cs="SimSun"/>
                <w:spacing w:val="-41"/>
              </w:rPr>
              <w:t xml:space="preserve"> </w:t>
            </w:r>
            <w:r>
              <w:rPr>
                <w:spacing w:val="-5"/>
              </w:rPr>
              <w:t>2#</w:t>
            </w:r>
          </w:p>
        </w:tc>
        <w:tc>
          <w:tcPr>
            <w:tcW w:w="1044" w:type="dxa"/>
            <w:vAlign w:val="top"/>
          </w:tcPr>
          <w:p>
            <w:pPr>
              <w:pStyle w:val="TableText"/>
              <w:ind w:left="341"/>
              <w:spacing w:before="52" w:line="189"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2" w:line="189" w:lineRule="auto"/>
              <w:rPr/>
            </w:pPr>
            <w:r>
              <w:rPr>
                <w:spacing w:val="3"/>
              </w:rPr>
              <w:t>0.485~0.514</w:t>
            </w:r>
          </w:p>
        </w:tc>
        <w:tc>
          <w:tcPr>
            <w:tcW w:w="3070" w:type="dxa"/>
            <w:vAlign w:val="top"/>
          </w:tcPr>
          <w:p>
            <w:pPr>
              <w:pStyle w:val="TableText"/>
              <w:ind w:left="1421"/>
              <w:spacing w:before="52" w:line="189" w:lineRule="auto"/>
              <w:rPr/>
            </w:pPr>
            <w:r>
              <w:rPr>
                <w:spacing w:val="-4"/>
              </w:rPr>
              <w:t>1.0</w:t>
            </w:r>
          </w:p>
        </w:tc>
      </w:tr>
      <w:tr>
        <w:trPr>
          <w:trHeight w:val="300" w:hRule="atLeast"/>
        </w:trPr>
        <w:tc>
          <w:tcPr>
            <w:tcW w:w="595" w:type="dxa"/>
            <w:vAlign w:val="top"/>
            <w:vMerge w:val="continue"/>
            <w:tcBorders>
              <w:top w:val="nil"/>
              <w:bottom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82" w:line="202" w:lineRule="auto"/>
              <w:rPr>
                <w:sz w:val="13"/>
                <w:szCs w:val="13"/>
              </w:rPr>
            </w:pPr>
            <w:r>
              <w:rPr/>
              <w:t>SO</w:t>
            </w:r>
            <w:r>
              <w:rPr>
                <w:sz w:val="13"/>
                <w:szCs w:val="13"/>
                <w:spacing w:val="5"/>
                <w:position w:val="-1"/>
              </w:rPr>
              <w:t>2</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5" w:line="195" w:lineRule="auto"/>
              <w:rPr/>
            </w:pPr>
            <w:r>
              <w:rPr>
                <w:spacing w:val="3"/>
              </w:rPr>
              <w:t>0.012~0.015</w:t>
            </w:r>
          </w:p>
        </w:tc>
        <w:tc>
          <w:tcPr>
            <w:tcW w:w="3070" w:type="dxa"/>
            <w:vAlign w:val="top"/>
          </w:tcPr>
          <w:p>
            <w:pPr>
              <w:pStyle w:val="TableText"/>
              <w:ind w:left="1404"/>
              <w:spacing w:before="55" w:line="195" w:lineRule="auto"/>
              <w:rPr/>
            </w:pPr>
            <w:r>
              <w:rPr>
                <w:spacing w:val="1"/>
              </w:rPr>
              <w:t>0.4</w:t>
            </w:r>
          </w:p>
        </w:tc>
      </w:tr>
      <w:tr>
        <w:trPr>
          <w:trHeight w:val="247" w:hRule="atLeast"/>
        </w:trPr>
        <w:tc>
          <w:tcPr>
            <w:tcW w:w="595" w:type="dxa"/>
            <w:vAlign w:val="top"/>
            <w:vMerge w:val="continue"/>
            <w:tcBorders>
              <w:top w:val="nil"/>
              <w:bottom w:val="nil"/>
            </w:tcBorders>
          </w:tcPr>
          <w:p>
            <w:pPr>
              <w:rPr>
                <w:rFonts w:ascii="Arial"/>
                <w:sz w:val="21"/>
              </w:rPr>
            </w:pPr>
            <w:r/>
          </w:p>
        </w:tc>
        <w:tc>
          <w:tcPr>
            <w:tcW w:w="1662" w:type="dxa"/>
            <w:vAlign w:val="top"/>
            <w:vMerge w:val="restart"/>
            <w:tcBorders>
              <w:bottom w:val="nil"/>
            </w:tcBorders>
          </w:tcPr>
          <w:p>
            <w:pPr>
              <w:pStyle w:val="TableText"/>
              <w:ind w:left="617" w:right="204" w:hanging="412"/>
              <w:spacing w:before="34" w:line="235" w:lineRule="auto"/>
              <w:rPr/>
            </w:pPr>
            <w:r>
              <w:rPr>
                <w:rFonts w:ascii="SimSun" w:hAnsi="SimSun" w:eastAsia="SimSun" w:cs="SimSun"/>
                <w:spacing w:val="7"/>
              </w:rPr>
              <w:t>工业场地下风</w:t>
            </w:r>
            <w:r>
              <w:rPr>
                <w:rFonts w:ascii="SimSun" w:hAnsi="SimSun" w:eastAsia="SimSun" w:cs="SimSun"/>
                <w:spacing w:val="-7"/>
              </w:rPr>
              <w:t>向</w:t>
            </w:r>
            <w:r>
              <w:rPr>
                <w:rFonts w:ascii="SimSun" w:hAnsi="SimSun" w:eastAsia="SimSun" w:cs="SimSun"/>
                <w:spacing w:val="-36"/>
              </w:rPr>
              <w:t xml:space="preserve"> </w:t>
            </w:r>
            <w:r>
              <w:rPr>
                <w:spacing w:val="-7"/>
              </w:rPr>
              <w:t>3#</w:t>
            </w:r>
          </w:p>
        </w:tc>
        <w:tc>
          <w:tcPr>
            <w:tcW w:w="1044" w:type="dxa"/>
            <w:vAlign w:val="top"/>
          </w:tcPr>
          <w:p>
            <w:pPr>
              <w:pStyle w:val="TableText"/>
              <w:ind w:left="341"/>
              <w:spacing w:before="55" w:line="189" w:lineRule="auto"/>
              <w:rPr/>
            </w:pPr>
            <w:r>
              <w:rPr>
                <w:spacing w:val="4"/>
              </w:rPr>
              <w:t>TSP</w:t>
            </w:r>
          </w:p>
        </w:tc>
        <w:tc>
          <w:tcPr>
            <w:tcW w:w="1161" w:type="dxa"/>
            <w:vAlign w:val="top"/>
            <w:vMerge w:val="continue"/>
            <w:tcBorders>
              <w:top w:val="nil"/>
              <w:bottom w:val="nil"/>
            </w:tcBorders>
          </w:tcPr>
          <w:p>
            <w:pPr>
              <w:rPr>
                <w:rFonts w:ascii="Arial"/>
                <w:sz w:val="21"/>
              </w:rPr>
            </w:pPr>
            <w:r/>
          </w:p>
        </w:tc>
        <w:tc>
          <w:tcPr>
            <w:tcW w:w="1758" w:type="dxa"/>
            <w:vAlign w:val="top"/>
          </w:tcPr>
          <w:p>
            <w:pPr>
              <w:pStyle w:val="TableText"/>
              <w:ind w:left="352"/>
              <w:spacing w:before="55" w:line="189" w:lineRule="auto"/>
              <w:rPr/>
            </w:pPr>
            <w:r>
              <w:rPr>
                <w:spacing w:val="3"/>
              </w:rPr>
              <w:t>0.483~0.504</w:t>
            </w:r>
          </w:p>
        </w:tc>
        <w:tc>
          <w:tcPr>
            <w:tcW w:w="3070" w:type="dxa"/>
            <w:vAlign w:val="top"/>
          </w:tcPr>
          <w:p>
            <w:pPr>
              <w:pStyle w:val="TableText"/>
              <w:ind w:left="1421"/>
              <w:spacing w:before="55" w:line="189" w:lineRule="auto"/>
              <w:rPr/>
            </w:pPr>
            <w:r>
              <w:rPr>
                <w:spacing w:val="-4"/>
              </w:rPr>
              <w:t>1.0</w:t>
            </w:r>
          </w:p>
        </w:tc>
      </w:tr>
      <w:tr>
        <w:trPr>
          <w:trHeight w:val="302" w:hRule="atLeast"/>
        </w:trPr>
        <w:tc>
          <w:tcPr>
            <w:tcW w:w="595" w:type="dxa"/>
            <w:vAlign w:val="top"/>
            <w:vMerge w:val="continue"/>
            <w:tcBorders>
              <w:top w:val="nil"/>
            </w:tcBorders>
          </w:tcPr>
          <w:p>
            <w:pPr>
              <w:rPr>
                <w:rFonts w:ascii="Arial"/>
                <w:sz w:val="21"/>
              </w:rPr>
            </w:pPr>
            <w:r/>
          </w:p>
        </w:tc>
        <w:tc>
          <w:tcPr>
            <w:tcW w:w="1662" w:type="dxa"/>
            <w:vAlign w:val="top"/>
            <w:vMerge w:val="continue"/>
            <w:tcBorders>
              <w:top w:val="nil"/>
            </w:tcBorders>
          </w:tcPr>
          <w:p>
            <w:pPr>
              <w:rPr>
                <w:rFonts w:ascii="Arial"/>
                <w:sz w:val="21"/>
              </w:rPr>
            </w:pPr>
            <w:r/>
          </w:p>
        </w:tc>
        <w:tc>
          <w:tcPr>
            <w:tcW w:w="1044" w:type="dxa"/>
            <w:vAlign w:val="top"/>
          </w:tcPr>
          <w:p>
            <w:pPr>
              <w:pStyle w:val="TableText"/>
              <w:ind w:left="359"/>
              <w:spacing w:before="79" w:line="202" w:lineRule="auto"/>
              <w:rPr>
                <w:sz w:val="13"/>
                <w:szCs w:val="13"/>
              </w:rPr>
            </w:pPr>
            <w:r>
              <w:rPr/>
              <w:t>SO</w:t>
            </w:r>
            <w:r>
              <w:rPr>
                <w:sz w:val="13"/>
                <w:szCs w:val="13"/>
                <w:spacing w:val="5"/>
                <w:position w:val="-1"/>
              </w:rPr>
              <w:t>2</w:t>
            </w:r>
          </w:p>
        </w:tc>
        <w:tc>
          <w:tcPr>
            <w:tcW w:w="1161" w:type="dxa"/>
            <w:vAlign w:val="top"/>
            <w:vMerge w:val="continue"/>
            <w:tcBorders>
              <w:top w:val="nil"/>
            </w:tcBorders>
          </w:tcPr>
          <w:p>
            <w:pPr>
              <w:rPr>
                <w:rFonts w:ascii="Arial"/>
                <w:sz w:val="21"/>
              </w:rPr>
            </w:pPr>
            <w:r/>
          </w:p>
        </w:tc>
        <w:tc>
          <w:tcPr>
            <w:tcW w:w="1758" w:type="dxa"/>
            <w:vAlign w:val="top"/>
          </w:tcPr>
          <w:p>
            <w:pPr>
              <w:pStyle w:val="TableText"/>
              <w:ind w:left="352"/>
              <w:spacing w:before="55" w:line="195" w:lineRule="auto"/>
              <w:rPr/>
            </w:pPr>
            <w:r>
              <w:rPr>
                <w:spacing w:val="3"/>
              </w:rPr>
              <w:t>0.011~0.013</w:t>
            </w:r>
          </w:p>
        </w:tc>
        <w:tc>
          <w:tcPr>
            <w:tcW w:w="3070" w:type="dxa"/>
            <w:vAlign w:val="top"/>
          </w:tcPr>
          <w:p>
            <w:pPr>
              <w:pStyle w:val="TableText"/>
              <w:ind w:left="1404"/>
              <w:spacing w:before="55" w:line="195" w:lineRule="auto"/>
              <w:rPr/>
            </w:pPr>
            <w:r>
              <w:rPr>
                <w:spacing w:val="1"/>
              </w:rPr>
              <w:t>0.4</w:t>
            </w:r>
          </w:p>
        </w:tc>
      </w:tr>
    </w:tbl>
    <w:p>
      <w:pPr>
        <w:ind w:left="119" w:right="115" w:firstLine="509"/>
        <w:spacing w:before="144" w:line="339" w:lineRule="auto"/>
        <w:rPr>
          <w:rFonts w:ascii="SimSun" w:hAnsi="SimSun" w:eastAsia="SimSun" w:cs="SimSun"/>
          <w:sz w:val="24"/>
          <w:szCs w:val="24"/>
        </w:rPr>
      </w:pPr>
      <w:r>
        <w:rPr>
          <w:rFonts w:ascii="SimSun" w:hAnsi="SimSun" w:eastAsia="SimSun" w:cs="SimSun"/>
          <w:sz w:val="24"/>
          <w:szCs w:val="24"/>
          <w:spacing w:val="-3"/>
        </w:rPr>
        <w:t>由上表可以看出，工业场地上、下风向</w:t>
      </w:r>
      <w:r>
        <w:rPr>
          <w:rFonts w:ascii="Times New Roman" w:hAnsi="Times New Roman" w:eastAsia="Times New Roman" w:cs="Times New Roman"/>
          <w:sz w:val="24"/>
          <w:szCs w:val="24"/>
          <w:spacing w:val="-3"/>
        </w:rPr>
        <w:t>TSP </w:t>
      </w:r>
      <w:r>
        <w:rPr>
          <w:rFonts w:ascii="SimSun" w:hAnsi="SimSun" w:eastAsia="SimSun" w:cs="SimSun"/>
          <w:sz w:val="24"/>
          <w:szCs w:val="24"/>
          <w:spacing w:val="-3"/>
        </w:rPr>
        <w:t>及</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SO</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13"/>
          <w:position w:val="-1"/>
        </w:rPr>
        <w:t xml:space="preserve"> </w:t>
      </w:r>
      <w:r>
        <w:rPr>
          <w:rFonts w:ascii="SimSun" w:hAnsi="SimSun" w:eastAsia="SimSun" w:cs="SimSun"/>
          <w:sz w:val="24"/>
          <w:szCs w:val="24"/>
          <w:spacing w:val="-3"/>
        </w:rPr>
        <w:t>监测浓度满足《煤炭工业污染物</w:t>
      </w:r>
      <w:r>
        <w:rPr>
          <w:rFonts w:ascii="SimSun" w:hAnsi="SimSun" w:eastAsia="SimSun" w:cs="SimSun"/>
          <w:sz w:val="24"/>
          <w:szCs w:val="24"/>
          <w:spacing w:val="-1"/>
        </w:rPr>
        <w:t>排放标准》（</w:t>
      </w:r>
      <w:r>
        <w:rPr>
          <w:rFonts w:ascii="Times New Roman" w:hAnsi="Times New Roman" w:eastAsia="Times New Roman" w:cs="Times New Roman"/>
          <w:sz w:val="24"/>
          <w:szCs w:val="24"/>
          <w:spacing w:val="-1"/>
        </w:rPr>
        <w:t>GB20426-2006)</w:t>
      </w:r>
      <w:r>
        <w:rPr>
          <w:rFonts w:ascii="SimSun" w:hAnsi="SimSun" w:eastAsia="SimSun" w:cs="SimSun"/>
          <w:sz w:val="24"/>
          <w:szCs w:val="24"/>
          <w:spacing w:val="-1"/>
        </w:rPr>
        <w:t>中表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5 </w:t>
      </w:r>
      <w:r>
        <w:rPr>
          <w:rFonts w:ascii="SimSun" w:hAnsi="SimSun" w:eastAsia="SimSun" w:cs="SimSun"/>
          <w:sz w:val="24"/>
          <w:szCs w:val="24"/>
          <w:spacing w:val="-1"/>
        </w:rPr>
        <w:t>相应标准限值要求。</w:t>
      </w:r>
    </w:p>
    <w:p>
      <w:pPr>
        <w:ind w:left="136"/>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3.3.3</w:t>
      </w:r>
      <w:r>
        <w:rPr>
          <w:rFonts w:ascii="SimHei" w:hAnsi="SimHei" w:eastAsia="SimHei" w:cs="SimHei"/>
          <w:sz w:val="28"/>
          <w:szCs w:val="28"/>
          <w:b/>
          <w:bCs/>
          <w:spacing w:val="-2"/>
        </w:rPr>
        <w:t>地表水影响回顾性评价</w:t>
      </w:r>
    </w:p>
    <w:p>
      <w:pPr>
        <w:ind w:left="123" w:right="115" w:firstLine="510"/>
        <w:spacing w:before="170" w:line="340" w:lineRule="auto"/>
        <w:rPr>
          <w:rFonts w:ascii="SimSun" w:hAnsi="SimSun" w:eastAsia="SimSun" w:cs="SimSun"/>
          <w:sz w:val="24"/>
          <w:szCs w:val="24"/>
        </w:rPr>
      </w:pPr>
      <w:r>
        <w:rPr>
          <w:rFonts w:ascii="SimSun" w:hAnsi="SimSun" w:eastAsia="SimSun" w:cs="SimSun"/>
          <w:sz w:val="24"/>
          <w:szCs w:val="24"/>
          <w:spacing w:val="-3"/>
        </w:rPr>
        <w:t>白音华四号露天矿（露天区）产生污水主要为矿坑水及生活污水。其中矿坑水来源</w:t>
      </w:r>
      <w:r>
        <w:rPr>
          <w:rFonts w:ascii="SimSun" w:hAnsi="SimSun" w:eastAsia="SimSun" w:cs="SimSun"/>
          <w:sz w:val="24"/>
          <w:szCs w:val="24"/>
        </w:rPr>
        <w:t>于白音华四号露天矿（露天区）矿坑水；生活污水</w:t>
      </w:r>
      <w:r>
        <w:rPr>
          <w:rFonts w:ascii="SimSun" w:hAnsi="SimSun" w:eastAsia="SimSun" w:cs="SimSun"/>
          <w:sz w:val="24"/>
          <w:szCs w:val="24"/>
          <w:spacing w:val="-1"/>
        </w:rPr>
        <w:t>来源于露天区工业场地生活污水。</w:t>
      </w:r>
    </w:p>
    <w:p>
      <w:pPr>
        <w:ind w:left="114"/>
        <w:spacing w:before="28"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3.3.3.1  </w:t>
      </w:r>
      <w:r>
        <w:rPr>
          <w:rFonts w:ascii="SimHei" w:hAnsi="SimHei" w:eastAsia="SimHei" w:cs="SimHei"/>
          <w:sz w:val="24"/>
          <w:szCs w:val="24"/>
          <w:spacing w:val="-1"/>
        </w:rPr>
        <w:t>矿坑水</w:t>
      </w:r>
    </w:p>
    <w:p>
      <w:pPr>
        <w:ind w:left="114"/>
        <w:spacing w:before="288" w:line="219" w:lineRule="auto"/>
        <w:rPr>
          <w:rFonts w:ascii="SimSun" w:hAnsi="SimSun" w:eastAsia="SimSun" w:cs="SimSun"/>
          <w:sz w:val="24"/>
          <w:szCs w:val="24"/>
        </w:rPr>
      </w:pPr>
      <w:r>
        <w:rPr>
          <w:rFonts w:ascii="Times New Roman" w:hAnsi="Times New Roman" w:eastAsia="Times New Roman" w:cs="Times New Roman"/>
          <w:sz w:val="24"/>
          <w:szCs w:val="24"/>
          <w:b/>
          <w:bCs/>
          <w:spacing w:val="-1"/>
        </w:rPr>
        <w:t>3.3.3.1.1  </w:t>
      </w:r>
      <w:r>
        <w:rPr>
          <w:rFonts w:ascii="SimSun" w:hAnsi="SimSun" w:eastAsia="SimSun" w:cs="SimSun"/>
          <w:sz w:val="24"/>
          <w:szCs w:val="24"/>
          <w:b/>
          <w:bCs/>
          <w:spacing w:val="-1"/>
        </w:rPr>
        <w:t>矿坑水处理</w:t>
      </w:r>
    </w:p>
    <w:p>
      <w:pPr>
        <w:ind w:left="618"/>
        <w:spacing w:before="188" w:line="219" w:lineRule="auto"/>
        <w:rPr>
          <w:rFonts w:ascii="SimSun" w:hAnsi="SimSun" w:eastAsia="SimSun" w:cs="SimSun"/>
          <w:sz w:val="24"/>
          <w:szCs w:val="24"/>
        </w:rPr>
      </w:pP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4"/>
        </w:rPr>
        <w:t>、水量</w:t>
      </w:r>
    </w:p>
    <w:p>
      <w:pPr>
        <w:ind w:left="118" w:right="112" w:firstLine="515"/>
        <w:spacing w:before="151" w:line="340" w:lineRule="auto"/>
        <w:rPr>
          <w:rFonts w:ascii="SimSun" w:hAnsi="SimSun" w:eastAsia="SimSun" w:cs="SimSun"/>
          <w:sz w:val="24"/>
          <w:szCs w:val="24"/>
        </w:rPr>
      </w:pPr>
      <w:r>
        <w:rPr>
          <w:rFonts w:ascii="SimSun" w:hAnsi="SimSun" w:eastAsia="SimSun" w:cs="SimSun"/>
          <w:sz w:val="24"/>
          <w:szCs w:val="24"/>
          <w:spacing w:val="-3"/>
        </w:rPr>
        <w:t>白音华四号露天矿（露天区）产生的矿坑水及白音华四号露天矿（井工区）产生的</w:t>
      </w:r>
      <w:r>
        <w:rPr>
          <w:rFonts w:ascii="SimSun" w:hAnsi="SimSun" w:eastAsia="SimSun" w:cs="SimSun"/>
          <w:sz w:val="24"/>
          <w:szCs w:val="24"/>
          <w:spacing w:val="-3"/>
        </w:rPr>
        <w:t>矿井水均排入矿井（坑）水处理站。根据相关调查结果，2024</w:t>
      </w:r>
      <w:r>
        <w:rPr>
          <w:rFonts w:ascii="SimSun" w:hAnsi="SimSun" w:eastAsia="SimSun" w:cs="SimSun"/>
          <w:sz w:val="24"/>
          <w:szCs w:val="24"/>
          <w:spacing w:val="-49"/>
        </w:rPr>
        <w:t xml:space="preserve"> </w:t>
      </w:r>
      <w:r>
        <w:rPr>
          <w:rFonts w:ascii="SimSun" w:hAnsi="SimSun" w:eastAsia="SimSun" w:cs="SimSun"/>
          <w:sz w:val="24"/>
          <w:szCs w:val="24"/>
          <w:spacing w:val="-4"/>
        </w:rPr>
        <w:t>年，矿井（坑）水总量为</w:t>
      </w:r>
      <w:r>
        <w:rPr>
          <w:rFonts w:ascii="Times New Roman" w:hAnsi="Times New Roman" w:eastAsia="Times New Roman" w:cs="Times New Roman"/>
          <w:sz w:val="24"/>
          <w:szCs w:val="24"/>
        </w:rPr>
        <w:t>8152m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SimSun" w:hAnsi="SimSun" w:eastAsia="SimSun" w:cs="SimSun"/>
          <w:sz w:val="24"/>
          <w:szCs w:val="24"/>
        </w:rPr>
        <w:t>（</w:t>
      </w:r>
      <w:r>
        <w:rPr>
          <w:rFonts w:ascii="Times New Roman" w:hAnsi="Times New Roman" w:eastAsia="Times New Roman" w:cs="Times New Roman"/>
          <w:sz w:val="24"/>
          <w:szCs w:val="24"/>
        </w:rPr>
        <w:t>340m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/h</w:t>
      </w:r>
      <w:r>
        <w:rPr>
          <w:rFonts w:ascii="SimSun" w:hAnsi="SimSun" w:eastAsia="SimSun" w:cs="SimSun"/>
          <w:sz w:val="24"/>
          <w:szCs w:val="24"/>
          <w:spacing w:val="4"/>
        </w:rPr>
        <w:t>），</w:t>
      </w:r>
      <w:r>
        <w:rPr>
          <w:rFonts w:ascii="SimSun" w:hAnsi="SimSun" w:eastAsia="SimSun" w:cs="SimSun"/>
          <w:sz w:val="24"/>
          <w:szCs w:val="24"/>
        </w:rPr>
        <w:t>其中矿井水正常排水量为</w:t>
      </w:r>
      <w:r>
        <w:rPr>
          <w:rFonts w:ascii="SimSun" w:hAnsi="SimSun" w:eastAsia="SimSun" w:cs="SimSun"/>
          <w:sz w:val="24"/>
          <w:szCs w:val="24"/>
          <w:spacing w:val="-57"/>
        </w:rPr>
        <w:t xml:space="preserve"> </w:t>
      </w:r>
      <w:r>
        <w:rPr>
          <w:rFonts w:ascii="Times New Roman" w:hAnsi="Times New Roman" w:eastAsia="Times New Roman" w:cs="Times New Roman"/>
          <w:sz w:val="24"/>
          <w:szCs w:val="24"/>
        </w:rPr>
        <w:t>2848m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SimSun" w:hAnsi="SimSun" w:eastAsia="SimSun" w:cs="SimSun"/>
          <w:sz w:val="24"/>
          <w:szCs w:val="24"/>
        </w:rPr>
        <w:t>（</w:t>
      </w:r>
      <w:r>
        <w:rPr>
          <w:rFonts w:ascii="Times New Roman" w:hAnsi="Times New Roman" w:eastAsia="Times New Roman" w:cs="Times New Roman"/>
          <w:sz w:val="24"/>
          <w:szCs w:val="24"/>
        </w:rPr>
        <w:t>119</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/h</w:t>
      </w:r>
      <w:r>
        <w:rPr>
          <w:rFonts w:ascii="SimSun" w:hAnsi="SimSun" w:eastAsia="SimSun" w:cs="SimSun"/>
          <w:sz w:val="24"/>
          <w:szCs w:val="24"/>
          <w:spacing w:val="4"/>
        </w:rPr>
        <w:t>），</w:t>
      </w:r>
      <w:r>
        <w:rPr>
          <w:rFonts w:ascii="SimSun" w:hAnsi="SimSun" w:eastAsia="SimSun" w:cs="SimSun"/>
          <w:sz w:val="24"/>
          <w:szCs w:val="24"/>
          <w:spacing w:val="-1"/>
        </w:rPr>
        <w:t>矿坑正常涌水</w:t>
      </w:r>
      <w:r>
        <w:rPr>
          <w:rFonts w:ascii="SimSun" w:hAnsi="SimSun" w:eastAsia="SimSun" w:cs="SimSun"/>
          <w:sz w:val="24"/>
          <w:szCs w:val="24"/>
          <w:spacing w:val="1"/>
        </w:rPr>
        <w:t>量</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5304m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221m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）。矿井（坑）水共同经输水管网至矿井（坑）水</w:t>
      </w:r>
      <w:r>
        <w:rPr>
          <w:rFonts w:ascii="SimSun" w:hAnsi="SimSun" w:eastAsia="SimSun" w:cs="SimSun"/>
          <w:sz w:val="24"/>
          <w:szCs w:val="24"/>
        </w:rPr>
        <w:t>处理站，处理</w:t>
      </w:r>
    </w:p>
    <w:p>
      <w:pPr>
        <w:spacing w:line="340" w:lineRule="auto"/>
        <w:sectPr>
          <w:footerReference w:type="default" r:id="rId158"/>
          <w:pgSz w:w="11906" w:h="16838"/>
          <w:pgMar w:top="1170" w:right="1304" w:bottom="1078" w:left="1305" w:header="837" w:footer="915" w:gutter="0"/>
        </w:sectPr>
        <w:rPr>
          <w:rFonts w:ascii="SimSun" w:hAnsi="SimSun" w:eastAsia="SimSun" w:cs="SimSun"/>
          <w:sz w:val="24"/>
          <w:szCs w:val="24"/>
        </w:rPr>
      </w:pPr>
    </w:p>
    <w:p>
      <w:pPr>
        <w:pStyle w:val="BodyText"/>
        <w:spacing w:line="310" w:lineRule="auto"/>
        <w:rPr/>
      </w:pPr>
      <w:r/>
    </w:p>
    <w:p>
      <w:pPr>
        <w:ind w:left="118" w:right="99" w:firstLine="1"/>
        <w:spacing w:before="78" w:line="311" w:lineRule="auto"/>
        <w:jc w:val="both"/>
        <w:rPr>
          <w:rFonts w:ascii="SimSun" w:hAnsi="SimSun" w:eastAsia="SimSun" w:cs="SimSun"/>
          <w:sz w:val="24"/>
          <w:szCs w:val="24"/>
        </w:rPr>
      </w:pPr>
      <w:r>
        <w:rPr>
          <w:rFonts w:ascii="SimSun" w:hAnsi="SimSun" w:eastAsia="SimSun" w:cs="SimSun"/>
          <w:sz w:val="24"/>
          <w:szCs w:val="24"/>
          <w:spacing w:val="1"/>
        </w:rPr>
        <w:t>站设计规模为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18000 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750t/h</w:t>
      </w:r>
      <w:r>
        <w:rPr>
          <w:rFonts w:ascii="SimSun" w:hAnsi="SimSun" w:eastAsia="SimSun" w:cs="SimSun"/>
          <w:sz w:val="24"/>
          <w:szCs w:val="24"/>
          <w:spacing w:val="7"/>
        </w:rPr>
        <w:t>），</w:t>
      </w:r>
      <w:r>
        <w:rPr>
          <w:rFonts w:ascii="SimSun" w:hAnsi="SimSun" w:eastAsia="SimSun" w:cs="SimSun"/>
          <w:sz w:val="24"/>
          <w:szCs w:val="24"/>
          <w:spacing w:val="1"/>
        </w:rPr>
        <w:t>采</w:t>
      </w:r>
      <w:r>
        <w:rPr>
          <w:rFonts w:ascii="SimSun" w:hAnsi="SimSun" w:eastAsia="SimSun" w:cs="SimSun"/>
          <w:sz w:val="24"/>
          <w:szCs w:val="24"/>
        </w:rPr>
        <w:t>用</w:t>
      </w:r>
      <w:r>
        <w:rPr>
          <w:rFonts w:ascii="Times New Roman" w:hAnsi="Times New Roman" w:eastAsia="Times New Roman" w:cs="Times New Roman"/>
          <w:sz w:val="24"/>
          <w:szCs w:val="24"/>
        </w:rPr>
        <w:t>“</w:t>
      </w:r>
      <w:r>
        <w:rPr>
          <w:rFonts w:ascii="SimSun" w:hAnsi="SimSun" w:eastAsia="SimSun" w:cs="SimSun"/>
          <w:sz w:val="24"/>
          <w:szCs w:val="24"/>
        </w:rPr>
        <w:t>絮凝沉淀</w:t>
      </w:r>
      <w:r>
        <w:rPr>
          <w:rFonts w:ascii="Times New Roman" w:hAnsi="Times New Roman" w:eastAsia="Times New Roman" w:cs="Times New Roman"/>
          <w:sz w:val="24"/>
          <w:szCs w:val="24"/>
        </w:rPr>
        <w:t>+</w:t>
      </w:r>
      <w:r>
        <w:rPr>
          <w:rFonts w:ascii="SimSun" w:hAnsi="SimSun" w:eastAsia="SimSun" w:cs="SimSun"/>
          <w:sz w:val="24"/>
          <w:szCs w:val="24"/>
        </w:rPr>
        <w:t>气浮处理</w:t>
      </w:r>
      <w:r>
        <w:rPr>
          <w:rFonts w:ascii="Times New Roman" w:hAnsi="Times New Roman" w:eastAsia="Times New Roman" w:cs="Times New Roman"/>
          <w:sz w:val="24"/>
          <w:szCs w:val="24"/>
        </w:rPr>
        <w:t>+</w:t>
      </w:r>
      <w:r>
        <w:rPr>
          <w:rFonts w:ascii="SimSun" w:hAnsi="SimSun" w:eastAsia="SimSun" w:cs="SimSun"/>
          <w:sz w:val="24"/>
          <w:szCs w:val="24"/>
        </w:rPr>
        <w:t>一体化净水器</w:t>
      </w:r>
      <w:r>
        <w:rPr>
          <w:rFonts w:ascii="Times New Roman" w:hAnsi="Times New Roman" w:eastAsia="Times New Roman" w:cs="Times New Roman"/>
          <w:sz w:val="24"/>
          <w:szCs w:val="24"/>
        </w:rPr>
        <w:t>”</w:t>
      </w:r>
      <w:r>
        <w:rPr>
          <w:rFonts w:ascii="SimSun" w:hAnsi="SimSun" w:eastAsia="SimSun" w:cs="SimSun"/>
          <w:sz w:val="24"/>
          <w:szCs w:val="24"/>
        </w:rPr>
        <w:t>工艺处</w:t>
      </w:r>
      <w:r>
        <w:rPr>
          <w:rFonts w:ascii="SimSun" w:hAnsi="SimSun" w:eastAsia="SimSun" w:cs="SimSun"/>
          <w:sz w:val="24"/>
          <w:szCs w:val="24"/>
          <w:spacing w:val="-1"/>
        </w:rPr>
        <w:t>理后，部分用于生活、生产、消防、冲洗、道路绿化洒水等，剩余部分</w:t>
      </w:r>
      <w:r>
        <w:rPr>
          <w:rFonts w:ascii="SimSun" w:hAnsi="SimSun" w:eastAsia="SimSun" w:cs="SimSun"/>
          <w:sz w:val="24"/>
          <w:szCs w:val="24"/>
          <w:spacing w:val="-2"/>
        </w:rPr>
        <w:t>送至金山电厂，</w:t>
      </w:r>
      <w:r>
        <w:rPr>
          <w:rFonts w:ascii="SimSun" w:hAnsi="SimSun" w:eastAsia="SimSun" w:cs="SimSun"/>
          <w:sz w:val="24"/>
          <w:szCs w:val="24"/>
          <w:spacing w:val="-1"/>
        </w:rPr>
        <w:t>部分经深度处理系统（位于井工区工业场地内）处理后，回用于井工区</w:t>
      </w:r>
      <w:r>
        <w:rPr>
          <w:rFonts w:ascii="SimSun" w:hAnsi="SimSun" w:eastAsia="SimSun" w:cs="SimSun"/>
          <w:sz w:val="24"/>
          <w:szCs w:val="24"/>
          <w:spacing w:val="-2"/>
        </w:rPr>
        <w:t>生产生活用水。</w:t>
      </w:r>
      <w:r>
        <w:rPr>
          <w:rFonts w:ascii="SimSun" w:hAnsi="SimSun" w:eastAsia="SimSun" w:cs="SimSun"/>
          <w:sz w:val="24"/>
          <w:szCs w:val="24"/>
          <w:spacing w:val="-1"/>
        </w:rPr>
        <w:t>矿井（坑）水全部回用，不外排。矿井（坑）水处理工艺流程图见图</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3-3-7</w:t>
      </w:r>
      <w:r>
        <w:rPr>
          <w:rFonts w:ascii="SimSun" w:hAnsi="SimSun" w:eastAsia="SimSun" w:cs="SimSun"/>
          <w:sz w:val="24"/>
          <w:szCs w:val="24"/>
          <w:spacing w:val="-1"/>
        </w:rPr>
        <w:t>。</w:t>
      </w:r>
    </w:p>
    <w:p>
      <w:pPr>
        <w:ind w:firstLine="1608"/>
        <w:spacing w:line="3261" w:lineRule="exact"/>
        <w:rPr/>
      </w:pPr>
      <w:r>
        <w:rPr>
          <w:position w:val="-65"/>
        </w:rPr>
        <w:drawing>
          <wp:inline distT="0" distB="0" distL="0" distR="0">
            <wp:extent cx="3857244" cy="2071116"/>
            <wp:effectExtent l="0" t="0" r="0" b="0"/>
            <wp:docPr id="132" name="IM 132"/>
            <wp:cNvGraphicFramePr/>
            <a:graphic>
              <a:graphicData uri="http://schemas.openxmlformats.org/drawingml/2006/picture">
                <pic:pic>
                  <pic:nvPicPr>
                    <pic:cNvPr id="132" name="IM 132"/>
                    <pic:cNvPicPr/>
                  </pic:nvPicPr>
                  <pic:blipFill>
                    <a:blip r:embed="rId160"/>
                    <a:stretch>
                      <a:fillRect/>
                    </a:stretch>
                  </pic:blipFill>
                  <pic:spPr>
                    <a:xfrm rot="0">
                      <a:off x="0" y="0"/>
                      <a:ext cx="3857244" cy="2071116"/>
                    </a:xfrm>
                    <a:prstGeom prst="rect">
                      <a:avLst/>
                    </a:prstGeom>
                  </pic:spPr>
                </pic:pic>
              </a:graphicData>
            </a:graphic>
          </wp:inline>
        </w:drawing>
      </w:r>
    </w:p>
    <w:p>
      <w:pPr>
        <w:ind w:left="2783"/>
        <w:spacing w:before="290" w:line="221"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52"/>
        </w:rPr>
        <w:t xml:space="preserve"> </w:t>
      </w:r>
      <w:r>
        <w:rPr>
          <w:rFonts w:ascii="Times New Roman" w:hAnsi="Times New Roman" w:eastAsia="Times New Roman" w:cs="Times New Roman"/>
          <w:sz w:val="24"/>
          <w:szCs w:val="24"/>
          <w:b/>
          <w:bCs/>
          <w:spacing w:val="-3"/>
        </w:rPr>
        <w:t>3-3-7 </w:t>
      </w:r>
      <w:r>
        <w:rPr>
          <w:rFonts w:ascii="SimHei" w:hAnsi="SimHei" w:eastAsia="SimHei" w:cs="SimHei"/>
          <w:sz w:val="24"/>
          <w:szCs w:val="24"/>
          <w:b/>
          <w:bCs/>
          <w:spacing w:val="-3"/>
        </w:rPr>
        <w:t>矿井（坑）水处理站工艺流程图</w:t>
      </w:r>
    </w:p>
    <w:p>
      <w:pPr>
        <w:ind w:left="595"/>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、水质</w:t>
      </w:r>
    </w:p>
    <w:p>
      <w:pPr>
        <w:ind w:left="120" w:right="115" w:firstLine="480"/>
        <w:spacing w:before="153" w:line="339" w:lineRule="auto"/>
        <w:rPr>
          <w:rFonts w:ascii="SimSun" w:hAnsi="SimSun" w:eastAsia="SimSun" w:cs="SimSun"/>
          <w:sz w:val="24"/>
          <w:szCs w:val="24"/>
        </w:rPr>
      </w:pPr>
      <w:r>
        <w:rPr>
          <w:rFonts w:ascii="SimSun" w:hAnsi="SimSun" w:eastAsia="SimSun" w:cs="SimSun"/>
          <w:sz w:val="24"/>
          <w:szCs w:val="24"/>
          <w:spacing w:val="-1"/>
        </w:rPr>
        <w:t>本次评价收集了</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月的矿</w:t>
      </w:r>
      <w:r>
        <w:rPr>
          <w:rFonts w:ascii="SimSun" w:hAnsi="SimSun" w:eastAsia="SimSun" w:cs="SimSun"/>
          <w:sz w:val="24"/>
          <w:szCs w:val="24"/>
          <w:spacing w:val="-2"/>
        </w:rPr>
        <w:t>井（坑）水出水例行监测数据，监</w:t>
      </w:r>
      <w:r>
        <w:rPr>
          <w:rFonts w:ascii="SimSun" w:hAnsi="SimSun" w:eastAsia="SimSun" w:cs="SimSun"/>
          <w:sz w:val="24"/>
          <w:szCs w:val="24"/>
          <w:spacing w:val="-2"/>
        </w:rPr>
        <w:t>测结果见表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3-3-8</w:t>
      </w:r>
      <w:r>
        <w:rPr>
          <w:rFonts w:ascii="SimSun" w:hAnsi="SimSun" w:eastAsia="SimSun" w:cs="SimSun"/>
          <w:sz w:val="24"/>
          <w:szCs w:val="24"/>
          <w:spacing w:val="-2"/>
        </w:rPr>
        <w:t>。</w:t>
      </w:r>
    </w:p>
    <w:p>
      <w:pPr>
        <w:ind w:left="118" w:right="115" w:firstLine="510"/>
        <w:spacing w:before="1" w:line="339" w:lineRule="auto"/>
        <w:jc w:val="both"/>
        <w:rPr>
          <w:rFonts w:ascii="SimSun" w:hAnsi="SimSun" w:eastAsia="SimSun" w:cs="SimSun"/>
          <w:sz w:val="24"/>
          <w:szCs w:val="24"/>
        </w:rPr>
      </w:pPr>
      <w:r>
        <w:rPr>
          <w:rFonts w:ascii="SimSun" w:hAnsi="SimSun" w:eastAsia="SimSun" w:cs="SimSun"/>
          <w:sz w:val="24"/>
          <w:szCs w:val="24"/>
          <w:spacing w:val="-3"/>
        </w:rPr>
        <w:t>由表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3-3-8 </w:t>
      </w:r>
      <w:r>
        <w:rPr>
          <w:rFonts w:ascii="SimSun" w:hAnsi="SimSun" w:eastAsia="SimSun" w:cs="SimSun"/>
          <w:sz w:val="24"/>
          <w:szCs w:val="24"/>
          <w:spacing w:val="-3"/>
        </w:rPr>
        <w:t>可知，处理后的矿井（坑）</w:t>
      </w:r>
      <w:r>
        <w:rPr>
          <w:rFonts w:ascii="SimSun" w:hAnsi="SimSun" w:eastAsia="SimSun" w:cs="SimSun"/>
          <w:sz w:val="24"/>
          <w:szCs w:val="24"/>
          <w:spacing w:val="-4"/>
        </w:rPr>
        <w:t>水的各出水水质满足《城市污水再生利用 工</w:t>
      </w:r>
      <w:r>
        <w:rPr>
          <w:rFonts w:ascii="SimSun" w:hAnsi="SimSun" w:eastAsia="SimSun" w:cs="SimSun"/>
          <w:sz w:val="24"/>
          <w:szCs w:val="24"/>
          <w:spacing w:val="4"/>
        </w:rPr>
        <w:t>业用水水质》（</w:t>
      </w:r>
      <w:r>
        <w:rPr>
          <w:rFonts w:ascii="Times New Roman" w:hAnsi="Times New Roman" w:eastAsia="Times New Roman" w:cs="Times New Roman"/>
          <w:sz w:val="24"/>
          <w:szCs w:val="24"/>
        </w:rPr>
        <w:t>GBT</w:t>
      </w:r>
      <w:r>
        <w:rPr>
          <w:rFonts w:ascii="Times New Roman" w:hAnsi="Times New Roman" w:eastAsia="Times New Roman" w:cs="Times New Roman"/>
          <w:sz w:val="24"/>
          <w:szCs w:val="24"/>
          <w:spacing w:val="4"/>
        </w:rPr>
        <w:t>19923-2005</w:t>
      </w:r>
      <w:r>
        <w:rPr>
          <w:rFonts w:ascii="SimSun" w:hAnsi="SimSun" w:eastAsia="SimSun" w:cs="SimSun"/>
          <w:sz w:val="24"/>
          <w:szCs w:val="24"/>
          <w:spacing w:val="30"/>
        </w:rPr>
        <w:t>），</w:t>
      </w:r>
      <w:r>
        <w:rPr>
          <w:rFonts w:ascii="SimSun" w:hAnsi="SimSun" w:eastAsia="SimSun" w:cs="SimSun"/>
          <w:sz w:val="24"/>
          <w:szCs w:val="24"/>
          <w:spacing w:val="4"/>
        </w:rPr>
        <w:t>同时满足《城市污水再生利用城市杂用水水质》</w:t>
      </w:r>
      <w:r>
        <w:rPr>
          <w:rFonts w:ascii="SimSun" w:hAnsi="SimSun" w:eastAsia="SimSun" w:cs="SimSun"/>
          <w:sz w:val="24"/>
          <w:szCs w:val="24"/>
          <w:spacing w:val="1"/>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GB/T18920-2020</w:t>
      </w:r>
      <w:r>
        <w:rPr>
          <w:rFonts w:ascii="SimSun" w:hAnsi="SimSun" w:eastAsia="SimSun" w:cs="SimSun"/>
          <w:sz w:val="24"/>
          <w:szCs w:val="24"/>
          <w:spacing w:val="-1"/>
        </w:rPr>
        <w:t>）标准限值要求。</w:t>
      </w:r>
    </w:p>
    <w:p>
      <w:pPr>
        <w:ind w:left="3086"/>
        <w:spacing w:before="124" w:line="222" w:lineRule="auto"/>
        <w:rPr>
          <w:rFonts w:ascii="SimHei" w:hAnsi="SimHei" w:eastAsia="SimHei" w:cs="SimHei"/>
          <w:sz w:val="24"/>
          <w:szCs w:val="24"/>
        </w:rPr>
      </w:pPr>
      <w:r>
        <w:rPr>
          <w:rFonts w:ascii="SimHei" w:hAnsi="SimHei" w:eastAsia="SimHei" w:cs="SimHei"/>
          <w:sz w:val="24"/>
          <w:szCs w:val="24"/>
          <w:b/>
          <w:bCs/>
          <w:spacing w:val="-3"/>
        </w:rPr>
        <w:t>矿井（坑）水水质例行监测一览表</w:t>
      </w:r>
    </w:p>
    <w:p>
      <w:pPr>
        <w:ind w:left="117"/>
        <w:spacing w:before="51" w:line="212"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3-3-8</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13"/>
        <w:gridCol w:w="883"/>
        <w:gridCol w:w="1027"/>
        <w:gridCol w:w="1067"/>
        <w:gridCol w:w="950"/>
        <w:gridCol w:w="2128"/>
        <w:gridCol w:w="2130"/>
        <w:gridCol w:w="592"/>
      </w:tblGrid>
      <w:tr>
        <w:trPr>
          <w:trHeight w:val="1098" w:hRule="atLeast"/>
        </w:trPr>
        <w:tc>
          <w:tcPr>
            <w:tcW w:w="1396" w:type="dxa"/>
            <w:vAlign w:val="top"/>
            <w:gridSpan w:val="2"/>
          </w:tcPr>
          <w:p>
            <w:pPr>
              <w:spacing w:line="374" w:lineRule="auto"/>
              <w:rPr>
                <w:rFonts w:ascii="Arial"/>
                <w:sz w:val="21"/>
              </w:rPr>
            </w:pPr>
            <w:r/>
          </w:p>
          <w:p>
            <w:pPr>
              <w:ind w:left="386"/>
              <w:spacing w:before="65" w:line="227" w:lineRule="auto"/>
              <w:rPr>
                <w:rFonts w:ascii="SimSun" w:hAnsi="SimSun" w:eastAsia="SimSun" w:cs="SimSun"/>
                <w:sz w:val="20"/>
                <w:szCs w:val="20"/>
              </w:rPr>
            </w:pPr>
            <w:r>
              <w:rPr>
                <w:rFonts w:ascii="SimSun" w:hAnsi="SimSun" w:eastAsia="SimSun" w:cs="SimSun"/>
                <w:sz w:val="20"/>
                <w:szCs w:val="20"/>
                <w:spacing w:val="7"/>
              </w:rPr>
              <w:t>采样点</w:t>
            </w:r>
          </w:p>
        </w:tc>
        <w:tc>
          <w:tcPr>
            <w:tcW w:w="3044" w:type="dxa"/>
            <w:vAlign w:val="top"/>
            <w:gridSpan w:val="3"/>
          </w:tcPr>
          <w:p>
            <w:pPr>
              <w:spacing w:line="374" w:lineRule="auto"/>
              <w:rPr>
                <w:rFonts w:ascii="Arial"/>
                <w:sz w:val="21"/>
              </w:rPr>
            </w:pPr>
            <w:r/>
          </w:p>
          <w:p>
            <w:pPr>
              <w:ind w:left="262"/>
              <w:spacing w:before="65" w:line="228" w:lineRule="auto"/>
              <w:rPr>
                <w:rFonts w:ascii="SimSun" w:hAnsi="SimSun" w:eastAsia="SimSun" w:cs="SimSun"/>
                <w:sz w:val="20"/>
                <w:szCs w:val="20"/>
              </w:rPr>
            </w:pPr>
            <w:r>
              <w:rPr>
                <w:rFonts w:ascii="SimSun" w:hAnsi="SimSun" w:eastAsia="SimSun" w:cs="SimSun"/>
                <w:sz w:val="20"/>
                <w:szCs w:val="20"/>
                <w:spacing w:val="9"/>
              </w:rPr>
              <w:t>矿井（坑）水处理站处理后</w:t>
            </w:r>
          </w:p>
        </w:tc>
        <w:tc>
          <w:tcPr>
            <w:tcW w:w="2128" w:type="dxa"/>
            <w:vAlign w:val="top"/>
          </w:tcPr>
          <w:p>
            <w:pPr>
              <w:ind w:left="128"/>
              <w:spacing w:before="168" w:line="226" w:lineRule="auto"/>
              <w:rPr>
                <w:rFonts w:ascii="SimSun" w:hAnsi="SimSun" w:eastAsia="SimSun" w:cs="SimSun"/>
                <w:sz w:val="20"/>
                <w:szCs w:val="20"/>
              </w:rPr>
            </w:pPr>
            <w:r>
              <w:rPr>
                <w:rFonts w:ascii="SimSun" w:hAnsi="SimSun" w:eastAsia="SimSun" w:cs="SimSun"/>
                <w:sz w:val="20"/>
                <w:szCs w:val="20"/>
                <w:spacing w:val="8"/>
              </w:rPr>
              <w:t>《城市污水再生利用</w:t>
            </w:r>
          </w:p>
          <w:p>
            <w:pPr>
              <w:ind w:left="334"/>
              <w:spacing w:before="25" w:line="228" w:lineRule="auto"/>
              <w:rPr>
                <w:rFonts w:ascii="SimSun" w:hAnsi="SimSun" w:eastAsia="SimSun" w:cs="SimSun"/>
                <w:sz w:val="20"/>
                <w:szCs w:val="20"/>
              </w:rPr>
            </w:pPr>
            <w:r>
              <w:rPr>
                <w:rFonts w:ascii="SimSun" w:hAnsi="SimSun" w:eastAsia="SimSun" w:cs="SimSun"/>
                <w:sz w:val="20"/>
                <w:szCs w:val="20"/>
                <w:spacing w:val="7"/>
              </w:rPr>
              <w:t>工业用水水质》</w:t>
            </w:r>
          </w:p>
          <w:p>
            <w:pPr>
              <w:pStyle w:val="TableText"/>
              <w:ind w:left="121"/>
              <w:spacing w:before="26"/>
              <w:rPr>
                <w:rFonts w:ascii="SimSun" w:hAnsi="SimSun" w:eastAsia="SimSun" w:cs="SimSun"/>
              </w:rPr>
            </w:pPr>
            <w:r>
              <w:rPr>
                <w:rFonts w:ascii="SimSun" w:hAnsi="SimSun" w:eastAsia="SimSun" w:cs="SimSun"/>
                <w:spacing w:val="4"/>
              </w:rPr>
              <w:t>（</w:t>
            </w:r>
            <w:r>
              <w:rPr/>
              <w:t>GB</w:t>
            </w:r>
            <w:r>
              <w:rPr>
                <w:spacing w:val="4"/>
              </w:rPr>
              <w:t>/T19923-2024</w:t>
            </w:r>
            <w:r>
              <w:rPr>
                <w:rFonts w:ascii="SimSun" w:hAnsi="SimSun" w:eastAsia="SimSun" w:cs="SimSun"/>
                <w:spacing w:val="4"/>
              </w:rPr>
              <w:t>）</w:t>
            </w:r>
          </w:p>
        </w:tc>
        <w:tc>
          <w:tcPr>
            <w:tcW w:w="2130" w:type="dxa"/>
            <w:vAlign w:val="top"/>
          </w:tcPr>
          <w:p>
            <w:pPr>
              <w:ind w:left="229" w:right="120" w:hanging="100"/>
              <w:spacing w:before="168" w:line="251" w:lineRule="auto"/>
              <w:rPr>
                <w:rFonts w:ascii="SimSun" w:hAnsi="SimSun" w:eastAsia="SimSun" w:cs="SimSun"/>
                <w:sz w:val="20"/>
                <w:szCs w:val="20"/>
              </w:rPr>
            </w:pPr>
            <w:r>
              <w:rPr>
                <w:rFonts w:ascii="SimSun" w:hAnsi="SimSun" w:eastAsia="SimSun" w:cs="SimSun"/>
                <w:sz w:val="20"/>
                <w:szCs w:val="20"/>
                <w:spacing w:val="8"/>
              </w:rPr>
              <w:t>《城市污水再生利用</w:t>
            </w:r>
            <w:r>
              <w:rPr>
                <w:rFonts w:ascii="SimSun" w:hAnsi="SimSun" w:eastAsia="SimSun" w:cs="SimSun"/>
                <w:sz w:val="20"/>
                <w:szCs w:val="20"/>
                <w:spacing w:val="7"/>
              </w:rPr>
              <w:t>城市杂用水水质》</w:t>
            </w:r>
          </w:p>
          <w:p>
            <w:pPr>
              <w:pStyle w:val="TableText"/>
              <w:ind w:left="122"/>
              <w:rPr>
                <w:rFonts w:ascii="SimSun" w:hAnsi="SimSun" w:eastAsia="SimSun" w:cs="SimSun"/>
              </w:rPr>
            </w:pPr>
            <w:r>
              <w:rPr>
                <w:rFonts w:ascii="SimSun" w:hAnsi="SimSun" w:eastAsia="SimSun" w:cs="SimSun"/>
                <w:spacing w:val="4"/>
              </w:rPr>
              <w:t>（</w:t>
            </w:r>
            <w:r>
              <w:rPr/>
              <w:t>GB</w:t>
            </w:r>
            <w:r>
              <w:rPr>
                <w:spacing w:val="4"/>
              </w:rPr>
              <w:t>/T18920-2020</w:t>
            </w:r>
            <w:r>
              <w:rPr>
                <w:rFonts w:ascii="SimSun" w:hAnsi="SimSun" w:eastAsia="SimSun" w:cs="SimSun"/>
                <w:spacing w:val="4"/>
              </w:rPr>
              <w:t>）</w:t>
            </w:r>
          </w:p>
        </w:tc>
        <w:tc>
          <w:tcPr>
            <w:tcW w:w="592" w:type="dxa"/>
            <w:vAlign w:val="top"/>
            <w:textDirection w:val="tbRlV"/>
          </w:tcPr>
          <w:p>
            <w:pPr>
              <w:ind w:left="33"/>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6"/>
              </w:rPr>
              <w:t xml:space="preserve"> </w:t>
            </w:r>
            <w:r>
              <w:rPr>
                <w:rFonts w:ascii="SimSun" w:hAnsi="SimSun" w:eastAsia="SimSun" w:cs="SimSun"/>
                <w:sz w:val="20"/>
                <w:szCs w:val="20"/>
                <w:spacing w:val="8"/>
              </w:rPr>
              <w:t>合</w:t>
            </w:r>
            <w:r>
              <w:rPr>
                <w:rFonts w:ascii="SimSun" w:hAnsi="SimSun" w:eastAsia="SimSun" w:cs="SimSun"/>
                <w:sz w:val="20"/>
                <w:szCs w:val="20"/>
                <w:spacing w:val="-38"/>
              </w:rPr>
              <w:t xml:space="preserve"> </w:t>
            </w:r>
            <w:r>
              <w:rPr>
                <w:rFonts w:ascii="SimSun" w:hAnsi="SimSun" w:eastAsia="SimSun" w:cs="SimSun"/>
                <w:sz w:val="20"/>
                <w:szCs w:val="20"/>
                <w:spacing w:val="8"/>
              </w:rPr>
              <w:t>情</w:t>
            </w:r>
            <w:r>
              <w:rPr>
                <w:rFonts w:ascii="SimSun" w:hAnsi="SimSun" w:eastAsia="SimSun" w:cs="SimSun"/>
                <w:sz w:val="20"/>
                <w:szCs w:val="20"/>
                <w:spacing w:val="-35"/>
              </w:rPr>
              <w:t xml:space="preserve"> </w:t>
            </w:r>
            <w:r>
              <w:rPr>
                <w:rFonts w:ascii="SimSun" w:hAnsi="SimSun" w:eastAsia="SimSun" w:cs="SimSun"/>
                <w:sz w:val="20"/>
                <w:szCs w:val="20"/>
                <w:spacing w:val="8"/>
              </w:rPr>
              <w:t>况</w:t>
            </w:r>
          </w:p>
        </w:tc>
      </w:tr>
      <w:tr>
        <w:trPr>
          <w:trHeight w:val="278" w:hRule="atLeast"/>
        </w:trPr>
        <w:tc>
          <w:tcPr>
            <w:tcW w:w="1396" w:type="dxa"/>
            <w:vAlign w:val="top"/>
            <w:gridSpan w:val="2"/>
          </w:tcPr>
          <w:p>
            <w:pPr>
              <w:ind w:left="280"/>
              <w:spacing w:before="29" w:line="220" w:lineRule="auto"/>
              <w:rPr>
                <w:rFonts w:ascii="SimSun" w:hAnsi="SimSun" w:eastAsia="SimSun" w:cs="SimSun"/>
                <w:sz w:val="20"/>
                <w:szCs w:val="20"/>
              </w:rPr>
            </w:pPr>
            <w:r>
              <w:rPr>
                <w:rFonts w:ascii="SimSun" w:hAnsi="SimSun" w:eastAsia="SimSun" w:cs="SimSun"/>
                <w:sz w:val="20"/>
                <w:szCs w:val="20"/>
                <w:spacing w:val="7"/>
              </w:rPr>
              <w:t>采样日期</w:t>
            </w:r>
          </w:p>
        </w:tc>
        <w:tc>
          <w:tcPr>
            <w:tcW w:w="1027" w:type="dxa"/>
            <w:vAlign w:val="top"/>
          </w:tcPr>
          <w:p>
            <w:pPr>
              <w:pStyle w:val="TableText"/>
              <w:ind w:left="144"/>
              <w:spacing w:before="65" w:line="195" w:lineRule="auto"/>
              <w:rPr/>
            </w:pPr>
            <w:r>
              <w:rPr>
                <w:spacing w:val="4"/>
              </w:rPr>
              <w:t>2024.7.5</w:t>
            </w:r>
          </w:p>
        </w:tc>
        <w:tc>
          <w:tcPr>
            <w:tcW w:w="1067" w:type="dxa"/>
            <w:vAlign w:val="top"/>
          </w:tcPr>
          <w:p>
            <w:pPr>
              <w:pStyle w:val="TableText"/>
              <w:ind w:left="163"/>
              <w:spacing w:before="65" w:line="195" w:lineRule="auto"/>
              <w:rPr/>
            </w:pPr>
            <w:r>
              <w:rPr>
                <w:spacing w:val="4"/>
              </w:rPr>
              <w:t>2024.8.7</w:t>
            </w:r>
          </w:p>
        </w:tc>
        <w:tc>
          <w:tcPr>
            <w:tcW w:w="950" w:type="dxa"/>
            <w:vAlign w:val="top"/>
          </w:tcPr>
          <w:p>
            <w:pPr>
              <w:pStyle w:val="TableText"/>
              <w:ind w:left="109"/>
              <w:spacing w:before="65" w:line="195" w:lineRule="auto"/>
              <w:rPr/>
            </w:pPr>
            <w:r>
              <w:rPr>
                <w:spacing w:val="3"/>
              </w:rPr>
              <w:t>2024.9.6</w:t>
            </w:r>
          </w:p>
        </w:tc>
        <w:tc>
          <w:tcPr>
            <w:tcW w:w="2128" w:type="dxa"/>
            <w:vAlign w:val="top"/>
          </w:tcPr>
          <w:p>
            <w:pPr>
              <w:rPr>
                <w:rFonts w:ascii="Arial"/>
                <w:sz w:val="21"/>
              </w:rPr>
            </w:pPr>
            <w:r/>
          </w:p>
        </w:tc>
        <w:tc>
          <w:tcPr>
            <w:tcW w:w="2130" w:type="dxa"/>
            <w:vAlign w:val="top"/>
          </w:tcPr>
          <w:p>
            <w:pPr>
              <w:rPr>
                <w:rFonts w:ascii="Arial"/>
                <w:sz w:val="21"/>
              </w:rPr>
            </w:pPr>
            <w:r/>
          </w:p>
        </w:tc>
        <w:tc>
          <w:tcPr>
            <w:tcW w:w="592" w:type="dxa"/>
            <w:vAlign w:val="top"/>
          </w:tcPr>
          <w:p>
            <w:pPr>
              <w:rPr>
                <w:rFonts w:ascii="Arial"/>
                <w:sz w:val="21"/>
              </w:rPr>
            </w:pPr>
            <w:r/>
          </w:p>
        </w:tc>
      </w:tr>
      <w:tr>
        <w:trPr>
          <w:trHeight w:val="549" w:hRule="atLeast"/>
        </w:trPr>
        <w:tc>
          <w:tcPr>
            <w:tcW w:w="513" w:type="dxa"/>
            <w:vAlign w:val="top"/>
            <w:vMerge w:val="restart"/>
            <w:textDirection w:val="tbRlV"/>
            <w:tcBorders>
              <w:bottom w:val="nil"/>
            </w:tcBorders>
          </w:tcPr>
          <w:p>
            <w:pPr>
              <w:ind w:left="879"/>
              <w:spacing w:before="153" w:line="207" w:lineRule="auto"/>
              <w:rPr>
                <w:rFonts w:ascii="SimSun" w:hAnsi="SimSun" w:eastAsia="SimSun" w:cs="SimSun"/>
                <w:sz w:val="20"/>
                <w:szCs w:val="20"/>
              </w:rPr>
            </w:pPr>
            <w:r>
              <w:rPr>
                <w:rFonts w:ascii="SimSun" w:hAnsi="SimSun" w:eastAsia="SimSun" w:cs="SimSun"/>
                <w:sz w:val="20"/>
                <w:szCs w:val="20"/>
                <w:spacing w:val="8"/>
              </w:rPr>
              <w:t>监</w:t>
            </w:r>
            <w:r>
              <w:rPr>
                <w:rFonts w:ascii="SimSun" w:hAnsi="SimSun" w:eastAsia="SimSun" w:cs="SimSun"/>
                <w:sz w:val="20"/>
                <w:szCs w:val="20"/>
                <w:spacing w:val="-34"/>
              </w:rPr>
              <w:t xml:space="preserve"> </w:t>
            </w:r>
            <w:r>
              <w:rPr>
                <w:rFonts w:ascii="SimSun" w:hAnsi="SimSun" w:eastAsia="SimSun" w:cs="SimSun"/>
                <w:sz w:val="20"/>
                <w:szCs w:val="20"/>
                <w:spacing w:val="8"/>
              </w:rPr>
              <w:t>测</w:t>
            </w:r>
            <w:r>
              <w:rPr>
                <w:rFonts w:ascii="SimSun" w:hAnsi="SimSun" w:eastAsia="SimSun" w:cs="SimSun"/>
                <w:sz w:val="20"/>
                <w:szCs w:val="20"/>
                <w:spacing w:val="-35"/>
              </w:rPr>
              <w:t xml:space="preserve"> </w:t>
            </w:r>
            <w:r>
              <w:rPr>
                <w:rFonts w:ascii="SimSun" w:hAnsi="SimSun" w:eastAsia="SimSun" w:cs="SimSun"/>
                <w:sz w:val="20"/>
                <w:szCs w:val="20"/>
                <w:spacing w:val="8"/>
              </w:rPr>
              <w:t>项</w:t>
            </w:r>
            <w:r>
              <w:rPr>
                <w:rFonts w:ascii="SimSun" w:hAnsi="SimSun" w:eastAsia="SimSun" w:cs="SimSun"/>
                <w:sz w:val="20"/>
                <w:szCs w:val="20"/>
                <w:spacing w:val="-35"/>
              </w:rPr>
              <w:t xml:space="preserve"> </w:t>
            </w:r>
            <w:r>
              <w:rPr>
                <w:rFonts w:ascii="SimSun" w:hAnsi="SimSun" w:eastAsia="SimSun" w:cs="SimSun"/>
                <w:sz w:val="20"/>
                <w:szCs w:val="20"/>
                <w:spacing w:val="8"/>
                <w:position w:val="1"/>
              </w:rPr>
              <w:t>目</w:t>
            </w:r>
            <w:r>
              <w:rPr>
                <w:rFonts w:ascii="SimSun" w:hAnsi="SimSun" w:eastAsia="SimSun" w:cs="SimSun"/>
                <w:sz w:val="20"/>
                <w:szCs w:val="20"/>
                <w:spacing w:val="-38"/>
                <w:position w:val="1"/>
              </w:rPr>
              <w:t xml:space="preserve"> </w:t>
            </w:r>
            <w:r>
              <w:rPr>
                <w:rFonts w:ascii="SimSun" w:hAnsi="SimSun" w:eastAsia="SimSun" w:cs="SimSun"/>
                <w:sz w:val="20"/>
                <w:szCs w:val="20"/>
                <w:spacing w:val="8"/>
              </w:rPr>
              <w:t>及</w:t>
            </w:r>
            <w:r>
              <w:rPr>
                <w:rFonts w:ascii="SimSun" w:hAnsi="SimSun" w:eastAsia="SimSun" w:cs="SimSun"/>
                <w:sz w:val="20"/>
                <w:szCs w:val="20"/>
                <w:spacing w:val="-37"/>
              </w:rPr>
              <w:t xml:space="preserve"> </w:t>
            </w:r>
            <w:r>
              <w:rPr>
                <w:rFonts w:ascii="SimSun" w:hAnsi="SimSun" w:eastAsia="SimSun" w:cs="SimSun"/>
                <w:sz w:val="20"/>
                <w:szCs w:val="20"/>
                <w:spacing w:val="8"/>
              </w:rPr>
              <w:t>结</w:t>
            </w:r>
            <w:r>
              <w:rPr>
                <w:rFonts w:ascii="SimSun" w:hAnsi="SimSun" w:eastAsia="SimSun" w:cs="SimSun"/>
                <w:sz w:val="20"/>
                <w:szCs w:val="20"/>
                <w:spacing w:val="-35"/>
              </w:rPr>
              <w:t xml:space="preserve"> </w:t>
            </w:r>
            <w:r>
              <w:rPr>
                <w:rFonts w:ascii="SimSun" w:hAnsi="SimSun" w:eastAsia="SimSun" w:cs="SimSun"/>
                <w:sz w:val="20"/>
                <w:szCs w:val="20"/>
                <w:spacing w:val="8"/>
              </w:rPr>
              <w:t>果</w:t>
            </w:r>
          </w:p>
        </w:tc>
        <w:tc>
          <w:tcPr>
            <w:tcW w:w="883" w:type="dxa"/>
            <w:vAlign w:val="top"/>
          </w:tcPr>
          <w:p>
            <w:pPr>
              <w:pStyle w:val="TableText"/>
              <w:ind w:left="304"/>
              <w:spacing w:before="203" w:line="194" w:lineRule="auto"/>
              <w:rPr/>
            </w:pPr>
            <w:r>
              <w:rPr>
                <w:spacing w:val="7"/>
              </w:rPr>
              <w:t>pH</w:t>
            </w:r>
          </w:p>
        </w:tc>
        <w:tc>
          <w:tcPr>
            <w:tcW w:w="1027" w:type="dxa"/>
            <w:vAlign w:val="top"/>
          </w:tcPr>
          <w:p>
            <w:pPr>
              <w:pStyle w:val="TableText"/>
              <w:ind w:left="382"/>
              <w:spacing w:before="200" w:line="195" w:lineRule="auto"/>
              <w:rPr/>
            </w:pPr>
            <w:r>
              <w:rPr>
                <w:spacing w:val="2"/>
              </w:rPr>
              <w:t>7.8</w:t>
            </w:r>
          </w:p>
        </w:tc>
        <w:tc>
          <w:tcPr>
            <w:tcW w:w="1067" w:type="dxa"/>
            <w:vAlign w:val="top"/>
          </w:tcPr>
          <w:p>
            <w:pPr>
              <w:pStyle w:val="TableText"/>
              <w:ind w:left="402"/>
              <w:spacing w:before="203" w:line="192" w:lineRule="auto"/>
              <w:rPr/>
            </w:pPr>
            <w:r>
              <w:rPr>
                <w:spacing w:val="1"/>
              </w:rPr>
              <w:t>7.7</w:t>
            </w:r>
          </w:p>
        </w:tc>
        <w:tc>
          <w:tcPr>
            <w:tcW w:w="950" w:type="dxa"/>
            <w:vAlign w:val="top"/>
          </w:tcPr>
          <w:p>
            <w:pPr>
              <w:pStyle w:val="TableText"/>
              <w:ind w:left="345"/>
              <w:spacing w:before="203" w:line="192" w:lineRule="auto"/>
              <w:rPr/>
            </w:pPr>
            <w:r>
              <w:rPr>
                <w:spacing w:val="2"/>
              </w:rPr>
              <w:t>7.7</w:t>
            </w:r>
          </w:p>
        </w:tc>
        <w:tc>
          <w:tcPr>
            <w:tcW w:w="2128" w:type="dxa"/>
            <w:vAlign w:val="top"/>
          </w:tcPr>
          <w:p>
            <w:pPr>
              <w:pStyle w:val="TableText"/>
              <w:ind w:left="927"/>
              <w:spacing w:before="200" w:line="195" w:lineRule="auto"/>
              <w:rPr/>
            </w:pPr>
            <w:r>
              <w:rPr/>
              <w:t>6-9</w:t>
            </w:r>
          </w:p>
        </w:tc>
        <w:tc>
          <w:tcPr>
            <w:tcW w:w="2130" w:type="dxa"/>
            <w:vAlign w:val="top"/>
          </w:tcPr>
          <w:p>
            <w:pPr>
              <w:pStyle w:val="TableText"/>
              <w:ind w:left="931"/>
              <w:spacing w:before="200" w:line="195" w:lineRule="auto"/>
              <w:rPr/>
            </w:pPr>
            <w:r>
              <w:rPr/>
              <w:t>6-9</w:t>
            </w:r>
          </w:p>
        </w:tc>
        <w:tc>
          <w:tcPr>
            <w:tcW w:w="592" w:type="dxa"/>
            <w:vAlign w:val="top"/>
            <w:textDirection w:val="tbRlV"/>
          </w:tcPr>
          <w:p>
            <w:pPr>
              <w:ind w:left="30"/>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8"/>
              </w:rPr>
              <w:t xml:space="preserve"> </w:t>
            </w:r>
            <w:r>
              <w:rPr>
                <w:rFonts w:ascii="SimSun" w:hAnsi="SimSun" w:eastAsia="SimSun" w:cs="SimSun"/>
                <w:sz w:val="20"/>
                <w:szCs w:val="20"/>
                <w:spacing w:val="8"/>
              </w:rPr>
              <w:t>合</w:t>
            </w:r>
          </w:p>
        </w:tc>
      </w:tr>
      <w:tr>
        <w:trPr>
          <w:trHeight w:val="278"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128"/>
              <w:spacing w:before="30" w:line="219" w:lineRule="auto"/>
              <w:rPr>
                <w:rFonts w:ascii="SimSun" w:hAnsi="SimSun" w:eastAsia="SimSun" w:cs="SimSun"/>
                <w:sz w:val="20"/>
                <w:szCs w:val="20"/>
              </w:rPr>
            </w:pPr>
            <w:r>
              <w:rPr>
                <w:rFonts w:ascii="SimSun" w:hAnsi="SimSun" w:eastAsia="SimSun" w:cs="SimSun"/>
                <w:sz w:val="20"/>
                <w:szCs w:val="20"/>
                <w:spacing w:val="6"/>
              </w:rPr>
              <w:t>悬浮物</w:t>
            </w:r>
          </w:p>
        </w:tc>
        <w:tc>
          <w:tcPr>
            <w:tcW w:w="1027" w:type="dxa"/>
            <w:vAlign w:val="top"/>
          </w:tcPr>
          <w:p>
            <w:pPr>
              <w:pStyle w:val="TableText"/>
              <w:ind w:left="383"/>
              <w:spacing w:before="66" w:line="195" w:lineRule="auto"/>
              <w:rPr/>
            </w:pPr>
            <w:r>
              <w:rPr>
                <w:spacing w:val="2"/>
              </w:rPr>
              <w:t>6.5</w:t>
            </w:r>
          </w:p>
        </w:tc>
        <w:tc>
          <w:tcPr>
            <w:tcW w:w="1067" w:type="dxa"/>
            <w:vAlign w:val="top"/>
          </w:tcPr>
          <w:p>
            <w:pPr>
              <w:pStyle w:val="TableText"/>
              <w:ind w:left="403"/>
              <w:spacing w:before="66" w:line="195" w:lineRule="auto"/>
              <w:rPr/>
            </w:pPr>
            <w:r>
              <w:rPr>
                <w:spacing w:val="1"/>
              </w:rPr>
              <w:t>6.5</w:t>
            </w:r>
          </w:p>
        </w:tc>
        <w:tc>
          <w:tcPr>
            <w:tcW w:w="950" w:type="dxa"/>
            <w:vAlign w:val="top"/>
          </w:tcPr>
          <w:p>
            <w:pPr>
              <w:pStyle w:val="TableText"/>
              <w:ind w:left="425"/>
              <w:spacing w:before="66" w:line="195" w:lineRule="auto"/>
              <w:rPr/>
            </w:pPr>
            <w:r>
              <w:rPr/>
              <w:t>6</w:t>
            </w:r>
          </w:p>
        </w:tc>
        <w:tc>
          <w:tcPr>
            <w:tcW w:w="2128" w:type="dxa"/>
            <w:vAlign w:val="top"/>
          </w:tcPr>
          <w:p>
            <w:pPr>
              <w:pStyle w:val="TableText"/>
              <w:ind w:left="1032"/>
              <w:spacing w:before="62" w:line="199" w:lineRule="auto"/>
              <w:rPr/>
            </w:pPr>
            <w:r>
              <w:rPr>
                <w:spacing w:val="2"/>
              </w:rPr>
              <w:t>/</w:t>
            </w:r>
          </w:p>
        </w:tc>
        <w:tc>
          <w:tcPr>
            <w:tcW w:w="2130" w:type="dxa"/>
            <w:vAlign w:val="top"/>
          </w:tcPr>
          <w:p>
            <w:pPr>
              <w:pStyle w:val="TableText"/>
              <w:ind w:left="1035"/>
              <w:spacing w:before="62" w:line="199" w:lineRule="auto"/>
              <w:rPr/>
            </w:pPr>
            <w:r>
              <w:rPr>
                <w:spacing w:val="2"/>
              </w:rPr>
              <w:t>/</w:t>
            </w:r>
          </w:p>
        </w:tc>
        <w:tc>
          <w:tcPr>
            <w:tcW w:w="592" w:type="dxa"/>
            <w:vAlign w:val="top"/>
          </w:tcPr>
          <w:p>
            <w:pPr>
              <w:ind w:left="246"/>
              <w:spacing w:before="30" w:line="219" w:lineRule="auto"/>
              <w:rPr>
                <w:rFonts w:ascii="SimSun" w:hAnsi="SimSun" w:eastAsia="SimSun" w:cs="SimSun"/>
                <w:sz w:val="20"/>
                <w:szCs w:val="20"/>
              </w:rPr>
            </w:pPr>
            <w:r>
              <w:rPr>
                <w:rFonts w:ascii="SimSun" w:hAnsi="SimSun" w:eastAsia="SimSun" w:cs="SimSun"/>
                <w:sz w:val="20"/>
                <w:szCs w:val="20"/>
              </w:rPr>
              <w:t>/</w:t>
            </w:r>
          </w:p>
        </w:tc>
      </w:tr>
      <w:tr>
        <w:trPr>
          <w:trHeight w:val="275"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126"/>
              <w:spacing w:before="28" w:line="218" w:lineRule="auto"/>
              <w:rPr>
                <w:rFonts w:ascii="SimSun" w:hAnsi="SimSun" w:eastAsia="SimSun" w:cs="SimSun"/>
                <w:sz w:val="20"/>
                <w:szCs w:val="20"/>
              </w:rPr>
            </w:pPr>
            <w:r>
              <w:rPr>
                <w:rFonts w:ascii="SimSun" w:hAnsi="SimSun" w:eastAsia="SimSun" w:cs="SimSun"/>
                <w:sz w:val="20"/>
                <w:szCs w:val="20"/>
                <w:spacing w:val="6"/>
              </w:rPr>
              <w:t>氟化物</w:t>
            </w:r>
          </w:p>
        </w:tc>
        <w:tc>
          <w:tcPr>
            <w:tcW w:w="1027" w:type="dxa"/>
            <w:vAlign w:val="top"/>
          </w:tcPr>
          <w:p>
            <w:pPr>
              <w:pStyle w:val="TableText"/>
              <w:ind w:left="329"/>
              <w:spacing w:before="64" w:line="195" w:lineRule="auto"/>
              <w:rPr/>
            </w:pPr>
            <w:r>
              <w:rPr>
                <w:spacing w:val="3"/>
              </w:rPr>
              <w:t>0.42</w:t>
            </w:r>
          </w:p>
        </w:tc>
        <w:tc>
          <w:tcPr>
            <w:tcW w:w="1067" w:type="dxa"/>
            <w:vAlign w:val="top"/>
          </w:tcPr>
          <w:p>
            <w:pPr>
              <w:pStyle w:val="TableText"/>
              <w:ind w:left="351"/>
              <w:spacing w:before="64" w:line="195" w:lineRule="auto"/>
              <w:rPr/>
            </w:pPr>
            <w:r>
              <w:rPr>
                <w:spacing w:val="2"/>
              </w:rPr>
              <w:t>0.40</w:t>
            </w:r>
          </w:p>
        </w:tc>
        <w:tc>
          <w:tcPr>
            <w:tcW w:w="950" w:type="dxa"/>
            <w:vAlign w:val="top"/>
          </w:tcPr>
          <w:p>
            <w:pPr>
              <w:pStyle w:val="TableText"/>
              <w:ind w:left="345"/>
              <w:spacing w:before="64" w:line="195" w:lineRule="auto"/>
              <w:rPr/>
            </w:pPr>
            <w:r>
              <w:rPr>
                <w:spacing w:val="2"/>
              </w:rPr>
              <w:t>0.4</w:t>
            </w:r>
          </w:p>
        </w:tc>
        <w:tc>
          <w:tcPr>
            <w:tcW w:w="2128" w:type="dxa"/>
            <w:vAlign w:val="top"/>
          </w:tcPr>
          <w:p>
            <w:pPr>
              <w:pStyle w:val="TableText"/>
              <w:ind w:left="1032"/>
              <w:spacing w:before="60" w:line="199" w:lineRule="auto"/>
              <w:rPr/>
            </w:pPr>
            <w:r>
              <w:rPr>
                <w:spacing w:val="2"/>
              </w:rPr>
              <w:t>/</w:t>
            </w:r>
          </w:p>
        </w:tc>
        <w:tc>
          <w:tcPr>
            <w:tcW w:w="2130" w:type="dxa"/>
            <w:vAlign w:val="top"/>
          </w:tcPr>
          <w:p>
            <w:pPr>
              <w:pStyle w:val="TableText"/>
              <w:ind w:left="1035"/>
              <w:spacing w:before="60" w:line="199" w:lineRule="auto"/>
              <w:rPr/>
            </w:pPr>
            <w:r>
              <w:rPr>
                <w:spacing w:val="2"/>
              </w:rPr>
              <w:t>/</w:t>
            </w:r>
          </w:p>
        </w:tc>
        <w:tc>
          <w:tcPr>
            <w:tcW w:w="592" w:type="dxa"/>
            <w:vAlign w:val="top"/>
          </w:tcPr>
          <w:p>
            <w:pPr>
              <w:pStyle w:val="TableText"/>
              <w:ind w:left="261"/>
              <w:spacing w:before="60" w:line="199" w:lineRule="auto"/>
              <w:rPr/>
            </w:pPr>
            <w:r>
              <w:rPr>
                <w:spacing w:val="2"/>
              </w:rPr>
              <w:t>/</w:t>
            </w:r>
          </w:p>
        </w:tc>
      </w:tr>
      <w:tr>
        <w:trPr>
          <w:trHeight w:val="549"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234" w:right="131" w:hanging="108"/>
              <w:spacing w:before="31" w:line="234" w:lineRule="auto"/>
              <w:rPr>
                <w:rFonts w:ascii="SimSun" w:hAnsi="SimSun" w:eastAsia="SimSun" w:cs="SimSun"/>
                <w:sz w:val="20"/>
                <w:szCs w:val="20"/>
              </w:rPr>
            </w:pPr>
            <w:r>
              <w:rPr>
                <w:rFonts w:ascii="SimSun" w:hAnsi="SimSun" w:eastAsia="SimSun" w:cs="SimSun"/>
                <w:sz w:val="20"/>
                <w:szCs w:val="20"/>
                <w:spacing w:val="6"/>
              </w:rPr>
              <w:t>化学需</w:t>
            </w:r>
            <w:r>
              <w:rPr>
                <w:rFonts w:ascii="SimSun" w:hAnsi="SimSun" w:eastAsia="SimSun" w:cs="SimSun"/>
                <w:sz w:val="20"/>
                <w:szCs w:val="20"/>
                <w:spacing w:val="4"/>
              </w:rPr>
              <w:t>氧量</w:t>
            </w:r>
          </w:p>
        </w:tc>
        <w:tc>
          <w:tcPr>
            <w:tcW w:w="1027" w:type="dxa"/>
            <w:vAlign w:val="top"/>
          </w:tcPr>
          <w:p>
            <w:pPr>
              <w:pStyle w:val="TableText"/>
              <w:ind w:left="382"/>
              <w:spacing w:before="207" w:line="192" w:lineRule="auto"/>
              <w:rPr/>
            </w:pPr>
            <w:r>
              <w:rPr>
                <w:spacing w:val="2"/>
              </w:rPr>
              <w:t>7.5</w:t>
            </w:r>
          </w:p>
        </w:tc>
        <w:tc>
          <w:tcPr>
            <w:tcW w:w="1067" w:type="dxa"/>
            <w:vAlign w:val="top"/>
          </w:tcPr>
          <w:p>
            <w:pPr>
              <w:pStyle w:val="TableText"/>
              <w:ind w:left="403"/>
              <w:spacing w:before="204" w:line="195" w:lineRule="auto"/>
              <w:rPr/>
            </w:pPr>
            <w:r>
              <w:rPr>
                <w:spacing w:val="1"/>
              </w:rPr>
              <w:t>6.5</w:t>
            </w:r>
          </w:p>
        </w:tc>
        <w:tc>
          <w:tcPr>
            <w:tcW w:w="950" w:type="dxa"/>
            <w:vAlign w:val="top"/>
          </w:tcPr>
          <w:p>
            <w:pPr>
              <w:pStyle w:val="TableText"/>
              <w:ind w:left="424"/>
              <w:spacing w:before="207" w:line="192" w:lineRule="auto"/>
              <w:rPr/>
            </w:pPr>
            <w:r>
              <w:rPr/>
              <w:t>7</w:t>
            </w:r>
          </w:p>
        </w:tc>
        <w:tc>
          <w:tcPr>
            <w:tcW w:w="2128" w:type="dxa"/>
            <w:vAlign w:val="top"/>
          </w:tcPr>
          <w:p>
            <w:pPr>
              <w:pStyle w:val="TableText"/>
              <w:ind w:left="965"/>
              <w:spacing w:before="204" w:line="195" w:lineRule="auto"/>
              <w:rPr/>
            </w:pPr>
            <w:r>
              <w:rPr>
                <w:spacing w:val="1"/>
              </w:rPr>
              <w:t>50</w:t>
            </w:r>
          </w:p>
        </w:tc>
        <w:tc>
          <w:tcPr>
            <w:tcW w:w="2130" w:type="dxa"/>
            <w:vAlign w:val="top"/>
          </w:tcPr>
          <w:p>
            <w:pPr>
              <w:pStyle w:val="TableText"/>
              <w:ind w:left="1035"/>
              <w:spacing w:before="200" w:line="199" w:lineRule="auto"/>
              <w:rPr/>
            </w:pPr>
            <w:r>
              <w:rPr>
                <w:spacing w:val="2"/>
              </w:rPr>
              <w:t>/</w:t>
            </w:r>
          </w:p>
        </w:tc>
        <w:tc>
          <w:tcPr>
            <w:tcW w:w="592" w:type="dxa"/>
            <w:vAlign w:val="top"/>
            <w:textDirection w:val="tbRlV"/>
          </w:tcPr>
          <w:p>
            <w:pPr>
              <w:ind w:left="31"/>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5"/>
              </w:rPr>
              <w:t xml:space="preserve"> </w:t>
            </w:r>
            <w:r>
              <w:rPr>
                <w:rFonts w:ascii="SimSun" w:hAnsi="SimSun" w:eastAsia="SimSun" w:cs="SimSun"/>
                <w:sz w:val="20"/>
                <w:szCs w:val="20"/>
                <w:spacing w:val="8"/>
              </w:rPr>
              <w:t>合</w:t>
            </w:r>
          </w:p>
        </w:tc>
      </w:tr>
      <w:tr>
        <w:trPr>
          <w:trHeight w:val="822"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129"/>
              <w:spacing w:before="31" w:line="233" w:lineRule="auto"/>
              <w:rPr>
                <w:rFonts w:ascii="SimSun" w:hAnsi="SimSun" w:eastAsia="SimSun" w:cs="SimSun"/>
                <w:sz w:val="20"/>
                <w:szCs w:val="20"/>
              </w:rPr>
            </w:pPr>
            <w:r>
              <w:rPr>
                <w:rFonts w:ascii="SimSun" w:hAnsi="SimSun" w:eastAsia="SimSun" w:cs="SimSun"/>
                <w:sz w:val="20"/>
                <w:szCs w:val="20"/>
                <w:spacing w:val="5"/>
              </w:rPr>
              <w:t>五日生</w:t>
            </w:r>
          </w:p>
          <w:p>
            <w:pPr>
              <w:ind w:left="336" w:right="131" w:hanging="210"/>
              <w:spacing w:before="18" w:line="235" w:lineRule="auto"/>
              <w:rPr>
                <w:rFonts w:ascii="SimSun" w:hAnsi="SimSun" w:eastAsia="SimSun" w:cs="SimSun"/>
                <w:sz w:val="20"/>
                <w:szCs w:val="20"/>
              </w:rPr>
            </w:pPr>
            <w:r>
              <w:rPr>
                <w:rFonts w:ascii="SimSun" w:hAnsi="SimSun" w:eastAsia="SimSun" w:cs="SimSun"/>
                <w:sz w:val="20"/>
                <w:szCs w:val="20"/>
                <w:spacing w:val="6"/>
              </w:rPr>
              <w:t>化需氧</w:t>
            </w:r>
            <w:r>
              <w:rPr>
                <w:rFonts w:ascii="SimSun" w:hAnsi="SimSun" w:eastAsia="SimSun" w:cs="SimSun"/>
                <w:sz w:val="20"/>
                <w:szCs w:val="20"/>
              </w:rPr>
              <w:t>量</w:t>
            </w:r>
          </w:p>
        </w:tc>
        <w:tc>
          <w:tcPr>
            <w:tcW w:w="1027" w:type="dxa"/>
            <w:vAlign w:val="top"/>
          </w:tcPr>
          <w:p>
            <w:pPr>
              <w:spacing w:line="279" w:lineRule="auto"/>
              <w:rPr>
                <w:rFonts w:ascii="Arial"/>
                <w:sz w:val="21"/>
              </w:rPr>
            </w:pPr>
            <w:r/>
          </w:p>
          <w:p>
            <w:pPr>
              <w:pStyle w:val="TableText"/>
              <w:ind w:left="399"/>
              <w:spacing w:before="58" w:line="195" w:lineRule="auto"/>
              <w:rPr/>
            </w:pPr>
            <w:r>
              <w:rPr>
                <w:spacing w:val="-4"/>
              </w:rPr>
              <w:t>1.9</w:t>
            </w:r>
          </w:p>
        </w:tc>
        <w:tc>
          <w:tcPr>
            <w:tcW w:w="1067" w:type="dxa"/>
            <w:vAlign w:val="top"/>
          </w:tcPr>
          <w:p>
            <w:pPr>
              <w:spacing w:line="279" w:lineRule="auto"/>
              <w:rPr>
                <w:rFonts w:ascii="Arial"/>
                <w:sz w:val="21"/>
              </w:rPr>
            </w:pPr>
            <w:r/>
          </w:p>
          <w:p>
            <w:pPr>
              <w:pStyle w:val="TableText"/>
              <w:ind w:left="418"/>
              <w:spacing w:before="58" w:line="195" w:lineRule="auto"/>
              <w:rPr/>
            </w:pPr>
            <w:r>
              <w:rPr>
                <w:spacing w:val="-4"/>
              </w:rPr>
              <w:t>1.2</w:t>
            </w:r>
          </w:p>
        </w:tc>
        <w:tc>
          <w:tcPr>
            <w:tcW w:w="950" w:type="dxa"/>
            <w:vAlign w:val="top"/>
          </w:tcPr>
          <w:p>
            <w:pPr>
              <w:spacing w:line="279" w:lineRule="auto"/>
              <w:rPr>
                <w:rFonts w:ascii="Arial"/>
                <w:sz w:val="21"/>
              </w:rPr>
            </w:pPr>
            <w:r/>
          </w:p>
          <w:p>
            <w:pPr>
              <w:pStyle w:val="TableText"/>
              <w:ind w:left="362"/>
              <w:spacing w:before="58" w:line="195" w:lineRule="auto"/>
              <w:rPr/>
            </w:pPr>
            <w:r>
              <w:rPr>
                <w:spacing w:val="-4"/>
              </w:rPr>
              <w:t>1.8</w:t>
            </w:r>
          </w:p>
        </w:tc>
        <w:tc>
          <w:tcPr>
            <w:tcW w:w="2128" w:type="dxa"/>
            <w:vAlign w:val="top"/>
          </w:tcPr>
          <w:p>
            <w:pPr>
              <w:spacing w:line="279" w:lineRule="auto"/>
              <w:rPr>
                <w:rFonts w:ascii="Arial"/>
                <w:sz w:val="21"/>
              </w:rPr>
            </w:pPr>
            <w:r/>
          </w:p>
          <w:p>
            <w:pPr>
              <w:pStyle w:val="TableText"/>
              <w:ind w:left="979"/>
              <w:spacing w:before="58" w:line="195" w:lineRule="auto"/>
              <w:rPr/>
            </w:pPr>
            <w:r>
              <w:rPr>
                <w:spacing w:val="-6"/>
              </w:rPr>
              <w:t>10</w:t>
            </w:r>
          </w:p>
        </w:tc>
        <w:tc>
          <w:tcPr>
            <w:tcW w:w="2130" w:type="dxa"/>
            <w:vAlign w:val="top"/>
          </w:tcPr>
          <w:p>
            <w:pPr>
              <w:spacing w:line="280" w:lineRule="auto"/>
              <w:rPr>
                <w:rFonts w:ascii="Arial"/>
                <w:sz w:val="21"/>
              </w:rPr>
            </w:pPr>
            <w:r/>
          </w:p>
          <w:p>
            <w:pPr>
              <w:pStyle w:val="TableText"/>
              <w:ind w:left="900"/>
              <w:spacing w:before="58" w:line="195" w:lineRule="auto"/>
              <w:rPr/>
            </w:pPr>
            <w:r>
              <w:rPr>
                <w:spacing w:val="4"/>
              </w:rPr>
              <w:t>≤10</w:t>
            </w:r>
          </w:p>
        </w:tc>
        <w:tc>
          <w:tcPr>
            <w:tcW w:w="592" w:type="dxa"/>
            <w:vAlign w:val="top"/>
            <w:textDirection w:val="tbRlV"/>
          </w:tcPr>
          <w:p>
            <w:pPr>
              <w:ind w:left="168"/>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8"/>
              </w:rPr>
              <w:t xml:space="preserve"> </w:t>
            </w:r>
            <w:r>
              <w:rPr>
                <w:rFonts w:ascii="SimSun" w:hAnsi="SimSun" w:eastAsia="SimSun" w:cs="SimSun"/>
                <w:sz w:val="20"/>
                <w:szCs w:val="20"/>
                <w:spacing w:val="8"/>
              </w:rPr>
              <w:t>合</w:t>
            </w:r>
          </w:p>
        </w:tc>
      </w:tr>
      <w:tr>
        <w:trPr>
          <w:trHeight w:val="548"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234"/>
              <w:spacing w:before="167" w:line="224" w:lineRule="auto"/>
              <w:rPr>
                <w:rFonts w:ascii="SimSun" w:hAnsi="SimSun" w:eastAsia="SimSun" w:cs="SimSun"/>
                <w:sz w:val="20"/>
                <w:szCs w:val="20"/>
              </w:rPr>
            </w:pPr>
            <w:r>
              <w:rPr>
                <w:rFonts w:ascii="SimSun" w:hAnsi="SimSun" w:eastAsia="SimSun" w:cs="SimSun"/>
                <w:sz w:val="20"/>
                <w:szCs w:val="20"/>
                <w:spacing w:val="4"/>
              </w:rPr>
              <w:t>氨氮</w:t>
            </w:r>
          </w:p>
        </w:tc>
        <w:tc>
          <w:tcPr>
            <w:tcW w:w="1027" w:type="dxa"/>
            <w:vAlign w:val="top"/>
          </w:tcPr>
          <w:p>
            <w:pPr>
              <w:pStyle w:val="TableText"/>
              <w:ind w:left="276"/>
              <w:spacing w:before="203" w:line="195" w:lineRule="auto"/>
              <w:rPr/>
            </w:pPr>
            <w:r>
              <w:rPr>
                <w:spacing w:val="3"/>
              </w:rPr>
              <w:t>0.182</w:t>
            </w:r>
          </w:p>
        </w:tc>
        <w:tc>
          <w:tcPr>
            <w:tcW w:w="1067" w:type="dxa"/>
            <w:vAlign w:val="top"/>
          </w:tcPr>
          <w:p>
            <w:pPr>
              <w:pStyle w:val="TableText"/>
              <w:ind w:left="296"/>
              <w:spacing w:before="203" w:line="195" w:lineRule="auto"/>
              <w:rPr/>
            </w:pPr>
            <w:r>
              <w:rPr>
                <w:spacing w:val="3"/>
              </w:rPr>
              <w:t>0.106</w:t>
            </w:r>
          </w:p>
        </w:tc>
        <w:tc>
          <w:tcPr>
            <w:tcW w:w="950" w:type="dxa"/>
            <w:vAlign w:val="top"/>
          </w:tcPr>
          <w:p>
            <w:pPr>
              <w:pStyle w:val="TableText"/>
              <w:ind w:left="186"/>
              <w:spacing w:before="203" w:line="195" w:lineRule="auto"/>
              <w:rPr/>
            </w:pPr>
            <w:r>
              <w:rPr>
                <w:spacing w:val="3"/>
              </w:rPr>
              <w:t>0.0358</w:t>
            </w:r>
          </w:p>
        </w:tc>
        <w:tc>
          <w:tcPr>
            <w:tcW w:w="2128" w:type="dxa"/>
            <w:vAlign w:val="top"/>
          </w:tcPr>
          <w:p>
            <w:pPr>
              <w:pStyle w:val="TableText"/>
              <w:ind w:left="952"/>
              <w:spacing w:before="206" w:line="192" w:lineRule="auto"/>
              <w:rPr/>
            </w:pPr>
            <w:r>
              <w:rPr>
                <w:spacing w:val="3"/>
              </w:rPr>
              <w:t>≤5</w:t>
            </w:r>
          </w:p>
        </w:tc>
        <w:tc>
          <w:tcPr>
            <w:tcW w:w="2130" w:type="dxa"/>
            <w:vAlign w:val="top"/>
          </w:tcPr>
          <w:p>
            <w:pPr>
              <w:pStyle w:val="TableText"/>
              <w:ind w:left="953"/>
              <w:spacing w:before="206" w:line="192" w:lineRule="auto"/>
              <w:rPr/>
            </w:pPr>
            <w:r>
              <w:rPr>
                <w:spacing w:val="3"/>
              </w:rPr>
              <w:t>≤5</w:t>
            </w:r>
          </w:p>
        </w:tc>
        <w:tc>
          <w:tcPr>
            <w:tcW w:w="592" w:type="dxa"/>
            <w:vAlign w:val="top"/>
            <w:textDirection w:val="tbRlV"/>
          </w:tcPr>
          <w:p>
            <w:pPr>
              <w:ind w:left="33"/>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8"/>
              </w:rPr>
              <w:t xml:space="preserve"> </w:t>
            </w:r>
            <w:r>
              <w:rPr>
                <w:rFonts w:ascii="SimSun" w:hAnsi="SimSun" w:eastAsia="SimSun" w:cs="SimSun"/>
                <w:sz w:val="20"/>
                <w:szCs w:val="20"/>
                <w:spacing w:val="8"/>
              </w:rPr>
              <w:t>合</w:t>
            </w:r>
          </w:p>
        </w:tc>
      </w:tr>
      <w:tr>
        <w:trPr>
          <w:trHeight w:val="278" w:hRule="atLeast"/>
        </w:trPr>
        <w:tc>
          <w:tcPr>
            <w:tcW w:w="513" w:type="dxa"/>
            <w:vAlign w:val="top"/>
            <w:vMerge w:val="continue"/>
            <w:textDirection w:val="tbRlV"/>
            <w:tcBorders>
              <w:top w:val="nil"/>
              <w:bottom w:val="nil"/>
            </w:tcBorders>
          </w:tcPr>
          <w:p>
            <w:pPr>
              <w:rPr>
                <w:rFonts w:ascii="Arial"/>
                <w:sz w:val="21"/>
              </w:rPr>
            </w:pPr>
            <w:r/>
          </w:p>
        </w:tc>
        <w:tc>
          <w:tcPr>
            <w:tcW w:w="883" w:type="dxa"/>
            <w:vAlign w:val="top"/>
          </w:tcPr>
          <w:p>
            <w:pPr>
              <w:ind w:left="127"/>
              <w:spacing w:before="34" w:line="216" w:lineRule="auto"/>
              <w:rPr>
                <w:rFonts w:ascii="SimSun" w:hAnsi="SimSun" w:eastAsia="SimSun" w:cs="SimSun"/>
                <w:sz w:val="20"/>
                <w:szCs w:val="20"/>
              </w:rPr>
            </w:pPr>
            <w:r>
              <w:rPr>
                <w:rFonts w:ascii="SimSun" w:hAnsi="SimSun" w:eastAsia="SimSun" w:cs="SimSun"/>
                <w:sz w:val="20"/>
                <w:szCs w:val="20"/>
                <w:spacing w:val="6"/>
              </w:rPr>
              <w:t>六价铬</w:t>
            </w:r>
          </w:p>
        </w:tc>
        <w:tc>
          <w:tcPr>
            <w:tcW w:w="1027" w:type="dxa"/>
            <w:vAlign w:val="top"/>
          </w:tcPr>
          <w:p>
            <w:pPr>
              <w:pStyle w:val="TableText"/>
              <w:ind w:left="214"/>
              <w:spacing w:before="70" w:line="195" w:lineRule="auto"/>
              <w:rPr/>
            </w:pPr>
            <w:r>
              <w:rPr>
                <w:spacing w:val="3"/>
              </w:rPr>
              <w:t>0.004L</w:t>
            </w:r>
          </w:p>
        </w:tc>
        <w:tc>
          <w:tcPr>
            <w:tcW w:w="1067" w:type="dxa"/>
            <w:vAlign w:val="top"/>
          </w:tcPr>
          <w:p>
            <w:pPr>
              <w:pStyle w:val="TableText"/>
              <w:ind w:left="233"/>
              <w:spacing w:before="70" w:line="195" w:lineRule="auto"/>
              <w:rPr/>
            </w:pPr>
            <w:r>
              <w:rPr>
                <w:spacing w:val="3"/>
              </w:rPr>
              <w:t>0.004L</w:t>
            </w:r>
          </w:p>
        </w:tc>
        <w:tc>
          <w:tcPr>
            <w:tcW w:w="950" w:type="dxa"/>
            <w:vAlign w:val="top"/>
          </w:tcPr>
          <w:p>
            <w:pPr>
              <w:pStyle w:val="TableText"/>
              <w:ind w:left="177"/>
              <w:spacing w:before="70" w:line="195" w:lineRule="auto"/>
              <w:rPr/>
            </w:pPr>
            <w:r>
              <w:rPr>
                <w:spacing w:val="3"/>
              </w:rPr>
              <w:t>0.004L</w:t>
            </w:r>
          </w:p>
        </w:tc>
        <w:tc>
          <w:tcPr>
            <w:tcW w:w="2128" w:type="dxa"/>
            <w:vAlign w:val="top"/>
          </w:tcPr>
          <w:p>
            <w:pPr>
              <w:pStyle w:val="TableText"/>
              <w:ind w:left="1032"/>
              <w:spacing w:before="66" w:line="199" w:lineRule="auto"/>
              <w:rPr/>
            </w:pPr>
            <w:r>
              <w:rPr>
                <w:spacing w:val="2"/>
              </w:rPr>
              <w:t>/</w:t>
            </w:r>
          </w:p>
        </w:tc>
        <w:tc>
          <w:tcPr>
            <w:tcW w:w="2130" w:type="dxa"/>
            <w:vAlign w:val="top"/>
          </w:tcPr>
          <w:p>
            <w:pPr>
              <w:pStyle w:val="TableText"/>
              <w:ind w:left="1035"/>
              <w:spacing w:before="66" w:line="199" w:lineRule="auto"/>
              <w:rPr/>
            </w:pPr>
            <w:r>
              <w:rPr>
                <w:spacing w:val="2"/>
              </w:rPr>
              <w:t>/</w:t>
            </w:r>
          </w:p>
        </w:tc>
        <w:tc>
          <w:tcPr>
            <w:tcW w:w="592" w:type="dxa"/>
            <w:vAlign w:val="top"/>
          </w:tcPr>
          <w:p>
            <w:pPr>
              <w:pStyle w:val="TableText"/>
              <w:ind w:left="261"/>
              <w:spacing w:before="52" w:line="199" w:lineRule="auto"/>
              <w:rPr/>
            </w:pPr>
            <w:r>
              <w:rPr>
                <w:spacing w:val="2"/>
              </w:rPr>
              <w:t>/</w:t>
            </w:r>
          </w:p>
        </w:tc>
      </w:tr>
      <w:tr>
        <w:trPr>
          <w:trHeight w:val="278" w:hRule="atLeast"/>
        </w:trPr>
        <w:tc>
          <w:tcPr>
            <w:tcW w:w="513" w:type="dxa"/>
            <w:vAlign w:val="top"/>
            <w:vMerge w:val="continue"/>
            <w:textDirection w:val="tbRlV"/>
            <w:tcBorders>
              <w:top w:val="nil"/>
            </w:tcBorders>
          </w:tcPr>
          <w:p>
            <w:pPr>
              <w:rPr>
                <w:rFonts w:ascii="Arial"/>
                <w:sz w:val="21"/>
              </w:rPr>
            </w:pPr>
            <w:r/>
          </w:p>
        </w:tc>
        <w:tc>
          <w:tcPr>
            <w:tcW w:w="883" w:type="dxa"/>
            <w:vAlign w:val="top"/>
          </w:tcPr>
          <w:p>
            <w:pPr>
              <w:ind w:left="125"/>
              <w:spacing w:before="31" w:line="218" w:lineRule="auto"/>
              <w:rPr>
                <w:rFonts w:ascii="SimSun" w:hAnsi="SimSun" w:eastAsia="SimSun" w:cs="SimSun"/>
                <w:sz w:val="20"/>
                <w:szCs w:val="20"/>
              </w:rPr>
            </w:pPr>
            <w:r>
              <w:rPr>
                <w:rFonts w:ascii="SimSun" w:hAnsi="SimSun" w:eastAsia="SimSun" w:cs="SimSun"/>
                <w:sz w:val="20"/>
                <w:szCs w:val="20"/>
                <w:spacing w:val="7"/>
              </w:rPr>
              <w:t>氰化物</w:t>
            </w:r>
          </w:p>
        </w:tc>
        <w:tc>
          <w:tcPr>
            <w:tcW w:w="1027" w:type="dxa"/>
            <w:vAlign w:val="top"/>
          </w:tcPr>
          <w:p>
            <w:pPr>
              <w:pStyle w:val="TableText"/>
              <w:ind w:left="214"/>
              <w:spacing w:before="68" w:line="195" w:lineRule="auto"/>
              <w:rPr/>
            </w:pPr>
            <w:r>
              <w:rPr>
                <w:spacing w:val="3"/>
              </w:rPr>
              <w:t>0.001L</w:t>
            </w:r>
          </w:p>
        </w:tc>
        <w:tc>
          <w:tcPr>
            <w:tcW w:w="1067" w:type="dxa"/>
            <w:vAlign w:val="top"/>
          </w:tcPr>
          <w:p>
            <w:pPr>
              <w:pStyle w:val="TableText"/>
              <w:ind w:left="351"/>
              <w:spacing w:before="68" w:line="195" w:lineRule="auto"/>
              <w:rPr/>
            </w:pPr>
            <w:r>
              <w:rPr>
                <w:spacing w:val="2"/>
              </w:rPr>
              <w:t>0.40</w:t>
            </w:r>
          </w:p>
        </w:tc>
        <w:tc>
          <w:tcPr>
            <w:tcW w:w="950" w:type="dxa"/>
            <w:vAlign w:val="top"/>
          </w:tcPr>
          <w:p>
            <w:pPr>
              <w:pStyle w:val="TableText"/>
              <w:ind w:left="177"/>
              <w:spacing w:before="68" w:line="195" w:lineRule="auto"/>
              <w:rPr/>
            </w:pPr>
            <w:r>
              <w:rPr>
                <w:spacing w:val="3"/>
              </w:rPr>
              <w:t>0.001L</w:t>
            </w:r>
          </w:p>
        </w:tc>
        <w:tc>
          <w:tcPr>
            <w:tcW w:w="2128" w:type="dxa"/>
            <w:vAlign w:val="top"/>
          </w:tcPr>
          <w:p>
            <w:pPr>
              <w:pStyle w:val="TableText"/>
              <w:ind w:left="1032"/>
              <w:spacing w:before="64" w:line="199" w:lineRule="auto"/>
              <w:rPr/>
            </w:pPr>
            <w:r>
              <w:rPr>
                <w:spacing w:val="2"/>
              </w:rPr>
              <w:t>/</w:t>
            </w:r>
          </w:p>
        </w:tc>
        <w:tc>
          <w:tcPr>
            <w:tcW w:w="2130" w:type="dxa"/>
            <w:vAlign w:val="top"/>
          </w:tcPr>
          <w:p>
            <w:pPr>
              <w:pStyle w:val="TableText"/>
              <w:ind w:left="1035"/>
              <w:spacing w:before="64" w:line="199" w:lineRule="auto"/>
              <w:rPr/>
            </w:pPr>
            <w:r>
              <w:rPr>
                <w:spacing w:val="2"/>
              </w:rPr>
              <w:t>/</w:t>
            </w:r>
          </w:p>
        </w:tc>
        <w:tc>
          <w:tcPr>
            <w:tcW w:w="592" w:type="dxa"/>
            <w:vAlign w:val="top"/>
          </w:tcPr>
          <w:p>
            <w:pPr>
              <w:pStyle w:val="TableText"/>
              <w:ind w:left="261"/>
              <w:spacing w:before="49" w:line="199" w:lineRule="auto"/>
              <w:rPr/>
            </w:pPr>
            <w:r>
              <w:rPr>
                <w:spacing w:val="2"/>
              </w:rPr>
              <w:t>/</w:t>
            </w:r>
          </w:p>
        </w:tc>
      </w:tr>
    </w:tbl>
    <w:p>
      <w:pPr>
        <w:pStyle w:val="BodyText"/>
        <w:spacing w:line="233" w:lineRule="exact"/>
        <w:rPr>
          <w:sz w:val="20"/>
        </w:rPr>
      </w:pPr>
      <w:r/>
    </w:p>
    <w:p>
      <w:pPr>
        <w:spacing w:line="233" w:lineRule="exact"/>
        <w:sectPr>
          <w:footerReference w:type="default" r:id="rId159"/>
          <w:pgSz w:w="11906" w:h="16838"/>
          <w:pgMar w:top="1170" w:right="1304" w:bottom="1078" w:left="1305" w:header="837" w:footer="915" w:gutter="0"/>
        </w:sectPr>
        <w:rPr>
          <w:sz w:val="20"/>
          <w:szCs w:val="20"/>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13"/>
        <w:gridCol w:w="883"/>
        <w:gridCol w:w="1027"/>
        <w:gridCol w:w="1067"/>
        <w:gridCol w:w="950"/>
        <w:gridCol w:w="2128"/>
        <w:gridCol w:w="2130"/>
        <w:gridCol w:w="592"/>
      </w:tblGrid>
      <w:tr>
        <w:trPr>
          <w:trHeight w:val="282" w:hRule="atLeast"/>
        </w:trPr>
        <w:tc>
          <w:tcPr>
            <w:tcW w:w="513" w:type="dxa"/>
            <w:vAlign w:val="top"/>
            <w:vMerge w:val="restart"/>
            <w:tcBorders>
              <w:top w:val="nil"/>
              <w:bottom w:val="nil"/>
            </w:tcBorders>
          </w:tcPr>
          <w:p>
            <w:pPr>
              <w:rPr>
                <w:rFonts w:ascii="Arial"/>
                <w:sz w:val="21"/>
              </w:rPr>
            </w:pPr>
            <w:r/>
          </w:p>
        </w:tc>
        <w:tc>
          <w:tcPr>
            <w:tcW w:w="883" w:type="dxa"/>
            <w:vAlign w:val="top"/>
          </w:tcPr>
          <w:p>
            <w:pPr>
              <w:ind w:left="125"/>
              <w:spacing w:before="33" w:line="220" w:lineRule="auto"/>
              <w:rPr>
                <w:rFonts w:ascii="SimSun" w:hAnsi="SimSun" w:eastAsia="SimSun" w:cs="SimSun"/>
                <w:sz w:val="20"/>
                <w:szCs w:val="20"/>
              </w:rPr>
            </w:pPr>
            <w:r>
              <w:rPr>
                <w:rFonts w:ascii="SimSun" w:hAnsi="SimSun" w:eastAsia="SimSun" w:cs="SimSun"/>
                <w:sz w:val="20"/>
                <w:szCs w:val="20"/>
                <w:spacing w:val="7"/>
              </w:rPr>
              <w:t>挥发酚</w:t>
            </w:r>
          </w:p>
        </w:tc>
        <w:tc>
          <w:tcPr>
            <w:tcW w:w="1027" w:type="dxa"/>
            <w:vAlign w:val="top"/>
          </w:tcPr>
          <w:p>
            <w:pPr>
              <w:pStyle w:val="TableText"/>
              <w:ind w:left="264"/>
              <w:spacing w:before="69" w:line="195" w:lineRule="auto"/>
              <w:rPr/>
            </w:pPr>
            <w:r>
              <w:rPr>
                <w:spacing w:val="3"/>
              </w:rPr>
              <w:t>0.01L</w:t>
            </w:r>
          </w:p>
        </w:tc>
        <w:tc>
          <w:tcPr>
            <w:tcW w:w="1067" w:type="dxa"/>
            <w:vAlign w:val="top"/>
          </w:tcPr>
          <w:p>
            <w:pPr>
              <w:pStyle w:val="TableText"/>
              <w:ind w:left="286"/>
              <w:spacing w:before="69" w:line="195" w:lineRule="auto"/>
              <w:rPr/>
            </w:pPr>
            <w:r>
              <w:rPr>
                <w:spacing w:val="3"/>
              </w:rPr>
              <w:t>0.01L</w:t>
            </w:r>
          </w:p>
        </w:tc>
        <w:tc>
          <w:tcPr>
            <w:tcW w:w="950" w:type="dxa"/>
            <w:vAlign w:val="top"/>
          </w:tcPr>
          <w:p>
            <w:pPr>
              <w:pStyle w:val="TableText"/>
              <w:ind w:left="227"/>
              <w:spacing w:before="69" w:line="195" w:lineRule="auto"/>
              <w:rPr/>
            </w:pPr>
            <w:r>
              <w:rPr>
                <w:spacing w:val="3"/>
              </w:rPr>
              <w:t>0.01L</w:t>
            </w:r>
          </w:p>
        </w:tc>
        <w:tc>
          <w:tcPr>
            <w:tcW w:w="2128" w:type="dxa"/>
            <w:vAlign w:val="top"/>
          </w:tcPr>
          <w:p>
            <w:pPr>
              <w:pStyle w:val="TableText"/>
              <w:ind w:left="1032"/>
              <w:spacing w:before="65" w:line="199" w:lineRule="auto"/>
              <w:rPr/>
            </w:pPr>
            <w:r>
              <w:rPr>
                <w:spacing w:val="2"/>
              </w:rPr>
              <w:t>/</w:t>
            </w:r>
          </w:p>
        </w:tc>
        <w:tc>
          <w:tcPr>
            <w:tcW w:w="2130" w:type="dxa"/>
            <w:vAlign w:val="top"/>
          </w:tcPr>
          <w:p>
            <w:pPr>
              <w:pStyle w:val="TableText"/>
              <w:ind w:left="1035"/>
              <w:spacing w:before="65" w:line="199" w:lineRule="auto"/>
              <w:rPr/>
            </w:pPr>
            <w:r>
              <w:rPr>
                <w:spacing w:val="2"/>
              </w:rPr>
              <w:t>/</w:t>
            </w:r>
          </w:p>
        </w:tc>
        <w:tc>
          <w:tcPr>
            <w:tcW w:w="592" w:type="dxa"/>
            <w:vAlign w:val="top"/>
          </w:tcPr>
          <w:p>
            <w:pPr>
              <w:pStyle w:val="TableText"/>
              <w:ind w:left="261"/>
              <w:spacing w:before="51" w:line="199" w:lineRule="auto"/>
              <w:rPr/>
            </w:pPr>
            <w:r>
              <w:rPr>
                <w:spacing w:val="2"/>
              </w:rPr>
              <w:t>/</w:t>
            </w:r>
          </w:p>
        </w:tc>
      </w:tr>
      <w:tr>
        <w:trPr>
          <w:trHeight w:val="278" w:hRule="atLeast"/>
        </w:trPr>
        <w:tc>
          <w:tcPr>
            <w:tcW w:w="513" w:type="dxa"/>
            <w:vAlign w:val="top"/>
            <w:vMerge w:val="continue"/>
            <w:tcBorders>
              <w:top w:val="nil"/>
              <w:bottom w:val="nil"/>
            </w:tcBorders>
          </w:tcPr>
          <w:p>
            <w:pPr>
              <w:rPr>
                <w:rFonts w:ascii="Arial"/>
                <w:sz w:val="21"/>
              </w:rPr>
            </w:pPr>
            <w:r/>
          </w:p>
        </w:tc>
        <w:tc>
          <w:tcPr>
            <w:tcW w:w="883" w:type="dxa"/>
            <w:vAlign w:val="top"/>
          </w:tcPr>
          <w:p>
            <w:pPr>
              <w:ind w:left="125"/>
              <w:spacing w:before="29" w:line="220" w:lineRule="auto"/>
              <w:rPr>
                <w:rFonts w:ascii="SimSun" w:hAnsi="SimSun" w:eastAsia="SimSun" w:cs="SimSun"/>
                <w:sz w:val="20"/>
                <w:szCs w:val="20"/>
              </w:rPr>
            </w:pPr>
            <w:r>
              <w:rPr>
                <w:rFonts w:ascii="SimSun" w:hAnsi="SimSun" w:eastAsia="SimSun" w:cs="SimSun"/>
                <w:sz w:val="20"/>
                <w:szCs w:val="20"/>
                <w:spacing w:val="7"/>
              </w:rPr>
              <w:t>硫化物</w:t>
            </w:r>
          </w:p>
        </w:tc>
        <w:tc>
          <w:tcPr>
            <w:tcW w:w="1027" w:type="dxa"/>
            <w:vAlign w:val="top"/>
          </w:tcPr>
          <w:p>
            <w:pPr>
              <w:pStyle w:val="TableText"/>
              <w:ind w:left="264"/>
              <w:spacing w:before="65" w:line="195" w:lineRule="auto"/>
              <w:rPr/>
            </w:pPr>
            <w:r>
              <w:rPr>
                <w:spacing w:val="3"/>
              </w:rPr>
              <w:t>0.01L</w:t>
            </w:r>
          </w:p>
        </w:tc>
        <w:tc>
          <w:tcPr>
            <w:tcW w:w="1067" w:type="dxa"/>
            <w:vAlign w:val="top"/>
          </w:tcPr>
          <w:p>
            <w:pPr>
              <w:pStyle w:val="TableText"/>
              <w:ind w:left="286"/>
              <w:spacing w:before="65" w:line="195" w:lineRule="auto"/>
              <w:rPr/>
            </w:pPr>
            <w:r>
              <w:rPr>
                <w:spacing w:val="3"/>
              </w:rPr>
              <w:t>0.01L</w:t>
            </w:r>
          </w:p>
        </w:tc>
        <w:tc>
          <w:tcPr>
            <w:tcW w:w="950" w:type="dxa"/>
            <w:vAlign w:val="top"/>
          </w:tcPr>
          <w:p>
            <w:pPr>
              <w:pStyle w:val="TableText"/>
              <w:ind w:left="227"/>
              <w:spacing w:before="65" w:line="195" w:lineRule="auto"/>
              <w:rPr/>
            </w:pPr>
            <w:r>
              <w:rPr>
                <w:spacing w:val="3"/>
              </w:rPr>
              <w:t>0.01L</w:t>
            </w:r>
          </w:p>
        </w:tc>
        <w:tc>
          <w:tcPr>
            <w:tcW w:w="2128" w:type="dxa"/>
            <w:vAlign w:val="top"/>
          </w:tcPr>
          <w:p>
            <w:pPr>
              <w:pStyle w:val="TableText"/>
              <w:ind w:left="1032"/>
              <w:spacing w:before="62" w:line="199" w:lineRule="auto"/>
              <w:rPr/>
            </w:pPr>
            <w:r>
              <w:rPr>
                <w:spacing w:val="2"/>
              </w:rPr>
              <w:t>/</w:t>
            </w:r>
          </w:p>
        </w:tc>
        <w:tc>
          <w:tcPr>
            <w:tcW w:w="2130" w:type="dxa"/>
            <w:vAlign w:val="top"/>
          </w:tcPr>
          <w:p>
            <w:pPr>
              <w:pStyle w:val="TableText"/>
              <w:ind w:left="1035"/>
              <w:spacing w:before="62" w:line="199" w:lineRule="auto"/>
              <w:rPr/>
            </w:pPr>
            <w:r>
              <w:rPr>
                <w:spacing w:val="2"/>
              </w:rPr>
              <w:t>/</w:t>
            </w:r>
          </w:p>
        </w:tc>
        <w:tc>
          <w:tcPr>
            <w:tcW w:w="592" w:type="dxa"/>
            <w:vAlign w:val="top"/>
          </w:tcPr>
          <w:p>
            <w:pPr>
              <w:pStyle w:val="TableText"/>
              <w:ind w:left="261"/>
              <w:spacing w:before="47" w:line="199" w:lineRule="auto"/>
              <w:rPr/>
            </w:pPr>
            <w:r>
              <w:rPr>
                <w:spacing w:val="2"/>
              </w:rPr>
              <w:t>/</w:t>
            </w:r>
          </w:p>
        </w:tc>
      </w:tr>
      <w:tr>
        <w:trPr>
          <w:trHeight w:val="275"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6"/>
              <w:spacing w:before="27" w:line="219" w:lineRule="auto"/>
              <w:rPr>
                <w:rFonts w:ascii="SimSun" w:hAnsi="SimSun" w:eastAsia="SimSun" w:cs="SimSun"/>
                <w:sz w:val="20"/>
                <w:szCs w:val="20"/>
              </w:rPr>
            </w:pPr>
            <w:r>
              <w:rPr>
                <w:rFonts w:ascii="SimSun" w:hAnsi="SimSun" w:eastAsia="SimSun" w:cs="SimSun"/>
                <w:sz w:val="20"/>
                <w:szCs w:val="20"/>
                <w:spacing w:val="1"/>
              </w:rPr>
              <w:t>砷</w:t>
            </w:r>
          </w:p>
        </w:tc>
        <w:tc>
          <w:tcPr>
            <w:tcW w:w="1027" w:type="dxa"/>
            <w:vAlign w:val="top"/>
          </w:tcPr>
          <w:p>
            <w:pPr>
              <w:pStyle w:val="TableText"/>
              <w:ind w:left="226"/>
              <w:spacing w:before="63" w:line="195" w:lineRule="auto"/>
              <w:rPr/>
            </w:pPr>
            <w:r>
              <w:rPr>
                <w:spacing w:val="3"/>
              </w:rPr>
              <w:t>0.0009</w:t>
            </w:r>
          </w:p>
        </w:tc>
        <w:tc>
          <w:tcPr>
            <w:tcW w:w="1067" w:type="dxa"/>
            <w:vAlign w:val="top"/>
          </w:tcPr>
          <w:p>
            <w:pPr>
              <w:pStyle w:val="TableText"/>
              <w:ind w:left="245"/>
              <w:spacing w:before="63" w:line="195" w:lineRule="auto"/>
              <w:rPr/>
            </w:pPr>
            <w:r>
              <w:rPr>
                <w:spacing w:val="3"/>
              </w:rPr>
              <w:t>0.0023</w:t>
            </w:r>
          </w:p>
        </w:tc>
        <w:tc>
          <w:tcPr>
            <w:tcW w:w="950" w:type="dxa"/>
            <w:vAlign w:val="top"/>
          </w:tcPr>
          <w:p>
            <w:pPr>
              <w:pStyle w:val="TableText"/>
              <w:ind w:left="186"/>
              <w:spacing w:before="63" w:line="195" w:lineRule="auto"/>
              <w:rPr/>
            </w:pPr>
            <w:r>
              <w:rPr>
                <w:spacing w:val="3"/>
              </w:rPr>
              <w:t>0.0073</w:t>
            </w:r>
          </w:p>
        </w:tc>
        <w:tc>
          <w:tcPr>
            <w:tcW w:w="2128" w:type="dxa"/>
            <w:vAlign w:val="top"/>
          </w:tcPr>
          <w:p>
            <w:pPr>
              <w:pStyle w:val="TableText"/>
              <w:ind w:left="1032"/>
              <w:spacing w:before="59" w:line="199" w:lineRule="auto"/>
              <w:rPr/>
            </w:pPr>
            <w:r>
              <w:rPr>
                <w:spacing w:val="2"/>
              </w:rPr>
              <w:t>/</w:t>
            </w:r>
          </w:p>
        </w:tc>
        <w:tc>
          <w:tcPr>
            <w:tcW w:w="2130" w:type="dxa"/>
            <w:vAlign w:val="top"/>
          </w:tcPr>
          <w:p>
            <w:pPr>
              <w:pStyle w:val="TableText"/>
              <w:ind w:left="1035"/>
              <w:spacing w:before="59" w:line="199" w:lineRule="auto"/>
              <w:rPr/>
            </w:pPr>
            <w:r>
              <w:rPr>
                <w:spacing w:val="2"/>
              </w:rPr>
              <w:t>/</w:t>
            </w:r>
          </w:p>
        </w:tc>
        <w:tc>
          <w:tcPr>
            <w:tcW w:w="592" w:type="dxa"/>
            <w:vAlign w:val="top"/>
          </w:tcPr>
          <w:p>
            <w:pPr>
              <w:pStyle w:val="TableText"/>
              <w:ind w:left="261"/>
              <w:spacing w:before="45" w:line="199" w:lineRule="auto"/>
              <w:rPr/>
            </w:pPr>
            <w:r>
              <w:rPr>
                <w:spacing w:val="2"/>
              </w:rPr>
              <w:t>/</w:t>
            </w:r>
          </w:p>
        </w:tc>
      </w:tr>
      <w:tr>
        <w:trPr>
          <w:trHeight w:val="278"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8"/>
              <w:spacing w:before="30" w:line="219" w:lineRule="auto"/>
              <w:rPr>
                <w:rFonts w:ascii="SimSun" w:hAnsi="SimSun" w:eastAsia="SimSun" w:cs="SimSun"/>
                <w:sz w:val="20"/>
                <w:szCs w:val="20"/>
              </w:rPr>
            </w:pPr>
            <w:r>
              <w:rPr>
                <w:rFonts w:ascii="SimSun" w:hAnsi="SimSun" w:eastAsia="SimSun" w:cs="SimSun"/>
                <w:sz w:val="20"/>
                <w:szCs w:val="20"/>
              </w:rPr>
              <w:t>汞</w:t>
            </w:r>
          </w:p>
        </w:tc>
        <w:tc>
          <w:tcPr>
            <w:tcW w:w="1027" w:type="dxa"/>
            <w:vAlign w:val="top"/>
          </w:tcPr>
          <w:p>
            <w:pPr>
              <w:pStyle w:val="TableText"/>
              <w:ind w:left="108"/>
              <w:spacing w:before="66" w:line="195" w:lineRule="auto"/>
              <w:rPr/>
            </w:pPr>
            <w:r>
              <w:rPr>
                <w:spacing w:val="4"/>
              </w:rPr>
              <w:t>0.00004L</w:t>
            </w:r>
          </w:p>
        </w:tc>
        <w:tc>
          <w:tcPr>
            <w:tcW w:w="1067" w:type="dxa"/>
            <w:vAlign w:val="top"/>
          </w:tcPr>
          <w:p>
            <w:pPr>
              <w:pStyle w:val="TableText"/>
              <w:ind w:left="128"/>
              <w:spacing w:before="66" w:line="195" w:lineRule="auto"/>
              <w:rPr/>
            </w:pPr>
            <w:r>
              <w:rPr>
                <w:spacing w:val="4"/>
              </w:rPr>
              <w:t>0.00004L</w:t>
            </w:r>
          </w:p>
        </w:tc>
        <w:tc>
          <w:tcPr>
            <w:tcW w:w="950" w:type="dxa"/>
            <w:vAlign w:val="top"/>
          </w:tcPr>
          <w:p>
            <w:pPr>
              <w:pStyle w:val="TableText"/>
              <w:ind w:left="136"/>
              <w:spacing w:before="66" w:line="195" w:lineRule="auto"/>
              <w:rPr/>
            </w:pPr>
            <w:r>
              <w:rPr>
                <w:spacing w:val="3"/>
              </w:rPr>
              <w:t>0.00006</w:t>
            </w:r>
          </w:p>
        </w:tc>
        <w:tc>
          <w:tcPr>
            <w:tcW w:w="2128" w:type="dxa"/>
            <w:vAlign w:val="top"/>
          </w:tcPr>
          <w:p>
            <w:pPr>
              <w:pStyle w:val="TableText"/>
              <w:ind w:left="1032"/>
              <w:spacing w:before="48" w:line="199" w:lineRule="auto"/>
              <w:rPr/>
            </w:pPr>
            <w:r>
              <w:rPr>
                <w:spacing w:val="2"/>
              </w:rPr>
              <w:t>/</w:t>
            </w:r>
          </w:p>
        </w:tc>
        <w:tc>
          <w:tcPr>
            <w:tcW w:w="2130" w:type="dxa"/>
            <w:vAlign w:val="top"/>
          </w:tcPr>
          <w:p>
            <w:pPr>
              <w:pStyle w:val="TableText"/>
              <w:ind w:left="1035"/>
              <w:spacing w:before="63" w:line="199" w:lineRule="auto"/>
              <w:rPr/>
            </w:pPr>
            <w:r>
              <w:rPr>
                <w:spacing w:val="2"/>
              </w:rPr>
              <w:t>/</w:t>
            </w:r>
          </w:p>
        </w:tc>
        <w:tc>
          <w:tcPr>
            <w:tcW w:w="592" w:type="dxa"/>
            <w:vAlign w:val="top"/>
          </w:tcPr>
          <w:p>
            <w:pPr>
              <w:pStyle w:val="TableText"/>
              <w:ind w:left="261"/>
              <w:spacing w:before="48" w:line="199" w:lineRule="auto"/>
              <w:rPr/>
            </w:pPr>
            <w:r>
              <w:rPr>
                <w:spacing w:val="2"/>
              </w:rPr>
              <w:t>/</w:t>
            </w:r>
          </w:p>
        </w:tc>
      </w:tr>
      <w:tr>
        <w:trPr>
          <w:trHeight w:val="278"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7"/>
              <w:spacing w:before="30" w:line="219" w:lineRule="auto"/>
              <w:rPr>
                <w:rFonts w:ascii="SimSun" w:hAnsi="SimSun" w:eastAsia="SimSun" w:cs="SimSun"/>
                <w:sz w:val="20"/>
                <w:szCs w:val="20"/>
              </w:rPr>
            </w:pPr>
            <w:r>
              <w:rPr>
                <w:rFonts w:ascii="SimSun" w:hAnsi="SimSun" w:eastAsia="SimSun" w:cs="SimSun"/>
                <w:sz w:val="20"/>
                <w:szCs w:val="20"/>
              </w:rPr>
              <w:t>铅</w:t>
            </w:r>
          </w:p>
        </w:tc>
        <w:tc>
          <w:tcPr>
            <w:tcW w:w="1027" w:type="dxa"/>
            <w:vAlign w:val="top"/>
          </w:tcPr>
          <w:p>
            <w:pPr>
              <w:pStyle w:val="TableText"/>
              <w:ind w:left="264"/>
              <w:spacing w:before="67" w:line="195" w:lineRule="auto"/>
              <w:rPr/>
            </w:pPr>
            <w:r>
              <w:rPr>
                <w:spacing w:val="3"/>
              </w:rPr>
              <w:t>0.05L</w:t>
            </w:r>
          </w:p>
        </w:tc>
        <w:tc>
          <w:tcPr>
            <w:tcW w:w="1067" w:type="dxa"/>
            <w:vAlign w:val="top"/>
          </w:tcPr>
          <w:p>
            <w:pPr>
              <w:pStyle w:val="TableText"/>
              <w:ind w:left="286"/>
              <w:spacing w:before="67" w:line="195" w:lineRule="auto"/>
              <w:rPr/>
            </w:pPr>
            <w:r>
              <w:rPr>
                <w:spacing w:val="3"/>
              </w:rPr>
              <w:t>0.05L</w:t>
            </w:r>
          </w:p>
        </w:tc>
        <w:tc>
          <w:tcPr>
            <w:tcW w:w="950" w:type="dxa"/>
            <w:vAlign w:val="top"/>
          </w:tcPr>
          <w:p>
            <w:pPr>
              <w:pStyle w:val="TableText"/>
              <w:ind w:left="227"/>
              <w:spacing w:before="67" w:line="195" w:lineRule="auto"/>
              <w:rPr/>
            </w:pPr>
            <w:r>
              <w:rPr>
                <w:spacing w:val="3"/>
              </w:rPr>
              <w:t>0.05L</w:t>
            </w:r>
          </w:p>
        </w:tc>
        <w:tc>
          <w:tcPr>
            <w:tcW w:w="2128" w:type="dxa"/>
            <w:vAlign w:val="top"/>
          </w:tcPr>
          <w:p>
            <w:pPr>
              <w:pStyle w:val="TableText"/>
              <w:ind w:left="1032"/>
              <w:spacing w:before="48" w:line="199" w:lineRule="auto"/>
              <w:rPr/>
            </w:pPr>
            <w:r>
              <w:rPr>
                <w:spacing w:val="2"/>
              </w:rPr>
              <w:t>/</w:t>
            </w:r>
          </w:p>
        </w:tc>
        <w:tc>
          <w:tcPr>
            <w:tcW w:w="2130" w:type="dxa"/>
            <w:vAlign w:val="top"/>
          </w:tcPr>
          <w:p>
            <w:pPr>
              <w:pStyle w:val="TableText"/>
              <w:ind w:left="1035"/>
              <w:spacing w:before="63" w:line="199" w:lineRule="auto"/>
              <w:rPr/>
            </w:pPr>
            <w:r>
              <w:rPr>
                <w:spacing w:val="2"/>
              </w:rPr>
              <w:t>/</w:t>
            </w:r>
          </w:p>
        </w:tc>
        <w:tc>
          <w:tcPr>
            <w:tcW w:w="592" w:type="dxa"/>
            <w:vAlign w:val="top"/>
          </w:tcPr>
          <w:p>
            <w:pPr>
              <w:pStyle w:val="TableText"/>
              <w:ind w:left="261"/>
              <w:spacing w:before="48" w:line="199" w:lineRule="auto"/>
              <w:rPr/>
            </w:pPr>
            <w:r>
              <w:rPr>
                <w:spacing w:val="2"/>
              </w:rPr>
              <w:t>/</w:t>
            </w:r>
          </w:p>
        </w:tc>
      </w:tr>
      <w:tr>
        <w:trPr>
          <w:trHeight w:val="275"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5"/>
              <w:spacing w:before="28" w:line="218" w:lineRule="auto"/>
              <w:rPr>
                <w:rFonts w:ascii="SimSun" w:hAnsi="SimSun" w:eastAsia="SimSun" w:cs="SimSun"/>
                <w:sz w:val="20"/>
                <w:szCs w:val="20"/>
              </w:rPr>
            </w:pPr>
            <w:r>
              <w:rPr>
                <w:rFonts w:ascii="SimSun" w:hAnsi="SimSun" w:eastAsia="SimSun" w:cs="SimSun"/>
                <w:sz w:val="20"/>
                <w:szCs w:val="20"/>
                <w:spacing w:val="2"/>
              </w:rPr>
              <w:t>镉</w:t>
            </w:r>
          </w:p>
        </w:tc>
        <w:tc>
          <w:tcPr>
            <w:tcW w:w="1027" w:type="dxa"/>
            <w:vAlign w:val="top"/>
          </w:tcPr>
          <w:p>
            <w:pPr>
              <w:pStyle w:val="TableText"/>
              <w:ind w:left="264"/>
              <w:spacing w:before="64" w:line="195" w:lineRule="auto"/>
              <w:rPr/>
            </w:pPr>
            <w:r>
              <w:rPr>
                <w:spacing w:val="3"/>
              </w:rPr>
              <w:t>0.01L</w:t>
            </w:r>
          </w:p>
        </w:tc>
        <w:tc>
          <w:tcPr>
            <w:tcW w:w="1067" w:type="dxa"/>
            <w:vAlign w:val="top"/>
          </w:tcPr>
          <w:p>
            <w:pPr>
              <w:pStyle w:val="TableText"/>
              <w:ind w:left="286"/>
              <w:spacing w:before="64" w:line="195" w:lineRule="auto"/>
              <w:rPr/>
            </w:pPr>
            <w:r>
              <w:rPr>
                <w:spacing w:val="3"/>
              </w:rPr>
              <w:t>0.01L</w:t>
            </w:r>
          </w:p>
        </w:tc>
        <w:tc>
          <w:tcPr>
            <w:tcW w:w="950" w:type="dxa"/>
            <w:vAlign w:val="top"/>
          </w:tcPr>
          <w:p>
            <w:pPr>
              <w:pStyle w:val="TableText"/>
              <w:ind w:left="227"/>
              <w:spacing w:before="64" w:line="195" w:lineRule="auto"/>
              <w:rPr/>
            </w:pPr>
            <w:r>
              <w:rPr>
                <w:spacing w:val="3"/>
              </w:rPr>
              <w:t>0.01L</w:t>
            </w:r>
          </w:p>
        </w:tc>
        <w:tc>
          <w:tcPr>
            <w:tcW w:w="2128" w:type="dxa"/>
            <w:vAlign w:val="top"/>
          </w:tcPr>
          <w:p>
            <w:pPr>
              <w:pStyle w:val="TableText"/>
              <w:ind w:left="1032"/>
              <w:spacing w:before="46" w:line="199" w:lineRule="auto"/>
              <w:rPr/>
            </w:pPr>
            <w:r>
              <w:rPr>
                <w:spacing w:val="2"/>
              </w:rPr>
              <w:t>/</w:t>
            </w:r>
          </w:p>
        </w:tc>
        <w:tc>
          <w:tcPr>
            <w:tcW w:w="2130" w:type="dxa"/>
            <w:vAlign w:val="top"/>
          </w:tcPr>
          <w:p>
            <w:pPr>
              <w:pStyle w:val="TableText"/>
              <w:ind w:left="1035"/>
              <w:spacing w:before="61" w:line="199" w:lineRule="auto"/>
              <w:rPr/>
            </w:pPr>
            <w:r>
              <w:rPr>
                <w:spacing w:val="2"/>
              </w:rPr>
              <w:t>/</w:t>
            </w:r>
          </w:p>
        </w:tc>
        <w:tc>
          <w:tcPr>
            <w:tcW w:w="592" w:type="dxa"/>
            <w:vAlign w:val="top"/>
          </w:tcPr>
          <w:p>
            <w:pPr>
              <w:pStyle w:val="TableText"/>
              <w:ind w:left="261"/>
              <w:spacing w:before="46" w:line="199" w:lineRule="auto"/>
              <w:rPr/>
            </w:pPr>
            <w:r>
              <w:rPr>
                <w:spacing w:val="2"/>
              </w:rPr>
              <w:t>/</w:t>
            </w:r>
          </w:p>
        </w:tc>
      </w:tr>
      <w:tr>
        <w:trPr>
          <w:trHeight w:val="549"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6"/>
              <w:spacing w:before="169" w:line="229" w:lineRule="auto"/>
              <w:rPr>
                <w:rFonts w:ascii="SimSun" w:hAnsi="SimSun" w:eastAsia="SimSun" w:cs="SimSun"/>
                <w:sz w:val="20"/>
                <w:szCs w:val="20"/>
              </w:rPr>
            </w:pPr>
            <w:r>
              <w:rPr>
                <w:rFonts w:ascii="SimSun" w:hAnsi="SimSun" w:eastAsia="SimSun" w:cs="SimSun"/>
                <w:sz w:val="20"/>
                <w:szCs w:val="20"/>
                <w:spacing w:val="1"/>
              </w:rPr>
              <w:t>铁</w:t>
            </w:r>
          </w:p>
        </w:tc>
        <w:tc>
          <w:tcPr>
            <w:tcW w:w="1027" w:type="dxa"/>
            <w:vAlign w:val="top"/>
          </w:tcPr>
          <w:p>
            <w:pPr>
              <w:pStyle w:val="TableText"/>
              <w:ind w:left="264"/>
              <w:spacing w:before="204" w:line="195" w:lineRule="auto"/>
              <w:rPr/>
            </w:pPr>
            <w:r>
              <w:rPr>
                <w:spacing w:val="3"/>
              </w:rPr>
              <w:t>0.03L</w:t>
            </w:r>
          </w:p>
        </w:tc>
        <w:tc>
          <w:tcPr>
            <w:tcW w:w="1067" w:type="dxa"/>
            <w:vAlign w:val="top"/>
          </w:tcPr>
          <w:p>
            <w:pPr>
              <w:pStyle w:val="TableText"/>
              <w:ind w:left="286"/>
              <w:spacing w:before="204" w:line="195" w:lineRule="auto"/>
              <w:rPr/>
            </w:pPr>
            <w:r>
              <w:rPr>
                <w:spacing w:val="3"/>
              </w:rPr>
              <w:t>0.03L</w:t>
            </w:r>
          </w:p>
        </w:tc>
        <w:tc>
          <w:tcPr>
            <w:tcW w:w="950" w:type="dxa"/>
            <w:vAlign w:val="top"/>
          </w:tcPr>
          <w:p>
            <w:pPr>
              <w:pStyle w:val="TableText"/>
              <w:ind w:left="227"/>
              <w:spacing w:before="204" w:line="195" w:lineRule="auto"/>
              <w:rPr/>
            </w:pPr>
            <w:r>
              <w:rPr>
                <w:spacing w:val="3"/>
              </w:rPr>
              <w:t>0.03L</w:t>
            </w:r>
          </w:p>
        </w:tc>
        <w:tc>
          <w:tcPr>
            <w:tcW w:w="2128" w:type="dxa"/>
            <w:vAlign w:val="top"/>
          </w:tcPr>
          <w:p>
            <w:pPr>
              <w:pStyle w:val="TableText"/>
              <w:ind w:left="1032"/>
              <w:spacing w:before="201" w:line="199" w:lineRule="auto"/>
              <w:rPr/>
            </w:pPr>
            <w:r>
              <w:rPr>
                <w:spacing w:val="2"/>
              </w:rPr>
              <w:t>/</w:t>
            </w:r>
          </w:p>
        </w:tc>
        <w:tc>
          <w:tcPr>
            <w:tcW w:w="2130" w:type="dxa"/>
            <w:vAlign w:val="top"/>
          </w:tcPr>
          <w:p>
            <w:pPr>
              <w:pStyle w:val="TableText"/>
              <w:ind w:left="874"/>
              <w:spacing w:before="205" w:line="195" w:lineRule="auto"/>
              <w:rPr/>
            </w:pPr>
            <w:r>
              <w:rPr>
                <w:spacing w:val="4"/>
              </w:rPr>
              <w:t>≤0.3</w:t>
            </w:r>
          </w:p>
        </w:tc>
        <w:tc>
          <w:tcPr>
            <w:tcW w:w="592" w:type="dxa"/>
            <w:vAlign w:val="top"/>
            <w:textDirection w:val="tbRlV"/>
          </w:tcPr>
          <w:p>
            <w:pPr>
              <w:ind w:left="32"/>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5"/>
              </w:rPr>
              <w:t xml:space="preserve"> </w:t>
            </w:r>
            <w:r>
              <w:rPr>
                <w:rFonts w:ascii="SimSun" w:hAnsi="SimSun" w:eastAsia="SimSun" w:cs="SimSun"/>
                <w:sz w:val="20"/>
                <w:szCs w:val="20"/>
                <w:spacing w:val="8"/>
              </w:rPr>
              <w:t>合</w:t>
            </w:r>
          </w:p>
        </w:tc>
      </w:tr>
      <w:tr>
        <w:trPr>
          <w:trHeight w:val="549"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7"/>
              <w:spacing w:before="167" w:line="234" w:lineRule="auto"/>
              <w:rPr>
                <w:rFonts w:ascii="SimSun" w:hAnsi="SimSun" w:eastAsia="SimSun" w:cs="SimSun"/>
                <w:sz w:val="20"/>
                <w:szCs w:val="20"/>
              </w:rPr>
            </w:pPr>
            <w:r>
              <w:rPr>
                <w:rFonts w:ascii="SimSun" w:hAnsi="SimSun" w:eastAsia="SimSun" w:cs="SimSun"/>
                <w:sz w:val="20"/>
                <w:szCs w:val="20"/>
              </w:rPr>
              <w:t>锰</w:t>
            </w:r>
          </w:p>
        </w:tc>
        <w:tc>
          <w:tcPr>
            <w:tcW w:w="1027" w:type="dxa"/>
            <w:vAlign w:val="top"/>
          </w:tcPr>
          <w:p>
            <w:pPr>
              <w:pStyle w:val="TableText"/>
              <w:ind w:left="264"/>
              <w:spacing w:before="205" w:line="195" w:lineRule="auto"/>
              <w:rPr/>
            </w:pPr>
            <w:r>
              <w:rPr>
                <w:spacing w:val="3"/>
              </w:rPr>
              <w:t>0.01L</w:t>
            </w:r>
          </w:p>
        </w:tc>
        <w:tc>
          <w:tcPr>
            <w:tcW w:w="1067" w:type="dxa"/>
            <w:vAlign w:val="top"/>
          </w:tcPr>
          <w:p>
            <w:pPr>
              <w:pStyle w:val="TableText"/>
              <w:ind w:left="286"/>
              <w:spacing w:before="205" w:line="195" w:lineRule="auto"/>
              <w:rPr/>
            </w:pPr>
            <w:r>
              <w:rPr>
                <w:spacing w:val="3"/>
              </w:rPr>
              <w:t>0.01L</w:t>
            </w:r>
          </w:p>
        </w:tc>
        <w:tc>
          <w:tcPr>
            <w:tcW w:w="950" w:type="dxa"/>
            <w:vAlign w:val="top"/>
          </w:tcPr>
          <w:p>
            <w:pPr>
              <w:pStyle w:val="TableText"/>
              <w:ind w:left="227"/>
              <w:spacing w:before="205" w:line="195" w:lineRule="auto"/>
              <w:rPr/>
            </w:pPr>
            <w:r>
              <w:rPr>
                <w:spacing w:val="3"/>
              </w:rPr>
              <w:t>0.01L</w:t>
            </w:r>
          </w:p>
        </w:tc>
        <w:tc>
          <w:tcPr>
            <w:tcW w:w="2128" w:type="dxa"/>
            <w:vAlign w:val="top"/>
          </w:tcPr>
          <w:p>
            <w:pPr>
              <w:pStyle w:val="TableText"/>
              <w:ind w:left="1032"/>
              <w:spacing w:before="201" w:line="199" w:lineRule="auto"/>
              <w:rPr/>
            </w:pPr>
            <w:r>
              <w:rPr>
                <w:spacing w:val="2"/>
              </w:rPr>
              <w:t>/</w:t>
            </w:r>
          </w:p>
        </w:tc>
        <w:tc>
          <w:tcPr>
            <w:tcW w:w="2130" w:type="dxa"/>
            <w:vAlign w:val="top"/>
          </w:tcPr>
          <w:p>
            <w:pPr>
              <w:pStyle w:val="TableText"/>
              <w:ind w:left="874"/>
              <w:spacing w:before="205" w:line="195" w:lineRule="auto"/>
              <w:rPr/>
            </w:pPr>
            <w:r>
              <w:rPr>
                <w:spacing w:val="3"/>
              </w:rPr>
              <w:t>≤0.</w:t>
            </w:r>
            <w:r>
              <w:rPr>
                <w:spacing w:val="-25"/>
              </w:rPr>
              <w:t xml:space="preserve"> </w:t>
            </w:r>
            <w:r>
              <w:rPr>
                <w:spacing w:val="3"/>
              </w:rPr>
              <w:t>1</w:t>
            </w:r>
          </w:p>
        </w:tc>
        <w:tc>
          <w:tcPr>
            <w:tcW w:w="592" w:type="dxa"/>
            <w:vAlign w:val="top"/>
            <w:textDirection w:val="tbRlV"/>
          </w:tcPr>
          <w:p>
            <w:pPr>
              <w:ind w:left="32"/>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8"/>
              </w:rPr>
              <w:t xml:space="preserve"> </w:t>
            </w:r>
            <w:r>
              <w:rPr>
                <w:rFonts w:ascii="SimSun" w:hAnsi="SimSun" w:eastAsia="SimSun" w:cs="SimSun"/>
                <w:sz w:val="20"/>
                <w:szCs w:val="20"/>
                <w:spacing w:val="8"/>
              </w:rPr>
              <w:t>合</w:t>
            </w:r>
          </w:p>
        </w:tc>
      </w:tr>
      <w:tr>
        <w:trPr>
          <w:trHeight w:val="278"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7"/>
              <w:spacing w:before="32" w:line="217" w:lineRule="auto"/>
              <w:rPr>
                <w:rFonts w:ascii="SimSun" w:hAnsi="SimSun" w:eastAsia="SimSun" w:cs="SimSun"/>
                <w:sz w:val="20"/>
                <w:szCs w:val="20"/>
              </w:rPr>
            </w:pPr>
            <w:r>
              <w:rPr>
                <w:rFonts w:ascii="SimSun" w:hAnsi="SimSun" w:eastAsia="SimSun" w:cs="SimSun"/>
                <w:sz w:val="20"/>
                <w:szCs w:val="20"/>
              </w:rPr>
              <w:t>铜</w:t>
            </w:r>
          </w:p>
        </w:tc>
        <w:tc>
          <w:tcPr>
            <w:tcW w:w="1027" w:type="dxa"/>
            <w:vAlign w:val="top"/>
          </w:tcPr>
          <w:p>
            <w:pPr>
              <w:pStyle w:val="TableText"/>
              <w:ind w:left="264"/>
              <w:spacing w:before="68" w:line="195" w:lineRule="auto"/>
              <w:rPr/>
            </w:pPr>
            <w:r>
              <w:rPr>
                <w:spacing w:val="3"/>
              </w:rPr>
              <w:t>0.05L</w:t>
            </w:r>
          </w:p>
        </w:tc>
        <w:tc>
          <w:tcPr>
            <w:tcW w:w="1067" w:type="dxa"/>
            <w:vAlign w:val="top"/>
          </w:tcPr>
          <w:p>
            <w:pPr>
              <w:pStyle w:val="TableText"/>
              <w:ind w:left="286"/>
              <w:spacing w:before="68" w:line="195" w:lineRule="auto"/>
              <w:rPr/>
            </w:pPr>
            <w:r>
              <w:rPr>
                <w:spacing w:val="3"/>
              </w:rPr>
              <w:t>0.05L</w:t>
            </w:r>
          </w:p>
        </w:tc>
        <w:tc>
          <w:tcPr>
            <w:tcW w:w="950" w:type="dxa"/>
            <w:vAlign w:val="top"/>
          </w:tcPr>
          <w:p>
            <w:pPr>
              <w:pStyle w:val="TableText"/>
              <w:ind w:left="227"/>
              <w:spacing w:before="68" w:line="195" w:lineRule="auto"/>
              <w:rPr/>
            </w:pPr>
            <w:r>
              <w:rPr>
                <w:spacing w:val="3"/>
              </w:rPr>
              <w:t>0.05L</w:t>
            </w:r>
          </w:p>
        </w:tc>
        <w:tc>
          <w:tcPr>
            <w:tcW w:w="2128" w:type="dxa"/>
            <w:vAlign w:val="top"/>
          </w:tcPr>
          <w:p>
            <w:pPr>
              <w:pStyle w:val="TableText"/>
              <w:ind w:left="1032"/>
              <w:spacing w:before="65" w:line="199" w:lineRule="auto"/>
              <w:rPr/>
            </w:pPr>
            <w:r>
              <w:rPr>
                <w:spacing w:val="2"/>
              </w:rPr>
              <w:t>/</w:t>
            </w:r>
          </w:p>
        </w:tc>
        <w:tc>
          <w:tcPr>
            <w:tcW w:w="2130" w:type="dxa"/>
            <w:vAlign w:val="top"/>
          </w:tcPr>
          <w:p>
            <w:pPr>
              <w:pStyle w:val="TableText"/>
              <w:ind w:left="1035"/>
              <w:spacing w:before="65" w:line="199" w:lineRule="auto"/>
              <w:rPr/>
            </w:pPr>
            <w:r>
              <w:rPr>
                <w:spacing w:val="2"/>
              </w:rPr>
              <w:t>/</w:t>
            </w:r>
          </w:p>
        </w:tc>
        <w:tc>
          <w:tcPr>
            <w:tcW w:w="592" w:type="dxa"/>
            <w:vAlign w:val="top"/>
          </w:tcPr>
          <w:p>
            <w:pPr>
              <w:pStyle w:val="TableText"/>
              <w:ind w:left="261"/>
              <w:spacing w:before="50" w:line="199" w:lineRule="auto"/>
              <w:rPr/>
            </w:pPr>
            <w:r>
              <w:rPr>
                <w:spacing w:val="2"/>
              </w:rPr>
              <w:t>/</w:t>
            </w:r>
          </w:p>
        </w:tc>
      </w:tr>
      <w:tr>
        <w:trPr>
          <w:trHeight w:val="278" w:hRule="atLeast"/>
        </w:trPr>
        <w:tc>
          <w:tcPr>
            <w:tcW w:w="513" w:type="dxa"/>
            <w:vAlign w:val="top"/>
            <w:vMerge w:val="continue"/>
            <w:tcBorders>
              <w:top w:val="nil"/>
              <w:bottom w:val="nil"/>
            </w:tcBorders>
          </w:tcPr>
          <w:p>
            <w:pPr>
              <w:rPr>
                <w:rFonts w:ascii="Arial"/>
                <w:sz w:val="21"/>
              </w:rPr>
            </w:pPr>
            <w:r/>
          </w:p>
        </w:tc>
        <w:tc>
          <w:tcPr>
            <w:tcW w:w="883" w:type="dxa"/>
            <w:vAlign w:val="top"/>
          </w:tcPr>
          <w:p>
            <w:pPr>
              <w:ind w:left="336"/>
              <w:spacing w:before="32" w:line="217" w:lineRule="auto"/>
              <w:rPr>
                <w:rFonts w:ascii="SimSun" w:hAnsi="SimSun" w:eastAsia="SimSun" w:cs="SimSun"/>
                <w:sz w:val="20"/>
                <w:szCs w:val="20"/>
              </w:rPr>
            </w:pPr>
            <w:r>
              <w:rPr>
                <w:rFonts w:ascii="SimSun" w:hAnsi="SimSun" w:eastAsia="SimSun" w:cs="SimSun"/>
                <w:sz w:val="20"/>
                <w:szCs w:val="20"/>
                <w:spacing w:val="1"/>
              </w:rPr>
              <w:t>锌</w:t>
            </w:r>
          </w:p>
        </w:tc>
        <w:tc>
          <w:tcPr>
            <w:tcW w:w="1027" w:type="dxa"/>
            <w:vAlign w:val="top"/>
          </w:tcPr>
          <w:p>
            <w:pPr>
              <w:pStyle w:val="TableText"/>
              <w:ind w:left="264"/>
              <w:spacing w:before="69" w:line="195" w:lineRule="auto"/>
              <w:rPr/>
            </w:pPr>
            <w:r>
              <w:rPr>
                <w:spacing w:val="3"/>
              </w:rPr>
              <w:t>0.01L</w:t>
            </w:r>
          </w:p>
        </w:tc>
        <w:tc>
          <w:tcPr>
            <w:tcW w:w="1067" w:type="dxa"/>
            <w:vAlign w:val="top"/>
          </w:tcPr>
          <w:p>
            <w:pPr>
              <w:pStyle w:val="TableText"/>
              <w:ind w:left="286"/>
              <w:spacing w:before="69" w:line="195" w:lineRule="auto"/>
              <w:rPr/>
            </w:pPr>
            <w:r>
              <w:rPr>
                <w:spacing w:val="3"/>
              </w:rPr>
              <w:t>0.01L</w:t>
            </w:r>
          </w:p>
        </w:tc>
        <w:tc>
          <w:tcPr>
            <w:tcW w:w="950" w:type="dxa"/>
            <w:vAlign w:val="top"/>
          </w:tcPr>
          <w:p>
            <w:pPr>
              <w:pStyle w:val="TableText"/>
              <w:ind w:left="227"/>
              <w:spacing w:before="69" w:line="195" w:lineRule="auto"/>
              <w:rPr/>
            </w:pPr>
            <w:r>
              <w:rPr>
                <w:spacing w:val="3"/>
              </w:rPr>
              <w:t>0.01L</w:t>
            </w:r>
          </w:p>
        </w:tc>
        <w:tc>
          <w:tcPr>
            <w:tcW w:w="2128" w:type="dxa"/>
            <w:vAlign w:val="top"/>
          </w:tcPr>
          <w:p>
            <w:pPr>
              <w:pStyle w:val="TableText"/>
              <w:ind w:left="1032"/>
              <w:spacing w:before="65" w:line="199" w:lineRule="auto"/>
              <w:rPr/>
            </w:pPr>
            <w:r>
              <w:rPr>
                <w:spacing w:val="2"/>
              </w:rPr>
              <w:t>/</w:t>
            </w:r>
          </w:p>
        </w:tc>
        <w:tc>
          <w:tcPr>
            <w:tcW w:w="2130" w:type="dxa"/>
            <w:vAlign w:val="top"/>
          </w:tcPr>
          <w:p>
            <w:pPr>
              <w:pStyle w:val="TableText"/>
              <w:ind w:left="1035"/>
              <w:spacing w:before="65" w:line="199" w:lineRule="auto"/>
              <w:rPr/>
            </w:pPr>
            <w:r>
              <w:rPr>
                <w:spacing w:val="2"/>
              </w:rPr>
              <w:t>/</w:t>
            </w:r>
          </w:p>
        </w:tc>
        <w:tc>
          <w:tcPr>
            <w:tcW w:w="592" w:type="dxa"/>
            <w:vAlign w:val="top"/>
          </w:tcPr>
          <w:p>
            <w:pPr>
              <w:pStyle w:val="TableText"/>
              <w:ind w:left="261"/>
              <w:spacing w:before="50" w:line="199" w:lineRule="auto"/>
              <w:rPr/>
            </w:pPr>
            <w:r>
              <w:rPr>
                <w:spacing w:val="2"/>
              </w:rPr>
              <w:t>/</w:t>
            </w:r>
          </w:p>
        </w:tc>
      </w:tr>
      <w:tr>
        <w:trPr>
          <w:trHeight w:val="553" w:hRule="atLeast"/>
        </w:trPr>
        <w:tc>
          <w:tcPr>
            <w:tcW w:w="513" w:type="dxa"/>
            <w:vAlign w:val="top"/>
            <w:vMerge w:val="continue"/>
            <w:tcBorders>
              <w:top w:val="nil"/>
            </w:tcBorders>
          </w:tcPr>
          <w:p>
            <w:pPr>
              <w:rPr>
                <w:rFonts w:ascii="Arial"/>
                <w:sz w:val="21"/>
              </w:rPr>
            </w:pPr>
            <w:r/>
          </w:p>
        </w:tc>
        <w:tc>
          <w:tcPr>
            <w:tcW w:w="883" w:type="dxa"/>
            <w:vAlign w:val="top"/>
          </w:tcPr>
          <w:p>
            <w:pPr>
              <w:ind w:left="126"/>
              <w:spacing w:before="167" w:line="228" w:lineRule="auto"/>
              <w:rPr>
                <w:rFonts w:ascii="SimSun" w:hAnsi="SimSun" w:eastAsia="SimSun" w:cs="SimSun"/>
                <w:sz w:val="20"/>
                <w:szCs w:val="20"/>
              </w:rPr>
            </w:pPr>
            <w:r>
              <w:rPr>
                <w:rFonts w:ascii="SimSun" w:hAnsi="SimSun" w:eastAsia="SimSun" w:cs="SimSun"/>
                <w:sz w:val="20"/>
                <w:szCs w:val="20"/>
                <w:spacing w:val="6"/>
              </w:rPr>
              <w:t>石油类</w:t>
            </w:r>
          </w:p>
        </w:tc>
        <w:tc>
          <w:tcPr>
            <w:tcW w:w="1027" w:type="dxa"/>
            <w:vAlign w:val="top"/>
          </w:tcPr>
          <w:p>
            <w:pPr>
              <w:pStyle w:val="TableText"/>
              <w:ind w:left="329"/>
              <w:spacing w:before="203" w:line="195" w:lineRule="auto"/>
              <w:rPr/>
            </w:pPr>
            <w:r>
              <w:rPr>
                <w:spacing w:val="3"/>
              </w:rPr>
              <w:t>0.97</w:t>
            </w:r>
          </w:p>
        </w:tc>
        <w:tc>
          <w:tcPr>
            <w:tcW w:w="1067" w:type="dxa"/>
            <w:vAlign w:val="top"/>
          </w:tcPr>
          <w:p>
            <w:pPr>
              <w:pStyle w:val="TableText"/>
              <w:ind w:left="348"/>
              <w:spacing w:before="203" w:line="195" w:lineRule="auto"/>
              <w:rPr/>
            </w:pPr>
            <w:r>
              <w:rPr>
                <w:spacing w:val="3"/>
              </w:rPr>
              <w:t>2.98</w:t>
            </w:r>
          </w:p>
        </w:tc>
        <w:tc>
          <w:tcPr>
            <w:tcW w:w="950" w:type="dxa"/>
            <w:vAlign w:val="top"/>
          </w:tcPr>
          <w:p>
            <w:pPr>
              <w:pStyle w:val="TableText"/>
              <w:ind w:left="292"/>
              <w:spacing w:before="203" w:line="195" w:lineRule="auto"/>
              <w:rPr/>
            </w:pPr>
            <w:r>
              <w:rPr>
                <w:spacing w:val="3"/>
              </w:rPr>
              <w:t>0.83</w:t>
            </w:r>
          </w:p>
        </w:tc>
        <w:tc>
          <w:tcPr>
            <w:tcW w:w="2128" w:type="dxa"/>
            <w:vAlign w:val="top"/>
          </w:tcPr>
          <w:p>
            <w:pPr>
              <w:pStyle w:val="TableText"/>
              <w:ind w:left="952"/>
              <w:spacing w:before="204" w:line="195" w:lineRule="auto"/>
              <w:rPr/>
            </w:pPr>
            <w:r>
              <w:rPr>
                <w:spacing w:val="3"/>
              </w:rPr>
              <w:t>≤1</w:t>
            </w:r>
          </w:p>
        </w:tc>
        <w:tc>
          <w:tcPr>
            <w:tcW w:w="2130" w:type="dxa"/>
            <w:vAlign w:val="top"/>
          </w:tcPr>
          <w:p>
            <w:pPr>
              <w:pStyle w:val="TableText"/>
              <w:ind w:left="1035"/>
              <w:spacing w:before="199" w:line="199" w:lineRule="auto"/>
              <w:rPr/>
            </w:pPr>
            <w:r>
              <w:rPr>
                <w:spacing w:val="2"/>
              </w:rPr>
              <w:t>/</w:t>
            </w:r>
          </w:p>
        </w:tc>
        <w:tc>
          <w:tcPr>
            <w:tcW w:w="592" w:type="dxa"/>
            <w:vAlign w:val="top"/>
            <w:textDirection w:val="tbRlV"/>
          </w:tcPr>
          <w:p>
            <w:pPr>
              <w:ind w:left="33"/>
              <w:spacing w:before="188" w:line="215" w:lineRule="auto"/>
              <w:rPr>
                <w:rFonts w:ascii="SimSun" w:hAnsi="SimSun" w:eastAsia="SimSun" w:cs="SimSun"/>
                <w:sz w:val="20"/>
                <w:szCs w:val="20"/>
              </w:rPr>
            </w:pPr>
            <w:r>
              <w:rPr>
                <w:rFonts w:ascii="SimSun" w:hAnsi="SimSun" w:eastAsia="SimSun" w:cs="SimSun"/>
                <w:sz w:val="20"/>
                <w:szCs w:val="20"/>
                <w:spacing w:val="8"/>
              </w:rPr>
              <w:t>符</w:t>
            </w:r>
            <w:r>
              <w:rPr>
                <w:rFonts w:ascii="SimSun" w:hAnsi="SimSun" w:eastAsia="SimSun" w:cs="SimSun"/>
                <w:sz w:val="20"/>
                <w:szCs w:val="20"/>
                <w:spacing w:val="-38"/>
              </w:rPr>
              <w:t xml:space="preserve"> </w:t>
            </w:r>
            <w:r>
              <w:rPr>
                <w:rFonts w:ascii="SimSun" w:hAnsi="SimSun" w:eastAsia="SimSun" w:cs="SimSun"/>
                <w:sz w:val="20"/>
                <w:szCs w:val="20"/>
                <w:spacing w:val="8"/>
              </w:rPr>
              <w:t>合</w:t>
            </w:r>
          </w:p>
        </w:tc>
      </w:tr>
    </w:tbl>
    <w:p>
      <w:pPr>
        <w:spacing w:before="238"/>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28"/>
        <w:gridCol w:w="4562"/>
      </w:tblGrid>
      <w:tr>
        <w:trPr>
          <w:trHeight w:val="2825" w:hRule="atLeast"/>
        </w:trPr>
        <w:tc>
          <w:tcPr>
            <w:tcW w:w="4728" w:type="dxa"/>
            <w:vAlign w:val="top"/>
          </w:tcPr>
          <w:p>
            <w:pPr>
              <w:ind w:firstLine="470"/>
              <w:spacing w:before="2" w:line="2812" w:lineRule="exact"/>
              <w:rPr/>
            </w:pPr>
            <w:r>
              <w:rPr>
                <w:position w:val="-56"/>
              </w:rPr>
              <w:drawing>
                <wp:inline distT="0" distB="0" distL="0" distR="0">
                  <wp:extent cx="2400300" cy="1786128"/>
                  <wp:effectExtent l="0" t="0" r="0" b="0"/>
                  <wp:docPr id="134" name="IM 134"/>
                  <wp:cNvGraphicFramePr/>
                  <a:graphic>
                    <a:graphicData uri="http://schemas.openxmlformats.org/drawingml/2006/picture">
                      <pic:pic>
                        <pic:nvPicPr>
                          <pic:cNvPr id="134" name="IM 134"/>
                          <pic:cNvPicPr/>
                        </pic:nvPicPr>
                        <pic:blipFill>
                          <a:blip r:embed="rId162"/>
                          <a:stretch>
                            <a:fillRect/>
                          </a:stretch>
                        </pic:blipFill>
                        <pic:spPr>
                          <a:xfrm rot="0">
                            <a:off x="0" y="0"/>
                            <a:ext cx="2400300" cy="1786128"/>
                          </a:xfrm>
                          <a:prstGeom prst="rect">
                            <a:avLst/>
                          </a:prstGeom>
                        </pic:spPr>
                      </pic:pic>
                    </a:graphicData>
                  </a:graphic>
                </wp:inline>
              </w:drawing>
            </w:r>
          </w:p>
        </w:tc>
        <w:tc>
          <w:tcPr>
            <w:tcW w:w="4562" w:type="dxa"/>
            <w:vAlign w:val="top"/>
          </w:tcPr>
          <w:p>
            <w:pPr>
              <w:ind w:firstLine="376"/>
              <w:spacing w:before="2" w:line="2812" w:lineRule="exact"/>
              <w:rPr/>
            </w:pPr>
            <w:r>
              <w:rPr>
                <w:position w:val="-56"/>
              </w:rPr>
              <w:drawing>
                <wp:inline distT="0" distB="0" distL="0" distR="0">
                  <wp:extent cx="2400300" cy="1786128"/>
                  <wp:effectExtent l="0" t="0" r="0" b="0"/>
                  <wp:docPr id="136" name="IM 136"/>
                  <wp:cNvGraphicFramePr/>
                  <a:graphic>
                    <a:graphicData uri="http://schemas.openxmlformats.org/drawingml/2006/picture">
                      <pic:pic>
                        <pic:nvPicPr>
                          <pic:cNvPr id="136" name="IM 136"/>
                          <pic:cNvPicPr/>
                        </pic:nvPicPr>
                        <pic:blipFill>
                          <a:blip r:embed="rId163"/>
                          <a:stretch>
                            <a:fillRect/>
                          </a:stretch>
                        </pic:blipFill>
                        <pic:spPr>
                          <a:xfrm rot="0">
                            <a:off x="0" y="0"/>
                            <a:ext cx="2400300" cy="1786128"/>
                          </a:xfrm>
                          <a:prstGeom prst="rect">
                            <a:avLst/>
                          </a:prstGeom>
                        </pic:spPr>
                      </pic:pic>
                    </a:graphicData>
                  </a:graphic>
                </wp:inline>
              </w:drawing>
            </w:r>
          </w:p>
        </w:tc>
      </w:tr>
      <w:tr>
        <w:trPr>
          <w:trHeight w:val="282" w:hRule="atLeast"/>
        </w:trPr>
        <w:tc>
          <w:tcPr>
            <w:tcW w:w="4728" w:type="dxa"/>
            <w:vAlign w:val="top"/>
          </w:tcPr>
          <w:p>
            <w:pPr>
              <w:ind w:left="1418"/>
              <w:spacing w:before="33" w:line="220" w:lineRule="auto"/>
              <w:rPr>
                <w:rFonts w:ascii="SimSun" w:hAnsi="SimSun" w:eastAsia="SimSun" w:cs="SimSun"/>
                <w:sz w:val="20"/>
                <w:szCs w:val="20"/>
              </w:rPr>
            </w:pPr>
            <w:r>
              <w:rPr>
                <w:rFonts w:ascii="SimSun" w:hAnsi="SimSun" w:eastAsia="SimSun" w:cs="SimSun"/>
                <w:sz w:val="20"/>
                <w:szCs w:val="20"/>
                <w:b/>
                <w:bCs/>
                <w:spacing w:val="7"/>
              </w:rPr>
              <w:t>矿井（坑）水处理站</w:t>
            </w:r>
          </w:p>
        </w:tc>
        <w:tc>
          <w:tcPr>
            <w:tcW w:w="4562" w:type="dxa"/>
            <w:vAlign w:val="top"/>
          </w:tcPr>
          <w:p>
            <w:pPr>
              <w:ind w:left="1757"/>
              <w:spacing w:before="33" w:line="220" w:lineRule="auto"/>
              <w:rPr>
                <w:rFonts w:ascii="SimSun" w:hAnsi="SimSun" w:eastAsia="SimSun" w:cs="SimSun"/>
                <w:sz w:val="20"/>
                <w:szCs w:val="20"/>
              </w:rPr>
            </w:pPr>
            <w:r>
              <w:rPr>
                <w:rFonts w:ascii="SimSun" w:hAnsi="SimSun" w:eastAsia="SimSun" w:cs="SimSun"/>
                <w:sz w:val="20"/>
                <w:szCs w:val="20"/>
                <w:b/>
                <w:bCs/>
                <w:spacing w:val="6"/>
              </w:rPr>
              <w:t>水处理设备</w:t>
            </w:r>
          </w:p>
        </w:tc>
      </w:tr>
    </w:tbl>
    <w:p>
      <w:pPr>
        <w:ind w:left="3597"/>
        <w:spacing w:before="84" w:line="228" w:lineRule="auto"/>
        <w:rPr>
          <w:rFonts w:ascii="SimSun" w:hAnsi="SimSun" w:eastAsia="SimSun" w:cs="SimSun"/>
          <w:sz w:val="20"/>
          <w:szCs w:val="20"/>
        </w:rPr>
      </w:pPr>
      <w:r>
        <w:rPr>
          <w:rFonts w:ascii="SimSun" w:hAnsi="SimSun" w:eastAsia="SimSun" w:cs="SimSun"/>
          <w:sz w:val="20"/>
          <w:szCs w:val="20"/>
          <w:b/>
          <w:bCs/>
          <w:spacing w:val="7"/>
        </w:rPr>
        <w:t>矿井（坑）水处理设施</w:t>
      </w:r>
    </w:p>
    <w:p>
      <w:pPr>
        <w:ind w:left="114"/>
        <w:spacing w:before="227"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3.3.3.2.  </w:t>
      </w:r>
      <w:r>
        <w:rPr>
          <w:rFonts w:ascii="SimHei" w:hAnsi="SimHei" w:eastAsia="SimHei" w:cs="SimHei"/>
          <w:sz w:val="24"/>
          <w:szCs w:val="24"/>
          <w:b/>
          <w:bCs/>
          <w:spacing w:val="-1"/>
        </w:rPr>
        <w:t>生活污水</w:t>
      </w:r>
    </w:p>
    <w:p>
      <w:pPr>
        <w:ind w:left="634"/>
        <w:spacing w:before="161" w:line="219" w:lineRule="auto"/>
        <w:rPr>
          <w:rFonts w:ascii="SimSun" w:hAnsi="SimSun" w:eastAsia="SimSun" w:cs="SimSun"/>
          <w:sz w:val="24"/>
          <w:szCs w:val="24"/>
        </w:rPr>
      </w:pPr>
      <w:r>
        <w:rPr>
          <w:rFonts w:ascii="SimSun" w:hAnsi="SimSun" w:eastAsia="SimSun" w:cs="SimSun"/>
          <w:sz w:val="24"/>
          <w:szCs w:val="24"/>
          <w:spacing w:val="-3"/>
        </w:rPr>
        <w:t>白音华四号露天矿（露天区）配有两个生活污水处理站</w:t>
      </w:r>
      <w:r>
        <w:rPr>
          <w:rFonts w:ascii="SimSun" w:hAnsi="SimSun" w:eastAsia="SimSun" w:cs="SimSun"/>
          <w:sz w:val="24"/>
          <w:szCs w:val="24"/>
          <w:spacing w:val="-4"/>
        </w:rPr>
        <w:t>，1</w:t>
      </w:r>
      <w:r>
        <w:rPr>
          <w:rFonts w:ascii="SimSun" w:hAnsi="SimSun" w:eastAsia="SimSun" w:cs="SimSun"/>
          <w:sz w:val="24"/>
          <w:szCs w:val="24"/>
          <w:spacing w:val="-49"/>
        </w:rPr>
        <w:t xml:space="preserve"> </w:t>
      </w:r>
      <w:r>
        <w:rPr>
          <w:rFonts w:ascii="SimSun" w:hAnsi="SimSun" w:eastAsia="SimSun" w:cs="SimSun"/>
          <w:sz w:val="24"/>
          <w:szCs w:val="24"/>
          <w:spacing w:val="-4"/>
        </w:rPr>
        <w:t>用</w:t>
      </w:r>
      <w:r>
        <w:rPr>
          <w:rFonts w:ascii="SimSun" w:hAnsi="SimSun" w:eastAsia="SimSun" w:cs="SimSun"/>
          <w:sz w:val="24"/>
          <w:szCs w:val="24"/>
          <w:spacing w:val="-33"/>
        </w:rPr>
        <w:t xml:space="preserve"> </w:t>
      </w:r>
      <w:r>
        <w:rPr>
          <w:rFonts w:ascii="SimSun" w:hAnsi="SimSun" w:eastAsia="SimSun" w:cs="SimSun"/>
          <w:sz w:val="24"/>
          <w:szCs w:val="24"/>
          <w:spacing w:val="-4"/>
        </w:rPr>
        <w:t>1</w:t>
      </w:r>
      <w:r>
        <w:rPr>
          <w:rFonts w:ascii="SimSun" w:hAnsi="SimSun" w:eastAsia="SimSun" w:cs="SimSun"/>
          <w:sz w:val="24"/>
          <w:szCs w:val="24"/>
          <w:spacing w:val="-48"/>
        </w:rPr>
        <w:t xml:space="preserve"> </w:t>
      </w:r>
      <w:r>
        <w:rPr>
          <w:rFonts w:ascii="SimSun" w:hAnsi="SimSun" w:eastAsia="SimSun" w:cs="SimSun"/>
          <w:sz w:val="24"/>
          <w:szCs w:val="24"/>
          <w:spacing w:val="-4"/>
        </w:rPr>
        <w:t>备。</w:t>
      </w:r>
    </w:p>
    <w:p>
      <w:pPr>
        <w:ind w:left="618"/>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4"/>
        </w:rPr>
        <w:t>、水量</w:t>
      </w:r>
    </w:p>
    <w:p>
      <w:pPr>
        <w:ind w:left="121" w:right="112" w:firstLine="483"/>
        <w:spacing w:before="154" w:line="340" w:lineRule="auto"/>
        <w:rPr>
          <w:rFonts w:ascii="SimSun" w:hAnsi="SimSun" w:eastAsia="SimSun" w:cs="SimSun"/>
          <w:sz w:val="24"/>
          <w:szCs w:val="24"/>
        </w:rPr>
      </w:pPr>
      <w:r>
        <w:rPr>
          <w:rFonts w:ascii="SimSun" w:hAnsi="SimSun" w:eastAsia="SimSun" w:cs="SimSun"/>
          <w:sz w:val="24"/>
          <w:szCs w:val="24"/>
        </w:rPr>
        <w:t>露天区生活污水主要包括露天工业场地生活污</w:t>
      </w:r>
      <w:r>
        <w:rPr>
          <w:rFonts w:ascii="SimSun" w:hAnsi="SimSun" w:eastAsia="SimSun" w:cs="SimSun"/>
          <w:sz w:val="24"/>
          <w:szCs w:val="24"/>
          <w:spacing w:val="-1"/>
        </w:rPr>
        <w:t>水，其产生量共为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422m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。生活污</w:t>
      </w:r>
      <w:r>
        <w:rPr>
          <w:rFonts w:ascii="SimSun" w:hAnsi="SimSun" w:eastAsia="SimSun" w:cs="SimSun"/>
          <w:sz w:val="24"/>
          <w:szCs w:val="24"/>
          <w:spacing w:val="3"/>
        </w:rPr>
        <w:t>水处理站处理规模为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3"/>
        </w:rPr>
        <w:t>1200 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w:t>
      </w:r>
      <w:r>
        <w:rPr>
          <w:rFonts w:ascii="Times New Roman" w:hAnsi="Times New Roman" w:eastAsia="Times New Roman" w:cs="Times New Roman"/>
          <w:sz w:val="24"/>
          <w:szCs w:val="24"/>
          <w:spacing w:val="3"/>
        </w:rPr>
        <w:t>50m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/h</w:t>
      </w:r>
      <w:r>
        <w:rPr>
          <w:rFonts w:ascii="SimSun" w:hAnsi="SimSun" w:eastAsia="SimSun" w:cs="SimSun"/>
          <w:sz w:val="24"/>
          <w:szCs w:val="24"/>
          <w:spacing w:val="17"/>
        </w:rPr>
        <w:t>）；</w:t>
      </w:r>
      <w:r>
        <w:rPr>
          <w:rFonts w:ascii="SimSun" w:hAnsi="SimSun" w:eastAsia="SimSun" w:cs="SimSun"/>
          <w:sz w:val="24"/>
          <w:szCs w:val="24"/>
          <w:spacing w:val="3"/>
        </w:rPr>
        <w:t>备用生活污水处理站处理规模</w:t>
      </w:r>
      <w:r>
        <w:rPr>
          <w:rFonts w:ascii="SimSun" w:hAnsi="SimSun" w:eastAsia="SimSun" w:cs="SimSun"/>
          <w:sz w:val="24"/>
          <w:szCs w:val="24"/>
          <w:spacing w:val="2"/>
        </w:rPr>
        <w:t>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480m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20m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）。处理工艺均为生化接触氧化法，处理后的水回用于抑尘、绿化洒水及冲洗</w:t>
      </w:r>
      <w:r>
        <w:rPr>
          <w:rFonts w:ascii="SimSun" w:hAnsi="SimSun" w:eastAsia="SimSun" w:cs="SimSun"/>
          <w:sz w:val="24"/>
          <w:szCs w:val="24"/>
          <w:spacing w:val="-1"/>
        </w:rPr>
        <w:t>用水，污水全部综合利用，不外排。生活污水处理站工艺流程见图</w:t>
      </w:r>
      <w:r>
        <w:rPr>
          <w:rFonts w:ascii="SimSun" w:hAnsi="SimSun" w:eastAsia="SimSun" w:cs="SimSun"/>
          <w:sz w:val="24"/>
          <w:szCs w:val="24"/>
          <w:spacing w:val="-38"/>
        </w:rPr>
        <w:t xml:space="preserve"> </w:t>
      </w:r>
      <w:r>
        <w:rPr>
          <w:rFonts w:ascii="SimSun" w:hAnsi="SimSun" w:eastAsia="SimSun" w:cs="SimSun"/>
          <w:sz w:val="24"/>
          <w:szCs w:val="24"/>
          <w:spacing w:val="-1"/>
        </w:rPr>
        <w:t>3-3-8。</w:t>
      </w:r>
    </w:p>
    <w:p>
      <w:pPr>
        <w:spacing w:line="340" w:lineRule="auto"/>
        <w:sectPr>
          <w:footerReference w:type="default" r:id="rId161"/>
          <w:pgSz w:w="11906" w:h="16838"/>
          <w:pgMar w:top="1170" w:right="1304" w:bottom="1078" w:left="1305" w:header="837" w:footer="915" w:gutter="0"/>
        </w:sectPr>
        <w:rPr>
          <w:rFonts w:ascii="SimSun" w:hAnsi="SimSun" w:eastAsia="SimSun" w:cs="SimSun"/>
          <w:sz w:val="24"/>
          <w:szCs w:val="24"/>
        </w:rPr>
      </w:pPr>
    </w:p>
    <w:p>
      <w:pPr>
        <w:pStyle w:val="BodyText"/>
        <w:spacing w:line="246" w:lineRule="auto"/>
        <w:rPr/>
      </w:pPr>
      <w:r/>
    </w:p>
    <w:p>
      <w:pPr>
        <w:ind w:firstLine="590"/>
        <w:spacing w:line="3737" w:lineRule="exact"/>
        <w:rPr/>
      </w:pPr>
      <w:r>
        <w:rPr>
          <w:position w:val="-74"/>
        </w:rPr>
        <w:drawing>
          <wp:inline distT="0" distB="0" distL="0" distR="0">
            <wp:extent cx="5029200" cy="2372868"/>
            <wp:effectExtent l="0" t="0" r="0" b="0"/>
            <wp:docPr id="138" name="IM 138"/>
            <wp:cNvGraphicFramePr/>
            <a:graphic>
              <a:graphicData uri="http://schemas.openxmlformats.org/drawingml/2006/picture">
                <pic:pic>
                  <pic:nvPicPr>
                    <pic:cNvPr id="138" name="IM 138"/>
                    <pic:cNvPicPr/>
                  </pic:nvPicPr>
                  <pic:blipFill>
                    <a:blip r:embed="rId165"/>
                    <a:stretch>
                      <a:fillRect/>
                    </a:stretch>
                  </pic:blipFill>
                  <pic:spPr>
                    <a:xfrm rot="0">
                      <a:off x="0" y="0"/>
                      <a:ext cx="5029200" cy="2372868"/>
                    </a:xfrm>
                    <a:prstGeom prst="rect">
                      <a:avLst/>
                    </a:prstGeom>
                  </pic:spPr>
                </pic:pic>
              </a:graphicData>
            </a:graphic>
          </wp:inline>
        </w:drawing>
      </w:r>
    </w:p>
    <w:p>
      <w:pPr>
        <w:ind w:left="2783"/>
        <w:spacing w:before="283" w:line="221"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53"/>
        </w:rPr>
        <w:t xml:space="preserve"> </w:t>
      </w:r>
      <w:r>
        <w:rPr>
          <w:rFonts w:ascii="Times New Roman" w:hAnsi="Times New Roman" w:eastAsia="Times New Roman" w:cs="Times New Roman"/>
          <w:sz w:val="24"/>
          <w:szCs w:val="24"/>
          <w:b/>
          <w:bCs/>
          <w:spacing w:val="-3"/>
        </w:rPr>
        <w:t>3-3-8 </w:t>
      </w:r>
      <w:r>
        <w:rPr>
          <w:rFonts w:ascii="SimHei" w:hAnsi="SimHei" w:eastAsia="SimHei" w:cs="SimHei"/>
          <w:sz w:val="24"/>
          <w:szCs w:val="24"/>
          <w:b/>
          <w:bCs/>
          <w:spacing w:val="-3"/>
        </w:rPr>
        <w:t>生活污水处理站工艺流程图</w:t>
      </w:r>
    </w:p>
    <w:p>
      <w:pPr>
        <w:ind w:left="595"/>
        <w:spacing w:before="152" w:line="219" w:lineRule="auto"/>
        <w:rPr>
          <w:rFonts w:ascii="SimSun" w:hAnsi="SimSun" w:eastAsia="SimSun" w:cs="SimSun"/>
          <w:sz w:val="24"/>
          <w:szCs w:val="24"/>
        </w:rPr>
      </w:pP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、水质</w:t>
      </w:r>
    </w:p>
    <w:p>
      <w:pPr>
        <w:ind w:left="118" w:right="115" w:firstLine="481"/>
        <w:spacing w:before="154" w:line="340" w:lineRule="auto"/>
        <w:rPr>
          <w:rFonts w:ascii="SimSun" w:hAnsi="SimSun" w:eastAsia="SimSun" w:cs="SimSun"/>
          <w:sz w:val="24"/>
          <w:szCs w:val="24"/>
        </w:rPr>
      </w:pPr>
      <w:r>
        <w:rPr>
          <w:rFonts w:ascii="SimSun" w:hAnsi="SimSun" w:eastAsia="SimSun" w:cs="SimSun"/>
          <w:sz w:val="24"/>
          <w:szCs w:val="24"/>
          <w:spacing w:val="-1"/>
        </w:rPr>
        <w:t>本次评价收集了</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月的生</w:t>
      </w:r>
      <w:r>
        <w:rPr>
          <w:rFonts w:ascii="SimSun" w:hAnsi="SimSun" w:eastAsia="SimSun" w:cs="SimSun"/>
          <w:sz w:val="24"/>
          <w:szCs w:val="24"/>
          <w:spacing w:val="-2"/>
        </w:rPr>
        <w:t>活污水例行监测数据，监测结果见</w:t>
      </w:r>
      <w:r>
        <w:rPr>
          <w:rFonts w:ascii="SimSun" w:hAnsi="SimSun" w:eastAsia="SimSun" w:cs="SimSun"/>
          <w:sz w:val="24"/>
          <w:szCs w:val="24"/>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3-3-9</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。由表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3-3-9 </w:t>
      </w:r>
      <w:r>
        <w:rPr>
          <w:rFonts w:ascii="SimSun" w:hAnsi="SimSun" w:eastAsia="SimSun" w:cs="SimSun"/>
          <w:sz w:val="24"/>
          <w:szCs w:val="24"/>
        </w:rPr>
        <w:t>可知，经处理后的生活污水满足</w:t>
      </w:r>
      <w:r>
        <w:rPr>
          <w:rFonts w:ascii="SimSun" w:hAnsi="SimSun" w:eastAsia="SimSun" w:cs="SimSun"/>
          <w:sz w:val="24"/>
          <w:szCs w:val="24"/>
          <w:spacing w:val="-1"/>
        </w:rPr>
        <w:t>《城市污水再生利用 城市杂用水</w:t>
      </w:r>
      <w:r>
        <w:rPr>
          <w:rFonts w:ascii="SimSun" w:hAnsi="SimSun" w:eastAsia="SimSun" w:cs="SimSun"/>
          <w:sz w:val="24"/>
          <w:szCs w:val="24"/>
        </w:rPr>
        <w:t>水质》（</w:t>
      </w:r>
      <w:r>
        <w:rPr>
          <w:rFonts w:ascii="Times New Roman" w:hAnsi="Times New Roman" w:eastAsia="Times New Roman" w:cs="Times New Roman"/>
          <w:sz w:val="24"/>
          <w:szCs w:val="24"/>
        </w:rPr>
        <w:t>GB/T18920-2020</w:t>
      </w:r>
      <w:r>
        <w:rPr>
          <w:rFonts w:ascii="SimSun" w:hAnsi="SimSun" w:eastAsia="SimSun" w:cs="SimSun"/>
          <w:sz w:val="24"/>
          <w:szCs w:val="24"/>
        </w:rPr>
        <w:t>）中绿化、</w:t>
      </w:r>
      <w:r>
        <w:rPr>
          <w:rFonts w:ascii="SimSun" w:hAnsi="SimSun" w:eastAsia="SimSun" w:cs="SimSun"/>
          <w:sz w:val="24"/>
          <w:szCs w:val="24"/>
          <w:spacing w:val="-1"/>
        </w:rPr>
        <w:t>道路清扫等限值要求。</w:t>
      </w:r>
    </w:p>
    <w:p>
      <w:pPr>
        <w:ind w:left="3326"/>
        <w:spacing w:before="122" w:line="222" w:lineRule="auto"/>
        <w:rPr>
          <w:rFonts w:ascii="SimHei" w:hAnsi="SimHei" w:eastAsia="SimHei" w:cs="SimHei"/>
          <w:sz w:val="24"/>
          <w:szCs w:val="24"/>
        </w:rPr>
      </w:pPr>
      <w:r>
        <w:rPr>
          <w:rFonts w:ascii="SimHei" w:hAnsi="SimHei" w:eastAsia="SimHei" w:cs="SimHei"/>
          <w:sz w:val="24"/>
          <w:szCs w:val="24"/>
          <w:b/>
          <w:bCs/>
          <w:spacing w:val="-3"/>
        </w:rPr>
        <w:t>生活污水水质例行监测一览表</w:t>
      </w:r>
    </w:p>
    <w:p>
      <w:pPr>
        <w:ind w:left="117"/>
        <w:spacing w:before="48" w:line="214"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3-3-9</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68"/>
        <w:gridCol w:w="1413"/>
        <w:gridCol w:w="950"/>
        <w:gridCol w:w="950"/>
        <w:gridCol w:w="952"/>
        <w:gridCol w:w="2550"/>
        <w:gridCol w:w="1307"/>
      </w:tblGrid>
      <w:tr>
        <w:trPr>
          <w:trHeight w:val="825" w:hRule="atLeast"/>
        </w:trPr>
        <w:tc>
          <w:tcPr>
            <w:tcW w:w="2581" w:type="dxa"/>
            <w:vAlign w:val="top"/>
            <w:gridSpan w:val="2"/>
          </w:tcPr>
          <w:p>
            <w:pPr>
              <w:ind w:left="979"/>
              <w:spacing w:before="304" w:line="227" w:lineRule="auto"/>
              <w:rPr>
                <w:rFonts w:ascii="SimSun" w:hAnsi="SimSun" w:eastAsia="SimSun" w:cs="SimSun"/>
                <w:sz w:val="20"/>
                <w:szCs w:val="20"/>
              </w:rPr>
            </w:pPr>
            <w:r>
              <w:rPr>
                <w:rFonts w:ascii="SimSun" w:hAnsi="SimSun" w:eastAsia="SimSun" w:cs="SimSun"/>
                <w:sz w:val="20"/>
                <w:szCs w:val="20"/>
                <w:spacing w:val="7"/>
              </w:rPr>
              <w:t>采样点</w:t>
            </w:r>
          </w:p>
        </w:tc>
        <w:tc>
          <w:tcPr>
            <w:tcW w:w="2852" w:type="dxa"/>
            <w:vAlign w:val="top"/>
            <w:gridSpan w:val="3"/>
          </w:tcPr>
          <w:p>
            <w:pPr>
              <w:ind w:left="383"/>
              <w:spacing w:before="304" w:line="228" w:lineRule="auto"/>
              <w:rPr>
                <w:rFonts w:ascii="SimSun" w:hAnsi="SimSun" w:eastAsia="SimSun" w:cs="SimSun"/>
                <w:sz w:val="20"/>
                <w:szCs w:val="20"/>
              </w:rPr>
            </w:pPr>
            <w:r>
              <w:rPr>
                <w:rFonts w:ascii="SimSun" w:hAnsi="SimSun" w:eastAsia="SimSun" w:cs="SimSun"/>
                <w:sz w:val="20"/>
                <w:szCs w:val="20"/>
                <w:spacing w:val="8"/>
              </w:rPr>
              <w:t>露天区生活污水处理后</w:t>
            </w:r>
          </w:p>
        </w:tc>
        <w:tc>
          <w:tcPr>
            <w:tcW w:w="2550" w:type="dxa"/>
            <w:vAlign w:val="top"/>
          </w:tcPr>
          <w:p>
            <w:pPr>
              <w:ind w:left="131"/>
              <w:spacing w:before="31" w:line="228" w:lineRule="auto"/>
              <w:rPr>
                <w:rFonts w:ascii="SimSun" w:hAnsi="SimSun" w:eastAsia="SimSun" w:cs="SimSun"/>
                <w:sz w:val="20"/>
                <w:szCs w:val="20"/>
              </w:rPr>
            </w:pPr>
            <w:r>
              <w:rPr>
                <w:rFonts w:ascii="SimSun" w:hAnsi="SimSun" w:eastAsia="SimSun" w:cs="SimSun"/>
                <w:sz w:val="20"/>
                <w:szCs w:val="20"/>
                <w:spacing w:val="8"/>
              </w:rPr>
              <w:t>《城市污水再生利用城市</w:t>
            </w:r>
          </w:p>
          <w:p>
            <w:pPr>
              <w:ind w:left="651"/>
              <w:spacing w:before="26" w:line="228" w:lineRule="auto"/>
              <w:rPr>
                <w:rFonts w:ascii="SimSun" w:hAnsi="SimSun" w:eastAsia="SimSun" w:cs="SimSun"/>
                <w:sz w:val="20"/>
                <w:szCs w:val="20"/>
              </w:rPr>
            </w:pPr>
            <w:r>
              <w:rPr>
                <w:rFonts w:ascii="SimSun" w:hAnsi="SimSun" w:eastAsia="SimSun" w:cs="SimSun"/>
                <w:sz w:val="20"/>
                <w:szCs w:val="20"/>
                <w:spacing w:val="6"/>
              </w:rPr>
              <w:t>杂用水水质》</w:t>
            </w:r>
          </w:p>
          <w:p>
            <w:pPr>
              <w:pStyle w:val="TableText"/>
              <w:ind w:left="333"/>
              <w:spacing w:before="24" w:line="220" w:lineRule="auto"/>
              <w:rPr>
                <w:rFonts w:ascii="SimSun" w:hAnsi="SimSun" w:eastAsia="SimSun" w:cs="SimSun"/>
              </w:rPr>
            </w:pPr>
            <w:r>
              <w:rPr>
                <w:rFonts w:ascii="SimSun" w:hAnsi="SimSun" w:eastAsia="SimSun" w:cs="SimSun"/>
                <w:spacing w:val="4"/>
              </w:rPr>
              <w:t>（</w:t>
            </w:r>
            <w:r>
              <w:rPr/>
              <w:t>GB</w:t>
            </w:r>
            <w:r>
              <w:rPr>
                <w:spacing w:val="4"/>
              </w:rPr>
              <w:t>/T18920-2020</w:t>
            </w:r>
            <w:r>
              <w:rPr>
                <w:rFonts w:ascii="SimSun" w:hAnsi="SimSun" w:eastAsia="SimSun" w:cs="SimSun"/>
                <w:spacing w:val="4"/>
              </w:rPr>
              <w:t>）</w:t>
            </w:r>
          </w:p>
        </w:tc>
        <w:tc>
          <w:tcPr>
            <w:tcW w:w="1307" w:type="dxa"/>
            <w:vAlign w:val="top"/>
          </w:tcPr>
          <w:p>
            <w:pPr>
              <w:ind w:left="241"/>
              <w:spacing w:before="304" w:line="228" w:lineRule="auto"/>
              <w:rPr>
                <w:rFonts w:ascii="SimSun" w:hAnsi="SimSun" w:eastAsia="SimSun" w:cs="SimSun"/>
                <w:sz w:val="20"/>
                <w:szCs w:val="20"/>
              </w:rPr>
            </w:pPr>
            <w:r>
              <w:rPr>
                <w:rFonts w:ascii="SimSun" w:hAnsi="SimSun" w:eastAsia="SimSun" w:cs="SimSun"/>
                <w:sz w:val="20"/>
                <w:szCs w:val="20"/>
                <w:spacing w:val="6"/>
              </w:rPr>
              <w:t>符合情况</w:t>
            </w:r>
          </w:p>
        </w:tc>
      </w:tr>
      <w:tr>
        <w:trPr>
          <w:trHeight w:val="278" w:hRule="atLeast"/>
        </w:trPr>
        <w:tc>
          <w:tcPr>
            <w:tcW w:w="2581" w:type="dxa"/>
            <w:vAlign w:val="top"/>
            <w:gridSpan w:val="2"/>
          </w:tcPr>
          <w:p>
            <w:pPr>
              <w:ind w:left="873"/>
              <w:spacing w:before="29" w:line="220" w:lineRule="auto"/>
              <w:rPr>
                <w:rFonts w:ascii="SimSun" w:hAnsi="SimSun" w:eastAsia="SimSun" w:cs="SimSun"/>
                <w:sz w:val="20"/>
                <w:szCs w:val="20"/>
              </w:rPr>
            </w:pPr>
            <w:r>
              <w:rPr>
                <w:rFonts w:ascii="SimSun" w:hAnsi="SimSun" w:eastAsia="SimSun" w:cs="SimSun"/>
                <w:sz w:val="20"/>
                <w:szCs w:val="20"/>
                <w:spacing w:val="7"/>
              </w:rPr>
              <w:t>采样日期</w:t>
            </w:r>
          </w:p>
        </w:tc>
        <w:tc>
          <w:tcPr>
            <w:tcW w:w="950" w:type="dxa"/>
            <w:vAlign w:val="top"/>
          </w:tcPr>
          <w:p>
            <w:pPr>
              <w:pStyle w:val="TableText"/>
              <w:ind w:left="106"/>
              <w:spacing w:before="65" w:line="195" w:lineRule="auto"/>
              <w:rPr/>
            </w:pPr>
            <w:r>
              <w:rPr>
                <w:spacing w:val="4"/>
              </w:rPr>
              <w:t>2024.7.5</w:t>
            </w:r>
          </w:p>
        </w:tc>
        <w:tc>
          <w:tcPr>
            <w:tcW w:w="950" w:type="dxa"/>
            <w:vAlign w:val="top"/>
          </w:tcPr>
          <w:p>
            <w:pPr>
              <w:pStyle w:val="TableText"/>
              <w:ind w:left="106"/>
              <w:spacing w:before="65" w:line="195" w:lineRule="auto"/>
              <w:rPr/>
            </w:pPr>
            <w:r>
              <w:rPr>
                <w:spacing w:val="4"/>
              </w:rPr>
              <w:t>2024.8.7</w:t>
            </w:r>
          </w:p>
        </w:tc>
        <w:tc>
          <w:tcPr>
            <w:tcW w:w="952" w:type="dxa"/>
            <w:vAlign w:val="top"/>
          </w:tcPr>
          <w:p>
            <w:pPr>
              <w:pStyle w:val="TableText"/>
              <w:ind w:left="107"/>
              <w:spacing w:before="65" w:line="195" w:lineRule="auto"/>
              <w:rPr/>
            </w:pPr>
            <w:r>
              <w:rPr>
                <w:spacing w:val="4"/>
              </w:rPr>
              <w:t>2024.9.6</w:t>
            </w:r>
          </w:p>
        </w:tc>
        <w:tc>
          <w:tcPr>
            <w:tcW w:w="2550" w:type="dxa"/>
            <w:vAlign w:val="top"/>
          </w:tcPr>
          <w:p>
            <w:pPr>
              <w:rPr>
                <w:rFonts w:ascii="Arial"/>
                <w:sz w:val="21"/>
              </w:rPr>
            </w:pPr>
            <w:r/>
          </w:p>
        </w:tc>
        <w:tc>
          <w:tcPr>
            <w:tcW w:w="1307" w:type="dxa"/>
            <w:vAlign w:val="top"/>
          </w:tcPr>
          <w:p>
            <w:pPr>
              <w:rPr>
                <w:rFonts w:ascii="Arial"/>
                <w:sz w:val="21"/>
              </w:rPr>
            </w:pPr>
            <w:r/>
          </w:p>
        </w:tc>
      </w:tr>
      <w:tr>
        <w:trPr>
          <w:trHeight w:val="278" w:hRule="atLeast"/>
        </w:trPr>
        <w:tc>
          <w:tcPr>
            <w:tcW w:w="1168" w:type="dxa"/>
            <w:vAlign w:val="top"/>
            <w:vMerge w:val="restart"/>
            <w:tcBorders>
              <w:bottom w:val="nil"/>
            </w:tcBorders>
          </w:tcPr>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270" w:right="166" w:hanging="103"/>
              <w:spacing w:before="65" w:line="252" w:lineRule="auto"/>
              <w:rPr>
                <w:rFonts w:ascii="SimSun" w:hAnsi="SimSun" w:eastAsia="SimSun" w:cs="SimSun"/>
                <w:sz w:val="20"/>
                <w:szCs w:val="20"/>
              </w:rPr>
            </w:pPr>
            <w:r>
              <w:rPr>
                <w:rFonts w:ascii="SimSun" w:hAnsi="SimSun" w:eastAsia="SimSun" w:cs="SimSun"/>
                <w:sz w:val="20"/>
                <w:szCs w:val="20"/>
                <w:spacing w:val="7"/>
              </w:rPr>
              <w:t>监测项目</w:t>
            </w:r>
            <w:r>
              <w:rPr>
                <w:rFonts w:ascii="SimSun" w:hAnsi="SimSun" w:eastAsia="SimSun" w:cs="SimSun"/>
                <w:sz w:val="20"/>
                <w:szCs w:val="20"/>
                <w:spacing w:val="7"/>
              </w:rPr>
              <w:t>及结果</w:t>
            </w:r>
          </w:p>
        </w:tc>
        <w:tc>
          <w:tcPr>
            <w:tcW w:w="1413" w:type="dxa"/>
            <w:vAlign w:val="top"/>
          </w:tcPr>
          <w:p>
            <w:pPr>
              <w:pStyle w:val="TableText"/>
              <w:ind w:left="571"/>
              <w:spacing w:before="68" w:line="194" w:lineRule="auto"/>
              <w:rPr/>
            </w:pPr>
            <w:r>
              <w:rPr>
                <w:spacing w:val="7"/>
              </w:rPr>
              <w:t>pH</w:t>
            </w:r>
          </w:p>
        </w:tc>
        <w:tc>
          <w:tcPr>
            <w:tcW w:w="950" w:type="dxa"/>
            <w:vAlign w:val="top"/>
          </w:tcPr>
          <w:p>
            <w:pPr>
              <w:pStyle w:val="TableText"/>
              <w:ind w:left="344"/>
              <w:spacing w:before="68" w:line="192" w:lineRule="auto"/>
              <w:rPr/>
            </w:pPr>
            <w:r>
              <w:rPr>
                <w:spacing w:val="2"/>
              </w:rPr>
              <w:t>7.5</w:t>
            </w:r>
          </w:p>
        </w:tc>
        <w:tc>
          <w:tcPr>
            <w:tcW w:w="950" w:type="dxa"/>
            <w:vAlign w:val="top"/>
          </w:tcPr>
          <w:p>
            <w:pPr>
              <w:pStyle w:val="TableText"/>
              <w:ind w:left="347"/>
              <w:spacing w:before="68" w:line="192" w:lineRule="auto"/>
              <w:rPr/>
            </w:pPr>
            <w:r>
              <w:rPr>
                <w:spacing w:val="2"/>
              </w:rPr>
              <w:t>7.5</w:t>
            </w:r>
          </w:p>
        </w:tc>
        <w:tc>
          <w:tcPr>
            <w:tcW w:w="952" w:type="dxa"/>
            <w:vAlign w:val="top"/>
          </w:tcPr>
          <w:p>
            <w:pPr>
              <w:pStyle w:val="TableText"/>
              <w:ind w:left="348"/>
              <w:spacing w:before="68" w:line="192" w:lineRule="auto"/>
              <w:rPr/>
            </w:pPr>
            <w:r>
              <w:rPr>
                <w:spacing w:val="1"/>
              </w:rPr>
              <w:t>7.5</w:t>
            </w:r>
          </w:p>
        </w:tc>
        <w:tc>
          <w:tcPr>
            <w:tcW w:w="2550" w:type="dxa"/>
            <w:vAlign w:val="top"/>
          </w:tcPr>
          <w:p>
            <w:pPr>
              <w:pStyle w:val="TableText"/>
              <w:ind w:left="1139"/>
              <w:spacing w:before="65" w:line="195" w:lineRule="auto"/>
              <w:rPr/>
            </w:pPr>
            <w:r>
              <w:rPr>
                <w:spacing w:val="1"/>
              </w:rPr>
              <w:t>6-9</w:t>
            </w:r>
          </w:p>
        </w:tc>
        <w:tc>
          <w:tcPr>
            <w:tcW w:w="1307" w:type="dxa"/>
            <w:vAlign w:val="top"/>
          </w:tcPr>
          <w:p>
            <w:pPr>
              <w:ind w:left="448"/>
              <w:spacing w:before="29" w:line="220" w:lineRule="auto"/>
              <w:rPr>
                <w:rFonts w:ascii="SimSun" w:hAnsi="SimSun" w:eastAsia="SimSun" w:cs="SimSun"/>
                <w:sz w:val="20"/>
                <w:szCs w:val="20"/>
              </w:rPr>
            </w:pPr>
            <w:r>
              <w:rPr>
                <w:rFonts w:ascii="SimSun" w:hAnsi="SimSun" w:eastAsia="SimSun" w:cs="SimSun"/>
                <w:sz w:val="20"/>
                <w:szCs w:val="20"/>
                <w:spacing w:val="3"/>
              </w:rPr>
              <w:t>符合</w:t>
            </w:r>
          </w:p>
        </w:tc>
      </w:tr>
      <w:tr>
        <w:trPr>
          <w:trHeight w:val="275"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7"/>
              <w:spacing w:before="27" w:line="219" w:lineRule="auto"/>
              <w:rPr>
                <w:rFonts w:ascii="SimSun" w:hAnsi="SimSun" w:eastAsia="SimSun" w:cs="SimSun"/>
                <w:sz w:val="20"/>
                <w:szCs w:val="20"/>
              </w:rPr>
            </w:pPr>
            <w:r>
              <w:rPr>
                <w:rFonts w:ascii="SimSun" w:hAnsi="SimSun" w:eastAsia="SimSun" w:cs="SimSun"/>
                <w:sz w:val="20"/>
                <w:szCs w:val="20"/>
                <w:spacing w:val="6"/>
              </w:rPr>
              <w:t>悬浮物</w:t>
            </w:r>
          </w:p>
        </w:tc>
        <w:tc>
          <w:tcPr>
            <w:tcW w:w="950" w:type="dxa"/>
            <w:vAlign w:val="top"/>
          </w:tcPr>
          <w:p>
            <w:pPr>
              <w:pStyle w:val="TableText"/>
              <w:ind w:left="369"/>
              <w:spacing w:before="63" w:line="195" w:lineRule="auto"/>
              <w:rPr/>
            </w:pPr>
            <w:r>
              <w:rPr>
                <w:spacing w:val="3"/>
              </w:rPr>
              <w:t>44</w:t>
            </w:r>
          </w:p>
        </w:tc>
        <w:tc>
          <w:tcPr>
            <w:tcW w:w="950" w:type="dxa"/>
            <w:vAlign w:val="top"/>
          </w:tcPr>
          <w:p>
            <w:pPr>
              <w:pStyle w:val="TableText"/>
              <w:ind w:left="367"/>
              <w:spacing w:before="63" w:line="195" w:lineRule="auto"/>
              <w:rPr/>
            </w:pPr>
            <w:r>
              <w:rPr>
                <w:spacing w:val="4"/>
              </w:rPr>
              <w:t>42</w:t>
            </w:r>
          </w:p>
        </w:tc>
        <w:tc>
          <w:tcPr>
            <w:tcW w:w="952" w:type="dxa"/>
            <w:vAlign w:val="top"/>
          </w:tcPr>
          <w:p>
            <w:pPr>
              <w:pStyle w:val="TableText"/>
              <w:ind w:left="370"/>
              <w:spacing w:before="63" w:line="195" w:lineRule="auto"/>
              <w:rPr/>
            </w:pPr>
            <w:r>
              <w:rPr>
                <w:spacing w:val="4"/>
              </w:rPr>
              <w:t>44</w:t>
            </w:r>
          </w:p>
        </w:tc>
        <w:tc>
          <w:tcPr>
            <w:tcW w:w="2550" w:type="dxa"/>
            <w:vAlign w:val="top"/>
          </w:tcPr>
          <w:p>
            <w:pPr>
              <w:pStyle w:val="TableText"/>
              <w:ind w:left="1241"/>
              <w:spacing w:before="59" w:line="199" w:lineRule="auto"/>
              <w:rPr/>
            </w:pPr>
            <w:r>
              <w:rPr>
                <w:spacing w:val="2"/>
              </w:rPr>
              <w:t>/</w:t>
            </w:r>
          </w:p>
        </w:tc>
        <w:tc>
          <w:tcPr>
            <w:tcW w:w="1307" w:type="dxa"/>
            <w:vAlign w:val="top"/>
          </w:tcPr>
          <w:p>
            <w:pPr>
              <w:ind w:left="448"/>
              <w:spacing w:before="27" w:line="219"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5"/>
              <w:spacing w:before="30" w:line="219" w:lineRule="auto"/>
              <w:rPr>
                <w:rFonts w:ascii="SimSun" w:hAnsi="SimSun" w:eastAsia="SimSun" w:cs="SimSun"/>
                <w:sz w:val="20"/>
                <w:szCs w:val="20"/>
              </w:rPr>
            </w:pPr>
            <w:r>
              <w:rPr>
                <w:rFonts w:ascii="SimSun" w:hAnsi="SimSun" w:eastAsia="SimSun" w:cs="SimSun"/>
                <w:sz w:val="20"/>
                <w:szCs w:val="20"/>
                <w:spacing w:val="6"/>
              </w:rPr>
              <w:t>氟化物</w:t>
            </w:r>
          </w:p>
        </w:tc>
        <w:tc>
          <w:tcPr>
            <w:tcW w:w="950" w:type="dxa"/>
            <w:vAlign w:val="top"/>
          </w:tcPr>
          <w:p>
            <w:pPr>
              <w:pStyle w:val="TableText"/>
              <w:ind w:left="344"/>
              <w:spacing w:before="66" w:line="195" w:lineRule="auto"/>
              <w:rPr/>
            </w:pPr>
            <w:r>
              <w:rPr>
                <w:spacing w:val="2"/>
              </w:rPr>
              <w:t>0.4</w:t>
            </w:r>
          </w:p>
        </w:tc>
        <w:tc>
          <w:tcPr>
            <w:tcW w:w="950" w:type="dxa"/>
            <w:vAlign w:val="top"/>
          </w:tcPr>
          <w:p>
            <w:pPr>
              <w:pStyle w:val="TableText"/>
              <w:ind w:left="292"/>
              <w:spacing w:before="66" w:line="195" w:lineRule="auto"/>
              <w:rPr/>
            </w:pPr>
            <w:r>
              <w:rPr>
                <w:spacing w:val="3"/>
              </w:rPr>
              <w:t>0.42</w:t>
            </w:r>
          </w:p>
        </w:tc>
        <w:tc>
          <w:tcPr>
            <w:tcW w:w="952" w:type="dxa"/>
            <w:vAlign w:val="top"/>
          </w:tcPr>
          <w:p>
            <w:pPr>
              <w:pStyle w:val="TableText"/>
              <w:ind w:left="347"/>
              <w:spacing w:before="66" w:line="195" w:lineRule="auto"/>
              <w:rPr/>
            </w:pPr>
            <w:r>
              <w:rPr>
                <w:spacing w:val="1"/>
              </w:rPr>
              <w:t>0.4</w:t>
            </w:r>
          </w:p>
        </w:tc>
        <w:tc>
          <w:tcPr>
            <w:tcW w:w="2550" w:type="dxa"/>
            <w:vAlign w:val="top"/>
          </w:tcPr>
          <w:p>
            <w:pPr>
              <w:pStyle w:val="TableText"/>
              <w:ind w:left="1241"/>
              <w:spacing w:before="62" w:line="199" w:lineRule="auto"/>
              <w:rPr/>
            </w:pPr>
            <w:r>
              <w:rPr>
                <w:spacing w:val="2"/>
              </w:rPr>
              <w:t>/</w:t>
            </w:r>
          </w:p>
        </w:tc>
        <w:tc>
          <w:tcPr>
            <w:tcW w:w="1307" w:type="dxa"/>
            <w:vAlign w:val="top"/>
          </w:tcPr>
          <w:p>
            <w:pPr>
              <w:ind w:left="448"/>
              <w:spacing w:before="30" w:line="219" w:lineRule="auto"/>
              <w:rPr>
                <w:rFonts w:ascii="SimSun" w:hAnsi="SimSun" w:eastAsia="SimSun" w:cs="SimSun"/>
                <w:sz w:val="20"/>
                <w:szCs w:val="20"/>
              </w:rPr>
            </w:pPr>
            <w:r>
              <w:rPr>
                <w:rFonts w:ascii="SimSun" w:hAnsi="SimSun" w:eastAsia="SimSun" w:cs="SimSun"/>
                <w:sz w:val="20"/>
                <w:szCs w:val="20"/>
                <w:spacing w:val="3"/>
              </w:rPr>
              <w:t>符合</w:t>
            </w:r>
          </w:p>
        </w:tc>
      </w:tr>
      <w:tr>
        <w:trPr>
          <w:trHeight w:val="276"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184"/>
              <w:spacing w:before="30" w:line="217" w:lineRule="auto"/>
              <w:rPr>
                <w:rFonts w:ascii="SimSun" w:hAnsi="SimSun" w:eastAsia="SimSun" w:cs="SimSun"/>
                <w:sz w:val="20"/>
                <w:szCs w:val="20"/>
              </w:rPr>
            </w:pPr>
            <w:r>
              <w:rPr>
                <w:rFonts w:ascii="SimSun" w:hAnsi="SimSun" w:eastAsia="SimSun" w:cs="SimSun"/>
                <w:sz w:val="20"/>
                <w:szCs w:val="20"/>
                <w:spacing w:val="8"/>
              </w:rPr>
              <w:t>化学需氧量</w:t>
            </w:r>
          </w:p>
        </w:tc>
        <w:tc>
          <w:tcPr>
            <w:tcW w:w="950" w:type="dxa"/>
            <w:vAlign w:val="top"/>
          </w:tcPr>
          <w:p>
            <w:pPr>
              <w:pStyle w:val="TableText"/>
              <w:ind w:left="374"/>
              <w:spacing w:before="66" w:line="195" w:lineRule="auto"/>
              <w:rPr/>
            </w:pPr>
            <w:r>
              <w:rPr/>
              <w:t>66</w:t>
            </w:r>
          </w:p>
        </w:tc>
        <w:tc>
          <w:tcPr>
            <w:tcW w:w="950" w:type="dxa"/>
            <w:vAlign w:val="top"/>
          </w:tcPr>
          <w:p>
            <w:pPr>
              <w:pStyle w:val="TableText"/>
              <w:ind w:left="374"/>
              <w:spacing w:before="66" w:line="195" w:lineRule="auto"/>
              <w:rPr/>
            </w:pPr>
            <w:r>
              <w:rPr>
                <w:spacing w:val="1"/>
              </w:rPr>
              <w:t>58</w:t>
            </w:r>
          </w:p>
        </w:tc>
        <w:tc>
          <w:tcPr>
            <w:tcW w:w="952" w:type="dxa"/>
            <w:vAlign w:val="top"/>
          </w:tcPr>
          <w:p>
            <w:pPr>
              <w:pStyle w:val="TableText"/>
              <w:ind w:left="375"/>
              <w:spacing w:before="66" w:line="195" w:lineRule="auto"/>
              <w:rPr/>
            </w:pPr>
            <w:r>
              <w:rPr>
                <w:spacing w:val="1"/>
              </w:rPr>
              <w:t>66</w:t>
            </w:r>
          </w:p>
        </w:tc>
        <w:tc>
          <w:tcPr>
            <w:tcW w:w="2550" w:type="dxa"/>
            <w:vAlign w:val="top"/>
          </w:tcPr>
          <w:p>
            <w:pPr>
              <w:pStyle w:val="TableText"/>
              <w:ind w:left="1241"/>
              <w:spacing w:before="62" w:line="199" w:lineRule="auto"/>
              <w:rPr/>
            </w:pPr>
            <w:r>
              <w:rPr>
                <w:spacing w:val="2"/>
              </w:rPr>
              <w:t>/</w:t>
            </w:r>
          </w:p>
        </w:tc>
        <w:tc>
          <w:tcPr>
            <w:tcW w:w="1307" w:type="dxa"/>
            <w:vAlign w:val="top"/>
          </w:tcPr>
          <w:p>
            <w:pPr>
              <w:ind w:left="448"/>
              <w:spacing w:before="30" w:line="217" w:lineRule="auto"/>
              <w:rPr>
                <w:rFonts w:ascii="SimSun" w:hAnsi="SimSun" w:eastAsia="SimSun" w:cs="SimSun"/>
                <w:sz w:val="20"/>
                <w:szCs w:val="20"/>
              </w:rPr>
            </w:pPr>
            <w:r>
              <w:rPr>
                <w:rFonts w:ascii="SimSun" w:hAnsi="SimSun" w:eastAsia="SimSun" w:cs="SimSun"/>
                <w:sz w:val="20"/>
                <w:szCs w:val="20"/>
                <w:spacing w:val="3"/>
              </w:rPr>
              <w:t>符合</w:t>
            </w:r>
          </w:p>
        </w:tc>
      </w:tr>
      <w:tr>
        <w:trPr>
          <w:trHeight w:val="549"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498" w:right="183" w:hanging="311"/>
              <w:spacing w:before="29" w:line="235" w:lineRule="auto"/>
              <w:rPr>
                <w:rFonts w:ascii="SimSun" w:hAnsi="SimSun" w:eastAsia="SimSun" w:cs="SimSun"/>
                <w:sz w:val="20"/>
                <w:szCs w:val="20"/>
              </w:rPr>
            </w:pPr>
            <w:r>
              <w:rPr>
                <w:rFonts w:ascii="SimSun" w:hAnsi="SimSun" w:eastAsia="SimSun" w:cs="SimSun"/>
                <w:sz w:val="20"/>
                <w:szCs w:val="20"/>
                <w:spacing w:val="7"/>
              </w:rPr>
              <w:t>五日生化需</w:t>
            </w:r>
            <w:r>
              <w:rPr>
                <w:rFonts w:ascii="SimSun" w:hAnsi="SimSun" w:eastAsia="SimSun" w:cs="SimSun"/>
                <w:sz w:val="20"/>
                <w:szCs w:val="20"/>
                <w:spacing w:val="4"/>
              </w:rPr>
              <w:t>氧量</w:t>
            </w:r>
          </w:p>
        </w:tc>
        <w:tc>
          <w:tcPr>
            <w:tcW w:w="950" w:type="dxa"/>
            <w:vAlign w:val="top"/>
          </w:tcPr>
          <w:p>
            <w:pPr>
              <w:pStyle w:val="TableText"/>
              <w:ind w:left="390"/>
              <w:spacing w:before="203" w:line="195" w:lineRule="auto"/>
              <w:rPr/>
            </w:pPr>
            <w:r>
              <w:rPr>
                <w:spacing w:val="-8"/>
              </w:rPr>
              <w:t>18</w:t>
            </w:r>
          </w:p>
        </w:tc>
        <w:tc>
          <w:tcPr>
            <w:tcW w:w="950" w:type="dxa"/>
            <w:vAlign w:val="top"/>
          </w:tcPr>
          <w:p>
            <w:pPr>
              <w:pStyle w:val="TableText"/>
              <w:ind w:left="309"/>
              <w:spacing w:before="203" w:line="195" w:lineRule="auto"/>
              <w:rPr/>
            </w:pPr>
            <w:r>
              <w:rPr>
                <w:spacing w:val="-1"/>
              </w:rPr>
              <w:t>17.2</w:t>
            </w:r>
          </w:p>
        </w:tc>
        <w:tc>
          <w:tcPr>
            <w:tcW w:w="952" w:type="dxa"/>
            <w:vAlign w:val="top"/>
          </w:tcPr>
          <w:p>
            <w:pPr>
              <w:pStyle w:val="TableText"/>
              <w:ind w:left="391"/>
              <w:spacing w:before="203" w:line="195" w:lineRule="auto"/>
              <w:rPr/>
            </w:pPr>
            <w:r>
              <w:rPr>
                <w:spacing w:val="-6"/>
              </w:rPr>
              <w:t>18</w:t>
            </w:r>
          </w:p>
        </w:tc>
        <w:tc>
          <w:tcPr>
            <w:tcW w:w="2550" w:type="dxa"/>
            <w:vAlign w:val="top"/>
          </w:tcPr>
          <w:p>
            <w:pPr>
              <w:pStyle w:val="TableText"/>
              <w:ind w:left="1109"/>
              <w:spacing w:before="203" w:line="195" w:lineRule="auto"/>
              <w:rPr/>
            </w:pPr>
            <w:r>
              <w:rPr>
                <w:spacing w:val="5"/>
              </w:rPr>
              <w:t>≤10</w:t>
            </w:r>
          </w:p>
        </w:tc>
        <w:tc>
          <w:tcPr>
            <w:tcW w:w="1307" w:type="dxa"/>
            <w:vAlign w:val="top"/>
          </w:tcPr>
          <w:p>
            <w:pPr>
              <w:ind w:left="448"/>
              <w:spacing w:before="164"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498"/>
              <w:spacing w:before="30" w:line="219" w:lineRule="auto"/>
              <w:rPr>
                <w:rFonts w:ascii="SimSun" w:hAnsi="SimSun" w:eastAsia="SimSun" w:cs="SimSun"/>
                <w:sz w:val="20"/>
                <w:szCs w:val="20"/>
              </w:rPr>
            </w:pPr>
            <w:r>
              <w:rPr>
                <w:rFonts w:ascii="SimSun" w:hAnsi="SimSun" w:eastAsia="SimSun" w:cs="SimSun"/>
                <w:sz w:val="20"/>
                <w:szCs w:val="20"/>
                <w:spacing w:val="4"/>
              </w:rPr>
              <w:t>氨氮</w:t>
            </w:r>
          </w:p>
        </w:tc>
        <w:tc>
          <w:tcPr>
            <w:tcW w:w="950" w:type="dxa"/>
            <w:vAlign w:val="top"/>
          </w:tcPr>
          <w:p>
            <w:pPr>
              <w:pStyle w:val="TableText"/>
              <w:ind w:left="390"/>
              <w:spacing w:before="66" w:line="195" w:lineRule="auto"/>
              <w:rPr/>
            </w:pPr>
            <w:r>
              <w:rPr>
                <w:spacing w:val="-8"/>
              </w:rPr>
              <w:t>18</w:t>
            </w:r>
          </w:p>
        </w:tc>
        <w:tc>
          <w:tcPr>
            <w:tcW w:w="950" w:type="dxa"/>
            <w:vAlign w:val="top"/>
          </w:tcPr>
          <w:p>
            <w:pPr>
              <w:pStyle w:val="TableText"/>
              <w:ind w:left="309"/>
              <w:spacing w:before="66" w:line="195" w:lineRule="auto"/>
              <w:rPr/>
            </w:pPr>
            <w:r>
              <w:rPr>
                <w:spacing w:val="-1"/>
              </w:rPr>
              <w:t>16.9</w:t>
            </w:r>
          </w:p>
        </w:tc>
        <w:tc>
          <w:tcPr>
            <w:tcW w:w="952" w:type="dxa"/>
            <w:vAlign w:val="top"/>
          </w:tcPr>
          <w:p>
            <w:pPr>
              <w:pStyle w:val="TableText"/>
              <w:ind w:left="391"/>
              <w:spacing w:before="66" w:line="195" w:lineRule="auto"/>
              <w:rPr/>
            </w:pPr>
            <w:r>
              <w:rPr>
                <w:spacing w:val="-6"/>
              </w:rPr>
              <w:t>18</w:t>
            </w:r>
          </w:p>
        </w:tc>
        <w:tc>
          <w:tcPr>
            <w:tcW w:w="2550" w:type="dxa"/>
            <w:vAlign w:val="top"/>
          </w:tcPr>
          <w:p>
            <w:pPr>
              <w:pStyle w:val="TableText"/>
              <w:ind w:left="1164"/>
              <w:spacing w:before="70" w:line="192" w:lineRule="auto"/>
              <w:rPr/>
            </w:pPr>
            <w:r>
              <w:rPr>
                <w:spacing w:val="2"/>
              </w:rPr>
              <w:t>≤5</w:t>
            </w:r>
          </w:p>
        </w:tc>
        <w:tc>
          <w:tcPr>
            <w:tcW w:w="1307" w:type="dxa"/>
            <w:vAlign w:val="top"/>
          </w:tcPr>
          <w:p>
            <w:pPr>
              <w:ind w:left="448"/>
              <w:spacing w:before="30" w:line="219"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6"/>
              <w:spacing w:before="30" w:line="219" w:lineRule="auto"/>
              <w:rPr>
                <w:rFonts w:ascii="SimSun" w:hAnsi="SimSun" w:eastAsia="SimSun" w:cs="SimSun"/>
                <w:sz w:val="20"/>
                <w:szCs w:val="20"/>
              </w:rPr>
            </w:pPr>
            <w:r>
              <w:rPr>
                <w:rFonts w:ascii="SimSun" w:hAnsi="SimSun" w:eastAsia="SimSun" w:cs="SimSun"/>
                <w:sz w:val="20"/>
                <w:szCs w:val="20"/>
                <w:spacing w:val="6"/>
              </w:rPr>
              <w:t>六价铬</w:t>
            </w:r>
          </w:p>
        </w:tc>
        <w:tc>
          <w:tcPr>
            <w:tcW w:w="950" w:type="dxa"/>
            <w:vAlign w:val="top"/>
          </w:tcPr>
          <w:p>
            <w:pPr>
              <w:pStyle w:val="TableText"/>
              <w:ind w:left="176"/>
              <w:spacing w:before="67" w:line="195" w:lineRule="auto"/>
              <w:rPr/>
            </w:pPr>
            <w:r>
              <w:rPr>
                <w:spacing w:val="3"/>
              </w:rPr>
              <w:t>0.004L</w:t>
            </w:r>
          </w:p>
        </w:tc>
        <w:tc>
          <w:tcPr>
            <w:tcW w:w="950" w:type="dxa"/>
            <w:vAlign w:val="top"/>
          </w:tcPr>
          <w:p>
            <w:pPr>
              <w:pStyle w:val="TableText"/>
              <w:ind w:left="179"/>
              <w:spacing w:before="67" w:line="195" w:lineRule="auto"/>
              <w:rPr/>
            </w:pPr>
            <w:r>
              <w:rPr>
                <w:spacing w:val="3"/>
              </w:rPr>
              <w:t>0.004L</w:t>
            </w:r>
          </w:p>
        </w:tc>
        <w:tc>
          <w:tcPr>
            <w:tcW w:w="952" w:type="dxa"/>
            <w:vAlign w:val="top"/>
          </w:tcPr>
          <w:p>
            <w:pPr>
              <w:pStyle w:val="TableText"/>
              <w:ind w:left="177"/>
              <w:spacing w:before="67" w:line="195" w:lineRule="auto"/>
              <w:rPr/>
            </w:pPr>
            <w:r>
              <w:rPr>
                <w:spacing w:val="3"/>
              </w:rPr>
              <w:t>0.004L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0" w:line="219" w:lineRule="auto"/>
              <w:rPr>
                <w:rFonts w:ascii="SimSun" w:hAnsi="SimSun" w:eastAsia="SimSun" w:cs="SimSun"/>
                <w:sz w:val="20"/>
                <w:szCs w:val="20"/>
              </w:rPr>
            </w:pPr>
            <w:r>
              <w:rPr>
                <w:rFonts w:ascii="SimSun" w:hAnsi="SimSun" w:eastAsia="SimSun" w:cs="SimSun"/>
                <w:sz w:val="20"/>
                <w:szCs w:val="20"/>
                <w:spacing w:val="3"/>
              </w:rPr>
              <w:t>符合</w:t>
            </w:r>
          </w:p>
        </w:tc>
      </w:tr>
      <w:tr>
        <w:trPr>
          <w:trHeight w:val="276"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4"/>
              <w:spacing w:before="32" w:line="216" w:lineRule="auto"/>
              <w:rPr>
                <w:rFonts w:ascii="SimSun" w:hAnsi="SimSun" w:eastAsia="SimSun" w:cs="SimSun"/>
                <w:sz w:val="20"/>
                <w:szCs w:val="20"/>
              </w:rPr>
            </w:pPr>
            <w:r>
              <w:rPr>
                <w:rFonts w:ascii="SimSun" w:hAnsi="SimSun" w:eastAsia="SimSun" w:cs="SimSun"/>
                <w:sz w:val="20"/>
                <w:szCs w:val="20"/>
                <w:spacing w:val="7"/>
              </w:rPr>
              <w:t>氰化物</w:t>
            </w:r>
          </w:p>
        </w:tc>
        <w:tc>
          <w:tcPr>
            <w:tcW w:w="950" w:type="dxa"/>
            <w:vAlign w:val="top"/>
          </w:tcPr>
          <w:p>
            <w:pPr>
              <w:pStyle w:val="TableText"/>
              <w:ind w:left="176"/>
              <w:spacing w:before="67" w:line="195" w:lineRule="auto"/>
              <w:rPr/>
            </w:pPr>
            <w:r>
              <w:rPr>
                <w:spacing w:val="3"/>
              </w:rPr>
              <w:t>0.001L</w:t>
            </w:r>
          </w:p>
        </w:tc>
        <w:tc>
          <w:tcPr>
            <w:tcW w:w="950" w:type="dxa"/>
            <w:vAlign w:val="top"/>
          </w:tcPr>
          <w:p>
            <w:pPr>
              <w:pStyle w:val="TableText"/>
              <w:ind w:left="179"/>
              <w:spacing w:before="67" w:line="195" w:lineRule="auto"/>
              <w:rPr/>
            </w:pPr>
            <w:r>
              <w:rPr>
                <w:spacing w:val="3"/>
              </w:rPr>
              <w:t>0.001L</w:t>
            </w:r>
          </w:p>
        </w:tc>
        <w:tc>
          <w:tcPr>
            <w:tcW w:w="952" w:type="dxa"/>
            <w:vAlign w:val="top"/>
          </w:tcPr>
          <w:p>
            <w:pPr>
              <w:pStyle w:val="TableText"/>
              <w:ind w:left="177"/>
              <w:spacing w:before="67" w:line="195" w:lineRule="auto"/>
              <w:rPr/>
            </w:pPr>
            <w:r>
              <w:rPr>
                <w:spacing w:val="3"/>
              </w:rPr>
              <w:t>0.001L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2" w:line="216"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4"/>
              <w:spacing w:before="30" w:line="219" w:lineRule="auto"/>
              <w:rPr>
                <w:rFonts w:ascii="SimSun" w:hAnsi="SimSun" w:eastAsia="SimSun" w:cs="SimSun"/>
                <w:sz w:val="20"/>
                <w:szCs w:val="20"/>
              </w:rPr>
            </w:pPr>
            <w:r>
              <w:rPr>
                <w:rFonts w:ascii="SimSun" w:hAnsi="SimSun" w:eastAsia="SimSun" w:cs="SimSun"/>
                <w:sz w:val="20"/>
                <w:szCs w:val="20"/>
                <w:spacing w:val="7"/>
              </w:rPr>
              <w:t>挥发酚</w:t>
            </w:r>
          </w:p>
        </w:tc>
        <w:tc>
          <w:tcPr>
            <w:tcW w:w="950" w:type="dxa"/>
            <w:vAlign w:val="top"/>
          </w:tcPr>
          <w:p>
            <w:pPr>
              <w:pStyle w:val="TableText"/>
              <w:ind w:left="229"/>
              <w:spacing w:before="67" w:line="195" w:lineRule="auto"/>
              <w:rPr/>
            </w:pPr>
            <w:r>
              <w:rPr>
                <w:spacing w:val="3"/>
              </w:rPr>
              <w:t>0.01L</w:t>
            </w:r>
          </w:p>
        </w:tc>
        <w:tc>
          <w:tcPr>
            <w:tcW w:w="950" w:type="dxa"/>
            <w:vAlign w:val="top"/>
          </w:tcPr>
          <w:p>
            <w:pPr>
              <w:pStyle w:val="TableText"/>
              <w:ind w:left="229"/>
              <w:spacing w:before="67" w:line="195" w:lineRule="auto"/>
              <w:rPr/>
            </w:pPr>
            <w:r>
              <w:rPr>
                <w:spacing w:val="3"/>
              </w:rPr>
              <w:t>0.01L</w:t>
            </w:r>
          </w:p>
        </w:tc>
        <w:tc>
          <w:tcPr>
            <w:tcW w:w="952" w:type="dxa"/>
            <w:vAlign w:val="top"/>
          </w:tcPr>
          <w:p>
            <w:pPr>
              <w:pStyle w:val="TableText"/>
              <w:ind w:left="230"/>
              <w:spacing w:before="67" w:line="195" w:lineRule="auto"/>
              <w:rPr/>
            </w:pPr>
            <w:r>
              <w:rPr>
                <w:spacing w:val="3"/>
              </w:rPr>
              <w:t>0.01L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0" w:line="219"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394"/>
              <w:spacing w:before="31" w:line="218" w:lineRule="auto"/>
              <w:rPr>
                <w:rFonts w:ascii="SimSun" w:hAnsi="SimSun" w:eastAsia="SimSun" w:cs="SimSun"/>
                <w:sz w:val="20"/>
                <w:szCs w:val="20"/>
              </w:rPr>
            </w:pPr>
            <w:r>
              <w:rPr>
                <w:rFonts w:ascii="SimSun" w:hAnsi="SimSun" w:eastAsia="SimSun" w:cs="SimSun"/>
                <w:sz w:val="20"/>
                <w:szCs w:val="20"/>
                <w:spacing w:val="7"/>
              </w:rPr>
              <w:t>硫化物</w:t>
            </w:r>
          </w:p>
        </w:tc>
        <w:tc>
          <w:tcPr>
            <w:tcW w:w="950" w:type="dxa"/>
            <w:vAlign w:val="top"/>
          </w:tcPr>
          <w:p>
            <w:pPr>
              <w:pStyle w:val="TableText"/>
              <w:ind w:left="229"/>
              <w:spacing w:before="67" w:line="195" w:lineRule="auto"/>
              <w:rPr/>
            </w:pPr>
            <w:r>
              <w:rPr>
                <w:spacing w:val="3"/>
              </w:rPr>
              <w:t>0.01L</w:t>
            </w:r>
          </w:p>
        </w:tc>
        <w:tc>
          <w:tcPr>
            <w:tcW w:w="950" w:type="dxa"/>
            <w:vAlign w:val="top"/>
          </w:tcPr>
          <w:p>
            <w:pPr>
              <w:pStyle w:val="TableText"/>
              <w:ind w:left="229"/>
              <w:spacing w:before="67" w:line="195" w:lineRule="auto"/>
              <w:rPr/>
            </w:pPr>
            <w:r>
              <w:rPr>
                <w:spacing w:val="3"/>
              </w:rPr>
              <w:t>0.01L</w:t>
            </w:r>
          </w:p>
        </w:tc>
        <w:tc>
          <w:tcPr>
            <w:tcW w:w="952" w:type="dxa"/>
            <w:vAlign w:val="top"/>
          </w:tcPr>
          <w:p>
            <w:pPr>
              <w:pStyle w:val="TableText"/>
              <w:ind w:left="230"/>
              <w:spacing w:before="67" w:line="195" w:lineRule="auto"/>
              <w:rPr/>
            </w:pPr>
            <w:r>
              <w:rPr>
                <w:spacing w:val="3"/>
              </w:rPr>
              <w:t>0.01L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1" w:line="218" w:lineRule="auto"/>
              <w:rPr>
                <w:rFonts w:ascii="SimSun" w:hAnsi="SimSun" w:eastAsia="SimSun" w:cs="SimSun"/>
                <w:sz w:val="20"/>
                <w:szCs w:val="20"/>
              </w:rPr>
            </w:pPr>
            <w:r>
              <w:rPr>
                <w:rFonts w:ascii="SimSun" w:hAnsi="SimSun" w:eastAsia="SimSun" w:cs="SimSun"/>
                <w:sz w:val="20"/>
                <w:szCs w:val="20"/>
                <w:spacing w:val="3"/>
              </w:rPr>
              <w:t>符合</w:t>
            </w:r>
          </w:p>
        </w:tc>
      </w:tr>
      <w:tr>
        <w:trPr>
          <w:trHeight w:val="276"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2" w:line="216" w:lineRule="auto"/>
              <w:rPr>
                <w:rFonts w:ascii="SimSun" w:hAnsi="SimSun" w:eastAsia="SimSun" w:cs="SimSun"/>
                <w:sz w:val="20"/>
                <w:szCs w:val="20"/>
              </w:rPr>
            </w:pPr>
            <w:r>
              <w:rPr>
                <w:rFonts w:ascii="SimSun" w:hAnsi="SimSun" w:eastAsia="SimSun" w:cs="SimSun"/>
                <w:sz w:val="20"/>
                <w:szCs w:val="20"/>
                <w:spacing w:val="1"/>
              </w:rPr>
              <w:t>砷</w:t>
            </w:r>
          </w:p>
        </w:tc>
        <w:tc>
          <w:tcPr>
            <w:tcW w:w="950" w:type="dxa"/>
            <w:vAlign w:val="top"/>
          </w:tcPr>
          <w:p>
            <w:pPr>
              <w:pStyle w:val="TableText"/>
              <w:ind w:left="241"/>
              <w:spacing w:before="67" w:line="195" w:lineRule="auto"/>
              <w:rPr/>
            </w:pPr>
            <w:r>
              <w:rPr>
                <w:spacing w:val="3"/>
              </w:rPr>
              <w:t>0.025</w:t>
            </w:r>
          </w:p>
        </w:tc>
        <w:tc>
          <w:tcPr>
            <w:tcW w:w="950" w:type="dxa"/>
            <w:vAlign w:val="top"/>
          </w:tcPr>
          <w:p>
            <w:pPr>
              <w:pStyle w:val="TableText"/>
              <w:ind w:left="241"/>
              <w:spacing w:before="67" w:line="195" w:lineRule="auto"/>
              <w:rPr/>
            </w:pPr>
            <w:r>
              <w:rPr>
                <w:spacing w:val="3"/>
              </w:rPr>
              <w:t>0.042</w:t>
            </w:r>
          </w:p>
        </w:tc>
        <w:tc>
          <w:tcPr>
            <w:tcW w:w="952" w:type="dxa"/>
            <w:vAlign w:val="top"/>
          </w:tcPr>
          <w:p>
            <w:pPr>
              <w:pStyle w:val="TableText"/>
              <w:ind w:left="242"/>
              <w:spacing w:before="67" w:line="195" w:lineRule="auto"/>
              <w:rPr/>
            </w:pPr>
            <w:r>
              <w:rPr>
                <w:spacing w:val="3"/>
              </w:rPr>
              <w:t>0.013</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2" w:line="216"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4"/>
              <w:spacing w:before="31" w:line="218" w:lineRule="auto"/>
              <w:rPr>
                <w:rFonts w:ascii="SimSun" w:hAnsi="SimSun" w:eastAsia="SimSun" w:cs="SimSun"/>
                <w:sz w:val="20"/>
                <w:szCs w:val="20"/>
              </w:rPr>
            </w:pPr>
            <w:r>
              <w:rPr>
                <w:rFonts w:ascii="SimSun" w:hAnsi="SimSun" w:eastAsia="SimSun" w:cs="SimSun"/>
                <w:sz w:val="20"/>
                <w:szCs w:val="20"/>
              </w:rPr>
              <w:t>汞</w:t>
            </w:r>
          </w:p>
        </w:tc>
        <w:tc>
          <w:tcPr>
            <w:tcW w:w="950" w:type="dxa"/>
            <w:vAlign w:val="top"/>
          </w:tcPr>
          <w:p>
            <w:pPr>
              <w:pStyle w:val="TableText"/>
              <w:ind w:left="135"/>
              <w:spacing w:before="67" w:line="195" w:lineRule="auto"/>
              <w:rPr/>
            </w:pPr>
            <w:r>
              <w:rPr>
                <w:spacing w:val="3"/>
              </w:rPr>
              <w:t>0.00004</w:t>
            </w:r>
          </w:p>
        </w:tc>
        <w:tc>
          <w:tcPr>
            <w:tcW w:w="950" w:type="dxa"/>
            <w:vAlign w:val="top"/>
          </w:tcPr>
          <w:p>
            <w:pPr>
              <w:pStyle w:val="TableText"/>
              <w:ind w:left="136"/>
              <w:spacing w:before="67" w:line="195" w:lineRule="auto"/>
              <w:rPr/>
            </w:pPr>
            <w:r>
              <w:rPr>
                <w:spacing w:val="3"/>
              </w:rPr>
              <w:t>0.00004</w:t>
            </w:r>
          </w:p>
        </w:tc>
        <w:tc>
          <w:tcPr>
            <w:tcW w:w="952" w:type="dxa"/>
            <w:vAlign w:val="top"/>
          </w:tcPr>
          <w:p>
            <w:pPr>
              <w:pStyle w:val="TableText"/>
              <w:ind w:left="136"/>
              <w:spacing w:before="67" w:line="195" w:lineRule="auto"/>
              <w:rPr/>
            </w:pPr>
            <w:r>
              <w:rPr>
                <w:spacing w:val="3"/>
              </w:rPr>
              <w:t>0.00004</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1" w:line="218"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1" w:line="218" w:lineRule="auto"/>
              <w:rPr>
                <w:rFonts w:ascii="SimSun" w:hAnsi="SimSun" w:eastAsia="SimSun" w:cs="SimSun"/>
                <w:sz w:val="20"/>
                <w:szCs w:val="20"/>
              </w:rPr>
            </w:pPr>
            <w:r>
              <w:rPr>
                <w:rFonts w:ascii="SimSun" w:hAnsi="SimSun" w:eastAsia="SimSun" w:cs="SimSun"/>
                <w:sz w:val="20"/>
                <w:szCs w:val="20"/>
              </w:rPr>
              <w:t>铅</w:t>
            </w:r>
          </w:p>
        </w:tc>
        <w:tc>
          <w:tcPr>
            <w:tcW w:w="950" w:type="dxa"/>
            <w:vAlign w:val="top"/>
          </w:tcPr>
          <w:p>
            <w:pPr>
              <w:pStyle w:val="TableText"/>
              <w:ind w:left="229"/>
              <w:spacing w:before="67" w:line="195" w:lineRule="auto"/>
              <w:rPr/>
            </w:pPr>
            <w:r>
              <w:rPr>
                <w:spacing w:val="3"/>
              </w:rPr>
              <w:t>0.05L</w:t>
            </w:r>
          </w:p>
        </w:tc>
        <w:tc>
          <w:tcPr>
            <w:tcW w:w="950" w:type="dxa"/>
            <w:vAlign w:val="top"/>
          </w:tcPr>
          <w:p>
            <w:pPr>
              <w:pStyle w:val="TableText"/>
              <w:ind w:left="229"/>
              <w:spacing w:before="67" w:line="195" w:lineRule="auto"/>
              <w:rPr/>
            </w:pPr>
            <w:r>
              <w:rPr>
                <w:spacing w:val="3"/>
              </w:rPr>
              <w:t>0.05L</w:t>
            </w:r>
          </w:p>
        </w:tc>
        <w:tc>
          <w:tcPr>
            <w:tcW w:w="952" w:type="dxa"/>
            <w:vAlign w:val="top"/>
          </w:tcPr>
          <w:p>
            <w:pPr>
              <w:pStyle w:val="TableText"/>
              <w:ind w:left="230"/>
              <w:spacing w:before="67" w:line="195" w:lineRule="auto"/>
              <w:rPr/>
            </w:pPr>
            <w:r>
              <w:rPr>
                <w:spacing w:val="3"/>
              </w:rPr>
              <w:t>0.05L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1" w:line="218" w:lineRule="auto"/>
              <w:rPr>
                <w:rFonts w:ascii="SimSun" w:hAnsi="SimSun" w:eastAsia="SimSun" w:cs="SimSun"/>
                <w:sz w:val="20"/>
                <w:szCs w:val="20"/>
              </w:rPr>
            </w:pPr>
            <w:r>
              <w:rPr>
                <w:rFonts w:ascii="SimSun" w:hAnsi="SimSun" w:eastAsia="SimSun" w:cs="SimSun"/>
                <w:sz w:val="20"/>
                <w:szCs w:val="20"/>
                <w:spacing w:val="3"/>
              </w:rPr>
              <w:t>符合</w:t>
            </w:r>
          </w:p>
        </w:tc>
      </w:tr>
      <w:tr>
        <w:trPr>
          <w:trHeight w:val="275"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2"/>
              <w:spacing w:before="32" w:line="215" w:lineRule="auto"/>
              <w:rPr>
                <w:rFonts w:ascii="SimSun" w:hAnsi="SimSun" w:eastAsia="SimSun" w:cs="SimSun"/>
                <w:sz w:val="20"/>
                <w:szCs w:val="20"/>
              </w:rPr>
            </w:pPr>
            <w:r>
              <w:rPr>
                <w:rFonts w:ascii="SimSun" w:hAnsi="SimSun" w:eastAsia="SimSun" w:cs="SimSun"/>
                <w:sz w:val="20"/>
                <w:szCs w:val="20"/>
                <w:spacing w:val="2"/>
              </w:rPr>
              <w:t>镉</w:t>
            </w:r>
          </w:p>
        </w:tc>
        <w:tc>
          <w:tcPr>
            <w:tcW w:w="950" w:type="dxa"/>
            <w:vAlign w:val="top"/>
          </w:tcPr>
          <w:p>
            <w:pPr>
              <w:pStyle w:val="TableText"/>
              <w:ind w:left="229"/>
              <w:spacing w:before="67" w:line="195" w:lineRule="auto"/>
              <w:rPr/>
            </w:pPr>
            <w:r>
              <w:rPr>
                <w:spacing w:val="3"/>
              </w:rPr>
              <w:t>0.01L</w:t>
            </w:r>
          </w:p>
        </w:tc>
        <w:tc>
          <w:tcPr>
            <w:tcW w:w="950" w:type="dxa"/>
            <w:vAlign w:val="top"/>
          </w:tcPr>
          <w:p>
            <w:pPr>
              <w:pStyle w:val="TableText"/>
              <w:ind w:left="229"/>
              <w:spacing w:before="67" w:line="195" w:lineRule="auto"/>
              <w:rPr/>
            </w:pPr>
            <w:r>
              <w:rPr>
                <w:spacing w:val="3"/>
              </w:rPr>
              <w:t>0.01L</w:t>
            </w:r>
          </w:p>
        </w:tc>
        <w:tc>
          <w:tcPr>
            <w:tcW w:w="952" w:type="dxa"/>
            <w:vAlign w:val="top"/>
          </w:tcPr>
          <w:p>
            <w:pPr>
              <w:pStyle w:val="TableText"/>
              <w:ind w:left="230"/>
              <w:spacing w:before="67" w:line="195" w:lineRule="auto"/>
              <w:rPr/>
            </w:pPr>
            <w:r>
              <w:rPr>
                <w:spacing w:val="3"/>
              </w:rPr>
              <w:t>0.01L</w:t>
            </w:r>
          </w:p>
        </w:tc>
        <w:tc>
          <w:tcPr>
            <w:tcW w:w="2550" w:type="dxa"/>
            <w:vAlign w:val="top"/>
          </w:tcPr>
          <w:p>
            <w:pPr>
              <w:pStyle w:val="TableText"/>
              <w:ind w:left="1241"/>
              <w:spacing w:before="63" w:line="199" w:lineRule="auto"/>
              <w:rPr/>
            </w:pPr>
            <w:r>
              <w:rPr>
                <w:spacing w:val="2"/>
              </w:rPr>
              <w:t>/</w:t>
            </w:r>
          </w:p>
        </w:tc>
        <w:tc>
          <w:tcPr>
            <w:tcW w:w="1307" w:type="dxa"/>
            <w:vAlign w:val="top"/>
          </w:tcPr>
          <w:p>
            <w:pPr>
              <w:ind w:left="448"/>
              <w:spacing w:before="32" w:line="215"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2" w:line="217" w:lineRule="auto"/>
              <w:rPr>
                <w:rFonts w:ascii="SimSun" w:hAnsi="SimSun" w:eastAsia="SimSun" w:cs="SimSun"/>
                <w:sz w:val="20"/>
                <w:szCs w:val="20"/>
              </w:rPr>
            </w:pPr>
            <w:r>
              <w:rPr>
                <w:rFonts w:ascii="SimSun" w:hAnsi="SimSun" w:eastAsia="SimSun" w:cs="SimSun"/>
                <w:sz w:val="20"/>
                <w:szCs w:val="20"/>
                <w:spacing w:val="1"/>
              </w:rPr>
              <w:t>铁</w:t>
            </w:r>
          </w:p>
        </w:tc>
        <w:tc>
          <w:tcPr>
            <w:tcW w:w="950" w:type="dxa"/>
            <w:vAlign w:val="top"/>
          </w:tcPr>
          <w:p>
            <w:pPr>
              <w:pStyle w:val="TableText"/>
              <w:ind w:left="291"/>
              <w:spacing w:before="68" w:line="195" w:lineRule="auto"/>
              <w:rPr/>
            </w:pPr>
            <w:r>
              <w:rPr>
                <w:spacing w:val="3"/>
              </w:rPr>
              <w:t>0.07</w:t>
            </w:r>
          </w:p>
        </w:tc>
        <w:tc>
          <w:tcPr>
            <w:tcW w:w="950" w:type="dxa"/>
            <w:vAlign w:val="top"/>
          </w:tcPr>
          <w:p>
            <w:pPr>
              <w:pStyle w:val="TableText"/>
              <w:ind w:left="292"/>
              <w:spacing w:before="68" w:line="195" w:lineRule="auto"/>
              <w:rPr/>
            </w:pPr>
            <w:r>
              <w:rPr>
                <w:spacing w:val="3"/>
              </w:rPr>
              <w:t>0.18</w:t>
            </w:r>
          </w:p>
        </w:tc>
        <w:tc>
          <w:tcPr>
            <w:tcW w:w="952" w:type="dxa"/>
            <w:vAlign w:val="top"/>
          </w:tcPr>
          <w:p>
            <w:pPr>
              <w:pStyle w:val="TableText"/>
              <w:ind w:left="297"/>
              <w:spacing w:before="68" w:line="195" w:lineRule="auto"/>
              <w:rPr/>
            </w:pPr>
            <w:r>
              <w:rPr>
                <w:spacing w:val="2"/>
              </w:rPr>
              <w:t>0.36</w:t>
            </w:r>
          </w:p>
        </w:tc>
        <w:tc>
          <w:tcPr>
            <w:tcW w:w="2550" w:type="dxa"/>
            <w:vAlign w:val="top"/>
          </w:tcPr>
          <w:p>
            <w:pPr>
              <w:pStyle w:val="TableText"/>
              <w:ind w:left="1085"/>
              <w:spacing w:before="69" w:line="195" w:lineRule="auto"/>
              <w:rPr/>
            </w:pPr>
            <w:r>
              <w:rPr>
                <w:spacing w:val="4"/>
              </w:rPr>
              <w:t>≤0.3</w:t>
            </w:r>
          </w:p>
        </w:tc>
        <w:tc>
          <w:tcPr>
            <w:tcW w:w="1307" w:type="dxa"/>
            <w:vAlign w:val="top"/>
          </w:tcPr>
          <w:p>
            <w:pPr>
              <w:ind w:left="448"/>
              <w:spacing w:before="32" w:line="217" w:lineRule="auto"/>
              <w:rPr>
                <w:rFonts w:ascii="SimSun" w:hAnsi="SimSun" w:eastAsia="SimSun" w:cs="SimSun"/>
                <w:sz w:val="20"/>
                <w:szCs w:val="20"/>
              </w:rPr>
            </w:pPr>
            <w:r>
              <w:rPr>
                <w:rFonts w:ascii="SimSun" w:hAnsi="SimSun" w:eastAsia="SimSun" w:cs="SimSun"/>
                <w:sz w:val="20"/>
                <w:szCs w:val="20"/>
                <w:spacing w:val="3"/>
              </w:rPr>
              <w:t>符合</w:t>
            </w:r>
          </w:p>
        </w:tc>
      </w:tr>
      <w:tr>
        <w:trPr>
          <w:trHeight w:val="275"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3" w:line="214" w:lineRule="auto"/>
              <w:rPr>
                <w:rFonts w:ascii="SimSun" w:hAnsi="SimSun" w:eastAsia="SimSun" w:cs="SimSun"/>
                <w:sz w:val="20"/>
                <w:szCs w:val="20"/>
              </w:rPr>
            </w:pPr>
            <w:r>
              <w:rPr>
                <w:rFonts w:ascii="SimSun" w:hAnsi="SimSun" w:eastAsia="SimSun" w:cs="SimSun"/>
                <w:sz w:val="20"/>
                <w:szCs w:val="20"/>
              </w:rPr>
              <w:t>锰</w:t>
            </w:r>
          </w:p>
        </w:tc>
        <w:tc>
          <w:tcPr>
            <w:tcW w:w="950" w:type="dxa"/>
            <w:vAlign w:val="top"/>
          </w:tcPr>
          <w:p>
            <w:pPr>
              <w:pStyle w:val="TableText"/>
              <w:ind w:left="229"/>
              <w:spacing w:before="68" w:line="195" w:lineRule="auto"/>
              <w:rPr/>
            </w:pPr>
            <w:r>
              <w:rPr>
                <w:spacing w:val="3"/>
              </w:rPr>
              <w:t>0.01L</w:t>
            </w:r>
          </w:p>
        </w:tc>
        <w:tc>
          <w:tcPr>
            <w:tcW w:w="950" w:type="dxa"/>
            <w:vAlign w:val="top"/>
          </w:tcPr>
          <w:p>
            <w:pPr>
              <w:pStyle w:val="TableText"/>
              <w:ind w:left="292"/>
              <w:spacing w:before="68" w:line="195" w:lineRule="auto"/>
              <w:rPr/>
            </w:pPr>
            <w:r>
              <w:rPr>
                <w:spacing w:val="-3"/>
              </w:rPr>
              <w:t>0.</w:t>
            </w:r>
            <w:r>
              <w:rPr>
                <w:spacing w:val="-25"/>
              </w:rPr>
              <w:t xml:space="preserve"> </w:t>
            </w:r>
            <w:r>
              <w:rPr>
                <w:spacing w:val="-3"/>
              </w:rPr>
              <w:t>14</w:t>
            </w:r>
          </w:p>
        </w:tc>
        <w:tc>
          <w:tcPr>
            <w:tcW w:w="952" w:type="dxa"/>
            <w:vAlign w:val="top"/>
          </w:tcPr>
          <w:p>
            <w:pPr>
              <w:pStyle w:val="TableText"/>
              <w:ind w:left="297"/>
              <w:spacing w:before="68" w:line="195" w:lineRule="auto"/>
              <w:rPr/>
            </w:pPr>
            <w:r>
              <w:rPr>
                <w:spacing w:val="2"/>
              </w:rPr>
              <w:t>0.07</w:t>
            </w:r>
          </w:p>
        </w:tc>
        <w:tc>
          <w:tcPr>
            <w:tcW w:w="2550" w:type="dxa"/>
            <w:vAlign w:val="top"/>
          </w:tcPr>
          <w:p>
            <w:pPr>
              <w:pStyle w:val="TableText"/>
              <w:ind w:left="1085"/>
              <w:spacing w:before="69" w:line="195" w:lineRule="auto"/>
              <w:rPr/>
            </w:pPr>
            <w:r>
              <w:rPr>
                <w:spacing w:val="3"/>
              </w:rPr>
              <w:t>≤0.</w:t>
            </w:r>
            <w:r>
              <w:rPr>
                <w:spacing w:val="-25"/>
              </w:rPr>
              <w:t xml:space="preserve"> </w:t>
            </w:r>
            <w:r>
              <w:rPr>
                <w:spacing w:val="3"/>
              </w:rPr>
              <w:t>1</w:t>
            </w:r>
          </w:p>
        </w:tc>
        <w:tc>
          <w:tcPr>
            <w:tcW w:w="1307" w:type="dxa"/>
            <w:vAlign w:val="top"/>
          </w:tcPr>
          <w:p>
            <w:pPr>
              <w:ind w:left="448"/>
              <w:spacing w:before="33" w:line="214"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6" w:line="214" w:lineRule="auto"/>
              <w:rPr>
                <w:rFonts w:ascii="SimSun" w:hAnsi="SimSun" w:eastAsia="SimSun" w:cs="SimSun"/>
                <w:sz w:val="20"/>
                <w:szCs w:val="20"/>
              </w:rPr>
            </w:pPr>
            <w:r>
              <w:rPr>
                <w:rFonts w:ascii="SimSun" w:hAnsi="SimSun" w:eastAsia="SimSun" w:cs="SimSun"/>
                <w:sz w:val="20"/>
                <w:szCs w:val="20"/>
              </w:rPr>
              <w:t>铜</w:t>
            </w:r>
          </w:p>
        </w:tc>
        <w:tc>
          <w:tcPr>
            <w:tcW w:w="950" w:type="dxa"/>
            <w:vAlign w:val="top"/>
          </w:tcPr>
          <w:p>
            <w:pPr>
              <w:pStyle w:val="TableText"/>
              <w:ind w:left="229"/>
              <w:spacing w:before="71" w:line="195" w:lineRule="auto"/>
              <w:rPr/>
            </w:pPr>
            <w:r>
              <w:rPr>
                <w:spacing w:val="3"/>
              </w:rPr>
              <w:t>0.01L</w:t>
            </w:r>
          </w:p>
        </w:tc>
        <w:tc>
          <w:tcPr>
            <w:tcW w:w="950" w:type="dxa"/>
            <w:vAlign w:val="top"/>
          </w:tcPr>
          <w:p>
            <w:pPr>
              <w:pStyle w:val="TableText"/>
              <w:ind w:left="229"/>
              <w:spacing w:before="71" w:line="195" w:lineRule="auto"/>
              <w:rPr/>
            </w:pPr>
            <w:r>
              <w:rPr>
                <w:spacing w:val="3"/>
              </w:rPr>
              <w:t>0.01L</w:t>
            </w:r>
          </w:p>
        </w:tc>
        <w:tc>
          <w:tcPr>
            <w:tcW w:w="952" w:type="dxa"/>
            <w:vAlign w:val="top"/>
          </w:tcPr>
          <w:p>
            <w:pPr>
              <w:pStyle w:val="TableText"/>
              <w:ind w:left="230"/>
              <w:spacing w:before="71" w:line="195" w:lineRule="auto"/>
              <w:rPr/>
            </w:pPr>
            <w:r>
              <w:rPr>
                <w:spacing w:val="3"/>
              </w:rPr>
              <w:t>0.01L</w:t>
            </w:r>
          </w:p>
        </w:tc>
        <w:tc>
          <w:tcPr>
            <w:tcW w:w="2550" w:type="dxa"/>
            <w:vAlign w:val="top"/>
          </w:tcPr>
          <w:p>
            <w:pPr>
              <w:pStyle w:val="TableText"/>
              <w:ind w:left="1241"/>
              <w:spacing w:before="68" w:line="199" w:lineRule="auto"/>
              <w:rPr/>
            </w:pPr>
            <w:r>
              <w:rPr>
                <w:spacing w:val="2"/>
              </w:rPr>
              <w:t>/</w:t>
            </w:r>
          </w:p>
        </w:tc>
        <w:tc>
          <w:tcPr>
            <w:tcW w:w="1307" w:type="dxa"/>
            <w:vAlign w:val="top"/>
          </w:tcPr>
          <w:p>
            <w:pPr>
              <w:ind w:left="448"/>
              <w:spacing w:before="36" w:line="214" w:lineRule="auto"/>
              <w:rPr>
                <w:rFonts w:ascii="SimSun" w:hAnsi="SimSun" w:eastAsia="SimSun" w:cs="SimSun"/>
                <w:sz w:val="20"/>
                <w:szCs w:val="20"/>
              </w:rPr>
            </w:pPr>
            <w:r>
              <w:rPr>
                <w:rFonts w:ascii="SimSun" w:hAnsi="SimSun" w:eastAsia="SimSun" w:cs="SimSun"/>
                <w:sz w:val="20"/>
                <w:szCs w:val="20"/>
                <w:spacing w:val="3"/>
              </w:rPr>
              <w:t>符合</w:t>
            </w:r>
          </w:p>
        </w:tc>
      </w:tr>
      <w:tr>
        <w:trPr>
          <w:trHeight w:val="278" w:hRule="atLeast"/>
        </w:trPr>
        <w:tc>
          <w:tcPr>
            <w:tcW w:w="1168" w:type="dxa"/>
            <w:vAlign w:val="top"/>
            <w:vMerge w:val="continue"/>
            <w:tcBorders>
              <w:top w:val="nil"/>
              <w:bottom w:val="nil"/>
            </w:tcBorders>
          </w:tcPr>
          <w:p>
            <w:pPr>
              <w:rPr>
                <w:rFonts w:ascii="Arial"/>
                <w:sz w:val="21"/>
              </w:rPr>
            </w:pPr>
            <w:r/>
          </w:p>
        </w:tc>
        <w:tc>
          <w:tcPr>
            <w:tcW w:w="1413" w:type="dxa"/>
            <w:vAlign w:val="top"/>
          </w:tcPr>
          <w:p>
            <w:pPr>
              <w:ind w:left="603"/>
              <w:spacing w:before="34" w:line="216" w:lineRule="auto"/>
              <w:rPr>
                <w:rFonts w:ascii="SimSun" w:hAnsi="SimSun" w:eastAsia="SimSun" w:cs="SimSun"/>
                <w:sz w:val="20"/>
                <w:szCs w:val="20"/>
              </w:rPr>
            </w:pPr>
            <w:r>
              <w:rPr>
                <w:rFonts w:ascii="SimSun" w:hAnsi="SimSun" w:eastAsia="SimSun" w:cs="SimSun"/>
                <w:sz w:val="20"/>
                <w:szCs w:val="20"/>
                <w:spacing w:val="1"/>
              </w:rPr>
              <w:t>锌</w:t>
            </w:r>
          </w:p>
        </w:tc>
        <w:tc>
          <w:tcPr>
            <w:tcW w:w="950" w:type="dxa"/>
            <w:vAlign w:val="top"/>
          </w:tcPr>
          <w:p>
            <w:pPr>
              <w:pStyle w:val="TableText"/>
              <w:ind w:left="229"/>
              <w:spacing w:before="69" w:line="195" w:lineRule="auto"/>
              <w:rPr/>
            </w:pPr>
            <w:r>
              <w:rPr>
                <w:spacing w:val="3"/>
              </w:rPr>
              <w:t>0.01L</w:t>
            </w:r>
          </w:p>
        </w:tc>
        <w:tc>
          <w:tcPr>
            <w:tcW w:w="950" w:type="dxa"/>
            <w:vAlign w:val="top"/>
          </w:tcPr>
          <w:p>
            <w:pPr>
              <w:pStyle w:val="TableText"/>
              <w:ind w:left="229"/>
              <w:spacing w:before="69" w:line="195" w:lineRule="auto"/>
              <w:rPr/>
            </w:pPr>
            <w:r>
              <w:rPr>
                <w:spacing w:val="3"/>
              </w:rPr>
              <w:t>0.01L</w:t>
            </w:r>
          </w:p>
        </w:tc>
        <w:tc>
          <w:tcPr>
            <w:tcW w:w="952" w:type="dxa"/>
            <w:vAlign w:val="top"/>
          </w:tcPr>
          <w:p>
            <w:pPr>
              <w:pStyle w:val="TableText"/>
              <w:ind w:left="297"/>
              <w:spacing w:before="69" w:line="195" w:lineRule="auto"/>
              <w:rPr/>
            </w:pPr>
            <w:r>
              <w:rPr>
                <w:spacing w:val="2"/>
              </w:rPr>
              <w:t>0.02</w:t>
            </w:r>
          </w:p>
        </w:tc>
        <w:tc>
          <w:tcPr>
            <w:tcW w:w="2550" w:type="dxa"/>
            <w:vAlign w:val="top"/>
          </w:tcPr>
          <w:p>
            <w:pPr>
              <w:pStyle w:val="TableText"/>
              <w:ind w:left="1241"/>
              <w:spacing w:before="65" w:line="199" w:lineRule="auto"/>
              <w:rPr/>
            </w:pPr>
            <w:r>
              <w:rPr>
                <w:spacing w:val="2"/>
              </w:rPr>
              <w:t>/</w:t>
            </w:r>
          </w:p>
        </w:tc>
        <w:tc>
          <w:tcPr>
            <w:tcW w:w="1307" w:type="dxa"/>
            <w:vAlign w:val="top"/>
          </w:tcPr>
          <w:p>
            <w:pPr>
              <w:ind w:left="448"/>
              <w:spacing w:before="34" w:line="216" w:lineRule="auto"/>
              <w:rPr>
                <w:rFonts w:ascii="SimSun" w:hAnsi="SimSun" w:eastAsia="SimSun" w:cs="SimSun"/>
                <w:sz w:val="20"/>
                <w:szCs w:val="20"/>
              </w:rPr>
            </w:pPr>
            <w:r>
              <w:rPr>
                <w:rFonts w:ascii="SimSun" w:hAnsi="SimSun" w:eastAsia="SimSun" w:cs="SimSun"/>
                <w:sz w:val="20"/>
                <w:szCs w:val="20"/>
                <w:spacing w:val="3"/>
              </w:rPr>
              <w:t>符合</w:t>
            </w:r>
          </w:p>
        </w:tc>
      </w:tr>
      <w:tr>
        <w:trPr>
          <w:trHeight w:val="280" w:hRule="atLeast"/>
        </w:trPr>
        <w:tc>
          <w:tcPr>
            <w:tcW w:w="1168" w:type="dxa"/>
            <w:vAlign w:val="top"/>
            <w:vMerge w:val="continue"/>
            <w:tcBorders>
              <w:top w:val="nil"/>
            </w:tcBorders>
          </w:tcPr>
          <w:p>
            <w:pPr>
              <w:rPr>
                <w:rFonts w:ascii="Arial"/>
                <w:sz w:val="21"/>
              </w:rPr>
            </w:pPr>
            <w:r/>
          </w:p>
        </w:tc>
        <w:tc>
          <w:tcPr>
            <w:tcW w:w="1413" w:type="dxa"/>
            <w:vAlign w:val="top"/>
          </w:tcPr>
          <w:p>
            <w:pPr>
              <w:ind w:left="395"/>
              <w:spacing w:before="33" w:line="218" w:lineRule="auto"/>
              <w:rPr>
                <w:rFonts w:ascii="SimSun" w:hAnsi="SimSun" w:eastAsia="SimSun" w:cs="SimSun"/>
                <w:sz w:val="20"/>
                <w:szCs w:val="20"/>
              </w:rPr>
            </w:pPr>
            <w:r>
              <w:rPr>
                <w:rFonts w:ascii="SimSun" w:hAnsi="SimSun" w:eastAsia="SimSun" w:cs="SimSun"/>
                <w:sz w:val="20"/>
                <w:szCs w:val="20"/>
                <w:spacing w:val="6"/>
              </w:rPr>
              <w:t>石油类</w:t>
            </w:r>
          </w:p>
        </w:tc>
        <w:tc>
          <w:tcPr>
            <w:tcW w:w="950" w:type="dxa"/>
            <w:vAlign w:val="top"/>
          </w:tcPr>
          <w:p>
            <w:pPr>
              <w:pStyle w:val="TableText"/>
              <w:ind w:left="291"/>
              <w:spacing w:before="69" w:line="195" w:lineRule="auto"/>
              <w:rPr/>
            </w:pPr>
            <w:r>
              <w:rPr>
                <w:spacing w:val="3"/>
              </w:rPr>
              <w:t>0.73</w:t>
            </w:r>
          </w:p>
        </w:tc>
        <w:tc>
          <w:tcPr>
            <w:tcW w:w="950" w:type="dxa"/>
            <w:vAlign w:val="top"/>
          </w:tcPr>
          <w:p>
            <w:pPr>
              <w:pStyle w:val="TableText"/>
              <w:ind w:left="289"/>
              <w:spacing w:before="69" w:line="195" w:lineRule="auto"/>
              <w:rPr/>
            </w:pPr>
            <w:r>
              <w:rPr>
                <w:spacing w:val="4"/>
              </w:rPr>
              <w:t>2.19</w:t>
            </w:r>
          </w:p>
        </w:tc>
        <w:tc>
          <w:tcPr>
            <w:tcW w:w="952" w:type="dxa"/>
            <w:vAlign w:val="top"/>
          </w:tcPr>
          <w:p>
            <w:pPr>
              <w:pStyle w:val="TableText"/>
              <w:ind w:left="294"/>
              <w:spacing w:before="69" w:line="195" w:lineRule="auto"/>
              <w:rPr/>
            </w:pPr>
            <w:r>
              <w:rPr>
                <w:spacing w:val="-4"/>
              </w:rPr>
              <w:t>2.</w:t>
            </w:r>
            <w:r>
              <w:rPr>
                <w:spacing w:val="-24"/>
              </w:rPr>
              <w:t xml:space="preserve"> </w:t>
            </w:r>
            <w:r>
              <w:rPr>
                <w:spacing w:val="-4"/>
              </w:rPr>
              <w:t>11</w:t>
            </w:r>
          </w:p>
        </w:tc>
        <w:tc>
          <w:tcPr>
            <w:tcW w:w="2550" w:type="dxa"/>
            <w:vAlign w:val="top"/>
          </w:tcPr>
          <w:p>
            <w:pPr>
              <w:pStyle w:val="TableText"/>
              <w:ind w:left="1241"/>
              <w:spacing w:before="66" w:line="199" w:lineRule="auto"/>
              <w:rPr/>
            </w:pPr>
            <w:r>
              <w:rPr>
                <w:spacing w:val="2"/>
              </w:rPr>
              <w:t>/</w:t>
            </w:r>
          </w:p>
        </w:tc>
        <w:tc>
          <w:tcPr>
            <w:tcW w:w="1307" w:type="dxa"/>
            <w:vAlign w:val="top"/>
          </w:tcPr>
          <w:p>
            <w:pPr>
              <w:ind w:left="448"/>
              <w:spacing w:before="33" w:line="21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footerReference w:type="default" r:id="rId164"/>
          <w:pgSz w:w="11906" w:h="16838"/>
          <w:pgMar w:top="1170" w:right="1304" w:bottom="1078" w:left="1305" w:header="837" w:footer="915" w:gutter="0"/>
        </w:sectPr>
        <w:rPr/>
      </w:pPr>
    </w:p>
    <w:p>
      <w:pPr>
        <w:spacing w:before="6"/>
        <w:rPr/>
      </w:pPr>
      <w:r/>
    </w:p>
    <w:tbl>
      <w:tblPr>
        <w:tblStyle w:val="TableNormal"/>
        <w:tblW w:w="951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91"/>
        <w:gridCol w:w="4524"/>
      </w:tblGrid>
      <w:tr>
        <w:trPr>
          <w:trHeight w:val="3005" w:hRule="atLeast"/>
        </w:trPr>
        <w:tc>
          <w:tcPr>
            <w:tcW w:w="4991" w:type="dxa"/>
            <w:vAlign w:val="top"/>
          </w:tcPr>
          <w:p>
            <w:pPr>
              <w:ind w:firstLine="753"/>
              <w:spacing w:before="4" w:line="2991" w:lineRule="exact"/>
              <w:rPr/>
            </w:pPr>
            <w:r>
              <w:rPr>
                <w:position w:val="-59"/>
              </w:rPr>
              <w:drawing>
                <wp:inline distT="0" distB="0" distL="0" distR="0">
                  <wp:extent cx="2514599" cy="1898904"/>
                  <wp:effectExtent l="0" t="0" r="0" b="0"/>
                  <wp:docPr id="140" name="IM 140"/>
                  <wp:cNvGraphicFramePr/>
                  <a:graphic>
                    <a:graphicData uri="http://schemas.openxmlformats.org/drawingml/2006/picture">
                      <pic:pic>
                        <pic:nvPicPr>
                          <pic:cNvPr id="140" name="IM 140"/>
                          <pic:cNvPicPr/>
                        </pic:nvPicPr>
                        <pic:blipFill>
                          <a:blip r:embed="rId168"/>
                          <a:stretch>
                            <a:fillRect/>
                          </a:stretch>
                        </pic:blipFill>
                        <pic:spPr>
                          <a:xfrm rot="0">
                            <a:off x="0" y="0"/>
                            <a:ext cx="2514599" cy="1898904"/>
                          </a:xfrm>
                          <a:prstGeom prst="rect">
                            <a:avLst/>
                          </a:prstGeom>
                        </pic:spPr>
                      </pic:pic>
                    </a:graphicData>
                  </a:graphic>
                </wp:inline>
              </w:drawing>
            </w:r>
          </w:p>
        </w:tc>
        <w:tc>
          <w:tcPr>
            <w:tcW w:w="4524" w:type="dxa"/>
            <w:vAlign w:val="top"/>
          </w:tcPr>
          <w:p>
            <w:pPr>
              <w:ind w:firstLine="523"/>
              <w:spacing w:before="4" w:line="2991" w:lineRule="exact"/>
              <w:rPr/>
            </w:pPr>
            <w:r>
              <w:rPr>
                <w:position w:val="-59"/>
              </w:rPr>
              <w:drawing>
                <wp:inline distT="0" distB="0" distL="0" distR="0">
                  <wp:extent cx="2514600" cy="1898904"/>
                  <wp:effectExtent l="0" t="0" r="0" b="0"/>
                  <wp:docPr id="142" name="IM 142"/>
                  <wp:cNvGraphicFramePr/>
                  <a:graphic>
                    <a:graphicData uri="http://schemas.openxmlformats.org/drawingml/2006/picture">
                      <pic:pic>
                        <pic:nvPicPr>
                          <pic:cNvPr id="142" name="IM 142"/>
                          <pic:cNvPicPr/>
                        </pic:nvPicPr>
                        <pic:blipFill>
                          <a:blip r:embed="rId169"/>
                          <a:stretch>
                            <a:fillRect/>
                          </a:stretch>
                        </pic:blipFill>
                        <pic:spPr>
                          <a:xfrm rot="0">
                            <a:off x="0" y="0"/>
                            <a:ext cx="2514600" cy="1898904"/>
                          </a:xfrm>
                          <a:prstGeom prst="rect">
                            <a:avLst/>
                          </a:prstGeom>
                        </pic:spPr>
                      </pic:pic>
                    </a:graphicData>
                  </a:graphic>
                </wp:inline>
              </w:drawing>
            </w:r>
          </w:p>
        </w:tc>
      </w:tr>
      <w:tr>
        <w:trPr>
          <w:trHeight w:val="282" w:hRule="atLeast"/>
        </w:trPr>
        <w:tc>
          <w:tcPr>
            <w:tcW w:w="4991" w:type="dxa"/>
            <w:vAlign w:val="top"/>
          </w:tcPr>
          <w:p>
            <w:pPr>
              <w:ind w:left="1972"/>
              <w:spacing w:before="35" w:line="218" w:lineRule="auto"/>
              <w:rPr>
                <w:rFonts w:ascii="SimSun" w:hAnsi="SimSun" w:eastAsia="SimSun" w:cs="SimSun"/>
                <w:sz w:val="20"/>
                <w:szCs w:val="20"/>
              </w:rPr>
            </w:pPr>
            <w:r>
              <w:rPr>
                <w:rFonts w:ascii="SimSun" w:hAnsi="SimSun" w:eastAsia="SimSun" w:cs="SimSun"/>
                <w:sz w:val="20"/>
                <w:szCs w:val="20"/>
                <w:b/>
                <w:bCs/>
                <w:spacing w:val="7"/>
              </w:rPr>
              <w:t>生活污水处理站</w:t>
            </w:r>
          </w:p>
        </w:tc>
        <w:tc>
          <w:tcPr>
            <w:tcW w:w="4524" w:type="dxa"/>
            <w:vAlign w:val="top"/>
          </w:tcPr>
          <w:p>
            <w:pPr>
              <w:ind w:left="1844"/>
              <w:spacing w:before="35" w:line="218" w:lineRule="auto"/>
              <w:rPr>
                <w:rFonts w:ascii="SimSun" w:hAnsi="SimSun" w:eastAsia="SimSun" w:cs="SimSun"/>
                <w:sz w:val="20"/>
                <w:szCs w:val="20"/>
              </w:rPr>
            </w:pPr>
            <w:r>
              <w:rPr>
                <w:rFonts w:ascii="SimSun" w:hAnsi="SimSun" w:eastAsia="SimSun" w:cs="SimSun"/>
                <w:sz w:val="20"/>
                <w:szCs w:val="20"/>
                <w:b/>
                <w:bCs/>
                <w:spacing w:val="6"/>
              </w:rPr>
              <w:t>主要处理装置</w:t>
            </w:r>
          </w:p>
        </w:tc>
      </w:tr>
    </w:tbl>
    <w:p>
      <w:pPr>
        <w:ind w:left="4045"/>
        <w:spacing w:before="144" w:line="219" w:lineRule="auto"/>
        <w:rPr>
          <w:rFonts w:ascii="SimSun" w:hAnsi="SimSun" w:eastAsia="SimSun" w:cs="SimSun"/>
          <w:sz w:val="24"/>
          <w:szCs w:val="24"/>
        </w:rPr>
      </w:pPr>
      <w:r>
        <w:rPr>
          <w:rFonts w:ascii="SimSun" w:hAnsi="SimSun" w:eastAsia="SimSun" w:cs="SimSun"/>
          <w:sz w:val="24"/>
          <w:szCs w:val="24"/>
          <w:b/>
          <w:bCs/>
          <w:spacing w:val="-4"/>
        </w:rPr>
        <w:t>生活污水处理设施</w:t>
      </w:r>
    </w:p>
    <w:p>
      <w:pPr>
        <w:ind w:left="244"/>
        <w:spacing w:before="24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3.3.4</w:t>
      </w:r>
      <w:r>
        <w:rPr>
          <w:rFonts w:ascii="SimHei" w:hAnsi="SimHei" w:eastAsia="SimHei" w:cs="SimHei"/>
          <w:sz w:val="28"/>
          <w:szCs w:val="28"/>
          <w:b/>
          <w:bCs/>
          <w:spacing w:val="-2"/>
        </w:rPr>
        <w:t>固体废物影响回顾性评价</w:t>
      </w:r>
    </w:p>
    <w:p>
      <w:pPr>
        <w:ind w:left="708"/>
        <w:spacing w:before="170" w:line="219" w:lineRule="auto"/>
        <w:rPr>
          <w:rFonts w:ascii="SimSun" w:hAnsi="SimSun" w:eastAsia="SimSun" w:cs="SimSun"/>
          <w:sz w:val="24"/>
          <w:szCs w:val="24"/>
        </w:rPr>
      </w:pPr>
      <w:r>
        <w:rPr>
          <w:rFonts w:ascii="SimSun" w:hAnsi="SimSun" w:eastAsia="SimSun" w:cs="SimSun"/>
          <w:sz w:val="24"/>
          <w:szCs w:val="24"/>
          <w:spacing w:val="-1"/>
        </w:rPr>
        <w:t>本项目现有固体废物及处置情况见表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3-3-10</w:t>
      </w:r>
      <w:r>
        <w:rPr>
          <w:rFonts w:ascii="SimSun" w:hAnsi="SimSun" w:eastAsia="SimSun" w:cs="SimSun"/>
          <w:sz w:val="24"/>
          <w:szCs w:val="24"/>
          <w:spacing w:val="-1"/>
        </w:rPr>
        <w:t>。</w:t>
      </w:r>
    </w:p>
    <w:p>
      <w:pPr>
        <w:ind w:left="3088"/>
        <w:spacing w:before="282" w:line="222" w:lineRule="auto"/>
        <w:rPr>
          <w:rFonts w:ascii="SimHei" w:hAnsi="SimHei" w:eastAsia="SimHei" w:cs="SimHei"/>
          <w:sz w:val="24"/>
          <w:szCs w:val="24"/>
        </w:rPr>
      </w:pPr>
      <w:r>
        <w:rPr>
          <w:rFonts w:ascii="SimHei" w:hAnsi="SimHei" w:eastAsia="SimHei" w:cs="SimHei"/>
          <w:sz w:val="24"/>
          <w:szCs w:val="24"/>
          <w:b/>
          <w:bCs/>
          <w:spacing w:val="-4"/>
        </w:rPr>
        <w:t>固体废物产生及处置情况一览表</w:t>
      </w:r>
    </w:p>
    <w:p>
      <w:pPr>
        <w:ind w:left="225"/>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3-3-10</w:t>
      </w:r>
    </w:p>
    <w:tbl>
      <w:tblPr>
        <w:tblStyle w:val="TableNormal"/>
        <w:tblW w:w="9064" w:type="dxa"/>
        <w:tblInd w:w="22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81"/>
        <w:gridCol w:w="1809"/>
        <w:gridCol w:w="1302"/>
        <w:gridCol w:w="1274"/>
        <w:gridCol w:w="1561"/>
        <w:gridCol w:w="1837"/>
      </w:tblGrid>
      <w:tr>
        <w:trPr>
          <w:trHeight w:val="280" w:hRule="atLeast"/>
        </w:trPr>
        <w:tc>
          <w:tcPr>
            <w:tcW w:w="3090" w:type="dxa"/>
            <w:vAlign w:val="top"/>
            <w:gridSpan w:val="2"/>
          </w:tcPr>
          <w:p>
            <w:pPr>
              <w:ind w:left="1024"/>
              <w:spacing w:before="31" w:line="220" w:lineRule="auto"/>
              <w:rPr>
                <w:rFonts w:ascii="SimSun" w:hAnsi="SimSun" w:eastAsia="SimSun" w:cs="SimSun"/>
                <w:sz w:val="20"/>
                <w:szCs w:val="20"/>
              </w:rPr>
            </w:pPr>
            <w:r>
              <w:rPr>
                <w:rFonts w:ascii="SimSun" w:hAnsi="SimSun" w:eastAsia="SimSun" w:cs="SimSun"/>
                <w:sz w:val="20"/>
                <w:szCs w:val="20"/>
                <w:spacing w:val="7"/>
              </w:rPr>
              <w:t>污染物种类</w:t>
            </w:r>
          </w:p>
        </w:tc>
        <w:tc>
          <w:tcPr>
            <w:tcW w:w="1302" w:type="dxa"/>
            <w:vAlign w:val="top"/>
            <w:vMerge w:val="restart"/>
            <w:tcBorders>
              <w:bottom w:val="nil"/>
            </w:tcBorders>
          </w:tcPr>
          <w:p>
            <w:pPr>
              <w:ind w:left="443" w:right="335" w:hanging="101"/>
              <w:spacing w:before="37" w:line="238" w:lineRule="auto"/>
              <w:rPr>
                <w:rFonts w:ascii="SimSun" w:hAnsi="SimSun" w:eastAsia="SimSun" w:cs="SimSun"/>
                <w:sz w:val="20"/>
                <w:szCs w:val="20"/>
              </w:rPr>
            </w:pPr>
            <w:r>
              <w:rPr>
                <w:rFonts w:ascii="SimSun" w:hAnsi="SimSun" w:eastAsia="SimSun" w:cs="SimSun"/>
                <w:sz w:val="20"/>
                <w:szCs w:val="20"/>
                <w:spacing w:val="6"/>
              </w:rPr>
              <w:t>污染源</w:t>
            </w:r>
            <w:r>
              <w:rPr>
                <w:rFonts w:ascii="SimSun" w:hAnsi="SimSun" w:eastAsia="SimSun" w:cs="SimSun"/>
                <w:sz w:val="20"/>
                <w:szCs w:val="20"/>
                <w:spacing w:val="4"/>
              </w:rPr>
              <w:t>特征</w:t>
            </w:r>
          </w:p>
        </w:tc>
        <w:tc>
          <w:tcPr>
            <w:tcW w:w="1274" w:type="dxa"/>
            <w:vAlign w:val="top"/>
            <w:vMerge w:val="restart"/>
            <w:tcBorders>
              <w:bottom w:val="nil"/>
            </w:tcBorders>
          </w:tcPr>
          <w:p>
            <w:pPr>
              <w:ind w:left="324"/>
              <w:spacing w:before="172" w:line="228" w:lineRule="auto"/>
              <w:rPr>
                <w:rFonts w:ascii="SimSun" w:hAnsi="SimSun" w:eastAsia="SimSun" w:cs="SimSun"/>
                <w:sz w:val="20"/>
                <w:szCs w:val="20"/>
              </w:rPr>
            </w:pPr>
            <w:r>
              <w:rPr>
                <w:rFonts w:ascii="SimSun" w:hAnsi="SimSun" w:eastAsia="SimSun" w:cs="SimSun"/>
                <w:sz w:val="20"/>
                <w:szCs w:val="20"/>
                <w:spacing w:val="6"/>
              </w:rPr>
              <w:t>产生量</w:t>
            </w:r>
          </w:p>
        </w:tc>
        <w:tc>
          <w:tcPr>
            <w:tcW w:w="1561" w:type="dxa"/>
            <w:vAlign w:val="top"/>
            <w:vMerge w:val="restart"/>
            <w:tcBorders>
              <w:bottom w:val="nil"/>
            </w:tcBorders>
          </w:tcPr>
          <w:p>
            <w:pPr>
              <w:ind w:left="367"/>
              <w:spacing w:before="173" w:line="228" w:lineRule="auto"/>
              <w:rPr>
                <w:rFonts w:ascii="SimSun" w:hAnsi="SimSun" w:eastAsia="SimSun" w:cs="SimSun"/>
                <w:sz w:val="20"/>
                <w:szCs w:val="20"/>
              </w:rPr>
            </w:pPr>
            <w:r>
              <w:rPr>
                <w:rFonts w:ascii="SimSun" w:hAnsi="SimSun" w:eastAsia="SimSun" w:cs="SimSun"/>
                <w:sz w:val="20"/>
                <w:szCs w:val="20"/>
                <w:spacing w:val="6"/>
              </w:rPr>
              <w:t>处置措施</w:t>
            </w:r>
          </w:p>
        </w:tc>
        <w:tc>
          <w:tcPr>
            <w:tcW w:w="1837" w:type="dxa"/>
            <w:vAlign w:val="top"/>
            <w:vMerge w:val="restart"/>
            <w:tcBorders>
              <w:bottom w:val="nil"/>
            </w:tcBorders>
          </w:tcPr>
          <w:p>
            <w:pPr>
              <w:ind w:left="501"/>
              <w:spacing w:before="173" w:line="229" w:lineRule="auto"/>
              <w:rPr>
                <w:rFonts w:ascii="SimSun" w:hAnsi="SimSun" w:eastAsia="SimSun" w:cs="SimSun"/>
                <w:sz w:val="20"/>
                <w:szCs w:val="20"/>
              </w:rPr>
            </w:pPr>
            <w:r>
              <w:rPr>
                <w:rFonts w:ascii="SimSun" w:hAnsi="SimSun" w:eastAsia="SimSun" w:cs="SimSun"/>
                <w:sz w:val="20"/>
                <w:szCs w:val="20"/>
                <w:spacing w:val="7"/>
              </w:rPr>
              <w:t>排放去向</w:t>
            </w:r>
          </w:p>
        </w:tc>
      </w:tr>
      <w:tr>
        <w:trPr>
          <w:trHeight w:val="278" w:hRule="atLeast"/>
        </w:trPr>
        <w:tc>
          <w:tcPr>
            <w:tcW w:w="1281" w:type="dxa"/>
            <w:vAlign w:val="top"/>
          </w:tcPr>
          <w:p>
            <w:pPr>
              <w:ind w:left="331"/>
              <w:spacing w:before="29" w:line="220" w:lineRule="auto"/>
              <w:rPr>
                <w:rFonts w:ascii="SimSun" w:hAnsi="SimSun" w:eastAsia="SimSun" w:cs="SimSun"/>
                <w:sz w:val="20"/>
                <w:szCs w:val="20"/>
              </w:rPr>
            </w:pPr>
            <w:r>
              <w:rPr>
                <w:rFonts w:ascii="SimSun" w:hAnsi="SimSun" w:eastAsia="SimSun" w:cs="SimSun"/>
                <w:sz w:val="20"/>
                <w:szCs w:val="20"/>
                <w:spacing w:val="6"/>
              </w:rPr>
              <w:t>污染物</w:t>
            </w:r>
          </w:p>
        </w:tc>
        <w:tc>
          <w:tcPr>
            <w:tcW w:w="1809" w:type="dxa"/>
            <w:vAlign w:val="top"/>
          </w:tcPr>
          <w:p>
            <w:pPr>
              <w:ind w:left="593"/>
              <w:spacing w:before="29" w:line="220" w:lineRule="auto"/>
              <w:rPr>
                <w:rFonts w:ascii="SimSun" w:hAnsi="SimSun" w:eastAsia="SimSun" w:cs="SimSun"/>
                <w:sz w:val="20"/>
                <w:szCs w:val="20"/>
              </w:rPr>
            </w:pPr>
            <w:r>
              <w:rPr>
                <w:rFonts w:ascii="SimSun" w:hAnsi="SimSun" w:eastAsia="SimSun" w:cs="SimSun"/>
                <w:sz w:val="20"/>
                <w:szCs w:val="20"/>
                <w:spacing w:val="6"/>
              </w:rPr>
              <w:t>污染源</w:t>
            </w:r>
          </w:p>
        </w:tc>
        <w:tc>
          <w:tcPr>
            <w:tcW w:w="1302" w:type="dxa"/>
            <w:vAlign w:val="top"/>
            <w:vMerge w:val="continue"/>
            <w:tcBorders>
              <w:top w:val="nil"/>
            </w:tcBorders>
          </w:tcPr>
          <w:p>
            <w:pPr>
              <w:rPr>
                <w:rFonts w:ascii="Arial"/>
                <w:sz w:val="21"/>
              </w:rPr>
            </w:pPr>
            <w:r/>
          </w:p>
        </w:tc>
        <w:tc>
          <w:tcPr>
            <w:tcW w:w="1274" w:type="dxa"/>
            <w:vAlign w:val="top"/>
            <w:vMerge w:val="continue"/>
            <w:tcBorders>
              <w:top w:val="nil"/>
            </w:tcBorders>
          </w:tcPr>
          <w:p>
            <w:pPr>
              <w:rPr>
                <w:rFonts w:ascii="Arial"/>
                <w:sz w:val="21"/>
              </w:rPr>
            </w:pPr>
            <w:r/>
          </w:p>
        </w:tc>
        <w:tc>
          <w:tcPr>
            <w:tcW w:w="1561" w:type="dxa"/>
            <w:vAlign w:val="top"/>
            <w:vMerge w:val="continue"/>
            <w:tcBorders>
              <w:top w:val="nil"/>
            </w:tcBorders>
          </w:tcPr>
          <w:p>
            <w:pPr>
              <w:rPr>
                <w:rFonts w:ascii="Arial"/>
                <w:sz w:val="21"/>
              </w:rPr>
            </w:pPr>
            <w:r/>
          </w:p>
        </w:tc>
        <w:tc>
          <w:tcPr>
            <w:tcW w:w="1837" w:type="dxa"/>
            <w:vAlign w:val="top"/>
            <w:vMerge w:val="continue"/>
            <w:tcBorders>
              <w:top w:val="nil"/>
            </w:tcBorders>
          </w:tcPr>
          <w:p>
            <w:pPr>
              <w:rPr>
                <w:rFonts w:ascii="Arial"/>
                <w:sz w:val="21"/>
              </w:rPr>
            </w:pPr>
            <w:r/>
          </w:p>
        </w:tc>
      </w:tr>
      <w:tr>
        <w:trPr>
          <w:trHeight w:val="275" w:hRule="atLeast"/>
        </w:trPr>
        <w:tc>
          <w:tcPr>
            <w:tcW w:w="1281" w:type="dxa"/>
            <w:vAlign w:val="top"/>
          </w:tcPr>
          <w:p>
            <w:pPr>
              <w:ind w:left="434"/>
              <w:spacing w:before="29" w:line="217" w:lineRule="auto"/>
              <w:rPr>
                <w:rFonts w:ascii="SimSun" w:hAnsi="SimSun" w:eastAsia="SimSun" w:cs="SimSun"/>
                <w:sz w:val="20"/>
                <w:szCs w:val="20"/>
              </w:rPr>
            </w:pPr>
            <w:r>
              <w:rPr>
                <w:rFonts w:ascii="SimSun" w:hAnsi="SimSun" w:eastAsia="SimSun" w:cs="SimSun"/>
                <w:sz w:val="20"/>
                <w:szCs w:val="20"/>
                <w:spacing w:val="6"/>
              </w:rPr>
              <w:t>矸石</w:t>
            </w:r>
          </w:p>
        </w:tc>
        <w:tc>
          <w:tcPr>
            <w:tcW w:w="1809" w:type="dxa"/>
            <w:vAlign w:val="top"/>
          </w:tcPr>
          <w:p>
            <w:pPr>
              <w:ind w:left="486"/>
              <w:spacing w:before="29" w:line="217" w:lineRule="auto"/>
              <w:rPr>
                <w:rFonts w:ascii="SimSun" w:hAnsi="SimSun" w:eastAsia="SimSun" w:cs="SimSun"/>
                <w:sz w:val="20"/>
                <w:szCs w:val="20"/>
              </w:rPr>
            </w:pPr>
            <w:r>
              <w:rPr>
                <w:rFonts w:ascii="SimSun" w:hAnsi="SimSun" w:eastAsia="SimSun" w:cs="SimSun"/>
                <w:sz w:val="20"/>
                <w:szCs w:val="20"/>
                <w:spacing w:val="7"/>
              </w:rPr>
              <w:t>风选车间</w:t>
            </w:r>
          </w:p>
        </w:tc>
        <w:tc>
          <w:tcPr>
            <w:tcW w:w="1302" w:type="dxa"/>
            <w:vAlign w:val="top"/>
          </w:tcPr>
          <w:p>
            <w:pPr>
              <w:ind w:left="231"/>
              <w:spacing w:before="29" w:line="217" w:lineRule="auto"/>
              <w:rPr>
                <w:rFonts w:ascii="SimSun" w:hAnsi="SimSun" w:eastAsia="SimSun" w:cs="SimSun"/>
                <w:sz w:val="20"/>
                <w:szCs w:val="20"/>
              </w:rPr>
            </w:pPr>
            <w:r>
              <w:rPr>
                <w:rFonts w:ascii="SimSun" w:hAnsi="SimSun" w:eastAsia="SimSun" w:cs="SimSun"/>
                <w:sz w:val="20"/>
                <w:szCs w:val="20"/>
                <w:spacing w:val="7"/>
              </w:rPr>
              <w:t>选煤矸石</w:t>
            </w:r>
          </w:p>
        </w:tc>
        <w:tc>
          <w:tcPr>
            <w:tcW w:w="1274" w:type="dxa"/>
            <w:vAlign w:val="top"/>
          </w:tcPr>
          <w:p>
            <w:pPr>
              <w:pStyle w:val="TableText"/>
              <w:ind w:left="276"/>
              <w:spacing w:before="29" w:line="217" w:lineRule="auto"/>
              <w:rPr/>
            </w:pPr>
            <w:r>
              <w:rPr/>
              <w:t>50</w:t>
            </w:r>
            <w:r>
              <w:rPr>
                <w:spacing w:val="20"/>
              </w:rPr>
              <w:t xml:space="preserve"> </w:t>
            </w:r>
            <w:r>
              <w:rPr>
                <w:rFonts w:ascii="SimSun" w:hAnsi="SimSun" w:eastAsia="SimSun" w:cs="SimSun"/>
              </w:rPr>
              <w:t>万</w:t>
            </w:r>
            <w:r>
              <w:rPr>
                <w:rFonts w:ascii="SimSun" w:hAnsi="SimSun" w:eastAsia="SimSun" w:cs="SimSun"/>
                <w:spacing w:val="-48"/>
              </w:rPr>
              <w:t xml:space="preserve"> </w:t>
            </w:r>
            <w:r>
              <w:rPr/>
              <w:t>t/a</w:t>
            </w:r>
          </w:p>
        </w:tc>
        <w:tc>
          <w:tcPr>
            <w:tcW w:w="3398" w:type="dxa"/>
            <w:vAlign w:val="top"/>
            <w:gridSpan w:val="2"/>
          </w:tcPr>
          <w:p>
            <w:pPr>
              <w:ind w:left="1197"/>
              <w:spacing w:before="29" w:line="217" w:lineRule="auto"/>
              <w:rPr>
                <w:rFonts w:ascii="SimSun" w:hAnsi="SimSun" w:eastAsia="SimSun" w:cs="SimSun"/>
                <w:sz w:val="20"/>
                <w:szCs w:val="20"/>
              </w:rPr>
            </w:pPr>
            <w:r>
              <w:rPr>
                <w:rFonts w:ascii="SimSun" w:hAnsi="SimSun" w:eastAsia="SimSun" w:cs="SimSun"/>
                <w:sz w:val="20"/>
                <w:szCs w:val="20"/>
                <w:spacing w:val="4"/>
              </w:rPr>
              <w:t>回填沉陷区</w:t>
            </w:r>
          </w:p>
        </w:tc>
      </w:tr>
      <w:tr>
        <w:trPr>
          <w:trHeight w:val="549" w:hRule="atLeast"/>
        </w:trPr>
        <w:tc>
          <w:tcPr>
            <w:tcW w:w="1281" w:type="dxa"/>
            <w:vAlign w:val="top"/>
          </w:tcPr>
          <w:p>
            <w:pPr>
              <w:ind w:left="119"/>
              <w:spacing w:before="165" w:line="228" w:lineRule="auto"/>
              <w:rPr>
                <w:rFonts w:ascii="SimSun" w:hAnsi="SimSun" w:eastAsia="SimSun" w:cs="SimSun"/>
                <w:sz w:val="20"/>
                <w:szCs w:val="20"/>
              </w:rPr>
            </w:pPr>
            <w:r>
              <w:rPr>
                <w:rFonts w:ascii="SimSun" w:hAnsi="SimSun" w:eastAsia="SimSun" w:cs="SimSun"/>
                <w:sz w:val="20"/>
                <w:szCs w:val="20"/>
                <w:spacing w:val="8"/>
              </w:rPr>
              <w:t>土岩剥离物</w:t>
            </w:r>
          </w:p>
        </w:tc>
        <w:tc>
          <w:tcPr>
            <w:tcW w:w="1809" w:type="dxa"/>
            <w:vAlign w:val="top"/>
          </w:tcPr>
          <w:p>
            <w:pPr>
              <w:ind w:left="590"/>
              <w:spacing w:before="164" w:line="227" w:lineRule="auto"/>
              <w:rPr>
                <w:rFonts w:ascii="SimSun" w:hAnsi="SimSun" w:eastAsia="SimSun" w:cs="SimSun"/>
                <w:sz w:val="20"/>
                <w:szCs w:val="20"/>
              </w:rPr>
            </w:pPr>
            <w:r>
              <w:rPr>
                <w:rFonts w:ascii="SimSun" w:hAnsi="SimSun" w:eastAsia="SimSun" w:cs="SimSun"/>
                <w:sz w:val="20"/>
                <w:szCs w:val="20"/>
                <w:spacing w:val="7"/>
              </w:rPr>
              <w:t>采掘场</w:t>
            </w:r>
          </w:p>
        </w:tc>
        <w:tc>
          <w:tcPr>
            <w:tcW w:w="1302" w:type="dxa"/>
            <w:vAlign w:val="top"/>
          </w:tcPr>
          <w:p>
            <w:pPr>
              <w:ind w:left="129"/>
              <w:spacing w:before="165" w:line="228" w:lineRule="auto"/>
              <w:rPr>
                <w:rFonts w:ascii="SimSun" w:hAnsi="SimSun" w:eastAsia="SimSun" w:cs="SimSun"/>
                <w:sz w:val="20"/>
                <w:szCs w:val="20"/>
              </w:rPr>
            </w:pPr>
            <w:r>
              <w:rPr>
                <w:rFonts w:ascii="SimSun" w:hAnsi="SimSun" w:eastAsia="SimSun" w:cs="SimSun"/>
                <w:sz w:val="20"/>
                <w:szCs w:val="20"/>
                <w:spacing w:val="8"/>
              </w:rPr>
              <w:t>土岩剥离物</w:t>
            </w:r>
          </w:p>
        </w:tc>
        <w:tc>
          <w:tcPr>
            <w:tcW w:w="1274" w:type="dxa"/>
            <w:vAlign w:val="top"/>
          </w:tcPr>
          <w:p>
            <w:pPr>
              <w:pStyle w:val="TableText"/>
              <w:ind w:left="602"/>
              <w:spacing w:before="199" w:line="199" w:lineRule="auto"/>
              <w:rPr/>
            </w:pPr>
            <w:r>
              <w:rPr>
                <w:spacing w:val="2"/>
              </w:rPr>
              <w:t>/</w:t>
            </w:r>
          </w:p>
        </w:tc>
        <w:tc>
          <w:tcPr>
            <w:tcW w:w="3398" w:type="dxa"/>
            <w:vAlign w:val="top"/>
            <w:gridSpan w:val="2"/>
          </w:tcPr>
          <w:p>
            <w:pPr>
              <w:ind w:left="130"/>
              <w:spacing w:before="30" w:line="228" w:lineRule="auto"/>
              <w:rPr>
                <w:rFonts w:ascii="SimSun" w:hAnsi="SimSun" w:eastAsia="SimSun" w:cs="SimSun"/>
                <w:sz w:val="20"/>
                <w:szCs w:val="20"/>
              </w:rPr>
            </w:pPr>
            <w:r>
              <w:rPr>
                <w:rFonts w:ascii="SimSun" w:hAnsi="SimSun" w:eastAsia="SimSun" w:cs="SimSun"/>
                <w:sz w:val="20"/>
                <w:szCs w:val="20"/>
                <w:spacing w:val="9"/>
              </w:rPr>
              <w:t>部分用于沉陷区回填，部分运送至</w:t>
            </w:r>
          </w:p>
          <w:p>
            <w:pPr>
              <w:ind w:left="1308"/>
              <w:spacing w:before="26" w:line="217" w:lineRule="auto"/>
              <w:rPr>
                <w:rFonts w:ascii="SimSun" w:hAnsi="SimSun" w:eastAsia="SimSun" w:cs="SimSun"/>
                <w:sz w:val="20"/>
                <w:szCs w:val="20"/>
              </w:rPr>
            </w:pPr>
            <w:r>
              <w:rPr>
                <w:rFonts w:ascii="SimSun" w:hAnsi="SimSun" w:eastAsia="SimSun" w:cs="SimSun"/>
                <w:sz w:val="20"/>
                <w:szCs w:val="20"/>
                <w:spacing w:val="1"/>
              </w:rPr>
              <w:t>内排土场</w:t>
            </w:r>
          </w:p>
        </w:tc>
      </w:tr>
      <w:tr>
        <w:trPr>
          <w:trHeight w:val="640" w:hRule="atLeast"/>
        </w:trPr>
        <w:tc>
          <w:tcPr>
            <w:tcW w:w="1281" w:type="dxa"/>
            <w:vAlign w:val="top"/>
          </w:tcPr>
          <w:p>
            <w:pPr>
              <w:ind w:left="115"/>
              <w:spacing w:before="213" w:line="228" w:lineRule="auto"/>
              <w:rPr>
                <w:rFonts w:ascii="SimSun" w:hAnsi="SimSun" w:eastAsia="SimSun" w:cs="SimSun"/>
                <w:sz w:val="20"/>
                <w:szCs w:val="20"/>
              </w:rPr>
            </w:pPr>
            <w:r>
              <w:rPr>
                <w:rFonts w:ascii="SimSun" w:hAnsi="SimSun" w:eastAsia="SimSun" w:cs="SimSun"/>
                <w:sz w:val="20"/>
                <w:szCs w:val="20"/>
                <w:spacing w:val="6"/>
              </w:rPr>
              <w:t>生活垃圾</w:t>
            </w:r>
          </w:p>
        </w:tc>
        <w:tc>
          <w:tcPr>
            <w:tcW w:w="1809" w:type="dxa"/>
            <w:vAlign w:val="top"/>
          </w:tcPr>
          <w:p>
            <w:pPr>
              <w:ind w:left="488"/>
              <w:spacing w:before="213" w:line="228" w:lineRule="auto"/>
              <w:rPr>
                <w:rFonts w:ascii="SimSun" w:hAnsi="SimSun" w:eastAsia="SimSun" w:cs="SimSun"/>
                <w:sz w:val="20"/>
                <w:szCs w:val="20"/>
              </w:rPr>
            </w:pPr>
            <w:r>
              <w:rPr>
                <w:rFonts w:ascii="SimSun" w:hAnsi="SimSun" w:eastAsia="SimSun" w:cs="SimSun"/>
                <w:sz w:val="20"/>
                <w:szCs w:val="20"/>
                <w:spacing w:val="7"/>
              </w:rPr>
              <w:t>工业场地</w:t>
            </w:r>
          </w:p>
        </w:tc>
        <w:tc>
          <w:tcPr>
            <w:tcW w:w="1302" w:type="dxa"/>
            <w:vAlign w:val="top"/>
          </w:tcPr>
          <w:p>
            <w:pPr>
              <w:ind w:left="234"/>
              <w:spacing w:before="213" w:line="228" w:lineRule="auto"/>
              <w:rPr>
                <w:rFonts w:ascii="SimSun" w:hAnsi="SimSun" w:eastAsia="SimSun" w:cs="SimSun"/>
                <w:sz w:val="20"/>
                <w:szCs w:val="20"/>
              </w:rPr>
            </w:pPr>
            <w:r>
              <w:rPr>
                <w:rFonts w:ascii="SimSun" w:hAnsi="SimSun" w:eastAsia="SimSun" w:cs="SimSun"/>
                <w:sz w:val="20"/>
                <w:szCs w:val="20"/>
                <w:spacing w:val="6"/>
              </w:rPr>
              <w:t>生活垃圾</w:t>
            </w:r>
          </w:p>
        </w:tc>
        <w:tc>
          <w:tcPr>
            <w:tcW w:w="1274" w:type="dxa"/>
            <w:vAlign w:val="top"/>
          </w:tcPr>
          <w:p>
            <w:pPr>
              <w:pStyle w:val="TableText"/>
              <w:ind w:left="246"/>
              <w:spacing w:before="245" w:line="199" w:lineRule="auto"/>
              <w:rPr/>
            </w:pPr>
            <w:r>
              <w:rPr>
                <w:spacing w:val="-1"/>
              </w:rPr>
              <w:t>200.</w:t>
            </w:r>
            <w:r>
              <w:rPr>
                <w:spacing w:val="-18"/>
              </w:rPr>
              <w:t xml:space="preserve"> </w:t>
            </w:r>
            <w:r>
              <w:rPr>
                <w:spacing w:val="-1"/>
              </w:rPr>
              <w:t>11t/a</w:t>
            </w:r>
          </w:p>
        </w:tc>
        <w:tc>
          <w:tcPr>
            <w:tcW w:w="3398" w:type="dxa"/>
            <w:vAlign w:val="top"/>
            <w:gridSpan w:val="2"/>
          </w:tcPr>
          <w:p>
            <w:pPr>
              <w:ind w:left="759" w:right="123" w:hanging="626"/>
              <w:spacing w:before="76" w:line="254" w:lineRule="auto"/>
              <w:rPr>
                <w:rFonts w:ascii="SimSun" w:hAnsi="SimSun" w:eastAsia="SimSun" w:cs="SimSun"/>
                <w:sz w:val="20"/>
                <w:szCs w:val="20"/>
              </w:rPr>
            </w:pPr>
            <w:r>
              <w:rPr>
                <w:rFonts w:ascii="SimSun" w:hAnsi="SimSun" w:eastAsia="SimSun" w:cs="SimSun"/>
                <w:sz w:val="20"/>
                <w:szCs w:val="20"/>
                <w:spacing w:val="9"/>
              </w:rPr>
              <w:t>统一收集，由西乌旗白音华市政管</w:t>
            </w:r>
            <w:r>
              <w:rPr>
                <w:rFonts w:ascii="SimSun" w:hAnsi="SimSun" w:eastAsia="SimSun" w:cs="SimSun"/>
                <w:sz w:val="20"/>
                <w:szCs w:val="20"/>
                <w:spacing w:val="8"/>
              </w:rPr>
              <w:t>理有限责任公司处置</w:t>
            </w:r>
          </w:p>
        </w:tc>
      </w:tr>
      <w:tr>
        <w:trPr>
          <w:trHeight w:val="549" w:hRule="atLeast"/>
        </w:trPr>
        <w:tc>
          <w:tcPr>
            <w:tcW w:w="1281" w:type="dxa"/>
            <w:vAlign w:val="top"/>
          </w:tcPr>
          <w:p>
            <w:pPr>
              <w:ind w:left="435"/>
              <w:spacing w:before="166" w:line="228" w:lineRule="auto"/>
              <w:rPr>
                <w:rFonts w:ascii="SimSun" w:hAnsi="SimSun" w:eastAsia="SimSun" w:cs="SimSun"/>
                <w:sz w:val="20"/>
                <w:szCs w:val="20"/>
              </w:rPr>
            </w:pPr>
            <w:r>
              <w:rPr>
                <w:rFonts w:ascii="SimSun" w:hAnsi="SimSun" w:eastAsia="SimSun" w:cs="SimSun"/>
                <w:sz w:val="20"/>
                <w:szCs w:val="20"/>
                <w:spacing w:val="5"/>
              </w:rPr>
              <w:t>煤泥</w:t>
            </w:r>
          </w:p>
        </w:tc>
        <w:tc>
          <w:tcPr>
            <w:tcW w:w="1809" w:type="dxa"/>
            <w:vAlign w:val="top"/>
          </w:tcPr>
          <w:p>
            <w:pPr>
              <w:ind w:left="800" w:right="111" w:hanging="692"/>
              <w:spacing w:before="32" w:line="234" w:lineRule="auto"/>
              <w:rPr>
                <w:rFonts w:ascii="SimSun" w:hAnsi="SimSun" w:eastAsia="SimSun" w:cs="SimSun"/>
                <w:sz w:val="20"/>
                <w:szCs w:val="20"/>
              </w:rPr>
            </w:pPr>
            <w:r>
              <w:rPr>
                <w:rFonts w:ascii="SimSun" w:hAnsi="SimSun" w:eastAsia="SimSun" w:cs="SimSun"/>
                <w:sz w:val="20"/>
                <w:szCs w:val="20"/>
                <w:spacing w:val="-2"/>
              </w:rPr>
              <w:t>矿井（坑）水处理</w:t>
            </w:r>
            <w:r>
              <w:rPr>
                <w:rFonts w:ascii="SimSun" w:hAnsi="SimSun" w:eastAsia="SimSun" w:cs="SimSun"/>
                <w:sz w:val="20"/>
                <w:szCs w:val="20"/>
              </w:rPr>
              <w:t>站</w:t>
            </w:r>
          </w:p>
        </w:tc>
        <w:tc>
          <w:tcPr>
            <w:tcW w:w="1302" w:type="dxa"/>
            <w:vAlign w:val="top"/>
          </w:tcPr>
          <w:p>
            <w:pPr>
              <w:ind w:left="444"/>
              <w:spacing w:before="166" w:line="228" w:lineRule="auto"/>
              <w:rPr>
                <w:rFonts w:ascii="SimSun" w:hAnsi="SimSun" w:eastAsia="SimSun" w:cs="SimSun"/>
                <w:sz w:val="20"/>
                <w:szCs w:val="20"/>
              </w:rPr>
            </w:pPr>
            <w:r>
              <w:rPr>
                <w:rFonts w:ascii="SimSun" w:hAnsi="SimSun" w:eastAsia="SimSun" w:cs="SimSun"/>
                <w:sz w:val="20"/>
                <w:szCs w:val="20"/>
                <w:spacing w:val="4"/>
              </w:rPr>
              <w:t>煤泥</w:t>
            </w:r>
          </w:p>
        </w:tc>
        <w:tc>
          <w:tcPr>
            <w:tcW w:w="1274" w:type="dxa"/>
            <w:vAlign w:val="top"/>
          </w:tcPr>
          <w:p>
            <w:pPr>
              <w:pStyle w:val="TableText"/>
              <w:ind w:left="298"/>
              <w:spacing w:before="200" w:line="199" w:lineRule="auto"/>
              <w:rPr/>
            </w:pPr>
            <w:r>
              <w:rPr>
                <w:spacing w:val="3"/>
              </w:rPr>
              <w:t>96.26t/a</w:t>
            </w:r>
          </w:p>
        </w:tc>
        <w:tc>
          <w:tcPr>
            <w:tcW w:w="3398" w:type="dxa"/>
            <w:vAlign w:val="top"/>
            <w:gridSpan w:val="2"/>
          </w:tcPr>
          <w:p>
            <w:pPr>
              <w:ind w:left="549"/>
              <w:spacing w:before="165" w:line="228" w:lineRule="auto"/>
              <w:rPr>
                <w:rFonts w:ascii="SimSun" w:hAnsi="SimSun" w:eastAsia="SimSun" w:cs="SimSun"/>
                <w:sz w:val="20"/>
                <w:szCs w:val="20"/>
              </w:rPr>
            </w:pPr>
            <w:r>
              <w:rPr>
                <w:rFonts w:ascii="SimSun" w:hAnsi="SimSun" w:eastAsia="SimSun" w:cs="SimSun"/>
                <w:sz w:val="20"/>
                <w:szCs w:val="20"/>
                <w:spacing w:val="9"/>
              </w:rPr>
              <w:t>掺入产品煤送到金山电厂</w:t>
            </w:r>
          </w:p>
        </w:tc>
      </w:tr>
      <w:tr>
        <w:trPr>
          <w:trHeight w:val="822" w:hRule="atLeast"/>
        </w:trPr>
        <w:tc>
          <w:tcPr>
            <w:tcW w:w="1281" w:type="dxa"/>
            <w:vAlign w:val="top"/>
          </w:tcPr>
          <w:p>
            <w:pPr>
              <w:ind w:left="436"/>
              <w:spacing w:before="305" w:line="230" w:lineRule="auto"/>
              <w:rPr>
                <w:rFonts w:ascii="SimSun" w:hAnsi="SimSun" w:eastAsia="SimSun" w:cs="SimSun"/>
                <w:sz w:val="20"/>
                <w:szCs w:val="20"/>
              </w:rPr>
            </w:pPr>
            <w:r>
              <w:rPr>
                <w:rFonts w:ascii="SimSun" w:hAnsi="SimSun" w:eastAsia="SimSun" w:cs="SimSun"/>
                <w:sz w:val="20"/>
                <w:szCs w:val="20"/>
                <w:spacing w:val="5"/>
              </w:rPr>
              <w:t>污泥</w:t>
            </w:r>
          </w:p>
        </w:tc>
        <w:tc>
          <w:tcPr>
            <w:tcW w:w="1809" w:type="dxa"/>
            <w:vAlign w:val="top"/>
          </w:tcPr>
          <w:p>
            <w:pPr>
              <w:ind w:left="173"/>
              <w:spacing w:before="305" w:line="228" w:lineRule="auto"/>
              <w:rPr>
                <w:rFonts w:ascii="SimSun" w:hAnsi="SimSun" w:eastAsia="SimSun" w:cs="SimSun"/>
                <w:sz w:val="20"/>
                <w:szCs w:val="20"/>
              </w:rPr>
            </w:pPr>
            <w:r>
              <w:rPr>
                <w:rFonts w:ascii="SimSun" w:hAnsi="SimSun" w:eastAsia="SimSun" w:cs="SimSun"/>
                <w:sz w:val="20"/>
                <w:szCs w:val="20"/>
                <w:spacing w:val="8"/>
              </w:rPr>
              <w:t>生活污水处理站</w:t>
            </w:r>
          </w:p>
        </w:tc>
        <w:tc>
          <w:tcPr>
            <w:tcW w:w="1302" w:type="dxa"/>
            <w:vAlign w:val="top"/>
          </w:tcPr>
          <w:p>
            <w:pPr>
              <w:ind w:left="445"/>
              <w:spacing w:before="305" w:line="230" w:lineRule="auto"/>
              <w:rPr>
                <w:rFonts w:ascii="SimSun" w:hAnsi="SimSun" w:eastAsia="SimSun" w:cs="SimSun"/>
                <w:sz w:val="20"/>
                <w:szCs w:val="20"/>
              </w:rPr>
            </w:pPr>
            <w:r>
              <w:rPr>
                <w:rFonts w:ascii="SimSun" w:hAnsi="SimSun" w:eastAsia="SimSun" w:cs="SimSun"/>
                <w:sz w:val="20"/>
                <w:szCs w:val="20"/>
                <w:spacing w:val="3"/>
              </w:rPr>
              <w:t>污泥</w:t>
            </w:r>
          </w:p>
        </w:tc>
        <w:tc>
          <w:tcPr>
            <w:tcW w:w="1274" w:type="dxa"/>
            <w:vAlign w:val="top"/>
          </w:tcPr>
          <w:p>
            <w:pPr>
              <w:spacing w:line="278" w:lineRule="auto"/>
              <w:rPr>
                <w:rFonts w:ascii="Arial"/>
                <w:sz w:val="21"/>
              </w:rPr>
            </w:pPr>
            <w:r/>
          </w:p>
          <w:p>
            <w:pPr>
              <w:pStyle w:val="TableText"/>
              <w:ind w:left="367"/>
              <w:spacing w:before="58" w:line="199" w:lineRule="auto"/>
              <w:rPr/>
            </w:pPr>
            <w:r>
              <w:rPr/>
              <w:t>18.7t/a</w:t>
            </w:r>
          </w:p>
        </w:tc>
        <w:tc>
          <w:tcPr>
            <w:tcW w:w="3398" w:type="dxa"/>
            <w:vAlign w:val="top"/>
            <w:gridSpan w:val="2"/>
          </w:tcPr>
          <w:p>
            <w:pPr>
              <w:ind w:left="129"/>
              <w:spacing w:before="31" w:line="228" w:lineRule="auto"/>
              <w:rPr>
                <w:rFonts w:ascii="SimSun" w:hAnsi="SimSun" w:eastAsia="SimSun" w:cs="SimSun"/>
                <w:sz w:val="20"/>
                <w:szCs w:val="20"/>
              </w:rPr>
            </w:pPr>
            <w:r>
              <w:rPr>
                <w:rFonts w:ascii="SimSun" w:hAnsi="SimSun" w:eastAsia="SimSun" w:cs="SimSun"/>
                <w:sz w:val="20"/>
                <w:szCs w:val="20"/>
                <w:spacing w:val="6"/>
              </w:rPr>
              <w:t>脱水后，与生活垃圾一起，</w:t>
            </w:r>
            <w:r>
              <w:rPr>
                <w:rFonts w:ascii="SimSun" w:hAnsi="SimSun" w:eastAsia="SimSun" w:cs="SimSun"/>
                <w:sz w:val="20"/>
                <w:szCs w:val="20"/>
                <w:spacing w:val="-51"/>
              </w:rPr>
              <w:t xml:space="preserve"> </w:t>
            </w:r>
            <w:r>
              <w:rPr>
                <w:rFonts w:ascii="SimSun" w:hAnsi="SimSun" w:eastAsia="SimSun" w:cs="SimSun"/>
                <w:sz w:val="20"/>
                <w:szCs w:val="20"/>
                <w:spacing w:val="6"/>
              </w:rPr>
              <w:t>由西乌</w:t>
            </w:r>
          </w:p>
          <w:p>
            <w:pPr>
              <w:ind w:left="127"/>
              <w:spacing w:before="26" w:line="228" w:lineRule="auto"/>
              <w:rPr>
                <w:rFonts w:ascii="SimSun" w:hAnsi="SimSun" w:eastAsia="SimSun" w:cs="SimSun"/>
                <w:sz w:val="20"/>
                <w:szCs w:val="20"/>
              </w:rPr>
            </w:pPr>
            <w:r>
              <w:rPr>
                <w:rFonts w:ascii="SimSun" w:hAnsi="SimSun" w:eastAsia="SimSun" w:cs="SimSun"/>
                <w:sz w:val="20"/>
                <w:szCs w:val="20"/>
                <w:spacing w:val="9"/>
              </w:rPr>
              <w:t>旗白音华市政管理有限责任公司处</w:t>
            </w:r>
          </w:p>
          <w:p>
            <w:pPr>
              <w:ind w:left="1595"/>
              <w:spacing w:before="24" w:line="217" w:lineRule="auto"/>
              <w:rPr>
                <w:rFonts w:ascii="SimSun" w:hAnsi="SimSun" w:eastAsia="SimSun" w:cs="SimSun"/>
                <w:sz w:val="20"/>
                <w:szCs w:val="20"/>
              </w:rPr>
            </w:pPr>
            <w:r>
              <w:rPr>
                <w:rFonts w:ascii="SimSun" w:hAnsi="SimSun" w:eastAsia="SimSun" w:cs="SimSun"/>
                <w:sz w:val="20"/>
                <w:szCs w:val="20"/>
                <w:spacing w:val="2"/>
              </w:rPr>
              <w:t>置</w:t>
            </w:r>
          </w:p>
        </w:tc>
      </w:tr>
      <w:tr>
        <w:trPr>
          <w:trHeight w:val="275" w:hRule="atLeast"/>
        </w:trPr>
        <w:tc>
          <w:tcPr>
            <w:tcW w:w="1281" w:type="dxa"/>
            <w:vAlign w:val="top"/>
          </w:tcPr>
          <w:p>
            <w:pPr>
              <w:ind w:left="225"/>
              <w:spacing w:before="33" w:line="214" w:lineRule="auto"/>
              <w:rPr>
                <w:rFonts w:ascii="SimSun" w:hAnsi="SimSun" w:eastAsia="SimSun" w:cs="SimSun"/>
                <w:sz w:val="20"/>
                <w:szCs w:val="20"/>
              </w:rPr>
            </w:pPr>
            <w:r>
              <w:rPr>
                <w:rFonts w:ascii="SimSun" w:hAnsi="SimSun" w:eastAsia="SimSun" w:cs="SimSun"/>
                <w:sz w:val="20"/>
                <w:szCs w:val="20"/>
                <w:spacing w:val="7"/>
              </w:rPr>
              <w:t>废矿物油</w:t>
            </w:r>
          </w:p>
        </w:tc>
        <w:tc>
          <w:tcPr>
            <w:tcW w:w="1809" w:type="dxa"/>
            <w:vAlign w:val="top"/>
            <w:vMerge w:val="restart"/>
            <w:tcBorders>
              <w:bottom w:val="nil"/>
            </w:tcBorders>
          </w:tcPr>
          <w:p>
            <w:pPr>
              <w:ind w:left="383"/>
              <w:spacing w:before="303" w:line="228" w:lineRule="auto"/>
              <w:rPr>
                <w:rFonts w:ascii="SimSun" w:hAnsi="SimSun" w:eastAsia="SimSun" w:cs="SimSun"/>
                <w:sz w:val="20"/>
                <w:szCs w:val="20"/>
              </w:rPr>
            </w:pPr>
            <w:r>
              <w:rPr>
                <w:rFonts w:ascii="SimSun" w:hAnsi="SimSun" w:eastAsia="SimSun" w:cs="SimSun"/>
                <w:sz w:val="20"/>
                <w:szCs w:val="20"/>
                <w:spacing w:val="7"/>
              </w:rPr>
              <w:t>危废暂存间</w:t>
            </w:r>
          </w:p>
        </w:tc>
        <w:tc>
          <w:tcPr>
            <w:tcW w:w="1302" w:type="dxa"/>
            <w:vAlign w:val="top"/>
          </w:tcPr>
          <w:p>
            <w:pPr>
              <w:ind w:left="442"/>
              <w:spacing w:before="33" w:line="214" w:lineRule="auto"/>
              <w:rPr>
                <w:rFonts w:ascii="SimSun" w:hAnsi="SimSun" w:eastAsia="SimSun" w:cs="SimSun"/>
                <w:sz w:val="20"/>
                <w:szCs w:val="20"/>
              </w:rPr>
            </w:pPr>
            <w:r>
              <w:rPr>
                <w:rFonts w:ascii="SimSun" w:hAnsi="SimSun" w:eastAsia="SimSun" w:cs="SimSun"/>
                <w:sz w:val="20"/>
                <w:szCs w:val="20"/>
                <w:spacing w:val="5"/>
              </w:rPr>
              <w:t>废油</w:t>
            </w:r>
          </w:p>
        </w:tc>
        <w:tc>
          <w:tcPr>
            <w:tcW w:w="1274" w:type="dxa"/>
            <w:vAlign w:val="top"/>
          </w:tcPr>
          <w:p>
            <w:pPr>
              <w:pStyle w:val="TableText"/>
              <w:ind w:left="426"/>
              <w:spacing w:before="65" w:line="199" w:lineRule="auto"/>
              <w:rPr/>
            </w:pPr>
            <w:r>
              <w:rPr>
                <w:spacing w:val="2"/>
              </w:rPr>
              <w:t>20t/a</w:t>
            </w:r>
          </w:p>
        </w:tc>
        <w:tc>
          <w:tcPr>
            <w:tcW w:w="3398" w:type="dxa"/>
            <w:vAlign w:val="top"/>
            <w:gridSpan w:val="2"/>
            <w:vMerge w:val="restart"/>
            <w:tcBorders>
              <w:bottom w:val="nil"/>
            </w:tcBorders>
          </w:tcPr>
          <w:p>
            <w:pPr>
              <w:ind w:left="128"/>
              <w:spacing w:before="32" w:line="228" w:lineRule="auto"/>
              <w:rPr>
                <w:rFonts w:ascii="SimSun" w:hAnsi="SimSun" w:eastAsia="SimSun" w:cs="SimSun"/>
                <w:sz w:val="20"/>
                <w:szCs w:val="20"/>
              </w:rPr>
            </w:pPr>
            <w:r>
              <w:rPr>
                <w:rFonts w:ascii="SimSun" w:hAnsi="SimSun" w:eastAsia="SimSun" w:cs="SimSun"/>
                <w:sz w:val="20"/>
                <w:szCs w:val="20"/>
                <w:spacing w:val="9"/>
              </w:rPr>
              <w:t>放置在危废暂存间，交由西乌珠穆</w:t>
            </w:r>
          </w:p>
          <w:p>
            <w:pPr>
              <w:ind w:left="130"/>
              <w:spacing w:before="24" w:line="228" w:lineRule="auto"/>
              <w:rPr>
                <w:rFonts w:ascii="SimSun" w:hAnsi="SimSun" w:eastAsia="SimSun" w:cs="SimSun"/>
                <w:sz w:val="20"/>
                <w:szCs w:val="20"/>
              </w:rPr>
            </w:pPr>
            <w:r>
              <w:rPr>
                <w:rFonts w:ascii="SimSun" w:hAnsi="SimSun" w:eastAsia="SimSun" w:cs="SimSun"/>
                <w:sz w:val="20"/>
                <w:szCs w:val="20"/>
                <w:spacing w:val="9"/>
              </w:rPr>
              <w:t>沁旗洁源废旧资源回收有限公司回</w:t>
            </w:r>
          </w:p>
          <w:p>
            <w:pPr>
              <w:ind w:left="1395"/>
              <w:spacing w:before="26" w:line="218" w:lineRule="auto"/>
              <w:rPr>
                <w:rFonts w:ascii="SimSun" w:hAnsi="SimSun" w:eastAsia="SimSun" w:cs="SimSun"/>
                <w:sz w:val="20"/>
                <w:szCs w:val="20"/>
              </w:rPr>
            </w:pPr>
            <w:r>
              <w:rPr>
                <w:rFonts w:ascii="SimSun" w:hAnsi="SimSun" w:eastAsia="SimSun" w:cs="SimSun"/>
                <w:sz w:val="20"/>
                <w:szCs w:val="20"/>
                <w:spacing w:val="4"/>
              </w:rPr>
              <w:t>收处理</w:t>
            </w:r>
          </w:p>
        </w:tc>
      </w:tr>
      <w:tr>
        <w:trPr>
          <w:trHeight w:val="544" w:hRule="atLeast"/>
        </w:trPr>
        <w:tc>
          <w:tcPr>
            <w:tcW w:w="1281" w:type="dxa"/>
            <w:vAlign w:val="top"/>
          </w:tcPr>
          <w:p>
            <w:pPr>
              <w:ind w:left="328"/>
              <w:spacing w:before="166" w:line="228" w:lineRule="auto"/>
              <w:rPr>
                <w:rFonts w:ascii="SimSun" w:hAnsi="SimSun" w:eastAsia="SimSun" w:cs="SimSun"/>
                <w:sz w:val="20"/>
                <w:szCs w:val="20"/>
              </w:rPr>
            </w:pPr>
            <w:r>
              <w:rPr>
                <w:rFonts w:ascii="SimSun" w:hAnsi="SimSun" w:eastAsia="SimSun" w:cs="SimSun"/>
                <w:sz w:val="20"/>
                <w:szCs w:val="20"/>
                <w:spacing w:val="7"/>
              </w:rPr>
              <w:t>废电瓶</w:t>
            </w:r>
          </w:p>
        </w:tc>
        <w:tc>
          <w:tcPr>
            <w:tcW w:w="1809" w:type="dxa"/>
            <w:vAlign w:val="top"/>
            <w:vMerge w:val="continue"/>
            <w:tcBorders>
              <w:top w:val="nil"/>
            </w:tcBorders>
          </w:tcPr>
          <w:p>
            <w:pPr>
              <w:rPr>
                <w:rFonts w:ascii="Arial"/>
                <w:sz w:val="21"/>
              </w:rPr>
            </w:pPr>
            <w:r/>
          </w:p>
        </w:tc>
        <w:tc>
          <w:tcPr>
            <w:tcW w:w="1302" w:type="dxa"/>
            <w:vAlign w:val="top"/>
          </w:tcPr>
          <w:p>
            <w:pPr>
              <w:ind w:left="339"/>
              <w:spacing w:before="166" w:line="228" w:lineRule="auto"/>
              <w:rPr>
                <w:rFonts w:ascii="SimSun" w:hAnsi="SimSun" w:eastAsia="SimSun" w:cs="SimSun"/>
                <w:sz w:val="20"/>
                <w:szCs w:val="20"/>
              </w:rPr>
            </w:pPr>
            <w:r>
              <w:rPr>
                <w:rFonts w:ascii="SimSun" w:hAnsi="SimSun" w:eastAsia="SimSun" w:cs="SimSun"/>
                <w:sz w:val="20"/>
                <w:szCs w:val="20"/>
                <w:spacing w:val="7"/>
              </w:rPr>
              <w:t>废电池</w:t>
            </w:r>
          </w:p>
        </w:tc>
        <w:tc>
          <w:tcPr>
            <w:tcW w:w="1274" w:type="dxa"/>
            <w:vAlign w:val="top"/>
          </w:tcPr>
          <w:p>
            <w:pPr>
              <w:pStyle w:val="TableText"/>
              <w:ind w:left="402"/>
              <w:spacing w:before="197" w:line="199" w:lineRule="auto"/>
              <w:rPr/>
            </w:pPr>
            <w:r>
              <w:rPr>
                <w:spacing w:val="2"/>
              </w:rPr>
              <w:t>2.5t/a</w:t>
            </w:r>
          </w:p>
        </w:tc>
        <w:tc>
          <w:tcPr>
            <w:tcW w:w="3398" w:type="dxa"/>
            <w:vAlign w:val="top"/>
            <w:gridSpan w:val="2"/>
            <w:vMerge w:val="continue"/>
            <w:tcBorders>
              <w:top w:val="nil"/>
            </w:tcBorders>
          </w:tcPr>
          <w:p>
            <w:pPr>
              <w:rPr>
                <w:rFonts w:ascii="Arial"/>
                <w:sz w:val="21"/>
              </w:rPr>
            </w:pPr>
            <w:r/>
          </w:p>
        </w:tc>
      </w:tr>
    </w:tbl>
    <w:p>
      <w:pPr>
        <w:ind w:left="714"/>
        <w:spacing w:before="147"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）煤矸石</w:t>
      </w:r>
    </w:p>
    <w:p>
      <w:pPr>
        <w:ind w:left="228" w:right="232" w:firstLine="487"/>
        <w:spacing w:before="152" w:line="339" w:lineRule="auto"/>
        <w:rPr>
          <w:rFonts w:ascii="SimSun" w:hAnsi="SimSun" w:eastAsia="SimSun" w:cs="SimSun"/>
          <w:sz w:val="24"/>
          <w:szCs w:val="24"/>
        </w:rPr>
      </w:pPr>
      <w:r>
        <w:rPr>
          <w:rFonts w:ascii="SimSun" w:hAnsi="SimSun" w:eastAsia="SimSun" w:cs="SimSun"/>
          <w:sz w:val="24"/>
          <w:szCs w:val="24"/>
          <w:spacing w:val="-2"/>
        </w:rPr>
        <w:t>矸石主要来源于风选车间。白音华四号露天矿（一期工程）露天区风选后的风选矸</w:t>
      </w:r>
      <w:r>
        <w:rPr>
          <w:rFonts w:ascii="SimSun" w:hAnsi="SimSun" w:eastAsia="SimSun" w:cs="SimSun"/>
          <w:sz w:val="24"/>
          <w:szCs w:val="24"/>
          <w:spacing w:val="-5"/>
        </w:rPr>
        <w:t>石</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5"/>
        </w:rPr>
        <w:t>50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5"/>
        </w:rPr>
        <w:t>t/a</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，全部回填沉陷区。</w:t>
      </w:r>
    </w:p>
    <w:p>
      <w:pPr>
        <w:ind w:left="723"/>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）土岩剥离物</w:t>
      </w:r>
    </w:p>
    <w:p>
      <w:pPr>
        <w:ind w:left="227" w:right="178" w:firstLine="490"/>
        <w:spacing w:before="155" w:line="338" w:lineRule="auto"/>
        <w:rPr>
          <w:rFonts w:ascii="SimSun" w:hAnsi="SimSun" w:eastAsia="SimSun" w:cs="SimSun"/>
          <w:sz w:val="24"/>
          <w:szCs w:val="24"/>
        </w:rPr>
      </w:pPr>
      <w:r>
        <w:rPr>
          <w:rFonts w:ascii="SimSun" w:hAnsi="SimSun" w:eastAsia="SimSun" w:cs="SimSun"/>
          <w:sz w:val="24"/>
          <w:szCs w:val="24"/>
          <w:spacing w:val="-2"/>
        </w:rPr>
        <w:t>本项目剥离物主要来源于露天开采产生的土岩剥离物。白音华四号露天矿东一号排</w:t>
      </w:r>
      <w:r>
        <w:rPr>
          <w:rFonts w:ascii="SimSun" w:hAnsi="SimSun" w:eastAsia="SimSun" w:cs="SimSun"/>
          <w:sz w:val="24"/>
          <w:szCs w:val="24"/>
          <w:spacing w:val="-2"/>
        </w:rPr>
        <w:t>土场为卡车排土场排弃</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69.86Mm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2009 </w:t>
      </w:r>
      <w:r>
        <w:rPr>
          <w:rFonts w:ascii="SimSun" w:hAnsi="SimSun" w:eastAsia="SimSun" w:cs="SimSun"/>
          <w:sz w:val="24"/>
          <w:szCs w:val="24"/>
          <w:spacing w:val="-2"/>
        </w:rPr>
        <w:t>年停止排弃；东二号排</w:t>
      </w:r>
      <w:r>
        <w:rPr>
          <w:rFonts w:ascii="SimSun" w:hAnsi="SimSun" w:eastAsia="SimSun" w:cs="SimSun"/>
          <w:sz w:val="24"/>
          <w:szCs w:val="24"/>
          <w:spacing w:val="-3"/>
        </w:rPr>
        <w:t>土场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2013 </w:t>
      </w:r>
      <w:r>
        <w:rPr>
          <w:rFonts w:ascii="SimSun" w:hAnsi="SimSun" w:eastAsia="SimSun" w:cs="SimSun"/>
          <w:sz w:val="24"/>
          <w:szCs w:val="24"/>
          <w:spacing w:val="-3"/>
        </w:rPr>
        <w:t>年停止弃排，</w:t>
      </w:r>
      <w:r>
        <w:rPr>
          <w:rFonts w:ascii="SimSun" w:hAnsi="SimSun" w:eastAsia="SimSun" w:cs="SimSun"/>
          <w:sz w:val="24"/>
          <w:szCs w:val="24"/>
          <w:spacing w:val="-1"/>
        </w:rPr>
        <w:t>排弃量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66.56Mm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，外排土场已完成复垦。</w:t>
      </w:r>
      <w:r>
        <w:rPr>
          <w:rFonts w:ascii="Times New Roman" w:hAnsi="Times New Roman" w:eastAsia="Times New Roman" w:cs="Times New Roman"/>
          <w:sz w:val="24"/>
          <w:szCs w:val="24"/>
          <w:spacing w:val="-1"/>
        </w:rPr>
        <w:t>2015 </w:t>
      </w:r>
      <w:r>
        <w:rPr>
          <w:rFonts w:ascii="SimSun" w:hAnsi="SimSun" w:eastAsia="SimSun" w:cs="SimSun"/>
          <w:sz w:val="24"/>
          <w:szCs w:val="24"/>
          <w:spacing w:val="-1"/>
        </w:rPr>
        <w:t>年白音华四号露天矿全</w:t>
      </w:r>
      <w:r>
        <w:rPr>
          <w:rFonts w:ascii="SimSun" w:hAnsi="SimSun" w:eastAsia="SimSun" w:cs="SimSun"/>
          <w:sz w:val="24"/>
          <w:szCs w:val="24"/>
          <w:spacing w:val="-2"/>
        </w:rPr>
        <w:t>部转为内排。</w:t>
      </w:r>
    </w:p>
    <w:p>
      <w:pPr>
        <w:ind w:left="717"/>
        <w:spacing w:before="1" w:line="218" w:lineRule="auto"/>
        <w:rPr>
          <w:rFonts w:ascii="SimSun" w:hAnsi="SimSun" w:eastAsia="SimSun" w:cs="SimSun"/>
          <w:sz w:val="24"/>
          <w:szCs w:val="24"/>
        </w:rPr>
      </w:pPr>
      <w:r>
        <w:rPr>
          <w:rFonts w:ascii="SimSun" w:hAnsi="SimSun" w:eastAsia="SimSun" w:cs="SimSun"/>
          <w:sz w:val="24"/>
          <w:szCs w:val="24"/>
        </w:rPr>
        <w:t>根据调查结果，采掘场的土岩剥离物部分用于沉陷区回填</w:t>
      </w:r>
      <w:r>
        <w:rPr>
          <w:rFonts w:ascii="SimSun" w:hAnsi="SimSun" w:eastAsia="SimSun" w:cs="SimSun"/>
          <w:sz w:val="24"/>
          <w:szCs w:val="24"/>
          <w:spacing w:val="-1"/>
        </w:rPr>
        <w:t>，部分运送至内排土场。</w:t>
      </w:r>
    </w:p>
    <w:p>
      <w:pPr>
        <w:ind w:left="723"/>
        <w:spacing w:before="155"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）生活垃圾</w:t>
      </w:r>
    </w:p>
    <w:p>
      <w:pPr>
        <w:spacing w:line="220" w:lineRule="auto"/>
        <w:sectPr>
          <w:headerReference w:type="default" r:id="rId166"/>
          <w:footerReference w:type="default" r:id="rId167"/>
          <w:pgSz w:w="11906" w:h="16838"/>
          <w:pgMar w:top="1170" w:right="1187" w:bottom="1078" w:left="1197" w:header="837" w:footer="915" w:gutter="0"/>
        </w:sectPr>
        <w:rPr>
          <w:rFonts w:ascii="SimSun" w:hAnsi="SimSun" w:eastAsia="SimSun" w:cs="SimSun"/>
          <w:sz w:val="24"/>
          <w:szCs w:val="24"/>
        </w:rPr>
      </w:pPr>
    </w:p>
    <w:p>
      <w:pPr>
        <w:pStyle w:val="BodyText"/>
        <w:spacing w:line="311" w:lineRule="auto"/>
        <w:rPr/>
      </w:pPr>
      <w:r/>
    </w:p>
    <w:p>
      <w:pPr>
        <w:ind w:left="125" w:right="115" w:firstLine="489"/>
        <w:spacing w:before="78" w:line="339" w:lineRule="auto"/>
        <w:rPr>
          <w:rFonts w:ascii="SimSun" w:hAnsi="SimSun" w:eastAsia="SimSun" w:cs="SimSun"/>
          <w:sz w:val="24"/>
          <w:szCs w:val="24"/>
        </w:rPr>
      </w:pPr>
      <w:bookmarkStart w:name="bookmark87" w:id="35"/>
      <w:bookmarkEnd w:id="35"/>
      <w:r>
        <w:rPr>
          <w:rFonts w:ascii="SimSun" w:hAnsi="SimSun" w:eastAsia="SimSun" w:cs="SimSun"/>
          <w:sz w:val="24"/>
          <w:szCs w:val="24"/>
          <w:spacing w:val="-3"/>
        </w:rPr>
        <w:t>露天区工业场地生活垃圾产生量为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200.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11t/a</w:t>
      </w:r>
      <w:r>
        <w:rPr>
          <w:rFonts w:ascii="SimSun" w:hAnsi="SimSun" w:eastAsia="SimSun" w:cs="SimSun"/>
          <w:sz w:val="24"/>
          <w:szCs w:val="24"/>
          <w:spacing w:val="-3"/>
        </w:rPr>
        <w:t>。工业场地内设置垃圾桶，配备垃圾车</w:t>
      </w:r>
      <w:r>
        <w:rPr>
          <w:rFonts w:ascii="SimSun" w:hAnsi="SimSun" w:eastAsia="SimSun" w:cs="SimSun"/>
          <w:sz w:val="24"/>
          <w:szCs w:val="24"/>
          <w:spacing w:val="-1"/>
        </w:rPr>
        <w:t>定时清运生活垃圾，交由西乌旗环卫部门统一处理。</w:t>
      </w:r>
    </w:p>
    <w:p>
      <w:pPr>
        <w:ind w:left="615"/>
        <w:spacing w:line="221"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4</w:t>
      </w:r>
      <w:r>
        <w:rPr>
          <w:rFonts w:ascii="SimSun" w:hAnsi="SimSun" w:eastAsia="SimSun" w:cs="SimSun"/>
          <w:sz w:val="24"/>
          <w:szCs w:val="24"/>
          <w:spacing w:val="-4"/>
        </w:rPr>
        <w:t>）污泥</w:t>
      </w:r>
    </w:p>
    <w:p>
      <w:pPr>
        <w:ind w:left="138" w:right="115" w:firstLine="472"/>
        <w:spacing w:before="150" w:line="339" w:lineRule="auto"/>
        <w:rPr>
          <w:rFonts w:ascii="SimSun" w:hAnsi="SimSun" w:eastAsia="SimSun" w:cs="SimSun"/>
          <w:sz w:val="24"/>
          <w:szCs w:val="24"/>
        </w:rPr>
      </w:pPr>
      <w:r>
        <w:rPr>
          <w:rFonts w:ascii="SimSun" w:hAnsi="SimSun" w:eastAsia="SimSun" w:cs="SimSun"/>
          <w:sz w:val="24"/>
          <w:szCs w:val="24"/>
          <w:spacing w:val="12"/>
        </w:rPr>
        <w:t>污泥主要来源于生活污水处理站。产生污泥主要成分为有机物，污泥总产量为</w:t>
      </w:r>
      <w:r>
        <w:rPr>
          <w:rFonts w:ascii="Times New Roman" w:hAnsi="Times New Roman" w:eastAsia="Times New Roman" w:cs="Times New Roman"/>
          <w:sz w:val="24"/>
          <w:szCs w:val="24"/>
          <w:spacing w:val="-1"/>
        </w:rPr>
        <w:t>18.7t/a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。生活污水站污泥经脱水干化后与</w:t>
      </w:r>
      <w:r>
        <w:rPr>
          <w:rFonts w:ascii="SimSun" w:hAnsi="SimSun" w:eastAsia="SimSun" w:cs="SimSun"/>
          <w:sz w:val="24"/>
          <w:szCs w:val="24"/>
          <w:spacing w:val="-2"/>
        </w:rPr>
        <w:t>生活垃圾一并交予西乌旗环卫部门集中处理。</w:t>
      </w:r>
    </w:p>
    <w:p>
      <w:pPr>
        <w:ind w:left="615"/>
        <w:spacing w:line="220"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5</w:t>
      </w:r>
      <w:r>
        <w:rPr>
          <w:rFonts w:ascii="SimSun" w:hAnsi="SimSun" w:eastAsia="SimSun" w:cs="SimSun"/>
          <w:sz w:val="24"/>
          <w:szCs w:val="24"/>
          <w:spacing w:val="-4"/>
        </w:rPr>
        <w:t>）煤泥</w:t>
      </w:r>
    </w:p>
    <w:p>
      <w:pPr>
        <w:ind w:left="120" w:right="112" w:firstLine="489"/>
        <w:spacing w:before="152" w:line="339" w:lineRule="auto"/>
        <w:rPr>
          <w:rFonts w:ascii="SimSun" w:hAnsi="SimSun" w:eastAsia="SimSun" w:cs="SimSun"/>
          <w:sz w:val="24"/>
          <w:szCs w:val="24"/>
        </w:rPr>
      </w:pPr>
      <w:r>
        <w:rPr>
          <w:rFonts w:ascii="SimSun" w:hAnsi="SimSun" w:eastAsia="SimSun" w:cs="SimSun"/>
          <w:sz w:val="24"/>
          <w:szCs w:val="24"/>
        </w:rPr>
        <w:t>煤泥主要来源于矿井（坑）水处理站，其煤泥年产生量约为</w:t>
      </w:r>
      <w:r>
        <w:rPr>
          <w:rFonts w:ascii="SimSun" w:hAnsi="SimSun" w:eastAsia="SimSun" w:cs="SimSun"/>
          <w:sz w:val="24"/>
          <w:szCs w:val="24"/>
          <w:spacing w:val="-40"/>
        </w:rPr>
        <w:t xml:space="preserve"> </w:t>
      </w:r>
      <w:r>
        <w:rPr>
          <w:rFonts w:ascii="Times New Roman" w:hAnsi="Times New Roman" w:eastAsia="Times New Roman" w:cs="Times New Roman"/>
          <w:sz w:val="24"/>
          <w:szCs w:val="24"/>
        </w:rPr>
        <w:t>96.26t/a</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，煤泥压滤后</w:t>
      </w:r>
      <w:r>
        <w:rPr>
          <w:rFonts w:ascii="SimSun" w:hAnsi="SimSun" w:eastAsia="SimSun" w:cs="SimSun"/>
          <w:sz w:val="24"/>
          <w:szCs w:val="24"/>
          <w:spacing w:val="-1"/>
        </w:rPr>
        <w:t>掺入产品煤送到金山电厂</w:t>
      </w:r>
    </w:p>
    <w:p>
      <w:pPr>
        <w:ind w:left="615"/>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）危险废物</w:t>
      </w:r>
    </w:p>
    <w:p>
      <w:pPr>
        <w:ind w:left="644"/>
        <w:spacing w:before="154" w:line="219" w:lineRule="auto"/>
        <w:rPr>
          <w:rFonts w:ascii="SimSun" w:hAnsi="SimSun" w:eastAsia="SimSun" w:cs="SimSun"/>
          <w:sz w:val="24"/>
          <w:szCs w:val="24"/>
        </w:rPr>
      </w:pPr>
      <w:r>
        <w:rPr>
          <w:rFonts w:ascii="SimSun" w:hAnsi="SimSun" w:eastAsia="SimSun" w:cs="SimSun"/>
          <w:sz w:val="24"/>
          <w:szCs w:val="24"/>
          <w:spacing w:val="-2"/>
        </w:rPr>
        <w:t>白音华四号露天矿（露天区）危险废物主要为废矿物油及废电瓶。</w:t>
      </w:r>
    </w:p>
    <w:p>
      <w:pPr>
        <w:ind w:left="608"/>
        <w:spacing w:before="157" w:line="219" w:lineRule="auto"/>
        <w:rPr>
          <w:rFonts w:ascii="SimSun" w:hAnsi="SimSun" w:eastAsia="SimSun" w:cs="SimSun"/>
          <w:sz w:val="24"/>
          <w:szCs w:val="24"/>
        </w:rPr>
      </w:pPr>
      <w:r>
        <w:rPr>
          <w:rFonts w:ascii="SimSun" w:hAnsi="SimSun" w:eastAsia="SimSun" w:cs="SimSun"/>
          <w:sz w:val="24"/>
          <w:szCs w:val="24"/>
          <w:spacing w:val="-1"/>
        </w:rPr>
        <w:t>废矿物油总量为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，均暂存至危废暂存间内，交由具有资质的单位</w:t>
      </w:r>
      <w:r>
        <w:rPr>
          <w:rFonts w:ascii="SimSun" w:hAnsi="SimSun" w:eastAsia="SimSun" w:cs="SimSun"/>
          <w:sz w:val="24"/>
          <w:szCs w:val="24"/>
          <w:spacing w:val="-2"/>
        </w:rPr>
        <w:t>回收处理。</w:t>
      </w:r>
    </w:p>
    <w:p>
      <w:pPr>
        <w:ind w:left="124" w:right="120" w:firstLine="490"/>
        <w:spacing w:before="154" w:line="340" w:lineRule="auto"/>
        <w:rPr>
          <w:rFonts w:ascii="SimSun" w:hAnsi="SimSun" w:eastAsia="SimSun" w:cs="SimSun"/>
          <w:sz w:val="24"/>
          <w:szCs w:val="24"/>
        </w:rPr>
      </w:pPr>
      <w:r>
        <w:rPr>
          <w:rFonts w:ascii="SimSun" w:hAnsi="SimSun" w:eastAsia="SimSun" w:cs="SimSun"/>
          <w:sz w:val="24"/>
          <w:szCs w:val="24"/>
        </w:rPr>
        <w:t>露天区废旧电瓶产生量为</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2.5t/a</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，存放于工业场地内危废暂存间内，达到一定</w:t>
      </w:r>
      <w:r>
        <w:rPr>
          <w:rFonts w:ascii="SimSun" w:hAnsi="SimSun" w:eastAsia="SimSun" w:cs="SimSun"/>
          <w:sz w:val="24"/>
          <w:szCs w:val="24"/>
          <w:spacing w:val="-1"/>
        </w:rPr>
        <w:t>量后</w:t>
      </w:r>
      <w:r>
        <w:rPr>
          <w:rFonts w:ascii="SimSun" w:hAnsi="SimSun" w:eastAsia="SimSun" w:cs="SimSun"/>
          <w:sz w:val="24"/>
          <w:szCs w:val="24"/>
          <w:spacing w:val="-2"/>
        </w:rPr>
        <w:t>交由具有资质的单位回收处理。</w:t>
      </w:r>
    </w:p>
    <w:p>
      <w:pPr>
        <w:ind w:left="136"/>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3.3.5</w:t>
      </w:r>
      <w:r>
        <w:rPr>
          <w:rFonts w:ascii="SimHei" w:hAnsi="SimHei" w:eastAsia="SimHei" w:cs="SimHei"/>
          <w:sz w:val="28"/>
          <w:szCs w:val="28"/>
          <w:b/>
          <w:bCs/>
          <w:spacing w:val="-2"/>
        </w:rPr>
        <w:t>地下水影响回顾性评价</w:t>
      </w:r>
    </w:p>
    <w:p>
      <w:pPr>
        <w:ind w:left="606"/>
        <w:spacing w:before="171"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）露天区矿坑及疏排水水量变化趋势</w:t>
      </w:r>
    </w:p>
    <w:p>
      <w:pPr>
        <w:ind w:left="115" w:right="115" w:firstLine="490"/>
        <w:spacing w:before="156" w:line="339" w:lineRule="auto"/>
        <w:rPr>
          <w:rFonts w:ascii="SimSun" w:hAnsi="SimSun" w:eastAsia="SimSun" w:cs="SimSun"/>
          <w:sz w:val="24"/>
          <w:szCs w:val="24"/>
        </w:rPr>
      </w:pPr>
      <w:r>
        <w:rPr>
          <w:rFonts w:ascii="SimSun" w:hAnsi="SimSun" w:eastAsia="SimSun" w:cs="SimSun"/>
          <w:sz w:val="24"/>
          <w:szCs w:val="24"/>
          <w:spacing w:val="-2"/>
        </w:rPr>
        <w:t>露天矿采掘场周围布置第四系和煤系疏干孔群，不间断的进行地下水疏排，随着矿</w:t>
      </w:r>
      <w:r>
        <w:rPr>
          <w:rFonts w:ascii="SimSun" w:hAnsi="SimSun" w:eastAsia="SimSun" w:cs="SimSun"/>
          <w:sz w:val="24"/>
          <w:szCs w:val="24"/>
          <w:spacing w:val="9"/>
        </w:rPr>
        <w:t>坑开采深度的增加和疏干排水工作的延续。如表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9"/>
        </w:rPr>
        <w:t>3-3-11</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9"/>
        </w:rPr>
        <w:t>所</w:t>
      </w:r>
      <w:r>
        <w:rPr>
          <w:rFonts w:ascii="SimSun" w:hAnsi="SimSun" w:eastAsia="SimSun" w:cs="SimSun"/>
          <w:sz w:val="24"/>
          <w:szCs w:val="24"/>
          <w:spacing w:val="8"/>
        </w:rPr>
        <w:t>示，为白音华四号露天矿</w:t>
      </w:r>
      <w:r>
        <w:rPr>
          <w:rFonts w:ascii="Times New Roman" w:hAnsi="Times New Roman" w:eastAsia="Times New Roman" w:cs="Times New Roman"/>
          <w:sz w:val="24"/>
          <w:szCs w:val="24"/>
          <w:spacing w:val="1"/>
        </w:rPr>
        <w:t>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年实际涌水量，</w:t>
      </w:r>
      <w:r>
        <w:rPr>
          <w:rFonts w:ascii="Times New Roman" w:hAnsi="Times New Roman" w:eastAsia="Times New Roman" w:cs="Times New Roman"/>
          <w:sz w:val="24"/>
          <w:szCs w:val="24"/>
          <w:spacing w:val="1"/>
        </w:rPr>
        <w:t>2008 </w:t>
      </w:r>
      <w:r>
        <w:rPr>
          <w:rFonts w:ascii="SimSun" w:hAnsi="SimSun" w:eastAsia="SimSun" w:cs="SimSun"/>
          <w:sz w:val="24"/>
          <w:szCs w:val="24"/>
          <w:spacing w:val="1"/>
        </w:rPr>
        <w:t>年露天矿建成投产，随着产能的增加，矿坑涌水量逐</w:t>
      </w:r>
      <w:r>
        <w:rPr>
          <w:rFonts w:ascii="SimSun" w:hAnsi="SimSun" w:eastAsia="SimSun" w:cs="SimSun"/>
          <w:sz w:val="24"/>
          <w:szCs w:val="24"/>
          <w:spacing w:val="3"/>
        </w:rPr>
        <w:t>年增多。在产能最多的</w:t>
      </w:r>
      <w:r>
        <w:rPr>
          <w:rFonts w:ascii="Times New Roman" w:hAnsi="Times New Roman" w:eastAsia="Times New Roman" w:cs="Times New Roman"/>
          <w:sz w:val="24"/>
          <w:szCs w:val="24"/>
          <w:spacing w:val="3"/>
        </w:rPr>
        <w:t>2012</w:t>
      </w:r>
      <w:r>
        <w:rPr>
          <w:rFonts w:ascii="SimSun" w:hAnsi="SimSun" w:eastAsia="SimSun" w:cs="SimSun"/>
          <w:sz w:val="24"/>
          <w:szCs w:val="24"/>
          <w:spacing w:val="3"/>
        </w:rPr>
        <w:t>～</w:t>
      </w:r>
      <w:r>
        <w:rPr>
          <w:rFonts w:ascii="Times New Roman" w:hAnsi="Times New Roman" w:eastAsia="Times New Roman" w:cs="Times New Roman"/>
          <w:sz w:val="24"/>
          <w:szCs w:val="24"/>
          <w:spacing w:val="3"/>
        </w:rPr>
        <w:t>2015 </w:t>
      </w:r>
      <w:r>
        <w:rPr>
          <w:rFonts w:ascii="SimSun" w:hAnsi="SimSun" w:eastAsia="SimSun" w:cs="SimSun"/>
          <w:sz w:val="24"/>
          <w:szCs w:val="24"/>
          <w:spacing w:val="3"/>
        </w:rPr>
        <w:t>年，矿坑涌水量达到最大，</w:t>
      </w:r>
      <w:r>
        <w:rPr>
          <w:rFonts w:ascii="SimSun" w:hAnsi="SimSun" w:eastAsia="SimSun" w:cs="SimSun"/>
          <w:sz w:val="24"/>
          <w:szCs w:val="24"/>
          <w:spacing w:val="2"/>
        </w:rPr>
        <w:t>随后逐年涌水量逐年下</w:t>
      </w:r>
      <w:r>
        <w:rPr>
          <w:rFonts w:ascii="SimSun" w:hAnsi="SimSun" w:eastAsia="SimSun" w:cs="SimSun"/>
          <w:sz w:val="24"/>
          <w:szCs w:val="24"/>
          <w:spacing w:val="-1"/>
        </w:rPr>
        <w:t>降，但并未稳定。矿坑水涌水以采坑为中心</w:t>
      </w:r>
      <w:r>
        <w:rPr>
          <w:rFonts w:ascii="SimSun" w:hAnsi="SimSun" w:eastAsia="SimSun" w:cs="SimSun"/>
          <w:sz w:val="24"/>
          <w:szCs w:val="24"/>
          <w:spacing w:val="-2"/>
        </w:rPr>
        <w:t>，形成一地下水降落漏斗，由于露天矿的开</w:t>
      </w:r>
      <w:r>
        <w:rPr>
          <w:rFonts w:ascii="SimSun" w:hAnsi="SimSun" w:eastAsia="SimSun" w:cs="SimSun"/>
          <w:sz w:val="24"/>
          <w:szCs w:val="24"/>
        </w:rPr>
        <w:t>采，未形成稳定影响范围，矿坑疏排水影响</w:t>
      </w:r>
      <w:r>
        <w:rPr>
          <w:rFonts w:ascii="SimSun" w:hAnsi="SimSun" w:eastAsia="SimSun" w:cs="SimSun"/>
          <w:sz w:val="24"/>
          <w:szCs w:val="24"/>
          <w:spacing w:val="-1"/>
        </w:rPr>
        <w:t>范围逐年增加。</w:t>
      </w:r>
    </w:p>
    <w:p>
      <w:pPr>
        <w:ind w:left="3341"/>
        <w:spacing w:before="121" w:line="221" w:lineRule="auto"/>
        <w:rPr>
          <w:rFonts w:ascii="SimHei" w:hAnsi="SimHei" w:eastAsia="SimHei" w:cs="SimHei"/>
          <w:sz w:val="24"/>
          <w:szCs w:val="24"/>
        </w:rPr>
      </w:pPr>
      <w:r>
        <w:rPr>
          <w:rFonts w:ascii="SimHei" w:hAnsi="SimHei" w:eastAsia="SimHei" w:cs="SimHei"/>
          <w:sz w:val="24"/>
          <w:szCs w:val="24"/>
          <w:spacing w:val="-2"/>
        </w:rPr>
        <w:t>露天矿矿坑水水量统计表</w:t>
      </w:r>
    </w:p>
    <w:p>
      <w:pPr>
        <w:ind w:left="117"/>
        <w:spacing w:before="213"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3-3-11</w:t>
      </w:r>
    </w:p>
    <w:p>
      <w:pPr>
        <w:spacing w:line="20"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35"/>
        <w:gridCol w:w="2262"/>
        <w:gridCol w:w="2528"/>
        <w:gridCol w:w="2665"/>
      </w:tblGrid>
      <w:tr>
        <w:trPr>
          <w:trHeight w:val="290" w:hRule="atLeast"/>
        </w:trPr>
        <w:tc>
          <w:tcPr>
            <w:tcW w:w="1835" w:type="dxa"/>
            <w:vAlign w:val="top"/>
          </w:tcPr>
          <w:p>
            <w:pPr>
              <w:ind w:left="711"/>
              <w:spacing w:before="34" w:line="227" w:lineRule="auto"/>
              <w:rPr>
                <w:rFonts w:ascii="SimSun" w:hAnsi="SimSun" w:eastAsia="SimSun" w:cs="SimSun"/>
                <w:sz w:val="20"/>
                <w:szCs w:val="20"/>
              </w:rPr>
            </w:pPr>
            <w:r>
              <w:rPr>
                <w:rFonts w:ascii="SimSun" w:hAnsi="SimSun" w:eastAsia="SimSun" w:cs="SimSun"/>
                <w:sz w:val="20"/>
                <w:szCs w:val="20"/>
                <w:spacing w:val="4"/>
              </w:rPr>
              <w:t>年度</w:t>
            </w:r>
          </w:p>
        </w:tc>
        <w:tc>
          <w:tcPr>
            <w:tcW w:w="2262" w:type="dxa"/>
            <w:vAlign w:val="top"/>
          </w:tcPr>
          <w:p>
            <w:pPr>
              <w:pStyle w:val="TableText"/>
              <w:ind w:left="270"/>
              <w:spacing w:before="33" w:line="221" w:lineRule="auto"/>
              <w:rPr/>
            </w:pPr>
            <w:r>
              <w:rPr>
                <w:rFonts w:ascii="SimSun" w:hAnsi="SimSun" w:eastAsia="SimSun" w:cs="SimSun"/>
                <w:spacing w:val="3"/>
              </w:rPr>
              <w:t>日平均涌水量</w:t>
            </w:r>
            <w:r>
              <w:rPr>
                <w:spacing w:val="3"/>
              </w:rPr>
              <w:t>(m</w:t>
            </w:r>
            <w:r>
              <w:rPr>
                <w:sz w:val="13"/>
                <w:szCs w:val="13"/>
                <w:spacing w:val="3"/>
                <w:position w:val="6"/>
              </w:rPr>
              <w:t>3</w:t>
            </w:r>
            <w:r>
              <w:rPr>
                <w:spacing w:val="3"/>
              </w:rPr>
              <w:t>/d)</w:t>
            </w:r>
          </w:p>
        </w:tc>
        <w:tc>
          <w:tcPr>
            <w:tcW w:w="2528" w:type="dxa"/>
            <w:vAlign w:val="top"/>
          </w:tcPr>
          <w:p>
            <w:pPr>
              <w:pStyle w:val="TableText"/>
              <w:ind w:left="586"/>
              <w:spacing w:before="33" w:line="221" w:lineRule="auto"/>
              <w:rPr/>
            </w:pPr>
            <w:r>
              <w:rPr>
                <w:rFonts w:ascii="SimSun" w:hAnsi="SimSun" w:eastAsia="SimSun" w:cs="SimSun"/>
                <w:spacing w:val="5"/>
              </w:rPr>
              <w:t>年涌水量</w:t>
            </w:r>
            <w:r>
              <w:rPr>
                <w:spacing w:val="5"/>
              </w:rPr>
              <w:t>(m</w:t>
            </w:r>
            <w:r>
              <w:rPr>
                <w:sz w:val="13"/>
                <w:szCs w:val="13"/>
                <w:spacing w:val="5"/>
                <w:position w:val="6"/>
              </w:rPr>
              <w:t>3</w:t>
            </w:r>
            <w:r>
              <w:rPr>
                <w:spacing w:val="5"/>
              </w:rPr>
              <w:t>/a)</w:t>
            </w:r>
          </w:p>
        </w:tc>
        <w:tc>
          <w:tcPr>
            <w:tcW w:w="2665" w:type="dxa"/>
            <w:vAlign w:val="top"/>
          </w:tcPr>
          <w:p>
            <w:pPr>
              <w:pStyle w:val="TableText"/>
              <w:ind w:left="818"/>
              <w:spacing w:before="33" w:line="221" w:lineRule="auto"/>
              <w:rPr/>
            </w:pPr>
            <w:r>
              <w:rPr>
                <w:rFonts w:ascii="SimSun" w:hAnsi="SimSun" w:eastAsia="SimSun" w:cs="SimSun"/>
                <w:spacing w:val="4"/>
              </w:rPr>
              <w:t>产能</w:t>
            </w:r>
            <w:r>
              <w:rPr>
                <w:spacing w:val="4"/>
              </w:rPr>
              <w:t>(</w:t>
            </w:r>
            <w:r>
              <w:rPr>
                <w:rFonts w:ascii="SimSun" w:hAnsi="SimSun" w:eastAsia="SimSun" w:cs="SimSun"/>
                <w:spacing w:val="4"/>
              </w:rPr>
              <w:t>万</w:t>
            </w:r>
            <w:r>
              <w:rPr>
                <w:rFonts w:ascii="SimSun" w:hAnsi="SimSun" w:eastAsia="SimSun" w:cs="SimSun"/>
                <w:spacing w:val="-40"/>
              </w:rPr>
              <w:t xml:space="preserve"> </w:t>
            </w:r>
            <w:r>
              <w:rPr>
                <w:spacing w:val="4"/>
              </w:rPr>
              <w:t>t/a)</w:t>
            </w:r>
          </w:p>
        </w:tc>
      </w:tr>
      <w:tr>
        <w:trPr>
          <w:trHeight w:val="285" w:hRule="atLeast"/>
        </w:trPr>
        <w:tc>
          <w:tcPr>
            <w:tcW w:w="1835" w:type="dxa"/>
            <w:vAlign w:val="top"/>
          </w:tcPr>
          <w:p>
            <w:pPr>
              <w:pStyle w:val="TableText"/>
              <w:ind w:left="707"/>
              <w:spacing w:before="50" w:line="195" w:lineRule="auto"/>
              <w:rPr/>
            </w:pPr>
            <w:r>
              <w:rPr>
                <w:spacing w:val="4"/>
              </w:rPr>
              <w:t>2008</w:t>
            </w:r>
          </w:p>
        </w:tc>
        <w:tc>
          <w:tcPr>
            <w:tcW w:w="2262" w:type="dxa"/>
            <w:vAlign w:val="top"/>
          </w:tcPr>
          <w:p>
            <w:pPr>
              <w:pStyle w:val="TableText"/>
              <w:ind w:left="790"/>
              <w:spacing w:before="50" w:line="195" w:lineRule="auto"/>
              <w:rPr/>
            </w:pPr>
            <w:r>
              <w:rPr>
                <w:spacing w:val="3"/>
              </w:rPr>
              <w:t>7608.74</w:t>
            </w:r>
          </w:p>
        </w:tc>
        <w:tc>
          <w:tcPr>
            <w:tcW w:w="2528" w:type="dxa"/>
            <w:vAlign w:val="top"/>
          </w:tcPr>
          <w:p>
            <w:pPr>
              <w:pStyle w:val="TableText"/>
              <w:ind w:left="894"/>
              <w:spacing w:before="50" w:line="195" w:lineRule="auto"/>
              <w:rPr/>
            </w:pPr>
            <w:r>
              <w:rPr>
                <w:spacing w:val="4"/>
              </w:rPr>
              <w:t>2777190</w:t>
            </w:r>
          </w:p>
        </w:tc>
        <w:tc>
          <w:tcPr>
            <w:tcW w:w="2665" w:type="dxa"/>
            <w:vAlign w:val="top"/>
          </w:tcPr>
          <w:p>
            <w:pPr>
              <w:rPr>
                <w:rFonts w:ascii="Arial"/>
                <w:sz w:val="21"/>
              </w:rPr>
            </w:pPr>
            <w:r/>
          </w:p>
        </w:tc>
      </w:tr>
      <w:tr>
        <w:trPr>
          <w:trHeight w:val="285" w:hRule="atLeast"/>
        </w:trPr>
        <w:tc>
          <w:tcPr>
            <w:tcW w:w="1835" w:type="dxa"/>
            <w:vAlign w:val="top"/>
          </w:tcPr>
          <w:p>
            <w:pPr>
              <w:pStyle w:val="TableText"/>
              <w:ind w:left="707"/>
              <w:spacing w:before="51" w:line="195" w:lineRule="auto"/>
              <w:rPr/>
            </w:pPr>
            <w:r>
              <w:rPr>
                <w:spacing w:val="4"/>
              </w:rPr>
              <w:t>2009</w:t>
            </w:r>
          </w:p>
        </w:tc>
        <w:tc>
          <w:tcPr>
            <w:tcW w:w="2262" w:type="dxa"/>
            <w:vAlign w:val="top"/>
          </w:tcPr>
          <w:p>
            <w:pPr>
              <w:pStyle w:val="TableText"/>
              <w:ind w:left="792"/>
              <w:spacing w:before="51" w:line="195" w:lineRule="auto"/>
              <w:rPr/>
            </w:pPr>
            <w:r>
              <w:rPr>
                <w:spacing w:val="3"/>
              </w:rPr>
              <w:t>6970.36</w:t>
            </w:r>
          </w:p>
        </w:tc>
        <w:tc>
          <w:tcPr>
            <w:tcW w:w="2528" w:type="dxa"/>
            <w:vAlign w:val="top"/>
          </w:tcPr>
          <w:p>
            <w:pPr>
              <w:pStyle w:val="TableText"/>
              <w:ind w:left="894"/>
              <w:spacing w:before="51" w:line="195" w:lineRule="auto"/>
              <w:rPr/>
            </w:pPr>
            <w:r>
              <w:rPr>
                <w:spacing w:val="4"/>
              </w:rPr>
              <w:t>2544180</w:t>
            </w:r>
          </w:p>
        </w:tc>
        <w:tc>
          <w:tcPr>
            <w:tcW w:w="2665" w:type="dxa"/>
            <w:vAlign w:val="top"/>
          </w:tcPr>
          <w:p>
            <w:pPr>
              <w:pStyle w:val="TableText"/>
              <w:ind w:left="1194"/>
              <w:spacing w:before="51" w:line="195" w:lineRule="auto"/>
              <w:rPr/>
            </w:pPr>
            <w:r>
              <w:rPr>
                <w:spacing w:val="-3"/>
              </w:rPr>
              <w:t>121</w:t>
            </w:r>
          </w:p>
        </w:tc>
      </w:tr>
      <w:tr>
        <w:trPr>
          <w:trHeight w:val="285" w:hRule="atLeast"/>
        </w:trPr>
        <w:tc>
          <w:tcPr>
            <w:tcW w:w="1835" w:type="dxa"/>
            <w:vAlign w:val="top"/>
          </w:tcPr>
          <w:p>
            <w:pPr>
              <w:pStyle w:val="TableText"/>
              <w:ind w:left="707"/>
              <w:spacing w:before="51" w:line="195" w:lineRule="auto"/>
              <w:rPr/>
            </w:pPr>
            <w:r>
              <w:rPr>
                <w:spacing w:val="4"/>
              </w:rPr>
              <w:t>2010</w:t>
            </w:r>
          </w:p>
        </w:tc>
        <w:tc>
          <w:tcPr>
            <w:tcW w:w="2262" w:type="dxa"/>
            <w:vAlign w:val="top"/>
          </w:tcPr>
          <w:p>
            <w:pPr>
              <w:pStyle w:val="TableText"/>
              <w:ind w:left="786"/>
              <w:spacing w:before="51" w:line="195" w:lineRule="auto"/>
              <w:rPr/>
            </w:pPr>
            <w:r>
              <w:rPr>
                <w:spacing w:val="4"/>
              </w:rPr>
              <w:t>4682.31</w:t>
            </w:r>
          </w:p>
        </w:tc>
        <w:tc>
          <w:tcPr>
            <w:tcW w:w="2528" w:type="dxa"/>
            <w:vAlign w:val="top"/>
          </w:tcPr>
          <w:p>
            <w:pPr>
              <w:pStyle w:val="TableText"/>
              <w:ind w:left="914"/>
              <w:spacing w:before="51" w:line="195" w:lineRule="auto"/>
              <w:rPr/>
            </w:pPr>
            <w:r>
              <w:rPr>
                <w:spacing w:val="1"/>
              </w:rPr>
              <w:t>1709043</w:t>
            </w:r>
          </w:p>
        </w:tc>
        <w:tc>
          <w:tcPr>
            <w:tcW w:w="2665" w:type="dxa"/>
            <w:vAlign w:val="top"/>
          </w:tcPr>
          <w:p>
            <w:pPr>
              <w:pStyle w:val="TableText"/>
              <w:ind w:left="1173"/>
              <w:spacing w:before="51" w:line="195" w:lineRule="auto"/>
              <w:rPr/>
            </w:pPr>
            <w:r>
              <w:rPr>
                <w:spacing w:val="4"/>
              </w:rPr>
              <w:t>456</w:t>
            </w:r>
          </w:p>
        </w:tc>
      </w:tr>
      <w:tr>
        <w:trPr>
          <w:trHeight w:val="283" w:hRule="atLeast"/>
        </w:trPr>
        <w:tc>
          <w:tcPr>
            <w:tcW w:w="1835" w:type="dxa"/>
            <w:vAlign w:val="top"/>
          </w:tcPr>
          <w:p>
            <w:pPr>
              <w:pStyle w:val="TableText"/>
              <w:ind w:left="709"/>
              <w:spacing w:before="51" w:line="195" w:lineRule="auto"/>
              <w:rPr/>
            </w:pPr>
            <w:r>
              <w:rPr>
                <w:spacing w:val="3"/>
              </w:rPr>
              <w:t>2011</w:t>
            </w:r>
          </w:p>
        </w:tc>
        <w:tc>
          <w:tcPr>
            <w:tcW w:w="2262" w:type="dxa"/>
            <w:vAlign w:val="top"/>
          </w:tcPr>
          <w:p>
            <w:pPr>
              <w:pStyle w:val="TableText"/>
              <w:ind w:left="791"/>
              <w:spacing w:before="51" w:line="195" w:lineRule="auto"/>
              <w:rPr/>
            </w:pPr>
            <w:r>
              <w:rPr>
                <w:spacing w:val="3"/>
              </w:rPr>
              <w:t>9045.95</w:t>
            </w:r>
          </w:p>
        </w:tc>
        <w:tc>
          <w:tcPr>
            <w:tcW w:w="2528" w:type="dxa"/>
            <w:vAlign w:val="top"/>
          </w:tcPr>
          <w:p>
            <w:pPr>
              <w:pStyle w:val="TableText"/>
              <w:ind w:left="898"/>
              <w:spacing w:before="51" w:line="195" w:lineRule="auto"/>
              <w:rPr/>
            </w:pPr>
            <w:r>
              <w:rPr>
                <w:spacing w:val="4"/>
              </w:rPr>
              <w:t>3301771</w:t>
            </w:r>
          </w:p>
        </w:tc>
        <w:tc>
          <w:tcPr>
            <w:tcW w:w="2665" w:type="dxa"/>
            <w:vAlign w:val="top"/>
          </w:tcPr>
          <w:p>
            <w:pPr>
              <w:pStyle w:val="TableText"/>
              <w:ind w:left="1182"/>
              <w:spacing w:before="51" w:line="195" w:lineRule="auto"/>
              <w:rPr/>
            </w:pPr>
            <w:r>
              <w:rPr>
                <w:spacing w:val="1"/>
              </w:rPr>
              <w:t>834</w:t>
            </w:r>
          </w:p>
        </w:tc>
      </w:tr>
      <w:tr>
        <w:trPr>
          <w:trHeight w:val="285" w:hRule="atLeast"/>
        </w:trPr>
        <w:tc>
          <w:tcPr>
            <w:tcW w:w="1835" w:type="dxa"/>
            <w:vAlign w:val="top"/>
          </w:tcPr>
          <w:p>
            <w:pPr>
              <w:pStyle w:val="TableText"/>
              <w:ind w:left="707"/>
              <w:spacing w:before="51" w:line="195" w:lineRule="auto"/>
              <w:rPr/>
            </w:pPr>
            <w:r>
              <w:rPr>
                <w:spacing w:val="4"/>
              </w:rPr>
              <w:t>2012</w:t>
            </w:r>
          </w:p>
        </w:tc>
        <w:tc>
          <w:tcPr>
            <w:tcW w:w="2262" w:type="dxa"/>
            <w:vAlign w:val="top"/>
          </w:tcPr>
          <w:p>
            <w:pPr>
              <w:pStyle w:val="TableText"/>
              <w:ind w:left="795"/>
              <w:spacing w:before="51" w:line="195" w:lineRule="auto"/>
              <w:rPr/>
            </w:pPr>
            <w:r>
              <w:rPr>
                <w:spacing w:val="3"/>
              </w:rPr>
              <w:t>8635.07</w:t>
            </w:r>
          </w:p>
        </w:tc>
        <w:tc>
          <w:tcPr>
            <w:tcW w:w="2528" w:type="dxa"/>
            <w:vAlign w:val="top"/>
          </w:tcPr>
          <w:p>
            <w:pPr>
              <w:pStyle w:val="TableText"/>
              <w:ind w:left="898"/>
              <w:spacing w:before="51" w:line="195" w:lineRule="auto"/>
              <w:rPr/>
            </w:pPr>
            <w:r>
              <w:rPr>
                <w:spacing w:val="4"/>
              </w:rPr>
              <w:t>3151800</w:t>
            </w:r>
          </w:p>
        </w:tc>
        <w:tc>
          <w:tcPr>
            <w:tcW w:w="2665" w:type="dxa"/>
            <w:vAlign w:val="top"/>
          </w:tcPr>
          <w:p>
            <w:pPr>
              <w:pStyle w:val="TableText"/>
              <w:ind w:left="1146"/>
              <w:spacing w:before="51" w:line="195" w:lineRule="auto"/>
              <w:rPr/>
            </w:pPr>
            <w:r>
              <w:rPr>
                <w:spacing w:val="-4"/>
              </w:rPr>
              <w:t>1188</w:t>
            </w:r>
          </w:p>
        </w:tc>
      </w:tr>
      <w:tr>
        <w:trPr>
          <w:trHeight w:val="285" w:hRule="atLeast"/>
        </w:trPr>
        <w:tc>
          <w:tcPr>
            <w:tcW w:w="1835" w:type="dxa"/>
            <w:vAlign w:val="top"/>
          </w:tcPr>
          <w:p>
            <w:pPr>
              <w:pStyle w:val="TableText"/>
              <w:ind w:left="707"/>
              <w:spacing w:before="52" w:line="195" w:lineRule="auto"/>
              <w:rPr/>
            </w:pPr>
            <w:r>
              <w:rPr>
                <w:spacing w:val="4"/>
              </w:rPr>
              <w:t>2013</w:t>
            </w:r>
          </w:p>
        </w:tc>
        <w:tc>
          <w:tcPr>
            <w:tcW w:w="2262" w:type="dxa"/>
            <w:vAlign w:val="top"/>
          </w:tcPr>
          <w:p>
            <w:pPr>
              <w:pStyle w:val="TableText"/>
              <w:ind w:left="754"/>
              <w:spacing w:before="52" w:line="195" w:lineRule="auto"/>
              <w:rPr/>
            </w:pPr>
            <w:r>
              <w:rPr>
                <w:spacing w:val="2"/>
              </w:rPr>
              <w:t>10571.78</w:t>
            </w:r>
          </w:p>
        </w:tc>
        <w:tc>
          <w:tcPr>
            <w:tcW w:w="2528" w:type="dxa"/>
            <w:vAlign w:val="top"/>
          </w:tcPr>
          <w:p>
            <w:pPr>
              <w:pStyle w:val="TableText"/>
              <w:ind w:left="898"/>
              <w:spacing w:before="52" w:line="195" w:lineRule="auto"/>
              <w:rPr/>
            </w:pPr>
            <w:r>
              <w:rPr>
                <w:spacing w:val="4"/>
              </w:rPr>
              <w:t>3858700</w:t>
            </w:r>
          </w:p>
        </w:tc>
        <w:tc>
          <w:tcPr>
            <w:tcW w:w="2665" w:type="dxa"/>
            <w:vAlign w:val="top"/>
          </w:tcPr>
          <w:p>
            <w:pPr>
              <w:pStyle w:val="TableText"/>
              <w:ind w:left="1141"/>
              <w:spacing w:before="52" w:line="195" w:lineRule="auto"/>
              <w:rPr/>
            </w:pPr>
            <w:r>
              <w:rPr>
                <w:spacing w:val="-1"/>
              </w:rPr>
              <w:t>1588</w:t>
            </w:r>
          </w:p>
        </w:tc>
      </w:tr>
      <w:tr>
        <w:trPr>
          <w:trHeight w:val="285" w:hRule="atLeast"/>
        </w:trPr>
        <w:tc>
          <w:tcPr>
            <w:tcW w:w="1835" w:type="dxa"/>
            <w:vAlign w:val="top"/>
          </w:tcPr>
          <w:p>
            <w:pPr>
              <w:pStyle w:val="TableText"/>
              <w:ind w:left="707"/>
              <w:spacing w:before="52" w:line="195" w:lineRule="auto"/>
              <w:rPr/>
            </w:pPr>
            <w:r>
              <w:rPr>
                <w:spacing w:val="4"/>
              </w:rPr>
              <w:t>2014</w:t>
            </w:r>
          </w:p>
        </w:tc>
        <w:tc>
          <w:tcPr>
            <w:tcW w:w="2262" w:type="dxa"/>
            <w:vAlign w:val="top"/>
          </w:tcPr>
          <w:p>
            <w:pPr>
              <w:pStyle w:val="TableText"/>
              <w:ind w:left="754"/>
              <w:spacing w:before="52" w:line="195" w:lineRule="auto"/>
              <w:rPr/>
            </w:pPr>
            <w:r>
              <w:rPr>
                <w:spacing w:val="2"/>
              </w:rPr>
              <w:t>10316.56</w:t>
            </w:r>
          </w:p>
        </w:tc>
        <w:tc>
          <w:tcPr>
            <w:tcW w:w="2528" w:type="dxa"/>
            <w:vAlign w:val="top"/>
          </w:tcPr>
          <w:p>
            <w:pPr>
              <w:pStyle w:val="TableText"/>
              <w:ind w:left="898"/>
              <w:spacing w:before="52" w:line="195" w:lineRule="auto"/>
              <w:rPr/>
            </w:pPr>
            <w:r>
              <w:rPr>
                <w:spacing w:val="4"/>
              </w:rPr>
              <w:t>3765545</w:t>
            </w:r>
          </w:p>
        </w:tc>
        <w:tc>
          <w:tcPr>
            <w:tcW w:w="2665" w:type="dxa"/>
            <w:vAlign w:val="top"/>
          </w:tcPr>
          <w:p>
            <w:pPr>
              <w:pStyle w:val="TableText"/>
              <w:ind w:left="1062"/>
              <w:spacing w:before="52" w:line="195" w:lineRule="auto"/>
              <w:rPr/>
            </w:pPr>
            <w:r>
              <w:rPr/>
              <w:t>1210.8</w:t>
            </w:r>
          </w:p>
        </w:tc>
      </w:tr>
      <w:tr>
        <w:trPr>
          <w:trHeight w:val="285" w:hRule="atLeast"/>
        </w:trPr>
        <w:tc>
          <w:tcPr>
            <w:tcW w:w="1835" w:type="dxa"/>
            <w:vAlign w:val="top"/>
          </w:tcPr>
          <w:p>
            <w:pPr>
              <w:pStyle w:val="TableText"/>
              <w:ind w:left="707"/>
              <w:spacing w:before="53" w:line="195" w:lineRule="auto"/>
              <w:rPr/>
            </w:pPr>
            <w:r>
              <w:rPr>
                <w:spacing w:val="4"/>
              </w:rPr>
              <w:t>2015</w:t>
            </w:r>
          </w:p>
        </w:tc>
        <w:tc>
          <w:tcPr>
            <w:tcW w:w="2262" w:type="dxa"/>
            <w:vAlign w:val="top"/>
          </w:tcPr>
          <w:p>
            <w:pPr>
              <w:pStyle w:val="TableText"/>
              <w:ind w:left="754"/>
              <w:spacing w:before="53" w:line="195" w:lineRule="auto"/>
              <w:rPr/>
            </w:pPr>
            <w:r>
              <w:rPr>
                <w:spacing w:val="-2"/>
              </w:rPr>
              <w:t>10560.</w:t>
            </w:r>
            <w:r>
              <w:rPr>
                <w:spacing w:val="-19"/>
              </w:rPr>
              <w:t xml:space="preserve"> </w:t>
            </w:r>
            <w:r>
              <w:rPr>
                <w:spacing w:val="-2"/>
              </w:rPr>
              <w:t>14</w:t>
            </w:r>
          </w:p>
        </w:tc>
        <w:tc>
          <w:tcPr>
            <w:tcW w:w="2528" w:type="dxa"/>
            <w:vAlign w:val="top"/>
          </w:tcPr>
          <w:p>
            <w:pPr>
              <w:pStyle w:val="TableText"/>
              <w:ind w:left="898"/>
              <w:spacing w:before="53" w:line="195" w:lineRule="auto"/>
              <w:rPr/>
            </w:pPr>
            <w:r>
              <w:rPr>
                <w:spacing w:val="4"/>
              </w:rPr>
              <w:t>3854450</w:t>
            </w:r>
          </w:p>
        </w:tc>
        <w:tc>
          <w:tcPr>
            <w:tcW w:w="2665" w:type="dxa"/>
            <w:vAlign w:val="top"/>
          </w:tcPr>
          <w:p>
            <w:pPr>
              <w:pStyle w:val="TableText"/>
              <w:ind w:left="1180"/>
              <w:spacing w:before="53" w:line="195" w:lineRule="auto"/>
              <w:rPr/>
            </w:pPr>
            <w:r>
              <w:rPr>
                <w:spacing w:val="2"/>
              </w:rPr>
              <w:t>559</w:t>
            </w:r>
          </w:p>
        </w:tc>
      </w:tr>
      <w:tr>
        <w:trPr>
          <w:trHeight w:val="285" w:hRule="atLeast"/>
        </w:trPr>
        <w:tc>
          <w:tcPr>
            <w:tcW w:w="1835" w:type="dxa"/>
            <w:vAlign w:val="top"/>
          </w:tcPr>
          <w:p>
            <w:pPr>
              <w:pStyle w:val="TableText"/>
              <w:ind w:left="707"/>
              <w:spacing w:before="53" w:line="195" w:lineRule="auto"/>
              <w:rPr/>
            </w:pPr>
            <w:r>
              <w:rPr>
                <w:spacing w:val="4"/>
              </w:rPr>
              <w:t>2016</w:t>
            </w:r>
          </w:p>
        </w:tc>
        <w:tc>
          <w:tcPr>
            <w:tcW w:w="2262" w:type="dxa"/>
            <w:vAlign w:val="top"/>
          </w:tcPr>
          <w:p>
            <w:pPr>
              <w:pStyle w:val="TableText"/>
              <w:ind w:left="791"/>
              <w:spacing w:before="53" w:line="195" w:lineRule="auto"/>
              <w:rPr/>
            </w:pPr>
            <w:r>
              <w:rPr>
                <w:spacing w:val="3"/>
              </w:rPr>
              <w:t>9695.73</w:t>
            </w:r>
          </w:p>
        </w:tc>
        <w:tc>
          <w:tcPr>
            <w:tcW w:w="2528" w:type="dxa"/>
            <w:vAlign w:val="top"/>
          </w:tcPr>
          <w:p>
            <w:pPr>
              <w:pStyle w:val="TableText"/>
              <w:ind w:left="898"/>
              <w:spacing w:before="53" w:line="195" w:lineRule="auto"/>
              <w:rPr/>
            </w:pPr>
            <w:r>
              <w:rPr>
                <w:spacing w:val="4"/>
              </w:rPr>
              <w:t>3538940</w:t>
            </w:r>
          </w:p>
        </w:tc>
        <w:tc>
          <w:tcPr>
            <w:tcW w:w="2665" w:type="dxa"/>
            <w:vAlign w:val="top"/>
          </w:tcPr>
          <w:p>
            <w:pPr>
              <w:pStyle w:val="TableText"/>
              <w:ind w:left="1094"/>
              <w:spacing w:before="53" w:line="195" w:lineRule="auto"/>
              <w:rPr/>
            </w:pPr>
            <w:r>
              <w:rPr>
                <w:spacing w:val="4"/>
              </w:rPr>
              <w:t>440.2</w:t>
            </w:r>
          </w:p>
        </w:tc>
      </w:tr>
      <w:tr>
        <w:trPr>
          <w:trHeight w:val="282" w:hRule="atLeast"/>
        </w:trPr>
        <w:tc>
          <w:tcPr>
            <w:tcW w:w="1835" w:type="dxa"/>
            <w:vAlign w:val="top"/>
          </w:tcPr>
          <w:p>
            <w:pPr>
              <w:pStyle w:val="TableText"/>
              <w:ind w:left="707"/>
              <w:spacing w:before="53" w:line="195" w:lineRule="auto"/>
              <w:rPr/>
            </w:pPr>
            <w:r>
              <w:rPr>
                <w:spacing w:val="4"/>
              </w:rPr>
              <w:t>2017</w:t>
            </w:r>
          </w:p>
        </w:tc>
        <w:tc>
          <w:tcPr>
            <w:tcW w:w="2262" w:type="dxa"/>
            <w:vAlign w:val="top"/>
          </w:tcPr>
          <w:p>
            <w:pPr>
              <w:pStyle w:val="TableText"/>
              <w:ind w:left="798"/>
              <w:spacing w:before="53" w:line="195" w:lineRule="auto"/>
              <w:rPr/>
            </w:pPr>
            <w:r>
              <w:rPr>
                <w:spacing w:val="1"/>
              </w:rPr>
              <w:t>7711.11</w:t>
            </w:r>
          </w:p>
        </w:tc>
        <w:tc>
          <w:tcPr>
            <w:tcW w:w="2528" w:type="dxa"/>
            <w:vAlign w:val="top"/>
          </w:tcPr>
          <w:p>
            <w:pPr>
              <w:pStyle w:val="TableText"/>
              <w:ind w:left="894"/>
              <w:spacing w:before="53" w:line="195" w:lineRule="auto"/>
              <w:rPr/>
            </w:pPr>
            <w:r>
              <w:rPr>
                <w:spacing w:val="4"/>
              </w:rPr>
              <w:t>2814555</w:t>
            </w:r>
          </w:p>
        </w:tc>
        <w:tc>
          <w:tcPr>
            <w:tcW w:w="2665" w:type="dxa"/>
            <w:vAlign w:val="top"/>
          </w:tcPr>
          <w:p>
            <w:pPr>
              <w:pStyle w:val="TableText"/>
              <w:ind w:left="1041"/>
              <w:spacing w:before="53" w:line="195" w:lineRule="auto"/>
              <w:rPr/>
            </w:pPr>
            <w:r>
              <w:rPr>
                <w:spacing w:val="4"/>
              </w:rPr>
              <w:t>483.83</w:t>
            </w:r>
          </w:p>
        </w:tc>
      </w:tr>
      <w:tr>
        <w:trPr>
          <w:trHeight w:val="285" w:hRule="atLeast"/>
        </w:trPr>
        <w:tc>
          <w:tcPr>
            <w:tcW w:w="1835" w:type="dxa"/>
            <w:vAlign w:val="top"/>
          </w:tcPr>
          <w:p>
            <w:pPr>
              <w:pStyle w:val="TableText"/>
              <w:ind w:left="707"/>
              <w:spacing w:before="54" w:line="195" w:lineRule="auto"/>
              <w:rPr/>
            </w:pPr>
            <w:r>
              <w:rPr>
                <w:spacing w:val="4"/>
              </w:rPr>
              <w:t>2018</w:t>
            </w:r>
          </w:p>
        </w:tc>
        <w:tc>
          <w:tcPr>
            <w:tcW w:w="2262" w:type="dxa"/>
            <w:vAlign w:val="top"/>
          </w:tcPr>
          <w:p>
            <w:pPr>
              <w:pStyle w:val="TableText"/>
              <w:ind w:left="790"/>
              <w:spacing w:before="54" w:line="195" w:lineRule="auto"/>
              <w:rPr/>
            </w:pPr>
            <w:r>
              <w:rPr>
                <w:spacing w:val="3"/>
              </w:rPr>
              <w:t>7777.50</w:t>
            </w:r>
          </w:p>
        </w:tc>
        <w:tc>
          <w:tcPr>
            <w:tcW w:w="2528" w:type="dxa"/>
            <w:vAlign w:val="top"/>
          </w:tcPr>
          <w:p>
            <w:pPr>
              <w:pStyle w:val="TableText"/>
              <w:ind w:left="894"/>
              <w:spacing w:before="54" w:line="195" w:lineRule="auto"/>
              <w:rPr/>
            </w:pPr>
            <w:r>
              <w:rPr>
                <w:spacing w:val="4"/>
              </w:rPr>
              <w:t>2838786</w:t>
            </w:r>
          </w:p>
        </w:tc>
        <w:tc>
          <w:tcPr>
            <w:tcW w:w="2665" w:type="dxa"/>
            <w:vAlign w:val="top"/>
          </w:tcPr>
          <w:p>
            <w:pPr>
              <w:pStyle w:val="TableText"/>
              <w:ind w:left="1041"/>
              <w:spacing w:before="54" w:line="195" w:lineRule="auto"/>
              <w:rPr/>
            </w:pPr>
            <w:r>
              <w:rPr>
                <w:spacing w:val="4"/>
              </w:rPr>
              <w:t>462.64</w:t>
            </w:r>
          </w:p>
        </w:tc>
      </w:tr>
      <w:tr>
        <w:trPr>
          <w:trHeight w:val="287" w:hRule="atLeast"/>
        </w:trPr>
        <w:tc>
          <w:tcPr>
            <w:tcW w:w="1835" w:type="dxa"/>
            <w:vAlign w:val="top"/>
          </w:tcPr>
          <w:p>
            <w:pPr>
              <w:pStyle w:val="TableText"/>
              <w:ind w:left="707"/>
              <w:spacing w:before="55" w:line="195" w:lineRule="auto"/>
              <w:rPr/>
            </w:pPr>
            <w:r>
              <w:rPr>
                <w:spacing w:val="4"/>
              </w:rPr>
              <w:t>2019</w:t>
            </w:r>
          </w:p>
        </w:tc>
        <w:tc>
          <w:tcPr>
            <w:tcW w:w="2262" w:type="dxa"/>
            <w:vAlign w:val="top"/>
          </w:tcPr>
          <w:p>
            <w:pPr>
              <w:pStyle w:val="TableText"/>
              <w:ind w:left="795"/>
              <w:spacing w:before="55" w:line="195" w:lineRule="auto"/>
              <w:rPr/>
            </w:pPr>
            <w:r>
              <w:rPr>
                <w:spacing w:val="3"/>
              </w:rPr>
              <w:t>8858.92</w:t>
            </w:r>
          </w:p>
        </w:tc>
        <w:tc>
          <w:tcPr>
            <w:tcW w:w="2528" w:type="dxa"/>
            <w:vAlign w:val="top"/>
          </w:tcPr>
          <w:p>
            <w:pPr>
              <w:pStyle w:val="TableText"/>
              <w:ind w:left="898"/>
              <w:spacing w:before="55" w:line="195" w:lineRule="auto"/>
              <w:rPr/>
            </w:pPr>
            <w:r>
              <w:rPr>
                <w:spacing w:val="4"/>
              </w:rPr>
              <w:t>3233505</w:t>
            </w:r>
          </w:p>
        </w:tc>
        <w:tc>
          <w:tcPr>
            <w:tcW w:w="2665" w:type="dxa"/>
            <w:vAlign w:val="top"/>
          </w:tcPr>
          <w:p>
            <w:pPr>
              <w:pStyle w:val="TableText"/>
              <w:ind w:left="1178"/>
              <w:spacing w:before="55" w:line="195" w:lineRule="auto"/>
              <w:rPr/>
            </w:pPr>
            <w:r>
              <w:rPr>
                <w:spacing w:val="3"/>
              </w:rPr>
              <w:t>615</w:t>
            </w:r>
          </w:p>
        </w:tc>
      </w:tr>
    </w:tbl>
    <w:p>
      <w:pPr>
        <w:pStyle w:val="BodyText"/>
        <w:spacing w:line="114" w:lineRule="exact"/>
        <w:rPr>
          <w:sz w:val="9"/>
        </w:rPr>
      </w:pPr>
      <w:r/>
    </w:p>
    <w:p>
      <w:pPr>
        <w:spacing w:line="114" w:lineRule="exact"/>
        <w:sectPr>
          <w:headerReference w:type="default" r:id="rId125"/>
          <w:footerReference w:type="default" r:id="rId170"/>
          <w:pgSz w:w="11906" w:h="16838"/>
          <w:pgMar w:top="1170" w:right="1304" w:bottom="1078" w:left="1305" w:header="837" w:footer="915" w:gutter="0"/>
        </w:sectPr>
        <w:rPr>
          <w:sz w:val="9"/>
          <w:szCs w:val="9"/>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35"/>
        <w:gridCol w:w="2262"/>
        <w:gridCol w:w="2528"/>
        <w:gridCol w:w="2665"/>
      </w:tblGrid>
      <w:tr>
        <w:trPr>
          <w:trHeight w:val="289" w:hRule="atLeast"/>
        </w:trPr>
        <w:tc>
          <w:tcPr>
            <w:tcW w:w="1835" w:type="dxa"/>
            <w:vAlign w:val="top"/>
          </w:tcPr>
          <w:p>
            <w:pPr>
              <w:pStyle w:val="TableText"/>
              <w:ind w:left="707"/>
              <w:spacing w:before="55" w:line="195" w:lineRule="auto"/>
              <w:rPr/>
            </w:pPr>
            <w:r>
              <w:rPr>
                <w:spacing w:val="4"/>
              </w:rPr>
              <w:t>2020</w:t>
            </w:r>
          </w:p>
        </w:tc>
        <w:tc>
          <w:tcPr>
            <w:tcW w:w="2262" w:type="dxa"/>
            <w:vAlign w:val="top"/>
          </w:tcPr>
          <w:p>
            <w:pPr>
              <w:pStyle w:val="TableText"/>
              <w:ind w:left="792"/>
              <w:spacing w:before="55" w:line="195" w:lineRule="auto"/>
              <w:rPr/>
            </w:pPr>
            <w:r>
              <w:rPr>
                <w:spacing w:val="3"/>
              </w:rPr>
              <w:t>6634.77</w:t>
            </w:r>
          </w:p>
        </w:tc>
        <w:tc>
          <w:tcPr>
            <w:tcW w:w="2528" w:type="dxa"/>
            <w:vAlign w:val="top"/>
          </w:tcPr>
          <w:p>
            <w:pPr>
              <w:pStyle w:val="TableText"/>
              <w:ind w:left="894"/>
              <w:spacing w:before="55" w:line="195" w:lineRule="auto"/>
              <w:rPr/>
            </w:pPr>
            <w:r>
              <w:rPr>
                <w:spacing w:val="4"/>
              </w:rPr>
              <w:t>2421690</w:t>
            </w:r>
          </w:p>
        </w:tc>
        <w:tc>
          <w:tcPr>
            <w:tcW w:w="2665" w:type="dxa"/>
            <w:vAlign w:val="top"/>
          </w:tcPr>
          <w:p>
            <w:pPr>
              <w:pStyle w:val="TableText"/>
              <w:ind w:left="1048"/>
              <w:spacing w:before="55" w:line="195" w:lineRule="auto"/>
              <w:rPr/>
            </w:pPr>
            <w:r>
              <w:rPr>
                <w:spacing w:val="3"/>
              </w:rPr>
              <w:t>549.22</w:t>
            </w:r>
          </w:p>
        </w:tc>
      </w:tr>
      <w:tr>
        <w:trPr>
          <w:trHeight w:val="284" w:hRule="atLeast"/>
        </w:trPr>
        <w:tc>
          <w:tcPr>
            <w:tcW w:w="1835" w:type="dxa"/>
            <w:vAlign w:val="top"/>
          </w:tcPr>
          <w:p>
            <w:pPr>
              <w:pStyle w:val="TableText"/>
              <w:ind w:left="707"/>
              <w:spacing w:before="51" w:line="195" w:lineRule="auto"/>
              <w:rPr/>
            </w:pPr>
            <w:r>
              <w:rPr>
                <w:spacing w:val="4"/>
              </w:rPr>
              <w:t>2021</w:t>
            </w:r>
          </w:p>
        </w:tc>
        <w:tc>
          <w:tcPr>
            <w:tcW w:w="2262" w:type="dxa"/>
            <w:vAlign w:val="top"/>
          </w:tcPr>
          <w:p>
            <w:pPr>
              <w:pStyle w:val="TableText"/>
              <w:ind w:left="793"/>
              <w:spacing w:before="51" w:line="195" w:lineRule="auto"/>
              <w:rPr/>
            </w:pPr>
            <w:r>
              <w:rPr>
                <w:spacing w:val="3"/>
              </w:rPr>
              <w:t>5744.61</w:t>
            </w:r>
          </w:p>
        </w:tc>
        <w:tc>
          <w:tcPr>
            <w:tcW w:w="2528" w:type="dxa"/>
            <w:vAlign w:val="top"/>
          </w:tcPr>
          <w:p>
            <w:pPr>
              <w:pStyle w:val="TableText"/>
              <w:ind w:left="894"/>
              <w:spacing w:before="51" w:line="195" w:lineRule="auto"/>
              <w:rPr/>
            </w:pPr>
            <w:r>
              <w:rPr>
                <w:spacing w:val="4"/>
              </w:rPr>
              <w:t>2096783</w:t>
            </w:r>
          </w:p>
        </w:tc>
        <w:tc>
          <w:tcPr>
            <w:tcW w:w="2665" w:type="dxa"/>
            <w:vAlign w:val="top"/>
          </w:tcPr>
          <w:p>
            <w:pPr>
              <w:pStyle w:val="TableText"/>
              <w:ind w:left="1048"/>
              <w:spacing w:before="51" w:line="195" w:lineRule="auto"/>
              <w:rPr/>
            </w:pPr>
            <w:r>
              <w:rPr>
                <w:spacing w:val="3"/>
              </w:rPr>
              <w:t>549.62</w:t>
            </w:r>
          </w:p>
        </w:tc>
      </w:tr>
      <w:tr>
        <w:trPr>
          <w:trHeight w:val="284" w:hRule="atLeast"/>
        </w:trPr>
        <w:tc>
          <w:tcPr>
            <w:tcW w:w="1835" w:type="dxa"/>
            <w:vAlign w:val="top"/>
          </w:tcPr>
          <w:p>
            <w:pPr>
              <w:pStyle w:val="TableText"/>
              <w:ind w:left="707"/>
              <w:spacing w:before="53" w:line="195" w:lineRule="auto"/>
              <w:rPr/>
            </w:pPr>
            <w:r>
              <w:rPr>
                <w:spacing w:val="4"/>
              </w:rPr>
              <w:t>2022</w:t>
            </w:r>
          </w:p>
        </w:tc>
        <w:tc>
          <w:tcPr>
            <w:tcW w:w="2262" w:type="dxa"/>
            <w:vAlign w:val="top"/>
          </w:tcPr>
          <w:p>
            <w:pPr>
              <w:pStyle w:val="TableText"/>
              <w:ind w:left="790"/>
              <w:spacing w:before="53" w:line="195" w:lineRule="auto"/>
              <w:rPr/>
            </w:pPr>
            <w:r>
              <w:rPr>
                <w:spacing w:val="3"/>
              </w:rPr>
              <w:t>7802.05</w:t>
            </w:r>
          </w:p>
        </w:tc>
        <w:tc>
          <w:tcPr>
            <w:tcW w:w="2528" w:type="dxa"/>
            <w:vAlign w:val="top"/>
          </w:tcPr>
          <w:p>
            <w:pPr>
              <w:pStyle w:val="TableText"/>
              <w:ind w:left="894"/>
              <w:spacing w:before="53" w:line="195" w:lineRule="auto"/>
              <w:rPr/>
            </w:pPr>
            <w:r>
              <w:rPr>
                <w:spacing w:val="4"/>
              </w:rPr>
              <w:t>2847750</w:t>
            </w:r>
          </w:p>
        </w:tc>
        <w:tc>
          <w:tcPr>
            <w:tcW w:w="2665" w:type="dxa"/>
            <w:vAlign w:val="top"/>
          </w:tcPr>
          <w:p>
            <w:pPr>
              <w:pStyle w:val="TableText"/>
              <w:ind w:left="1048"/>
              <w:spacing w:before="53" w:line="195" w:lineRule="auto"/>
              <w:rPr/>
            </w:pPr>
            <w:r>
              <w:rPr>
                <w:spacing w:val="3"/>
              </w:rPr>
              <w:t>528.08</w:t>
            </w:r>
          </w:p>
        </w:tc>
      </w:tr>
      <w:tr>
        <w:trPr>
          <w:trHeight w:val="285" w:hRule="atLeast"/>
        </w:trPr>
        <w:tc>
          <w:tcPr>
            <w:tcW w:w="1835" w:type="dxa"/>
            <w:vAlign w:val="top"/>
          </w:tcPr>
          <w:p>
            <w:pPr>
              <w:pStyle w:val="TableText"/>
              <w:ind w:left="707"/>
              <w:spacing w:before="54" w:line="195" w:lineRule="auto"/>
              <w:rPr/>
            </w:pPr>
            <w:r>
              <w:rPr>
                <w:spacing w:val="4"/>
              </w:rPr>
              <w:t>2023</w:t>
            </w:r>
          </w:p>
        </w:tc>
        <w:tc>
          <w:tcPr>
            <w:tcW w:w="2262" w:type="dxa"/>
            <w:vAlign w:val="top"/>
          </w:tcPr>
          <w:p>
            <w:pPr>
              <w:pStyle w:val="TableText"/>
              <w:ind w:left="787"/>
              <w:spacing w:before="54" w:line="195" w:lineRule="auto"/>
              <w:rPr/>
            </w:pPr>
            <w:r>
              <w:rPr>
                <w:spacing w:val="4"/>
              </w:rPr>
              <w:t>2983.64</w:t>
            </w:r>
          </w:p>
        </w:tc>
        <w:tc>
          <w:tcPr>
            <w:tcW w:w="2528" w:type="dxa"/>
            <w:vAlign w:val="top"/>
          </w:tcPr>
          <w:p>
            <w:pPr>
              <w:pStyle w:val="TableText"/>
              <w:ind w:left="914"/>
              <w:spacing w:before="54" w:line="195" w:lineRule="auto"/>
              <w:rPr/>
            </w:pPr>
            <w:r>
              <w:rPr>
                <w:spacing w:val="1"/>
              </w:rPr>
              <w:t>1089027</w:t>
            </w:r>
          </w:p>
        </w:tc>
        <w:tc>
          <w:tcPr>
            <w:tcW w:w="2665" w:type="dxa"/>
            <w:vAlign w:val="top"/>
          </w:tcPr>
          <w:p>
            <w:pPr>
              <w:pStyle w:val="TableText"/>
              <w:ind w:left="1178"/>
              <w:spacing w:before="54" w:line="195" w:lineRule="auto"/>
              <w:rPr/>
            </w:pPr>
            <w:r>
              <w:rPr>
                <w:spacing w:val="3"/>
              </w:rPr>
              <w:t>364</w:t>
            </w:r>
          </w:p>
        </w:tc>
      </w:tr>
      <w:tr>
        <w:trPr>
          <w:trHeight w:val="287" w:hRule="atLeast"/>
        </w:trPr>
        <w:tc>
          <w:tcPr>
            <w:tcW w:w="1835" w:type="dxa"/>
            <w:vAlign w:val="top"/>
          </w:tcPr>
          <w:p>
            <w:pPr>
              <w:pStyle w:val="TableText"/>
              <w:ind w:left="707"/>
              <w:spacing w:before="54" w:line="195" w:lineRule="auto"/>
              <w:rPr/>
            </w:pPr>
            <w:r>
              <w:rPr>
                <w:spacing w:val="4"/>
              </w:rPr>
              <w:t>2024</w:t>
            </w:r>
          </w:p>
        </w:tc>
        <w:tc>
          <w:tcPr>
            <w:tcW w:w="2262" w:type="dxa"/>
            <w:vAlign w:val="top"/>
          </w:tcPr>
          <w:p>
            <w:pPr>
              <w:pStyle w:val="TableText"/>
              <w:ind w:left="793"/>
              <w:spacing w:before="71" w:line="195" w:lineRule="auto"/>
              <w:rPr/>
            </w:pPr>
            <w:r>
              <w:rPr>
                <w:spacing w:val="3"/>
              </w:rPr>
              <w:t>5304.00</w:t>
            </w:r>
          </w:p>
        </w:tc>
        <w:tc>
          <w:tcPr>
            <w:tcW w:w="2528" w:type="dxa"/>
            <w:vAlign w:val="top"/>
          </w:tcPr>
          <w:p>
            <w:pPr>
              <w:pStyle w:val="TableText"/>
              <w:ind w:left="914"/>
              <w:spacing w:before="71" w:line="195" w:lineRule="auto"/>
              <w:rPr/>
            </w:pPr>
            <w:r>
              <w:rPr>
                <w:spacing w:val="1"/>
              </w:rPr>
              <w:t>1935960</w:t>
            </w:r>
          </w:p>
        </w:tc>
        <w:tc>
          <w:tcPr>
            <w:tcW w:w="2665" w:type="dxa"/>
            <w:vAlign w:val="top"/>
          </w:tcPr>
          <w:p>
            <w:pPr>
              <w:pStyle w:val="TableText"/>
              <w:ind w:left="1046"/>
              <w:spacing w:before="54" w:line="195" w:lineRule="auto"/>
              <w:rPr/>
            </w:pPr>
            <w:r>
              <w:rPr>
                <w:spacing w:val="3"/>
              </w:rPr>
              <w:t>320.36</w:t>
            </w:r>
          </w:p>
        </w:tc>
      </w:tr>
    </w:tbl>
    <w:p>
      <w:pPr>
        <w:pStyle w:val="BodyText"/>
        <w:spacing w:line="253" w:lineRule="auto"/>
        <w:rPr/>
      </w:pPr>
      <w:r/>
    </w:p>
    <w:p>
      <w:pPr>
        <w:pStyle w:val="BodyText"/>
        <w:spacing w:line="253" w:lineRule="auto"/>
        <w:rPr/>
      </w:pPr>
      <w:r/>
    </w:p>
    <w:p>
      <w:pPr>
        <w:ind w:left="118" w:right="48" w:firstLine="480"/>
        <w:spacing w:before="78" w:line="338" w:lineRule="auto"/>
        <w:jc w:val="both"/>
        <w:rPr>
          <w:rFonts w:ascii="SimSun" w:hAnsi="SimSun" w:eastAsia="SimSun" w:cs="SimSun"/>
          <w:sz w:val="24"/>
          <w:szCs w:val="24"/>
        </w:rPr>
      </w:pPr>
      <w:r>
        <w:rPr>
          <w:rFonts w:ascii="SimSun" w:hAnsi="SimSun" w:eastAsia="SimSun" w:cs="SimSun"/>
          <w:sz w:val="24"/>
          <w:szCs w:val="24"/>
          <w:spacing w:val="-1"/>
        </w:rPr>
        <w:t>矿区内第四系砂砾含水层厚度为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9.6</w:t>
      </w:r>
      <w:r>
        <w:rPr>
          <w:rFonts w:ascii="SimSun" w:hAnsi="SimSun" w:eastAsia="SimSun" w:cs="SimSun"/>
          <w:sz w:val="24"/>
          <w:szCs w:val="24"/>
          <w:spacing w:val="-1"/>
        </w:rPr>
        <w:t>～</w:t>
      </w:r>
      <w:r>
        <w:rPr>
          <w:rFonts w:ascii="Times New Roman" w:hAnsi="Times New Roman" w:eastAsia="Times New Roman" w:cs="Times New Roman"/>
          <w:sz w:val="24"/>
          <w:szCs w:val="24"/>
          <w:spacing w:val="-1"/>
        </w:rPr>
        <w:t>45.65m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，渗透系数为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16.66~</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18.34m/d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，加权</w:t>
      </w:r>
      <w:r>
        <w:rPr>
          <w:rFonts w:ascii="SimSun" w:hAnsi="SimSun" w:eastAsia="SimSun" w:cs="SimSun"/>
          <w:sz w:val="24"/>
          <w:szCs w:val="24"/>
          <w:spacing w:val="-5"/>
        </w:rPr>
        <w:t>平均渗透系数为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16m/d</w:t>
      </w:r>
      <w:r>
        <w:rPr>
          <w:rFonts w:ascii="SimSun" w:hAnsi="SimSun" w:eastAsia="SimSun" w:cs="SimSun"/>
          <w:sz w:val="24"/>
          <w:szCs w:val="24"/>
          <w:spacing w:val="-5"/>
        </w:rPr>
        <w:t>；煤层含水层厚度一般为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22.25</w:t>
      </w:r>
      <w:r>
        <w:rPr>
          <w:rFonts w:ascii="SimSun" w:hAnsi="SimSun" w:eastAsia="SimSun" w:cs="SimSun"/>
          <w:sz w:val="24"/>
          <w:szCs w:val="24"/>
          <w:spacing w:val="-5"/>
        </w:rPr>
        <w:t>～</w:t>
      </w:r>
      <w:r>
        <w:rPr>
          <w:rFonts w:ascii="Times New Roman" w:hAnsi="Times New Roman" w:eastAsia="Times New Roman" w:cs="Times New Roman"/>
          <w:sz w:val="24"/>
          <w:szCs w:val="24"/>
          <w:spacing w:val="-5"/>
        </w:rPr>
        <w:t>60.40m</w:t>
      </w:r>
      <w:r>
        <w:rPr>
          <w:rFonts w:ascii="SimSun" w:hAnsi="SimSun" w:eastAsia="SimSun" w:cs="SimSun"/>
          <w:sz w:val="24"/>
          <w:szCs w:val="24"/>
          <w:spacing w:val="-5"/>
        </w:rPr>
        <w:t>，</w:t>
      </w:r>
      <w:r>
        <w:rPr>
          <w:rFonts w:ascii="SimSun" w:hAnsi="SimSun" w:eastAsia="SimSun" w:cs="SimSun"/>
          <w:sz w:val="24"/>
          <w:szCs w:val="24"/>
          <w:spacing w:val="-6"/>
        </w:rPr>
        <w:t>平均厚度为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27.60m</w:t>
      </w:r>
      <w:r>
        <w:rPr>
          <w:rFonts w:ascii="SimSun" w:hAnsi="SimSun" w:eastAsia="SimSun" w:cs="SimSun"/>
          <w:sz w:val="24"/>
          <w:szCs w:val="24"/>
          <w:spacing w:val="-6"/>
        </w:rPr>
        <w:t>，</w:t>
      </w:r>
      <w:r>
        <w:rPr>
          <w:rFonts w:ascii="SimSun" w:hAnsi="SimSun" w:eastAsia="SimSun" w:cs="SimSun"/>
          <w:sz w:val="24"/>
          <w:szCs w:val="24"/>
          <w:spacing w:val="-1"/>
        </w:rPr>
        <w:t>根据区域内抽水试验可知，渗透系数为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0.06</w:t>
      </w:r>
      <w:r>
        <w:rPr>
          <w:rFonts w:ascii="SimSun" w:hAnsi="SimSun" w:eastAsia="SimSun" w:cs="SimSun"/>
          <w:sz w:val="24"/>
          <w:szCs w:val="24"/>
          <w:spacing w:val="-1"/>
        </w:rPr>
        <w:t>～</w:t>
      </w:r>
      <w:r>
        <w:rPr>
          <w:rFonts w:ascii="Times New Roman" w:hAnsi="Times New Roman" w:eastAsia="Times New Roman" w:cs="Times New Roman"/>
          <w:sz w:val="24"/>
          <w:szCs w:val="24"/>
          <w:spacing w:val="-1"/>
        </w:rPr>
        <w:t>3.47 m/d</w:t>
      </w:r>
      <w:r>
        <w:rPr>
          <w:rFonts w:ascii="SimSun" w:hAnsi="SimSun" w:eastAsia="SimSun" w:cs="SimSun"/>
          <w:sz w:val="24"/>
          <w:szCs w:val="24"/>
          <w:spacing w:val="-1"/>
        </w:rPr>
        <w:t>。</w:t>
      </w:r>
    </w:p>
    <w:p>
      <w:pPr>
        <w:ind w:left="124" w:right="115" w:firstLine="475"/>
        <w:spacing w:line="321" w:lineRule="auto"/>
        <w:rPr>
          <w:rFonts w:ascii="SimSun" w:hAnsi="SimSun" w:eastAsia="SimSun" w:cs="SimSun"/>
          <w:sz w:val="24"/>
          <w:szCs w:val="24"/>
        </w:rPr>
      </w:pPr>
      <w:r>
        <w:rPr>
          <w:rFonts w:ascii="SimSun" w:hAnsi="SimSun" w:eastAsia="SimSun" w:cs="SimSun"/>
          <w:sz w:val="24"/>
          <w:szCs w:val="24"/>
          <w:spacing w:val="-2"/>
        </w:rPr>
        <w:t>根据分析，疏干水量来源主要包含第四系砂砾含水层及煤层含水层两部分。根据公</w:t>
      </w:r>
      <w:r>
        <w:rPr>
          <w:rFonts w:ascii="SimSun" w:hAnsi="SimSun" w:eastAsia="SimSun" w:cs="SimSun"/>
          <w:sz w:val="24"/>
          <w:szCs w:val="24"/>
          <w:spacing w:val="-8"/>
        </w:rPr>
        <w:t>式：</w:t>
      </w:r>
    </w:p>
    <w:p>
      <w:pPr>
        <w:ind w:left="3680"/>
        <w:spacing w:line="32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4"/>
        </w:rPr>
        <w:t>Q=u×W=K×I×M×L</w:t>
      </w:r>
    </w:p>
    <w:p>
      <w:pPr>
        <w:ind w:left="124"/>
        <w:spacing w:before="162" w:line="219"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u—</w:t>
      </w:r>
      <w:r>
        <w:rPr>
          <w:rFonts w:ascii="SimSun" w:hAnsi="SimSun" w:eastAsia="SimSun" w:cs="SimSun"/>
          <w:sz w:val="24"/>
          <w:szCs w:val="24"/>
          <w:spacing w:val="-2"/>
        </w:rPr>
        <w:t>过水通道中的流速；</w:t>
      </w:r>
    </w:p>
    <w:p>
      <w:pPr>
        <w:ind w:left="833"/>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W—</w:t>
      </w:r>
      <w:r>
        <w:rPr>
          <w:rFonts w:ascii="SimSun" w:hAnsi="SimSun" w:eastAsia="SimSun" w:cs="SimSun"/>
          <w:sz w:val="24"/>
          <w:szCs w:val="24"/>
          <w:spacing w:val="-1"/>
        </w:rPr>
        <w:t>过水通道断面面积；</w:t>
      </w:r>
    </w:p>
    <w:p>
      <w:pPr>
        <w:ind w:left="834"/>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1"/>
        </w:rPr>
        <w:t>K—</w:t>
      </w:r>
      <w:r>
        <w:rPr>
          <w:rFonts w:ascii="SimSun" w:hAnsi="SimSun" w:eastAsia="SimSun" w:cs="SimSun"/>
          <w:sz w:val="24"/>
          <w:szCs w:val="24"/>
          <w:spacing w:val="-1"/>
        </w:rPr>
        <w:t>含水层渗透系数；</w:t>
      </w:r>
    </w:p>
    <w:p>
      <w:pPr>
        <w:ind w:left="836"/>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I—</w:t>
      </w:r>
      <w:r>
        <w:rPr>
          <w:rFonts w:ascii="SimSun" w:hAnsi="SimSun" w:eastAsia="SimSun" w:cs="SimSun"/>
          <w:sz w:val="24"/>
          <w:szCs w:val="24"/>
          <w:spacing w:val="-1"/>
        </w:rPr>
        <w:t>含水层水力坡度；</w:t>
      </w:r>
    </w:p>
    <w:p>
      <w:pPr>
        <w:ind w:left="834"/>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M—</w:t>
      </w:r>
      <w:r>
        <w:rPr>
          <w:rFonts w:ascii="SimSun" w:hAnsi="SimSun" w:eastAsia="SimSun" w:cs="SimSun"/>
          <w:sz w:val="24"/>
          <w:szCs w:val="24"/>
          <w:spacing w:val="-1"/>
        </w:rPr>
        <w:t>含水层厚度；</w:t>
      </w:r>
    </w:p>
    <w:p>
      <w:pPr>
        <w:ind w:left="835"/>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1"/>
        </w:rPr>
        <w:t>L—</w:t>
      </w:r>
      <w:r>
        <w:rPr>
          <w:rFonts w:ascii="SimSun" w:hAnsi="SimSun" w:eastAsia="SimSun" w:cs="SimSun"/>
          <w:sz w:val="24"/>
          <w:szCs w:val="24"/>
          <w:spacing w:val="-1"/>
        </w:rPr>
        <w:t>过水通道长度；</w:t>
      </w:r>
    </w:p>
    <w:p>
      <w:pPr>
        <w:ind w:left="119" w:right="115" w:firstLine="480"/>
        <w:spacing w:before="154" w:line="340" w:lineRule="auto"/>
        <w:jc w:val="both"/>
        <w:rPr>
          <w:rFonts w:ascii="SimSun" w:hAnsi="SimSun" w:eastAsia="SimSun" w:cs="SimSun"/>
          <w:sz w:val="24"/>
          <w:szCs w:val="24"/>
        </w:rPr>
      </w:pPr>
      <w:r>
        <w:rPr>
          <w:rFonts w:ascii="SimSun" w:hAnsi="SimSun" w:eastAsia="SimSun" w:cs="SimSun"/>
          <w:sz w:val="24"/>
          <w:szCs w:val="24"/>
          <w:spacing w:val="-2"/>
        </w:rPr>
        <w:t>通过上述公式分析得出，在水力坡度与过水通道长度相一致的情况下，疏干水第四</w:t>
      </w:r>
      <w:r>
        <w:rPr>
          <w:rFonts w:ascii="SimSun" w:hAnsi="SimSun" w:eastAsia="SimSun" w:cs="SimSun"/>
          <w:sz w:val="24"/>
          <w:szCs w:val="24"/>
          <w:spacing w:val="-2"/>
        </w:rPr>
        <w:t>系砂砾含水层及煤层含水层来源比例与含水层渗透系数及含水层厚度呈正比例相关，经</w:t>
      </w:r>
      <w:r>
        <w:rPr>
          <w:rFonts w:ascii="SimSun" w:hAnsi="SimSun" w:eastAsia="SimSun" w:cs="SimSun"/>
          <w:sz w:val="24"/>
          <w:szCs w:val="24"/>
          <w:spacing w:val="-2"/>
        </w:rPr>
        <w:t>计算，第四系砂砾含水层及煤层含水层来源比例为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5.9</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。疏</w:t>
      </w:r>
      <w:r>
        <w:rPr>
          <w:rFonts w:ascii="SimSun" w:hAnsi="SimSun" w:eastAsia="SimSun" w:cs="SimSun"/>
          <w:sz w:val="24"/>
          <w:szCs w:val="24"/>
          <w:spacing w:val="-3"/>
        </w:rPr>
        <w:t>干水来源见表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3-3-12</w:t>
      </w:r>
      <w:r>
        <w:rPr>
          <w:rFonts w:ascii="SimSun" w:hAnsi="SimSun" w:eastAsia="SimSun" w:cs="SimSun"/>
          <w:sz w:val="24"/>
          <w:szCs w:val="24"/>
          <w:spacing w:val="-3"/>
        </w:rPr>
        <w:t>。</w:t>
      </w:r>
    </w:p>
    <w:p>
      <w:pPr>
        <w:ind w:left="3571"/>
        <w:spacing w:before="121" w:line="220" w:lineRule="auto"/>
        <w:rPr>
          <w:rFonts w:ascii="SimHei" w:hAnsi="SimHei" w:eastAsia="SimHei" w:cs="SimHei"/>
          <w:sz w:val="24"/>
          <w:szCs w:val="24"/>
        </w:rPr>
      </w:pPr>
      <w:r>
        <w:rPr>
          <w:rFonts w:ascii="SimHei" w:hAnsi="SimHei" w:eastAsia="SimHei" w:cs="SimHei"/>
          <w:sz w:val="24"/>
          <w:szCs w:val="24"/>
          <w:spacing w:val="-1"/>
        </w:rPr>
        <w:t>疏干水量来源一览表</w:t>
      </w:r>
    </w:p>
    <w:p>
      <w:pPr>
        <w:ind w:left="117"/>
        <w:spacing w:before="214"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3-3-12</w:t>
      </w:r>
    </w:p>
    <w:p>
      <w:pPr>
        <w:spacing w:line="20" w:lineRule="exact"/>
        <w:rPr/>
      </w:pPr>
      <w:r/>
    </w:p>
    <w:tbl>
      <w:tblPr>
        <w:tblStyle w:val="TableNormal"/>
        <w:tblW w:w="906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8"/>
        <w:gridCol w:w="1365"/>
        <w:gridCol w:w="1365"/>
        <w:gridCol w:w="1365"/>
        <w:gridCol w:w="1365"/>
        <w:gridCol w:w="1367"/>
        <w:gridCol w:w="1369"/>
      </w:tblGrid>
      <w:tr>
        <w:trPr>
          <w:trHeight w:val="796" w:hRule="atLeast"/>
        </w:trPr>
        <w:tc>
          <w:tcPr>
            <w:tcW w:w="868" w:type="dxa"/>
            <w:vAlign w:val="top"/>
          </w:tcPr>
          <w:p>
            <w:pPr>
              <w:ind w:left="227"/>
              <w:spacing w:before="290" w:line="228" w:lineRule="auto"/>
              <w:rPr>
                <w:rFonts w:ascii="SimSun" w:hAnsi="SimSun" w:eastAsia="SimSun" w:cs="SimSun"/>
                <w:sz w:val="20"/>
                <w:szCs w:val="20"/>
              </w:rPr>
            </w:pPr>
            <w:r>
              <w:rPr>
                <w:rFonts w:ascii="SimSun" w:hAnsi="SimSun" w:eastAsia="SimSun" w:cs="SimSun"/>
                <w:sz w:val="20"/>
                <w:szCs w:val="20"/>
                <w:spacing w:val="4"/>
              </w:rPr>
              <w:t>年度</w:t>
            </w:r>
          </w:p>
        </w:tc>
        <w:tc>
          <w:tcPr>
            <w:tcW w:w="1365" w:type="dxa"/>
            <w:vAlign w:val="top"/>
          </w:tcPr>
          <w:p>
            <w:pPr>
              <w:pStyle w:val="TableText"/>
              <w:ind w:left="310" w:right="159" w:hanging="115"/>
              <w:spacing w:before="154" w:line="249" w:lineRule="auto"/>
              <w:rPr/>
            </w:pPr>
            <w:r>
              <w:rPr>
                <w:rFonts w:ascii="SimSun" w:hAnsi="SimSun" w:eastAsia="SimSun" w:cs="SimSun"/>
              </w:rPr>
              <w:t>日平均涌水</w:t>
            </w:r>
            <w:r>
              <w:rPr>
                <w:rFonts w:ascii="SimSun" w:hAnsi="SimSun" w:eastAsia="SimSun" w:cs="SimSun"/>
                <w:spacing w:val="4"/>
              </w:rPr>
              <w:t>量</w:t>
            </w:r>
            <w:r>
              <w:rPr>
                <w:spacing w:val="4"/>
              </w:rPr>
              <w:t>(m</w:t>
            </w:r>
            <w:r>
              <w:rPr>
                <w:sz w:val="13"/>
                <w:szCs w:val="13"/>
                <w:spacing w:val="4"/>
                <w:position w:val="6"/>
              </w:rPr>
              <w:t>3</w:t>
            </w:r>
            <w:r>
              <w:rPr>
                <w:spacing w:val="4"/>
              </w:rPr>
              <w:t>/d)</w:t>
            </w:r>
          </w:p>
        </w:tc>
        <w:tc>
          <w:tcPr>
            <w:tcW w:w="1365" w:type="dxa"/>
            <w:vAlign w:val="top"/>
          </w:tcPr>
          <w:p>
            <w:pPr>
              <w:ind w:left="160"/>
              <w:spacing w:before="33" w:line="228" w:lineRule="auto"/>
              <w:rPr>
                <w:rFonts w:ascii="SimSun" w:hAnsi="SimSun" w:eastAsia="SimSun" w:cs="SimSun"/>
                <w:sz w:val="20"/>
                <w:szCs w:val="20"/>
              </w:rPr>
            </w:pPr>
            <w:r>
              <w:rPr>
                <w:rFonts w:ascii="SimSun" w:hAnsi="SimSun" w:eastAsia="SimSun" w:cs="SimSun"/>
                <w:sz w:val="20"/>
                <w:szCs w:val="20"/>
                <w:spacing w:val="8"/>
              </w:rPr>
              <w:t>第四系含水</w:t>
            </w:r>
          </w:p>
          <w:p>
            <w:pPr>
              <w:ind w:left="160"/>
              <w:spacing w:before="26" w:line="227" w:lineRule="auto"/>
              <w:rPr>
                <w:rFonts w:ascii="SimSun" w:hAnsi="SimSun" w:eastAsia="SimSun" w:cs="SimSun"/>
                <w:sz w:val="20"/>
                <w:szCs w:val="20"/>
              </w:rPr>
            </w:pPr>
            <w:r>
              <w:rPr>
                <w:rFonts w:ascii="SimSun" w:hAnsi="SimSun" w:eastAsia="SimSun" w:cs="SimSun"/>
                <w:sz w:val="20"/>
                <w:szCs w:val="20"/>
                <w:spacing w:val="8"/>
              </w:rPr>
              <w:t>层疏干水量</w:t>
            </w:r>
          </w:p>
          <w:p>
            <w:pPr>
              <w:pStyle w:val="TableText"/>
              <w:ind w:left="417"/>
              <w:spacing w:before="26" w:line="215" w:lineRule="auto"/>
              <w:rPr/>
            </w:pPr>
            <w:r>
              <w:rPr>
                <w:spacing w:val="2"/>
              </w:rPr>
              <w:t>(m</w:t>
            </w:r>
            <w:r>
              <w:rPr>
                <w:sz w:val="13"/>
                <w:szCs w:val="13"/>
                <w:spacing w:val="2"/>
                <w:position w:val="6"/>
              </w:rPr>
              <w:t>3</w:t>
            </w:r>
            <w:r>
              <w:rPr>
                <w:spacing w:val="2"/>
              </w:rPr>
              <w:t>/d)</w:t>
            </w:r>
          </w:p>
        </w:tc>
        <w:tc>
          <w:tcPr>
            <w:tcW w:w="1365" w:type="dxa"/>
            <w:vAlign w:val="top"/>
          </w:tcPr>
          <w:p>
            <w:pPr>
              <w:ind w:left="161"/>
              <w:spacing w:before="33" w:line="228" w:lineRule="auto"/>
              <w:rPr>
                <w:rFonts w:ascii="SimSun" w:hAnsi="SimSun" w:eastAsia="SimSun" w:cs="SimSun"/>
                <w:sz w:val="20"/>
                <w:szCs w:val="20"/>
              </w:rPr>
            </w:pPr>
            <w:r>
              <w:rPr>
                <w:rFonts w:ascii="SimSun" w:hAnsi="SimSun" w:eastAsia="SimSun" w:cs="SimSun"/>
                <w:sz w:val="20"/>
                <w:szCs w:val="20"/>
                <w:spacing w:val="8"/>
              </w:rPr>
              <w:t>煤系含水层</w:t>
            </w:r>
          </w:p>
          <w:p>
            <w:pPr>
              <w:ind w:left="269"/>
              <w:spacing w:before="26" w:line="227" w:lineRule="auto"/>
              <w:rPr>
                <w:rFonts w:ascii="SimSun" w:hAnsi="SimSun" w:eastAsia="SimSun" w:cs="SimSun"/>
                <w:sz w:val="20"/>
                <w:szCs w:val="20"/>
              </w:rPr>
            </w:pPr>
            <w:r>
              <w:rPr>
                <w:rFonts w:ascii="SimSun" w:hAnsi="SimSun" w:eastAsia="SimSun" w:cs="SimSun"/>
                <w:sz w:val="20"/>
                <w:szCs w:val="20"/>
                <w:spacing w:val="7"/>
              </w:rPr>
              <w:t>疏干水量</w:t>
            </w:r>
          </w:p>
          <w:p>
            <w:pPr>
              <w:pStyle w:val="TableText"/>
              <w:ind w:left="418"/>
              <w:spacing w:before="26" w:line="215" w:lineRule="auto"/>
              <w:rPr/>
            </w:pPr>
            <w:r>
              <w:rPr>
                <w:spacing w:val="2"/>
              </w:rPr>
              <w:t>(m</w:t>
            </w:r>
            <w:r>
              <w:rPr>
                <w:sz w:val="13"/>
                <w:szCs w:val="13"/>
                <w:spacing w:val="2"/>
                <w:position w:val="6"/>
              </w:rPr>
              <w:t>3</w:t>
            </w:r>
            <w:r>
              <w:rPr>
                <w:spacing w:val="2"/>
              </w:rPr>
              <w:t>/d)</w:t>
            </w:r>
          </w:p>
        </w:tc>
        <w:tc>
          <w:tcPr>
            <w:tcW w:w="1365" w:type="dxa"/>
            <w:vAlign w:val="top"/>
          </w:tcPr>
          <w:p>
            <w:pPr>
              <w:pStyle w:val="TableText"/>
              <w:ind w:left="406" w:right="262" w:hanging="138"/>
              <w:spacing w:before="170" w:line="259" w:lineRule="auto"/>
              <w:rPr/>
            </w:pPr>
            <w:r>
              <w:rPr>
                <w:rFonts w:ascii="SimSun" w:hAnsi="SimSun" w:eastAsia="SimSun" w:cs="SimSun"/>
                <w:spacing w:val="7"/>
              </w:rPr>
              <w:t>年涌水量</w:t>
            </w:r>
            <w:r>
              <w:rPr>
                <w:spacing w:val="3"/>
              </w:rPr>
              <w:t>(m3/a)</w:t>
            </w:r>
          </w:p>
        </w:tc>
        <w:tc>
          <w:tcPr>
            <w:tcW w:w="1367" w:type="dxa"/>
            <w:vAlign w:val="top"/>
          </w:tcPr>
          <w:p>
            <w:pPr>
              <w:ind w:left="162"/>
              <w:spacing w:before="33" w:line="228" w:lineRule="auto"/>
              <w:rPr>
                <w:rFonts w:ascii="SimSun" w:hAnsi="SimSun" w:eastAsia="SimSun" w:cs="SimSun"/>
                <w:sz w:val="20"/>
                <w:szCs w:val="20"/>
              </w:rPr>
            </w:pPr>
            <w:r>
              <w:rPr>
                <w:rFonts w:ascii="SimSun" w:hAnsi="SimSun" w:eastAsia="SimSun" w:cs="SimSun"/>
                <w:sz w:val="20"/>
                <w:szCs w:val="20"/>
                <w:spacing w:val="8"/>
              </w:rPr>
              <w:t>第四系含水</w:t>
            </w:r>
          </w:p>
          <w:p>
            <w:pPr>
              <w:ind w:left="162"/>
              <w:spacing w:before="26" w:line="227" w:lineRule="auto"/>
              <w:rPr>
                <w:rFonts w:ascii="SimSun" w:hAnsi="SimSun" w:eastAsia="SimSun" w:cs="SimSun"/>
                <w:sz w:val="20"/>
                <w:szCs w:val="20"/>
              </w:rPr>
            </w:pPr>
            <w:r>
              <w:rPr>
                <w:rFonts w:ascii="SimSun" w:hAnsi="SimSun" w:eastAsia="SimSun" w:cs="SimSun"/>
                <w:sz w:val="20"/>
                <w:szCs w:val="20"/>
                <w:spacing w:val="8"/>
              </w:rPr>
              <w:t>层疏干水量</w:t>
            </w:r>
          </w:p>
          <w:p>
            <w:pPr>
              <w:pStyle w:val="TableText"/>
              <w:ind w:left="426"/>
              <w:spacing w:before="26" w:line="215" w:lineRule="auto"/>
              <w:rPr/>
            </w:pPr>
            <w:r>
              <w:rPr>
                <w:spacing w:val="2"/>
              </w:rPr>
              <w:t>(m</w:t>
            </w:r>
            <w:r>
              <w:rPr>
                <w:sz w:val="13"/>
                <w:szCs w:val="13"/>
                <w:spacing w:val="2"/>
                <w:position w:val="6"/>
              </w:rPr>
              <w:t>3</w:t>
            </w:r>
            <w:r>
              <w:rPr>
                <w:spacing w:val="2"/>
              </w:rPr>
              <w:t>/a)</w:t>
            </w:r>
          </w:p>
        </w:tc>
        <w:tc>
          <w:tcPr>
            <w:tcW w:w="1369" w:type="dxa"/>
            <w:vAlign w:val="top"/>
          </w:tcPr>
          <w:p>
            <w:pPr>
              <w:ind w:left="161"/>
              <w:spacing w:before="33" w:line="228" w:lineRule="auto"/>
              <w:rPr>
                <w:rFonts w:ascii="SimSun" w:hAnsi="SimSun" w:eastAsia="SimSun" w:cs="SimSun"/>
                <w:sz w:val="20"/>
                <w:szCs w:val="20"/>
              </w:rPr>
            </w:pPr>
            <w:r>
              <w:rPr>
                <w:rFonts w:ascii="SimSun" w:hAnsi="SimSun" w:eastAsia="SimSun" w:cs="SimSun"/>
                <w:sz w:val="20"/>
                <w:szCs w:val="20"/>
                <w:spacing w:val="8"/>
              </w:rPr>
              <w:t>煤系含水层</w:t>
            </w:r>
          </w:p>
          <w:p>
            <w:pPr>
              <w:ind w:left="267"/>
              <w:spacing w:before="26" w:line="227" w:lineRule="auto"/>
              <w:rPr>
                <w:rFonts w:ascii="SimSun" w:hAnsi="SimSun" w:eastAsia="SimSun" w:cs="SimSun"/>
                <w:sz w:val="20"/>
                <w:szCs w:val="20"/>
              </w:rPr>
            </w:pPr>
            <w:r>
              <w:rPr>
                <w:rFonts w:ascii="SimSun" w:hAnsi="SimSun" w:eastAsia="SimSun" w:cs="SimSun"/>
                <w:sz w:val="20"/>
                <w:szCs w:val="20"/>
                <w:spacing w:val="7"/>
              </w:rPr>
              <w:t>疏干水量</w:t>
            </w:r>
          </w:p>
          <w:p>
            <w:pPr>
              <w:pStyle w:val="TableText"/>
              <w:ind w:left="425"/>
              <w:spacing w:before="26" w:line="215" w:lineRule="auto"/>
              <w:rPr/>
            </w:pPr>
            <w:r>
              <w:rPr>
                <w:spacing w:val="3"/>
              </w:rPr>
              <w:t>(m</w:t>
            </w:r>
            <w:r>
              <w:rPr>
                <w:sz w:val="13"/>
                <w:szCs w:val="13"/>
                <w:spacing w:val="3"/>
                <w:position w:val="6"/>
              </w:rPr>
              <w:t>3</w:t>
            </w:r>
            <w:r>
              <w:rPr>
                <w:spacing w:val="3"/>
              </w:rPr>
              <w:t>/a)</w:t>
            </w:r>
          </w:p>
        </w:tc>
      </w:tr>
      <w:tr>
        <w:trPr>
          <w:trHeight w:val="294" w:hRule="atLeast"/>
        </w:trPr>
        <w:tc>
          <w:tcPr>
            <w:tcW w:w="868" w:type="dxa"/>
            <w:vAlign w:val="top"/>
          </w:tcPr>
          <w:p>
            <w:pPr>
              <w:pStyle w:val="TableText"/>
              <w:ind w:left="222"/>
              <w:spacing w:before="75" w:line="195" w:lineRule="auto"/>
              <w:rPr/>
            </w:pPr>
            <w:r>
              <w:rPr>
                <w:spacing w:val="4"/>
              </w:rPr>
              <w:t>2008</w:t>
            </w:r>
          </w:p>
        </w:tc>
        <w:tc>
          <w:tcPr>
            <w:tcW w:w="1365" w:type="dxa"/>
            <w:vAlign w:val="top"/>
          </w:tcPr>
          <w:p>
            <w:pPr>
              <w:pStyle w:val="TableText"/>
              <w:ind w:left="341"/>
              <w:spacing w:before="75" w:line="195" w:lineRule="auto"/>
              <w:rPr/>
            </w:pPr>
            <w:r>
              <w:rPr>
                <w:spacing w:val="3"/>
              </w:rPr>
              <w:t>7608.74</w:t>
            </w:r>
          </w:p>
        </w:tc>
        <w:tc>
          <w:tcPr>
            <w:tcW w:w="1365" w:type="dxa"/>
            <w:vAlign w:val="top"/>
          </w:tcPr>
          <w:p>
            <w:pPr>
              <w:pStyle w:val="TableText"/>
              <w:ind w:left="343"/>
              <w:spacing w:before="75" w:line="195" w:lineRule="auto"/>
              <w:rPr/>
            </w:pPr>
            <w:r>
              <w:rPr>
                <w:spacing w:val="3"/>
              </w:rPr>
              <w:t>6506.02</w:t>
            </w:r>
          </w:p>
        </w:tc>
        <w:tc>
          <w:tcPr>
            <w:tcW w:w="1365" w:type="dxa"/>
            <w:vAlign w:val="top"/>
          </w:tcPr>
          <w:p>
            <w:pPr>
              <w:pStyle w:val="TableText"/>
              <w:ind w:left="364"/>
              <w:spacing w:before="75" w:line="195" w:lineRule="auto"/>
              <w:rPr/>
            </w:pPr>
            <w:r>
              <w:rPr/>
              <w:t>1102.72</w:t>
            </w:r>
          </w:p>
        </w:tc>
        <w:tc>
          <w:tcPr>
            <w:tcW w:w="1365" w:type="dxa"/>
            <w:vAlign w:val="top"/>
          </w:tcPr>
          <w:p>
            <w:pPr>
              <w:pStyle w:val="TableText"/>
              <w:ind w:left="316"/>
              <w:spacing w:before="75" w:line="195" w:lineRule="auto"/>
              <w:rPr/>
            </w:pPr>
            <w:r>
              <w:rPr>
                <w:spacing w:val="4"/>
              </w:rPr>
              <w:t>2777190</w:t>
            </w:r>
          </w:p>
        </w:tc>
        <w:tc>
          <w:tcPr>
            <w:tcW w:w="1367" w:type="dxa"/>
            <w:vAlign w:val="top"/>
          </w:tcPr>
          <w:p>
            <w:pPr>
              <w:pStyle w:val="TableText"/>
              <w:ind w:left="319"/>
              <w:spacing w:before="75" w:line="195" w:lineRule="auto"/>
              <w:rPr/>
            </w:pPr>
            <w:r>
              <w:rPr>
                <w:spacing w:val="4"/>
              </w:rPr>
              <w:t>2374699</w:t>
            </w:r>
          </w:p>
        </w:tc>
        <w:tc>
          <w:tcPr>
            <w:tcW w:w="1369" w:type="dxa"/>
            <w:vAlign w:val="top"/>
          </w:tcPr>
          <w:p>
            <w:pPr>
              <w:pStyle w:val="TableText"/>
              <w:ind w:left="367"/>
              <w:spacing w:before="75" w:line="195" w:lineRule="auto"/>
              <w:rPr/>
            </w:pPr>
            <w:r>
              <w:rPr>
                <w:spacing w:val="4"/>
              </w:rPr>
              <w:t>402491</w:t>
            </w:r>
          </w:p>
        </w:tc>
      </w:tr>
      <w:tr>
        <w:trPr>
          <w:trHeight w:val="294" w:hRule="atLeast"/>
        </w:trPr>
        <w:tc>
          <w:tcPr>
            <w:tcW w:w="868" w:type="dxa"/>
            <w:vAlign w:val="top"/>
          </w:tcPr>
          <w:p>
            <w:pPr>
              <w:pStyle w:val="TableText"/>
              <w:ind w:left="222"/>
              <w:spacing w:before="76" w:line="195" w:lineRule="auto"/>
              <w:rPr/>
            </w:pPr>
            <w:r>
              <w:rPr>
                <w:spacing w:val="4"/>
              </w:rPr>
              <w:t>2009</w:t>
            </w:r>
          </w:p>
        </w:tc>
        <w:tc>
          <w:tcPr>
            <w:tcW w:w="1365" w:type="dxa"/>
            <w:vAlign w:val="top"/>
          </w:tcPr>
          <w:p>
            <w:pPr>
              <w:pStyle w:val="TableText"/>
              <w:ind w:left="343"/>
              <w:spacing w:before="76" w:line="195" w:lineRule="auto"/>
              <w:rPr/>
            </w:pPr>
            <w:r>
              <w:rPr>
                <w:spacing w:val="3"/>
              </w:rPr>
              <w:t>6970.36</w:t>
            </w:r>
          </w:p>
        </w:tc>
        <w:tc>
          <w:tcPr>
            <w:tcW w:w="1365" w:type="dxa"/>
            <w:vAlign w:val="top"/>
          </w:tcPr>
          <w:p>
            <w:pPr>
              <w:pStyle w:val="TableText"/>
              <w:ind w:left="344"/>
              <w:spacing w:before="76" w:line="195" w:lineRule="auto"/>
              <w:rPr/>
            </w:pPr>
            <w:r>
              <w:rPr>
                <w:spacing w:val="3"/>
              </w:rPr>
              <w:t>5960.16</w:t>
            </w:r>
          </w:p>
        </w:tc>
        <w:tc>
          <w:tcPr>
            <w:tcW w:w="1365" w:type="dxa"/>
            <w:vAlign w:val="top"/>
          </w:tcPr>
          <w:p>
            <w:pPr>
              <w:pStyle w:val="TableText"/>
              <w:ind w:left="359"/>
              <w:spacing w:before="76" w:line="195" w:lineRule="auto"/>
              <w:rPr/>
            </w:pPr>
            <w:r>
              <w:rPr>
                <w:spacing w:val="1"/>
              </w:rPr>
              <w:t>1010.20</w:t>
            </w:r>
          </w:p>
        </w:tc>
        <w:tc>
          <w:tcPr>
            <w:tcW w:w="1365" w:type="dxa"/>
            <w:vAlign w:val="top"/>
          </w:tcPr>
          <w:p>
            <w:pPr>
              <w:pStyle w:val="TableText"/>
              <w:ind w:left="316"/>
              <w:spacing w:before="76" w:line="195" w:lineRule="auto"/>
              <w:rPr/>
            </w:pPr>
            <w:r>
              <w:rPr>
                <w:spacing w:val="4"/>
              </w:rPr>
              <w:t>2544180</w:t>
            </w:r>
          </w:p>
        </w:tc>
        <w:tc>
          <w:tcPr>
            <w:tcW w:w="1367" w:type="dxa"/>
            <w:vAlign w:val="top"/>
          </w:tcPr>
          <w:p>
            <w:pPr>
              <w:pStyle w:val="TableText"/>
              <w:ind w:left="319"/>
              <w:spacing w:before="76" w:line="195" w:lineRule="auto"/>
              <w:rPr/>
            </w:pPr>
            <w:r>
              <w:rPr>
                <w:spacing w:val="4"/>
              </w:rPr>
              <w:t>2175458</w:t>
            </w:r>
          </w:p>
        </w:tc>
        <w:tc>
          <w:tcPr>
            <w:tcW w:w="1369" w:type="dxa"/>
            <w:vAlign w:val="top"/>
          </w:tcPr>
          <w:p>
            <w:pPr>
              <w:pStyle w:val="TableText"/>
              <w:ind w:left="372"/>
              <w:spacing w:before="76" w:line="195" w:lineRule="auto"/>
              <w:rPr/>
            </w:pPr>
            <w:r>
              <w:rPr>
                <w:spacing w:val="3"/>
              </w:rPr>
              <w:t>368722</w:t>
            </w:r>
          </w:p>
        </w:tc>
      </w:tr>
      <w:tr>
        <w:trPr>
          <w:trHeight w:val="294" w:hRule="atLeast"/>
        </w:trPr>
        <w:tc>
          <w:tcPr>
            <w:tcW w:w="868" w:type="dxa"/>
            <w:vAlign w:val="top"/>
          </w:tcPr>
          <w:p>
            <w:pPr>
              <w:pStyle w:val="TableText"/>
              <w:ind w:left="222"/>
              <w:spacing w:before="77" w:line="195" w:lineRule="auto"/>
              <w:rPr/>
            </w:pPr>
            <w:r>
              <w:rPr>
                <w:spacing w:val="4"/>
              </w:rPr>
              <w:t>2010</w:t>
            </w:r>
          </w:p>
        </w:tc>
        <w:tc>
          <w:tcPr>
            <w:tcW w:w="1365" w:type="dxa"/>
            <w:vAlign w:val="top"/>
          </w:tcPr>
          <w:p>
            <w:pPr>
              <w:pStyle w:val="TableText"/>
              <w:ind w:left="337"/>
              <w:spacing w:before="77" w:line="195" w:lineRule="auto"/>
              <w:rPr/>
            </w:pPr>
            <w:r>
              <w:rPr>
                <w:spacing w:val="4"/>
              </w:rPr>
              <w:t>4682.31</w:t>
            </w:r>
          </w:p>
        </w:tc>
        <w:tc>
          <w:tcPr>
            <w:tcW w:w="1365" w:type="dxa"/>
            <w:vAlign w:val="top"/>
          </w:tcPr>
          <w:p>
            <w:pPr>
              <w:pStyle w:val="TableText"/>
              <w:ind w:left="338"/>
              <w:spacing w:before="77" w:line="195" w:lineRule="auto"/>
              <w:rPr/>
            </w:pPr>
            <w:r>
              <w:rPr>
                <w:spacing w:val="4"/>
              </w:rPr>
              <w:t>4003.71</w:t>
            </w:r>
          </w:p>
        </w:tc>
        <w:tc>
          <w:tcPr>
            <w:tcW w:w="1365" w:type="dxa"/>
            <w:vAlign w:val="top"/>
          </w:tcPr>
          <w:p>
            <w:pPr>
              <w:pStyle w:val="TableText"/>
              <w:ind w:left="397"/>
              <w:spacing w:before="77" w:line="195" w:lineRule="auto"/>
              <w:rPr/>
            </w:pPr>
            <w:r>
              <w:rPr>
                <w:spacing w:val="3"/>
              </w:rPr>
              <w:t>678.60</w:t>
            </w:r>
          </w:p>
        </w:tc>
        <w:tc>
          <w:tcPr>
            <w:tcW w:w="1365" w:type="dxa"/>
            <w:vAlign w:val="top"/>
          </w:tcPr>
          <w:p>
            <w:pPr>
              <w:pStyle w:val="TableText"/>
              <w:ind w:left="336"/>
              <w:spacing w:before="77" w:line="195" w:lineRule="auto"/>
              <w:rPr/>
            </w:pPr>
            <w:r>
              <w:rPr>
                <w:spacing w:val="1"/>
              </w:rPr>
              <w:t>1709043</w:t>
            </w:r>
          </w:p>
        </w:tc>
        <w:tc>
          <w:tcPr>
            <w:tcW w:w="1367" w:type="dxa"/>
            <w:vAlign w:val="top"/>
          </w:tcPr>
          <w:p>
            <w:pPr>
              <w:pStyle w:val="TableText"/>
              <w:ind w:left="339"/>
              <w:spacing w:before="77" w:line="195" w:lineRule="auto"/>
              <w:rPr/>
            </w:pPr>
            <w:r>
              <w:rPr>
                <w:spacing w:val="1"/>
              </w:rPr>
              <w:t>1461356</w:t>
            </w:r>
          </w:p>
        </w:tc>
        <w:tc>
          <w:tcPr>
            <w:tcW w:w="1369" w:type="dxa"/>
            <w:vAlign w:val="top"/>
          </w:tcPr>
          <w:p>
            <w:pPr>
              <w:pStyle w:val="TableText"/>
              <w:ind w:left="368"/>
              <w:spacing w:before="77" w:line="195" w:lineRule="auto"/>
              <w:rPr/>
            </w:pPr>
            <w:r>
              <w:rPr>
                <w:spacing w:val="4"/>
              </w:rPr>
              <w:t>247687</w:t>
            </w:r>
          </w:p>
        </w:tc>
      </w:tr>
      <w:tr>
        <w:trPr>
          <w:trHeight w:val="294" w:hRule="atLeast"/>
        </w:trPr>
        <w:tc>
          <w:tcPr>
            <w:tcW w:w="868" w:type="dxa"/>
            <w:vAlign w:val="top"/>
          </w:tcPr>
          <w:p>
            <w:pPr>
              <w:pStyle w:val="TableText"/>
              <w:ind w:left="227"/>
              <w:spacing w:before="78" w:line="195" w:lineRule="auto"/>
              <w:rPr/>
            </w:pPr>
            <w:r>
              <w:rPr>
                <w:spacing w:val="3"/>
              </w:rPr>
              <w:t>2011</w:t>
            </w:r>
          </w:p>
        </w:tc>
        <w:tc>
          <w:tcPr>
            <w:tcW w:w="1365" w:type="dxa"/>
            <w:vAlign w:val="top"/>
          </w:tcPr>
          <w:p>
            <w:pPr>
              <w:pStyle w:val="TableText"/>
              <w:ind w:left="342"/>
              <w:spacing w:before="78" w:line="195" w:lineRule="auto"/>
              <w:rPr/>
            </w:pPr>
            <w:r>
              <w:rPr>
                <w:spacing w:val="3"/>
              </w:rPr>
              <w:t>9045.95</w:t>
            </w:r>
          </w:p>
        </w:tc>
        <w:tc>
          <w:tcPr>
            <w:tcW w:w="1365" w:type="dxa"/>
            <w:vAlign w:val="top"/>
          </w:tcPr>
          <w:p>
            <w:pPr>
              <w:pStyle w:val="TableText"/>
              <w:ind w:left="342"/>
              <w:spacing w:before="78" w:line="195" w:lineRule="auto"/>
              <w:rPr/>
            </w:pPr>
            <w:r>
              <w:rPr>
                <w:spacing w:val="3"/>
              </w:rPr>
              <w:t>7734.94</w:t>
            </w:r>
          </w:p>
        </w:tc>
        <w:tc>
          <w:tcPr>
            <w:tcW w:w="1365" w:type="dxa"/>
            <w:vAlign w:val="top"/>
          </w:tcPr>
          <w:p>
            <w:pPr>
              <w:pStyle w:val="TableText"/>
              <w:ind w:left="364"/>
              <w:spacing w:before="78" w:line="195" w:lineRule="auto"/>
              <w:rPr/>
            </w:pPr>
            <w:r>
              <w:rPr/>
              <w:t>1311.01</w:t>
            </w:r>
          </w:p>
        </w:tc>
        <w:tc>
          <w:tcPr>
            <w:tcW w:w="1365" w:type="dxa"/>
            <w:vAlign w:val="top"/>
          </w:tcPr>
          <w:p>
            <w:pPr>
              <w:pStyle w:val="TableText"/>
              <w:ind w:left="320"/>
              <w:spacing w:before="78" w:line="195" w:lineRule="auto"/>
              <w:rPr/>
            </w:pPr>
            <w:r>
              <w:rPr>
                <w:spacing w:val="4"/>
              </w:rPr>
              <w:t>3301771</w:t>
            </w:r>
          </w:p>
        </w:tc>
        <w:tc>
          <w:tcPr>
            <w:tcW w:w="1367" w:type="dxa"/>
            <w:vAlign w:val="top"/>
          </w:tcPr>
          <w:p>
            <w:pPr>
              <w:pStyle w:val="TableText"/>
              <w:ind w:left="319"/>
              <w:spacing w:before="78" w:line="195" w:lineRule="auto"/>
              <w:rPr/>
            </w:pPr>
            <w:r>
              <w:rPr>
                <w:spacing w:val="4"/>
              </w:rPr>
              <w:t>2823253</w:t>
            </w:r>
          </w:p>
        </w:tc>
        <w:tc>
          <w:tcPr>
            <w:tcW w:w="1369" w:type="dxa"/>
            <w:vAlign w:val="top"/>
          </w:tcPr>
          <w:p>
            <w:pPr>
              <w:pStyle w:val="TableText"/>
              <w:ind w:left="367"/>
              <w:spacing w:before="78" w:line="195" w:lineRule="auto"/>
              <w:rPr/>
            </w:pPr>
            <w:r>
              <w:rPr>
                <w:spacing w:val="4"/>
              </w:rPr>
              <w:t>478518</w:t>
            </w:r>
          </w:p>
        </w:tc>
      </w:tr>
      <w:tr>
        <w:trPr>
          <w:trHeight w:val="295" w:hRule="atLeast"/>
        </w:trPr>
        <w:tc>
          <w:tcPr>
            <w:tcW w:w="868" w:type="dxa"/>
            <w:vAlign w:val="top"/>
          </w:tcPr>
          <w:p>
            <w:pPr>
              <w:pStyle w:val="TableText"/>
              <w:ind w:left="222"/>
              <w:spacing w:before="79" w:line="195" w:lineRule="auto"/>
              <w:rPr/>
            </w:pPr>
            <w:r>
              <w:rPr>
                <w:spacing w:val="4"/>
              </w:rPr>
              <w:t>2012</w:t>
            </w:r>
          </w:p>
        </w:tc>
        <w:tc>
          <w:tcPr>
            <w:tcW w:w="1365" w:type="dxa"/>
            <w:vAlign w:val="top"/>
          </w:tcPr>
          <w:p>
            <w:pPr>
              <w:pStyle w:val="TableText"/>
              <w:ind w:left="346"/>
              <w:spacing w:before="79" w:line="195" w:lineRule="auto"/>
              <w:rPr/>
            </w:pPr>
            <w:r>
              <w:rPr>
                <w:spacing w:val="3"/>
              </w:rPr>
              <w:t>8635.07</w:t>
            </w:r>
          </w:p>
        </w:tc>
        <w:tc>
          <w:tcPr>
            <w:tcW w:w="1365" w:type="dxa"/>
            <w:vAlign w:val="top"/>
          </w:tcPr>
          <w:p>
            <w:pPr>
              <w:pStyle w:val="TableText"/>
              <w:ind w:left="342"/>
              <w:spacing w:before="79" w:line="195" w:lineRule="auto"/>
              <w:rPr/>
            </w:pPr>
            <w:r>
              <w:rPr>
                <w:spacing w:val="3"/>
              </w:rPr>
              <w:t>7383.61</w:t>
            </w:r>
          </w:p>
        </w:tc>
        <w:tc>
          <w:tcPr>
            <w:tcW w:w="1365" w:type="dxa"/>
            <w:vAlign w:val="top"/>
          </w:tcPr>
          <w:p>
            <w:pPr>
              <w:pStyle w:val="TableText"/>
              <w:ind w:left="359"/>
              <w:spacing w:before="79" w:line="195" w:lineRule="auto"/>
              <w:rPr/>
            </w:pPr>
            <w:r>
              <w:rPr>
                <w:spacing w:val="1"/>
              </w:rPr>
              <w:t>1251.46</w:t>
            </w:r>
          </w:p>
        </w:tc>
        <w:tc>
          <w:tcPr>
            <w:tcW w:w="1365" w:type="dxa"/>
            <w:vAlign w:val="top"/>
          </w:tcPr>
          <w:p>
            <w:pPr>
              <w:pStyle w:val="TableText"/>
              <w:ind w:left="320"/>
              <w:spacing w:before="79" w:line="195" w:lineRule="auto"/>
              <w:rPr/>
            </w:pPr>
            <w:r>
              <w:rPr>
                <w:spacing w:val="4"/>
              </w:rPr>
              <w:t>3151800</w:t>
            </w:r>
          </w:p>
        </w:tc>
        <w:tc>
          <w:tcPr>
            <w:tcW w:w="1367" w:type="dxa"/>
            <w:vAlign w:val="top"/>
          </w:tcPr>
          <w:p>
            <w:pPr>
              <w:pStyle w:val="TableText"/>
              <w:ind w:left="319"/>
              <w:spacing w:before="79" w:line="195" w:lineRule="auto"/>
              <w:rPr/>
            </w:pPr>
            <w:r>
              <w:rPr>
                <w:spacing w:val="4"/>
              </w:rPr>
              <w:t>2695017</w:t>
            </w:r>
          </w:p>
        </w:tc>
        <w:tc>
          <w:tcPr>
            <w:tcW w:w="1369" w:type="dxa"/>
            <w:vAlign w:val="top"/>
          </w:tcPr>
          <w:p>
            <w:pPr>
              <w:pStyle w:val="TableText"/>
              <w:ind w:left="367"/>
              <w:spacing w:before="79" w:line="195" w:lineRule="auto"/>
              <w:rPr/>
            </w:pPr>
            <w:r>
              <w:rPr>
                <w:spacing w:val="4"/>
              </w:rPr>
              <w:t>456783</w:t>
            </w:r>
          </w:p>
        </w:tc>
      </w:tr>
      <w:tr>
        <w:trPr>
          <w:trHeight w:val="295" w:hRule="atLeast"/>
        </w:trPr>
        <w:tc>
          <w:tcPr>
            <w:tcW w:w="868" w:type="dxa"/>
            <w:vAlign w:val="top"/>
          </w:tcPr>
          <w:p>
            <w:pPr>
              <w:pStyle w:val="TableText"/>
              <w:ind w:left="222"/>
              <w:spacing w:before="79" w:line="195" w:lineRule="auto"/>
              <w:rPr/>
            </w:pPr>
            <w:r>
              <w:rPr>
                <w:spacing w:val="4"/>
              </w:rPr>
              <w:t>2013</w:t>
            </w:r>
          </w:p>
        </w:tc>
        <w:tc>
          <w:tcPr>
            <w:tcW w:w="1365" w:type="dxa"/>
            <w:vAlign w:val="top"/>
          </w:tcPr>
          <w:p>
            <w:pPr>
              <w:pStyle w:val="TableText"/>
              <w:ind w:left="305"/>
              <w:spacing w:before="79" w:line="195" w:lineRule="auto"/>
              <w:rPr/>
            </w:pPr>
            <w:r>
              <w:rPr>
                <w:spacing w:val="2"/>
              </w:rPr>
              <w:t>10571.78</w:t>
            </w:r>
          </w:p>
        </w:tc>
        <w:tc>
          <w:tcPr>
            <w:tcW w:w="1365" w:type="dxa"/>
            <w:vAlign w:val="top"/>
          </w:tcPr>
          <w:p>
            <w:pPr>
              <w:pStyle w:val="TableText"/>
              <w:ind w:left="343"/>
              <w:spacing w:before="79" w:line="195" w:lineRule="auto"/>
              <w:rPr/>
            </w:pPr>
            <w:r>
              <w:rPr>
                <w:spacing w:val="3"/>
              </w:rPr>
              <w:t>9039.64</w:t>
            </w:r>
          </w:p>
        </w:tc>
        <w:tc>
          <w:tcPr>
            <w:tcW w:w="1365" w:type="dxa"/>
            <w:vAlign w:val="top"/>
          </w:tcPr>
          <w:p>
            <w:pPr>
              <w:pStyle w:val="TableText"/>
              <w:ind w:left="359"/>
              <w:spacing w:before="79" w:line="195" w:lineRule="auto"/>
              <w:rPr/>
            </w:pPr>
            <w:r>
              <w:rPr>
                <w:spacing w:val="-3"/>
              </w:rPr>
              <w:t>1532.</w:t>
            </w:r>
            <w:r>
              <w:rPr>
                <w:spacing w:val="-20"/>
              </w:rPr>
              <w:t xml:space="preserve"> </w:t>
            </w:r>
            <w:r>
              <w:rPr>
                <w:spacing w:val="-3"/>
              </w:rPr>
              <w:t>14</w:t>
            </w:r>
          </w:p>
        </w:tc>
        <w:tc>
          <w:tcPr>
            <w:tcW w:w="1365" w:type="dxa"/>
            <w:vAlign w:val="top"/>
          </w:tcPr>
          <w:p>
            <w:pPr>
              <w:pStyle w:val="TableText"/>
              <w:ind w:left="320"/>
              <w:spacing w:before="79" w:line="195" w:lineRule="auto"/>
              <w:rPr/>
            </w:pPr>
            <w:r>
              <w:rPr>
                <w:spacing w:val="4"/>
              </w:rPr>
              <w:t>3858700</w:t>
            </w:r>
          </w:p>
        </w:tc>
        <w:tc>
          <w:tcPr>
            <w:tcW w:w="1367" w:type="dxa"/>
            <w:vAlign w:val="top"/>
          </w:tcPr>
          <w:p>
            <w:pPr>
              <w:pStyle w:val="TableText"/>
              <w:ind w:left="323"/>
              <w:spacing w:before="79" w:line="195" w:lineRule="auto"/>
              <w:rPr/>
            </w:pPr>
            <w:r>
              <w:rPr>
                <w:spacing w:val="3"/>
              </w:rPr>
              <w:t>3299468</w:t>
            </w:r>
          </w:p>
        </w:tc>
        <w:tc>
          <w:tcPr>
            <w:tcW w:w="1369" w:type="dxa"/>
            <w:vAlign w:val="top"/>
          </w:tcPr>
          <w:p>
            <w:pPr>
              <w:pStyle w:val="TableText"/>
              <w:ind w:left="374"/>
              <w:spacing w:before="79" w:line="195" w:lineRule="auto"/>
              <w:rPr/>
            </w:pPr>
            <w:r>
              <w:rPr>
                <w:spacing w:val="3"/>
              </w:rPr>
              <w:t>559232</w:t>
            </w:r>
          </w:p>
        </w:tc>
      </w:tr>
      <w:tr>
        <w:trPr>
          <w:trHeight w:val="295" w:hRule="atLeast"/>
        </w:trPr>
        <w:tc>
          <w:tcPr>
            <w:tcW w:w="868" w:type="dxa"/>
            <w:vAlign w:val="top"/>
          </w:tcPr>
          <w:p>
            <w:pPr>
              <w:pStyle w:val="TableText"/>
              <w:ind w:left="222"/>
              <w:spacing w:before="79" w:line="195" w:lineRule="auto"/>
              <w:rPr/>
            </w:pPr>
            <w:r>
              <w:rPr>
                <w:spacing w:val="4"/>
              </w:rPr>
              <w:t>2014</w:t>
            </w:r>
          </w:p>
        </w:tc>
        <w:tc>
          <w:tcPr>
            <w:tcW w:w="1365" w:type="dxa"/>
            <w:vAlign w:val="top"/>
          </w:tcPr>
          <w:p>
            <w:pPr>
              <w:pStyle w:val="TableText"/>
              <w:ind w:left="305"/>
              <w:spacing w:before="79" w:line="195" w:lineRule="auto"/>
              <w:rPr/>
            </w:pPr>
            <w:r>
              <w:rPr>
                <w:spacing w:val="2"/>
              </w:rPr>
              <w:t>10316.56</w:t>
            </w:r>
          </w:p>
        </w:tc>
        <w:tc>
          <w:tcPr>
            <w:tcW w:w="1365" w:type="dxa"/>
            <w:vAlign w:val="top"/>
          </w:tcPr>
          <w:p>
            <w:pPr>
              <w:pStyle w:val="TableText"/>
              <w:ind w:left="347"/>
              <w:spacing w:before="79" w:line="195" w:lineRule="auto"/>
              <w:rPr/>
            </w:pPr>
            <w:r>
              <w:rPr>
                <w:spacing w:val="3"/>
              </w:rPr>
              <w:t>8821.41</w:t>
            </w:r>
          </w:p>
        </w:tc>
        <w:tc>
          <w:tcPr>
            <w:tcW w:w="1365" w:type="dxa"/>
            <w:vAlign w:val="top"/>
          </w:tcPr>
          <w:p>
            <w:pPr>
              <w:pStyle w:val="TableText"/>
              <w:ind w:left="359"/>
              <w:spacing w:before="79" w:line="195" w:lineRule="auto"/>
              <w:rPr/>
            </w:pPr>
            <w:r>
              <w:rPr>
                <w:spacing w:val="1"/>
              </w:rPr>
              <w:t>1495.15</w:t>
            </w:r>
          </w:p>
        </w:tc>
        <w:tc>
          <w:tcPr>
            <w:tcW w:w="1365" w:type="dxa"/>
            <w:vAlign w:val="top"/>
          </w:tcPr>
          <w:p>
            <w:pPr>
              <w:pStyle w:val="TableText"/>
              <w:ind w:left="320"/>
              <w:spacing w:before="79" w:line="195" w:lineRule="auto"/>
              <w:rPr/>
            </w:pPr>
            <w:r>
              <w:rPr>
                <w:spacing w:val="4"/>
              </w:rPr>
              <w:t>3765545</w:t>
            </w:r>
          </w:p>
        </w:tc>
        <w:tc>
          <w:tcPr>
            <w:tcW w:w="1367" w:type="dxa"/>
            <w:vAlign w:val="top"/>
          </w:tcPr>
          <w:p>
            <w:pPr>
              <w:pStyle w:val="TableText"/>
              <w:ind w:left="323"/>
              <w:spacing w:before="79" w:line="195" w:lineRule="auto"/>
              <w:rPr/>
            </w:pPr>
            <w:r>
              <w:rPr>
                <w:spacing w:val="3"/>
              </w:rPr>
              <w:t>3219814</w:t>
            </w:r>
          </w:p>
        </w:tc>
        <w:tc>
          <w:tcPr>
            <w:tcW w:w="1369" w:type="dxa"/>
            <w:vAlign w:val="top"/>
          </w:tcPr>
          <w:p>
            <w:pPr>
              <w:pStyle w:val="TableText"/>
              <w:ind w:left="374"/>
              <w:spacing w:before="79" w:line="195" w:lineRule="auto"/>
              <w:rPr/>
            </w:pPr>
            <w:r>
              <w:rPr>
                <w:spacing w:val="3"/>
              </w:rPr>
              <w:t>545731</w:t>
            </w:r>
          </w:p>
        </w:tc>
      </w:tr>
      <w:tr>
        <w:trPr>
          <w:trHeight w:val="295" w:hRule="atLeast"/>
        </w:trPr>
        <w:tc>
          <w:tcPr>
            <w:tcW w:w="868" w:type="dxa"/>
            <w:vAlign w:val="top"/>
          </w:tcPr>
          <w:p>
            <w:pPr>
              <w:pStyle w:val="TableText"/>
              <w:ind w:left="222"/>
              <w:spacing w:before="79" w:line="195" w:lineRule="auto"/>
              <w:rPr/>
            </w:pPr>
            <w:r>
              <w:rPr>
                <w:spacing w:val="4"/>
              </w:rPr>
              <w:t>2015</w:t>
            </w:r>
          </w:p>
        </w:tc>
        <w:tc>
          <w:tcPr>
            <w:tcW w:w="1365" w:type="dxa"/>
            <w:vAlign w:val="top"/>
          </w:tcPr>
          <w:p>
            <w:pPr>
              <w:pStyle w:val="TableText"/>
              <w:ind w:left="305"/>
              <w:spacing w:before="79" w:line="195" w:lineRule="auto"/>
              <w:rPr/>
            </w:pPr>
            <w:r>
              <w:rPr>
                <w:spacing w:val="-2"/>
              </w:rPr>
              <w:t>10560.</w:t>
            </w:r>
            <w:r>
              <w:rPr>
                <w:spacing w:val="-19"/>
              </w:rPr>
              <w:t xml:space="preserve"> </w:t>
            </w:r>
            <w:r>
              <w:rPr>
                <w:spacing w:val="-2"/>
              </w:rPr>
              <w:t>14</w:t>
            </w:r>
          </w:p>
        </w:tc>
        <w:tc>
          <w:tcPr>
            <w:tcW w:w="1365" w:type="dxa"/>
            <w:vAlign w:val="top"/>
          </w:tcPr>
          <w:p>
            <w:pPr>
              <w:pStyle w:val="TableText"/>
              <w:ind w:left="343"/>
              <w:spacing w:before="79" w:line="195" w:lineRule="auto"/>
              <w:rPr/>
            </w:pPr>
            <w:r>
              <w:rPr>
                <w:spacing w:val="3"/>
              </w:rPr>
              <w:t>9029.68</w:t>
            </w:r>
          </w:p>
        </w:tc>
        <w:tc>
          <w:tcPr>
            <w:tcW w:w="1365" w:type="dxa"/>
            <w:vAlign w:val="top"/>
          </w:tcPr>
          <w:p>
            <w:pPr>
              <w:pStyle w:val="TableText"/>
              <w:ind w:left="359"/>
              <w:spacing w:before="79" w:line="195" w:lineRule="auto"/>
              <w:rPr/>
            </w:pPr>
            <w:r>
              <w:rPr>
                <w:spacing w:val="1"/>
              </w:rPr>
              <w:t>1530.46</w:t>
            </w:r>
          </w:p>
        </w:tc>
        <w:tc>
          <w:tcPr>
            <w:tcW w:w="1365" w:type="dxa"/>
            <w:vAlign w:val="top"/>
          </w:tcPr>
          <w:p>
            <w:pPr>
              <w:pStyle w:val="TableText"/>
              <w:ind w:left="320"/>
              <w:spacing w:before="79" w:line="195" w:lineRule="auto"/>
              <w:rPr/>
            </w:pPr>
            <w:r>
              <w:rPr>
                <w:spacing w:val="4"/>
              </w:rPr>
              <w:t>3854450</w:t>
            </w:r>
          </w:p>
        </w:tc>
        <w:tc>
          <w:tcPr>
            <w:tcW w:w="1367" w:type="dxa"/>
            <w:vAlign w:val="top"/>
          </w:tcPr>
          <w:p>
            <w:pPr>
              <w:pStyle w:val="TableText"/>
              <w:ind w:left="323"/>
              <w:spacing w:before="79" w:line="195" w:lineRule="auto"/>
              <w:rPr/>
            </w:pPr>
            <w:r>
              <w:rPr>
                <w:spacing w:val="3"/>
              </w:rPr>
              <w:t>3295834</w:t>
            </w:r>
          </w:p>
        </w:tc>
        <w:tc>
          <w:tcPr>
            <w:tcW w:w="1369" w:type="dxa"/>
            <w:vAlign w:val="top"/>
          </w:tcPr>
          <w:p>
            <w:pPr>
              <w:pStyle w:val="TableText"/>
              <w:ind w:left="374"/>
              <w:spacing w:before="79" w:line="195" w:lineRule="auto"/>
              <w:rPr/>
            </w:pPr>
            <w:r>
              <w:rPr>
                <w:spacing w:val="3"/>
              </w:rPr>
              <w:t>558616</w:t>
            </w:r>
          </w:p>
        </w:tc>
      </w:tr>
      <w:tr>
        <w:trPr>
          <w:trHeight w:val="295" w:hRule="atLeast"/>
        </w:trPr>
        <w:tc>
          <w:tcPr>
            <w:tcW w:w="868" w:type="dxa"/>
            <w:vAlign w:val="top"/>
          </w:tcPr>
          <w:p>
            <w:pPr>
              <w:pStyle w:val="TableText"/>
              <w:ind w:left="222"/>
              <w:spacing w:before="79" w:line="195" w:lineRule="auto"/>
              <w:rPr/>
            </w:pPr>
            <w:r>
              <w:rPr>
                <w:spacing w:val="4"/>
              </w:rPr>
              <w:t>2016</w:t>
            </w:r>
          </w:p>
        </w:tc>
        <w:tc>
          <w:tcPr>
            <w:tcW w:w="1365" w:type="dxa"/>
            <w:vAlign w:val="top"/>
          </w:tcPr>
          <w:p>
            <w:pPr>
              <w:pStyle w:val="TableText"/>
              <w:ind w:left="342"/>
              <w:spacing w:before="79" w:line="195" w:lineRule="auto"/>
              <w:rPr/>
            </w:pPr>
            <w:r>
              <w:rPr>
                <w:spacing w:val="3"/>
              </w:rPr>
              <w:t>9695.73</w:t>
            </w:r>
          </w:p>
        </w:tc>
        <w:tc>
          <w:tcPr>
            <w:tcW w:w="1365" w:type="dxa"/>
            <w:vAlign w:val="top"/>
          </w:tcPr>
          <w:p>
            <w:pPr>
              <w:pStyle w:val="TableText"/>
              <w:ind w:left="347"/>
              <w:spacing w:before="79" w:line="195" w:lineRule="auto"/>
              <w:rPr/>
            </w:pPr>
            <w:r>
              <w:rPr>
                <w:spacing w:val="3"/>
              </w:rPr>
              <w:t>8290.55</w:t>
            </w:r>
          </w:p>
        </w:tc>
        <w:tc>
          <w:tcPr>
            <w:tcW w:w="1365" w:type="dxa"/>
            <w:vAlign w:val="top"/>
          </w:tcPr>
          <w:p>
            <w:pPr>
              <w:pStyle w:val="TableText"/>
              <w:ind w:left="359"/>
              <w:spacing w:before="79" w:line="195" w:lineRule="auto"/>
              <w:rPr/>
            </w:pPr>
            <w:r>
              <w:rPr>
                <w:spacing w:val="1"/>
              </w:rPr>
              <w:t>1405.18</w:t>
            </w:r>
          </w:p>
        </w:tc>
        <w:tc>
          <w:tcPr>
            <w:tcW w:w="1365" w:type="dxa"/>
            <w:vAlign w:val="top"/>
          </w:tcPr>
          <w:p>
            <w:pPr>
              <w:pStyle w:val="TableText"/>
              <w:ind w:left="320"/>
              <w:spacing w:before="79" w:line="195" w:lineRule="auto"/>
              <w:rPr/>
            </w:pPr>
            <w:r>
              <w:rPr>
                <w:spacing w:val="4"/>
              </w:rPr>
              <w:t>3538940</w:t>
            </w:r>
          </w:p>
        </w:tc>
        <w:tc>
          <w:tcPr>
            <w:tcW w:w="1367" w:type="dxa"/>
            <w:vAlign w:val="top"/>
          </w:tcPr>
          <w:p>
            <w:pPr>
              <w:pStyle w:val="TableText"/>
              <w:ind w:left="323"/>
              <w:spacing w:before="79" w:line="195" w:lineRule="auto"/>
              <w:rPr/>
            </w:pPr>
            <w:r>
              <w:rPr>
                <w:spacing w:val="3"/>
              </w:rPr>
              <w:t>3026050</w:t>
            </w:r>
          </w:p>
        </w:tc>
        <w:tc>
          <w:tcPr>
            <w:tcW w:w="1369" w:type="dxa"/>
            <w:vAlign w:val="top"/>
          </w:tcPr>
          <w:p>
            <w:pPr>
              <w:pStyle w:val="TableText"/>
              <w:ind w:left="374"/>
              <w:spacing w:before="79" w:line="195" w:lineRule="auto"/>
              <w:rPr/>
            </w:pPr>
            <w:r>
              <w:rPr>
                <w:spacing w:val="3"/>
              </w:rPr>
              <w:t>512890</w:t>
            </w:r>
          </w:p>
        </w:tc>
      </w:tr>
      <w:tr>
        <w:trPr>
          <w:trHeight w:val="295" w:hRule="atLeast"/>
        </w:trPr>
        <w:tc>
          <w:tcPr>
            <w:tcW w:w="868" w:type="dxa"/>
            <w:vAlign w:val="top"/>
          </w:tcPr>
          <w:p>
            <w:pPr>
              <w:pStyle w:val="TableText"/>
              <w:ind w:left="222"/>
              <w:spacing w:before="79" w:line="195" w:lineRule="auto"/>
              <w:rPr/>
            </w:pPr>
            <w:r>
              <w:rPr>
                <w:spacing w:val="4"/>
              </w:rPr>
              <w:t>2017</w:t>
            </w:r>
          </w:p>
        </w:tc>
        <w:tc>
          <w:tcPr>
            <w:tcW w:w="1365" w:type="dxa"/>
            <w:vAlign w:val="top"/>
          </w:tcPr>
          <w:p>
            <w:pPr>
              <w:pStyle w:val="TableText"/>
              <w:ind w:left="349"/>
              <w:spacing w:before="79" w:line="195" w:lineRule="auto"/>
              <w:rPr/>
            </w:pPr>
            <w:r>
              <w:rPr>
                <w:spacing w:val="1"/>
              </w:rPr>
              <w:t>7711.11</w:t>
            </w:r>
          </w:p>
        </w:tc>
        <w:tc>
          <w:tcPr>
            <w:tcW w:w="1365" w:type="dxa"/>
            <w:vAlign w:val="top"/>
          </w:tcPr>
          <w:p>
            <w:pPr>
              <w:pStyle w:val="TableText"/>
              <w:ind w:left="343"/>
              <w:spacing w:before="79" w:line="195" w:lineRule="auto"/>
              <w:rPr/>
            </w:pPr>
            <w:r>
              <w:rPr>
                <w:spacing w:val="3"/>
              </w:rPr>
              <w:t>6593.56</w:t>
            </w:r>
          </w:p>
        </w:tc>
        <w:tc>
          <w:tcPr>
            <w:tcW w:w="1365" w:type="dxa"/>
            <w:vAlign w:val="top"/>
          </w:tcPr>
          <w:p>
            <w:pPr>
              <w:pStyle w:val="TableText"/>
              <w:ind w:left="369"/>
              <w:spacing w:before="79" w:line="195" w:lineRule="auto"/>
              <w:rPr/>
            </w:pPr>
            <w:r>
              <w:rPr>
                <w:spacing w:val="-1"/>
              </w:rPr>
              <w:t>1117.55</w:t>
            </w:r>
          </w:p>
        </w:tc>
        <w:tc>
          <w:tcPr>
            <w:tcW w:w="1365" w:type="dxa"/>
            <w:vAlign w:val="top"/>
          </w:tcPr>
          <w:p>
            <w:pPr>
              <w:pStyle w:val="TableText"/>
              <w:ind w:left="316"/>
              <w:spacing w:before="79" w:line="195" w:lineRule="auto"/>
              <w:rPr/>
            </w:pPr>
            <w:r>
              <w:rPr>
                <w:spacing w:val="4"/>
              </w:rPr>
              <w:t>2814555</w:t>
            </w:r>
          </w:p>
        </w:tc>
        <w:tc>
          <w:tcPr>
            <w:tcW w:w="1367" w:type="dxa"/>
            <w:vAlign w:val="top"/>
          </w:tcPr>
          <w:p>
            <w:pPr>
              <w:pStyle w:val="TableText"/>
              <w:ind w:left="319"/>
              <w:spacing w:before="79" w:line="195" w:lineRule="auto"/>
              <w:rPr/>
            </w:pPr>
            <w:r>
              <w:rPr>
                <w:spacing w:val="4"/>
              </w:rPr>
              <w:t>2406648</w:t>
            </w:r>
          </w:p>
        </w:tc>
        <w:tc>
          <w:tcPr>
            <w:tcW w:w="1369" w:type="dxa"/>
            <w:vAlign w:val="top"/>
          </w:tcPr>
          <w:p>
            <w:pPr>
              <w:pStyle w:val="TableText"/>
              <w:ind w:left="367"/>
              <w:spacing w:before="79" w:line="195" w:lineRule="auto"/>
              <w:rPr/>
            </w:pPr>
            <w:r>
              <w:rPr>
                <w:spacing w:val="4"/>
              </w:rPr>
              <w:t>407907</w:t>
            </w:r>
          </w:p>
        </w:tc>
      </w:tr>
      <w:tr>
        <w:trPr>
          <w:trHeight w:val="295" w:hRule="atLeast"/>
        </w:trPr>
        <w:tc>
          <w:tcPr>
            <w:tcW w:w="868" w:type="dxa"/>
            <w:vAlign w:val="top"/>
          </w:tcPr>
          <w:p>
            <w:pPr>
              <w:pStyle w:val="TableText"/>
              <w:ind w:left="222"/>
              <w:spacing w:before="79" w:line="195" w:lineRule="auto"/>
              <w:rPr/>
            </w:pPr>
            <w:r>
              <w:rPr>
                <w:spacing w:val="4"/>
              </w:rPr>
              <w:t>2018</w:t>
            </w:r>
          </w:p>
        </w:tc>
        <w:tc>
          <w:tcPr>
            <w:tcW w:w="1365" w:type="dxa"/>
            <w:vAlign w:val="top"/>
          </w:tcPr>
          <w:p>
            <w:pPr>
              <w:pStyle w:val="TableText"/>
              <w:ind w:left="394"/>
              <w:spacing w:before="82" w:line="192" w:lineRule="auto"/>
              <w:rPr/>
            </w:pPr>
            <w:r>
              <w:rPr>
                <w:spacing w:val="3"/>
              </w:rPr>
              <w:t>7777.5</w:t>
            </w:r>
          </w:p>
        </w:tc>
        <w:tc>
          <w:tcPr>
            <w:tcW w:w="1365" w:type="dxa"/>
            <w:vAlign w:val="top"/>
          </w:tcPr>
          <w:p>
            <w:pPr>
              <w:pStyle w:val="TableText"/>
              <w:ind w:left="343"/>
              <w:spacing w:before="79" w:line="195" w:lineRule="auto"/>
              <w:rPr/>
            </w:pPr>
            <w:r>
              <w:rPr>
                <w:spacing w:val="3"/>
              </w:rPr>
              <w:t>6650.33</w:t>
            </w:r>
          </w:p>
        </w:tc>
        <w:tc>
          <w:tcPr>
            <w:tcW w:w="1365" w:type="dxa"/>
            <w:vAlign w:val="top"/>
          </w:tcPr>
          <w:p>
            <w:pPr>
              <w:pStyle w:val="TableText"/>
              <w:ind w:left="364"/>
              <w:spacing w:before="79" w:line="195" w:lineRule="auto"/>
              <w:rPr/>
            </w:pPr>
            <w:r>
              <w:rPr>
                <w:spacing w:val="-4"/>
              </w:rPr>
              <w:t>1127.</w:t>
            </w:r>
            <w:r>
              <w:rPr>
                <w:spacing w:val="-20"/>
              </w:rPr>
              <w:t xml:space="preserve"> </w:t>
            </w:r>
            <w:r>
              <w:rPr>
                <w:spacing w:val="-4"/>
              </w:rPr>
              <w:t>17</w:t>
            </w:r>
          </w:p>
        </w:tc>
        <w:tc>
          <w:tcPr>
            <w:tcW w:w="1365" w:type="dxa"/>
            <w:vAlign w:val="top"/>
          </w:tcPr>
          <w:p>
            <w:pPr>
              <w:pStyle w:val="TableText"/>
              <w:ind w:left="316"/>
              <w:spacing w:before="79" w:line="195" w:lineRule="auto"/>
              <w:rPr/>
            </w:pPr>
            <w:r>
              <w:rPr>
                <w:spacing w:val="4"/>
              </w:rPr>
              <w:t>2838786</w:t>
            </w:r>
          </w:p>
        </w:tc>
        <w:tc>
          <w:tcPr>
            <w:tcW w:w="1367" w:type="dxa"/>
            <w:vAlign w:val="top"/>
          </w:tcPr>
          <w:p>
            <w:pPr>
              <w:pStyle w:val="TableText"/>
              <w:ind w:left="319"/>
              <w:spacing w:before="79" w:line="195" w:lineRule="auto"/>
              <w:rPr/>
            </w:pPr>
            <w:r>
              <w:rPr>
                <w:spacing w:val="4"/>
              </w:rPr>
              <w:t>2427368</w:t>
            </w:r>
          </w:p>
        </w:tc>
        <w:tc>
          <w:tcPr>
            <w:tcW w:w="1369" w:type="dxa"/>
            <w:vAlign w:val="top"/>
          </w:tcPr>
          <w:p>
            <w:pPr>
              <w:pStyle w:val="TableText"/>
              <w:ind w:left="372"/>
              <w:spacing w:before="79" w:line="195" w:lineRule="auto"/>
              <w:rPr/>
            </w:pPr>
            <w:r>
              <w:rPr>
                <w:spacing w:val="3"/>
              </w:rPr>
              <w:t>411418</w:t>
            </w:r>
          </w:p>
        </w:tc>
      </w:tr>
      <w:tr>
        <w:trPr>
          <w:trHeight w:val="295" w:hRule="atLeast"/>
        </w:trPr>
        <w:tc>
          <w:tcPr>
            <w:tcW w:w="868" w:type="dxa"/>
            <w:vAlign w:val="top"/>
          </w:tcPr>
          <w:p>
            <w:pPr>
              <w:pStyle w:val="TableText"/>
              <w:ind w:left="222"/>
              <w:spacing w:before="79" w:line="195" w:lineRule="auto"/>
              <w:rPr/>
            </w:pPr>
            <w:r>
              <w:rPr>
                <w:spacing w:val="4"/>
              </w:rPr>
              <w:t>2019</w:t>
            </w:r>
          </w:p>
        </w:tc>
        <w:tc>
          <w:tcPr>
            <w:tcW w:w="1365" w:type="dxa"/>
            <w:vAlign w:val="top"/>
          </w:tcPr>
          <w:p>
            <w:pPr>
              <w:pStyle w:val="TableText"/>
              <w:ind w:left="346"/>
              <w:spacing w:before="79" w:line="195" w:lineRule="auto"/>
              <w:rPr/>
            </w:pPr>
            <w:r>
              <w:rPr>
                <w:spacing w:val="3"/>
              </w:rPr>
              <w:t>8858.92</w:t>
            </w:r>
          </w:p>
        </w:tc>
        <w:tc>
          <w:tcPr>
            <w:tcW w:w="1365" w:type="dxa"/>
            <w:vAlign w:val="top"/>
          </w:tcPr>
          <w:p>
            <w:pPr>
              <w:pStyle w:val="TableText"/>
              <w:ind w:left="342"/>
              <w:spacing w:before="79" w:line="195" w:lineRule="auto"/>
              <w:rPr/>
            </w:pPr>
            <w:r>
              <w:rPr>
                <w:spacing w:val="3"/>
              </w:rPr>
              <w:t>7575.02</w:t>
            </w:r>
          </w:p>
        </w:tc>
        <w:tc>
          <w:tcPr>
            <w:tcW w:w="1365" w:type="dxa"/>
            <w:vAlign w:val="top"/>
          </w:tcPr>
          <w:p>
            <w:pPr>
              <w:pStyle w:val="TableText"/>
              <w:ind w:left="359"/>
              <w:spacing w:before="79" w:line="195" w:lineRule="auto"/>
              <w:rPr/>
            </w:pPr>
            <w:r>
              <w:rPr>
                <w:spacing w:val="1"/>
              </w:rPr>
              <w:t>1283.90</w:t>
            </w:r>
          </w:p>
        </w:tc>
        <w:tc>
          <w:tcPr>
            <w:tcW w:w="1365" w:type="dxa"/>
            <w:vAlign w:val="top"/>
          </w:tcPr>
          <w:p>
            <w:pPr>
              <w:pStyle w:val="TableText"/>
              <w:ind w:left="320"/>
              <w:spacing w:before="79" w:line="195" w:lineRule="auto"/>
              <w:rPr/>
            </w:pPr>
            <w:r>
              <w:rPr>
                <w:spacing w:val="4"/>
              </w:rPr>
              <w:t>3233505</w:t>
            </w:r>
          </w:p>
        </w:tc>
        <w:tc>
          <w:tcPr>
            <w:tcW w:w="1367" w:type="dxa"/>
            <w:vAlign w:val="top"/>
          </w:tcPr>
          <w:p>
            <w:pPr>
              <w:pStyle w:val="TableText"/>
              <w:ind w:left="319"/>
              <w:spacing w:before="79" w:line="195" w:lineRule="auto"/>
              <w:rPr/>
            </w:pPr>
            <w:r>
              <w:rPr>
                <w:spacing w:val="4"/>
              </w:rPr>
              <w:t>2764881</w:t>
            </w:r>
          </w:p>
        </w:tc>
        <w:tc>
          <w:tcPr>
            <w:tcW w:w="1369" w:type="dxa"/>
            <w:vAlign w:val="top"/>
          </w:tcPr>
          <w:p>
            <w:pPr>
              <w:pStyle w:val="TableText"/>
              <w:ind w:left="367"/>
              <w:spacing w:before="79" w:line="195" w:lineRule="auto"/>
              <w:rPr/>
            </w:pPr>
            <w:r>
              <w:rPr>
                <w:spacing w:val="4"/>
              </w:rPr>
              <w:t>468624</w:t>
            </w:r>
          </w:p>
        </w:tc>
      </w:tr>
      <w:tr>
        <w:trPr>
          <w:trHeight w:val="297" w:hRule="atLeast"/>
        </w:trPr>
        <w:tc>
          <w:tcPr>
            <w:tcW w:w="868" w:type="dxa"/>
            <w:vAlign w:val="top"/>
          </w:tcPr>
          <w:p>
            <w:pPr>
              <w:pStyle w:val="TableText"/>
              <w:ind w:left="222"/>
              <w:spacing w:before="79" w:line="195" w:lineRule="auto"/>
              <w:rPr/>
            </w:pPr>
            <w:r>
              <w:rPr>
                <w:spacing w:val="4"/>
              </w:rPr>
              <w:t>2020</w:t>
            </w:r>
          </w:p>
        </w:tc>
        <w:tc>
          <w:tcPr>
            <w:tcW w:w="1365" w:type="dxa"/>
            <w:vAlign w:val="top"/>
          </w:tcPr>
          <w:p>
            <w:pPr>
              <w:pStyle w:val="TableText"/>
              <w:ind w:left="343"/>
              <w:spacing w:before="79" w:line="195" w:lineRule="auto"/>
              <w:rPr/>
            </w:pPr>
            <w:r>
              <w:rPr>
                <w:spacing w:val="3"/>
              </w:rPr>
              <w:t>6634.77</w:t>
            </w:r>
          </w:p>
        </w:tc>
        <w:tc>
          <w:tcPr>
            <w:tcW w:w="1365" w:type="dxa"/>
            <w:vAlign w:val="top"/>
          </w:tcPr>
          <w:p>
            <w:pPr>
              <w:pStyle w:val="TableText"/>
              <w:ind w:left="344"/>
              <w:spacing w:before="79" w:line="195" w:lineRule="auto"/>
              <w:rPr/>
            </w:pPr>
            <w:r>
              <w:rPr>
                <w:spacing w:val="3"/>
              </w:rPr>
              <w:t>5673.21</w:t>
            </w:r>
          </w:p>
        </w:tc>
        <w:tc>
          <w:tcPr>
            <w:tcW w:w="1365" w:type="dxa"/>
            <w:vAlign w:val="top"/>
          </w:tcPr>
          <w:p>
            <w:pPr>
              <w:pStyle w:val="TableText"/>
              <w:ind w:left="396"/>
              <w:spacing w:before="79" w:line="195" w:lineRule="auto"/>
              <w:rPr/>
            </w:pPr>
            <w:r>
              <w:rPr>
                <w:spacing w:val="3"/>
              </w:rPr>
              <w:t>961.56</w:t>
            </w:r>
          </w:p>
        </w:tc>
        <w:tc>
          <w:tcPr>
            <w:tcW w:w="1365" w:type="dxa"/>
            <w:vAlign w:val="top"/>
          </w:tcPr>
          <w:p>
            <w:pPr>
              <w:pStyle w:val="TableText"/>
              <w:ind w:left="316"/>
              <w:spacing w:before="79" w:line="195" w:lineRule="auto"/>
              <w:rPr/>
            </w:pPr>
            <w:r>
              <w:rPr>
                <w:spacing w:val="4"/>
              </w:rPr>
              <w:t>2421690</w:t>
            </w:r>
          </w:p>
        </w:tc>
        <w:tc>
          <w:tcPr>
            <w:tcW w:w="1367" w:type="dxa"/>
            <w:vAlign w:val="top"/>
          </w:tcPr>
          <w:p>
            <w:pPr>
              <w:pStyle w:val="TableText"/>
              <w:ind w:left="319"/>
              <w:spacing w:before="79" w:line="195" w:lineRule="auto"/>
              <w:rPr/>
            </w:pPr>
            <w:r>
              <w:rPr>
                <w:spacing w:val="4"/>
              </w:rPr>
              <w:t>2070720</w:t>
            </w:r>
          </w:p>
        </w:tc>
        <w:tc>
          <w:tcPr>
            <w:tcW w:w="1369" w:type="dxa"/>
            <w:vAlign w:val="top"/>
          </w:tcPr>
          <w:p>
            <w:pPr>
              <w:pStyle w:val="TableText"/>
              <w:ind w:left="372"/>
              <w:spacing w:before="79" w:line="195" w:lineRule="auto"/>
              <w:rPr/>
            </w:pPr>
            <w:r>
              <w:rPr>
                <w:spacing w:val="3"/>
              </w:rPr>
              <w:t>350970</w:t>
            </w:r>
          </w:p>
        </w:tc>
      </w:tr>
    </w:tbl>
    <w:p>
      <w:pPr>
        <w:pStyle w:val="BodyText"/>
        <w:spacing w:line="87" w:lineRule="exact"/>
        <w:rPr>
          <w:sz w:val="7"/>
        </w:rPr>
      </w:pPr>
      <w:r/>
    </w:p>
    <w:p>
      <w:pPr>
        <w:spacing w:line="87" w:lineRule="exact"/>
        <w:sectPr>
          <w:footerReference w:type="default" r:id="rId171"/>
          <w:pgSz w:w="11906" w:h="16838"/>
          <w:pgMar w:top="1170" w:right="1304" w:bottom="1078" w:left="1305" w:header="837" w:footer="915" w:gutter="0"/>
        </w:sectPr>
        <w:rPr>
          <w:sz w:val="7"/>
          <w:szCs w:val="7"/>
        </w:rPr>
      </w:pPr>
    </w:p>
    <w:p>
      <w:pPr>
        <w:spacing w:before="6"/>
        <w:rPr/>
      </w:pPr>
      <w:r/>
    </w:p>
    <w:tbl>
      <w:tblPr>
        <w:tblStyle w:val="TableNormal"/>
        <w:tblW w:w="906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8"/>
        <w:gridCol w:w="1365"/>
        <w:gridCol w:w="1365"/>
        <w:gridCol w:w="1365"/>
        <w:gridCol w:w="1365"/>
        <w:gridCol w:w="1367"/>
        <w:gridCol w:w="1369"/>
      </w:tblGrid>
      <w:tr>
        <w:trPr>
          <w:trHeight w:val="795" w:hRule="atLeast"/>
        </w:trPr>
        <w:tc>
          <w:tcPr>
            <w:tcW w:w="868" w:type="dxa"/>
            <w:vAlign w:val="top"/>
          </w:tcPr>
          <w:p>
            <w:pPr>
              <w:ind w:left="227"/>
              <w:spacing w:before="290" w:line="228" w:lineRule="auto"/>
              <w:rPr>
                <w:rFonts w:ascii="SimSun" w:hAnsi="SimSun" w:eastAsia="SimSun" w:cs="SimSun"/>
                <w:sz w:val="20"/>
                <w:szCs w:val="20"/>
              </w:rPr>
            </w:pPr>
            <w:bookmarkStart w:name="bookmark88" w:id="36"/>
            <w:bookmarkEnd w:id="36"/>
            <w:r>
              <w:rPr>
                <w:rFonts w:ascii="SimSun" w:hAnsi="SimSun" w:eastAsia="SimSun" w:cs="SimSun"/>
                <w:sz w:val="20"/>
                <w:szCs w:val="20"/>
                <w:spacing w:val="4"/>
              </w:rPr>
              <w:t>年度</w:t>
            </w:r>
          </w:p>
        </w:tc>
        <w:tc>
          <w:tcPr>
            <w:tcW w:w="1365" w:type="dxa"/>
            <w:vAlign w:val="top"/>
          </w:tcPr>
          <w:p>
            <w:pPr>
              <w:pStyle w:val="TableText"/>
              <w:ind w:left="310" w:right="159" w:hanging="115"/>
              <w:spacing w:before="154" w:line="249" w:lineRule="auto"/>
              <w:rPr/>
            </w:pPr>
            <w:r>
              <w:rPr>
                <w:rFonts w:ascii="SimSun" w:hAnsi="SimSun" w:eastAsia="SimSun" w:cs="SimSun"/>
              </w:rPr>
              <w:t>日平均涌水</w:t>
            </w:r>
            <w:r>
              <w:rPr>
                <w:rFonts w:ascii="SimSun" w:hAnsi="SimSun" w:eastAsia="SimSun" w:cs="SimSun"/>
                <w:spacing w:val="4"/>
              </w:rPr>
              <w:t>量</w:t>
            </w:r>
            <w:r>
              <w:rPr>
                <w:spacing w:val="4"/>
              </w:rPr>
              <w:t>(m</w:t>
            </w:r>
            <w:r>
              <w:rPr>
                <w:sz w:val="13"/>
                <w:szCs w:val="13"/>
                <w:spacing w:val="4"/>
                <w:position w:val="6"/>
              </w:rPr>
              <w:t>3</w:t>
            </w:r>
            <w:r>
              <w:rPr>
                <w:spacing w:val="4"/>
              </w:rPr>
              <w:t>/d)</w:t>
            </w:r>
          </w:p>
        </w:tc>
        <w:tc>
          <w:tcPr>
            <w:tcW w:w="1365" w:type="dxa"/>
            <w:vAlign w:val="top"/>
          </w:tcPr>
          <w:p>
            <w:pPr>
              <w:ind w:left="160"/>
              <w:spacing w:before="33" w:line="228" w:lineRule="auto"/>
              <w:rPr>
                <w:rFonts w:ascii="SimSun" w:hAnsi="SimSun" w:eastAsia="SimSun" w:cs="SimSun"/>
                <w:sz w:val="20"/>
                <w:szCs w:val="20"/>
              </w:rPr>
            </w:pPr>
            <w:r>
              <w:rPr>
                <w:rFonts w:ascii="SimSun" w:hAnsi="SimSun" w:eastAsia="SimSun" w:cs="SimSun"/>
                <w:sz w:val="20"/>
                <w:szCs w:val="20"/>
                <w:spacing w:val="8"/>
              </w:rPr>
              <w:t>第四系含水</w:t>
            </w:r>
          </w:p>
          <w:p>
            <w:pPr>
              <w:ind w:left="160"/>
              <w:spacing w:before="26" w:line="227" w:lineRule="auto"/>
              <w:rPr>
                <w:rFonts w:ascii="SimSun" w:hAnsi="SimSun" w:eastAsia="SimSun" w:cs="SimSun"/>
                <w:sz w:val="20"/>
                <w:szCs w:val="20"/>
              </w:rPr>
            </w:pPr>
            <w:r>
              <w:rPr>
                <w:rFonts w:ascii="SimSun" w:hAnsi="SimSun" w:eastAsia="SimSun" w:cs="SimSun"/>
                <w:sz w:val="20"/>
                <w:szCs w:val="20"/>
                <w:spacing w:val="8"/>
              </w:rPr>
              <w:t>层疏干水量</w:t>
            </w:r>
          </w:p>
          <w:p>
            <w:pPr>
              <w:pStyle w:val="TableText"/>
              <w:ind w:left="417"/>
              <w:spacing w:before="26" w:line="214" w:lineRule="auto"/>
              <w:rPr/>
            </w:pPr>
            <w:r>
              <w:rPr>
                <w:spacing w:val="2"/>
              </w:rPr>
              <w:t>(m</w:t>
            </w:r>
            <w:r>
              <w:rPr>
                <w:sz w:val="13"/>
                <w:szCs w:val="13"/>
                <w:spacing w:val="2"/>
                <w:position w:val="6"/>
              </w:rPr>
              <w:t>3</w:t>
            </w:r>
            <w:r>
              <w:rPr>
                <w:spacing w:val="2"/>
              </w:rPr>
              <w:t>/d)</w:t>
            </w:r>
          </w:p>
        </w:tc>
        <w:tc>
          <w:tcPr>
            <w:tcW w:w="1365" w:type="dxa"/>
            <w:vAlign w:val="top"/>
          </w:tcPr>
          <w:p>
            <w:pPr>
              <w:ind w:left="161"/>
              <w:spacing w:before="33" w:line="228" w:lineRule="auto"/>
              <w:rPr>
                <w:rFonts w:ascii="SimSun" w:hAnsi="SimSun" w:eastAsia="SimSun" w:cs="SimSun"/>
                <w:sz w:val="20"/>
                <w:szCs w:val="20"/>
              </w:rPr>
            </w:pPr>
            <w:r>
              <w:rPr>
                <w:rFonts w:ascii="SimSun" w:hAnsi="SimSun" w:eastAsia="SimSun" w:cs="SimSun"/>
                <w:sz w:val="20"/>
                <w:szCs w:val="20"/>
                <w:spacing w:val="8"/>
              </w:rPr>
              <w:t>煤系含水层</w:t>
            </w:r>
          </w:p>
          <w:p>
            <w:pPr>
              <w:ind w:left="269"/>
              <w:spacing w:before="26" w:line="227" w:lineRule="auto"/>
              <w:rPr>
                <w:rFonts w:ascii="SimSun" w:hAnsi="SimSun" w:eastAsia="SimSun" w:cs="SimSun"/>
                <w:sz w:val="20"/>
                <w:szCs w:val="20"/>
              </w:rPr>
            </w:pPr>
            <w:r>
              <w:rPr>
                <w:rFonts w:ascii="SimSun" w:hAnsi="SimSun" w:eastAsia="SimSun" w:cs="SimSun"/>
                <w:sz w:val="20"/>
                <w:szCs w:val="20"/>
                <w:spacing w:val="7"/>
              </w:rPr>
              <w:t>疏干水量</w:t>
            </w:r>
          </w:p>
          <w:p>
            <w:pPr>
              <w:pStyle w:val="TableText"/>
              <w:ind w:left="418"/>
              <w:spacing w:before="26" w:line="214" w:lineRule="auto"/>
              <w:rPr/>
            </w:pPr>
            <w:r>
              <w:rPr>
                <w:spacing w:val="2"/>
              </w:rPr>
              <w:t>(m</w:t>
            </w:r>
            <w:r>
              <w:rPr>
                <w:sz w:val="13"/>
                <w:szCs w:val="13"/>
                <w:spacing w:val="2"/>
                <w:position w:val="6"/>
              </w:rPr>
              <w:t>3</w:t>
            </w:r>
            <w:r>
              <w:rPr>
                <w:spacing w:val="2"/>
              </w:rPr>
              <w:t>/d)</w:t>
            </w:r>
          </w:p>
        </w:tc>
        <w:tc>
          <w:tcPr>
            <w:tcW w:w="1365" w:type="dxa"/>
            <w:vAlign w:val="top"/>
          </w:tcPr>
          <w:p>
            <w:pPr>
              <w:pStyle w:val="TableText"/>
              <w:ind w:left="406" w:right="262" w:hanging="138"/>
              <w:spacing w:before="170" w:line="259" w:lineRule="auto"/>
              <w:rPr/>
            </w:pPr>
            <w:r>
              <w:rPr>
                <w:rFonts w:ascii="SimSun" w:hAnsi="SimSun" w:eastAsia="SimSun" w:cs="SimSun"/>
                <w:spacing w:val="7"/>
              </w:rPr>
              <w:t>年涌水量</w:t>
            </w:r>
            <w:r>
              <w:rPr>
                <w:spacing w:val="3"/>
              </w:rPr>
              <w:t>(m3/a)</w:t>
            </w:r>
          </w:p>
        </w:tc>
        <w:tc>
          <w:tcPr>
            <w:tcW w:w="1367" w:type="dxa"/>
            <w:vAlign w:val="top"/>
          </w:tcPr>
          <w:p>
            <w:pPr>
              <w:ind w:left="162"/>
              <w:spacing w:before="33" w:line="228" w:lineRule="auto"/>
              <w:rPr>
                <w:rFonts w:ascii="SimSun" w:hAnsi="SimSun" w:eastAsia="SimSun" w:cs="SimSun"/>
                <w:sz w:val="20"/>
                <w:szCs w:val="20"/>
              </w:rPr>
            </w:pPr>
            <w:r>
              <w:rPr>
                <w:rFonts w:ascii="SimSun" w:hAnsi="SimSun" w:eastAsia="SimSun" w:cs="SimSun"/>
                <w:sz w:val="20"/>
                <w:szCs w:val="20"/>
                <w:spacing w:val="8"/>
              </w:rPr>
              <w:t>第四系含水</w:t>
            </w:r>
          </w:p>
          <w:p>
            <w:pPr>
              <w:ind w:left="162"/>
              <w:spacing w:before="26" w:line="227" w:lineRule="auto"/>
              <w:rPr>
                <w:rFonts w:ascii="SimSun" w:hAnsi="SimSun" w:eastAsia="SimSun" w:cs="SimSun"/>
                <w:sz w:val="20"/>
                <w:szCs w:val="20"/>
              </w:rPr>
            </w:pPr>
            <w:r>
              <w:rPr>
                <w:rFonts w:ascii="SimSun" w:hAnsi="SimSun" w:eastAsia="SimSun" w:cs="SimSun"/>
                <w:sz w:val="20"/>
                <w:szCs w:val="20"/>
                <w:spacing w:val="8"/>
              </w:rPr>
              <w:t>层疏干水量</w:t>
            </w:r>
          </w:p>
          <w:p>
            <w:pPr>
              <w:pStyle w:val="TableText"/>
              <w:ind w:left="426"/>
              <w:spacing w:before="26" w:line="214" w:lineRule="auto"/>
              <w:rPr/>
            </w:pPr>
            <w:r>
              <w:rPr>
                <w:spacing w:val="2"/>
              </w:rPr>
              <w:t>(m</w:t>
            </w:r>
            <w:r>
              <w:rPr>
                <w:sz w:val="13"/>
                <w:szCs w:val="13"/>
                <w:spacing w:val="2"/>
                <w:position w:val="6"/>
              </w:rPr>
              <w:t>3</w:t>
            </w:r>
            <w:r>
              <w:rPr>
                <w:spacing w:val="2"/>
              </w:rPr>
              <w:t>/a)</w:t>
            </w:r>
          </w:p>
        </w:tc>
        <w:tc>
          <w:tcPr>
            <w:tcW w:w="1369" w:type="dxa"/>
            <w:vAlign w:val="top"/>
          </w:tcPr>
          <w:p>
            <w:pPr>
              <w:ind w:left="161"/>
              <w:spacing w:before="33" w:line="228" w:lineRule="auto"/>
              <w:rPr>
                <w:rFonts w:ascii="SimSun" w:hAnsi="SimSun" w:eastAsia="SimSun" w:cs="SimSun"/>
                <w:sz w:val="20"/>
                <w:szCs w:val="20"/>
              </w:rPr>
            </w:pPr>
            <w:r>
              <w:rPr>
                <w:rFonts w:ascii="SimSun" w:hAnsi="SimSun" w:eastAsia="SimSun" w:cs="SimSun"/>
                <w:sz w:val="20"/>
                <w:szCs w:val="20"/>
                <w:spacing w:val="8"/>
              </w:rPr>
              <w:t>煤系含水层</w:t>
            </w:r>
          </w:p>
          <w:p>
            <w:pPr>
              <w:ind w:left="267"/>
              <w:spacing w:before="26" w:line="227" w:lineRule="auto"/>
              <w:rPr>
                <w:rFonts w:ascii="SimSun" w:hAnsi="SimSun" w:eastAsia="SimSun" w:cs="SimSun"/>
                <w:sz w:val="20"/>
                <w:szCs w:val="20"/>
              </w:rPr>
            </w:pPr>
            <w:r>
              <w:rPr>
                <w:rFonts w:ascii="SimSun" w:hAnsi="SimSun" w:eastAsia="SimSun" w:cs="SimSun"/>
                <w:sz w:val="20"/>
                <w:szCs w:val="20"/>
                <w:spacing w:val="7"/>
              </w:rPr>
              <w:t>疏干水量</w:t>
            </w:r>
          </w:p>
          <w:p>
            <w:pPr>
              <w:pStyle w:val="TableText"/>
              <w:ind w:left="425"/>
              <w:spacing w:before="26" w:line="214" w:lineRule="auto"/>
              <w:rPr/>
            </w:pPr>
            <w:r>
              <w:rPr>
                <w:spacing w:val="3"/>
              </w:rPr>
              <w:t>(m</w:t>
            </w:r>
            <w:r>
              <w:rPr>
                <w:sz w:val="13"/>
                <w:szCs w:val="13"/>
                <w:spacing w:val="3"/>
                <w:position w:val="6"/>
              </w:rPr>
              <w:t>3</w:t>
            </w:r>
            <w:r>
              <w:rPr>
                <w:spacing w:val="3"/>
              </w:rPr>
              <w:t>/a)</w:t>
            </w:r>
          </w:p>
        </w:tc>
      </w:tr>
      <w:tr>
        <w:trPr>
          <w:trHeight w:val="294" w:hRule="atLeast"/>
        </w:trPr>
        <w:tc>
          <w:tcPr>
            <w:tcW w:w="868" w:type="dxa"/>
            <w:vAlign w:val="top"/>
          </w:tcPr>
          <w:p>
            <w:pPr>
              <w:pStyle w:val="TableText"/>
              <w:ind w:left="222"/>
              <w:spacing w:before="76" w:line="195" w:lineRule="auto"/>
              <w:rPr/>
            </w:pPr>
            <w:r>
              <w:rPr>
                <w:spacing w:val="4"/>
              </w:rPr>
              <w:t>2021</w:t>
            </w:r>
          </w:p>
        </w:tc>
        <w:tc>
          <w:tcPr>
            <w:tcW w:w="1365" w:type="dxa"/>
            <w:vAlign w:val="top"/>
          </w:tcPr>
          <w:p>
            <w:pPr>
              <w:pStyle w:val="TableText"/>
              <w:ind w:left="344"/>
              <w:spacing w:before="76" w:line="195" w:lineRule="auto"/>
              <w:rPr/>
            </w:pPr>
            <w:r>
              <w:rPr>
                <w:spacing w:val="3"/>
              </w:rPr>
              <w:t>5744.61</w:t>
            </w:r>
          </w:p>
        </w:tc>
        <w:tc>
          <w:tcPr>
            <w:tcW w:w="1365" w:type="dxa"/>
            <w:vAlign w:val="top"/>
          </w:tcPr>
          <w:p>
            <w:pPr>
              <w:pStyle w:val="TableText"/>
              <w:ind w:left="338"/>
              <w:spacing w:before="76" w:line="195" w:lineRule="auto"/>
              <w:rPr/>
            </w:pPr>
            <w:r>
              <w:rPr>
                <w:spacing w:val="4"/>
              </w:rPr>
              <w:t>4912.06</w:t>
            </w:r>
          </w:p>
        </w:tc>
        <w:tc>
          <w:tcPr>
            <w:tcW w:w="1365" w:type="dxa"/>
            <w:vAlign w:val="top"/>
          </w:tcPr>
          <w:p>
            <w:pPr>
              <w:pStyle w:val="TableText"/>
              <w:ind w:left="400"/>
              <w:spacing w:before="76" w:line="195" w:lineRule="auto"/>
              <w:rPr/>
            </w:pPr>
            <w:r>
              <w:rPr>
                <w:spacing w:val="2"/>
              </w:rPr>
              <w:t>832.55</w:t>
            </w:r>
          </w:p>
        </w:tc>
        <w:tc>
          <w:tcPr>
            <w:tcW w:w="1365" w:type="dxa"/>
            <w:vAlign w:val="top"/>
          </w:tcPr>
          <w:p>
            <w:pPr>
              <w:pStyle w:val="TableText"/>
              <w:ind w:left="316"/>
              <w:spacing w:before="76" w:line="195" w:lineRule="auto"/>
              <w:rPr/>
            </w:pPr>
            <w:r>
              <w:rPr>
                <w:spacing w:val="4"/>
              </w:rPr>
              <w:t>2096783</w:t>
            </w:r>
          </w:p>
        </w:tc>
        <w:tc>
          <w:tcPr>
            <w:tcW w:w="1367" w:type="dxa"/>
            <w:vAlign w:val="top"/>
          </w:tcPr>
          <w:p>
            <w:pPr>
              <w:pStyle w:val="TableText"/>
              <w:ind w:left="339"/>
              <w:spacing w:before="76" w:line="195" w:lineRule="auto"/>
              <w:rPr/>
            </w:pPr>
            <w:r>
              <w:rPr>
                <w:spacing w:val="1"/>
              </w:rPr>
              <w:t>1792901</w:t>
            </w:r>
          </w:p>
        </w:tc>
        <w:tc>
          <w:tcPr>
            <w:tcW w:w="1369" w:type="dxa"/>
            <w:vAlign w:val="top"/>
          </w:tcPr>
          <w:p>
            <w:pPr>
              <w:pStyle w:val="TableText"/>
              <w:ind w:left="372"/>
              <w:spacing w:before="76" w:line="195" w:lineRule="auto"/>
              <w:rPr/>
            </w:pPr>
            <w:r>
              <w:rPr>
                <w:spacing w:val="3"/>
              </w:rPr>
              <w:t>303882</w:t>
            </w:r>
          </w:p>
        </w:tc>
      </w:tr>
      <w:tr>
        <w:trPr>
          <w:trHeight w:val="294" w:hRule="atLeast"/>
        </w:trPr>
        <w:tc>
          <w:tcPr>
            <w:tcW w:w="868" w:type="dxa"/>
            <w:vAlign w:val="top"/>
          </w:tcPr>
          <w:p>
            <w:pPr>
              <w:pStyle w:val="TableText"/>
              <w:ind w:left="222"/>
              <w:spacing w:before="77" w:line="195" w:lineRule="auto"/>
              <w:rPr/>
            </w:pPr>
            <w:r>
              <w:rPr>
                <w:spacing w:val="4"/>
              </w:rPr>
              <w:t>2022</w:t>
            </w:r>
          </w:p>
        </w:tc>
        <w:tc>
          <w:tcPr>
            <w:tcW w:w="1365" w:type="dxa"/>
            <w:vAlign w:val="top"/>
          </w:tcPr>
          <w:p>
            <w:pPr>
              <w:pStyle w:val="TableText"/>
              <w:ind w:left="341"/>
              <w:spacing w:before="77" w:line="195" w:lineRule="auto"/>
              <w:rPr/>
            </w:pPr>
            <w:r>
              <w:rPr>
                <w:spacing w:val="3"/>
              </w:rPr>
              <w:t>7802.05</w:t>
            </w:r>
          </w:p>
        </w:tc>
        <w:tc>
          <w:tcPr>
            <w:tcW w:w="1365" w:type="dxa"/>
            <w:vAlign w:val="top"/>
          </w:tcPr>
          <w:p>
            <w:pPr>
              <w:pStyle w:val="TableText"/>
              <w:ind w:left="343"/>
              <w:spacing w:before="77" w:line="195" w:lineRule="auto"/>
              <w:rPr/>
            </w:pPr>
            <w:r>
              <w:rPr>
                <w:spacing w:val="3"/>
              </w:rPr>
              <w:t>6671.32</w:t>
            </w:r>
          </w:p>
        </w:tc>
        <w:tc>
          <w:tcPr>
            <w:tcW w:w="1365" w:type="dxa"/>
            <w:vAlign w:val="top"/>
          </w:tcPr>
          <w:p>
            <w:pPr>
              <w:pStyle w:val="TableText"/>
              <w:ind w:left="364"/>
              <w:spacing w:before="77" w:line="195" w:lineRule="auto"/>
              <w:rPr/>
            </w:pPr>
            <w:r>
              <w:rPr/>
              <w:t>1130.73</w:t>
            </w:r>
          </w:p>
        </w:tc>
        <w:tc>
          <w:tcPr>
            <w:tcW w:w="1365" w:type="dxa"/>
            <w:vAlign w:val="top"/>
          </w:tcPr>
          <w:p>
            <w:pPr>
              <w:pStyle w:val="TableText"/>
              <w:ind w:left="316"/>
              <w:spacing w:before="77" w:line="195" w:lineRule="auto"/>
              <w:rPr/>
            </w:pPr>
            <w:r>
              <w:rPr>
                <w:spacing w:val="4"/>
              </w:rPr>
              <w:t>2847750</w:t>
            </w:r>
          </w:p>
        </w:tc>
        <w:tc>
          <w:tcPr>
            <w:tcW w:w="1367" w:type="dxa"/>
            <w:vAlign w:val="top"/>
          </w:tcPr>
          <w:p>
            <w:pPr>
              <w:pStyle w:val="TableText"/>
              <w:ind w:left="319"/>
              <w:spacing w:before="77" w:line="195" w:lineRule="auto"/>
              <w:rPr/>
            </w:pPr>
            <w:r>
              <w:rPr>
                <w:spacing w:val="4"/>
              </w:rPr>
              <w:t>2435033</w:t>
            </w:r>
          </w:p>
        </w:tc>
        <w:tc>
          <w:tcPr>
            <w:tcW w:w="1369" w:type="dxa"/>
            <w:vAlign w:val="top"/>
          </w:tcPr>
          <w:p>
            <w:pPr>
              <w:pStyle w:val="TableText"/>
              <w:ind w:left="367"/>
              <w:spacing w:before="77" w:line="195" w:lineRule="auto"/>
              <w:rPr/>
            </w:pPr>
            <w:r>
              <w:rPr>
                <w:spacing w:val="4"/>
              </w:rPr>
              <w:t>412717</w:t>
            </w:r>
          </w:p>
        </w:tc>
      </w:tr>
      <w:tr>
        <w:trPr>
          <w:trHeight w:val="289" w:hRule="atLeast"/>
        </w:trPr>
        <w:tc>
          <w:tcPr>
            <w:tcW w:w="868" w:type="dxa"/>
            <w:vAlign w:val="top"/>
          </w:tcPr>
          <w:p>
            <w:pPr>
              <w:pStyle w:val="TableText"/>
              <w:ind w:left="222"/>
              <w:spacing w:before="75" w:line="195" w:lineRule="auto"/>
              <w:rPr/>
            </w:pPr>
            <w:r>
              <w:rPr>
                <w:spacing w:val="4"/>
              </w:rPr>
              <w:t>2023</w:t>
            </w:r>
          </w:p>
        </w:tc>
        <w:tc>
          <w:tcPr>
            <w:tcW w:w="1365" w:type="dxa"/>
            <w:vAlign w:val="top"/>
          </w:tcPr>
          <w:p>
            <w:pPr>
              <w:pStyle w:val="TableText"/>
              <w:ind w:left="338"/>
              <w:spacing w:before="75" w:line="195" w:lineRule="auto"/>
              <w:rPr/>
            </w:pPr>
            <w:r>
              <w:rPr>
                <w:spacing w:val="4"/>
              </w:rPr>
              <w:t>2983.64</w:t>
            </w:r>
          </w:p>
        </w:tc>
        <w:tc>
          <w:tcPr>
            <w:tcW w:w="1365" w:type="dxa"/>
            <w:vAlign w:val="top"/>
          </w:tcPr>
          <w:p>
            <w:pPr>
              <w:pStyle w:val="TableText"/>
              <w:ind w:left="339"/>
              <w:spacing w:before="75" w:line="195" w:lineRule="auto"/>
              <w:rPr/>
            </w:pPr>
            <w:r>
              <w:rPr>
                <w:spacing w:val="4"/>
              </w:rPr>
              <w:t>2551.23</w:t>
            </w:r>
          </w:p>
        </w:tc>
        <w:tc>
          <w:tcPr>
            <w:tcW w:w="1365" w:type="dxa"/>
            <w:vAlign w:val="top"/>
          </w:tcPr>
          <w:p>
            <w:pPr>
              <w:pStyle w:val="TableText"/>
              <w:ind w:left="391"/>
              <w:spacing w:before="75" w:line="195" w:lineRule="auto"/>
              <w:rPr/>
            </w:pPr>
            <w:r>
              <w:rPr>
                <w:spacing w:val="4"/>
              </w:rPr>
              <w:t>432.41</w:t>
            </w:r>
          </w:p>
        </w:tc>
        <w:tc>
          <w:tcPr>
            <w:tcW w:w="1365" w:type="dxa"/>
            <w:vAlign w:val="top"/>
          </w:tcPr>
          <w:p>
            <w:pPr>
              <w:pStyle w:val="TableText"/>
              <w:ind w:left="336"/>
              <w:spacing w:before="75" w:line="195" w:lineRule="auto"/>
              <w:rPr/>
            </w:pPr>
            <w:r>
              <w:rPr>
                <w:spacing w:val="1"/>
              </w:rPr>
              <w:t>1089027</w:t>
            </w:r>
          </w:p>
        </w:tc>
        <w:tc>
          <w:tcPr>
            <w:tcW w:w="1367" w:type="dxa"/>
            <w:vAlign w:val="top"/>
          </w:tcPr>
          <w:p>
            <w:pPr>
              <w:pStyle w:val="TableText"/>
              <w:ind w:left="376"/>
              <w:spacing w:before="75" w:line="195" w:lineRule="auto"/>
              <w:rPr/>
            </w:pPr>
            <w:r>
              <w:rPr>
                <w:spacing w:val="2"/>
              </w:rPr>
              <w:t>931197</w:t>
            </w:r>
          </w:p>
        </w:tc>
        <w:tc>
          <w:tcPr>
            <w:tcW w:w="1369" w:type="dxa"/>
            <w:vAlign w:val="top"/>
          </w:tcPr>
          <w:p>
            <w:pPr>
              <w:pStyle w:val="TableText"/>
              <w:ind w:left="388"/>
              <w:spacing w:before="75" w:line="195" w:lineRule="auto"/>
              <w:rPr/>
            </w:pPr>
            <w:r>
              <w:rPr>
                <w:spacing w:val="1"/>
              </w:rPr>
              <w:t>157830</w:t>
            </w:r>
          </w:p>
        </w:tc>
      </w:tr>
      <w:tr>
        <w:trPr>
          <w:trHeight w:val="299" w:hRule="atLeast"/>
        </w:trPr>
        <w:tc>
          <w:tcPr>
            <w:tcW w:w="868" w:type="dxa"/>
            <w:vAlign w:val="top"/>
          </w:tcPr>
          <w:p>
            <w:pPr>
              <w:pStyle w:val="TableText"/>
              <w:ind w:left="222"/>
              <w:spacing w:before="79" w:line="195" w:lineRule="auto"/>
              <w:rPr/>
            </w:pPr>
            <w:r>
              <w:rPr>
                <w:spacing w:val="4"/>
              </w:rPr>
              <w:t>2024</w:t>
            </w:r>
          </w:p>
        </w:tc>
        <w:tc>
          <w:tcPr>
            <w:tcW w:w="1365" w:type="dxa"/>
            <w:vAlign w:val="top"/>
          </w:tcPr>
          <w:p>
            <w:pPr>
              <w:pStyle w:val="TableText"/>
              <w:ind w:left="344"/>
              <w:spacing w:before="79" w:line="195" w:lineRule="auto"/>
              <w:rPr/>
            </w:pPr>
            <w:r>
              <w:rPr>
                <w:spacing w:val="3"/>
              </w:rPr>
              <w:t>5304.00</w:t>
            </w:r>
          </w:p>
        </w:tc>
        <w:tc>
          <w:tcPr>
            <w:tcW w:w="1365" w:type="dxa"/>
            <w:vAlign w:val="top"/>
          </w:tcPr>
          <w:p>
            <w:pPr>
              <w:pStyle w:val="TableText"/>
              <w:ind w:left="338"/>
              <w:spacing w:before="79" w:line="195" w:lineRule="auto"/>
              <w:rPr/>
            </w:pPr>
            <w:r>
              <w:rPr>
                <w:spacing w:val="4"/>
              </w:rPr>
              <w:t>4535.30</w:t>
            </w:r>
          </w:p>
        </w:tc>
        <w:tc>
          <w:tcPr>
            <w:tcW w:w="1365" w:type="dxa"/>
            <w:vAlign w:val="top"/>
          </w:tcPr>
          <w:p>
            <w:pPr>
              <w:pStyle w:val="TableText"/>
              <w:ind w:left="395"/>
              <w:spacing w:before="79" w:line="195" w:lineRule="auto"/>
              <w:rPr/>
            </w:pPr>
            <w:r>
              <w:rPr>
                <w:spacing w:val="3"/>
              </w:rPr>
              <w:t>768.70</w:t>
            </w:r>
          </w:p>
        </w:tc>
        <w:tc>
          <w:tcPr>
            <w:tcW w:w="1365" w:type="dxa"/>
            <w:vAlign w:val="top"/>
          </w:tcPr>
          <w:p>
            <w:pPr>
              <w:pStyle w:val="TableText"/>
              <w:ind w:left="336"/>
              <w:spacing w:before="79" w:line="195" w:lineRule="auto"/>
              <w:rPr/>
            </w:pPr>
            <w:r>
              <w:rPr>
                <w:spacing w:val="1"/>
              </w:rPr>
              <w:t>1935960</w:t>
            </w:r>
          </w:p>
        </w:tc>
        <w:tc>
          <w:tcPr>
            <w:tcW w:w="1367" w:type="dxa"/>
            <w:vAlign w:val="top"/>
          </w:tcPr>
          <w:p>
            <w:pPr>
              <w:pStyle w:val="TableText"/>
              <w:ind w:left="339"/>
              <w:spacing w:before="79" w:line="195" w:lineRule="auto"/>
              <w:rPr/>
            </w:pPr>
            <w:r>
              <w:rPr>
                <w:spacing w:val="1"/>
              </w:rPr>
              <w:t>1655386</w:t>
            </w:r>
          </w:p>
        </w:tc>
        <w:tc>
          <w:tcPr>
            <w:tcW w:w="1369" w:type="dxa"/>
            <w:vAlign w:val="top"/>
          </w:tcPr>
          <w:p>
            <w:pPr>
              <w:pStyle w:val="TableText"/>
              <w:ind w:left="368"/>
              <w:spacing w:before="79" w:line="195" w:lineRule="auto"/>
              <w:rPr/>
            </w:pPr>
            <w:r>
              <w:rPr>
                <w:spacing w:val="4"/>
              </w:rPr>
              <w:t>280574</w:t>
            </w:r>
          </w:p>
        </w:tc>
      </w:tr>
    </w:tbl>
    <w:p>
      <w:pPr>
        <w:pStyle w:val="BodyText"/>
        <w:spacing w:line="252" w:lineRule="auto"/>
        <w:rPr/>
      </w:pPr>
      <w:r/>
    </w:p>
    <w:p>
      <w:pPr>
        <w:pStyle w:val="BodyText"/>
        <w:spacing w:line="253" w:lineRule="auto"/>
        <w:rPr/>
      </w:pPr>
      <w:r/>
    </w:p>
    <w:p>
      <w:pPr>
        <w:ind w:left="606"/>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）地下水水位变化趋势</w:t>
      </w:r>
    </w:p>
    <w:p>
      <w:pPr>
        <w:ind w:left="118" w:right="112" w:firstLine="481"/>
        <w:spacing w:before="154" w:line="340" w:lineRule="auto"/>
        <w:rPr>
          <w:rFonts w:ascii="SimSun" w:hAnsi="SimSun" w:eastAsia="SimSun" w:cs="SimSun"/>
          <w:sz w:val="24"/>
          <w:szCs w:val="24"/>
        </w:rPr>
      </w:pPr>
      <w:r>
        <w:rPr>
          <w:rFonts w:ascii="SimSun" w:hAnsi="SimSun" w:eastAsia="SimSun" w:cs="SimSun"/>
          <w:sz w:val="24"/>
          <w:szCs w:val="24"/>
          <w:spacing w:val="5"/>
        </w:rPr>
        <w:t>本次评价收集了白音华四号露天矿及紧邻的四号井工煤矿不同时期的水位监测数</w:t>
      </w:r>
      <w:r>
        <w:rPr>
          <w:rFonts w:ascii="SimSun" w:hAnsi="SimSun" w:eastAsia="SimSun" w:cs="SimSun"/>
          <w:sz w:val="24"/>
          <w:szCs w:val="24"/>
          <w:spacing w:val="-3"/>
        </w:rPr>
        <w:t>据，如表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3-3-13 </w:t>
      </w:r>
      <w:r>
        <w:rPr>
          <w:rFonts w:ascii="SimSun" w:hAnsi="SimSun" w:eastAsia="SimSun" w:cs="SimSun"/>
          <w:sz w:val="24"/>
          <w:szCs w:val="24"/>
          <w:spacing w:val="-3"/>
        </w:rPr>
        <w:t>所示。在此基础上，结合白音华四号露天矿水文地质资料，分析白音华</w:t>
      </w:r>
      <w:r>
        <w:rPr>
          <w:rFonts w:ascii="SimSun" w:hAnsi="SimSun" w:eastAsia="SimSun" w:cs="SimSun"/>
          <w:sz w:val="24"/>
          <w:szCs w:val="24"/>
          <w:spacing w:val="-1"/>
        </w:rPr>
        <w:t>四号煤矿地下水水位变化情况。</w:t>
      </w:r>
    </w:p>
    <w:p>
      <w:pPr>
        <w:ind w:left="3214"/>
        <w:spacing w:before="120" w:line="221" w:lineRule="auto"/>
        <w:rPr>
          <w:rFonts w:ascii="SimHei" w:hAnsi="SimHei" w:eastAsia="SimHei" w:cs="SimHei"/>
          <w:sz w:val="24"/>
          <w:szCs w:val="24"/>
        </w:rPr>
      </w:pPr>
      <w:r>
        <w:rPr>
          <w:rFonts w:ascii="SimHei" w:hAnsi="SimHei" w:eastAsia="SimHei" w:cs="SimHei"/>
          <w:sz w:val="24"/>
          <w:szCs w:val="24"/>
          <w:spacing w:val="-1"/>
        </w:rPr>
        <w:t>地下水水位信息来源统计表</w:t>
      </w:r>
    </w:p>
    <w:p>
      <w:pPr>
        <w:ind w:left="117"/>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3-3-13</w:t>
      </w:r>
    </w:p>
    <w:p>
      <w:pPr>
        <w:spacing w:line="22"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711"/>
        <w:gridCol w:w="2835"/>
        <w:gridCol w:w="2744"/>
      </w:tblGrid>
      <w:tr>
        <w:trPr>
          <w:trHeight w:val="282" w:hRule="atLeast"/>
        </w:trPr>
        <w:tc>
          <w:tcPr>
            <w:tcW w:w="3711" w:type="dxa"/>
            <w:vAlign w:val="top"/>
          </w:tcPr>
          <w:p>
            <w:pPr>
              <w:ind w:left="1439"/>
              <w:spacing w:before="33" w:line="220" w:lineRule="auto"/>
              <w:rPr>
                <w:rFonts w:ascii="SimSun" w:hAnsi="SimSun" w:eastAsia="SimSun" w:cs="SimSun"/>
                <w:sz w:val="20"/>
                <w:szCs w:val="20"/>
              </w:rPr>
            </w:pPr>
            <w:r>
              <w:rPr>
                <w:rFonts w:ascii="SimSun" w:hAnsi="SimSun" w:eastAsia="SimSun" w:cs="SimSun"/>
                <w:sz w:val="20"/>
                <w:szCs w:val="20"/>
                <w:spacing w:val="7"/>
              </w:rPr>
              <w:t>监测时段</w:t>
            </w:r>
          </w:p>
        </w:tc>
        <w:tc>
          <w:tcPr>
            <w:tcW w:w="2835" w:type="dxa"/>
            <w:vAlign w:val="top"/>
          </w:tcPr>
          <w:p>
            <w:pPr>
              <w:ind w:left="1001"/>
              <w:spacing w:before="33" w:line="220" w:lineRule="auto"/>
              <w:rPr>
                <w:rFonts w:ascii="SimSun" w:hAnsi="SimSun" w:eastAsia="SimSun" w:cs="SimSun"/>
                <w:sz w:val="20"/>
                <w:szCs w:val="20"/>
              </w:rPr>
            </w:pPr>
            <w:r>
              <w:rPr>
                <w:rFonts w:ascii="SimSun" w:hAnsi="SimSun" w:eastAsia="SimSun" w:cs="SimSun"/>
                <w:sz w:val="20"/>
                <w:szCs w:val="20"/>
                <w:spacing w:val="7"/>
              </w:rPr>
              <w:t>监测点位</w:t>
            </w:r>
          </w:p>
        </w:tc>
        <w:tc>
          <w:tcPr>
            <w:tcW w:w="2744" w:type="dxa"/>
            <w:vAlign w:val="top"/>
          </w:tcPr>
          <w:p>
            <w:pPr>
              <w:ind w:left="958"/>
              <w:spacing w:before="33" w:line="220" w:lineRule="auto"/>
              <w:rPr>
                <w:rFonts w:ascii="SimSun" w:hAnsi="SimSun" w:eastAsia="SimSun" w:cs="SimSun"/>
                <w:sz w:val="20"/>
                <w:szCs w:val="20"/>
              </w:rPr>
            </w:pPr>
            <w:r>
              <w:rPr>
                <w:rFonts w:ascii="SimSun" w:hAnsi="SimSun" w:eastAsia="SimSun" w:cs="SimSun"/>
                <w:sz w:val="20"/>
                <w:szCs w:val="20"/>
                <w:spacing w:val="6"/>
              </w:rPr>
              <w:t>数据来源</w:t>
            </w:r>
          </w:p>
        </w:tc>
      </w:tr>
      <w:tr>
        <w:trPr>
          <w:trHeight w:val="275" w:hRule="atLeast"/>
        </w:trPr>
        <w:tc>
          <w:tcPr>
            <w:tcW w:w="3711" w:type="dxa"/>
            <w:vAlign w:val="top"/>
          </w:tcPr>
          <w:p>
            <w:pPr>
              <w:pStyle w:val="TableText"/>
              <w:ind w:left="1513"/>
              <w:spacing w:before="29" w:line="217" w:lineRule="auto"/>
              <w:rPr>
                <w:rFonts w:ascii="SimSun" w:hAnsi="SimSun" w:eastAsia="SimSun" w:cs="SimSun"/>
              </w:rPr>
            </w:pPr>
            <w:r>
              <w:rPr>
                <w:spacing w:val="3"/>
              </w:rPr>
              <w:t>2005</w:t>
            </w:r>
            <w:r>
              <w:rPr>
                <w:spacing w:val="11"/>
              </w:rPr>
              <w:t xml:space="preserve"> </w:t>
            </w:r>
            <w:r>
              <w:rPr>
                <w:rFonts w:ascii="SimSun" w:hAnsi="SimSun" w:eastAsia="SimSun" w:cs="SimSun"/>
                <w:spacing w:val="3"/>
              </w:rPr>
              <w:t>年</w:t>
            </w:r>
          </w:p>
        </w:tc>
        <w:tc>
          <w:tcPr>
            <w:tcW w:w="2835" w:type="dxa"/>
            <w:vAlign w:val="top"/>
          </w:tcPr>
          <w:p>
            <w:pPr>
              <w:ind w:left="584"/>
              <w:spacing w:before="29" w:line="217" w:lineRule="auto"/>
              <w:rPr>
                <w:rFonts w:ascii="SimSun" w:hAnsi="SimSun" w:eastAsia="SimSun" w:cs="SimSun"/>
                <w:sz w:val="20"/>
                <w:szCs w:val="20"/>
              </w:rPr>
            </w:pPr>
            <w:r>
              <w:rPr>
                <w:rFonts w:ascii="SimSun" w:hAnsi="SimSun" w:eastAsia="SimSun" w:cs="SimSun"/>
                <w:sz w:val="20"/>
                <w:szCs w:val="20"/>
                <w:spacing w:val="8"/>
              </w:rPr>
              <w:t>未知，但有流场图</w:t>
            </w:r>
          </w:p>
        </w:tc>
        <w:tc>
          <w:tcPr>
            <w:tcW w:w="2744" w:type="dxa"/>
            <w:vAlign w:val="top"/>
          </w:tcPr>
          <w:p>
            <w:pPr>
              <w:ind w:left="746"/>
              <w:spacing w:before="29" w:line="217" w:lineRule="auto"/>
              <w:rPr>
                <w:rFonts w:ascii="SimSun" w:hAnsi="SimSun" w:eastAsia="SimSun" w:cs="SimSun"/>
                <w:sz w:val="20"/>
                <w:szCs w:val="20"/>
              </w:rPr>
            </w:pPr>
            <w:r>
              <w:rPr>
                <w:rFonts w:ascii="SimSun" w:hAnsi="SimSun" w:eastAsia="SimSun" w:cs="SimSun"/>
                <w:sz w:val="20"/>
                <w:szCs w:val="20"/>
                <w:spacing w:val="8"/>
              </w:rPr>
              <w:t>煤矿提供资料</w:t>
            </w:r>
          </w:p>
        </w:tc>
      </w:tr>
      <w:tr>
        <w:trPr>
          <w:trHeight w:val="277" w:hRule="atLeast"/>
        </w:trPr>
        <w:tc>
          <w:tcPr>
            <w:tcW w:w="3711" w:type="dxa"/>
            <w:vAlign w:val="top"/>
          </w:tcPr>
          <w:p>
            <w:pPr>
              <w:pStyle w:val="TableText"/>
              <w:ind w:left="1199"/>
              <w:spacing w:before="30" w:line="218" w:lineRule="auto"/>
              <w:rPr>
                <w:rFonts w:ascii="SimSun" w:hAnsi="SimSun" w:eastAsia="SimSun" w:cs="SimSun"/>
              </w:rPr>
            </w:pPr>
            <w:r>
              <w:rPr>
                <w:spacing w:val="5"/>
              </w:rPr>
              <w:t>2019</w:t>
            </w:r>
            <w:r>
              <w:rPr>
                <w:rFonts w:ascii="SimSun" w:hAnsi="SimSun" w:eastAsia="SimSun" w:cs="SimSun"/>
                <w:spacing w:val="5"/>
              </w:rPr>
              <w:t>～</w:t>
            </w:r>
            <w:r>
              <w:rPr>
                <w:spacing w:val="5"/>
              </w:rPr>
              <w:t>2024 </w:t>
            </w:r>
            <w:r>
              <w:rPr>
                <w:rFonts w:ascii="SimSun" w:hAnsi="SimSun" w:eastAsia="SimSun" w:cs="SimSun"/>
                <w:spacing w:val="5"/>
              </w:rPr>
              <w:t>年</w:t>
            </w:r>
          </w:p>
        </w:tc>
        <w:tc>
          <w:tcPr>
            <w:tcW w:w="2835" w:type="dxa"/>
            <w:vAlign w:val="top"/>
          </w:tcPr>
          <w:p>
            <w:pPr>
              <w:pStyle w:val="TableText"/>
              <w:ind w:left="372"/>
              <w:spacing w:before="30" w:line="218" w:lineRule="auto"/>
              <w:rPr>
                <w:rFonts w:ascii="SimSun" w:hAnsi="SimSun" w:eastAsia="SimSun" w:cs="SimSun"/>
              </w:rPr>
            </w:pPr>
            <w:r>
              <w:rPr>
                <w:rFonts w:ascii="SimSun" w:hAnsi="SimSun" w:eastAsia="SimSun" w:cs="SimSun"/>
                <w:spacing w:val="6"/>
              </w:rPr>
              <w:t>井工区</w:t>
            </w:r>
            <w:r>
              <w:rPr>
                <w:rFonts w:ascii="SimSun" w:hAnsi="SimSun" w:eastAsia="SimSun" w:cs="SimSun"/>
                <w:spacing w:val="-28"/>
              </w:rPr>
              <w:t xml:space="preserve"> </w:t>
            </w:r>
            <w:r>
              <w:rPr>
                <w:spacing w:val="6"/>
              </w:rPr>
              <w:t>6 </w:t>
            </w:r>
            <w:r>
              <w:rPr>
                <w:rFonts w:ascii="SimSun" w:hAnsi="SimSun" w:eastAsia="SimSun" w:cs="SimSun"/>
                <w:spacing w:val="6"/>
              </w:rPr>
              <w:t>个潜水长观孔</w:t>
            </w:r>
          </w:p>
        </w:tc>
        <w:tc>
          <w:tcPr>
            <w:tcW w:w="2744" w:type="dxa"/>
            <w:vAlign w:val="top"/>
          </w:tcPr>
          <w:p>
            <w:pPr>
              <w:ind w:left="746"/>
              <w:spacing w:before="30" w:line="218" w:lineRule="auto"/>
              <w:rPr>
                <w:rFonts w:ascii="SimSun" w:hAnsi="SimSun" w:eastAsia="SimSun" w:cs="SimSun"/>
                <w:sz w:val="20"/>
                <w:szCs w:val="20"/>
              </w:rPr>
            </w:pPr>
            <w:r>
              <w:rPr>
                <w:rFonts w:ascii="SimSun" w:hAnsi="SimSun" w:eastAsia="SimSun" w:cs="SimSun"/>
                <w:sz w:val="20"/>
                <w:szCs w:val="20"/>
                <w:spacing w:val="8"/>
              </w:rPr>
              <w:t>煤矿提供资料</w:t>
            </w:r>
          </w:p>
        </w:tc>
      </w:tr>
      <w:tr>
        <w:trPr>
          <w:trHeight w:val="825" w:hRule="atLeast"/>
        </w:trPr>
        <w:tc>
          <w:tcPr>
            <w:tcW w:w="3711" w:type="dxa"/>
            <w:vAlign w:val="top"/>
          </w:tcPr>
          <w:p>
            <w:pPr>
              <w:pStyle w:val="TableText"/>
              <w:ind w:left="911"/>
              <w:spacing w:before="302" w:line="228" w:lineRule="auto"/>
              <w:rPr>
                <w:rFonts w:ascii="SimSun" w:hAnsi="SimSun" w:eastAsia="SimSun" w:cs="SimSun"/>
              </w:rPr>
            </w:pPr>
            <w:r>
              <w:rPr>
                <w:spacing w:val="2"/>
              </w:rPr>
              <w:t>2019 </w:t>
            </w:r>
            <w:r>
              <w:rPr>
                <w:rFonts w:ascii="SimSun" w:hAnsi="SimSun" w:eastAsia="SimSun" w:cs="SimSun"/>
                <w:spacing w:val="2"/>
              </w:rPr>
              <w:t>年</w:t>
            </w:r>
            <w:r>
              <w:rPr>
                <w:rFonts w:ascii="SimSun" w:hAnsi="SimSun" w:eastAsia="SimSun" w:cs="SimSun"/>
                <w:spacing w:val="-18"/>
              </w:rPr>
              <w:t xml:space="preserve"> </w:t>
            </w:r>
            <w:r>
              <w:rPr>
                <w:spacing w:val="2"/>
              </w:rPr>
              <w:t>11</w:t>
            </w:r>
            <w:r>
              <w:rPr>
                <w:spacing w:val="15"/>
              </w:rPr>
              <w:t xml:space="preserve"> </w:t>
            </w:r>
            <w:r>
              <w:rPr>
                <w:rFonts w:ascii="SimSun" w:hAnsi="SimSun" w:eastAsia="SimSun" w:cs="SimSun"/>
                <w:spacing w:val="2"/>
              </w:rPr>
              <w:t>月～</w:t>
            </w:r>
            <w:r>
              <w:rPr>
                <w:spacing w:val="2"/>
              </w:rPr>
              <w:t>12</w:t>
            </w:r>
            <w:r>
              <w:rPr>
                <w:spacing w:val="14"/>
                <w:w w:val="101"/>
              </w:rPr>
              <w:t xml:space="preserve"> </w:t>
            </w:r>
            <w:r>
              <w:rPr>
                <w:rFonts w:ascii="SimSun" w:hAnsi="SimSun" w:eastAsia="SimSun" w:cs="SimSun"/>
                <w:spacing w:val="2"/>
              </w:rPr>
              <w:t>月</w:t>
            </w:r>
          </w:p>
        </w:tc>
        <w:tc>
          <w:tcPr>
            <w:tcW w:w="2835" w:type="dxa"/>
            <w:vAlign w:val="top"/>
          </w:tcPr>
          <w:p>
            <w:pPr>
              <w:pStyle w:val="TableText"/>
              <w:ind w:left="662"/>
              <w:spacing w:before="302" w:line="228" w:lineRule="auto"/>
              <w:rPr>
                <w:rFonts w:ascii="SimSun" w:hAnsi="SimSun" w:eastAsia="SimSun" w:cs="SimSun"/>
              </w:rPr>
            </w:pPr>
            <w:r>
              <w:rPr>
                <w:spacing w:val="6"/>
              </w:rPr>
              <w:t>56 </w:t>
            </w:r>
            <w:r>
              <w:rPr>
                <w:rFonts w:ascii="SimSun" w:hAnsi="SimSun" w:eastAsia="SimSun" w:cs="SimSun"/>
                <w:spacing w:val="6"/>
              </w:rPr>
              <w:t>个水位监测点</w:t>
            </w:r>
          </w:p>
        </w:tc>
        <w:tc>
          <w:tcPr>
            <w:tcW w:w="2744" w:type="dxa"/>
            <w:vAlign w:val="top"/>
          </w:tcPr>
          <w:p>
            <w:pPr>
              <w:ind w:left="147"/>
              <w:spacing w:before="31" w:line="228" w:lineRule="auto"/>
              <w:rPr>
                <w:rFonts w:ascii="SimSun" w:hAnsi="SimSun" w:eastAsia="SimSun" w:cs="SimSun"/>
                <w:sz w:val="20"/>
                <w:szCs w:val="20"/>
              </w:rPr>
            </w:pPr>
            <w:r>
              <w:rPr>
                <w:rFonts w:ascii="SimSun" w:hAnsi="SimSun" w:eastAsia="SimSun" w:cs="SimSun"/>
                <w:sz w:val="20"/>
                <w:szCs w:val="20"/>
                <w:spacing w:val="6"/>
              </w:rPr>
              <w:t>白音华四号露天矿二期工程</w:t>
            </w:r>
          </w:p>
          <w:p>
            <w:pPr>
              <w:ind w:left="127"/>
              <w:spacing w:before="24" w:line="226" w:lineRule="auto"/>
              <w:rPr>
                <w:rFonts w:ascii="SimSun" w:hAnsi="SimSun" w:eastAsia="SimSun" w:cs="SimSun"/>
                <w:sz w:val="20"/>
                <w:szCs w:val="20"/>
              </w:rPr>
            </w:pPr>
            <w:r>
              <w:rPr>
                <w:rFonts w:ascii="SimSun" w:hAnsi="SimSun" w:eastAsia="SimSun" w:cs="SimSun"/>
                <w:sz w:val="20"/>
                <w:szCs w:val="20"/>
                <w:spacing w:val="8"/>
              </w:rPr>
              <w:t>（井工矿）环境影响后评价</w:t>
            </w:r>
          </w:p>
          <w:p>
            <w:pPr>
              <w:ind w:left="1058"/>
              <w:spacing w:before="28" w:line="220" w:lineRule="auto"/>
              <w:rPr>
                <w:rFonts w:ascii="SimSun" w:hAnsi="SimSun" w:eastAsia="SimSun" w:cs="SimSun"/>
                <w:sz w:val="20"/>
                <w:szCs w:val="20"/>
              </w:rPr>
            </w:pPr>
            <w:r>
              <w:rPr>
                <w:rFonts w:ascii="SimSun" w:hAnsi="SimSun" w:eastAsia="SimSun" w:cs="SimSun"/>
                <w:sz w:val="20"/>
                <w:szCs w:val="20"/>
                <w:spacing w:val="7"/>
              </w:rPr>
              <w:t>报告书</w:t>
            </w:r>
          </w:p>
        </w:tc>
      </w:tr>
    </w:tbl>
    <w:p>
      <w:pPr>
        <w:pStyle w:val="BodyText"/>
        <w:spacing w:line="250" w:lineRule="auto"/>
        <w:rPr/>
      </w:pPr>
      <w:r/>
    </w:p>
    <w:p>
      <w:pPr>
        <w:pStyle w:val="BodyText"/>
        <w:spacing w:line="251" w:lineRule="auto"/>
        <w:rPr/>
      </w:pPr>
      <w:r/>
    </w:p>
    <w:p>
      <w:pPr>
        <w:ind w:left="115" w:right="134" w:firstLine="519"/>
        <w:spacing w:before="79" w:line="339" w:lineRule="auto"/>
        <w:rPr>
          <w:rFonts w:ascii="SimSun" w:hAnsi="SimSun" w:eastAsia="SimSun" w:cs="SimSun"/>
          <w:sz w:val="24"/>
          <w:szCs w:val="24"/>
        </w:rPr>
      </w:pPr>
      <w:r>
        <w:rPr>
          <w:rFonts w:ascii="SimSun" w:hAnsi="SimSun" w:eastAsia="SimSun" w:cs="SimSun"/>
          <w:sz w:val="24"/>
          <w:szCs w:val="24"/>
          <w:spacing w:val="4"/>
        </w:rPr>
        <w:t>白音华四号井工煤矿内共有</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4"/>
        </w:rPr>
        <w:t>6 </w:t>
      </w:r>
      <w:r>
        <w:rPr>
          <w:rFonts w:ascii="SimSun" w:hAnsi="SimSun" w:eastAsia="SimSun" w:cs="SimSun"/>
          <w:sz w:val="24"/>
          <w:szCs w:val="24"/>
          <w:spacing w:val="4"/>
        </w:rPr>
        <w:t>个第四系潜水水位观测孔，本次收集了煤矿</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2019</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年第四系潜水水位变化情况，如表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3-3-14 </w:t>
      </w:r>
      <w:r>
        <w:rPr>
          <w:rFonts w:ascii="SimSun" w:hAnsi="SimSun" w:eastAsia="SimSun" w:cs="SimSun"/>
          <w:sz w:val="24"/>
          <w:szCs w:val="24"/>
          <w:spacing w:val="-1"/>
        </w:rPr>
        <w:t>所示，水位观测孔</w:t>
      </w:r>
      <w:r>
        <w:rPr>
          <w:rFonts w:ascii="SimSun" w:hAnsi="SimSun" w:eastAsia="SimSun" w:cs="SimSun"/>
          <w:sz w:val="24"/>
          <w:szCs w:val="24"/>
          <w:spacing w:val="-2"/>
        </w:rPr>
        <w:t>布置情况见图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3-3-9</w:t>
      </w:r>
      <w:r>
        <w:rPr>
          <w:rFonts w:ascii="SimSun" w:hAnsi="SimSun" w:eastAsia="SimSun" w:cs="SimSun"/>
          <w:sz w:val="24"/>
          <w:szCs w:val="24"/>
          <w:spacing w:val="-2"/>
        </w:rPr>
        <w:t>。</w:t>
      </w:r>
    </w:p>
    <w:p>
      <w:pPr>
        <w:ind w:left="118" w:right="115" w:firstLine="480"/>
        <w:spacing w:before="1" w:line="338" w:lineRule="auto"/>
        <w:rPr>
          <w:rFonts w:ascii="SimSun" w:hAnsi="SimSun" w:eastAsia="SimSun" w:cs="SimSun"/>
          <w:sz w:val="24"/>
          <w:szCs w:val="24"/>
        </w:rPr>
      </w:pPr>
      <w:r>
        <w:rPr>
          <w:rFonts w:ascii="SimSun" w:hAnsi="SimSun" w:eastAsia="SimSun" w:cs="SimSun"/>
          <w:sz w:val="24"/>
          <w:szCs w:val="24"/>
          <w:spacing w:val="-2"/>
        </w:rPr>
        <w:t>根据监测结果可知，</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个观测孔地下水潜水水位变化情况不大，</w:t>
      </w:r>
      <w:r>
        <w:rPr>
          <w:rFonts w:ascii="Times New Roman" w:hAnsi="Times New Roman" w:eastAsia="Times New Roman" w:cs="Times New Roman"/>
          <w:sz w:val="24"/>
          <w:szCs w:val="24"/>
          <w:spacing w:val="-2"/>
        </w:rPr>
        <w:t>1</w:t>
      </w: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号长观孔水位</w:t>
      </w:r>
      <w:r>
        <w:rPr>
          <w:rFonts w:ascii="SimSun" w:hAnsi="SimSun" w:eastAsia="SimSun" w:cs="SimSun"/>
          <w:sz w:val="24"/>
          <w:szCs w:val="24"/>
          <w:spacing w:val="-3"/>
        </w:rPr>
        <w:t>变化幅度分别为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0.79m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14m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0.05m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0.27m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-0.04m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-0.69m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，未出现明显的下降</w:t>
      </w:r>
      <w:r>
        <w:rPr>
          <w:rFonts w:ascii="SimSun" w:hAnsi="SimSun" w:eastAsia="SimSun" w:cs="SimSun"/>
          <w:sz w:val="24"/>
          <w:szCs w:val="24"/>
          <w:spacing w:val="-3"/>
        </w:rPr>
        <w:t>趋势。</w:t>
      </w:r>
    </w:p>
    <w:p>
      <w:pPr>
        <w:ind w:left="118" w:right="115" w:firstLine="481"/>
        <w:spacing w:before="1" w:line="340" w:lineRule="auto"/>
        <w:jc w:val="both"/>
        <w:rPr>
          <w:rFonts w:ascii="SimSun" w:hAnsi="SimSun" w:eastAsia="SimSun" w:cs="SimSun"/>
          <w:sz w:val="24"/>
          <w:szCs w:val="24"/>
        </w:rPr>
      </w:pPr>
      <w:r>
        <w:rPr>
          <w:rFonts w:ascii="SimSun" w:hAnsi="SimSun" w:eastAsia="SimSun" w:cs="SimSun"/>
          <w:sz w:val="24"/>
          <w:szCs w:val="24"/>
          <w:spacing w:val="-2"/>
        </w:rPr>
        <w:t>本次评价认为，开始阶段区域地下水受煤矿开采影响水位有所下降，在经过多年开</w:t>
      </w:r>
      <w:r>
        <w:rPr>
          <w:rFonts w:ascii="SimSun" w:hAnsi="SimSun" w:eastAsia="SimSun" w:cs="SimSun"/>
          <w:sz w:val="24"/>
          <w:szCs w:val="24"/>
          <w:spacing w:val="-2"/>
        </w:rPr>
        <w:t>采后，地下水水位逐渐稳定，重新进入到一种平衡状态。因此，近几年煤矿地下水长观</w:t>
      </w:r>
      <w:r>
        <w:rPr>
          <w:rFonts w:ascii="SimSun" w:hAnsi="SimSun" w:eastAsia="SimSun" w:cs="SimSun"/>
          <w:sz w:val="24"/>
          <w:szCs w:val="24"/>
          <w:spacing w:val="-1"/>
        </w:rPr>
        <w:t>孔水位未发生明显的变化。</w:t>
      </w:r>
    </w:p>
    <w:p>
      <w:pPr>
        <w:ind w:left="2512"/>
        <w:spacing w:before="120" w:line="221" w:lineRule="auto"/>
        <w:rPr>
          <w:rFonts w:ascii="SimHei" w:hAnsi="SimHei" w:eastAsia="SimHei" w:cs="SimHei"/>
          <w:sz w:val="24"/>
          <w:szCs w:val="24"/>
        </w:rPr>
      </w:pPr>
      <w:r>
        <w:rPr>
          <w:rFonts w:ascii="SimHei" w:hAnsi="SimHei" w:eastAsia="SimHei" w:cs="SimHei"/>
          <w:sz w:val="24"/>
          <w:szCs w:val="24"/>
          <w:spacing w:val="37"/>
        </w:rPr>
        <w:t>第四系潜水水位动态变化特征统计表</w:t>
      </w:r>
    </w:p>
    <w:p>
      <w:pPr>
        <w:ind w:left="117"/>
        <w:spacing w:before="211"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3-3-14</w:t>
      </w:r>
    </w:p>
    <w:p>
      <w:pPr>
        <w:spacing w:line="22" w:lineRule="exact"/>
        <w:rPr/>
      </w:pPr>
      <w:r/>
    </w:p>
    <w:tbl>
      <w:tblPr>
        <w:tblStyle w:val="TableNormal"/>
        <w:tblW w:w="9182" w:type="dxa"/>
        <w:tblInd w:w="11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78"/>
        <w:gridCol w:w="1154"/>
        <w:gridCol w:w="1154"/>
        <w:gridCol w:w="1151"/>
        <w:gridCol w:w="1154"/>
        <w:gridCol w:w="1154"/>
        <w:gridCol w:w="1154"/>
        <w:gridCol w:w="983"/>
      </w:tblGrid>
      <w:tr>
        <w:trPr>
          <w:trHeight w:val="553" w:hRule="atLeast"/>
        </w:trPr>
        <w:tc>
          <w:tcPr>
            <w:tcW w:w="1278" w:type="dxa"/>
            <w:vAlign w:val="top"/>
          </w:tcPr>
          <w:p>
            <w:pPr>
              <w:ind w:left="224"/>
              <w:spacing w:before="168" w:line="229" w:lineRule="auto"/>
              <w:rPr>
                <w:rFonts w:ascii="SimSun" w:hAnsi="SimSun" w:eastAsia="SimSun" w:cs="SimSun"/>
                <w:sz w:val="20"/>
                <w:szCs w:val="20"/>
              </w:rPr>
            </w:pPr>
            <w:r>
              <w:rPr>
                <w:rFonts w:ascii="SimSun" w:hAnsi="SimSun" w:eastAsia="SimSun" w:cs="SimSun"/>
                <w:sz w:val="20"/>
                <w:szCs w:val="20"/>
                <w:spacing w:val="7"/>
              </w:rPr>
              <w:t>监测点位</w:t>
            </w:r>
          </w:p>
        </w:tc>
        <w:tc>
          <w:tcPr>
            <w:tcW w:w="1154" w:type="dxa"/>
            <w:vAlign w:val="top"/>
          </w:tcPr>
          <w:p>
            <w:pPr>
              <w:pStyle w:val="TableText"/>
              <w:ind w:left="365"/>
              <w:spacing w:before="206" w:line="195" w:lineRule="auto"/>
              <w:rPr/>
            </w:pPr>
            <w:r>
              <w:rPr>
                <w:spacing w:val="4"/>
              </w:rPr>
              <w:t>2019</w:t>
            </w:r>
          </w:p>
        </w:tc>
        <w:tc>
          <w:tcPr>
            <w:tcW w:w="1154" w:type="dxa"/>
            <w:vAlign w:val="top"/>
          </w:tcPr>
          <w:p>
            <w:pPr>
              <w:pStyle w:val="TableText"/>
              <w:ind w:left="365"/>
              <w:spacing w:before="206" w:line="195" w:lineRule="auto"/>
              <w:rPr/>
            </w:pPr>
            <w:r>
              <w:rPr>
                <w:spacing w:val="4"/>
              </w:rPr>
              <w:t>2020</w:t>
            </w:r>
          </w:p>
        </w:tc>
        <w:tc>
          <w:tcPr>
            <w:tcW w:w="1151" w:type="dxa"/>
            <w:vAlign w:val="top"/>
          </w:tcPr>
          <w:p>
            <w:pPr>
              <w:pStyle w:val="TableText"/>
              <w:ind w:left="366"/>
              <w:spacing w:before="206" w:line="195" w:lineRule="auto"/>
              <w:rPr/>
            </w:pPr>
            <w:r>
              <w:rPr>
                <w:spacing w:val="4"/>
              </w:rPr>
              <w:t>2021</w:t>
            </w:r>
          </w:p>
        </w:tc>
        <w:tc>
          <w:tcPr>
            <w:tcW w:w="1154" w:type="dxa"/>
            <w:vAlign w:val="top"/>
          </w:tcPr>
          <w:p>
            <w:pPr>
              <w:pStyle w:val="TableText"/>
              <w:ind w:left="367"/>
              <w:spacing w:before="206" w:line="195" w:lineRule="auto"/>
              <w:rPr/>
            </w:pPr>
            <w:r>
              <w:rPr>
                <w:spacing w:val="4"/>
              </w:rPr>
              <w:t>2022</w:t>
            </w:r>
          </w:p>
        </w:tc>
        <w:tc>
          <w:tcPr>
            <w:tcW w:w="1154" w:type="dxa"/>
            <w:vAlign w:val="top"/>
          </w:tcPr>
          <w:p>
            <w:pPr>
              <w:pStyle w:val="TableText"/>
              <w:ind w:left="367"/>
              <w:spacing w:before="206" w:line="195" w:lineRule="auto"/>
              <w:rPr/>
            </w:pPr>
            <w:r>
              <w:rPr>
                <w:spacing w:val="4"/>
              </w:rPr>
              <w:t>2023</w:t>
            </w:r>
          </w:p>
        </w:tc>
        <w:tc>
          <w:tcPr>
            <w:tcW w:w="1154" w:type="dxa"/>
            <w:vAlign w:val="top"/>
          </w:tcPr>
          <w:p>
            <w:pPr>
              <w:pStyle w:val="TableText"/>
              <w:ind w:left="370"/>
              <w:spacing w:before="206" w:line="195" w:lineRule="auto"/>
              <w:rPr/>
            </w:pPr>
            <w:r>
              <w:rPr>
                <w:spacing w:val="3"/>
              </w:rPr>
              <w:t>2024</w:t>
            </w:r>
          </w:p>
        </w:tc>
        <w:tc>
          <w:tcPr>
            <w:tcW w:w="983" w:type="dxa"/>
            <w:vAlign w:val="top"/>
          </w:tcPr>
          <w:p>
            <w:pPr>
              <w:ind w:left="182"/>
              <w:spacing w:before="33" w:line="228" w:lineRule="auto"/>
              <w:rPr>
                <w:rFonts w:ascii="SimSun" w:hAnsi="SimSun" w:eastAsia="SimSun" w:cs="SimSun"/>
                <w:sz w:val="20"/>
                <w:szCs w:val="20"/>
              </w:rPr>
            </w:pPr>
            <w:r>
              <w:rPr>
                <w:rFonts w:ascii="SimSun" w:hAnsi="SimSun" w:eastAsia="SimSun" w:cs="SimSun"/>
                <w:sz w:val="20"/>
                <w:szCs w:val="20"/>
                <w:spacing w:val="6"/>
              </w:rPr>
              <w:t>水位变</w:t>
            </w:r>
          </w:p>
          <w:p>
            <w:pPr>
              <w:ind w:left="180"/>
              <w:spacing w:before="27" w:line="217" w:lineRule="auto"/>
              <w:rPr>
                <w:rFonts w:ascii="SimSun" w:hAnsi="SimSun" w:eastAsia="SimSun" w:cs="SimSun"/>
                <w:sz w:val="20"/>
                <w:szCs w:val="20"/>
              </w:rPr>
            </w:pPr>
            <w:r>
              <w:rPr>
                <w:rFonts w:ascii="SimSun" w:hAnsi="SimSun" w:eastAsia="SimSun" w:cs="SimSun"/>
                <w:sz w:val="20"/>
                <w:szCs w:val="20"/>
                <w:spacing w:val="6"/>
              </w:rPr>
              <w:t>化幅度</w:t>
            </w:r>
          </w:p>
        </w:tc>
      </w:tr>
      <w:tr>
        <w:trPr>
          <w:trHeight w:val="303" w:hRule="atLeast"/>
        </w:trPr>
        <w:tc>
          <w:tcPr>
            <w:tcW w:w="1278" w:type="dxa"/>
            <w:vAlign w:val="top"/>
          </w:tcPr>
          <w:p>
            <w:pPr>
              <w:pStyle w:val="TableText"/>
              <w:ind w:left="163"/>
              <w:spacing w:before="41" w:line="228" w:lineRule="auto"/>
              <w:rPr>
                <w:rFonts w:ascii="SimSun" w:hAnsi="SimSun" w:eastAsia="SimSun" w:cs="SimSun"/>
              </w:rPr>
            </w:pPr>
            <w:r>
              <w:rPr/>
              <w:t>1</w:t>
            </w:r>
            <w:r>
              <w:rPr>
                <w:spacing w:val="18"/>
              </w:rPr>
              <w:t xml:space="preserve"> </w:t>
            </w:r>
            <w:r>
              <w:rPr>
                <w:rFonts w:ascii="SimSun" w:hAnsi="SimSun" w:eastAsia="SimSun" w:cs="SimSun"/>
              </w:rPr>
              <w:t>号水文孔</w:t>
            </w:r>
          </w:p>
        </w:tc>
        <w:tc>
          <w:tcPr>
            <w:tcW w:w="1154" w:type="dxa"/>
            <w:vAlign w:val="top"/>
          </w:tcPr>
          <w:p>
            <w:pPr>
              <w:pStyle w:val="TableText"/>
              <w:ind w:left="290"/>
              <w:spacing w:before="80" w:line="195" w:lineRule="auto"/>
              <w:rPr/>
            </w:pPr>
            <w:r>
              <w:rPr>
                <w:spacing w:val="3"/>
              </w:rPr>
              <w:t>969.30</w:t>
            </w:r>
          </w:p>
        </w:tc>
        <w:tc>
          <w:tcPr>
            <w:tcW w:w="1154" w:type="dxa"/>
            <w:vAlign w:val="top"/>
          </w:tcPr>
          <w:p>
            <w:pPr>
              <w:pStyle w:val="TableText"/>
              <w:ind w:left="290"/>
              <w:spacing w:before="80" w:line="195" w:lineRule="auto"/>
              <w:rPr/>
            </w:pPr>
            <w:r>
              <w:rPr>
                <w:spacing w:val="3"/>
              </w:rPr>
              <w:t>969.28</w:t>
            </w:r>
          </w:p>
        </w:tc>
        <w:tc>
          <w:tcPr>
            <w:tcW w:w="1151" w:type="dxa"/>
            <w:vAlign w:val="top"/>
          </w:tcPr>
          <w:p>
            <w:pPr>
              <w:pStyle w:val="TableText"/>
              <w:ind w:left="293"/>
              <w:spacing w:before="80" w:line="195" w:lineRule="auto"/>
              <w:rPr/>
            </w:pPr>
            <w:r>
              <w:rPr>
                <w:spacing w:val="3"/>
              </w:rPr>
              <w:t>969.27</w:t>
            </w:r>
          </w:p>
        </w:tc>
        <w:tc>
          <w:tcPr>
            <w:tcW w:w="1154" w:type="dxa"/>
            <w:vAlign w:val="top"/>
          </w:tcPr>
          <w:p>
            <w:pPr>
              <w:pStyle w:val="TableText"/>
              <w:ind w:left="294"/>
              <w:spacing w:before="80" w:line="195" w:lineRule="auto"/>
              <w:rPr/>
            </w:pPr>
            <w:r>
              <w:rPr>
                <w:spacing w:val="3"/>
              </w:rPr>
              <w:t>969.06</w:t>
            </w:r>
          </w:p>
        </w:tc>
        <w:tc>
          <w:tcPr>
            <w:tcW w:w="1154" w:type="dxa"/>
            <w:vAlign w:val="top"/>
          </w:tcPr>
          <w:p>
            <w:pPr>
              <w:pStyle w:val="TableText"/>
              <w:ind w:left="292"/>
              <w:spacing w:before="80" w:line="195" w:lineRule="auto"/>
              <w:rPr/>
            </w:pPr>
            <w:r>
              <w:rPr>
                <w:spacing w:val="3"/>
              </w:rPr>
              <w:t>968.96</w:t>
            </w:r>
          </w:p>
        </w:tc>
        <w:tc>
          <w:tcPr>
            <w:tcW w:w="1154" w:type="dxa"/>
            <w:vAlign w:val="top"/>
          </w:tcPr>
          <w:p>
            <w:pPr>
              <w:pStyle w:val="TableText"/>
              <w:ind w:left="292"/>
              <w:spacing w:before="80" w:line="195" w:lineRule="auto"/>
              <w:rPr/>
            </w:pPr>
            <w:r>
              <w:rPr>
                <w:spacing w:val="3"/>
              </w:rPr>
              <w:t>970.09</w:t>
            </w:r>
          </w:p>
        </w:tc>
        <w:tc>
          <w:tcPr>
            <w:tcW w:w="983" w:type="dxa"/>
            <w:vAlign w:val="top"/>
          </w:tcPr>
          <w:p>
            <w:pPr>
              <w:pStyle w:val="TableText"/>
              <w:ind w:left="311"/>
              <w:spacing w:before="80" w:line="195" w:lineRule="auto"/>
              <w:rPr/>
            </w:pPr>
            <w:r>
              <w:rPr>
                <w:spacing w:val="2"/>
              </w:rPr>
              <w:t>0.79</w:t>
            </w:r>
          </w:p>
        </w:tc>
      </w:tr>
      <w:tr>
        <w:trPr>
          <w:trHeight w:val="306" w:hRule="atLeast"/>
        </w:trPr>
        <w:tc>
          <w:tcPr>
            <w:tcW w:w="1278" w:type="dxa"/>
            <w:vAlign w:val="top"/>
          </w:tcPr>
          <w:p>
            <w:pPr>
              <w:pStyle w:val="TableText"/>
              <w:ind w:left="143"/>
              <w:spacing w:before="45" w:line="228" w:lineRule="auto"/>
              <w:rPr>
                <w:rFonts w:ascii="SimSun" w:hAnsi="SimSun" w:eastAsia="SimSun" w:cs="SimSun"/>
              </w:rPr>
            </w:pPr>
            <w:r>
              <w:rPr>
                <w:spacing w:val="4"/>
              </w:rPr>
              <w:t>2</w:t>
            </w:r>
            <w:r>
              <w:rPr>
                <w:spacing w:val="18"/>
              </w:rPr>
              <w:t xml:space="preserve"> </w:t>
            </w:r>
            <w:r>
              <w:rPr>
                <w:rFonts w:ascii="SimSun" w:hAnsi="SimSun" w:eastAsia="SimSun" w:cs="SimSun"/>
                <w:spacing w:val="4"/>
              </w:rPr>
              <w:t>号水文孔</w:t>
            </w:r>
          </w:p>
        </w:tc>
        <w:tc>
          <w:tcPr>
            <w:tcW w:w="1154" w:type="dxa"/>
            <w:vAlign w:val="top"/>
          </w:tcPr>
          <w:p>
            <w:pPr>
              <w:pStyle w:val="TableText"/>
              <w:ind w:left="290"/>
              <w:spacing w:before="82" w:line="195" w:lineRule="auto"/>
              <w:rPr/>
            </w:pPr>
            <w:r>
              <w:rPr>
                <w:spacing w:val="3"/>
              </w:rPr>
              <w:t>965.45</w:t>
            </w:r>
          </w:p>
        </w:tc>
        <w:tc>
          <w:tcPr>
            <w:tcW w:w="1154" w:type="dxa"/>
            <w:vAlign w:val="top"/>
          </w:tcPr>
          <w:p>
            <w:pPr>
              <w:pStyle w:val="TableText"/>
              <w:ind w:left="290"/>
              <w:spacing w:before="82" w:line="195" w:lineRule="auto"/>
              <w:rPr/>
            </w:pPr>
            <w:r>
              <w:rPr>
                <w:spacing w:val="3"/>
              </w:rPr>
              <w:t>965.35</w:t>
            </w:r>
          </w:p>
        </w:tc>
        <w:tc>
          <w:tcPr>
            <w:tcW w:w="1151" w:type="dxa"/>
            <w:vAlign w:val="top"/>
          </w:tcPr>
          <w:p>
            <w:pPr>
              <w:pStyle w:val="TableText"/>
              <w:ind w:left="293"/>
              <w:spacing w:before="82" w:line="195" w:lineRule="auto"/>
              <w:rPr/>
            </w:pPr>
            <w:r>
              <w:rPr>
                <w:spacing w:val="3"/>
              </w:rPr>
              <w:t>965.35</w:t>
            </w:r>
          </w:p>
        </w:tc>
        <w:tc>
          <w:tcPr>
            <w:tcW w:w="1154" w:type="dxa"/>
            <w:vAlign w:val="top"/>
          </w:tcPr>
          <w:p>
            <w:pPr>
              <w:pStyle w:val="TableText"/>
              <w:ind w:left="294"/>
              <w:spacing w:before="82" w:line="195" w:lineRule="auto"/>
              <w:rPr/>
            </w:pPr>
            <w:r>
              <w:rPr>
                <w:spacing w:val="3"/>
              </w:rPr>
              <w:t>965.28</w:t>
            </w:r>
          </w:p>
        </w:tc>
        <w:tc>
          <w:tcPr>
            <w:tcW w:w="1154" w:type="dxa"/>
            <w:vAlign w:val="top"/>
          </w:tcPr>
          <w:p>
            <w:pPr>
              <w:pStyle w:val="TableText"/>
              <w:ind w:left="292"/>
              <w:spacing w:before="82" w:line="195" w:lineRule="auto"/>
              <w:rPr/>
            </w:pPr>
            <w:r>
              <w:rPr>
                <w:spacing w:val="3"/>
              </w:rPr>
              <w:t>965.34</w:t>
            </w:r>
          </w:p>
        </w:tc>
        <w:tc>
          <w:tcPr>
            <w:tcW w:w="1154" w:type="dxa"/>
            <w:vAlign w:val="top"/>
          </w:tcPr>
          <w:p>
            <w:pPr>
              <w:pStyle w:val="TableText"/>
              <w:ind w:left="292"/>
              <w:spacing w:before="82" w:line="195" w:lineRule="auto"/>
              <w:rPr/>
            </w:pPr>
            <w:r>
              <w:rPr>
                <w:spacing w:val="3"/>
              </w:rPr>
              <w:t>965.31</w:t>
            </w:r>
          </w:p>
        </w:tc>
        <w:tc>
          <w:tcPr>
            <w:tcW w:w="983" w:type="dxa"/>
            <w:vAlign w:val="top"/>
          </w:tcPr>
          <w:p>
            <w:pPr>
              <w:pStyle w:val="TableText"/>
              <w:ind w:left="276"/>
              <w:spacing w:before="82" w:line="195" w:lineRule="auto"/>
              <w:rPr/>
            </w:pPr>
            <w:r>
              <w:rPr>
                <w:spacing w:val="-2"/>
              </w:rPr>
              <w:t>-0.</w:t>
            </w:r>
            <w:r>
              <w:rPr>
                <w:spacing w:val="-25"/>
              </w:rPr>
              <w:t xml:space="preserve"> </w:t>
            </w:r>
            <w:r>
              <w:rPr>
                <w:spacing w:val="-2"/>
              </w:rPr>
              <w:t>14</w:t>
            </w:r>
          </w:p>
        </w:tc>
      </w:tr>
      <w:tr>
        <w:trPr>
          <w:trHeight w:val="304" w:hRule="atLeast"/>
        </w:trPr>
        <w:tc>
          <w:tcPr>
            <w:tcW w:w="1278" w:type="dxa"/>
            <w:vAlign w:val="top"/>
          </w:tcPr>
          <w:p>
            <w:pPr>
              <w:pStyle w:val="TableText"/>
              <w:ind w:left="147"/>
              <w:spacing w:before="44" w:line="228" w:lineRule="auto"/>
              <w:rPr>
                <w:rFonts w:ascii="SimSun" w:hAnsi="SimSun" w:eastAsia="SimSun" w:cs="SimSun"/>
              </w:rPr>
            </w:pPr>
            <w:r>
              <w:rPr>
                <w:spacing w:val="4"/>
              </w:rPr>
              <w:t>3</w:t>
            </w:r>
            <w:r>
              <w:rPr>
                <w:spacing w:val="14"/>
                <w:w w:val="101"/>
              </w:rPr>
              <w:t xml:space="preserve"> </w:t>
            </w:r>
            <w:r>
              <w:rPr>
                <w:rFonts w:ascii="SimSun" w:hAnsi="SimSun" w:eastAsia="SimSun" w:cs="SimSun"/>
                <w:spacing w:val="4"/>
              </w:rPr>
              <w:t>号水文孔</w:t>
            </w:r>
          </w:p>
        </w:tc>
        <w:tc>
          <w:tcPr>
            <w:tcW w:w="1154" w:type="dxa"/>
            <w:vAlign w:val="top"/>
          </w:tcPr>
          <w:p>
            <w:pPr>
              <w:pStyle w:val="TableText"/>
              <w:ind w:left="290"/>
              <w:spacing w:before="80" w:line="195" w:lineRule="auto"/>
              <w:rPr/>
            </w:pPr>
            <w:r>
              <w:rPr>
                <w:spacing w:val="3"/>
              </w:rPr>
              <w:t>963.37</w:t>
            </w:r>
          </w:p>
        </w:tc>
        <w:tc>
          <w:tcPr>
            <w:tcW w:w="1154" w:type="dxa"/>
            <w:vAlign w:val="top"/>
          </w:tcPr>
          <w:p>
            <w:pPr>
              <w:pStyle w:val="TableText"/>
              <w:ind w:left="290"/>
              <w:spacing w:before="80" w:line="195" w:lineRule="auto"/>
              <w:rPr/>
            </w:pPr>
            <w:r>
              <w:rPr>
                <w:spacing w:val="3"/>
              </w:rPr>
              <w:t>963.32</w:t>
            </w:r>
          </w:p>
        </w:tc>
        <w:tc>
          <w:tcPr>
            <w:tcW w:w="1151" w:type="dxa"/>
            <w:vAlign w:val="top"/>
          </w:tcPr>
          <w:p>
            <w:pPr>
              <w:pStyle w:val="TableText"/>
              <w:ind w:left="293"/>
              <w:spacing w:before="80" w:line="195" w:lineRule="auto"/>
              <w:rPr/>
            </w:pPr>
            <w:r>
              <w:rPr>
                <w:spacing w:val="3"/>
              </w:rPr>
              <w:t>963.32</w:t>
            </w:r>
          </w:p>
        </w:tc>
        <w:tc>
          <w:tcPr>
            <w:tcW w:w="1154" w:type="dxa"/>
            <w:vAlign w:val="top"/>
          </w:tcPr>
          <w:p>
            <w:pPr>
              <w:pStyle w:val="TableText"/>
              <w:ind w:left="294"/>
              <w:spacing w:before="80" w:line="195" w:lineRule="auto"/>
              <w:rPr/>
            </w:pPr>
            <w:r>
              <w:rPr>
                <w:spacing w:val="3"/>
              </w:rPr>
              <w:t>963.34</w:t>
            </w:r>
          </w:p>
        </w:tc>
        <w:tc>
          <w:tcPr>
            <w:tcW w:w="1154" w:type="dxa"/>
            <w:vAlign w:val="top"/>
          </w:tcPr>
          <w:p>
            <w:pPr>
              <w:pStyle w:val="TableText"/>
              <w:ind w:left="292"/>
              <w:spacing w:before="80" w:line="195" w:lineRule="auto"/>
              <w:rPr/>
            </w:pPr>
            <w:r>
              <w:rPr>
                <w:spacing w:val="3"/>
              </w:rPr>
              <w:t>963.37</w:t>
            </w:r>
          </w:p>
        </w:tc>
        <w:tc>
          <w:tcPr>
            <w:tcW w:w="1154" w:type="dxa"/>
            <w:vAlign w:val="top"/>
          </w:tcPr>
          <w:p>
            <w:pPr>
              <w:pStyle w:val="TableText"/>
              <w:ind w:left="292"/>
              <w:spacing w:before="80" w:line="195" w:lineRule="auto"/>
              <w:rPr/>
            </w:pPr>
            <w:r>
              <w:rPr>
                <w:spacing w:val="3"/>
              </w:rPr>
              <w:t>963.43</w:t>
            </w:r>
          </w:p>
        </w:tc>
        <w:tc>
          <w:tcPr>
            <w:tcW w:w="983" w:type="dxa"/>
            <w:vAlign w:val="top"/>
          </w:tcPr>
          <w:p>
            <w:pPr>
              <w:pStyle w:val="TableText"/>
              <w:ind w:left="311"/>
              <w:spacing w:before="80" w:line="195" w:lineRule="auto"/>
              <w:rPr/>
            </w:pPr>
            <w:r>
              <w:rPr>
                <w:spacing w:val="2"/>
              </w:rPr>
              <w:t>0.05</w:t>
            </w:r>
          </w:p>
        </w:tc>
      </w:tr>
      <w:tr>
        <w:trPr>
          <w:trHeight w:val="304" w:hRule="atLeast"/>
        </w:trPr>
        <w:tc>
          <w:tcPr>
            <w:tcW w:w="1278" w:type="dxa"/>
            <w:vAlign w:val="top"/>
          </w:tcPr>
          <w:p>
            <w:pPr>
              <w:pStyle w:val="TableText"/>
              <w:ind w:left="142"/>
              <w:spacing w:before="45" w:line="228" w:lineRule="auto"/>
              <w:rPr>
                <w:rFonts w:ascii="SimSun" w:hAnsi="SimSun" w:eastAsia="SimSun" w:cs="SimSun"/>
              </w:rPr>
            </w:pPr>
            <w:r>
              <w:rPr>
                <w:spacing w:val="5"/>
              </w:rPr>
              <w:t>4</w:t>
            </w:r>
            <w:r>
              <w:rPr>
                <w:spacing w:val="14"/>
                <w:w w:val="101"/>
              </w:rPr>
              <w:t xml:space="preserve"> </w:t>
            </w:r>
            <w:r>
              <w:rPr>
                <w:rFonts w:ascii="SimSun" w:hAnsi="SimSun" w:eastAsia="SimSun" w:cs="SimSun"/>
                <w:spacing w:val="5"/>
              </w:rPr>
              <w:t>号水文孔</w:t>
            </w:r>
          </w:p>
        </w:tc>
        <w:tc>
          <w:tcPr>
            <w:tcW w:w="1154" w:type="dxa"/>
            <w:vAlign w:val="top"/>
          </w:tcPr>
          <w:p>
            <w:pPr>
              <w:pStyle w:val="TableText"/>
              <w:ind w:left="290"/>
              <w:spacing w:before="81" w:line="195" w:lineRule="auto"/>
              <w:rPr/>
            </w:pPr>
            <w:r>
              <w:rPr>
                <w:spacing w:val="3"/>
              </w:rPr>
              <w:t>967.60</w:t>
            </w:r>
          </w:p>
        </w:tc>
        <w:tc>
          <w:tcPr>
            <w:tcW w:w="1154" w:type="dxa"/>
            <w:vAlign w:val="top"/>
          </w:tcPr>
          <w:p>
            <w:pPr>
              <w:pStyle w:val="TableText"/>
              <w:ind w:left="290"/>
              <w:spacing w:before="81" w:line="195" w:lineRule="auto"/>
              <w:rPr/>
            </w:pPr>
            <w:r>
              <w:rPr>
                <w:spacing w:val="3"/>
              </w:rPr>
              <w:t>967.60</w:t>
            </w:r>
          </w:p>
        </w:tc>
        <w:tc>
          <w:tcPr>
            <w:tcW w:w="1151" w:type="dxa"/>
            <w:vAlign w:val="top"/>
          </w:tcPr>
          <w:p>
            <w:pPr>
              <w:pStyle w:val="TableText"/>
              <w:ind w:left="293"/>
              <w:spacing w:before="81" w:line="195" w:lineRule="auto"/>
              <w:rPr/>
            </w:pPr>
            <w:r>
              <w:rPr>
                <w:spacing w:val="3"/>
              </w:rPr>
              <w:t>967.59</w:t>
            </w:r>
          </w:p>
        </w:tc>
        <w:tc>
          <w:tcPr>
            <w:tcW w:w="1154" w:type="dxa"/>
            <w:vAlign w:val="top"/>
          </w:tcPr>
          <w:p>
            <w:pPr>
              <w:pStyle w:val="TableText"/>
              <w:ind w:left="294"/>
              <w:spacing w:before="81" w:line="195" w:lineRule="auto"/>
              <w:rPr/>
            </w:pPr>
            <w:r>
              <w:rPr>
                <w:spacing w:val="3"/>
              </w:rPr>
              <w:t>967.59</w:t>
            </w:r>
          </w:p>
        </w:tc>
        <w:tc>
          <w:tcPr>
            <w:tcW w:w="1154" w:type="dxa"/>
            <w:vAlign w:val="top"/>
          </w:tcPr>
          <w:p>
            <w:pPr>
              <w:pStyle w:val="TableText"/>
              <w:ind w:left="292"/>
              <w:spacing w:before="81" w:line="195" w:lineRule="auto"/>
              <w:rPr/>
            </w:pPr>
            <w:r>
              <w:rPr>
                <w:spacing w:val="3"/>
              </w:rPr>
              <w:t>967.66</w:t>
            </w:r>
          </w:p>
        </w:tc>
        <w:tc>
          <w:tcPr>
            <w:tcW w:w="1154" w:type="dxa"/>
            <w:vAlign w:val="top"/>
          </w:tcPr>
          <w:p>
            <w:pPr>
              <w:pStyle w:val="TableText"/>
              <w:ind w:left="292"/>
              <w:spacing w:before="81" w:line="195" w:lineRule="auto"/>
              <w:rPr/>
            </w:pPr>
            <w:r>
              <w:rPr>
                <w:spacing w:val="3"/>
              </w:rPr>
              <w:t>967.87</w:t>
            </w:r>
          </w:p>
        </w:tc>
        <w:tc>
          <w:tcPr>
            <w:tcW w:w="983" w:type="dxa"/>
            <w:vAlign w:val="top"/>
          </w:tcPr>
          <w:p>
            <w:pPr>
              <w:pStyle w:val="TableText"/>
              <w:ind w:left="311"/>
              <w:spacing w:before="81" w:line="195" w:lineRule="auto"/>
              <w:rPr/>
            </w:pPr>
            <w:r>
              <w:rPr>
                <w:spacing w:val="2"/>
              </w:rPr>
              <w:t>0.27</w:t>
            </w:r>
          </w:p>
        </w:tc>
      </w:tr>
      <w:tr>
        <w:trPr>
          <w:trHeight w:val="306" w:hRule="atLeast"/>
        </w:trPr>
        <w:tc>
          <w:tcPr>
            <w:tcW w:w="1278" w:type="dxa"/>
            <w:vAlign w:val="top"/>
          </w:tcPr>
          <w:p>
            <w:pPr>
              <w:pStyle w:val="TableText"/>
              <w:ind w:left="149"/>
              <w:spacing w:before="45" w:line="228" w:lineRule="auto"/>
              <w:rPr>
                <w:rFonts w:ascii="SimSun" w:hAnsi="SimSun" w:eastAsia="SimSun" w:cs="SimSun"/>
              </w:rPr>
            </w:pPr>
            <w:r>
              <w:rPr>
                <w:spacing w:val="3"/>
              </w:rPr>
              <w:t>5</w:t>
            </w:r>
            <w:r>
              <w:rPr>
                <w:spacing w:val="17"/>
                <w:w w:val="101"/>
              </w:rPr>
              <w:t xml:space="preserve"> </w:t>
            </w:r>
            <w:r>
              <w:rPr>
                <w:rFonts w:ascii="SimSun" w:hAnsi="SimSun" w:eastAsia="SimSun" w:cs="SimSun"/>
                <w:spacing w:val="3"/>
              </w:rPr>
              <w:t>号水文孔</w:t>
            </w:r>
          </w:p>
        </w:tc>
        <w:tc>
          <w:tcPr>
            <w:tcW w:w="1154" w:type="dxa"/>
            <w:vAlign w:val="top"/>
          </w:tcPr>
          <w:p>
            <w:pPr>
              <w:pStyle w:val="TableText"/>
              <w:ind w:left="290"/>
              <w:spacing w:before="84" w:line="195" w:lineRule="auto"/>
              <w:rPr/>
            </w:pPr>
            <w:r>
              <w:rPr>
                <w:spacing w:val="3"/>
              </w:rPr>
              <w:t>962.67</w:t>
            </w:r>
          </w:p>
        </w:tc>
        <w:tc>
          <w:tcPr>
            <w:tcW w:w="1154" w:type="dxa"/>
            <w:vAlign w:val="top"/>
          </w:tcPr>
          <w:p>
            <w:pPr>
              <w:pStyle w:val="TableText"/>
              <w:ind w:left="290"/>
              <w:spacing w:before="84" w:line="195" w:lineRule="auto"/>
              <w:rPr/>
            </w:pPr>
            <w:r>
              <w:rPr>
                <w:spacing w:val="3"/>
              </w:rPr>
              <w:t>962.69</w:t>
            </w:r>
          </w:p>
        </w:tc>
        <w:tc>
          <w:tcPr>
            <w:tcW w:w="1151" w:type="dxa"/>
            <w:vAlign w:val="top"/>
          </w:tcPr>
          <w:p>
            <w:pPr>
              <w:pStyle w:val="TableText"/>
              <w:ind w:left="293"/>
              <w:spacing w:before="84" w:line="195" w:lineRule="auto"/>
              <w:rPr/>
            </w:pPr>
            <w:r>
              <w:rPr>
                <w:spacing w:val="3"/>
              </w:rPr>
              <w:t>962.69</w:t>
            </w:r>
          </w:p>
        </w:tc>
        <w:tc>
          <w:tcPr>
            <w:tcW w:w="1154" w:type="dxa"/>
            <w:vAlign w:val="top"/>
          </w:tcPr>
          <w:p>
            <w:pPr>
              <w:pStyle w:val="TableText"/>
              <w:ind w:left="294"/>
              <w:spacing w:before="84" w:line="195" w:lineRule="auto"/>
              <w:rPr/>
            </w:pPr>
            <w:r>
              <w:rPr>
                <w:spacing w:val="3"/>
              </w:rPr>
              <w:t>962.69</w:t>
            </w:r>
          </w:p>
        </w:tc>
        <w:tc>
          <w:tcPr>
            <w:tcW w:w="1154" w:type="dxa"/>
            <w:vAlign w:val="top"/>
          </w:tcPr>
          <w:p>
            <w:pPr>
              <w:pStyle w:val="TableText"/>
              <w:ind w:left="292"/>
              <w:spacing w:before="84" w:line="195" w:lineRule="auto"/>
              <w:rPr/>
            </w:pPr>
            <w:r>
              <w:rPr>
                <w:spacing w:val="3"/>
              </w:rPr>
              <w:t>962.63</w:t>
            </w:r>
          </w:p>
        </w:tc>
        <w:tc>
          <w:tcPr>
            <w:tcW w:w="1154" w:type="dxa"/>
            <w:vAlign w:val="top"/>
          </w:tcPr>
          <w:p>
            <w:pPr>
              <w:pStyle w:val="TableText"/>
              <w:ind w:left="292"/>
              <w:spacing w:before="84" w:line="195" w:lineRule="auto"/>
              <w:rPr/>
            </w:pPr>
            <w:r>
              <w:rPr>
                <w:spacing w:val="3"/>
              </w:rPr>
              <w:t>962.63</w:t>
            </w:r>
          </w:p>
        </w:tc>
        <w:tc>
          <w:tcPr>
            <w:tcW w:w="983" w:type="dxa"/>
            <w:vAlign w:val="top"/>
          </w:tcPr>
          <w:p>
            <w:pPr>
              <w:pStyle w:val="TableText"/>
              <w:ind w:left="276"/>
              <w:spacing w:before="84" w:line="195" w:lineRule="auto"/>
              <w:rPr/>
            </w:pPr>
            <w:r>
              <w:rPr>
                <w:spacing w:val="3"/>
              </w:rPr>
              <w:t>-0.04</w:t>
            </w:r>
          </w:p>
        </w:tc>
      </w:tr>
    </w:tbl>
    <w:p>
      <w:pPr>
        <w:pStyle w:val="BodyText"/>
        <w:rPr/>
      </w:pPr>
      <w:r/>
    </w:p>
    <w:p>
      <w:pPr>
        <w:sectPr>
          <w:footerReference w:type="default" r:id="rId172"/>
          <w:pgSz w:w="11906" w:h="16838"/>
          <w:pgMar w:top="1170" w:right="1304" w:bottom="1078" w:left="1305" w:header="837" w:footer="915" w:gutter="0"/>
        </w:sectPr>
        <w:rPr/>
      </w:pPr>
    </w:p>
    <w:p>
      <w:pPr>
        <w:spacing w:before="6"/>
        <w:rPr/>
      </w:pPr>
      <w:r/>
    </w:p>
    <w:tbl>
      <w:tblPr>
        <w:tblStyle w:val="TableNormal"/>
        <w:tblW w:w="918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78"/>
        <w:gridCol w:w="1154"/>
        <w:gridCol w:w="1154"/>
        <w:gridCol w:w="1151"/>
        <w:gridCol w:w="1154"/>
        <w:gridCol w:w="1154"/>
        <w:gridCol w:w="1154"/>
        <w:gridCol w:w="983"/>
      </w:tblGrid>
      <w:tr>
        <w:trPr>
          <w:trHeight w:val="553" w:hRule="atLeast"/>
        </w:trPr>
        <w:tc>
          <w:tcPr>
            <w:tcW w:w="1278" w:type="dxa"/>
            <w:vAlign w:val="top"/>
          </w:tcPr>
          <w:p>
            <w:pPr>
              <w:ind w:left="224"/>
              <w:spacing w:before="170" w:line="229" w:lineRule="auto"/>
              <w:rPr>
                <w:rFonts w:ascii="SimSun" w:hAnsi="SimSun" w:eastAsia="SimSun" w:cs="SimSun"/>
                <w:sz w:val="20"/>
                <w:szCs w:val="20"/>
              </w:rPr>
            </w:pPr>
            <w:r>
              <w:rPr>
                <w:rFonts w:ascii="SimSun" w:hAnsi="SimSun" w:eastAsia="SimSun" w:cs="SimSun"/>
                <w:sz w:val="20"/>
                <w:szCs w:val="20"/>
                <w:spacing w:val="7"/>
              </w:rPr>
              <w:t>监测点位</w:t>
            </w:r>
          </w:p>
        </w:tc>
        <w:tc>
          <w:tcPr>
            <w:tcW w:w="1154" w:type="dxa"/>
            <w:vAlign w:val="top"/>
          </w:tcPr>
          <w:p>
            <w:pPr>
              <w:pStyle w:val="TableText"/>
              <w:ind w:left="365"/>
              <w:spacing w:before="206" w:line="195" w:lineRule="auto"/>
              <w:rPr/>
            </w:pPr>
            <w:r>
              <w:rPr>
                <w:spacing w:val="4"/>
              </w:rPr>
              <w:t>2019</w:t>
            </w:r>
          </w:p>
        </w:tc>
        <w:tc>
          <w:tcPr>
            <w:tcW w:w="1154" w:type="dxa"/>
            <w:vAlign w:val="top"/>
          </w:tcPr>
          <w:p>
            <w:pPr>
              <w:pStyle w:val="TableText"/>
              <w:ind w:left="365"/>
              <w:spacing w:before="206" w:line="195" w:lineRule="auto"/>
              <w:rPr/>
            </w:pPr>
            <w:r>
              <w:rPr>
                <w:spacing w:val="4"/>
              </w:rPr>
              <w:t>2020</w:t>
            </w:r>
          </w:p>
        </w:tc>
        <w:tc>
          <w:tcPr>
            <w:tcW w:w="1151" w:type="dxa"/>
            <w:vAlign w:val="top"/>
          </w:tcPr>
          <w:p>
            <w:pPr>
              <w:pStyle w:val="TableText"/>
              <w:ind w:left="366"/>
              <w:spacing w:before="206" w:line="195" w:lineRule="auto"/>
              <w:rPr/>
            </w:pPr>
            <w:r>
              <w:rPr>
                <w:spacing w:val="4"/>
              </w:rPr>
              <w:t>2021</w:t>
            </w:r>
          </w:p>
        </w:tc>
        <w:tc>
          <w:tcPr>
            <w:tcW w:w="1154" w:type="dxa"/>
            <w:vAlign w:val="top"/>
          </w:tcPr>
          <w:p>
            <w:pPr>
              <w:pStyle w:val="TableText"/>
              <w:ind w:left="367"/>
              <w:spacing w:before="206" w:line="195" w:lineRule="auto"/>
              <w:rPr/>
            </w:pPr>
            <w:r>
              <w:rPr>
                <w:spacing w:val="4"/>
              </w:rPr>
              <w:t>2022</w:t>
            </w:r>
          </w:p>
        </w:tc>
        <w:tc>
          <w:tcPr>
            <w:tcW w:w="1154" w:type="dxa"/>
            <w:vAlign w:val="top"/>
          </w:tcPr>
          <w:p>
            <w:pPr>
              <w:pStyle w:val="TableText"/>
              <w:ind w:left="367"/>
              <w:spacing w:before="206" w:line="195" w:lineRule="auto"/>
              <w:rPr/>
            </w:pPr>
            <w:r>
              <w:rPr>
                <w:spacing w:val="4"/>
              </w:rPr>
              <w:t>2023</w:t>
            </w:r>
          </w:p>
        </w:tc>
        <w:tc>
          <w:tcPr>
            <w:tcW w:w="1154" w:type="dxa"/>
            <w:vAlign w:val="top"/>
          </w:tcPr>
          <w:p>
            <w:pPr>
              <w:pStyle w:val="TableText"/>
              <w:ind w:left="370"/>
              <w:spacing w:before="206" w:line="195" w:lineRule="auto"/>
              <w:rPr/>
            </w:pPr>
            <w:r>
              <w:rPr>
                <w:spacing w:val="3"/>
              </w:rPr>
              <w:t>2024</w:t>
            </w:r>
          </w:p>
        </w:tc>
        <w:tc>
          <w:tcPr>
            <w:tcW w:w="983" w:type="dxa"/>
            <w:vAlign w:val="top"/>
          </w:tcPr>
          <w:p>
            <w:pPr>
              <w:ind w:left="182"/>
              <w:spacing w:before="33" w:line="228" w:lineRule="auto"/>
              <w:rPr>
                <w:rFonts w:ascii="SimSun" w:hAnsi="SimSun" w:eastAsia="SimSun" w:cs="SimSun"/>
                <w:sz w:val="20"/>
                <w:szCs w:val="20"/>
              </w:rPr>
            </w:pPr>
            <w:r>
              <w:rPr>
                <w:rFonts w:ascii="SimSun" w:hAnsi="SimSun" w:eastAsia="SimSun" w:cs="SimSun"/>
                <w:sz w:val="20"/>
                <w:szCs w:val="20"/>
                <w:spacing w:val="6"/>
              </w:rPr>
              <w:t>水位变</w:t>
            </w:r>
          </w:p>
          <w:p>
            <w:pPr>
              <w:ind w:left="180"/>
              <w:spacing w:before="27" w:line="217" w:lineRule="auto"/>
              <w:rPr>
                <w:rFonts w:ascii="SimSun" w:hAnsi="SimSun" w:eastAsia="SimSun" w:cs="SimSun"/>
                <w:sz w:val="20"/>
                <w:szCs w:val="20"/>
              </w:rPr>
            </w:pPr>
            <w:r>
              <w:rPr>
                <w:rFonts w:ascii="SimSun" w:hAnsi="SimSun" w:eastAsia="SimSun" w:cs="SimSun"/>
                <w:sz w:val="20"/>
                <w:szCs w:val="20"/>
                <w:spacing w:val="6"/>
              </w:rPr>
              <w:t>化幅度</w:t>
            </w:r>
          </w:p>
        </w:tc>
      </w:tr>
      <w:tr>
        <w:trPr>
          <w:trHeight w:val="307" w:hRule="atLeast"/>
        </w:trPr>
        <w:tc>
          <w:tcPr>
            <w:tcW w:w="1278" w:type="dxa"/>
            <w:vAlign w:val="top"/>
          </w:tcPr>
          <w:p>
            <w:pPr>
              <w:pStyle w:val="TableText"/>
              <w:ind w:left="147"/>
              <w:spacing w:before="44" w:line="228" w:lineRule="auto"/>
              <w:rPr>
                <w:rFonts w:ascii="SimSun" w:hAnsi="SimSun" w:eastAsia="SimSun" w:cs="SimSun"/>
              </w:rPr>
            </w:pPr>
            <w:r>
              <w:rPr>
                <w:spacing w:val="4"/>
              </w:rPr>
              <w:t>6</w:t>
            </w:r>
            <w:r>
              <w:rPr>
                <w:spacing w:val="14"/>
                <w:w w:val="101"/>
              </w:rPr>
              <w:t xml:space="preserve"> </w:t>
            </w:r>
            <w:r>
              <w:rPr>
                <w:rFonts w:ascii="SimSun" w:hAnsi="SimSun" w:eastAsia="SimSun" w:cs="SimSun"/>
                <w:spacing w:val="4"/>
              </w:rPr>
              <w:t>号水文孔</w:t>
            </w:r>
          </w:p>
        </w:tc>
        <w:tc>
          <w:tcPr>
            <w:tcW w:w="1154" w:type="dxa"/>
            <w:vAlign w:val="top"/>
          </w:tcPr>
          <w:p>
            <w:pPr>
              <w:pStyle w:val="TableText"/>
              <w:ind w:left="290"/>
              <w:spacing w:before="80" w:line="195" w:lineRule="auto"/>
              <w:rPr/>
            </w:pPr>
            <w:r>
              <w:rPr>
                <w:spacing w:val="3"/>
              </w:rPr>
              <w:t>961.10</w:t>
            </w:r>
          </w:p>
        </w:tc>
        <w:tc>
          <w:tcPr>
            <w:tcW w:w="1154" w:type="dxa"/>
            <w:vAlign w:val="top"/>
          </w:tcPr>
          <w:p>
            <w:pPr>
              <w:pStyle w:val="TableText"/>
              <w:ind w:left="290"/>
              <w:spacing w:before="80" w:line="195" w:lineRule="auto"/>
              <w:rPr/>
            </w:pPr>
            <w:r>
              <w:rPr>
                <w:spacing w:val="-1"/>
              </w:rPr>
              <w:t>961.</w:t>
            </w:r>
            <w:r>
              <w:rPr>
                <w:spacing w:val="-24"/>
              </w:rPr>
              <w:t xml:space="preserve"> </w:t>
            </w:r>
            <w:r>
              <w:rPr>
                <w:spacing w:val="-1"/>
              </w:rPr>
              <w:t>11</w:t>
            </w:r>
          </w:p>
        </w:tc>
        <w:tc>
          <w:tcPr>
            <w:tcW w:w="1151" w:type="dxa"/>
            <w:vAlign w:val="top"/>
          </w:tcPr>
          <w:p>
            <w:pPr>
              <w:pStyle w:val="TableText"/>
              <w:ind w:left="293"/>
              <w:spacing w:before="80" w:line="195" w:lineRule="auto"/>
              <w:rPr/>
            </w:pPr>
            <w:r>
              <w:rPr>
                <w:spacing w:val="3"/>
              </w:rPr>
              <w:t>961.09</w:t>
            </w:r>
          </w:p>
        </w:tc>
        <w:tc>
          <w:tcPr>
            <w:tcW w:w="1154" w:type="dxa"/>
            <w:vAlign w:val="top"/>
          </w:tcPr>
          <w:p>
            <w:pPr>
              <w:pStyle w:val="TableText"/>
              <w:ind w:left="294"/>
              <w:spacing w:before="80" w:line="195" w:lineRule="auto"/>
              <w:rPr/>
            </w:pPr>
            <w:r>
              <w:rPr>
                <w:spacing w:val="3"/>
              </w:rPr>
              <w:t>961.09</w:t>
            </w:r>
          </w:p>
        </w:tc>
        <w:tc>
          <w:tcPr>
            <w:tcW w:w="1154" w:type="dxa"/>
            <w:vAlign w:val="top"/>
          </w:tcPr>
          <w:p>
            <w:pPr>
              <w:pStyle w:val="TableText"/>
              <w:ind w:left="292"/>
              <w:spacing w:before="80" w:line="195" w:lineRule="auto"/>
              <w:rPr/>
            </w:pPr>
            <w:r>
              <w:rPr>
                <w:spacing w:val="3"/>
              </w:rPr>
              <w:t>960.83</w:t>
            </w:r>
          </w:p>
        </w:tc>
        <w:tc>
          <w:tcPr>
            <w:tcW w:w="1154" w:type="dxa"/>
            <w:vAlign w:val="top"/>
          </w:tcPr>
          <w:p>
            <w:pPr>
              <w:pStyle w:val="TableText"/>
              <w:ind w:left="292"/>
              <w:spacing w:before="80" w:line="195" w:lineRule="auto"/>
              <w:rPr/>
            </w:pPr>
            <w:r>
              <w:rPr>
                <w:spacing w:val="3"/>
              </w:rPr>
              <w:t>960.41</w:t>
            </w:r>
          </w:p>
        </w:tc>
        <w:tc>
          <w:tcPr>
            <w:tcW w:w="983" w:type="dxa"/>
            <w:vAlign w:val="top"/>
          </w:tcPr>
          <w:p>
            <w:pPr>
              <w:pStyle w:val="TableText"/>
              <w:ind w:left="276"/>
              <w:spacing w:before="80" w:line="195" w:lineRule="auto"/>
              <w:rPr/>
            </w:pPr>
            <w:r>
              <w:rPr>
                <w:spacing w:val="3"/>
              </w:rPr>
              <w:t>-0.69</w:t>
            </w:r>
          </w:p>
        </w:tc>
      </w:tr>
    </w:tbl>
    <w:p>
      <w:pPr>
        <w:pStyle w:val="BodyText"/>
        <w:spacing w:line="434" w:lineRule="auto"/>
        <w:rPr/>
      </w:pPr>
      <w:r/>
    </w:p>
    <w:p>
      <w:pPr>
        <w:ind w:firstLine="2"/>
        <w:spacing w:line="5546" w:lineRule="exact"/>
        <w:rPr/>
      </w:pPr>
      <w:r>
        <w:rPr>
          <w:position w:val="-110"/>
        </w:rPr>
        <w:drawing>
          <wp:inline distT="0" distB="0" distL="0" distR="0">
            <wp:extent cx="5748528" cy="3521964"/>
            <wp:effectExtent l="0" t="0" r="0" b="0"/>
            <wp:docPr id="144" name="IM 144"/>
            <wp:cNvGraphicFramePr/>
            <a:graphic>
              <a:graphicData uri="http://schemas.openxmlformats.org/drawingml/2006/picture">
                <pic:pic>
                  <pic:nvPicPr>
                    <pic:cNvPr id="144" name="IM 144"/>
                    <pic:cNvPicPr/>
                  </pic:nvPicPr>
                  <pic:blipFill>
                    <a:blip r:embed="rId175"/>
                    <a:stretch>
                      <a:fillRect/>
                    </a:stretch>
                  </pic:blipFill>
                  <pic:spPr>
                    <a:xfrm rot="0">
                      <a:off x="0" y="0"/>
                      <a:ext cx="5748528" cy="3521964"/>
                    </a:xfrm>
                    <a:prstGeom prst="rect">
                      <a:avLst/>
                    </a:prstGeom>
                  </pic:spPr>
                </pic:pic>
              </a:graphicData>
            </a:graphic>
          </wp:inline>
        </w:drawing>
      </w:r>
    </w:p>
    <w:p>
      <w:pPr>
        <w:ind w:left="1295"/>
        <w:spacing w:before="287"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2"/>
        </w:rPr>
        <w:t xml:space="preserve"> </w:t>
      </w:r>
      <w:r>
        <w:rPr>
          <w:rFonts w:ascii="Times New Roman" w:hAnsi="Times New Roman" w:eastAsia="Times New Roman" w:cs="Times New Roman"/>
          <w:sz w:val="24"/>
          <w:szCs w:val="24"/>
          <w:spacing w:val="-2"/>
        </w:rPr>
        <w:t>3-3-</w:t>
      </w:r>
      <w:r>
        <w:rPr>
          <w:rFonts w:ascii="Times New Roman" w:hAnsi="Times New Roman" w:eastAsia="Times New Roman" w:cs="Times New Roman"/>
          <w:sz w:val="24"/>
          <w:szCs w:val="24"/>
          <w:spacing w:val="-27"/>
        </w:rPr>
        <w:t xml:space="preserve"> </w:t>
      </w:r>
      <w:r>
        <w:rPr>
          <w:rFonts w:ascii="Times New Roman" w:hAnsi="Times New Roman" w:eastAsia="Times New Roman" w:cs="Times New Roman"/>
          <w:sz w:val="24"/>
          <w:szCs w:val="24"/>
          <w:spacing w:val="-2"/>
        </w:rPr>
        <w:t>9   </w:t>
      </w:r>
      <w:r>
        <w:rPr>
          <w:rFonts w:ascii="SimHei" w:hAnsi="SimHei" w:eastAsia="SimHei" w:cs="SimHei"/>
          <w:sz w:val="24"/>
          <w:szCs w:val="24"/>
          <w:spacing w:val="-2"/>
        </w:rPr>
        <w:t>白</w:t>
      </w:r>
      <w:r>
        <w:rPr>
          <w:rFonts w:ascii="SimHei" w:hAnsi="SimHei" w:eastAsia="SimHei" w:cs="SimHei"/>
          <w:sz w:val="24"/>
          <w:szCs w:val="24"/>
          <w:spacing w:val="-64"/>
        </w:rPr>
        <w:t xml:space="preserve"> </w:t>
      </w:r>
      <w:r>
        <w:rPr>
          <w:rFonts w:ascii="SimHei" w:hAnsi="SimHei" w:eastAsia="SimHei" w:cs="SimHei"/>
          <w:sz w:val="24"/>
          <w:szCs w:val="24"/>
          <w:spacing w:val="-2"/>
        </w:rPr>
        <w:t>音</w:t>
      </w:r>
      <w:r>
        <w:rPr>
          <w:rFonts w:ascii="SimHei" w:hAnsi="SimHei" w:eastAsia="SimHei" w:cs="SimHei"/>
          <w:sz w:val="24"/>
          <w:szCs w:val="24"/>
          <w:spacing w:val="-71"/>
        </w:rPr>
        <w:t xml:space="preserve"> </w:t>
      </w:r>
      <w:r>
        <w:rPr>
          <w:rFonts w:ascii="SimHei" w:hAnsi="SimHei" w:eastAsia="SimHei" w:cs="SimHei"/>
          <w:sz w:val="24"/>
          <w:szCs w:val="24"/>
          <w:spacing w:val="-2"/>
        </w:rPr>
        <w:t>华</w:t>
      </w:r>
      <w:r>
        <w:rPr>
          <w:rFonts w:ascii="SimHei" w:hAnsi="SimHei" w:eastAsia="SimHei" w:cs="SimHei"/>
          <w:sz w:val="24"/>
          <w:szCs w:val="24"/>
          <w:spacing w:val="-56"/>
        </w:rPr>
        <w:t xml:space="preserve"> </w:t>
      </w:r>
      <w:r>
        <w:rPr>
          <w:rFonts w:ascii="SimHei" w:hAnsi="SimHei" w:eastAsia="SimHei" w:cs="SimHei"/>
          <w:sz w:val="24"/>
          <w:szCs w:val="24"/>
          <w:spacing w:val="-2"/>
        </w:rPr>
        <w:t>四</w:t>
      </w:r>
      <w:r>
        <w:rPr>
          <w:rFonts w:ascii="SimHei" w:hAnsi="SimHei" w:eastAsia="SimHei" w:cs="SimHei"/>
          <w:sz w:val="24"/>
          <w:szCs w:val="24"/>
          <w:spacing w:val="-65"/>
        </w:rPr>
        <w:t xml:space="preserve"> </w:t>
      </w:r>
      <w:r>
        <w:rPr>
          <w:rFonts w:ascii="SimHei" w:hAnsi="SimHei" w:eastAsia="SimHei" w:cs="SimHei"/>
          <w:sz w:val="24"/>
          <w:szCs w:val="24"/>
          <w:spacing w:val="-2"/>
        </w:rPr>
        <w:t>号井</w:t>
      </w:r>
      <w:r>
        <w:rPr>
          <w:rFonts w:ascii="SimHei" w:hAnsi="SimHei" w:eastAsia="SimHei" w:cs="SimHei"/>
          <w:sz w:val="24"/>
          <w:szCs w:val="24"/>
          <w:spacing w:val="-69"/>
        </w:rPr>
        <w:t xml:space="preserve"> </w:t>
      </w:r>
      <w:r>
        <w:rPr>
          <w:rFonts w:ascii="SimHei" w:hAnsi="SimHei" w:eastAsia="SimHei" w:cs="SimHei"/>
          <w:sz w:val="24"/>
          <w:szCs w:val="24"/>
          <w:spacing w:val="-2"/>
        </w:rPr>
        <w:t>工</w:t>
      </w:r>
      <w:r>
        <w:rPr>
          <w:rFonts w:ascii="SimHei" w:hAnsi="SimHei" w:eastAsia="SimHei" w:cs="SimHei"/>
          <w:sz w:val="24"/>
          <w:szCs w:val="24"/>
          <w:spacing w:val="-70"/>
        </w:rPr>
        <w:t xml:space="preserve"> </w:t>
      </w:r>
      <w:r>
        <w:rPr>
          <w:rFonts w:ascii="SimHei" w:hAnsi="SimHei" w:eastAsia="SimHei" w:cs="SimHei"/>
          <w:sz w:val="24"/>
          <w:szCs w:val="24"/>
          <w:spacing w:val="-2"/>
        </w:rPr>
        <w:t>煤矿</w:t>
      </w:r>
      <w:r>
        <w:rPr>
          <w:rFonts w:ascii="SimHei" w:hAnsi="SimHei" w:eastAsia="SimHei" w:cs="SimHei"/>
          <w:sz w:val="24"/>
          <w:szCs w:val="24"/>
          <w:spacing w:val="-70"/>
        </w:rPr>
        <w:t xml:space="preserve"> </w:t>
      </w:r>
      <w:r>
        <w:rPr>
          <w:rFonts w:ascii="SimHei" w:hAnsi="SimHei" w:eastAsia="SimHei" w:cs="SimHei"/>
          <w:sz w:val="24"/>
          <w:szCs w:val="24"/>
          <w:spacing w:val="-2"/>
        </w:rPr>
        <w:t>第</w:t>
      </w:r>
      <w:r>
        <w:rPr>
          <w:rFonts w:ascii="SimHei" w:hAnsi="SimHei" w:eastAsia="SimHei" w:cs="SimHei"/>
          <w:sz w:val="24"/>
          <w:szCs w:val="24"/>
          <w:spacing w:val="-56"/>
        </w:rPr>
        <w:t xml:space="preserve"> </w:t>
      </w:r>
      <w:r>
        <w:rPr>
          <w:rFonts w:ascii="SimHei" w:hAnsi="SimHei" w:eastAsia="SimHei" w:cs="SimHei"/>
          <w:sz w:val="24"/>
          <w:szCs w:val="24"/>
          <w:spacing w:val="-2"/>
        </w:rPr>
        <w:t>四</w:t>
      </w:r>
      <w:r>
        <w:rPr>
          <w:rFonts w:ascii="SimHei" w:hAnsi="SimHei" w:eastAsia="SimHei" w:cs="SimHei"/>
          <w:sz w:val="24"/>
          <w:szCs w:val="24"/>
          <w:spacing w:val="-67"/>
        </w:rPr>
        <w:t xml:space="preserve"> </w:t>
      </w:r>
      <w:r>
        <w:rPr>
          <w:rFonts w:ascii="SimHei" w:hAnsi="SimHei" w:eastAsia="SimHei" w:cs="SimHei"/>
          <w:sz w:val="24"/>
          <w:szCs w:val="24"/>
          <w:spacing w:val="-2"/>
        </w:rPr>
        <w:t>系</w:t>
      </w:r>
      <w:r>
        <w:rPr>
          <w:rFonts w:ascii="SimHei" w:hAnsi="SimHei" w:eastAsia="SimHei" w:cs="SimHei"/>
          <w:sz w:val="24"/>
          <w:szCs w:val="24"/>
          <w:spacing w:val="-71"/>
        </w:rPr>
        <w:t xml:space="preserve"> </w:t>
      </w:r>
      <w:r>
        <w:rPr>
          <w:rFonts w:ascii="SimHei" w:hAnsi="SimHei" w:eastAsia="SimHei" w:cs="SimHei"/>
          <w:sz w:val="24"/>
          <w:szCs w:val="24"/>
          <w:spacing w:val="-2"/>
        </w:rPr>
        <w:t>潜</w:t>
      </w:r>
      <w:r>
        <w:rPr>
          <w:rFonts w:ascii="SimHei" w:hAnsi="SimHei" w:eastAsia="SimHei" w:cs="SimHei"/>
          <w:sz w:val="24"/>
          <w:szCs w:val="24"/>
          <w:spacing w:val="-71"/>
        </w:rPr>
        <w:t xml:space="preserve"> </w:t>
      </w:r>
      <w:r>
        <w:rPr>
          <w:rFonts w:ascii="SimHei" w:hAnsi="SimHei" w:eastAsia="SimHei" w:cs="SimHei"/>
          <w:sz w:val="24"/>
          <w:szCs w:val="24"/>
          <w:spacing w:val="-2"/>
        </w:rPr>
        <w:t>水水</w:t>
      </w:r>
      <w:r>
        <w:rPr>
          <w:rFonts w:ascii="SimHei" w:hAnsi="SimHei" w:eastAsia="SimHei" w:cs="SimHei"/>
          <w:sz w:val="24"/>
          <w:szCs w:val="24"/>
          <w:spacing w:val="-72"/>
        </w:rPr>
        <w:t xml:space="preserve"> </w:t>
      </w:r>
      <w:r>
        <w:rPr>
          <w:rFonts w:ascii="SimHei" w:hAnsi="SimHei" w:eastAsia="SimHei" w:cs="SimHei"/>
          <w:sz w:val="24"/>
          <w:szCs w:val="24"/>
          <w:spacing w:val="-2"/>
        </w:rPr>
        <w:t>位</w:t>
      </w:r>
      <w:r>
        <w:rPr>
          <w:rFonts w:ascii="SimHei" w:hAnsi="SimHei" w:eastAsia="SimHei" w:cs="SimHei"/>
          <w:sz w:val="24"/>
          <w:szCs w:val="24"/>
          <w:spacing w:val="-65"/>
        </w:rPr>
        <w:t xml:space="preserve"> </w:t>
      </w:r>
      <w:r>
        <w:rPr>
          <w:rFonts w:ascii="SimHei" w:hAnsi="SimHei" w:eastAsia="SimHei" w:cs="SimHei"/>
          <w:sz w:val="24"/>
          <w:szCs w:val="24"/>
          <w:spacing w:val="-2"/>
        </w:rPr>
        <w:t>变</w:t>
      </w:r>
      <w:r>
        <w:rPr>
          <w:rFonts w:ascii="SimHei" w:hAnsi="SimHei" w:eastAsia="SimHei" w:cs="SimHei"/>
          <w:sz w:val="24"/>
          <w:szCs w:val="24"/>
          <w:spacing w:val="-71"/>
        </w:rPr>
        <w:t xml:space="preserve"> </w:t>
      </w:r>
      <w:r>
        <w:rPr>
          <w:rFonts w:ascii="SimHei" w:hAnsi="SimHei" w:eastAsia="SimHei" w:cs="SimHei"/>
          <w:sz w:val="24"/>
          <w:szCs w:val="24"/>
          <w:spacing w:val="-2"/>
        </w:rPr>
        <w:t>化</w:t>
      </w:r>
      <w:r>
        <w:rPr>
          <w:rFonts w:ascii="SimHei" w:hAnsi="SimHei" w:eastAsia="SimHei" w:cs="SimHei"/>
          <w:sz w:val="24"/>
          <w:szCs w:val="24"/>
          <w:spacing w:val="-70"/>
        </w:rPr>
        <w:t xml:space="preserve"> </w:t>
      </w:r>
      <w:r>
        <w:rPr>
          <w:rFonts w:ascii="SimHei" w:hAnsi="SimHei" w:eastAsia="SimHei" w:cs="SimHei"/>
          <w:sz w:val="24"/>
          <w:szCs w:val="24"/>
          <w:spacing w:val="-3"/>
        </w:rPr>
        <w:t>情</w:t>
      </w:r>
      <w:r>
        <w:rPr>
          <w:rFonts w:ascii="SimHei" w:hAnsi="SimHei" w:eastAsia="SimHei" w:cs="SimHei"/>
          <w:sz w:val="24"/>
          <w:szCs w:val="24"/>
          <w:spacing w:val="-68"/>
        </w:rPr>
        <w:t xml:space="preserve"> </w:t>
      </w:r>
      <w:r>
        <w:rPr>
          <w:rFonts w:ascii="SimHei" w:hAnsi="SimHei" w:eastAsia="SimHei" w:cs="SimHei"/>
          <w:sz w:val="24"/>
          <w:szCs w:val="24"/>
          <w:spacing w:val="-3"/>
        </w:rPr>
        <w:t>况</w:t>
      </w:r>
    </w:p>
    <w:p>
      <w:pPr>
        <w:ind w:left="10" w:right="99" w:firstLine="480"/>
        <w:spacing w:before="186" w:line="338" w:lineRule="auto"/>
        <w:jc w:val="both"/>
        <w:rPr>
          <w:rFonts w:ascii="SimSun" w:hAnsi="SimSun" w:eastAsia="SimSun" w:cs="SimSun"/>
          <w:sz w:val="24"/>
          <w:szCs w:val="24"/>
        </w:rPr>
      </w:pPr>
      <w:r>
        <w:rPr>
          <w:rFonts w:ascii="SimSun" w:hAnsi="SimSun" w:eastAsia="SimSun" w:cs="SimSun"/>
          <w:sz w:val="24"/>
          <w:szCs w:val="24"/>
          <w:spacing w:val="-2"/>
        </w:rPr>
        <w:t>第四系潜水含水层主要受露天部分开采影响，根据已收集资料，露天矿在先期采掘</w:t>
      </w:r>
      <w:r>
        <w:rPr>
          <w:rFonts w:ascii="SimSun" w:hAnsi="SimSun" w:eastAsia="SimSun" w:cs="SimSun"/>
          <w:sz w:val="24"/>
          <w:szCs w:val="24"/>
          <w:spacing w:val="-4"/>
        </w:rPr>
        <w:t>场周围布置有疏干井，疏干第四系潜水及</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3 </w:t>
      </w:r>
      <w:r>
        <w:rPr>
          <w:rFonts w:ascii="SimSun" w:hAnsi="SimSun" w:eastAsia="SimSun" w:cs="SimSun"/>
          <w:sz w:val="24"/>
          <w:szCs w:val="24"/>
          <w:spacing w:val="-4"/>
        </w:rPr>
        <w:t>煤组承压水，第四系潜</w:t>
      </w:r>
      <w:r>
        <w:rPr>
          <w:rFonts w:ascii="SimSun" w:hAnsi="SimSun" w:eastAsia="SimSun" w:cs="SimSun"/>
          <w:sz w:val="24"/>
          <w:szCs w:val="24"/>
          <w:spacing w:val="-5"/>
        </w:rPr>
        <w:t>水及</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3</w:t>
      </w:r>
      <w:r>
        <w:rPr>
          <w:rFonts w:ascii="SimSun" w:hAnsi="SimSun" w:eastAsia="SimSun" w:cs="SimSun"/>
          <w:sz w:val="24"/>
          <w:szCs w:val="24"/>
          <w:spacing w:val="-1"/>
        </w:rPr>
        <w:t>煤组裂隙承压含水岩组作为主要充水含水层已基本被</w:t>
      </w:r>
      <w:r>
        <w:rPr>
          <w:rFonts w:ascii="SimSun" w:hAnsi="SimSun" w:eastAsia="SimSun" w:cs="SimSun"/>
          <w:sz w:val="24"/>
          <w:szCs w:val="24"/>
          <w:spacing w:val="-2"/>
        </w:rPr>
        <w:t>疏干，水位下降到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煤煤层顶板。</w:t>
      </w:r>
    </w:p>
    <w:p>
      <w:pPr>
        <w:ind w:left="498"/>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）对居民饮用水的影响回顾</w:t>
      </w:r>
    </w:p>
    <w:p>
      <w:pPr>
        <w:ind w:left="10" w:right="115" w:firstLine="498"/>
        <w:spacing w:before="156" w:line="338" w:lineRule="auto"/>
        <w:rPr>
          <w:rFonts w:ascii="SimSun" w:hAnsi="SimSun" w:eastAsia="SimSun" w:cs="SimSun"/>
          <w:sz w:val="24"/>
          <w:szCs w:val="24"/>
        </w:rPr>
      </w:pPr>
      <w:r>
        <w:rPr>
          <w:rFonts w:ascii="SimSun" w:hAnsi="SimSun" w:eastAsia="SimSun" w:cs="SimSun"/>
          <w:sz w:val="24"/>
          <w:szCs w:val="24"/>
          <w:spacing w:val="-4"/>
        </w:rPr>
        <w:t>区域内第四系地层广泛分布，经现场调查并结合验收现场调查情况，</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5"/>
        </w:rPr>
        <w:t>017 </w:t>
      </w:r>
      <w:r>
        <w:rPr>
          <w:rFonts w:ascii="SimSun" w:hAnsi="SimSun" w:eastAsia="SimSun" w:cs="SimSun"/>
          <w:sz w:val="24"/>
          <w:szCs w:val="24"/>
          <w:spacing w:val="-5"/>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月白</w:t>
      </w:r>
      <w:r>
        <w:rPr>
          <w:rFonts w:ascii="SimSun" w:hAnsi="SimSun" w:eastAsia="SimSun" w:cs="SimSun"/>
          <w:sz w:val="24"/>
          <w:szCs w:val="24"/>
          <w:spacing w:val="-2"/>
        </w:rPr>
        <w:t>音华四号矿井田内牧民已经全部完成搬迁，无供居民使用的水井。根据前述地下水水位</w:t>
      </w:r>
      <w:r>
        <w:rPr>
          <w:rFonts w:ascii="SimSun" w:hAnsi="SimSun" w:eastAsia="SimSun" w:cs="SimSun"/>
          <w:sz w:val="24"/>
          <w:szCs w:val="24"/>
          <w:spacing w:val="-2"/>
        </w:rPr>
        <w:t>回顾性分析可知，四号矿开采影响范围内的地下水水位已经处于稳定状态，无明显下降</w:t>
      </w:r>
      <w:r>
        <w:rPr>
          <w:rFonts w:ascii="SimSun" w:hAnsi="SimSun" w:eastAsia="SimSun" w:cs="SimSun"/>
          <w:sz w:val="24"/>
          <w:szCs w:val="24"/>
          <w:spacing w:val="-1"/>
        </w:rPr>
        <w:t>趋势，后续井田开发对周边居民饮用水影响较小。</w:t>
      </w:r>
    </w:p>
    <w:p>
      <w:pPr>
        <w:ind w:left="498"/>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）地下水环境质量回顾性分析</w:t>
      </w:r>
    </w:p>
    <w:p>
      <w:pPr>
        <w:ind w:left="11" w:right="122" w:firstLine="480"/>
        <w:spacing w:before="157" w:line="338" w:lineRule="auto"/>
        <w:rPr>
          <w:rFonts w:ascii="SimSun" w:hAnsi="SimSun" w:eastAsia="SimSun" w:cs="SimSun"/>
          <w:sz w:val="24"/>
          <w:szCs w:val="24"/>
        </w:rPr>
      </w:pPr>
      <w:r>
        <w:rPr>
          <w:rFonts w:ascii="SimSun" w:hAnsi="SimSun" w:eastAsia="SimSun" w:cs="SimSun"/>
          <w:sz w:val="24"/>
          <w:szCs w:val="24"/>
          <w:spacing w:val="1"/>
        </w:rPr>
        <w:t>本次调查收集了</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2005 </w:t>
      </w:r>
      <w:r>
        <w:rPr>
          <w:rFonts w:ascii="SimSun" w:hAnsi="SimSun" w:eastAsia="SimSun" w:cs="SimSun"/>
          <w:sz w:val="24"/>
          <w:szCs w:val="24"/>
          <w:spacing w:val="1"/>
        </w:rPr>
        <w:t>年以来白音华四号露天矿历次地下水水质监测资料，监测点</w:t>
      </w:r>
      <w:r>
        <w:rPr>
          <w:rFonts w:ascii="SimSun" w:hAnsi="SimSun" w:eastAsia="SimSun" w:cs="SimSun"/>
          <w:sz w:val="24"/>
          <w:szCs w:val="24"/>
          <w:spacing w:val="-1"/>
        </w:rPr>
        <w:t>位、监测因子、超标指标等见表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3-3-15</w:t>
      </w:r>
      <w:r>
        <w:rPr>
          <w:rFonts w:ascii="SimSun" w:hAnsi="SimSun" w:eastAsia="SimSun" w:cs="SimSun"/>
          <w:sz w:val="24"/>
          <w:szCs w:val="24"/>
          <w:spacing w:val="-1"/>
        </w:rPr>
        <w:t>。</w:t>
      </w:r>
    </w:p>
    <w:p>
      <w:pPr>
        <w:ind w:left="12" w:right="99" w:firstLine="479"/>
        <w:spacing w:line="340" w:lineRule="auto"/>
        <w:jc w:val="both"/>
        <w:rPr>
          <w:rFonts w:ascii="SimSun" w:hAnsi="SimSun" w:eastAsia="SimSun" w:cs="SimSun"/>
          <w:sz w:val="24"/>
          <w:szCs w:val="24"/>
        </w:rPr>
      </w:pPr>
      <w:r>
        <w:rPr>
          <w:rFonts w:ascii="SimSun" w:hAnsi="SimSun" w:eastAsia="SimSun" w:cs="SimSun"/>
          <w:sz w:val="24"/>
          <w:szCs w:val="24"/>
          <w:spacing w:val="-2"/>
        </w:rPr>
        <w:t>根据监测结果显示，区域内第四系地下水普遍存在超标情况，超标指标包括溶解性</w:t>
      </w:r>
      <w:r>
        <w:rPr>
          <w:rFonts w:ascii="SimSun" w:hAnsi="SimSun" w:eastAsia="SimSun" w:cs="SimSun"/>
          <w:sz w:val="24"/>
          <w:szCs w:val="24"/>
          <w:spacing w:val="-1"/>
        </w:rPr>
        <w:t>总固体、总硬度、氟化物、铁、锰、高猛酸盐指数、氨氮、细菌总</w:t>
      </w:r>
      <w:r>
        <w:rPr>
          <w:rFonts w:ascii="SimSun" w:hAnsi="SimSun" w:eastAsia="SimSun" w:cs="SimSun"/>
          <w:sz w:val="24"/>
          <w:szCs w:val="24"/>
          <w:spacing w:val="-2"/>
        </w:rPr>
        <w:t>数、总大肠菌群等。</w:t>
      </w:r>
      <w:r>
        <w:rPr>
          <w:rFonts w:ascii="SimSun" w:hAnsi="SimSun" w:eastAsia="SimSun" w:cs="SimSun"/>
          <w:sz w:val="24"/>
          <w:szCs w:val="24"/>
          <w:spacing w:val="-2"/>
        </w:rPr>
        <w:t>其中，溶解性总固体、总硬度、氟化物、铁、锰超标主要是与当地的地质条件和沉积环</w:t>
      </w:r>
    </w:p>
    <w:p>
      <w:pPr>
        <w:spacing w:line="340" w:lineRule="auto"/>
        <w:sectPr>
          <w:headerReference w:type="default" r:id="rId173"/>
          <w:footerReference w:type="default" r:id="rId174"/>
          <w:pgSz w:w="11906" w:h="16838"/>
          <w:pgMar w:top="1170" w:right="1304" w:bottom="1078" w:left="1413" w:header="837" w:footer="915" w:gutter="0"/>
        </w:sectPr>
        <w:rPr>
          <w:rFonts w:ascii="SimSun" w:hAnsi="SimSun" w:eastAsia="SimSun" w:cs="SimSun"/>
          <w:sz w:val="24"/>
          <w:szCs w:val="24"/>
        </w:rPr>
      </w:pPr>
    </w:p>
    <w:p>
      <w:pPr>
        <w:pStyle w:val="BodyText"/>
        <w:spacing w:line="311" w:lineRule="auto"/>
        <w:rPr/>
      </w:pPr>
      <w:r/>
    </w:p>
    <w:p>
      <w:pPr>
        <w:ind w:left="24" w:right="2" w:hanging="14"/>
        <w:spacing w:before="78" w:line="339" w:lineRule="auto"/>
        <w:rPr>
          <w:rFonts w:ascii="SimSun" w:hAnsi="SimSun" w:eastAsia="SimSun" w:cs="SimSun"/>
          <w:sz w:val="24"/>
          <w:szCs w:val="24"/>
        </w:rPr>
      </w:pPr>
      <w:r>
        <w:rPr>
          <w:rFonts w:ascii="SimSun" w:hAnsi="SimSun" w:eastAsia="SimSun" w:cs="SimSun"/>
          <w:sz w:val="24"/>
          <w:szCs w:val="24"/>
          <w:spacing w:val="-2"/>
        </w:rPr>
        <w:t>境有关；高猛酸盐指数、氨氮、细菌总数、总大肠菌群超标与当地牧民放养牲畜和生活</w:t>
      </w:r>
      <w:r>
        <w:rPr>
          <w:rFonts w:ascii="SimSun" w:hAnsi="SimSun" w:eastAsia="SimSun" w:cs="SimSun"/>
          <w:sz w:val="24"/>
          <w:szCs w:val="24"/>
          <w:spacing w:val="-6"/>
        </w:rPr>
        <w:t>习惯有关。</w:t>
      </w:r>
    </w:p>
    <w:p>
      <w:pPr>
        <w:ind w:left="10" w:right="2" w:firstLine="481"/>
        <w:spacing w:before="2" w:line="310" w:lineRule="auto"/>
        <w:jc w:val="both"/>
        <w:rPr>
          <w:rFonts w:ascii="SimSun" w:hAnsi="SimSun" w:eastAsia="SimSun" w:cs="SimSun"/>
          <w:sz w:val="24"/>
          <w:szCs w:val="24"/>
        </w:rPr>
      </w:pPr>
      <w:r>
        <w:rPr>
          <w:rFonts w:ascii="SimSun" w:hAnsi="SimSun" w:eastAsia="SimSun" w:cs="SimSun"/>
          <w:sz w:val="24"/>
          <w:szCs w:val="24"/>
          <w:spacing w:val="-2"/>
        </w:rPr>
        <w:t>各阶段地下水水质均有多项指标出现不同程度超标，且在同一阶段各监测点位水质</w:t>
      </w:r>
      <w:r>
        <w:rPr>
          <w:rFonts w:ascii="SimSun" w:hAnsi="SimSun" w:eastAsia="SimSun" w:cs="SimSun"/>
          <w:sz w:val="24"/>
          <w:szCs w:val="24"/>
          <w:spacing w:val="-2"/>
        </w:rPr>
        <w:t>监测结果明显有差别，分析认为可能是由于周边露天矿开采疏排水，地下水与岩石水化</w:t>
      </w:r>
      <w:r>
        <w:rPr>
          <w:rFonts w:ascii="SimSun" w:hAnsi="SimSun" w:eastAsia="SimSun" w:cs="SimSun"/>
          <w:sz w:val="24"/>
          <w:szCs w:val="24"/>
          <w:spacing w:val="-2"/>
        </w:rPr>
        <w:t>作用加强，离子溶解程度加大，以及水位下降从而导致局部地下水径流不畅，离子局部</w:t>
      </w:r>
      <w:r>
        <w:rPr>
          <w:rFonts w:ascii="SimSun" w:hAnsi="SimSun" w:eastAsia="SimSun" w:cs="SimSun"/>
          <w:sz w:val="24"/>
          <w:szCs w:val="24"/>
          <w:spacing w:val="-3"/>
        </w:rPr>
        <w:t>累积导致。</w:t>
      </w:r>
    </w:p>
    <w:p>
      <w:pPr>
        <w:ind w:firstLine="554"/>
        <w:spacing w:line="7936" w:lineRule="exact"/>
        <w:rPr/>
      </w:pPr>
      <w:r>
        <w:rPr>
          <w:position w:val="-158"/>
        </w:rPr>
        <w:drawing>
          <wp:inline distT="0" distB="0" distL="0" distR="0">
            <wp:extent cx="5042915" cy="5039868"/>
            <wp:effectExtent l="0" t="0" r="0" b="0"/>
            <wp:docPr id="146" name="IM 146"/>
            <wp:cNvGraphicFramePr/>
            <a:graphic>
              <a:graphicData uri="http://schemas.openxmlformats.org/drawingml/2006/picture">
                <pic:pic>
                  <pic:nvPicPr>
                    <pic:cNvPr id="146" name="IM 146"/>
                    <pic:cNvPicPr/>
                  </pic:nvPicPr>
                  <pic:blipFill>
                    <a:blip r:embed="rId177"/>
                    <a:stretch>
                      <a:fillRect/>
                    </a:stretch>
                  </pic:blipFill>
                  <pic:spPr>
                    <a:xfrm rot="0">
                      <a:off x="0" y="0"/>
                      <a:ext cx="5042915" cy="5039868"/>
                    </a:xfrm>
                    <a:prstGeom prst="rect">
                      <a:avLst/>
                    </a:prstGeom>
                  </pic:spPr>
                </pic:pic>
              </a:graphicData>
            </a:graphic>
          </wp:inline>
        </w:drawing>
      </w:r>
    </w:p>
    <w:p>
      <w:pPr>
        <w:pStyle w:val="BodyText"/>
        <w:spacing w:line="351" w:lineRule="auto"/>
        <w:rPr/>
      </w:pPr>
      <w:r/>
    </w:p>
    <w:p>
      <w:pPr>
        <w:ind w:left="2761"/>
        <w:spacing w:before="79" w:line="222" w:lineRule="auto"/>
        <w:rPr>
          <w:rFonts w:ascii="SimHei" w:hAnsi="SimHei" w:eastAsia="SimHei" w:cs="SimHei"/>
          <w:sz w:val="24"/>
          <w:szCs w:val="24"/>
        </w:rPr>
      </w:pPr>
      <w:r>
        <w:rPr>
          <w:rFonts w:ascii="SimHei" w:hAnsi="SimHei" w:eastAsia="SimHei" w:cs="SimHei"/>
          <w:sz w:val="24"/>
          <w:szCs w:val="24"/>
          <w:spacing w:val="1"/>
        </w:rPr>
        <w:t>图</w:t>
      </w:r>
      <w:r>
        <w:rPr>
          <w:rFonts w:ascii="SimHei" w:hAnsi="SimHei" w:eastAsia="SimHei" w:cs="SimHei"/>
          <w:sz w:val="24"/>
          <w:szCs w:val="24"/>
          <w:spacing w:val="1"/>
        </w:rPr>
        <w:t xml:space="preserve"> </w:t>
      </w:r>
      <w:r>
        <w:rPr>
          <w:rFonts w:ascii="Times New Roman" w:hAnsi="Times New Roman" w:eastAsia="Times New Roman" w:cs="Times New Roman"/>
          <w:sz w:val="24"/>
          <w:szCs w:val="24"/>
          <w:spacing w:val="1"/>
        </w:rPr>
        <w:t>3-3-10   </w:t>
      </w:r>
      <w:r>
        <w:rPr>
          <w:rFonts w:ascii="SimHei" w:hAnsi="SimHei" w:eastAsia="SimHei" w:cs="SimHei"/>
          <w:sz w:val="24"/>
          <w:szCs w:val="24"/>
          <w:spacing w:val="1"/>
        </w:rPr>
        <w:t>地</w:t>
      </w:r>
      <w:r>
        <w:rPr>
          <w:rFonts w:ascii="SimHei" w:hAnsi="SimHei" w:eastAsia="SimHei" w:cs="SimHei"/>
          <w:sz w:val="24"/>
          <w:szCs w:val="24"/>
          <w:spacing w:val="-47"/>
        </w:rPr>
        <w:t xml:space="preserve"> </w:t>
      </w:r>
      <w:r>
        <w:rPr>
          <w:rFonts w:ascii="SimHei" w:hAnsi="SimHei" w:eastAsia="SimHei" w:cs="SimHei"/>
          <w:sz w:val="24"/>
          <w:szCs w:val="24"/>
          <w:spacing w:val="1"/>
        </w:rPr>
        <w:t>下水</w:t>
      </w:r>
      <w:r>
        <w:rPr>
          <w:rFonts w:ascii="SimHei" w:hAnsi="SimHei" w:eastAsia="SimHei" w:cs="SimHei"/>
          <w:sz w:val="24"/>
          <w:szCs w:val="24"/>
          <w:spacing w:val="-71"/>
        </w:rPr>
        <w:t xml:space="preserve"> </w:t>
      </w:r>
      <w:r>
        <w:rPr>
          <w:rFonts w:ascii="SimHei" w:hAnsi="SimHei" w:eastAsia="SimHei" w:cs="SimHei"/>
          <w:sz w:val="24"/>
          <w:szCs w:val="24"/>
          <w:spacing w:val="1"/>
        </w:rPr>
        <w:t>监</w:t>
      </w:r>
      <w:r>
        <w:rPr>
          <w:rFonts w:ascii="SimHei" w:hAnsi="SimHei" w:eastAsia="SimHei" w:cs="SimHei"/>
          <w:sz w:val="24"/>
          <w:szCs w:val="24"/>
          <w:spacing w:val="-71"/>
        </w:rPr>
        <w:t xml:space="preserve"> </w:t>
      </w:r>
      <w:r>
        <w:rPr>
          <w:rFonts w:ascii="SimHei" w:hAnsi="SimHei" w:eastAsia="SimHei" w:cs="SimHei"/>
          <w:sz w:val="24"/>
          <w:szCs w:val="24"/>
          <w:spacing w:val="1"/>
        </w:rPr>
        <w:t>测</w:t>
      </w:r>
      <w:r>
        <w:rPr>
          <w:rFonts w:ascii="SimHei" w:hAnsi="SimHei" w:eastAsia="SimHei" w:cs="SimHei"/>
          <w:sz w:val="24"/>
          <w:szCs w:val="24"/>
          <w:spacing w:val="-70"/>
        </w:rPr>
        <w:t xml:space="preserve"> </w:t>
      </w:r>
      <w:r>
        <w:rPr>
          <w:rFonts w:ascii="SimHei" w:hAnsi="SimHei" w:eastAsia="SimHei" w:cs="SimHei"/>
          <w:sz w:val="24"/>
          <w:szCs w:val="24"/>
          <w:spacing w:val="1"/>
        </w:rPr>
        <w:t>点</w:t>
      </w:r>
      <w:r>
        <w:rPr>
          <w:rFonts w:ascii="SimHei" w:hAnsi="SimHei" w:eastAsia="SimHei" w:cs="SimHei"/>
          <w:sz w:val="24"/>
          <w:szCs w:val="24"/>
          <w:spacing w:val="-71"/>
        </w:rPr>
        <w:t xml:space="preserve"> </w:t>
      </w:r>
      <w:r>
        <w:rPr>
          <w:rFonts w:ascii="SimHei" w:hAnsi="SimHei" w:eastAsia="SimHei" w:cs="SimHei"/>
          <w:sz w:val="24"/>
          <w:szCs w:val="24"/>
          <w:spacing w:val="1"/>
        </w:rPr>
        <w:t>布</w:t>
      </w:r>
      <w:r>
        <w:rPr>
          <w:rFonts w:ascii="SimHei" w:hAnsi="SimHei" w:eastAsia="SimHei" w:cs="SimHei"/>
          <w:sz w:val="24"/>
          <w:szCs w:val="24"/>
          <w:spacing w:val="-64"/>
        </w:rPr>
        <w:t xml:space="preserve"> </w:t>
      </w:r>
      <w:r>
        <w:rPr>
          <w:rFonts w:ascii="SimHei" w:hAnsi="SimHei" w:eastAsia="SimHei" w:cs="SimHei"/>
          <w:sz w:val="24"/>
          <w:szCs w:val="24"/>
          <w:spacing w:val="1"/>
        </w:rPr>
        <w:t>置</w:t>
      </w:r>
      <w:r>
        <w:rPr>
          <w:rFonts w:ascii="SimHei" w:hAnsi="SimHei" w:eastAsia="SimHei" w:cs="SimHei"/>
          <w:sz w:val="24"/>
          <w:szCs w:val="24"/>
          <w:spacing w:val="-59"/>
        </w:rPr>
        <w:t xml:space="preserve"> </w:t>
      </w:r>
      <w:r>
        <w:rPr>
          <w:rFonts w:ascii="SimHei" w:hAnsi="SimHei" w:eastAsia="SimHei" w:cs="SimHei"/>
          <w:sz w:val="24"/>
          <w:szCs w:val="24"/>
          <w:spacing w:val="1"/>
        </w:rPr>
        <w:t>图</w:t>
      </w:r>
    </w:p>
    <w:p>
      <w:pPr>
        <w:spacing w:line="222" w:lineRule="auto"/>
        <w:sectPr>
          <w:headerReference w:type="default" r:id="rId116"/>
          <w:footerReference w:type="default" r:id="rId176"/>
          <w:pgSz w:w="11906" w:h="16838"/>
          <w:pgMar w:top="1170" w:right="1417" w:bottom="1078" w:left="1416" w:header="837" w:footer="915" w:gutter="0"/>
        </w:sectPr>
        <w:rPr>
          <w:rFonts w:ascii="SimHei" w:hAnsi="SimHei" w:eastAsia="SimHei" w:cs="SimHei"/>
          <w:sz w:val="24"/>
          <w:szCs w:val="24"/>
        </w:rPr>
      </w:pPr>
    </w:p>
    <w:p>
      <w:pPr>
        <w:pStyle w:val="BodyText"/>
        <w:spacing w:line="278" w:lineRule="auto"/>
        <w:rPr/>
      </w:pPr>
      <w:r/>
    </w:p>
    <w:p>
      <w:pPr>
        <w:pStyle w:val="BodyText"/>
        <w:spacing w:line="279" w:lineRule="auto"/>
        <w:rPr/>
      </w:pPr>
      <w:r/>
    </w:p>
    <w:p>
      <w:pPr>
        <w:ind w:left="5827"/>
        <w:spacing w:before="78" w:line="222" w:lineRule="auto"/>
        <w:rPr>
          <w:rFonts w:ascii="SimHei" w:hAnsi="SimHei" w:eastAsia="SimHei" w:cs="SimHei"/>
          <w:sz w:val="24"/>
          <w:szCs w:val="24"/>
        </w:rPr>
      </w:pPr>
      <w:r>
        <w:rPr>
          <w:rFonts w:ascii="SimHei" w:hAnsi="SimHei" w:eastAsia="SimHei" w:cs="SimHei"/>
          <w:sz w:val="24"/>
          <w:szCs w:val="24"/>
          <w:spacing w:val="36"/>
        </w:rPr>
        <w:t>地下水水水质监测信息表</w:t>
      </w:r>
    </w:p>
    <w:p>
      <w:pPr>
        <w:ind w:left="118"/>
        <w:spacing w:before="182" w:line="221" w:lineRule="auto"/>
        <w:rPr>
          <w:rFonts w:ascii="Times New Roman" w:hAnsi="Times New Roman" w:eastAsia="Times New Roman" w:cs="Times New Roman"/>
          <w:sz w:val="24"/>
          <w:szCs w:val="24"/>
        </w:rPr>
      </w:pPr>
      <w:r>
        <w:rPr>
          <w:rFonts w:ascii="SimSun" w:hAnsi="SimSun" w:eastAsia="SimSun" w:cs="SimSun"/>
          <w:sz w:val="24"/>
          <w:szCs w:val="24"/>
          <w:spacing w:val="-3"/>
        </w:rPr>
        <w:t>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3-3-15</w:t>
      </w:r>
    </w:p>
    <w:p>
      <w:pPr>
        <w:spacing w:line="108" w:lineRule="auto"/>
        <w:rPr>
          <w:rFonts w:ascii="Arial"/>
          <w:sz w:val="2"/>
        </w:rPr>
      </w:pPr>
      <w:r>
        <w:rPr>
          <w:rFonts w:ascii="Arial"/>
          <w:sz w:val="2"/>
        </w:rPr>
      </w:r>
    </w:p>
    <w:tbl>
      <w:tblPr>
        <w:tblStyle w:val="TableNormal"/>
        <w:tblW w:w="1451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48"/>
        <w:gridCol w:w="979"/>
        <w:gridCol w:w="3045"/>
        <w:gridCol w:w="1634"/>
        <w:gridCol w:w="1257"/>
        <w:gridCol w:w="2680"/>
        <w:gridCol w:w="1732"/>
        <w:gridCol w:w="2135"/>
      </w:tblGrid>
      <w:tr>
        <w:trPr>
          <w:trHeight w:val="554" w:hRule="atLeast"/>
        </w:trPr>
        <w:tc>
          <w:tcPr>
            <w:tcW w:w="1048" w:type="dxa"/>
            <w:vAlign w:val="top"/>
          </w:tcPr>
          <w:p>
            <w:pPr>
              <w:ind w:left="438" w:right="205" w:hanging="221"/>
              <w:spacing w:before="34" w:line="235" w:lineRule="auto"/>
              <w:rPr>
                <w:rFonts w:ascii="SimSun" w:hAnsi="SimSun" w:eastAsia="SimSun" w:cs="SimSun"/>
                <w:sz w:val="20"/>
                <w:szCs w:val="20"/>
              </w:rPr>
            </w:pPr>
            <w:r>
              <w:rPr>
                <w:rFonts w:ascii="SimSun" w:hAnsi="SimSun" w:eastAsia="SimSun" w:cs="SimSun"/>
                <w:sz w:val="20"/>
                <w:szCs w:val="20"/>
                <w:spacing w:val="6"/>
              </w:rPr>
              <w:t>监测时</w:t>
            </w:r>
            <w:r>
              <w:rPr>
                <w:rFonts w:ascii="SimSun" w:hAnsi="SimSun" w:eastAsia="SimSun" w:cs="SimSun"/>
                <w:sz w:val="20"/>
                <w:szCs w:val="20"/>
              </w:rPr>
              <w:t>间</w:t>
            </w:r>
          </w:p>
        </w:tc>
        <w:tc>
          <w:tcPr>
            <w:tcW w:w="979" w:type="dxa"/>
            <w:vAlign w:val="top"/>
          </w:tcPr>
          <w:p>
            <w:pPr>
              <w:ind w:left="384" w:right="176" w:hanging="207"/>
              <w:spacing w:before="34" w:line="235" w:lineRule="auto"/>
              <w:rPr>
                <w:rFonts w:ascii="SimSun" w:hAnsi="SimSun" w:eastAsia="SimSun" w:cs="SimSun"/>
                <w:sz w:val="20"/>
                <w:szCs w:val="20"/>
              </w:rPr>
            </w:pPr>
            <w:r>
              <w:rPr>
                <w:rFonts w:ascii="SimSun" w:hAnsi="SimSun" w:eastAsia="SimSun" w:cs="SimSun"/>
                <w:sz w:val="20"/>
                <w:szCs w:val="20"/>
                <w:spacing w:val="6"/>
              </w:rPr>
              <w:t>监测点</w:t>
            </w:r>
            <w:r>
              <w:rPr>
                <w:rFonts w:ascii="SimSun" w:hAnsi="SimSun" w:eastAsia="SimSun" w:cs="SimSun"/>
                <w:sz w:val="20"/>
                <w:szCs w:val="20"/>
              </w:rPr>
              <w:t>位</w:t>
            </w:r>
          </w:p>
        </w:tc>
        <w:tc>
          <w:tcPr>
            <w:tcW w:w="3045" w:type="dxa"/>
            <w:vAlign w:val="top"/>
          </w:tcPr>
          <w:p>
            <w:pPr>
              <w:ind w:left="1106"/>
              <w:spacing w:before="168" w:line="228" w:lineRule="auto"/>
              <w:rPr>
                <w:rFonts w:ascii="SimSun" w:hAnsi="SimSun" w:eastAsia="SimSun" w:cs="SimSun"/>
                <w:sz w:val="20"/>
                <w:szCs w:val="20"/>
              </w:rPr>
            </w:pPr>
            <w:r>
              <w:rPr>
                <w:rFonts w:ascii="SimSun" w:hAnsi="SimSun" w:eastAsia="SimSun" w:cs="SimSun"/>
                <w:sz w:val="20"/>
                <w:szCs w:val="20"/>
                <w:spacing w:val="7"/>
              </w:rPr>
              <w:t>监测指标</w:t>
            </w:r>
          </w:p>
        </w:tc>
        <w:tc>
          <w:tcPr>
            <w:tcW w:w="1634" w:type="dxa"/>
            <w:vAlign w:val="top"/>
          </w:tcPr>
          <w:p>
            <w:pPr>
              <w:ind w:left="399"/>
              <w:spacing w:before="168" w:line="228" w:lineRule="auto"/>
              <w:rPr>
                <w:rFonts w:ascii="SimSun" w:hAnsi="SimSun" w:eastAsia="SimSun" w:cs="SimSun"/>
                <w:sz w:val="20"/>
                <w:szCs w:val="20"/>
              </w:rPr>
            </w:pPr>
            <w:r>
              <w:rPr>
                <w:rFonts w:ascii="SimSun" w:hAnsi="SimSun" w:eastAsia="SimSun" w:cs="SimSun"/>
                <w:sz w:val="20"/>
                <w:szCs w:val="20"/>
                <w:spacing w:val="7"/>
              </w:rPr>
              <w:t>超标因子</w:t>
            </w:r>
          </w:p>
        </w:tc>
        <w:tc>
          <w:tcPr>
            <w:tcW w:w="1257" w:type="dxa"/>
            <w:vAlign w:val="top"/>
          </w:tcPr>
          <w:p>
            <w:pPr>
              <w:ind w:left="422" w:right="210" w:hanging="208"/>
              <w:spacing w:before="34" w:line="235" w:lineRule="auto"/>
              <w:rPr>
                <w:rFonts w:ascii="SimSun" w:hAnsi="SimSun" w:eastAsia="SimSun" w:cs="SimSun"/>
                <w:sz w:val="20"/>
                <w:szCs w:val="20"/>
              </w:rPr>
            </w:pPr>
            <w:r>
              <w:rPr>
                <w:rFonts w:ascii="SimSun" w:hAnsi="SimSun" w:eastAsia="SimSun" w:cs="SimSun"/>
                <w:sz w:val="20"/>
                <w:szCs w:val="20"/>
                <w:spacing w:val="6"/>
              </w:rPr>
              <w:t>最大超标</w:t>
            </w:r>
            <w:r>
              <w:rPr>
                <w:rFonts w:ascii="SimSun" w:hAnsi="SimSun" w:eastAsia="SimSun" w:cs="SimSun"/>
                <w:sz w:val="20"/>
                <w:szCs w:val="20"/>
                <w:spacing w:val="4"/>
              </w:rPr>
              <w:t>倍数</w:t>
            </w:r>
          </w:p>
        </w:tc>
        <w:tc>
          <w:tcPr>
            <w:tcW w:w="2680" w:type="dxa"/>
            <w:vAlign w:val="top"/>
          </w:tcPr>
          <w:p>
            <w:pPr>
              <w:ind w:left="921"/>
              <w:spacing w:before="168" w:line="228" w:lineRule="auto"/>
              <w:rPr>
                <w:rFonts w:ascii="SimSun" w:hAnsi="SimSun" w:eastAsia="SimSun" w:cs="SimSun"/>
                <w:sz w:val="20"/>
                <w:szCs w:val="20"/>
              </w:rPr>
            </w:pPr>
            <w:r>
              <w:rPr>
                <w:rFonts w:ascii="SimSun" w:hAnsi="SimSun" w:eastAsia="SimSun" w:cs="SimSun"/>
                <w:sz w:val="20"/>
                <w:szCs w:val="20"/>
                <w:spacing w:val="7"/>
              </w:rPr>
              <w:t>超标原因</w:t>
            </w:r>
          </w:p>
        </w:tc>
        <w:tc>
          <w:tcPr>
            <w:tcW w:w="1732" w:type="dxa"/>
            <w:vAlign w:val="top"/>
          </w:tcPr>
          <w:p>
            <w:pPr>
              <w:ind w:left="452"/>
              <w:spacing w:before="167" w:line="228" w:lineRule="auto"/>
              <w:rPr>
                <w:rFonts w:ascii="SimSun" w:hAnsi="SimSun" w:eastAsia="SimSun" w:cs="SimSun"/>
                <w:sz w:val="20"/>
                <w:szCs w:val="20"/>
              </w:rPr>
            </w:pPr>
            <w:r>
              <w:rPr>
                <w:rFonts w:ascii="SimSun" w:hAnsi="SimSun" w:eastAsia="SimSun" w:cs="SimSun"/>
                <w:sz w:val="20"/>
                <w:szCs w:val="20"/>
                <w:spacing w:val="6"/>
              </w:rPr>
              <w:t>数据来源</w:t>
            </w:r>
          </w:p>
        </w:tc>
        <w:tc>
          <w:tcPr>
            <w:tcW w:w="2135" w:type="dxa"/>
            <w:vAlign w:val="top"/>
          </w:tcPr>
          <w:p>
            <w:pPr>
              <w:ind w:left="652"/>
              <w:spacing w:before="167" w:line="228" w:lineRule="auto"/>
              <w:rPr>
                <w:rFonts w:ascii="SimSun" w:hAnsi="SimSun" w:eastAsia="SimSun" w:cs="SimSun"/>
                <w:sz w:val="20"/>
                <w:szCs w:val="20"/>
              </w:rPr>
            </w:pPr>
            <w:r>
              <w:rPr>
                <w:rFonts w:ascii="SimSun" w:hAnsi="SimSun" w:eastAsia="SimSun" w:cs="SimSun"/>
                <w:sz w:val="20"/>
                <w:szCs w:val="20"/>
                <w:spacing w:val="6"/>
              </w:rPr>
              <w:t>参考标准</w:t>
            </w:r>
          </w:p>
        </w:tc>
      </w:tr>
      <w:tr>
        <w:trPr>
          <w:trHeight w:val="378" w:hRule="atLeast"/>
        </w:trPr>
        <w:tc>
          <w:tcPr>
            <w:tcW w:w="1048"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pStyle w:val="TableText"/>
              <w:ind w:left="181"/>
              <w:spacing w:before="65" w:line="228" w:lineRule="auto"/>
              <w:rPr>
                <w:rFonts w:ascii="SimSun" w:hAnsi="SimSun" w:eastAsia="SimSun" w:cs="SimSun"/>
              </w:rPr>
            </w:pPr>
            <w:r>
              <w:rPr>
                <w:spacing w:val="3"/>
              </w:rPr>
              <w:t>2005</w:t>
            </w:r>
            <w:r>
              <w:rPr>
                <w:spacing w:val="13"/>
                <w:w w:val="101"/>
              </w:rPr>
              <w:t xml:space="preserve"> </w:t>
            </w:r>
            <w:r>
              <w:rPr>
                <w:rFonts w:ascii="SimSun" w:hAnsi="SimSun" w:eastAsia="SimSun" w:cs="SimSun"/>
                <w:spacing w:val="3"/>
              </w:rPr>
              <w:t>年</w:t>
            </w:r>
          </w:p>
        </w:tc>
        <w:tc>
          <w:tcPr>
            <w:tcW w:w="979" w:type="dxa"/>
            <w:vAlign w:val="top"/>
            <w:vMerge w:val="restart"/>
            <w:tcBorders>
              <w:bottom w:val="nil"/>
            </w:tcBorders>
          </w:tcPr>
          <w:p>
            <w:pPr>
              <w:spacing w:line="251" w:lineRule="auto"/>
              <w:rPr>
                <w:rFonts w:ascii="Arial"/>
                <w:sz w:val="21"/>
              </w:rPr>
            </w:pPr>
            <w:r/>
          </w:p>
          <w:p>
            <w:pPr>
              <w:spacing w:line="252" w:lineRule="auto"/>
              <w:rPr>
                <w:rFonts w:ascii="Arial"/>
                <w:sz w:val="21"/>
              </w:rPr>
            </w:pPr>
            <w:r/>
          </w:p>
          <w:p>
            <w:pPr>
              <w:pStyle w:val="TableText"/>
              <w:ind w:left="110"/>
              <w:spacing w:before="65" w:line="228" w:lineRule="auto"/>
              <w:rPr>
                <w:rFonts w:ascii="SimSun" w:hAnsi="SimSun" w:eastAsia="SimSun" w:cs="SimSun"/>
              </w:rPr>
            </w:pPr>
            <w:r>
              <w:rPr>
                <w:spacing w:val="4"/>
              </w:rPr>
              <w:t>6</w:t>
            </w:r>
            <w:r>
              <w:rPr>
                <w:spacing w:val="-15"/>
              </w:rPr>
              <w:t xml:space="preserve"> </w:t>
            </w:r>
            <w:r>
              <w:rPr>
                <w:rFonts w:ascii="SimSun" w:hAnsi="SimSun" w:eastAsia="SimSun" w:cs="SimSun"/>
                <w:spacing w:val="4"/>
              </w:rPr>
              <w:t>个潜层</w:t>
            </w:r>
          </w:p>
          <w:p>
            <w:pPr>
              <w:pStyle w:val="TableText"/>
              <w:ind w:left="177"/>
              <w:spacing w:before="26" w:line="228" w:lineRule="auto"/>
              <w:rPr>
                <w:rFonts w:ascii="SimSun" w:hAnsi="SimSun" w:eastAsia="SimSun" w:cs="SimSun"/>
              </w:rPr>
            </w:pPr>
            <w:r>
              <w:rPr>
                <w:rFonts w:ascii="SimSun" w:hAnsi="SimSun" w:eastAsia="SimSun" w:cs="SimSun"/>
                <w:spacing w:val="-7"/>
              </w:rPr>
              <w:t>和</w:t>
            </w:r>
            <w:r>
              <w:rPr>
                <w:rFonts w:ascii="SimSun" w:hAnsi="SimSun" w:eastAsia="SimSun" w:cs="SimSun"/>
                <w:spacing w:val="-20"/>
              </w:rPr>
              <w:t xml:space="preserve"> </w:t>
            </w:r>
            <w:r>
              <w:rPr>
                <w:spacing w:val="-7"/>
              </w:rPr>
              <w:t>1</w:t>
            </w:r>
            <w:r>
              <w:rPr>
                <w:spacing w:val="10"/>
              </w:rPr>
              <w:t xml:space="preserve"> </w:t>
            </w:r>
            <w:r>
              <w:rPr>
                <w:rFonts w:ascii="SimSun" w:hAnsi="SimSun" w:eastAsia="SimSun" w:cs="SimSun"/>
                <w:spacing w:val="-7"/>
              </w:rPr>
              <w:t>个</w:t>
            </w:r>
          </w:p>
          <w:p>
            <w:pPr>
              <w:ind w:left="284"/>
              <w:spacing w:before="24" w:line="228" w:lineRule="auto"/>
              <w:rPr>
                <w:rFonts w:ascii="SimSun" w:hAnsi="SimSun" w:eastAsia="SimSun" w:cs="SimSun"/>
                <w:sz w:val="20"/>
                <w:szCs w:val="20"/>
              </w:rPr>
            </w:pPr>
            <w:r>
              <w:rPr>
                <w:rFonts w:ascii="SimSun" w:hAnsi="SimSun" w:eastAsia="SimSun" w:cs="SimSun"/>
                <w:sz w:val="20"/>
                <w:szCs w:val="20"/>
                <w:spacing w:val="4"/>
              </w:rPr>
              <w:t>深层</w:t>
            </w:r>
          </w:p>
        </w:tc>
        <w:tc>
          <w:tcPr>
            <w:tcW w:w="3045" w:type="dxa"/>
            <w:vAlign w:val="top"/>
            <w:vMerge w:val="restart"/>
            <w:tcBorders>
              <w:bottom w:val="nil"/>
            </w:tcBorders>
          </w:tcPr>
          <w:p>
            <w:pPr>
              <w:pStyle w:val="TableText"/>
              <w:ind w:left="159" w:right="40" w:hanging="58"/>
              <w:spacing w:before="302" w:line="252" w:lineRule="auto"/>
              <w:jc w:val="both"/>
              <w:rPr>
                <w:rFonts w:ascii="SimSun" w:hAnsi="SimSun" w:eastAsia="SimSun" w:cs="SimSun"/>
              </w:rPr>
            </w:pPr>
            <w:r>
              <w:rPr/>
              <w:t>pH</w:t>
            </w:r>
            <w:r>
              <w:rPr>
                <w:spacing w:val="-23"/>
              </w:rPr>
              <w:t xml:space="preserve"> </w:t>
            </w:r>
            <w:r>
              <w:rPr>
                <w:rFonts w:ascii="SimSun" w:hAnsi="SimSun" w:eastAsia="SimSun" w:cs="SimSun"/>
                <w:spacing w:val="2"/>
              </w:rPr>
              <w:t>、总硬度、氟化物、铁、锰、</w:t>
            </w:r>
            <w:r>
              <w:rPr>
                <w:rFonts w:ascii="SimSun" w:hAnsi="SimSun" w:eastAsia="SimSun" w:cs="SimSun"/>
                <w:spacing w:val="9"/>
              </w:rPr>
              <w:t>挥发酚、硫酸盐、氯化物、氰</w:t>
            </w:r>
            <w:r>
              <w:rPr>
                <w:rFonts w:ascii="SimSun" w:hAnsi="SimSun" w:eastAsia="SimSun" w:cs="SimSun"/>
                <w:spacing w:val="9"/>
              </w:rPr>
              <w:t>化物、砷、汞、六价铅、硝酸</w:t>
            </w:r>
            <w:r>
              <w:rPr>
                <w:rFonts w:ascii="SimSun" w:hAnsi="SimSun" w:eastAsia="SimSun" w:cs="SimSun"/>
                <w:spacing w:val="9"/>
              </w:rPr>
              <w:t>盐、氨氮、亚硝酸盐、高锰酸</w:t>
            </w:r>
            <w:r>
              <w:rPr>
                <w:rFonts w:ascii="SimSun" w:hAnsi="SimSun" w:eastAsia="SimSun" w:cs="SimSun"/>
                <w:spacing w:val="9"/>
              </w:rPr>
              <w:t>盐指数、细菌总数、大肠菌群</w:t>
            </w:r>
          </w:p>
        </w:tc>
        <w:tc>
          <w:tcPr>
            <w:tcW w:w="1634" w:type="dxa"/>
            <w:vAlign w:val="top"/>
          </w:tcPr>
          <w:p>
            <w:pPr>
              <w:ind w:left="504"/>
              <w:spacing w:before="76" w:line="228" w:lineRule="auto"/>
              <w:rPr>
                <w:rFonts w:ascii="SimSun" w:hAnsi="SimSun" w:eastAsia="SimSun" w:cs="SimSun"/>
                <w:sz w:val="20"/>
                <w:szCs w:val="20"/>
              </w:rPr>
            </w:pPr>
            <w:r>
              <w:rPr>
                <w:rFonts w:ascii="SimSun" w:hAnsi="SimSun" w:eastAsia="SimSun" w:cs="SimSun"/>
                <w:sz w:val="20"/>
                <w:szCs w:val="20"/>
                <w:spacing w:val="6"/>
              </w:rPr>
              <w:t>氟化物</w:t>
            </w:r>
          </w:p>
        </w:tc>
        <w:tc>
          <w:tcPr>
            <w:tcW w:w="1257" w:type="dxa"/>
            <w:vAlign w:val="top"/>
          </w:tcPr>
          <w:p>
            <w:pPr>
              <w:pStyle w:val="TableText"/>
              <w:ind w:left="446"/>
              <w:spacing w:before="113" w:line="195" w:lineRule="auto"/>
              <w:rPr/>
            </w:pPr>
            <w:r>
              <w:rPr>
                <w:spacing w:val="3"/>
              </w:rPr>
              <w:t>0.43</w:t>
            </w:r>
          </w:p>
        </w:tc>
        <w:tc>
          <w:tcPr>
            <w:tcW w:w="2680" w:type="dxa"/>
            <w:vAlign w:val="top"/>
            <w:vMerge w:val="restart"/>
            <w:tcBorders>
              <w:bottom w:val="nil"/>
            </w:tcBorders>
          </w:tcPr>
          <w:p>
            <w:pPr>
              <w:ind w:left="114"/>
              <w:spacing w:before="300" w:line="228" w:lineRule="auto"/>
              <w:rPr>
                <w:rFonts w:ascii="SimSun" w:hAnsi="SimSun" w:eastAsia="SimSun" w:cs="SimSun"/>
                <w:sz w:val="20"/>
                <w:szCs w:val="20"/>
              </w:rPr>
            </w:pPr>
            <w:r>
              <w:rPr>
                <w:rFonts w:ascii="SimSun" w:hAnsi="SimSun" w:eastAsia="SimSun" w:cs="SimSun"/>
                <w:sz w:val="20"/>
                <w:szCs w:val="20"/>
                <w:spacing w:val="4"/>
              </w:rPr>
              <w:t>氟化物、总硬度、铁超标是</w:t>
            </w:r>
          </w:p>
          <w:p>
            <w:pPr>
              <w:ind w:left="139"/>
              <w:spacing w:before="24" w:line="228" w:lineRule="auto"/>
              <w:rPr>
                <w:rFonts w:ascii="SimSun" w:hAnsi="SimSun" w:eastAsia="SimSun" w:cs="SimSun"/>
                <w:sz w:val="20"/>
                <w:szCs w:val="20"/>
              </w:rPr>
            </w:pPr>
            <w:r>
              <w:rPr>
                <w:rFonts w:ascii="SimSun" w:hAnsi="SimSun" w:eastAsia="SimSun" w:cs="SimSun"/>
                <w:sz w:val="20"/>
                <w:szCs w:val="20"/>
                <w:spacing w:val="6"/>
              </w:rPr>
              <w:t>由于当地地下水背景较高；</w:t>
            </w:r>
          </w:p>
          <w:p>
            <w:pPr>
              <w:ind w:left="188"/>
              <w:spacing w:before="26" w:line="228" w:lineRule="auto"/>
              <w:rPr>
                <w:rFonts w:ascii="SimSun" w:hAnsi="SimSun" w:eastAsia="SimSun" w:cs="SimSun"/>
                <w:sz w:val="20"/>
                <w:szCs w:val="20"/>
              </w:rPr>
            </w:pPr>
            <w:r>
              <w:rPr>
                <w:rFonts w:ascii="SimSun" w:hAnsi="SimSun" w:eastAsia="SimSun" w:cs="SimSun"/>
                <w:sz w:val="20"/>
                <w:szCs w:val="20"/>
                <w:spacing w:val="9"/>
              </w:rPr>
              <w:t>细菌总数和总大肠菌群超</w:t>
            </w:r>
          </w:p>
          <w:p>
            <w:pPr>
              <w:ind w:left="114"/>
              <w:spacing w:before="24" w:line="228" w:lineRule="auto"/>
              <w:rPr>
                <w:rFonts w:ascii="SimSun" w:hAnsi="SimSun" w:eastAsia="SimSun" w:cs="SimSun"/>
                <w:sz w:val="20"/>
                <w:szCs w:val="20"/>
              </w:rPr>
            </w:pPr>
            <w:r>
              <w:rPr>
                <w:rFonts w:ascii="SimSun" w:hAnsi="SimSun" w:eastAsia="SimSun" w:cs="SimSun"/>
                <w:sz w:val="20"/>
                <w:szCs w:val="20"/>
                <w:spacing w:val="8"/>
              </w:rPr>
              <w:t>标是由于井口卫生条件差，</w:t>
            </w:r>
          </w:p>
          <w:p>
            <w:pPr>
              <w:ind w:left="502"/>
              <w:spacing w:before="28" w:line="228" w:lineRule="auto"/>
              <w:rPr>
                <w:rFonts w:ascii="SimSun" w:hAnsi="SimSun" w:eastAsia="SimSun" w:cs="SimSun"/>
                <w:sz w:val="20"/>
                <w:szCs w:val="20"/>
              </w:rPr>
            </w:pPr>
            <w:r>
              <w:rPr>
                <w:rFonts w:ascii="SimSun" w:hAnsi="SimSun" w:eastAsia="SimSun" w:cs="SimSun"/>
                <w:sz w:val="20"/>
                <w:szCs w:val="20"/>
                <w:spacing w:val="8"/>
              </w:rPr>
              <w:t>加之管理不善有关</w:t>
            </w:r>
          </w:p>
        </w:tc>
        <w:tc>
          <w:tcPr>
            <w:tcW w:w="1732" w:type="dxa"/>
            <w:vAlign w:val="top"/>
            <w:vMerge w:val="restart"/>
            <w:tcBorders>
              <w:bottom w:val="nil"/>
            </w:tcBorders>
          </w:tcPr>
          <w:p>
            <w:pPr>
              <w:ind w:left="141"/>
              <w:spacing w:before="163" w:line="227" w:lineRule="auto"/>
              <w:rPr>
                <w:rFonts w:ascii="SimSun" w:hAnsi="SimSun" w:eastAsia="SimSun" w:cs="SimSun"/>
                <w:sz w:val="20"/>
                <w:szCs w:val="20"/>
              </w:rPr>
            </w:pPr>
            <w:r>
              <w:rPr>
                <w:rFonts w:ascii="SimSun" w:hAnsi="SimSun" w:eastAsia="SimSun" w:cs="SimSun"/>
                <w:sz w:val="20"/>
                <w:szCs w:val="20"/>
                <w:spacing w:val="7"/>
              </w:rPr>
              <w:t>《内蒙古海州露</w:t>
            </w:r>
          </w:p>
          <w:p>
            <w:pPr>
              <w:ind w:left="140"/>
              <w:spacing w:before="24" w:line="228" w:lineRule="auto"/>
              <w:rPr>
                <w:rFonts w:ascii="SimSun" w:hAnsi="SimSun" w:eastAsia="SimSun" w:cs="SimSun"/>
                <w:sz w:val="20"/>
                <w:szCs w:val="20"/>
              </w:rPr>
            </w:pPr>
            <w:r>
              <w:rPr>
                <w:rFonts w:ascii="SimSun" w:hAnsi="SimSun" w:eastAsia="SimSun" w:cs="SimSun"/>
                <w:sz w:val="20"/>
                <w:szCs w:val="20"/>
                <w:spacing w:val="8"/>
              </w:rPr>
              <w:t>天能源有限责任</w:t>
            </w:r>
          </w:p>
          <w:p>
            <w:pPr>
              <w:ind w:left="142"/>
              <w:spacing w:before="27" w:line="228" w:lineRule="auto"/>
              <w:rPr>
                <w:rFonts w:ascii="SimSun" w:hAnsi="SimSun" w:eastAsia="SimSun" w:cs="SimSun"/>
                <w:sz w:val="20"/>
                <w:szCs w:val="20"/>
              </w:rPr>
            </w:pPr>
            <w:r>
              <w:rPr>
                <w:rFonts w:ascii="SimSun" w:hAnsi="SimSun" w:eastAsia="SimSun" w:cs="SimSun"/>
                <w:sz w:val="20"/>
                <w:szCs w:val="20"/>
                <w:spacing w:val="7"/>
              </w:rPr>
              <w:t>公司白音华四号</w:t>
            </w:r>
          </w:p>
          <w:p>
            <w:pPr>
              <w:ind w:left="193"/>
              <w:spacing w:before="23" w:line="228" w:lineRule="auto"/>
              <w:rPr>
                <w:rFonts w:ascii="SimSun" w:hAnsi="SimSun" w:eastAsia="SimSun" w:cs="SimSun"/>
                <w:sz w:val="20"/>
                <w:szCs w:val="20"/>
              </w:rPr>
            </w:pPr>
            <w:r>
              <w:rPr>
                <w:rFonts w:ascii="SimSun" w:hAnsi="SimSun" w:eastAsia="SimSun" w:cs="SimSun"/>
                <w:sz w:val="20"/>
                <w:szCs w:val="20"/>
                <w:spacing w:val="6"/>
              </w:rPr>
              <w:t>露天矿项目</w:t>
            </w:r>
            <w:r>
              <w:rPr>
                <w:rFonts w:ascii="SimSun" w:hAnsi="SimSun" w:eastAsia="SimSun" w:cs="SimSun"/>
                <w:sz w:val="20"/>
                <w:szCs w:val="20"/>
                <w:spacing w:val="15"/>
              </w:rPr>
              <w:t xml:space="preserve"> </w:t>
            </w:r>
            <w:r>
              <w:rPr>
                <w:rFonts w:ascii="SimSun" w:hAnsi="SimSun" w:eastAsia="SimSun" w:cs="SimSun"/>
                <w:sz w:val="20"/>
                <w:szCs w:val="20"/>
                <w:spacing w:val="6"/>
              </w:rPr>
              <w:t>环</w:t>
            </w:r>
          </w:p>
          <w:p>
            <w:pPr>
              <w:ind w:left="136"/>
              <w:spacing w:before="27" w:line="226" w:lineRule="auto"/>
              <w:rPr>
                <w:rFonts w:ascii="SimSun" w:hAnsi="SimSun" w:eastAsia="SimSun" w:cs="SimSun"/>
                <w:sz w:val="20"/>
                <w:szCs w:val="20"/>
              </w:rPr>
            </w:pPr>
            <w:r>
              <w:rPr>
                <w:rFonts w:ascii="SimSun" w:hAnsi="SimSun" w:eastAsia="SimSun" w:cs="SimSun"/>
                <w:sz w:val="20"/>
                <w:szCs w:val="20"/>
                <w:spacing w:val="6"/>
              </w:rPr>
              <w:t>境影响报告书》</w:t>
            </w:r>
          </w:p>
          <w:p>
            <w:pPr>
              <w:pStyle w:val="TableText"/>
              <w:ind w:left="460"/>
              <w:spacing w:before="26"/>
              <w:rPr>
                <w:rFonts w:ascii="SimSun" w:hAnsi="SimSun" w:eastAsia="SimSun" w:cs="SimSun"/>
              </w:rPr>
            </w:pPr>
            <w:r>
              <w:rPr>
                <w:rFonts w:ascii="SimSun" w:hAnsi="SimSun" w:eastAsia="SimSun" w:cs="SimSun"/>
                <w:spacing w:val="2"/>
              </w:rPr>
              <w:t>（</w:t>
            </w:r>
            <w:r>
              <w:rPr>
                <w:spacing w:val="2"/>
              </w:rPr>
              <w:t>2005</w:t>
            </w:r>
            <w:r>
              <w:rPr>
                <w:rFonts w:ascii="SimSun" w:hAnsi="SimSun" w:eastAsia="SimSun" w:cs="SimSun"/>
                <w:spacing w:val="2"/>
              </w:rPr>
              <w:t>）</w:t>
            </w:r>
          </w:p>
        </w:tc>
        <w:tc>
          <w:tcPr>
            <w:tcW w:w="2135" w:type="dxa"/>
            <w:vAlign w:val="top"/>
            <w:vMerge w:val="restart"/>
            <w:tcBorders>
              <w:bottom w:val="nil"/>
            </w:tcBorders>
          </w:tcPr>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123" w:right="130" w:firstLine="7"/>
              <w:spacing w:before="65" w:line="258" w:lineRule="auto"/>
              <w:rPr>
                <w:rFonts w:ascii="SimSun" w:hAnsi="SimSun" w:eastAsia="SimSun" w:cs="SimSun"/>
              </w:rPr>
            </w:pPr>
            <w:r>
              <w:rPr>
                <w:rFonts w:ascii="SimSun" w:hAnsi="SimSun" w:eastAsia="SimSun" w:cs="SimSun"/>
                <w:spacing w:val="6"/>
              </w:rPr>
              <w:t>《地下水质量标准》</w:t>
            </w:r>
            <w:r>
              <w:rPr>
                <w:rFonts w:ascii="SimSun" w:hAnsi="SimSun" w:eastAsia="SimSun" w:cs="SimSun"/>
                <w:spacing w:val="7"/>
              </w:rPr>
              <w:t xml:space="preserve"> </w:t>
            </w:r>
            <w:r>
              <w:rPr>
                <w:rFonts w:ascii="SimSun" w:hAnsi="SimSun" w:eastAsia="SimSun" w:cs="SimSun"/>
                <w:spacing w:val="3"/>
              </w:rPr>
              <w:t>（</w:t>
            </w:r>
            <w:r>
              <w:rPr/>
              <w:t>GB</w:t>
            </w:r>
            <w:r>
              <w:rPr>
                <w:spacing w:val="3"/>
              </w:rPr>
              <w:t>/T14848-2017</w:t>
            </w:r>
            <w:r>
              <w:rPr>
                <w:rFonts w:ascii="SimSun" w:hAnsi="SimSun" w:eastAsia="SimSun" w:cs="SimSun"/>
                <w:spacing w:val="3"/>
              </w:rPr>
              <w:t>）</w:t>
            </w:r>
          </w:p>
        </w:tc>
      </w:tr>
      <w:tr>
        <w:trPr>
          <w:trHeight w:val="376"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9"/>
              <w:spacing w:before="78" w:line="228" w:lineRule="auto"/>
              <w:rPr>
                <w:rFonts w:ascii="SimSun" w:hAnsi="SimSun" w:eastAsia="SimSun" w:cs="SimSun"/>
                <w:sz w:val="20"/>
                <w:szCs w:val="20"/>
              </w:rPr>
            </w:pPr>
            <w:r>
              <w:rPr>
                <w:rFonts w:ascii="SimSun" w:hAnsi="SimSun" w:eastAsia="SimSun" w:cs="SimSun"/>
                <w:sz w:val="20"/>
                <w:szCs w:val="20"/>
                <w:spacing w:val="5"/>
              </w:rPr>
              <w:t>总硬度</w:t>
            </w:r>
          </w:p>
        </w:tc>
        <w:tc>
          <w:tcPr>
            <w:tcW w:w="1257" w:type="dxa"/>
            <w:vAlign w:val="top"/>
          </w:tcPr>
          <w:p>
            <w:pPr>
              <w:pStyle w:val="TableText"/>
              <w:ind w:left="463"/>
              <w:spacing w:before="114" w:line="195" w:lineRule="auto"/>
              <w:rPr/>
            </w:pPr>
            <w:r>
              <w:rPr>
                <w:spacing w:val="-8"/>
              </w:rPr>
              <w:t>1.</w:t>
            </w:r>
            <w:r>
              <w:rPr>
                <w:spacing w:val="-23"/>
              </w:rPr>
              <w:t xml:space="preserve"> </w:t>
            </w:r>
            <w:r>
              <w:rPr>
                <w:spacing w:val="-8"/>
              </w:rPr>
              <w:t>14</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4"/>
              <w:spacing w:before="81" w:line="229" w:lineRule="auto"/>
              <w:rPr>
                <w:rFonts w:ascii="SimSun" w:hAnsi="SimSun" w:eastAsia="SimSun" w:cs="SimSun"/>
                <w:sz w:val="20"/>
                <w:szCs w:val="20"/>
              </w:rPr>
            </w:pPr>
            <w:r>
              <w:rPr>
                <w:rFonts w:ascii="SimSun" w:hAnsi="SimSun" w:eastAsia="SimSun" w:cs="SimSun"/>
                <w:sz w:val="20"/>
                <w:szCs w:val="20"/>
                <w:spacing w:val="1"/>
              </w:rPr>
              <w:t>铁</w:t>
            </w:r>
          </w:p>
        </w:tc>
        <w:tc>
          <w:tcPr>
            <w:tcW w:w="1257" w:type="dxa"/>
            <w:vAlign w:val="top"/>
          </w:tcPr>
          <w:p>
            <w:pPr>
              <w:pStyle w:val="TableText"/>
              <w:ind w:left="446"/>
              <w:spacing w:before="117" w:line="195" w:lineRule="auto"/>
              <w:rPr/>
            </w:pPr>
            <w:r>
              <w:rPr>
                <w:spacing w:val="3"/>
              </w:rPr>
              <w:t>0.13</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401"/>
              <w:spacing w:before="78" w:line="228" w:lineRule="auto"/>
              <w:rPr>
                <w:rFonts w:ascii="SimSun" w:hAnsi="SimSun" w:eastAsia="SimSun" w:cs="SimSun"/>
                <w:sz w:val="20"/>
                <w:szCs w:val="20"/>
              </w:rPr>
            </w:pPr>
            <w:r>
              <w:rPr>
                <w:rFonts w:ascii="SimSun" w:hAnsi="SimSun" w:eastAsia="SimSun" w:cs="SimSun"/>
                <w:sz w:val="20"/>
                <w:szCs w:val="20"/>
                <w:spacing w:val="7"/>
              </w:rPr>
              <w:t>细菌总数</w:t>
            </w:r>
          </w:p>
        </w:tc>
        <w:tc>
          <w:tcPr>
            <w:tcW w:w="1257" w:type="dxa"/>
            <w:vAlign w:val="top"/>
          </w:tcPr>
          <w:p>
            <w:pPr>
              <w:pStyle w:val="TableText"/>
              <w:ind w:left="580"/>
              <w:spacing w:before="117" w:line="192" w:lineRule="auto"/>
              <w:rPr/>
            </w:pPr>
            <w:r>
              <w:rPr/>
              <w:t>5</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300"/>
              <w:spacing w:before="78" w:line="228" w:lineRule="auto"/>
              <w:rPr>
                <w:rFonts w:ascii="SimSun" w:hAnsi="SimSun" w:eastAsia="SimSun" w:cs="SimSun"/>
                <w:sz w:val="20"/>
                <w:szCs w:val="20"/>
              </w:rPr>
            </w:pPr>
            <w:r>
              <w:rPr>
                <w:rFonts w:ascii="SimSun" w:hAnsi="SimSun" w:eastAsia="SimSun" w:cs="SimSun"/>
                <w:sz w:val="20"/>
                <w:szCs w:val="20"/>
                <w:spacing w:val="7"/>
              </w:rPr>
              <w:t>总大肠菌群</w:t>
            </w:r>
          </w:p>
        </w:tc>
        <w:tc>
          <w:tcPr>
            <w:tcW w:w="1257" w:type="dxa"/>
            <w:vAlign w:val="top"/>
          </w:tcPr>
          <w:p>
            <w:pPr>
              <w:pStyle w:val="TableText"/>
              <w:ind w:left="393"/>
              <w:spacing w:before="114" w:line="195" w:lineRule="auto"/>
              <w:rPr/>
            </w:pPr>
            <w:r>
              <w:rPr>
                <w:spacing w:val="3"/>
              </w:rPr>
              <w:t>75.67</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restart"/>
            <w:tcBorders>
              <w:bottom w:val="nil"/>
            </w:tcBorders>
          </w:tcPr>
          <w:p>
            <w:pPr>
              <w:spacing w:line="256" w:lineRule="auto"/>
              <w:rPr>
                <w:rFonts w:ascii="Arial"/>
                <w:sz w:val="21"/>
              </w:rPr>
            </w:pPr>
            <w:r/>
          </w:p>
          <w:p>
            <w:pPr>
              <w:spacing w:line="256" w:lineRule="auto"/>
              <w:rPr>
                <w:rFonts w:ascii="Arial"/>
                <w:sz w:val="21"/>
              </w:rPr>
            </w:pPr>
            <w:r/>
          </w:p>
          <w:p>
            <w:pPr>
              <w:spacing w:line="256" w:lineRule="auto"/>
              <w:rPr>
                <w:rFonts w:ascii="Arial"/>
                <w:sz w:val="21"/>
              </w:rPr>
            </w:pPr>
            <w:r/>
          </w:p>
          <w:p>
            <w:pPr>
              <w:spacing w:line="257" w:lineRule="auto"/>
              <w:rPr>
                <w:rFonts w:ascii="Arial"/>
                <w:sz w:val="21"/>
              </w:rPr>
            </w:pPr>
            <w:r/>
          </w:p>
          <w:p>
            <w:pPr>
              <w:pStyle w:val="TableText"/>
              <w:ind w:left="212"/>
              <w:spacing w:before="65" w:line="264" w:lineRule="exact"/>
              <w:rPr>
                <w:rFonts w:ascii="SimSun" w:hAnsi="SimSun" w:eastAsia="SimSun" w:cs="SimSun"/>
              </w:rPr>
            </w:pPr>
            <w:r>
              <w:rPr>
                <w:spacing w:val="21"/>
              </w:rPr>
              <w:t>2011</w:t>
            </w:r>
            <w:r>
              <w:rPr>
                <w:rFonts w:ascii="SimSun" w:hAnsi="SimSun" w:eastAsia="SimSun" w:cs="SimSun"/>
                <w:spacing w:val="21"/>
              </w:rPr>
              <w:t>~</w:t>
            </w:r>
          </w:p>
          <w:p>
            <w:pPr>
              <w:pStyle w:val="TableText"/>
              <w:ind w:left="181"/>
              <w:spacing w:before="3" w:line="228" w:lineRule="auto"/>
              <w:rPr>
                <w:rFonts w:ascii="SimSun" w:hAnsi="SimSun" w:eastAsia="SimSun" w:cs="SimSun"/>
              </w:rPr>
            </w:pPr>
            <w:r>
              <w:rPr>
                <w:spacing w:val="3"/>
              </w:rPr>
              <w:t>2012</w:t>
            </w:r>
            <w:r>
              <w:rPr>
                <w:spacing w:val="13"/>
                <w:w w:val="101"/>
              </w:rPr>
              <w:t xml:space="preserve"> </w:t>
            </w:r>
            <w:r>
              <w:rPr>
                <w:rFonts w:ascii="SimSun" w:hAnsi="SimSun" w:eastAsia="SimSun" w:cs="SimSun"/>
                <w:spacing w:val="3"/>
              </w:rPr>
              <w:t>年</w:t>
            </w:r>
          </w:p>
        </w:tc>
        <w:tc>
          <w:tcPr>
            <w:tcW w:w="979" w:type="dxa"/>
            <w:vAlign w:val="top"/>
            <w:vMerge w:val="restart"/>
            <w:tcBorders>
              <w:bottom w:val="nil"/>
            </w:tcBorders>
          </w:tcPr>
          <w:p>
            <w:pPr>
              <w:spacing w:line="289" w:lineRule="auto"/>
              <w:rPr>
                <w:rFonts w:ascii="Arial"/>
                <w:sz w:val="21"/>
              </w:rPr>
            </w:pPr>
            <w:r/>
          </w:p>
          <w:p>
            <w:pPr>
              <w:spacing w:line="289" w:lineRule="auto"/>
              <w:rPr>
                <w:rFonts w:ascii="Arial"/>
                <w:sz w:val="21"/>
              </w:rPr>
            </w:pPr>
            <w:r/>
          </w:p>
          <w:p>
            <w:pPr>
              <w:spacing w:line="290" w:lineRule="auto"/>
              <w:rPr>
                <w:rFonts w:ascii="Arial"/>
                <w:sz w:val="21"/>
              </w:rPr>
            </w:pPr>
            <w:r/>
          </w:p>
          <w:p>
            <w:pPr>
              <w:spacing w:line="290" w:lineRule="auto"/>
              <w:rPr>
                <w:rFonts w:ascii="Arial"/>
                <w:sz w:val="21"/>
              </w:rPr>
            </w:pPr>
            <w:r/>
          </w:p>
          <w:p>
            <w:pPr>
              <w:pStyle w:val="TableText"/>
              <w:ind w:left="310"/>
              <w:spacing w:before="65" w:line="228" w:lineRule="auto"/>
              <w:rPr>
                <w:rFonts w:ascii="SimSun" w:hAnsi="SimSun" w:eastAsia="SimSun" w:cs="SimSun"/>
              </w:rPr>
            </w:pPr>
            <w:r>
              <w:rPr>
                <w:spacing w:val="-3"/>
              </w:rPr>
              <w:t>5</w:t>
            </w:r>
            <w:r>
              <w:rPr>
                <w:spacing w:val="9"/>
              </w:rPr>
              <w:t xml:space="preserve"> </w:t>
            </w:r>
            <w:r>
              <w:rPr>
                <w:rFonts w:ascii="SimSun" w:hAnsi="SimSun" w:eastAsia="SimSun" w:cs="SimSun"/>
                <w:spacing w:val="-3"/>
              </w:rPr>
              <w:t>个</w:t>
            </w:r>
          </w:p>
        </w:tc>
        <w:tc>
          <w:tcPr>
            <w:tcW w:w="3045" w:type="dxa"/>
            <w:vAlign w:val="top"/>
            <w:vMerge w:val="restart"/>
            <w:tcBorders>
              <w:bottom w:val="nil"/>
            </w:tcBorders>
          </w:tcPr>
          <w:p>
            <w:pPr>
              <w:spacing w:line="345" w:lineRule="auto"/>
              <w:rPr>
                <w:rFonts w:ascii="Arial"/>
                <w:sz w:val="21"/>
              </w:rPr>
            </w:pPr>
            <w:r/>
          </w:p>
          <w:p>
            <w:pPr>
              <w:pStyle w:val="TableText"/>
              <w:ind w:left="127"/>
              <w:spacing w:before="65" w:line="221" w:lineRule="auto"/>
              <w:rPr>
                <w:rFonts w:ascii="SimSun" w:hAnsi="SimSun" w:eastAsia="SimSun" w:cs="SimSun"/>
              </w:rPr>
            </w:pPr>
            <w:r>
              <w:rPr/>
              <w:t>pH</w:t>
            </w:r>
            <w:r>
              <w:rPr>
                <w:spacing w:val="-26"/>
              </w:rPr>
              <w:t xml:space="preserve"> </w:t>
            </w:r>
            <w:r>
              <w:rPr>
                <w:rFonts w:ascii="SimSun" w:hAnsi="SimSun" w:eastAsia="SimSun" w:cs="SimSun"/>
                <w:spacing w:val="8"/>
              </w:rPr>
              <w:t>、总硬度、溶解性总固体、</w:t>
            </w:r>
          </w:p>
          <w:p>
            <w:pPr>
              <w:ind w:left="165"/>
              <w:spacing w:before="36" w:line="227" w:lineRule="auto"/>
              <w:rPr>
                <w:rFonts w:ascii="SimSun" w:hAnsi="SimSun" w:eastAsia="SimSun" w:cs="SimSun"/>
                <w:sz w:val="20"/>
                <w:szCs w:val="20"/>
              </w:rPr>
            </w:pPr>
            <w:r>
              <w:rPr>
                <w:rFonts w:ascii="SimSun" w:hAnsi="SimSun" w:eastAsia="SimSun" w:cs="SimSun"/>
                <w:sz w:val="20"/>
                <w:szCs w:val="20"/>
                <w:spacing w:val="8"/>
              </w:rPr>
              <w:t>高猛酸盐指数、硝酸盐氮、亚</w:t>
            </w:r>
          </w:p>
          <w:p>
            <w:pPr>
              <w:ind w:left="161"/>
              <w:spacing w:before="22" w:line="227" w:lineRule="auto"/>
              <w:rPr>
                <w:rFonts w:ascii="SimSun" w:hAnsi="SimSun" w:eastAsia="SimSun" w:cs="SimSun"/>
                <w:sz w:val="20"/>
                <w:szCs w:val="20"/>
              </w:rPr>
            </w:pPr>
            <w:r>
              <w:rPr>
                <w:rFonts w:ascii="SimSun" w:hAnsi="SimSun" w:eastAsia="SimSun" w:cs="SimSun"/>
                <w:sz w:val="20"/>
                <w:szCs w:val="20"/>
                <w:spacing w:val="8"/>
              </w:rPr>
              <w:t>硝酸盐氮、硫酸盐、氟化物、</w:t>
            </w:r>
          </w:p>
          <w:p>
            <w:pPr>
              <w:ind w:left="163"/>
              <w:spacing w:before="27" w:line="227" w:lineRule="auto"/>
              <w:rPr>
                <w:rFonts w:ascii="SimSun" w:hAnsi="SimSun" w:eastAsia="SimSun" w:cs="SimSun"/>
                <w:sz w:val="20"/>
                <w:szCs w:val="20"/>
              </w:rPr>
            </w:pPr>
            <w:r>
              <w:rPr>
                <w:rFonts w:ascii="SimSun" w:hAnsi="SimSun" w:eastAsia="SimSun" w:cs="SimSun"/>
                <w:sz w:val="20"/>
                <w:szCs w:val="20"/>
                <w:spacing w:val="9"/>
              </w:rPr>
              <w:t>氯化物、氨氮、挥发分、总氰</w:t>
            </w:r>
          </w:p>
          <w:p>
            <w:pPr>
              <w:ind w:left="160"/>
              <w:spacing w:before="28" w:line="228" w:lineRule="auto"/>
              <w:rPr>
                <w:rFonts w:ascii="SimSun" w:hAnsi="SimSun" w:eastAsia="SimSun" w:cs="SimSun"/>
                <w:sz w:val="20"/>
                <w:szCs w:val="20"/>
              </w:rPr>
            </w:pPr>
            <w:r>
              <w:rPr>
                <w:rFonts w:ascii="SimSun" w:hAnsi="SimSun" w:eastAsia="SimSun" w:cs="SimSun"/>
                <w:sz w:val="20"/>
                <w:szCs w:val="20"/>
                <w:spacing w:val="8"/>
              </w:rPr>
              <w:t>化物、铁、锰、铅、砷、汞、</w:t>
            </w:r>
          </w:p>
          <w:p>
            <w:pPr>
              <w:ind w:left="158"/>
              <w:spacing w:before="22" w:line="226" w:lineRule="auto"/>
              <w:rPr>
                <w:rFonts w:ascii="SimSun" w:hAnsi="SimSun" w:eastAsia="SimSun" w:cs="SimSun"/>
                <w:sz w:val="20"/>
                <w:szCs w:val="20"/>
              </w:rPr>
            </w:pPr>
            <w:r>
              <w:rPr>
                <w:rFonts w:ascii="SimSun" w:hAnsi="SimSun" w:eastAsia="SimSun" w:cs="SimSun"/>
                <w:sz w:val="20"/>
                <w:szCs w:val="20"/>
                <w:spacing w:val="9"/>
              </w:rPr>
              <w:t>镉、六价铬、细菌总数、总大</w:t>
            </w:r>
          </w:p>
          <w:p>
            <w:pPr>
              <w:ind w:left="1208"/>
              <w:spacing w:before="28" w:line="228" w:lineRule="auto"/>
              <w:rPr>
                <w:rFonts w:ascii="SimSun" w:hAnsi="SimSun" w:eastAsia="SimSun" w:cs="SimSun"/>
                <w:sz w:val="20"/>
                <w:szCs w:val="20"/>
              </w:rPr>
            </w:pPr>
            <w:r>
              <w:rPr>
                <w:rFonts w:ascii="SimSun" w:hAnsi="SimSun" w:eastAsia="SimSun" w:cs="SimSun"/>
                <w:sz w:val="20"/>
                <w:szCs w:val="20"/>
                <w:spacing w:val="7"/>
              </w:rPr>
              <w:t>肠菌群</w:t>
            </w:r>
          </w:p>
        </w:tc>
        <w:tc>
          <w:tcPr>
            <w:tcW w:w="1634" w:type="dxa"/>
            <w:vAlign w:val="top"/>
          </w:tcPr>
          <w:p>
            <w:pPr>
              <w:pStyle w:val="TableText"/>
              <w:ind w:left="682"/>
              <w:spacing w:before="117" w:line="194" w:lineRule="auto"/>
              <w:rPr/>
            </w:pPr>
            <w:r>
              <w:rPr>
                <w:spacing w:val="6"/>
              </w:rPr>
              <w:t>pH</w:t>
            </w:r>
          </w:p>
        </w:tc>
        <w:tc>
          <w:tcPr>
            <w:tcW w:w="1257" w:type="dxa"/>
            <w:vAlign w:val="top"/>
          </w:tcPr>
          <w:p>
            <w:pPr>
              <w:pStyle w:val="TableText"/>
              <w:ind w:left="446"/>
              <w:spacing w:before="114" w:line="195" w:lineRule="auto"/>
              <w:rPr/>
            </w:pPr>
            <w:r>
              <w:rPr>
                <w:spacing w:val="3"/>
              </w:rPr>
              <w:t>0.94</w:t>
            </w:r>
          </w:p>
        </w:tc>
        <w:tc>
          <w:tcPr>
            <w:tcW w:w="2680" w:type="dxa"/>
            <w:vAlign w:val="top"/>
            <w:vMerge w:val="restart"/>
            <w:tcBorders>
              <w:bottom w:val="nil"/>
            </w:tcBorders>
          </w:tcPr>
          <w:p>
            <w:pPr>
              <w:rPr>
                <w:rFonts w:ascii="Arial"/>
                <w:sz w:val="21"/>
              </w:rPr>
            </w:pPr>
            <w:r/>
          </w:p>
          <w:p>
            <w:pPr>
              <w:rPr>
                <w:rFonts w:ascii="Arial"/>
                <w:sz w:val="21"/>
              </w:rPr>
            </w:pPr>
            <w:r/>
          </w:p>
          <w:p>
            <w:pPr>
              <w:pStyle w:val="TableText"/>
              <w:ind w:left="109"/>
              <w:spacing w:before="65" w:line="228" w:lineRule="auto"/>
              <w:rPr>
                <w:rFonts w:ascii="SimSun" w:hAnsi="SimSun" w:eastAsia="SimSun" w:cs="SimSun"/>
              </w:rPr>
            </w:pPr>
            <w:r>
              <w:rPr/>
              <w:t>PH</w:t>
            </w:r>
            <w:r>
              <w:rPr>
                <w:spacing w:val="8"/>
              </w:rPr>
              <w:t xml:space="preserve">  </w:t>
            </w:r>
            <w:r>
              <w:rPr>
                <w:rFonts w:ascii="SimSun" w:hAnsi="SimSun" w:eastAsia="SimSun" w:cs="SimSun"/>
                <w:spacing w:val="8"/>
              </w:rPr>
              <w:t>值、总硬度、氟化物、</w:t>
            </w:r>
          </w:p>
          <w:p>
            <w:pPr>
              <w:ind w:left="112"/>
              <w:spacing w:before="24" w:line="228" w:lineRule="auto"/>
              <w:rPr>
                <w:rFonts w:ascii="SimSun" w:hAnsi="SimSun" w:eastAsia="SimSun" w:cs="SimSun"/>
                <w:sz w:val="20"/>
                <w:szCs w:val="20"/>
              </w:rPr>
            </w:pPr>
            <w:r>
              <w:rPr>
                <w:rFonts w:ascii="SimSun" w:hAnsi="SimSun" w:eastAsia="SimSun" w:cs="SimSun"/>
                <w:sz w:val="20"/>
                <w:szCs w:val="20"/>
                <w:spacing w:val="4"/>
              </w:rPr>
              <w:t>铁、锰超标主要是与当地的</w:t>
            </w:r>
          </w:p>
          <w:p>
            <w:pPr>
              <w:ind w:left="113"/>
              <w:spacing w:before="28" w:line="228" w:lineRule="auto"/>
              <w:rPr>
                <w:rFonts w:ascii="SimSun" w:hAnsi="SimSun" w:eastAsia="SimSun" w:cs="SimSun"/>
                <w:sz w:val="20"/>
                <w:szCs w:val="20"/>
              </w:rPr>
            </w:pPr>
            <w:r>
              <w:rPr>
                <w:rFonts w:ascii="SimSun" w:hAnsi="SimSun" w:eastAsia="SimSun" w:cs="SimSun"/>
                <w:sz w:val="20"/>
                <w:szCs w:val="20"/>
                <w:spacing w:val="8"/>
              </w:rPr>
              <w:t>地质条件和沉积环境有关。</w:t>
            </w:r>
          </w:p>
          <w:p>
            <w:pPr>
              <w:ind w:left="119"/>
              <w:spacing w:before="21" w:line="228" w:lineRule="auto"/>
              <w:rPr>
                <w:rFonts w:ascii="SimSun" w:hAnsi="SimSun" w:eastAsia="SimSun" w:cs="SimSun"/>
                <w:sz w:val="20"/>
                <w:szCs w:val="20"/>
              </w:rPr>
            </w:pPr>
            <w:r>
              <w:rPr>
                <w:rFonts w:ascii="SimSun" w:hAnsi="SimSun" w:eastAsia="SimSun" w:cs="SimSun"/>
                <w:sz w:val="20"/>
                <w:szCs w:val="20"/>
                <w:spacing w:val="4"/>
              </w:rPr>
              <w:t>高锰酸盐指数、大肠杆菌超</w:t>
            </w:r>
          </w:p>
          <w:p>
            <w:pPr>
              <w:ind w:left="188"/>
              <w:spacing w:before="27" w:line="228" w:lineRule="auto"/>
              <w:rPr>
                <w:rFonts w:ascii="SimSun" w:hAnsi="SimSun" w:eastAsia="SimSun" w:cs="SimSun"/>
                <w:sz w:val="20"/>
                <w:szCs w:val="20"/>
              </w:rPr>
            </w:pPr>
            <w:r>
              <w:rPr>
                <w:rFonts w:ascii="SimSun" w:hAnsi="SimSun" w:eastAsia="SimSun" w:cs="SimSun"/>
                <w:sz w:val="20"/>
                <w:szCs w:val="20"/>
                <w:spacing w:val="9"/>
              </w:rPr>
              <w:t>标与当地牧民放养牲畜和</w:t>
            </w:r>
          </w:p>
          <w:p>
            <w:pPr>
              <w:ind w:left="609"/>
              <w:spacing w:before="27" w:line="227" w:lineRule="auto"/>
              <w:rPr>
                <w:rFonts w:ascii="SimSun" w:hAnsi="SimSun" w:eastAsia="SimSun" w:cs="SimSun"/>
                <w:sz w:val="20"/>
                <w:szCs w:val="20"/>
              </w:rPr>
            </w:pPr>
            <w:r>
              <w:rPr>
                <w:rFonts w:ascii="SimSun" w:hAnsi="SimSun" w:eastAsia="SimSun" w:cs="SimSun"/>
                <w:sz w:val="20"/>
                <w:szCs w:val="20"/>
                <w:spacing w:val="6"/>
              </w:rPr>
              <w:t>生活习惯有关。</w:t>
            </w:r>
          </w:p>
        </w:tc>
        <w:tc>
          <w:tcPr>
            <w:tcW w:w="1732" w:type="dxa"/>
            <w:vAlign w:val="top"/>
            <w:vMerge w:val="restart"/>
            <w:tcBorders>
              <w:bottom w:val="nil"/>
            </w:tcBorders>
          </w:tcPr>
          <w:p>
            <w:pPr>
              <w:spacing w:line="310" w:lineRule="auto"/>
              <w:rPr>
                <w:rFonts w:ascii="Arial"/>
                <w:sz w:val="21"/>
              </w:rPr>
            </w:pPr>
            <w:r/>
          </w:p>
          <w:p>
            <w:pPr>
              <w:spacing w:line="310" w:lineRule="auto"/>
              <w:rPr>
                <w:rFonts w:ascii="Arial"/>
                <w:sz w:val="21"/>
              </w:rPr>
            </w:pPr>
            <w:r/>
          </w:p>
          <w:p>
            <w:pPr>
              <w:ind w:left="141"/>
              <w:spacing w:before="65" w:line="228" w:lineRule="auto"/>
              <w:rPr>
                <w:rFonts w:ascii="SimSun" w:hAnsi="SimSun" w:eastAsia="SimSun" w:cs="SimSun"/>
                <w:sz w:val="20"/>
                <w:szCs w:val="20"/>
              </w:rPr>
            </w:pPr>
            <w:r>
              <w:rPr>
                <w:rFonts w:ascii="SimSun" w:hAnsi="SimSun" w:eastAsia="SimSun" w:cs="SimSun"/>
                <w:sz w:val="20"/>
                <w:szCs w:val="20"/>
                <w:spacing w:val="7"/>
              </w:rPr>
              <w:t>《白音华四号露</w:t>
            </w:r>
          </w:p>
          <w:p>
            <w:pPr>
              <w:ind w:left="245"/>
              <w:spacing w:before="21" w:line="228" w:lineRule="auto"/>
              <w:rPr>
                <w:rFonts w:ascii="SimSun" w:hAnsi="SimSun" w:eastAsia="SimSun" w:cs="SimSun"/>
                <w:sz w:val="20"/>
                <w:szCs w:val="20"/>
              </w:rPr>
            </w:pPr>
            <w:r>
              <w:rPr>
                <w:rFonts w:ascii="SimSun" w:hAnsi="SimSun" w:eastAsia="SimSun" w:cs="SimSun"/>
                <w:sz w:val="20"/>
                <w:szCs w:val="20"/>
                <w:spacing w:val="7"/>
              </w:rPr>
              <w:t>天矿二期工程</w:t>
            </w:r>
          </w:p>
          <w:p>
            <w:pPr>
              <w:ind w:left="146"/>
              <w:spacing w:before="26" w:line="228" w:lineRule="auto"/>
              <w:rPr>
                <w:rFonts w:ascii="SimSun" w:hAnsi="SimSun" w:eastAsia="SimSun" w:cs="SimSun"/>
                <w:sz w:val="20"/>
                <w:szCs w:val="20"/>
              </w:rPr>
            </w:pPr>
            <w:r>
              <w:rPr>
                <w:rFonts w:ascii="SimSun" w:hAnsi="SimSun" w:eastAsia="SimSun" w:cs="SimSun"/>
                <w:sz w:val="20"/>
                <w:szCs w:val="20"/>
                <w:spacing w:val="7"/>
              </w:rPr>
              <w:t>（井工矿）环境</w:t>
            </w:r>
          </w:p>
          <w:p>
            <w:pPr>
              <w:ind w:left="136"/>
              <w:spacing w:before="27" w:line="226" w:lineRule="auto"/>
              <w:rPr>
                <w:rFonts w:ascii="SimSun" w:hAnsi="SimSun" w:eastAsia="SimSun" w:cs="SimSun"/>
                <w:sz w:val="20"/>
                <w:szCs w:val="20"/>
              </w:rPr>
            </w:pPr>
            <w:r>
              <w:rPr>
                <w:rFonts w:ascii="SimSun" w:hAnsi="SimSun" w:eastAsia="SimSun" w:cs="SimSun"/>
                <w:sz w:val="20"/>
                <w:szCs w:val="20"/>
                <w:spacing w:val="8"/>
              </w:rPr>
              <w:t>影响后评价报告</w:t>
            </w:r>
          </w:p>
          <w:p>
            <w:pPr>
              <w:ind w:left="665"/>
              <w:spacing w:before="26" w:line="227" w:lineRule="auto"/>
              <w:rPr>
                <w:rFonts w:ascii="SimSun" w:hAnsi="SimSun" w:eastAsia="SimSun" w:cs="SimSun"/>
                <w:sz w:val="20"/>
                <w:szCs w:val="20"/>
              </w:rPr>
            </w:pPr>
            <w:r>
              <w:rPr>
                <w:rFonts w:ascii="SimSun" w:hAnsi="SimSun" w:eastAsia="SimSun" w:cs="SimSun"/>
                <w:sz w:val="20"/>
                <w:szCs w:val="20"/>
                <w:spacing w:val="-2"/>
              </w:rPr>
              <w:t>书》</w:t>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195"/>
              <w:spacing w:before="78" w:line="228" w:lineRule="auto"/>
              <w:rPr>
                <w:rFonts w:ascii="SimSun" w:hAnsi="SimSun" w:eastAsia="SimSun" w:cs="SimSun"/>
                <w:sz w:val="20"/>
                <w:szCs w:val="20"/>
              </w:rPr>
            </w:pPr>
            <w:r>
              <w:rPr>
                <w:rFonts w:ascii="SimSun" w:hAnsi="SimSun" w:eastAsia="SimSun" w:cs="SimSun"/>
                <w:sz w:val="20"/>
                <w:szCs w:val="20"/>
                <w:spacing w:val="7"/>
              </w:rPr>
              <w:t>高猛酸盐指数</w:t>
            </w:r>
          </w:p>
        </w:tc>
        <w:tc>
          <w:tcPr>
            <w:tcW w:w="1257" w:type="dxa"/>
            <w:vAlign w:val="top"/>
          </w:tcPr>
          <w:p>
            <w:pPr>
              <w:pStyle w:val="TableText"/>
              <w:ind w:left="446"/>
              <w:spacing w:before="114" w:line="195" w:lineRule="auto"/>
              <w:rPr/>
            </w:pPr>
            <w:r>
              <w:rPr>
                <w:spacing w:val="3"/>
              </w:rPr>
              <w:t>0.75</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9"/>
              <w:spacing w:before="79" w:line="228" w:lineRule="auto"/>
              <w:rPr>
                <w:rFonts w:ascii="SimSun" w:hAnsi="SimSun" w:eastAsia="SimSun" w:cs="SimSun"/>
                <w:sz w:val="20"/>
                <w:szCs w:val="20"/>
              </w:rPr>
            </w:pPr>
            <w:r>
              <w:rPr>
                <w:rFonts w:ascii="SimSun" w:hAnsi="SimSun" w:eastAsia="SimSun" w:cs="SimSun"/>
                <w:sz w:val="20"/>
                <w:szCs w:val="20"/>
                <w:spacing w:val="5"/>
              </w:rPr>
              <w:t>总硬度</w:t>
            </w:r>
          </w:p>
        </w:tc>
        <w:tc>
          <w:tcPr>
            <w:tcW w:w="1257" w:type="dxa"/>
            <w:vAlign w:val="top"/>
          </w:tcPr>
          <w:p>
            <w:pPr>
              <w:pStyle w:val="TableText"/>
              <w:ind w:left="393"/>
              <w:spacing w:before="114" w:line="195" w:lineRule="auto"/>
              <w:rPr/>
            </w:pPr>
            <w:r>
              <w:rPr>
                <w:spacing w:val="3"/>
              </w:rPr>
              <w:t>0.003</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4"/>
              <w:spacing w:before="78" w:line="229" w:lineRule="auto"/>
              <w:rPr>
                <w:rFonts w:ascii="SimSun" w:hAnsi="SimSun" w:eastAsia="SimSun" w:cs="SimSun"/>
                <w:sz w:val="20"/>
                <w:szCs w:val="20"/>
              </w:rPr>
            </w:pPr>
            <w:r>
              <w:rPr>
                <w:rFonts w:ascii="SimSun" w:hAnsi="SimSun" w:eastAsia="SimSun" w:cs="SimSun"/>
                <w:sz w:val="20"/>
                <w:szCs w:val="20"/>
                <w:spacing w:val="1"/>
              </w:rPr>
              <w:t>铁</w:t>
            </w:r>
          </w:p>
        </w:tc>
        <w:tc>
          <w:tcPr>
            <w:tcW w:w="1257" w:type="dxa"/>
            <w:vAlign w:val="top"/>
          </w:tcPr>
          <w:p>
            <w:pPr>
              <w:pStyle w:val="TableText"/>
              <w:ind w:left="495"/>
              <w:spacing w:before="114" w:line="195" w:lineRule="auto"/>
              <w:rPr/>
            </w:pPr>
            <w:r>
              <w:rPr>
                <w:spacing w:val="3"/>
              </w:rPr>
              <w:t>2.4</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4"/>
              <w:spacing w:before="78" w:line="228" w:lineRule="auto"/>
              <w:rPr>
                <w:rFonts w:ascii="SimSun" w:hAnsi="SimSun" w:eastAsia="SimSun" w:cs="SimSun"/>
                <w:sz w:val="20"/>
                <w:szCs w:val="20"/>
              </w:rPr>
            </w:pPr>
            <w:r>
              <w:rPr>
                <w:rFonts w:ascii="SimSun" w:hAnsi="SimSun" w:eastAsia="SimSun" w:cs="SimSun"/>
                <w:sz w:val="20"/>
                <w:szCs w:val="20"/>
                <w:spacing w:val="6"/>
              </w:rPr>
              <w:t>氟化物</w:t>
            </w:r>
          </w:p>
        </w:tc>
        <w:tc>
          <w:tcPr>
            <w:tcW w:w="1257" w:type="dxa"/>
            <w:vAlign w:val="top"/>
          </w:tcPr>
          <w:p>
            <w:pPr>
              <w:pStyle w:val="TableText"/>
              <w:ind w:left="463"/>
              <w:spacing w:before="114" w:line="195" w:lineRule="auto"/>
              <w:rPr/>
            </w:pPr>
            <w:r>
              <w:rPr>
                <w:spacing w:val="-1"/>
              </w:rPr>
              <w:t>1.46</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5"/>
              <w:spacing w:before="79" w:line="234" w:lineRule="auto"/>
              <w:rPr>
                <w:rFonts w:ascii="SimSun" w:hAnsi="SimSun" w:eastAsia="SimSun" w:cs="SimSun"/>
                <w:sz w:val="20"/>
                <w:szCs w:val="20"/>
              </w:rPr>
            </w:pPr>
            <w:r>
              <w:rPr>
                <w:rFonts w:ascii="SimSun" w:hAnsi="SimSun" w:eastAsia="SimSun" w:cs="SimSun"/>
                <w:sz w:val="20"/>
                <w:szCs w:val="20"/>
              </w:rPr>
              <w:t>锰</w:t>
            </w:r>
          </w:p>
        </w:tc>
        <w:tc>
          <w:tcPr>
            <w:tcW w:w="1257" w:type="dxa"/>
            <w:vAlign w:val="top"/>
          </w:tcPr>
          <w:p>
            <w:pPr>
              <w:pStyle w:val="TableText"/>
              <w:ind w:left="494"/>
              <w:spacing w:before="114" w:line="195" w:lineRule="auto"/>
              <w:rPr/>
            </w:pPr>
            <w:r>
              <w:rPr>
                <w:spacing w:val="2"/>
              </w:rPr>
              <w:t>4.</w:t>
            </w:r>
            <w:r>
              <w:rPr>
                <w:spacing w:val="-25"/>
              </w:rPr>
              <w:t xml:space="preserve"> </w:t>
            </w:r>
            <w:r>
              <w:rPr>
                <w:spacing w:val="2"/>
              </w:rPr>
              <w:t>1</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379"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300"/>
              <w:spacing w:before="78" w:line="228" w:lineRule="auto"/>
              <w:rPr>
                <w:rFonts w:ascii="SimSun" w:hAnsi="SimSun" w:eastAsia="SimSun" w:cs="SimSun"/>
                <w:sz w:val="20"/>
                <w:szCs w:val="20"/>
              </w:rPr>
            </w:pPr>
            <w:r>
              <w:rPr>
                <w:rFonts w:ascii="SimSun" w:hAnsi="SimSun" w:eastAsia="SimSun" w:cs="SimSun"/>
                <w:sz w:val="20"/>
                <w:szCs w:val="20"/>
                <w:spacing w:val="7"/>
              </w:rPr>
              <w:t>总大肠菌群</w:t>
            </w:r>
          </w:p>
        </w:tc>
        <w:tc>
          <w:tcPr>
            <w:tcW w:w="1257" w:type="dxa"/>
            <w:vAlign w:val="top"/>
          </w:tcPr>
          <w:p>
            <w:pPr>
              <w:pStyle w:val="TableText"/>
              <w:ind w:left="447"/>
              <w:spacing w:before="114" w:line="195" w:lineRule="auto"/>
              <w:rPr/>
            </w:pPr>
            <w:r>
              <w:rPr>
                <w:spacing w:val="2"/>
              </w:rPr>
              <w:t>6.67</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pStyle w:val="TableText"/>
              <w:ind w:left="181"/>
              <w:spacing w:before="65" w:line="228" w:lineRule="auto"/>
              <w:rPr>
                <w:rFonts w:ascii="SimSun" w:hAnsi="SimSun" w:eastAsia="SimSun" w:cs="SimSun"/>
              </w:rPr>
            </w:pPr>
            <w:r>
              <w:rPr>
                <w:spacing w:val="3"/>
              </w:rPr>
              <w:t>2014</w:t>
            </w:r>
            <w:r>
              <w:rPr>
                <w:spacing w:val="13"/>
                <w:w w:val="101"/>
              </w:rPr>
              <w:t xml:space="preserve"> </w:t>
            </w:r>
            <w:r>
              <w:rPr>
                <w:rFonts w:ascii="SimSun" w:hAnsi="SimSun" w:eastAsia="SimSun" w:cs="SimSun"/>
                <w:spacing w:val="3"/>
              </w:rPr>
              <w:t>年</w:t>
            </w:r>
          </w:p>
          <w:p>
            <w:pPr>
              <w:pStyle w:val="TableText"/>
              <w:ind w:left="458" w:right="153" w:hanging="281"/>
              <w:spacing w:before="25" w:line="254" w:lineRule="auto"/>
              <w:rPr>
                <w:rFonts w:ascii="SimSun" w:hAnsi="SimSun" w:eastAsia="SimSun" w:cs="SimSun"/>
              </w:rPr>
            </w:pPr>
            <w:r>
              <w:rPr>
                <w:spacing w:val="-6"/>
              </w:rPr>
              <w:t>11</w:t>
            </w:r>
            <w:r>
              <w:rPr>
                <w:spacing w:val="13"/>
              </w:rPr>
              <w:t xml:space="preserve"> </w:t>
            </w:r>
            <w:r>
              <w:rPr>
                <w:rFonts w:ascii="SimSun" w:hAnsi="SimSun" w:eastAsia="SimSun" w:cs="SimSun"/>
                <w:spacing w:val="-6"/>
              </w:rPr>
              <w:t>月</w:t>
            </w:r>
            <w:r>
              <w:rPr>
                <w:rFonts w:ascii="SimSun" w:hAnsi="SimSun" w:eastAsia="SimSun" w:cs="SimSun"/>
                <w:spacing w:val="-23"/>
              </w:rPr>
              <w:t xml:space="preserve"> </w:t>
            </w:r>
            <w:r>
              <w:rPr>
                <w:spacing w:val="-6"/>
              </w:rPr>
              <w:t>14</w:t>
            </w:r>
            <w:r>
              <w:rPr>
                <w:rFonts w:ascii="SimSun" w:hAnsi="SimSun" w:eastAsia="SimSun" w:cs="SimSun"/>
              </w:rPr>
              <w:t>日</w:t>
            </w:r>
          </w:p>
        </w:tc>
        <w:tc>
          <w:tcPr>
            <w:tcW w:w="979"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309"/>
              <w:spacing w:before="65" w:line="228" w:lineRule="auto"/>
              <w:rPr>
                <w:rFonts w:ascii="SimSun" w:hAnsi="SimSun" w:eastAsia="SimSun" w:cs="SimSun"/>
              </w:rPr>
            </w:pPr>
            <w:r>
              <w:rPr>
                <w:spacing w:val="-2"/>
              </w:rPr>
              <w:t>6</w:t>
            </w:r>
            <w:r>
              <w:rPr>
                <w:spacing w:val="9"/>
              </w:rPr>
              <w:t xml:space="preserve"> </w:t>
            </w:r>
            <w:r>
              <w:rPr>
                <w:rFonts w:ascii="SimSun" w:hAnsi="SimSun" w:eastAsia="SimSun" w:cs="SimSun"/>
                <w:spacing w:val="-2"/>
              </w:rPr>
              <w:t>个</w:t>
            </w:r>
          </w:p>
        </w:tc>
        <w:tc>
          <w:tcPr>
            <w:tcW w:w="3045" w:type="dxa"/>
            <w:vAlign w:val="top"/>
            <w:vMerge w:val="restart"/>
            <w:tcBorders>
              <w:bottom w:val="nil"/>
            </w:tcBorders>
          </w:tcPr>
          <w:p>
            <w:pPr>
              <w:pStyle w:val="TableText"/>
              <w:ind w:right="14"/>
              <w:spacing w:before="28" w:line="221" w:lineRule="auto"/>
              <w:jc w:val="right"/>
              <w:rPr>
                <w:rFonts w:ascii="SimSun" w:hAnsi="SimSun" w:eastAsia="SimSun" w:cs="SimSun"/>
              </w:rPr>
            </w:pPr>
            <w:r>
              <w:rPr/>
              <w:t>pH</w:t>
            </w:r>
            <w:r>
              <w:rPr>
                <w:spacing w:val="-23"/>
              </w:rPr>
              <w:t xml:space="preserve"> </w:t>
            </w:r>
            <w:r>
              <w:rPr>
                <w:rFonts w:ascii="SimSun" w:hAnsi="SimSun" w:eastAsia="SimSun" w:cs="SimSun"/>
                <w:spacing w:val="4"/>
              </w:rPr>
              <w:t>、铜、锌、铁、锰、镉、铅、</w:t>
            </w:r>
          </w:p>
          <w:p>
            <w:pPr>
              <w:ind w:left="159"/>
              <w:spacing w:before="32" w:line="226" w:lineRule="auto"/>
              <w:rPr>
                <w:rFonts w:ascii="SimSun" w:hAnsi="SimSun" w:eastAsia="SimSun" w:cs="SimSun"/>
                <w:sz w:val="20"/>
                <w:szCs w:val="20"/>
              </w:rPr>
            </w:pPr>
            <w:r>
              <w:rPr>
                <w:rFonts w:ascii="SimSun" w:hAnsi="SimSun" w:eastAsia="SimSun" w:cs="SimSun"/>
                <w:sz w:val="20"/>
                <w:szCs w:val="20"/>
                <w:spacing w:val="9"/>
              </w:rPr>
              <w:t>砷、六价铬、汞、总硬度、溶</w:t>
            </w:r>
          </w:p>
          <w:p>
            <w:pPr>
              <w:ind w:left="159"/>
              <w:spacing w:before="28" w:line="228" w:lineRule="auto"/>
              <w:rPr>
                <w:rFonts w:ascii="SimSun" w:hAnsi="SimSun" w:eastAsia="SimSun" w:cs="SimSun"/>
                <w:sz w:val="20"/>
                <w:szCs w:val="20"/>
              </w:rPr>
            </w:pPr>
            <w:r>
              <w:rPr>
                <w:rFonts w:ascii="SimSun" w:hAnsi="SimSun" w:eastAsia="SimSun" w:cs="SimSun"/>
                <w:sz w:val="20"/>
                <w:szCs w:val="20"/>
                <w:spacing w:val="8"/>
              </w:rPr>
              <w:t>解性总固体、高锰酸盐指数、</w:t>
            </w:r>
          </w:p>
          <w:p>
            <w:pPr>
              <w:ind w:left="160"/>
              <w:spacing w:before="24" w:line="227" w:lineRule="auto"/>
              <w:rPr>
                <w:rFonts w:ascii="SimSun" w:hAnsi="SimSun" w:eastAsia="SimSun" w:cs="SimSun"/>
                <w:sz w:val="20"/>
                <w:szCs w:val="20"/>
              </w:rPr>
            </w:pPr>
            <w:r>
              <w:rPr>
                <w:rFonts w:ascii="SimSun" w:hAnsi="SimSun" w:eastAsia="SimSun" w:cs="SimSun"/>
                <w:sz w:val="20"/>
                <w:szCs w:val="20"/>
                <w:spacing w:val="9"/>
              </w:rPr>
              <w:t>氨氮、硫酸盐、硝酸盐氮、亚</w:t>
            </w:r>
          </w:p>
          <w:p>
            <w:pPr>
              <w:ind w:left="161"/>
              <w:spacing w:before="30" w:line="227" w:lineRule="auto"/>
              <w:rPr>
                <w:rFonts w:ascii="SimSun" w:hAnsi="SimSun" w:eastAsia="SimSun" w:cs="SimSun"/>
                <w:sz w:val="20"/>
                <w:szCs w:val="20"/>
              </w:rPr>
            </w:pPr>
            <w:r>
              <w:rPr>
                <w:rFonts w:ascii="SimSun" w:hAnsi="SimSun" w:eastAsia="SimSun" w:cs="SimSun"/>
                <w:sz w:val="20"/>
                <w:szCs w:val="20"/>
                <w:spacing w:val="8"/>
              </w:rPr>
              <w:t>硝酸盐氮、氯化物、氟化物、</w:t>
            </w:r>
          </w:p>
          <w:p>
            <w:pPr>
              <w:ind w:left="159"/>
              <w:spacing w:before="22" w:line="228" w:lineRule="auto"/>
              <w:rPr>
                <w:rFonts w:ascii="SimSun" w:hAnsi="SimSun" w:eastAsia="SimSun" w:cs="SimSun"/>
                <w:sz w:val="20"/>
                <w:szCs w:val="20"/>
              </w:rPr>
            </w:pPr>
            <w:r>
              <w:rPr>
                <w:rFonts w:ascii="SimSun" w:hAnsi="SimSun" w:eastAsia="SimSun" w:cs="SimSun"/>
                <w:sz w:val="20"/>
                <w:szCs w:val="20"/>
                <w:spacing w:val="8"/>
              </w:rPr>
              <w:t>挥发酚、氰化物、细菌总数、</w:t>
            </w:r>
          </w:p>
          <w:p>
            <w:pPr>
              <w:ind w:left="1005"/>
              <w:spacing w:before="27" w:line="216" w:lineRule="auto"/>
              <w:rPr>
                <w:rFonts w:ascii="SimSun" w:hAnsi="SimSun" w:eastAsia="SimSun" w:cs="SimSun"/>
                <w:sz w:val="20"/>
                <w:szCs w:val="20"/>
              </w:rPr>
            </w:pPr>
            <w:r>
              <w:rPr>
                <w:rFonts w:ascii="SimSun" w:hAnsi="SimSun" w:eastAsia="SimSun" w:cs="SimSun"/>
                <w:sz w:val="20"/>
                <w:szCs w:val="20"/>
                <w:spacing w:val="7"/>
              </w:rPr>
              <w:t>总大肠菌群</w:t>
            </w:r>
          </w:p>
        </w:tc>
        <w:tc>
          <w:tcPr>
            <w:tcW w:w="1634" w:type="dxa"/>
            <w:vAlign w:val="top"/>
          </w:tcPr>
          <w:p>
            <w:pPr>
              <w:ind w:left="504"/>
              <w:spacing w:before="28" w:line="218" w:lineRule="auto"/>
              <w:rPr>
                <w:rFonts w:ascii="SimSun" w:hAnsi="SimSun" w:eastAsia="SimSun" w:cs="SimSun"/>
                <w:sz w:val="20"/>
                <w:szCs w:val="20"/>
              </w:rPr>
            </w:pPr>
            <w:r>
              <w:rPr>
                <w:rFonts w:ascii="SimSun" w:hAnsi="SimSun" w:eastAsia="SimSun" w:cs="SimSun"/>
                <w:sz w:val="20"/>
                <w:szCs w:val="20"/>
                <w:spacing w:val="6"/>
              </w:rPr>
              <w:t>氟化物</w:t>
            </w:r>
          </w:p>
        </w:tc>
        <w:tc>
          <w:tcPr>
            <w:tcW w:w="1257" w:type="dxa"/>
            <w:vAlign w:val="top"/>
          </w:tcPr>
          <w:p>
            <w:pPr>
              <w:pStyle w:val="TableText"/>
              <w:ind w:left="446"/>
              <w:spacing w:before="64" w:line="195" w:lineRule="auto"/>
              <w:rPr/>
            </w:pPr>
            <w:r>
              <w:rPr>
                <w:spacing w:val="3"/>
              </w:rPr>
              <w:t>0.53</w:t>
            </w:r>
          </w:p>
        </w:tc>
        <w:tc>
          <w:tcPr>
            <w:tcW w:w="2680" w:type="dxa"/>
            <w:vAlign w:val="top"/>
            <w:vMerge w:val="restart"/>
            <w:tcBorders>
              <w:bottom w:val="nil"/>
            </w:tcBorders>
          </w:tcPr>
          <w:p>
            <w:pPr>
              <w:ind w:left="114"/>
              <w:spacing w:before="162" w:line="228" w:lineRule="auto"/>
              <w:rPr>
                <w:rFonts w:ascii="SimSun" w:hAnsi="SimSun" w:eastAsia="SimSun" w:cs="SimSun"/>
                <w:sz w:val="20"/>
                <w:szCs w:val="20"/>
              </w:rPr>
            </w:pPr>
            <w:r>
              <w:rPr>
                <w:rFonts w:ascii="SimSun" w:hAnsi="SimSun" w:eastAsia="SimSun" w:cs="SimSun"/>
                <w:sz w:val="20"/>
                <w:szCs w:val="20"/>
                <w:spacing w:val="4"/>
              </w:rPr>
              <w:t>氟化物、铁、锰超标主要是</w:t>
            </w:r>
          </w:p>
          <w:p>
            <w:pPr>
              <w:ind w:left="192"/>
              <w:spacing w:before="26" w:line="228" w:lineRule="auto"/>
              <w:rPr>
                <w:rFonts w:ascii="SimSun" w:hAnsi="SimSun" w:eastAsia="SimSun" w:cs="SimSun"/>
                <w:sz w:val="20"/>
                <w:szCs w:val="20"/>
              </w:rPr>
            </w:pPr>
            <w:r>
              <w:rPr>
                <w:rFonts w:ascii="SimSun" w:hAnsi="SimSun" w:eastAsia="SimSun" w:cs="SimSun"/>
                <w:sz w:val="20"/>
                <w:szCs w:val="20"/>
                <w:spacing w:val="8"/>
              </w:rPr>
              <w:t>与当地的地质条件和沉积</w:t>
            </w:r>
          </w:p>
          <w:p>
            <w:pPr>
              <w:ind w:left="113"/>
              <w:spacing w:before="24" w:line="228" w:lineRule="auto"/>
              <w:rPr>
                <w:rFonts w:ascii="SimSun" w:hAnsi="SimSun" w:eastAsia="SimSun" w:cs="SimSun"/>
                <w:sz w:val="20"/>
                <w:szCs w:val="20"/>
              </w:rPr>
            </w:pPr>
            <w:r>
              <w:rPr>
                <w:rFonts w:ascii="SimSun" w:hAnsi="SimSun" w:eastAsia="SimSun" w:cs="SimSun"/>
                <w:sz w:val="20"/>
                <w:szCs w:val="20"/>
                <w:spacing w:val="8"/>
              </w:rPr>
              <w:t>环境有关。高锰酸盐指数、</w:t>
            </w:r>
          </w:p>
          <w:p>
            <w:pPr>
              <w:ind w:left="114"/>
              <w:spacing w:before="26" w:line="227" w:lineRule="auto"/>
              <w:rPr>
                <w:rFonts w:ascii="SimSun" w:hAnsi="SimSun" w:eastAsia="SimSun" w:cs="SimSun"/>
                <w:sz w:val="20"/>
                <w:szCs w:val="20"/>
              </w:rPr>
            </w:pPr>
            <w:r>
              <w:rPr>
                <w:rFonts w:ascii="SimSun" w:hAnsi="SimSun" w:eastAsia="SimSun" w:cs="SimSun"/>
                <w:sz w:val="20"/>
                <w:szCs w:val="20"/>
                <w:spacing w:val="4"/>
              </w:rPr>
              <w:t>细菌总数、氨氮超标与当地</w:t>
            </w:r>
          </w:p>
          <w:p>
            <w:pPr>
              <w:ind w:left="188"/>
              <w:spacing w:before="25" w:line="228" w:lineRule="auto"/>
              <w:rPr>
                <w:rFonts w:ascii="SimSun" w:hAnsi="SimSun" w:eastAsia="SimSun" w:cs="SimSun"/>
                <w:sz w:val="20"/>
                <w:szCs w:val="20"/>
              </w:rPr>
            </w:pPr>
            <w:r>
              <w:rPr>
                <w:rFonts w:ascii="SimSun" w:hAnsi="SimSun" w:eastAsia="SimSun" w:cs="SimSun"/>
                <w:sz w:val="20"/>
                <w:szCs w:val="20"/>
                <w:spacing w:val="9"/>
              </w:rPr>
              <w:t>牧民放养牲畜和水井管理</w:t>
            </w:r>
          </w:p>
          <w:p>
            <w:pPr>
              <w:ind w:left="825"/>
              <w:spacing w:before="25" w:line="228" w:lineRule="auto"/>
              <w:rPr>
                <w:rFonts w:ascii="SimSun" w:hAnsi="SimSun" w:eastAsia="SimSun" w:cs="SimSun"/>
                <w:sz w:val="20"/>
                <w:szCs w:val="20"/>
              </w:rPr>
            </w:pPr>
            <w:r>
              <w:rPr>
                <w:rFonts w:ascii="SimSun" w:hAnsi="SimSun" w:eastAsia="SimSun" w:cs="SimSun"/>
                <w:sz w:val="20"/>
                <w:szCs w:val="20"/>
                <w:spacing w:val="7"/>
              </w:rPr>
              <w:t>不规范有关</w:t>
            </w:r>
          </w:p>
        </w:tc>
        <w:tc>
          <w:tcPr>
            <w:tcW w:w="1732" w:type="dxa"/>
            <w:vAlign w:val="top"/>
            <w:vMerge w:val="restart"/>
            <w:tcBorders>
              <w:bottom w:val="nil"/>
            </w:tcBorders>
          </w:tcPr>
          <w:p>
            <w:pPr>
              <w:ind w:left="141"/>
              <w:spacing w:before="162" w:line="227" w:lineRule="auto"/>
              <w:rPr>
                <w:rFonts w:ascii="SimSun" w:hAnsi="SimSun" w:eastAsia="SimSun" w:cs="SimSun"/>
                <w:sz w:val="20"/>
                <w:szCs w:val="20"/>
              </w:rPr>
            </w:pPr>
            <w:r>
              <w:rPr>
                <w:rFonts w:ascii="SimSun" w:hAnsi="SimSun" w:eastAsia="SimSun" w:cs="SimSun"/>
                <w:sz w:val="20"/>
                <w:szCs w:val="20"/>
                <w:spacing w:val="7"/>
              </w:rPr>
              <w:t>《内蒙古海州露</w:t>
            </w:r>
          </w:p>
          <w:p>
            <w:pPr>
              <w:ind w:left="140"/>
              <w:spacing w:before="27" w:line="228" w:lineRule="auto"/>
              <w:rPr>
                <w:rFonts w:ascii="SimSun" w:hAnsi="SimSun" w:eastAsia="SimSun" w:cs="SimSun"/>
                <w:sz w:val="20"/>
                <w:szCs w:val="20"/>
              </w:rPr>
            </w:pPr>
            <w:r>
              <w:rPr>
                <w:rFonts w:ascii="SimSun" w:hAnsi="SimSun" w:eastAsia="SimSun" w:cs="SimSun"/>
                <w:sz w:val="20"/>
                <w:szCs w:val="20"/>
                <w:spacing w:val="8"/>
              </w:rPr>
              <w:t>天能源有限责任</w:t>
            </w:r>
          </w:p>
          <w:p>
            <w:pPr>
              <w:ind w:left="142"/>
              <w:spacing w:before="24" w:line="228" w:lineRule="auto"/>
              <w:rPr>
                <w:rFonts w:ascii="SimSun" w:hAnsi="SimSun" w:eastAsia="SimSun" w:cs="SimSun"/>
                <w:sz w:val="20"/>
                <w:szCs w:val="20"/>
              </w:rPr>
            </w:pPr>
            <w:r>
              <w:rPr>
                <w:rFonts w:ascii="SimSun" w:hAnsi="SimSun" w:eastAsia="SimSun" w:cs="SimSun"/>
                <w:sz w:val="20"/>
                <w:szCs w:val="20"/>
                <w:spacing w:val="7"/>
              </w:rPr>
              <w:t>公司白音华四号</w:t>
            </w:r>
          </w:p>
          <w:p>
            <w:pPr>
              <w:ind w:left="141"/>
              <w:spacing w:before="25" w:line="228" w:lineRule="auto"/>
              <w:rPr>
                <w:rFonts w:ascii="SimSun" w:hAnsi="SimSun" w:eastAsia="SimSun" w:cs="SimSun"/>
                <w:sz w:val="20"/>
                <w:szCs w:val="20"/>
              </w:rPr>
            </w:pPr>
            <w:r>
              <w:rPr>
                <w:rFonts w:ascii="SimSun" w:hAnsi="SimSun" w:eastAsia="SimSun" w:cs="SimSun"/>
                <w:sz w:val="20"/>
                <w:szCs w:val="20"/>
                <w:spacing w:val="7"/>
              </w:rPr>
              <w:t>露天矿竣工环境</w:t>
            </w:r>
          </w:p>
          <w:p>
            <w:pPr>
              <w:ind w:left="136"/>
              <w:spacing w:before="25" w:line="228" w:lineRule="auto"/>
              <w:rPr>
                <w:rFonts w:ascii="SimSun" w:hAnsi="SimSun" w:eastAsia="SimSun" w:cs="SimSun"/>
                <w:sz w:val="20"/>
                <w:szCs w:val="20"/>
              </w:rPr>
            </w:pPr>
            <w:r>
              <w:rPr>
                <w:rFonts w:ascii="SimSun" w:hAnsi="SimSun" w:eastAsia="SimSun" w:cs="SimSun"/>
                <w:sz w:val="20"/>
                <w:szCs w:val="20"/>
                <w:spacing w:val="8"/>
              </w:rPr>
              <w:t>保护验收调查报</w:t>
            </w:r>
          </w:p>
          <w:p>
            <w:pPr>
              <w:ind w:left="666"/>
              <w:spacing w:before="24" w:line="226" w:lineRule="auto"/>
              <w:rPr>
                <w:rFonts w:ascii="SimSun" w:hAnsi="SimSun" w:eastAsia="SimSun" w:cs="SimSun"/>
                <w:sz w:val="20"/>
                <w:szCs w:val="20"/>
              </w:rPr>
            </w:pPr>
            <w:r>
              <w:rPr>
                <w:rFonts w:ascii="SimSun" w:hAnsi="SimSun" w:eastAsia="SimSun" w:cs="SimSun"/>
                <w:sz w:val="20"/>
                <w:szCs w:val="20"/>
                <w:spacing w:val="-3"/>
              </w:rPr>
              <w:t>告》</w:t>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4"/>
              <w:spacing w:before="31" w:line="218" w:lineRule="auto"/>
              <w:rPr>
                <w:rFonts w:ascii="SimSun" w:hAnsi="SimSun" w:eastAsia="SimSun" w:cs="SimSun"/>
                <w:sz w:val="20"/>
                <w:szCs w:val="20"/>
              </w:rPr>
            </w:pPr>
            <w:r>
              <w:rPr>
                <w:rFonts w:ascii="SimSun" w:hAnsi="SimSun" w:eastAsia="SimSun" w:cs="SimSun"/>
                <w:sz w:val="20"/>
                <w:szCs w:val="20"/>
                <w:spacing w:val="1"/>
              </w:rPr>
              <w:t>铁</w:t>
            </w:r>
          </w:p>
        </w:tc>
        <w:tc>
          <w:tcPr>
            <w:tcW w:w="1257" w:type="dxa"/>
            <w:vAlign w:val="top"/>
          </w:tcPr>
          <w:p>
            <w:pPr>
              <w:pStyle w:val="TableText"/>
              <w:ind w:left="447"/>
              <w:spacing w:before="67" w:line="195" w:lineRule="auto"/>
              <w:rPr/>
            </w:pPr>
            <w:r>
              <w:rPr>
                <w:spacing w:val="3"/>
              </w:rPr>
              <w:t>3.63</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609"/>
              <w:spacing w:before="29" w:line="220" w:lineRule="auto"/>
              <w:rPr>
                <w:rFonts w:ascii="SimSun" w:hAnsi="SimSun" w:eastAsia="SimSun" w:cs="SimSun"/>
                <w:sz w:val="20"/>
                <w:szCs w:val="20"/>
              </w:rPr>
            </w:pPr>
            <w:r>
              <w:rPr>
                <w:rFonts w:ascii="SimSun" w:hAnsi="SimSun" w:eastAsia="SimSun" w:cs="SimSun"/>
                <w:sz w:val="20"/>
                <w:szCs w:val="20"/>
                <w:spacing w:val="4"/>
              </w:rPr>
              <w:t>氨氮</w:t>
            </w:r>
          </w:p>
        </w:tc>
        <w:tc>
          <w:tcPr>
            <w:tcW w:w="1257" w:type="dxa"/>
            <w:vAlign w:val="top"/>
          </w:tcPr>
          <w:p>
            <w:pPr>
              <w:pStyle w:val="TableText"/>
              <w:ind w:left="463"/>
              <w:spacing w:before="65" w:line="195" w:lineRule="auto"/>
              <w:rPr/>
            </w:pPr>
            <w:r>
              <w:rPr>
                <w:spacing w:val="-1"/>
              </w:rPr>
              <w:t>1.65</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195"/>
              <w:spacing w:before="29" w:line="217" w:lineRule="auto"/>
              <w:rPr>
                <w:rFonts w:ascii="SimSun" w:hAnsi="SimSun" w:eastAsia="SimSun" w:cs="SimSun"/>
                <w:sz w:val="20"/>
                <w:szCs w:val="20"/>
              </w:rPr>
            </w:pPr>
            <w:r>
              <w:rPr>
                <w:rFonts w:ascii="SimSun" w:hAnsi="SimSun" w:eastAsia="SimSun" w:cs="SimSun"/>
                <w:sz w:val="20"/>
                <w:szCs w:val="20"/>
                <w:spacing w:val="7"/>
              </w:rPr>
              <w:t>高猛酸盐指数</w:t>
            </w:r>
          </w:p>
        </w:tc>
        <w:tc>
          <w:tcPr>
            <w:tcW w:w="1257" w:type="dxa"/>
            <w:vAlign w:val="top"/>
          </w:tcPr>
          <w:p>
            <w:pPr>
              <w:pStyle w:val="TableText"/>
              <w:ind w:left="446"/>
              <w:spacing w:before="65" w:line="195" w:lineRule="auto"/>
              <w:rPr/>
            </w:pPr>
            <w:r>
              <w:rPr>
                <w:spacing w:val="3"/>
              </w:rPr>
              <w:t>0.76</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781"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401"/>
              <w:spacing w:before="284" w:line="228" w:lineRule="auto"/>
              <w:rPr>
                <w:rFonts w:ascii="SimSun" w:hAnsi="SimSun" w:eastAsia="SimSun" w:cs="SimSun"/>
                <w:sz w:val="20"/>
                <w:szCs w:val="20"/>
              </w:rPr>
            </w:pPr>
            <w:r>
              <w:rPr>
                <w:rFonts w:ascii="SimSun" w:hAnsi="SimSun" w:eastAsia="SimSun" w:cs="SimSun"/>
                <w:sz w:val="20"/>
                <w:szCs w:val="20"/>
                <w:spacing w:val="7"/>
              </w:rPr>
              <w:t>细菌总数</w:t>
            </w:r>
          </w:p>
        </w:tc>
        <w:tc>
          <w:tcPr>
            <w:tcW w:w="1257" w:type="dxa"/>
            <w:vAlign w:val="top"/>
          </w:tcPr>
          <w:p>
            <w:pPr>
              <w:spacing w:line="261" w:lineRule="auto"/>
              <w:rPr>
                <w:rFonts w:ascii="Arial"/>
                <w:sz w:val="21"/>
              </w:rPr>
            </w:pPr>
            <w:r/>
          </w:p>
          <w:p>
            <w:pPr>
              <w:pStyle w:val="TableText"/>
              <w:ind w:left="495"/>
              <w:spacing w:before="58" w:line="195" w:lineRule="auto"/>
              <w:rPr/>
            </w:pPr>
            <w:r>
              <w:rPr>
                <w:spacing w:val="3"/>
              </w:rPr>
              <w:t>2.3</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restart"/>
            <w:tcBorders>
              <w:bottom w:val="nil"/>
            </w:tcBorders>
          </w:tcPr>
          <w:p>
            <w:pPr>
              <w:pStyle w:val="TableText"/>
              <w:ind w:left="165" w:right="105" w:hanging="56"/>
              <w:spacing w:before="37" w:line="238" w:lineRule="auto"/>
              <w:rPr>
                <w:rFonts w:ascii="SimSun" w:hAnsi="SimSun" w:eastAsia="SimSun" w:cs="SimSun"/>
              </w:rPr>
            </w:pPr>
            <w:r>
              <w:rPr/>
              <w:t>2017 </w:t>
            </w:r>
            <w:r>
              <w:rPr>
                <w:rFonts w:ascii="SimSun" w:hAnsi="SimSun" w:eastAsia="SimSun" w:cs="SimSun"/>
              </w:rPr>
              <w:t>年</w:t>
            </w:r>
            <w:r>
              <w:rPr>
                <w:rFonts w:ascii="SimSun" w:hAnsi="SimSun" w:eastAsia="SimSun" w:cs="SimSun"/>
                <w:spacing w:val="-24"/>
              </w:rPr>
              <w:t xml:space="preserve"> </w:t>
            </w:r>
            <w:r>
              <w:rPr/>
              <w:t>1</w:t>
            </w:r>
            <w:r>
              <w:rPr>
                <w:rFonts w:ascii="SimSun" w:hAnsi="SimSun" w:eastAsia="SimSun" w:cs="SimSun"/>
                <w:spacing w:val="-5"/>
              </w:rPr>
              <w:t>月</w:t>
            </w:r>
            <w:r>
              <w:rPr>
                <w:rFonts w:ascii="SimSun" w:hAnsi="SimSun" w:eastAsia="SimSun" w:cs="SimSun"/>
                <w:spacing w:val="-23"/>
              </w:rPr>
              <w:t xml:space="preserve"> </w:t>
            </w:r>
            <w:r>
              <w:rPr>
                <w:spacing w:val="-5"/>
              </w:rPr>
              <w:t>10</w:t>
            </w:r>
            <w:r>
              <w:rPr>
                <w:spacing w:val="46"/>
              </w:rPr>
              <w:t xml:space="preserve"> </w:t>
            </w:r>
            <w:r>
              <w:rPr>
                <w:rFonts w:ascii="SimSun" w:hAnsi="SimSun" w:eastAsia="SimSun" w:cs="SimSun"/>
                <w:spacing w:val="-5"/>
              </w:rPr>
              <w:t>日</w:t>
            </w:r>
          </w:p>
        </w:tc>
        <w:tc>
          <w:tcPr>
            <w:tcW w:w="979" w:type="dxa"/>
            <w:vAlign w:val="top"/>
            <w:vMerge w:val="restart"/>
            <w:tcBorders>
              <w:bottom w:val="nil"/>
            </w:tcBorders>
          </w:tcPr>
          <w:p>
            <w:pPr>
              <w:pStyle w:val="TableText"/>
              <w:ind w:left="109"/>
              <w:spacing w:before="172" w:line="228" w:lineRule="auto"/>
              <w:rPr>
                <w:rFonts w:ascii="SimSun" w:hAnsi="SimSun" w:eastAsia="SimSun" w:cs="SimSun"/>
              </w:rPr>
            </w:pPr>
            <w:r>
              <w:rPr>
                <w:spacing w:val="4"/>
              </w:rPr>
              <w:t>3</w:t>
            </w:r>
            <w:r>
              <w:rPr>
                <w:spacing w:val="-15"/>
              </w:rPr>
              <w:t xml:space="preserve"> </w:t>
            </w:r>
            <w:r>
              <w:rPr>
                <w:rFonts w:ascii="SimSun" w:hAnsi="SimSun" w:eastAsia="SimSun" w:cs="SimSun"/>
                <w:spacing w:val="4"/>
              </w:rPr>
              <w:t>个潜水</w:t>
            </w:r>
          </w:p>
        </w:tc>
        <w:tc>
          <w:tcPr>
            <w:tcW w:w="3045" w:type="dxa"/>
            <w:vAlign w:val="top"/>
            <w:vMerge w:val="restart"/>
            <w:tcBorders>
              <w:bottom w:val="nil"/>
            </w:tcBorders>
          </w:tcPr>
          <w:p>
            <w:pPr>
              <w:pStyle w:val="TableText"/>
              <w:ind w:left="161" w:right="158" w:hanging="25"/>
              <w:spacing w:before="37" w:line="238" w:lineRule="auto"/>
              <w:rPr>
                <w:rFonts w:ascii="SimSun" w:hAnsi="SimSun" w:eastAsia="SimSun" w:cs="SimSun"/>
              </w:rPr>
            </w:pPr>
            <w:r>
              <w:rPr>
                <w:rFonts w:ascii="SimSun" w:hAnsi="SimSun" w:eastAsia="SimSun" w:cs="SimSun"/>
                <w:spacing w:val="8"/>
              </w:rPr>
              <w:t>基本离子、</w:t>
            </w:r>
            <w:r>
              <w:rPr/>
              <w:t>pH</w:t>
            </w:r>
            <w:r>
              <w:rPr>
                <w:rFonts w:ascii="SimSun" w:hAnsi="SimSun" w:eastAsia="SimSun" w:cs="SimSun"/>
                <w:spacing w:val="8"/>
              </w:rPr>
              <w:t>、水温、氨氮、</w:t>
            </w:r>
            <w:r>
              <w:rPr>
                <w:rFonts w:ascii="SimSun" w:hAnsi="SimSun" w:eastAsia="SimSun" w:cs="SimSun"/>
                <w:spacing w:val="9"/>
              </w:rPr>
              <w:t>硝酸盐氮、亚硝酸盐氮、挥发</w:t>
            </w:r>
          </w:p>
        </w:tc>
        <w:tc>
          <w:tcPr>
            <w:tcW w:w="1634" w:type="dxa"/>
            <w:vAlign w:val="top"/>
          </w:tcPr>
          <w:p>
            <w:pPr>
              <w:ind w:left="609"/>
              <w:spacing w:before="36" w:line="211" w:lineRule="auto"/>
              <w:rPr>
                <w:rFonts w:ascii="SimSun" w:hAnsi="SimSun" w:eastAsia="SimSun" w:cs="SimSun"/>
                <w:sz w:val="20"/>
                <w:szCs w:val="20"/>
              </w:rPr>
            </w:pPr>
            <w:r>
              <w:rPr>
                <w:rFonts w:ascii="SimSun" w:hAnsi="SimSun" w:eastAsia="SimSun" w:cs="SimSun"/>
                <w:sz w:val="20"/>
                <w:szCs w:val="20"/>
                <w:spacing w:val="4"/>
              </w:rPr>
              <w:t>氨氮</w:t>
            </w:r>
          </w:p>
        </w:tc>
        <w:tc>
          <w:tcPr>
            <w:tcW w:w="1257" w:type="dxa"/>
            <w:vAlign w:val="top"/>
          </w:tcPr>
          <w:p>
            <w:pPr>
              <w:pStyle w:val="TableText"/>
              <w:ind w:left="463"/>
              <w:spacing w:before="72" w:line="195" w:lineRule="auto"/>
              <w:rPr/>
            </w:pPr>
            <w:r>
              <w:rPr>
                <w:spacing w:val="-1"/>
              </w:rPr>
              <w:t>14.2</w:t>
            </w:r>
          </w:p>
        </w:tc>
        <w:tc>
          <w:tcPr>
            <w:tcW w:w="2680" w:type="dxa"/>
            <w:vAlign w:val="top"/>
            <w:vMerge w:val="restart"/>
            <w:tcBorders>
              <w:bottom w:val="nil"/>
            </w:tcBorders>
          </w:tcPr>
          <w:p>
            <w:pPr>
              <w:ind w:left="114" w:right="104" w:firstLine="4"/>
              <w:spacing w:before="37" w:line="238" w:lineRule="auto"/>
              <w:rPr>
                <w:rFonts w:ascii="SimSun" w:hAnsi="SimSun" w:eastAsia="SimSun" w:cs="SimSun"/>
                <w:sz w:val="20"/>
                <w:szCs w:val="20"/>
              </w:rPr>
            </w:pPr>
            <w:r>
              <w:rPr>
                <w:rFonts w:ascii="SimSun" w:hAnsi="SimSun" w:eastAsia="SimSun" w:cs="SimSun"/>
                <w:sz w:val="20"/>
                <w:szCs w:val="20"/>
                <w:spacing w:val="4"/>
              </w:rPr>
              <w:t>总硬度、溶解性总固体、氟</w:t>
            </w:r>
            <w:r>
              <w:rPr>
                <w:rFonts w:ascii="SimSun" w:hAnsi="SimSun" w:eastAsia="SimSun" w:cs="SimSun"/>
                <w:sz w:val="20"/>
                <w:szCs w:val="20"/>
                <w:spacing w:val="4"/>
              </w:rPr>
              <w:t>化物、铁、锰超标主要是与</w:t>
            </w:r>
          </w:p>
        </w:tc>
        <w:tc>
          <w:tcPr>
            <w:tcW w:w="1732" w:type="dxa"/>
            <w:vAlign w:val="top"/>
            <w:vMerge w:val="restart"/>
            <w:tcBorders>
              <w:bottom w:val="nil"/>
            </w:tcBorders>
          </w:tcPr>
          <w:p>
            <w:pPr>
              <w:ind w:left="140" w:right="130" w:firstLine="1"/>
              <w:spacing w:before="37" w:line="238" w:lineRule="auto"/>
              <w:rPr>
                <w:rFonts w:ascii="SimSun" w:hAnsi="SimSun" w:eastAsia="SimSun" w:cs="SimSun"/>
                <w:sz w:val="20"/>
                <w:szCs w:val="20"/>
              </w:rPr>
            </w:pPr>
            <w:r>
              <w:rPr>
                <w:rFonts w:ascii="SimSun" w:hAnsi="SimSun" w:eastAsia="SimSun" w:cs="SimSun"/>
                <w:sz w:val="20"/>
                <w:szCs w:val="20"/>
                <w:spacing w:val="7"/>
              </w:rPr>
              <w:t>《内蒙古海州露</w:t>
            </w:r>
            <w:r>
              <w:rPr>
                <w:rFonts w:ascii="SimSun" w:hAnsi="SimSun" w:eastAsia="SimSun" w:cs="SimSun"/>
                <w:sz w:val="20"/>
                <w:szCs w:val="20"/>
                <w:spacing w:val="8"/>
              </w:rPr>
              <w:t>天能源有限责任</w:t>
            </w:r>
          </w:p>
        </w:tc>
        <w:tc>
          <w:tcPr>
            <w:tcW w:w="2135" w:type="dxa"/>
            <w:vAlign w:val="top"/>
            <w:vMerge w:val="continue"/>
            <w:tcBorders>
              <w:top w:val="nil"/>
              <w:bottom w:val="nil"/>
            </w:tcBorders>
          </w:tcPr>
          <w:p>
            <w:pPr>
              <w:rPr>
                <w:rFonts w:ascii="Arial"/>
                <w:sz w:val="21"/>
              </w:rPr>
            </w:pPr>
            <w:r/>
          </w:p>
        </w:tc>
      </w:tr>
      <w:tr>
        <w:trPr>
          <w:trHeight w:val="283"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505"/>
              <w:spacing w:before="34" w:line="220" w:lineRule="auto"/>
              <w:rPr>
                <w:rFonts w:ascii="SimSun" w:hAnsi="SimSun" w:eastAsia="SimSun" w:cs="SimSun"/>
                <w:sz w:val="20"/>
                <w:szCs w:val="20"/>
              </w:rPr>
            </w:pPr>
            <w:r>
              <w:rPr>
                <w:rFonts w:ascii="SimSun" w:hAnsi="SimSun" w:eastAsia="SimSun" w:cs="SimSun"/>
                <w:sz w:val="20"/>
                <w:szCs w:val="20"/>
                <w:spacing w:val="6"/>
              </w:rPr>
              <w:t>亚硝氮</w:t>
            </w:r>
          </w:p>
        </w:tc>
        <w:tc>
          <w:tcPr>
            <w:tcW w:w="1257" w:type="dxa"/>
            <w:vAlign w:val="top"/>
          </w:tcPr>
          <w:p>
            <w:pPr>
              <w:pStyle w:val="TableText"/>
              <w:ind w:left="463"/>
              <w:spacing w:before="70" w:line="195" w:lineRule="auto"/>
              <w:rPr/>
            </w:pPr>
            <w:r>
              <w:rPr>
                <w:spacing w:val="-1"/>
              </w:rPr>
              <w:t>13.4</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tcBorders>
          </w:tcPr>
          <w:p>
            <w:pPr>
              <w:rPr>
                <w:rFonts w:ascii="Arial"/>
                <w:sz w:val="21"/>
              </w:rPr>
            </w:pPr>
            <w:r/>
          </w:p>
        </w:tc>
      </w:tr>
    </w:tbl>
    <w:p>
      <w:pPr>
        <w:pStyle w:val="BodyText"/>
        <w:rPr/>
      </w:pPr>
      <w:r/>
    </w:p>
    <w:p>
      <w:pPr>
        <w:sectPr>
          <w:headerReference w:type="default" r:id="rId178"/>
          <w:footerReference w:type="default" r:id="rId179"/>
          <w:pgSz w:w="16838" w:h="11906"/>
          <w:pgMar w:top="1170" w:right="1305" w:bottom="1080" w:left="1017" w:header="835" w:footer="917" w:gutter="0"/>
        </w:sectPr>
        <w:rPr/>
      </w:pPr>
    </w:p>
    <w:p>
      <w:pPr>
        <w:spacing w:before="6"/>
        <w:rPr/>
      </w:pPr>
      <w:r/>
    </w:p>
    <w:tbl>
      <w:tblPr>
        <w:tblStyle w:val="TableNormal"/>
        <w:tblW w:w="1451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48"/>
        <w:gridCol w:w="979"/>
        <w:gridCol w:w="3045"/>
        <w:gridCol w:w="1634"/>
        <w:gridCol w:w="1257"/>
        <w:gridCol w:w="2680"/>
        <w:gridCol w:w="1732"/>
        <w:gridCol w:w="2135"/>
      </w:tblGrid>
      <w:tr>
        <w:trPr>
          <w:trHeight w:val="554" w:hRule="atLeast"/>
        </w:trPr>
        <w:tc>
          <w:tcPr>
            <w:tcW w:w="1048" w:type="dxa"/>
            <w:vAlign w:val="top"/>
          </w:tcPr>
          <w:p>
            <w:pPr>
              <w:ind w:left="438" w:right="205" w:hanging="221"/>
              <w:spacing w:before="30" w:line="237" w:lineRule="auto"/>
              <w:rPr>
                <w:rFonts w:ascii="SimSun" w:hAnsi="SimSun" w:eastAsia="SimSun" w:cs="SimSun"/>
                <w:sz w:val="20"/>
                <w:szCs w:val="20"/>
              </w:rPr>
            </w:pPr>
            <w:r>
              <w:rPr>
                <w:rFonts w:ascii="SimSun" w:hAnsi="SimSun" w:eastAsia="SimSun" w:cs="SimSun"/>
                <w:sz w:val="20"/>
                <w:szCs w:val="20"/>
                <w:spacing w:val="6"/>
              </w:rPr>
              <w:t>监测时</w:t>
            </w:r>
            <w:r>
              <w:rPr>
                <w:rFonts w:ascii="SimSun" w:hAnsi="SimSun" w:eastAsia="SimSun" w:cs="SimSun"/>
                <w:sz w:val="20"/>
                <w:szCs w:val="20"/>
              </w:rPr>
              <w:t>间</w:t>
            </w:r>
          </w:p>
        </w:tc>
        <w:tc>
          <w:tcPr>
            <w:tcW w:w="979" w:type="dxa"/>
            <w:vAlign w:val="top"/>
          </w:tcPr>
          <w:p>
            <w:pPr>
              <w:ind w:left="384" w:right="176" w:hanging="207"/>
              <w:spacing w:before="30" w:line="237" w:lineRule="auto"/>
              <w:rPr>
                <w:rFonts w:ascii="SimSun" w:hAnsi="SimSun" w:eastAsia="SimSun" w:cs="SimSun"/>
                <w:sz w:val="20"/>
                <w:szCs w:val="20"/>
              </w:rPr>
            </w:pPr>
            <w:r>
              <w:rPr>
                <w:rFonts w:ascii="SimSun" w:hAnsi="SimSun" w:eastAsia="SimSun" w:cs="SimSun"/>
                <w:sz w:val="20"/>
                <w:szCs w:val="20"/>
                <w:spacing w:val="6"/>
              </w:rPr>
              <w:t>监测点</w:t>
            </w:r>
            <w:r>
              <w:rPr>
                <w:rFonts w:ascii="SimSun" w:hAnsi="SimSun" w:eastAsia="SimSun" w:cs="SimSun"/>
                <w:sz w:val="20"/>
                <w:szCs w:val="20"/>
              </w:rPr>
              <w:t>位</w:t>
            </w:r>
          </w:p>
        </w:tc>
        <w:tc>
          <w:tcPr>
            <w:tcW w:w="3045" w:type="dxa"/>
            <w:vAlign w:val="top"/>
          </w:tcPr>
          <w:p>
            <w:pPr>
              <w:ind w:left="1106"/>
              <w:spacing w:before="171" w:line="228" w:lineRule="auto"/>
              <w:rPr>
                <w:rFonts w:ascii="SimSun" w:hAnsi="SimSun" w:eastAsia="SimSun" w:cs="SimSun"/>
                <w:sz w:val="20"/>
                <w:szCs w:val="20"/>
              </w:rPr>
            </w:pPr>
            <w:r>
              <w:rPr>
                <w:rFonts w:ascii="SimSun" w:hAnsi="SimSun" w:eastAsia="SimSun" w:cs="SimSun"/>
                <w:sz w:val="20"/>
                <w:szCs w:val="20"/>
                <w:spacing w:val="7"/>
              </w:rPr>
              <w:t>监测指标</w:t>
            </w:r>
          </w:p>
        </w:tc>
        <w:tc>
          <w:tcPr>
            <w:tcW w:w="1634" w:type="dxa"/>
            <w:vAlign w:val="top"/>
          </w:tcPr>
          <w:p>
            <w:pPr>
              <w:ind w:left="399"/>
              <w:spacing w:before="171" w:line="228" w:lineRule="auto"/>
              <w:rPr>
                <w:rFonts w:ascii="SimSun" w:hAnsi="SimSun" w:eastAsia="SimSun" w:cs="SimSun"/>
                <w:sz w:val="20"/>
                <w:szCs w:val="20"/>
              </w:rPr>
            </w:pPr>
            <w:r>
              <w:rPr>
                <w:rFonts w:ascii="SimSun" w:hAnsi="SimSun" w:eastAsia="SimSun" w:cs="SimSun"/>
                <w:sz w:val="20"/>
                <w:szCs w:val="20"/>
                <w:spacing w:val="7"/>
              </w:rPr>
              <w:t>超标因子</w:t>
            </w:r>
          </w:p>
        </w:tc>
        <w:tc>
          <w:tcPr>
            <w:tcW w:w="1257" w:type="dxa"/>
            <w:vAlign w:val="top"/>
          </w:tcPr>
          <w:p>
            <w:pPr>
              <w:ind w:left="422" w:right="210" w:hanging="208"/>
              <w:spacing w:before="30" w:line="237" w:lineRule="auto"/>
              <w:rPr>
                <w:rFonts w:ascii="SimSun" w:hAnsi="SimSun" w:eastAsia="SimSun" w:cs="SimSun"/>
                <w:sz w:val="20"/>
                <w:szCs w:val="20"/>
              </w:rPr>
            </w:pPr>
            <w:r>
              <w:rPr>
                <w:rFonts w:ascii="SimSun" w:hAnsi="SimSun" w:eastAsia="SimSun" w:cs="SimSun"/>
                <w:sz w:val="20"/>
                <w:szCs w:val="20"/>
                <w:spacing w:val="6"/>
              </w:rPr>
              <w:t>最大超标</w:t>
            </w:r>
            <w:r>
              <w:rPr>
                <w:rFonts w:ascii="SimSun" w:hAnsi="SimSun" w:eastAsia="SimSun" w:cs="SimSun"/>
                <w:sz w:val="20"/>
                <w:szCs w:val="20"/>
                <w:spacing w:val="4"/>
              </w:rPr>
              <w:t>倍数</w:t>
            </w:r>
          </w:p>
        </w:tc>
        <w:tc>
          <w:tcPr>
            <w:tcW w:w="2680" w:type="dxa"/>
            <w:vAlign w:val="top"/>
          </w:tcPr>
          <w:p>
            <w:pPr>
              <w:ind w:left="921"/>
              <w:spacing w:before="171" w:line="228" w:lineRule="auto"/>
              <w:rPr>
                <w:rFonts w:ascii="SimSun" w:hAnsi="SimSun" w:eastAsia="SimSun" w:cs="SimSun"/>
                <w:sz w:val="20"/>
                <w:szCs w:val="20"/>
              </w:rPr>
            </w:pPr>
            <w:r>
              <w:rPr>
                <w:rFonts w:ascii="SimSun" w:hAnsi="SimSun" w:eastAsia="SimSun" w:cs="SimSun"/>
                <w:sz w:val="20"/>
                <w:szCs w:val="20"/>
                <w:spacing w:val="7"/>
              </w:rPr>
              <w:t>超标原因</w:t>
            </w:r>
          </w:p>
        </w:tc>
        <w:tc>
          <w:tcPr>
            <w:tcW w:w="1732" w:type="dxa"/>
            <w:vAlign w:val="top"/>
          </w:tcPr>
          <w:p>
            <w:pPr>
              <w:ind w:left="452"/>
              <w:spacing w:before="170" w:line="228" w:lineRule="auto"/>
              <w:rPr>
                <w:rFonts w:ascii="SimSun" w:hAnsi="SimSun" w:eastAsia="SimSun" w:cs="SimSun"/>
                <w:sz w:val="20"/>
                <w:szCs w:val="20"/>
              </w:rPr>
            </w:pPr>
            <w:r>
              <w:rPr>
                <w:rFonts w:ascii="SimSun" w:hAnsi="SimSun" w:eastAsia="SimSun" w:cs="SimSun"/>
                <w:sz w:val="20"/>
                <w:szCs w:val="20"/>
                <w:spacing w:val="6"/>
              </w:rPr>
              <w:t>数据来源</w:t>
            </w:r>
          </w:p>
        </w:tc>
        <w:tc>
          <w:tcPr>
            <w:tcW w:w="2135" w:type="dxa"/>
            <w:vAlign w:val="top"/>
          </w:tcPr>
          <w:p>
            <w:pPr>
              <w:ind w:left="652"/>
              <w:spacing w:before="170" w:line="228" w:lineRule="auto"/>
              <w:rPr>
                <w:rFonts w:ascii="SimSun" w:hAnsi="SimSun" w:eastAsia="SimSun" w:cs="SimSun"/>
                <w:sz w:val="20"/>
                <w:szCs w:val="20"/>
              </w:rPr>
            </w:pPr>
            <w:r>
              <w:rPr>
                <w:rFonts w:ascii="SimSun" w:hAnsi="SimSun" w:eastAsia="SimSun" w:cs="SimSun"/>
                <w:sz w:val="20"/>
                <w:szCs w:val="20"/>
                <w:spacing w:val="6"/>
              </w:rPr>
              <w:t>参考标准</w:t>
            </w:r>
          </w:p>
        </w:tc>
      </w:tr>
      <w:tr>
        <w:trPr>
          <w:trHeight w:val="275" w:hRule="atLeast"/>
        </w:trPr>
        <w:tc>
          <w:tcPr>
            <w:tcW w:w="1048" w:type="dxa"/>
            <w:vAlign w:val="top"/>
            <w:vMerge w:val="restart"/>
            <w:tcBorders>
              <w:bottom w:val="nil"/>
            </w:tcBorders>
          </w:tcPr>
          <w:p>
            <w:pPr>
              <w:rPr>
                <w:rFonts w:ascii="Arial"/>
                <w:sz w:val="21"/>
              </w:rPr>
            </w:pPr>
            <w:r/>
          </w:p>
        </w:tc>
        <w:tc>
          <w:tcPr>
            <w:tcW w:w="979" w:type="dxa"/>
            <w:vAlign w:val="top"/>
            <w:vMerge w:val="restart"/>
            <w:tcBorders>
              <w:bottom w:val="nil"/>
            </w:tcBorders>
          </w:tcPr>
          <w:p>
            <w:pPr>
              <w:rPr>
                <w:rFonts w:ascii="Arial"/>
                <w:sz w:val="21"/>
              </w:rPr>
            </w:pPr>
            <w:r/>
          </w:p>
        </w:tc>
        <w:tc>
          <w:tcPr>
            <w:tcW w:w="3045" w:type="dxa"/>
            <w:vAlign w:val="top"/>
            <w:vMerge w:val="restart"/>
            <w:tcBorders>
              <w:bottom w:val="nil"/>
            </w:tcBorders>
          </w:tcPr>
          <w:p>
            <w:pPr>
              <w:ind w:left="108" w:right="37" w:firstLine="51"/>
              <w:spacing w:before="28" w:line="251" w:lineRule="auto"/>
              <w:rPr>
                <w:rFonts w:ascii="SimSun" w:hAnsi="SimSun" w:eastAsia="SimSun" w:cs="SimSun"/>
                <w:sz w:val="20"/>
                <w:szCs w:val="20"/>
              </w:rPr>
            </w:pPr>
            <w:r>
              <w:rPr>
                <w:rFonts w:ascii="SimSun" w:hAnsi="SimSun" w:eastAsia="SimSun" w:cs="SimSun"/>
                <w:sz w:val="20"/>
                <w:szCs w:val="20"/>
                <w:spacing w:val="9"/>
              </w:rPr>
              <w:t>酚、总氰化物、砷、汞、六价</w:t>
            </w:r>
            <w:r>
              <w:rPr>
                <w:rFonts w:ascii="SimSun" w:hAnsi="SimSun" w:eastAsia="SimSun" w:cs="SimSun"/>
                <w:sz w:val="20"/>
                <w:szCs w:val="20"/>
                <w:spacing w:val="6"/>
              </w:rPr>
              <w:t>铬、硒、总硬度、铅、氟化物、</w:t>
            </w:r>
            <w:r>
              <w:rPr>
                <w:rFonts w:ascii="SimSun" w:hAnsi="SimSun" w:eastAsia="SimSun" w:cs="SimSun"/>
                <w:sz w:val="20"/>
                <w:szCs w:val="20"/>
                <w:spacing w:val="14"/>
              </w:rPr>
              <w:t>镉、铁、锰、溶解性总固体、</w:t>
            </w:r>
            <w:r>
              <w:rPr>
                <w:rFonts w:ascii="SimSun" w:hAnsi="SimSun" w:eastAsia="SimSun" w:cs="SimSun"/>
                <w:sz w:val="20"/>
                <w:szCs w:val="20"/>
                <w:spacing w:val="13"/>
              </w:rPr>
              <w:t>高猛酸盐指数、硫酸盐、氯化</w:t>
            </w:r>
            <w:r>
              <w:rPr>
                <w:rFonts w:ascii="SimSun" w:hAnsi="SimSun" w:eastAsia="SimSun" w:cs="SimSun"/>
                <w:sz w:val="20"/>
                <w:szCs w:val="20"/>
                <w:spacing w:val="13"/>
              </w:rPr>
              <w:t>物、细菌总数、总大肠菌群汞</w:t>
            </w:r>
          </w:p>
          <w:p>
            <w:pPr>
              <w:pStyle w:val="TableText"/>
              <w:ind w:left="1284"/>
              <w:spacing w:line="228" w:lineRule="auto"/>
              <w:rPr>
                <w:rFonts w:ascii="SimSun" w:hAnsi="SimSun" w:eastAsia="SimSun" w:cs="SimSun"/>
              </w:rPr>
            </w:pPr>
            <w:r>
              <w:rPr>
                <w:spacing w:val="1"/>
              </w:rPr>
              <w:t>29</w:t>
            </w:r>
            <w:r>
              <w:rPr>
                <w:spacing w:val="14"/>
                <w:w w:val="101"/>
              </w:rPr>
              <w:t xml:space="preserve"> </w:t>
            </w:r>
            <w:r>
              <w:rPr>
                <w:rFonts w:ascii="SimSun" w:hAnsi="SimSun" w:eastAsia="SimSun" w:cs="SimSun"/>
                <w:spacing w:val="1"/>
              </w:rPr>
              <w:t>项</w:t>
            </w:r>
          </w:p>
        </w:tc>
        <w:tc>
          <w:tcPr>
            <w:tcW w:w="1634" w:type="dxa"/>
            <w:vAlign w:val="top"/>
          </w:tcPr>
          <w:p>
            <w:pPr>
              <w:ind w:left="509"/>
              <w:spacing w:before="26" w:line="220" w:lineRule="auto"/>
              <w:rPr>
                <w:rFonts w:ascii="SimSun" w:hAnsi="SimSun" w:eastAsia="SimSun" w:cs="SimSun"/>
                <w:sz w:val="20"/>
                <w:szCs w:val="20"/>
              </w:rPr>
            </w:pPr>
            <w:r>
              <w:rPr>
                <w:rFonts w:ascii="SimSun" w:hAnsi="SimSun" w:eastAsia="SimSun" w:cs="SimSun"/>
                <w:sz w:val="20"/>
                <w:szCs w:val="20"/>
                <w:spacing w:val="5"/>
              </w:rPr>
              <w:t>总硬度</w:t>
            </w:r>
          </w:p>
        </w:tc>
        <w:tc>
          <w:tcPr>
            <w:tcW w:w="1257" w:type="dxa"/>
            <w:vAlign w:val="top"/>
          </w:tcPr>
          <w:p>
            <w:pPr>
              <w:pStyle w:val="TableText"/>
              <w:ind w:left="463"/>
              <w:spacing w:before="62" w:line="195" w:lineRule="auto"/>
              <w:rPr/>
            </w:pPr>
            <w:r>
              <w:rPr>
                <w:spacing w:val="-1"/>
              </w:rPr>
              <w:t>1.97</w:t>
            </w:r>
          </w:p>
        </w:tc>
        <w:tc>
          <w:tcPr>
            <w:tcW w:w="2680" w:type="dxa"/>
            <w:vAlign w:val="top"/>
            <w:vMerge w:val="restart"/>
            <w:tcBorders>
              <w:bottom w:val="nil"/>
            </w:tcBorders>
          </w:tcPr>
          <w:p>
            <w:pPr>
              <w:ind w:left="201"/>
              <w:spacing w:before="26" w:line="228" w:lineRule="auto"/>
              <w:rPr>
                <w:rFonts w:ascii="SimSun" w:hAnsi="SimSun" w:eastAsia="SimSun" w:cs="SimSun"/>
                <w:sz w:val="20"/>
                <w:szCs w:val="20"/>
              </w:rPr>
            </w:pPr>
            <w:r>
              <w:rPr>
                <w:rFonts w:ascii="SimSun" w:hAnsi="SimSun" w:eastAsia="SimSun" w:cs="SimSun"/>
                <w:sz w:val="20"/>
                <w:szCs w:val="20"/>
                <w:spacing w:val="7"/>
              </w:rPr>
              <w:t>当地的地质条件和沉积环</w:t>
            </w:r>
          </w:p>
          <w:p>
            <w:pPr>
              <w:ind w:left="114"/>
              <w:spacing w:before="26" w:line="228" w:lineRule="auto"/>
              <w:rPr>
                <w:rFonts w:ascii="SimSun" w:hAnsi="SimSun" w:eastAsia="SimSun" w:cs="SimSun"/>
                <w:sz w:val="20"/>
                <w:szCs w:val="20"/>
              </w:rPr>
            </w:pPr>
            <w:r>
              <w:rPr>
                <w:rFonts w:ascii="SimSun" w:hAnsi="SimSun" w:eastAsia="SimSun" w:cs="SimSun"/>
                <w:sz w:val="20"/>
                <w:szCs w:val="20"/>
                <w:spacing w:val="4"/>
              </w:rPr>
              <w:t>境有关。高锰酸盐指数、氨</w:t>
            </w:r>
          </w:p>
          <w:p>
            <w:pPr>
              <w:ind w:left="112"/>
              <w:spacing w:before="24" w:line="227" w:lineRule="auto"/>
              <w:rPr>
                <w:rFonts w:ascii="SimSun" w:hAnsi="SimSun" w:eastAsia="SimSun" w:cs="SimSun"/>
                <w:sz w:val="20"/>
                <w:szCs w:val="20"/>
              </w:rPr>
            </w:pPr>
            <w:r>
              <w:rPr>
                <w:rFonts w:ascii="SimSun" w:hAnsi="SimSun" w:eastAsia="SimSun" w:cs="SimSun"/>
                <w:sz w:val="20"/>
                <w:szCs w:val="20"/>
                <w:spacing w:val="4"/>
              </w:rPr>
              <w:t>氮、亚硝酸盐氮、细菌总数</w:t>
            </w:r>
          </w:p>
          <w:p>
            <w:pPr>
              <w:ind w:left="187"/>
              <w:spacing w:before="29" w:line="228" w:lineRule="auto"/>
              <w:rPr>
                <w:rFonts w:ascii="SimSun" w:hAnsi="SimSun" w:eastAsia="SimSun" w:cs="SimSun"/>
                <w:sz w:val="20"/>
                <w:szCs w:val="20"/>
              </w:rPr>
            </w:pPr>
            <w:r>
              <w:rPr>
                <w:rFonts w:ascii="SimSun" w:hAnsi="SimSun" w:eastAsia="SimSun" w:cs="SimSun"/>
                <w:sz w:val="20"/>
                <w:szCs w:val="20"/>
                <w:spacing w:val="9"/>
              </w:rPr>
              <w:t>超标与当地牧民放养牲畜</w:t>
            </w:r>
          </w:p>
          <w:p>
            <w:pPr>
              <w:ind w:left="503"/>
              <w:spacing w:before="22" w:line="227" w:lineRule="auto"/>
              <w:rPr>
                <w:rFonts w:ascii="SimSun" w:hAnsi="SimSun" w:eastAsia="SimSun" w:cs="SimSun"/>
                <w:sz w:val="20"/>
                <w:szCs w:val="20"/>
              </w:rPr>
            </w:pPr>
            <w:r>
              <w:rPr>
                <w:rFonts w:ascii="SimSun" w:hAnsi="SimSun" w:eastAsia="SimSun" w:cs="SimSun"/>
                <w:sz w:val="20"/>
                <w:szCs w:val="20"/>
                <w:spacing w:val="7"/>
              </w:rPr>
              <w:t>和生活习惯有关。</w:t>
            </w:r>
          </w:p>
        </w:tc>
        <w:tc>
          <w:tcPr>
            <w:tcW w:w="1732" w:type="dxa"/>
            <w:vAlign w:val="top"/>
            <w:vMerge w:val="restart"/>
            <w:tcBorders>
              <w:bottom w:val="nil"/>
            </w:tcBorders>
          </w:tcPr>
          <w:p>
            <w:pPr>
              <w:ind w:left="142"/>
              <w:spacing w:before="27" w:line="228" w:lineRule="auto"/>
              <w:rPr>
                <w:rFonts w:ascii="SimSun" w:hAnsi="SimSun" w:eastAsia="SimSun" w:cs="SimSun"/>
                <w:sz w:val="20"/>
                <w:szCs w:val="20"/>
              </w:rPr>
            </w:pPr>
            <w:r>
              <w:rPr>
                <w:rFonts w:ascii="SimSun" w:hAnsi="SimSun" w:eastAsia="SimSun" w:cs="SimSun"/>
                <w:sz w:val="20"/>
                <w:szCs w:val="20"/>
                <w:spacing w:val="7"/>
              </w:rPr>
              <w:t>公司白音华四号</w:t>
            </w:r>
          </w:p>
          <w:p>
            <w:pPr>
              <w:ind w:left="141"/>
              <w:spacing w:before="25" w:line="228" w:lineRule="auto"/>
              <w:rPr>
                <w:rFonts w:ascii="SimSun" w:hAnsi="SimSun" w:eastAsia="SimSun" w:cs="SimSun"/>
                <w:sz w:val="20"/>
                <w:szCs w:val="20"/>
              </w:rPr>
            </w:pPr>
            <w:r>
              <w:rPr>
                <w:rFonts w:ascii="SimSun" w:hAnsi="SimSun" w:eastAsia="SimSun" w:cs="SimSun"/>
                <w:sz w:val="20"/>
                <w:szCs w:val="20"/>
                <w:spacing w:val="7"/>
              </w:rPr>
              <w:t>露天矿二期工程</w:t>
            </w:r>
          </w:p>
          <w:p>
            <w:pPr>
              <w:ind w:left="146"/>
              <w:spacing w:before="24" w:line="228" w:lineRule="auto"/>
              <w:rPr>
                <w:rFonts w:ascii="SimSun" w:hAnsi="SimSun" w:eastAsia="SimSun" w:cs="SimSun"/>
                <w:sz w:val="20"/>
                <w:szCs w:val="20"/>
              </w:rPr>
            </w:pPr>
            <w:r>
              <w:rPr>
                <w:rFonts w:ascii="SimSun" w:hAnsi="SimSun" w:eastAsia="SimSun" w:cs="SimSun"/>
                <w:sz w:val="20"/>
                <w:szCs w:val="20"/>
                <w:spacing w:val="7"/>
              </w:rPr>
              <w:t>（井工矿）竣工</w:t>
            </w:r>
          </w:p>
          <w:p>
            <w:pPr>
              <w:ind w:left="136"/>
              <w:spacing w:before="28" w:line="228" w:lineRule="auto"/>
              <w:rPr>
                <w:rFonts w:ascii="SimSun" w:hAnsi="SimSun" w:eastAsia="SimSun" w:cs="SimSun"/>
                <w:sz w:val="20"/>
                <w:szCs w:val="20"/>
              </w:rPr>
            </w:pPr>
            <w:r>
              <w:rPr>
                <w:rFonts w:ascii="SimSun" w:hAnsi="SimSun" w:eastAsia="SimSun" w:cs="SimSun"/>
                <w:sz w:val="20"/>
                <w:szCs w:val="20"/>
                <w:spacing w:val="8"/>
              </w:rPr>
              <w:t>环境保护验收调</w:t>
            </w:r>
          </w:p>
          <w:p>
            <w:pPr>
              <w:ind w:left="453"/>
              <w:spacing w:before="22" w:line="226" w:lineRule="auto"/>
              <w:rPr>
                <w:rFonts w:ascii="SimSun" w:hAnsi="SimSun" w:eastAsia="SimSun" w:cs="SimSun"/>
                <w:sz w:val="20"/>
                <w:szCs w:val="20"/>
              </w:rPr>
            </w:pPr>
            <w:r>
              <w:rPr>
                <w:rFonts w:ascii="SimSun" w:hAnsi="SimSun" w:eastAsia="SimSun" w:cs="SimSun"/>
                <w:sz w:val="20"/>
                <w:szCs w:val="20"/>
                <w:spacing w:val="4"/>
              </w:rPr>
              <w:t>查报告》</w:t>
            </w:r>
          </w:p>
        </w:tc>
        <w:tc>
          <w:tcPr>
            <w:tcW w:w="2135" w:type="dxa"/>
            <w:vAlign w:val="top"/>
            <w:vMerge w:val="restart"/>
            <w:tcBorders>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4"/>
              <w:spacing w:before="29" w:line="220" w:lineRule="auto"/>
              <w:rPr>
                <w:rFonts w:ascii="SimSun" w:hAnsi="SimSun" w:eastAsia="SimSun" w:cs="SimSun"/>
                <w:sz w:val="20"/>
                <w:szCs w:val="20"/>
              </w:rPr>
            </w:pPr>
            <w:r>
              <w:rPr>
                <w:rFonts w:ascii="SimSun" w:hAnsi="SimSun" w:eastAsia="SimSun" w:cs="SimSun"/>
                <w:sz w:val="20"/>
                <w:szCs w:val="20"/>
                <w:spacing w:val="6"/>
              </w:rPr>
              <w:t>氟化物</w:t>
            </w:r>
          </w:p>
        </w:tc>
        <w:tc>
          <w:tcPr>
            <w:tcW w:w="1257" w:type="dxa"/>
            <w:vAlign w:val="top"/>
          </w:tcPr>
          <w:p>
            <w:pPr>
              <w:pStyle w:val="TableText"/>
              <w:ind w:left="463"/>
              <w:spacing w:before="65" w:line="195" w:lineRule="auto"/>
              <w:rPr/>
            </w:pPr>
            <w:r>
              <w:rPr>
                <w:spacing w:val="-1"/>
              </w:rPr>
              <w:t>1.45</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4"/>
              <w:spacing w:before="32" w:line="217" w:lineRule="auto"/>
              <w:rPr>
                <w:rFonts w:ascii="SimSun" w:hAnsi="SimSun" w:eastAsia="SimSun" w:cs="SimSun"/>
                <w:sz w:val="20"/>
                <w:szCs w:val="20"/>
              </w:rPr>
            </w:pPr>
            <w:r>
              <w:rPr>
                <w:rFonts w:ascii="SimSun" w:hAnsi="SimSun" w:eastAsia="SimSun" w:cs="SimSun"/>
                <w:sz w:val="20"/>
                <w:szCs w:val="20"/>
                <w:spacing w:val="1"/>
              </w:rPr>
              <w:t>铁</w:t>
            </w:r>
          </w:p>
        </w:tc>
        <w:tc>
          <w:tcPr>
            <w:tcW w:w="1257" w:type="dxa"/>
            <w:vAlign w:val="top"/>
          </w:tcPr>
          <w:p>
            <w:pPr>
              <w:pStyle w:val="TableText"/>
              <w:ind w:left="446"/>
              <w:spacing w:before="68" w:line="195" w:lineRule="auto"/>
              <w:rPr/>
            </w:pPr>
            <w:r>
              <w:rPr>
                <w:spacing w:val="3"/>
              </w:rPr>
              <w:t>0.32</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715"/>
              <w:spacing w:before="27" w:line="219" w:lineRule="auto"/>
              <w:rPr>
                <w:rFonts w:ascii="SimSun" w:hAnsi="SimSun" w:eastAsia="SimSun" w:cs="SimSun"/>
                <w:sz w:val="20"/>
                <w:szCs w:val="20"/>
              </w:rPr>
            </w:pPr>
            <w:r>
              <w:rPr>
                <w:rFonts w:ascii="SimSun" w:hAnsi="SimSun" w:eastAsia="SimSun" w:cs="SimSun"/>
                <w:sz w:val="20"/>
                <w:szCs w:val="20"/>
              </w:rPr>
              <w:t>锰</w:t>
            </w:r>
          </w:p>
        </w:tc>
        <w:tc>
          <w:tcPr>
            <w:tcW w:w="1257" w:type="dxa"/>
            <w:vAlign w:val="top"/>
          </w:tcPr>
          <w:p>
            <w:pPr>
              <w:pStyle w:val="TableText"/>
              <w:ind w:left="501"/>
              <w:spacing w:before="63" w:line="195" w:lineRule="auto"/>
              <w:rPr/>
            </w:pPr>
            <w:r>
              <w:rPr>
                <w:spacing w:val="1"/>
              </w:rPr>
              <w:t>5.6</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192"/>
              <w:spacing w:before="33" w:line="216" w:lineRule="auto"/>
              <w:rPr>
                <w:rFonts w:ascii="SimSun" w:hAnsi="SimSun" w:eastAsia="SimSun" w:cs="SimSun"/>
                <w:sz w:val="20"/>
                <w:szCs w:val="20"/>
              </w:rPr>
            </w:pPr>
            <w:r>
              <w:rPr>
                <w:rFonts w:ascii="SimSun" w:hAnsi="SimSun" w:eastAsia="SimSun" w:cs="SimSun"/>
                <w:sz w:val="20"/>
                <w:szCs w:val="20"/>
                <w:spacing w:val="7"/>
              </w:rPr>
              <w:t>溶解性总固体</w:t>
            </w:r>
          </w:p>
        </w:tc>
        <w:tc>
          <w:tcPr>
            <w:tcW w:w="1257" w:type="dxa"/>
            <w:vAlign w:val="top"/>
          </w:tcPr>
          <w:p>
            <w:pPr>
              <w:pStyle w:val="TableText"/>
              <w:ind w:left="495"/>
              <w:spacing w:before="69" w:line="195" w:lineRule="auto"/>
              <w:rPr/>
            </w:pPr>
            <w:r>
              <w:rPr>
                <w:spacing w:val="3"/>
              </w:rPr>
              <w:t>2.7</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195"/>
              <w:spacing w:before="31" w:line="218" w:lineRule="auto"/>
              <w:rPr>
                <w:rFonts w:ascii="SimSun" w:hAnsi="SimSun" w:eastAsia="SimSun" w:cs="SimSun"/>
                <w:sz w:val="20"/>
                <w:szCs w:val="20"/>
              </w:rPr>
            </w:pPr>
            <w:r>
              <w:rPr>
                <w:rFonts w:ascii="SimSun" w:hAnsi="SimSun" w:eastAsia="SimSun" w:cs="SimSun"/>
                <w:sz w:val="20"/>
                <w:szCs w:val="20"/>
                <w:spacing w:val="7"/>
              </w:rPr>
              <w:t>高猛酸盐指数</w:t>
            </w:r>
          </w:p>
        </w:tc>
        <w:tc>
          <w:tcPr>
            <w:tcW w:w="1257" w:type="dxa"/>
            <w:vAlign w:val="top"/>
          </w:tcPr>
          <w:p>
            <w:pPr>
              <w:pStyle w:val="TableText"/>
              <w:ind w:left="463"/>
              <w:spacing w:before="67" w:line="195" w:lineRule="auto"/>
              <w:rPr/>
            </w:pPr>
            <w:r>
              <w:rPr>
                <w:spacing w:val="-1"/>
              </w:rPr>
              <w:t>1.63</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401"/>
              <w:spacing w:before="32" w:line="215" w:lineRule="auto"/>
              <w:rPr>
                <w:rFonts w:ascii="SimSun" w:hAnsi="SimSun" w:eastAsia="SimSun" w:cs="SimSun"/>
                <w:sz w:val="20"/>
                <w:szCs w:val="20"/>
              </w:rPr>
            </w:pPr>
            <w:r>
              <w:rPr>
                <w:rFonts w:ascii="SimSun" w:hAnsi="SimSun" w:eastAsia="SimSun" w:cs="SimSun"/>
                <w:sz w:val="20"/>
                <w:szCs w:val="20"/>
                <w:spacing w:val="7"/>
              </w:rPr>
              <w:t>细菌总数</w:t>
            </w:r>
          </w:p>
        </w:tc>
        <w:tc>
          <w:tcPr>
            <w:tcW w:w="1257" w:type="dxa"/>
            <w:vAlign w:val="top"/>
          </w:tcPr>
          <w:p>
            <w:pPr>
              <w:pStyle w:val="TableText"/>
              <w:ind w:left="515"/>
              <w:spacing w:before="67" w:line="195" w:lineRule="auto"/>
              <w:rPr/>
            </w:pPr>
            <w:r>
              <w:rPr>
                <w:spacing w:val="-4"/>
              </w:rPr>
              <w:t>1.6</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tcBorders>
          </w:tcPr>
          <w:p>
            <w:pPr>
              <w:rPr>
                <w:rFonts w:ascii="Arial"/>
                <w:sz w:val="21"/>
              </w:rPr>
            </w:pPr>
            <w:r/>
          </w:p>
        </w:tc>
      </w:tr>
      <w:tr>
        <w:trPr>
          <w:trHeight w:val="278" w:hRule="atLeast"/>
        </w:trPr>
        <w:tc>
          <w:tcPr>
            <w:tcW w:w="1048" w:type="dxa"/>
            <w:vAlign w:val="top"/>
            <w:vMerge w:val="restart"/>
            <w:tcBorders>
              <w:bottom w:val="nil"/>
            </w:tcBorders>
          </w:tcPr>
          <w:p>
            <w:pPr>
              <w:spacing w:line="336" w:lineRule="auto"/>
              <w:rPr>
                <w:rFonts w:ascii="Arial"/>
                <w:sz w:val="21"/>
              </w:rPr>
            </w:pPr>
            <w:r/>
          </w:p>
          <w:p>
            <w:pPr>
              <w:spacing w:line="337" w:lineRule="auto"/>
              <w:rPr>
                <w:rFonts w:ascii="Arial"/>
                <w:sz w:val="21"/>
              </w:rPr>
            </w:pPr>
            <w:r/>
          </w:p>
          <w:p>
            <w:pPr>
              <w:pStyle w:val="TableText"/>
              <w:ind w:left="220" w:right="105" w:hanging="111"/>
              <w:spacing w:before="65" w:line="252" w:lineRule="auto"/>
              <w:rPr>
                <w:rFonts w:ascii="SimSun" w:hAnsi="SimSun" w:eastAsia="SimSun" w:cs="SimSun"/>
              </w:rPr>
            </w:pPr>
            <w:r>
              <w:rPr/>
              <w:t>2020 </w:t>
            </w:r>
            <w:r>
              <w:rPr>
                <w:rFonts w:ascii="SimSun" w:hAnsi="SimSun" w:eastAsia="SimSun" w:cs="SimSun"/>
              </w:rPr>
              <w:t>年</w:t>
            </w:r>
            <w:r>
              <w:rPr>
                <w:rFonts w:ascii="SimSun" w:hAnsi="SimSun" w:eastAsia="SimSun" w:cs="SimSun"/>
                <w:spacing w:val="-24"/>
              </w:rPr>
              <w:t xml:space="preserve"> </w:t>
            </w:r>
            <w:r>
              <w:rPr/>
              <w:t>1</w:t>
            </w:r>
            <w:r>
              <w:rPr>
                <w:rFonts w:ascii="SimSun" w:hAnsi="SimSun" w:eastAsia="SimSun" w:cs="SimSun"/>
                <w:spacing w:val="-5"/>
              </w:rPr>
              <w:t>月</w:t>
            </w:r>
            <w:r>
              <w:rPr>
                <w:rFonts w:ascii="SimSun" w:hAnsi="SimSun" w:eastAsia="SimSun" w:cs="SimSun"/>
                <w:spacing w:val="-26"/>
              </w:rPr>
              <w:t xml:space="preserve"> </w:t>
            </w:r>
            <w:r>
              <w:rPr>
                <w:spacing w:val="-5"/>
              </w:rPr>
              <w:t>1  </w:t>
            </w:r>
            <w:r>
              <w:rPr>
                <w:rFonts w:ascii="SimSun" w:hAnsi="SimSun" w:eastAsia="SimSun" w:cs="SimSun"/>
                <w:spacing w:val="-5"/>
              </w:rPr>
              <w:t>日</w:t>
            </w:r>
          </w:p>
        </w:tc>
        <w:tc>
          <w:tcPr>
            <w:tcW w:w="979" w:type="dxa"/>
            <w:vAlign w:val="top"/>
            <w:vMerge w:val="restart"/>
            <w:tcBorders>
              <w:bottom w:val="nil"/>
            </w:tcBorders>
          </w:tcPr>
          <w:p>
            <w:pPr>
              <w:spacing w:line="269" w:lineRule="auto"/>
              <w:rPr>
                <w:rFonts w:ascii="Arial"/>
                <w:sz w:val="21"/>
              </w:rPr>
            </w:pPr>
            <w:r/>
          </w:p>
          <w:p>
            <w:pPr>
              <w:spacing w:line="270" w:lineRule="auto"/>
              <w:rPr>
                <w:rFonts w:ascii="Arial"/>
                <w:sz w:val="21"/>
              </w:rPr>
            </w:pPr>
            <w:r/>
          </w:p>
          <w:p>
            <w:pPr>
              <w:spacing w:line="270" w:lineRule="auto"/>
              <w:rPr>
                <w:rFonts w:ascii="Arial"/>
                <w:sz w:val="21"/>
              </w:rPr>
            </w:pPr>
            <w:r/>
          </w:p>
          <w:p>
            <w:pPr>
              <w:pStyle w:val="TableText"/>
              <w:ind w:left="110"/>
              <w:spacing w:before="65" w:line="228" w:lineRule="auto"/>
              <w:rPr>
                <w:rFonts w:ascii="SimSun" w:hAnsi="SimSun" w:eastAsia="SimSun" w:cs="SimSun"/>
              </w:rPr>
            </w:pPr>
            <w:r>
              <w:rPr>
                <w:spacing w:val="4"/>
              </w:rPr>
              <w:t>6</w:t>
            </w:r>
            <w:r>
              <w:rPr>
                <w:spacing w:val="-15"/>
              </w:rPr>
              <w:t xml:space="preserve"> </w:t>
            </w:r>
            <w:r>
              <w:rPr>
                <w:rFonts w:ascii="SimSun" w:hAnsi="SimSun" w:eastAsia="SimSun" w:cs="SimSun"/>
                <w:spacing w:val="4"/>
              </w:rPr>
              <w:t>个潜水</w:t>
            </w:r>
          </w:p>
        </w:tc>
        <w:tc>
          <w:tcPr>
            <w:tcW w:w="3045" w:type="dxa"/>
            <w:vAlign w:val="top"/>
            <w:vMerge w:val="restart"/>
            <w:tcBorders>
              <w:bottom w:val="nil"/>
            </w:tcBorders>
          </w:tcPr>
          <w:p>
            <w:pPr>
              <w:pStyle w:val="TableText"/>
              <w:ind w:left="108" w:right="37" w:firstLine="20"/>
              <w:spacing w:before="64" w:line="251" w:lineRule="auto"/>
              <w:rPr>
                <w:rFonts w:ascii="SimSun" w:hAnsi="SimSun" w:eastAsia="SimSun" w:cs="SimSun"/>
              </w:rPr>
            </w:pPr>
            <w:r>
              <w:rPr/>
              <w:t>PH</w:t>
            </w:r>
            <w:r>
              <w:rPr>
                <w:spacing w:val="-23"/>
              </w:rPr>
              <w:t xml:space="preserve"> </w:t>
            </w:r>
            <w:r>
              <w:rPr>
                <w:rFonts w:ascii="SimSun" w:hAnsi="SimSun" w:eastAsia="SimSun" w:cs="SimSun"/>
                <w:spacing w:val="9"/>
              </w:rPr>
              <w:t>、溶解性总固体、氯化物、</w:t>
            </w:r>
            <w:r>
              <w:rPr>
                <w:rFonts w:ascii="SimSun" w:hAnsi="SimSun" w:eastAsia="SimSun" w:cs="SimSun"/>
                <w:spacing w:val="6"/>
              </w:rPr>
              <w:t>硝酸盐氮、亚硝酸盐氮、氨氮、</w:t>
            </w:r>
            <w:r>
              <w:rPr>
                <w:rFonts w:ascii="SimSun" w:hAnsi="SimSun" w:eastAsia="SimSun" w:cs="SimSun"/>
                <w:spacing w:val="6"/>
              </w:rPr>
              <w:t>总硬度、砷、石油类、硫酸盐、</w:t>
            </w:r>
            <w:r>
              <w:rPr>
                <w:rFonts w:ascii="SimSun" w:hAnsi="SimSun" w:eastAsia="SimSun" w:cs="SimSun"/>
                <w:spacing w:val="6"/>
              </w:rPr>
              <w:t>挥发酚、砷、汞、六价铬、铅、</w:t>
            </w:r>
            <w:r>
              <w:rPr>
                <w:rFonts w:ascii="SimSun" w:hAnsi="SimSun" w:eastAsia="SimSun" w:cs="SimSun"/>
                <w:spacing w:val="14"/>
              </w:rPr>
              <w:t>氟、高锰酸盐指数、铁、锰、</w:t>
            </w:r>
            <w:r>
              <w:rPr>
                <w:rFonts w:ascii="SimSun" w:hAnsi="SimSun" w:eastAsia="SimSun" w:cs="SimSun"/>
                <w:spacing w:val="13"/>
              </w:rPr>
              <w:t>镉、总大肠菌数、细菌总数共</w:t>
            </w:r>
          </w:p>
          <w:p>
            <w:pPr>
              <w:pStyle w:val="TableText"/>
              <w:ind w:left="1154"/>
              <w:spacing w:line="228" w:lineRule="auto"/>
              <w:rPr>
                <w:rFonts w:ascii="SimSun" w:hAnsi="SimSun" w:eastAsia="SimSun" w:cs="SimSun"/>
              </w:rPr>
            </w:pPr>
            <w:r>
              <w:rPr>
                <w:spacing w:val="1"/>
              </w:rPr>
              <w:t>22</w:t>
            </w:r>
            <w:r>
              <w:rPr>
                <w:spacing w:val="7"/>
              </w:rPr>
              <w:t xml:space="preserve">  </w:t>
            </w:r>
            <w:r>
              <w:rPr>
                <w:rFonts w:ascii="SimSun" w:hAnsi="SimSun" w:eastAsia="SimSun" w:cs="SimSun"/>
                <w:spacing w:val="1"/>
              </w:rPr>
              <w:t>项。</w:t>
            </w:r>
          </w:p>
        </w:tc>
        <w:tc>
          <w:tcPr>
            <w:tcW w:w="1634" w:type="dxa"/>
            <w:vAlign w:val="top"/>
          </w:tcPr>
          <w:p>
            <w:pPr>
              <w:ind w:left="192"/>
              <w:spacing w:before="32" w:line="217" w:lineRule="auto"/>
              <w:rPr>
                <w:rFonts w:ascii="SimSun" w:hAnsi="SimSun" w:eastAsia="SimSun" w:cs="SimSun"/>
                <w:sz w:val="20"/>
                <w:szCs w:val="20"/>
              </w:rPr>
            </w:pPr>
            <w:r>
              <w:rPr>
                <w:rFonts w:ascii="SimSun" w:hAnsi="SimSun" w:eastAsia="SimSun" w:cs="SimSun"/>
                <w:sz w:val="20"/>
                <w:szCs w:val="20"/>
                <w:spacing w:val="7"/>
              </w:rPr>
              <w:t>溶解性总固体</w:t>
            </w:r>
          </w:p>
        </w:tc>
        <w:tc>
          <w:tcPr>
            <w:tcW w:w="1257" w:type="dxa"/>
            <w:vAlign w:val="top"/>
          </w:tcPr>
          <w:p>
            <w:pPr>
              <w:pStyle w:val="TableText"/>
              <w:ind w:left="447"/>
              <w:spacing w:before="68" w:line="195" w:lineRule="auto"/>
              <w:rPr/>
            </w:pPr>
            <w:r>
              <w:rPr>
                <w:spacing w:val="3"/>
              </w:rPr>
              <w:t>3.31</w:t>
            </w:r>
          </w:p>
        </w:tc>
        <w:tc>
          <w:tcPr>
            <w:tcW w:w="2680" w:type="dxa"/>
            <w:vAlign w:val="top"/>
            <w:vMerge w:val="restart"/>
            <w:tcBorders>
              <w:bottom w:val="nil"/>
            </w:tcBorders>
          </w:tcPr>
          <w:p>
            <w:pPr>
              <w:ind w:left="116"/>
              <w:spacing w:before="198" w:line="228" w:lineRule="auto"/>
              <w:rPr>
                <w:rFonts w:ascii="SimSun" w:hAnsi="SimSun" w:eastAsia="SimSun" w:cs="SimSun"/>
                <w:sz w:val="20"/>
                <w:szCs w:val="20"/>
              </w:rPr>
            </w:pPr>
            <w:r>
              <w:rPr>
                <w:rFonts w:ascii="SimSun" w:hAnsi="SimSun" w:eastAsia="SimSun" w:cs="SimSun"/>
                <w:sz w:val="20"/>
                <w:szCs w:val="20"/>
                <w:spacing w:val="4"/>
              </w:rPr>
              <w:t>溶解性总固体、总硬度、氯</w:t>
            </w:r>
          </w:p>
          <w:p>
            <w:pPr>
              <w:ind w:left="114"/>
              <w:spacing w:before="25" w:line="228" w:lineRule="auto"/>
              <w:rPr>
                <w:rFonts w:ascii="SimSun" w:hAnsi="SimSun" w:eastAsia="SimSun" w:cs="SimSun"/>
                <w:sz w:val="20"/>
                <w:szCs w:val="20"/>
              </w:rPr>
            </w:pPr>
            <w:r>
              <w:rPr>
                <w:rFonts w:ascii="SimSun" w:hAnsi="SimSun" w:eastAsia="SimSun" w:cs="SimSun"/>
                <w:sz w:val="20"/>
                <w:szCs w:val="20"/>
                <w:spacing w:val="4"/>
              </w:rPr>
              <w:t>化物、硫酸盐和氟化物超标</w:t>
            </w:r>
          </w:p>
          <w:p>
            <w:pPr>
              <w:ind w:left="189"/>
              <w:spacing w:before="21" w:line="228" w:lineRule="auto"/>
              <w:rPr>
                <w:rFonts w:ascii="SimSun" w:hAnsi="SimSun" w:eastAsia="SimSun" w:cs="SimSun"/>
                <w:sz w:val="20"/>
                <w:szCs w:val="20"/>
              </w:rPr>
            </w:pPr>
            <w:r>
              <w:rPr>
                <w:rFonts w:ascii="SimSun" w:hAnsi="SimSun" w:eastAsia="SimSun" w:cs="SimSun"/>
                <w:sz w:val="20"/>
                <w:szCs w:val="20"/>
                <w:spacing w:val="9"/>
              </w:rPr>
              <w:t>主要是与当地的地质条件</w:t>
            </w:r>
          </w:p>
          <w:p>
            <w:pPr>
              <w:ind w:left="114"/>
              <w:spacing w:before="26" w:line="227" w:lineRule="auto"/>
              <w:rPr>
                <w:rFonts w:ascii="SimSun" w:hAnsi="SimSun" w:eastAsia="SimSun" w:cs="SimSun"/>
                <w:sz w:val="20"/>
                <w:szCs w:val="20"/>
              </w:rPr>
            </w:pPr>
            <w:r>
              <w:rPr>
                <w:rFonts w:ascii="SimSun" w:hAnsi="SimSun" w:eastAsia="SimSun" w:cs="SimSun"/>
                <w:sz w:val="20"/>
                <w:szCs w:val="20"/>
                <w:spacing w:val="4"/>
              </w:rPr>
              <w:t>和沉积环境有关。耗氧量和</w:t>
            </w:r>
          </w:p>
          <w:p>
            <w:pPr>
              <w:ind w:left="188"/>
              <w:spacing w:before="28" w:line="227" w:lineRule="auto"/>
              <w:rPr>
                <w:rFonts w:ascii="SimSun" w:hAnsi="SimSun" w:eastAsia="SimSun" w:cs="SimSun"/>
                <w:sz w:val="20"/>
                <w:szCs w:val="20"/>
              </w:rPr>
            </w:pPr>
            <w:r>
              <w:rPr>
                <w:rFonts w:ascii="SimSun" w:hAnsi="SimSun" w:eastAsia="SimSun" w:cs="SimSun"/>
                <w:sz w:val="20"/>
                <w:szCs w:val="20"/>
                <w:spacing w:val="9"/>
              </w:rPr>
              <w:t>氨氮超标与当地牧民放养</w:t>
            </w:r>
          </w:p>
          <w:p>
            <w:pPr>
              <w:ind w:left="292"/>
              <w:spacing w:before="25" w:line="227" w:lineRule="auto"/>
              <w:rPr>
                <w:rFonts w:ascii="SimSun" w:hAnsi="SimSun" w:eastAsia="SimSun" w:cs="SimSun"/>
                <w:sz w:val="20"/>
                <w:szCs w:val="20"/>
              </w:rPr>
            </w:pPr>
            <w:r>
              <w:rPr>
                <w:rFonts w:ascii="SimSun" w:hAnsi="SimSun" w:eastAsia="SimSun" w:cs="SimSun"/>
                <w:sz w:val="20"/>
                <w:szCs w:val="20"/>
                <w:spacing w:val="8"/>
              </w:rPr>
              <w:t>牲畜和生活习惯有关。</w:t>
            </w:r>
          </w:p>
        </w:tc>
        <w:tc>
          <w:tcPr>
            <w:tcW w:w="1732" w:type="dxa"/>
            <w:vAlign w:val="top"/>
            <w:vMerge w:val="restart"/>
            <w:tcBorders>
              <w:bottom w:val="nil"/>
            </w:tcBorders>
          </w:tcPr>
          <w:p>
            <w:pPr>
              <w:spacing w:line="268" w:lineRule="auto"/>
              <w:rPr>
                <w:rFonts w:ascii="Arial"/>
                <w:sz w:val="21"/>
              </w:rPr>
            </w:pPr>
            <w:r/>
          </w:p>
          <w:p>
            <w:pPr>
              <w:ind w:left="141"/>
              <w:spacing w:before="65" w:line="228" w:lineRule="auto"/>
              <w:rPr>
                <w:rFonts w:ascii="SimSun" w:hAnsi="SimSun" w:eastAsia="SimSun" w:cs="SimSun"/>
                <w:sz w:val="20"/>
                <w:szCs w:val="20"/>
              </w:rPr>
            </w:pPr>
            <w:r>
              <w:rPr>
                <w:rFonts w:ascii="SimSun" w:hAnsi="SimSun" w:eastAsia="SimSun" w:cs="SimSun"/>
                <w:sz w:val="20"/>
                <w:szCs w:val="20"/>
                <w:spacing w:val="7"/>
              </w:rPr>
              <w:t>《白音华四号露</w:t>
            </w:r>
          </w:p>
          <w:p>
            <w:pPr>
              <w:ind w:left="245"/>
              <w:spacing w:before="23" w:line="228" w:lineRule="auto"/>
              <w:rPr>
                <w:rFonts w:ascii="SimSun" w:hAnsi="SimSun" w:eastAsia="SimSun" w:cs="SimSun"/>
                <w:sz w:val="20"/>
                <w:szCs w:val="20"/>
              </w:rPr>
            </w:pPr>
            <w:r>
              <w:rPr>
                <w:rFonts w:ascii="SimSun" w:hAnsi="SimSun" w:eastAsia="SimSun" w:cs="SimSun"/>
                <w:sz w:val="20"/>
                <w:szCs w:val="20"/>
                <w:spacing w:val="7"/>
              </w:rPr>
              <w:t>天矿二期工程</w:t>
            </w:r>
          </w:p>
          <w:p>
            <w:pPr>
              <w:ind w:left="146"/>
              <w:spacing w:before="26" w:line="228" w:lineRule="auto"/>
              <w:rPr>
                <w:rFonts w:ascii="SimSun" w:hAnsi="SimSun" w:eastAsia="SimSun" w:cs="SimSun"/>
                <w:sz w:val="20"/>
                <w:szCs w:val="20"/>
              </w:rPr>
            </w:pPr>
            <w:r>
              <w:rPr>
                <w:rFonts w:ascii="SimSun" w:hAnsi="SimSun" w:eastAsia="SimSun" w:cs="SimSun"/>
                <w:sz w:val="20"/>
                <w:szCs w:val="20"/>
                <w:spacing w:val="7"/>
              </w:rPr>
              <w:t>（井工矿）环境</w:t>
            </w:r>
          </w:p>
          <w:p>
            <w:pPr>
              <w:ind w:left="136"/>
              <w:spacing w:before="24" w:line="226" w:lineRule="auto"/>
              <w:rPr>
                <w:rFonts w:ascii="SimSun" w:hAnsi="SimSun" w:eastAsia="SimSun" w:cs="SimSun"/>
                <w:sz w:val="20"/>
                <w:szCs w:val="20"/>
              </w:rPr>
            </w:pPr>
            <w:r>
              <w:rPr>
                <w:rFonts w:ascii="SimSun" w:hAnsi="SimSun" w:eastAsia="SimSun" w:cs="SimSun"/>
                <w:sz w:val="20"/>
                <w:szCs w:val="20"/>
                <w:spacing w:val="8"/>
              </w:rPr>
              <w:t>影响后评价报告</w:t>
            </w:r>
          </w:p>
          <w:p>
            <w:pPr>
              <w:ind w:left="665"/>
              <w:spacing w:before="28" w:line="227" w:lineRule="auto"/>
              <w:rPr>
                <w:rFonts w:ascii="SimSun" w:hAnsi="SimSun" w:eastAsia="SimSun" w:cs="SimSun"/>
                <w:sz w:val="20"/>
                <w:szCs w:val="20"/>
              </w:rPr>
            </w:pPr>
            <w:r>
              <w:rPr>
                <w:rFonts w:ascii="SimSun" w:hAnsi="SimSun" w:eastAsia="SimSun" w:cs="SimSun"/>
                <w:sz w:val="20"/>
                <w:szCs w:val="20"/>
                <w:spacing w:val="-2"/>
              </w:rPr>
              <w:t>书》</w:t>
            </w:r>
          </w:p>
        </w:tc>
        <w:tc>
          <w:tcPr>
            <w:tcW w:w="2135" w:type="dxa"/>
            <w:vAlign w:val="top"/>
            <w:vMerge w:val="restart"/>
            <w:tcBorders>
              <w:bottom w:val="nil"/>
            </w:tcBorders>
          </w:tcPr>
          <w:p>
            <w:pPr>
              <w:spacing w:line="336" w:lineRule="auto"/>
              <w:rPr>
                <w:rFonts w:ascii="Arial"/>
                <w:sz w:val="21"/>
              </w:rPr>
            </w:pPr>
            <w:r/>
          </w:p>
          <w:p>
            <w:pPr>
              <w:spacing w:line="337" w:lineRule="auto"/>
              <w:rPr>
                <w:rFonts w:ascii="Arial"/>
                <w:sz w:val="21"/>
              </w:rPr>
            </w:pPr>
            <w:r/>
          </w:p>
          <w:p>
            <w:pPr>
              <w:pStyle w:val="TableText"/>
              <w:ind w:left="123" w:right="77" w:firstLine="7"/>
              <w:spacing w:before="65" w:line="258" w:lineRule="auto"/>
              <w:rPr>
                <w:rFonts w:ascii="SimSun" w:hAnsi="SimSun" w:eastAsia="SimSun" w:cs="SimSun"/>
              </w:rPr>
            </w:pPr>
            <w:r>
              <w:rPr>
                <w:rFonts w:ascii="SimSun" w:hAnsi="SimSun" w:eastAsia="SimSun" w:cs="SimSun"/>
                <w:spacing w:val="6"/>
              </w:rPr>
              <w:t>《地下水质量标准》</w:t>
            </w:r>
            <w:r>
              <w:rPr>
                <w:rFonts w:ascii="SimSun" w:hAnsi="SimSun" w:eastAsia="SimSun" w:cs="SimSun"/>
                <w:spacing w:val="7"/>
              </w:rPr>
              <w:t xml:space="preserve"> </w:t>
            </w:r>
            <w:r>
              <w:rPr>
                <w:rFonts w:ascii="SimSun" w:hAnsi="SimSun" w:eastAsia="SimSun" w:cs="SimSun"/>
                <w:spacing w:val="1"/>
              </w:rPr>
              <w:t>（</w:t>
            </w:r>
            <w:r>
              <w:rPr/>
              <w:t>GB</w:t>
            </w:r>
            <w:r>
              <w:rPr>
                <w:spacing w:val="1"/>
              </w:rPr>
              <w:t>/T</w:t>
            </w:r>
            <w:r>
              <w:rPr>
                <w:spacing w:val="42"/>
              </w:rPr>
              <w:t xml:space="preserve"> </w:t>
            </w:r>
            <w:r>
              <w:rPr>
                <w:spacing w:val="1"/>
              </w:rPr>
              <w:t>14848-2017</w:t>
            </w:r>
            <w:r>
              <w:rPr>
                <w:rFonts w:ascii="SimSun" w:hAnsi="SimSun" w:eastAsia="SimSun" w:cs="SimSun"/>
                <w:spacing w:val="1"/>
              </w:rPr>
              <w:t>）</w:t>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9"/>
              <w:spacing w:before="32" w:line="217" w:lineRule="auto"/>
              <w:rPr>
                <w:rFonts w:ascii="SimSun" w:hAnsi="SimSun" w:eastAsia="SimSun" w:cs="SimSun"/>
                <w:sz w:val="20"/>
                <w:szCs w:val="20"/>
              </w:rPr>
            </w:pPr>
            <w:r>
              <w:rPr>
                <w:rFonts w:ascii="SimSun" w:hAnsi="SimSun" w:eastAsia="SimSun" w:cs="SimSun"/>
                <w:sz w:val="20"/>
                <w:szCs w:val="20"/>
                <w:spacing w:val="5"/>
              </w:rPr>
              <w:t>总硬度</w:t>
            </w:r>
          </w:p>
        </w:tc>
        <w:tc>
          <w:tcPr>
            <w:tcW w:w="1257" w:type="dxa"/>
            <w:vAlign w:val="top"/>
          </w:tcPr>
          <w:p>
            <w:pPr>
              <w:pStyle w:val="TableText"/>
              <w:ind w:left="442"/>
              <w:spacing w:before="68" w:line="195" w:lineRule="auto"/>
              <w:rPr/>
            </w:pPr>
            <w:r>
              <w:rPr>
                <w:spacing w:val="4"/>
              </w:rPr>
              <w:t>2.61</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7"/>
              <w:spacing w:before="31" w:line="216" w:lineRule="auto"/>
              <w:rPr>
                <w:rFonts w:ascii="SimSun" w:hAnsi="SimSun" w:eastAsia="SimSun" w:cs="SimSun"/>
                <w:sz w:val="20"/>
                <w:szCs w:val="20"/>
              </w:rPr>
            </w:pPr>
            <w:r>
              <w:rPr>
                <w:rFonts w:ascii="SimSun" w:hAnsi="SimSun" w:eastAsia="SimSun" w:cs="SimSun"/>
                <w:sz w:val="20"/>
                <w:szCs w:val="20"/>
                <w:spacing w:val="5"/>
              </w:rPr>
              <w:t>氯化物</w:t>
            </w:r>
          </w:p>
        </w:tc>
        <w:tc>
          <w:tcPr>
            <w:tcW w:w="1257" w:type="dxa"/>
            <w:vAlign w:val="top"/>
          </w:tcPr>
          <w:p>
            <w:pPr>
              <w:pStyle w:val="TableText"/>
              <w:ind w:left="441"/>
              <w:spacing w:before="66" w:line="195" w:lineRule="auto"/>
              <w:rPr/>
            </w:pPr>
            <w:r>
              <w:rPr>
                <w:spacing w:val="4"/>
              </w:rPr>
              <w:t>4.60</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3"/>
              <w:spacing w:before="33" w:line="216" w:lineRule="auto"/>
              <w:rPr>
                <w:rFonts w:ascii="SimSun" w:hAnsi="SimSun" w:eastAsia="SimSun" w:cs="SimSun"/>
                <w:sz w:val="20"/>
                <w:szCs w:val="20"/>
              </w:rPr>
            </w:pPr>
            <w:r>
              <w:rPr>
                <w:rFonts w:ascii="SimSun" w:hAnsi="SimSun" w:eastAsia="SimSun" w:cs="SimSun"/>
                <w:sz w:val="20"/>
                <w:szCs w:val="20"/>
                <w:spacing w:val="7"/>
              </w:rPr>
              <w:t>硫酸盐</w:t>
            </w:r>
          </w:p>
        </w:tc>
        <w:tc>
          <w:tcPr>
            <w:tcW w:w="1257" w:type="dxa"/>
            <w:vAlign w:val="top"/>
          </w:tcPr>
          <w:p>
            <w:pPr>
              <w:pStyle w:val="TableText"/>
              <w:ind w:left="447"/>
              <w:spacing w:before="69" w:line="195" w:lineRule="auto"/>
              <w:rPr/>
            </w:pPr>
            <w:r>
              <w:rPr>
                <w:spacing w:val="3"/>
              </w:rPr>
              <w:t>3.44</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8"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4"/>
              <w:spacing w:before="31" w:line="218" w:lineRule="auto"/>
              <w:rPr>
                <w:rFonts w:ascii="SimSun" w:hAnsi="SimSun" w:eastAsia="SimSun" w:cs="SimSun"/>
                <w:sz w:val="20"/>
                <w:szCs w:val="20"/>
              </w:rPr>
            </w:pPr>
            <w:r>
              <w:rPr>
                <w:rFonts w:ascii="SimSun" w:hAnsi="SimSun" w:eastAsia="SimSun" w:cs="SimSun"/>
                <w:sz w:val="20"/>
                <w:szCs w:val="20"/>
                <w:spacing w:val="6"/>
              </w:rPr>
              <w:t>氟化物</w:t>
            </w:r>
          </w:p>
        </w:tc>
        <w:tc>
          <w:tcPr>
            <w:tcW w:w="1257" w:type="dxa"/>
            <w:vAlign w:val="top"/>
          </w:tcPr>
          <w:p>
            <w:pPr>
              <w:pStyle w:val="TableText"/>
              <w:ind w:left="446"/>
              <w:spacing w:before="67" w:line="195" w:lineRule="auto"/>
              <w:rPr/>
            </w:pPr>
            <w:r>
              <w:rPr>
                <w:spacing w:val="3"/>
              </w:rPr>
              <w:t>0.90</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75" w:hRule="atLeast"/>
        </w:trPr>
        <w:tc>
          <w:tcPr>
            <w:tcW w:w="1048" w:type="dxa"/>
            <w:vAlign w:val="top"/>
            <w:vMerge w:val="continue"/>
            <w:tcBorders>
              <w:top w:val="nil"/>
              <w:bottom w:val="nil"/>
            </w:tcBorders>
          </w:tcPr>
          <w:p>
            <w:pPr>
              <w:rPr>
                <w:rFonts w:ascii="Arial"/>
                <w:sz w:val="21"/>
              </w:rPr>
            </w:pPr>
            <w:r/>
          </w:p>
        </w:tc>
        <w:tc>
          <w:tcPr>
            <w:tcW w:w="979" w:type="dxa"/>
            <w:vAlign w:val="top"/>
            <w:vMerge w:val="continue"/>
            <w:tcBorders>
              <w:top w:val="nil"/>
              <w:bottom w:val="nil"/>
            </w:tcBorders>
          </w:tcPr>
          <w:p>
            <w:pPr>
              <w:rPr>
                <w:rFonts w:ascii="Arial"/>
                <w:sz w:val="21"/>
              </w:rPr>
            </w:pPr>
            <w:r/>
          </w:p>
        </w:tc>
        <w:tc>
          <w:tcPr>
            <w:tcW w:w="3045" w:type="dxa"/>
            <w:vAlign w:val="top"/>
            <w:vMerge w:val="continue"/>
            <w:tcBorders>
              <w:top w:val="nil"/>
              <w:bottom w:val="nil"/>
            </w:tcBorders>
          </w:tcPr>
          <w:p>
            <w:pPr>
              <w:rPr>
                <w:rFonts w:ascii="Arial"/>
                <w:sz w:val="21"/>
              </w:rPr>
            </w:pPr>
            <w:r/>
          </w:p>
        </w:tc>
        <w:tc>
          <w:tcPr>
            <w:tcW w:w="1634" w:type="dxa"/>
            <w:vAlign w:val="top"/>
          </w:tcPr>
          <w:p>
            <w:pPr>
              <w:ind w:left="504"/>
              <w:spacing w:before="32" w:line="215" w:lineRule="auto"/>
              <w:rPr>
                <w:rFonts w:ascii="SimSun" w:hAnsi="SimSun" w:eastAsia="SimSun" w:cs="SimSun"/>
                <w:sz w:val="20"/>
                <w:szCs w:val="20"/>
              </w:rPr>
            </w:pPr>
            <w:r>
              <w:rPr>
                <w:rFonts w:ascii="SimSun" w:hAnsi="SimSun" w:eastAsia="SimSun" w:cs="SimSun"/>
                <w:sz w:val="20"/>
                <w:szCs w:val="20"/>
                <w:spacing w:val="6"/>
              </w:rPr>
              <w:t>耗氧量</w:t>
            </w:r>
          </w:p>
        </w:tc>
        <w:tc>
          <w:tcPr>
            <w:tcW w:w="1257" w:type="dxa"/>
            <w:vAlign w:val="top"/>
          </w:tcPr>
          <w:p>
            <w:pPr>
              <w:pStyle w:val="TableText"/>
              <w:ind w:left="446"/>
              <w:spacing w:before="67" w:line="195" w:lineRule="auto"/>
              <w:rPr/>
            </w:pPr>
            <w:r>
              <w:rPr>
                <w:spacing w:val="3"/>
              </w:rPr>
              <w:t>0.63</w:t>
            </w:r>
          </w:p>
        </w:tc>
        <w:tc>
          <w:tcPr>
            <w:tcW w:w="2680" w:type="dxa"/>
            <w:vAlign w:val="top"/>
            <w:vMerge w:val="continue"/>
            <w:tcBorders>
              <w:top w:val="nil"/>
              <w:bottom w:val="nil"/>
            </w:tcBorders>
          </w:tcPr>
          <w:p>
            <w:pPr>
              <w:rPr>
                <w:rFonts w:ascii="Arial"/>
                <w:sz w:val="21"/>
              </w:rPr>
            </w:pPr>
            <w:r/>
          </w:p>
        </w:tc>
        <w:tc>
          <w:tcPr>
            <w:tcW w:w="1732" w:type="dxa"/>
            <w:vAlign w:val="top"/>
            <w:vMerge w:val="continue"/>
            <w:tcBorders>
              <w:top w:val="nil"/>
              <w:bottom w:val="nil"/>
            </w:tcBorders>
          </w:tcPr>
          <w:p>
            <w:pPr>
              <w:rPr>
                <w:rFonts w:ascii="Arial"/>
                <w:sz w:val="21"/>
              </w:rPr>
            </w:pPr>
            <w:r/>
          </w:p>
        </w:tc>
        <w:tc>
          <w:tcPr>
            <w:tcW w:w="2135" w:type="dxa"/>
            <w:vAlign w:val="top"/>
            <w:vMerge w:val="continue"/>
            <w:tcBorders>
              <w:top w:val="nil"/>
              <w:bottom w:val="nil"/>
            </w:tcBorders>
          </w:tcPr>
          <w:p>
            <w:pPr>
              <w:rPr>
                <w:rFonts w:ascii="Arial"/>
                <w:sz w:val="21"/>
              </w:rPr>
            </w:pPr>
            <w:r/>
          </w:p>
        </w:tc>
      </w:tr>
      <w:tr>
        <w:trPr>
          <w:trHeight w:val="283" w:hRule="atLeast"/>
        </w:trPr>
        <w:tc>
          <w:tcPr>
            <w:tcW w:w="1048" w:type="dxa"/>
            <w:vAlign w:val="top"/>
            <w:vMerge w:val="continue"/>
            <w:tcBorders>
              <w:top w:val="nil"/>
            </w:tcBorders>
          </w:tcPr>
          <w:p>
            <w:pPr>
              <w:rPr>
                <w:rFonts w:ascii="Arial"/>
                <w:sz w:val="21"/>
              </w:rPr>
            </w:pPr>
            <w:r/>
          </w:p>
        </w:tc>
        <w:tc>
          <w:tcPr>
            <w:tcW w:w="979" w:type="dxa"/>
            <w:vAlign w:val="top"/>
            <w:vMerge w:val="continue"/>
            <w:tcBorders>
              <w:top w:val="nil"/>
            </w:tcBorders>
          </w:tcPr>
          <w:p>
            <w:pPr>
              <w:rPr>
                <w:rFonts w:ascii="Arial"/>
                <w:sz w:val="21"/>
              </w:rPr>
            </w:pPr>
            <w:r/>
          </w:p>
        </w:tc>
        <w:tc>
          <w:tcPr>
            <w:tcW w:w="3045" w:type="dxa"/>
            <w:vAlign w:val="top"/>
            <w:vMerge w:val="continue"/>
            <w:tcBorders>
              <w:top w:val="nil"/>
            </w:tcBorders>
          </w:tcPr>
          <w:p>
            <w:pPr>
              <w:rPr>
                <w:rFonts w:ascii="Arial"/>
                <w:sz w:val="21"/>
              </w:rPr>
            </w:pPr>
            <w:r/>
          </w:p>
        </w:tc>
        <w:tc>
          <w:tcPr>
            <w:tcW w:w="1634" w:type="dxa"/>
            <w:vAlign w:val="top"/>
          </w:tcPr>
          <w:p>
            <w:pPr>
              <w:ind w:left="609"/>
              <w:spacing w:before="34" w:line="220" w:lineRule="auto"/>
              <w:rPr>
                <w:rFonts w:ascii="SimSun" w:hAnsi="SimSun" w:eastAsia="SimSun" w:cs="SimSun"/>
                <w:sz w:val="20"/>
                <w:szCs w:val="20"/>
              </w:rPr>
            </w:pPr>
            <w:r>
              <w:rPr>
                <w:rFonts w:ascii="SimSun" w:hAnsi="SimSun" w:eastAsia="SimSun" w:cs="SimSun"/>
                <w:sz w:val="20"/>
                <w:szCs w:val="20"/>
                <w:spacing w:val="4"/>
              </w:rPr>
              <w:t>氨氮</w:t>
            </w:r>
          </w:p>
        </w:tc>
        <w:tc>
          <w:tcPr>
            <w:tcW w:w="1257" w:type="dxa"/>
            <w:vAlign w:val="top"/>
          </w:tcPr>
          <w:p>
            <w:pPr>
              <w:pStyle w:val="TableText"/>
              <w:ind w:left="442"/>
              <w:spacing w:before="70" w:line="195" w:lineRule="auto"/>
              <w:rPr/>
            </w:pPr>
            <w:r>
              <w:rPr>
                <w:spacing w:val="4"/>
              </w:rPr>
              <w:t>2.82</w:t>
            </w:r>
          </w:p>
        </w:tc>
        <w:tc>
          <w:tcPr>
            <w:tcW w:w="2680" w:type="dxa"/>
            <w:vAlign w:val="top"/>
            <w:vMerge w:val="continue"/>
            <w:tcBorders>
              <w:top w:val="nil"/>
            </w:tcBorders>
          </w:tcPr>
          <w:p>
            <w:pPr>
              <w:rPr>
                <w:rFonts w:ascii="Arial"/>
                <w:sz w:val="21"/>
              </w:rPr>
            </w:pPr>
            <w:r/>
          </w:p>
        </w:tc>
        <w:tc>
          <w:tcPr>
            <w:tcW w:w="1732" w:type="dxa"/>
            <w:vAlign w:val="top"/>
            <w:vMerge w:val="continue"/>
            <w:tcBorders>
              <w:top w:val="nil"/>
            </w:tcBorders>
          </w:tcPr>
          <w:p>
            <w:pPr>
              <w:rPr>
                <w:rFonts w:ascii="Arial"/>
                <w:sz w:val="21"/>
              </w:rPr>
            </w:pPr>
            <w:r/>
          </w:p>
        </w:tc>
        <w:tc>
          <w:tcPr>
            <w:tcW w:w="2135" w:type="dxa"/>
            <w:vAlign w:val="top"/>
            <w:vMerge w:val="continue"/>
            <w:tcBorders>
              <w:top w:val="nil"/>
            </w:tcBorders>
          </w:tcPr>
          <w:p>
            <w:pPr>
              <w:rPr>
                <w:rFonts w:ascii="Arial"/>
                <w:sz w:val="21"/>
              </w:rPr>
            </w:pPr>
            <w:r/>
          </w:p>
        </w:tc>
      </w:tr>
    </w:tbl>
    <w:p>
      <w:pPr>
        <w:pStyle w:val="BodyText"/>
        <w:rPr/>
      </w:pPr>
      <w:r/>
    </w:p>
    <w:p>
      <w:pPr>
        <w:sectPr>
          <w:footerReference w:type="default" r:id="rId180"/>
          <w:pgSz w:w="16838" w:h="11906"/>
          <w:pgMar w:top="1170" w:right="1305" w:bottom="1080" w:left="1017" w:header="835" w:footer="917" w:gutter="0"/>
        </w:sectPr>
        <w:rPr/>
      </w:pPr>
    </w:p>
    <w:p>
      <w:pPr>
        <w:pStyle w:val="BodyText"/>
        <w:spacing w:line="393" w:lineRule="auto"/>
        <w:rPr/>
      </w:pPr>
      <w:r/>
    </w:p>
    <w:p>
      <w:pPr>
        <w:ind w:left="138"/>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3.3.6  </w:t>
      </w:r>
      <w:r>
        <w:rPr>
          <w:rFonts w:ascii="SimHei" w:hAnsi="SimHei" w:eastAsia="SimHei" w:cs="SimHei"/>
          <w:sz w:val="28"/>
          <w:szCs w:val="28"/>
          <w:b/>
          <w:bCs/>
          <w:spacing w:val="-2"/>
        </w:rPr>
        <w:t>声环境影响回顾性评价</w:t>
      </w:r>
    </w:p>
    <w:p>
      <w:pPr>
        <w:ind w:left="606"/>
        <w:spacing w:before="16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）噪声源现状调查</w:t>
      </w:r>
    </w:p>
    <w:p>
      <w:pPr>
        <w:ind w:left="118" w:right="112" w:firstLine="483"/>
        <w:spacing w:before="158" w:line="337" w:lineRule="auto"/>
        <w:rPr>
          <w:rFonts w:ascii="SimSun" w:hAnsi="SimSun" w:eastAsia="SimSun" w:cs="SimSun"/>
          <w:sz w:val="24"/>
          <w:szCs w:val="24"/>
        </w:rPr>
      </w:pPr>
      <w:r>
        <w:rPr>
          <w:rFonts w:ascii="SimSun" w:hAnsi="SimSun" w:eastAsia="SimSun" w:cs="SimSun"/>
          <w:sz w:val="24"/>
          <w:szCs w:val="24"/>
          <w:spacing w:val="-2"/>
        </w:rPr>
        <w:t>工业场地噪声源主要来自机修车间及各类水泵房设施设备产生的噪声。这些设备噪</w:t>
      </w:r>
      <w:r>
        <w:rPr>
          <w:rFonts w:ascii="SimSun" w:hAnsi="SimSun" w:eastAsia="SimSun" w:cs="SimSun"/>
          <w:sz w:val="24"/>
          <w:szCs w:val="24"/>
          <w:spacing w:val="-2"/>
        </w:rPr>
        <w:t>声源大部分是宽频带并且都是固定噪声源，设备噪声</w:t>
      </w:r>
      <w:r>
        <w:rPr>
          <w:rFonts w:ascii="SimSun" w:hAnsi="SimSun" w:eastAsia="SimSun" w:cs="SimSun"/>
          <w:sz w:val="24"/>
          <w:szCs w:val="24"/>
          <w:spacing w:val="-3"/>
        </w:rPr>
        <w:t>一般在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85-95dB(A)</w:t>
      </w:r>
      <w:r>
        <w:rPr>
          <w:rFonts w:ascii="SimSun" w:hAnsi="SimSun" w:eastAsia="SimSun" w:cs="SimSun"/>
          <w:sz w:val="24"/>
          <w:szCs w:val="24"/>
          <w:spacing w:val="-3"/>
        </w:rPr>
        <w:t>。采掘场噪声源</w:t>
      </w:r>
      <w:r>
        <w:rPr>
          <w:rFonts w:ascii="SimSun" w:hAnsi="SimSun" w:eastAsia="SimSun" w:cs="SimSun"/>
          <w:sz w:val="24"/>
          <w:szCs w:val="24"/>
          <w:spacing w:val="-2"/>
        </w:rPr>
        <w:t>主要为剥离及采煤作业和煤炭运输过程中的大型机器设备如自移式破碎机、装载机等机</w:t>
      </w:r>
      <w:r>
        <w:rPr>
          <w:rFonts w:ascii="SimSun" w:hAnsi="SimSun" w:eastAsia="SimSun" w:cs="SimSun"/>
          <w:sz w:val="24"/>
          <w:szCs w:val="24"/>
          <w:spacing w:val="-1"/>
        </w:rPr>
        <w:t>械噪声，这些噪声大多是不连续的。主要噪声污染防治措施见下表</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3-3-16</w:t>
      </w:r>
      <w:r>
        <w:rPr>
          <w:rFonts w:ascii="SimSun" w:hAnsi="SimSun" w:eastAsia="SimSun" w:cs="SimSun"/>
          <w:sz w:val="24"/>
          <w:szCs w:val="24"/>
          <w:spacing w:val="-1"/>
        </w:rPr>
        <w:t>。</w:t>
      </w:r>
    </w:p>
    <w:p>
      <w:pPr>
        <w:ind w:left="3219"/>
        <w:spacing w:before="131" w:line="221" w:lineRule="auto"/>
        <w:rPr>
          <w:rFonts w:ascii="SimHei" w:hAnsi="SimHei" w:eastAsia="SimHei" w:cs="SimHei"/>
          <w:sz w:val="24"/>
          <w:szCs w:val="24"/>
        </w:rPr>
      </w:pPr>
      <w:r>
        <w:rPr>
          <w:rFonts w:ascii="SimHei" w:hAnsi="SimHei" w:eastAsia="SimHei" w:cs="SimHei"/>
          <w:sz w:val="24"/>
          <w:szCs w:val="24"/>
          <w:spacing w:val="-2"/>
        </w:rPr>
        <w:t>主要噪声污染源及防治措施</w:t>
      </w:r>
    </w:p>
    <w:p>
      <w:pPr>
        <w:ind w:left="117"/>
        <w:spacing w:before="72"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2"/>
        </w:rPr>
        <w:t>3-3-16</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1427"/>
        <w:gridCol w:w="1111"/>
        <w:gridCol w:w="4375"/>
        <w:gridCol w:w="1804"/>
      </w:tblGrid>
      <w:tr>
        <w:trPr>
          <w:trHeight w:val="796" w:hRule="atLeast"/>
        </w:trPr>
        <w:tc>
          <w:tcPr>
            <w:tcW w:w="2000" w:type="dxa"/>
            <w:vAlign w:val="top"/>
            <w:gridSpan w:val="2"/>
          </w:tcPr>
          <w:p>
            <w:pPr>
              <w:ind w:left="691"/>
              <w:spacing w:before="291" w:line="228" w:lineRule="auto"/>
              <w:rPr>
                <w:rFonts w:ascii="SimSun" w:hAnsi="SimSun" w:eastAsia="SimSun" w:cs="SimSun"/>
                <w:sz w:val="20"/>
                <w:szCs w:val="20"/>
              </w:rPr>
            </w:pPr>
            <w:r>
              <w:rPr>
                <w:rFonts w:ascii="SimSun" w:hAnsi="SimSun" w:eastAsia="SimSun" w:cs="SimSun"/>
                <w:sz w:val="20"/>
                <w:szCs w:val="20"/>
                <w:spacing w:val="6"/>
              </w:rPr>
              <w:t>污染源</w:t>
            </w:r>
          </w:p>
        </w:tc>
        <w:tc>
          <w:tcPr>
            <w:tcW w:w="1111" w:type="dxa"/>
            <w:vAlign w:val="top"/>
          </w:tcPr>
          <w:p>
            <w:pPr>
              <w:ind w:left="144"/>
              <w:spacing w:before="33" w:line="229" w:lineRule="auto"/>
              <w:rPr>
                <w:rFonts w:ascii="SimSun" w:hAnsi="SimSun" w:eastAsia="SimSun" w:cs="SimSun"/>
                <w:sz w:val="20"/>
                <w:szCs w:val="20"/>
              </w:rPr>
            </w:pPr>
            <w:r>
              <w:rPr>
                <w:rFonts w:ascii="SimSun" w:hAnsi="SimSun" w:eastAsia="SimSun" w:cs="SimSun"/>
                <w:sz w:val="20"/>
                <w:szCs w:val="20"/>
                <w:spacing w:val="6"/>
              </w:rPr>
              <w:t>治理前噪</w:t>
            </w:r>
          </w:p>
          <w:p>
            <w:pPr>
              <w:pStyle w:val="TableText"/>
              <w:ind w:left="289" w:right="288" w:firstLine="65"/>
              <w:spacing w:before="26" w:line="234" w:lineRule="auto"/>
              <w:rPr/>
            </w:pPr>
            <w:r>
              <w:rPr>
                <w:rFonts w:ascii="SimSun" w:hAnsi="SimSun" w:eastAsia="SimSun" w:cs="SimSun"/>
                <w:spacing w:val="2"/>
              </w:rPr>
              <w:t>声级</w:t>
            </w:r>
            <w:r>
              <w:rPr/>
              <w:t>dB</w:t>
            </w:r>
            <w:r>
              <w:rPr>
                <w:spacing w:val="5"/>
              </w:rPr>
              <w:t>(A)</w:t>
            </w:r>
          </w:p>
        </w:tc>
        <w:tc>
          <w:tcPr>
            <w:tcW w:w="4375" w:type="dxa"/>
            <w:vAlign w:val="top"/>
          </w:tcPr>
          <w:p>
            <w:pPr>
              <w:ind w:left="1564"/>
              <w:spacing w:before="291" w:line="228" w:lineRule="auto"/>
              <w:rPr>
                <w:rFonts w:ascii="SimSun" w:hAnsi="SimSun" w:eastAsia="SimSun" w:cs="SimSun"/>
                <w:sz w:val="20"/>
                <w:szCs w:val="20"/>
              </w:rPr>
            </w:pPr>
            <w:r>
              <w:rPr>
                <w:rFonts w:ascii="SimSun" w:hAnsi="SimSun" w:eastAsia="SimSun" w:cs="SimSun"/>
                <w:sz w:val="20"/>
                <w:szCs w:val="20"/>
                <w:spacing w:val="7"/>
              </w:rPr>
              <w:t>污染防治措施</w:t>
            </w:r>
          </w:p>
        </w:tc>
        <w:tc>
          <w:tcPr>
            <w:tcW w:w="1804" w:type="dxa"/>
            <w:vAlign w:val="top"/>
          </w:tcPr>
          <w:p>
            <w:pPr>
              <w:pStyle w:val="TableText"/>
              <w:ind w:left="124" w:right="113" w:hanging="4"/>
              <w:spacing w:before="154" w:line="249" w:lineRule="auto"/>
              <w:rPr/>
            </w:pPr>
            <w:r>
              <w:rPr>
                <w:rFonts w:ascii="SimSun" w:hAnsi="SimSun" w:eastAsia="SimSun" w:cs="SimSun"/>
                <w:spacing w:val="3"/>
              </w:rPr>
              <w:t>治理后厂房外</w:t>
            </w:r>
            <w:r>
              <w:rPr>
                <w:rFonts w:ascii="SimSun" w:hAnsi="SimSun" w:eastAsia="SimSun" w:cs="SimSun"/>
                <w:spacing w:val="-16"/>
              </w:rPr>
              <w:t xml:space="preserve"> </w:t>
            </w:r>
            <w:r>
              <w:rPr>
                <w:spacing w:val="3"/>
              </w:rPr>
              <w:t>1m</w:t>
            </w:r>
            <w:r>
              <w:rPr>
                <w:rFonts w:ascii="SimSun" w:hAnsi="SimSun" w:eastAsia="SimSun" w:cs="SimSun"/>
                <w:spacing w:val="3"/>
              </w:rPr>
              <w:t>噪声</w:t>
            </w:r>
            <w:r>
              <w:rPr>
                <w:rFonts w:ascii="SimSun" w:hAnsi="SimSun" w:eastAsia="SimSun" w:cs="SimSun"/>
                <w:spacing w:val="-38"/>
              </w:rPr>
              <w:t xml:space="preserve"> </w:t>
            </w:r>
            <w:r>
              <w:rPr/>
              <w:t>dB</w:t>
            </w:r>
            <w:r>
              <w:rPr>
                <w:spacing w:val="3"/>
              </w:rPr>
              <w:t>(A)</w:t>
            </w:r>
          </w:p>
        </w:tc>
      </w:tr>
      <w:tr>
        <w:trPr>
          <w:trHeight w:val="657" w:hRule="atLeast"/>
        </w:trPr>
        <w:tc>
          <w:tcPr>
            <w:tcW w:w="573" w:type="dxa"/>
            <w:vAlign w:val="top"/>
            <w:vMerge w:val="restart"/>
            <w:textDirection w:val="tbRlV"/>
            <w:tcBorders>
              <w:bottom w:val="nil"/>
            </w:tcBorders>
          </w:tcPr>
          <w:p>
            <w:pPr>
              <w:ind w:left="142"/>
              <w:spacing w:before="181" w:line="217" w:lineRule="auto"/>
              <w:rPr>
                <w:rFonts w:ascii="SimSun" w:hAnsi="SimSun" w:eastAsia="SimSun" w:cs="SimSun"/>
                <w:sz w:val="20"/>
                <w:szCs w:val="20"/>
              </w:rPr>
            </w:pPr>
            <w:r>
              <w:rPr>
                <w:rFonts w:ascii="SimSun" w:hAnsi="SimSun" w:eastAsia="SimSun" w:cs="SimSun"/>
                <w:sz w:val="20"/>
                <w:szCs w:val="20"/>
                <w:spacing w:val="8"/>
              </w:rPr>
              <w:t>工</w:t>
            </w:r>
            <w:r>
              <w:rPr>
                <w:rFonts w:ascii="SimSun" w:hAnsi="SimSun" w:eastAsia="SimSun" w:cs="SimSun"/>
                <w:sz w:val="20"/>
                <w:szCs w:val="20"/>
                <w:spacing w:val="-36"/>
              </w:rPr>
              <w:t xml:space="preserve"> </w:t>
            </w:r>
            <w:r>
              <w:rPr>
                <w:rFonts w:ascii="SimSun" w:hAnsi="SimSun" w:eastAsia="SimSun" w:cs="SimSun"/>
                <w:sz w:val="20"/>
                <w:szCs w:val="20"/>
                <w:spacing w:val="8"/>
              </w:rPr>
              <w:t>业</w:t>
            </w:r>
            <w:r>
              <w:rPr>
                <w:rFonts w:ascii="SimSun" w:hAnsi="SimSun" w:eastAsia="SimSun" w:cs="SimSun"/>
                <w:sz w:val="20"/>
                <w:szCs w:val="20"/>
                <w:spacing w:val="-38"/>
              </w:rPr>
              <w:t xml:space="preserve"> </w:t>
            </w:r>
            <w:r>
              <w:rPr>
                <w:rFonts w:ascii="SimSun" w:hAnsi="SimSun" w:eastAsia="SimSun" w:cs="SimSun"/>
                <w:sz w:val="20"/>
                <w:szCs w:val="20"/>
                <w:spacing w:val="8"/>
              </w:rPr>
              <w:t>场</w:t>
            </w:r>
            <w:r>
              <w:rPr>
                <w:rFonts w:ascii="SimSun" w:hAnsi="SimSun" w:eastAsia="SimSun" w:cs="SimSun"/>
                <w:sz w:val="20"/>
                <w:szCs w:val="20"/>
                <w:spacing w:val="-35"/>
              </w:rPr>
              <w:t xml:space="preserve"> </w:t>
            </w:r>
            <w:r>
              <w:rPr>
                <w:rFonts w:ascii="SimSun" w:hAnsi="SimSun" w:eastAsia="SimSun" w:cs="SimSun"/>
                <w:sz w:val="20"/>
                <w:szCs w:val="20"/>
                <w:spacing w:val="8"/>
              </w:rPr>
              <w:t>地</w:t>
            </w:r>
          </w:p>
        </w:tc>
        <w:tc>
          <w:tcPr>
            <w:tcW w:w="1427" w:type="dxa"/>
            <w:vAlign w:val="top"/>
          </w:tcPr>
          <w:p>
            <w:pPr>
              <w:ind w:left="295"/>
              <w:spacing w:before="219" w:line="227" w:lineRule="auto"/>
              <w:rPr>
                <w:rFonts w:ascii="SimSun" w:hAnsi="SimSun" w:eastAsia="SimSun" w:cs="SimSun"/>
                <w:sz w:val="20"/>
                <w:szCs w:val="20"/>
              </w:rPr>
            </w:pPr>
            <w:r>
              <w:rPr>
                <w:rFonts w:ascii="SimSun" w:hAnsi="SimSun" w:eastAsia="SimSun" w:cs="SimSun"/>
                <w:sz w:val="20"/>
                <w:szCs w:val="20"/>
                <w:spacing w:val="7"/>
              </w:rPr>
              <w:t>机修车间</w:t>
            </w:r>
          </w:p>
        </w:tc>
        <w:tc>
          <w:tcPr>
            <w:tcW w:w="1111" w:type="dxa"/>
            <w:vAlign w:val="top"/>
          </w:tcPr>
          <w:p>
            <w:pPr>
              <w:pStyle w:val="TableText"/>
              <w:ind w:left="453"/>
              <w:spacing w:before="255" w:line="195" w:lineRule="auto"/>
              <w:rPr/>
            </w:pPr>
            <w:r>
              <w:rPr/>
              <w:t>95</w:t>
            </w:r>
          </w:p>
        </w:tc>
        <w:tc>
          <w:tcPr>
            <w:tcW w:w="4375" w:type="dxa"/>
            <w:vAlign w:val="top"/>
          </w:tcPr>
          <w:p>
            <w:pPr>
              <w:ind w:left="110" w:right="153" w:firstLine="2"/>
              <w:spacing w:before="55" w:line="273" w:lineRule="auto"/>
              <w:rPr>
                <w:rFonts w:ascii="SimSun" w:hAnsi="SimSun" w:eastAsia="SimSun" w:cs="SimSun"/>
                <w:sz w:val="20"/>
                <w:szCs w:val="20"/>
              </w:rPr>
            </w:pPr>
            <w:r>
              <w:rPr>
                <w:rFonts w:ascii="SimSun" w:hAnsi="SimSun" w:eastAsia="SimSun" w:cs="SimSun"/>
                <w:sz w:val="20"/>
                <w:szCs w:val="20"/>
                <w:spacing w:val="12"/>
              </w:rPr>
              <w:t>厂房封闭安装</w:t>
            </w:r>
            <w:r>
              <w:rPr>
                <w:rFonts w:ascii="SimSun" w:hAnsi="SimSun" w:eastAsia="SimSun" w:cs="SimSun"/>
                <w:sz w:val="20"/>
                <w:szCs w:val="20"/>
                <w:spacing w:val="-52"/>
              </w:rPr>
              <w:t xml:space="preserve"> </w:t>
            </w:r>
            <w:r>
              <w:rPr>
                <w:rFonts w:ascii="SimSun" w:hAnsi="SimSun" w:eastAsia="SimSun" w:cs="SimSun"/>
                <w:sz w:val="20"/>
                <w:szCs w:val="20"/>
                <w:spacing w:val="12"/>
              </w:rPr>
              <w:t>隔声</w:t>
            </w:r>
            <w:r>
              <w:rPr>
                <w:rFonts w:ascii="SimSun" w:hAnsi="SimSun" w:eastAsia="SimSun" w:cs="SimSun"/>
                <w:sz w:val="20"/>
                <w:szCs w:val="20"/>
                <w:spacing w:val="-47"/>
              </w:rPr>
              <w:t xml:space="preserve"> </w:t>
            </w:r>
            <w:r>
              <w:rPr>
                <w:rFonts w:ascii="SimSun" w:hAnsi="SimSun" w:eastAsia="SimSun" w:cs="SimSun"/>
                <w:sz w:val="20"/>
                <w:szCs w:val="20"/>
                <w:spacing w:val="12"/>
              </w:rPr>
              <w:t>门窗</w:t>
            </w:r>
            <w:r>
              <w:rPr>
                <w:rFonts w:ascii="SimSun" w:hAnsi="SimSun" w:eastAsia="SimSun" w:cs="SimSun"/>
                <w:sz w:val="20"/>
                <w:szCs w:val="20"/>
                <w:spacing w:val="-58"/>
              </w:rPr>
              <w:t xml:space="preserve"> </w:t>
            </w:r>
            <w:r>
              <w:rPr>
                <w:rFonts w:ascii="SimSun" w:hAnsi="SimSun" w:eastAsia="SimSun" w:cs="SimSun"/>
                <w:sz w:val="20"/>
                <w:szCs w:val="20"/>
                <w:spacing w:val="12"/>
              </w:rPr>
              <w:t>隔声</w:t>
            </w:r>
            <w:r>
              <w:rPr>
                <w:rFonts w:ascii="SimSun" w:hAnsi="SimSun" w:eastAsia="SimSun" w:cs="SimSun"/>
                <w:sz w:val="20"/>
                <w:szCs w:val="20"/>
                <w:spacing w:val="-54"/>
              </w:rPr>
              <w:t xml:space="preserve"> </w:t>
            </w:r>
            <w:r>
              <w:rPr>
                <w:rFonts w:ascii="SimSun" w:hAnsi="SimSun" w:eastAsia="SimSun" w:cs="SimSun"/>
                <w:sz w:val="20"/>
                <w:szCs w:val="20"/>
                <w:spacing w:val="12"/>
              </w:rPr>
              <w:t>降噪</w:t>
            </w:r>
            <w:r>
              <w:rPr>
                <w:rFonts w:ascii="SimSun" w:hAnsi="SimSun" w:eastAsia="SimSun" w:cs="SimSun"/>
                <w:sz w:val="20"/>
                <w:szCs w:val="20"/>
                <w:spacing w:val="-58"/>
              </w:rPr>
              <w:t xml:space="preserve"> </w:t>
            </w:r>
            <w:r>
              <w:rPr>
                <w:rFonts w:ascii="SimSun" w:hAnsi="SimSun" w:eastAsia="SimSun" w:cs="SimSun"/>
                <w:sz w:val="20"/>
                <w:szCs w:val="20"/>
                <w:spacing w:val="12"/>
              </w:rPr>
              <w:t>、室</w:t>
            </w:r>
            <w:r>
              <w:rPr>
                <w:rFonts w:ascii="SimSun" w:hAnsi="SimSun" w:eastAsia="SimSun" w:cs="SimSun"/>
                <w:sz w:val="20"/>
                <w:szCs w:val="20"/>
                <w:spacing w:val="-45"/>
              </w:rPr>
              <w:t xml:space="preserve"> </w:t>
            </w:r>
            <w:r>
              <w:rPr>
                <w:rFonts w:ascii="SimSun" w:hAnsi="SimSun" w:eastAsia="SimSun" w:cs="SimSun"/>
                <w:sz w:val="20"/>
                <w:szCs w:val="20"/>
                <w:spacing w:val="12"/>
              </w:rPr>
              <w:t>内墙</w:t>
            </w:r>
            <w:r>
              <w:rPr>
                <w:rFonts w:ascii="SimSun" w:hAnsi="SimSun" w:eastAsia="SimSun" w:cs="SimSun"/>
                <w:sz w:val="20"/>
                <w:szCs w:val="20"/>
                <w:spacing w:val="17"/>
              </w:rPr>
              <w:t>壁</w:t>
            </w:r>
            <w:r>
              <w:rPr>
                <w:rFonts w:ascii="SimSun" w:hAnsi="SimSun" w:eastAsia="SimSun" w:cs="SimSun"/>
                <w:sz w:val="20"/>
                <w:szCs w:val="20"/>
                <w:spacing w:val="-49"/>
              </w:rPr>
              <w:t xml:space="preserve"> </w:t>
            </w:r>
            <w:r>
              <w:rPr>
                <w:rFonts w:ascii="SimSun" w:hAnsi="SimSun" w:eastAsia="SimSun" w:cs="SimSun"/>
                <w:sz w:val="20"/>
                <w:szCs w:val="20"/>
                <w:spacing w:val="17"/>
              </w:rPr>
              <w:t>、顶棚进行吸声处理</w:t>
            </w:r>
            <w:r>
              <w:rPr>
                <w:rFonts w:ascii="SimSun" w:hAnsi="SimSun" w:eastAsia="SimSun" w:cs="SimSun"/>
                <w:sz w:val="20"/>
                <w:szCs w:val="20"/>
                <w:spacing w:val="-53"/>
              </w:rPr>
              <w:t xml:space="preserve"> </w:t>
            </w:r>
            <w:r>
              <w:rPr>
                <w:rFonts w:ascii="SimSun" w:hAnsi="SimSun" w:eastAsia="SimSun" w:cs="SimSun"/>
                <w:sz w:val="20"/>
                <w:szCs w:val="20"/>
                <w:spacing w:val="17"/>
              </w:rPr>
              <w:t>，</w:t>
            </w:r>
            <w:r>
              <w:rPr>
                <w:rFonts w:ascii="SimSun" w:hAnsi="SimSun" w:eastAsia="SimSun" w:cs="SimSun"/>
                <w:sz w:val="20"/>
                <w:szCs w:val="20"/>
                <w:spacing w:val="-59"/>
              </w:rPr>
              <w:t xml:space="preserve"> </w:t>
            </w:r>
            <w:r>
              <w:rPr>
                <w:rFonts w:ascii="SimSun" w:hAnsi="SimSun" w:eastAsia="SimSun" w:cs="SimSun"/>
                <w:sz w:val="20"/>
                <w:szCs w:val="20"/>
                <w:spacing w:val="17"/>
              </w:rPr>
              <w:t>夜</w:t>
            </w:r>
            <w:r>
              <w:rPr>
                <w:rFonts w:ascii="SimSun" w:hAnsi="SimSun" w:eastAsia="SimSun" w:cs="SimSun"/>
                <w:sz w:val="20"/>
                <w:szCs w:val="20"/>
                <w:spacing w:val="-54"/>
              </w:rPr>
              <w:t xml:space="preserve"> </w:t>
            </w:r>
            <w:r>
              <w:rPr>
                <w:rFonts w:ascii="SimSun" w:hAnsi="SimSun" w:eastAsia="SimSun" w:cs="SimSun"/>
                <w:sz w:val="20"/>
                <w:szCs w:val="20"/>
                <w:spacing w:val="17"/>
              </w:rPr>
              <w:t>间停止工作</w:t>
            </w:r>
          </w:p>
        </w:tc>
        <w:tc>
          <w:tcPr>
            <w:tcW w:w="1804" w:type="dxa"/>
            <w:vAlign w:val="top"/>
          </w:tcPr>
          <w:p>
            <w:pPr>
              <w:pStyle w:val="TableText"/>
              <w:ind w:left="799"/>
              <w:spacing w:before="258" w:line="192" w:lineRule="auto"/>
              <w:rPr/>
            </w:pPr>
            <w:r>
              <w:rPr>
                <w:spacing w:val="2"/>
              </w:rPr>
              <w:t>75</w:t>
            </w:r>
          </w:p>
        </w:tc>
      </w:tr>
      <w:tr>
        <w:trPr>
          <w:trHeight w:val="657" w:hRule="atLeast"/>
        </w:trPr>
        <w:tc>
          <w:tcPr>
            <w:tcW w:w="573" w:type="dxa"/>
            <w:vAlign w:val="top"/>
            <w:vMerge w:val="continue"/>
            <w:textDirection w:val="tbRlV"/>
            <w:tcBorders>
              <w:top w:val="nil"/>
            </w:tcBorders>
          </w:tcPr>
          <w:p>
            <w:pPr>
              <w:rPr>
                <w:rFonts w:ascii="Arial"/>
                <w:sz w:val="21"/>
              </w:rPr>
            </w:pPr>
            <w:r/>
          </w:p>
        </w:tc>
        <w:tc>
          <w:tcPr>
            <w:tcW w:w="1427" w:type="dxa"/>
            <w:vAlign w:val="top"/>
          </w:tcPr>
          <w:p>
            <w:pPr>
              <w:ind w:left="191"/>
              <w:spacing w:before="219" w:line="228" w:lineRule="auto"/>
              <w:rPr>
                <w:rFonts w:ascii="SimSun" w:hAnsi="SimSun" w:eastAsia="SimSun" w:cs="SimSun"/>
                <w:sz w:val="20"/>
                <w:szCs w:val="20"/>
              </w:rPr>
            </w:pPr>
            <w:r>
              <w:rPr>
                <w:rFonts w:ascii="SimSun" w:hAnsi="SimSun" w:eastAsia="SimSun" w:cs="SimSun"/>
                <w:sz w:val="20"/>
                <w:szCs w:val="20"/>
                <w:spacing w:val="7"/>
              </w:rPr>
              <w:t>各类水泵房</w:t>
            </w:r>
          </w:p>
        </w:tc>
        <w:tc>
          <w:tcPr>
            <w:tcW w:w="1111" w:type="dxa"/>
            <w:vAlign w:val="top"/>
          </w:tcPr>
          <w:p>
            <w:pPr>
              <w:pStyle w:val="TableText"/>
              <w:ind w:left="458"/>
              <w:spacing w:before="255" w:line="195" w:lineRule="auto"/>
              <w:rPr/>
            </w:pPr>
            <w:r>
              <w:rPr>
                <w:spacing w:val="-2"/>
              </w:rPr>
              <w:t>85</w:t>
            </w:r>
          </w:p>
        </w:tc>
        <w:tc>
          <w:tcPr>
            <w:tcW w:w="4375" w:type="dxa"/>
            <w:vAlign w:val="top"/>
          </w:tcPr>
          <w:p>
            <w:pPr>
              <w:ind w:left="110" w:right="153" w:firstLine="2"/>
              <w:spacing w:before="55" w:line="273" w:lineRule="auto"/>
              <w:rPr>
                <w:rFonts w:ascii="SimSun" w:hAnsi="SimSun" w:eastAsia="SimSun" w:cs="SimSun"/>
                <w:sz w:val="20"/>
                <w:szCs w:val="20"/>
              </w:rPr>
            </w:pPr>
            <w:r>
              <w:rPr>
                <w:rFonts w:ascii="SimSun" w:hAnsi="SimSun" w:eastAsia="SimSun" w:cs="SimSun"/>
                <w:sz w:val="20"/>
                <w:szCs w:val="20"/>
                <w:spacing w:val="20"/>
              </w:rPr>
              <w:t>水泵与进</w:t>
            </w:r>
            <w:r>
              <w:rPr>
                <w:rFonts w:ascii="SimSun" w:hAnsi="SimSun" w:eastAsia="SimSun" w:cs="SimSun"/>
                <w:sz w:val="20"/>
                <w:szCs w:val="20"/>
                <w:spacing w:val="-51"/>
              </w:rPr>
              <w:t xml:space="preserve"> </w:t>
            </w:r>
            <w:r>
              <w:rPr>
                <w:rFonts w:ascii="SimSun" w:hAnsi="SimSun" w:eastAsia="SimSun" w:cs="SimSun"/>
                <w:sz w:val="20"/>
                <w:szCs w:val="20"/>
                <w:spacing w:val="20"/>
              </w:rPr>
              <w:t>出口管道</w:t>
            </w:r>
            <w:r>
              <w:rPr>
                <w:rFonts w:ascii="SimSun" w:hAnsi="SimSun" w:eastAsia="SimSun" w:cs="SimSun"/>
                <w:sz w:val="20"/>
                <w:szCs w:val="20"/>
                <w:spacing w:val="-54"/>
              </w:rPr>
              <w:t xml:space="preserve"> </w:t>
            </w:r>
            <w:r>
              <w:rPr>
                <w:rFonts w:ascii="SimSun" w:hAnsi="SimSun" w:eastAsia="SimSun" w:cs="SimSun"/>
                <w:sz w:val="20"/>
                <w:szCs w:val="20"/>
                <w:spacing w:val="20"/>
              </w:rPr>
              <w:t>间安装软橡胶接头</w:t>
            </w:r>
            <w:r>
              <w:rPr>
                <w:rFonts w:ascii="SimSun" w:hAnsi="SimSun" w:eastAsia="SimSun" w:cs="SimSun"/>
                <w:sz w:val="20"/>
                <w:szCs w:val="20"/>
                <w:spacing w:val="-53"/>
              </w:rPr>
              <w:t xml:space="preserve"> </w:t>
            </w:r>
            <w:r>
              <w:rPr>
                <w:rFonts w:ascii="SimSun" w:hAnsi="SimSun" w:eastAsia="SimSun" w:cs="SimSun"/>
                <w:sz w:val="20"/>
                <w:szCs w:val="20"/>
                <w:spacing w:val="20"/>
              </w:rPr>
              <w:t>，泵</w:t>
            </w:r>
            <w:r>
              <w:rPr>
                <w:rFonts w:ascii="SimSun" w:hAnsi="SimSun" w:eastAsia="SimSun" w:cs="SimSun"/>
                <w:sz w:val="20"/>
                <w:szCs w:val="20"/>
                <w:spacing w:val="27"/>
              </w:rPr>
              <w:t>体基础设橡胶垫或弹簧减震动器</w:t>
            </w:r>
          </w:p>
        </w:tc>
        <w:tc>
          <w:tcPr>
            <w:tcW w:w="1804" w:type="dxa"/>
            <w:vAlign w:val="top"/>
          </w:tcPr>
          <w:p>
            <w:pPr>
              <w:pStyle w:val="TableText"/>
              <w:ind w:left="799"/>
              <w:spacing w:before="258" w:line="192" w:lineRule="auto"/>
              <w:rPr/>
            </w:pPr>
            <w:r>
              <w:rPr>
                <w:spacing w:val="2"/>
              </w:rPr>
              <w:t>75</w:t>
            </w:r>
          </w:p>
        </w:tc>
      </w:tr>
      <w:tr>
        <w:trPr>
          <w:trHeight w:val="549" w:hRule="atLeast"/>
        </w:trPr>
        <w:tc>
          <w:tcPr>
            <w:tcW w:w="573" w:type="dxa"/>
            <w:vAlign w:val="top"/>
            <w:vMerge w:val="restart"/>
            <w:textDirection w:val="tbRlV"/>
            <w:tcBorders>
              <w:bottom w:val="nil"/>
            </w:tcBorders>
          </w:tcPr>
          <w:p>
            <w:pPr>
              <w:ind w:left="1009"/>
              <w:spacing w:before="181" w:line="216" w:lineRule="auto"/>
              <w:rPr>
                <w:rFonts w:ascii="SimSun" w:hAnsi="SimSun" w:eastAsia="SimSun" w:cs="SimSun"/>
                <w:sz w:val="20"/>
                <w:szCs w:val="20"/>
              </w:rPr>
            </w:pPr>
            <w:r>
              <w:rPr>
                <w:rFonts w:ascii="SimSun" w:hAnsi="SimSun" w:eastAsia="SimSun" w:cs="SimSun"/>
                <w:sz w:val="20"/>
                <w:szCs w:val="20"/>
                <w:spacing w:val="8"/>
              </w:rPr>
              <w:t>采</w:t>
            </w:r>
            <w:r>
              <w:rPr>
                <w:rFonts w:ascii="SimSun" w:hAnsi="SimSun" w:eastAsia="SimSun" w:cs="SimSun"/>
                <w:sz w:val="20"/>
                <w:szCs w:val="20"/>
                <w:spacing w:val="-37"/>
              </w:rPr>
              <w:t xml:space="preserve"> </w:t>
            </w:r>
            <w:r>
              <w:rPr>
                <w:rFonts w:ascii="SimSun" w:hAnsi="SimSun" w:eastAsia="SimSun" w:cs="SimSun"/>
                <w:sz w:val="20"/>
                <w:szCs w:val="20"/>
                <w:spacing w:val="8"/>
              </w:rPr>
              <w:t>掘</w:t>
            </w:r>
            <w:r>
              <w:rPr>
                <w:rFonts w:ascii="SimSun" w:hAnsi="SimSun" w:eastAsia="SimSun" w:cs="SimSun"/>
                <w:sz w:val="20"/>
                <w:szCs w:val="20"/>
                <w:spacing w:val="-35"/>
              </w:rPr>
              <w:t xml:space="preserve"> </w:t>
            </w:r>
            <w:r>
              <w:rPr>
                <w:rFonts w:ascii="SimSun" w:hAnsi="SimSun" w:eastAsia="SimSun" w:cs="SimSun"/>
                <w:sz w:val="20"/>
                <w:szCs w:val="20"/>
                <w:spacing w:val="8"/>
              </w:rPr>
              <w:t>场</w:t>
            </w:r>
          </w:p>
        </w:tc>
        <w:tc>
          <w:tcPr>
            <w:tcW w:w="1427" w:type="dxa"/>
            <w:vAlign w:val="top"/>
          </w:tcPr>
          <w:p>
            <w:pPr>
              <w:ind w:left="606" w:right="192" w:hanging="384"/>
              <w:spacing w:before="29" w:line="235" w:lineRule="auto"/>
              <w:rPr>
                <w:rFonts w:ascii="SimSun" w:hAnsi="SimSun" w:eastAsia="SimSun" w:cs="SimSun"/>
                <w:sz w:val="20"/>
                <w:szCs w:val="20"/>
              </w:rPr>
            </w:pPr>
            <w:r>
              <w:rPr>
                <w:rFonts w:ascii="SimSun" w:hAnsi="SimSun" w:eastAsia="SimSun" w:cs="SimSun"/>
                <w:sz w:val="20"/>
                <w:szCs w:val="20"/>
                <w:spacing w:val="1"/>
              </w:rPr>
              <w:t>自移式破碎</w:t>
            </w:r>
            <w:r>
              <w:rPr>
                <w:rFonts w:ascii="SimSun" w:hAnsi="SimSun" w:eastAsia="SimSun" w:cs="SimSun"/>
                <w:sz w:val="20"/>
                <w:szCs w:val="20"/>
                <w:spacing w:val="1"/>
              </w:rPr>
              <w:t>机</w:t>
            </w:r>
          </w:p>
        </w:tc>
        <w:tc>
          <w:tcPr>
            <w:tcW w:w="1111" w:type="dxa"/>
            <w:vAlign w:val="top"/>
          </w:tcPr>
          <w:p>
            <w:pPr>
              <w:pStyle w:val="TableText"/>
              <w:ind w:left="458"/>
              <w:spacing w:before="200" w:line="195" w:lineRule="auto"/>
              <w:rPr/>
            </w:pPr>
            <w:r>
              <w:rPr>
                <w:spacing w:val="-2"/>
              </w:rPr>
              <w:t>89</w:t>
            </w:r>
          </w:p>
        </w:tc>
        <w:tc>
          <w:tcPr>
            <w:tcW w:w="4375" w:type="dxa"/>
            <w:vAlign w:val="top"/>
            <w:vMerge w:val="restart"/>
            <w:tcBorders>
              <w:bottom w:val="nil"/>
            </w:tcBorders>
          </w:tcPr>
          <w:p>
            <w:pPr>
              <w:spacing w:line="278" w:lineRule="auto"/>
              <w:rPr>
                <w:rFonts w:ascii="Arial"/>
                <w:sz w:val="21"/>
              </w:rPr>
            </w:pPr>
            <w:r/>
          </w:p>
          <w:p>
            <w:pPr>
              <w:ind w:left="109" w:right="99"/>
              <w:spacing w:before="65" w:line="251" w:lineRule="auto"/>
              <w:jc w:val="both"/>
              <w:rPr>
                <w:rFonts w:ascii="SimSun" w:hAnsi="SimSun" w:eastAsia="SimSun" w:cs="SimSun"/>
                <w:sz w:val="20"/>
                <w:szCs w:val="20"/>
              </w:rPr>
            </w:pPr>
            <w:r>
              <w:rPr>
                <w:rFonts w:ascii="SimSun" w:hAnsi="SimSun" w:eastAsia="SimSun" w:cs="SimSun"/>
                <w:sz w:val="20"/>
                <w:szCs w:val="20"/>
                <w:spacing w:val="8"/>
              </w:rPr>
              <w:t>在设备选型上，购置内燃设备时选用低排放、</w:t>
            </w:r>
            <w:r>
              <w:rPr>
                <w:rFonts w:ascii="SimSun" w:hAnsi="SimSun" w:eastAsia="SimSun" w:cs="SimSun"/>
                <w:sz w:val="20"/>
                <w:szCs w:val="20"/>
                <w:spacing w:val="7"/>
              </w:rPr>
              <w:t>低噪音发动机，将设备噪音指标不超过预定值</w:t>
            </w:r>
            <w:r>
              <w:rPr>
                <w:rFonts w:ascii="SimSun" w:hAnsi="SimSun" w:eastAsia="SimSun" w:cs="SimSun"/>
                <w:sz w:val="20"/>
                <w:szCs w:val="20"/>
                <w:spacing w:val="7"/>
              </w:rPr>
              <w:t>做为设备必须满足的技术条件之一，从噪声源</w:t>
            </w:r>
            <w:r>
              <w:rPr>
                <w:rFonts w:ascii="SimSun" w:hAnsi="SimSun" w:eastAsia="SimSun" w:cs="SimSun"/>
                <w:sz w:val="20"/>
                <w:szCs w:val="20"/>
                <w:spacing w:val="6"/>
              </w:rPr>
              <w:t>头上降噪。</w:t>
            </w:r>
          </w:p>
          <w:p>
            <w:pPr>
              <w:ind w:left="110" w:right="53" w:firstLine="1"/>
              <w:spacing w:before="1" w:line="252" w:lineRule="auto"/>
              <w:jc w:val="both"/>
              <w:rPr>
                <w:rFonts w:ascii="SimSun" w:hAnsi="SimSun" w:eastAsia="SimSun" w:cs="SimSun"/>
                <w:sz w:val="20"/>
                <w:szCs w:val="20"/>
              </w:rPr>
            </w:pPr>
            <w:r>
              <w:rPr>
                <w:rFonts w:ascii="SimSun" w:hAnsi="SimSun" w:eastAsia="SimSun" w:cs="SimSun"/>
                <w:sz w:val="20"/>
                <w:szCs w:val="20"/>
                <w:spacing w:val="10"/>
              </w:rPr>
              <w:t>现场工程设备的消声器配备齐全并保持完好，</w:t>
            </w:r>
            <w:r>
              <w:rPr>
                <w:rFonts w:ascii="SimSun" w:hAnsi="SimSun" w:eastAsia="SimSun" w:cs="SimSun"/>
                <w:sz w:val="20"/>
                <w:szCs w:val="20"/>
              </w:rPr>
              <w:t>通过消声器降噪；密封驾驶室，提高隔音效果，</w:t>
            </w:r>
            <w:r>
              <w:rPr>
                <w:rFonts w:ascii="SimSun" w:hAnsi="SimSun" w:eastAsia="SimSun" w:cs="SimSun"/>
                <w:sz w:val="20"/>
                <w:szCs w:val="20"/>
                <w:spacing w:val="9"/>
              </w:rPr>
              <w:t>降低驾驶室内噪音；发放劳动保护用品耳塞。</w:t>
            </w:r>
          </w:p>
        </w:tc>
        <w:tc>
          <w:tcPr>
            <w:tcW w:w="1804" w:type="dxa"/>
            <w:vAlign w:val="top"/>
          </w:tcPr>
          <w:p>
            <w:pPr>
              <w:pStyle w:val="TableText"/>
              <w:ind w:left="799"/>
              <w:spacing w:before="203" w:line="192" w:lineRule="auto"/>
              <w:rPr/>
            </w:pPr>
            <w:r>
              <w:rPr>
                <w:spacing w:val="2"/>
              </w:rPr>
              <w:t>77</w:t>
            </w:r>
          </w:p>
        </w:tc>
      </w:tr>
      <w:tr>
        <w:trPr>
          <w:trHeight w:val="549" w:hRule="atLeast"/>
        </w:trPr>
        <w:tc>
          <w:tcPr>
            <w:tcW w:w="573" w:type="dxa"/>
            <w:vAlign w:val="top"/>
            <w:vMerge w:val="continue"/>
            <w:textDirection w:val="tbRlV"/>
            <w:tcBorders>
              <w:top w:val="nil"/>
              <w:bottom w:val="nil"/>
            </w:tcBorders>
          </w:tcPr>
          <w:p>
            <w:pPr>
              <w:rPr>
                <w:rFonts w:ascii="Arial"/>
                <w:sz w:val="21"/>
              </w:rPr>
            </w:pPr>
            <w:r/>
          </w:p>
        </w:tc>
        <w:tc>
          <w:tcPr>
            <w:tcW w:w="1427" w:type="dxa"/>
            <w:vAlign w:val="top"/>
          </w:tcPr>
          <w:p>
            <w:pPr>
              <w:ind w:left="606" w:right="192" w:hanging="415"/>
              <w:spacing w:before="29" w:line="235" w:lineRule="auto"/>
              <w:rPr>
                <w:rFonts w:ascii="SimSun" w:hAnsi="SimSun" w:eastAsia="SimSun" w:cs="SimSun"/>
                <w:sz w:val="20"/>
                <w:szCs w:val="20"/>
              </w:rPr>
            </w:pPr>
            <w:r>
              <w:rPr>
                <w:rFonts w:ascii="SimSun" w:hAnsi="SimSun" w:eastAsia="SimSun" w:cs="SimSun"/>
                <w:sz w:val="20"/>
                <w:szCs w:val="20"/>
                <w:spacing w:val="7"/>
              </w:rPr>
              <w:t>半固定破碎</w:t>
            </w:r>
            <w:r>
              <w:rPr>
                <w:rFonts w:ascii="SimSun" w:hAnsi="SimSun" w:eastAsia="SimSun" w:cs="SimSun"/>
                <w:sz w:val="20"/>
                <w:szCs w:val="20"/>
                <w:spacing w:val="1"/>
              </w:rPr>
              <w:t>机</w:t>
            </w:r>
          </w:p>
        </w:tc>
        <w:tc>
          <w:tcPr>
            <w:tcW w:w="1111" w:type="dxa"/>
            <w:vAlign w:val="top"/>
          </w:tcPr>
          <w:p>
            <w:pPr>
              <w:pStyle w:val="TableText"/>
              <w:ind w:left="453"/>
              <w:spacing w:before="203" w:line="195" w:lineRule="auto"/>
              <w:rPr/>
            </w:pPr>
            <w:r>
              <w:rPr/>
              <w:t>93</w:t>
            </w:r>
          </w:p>
        </w:tc>
        <w:tc>
          <w:tcPr>
            <w:tcW w:w="4375"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206" w:line="192" w:lineRule="auto"/>
              <w:rPr/>
            </w:pPr>
            <w:r>
              <w:rPr>
                <w:spacing w:val="2"/>
              </w:rPr>
              <w:t>77</w:t>
            </w:r>
          </w:p>
        </w:tc>
      </w:tr>
      <w:tr>
        <w:trPr>
          <w:trHeight w:val="331" w:hRule="atLeast"/>
        </w:trPr>
        <w:tc>
          <w:tcPr>
            <w:tcW w:w="573" w:type="dxa"/>
            <w:vAlign w:val="top"/>
            <w:vMerge w:val="continue"/>
            <w:textDirection w:val="tbRlV"/>
            <w:tcBorders>
              <w:top w:val="nil"/>
              <w:bottom w:val="nil"/>
            </w:tcBorders>
          </w:tcPr>
          <w:p>
            <w:pPr>
              <w:rPr>
                <w:rFonts w:ascii="Arial"/>
                <w:sz w:val="21"/>
              </w:rPr>
            </w:pPr>
            <w:r/>
          </w:p>
        </w:tc>
        <w:tc>
          <w:tcPr>
            <w:tcW w:w="1427" w:type="dxa"/>
            <w:vAlign w:val="top"/>
          </w:tcPr>
          <w:p>
            <w:pPr>
              <w:ind w:left="402"/>
              <w:spacing w:before="57" w:line="227" w:lineRule="auto"/>
              <w:rPr>
                <w:rFonts w:ascii="SimSun" w:hAnsi="SimSun" w:eastAsia="SimSun" w:cs="SimSun"/>
                <w:sz w:val="20"/>
                <w:szCs w:val="20"/>
              </w:rPr>
            </w:pPr>
            <w:r>
              <w:rPr>
                <w:rFonts w:ascii="SimSun" w:hAnsi="SimSun" w:eastAsia="SimSun" w:cs="SimSun"/>
                <w:sz w:val="20"/>
                <w:szCs w:val="20"/>
                <w:spacing w:val="6"/>
              </w:rPr>
              <w:t>装载机</w:t>
            </w:r>
          </w:p>
        </w:tc>
        <w:tc>
          <w:tcPr>
            <w:tcW w:w="1111" w:type="dxa"/>
            <w:vAlign w:val="top"/>
          </w:tcPr>
          <w:p>
            <w:pPr>
              <w:pStyle w:val="TableText"/>
              <w:ind w:left="453"/>
              <w:spacing w:before="93" w:line="195" w:lineRule="auto"/>
              <w:rPr/>
            </w:pPr>
            <w:r>
              <w:rPr/>
              <w:t>90</w:t>
            </w:r>
          </w:p>
        </w:tc>
        <w:tc>
          <w:tcPr>
            <w:tcW w:w="4375"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6" w:line="192" w:lineRule="auto"/>
              <w:rPr/>
            </w:pPr>
            <w:r>
              <w:rPr>
                <w:spacing w:val="2"/>
              </w:rPr>
              <w:t>75</w:t>
            </w:r>
          </w:p>
        </w:tc>
      </w:tr>
      <w:tr>
        <w:trPr>
          <w:trHeight w:val="330" w:hRule="atLeast"/>
        </w:trPr>
        <w:tc>
          <w:tcPr>
            <w:tcW w:w="573" w:type="dxa"/>
            <w:vAlign w:val="top"/>
            <w:vMerge w:val="continue"/>
            <w:textDirection w:val="tbRlV"/>
            <w:tcBorders>
              <w:top w:val="nil"/>
              <w:bottom w:val="nil"/>
            </w:tcBorders>
          </w:tcPr>
          <w:p>
            <w:pPr>
              <w:rPr>
                <w:rFonts w:ascii="Arial"/>
                <w:sz w:val="21"/>
              </w:rPr>
            </w:pPr>
            <w:r/>
          </w:p>
        </w:tc>
        <w:tc>
          <w:tcPr>
            <w:tcW w:w="1427" w:type="dxa"/>
            <w:vAlign w:val="top"/>
          </w:tcPr>
          <w:p>
            <w:pPr>
              <w:ind w:left="402"/>
              <w:spacing w:before="57" w:line="227" w:lineRule="auto"/>
              <w:rPr>
                <w:rFonts w:ascii="SimSun" w:hAnsi="SimSun" w:eastAsia="SimSun" w:cs="SimSun"/>
                <w:sz w:val="20"/>
                <w:szCs w:val="20"/>
              </w:rPr>
            </w:pPr>
            <w:r>
              <w:rPr>
                <w:rFonts w:ascii="SimSun" w:hAnsi="SimSun" w:eastAsia="SimSun" w:cs="SimSun"/>
                <w:sz w:val="20"/>
                <w:szCs w:val="20"/>
                <w:spacing w:val="6"/>
              </w:rPr>
              <w:t>推土机</w:t>
            </w:r>
          </w:p>
        </w:tc>
        <w:tc>
          <w:tcPr>
            <w:tcW w:w="1111" w:type="dxa"/>
            <w:vAlign w:val="top"/>
          </w:tcPr>
          <w:p>
            <w:pPr>
              <w:pStyle w:val="TableText"/>
              <w:ind w:left="458"/>
              <w:spacing w:before="93" w:line="195" w:lineRule="auto"/>
              <w:rPr/>
            </w:pPr>
            <w:r>
              <w:rPr>
                <w:spacing w:val="-2"/>
              </w:rPr>
              <w:t>83</w:t>
            </w:r>
          </w:p>
        </w:tc>
        <w:tc>
          <w:tcPr>
            <w:tcW w:w="4375"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6" w:line="192" w:lineRule="auto"/>
              <w:rPr/>
            </w:pPr>
            <w:r>
              <w:rPr>
                <w:spacing w:val="2"/>
              </w:rPr>
              <w:t>77</w:t>
            </w:r>
          </w:p>
        </w:tc>
      </w:tr>
      <w:tr>
        <w:trPr>
          <w:trHeight w:val="330" w:hRule="atLeast"/>
        </w:trPr>
        <w:tc>
          <w:tcPr>
            <w:tcW w:w="573" w:type="dxa"/>
            <w:vAlign w:val="top"/>
            <w:vMerge w:val="continue"/>
            <w:textDirection w:val="tbRlV"/>
            <w:tcBorders>
              <w:top w:val="nil"/>
              <w:bottom w:val="nil"/>
            </w:tcBorders>
          </w:tcPr>
          <w:p>
            <w:pPr>
              <w:rPr>
                <w:rFonts w:ascii="Arial"/>
                <w:sz w:val="21"/>
              </w:rPr>
            </w:pPr>
            <w:r/>
          </w:p>
        </w:tc>
        <w:tc>
          <w:tcPr>
            <w:tcW w:w="1427" w:type="dxa"/>
            <w:vAlign w:val="top"/>
          </w:tcPr>
          <w:p>
            <w:pPr>
              <w:ind w:left="402"/>
              <w:spacing w:before="58" w:line="227" w:lineRule="auto"/>
              <w:rPr>
                <w:rFonts w:ascii="SimSun" w:hAnsi="SimSun" w:eastAsia="SimSun" w:cs="SimSun"/>
                <w:sz w:val="20"/>
                <w:szCs w:val="20"/>
              </w:rPr>
            </w:pPr>
            <w:r>
              <w:rPr>
                <w:rFonts w:ascii="SimSun" w:hAnsi="SimSun" w:eastAsia="SimSun" w:cs="SimSun"/>
                <w:sz w:val="20"/>
                <w:szCs w:val="20"/>
                <w:spacing w:val="6"/>
              </w:rPr>
              <w:t>排土机</w:t>
            </w:r>
          </w:p>
        </w:tc>
        <w:tc>
          <w:tcPr>
            <w:tcW w:w="1111" w:type="dxa"/>
            <w:vAlign w:val="top"/>
          </w:tcPr>
          <w:p>
            <w:pPr>
              <w:pStyle w:val="TableText"/>
              <w:ind w:left="458"/>
              <w:spacing w:before="94" w:line="195" w:lineRule="auto"/>
              <w:rPr/>
            </w:pPr>
            <w:r>
              <w:rPr>
                <w:spacing w:val="-2"/>
              </w:rPr>
              <w:t>89</w:t>
            </w:r>
          </w:p>
        </w:tc>
        <w:tc>
          <w:tcPr>
            <w:tcW w:w="4375"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7" w:line="192" w:lineRule="auto"/>
              <w:rPr/>
            </w:pPr>
            <w:r>
              <w:rPr>
                <w:spacing w:val="2"/>
              </w:rPr>
              <w:t>75</w:t>
            </w:r>
          </w:p>
        </w:tc>
      </w:tr>
      <w:tr>
        <w:trPr>
          <w:trHeight w:val="331" w:hRule="atLeast"/>
        </w:trPr>
        <w:tc>
          <w:tcPr>
            <w:tcW w:w="573" w:type="dxa"/>
            <w:vAlign w:val="top"/>
            <w:vMerge w:val="continue"/>
            <w:textDirection w:val="tbRlV"/>
            <w:tcBorders>
              <w:top w:val="nil"/>
              <w:bottom w:val="nil"/>
            </w:tcBorders>
          </w:tcPr>
          <w:p>
            <w:pPr>
              <w:rPr>
                <w:rFonts w:ascii="Arial"/>
                <w:sz w:val="21"/>
              </w:rPr>
            </w:pPr>
            <w:r/>
          </w:p>
        </w:tc>
        <w:tc>
          <w:tcPr>
            <w:tcW w:w="1427" w:type="dxa"/>
            <w:vAlign w:val="top"/>
          </w:tcPr>
          <w:p>
            <w:pPr>
              <w:ind w:left="330"/>
              <w:spacing w:before="59" w:line="228" w:lineRule="auto"/>
              <w:rPr>
                <w:rFonts w:ascii="SimSun" w:hAnsi="SimSun" w:eastAsia="SimSun" w:cs="SimSun"/>
                <w:sz w:val="20"/>
                <w:szCs w:val="20"/>
              </w:rPr>
            </w:pPr>
            <w:r>
              <w:rPr>
                <w:rFonts w:ascii="SimSun" w:hAnsi="SimSun" w:eastAsia="SimSun" w:cs="SimSun"/>
                <w:sz w:val="20"/>
                <w:szCs w:val="20"/>
                <w:spacing w:val="-2"/>
              </w:rPr>
              <w:t>自卸卡车</w:t>
            </w:r>
          </w:p>
        </w:tc>
        <w:tc>
          <w:tcPr>
            <w:tcW w:w="1111" w:type="dxa"/>
            <w:vAlign w:val="top"/>
          </w:tcPr>
          <w:p>
            <w:pPr>
              <w:pStyle w:val="TableText"/>
              <w:ind w:left="458"/>
              <w:spacing w:before="95" w:line="195" w:lineRule="auto"/>
              <w:rPr/>
            </w:pPr>
            <w:r>
              <w:rPr>
                <w:spacing w:val="-2"/>
              </w:rPr>
              <w:t>85</w:t>
            </w:r>
          </w:p>
        </w:tc>
        <w:tc>
          <w:tcPr>
            <w:tcW w:w="4375"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5" w:line="195" w:lineRule="auto"/>
              <w:rPr/>
            </w:pPr>
            <w:r>
              <w:rPr>
                <w:spacing w:val="2"/>
              </w:rPr>
              <w:t>70</w:t>
            </w:r>
          </w:p>
        </w:tc>
      </w:tr>
      <w:tr>
        <w:trPr>
          <w:trHeight w:val="335" w:hRule="atLeast"/>
        </w:trPr>
        <w:tc>
          <w:tcPr>
            <w:tcW w:w="573" w:type="dxa"/>
            <w:vAlign w:val="top"/>
            <w:vMerge w:val="continue"/>
            <w:textDirection w:val="tbRlV"/>
            <w:tcBorders>
              <w:top w:val="nil"/>
            </w:tcBorders>
          </w:tcPr>
          <w:p>
            <w:pPr>
              <w:rPr>
                <w:rFonts w:ascii="Arial"/>
                <w:sz w:val="21"/>
              </w:rPr>
            </w:pPr>
            <w:r/>
          </w:p>
        </w:tc>
        <w:tc>
          <w:tcPr>
            <w:tcW w:w="1427" w:type="dxa"/>
            <w:vAlign w:val="top"/>
          </w:tcPr>
          <w:p>
            <w:pPr>
              <w:ind w:left="401"/>
              <w:spacing w:before="59" w:line="227" w:lineRule="auto"/>
              <w:rPr>
                <w:rFonts w:ascii="SimSun" w:hAnsi="SimSun" w:eastAsia="SimSun" w:cs="SimSun"/>
                <w:sz w:val="20"/>
                <w:szCs w:val="20"/>
              </w:rPr>
            </w:pPr>
            <w:r>
              <w:rPr>
                <w:rFonts w:ascii="SimSun" w:hAnsi="SimSun" w:eastAsia="SimSun" w:cs="SimSun"/>
                <w:sz w:val="20"/>
                <w:szCs w:val="20"/>
                <w:spacing w:val="7"/>
              </w:rPr>
              <w:t>挖掘机</w:t>
            </w:r>
          </w:p>
        </w:tc>
        <w:tc>
          <w:tcPr>
            <w:tcW w:w="1111" w:type="dxa"/>
            <w:vAlign w:val="top"/>
          </w:tcPr>
          <w:p>
            <w:pPr>
              <w:pStyle w:val="TableText"/>
              <w:ind w:left="453"/>
              <w:spacing w:before="95" w:line="195" w:lineRule="auto"/>
              <w:rPr/>
            </w:pPr>
            <w:r>
              <w:rPr/>
              <w:t>92</w:t>
            </w:r>
          </w:p>
        </w:tc>
        <w:tc>
          <w:tcPr>
            <w:tcW w:w="4375" w:type="dxa"/>
            <w:vAlign w:val="top"/>
            <w:vMerge w:val="continue"/>
            <w:tcBorders>
              <w:top w:val="nil"/>
            </w:tcBorders>
          </w:tcPr>
          <w:p>
            <w:pPr>
              <w:rPr>
                <w:rFonts w:ascii="Arial"/>
                <w:sz w:val="21"/>
              </w:rPr>
            </w:pPr>
            <w:r/>
          </w:p>
        </w:tc>
        <w:tc>
          <w:tcPr>
            <w:tcW w:w="1804" w:type="dxa"/>
            <w:vAlign w:val="top"/>
          </w:tcPr>
          <w:p>
            <w:pPr>
              <w:pStyle w:val="TableText"/>
              <w:ind w:left="799"/>
              <w:spacing w:before="98" w:line="192" w:lineRule="auto"/>
              <w:rPr/>
            </w:pPr>
            <w:r>
              <w:rPr>
                <w:spacing w:val="2"/>
              </w:rPr>
              <w:t>77</w:t>
            </w:r>
          </w:p>
        </w:tc>
      </w:tr>
    </w:tbl>
    <w:p>
      <w:pPr>
        <w:pStyle w:val="BodyText"/>
        <w:spacing w:line="276" w:lineRule="auto"/>
        <w:rPr/>
      </w:pPr>
      <w:r/>
    </w:p>
    <w:p>
      <w:pPr>
        <w:pStyle w:val="BodyText"/>
        <w:spacing w:line="276" w:lineRule="auto"/>
        <w:rPr/>
      </w:pPr>
      <w:r/>
    </w:p>
    <w:p>
      <w:pPr>
        <w:ind w:left="606"/>
        <w:spacing w:before="78"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）噪声污染监测</w:t>
      </w:r>
    </w:p>
    <w:p>
      <w:pPr>
        <w:ind w:left="3699" w:right="3099" w:hanging="3065"/>
        <w:spacing w:before="154" w:line="355" w:lineRule="auto"/>
        <w:rPr>
          <w:rFonts w:ascii="SimHei" w:hAnsi="SimHei" w:eastAsia="SimHei" w:cs="SimHei"/>
          <w:sz w:val="24"/>
          <w:szCs w:val="24"/>
        </w:rPr>
      </w:pPr>
      <w:r>
        <w:rPr>
          <w:rFonts w:ascii="SimSun" w:hAnsi="SimSun" w:eastAsia="SimSun" w:cs="SimSun"/>
          <w:sz w:val="24"/>
          <w:szCs w:val="24"/>
          <w:spacing w:val="-3"/>
        </w:rPr>
        <w:t>白音华四号露天矿</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年噪声例行</w:t>
      </w:r>
      <w:r>
        <w:rPr>
          <w:rFonts w:ascii="SimSun" w:hAnsi="SimSun" w:eastAsia="SimSun" w:cs="SimSun"/>
          <w:sz w:val="24"/>
          <w:szCs w:val="24"/>
          <w:spacing w:val="-4"/>
        </w:rPr>
        <w:t>监测数据如下表。</w:t>
      </w:r>
      <w:r>
        <w:rPr>
          <w:rFonts w:ascii="SimHei" w:hAnsi="SimHei" w:eastAsia="SimHei" w:cs="SimHei"/>
          <w:sz w:val="24"/>
          <w:szCs w:val="24"/>
          <w:spacing w:val="-2"/>
        </w:rPr>
        <w:t>噪声监例行测结果</w:t>
      </w:r>
    </w:p>
    <w:p>
      <w:pPr>
        <w:ind w:left="117"/>
        <w:spacing w:before="1" w:line="225"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3-3-18</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759"/>
        <w:gridCol w:w="2262"/>
        <w:gridCol w:w="2269"/>
      </w:tblGrid>
      <w:tr>
        <w:trPr>
          <w:trHeight w:val="282" w:hRule="atLeast"/>
        </w:trPr>
        <w:tc>
          <w:tcPr>
            <w:tcW w:w="4759" w:type="dxa"/>
            <w:vAlign w:val="top"/>
            <w:vMerge w:val="restart"/>
            <w:tcBorders>
              <w:bottom w:val="nil"/>
            </w:tcBorders>
          </w:tcPr>
          <w:p>
            <w:pPr>
              <w:ind w:left="1967"/>
              <w:spacing w:before="228" w:line="228" w:lineRule="auto"/>
              <w:rPr>
                <w:rFonts w:ascii="SimSun" w:hAnsi="SimSun" w:eastAsia="SimSun" w:cs="SimSun"/>
                <w:sz w:val="20"/>
                <w:szCs w:val="20"/>
              </w:rPr>
            </w:pPr>
            <w:r>
              <w:rPr>
                <w:rFonts w:ascii="SimSun" w:hAnsi="SimSun" w:eastAsia="SimSun" w:cs="SimSun"/>
                <w:sz w:val="20"/>
                <w:szCs w:val="20"/>
                <w:spacing w:val="7"/>
              </w:rPr>
              <w:t>测点位置</w:t>
            </w:r>
          </w:p>
        </w:tc>
        <w:tc>
          <w:tcPr>
            <w:tcW w:w="2262" w:type="dxa"/>
            <w:vAlign w:val="top"/>
          </w:tcPr>
          <w:p>
            <w:pPr>
              <w:ind w:left="926"/>
              <w:spacing w:before="33" w:line="220" w:lineRule="auto"/>
              <w:rPr>
                <w:rFonts w:ascii="SimSun" w:hAnsi="SimSun" w:eastAsia="SimSun" w:cs="SimSun"/>
                <w:sz w:val="20"/>
                <w:szCs w:val="20"/>
              </w:rPr>
            </w:pPr>
            <w:r>
              <w:rPr>
                <w:rFonts w:ascii="SimSun" w:hAnsi="SimSun" w:eastAsia="SimSun" w:cs="SimSun"/>
                <w:sz w:val="20"/>
                <w:szCs w:val="20"/>
                <w:spacing w:val="5"/>
              </w:rPr>
              <w:t>昼间</w:t>
            </w:r>
          </w:p>
        </w:tc>
        <w:tc>
          <w:tcPr>
            <w:tcW w:w="2269" w:type="dxa"/>
            <w:vAlign w:val="top"/>
          </w:tcPr>
          <w:p>
            <w:pPr>
              <w:ind w:left="931"/>
              <w:spacing w:before="33" w:line="220" w:lineRule="auto"/>
              <w:rPr>
                <w:rFonts w:ascii="SimSun" w:hAnsi="SimSun" w:eastAsia="SimSun" w:cs="SimSun"/>
                <w:sz w:val="20"/>
                <w:szCs w:val="20"/>
              </w:rPr>
            </w:pPr>
            <w:r>
              <w:rPr>
                <w:rFonts w:ascii="SimSun" w:hAnsi="SimSun" w:eastAsia="SimSun" w:cs="SimSun"/>
                <w:sz w:val="20"/>
                <w:szCs w:val="20"/>
                <w:spacing w:val="3"/>
              </w:rPr>
              <w:t>夜间</w:t>
            </w:r>
          </w:p>
        </w:tc>
      </w:tr>
      <w:tr>
        <w:trPr>
          <w:trHeight w:val="517" w:hRule="atLeast"/>
        </w:trPr>
        <w:tc>
          <w:tcPr>
            <w:tcW w:w="4759" w:type="dxa"/>
            <w:vAlign w:val="top"/>
            <w:vMerge w:val="continue"/>
            <w:tcBorders>
              <w:top w:val="nil"/>
            </w:tcBorders>
          </w:tcPr>
          <w:p>
            <w:pPr>
              <w:rPr>
                <w:rFonts w:ascii="Arial"/>
                <w:sz w:val="21"/>
              </w:rPr>
            </w:pPr>
            <w:r/>
          </w:p>
        </w:tc>
        <w:tc>
          <w:tcPr>
            <w:tcW w:w="2262" w:type="dxa"/>
            <w:vAlign w:val="top"/>
          </w:tcPr>
          <w:p>
            <w:pPr>
              <w:pStyle w:val="TableText"/>
              <w:ind w:left="630" w:right="605" w:hanging="19"/>
              <w:spacing w:before="29" w:line="234" w:lineRule="auto"/>
              <w:rPr/>
            </w:pPr>
            <w:r>
              <w:rPr>
                <w:rFonts w:ascii="SimSun" w:hAnsi="SimSun" w:eastAsia="SimSun" w:cs="SimSun"/>
                <w:spacing w:val="8"/>
              </w:rPr>
              <w:t>测量结果值</w:t>
            </w:r>
            <w:r>
              <w:rPr/>
              <w:t>Leq</w:t>
            </w:r>
            <w:r>
              <w:rPr>
                <w:spacing w:val="8"/>
              </w:rPr>
              <w:t>(</w:t>
            </w:r>
            <w:r>
              <w:rPr/>
              <w:t>dB</w:t>
            </w:r>
            <w:r>
              <w:rPr>
                <w:spacing w:val="8"/>
              </w:rPr>
              <w:t>(A))</w:t>
            </w:r>
          </w:p>
        </w:tc>
        <w:tc>
          <w:tcPr>
            <w:tcW w:w="2269" w:type="dxa"/>
            <w:vAlign w:val="top"/>
          </w:tcPr>
          <w:p>
            <w:pPr>
              <w:pStyle w:val="TableText"/>
              <w:ind w:left="633" w:right="608" w:hanging="19"/>
              <w:spacing w:before="29" w:line="234" w:lineRule="auto"/>
              <w:rPr/>
            </w:pPr>
            <w:r>
              <w:rPr>
                <w:rFonts w:ascii="SimSun" w:hAnsi="SimSun" w:eastAsia="SimSun" w:cs="SimSun"/>
                <w:spacing w:val="8"/>
              </w:rPr>
              <w:t>测量结果值</w:t>
            </w:r>
            <w:r>
              <w:rPr/>
              <w:t>Leq</w:t>
            </w:r>
            <w:r>
              <w:rPr>
                <w:spacing w:val="8"/>
              </w:rPr>
              <w:t>(</w:t>
            </w:r>
            <w:r>
              <w:rPr/>
              <w:t>dB</w:t>
            </w:r>
            <w:r>
              <w:rPr>
                <w:spacing w:val="8"/>
              </w:rPr>
              <w:t>(A))</w:t>
            </w:r>
          </w:p>
        </w:tc>
      </w:tr>
      <w:tr>
        <w:trPr>
          <w:trHeight w:val="330" w:hRule="atLeast"/>
        </w:trPr>
        <w:tc>
          <w:tcPr>
            <w:tcW w:w="4759" w:type="dxa"/>
            <w:vAlign w:val="top"/>
          </w:tcPr>
          <w:p>
            <w:pPr>
              <w:ind w:left="1967"/>
              <w:spacing w:before="58" w:line="228" w:lineRule="auto"/>
              <w:rPr>
                <w:rFonts w:ascii="SimSun" w:hAnsi="SimSun" w:eastAsia="SimSun" w:cs="SimSun"/>
                <w:sz w:val="20"/>
                <w:szCs w:val="20"/>
              </w:rPr>
            </w:pPr>
            <w:r>
              <w:rPr>
                <w:rFonts w:ascii="SimSun" w:hAnsi="SimSun" w:eastAsia="SimSun" w:cs="SimSun"/>
                <w:sz w:val="20"/>
                <w:szCs w:val="20"/>
                <w:spacing w:val="7"/>
              </w:rPr>
              <w:t>监测日期</w:t>
            </w:r>
          </w:p>
        </w:tc>
        <w:tc>
          <w:tcPr>
            <w:tcW w:w="4531" w:type="dxa"/>
            <w:vAlign w:val="top"/>
            <w:gridSpan w:val="2"/>
          </w:tcPr>
          <w:p>
            <w:pPr>
              <w:pStyle w:val="TableText"/>
              <w:ind w:left="1897"/>
              <w:spacing w:before="93" w:line="195" w:lineRule="auto"/>
              <w:rPr/>
            </w:pPr>
            <w:r>
              <w:rPr>
                <w:spacing w:val="3"/>
              </w:rPr>
              <w:t>2024.2.2</w:t>
            </w:r>
          </w:p>
        </w:tc>
      </w:tr>
      <w:tr>
        <w:trPr>
          <w:trHeight w:val="278" w:hRule="atLeast"/>
        </w:trPr>
        <w:tc>
          <w:tcPr>
            <w:tcW w:w="4759" w:type="dxa"/>
            <w:vAlign w:val="top"/>
          </w:tcPr>
          <w:p>
            <w:pPr>
              <w:ind w:left="1445"/>
              <w:spacing w:before="31" w:line="218" w:lineRule="auto"/>
              <w:rPr>
                <w:rFonts w:ascii="SimSun" w:hAnsi="SimSun" w:eastAsia="SimSun" w:cs="SimSun"/>
                <w:sz w:val="20"/>
                <w:szCs w:val="20"/>
              </w:rPr>
            </w:pPr>
            <w:r>
              <w:rPr>
                <w:rFonts w:ascii="SimSun" w:hAnsi="SimSun" w:eastAsia="SimSun" w:cs="SimSun"/>
                <w:sz w:val="20"/>
                <w:szCs w:val="20"/>
                <w:spacing w:val="8"/>
              </w:rPr>
              <w:t>露天区工业场地东侧</w:t>
            </w:r>
          </w:p>
        </w:tc>
        <w:tc>
          <w:tcPr>
            <w:tcW w:w="2262" w:type="dxa"/>
            <w:vAlign w:val="top"/>
          </w:tcPr>
          <w:p>
            <w:pPr>
              <w:pStyle w:val="TableText"/>
              <w:ind w:left="1018"/>
              <w:spacing w:before="68" w:line="195" w:lineRule="auto"/>
              <w:rPr/>
            </w:pPr>
            <w:r>
              <w:rPr>
                <w:spacing w:val="4"/>
              </w:rPr>
              <w:t>48</w:t>
            </w:r>
          </w:p>
        </w:tc>
        <w:tc>
          <w:tcPr>
            <w:tcW w:w="2269" w:type="dxa"/>
            <w:vAlign w:val="top"/>
          </w:tcPr>
          <w:p>
            <w:pPr>
              <w:pStyle w:val="TableText"/>
              <w:ind w:left="1019"/>
              <w:spacing w:before="68" w:line="195" w:lineRule="auto"/>
              <w:rPr/>
            </w:pPr>
            <w:r>
              <w:rPr>
                <w:spacing w:val="4"/>
              </w:rPr>
              <w:t>40</w:t>
            </w:r>
          </w:p>
        </w:tc>
      </w:tr>
      <w:tr>
        <w:trPr>
          <w:trHeight w:val="275" w:hRule="atLeast"/>
        </w:trPr>
        <w:tc>
          <w:tcPr>
            <w:tcW w:w="4759" w:type="dxa"/>
            <w:vAlign w:val="top"/>
          </w:tcPr>
          <w:p>
            <w:pPr>
              <w:ind w:left="1966"/>
              <w:spacing w:before="32" w:line="215" w:lineRule="auto"/>
              <w:rPr>
                <w:rFonts w:ascii="SimSun" w:hAnsi="SimSun" w:eastAsia="SimSun" w:cs="SimSun"/>
                <w:sz w:val="20"/>
                <w:szCs w:val="20"/>
              </w:rPr>
            </w:pPr>
            <w:r>
              <w:rPr>
                <w:rFonts w:ascii="SimSun" w:hAnsi="SimSun" w:eastAsia="SimSun" w:cs="SimSun"/>
                <w:sz w:val="20"/>
                <w:szCs w:val="20"/>
                <w:spacing w:val="7"/>
              </w:rPr>
              <w:t>井田南侧</w:t>
            </w:r>
          </w:p>
        </w:tc>
        <w:tc>
          <w:tcPr>
            <w:tcW w:w="2262" w:type="dxa"/>
            <w:vAlign w:val="top"/>
          </w:tcPr>
          <w:p>
            <w:pPr>
              <w:pStyle w:val="TableText"/>
              <w:ind w:left="1018"/>
              <w:spacing w:before="68" w:line="195" w:lineRule="auto"/>
              <w:rPr/>
            </w:pPr>
            <w:r>
              <w:rPr>
                <w:spacing w:val="4"/>
              </w:rPr>
              <w:t>47</w:t>
            </w:r>
          </w:p>
        </w:tc>
        <w:tc>
          <w:tcPr>
            <w:tcW w:w="2269" w:type="dxa"/>
            <w:vAlign w:val="top"/>
          </w:tcPr>
          <w:p>
            <w:pPr>
              <w:pStyle w:val="TableText"/>
              <w:ind w:left="1019"/>
              <w:spacing w:before="68" w:line="195" w:lineRule="auto"/>
              <w:rPr/>
            </w:pPr>
            <w:r>
              <w:rPr>
                <w:spacing w:val="4"/>
              </w:rPr>
              <w:t>41</w:t>
            </w:r>
          </w:p>
        </w:tc>
      </w:tr>
      <w:tr>
        <w:trPr>
          <w:trHeight w:val="278" w:hRule="atLeast"/>
        </w:trPr>
        <w:tc>
          <w:tcPr>
            <w:tcW w:w="4759" w:type="dxa"/>
            <w:vAlign w:val="top"/>
          </w:tcPr>
          <w:p>
            <w:pPr>
              <w:ind w:left="1440"/>
              <w:spacing w:before="32" w:line="217" w:lineRule="auto"/>
              <w:rPr>
                <w:rFonts w:ascii="SimSun" w:hAnsi="SimSun" w:eastAsia="SimSun" w:cs="SimSun"/>
                <w:sz w:val="20"/>
                <w:szCs w:val="20"/>
              </w:rPr>
            </w:pPr>
            <w:r>
              <w:rPr>
                <w:rFonts w:ascii="SimSun" w:hAnsi="SimSun" w:eastAsia="SimSun" w:cs="SimSun"/>
                <w:sz w:val="20"/>
                <w:szCs w:val="20"/>
                <w:spacing w:val="8"/>
              </w:rPr>
              <w:t>井工区工业场地西侧</w:t>
            </w:r>
          </w:p>
        </w:tc>
        <w:tc>
          <w:tcPr>
            <w:tcW w:w="2262" w:type="dxa"/>
            <w:vAlign w:val="top"/>
          </w:tcPr>
          <w:p>
            <w:pPr>
              <w:pStyle w:val="TableText"/>
              <w:ind w:left="1025"/>
              <w:spacing w:before="69" w:line="195" w:lineRule="auto"/>
              <w:rPr/>
            </w:pPr>
            <w:r>
              <w:rPr>
                <w:spacing w:val="1"/>
              </w:rPr>
              <w:t>50</w:t>
            </w:r>
          </w:p>
        </w:tc>
        <w:tc>
          <w:tcPr>
            <w:tcW w:w="2269" w:type="dxa"/>
            <w:vAlign w:val="top"/>
          </w:tcPr>
          <w:p>
            <w:pPr>
              <w:pStyle w:val="TableText"/>
              <w:ind w:left="1019"/>
              <w:spacing w:before="69" w:line="195" w:lineRule="auto"/>
              <w:rPr/>
            </w:pPr>
            <w:r>
              <w:rPr>
                <w:spacing w:val="4"/>
              </w:rPr>
              <w:t>43</w:t>
            </w:r>
          </w:p>
        </w:tc>
      </w:tr>
      <w:tr>
        <w:trPr>
          <w:trHeight w:val="278" w:hRule="atLeast"/>
        </w:trPr>
        <w:tc>
          <w:tcPr>
            <w:tcW w:w="4759" w:type="dxa"/>
            <w:vAlign w:val="top"/>
          </w:tcPr>
          <w:p>
            <w:pPr>
              <w:ind w:left="1859"/>
              <w:spacing w:before="34" w:line="216" w:lineRule="auto"/>
              <w:rPr>
                <w:rFonts w:ascii="SimSun" w:hAnsi="SimSun" w:eastAsia="SimSun" w:cs="SimSun"/>
                <w:sz w:val="20"/>
                <w:szCs w:val="20"/>
              </w:rPr>
            </w:pPr>
            <w:r>
              <w:rPr>
                <w:rFonts w:ascii="SimSun" w:hAnsi="SimSun" w:eastAsia="SimSun" w:cs="SimSun"/>
                <w:sz w:val="20"/>
                <w:szCs w:val="20"/>
                <w:spacing w:val="8"/>
              </w:rPr>
              <w:t>采掘场北侧</w:t>
            </w:r>
          </w:p>
        </w:tc>
        <w:tc>
          <w:tcPr>
            <w:tcW w:w="2262" w:type="dxa"/>
            <w:vAlign w:val="top"/>
          </w:tcPr>
          <w:p>
            <w:pPr>
              <w:pStyle w:val="TableText"/>
              <w:ind w:left="1018"/>
              <w:spacing w:before="69" w:line="195" w:lineRule="auto"/>
              <w:rPr/>
            </w:pPr>
            <w:r>
              <w:rPr>
                <w:spacing w:val="4"/>
              </w:rPr>
              <w:t>47</w:t>
            </w:r>
          </w:p>
        </w:tc>
        <w:tc>
          <w:tcPr>
            <w:tcW w:w="2269" w:type="dxa"/>
            <w:vAlign w:val="top"/>
          </w:tcPr>
          <w:p>
            <w:pPr>
              <w:pStyle w:val="TableText"/>
              <w:ind w:left="1019"/>
              <w:spacing w:before="69" w:line="195" w:lineRule="auto"/>
              <w:rPr/>
            </w:pPr>
            <w:r>
              <w:rPr>
                <w:spacing w:val="4"/>
              </w:rPr>
              <w:t>42</w:t>
            </w:r>
          </w:p>
        </w:tc>
      </w:tr>
      <w:tr>
        <w:trPr>
          <w:trHeight w:val="553" w:hRule="atLeast"/>
        </w:trPr>
        <w:tc>
          <w:tcPr>
            <w:tcW w:w="4759" w:type="dxa"/>
            <w:vAlign w:val="top"/>
          </w:tcPr>
          <w:p>
            <w:pPr>
              <w:pStyle w:val="TableText"/>
              <w:ind w:left="1020" w:right="576" w:hanging="470"/>
              <w:spacing w:before="31" w:line="236" w:lineRule="auto"/>
              <w:rPr>
                <w:rFonts w:ascii="SimSun" w:hAnsi="SimSun" w:eastAsia="SimSun" w:cs="SimSun"/>
              </w:rPr>
            </w:pPr>
            <w:r>
              <w:rPr>
                <w:rFonts w:ascii="SimSun" w:hAnsi="SimSun" w:eastAsia="SimSun" w:cs="SimSun"/>
                <w:spacing w:val="26"/>
              </w:rPr>
              <w:t>《工业企业厂界环境噪声排放标准》</w:t>
            </w:r>
            <w:r>
              <w:rPr>
                <w:rFonts w:ascii="SimSun" w:hAnsi="SimSun" w:eastAsia="SimSun" w:cs="SimSun"/>
                <w:spacing w:val="9"/>
              </w:rPr>
              <w:t xml:space="preserve"> </w:t>
            </w:r>
            <w:r>
              <w:rPr>
                <w:rFonts w:ascii="SimSun" w:hAnsi="SimSun" w:eastAsia="SimSun" w:cs="SimSun"/>
                <w:spacing w:val="14"/>
              </w:rPr>
              <w:t>（</w:t>
            </w:r>
            <w:r>
              <w:rPr/>
              <w:t>GB</w:t>
            </w:r>
            <w:r>
              <w:rPr>
                <w:spacing w:val="14"/>
              </w:rPr>
              <w:t>12348-2008</w:t>
            </w:r>
            <w:r>
              <w:rPr>
                <w:rFonts w:ascii="SimSun" w:hAnsi="SimSun" w:eastAsia="SimSun" w:cs="SimSun"/>
                <w:spacing w:val="14"/>
              </w:rPr>
              <w:t>）</w:t>
            </w:r>
            <w:r>
              <w:rPr>
                <w:rFonts w:ascii="SimSun" w:hAnsi="SimSun" w:eastAsia="SimSun" w:cs="SimSun"/>
                <w:spacing w:val="-37"/>
              </w:rPr>
              <w:t xml:space="preserve"> </w:t>
            </w:r>
            <w:r>
              <w:rPr>
                <w:spacing w:val="14"/>
              </w:rPr>
              <w:t>2</w:t>
            </w:r>
            <w:r>
              <w:rPr>
                <w:spacing w:val="26"/>
                <w:w w:val="101"/>
              </w:rPr>
              <w:t xml:space="preserve"> </w:t>
            </w:r>
            <w:r>
              <w:rPr>
                <w:rFonts w:ascii="SimSun" w:hAnsi="SimSun" w:eastAsia="SimSun" w:cs="SimSun"/>
                <w:spacing w:val="14"/>
              </w:rPr>
              <w:t>类标准</w:t>
            </w:r>
          </w:p>
        </w:tc>
        <w:tc>
          <w:tcPr>
            <w:tcW w:w="2262" w:type="dxa"/>
            <w:vAlign w:val="top"/>
          </w:tcPr>
          <w:p>
            <w:pPr>
              <w:pStyle w:val="TableText"/>
              <w:ind w:left="1024"/>
              <w:spacing w:before="203" w:line="195" w:lineRule="auto"/>
              <w:rPr/>
            </w:pPr>
            <w:r>
              <w:rPr>
                <w:spacing w:val="1"/>
              </w:rPr>
              <w:t>60</w:t>
            </w:r>
          </w:p>
        </w:tc>
        <w:tc>
          <w:tcPr>
            <w:tcW w:w="2269" w:type="dxa"/>
            <w:vAlign w:val="top"/>
          </w:tcPr>
          <w:p>
            <w:pPr>
              <w:pStyle w:val="TableText"/>
              <w:ind w:left="1026"/>
              <w:spacing w:before="203" w:line="195" w:lineRule="auto"/>
              <w:rPr/>
            </w:pPr>
            <w:r>
              <w:rPr>
                <w:spacing w:val="1"/>
              </w:rPr>
              <w:t>50</w:t>
            </w:r>
          </w:p>
        </w:tc>
      </w:tr>
    </w:tbl>
    <w:p>
      <w:pPr>
        <w:ind w:left="599"/>
        <w:spacing w:before="34" w:line="218" w:lineRule="auto"/>
        <w:rPr>
          <w:rFonts w:ascii="SimSun" w:hAnsi="SimSun" w:eastAsia="SimSun" w:cs="SimSun"/>
          <w:sz w:val="24"/>
          <w:szCs w:val="24"/>
        </w:rPr>
      </w:pPr>
      <w:r>
        <w:rPr>
          <w:rFonts w:ascii="SimSun" w:hAnsi="SimSun" w:eastAsia="SimSun" w:cs="SimSun"/>
          <w:sz w:val="24"/>
          <w:szCs w:val="24"/>
          <w:spacing w:val="11"/>
        </w:rPr>
        <w:t>根据例行监测资料，各监测点位噪声满足《</w:t>
      </w:r>
      <w:r>
        <w:rPr>
          <w:rFonts w:ascii="SimSun" w:hAnsi="SimSun" w:eastAsia="SimSun" w:cs="SimSun"/>
          <w:sz w:val="24"/>
          <w:szCs w:val="24"/>
          <w:spacing w:val="10"/>
        </w:rPr>
        <w:t>工业企业厂界环境噪声排放标准》</w:t>
      </w:r>
    </w:p>
    <w:p>
      <w:pPr>
        <w:spacing w:line="218" w:lineRule="auto"/>
        <w:sectPr>
          <w:headerReference w:type="default" r:id="rId97"/>
          <w:footerReference w:type="default" r:id="rId181"/>
          <w:pgSz w:w="11906" w:h="16838"/>
          <w:pgMar w:top="1170" w:right="1304" w:bottom="1077" w:left="1305" w:header="837" w:footer="918" w:gutter="0"/>
        </w:sectPr>
        <w:rPr>
          <w:rFonts w:ascii="SimSun" w:hAnsi="SimSun" w:eastAsia="SimSun" w:cs="SimSun"/>
          <w:sz w:val="24"/>
          <w:szCs w:val="24"/>
        </w:rPr>
      </w:pPr>
    </w:p>
    <w:p>
      <w:pPr>
        <w:ind w:left="126"/>
        <w:spacing w:before="282" w:line="219" w:lineRule="auto"/>
        <w:rPr>
          <w:rFonts w:ascii="SimSun" w:hAnsi="SimSun" w:eastAsia="SimSun" w:cs="SimSun"/>
          <w:sz w:val="24"/>
          <w:szCs w:val="24"/>
        </w:rPr>
      </w:pPr>
      <w:r>
        <w:rPr>
          <w:rFonts w:ascii="SimSun" w:hAnsi="SimSun" w:eastAsia="SimSun" w:cs="SimSun"/>
          <w:sz w:val="24"/>
          <w:szCs w:val="24"/>
          <w:spacing w:val="10"/>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0"/>
        </w:rPr>
        <w:t>12348-2008</w:t>
      </w:r>
      <w:r>
        <w:rPr>
          <w:rFonts w:ascii="SimSun" w:hAnsi="SimSun" w:eastAsia="SimSun" w:cs="SimSun"/>
          <w:sz w:val="24"/>
          <w:szCs w:val="24"/>
          <w:spacing w:val="10"/>
        </w:rPr>
        <w:t>）</w:t>
      </w:r>
      <w:r>
        <w:rPr>
          <w:rFonts w:ascii="Times New Roman" w:hAnsi="Times New Roman" w:eastAsia="Times New Roman" w:cs="Times New Roman"/>
          <w:sz w:val="24"/>
          <w:szCs w:val="24"/>
          <w:spacing w:val="10"/>
        </w:rPr>
        <w:t>2</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10"/>
        </w:rPr>
        <w:t>类标准要求。</w:t>
      </w:r>
    </w:p>
    <w:p>
      <w:pPr>
        <w:pStyle w:val="BodyText"/>
        <w:spacing w:line="269" w:lineRule="auto"/>
        <w:rPr/>
      </w:pPr>
      <w:r/>
    </w:p>
    <w:p>
      <w:pPr>
        <w:ind w:left="115"/>
        <w:spacing w:before="97" w:line="222" w:lineRule="auto"/>
        <w:outlineLvl w:val="1"/>
        <w:rPr>
          <w:rFonts w:ascii="SimHei" w:hAnsi="SimHei" w:eastAsia="SimHei" w:cs="SimHei"/>
          <w:sz w:val="30"/>
          <w:szCs w:val="30"/>
        </w:rPr>
      </w:pPr>
      <w:bookmarkStart w:name="bookmark21" w:id="37"/>
      <w:bookmarkEnd w:id="37"/>
      <w:r>
        <w:rPr>
          <w:rFonts w:ascii="Times New Roman" w:hAnsi="Times New Roman" w:eastAsia="Times New Roman" w:cs="Times New Roman"/>
          <w:sz w:val="30"/>
          <w:szCs w:val="30"/>
          <w:b/>
          <w:bCs/>
          <w:spacing w:val="-2"/>
        </w:rPr>
        <w:t>3.4 </w:t>
      </w:r>
      <w:r>
        <w:rPr>
          <w:rFonts w:ascii="SimHei" w:hAnsi="SimHei" w:eastAsia="SimHei" w:cs="SimHei"/>
          <w:sz w:val="30"/>
          <w:szCs w:val="30"/>
          <w:b/>
          <w:bCs/>
          <w:spacing w:val="-2"/>
        </w:rPr>
        <w:t>环保措施落实情况</w:t>
      </w:r>
    </w:p>
    <w:p>
      <w:pPr>
        <w:ind w:left="114"/>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3"/>
        </w:rPr>
        <w:t>3.4.1</w:t>
      </w:r>
      <w:r>
        <w:rPr>
          <w:rFonts w:ascii="Times New Roman" w:hAnsi="Times New Roman" w:eastAsia="Times New Roman" w:cs="Times New Roman"/>
          <w:sz w:val="28"/>
          <w:szCs w:val="28"/>
          <w:b/>
          <w:bCs/>
          <w:spacing w:val="43"/>
        </w:rPr>
        <w:t xml:space="preserve"> </w:t>
      </w:r>
      <w:r>
        <w:rPr>
          <w:rFonts w:ascii="SimHei" w:hAnsi="SimHei" w:eastAsia="SimHei" w:cs="SimHei"/>
          <w:sz w:val="28"/>
          <w:szCs w:val="28"/>
          <w:b/>
          <w:bCs/>
          <w:spacing w:val="-3"/>
        </w:rPr>
        <w:t>白音华四号露天矿（露天区）环</w:t>
      </w:r>
      <w:r>
        <w:rPr>
          <w:rFonts w:ascii="SimHei" w:hAnsi="SimHei" w:eastAsia="SimHei" w:cs="SimHei"/>
          <w:sz w:val="28"/>
          <w:szCs w:val="28"/>
          <w:b/>
          <w:bCs/>
          <w:spacing w:val="-4"/>
        </w:rPr>
        <w:t>保措施落实情况</w:t>
      </w:r>
    </w:p>
    <w:p>
      <w:pPr>
        <w:ind w:left="119" w:right="112" w:firstLine="525"/>
        <w:spacing w:before="171" w:line="336" w:lineRule="auto"/>
        <w:jc w:val="both"/>
        <w:rPr>
          <w:rFonts w:ascii="SimSun" w:hAnsi="SimSun" w:eastAsia="SimSun" w:cs="SimSun"/>
          <w:sz w:val="24"/>
          <w:szCs w:val="24"/>
        </w:rPr>
      </w:pPr>
      <w:r>
        <w:rPr>
          <w:rFonts w:ascii="SimSun" w:hAnsi="SimSun" w:eastAsia="SimSun" w:cs="SimSun"/>
          <w:sz w:val="24"/>
          <w:szCs w:val="24"/>
          <w:spacing w:val="-3"/>
        </w:rPr>
        <w:t>目前，白音华四号露天矿（露天区）的环评及验收批复均已落实，无遗留的环境问</w:t>
      </w:r>
      <w:r>
        <w:rPr>
          <w:rFonts w:ascii="SimSun" w:hAnsi="SimSun" w:eastAsia="SimSun" w:cs="SimSun"/>
          <w:sz w:val="24"/>
          <w:szCs w:val="24"/>
          <w:spacing w:val="1"/>
        </w:rPr>
        <w:t>题。对验收回函（环验</w:t>
      </w:r>
      <w:r>
        <w:rPr>
          <w:rFonts w:ascii="Times New Roman" w:hAnsi="Times New Roman" w:eastAsia="Times New Roman" w:cs="Times New Roman"/>
          <w:sz w:val="24"/>
          <w:szCs w:val="24"/>
          <w:spacing w:val="1"/>
        </w:rPr>
        <w:t>[2015]194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号）批复环境保护措施及环境风险防范措施落实情况</w:t>
      </w:r>
      <w:r>
        <w:rPr>
          <w:rFonts w:ascii="SimSun" w:hAnsi="SimSun" w:eastAsia="SimSun" w:cs="SimSun"/>
          <w:sz w:val="24"/>
          <w:szCs w:val="24"/>
          <w:spacing w:val="-3"/>
        </w:rPr>
        <w:t>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3-4-1</w:t>
      </w:r>
      <w:r>
        <w:rPr>
          <w:rFonts w:ascii="SimSun" w:hAnsi="SimSun" w:eastAsia="SimSun" w:cs="SimSun"/>
          <w:sz w:val="24"/>
          <w:szCs w:val="24"/>
          <w:spacing w:val="-3"/>
        </w:rPr>
        <w:t>。</w:t>
      </w:r>
    </w:p>
    <w:p>
      <w:pPr>
        <w:ind w:left="2890"/>
        <w:spacing w:before="33" w:line="219" w:lineRule="auto"/>
        <w:rPr>
          <w:rFonts w:ascii="SimSun" w:hAnsi="SimSun" w:eastAsia="SimSun" w:cs="SimSun"/>
          <w:sz w:val="24"/>
          <w:szCs w:val="24"/>
        </w:rPr>
      </w:pPr>
      <w:r>
        <w:rPr>
          <w:rFonts w:ascii="SimSun" w:hAnsi="SimSun" w:eastAsia="SimSun" w:cs="SimSun"/>
          <w:sz w:val="24"/>
          <w:szCs w:val="24"/>
          <w:b/>
          <w:bCs/>
          <w:spacing w:val="-8"/>
        </w:rPr>
        <w:t>验收批复环保要求落实情况一览表</w:t>
      </w:r>
    </w:p>
    <w:p>
      <w:pPr>
        <w:ind w:left="117"/>
        <w:spacing w:before="15"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3-4-1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1"/>
        <w:gridCol w:w="4087"/>
        <w:gridCol w:w="4502"/>
      </w:tblGrid>
      <w:tr>
        <w:trPr>
          <w:trHeight w:val="391" w:hRule="atLeast"/>
        </w:trPr>
        <w:tc>
          <w:tcPr>
            <w:tcW w:w="701" w:type="dxa"/>
            <w:vAlign w:val="top"/>
          </w:tcPr>
          <w:p>
            <w:pPr>
              <w:ind w:left="153"/>
              <w:spacing w:before="92" w:line="230" w:lineRule="auto"/>
              <w:rPr>
                <w:rFonts w:ascii="SimSun" w:hAnsi="SimSun" w:eastAsia="SimSun" w:cs="SimSun"/>
                <w:sz w:val="19"/>
                <w:szCs w:val="19"/>
              </w:rPr>
            </w:pPr>
            <w:r>
              <w:rPr>
                <w:rFonts w:ascii="SimSun" w:hAnsi="SimSun" w:eastAsia="SimSun" w:cs="SimSun"/>
                <w:sz w:val="19"/>
                <w:szCs w:val="19"/>
                <w:spacing w:val="5"/>
              </w:rPr>
              <w:t>序号</w:t>
            </w:r>
          </w:p>
        </w:tc>
        <w:tc>
          <w:tcPr>
            <w:tcW w:w="4087" w:type="dxa"/>
            <w:vAlign w:val="top"/>
          </w:tcPr>
          <w:p>
            <w:pPr>
              <w:ind w:left="1446"/>
              <w:spacing w:before="92" w:line="228" w:lineRule="auto"/>
              <w:rPr>
                <w:rFonts w:ascii="SimSun" w:hAnsi="SimSun" w:eastAsia="SimSun" w:cs="SimSun"/>
                <w:sz w:val="19"/>
                <w:szCs w:val="19"/>
              </w:rPr>
            </w:pPr>
            <w:r>
              <w:rPr>
                <w:rFonts w:ascii="SimSun" w:hAnsi="SimSun" w:eastAsia="SimSun" w:cs="SimSun"/>
                <w:sz w:val="19"/>
                <w:szCs w:val="19"/>
                <w:spacing w:val="8"/>
              </w:rPr>
              <w:t>验收批复内容</w:t>
            </w:r>
          </w:p>
        </w:tc>
        <w:tc>
          <w:tcPr>
            <w:tcW w:w="4502" w:type="dxa"/>
            <w:vAlign w:val="top"/>
          </w:tcPr>
          <w:p>
            <w:pPr>
              <w:ind w:left="1854"/>
              <w:spacing w:before="92" w:line="229" w:lineRule="auto"/>
              <w:rPr>
                <w:rFonts w:ascii="SimSun" w:hAnsi="SimSun" w:eastAsia="SimSun" w:cs="SimSun"/>
                <w:sz w:val="19"/>
                <w:szCs w:val="19"/>
              </w:rPr>
            </w:pPr>
            <w:r>
              <w:rPr>
                <w:rFonts w:ascii="SimSun" w:hAnsi="SimSun" w:eastAsia="SimSun" w:cs="SimSun"/>
                <w:sz w:val="19"/>
                <w:szCs w:val="19"/>
                <w:spacing w:val="7"/>
              </w:rPr>
              <w:t>落实情况</w:t>
            </w:r>
          </w:p>
        </w:tc>
      </w:tr>
      <w:tr>
        <w:trPr>
          <w:trHeight w:val="2993" w:hRule="atLeast"/>
        </w:trPr>
        <w:tc>
          <w:tcPr>
            <w:tcW w:w="701" w:type="dxa"/>
            <w:vAlign w:val="top"/>
          </w:tcPr>
          <w:p>
            <w:pPr>
              <w:spacing w:line="279" w:lineRule="auto"/>
              <w:rPr>
                <w:rFonts w:ascii="Arial"/>
                <w:sz w:val="21"/>
              </w:rPr>
            </w:pPr>
            <w:r/>
          </w:p>
          <w:p>
            <w:pPr>
              <w:spacing w:line="279" w:lineRule="auto"/>
              <w:rPr>
                <w:rFonts w:ascii="Arial"/>
                <w:sz w:val="21"/>
              </w:rPr>
            </w:pPr>
            <w:r/>
          </w:p>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ind w:left="257"/>
              <w:spacing w:before="62" w:line="148" w:lineRule="exact"/>
              <w:rPr>
                <w:rFonts w:ascii="SimSun" w:hAnsi="SimSun" w:eastAsia="SimSun" w:cs="SimSun"/>
                <w:sz w:val="19"/>
                <w:szCs w:val="19"/>
              </w:rPr>
            </w:pPr>
            <w:r>
              <w:rPr>
                <w:rFonts w:ascii="SimSun" w:hAnsi="SimSun" w:eastAsia="SimSun" w:cs="SimSun"/>
                <w:sz w:val="19"/>
                <w:szCs w:val="19"/>
                <w:position w:val="-4"/>
              </w:rPr>
              <w:t>一</w:t>
            </w:r>
          </w:p>
        </w:tc>
        <w:tc>
          <w:tcPr>
            <w:tcW w:w="4087" w:type="dxa"/>
            <w:vAlign w:val="top"/>
          </w:tcPr>
          <w:p>
            <w:pPr>
              <w:spacing w:line="337" w:lineRule="auto"/>
              <w:rPr>
                <w:rFonts w:ascii="Arial"/>
                <w:sz w:val="21"/>
              </w:rPr>
            </w:pPr>
            <w:r/>
          </w:p>
          <w:p>
            <w:pPr>
              <w:spacing w:line="337" w:lineRule="auto"/>
              <w:rPr>
                <w:rFonts w:ascii="Arial"/>
                <w:sz w:val="21"/>
              </w:rPr>
            </w:pPr>
            <w:r/>
          </w:p>
          <w:p>
            <w:pPr>
              <w:pStyle w:val="TableText"/>
              <w:ind w:left="110" w:right="129" w:hanging="2"/>
              <w:spacing w:before="62" w:line="317" w:lineRule="auto"/>
              <w:rPr>
                <w:rFonts w:ascii="SimSun" w:hAnsi="SimSun" w:eastAsia="SimSun" w:cs="SimSun"/>
                <w:sz w:val="19"/>
                <w:szCs w:val="19"/>
              </w:rPr>
            </w:pPr>
            <w:r>
              <w:rPr>
                <w:rFonts w:ascii="SimSun" w:hAnsi="SimSun" w:eastAsia="SimSun" w:cs="SimSun"/>
                <w:sz w:val="19"/>
                <w:szCs w:val="19"/>
                <w:spacing w:val="9"/>
              </w:rPr>
              <w:t>制定了土地复垦与生态恢复实施方案</w:t>
            </w:r>
            <w:r>
              <w:rPr>
                <w:sz w:val="19"/>
                <w:szCs w:val="19"/>
                <w:spacing w:val="9"/>
              </w:rPr>
              <w:t>,</w:t>
            </w:r>
            <w:r>
              <w:rPr>
                <w:rFonts w:ascii="SimSun" w:hAnsi="SimSun" w:eastAsia="SimSun" w:cs="SimSun"/>
                <w:sz w:val="19"/>
                <w:szCs w:val="19"/>
                <w:spacing w:val="9"/>
              </w:rPr>
              <w:t>并对东</w:t>
            </w:r>
            <w:r>
              <w:rPr>
                <w:rFonts w:ascii="SimSun" w:hAnsi="SimSun" w:eastAsia="SimSun" w:cs="SimSun"/>
                <w:sz w:val="19"/>
                <w:szCs w:val="19"/>
                <w:spacing w:val="9"/>
              </w:rPr>
              <w:t>一、东二排土场进行了生态恢复。与征地范</w:t>
            </w:r>
            <w:r>
              <w:rPr>
                <w:rFonts w:ascii="SimSun" w:hAnsi="SimSun" w:eastAsia="SimSun" w:cs="SimSun"/>
                <w:sz w:val="19"/>
                <w:szCs w:val="19"/>
                <w:spacing w:val="9"/>
              </w:rPr>
              <w:t>围内的牧户签订了</w:t>
            </w:r>
            <w:r>
              <w:rPr>
                <w:sz w:val="19"/>
                <w:szCs w:val="19"/>
                <w:spacing w:val="9"/>
              </w:rPr>
              <w:t>“</w:t>
            </w:r>
            <w:r>
              <w:rPr>
                <w:rFonts w:ascii="SimSun" w:hAnsi="SimSun" w:eastAsia="SimSun" w:cs="SimSun"/>
                <w:sz w:val="19"/>
                <w:szCs w:val="19"/>
                <w:spacing w:val="9"/>
              </w:rPr>
              <w:t>地上附着物拆迁补偿安</w:t>
            </w:r>
          </w:p>
          <w:p>
            <w:pPr>
              <w:pStyle w:val="TableText"/>
              <w:ind w:left="125" w:right="105" w:hanging="19"/>
              <w:spacing w:before="1" w:line="318" w:lineRule="auto"/>
              <w:rPr>
                <w:rFonts w:ascii="SimSun" w:hAnsi="SimSun" w:eastAsia="SimSun" w:cs="SimSun"/>
                <w:sz w:val="19"/>
                <w:szCs w:val="19"/>
              </w:rPr>
            </w:pPr>
            <w:r>
              <w:rPr>
                <w:rFonts w:ascii="SimSun" w:hAnsi="SimSun" w:eastAsia="SimSun" w:cs="SimSun"/>
                <w:sz w:val="19"/>
                <w:szCs w:val="19"/>
                <w:spacing w:val="7"/>
              </w:rPr>
              <w:t>置协议</w:t>
            </w:r>
            <w:r>
              <w:rPr>
                <w:sz w:val="19"/>
                <w:szCs w:val="19"/>
                <w:spacing w:val="7"/>
              </w:rPr>
              <w:t>”</w:t>
            </w:r>
            <w:r>
              <w:rPr>
                <w:sz w:val="19"/>
                <w:szCs w:val="19"/>
                <w:spacing w:val="-14"/>
              </w:rPr>
              <w:t xml:space="preserve"> </w:t>
            </w:r>
            <w:r>
              <w:rPr>
                <w:rFonts w:ascii="SimSun" w:hAnsi="SimSun" w:eastAsia="SimSun" w:cs="SimSun"/>
                <w:sz w:val="19"/>
                <w:szCs w:val="19"/>
                <w:spacing w:val="7"/>
              </w:rPr>
              <w:t>，并配合地方政府完成了矿田开采范</w:t>
            </w:r>
            <w:r>
              <w:rPr>
                <w:rFonts w:ascii="SimSun" w:hAnsi="SimSun" w:eastAsia="SimSun" w:cs="SimSun"/>
                <w:sz w:val="19"/>
                <w:szCs w:val="19"/>
                <w:spacing w:val="5"/>
              </w:rPr>
              <w:t>围内</w:t>
            </w:r>
            <w:r>
              <w:rPr>
                <w:rFonts w:ascii="SimSun" w:hAnsi="SimSun" w:eastAsia="SimSun" w:cs="SimSun"/>
                <w:sz w:val="19"/>
                <w:szCs w:val="19"/>
                <w:spacing w:val="-20"/>
              </w:rPr>
              <w:t xml:space="preserve"> </w:t>
            </w:r>
            <w:r>
              <w:rPr>
                <w:sz w:val="19"/>
                <w:szCs w:val="19"/>
                <w:spacing w:val="5"/>
              </w:rPr>
              <w:t>35 </w:t>
            </w:r>
            <w:r>
              <w:rPr>
                <w:rFonts w:ascii="SimSun" w:hAnsi="SimSun" w:eastAsia="SimSun" w:cs="SimSun"/>
                <w:sz w:val="19"/>
                <w:szCs w:val="19"/>
                <w:spacing w:val="5"/>
              </w:rPr>
              <w:t>户牧民的搬迁安置工作。</w:t>
            </w:r>
          </w:p>
        </w:tc>
        <w:tc>
          <w:tcPr>
            <w:tcW w:w="4502" w:type="dxa"/>
            <w:vAlign w:val="top"/>
          </w:tcPr>
          <w:p>
            <w:pPr>
              <w:ind w:left="134"/>
              <w:spacing w:before="90" w:line="229" w:lineRule="auto"/>
              <w:rPr>
                <w:rFonts w:ascii="SimSun" w:hAnsi="SimSun" w:eastAsia="SimSun" w:cs="SimSun"/>
                <w:sz w:val="19"/>
                <w:szCs w:val="19"/>
              </w:rPr>
            </w:pPr>
            <w:r>
              <w:rPr>
                <w:rFonts w:ascii="SimSun" w:hAnsi="SimSun" w:eastAsia="SimSun" w:cs="SimSun"/>
                <w:sz w:val="19"/>
                <w:szCs w:val="19"/>
              </w:rPr>
              <w:t>已落实</w:t>
            </w:r>
          </w:p>
          <w:p>
            <w:pPr>
              <w:pStyle w:val="TableText"/>
              <w:ind w:left="114" w:right="107"/>
              <w:spacing w:before="88" w:line="312" w:lineRule="auto"/>
              <w:rPr>
                <w:rFonts w:ascii="SimSun" w:hAnsi="SimSun" w:eastAsia="SimSun" w:cs="SimSun"/>
                <w:sz w:val="19"/>
                <w:szCs w:val="19"/>
              </w:rPr>
            </w:pPr>
            <w:r>
              <w:rPr>
                <w:rFonts w:ascii="SimSun" w:hAnsi="SimSun" w:eastAsia="SimSun" w:cs="SimSun"/>
                <w:sz w:val="19"/>
                <w:szCs w:val="19"/>
                <w:spacing w:val="9"/>
              </w:rPr>
              <w:t>建设单位已制定了土地复垦与生态恢复实施方案</w:t>
            </w:r>
            <w:r>
              <w:rPr>
                <w:sz w:val="19"/>
                <w:szCs w:val="19"/>
                <w:spacing w:val="9"/>
              </w:rPr>
              <w:t>,</w:t>
            </w:r>
            <w:r>
              <w:rPr>
                <w:rFonts w:ascii="SimSun" w:hAnsi="SimSun" w:eastAsia="SimSun" w:cs="SimSun"/>
                <w:sz w:val="19"/>
                <w:szCs w:val="19"/>
                <w:spacing w:val="8"/>
              </w:rPr>
              <w:t>并对东一、东二排土场进行了生态恢复</w:t>
            </w:r>
            <w:r>
              <w:rPr>
                <w:rFonts w:ascii="SimSun" w:hAnsi="SimSun" w:eastAsia="SimSun" w:cs="SimSun"/>
                <w:sz w:val="19"/>
                <w:szCs w:val="19"/>
                <w:color w:val="0000FF"/>
                <w:spacing w:val="8"/>
              </w:rPr>
              <w:t>。</w:t>
            </w:r>
            <w:r>
              <w:rPr>
                <w:sz w:val="19"/>
                <w:szCs w:val="19"/>
                <w:spacing w:val="8"/>
              </w:rPr>
              <w:t>2019 </w:t>
            </w:r>
            <w:r>
              <w:rPr>
                <w:rFonts w:ascii="SimSun" w:hAnsi="SimSun" w:eastAsia="SimSun" w:cs="SimSun"/>
                <w:sz w:val="19"/>
                <w:szCs w:val="19"/>
                <w:spacing w:val="8"/>
              </w:rPr>
              <w:t>年</w:t>
            </w:r>
            <w:r>
              <w:rPr>
                <w:sz w:val="19"/>
                <w:szCs w:val="19"/>
                <w:spacing w:val="7"/>
              </w:rPr>
              <w:t>11</w:t>
            </w:r>
            <w:r>
              <w:rPr>
                <w:sz w:val="19"/>
                <w:szCs w:val="19"/>
                <w:spacing w:val="5"/>
              </w:rPr>
              <w:t xml:space="preserve"> </w:t>
            </w:r>
            <w:r>
              <w:rPr>
                <w:rFonts w:ascii="SimSun" w:hAnsi="SimSun" w:eastAsia="SimSun" w:cs="SimSun"/>
                <w:sz w:val="19"/>
                <w:szCs w:val="19"/>
                <w:spacing w:val="7"/>
              </w:rPr>
              <w:t>月</w:t>
            </w:r>
            <w:r>
              <w:rPr>
                <w:sz w:val="19"/>
                <w:szCs w:val="19"/>
                <w:spacing w:val="7"/>
              </w:rPr>
              <w:t>27</w:t>
            </w:r>
            <w:r>
              <w:rPr>
                <w:sz w:val="19"/>
                <w:szCs w:val="19"/>
                <w:spacing w:val="22"/>
              </w:rPr>
              <w:t xml:space="preserve"> </w:t>
            </w:r>
            <w:r>
              <w:rPr>
                <w:rFonts w:ascii="SimSun" w:hAnsi="SimSun" w:eastAsia="SimSun" w:cs="SimSun"/>
                <w:sz w:val="19"/>
                <w:szCs w:val="19"/>
                <w:spacing w:val="7"/>
              </w:rPr>
              <w:t>日通过了锡林郭勒盟自然资源局组织的验</w:t>
            </w:r>
            <w:r>
              <w:rPr>
                <w:rFonts w:ascii="SimSun" w:hAnsi="SimSun" w:eastAsia="SimSun" w:cs="SimSun"/>
                <w:sz w:val="19"/>
                <w:szCs w:val="19"/>
                <w:spacing w:val="9"/>
              </w:rPr>
              <w:t>收，取得了《内蒙古自治区矿山地质环境保护与</w:t>
            </w:r>
            <w:r>
              <w:rPr>
                <w:rFonts w:ascii="SimSun" w:hAnsi="SimSun" w:eastAsia="SimSun" w:cs="SimSun"/>
                <w:sz w:val="19"/>
                <w:szCs w:val="19"/>
                <w:spacing w:val="8"/>
              </w:rPr>
              <w:t>恢复治理及土地复垦工程验收意见书》</w:t>
            </w:r>
            <w:r>
              <w:rPr>
                <w:rFonts w:ascii="SimSun" w:hAnsi="SimSun" w:eastAsia="SimSun" w:cs="SimSun"/>
                <w:sz w:val="19"/>
                <w:szCs w:val="19"/>
                <w:color w:val="FF0000"/>
                <w:spacing w:val="8"/>
              </w:rPr>
              <w:t>，</w:t>
            </w:r>
            <w:r>
              <w:rPr>
                <w:sz w:val="19"/>
                <w:szCs w:val="19"/>
                <w:spacing w:val="8"/>
              </w:rPr>
              <w:t>2020 </w:t>
            </w:r>
            <w:r>
              <w:rPr>
                <w:rFonts w:ascii="SimSun" w:hAnsi="SimSun" w:eastAsia="SimSun" w:cs="SimSun"/>
                <w:sz w:val="19"/>
                <w:szCs w:val="19"/>
                <w:spacing w:val="8"/>
              </w:rPr>
              <w:t>年</w:t>
            </w:r>
            <w:r>
              <w:rPr>
                <w:sz w:val="19"/>
                <w:szCs w:val="19"/>
                <w:spacing w:val="6"/>
              </w:rPr>
              <w:t>10</w:t>
            </w:r>
            <w:r>
              <w:rPr>
                <w:sz w:val="19"/>
                <w:szCs w:val="19"/>
                <w:spacing w:val="15"/>
              </w:rPr>
              <w:t xml:space="preserve"> </w:t>
            </w:r>
            <w:r>
              <w:rPr>
                <w:rFonts w:ascii="SimSun" w:hAnsi="SimSun" w:eastAsia="SimSun" w:cs="SimSun"/>
                <w:sz w:val="19"/>
                <w:szCs w:val="19"/>
                <w:spacing w:val="6"/>
              </w:rPr>
              <w:t>月企业完成两座排土场削坡治理工程，</w:t>
            </w:r>
            <w:r>
              <w:rPr>
                <w:rFonts w:ascii="SimSun" w:hAnsi="SimSun" w:eastAsia="SimSun" w:cs="SimSun"/>
                <w:sz w:val="19"/>
                <w:szCs w:val="19"/>
                <w:spacing w:val="-41"/>
              </w:rPr>
              <w:t xml:space="preserve"> </w:t>
            </w:r>
            <w:r>
              <w:rPr>
                <w:rFonts w:ascii="SimSun" w:hAnsi="SimSun" w:eastAsia="SimSun" w:cs="SimSun"/>
                <w:sz w:val="19"/>
                <w:szCs w:val="19"/>
                <w:spacing w:val="6"/>
              </w:rPr>
              <w:t>目</w:t>
            </w:r>
            <w:r>
              <w:rPr>
                <w:rFonts w:ascii="SimSun" w:hAnsi="SimSun" w:eastAsia="SimSun" w:cs="SimSun"/>
                <w:sz w:val="19"/>
                <w:szCs w:val="19"/>
                <w:spacing w:val="5"/>
              </w:rPr>
              <w:t>前已</w:t>
            </w:r>
            <w:r>
              <w:rPr>
                <w:rFonts w:ascii="SimSun" w:hAnsi="SimSun" w:eastAsia="SimSun" w:cs="SimSun"/>
                <w:sz w:val="19"/>
                <w:szCs w:val="19"/>
                <w:spacing w:val="7"/>
              </w:rPr>
              <w:t>完成覆土绿化工程，</w:t>
            </w:r>
            <w:r>
              <w:rPr>
                <w:rFonts w:ascii="SimSun" w:hAnsi="SimSun" w:eastAsia="SimSun" w:cs="SimSun"/>
                <w:sz w:val="19"/>
                <w:szCs w:val="19"/>
                <w:spacing w:val="-43"/>
              </w:rPr>
              <w:t xml:space="preserve"> </w:t>
            </w:r>
            <w:r>
              <w:rPr>
                <w:rFonts w:ascii="SimSun" w:hAnsi="SimSun" w:eastAsia="SimSun" w:cs="SimSun"/>
                <w:sz w:val="19"/>
                <w:szCs w:val="19"/>
                <w:spacing w:val="7"/>
              </w:rPr>
              <w:t>目前，矿田范围内的居民均</w:t>
            </w:r>
            <w:r>
              <w:rPr>
                <w:rFonts w:ascii="SimSun" w:hAnsi="SimSun" w:eastAsia="SimSun" w:cs="SimSun"/>
                <w:sz w:val="19"/>
                <w:szCs w:val="19"/>
                <w:spacing w:val="6"/>
              </w:rPr>
              <w:t>已搬迁完毕。</w:t>
            </w:r>
          </w:p>
        </w:tc>
      </w:tr>
      <w:tr>
        <w:trPr>
          <w:trHeight w:val="4296" w:hRule="atLeast"/>
        </w:trPr>
        <w:tc>
          <w:tcPr>
            <w:tcW w:w="701" w:type="dxa"/>
            <w:vAlign w:val="top"/>
          </w:tcPr>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ind w:left="257"/>
              <w:spacing w:before="62" w:line="184" w:lineRule="auto"/>
              <w:rPr>
                <w:rFonts w:ascii="SimSun" w:hAnsi="SimSun" w:eastAsia="SimSun" w:cs="SimSun"/>
                <w:sz w:val="19"/>
                <w:szCs w:val="19"/>
              </w:rPr>
            </w:pPr>
            <w:r>
              <w:rPr>
                <w:rFonts w:ascii="SimSun" w:hAnsi="SimSun" w:eastAsia="SimSun" w:cs="SimSun"/>
                <w:sz w:val="19"/>
                <w:szCs w:val="19"/>
              </w:rPr>
              <w:t>二</w:t>
            </w:r>
          </w:p>
        </w:tc>
        <w:tc>
          <w:tcPr>
            <w:tcW w:w="4087" w:type="dxa"/>
            <w:vAlign w:val="top"/>
          </w:tcPr>
          <w:p>
            <w:pPr>
              <w:spacing w:line="279" w:lineRule="auto"/>
              <w:rPr>
                <w:rFonts w:ascii="Arial"/>
                <w:sz w:val="21"/>
              </w:rPr>
            </w:pPr>
            <w:r/>
          </w:p>
          <w:p>
            <w:pPr>
              <w:spacing w:line="280" w:lineRule="auto"/>
              <w:rPr>
                <w:rFonts w:ascii="Arial"/>
                <w:sz w:val="21"/>
              </w:rPr>
            </w:pPr>
            <w:r/>
          </w:p>
          <w:p>
            <w:pPr>
              <w:spacing w:line="280" w:lineRule="auto"/>
              <w:rPr>
                <w:rFonts w:ascii="Arial"/>
                <w:sz w:val="21"/>
              </w:rPr>
            </w:pPr>
            <w:r/>
          </w:p>
          <w:p>
            <w:pPr>
              <w:pStyle w:val="TableText"/>
              <w:ind w:left="110" w:right="225"/>
              <w:spacing w:before="62" w:line="317" w:lineRule="auto"/>
              <w:rPr>
                <w:rFonts w:ascii="SimSun" w:hAnsi="SimSun" w:eastAsia="SimSun" w:cs="SimSun"/>
                <w:sz w:val="19"/>
                <w:szCs w:val="19"/>
              </w:rPr>
            </w:pPr>
            <w:r>
              <w:rPr>
                <w:rFonts w:ascii="SimSun" w:hAnsi="SimSun" w:eastAsia="SimSun" w:cs="SimSun"/>
                <w:sz w:val="19"/>
                <w:szCs w:val="19"/>
                <w:spacing w:val="7"/>
              </w:rPr>
              <w:t>建设了处理规模为</w:t>
            </w:r>
            <w:r>
              <w:rPr>
                <w:rFonts w:ascii="SimSun" w:hAnsi="SimSun" w:eastAsia="SimSun" w:cs="SimSun"/>
                <w:sz w:val="19"/>
                <w:szCs w:val="19"/>
                <w:spacing w:val="-25"/>
              </w:rPr>
              <w:t xml:space="preserve"> </w:t>
            </w:r>
            <w:r>
              <w:rPr>
                <w:sz w:val="19"/>
                <w:szCs w:val="19"/>
                <w:spacing w:val="7"/>
              </w:rPr>
              <w:t>8640 </w:t>
            </w:r>
            <w:r>
              <w:rPr>
                <w:rFonts w:ascii="SimSun" w:hAnsi="SimSun" w:eastAsia="SimSun" w:cs="SimSun"/>
                <w:sz w:val="19"/>
                <w:szCs w:val="19"/>
                <w:spacing w:val="7"/>
              </w:rPr>
              <w:t>立方米</w:t>
            </w:r>
            <w:r>
              <w:rPr>
                <w:sz w:val="19"/>
                <w:szCs w:val="19"/>
                <w:spacing w:val="7"/>
              </w:rPr>
              <w:t>/</w:t>
            </w:r>
            <w:r>
              <w:rPr>
                <w:rFonts w:ascii="SimSun" w:hAnsi="SimSun" w:eastAsia="SimSun" w:cs="SimSun"/>
                <w:sz w:val="19"/>
                <w:szCs w:val="19"/>
                <w:spacing w:val="7"/>
              </w:rPr>
              <w:t>天矿坑水处</w:t>
            </w:r>
            <w:r>
              <w:rPr>
                <w:rFonts w:ascii="SimSun" w:hAnsi="SimSun" w:eastAsia="SimSun" w:cs="SimSun"/>
                <w:sz w:val="19"/>
                <w:szCs w:val="19"/>
                <w:spacing w:val="7"/>
              </w:rPr>
              <w:t>理站和</w:t>
            </w:r>
            <w:r>
              <w:rPr>
                <w:rFonts w:ascii="SimSun" w:hAnsi="SimSun" w:eastAsia="SimSun" w:cs="SimSun"/>
                <w:sz w:val="19"/>
                <w:szCs w:val="19"/>
                <w:spacing w:val="-22"/>
              </w:rPr>
              <w:t xml:space="preserve"> </w:t>
            </w:r>
            <w:r>
              <w:rPr>
                <w:sz w:val="19"/>
                <w:szCs w:val="19"/>
                <w:spacing w:val="7"/>
              </w:rPr>
              <w:t>840 </w:t>
            </w:r>
            <w:r>
              <w:rPr>
                <w:rFonts w:ascii="SimSun" w:hAnsi="SimSun" w:eastAsia="SimSun" w:cs="SimSun"/>
                <w:sz w:val="19"/>
                <w:szCs w:val="19"/>
                <w:spacing w:val="7"/>
              </w:rPr>
              <w:t>立方米</w:t>
            </w:r>
            <w:r>
              <w:rPr>
                <w:sz w:val="19"/>
                <w:szCs w:val="19"/>
                <w:spacing w:val="7"/>
              </w:rPr>
              <w:t>/</w:t>
            </w:r>
            <w:r>
              <w:rPr>
                <w:rFonts w:ascii="SimSun" w:hAnsi="SimSun" w:eastAsia="SimSun" w:cs="SimSun"/>
                <w:sz w:val="19"/>
                <w:szCs w:val="19"/>
                <w:spacing w:val="7"/>
              </w:rPr>
              <w:t>日生活污水处理站各一</w:t>
            </w:r>
          </w:p>
          <w:p>
            <w:pPr>
              <w:ind w:left="109"/>
              <w:spacing w:line="227" w:lineRule="auto"/>
              <w:rPr>
                <w:rFonts w:ascii="SimSun" w:hAnsi="SimSun" w:eastAsia="SimSun" w:cs="SimSun"/>
                <w:sz w:val="19"/>
                <w:szCs w:val="19"/>
              </w:rPr>
            </w:pPr>
            <w:r>
              <w:rPr>
                <w:rFonts w:ascii="SimSun" w:hAnsi="SimSun" w:eastAsia="SimSun" w:cs="SimSun"/>
                <w:sz w:val="19"/>
                <w:szCs w:val="19"/>
                <w:spacing w:val="8"/>
              </w:rPr>
              <w:t>座，矿坑水与疏干水经处理后进入蓄水池，</w:t>
            </w:r>
          </w:p>
          <w:p>
            <w:pPr>
              <w:pStyle w:val="TableText"/>
              <w:ind w:left="108" w:right="129" w:firstLine="1"/>
              <w:spacing w:before="93" w:line="316" w:lineRule="auto"/>
              <w:rPr>
                <w:rFonts w:ascii="SimSun" w:hAnsi="SimSun" w:eastAsia="SimSun" w:cs="SimSun"/>
                <w:sz w:val="19"/>
                <w:szCs w:val="19"/>
              </w:rPr>
            </w:pPr>
            <w:r>
              <w:rPr>
                <w:rFonts w:ascii="SimSun" w:hAnsi="SimSun" w:eastAsia="SimSun" w:cs="SimSun"/>
                <w:sz w:val="19"/>
                <w:szCs w:val="19"/>
                <w:spacing w:val="9"/>
              </w:rPr>
              <w:t>部分供给金山电厂和厂区生活用水，其余用</w:t>
            </w:r>
            <w:r>
              <w:rPr>
                <w:rFonts w:ascii="SimSun" w:hAnsi="SimSun" w:eastAsia="SimSun" w:cs="SimSun"/>
                <w:sz w:val="19"/>
                <w:szCs w:val="19"/>
                <w:spacing w:val="9"/>
              </w:rPr>
              <w:t>于采场降尘、道路洒水、绿化用水等</w:t>
            </w:r>
            <w:r>
              <w:rPr>
                <w:sz w:val="19"/>
                <w:szCs w:val="19"/>
                <w:spacing w:val="9"/>
              </w:rPr>
              <w:t>,</w:t>
            </w:r>
            <w:r>
              <w:rPr>
                <w:rFonts w:ascii="SimSun" w:hAnsi="SimSun" w:eastAsia="SimSun" w:cs="SimSun"/>
                <w:sz w:val="19"/>
                <w:szCs w:val="19"/>
                <w:spacing w:val="9"/>
              </w:rPr>
              <w:t>生活污</w:t>
            </w:r>
            <w:r>
              <w:rPr>
                <w:rFonts w:ascii="SimSun" w:hAnsi="SimSun" w:eastAsia="SimSun" w:cs="SimSun"/>
                <w:sz w:val="19"/>
                <w:szCs w:val="19"/>
                <w:spacing w:val="9"/>
              </w:rPr>
              <w:t>水经处理后排至冬储夏灌池，用于绿化、道</w:t>
            </w:r>
            <w:r>
              <w:rPr>
                <w:rFonts w:ascii="SimSun" w:hAnsi="SimSun" w:eastAsia="SimSun" w:cs="SimSun"/>
                <w:sz w:val="19"/>
                <w:szCs w:val="19"/>
                <w:spacing w:val="9"/>
              </w:rPr>
              <w:t>路洒水等</w:t>
            </w:r>
            <w:r>
              <w:rPr>
                <w:sz w:val="19"/>
                <w:szCs w:val="19"/>
                <w:spacing w:val="9"/>
              </w:rPr>
              <w:t>,</w:t>
            </w:r>
            <w:r>
              <w:rPr>
                <w:rFonts w:ascii="SimSun" w:hAnsi="SimSun" w:eastAsia="SimSun" w:cs="SimSun"/>
                <w:sz w:val="19"/>
                <w:szCs w:val="19"/>
                <w:spacing w:val="9"/>
              </w:rPr>
              <w:t>不外排。开展了地下水跟踪监测，</w:t>
            </w:r>
            <w:r>
              <w:rPr>
                <w:rFonts w:ascii="SimSun" w:hAnsi="SimSun" w:eastAsia="SimSun" w:cs="SimSun"/>
                <w:sz w:val="19"/>
                <w:szCs w:val="19"/>
                <w:spacing w:val="8"/>
              </w:rPr>
              <w:t>制定了村庄供水预案。</w:t>
            </w:r>
          </w:p>
        </w:tc>
        <w:tc>
          <w:tcPr>
            <w:tcW w:w="4502" w:type="dxa"/>
            <w:vAlign w:val="top"/>
          </w:tcPr>
          <w:p>
            <w:pPr>
              <w:ind w:left="115"/>
              <w:spacing w:before="92" w:line="228" w:lineRule="auto"/>
              <w:rPr>
                <w:rFonts w:ascii="SimSun" w:hAnsi="SimSun" w:eastAsia="SimSun" w:cs="SimSun"/>
                <w:sz w:val="19"/>
                <w:szCs w:val="19"/>
              </w:rPr>
            </w:pPr>
            <w:r>
              <w:rPr>
                <w:rFonts w:ascii="SimSun" w:hAnsi="SimSun" w:eastAsia="SimSun" w:cs="SimSun"/>
                <w:sz w:val="19"/>
                <w:szCs w:val="19"/>
                <w:spacing w:val="7"/>
              </w:rPr>
              <w:t>部分落实</w:t>
            </w:r>
          </w:p>
          <w:p>
            <w:pPr>
              <w:pStyle w:val="TableText"/>
              <w:ind w:left="109" w:right="27" w:firstLine="41"/>
              <w:spacing w:before="89" w:line="317" w:lineRule="auto"/>
              <w:rPr>
                <w:rFonts w:ascii="SimSun" w:hAnsi="SimSun" w:eastAsia="SimSun" w:cs="SimSun"/>
                <w:sz w:val="19"/>
                <w:szCs w:val="19"/>
              </w:rPr>
            </w:pPr>
            <w:r>
              <w:rPr>
                <w:rFonts w:ascii="SimSun" w:hAnsi="SimSun" w:eastAsia="SimSun" w:cs="SimSun"/>
                <w:sz w:val="19"/>
                <w:szCs w:val="19"/>
                <w:spacing w:val="7"/>
              </w:rPr>
              <w:t>目前矿坑水集中收集至矿坑水处理站，工艺为复</w:t>
            </w:r>
            <w:r>
              <w:rPr>
                <w:rFonts w:ascii="SimSun" w:hAnsi="SimSun" w:eastAsia="SimSun" w:cs="SimSun"/>
                <w:sz w:val="19"/>
                <w:szCs w:val="19"/>
                <w:spacing w:val="7"/>
              </w:rPr>
              <w:t>合分离剂絮凝沉淀工艺，处理能力</w:t>
            </w:r>
            <w:r>
              <w:rPr>
                <w:rFonts w:ascii="SimSun" w:hAnsi="SimSun" w:eastAsia="SimSun" w:cs="SimSun"/>
                <w:sz w:val="19"/>
                <w:szCs w:val="19"/>
                <w:spacing w:val="-27"/>
              </w:rPr>
              <w:t xml:space="preserve"> </w:t>
            </w:r>
            <w:r>
              <w:rPr>
                <w:sz w:val="19"/>
                <w:szCs w:val="19"/>
                <w:spacing w:val="7"/>
              </w:rPr>
              <w:t>750m</w:t>
            </w:r>
            <w:r>
              <w:rPr>
                <w:sz w:val="13"/>
                <w:szCs w:val="13"/>
                <w:spacing w:val="7"/>
                <w:position w:val="6"/>
              </w:rPr>
              <w:t>3</w:t>
            </w:r>
            <w:r>
              <w:rPr>
                <w:sz w:val="19"/>
                <w:szCs w:val="19"/>
                <w:spacing w:val="7"/>
              </w:rPr>
              <w:t>/h</w:t>
            </w:r>
            <w:r>
              <w:rPr>
                <w:rFonts w:ascii="SimSun" w:hAnsi="SimSun" w:eastAsia="SimSun" w:cs="SimSun"/>
                <w:sz w:val="19"/>
                <w:szCs w:val="19"/>
                <w:spacing w:val="7"/>
              </w:rPr>
              <w:t>（</w:t>
            </w:r>
            <w:r>
              <w:rPr>
                <w:sz w:val="19"/>
                <w:szCs w:val="19"/>
                <w:spacing w:val="7"/>
              </w:rPr>
              <w:t>3 </w:t>
            </w:r>
            <w:r>
              <w:rPr>
                <w:rFonts w:ascii="SimSun" w:hAnsi="SimSun" w:eastAsia="SimSun" w:cs="SimSun"/>
                <w:sz w:val="19"/>
                <w:szCs w:val="19"/>
                <w:spacing w:val="7"/>
              </w:rPr>
              <w:t>套</w:t>
            </w:r>
            <w:r>
              <w:rPr>
                <w:sz w:val="19"/>
                <w:szCs w:val="19"/>
                <w:spacing w:val="2"/>
              </w:rPr>
              <w:t>250m</w:t>
            </w:r>
            <w:r>
              <w:rPr>
                <w:sz w:val="13"/>
                <w:szCs w:val="13"/>
                <w:spacing w:val="2"/>
                <w:position w:val="6"/>
              </w:rPr>
              <w:t>3</w:t>
            </w:r>
            <w:r>
              <w:rPr>
                <w:sz w:val="19"/>
                <w:szCs w:val="19"/>
                <w:spacing w:val="2"/>
              </w:rPr>
              <w:t>/h</w:t>
            </w:r>
            <w:r>
              <w:rPr>
                <w:rFonts w:ascii="SimSun" w:hAnsi="SimSun" w:eastAsia="SimSun" w:cs="SimSun"/>
                <w:sz w:val="19"/>
                <w:szCs w:val="19"/>
                <w:spacing w:val="-38"/>
                <w:w w:val="76"/>
              </w:rPr>
              <w:t>），</w:t>
            </w:r>
            <w:r>
              <w:rPr>
                <w:rFonts w:ascii="SimSun" w:hAnsi="SimSun" w:eastAsia="SimSun" w:cs="SimSun"/>
                <w:sz w:val="19"/>
                <w:szCs w:val="19"/>
                <w:spacing w:val="2"/>
              </w:rPr>
              <w:t>原有矿坑水处理站（处理能力</w:t>
            </w:r>
            <w:r>
              <w:rPr>
                <w:rFonts w:ascii="SimSun" w:hAnsi="SimSun" w:eastAsia="SimSun" w:cs="SimSun"/>
                <w:sz w:val="19"/>
                <w:szCs w:val="19"/>
                <w:spacing w:val="-49"/>
              </w:rPr>
              <w:t xml:space="preserve"> </w:t>
            </w:r>
            <w:r>
              <w:rPr>
                <w:sz w:val="19"/>
                <w:szCs w:val="19"/>
                <w:spacing w:val="2"/>
              </w:rPr>
              <w:t>8640m</w:t>
            </w:r>
            <w:r>
              <w:rPr>
                <w:sz w:val="13"/>
                <w:szCs w:val="13"/>
                <w:spacing w:val="1"/>
                <w:position w:val="6"/>
              </w:rPr>
              <w:t>3</w:t>
            </w:r>
            <w:r>
              <w:rPr>
                <w:sz w:val="19"/>
                <w:szCs w:val="19"/>
                <w:spacing w:val="1"/>
              </w:rPr>
              <w:t>/d</w:t>
            </w:r>
            <w:r>
              <w:rPr>
                <w:rFonts w:ascii="SimSun" w:hAnsi="SimSun" w:eastAsia="SimSun" w:cs="SimSun"/>
                <w:sz w:val="19"/>
                <w:szCs w:val="19"/>
                <w:spacing w:val="1"/>
              </w:rPr>
              <w:t>）</w:t>
            </w:r>
            <w:r>
              <w:rPr>
                <w:rFonts w:ascii="SimSun" w:hAnsi="SimSun" w:eastAsia="SimSun" w:cs="SimSun"/>
                <w:sz w:val="19"/>
                <w:szCs w:val="19"/>
                <w:spacing w:val="6"/>
              </w:rPr>
              <w:t>作为备用。</w:t>
            </w:r>
            <w:r>
              <w:rPr>
                <w:rFonts w:ascii="SimSun" w:hAnsi="SimSun" w:eastAsia="SimSun" w:cs="SimSun"/>
                <w:sz w:val="19"/>
                <w:szCs w:val="19"/>
                <w:spacing w:val="-22"/>
              </w:rPr>
              <w:t xml:space="preserve"> </w:t>
            </w:r>
            <w:r>
              <w:rPr>
                <w:rFonts w:ascii="SimSun" w:hAnsi="SimSun" w:eastAsia="SimSun" w:cs="SimSun"/>
                <w:sz w:val="19"/>
                <w:szCs w:val="19"/>
                <w:spacing w:val="6"/>
              </w:rPr>
              <w:t>目前生活污水使用的是新建的一套</w:t>
            </w:r>
          </w:p>
          <w:p>
            <w:pPr>
              <w:pStyle w:val="TableText"/>
              <w:ind w:left="114" w:right="58" w:hanging="6"/>
              <w:spacing w:line="317" w:lineRule="auto"/>
              <w:rPr>
                <w:rFonts w:ascii="SimSun" w:hAnsi="SimSun" w:eastAsia="SimSun" w:cs="SimSun"/>
                <w:sz w:val="19"/>
                <w:szCs w:val="19"/>
              </w:rPr>
            </w:pPr>
            <w:r>
              <w:rPr>
                <w:sz w:val="19"/>
                <w:szCs w:val="19"/>
              </w:rPr>
              <w:t>MBR</w:t>
            </w:r>
            <w:r>
              <w:rPr>
                <w:sz w:val="19"/>
                <w:szCs w:val="19"/>
                <w:spacing w:val="5"/>
              </w:rPr>
              <w:t>-50</w:t>
            </w:r>
            <w:r>
              <w:rPr>
                <w:sz w:val="19"/>
                <w:szCs w:val="19"/>
                <w:spacing w:val="25"/>
              </w:rPr>
              <w:t xml:space="preserve"> </w:t>
            </w:r>
            <w:r>
              <w:rPr>
                <w:rFonts w:ascii="SimSun" w:hAnsi="SimSun" w:eastAsia="SimSun" w:cs="SimSun"/>
                <w:sz w:val="19"/>
                <w:szCs w:val="19"/>
                <w:spacing w:val="5"/>
              </w:rPr>
              <w:t>型（处理量为</w:t>
            </w:r>
            <w:r>
              <w:rPr>
                <w:rFonts w:ascii="SimSun" w:hAnsi="SimSun" w:eastAsia="SimSun" w:cs="SimSun"/>
                <w:sz w:val="19"/>
                <w:szCs w:val="19"/>
                <w:spacing w:val="-35"/>
              </w:rPr>
              <w:t xml:space="preserve"> </w:t>
            </w:r>
            <w:r>
              <w:rPr>
                <w:sz w:val="19"/>
                <w:szCs w:val="19"/>
                <w:spacing w:val="5"/>
              </w:rPr>
              <w:t>50m</w:t>
            </w:r>
            <w:r>
              <w:rPr>
                <w:sz w:val="13"/>
                <w:szCs w:val="13"/>
                <w:spacing w:val="5"/>
                <w:position w:val="6"/>
              </w:rPr>
              <w:t>3</w:t>
            </w:r>
            <w:r>
              <w:rPr>
                <w:sz w:val="19"/>
                <w:szCs w:val="19"/>
                <w:spacing w:val="5"/>
              </w:rPr>
              <w:t>/h</w:t>
            </w:r>
            <w:r>
              <w:rPr>
                <w:rFonts w:ascii="SimSun" w:hAnsi="SimSun" w:eastAsia="SimSun" w:cs="SimSun"/>
                <w:sz w:val="19"/>
                <w:szCs w:val="19"/>
                <w:spacing w:val="5"/>
              </w:rPr>
              <w:t>）的污水处理设备，</w:t>
            </w:r>
            <w:r>
              <w:rPr>
                <w:rFonts w:ascii="SimSun" w:hAnsi="SimSun" w:eastAsia="SimSun" w:cs="SimSun"/>
                <w:sz w:val="19"/>
                <w:szCs w:val="19"/>
                <w:spacing w:val="9"/>
              </w:rPr>
              <w:t>工艺为生化接触氧化法处理工艺，另外一套</w:t>
            </w:r>
          </w:p>
          <w:p>
            <w:pPr>
              <w:pStyle w:val="TableText"/>
              <w:ind w:left="113" w:right="208" w:hanging="5"/>
              <w:spacing w:before="2" w:line="315" w:lineRule="auto"/>
              <w:rPr>
                <w:rFonts w:ascii="SimSun" w:hAnsi="SimSun" w:eastAsia="SimSun" w:cs="SimSun"/>
                <w:sz w:val="19"/>
                <w:szCs w:val="19"/>
              </w:rPr>
            </w:pPr>
            <w:r>
              <w:rPr>
                <w:sz w:val="19"/>
                <w:szCs w:val="19"/>
              </w:rPr>
              <w:t>MBR</w:t>
            </w:r>
            <w:r>
              <w:rPr>
                <w:sz w:val="19"/>
                <w:szCs w:val="19"/>
                <w:spacing w:val="7"/>
              </w:rPr>
              <w:t>-20</w:t>
            </w:r>
            <w:r>
              <w:rPr>
                <w:sz w:val="19"/>
                <w:szCs w:val="19"/>
                <w:spacing w:val="29"/>
              </w:rPr>
              <w:t xml:space="preserve"> </w:t>
            </w:r>
            <w:r>
              <w:rPr>
                <w:rFonts w:ascii="SimSun" w:hAnsi="SimSun" w:eastAsia="SimSun" w:cs="SimSun"/>
                <w:sz w:val="19"/>
                <w:szCs w:val="19"/>
                <w:spacing w:val="7"/>
              </w:rPr>
              <w:t>型（处理量为</w:t>
            </w:r>
            <w:r>
              <w:rPr>
                <w:rFonts w:ascii="SimSun" w:hAnsi="SimSun" w:eastAsia="SimSun" w:cs="SimSun"/>
                <w:sz w:val="19"/>
                <w:szCs w:val="19"/>
                <w:spacing w:val="-41"/>
              </w:rPr>
              <w:t xml:space="preserve"> </w:t>
            </w:r>
            <w:r>
              <w:rPr>
                <w:sz w:val="19"/>
                <w:szCs w:val="19"/>
                <w:spacing w:val="7"/>
              </w:rPr>
              <w:t>20m</w:t>
            </w:r>
            <w:r>
              <w:rPr>
                <w:sz w:val="13"/>
                <w:szCs w:val="13"/>
                <w:spacing w:val="7"/>
                <w:position w:val="6"/>
              </w:rPr>
              <w:t>3</w:t>
            </w:r>
            <w:r>
              <w:rPr>
                <w:sz w:val="19"/>
                <w:szCs w:val="19"/>
                <w:spacing w:val="7"/>
              </w:rPr>
              <w:t>/h</w:t>
            </w:r>
            <w:r>
              <w:rPr>
                <w:rFonts w:ascii="SimSun" w:hAnsi="SimSun" w:eastAsia="SimSun" w:cs="SimSun"/>
                <w:sz w:val="19"/>
                <w:szCs w:val="19"/>
                <w:spacing w:val="7"/>
              </w:rPr>
              <w:t>）的污水处理设备</w:t>
            </w:r>
            <w:r>
              <w:rPr>
                <w:rFonts w:ascii="SimSun" w:hAnsi="SimSun" w:eastAsia="SimSun" w:cs="SimSun"/>
                <w:sz w:val="19"/>
                <w:szCs w:val="19"/>
                <w:spacing w:val="6"/>
              </w:rPr>
              <w:t>作为备用。</w:t>
            </w:r>
          </w:p>
          <w:p>
            <w:pPr>
              <w:ind w:left="112" w:right="42" w:firstLine="38"/>
              <w:spacing w:before="1" w:line="306" w:lineRule="auto"/>
              <w:rPr>
                <w:rFonts w:ascii="SimSun" w:hAnsi="SimSun" w:eastAsia="SimSun" w:cs="SimSun"/>
                <w:sz w:val="19"/>
                <w:szCs w:val="19"/>
              </w:rPr>
            </w:pPr>
            <w:r>
              <w:rPr>
                <w:rFonts w:ascii="SimSun" w:hAnsi="SimSun" w:eastAsia="SimSun" w:cs="SimSun"/>
                <w:sz w:val="19"/>
                <w:szCs w:val="19"/>
                <w:spacing w:val="5"/>
              </w:rPr>
              <w:t>目前，企业已开展矿区厂界噪声、地下水、废水、</w:t>
            </w:r>
            <w:r>
              <w:rPr>
                <w:rFonts w:ascii="SimSun" w:hAnsi="SimSun" w:eastAsia="SimSun" w:cs="SimSun"/>
                <w:sz w:val="19"/>
                <w:szCs w:val="19"/>
                <w:spacing w:val="9"/>
              </w:rPr>
              <w:t>废气的例行监测，从而掌握矿区环境状况，及时</w:t>
            </w:r>
            <w:r>
              <w:rPr>
                <w:rFonts w:ascii="SimSun" w:hAnsi="SimSun" w:eastAsia="SimSun" w:cs="SimSun"/>
                <w:sz w:val="19"/>
                <w:szCs w:val="19"/>
                <w:spacing w:val="9"/>
              </w:rPr>
              <w:t>发现问题，及时汇报、及时整改，防止发生环境</w:t>
            </w:r>
            <w:r>
              <w:rPr>
                <w:rFonts w:ascii="SimSun" w:hAnsi="SimSun" w:eastAsia="SimSun" w:cs="SimSun"/>
                <w:sz w:val="19"/>
                <w:szCs w:val="19"/>
                <w:spacing w:val="7"/>
              </w:rPr>
              <w:t>污染事故，运行期环境监测计划基本得到了落实。</w:t>
            </w:r>
          </w:p>
        </w:tc>
      </w:tr>
      <w:tr>
        <w:trPr>
          <w:trHeight w:val="2017" w:hRule="atLeast"/>
        </w:trPr>
        <w:tc>
          <w:tcPr>
            <w:tcW w:w="701" w:type="dxa"/>
            <w:vAlign w:val="top"/>
          </w:tcPr>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ind w:left="254"/>
              <w:spacing w:before="62" w:line="252" w:lineRule="exact"/>
              <w:rPr>
                <w:rFonts w:ascii="SimSun" w:hAnsi="SimSun" w:eastAsia="SimSun" w:cs="SimSun"/>
                <w:sz w:val="19"/>
                <w:szCs w:val="19"/>
              </w:rPr>
            </w:pPr>
            <w:r>
              <w:rPr>
                <w:rFonts w:ascii="SimSun" w:hAnsi="SimSun" w:eastAsia="SimSun" w:cs="SimSun"/>
                <w:sz w:val="19"/>
                <w:szCs w:val="19"/>
                <w:spacing w:val="1"/>
                <w:position w:val="1"/>
              </w:rPr>
              <w:t>三</w:t>
            </w:r>
          </w:p>
        </w:tc>
        <w:tc>
          <w:tcPr>
            <w:tcW w:w="4087" w:type="dxa"/>
            <w:vAlign w:val="top"/>
          </w:tcPr>
          <w:p>
            <w:pPr>
              <w:pStyle w:val="TableText"/>
              <w:ind w:left="107" w:right="129"/>
              <w:spacing w:before="92" w:line="310" w:lineRule="auto"/>
              <w:jc w:val="both"/>
              <w:rPr>
                <w:rFonts w:ascii="SimSun" w:hAnsi="SimSun" w:eastAsia="SimSun" w:cs="SimSun"/>
                <w:sz w:val="19"/>
                <w:szCs w:val="19"/>
              </w:rPr>
            </w:pPr>
            <w:r>
              <w:rPr>
                <w:rFonts w:ascii="SimSun" w:hAnsi="SimSun" w:eastAsia="SimSun" w:cs="SimSun"/>
                <w:sz w:val="19"/>
                <w:szCs w:val="19"/>
                <w:spacing w:val="9"/>
              </w:rPr>
              <w:t>在采坑内破碎装置设置了洒水喷头，建设了</w:t>
            </w:r>
            <w:r>
              <w:rPr>
                <w:rFonts w:ascii="SimSun" w:hAnsi="SimSun" w:eastAsia="SimSun" w:cs="SimSun"/>
                <w:sz w:val="19"/>
                <w:szCs w:val="19"/>
                <w:spacing w:val="9"/>
              </w:rPr>
              <w:t>全封闭输煤廊道</w:t>
            </w:r>
            <w:r>
              <w:rPr>
                <w:sz w:val="19"/>
                <w:szCs w:val="19"/>
                <w:spacing w:val="9"/>
              </w:rPr>
              <w:t>,</w:t>
            </w:r>
            <w:r>
              <w:rPr>
                <w:rFonts w:ascii="SimSun" w:hAnsi="SimSun" w:eastAsia="SimSun" w:cs="SimSun"/>
                <w:sz w:val="19"/>
                <w:szCs w:val="19"/>
                <w:spacing w:val="9"/>
              </w:rPr>
              <w:t>破碎筛分及各转载站设置了</w:t>
            </w:r>
            <w:r>
              <w:rPr>
                <w:rFonts w:ascii="SimSun" w:hAnsi="SimSun" w:eastAsia="SimSun" w:cs="SimSun"/>
                <w:sz w:val="19"/>
                <w:szCs w:val="19"/>
                <w:spacing w:val="9"/>
              </w:rPr>
              <w:t>集尘设施，在排土场周边种植了防护林带</w:t>
            </w:r>
            <w:r>
              <w:rPr>
                <w:sz w:val="19"/>
                <w:szCs w:val="19"/>
                <w:spacing w:val="9"/>
              </w:rPr>
              <w:t>,</w:t>
            </w:r>
            <w:r>
              <w:rPr>
                <w:rFonts w:ascii="SimSun" w:hAnsi="SimSun" w:eastAsia="SimSun" w:cs="SimSun"/>
                <w:sz w:val="19"/>
                <w:szCs w:val="19"/>
                <w:spacing w:val="9"/>
              </w:rPr>
              <w:t>物</w:t>
            </w:r>
            <w:r>
              <w:rPr>
                <w:rFonts w:ascii="SimSun" w:hAnsi="SimSun" w:eastAsia="SimSun" w:cs="SimSun"/>
                <w:sz w:val="19"/>
                <w:szCs w:val="19"/>
                <w:spacing w:val="9"/>
              </w:rPr>
              <w:t>料堆放场采取苦盖</w:t>
            </w:r>
            <w:r>
              <w:rPr>
                <w:sz w:val="19"/>
                <w:szCs w:val="19"/>
                <w:spacing w:val="9"/>
              </w:rPr>
              <w:t>,</w:t>
            </w:r>
            <w:r>
              <w:rPr>
                <w:rFonts w:ascii="SimSun" w:hAnsi="SimSun" w:eastAsia="SimSun" w:cs="SimSun"/>
                <w:sz w:val="19"/>
                <w:szCs w:val="19"/>
                <w:spacing w:val="9"/>
              </w:rPr>
              <w:t>运输车辆均覆盖蓬布。配</w:t>
            </w:r>
            <w:r>
              <w:rPr>
                <w:rFonts w:ascii="SimSun" w:hAnsi="SimSun" w:eastAsia="SimSun" w:cs="SimSun"/>
                <w:sz w:val="19"/>
                <w:szCs w:val="19"/>
                <w:spacing w:val="9"/>
              </w:rPr>
              <w:t>备了酒水车，定期对施工场地和运输道路实</w:t>
            </w:r>
            <w:r>
              <w:rPr>
                <w:rFonts w:ascii="SimSun" w:hAnsi="SimSun" w:eastAsia="SimSun" w:cs="SimSun"/>
                <w:sz w:val="19"/>
                <w:szCs w:val="19"/>
                <w:spacing w:val="7"/>
              </w:rPr>
              <w:t>施了洒水抑尘。</w:t>
            </w:r>
          </w:p>
        </w:tc>
        <w:tc>
          <w:tcPr>
            <w:tcW w:w="4502" w:type="dxa"/>
            <w:vAlign w:val="top"/>
          </w:tcPr>
          <w:p>
            <w:pPr>
              <w:ind w:left="134"/>
              <w:spacing w:before="94" w:line="229" w:lineRule="auto"/>
              <w:rPr>
                <w:rFonts w:ascii="SimSun" w:hAnsi="SimSun" w:eastAsia="SimSun" w:cs="SimSun"/>
                <w:sz w:val="19"/>
                <w:szCs w:val="19"/>
              </w:rPr>
            </w:pPr>
            <w:r>
              <w:rPr>
                <w:rFonts w:ascii="SimSun" w:hAnsi="SimSun" w:eastAsia="SimSun" w:cs="SimSun"/>
                <w:sz w:val="19"/>
                <w:szCs w:val="19"/>
              </w:rPr>
              <w:t>已落实</w:t>
            </w:r>
          </w:p>
          <w:p>
            <w:pPr>
              <w:ind w:left="112" w:right="191"/>
              <w:spacing w:before="91" w:line="308" w:lineRule="auto"/>
              <w:rPr>
                <w:rFonts w:ascii="SimSun" w:hAnsi="SimSun" w:eastAsia="SimSun" w:cs="SimSun"/>
                <w:sz w:val="19"/>
                <w:szCs w:val="19"/>
              </w:rPr>
            </w:pPr>
            <w:r>
              <w:rPr>
                <w:rFonts w:ascii="SimSun" w:hAnsi="SimSun" w:eastAsia="SimSun" w:cs="SimSun"/>
                <w:sz w:val="19"/>
                <w:szCs w:val="19"/>
                <w:spacing w:val="9"/>
              </w:rPr>
              <w:t>坑下破碎站处设置洒水喷头，进行洒水抑尘，原</w:t>
            </w:r>
            <w:r>
              <w:rPr>
                <w:rFonts w:ascii="SimSun" w:hAnsi="SimSun" w:eastAsia="SimSun" w:cs="SimSun"/>
                <w:sz w:val="19"/>
                <w:szCs w:val="19"/>
                <w:spacing w:val="9"/>
              </w:rPr>
              <w:t>煤输送采取封闭式输煤廊道，外排土场进行生态</w:t>
            </w:r>
            <w:r>
              <w:rPr>
                <w:rFonts w:ascii="SimSun" w:hAnsi="SimSun" w:eastAsia="SimSun" w:cs="SimSun"/>
                <w:sz w:val="19"/>
                <w:szCs w:val="19"/>
                <w:spacing w:val="9"/>
              </w:rPr>
              <w:t>恢复，物料堆场采取苫盖措施，运输车辆覆盖篷</w:t>
            </w:r>
            <w:r>
              <w:rPr>
                <w:rFonts w:ascii="SimSun" w:hAnsi="SimSun" w:eastAsia="SimSun" w:cs="SimSun"/>
                <w:sz w:val="19"/>
                <w:szCs w:val="19"/>
                <w:spacing w:val="9"/>
              </w:rPr>
              <w:t>布，对采掘场、内排土场及道路采取洒水抑尘措</w:t>
            </w:r>
            <w:r>
              <w:rPr>
                <w:rFonts w:ascii="SimSun" w:hAnsi="SimSun" w:eastAsia="SimSun" w:cs="SimSun"/>
                <w:sz w:val="19"/>
                <w:szCs w:val="19"/>
                <w:spacing w:val="1"/>
              </w:rPr>
              <w:t>施。</w:t>
            </w:r>
          </w:p>
        </w:tc>
      </w:tr>
      <w:tr>
        <w:trPr>
          <w:trHeight w:val="715" w:hRule="atLeast"/>
        </w:trPr>
        <w:tc>
          <w:tcPr>
            <w:tcW w:w="701" w:type="dxa"/>
            <w:vAlign w:val="top"/>
          </w:tcPr>
          <w:p>
            <w:pPr>
              <w:ind w:left="273"/>
              <w:spacing w:before="256" w:line="231" w:lineRule="auto"/>
              <w:rPr>
                <w:rFonts w:ascii="SimSun" w:hAnsi="SimSun" w:eastAsia="SimSun" w:cs="SimSun"/>
                <w:sz w:val="19"/>
                <w:szCs w:val="19"/>
              </w:rPr>
            </w:pPr>
            <w:r>
              <w:rPr>
                <w:rFonts w:ascii="SimSun" w:hAnsi="SimSun" w:eastAsia="SimSun" w:cs="SimSun"/>
                <w:sz w:val="19"/>
                <w:szCs w:val="19"/>
              </w:rPr>
              <w:t>四</w:t>
            </w:r>
          </w:p>
        </w:tc>
        <w:tc>
          <w:tcPr>
            <w:tcW w:w="4087" w:type="dxa"/>
            <w:vAlign w:val="top"/>
          </w:tcPr>
          <w:p>
            <w:pPr>
              <w:ind w:left="110" w:right="182" w:hanging="3"/>
              <w:spacing w:before="95" w:line="296" w:lineRule="auto"/>
              <w:rPr>
                <w:rFonts w:ascii="SimSun" w:hAnsi="SimSun" w:eastAsia="SimSun" w:cs="SimSun"/>
                <w:sz w:val="19"/>
                <w:szCs w:val="19"/>
              </w:rPr>
            </w:pPr>
            <w:r>
              <w:rPr>
                <w:rFonts w:ascii="SimSun" w:hAnsi="SimSun" w:eastAsia="SimSun" w:cs="SimSun"/>
                <w:sz w:val="19"/>
                <w:szCs w:val="19"/>
                <w:spacing w:val="9"/>
              </w:rPr>
              <w:t>选用了低噪声设备，将生活污水、矿坑水处</w:t>
            </w:r>
            <w:r>
              <w:rPr>
                <w:rFonts w:ascii="SimSun" w:hAnsi="SimSun" w:eastAsia="SimSun" w:cs="SimSun"/>
                <w:sz w:val="19"/>
                <w:szCs w:val="19"/>
                <w:spacing w:val="9"/>
              </w:rPr>
              <w:t>理站的高噪声设备设置在室内，将水泵等设</w:t>
            </w:r>
          </w:p>
        </w:tc>
        <w:tc>
          <w:tcPr>
            <w:tcW w:w="4502" w:type="dxa"/>
            <w:vAlign w:val="top"/>
          </w:tcPr>
          <w:p>
            <w:pPr>
              <w:ind w:left="134"/>
              <w:spacing w:before="95" w:line="229" w:lineRule="auto"/>
              <w:rPr>
                <w:rFonts w:ascii="SimSun" w:hAnsi="SimSun" w:eastAsia="SimSun" w:cs="SimSun"/>
                <w:sz w:val="19"/>
                <w:szCs w:val="19"/>
              </w:rPr>
            </w:pPr>
            <w:r>
              <w:rPr>
                <w:rFonts w:ascii="SimSun" w:hAnsi="SimSun" w:eastAsia="SimSun" w:cs="SimSun"/>
                <w:sz w:val="19"/>
                <w:szCs w:val="19"/>
              </w:rPr>
              <w:t>已落实</w:t>
            </w:r>
          </w:p>
          <w:p>
            <w:pPr>
              <w:ind w:left="151"/>
              <w:spacing w:before="88" w:line="227" w:lineRule="auto"/>
              <w:rPr>
                <w:rFonts w:ascii="SimSun" w:hAnsi="SimSun" w:eastAsia="SimSun" w:cs="SimSun"/>
                <w:sz w:val="19"/>
                <w:szCs w:val="19"/>
              </w:rPr>
            </w:pPr>
            <w:r>
              <w:rPr>
                <w:rFonts w:ascii="SimSun" w:hAnsi="SimSun" w:eastAsia="SimSun" w:cs="SimSun"/>
                <w:sz w:val="19"/>
                <w:szCs w:val="19"/>
                <w:spacing w:val="7"/>
              </w:rPr>
              <w:t>目前白音华四号露天矿对场地噪声源均采取了隔</w:t>
            </w:r>
          </w:p>
        </w:tc>
      </w:tr>
    </w:tbl>
    <w:p>
      <w:pPr>
        <w:pStyle w:val="BodyText"/>
        <w:spacing w:line="185" w:lineRule="exact"/>
        <w:rPr>
          <w:sz w:val="16"/>
        </w:rPr>
      </w:pPr>
      <w:r/>
    </w:p>
    <w:p>
      <w:pPr>
        <w:spacing w:line="185" w:lineRule="exact"/>
        <w:sectPr>
          <w:footerReference w:type="default" r:id="rId182"/>
          <w:pgSz w:w="11906" w:h="16838"/>
          <w:pgMar w:top="1170" w:right="1304" w:bottom="1080" w:left="1305" w:header="837" w:footer="918" w:gutter="0"/>
        </w:sectPr>
        <w:rPr>
          <w:sz w:val="16"/>
          <w:szCs w:val="16"/>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1"/>
        <w:gridCol w:w="4087"/>
        <w:gridCol w:w="4502"/>
      </w:tblGrid>
      <w:tr>
        <w:trPr>
          <w:trHeight w:val="393" w:hRule="atLeast"/>
        </w:trPr>
        <w:tc>
          <w:tcPr>
            <w:tcW w:w="701" w:type="dxa"/>
            <w:vAlign w:val="top"/>
          </w:tcPr>
          <w:p>
            <w:pPr>
              <w:ind w:left="153"/>
              <w:spacing w:before="94" w:line="230" w:lineRule="auto"/>
              <w:rPr>
                <w:rFonts w:ascii="SimSun" w:hAnsi="SimSun" w:eastAsia="SimSun" w:cs="SimSun"/>
                <w:sz w:val="19"/>
                <w:szCs w:val="19"/>
              </w:rPr>
            </w:pPr>
            <w:r>
              <w:rPr>
                <w:rFonts w:ascii="SimSun" w:hAnsi="SimSun" w:eastAsia="SimSun" w:cs="SimSun"/>
                <w:sz w:val="19"/>
                <w:szCs w:val="19"/>
                <w:spacing w:val="5"/>
              </w:rPr>
              <w:t>序号</w:t>
            </w:r>
          </w:p>
        </w:tc>
        <w:tc>
          <w:tcPr>
            <w:tcW w:w="4087" w:type="dxa"/>
            <w:vAlign w:val="top"/>
          </w:tcPr>
          <w:p>
            <w:pPr>
              <w:ind w:left="1446"/>
              <w:spacing w:before="95" w:line="228" w:lineRule="auto"/>
              <w:rPr>
                <w:rFonts w:ascii="SimSun" w:hAnsi="SimSun" w:eastAsia="SimSun" w:cs="SimSun"/>
                <w:sz w:val="19"/>
                <w:szCs w:val="19"/>
              </w:rPr>
            </w:pPr>
            <w:r>
              <w:rPr>
                <w:rFonts w:ascii="SimSun" w:hAnsi="SimSun" w:eastAsia="SimSun" w:cs="SimSun"/>
                <w:sz w:val="19"/>
                <w:szCs w:val="19"/>
                <w:spacing w:val="8"/>
              </w:rPr>
              <w:t>验收批复内容</w:t>
            </w:r>
          </w:p>
        </w:tc>
        <w:tc>
          <w:tcPr>
            <w:tcW w:w="4502" w:type="dxa"/>
            <w:vAlign w:val="top"/>
          </w:tcPr>
          <w:p>
            <w:pPr>
              <w:ind w:left="1854"/>
              <w:spacing w:before="95" w:line="229" w:lineRule="auto"/>
              <w:rPr>
                <w:rFonts w:ascii="SimSun" w:hAnsi="SimSun" w:eastAsia="SimSun" w:cs="SimSun"/>
                <w:sz w:val="19"/>
                <w:szCs w:val="19"/>
              </w:rPr>
            </w:pPr>
            <w:r>
              <w:rPr>
                <w:rFonts w:ascii="SimSun" w:hAnsi="SimSun" w:eastAsia="SimSun" w:cs="SimSun"/>
                <w:sz w:val="19"/>
                <w:szCs w:val="19"/>
                <w:spacing w:val="7"/>
              </w:rPr>
              <w:t>落实情况</w:t>
            </w:r>
          </w:p>
        </w:tc>
      </w:tr>
      <w:tr>
        <w:trPr>
          <w:trHeight w:val="712" w:hRule="atLeast"/>
        </w:trPr>
        <w:tc>
          <w:tcPr>
            <w:tcW w:w="701" w:type="dxa"/>
            <w:vAlign w:val="top"/>
          </w:tcPr>
          <w:p>
            <w:pPr>
              <w:rPr>
                <w:rFonts w:ascii="Arial"/>
                <w:sz w:val="21"/>
              </w:rPr>
            </w:pPr>
            <w:r/>
          </w:p>
        </w:tc>
        <w:tc>
          <w:tcPr>
            <w:tcW w:w="4087" w:type="dxa"/>
            <w:vAlign w:val="top"/>
          </w:tcPr>
          <w:p>
            <w:pPr>
              <w:ind w:left="106"/>
              <w:spacing w:before="88" w:line="228" w:lineRule="auto"/>
              <w:rPr>
                <w:rFonts w:ascii="SimSun" w:hAnsi="SimSun" w:eastAsia="SimSun" w:cs="SimSun"/>
                <w:sz w:val="19"/>
                <w:szCs w:val="19"/>
              </w:rPr>
            </w:pPr>
            <w:r>
              <w:rPr>
                <w:rFonts w:ascii="SimSun" w:hAnsi="SimSun" w:eastAsia="SimSun" w:cs="SimSun"/>
                <w:sz w:val="19"/>
                <w:szCs w:val="19"/>
                <w:spacing w:val="9"/>
              </w:rPr>
              <w:t>置在地下，物料运输安排在白天作业</w:t>
            </w:r>
          </w:p>
        </w:tc>
        <w:tc>
          <w:tcPr>
            <w:tcW w:w="4502" w:type="dxa"/>
            <w:vAlign w:val="top"/>
          </w:tcPr>
          <w:p>
            <w:pPr>
              <w:ind w:left="120" w:right="191" w:hanging="3"/>
              <w:spacing w:before="88" w:line="298" w:lineRule="auto"/>
              <w:rPr>
                <w:rFonts w:ascii="SimSun" w:hAnsi="SimSun" w:eastAsia="SimSun" w:cs="SimSun"/>
                <w:sz w:val="19"/>
                <w:szCs w:val="19"/>
              </w:rPr>
            </w:pPr>
            <w:r>
              <w:rPr>
                <w:rFonts w:ascii="SimSun" w:hAnsi="SimSun" w:eastAsia="SimSun" w:cs="SimSun"/>
                <w:sz w:val="19"/>
                <w:szCs w:val="19"/>
                <w:spacing w:val="9"/>
              </w:rPr>
              <w:t>声降噪等措施，根据厂界监测结果，厂界噪声均</w:t>
            </w:r>
            <w:r>
              <w:rPr>
                <w:rFonts w:ascii="SimSun" w:hAnsi="SimSun" w:eastAsia="SimSun" w:cs="SimSun"/>
                <w:sz w:val="19"/>
                <w:szCs w:val="19"/>
                <w:spacing w:val="3"/>
              </w:rPr>
              <w:t>能达标。</w:t>
            </w:r>
          </w:p>
        </w:tc>
      </w:tr>
      <w:tr>
        <w:trPr>
          <w:trHeight w:val="1687" w:hRule="atLeast"/>
        </w:trPr>
        <w:tc>
          <w:tcPr>
            <w:tcW w:w="701" w:type="dxa"/>
            <w:vAlign w:val="top"/>
          </w:tcPr>
          <w:p>
            <w:pPr>
              <w:spacing w:line="338" w:lineRule="auto"/>
              <w:rPr>
                <w:rFonts w:ascii="Arial"/>
                <w:sz w:val="21"/>
              </w:rPr>
            </w:pPr>
            <w:r/>
          </w:p>
          <w:p>
            <w:pPr>
              <w:spacing w:line="338" w:lineRule="auto"/>
              <w:rPr>
                <w:rFonts w:ascii="Arial"/>
                <w:sz w:val="21"/>
              </w:rPr>
            </w:pPr>
            <w:r/>
          </w:p>
          <w:p>
            <w:pPr>
              <w:ind w:left="257"/>
              <w:spacing w:before="61" w:line="238" w:lineRule="auto"/>
              <w:rPr>
                <w:rFonts w:ascii="SimSun" w:hAnsi="SimSun" w:eastAsia="SimSun" w:cs="SimSun"/>
                <w:sz w:val="19"/>
                <w:szCs w:val="19"/>
              </w:rPr>
            </w:pPr>
            <w:r>
              <w:rPr>
                <w:rFonts w:ascii="SimSun" w:hAnsi="SimSun" w:eastAsia="SimSun" w:cs="SimSun"/>
                <w:sz w:val="19"/>
                <w:szCs w:val="19"/>
              </w:rPr>
              <w:t>五</w:t>
            </w:r>
          </w:p>
        </w:tc>
        <w:tc>
          <w:tcPr>
            <w:tcW w:w="4087" w:type="dxa"/>
            <w:vAlign w:val="top"/>
          </w:tcPr>
          <w:p>
            <w:pPr>
              <w:ind w:left="107" w:right="182" w:firstLine="5"/>
              <w:spacing w:before="92" w:line="308" w:lineRule="auto"/>
              <w:jc w:val="both"/>
              <w:rPr>
                <w:rFonts w:ascii="SimSun" w:hAnsi="SimSun" w:eastAsia="SimSun" w:cs="SimSun"/>
                <w:sz w:val="19"/>
                <w:szCs w:val="19"/>
              </w:rPr>
            </w:pPr>
            <w:r>
              <w:rPr>
                <w:rFonts w:ascii="SimSun" w:hAnsi="SimSun" w:eastAsia="SimSun" w:cs="SimSun"/>
                <w:sz w:val="19"/>
                <w:szCs w:val="19"/>
                <w:spacing w:val="9"/>
              </w:rPr>
              <w:t>露天矿剥离物运至排土场堆放，工业场地生</w:t>
            </w:r>
            <w:r>
              <w:rPr>
                <w:rFonts w:ascii="SimSun" w:hAnsi="SimSun" w:eastAsia="SimSun" w:cs="SimSun"/>
                <w:sz w:val="19"/>
                <w:szCs w:val="19"/>
                <w:spacing w:val="9"/>
              </w:rPr>
              <w:t>活垃圾集中收集后委托西乌珠穆旗沁华环保</w:t>
            </w:r>
            <w:r>
              <w:rPr>
                <w:rFonts w:ascii="SimSun" w:hAnsi="SimSun" w:eastAsia="SimSun" w:cs="SimSun"/>
                <w:sz w:val="19"/>
                <w:szCs w:val="19"/>
                <w:spacing w:val="9"/>
              </w:rPr>
              <w:t>责任有限公司运至白音华环卫站进行处理，</w:t>
            </w:r>
            <w:r>
              <w:rPr>
                <w:rFonts w:ascii="SimSun" w:hAnsi="SimSun" w:eastAsia="SimSun" w:cs="SimSun"/>
                <w:sz w:val="19"/>
                <w:szCs w:val="19"/>
                <w:spacing w:val="9"/>
              </w:rPr>
              <w:t>矿井水处理站、生活污水处理站产生的少量</w:t>
            </w:r>
            <w:r>
              <w:rPr>
                <w:rFonts w:ascii="SimSun" w:hAnsi="SimSun" w:eastAsia="SimSun" w:cs="SimSun"/>
                <w:sz w:val="19"/>
                <w:szCs w:val="19"/>
                <w:spacing w:val="8"/>
              </w:rPr>
              <w:t>污泥排至排土场处置。</w:t>
            </w:r>
          </w:p>
        </w:tc>
        <w:tc>
          <w:tcPr>
            <w:tcW w:w="4502" w:type="dxa"/>
            <w:vAlign w:val="top"/>
          </w:tcPr>
          <w:p>
            <w:pPr>
              <w:ind w:left="134"/>
              <w:spacing w:before="91" w:line="229" w:lineRule="auto"/>
              <w:rPr>
                <w:rFonts w:ascii="SimSun" w:hAnsi="SimSun" w:eastAsia="SimSun" w:cs="SimSun"/>
                <w:sz w:val="19"/>
                <w:szCs w:val="19"/>
              </w:rPr>
            </w:pPr>
            <w:r>
              <w:rPr>
                <w:rFonts w:ascii="SimSun" w:hAnsi="SimSun" w:eastAsia="SimSun" w:cs="SimSun"/>
                <w:sz w:val="19"/>
                <w:szCs w:val="19"/>
              </w:rPr>
              <w:t>已落实</w:t>
            </w:r>
          </w:p>
          <w:p>
            <w:pPr>
              <w:ind w:left="112" w:right="191" w:firstLine="1"/>
              <w:spacing w:before="90" w:line="306" w:lineRule="auto"/>
              <w:rPr>
                <w:rFonts w:ascii="SimSun" w:hAnsi="SimSun" w:eastAsia="SimSun" w:cs="SimSun"/>
                <w:sz w:val="19"/>
                <w:szCs w:val="19"/>
              </w:rPr>
            </w:pPr>
            <w:r>
              <w:rPr>
                <w:rFonts w:ascii="SimSun" w:hAnsi="SimSun" w:eastAsia="SimSun" w:cs="SimSun"/>
                <w:sz w:val="19"/>
                <w:szCs w:val="19"/>
                <w:spacing w:val="7"/>
              </w:rPr>
              <w:t>本项目土岩剥离物均运往内排土场，</w:t>
            </w:r>
            <w:r>
              <w:rPr>
                <w:rFonts w:ascii="SimSun" w:hAnsi="SimSun" w:eastAsia="SimSun" w:cs="SimSun"/>
                <w:sz w:val="19"/>
                <w:szCs w:val="19"/>
                <w:spacing w:val="-42"/>
              </w:rPr>
              <w:t xml:space="preserve"> </w:t>
            </w:r>
            <w:r>
              <w:rPr>
                <w:rFonts w:ascii="SimSun" w:hAnsi="SimSun" w:eastAsia="SimSun" w:cs="SimSun"/>
                <w:sz w:val="19"/>
                <w:szCs w:val="19"/>
                <w:spacing w:val="7"/>
              </w:rPr>
              <w:t>内排到界区</w:t>
            </w:r>
            <w:r>
              <w:rPr>
                <w:rFonts w:ascii="SimSun" w:hAnsi="SimSun" w:eastAsia="SimSun" w:cs="SimSun"/>
                <w:sz w:val="19"/>
                <w:szCs w:val="19"/>
                <w:spacing w:val="9"/>
              </w:rPr>
              <w:t>和两个外排土场均已覆土绿化。生活垃圾委托西</w:t>
            </w:r>
            <w:r>
              <w:rPr>
                <w:rFonts w:ascii="SimSun" w:hAnsi="SimSun" w:eastAsia="SimSun" w:cs="SimSun"/>
                <w:sz w:val="19"/>
                <w:szCs w:val="19"/>
                <w:spacing w:val="9"/>
              </w:rPr>
              <w:t>乌珠穆沁旗环卫部门清运。危险废物暂存危废暂</w:t>
            </w:r>
            <w:r>
              <w:rPr>
                <w:rFonts w:ascii="SimSun" w:hAnsi="SimSun" w:eastAsia="SimSun" w:cs="SimSun"/>
                <w:sz w:val="19"/>
                <w:szCs w:val="19"/>
                <w:spacing w:val="9"/>
              </w:rPr>
              <w:t>存间，定期委托具有相应资质的单位进行处置。</w:t>
            </w:r>
          </w:p>
        </w:tc>
      </w:tr>
      <w:tr>
        <w:trPr>
          <w:trHeight w:val="1042" w:hRule="atLeast"/>
        </w:trPr>
        <w:tc>
          <w:tcPr>
            <w:tcW w:w="701" w:type="dxa"/>
            <w:vAlign w:val="top"/>
          </w:tcPr>
          <w:p>
            <w:pPr>
              <w:spacing w:line="356" w:lineRule="auto"/>
              <w:rPr>
                <w:rFonts w:ascii="Arial"/>
                <w:sz w:val="21"/>
              </w:rPr>
            </w:pPr>
            <w:r/>
          </w:p>
          <w:p>
            <w:pPr>
              <w:ind w:left="256"/>
              <w:spacing w:before="62" w:line="232" w:lineRule="auto"/>
              <w:rPr>
                <w:rFonts w:ascii="SimSun" w:hAnsi="SimSun" w:eastAsia="SimSun" w:cs="SimSun"/>
                <w:sz w:val="19"/>
                <w:szCs w:val="19"/>
              </w:rPr>
            </w:pPr>
            <w:r>
              <w:rPr>
                <w:rFonts w:ascii="SimSun" w:hAnsi="SimSun" w:eastAsia="SimSun" w:cs="SimSun"/>
                <w:sz w:val="19"/>
                <w:szCs w:val="19"/>
              </w:rPr>
              <w:t>六</w:t>
            </w:r>
          </w:p>
        </w:tc>
        <w:tc>
          <w:tcPr>
            <w:tcW w:w="4087" w:type="dxa"/>
            <w:vAlign w:val="top"/>
          </w:tcPr>
          <w:p>
            <w:pPr>
              <w:ind w:left="108" w:right="182"/>
              <w:spacing w:before="93" w:line="304" w:lineRule="auto"/>
              <w:jc w:val="both"/>
              <w:rPr>
                <w:rFonts w:ascii="SimSun" w:hAnsi="SimSun" w:eastAsia="SimSun" w:cs="SimSun"/>
                <w:sz w:val="19"/>
                <w:szCs w:val="19"/>
              </w:rPr>
            </w:pPr>
            <w:r>
              <w:rPr>
                <w:rFonts w:ascii="SimSun" w:hAnsi="SimSun" w:eastAsia="SimSun" w:cs="SimSun"/>
                <w:sz w:val="19"/>
                <w:szCs w:val="19"/>
                <w:spacing w:val="9"/>
              </w:rPr>
              <w:t>制定的《内蒙古白音华海州露天煤矿有限公</w:t>
            </w:r>
            <w:r>
              <w:rPr>
                <w:rFonts w:ascii="SimSun" w:hAnsi="SimSun" w:eastAsia="SimSun" w:cs="SimSun"/>
                <w:sz w:val="19"/>
                <w:szCs w:val="19"/>
                <w:spacing w:val="9"/>
              </w:rPr>
              <w:t>司突发环境事件应急预案》并在锡林郭勒盟</w:t>
            </w:r>
            <w:r>
              <w:rPr>
                <w:rFonts w:ascii="SimSun" w:hAnsi="SimSun" w:eastAsia="SimSun" w:cs="SimSun"/>
                <w:sz w:val="19"/>
                <w:szCs w:val="19"/>
                <w:spacing w:val="8"/>
              </w:rPr>
              <w:t>环境保护局进行备案。</w:t>
            </w:r>
          </w:p>
        </w:tc>
        <w:tc>
          <w:tcPr>
            <w:tcW w:w="4502" w:type="dxa"/>
            <w:vAlign w:val="top"/>
          </w:tcPr>
          <w:p>
            <w:pPr>
              <w:ind w:left="134"/>
              <w:spacing w:before="93" w:line="229" w:lineRule="auto"/>
              <w:rPr>
                <w:rFonts w:ascii="SimSun" w:hAnsi="SimSun" w:eastAsia="SimSun" w:cs="SimSun"/>
                <w:sz w:val="19"/>
                <w:szCs w:val="19"/>
              </w:rPr>
            </w:pPr>
            <w:r>
              <w:rPr>
                <w:rFonts w:ascii="SimSun" w:hAnsi="SimSun" w:eastAsia="SimSun" w:cs="SimSun"/>
                <w:sz w:val="19"/>
                <w:szCs w:val="19"/>
              </w:rPr>
              <w:t>已落实</w:t>
            </w:r>
          </w:p>
          <w:p>
            <w:pPr>
              <w:pStyle w:val="TableText"/>
              <w:ind w:left="113" w:right="107" w:firstLine="1"/>
              <w:spacing w:before="91" w:line="297" w:lineRule="auto"/>
              <w:rPr>
                <w:rFonts w:ascii="SimSun" w:hAnsi="SimSun" w:eastAsia="SimSun" w:cs="SimSun"/>
                <w:sz w:val="19"/>
                <w:szCs w:val="19"/>
              </w:rPr>
            </w:pPr>
            <w:r>
              <w:rPr>
                <w:rFonts w:ascii="SimSun" w:hAnsi="SimSun" w:eastAsia="SimSun" w:cs="SimSun"/>
                <w:sz w:val="19"/>
                <w:szCs w:val="19"/>
                <w:spacing w:val="7"/>
              </w:rPr>
              <w:t>建设单位已制定应急预案并于</w:t>
            </w:r>
            <w:r>
              <w:rPr>
                <w:rFonts w:ascii="SimSun" w:hAnsi="SimSun" w:eastAsia="SimSun" w:cs="SimSun"/>
                <w:sz w:val="19"/>
                <w:szCs w:val="19"/>
                <w:spacing w:val="-43"/>
              </w:rPr>
              <w:t xml:space="preserve"> </w:t>
            </w:r>
            <w:r>
              <w:rPr>
                <w:sz w:val="19"/>
                <w:szCs w:val="19"/>
                <w:spacing w:val="7"/>
              </w:rPr>
              <w:t>2019 </w:t>
            </w:r>
            <w:r>
              <w:rPr>
                <w:rFonts w:ascii="SimSun" w:hAnsi="SimSun" w:eastAsia="SimSun" w:cs="SimSun"/>
                <w:sz w:val="19"/>
                <w:szCs w:val="19"/>
                <w:spacing w:val="7"/>
              </w:rPr>
              <w:t>年</w:t>
            </w:r>
            <w:r>
              <w:rPr>
                <w:rFonts w:ascii="SimSun" w:hAnsi="SimSun" w:eastAsia="SimSun" w:cs="SimSun"/>
                <w:sz w:val="19"/>
                <w:szCs w:val="19"/>
                <w:spacing w:val="-40"/>
              </w:rPr>
              <w:t xml:space="preserve"> </w:t>
            </w:r>
            <w:r>
              <w:rPr>
                <w:sz w:val="19"/>
                <w:szCs w:val="19"/>
                <w:spacing w:val="7"/>
              </w:rPr>
              <w:t>5 </w:t>
            </w:r>
            <w:r>
              <w:rPr>
                <w:rFonts w:ascii="SimSun" w:hAnsi="SimSun" w:eastAsia="SimSun" w:cs="SimSun"/>
                <w:sz w:val="19"/>
                <w:szCs w:val="19"/>
                <w:spacing w:val="7"/>
              </w:rPr>
              <w:t>月在旗环</w:t>
            </w:r>
            <w:r>
              <w:rPr>
                <w:rFonts w:ascii="SimSun" w:hAnsi="SimSun" w:eastAsia="SimSun" w:cs="SimSun"/>
                <w:sz w:val="19"/>
                <w:szCs w:val="19"/>
                <w:spacing w:val="6"/>
              </w:rPr>
              <w:t>保局备案。</w:t>
            </w:r>
          </w:p>
        </w:tc>
      </w:tr>
    </w:tbl>
    <w:p>
      <w:pPr>
        <w:pStyle w:val="BodyText"/>
        <w:spacing w:line="291" w:lineRule="auto"/>
        <w:rPr/>
      </w:pPr>
      <w:r/>
    </w:p>
    <w:p>
      <w:pPr>
        <w:pStyle w:val="BodyText"/>
        <w:spacing w:line="292" w:lineRule="auto"/>
        <w:rPr/>
      </w:pPr>
      <w:r/>
    </w:p>
    <w:p>
      <w:pPr>
        <w:ind w:left="114"/>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3.4.3 </w:t>
      </w:r>
      <w:r>
        <w:rPr>
          <w:rFonts w:ascii="SimHei" w:hAnsi="SimHei" w:eastAsia="SimHei" w:cs="SimHei"/>
          <w:sz w:val="28"/>
          <w:szCs w:val="28"/>
          <w:b/>
          <w:bCs/>
          <w:spacing w:val="-2"/>
        </w:rPr>
        <w:t>现有工程存在问题及整改措施</w:t>
      </w:r>
    </w:p>
    <w:p>
      <w:pPr>
        <w:ind w:left="114"/>
        <w:spacing w:before="201"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3.4.3.1  </w:t>
      </w:r>
      <w:r>
        <w:rPr>
          <w:rFonts w:ascii="SimHei" w:hAnsi="SimHei" w:eastAsia="SimHei" w:cs="SimHei"/>
          <w:sz w:val="24"/>
          <w:szCs w:val="24"/>
          <w:b/>
          <w:bCs/>
          <w:spacing w:val="-1"/>
        </w:rPr>
        <w:t>存在问题</w:t>
      </w:r>
    </w:p>
    <w:p>
      <w:pPr>
        <w:ind w:left="618"/>
        <w:spacing w:before="160" w:line="220"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、项目噪声例行监测不规范；</w:t>
      </w:r>
    </w:p>
    <w:p>
      <w:pPr>
        <w:ind w:left="114"/>
        <w:spacing w:before="186"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3.4.3.2  </w:t>
      </w:r>
      <w:r>
        <w:rPr>
          <w:rFonts w:ascii="SimHei" w:hAnsi="SimHei" w:eastAsia="SimHei" w:cs="SimHei"/>
          <w:sz w:val="24"/>
          <w:szCs w:val="24"/>
          <w:b/>
          <w:bCs/>
          <w:spacing w:val="-1"/>
        </w:rPr>
        <w:t>整改措施</w:t>
      </w:r>
    </w:p>
    <w:p>
      <w:pPr>
        <w:ind w:left="600" w:right="1200" w:firstLine="17"/>
        <w:spacing w:before="157" w:line="280"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、针对工业场地厂界、露天区采掘场厂界开展噪声质量现状例行监测；</w:t>
      </w:r>
      <w:r>
        <w:rPr>
          <w:rFonts w:ascii="SimSun" w:hAnsi="SimSun" w:eastAsia="SimSun" w:cs="SimSun"/>
          <w:sz w:val="24"/>
          <w:szCs w:val="24"/>
          <w:spacing w:val="-2"/>
        </w:rPr>
        <w:t>整改措施见表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3-4-3</w:t>
      </w:r>
      <w:r>
        <w:rPr>
          <w:rFonts w:ascii="SimSun" w:hAnsi="SimSun" w:eastAsia="SimSun" w:cs="SimSun"/>
          <w:sz w:val="24"/>
          <w:szCs w:val="24"/>
          <w:spacing w:val="-2"/>
        </w:rPr>
        <w:t>。</w:t>
      </w:r>
    </w:p>
    <w:p>
      <w:pPr>
        <w:ind w:left="2778"/>
        <w:spacing w:before="179" w:line="219" w:lineRule="auto"/>
        <w:rPr>
          <w:rFonts w:ascii="SimSun" w:hAnsi="SimSun" w:eastAsia="SimSun" w:cs="SimSun"/>
          <w:sz w:val="24"/>
          <w:szCs w:val="24"/>
        </w:rPr>
      </w:pPr>
      <w:r>
        <w:rPr>
          <w:rFonts w:ascii="SimSun" w:hAnsi="SimSun" w:eastAsia="SimSun" w:cs="SimSun"/>
          <w:sz w:val="24"/>
          <w:szCs w:val="24"/>
          <w:b/>
          <w:bCs/>
          <w:spacing w:val="-8"/>
        </w:rPr>
        <w:t>现有工程存在问题及整改措施一览表</w:t>
      </w:r>
    </w:p>
    <w:p>
      <w:pPr>
        <w:ind w:left="117"/>
        <w:spacing w:before="152" w:line="221" w:lineRule="auto"/>
        <w:rPr>
          <w:rFonts w:ascii="Times New Roman" w:hAnsi="Times New Roman" w:eastAsia="Times New Roman" w:cs="Times New Roman"/>
          <w:sz w:val="20"/>
          <w:szCs w:val="20"/>
        </w:rPr>
      </w:pPr>
      <w:r>
        <w:rPr>
          <w:rFonts w:ascii="SimSun" w:hAnsi="SimSun" w:eastAsia="SimSun" w:cs="SimSun"/>
          <w:sz w:val="20"/>
          <w:szCs w:val="20"/>
        </w:rPr>
        <w:t>表</w:t>
      </w:r>
      <w:r>
        <w:rPr>
          <w:rFonts w:ascii="SimSun" w:hAnsi="SimSun" w:eastAsia="SimSun" w:cs="SimSun"/>
          <w:sz w:val="20"/>
          <w:szCs w:val="20"/>
          <w:spacing w:val="-44"/>
        </w:rPr>
        <w:t xml:space="preserve"> </w:t>
      </w:r>
      <w:r>
        <w:rPr>
          <w:rFonts w:ascii="Times New Roman" w:hAnsi="Times New Roman" w:eastAsia="Times New Roman" w:cs="Times New Roman"/>
          <w:sz w:val="20"/>
          <w:szCs w:val="20"/>
        </w:rPr>
        <w:t>3-4-3</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41"/>
        <w:gridCol w:w="820"/>
        <w:gridCol w:w="2672"/>
        <w:gridCol w:w="847"/>
        <w:gridCol w:w="715"/>
        <w:gridCol w:w="2739"/>
        <w:gridCol w:w="856"/>
      </w:tblGrid>
      <w:tr>
        <w:trPr>
          <w:trHeight w:val="662" w:hRule="atLeast"/>
        </w:trPr>
        <w:tc>
          <w:tcPr>
            <w:tcW w:w="641" w:type="dxa"/>
            <w:vAlign w:val="top"/>
          </w:tcPr>
          <w:p>
            <w:pPr>
              <w:ind w:left="112"/>
              <w:spacing w:before="223" w:line="229" w:lineRule="auto"/>
              <w:rPr>
                <w:rFonts w:ascii="SimSun" w:hAnsi="SimSun" w:eastAsia="SimSun" w:cs="SimSun"/>
                <w:sz w:val="20"/>
                <w:szCs w:val="20"/>
              </w:rPr>
            </w:pPr>
            <w:r>
              <w:rPr>
                <w:rFonts w:ascii="SimSun" w:hAnsi="SimSun" w:eastAsia="SimSun" w:cs="SimSun"/>
                <w:sz w:val="20"/>
                <w:szCs w:val="20"/>
                <w:spacing w:val="5"/>
              </w:rPr>
              <w:t>序号</w:t>
            </w:r>
          </w:p>
        </w:tc>
        <w:tc>
          <w:tcPr>
            <w:tcW w:w="820" w:type="dxa"/>
            <w:vAlign w:val="top"/>
          </w:tcPr>
          <w:p>
            <w:pPr>
              <w:ind w:left="203"/>
              <w:spacing w:before="59" w:line="228" w:lineRule="auto"/>
              <w:rPr>
                <w:rFonts w:ascii="SimSun" w:hAnsi="SimSun" w:eastAsia="SimSun" w:cs="SimSun"/>
                <w:sz w:val="20"/>
                <w:szCs w:val="20"/>
              </w:rPr>
            </w:pPr>
            <w:r>
              <w:rPr>
                <w:rFonts w:ascii="SimSun" w:hAnsi="SimSun" w:eastAsia="SimSun" w:cs="SimSun"/>
                <w:sz w:val="20"/>
                <w:szCs w:val="20"/>
                <w:spacing w:val="5"/>
              </w:rPr>
              <w:t>存在</w:t>
            </w:r>
          </w:p>
          <w:p>
            <w:pPr>
              <w:ind w:left="228"/>
              <w:spacing w:before="79" w:line="230" w:lineRule="auto"/>
              <w:rPr>
                <w:rFonts w:ascii="SimSun" w:hAnsi="SimSun" w:eastAsia="SimSun" w:cs="SimSun"/>
                <w:sz w:val="20"/>
                <w:szCs w:val="20"/>
              </w:rPr>
            </w:pPr>
            <w:r>
              <w:rPr>
                <w:rFonts w:ascii="SimSun" w:hAnsi="SimSun" w:eastAsia="SimSun" w:cs="SimSun"/>
                <w:sz w:val="20"/>
                <w:szCs w:val="20"/>
                <w:spacing w:val="-7"/>
              </w:rPr>
              <w:t>问题</w:t>
            </w:r>
          </w:p>
        </w:tc>
        <w:tc>
          <w:tcPr>
            <w:tcW w:w="2672" w:type="dxa"/>
            <w:vAlign w:val="top"/>
          </w:tcPr>
          <w:p>
            <w:pPr>
              <w:ind w:left="921"/>
              <w:spacing w:before="223" w:line="228" w:lineRule="auto"/>
              <w:rPr>
                <w:rFonts w:ascii="SimSun" w:hAnsi="SimSun" w:eastAsia="SimSun" w:cs="SimSun"/>
                <w:sz w:val="20"/>
                <w:szCs w:val="20"/>
              </w:rPr>
            </w:pPr>
            <w:r>
              <w:rPr>
                <w:rFonts w:ascii="SimSun" w:hAnsi="SimSun" w:eastAsia="SimSun" w:cs="SimSun"/>
                <w:sz w:val="20"/>
                <w:szCs w:val="20"/>
                <w:spacing w:val="7"/>
              </w:rPr>
              <w:t>整改措施</w:t>
            </w:r>
          </w:p>
        </w:tc>
        <w:tc>
          <w:tcPr>
            <w:tcW w:w="847" w:type="dxa"/>
            <w:vAlign w:val="top"/>
          </w:tcPr>
          <w:p>
            <w:pPr>
              <w:ind w:left="323" w:right="107" w:hanging="203"/>
              <w:spacing w:before="60" w:line="273" w:lineRule="auto"/>
              <w:rPr>
                <w:rFonts w:ascii="SimSun" w:hAnsi="SimSun" w:eastAsia="SimSun" w:cs="SimSun"/>
                <w:sz w:val="20"/>
                <w:szCs w:val="20"/>
              </w:rPr>
            </w:pPr>
            <w:r>
              <w:rPr>
                <w:rFonts w:ascii="SimSun" w:hAnsi="SimSun" w:eastAsia="SimSun" w:cs="SimSun"/>
                <w:sz w:val="20"/>
                <w:szCs w:val="20"/>
                <w:spacing w:val="4"/>
              </w:rPr>
              <w:t>责任主</w:t>
            </w:r>
            <w:r>
              <w:rPr>
                <w:rFonts w:ascii="SimSun" w:hAnsi="SimSun" w:eastAsia="SimSun" w:cs="SimSun"/>
                <w:sz w:val="20"/>
                <w:szCs w:val="20"/>
              </w:rPr>
              <w:t>体</w:t>
            </w:r>
          </w:p>
        </w:tc>
        <w:tc>
          <w:tcPr>
            <w:tcW w:w="715" w:type="dxa"/>
            <w:vAlign w:val="top"/>
          </w:tcPr>
          <w:p>
            <w:pPr>
              <w:ind w:left="159"/>
              <w:spacing w:before="60" w:line="228" w:lineRule="auto"/>
              <w:rPr>
                <w:rFonts w:ascii="SimSun" w:hAnsi="SimSun" w:eastAsia="SimSun" w:cs="SimSun"/>
                <w:sz w:val="20"/>
                <w:szCs w:val="20"/>
              </w:rPr>
            </w:pPr>
            <w:r>
              <w:rPr>
                <w:rFonts w:ascii="SimSun" w:hAnsi="SimSun" w:eastAsia="SimSun" w:cs="SimSun"/>
                <w:sz w:val="20"/>
                <w:szCs w:val="20"/>
                <w:spacing w:val="2"/>
              </w:rPr>
              <w:t>实施</w:t>
            </w:r>
          </w:p>
          <w:p>
            <w:pPr>
              <w:ind w:left="164"/>
              <w:spacing w:before="78" w:line="230" w:lineRule="auto"/>
              <w:rPr>
                <w:rFonts w:ascii="SimSun" w:hAnsi="SimSun" w:eastAsia="SimSun" w:cs="SimSun"/>
                <w:sz w:val="20"/>
                <w:szCs w:val="20"/>
              </w:rPr>
            </w:pPr>
            <w:r>
              <w:rPr>
                <w:rFonts w:ascii="SimSun" w:hAnsi="SimSun" w:eastAsia="SimSun" w:cs="SimSun"/>
                <w:sz w:val="20"/>
                <w:szCs w:val="20"/>
                <w:spacing w:val="-1"/>
              </w:rPr>
              <w:t>时间</w:t>
            </w:r>
          </w:p>
        </w:tc>
        <w:tc>
          <w:tcPr>
            <w:tcW w:w="2739" w:type="dxa"/>
            <w:vAlign w:val="top"/>
          </w:tcPr>
          <w:p>
            <w:pPr>
              <w:ind w:left="961"/>
              <w:spacing w:before="223" w:line="228" w:lineRule="auto"/>
              <w:rPr>
                <w:rFonts w:ascii="SimSun" w:hAnsi="SimSun" w:eastAsia="SimSun" w:cs="SimSun"/>
                <w:sz w:val="20"/>
                <w:szCs w:val="20"/>
              </w:rPr>
            </w:pPr>
            <w:r>
              <w:rPr>
                <w:rFonts w:ascii="SimSun" w:hAnsi="SimSun" w:eastAsia="SimSun" w:cs="SimSun"/>
                <w:sz w:val="20"/>
                <w:szCs w:val="20"/>
                <w:spacing w:val="6"/>
              </w:rPr>
              <w:t>实施目标</w:t>
            </w:r>
          </w:p>
        </w:tc>
        <w:tc>
          <w:tcPr>
            <w:tcW w:w="856" w:type="dxa"/>
            <w:vAlign w:val="top"/>
          </w:tcPr>
          <w:p>
            <w:pPr>
              <w:ind w:left="226"/>
              <w:spacing w:before="223" w:line="228" w:lineRule="auto"/>
              <w:rPr>
                <w:rFonts w:ascii="SimSun" w:hAnsi="SimSun" w:eastAsia="SimSun" w:cs="SimSun"/>
                <w:sz w:val="20"/>
                <w:szCs w:val="20"/>
              </w:rPr>
            </w:pPr>
            <w:r>
              <w:rPr>
                <w:rFonts w:ascii="SimSun" w:hAnsi="SimSun" w:eastAsia="SimSun" w:cs="SimSun"/>
                <w:sz w:val="20"/>
                <w:szCs w:val="20"/>
                <w:spacing w:val="3"/>
              </w:rPr>
              <w:t>投资</w:t>
            </w:r>
          </w:p>
        </w:tc>
      </w:tr>
      <w:tr>
        <w:trPr>
          <w:trHeight w:val="5546" w:hRule="atLeast"/>
        </w:trPr>
        <w:tc>
          <w:tcPr>
            <w:tcW w:w="641"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pStyle w:val="TableText"/>
              <w:ind w:left="290"/>
              <w:spacing w:before="58" w:line="195" w:lineRule="auto"/>
              <w:rPr/>
            </w:pPr>
            <w:r>
              <w:rPr/>
              <w:t>1</w:t>
            </w:r>
          </w:p>
        </w:tc>
        <w:tc>
          <w:tcPr>
            <w:tcW w:w="820" w:type="dxa"/>
            <w:vAlign w:val="top"/>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ind w:left="108" w:right="109" w:firstLine="3"/>
              <w:spacing w:before="65" w:line="302" w:lineRule="auto"/>
              <w:jc w:val="both"/>
              <w:rPr>
                <w:rFonts w:ascii="SimSun" w:hAnsi="SimSun" w:eastAsia="SimSun" w:cs="SimSun"/>
                <w:sz w:val="20"/>
                <w:szCs w:val="20"/>
              </w:rPr>
            </w:pPr>
            <w:r>
              <w:rPr>
                <w:rFonts w:ascii="SimSun" w:hAnsi="SimSun" w:eastAsia="SimSun" w:cs="SimSun"/>
                <w:sz w:val="20"/>
                <w:szCs w:val="20"/>
                <w:spacing w:val="-21"/>
              </w:rPr>
              <w:t>项</w:t>
            </w:r>
            <w:r>
              <w:rPr>
                <w:rFonts w:ascii="SimSun" w:hAnsi="SimSun" w:eastAsia="SimSun" w:cs="SimSun"/>
                <w:sz w:val="20"/>
                <w:szCs w:val="20"/>
                <w:spacing w:val="17"/>
              </w:rPr>
              <w:t xml:space="preserve">  </w:t>
            </w:r>
            <w:r>
              <w:rPr>
                <w:rFonts w:ascii="SimSun" w:hAnsi="SimSun" w:eastAsia="SimSun" w:cs="SimSun"/>
                <w:sz w:val="20"/>
                <w:szCs w:val="20"/>
                <w:spacing w:val="-21"/>
              </w:rPr>
              <w:t>目</w:t>
            </w:r>
            <w:r>
              <w:rPr>
                <w:rFonts w:ascii="SimSun" w:hAnsi="SimSun" w:eastAsia="SimSun" w:cs="SimSun"/>
                <w:sz w:val="20"/>
                <w:szCs w:val="20"/>
                <w:spacing w:val="-1"/>
              </w:rPr>
              <w:t>噪  声</w:t>
            </w:r>
            <w:r>
              <w:rPr>
                <w:rFonts w:ascii="SimSun" w:hAnsi="SimSun" w:eastAsia="SimSun" w:cs="SimSun"/>
                <w:sz w:val="20"/>
                <w:szCs w:val="20"/>
                <w:spacing w:val="-1"/>
              </w:rPr>
              <w:t>例</w:t>
            </w:r>
            <w:r>
              <w:rPr>
                <w:rFonts w:ascii="SimSun" w:hAnsi="SimSun" w:eastAsia="SimSun" w:cs="SimSun"/>
                <w:sz w:val="20"/>
                <w:szCs w:val="20"/>
                <w:spacing w:val="98"/>
              </w:rPr>
              <w:t xml:space="preserve"> </w:t>
            </w:r>
            <w:r>
              <w:rPr>
                <w:rFonts w:ascii="SimSun" w:hAnsi="SimSun" w:eastAsia="SimSun" w:cs="SimSun"/>
                <w:sz w:val="20"/>
                <w:szCs w:val="20"/>
                <w:spacing w:val="-1"/>
              </w:rPr>
              <w:t>行</w:t>
            </w:r>
            <w:r>
              <w:rPr>
                <w:rFonts w:ascii="SimSun" w:hAnsi="SimSun" w:eastAsia="SimSun" w:cs="SimSun"/>
                <w:sz w:val="20"/>
                <w:szCs w:val="20"/>
              </w:rPr>
              <w:t>监</w:t>
            </w:r>
            <w:r>
              <w:rPr>
                <w:rFonts w:ascii="SimSun" w:hAnsi="SimSun" w:eastAsia="SimSun" w:cs="SimSun"/>
                <w:sz w:val="20"/>
                <w:szCs w:val="20"/>
                <w:spacing w:val="95"/>
              </w:rPr>
              <w:t xml:space="preserve"> </w:t>
            </w:r>
            <w:r>
              <w:rPr>
                <w:rFonts w:ascii="SimSun" w:hAnsi="SimSun" w:eastAsia="SimSun" w:cs="SimSun"/>
                <w:sz w:val="20"/>
                <w:szCs w:val="20"/>
              </w:rPr>
              <w:t>测</w:t>
            </w:r>
            <w:r>
              <w:rPr>
                <w:rFonts w:ascii="SimSun" w:hAnsi="SimSun" w:eastAsia="SimSun" w:cs="SimSun"/>
                <w:sz w:val="20"/>
                <w:szCs w:val="20"/>
              </w:rPr>
              <w:t>不</w:t>
            </w:r>
            <w:r>
              <w:rPr>
                <w:rFonts w:ascii="SimSun" w:hAnsi="SimSun" w:eastAsia="SimSun" w:cs="SimSun"/>
                <w:sz w:val="20"/>
                <w:szCs w:val="20"/>
                <w:spacing w:val="95"/>
              </w:rPr>
              <w:t xml:space="preserve"> </w:t>
            </w:r>
            <w:r>
              <w:rPr>
                <w:rFonts w:ascii="SimSun" w:hAnsi="SimSun" w:eastAsia="SimSun" w:cs="SimSun"/>
                <w:sz w:val="20"/>
                <w:szCs w:val="20"/>
              </w:rPr>
              <w:t>规</w:t>
            </w:r>
            <w:r>
              <w:rPr>
                <w:rFonts w:ascii="SimSun" w:hAnsi="SimSun" w:eastAsia="SimSun" w:cs="SimSun"/>
                <w:sz w:val="20"/>
                <w:szCs w:val="20"/>
              </w:rPr>
              <w:t>范</w:t>
            </w:r>
          </w:p>
        </w:tc>
        <w:tc>
          <w:tcPr>
            <w:tcW w:w="2672" w:type="dxa"/>
            <w:vAlign w:val="top"/>
          </w:tcPr>
          <w:p>
            <w:pPr>
              <w:pStyle w:val="TableText"/>
              <w:ind w:left="110" w:right="37" w:firstLine="6"/>
              <w:spacing w:before="47" w:line="298" w:lineRule="auto"/>
              <w:jc w:val="both"/>
              <w:rPr>
                <w:rFonts w:ascii="SimSun" w:hAnsi="SimSun" w:eastAsia="SimSun" w:cs="SimSun"/>
              </w:rPr>
            </w:pPr>
            <w:r>
              <w:rPr>
                <w:rFonts w:ascii="SimSun" w:hAnsi="SimSun" w:eastAsia="SimSun" w:cs="SimSun"/>
                <w:spacing w:val="22"/>
              </w:rPr>
              <w:t>原厂界噪声监测点位分别</w:t>
            </w:r>
            <w:r>
              <w:rPr>
                <w:rFonts w:ascii="SimSun" w:hAnsi="SimSun" w:eastAsia="SimSun" w:cs="SimSun"/>
                <w:spacing w:val="22"/>
              </w:rPr>
              <w:t>布设在白音华四号露天矿</w:t>
            </w:r>
            <w:r>
              <w:rPr>
                <w:rFonts w:ascii="SimSun" w:hAnsi="SimSun" w:eastAsia="SimSun" w:cs="SimSun"/>
                <w:spacing w:val="9"/>
              </w:rPr>
              <w:t>（井工区）工业场地西侧、</w:t>
            </w:r>
            <w:r>
              <w:rPr>
                <w:rFonts w:ascii="SimSun" w:hAnsi="SimSun" w:eastAsia="SimSun" w:cs="SimSun"/>
                <w:spacing w:val="4"/>
              </w:rPr>
              <w:t>现有铁路装车站北侧、一号</w:t>
            </w:r>
            <w:r>
              <w:rPr>
                <w:rFonts w:ascii="SimSun" w:hAnsi="SimSun" w:eastAsia="SimSun" w:cs="SimSun"/>
                <w:spacing w:val="4"/>
              </w:rPr>
              <w:t>排土场南侧，白音华四号露</w:t>
            </w:r>
            <w:r>
              <w:rPr>
                <w:rFonts w:ascii="SimSun" w:hAnsi="SimSun" w:eastAsia="SimSun" w:cs="SimSun"/>
                <w:spacing w:val="4"/>
              </w:rPr>
              <w:t>天矿（露天区）工业场地东</w:t>
            </w:r>
            <w:r>
              <w:rPr>
                <w:rFonts w:ascii="SimSun" w:hAnsi="SimSun" w:eastAsia="SimSun" w:cs="SimSun"/>
                <w:spacing w:val="3"/>
              </w:rPr>
              <w:t>侧共计</w:t>
            </w:r>
            <w:r>
              <w:rPr>
                <w:rFonts w:ascii="SimSun" w:hAnsi="SimSun" w:eastAsia="SimSun" w:cs="SimSun"/>
                <w:spacing w:val="-42"/>
              </w:rPr>
              <w:t xml:space="preserve"> </w:t>
            </w:r>
            <w:r>
              <w:rPr>
                <w:spacing w:val="3"/>
              </w:rPr>
              <w:t>4 </w:t>
            </w:r>
            <w:r>
              <w:rPr>
                <w:rFonts w:ascii="SimSun" w:hAnsi="SimSun" w:eastAsia="SimSun" w:cs="SimSun"/>
                <w:spacing w:val="3"/>
              </w:rPr>
              <w:t>个噪声监测点，应</w:t>
            </w:r>
            <w:r>
              <w:rPr>
                <w:rFonts w:ascii="SimSun" w:hAnsi="SimSun" w:eastAsia="SimSun" w:cs="SimSun"/>
                <w:spacing w:val="4"/>
              </w:rPr>
              <w:t>调整为，针对白音华四号露</w:t>
            </w:r>
            <w:r>
              <w:rPr>
                <w:rFonts w:ascii="SimSun" w:hAnsi="SimSun" w:eastAsia="SimSun" w:cs="SimSun"/>
                <w:spacing w:val="-7"/>
              </w:rPr>
              <w:t>天矿（井工区）工业场地东、</w:t>
            </w:r>
            <w:r>
              <w:rPr>
                <w:rFonts w:ascii="SimSun" w:hAnsi="SimSun" w:eastAsia="SimSun" w:cs="SimSun"/>
                <w:spacing w:val="-1"/>
              </w:rPr>
              <w:t>南、西、北四侧厂界外</w:t>
            </w:r>
            <w:r>
              <w:rPr>
                <w:rFonts w:ascii="SimSun" w:hAnsi="SimSun" w:eastAsia="SimSun" w:cs="SimSun"/>
                <w:spacing w:val="-23"/>
              </w:rPr>
              <w:t xml:space="preserve"> </w:t>
            </w:r>
            <w:r>
              <w:rPr>
                <w:spacing w:val="-1"/>
              </w:rPr>
              <w:t>1m</w:t>
            </w:r>
            <w:r>
              <w:rPr>
                <w:rFonts w:ascii="SimSun" w:hAnsi="SimSun" w:eastAsia="SimSun" w:cs="SimSun"/>
                <w:spacing w:val="-1"/>
              </w:rPr>
              <w:t>，</w:t>
            </w:r>
            <w:r>
              <w:rPr>
                <w:rFonts w:ascii="SimSun" w:hAnsi="SimSun" w:eastAsia="SimSun" w:cs="SimSun"/>
                <w:spacing w:val="22"/>
              </w:rPr>
              <w:t>白音华四号露天矿（露天</w:t>
            </w:r>
            <w:r>
              <w:rPr>
                <w:rFonts w:ascii="SimSun" w:hAnsi="SimSun" w:eastAsia="SimSun" w:cs="SimSun"/>
                <w:spacing w:val="9"/>
              </w:rPr>
              <w:t>区）工业场地东、南、西、</w:t>
            </w:r>
            <w:r>
              <w:rPr>
                <w:rFonts w:ascii="SimSun" w:hAnsi="SimSun" w:eastAsia="SimSun" w:cs="SimSun"/>
                <w:spacing w:val="6"/>
              </w:rPr>
              <w:t>北四侧厂界外</w:t>
            </w:r>
            <w:r>
              <w:rPr>
                <w:rFonts w:ascii="SimSun" w:hAnsi="SimSun" w:eastAsia="SimSun" w:cs="SimSun"/>
                <w:spacing w:val="-9"/>
              </w:rPr>
              <w:t xml:space="preserve"> </w:t>
            </w:r>
            <w:r>
              <w:rPr>
                <w:spacing w:val="6"/>
              </w:rPr>
              <w:t>1m</w:t>
            </w:r>
            <w:r>
              <w:rPr>
                <w:spacing w:val="-21"/>
              </w:rPr>
              <w:t xml:space="preserve"> </w:t>
            </w:r>
            <w:r>
              <w:rPr>
                <w:rFonts w:ascii="SimSun" w:hAnsi="SimSun" w:eastAsia="SimSun" w:cs="SimSun"/>
                <w:spacing w:val="6"/>
              </w:rPr>
              <w:t>，改扩建</w:t>
            </w:r>
            <w:r>
              <w:rPr>
                <w:rFonts w:ascii="SimSun" w:hAnsi="SimSun" w:eastAsia="SimSun" w:cs="SimSun"/>
                <w:spacing w:val="3"/>
              </w:rPr>
              <w:t>后采掘场东、南、西、北四</w:t>
            </w:r>
            <w:r>
              <w:rPr>
                <w:rFonts w:ascii="SimSun" w:hAnsi="SimSun" w:eastAsia="SimSun" w:cs="SimSun"/>
                <w:spacing w:val="5"/>
              </w:rPr>
              <w:t>侧边界外</w:t>
            </w:r>
            <w:r>
              <w:rPr>
                <w:rFonts w:ascii="SimSun" w:hAnsi="SimSun" w:eastAsia="SimSun" w:cs="SimSun"/>
                <w:spacing w:val="-23"/>
              </w:rPr>
              <w:t xml:space="preserve"> </w:t>
            </w:r>
            <w:r>
              <w:rPr>
                <w:spacing w:val="5"/>
              </w:rPr>
              <w:t>1m </w:t>
            </w:r>
            <w:r>
              <w:rPr>
                <w:rFonts w:ascii="SimSun" w:hAnsi="SimSun" w:eastAsia="SimSun" w:cs="SimSun"/>
                <w:spacing w:val="5"/>
              </w:rPr>
              <w:t>分别布设噪声</w:t>
            </w:r>
            <w:r>
              <w:rPr>
                <w:rFonts w:ascii="SimSun" w:hAnsi="SimSun" w:eastAsia="SimSun" w:cs="SimSun"/>
                <w:spacing w:val="10"/>
              </w:rPr>
              <w:t>例行监测点，共计</w:t>
            </w:r>
            <w:r>
              <w:rPr>
                <w:rFonts w:ascii="SimSun" w:hAnsi="SimSun" w:eastAsia="SimSun" w:cs="SimSun"/>
                <w:spacing w:val="-16"/>
              </w:rPr>
              <w:t xml:space="preserve"> </w:t>
            </w:r>
            <w:r>
              <w:rPr>
                <w:spacing w:val="10"/>
              </w:rPr>
              <w:t>12 </w:t>
            </w:r>
            <w:r>
              <w:rPr>
                <w:rFonts w:ascii="SimSun" w:hAnsi="SimSun" w:eastAsia="SimSun" w:cs="SimSun"/>
                <w:spacing w:val="10"/>
              </w:rPr>
              <w:t>个，</w:t>
            </w:r>
            <w:r>
              <w:rPr>
                <w:rFonts w:ascii="SimSun" w:hAnsi="SimSun" w:eastAsia="SimSun" w:cs="SimSun"/>
                <w:spacing w:val="8"/>
              </w:rPr>
              <w:t>开展例行监测</w:t>
            </w:r>
          </w:p>
        </w:tc>
        <w:tc>
          <w:tcPr>
            <w:tcW w:w="847" w:type="dxa"/>
            <w:vAlign w:val="top"/>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112" w:right="107" w:firstLine="26"/>
              <w:spacing w:before="65" w:line="301" w:lineRule="auto"/>
              <w:jc w:val="both"/>
              <w:rPr>
                <w:rFonts w:ascii="SimSun" w:hAnsi="SimSun" w:eastAsia="SimSun" w:cs="SimSun"/>
                <w:sz w:val="20"/>
                <w:szCs w:val="20"/>
              </w:rPr>
            </w:pPr>
            <w:r>
              <w:rPr>
                <w:rFonts w:ascii="SimSun" w:hAnsi="SimSun" w:eastAsia="SimSun" w:cs="SimSun"/>
                <w:sz w:val="20"/>
                <w:szCs w:val="20"/>
                <w:spacing w:val="-2"/>
              </w:rPr>
              <w:t>内蒙古</w:t>
            </w:r>
            <w:r>
              <w:rPr>
                <w:rFonts w:ascii="SimSun" w:hAnsi="SimSun" w:eastAsia="SimSun" w:cs="SimSun"/>
                <w:sz w:val="20"/>
                <w:szCs w:val="20"/>
                <w:spacing w:val="7"/>
              </w:rPr>
              <w:t>海州露</w:t>
            </w:r>
            <w:r>
              <w:rPr>
                <w:rFonts w:ascii="SimSun" w:hAnsi="SimSun" w:eastAsia="SimSun" w:cs="SimSun"/>
                <w:sz w:val="20"/>
                <w:szCs w:val="20"/>
                <w:spacing w:val="7"/>
              </w:rPr>
              <w:t>天能源</w:t>
            </w:r>
            <w:r>
              <w:rPr>
                <w:rFonts w:ascii="SimSun" w:hAnsi="SimSun" w:eastAsia="SimSun" w:cs="SimSun"/>
                <w:sz w:val="20"/>
                <w:szCs w:val="20"/>
                <w:spacing w:val="7"/>
              </w:rPr>
              <w:t>有限责</w:t>
            </w:r>
            <w:r>
              <w:rPr>
                <w:rFonts w:ascii="SimSun" w:hAnsi="SimSun" w:eastAsia="SimSun" w:cs="SimSun"/>
                <w:sz w:val="20"/>
                <w:szCs w:val="20"/>
                <w:spacing w:val="7"/>
              </w:rPr>
              <w:t>任公司</w:t>
            </w:r>
          </w:p>
        </w:tc>
        <w:tc>
          <w:tcPr>
            <w:tcW w:w="715" w:type="dxa"/>
            <w:vAlign w:val="top"/>
          </w:tcPr>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pStyle w:val="TableText"/>
              <w:ind w:left="150"/>
              <w:spacing w:before="57" w:line="195" w:lineRule="auto"/>
              <w:rPr/>
            </w:pPr>
            <w:r>
              <w:rPr>
                <w:spacing w:val="3"/>
              </w:rPr>
              <w:t>2026</w:t>
            </w:r>
          </w:p>
          <w:p>
            <w:pPr>
              <w:ind w:left="258"/>
              <w:spacing w:before="100" w:line="228" w:lineRule="auto"/>
              <w:rPr>
                <w:rFonts w:ascii="SimSun" w:hAnsi="SimSun" w:eastAsia="SimSun" w:cs="SimSun"/>
                <w:sz w:val="20"/>
                <w:szCs w:val="20"/>
              </w:rPr>
            </w:pPr>
            <w:r>
              <w:rPr>
                <w:rFonts w:ascii="SimSun" w:hAnsi="SimSun" w:eastAsia="SimSun" w:cs="SimSun"/>
                <w:sz w:val="20"/>
                <w:szCs w:val="20"/>
              </w:rPr>
              <w:t>年</w:t>
            </w:r>
          </w:p>
        </w:tc>
        <w:tc>
          <w:tcPr>
            <w:tcW w:w="2739" w:type="dxa"/>
            <w:vAlign w:val="top"/>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ind w:left="125"/>
              <w:spacing w:before="65" w:line="227" w:lineRule="auto"/>
              <w:rPr>
                <w:rFonts w:ascii="SimSun" w:hAnsi="SimSun" w:eastAsia="SimSun" w:cs="SimSun"/>
                <w:sz w:val="20"/>
                <w:szCs w:val="20"/>
              </w:rPr>
            </w:pPr>
            <w:r>
              <w:rPr>
                <w:rFonts w:ascii="SimSun" w:hAnsi="SimSun" w:eastAsia="SimSun" w:cs="SimSun"/>
                <w:sz w:val="20"/>
                <w:szCs w:val="20"/>
                <w:spacing w:val="8"/>
              </w:rPr>
              <w:t>噪声监测布点满足《工业企</w:t>
            </w:r>
          </w:p>
          <w:p>
            <w:pPr>
              <w:ind w:left="115"/>
              <w:spacing w:before="80" w:line="228" w:lineRule="auto"/>
              <w:rPr>
                <w:rFonts w:ascii="SimSun" w:hAnsi="SimSun" w:eastAsia="SimSun" w:cs="SimSun"/>
                <w:sz w:val="20"/>
                <w:szCs w:val="20"/>
              </w:rPr>
            </w:pPr>
            <w:r>
              <w:rPr>
                <w:rFonts w:ascii="SimSun" w:hAnsi="SimSun" w:eastAsia="SimSun" w:cs="SimSun"/>
                <w:sz w:val="20"/>
                <w:szCs w:val="20"/>
                <w:spacing w:val="8"/>
              </w:rPr>
              <w:t>业厂界环境噪声排放标准》</w:t>
            </w:r>
          </w:p>
          <w:p>
            <w:pPr>
              <w:pStyle w:val="TableText"/>
              <w:ind w:left="174"/>
              <w:spacing w:before="78" w:line="221" w:lineRule="auto"/>
              <w:rPr>
                <w:rFonts w:ascii="SimSun" w:hAnsi="SimSun" w:eastAsia="SimSun" w:cs="SimSun"/>
              </w:rPr>
            </w:pPr>
            <w:r>
              <w:rPr>
                <w:rFonts w:ascii="SimSun" w:hAnsi="SimSun" w:eastAsia="SimSun" w:cs="SimSun"/>
                <w:spacing w:val="5"/>
              </w:rPr>
              <w:t>（</w:t>
            </w:r>
            <w:r>
              <w:rPr/>
              <w:t>GB</w:t>
            </w:r>
            <w:r>
              <w:rPr>
                <w:spacing w:val="5"/>
              </w:rPr>
              <w:t>12348-2008)</w:t>
            </w:r>
            <w:r>
              <w:rPr>
                <w:rFonts w:ascii="SimSun" w:hAnsi="SimSun" w:eastAsia="SimSun" w:cs="SimSun"/>
                <w:spacing w:val="5"/>
              </w:rPr>
              <w:t>及《环境</w:t>
            </w:r>
          </w:p>
          <w:p>
            <w:pPr>
              <w:ind w:right="13"/>
              <w:spacing w:before="85" w:line="226" w:lineRule="auto"/>
              <w:jc w:val="right"/>
              <w:rPr>
                <w:rFonts w:ascii="SimSun" w:hAnsi="SimSun" w:eastAsia="SimSun" w:cs="SimSun"/>
                <w:sz w:val="20"/>
                <w:szCs w:val="20"/>
              </w:rPr>
            </w:pPr>
            <w:r>
              <w:rPr>
                <w:rFonts w:ascii="SimSun" w:hAnsi="SimSun" w:eastAsia="SimSun" w:cs="SimSun"/>
                <w:sz w:val="20"/>
                <w:szCs w:val="20"/>
                <w:spacing w:val="8"/>
              </w:rPr>
              <w:t>影响评价技术导则 声环境》</w:t>
            </w:r>
          </w:p>
          <w:p>
            <w:pPr>
              <w:pStyle w:val="TableText"/>
              <w:ind w:left="229"/>
              <w:spacing w:before="81" w:line="221" w:lineRule="auto"/>
              <w:rPr>
                <w:rFonts w:ascii="SimSun" w:hAnsi="SimSun" w:eastAsia="SimSun" w:cs="SimSun"/>
              </w:rPr>
            </w:pPr>
            <w:r>
              <w:rPr>
                <w:rFonts w:ascii="SimSun" w:hAnsi="SimSun" w:eastAsia="SimSun" w:cs="SimSun"/>
                <w:spacing w:val="6"/>
              </w:rPr>
              <w:t>（</w:t>
            </w:r>
            <w:r>
              <w:rPr/>
              <w:t>HJ</w:t>
            </w:r>
            <w:r>
              <w:rPr>
                <w:spacing w:val="6"/>
              </w:rPr>
              <w:t>2.4-2021)</w:t>
            </w:r>
            <w:r>
              <w:rPr>
                <w:rFonts w:ascii="SimSun" w:hAnsi="SimSun" w:eastAsia="SimSun" w:cs="SimSun"/>
                <w:spacing w:val="6"/>
              </w:rPr>
              <w:t>中相应监测</w:t>
            </w:r>
          </w:p>
          <w:p>
            <w:pPr>
              <w:ind w:left="956"/>
              <w:spacing w:before="87" w:line="227" w:lineRule="auto"/>
              <w:rPr>
                <w:rFonts w:ascii="SimSun" w:hAnsi="SimSun" w:eastAsia="SimSun" w:cs="SimSun"/>
                <w:sz w:val="20"/>
                <w:szCs w:val="20"/>
              </w:rPr>
            </w:pPr>
            <w:r>
              <w:rPr>
                <w:rFonts w:ascii="SimSun" w:hAnsi="SimSun" w:eastAsia="SimSun" w:cs="SimSun"/>
                <w:sz w:val="20"/>
                <w:szCs w:val="20"/>
                <w:spacing w:val="7"/>
              </w:rPr>
              <w:t>布点要求</w:t>
            </w:r>
          </w:p>
        </w:tc>
        <w:tc>
          <w:tcPr>
            <w:tcW w:w="856" w:type="dxa"/>
            <w:vAlign w:val="top"/>
          </w:tcPr>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spacing w:line="246" w:lineRule="auto"/>
              <w:rPr>
                <w:rFonts w:ascii="Arial"/>
                <w:sz w:val="21"/>
              </w:rPr>
            </w:pPr>
            <w:r/>
          </w:p>
          <w:p>
            <w:pPr>
              <w:pStyle w:val="TableText"/>
              <w:ind w:left="395"/>
              <w:spacing w:before="58" w:line="199" w:lineRule="auto"/>
              <w:rPr/>
            </w:pPr>
            <w:r>
              <w:rPr>
                <w:spacing w:val="2"/>
              </w:rPr>
              <w:t>/</w:t>
            </w:r>
          </w:p>
        </w:tc>
      </w:tr>
    </w:tbl>
    <w:p>
      <w:pPr>
        <w:pStyle w:val="BodyText"/>
        <w:spacing w:line="83" w:lineRule="exact"/>
        <w:rPr>
          <w:sz w:val="7"/>
        </w:rPr>
      </w:pPr>
      <w:r/>
    </w:p>
    <w:p>
      <w:pPr>
        <w:spacing w:line="83" w:lineRule="exact"/>
        <w:sectPr>
          <w:footerReference w:type="default" r:id="rId183"/>
          <w:pgSz w:w="11906" w:h="16838"/>
          <w:pgMar w:top="1170" w:right="1304" w:bottom="1077" w:left="1305" w:header="837" w:footer="918" w:gutter="0"/>
        </w:sectPr>
        <w:rPr>
          <w:sz w:val="7"/>
          <w:szCs w:val="7"/>
        </w:rPr>
      </w:pPr>
    </w:p>
    <w:p>
      <w:pPr>
        <w:pStyle w:val="BodyText"/>
        <w:spacing w:line="309" w:lineRule="auto"/>
        <w:rPr/>
      </w:pPr>
      <w:r/>
    </w:p>
    <w:p>
      <w:pPr>
        <w:pStyle w:val="BodyText"/>
        <w:spacing w:line="309" w:lineRule="auto"/>
        <w:rPr/>
      </w:pPr>
      <w:r/>
    </w:p>
    <w:p>
      <w:pPr>
        <w:ind w:left="4"/>
        <w:spacing w:before="97" w:line="221" w:lineRule="auto"/>
        <w:outlineLvl w:val="1"/>
        <w:rPr>
          <w:rFonts w:ascii="SimHei" w:hAnsi="SimHei" w:eastAsia="SimHei" w:cs="SimHei"/>
          <w:sz w:val="30"/>
          <w:szCs w:val="30"/>
        </w:rPr>
      </w:pPr>
      <w:bookmarkStart w:name="bookmark22" w:id="38"/>
      <w:bookmarkEnd w:id="38"/>
      <w:r>
        <w:rPr>
          <w:rFonts w:ascii="Times New Roman" w:hAnsi="Times New Roman" w:eastAsia="Times New Roman" w:cs="Times New Roman"/>
          <w:sz w:val="30"/>
          <w:szCs w:val="30"/>
          <w:b/>
          <w:bCs/>
          <w:spacing w:val="-2"/>
        </w:rPr>
        <w:t>3.5  </w:t>
      </w:r>
      <w:r>
        <w:rPr>
          <w:rFonts w:ascii="SimHei" w:hAnsi="SimHei" w:eastAsia="SimHei" w:cs="SimHei"/>
          <w:sz w:val="30"/>
          <w:szCs w:val="30"/>
          <w:b/>
          <w:bCs/>
          <w:spacing w:val="-2"/>
        </w:rPr>
        <w:t>改建项目工程概况及工程分析</w:t>
      </w:r>
    </w:p>
    <w:p>
      <w:pPr>
        <w:ind w:left="4"/>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3.5.1  </w:t>
      </w:r>
      <w:r>
        <w:rPr>
          <w:rFonts w:ascii="SimHei" w:hAnsi="SimHei" w:eastAsia="SimHei" w:cs="SimHei"/>
          <w:sz w:val="28"/>
          <w:szCs w:val="28"/>
          <w:b/>
          <w:bCs/>
          <w:spacing w:val="-2"/>
        </w:rPr>
        <w:t>项目组成</w:t>
      </w:r>
    </w:p>
    <w:p>
      <w:pPr>
        <w:ind w:left="27" w:firstLine="463"/>
        <w:spacing w:before="170" w:line="339" w:lineRule="auto"/>
        <w:rPr>
          <w:rFonts w:ascii="SimSun" w:hAnsi="SimSun" w:eastAsia="SimSun" w:cs="SimSun"/>
          <w:sz w:val="24"/>
          <w:szCs w:val="24"/>
        </w:rPr>
      </w:pPr>
      <w:r>
        <w:rPr>
          <w:rFonts w:ascii="SimSun" w:hAnsi="SimSun" w:eastAsia="SimSun" w:cs="SimSun"/>
          <w:sz w:val="24"/>
          <w:szCs w:val="24"/>
          <w:spacing w:val="-2"/>
        </w:rPr>
        <w:t>本次改建项目生产规模维持不变（其中一期工程露天区</w:t>
      </w:r>
      <w:r>
        <w:rPr>
          <w:rFonts w:ascii="Times New Roman" w:hAnsi="Times New Roman" w:eastAsia="Times New Roman" w:cs="Times New Roman"/>
          <w:sz w:val="24"/>
          <w:szCs w:val="24"/>
          <w:spacing w:val="-2"/>
        </w:rPr>
        <w:t>500</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SimSun" w:hAnsi="SimSun" w:eastAsia="SimSun" w:cs="SimSun"/>
          <w:sz w:val="24"/>
          <w:szCs w:val="24"/>
          <w:spacing w:val="-3"/>
        </w:rPr>
        <w:t>二期工程井工</w:t>
      </w:r>
      <w:r>
        <w:rPr>
          <w:rFonts w:ascii="SimSun" w:hAnsi="SimSun" w:eastAsia="SimSun" w:cs="SimSun"/>
          <w:sz w:val="24"/>
          <w:szCs w:val="24"/>
          <w:spacing w:val="-3"/>
        </w:rPr>
        <w:t>区</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3"/>
        </w:rPr>
        <w:t>800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年）。本次改建项目主要工程如下：</w:t>
      </w:r>
    </w:p>
    <w:p>
      <w:pPr>
        <w:ind w:left="15" w:right="48" w:firstLine="480"/>
        <w:spacing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）优化调整开采范围：露天区开采范围新增</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3.079km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2"/>
        </w:rPr>
        <w:t>，增加可采资源量</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4777.1</w:t>
      </w:r>
      <w:r>
        <w:rPr>
          <w:rFonts w:ascii="SimSun" w:hAnsi="SimSun" w:eastAsia="SimSun" w:cs="SimSun"/>
          <w:sz w:val="24"/>
          <w:szCs w:val="24"/>
          <w:spacing w:val="-2"/>
        </w:rPr>
        <w:t>万吨，井工区开采面积相对减少。</w:t>
      </w:r>
    </w:p>
    <w:p>
      <w:pPr>
        <w:ind w:left="9" w:firstLine="486"/>
        <w:spacing w:before="156" w:line="27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）地面输煤系统改建：新建九条带式输送机（总长度</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10km</w:t>
      </w:r>
      <w:r>
        <w:rPr>
          <w:rFonts w:ascii="SimSun" w:hAnsi="SimSun" w:eastAsia="SimSun" w:cs="SimSun"/>
          <w:sz w:val="24"/>
          <w:szCs w:val="24"/>
          <w:spacing w:val="-3"/>
        </w:rPr>
        <w:t>）、五座转载站、三</w:t>
      </w:r>
      <w:r>
        <w:rPr>
          <w:rFonts w:ascii="SimSun" w:hAnsi="SimSun" w:eastAsia="SimSun" w:cs="SimSun"/>
          <w:sz w:val="24"/>
          <w:szCs w:val="24"/>
          <w:spacing w:val="-1"/>
        </w:rPr>
        <w:t>个缓冲仓及其配套设施等；采矿证范围内铁路专用线拆除等。</w:t>
      </w:r>
    </w:p>
    <w:p>
      <w:pPr>
        <w:ind w:left="7" w:firstLine="481"/>
        <w:spacing w:before="153" w:line="340" w:lineRule="auto"/>
        <w:jc w:val="both"/>
        <w:rPr>
          <w:rFonts w:ascii="SimSun" w:hAnsi="SimSun" w:eastAsia="SimSun" w:cs="SimSun"/>
          <w:sz w:val="24"/>
          <w:szCs w:val="24"/>
        </w:rPr>
      </w:pPr>
      <w:r>
        <w:rPr>
          <w:rFonts w:ascii="SimSun" w:hAnsi="SimSun" w:eastAsia="SimSun" w:cs="SimSun"/>
          <w:sz w:val="24"/>
          <w:szCs w:val="24"/>
          <w:spacing w:val="-2"/>
        </w:rPr>
        <w:t>地面输煤系统改建工程另行编制环境影响评价报告，不在本次评价范围内，该报告</w:t>
      </w:r>
      <w:r>
        <w:rPr>
          <w:rFonts w:ascii="SimSun" w:hAnsi="SimSun" w:eastAsia="SimSun" w:cs="SimSun"/>
          <w:sz w:val="24"/>
          <w:szCs w:val="24"/>
          <w:spacing w:val="-1"/>
        </w:rPr>
        <w:t>已获得批复。本次评价仅针对白音华四号露</w:t>
      </w:r>
      <w:r>
        <w:rPr>
          <w:rFonts w:ascii="SimSun" w:hAnsi="SimSun" w:eastAsia="SimSun" w:cs="SimSun"/>
          <w:sz w:val="24"/>
          <w:szCs w:val="24"/>
          <w:spacing w:val="-2"/>
        </w:rPr>
        <w:t>天矿（露天区）优化调整开采范围相关内容</w:t>
      </w:r>
      <w:r>
        <w:rPr>
          <w:rFonts w:ascii="SimSun" w:hAnsi="SimSun" w:eastAsia="SimSun" w:cs="SimSun"/>
          <w:sz w:val="24"/>
          <w:szCs w:val="24"/>
          <w:spacing w:val="-2"/>
        </w:rPr>
        <w:t>进行评价。</w:t>
      </w:r>
    </w:p>
    <w:p>
      <w:pPr>
        <w:ind w:left="4"/>
        <w:spacing w:before="8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3.5.2  </w:t>
      </w:r>
      <w:r>
        <w:rPr>
          <w:rFonts w:ascii="SimHei" w:hAnsi="SimHei" w:eastAsia="SimHei" w:cs="SimHei"/>
          <w:sz w:val="28"/>
          <w:szCs w:val="28"/>
          <w:b/>
          <w:bCs/>
          <w:spacing w:val="-2"/>
        </w:rPr>
        <w:t>改建后项目基本情况</w:t>
      </w:r>
    </w:p>
    <w:p>
      <w:pPr>
        <w:ind w:left="10" w:firstLine="482"/>
        <w:spacing w:before="170" w:line="339" w:lineRule="auto"/>
        <w:rPr>
          <w:rFonts w:ascii="SimSun" w:hAnsi="SimSun" w:eastAsia="SimSun" w:cs="SimSun"/>
          <w:sz w:val="24"/>
          <w:szCs w:val="24"/>
        </w:rPr>
      </w:pPr>
      <w:r>
        <w:rPr>
          <w:rFonts w:ascii="SimSun" w:hAnsi="SimSun" w:eastAsia="SimSun" w:cs="SimSun"/>
          <w:sz w:val="24"/>
          <w:szCs w:val="24"/>
          <w:spacing w:val="-2"/>
        </w:rPr>
        <w:t>项目名称：西乌珠穆沁旗白音华煤田四号露天矿改建项目（优化调整开采范围及地</w:t>
      </w:r>
      <w:r>
        <w:rPr>
          <w:rFonts w:ascii="SimSun" w:hAnsi="SimSun" w:eastAsia="SimSun" w:cs="SimSun"/>
          <w:sz w:val="24"/>
          <w:szCs w:val="24"/>
          <w:spacing w:val="-2"/>
        </w:rPr>
        <w:t>面输煤系统改建</w:t>
      </w:r>
      <w:r>
        <w:rPr>
          <w:rFonts w:ascii="SimSun" w:hAnsi="SimSun" w:eastAsia="SimSun" w:cs="SimSun"/>
          <w:sz w:val="24"/>
          <w:szCs w:val="24"/>
          <w:spacing w:val="1"/>
        </w:rPr>
        <w:t>）；</w:t>
      </w:r>
    </w:p>
    <w:p>
      <w:pPr>
        <w:ind w:left="492"/>
        <w:spacing w:before="1" w:line="219" w:lineRule="auto"/>
        <w:rPr>
          <w:rFonts w:ascii="SimSun" w:hAnsi="SimSun" w:eastAsia="SimSun" w:cs="SimSun"/>
          <w:sz w:val="24"/>
          <w:szCs w:val="24"/>
        </w:rPr>
      </w:pPr>
      <w:r>
        <w:rPr>
          <w:rFonts w:ascii="SimSun" w:hAnsi="SimSun" w:eastAsia="SimSun" w:cs="SimSun"/>
          <w:sz w:val="24"/>
          <w:szCs w:val="24"/>
          <w:spacing w:val="-1"/>
        </w:rPr>
        <w:t>建设规模：</w:t>
      </w:r>
      <w:r>
        <w:rPr>
          <w:rFonts w:ascii="Times New Roman" w:hAnsi="Times New Roman" w:eastAsia="Times New Roman" w:cs="Times New Roman"/>
          <w:sz w:val="24"/>
          <w:szCs w:val="24"/>
          <w:spacing w:val="-1"/>
        </w:rPr>
        <w:t>5.0Mt/a</w:t>
      </w:r>
      <w:r>
        <w:rPr>
          <w:rFonts w:ascii="SimSun" w:hAnsi="SimSun" w:eastAsia="SimSun" w:cs="SimSun"/>
          <w:sz w:val="24"/>
          <w:szCs w:val="24"/>
          <w:spacing w:val="-1"/>
        </w:rPr>
        <w:t>；</w:t>
      </w:r>
    </w:p>
    <w:p>
      <w:pPr>
        <w:ind w:left="492"/>
        <w:spacing w:before="154" w:line="219" w:lineRule="auto"/>
        <w:rPr>
          <w:rFonts w:ascii="SimSun" w:hAnsi="SimSun" w:eastAsia="SimSun" w:cs="SimSun"/>
          <w:sz w:val="24"/>
          <w:szCs w:val="24"/>
        </w:rPr>
      </w:pPr>
      <w:r>
        <w:rPr>
          <w:rFonts w:ascii="SimSun" w:hAnsi="SimSun" w:eastAsia="SimSun" w:cs="SimSun"/>
          <w:sz w:val="24"/>
          <w:szCs w:val="24"/>
          <w:spacing w:val="-2"/>
        </w:rPr>
        <w:t>建设性质：改扩建；</w:t>
      </w:r>
    </w:p>
    <w:p>
      <w:pPr>
        <w:ind w:left="489"/>
        <w:spacing w:before="155" w:line="219" w:lineRule="auto"/>
        <w:rPr>
          <w:rFonts w:ascii="SimSun" w:hAnsi="SimSun" w:eastAsia="SimSun" w:cs="SimSun"/>
          <w:sz w:val="24"/>
          <w:szCs w:val="24"/>
        </w:rPr>
      </w:pPr>
      <w:r>
        <w:rPr>
          <w:rFonts w:ascii="SimSun" w:hAnsi="SimSun" w:eastAsia="SimSun" w:cs="SimSun"/>
          <w:sz w:val="24"/>
          <w:szCs w:val="24"/>
          <w:spacing w:val="-1"/>
        </w:rPr>
        <w:t>服务年限：</w:t>
      </w:r>
      <w:r>
        <w:rPr>
          <w:rFonts w:ascii="Times New Roman" w:hAnsi="Times New Roman" w:eastAsia="Times New Roman" w:cs="Times New Roman"/>
          <w:sz w:val="24"/>
          <w:szCs w:val="24"/>
          <w:color w:val="FF0000"/>
          <w:spacing w:val="-1"/>
        </w:rPr>
        <w:t>9.5a</w:t>
      </w:r>
      <w:r>
        <w:rPr>
          <w:rFonts w:ascii="SimSun" w:hAnsi="SimSun" w:eastAsia="SimSun" w:cs="SimSun"/>
          <w:sz w:val="24"/>
          <w:szCs w:val="24"/>
          <w:spacing w:val="-1"/>
        </w:rPr>
        <w:t>；</w:t>
      </w:r>
    </w:p>
    <w:p>
      <w:pPr>
        <w:ind w:left="490"/>
        <w:spacing w:before="156" w:line="219" w:lineRule="auto"/>
        <w:rPr>
          <w:rFonts w:ascii="SimSun" w:hAnsi="SimSun" w:eastAsia="SimSun" w:cs="SimSun"/>
          <w:sz w:val="24"/>
          <w:szCs w:val="24"/>
        </w:rPr>
      </w:pPr>
      <w:r>
        <w:rPr>
          <w:rFonts w:ascii="SimSun" w:hAnsi="SimSun" w:eastAsia="SimSun" w:cs="SimSun"/>
          <w:sz w:val="24"/>
          <w:szCs w:val="24"/>
          <w:spacing w:val="-1"/>
        </w:rPr>
        <w:t>开拓方式：单斗</w:t>
      </w:r>
      <w:r>
        <w:rPr>
          <w:rFonts w:ascii="Times New Roman" w:hAnsi="Times New Roman" w:eastAsia="Times New Roman" w:cs="Times New Roman"/>
          <w:sz w:val="24"/>
          <w:szCs w:val="24"/>
          <w:spacing w:val="-1"/>
        </w:rPr>
        <w:t>—</w:t>
      </w:r>
      <w:r>
        <w:rPr>
          <w:rFonts w:ascii="SimSun" w:hAnsi="SimSun" w:eastAsia="SimSun" w:cs="SimSun"/>
          <w:sz w:val="24"/>
          <w:szCs w:val="24"/>
          <w:spacing w:val="-1"/>
        </w:rPr>
        <w:t>卡车半移动破碎机</w:t>
      </w:r>
      <w:r>
        <w:rPr>
          <w:rFonts w:ascii="Times New Roman" w:hAnsi="Times New Roman" w:eastAsia="Times New Roman" w:cs="Times New Roman"/>
          <w:sz w:val="24"/>
          <w:szCs w:val="24"/>
          <w:spacing w:val="-1"/>
        </w:rPr>
        <w:t>—</w:t>
      </w:r>
      <w:r>
        <w:rPr>
          <w:rFonts w:ascii="SimSun" w:hAnsi="SimSun" w:eastAsia="SimSun" w:cs="SimSun"/>
          <w:sz w:val="24"/>
          <w:szCs w:val="24"/>
          <w:spacing w:val="-1"/>
        </w:rPr>
        <w:t>胶带运输机的半连续工艺；</w:t>
      </w:r>
    </w:p>
    <w:p>
      <w:pPr>
        <w:ind w:left="492"/>
        <w:spacing w:before="154" w:line="219" w:lineRule="auto"/>
        <w:rPr>
          <w:rFonts w:ascii="SimSun" w:hAnsi="SimSun" w:eastAsia="SimSun" w:cs="SimSun"/>
          <w:sz w:val="24"/>
          <w:szCs w:val="24"/>
        </w:rPr>
      </w:pPr>
      <w:r>
        <w:rPr>
          <w:rFonts w:ascii="SimSun" w:hAnsi="SimSun" w:eastAsia="SimSun" w:cs="SimSun"/>
          <w:sz w:val="24"/>
          <w:szCs w:val="24"/>
          <w:spacing w:val="-1"/>
        </w:rPr>
        <w:t>建设单位：内蒙古海州露天能源有限责任公司；</w:t>
      </w:r>
    </w:p>
    <w:p>
      <w:pPr>
        <w:ind w:left="492"/>
        <w:spacing w:before="155" w:line="219" w:lineRule="auto"/>
        <w:rPr>
          <w:rFonts w:ascii="SimSun" w:hAnsi="SimSun" w:eastAsia="SimSun" w:cs="SimSun"/>
          <w:sz w:val="24"/>
          <w:szCs w:val="24"/>
        </w:rPr>
      </w:pPr>
      <w:r>
        <w:rPr>
          <w:rFonts w:ascii="SimSun" w:hAnsi="SimSun" w:eastAsia="SimSun" w:cs="SimSun"/>
          <w:sz w:val="24"/>
          <w:szCs w:val="24"/>
          <w:spacing w:val="-1"/>
        </w:rPr>
        <w:t>建设地点：锡林郭勒盟西乌珠穆沁旗境内；</w:t>
      </w:r>
    </w:p>
    <w:p>
      <w:pPr>
        <w:ind w:left="495"/>
        <w:spacing w:before="158" w:line="219" w:lineRule="auto"/>
        <w:rPr>
          <w:rFonts w:ascii="SimSun" w:hAnsi="SimSun" w:eastAsia="SimSun" w:cs="SimSun"/>
          <w:sz w:val="24"/>
          <w:szCs w:val="24"/>
        </w:rPr>
      </w:pPr>
      <w:r>
        <w:rPr>
          <w:rFonts w:ascii="SimSun" w:hAnsi="SimSun" w:eastAsia="SimSun" w:cs="SimSun"/>
          <w:sz w:val="24"/>
          <w:szCs w:val="24"/>
          <w:spacing w:val="-1"/>
        </w:rPr>
        <w:t>劳动定员及工作制度：</w:t>
      </w:r>
      <w:r>
        <w:rPr>
          <w:rFonts w:ascii="Times New Roman" w:hAnsi="Times New Roman" w:eastAsia="Times New Roman" w:cs="Times New Roman"/>
          <w:sz w:val="24"/>
          <w:szCs w:val="24"/>
          <w:spacing w:val="-1"/>
        </w:rPr>
        <w:t>758 </w:t>
      </w:r>
      <w:r>
        <w:rPr>
          <w:rFonts w:ascii="SimSun" w:hAnsi="SimSun" w:eastAsia="SimSun" w:cs="SimSun"/>
          <w:sz w:val="24"/>
          <w:szCs w:val="24"/>
          <w:spacing w:val="-1"/>
        </w:rPr>
        <w:t>人；年工作</w:t>
      </w:r>
      <w:r>
        <w:rPr>
          <w:rFonts w:ascii="SimSun" w:hAnsi="SimSun" w:eastAsia="SimSun" w:cs="SimSun"/>
          <w:sz w:val="24"/>
          <w:szCs w:val="24"/>
          <w:spacing w:val="-2"/>
        </w:rPr>
        <w:t>制度为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330d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，三班生产，一班检修。</w:t>
      </w:r>
    </w:p>
    <w:p>
      <w:pPr>
        <w:ind w:left="9" w:right="2" w:firstLine="483"/>
        <w:spacing w:before="153" w:line="339" w:lineRule="auto"/>
        <w:rPr>
          <w:rFonts w:ascii="SimSun" w:hAnsi="SimSun" w:eastAsia="SimSun" w:cs="SimSun"/>
          <w:sz w:val="24"/>
          <w:szCs w:val="24"/>
        </w:rPr>
      </w:pPr>
      <w:r>
        <w:rPr>
          <w:rFonts w:ascii="SimSun" w:hAnsi="SimSun" w:eastAsia="SimSun" w:cs="SimSun"/>
          <w:sz w:val="24"/>
          <w:szCs w:val="24"/>
          <w:spacing w:val="-1"/>
        </w:rPr>
        <w:t>项目投资：项目总投资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33228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万元。环保投资</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2823.</w:t>
      </w:r>
      <w:r>
        <w:rPr>
          <w:rFonts w:ascii="Times New Roman" w:hAnsi="Times New Roman" w:eastAsia="Times New Roman" w:cs="Times New Roman"/>
          <w:sz w:val="24"/>
          <w:szCs w:val="24"/>
          <w:spacing w:val="-2"/>
        </w:rPr>
        <w:t>48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万元，环保投资占总投资比</w:t>
      </w:r>
      <w:r>
        <w:rPr>
          <w:rFonts w:ascii="SimSun" w:hAnsi="SimSun" w:eastAsia="SimSun" w:cs="SimSun"/>
          <w:sz w:val="24"/>
          <w:szCs w:val="24"/>
          <w:spacing w:val="-5"/>
        </w:rPr>
        <w:t>例</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5"/>
        </w:rPr>
        <w:t>8.5%</w:t>
      </w:r>
      <w:r>
        <w:rPr>
          <w:rFonts w:ascii="SimSun" w:hAnsi="SimSun" w:eastAsia="SimSun" w:cs="SimSun"/>
          <w:sz w:val="24"/>
          <w:szCs w:val="24"/>
          <w:spacing w:val="-5"/>
        </w:rPr>
        <w:t>。</w:t>
      </w:r>
    </w:p>
    <w:p>
      <w:pPr>
        <w:ind w:left="490"/>
        <w:spacing w:before="1" w:line="218" w:lineRule="auto"/>
        <w:rPr>
          <w:rFonts w:ascii="SimSun" w:hAnsi="SimSun" w:eastAsia="SimSun" w:cs="SimSun"/>
          <w:sz w:val="24"/>
          <w:szCs w:val="24"/>
        </w:rPr>
      </w:pPr>
      <w:r>
        <w:rPr>
          <w:rFonts w:ascii="SimSun" w:hAnsi="SimSun" w:eastAsia="SimSun" w:cs="SimSun"/>
          <w:sz w:val="24"/>
          <w:szCs w:val="24"/>
          <w:spacing w:val="-2"/>
        </w:rPr>
        <w:t>本次改建工程项目组成详见表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3-5-1</w:t>
      </w:r>
      <w:r>
        <w:rPr>
          <w:rFonts w:ascii="SimSun" w:hAnsi="SimSun" w:eastAsia="SimSun" w:cs="SimSun"/>
          <w:sz w:val="24"/>
          <w:szCs w:val="24"/>
          <w:spacing w:val="-2"/>
        </w:rPr>
        <w:t>。</w:t>
      </w:r>
    </w:p>
    <w:p>
      <w:pPr>
        <w:spacing w:line="218" w:lineRule="auto"/>
        <w:sectPr>
          <w:headerReference w:type="default" r:id="rId79"/>
          <w:footerReference w:type="default" r:id="rId184"/>
          <w:pgSz w:w="11906" w:h="16838"/>
          <w:pgMar w:top="1170" w:right="1417" w:bottom="1080" w:left="1416" w:header="837" w:footer="918" w:gutter="0"/>
        </w:sectPr>
        <w:rPr>
          <w:rFonts w:ascii="SimSun" w:hAnsi="SimSun" w:eastAsia="SimSun" w:cs="SimSun"/>
          <w:sz w:val="24"/>
          <w:szCs w:val="24"/>
        </w:rPr>
      </w:pPr>
    </w:p>
    <w:p>
      <w:pPr>
        <w:pStyle w:val="BodyText"/>
        <w:spacing w:line="439" w:lineRule="auto"/>
        <w:rPr/>
      </w:pPr>
      <w:r/>
    </w:p>
    <w:p>
      <w:pPr>
        <w:ind w:left="5619"/>
        <w:spacing w:before="78" w:line="222" w:lineRule="auto"/>
        <w:rPr>
          <w:rFonts w:ascii="SimHei" w:hAnsi="SimHei" w:eastAsia="SimHei" w:cs="SimHei"/>
          <w:sz w:val="24"/>
          <w:szCs w:val="24"/>
        </w:rPr>
      </w:pPr>
      <w:r>
        <w:rPr>
          <w:rFonts w:ascii="SimHei" w:hAnsi="SimHei" w:eastAsia="SimHei" w:cs="SimHei"/>
          <w:sz w:val="24"/>
          <w:szCs w:val="24"/>
          <w:spacing w:val="-1"/>
        </w:rPr>
        <w:t>本次改建工程项目组成一览表</w:t>
      </w:r>
    </w:p>
    <w:p>
      <w:pPr>
        <w:ind w:left="31"/>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2"/>
        </w:rPr>
        <w:t>3-5-1</w:t>
      </w:r>
    </w:p>
    <w:tbl>
      <w:tblPr>
        <w:tblStyle w:val="TableNormal"/>
        <w:tblW w:w="143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475"/>
        <w:gridCol w:w="451"/>
        <w:gridCol w:w="929"/>
        <w:gridCol w:w="4119"/>
        <w:gridCol w:w="4129"/>
        <w:gridCol w:w="3659"/>
      </w:tblGrid>
      <w:tr>
        <w:trPr>
          <w:trHeight w:val="503" w:hRule="atLeast"/>
        </w:trPr>
        <w:tc>
          <w:tcPr>
            <w:tcW w:w="573" w:type="dxa"/>
            <w:vAlign w:val="top"/>
          </w:tcPr>
          <w:p>
            <w:pPr>
              <w:ind w:left="82"/>
              <w:spacing w:before="146" w:line="228" w:lineRule="auto"/>
              <w:rPr>
                <w:rFonts w:ascii="SimSun" w:hAnsi="SimSun" w:eastAsia="SimSun" w:cs="SimSun"/>
                <w:sz w:val="20"/>
                <w:szCs w:val="20"/>
              </w:rPr>
            </w:pPr>
            <w:r>
              <w:rPr>
                <w:rFonts w:ascii="SimSun" w:hAnsi="SimSun" w:eastAsia="SimSun" w:cs="SimSun"/>
                <w:sz w:val="20"/>
                <w:szCs w:val="20"/>
                <w:spacing w:val="3"/>
              </w:rPr>
              <w:t>分类</w:t>
            </w:r>
          </w:p>
        </w:tc>
        <w:tc>
          <w:tcPr>
            <w:tcW w:w="1855" w:type="dxa"/>
            <w:vAlign w:val="top"/>
            <w:gridSpan w:val="3"/>
          </w:tcPr>
          <w:p>
            <w:pPr>
              <w:ind w:left="513"/>
              <w:spacing w:before="146" w:line="228" w:lineRule="auto"/>
              <w:rPr>
                <w:rFonts w:ascii="SimSun" w:hAnsi="SimSun" w:eastAsia="SimSun" w:cs="SimSun"/>
                <w:sz w:val="20"/>
                <w:szCs w:val="20"/>
              </w:rPr>
            </w:pPr>
            <w:r>
              <w:rPr>
                <w:rFonts w:ascii="SimSun" w:hAnsi="SimSun" w:eastAsia="SimSun" w:cs="SimSun"/>
                <w:sz w:val="20"/>
                <w:szCs w:val="20"/>
                <w:spacing w:val="6"/>
              </w:rPr>
              <w:t>项目组成</w:t>
            </w:r>
          </w:p>
        </w:tc>
        <w:tc>
          <w:tcPr>
            <w:tcW w:w="4119" w:type="dxa"/>
            <w:vAlign w:val="top"/>
          </w:tcPr>
          <w:p>
            <w:pPr>
              <w:ind w:left="1436"/>
              <w:spacing w:before="146" w:line="228" w:lineRule="auto"/>
              <w:rPr>
                <w:rFonts w:ascii="SimSun" w:hAnsi="SimSun" w:eastAsia="SimSun" w:cs="SimSun"/>
                <w:sz w:val="20"/>
                <w:szCs w:val="20"/>
              </w:rPr>
            </w:pPr>
            <w:r>
              <w:rPr>
                <w:rFonts w:ascii="SimSun" w:hAnsi="SimSun" w:eastAsia="SimSun" w:cs="SimSun"/>
                <w:sz w:val="20"/>
                <w:szCs w:val="20"/>
                <w:spacing w:val="7"/>
              </w:rPr>
              <w:t>现有工程内容</w:t>
            </w:r>
          </w:p>
        </w:tc>
        <w:tc>
          <w:tcPr>
            <w:tcW w:w="4129" w:type="dxa"/>
            <w:vAlign w:val="top"/>
          </w:tcPr>
          <w:p>
            <w:pPr>
              <w:ind w:left="917"/>
              <w:spacing w:before="146" w:line="227" w:lineRule="auto"/>
              <w:rPr>
                <w:rFonts w:ascii="SimSun" w:hAnsi="SimSun" w:eastAsia="SimSun" w:cs="SimSun"/>
                <w:sz w:val="20"/>
                <w:szCs w:val="20"/>
              </w:rPr>
            </w:pPr>
            <w:r>
              <w:rPr>
                <w:rFonts w:ascii="SimSun" w:hAnsi="SimSun" w:eastAsia="SimSun" w:cs="SimSun"/>
                <w:sz w:val="20"/>
                <w:szCs w:val="20"/>
                <w:spacing w:val="9"/>
              </w:rPr>
              <w:t>调整开采范围后工程内容</w:t>
            </w:r>
          </w:p>
        </w:tc>
        <w:tc>
          <w:tcPr>
            <w:tcW w:w="3659" w:type="dxa"/>
            <w:vAlign w:val="top"/>
          </w:tcPr>
          <w:p>
            <w:pPr>
              <w:ind w:left="1413"/>
              <w:spacing w:before="147" w:line="228" w:lineRule="auto"/>
              <w:rPr>
                <w:rFonts w:ascii="SimSun" w:hAnsi="SimSun" w:eastAsia="SimSun" w:cs="SimSun"/>
                <w:sz w:val="20"/>
                <w:szCs w:val="20"/>
              </w:rPr>
            </w:pPr>
            <w:r>
              <w:rPr>
                <w:rFonts w:ascii="SimSun" w:hAnsi="SimSun" w:eastAsia="SimSun" w:cs="SimSun"/>
                <w:sz w:val="20"/>
                <w:szCs w:val="20"/>
                <w:spacing w:val="7"/>
              </w:rPr>
              <w:t>变化情况</w:t>
            </w:r>
          </w:p>
        </w:tc>
      </w:tr>
      <w:tr>
        <w:trPr>
          <w:trHeight w:val="820" w:hRule="atLeast"/>
        </w:trPr>
        <w:tc>
          <w:tcPr>
            <w:tcW w:w="573" w:type="dxa"/>
            <w:vAlign w:val="top"/>
            <w:vMerge w:val="restart"/>
            <w:tcBorders>
              <w:bottom w:val="nil"/>
            </w:tcBorders>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ind w:left="79" w:right="78" w:firstLine="3"/>
              <w:spacing w:before="65" w:line="252" w:lineRule="auto"/>
              <w:rPr>
                <w:rFonts w:ascii="SimSun" w:hAnsi="SimSun" w:eastAsia="SimSun" w:cs="SimSun"/>
                <w:sz w:val="20"/>
                <w:szCs w:val="20"/>
              </w:rPr>
            </w:pPr>
            <w:r>
              <w:rPr>
                <w:rFonts w:ascii="SimSun" w:hAnsi="SimSun" w:eastAsia="SimSun" w:cs="SimSun"/>
                <w:sz w:val="20"/>
                <w:szCs w:val="20"/>
                <w:spacing w:val="3"/>
              </w:rPr>
              <w:t>项目</w:t>
            </w:r>
            <w:r>
              <w:rPr>
                <w:rFonts w:ascii="SimSun" w:hAnsi="SimSun" w:eastAsia="SimSun" w:cs="SimSun"/>
                <w:sz w:val="20"/>
                <w:szCs w:val="20"/>
                <w:spacing w:val="4"/>
              </w:rPr>
              <w:t>概况</w:t>
            </w:r>
          </w:p>
        </w:tc>
        <w:tc>
          <w:tcPr>
            <w:tcW w:w="1855" w:type="dxa"/>
            <w:vAlign w:val="top"/>
            <w:gridSpan w:val="3"/>
          </w:tcPr>
          <w:p>
            <w:pPr>
              <w:ind w:left="510"/>
              <w:spacing w:before="303" w:line="228" w:lineRule="auto"/>
              <w:rPr>
                <w:rFonts w:ascii="SimSun" w:hAnsi="SimSun" w:eastAsia="SimSun" w:cs="SimSun"/>
                <w:sz w:val="20"/>
                <w:szCs w:val="20"/>
              </w:rPr>
            </w:pPr>
            <w:r>
              <w:rPr>
                <w:rFonts w:ascii="SimSun" w:hAnsi="SimSun" w:eastAsia="SimSun" w:cs="SimSun"/>
                <w:sz w:val="20"/>
                <w:szCs w:val="20"/>
                <w:spacing w:val="7"/>
              </w:rPr>
              <w:t>井田境界</w:t>
            </w:r>
          </w:p>
        </w:tc>
        <w:tc>
          <w:tcPr>
            <w:tcW w:w="4119" w:type="dxa"/>
            <w:vAlign w:val="top"/>
          </w:tcPr>
          <w:p>
            <w:pPr>
              <w:pStyle w:val="TableText"/>
              <w:ind w:left="713"/>
              <w:spacing w:before="303" w:line="227" w:lineRule="auto"/>
              <w:rPr>
                <w:sz w:val="13"/>
                <w:szCs w:val="13"/>
              </w:rPr>
            </w:pPr>
            <w:r>
              <w:rPr>
                <w:rFonts w:ascii="SimSun" w:hAnsi="SimSun" w:eastAsia="SimSun" w:cs="SimSun"/>
                <w:spacing w:val="7"/>
              </w:rPr>
              <w:t>采矿证矿区面积：</w:t>
            </w:r>
            <w:r>
              <w:rPr>
                <w:spacing w:val="7"/>
              </w:rPr>
              <w:t>25.0441</w:t>
            </w:r>
            <w:r>
              <w:rPr/>
              <w:t>km</w:t>
            </w:r>
            <w:r>
              <w:rPr>
                <w:sz w:val="13"/>
                <w:szCs w:val="13"/>
                <w:spacing w:val="7"/>
                <w:position w:val="6"/>
              </w:rPr>
              <w:t>2</w:t>
            </w:r>
          </w:p>
        </w:tc>
        <w:tc>
          <w:tcPr>
            <w:tcW w:w="4129" w:type="dxa"/>
            <w:vAlign w:val="top"/>
          </w:tcPr>
          <w:p>
            <w:pPr>
              <w:pStyle w:val="TableText"/>
              <w:ind w:left="614"/>
              <w:spacing w:before="303" w:line="227" w:lineRule="auto"/>
              <w:rPr>
                <w:rFonts w:ascii="SimSun" w:hAnsi="SimSun" w:eastAsia="SimSun" w:cs="SimSun"/>
              </w:rPr>
            </w:pPr>
            <w:r>
              <w:rPr>
                <w:rFonts w:ascii="SimSun" w:hAnsi="SimSun" w:eastAsia="SimSun" w:cs="SimSun"/>
                <w:spacing w:val="7"/>
              </w:rPr>
              <w:t>采矿证矿区面积：</w:t>
            </w:r>
            <w:r>
              <w:rPr>
                <w:spacing w:val="7"/>
              </w:rPr>
              <w:t>25.0441</w:t>
            </w:r>
            <w:r>
              <w:rPr/>
              <w:t>km</w:t>
            </w:r>
            <w:r>
              <w:rPr>
                <w:sz w:val="13"/>
                <w:szCs w:val="13"/>
                <w:spacing w:val="7"/>
                <w:position w:val="6"/>
              </w:rPr>
              <w:t>2</w:t>
            </w:r>
            <w:r>
              <w:rPr>
                <w:rFonts w:ascii="SimSun" w:hAnsi="SimSun" w:eastAsia="SimSun" w:cs="SimSun"/>
                <w:spacing w:val="7"/>
              </w:rPr>
              <w:t>。</w:t>
            </w:r>
          </w:p>
        </w:tc>
        <w:tc>
          <w:tcPr>
            <w:tcW w:w="3659" w:type="dxa"/>
            <w:vAlign w:val="top"/>
          </w:tcPr>
          <w:p>
            <w:pPr>
              <w:pStyle w:val="TableText"/>
              <w:ind w:left="89" w:right="71" w:firstLine="34"/>
              <w:spacing w:before="30"/>
              <w:jc w:val="both"/>
              <w:rPr>
                <w:rFonts w:ascii="SimSun" w:hAnsi="SimSun" w:eastAsia="SimSun" w:cs="SimSun"/>
              </w:rPr>
            </w:pPr>
            <w:r>
              <w:rPr>
                <w:rFonts w:ascii="SimSun" w:hAnsi="SimSun" w:eastAsia="SimSun" w:cs="SimSun"/>
                <w:spacing w:val="7"/>
              </w:rPr>
              <w:t>井工区井田面积</w:t>
            </w:r>
            <w:r>
              <w:rPr>
                <w:rFonts w:ascii="SimSun" w:hAnsi="SimSun" w:eastAsia="SimSun" w:cs="SimSun"/>
                <w:spacing w:val="-35"/>
              </w:rPr>
              <w:t xml:space="preserve"> </w:t>
            </w:r>
            <w:r>
              <w:rPr>
                <w:spacing w:val="7"/>
              </w:rPr>
              <w:t>3.079</w:t>
            </w:r>
            <w:r>
              <w:rPr/>
              <w:t>km</w:t>
            </w:r>
            <w:r>
              <w:rPr>
                <w:sz w:val="13"/>
                <w:szCs w:val="13"/>
                <w:spacing w:val="7"/>
                <w:position w:val="6"/>
              </w:rPr>
              <w:t>2</w:t>
            </w:r>
            <w:r>
              <w:rPr>
                <w:sz w:val="13"/>
                <w:szCs w:val="13"/>
                <w:spacing w:val="12"/>
                <w:position w:val="6"/>
              </w:rPr>
              <w:t xml:space="preserve"> </w:t>
            </w:r>
            <w:r>
              <w:rPr>
                <w:rFonts w:ascii="SimSun" w:hAnsi="SimSun" w:eastAsia="SimSun" w:cs="SimSun"/>
                <w:spacing w:val="7"/>
              </w:rPr>
              <w:t>调整至露天</w:t>
            </w:r>
            <w:r>
              <w:rPr>
                <w:rFonts w:ascii="SimSun" w:hAnsi="SimSun" w:eastAsia="SimSun" w:cs="SimSun"/>
                <w:spacing w:val="6"/>
              </w:rPr>
              <w:t>区，露天区井田面积由</w:t>
            </w:r>
            <w:r>
              <w:rPr>
                <w:rFonts w:ascii="SimSun" w:hAnsi="SimSun" w:eastAsia="SimSun" w:cs="SimSun"/>
                <w:spacing w:val="-32"/>
              </w:rPr>
              <w:t xml:space="preserve"> </w:t>
            </w:r>
            <w:r>
              <w:rPr>
                <w:spacing w:val="6"/>
              </w:rPr>
              <w:t>9.2735</w:t>
            </w:r>
            <w:r>
              <w:rPr/>
              <w:t>km</w:t>
            </w:r>
            <w:r>
              <w:rPr>
                <w:sz w:val="13"/>
                <w:szCs w:val="13"/>
                <w:spacing w:val="6"/>
                <w:position w:val="6"/>
              </w:rPr>
              <w:t>2 </w:t>
            </w:r>
            <w:r>
              <w:rPr>
                <w:rFonts w:ascii="SimSun" w:hAnsi="SimSun" w:eastAsia="SimSun" w:cs="SimSun"/>
                <w:spacing w:val="6"/>
              </w:rPr>
              <w:t>增加</w:t>
            </w:r>
            <w:r>
              <w:rPr>
                <w:rFonts w:ascii="SimSun" w:hAnsi="SimSun" w:eastAsia="SimSun" w:cs="SimSun"/>
                <w:spacing w:val="8"/>
              </w:rPr>
              <w:t>至</w:t>
            </w:r>
            <w:r>
              <w:rPr>
                <w:rFonts w:ascii="SimSun" w:hAnsi="SimSun" w:eastAsia="SimSun" w:cs="SimSun"/>
                <w:spacing w:val="-23"/>
              </w:rPr>
              <w:t xml:space="preserve"> </w:t>
            </w:r>
            <w:r>
              <w:rPr>
                <w:spacing w:val="8"/>
              </w:rPr>
              <w:t>12.3525</w:t>
            </w:r>
            <w:r>
              <w:rPr/>
              <w:t>km</w:t>
            </w:r>
            <w:r>
              <w:rPr>
                <w:sz w:val="13"/>
                <w:szCs w:val="13"/>
                <w:spacing w:val="8"/>
                <w:position w:val="6"/>
              </w:rPr>
              <w:t>2</w:t>
            </w:r>
            <w:r>
              <w:rPr>
                <w:sz w:val="13"/>
                <w:szCs w:val="13"/>
                <w:spacing w:val="-8"/>
                <w:position w:val="6"/>
              </w:rPr>
              <w:t xml:space="preserve"> </w:t>
            </w:r>
            <w:r>
              <w:rPr>
                <w:rFonts w:ascii="SimSun" w:hAnsi="SimSun" w:eastAsia="SimSun" w:cs="SimSun"/>
                <w:spacing w:val="8"/>
              </w:rPr>
              <w:t>，总井田境界面积不变</w:t>
            </w:r>
          </w:p>
        </w:tc>
      </w:tr>
      <w:tr>
        <w:trPr>
          <w:trHeight w:val="798" w:hRule="atLeast"/>
        </w:trPr>
        <w:tc>
          <w:tcPr>
            <w:tcW w:w="573" w:type="dxa"/>
            <w:vAlign w:val="top"/>
            <w:vMerge w:val="continue"/>
            <w:tcBorders>
              <w:top w:val="nil"/>
              <w:bottom w:val="nil"/>
            </w:tcBorders>
          </w:tcPr>
          <w:p>
            <w:pPr>
              <w:rPr>
                <w:rFonts w:ascii="Arial"/>
                <w:sz w:val="21"/>
              </w:rPr>
            </w:pPr>
            <w:r/>
          </w:p>
        </w:tc>
        <w:tc>
          <w:tcPr>
            <w:tcW w:w="1855" w:type="dxa"/>
            <w:vAlign w:val="top"/>
            <w:gridSpan w:val="3"/>
          </w:tcPr>
          <w:p>
            <w:pPr>
              <w:ind w:left="511"/>
              <w:spacing w:before="291" w:line="228" w:lineRule="auto"/>
              <w:rPr>
                <w:rFonts w:ascii="SimSun" w:hAnsi="SimSun" w:eastAsia="SimSun" w:cs="SimSun"/>
                <w:sz w:val="20"/>
                <w:szCs w:val="20"/>
              </w:rPr>
            </w:pPr>
            <w:r>
              <w:rPr>
                <w:rFonts w:ascii="SimSun" w:hAnsi="SimSun" w:eastAsia="SimSun" w:cs="SimSun"/>
                <w:sz w:val="20"/>
                <w:szCs w:val="20"/>
                <w:spacing w:val="6"/>
              </w:rPr>
              <w:t>生产规模</w:t>
            </w:r>
          </w:p>
        </w:tc>
        <w:tc>
          <w:tcPr>
            <w:tcW w:w="4119" w:type="dxa"/>
            <w:vAlign w:val="top"/>
          </w:tcPr>
          <w:p>
            <w:pPr>
              <w:pStyle w:val="TableText"/>
              <w:ind w:left="1645"/>
              <w:spacing w:before="292" w:line="228" w:lineRule="auto"/>
              <w:rPr/>
            </w:pPr>
            <w:r>
              <w:rPr>
                <w:spacing w:val="1"/>
              </w:rPr>
              <w:t>500</w:t>
            </w:r>
            <w:r>
              <w:rPr>
                <w:spacing w:val="16"/>
              </w:rPr>
              <w:t xml:space="preserve"> </w:t>
            </w:r>
            <w:r>
              <w:rPr>
                <w:rFonts w:ascii="SimSun" w:hAnsi="SimSun" w:eastAsia="SimSun" w:cs="SimSun"/>
                <w:spacing w:val="1"/>
              </w:rPr>
              <w:t>万</w:t>
            </w:r>
            <w:r>
              <w:rPr>
                <w:rFonts w:ascii="SimSun" w:hAnsi="SimSun" w:eastAsia="SimSun" w:cs="SimSun"/>
                <w:spacing w:val="-43"/>
              </w:rPr>
              <w:t xml:space="preserve"> </w:t>
            </w:r>
            <w:r>
              <w:rPr>
                <w:spacing w:val="1"/>
              </w:rPr>
              <w:t>t/a</w:t>
            </w:r>
          </w:p>
        </w:tc>
        <w:tc>
          <w:tcPr>
            <w:tcW w:w="4129" w:type="dxa"/>
            <w:vAlign w:val="top"/>
          </w:tcPr>
          <w:p>
            <w:pPr>
              <w:pStyle w:val="TableText"/>
              <w:ind w:left="1651"/>
              <w:spacing w:before="292" w:line="228" w:lineRule="auto"/>
              <w:rPr/>
            </w:pPr>
            <w:r>
              <w:rPr>
                <w:spacing w:val="1"/>
              </w:rPr>
              <w:t>500</w:t>
            </w:r>
            <w:r>
              <w:rPr>
                <w:spacing w:val="16"/>
              </w:rPr>
              <w:t xml:space="preserve"> </w:t>
            </w:r>
            <w:r>
              <w:rPr>
                <w:rFonts w:ascii="SimSun" w:hAnsi="SimSun" w:eastAsia="SimSun" w:cs="SimSun"/>
                <w:spacing w:val="1"/>
              </w:rPr>
              <w:t>万</w:t>
            </w:r>
            <w:r>
              <w:rPr>
                <w:rFonts w:ascii="SimSun" w:hAnsi="SimSun" w:eastAsia="SimSun" w:cs="SimSun"/>
                <w:spacing w:val="-43"/>
              </w:rPr>
              <w:t xml:space="preserve"> </w:t>
            </w:r>
            <w:r>
              <w:rPr>
                <w:spacing w:val="1"/>
              </w:rPr>
              <w:t>t/a</w:t>
            </w:r>
          </w:p>
        </w:tc>
        <w:tc>
          <w:tcPr>
            <w:tcW w:w="3659" w:type="dxa"/>
            <w:vAlign w:val="top"/>
          </w:tcPr>
          <w:p>
            <w:pPr>
              <w:ind w:left="1625"/>
              <w:spacing w:before="292"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97" w:hRule="atLeast"/>
        </w:trPr>
        <w:tc>
          <w:tcPr>
            <w:tcW w:w="573" w:type="dxa"/>
            <w:vAlign w:val="top"/>
            <w:vMerge w:val="continue"/>
            <w:tcBorders>
              <w:top w:val="nil"/>
              <w:bottom w:val="nil"/>
            </w:tcBorders>
          </w:tcPr>
          <w:p>
            <w:pPr>
              <w:rPr>
                <w:rFonts w:ascii="Arial"/>
                <w:sz w:val="21"/>
              </w:rPr>
            </w:pPr>
            <w:r/>
          </w:p>
        </w:tc>
        <w:tc>
          <w:tcPr>
            <w:tcW w:w="1855" w:type="dxa"/>
            <w:vAlign w:val="top"/>
            <w:gridSpan w:val="3"/>
          </w:tcPr>
          <w:p>
            <w:pPr>
              <w:ind w:left="511"/>
              <w:spacing w:before="189" w:line="227" w:lineRule="auto"/>
              <w:rPr>
                <w:rFonts w:ascii="SimSun" w:hAnsi="SimSun" w:eastAsia="SimSun" w:cs="SimSun"/>
                <w:sz w:val="20"/>
                <w:szCs w:val="20"/>
              </w:rPr>
            </w:pPr>
            <w:r>
              <w:rPr>
                <w:rFonts w:ascii="SimSun" w:hAnsi="SimSun" w:eastAsia="SimSun" w:cs="SimSun"/>
                <w:sz w:val="20"/>
                <w:szCs w:val="20"/>
                <w:spacing w:val="6"/>
              </w:rPr>
              <w:t>可采储量</w:t>
            </w:r>
          </w:p>
        </w:tc>
        <w:tc>
          <w:tcPr>
            <w:tcW w:w="4119" w:type="dxa"/>
            <w:vAlign w:val="top"/>
          </w:tcPr>
          <w:p>
            <w:pPr>
              <w:pStyle w:val="TableText"/>
              <w:ind w:left="1179" w:right="985" w:hanging="190"/>
              <w:spacing w:before="56" w:line="245" w:lineRule="auto"/>
              <w:rPr>
                <w:rFonts w:ascii="SimSun" w:hAnsi="SimSun" w:eastAsia="SimSun" w:cs="SimSun"/>
              </w:rPr>
            </w:pPr>
            <w:r>
              <w:rPr>
                <w:rFonts w:ascii="SimSun" w:hAnsi="SimSun" w:eastAsia="SimSun" w:cs="SimSun"/>
                <w:spacing w:val="5"/>
              </w:rPr>
              <w:t>可采储量为</w:t>
            </w:r>
            <w:r>
              <w:rPr>
                <w:rFonts w:ascii="SimSun" w:hAnsi="SimSun" w:eastAsia="SimSun" w:cs="SimSun"/>
                <w:spacing w:val="-33"/>
              </w:rPr>
              <w:t xml:space="preserve"> </w:t>
            </w:r>
            <w:r>
              <w:rPr>
                <w:spacing w:val="5"/>
              </w:rPr>
              <w:t>473.98 </w:t>
            </w:r>
            <w:r>
              <w:rPr>
                <w:rFonts w:ascii="SimSun" w:hAnsi="SimSun" w:eastAsia="SimSun" w:cs="SimSun"/>
                <w:spacing w:val="5"/>
              </w:rPr>
              <w:t>万吨</w:t>
            </w:r>
            <w:r>
              <w:rPr>
                <w:rFonts w:ascii="SimSun" w:hAnsi="SimSun" w:eastAsia="SimSun" w:cs="SimSun"/>
                <w:spacing w:val="4"/>
              </w:rPr>
              <w:t>（截至</w:t>
            </w:r>
            <w:r>
              <w:rPr>
                <w:rFonts w:ascii="SimSun" w:hAnsi="SimSun" w:eastAsia="SimSun" w:cs="SimSun"/>
                <w:spacing w:val="-39"/>
              </w:rPr>
              <w:t xml:space="preserve"> </w:t>
            </w:r>
            <w:r>
              <w:rPr>
                <w:spacing w:val="4"/>
              </w:rPr>
              <w:t>2024 </w:t>
            </w:r>
            <w:r>
              <w:rPr>
                <w:rFonts w:ascii="SimSun" w:hAnsi="SimSun" w:eastAsia="SimSun" w:cs="SimSun"/>
                <w:spacing w:val="4"/>
              </w:rPr>
              <w:t>年底）</w:t>
            </w:r>
          </w:p>
        </w:tc>
        <w:tc>
          <w:tcPr>
            <w:tcW w:w="4129" w:type="dxa"/>
            <w:vAlign w:val="top"/>
          </w:tcPr>
          <w:p>
            <w:pPr>
              <w:pStyle w:val="TableText"/>
              <w:ind w:left="1187" w:right="1066" w:hanging="114"/>
              <w:spacing w:before="56" w:line="245" w:lineRule="auto"/>
              <w:rPr>
                <w:rFonts w:ascii="SimSun" w:hAnsi="SimSun" w:eastAsia="SimSun" w:cs="SimSun"/>
              </w:rPr>
            </w:pPr>
            <w:r>
              <w:rPr>
                <w:rFonts w:ascii="SimSun" w:hAnsi="SimSun" w:eastAsia="SimSun" w:cs="SimSun"/>
                <w:spacing w:val="5"/>
              </w:rPr>
              <w:t>可采储量为</w:t>
            </w:r>
            <w:r>
              <w:rPr>
                <w:rFonts w:ascii="SimSun" w:hAnsi="SimSun" w:eastAsia="SimSun" w:cs="SimSun"/>
                <w:spacing w:val="-39"/>
              </w:rPr>
              <w:t xml:space="preserve"> </w:t>
            </w:r>
            <w:r>
              <w:rPr>
                <w:spacing w:val="5"/>
              </w:rPr>
              <w:t>4979</w:t>
            </w:r>
            <w:r>
              <w:rPr>
                <w:spacing w:val="17"/>
                <w:w w:val="101"/>
              </w:rPr>
              <w:t xml:space="preserve"> </w:t>
            </w:r>
            <w:r>
              <w:rPr>
                <w:rFonts w:ascii="SimSun" w:hAnsi="SimSun" w:eastAsia="SimSun" w:cs="SimSun"/>
                <w:spacing w:val="5"/>
              </w:rPr>
              <w:t>万吨</w:t>
            </w:r>
            <w:r>
              <w:rPr>
                <w:rFonts w:ascii="SimSun" w:hAnsi="SimSun" w:eastAsia="SimSun" w:cs="SimSun"/>
                <w:spacing w:val="4"/>
              </w:rPr>
              <w:t>（截至</w:t>
            </w:r>
            <w:r>
              <w:rPr>
                <w:rFonts w:ascii="SimSun" w:hAnsi="SimSun" w:eastAsia="SimSun" w:cs="SimSun"/>
                <w:spacing w:val="-42"/>
              </w:rPr>
              <w:t xml:space="preserve"> </w:t>
            </w:r>
            <w:r>
              <w:rPr>
                <w:spacing w:val="4"/>
              </w:rPr>
              <w:t>2024 </w:t>
            </w:r>
            <w:r>
              <w:rPr>
                <w:rFonts w:ascii="SimSun" w:hAnsi="SimSun" w:eastAsia="SimSun" w:cs="SimSun"/>
                <w:spacing w:val="4"/>
              </w:rPr>
              <w:t>年底）</w:t>
            </w:r>
          </w:p>
        </w:tc>
        <w:tc>
          <w:tcPr>
            <w:tcW w:w="3659" w:type="dxa"/>
            <w:vAlign w:val="top"/>
          </w:tcPr>
          <w:p>
            <w:pPr>
              <w:ind w:left="363"/>
              <w:spacing w:before="190" w:line="226" w:lineRule="auto"/>
              <w:rPr>
                <w:rFonts w:ascii="SimSun" w:hAnsi="SimSun" w:eastAsia="SimSun" w:cs="SimSun"/>
                <w:sz w:val="20"/>
                <w:szCs w:val="20"/>
              </w:rPr>
            </w:pPr>
            <w:r>
              <w:rPr>
                <w:rFonts w:ascii="SimSun" w:hAnsi="SimSun" w:eastAsia="SimSun" w:cs="SimSun"/>
                <w:sz w:val="20"/>
                <w:szCs w:val="20"/>
                <w:spacing w:val="9"/>
              </w:rPr>
              <w:t>开采范围扩大后，资源储量增加</w:t>
            </w:r>
          </w:p>
        </w:tc>
      </w:tr>
      <w:tr>
        <w:trPr>
          <w:trHeight w:val="499" w:hRule="atLeast"/>
        </w:trPr>
        <w:tc>
          <w:tcPr>
            <w:tcW w:w="573" w:type="dxa"/>
            <w:vAlign w:val="top"/>
            <w:vMerge w:val="continue"/>
            <w:tcBorders>
              <w:top w:val="nil"/>
            </w:tcBorders>
          </w:tcPr>
          <w:p>
            <w:pPr>
              <w:rPr>
                <w:rFonts w:ascii="Arial"/>
                <w:sz w:val="21"/>
              </w:rPr>
            </w:pPr>
            <w:r/>
          </w:p>
        </w:tc>
        <w:tc>
          <w:tcPr>
            <w:tcW w:w="1855" w:type="dxa"/>
            <w:vAlign w:val="top"/>
            <w:gridSpan w:val="3"/>
          </w:tcPr>
          <w:p>
            <w:pPr>
              <w:ind w:left="510"/>
              <w:spacing w:before="144" w:line="228" w:lineRule="auto"/>
              <w:rPr>
                <w:rFonts w:ascii="SimSun" w:hAnsi="SimSun" w:eastAsia="SimSun" w:cs="SimSun"/>
                <w:sz w:val="20"/>
                <w:szCs w:val="20"/>
              </w:rPr>
            </w:pPr>
            <w:r>
              <w:rPr>
                <w:rFonts w:ascii="SimSun" w:hAnsi="SimSun" w:eastAsia="SimSun" w:cs="SimSun"/>
                <w:sz w:val="20"/>
                <w:szCs w:val="20"/>
                <w:spacing w:val="7"/>
              </w:rPr>
              <w:t>服务年限</w:t>
            </w:r>
          </w:p>
        </w:tc>
        <w:tc>
          <w:tcPr>
            <w:tcW w:w="4119" w:type="dxa"/>
            <w:vAlign w:val="top"/>
          </w:tcPr>
          <w:p>
            <w:pPr>
              <w:pStyle w:val="TableText"/>
              <w:ind w:left="337"/>
              <w:spacing w:before="144" w:line="226" w:lineRule="auto"/>
              <w:rPr>
                <w:rFonts w:ascii="SimSun" w:hAnsi="SimSun" w:eastAsia="SimSun" w:cs="SimSun"/>
              </w:rPr>
            </w:pPr>
            <w:r>
              <w:rPr>
                <w:rFonts w:ascii="SimSun" w:hAnsi="SimSun" w:eastAsia="SimSun" w:cs="SimSun"/>
                <w:spacing w:val="5"/>
              </w:rPr>
              <w:t>剩余服务年限</w:t>
            </w:r>
            <w:r>
              <w:rPr>
                <w:rFonts w:ascii="SimSun" w:hAnsi="SimSun" w:eastAsia="SimSun" w:cs="SimSun"/>
                <w:spacing w:val="-20"/>
              </w:rPr>
              <w:t xml:space="preserve"> </w:t>
            </w:r>
            <w:r>
              <w:rPr>
                <w:spacing w:val="5"/>
              </w:rPr>
              <w:t>0.8a</w:t>
            </w:r>
            <w:r>
              <w:rPr>
                <w:rFonts w:ascii="SimSun" w:hAnsi="SimSun" w:eastAsia="SimSun" w:cs="SimSun"/>
                <w:spacing w:val="5"/>
              </w:rPr>
              <w:t>（截至</w:t>
            </w:r>
            <w:r>
              <w:rPr>
                <w:rFonts w:ascii="SimSun" w:hAnsi="SimSun" w:eastAsia="SimSun" w:cs="SimSun"/>
                <w:spacing w:val="-43"/>
              </w:rPr>
              <w:t xml:space="preserve"> </w:t>
            </w:r>
            <w:r>
              <w:rPr>
                <w:spacing w:val="5"/>
              </w:rPr>
              <w:t>2024 </w:t>
            </w:r>
            <w:r>
              <w:rPr>
                <w:rFonts w:ascii="SimSun" w:hAnsi="SimSun" w:eastAsia="SimSun" w:cs="SimSun"/>
                <w:spacing w:val="5"/>
              </w:rPr>
              <w:t>年底）</w:t>
            </w:r>
          </w:p>
        </w:tc>
        <w:tc>
          <w:tcPr>
            <w:tcW w:w="4129" w:type="dxa"/>
            <w:vAlign w:val="top"/>
          </w:tcPr>
          <w:p>
            <w:pPr>
              <w:pStyle w:val="TableText"/>
              <w:ind w:left="344"/>
              <w:spacing w:before="144" w:line="226" w:lineRule="auto"/>
              <w:rPr>
                <w:rFonts w:ascii="SimSun" w:hAnsi="SimSun" w:eastAsia="SimSun" w:cs="SimSun"/>
              </w:rPr>
            </w:pPr>
            <w:r>
              <w:rPr>
                <w:rFonts w:ascii="SimSun" w:hAnsi="SimSun" w:eastAsia="SimSun" w:cs="SimSun"/>
                <w:spacing w:val="6"/>
              </w:rPr>
              <w:t>剩余服务年限</w:t>
            </w:r>
            <w:r>
              <w:rPr>
                <w:rFonts w:ascii="SimSun" w:hAnsi="SimSun" w:eastAsia="SimSun" w:cs="SimSun"/>
                <w:spacing w:val="-39"/>
              </w:rPr>
              <w:t xml:space="preserve"> </w:t>
            </w:r>
            <w:r>
              <w:rPr>
                <w:spacing w:val="6"/>
              </w:rPr>
              <w:t>9.5a</w:t>
            </w:r>
            <w:r>
              <w:rPr>
                <w:rFonts w:ascii="SimSun" w:hAnsi="SimSun" w:eastAsia="SimSun" w:cs="SimSun"/>
                <w:spacing w:val="6"/>
              </w:rPr>
              <w:t>（截至</w:t>
            </w:r>
            <w:r>
              <w:rPr>
                <w:rFonts w:ascii="SimSun" w:hAnsi="SimSun" w:eastAsia="SimSun" w:cs="SimSun"/>
                <w:spacing w:val="-43"/>
              </w:rPr>
              <w:t xml:space="preserve"> </w:t>
            </w:r>
            <w:r>
              <w:rPr>
                <w:spacing w:val="6"/>
              </w:rPr>
              <w:t>2024 </w:t>
            </w:r>
            <w:r>
              <w:rPr>
                <w:rFonts w:ascii="SimSun" w:hAnsi="SimSun" w:eastAsia="SimSun" w:cs="SimSun"/>
                <w:spacing w:val="6"/>
              </w:rPr>
              <w:t>年</w:t>
            </w:r>
            <w:r>
              <w:rPr>
                <w:rFonts w:ascii="SimSun" w:hAnsi="SimSun" w:eastAsia="SimSun" w:cs="SimSun"/>
                <w:spacing w:val="5"/>
              </w:rPr>
              <w:t>底）</w:t>
            </w:r>
          </w:p>
        </w:tc>
        <w:tc>
          <w:tcPr>
            <w:tcW w:w="3659" w:type="dxa"/>
            <w:vAlign w:val="top"/>
          </w:tcPr>
          <w:p>
            <w:pPr>
              <w:ind w:left="154"/>
              <w:spacing w:before="144" w:line="227" w:lineRule="auto"/>
              <w:rPr>
                <w:rFonts w:ascii="SimSun" w:hAnsi="SimSun" w:eastAsia="SimSun" w:cs="SimSun"/>
                <w:sz w:val="20"/>
                <w:szCs w:val="20"/>
              </w:rPr>
            </w:pPr>
            <w:r>
              <w:rPr>
                <w:rFonts w:ascii="SimSun" w:hAnsi="SimSun" w:eastAsia="SimSun" w:cs="SimSun"/>
                <w:sz w:val="20"/>
                <w:szCs w:val="20"/>
                <w:spacing w:val="9"/>
              </w:rPr>
              <w:t>开采范围扩大后，剩余服务年限增加</w:t>
            </w:r>
          </w:p>
        </w:tc>
      </w:tr>
      <w:tr>
        <w:trPr>
          <w:trHeight w:val="278" w:hRule="atLeast"/>
        </w:trPr>
        <w:tc>
          <w:tcPr>
            <w:tcW w:w="573" w:type="dxa"/>
            <w:vAlign w:val="top"/>
            <w:vMerge w:val="restart"/>
            <w:tcBorders>
              <w:bottom w:val="nil"/>
            </w:tcBorders>
          </w:tcPr>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ind w:left="79" w:right="78" w:firstLine="2"/>
              <w:spacing w:before="65" w:line="252" w:lineRule="auto"/>
              <w:rPr>
                <w:rFonts w:ascii="SimSun" w:hAnsi="SimSun" w:eastAsia="SimSun" w:cs="SimSun"/>
                <w:sz w:val="20"/>
                <w:szCs w:val="20"/>
              </w:rPr>
            </w:pPr>
            <w:r>
              <w:rPr>
                <w:rFonts w:ascii="SimSun" w:hAnsi="SimSun" w:eastAsia="SimSun" w:cs="SimSun"/>
                <w:sz w:val="20"/>
                <w:szCs w:val="20"/>
                <w:spacing w:val="3"/>
              </w:rPr>
              <w:t>主要</w:t>
            </w:r>
            <w:r>
              <w:rPr>
                <w:rFonts w:ascii="SimSun" w:hAnsi="SimSun" w:eastAsia="SimSun" w:cs="SimSun"/>
                <w:sz w:val="20"/>
                <w:szCs w:val="20"/>
                <w:spacing w:val="5"/>
              </w:rPr>
              <w:t>场地</w:t>
            </w:r>
          </w:p>
        </w:tc>
        <w:tc>
          <w:tcPr>
            <w:tcW w:w="1855" w:type="dxa"/>
            <w:vAlign w:val="top"/>
            <w:gridSpan w:val="3"/>
          </w:tcPr>
          <w:p>
            <w:pPr>
              <w:ind w:left="200"/>
              <w:spacing w:before="31" w:line="218" w:lineRule="auto"/>
              <w:rPr>
                <w:rFonts w:ascii="SimSun" w:hAnsi="SimSun" w:eastAsia="SimSun" w:cs="SimSun"/>
                <w:sz w:val="20"/>
                <w:szCs w:val="20"/>
              </w:rPr>
            </w:pPr>
            <w:r>
              <w:rPr>
                <w:rFonts w:ascii="SimSun" w:hAnsi="SimSun" w:eastAsia="SimSun" w:cs="SimSun"/>
                <w:sz w:val="20"/>
                <w:szCs w:val="20"/>
                <w:spacing w:val="7"/>
              </w:rPr>
              <w:t>露天区工业场地</w:t>
            </w:r>
          </w:p>
        </w:tc>
        <w:tc>
          <w:tcPr>
            <w:tcW w:w="4119" w:type="dxa"/>
            <w:vAlign w:val="top"/>
          </w:tcPr>
          <w:p>
            <w:pPr>
              <w:pStyle w:val="TableText"/>
              <w:ind w:left="512"/>
              <w:spacing w:before="31" w:line="218" w:lineRule="auto"/>
              <w:rPr>
                <w:rFonts w:ascii="SimSun" w:hAnsi="SimSun" w:eastAsia="SimSun" w:cs="SimSun"/>
              </w:rPr>
            </w:pPr>
            <w:r>
              <w:rPr>
                <w:rFonts w:ascii="SimSun" w:hAnsi="SimSun" w:eastAsia="SimSun" w:cs="SimSun"/>
                <w:spacing w:val="7"/>
              </w:rPr>
              <w:t>位于露天外排土场东侧约</w:t>
            </w:r>
            <w:r>
              <w:rPr>
                <w:rFonts w:ascii="SimSun" w:hAnsi="SimSun" w:eastAsia="SimSun" w:cs="SimSun"/>
                <w:spacing w:val="-30"/>
              </w:rPr>
              <w:t xml:space="preserve"> </w:t>
            </w:r>
            <w:r>
              <w:rPr>
                <w:spacing w:val="7"/>
              </w:rPr>
              <w:t>500m </w:t>
            </w:r>
            <w:r>
              <w:rPr>
                <w:rFonts w:ascii="SimSun" w:hAnsi="SimSun" w:eastAsia="SimSun" w:cs="SimSun"/>
                <w:spacing w:val="7"/>
              </w:rPr>
              <w:t>处</w:t>
            </w:r>
          </w:p>
        </w:tc>
        <w:tc>
          <w:tcPr>
            <w:tcW w:w="4129" w:type="dxa"/>
            <w:vAlign w:val="top"/>
          </w:tcPr>
          <w:p>
            <w:pPr>
              <w:pStyle w:val="TableText"/>
              <w:ind w:left="519"/>
              <w:spacing w:before="31" w:line="218" w:lineRule="auto"/>
              <w:rPr>
                <w:rFonts w:ascii="SimSun" w:hAnsi="SimSun" w:eastAsia="SimSun" w:cs="SimSun"/>
              </w:rPr>
            </w:pPr>
            <w:r>
              <w:rPr>
                <w:rFonts w:ascii="SimSun" w:hAnsi="SimSun" w:eastAsia="SimSun" w:cs="SimSun"/>
                <w:spacing w:val="7"/>
              </w:rPr>
              <w:t>位于露天外排土场东侧约</w:t>
            </w:r>
            <w:r>
              <w:rPr>
                <w:rFonts w:ascii="SimSun" w:hAnsi="SimSun" w:eastAsia="SimSun" w:cs="SimSun"/>
                <w:spacing w:val="-30"/>
              </w:rPr>
              <w:t xml:space="preserve"> </w:t>
            </w:r>
            <w:r>
              <w:rPr>
                <w:spacing w:val="7"/>
              </w:rPr>
              <w:t>500m </w:t>
            </w:r>
            <w:r>
              <w:rPr>
                <w:rFonts w:ascii="SimSun" w:hAnsi="SimSun" w:eastAsia="SimSun" w:cs="SimSun"/>
                <w:spacing w:val="7"/>
              </w:rPr>
              <w:t>处</w:t>
            </w:r>
          </w:p>
        </w:tc>
        <w:tc>
          <w:tcPr>
            <w:tcW w:w="3659" w:type="dxa"/>
            <w:vAlign w:val="top"/>
          </w:tcPr>
          <w:p>
            <w:pPr>
              <w:ind w:left="1625"/>
              <w:spacing w:before="31" w:line="218"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1855" w:type="dxa"/>
            <w:vAlign w:val="top"/>
            <w:gridSpan w:val="3"/>
          </w:tcPr>
          <w:p>
            <w:pPr>
              <w:ind w:left="614"/>
              <w:spacing w:before="168" w:line="227" w:lineRule="auto"/>
              <w:rPr>
                <w:rFonts w:ascii="SimSun" w:hAnsi="SimSun" w:eastAsia="SimSun" w:cs="SimSun"/>
                <w:sz w:val="20"/>
                <w:szCs w:val="20"/>
              </w:rPr>
            </w:pPr>
            <w:r>
              <w:rPr>
                <w:rFonts w:ascii="SimSun" w:hAnsi="SimSun" w:eastAsia="SimSun" w:cs="SimSun"/>
                <w:sz w:val="20"/>
                <w:szCs w:val="20"/>
                <w:spacing w:val="7"/>
              </w:rPr>
              <w:t>采掘场</w:t>
            </w:r>
          </w:p>
        </w:tc>
        <w:tc>
          <w:tcPr>
            <w:tcW w:w="4119" w:type="dxa"/>
            <w:vAlign w:val="top"/>
          </w:tcPr>
          <w:p>
            <w:pPr>
              <w:ind w:left="277"/>
              <w:spacing w:before="168" w:line="227" w:lineRule="auto"/>
              <w:rPr>
                <w:rFonts w:ascii="SimSun" w:hAnsi="SimSun" w:eastAsia="SimSun" w:cs="SimSun"/>
                <w:sz w:val="20"/>
                <w:szCs w:val="20"/>
              </w:rPr>
            </w:pPr>
            <w:r>
              <w:rPr>
                <w:rFonts w:ascii="SimSun" w:hAnsi="SimSun" w:eastAsia="SimSun" w:cs="SimSun"/>
                <w:sz w:val="20"/>
                <w:szCs w:val="20"/>
                <w:spacing w:val="6"/>
              </w:rPr>
              <w:t>位于矿田东南部，</w:t>
            </w:r>
            <w:r>
              <w:rPr>
                <w:rFonts w:ascii="SimSun" w:hAnsi="SimSun" w:eastAsia="SimSun" w:cs="SimSun"/>
                <w:sz w:val="20"/>
                <w:szCs w:val="20"/>
                <w:spacing w:val="-42"/>
              </w:rPr>
              <w:t xml:space="preserve"> </w:t>
            </w:r>
            <w:r>
              <w:rPr>
                <w:rFonts w:ascii="SimSun" w:hAnsi="SimSun" w:eastAsia="SimSun" w:cs="SimSun"/>
                <w:sz w:val="20"/>
                <w:szCs w:val="20"/>
                <w:spacing w:val="6"/>
              </w:rPr>
              <w:t>目前已开采至中东部</w:t>
            </w:r>
          </w:p>
        </w:tc>
        <w:tc>
          <w:tcPr>
            <w:tcW w:w="4129" w:type="dxa"/>
            <w:vAlign w:val="top"/>
          </w:tcPr>
          <w:p>
            <w:pPr>
              <w:ind w:left="74"/>
              <w:spacing w:before="34" w:line="227" w:lineRule="auto"/>
              <w:rPr>
                <w:rFonts w:ascii="SimSun" w:hAnsi="SimSun" w:eastAsia="SimSun" w:cs="SimSun"/>
                <w:sz w:val="20"/>
                <w:szCs w:val="20"/>
              </w:rPr>
            </w:pPr>
            <w:r>
              <w:rPr>
                <w:rFonts w:ascii="SimSun" w:hAnsi="SimSun" w:eastAsia="SimSun" w:cs="SimSun"/>
                <w:sz w:val="20"/>
                <w:szCs w:val="20"/>
                <w:spacing w:val="9"/>
              </w:rPr>
              <w:t>在已有采坑继续向北向西双向推进至采区结</w:t>
            </w:r>
          </w:p>
          <w:p>
            <w:pPr>
              <w:ind w:left="1964"/>
              <w:spacing w:before="25" w:line="215" w:lineRule="auto"/>
              <w:rPr>
                <w:rFonts w:ascii="SimSun" w:hAnsi="SimSun" w:eastAsia="SimSun" w:cs="SimSun"/>
                <w:sz w:val="20"/>
                <w:szCs w:val="20"/>
              </w:rPr>
            </w:pPr>
            <w:r>
              <w:rPr>
                <w:rFonts w:ascii="SimSun" w:hAnsi="SimSun" w:eastAsia="SimSun" w:cs="SimSun"/>
                <w:sz w:val="20"/>
                <w:szCs w:val="20"/>
              </w:rPr>
              <w:t>束</w:t>
            </w:r>
          </w:p>
        </w:tc>
        <w:tc>
          <w:tcPr>
            <w:tcW w:w="3659" w:type="dxa"/>
            <w:vAlign w:val="top"/>
          </w:tcPr>
          <w:p>
            <w:pPr>
              <w:ind w:left="154"/>
              <w:spacing w:before="168" w:line="227" w:lineRule="auto"/>
              <w:rPr>
                <w:rFonts w:ascii="SimSun" w:hAnsi="SimSun" w:eastAsia="SimSun" w:cs="SimSun"/>
                <w:sz w:val="20"/>
                <w:szCs w:val="20"/>
              </w:rPr>
            </w:pPr>
            <w:r>
              <w:rPr>
                <w:rFonts w:ascii="SimSun" w:hAnsi="SimSun" w:eastAsia="SimSun" w:cs="SimSun"/>
                <w:sz w:val="20"/>
                <w:szCs w:val="20"/>
                <w:spacing w:val="9"/>
              </w:rPr>
              <w:t>开采范围扩大，采区及开采工艺不变</w:t>
            </w:r>
          </w:p>
        </w:tc>
      </w:tr>
      <w:tr>
        <w:trPr>
          <w:trHeight w:val="822" w:hRule="atLeast"/>
        </w:trPr>
        <w:tc>
          <w:tcPr>
            <w:tcW w:w="573" w:type="dxa"/>
            <w:vAlign w:val="top"/>
            <w:vMerge w:val="continue"/>
            <w:tcBorders>
              <w:top w:val="nil"/>
              <w:bottom w:val="nil"/>
            </w:tcBorders>
          </w:tcPr>
          <w:p>
            <w:pPr>
              <w:rPr>
                <w:rFonts w:ascii="Arial"/>
                <w:sz w:val="21"/>
              </w:rPr>
            </w:pPr>
            <w:r/>
          </w:p>
        </w:tc>
        <w:tc>
          <w:tcPr>
            <w:tcW w:w="926" w:type="dxa"/>
            <w:vAlign w:val="top"/>
            <w:gridSpan w:val="2"/>
            <w:vMerge w:val="restart"/>
            <w:tcBorders>
              <w:bottom w:val="nil"/>
            </w:tcBorders>
          </w:tcPr>
          <w:p>
            <w:pPr>
              <w:spacing w:line="258" w:lineRule="auto"/>
              <w:rPr>
                <w:rFonts w:ascii="Arial"/>
                <w:sz w:val="21"/>
              </w:rPr>
            </w:pPr>
            <w:r/>
          </w:p>
          <w:p>
            <w:pPr>
              <w:spacing w:line="258" w:lineRule="auto"/>
              <w:rPr>
                <w:rFonts w:ascii="Arial"/>
                <w:sz w:val="21"/>
              </w:rPr>
            </w:pPr>
            <w:r/>
          </w:p>
          <w:p>
            <w:pPr>
              <w:ind w:left="150"/>
              <w:spacing w:before="65" w:line="228" w:lineRule="auto"/>
              <w:rPr>
                <w:rFonts w:ascii="SimSun" w:hAnsi="SimSun" w:eastAsia="SimSun" w:cs="SimSun"/>
                <w:sz w:val="20"/>
                <w:szCs w:val="20"/>
              </w:rPr>
            </w:pPr>
            <w:r>
              <w:rPr>
                <w:rFonts w:ascii="SimSun" w:hAnsi="SimSun" w:eastAsia="SimSun" w:cs="SimSun"/>
                <w:sz w:val="20"/>
                <w:szCs w:val="20"/>
                <w:spacing w:val="6"/>
              </w:rPr>
              <w:t>排土场</w:t>
            </w:r>
          </w:p>
        </w:tc>
        <w:tc>
          <w:tcPr>
            <w:tcW w:w="929" w:type="dxa"/>
            <w:vAlign w:val="top"/>
          </w:tcPr>
          <w:p>
            <w:pPr>
              <w:ind w:left="51"/>
              <w:spacing w:before="306" w:line="228" w:lineRule="auto"/>
              <w:rPr>
                <w:rFonts w:ascii="SimSun" w:hAnsi="SimSun" w:eastAsia="SimSun" w:cs="SimSun"/>
                <w:sz w:val="20"/>
                <w:szCs w:val="20"/>
              </w:rPr>
            </w:pPr>
            <w:r>
              <w:rPr>
                <w:rFonts w:ascii="SimSun" w:hAnsi="SimSun" w:eastAsia="SimSun" w:cs="SimSun"/>
                <w:sz w:val="20"/>
                <w:szCs w:val="20"/>
                <w:spacing w:val="6"/>
              </w:rPr>
              <w:t>外排土场</w:t>
            </w:r>
          </w:p>
        </w:tc>
        <w:tc>
          <w:tcPr>
            <w:tcW w:w="4119" w:type="dxa"/>
            <w:vAlign w:val="top"/>
          </w:tcPr>
          <w:p>
            <w:pPr>
              <w:ind w:left="115"/>
              <w:spacing w:before="34" w:line="227" w:lineRule="auto"/>
              <w:rPr>
                <w:rFonts w:ascii="SimSun" w:hAnsi="SimSun" w:eastAsia="SimSun" w:cs="SimSun"/>
                <w:sz w:val="20"/>
                <w:szCs w:val="20"/>
              </w:rPr>
            </w:pPr>
            <w:r>
              <w:rPr>
                <w:rFonts w:ascii="SimSun" w:hAnsi="SimSun" w:eastAsia="SimSun" w:cs="SimSun"/>
                <w:sz w:val="20"/>
                <w:szCs w:val="20"/>
                <w:spacing w:val="4"/>
              </w:rPr>
              <w:t>二个外排土场均位于露天矿采掘场东侧，现</w:t>
            </w:r>
          </w:p>
          <w:p>
            <w:pPr>
              <w:pStyle w:val="TableText"/>
              <w:ind w:left="134"/>
              <w:spacing w:before="24" w:line="228" w:lineRule="auto"/>
              <w:rPr>
                <w:rFonts w:ascii="SimSun" w:hAnsi="SimSun" w:eastAsia="SimSun" w:cs="SimSun"/>
              </w:rPr>
            </w:pPr>
            <w:r>
              <w:rPr>
                <w:rFonts w:ascii="SimSun" w:hAnsi="SimSun" w:eastAsia="SimSun" w:cs="SimSun"/>
                <w:spacing w:val="5"/>
              </w:rPr>
              <w:t>已经停止排弃，总占地面积</w:t>
            </w:r>
            <w:r>
              <w:rPr>
                <w:rFonts w:ascii="SimSun" w:hAnsi="SimSun" w:eastAsia="SimSun" w:cs="SimSun"/>
                <w:spacing w:val="-28"/>
              </w:rPr>
              <w:t xml:space="preserve"> </w:t>
            </w:r>
            <w:r>
              <w:rPr>
                <w:spacing w:val="5"/>
              </w:rPr>
              <w:t>322.03</w:t>
            </w:r>
            <w:r>
              <w:rPr/>
              <w:t>hm</w:t>
            </w:r>
            <w:r>
              <w:rPr>
                <w:sz w:val="13"/>
                <w:szCs w:val="13"/>
                <w:spacing w:val="5"/>
                <w:position w:val="6"/>
              </w:rPr>
              <w:t>2</w:t>
            </w:r>
            <w:r>
              <w:rPr>
                <w:sz w:val="13"/>
                <w:szCs w:val="13"/>
                <w:spacing w:val="-7"/>
                <w:position w:val="6"/>
              </w:rPr>
              <w:t xml:space="preserve"> </w:t>
            </w:r>
            <w:r>
              <w:rPr>
                <w:rFonts w:ascii="SimSun" w:hAnsi="SimSun" w:eastAsia="SimSun" w:cs="SimSun"/>
                <w:spacing w:val="5"/>
              </w:rPr>
              <w:t>，外</w:t>
            </w:r>
          </w:p>
          <w:p>
            <w:pPr>
              <w:pStyle w:val="TableText"/>
              <w:ind w:left="1119"/>
              <w:spacing w:before="27" w:line="214" w:lineRule="auto"/>
              <w:rPr>
                <w:rFonts w:ascii="SimSun" w:hAnsi="SimSun" w:eastAsia="SimSun" w:cs="SimSun"/>
              </w:rPr>
            </w:pPr>
            <w:r>
              <w:rPr>
                <w:rFonts w:ascii="SimSun" w:hAnsi="SimSun" w:eastAsia="SimSun" w:cs="SimSun"/>
                <w:spacing w:val="4"/>
              </w:rPr>
              <w:t>排总量</w:t>
            </w:r>
            <w:r>
              <w:rPr>
                <w:rFonts w:ascii="SimSun" w:hAnsi="SimSun" w:eastAsia="SimSun" w:cs="SimSun"/>
                <w:spacing w:val="-23"/>
              </w:rPr>
              <w:t xml:space="preserve"> </w:t>
            </w:r>
            <w:r>
              <w:rPr>
                <w:spacing w:val="4"/>
              </w:rPr>
              <w:t>144.92</w:t>
            </w:r>
            <w:r>
              <w:rPr/>
              <w:t>Mm</w:t>
            </w:r>
            <w:r>
              <w:rPr>
                <w:sz w:val="13"/>
                <w:szCs w:val="13"/>
                <w:spacing w:val="4"/>
                <w:position w:val="6"/>
              </w:rPr>
              <w:t>3</w:t>
            </w:r>
            <w:r>
              <w:rPr>
                <w:rFonts w:ascii="SimSun" w:hAnsi="SimSun" w:eastAsia="SimSun" w:cs="SimSun"/>
                <w:spacing w:val="4"/>
              </w:rPr>
              <w:t>。</w:t>
            </w:r>
          </w:p>
        </w:tc>
        <w:tc>
          <w:tcPr>
            <w:tcW w:w="4129" w:type="dxa"/>
            <w:vAlign w:val="top"/>
          </w:tcPr>
          <w:p>
            <w:pPr>
              <w:ind w:left="1338"/>
              <w:spacing w:before="306" w:line="228" w:lineRule="auto"/>
              <w:rPr>
                <w:rFonts w:ascii="SimSun" w:hAnsi="SimSun" w:eastAsia="SimSun" w:cs="SimSun"/>
                <w:sz w:val="20"/>
                <w:szCs w:val="20"/>
              </w:rPr>
            </w:pPr>
            <w:r>
              <w:rPr>
                <w:rFonts w:ascii="SimSun" w:hAnsi="SimSun" w:eastAsia="SimSun" w:cs="SimSun"/>
                <w:sz w:val="20"/>
                <w:szCs w:val="20"/>
                <w:spacing w:val="8"/>
              </w:rPr>
              <w:t>不设置外排土场</w:t>
            </w:r>
          </w:p>
        </w:tc>
        <w:tc>
          <w:tcPr>
            <w:tcW w:w="3659" w:type="dxa"/>
            <w:vAlign w:val="top"/>
          </w:tcPr>
          <w:p>
            <w:pPr>
              <w:ind w:left="469"/>
              <w:spacing w:before="306" w:line="228" w:lineRule="auto"/>
              <w:rPr>
                <w:rFonts w:ascii="SimSun" w:hAnsi="SimSun" w:eastAsia="SimSun" w:cs="SimSun"/>
                <w:sz w:val="20"/>
                <w:szCs w:val="20"/>
              </w:rPr>
            </w:pPr>
            <w:r>
              <w:rPr>
                <w:rFonts w:ascii="SimSun" w:hAnsi="SimSun" w:eastAsia="SimSun" w:cs="SimSun"/>
                <w:sz w:val="20"/>
                <w:szCs w:val="20"/>
                <w:spacing w:val="9"/>
              </w:rPr>
              <w:t>现有外排土场已进行生态恢复</w:t>
            </w:r>
          </w:p>
        </w:tc>
      </w:tr>
      <w:tr>
        <w:trPr>
          <w:trHeight w:val="549" w:hRule="atLeast"/>
        </w:trPr>
        <w:tc>
          <w:tcPr>
            <w:tcW w:w="573" w:type="dxa"/>
            <w:vAlign w:val="top"/>
            <w:vMerge w:val="continue"/>
            <w:tcBorders>
              <w:top w:val="nil"/>
            </w:tcBorders>
          </w:tcPr>
          <w:p>
            <w:pPr>
              <w:rPr>
                <w:rFonts w:ascii="Arial"/>
                <w:sz w:val="21"/>
              </w:rPr>
            </w:pPr>
            <w:r/>
          </w:p>
        </w:tc>
        <w:tc>
          <w:tcPr>
            <w:tcW w:w="926" w:type="dxa"/>
            <w:vAlign w:val="top"/>
            <w:gridSpan w:val="2"/>
            <w:vMerge w:val="continue"/>
            <w:tcBorders>
              <w:top w:val="nil"/>
            </w:tcBorders>
          </w:tcPr>
          <w:p>
            <w:pPr>
              <w:rPr>
                <w:rFonts w:ascii="Arial"/>
                <w:sz w:val="21"/>
              </w:rPr>
            </w:pPr>
            <w:r/>
          </w:p>
        </w:tc>
        <w:tc>
          <w:tcPr>
            <w:tcW w:w="929" w:type="dxa"/>
            <w:vAlign w:val="top"/>
          </w:tcPr>
          <w:p>
            <w:pPr>
              <w:ind w:left="72"/>
              <w:spacing w:before="167" w:line="228" w:lineRule="auto"/>
              <w:rPr>
                <w:rFonts w:ascii="SimSun" w:hAnsi="SimSun" w:eastAsia="SimSun" w:cs="SimSun"/>
                <w:sz w:val="20"/>
                <w:szCs w:val="20"/>
              </w:rPr>
            </w:pPr>
            <w:r>
              <w:rPr>
                <w:rFonts w:ascii="SimSun" w:hAnsi="SimSun" w:eastAsia="SimSun" w:cs="SimSun"/>
                <w:sz w:val="20"/>
                <w:szCs w:val="20"/>
                <w:spacing w:val="1"/>
              </w:rPr>
              <w:t>内排土场</w:t>
            </w:r>
          </w:p>
        </w:tc>
        <w:tc>
          <w:tcPr>
            <w:tcW w:w="4119" w:type="dxa"/>
            <w:vAlign w:val="top"/>
          </w:tcPr>
          <w:p>
            <w:pPr>
              <w:pStyle w:val="TableText"/>
              <w:ind w:left="111"/>
              <w:spacing w:before="35" w:line="225" w:lineRule="auto"/>
              <w:rPr>
                <w:rFonts w:ascii="SimSun" w:hAnsi="SimSun" w:eastAsia="SimSun" w:cs="SimSun"/>
              </w:rPr>
            </w:pPr>
            <w:r>
              <w:rPr>
                <w:rFonts w:ascii="SimSun" w:hAnsi="SimSun" w:eastAsia="SimSun" w:cs="SimSun"/>
                <w:spacing w:val="3"/>
              </w:rPr>
              <w:t>位于现有采掘场内，台阶坡面角为</w:t>
            </w:r>
            <w:r>
              <w:rPr>
                <w:rFonts w:ascii="SimSun" w:hAnsi="SimSun" w:eastAsia="SimSun" w:cs="SimSun"/>
                <w:spacing w:val="-28"/>
              </w:rPr>
              <w:t xml:space="preserve"> </w:t>
            </w:r>
            <w:r>
              <w:rPr>
                <w:spacing w:val="3"/>
              </w:rPr>
              <w:t>33°</w:t>
            </w:r>
            <w:r>
              <w:rPr>
                <w:spacing w:val="-24"/>
              </w:rPr>
              <w:t xml:space="preserve"> </w:t>
            </w:r>
            <w:r>
              <w:rPr>
                <w:rFonts w:ascii="SimSun" w:hAnsi="SimSun" w:eastAsia="SimSun" w:cs="SimSun"/>
                <w:spacing w:val="3"/>
              </w:rPr>
              <w:t>,</w:t>
            </w:r>
            <w:r>
              <w:rPr>
                <w:rFonts w:ascii="SimSun" w:hAnsi="SimSun" w:eastAsia="SimSun" w:cs="SimSun"/>
                <w:spacing w:val="57"/>
              </w:rPr>
              <w:t xml:space="preserve"> </w:t>
            </w:r>
            <w:r>
              <w:rPr>
                <w:rFonts w:ascii="SimSun" w:hAnsi="SimSun" w:eastAsia="SimSun" w:cs="SimSun"/>
                <w:spacing w:val="3"/>
              </w:rPr>
              <w:t>最</w:t>
            </w:r>
          </w:p>
          <w:p>
            <w:pPr>
              <w:pStyle w:val="TableText"/>
              <w:ind w:left="1368"/>
              <w:spacing w:before="27" w:line="214" w:lineRule="auto"/>
              <w:rPr/>
            </w:pPr>
            <w:r>
              <w:rPr>
                <w:rFonts w:ascii="SimSun" w:hAnsi="SimSun" w:eastAsia="SimSun" w:cs="SimSun"/>
                <w:spacing w:val="3"/>
              </w:rPr>
              <w:t>终帮坡角为</w:t>
            </w:r>
            <w:r>
              <w:rPr>
                <w:rFonts w:ascii="SimSun" w:hAnsi="SimSun" w:eastAsia="SimSun" w:cs="SimSun"/>
                <w:spacing w:val="-21"/>
              </w:rPr>
              <w:t xml:space="preserve"> </w:t>
            </w:r>
            <w:r>
              <w:rPr>
                <w:spacing w:val="3"/>
              </w:rPr>
              <w:t>18°</w:t>
            </w:r>
          </w:p>
        </w:tc>
        <w:tc>
          <w:tcPr>
            <w:tcW w:w="4129" w:type="dxa"/>
            <w:vAlign w:val="top"/>
          </w:tcPr>
          <w:p>
            <w:pPr>
              <w:pStyle w:val="TableText"/>
              <w:ind w:left="32"/>
              <w:spacing w:before="35" w:line="225" w:lineRule="auto"/>
              <w:rPr>
                <w:rFonts w:ascii="SimSun" w:hAnsi="SimSun" w:eastAsia="SimSun" w:cs="SimSun"/>
              </w:rPr>
            </w:pPr>
            <w:r>
              <w:rPr>
                <w:rFonts w:ascii="SimSun" w:hAnsi="SimSun" w:eastAsia="SimSun" w:cs="SimSun"/>
                <w:spacing w:val="2"/>
              </w:rPr>
              <w:t>位于现有采掘场内，台阶坡面角为</w:t>
            </w:r>
            <w:r>
              <w:rPr>
                <w:rFonts w:ascii="SimSun" w:hAnsi="SimSun" w:eastAsia="SimSun" w:cs="SimSun"/>
                <w:spacing w:val="-22"/>
              </w:rPr>
              <w:t xml:space="preserve"> </w:t>
            </w:r>
            <w:r>
              <w:rPr>
                <w:spacing w:val="2"/>
              </w:rPr>
              <w:t>33°</w:t>
            </w:r>
            <w:r>
              <w:rPr>
                <w:spacing w:val="-24"/>
              </w:rPr>
              <w:t xml:space="preserve"> </w:t>
            </w:r>
            <w:r>
              <w:rPr>
                <w:rFonts w:ascii="SimSun" w:hAnsi="SimSun" w:eastAsia="SimSun" w:cs="SimSun"/>
                <w:spacing w:val="2"/>
              </w:rPr>
              <w:t>,</w:t>
            </w:r>
            <w:r>
              <w:rPr>
                <w:rFonts w:ascii="SimSun" w:hAnsi="SimSun" w:eastAsia="SimSun" w:cs="SimSun"/>
                <w:spacing w:val="37"/>
              </w:rPr>
              <w:t xml:space="preserve"> </w:t>
            </w:r>
            <w:r>
              <w:rPr>
                <w:rFonts w:ascii="SimSun" w:hAnsi="SimSun" w:eastAsia="SimSun" w:cs="SimSun"/>
                <w:spacing w:val="2"/>
              </w:rPr>
              <w:t>最终</w:t>
            </w:r>
          </w:p>
          <w:p>
            <w:pPr>
              <w:pStyle w:val="TableText"/>
              <w:ind w:left="1481"/>
              <w:spacing w:before="27" w:line="214" w:lineRule="auto"/>
              <w:rPr/>
            </w:pPr>
            <w:r>
              <w:rPr>
                <w:rFonts w:ascii="SimSun" w:hAnsi="SimSun" w:eastAsia="SimSun" w:cs="SimSun"/>
                <w:spacing w:val="1"/>
              </w:rPr>
              <w:t>帮坡角为</w:t>
            </w:r>
            <w:r>
              <w:rPr>
                <w:rFonts w:ascii="SimSun" w:hAnsi="SimSun" w:eastAsia="SimSun" w:cs="SimSun"/>
                <w:spacing w:val="-16"/>
              </w:rPr>
              <w:t xml:space="preserve"> </w:t>
            </w:r>
            <w:r>
              <w:rPr>
                <w:spacing w:val="1"/>
              </w:rPr>
              <w:t>18°</w:t>
            </w:r>
          </w:p>
        </w:tc>
        <w:tc>
          <w:tcPr>
            <w:tcW w:w="3659" w:type="dxa"/>
            <w:vAlign w:val="top"/>
          </w:tcPr>
          <w:p>
            <w:pPr>
              <w:ind w:left="1625"/>
              <w:spacing w:before="167"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restart"/>
            <w:tcBorders>
              <w:bottom w:val="nil"/>
            </w:tcBorders>
          </w:tcPr>
          <w:p>
            <w:pPr>
              <w:spacing w:line="284" w:lineRule="auto"/>
              <w:rPr>
                <w:rFonts w:ascii="Arial"/>
                <w:sz w:val="21"/>
              </w:rPr>
            </w:pPr>
            <w:r/>
          </w:p>
          <w:p>
            <w:pPr>
              <w:ind w:left="81" w:right="78"/>
              <w:spacing w:before="65" w:line="252" w:lineRule="auto"/>
              <w:rPr>
                <w:rFonts w:ascii="SimSun" w:hAnsi="SimSun" w:eastAsia="SimSun" w:cs="SimSun"/>
                <w:sz w:val="20"/>
                <w:szCs w:val="20"/>
              </w:rPr>
            </w:pPr>
            <w:r>
              <w:rPr>
                <w:rFonts w:ascii="SimSun" w:hAnsi="SimSun" w:eastAsia="SimSun" w:cs="SimSun"/>
                <w:sz w:val="20"/>
                <w:szCs w:val="20"/>
                <w:spacing w:val="3"/>
              </w:rPr>
              <w:t>主体</w:t>
            </w:r>
            <w:r>
              <w:rPr>
                <w:rFonts w:ascii="SimSun" w:hAnsi="SimSun" w:eastAsia="SimSun" w:cs="SimSun"/>
                <w:sz w:val="20"/>
                <w:szCs w:val="20"/>
                <w:spacing w:val="3"/>
              </w:rPr>
              <w:t>工程</w:t>
            </w:r>
          </w:p>
        </w:tc>
        <w:tc>
          <w:tcPr>
            <w:tcW w:w="475" w:type="dxa"/>
            <w:vAlign w:val="top"/>
            <w:vMerge w:val="restart"/>
            <w:textDirection w:val="tbRlV"/>
            <w:tcBorders>
              <w:bottom w:val="nil"/>
            </w:tcBorders>
          </w:tcPr>
          <w:p>
            <w:pPr>
              <w:ind w:left="79"/>
              <w:spacing w:before="136" w:line="216" w:lineRule="auto"/>
              <w:rPr>
                <w:rFonts w:ascii="SimSun" w:hAnsi="SimSun" w:eastAsia="SimSun" w:cs="SimSun"/>
                <w:sz w:val="20"/>
                <w:szCs w:val="20"/>
              </w:rPr>
            </w:pPr>
            <w:r>
              <w:rPr>
                <w:rFonts w:ascii="SimSun" w:hAnsi="SimSun" w:eastAsia="SimSun" w:cs="SimSun"/>
                <w:sz w:val="20"/>
                <w:szCs w:val="20"/>
                <w:spacing w:val="8"/>
              </w:rPr>
              <w:t>矿</w:t>
            </w:r>
            <w:r>
              <w:rPr>
                <w:rFonts w:ascii="SimSun" w:hAnsi="SimSun" w:eastAsia="SimSun" w:cs="SimSun"/>
                <w:sz w:val="20"/>
                <w:szCs w:val="20"/>
                <w:spacing w:val="-36"/>
              </w:rPr>
              <w:t xml:space="preserve"> </w:t>
            </w:r>
            <w:r>
              <w:rPr>
                <w:rFonts w:ascii="SimSun" w:hAnsi="SimSun" w:eastAsia="SimSun" w:cs="SimSun"/>
                <w:sz w:val="20"/>
                <w:szCs w:val="20"/>
                <w:spacing w:val="8"/>
              </w:rPr>
              <w:t>井</w:t>
            </w:r>
            <w:r>
              <w:rPr>
                <w:rFonts w:ascii="SimSun" w:hAnsi="SimSun" w:eastAsia="SimSun" w:cs="SimSun"/>
                <w:sz w:val="20"/>
                <w:szCs w:val="20"/>
                <w:spacing w:val="-38"/>
              </w:rPr>
              <w:t xml:space="preserve"> </w:t>
            </w:r>
            <w:r>
              <w:rPr>
                <w:rFonts w:ascii="SimSun" w:hAnsi="SimSun" w:eastAsia="SimSun" w:cs="SimSun"/>
                <w:sz w:val="20"/>
                <w:szCs w:val="20"/>
                <w:spacing w:val="8"/>
              </w:rPr>
              <w:t>工</w:t>
            </w:r>
            <w:r>
              <w:rPr>
                <w:rFonts w:ascii="SimSun" w:hAnsi="SimSun" w:eastAsia="SimSun" w:cs="SimSun"/>
                <w:sz w:val="20"/>
                <w:szCs w:val="20"/>
                <w:spacing w:val="-35"/>
              </w:rPr>
              <w:t xml:space="preserve"> </w:t>
            </w:r>
            <w:r>
              <w:rPr>
                <w:rFonts w:ascii="SimSun" w:hAnsi="SimSun" w:eastAsia="SimSun" w:cs="SimSun"/>
                <w:sz w:val="20"/>
                <w:szCs w:val="20"/>
                <w:spacing w:val="8"/>
              </w:rPr>
              <w:t>程</w:t>
            </w:r>
          </w:p>
        </w:tc>
        <w:tc>
          <w:tcPr>
            <w:tcW w:w="1380" w:type="dxa"/>
            <w:vAlign w:val="top"/>
            <w:gridSpan w:val="2"/>
          </w:tcPr>
          <w:p>
            <w:pPr>
              <w:ind w:left="273"/>
              <w:spacing w:before="170" w:line="227" w:lineRule="auto"/>
              <w:rPr>
                <w:rFonts w:ascii="SimSun" w:hAnsi="SimSun" w:eastAsia="SimSun" w:cs="SimSun"/>
                <w:sz w:val="20"/>
                <w:szCs w:val="20"/>
              </w:rPr>
            </w:pPr>
            <w:r>
              <w:rPr>
                <w:rFonts w:ascii="SimSun" w:hAnsi="SimSun" w:eastAsia="SimSun" w:cs="SimSun"/>
                <w:sz w:val="20"/>
                <w:szCs w:val="20"/>
                <w:spacing w:val="7"/>
              </w:rPr>
              <w:t>开拓方式</w:t>
            </w:r>
          </w:p>
        </w:tc>
        <w:tc>
          <w:tcPr>
            <w:tcW w:w="4119" w:type="dxa"/>
            <w:vAlign w:val="top"/>
          </w:tcPr>
          <w:p>
            <w:pPr>
              <w:pStyle w:val="TableText"/>
              <w:ind w:left="593" w:right="169" w:hanging="417"/>
              <w:spacing w:before="34" w:line="233" w:lineRule="auto"/>
              <w:rPr>
                <w:rFonts w:ascii="SimSun" w:hAnsi="SimSun" w:eastAsia="SimSun" w:cs="SimSun"/>
              </w:rPr>
            </w:pPr>
            <w:r>
              <w:rPr>
                <w:rFonts w:ascii="SimSun" w:hAnsi="SimSun" w:eastAsia="SimSun" w:cs="SimSun"/>
                <w:spacing w:val="9"/>
              </w:rPr>
              <w:t>单斗</w:t>
            </w:r>
            <w:r>
              <w:rPr>
                <w:spacing w:val="9"/>
              </w:rPr>
              <w:t>——</w:t>
            </w:r>
            <w:r>
              <w:rPr>
                <w:rFonts w:ascii="SimSun" w:hAnsi="SimSun" w:eastAsia="SimSun" w:cs="SimSun"/>
                <w:spacing w:val="9"/>
              </w:rPr>
              <w:t>卡车与单斗</w:t>
            </w:r>
            <w:r>
              <w:rPr>
                <w:spacing w:val="9"/>
              </w:rPr>
              <w:t>——</w:t>
            </w:r>
            <w:r>
              <w:rPr>
                <w:rFonts w:ascii="SimSun" w:hAnsi="SimSun" w:eastAsia="SimSun" w:cs="SimSun"/>
                <w:spacing w:val="9"/>
              </w:rPr>
              <w:t>卡车半移动破碎</w:t>
            </w:r>
            <w:r>
              <w:rPr>
                <w:rFonts w:ascii="SimSun" w:hAnsi="SimSun" w:eastAsia="SimSun" w:cs="SimSun"/>
                <w:spacing w:val="9"/>
              </w:rPr>
              <w:t>机</w:t>
            </w:r>
            <w:r>
              <w:rPr>
                <w:spacing w:val="9"/>
              </w:rPr>
              <w:t>——</w:t>
            </w:r>
            <w:r>
              <w:rPr>
                <w:rFonts w:ascii="SimSun" w:hAnsi="SimSun" w:eastAsia="SimSun" w:cs="SimSun"/>
                <w:spacing w:val="9"/>
              </w:rPr>
              <w:t>胶带运输机的半连续工艺</w:t>
            </w:r>
          </w:p>
        </w:tc>
        <w:tc>
          <w:tcPr>
            <w:tcW w:w="4129" w:type="dxa"/>
            <w:vAlign w:val="top"/>
          </w:tcPr>
          <w:p>
            <w:pPr>
              <w:pStyle w:val="TableText"/>
              <w:ind w:left="694" w:right="70" w:hanging="617"/>
              <w:spacing w:before="34" w:line="233" w:lineRule="auto"/>
              <w:rPr>
                <w:rFonts w:ascii="SimSun" w:hAnsi="SimSun" w:eastAsia="SimSun" w:cs="SimSun"/>
              </w:rPr>
            </w:pPr>
            <w:r>
              <w:rPr>
                <w:rFonts w:ascii="SimSun" w:hAnsi="SimSun" w:eastAsia="SimSun" w:cs="SimSun"/>
                <w:spacing w:val="9"/>
              </w:rPr>
              <w:t>单斗</w:t>
            </w:r>
            <w:r>
              <w:rPr>
                <w:spacing w:val="9"/>
              </w:rPr>
              <w:t>——</w:t>
            </w:r>
            <w:r>
              <w:rPr>
                <w:rFonts w:ascii="SimSun" w:hAnsi="SimSun" w:eastAsia="SimSun" w:cs="SimSun"/>
                <w:spacing w:val="9"/>
              </w:rPr>
              <w:t>卡车与单斗</w:t>
            </w:r>
            <w:r>
              <w:rPr>
                <w:spacing w:val="9"/>
              </w:rPr>
              <w:t>——</w:t>
            </w:r>
            <w:r>
              <w:rPr>
                <w:rFonts w:ascii="SimSun" w:hAnsi="SimSun" w:eastAsia="SimSun" w:cs="SimSun"/>
                <w:spacing w:val="9"/>
              </w:rPr>
              <w:t>卡车半移动破碎机</w:t>
            </w:r>
            <w:r>
              <w:rPr>
                <w:spacing w:val="10"/>
              </w:rPr>
              <w:t>——</w:t>
            </w:r>
            <w:r>
              <w:rPr>
                <w:rFonts w:ascii="SimSun" w:hAnsi="SimSun" w:eastAsia="SimSun" w:cs="SimSun"/>
                <w:spacing w:val="10"/>
              </w:rPr>
              <w:t>胶带运输机的半连续工艺</w:t>
            </w:r>
          </w:p>
        </w:tc>
        <w:tc>
          <w:tcPr>
            <w:tcW w:w="3659" w:type="dxa"/>
            <w:vAlign w:val="top"/>
          </w:tcPr>
          <w:p>
            <w:pPr>
              <w:ind w:left="1625"/>
              <w:spacing w:before="170"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631" w:hRule="atLeast"/>
        </w:trPr>
        <w:tc>
          <w:tcPr>
            <w:tcW w:w="573" w:type="dxa"/>
            <w:vAlign w:val="top"/>
            <w:vMerge w:val="continue"/>
            <w:tcBorders>
              <w:top w:val="nil"/>
            </w:tcBorders>
          </w:tcPr>
          <w:p>
            <w:pPr>
              <w:rPr>
                <w:rFonts w:ascii="Arial"/>
                <w:sz w:val="21"/>
              </w:rPr>
            </w:pPr>
            <w:r/>
          </w:p>
        </w:tc>
        <w:tc>
          <w:tcPr>
            <w:tcW w:w="475" w:type="dxa"/>
            <w:vAlign w:val="top"/>
            <w:vMerge w:val="continue"/>
            <w:textDirection w:val="tbRlV"/>
            <w:tcBorders>
              <w:top w:val="nil"/>
            </w:tcBorders>
          </w:tcPr>
          <w:p>
            <w:pPr>
              <w:rPr>
                <w:rFonts w:ascii="Arial"/>
                <w:sz w:val="21"/>
              </w:rPr>
            </w:pPr>
            <w:r/>
          </w:p>
        </w:tc>
        <w:tc>
          <w:tcPr>
            <w:tcW w:w="1380" w:type="dxa"/>
            <w:vAlign w:val="top"/>
            <w:gridSpan w:val="2"/>
          </w:tcPr>
          <w:p>
            <w:pPr>
              <w:ind w:left="271"/>
              <w:spacing w:before="211" w:line="227" w:lineRule="auto"/>
              <w:rPr>
                <w:rFonts w:ascii="SimSun" w:hAnsi="SimSun" w:eastAsia="SimSun" w:cs="SimSun"/>
                <w:sz w:val="20"/>
                <w:szCs w:val="20"/>
              </w:rPr>
            </w:pPr>
            <w:r>
              <w:rPr>
                <w:rFonts w:ascii="SimSun" w:hAnsi="SimSun" w:eastAsia="SimSun" w:cs="SimSun"/>
                <w:sz w:val="20"/>
                <w:szCs w:val="20"/>
                <w:spacing w:val="7"/>
              </w:rPr>
              <w:t>采区划分</w:t>
            </w:r>
          </w:p>
        </w:tc>
        <w:tc>
          <w:tcPr>
            <w:tcW w:w="4119" w:type="dxa"/>
            <w:vAlign w:val="top"/>
          </w:tcPr>
          <w:p>
            <w:pPr>
              <w:pStyle w:val="TableText"/>
              <w:ind w:left="1685"/>
              <w:spacing w:before="211" w:line="227" w:lineRule="auto"/>
              <w:rPr>
                <w:rFonts w:ascii="SimSun" w:hAnsi="SimSun" w:eastAsia="SimSun" w:cs="SimSun"/>
              </w:rPr>
            </w:pPr>
            <w:r>
              <w:rPr/>
              <w:t>1</w:t>
            </w:r>
            <w:r>
              <w:rPr>
                <w:spacing w:val="9"/>
              </w:rPr>
              <w:t xml:space="preserve"> </w:t>
            </w:r>
            <w:r>
              <w:rPr>
                <w:rFonts w:ascii="SimSun" w:hAnsi="SimSun" w:eastAsia="SimSun" w:cs="SimSun"/>
              </w:rPr>
              <w:t>个采区</w:t>
            </w:r>
          </w:p>
        </w:tc>
        <w:tc>
          <w:tcPr>
            <w:tcW w:w="4129" w:type="dxa"/>
            <w:vAlign w:val="top"/>
          </w:tcPr>
          <w:p>
            <w:pPr>
              <w:pStyle w:val="TableText"/>
              <w:ind w:left="1692"/>
              <w:spacing w:before="211" w:line="227" w:lineRule="auto"/>
              <w:rPr>
                <w:rFonts w:ascii="SimSun" w:hAnsi="SimSun" w:eastAsia="SimSun" w:cs="SimSun"/>
              </w:rPr>
            </w:pPr>
            <w:r>
              <w:rPr/>
              <w:t>1</w:t>
            </w:r>
            <w:r>
              <w:rPr>
                <w:spacing w:val="9"/>
              </w:rPr>
              <w:t xml:space="preserve"> </w:t>
            </w:r>
            <w:r>
              <w:rPr>
                <w:rFonts w:ascii="SimSun" w:hAnsi="SimSun" w:eastAsia="SimSun" w:cs="SimSun"/>
              </w:rPr>
              <w:t>个采区</w:t>
            </w:r>
          </w:p>
        </w:tc>
        <w:tc>
          <w:tcPr>
            <w:tcW w:w="3659" w:type="dxa"/>
            <w:vAlign w:val="top"/>
          </w:tcPr>
          <w:p>
            <w:pPr>
              <w:ind w:left="1201"/>
              <w:spacing w:before="211" w:line="227" w:lineRule="auto"/>
              <w:rPr>
                <w:rFonts w:ascii="SimSun" w:hAnsi="SimSun" w:eastAsia="SimSun" w:cs="SimSun"/>
                <w:sz w:val="20"/>
                <w:szCs w:val="20"/>
              </w:rPr>
            </w:pPr>
            <w:r>
              <w:rPr>
                <w:rFonts w:ascii="SimSun" w:hAnsi="SimSun" w:eastAsia="SimSun" w:cs="SimSun"/>
                <w:sz w:val="20"/>
                <w:szCs w:val="20"/>
                <w:spacing w:val="8"/>
              </w:rPr>
              <w:t>采区数量不变</w:t>
            </w:r>
          </w:p>
        </w:tc>
      </w:tr>
    </w:tbl>
    <w:p>
      <w:pPr>
        <w:pStyle w:val="BodyText"/>
        <w:rPr/>
      </w:pPr>
      <w:r/>
    </w:p>
    <w:p>
      <w:pPr>
        <w:sectPr>
          <w:headerReference w:type="default" r:id="rId185"/>
          <w:footerReference w:type="default" r:id="rId186"/>
          <w:pgSz w:w="16838" w:h="11906"/>
          <w:pgMar w:top="1169" w:right="1391" w:bottom="1080" w:left="1106" w:header="836" w:footer="917" w:gutter="0"/>
        </w:sectPr>
        <w:rPr/>
      </w:pPr>
    </w:p>
    <w:p>
      <w:pPr>
        <w:spacing w:before="7"/>
        <w:rPr/>
      </w:pPr>
      <w:r/>
    </w:p>
    <w:tbl>
      <w:tblPr>
        <w:tblStyle w:val="TableNormal"/>
        <w:tblW w:w="143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475"/>
        <w:gridCol w:w="1380"/>
        <w:gridCol w:w="4119"/>
        <w:gridCol w:w="4129"/>
        <w:gridCol w:w="3659"/>
      </w:tblGrid>
      <w:tr>
        <w:trPr>
          <w:trHeight w:val="501" w:hRule="atLeast"/>
        </w:trPr>
        <w:tc>
          <w:tcPr>
            <w:tcW w:w="573" w:type="dxa"/>
            <w:vAlign w:val="top"/>
          </w:tcPr>
          <w:p>
            <w:pPr>
              <w:ind w:left="82"/>
              <w:spacing w:before="143" w:line="228" w:lineRule="auto"/>
              <w:rPr>
                <w:rFonts w:ascii="SimSun" w:hAnsi="SimSun" w:eastAsia="SimSun" w:cs="SimSun"/>
                <w:sz w:val="20"/>
                <w:szCs w:val="20"/>
              </w:rPr>
            </w:pPr>
            <w:r>
              <w:rPr>
                <w:rFonts w:ascii="SimSun" w:hAnsi="SimSun" w:eastAsia="SimSun" w:cs="SimSun"/>
                <w:sz w:val="20"/>
                <w:szCs w:val="20"/>
                <w:spacing w:val="3"/>
              </w:rPr>
              <w:t>分类</w:t>
            </w:r>
          </w:p>
        </w:tc>
        <w:tc>
          <w:tcPr>
            <w:tcW w:w="1855" w:type="dxa"/>
            <w:vAlign w:val="top"/>
            <w:gridSpan w:val="2"/>
          </w:tcPr>
          <w:p>
            <w:pPr>
              <w:ind w:left="513"/>
              <w:spacing w:before="143" w:line="228" w:lineRule="auto"/>
              <w:rPr>
                <w:rFonts w:ascii="SimSun" w:hAnsi="SimSun" w:eastAsia="SimSun" w:cs="SimSun"/>
                <w:sz w:val="20"/>
                <w:szCs w:val="20"/>
              </w:rPr>
            </w:pPr>
            <w:r>
              <w:rPr>
                <w:rFonts w:ascii="SimSun" w:hAnsi="SimSun" w:eastAsia="SimSun" w:cs="SimSun"/>
                <w:sz w:val="20"/>
                <w:szCs w:val="20"/>
                <w:spacing w:val="6"/>
              </w:rPr>
              <w:t>项目组成</w:t>
            </w:r>
          </w:p>
        </w:tc>
        <w:tc>
          <w:tcPr>
            <w:tcW w:w="4119" w:type="dxa"/>
            <w:vAlign w:val="top"/>
          </w:tcPr>
          <w:p>
            <w:pPr>
              <w:ind w:left="1436"/>
              <w:spacing w:before="143" w:line="228" w:lineRule="auto"/>
              <w:rPr>
                <w:rFonts w:ascii="SimSun" w:hAnsi="SimSun" w:eastAsia="SimSun" w:cs="SimSun"/>
                <w:sz w:val="20"/>
                <w:szCs w:val="20"/>
              </w:rPr>
            </w:pPr>
            <w:r>
              <w:rPr>
                <w:rFonts w:ascii="SimSun" w:hAnsi="SimSun" w:eastAsia="SimSun" w:cs="SimSun"/>
                <w:sz w:val="20"/>
                <w:szCs w:val="20"/>
                <w:spacing w:val="7"/>
              </w:rPr>
              <w:t>现有工程内容</w:t>
            </w:r>
          </w:p>
        </w:tc>
        <w:tc>
          <w:tcPr>
            <w:tcW w:w="4129" w:type="dxa"/>
            <w:vAlign w:val="top"/>
          </w:tcPr>
          <w:p>
            <w:pPr>
              <w:ind w:left="917"/>
              <w:spacing w:before="144" w:line="227" w:lineRule="auto"/>
              <w:rPr>
                <w:rFonts w:ascii="SimSun" w:hAnsi="SimSun" w:eastAsia="SimSun" w:cs="SimSun"/>
                <w:sz w:val="20"/>
                <w:szCs w:val="20"/>
              </w:rPr>
            </w:pPr>
            <w:r>
              <w:rPr>
                <w:rFonts w:ascii="SimSun" w:hAnsi="SimSun" w:eastAsia="SimSun" w:cs="SimSun"/>
                <w:sz w:val="20"/>
                <w:szCs w:val="20"/>
                <w:spacing w:val="9"/>
              </w:rPr>
              <w:t>调整开采范围后工程内容</w:t>
            </w:r>
          </w:p>
        </w:tc>
        <w:tc>
          <w:tcPr>
            <w:tcW w:w="3659" w:type="dxa"/>
            <w:vAlign w:val="top"/>
          </w:tcPr>
          <w:p>
            <w:pPr>
              <w:ind w:left="1413"/>
              <w:spacing w:before="144" w:line="228" w:lineRule="auto"/>
              <w:rPr>
                <w:rFonts w:ascii="SimSun" w:hAnsi="SimSun" w:eastAsia="SimSun" w:cs="SimSun"/>
                <w:sz w:val="20"/>
                <w:szCs w:val="20"/>
              </w:rPr>
            </w:pPr>
            <w:r>
              <w:rPr>
                <w:rFonts w:ascii="SimSun" w:hAnsi="SimSun" w:eastAsia="SimSun" w:cs="SimSun"/>
                <w:sz w:val="20"/>
                <w:szCs w:val="20"/>
                <w:spacing w:val="7"/>
              </w:rPr>
              <w:t>变化情况</w:t>
            </w:r>
          </w:p>
        </w:tc>
      </w:tr>
      <w:tr>
        <w:trPr>
          <w:trHeight w:val="4089" w:hRule="atLeast"/>
        </w:trPr>
        <w:tc>
          <w:tcPr>
            <w:tcW w:w="573" w:type="dxa"/>
            <w:vAlign w:val="top"/>
            <w:vMerge w:val="restart"/>
            <w:tcBorders>
              <w:bottom w:val="nil"/>
            </w:tcBorders>
          </w:tcPr>
          <w:p>
            <w:pPr>
              <w:rPr>
                <w:rFonts w:ascii="Arial"/>
                <w:sz w:val="21"/>
              </w:rPr>
            </w:pPr>
            <w:r/>
          </w:p>
        </w:tc>
        <w:tc>
          <w:tcPr>
            <w:tcW w:w="475" w:type="dxa"/>
            <w:vAlign w:val="top"/>
            <w:vMerge w:val="restart"/>
            <w:textDirection w:val="tbRlV"/>
            <w:tcBorders>
              <w:bottom w:val="nil"/>
            </w:tcBorders>
          </w:tcPr>
          <w:p>
            <w:pPr>
              <w:ind w:left="3663"/>
              <w:spacing w:before="135" w:line="217" w:lineRule="auto"/>
              <w:rPr>
                <w:rFonts w:ascii="SimSun" w:hAnsi="SimSun" w:eastAsia="SimSun" w:cs="SimSun"/>
                <w:sz w:val="20"/>
                <w:szCs w:val="20"/>
              </w:rPr>
            </w:pPr>
            <w:r>
              <w:rPr>
                <w:rFonts w:ascii="SimSun" w:hAnsi="SimSun" w:eastAsia="SimSun" w:cs="SimSun"/>
                <w:sz w:val="20"/>
                <w:szCs w:val="20"/>
                <w:spacing w:val="8"/>
              </w:rPr>
              <w:t>选</w:t>
            </w:r>
            <w:r>
              <w:rPr>
                <w:rFonts w:ascii="SimSun" w:hAnsi="SimSun" w:eastAsia="SimSun" w:cs="SimSun"/>
                <w:sz w:val="20"/>
                <w:szCs w:val="20"/>
                <w:spacing w:val="-32"/>
              </w:rPr>
              <w:t xml:space="preserve"> </w:t>
            </w:r>
            <w:r>
              <w:rPr>
                <w:rFonts w:ascii="SimSun" w:hAnsi="SimSun" w:eastAsia="SimSun" w:cs="SimSun"/>
                <w:sz w:val="20"/>
                <w:szCs w:val="20"/>
                <w:spacing w:val="8"/>
              </w:rPr>
              <w:t>煤</w:t>
            </w:r>
            <w:r>
              <w:rPr>
                <w:rFonts w:ascii="SimSun" w:hAnsi="SimSun" w:eastAsia="SimSun" w:cs="SimSun"/>
                <w:sz w:val="20"/>
                <w:szCs w:val="20"/>
                <w:spacing w:val="-38"/>
              </w:rPr>
              <w:t xml:space="preserve"> </w:t>
            </w:r>
            <w:r>
              <w:rPr>
                <w:rFonts w:ascii="SimSun" w:hAnsi="SimSun" w:eastAsia="SimSun" w:cs="SimSun"/>
                <w:sz w:val="20"/>
                <w:szCs w:val="20"/>
                <w:spacing w:val="8"/>
              </w:rPr>
              <w:t>厂</w:t>
            </w:r>
          </w:p>
        </w:tc>
        <w:tc>
          <w:tcPr>
            <w:tcW w:w="1380" w:type="dxa"/>
            <w:vAlign w:val="top"/>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271"/>
              <w:spacing w:before="65" w:line="228" w:lineRule="auto"/>
              <w:rPr>
                <w:rFonts w:ascii="SimSun" w:hAnsi="SimSun" w:eastAsia="SimSun" w:cs="SimSun"/>
                <w:sz w:val="20"/>
                <w:szCs w:val="20"/>
              </w:rPr>
            </w:pPr>
            <w:r>
              <w:rPr>
                <w:rFonts w:ascii="SimSun" w:hAnsi="SimSun" w:eastAsia="SimSun" w:cs="SimSun"/>
                <w:sz w:val="20"/>
                <w:szCs w:val="20"/>
                <w:spacing w:val="7"/>
              </w:rPr>
              <w:t>选煤工艺</w:t>
            </w:r>
          </w:p>
        </w:tc>
        <w:tc>
          <w:tcPr>
            <w:tcW w:w="4119" w:type="dxa"/>
            <w:vAlign w:val="top"/>
          </w:tcPr>
          <w:p>
            <w:pPr>
              <w:pStyle w:val="TableText"/>
              <w:ind w:left="161"/>
              <w:spacing w:before="31" w:line="227" w:lineRule="auto"/>
              <w:rPr>
                <w:rFonts w:ascii="SimSun" w:hAnsi="SimSun" w:eastAsia="SimSun" w:cs="SimSun"/>
              </w:rPr>
            </w:pPr>
            <w:r>
              <w:rPr>
                <w:rFonts w:ascii="SimSun" w:hAnsi="SimSun" w:eastAsia="SimSun" w:cs="SimSun"/>
                <w:spacing w:val="8"/>
              </w:rPr>
              <w:t>人工选矸</w:t>
            </w:r>
            <w:r>
              <w:rPr>
                <w:spacing w:val="8"/>
              </w:rPr>
              <w:t>+</w:t>
            </w:r>
            <w:r>
              <w:rPr>
                <w:rFonts w:ascii="SimSun" w:hAnsi="SimSun" w:eastAsia="SimSun" w:cs="SimSun"/>
                <w:spacing w:val="8"/>
              </w:rPr>
              <w:t>智能选矸</w:t>
            </w:r>
            <w:r>
              <w:rPr>
                <w:spacing w:val="8"/>
              </w:rPr>
              <w:t>+</w:t>
            </w:r>
            <w:r>
              <w:rPr>
                <w:rFonts w:ascii="SimSun" w:hAnsi="SimSun" w:eastAsia="SimSun" w:cs="SimSun"/>
                <w:spacing w:val="8"/>
              </w:rPr>
              <w:t>干法选煤：原煤经预</w:t>
            </w:r>
          </w:p>
          <w:p>
            <w:pPr>
              <w:pStyle w:val="TableText"/>
              <w:ind w:left="154"/>
              <w:spacing w:before="24" w:line="228" w:lineRule="auto"/>
              <w:rPr/>
            </w:pPr>
            <w:r>
              <w:rPr>
                <w:rFonts w:ascii="SimSun" w:hAnsi="SimSun" w:eastAsia="SimSun" w:cs="SimSun"/>
                <w:spacing w:val="7"/>
              </w:rPr>
              <w:t>先分级，</w:t>
            </w:r>
            <w:r>
              <w:rPr>
                <w:spacing w:val="7"/>
              </w:rPr>
              <w:t>+80</w:t>
            </w:r>
            <w:r>
              <w:rPr/>
              <w:t>mm</w:t>
            </w:r>
            <w:r>
              <w:rPr>
                <w:spacing w:val="7"/>
              </w:rPr>
              <w:t xml:space="preserve"> </w:t>
            </w:r>
            <w:r>
              <w:rPr>
                <w:rFonts w:ascii="SimSun" w:hAnsi="SimSun" w:eastAsia="SimSun" w:cs="SimSun"/>
                <w:spacing w:val="7"/>
              </w:rPr>
              <w:t>粒度级（分为</w:t>
            </w:r>
            <w:r>
              <w:rPr>
                <w:rFonts w:ascii="SimSun" w:hAnsi="SimSun" w:eastAsia="SimSun" w:cs="SimSun"/>
                <w:spacing w:val="-22"/>
              </w:rPr>
              <w:t xml:space="preserve"> </w:t>
            </w:r>
            <w:r>
              <w:rPr>
                <w:spacing w:val="7"/>
              </w:rPr>
              <w:t>80~200</w:t>
            </w:r>
            <w:r>
              <w:rPr/>
              <w:t>mm</w:t>
            </w:r>
          </w:p>
          <w:p>
            <w:pPr>
              <w:pStyle w:val="TableText"/>
              <w:ind w:left="111"/>
              <w:spacing w:before="27" w:line="228" w:lineRule="auto"/>
              <w:rPr>
                <w:rFonts w:ascii="SimSun" w:hAnsi="SimSun" w:eastAsia="SimSun" w:cs="SimSun"/>
              </w:rPr>
            </w:pPr>
            <w:r>
              <w:rPr>
                <w:rFonts w:ascii="SimSun" w:hAnsi="SimSun" w:eastAsia="SimSun" w:cs="SimSun"/>
                <w:spacing w:val="8"/>
              </w:rPr>
              <w:t>粒度级和</w:t>
            </w:r>
            <w:r>
              <w:rPr>
                <w:spacing w:val="8"/>
              </w:rPr>
              <w:t>+200</w:t>
            </w:r>
            <w:r>
              <w:rPr/>
              <w:t>mm</w:t>
            </w:r>
            <w:r>
              <w:rPr>
                <w:spacing w:val="8"/>
              </w:rPr>
              <w:t xml:space="preserve"> </w:t>
            </w:r>
            <w:r>
              <w:rPr>
                <w:rFonts w:ascii="SimSun" w:hAnsi="SimSun" w:eastAsia="SimSun" w:cs="SimSun"/>
                <w:spacing w:val="8"/>
              </w:rPr>
              <w:t>粒度级）进入首选系统，</w:t>
            </w:r>
          </w:p>
          <w:p>
            <w:pPr>
              <w:pStyle w:val="TableText"/>
              <w:ind w:left="119"/>
              <w:spacing w:before="23" w:line="227" w:lineRule="auto"/>
              <w:rPr>
                <w:rFonts w:ascii="SimSun" w:hAnsi="SimSun" w:eastAsia="SimSun" w:cs="SimSun"/>
              </w:rPr>
            </w:pPr>
            <w:r>
              <w:rPr>
                <w:spacing w:val="8"/>
              </w:rPr>
              <w:t>-80</w:t>
            </w:r>
            <w:r>
              <w:rPr/>
              <w:t>mm</w:t>
            </w:r>
            <w:r>
              <w:rPr>
                <w:spacing w:val="8"/>
              </w:rPr>
              <w:t xml:space="preserve"> </w:t>
            </w:r>
            <w:r>
              <w:rPr>
                <w:rFonts w:ascii="SimSun" w:hAnsi="SimSun" w:eastAsia="SimSun" w:cs="SimSun"/>
                <w:spacing w:val="8"/>
              </w:rPr>
              <w:t>粒度级进入干选系统。</w:t>
            </w:r>
            <w:r>
              <w:rPr>
                <w:spacing w:val="8"/>
              </w:rPr>
              <w:t>+80</w:t>
            </w:r>
            <w:r>
              <w:rPr/>
              <w:t>mm</w:t>
            </w:r>
            <w:r>
              <w:rPr>
                <w:spacing w:val="8"/>
              </w:rPr>
              <w:t xml:space="preserve"> </w:t>
            </w:r>
            <w:r>
              <w:rPr>
                <w:rFonts w:ascii="SimSun" w:hAnsi="SimSun" w:eastAsia="SimSun" w:cs="SimSun"/>
                <w:spacing w:val="8"/>
              </w:rPr>
              <w:t>粒度</w:t>
            </w:r>
          </w:p>
          <w:p>
            <w:pPr>
              <w:pStyle w:val="TableText"/>
              <w:ind w:left="136"/>
              <w:spacing w:before="26" w:line="221" w:lineRule="auto"/>
              <w:rPr>
                <w:rFonts w:ascii="SimSun" w:hAnsi="SimSun" w:eastAsia="SimSun" w:cs="SimSun"/>
              </w:rPr>
            </w:pPr>
            <w:r>
              <w:rPr>
                <w:rFonts w:ascii="SimSun" w:hAnsi="SimSun" w:eastAsia="SimSun" w:cs="SimSun"/>
                <w:spacing w:val="8"/>
              </w:rPr>
              <w:t>级进入手选系统后，经</w:t>
            </w:r>
            <w:r>
              <w:rPr>
                <w:spacing w:val="8"/>
              </w:rPr>
              <w:t>φ50</w:t>
            </w:r>
            <w:r>
              <w:rPr/>
              <w:t>mm</w:t>
            </w:r>
            <w:r>
              <w:rPr>
                <w:spacing w:val="8"/>
              </w:rPr>
              <w:t xml:space="preserve"> </w:t>
            </w:r>
            <w:r>
              <w:rPr>
                <w:rFonts w:ascii="SimSun" w:hAnsi="SimSun" w:eastAsia="SimSun" w:cs="SimSun"/>
                <w:spacing w:val="8"/>
              </w:rPr>
              <w:t>分级筛分，</w:t>
            </w:r>
          </w:p>
          <w:p>
            <w:pPr>
              <w:pStyle w:val="TableText"/>
              <w:ind w:left="119"/>
              <w:spacing w:before="34" w:line="228" w:lineRule="auto"/>
              <w:rPr>
                <w:rFonts w:ascii="SimSun" w:hAnsi="SimSun" w:eastAsia="SimSun" w:cs="SimSun"/>
              </w:rPr>
            </w:pPr>
            <w:r>
              <w:rPr>
                <w:spacing w:val="8"/>
              </w:rPr>
              <w:t>-50</w:t>
            </w:r>
            <w:r>
              <w:rPr/>
              <w:t>mm</w:t>
            </w:r>
            <w:r>
              <w:rPr>
                <w:spacing w:val="8"/>
              </w:rPr>
              <w:t xml:space="preserve"> </w:t>
            </w:r>
            <w:r>
              <w:rPr>
                <w:rFonts w:ascii="SimSun" w:hAnsi="SimSun" w:eastAsia="SimSun" w:cs="SimSun"/>
                <w:spacing w:val="8"/>
              </w:rPr>
              <w:t>粒度级为筛分末煤，</w:t>
            </w:r>
            <w:r>
              <w:rPr>
                <w:spacing w:val="8"/>
              </w:rPr>
              <w:t>+50</w:t>
            </w:r>
            <w:r>
              <w:rPr/>
              <w:t>mm</w:t>
            </w:r>
            <w:r>
              <w:rPr>
                <w:spacing w:val="8"/>
              </w:rPr>
              <w:t xml:space="preserve"> </w:t>
            </w:r>
            <w:r>
              <w:rPr>
                <w:rFonts w:ascii="SimSun" w:hAnsi="SimSun" w:eastAsia="SimSun" w:cs="SimSun"/>
                <w:spacing w:val="8"/>
              </w:rPr>
              <w:t>粒度级</w:t>
            </w:r>
          </w:p>
          <w:p>
            <w:pPr>
              <w:pStyle w:val="TableText"/>
              <w:ind w:left="110"/>
              <w:spacing w:before="27" w:line="225" w:lineRule="auto"/>
              <w:rPr>
                <w:rFonts w:ascii="SimSun" w:hAnsi="SimSun" w:eastAsia="SimSun" w:cs="SimSun"/>
              </w:rPr>
            </w:pPr>
            <w:r>
              <w:rPr>
                <w:rFonts w:ascii="SimSun" w:hAnsi="SimSun" w:eastAsia="SimSun" w:cs="SimSun"/>
                <w:spacing w:val="2"/>
              </w:rPr>
              <w:t>进入手选车间，其中</w:t>
            </w:r>
            <w:r>
              <w:rPr>
                <w:rFonts w:ascii="SimSun" w:hAnsi="SimSun" w:eastAsia="SimSun" w:cs="SimSun"/>
                <w:spacing w:val="-17"/>
              </w:rPr>
              <w:t xml:space="preserve"> </w:t>
            </w:r>
            <w:r>
              <w:rPr>
                <w:spacing w:val="2"/>
              </w:rPr>
              <w:t>80~200</w:t>
            </w:r>
            <w:r>
              <w:rPr/>
              <w:t>mm</w:t>
            </w:r>
            <w:r>
              <w:rPr>
                <w:spacing w:val="2"/>
              </w:rPr>
              <w:t xml:space="preserve"> </w:t>
            </w:r>
            <w:r>
              <w:rPr>
                <w:rFonts w:ascii="SimSun" w:hAnsi="SimSun" w:eastAsia="SimSun" w:cs="SimSun"/>
                <w:spacing w:val="2"/>
              </w:rPr>
              <w:t>粒度级进入</w:t>
            </w:r>
          </w:p>
          <w:p>
            <w:pPr>
              <w:ind w:left="179"/>
              <w:spacing w:before="25" w:line="225" w:lineRule="auto"/>
              <w:rPr>
                <w:rFonts w:ascii="SimSun" w:hAnsi="SimSun" w:eastAsia="SimSun" w:cs="SimSun"/>
                <w:sz w:val="20"/>
                <w:szCs w:val="20"/>
              </w:rPr>
            </w:pPr>
            <w:r>
              <w:rPr>
                <w:rFonts w:ascii="SimSun" w:hAnsi="SimSun" w:eastAsia="SimSun" w:cs="SimSun"/>
                <w:sz w:val="20"/>
                <w:szCs w:val="20"/>
                <w:spacing w:val="9"/>
              </w:rPr>
              <w:t>智能选矸系统进行分选，其余部分人工手</w:t>
            </w:r>
          </w:p>
          <w:p>
            <w:pPr>
              <w:pStyle w:val="TableText"/>
              <w:ind w:left="115"/>
              <w:spacing w:before="31" w:line="228" w:lineRule="auto"/>
              <w:rPr>
                <w:rFonts w:ascii="SimSun" w:hAnsi="SimSun" w:eastAsia="SimSun" w:cs="SimSun"/>
              </w:rPr>
            </w:pPr>
            <w:r>
              <w:rPr>
                <w:rFonts w:ascii="SimSun" w:hAnsi="SimSun" w:eastAsia="SimSun" w:cs="SimSun"/>
                <w:spacing w:val="6"/>
              </w:rPr>
              <w:t>选，经分选后，生产</w:t>
            </w:r>
            <w:r>
              <w:rPr>
                <w:rFonts w:ascii="SimSun" w:hAnsi="SimSun" w:eastAsia="SimSun" w:cs="SimSun"/>
                <w:spacing w:val="-17"/>
              </w:rPr>
              <w:t xml:space="preserve"> </w:t>
            </w:r>
            <w:r>
              <w:rPr>
                <w:spacing w:val="6"/>
              </w:rPr>
              <w:t>80~200 </w:t>
            </w:r>
            <w:r>
              <w:rPr>
                <w:rFonts w:ascii="SimSun" w:hAnsi="SimSun" w:eastAsia="SimSun" w:cs="SimSun"/>
                <w:spacing w:val="6"/>
              </w:rPr>
              <w:t>大块品种煤。</w:t>
            </w:r>
          </w:p>
          <w:p>
            <w:pPr>
              <w:pStyle w:val="TableText"/>
              <w:ind w:left="111"/>
              <w:spacing w:before="25" w:line="228" w:lineRule="auto"/>
              <w:rPr>
                <w:rFonts w:ascii="SimSun" w:hAnsi="SimSun" w:eastAsia="SimSun" w:cs="SimSun"/>
              </w:rPr>
            </w:pPr>
            <w:r>
              <w:rPr>
                <w:rFonts w:ascii="SimSun" w:hAnsi="SimSun" w:eastAsia="SimSun" w:cs="SimSun"/>
                <w:spacing w:val="4"/>
              </w:rPr>
              <w:t>根据市场需求，</w:t>
            </w:r>
            <w:r>
              <w:rPr>
                <w:spacing w:val="4"/>
              </w:rPr>
              <w:t>+200</w:t>
            </w:r>
            <w:r>
              <w:rPr/>
              <w:t>mm</w:t>
            </w:r>
            <w:r>
              <w:rPr>
                <w:spacing w:val="43"/>
                <w:w w:val="101"/>
              </w:rPr>
              <w:t xml:space="preserve"> </w:t>
            </w:r>
            <w:r>
              <w:rPr>
                <w:rFonts w:ascii="SimSun" w:hAnsi="SimSun" w:eastAsia="SimSun" w:cs="SimSun"/>
                <w:spacing w:val="4"/>
              </w:rPr>
              <w:t>出特大块煤或破碎</w:t>
            </w:r>
          </w:p>
          <w:p>
            <w:pPr>
              <w:pStyle w:val="TableText"/>
              <w:ind w:left="152"/>
              <w:spacing w:before="27" w:line="228" w:lineRule="auto"/>
              <w:rPr>
                <w:rFonts w:ascii="SimSun" w:hAnsi="SimSun" w:eastAsia="SimSun" w:cs="SimSun"/>
              </w:rPr>
            </w:pPr>
            <w:r>
              <w:rPr>
                <w:rFonts w:ascii="SimSun" w:hAnsi="SimSun" w:eastAsia="SimSun" w:cs="SimSun"/>
                <w:spacing w:val="7"/>
              </w:rPr>
              <w:t>为</w:t>
            </w:r>
            <w:r>
              <w:rPr>
                <w:rFonts w:ascii="SimSun" w:hAnsi="SimSun" w:eastAsia="SimSun" w:cs="SimSun"/>
                <w:spacing w:val="-34"/>
              </w:rPr>
              <w:t xml:space="preserve"> </w:t>
            </w:r>
            <w:r>
              <w:rPr>
                <w:spacing w:val="7"/>
              </w:rPr>
              <w:t>80~200</w:t>
            </w:r>
            <w:r>
              <w:rPr/>
              <w:t>mm</w:t>
            </w:r>
            <w:r>
              <w:rPr>
                <w:spacing w:val="7"/>
              </w:rPr>
              <w:t xml:space="preserve"> </w:t>
            </w:r>
            <w:r>
              <w:rPr>
                <w:rFonts w:ascii="SimSun" w:hAnsi="SimSun" w:eastAsia="SimSun" w:cs="SimSun"/>
                <w:spacing w:val="7"/>
              </w:rPr>
              <w:t>大块品种煤。</w:t>
            </w:r>
            <w:r>
              <w:rPr>
                <w:spacing w:val="7"/>
              </w:rPr>
              <w:t>30-80</w:t>
            </w:r>
            <w:r>
              <w:rPr/>
              <w:t>mm</w:t>
            </w:r>
            <w:r>
              <w:rPr>
                <w:spacing w:val="6"/>
              </w:rPr>
              <w:t xml:space="preserve"> </w:t>
            </w:r>
            <w:r>
              <w:rPr>
                <w:rFonts w:ascii="SimSun" w:hAnsi="SimSun" w:eastAsia="SimSun" w:cs="SimSun"/>
                <w:spacing w:val="6"/>
              </w:rPr>
              <w:t>粒度</w:t>
            </w:r>
          </w:p>
          <w:p>
            <w:pPr>
              <w:ind w:left="115"/>
              <w:spacing w:before="24" w:line="227" w:lineRule="auto"/>
              <w:rPr>
                <w:rFonts w:ascii="SimSun" w:hAnsi="SimSun" w:eastAsia="SimSun" w:cs="SimSun"/>
                <w:sz w:val="20"/>
                <w:szCs w:val="20"/>
              </w:rPr>
            </w:pPr>
            <w:r>
              <w:rPr>
                <w:rFonts w:ascii="SimSun" w:hAnsi="SimSun" w:eastAsia="SimSun" w:cs="SimSun"/>
                <w:sz w:val="20"/>
                <w:szCs w:val="20"/>
                <w:spacing w:val="4"/>
              </w:rPr>
              <w:t>级进入干选系统，进入风选车间经复合式干</w:t>
            </w:r>
          </w:p>
          <w:p>
            <w:pPr>
              <w:pStyle w:val="TableText"/>
              <w:ind w:left="112"/>
              <w:spacing w:before="27" w:line="227" w:lineRule="auto"/>
              <w:rPr>
                <w:rFonts w:ascii="SimSun" w:hAnsi="SimSun" w:eastAsia="SimSun" w:cs="SimSun"/>
              </w:rPr>
            </w:pPr>
            <w:r>
              <w:rPr>
                <w:rFonts w:ascii="SimSun" w:hAnsi="SimSun" w:eastAsia="SimSun" w:cs="SimSun"/>
                <w:spacing w:val="8"/>
              </w:rPr>
              <w:t>法分选机分选生产</w:t>
            </w:r>
            <w:r>
              <w:rPr>
                <w:rFonts w:ascii="SimSun" w:hAnsi="SimSun" w:eastAsia="SimSun" w:cs="SimSun"/>
                <w:spacing w:val="-32"/>
              </w:rPr>
              <w:t xml:space="preserve"> </w:t>
            </w:r>
            <w:r>
              <w:rPr>
                <w:spacing w:val="8"/>
              </w:rPr>
              <w:t>30~80</w:t>
            </w:r>
            <w:r>
              <w:rPr/>
              <w:t>mm</w:t>
            </w:r>
            <w:r>
              <w:rPr>
                <w:spacing w:val="8"/>
              </w:rPr>
              <w:t xml:space="preserve"> </w:t>
            </w:r>
            <w:r>
              <w:rPr>
                <w:rFonts w:ascii="SimSun" w:hAnsi="SimSun" w:eastAsia="SimSun" w:cs="SimSun"/>
                <w:spacing w:val="8"/>
              </w:rPr>
              <w:t>风选精煤。复</w:t>
            </w:r>
          </w:p>
          <w:p>
            <w:pPr>
              <w:ind w:left="112"/>
              <w:spacing w:before="26" w:line="227" w:lineRule="auto"/>
              <w:rPr>
                <w:rFonts w:ascii="SimSun" w:hAnsi="SimSun" w:eastAsia="SimSun" w:cs="SimSun"/>
                <w:sz w:val="20"/>
                <w:szCs w:val="20"/>
              </w:rPr>
            </w:pPr>
            <w:r>
              <w:rPr>
                <w:rFonts w:ascii="SimSun" w:hAnsi="SimSun" w:eastAsia="SimSun" w:cs="SimSun"/>
                <w:sz w:val="20"/>
                <w:szCs w:val="20"/>
                <w:spacing w:val="8"/>
              </w:rPr>
              <w:t>合式干法分选机由分选床、振动器、风室、</w:t>
            </w:r>
          </w:p>
          <w:p>
            <w:pPr>
              <w:ind w:left="487"/>
              <w:spacing w:before="25" w:line="218" w:lineRule="auto"/>
              <w:rPr>
                <w:rFonts w:ascii="SimSun" w:hAnsi="SimSun" w:eastAsia="SimSun" w:cs="SimSun"/>
                <w:sz w:val="20"/>
                <w:szCs w:val="20"/>
              </w:rPr>
            </w:pPr>
            <w:r>
              <w:rPr>
                <w:rFonts w:ascii="SimSun" w:hAnsi="SimSun" w:eastAsia="SimSun" w:cs="SimSun"/>
                <w:sz w:val="20"/>
                <w:szCs w:val="20"/>
                <w:spacing w:val="8"/>
              </w:rPr>
              <w:t>机架和吊挂装置、接料槽等组成。</w:t>
            </w:r>
          </w:p>
        </w:tc>
        <w:tc>
          <w:tcPr>
            <w:tcW w:w="4129" w:type="dxa"/>
            <w:vAlign w:val="top"/>
          </w:tcPr>
          <w:p>
            <w:pPr>
              <w:pStyle w:val="TableText"/>
              <w:ind w:left="62"/>
              <w:spacing w:before="31" w:line="227" w:lineRule="auto"/>
              <w:rPr>
                <w:rFonts w:ascii="SimSun" w:hAnsi="SimSun" w:eastAsia="SimSun" w:cs="SimSun"/>
              </w:rPr>
            </w:pPr>
            <w:r>
              <w:rPr>
                <w:rFonts w:ascii="SimSun" w:hAnsi="SimSun" w:eastAsia="SimSun" w:cs="SimSun"/>
                <w:spacing w:val="8"/>
              </w:rPr>
              <w:t>人工选矸</w:t>
            </w:r>
            <w:r>
              <w:rPr>
                <w:spacing w:val="8"/>
              </w:rPr>
              <w:t>+</w:t>
            </w:r>
            <w:r>
              <w:rPr>
                <w:rFonts w:ascii="SimSun" w:hAnsi="SimSun" w:eastAsia="SimSun" w:cs="SimSun"/>
                <w:spacing w:val="8"/>
              </w:rPr>
              <w:t>智能选矸</w:t>
            </w:r>
            <w:r>
              <w:rPr>
                <w:spacing w:val="8"/>
              </w:rPr>
              <w:t>+</w:t>
            </w:r>
            <w:r>
              <w:rPr>
                <w:rFonts w:ascii="SimSun" w:hAnsi="SimSun" w:eastAsia="SimSun" w:cs="SimSun"/>
                <w:spacing w:val="8"/>
              </w:rPr>
              <w:t>干法选煤：原煤经预先</w:t>
            </w:r>
          </w:p>
          <w:p>
            <w:pPr>
              <w:pStyle w:val="TableText"/>
              <w:ind w:left="34"/>
              <w:spacing w:before="25" w:line="228" w:lineRule="auto"/>
              <w:rPr>
                <w:rFonts w:ascii="SimSun" w:hAnsi="SimSun" w:eastAsia="SimSun" w:cs="SimSun"/>
              </w:rPr>
            </w:pPr>
            <w:r>
              <w:rPr>
                <w:rFonts w:ascii="SimSun" w:hAnsi="SimSun" w:eastAsia="SimSun" w:cs="SimSun"/>
                <w:spacing w:val="6"/>
              </w:rPr>
              <w:t>分级，</w:t>
            </w:r>
            <w:r>
              <w:rPr>
                <w:spacing w:val="6"/>
              </w:rPr>
              <w:t>+80</w:t>
            </w:r>
            <w:r>
              <w:rPr/>
              <w:t>mm</w:t>
            </w:r>
            <w:r>
              <w:rPr>
                <w:spacing w:val="6"/>
              </w:rPr>
              <w:t xml:space="preserve"> </w:t>
            </w:r>
            <w:r>
              <w:rPr>
                <w:rFonts w:ascii="SimSun" w:hAnsi="SimSun" w:eastAsia="SimSun" w:cs="SimSun"/>
                <w:spacing w:val="6"/>
              </w:rPr>
              <w:t>粒度级（分为</w:t>
            </w:r>
            <w:r>
              <w:rPr>
                <w:rFonts w:ascii="SimSun" w:hAnsi="SimSun" w:eastAsia="SimSun" w:cs="SimSun"/>
                <w:spacing w:val="-14"/>
              </w:rPr>
              <w:t xml:space="preserve"> </w:t>
            </w:r>
            <w:r>
              <w:rPr>
                <w:spacing w:val="6"/>
              </w:rPr>
              <w:t>80~200</w:t>
            </w:r>
            <w:r>
              <w:rPr/>
              <w:t>mm</w:t>
            </w:r>
            <w:r>
              <w:rPr>
                <w:spacing w:val="6"/>
              </w:rPr>
              <w:t xml:space="preserve"> </w:t>
            </w:r>
            <w:r>
              <w:rPr>
                <w:rFonts w:ascii="SimSun" w:hAnsi="SimSun" w:eastAsia="SimSun" w:cs="SimSun"/>
                <w:spacing w:val="6"/>
              </w:rPr>
              <w:t>粒度</w:t>
            </w:r>
          </w:p>
          <w:p>
            <w:pPr>
              <w:pStyle w:val="TableText"/>
              <w:ind w:left="35"/>
              <w:spacing w:before="26" w:line="228" w:lineRule="auto"/>
              <w:rPr/>
            </w:pPr>
            <w:r>
              <w:rPr>
                <w:rFonts w:ascii="SimSun" w:hAnsi="SimSun" w:eastAsia="SimSun" w:cs="SimSun"/>
                <w:spacing w:val="5"/>
              </w:rPr>
              <w:t>级和</w:t>
            </w:r>
            <w:r>
              <w:rPr>
                <w:spacing w:val="5"/>
              </w:rPr>
              <w:t>+200</w:t>
            </w:r>
            <w:r>
              <w:rPr/>
              <w:t>mm</w:t>
            </w:r>
            <w:r>
              <w:rPr>
                <w:spacing w:val="5"/>
              </w:rPr>
              <w:t xml:space="preserve"> </w:t>
            </w:r>
            <w:r>
              <w:rPr>
                <w:rFonts w:ascii="SimSun" w:hAnsi="SimSun" w:eastAsia="SimSun" w:cs="SimSun"/>
                <w:spacing w:val="5"/>
              </w:rPr>
              <w:t>粒度级）进入首选系统，</w:t>
            </w:r>
            <w:r>
              <w:rPr>
                <w:spacing w:val="5"/>
              </w:rPr>
              <w:t>-80</w:t>
            </w:r>
            <w:r>
              <w:rPr/>
              <w:t>mm</w:t>
            </w:r>
          </w:p>
          <w:p>
            <w:pPr>
              <w:pStyle w:val="TableText"/>
              <w:ind w:left="36"/>
              <w:spacing w:before="23" w:line="227" w:lineRule="auto"/>
              <w:rPr>
                <w:rFonts w:ascii="SimSun" w:hAnsi="SimSun" w:eastAsia="SimSun" w:cs="SimSun"/>
              </w:rPr>
            </w:pPr>
            <w:r>
              <w:rPr>
                <w:rFonts w:ascii="SimSun" w:hAnsi="SimSun" w:eastAsia="SimSun" w:cs="SimSun"/>
                <w:spacing w:val="9"/>
              </w:rPr>
              <w:t>粒度级进入干选系统。</w:t>
            </w:r>
            <w:r>
              <w:rPr>
                <w:spacing w:val="9"/>
              </w:rPr>
              <w:t>+80</w:t>
            </w:r>
            <w:r>
              <w:rPr/>
              <w:t>mm</w:t>
            </w:r>
            <w:r>
              <w:rPr>
                <w:spacing w:val="9"/>
              </w:rPr>
              <w:t xml:space="preserve"> </w:t>
            </w:r>
            <w:r>
              <w:rPr>
                <w:rFonts w:ascii="SimSun" w:hAnsi="SimSun" w:eastAsia="SimSun" w:cs="SimSun"/>
                <w:spacing w:val="9"/>
              </w:rPr>
              <w:t>粒度级进入手</w:t>
            </w:r>
          </w:p>
          <w:p>
            <w:pPr>
              <w:pStyle w:val="TableText"/>
              <w:ind w:left="31"/>
              <w:spacing w:before="26" w:line="221" w:lineRule="auto"/>
              <w:rPr>
                <w:rFonts w:ascii="SimSun" w:hAnsi="SimSun" w:eastAsia="SimSun" w:cs="SimSun"/>
              </w:rPr>
            </w:pPr>
            <w:r>
              <w:rPr>
                <w:rFonts w:ascii="SimSun" w:hAnsi="SimSun" w:eastAsia="SimSun" w:cs="SimSun"/>
                <w:spacing w:val="7"/>
              </w:rPr>
              <w:t>选系统后，经</w:t>
            </w:r>
            <w:r>
              <w:rPr>
                <w:spacing w:val="7"/>
              </w:rPr>
              <w:t>φ50</w:t>
            </w:r>
            <w:r>
              <w:rPr/>
              <w:t>mm</w:t>
            </w:r>
            <w:r>
              <w:rPr>
                <w:spacing w:val="7"/>
              </w:rPr>
              <w:t xml:space="preserve"> </w:t>
            </w:r>
            <w:r>
              <w:rPr>
                <w:rFonts w:ascii="SimSun" w:hAnsi="SimSun" w:eastAsia="SimSun" w:cs="SimSun"/>
                <w:spacing w:val="7"/>
              </w:rPr>
              <w:t>分级筛分，</w:t>
            </w:r>
            <w:r>
              <w:rPr>
                <w:spacing w:val="7"/>
              </w:rPr>
              <w:t>-50</w:t>
            </w:r>
            <w:r>
              <w:rPr/>
              <w:t>mm</w:t>
            </w:r>
            <w:r>
              <w:rPr>
                <w:spacing w:val="7"/>
              </w:rPr>
              <w:t xml:space="preserve"> </w:t>
            </w:r>
            <w:r>
              <w:rPr>
                <w:rFonts w:ascii="SimSun" w:hAnsi="SimSun" w:eastAsia="SimSun" w:cs="SimSun"/>
                <w:spacing w:val="7"/>
              </w:rPr>
              <w:t>粒度</w:t>
            </w:r>
          </w:p>
          <w:p>
            <w:pPr>
              <w:pStyle w:val="TableText"/>
              <w:spacing w:before="34" w:line="228" w:lineRule="auto"/>
              <w:jc w:val="right"/>
              <w:rPr>
                <w:rFonts w:ascii="SimSun" w:hAnsi="SimSun" w:eastAsia="SimSun" w:cs="SimSun"/>
              </w:rPr>
            </w:pPr>
            <w:r>
              <w:rPr>
                <w:rFonts w:ascii="SimSun" w:hAnsi="SimSun" w:eastAsia="SimSun" w:cs="SimSun"/>
              </w:rPr>
              <w:t>级为筛分末煤，</w:t>
            </w:r>
            <w:r>
              <w:rPr/>
              <w:t>+50mm </w:t>
            </w:r>
            <w:r>
              <w:rPr>
                <w:rFonts w:ascii="SimSun" w:hAnsi="SimSun" w:eastAsia="SimSun" w:cs="SimSun"/>
              </w:rPr>
              <w:t>粒度级进入手选车间，</w:t>
            </w:r>
          </w:p>
          <w:p>
            <w:pPr>
              <w:pStyle w:val="TableText"/>
              <w:ind w:left="66"/>
              <w:spacing w:before="27" w:line="225" w:lineRule="auto"/>
              <w:rPr>
                <w:rFonts w:ascii="SimSun" w:hAnsi="SimSun" w:eastAsia="SimSun" w:cs="SimSun"/>
              </w:rPr>
            </w:pPr>
            <w:r>
              <w:rPr>
                <w:rFonts w:ascii="SimSun" w:hAnsi="SimSun" w:eastAsia="SimSun" w:cs="SimSun"/>
                <w:spacing w:val="7"/>
              </w:rPr>
              <w:t>其中</w:t>
            </w:r>
            <w:r>
              <w:rPr>
                <w:rFonts w:ascii="SimSun" w:hAnsi="SimSun" w:eastAsia="SimSun" w:cs="SimSun"/>
                <w:spacing w:val="-19"/>
              </w:rPr>
              <w:t xml:space="preserve"> </w:t>
            </w:r>
            <w:r>
              <w:rPr>
                <w:spacing w:val="7"/>
              </w:rPr>
              <w:t>80~200</w:t>
            </w:r>
            <w:r>
              <w:rPr/>
              <w:t>mm</w:t>
            </w:r>
            <w:r>
              <w:rPr>
                <w:spacing w:val="7"/>
              </w:rPr>
              <w:t xml:space="preserve"> </w:t>
            </w:r>
            <w:r>
              <w:rPr>
                <w:rFonts w:ascii="SimSun" w:hAnsi="SimSun" w:eastAsia="SimSun" w:cs="SimSun"/>
                <w:spacing w:val="7"/>
              </w:rPr>
              <w:t>粒度级进入智能选矸系统进</w:t>
            </w:r>
          </w:p>
          <w:p>
            <w:pPr>
              <w:ind w:left="78"/>
              <w:spacing w:before="25" w:line="225" w:lineRule="auto"/>
              <w:rPr>
                <w:rFonts w:ascii="SimSun" w:hAnsi="SimSun" w:eastAsia="SimSun" w:cs="SimSun"/>
                <w:sz w:val="20"/>
                <w:szCs w:val="20"/>
              </w:rPr>
            </w:pPr>
            <w:r>
              <w:rPr>
                <w:rFonts w:ascii="SimSun" w:hAnsi="SimSun" w:eastAsia="SimSun" w:cs="SimSun"/>
                <w:sz w:val="20"/>
                <w:szCs w:val="20"/>
                <w:spacing w:val="9"/>
              </w:rPr>
              <w:t>行分选，其余部分人工手选，经分选后，生</w:t>
            </w:r>
          </w:p>
          <w:p>
            <w:pPr>
              <w:pStyle w:val="TableText"/>
              <w:ind w:left="228"/>
              <w:spacing w:before="31" w:line="228" w:lineRule="auto"/>
              <w:rPr>
                <w:rFonts w:ascii="SimSun" w:hAnsi="SimSun" w:eastAsia="SimSun" w:cs="SimSun"/>
              </w:rPr>
            </w:pPr>
            <w:r>
              <w:rPr>
                <w:rFonts w:ascii="SimSun" w:hAnsi="SimSun" w:eastAsia="SimSun" w:cs="SimSun"/>
                <w:spacing w:val="6"/>
              </w:rPr>
              <w:t>产</w:t>
            </w:r>
            <w:r>
              <w:rPr>
                <w:rFonts w:ascii="SimSun" w:hAnsi="SimSun" w:eastAsia="SimSun" w:cs="SimSun"/>
                <w:spacing w:val="-23"/>
              </w:rPr>
              <w:t xml:space="preserve"> </w:t>
            </w:r>
            <w:r>
              <w:rPr>
                <w:spacing w:val="6"/>
              </w:rPr>
              <w:t>80~200 </w:t>
            </w:r>
            <w:r>
              <w:rPr>
                <w:rFonts w:ascii="SimSun" w:hAnsi="SimSun" w:eastAsia="SimSun" w:cs="SimSun"/>
                <w:spacing w:val="6"/>
              </w:rPr>
              <w:t>大块品种煤。根据市场需求，</w:t>
            </w:r>
          </w:p>
          <w:p>
            <w:pPr>
              <w:pStyle w:val="TableText"/>
              <w:ind w:left="73"/>
              <w:spacing w:before="25" w:line="228" w:lineRule="auto"/>
              <w:rPr>
                <w:rFonts w:ascii="SimSun" w:hAnsi="SimSun" w:eastAsia="SimSun" w:cs="SimSun"/>
              </w:rPr>
            </w:pPr>
            <w:r>
              <w:rPr>
                <w:spacing w:val="6"/>
              </w:rPr>
              <w:t>+200</w:t>
            </w:r>
            <w:r>
              <w:rPr/>
              <w:t>mm</w:t>
            </w:r>
            <w:r>
              <w:rPr>
                <w:spacing w:val="44"/>
              </w:rPr>
              <w:t xml:space="preserve"> </w:t>
            </w:r>
            <w:r>
              <w:rPr>
                <w:rFonts w:ascii="SimSun" w:hAnsi="SimSun" w:eastAsia="SimSun" w:cs="SimSun"/>
                <w:spacing w:val="6"/>
              </w:rPr>
              <w:t>出特大块煤或破碎为</w:t>
            </w:r>
            <w:r>
              <w:rPr>
                <w:rFonts w:ascii="SimSun" w:hAnsi="SimSun" w:eastAsia="SimSun" w:cs="SimSun"/>
                <w:spacing w:val="-35"/>
              </w:rPr>
              <w:t xml:space="preserve"> </w:t>
            </w:r>
            <w:r>
              <w:rPr>
                <w:spacing w:val="6"/>
              </w:rPr>
              <w:t>80~200</w:t>
            </w:r>
            <w:r>
              <w:rPr/>
              <w:t>mm</w:t>
            </w:r>
            <w:r>
              <w:rPr>
                <w:spacing w:val="6"/>
              </w:rPr>
              <w:t xml:space="preserve"> </w:t>
            </w:r>
            <w:r>
              <w:rPr>
                <w:rFonts w:ascii="SimSun" w:hAnsi="SimSun" w:eastAsia="SimSun" w:cs="SimSun"/>
                <w:spacing w:val="6"/>
              </w:rPr>
              <w:t>大</w:t>
            </w:r>
          </w:p>
          <w:p>
            <w:pPr>
              <w:pStyle w:val="TableText"/>
              <w:ind w:left="60"/>
              <w:spacing w:before="27" w:line="227" w:lineRule="auto"/>
              <w:rPr>
                <w:rFonts w:ascii="SimSun" w:hAnsi="SimSun" w:eastAsia="SimSun" w:cs="SimSun"/>
              </w:rPr>
            </w:pPr>
            <w:r>
              <w:rPr>
                <w:rFonts w:ascii="SimSun" w:hAnsi="SimSun" w:eastAsia="SimSun" w:cs="SimSun"/>
                <w:spacing w:val="8"/>
              </w:rPr>
              <w:t>块品种煤。</w:t>
            </w:r>
            <w:r>
              <w:rPr>
                <w:spacing w:val="8"/>
              </w:rPr>
              <w:t>30-80</w:t>
            </w:r>
            <w:r>
              <w:rPr/>
              <w:t>mm</w:t>
            </w:r>
            <w:r>
              <w:rPr>
                <w:spacing w:val="8"/>
              </w:rPr>
              <w:t xml:space="preserve"> </w:t>
            </w:r>
            <w:r>
              <w:rPr>
                <w:rFonts w:ascii="SimSun" w:hAnsi="SimSun" w:eastAsia="SimSun" w:cs="SimSun"/>
                <w:spacing w:val="8"/>
              </w:rPr>
              <w:t>粒度级进入干选系统，</w:t>
            </w:r>
          </w:p>
          <w:p>
            <w:pPr>
              <w:ind w:left="73"/>
              <w:spacing w:before="25" w:line="227" w:lineRule="auto"/>
              <w:rPr>
                <w:rFonts w:ascii="SimSun" w:hAnsi="SimSun" w:eastAsia="SimSun" w:cs="SimSun"/>
                <w:sz w:val="20"/>
                <w:szCs w:val="20"/>
              </w:rPr>
            </w:pPr>
            <w:r>
              <w:rPr>
                <w:rFonts w:ascii="SimSun" w:hAnsi="SimSun" w:eastAsia="SimSun" w:cs="SimSun"/>
                <w:sz w:val="20"/>
                <w:szCs w:val="20"/>
                <w:spacing w:val="9"/>
              </w:rPr>
              <w:t>进入风选车间经复合式干法分选机分选生产</w:t>
            </w:r>
          </w:p>
          <w:p>
            <w:pPr>
              <w:pStyle w:val="TableText"/>
              <w:ind w:left="39"/>
              <w:spacing w:before="27" w:line="227" w:lineRule="auto"/>
              <w:rPr>
                <w:rFonts w:ascii="SimSun" w:hAnsi="SimSun" w:eastAsia="SimSun" w:cs="SimSun"/>
              </w:rPr>
            </w:pPr>
            <w:r>
              <w:rPr>
                <w:spacing w:val="8"/>
              </w:rPr>
              <w:t>30~80</w:t>
            </w:r>
            <w:r>
              <w:rPr/>
              <w:t>mm</w:t>
            </w:r>
            <w:r>
              <w:rPr>
                <w:spacing w:val="8"/>
              </w:rPr>
              <w:t xml:space="preserve"> </w:t>
            </w:r>
            <w:r>
              <w:rPr>
                <w:rFonts w:ascii="SimSun" w:hAnsi="SimSun" w:eastAsia="SimSun" w:cs="SimSun"/>
                <w:spacing w:val="8"/>
              </w:rPr>
              <w:t>风选精煤。复合式干法分选机由分</w:t>
            </w:r>
          </w:p>
          <w:p>
            <w:pPr>
              <w:ind w:left="74"/>
              <w:spacing w:before="26" w:line="227" w:lineRule="auto"/>
              <w:rPr>
                <w:rFonts w:ascii="SimSun" w:hAnsi="SimSun" w:eastAsia="SimSun" w:cs="SimSun"/>
                <w:sz w:val="20"/>
                <w:szCs w:val="20"/>
              </w:rPr>
            </w:pPr>
            <w:r>
              <w:rPr>
                <w:rFonts w:ascii="SimSun" w:hAnsi="SimSun" w:eastAsia="SimSun" w:cs="SimSun"/>
                <w:sz w:val="20"/>
                <w:szCs w:val="20"/>
                <w:spacing w:val="9"/>
              </w:rPr>
              <w:t>选床、振动器、风室、机架和吊挂装置、接</w:t>
            </w:r>
          </w:p>
          <w:p>
            <w:pPr>
              <w:ind w:left="1440"/>
              <w:spacing w:before="25" w:line="218" w:lineRule="auto"/>
              <w:rPr>
                <w:rFonts w:ascii="SimSun" w:hAnsi="SimSun" w:eastAsia="SimSun" w:cs="SimSun"/>
                <w:sz w:val="20"/>
                <w:szCs w:val="20"/>
              </w:rPr>
            </w:pPr>
            <w:r>
              <w:rPr>
                <w:rFonts w:ascii="SimSun" w:hAnsi="SimSun" w:eastAsia="SimSun" w:cs="SimSun"/>
                <w:sz w:val="20"/>
                <w:szCs w:val="20"/>
                <w:spacing w:val="6"/>
              </w:rPr>
              <w:t>料槽等组成。</w:t>
            </w:r>
          </w:p>
        </w:tc>
        <w:tc>
          <w:tcPr>
            <w:tcW w:w="3659" w:type="dxa"/>
            <w:vAlign w:val="top"/>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ind w:left="48"/>
              <w:spacing w:before="65" w:line="225" w:lineRule="auto"/>
              <w:rPr>
                <w:rFonts w:ascii="SimSun" w:hAnsi="SimSun" w:eastAsia="SimSun" w:cs="SimSun"/>
                <w:sz w:val="20"/>
                <w:szCs w:val="20"/>
              </w:rPr>
            </w:pPr>
            <w:r>
              <w:rPr>
                <w:rFonts w:ascii="SimSun" w:hAnsi="SimSun" w:eastAsia="SimSun" w:cs="SimSun"/>
                <w:sz w:val="20"/>
                <w:szCs w:val="20"/>
                <w:spacing w:val="9"/>
              </w:rPr>
              <w:t>增加末煤提质智能化改造工艺，其余工</w:t>
            </w:r>
          </w:p>
          <w:p>
            <w:pPr>
              <w:ind w:left="52"/>
              <w:spacing w:before="28" w:line="228" w:lineRule="auto"/>
              <w:rPr>
                <w:rFonts w:ascii="SimSun" w:hAnsi="SimSun" w:eastAsia="SimSun" w:cs="SimSun"/>
                <w:sz w:val="20"/>
                <w:szCs w:val="20"/>
              </w:rPr>
            </w:pPr>
            <w:r>
              <w:rPr>
                <w:rFonts w:ascii="SimSun" w:hAnsi="SimSun" w:eastAsia="SimSun" w:cs="SimSun"/>
                <w:sz w:val="20"/>
                <w:szCs w:val="20"/>
                <w:spacing w:val="9"/>
              </w:rPr>
              <w:t>艺保持不变（末煤提质智能化改造工程</w:t>
            </w:r>
          </w:p>
          <w:p>
            <w:pPr>
              <w:ind w:left="70"/>
              <w:spacing w:before="24" w:line="226" w:lineRule="auto"/>
              <w:rPr>
                <w:rFonts w:ascii="SimSun" w:hAnsi="SimSun" w:eastAsia="SimSun" w:cs="SimSun"/>
                <w:sz w:val="20"/>
                <w:szCs w:val="20"/>
              </w:rPr>
            </w:pPr>
            <w:r>
              <w:rPr>
                <w:rFonts w:ascii="SimSun" w:hAnsi="SimSun" w:eastAsia="SimSun" w:cs="SimSun"/>
                <w:sz w:val="20"/>
                <w:szCs w:val="20"/>
                <w:spacing w:val="8"/>
              </w:rPr>
              <w:t>已单独编制环评报表，不在本次评价范</w:t>
            </w:r>
          </w:p>
          <w:p>
            <w:pPr>
              <w:ind w:left="1537"/>
              <w:spacing w:before="26" w:line="228" w:lineRule="auto"/>
              <w:rPr>
                <w:rFonts w:ascii="SimSun" w:hAnsi="SimSun" w:eastAsia="SimSun" w:cs="SimSun"/>
                <w:sz w:val="20"/>
                <w:szCs w:val="20"/>
              </w:rPr>
            </w:pPr>
            <w:r>
              <w:rPr>
                <w:rFonts w:ascii="SimSun" w:hAnsi="SimSun" w:eastAsia="SimSun" w:cs="SimSun"/>
                <w:sz w:val="20"/>
                <w:szCs w:val="20"/>
                <w:spacing w:val="-4"/>
              </w:rPr>
              <w:t>围内）</w:t>
            </w:r>
          </w:p>
        </w:tc>
      </w:tr>
      <w:tr>
        <w:trPr>
          <w:trHeight w:val="820" w:hRule="atLeast"/>
        </w:trPr>
        <w:tc>
          <w:tcPr>
            <w:tcW w:w="573" w:type="dxa"/>
            <w:vAlign w:val="top"/>
            <w:vMerge w:val="continue"/>
            <w:tcBorders>
              <w:top w:val="nil"/>
              <w:bottom w:val="nil"/>
            </w:tcBorders>
          </w:tcPr>
          <w:p>
            <w:pPr>
              <w:rPr>
                <w:rFonts w:ascii="Arial"/>
                <w:sz w:val="21"/>
              </w:rPr>
            </w:pPr>
            <w:r/>
          </w:p>
        </w:tc>
        <w:tc>
          <w:tcPr>
            <w:tcW w:w="475" w:type="dxa"/>
            <w:vAlign w:val="top"/>
            <w:vMerge w:val="continue"/>
            <w:textDirection w:val="tbRlV"/>
            <w:tcBorders>
              <w:top w:val="nil"/>
              <w:bottom w:val="nil"/>
            </w:tcBorders>
          </w:tcPr>
          <w:p>
            <w:pPr>
              <w:rPr>
                <w:rFonts w:ascii="Arial"/>
                <w:sz w:val="21"/>
              </w:rPr>
            </w:pPr>
            <w:r/>
          </w:p>
        </w:tc>
        <w:tc>
          <w:tcPr>
            <w:tcW w:w="1380" w:type="dxa"/>
            <w:vAlign w:val="top"/>
          </w:tcPr>
          <w:p>
            <w:pPr>
              <w:ind w:left="274"/>
              <w:spacing w:before="305" w:line="228" w:lineRule="auto"/>
              <w:rPr>
                <w:rFonts w:ascii="SimSun" w:hAnsi="SimSun" w:eastAsia="SimSun" w:cs="SimSun"/>
                <w:sz w:val="20"/>
                <w:szCs w:val="20"/>
              </w:rPr>
            </w:pPr>
            <w:r>
              <w:rPr>
                <w:rFonts w:ascii="SimSun" w:hAnsi="SimSun" w:eastAsia="SimSun" w:cs="SimSun"/>
                <w:sz w:val="20"/>
                <w:szCs w:val="20"/>
                <w:spacing w:val="6"/>
              </w:rPr>
              <w:t>筛分车间</w:t>
            </w:r>
          </w:p>
        </w:tc>
        <w:tc>
          <w:tcPr>
            <w:tcW w:w="4119" w:type="dxa"/>
            <w:vAlign w:val="top"/>
          </w:tcPr>
          <w:p>
            <w:pPr>
              <w:ind w:left="596"/>
              <w:spacing w:before="31" w:line="228" w:lineRule="auto"/>
              <w:rPr>
                <w:rFonts w:ascii="SimSun" w:hAnsi="SimSun" w:eastAsia="SimSun" w:cs="SimSun"/>
                <w:sz w:val="20"/>
                <w:szCs w:val="20"/>
              </w:rPr>
            </w:pPr>
            <w:r>
              <w:rPr>
                <w:rFonts w:ascii="SimSun" w:hAnsi="SimSun" w:eastAsia="SimSun" w:cs="SimSun"/>
                <w:sz w:val="20"/>
                <w:szCs w:val="20"/>
                <w:spacing w:val="9"/>
              </w:rPr>
              <w:t>筛分车间为钢框架结构，平面为</w:t>
            </w:r>
          </w:p>
          <w:p>
            <w:pPr>
              <w:pStyle w:val="TableText"/>
              <w:ind w:right="13"/>
              <w:spacing w:before="26" w:line="227" w:lineRule="auto"/>
              <w:jc w:val="right"/>
              <w:rPr>
                <w:rFonts w:ascii="SimSun" w:hAnsi="SimSun" w:eastAsia="SimSun" w:cs="SimSun"/>
              </w:rPr>
            </w:pPr>
            <w:r>
              <w:rPr>
                <w:spacing w:val="2"/>
              </w:rPr>
              <w:t>74m×9.75m</w:t>
            </w:r>
            <w:r>
              <w:rPr>
                <w:spacing w:val="-21"/>
              </w:rPr>
              <w:t xml:space="preserve"> </w:t>
            </w:r>
            <w:r>
              <w:rPr>
                <w:rFonts w:ascii="SimSun" w:hAnsi="SimSun" w:eastAsia="SimSun" w:cs="SimSun"/>
                <w:spacing w:val="2"/>
              </w:rPr>
              <w:t>，高</w:t>
            </w:r>
            <w:r>
              <w:rPr>
                <w:rFonts w:ascii="SimSun" w:hAnsi="SimSun" w:eastAsia="SimSun" w:cs="SimSun"/>
                <w:spacing w:val="-34"/>
              </w:rPr>
              <w:t xml:space="preserve"> </w:t>
            </w:r>
            <w:r>
              <w:rPr>
                <w:spacing w:val="2"/>
              </w:rPr>
              <w:t>8.5m</w:t>
            </w:r>
            <w:r>
              <w:rPr>
                <w:spacing w:val="-27"/>
              </w:rPr>
              <w:t xml:space="preserve"> </w:t>
            </w:r>
            <w:r>
              <w:rPr>
                <w:rFonts w:ascii="SimSun" w:hAnsi="SimSun" w:eastAsia="SimSun" w:cs="SimSun"/>
                <w:spacing w:val="2"/>
              </w:rPr>
              <w:t>，布置有</w:t>
            </w:r>
            <w:r>
              <w:rPr>
                <w:rFonts w:ascii="SimSun" w:hAnsi="SimSun" w:eastAsia="SimSun" w:cs="SimSun"/>
                <w:spacing w:val="-38"/>
              </w:rPr>
              <w:t xml:space="preserve"> </w:t>
            </w:r>
            <w:r>
              <w:rPr>
                <w:spacing w:val="2"/>
              </w:rPr>
              <w:t>6</w:t>
            </w:r>
            <w:r>
              <w:rPr>
                <w:spacing w:val="28"/>
                <w:w w:val="101"/>
              </w:rPr>
              <w:t xml:space="preserve"> </w:t>
            </w:r>
            <w:r>
              <w:rPr>
                <w:rFonts w:ascii="SimSun" w:hAnsi="SimSun" w:eastAsia="SimSun" w:cs="SimSun"/>
                <w:spacing w:val="2"/>
              </w:rPr>
              <w:t>台固定筛，</w:t>
            </w:r>
          </w:p>
          <w:p>
            <w:pPr>
              <w:pStyle w:val="TableText"/>
              <w:ind w:left="802"/>
              <w:spacing w:before="25" w:line="215" w:lineRule="auto"/>
              <w:rPr>
                <w:rFonts w:ascii="SimSun" w:hAnsi="SimSun" w:eastAsia="SimSun" w:cs="SimSun"/>
              </w:rPr>
            </w:pPr>
            <w:r>
              <w:rPr>
                <w:rFonts w:ascii="SimSun" w:hAnsi="SimSun" w:eastAsia="SimSun" w:cs="SimSun"/>
                <w:spacing w:val="6"/>
              </w:rPr>
              <w:t>对应</w:t>
            </w:r>
            <w:r>
              <w:rPr>
                <w:rFonts w:ascii="SimSun" w:hAnsi="SimSun" w:eastAsia="SimSun" w:cs="SimSun"/>
                <w:spacing w:val="-28"/>
              </w:rPr>
              <w:t xml:space="preserve"> </w:t>
            </w:r>
            <w:r>
              <w:rPr>
                <w:spacing w:val="6"/>
              </w:rPr>
              <w:t>6 </w:t>
            </w:r>
            <w:r>
              <w:rPr>
                <w:rFonts w:ascii="SimSun" w:hAnsi="SimSun" w:eastAsia="SimSun" w:cs="SimSun"/>
                <w:spacing w:val="6"/>
              </w:rPr>
              <w:t>条来煤带式输送机。</w:t>
            </w:r>
          </w:p>
        </w:tc>
        <w:tc>
          <w:tcPr>
            <w:tcW w:w="4129" w:type="dxa"/>
            <w:vAlign w:val="top"/>
          </w:tcPr>
          <w:p>
            <w:pPr>
              <w:pStyle w:val="TableText"/>
              <w:spacing w:before="31" w:line="228" w:lineRule="auto"/>
              <w:jc w:val="right"/>
              <w:rPr>
                <w:rFonts w:ascii="SimSun" w:hAnsi="SimSun" w:eastAsia="SimSun" w:cs="SimSun"/>
              </w:rPr>
            </w:pPr>
            <w:r>
              <w:rPr>
                <w:rFonts w:ascii="SimSun" w:hAnsi="SimSun" w:eastAsia="SimSun" w:cs="SimSun"/>
                <w:spacing w:val="2"/>
              </w:rPr>
              <w:t>筛分车间为钢框架结构，平面为</w:t>
            </w:r>
            <w:r>
              <w:rPr>
                <w:rFonts w:ascii="SimSun" w:hAnsi="SimSun" w:eastAsia="SimSun" w:cs="SimSun"/>
                <w:spacing w:val="-33"/>
              </w:rPr>
              <w:t xml:space="preserve"> </w:t>
            </w:r>
            <w:r>
              <w:rPr>
                <w:spacing w:val="2"/>
              </w:rPr>
              <w:t>74m×9.75m</w:t>
            </w:r>
            <w:r>
              <w:rPr>
                <w:rFonts w:ascii="SimSun" w:hAnsi="SimSun" w:eastAsia="SimSun" w:cs="SimSun"/>
                <w:spacing w:val="2"/>
              </w:rPr>
              <w:t>，</w:t>
            </w:r>
          </w:p>
          <w:p>
            <w:pPr>
              <w:pStyle w:val="TableText"/>
              <w:ind w:left="52"/>
              <w:spacing w:before="26" w:line="227" w:lineRule="auto"/>
              <w:rPr>
                <w:rFonts w:ascii="SimSun" w:hAnsi="SimSun" w:eastAsia="SimSun" w:cs="SimSun"/>
              </w:rPr>
            </w:pPr>
            <w:r>
              <w:rPr>
                <w:rFonts w:ascii="SimSun" w:hAnsi="SimSun" w:eastAsia="SimSun" w:cs="SimSun"/>
                <w:spacing w:val="4"/>
              </w:rPr>
              <w:t>高</w:t>
            </w:r>
            <w:r>
              <w:rPr>
                <w:rFonts w:ascii="SimSun" w:hAnsi="SimSun" w:eastAsia="SimSun" w:cs="SimSun"/>
                <w:spacing w:val="-34"/>
              </w:rPr>
              <w:t xml:space="preserve"> </w:t>
            </w:r>
            <w:r>
              <w:rPr>
                <w:spacing w:val="4"/>
              </w:rPr>
              <w:t>8.5m</w:t>
            </w:r>
            <w:r>
              <w:rPr>
                <w:spacing w:val="-27"/>
              </w:rPr>
              <w:t xml:space="preserve"> </w:t>
            </w:r>
            <w:r>
              <w:rPr>
                <w:rFonts w:ascii="SimSun" w:hAnsi="SimSun" w:eastAsia="SimSun" w:cs="SimSun"/>
                <w:spacing w:val="4"/>
              </w:rPr>
              <w:t>，布置有</w:t>
            </w:r>
            <w:r>
              <w:rPr>
                <w:rFonts w:ascii="SimSun" w:hAnsi="SimSun" w:eastAsia="SimSun" w:cs="SimSun"/>
                <w:spacing w:val="-38"/>
              </w:rPr>
              <w:t xml:space="preserve"> </w:t>
            </w:r>
            <w:r>
              <w:rPr>
                <w:spacing w:val="4"/>
              </w:rPr>
              <w:t>6</w:t>
            </w:r>
            <w:r>
              <w:rPr>
                <w:spacing w:val="28"/>
                <w:w w:val="101"/>
              </w:rPr>
              <w:t xml:space="preserve"> </w:t>
            </w:r>
            <w:r>
              <w:rPr>
                <w:rFonts w:ascii="SimSun" w:hAnsi="SimSun" w:eastAsia="SimSun" w:cs="SimSun"/>
                <w:spacing w:val="4"/>
              </w:rPr>
              <w:t>台固定筛，对应</w:t>
            </w:r>
            <w:r>
              <w:rPr>
                <w:rFonts w:ascii="SimSun" w:hAnsi="SimSun" w:eastAsia="SimSun" w:cs="SimSun"/>
                <w:spacing w:val="-39"/>
              </w:rPr>
              <w:t xml:space="preserve"> </w:t>
            </w:r>
            <w:r>
              <w:rPr>
                <w:spacing w:val="4"/>
              </w:rPr>
              <w:t>6 </w:t>
            </w:r>
            <w:r>
              <w:rPr>
                <w:rFonts w:ascii="SimSun" w:hAnsi="SimSun" w:eastAsia="SimSun" w:cs="SimSun"/>
                <w:spacing w:val="3"/>
              </w:rPr>
              <w:t>条来煤</w:t>
            </w:r>
          </w:p>
          <w:p>
            <w:pPr>
              <w:ind w:left="1446"/>
              <w:spacing w:before="25" w:line="215" w:lineRule="auto"/>
              <w:rPr>
                <w:rFonts w:ascii="SimSun" w:hAnsi="SimSun" w:eastAsia="SimSun" w:cs="SimSun"/>
                <w:sz w:val="20"/>
                <w:szCs w:val="20"/>
              </w:rPr>
            </w:pPr>
            <w:r>
              <w:rPr>
                <w:rFonts w:ascii="SimSun" w:hAnsi="SimSun" w:eastAsia="SimSun" w:cs="SimSun"/>
                <w:sz w:val="20"/>
                <w:szCs w:val="20"/>
                <w:spacing w:val="5"/>
              </w:rPr>
              <w:t>带式输送机。</w:t>
            </w:r>
          </w:p>
        </w:tc>
        <w:tc>
          <w:tcPr>
            <w:tcW w:w="3659" w:type="dxa"/>
            <w:vAlign w:val="top"/>
          </w:tcPr>
          <w:p>
            <w:pPr>
              <w:ind w:left="1625"/>
              <w:spacing w:before="30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096" w:hRule="atLeast"/>
        </w:trPr>
        <w:tc>
          <w:tcPr>
            <w:tcW w:w="573" w:type="dxa"/>
            <w:vAlign w:val="top"/>
            <w:vMerge w:val="continue"/>
            <w:tcBorders>
              <w:top w:val="nil"/>
              <w:bottom w:val="nil"/>
            </w:tcBorders>
          </w:tcPr>
          <w:p>
            <w:pPr>
              <w:rPr>
                <w:rFonts w:ascii="Arial"/>
                <w:sz w:val="21"/>
              </w:rPr>
            </w:pPr>
            <w:r/>
          </w:p>
        </w:tc>
        <w:tc>
          <w:tcPr>
            <w:tcW w:w="475" w:type="dxa"/>
            <w:vAlign w:val="top"/>
            <w:vMerge w:val="continue"/>
            <w:textDirection w:val="tbRlV"/>
            <w:tcBorders>
              <w:top w:val="nil"/>
              <w:bottom w:val="nil"/>
            </w:tcBorders>
          </w:tcPr>
          <w:p>
            <w:pPr>
              <w:rPr>
                <w:rFonts w:ascii="Arial"/>
                <w:sz w:val="21"/>
              </w:rPr>
            </w:pPr>
            <w:r/>
          </w:p>
        </w:tc>
        <w:tc>
          <w:tcPr>
            <w:tcW w:w="1380" w:type="dxa"/>
            <w:vAlign w:val="top"/>
          </w:tcPr>
          <w:p>
            <w:pPr>
              <w:spacing w:line="375" w:lineRule="auto"/>
              <w:rPr>
                <w:rFonts w:ascii="Arial"/>
                <w:sz w:val="21"/>
              </w:rPr>
            </w:pPr>
            <w:r/>
          </w:p>
          <w:p>
            <w:pPr>
              <w:ind w:left="272"/>
              <w:spacing w:before="65" w:line="228" w:lineRule="auto"/>
              <w:rPr>
                <w:rFonts w:ascii="SimSun" w:hAnsi="SimSun" w:eastAsia="SimSun" w:cs="SimSun"/>
                <w:sz w:val="20"/>
                <w:szCs w:val="20"/>
              </w:rPr>
            </w:pPr>
            <w:r>
              <w:rPr>
                <w:rFonts w:ascii="SimSun" w:hAnsi="SimSun" w:eastAsia="SimSun" w:cs="SimSun"/>
                <w:sz w:val="20"/>
                <w:szCs w:val="20"/>
                <w:spacing w:val="7"/>
              </w:rPr>
              <w:t>拣矸车间</w:t>
            </w:r>
          </w:p>
        </w:tc>
        <w:tc>
          <w:tcPr>
            <w:tcW w:w="4119" w:type="dxa"/>
            <w:vAlign w:val="top"/>
          </w:tcPr>
          <w:p>
            <w:pPr>
              <w:pStyle w:val="TableText"/>
              <w:ind w:left="371"/>
              <w:spacing w:before="35" w:line="228" w:lineRule="auto"/>
              <w:rPr>
                <w:rFonts w:ascii="SimSun" w:hAnsi="SimSun" w:eastAsia="SimSun" w:cs="SimSun"/>
              </w:rPr>
            </w:pPr>
            <w:r>
              <w:rPr>
                <w:rFonts w:ascii="SimSun" w:hAnsi="SimSun" w:eastAsia="SimSun" w:cs="SimSun"/>
                <w:spacing w:val="5"/>
              </w:rPr>
              <w:t>位于工业场地外</w:t>
            </w:r>
            <w:r>
              <w:rPr>
                <w:rFonts w:ascii="SimSun" w:hAnsi="SimSun" w:eastAsia="SimSun" w:cs="SimSun"/>
                <w:spacing w:val="-35"/>
              </w:rPr>
              <w:t xml:space="preserve"> </w:t>
            </w:r>
            <w:r>
              <w:rPr/>
              <w:t>NE</w:t>
            </w:r>
            <w:r>
              <w:rPr>
                <w:spacing w:val="5"/>
              </w:rPr>
              <w:t>750m </w:t>
            </w:r>
            <w:r>
              <w:rPr>
                <w:rFonts w:ascii="SimSun" w:hAnsi="SimSun" w:eastAsia="SimSun" w:cs="SimSun"/>
                <w:spacing w:val="5"/>
              </w:rPr>
              <w:t>处，</w:t>
            </w:r>
            <w:r>
              <w:rPr>
                <w:rFonts w:ascii="SimSun" w:hAnsi="SimSun" w:eastAsia="SimSun" w:cs="SimSun"/>
                <w:spacing w:val="-48"/>
              </w:rPr>
              <w:t xml:space="preserve"> </w:t>
            </w:r>
            <w:r>
              <w:rPr>
                <w:rFonts w:ascii="SimSun" w:hAnsi="SimSun" w:eastAsia="SimSun" w:cs="SimSun"/>
                <w:spacing w:val="5"/>
              </w:rPr>
              <w:t>占地约</w:t>
            </w:r>
          </w:p>
          <w:p>
            <w:pPr>
              <w:pStyle w:val="TableText"/>
              <w:ind w:left="228"/>
              <w:spacing w:before="21" w:line="228" w:lineRule="auto"/>
              <w:rPr>
                <w:rFonts w:ascii="SimSun" w:hAnsi="SimSun" w:eastAsia="SimSun" w:cs="SimSun"/>
              </w:rPr>
            </w:pPr>
            <w:r>
              <w:rPr>
                <w:spacing w:val="4"/>
              </w:rPr>
              <w:t>0.40</w:t>
            </w:r>
            <w:r>
              <w:rPr/>
              <w:t>hm</w:t>
            </w:r>
            <w:r>
              <w:rPr>
                <w:sz w:val="13"/>
                <w:szCs w:val="13"/>
                <w:spacing w:val="4"/>
                <w:position w:val="6"/>
              </w:rPr>
              <w:t>2</w:t>
            </w:r>
            <w:r>
              <w:rPr>
                <w:sz w:val="13"/>
                <w:szCs w:val="13"/>
                <w:spacing w:val="5"/>
                <w:position w:val="6"/>
              </w:rPr>
              <w:t xml:space="preserve"> </w:t>
            </w:r>
            <w:r>
              <w:rPr>
                <w:rFonts w:ascii="SimSun" w:hAnsi="SimSun" w:eastAsia="SimSun" w:cs="SimSun"/>
                <w:spacing w:val="4"/>
              </w:rPr>
              <w:t>，平面为</w:t>
            </w:r>
            <w:r>
              <w:rPr>
                <w:rFonts w:ascii="SimSun" w:hAnsi="SimSun" w:eastAsia="SimSun" w:cs="SimSun"/>
                <w:spacing w:val="-37"/>
              </w:rPr>
              <w:t xml:space="preserve"> </w:t>
            </w:r>
            <w:r>
              <w:rPr>
                <w:spacing w:val="4"/>
              </w:rPr>
              <w:t>74m×42.2m</w:t>
            </w:r>
            <w:r>
              <w:rPr>
                <w:spacing w:val="-29"/>
              </w:rPr>
              <w:t xml:space="preserve"> </w:t>
            </w:r>
            <w:r>
              <w:rPr>
                <w:rFonts w:ascii="SimSun" w:hAnsi="SimSun" w:eastAsia="SimSun" w:cs="SimSun"/>
                <w:spacing w:val="4"/>
              </w:rPr>
              <w:t>，第一跨高</w:t>
            </w:r>
          </w:p>
          <w:p>
            <w:pPr>
              <w:pStyle w:val="TableText"/>
              <w:ind w:left="159"/>
              <w:spacing w:before="29" w:line="227" w:lineRule="auto"/>
              <w:rPr>
                <w:rFonts w:ascii="SimSun" w:hAnsi="SimSun" w:eastAsia="SimSun" w:cs="SimSun"/>
              </w:rPr>
            </w:pPr>
            <w:r>
              <w:rPr>
                <w:spacing w:val="3"/>
              </w:rPr>
              <w:t>10.3m</w:t>
            </w:r>
            <w:r>
              <w:rPr>
                <w:spacing w:val="-26"/>
              </w:rPr>
              <w:t xml:space="preserve"> </w:t>
            </w:r>
            <w:r>
              <w:rPr>
                <w:rFonts w:ascii="SimSun" w:hAnsi="SimSun" w:eastAsia="SimSun" w:cs="SimSun"/>
                <w:spacing w:val="3"/>
              </w:rPr>
              <w:t>，里面共布置有</w:t>
            </w:r>
            <w:r>
              <w:rPr>
                <w:rFonts w:ascii="SimSun" w:hAnsi="SimSun" w:eastAsia="SimSun" w:cs="SimSun"/>
                <w:spacing w:val="-20"/>
              </w:rPr>
              <w:t xml:space="preserve"> </w:t>
            </w:r>
            <w:r>
              <w:rPr>
                <w:spacing w:val="3"/>
              </w:rPr>
              <w:t>16</w:t>
            </w:r>
            <w:r>
              <w:rPr>
                <w:spacing w:val="26"/>
              </w:rPr>
              <w:t xml:space="preserve"> </w:t>
            </w:r>
            <w:r>
              <w:rPr>
                <w:rFonts w:ascii="SimSun" w:hAnsi="SimSun" w:eastAsia="SimSun" w:cs="SimSun"/>
                <w:spacing w:val="3"/>
              </w:rPr>
              <w:t>台给煤机、</w:t>
            </w:r>
            <w:r>
              <w:rPr>
                <w:spacing w:val="3"/>
              </w:rPr>
              <w:t>38</w:t>
            </w:r>
            <w:r>
              <w:rPr>
                <w:spacing w:val="26"/>
              </w:rPr>
              <w:t xml:space="preserve"> </w:t>
            </w:r>
            <w:r>
              <w:rPr>
                <w:rFonts w:ascii="SimSun" w:hAnsi="SimSun" w:eastAsia="SimSun" w:cs="SimSun"/>
                <w:spacing w:val="3"/>
              </w:rPr>
              <w:t>台</w:t>
            </w:r>
          </w:p>
          <w:p>
            <w:pPr>
              <w:ind w:left="1225"/>
              <w:spacing w:before="25" w:line="217" w:lineRule="auto"/>
              <w:rPr>
                <w:rFonts w:ascii="SimSun" w:hAnsi="SimSun" w:eastAsia="SimSun" w:cs="SimSun"/>
                <w:sz w:val="20"/>
                <w:szCs w:val="20"/>
              </w:rPr>
            </w:pPr>
            <w:r>
              <w:rPr>
                <w:rFonts w:ascii="SimSun" w:hAnsi="SimSun" w:eastAsia="SimSun" w:cs="SimSun"/>
                <w:sz w:val="20"/>
                <w:szCs w:val="20"/>
                <w:spacing w:val="7"/>
              </w:rPr>
              <w:t>各式带式输送机。</w:t>
            </w:r>
          </w:p>
        </w:tc>
        <w:tc>
          <w:tcPr>
            <w:tcW w:w="4129" w:type="dxa"/>
            <w:vAlign w:val="top"/>
          </w:tcPr>
          <w:p>
            <w:pPr>
              <w:pStyle w:val="TableText"/>
              <w:ind w:left="31"/>
              <w:spacing w:before="169" w:line="251" w:lineRule="auto"/>
              <w:jc w:val="both"/>
              <w:rPr>
                <w:rFonts w:ascii="SimSun" w:hAnsi="SimSun" w:eastAsia="SimSun" w:cs="SimSun"/>
              </w:rPr>
            </w:pPr>
            <w:r>
              <w:rPr>
                <w:rFonts w:ascii="SimSun" w:hAnsi="SimSun" w:eastAsia="SimSun" w:cs="SimSun"/>
                <w:spacing w:val="4"/>
              </w:rPr>
              <w:t>位于工业场地外</w:t>
            </w:r>
            <w:r>
              <w:rPr/>
              <w:t>NE</w:t>
            </w:r>
            <w:r>
              <w:rPr>
                <w:spacing w:val="4"/>
              </w:rPr>
              <w:t>750m</w:t>
            </w:r>
            <w:r>
              <w:rPr>
                <w:rFonts w:ascii="SimSun" w:hAnsi="SimSun" w:eastAsia="SimSun" w:cs="SimSun"/>
                <w:spacing w:val="4"/>
              </w:rPr>
              <w:t>处，占地约</w:t>
            </w:r>
            <w:r>
              <w:rPr>
                <w:spacing w:val="4"/>
              </w:rPr>
              <w:t>0.40</w:t>
            </w:r>
            <w:r>
              <w:rPr/>
              <w:t>hm</w:t>
            </w:r>
            <w:r>
              <w:rPr>
                <w:sz w:val="13"/>
                <w:szCs w:val="13"/>
                <w:spacing w:val="4"/>
                <w:position w:val="6"/>
              </w:rPr>
              <w:t>2</w:t>
            </w:r>
            <w:r>
              <w:rPr>
                <w:rFonts w:ascii="SimSun" w:hAnsi="SimSun" w:eastAsia="SimSun" w:cs="SimSun"/>
                <w:spacing w:val="4"/>
              </w:rPr>
              <w:t>，</w:t>
            </w:r>
            <w:r>
              <w:rPr>
                <w:rFonts w:ascii="SimSun" w:hAnsi="SimSun" w:eastAsia="SimSun" w:cs="SimSun"/>
              </w:rPr>
              <w:t>平面为</w:t>
            </w:r>
            <w:r>
              <w:rPr>
                <w:rFonts w:ascii="SimSun" w:hAnsi="SimSun" w:eastAsia="SimSun" w:cs="SimSun"/>
                <w:spacing w:val="-21"/>
              </w:rPr>
              <w:t xml:space="preserve"> </w:t>
            </w:r>
            <w:r>
              <w:rPr/>
              <w:t>74m×42.2m</w:t>
            </w:r>
            <w:r>
              <w:rPr>
                <w:rFonts w:ascii="SimSun" w:hAnsi="SimSun" w:eastAsia="SimSun" w:cs="SimSun"/>
              </w:rPr>
              <w:t>，第一跨高</w:t>
            </w:r>
            <w:r>
              <w:rPr>
                <w:rFonts w:ascii="SimSun" w:hAnsi="SimSun" w:eastAsia="SimSun" w:cs="SimSun"/>
                <w:spacing w:val="-21"/>
              </w:rPr>
              <w:t xml:space="preserve"> </w:t>
            </w:r>
            <w:r>
              <w:rPr/>
              <w:t>10.3m</w:t>
            </w:r>
            <w:r>
              <w:rPr>
                <w:rFonts w:ascii="SimSun" w:hAnsi="SimSun" w:eastAsia="SimSun" w:cs="SimSun"/>
              </w:rPr>
              <w:t>，里面共</w:t>
            </w:r>
            <w:r>
              <w:rPr>
                <w:rFonts w:ascii="SimSun" w:hAnsi="SimSun" w:eastAsia="SimSun" w:cs="SimSun"/>
                <w:spacing w:val="2"/>
              </w:rPr>
              <w:t>布置有</w:t>
            </w:r>
            <w:r>
              <w:rPr>
                <w:rFonts w:ascii="SimSun" w:hAnsi="SimSun" w:eastAsia="SimSun" w:cs="SimSun"/>
                <w:spacing w:val="-13"/>
              </w:rPr>
              <w:t xml:space="preserve"> </w:t>
            </w:r>
            <w:r>
              <w:rPr>
                <w:spacing w:val="2"/>
              </w:rPr>
              <w:t>16</w:t>
            </w:r>
            <w:r>
              <w:rPr>
                <w:spacing w:val="25"/>
              </w:rPr>
              <w:t xml:space="preserve"> </w:t>
            </w:r>
            <w:r>
              <w:rPr>
                <w:rFonts w:ascii="SimSun" w:hAnsi="SimSun" w:eastAsia="SimSun" w:cs="SimSun"/>
                <w:spacing w:val="2"/>
              </w:rPr>
              <w:t>台给煤机、</w:t>
            </w:r>
            <w:r>
              <w:rPr>
                <w:spacing w:val="2"/>
              </w:rPr>
              <w:t>38</w:t>
            </w:r>
            <w:r>
              <w:rPr>
                <w:spacing w:val="23"/>
                <w:w w:val="101"/>
              </w:rPr>
              <w:t xml:space="preserve"> </w:t>
            </w:r>
            <w:r>
              <w:rPr>
                <w:rFonts w:ascii="SimSun" w:hAnsi="SimSun" w:eastAsia="SimSun" w:cs="SimSun"/>
                <w:spacing w:val="2"/>
              </w:rPr>
              <w:t>台各式带式输送机。</w:t>
            </w:r>
          </w:p>
        </w:tc>
        <w:tc>
          <w:tcPr>
            <w:tcW w:w="3659" w:type="dxa"/>
            <w:vAlign w:val="top"/>
          </w:tcPr>
          <w:p>
            <w:pPr>
              <w:spacing w:line="376"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365" w:hRule="atLeast"/>
        </w:trPr>
        <w:tc>
          <w:tcPr>
            <w:tcW w:w="573" w:type="dxa"/>
            <w:vAlign w:val="top"/>
            <w:vMerge w:val="continue"/>
            <w:tcBorders>
              <w:top w:val="nil"/>
              <w:bottom w:val="nil"/>
            </w:tcBorders>
          </w:tcPr>
          <w:p>
            <w:pPr>
              <w:rPr>
                <w:rFonts w:ascii="Arial"/>
                <w:sz w:val="21"/>
              </w:rPr>
            </w:pPr>
            <w:r/>
          </w:p>
        </w:tc>
        <w:tc>
          <w:tcPr>
            <w:tcW w:w="475" w:type="dxa"/>
            <w:vAlign w:val="top"/>
            <w:vMerge w:val="continue"/>
            <w:textDirection w:val="tbRlV"/>
            <w:tcBorders>
              <w:top w:val="nil"/>
              <w:bottom w:val="nil"/>
            </w:tcBorders>
          </w:tcPr>
          <w:p>
            <w:pPr>
              <w:rPr>
                <w:rFonts w:ascii="Arial"/>
                <w:sz w:val="21"/>
              </w:rPr>
            </w:pPr>
            <w:r/>
          </w:p>
        </w:tc>
        <w:tc>
          <w:tcPr>
            <w:tcW w:w="1380" w:type="dxa"/>
            <w:vAlign w:val="top"/>
          </w:tcPr>
          <w:p>
            <w:pPr>
              <w:spacing w:line="253" w:lineRule="auto"/>
              <w:rPr>
                <w:rFonts w:ascii="Arial"/>
                <w:sz w:val="21"/>
              </w:rPr>
            </w:pPr>
            <w:r/>
          </w:p>
          <w:p>
            <w:pPr>
              <w:spacing w:line="254" w:lineRule="auto"/>
              <w:rPr>
                <w:rFonts w:ascii="Arial"/>
                <w:sz w:val="21"/>
              </w:rPr>
            </w:pPr>
            <w:r/>
          </w:p>
          <w:p>
            <w:pPr>
              <w:ind w:left="273"/>
              <w:spacing w:before="65" w:line="228" w:lineRule="auto"/>
              <w:rPr>
                <w:rFonts w:ascii="SimSun" w:hAnsi="SimSun" w:eastAsia="SimSun" w:cs="SimSun"/>
                <w:sz w:val="20"/>
                <w:szCs w:val="20"/>
              </w:rPr>
            </w:pPr>
            <w:r>
              <w:rPr>
                <w:rFonts w:ascii="SimSun" w:hAnsi="SimSun" w:eastAsia="SimSun" w:cs="SimSun"/>
                <w:sz w:val="20"/>
                <w:szCs w:val="20"/>
                <w:spacing w:val="7"/>
              </w:rPr>
              <w:t>风选车间</w:t>
            </w:r>
          </w:p>
        </w:tc>
        <w:tc>
          <w:tcPr>
            <w:tcW w:w="4119" w:type="dxa"/>
            <w:vAlign w:val="top"/>
          </w:tcPr>
          <w:p>
            <w:pPr>
              <w:pStyle w:val="TableText"/>
              <w:ind w:left="301"/>
              <w:spacing w:before="30" w:line="228" w:lineRule="auto"/>
              <w:rPr>
                <w:rFonts w:ascii="SimSun" w:hAnsi="SimSun" w:eastAsia="SimSun" w:cs="SimSun"/>
              </w:rPr>
            </w:pPr>
            <w:r>
              <w:rPr>
                <w:rFonts w:ascii="SimSun" w:hAnsi="SimSun" w:eastAsia="SimSun" w:cs="SimSun"/>
                <w:spacing w:val="6"/>
              </w:rPr>
              <w:t>位于原煤仓东北侧</w:t>
            </w:r>
            <w:r>
              <w:rPr>
                <w:rFonts w:ascii="SimSun" w:hAnsi="SimSun" w:eastAsia="SimSun" w:cs="SimSun"/>
                <w:spacing w:val="-6"/>
              </w:rPr>
              <w:t xml:space="preserve"> </w:t>
            </w:r>
            <w:r>
              <w:rPr>
                <w:spacing w:val="6"/>
              </w:rPr>
              <w:t>150m </w:t>
            </w:r>
            <w:r>
              <w:rPr>
                <w:rFonts w:ascii="SimSun" w:hAnsi="SimSun" w:eastAsia="SimSun" w:cs="SimSun"/>
                <w:spacing w:val="6"/>
              </w:rPr>
              <w:t>处，平面占地</w:t>
            </w:r>
          </w:p>
          <w:p>
            <w:pPr>
              <w:pStyle w:val="TableText"/>
              <w:ind w:left="113"/>
              <w:spacing w:before="26" w:line="227" w:lineRule="auto"/>
              <w:rPr>
                <w:rFonts w:ascii="SimSun" w:hAnsi="SimSun" w:eastAsia="SimSun" w:cs="SimSun"/>
              </w:rPr>
            </w:pPr>
            <w:r>
              <w:rPr>
                <w:spacing w:val="5"/>
              </w:rPr>
              <w:t>52m×23m</w:t>
            </w:r>
            <w:r>
              <w:rPr>
                <w:spacing w:val="-23"/>
              </w:rPr>
              <w:t xml:space="preserve"> </w:t>
            </w:r>
            <w:r>
              <w:rPr>
                <w:rFonts w:ascii="SimSun" w:hAnsi="SimSun" w:eastAsia="SimSun" w:cs="SimSun"/>
                <w:spacing w:val="5"/>
              </w:rPr>
              <w:t>，风选车间设</w:t>
            </w:r>
            <w:r>
              <w:rPr>
                <w:rFonts w:ascii="SimSun" w:hAnsi="SimSun" w:eastAsia="SimSun" w:cs="SimSun"/>
                <w:spacing w:val="-44"/>
              </w:rPr>
              <w:t xml:space="preserve"> </w:t>
            </w:r>
            <w:r>
              <w:rPr/>
              <w:t>FGX</w:t>
            </w:r>
            <w:r>
              <w:rPr>
                <w:spacing w:val="5"/>
              </w:rPr>
              <w:t>-24A</w:t>
            </w:r>
            <w:r>
              <w:rPr>
                <w:spacing w:val="18"/>
                <w:w w:val="101"/>
              </w:rPr>
              <w:t xml:space="preserve"> </w:t>
            </w:r>
            <w:r>
              <w:rPr>
                <w:rFonts w:ascii="SimSun" w:hAnsi="SimSun" w:eastAsia="SimSun" w:cs="SimSun"/>
                <w:spacing w:val="5"/>
              </w:rPr>
              <w:t>型复合式</w:t>
            </w:r>
          </w:p>
          <w:p>
            <w:pPr>
              <w:pStyle w:val="TableText"/>
              <w:ind w:left="111"/>
              <w:spacing w:before="25" w:line="227" w:lineRule="auto"/>
              <w:rPr>
                <w:rFonts w:ascii="SimSun" w:hAnsi="SimSun" w:eastAsia="SimSun" w:cs="SimSun"/>
              </w:rPr>
            </w:pPr>
            <w:r>
              <w:rPr>
                <w:rFonts w:ascii="SimSun" w:hAnsi="SimSun" w:eastAsia="SimSun" w:cs="SimSun"/>
                <w:spacing w:val="10"/>
              </w:rPr>
              <w:t>干选选煤机分选</w:t>
            </w:r>
            <w:r>
              <w:rPr>
                <w:rFonts w:ascii="SimSun" w:hAnsi="SimSun" w:eastAsia="SimSun" w:cs="SimSun"/>
                <w:spacing w:val="-23"/>
              </w:rPr>
              <w:t xml:space="preserve"> </w:t>
            </w:r>
            <w:r>
              <w:rPr>
                <w:spacing w:val="10"/>
              </w:rPr>
              <w:t>80</w:t>
            </w:r>
            <w:r>
              <w:rPr>
                <w:rFonts w:ascii="SimSun" w:hAnsi="SimSun" w:eastAsia="SimSun" w:cs="SimSun"/>
                <w:spacing w:val="10"/>
              </w:rPr>
              <w:t>～</w:t>
            </w:r>
            <w:r>
              <w:rPr>
                <w:spacing w:val="10"/>
              </w:rPr>
              <w:t>30</w:t>
            </w:r>
            <w:r>
              <w:rPr/>
              <w:t>mm</w:t>
            </w:r>
            <w:r>
              <w:rPr>
                <w:rFonts w:ascii="SimSun" w:hAnsi="SimSun" w:eastAsia="SimSun" w:cs="SimSun"/>
                <w:spacing w:val="10"/>
              </w:rPr>
              <w:t>粒度级小块煤，</w:t>
            </w:r>
          </w:p>
          <w:p>
            <w:pPr>
              <w:ind w:left="111"/>
              <w:spacing w:before="25" w:line="225" w:lineRule="auto"/>
              <w:rPr>
                <w:rFonts w:ascii="SimSun" w:hAnsi="SimSun" w:eastAsia="SimSun" w:cs="SimSun"/>
                <w:sz w:val="20"/>
                <w:szCs w:val="20"/>
              </w:rPr>
            </w:pPr>
            <w:r>
              <w:rPr>
                <w:rFonts w:ascii="SimSun" w:hAnsi="SimSun" w:eastAsia="SimSun" w:cs="SimSun"/>
                <w:sz w:val="20"/>
                <w:szCs w:val="20"/>
                <w:spacing w:val="4"/>
              </w:rPr>
              <w:t>排除其中的矸石后，干选精煤最后运至小块</w:t>
            </w:r>
          </w:p>
          <w:p>
            <w:pPr>
              <w:pStyle w:val="TableText"/>
              <w:ind w:left="1159"/>
              <w:spacing w:before="32" w:line="214" w:lineRule="auto"/>
              <w:rPr/>
            </w:pPr>
            <w:r>
              <w:rPr>
                <w:rFonts w:ascii="SimSun" w:hAnsi="SimSun" w:eastAsia="SimSun" w:cs="SimSun"/>
                <w:spacing w:val="7"/>
              </w:rPr>
              <w:t>煤储煤仓（</w:t>
            </w:r>
            <w:r>
              <w:rPr>
                <w:spacing w:val="7"/>
              </w:rPr>
              <w:t>2×Ф18m</w:t>
            </w:r>
          </w:p>
        </w:tc>
        <w:tc>
          <w:tcPr>
            <w:tcW w:w="4129" w:type="dxa"/>
            <w:vAlign w:val="top"/>
          </w:tcPr>
          <w:p>
            <w:pPr>
              <w:pStyle w:val="TableText"/>
              <w:ind w:left="308"/>
              <w:spacing w:before="30" w:line="228" w:lineRule="auto"/>
              <w:rPr>
                <w:rFonts w:ascii="SimSun" w:hAnsi="SimSun" w:eastAsia="SimSun" w:cs="SimSun"/>
              </w:rPr>
            </w:pPr>
            <w:r>
              <w:rPr>
                <w:rFonts w:ascii="SimSun" w:hAnsi="SimSun" w:eastAsia="SimSun" w:cs="SimSun"/>
                <w:spacing w:val="6"/>
              </w:rPr>
              <w:t>位于原煤仓东北侧</w:t>
            </w:r>
            <w:r>
              <w:rPr>
                <w:rFonts w:ascii="SimSun" w:hAnsi="SimSun" w:eastAsia="SimSun" w:cs="SimSun"/>
                <w:spacing w:val="-8"/>
              </w:rPr>
              <w:t xml:space="preserve"> </w:t>
            </w:r>
            <w:r>
              <w:rPr>
                <w:spacing w:val="6"/>
              </w:rPr>
              <w:t>150m </w:t>
            </w:r>
            <w:r>
              <w:rPr>
                <w:rFonts w:ascii="SimSun" w:hAnsi="SimSun" w:eastAsia="SimSun" w:cs="SimSun"/>
                <w:spacing w:val="6"/>
              </w:rPr>
              <w:t>处，平面占地</w:t>
            </w:r>
          </w:p>
          <w:p>
            <w:pPr>
              <w:pStyle w:val="TableText"/>
              <w:ind w:left="34"/>
              <w:spacing w:before="26" w:line="227" w:lineRule="auto"/>
              <w:rPr>
                <w:rFonts w:ascii="SimSun" w:hAnsi="SimSun" w:eastAsia="SimSun" w:cs="SimSun"/>
              </w:rPr>
            </w:pPr>
            <w:r>
              <w:rPr>
                <w:spacing w:val="4"/>
              </w:rPr>
              <w:t>52m×23m</w:t>
            </w:r>
            <w:r>
              <w:rPr>
                <w:rFonts w:ascii="SimSun" w:hAnsi="SimSun" w:eastAsia="SimSun" w:cs="SimSun"/>
                <w:spacing w:val="4"/>
              </w:rPr>
              <w:t>，风选车间设</w:t>
            </w:r>
            <w:r>
              <w:rPr>
                <w:rFonts w:ascii="SimSun" w:hAnsi="SimSun" w:eastAsia="SimSun" w:cs="SimSun"/>
                <w:spacing w:val="-27"/>
              </w:rPr>
              <w:t xml:space="preserve"> </w:t>
            </w:r>
            <w:r>
              <w:rPr/>
              <w:t>FGX</w:t>
            </w:r>
            <w:r>
              <w:rPr>
                <w:spacing w:val="4"/>
              </w:rPr>
              <w:t>-24A</w:t>
            </w:r>
            <w:r>
              <w:rPr>
                <w:spacing w:val="15"/>
                <w:w w:val="101"/>
              </w:rPr>
              <w:t xml:space="preserve"> </w:t>
            </w:r>
            <w:r>
              <w:rPr>
                <w:rFonts w:ascii="SimSun" w:hAnsi="SimSun" w:eastAsia="SimSun" w:cs="SimSun"/>
                <w:spacing w:val="4"/>
              </w:rPr>
              <w:t>型复合式干</w:t>
            </w:r>
          </w:p>
          <w:p>
            <w:pPr>
              <w:pStyle w:val="TableText"/>
              <w:ind w:left="67"/>
              <w:spacing w:before="25" w:line="227" w:lineRule="auto"/>
              <w:rPr>
                <w:rFonts w:ascii="SimSun" w:hAnsi="SimSun" w:eastAsia="SimSun" w:cs="SimSun"/>
              </w:rPr>
            </w:pPr>
            <w:r>
              <w:rPr>
                <w:rFonts w:ascii="SimSun" w:hAnsi="SimSun" w:eastAsia="SimSun" w:cs="SimSun"/>
                <w:spacing w:val="11"/>
              </w:rPr>
              <w:t>选选煤机分选</w:t>
            </w:r>
            <w:r>
              <w:rPr>
                <w:rFonts w:ascii="SimSun" w:hAnsi="SimSun" w:eastAsia="SimSun" w:cs="SimSun"/>
                <w:spacing w:val="-28"/>
              </w:rPr>
              <w:t xml:space="preserve"> </w:t>
            </w:r>
            <w:r>
              <w:rPr>
                <w:spacing w:val="11"/>
              </w:rPr>
              <w:t>80</w:t>
            </w:r>
            <w:r>
              <w:rPr>
                <w:rFonts w:ascii="SimSun" w:hAnsi="SimSun" w:eastAsia="SimSun" w:cs="SimSun"/>
                <w:spacing w:val="11"/>
              </w:rPr>
              <w:t>～</w:t>
            </w:r>
            <w:r>
              <w:rPr>
                <w:spacing w:val="11"/>
              </w:rPr>
              <w:t>30</w:t>
            </w:r>
            <w:r>
              <w:rPr/>
              <w:t>mm</w:t>
            </w:r>
            <w:r>
              <w:rPr>
                <w:rFonts w:ascii="SimSun" w:hAnsi="SimSun" w:eastAsia="SimSun" w:cs="SimSun"/>
                <w:spacing w:val="11"/>
              </w:rPr>
              <w:t>粒度级小块煤，排</w:t>
            </w:r>
          </w:p>
          <w:p>
            <w:pPr>
              <w:ind w:left="87"/>
              <w:spacing w:before="25" w:line="225" w:lineRule="auto"/>
              <w:rPr>
                <w:rFonts w:ascii="SimSun" w:hAnsi="SimSun" w:eastAsia="SimSun" w:cs="SimSun"/>
                <w:sz w:val="20"/>
                <w:szCs w:val="20"/>
              </w:rPr>
            </w:pPr>
            <w:r>
              <w:rPr>
                <w:rFonts w:ascii="SimSun" w:hAnsi="SimSun" w:eastAsia="SimSun" w:cs="SimSun"/>
                <w:sz w:val="20"/>
                <w:szCs w:val="20"/>
                <w:spacing w:val="8"/>
              </w:rPr>
              <w:t>除其中的矸石后，干选精煤最后运至小块煤</w:t>
            </w:r>
          </w:p>
          <w:p>
            <w:pPr>
              <w:pStyle w:val="TableText"/>
              <w:ind w:left="1267"/>
              <w:spacing w:before="32" w:line="214" w:lineRule="auto"/>
              <w:rPr/>
            </w:pPr>
            <w:r>
              <w:rPr>
                <w:rFonts w:ascii="SimSun" w:hAnsi="SimSun" w:eastAsia="SimSun" w:cs="SimSun"/>
                <w:spacing w:val="7"/>
              </w:rPr>
              <w:t>储煤仓（</w:t>
            </w:r>
            <w:r>
              <w:rPr>
                <w:spacing w:val="7"/>
              </w:rPr>
              <w:t>2×Ф18m</w:t>
            </w:r>
          </w:p>
        </w:tc>
        <w:tc>
          <w:tcPr>
            <w:tcW w:w="3659" w:type="dxa"/>
            <w:vAlign w:val="top"/>
          </w:tcPr>
          <w:p>
            <w:pPr>
              <w:spacing w:line="253" w:lineRule="auto"/>
              <w:rPr>
                <w:rFonts w:ascii="Arial"/>
                <w:sz w:val="21"/>
              </w:rPr>
            </w:pPr>
            <w:r/>
          </w:p>
          <w:p>
            <w:pPr>
              <w:spacing w:line="254"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700" w:hRule="atLeast"/>
        </w:trPr>
        <w:tc>
          <w:tcPr>
            <w:tcW w:w="573" w:type="dxa"/>
            <w:vAlign w:val="top"/>
            <w:vMerge w:val="continue"/>
            <w:tcBorders>
              <w:top w:val="nil"/>
            </w:tcBorders>
          </w:tcPr>
          <w:p>
            <w:pPr>
              <w:rPr>
                <w:rFonts w:ascii="Arial"/>
                <w:sz w:val="21"/>
              </w:rPr>
            </w:pPr>
            <w:r/>
          </w:p>
        </w:tc>
        <w:tc>
          <w:tcPr>
            <w:tcW w:w="475" w:type="dxa"/>
            <w:vAlign w:val="top"/>
            <w:vMerge w:val="continue"/>
            <w:textDirection w:val="tbRlV"/>
            <w:tcBorders>
              <w:top w:val="nil"/>
            </w:tcBorders>
          </w:tcPr>
          <w:p>
            <w:pPr>
              <w:rPr>
                <w:rFonts w:ascii="Arial"/>
                <w:sz w:val="21"/>
              </w:rPr>
            </w:pPr>
            <w:r/>
          </w:p>
        </w:tc>
        <w:tc>
          <w:tcPr>
            <w:tcW w:w="1380" w:type="dxa"/>
            <w:vAlign w:val="top"/>
          </w:tcPr>
          <w:p>
            <w:pPr>
              <w:ind w:left="61"/>
              <w:spacing w:before="124" w:line="227" w:lineRule="auto"/>
              <w:rPr>
                <w:rFonts w:ascii="SimSun" w:hAnsi="SimSun" w:eastAsia="SimSun" w:cs="SimSun"/>
                <w:sz w:val="20"/>
                <w:szCs w:val="20"/>
              </w:rPr>
            </w:pPr>
            <w:r>
              <w:rPr>
                <w:rFonts w:ascii="SimSun" w:hAnsi="SimSun" w:eastAsia="SimSun" w:cs="SimSun"/>
                <w:sz w:val="20"/>
                <w:szCs w:val="20"/>
                <w:spacing w:val="8"/>
              </w:rPr>
              <w:t>末煤干选车间</w:t>
            </w:r>
          </w:p>
          <w:p>
            <w:pPr>
              <w:pStyle w:val="TableText"/>
              <w:ind w:left="646"/>
              <w:spacing w:before="43" w:line="196" w:lineRule="auto"/>
              <w:rPr/>
            </w:pPr>
            <w:r>
              <w:rPr/>
              <w:t>*</w:t>
            </w:r>
          </w:p>
        </w:tc>
        <w:tc>
          <w:tcPr>
            <w:tcW w:w="4119" w:type="dxa"/>
            <w:vAlign w:val="top"/>
          </w:tcPr>
          <w:p>
            <w:pPr>
              <w:pStyle w:val="TableText"/>
              <w:ind w:left="2026"/>
              <w:spacing w:before="277" w:line="199" w:lineRule="auto"/>
              <w:rPr/>
            </w:pPr>
            <w:r>
              <w:rPr>
                <w:spacing w:val="2"/>
              </w:rPr>
              <w:t>/</w:t>
            </w:r>
          </w:p>
        </w:tc>
        <w:tc>
          <w:tcPr>
            <w:tcW w:w="4129" w:type="dxa"/>
            <w:vAlign w:val="top"/>
          </w:tcPr>
          <w:p>
            <w:pPr>
              <w:ind w:left="76"/>
              <w:spacing w:before="108" w:line="227" w:lineRule="auto"/>
              <w:rPr>
                <w:rFonts w:ascii="SimSun" w:hAnsi="SimSun" w:eastAsia="SimSun" w:cs="SimSun"/>
                <w:sz w:val="20"/>
                <w:szCs w:val="20"/>
              </w:rPr>
            </w:pPr>
            <w:r>
              <w:rPr>
                <w:rFonts w:ascii="SimSun" w:hAnsi="SimSun" w:eastAsia="SimSun" w:cs="SimSun"/>
                <w:sz w:val="20"/>
                <w:szCs w:val="20"/>
                <w:spacing w:val="9"/>
              </w:rPr>
              <w:t>过主选机分选后直接排矸的方式对末煤进行</w:t>
            </w:r>
          </w:p>
          <w:p>
            <w:pPr>
              <w:ind w:left="1861"/>
              <w:spacing w:before="28" w:line="228" w:lineRule="auto"/>
              <w:rPr>
                <w:rFonts w:ascii="SimSun" w:hAnsi="SimSun" w:eastAsia="SimSun" w:cs="SimSun"/>
                <w:sz w:val="20"/>
                <w:szCs w:val="20"/>
              </w:rPr>
            </w:pPr>
            <w:r>
              <w:rPr>
                <w:rFonts w:ascii="SimSun" w:hAnsi="SimSun" w:eastAsia="SimSun" w:cs="SimSun"/>
                <w:sz w:val="20"/>
                <w:szCs w:val="20"/>
                <w:spacing w:val="4"/>
              </w:rPr>
              <w:t>风选</w:t>
            </w:r>
          </w:p>
        </w:tc>
        <w:tc>
          <w:tcPr>
            <w:tcW w:w="3659" w:type="dxa"/>
            <w:vAlign w:val="top"/>
          </w:tcPr>
          <w:p>
            <w:pPr>
              <w:ind w:left="468"/>
              <w:spacing w:before="244" w:line="228" w:lineRule="auto"/>
              <w:rPr>
                <w:rFonts w:ascii="SimSun" w:hAnsi="SimSun" w:eastAsia="SimSun" w:cs="SimSun"/>
                <w:sz w:val="20"/>
                <w:szCs w:val="20"/>
              </w:rPr>
            </w:pPr>
            <w:r>
              <w:rPr>
                <w:rFonts w:ascii="SimSun" w:hAnsi="SimSun" w:eastAsia="SimSun" w:cs="SimSun"/>
                <w:sz w:val="20"/>
                <w:szCs w:val="20"/>
                <w:spacing w:val="9"/>
              </w:rPr>
              <w:t>新增末煤提质智能化改造工程</w:t>
            </w:r>
          </w:p>
        </w:tc>
      </w:tr>
    </w:tbl>
    <w:p>
      <w:pPr>
        <w:pStyle w:val="BodyText"/>
        <w:rPr/>
      </w:pPr>
      <w:r/>
    </w:p>
    <w:p>
      <w:pPr>
        <w:sectPr>
          <w:footerReference w:type="default" r:id="rId187"/>
          <w:pgSz w:w="16838" w:h="11906"/>
          <w:pgMar w:top="1169" w:right="1391" w:bottom="1080" w:left="1106" w:header="836" w:footer="917" w:gutter="0"/>
        </w:sectPr>
        <w:rPr/>
      </w:pPr>
    </w:p>
    <w:p>
      <w:pPr>
        <w:spacing w:before="7"/>
        <w:rPr/>
      </w:pPr>
      <w:r/>
    </w:p>
    <w:tbl>
      <w:tblPr>
        <w:tblStyle w:val="TableNormal"/>
        <w:tblW w:w="1433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475"/>
        <w:gridCol w:w="564"/>
        <w:gridCol w:w="815"/>
        <w:gridCol w:w="4119"/>
        <w:gridCol w:w="4129"/>
        <w:gridCol w:w="3659"/>
      </w:tblGrid>
      <w:tr>
        <w:trPr>
          <w:trHeight w:val="501" w:hRule="atLeast"/>
        </w:trPr>
        <w:tc>
          <w:tcPr>
            <w:tcW w:w="573" w:type="dxa"/>
            <w:vAlign w:val="top"/>
          </w:tcPr>
          <w:p>
            <w:pPr>
              <w:ind w:left="82"/>
              <w:spacing w:before="143" w:line="228" w:lineRule="auto"/>
              <w:rPr>
                <w:rFonts w:ascii="SimSun" w:hAnsi="SimSun" w:eastAsia="SimSun" w:cs="SimSun"/>
                <w:sz w:val="20"/>
                <w:szCs w:val="20"/>
              </w:rPr>
            </w:pPr>
            <w:r>
              <w:rPr>
                <w:rFonts w:ascii="SimSun" w:hAnsi="SimSun" w:eastAsia="SimSun" w:cs="SimSun"/>
                <w:sz w:val="20"/>
                <w:szCs w:val="20"/>
                <w:spacing w:val="3"/>
              </w:rPr>
              <w:t>分类</w:t>
            </w:r>
          </w:p>
        </w:tc>
        <w:tc>
          <w:tcPr>
            <w:tcW w:w="1854" w:type="dxa"/>
            <w:vAlign w:val="top"/>
            <w:gridSpan w:val="3"/>
          </w:tcPr>
          <w:p>
            <w:pPr>
              <w:ind w:left="513"/>
              <w:spacing w:before="144" w:line="228" w:lineRule="auto"/>
              <w:rPr>
                <w:rFonts w:ascii="SimSun" w:hAnsi="SimSun" w:eastAsia="SimSun" w:cs="SimSun"/>
                <w:sz w:val="20"/>
                <w:szCs w:val="20"/>
              </w:rPr>
            </w:pPr>
            <w:r>
              <w:rPr>
                <w:rFonts w:ascii="SimSun" w:hAnsi="SimSun" w:eastAsia="SimSun" w:cs="SimSun"/>
                <w:sz w:val="20"/>
                <w:szCs w:val="20"/>
                <w:spacing w:val="6"/>
              </w:rPr>
              <w:t>项目组成</w:t>
            </w:r>
          </w:p>
        </w:tc>
        <w:tc>
          <w:tcPr>
            <w:tcW w:w="4119" w:type="dxa"/>
            <w:vAlign w:val="top"/>
          </w:tcPr>
          <w:p>
            <w:pPr>
              <w:ind w:left="1437"/>
              <w:spacing w:before="143" w:line="228" w:lineRule="auto"/>
              <w:rPr>
                <w:rFonts w:ascii="SimSun" w:hAnsi="SimSun" w:eastAsia="SimSun" w:cs="SimSun"/>
                <w:sz w:val="20"/>
                <w:szCs w:val="20"/>
              </w:rPr>
            </w:pPr>
            <w:r>
              <w:rPr>
                <w:rFonts w:ascii="SimSun" w:hAnsi="SimSun" w:eastAsia="SimSun" w:cs="SimSun"/>
                <w:sz w:val="20"/>
                <w:szCs w:val="20"/>
                <w:spacing w:val="7"/>
              </w:rPr>
              <w:t>现有工程内容</w:t>
            </w:r>
          </w:p>
        </w:tc>
        <w:tc>
          <w:tcPr>
            <w:tcW w:w="4129" w:type="dxa"/>
            <w:vAlign w:val="top"/>
          </w:tcPr>
          <w:p>
            <w:pPr>
              <w:ind w:left="918"/>
              <w:spacing w:before="144" w:line="227" w:lineRule="auto"/>
              <w:rPr>
                <w:rFonts w:ascii="SimSun" w:hAnsi="SimSun" w:eastAsia="SimSun" w:cs="SimSun"/>
                <w:sz w:val="20"/>
                <w:szCs w:val="20"/>
              </w:rPr>
            </w:pPr>
            <w:r>
              <w:rPr>
                <w:rFonts w:ascii="SimSun" w:hAnsi="SimSun" w:eastAsia="SimSun" w:cs="SimSun"/>
                <w:sz w:val="20"/>
                <w:szCs w:val="20"/>
                <w:spacing w:val="9"/>
              </w:rPr>
              <w:t>调整开采范围后工程内容</w:t>
            </w:r>
          </w:p>
        </w:tc>
        <w:tc>
          <w:tcPr>
            <w:tcW w:w="3659" w:type="dxa"/>
            <w:vAlign w:val="top"/>
          </w:tcPr>
          <w:p>
            <w:pPr>
              <w:ind w:left="1414"/>
              <w:spacing w:before="144" w:line="228" w:lineRule="auto"/>
              <w:rPr>
                <w:rFonts w:ascii="SimSun" w:hAnsi="SimSun" w:eastAsia="SimSun" w:cs="SimSun"/>
                <w:sz w:val="20"/>
                <w:szCs w:val="20"/>
              </w:rPr>
            </w:pPr>
            <w:r>
              <w:rPr>
                <w:rFonts w:ascii="SimSun" w:hAnsi="SimSun" w:eastAsia="SimSun" w:cs="SimSun"/>
                <w:sz w:val="20"/>
                <w:szCs w:val="20"/>
                <w:spacing w:val="7"/>
              </w:rPr>
              <w:t>变化情况</w:t>
            </w:r>
          </w:p>
        </w:tc>
      </w:tr>
      <w:tr>
        <w:trPr>
          <w:trHeight w:val="1187" w:hRule="atLeast"/>
        </w:trPr>
        <w:tc>
          <w:tcPr>
            <w:tcW w:w="573" w:type="dxa"/>
            <w:vAlign w:val="top"/>
            <w:vMerge w:val="restart"/>
            <w:tcBorders>
              <w:bottom w:val="nil"/>
            </w:tcBorders>
          </w:tcPr>
          <w:p>
            <w:pPr>
              <w:rPr>
                <w:rFonts w:ascii="Arial"/>
                <w:sz w:val="21"/>
              </w:rPr>
            </w:pPr>
            <w:r/>
          </w:p>
        </w:tc>
        <w:tc>
          <w:tcPr>
            <w:tcW w:w="475" w:type="dxa"/>
            <w:vAlign w:val="top"/>
            <w:vMerge w:val="restart"/>
            <w:tcBorders>
              <w:bottom w:val="nil"/>
            </w:tcBorders>
          </w:tcPr>
          <w:p>
            <w:pPr>
              <w:rPr>
                <w:rFonts w:ascii="Arial"/>
                <w:sz w:val="21"/>
              </w:rPr>
            </w:pPr>
            <w:r/>
          </w:p>
        </w:tc>
        <w:tc>
          <w:tcPr>
            <w:tcW w:w="1379" w:type="dxa"/>
            <w:vAlign w:val="top"/>
            <w:gridSpan w:val="2"/>
          </w:tcPr>
          <w:p>
            <w:pPr>
              <w:spacing w:line="415" w:lineRule="auto"/>
              <w:rPr>
                <w:rFonts w:ascii="Arial"/>
                <w:sz w:val="21"/>
              </w:rPr>
            </w:pPr>
            <w:r/>
          </w:p>
          <w:p>
            <w:pPr>
              <w:ind w:left="377"/>
              <w:spacing w:before="65" w:line="228" w:lineRule="auto"/>
              <w:rPr>
                <w:rFonts w:ascii="SimSun" w:hAnsi="SimSun" w:eastAsia="SimSun" w:cs="SimSun"/>
                <w:sz w:val="20"/>
                <w:szCs w:val="20"/>
              </w:rPr>
            </w:pPr>
            <w:r>
              <w:rPr>
                <w:rFonts w:ascii="SimSun" w:hAnsi="SimSun" w:eastAsia="SimSun" w:cs="SimSun"/>
                <w:sz w:val="20"/>
                <w:szCs w:val="20"/>
                <w:spacing w:val="7"/>
              </w:rPr>
              <w:t>破碎楼</w:t>
            </w:r>
          </w:p>
        </w:tc>
        <w:tc>
          <w:tcPr>
            <w:tcW w:w="4119" w:type="dxa"/>
            <w:vAlign w:val="top"/>
          </w:tcPr>
          <w:p>
            <w:pPr>
              <w:ind w:left="488"/>
              <w:spacing w:before="213" w:line="228" w:lineRule="auto"/>
              <w:rPr>
                <w:rFonts w:ascii="SimSun" w:hAnsi="SimSun" w:eastAsia="SimSun" w:cs="SimSun"/>
                <w:sz w:val="20"/>
                <w:szCs w:val="20"/>
              </w:rPr>
            </w:pPr>
            <w:r>
              <w:rPr>
                <w:rFonts w:ascii="SimSun" w:hAnsi="SimSun" w:eastAsia="SimSun" w:cs="SimSun"/>
                <w:sz w:val="20"/>
                <w:szCs w:val="20"/>
                <w:spacing w:val="9"/>
              </w:rPr>
              <w:t>破碎楼为钢筋混凝土结构，平面为</w:t>
            </w:r>
          </w:p>
          <w:p>
            <w:pPr>
              <w:pStyle w:val="TableText"/>
              <w:ind w:left="129"/>
              <w:spacing w:before="22" w:line="227" w:lineRule="auto"/>
              <w:rPr>
                <w:rFonts w:ascii="SimSun" w:hAnsi="SimSun" w:eastAsia="SimSun" w:cs="SimSun"/>
              </w:rPr>
            </w:pPr>
            <w:r>
              <w:rPr>
                <w:spacing w:val="1"/>
              </w:rPr>
              <w:t>19.2m×11.4m</w:t>
            </w:r>
            <w:r>
              <w:rPr>
                <w:spacing w:val="-14"/>
              </w:rPr>
              <w:t xml:space="preserve"> </w:t>
            </w:r>
            <w:r>
              <w:rPr>
                <w:rFonts w:ascii="SimSun" w:hAnsi="SimSun" w:eastAsia="SimSun" w:cs="SimSun"/>
                <w:spacing w:val="1"/>
              </w:rPr>
              <w:t>，高</w:t>
            </w:r>
            <w:r>
              <w:rPr>
                <w:rFonts w:ascii="SimSun" w:hAnsi="SimSun" w:eastAsia="SimSun" w:cs="SimSun"/>
                <w:spacing w:val="-41"/>
              </w:rPr>
              <w:t xml:space="preserve"> </w:t>
            </w:r>
            <w:r>
              <w:rPr>
                <w:spacing w:val="1"/>
              </w:rPr>
              <w:t>21m</w:t>
            </w:r>
            <w:r>
              <w:rPr>
                <w:spacing w:val="-28"/>
              </w:rPr>
              <w:t xml:space="preserve"> </w:t>
            </w:r>
            <w:r>
              <w:rPr>
                <w:rFonts w:ascii="SimSun" w:hAnsi="SimSun" w:eastAsia="SimSun" w:cs="SimSun"/>
                <w:spacing w:val="1"/>
              </w:rPr>
              <w:t>，里面布置有</w:t>
            </w:r>
            <w:r>
              <w:rPr>
                <w:rFonts w:ascii="SimSun" w:hAnsi="SimSun" w:eastAsia="SimSun" w:cs="SimSun"/>
                <w:spacing w:val="-23"/>
              </w:rPr>
              <w:t xml:space="preserve"> </w:t>
            </w:r>
            <w:r>
              <w:rPr>
                <w:spacing w:val="1"/>
              </w:rPr>
              <w:t>1</w:t>
            </w:r>
            <w:r>
              <w:rPr>
                <w:spacing w:val="28"/>
                <w:w w:val="101"/>
              </w:rPr>
              <w:t xml:space="preserve"> </w:t>
            </w:r>
            <w:r>
              <w:rPr>
                <w:rFonts w:ascii="SimSun" w:hAnsi="SimSun" w:eastAsia="SimSun" w:cs="SimSun"/>
                <w:spacing w:val="1"/>
              </w:rPr>
              <w:t>台除</w:t>
            </w:r>
          </w:p>
          <w:p>
            <w:pPr>
              <w:pStyle w:val="TableText"/>
              <w:ind w:left="436"/>
              <w:spacing w:before="30" w:line="227" w:lineRule="auto"/>
              <w:rPr>
                <w:rFonts w:ascii="SimSun" w:hAnsi="SimSun" w:eastAsia="SimSun" w:cs="SimSun"/>
              </w:rPr>
            </w:pPr>
            <w:r>
              <w:rPr>
                <w:rFonts w:ascii="SimSun" w:hAnsi="SimSun" w:eastAsia="SimSun" w:cs="SimSun"/>
                <w:spacing w:val="5"/>
              </w:rPr>
              <w:t>铁器、</w:t>
            </w:r>
            <w:r>
              <w:rPr>
                <w:spacing w:val="5"/>
              </w:rPr>
              <w:t>1</w:t>
            </w:r>
            <w:r>
              <w:rPr>
                <w:spacing w:val="37"/>
                <w:w w:val="101"/>
              </w:rPr>
              <w:t xml:space="preserve"> </w:t>
            </w:r>
            <w:r>
              <w:rPr>
                <w:rFonts w:ascii="SimSun" w:hAnsi="SimSun" w:eastAsia="SimSun" w:cs="SimSun"/>
                <w:spacing w:val="5"/>
              </w:rPr>
              <w:t>台原煤破碎机、</w:t>
            </w:r>
            <w:r>
              <w:rPr>
                <w:spacing w:val="5"/>
              </w:rPr>
              <w:t>1</w:t>
            </w:r>
            <w:r>
              <w:rPr>
                <w:spacing w:val="26"/>
              </w:rPr>
              <w:t xml:space="preserve"> </w:t>
            </w:r>
            <w:r>
              <w:rPr>
                <w:rFonts w:ascii="SimSun" w:hAnsi="SimSun" w:eastAsia="SimSun" w:cs="SimSun"/>
                <w:spacing w:val="5"/>
              </w:rPr>
              <w:t>台篦条筛</w:t>
            </w:r>
          </w:p>
        </w:tc>
        <w:tc>
          <w:tcPr>
            <w:tcW w:w="4129" w:type="dxa"/>
            <w:vAlign w:val="top"/>
          </w:tcPr>
          <w:p>
            <w:pPr>
              <w:ind w:left="495"/>
              <w:spacing w:before="213" w:line="228" w:lineRule="auto"/>
              <w:rPr>
                <w:rFonts w:ascii="SimSun" w:hAnsi="SimSun" w:eastAsia="SimSun" w:cs="SimSun"/>
                <w:sz w:val="20"/>
                <w:szCs w:val="20"/>
              </w:rPr>
            </w:pPr>
            <w:r>
              <w:rPr>
                <w:rFonts w:ascii="SimSun" w:hAnsi="SimSun" w:eastAsia="SimSun" w:cs="SimSun"/>
                <w:sz w:val="20"/>
                <w:szCs w:val="20"/>
                <w:spacing w:val="9"/>
              </w:rPr>
              <w:t>破碎楼为钢筋混凝土结构，平面为</w:t>
            </w:r>
          </w:p>
          <w:p>
            <w:pPr>
              <w:pStyle w:val="TableText"/>
              <w:ind w:left="548" w:right="25" w:hanging="499"/>
              <w:spacing w:before="21" w:line="256" w:lineRule="auto"/>
              <w:rPr>
                <w:rFonts w:ascii="SimSun" w:hAnsi="SimSun" w:eastAsia="SimSun" w:cs="SimSun"/>
              </w:rPr>
            </w:pPr>
            <w:r>
              <w:rPr/>
              <w:t>19.2m×11.4m</w:t>
            </w:r>
            <w:r>
              <w:rPr>
                <w:spacing w:val="-16"/>
              </w:rPr>
              <w:t xml:space="preserve"> </w:t>
            </w:r>
            <w:r>
              <w:rPr>
                <w:rFonts w:ascii="SimSun" w:hAnsi="SimSun" w:eastAsia="SimSun" w:cs="SimSun"/>
              </w:rPr>
              <w:t>，高</w:t>
            </w:r>
            <w:r>
              <w:rPr>
                <w:rFonts w:ascii="SimSun" w:hAnsi="SimSun" w:eastAsia="SimSun" w:cs="SimSun"/>
                <w:spacing w:val="-43"/>
              </w:rPr>
              <w:t xml:space="preserve"> </w:t>
            </w:r>
            <w:r>
              <w:rPr/>
              <w:t>21m</w:t>
            </w:r>
            <w:r>
              <w:rPr>
                <w:spacing w:val="-29"/>
              </w:rPr>
              <w:t xml:space="preserve"> </w:t>
            </w:r>
            <w:r>
              <w:rPr>
                <w:rFonts w:ascii="SimSun" w:hAnsi="SimSun" w:eastAsia="SimSun" w:cs="SimSun"/>
              </w:rPr>
              <w:t>，里面布置有</w:t>
            </w:r>
            <w:r>
              <w:rPr>
                <w:rFonts w:ascii="SimSun" w:hAnsi="SimSun" w:eastAsia="SimSun" w:cs="SimSun"/>
                <w:spacing w:val="-20"/>
              </w:rPr>
              <w:t xml:space="preserve"> </w:t>
            </w:r>
            <w:r>
              <w:rPr/>
              <w:t>1</w:t>
            </w:r>
            <w:r>
              <w:rPr>
                <w:spacing w:val="26"/>
              </w:rPr>
              <w:t xml:space="preserve"> </w:t>
            </w:r>
            <w:r>
              <w:rPr>
                <w:rFonts w:ascii="SimSun" w:hAnsi="SimSun" w:eastAsia="SimSun" w:cs="SimSun"/>
              </w:rPr>
              <w:t>台除铁</w:t>
            </w:r>
            <w:r>
              <w:rPr>
                <w:rFonts w:ascii="SimSun" w:hAnsi="SimSun" w:eastAsia="SimSun" w:cs="SimSun"/>
                <w:spacing w:val="5"/>
              </w:rPr>
              <w:t>器、</w:t>
            </w:r>
            <w:r>
              <w:rPr>
                <w:spacing w:val="5"/>
              </w:rPr>
              <w:t>1</w:t>
            </w:r>
            <w:r>
              <w:rPr>
                <w:spacing w:val="30"/>
                <w:w w:val="101"/>
              </w:rPr>
              <w:t xml:space="preserve"> </w:t>
            </w:r>
            <w:r>
              <w:rPr>
                <w:rFonts w:ascii="SimSun" w:hAnsi="SimSun" w:eastAsia="SimSun" w:cs="SimSun"/>
                <w:spacing w:val="5"/>
              </w:rPr>
              <w:t>台原煤破碎机、</w:t>
            </w:r>
            <w:r>
              <w:rPr>
                <w:spacing w:val="5"/>
              </w:rPr>
              <w:t>1</w:t>
            </w:r>
            <w:r>
              <w:rPr>
                <w:spacing w:val="26"/>
              </w:rPr>
              <w:t xml:space="preserve"> </w:t>
            </w:r>
            <w:r>
              <w:rPr>
                <w:rFonts w:ascii="SimSun" w:hAnsi="SimSun" w:eastAsia="SimSun" w:cs="SimSun"/>
                <w:spacing w:val="5"/>
              </w:rPr>
              <w:t>台篦条筛</w:t>
            </w:r>
          </w:p>
        </w:tc>
        <w:tc>
          <w:tcPr>
            <w:tcW w:w="3659" w:type="dxa"/>
            <w:vAlign w:val="top"/>
          </w:tcPr>
          <w:p>
            <w:pPr>
              <w:spacing w:line="415" w:lineRule="auto"/>
              <w:rPr>
                <w:rFonts w:ascii="Arial"/>
                <w:sz w:val="21"/>
              </w:rPr>
            </w:pPr>
            <w:r/>
          </w:p>
          <w:p>
            <w:pPr>
              <w:ind w:left="1626"/>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472"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restart"/>
            <w:tcBorders>
              <w:bottom w:val="nil"/>
            </w:tcBorders>
          </w:tcPr>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spacing w:line="278" w:lineRule="auto"/>
              <w:rPr>
                <w:rFonts w:ascii="Arial"/>
                <w:sz w:val="21"/>
              </w:rPr>
            </w:pPr>
            <w:r/>
          </w:p>
          <w:p>
            <w:pPr>
              <w:ind w:left="74"/>
              <w:spacing w:before="65" w:line="228" w:lineRule="auto"/>
              <w:rPr>
                <w:rFonts w:ascii="SimSun" w:hAnsi="SimSun" w:eastAsia="SimSun" w:cs="SimSun"/>
                <w:sz w:val="20"/>
                <w:szCs w:val="20"/>
              </w:rPr>
            </w:pPr>
            <w:r>
              <w:rPr>
                <w:rFonts w:ascii="SimSun" w:hAnsi="SimSun" w:eastAsia="SimSun" w:cs="SimSun"/>
                <w:sz w:val="20"/>
                <w:szCs w:val="20"/>
                <w:spacing w:val="4"/>
              </w:rPr>
              <w:t>煤仓</w:t>
            </w:r>
          </w:p>
        </w:tc>
        <w:tc>
          <w:tcPr>
            <w:tcW w:w="815" w:type="dxa"/>
            <w:vAlign w:val="top"/>
          </w:tcPr>
          <w:p>
            <w:pPr>
              <w:ind w:left="100"/>
              <w:spacing w:before="129" w:line="228" w:lineRule="auto"/>
              <w:rPr>
                <w:rFonts w:ascii="SimSun" w:hAnsi="SimSun" w:eastAsia="SimSun" w:cs="SimSun"/>
                <w:sz w:val="20"/>
                <w:szCs w:val="20"/>
              </w:rPr>
            </w:pPr>
            <w:r>
              <w:rPr>
                <w:rFonts w:ascii="SimSun" w:hAnsi="SimSun" w:eastAsia="SimSun" w:cs="SimSun"/>
                <w:sz w:val="20"/>
                <w:szCs w:val="20"/>
                <w:spacing w:val="5"/>
              </w:rPr>
              <w:t>原煤仓</w:t>
            </w:r>
          </w:p>
        </w:tc>
        <w:tc>
          <w:tcPr>
            <w:tcW w:w="4119" w:type="dxa"/>
            <w:vAlign w:val="top"/>
          </w:tcPr>
          <w:p>
            <w:pPr>
              <w:pStyle w:val="TableText"/>
              <w:ind w:left="266"/>
              <w:spacing w:before="32" w:line="228" w:lineRule="auto"/>
              <w:rPr>
                <w:rFonts w:ascii="SimSun" w:hAnsi="SimSun" w:eastAsia="SimSun" w:cs="SimSun"/>
              </w:rPr>
            </w:pPr>
            <w:r>
              <w:rPr>
                <w:spacing w:val="4"/>
              </w:rPr>
              <w:t>1 </w:t>
            </w:r>
            <w:r>
              <w:rPr>
                <w:rFonts w:ascii="SimSun" w:hAnsi="SimSun" w:eastAsia="SimSun" w:cs="SimSun"/>
                <w:spacing w:val="4"/>
              </w:rPr>
              <w:t>个</w:t>
            </w:r>
            <w:r>
              <w:rPr>
                <w:spacing w:val="4"/>
              </w:rPr>
              <w:t>Ø 22m</w:t>
            </w:r>
            <w:r>
              <w:rPr>
                <w:spacing w:val="32"/>
                <w:w w:val="101"/>
              </w:rPr>
              <w:t xml:space="preserve"> </w:t>
            </w:r>
            <w:r>
              <w:rPr>
                <w:rFonts w:ascii="SimSun" w:hAnsi="SimSun" w:eastAsia="SimSun" w:cs="SimSun"/>
                <w:spacing w:val="4"/>
              </w:rPr>
              <w:t>的铁质圆筒仓，容量</w:t>
            </w:r>
            <w:r>
              <w:rPr>
                <w:rFonts w:ascii="SimSun" w:hAnsi="SimSun" w:eastAsia="SimSun" w:cs="SimSun"/>
                <w:spacing w:val="-38"/>
              </w:rPr>
              <w:t xml:space="preserve"> </w:t>
            </w:r>
            <w:r>
              <w:rPr>
                <w:spacing w:val="4"/>
              </w:rPr>
              <w:t>5000t</w:t>
            </w:r>
            <w:r>
              <w:rPr>
                <w:rFonts w:ascii="SimSun" w:hAnsi="SimSun" w:eastAsia="SimSun" w:cs="SimSun"/>
                <w:spacing w:val="4"/>
              </w:rPr>
              <w:t>；</w:t>
            </w:r>
          </w:p>
        </w:tc>
        <w:tc>
          <w:tcPr>
            <w:tcW w:w="4129" w:type="dxa"/>
            <w:vAlign w:val="top"/>
          </w:tcPr>
          <w:p>
            <w:pPr>
              <w:pStyle w:val="TableText"/>
              <w:ind w:left="272"/>
              <w:spacing w:before="128" w:line="228" w:lineRule="auto"/>
              <w:rPr>
                <w:rFonts w:ascii="SimSun" w:hAnsi="SimSun" w:eastAsia="SimSun" w:cs="SimSun"/>
              </w:rPr>
            </w:pPr>
            <w:r>
              <w:rPr>
                <w:spacing w:val="4"/>
              </w:rPr>
              <w:t>1 </w:t>
            </w:r>
            <w:r>
              <w:rPr>
                <w:rFonts w:ascii="SimSun" w:hAnsi="SimSun" w:eastAsia="SimSun" w:cs="SimSun"/>
                <w:spacing w:val="4"/>
              </w:rPr>
              <w:t>个</w:t>
            </w:r>
            <w:r>
              <w:rPr>
                <w:spacing w:val="4"/>
              </w:rPr>
              <w:t>Ø 22m</w:t>
            </w:r>
            <w:r>
              <w:rPr>
                <w:spacing w:val="35"/>
              </w:rPr>
              <w:t xml:space="preserve"> </w:t>
            </w:r>
            <w:r>
              <w:rPr>
                <w:rFonts w:ascii="SimSun" w:hAnsi="SimSun" w:eastAsia="SimSun" w:cs="SimSun"/>
                <w:spacing w:val="4"/>
              </w:rPr>
              <w:t>的铁质圆筒仓，容量</w:t>
            </w:r>
            <w:r>
              <w:rPr>
                <w:rFonts w:ascii="SimSun" w:hAnsi="SimSun" w:eastAsia="SimSun" w:cs="SimSun"/>
                <w:spacing w:val="-38"/>
              </w:rPr>
              <w:t xml:space="preserve"> </w:t>
            </w:r>
            <w:r>
              <w:rPr>
                <w:spacing w:val="4"/>
              </w:rPr>
              <w:t>5000t</w:t>
            </w:r>
            <w:r>
              <w:rPr>
                <w:rFonts w:ascii="SimSun" w:hAnsi="SimSun" w:eastAsia="SimSun" w:cs="SimSun"/>
                <w:spacing w:val="4"/>
              </w:rPr>
              <w:t>；</w:t>
            </w:r>
          </w:p>
        </w:tc>
        <w:tc>
          <w:tcPr>
            <w:tcW w:w="3659" w:type="dxa"/>
            <w:vAlign w:val="top"/>
          </w:tcPr>
          <w:p>
            <w:pPr>
              <w:ind w:left="1626"/>
              <w:spacing w:before="128"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480"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bottom w:val="nil"/>
            </w:tcBorders>
          </w:tcPr>
          <w:p>
            <w:pPr>
              <w:rPr>
                <w:rFonts w:ascii="Arial"/>
                <w:sz w:val="21"/>
              </w:rPr>
            </w:pPr>
            <w:r/>
          </w:p>
        </w:tc>
        <w:tc>
          <w:tcPr>
            <w:tcW w:w="815" w:type="dxa"/>
            <w:vAlign w:val="top"/>
          </w:tcPr>
          <w:p>
            <w:pPr>
              <w:ind w:left="95"/>
              <w:spacing w:before="133" w:line="228" w:lineRule="auto"/>
              <w:rPr>
                <w:rFonts w:ascii="SimSun" w:hAnsi="SimSun" w:eastAsia="SimSun" w:cs="SimSun"/>
                <w:sz w:val="20"/>
                <w:szCs w:val="20"/>
              </w:rPr>
            </w:pPr>
            <w:r>
              <w:rPr>
                <w:rFonts w:ascii="SimSun" w:hAnsi="SimSun" w:eastAsia="SimSun" w:cs="SimSun"/>
                <w:sz w:val="20"/>
                <w:szCs w:val="20"/>
                <w:spacing w:val="6"/>
              </w:rPr>
              <w:t>产品仓</w:t>
            </w:r>
          </w:p>
        </w:tc>
        <w:tc>
          <w:tcPr>
            <w:tcW w:w="4119" w:type="dxa"/>
            <w:vAlign w:val="top"/>
          </w:tcPr>
          <w:p>
            <w:pPr>
              <w:pStyle w:val="TableText"/>
              <w:ind w:left="508"/>
              <w:spacing w:before="32" w:line="228" w:lineRule="auto"/>
              <w:rPr>
                <w:rFonts w:ascii="SimSun" w:hAnsi="SimSun" w:eastAsia="SimSun" w:cs="SimSun"/>
              </w:rPr>
            </w:pPr>
            <w:r>
              <w:rPr>
                <w:spacing w:val="4"/>
              </w:rPr>
              <w:t>5×Ø18m</w:t>
            </w:r>
            <w:r>
              <w:rPr>
                <w:spacing w:val="40"/>
                <w:w w:val="101"/>
              </w:rPr>
              <w:t xml:space="preserve"> </w:t>
            </w:r>
            <w:r>
              <w:rPr>
                <w:rFonts w:ascii="SimSun" w:hAnsi="SimSun" w:eastAsia="SimSun" w:cs="SimSun"/>
                <w:spacing w:val="4"/>
              </w:rPr>
              <w:t>圆筒仓，总容量</w:t>
            </w:r>
            <w:r>
              <w:rPr>
                <w:rFonts w:ascii="SimSun" w:hAnsi="SimSun" w:eastAsia="SimSun" w:cs="SimSun"/>
                <w:spacing w:val="-41"/>
              </w:rPr>
              <w:t xml:space="preserve"> </w:t>
            </w:r>
            <w:r>
              <w:rPr>
                <w:spacing w:val="4"/>
              </w:rPr>
              <w:t>25000t</w:t>
            </w:r>
            <w:r>
              <w:rPr>
                <w:rFonts w:ascii="SimSun" w:hAnsi="SimSun" w:eastAsia="SimSun" w:cs="SimSun"/>
                <w:spacing w:val="4"/>
              </w:rPr>
              <w:t>；</w:t>
            </w:r>
          </w:p>
        </w:tc>
        <w:tc>
          <w:tcPr>
            <w:tcW w:w="4129" w:type="dxa"/>
            <w:vAlign w:val="top"/>
          </w:tcPr>
          <w:p>
            <w:pPr>
              <w:pStyle w:val="TableText"/>
              <w:ind w:left="515"/>
              <w:spacing w:before="133" w:line="228" w:lineRule="auto"/>
              <w:rPr>
                <w:rFonts w:ascii="SimSun" w:hAnsi="SimSun" w:eastAsia="SimSun" w:cs="SimSun"/>
              </w:rPr>
            </w:pPr>
            <w:r>
              <w:rPr>
                <w:spacing w:val="4"/>
              </w:rPr>
              <w:t>5×Ø18m</w:t>
            </w:r>
            <w:r>
              <w:rPr>
                <w:spacing w:val="40"/>
                <w:w w:val="101"/>
              </w:rPr>
              <w:t xml:space="preserve"> </w:t>
            </w:r>
            <w:r>
              <w:rPr>
                <w:rFonts w:ascii="SimSun" w:hAnsi="SimSun" w:eastAsia="SimSun" w:cs="SimSun"/>
                <w:spacing w:val="4"/>
              </w:rPr>
              <w:t>圆筒仓，总容量</w:t>
            </w:r>
            <w:r>
              <w:rPr>
                <w:rFonts w:ascii="SimSun" w:hAnsi="SimSun" w:eastAsia="SimSun" w:cs="SimSun"/>
                <w:spacing w:val="-41"/>
              </w:rPr>
              <w:t xml:space="preserve"> </w:t>
            </w:r>
            <w:r>
              <w:rPr>
                <w:spacing w:val="4"/>
              </w:rPr>
              <w:t>25000t</w:t>
            </w:r>
            <w:r>
              <w:rPr>
                <w:rFonts w:ascii="SimSun" w:hAnsi="SimSun" w:eastAsia="SimSun" w:cs="SimSun"/>
                <w:spacing w:val="4"/>
              </w:rPr>
              <w:t>；</w:t>
            </w:r>
          </w:p>
        </w:tc>
        <w:tc>
          <w:tcPr>
            <w:tcW w:w="3659" w:type="dxa"/>
            <w:vAlign w:val="top"/>
          </w:tcPr>
          <w:p>
            <w:pPr>
              <w:ind w:left="1626"/>
              <w:spacing w:before="134"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bottom w:val="nil"/>
            </w:tcBorders>
          </w:tcPr>
          <w:p>
            <w:pPr>
              <w:rPr>
                <w:rFonts w:ascii="Arial"/>
                <w:sz w:val="21"/>
              </w:rPr>
            </w:pPr>
            <w:r/>
          </w:p>
        </w:tc>
        <w:tc>
          <w:tcPr>
            <w:tcW w:w="815" w:type="dxa"/>
            <w:vAlign w:val="top"/>
          </w:tcPr>
          <w:p>
            <w:pPr>
              <w:ind w:left="200" w:right="93" w:hanging="103"/>
              <w:spacing w:before="32" w:line="234" w:lineRule="auto"/>
              <w:rPr>
                <w:rFonts w:ascii="SimSun" w:hAnsi="SimSun" w:eastAsia="SimSun" w:cs="SimSun"/>
                <w:sz w:val="20"/>
                <w:szCs w:val="20"/>
              </w:rPr>
            </w:pPr>
            <w:r>
              <w:rPr>
                <w:rFonts w:ascii="SimSun" w:hAnsi="SimSun" w:eastAsia="SimSun" w:cs="SimSun"/>
                <w:sz w:val="20"/>
                <w:szCs w:val="20"/>
                <w:spacing w:val="6"/>
              </w:rPr>
              <w:t>大块原</w:t>
            </w:r>
            <w:r>
              <w:rPr>
                <w:rFonts w:ascii="SimSun" w:hAnsi="SimSun" w:eastAsia="SimSun" w:cs="SimSun"/>
                <w:sz w:val="20"/>
                <w:szCs w:val="20"/>
                <w:spacing w:val="4"/>
              </w:rPr>
              <w:t>煤仓</w:t>
            </w:r>
          </w:p>
        </w:tc>
        <w:tc>
          <w:tcPr>
            <w:tcW w:w="4119" w:type="dxa"/>
            <w:vAlign w:val="top"/>
          </w:tcPr>
          <w:p>
            <w:pPr>
              <w:pStyle w:val="TableText"/>
              <w:ind w:left="496"/>
              <w:spacing w:before="164" w:line="228" w:lineRule="auto"/>
              <w:rPr/>
            </w:pPr>
            <w:r>
              <w:rPr>
                <w:rFonts w:ascii="SimSun" w:hAnsi="SimSun" w:eastAsia="SimSun" w:cs="SimSun"/>
                <w:spacing w:val="7"/>
              </w:rPr>
              <w:t>拣矸车间来煤缓冲仓，</w:t>
            </w:r>
            <w:r>
              <w:rPr>
                <w:spacing w:val="7"/>
              </w:rPr>
              <w:t>7m×7.5m×3</w:t>
            </w:r>
          </w:p>
        </w:tc>
        <w:tc>
          <w:tcPr>
            <w:tcW w:w="4129" w:type="dxa"/>
            <w:vAlign w:val="top"/>
          </w:tcPr>
          <w:p>
            <w:pPr>
              <w:pStyle w:val="TableText"/>
              <w:ind w:left="503"/>
              <w:spacing w:before="164" w:line="228" w:lineRule="auto"/>
              <w:rPr/>
            </w:pPr>
            <w:r>
              <w:rPr>
                <w:rFonts w:ascii="SimSun" w:hAnsi="SimSun" w:eastAsia="SimSun" w:cs="SimSun"/>
                <w:spacing w:val="7"/>
              </w:rPr>
              <w:t>拣矸车间来煤缓冲仓，</w:t>
            </w:r>
            <w:r>
              <w:rPr>
                <w:spacing w:val="7"/>
              </w:rPr>
              <w:t>7m×7.5m×3</w:t>
            </w:r>
          </w:p>
        </w:tc>
        <w:tc>
          <w:tcPr>
            <w:tcW w:w="3659" w:type="dxa"/>
            <w:vAlign w:val="top"/>
          </w:tcPr>
          <w:p>
            <w:pPr>
              <w:ind w:left="1626"/>
              <w:spacing w:before="1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bottom w:val="nil"/>
            </w:tcBorders>
          </w:tcPr>
          <w:p>
            <w:pPr>
              <w:rPr>
                <w:rFonts w:ascii="Arial"/>
                <w:sz w:val="21"/>
              </w:rPr>
            </w:pPr>
            <w:r/>
          </w:p>
        </w:tc>
        <w:tc>
          <w:tcPr>
            <w:tcW w:w="815" w:type="dxa"/>
            <w:vAlign w:val="top"/>
          </w:tcPr>
          <w:p>
            <w:pPr>
              <w:ind w:left="304" w:right="93" w:hanging="209"/>
              <w:spacing w:before="32" w:line="234" w:lineRule="auto"/>
              <w:rPr>
                <w:rFonts w:ascii="SimSun" w:hAnsi="SimSun" w:eastAsia="SimSun" w:cs="SimSun"/>
                <w:sz w:val="20"/>
                <w:szCs w:val="20"/>
              </w:rPr>
            </w:pPr>
            <w:r>
              <w:rPr>
                <w:rFonts w:ascii="SimSun" w:hAnsi="SimSun" w:eastAsia="SimSun" w:cs="SimSun"/>
                <w:sz w:val="20"/>
                <w:szCs w:val="20"/>
                <w:spacing w:val="6"/>
              </w:rPr>
              <w:t>站台方</w:t>
            </w:r>
            <w:r>
              <w:rPr>
                <w:rFonts w:ascii="SimSun" w:hAnsi="SimSun" w:eastAsia="SimSun" w:cs="SimSun"/>
                <w:sz w:val="20"/>
                <w:szCs w:val="20"/>
                <w:spacing w:val="1"/>
              </w:rPr>
              <w:t>仓</w:t>
            </w:r>
          </w:p>
        </w:tc>
        <w:tc>
          <w:tcPr>
            <w:tcW w:w="4119" w:type="dxa"/>
            <w:vAlign w:val="top"/>
          </w:tcPr>
          <w:p>
            <w:pPr>
              <w:pStyle w:val="TableText"/>
              <w:ind w:left="2027"/>
              <w:spacing w:before="199" w:line="199" w:lineRule="auto"/>
              <w:rPr/>
            </w:pPr>
            <w:r>
              <w:rPr>
                <w:spacing w:val="2"/>
              </w:rPr>
              <w:t>/</w:t>
            </w:r>
          </w:p>
        </w:tc>
        <w:tc>
          <w:tcPr>
            <w:tcW w:w="4129" w:type="dxa"/>
            <w:vAlign w:val="top"/>
          </w:tcPr>
          <w:p>
            <w:pPr>
              <w:pStyle w:val="TableText"/>
              <w:ind w:left="32"/>
              <w:spacing w:before="167" w:line="228" w:lineRule="auto"/>
              <w:rPr>
                <w:sz w:val="13"/>
                <w:szCs w:val="13"/>
              </w:rPr>
            </w:pPr>
            <w:r>
              <w:rPr>
                <w:rFonts w:ascii="SimSun" w:hAnsi="SimSun" w:eastAsia="SimSun" w:cs="SimSun"/>
              </w:rPr>
              <w:t>破碎楼来煤缓冲仓，</w:t>
            </w:r>
            <w:r>
              <w:rPr/>
              <w:t>7m×7.5m×3</w:t>
            </w:r>
            <w:r>
              <w:rPr>
                <w:rFonts w:ascii="SimSun" w:hAnsi="SimSun" w:eastAsia="SimSun" w:cs="SimSun"/>
              </w:rPr>
              <w:t>，容量</w:t>
            </w:r>
            <w:r>
              <w:rPr>
                <w:rFonts w:ascii="SimSun" w:hAnsi="SimSun" w:eastAsia="SimSun" w:cs="SimSun"/>
                <w:spacing w:val="-39"/>
              </w:rPr>
              <w:t xml:space="preserve"> </w:t>
            </w:r>
            <w:r>
              <w:rPr/>
              <w:t>3780m</w:t>
            </w:r>
            <w:r>
              <w:rPr>
                <w:sz w:val="13"/>
                <w:szCs w:val="13"/>
                <w:position w:val="6"/>
              </w:rPr>
              <w:t>3</w:t>
            </w:r>
          </w:p>
        </w:tc>
        <w:tc>
          <w:tcPr>
            <w:tcW w:w="3659" w:type="dxa"/>
            <w:vAlign w:val="top"/>
          </w:tcPr>
          <w:p>
            <w:pPr>
              <w:ind w:left="1626"/>
              <w:spacing w:before="167"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bottom w:val="nil"/>
            </w:tcBorders>
          </w:tcPr>
          <w:p>
            <w:pPr>
              <w:rPr>
                <w:rFonts w:ascii="Arial"/>
                <w:sz w:val="21"/>
              </w:rPr>
            </w:pPr>
            <w:r/>
          </w:p>
        </w:tc>
        <w:tc>
          <w:tcPr>
            <w:tcW w:w="815" w:type="dxa"/>
            <w:vAlign w:val="top"/>
          </w:tcPr>
          <w:p>
            <w:pPr>
              <w:ind w:left="95"/>
              <w:spacing w:before="168" w:line="228" w:lineRule="auto"/>
              <w:rPr>
                <w:rFonts w:ascii="SimSun" w:hAnsi="SimSun" w:eastAsia="SimSun" w:cs="SimSun"/>
                <w:sz w:val="20"/>
                <w:szCs w:val="20"/>
              </w:rPr>
            </w:pPr>
            <w:r>
              <w:rPr>
                <w:rFonts w:ascii="SimSun" w:hAnsi="SimSun" w:eastAsia="SimSun" w:cs="SimSun"/>
                <w:sz w:val="20"/>
                <w:szCs w:val="20"/>
                <w:spacing w:val="6"/>
              </w:rPr>
              <w:t>风选仓</w:t>
            </w:r>
          </w:p>
        </w:tc>
        <w:tc>
          <w:tcPr>
            <w:tcW w:w="4119" w:type="dxa"/>
            <w:vAlign w:val="top"/>
          </w:tcPr>
          <w:p>
            <w:pPr>
              <w:pStyle w:val="TableText"/>
              <w:ind w:left="112"/>
              <w:spacing w:before="33" w:line="228" w:lineRule="auto"/>
              <w:rPr>
                <w:rFonts w:ascii="SimSun" w:hAnsi="SimSun" w:eastAsia="SimSun" w:cs="SimSun"/>
              </w:rPr>
            </w:pPr>
            <w:r>
              <w:rPr>
                <w:rFonts w:ascii="SimSun" w:hAnsi="SimSun" w:eastAsia="SimSun" w:cs="SimSun"/>
                <w:spacing w:val="3"/>
              </w:rPr>
              <w:t>位于风选车间南侧</w:t>
            </w:r>
            <w:r>
              <w:rPr>
                <w:rFonts w:ascii="SimSun" w:hAnsi="SimSun" w:eastAsia="SimSun" w:cs="SimSun"/>
                <w:spacing w:val="-23"/>
              </w:rPr>
              <w:t xml:space="preserve"> </w:t>
            </w:r>
            <w:r>
              <w:rPr>
                <w:spacing w:val="3"/>
              </w:rPr>
              <w:t>60m</w:t>
            </w:r>
            <w:r>
              <w:rPr>
                <w:rFonts w:ascii="SimSun" w:hAnsi="SimSun" w:eastAsia="SimSun" w:cs="SimSun"/>
                <w:spacing w:val="3"/>
              </w:rPr>
              <w:t>，风选车间来煤缓冲</w:t>
            </w:r>
          </w:p>
          <w:p>
            <w:pPr>
              <w:pStyle w:val="TableText"/>
              <w:ind w:left="1158"/>
              <w:spacing w:before="24" w:line="216" w:lineRule="auto"/>
              <w:rPr/>
            </w:pPr>
            <w:r>
              <w:rPr>
                <w:rFonts w:ascii="SimSun" w:hAnsi="SimSun" w:eastAsia="SimSun" w:cs="SimSun"/>
                <w:spacing w:val="1"/>
              </w:rPr>
              <w:t>仓，</w:t>
            </w:r>
            <w:r>
              <w:rPr>
                <w:rFonts w:ascii="SimSun" w:hAnsi="SimSun" w:eastAsia="SimSun" w:cs="SimSun"/>
                <w:spacing w:val="-49"/>
              </w:rPr>
              <w:t xml:space="preserve"> </w:t>
            </w:r>
            <w:r>
              <w:rPr>
                <w:rFonts w:ascii="SimSun" w:hAnsi="SimSun" w:eastAsia="SimSun" w:cs="SimSun"/>
                <w:spacing w:val="1"/>
              </w:rPr>
              <w:t>占地</w:t>
            </w:r>
            <w:r>
              <w:rPr>
                <w:rFonts w:ascii="SimSun" w:hAnsi="SimSun" w:eastAsia="SimSun" w:cs="SimSun"/>
                <w:spacing w:val="-37"/>
              </w:rPr>
              <w:t xml:space="preserve"> </w:t>
            </w:r>
            <w:r>
              <w:rPr>
                <w:spacing w:val="1"/>
              </w:rPr>
              <w:t>7.5m×21m</w:t>
            </w:r>
          </w:p>
        </w:tc>
        <w:tc>
          <w:tcPr>
            <w:tcW w:w="4129" w:type="dxa"/>
            <w:vAlign w:val="top"/>
          </w:tcPr>
          <w:p>
            <w:pPr>
              <w:pStyle w:val="TableText"/>
              <w:ind w:left="73"/>
              <w:spacing w:before="33" w:line="228" w:lineRule="auto"/>
              <w:rPr>
                <w:rFonts w:ascii="SimSun" w:hAnsi="SimSun" w:eastAsia="SimSun" w:cs="SimSun"/>
              </w:rPr>
            </w:pPr>
            <w:r>
              <w:rPr>
                <w:rFonts w:ascii="SimSun" w:hAnsi="SimSun" w:eastAsia="SimSun" w:cs="SimSun"/>
                <w:spacing w:val="7"/>
              </w:rPr>
              <w:t>位于风选车间南侧</w:t>
            </w:r>
            <w:r>
              <w:rPr>
                <w:rFonts w:ascii="SimSun" w:hAnsi="SimSun" w:eastAsia="SimSun" w:cs="SimSun"/>
                <w:spacing w:val="-35"/>
              </w:rPr>
              <w:t xml:space="preserve"> </w:t>
            </w:r>
            <w:r>
              <w:rPr>
                <w:spacing w:val="7"/>
              </w:rPr>
              <w:t>60m</w:t>
            </w:r>
            <w:r>
              <w:rPr>
                <w:spacing w:val="-26"/>
              </w:rPr>
              <w:t xml:space="preserve"> </w:t>
            </w:r>
            <w:r>
              <w:rPr>
                <w:rFonts w:ascii="SimSun" w:hAnsi="SimSun" w:eastAsia="SimSun" w:cs="SimSun"/>
                <w:spacing w:val="7"/>
              </w:rPr>
              <w:t>，风选车间来煤缓冲</w:t>
            </w:r>
          </w:p>
          <w:p>
            <w:pPr>
              <w:pStyle w:val="TableText"/>
              <w:ind w:left="1165"/>
              <w:spacing w:before="24" w:line="216" w:lineRule="auto"/>
              <w:rPr/>
            </w:pPr>
            <w:r>
              <w:rPr>
                <w:rFonts w:ascii="SimSun" w:hAnsi="SimSun" w:eastAsia="SimSun" w:cs="SimSun"/>
                <w:spacing w:val="1"/>
              </w:rPr>
              <w:t>仓，</w:t>
            </w:r>
            <w:r>
              <w:rPr>
                <w:rFonts w:ascii="SimSun" w:hAnsi="SimSun" w:eastAsia="SimSun" w:cs="SimSun"/>
                <w:spacing w:val="-46"/>
              </w:rPr>
              <w:t xml:space="preserve"> </w:t>
            </w:r>
            <w:r>
              <w:rPr>
                <w:rFonts w:ascii="SimSun" w:hAnsi="SimSun" w:eastAsia="SimSun" w:cs="SimSun"/>
                <w:spacing w:val="1"/>
              </w:rPr>
              <w:t>占地</w:t>
            </w:r>
            <w:r>
              <w:rPr>
                <w:rFonts w:ascii="SimSun" w:hAnsi="SimSun" w:eastAsia="SimSun" w:cs="SimSun"/>
                <w:spacing w:val="-38"/>
              </w:rPr>
              <w:t xml:space="preserve"> </w:t>
            </w:r>
            <w:r>
              <w:rPr>
                <w:spacing w:val="1"/>
              </w:rPr>
              <w:t>7.5m×21m</w:t>
            </w:r>
          </w:p>
        </w:tc>
        <w:tc>
          <w:tcPr>
            <w:tcW w:w="3659" w:type="dxa"/>
            <w:vAlign w:val="top"/>
          </w:tcPr>
          <w:p>
            <w:pPr>
              <w:ind w:left="1626"/>
              <w:spacing w:before="168"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480"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bottom w:val="nil"/>
            </w:tcBorders>
          </w:tcPr>
          <w:p>
            <w:pPr>
              <w:rPr>
                <w:rFonts w:ascii="Arial"/>
                <w:sz w:val="21"/>
              </w:rPr>
            </w:pPr>
            <w:r/>
          </w:p>
        </w:tc>
        <w:tc>
          <w:tcPr>
            <w:tcW w:w="815" w:type="dxa"/>
            <w:vAlign w:val="top"/>
          </w:tcPr>
          <w:p>
            <w:pPr>
              <w:ind w:left="95"/>
              <w:spacing w:before="135" w:line="228" w:lineRule="auto"/>
              <w:rPr>
                <w:rFonts w:ascii="SimSun" w:hAnsi="SimSun" w:eastAsia="SimSun" w:cs="SimSun"/>
                <w:sz w:val="20"/>
                <w:szCs w:val="20"/>
              </w:rPr>
            </w:pPr>
            <w:r>
              <w:rPr>
                <w:rFonts w:ascii="SimSun" w:hAnsi="SimSun" w:eastAsia="SimSun" w:cs="SimSun"/>
                <w:sz w:val="20"/>
                <w:szCs w:val="20"/>
                <w:spacing w:val="6"/>
              </w:rPr>
              <w:t>末煤仓</w:t>
            </w:r>
          </w:p>
        </w:tc>
        <w:tc>
          <w:tcPr>
            <w:tcW w:w="4119" w:type="dxa"/>
            <w:vAlign w:val="top"/>
          </w:tcPr>
          <w:p>
            <w:pPr>
              <w:pStyle w:val="TableText"/>
              <w:ind w:left="158"/>
              <w:spacing w:before="134" w:line="228" w:lineRule="auto"/>
              <w:rPr/>
            </w:pPr>
            <w:r>
              <w:rPr>
                <w:rFonts w:ascii="SimSun" w:hAnsi="SimSun" w:eastAsia="SimSun" w:cs="SimSun"/>
                <w:spacing w:val="2"/>
              </w:rPr>
              <w:t>位于风选车间南侧</w:t>
            </w:r>
            <w:r>
              <w:rPr>
                <w:rFonts w:ascii="SimSun" w:hAnsi="SimSun" w:eastAsia="SimSun" w:cs="SimSun"/>
                <w:spacing w:val="-5"/>
              </w:rPr>
              <w:t xml:space="preserve"> </w:t>
            </w:r>
            <w:r>
              <w:rPr>
                <w:spacing w:val="2"/>
              </w:rPr>
              <w:t>100m</w:t>
            </w:r>
            <w:r>
              <w:rPr>
                <w:spacing w:val="-29"/>
              </w:rPr>
              <w:t xml:space="preserve"> </w:t>
            </w:r>
            <w:r>
              <w:rPr>
                <w:rFonts w:ascii="SimSun" w:hAnsi="SimSun" w:eastAsia="SimSun" w:cs="SimSun"/>
                <w:spacing w:val="2"/>
              </w:rPr>
              <w:t>，</w:t>
            </w:r>
            <w:r>
              <w:rPr>
                <w:rFonts w:ascii="SimSun" w:hAnsi="SimSun" w:eastAsia="SimSun" w:cs="SimSun"/>
                <w:spacing w:val="-51"/>
              </w:rPr>
              <w:t xml:space="preserve"> </w:t>
            </w:r>
            <w:r>
              <w:rPr>
                <w:rFonts w:ascii="SimSun" w:hAnsi="SimSun" w:eastAsia="SimSun" w:cs="SimSun"/>
                <w:spacing w:val="2"/>
              </w:rPr>
              <w:t>占地</w:t>
            </w:r>
            <w:r>
              <w:rPr>
                <w:rFonts w:ascii="SimSun" w:hAnsi="SimSun" w:eastAsia="SimSun" w:cs="SimSun"/>
                <w:spacing w:val="-37"/>
              </w:rPr>
              <w:t xml:space="preserve"> </w:t>
            </w:r>
            <w:r>
              <w:rPr>
                <w:spacing w:val="2"/>
              </w:rPr>
              <w:t>7.5m×21m</w:t>
            </w:r>
          </w:p>
        </w:tc>
        <w:tc>
          <w:tcPr>
            <w:tcW w:w="4129" w:type="dxa"/>
            <w:vAlign w:val="top"/>
          </w:tcPr>
          <w:p>
            <w:pPr>
              <w:pStyle w:val="TableText"/>
              <w:ind w:left="165"/>
              <w:spacing w:before="134" w:line="228" w:lineRule="auto"/>
              <w:rPr/>
            </w:pPr>
            <w:r>
              <w:rPr>
                <w:rFonts w:ascii="SimSun" w:hAnsi="SimSun" w:eastAsia="SimSun" w:cs="SimSun"/>
                <w:spacing w:val="2"/>
              </w:rPr>
              <w:t>位于风选车间南侧</w:t>
            </w:r>
            <w:r>
              <w:rPr>
                <w:rFonts w:ascii="SimSun" w:hAnsi="SimSun" w:eastAsia="SimSun" w:cs="SimSun"/>
                <w:spacing w:val="-5"/>
              </w:rPr>
              <w:t xml:space="preserve"> </w:t>
            </w:r>
            <w:r>
              <w:rPr>
                <w:spacing w:val="2"/>
              </w:rPr>
              <w:t>100m</w:t>
            </w:r>
            <w:r>
              <w:rPr>
                <w:spacing w:val="-26"/>
              </w:rPr>
              <w:t xml:space="preserve"> </w:t>
            </w:r>
            <w:r>
              <w:rPr>
                <w:rFonts w:ascii="SimSun" w:hAnsi="SimSun" w:eastAsia="SimSun" w:cs="SimSun"/>
                <w:spacing w:val="2"/>
              </w:rPr>
              <w:t>，</w:t>
            </w:r>
            <w:r>
              <w:rPr>
                <w:rFonts w:ascii="SimSun" w:hAnsi="SimSun" w:eastAsia="SimSun" w:cs="SimSun"/>
                <w:spacing w:val="-52"/>
              </w:rPr>
              <w:t xml:space="preserve"> </w:t>
            </w:r>
            <w:r>
              <w:rPr>
                <w:rFonts w:ascii="SimSun" w:hAnsi="SimSun" w:eastAsia="SimSun" w:cs="SimSun"/>
                <w:spacing w:val="2"/>
              </w:rPr>
              <w:t>占地</w:t>
            </w:r>
            <w:r>
              <w:rPr>
                <w:rFonts w:ascii="SimSun" w:hAnsi="SimSun" w:eastAsia="SimSun" w:cs="SimSun"/>
                <w:spacing w:val="-39"/>
              </w:rPr>
              <w:t xml:space="preserve"> </w:t>
            </w:r>
            <w:r>
              <w:rPr>
                <w:spacing w:val="2"/>
              </w:rPr>
              <w:t>7.5m×21m</w:t>
            </w:r>
          </w:p>
        </w:tc>
        <w:tc>
          <w:tcPr>
            <w:tcW w:w="3659" w:type="dxa"/>
            <w:vAlign w:val="top"/>
          </w:tcPr>
          <w:p>
            <w:pPr>
              <w:ind w:left="1626"/>
              <w:spacing w:before="13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90" w:hRule="atLeast"/>
        </w:trPr>
        <w:tc>
          <w:tcPr>
            <w:tcW w:w="573" w:type="dxa"/>
            <w:vAlign w:val="top"/>
            <w:vMerge w:val="continue"/>
            <w:tcBorders>
              <w:top w:val="nil"/>
              <w:bottom w:val="nil"/>
            </w:tcBorders>
          </w:tcPr>
          <w:p>
            <w:pPr>
              <w:rPr>
                <w:rFonts w:ascii="Arial"/>
                <w:sz w:val="21"/>
              </w:rPr>
            </w:pPr>
            <w:r/>
          </w:p>
        </w:tc>
        <w:tc>
          <w:tcPr>
            <w:tcW w:w="475" w:type="dxa"/>
            <w:vAlign w:val="top"/>
            <w:vMerge w:val="continue"/>
            <w:tcBorders>
              <w:top w:val="nil"/>
              <w:bottom w:val="nil"/>
            </w:tcBorders>
          </w:tcPr>
          <w:p>
            <w:pPr>
              <w:rPr>
                <w:rFonts w:ascii="Arial"/>
                <w:sz w:val="21"/>
              </w:rPr>
            </w:pPr>
            <w:r/>
          </w:p>
        </w:tc>
        <w:tc>
          <w:tcPr>
            <w:tcW w:w="564" w:type="dxa"/>
            <w:vAlign w:val="top"/>
            <w:vMerge w:val="continue"/>
            <w:tcBorders>
              <w:top w:val="nil"/>
            </w:tcBorders>
          </w:tcPr>
          <w:p>
            <w:pPr>
              <w:rPr>
                <w:rFonts w:ascii="Arial"/>
                <w:sz w:val="21"/>
              </w:rPr>
            </w:pPr>
            <w:r/>
          </w:p>
        </w:tc>
        <w:tc>
          <w:tcPr>
            <w:tcW w:w="815" w:type="dxa"/>
            <w:vAlign w:val="top"/>
          </w:tcPr>
          <w:p>
            <w:pPr>
              <w:pStyle w:val="TableText"/>
              <w:ind w:left="43"/>
              <w:spacing w:before="189" w:line="230" w:lineRule="auto"/>
              <w:rPr/>
            </w:pPr>
            <w:r>
              <w:rPr>
                <w:rFonts w:ascii="SimSun" w:hAnsi="SimSun" w:eastAsia="SimSun" w:cs="SimSun"/>
                <w:spacing w:val="6"/>
              </w:rPr>
              <w:t>联合仓</w:t>
            </w:r>
            <w:r>
              <w:rPr>
                <w:spacing w:val="6"/>
              </w:rPr>
              <w:t>*</w:t>
            </w:r>
          </w:p>
        </w:tc>
        <w:tc>
          <w:tcPr>
            <w:tcW w:w="4119" w:type="dxa"/>
            <w:vAlign w:val="top"/>
          </w:tcPr>
          <w:p>
            <w:pPr>
              <w:pStyle w:val="TableText"/>
              <w:ind w:left="112"/>
              <w:spacing w:before="189" w:line="228" w:lineRule="auto"/>
              <w:rPr/>
            </w:pPr>
            <w:r>
              <w:rPr>
                <w:rFonts w:ascii="SimSun" w:hAnsi="SimSun" w:eastAsia="SimSun" w:cs="SimSun"/>
                <w:spacing w:val="5"/>
              </w:rPr>
              <w:t>位于原煤仓南侧</w:t>
            </w:r>
            <w:r>
              <w:rPr>
                <w:rFonts w:ascii="SimSun" w:hAnsi="SimSun" w:eastAsia="SimSun" w:cs="SimSun"/>
                <w:spacing w:val="-34"/>
              </w:rPr>
              <w:t xml:space="preserve"> </w:t>
            </w:r>
            <w:r>
              <w:rPr>
                <w:spacing w:val="5"/>
              </w:rPr>
              <w:t>20m</w:t>
            </w:r>
            <w:r>
              <w:rPr>
                <w:spacing w:val="-26"/>
              </w:rPr>
              <w:t xml:space="preserve"> </w:t>
            </w:r>
            <w:r>
              <w:rPr>
                <w:rFonts w:ascii="SimSun" w:hAnsi="SimSun" w:eastAsia="SimSun" w:cs="SimSun"/>
                <w:spacing w:val="5"/>
              </w:rPr>
              <w:t>，占地占地</w:t>
            </w:r>
            <w:r>
              <w:rPr>
                <w:rFonts w:ascii="SimSun" w:hAnsi="SimSun" w:eastAsia="SimSun" w:cs="SimSun"/>
                <w:spacing w:val="-38"/>
              </w:rPr>
              <w:t xml:space="preserve"> </w:t>
            </w:r>
            <w:r>
              <w:rPr>
                <w:spacing w:val="5"/>
              </w:rPr>
              <w:t>7.5m×21m</w:t>
            </w:r>
          </w:p>
        </w:tc>
        <w:tc>
          <w:tcPr>
            <w:tcW w:w="4129" w:type="dxa"/>
            <w:vAlign w:val="top"/>
          </w:tcPr>
          <w:p>
            <w:pPr>
              <w:pStyle w:val="TableText"/>
              <w:ind w:left="112"/>
              <w:spacing w:before="189" w:line="228" w:lineRule="auto"/>
              <w:rPr/>
            </w:pPr>
            <w:r>
              <w:rPr>
                <w:rFonts w:ascii="SimSun" w:hAnsi="SimSun" w:eastAsia="SimSun" w:cs="SimSun"/>
                <w:spacing w:val="3"/>
              </w:rPr>
              <w:t>位于原煤仓南侧</w:t>
            </w:r>
            <w:r>
              <w:rPr>
                <w:rFonts w:ascii="SimSun" w:hAnsi="SimSun" w:eastAsia="SimSun" w:cs="SimSun"/>
                <w:spacing w:val="-25"/>
              </w:rPr>
              <w:t xml:space="preserve"> </w:t>
            </w:r>
            <w:r>
              <w:rPr>
                <w:spacing w:val="3"/>
              </w:rPr>
              <w:t>20m</w:t>
            </w:r>
            <w:r>
              <w:rPr>
                <w:spacing w:val="-29"/>
              </w:rPr>
              <w:t xml:space="preserve"> </w:t>
            </w:r>
            <w:r>
              <w:rPr>
                <w:rFonts w:ascii="SimSun" w:hAnsi="SimSun" w:eastAsia="SimSun" w:cs="SimSun"/>
                <w:spacing w:val="3"/>
              </w:rPr>
              <w:t>，</w:t>
            </w:r>
            <w:r>
              <w:rPr>
                <w:rFonts w:ascii="SimSun" w:hAnsi="SimSun" w:eastAsia="SimSun" w:cs="SimSun"/>
                <w:spacing w:val="-51"/>
              </w:rPr>
              <w:t xml:space="preserve"> </w:t>
            </w:r>
            <w:r>
              <w:rPr>
                <w:rFonts w:ascii="SimSun" w:hAnsi="SimSun" w:eastAsia="SimSun" w:cs="SimSun"/>
                <w:spacing w:val="3"/>
              </w:rPr>
              <w:t>占地占地</w:t>
            </w:r>
            <w:r>
              <w:rPr>
                <w:rFonts w:ascii="SimSun" w:hAnsi="SimSun" w:eastAsia="SimSun" w:cs="SimSun"/>
                <w:spacing w:val="-37"/>
              </w:rPr>
              <w:t xml:space="preserve"> </w:t>
            </w:r>
            <w:r>
              <w:rPr>
                <w:spacing w:val="3"/>
              </w:rPr>
              <w:t>7.5m×21m</w:t>
            </w:r>
          </w:p>
        </w:tc>
        <w:tc>
          <w:tcPr>
            <w:tcW w:w="3659" w:type="dxa"/>
            <w:vAlign w:val="top"/>
          </w:tcPr>
          <w:p>
            <w:pPr>
              <w:ind w:left="1626"/>
              <w:spacing w:before="190"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369" w:hRule="atLeast"/>
        </w:trPr>
        <w:tc>
          <w:tcPr>
            <w:tcW w:w="573" w:type="dxa"/>
            <w:vAlign w:val="top"/>
            <w:vMerge w:val="continue"/>
            <w:tcBorders>
              <w:top w:val="nil"/>
            </w:tcBorders>
          </w:tcPr>
          <w:p>
            <w:pPr>
              <w:rPr>
                <w:rFonts w:ascii="Arial"/>
                <w:sz w:val="21"/>
              </w:rPr>
            </w:pPr>
            <w:r/>
          </w:p>
        </w:tc>
        <w:tc>
          <w:tcPr>
            <w:tcW w:w="475" w:type="dxa"/>
            <w:vAlign w:val="top"/>
            <w:vMerge w:val="continue"/>
            <w:tcBorders>
              <w:top w:val="nil"/>
            </w:tcBorders>
          </w:tcPr>
          <w:p>
            <w:pPr>
              <w:rPr>
                <w:rFonts w:ascii="Arial"/>
                <w:sz w:val="21"/>
              </w:rPr>
            </w:pPr>
            <w:r/>
          </w:p>
        </w:tc>
        <w:tc>
          <w:tcPr>
            <w:tcW w:w="1379" w:type="dxa"/>
            <w:vAlign w:val="top"/>
            <w:gridSpan w:val="2"/>
          </w:tcPr>
          <w:p>
            <w:pPr>
              <w:ind w:left="169"/>
              <w:spacing w:before="80" w:line="228" w:lineRule="auto"/>
              <w:rPr>
                <w:rFonts w:ascii="SimSun" w:hAnsi="SimSun" w:eastAsia="SimSun" w:cs="SimSun"/>
                <w:sz w:val="20"/>
                <w:szCs w:val="20"/>
              </w:rPr>
            </w:pPr>
            <w:r>
              <w:rPr>
                <w:rFonts w:ascii="SimSun" w:hAnsi="SimSun" w:eastAsia="SimSun" w:cs="SimSun"/>
                <w:sz w:val="20"/>
                <w:szCs w:val="20"/>
                <w:spacing w:val="7"/>
              </w:rPr>
              <w:t>备用储煤场</w:t>
            </w:r>
          </w:p>
        </w:tc>
        <w:tc>
          <w:tcPr>
            <w:tcW w:w="4119" w:type="dxa"/>
            <w:vAlign w:val="top"/>
          </w:tcPr>
          <w:p>
            <w:pPr>
              <w:ind w:left="1435"/>
              <w:spacing w:before="80" w:line="228" w:lineRule="auto"/>
              <w:rPr>
                <w:rFonts w:ascii="SimSun" w:hAnsi="SimSun" w:eastAsia="SimSun" w:cs="SimSun"/>
                <w:sz w:val="20"/>
                <w:szCs w:val="20"/>
              </w:rPr>
            </w:pPr>
            <w:r>
              <w:rPr>
                <w:rFonts w:ascii="SimSun" w:hAnsi="SimSun" w:eastAsia="SimSun" w:cs="SimSun"/>
                <w:sz w:val="20"/>
                <w:szCs w:val="20"/>
                <w:spacing w:val="8"/>
              </w:rPr>
              <w:t>全封闭储煤场</w:t>
            </w:r>
          </w:p>
        </w:tc>
        <w:tc>
          <w:tcPr>
            <w:tcW w:w="4129" w:type="dxa"/>
            <w:vAlign w:val="top"/>
          </w:tcPr>
          <w:p>
            <w:pPr>
              <w:ind w:left="1441"/>
              <w:spacing w:before="80" w:line="228" w:lineRule="auto"/>
              <w:rPr>
                <w:rFonts w:ascii="SimSun" w:hAnsi="SimSun" w:eastAsia="SimSun" w:cs="SimSun"/>
                <w:sz w:val="20"/>
                <w:szCs w:val="20"/>
              </w:rPr>
            </w:pPr>
            <w:r>
              <w:rPr>
                <w:rFonts w:ascii="SimSun" w:hAnsi="SimSun" w:eastAsia="SimSun" w:cs="SimSun"/>
                <w:sz w:val="20"/>
                <w:szCs w:val="20"/>
                <w:spacing w:val="8"/>
              </w:rPr>
              <w:t>全封闭储煤场</w:t>
            </w:r>
          </w:p>
        </w:tc>
        <w:tc>
          <w:tcPr>
            <w:tcW w:w="3659" w:type="dxa"/>
            <w:vAlign w:val="top"/>
          </w:tcPr>
          <w:p>
            <w:pPr>
              <w:ind w:left="1626"/>
              <w:spacing w:before="79"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477" w:hRule="atLeast"/>
        </w:trPr>
        <w:tc>
          <w:tcPr>
            <w:tcW w:w="573" w:type="dxa"/>
            <w:vAlign w:val="top"/>
          </w:tcPr>
          <w:p>
            <w:pPr>
              <w:spacing w:line="295" w:lineRule="auto"/>
              <w:rPr>
                <w:rFonts w:ascii="Arial"/>
                <w:sz w:val="21"/>
              </w:rPr>
            </w:pPr>
            <w:r/>
          </w:p>
          <w:p>
            <w:pPr>
              <w:ind w:left="81" w:right="78"/>
              <w:spacing w:before="65" w:line="251" w:lineRule="auto"/>
              <w:rPr>
                <w:rFonts w:ascii="SimSun" w:hAnsi="SimSun" w:eastAsia="SimSun" w:cs="SimSun"/>
                <w:sz w:val="20"/>
                <w:szCs w:val="20"/>
              </w:rPr>
            </w:pPr>
            <w:r>
              <w:rPr>
                <w:rFonts w:ascii="SimSun" w:hAnsi="SimSun" w:eastAsia="SimSun" w:cs="SimSun"/>
                <w:sz w:val="20"/>
                <w:szCs w:val="20"/>
                <w:spacing w:val="3"/>
              </w:rPr>
              <w:t>辅助</w:t>
            </w:r>
            <w:r>
              <w:rPr>
                <w:rFonts w:ascii="SimSun" w:hAnsi="SimSun" w:eastAsia="SimSun" w:cs="SimSun"/>
                <w:sz w:val="20"/>
                <w:szCs w:val="20"/>
                <w:spacing w:val="3"/>
              </w:rPr>
              <w:t>生产</w:t>
            </w:r>
          </w:p>
          <w:p>
            <w:pPr>
              <w:ind w:left="84"/>
              <w:spacing w:line="229" w:lineRule="auto"/>
              <w:rPr>
                <w:rFonts w:ascii="SimSun" w:hAnsi="SimSun" w:eastAsia="SimSun" w:cs="SimSun"/>
                <w:sz w:val="20"/>
                <w:szCs w:val="20"/>
              </w:rPr>
            </w:pPr>
            <w:r>
              <w:rPr>
                <w:rFonts w:ascii="SimSun" w:hAnsi="SimSun" w:eastAsia="SimSun" w:cs="SimSun"/>
                <w:sz w:val="20"/>
                <w:szCs w:val="20"/>
                <w:spacing w:val="2"/>
              </w:rPr>
              <w:t>系统</w:t>
            </w:r>
          </w:p>
        </w:tc>
        <w:tc>
          <w:tcPr>
            <w:tcW w:w="1854" w:type="dxa"/>
            <w:vAlign w:val="top"/>
            <w:gridSpan w:val="3"/>
          </w:tcPr>
          <w:p>
            <w:pPr>
              <w:spacing w:line="281" w:lineRule="auto"/>
              <w:rPr>
                <w:rFonts w:ascii="Arial"/>
                <w:sz w:val="21"/>
              </w:rPr>
            </w:pPr>
            <w:r/>
          </w:p>
          <w:p>
            <w:pPr>
              <w:spacing w:line="282" w:lineRule="auto"/>
              <w:rPr>
                <w:rFonts w:ascii="Arial"/>
                <w:sz w:val="21"/>
              </w:rPr>
            </w:pPr>
            <w:r/>
          </w:p>
          <w:p>
            <w:pPr>
              <w:ind w:left="300"/>
              <w:spacing w:before="65" w:line="228" w:lineRule="auto"/>
              <w:rPr>
                <w:rFonts w:ascii="SimSun" w:hAnsi="SimSun" w:eastAsia="SimSun" w:cs="SimSun"/>
                <w:sz w:val="20"/>
                <w:szCs w:val="20"/>
              </w:rPr>
            </w:pPr>
            <w:r>
              <w:rPr>
                <w:rFonts w:ascii="SimSun" w:hAnsi="SimSun" w:eastAsia="SimSun" w:cs="SimSun"/>
                <w:sz w:val="20"/>
                <w:szCs w:val="20"/>
                <w:spacing w:val="8"/>
              </w:rPr>
              <w:t>矿井辅助设施</w:t>
            </w:r>
          </w:p>
        </w:tc>
        <w:tc>
          <w:tcPr>
            <w:tcW w:w="4119" w:type="dxa"/>
            <w:vAlign w:val="top"/>
          </w:tcPr>
          <w:p>
            <w:pPr>
              <w:spacing w:line="293" w:lineRule="auto"/>
              <w:rPr>
                <w:rFonts w:ascii="Arial"/>
                <w:sz w:val="21"/>
              </w:rPr>
            </w:pPr>
            <w:r/>
          </w:p>
          <w:p>
            <w:pPr>
              <w:ind w:left="112"/>
              <w:spacing w:before="65" w:line="228" w:lineRule="auto"/>
              <w:rPr>
                <w:rFonts w:ascii="SimSun" w:hAnsi="SimSun" w:eastAsia="SimSun" w:cs="SimSun"/>
                <w:sz w:val="20"/>
                <w:szCs w:val="20"/>
              </w:rPr>
            </w:pPr>
            <w:r>
              <w:rPr>
                <w:rFonts w:ascii="SimSun" w:hAnsi="SimSun" w:eastAsia="SimSun" w:cs="SimSun"/>
                <w:sz w:val="20"/>
                <w:szCs w:val="20"/>
                <w:spacing w:val="4"/>
              </w:rPr>
              <w:t>位于露天工业场地内，设有大型设备组装场</w:t>
            </w:r>
          </w:p>
          <w:p>
            <w:pPr>
              <w:ind w:left="112"/>
              <w:spacing w:before="24" w:line="227" w:lineRule="auto"/>
              <w:rPr>
                <w:rFonts w:ascii="SimSun" w:hAnsi="SimSun" w:eastAsia="SimSun" w:cs="SimSun"/>
                <w:sz w:val="20"/>
                <w:szCs w:val="20"/>
              </w:rPr>
            </w:pPr>
            <w:r>
              <w:rPr>
                <w:rFonts w:ascii="SimSun" w:hAnsi="SimSun" w:eastAsia="SimSun" w:cs="SimSun"/>
                <w:sz w:val="20"/>
                <w:szCs w:val="20"/>
                <w:spacing w:val="5"/>
              </w:rPr>
              <w:t>地、机修和清洗车间、车库区、污水厂、换</w:t>
            </w:r>
          </w:p>
          <w:p>
            <w:pPr>
              <w:ind w:left="1122"/>
              <w:spacing w:before="27" w:line="228" w:lineRule="auto"/>
              <w:rPr>
                <w:rFonts w:ascii="SimSun" w:hAnsi="SimSun" w:eastAsia="SimSun" w:cs="SimSun"/>
                <w:sz w:val="20"/>
                <w:szCs w:val="20"/>
              </w:rPr>
            </w:pPr>
            <w:r>
              <w:rPr>
                <w:rFonts w:ascii="SimSun" w:hAnsi="SimSun" w:eastAsia="SimSun" w:cs="SimSun"/>
                <w:sz w:val="20"/>
                <w:szCs w:val="20"/>
                <w:spacing w:val="8"/>
              </w:rPr>
              <w:t>热站、行政生活区等</w:t>
            </w:r>
          </w:p>
        </w:tc>
        <w:tc>
          <w:tcPr>
            <w:tcW w:w="4129" w:type="dxa"/>
            <w:vAlign w:val="top"/>
          </w:tcPr>
          <w:p>
            <w:pPr>
              <w:spacing w:line="293" w:lineRule="auto"/>
              <w:rPr>
                <w:rFonts w:ascii="Arial"/>
                <w:sz w:val="21"/>
              </w:rPr>
            </w:pPr>
            <w:r/>
          </w:p>
          <w:p>
            <w:pPr>
              <w:ind w:left="76"/>
              <w:spacing w:before="65" w:line="228" w:lineRule="auto"/>
              <w:rPr>
                <w:rFonts w:ascii="SimSun" w:hAnsi="SimSun" w:eastAsia="SimSun" w:cs="SimSun"/>
                <w:sz w:val="20"/>
                <w:szCs w:val="20"/>
              </w:rPr>
            </w:pPr>
            <w:r>
              <w:rPr>
                <w:rFonts w:ascii="SimSun" w:hAnsi="SimSun" w:eastAsia="SimSun" w:cs="SimSun"/>
                <w:sz w:val="20"/>
                <w:szCs w:val="20"/>
                <w:spacing w:val="9"/>
              </w:rPr>
              <w:t>位于露天工业场地内，设有大型设备组装场</w:t>
            </w:r>
          </w:p>
          <w:p>
            <w:pPr>
              <w:ind w:left="76"/>
              <w:spacing w:before="24" w:line="227" w:lineRule="auto"/>
              <w:rPr>
                <w:rFonts w:ascii="SimSun" w:hAnsi="SimSun" w:eastAsia="SimSun" w:cs="SimSun"/>
                <w:sz w:val="20"/>
                <w:szCs w:val="20"/>
              </w:rPr>
            </w:pPr>
            <w:r>
              <w:rPr>
                <w:rFonts w:ascii="SimSun" w:hAnsi="SimSun" w:eastAsia="SimSun" w:cs="SimSun"/>
                <w:sz w:val="20"/>
                <w:szCs w:val="20"/>
                <w:spacing w:val="9"/>
              </w:rPr>
              <w:t>地、机修和清洗车间、车库区、污水厂、换</w:t>
            </w:r>
          </w:p>
          <w:p>
            <w:pPr>
              <w:ind w:left="1129"/>
              <w:spacing w:before="27" w:line="228" w:lineRule="auto"/>
              <w:rPr>
                <w:rFonts w:ascii="SimSun" w:hAnsi="SimSun" w:eastAsia="SimSun" w:cs="SimSun"/>
                <w:sz w:val="20"/>
                <w:szCs w:val="20"/>
              </w:rPr>
            </w:pPr>
            <w:r>
              <w:rPr>
                <w:rFonts w:ascii="SimSun" w:hAnsi="SimSun" w:eastAsia="SimSun" w:cs="SimSun"/>
                <w:sz w:val="20"/>
                <w:szCs w:val="20"/>
                <w:spacing w:val="8"/>
              </w:rPr>
              <w:t>热站、行政生活区等</w:t>
            </w:r>
          </w:p>
        </w:tc>
        <w:tc>
          <w:tcPr>
            <w:tcW w:w="3659" w:type="dxa"/>
            <w:vAlign w:val="top"/>
          </w:tcPr>
          <w:p>
            <w:pPr>
              <w:spacing w:line="281" w:lineRule="auto"/>
              <w:rPr>
                <w:rFonts w:ascii="Arial"/>
                <w:sz w:val="21"/>
              </w:rPr>
            </w:pPr>
            <w:r/>
          </w:p>
          <w:p>
            <w:pPr>
              <w:spacing w:line="282" w:lineRule="auto"/>
              <w:rPr>
                <w:rFonts w:ascii="Arial"/>
                <w:sz w:val="21"/>
              </w:rPr>
            </w:pPr>
            <w:r/>
          </w:p>
          <w:p>
            <w:pPr>
              <w:ind w:left="1626"/>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813" w:hRule="atLeast"/>
        </w:trPr>
        <w:tc>
          <w:tcPr>
            <w:tcW w:w="573" w:type="dxa"/>
            <w:vAlign w:val="top"/>
            <w:vMerge w:val="restart"/>
            <w:tcBorders>
              <w:bottom w:val="nil"/>
            </w:tcBorders>
          </w:tcPr>
          <w:p>
            <w:pPr>
              <w:spacing w:line="382" w:lineRule="auto"/>
              <w:rPr>
                <w:rFonts w:ascii="Arial"/>
                <w:sz w:val="21"/>
              </w:rPr>
            </w:pPr>
            <w:r/>
          </w:p>
          <w:p>
            <w:pPr>
              <w:ind w:left="84" w:right="78" w:hanging="5"/>
              <w:spacing w:before="65" w:line="252" w:lineRule="auto"/>
              <w:rPr>
                <w:rFonts w:ascii="SimSun" w:hAnsi="SimSun" w:eastAsia="SimSun" w:cs="SimSun"/>
                <w:sz w:val="20"/>
                <w:szCs w:val="20"/>
              </w:rPr>
            </w:pPr>
            <w:r>
              <w:rPr>
                <w:rFonts w:ascii="SimSun" w:hAnsi="SimSun" w:eastAsia="SimSun" w:cs="SimSun"/>
                <w:sz w:val="20"/>
                <w:szCs w:val="20"/>
                <w:spacing w:val="5"/>
              </w:rPr>
              <w:t>输送</w:t>
            </w:r>
            <w:r>
              <w:rPr>
                <w:rFonts w:ascii="SimSun" w:hAnsi="SimSun" w:eastAsia="SimSun" w:cs="SimSun"/>
                <w:sz w:val="20"/>
                <w:szCs w:val="20"/>
                <w:spacing w:val="2"/>
              </w:rPr>
              <w:t>系统</w:t>
            </w:r>
          </w:p>
        </w:tc>
        <w:tc>
          <w:tcPr>
            <w:tcW w:w="1854" w:type="dxa"/>
            <w:vAlign w:val="top"/>
            <w:gridSpan w:val="3"/>
          </w:tcPr>
          <w:p>
            <w:pPr>
              <w:ind w:left="509"/>
              <w:spacing w:before="301" w:line="228" w:lineRule="auto"/>
              <w:rPr>
                <w:rFonts w:ascii="SimSun" w:hAnsi="SimSun" w:eastAsia="SimSun" w:cs="SimSun"/>
                <w:sz w:val="20"/>
                <w:szCs w:val="20"/>
              </w:rPr>
            </w:pPr>
            <w:r>
              <w:rPr>
                <w:rFonts w:ascii="SimSun" w:hAnsi="SimSun" w:eastAsia="SimSun" w:cs="SimSun"/>
                <w:sz w:val="20"/>
                <w:szCs w:val="20"/>
                <w:spacing w:val="7"/>
              </w:rPr>
              <w:t>场外道路</w:t>
            </w:r>
          </w:p>
        </w:tc>
        <w:tc>
          <w:tcPr>
            <w:tcW w:w="4119" w:type="dxa"/>
            <w:vAlign w:val="top"/>
          </w:tcPr>
          <w:p>
            <w:pPr>
              <w:pStyle w:val="TableText"/>
              <w:ind w:left="645"/>
              <w:spacing w:before="301" w:line="228" w:lineRule="auto"/>
              <w:rPr/>
            </w:pPr>
            <w:r>
              <w:rPr>
                <w:rFonts w:ascii="SimSun" w:hAnsi="SimSun" w:eastAsia="SimSun" w:cs="SimSun"/>
                <w:spacing w:val="8"/>
              </w:rPr>
              <w:t>工业场地外联络道路，</w:t>
            </w:r>
            <w:r>
              <w:rPr>
                <w:spacing w:val="8"/>
              </w:rPr>
              <w:t>9.778</w:t>
            </w:r>
            <w:r>
              <w:rPr/>
              <w:t>km</w:t>
            </w:r>
          </w:p>
        </w:tc>
        <w:tc>
          <w:tcPr>
            <w:tcW w:w="4129" w:type="dxa"/>
            <w:vAlign w:val="top"/>
          </w:tcPr>
          <w:p>
            <w:pPr>
              <w:pStyle w:val="TableText"/>
              <w:ind w:left="652"/>
              <w:spacing w:before="301" w:line="228" w:lineRule="auto"/>
              <w:rPr/>
            </w:pPr>
            <w:r>
              <w:rPr>
                <w:rFonts w:ascii="SimSun" w:hAnsi="SimSun" w:eastAsia="SimSun" w:cs="SimSun"/>
                <w:spacing w:val="8"/>
              </w:rPr>
              <w:t>工业场地外联络道路，</w:t>
            </w:r>
            <w:r>
              <w:rPr>
                <w:spacing w:val="8"/>
              </w:rPr>
              <w:t>9.778</w:t>
            </w:r>
            <w:r>
              <w:rPr/>
              <w:t>km</w:t>
            </w:r>
          </w:p>
        </w:tc>
        <w:tc>
          <w:tcPr>
            <w:tcW w:w="3659" w:type="dxa"/>
            <w:vAlign w:val="top"/>
          </w:tcPr>
          <w:p>
            <w:pPr>
              <w:ind w:left="1626"/>
              <w:spacing w:before="302"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61" w:hRule="atLeast"/>
        </w:trPr>
        <w:tc>
          <w:tcPr>
            <w:tcW w:w="573" w:type="dxa"/>
            <w:vAlign w:val="top"/>
            <w:vMerge w:val="continue"/>
            <w:tcBorders>
              <w:top w:val="nil"/>
            </w:tcBorders>
          </w:tcPr>
          <w:p>
            <w:pPr>
              <w:rPr>
                <w:rFonts w:ascii="Arial"/>
                <w:sz w:val="21"/>
              </w:rPr>
            </w:pPr>
            <w:r/>
          </w:p>
        </w:tc>
        <w:tc>
          <w:tcPr>
            <w:tcW w:w="1854" w:type="dxa"/>
            <w:vAlign w:val="top"/>
            <w:gridSpan w:val="3"/>
          </w:tcPr>
          <w:p>
            <w:pPr>
              <w:ind w:left="306"/>
              <w:spacing w:before="172" w:line="228" w:lineRule="auto"/>
              <w:rPr>
                <w:rFonts w:ascii="SimSun" w:hAnsi="SimSun" w:eastAsia="SimSun" w:cs="SimSun"/>
                <w:sz w:val="20"/>
                <w:szCs w:val="20"/>
              </w:rPr>
            </w:pPr>
            <w:r>
              <w:rPr>
                <w:rFonts w:ascii="SimSun" w:hAnsi="SimSun" w:eastAsia="SimSun" w:cs="SimSun"/>
                <w:sz w:val="20"/>
                <w:szCs w:val="20"/>
                <w:spacing w:val="7"/>
              </w:rPr>
              <w:t>原煤输送系统</w:t>
            </w:r>
          </w:p>
        </w:tc>
        <w:tc>
          <w:tcPr>
            <w:tcW w:w="4119" w:type="dxa"/>
            <w:vAlign w:val="top"/>
          </w:tcPr>
          <w:p>
            <w:pPr>
              <w:ind w:left="1544"/>
              <w:spacing w:before="172" w:line="227" w:lineRule="auto"/>
              <w:rPr>
                <w:rFonts w:ascii="SimSun" w:hAnsi="SimSun" w:eastAsia="SimSun" w:cs="SimSun"/>
                <w:sz w:val="20"/>
                <w:szCs w:val="20"/>
              </w:rPr>
            </w:pPr>
            <w:r>
              <w:rPr>
                <w:rFonts w:ascii="SimSun" w:hAnsi="SimSun" w:eastAsia="SimSun" w:cs="SimSun"/>
                <w:sz w:val="20"/>
                <w:szCs w:val="20"/>
                <w:spacing w:val="7"/>
              </w:rPr>
              <w:t>带式输送机</w:t>
            </w:r>
          </w:p>
        </w:tc>
        <w:tc>
          <w:tcPr>
            <w:tcW w:w="4129" w:type="dxa"/>
            <w:vAlign w:val="top"/>
          </w:tcPr>
          <w:p>
            <w:pPr>
              <w:ind w:left="1550"/>
              <w:spacing w:before="172" w:line="227" w:lineRule="auto"/>
              <w:rPr>
                <w:rFonts w:ascii="SimSun" w:hAnsi="SimSun" w:eastAsia="SimSun" w:cs="SimSun"/>
                <w:sz w:val="20"/>
                <w:szCs w:val="20"/>
              </w:rPr>
            </w:pPr>
            <w:r>
              <w:rPr>
                <w:rFonts w:ascii="SimSun" w:hAnsi="SimSun" w:eastAsia="SimSun" w:cs="SimSun"/>
                <w:sz w:val="20"/>
                <w:szCs w:val="20"/>
                <w:spacing w:val="7"/>
              </w:rPr>
              <w:t>带式输送机</w:t>
            </w:r>
          </w:p>
        </w:tc>
        <w:tc>
          <w:tcPr>
            <w:tcW w:w="3659" w:type="dxa"/>
            <w:vAlign w:val="top"/>
          </w:tcPr>
          <w:p>
            <w:pPr>
              <w:ind w:left="1626"/>
              <w:spacing w:before="173" w:line="229" w:lineRule="auto"/>
              <w:rPr>
                <w:rFonts w:ascii="SimSun" w:hAnsi="SimSun" w:eastAsia="SimSun" w:cs="SimSun"/>
                <w:sz w:val="20"/>
                <w:szCs w:val="20"/>
              </w:rPr>
            </w:pPr>
            <w:r>
              <w:rPr>
                <w:rFonts w:ascii="SimSun" w:hAnsi="SimSun" w:eastAsia="SimSun" w:cs="SimSun"/>
                <w:sz w:val="20"/>
                <w:szCs w:val="20"/>
                <w:spacing w:val="3"/>
              </w:rPr>
              <w:t>不变</w:t>
            </w:r>
          </w:p>
        </w:tc>
      </w:tr>
    </w:tbl>
    <w:p>
      <w:pPr>
        <w:pStyle w:val="BodyText"/>
        <w:rPr/>
      </w:pPr>
      <w:r/>
    </w:p>
    <w:p>
      <w:pPr>
        <w:sectPr>
          <w:footerReference w:type="default" r:id="rId188"/>
          <w:pgSz w:w="16838" w:h="11906"/>
          <w:pgMar w:top="1169" w:right="1391" w:bottom="1080" w:left="1106" w:header="836" w:footer="917" w:gutter="0"/>
        </w:sectPr>
        <w:rPr/>
      </w:pPr>
    </w:p>
    <w:p>
      <w:pPr>
        <w:spacing w:before="7"/>
        <w:rPr/>
      </w:pPr>
      <w:r/>
    </w:p>
    <w:tbl>
      <w:tblPr>
        <w:tblStyle w:val="TableNormal"/>
        <w:tblW w:w="143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926"/>
        <w:gridCol w:w="929"/>
        <w:gridCol w:w="4119"/>
        <w:gridCol w:w="4129"/>
        <w:gridCol w:w="3659"/>
      </w:tblGrid>
      <w:tr>
        <w:trPr>
          <w:trHeight w:val="501" w:hRule="atLeast"/>
        </w:trPr>
        <w:tc>
          <w:tcPr>
            <w:tcW w:w="573" w:type="dxa"/>
            <w:vAlign w:val="top"/>
          </w:tcPr>
          <w:p>
            <w:pPr>
              <w:ind w:left="82"/>
              <w:spacing w:before="143" w:line="228" w:lineRule="auto"/>
              <w:rPr>
                <w:rFonts w:ascii="SimSun" w:hAnsi="SimSun" w:eastAsia="SimSun" w:cs="SimSun"/>
                <w:sz w:val="20"/>
                <w:szCs w:val="20"/>
              </w:rPr>
            </w:pPr>
            <w:r>
              <w:rPr>
                <w:rFonts w:ascii="SimSun" w:hAnsi="SimSun" w:eastAsia="SimSun" w:cs="SimSun"/>
                <w:sz w:val="20"/>
                <w:szCs w:val="20"/>
                <w:spacing w:val="3"/>
              </w:rPr>
              <w:t>分类</w:t>
            </w:r>
          </w:p>
        </w:tc>
        <w:tc>
          <w:tcPr>
            <w:tcW w:w="1855" w:type="dxa"/>
            <w:vAlign w:val="top"/>
            <w:gridSpan w:val="2"/>
          </w:tcPr>
          <w:p>
            <w:pPr>
              <w:ind w:left="513"/>
              <w:spacing w:before="144" w:line="228" w:lineRule="auto"/>
              <w:rPr>
                <w:rFonts w:ascii="SimSun" w:hAnsi="SimSun" w:eastAsia="SimSun" w:cs="SimSun"/>
                <w:sz w:val="20"/>
                <w:szCs w:val="20"/>
              </w:rPr>
            </w:pPr>
            <w:r>
              <w:rPr>
                <w:rFonts w:ascii="SimSun" w:hAnsi="SimSun" w:eastAsia="SimSun" w:cs="SimSun"/>
                <w:sz w:val="20"/>
                <w:szCs w:val="20"/>
                <w:spacing w:val="6"/>
              </w:rPr>
              <w:t>项目组成</w:t>
            </w:r>
          </w:p>
        </w:tc>
        <w:tc>
          <w:tcPr>
            <w:tcW w:w="4119" w:type="dxa"/>
            <w:vAlign w:val="top"/>
          </w:tcPr>
          <w:p>
            <w:pPr>
              <w:ind w:left="1436"/>
              <w:spacing w:before="143" w:line="228" w:lineRule="auto"/>
              <w:rPr>
                <w:rFonts w:ascii="SimSun" w:hAnsi="SimSun" w:eastAsia="SimSun" w:cs="SimSun"/>
                <w:sz w:val="20"/>
                <w:szCs w:val="20"/>
              </w:rPr>
            </w:pPr>
            <w:r>
              <w:rPr>
                <w:rFonts w:ascii="SimSun" w:hAnsi="SimSun" w:eastAsia="SimSun" w:cs="SimSun"/>
                <w:sz w:val="20"/>
                <w:szCs w:val="20"/>
                <w:spacing w:val="7"/>
              </w:rPr>
              <w:t>现有工程内容</w:t>
            </w:r>
          </w:p>
        </w:tc>
        <w:tc>
          <w:tcPr>
            <w:tcW w:w="4129" w:type="dxa"/>
            <w:vAlign w:val="top"/>
          </w:tcPr>
          <w:p>
            <w:pPr>
              <w:ind w:left="917"/>
              <w:spacing w:before="144" w:line="227" w:lineRule="auto"/>
              <w:rPr>
                <w:rFonts w:ascii="SimSun" w:hAnsi="SimSun" w:eastAsia="SimSun" w:cs="SimSun"/>
                <w:sz w:val="20"/>
                <w:szCs w:val="20"/>
              </w:rPr>
            </w:pPr>
            <w:r>
              <w:rPr>
                <w:rFonts w:ascii="SimSun" w:hAnsi="SimSun" w:eastAsia="SimSun" w:cs="SimSun"/>
                <w:sz w:val="20"/>
                <w:szCs w:val="20"/>
                <w:spacing w:val="9"/>
              </w:rPr>
              <w:t>调整开采范围后工程内容</w:t>
            </w:r>
          </w:p>
        </w:tc>
        <w:tc>
          <w:tcPr>
            <w:tcW w:w="3659" w:type="dxa"/>
            <w:vAlign w:val="top"/>
          </w:tcPr>
          <w:p>
            <w:pPr>
              <w:ind w:left="1413"/>
              <w:spacing w:before="144" w:line="228" w:lineRule="auto"/>
              <w:rPr>
                <w:rFonts w:ascii="SimSun" w:hAnsi="SimSun" w:eastAsia="SimSun" w:cs="SimSun"/>
                <w:sz w:val="20"/>
                <w:szCs w:val="20"/>
              </w:rPr>
            </w:pPr>
            <w:r>
              <w:rPr>
                <w:rFonts w:ascii="SimSun" w:hAnsi="SimSun" w:eastAsia="SimSun" w:cs="SimSun"/>
                <w:sz w:val="20"/>
                <w:szCs w:val="20"/>
                <w:spacing w:val="7"/>
              </w:rPr>
              <w:t>变化情况</w:t>
            </w:r>
          </w:p>
        </w:tc>
      </w:tr>
      <w:tr>
        <w:trPr>
          <w:trHeight w:val="1094" w:hRule="atLeast"/>
        </w:trPr>
        <w:tc>
          <w:tcPr>
            <w:tcW w:w="573" w:type="dxa"/>
            <w:vAlign w:val="top"/>
          </w:tcPr>
          <w:p>
            <w:pPr>
              <w:ind w:left="83"/>
              <w:spacing w:before="32" w:line="228" w:lineRule="auto"/>
              <w:rPr>
                <w:rFonts w:ascii="SimSun" w:hAnsi="SimSun" w:eastAsia="SimSun" w:cs="SimSun"/>
                <w:sz w:val="20"/>
                <w:szCs w:val="20"/>
              </w:rPr>
            </w:pPr>
            <w:r>
              <w:rPr>
                <w:rFonts w:ascii="SimSun" w:hAnsi="SimSun" w:eastAsia="SimSun" w:cs="SimSun"/>
                <w:sz w:val="20"/>
                <w:szCs w:val="20"/>
                <w:spacing w:val="3"/>
              </w:rPr>
              <w:t>行政</w:t>
            </w:r>
          </w:p>
          <w:p>
            <w:pPr>
              <w:ind w:left="84"/>
              <w:spacing w:before="23" w:line="230" w:lineRule="auto"/>
              <w:rPr>
                <w:rFonts w:ascii="SimSun" w:hAnsi="SimSun" w:eastAsia="SimSun" w:cs="SimSun"/>
                <w:sz w:val="20"/>
                <w:szCs w:val="20"/>
              </w:rPr>
            </w:pPr>
            <w:r>
              <w:rPr>
                <w:rFonts w:ascii="SimSun" w:hAnsi="SimSun" w:eastAsia="SimSun" w:cs="SimSun"/>
                <w:sz w:val="20"/>
                <w:szCs w:val="20"/>
                <w:spacing w:val="2"/>
              </w:rPr>
              <w:t>与公</w:t>
            </w:r>
          </w:p>
          <w:p>
            <w:pPr>
              <w:ind w:left="184" w:right="78" w:hanging="105"/>
              <w:spacing w:before="24" w:line="234" w:lineRule="auto"/>
              <w:rPr>
                <w:rFonts w:ascii="SimSun" w:hAnsi="SimSun" w:eastAsia="SimSun" w:cs="SimSun"/>
                <w:sz w:val="20"/>
                <w:szCs w:val="20"/>
              </w:rPr>
            </w:pPr>
            <w:r>
              <w:rPr>
                <w:rFonts w:ascii="SimSun" w:hAnsi="SimSun" w:eastAsia="SimSun" w:cs="SimSun"/>
                <w:sz w:val="20"/>
                <w:szCs w:val="20"/>
                <w:spacing w:val="5"/>
              </w:rPr>
              <w:t>共设</w:t>
            </w:r>
            <w:r>
              <w:rPr>
                <w:rFonts w:ascii="SimSun" w:hAnsi="SimSun" w:eastAsia="SimSun" w:cs="SimSun"/>
                <w:sz w:val="20"/>
                <w:szCs w:val="20"/>
                <w:spacing w:val="1"/>
              </w:rPr>
              <w:t>施</w:t>
            </w:r>
          </w:p>
        </w:tc>
        <w:tc>
          <w:tcPr>
            <w:tcW w:w="1855" w:type="dxa"/>
            <w:vAlign w:val="top"/>
            <w:gridSpan w:val="2"/>
          </w:tcPr>
          <w:p>
            <w:pPr>
              <w:ind w:left="316" w:right="109" w:hanging="204"/>
              <w:spacing w:before="303" w:line="254" w:lineRule="auto"/>
              <w:rPr>
                <w:rFonts w:ascii="SimSun" w:hAnsi="SimSun" w:eastAsia="SimSun" w:cs="SimSun"/>
                <w:sz w:val="20"/>
                <w:szCs w:val="20"/>
              </w:rPr>
            </w:pPr>
            <w:r>
              <w:rPr>
                <w:rFonts w:ascii="SimSun" w:hAnsi="SimSun" w:eastAsia="SimSun" w:cs="SimSun"/>
                <w:sz w:val="20"/>
                <w:szCs w:val="20"/>
                <w:spacing w:val="3"/>
              </w:rPr>
              <w:t>职工生活区（露天</w:t>
            </w:r>
            <w:r>
              <w:rPr>
                <w:rFonts w:ascii="SimSun" w:hAnsi="SimSun" w:eastAsia="SimSun" w:cs="SimSun"/>
                <w:sz w:val="20"/>
                <w:szCs w:val="20"/>
                <w:spacing w:val="4"/>
              </w:rPr>
              <w:t>区工业场地）</w:t>
            </w:r>
          </w:p>
        </w:tc>
        <w:tc>
          <w:tcPr>
            <w:tcW w:w="4119" w:type="dxa"/>
            <w:vAlign w:val="top"/>
          </w:tcPr>
          <w:p>
            <w:pPr>
              <w:pStyle w:val="TableText"/>
              <w:ind w:left="231"/>
              <w:spacing w:before="31" w:line="228" w:lineRule="auto"/>
              <w:rPr>
                <w:rFonts w:ascii="SimSun" w:hAnsi="SimSun" w:eastAsia="SimSun" w:cs="SimSun"/>
              </w:rPr>
            </w:pPr>
            <w:r>
              <w:rPr>
                <w:rFonts w:ascii="SimSun" w:hAnsi="SimSun" w:eastAsia="SimSun" w:cs="SimSun"/>
                <w:spacing w:val="6"/>
              </w:rPr>
              <w:t>位于工业场地外</w:t>
            </w:r>
            <w:r>
              <w:rPr>
                <w:rFonts w:ascii="SimSun" w:hAnsi="SimSun" w:eastAsia="SimSun" w:cs="SimSun"/>
                <w:spacing w:val="-21"/>
              </w:rPr>
              <w:t xml:space="preserve"> </w:t>
            </w:r>
            <w:r>
              <w:rPr/>
              <w:t>SE</w:t>
            </w:r>
            <w:r>
              <w:rPr>
                <w:spacing w:val="6"/>
              </w:rPr>
              <w:t>2800m</w:t>
            </w:r>
            <w:r>
              <w:rPr>
                <w:spacing w:val="25"/>
              </w:rPr>
              <w:t xml:space="preserve"> </w:t>
            </w:r>
            <w:r>
              <w:rPr>
                <w:rFonts w:ascii="SimSun" w:hAnsi="SimSun" w:eastAsia="SimSun" w:cs="SimSun"/>
                <w:spacing w:val="6"/>
              </w:rPr>
              <w:t>的露天矿总部</w:t>
            </w:r>
          </w:p>
          <w:p>
            <w:pPr>
              <w:ind w:left="137"/>
              <w:spacing w:before="24" w:line="227" w:lineRule="auto"/>
              <w:rPr>
                <w:rFonts w:ascii="SimSun" w:hAnsi="SimSun" w:eastAsia="SimSun" w:cs="SimSun"/>
                <w:sz w:val="20"/>
                <w:szCs w:val="20"/>
              </w:rPr>
            </w:pPr>
            <w:r>
              <w:rPr>
                <w:rFonts w:ascii="SimSun" w:hAnsi="SimSun" w:eastAsia="SimSun" w:cs="SimSun"/>
                <w:sz w:val="20"/>
                <w:szCs w:val="20"/>
                <w:spacing w:val="3"/>
              </w:rPr>
              <w:t>内，布置有单身宿舍、食堂、职工教育用房</w:t>
            </w:r>
          </w:p>
          <w:p>
            <w:pPr>
              <w:ind w:left="1959"/>
              <w:spacing w:before="27" w:line="228" w:lineRule="auto"/>
              <w:rPr>
                <w:rFonts w:ascii="SimSun" w:hAnsi="SimSun" w:eastAsia="SimSun" w:cs="SimSun"/>
                <w:sz w:val="20"/>
                <w:szCs w:val="20"/>
              </w:rPr>
            </w:pPr>
            <w:r>
              <w:rPr>
                <w:rFonts w:ascii="SimSun" w:hAnsi="SimSun" w:eastAsia="SimSun" w:cs="SimSun"/>
                <w:sz w:val="20"/>
                <w:szCs w:val="20"/>
              </w:rPr>
              <w:t>等</w:t>
            </w:r>
          </w:p>
        </w:tc>
        <w:tc>
          <w:tcPr>
            <w:tcW w:w="4129" w:type="dxa"/>
            <w:vAlign w:val="top"/>
          </w:tcPr>
          <w:p>
            <w:pPr>
              <w:pStyle w:val="TableText"/>
              <w:ind w:left="106"/>
              <w:spacing w:before="165" w:line="228" w:lineRule="auto"/>
              <w:rPr>
                <w:rFonts w:ascii="SimSun" w:hAnsi="SimSun" w:eastAsia="SimSun" w:cs="SimSun"/>
              </w:rPr>
            </w:pPr>
            <w:r>
              <w:rPr>
                <w:rFonts w:ascii="SimSun" w:hAnsi="SimSun" w:eastAsia="SimSun" w:cs="SimSun"/>
                <w:spacing w:val="6"/>
              </w:rPr>
              <w:t>位于工业场地外</w:t>
            </w:r>
            <w:r>
              <w:rPr>
                <w:rFonts w:ascii="SimSun" w:hAnsi="SimSun" w:eastAsia="SimSun" w:cs="SimSun"/>
                <w:spacing w:val="-27"/>
              </w:rPr>
              <w:t xml:space="preserve"> </w:t>
            </w:r>
            <w:r>
              <w:rPr/>
              <w:t>SE</w:t>
            </w:r>
            <w:r>
              <w:rPr>
                <w:spacing w:val="6"/>
              </w:rPr>
              <w:t>1162.56m</w:t>
            </w:r>
            <w:r>
              <w:rPr>
                <w:spacing w:val="27"/>
              </w:rPr>
              <w:t xml:space="preserve"> </w:t>
            </w:r>
            <w:r>
              <w:rPr>
                <w:rFonts w:ascii="SimSun" w:hAnsi="SimSun" w:eastAsia="SimSun" w:cs="SimSun"/>
                <w:spacing w:val="6"/>
              </w:rPr>
              <w:t>的露天矿总部</w:t>
            </w:r>
          </w:p>
          <w:p>
            <w:pPr>
              <w:ind w:left="100"/>
              <w:spacing w:before="26" w:line="227" w:lineRule="auto"/>
              <w:rPr>
                <w:rFonts w:ascii="SimSun" w:hAnsi="SimSun" w:eastAsia="SimSun" w:cs="SimSun"/>
                <w:sz w:val="20"/>
                <w:szCs w:val="20"/>
              </w:rPr>
            </w:pPr>
            <w:r>
              <w:rPr>
                <w:rFonts w:ascii="SimSun" w:hAnsi="SimSun" w:eastAsia="SimSun" w:cs="SimSun"/>
                <w:sz w:val="20"/>
                <w:szCs w:val="20"/>
                <w:spacing w:val="8"/>
              </w:rPr>
              <w:t>内，布置有单身宿舍、食堂、职工教育用房</w:t>
            </w:r>
          </w:p>
          <w:p>
            <w:pPr>
              <w:ind w:left="1965"/>
              <w:spacing w:before="24" w:line="228" w:lineRule="auto"/>
              <w:rPr>
                <w:rFonts w:ascii="SimSun" w:hAnsi="SimSun" w:eastAsia="SimSun" w:cs="SimSun"/>
                <w:sz w:val="20"/>
                <w:szCs w:val="20"/>
              </w:rPr>
            </w:pPr>
            <w:r>
              <w:rPr>
                <w:rFonts w:ascii="SimSun" w:hAnsi="SimSun" w:eastAsia="SimSun" w:cs="SimSun"/>
                <w:sz w:val="20"/>
                <w:szCs w:val="20"/>
              </w:rPr>
              <w:t>等</w:t>
            </w:r>
          </w:p>
        </w:tc>
        <w:tc>
          <w:tcPr>
            <w:tcW w:w="3659" w:type="dxa"/>
            <w:vAlign w:val="top"/>
          </w:tcPr>
          <w:p>
            <w:pPr>
              <w:spacing w:line="372"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096" w:hRule="atLeast"/>
        </w:trPr>
        <w:tc>
          <w:tcPr>
            <w:tcW w:w="573"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82" w:right="78" w:firstLine="3"/>
              <w:spacing w:before="65" w:line="254" w:lineRule="auto"/>
              <w:rPr>
                <w:rFonts w:ascii="SimSun" w:hAnsi="SimSun" w:eastAsia="SimSun" w:cs="SimSun"/>
                <w:sz w:val="20"/>
                <w:szCs w:val="20"/>
              </w:rPr>
            </w:pPr>
            <w:r>
              <w:rPr>
                <w:rFonts w:ascii="SimSun" w:hAnsi="SimSun" w:eastAsia="SimSun" w:cs="SimSun"/>
                <w:sz w:val="20"/>
                <w:szCs w:val="20"/>
                <w:spacing w:val="1"/>
              </w:rPr>
              <w:t>公用</w:t>
            </w:r>
            <w:r>
              <w:rPr>
                <w:rFonts w:ascii="SimSun" w:hAnsi="SimSun" w:eastAsia="SimSun" w:cs="SimSun"/>
                <w:sz w:val="20"/>
                <w:szCs w:val="20"/>
                <w:spacing w:val="3"/>
              </w:rPr>
              <w:t>工程</w:t>
            </w:r>
          </w:p>
        </w:tc>
        <w:tc>
          <w:tcPr>
            <w:tcW w:w="1855" w:type="dxa"/>
            <w:vAlign w:val="top"/>
            <w:gridSpan w:val="2"/>
          </w:tcPr>
          <w:p>
            <w:pPr>
              <w:spacing w:line="372" w:lineRule="auto"/>
              <w:rPr>
                <w:rFonts w:ascii="Arial"/>
                <w:sz w:val="21"/>
              </w:rPr>
            </w:pPr>
            <w:r/>
          </w:p>
          <w:p>
            <w:pPr>
              <w:ind w:left="721"/>
              <w:spacing w:before="65" w:line="227" w:lineRule="auto"/>
              <w:rPr>
                <w:rFonts w:ascii="SimSun" w:hAnsi="SimSun" w:eastAsia="SimSun" w:cs="SimSun"/>
                <w:sz w:val="20"/>
                <w:szCs w:val="20"/>
              </w:rPr>
            </w:pPr>
            <w:r>
              <w:rPr>
                <w:rFonts w:ascii="SimSun" w:hAnsi="SimSun" w:eastAsia="SimSun" w:cs="SimSun"/>
                <w:sz w:val="20"/>
                <w:szCs w:val="20"/>
                <w:spacing w:val="4"/>
              </w:rPr>
              <w:t>供水</w:t>
            </w:r>
          </w:p>
        </w:tc>
        <w:tc>
          <w:tcPr>
            <w:tcW w:w="4119" w:type="dxa"/>
            <w:vAlign w:val="top"/>
          </w:tcPr>
          <w:p>
            <w:pPr>
              <w:ind w:left="176"/>
              <w:spacing w:before="31" w:line="228" w:lineRule="auto"/>
              <w:rPr>
                <w:rFonts w:ascii="SimSun" w:hAnsi="SimSun" w:eastAsia="SimSun" w:cs="SimSun"/>
                <w:sz w:val="20"/>
                <w:szCs w:val="20"/>
              </w:rPr>
            </w:pPr>
            <w:r>
              <w:rPr>
                <w:rFonts w:ascii="SimSun" w:hAnsi="SimSun" w:eastAsia="SimSun" w:cs="SimSun"/>
                <w:sz w:val="20"/>
                <w:szCs w:val="20"/>
                <w:spacing w:val="9"/>
              </w:rPr>
              <w:t>生活用水由场地内纯净水处理车间处理后</w:t>
            </w:r>
          </w:p>
          <w:p>
            <w:pPr>
              <w:ind w:left="111"/>
              <w:spacing w:before="24" w:line="227" w:lineRule="auto"/>
              <w:rPr>
                <w:rFonts w:ascii="SimSun" w:hAnsi="SimSun" w:eastAsia="SimSun" w:cs="SimSun"/>
                <w:sz w:val="20"/>
                <w:szCs w:val="20"/>
              </w:rPr>
            </w:pPr>
            <w:r>
              <w:rPr>
                <w:rFonts w:ascii="SimSun" w:hAnsi="SimSun" w:eastAsia="SimSun" w:cs="SimSun"/>
                <w:sz w:val="20"/>
                <w:szCs w:val="20"/>
                <w:spacing w:val="4"/>
              </w:rPr>
              <w:t>供给，水源为一期工程配水厂处理后的露天</w:t>
            </w:r>
          </w:p>
          <w:p>
            <w:pPr>
              <w:ind w:left="111"/>
              <w:spacing w:before="27" w:line="227" w:lineRule="auto"/>
              <w:rPr>
                <w:rFonts w:ascii="SimSun" w:hAnsi="SimSun" w:eastAsia="SimSun" w:cs="SimSun"/>
                <w:sz w:val="20"/>
                <w:szCs w:val="20"/>
              </w:rPr>
            </w:pPr>
            <w:r>
              <w:rPr>
                <w:rFonts w:ascii="SimSun" w:hAnsi="SimSun" w:eastAsia="SimSun" w:cs="SimSun"/>
                <w:sz w:val="20"/>
                <w:szCs w:val="20"/>
                <w:spacing w:val="5"/>
              </w:rPr>
              <w:t>矿疏干水；生产用水利用一期工程配水厂处</w:t>
            </w:r>
          </w:p>
          <w:p>
            <w:pPr>
              <w:ind w:left="911"/>
              <w:spacing w:before="24" w:line="220" w:lineRule="auto"/>
              <w:rPr>
                <w:rFonts w:ascii="SimSun" w:hAnsi="SimSun" w:eastAsia="SimSun" w:cs="SimSun"/>
                <w:sz w:val="20"/>
                <w:szCs w:val="20"/>
              </w:rPr>
            </w:pPr>
            <w:r>
              <w:rPr>
                <w:rFonts w:ascii="SimSun" w:hAnsi="SimSun" w:eastAsia="SimSun" w:cs="SimSun"/>
                <w:sz w:val="20"/>
                <w:szCs w:val="20"/>
                <w:spacing w:val="8"/>
              </w:rPr>
              <w:t>理达标的矿井水回用供给</w:t>
            </w:r>
          </w:p>
        </w:tc>
        <w:tc>
          <w:tcPr>
            <w:tcW w:w="4129" w:type="dxa"/>
            <w:vAlign w:val="top"/>
          </w:tcPr>
          <w:p>
            <w:pPr>
              <w:ind w:left="77"/>
              <w:spacing w:before="31" w:line="227" w:lineRule="auto"/>
              <w:rPr>
                <w:rFonts w:ascii="SimSun" w:hAnsi="SimSun" w:eastAsia="SimSun" w:cs="SimSun"/>
                <w:sz w:val="20"/>
                <w:szCs w:val="20"/>
              </w:rPr>
            </w:pPr>
            <w:r>
              <w:rPr>
                <w:rFonts w:ascii="SimSun" w:hAnsi="SimSun" w:eastAsia="SimSun" w:cs="SimSun"/>
                <w:sz w:val="20"/>
                <w:szCs w:val="20"/>
                <w:spacing w:val="9"/>
              </w:rPr>
              <w:t>生活用水由场地内纯净水处理车间处理后供</w:t>
            </w:r>
          </w:p>
          <w:p>
            <w:pPr>
              <w:ind w:left="76"/>
              <w:spacing w:before="24" w:line="228" w:lineRule="auto"/>
              <w:rPr>
                <w:rFonts w:ascii="SimSun" w:hAnsi="SimSun" w:eastAsia="SimSun" w:cs="SimSun"/>
                <w:sz w:val="20"/>
                <w:szCs w:val="20"/>
              </w:rPr>
            </w:pPr>
            <w:r>
              <w:rPr>
                <w:rFonts w:ascii="SimSun" w:hAnsi="SimSun" w:eastAsia="SimSun" w:cs="SimSun"/>
                <w:sz w:val="20"/>
                <w:szCs w:val="20"/>
                <w:spacing w:val="9"/>
              </w:rPr>
              <w:t>给，水源为一期工程配水厂处理后的露天矿</w:t>
            </w:r>
          </w:p>
          <w:p>
            <w:pPr>
              <w:ind w:left="76"/>
              <w:spacing w:before="26" w:line="227" w:lineRule="auto"/>
              <w:rPr>
                <w:rFonts w:ascii="SimSun" w:hAnsi="SimSun" w:eastAsia="SimSun" w:cs="SimSun"/>
                <w:sz w:val="20"/>
                <w:szCs w:val="20"/>
              </w:rPr>
            </w:pPr>
            <w:r>
              <w:rPr>
                <w:rFonts w:ascii="SimSun" w:hAnsi="SimSun" w:eastAsia="SimSun" w:cs="SimSun"/>
                <w:sz w:val="20"/>
                <w:szCs w:val="20"/>
                <w:spacing w:val="9"/>
              </w:rPr>
              <w:t>疏干水；生产用水利用一期工程配水厂处理</w:t>
            </w:r>
          </w:p>
          <w:p>
            <w:pPr>
              <w:ind w:left="1020"/>
              <w:spacing w:before="25" w:line="220" w:lineRule="auto"/>
              <w:rPr>
                <w:rFonts w:ascii="SimSun" w:hAnsi="SimSun" w:eastAsia="SimSun" w:cs="SimSun"/>
                <w:sz w:val="20"/>
                <w:szCs w:val="20"/>
              </w:rPr>
            </w:pPr>
            <w:r>
              <w:rPr>
                <w:rFonts w:ascii="SimSun" w:hAnsi="SimSun" w:eastAsia="SimSun" w:cs="SimSun"/>
                <w:sz w:val="20"/>
                <w:szCs w:val="20"/>
                <w:spacing w:val="9"/>
              </w:rPr>
              <w:t>达标的矿井水回用供给</w:t>
            </w:r>
          </w:p>
        </w:tc>
        <w:tc>
          <w:tcPr>
            <w:tcW w:w="3659" w:type="dxa"/>
            <w:vAlign w:val="top"/>
          </w:tcPr>
          <w:p>
            <w:pPr>
              <w:spacing w:line="372"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99" w:hRule="atLeast"/>
        </w:trPr>
        <w:tc>
          <w:tcPr>
            <w:tcW w:w="573" w:type="dxa"/>
            <w:vAlign w:val="top"/>
            <w:vMerge w:val="continue"/>
            <w:tcBorders>
              <w:top w:val="nil"/>
              <w:bottom w:val="nil"/>
            </w:tcBorders>
          </w:tcPr>
          <w:p>
            <w:pPr>
              <w:rPr>
                <w:rFonts w:ascii="Arial"/>
                <w:sz w:val="21"/>
              </w:rPr>
            </w:pPr>
            <w:r/>
          </w:p>
        </w:tc>
        <w:tc>
          <w:tcPr>
            <w:tcW w:w="1855" w:type="dxa"/>
            <w:vAlign w:val="top"/>
            <w:gridSpan w:val="2"/>
            <w:vMerge w:val="restart"/>
            <w:tcBorders>
              <w:bottom w:val="nil"/>
            </w:tcBorders>
          </w:tcPr>
          <w:p>
            <w:pPr>
              <w:spacing w:line="399" w:lineRule="auto"/>
              <w:rPr>
                <w:rFonts w:ascii="Arial"/>
                <w:sz w:val="21"/>
              </w:rPr>
            </w:pPr>
            <w:r/>
          </w:p>
          <w:p>
            <w:pPr>
              <w:ind w:left="721"/>
              <w:spacing w:before="65" w:line="228" w:lineRule="auto"/>
              <w:rPr>
                <w:rFonts w:ascii="SimSun" w:hAnsi="SimSun" w:eastAsia="SimSun" w:cs="SimSun"/>
                <w:sz w:val="20"/>
                <w:szCs w:val="20"/>
              </w:rPr>
            </w:pPr>
            <w:r>
              <w:rPr>
                <w:rFonts w:ascii="SimSun" w:hAnsi="SimSun" w:eastAsia="SimSun" w:cs="SimSun"/>
                <w:sz w:val="20"/>
                <w:szCs w:val="20"/>
                <w:spacing w:val="4"/>
              </w:rPr>
              <w:t>排水</w:t>
            </w:r>
          </w:p>
        </w:tc>
        <w:tc>
          <w:tcPr>
            <w:tcW w:w="4119" w:type="dxa"/>
            <w:vAlign w:val="top"/>
          </w:tcPr>
          <w:p>
            <w:pPr>
              <w:ind w:left="701"/>
              <w:spacing w:before="190" w:line="228" w:lineRule="auto"/>
              <w:rPr>
                <w:rFonts w:ascii="SimSun" w:hAnsi="SimSun" w:eastAsia="SimSun" w:cs="SimSun"/>
                <w:sz w:val="20"/>
                <w:szCs w:val="20"/>
              </w:rPr>
            </w:pPr>
            <w:r>
              <w:rPr>
                <w:rFonts w:ascii="SimSun" w:hAnsi="SimSun" w:eastAsia="SimSun" w:cs="SimSun"/>
                <w:sz w:val="20"/>
                <w:szCs w:val="20"/>
                <w:spacing w:val="8"/>
              </w:rPr>
              <w:t>处理后矿井水全部回用不外排</w:t>
            </w:r>
          </w:p>
        </w:tc>
        <w:tc>
          <w:tcPr>
            <w:tcW w:w="4129" w:type="dxa"/>
            <w:vAlign w:val="top"/>
          </w:tcPr>
          <w:p>
            <w:pPr>
              <w:ind w:left="708"/>
              <w:spacing w:before="190" w:line="228" w:lineRule="auto"/>
              <w:rPr>
                <w:rFonts w:ascii="SimSun" w:hAnsi="SimSun" w:eastAsia="SimSun" w:cs="SimSun"/>
                <w:sz w:val="20"/>
                <w:szCs w:val="20"/>
              </w:rPr>
            </w:pPr>
            <w:r>
              <w:rPr>
                <w:rFonts w:ascii="SimSun" w:hAnsi="SimSun" w:eastAsia="SimSun" w:cs="SimSun"/>
                <w:sz w:val="20"/>
                <w:szCs w:val="20"/>
                <w:spacing w:val="8"/>
              </w:rPr>
              <w:t>处理后矿井水全部回用不外排</w:t>
            </w:r>
          </w:p>
        </w:tc>
        <w:tc>
          <w:tcPr>
            <w:tcW w:w="3659" w:type="dxa"/>
            <w:vAlign w:val="top"/>
          </w:tcPr>
          <w:p>
            <w:pPr>
              <w:ind w:left="1625"/>
              <w:spacing w:before="191"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1855" w:type="dxa"/>
            <w:vAlign w:val="top"/>
            <w:gridSpan w:val="2"/>
            <w:vMerge w:val="continue"/>
            <w:tcBorders>
              <w:top w:val="nil"/>
            </w:tcBorders>
          </w:tcPr>
          <w:p>
            <w:pPr>
              <w:rPr>
                <w:rFonts w:ascii="Arial"/>
                <w:sz w:val="21"/>
              </w:rPr>
            </w:pPr>
            <w:r/>
          </w:p>
        </w:tc>
        <w:tc>
          <w:tcPr>
            <w:tcW w:w="4119" w:type="dxa"/>
            <w:vAlign w:val="top"/>
          </w:tcPr>
          <w:p>
            <w:pPr>
              <w:ind w:left="113"/>
              <w:spacing w:before="30" w:line="228" w:lineRule="auto"/>
              <w:rPr>
                <w:rFonts w:ascii="SimSun" w:hAnsi="SimSun" w:eastAsia="SimSun" w:cs="SimSun"/>
                <w:sz w:val="20"/>
                <w:szCs w:val="20"/>
              </w:rPr>
            </w:pPr>
            <w:r>
              <w:rPr>
                <w:rFonts w:ascii="SimSun" w:hAnsi="SimSun" w:eastAsia="SimSun" w:cs="SimSun"/>
                <w:sz w:val="20"/>
                <w:szCs w:val="20"/>
                <w:spacing w:val="8"/>
              </w:rPr>
              <w:t>生活污水排至场地内生活污水处理站处理，</w:t>
            </w:r>
          </w:p>
          <w:p>
            <w:pPr>
              <w:ind w:left="1541"/>
              <w:spacing w:before="27" w:line="216" w:lineRule="auto"/>
              <w:rPr>
                <w:rFonts w:ascii="SimSun" w:hAnsi="SimSun" w:eastAsia="SimSun" w:cs="SimSun"/>
                <w:sz w:val="20"/>
                <w:szCs w:val="20"/>
              </w:rPr>
            </w:pPr>
            <w:r>
              <w:rPr>
                <w:rFonts w:ascii="SimSun" w:hAnsi="SimSun" w:eastAsia="SimSun" w:cs="SimSun"/>
                <w:sz w:val="20"/>
                <w:szCs w:val="20"/>
                <w:spacing w:val="7"/>
              </w:rPr>
              <w:t>处理后回用</w:t>
            </w:r>
          </w:p>
        </w:tc>
        <w:tc>
          <w:tcPr>
            <w:tcW w:w="4129" w:type="dxa"/>
            <w:vAlign w:val="top"/>
          </w:tcPr>
          <w:p>
            <w:pPr>
              <w:ind w:left="77"/>
              <w:spacing w:before="30" w:line="228" w:lineRule="auto"/>
              <w:rPr>
                <w:rFonts w:ascii="SimSun" w:hAnsi="SimSun" w:eastAsia="SimSun" w:cs="SimSun"/>
                <w:sz w:val="20"/>
                <w:szCs w:val="20"/>
              </w:rPr>
            </w:pPr>
            <w:r>
              <w:rPr>
                <w:rFonts w:ascii="SimSun" w:hAnsi="SimSun" w:eastAsia="SimSun" w:cs="SimSun"/>
                <w:sz w:val="20"/>
                <w:szCs w:val="20"/>
                <w:spacing w:val="8"/>
              </w:rPr>
              <w:t>生活污水排至场地内生活污水处理站处理，</w:t>
            </w:r>
          </w:p>
          <w:p>
            <w:pPr>
              <w:ind w:left="1548"/>
              <w:spacing w:before="27" w:line="216" w:lineRule="auto"/>
              <w:rPr>
                <w:rFonts w:ascii="SimSun" w:hAnsi="SimSun" w:eastAsia="SimSun" w:cs="SimSun"/>
                <w:sz w:val="20"/>
                <w:szCs w:val="20"/>
              </w:rPr>
            </w:pPr>
            <w:r>
              <w:rPr>
                <w:rFonts w:ascii="SimSun" w:hAnsi="SimSun" w:eastAsia="SimSun" w:cs="SimSun"/>
                <w:sz w:val="20"/>
                <w:szCs w:val="20"/>
                <w:spacing w:val="7"/>
              </w:rPr>
              <w:t>处理后回用</w:t>
            </w:r>
          </w:p>
        </w:tc>
        <w:tc>
          <w:tcPr>
            <w:tcW w:w="3659" w:type="dxa"/>
            <w:vAlign w:val="top"/>
          </w:tcPr>
          <w:p>
            <w:pPr>
              <w:ind w:left="1625"/>
              <w:spacing w:before="167"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1855" w:type="dxa"/>
            <w:vAlign w:val="top"/>
            <w:gridSpan w:val="2"/>
          </w:tcPr>
          <w:p>
            <w:pPr>
              <w:ind w:left="721"/>
              <w:spacing w:before="168" w:line="227" w:lineRule="auto"/>
              <w:rPr>
                <w:rFonts w:ascii="SimSun" w:hAnsi="SimSun" w:eastAsia="SimSun" w:cs="SimSun"/>
                <w:sz w:val="20"/>
                <w:szCs w:val="20"/>
              </w:rPr>
            </w:pPr>
            <w:r>
              <w:rPr>
                <w:rFonts w:ascii="SimSun" w:hAnsi="SimSun" w:eastAsia="SimSun" w:cs="SimSun"/>
                <w:sz w:val="20"/>
                <w:szCs w:val="20"/>
                <w:spacing w:val="4"/>
              </w:rPr>
              <w:t>供电</w:t>
            </w:r>
          </w:p>
        </w:tc>
        <w:tc>
          <w:tcPr>
            <w:tcW w:w="4119" w:type="dxa"/>
            <w:vAlign w:val="top"/>
          </w:tcPr>
          <w:p>
            <w:pPr>
              <w:pStyle w:val="TableText"/>
              <w:ind w:left="111"/>
              <w:spacing w:before="33" w:line="228" w:lineRule="auto"/>
              <w:rPr>
                <w:rFonts w:ascii="SimSun" w:hAnsi="SimSun" w:eastAsia="SimSun" w:cs="SimSun"/>
              </w:rPr>
            </w:pPr>
            <w:r>
              <w:rPr>
                <w:rFonts w:ascii="SimSun" w:hAnsi="SimSun" w:eastAsia="SimSun" w:cs="SimSun"/>
                <w:spacing w:val="10"/>
              </w:rPr>
              <w:t>双回</w:t>
            </w:r>
            <w:r>
              <w:rPr>
                <w:spacing w:val="10"/>
              </w:rPr>
              <w:t>110</w:t>
            </w:r>
            <w:r>
              <w:rPr/>
              <w:t>kV</w:t>
            </w:r>
            <w:r>
              <w:rPr>
                <w:spacing w:val="10"/>
              </w:rPr>
              <w:t xml:space="preserve"> </w:t>
            </w:r>
            <w:r>
              <w:rPr>
                <w:rFonts w:ascii="SimSun" w:hAnsi="SimSun" w:eastAsia="SimSun" w:cs="SimSun"/>
                <w:spacing w:val="10"/>
              </w:rPr>
              <w:t>电源线路引自井田西南</w:t>
            </w:r>
            <w:r>
              <w:rPr>
                <w:rFonts w:ascii="SimSun" w:hAnsi="SimSun" w:eastAsia="SimSun" w:cs="SimSun"/>
                <w:spacing w:val="-47"/>
              </w:rPr>
              <w:t xml:space="preserve"> </w:t>
            </w:r>
            <w:r>
              <w:rPr>
                <w:spacing w:val="10"/>
              </w:rPr>
              <w:t>35</w:t>
            </w:r>
            <w:r>
              <w:rPr/>
              <w:t>km</w:t>
            </w:r>
            <w:r>
              <w:rPr>
                <w:rFonts w:ascii="SimSun" w:hAnsi="SimSun" w:eastAsia="SimSun" w:cs="SimSun"/>
                <w:spacing w:val="10"/>
              </w:rPr>
              <w:t>处</w:t>
            </w:r>
          </w:p>
          <w:p>
            <w:pPr>
              <w:pStyle w:val="TableText"/>
              <w:ind w:left="1101"/>
              <w:spacing w:before="24" w:line="216" w:lineRule="auto"/>
              <w:rPr>
                <w:rFonts w:ascii="SimSun" w:hAnsi="SimSun" w:eastAsia="SimSun" w:cs="SimSun"/>
              </w:rPr>
            </w:pPr>
            <w:r>
              <w:rPr>
                <w:rFonts w:ascii="SimSun" w:hAnsi="SimSun" w:eastAsia="SimSun" w:cs="SimSun"/>
                <w:spacing w:val="6"/>
              </w:rPr>
              <w:t>高力罕</w:t>
            </w:r>
            <w:r>
              <w:rPr>
                <w:rFonts w:ascii="SimSun" w:hAnsi="SimSun" w:eastAsia="SimSun" w:cs="SimSun"/>
                <w:spacing w:val="-35"/>
              </w:rPr>
              <w:t xml:space="preserve"> </w:t>
            </w:r>
            <w:r>
              <w:rPr>
                <w:spacing w:val="6"/>
              </w:rPr>
              <w:t>220</w:t>
            </w:r>
            <w:r>
              <w:rPr/>
              <w:t>kV</w:t>
            </w:r>
            <w:r>
              <w:rPr>
                <w:spacing w:val="6"/>
              </w:rPr>
              <w:t xml:space="preserve"> </w:t>
            </w:r>
            <w:r>
              <w:rPr>
                <w:rFonts w:ascii="SimSun" w:hAnsi="SimSun" w:eastAsia="SimSun" w:cs="SimSun"/>
                <w:spacing w:val="6"/>
              </w:rPr>
              <w:t>变电站</w:t>
            </w:r>
          </w:p>
        </w:tc>
        <w:tc>
          <w:tcPr>
            <w:tcW w:w="4129" w:type="dxa"/>
            <w:vAlign w:val="top"/>
          </w:tcPr>
          <w:p>
            <w:pPr>
              <w:pStyle w:val="TableText"/>
              <w:ind w:left="75"/>
              <w:spacing w:before="33" w:line="228" w:lineRule="auto"/>
              <w:rPr>
                <w:rFonts w:ascii="SimSun" w:hAnsi="SimSun" w:eastAsia="SimSun" w:cs="SimSun"/>
              </w:rPr>
            </w:pPr>
            <w:r>
              <w:rPr>
                <w:rFonts w:ascii="SimSun" w:hAnsi="SimSun" w:eastAsia="SimSun" w:cs="SimSun"/>
                <w:spacing w:val="5"/>
              </w:rPr>
              <w:t>双回</w:t>
            </w:r>
            <w:r>
              <w:rPr>
                <w:rFonts w:ascii="SimSun" w:hAnsi="SimSun" w:eastAsia="SimSun" w:cs="SimSun"/>
                <w:spacing w:val="-14"/>
              </w:rPr>
              <w:t xml:space="preserve"> </w:t>
            </w:r>
            <w:r>
              <w:rPr>
                <w:spacing w:val="5"/>
              </w:rPr>
              <w:t>110</w:t>
            </w:r>
            <w:r>
              <w:rPr/>
              <w:t>kV</w:t>
            </w:r>
            <w:r>
              <w:rPr>
                <w:spacing w:val="38"/>
                <w:w w:val="101"/>
              </w:rPr>
              <w:t xml:space="preserve"> </w:t>
            </w:r>
            <w:r>
              <w:rPr>
                <w:rFonts w:ascii="SimSun" w:hAnsi="SimSun" w:eastAsia="SimSun" w:cs="SimSun"/>
                <w:spacing w:val="5"/>
              </w:rPr>
              <w:t>电源线路引自井田西南</w:t>
            </w:r>
            <w:r>
              <w:rPr>
                <w:rFonts w:ascii="SimSun" w:hAnsi="SimSun" w:eastAsia="SimSun" w:cs="SimSun"/>
                <w:spacing w:val="-37"/>
              </w:rPr>
              <w:t xml:space="preserve"> </w:t>
            </w:r>
            <w:r>
              <w:rPr>
                <w:spacing w:val="5"/>
              </w:rPr>
              <w:t>35</w:t>
            </w:r>
            <w:r>
              <w:rPr/>
              <w:t>km</w:t>
            </w:r>
            <w:r>
              <w:rPr>
                <w:spacing w:val="5"/>
              </w:rPr>
              <w:t xml:space="preserve"> </w:t>
            </w:r>
            <w:r>
              <w:rPr>
                <w:rFonts w:ascii="SimSun" w:hAnsi="SimSun" w:eastAsia="SimSun" w:cs="SimSun"/>
                <w:spacing w:val="5"/>
              </w:rPr>
              <w:t>处</w:t>
            </w:r>
          </w:p>
          <w:p>
            <w:pPr>
              <w:pStyle w:val="TableText"/>
              <w:ind w:left="1105"/>
              <w:spacing w:before="24" w:line="216" w:lineRule="auto"/>
              <w:rPr>
                <w:rFonts w:ascii="SimSun" w:hAnsi="SimSun" w:eastAsia="SimSun" w:cs="SimSun"/>
              </w:rPr>
            </w:pPr>
            <w:r>
              <w:rPr>
                <w:rFonts w:ascii="SimSun" w:hAnsi="SimSun" w:eastAsia="SimSun" w:cs="SimSun"/>
                <w:spacing w:val="6"/>
              </w:rPr>
              <w:t>高力罕</w:t>
            </w:r>
            <w:r>
              <w:rPr>
                <w:rFonts w:ascii="SimSun" w:hAnsi="SimSun" w:eastAsia="SimSun" w:cs="SimSun"/>
                <w:spacing w:val="-33"/>
              </w:rPr>
              <w:t xml:space="preserve"> </w:t>
            </w:r>
            <w:r>
              <w:rPr>
                <w:spacing w:val="6"/>
              </w:rPr>
              <w:t>220</w:t>
            </w:r>
            <w:r>
              <w:rPr/>
              <w:t>kV</w:t>
            </w:r>
            <w:r>
              <w:rPr>
                <w:spacing w:val="6"/>
              </w:rPr>
              <w:t xml:space="preserve"> </w:t>
            </w:r>
            <w:r>
              <w:rPr>
                <w:rFonts w:ascii="SimSun" w:hAnsi="SimSun" w:eastAsia="SimSun" w:cs="SimSun"/>
                <w:spacing w:val="6"/>
              </w:rPr>
              <w:t>变电站</w:t>
            </w:r>
          </w:p>
        </w:tc>
        <w:tc>
          <w:tcPr>
            <w:tcW w:w="3659" w:type="dxa"/>
            <w:vAlign w:val="top"/>
          </w:tcPr>
          <w:p>
            <w:pPr>
              <w:ind w:left="1625"/>
              <w:spacing w:before="168"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403" w:hRule="atLeast"/>
        </w:trPr>
        <w:tc>
          <w:tcPr>
            <w:tcW w:w="573" w:type="dxa"/>
            <w:vAlign w:val="top"/>
            <w:vMerge w:val="continue"/>
            <w:tcBorders>
              <w:top w:val="nil"/>
            </w:tcBorders>
          </w:tcPr>
          <w:p>
            <w:pPr>
              <w:rPr>
                <w:rFonts w:ascii="Arial"/>
                <w:sz w:val="21"/>
              </w:rPr>
            </w:pPr>
            <w:r/>
          </w:p>
        </w:tc>
        <w:tc>
          <w:tcPr>
            <w:tcW w:w="1855" w:type="dxa"/>
            <w:vAlign w:val="top"/>
            <w:gridSpan w:val="2"/>
          </w:tcPr>
          <w:p>
            <w:pPr>
              <w:ind w:left="721"/>
              <w:spacing w:before="96" w:line="227" w:lineRule="auto"/>
              <w:rPr>
                <w:rFonts w:ascii="SimSun" w:hAnsi="SimSun" w:eastAsia="SimSun" w:cs="SimSun"/>
                <w:sz w:val="20"/>
                <w:szCs w:val="20"/>
              </w:rPr>
            </w:pPr>
            <w:r>
              <w:rPr>
                <w:rFonts w:ascii="SimSun" w:hAnsi="SimSun" w:eastAsia="SimSun" w:cs="SimSun"/>
                <w:sz w:val="20"/>
                <w:szCs w:val="20"/>
                <w:spacing w:val="4"/>
              </w:rPr>
              <w:t>供热</w:t>
            </w:r>
          </w:p>
        </w:tc>
        <w:tc>
          <w:tcPr>
            <w:tcW w:w="4119" w:type="dxa"/>
            <w:vAlign w:val="top"/>
          </w:tcPr>
          <w:p>
            <w:pPr>
              <w:ind w:left="698"/>
              <w:spacing w:before="34" w:line="227" w:lineRule="auto"/>
              <w:rPr>
                <w:rFonts w:ascii="SimSun" w:hAnsi="SimSun" w:eastAsia="SimSun" w:cs="SimSun"/>
                <w:sz w:val="20"/>
                <w:szCs w:val="20"/>
              </w:rPr>
            </w:pPr>
            <w:r>
              <w:rPr>
                <w:rFonts w:ascii="SimSun" w:hAnsi="SimSun" w:eastAsia="SimSun" w:cs="SimSun"/>
                <w:sz w:val="20"/>
                <w:szCs w:val="20"/>
                <w:spacing w:val="9"/>
              </w:rPr>
              <w:t>利用已建成金山电厂余热供热</w:t>
            </w:r>
          </w:p>
        </w:tc>
        <w:tc>
          <w:tcPr>
            <w:tcW w:w="4129" w:type="dxa"/>
            <w:vAlign w:val="top"/>
          </w:tcPr>
          <w:p>
            <w:pPr>
              <w:ind w:left="704"/>
              <w:spacing w:before="96" w:line="227" w:lineRule="auto"/>
              <w:rPr>
                <w:rFonts w:ascii="SimSun" w:hAnsi="SimSun" w:eastAsia="SimSun" w:cs="SimSun"/>
                <w:sz w:val="20"/>
                <w:szCs w:val="20"/>
              </w:rPr>
            </w:pPr>
            <w:r>
              <w:rPr>
                <w:rFonts w:ascii="SimSun" w:hAnsi="SimSun" w:eastAsia="SimSun" w:cs="SimSun"/>
                <w:sz w:val="20"/>
                <w:szCs w:val="20"/>
                <w:spacing w:val="9"/>
              </w:rPr>
              <w:t>利用已建成金山电厂余热供热</w:t>
            </w:r>
          </w:p>
        </w:tc>
        <w:tc>
          <w:tcPr>
            <w:tcW w:w="3659" w:type="dxa"/>
            <w:vAlign w:val="top"/>
          </w:tcPr>
          <w:p>
            <w:pPr>
              <w:ind w:left="1625"/>
              <w:spacing w:before="96"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094" w:hRule="atLeast"/>
        </w:trPr>
        <w:tc>
          <w:tcPr>
            <w:tcW w:w="573" w:type="dxa"/>
            <w:vAlign w:val="top"/>
            <w:vMerge w:val="restart"/>
            <w:tcBorders>
              <w:bottom w:val="nil"/>
            </w:tcBorders>
          </w:tcPr>
          <w:p>
            <w:pPr>
              <w:spacing w:line="270"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ind w:left="81" w:right="78" w:hanging="2"/>
              <w:spacing w:before="65" w:line="252" w:lineRule="auto"/>
              <w:rPr>
                <w:rFonts w:ascii="SimSun" w:hAnsi="SimSun" w:eastAsia="SimSun" w:cs="SimSun"/>
                <w:sz w:val="20"/>
                <w:szCs w:val="20"/>
              </w:rPr>
            </w:pPr>
            <w:r>
              <w:rPr>
                <w:rFonts w:ascii="SimSun" w:hAnsi="SimSun" w:eastAsia="SimSun" w:cs="SimSun"/>
                <w:sz w:val="20"/>
                <w:szCs w:val="20"/>
                <w:spacing w:val="4"/>
              </w:rPr>
              <w:t>环保</w:t>
            </w:r>
            <w:r>
              <w:rPr>
                <w:rFonts w:ascii="SimSun" w:hAnsi="SimSun" w:eastAsia="SimSun" w:cs="SimSun"/>
                <w:sz w:val="20"/>
                <w:szCs w:val="20"/>
                <w:spacing w:val="3"/>
              </w:rPr>
              <w:t>工程</w:t>
            </w:r>
          </w:p>
        </w:tc>
        <w:tc>
          <w:tcPr>
            <w:tcW w:w="926"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365" w:right="44" w:hanging="316"/>
              <w:spacing w:before="65" w:line="256" w:lineRule="auto"/>
              <w:rPr>
                <w:rFonts w:ascii="SimSun" w:hAnsi="SimSun" w:eastAsia="SimSun" w:cs="SimSun"/>
                <w:sz w:val="20"/>
                <w:szCs w:val="20"/>
              </w:rPr>
            </w:pPr>
            <w:r>
              <w:rPr>
                <w:rFonts w:ascii="SimSun" w:hAnsi="SimSun" w:eastAsia="SimSun" w:cs="SimSun"/>
                <w:sz w:val="20"/>
                <w:szCs w:val="20"/>
                <w:spacing w:val="6"/>
              </w:rPr>
              <w:t>水污染防</w:t>
            </w:r>
            <w:r>
              <w:rPr>
                <w:rFonts w:ascii="SimSun" w:hAnsi="SimSun" w:eastAsia="SimSun" w:cs="SimSun"/>
                <w:sz w:val="20"/>
                <w:szCs w:val="20"/>
              </w:rPr>
              <w:t>治</w:t>
            </w:r>
          </w:p>
        </w:tc>
        <w:tc>
          <w:tcPr>
            <w:tcW w:w="929" w:type="dxa"/>
            <w:vAlign w:val="top"/>
          </w:tcPr>
          <w:p>
            <w:pPr>
              <w:ind w:left="157" w:right="47" w:hanging="108"/>
              <w:spacing w:before="303" w:line="255" w:lineRule="auto"/>
              <w:rPr>
                <w:rFonts w:ascii="SimSun" w:hAnsi="SimSun" w:eastAsia="SimSun" w:cs="SimSun"/>
                <w:sz w:val="20"/>
                <w:szCs w:val="20"/>
              </w:rPr>
            </w:pPr>
            <w:r>
              <w:rPr>
                <w:rFonts w:ascii="SimSun" w:hAnsi="SimSun" w:eastAsia="SimSun" w:cs="SimSun"/>
                <w:sz w:val="20"/>
                <w:szCs w:val="20"/>
                <w:spacing w:val="6"/>
              </w:rPr>
              <w:t>生活污水</w:t>
            </w:r>
            <w:r>
              <w:rPr>
                <w:rFonts w:ascii="SimSun" w:hAnsi="SimSun" w:eastAsia="SimSun" w:cs="SimSun"/>
                <w:sz w:val="20"/>
                <w:szCs w:val="20"/>
                <w:spacing w:val="5"/>
              </w:rPr>
              <w:t>处理站</w:t>
            </w:r>
          </w:p>
        </w:tc>
        <w:tc>
          <w:tcPr>
            <w:tcW w:w="4119" w:type="dxa"/>
            <w:vAlign w:val="top"/>
          </w:tcPr>
          <w:p>
            <w:pPr>
              <w:ind w:left="114"/>
              <w:spacing w:before="31" w:line="228" w:lineRule="auto"/>
              <w:rPr>
                <w:rFonts w:ascii="SimSun" w:hAnsi="SimSun" w:eastAsia="SimSun" w:cs="SimSun"/>
                <w:sz w:val="20"/>
                <w:szCs w:val="20"/>
              </w:rPr>
            </w:pPr>
            <w:r>
              <w:rPr>
                <w:rFonts w:ascii="SimSun" w:hAnsi="SimSun" w:eastAsia="SimSun" w:cs="SimSun"/>
                <w:sz w:val="20"/>
                <w:szCs w:val="20"/>
                <w:spacing w:val="4"/>
              </w:rPr>
              <w:t>工业场地内已有污水处理站两座，其中一套</w:t>
            </w:r>
          </w:p>
          <w:p>
            <w:pPr>
              <w:pStyle w:val="TableText"/>
              <w:ind w:left="107"/>
              <w:spacing w:before="24" w:line="228" w:lineRule="auto"/>
              <w:rPr>
                <w:rFonts w:ascii="SimSun" w:hAnsi="SimSun" w:eastAsia="SimSun" w:cs="SimSun"/>
              </w:rPr>
            </w:pPr>
            <w:r>
              <w:rPr/>
              <w:t>MBR</w:t>
            </w:r>
            <w:r>
              <w:rPr>
                <w:spacing w:val="3"/>
              </w:rPr>
              <w:t>-50</w:t>
            </w:r>
            <w:r>
              <w:rPr>
                <w:spacing w:val="32"/>
                <w:w w:val="101"/>
              </w:rPr>
              <w:t xml:space="preserve"> </w:t>
            </w:r>
            <w:r>
              <w:rPr>
                <w:rFonts w:ascii="SimSun" w:hAnsi="SimSun" w:eastAsia="SimSun" w:cs="SimSun"/>
                <w:spacing w:val="3"/>
              </w:rPr>
              <w:t>型（处理量为</w:t>
            </w:r>
            <w:r>
              <w:rPr>
                <w:rFonts w:ascii="SimSun" w:hAnsi="SimSun" w:eastAsia="SimSun" w:cs="SimSun"/>
                <w:spacing w:val="-35"/>
              </w:rPr>
              <w:t xml:space="preserve"> </w:t>
            </w:r>
            <w:r>
              <w:rPr>
                <w:spacing w:val="3"/>
              </w:rPr>
              <w:t>50m</w:t>
            </w:r>
            <w:r>
              <w:rPr>
                <w:sz w:val="13"/>
                <w:szCs w:val="13"/>
                <w:spacing w:val="3"/>
                <w:position w:val="6"/>
              </w:rPr>
              <w:t>3</w:t>
            </w:r>
            <w:r>
              <w:rPr>
                <w:spacing w:val="3"/>
              </w:rPr>
              <w:t>/h</w:t>
            </w:r>
            <w:r>
              <w:rPr>
                <w:rFonts w:ascii="SimSun" w:hAnsi="SimSun" w:eastAsia="SimSun" w:cs="SimSun"/>
                <w:spacing w:val="3"/>
              </w:rPr>
              <w:t>）的污水处理</w:t>
            </w:r>
          </w:p>
          <w:p>
            <w:pPr>
              <w:ind w:left="177"/>
              <w:spacing w:before="26" w:line="228" w:lineRule="auto"/>
              <w:rPr>
                <w:rFonts w:ascii="SimSun" w:hAnsi="SimSun" w:eastAsia="SimSun" w:cs="SimSun"/>
                <w:sz w:val="20"/>
                <w:szCs w:val="20"/>
              </w:rPr>
            </w:pPr>
            <w:r>
              <w:rPr>
                <w:rFonts w:ascii="SimSun" w:hAnsi="SimSun" w:eastAsia="SimSun" w:cs="SimSun"/>
                <w:sz w:val="20"/>
                <w:szCs w:val="20"/>
                <w:spacing w:val="9"/>
              </w:rPr>
              <w:t>设备，用于处理生活污水，另一套处理量</w:t>
            </w:r>
          </w:p>
          <w:p>
            <w:pPr>
              <w:pStyle w:val="TableText"/>
              <w:ind w:left="681"/>
              <w:spacing w:before="26" w:line="216" w:lineRule="auto"/>
              <w:rPr>
                <w:rFonts w:ascii="SimSun" w:hAnsi="SimSun" w:eastAsia="SimSun" w:cs="SimSun"/>
              </w:rPr>
            </w:pPr>
            <w:r>
              <w:rPr>
                <w:spacing w:val="7"/>
              </w:rPr>
              <w:t>20m</w:t>
            </w:r>
            <w:r>
              <w:rPr>
                <w:sz w:val="13"/>
                <w:szCs w:val="13"/>
                <w:spacing w:val="7"/>
                <w:position w:val="6"/>
              </w:rPr>
              <w:t>3</w:t>
            </w:r>
            <w:r>
              <w:rPr>
                <w:spacing w:val="7"/>
              </w:rPr>
              <w:t>/h </w:t>
            </w:r>
            <w:r>
              <w:rPr>
                <w:rFonts w:ascii="SimSun" w:hAnsi="SimSun" w:eastAsia="SimSun" w:cs="SimSun"/>
                <w:spacing w:val="7"/>
              </w:rPr>
              <w:t>污水处理设备作为备用</w:t>
            </w:r>
          </w:p>
        </w:tc>
        <w:tc>
          <w:tcPr>
            <w:tcW w:w="4129" w:type="dxa"/>
            <w:vAlign w:val="top"/>
          </w:tcPr>
          <w:p>
            <w:pPr>
              <w:ind w:left="77"/>
              <w:spacing w:before="31" w:line="228" w:lineRule="auto"/>
              <w:rPr>
                <w:rFonts w:ascii="SimSun" w:hAnsi="SimSun" w:eastAsia="SimSun" w:cs="SimSun"/>
                <w:sz w:val="20"/>
                <w:szCs w:val="20"/>
              </w:rPr>
            </w:pPr>
            <w:r>
              <w:rPr>
                <w:rFonts w:ascii="SimSun" w:hAnsi="SimSun" w:eastAsia="SimSun" w:cs="SimSun"/>
                <w:sz w:val="20"/>
                <w:szCs w:val="20"/>
                <w:spacing w:val="9"/>
              </w:rPr>
              <w:t>工业场地内已有污水处理站一座，已有一套</w:t>
            </w:r>
          </w:p>
          <w:p>
            <w:pPr>
              <w:pStyle w:val="TableText"/>
              <w:ind w:left="77"/>
              <w:spacing w:before="24" w:line="228" w:lineRule="auto"/>
              <w:rPr>
                <w:rFonts w:ascii="SimSun" w:hAnsi="SimSun" w:eastAsia="SimSun" w:cs="SimSun"/>
              </w:rPr>
            </w:pPr>
            <w:r>
              <w:rPr/>
              <w:t>MBR</w:t>
            </w:r>
            <w:r>
              <w:rPr>
                <w:spacing w:val="7"/>
              </w:rPr>
              <w:t>-50</w:t>
            </w:r>
            <w:r>
              <w:rPr>
                <w:spacing w:val="23"/>
              </w:rPr>
              <w:t xml:space="preserve"> </w:t>
            </w:r>
            <w:r>
              <w:rPr>
                <w:rFonts w:ascii="SimSun" w:hAnsi="SimSun" w:eastAsia="SimSun" w:cs="SimSun"/>
                <w:spacing w:val="7"/>
              </w:rPr>
              <w:t>型（处理量为</w:t>
            </w:r>
            <w:r>
              <w:rPr>
                <w:rFonts w:ascii="SimSun" w:hAnsi="SimSun" w:eastAsia="SimSun" w:cs="SimSun"/>
                <w:spacing w:val="-38"/>
              </w:rPr>
              <w:t xml:space="preserve"> </w:t>
            </w:r>
            <w:r>
              <w:rPr>
                <w:spacing w:val="7"/>
              </w:rPr>
              <w:t>50m</w:t>
            </w:r>
            <w:r>
              <w:rPr>
                <w:sz w:val="13"/>
                <w:szCs w:val="13"/>
                <w:spacing w:val="7"/>
                <w:position w:val="6"/>
              </w:rPr>
              <w:t>3</w:t>
            </w:r>
            <w:r>
              <w:rPr>
                <w:spacing w:val="7"/>
              </w:rPr>
              <w:t>/h</w:t>
            </w:r>
            <w:r>
              <w:rPr>
                <w:rFonts w:ascii="SimSun" w:hAnsi="SimSun" w:eastAsia="SimSun" w:cs="SimSun"/>
                <w:spacing w:val="7"/>
              </w:rPr>
              <w:t>）的污水处理</w:t>
            </w:r>
          </w:p>
          <w:p>
            <w:pPr>
              <w:ind w:left="184"/>
              <w:spacing w:before="26" w:line="228" w:lineRule="auto"/>
              <w:rPr>
                <w:rFonts w:ascii="SimSun" w:hAnsi="SimSun" w:eastAsia="SimSun" w:cs="SimSun"/>
                <w:sz w:val="20"/>
                <w:szCs w:val="20"/>
              </w:rPr>
            </w:pPr>
            <w:r>
              <w:rPr>
                <w:rFonts w:ascii="SimSun" w:hAnsi="SimSun" w:eastAsia="SimSun" w:cs="SimSun"/>
                <w:sz w:val="20"/>
                <w:szCs w:val="20"/>
                <w:spacing w:val="9"/>
              </w:rPr>
              <w:t>设备，用于处理生活污水，另一套处理量</w:t>
            </w:r>
          </w:p>
          <w:p>
            <w:pPr>
              <w:pStyle w:val="TableText"/>
              <w:ind w:left="688"/>
              <w:spacing w:before="26" w:line="216" w:lineRule="auto"/>
              <w:rPr>
                <w:rFonts w:ascii="SimSun" w:hAnsi="SimSun" w:eastAsia="SimSun" w:cs="SimSun"/>
              </w:rPr>
            </w:pPr>
            <w:r>
              <w:rPr>
                <w:spacing w:val="7"/>
              </w:rPr>
              <w:t>20m</w:t>
            </w:r>
            <w:r>
              <w:rPr>
                <w:sz w:val="13"/>
                <w:szCs w:val="13"/>
                <w:spacing w:val="7"/>
                <w:position w:val="6"/>
              </w:rPr>
              <w:t>3</w:t>
            </w:r>
            <w:r>
              <w:rPr>
                <w:spacing w:val="7"/>
              </w:rPr>
              <w:t>/h </w:t>
            </w:r>
            <w:r>
              <w:rPr>
                <w:rFonts w:ascii="SimSun" w:hAnsi="SimSun" w:eastAsia="SimSun" w:cs="SimSun"/>
                <w:spacing w:val="7"/>
              </w:rPr>
              <w:t>污水处理设备作为备用</w:t>
            </w:r>
          </w:p>
        </w:tc>
        <w:tc>
          <w:tcPr>
            <w:tcW w:w="3659" w:type="dxa"/>
            <w:vAlign w:val="top"/>
          </w:tcPr>
          <w:p>
            <w:pPr>
              <w:spacing w:line="372"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1638" w:hRule="atLeast"/>
        </w:trPr>
        <w:tc>
          <w:tcPr>
            <w:tcW w:w="573" w:type="dxa"/>
            <w:vAlign w:val="top"/>
            <w:vMerge w:val="continue"/>
            <w:tcBorders>
              <w:top w:val="nil"/>
              <w:bottom w:val="nil"/>
            </w:tcBorders>
          </w:tcPr>
          <w:p>
            <w:pPr>
              <w:rPr>
                <w:rFonts w:ascii="Arial"/>
                <w:sz w:val="21"/>
              </w:rPr>
            </w:pPr>
            <w:r/>
          </w:p>
        </w:tc>
        <w:tc>
          <w:tcPr>
            <w:tcW w:w="926" w:type="dxa"/>
            <w:vAlign w:val="top"/>
            <w:vMerge w:val="continue"/>
            <w:tcBorders>
              <w:top w:val="nil"/>
            </w:tcBorders>
          </w:tcPr>
          <w:p>
            <w:pPr>
              <w:rPr>
                <w:rFonts w:ascii="Arial"/>
                <w:sz w:val="21"/>
              </w:rPr>
            </w:pPr>
            <w:r/>
          </w:p>
        </w:tc>
        <w:tc>
          <w:tcPr>
            <w:tcW w:w="929" w:type="dxa"/>
            <w:vAlign w:val="top"/>
          </w:tcPr>
          <w:p>
            <w:pPr>
              <w:spacing w:line="254" w:lineRule="auto"/>
              <w:rPr>
                <w:rFonts w:ascii="Arial"/>
                <w:sz w:val="21"/>
              </w:rPr>
            </w:pPr>
            <w:r/>
          </w:p>
          <w:p>
            <w:pPr>
              <w:spacing w:line="255" w:lineRule="auto"/>
              <w:rPr>
                <w:rFonts w:ascii="Arial"/>
                <w:sz w:val="21"/>
              </w:rPr>
            </w:pPr>
            <w:r/>
          </w:p>
          <w:p>
            <w:pPr>
              <w:ind w:left="258" w:right="47" w:hanging="212"/>
              <w:spacing w:before="65" w:line="253" w:lineRule="auto"/>
              <w:rPr>
                <w:rFonts w:ascii="SimSun" w:hAnsi="SimSun" w:eastAsia="SimSun" w:cs="SimSun"/>
                <w:sz w:val="20"/>
                <w:szCs w:val="20"/>
              </w:rPr>
            </w:pPr>
            <w:r>
              <w:rPr>
                <w:rFonts w:ascii="SimSun" w:hAnsi="SimSun" w:eastAsia="SimSun" w:cs="SimSun"/>
                <w:sz w:val="20"/>
                <w:szCs w:val="20"/>
                <w:spacing w:val="7"/>
              </w:rPr>
              <w:t>矿井水处</w:t>
            </w:r>
            <w:r>
              <w:rPr>
                <w:rFonts w:ascii="SimSun" w:hAnsi="SimSun" w:eastAsia="SimSun" w:cs="SimSun"/>
                <w:sz w:val="20"/>
                <w:szCs w:val="20"/>
                <w:spacing w:val="3"/>
              </w:rPr>
              <w:t>理站</w:t>
            </w:r>
          </w:p>
        </w:tc>
        <w:tc>
          <w:tcPr>
            <w:tcW w:w="4119" w:type="dxa"/>
            <w:vAlign w:val="top"/>
          </w:tcPr>
          <w:p>
            <w:pPr>
              <w:ind w:left="174"/>
              <w:spacing w:before="31" w:line="227" w:lineRule="auto"/>
              <w:rPr>
                <w:rFonts w:ascii="SimSun" w:hAnsi="SimSun" w:eastAsia="SimSun" w:cs="SimSun"/>
                <w:sz w:val="20"/>
                <w:szCs w:val="20"/>
              </w:rPr>
            </w:pPr>
            <w:r>
              <w:rPr>
                <w:rFonts w:ascii="SimSun" w:hAnsi="SimSun" w:eastAsia="SimSun" w:cs="SimSun"/>
                <w:sz w:val="20"/>
                <w:szCs w:val="20"/>
                <w:spacing w:val="9"/>
              </w:rPr>
              <w:t>井工区矿井涌水与露天矿疏干水进入矿井</w:t>
            </w:r>
          </w:p>
          <w:p>
            <w:pPr>
              <w:ind w:left="287"/>
              <w:spacing w:before="27" w:line="228" w:lineRule="auto"/>
              <w:rPr>
                <w:rFonts w:ascii="SimSun" w:hAnsi="SimSun" w:eastAsia="SimSun" w:cs="SimSun"/>
                <w:sz w:val="20"/>
                <w:szCs w:val="20"/>
              </w:rPr>
            </w:pPr>
            <w:r>
              <w:rPr>
                <w:rFonts w:ascii="SimSun" w:hAnsi="SimSun" w:eastAsia="SimSun" w:cs="SimSun"/>
                <w:sz w:val="20"/>
                <w:szCs w:val="20"/>
                <w:spacing w:val="8"/>
              </w:rPr>
              <w:t>（坑）水处理站处理，第一段处理规模</w:t>
            </w:r>
          </w:p>
          <w:p>
            <w:pPr>
              <w:pStyle w:val="TableText"/>
              <w:ind w:right="13"/>
              <w:spacing w:before="24" w:line="227" w:lineRule="auto"/>
              <w:jc w:val="right"/>
              <w:rPr>
                <w:rFonts w:ascii="SimSun" w:hAnsi="SimSun" w:eastAsia="SimSun" w:cs="SimSun"/>
              </w:rPr>
            </w:pPr>
            <w:r>
              <w:rPr>
                <w:spacing w:val="-2"/>
              </w:rPr>
              <w:t>750m</w:t>
            </w:r>
            <w:r>
              <w:rPr>
                <w:sz w:val="13"/>
                <w:szCs w:val="13"/>
                <w:spacing w:val="-2"/>
                <w:position w:val="6"/>
              </w:rPr>
              <w:t>3</w:t>
            </w:r>
            <w:r>
              <w:rPr>
                <w:spacing w:val="-2"/>
              </w:rPr>
              <w:t>/h</w:t>
            </w:r>
            <w:r>
              <w:rPr>
                <w:rFonts w:ascii="SimSun" w:hAnsi="SimSun" w:eastAsia="SimSun" w:cs="SimSun"/>
                <w:spacing w:val="-2"/>
              </w:rPr>
              <w:t>，采用“混凝沉淀</w:t>
            </w:r>
            <w:r>
              <w:rPr>
                <w:spacing w:val="-2"/>
              </w:rPr>
              <w:t>+</w:t>
            </w:r>
            <w:r>
              <w:rPr>
                <w:rFonts w:ascii="SimSun" w:hAnsi="SimSun" w:eastAsia="SimSun" w:cs="SimSun"/>
                <w:spacing w:val="-2"/>
              </w:rPr>
              <w:t>过滤</w:t>
            </w:r>
            <w:r>
              <w:rPr>
                <w:rFonts w:ascii="SimSun" w:hAnsi="SimSun" w:eastAsia="SimSun" w:cs="SimSun"/>
                <w:spacing w:val="-53"/>
              </w:rPr>
              <w:t xml:space="preserve"> </w:t>
            </w:r>
            <w:r>
              <w:rPr>
                <w:rFonts w:ascii="SimSun" w:hAnsi="SimSun" w:eastAsia="SimSun" w:cs="SimSun"/>
                <w:spacing w:val="-2"/>
              </w:rPr>
              <w:t>”处理工艺，</w:t>
            </w:r>
          </w:p>
          <w:p>
            <w:pPr>
              <w:pStyle w:val="TableText"/>
              <w:ind w:left="116"/>
              <w:spacing w:before="24" w:line="228" w:lineRule="auto"/>
              <w:rPr>
                <w:rFonts w:ascii="SimSun" w:hAnsi="SimSun" w:eastAsia="SimSun" w:cs="SimSun"/>
              </w:rPr>
            </w:pPr>
            <w:r>
              <w:rPr>
                <w:rFonts w:ascii="SimSun" w:hAnsi="SimSun" w:eastAsia="SimSun" w:cs="SimSun"/>
                <w:spacing w:val="2"/>
              </w:rPr>
              <w:t>另有备用矿井（坑）水处理站</w:t>
            </w:r>
            <w:r>
              <w:rPr>
                <w:rFonts w:ascii="SimSun" w:hAnsi="SimSun" w:eastAsia="SimSun" w:cs="SimSun"/>
                <w:spacing w:val="-14"/>
              </w:rPr>
              <w:t xml:space="preserve"> </w:t>
            </w:r>
            <w:r>
              <w:rPr>
                <w:spacing w:val="2"/>
              </w:rPr>
              <w:t>1</w:t>
            </w:r>
            <w:r>
              <w:rPr>
                <w:spacing w:val="14"/>
              </w:rPr>
              <w:t xml:space="preserve"> </w:t>
            </w:r>
            <w:r>
              <w:rPr>
                <w:rFonts w:ascii="SimSun" w:hAnsi="SimSun" w:eastAsia="SimSun" w:cs="SimSun"/>
                <w:spacing w:val="2"/>
              </w:rPr>
              <w:t>座，处理规</w:t>
            </w:r>
          </w:p>
          <w:p>
            <w:pPr>
              <w:pStyle w:val="TableText"/>
              <w:ind w:left="111"/>
              <w:spacing w:before="27" w:line="228" w:lineRule="auto"/>
              <w:rPr>
                <w:rFonts w:ascii="SimSun" w:hAnsi="SimSun" w:eastAsia="SimSun" w:cs="SimSun"/>
              </w:rPr>
            </w:pPr>
            <w:r>
              <w:rPr>
                <w:rFonts w:ascii="SimSun" w:hAnsi="SimSun" w:eastAsia="SimSun" w:cs="SimSun"/>
                <w:spacing w:val="2"/>
              </w:rPr>
              <w:t>模</w:t>
            </w:r>
            <w:r>
              <w:rPr>
                <w:rFonts w:ascii="SimSun" w:hAnsi="SimSun" w:eastAsia="SimSun" w:cs="SimSun"/>
                <w:spacing w:val="-21"/>
              </w:rPr>
              <w:t xml:space="preserve"> </w:t>
            </w:r>
            <w:r>
              <w:rPr>
                <w:spacing w:val="2"/>
              </w:rPr>
              <w:t>360m</w:t>
            </w:r>
            <w:r>
              <w:rPr>
                <w:sz w:val="13"/>
                <w:szCs w:val="13"/>
                <w:spacing w:val="2"/>
                <w:position w:val="6"/>
              </w:rPr>
              <w:t>3</w:t>
            </w:r>
            <w:r>
              <w:rPr>
                <w:spacing w:val="2"/>
              </w:rPr>
              <w:t>/h</w:t>
            </w:r>
            <w:r>
              <w:rPr>
                <w:rFonts w:ascii="SimSun" w:hAnsi="SimSun" w:eastAsia="SimSun" w:cs="SimSun"/>
                <w:spacing w:val="2"/>
              </w:rPr>
              <w:t>，处理工艺</w:t>
            </w:r>
            <w:r>
              <w:rPr>
                <w:spacing w:val="2"/>
              </w:rPr>
              <w:t>“</w:t>
            </w:r>
            <w:r>
              <w:rPr>
                <w:rFonts w:ascii="SimSun" w:hAnsi="SimSun" w:eastAsia="SimSun" w:cs="SimSun"/>
                <w:spacing w:val="2"/>
              </w:rPr>
              <w:t>混凝沉淀</w:t>
            </w:r>
            <w:r>
              <w:rPr>
                <w:spacing w:val="2"/>
              </w:rPr>
              <w:t>+</w:t>
            </w:r>
            <w:r>
              <w:rPr>
                <w:rFonts w:ascii="SimSun" w:hAnsi="SimSun" w:eastAsia="SimSun" w:cs="SimSun"/>
                <w:spacing w:val="2"/>
              </w:rPr>
              <w:t>过滤</w:t>
            </w:r>
            <w:r>
              <w:rPr>
                <w:spacing w:val="2"/>
              </w:rPr>
              <w:t>”</w:t>
            </w:r>
            <w:r>
              <w:rPr>
                <w:rFonts w:ascii="SimSun" w:hAnsi="SimSun" w:eastAsia="SimSun" w:cs="SimSun"/>
                <w:spacing w:val="2"/>
              </w:rPr>
              <w:t>。第</w:t>
            </w:r>
          </w:p>
          <w:p>
            <w:pPr>
              <w:pStyle w:val="TableText"/>
              <w:ind w:left="216"/>
              <w:spacing w:before="25" w:line="217" w:lineRule="auto"/>
              <w:rPr>
                <w:rFonts w:ascii="SimSun" w:hAnsi="SimSun" w:eastAsia="SimSun" w:cs="SimSun"/>
              </w:rPr>
            </w:pPr>
            <w:r>
              <w:rPr>
                <w:rFonts w:ascii="SimSun" w:hAnsi="SimSun" w:eastAsia="SimSun" w:cs="SimSun"/>
                <w:spacing w:val="5"/>
              </w:rPr>
              <w:t>二段处理规模</w:t>
            </w:r>
            <w:r>
              <w:rPr>
                <w:rFonts w:ascii="SimSun" w:hAnsi="SimSun" w:eastAsia="SimSun" w:cs="SimSun"/>
                <w:spacing w:val="-31"/>
              </w:rPr>
              <w:t xml:space="preserve"> </w:t>
            </w:r>
            <w:r>
              <w:rPr>
                <w:spacing w:val="5"/>
              </w:rPr>
              <w:t>360m</w:t>
            </w:r>
            <w:r>
              <w:rPr>
                <w:sz w:val="13"/>
                <w:szCs w:val="13"/>
                <w:spacing w:val="5"/>
                <w:position w:val="6"/>
              </w:rPr>
              <w:t>3</w:t>
            </w:r>
            <w:r>
              <w:rPr>
                <w:spacing w:val="5"/>
              </w:rPr>
              <w:t>/h</w:t>
            </w:r>
            <w:r>
              <w:rPr>
                <w:spacing w:val="-23"/>
              </w:rPr>
              <w:t xml:space="preserve"> </w:t>
            </w:r>
            <w:r>
              <w:rPr>
                <w:rFonts w:ascii="SimSun" w:hAnsi="SimSun" w:eastAsia="SimSun" w:cs="SimSun"/>
                <w:spacing w:val="5"/>
              </w:rPr>
              <w:t>，采用超滤工艺。</w:t>
            </w:r>
          </w:p>
        </w:tc>
        <w:tc>
          <w:tcPr>
            <w:tcW w:w="4129" w:type="dxa"/>
            <w:vAlign w:val="top"/>
          </w:tcPr>
          <w:p>
            <w:pPr>
              <w:ind w:left="180"/>
              <w:spacing w:before="31" w:line="227" w:lineRule="auto"/>
              <w:rPr>
                <w:rFonts w:ascii="SimSun" w:hAnsi="SimSun" w:eastAsia="SimSun" w:cs="SimSun"/>
                <w:sz w:val="20"/>
                <w:szCs w:val="20"/>
              </w:rPr>
            </w:pPr>
            <w:r>
              <w:rPr>
                <w:rFonts w:ascii="SimSun" w:hAnsi="SimSun" w:eastAsia="SimSun" w:cs="SimSun"/>
                <w:sz w:val="20"/>
                <w:szCs w:val="20"/>
                <w:spacing w:val="9"/>
              </w:rPr>
              <w:t>井工区矿井涌水与露天矿疏干水进入矿井</w:t>
            </w:r>
          </w:p>
          <w:p>
            <w:pPr>
              <w:ind w:left="294"/>
              <w:spacing w:before="27" w:line="228" w:lineRule="auto"/>
              <w:rPr>
                <w:rFonts w:ascii="SimSun" w:hAnsi="SimSun" w:eastAsia="SimSun" w:cs="SimSun"/>
                <w:sz w:val="20"/>
                <w:szCs w:val="20"/>
              </w:rPr>
            </w:pPr>
            <w:r>
              <w:rPr>
                <w:rFonts w:ascii="SimSun" w:hAnsi="SimSun" w:eastAsia="SimSun" w:cs="SimSun"/>
                <w:sz w:val="20"/>
                <w:szCs w:val="20"/>
                <w:spacing w:val="8"/>
              </w:rPr>
              <w:t>（坑）水处理站处理，第一段处理规模</w:t>
            </w:r>
          </w:p>
          <w:p>
            <w:pPr>
              <w:pStyle w:val="TableText"/>
              <w:spacing w:before="24" w:line="227" w:lineRule="auto"/>
              <w:jc w:val="right"/>
              <w:rPr>
                <w:rFonts w:ascii="SimSun" w:hAnsi="SimSun" w:eastAsia="SimSun" w:cs="SimSun"/>
              </w:rPr>
            </w:pPr>
            <w:r>
              <w:rPr>
                <w:spacing w:val="2"/>
              </w:rPr>
              <w:t>750m</w:t>
            </w:r>
            <w:r>
              <w:rPr>
                <w:sz w:val="13"/>
                <w:szCs w:val="13"/>
                <w:spacing w:val="2"/>
                <w:position w:val="6"/>
              </w:rPr>
              <w:t>3</w:t>
            </w:r>
            <w:r>
              <w:rPr>
                <w:spacing w:val="2"/>
              </w:rPr>
              <w:t>/h</w:t>
            </w:r>
            <w:r>
              <w:rPr>
                <w:spacing w:val="-24"/>
              </w:rPr>
              <w:t xml:space="preserve"> </w:t>
            </w:r>
            <w:r>
              <w:rPr>
                <w:rFonts w:ascii="SimSun" w:hAnsi="SimSun" w:eastAsia="SimSun" w:cs="SimSun"/>
                <w:spacing w:val="2"/>
              </w:rPr>
              <w:t>，采用“混凝沉淀</w:t>
            </w:r>
            <w:r>
              <w:rPr>
                <w:spacing w:val="2"/>
              </w:rPr>
              <w:t>+</w:t>
            </w:r>
            <w:r>
              <w:rPr>
                <w:rFonts w:ascii="SimSun" w:hAnsi="SimSun" w:eastAsia="SimSun" w:cs="SimSun"/>
                <w:spacing w:val="2"/>
              </w:rPr>
              <w:t>过滤</w:t>
            </w:r>
            <w:r>
              <w:rPr>
                <w:rFonts w:ascii="SimSun" w:hAnsi="SimSun" w:eastAsia="SimSun" w:cs="SimSun"/>
                <w:spacing w:val="-70"/>
              </w:rPr>
              <w:t xml:space="preserve"> </w:t>
            </w:r>
            <w:r>
              <w:rPr>
                <w:rFonts w:ascii="SimSun" w:hAnsi="SimSun" w:eastAsia="SimSun" w:cs="SimSun"/>
                <w:spacing w:val="2"/>
              </w:rPr>
              <w:t>”处理工</w:t>
            </w:r>
            <w:r>
              <w:rPr>
                <w:rFonts w:ascii="SimSun" w:hAnsi="SimSun" w:eastAsia="SimSun" w:cs="SimSun"/>
                <w:spacing w:val="1"/>
              </w:rPr>
              <w:t>艺，</w:t>
            </w:r>
          </w:p>
          <w:p>
            <w:pPr>
              <w:pStyle w:val="TableText"/>
              <w:ind w:left="80"/>
              <w:spacing w:before="24" w:line="228" w:lineRule="auto"/>
              <w:rPr>
                <w:rFonts w:ascii="SimSun" w:hAnsi="SimSun" w:eastAsia="SimSun" w:cs="SimSun"/>
              </w:rPr>
            </w:pPr>
            <w:r>
              <w:rPr>
                <w:rFonts w:ascii="SimSun" w:hAnsi="SimSun" w:eastAsia="SimSun" w:cs="SimSun"/>
                <w:spacing w:val="7"/>
              </w:rPr>
              <w:t>另有备用矿井（坑）水处理站</w:t>
            </w:r>
            <w:r>
              <w:rPr>
                <w:rFonts w:ascii="SimSun" w:hAnsi="SimSun" w:eastAsia="SimSun" w:cs="SimSun"/>
                <w:spacing w:val="-16"/>
              </w:rPr>
              <w:t xml:space="preserve"> </w:t>
            </w:r>
            <w:r>
              <w:rPr>
                <w:spacing w:val="7"/>
              </w:rPr>
              <w:t>1 </w:t>
            </w:r>
            <w:r>
              <w:rPr>
                <w:rFonts w:ascii="SimSun" w:hAnsi="SimSun" w:eastAsia="SimSun" w:cs="SimSun"/>
                <w:spacing w:val="7"/>
              </w:rPr>
              <w:t>座，处理规</w:t>
            </w:r>
          </w:p>
          <w:p>
            <w:pPr>
              <w:pStyle w:val="TableText"/>
              <w:ind w:left="64"/>
              <w:spacing w:before="27" w:line="228" w:lineRule="auto"/>
              <w:rPr>
                <w:rFonts w:ascii="SimSun" w:hAnsi="SimSun" w:eastAsia="SimSun" w:cs="SimSun"/>
              </w:rPr>
            </w:pPr>
            <w:r>
              <w:rPr>
                <w:rFonts w:ascii="SimSun" w:hAnsi="SimSun" w:eastAsia="SimSun" w:cs="SimSun"/>
                <w:spacing w:val="4"/>
              </w:rPr>
              <w:t>模</w:t>
            </w:r>
            <w:r>
              <w:rPr>
                <w:rFonts w:ascii="SimSun" w:hAnsi="SimSun" w:eastAsia="SimSun" w:cs="SimSun"/>
                <w:spacing w:val="-22"/>
              </w:rPr>
              <w:t xml:space="preserve"> </w:t>
            </w:r>
            <w:r>
              <w:rPr>
                <w:spacing w:val="4"/>
              </w:rPr>
              <w:t>360m</w:t>
            </w:r>
            <w:r>
              <w:rPr>
                <w:sz w:val="13"/>
                <w:szCs w:val="13"/>
                <w:spacing w:val="4"/>
                <w:position w:val="6"/>
              </w:rPr>
              <w:t>3</w:t>
            </w:r>
            <w:r>
              <w:rPr>
                <w:spacing w:val="4"/>
              </w:rPr>
              <w:t>/h</w:t>
            </w:r>
            <w:r>
              <w:rPr>
                <w:spacing w:val="-23"/>
              </w:rPr>
              <w:t xml:space="preserve"> </w:t>
            </w:r>
            <w:r>
              <w:rPr>
                <w:rFonts w:ascii="SimSun" w:hAnsi="SimSun" w:eastAsia="SimSun" w:cs="SimSun"/>
                <w:spacing w:val="4"/>
              </w:rPr>
              <w:t>，处理工艺</w:t>
            </w:r>
            <w:r>
              <w:rPr>
                <w:spacing w:val="4"/>
              </w:rPr>
              <w:t>“</w:t>
            </w:r>
            <w:r>
              <w:rPr>
                <w:rFonts w:ascii="SimSun" w:hAnsi="SimSun" w:eastAsia="SimSun" w:cs="SimSun"/>
                <w:spacing w:val="4"/>
              </w:rPr>
              <w:t>混凝沉淀</w:t>
            </w:r>
            <w:r>
              <w:rPr>
                <w:spacing w:val="4"/>
              </w:rPr>
              <w:t>+</w:t>
            </w:r>
            <w:r>
              <w:rPr>
                <w:rFonts w:ascii="SimSun" w:hAnsi="SimSun" w:eastAsia="SimSun" w:cs="SimSun"/>
                <w:spacing w:val="4"/>
              </w:rPr>
              <w:t>过滤</w:t>
            </w:r>
            <w:r>
              <w:rPr>
                <w:spacing w:val="4"/>
              </w:rPr>
              <w:t>”</w:t>
            </w:r>
            <w:r>
              <w:rPr>
                <w:spacing w:val="-20"/>
              </w:rPr>
              <w:t xml:space="preserve"> </w:t>
            </w:r>
            <w:r>
              <w:rPr>
                <w:rFonts w:ascii="SimSun" w:hAnsi="SimSun" w:eastAsia="SimSun" w:cs="SimSun"/>
                <w:spacing w:val="4"/>
              </w:rPr>
              <w:t>。第</w:t>
            </w:r>
          </w:p>
          <w:p>
            <w:pPr>
              <w:pStyle w:val="TableText"/>
              <w:ind w:left="222"/>
              <w:spacing w:before="25" w:line="217" w:lineRule="auto"/>
              <w:rPr>
                <w:rFonts w:ascii="SimSun" w:hAnsi="SimSun" w:eastAsia="SimSun" w:cs="SimSun"/>
              </w:rPr>
            </w:pPr>
            <w:r>
              <w:rPr>
                <w:rFonts w:ascii="SimSun" w:hAnsi="SimSun" w:eastAsia="SimSun" w:cs="SimSun"/>
                <w:spacing w:val="5"/>
              </w:rPr>
              <w:t>二段处理规模</w:t>
            </w:r>
            <w:r>
              <w:rPr>
                <w:rFonts w:ascii="SimSun" w:hAnsi="SimSun" w:eastAsia="SimSun" w:cs="SimSun"/>
                <w:spacing w:val="-28"/>
              </w:rPr>
              <w:t xml:space="preserve"> </w:t>
            </w:r>
            <w:r>
              <w:rPr>
                <w:spacing w:val="5"/>
              </w:rPr>
              <w:t>360m</w:t>
            </w:r>
            <w:r>
              <w:rPr>
                <w:sz w:val="13"/>
                <w:szCs w:val="13"/>
                <w:spacing w:val="5"/>
                <w:position w:val="6"/>
              </w:rPr>
              <w:t>3</w:t>
            </w:r>
            <w:r>
              <w:rPr>
                <w:spacing w:val="5"/>
              </w:rPr>
              <w:t>/h</w:t>
            </w:r>
            <w:r>
              <w:rPr>
                <w:spacing w:val="-26"/>
              </w:rPr>
              <w:t xml:space="preserve"> </w:t>
            </w:r>
            <w:r>
              <w:rPr>
                <w:rFonts w:ascii="SimSun" w:hAnsi="SimSun" w:eastAsia="SimSun" w:cs="SimSun"/>
                <w:spacing w:val="5"/>
              </w:rPr>
              <w:t>，采用超滤工艺。</w:t>
            </w:r>
          </w:p>
        </w:tc>
        <w:tc>
          <w:tcPr>
            <w:tcW w:w="3659" w:type="dxa"/>
            <w:vAlign w:val="top"/>
          </w:tcPr>
          <w:p>
            <w:pPr>
              <w:spacing w:line="322" w:lineRule="auto"/>
              <w:rPr>
                <w:rFonts w:ascii="Arial"/>
                <w:sz w:val="21"/>
              </w:rPr>
            </w:pPr>
            <w:r/>
          </w:p>
          <w:p>
            <w:pPr>
              <w:spacing w:line="322" w:lineRule="auto"/>
              <w:rPr>
                <w:rFonts w:ascii="Arial"/>
                <w:sz w:val="21"/>
              </w:rPr>
            </w:pPr>
            <w:r/>
          </w:p>
          <w:p>
            <w:pPr>
              <w:ind w:left="1625"/>
              <w:spacing w:before="65"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549" w:hRule="atLeast"/>
        </w:trPr>
        <w:tc>
          <w:tcPr>
            <w:tcW w:w="573" w:type="dxa"/>
            <w:vAlign w:val="top"/>
            <w:vMerge w:val="continue"/>
            <w:tcBorders>
              <w:top w:val="nil"/>
              <w:bottom w:val="nil"/>
            </w:tcBorders>
          </w:tcPr>
          <w:p>
            <w:pPr>
              <w:rPr>
                <w:rFonts w:ascii="Arial"/>
                <w:sz w:val="21"/>
              </w:rPr>
            </w:pPr>
            <w:r/>
          </w:p>
        </w:tc>
        <w:tc>
          <w:tcPr>
            <w:tcW w:w="926" w:type="dxa"/>
            <w:vAlign w:val="top"/>
            <w:vMerge w:val="restart"/>
            <w:tcBorders>
              <w:bottom w:val="nil"/>
            </w:tcBorders>
          </w:tcPr>
          <w:p>
            <w:pPr>
              <w:spacing w:line="261" w:lineRule="auto"/>
              <w:rPr>
                <w:rFonts w:ascii="Arial"/>
                <w:sz w:val="21"/>
              </w:rPr>
            </w:pPr>
            <w:r/>
          </w:p>
          <w:p>
            <w:pPr>
              <w:ind w:left="59" w:right="44" w:hanging="10"/>
              <w:spacing w:before="65" w:line="250" w:lineRule="auto"/>
              <w:rPr>
                <w:rFonts w:ascii="SimSun" w:hAnsi="SimSun" w:eastAsia="SimSun" w:cs="SimSun"/>
                <w:sz w:val="20"/>
                <w:szCs w:val="20"/>
              </w:rPr>
            </w:pPr>
            <w:r>
              <w:rPr>
                <w:rFonts w:ascii="SimSun" w:hAnsi="SimSun" w:eastAsia="SimSun" w:cs="SimSun"/>
                <w:sz w:val="20"/>
                <w:szCs w:val="20"/>
                <w:spacing w:val="6"/>
              </w:rPr>
              <w:t>大气污染</w:t>
            </w:r>
            <w:r>
              <w:rPr>
                <w:rFonts w:ascii="SimSun" w:hAnsi="SimSun" w:eastAsia="SimSun" w:cs="SimSun"/>
                <w:sz w:val="20"/>
                <w:szCs w:val="20"/>
                <w:spacing w:val="4"/>
              </w:rPr>
              <w:t>防治措施</w:t>
            </w:r>
          </w:p>
        </w:tc>
        <w:tc>
          <w:tcPr>
            <w:tcW w:w="929" w:type="dxa"/>
            <w:vAlign w:val="top"/>
          </w:tcPr>
          <w:p>
            <w:pPr>
              <w:ind w:left="255" w:right="47" w:hanging="206"/>
              <w:spacing w:before="31" w:line="234" w:lineRule="auto"/>
              <w:rPr>
                <w:rFonts w:ascii="SimSun" w:hAnsi="SimSun" w:eastAsia="SimSun" w:cs="SimSun"/>
                <w:sz w:val="20"/>
                <w:szCs w:val="20"/>
              </w:rPr>
            </w:pPr>
            <w:r>
              <w:rPr>
                <w:rFonts w:ascii="SimSun" w:hAnsi="SimSun" w:eastAsia="SimSun" w:cs="SimSun"/>
                <w:sz w:val="20"/>
                <w:szCs w:val="20"/>
                <w:spacing w:val="6"/>
              </w:rPr>
              <w:t>生产系统</w:t>
            </w:r>
            <w:r>
              <w:rPr>
                <w:rFonts w:ascii="SimSun" w:hAnsi="SimSun" w:eastAsia="SimSun" w:cs="SimSun"/>
                <w:sz w:val="20"/>
                <w:szCs w:val="20"/>
                <w:spacing w:val="5"/>
              </w:rPr>
              <w:t>粉尘</w:t>
            </w:r>
          </w:p>
        </w:tc>
        <w:tc>
          <w:tcPr>
            <w:tcW w:w="4119" w:type="dxa"/>
            <w:vAlign w:val="top"/>
          </w:tcPr>
          <w:p>
            <w:pPr>
              <w:ind w:left="116"/>
              <w:spacing w:before="32" w:line="227" w:lineRule="auto"/>
              <w:rPr>
                <w:rFonts w:ascii="SimSun" w:hAnsi="SimSun" w:eastAsia="SimSun" w:cs="SimSun"/>
                <w:sz w:val="20"/>
                <w:szCs w:val="20"/>
              </w:rPr>
            </w:pPr>
            <w:r>
              <w:rPr>
                <w:rFonts w:ascii="SimSun" w:hAnsi="SimSun" w:eastAsia="SimSun" w:cs="SimSun"/>
                <w:sz w:val="20"/>
                <w:szCs w:val="20"/>
                <w:spacing w:val="4"/>
              </w:rPr>
              <w:t>原煤在转载、输送采用全封闭带式输送机走</w:t>
            </w:r>
          </w:p>
          <w:p>
            <w:pPr>
              <w:ind w:left="595"/>
              <w:spacing w:before="28" w:line="214" w:lineRule="auto"/>
              <w:rPr>
                <w:rFonts w:ascii="SimSun" w:hAnsi="SimSun" w:eastAsia="SimSun" w:cs="SimSun"/>
                <w:sz w:val="20"/>
                <w:szCs w:val="20"/>
              </w:rPr>
            </w:pPr>
            <w:r>
              <w:rPr>
                <w:rFonts w:ascii="SimSun" w:hAnsi="SimSun" w:eastAsia="SimSun" w:cs="SimSun"/>
                <w:sz w:val="20"/>
                <w:szCs w:val="20"/>
                <w:spacing w:val="8"/>
              </w:rPr>
              <w:t>廊，转载点安装了布袋除尘器。</w:t>
            </w:r>
          </w:p>
        </w:tc>
        <w:tc>
          <w:tcPr>
            <w:tcW w:w="4129" w:type="dxa"/>
            <w:vAlign w:val="top"/>
          </w:tcPr>
          <w:p>
            <w:pPr>
              <w:ind w:left="80"/>
              <w:spacing w:before="32" w:line="227" w:lineRule="auto"/>
              <w:rPr>
                <w:rFonts w:ascii="SimSun" w:hAnsi="SimSun" w:eastAsia="SimSun" w:cs="SimSun"/>
                <w:sz w:val="20"/>
                <w:szCs w:val="20"/>
              </w:rPr>
            </w:pPr>
            <w:r>
              <w:rPr>
                <w:rFonts w:ascii="SimSun" w:hAnsi="SimSun" w:eastAsia="SimSun" w:cs="SimSun"/>
                <w:sz w:val="20"/>
                <w:szCs w:val="20"/>
                <w:spacing w:val="9"/>
              </w:rPr>
              <w:t>原煤在转载、输送采用全封闭带式输送机走</w:t>
            </w:r>
          </w:p>
          <w:p>
            <w:pPr>
              <w:ind w:left="601"/>
              <w:spacing w:before="28" w:line="214" w:lineRule="auto"/>
              <w:rPr>
                <w:rFonts w:ascii="SimSun" w:hAnsi="SimSun" w:eastAsia="SimSun" w:cs="SimSun"/>
                <w:sz w:val="20"/>
                <w:szCs w:val="20"/>
              </w:rPr>
            </w:pPr>
            <w:r>
              <w:rPr>
                <w:rFonts w:ascii="SimSun" w:hAnsi="SimSun" w:eastAsia="SimSun" w:cs="SimSun"/>
                <w:sz w:val="20"/>
                <w:szCs w:val="20"/>
                <w:spacing w:val="8"/>
              </w:rPr>
              <w:t>廊，转载点安装了布袋除尘器。</w:t>
            </w:r>
          </w:p>
        </w:tc>
        <w:tc>
          <w:tcPr>
            <w:tcW w:w="3659" w:type="dxa"/>
            <w:vAlign w:val="top"/>
          </w:tcPr>
          <w:p>
            <w:pPr>
              <w:ind w:left="1625"/>
              <w:spacing w:before="169"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290" w:hRule="atLeast"/>
        </w:trPr>
        <w:tc>
          <w:tcPr>
            <w:tcW w:w="573" w:type="dxa"/>
            <w:vAlign w:val="top"/>
            <w:vMerge w:val="continue"/>
            <w:tcBorders>
              <w:top w:val="nil"/>
              <w:bottom w:val="nil"/>
            </w:tcBorders>
          </w:tcPr>
          <w:p>
            <w:pPr>
              <w:rPr>
                <w:rFonts w:ascii="Arial"/>
                <w:sz w:val="21"/>
              </w:rPr>
            </w:pPr>
            <w:r/>
          </w:p>
        </w:tc>
        <w:tc>
          <w:tcPr>
            <w:tcW w:w="926" w:type="dxa"/>
            <w:vAlign w:val="top"/>
            <w:vMerge w:val="continue"/>
            <w:tcBorders>
              <w:top w:val="nil"/>
              <w:bottom w:val="nil"/>
            </w:tcBorders>
          </w:tcPr>
          <w:p>
            <w:pPr>
              <w:rPr>
                <w:rFonts w:ascii="Arial"/>
                <w:sz w:val="21"/>
              </w:rPr>
            </w:pPr>
            <w:r/>
          </w:p>
        </w:tc>
        <w:tc>
          <w:tcPr>
            <w:tcW w:w="929" w:type="dxa"/>
            <w:vAlign w:val="top"/>
          </w:tcPr>
          <w:p>
            <w:pPr>
              <w:ind w:left="152"/>
              <w:spacing w:before="40" w:line="221" w:lineRule="auto"/>
              <w:rPr>
                <w:rFonts w:ascii="SimSun" w:hAnsi="SimSun" w:eastAsia="SimSun" w:cs="SimSun"/>
                <w:sz w:val="20"/>
                <w:szCs w:val="20"/>
              </w:rPr>
            </w:pPr>
            <w:r>
              <w:rPr>
                <w:rFonts w:ascii="SimSun" w:hAnsi="SimSun" w:eastAsia="SimSun" w:cs="SimSun"/>
                <w:sz w:val="20"/>
                <w:szCs w:val="20"/>
                <w:spacing w:val="7"/>
              </w:rPr>
              <w:t>储煤场</w:t>
            </w:r>
          </w:p>
        </w:tc>
        <w:tc>
          <w:tcPr>
            <w:tcW w:w="4119" w:type="dxa"/>
            <w:vAlign w:val="top"/>
          </w:tcPr>
          <w:p>
            <w:pPr>
              <w:ind w:left="1434"/>
              <w:spacing w:before="40" w:line="221" w:lineRule="auto"/>
              <w:rPr>
                <w:rFonts w:ascii="SimSun" w:hAnsi="SimSun" w:eastAsia="SimSun" w:cs="SimSun"/>
                <w:sz w:val="20"/>
                <w:szCs w:val="20"/>
              </w:rPr>
            </w:pPr>
            <w:r>
              <w:rPr>
                <w:rFonts w:ascii="SimSun" w:hAnsi="SimSun" w:eastAsia="SimSun" w:cs="SimSun"/>
                <w:sz w:val="20"/>
                <w:szCs w:val="20"/>
                <w:spacing w:val="8"/>
              </w:rPr>
              <w:t>全封闭储煤场</w:t>
            </w:r>
          </w:p>
        </w:tc>
        <w:tc>
          <w:tcPr>
            <w:tcW w:w="4129" w:type="dxa"/>
            <w:vAlign w:val="top"/>
          </w:tcPr>
          <w:p>
            <w:pPr>
              <w:ind w:left="1440"/>
              <w:spacing w:before="40" w:line="221" w:lineRule="auto"/>
              <w:rPr>
                <w:rFonts w:ascii="SimSun" w:hAnsi="SimSun" w:eastAsia="SimSun" w:cs="SimSun"/>
                <w:sz w:val="20"/>
                <w:szCs w:val="20"/>
              </w:rPr>
            </w:pPr>
            <w:r>
              <w:rPr>
                <w:rFonts w:ascii="SimSun" w:hAnsi="SimSun" w:eastAsia="SimSun" w:cs="SimSun"/>
                <w:sz w:val="20"/>
                <w:szCs w:val="20"/>
                <w:spacing w:val="8"/>
              </w:rPr>
              <w:t>全封闭储煤场</w:t>
            </w:r>
          </w:p>
        </w:tc>
        <w:tc>
          <w:tcPr>
            <w:tcW w:w="3659" w:type="dxa"/>
            <w:vAlign w:val="top"/>
          </w:tcPr>
          <w:p>
            <w:pPr>
              <w:ind w:left="1625"/>
              <w:spacing w:before="40" w:line="221" w:lineRule="auto"/>
              <w:rPr>
                <w:rFonts w:ascii="SimSun" w:hAnsi="SimSun" w:eastAsia="SimSun" w:cs="SimSun"/>
                <w:sz w:val="20"/>
                <w:szCs w:val="20"/>
              </w:rPr>
            </w:pPr>
            <w:r>
              <w:rPr>
                <w:rFonts w:ascii="SimSun" w:hAnsi="SimSun" w:eastAsia="SimSun" w:cs="SimSun"/>
                <w:sz w:val="20"/>
                <w:szCs w:val="20"/>
                <w:spacing w:val="3"/>
              </w:rPr>
              <w:t>不变</w:t>
            </w:r>
          </w:p>
        </w:tc>
      </w:tr>
      <w:tr>
        <w:trPr>
          <w:trHeight w:val="292" w:hRule="atLeast"/>
        </w:trPr>
        <w:tc>
          <w:tcPr>
            <w:tcW w:w="573" w:type="dxa"/>
            <w:vAlign w:val="top"/>
            <w:vMerge w:val="continue"/>
            <w:tcBorders>
              <w:top w:val="nil"/>
            </w:tcBorders>
          </w:tcPr>
          <w:p>
            <w:pPr>
              <w:rPr>
                <w:rFonts w:ascii="Arial"/>
                <w:sz w:val="21"/>
              </w:rPr>
            </w:pPr>
            <w:r/>
          </w:p>
        </w:tc>
        <w:tc>
          <w:tcPr>
            <w:tcW w:w="926" w:type="dxa"/>
            <w:vAlign w:val="top"/>
            <w:vMerge w:val="continue"/>
            <w:tcBorders>
              <w:top w:val="nil"/>
            </w:tcBorders>
          </w:tcPr>
          <w:p>
            <w:pPr>
              <w:rPr>
                <w:rFonts w:ascii="Arial"/>
                <w:sz w:val="21"/>
              </w:rPr>
            </w:pPr>
            <w:r/>
          </w:p>
        </w:tc>
        <w:tc>
          <w:tcPr>
            <w:tcW w:w="929" w:type="dxa"/>
            <w:vAlign w:val="top"/>
          </w:tcPr>
          <w:p>
            <w:pPr>
              <w:ind w:left="46"/>
              <w:spacing w:before="40" w:line="223" w:lineRule="auto"/>
              <w:rPr>
                <w:rFonts w:ascii="SimSun" w:hAnsi="SimSun" w:eastAsia="SimSun" w:cs="SimSun"/>
                <w:sz w:val="20"/>
                <w:szCs w:val="20"/>
              </w:rPr>
            </w:pPr>
            <w:r>
              <w:rPr>
                <w:rFonts w:ascii="SimSun" w:hAnsi="SimSun" w:eastAsia="SimSun" w:cs="SimSun"/>
                <w:sz w:val="20"/>
                <w:szCs w:val="20"/>
                <w:spacing w:val="7"/>
              </w:rPr>
              <w:t>道路粉尘</w:t>
            </w:r>
          </w:p>
        </w:tc>
        <w:tc>
          <w:tcPr>
            <w:tcW w:w="4119" w:type="dxa"/>
            <w:vAlign w:val="top"/>
          </w:tcPr>
          <w:p>
            <w:pPr>
              <w:ind w:left="1645"/>
              <w:spacing w:before="40" w:line="223" w:lineRule="auto"/>
              <w:rPr>
                <w:rFonts w:ascii="SimSun" w:hAnsi="SimSun" w:eastAsia="SimSun" w:cs="SimSun"/>
                <w:sz w:val="20"/>
                <w:szCs w:val="20"/>
              </w:rPr>
            </w:pPr>
            <w:r>
              <w:rPr>
                <w:rFonts w:ascii="SimSun" w:hAnsi="SimSun" w:eastAsia="SimSun" w:cs="SimSun"/>
                <w:sz w:val="20"/>
                <w:szCs w:val="20"/>
                <w:spacing w:val="6"/>
              </w:rPr>
              <w:t>洒水降尘</w:t>
            </w:r>
          </w:p>
        </w:tc>
        <w:tc>
          <w:tcPr>
            <w:tcW w:w="4129" w:type="dxa"/>
            <w:vAlign w:val="top"/>
          </w:tcPr>
          <w:p>
            <w:pPr>
              <w:ind w:left="1652"/>
              <w:spacing w:before="40" w:line="223" w:lineRule="auto"/>
              <w:rPr>
                <w:rFonts w:ascii="SimSun" w:hAnsi="SimSun" w:eastAsia="SimSun" w:cs="SimSun"/>
                <w:sz w:val="20"/>
                <w:szCs w:val="20"/>
              </w:rPr>
            </w:pPr>
            <w:r>
              <w:rPr>
                <w:rFonts w:ascii="SimSun" w:hAnsi="SimSun" w:eastAsia="SimSun" w:cs="SimSun"/>
                <w:sz w:val="20"/>
                <w:szCs w:val="20"/>
                <w:spacing w:val="6"/>
              </w:rPr>
              <w:t>洒水降尘</w:t>
            </w:r>
          </w:p>
        </w:tc>
        <w:tc>
          <w:tcPr>
            <w:tcW w:w="3659" w:type="dxa"/>
            <w:vAlign w:val="top"/>
          </w:tcPr>
          <w:p>
            <w:pPr>
              <w:ind w:left="1625"/>
              <w:spacing w:before="40" w:line="223" w:lineRule="auto"/>
              <w:rPr>
                <w:rFonts w:ascii="SimSun" w:hAnsi="SimSun" w:eastAsia="SimSun" w:cs="SimSun"/>
                <w:sz w:val="20"/>
                <w:szCs w:val="20"/>
              </w:rPr>
            </w:pPr>
            <w:r>
              <w:rPr>
                <w:rFonts w:ascii="SimSun" w:hAnsi="SimSun" w:eastAsia="SimSun" w:cs="SimSun"/>
                <w:sz w:val="20"/>
                <w:szCs w:val="20"/>
                <w:spacing w:val="3"/>
              </w:rPr>
              <w:t>不变</w:t>
            </w:r>
          </w:p>
        </w:tc>
      </w:tr>
    </w:tbl>
    <w:p>
      <w:pPr>
        <w:pStyle w:val="BodyText"/>
        <w:rPr/>
      </w:pPr>
      <w:r/>
    </w:p>
    <w:p>
      <w:pPr>
        <w:sectPr>
          <w:footerReference w:type="default" r:id="rId189"/>
          <w:pgSz w:w="16838" w:h="11906"/>
          <w:pgMar w:top="1169" w:right="1391" w:bottom="1080" w:left="1106" w:header="836" w:footer="917" w:gutter="0"/>
        </w:sectPr>
        <w:rPr/>
      </w:pPr>
    </w:p>
    <w:p>
      <w:pPr>
        <w:spacing w:before="7"/>
        <w:rPr/>
      </w:pPr>
      <w:r/>
    </w:p>
    <w:tbl>
      <w:tblPr>
        <w:tblStyle w:val="TableNormal"/>
        <w:tblW w:w="1433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73"/>
        <w:gridCol w:w="926"/>
        <w:gridCol w:w="929"/>
        <w:gridCol w:w="4119"/>
        <w:gridCol w:w="4129"/>
        <w:gridCol w:w="3659"/>
      </w:tblGrid>
      <w:tr>
        <w:trPr>
          <w:trHeight w:val="500" w:hRule="atLeast"/>
        </w:trPr>
        <w:tc>
          <w:tcPr>
            <w:tcW w:w="573" w:type="dxa"/>
            <w:vAlign w:val="top"/>
          </w:tcPr>
          <w:p>
            <w:pPr>
              <w:ind w:left="82"/>
              <w:spacing w:before="143" w:line="228" w:lineRule="auto"/>
              <w:rPr>
                <w:rFonts w:ascii="SimSun" w:hAnsi="SimSun" w:eastAsia="SimSun" w:cs="SimSun"/>
                <w:sz w:val="20"/>
                <w:szCs w:val="20"/>
              </w:rPr>
            </w:pPr>
            <w:r>
              <w:rPr>
                <w:rFonts w:ascii="SimSun" w:hAnsi="SimSun" w:eastAsia="SimSun" w:cs="SimSun"/>
                <w:sz w:val="20"/>
                <w:szCs w:val="20"/>
                <w:spacing w:val="3"/>
              </w:rPr>
              <w:t>分类</w:t>
            </w:r>
          </w:p>
        </w:tc>
        <w:tc>
          <w:tcPr>
            <w:tcW w:w="1855" w:type="dxa"/>
            <w:vAlign w:val="top"/>
            <w:gridSpan w:val="2"/>
          </w:tcPr>
          <w:p>
            <w:pPr>
              <w:ind w:left="513"/>
              <w:spacing w:before="144" w:line="228" w:lineRule="auto"/>
              <w:rPr>
                <w:rFonts w:ascii="SimSun" w:hAnsi="SimSun" w:eastAsia="SimSun" w:cs="SimSun"/>
                <w:sz w:val="20"/>
                <w:szCs w:val="20"/>
              </w:rPr>
            </w:pPr>
            <w:r>
              <w:rPr>
                <w:rFonts w:ascii="SimSun" w:hAnsi="SimSun" w:eastAsia="SimSun" w:cs="SimSun"/>
                <w:sz w:val="20"/>
                <w:szCs w:val="20"/>
                <w:spacing w:val="6"/>
              </w:rPr>
              <w:t>项目组成</w:t>
            </w:r>
          </w:p>
        </w:tc>
        <w:tc>
          <w:tcPr>
            <w:tcW w:w="4119" w:type="dxa"/>
            <w:vAlign w:val="top"/>
          </w:tcPr>
          <w:p>
            <w:pPr>
              <w:ind w:left="1436"/>
              <w:spacing w:before="143" w:line="228" w:lineRule="auto"/>
              <w:rPr>
                <w:rFonts w:ascii="SimSun" w:hAnsi="SimSun" w:eastAsia="SimSun" w:cs="SimSun"/>
                <w:sz w:val="20"/>
                <w:szCs w:val="20"/>
              </w:rPr>
            </w:pPr>
            <w:r>
              <w:rPr>
                <w:rFonts w:ascii="SimSun" w:hAnsi="SimSun" w:eastAsia="SimSun" w:cs="SimSun"/>
                <w:sz w:val="20"/>
                <w:szCs w:val="20"/>
                <w:spacing w:val="7"/>
              </w:rPr>
              <w:t>现有工程内容</w:t>
            </w:r>
          </w:p>
        </w:tc>
        <w:tc>
          <w:tcPr>
            <w:tcW w:w="4129" w:type="dxa"/>
            <w:vAlign w:val="top"/>
          </w:tcPr>
          <w:p>
            <w:pPr>
              <w:ind w:left="917"/>
              <w:spacing w:before="144" w:line="227" w:lineRule="auto"/>
              <w:rPr>
                <w:rFonts w:ascii="SimSun" w:hAnsi="SimSun" w:eastAsia="SimSun" w:cs="SimSun"/>
                <w:sz w:val="20"/>
                <w:szCs w:val="20"/>
              </w:rPr>
            </w:pPr>
            <w:r>
              <w:rPr>
                <w:rFonts w:ascii="SimSun" w:hAnsi="SimSun" w:eastAsia="SimSun" w:cs="SimSun"/>
                <w:sz w:val="20"/>
                <w:szCs w:val="20"/>
                <w:spacing w:val="9"/>
              </w:rPr>
              <w:t>调整开采范围后工程内容</w:t>
            </w:r>
          </w:p>
        </w:tc>
        <w:tc>
          <w:tcPr>
            <w:tcW w:w="3659" w:type="dxa"/>
            <w:vAlign w:val="top"/>
          </w:tcPr>
          <w:p>
            <w:pPr>
              <w:ind w:left="1413"/>
              <w:spacing w:before="144" w:line="228" w:lineRule="auto"/>
              <w:rPr>
                <w:rFonts w:ascii="SimSun" w:hAnsi="SimSun" w:eastAsia="SimSun" w:cs="SimSun"/>
                <w:sz w:val="20"/>
                <w:szCs w:val="20"/>
              </w:rPr>
            </w:pPr>
            <w:r>
              <w:rPr>
                <w:rFonts w:ascii="SimSun" w:hAnsi="SimSun" w:eastAsia="SimSun" w:cs="SimSun"/>
                <w:sz w:val="20"/>
                <w:szCs w:val="20"/>
                <w:spacing w:val="7"/>
              </w:rPr>
              <w:t>变化情况</w:t>
            </w:r>
          </w:p>
        </w:tc>
      </w:tr>
      <w:tr>
        <w:trPr>
          <w:trHeight w:val="551" w:hRule="atLeast"/>
        </w:trPr>
        <w:tc>
          <w:tcPr>
            <w:tcW w:w="573" w:type="dxa"/>
            <w:vAlign w:val="top"/>
            <w:vMerge w:val="restart"/>
            <w:tcBorders>
              <w:bottom w:val="nil"/>
            </w:tcBorders>
          </w:tcPr>
          <w:p>
            <w:pPr>
              <w:rPr>
                <w:rFonts w:ascii="Arial"/>
                <w:sz w:val="21"/>
              </w:rPr>
            </w:pPr>
            <w:r/>
          </w:p>
        </w:tc>
        <w:tc>
          <w:tcPr>
            <w:tcW w:w="1855" w:type="dxa"/>
            <w:vAlign w:val="top"/>
            <w:gridSpan w:val="2"/>
          </w:tcPr>
          <w:p>
            <w:pPr>
              <w:ind w:left="311"/>
              <w:spacing w:before="167" w:line="228" w:lineRule="auto"/>
              <w:rPr>
                <w:rFonts w:ascii="SimSun" w:hAnsi="SimSun" w:eastAsia="SimSun" w:cs="SimSun"/>
                <w:sz w:val="20"/>
                <w:szCs w:val="20"/>
              </w:rPr>
            </w:pPr>
            <w:r>
              <w:rPr>
                <w:rFonts w:ascii="SimSun" w:hAnsi="SimSun" w:eastAsia="SimSun" w:cs="SimSun"/>
                <w:sz w:val="20"/>
                <w:szCs w:val="20"/>
                <w:spacing w:val="6"/>
              </w:rPr>
              <w:t>噪声控制措施</w:t>
            </w:r>
          </w:p>
        </w:tc>
        <w:tc>
          <w:tcPr>
            <w:tcW w:w="4119" w:type="dxa"/>
            <w:vAlign w:val="top"/>
          </w:tcPr>
          <w:p>
            <w:pPr>
              <w:ind w:left="593" w:right="107" w:hanging="482"/>
              <w:spacing w:before="31" w:line="235" w:lineRule="auto"/>
              <w:rPr>
                <w:rFonts w:ascii="SimSun" w:hAnsi="SimSun" w:eastAsia="SimSun" w:cs="SimSun"/>
                <w:sz w:val="20"/>
                <w:szCs w:val="20"/>
              </w:rPr>
            </w:pPr>
            <w:r>
              <w:rPr>
                <w:rFonts w:ascii="SimSun" w:hAnsi="SimSun" w:eastAsia="SimSun" w:cs="SimSun"/>
                <w:sz w:val="20"/>
                <w:szCs w:val="20"/>
                <w:spacing w:val="5"/>
              </w:rPr>
              <w:t>机修车间设备减振，隔声门窗，各类水泵房</w:t>
            </w:r>
            <w:r>
              <w:rPr>
                <w:rFonts w:ascii="SimSun" w:hAnsi="SimSun" w:eastAsia="SimSun" w:cs="SimSun"/>
                <w:sz w:val="20"/>
                <w:szCs w:val="20"/>
                <w:spacing w:val="9"/>
              </w:rPr>
              <w:t>采用安装软件头及基础减震措施</w:t>
            </w:r>
          </w:p>
        </w:tc>
        <w:tc>
          <w:tcPr>
            <w:tcW w:w="4129" w:type="dxa"/>
            <w:vAlign w:val="top"/>
          </w:tcPr>
          <w:p>
            <w:pPr>
              <w:ind w:left="599" w:right="70" w:hanging="525"/>
              <w:spacing w:before="31" w:line="235" w:lineRule="auto"/>
              <w:rPr>
                <w:rFonts w:ascii="SimSun" w:hAnsi="SimSun" w:eastAsia="SimSun" w:cs="SimSun"/>
                <w:sz w:val="20"/>
                <w:szCs w:val="20"/>
              </w:rPr>
            </w:pPr>
            <w:r>
              <w:rPr>
                <w:rFonts w:ascii="SimSun" w:hAnsi="SimSun" w:eastAsia="SimSun" w:cs="SimSun"/>
                <w:sz w:val="20"/>
                <w:szCs w:val="20"/>
                <w:spacing w:val="9"/>
              </w:rPr>
              <w:t>机修车间设备减振，隔声门窗，各类水泵房</w:t>
            </w:r>
            <w:r>
              <w:rPr>
                <w:rFonts w:ascii="SimSun" w:hAnsi="SimSun" w:eastAsia="SimSun" w:cs="SimSun"/>
                <w:sz w:val="20"/>
                <w:szCs w:val="20"/>
                <w:spacing w:val="9"/>
              </w:rPr>
              <w:t>采用安装软件头及基础减震措施</w:t>
            </w:r>
          </w:p>
        </w:tc>
        <w:tc>
          <w:tcPr>
            <w:tcW w:w="3659" w:type="dxa"/>
            <w:vAlign w:val="top"/>
          </w:tcPr>
          <w:p>
            <w:pPr>
              <w:ind w:left="1625"/>
              <w:spacing w:before="167"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275" w:hRule="atLeast"/>
        </w:trPr>
        <w:tc>
          <w:tcPr>
            <w:tcW w:w="573" w:type="dxa"/>
            <w:vAlign w:val="top"/>
            <w:vMerge w:val="continue"/>
            <w:tcBorders>
              <w:top w:val="nil"/>
              <w:bottom w:val="nil"/>
            </w:tcBorders>
          </w:tcPr>
          <w:p>
            <w:pPr>
              <w:rPr>
                <w:rFonts w:ascii="Arial"/>
                <w:sz w:val="21"/>
              </w:rPr>
            </w:pPr>
            <w:r/>
          </w:p>
        </w:tc>
        <w:tc>
          <w:tcPr>
            <w:tcW w:w="926" w:type="dxa"/>
            <w:vAlign w:val="top"/>
            <w:vMerge w:val="restart"/>
            <w:tcBorders>
              <w:bottom w:val="nil"/>
            </w:tcBorders>
          </w:tcPr>
          <w:p>
            <w:pPr>
              <w:spacing w:line="386" w:lineRule="auto"/>
              <w:rPr>
                <w:rFonts w:ascii="Arial"/>
                <w:sz w:val="21"/>
              </w:rPr>
            </w:pPr>
            <w:r/>
          </w:p>
          <w:p>
            <w:pPr>
              <w:ind w:left="254" w:right="44" w:hanging="190"/>
              <w:spacing w:before="65" w:line="252" w:lineRule="auto"/>
              <w:rPr>
                <w:rFonts w:ascii="SimSun" w:hAnsi="SimSun" w:eastAsia="SimSun" w:cs="SimSun"/>
                <w:sz w:val="20"/>
                <w:szCs w:val="20"/>
              </w:rPr>
            </w:pPr>
            <w:r>
              <w:rPr>
                <w:rFonts w:ascii="SimSun" w:hAnsi="SimSun" w:eastAsia="SimSun" w:cs="SimSun"/>
                <w:sz w:val="20"/>
                <w:szCs w:val="20"/>
                <w:spacing w:val="2"/>
              </w:rPr>
              <w:t>固废处置</w:t>
            </w:r>
            <w:r>
              <w:rPr>
                <w:rFonts w:ascii="SimSun" w:hAnsi="SimSun" w:eastAsia="SimSun" w:cs="SimSun"/>
                <w:sz w:val="20"/>
                <w:szCs w:val="20"/>
                <w:spacing w:val="4"/>
              </w:rPr>
              <w:t>措施</w:t>
            </w:r>
          </w:p>
        </w:tc>
        <w:tc>
          <w:tcPr>
            <w:tcW w:w="929" w:type="dxa"/>
            <w:vAlign w:val="top"/>
          </w:tcPr>
          <w:p>
            <w:pPr>
              <w:ind w:left="49"/>
              <w:spacing w:before="31" w:line="216" w:lineRule="auto"/>
              <w:rPr>
                <w:rFonts w:ascii="SimSun" w:hAnsi="SimSun" w:eastAsia="SimSun" w:cs="SimSun"/>
                <w:sz w:val="20"/>
                <w:szCs w:val="20"/>
              </w:rPr>
            </w:pPr>
            <w:r>
              <w:rPr>
                <w:rFonts w:ascii="SimSun" w:hAnsi="SimSun" w:eastAsia="SimSun" w:cs="SimSun"/>
                <w:sz w:val="20"/>
                <w:szCs w:val="20"/>
                <w:spacing w:val="6"/>
              </w:rPr>
              <w:t>生活垃圾</w:t>
            </w:r>
          </w:p>
        </w:tc>
        <w:tc>
          <w:tcPr>
            <w:tcW w:w="4119" w:type="dxa"/>
            <w:vAlign w:val="top"/>
          </w:tcPr>
          <w:p>
            <w:pPr>
              <w:ind w:left="496"/>
              <w:spacing w:before="31" w:line="216" w:lineRule="auto"/>
              <w:rPr>
                <w:rFonts w:ascii="SimSun" w:hAnsi="SimSun" w:eastAsia="SimSun" w:cs="SimSun"/>
                <w:sz w:val="20"/>
                <w:szCs w:val="20"/>
              </w:rPr>
            </w:pPr>
            <w:r>
              <w:rPr>
                <w:rFonts w:ascii="SimSun" w:hAnsi="SimSun" w:eastAsia="SimSun" w:cs="SimSun"/>
                <w:sz w:val="20"/>
                <w:szCs w:val="20"/>
                <w:spacing w:val="8"/>
              </w:rPr>
              <w:t>收集后交予当地环卫部门集中处置</w:t>
            </w:r>
          </w:p>
        </w:tc>
        <w:tc>
          <w:tcPr>
            <w:tcW w:w="4129" w:type="dxa"/>
            <w:vAlign w:val="top"/>
          </w:tcPr>
          <w:p>
            <w:pPr>
              <w:ind w:left="502"/>
              <w:spacing w:before="31" w:line="216" w:lineRule="auto"/>
              <w:rPr>
                <w:rFonts w:ascii="SimSun" w:hAnsi="SimSun" w:eastAsia="SimSun" w:cs="SimSun"/>
                <w:sz w:val="20"/>
                <w:szCs w:val="20"/>
              </w:rPr>
            </w:pPr>
            <w:r>
              <w:rPr>
                <w:rFonts w:ascii="SimSun" w:hAnsi="SimSun" w:eastAsia="SimSun" w:cs="SimSun"/>
                <w:sz w:val="20"/>
                <w:szCs w:val="20"/>
                <w:spacing w:val="8"/>
              </w:rPr>
              <w:t>收集后交予当地环卫部门集中处置</w:t>
            </w:r>
          </w:p>
        </w:tc>
        <w:tc>
          <w:tcPr>
            <w:tcW w:w="3659" w:type="dxa"/>
            <w:vAlign w:val="top"/>
          </w:tcPr>
          <w:p>
            <w:pPr>
              <w:ind w:left="1625"/>
              <w:spacing w:before="31" w:line="216" w:lineRule="auto"/>
              <w:rPr>
                <w:rFonts w:ascii="SimSun" w:hAnsi="SimSun" w:eastAsia="SimSun" w:cs="SimSun"/>
                <w:sz w:val="20"/>
                <w:szCs w:val="20"/>
              </w:rPr>
            </w:pPr>
            <w:r>
              <w:rPr>
                <w:rFonts w:ascii="SimSun" w:hAnsi="SimSun" w:eastAsia="SimSun" w:cs="SimSun"/>
                <w:sz w:val="20"/>
                <w:szCs w:val="20"/>
                <w:spacing w:val="3"/>
              </w:rPr>
              <w:t>不变</w:t>
            </w:r>
          </w:p>
        </w:tc>
      </w:tr>
      <w:tr>
        <w:trPr>
          <w:trHeight w:val="548" w:hRule="atLeast"/>
        </w:trPr>
        <w:tc>
          <w:tcPr>
            <w:tcW w:w="573" w:type="dxa"/>
            <w:vAlign w:val="top"/>
            <w:vMerge w:val="continue"/>
            <w:tcBorders>
              <w:top w:val="nil"/>
              <w:bottom w:val="nil"/>
            </w:tcBorders>
          </w:tcPr>
          <w:p>
            <w:pPr>
              <w:rPr>
                <w:rFonts w:ascii="Arial"/>
                <w:sz w:val="21"/>
              </w:rPr>
            </w:pPr>
            <w:r/>
          </w:p>
        </w:tc>
        <w:tc>
          <w:tcPr>
            <w:tcW w:w="926" w:type="dxa"/>
            <w:vAlign w:val="top"/>
            <w:vMerge w:val="continue"/>
            <w:tcBorders>
              <w:top w:val="nil"/>
              <w:bottom w:val="nil"/>
            </w:tcBorders>
          </w:tcPr>
          <w:p>
            <w:pPr>
              <w:rPr>
                <w:rFonts w:ascii="Arial"/>
                <w:sz w:val="21"/>
              </w:rPr>
            </w:pPr>
            <w:r/>
          </w:p>
        </w:tc>
        <w:tc>
          <w:tcPr>
            <w:tcW w:w="929" w:type="dxa"/>
            <w:vAlign w:val="top"/>
          </w:tcPr>
          <w:p>
            <w:pPr>
              <w:ind w:left="257"/>
              <w:spacing w:before="168" w:line="230" w:lineRule="auto"/>
              <w:rPr>
                <w:rFonts w:ascii="SimSun" w:hAnsi="SimSun" w:eastAsia="SimSun" w:cs="SimSun"/>
                <w:sz w:val="20"/>
                <w:szCs w:val="20"/>
              </w:rPr>
            </w:pPr>
            <w:r>
              <w:rPr>
                <w:rFonts w:ascii="SimSun" w:hAnsi="SimSun" w:eastAsia="SimSun" w:cs="SimSun"/>
                <w:sz w:val="20"/>
                <w:szCs w:val="20"/>
                <w:spacing w:val="3"/>
              </w:rPr>
              <w:t>污泥</w:t>
            </w:r>
          </w:p>
        </w:tc>
        <w:tc>
          <w:tcPr>
            <w:tcW w:w="4119" w:type="dxa"/>
            <w:vAlign w:val="top"/>
          </w:tcPr>
          <w:p>
            <w:pPr>
              <w:ind w:left="804" w:right="107" w:hanging="692"/>
              <w:spacing w:before="30" w:line="234" w:lineRule="auto"/>
              <w:rPr>
                <w:rFonts w:ascii="SimSun" w:hAnsi="SimSun" w:eastAsia="SimSun" w:cs="SimSun"/>
                <w:sz w:val="20"/>
                <w:szCs w:val="20"/>
              </w:rPr>
            </w:pPr>
            <w:r>
              <w:rPr>
                <w:rFonts w:ascii="SimSun" w:hAnsi="SimSun" w:eastAsia="SimSun" w:cs="SimSun"/>
                <w:sz w:val="20"/>
                <w:szCs w:val="20"/>
                <w:spacing w:val="4"/>
              </w:rPr>
              <w:t>煤泥与原煤混合后外销，生活污水处理站污</w:t>
            </w:r>
            <w:r>
              <w:rPr>
                <w:rFonts w:ascii="SimSun" w:hAnsi="SimSun" w:eastAsia="SimSun" w:cs="SimSun"/>
                <w:sz w:val="20"/>
                <w:szCs w:val="20"/>
                <w:spacing w:val="8"/>
              </w:rPr>
              <w:t>泥压滤后交予环卫部门处置</w:t>
            </w:r>
          </w:p>
        </w:tc>
        <w:tc>
          <w:tcPr>
            <w:tcW w:w="4129" w:type="dxa"/>
            <w:vAlign w:val="top"/>
          </w:tcPr>
          <w:p>
            <w:pPr>
              <w:ind w:left="76"/>
              <w:spacing w:before="31" w:line="228" w:lineRule="auto"/>
              <w:rPr>
                <w:rFonts w:ascii="SimSun" w:hAnsi="SimSun" w:eastAsia="SimSun" w:cs="SimSun"/>
                <w:sz w:val="20"/>
                <w:szCs w:val="20"/>
              </w:rPr>
            </w:pPr>
            <w:r>
              <w:rPr>
                <w:rFonts w:ascii="SimSun" w:hAnsi="SimSun" w:eastAsia="SimSun" w:cs="SimSun"/>
                <w:sz w:val="20"/>
                <w:szCs w:val="20"/>
                <w:spacing w:val="9"/>
              </w:rPr>
              <w:t>煤泥与原煤混合后外销，生活污水处理站污</w:t>
            </w:r>
          </w:p>
          <w:p>
            <w:pPr>
              <w:ind w:left="811"/>
              <w:spacing w:before="27" w:line="214" w:lineRule="auto"/>
              <w:rPr>
                <w:rFonts w:ascii="SimSun" w:hAnsi="SimSun" w:eastAsia="SimSun" w:cs="SimSun"/>
                <w:sz w:val="20"/>
                <w:szCs w:val="20"/>
              </w:rPr>
            </w:pPr>
            <w:r>
              <w:rPr>
                <w:rFonts w:ascii="SimSun" w:hAnsi="SimSun" w:eastAsia="SimSun" w:cs="SimSun"/>
                <w:sz w:val="20"/>
                <w:szCs w:val="20"/>
                <w:spacing w:val="8"/>
              </w:rPr>
              <w:t>泥压滤后交予环卫部门处置</w:t>
            </w:r>
          </w:p>
        </w:tc>
        <w:tc>
          <w:tcPr>
            <w:tcW w:w="3659" w:type="dxa"/>
            <w:vAlign w:val="top"/>
          </w:tcPr>
          <w:p>
            <w:pPr>
              <w:ind w:left="1625"/>
              <w:spacing w:before="168" w:line="229" w:lineRule="auto"/>
              <w:rPr>
                <w:rFonts w:ascii="SimSun" w:hAnsi="SimSun" w:eastAsia="SimSun" w:cs="SimSun"/>
                <w:sz w:val="20"/>
                <w:szCs w:val="20"/>
              </w:rPr>
            </w:pPr>
            <w:r>
              <w:rPr>
                <w:rFonts w:ascii="SimSun" w:hAnsi="SimSun" w:eastAsia="SimSun" w:cs="SimSun"/>
                <w:sz w:val="20"/>
                <w:szCs w:val="20"/>
                <w:spacing w:val="3"/>
              </w:rPr>
              <w:t>不变</w:t>
            </w:r>
          </w:p>
        </w:tc>
      </w:tr>
      <w:tr>
        <w:trPr>
          <w:trHeight w:val="278" w:hRule="atLeast"/>
        </w:trPr>
        <w:tc>
          <w:tcPr>
            <w:tcW w:w="573" w:type="dxa"/>
            <w:vAlign w:val="top"/>
            <w:vMerge w:val="continue"/>
            <w:tcBorders>
              <w:top w:val="nil"/>
              <w:bottom w:val="nil"/>
            </w:tcBorders>
          </w:tcPr>
          <w:p>
            <w:pPr>
              <w:rPr>
                <w:rFonts w:ascii="Arial"/>
                <w:sz w:val="21"/>
              </w:rPr>
            </w:pPr>
            <w:r/>
          </w:p>
        </w:tc>
        <w:tc>
          <w:tcPr>
            <w:tcW w:w="926" w:type="dxa"/>
            <w:vAlign w:val="top"/>
            <w:vMerge w:val="continue"/>
            <w:tcBorders>
              <w:top w:val="nil"/>
              <w:bottom w:val="nil"/>
            </w:tcBorders>
          </w:tcPr>
          <w:p>
            <w:pPr>
              <w:rPr>
                <w:rFonts w:ascii="Arial"/>
                <w:sz w:val="21"/>
              </w:rPr>
            </w:pPr>
            <w:r/>
          </w:p>
        </w:tc>
        <w:tc>
          <w:tcPr>
            <w:tcW w:w="929" w:type="dxa"/>
            <w:vAlign w:val="top"/>
          </w:tcPr>
          <w:p>
            <w:pPr>
              <w:ind w:left="255"/>
              <w:spacing w:before="36" w:line="214" w:lineRule="auto"/>
              <w:rPr>
                <w:rFonts w:ascii="SimSun" w:hAnsi="SimSun" w:eastAsia="SimSun" w:cs="SimSun"/>
                <w:sz w:val="20"/>
                <w:szCs w:val="20"/>
              </w:rPr>
            </w:pPr>
            <w:r>
              <w:rPr>
                <w:rFonts w:ascii="SimSun" w:hAnsi="SimSun" w:eastAsia="SimSun" w:cs="SimSun"/>
                <w:sz w:val="20"/>
                <w:szCs w:val="20"/>
                <w:spacing w:val="5"/>
              </w:rPr>
              <w:t>矸石</w:t>
            </w:r>
          </w:p>
        </w:tc>
        <w:tc>
          <w:tcPr>
            <w:tcW w:w="4119" w:type="dxa"/>
            <w:vAlign w:val="top"/>
          </w:tcPr>
          <w:p>
            <w:pPr>
              <w:ind w:left="698"/>
              <w:spacing w:before="36" w:line="214" w:lineRule="auto"/>
              <w:rPr>
                <w:rFonts w:ascii="SimSun" w:hAnsi="SimSun" w:eastAsia="SimSun" w:cs="SimSun"/>
                <w:sz w:val="20"/>
                <w:szCs w:val="20"/>
              </w:rPr>
            </w:pPr>
            <w:r>
              <w:rPr>
                <w:rFonts w:ascii="SimSun" w:hAnsi="SimSun" w:eastAsia="SimSun" w:cs="SimSun"/>
                <w:sz w:val="20"/>
                <w:szCs w:val="20"/>
                <w:spacing w:val="9"/>
              </w:rPr>
              <w:t>风选矸石用于回填露天矿采坑</w:t>
            </w:r>
          </w:p>
        </w:tc>
        <w:tc>
          <w:tcPr>
            <w:tcW w:w="4129" w:type="dxa"/>
            <w:vAlign w:val="top"/>
          </w:tcPr>
          <w:p>
            <w:pPr>
              <w:ind w:left="704"/>
              <w:spacing w:before="36" w:line="214" w:lineRule="auto"/>
              <w:rPr>
                <w:rFonts w:ascii="SimSun" w:hAnsi="SimSun" w:eastAsia="SimSun" w:cs="SimSun"/>
                <w:sz w:val="20"/>
                <w:szCs w:val="20"/>
              </w:rPr>
            </w:pPr>
            <w:r>
              <w:rPr>
                <w:rFonts w:ascii="SimSun" w:hAnsi="SimSun" w:eastAsia="SimSun" w:cs="SimSun"/>
                <w:sz w:val="20"/>
                <w:szCs w:val="20"/>
                <w:spacing w:val="9"/>
              </w:rPr>
              <w:t>风选矸石用于回填露天矿采坑</w:t>
            </w:r>
          </w:p>
        </w:tc>
        <w:tc>
          <w:tcPr>
            <w:tcW w:w="3659" w:type="dxa"/>
            <w:vAlign w:val="top"/>
          </w:tcPr>
          <w:p>
            <w:pPr>
              <w:ind w:left="1625"/>
              <w:spacing w:before="36" w:line="214" w:lineRule="auto"/>
              <w:rPr>
                <w:rFonts w:ascii="SimSun" w:hAnsi="SimSun" w:eastAsia="SimSun" w:cs="SimSun"/>
                <w:sz w:val="20"/>
                <w:szCs w:val="20"/>
              </w:rPr>
            </w:pPr>
            <w:r>
              <w:rPr>
                <w:rFonts w:ascii="SimSun" w:hAnsi="SimSun" w:eastAsia="SimSun" w:cs="SimSun"/>
                <w:sz w:val="20"/>
                <w:szCs w:val="20"/>
                <w:spacing w:val="3"/>
              </w:rPr>
              <w:t>不变</w:t>
            </w:r>
          </w:p>
        </w:tc>
      </w:tr>
      <w:tr>
        <w:trPr>
          <w:trHeight w:val="280" w:hRule="atLeast"/>
        </w:trPr>
        <w:tc>
          <w:tcPr>
            <w:tcW w:w="573" w:type="dxa"/>
            <w:vAlign w:val="top"/>
            <w:vMerge w:val="continue"/>
            <w:tcBorders>
              <w:top w:val="nil"/>
            </w:tcBorders>
          </w:tcPr>
          <w:p>
            <w:pPr>
              <w:rPr>
                <w:rFonts w:ascii="Arial"/>
                <w:sz w:val="21"/>
              </w:rPr>
            </w:pPr>
            <w:r/>
          </w:p>
        </w:tc>
        <w:tc>
          <w:tcPr>
            <w:tcW w:w="926" w:type="dxa"/>
            <w:vAlign w:val="top"/>
            <w:vMerge w:val="continue"/>
            <w:tcBorders>
              <w:top w:val="nil"/>
            </w:tcBorders>
          </w:tcPr>
          <w:p>
            <w:pPr>
              <w:rPr>
                <w:rFonts w:ascii="Arial"/>
                <w:sz w:val="21"/>
              </w:rPr>
            </w:pPr>
            <w:r/>
          </w:p>
        </w:tc>
        <w:tc>
          <w:tcPr>
            <w:tcW w:w="929" w:type="dxa"/>
            <w:vAlign w:val="top"/>
          </w:tcPr>
          <w:p>
            <w:pPr>
              <w:ind w:left="258"/>
              <w:spacing w:before="36" w:line="216" w:lineRule="auto"/>
              <w:rPr>
                <w:rFonts w:ascii="SimSun" w:hAnsi="SimSun" w:eastAsia="SimSun" w:cs="SimSun"/>
                <w:sz w:val="20"/>
                <w:szCs w:val="20"/>
              </w:rPr>
            </w:pPr>
            <w:r>
              <w:rPr>
                <w:rFonts w:ascii="SimSun" w:hAnsi="SimSun" w:eastAsia="SimSun" w:cs="SimSun"/>
                <w:sz w:val="20"/>
                <w:szCs w:val="20"/>
                <w:spacing w:val="3"/>
              </w:rPr>
              <w:t>危废</w:t>
            </w:r>
          </w:p>
        </w:tc>
        <w:tc>
          <w:tcPr>
            <w:tcW w:w="4119" w:type="dxa"/>
            <w:vAlign w:val="top"/>
          </w:tcPr>
          <w:p>
            <w:pPr>
              <w:ind w:left="173"/>
              <w:spacing w:before="36" w:line="216" w:lineRule="auto"/>
              <w:rPr>
                <w:rFonts w:ascii="SimSun" w:hAnsi="SimSun" w:eastAsia="SimSun" w:cs="SimSun"/>
                <w:sz w:val="20"/>
                <w:szCs w:val="20"/>
              </w:rPr>
            </w:pPr>
            <w:r>
              <w:rPr>
                <w:rFonts w:ascii="SimSun" w:hAnsi="SimSun" w:eastAsia="SimSun" w:cs="SimSun"/>
                <w:sz w:val="20"/>
                <w:szCs w:val="20"/>
                <w:spacing w:val="9"/>
              </w:rPr>
              <w:t>在危废库暂存后，交予有资质的单位处置</w:t>
            </w:r>
          </w:p>
        </w:tc>
        <w:tc>
          <w:tcPr>
            <w:tcW w:w="4129" w:type="dxa"/>
            <w:vAlign w:val="top"/>
          </w:tcPr>
          <w:p>
            <w:pPr>
              <w:ind w:left="180"/>
              <w:spacing w:before="36" w:line="216" w:lineRule="auto"/>
              <w:rPr>
                <w:rFonts w:ascii="SimSun" w:hAnsi="SimSun" w:eastAsia="SimSun" w:cs="SimSun"/>
                <w:sz w:val="20"/>
                <w:szCs w:val="20"/>
              </w:rPr>
            </w:pPr>
            <w:r>
              <w:rPr>
                <w:rFonts w:ascii="SimSun" w:hAnsi="SimSun" w:eastAsia="SimSun" w:cs="SimSun"/>
                <w:sz w:val="20"/>
                <w:szCs w:val="20"/>
                <w:spacing w:val="9"/>
              </w:rPr>
              <w:t>在危废库暂存后，交予有资质的单位处置</w:t>
            </w:r>
          </w:p>
        </w:tc>
        <w:tc>
          <w:tcPr>
            <w:tcW w:w="3659" w:type="dxa"/>
            <w:vAlign w:val="top"/>
          </w:tcPr>
          <w:p>
            <w:pPr>
              <w:ind w:left="1625"/>
              <w:spacing w:before="36" w:line="216" w:lineRule="auto"/>
              <w:rPr>
                <w:rFonts w:ascii="SimSun" w:hAnsi="SimSun" w:eastAsia="SimSun" w:cs="SimSun"/>
                <w:sz w:val="20"/>
                <w:szCs w:val="20"/>
              </w:rPr>
            </w:pPr>
            <w:r>
              <w:rPr>
                <w:rFonts w:ascii="SimSun" w:hAnsi="SimSun" w:eastAsia="SimSun" w:cs="SimSun"/>
                <w:sz w:val="20"/>
                <w:szCs w:val="20"/>
                <w:spacing w:val="3"/>
              </w:rPr>
              <w:t>不变</w:t>
            </w:r>
          </w:p>
        </w:tc>
      </w:tr>
    </w:tbl>
    <w:p>
      <w:pPr>
        <w:pStyle w:val="BodyText"/>
        <w:rPr/>
      </w:pPr>
      <w:r/>
    </w:p>
    <w:p>
      <w:pPr>
        <w:sectPr>
          <w:footerReference w:type="default" r:id="rId190"/>
          <w:pgSz w:w="16838" w:h="11906"/>
          <w:pgMar w:top="1169" w:right="1391" w:bottom="1080" w:left="1106" w:header="836" w:footer="917" w:gutter="0"/>
        </w:sectPr>
        <w:rPr/>
      </w:pPr>
    </w:p>
    <w:p>
      <w:pPr>
        <w:pStyle w:val="BodyText"/>
        <w:spacing w:line="392" w:lineRule="auto"/>
        <w:rPr/>
      </w:pPr>
      <w:r/>
    </w:p>
    <w:p>
      <w:pPr>
        <w:ind w:left="4"/>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3.5.3</w:t>
      </w:r>
      <w:r>
        <w:rPr>
          <w:rFonts w:ascii="Times New Roman" w:hAnsi="Times New Roman" w:eastAsia="Times New Roman" w:cs="Times New Roman"/>
          <w:sz w:val="28"/>
          <w:szCs w:val="28"/>
          <w:b/>
          <w:bCs/>
          <w:spacing w:val="11"/>
        </w:rPr>
        <w:t xml:space="preserve">  </w:t>
      </w:r>
      <w:r>
        <w:rPr>
          <w:rFonts w:ascii="SimHei" w:hAnsi="SimHei" w:eastAsia="SimHei" w:cs="SimHei"/>
          <w:sz w:val="28"/>
          <w:szCs w:val="28"/>
          <w:b/>
          <w:bCs/>
          <w:spacing w:val="-4"/>
        </w:rPr>
        <w:t>资源条件</w:t>
      </w:r>
    </w:p>
    <w:p>
      <w:pPr>
        <w:ind w:left="9" w:firstLine="480"/>
        <w:spacing w:before="168" w:line="339" w:lineRule="auto"/>
        <w:jc w:val="both"/>
        <w:rPr>
          <w:rFonts w:ascii="SimSun" w:hAnsi="SimSun" w:eastAsia="SimSun" w:cs="SimSun"/>
          <w:sz w:val="24"/>
          <w:szCs w:val="24"/>
        </w:rPr>
      </w:pPr>
      <w:r>
        <w:rPr>
          <w:rFonts w:ascii="SimSun" w:hAnsi="SimSun" w:eastAsia="SimSun" w:cs="SimSun"/>
          <w:sz w:val="24"/>
          <w:szCs w:val="24"/>
        </w:rPr>
        <w:t>本井田含可采煤层</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9 </w:t>
      </w:r>
      <w:r>
        <w:rPr>
          <w:rFonts w:ascii="SimSun" w:hAnsi="SimSun" w:eastAsia="SimSun" w:cs="SimSun"/>
          <w:sz w:val="24"/>
          <w:szCs w:val="24"/>
        </w:rPr>
        <w:t>层，即上六煤层、上五煤层、上一煤层、一煤层、一下煤层、</w:t>
      </w:r>
      <w:r>
        <w:rPr>
          <w:rFonts w:ascii="SimSun" w:hAnsi="SimSun" w:eastAsia="SimSun" w:cs="SimSun"/>
          <w:sz w:val="24"/>
          <w:szCs w:val="24"/>
          <w:spacing w:val="2"/>
        </w:rPr>
        <w:t>二</w:t>
      </w:r>
      <w:r>
        <w:rPr>
          <w:rFonts w:ascii="Times New Roman" w:hAnsi="Times New Roman" w:eastAsia="Times New Roman" w:cs="Times New Roman"/>
          <w:sz w:val="24"/>
          <w:szCs w:val="24"/>
          <w:spacing w:val="2"/>
        </w:rPr>
        <w:t>-1 </w:t>
      </w:r>
      <w:r>
        <w:rPr>
          <w:rFonts w:ascii="SimSun" w:hAnsi="SimSun" w:eastAsia="SimSun" w:cs="SimSun"/>
          <w:sz w:val="24"/>
          <w:szCs w:val="24"/>
          <w:spacing w:val="2"/>
        </w:rPr>
        <w:t>煤层、二</w:t>
      </w:r>
      <w:r>
        <w:rPr>
          <w:rFonts w:ascii="Times New Roman" w:hAnsi="Times New Roman" w:eastAsia="Times New Roman" w:cs="Times New Roman"/>
          <w:sz w:val="24"/>
          <w:szCs w:val="24"/>
          <w:spacing w:val="2"/>
        </w:rPr>
        <w:t>-2 </w:t>
      </w:r>
      <w:r>
        <w:rPr>
          <w:rFonts w:ascii="SimSun" w:hAnsi="SimSun" w:eastAsia="SimSun" w:cs="SimSun"/>
          <w:sz w:val="24"/>
          <w:szCs w:val="24"/>
          <w:spacing w:val="2"/>
        </w:rPr>
        <w:t>煤层、二</w:t>
      </w:r>
      <w:r>
        <w:rPr>
          <w:rFonts w:ascii="Times New Roman" w:hAnsi="Times New Roman" w:eastAsia="Times New Roman" w:cs="Times New Roman"/>
          <w:sz w:val="24"/>
          <w:szCs w:val="24"/>
          <w:spacing w:val="2"/>
        </w:rPr>
        <w:t>-3 </w:t>
      </w:r>
      <w:r>
        <w:rPr>
          <w:rFonts w:ascii="SimSun" w:hAnsi="SimSun" w:eastAsia="SimSun" w:cs="SimSun"/>
          <w:sz w:val="24"/>
          <w:szCs w:val="24"/>
          <w:spacing w:val="2"/>
        </w:rPr>
        <w:t>煤层、三煤层，其中一煤层全区可采，一下煤层、二</w:t>
      </w:r>
      <w:r>
        <w:rPr>
          <w:rFonts w:ascii="Times New Roman" w:hAnsi="Times New Roman" w:eastAsia="Times New Roman" w:cs="Times New Roman"/>
          <w:sz w:val="24"/>
          <w:szCs w:val="24"/>
          <w:spacing w:val="2"/>
        </w:rPr>
        <w:t>-1 </w:t>
      </w:r>
      <w:r>
        <w:rPr>
          <w:rFonts w:ascii="SimSun" w:hAnsi="SimSun" w:eastAsia="SimSun" w:cs="SimSun"/>
          <w:sz w:val="24"/>
          <w:szCs w:val="24"/>
          <w:spacing w:val="2"/>
        </w:rPr>
        <w:t>煤</w:t>
      </w:r>
      <w:r>
        <w:rPr>
          <w:rFonts w:ascii="SimSun" w:hAnsi="SimSun" w:eastAsia="SimSun" w:cs="SimSun"/>
          <w:sz w:val="24"/>
          <w:szCs w:val="24"/>
          <w:spacing w:val="-6"/>
        </w:rPr>
        <w:t>层、二</w:t>
      </w:r>
      <w:r>
        <w:rPr>
          <w:rFonts w:ascii="Times New Roman" w:hAnsi="Times New Roman" w:eastAsia="Times New Roman" w:cs="Times New Roman"/>
          <w:sz w:val="24"/>
          <w:szCs w:val="24"/>
          <w:spacing w:val="-6"/>
        </w:rPr>
        <w:t>-2 </w:t>
      </w:r>
      <w:r>
        <w:rPr>
          <w:rFonts w:ascii="SimSun" w:hAnsi="SimSun" w:eastAsia="SimSun" w:cs="SimSun"/>
          <w:sz w:val="24"/>
          <w:szCs w:val="24"/>
          <w:spacing w:val="-6"/>
        </w:rPr>
        <w:t>煤层、三煤层大部可采，上六煤层、上五煤层、上一煤层、二</w:t>
      </w:r>
      <w:r>
        <w:rPr>
          <w:rFonts w:ascii="Times New Roman" w:hAnsi="Times New Roman" w:eastAsia="Times New Roman" w:cs="Times New Roman"/>
          <w:sz w:val="24"/>
          <w:szCs w:val="24"/>
          <w:spacing w:val="-6"/>
        </w:rPr>
        <w:t>-3 </w:t>
      </w:r>
      <w:r>
        <w:rPr>
          <w:rFonts w:ascii="SimSun" w:hAnsi="SimSun" w:eastAsia="SimSun" w:cs="SimSun"/>
          <w:sz w:val="24"/>
          <w:szCs w:val="24"/>
          <w:spacing w:val="-6"/>
        </w:rPr>
        <w:t>煤层局部可采。</w:t>
      </w:r>
      <w:r>
        <w:rPr>
          <w:rFonts w:ascii="SimSun" w:hAnsi="SimSun" w:eastAsia="SimSun" w:cs="SimSun"/>
          <w:sz w:val="24"/>
          <w:szCs w:val="24"/>
          <w:spacing w:val="-2"/>
        </w:rPr>
        <w:t>煤层可采特征见表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3-5-2</w:t>
      </w:r>
      <w:r>
        <w:rPr>
          <w:rFonts w:ascii="SimSun" w:hAnsi="SimSun" w:eastAsia="SimSun" w:cs="SimSun"/>
          <w:sz w:val="24"/>
          <w:szCs w:val="24"/>
          <w:spacing w:val="-2"/>
        </w:rPr>
        <w:t>。</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、煤质特征</w:t>
      </w:r>
    </w:p>
    <w:p>
      <w:pPr>
        <w:ind w:left="11" w:firstLine="478"/>
        <w:spacing w:before="154" w:line="337" w:lineRule="auto"/>
        <w:rPr>
          <w:rFonts w:ascii="SimSun" w:hAnsi="SimSun" w:eastAsia="SimSun" w:cs="SimSun"/>
          <w:sz w:val="24"/>
          <w:szCs w:val="24"/>
        </w:rPr>
      </w:pPr>
      <w:r>
        <w:rPr>
          <w:rFonts w:ascii="SimSun" w:hAnsi="SimSun" w:eastAsia="SimSun" w:cs="SimSun"/>
          <w:sz w:val="24"/>
          <w:szCs w:val="24"/>
          <w:spacing w:val="2"/>
        </w:rPr>
        <w:t>根据中华人民共和国国家标准《中国煤炭分类》（</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2"/>
        </w:rPr>
        <w:t>5751—2009</w:t>
      </w:r>
      <w:r>
        <w:rPr>
          <w:rFonts w:ascii="SimSun" w:hAnsi="SimSun" w:eastAsia="SimSun" w:cs="SimSun"/>
          <w:sz w:val="24"/>
          <w:szCs w:val="24"/>
          <w:spacing w:val="2"/>
        </w:rPr>
        <w:t>）分类指标：利</w:t>
      </w:r>
      <w:r>
        <w:rPr>
          <w:rFonts w:ascii="SimSun" w:hAnsi="SimSun" w:eastAsia="SimSun" w:cs="SimSun"/>
          <w:sz w:val="24"/>
          <w:szCs w:val="24"/>
          <w:spacing w:val="3"/>
        </w:rPr>
        <w:t>用干燥无灰基挥发分挥发分（</w:t>
      </w:r>
      <w:r>
        <w:rPr>
          <w:rFonts w:ascii="Times New Roman" w:hAnsi="Times New Roman" w:eastAsia="Times New Roman" w:cs="Times New Roman"/>
          <w:sz w:val="24"/>
          <w:szCs w:val="24"/>
        </w:rPr>
        <w:t>Vdaf</w:t>
      </w:r>
      <w:r>
        <w:rPr>
          <w:rFonts w:ascii="SimSun" w:hAnsi="SimSun" w:eastAsia="SimSun" w:cs="SimSun"/>
          <w:sz w:val="24"/>
          <w:szCs w:val="24"/>
          <w:spacing w:val="3"/>
        </w:rPr>
        <w:t>）、恒湿无灰基高位</w:t>
      </w:r>
      <w:r>
        <w:rPr>
          <w:rFonts w:ascii="SimSun" w:hAnsi="SimSun" w:eastAsia="SimSun" w:cs="SimSun"/>
          <w:sz w:val="24"/>
          <w:szCs w:val="24"/>
          <w:spacing w:val="2"/>
        </w:rPr>
        <w:t>发热量（</w:t>
      </w:r>
      <w:r>
        <w:rPr>
          <w:rFonts w:ascii="Times New Roman" w:hAnsi="Times New Roman" w:eastAsia="Times New Roman" w:cs="Times New Roman"/>
          <w:sz w:val="24"/>
          <w:szCs w:val="24"/>
        </w:rPr>
        <w:t>Qgr</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maf</w:t>
      </w:r>
      <w:r>
        <w:rPr>
          <w:rFonts w:ascii="SimSun" w:hAnsi="SimSun" w:eastAsia="SimSun" w:cs="SimSun"/>
          <w:sz w:val="24"/>
          <w:szCs w:val="24"/>
          <w:spacing w:val="2"/>
        </w:rPr>
        <w:t>）、精煤透光</w:t>
      </w:r>
      <w:r>
        <w:rPr>
          <w:rFonts w:ascii="SimSun" w:hAnsi="SimSun" w:eastAsia="SimSun" w:cs="SimSun"/>
          <w:sz w:val="24"/>
          <w:szCs w:val="24"/>
          <w:spacing w:val="1"/>
        </w:rPr>
        <w:t>率（</w:t>
      </w:r>
      <w:r>
        <w:rPr>
          <w:rFonts w:ascii="Times New Roman" w:hAnsi="Times New Roman" w:eastAsia="Times New Roman" w:cs="Times New Roman"/>
          <w:sz w:val="24"/>
          <w:szCs w:val="24"/>
        </w:rPr>
        <w:t>Pm</w:t>
      </w:r>
      <w:r>
        <w:rPr>
          <w:rFonts w:ascii="SimSun" w:hAnsi="SimSun" w:eastAsia="SimSun" w:cs="SimSun"/>
          <w:sz w:val="24"/>
          <w:szCs w:val="24"/>
          <w:spacing w:val="1"/>
        </w:rPr>
        <w:t>）指标进行分类。区内煤不具粘结性，透光率均在</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1"/>
        </w:rPr>
        <w:t>34</w:t>
      </w:r>
      <w:r>
        <w:rPr>
          <w:rFonts w:ascii="SimSun" w:hAnsi="SimSun" w:eastAsia="SimSun" w:cs="SimSun"/>
          <w:sz w:val="24"/>
          <w:szCs w:val="24"/>
          <w:spacing w:val="1"/>
        </w:rPr>
        <w:t>～</w:t>
      </w:r>
      <w:r>
        <w:rPr>
          <w:rFonts w:ascii="Times New Roman" w:hAnsi="Times New Roman" w:eastAsia="Times New Roman" w:cs="Times New Roman"/>
          <w:sz w:val="24"/>
          <w:szCs w:val="24"/>
          <w:spacing w:val="1"/>
        </w:rPr>
        <w:t>61%</w:t>
      </w:r>
      <w:r>
        <w:rPr>
          <w:rFonts w:ascii="SimSun" w:hAnsi="SimSun" w:eastAsia="SimSun" w:cs="SimSun"/>
          <w:sz w:val="24"/>
          <w:szCs w:val="24"/>
          <w:spacing w:val="1"/>
        </w:rPr>
        <w:t>之间，挥发分均大</w:t>
      </w:r>
      <w:r>
        <w:rPr>
          <w:rFonts w:ascii="SimSun" w:hAnsi="SimSun" w:eastAsia="SimSun" w:cs="SimSun"/>
          <w:sz w:val="24"/>
          <w:szCs w:val="24"/>
          <w:spacing w:val="-10"/>
        </w:rPr>
        <w:t>于</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37%</w:t>
      </w:r>
      <w:r>
        <w:rPr>
          <w:rFonts w:ascii="SimSun" w:hAnsi="SimSun" w:eastAsia="SimSun" w:cs="SimSun"/>
          <w:sz w:val="24"/>
          <w:szCs w:val="24"/>
          <w:spacing w:val="-10"/>
        </w:rPr>
        <w:t>，恒湿无灰基高位发热量平均小于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0"/>
        </w:rPr>
        <w:t>24MJ/</w:t>
      </w:r>
      <w:r>
        <w:rPr>
          <w:rFonts w:ascii="Times New Roman" w:hAnsi="Times New Roman" w:eastAsia="Times New Roman" w:cs="Times New Roman"/>
          <w:sz w:val="24"/>
          <w:szCs w:val="24"/>
          <w:spacing w:val="-11"/>
        </w:rPr>
        <w:t>kg</w:t>
      </w:r>
      <w:r>
        <w:rPr>
          <w:rFonts w:ascii="SimSun" w:hAnsi="SimSun" w:eastAsia="SimSun" w:cs="SimSun"/>
          <w:sz w:val="24"/>
          <w:szCs w:val="24"/>
          <w:spacing w:val="-11"/>
        </w:rPr>
        <w:t>，因此全区煤类属于褐煤二号（</w:t>
      </w:r>
      <w:r>
        <w:rPr>
          <w:rFonts w:ascii="Times New Roman" w:hAnsi="Times New Roman" w:eastAsia="Times New Roman" w:cs="Times New Roman"/>
          <w:sz w:val="24"/>
          <w:szCs w:val="24"/>
          <w:spacing w:val="-11"/>
        </w:rPr>
        <w:t>HM2</w:t>
      </w:r>
      <w:r>
        <w:rPr>
          <w:rFonts w:ascii="SimSun" w:hAnsi="SimSun" w:eastAsia="SimSun" w:cs="SimSun"/>
          <w:sz w:val="24"/>
          <w:szCs w:val="24"/>
          <w:spacing w:val="-11"/>
        </w:rPr>
        <w:t>）。</w:t>
      </w:r>
    </w:p>
    <w:p>
      <w:pPr>
        <w:spacing w:line="337" w:lineRule="auto"/>
        <w:sectPr>
          <w:headerReference w:type="default" r:id="rId191"/>
          <w:footerReference w:type="default" r:id="rId192"/>
          <w:pgSz w:w="11906" w:h="16838"/>
          <w:pgMar w:top="1453" w:right="1332" w:bottom="1250" w:left="1416" w:header="1120" w:footer="1088" w:gutter="0"/>
        </w:sectPr>
        <w:rPr>
          <w:rFonts w:ascii="SimSun" w:hAnsi="SimSun" w:eastAsia="SimSun" w:cs="SimSun"/>
          <w:sz w:val="24"/>
          <w:szCs w:val="24"/>
        </w:rPr>
      </w:pPr>
    </w:p>
    <w:p>
      <w:pPr>
        <w:ind w:left="5823"/>
        <w:spacing w:before="293" w:line="221" w:lineRule="auto"/>
        <w:rPr>
          <w:rFonts w:ascii="SimHei" w:hAnsi="SimHei" w:eastAsia="SimHei" w:cs="SimHei"/>
          <w:sz w:val="24"/>
          <w:szCs w:val="24"/>
        </w:rPr>
      </w:pPr>
      <w:r>
        <w:pict>
          <v:shape id="_x0000_s350" style="position:absolute;margin-left:70.68pt;margin-top:69.6pt;mso-position-vertical-relative:page;mso-position-horizontal-relative:page;width:686.2pt;height:0.85pt;z-index:255754240;" o:allowincell="f" fillcolor="#000000" filled="true" stroked="false" coordsize="13724,17" coordorigin="0,0" path="m,l13723,0l13723,16l0,16l0,0xe"/>
        </w:pict>
      </w:r>
      <w:r>
        <w:rPr>
          <w:rFonts w:ascii="SimHei" w:hAnsi="SimHei" w:eastAsia="SimHei" w:cs="SimHei"/>
          <w:sz w:val="24"/>
          <w:szCs w:val="24"/>
          <w:spacing w:val="-2"/>
        </w:rPr>
        <w:t>可采煤层特征一览表</w:t>
      </w:r>
    </w:p>
    <w:p>
      <w:pPr>
        <w:ind w:left="38"/>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3-5-2</w:t>
      </w:r>
    </w:p>
    <w:tbl>
      <w:tblPr>
        <w:tblStyle w:val="TableNormal"/>
        <w:tblW w:w="137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4"/>
        <w:gridCol w:w="1883"/>
        <w:gridCol w:w="1751"/>
        <w:gridCol w:w="1751"/>
        <w:gridCol w:w="1752"/>
        <w:gridCol w:w="974"/>
        <w:gridCol w:w="1104"/>
        <w:gridCol w:w="1106"/>
        <w:gridCol w:w="1104"/>
        <w:gridCol w:w="849"/>
        <w:gridCol w:w="590"/>
      </w:tblGrid>
      <w:tr>
        <w:trPr>
          <w:trHeight w:val="465" w:hRule="atLeast"/>
        </w:trPr>
        <w:tc>
          <w:tcPr>
            <w:tcW w:w="914" w:type="dxa"/>
            <w:vAlign w:val="top"/>
            <w:vMerge w:val="restart"/>
            <w:tcBorders>
              <w:bottom w:val="nil"/>
            </w:tcBorders>
          </w:tcPr>
          <w:p>
            <w:pPr>
              <w:spacing w:line="338" w:lineRule="auto"/>
              <w:rPr>
                <w:rFonts w:ascii="Arial"/>
                <w:sz w:val="21"/>
              </w:rPr>
            </w:pPr>
            <w:r/>
          </w:p>
          <w:p>
            <w:pPr>
              <w:ind w:left="251"/>
              <w:spacing w:before="65" w:line="228" w:lineRule="auto"/>
              <w:rPr>
                <w:rFonts w:ascii="SimSun" w:hAnsi="SimSun" w:eastAsia="SimSun" w:cs="SimSun"/>
                <w:sz w:val="20"/>
                <w:szCs w:val="20"/>
              </w:rPr>
            </w:pPr>
            <w:r>
              <w:rPr>
                <w:rFonts w:ascii="SimSun" w:hAnsi="SimSun" w:eastAsia="SimSun" w:cs="SimSun"/>
                <w:sz w:val="20"/>
                <w:szCs w:val="20"/>
                <w:spacing w:val="4"/>
              </w:rPr>
              <w:t>煤层</w:t>
            </w:r>
          </w:p>
        </w:tc>
        <w:tc>
          <w:tcPr>
            <w:tcW w:w="1883" w:type="dxa"/>
            <w:vAlign w:val="top"/>
          </w:tcPr>
          <w:p>
            <w:pPr>
              <w:ind w:left="525"/>
              <w:spacing w:before="124" w:line="228" w:lineRule="auto"/>
              <w:rPr>
                <w:rFonts w:ascii="SimSun" w:hAnsi="SimSun" w:eastAsia="SimSun" w:cs="SimSun"/>
                <w:sz w:val="20"/>
                <w:szCs w:val="20"/>
              </w:rPr>
            </w:pPr>
            <w:r>
              <w:rPr>
                <w:rFonts w:ascii="SimSun" w:hAnsi="SimSun" w:eastAsia="SimSun" w:cs="SimSun"/>
                <w:sz w:val="20"/>
                <w:szCs w:val="20"/>
                <w:spacing w:val="7"/>
              </w:rPr>
              <w:t>埋藏深度</w:t>
            </w:r>
          </w:p>
        </w:tc>
        <w:tc>
          <w:tcPr>
            <w:tcW w:w="1751" w:type="dxa"/>
            <w:vAlign w:val="top"/>
          </w:tcPr>
          <w:p>
            <w:pPr>
              <w:pStyle w:val="TableText"/>
              <w:ind w:left="199"/>
              <w:spacing w:before="125" w:line="228" w:lineRule="auto"/>
              <w:rPr>
                <w:rFonts w:ascii="SimSun" w:hAnsi="SimSun" w:eastAsia="SimSun" w:cs="SimSun"/>
              </w:rPr>
            </w:pPr>
            <w:r>
              <w:rPr>
                <w:rFonts w:ascii="SimSun" w:hAnsi="SimSun" w:eastAsia="SimSun" w:cs="SimSun"/>
                <w:spacing w:val="2"/>
              </w:rPr>
              <w:t>自然厚度（</w:t>
            </w:r>
            <w:r>
              <w:rPr>
                <w:spacing w:val="2"/>
              </w:rPr>
              <w:t>m</w:t>
            </w:r>
            <w:r>
              <w:rPr>
                <w:rFonts w:ascii="SimSun" w:hAnsi="SimSun" w:eastAsia="SimSun" w:cs="SimSun"/>
                <w:spacing w:val="2"/>
              </w:rPr>
              <w:t>）</w:t>
            </w:r>
          </w:p>
        </w:tc>
        <w:tc>
          <w:tcPr>
            <w:tcW w:w="1751" w:type="dxa"/>
            <w:vAlign w:val="top"/>
          </w:tcPr>
          <w:p>
            <w:pPr>
              <w:pStyle w:val="TableText"/>
              <w:ind w:left="168"/>
              <w:spacing w:before="124" w:line="227" w:lineRule="auto"/>
              <w:rPr>
                <w:rFonts w:ascii="SimSun" w:hAnsi="SimSun" w:eastAsia="SimSun" w:cs="SimSun"/>
              </w:rPr>
            </w:pPr>
            <w:r>
              <w:rPr>
                <w:rFonts w:ascii="SimSun" w:hAnsi="SimSun" w:eastAsia="SimSun" w:cs="SimSun"/>
                <w:spacing w:val="6"/>
              </w:rPr>
              <w:t>可采厚度（</w:t>
            </w:r>
            <w:r>
              <w:rPr>
                <w:spacing w:val="6"/>
              </w:rPr>
              <w:t>m</w:t>
            </w:r>
            <w:r>
              <w:rPr>
                <w:rFonts w:ascii="SimSun" w:hAnsi="SimSun" w:eastAsia="SimSun" w:cs="SimSun"/>
                <w:spacing w:val="6"/>
              </w:rPr>
              <w:t>）</w:t>
            </w:r>
          </w:p>
        </w:tc>
        <w:tc>
          <w:tcPr>
            <w:tcW w:w="1752" w:type="dxa"/>
            <w:vAlign w:val="top"/>
          </w:tcPr>
          <w:p>
            <w:pPr>
              <w:ind w:left="565"/>
              <w:spacing w:before="124" w:line="228" w:lineRule="auto"/>
              <w:rPr>
                <w:rFonts w:ascii="SimSun" w:hAnsi="SimSun" w:eastAsia="SimSun" w:cs="SimSun"/>
                <w:sz w:val="20"/>
                <w:szCs w:val="20"/>
              </w:rPr>
            </w:pPr>
            <w:r>
              <w:rPr>
                <w:rFonts w:ascii="SimSun" w:hAnsi="SimSun" w:eastAsia="SimSun" w:cs="SimSun"/>
                <w:sz w:val="20"/>
                <w:szCs w:val="20"/>
                <w:spacing w:val="6"/>
              </w:rPr>
              <w:t>层间距</w:t>
            </w:r>
          </w:p>
        </w:tc>
        <w:tc>
          <w:tcPr>
            <w:tcW w:w="974" w:type="dxa"/>
            <w:vAlign w:val="top"/>
          </w:tcPr>
          <w:p>
            <w:pPr>
              <w:ind w:left="281"/>
              <w:spacing w:before="125" w:line="228" w:lineRule="auto"/>
              <w:rPr>
                <w:rFonts w:ascii="SimSun" w:hAnsi="SimSun" w:eastAsia="SimSun" w:cs="SimSun"/>
                <w:sz w:val="20"/>
                <w:szCs w:val="20"/>
              </w:rPr>
            </w:pPr>
            <w:r>
              <w:rPr>
                <w:rFonts w:ascii="SimSun" w:hAnsi="SimSun" w:eastAsia="SimSun" w:cs="SimSun"/>
                <w:sz w:val="20"/>
                <w:szCs w:val="20"/>
                <w:spacing w:val="3"/>
              </w:rPr>
              <w:t>夹矸</w:t>
            </w:r>
          </w:p>
        </w:tc>
        <w:tc>
          <w:tcPr>
            <w:tcW w:w="1104" w:type="dxa"/>
            <w:vAlign w:val="top"/>
            <w:vMerge w:val="restart"/>
            <w:tcBorders>
              <w:bottom w:val="nil"/>
            </w:tcBorders>
          </w:tcPr>
          <w:p>
            <w:pPr>
              <w:pStyle w:val="TableText"/>
              <w:ind w:left="170" w:right="132" w:hanging="32"/>
              <w:spacing w:before="269" w:line="260" w:lineRule="auto"/>
              <w:rPr>
                <w:rFonts w:ascii="SimSun" w:hAnsi="SimSun" w:eastAsia="SimSun" w:cs="SimSun"/>
              </w:rPr>
            </w:pPr>
            <w:r>
              <w:rPr>
                <w:rFonts w:ascii="SimSun" w:hAnsi="SimSun" w:eastAsia="SimSun" w:cs="SimSun"/>
                <w:spacing w:val="6"/>
              </w:rPr>
              <w:t>可采面积</w:t>
            </w:r>
            <w:r>
              <w:rPr>
                <w:rFonts w:ascii="SimSun" w:hAnsi="SimSun" w:eastAsia="SimSun" w:cs="SimSun"/>
                <w:spacing w:val="2"/>
              </w:rPr>
              <w:t>（</w:t>
            </w:r>
            <w:r>
              <w:rPr/>
              <w:t>km</w:t>
            </w:r>
            <w:r>
              <w:rPr>
                <w:spacing w:val="2"/>
              </w:rPr>
              <w:t>2</w:t>
            </w:r>
            <w:r>
              <w:rPr>
                <w:rFonts w:ascii="SimSun" w:hAnsi="SimSun" w:eastAsia="SimSun" w:cs="SimSun"/>
                <w:spacing w:val="2"/>
              </w:rPr>
              <w:t>）</w:t>
            </w:r>
          </w:p>
        </w:tc>
        <w:tc>
          <w:tcPr>
            <w:tcW w:w="1106" w:type="dxa"/>
            <w:vAlign w:val="top"/>
            <w:vMerge w:val="restart"/>
            <w:tcBorders>
              <w:bottom w:val="nil"/>
            </w:tcBorders>
          </w:tcPr>
          <w:p>
            <w:pPr>
              <w:ind w:left="348"/>
              <w:spacing w:before="135" w:line="228" w:lineRule="auto"/>
              <w:rPr>
                <w:rFonts w:ascii="SimSun" w:hAnsi="SimSun" w:eastAsia="SimSun" w:cs="SimSun"/>
                <w:sz w:val="20"/>
                <w:szCs w:val="20"/>
              </w:rPr>
            </w:pPr>
            <w:r>
              <w:rPr>
                <w:rFonts w:ascii="SimSun" w:hAnsi="SimSun" w:eastAsia="SimSun" w:cs="SimSun"/>
                <w:sz w:val="20"/>
                <w:szCs w:val="20"/>
                <w:spacing w:val="4"/>
              </w:rPr>
              <w:t>面积</w:t>
            </w:r>
          </w:p>
          <w:p>
            <w:pPr>
              <w:pStyle w:val="TableText"/>
              <w:ind w:left="270" w:right="132" w:hanging="130"/>
              <w:spacing w:before="23" w:line="258" w:lineRule="auto"/>
              <w:rPr>
                <w:rFonts w:ascii="SimSun" w:hAnsi="SimSun" w:eastAsia="SimSun" w:cs="SimSun"/>
              </w:rPr>
            </w:pPr>
            <w:r>
              <w:rPr>
                <w:rFonts w:ascii="SimSun" w:hAnsi="SimSun" w:eastAsia="SimSun" w:cs="SimSun"/>
                <w:spacing w:val="6"/>
              </w:rPr>
              <w:t>可采系数</w:t>
            </w:r>
            <w:r>
              <w:rPr>
                <w:rFonts w:ascii="SimSun" w:hAnsi="SimSun" w:eastAsia="SimSun" w:cs="SimSun"/>
                <w:spacing w:val="-1"/>
              </w:rPr>
              <w:t>（</w:t>
            </w:r>
            <w:r>
              <w:rPr>
                <w:spacing w:val="-1"/>
              </w:rPr>
              <w:t>%</w:t>
            </w:r>
            <w:r>
              <w:rPr>
                <w:rFonts w:ascii="SimSun" w:hAnsi="SimSun" w:eastAsia="SimSun" w:cs="SimSun"/>
                <w:spacing w:val="-1"/>
              </w:rPr>
              <w:t>）</w:t>
            </w:r>
          </w:p>
        </w:tc>
        <w:tc>
          <w:tcPr>
            <w:tcW w:w="1104" w:type="dxa"/>
            <w:vAlign w:val="top"/>
            <w:vMerge w:val="restart"/>
            <w:tcBorders>
              <w:bottom w:val="nil"/>
            </w:tcBorders>
          </w:tcPr>
          <w:p>
            <w:pPr>
              <w:ind w:left="344" w:right="343" w:firstLine="2"/>
              <w:spacing w:before="269" w:line="254" w:lineRule="auto"/>
              <w:rPr>
                <w:rFonts w:ascii="SimSun" w:hAnsi="SimSun" w:eastAsia="SimSun" w:cs="SimSun"/>
                <w:sz w:val="20"/>
                <w:szCs w:val="20"/>
              </w:rPr>
            </w:pPr>
            <w:r>
              <w:rPr>
                <w:rFonts w:ascii="SimSun" w:hAnsi="SimSun" w:eastAsia="SimSun" w:cs="SimSun"/>
                <w:sz w:val="20"/>
                <w:szCs w:val="20"/>
                <w:spacing w:val="3"/>
              </w:rPr>
              <w:t>可采</w:t>
            </w:r>
            <w:r>
              <w:rPr>
                <w:rFonts w:ascii="SimSun" w:hAnsi="SimSun" w:eastAsia="SimSun" w:cs="SimSun"/>
                <w:sz w:val="20"/>
                <w:szCs w:val="20"/>
                <w:spacing w:val="5"/>
              </w:rPr>
              <w:t>程度</w:t>
            </w:r>
          </w:p>
        </w:tc>
        <w:tc>
          <w:tcPr>
            <w:tcW w:w="849" w:type="dxa"/>
            <w:vAlign w:val="top"/>
            <w:vMerge w:val="restart"/>
            <w:tcBorders>
              <w:bottom w:val="nil"/>
            </w:tcBorders>
          </w:tcPr>
          <w:p>
            <w:pPr>
              <w:ind w:left="220" w:right="213" w:firstLine="1"/>
              <w:spacing w:before="269" w:line="254" w:lineRule="auto"/>
              <w:rPr>
                <w:rFonts w:ascii="SimSun" w:hAnsi="SimSun" w:eastAsia="SimSun" w:cs="SimSun"/>
                <w:sz w:val="20"/>
                <w:szCs w:val="20"/>
              </w:rPr>
            </w:pPr>
            <w:r>
              <w:rPr>
                <w:rFonts w:ascii="SimSun" w:hAnsi="SimSun" w:eastAsia="SimSun" w:cs="SimSun"/>
                <w:sz w:val="20"/>
                <w:szCs w:val="20"/>
                <w:spacing w:val="4"/>
              </w:rPr>
              <w:t>稳定</w:t>
            </w:r>
            <w:r>
              <w:rPr>
                <w:rFonts w:ascii="SimSun" w:hAnsi="SimSun" w:eastAsia="SimSun" w:cs="SimSun"/>
                <w:sz w:val="20"/>
                <w:szCs w:val="20"/>
                <w:spacing w:val="5"/>
              </w:rPr>
              <w:t>程度</w:t>
            </w:r>
          </w:p>
        </w:tc>
        <w:tc>
          <w:tcPr>
            <w:tcW w:w="590" w:type="dxa"/>
            <w:vAlign w:val="top"/>
            <w:vMerge w:val="restart"/>
            <w:tcBorders>
              <w:bottom w:val="nil"/>
            </w:tcBorders>
          </w:tcPr>
          <w:p>
            <w:pPr>
              <w:ind w:left="88"/>
              <w:spacing w:before="134" w:line="229" w:lineRule="auto"/>
              <w:rPr>
                <w:rFonts w:ascii="SimSun" w:hAnsi="SimSun" w:eastAsia="SimSun" w:cs="SimSun"/>
                <w:sz w:val="20"/>
                <w:szCs w:val="20"/>
              </w:rPr>
            </w:pPr>
            <w:r>
              <w:rPr>
                <w:rFonts w:ascii="SimSun" w:hAnsi="SimSun" w:eastAsia="SimSun" w:cs="SimSun"/>
                <w:sz w:val="20"/>
                <w:szCs w:val="20"/>
                <w:spacing w:val="5"/>
              </w:rPr>
              <w:t>对比</w:t>
            </w:r>
          </w:p>
          <w:p>
            <w:pPr>
              <w:ind w:left="91"/>
              <w:spacing w:before="23" w:line="229" w:lineRule="auto"/>
              <w:rPr>
                <w:rFonts w:ascii="SimSun" w:hAnsi="SimSun" w:eastAsia="SimSun" w:cs="SimSun"/>
                <w:sz w:val="20"/>
                <w:szCs w:val="20"/>
              </w:rPr>
            </w:pPr>
            <w:r>
              <w:rPr>
                <w:rFonts w:ascii="SimSun" w:hAnsi="SimSun" w:eastAsia="SimSun" w:cs="SimSun"/>
                <w:sz w:val="20"/>
                <w:szCs w:val="20"/>
                <w:spacing w:val="3"/>
              </w:rPr>
              <w:t>可靠</w:t>
            </w:r>
          </w:p>
          <w:p>
            <w:pPr>
              <w:ind w:left="88"/>
              <w:spacing w:before="23" w:line="228" w:lineRule="auto"/>
              <w:rPr>
                <w:rFonts w:ascii="SimSun" w:hAnsi="SimSun" w:eastAsia="SimSun" w:cs="SimSun"/>
                <w:sz w:val="20"/>
                <w:szCs w:val="20"/>
              </w:rPr>
            </w:pPr>
            <w:r>
              <w:rPr>
                <w:rFonts w:ascii="SimSun" w:hAnsi="SimSun" w:eastAsia="SimSun" w:cs="SimSun"/>
                <w:sz w:val="20"/>
                <w:szCs w:val="20"/>
                <w:spacing w:val="5"/>
              </w:rPr>
              <w:t>程度</w:t>
            </w:r>
          </w:p>
        </w:tc>
      </w:tr>
      <w:tr>
        <w:trPr>
          <w:trHeight w:val="554" w:hRule="atLeast"/>
        </w:trPr>
        <w:tc>
          <w:tcPr>
            <w:tcW w:w="914" w:type="dxa"/>
            <w:vAlign w:val="top"/>
            <w:vMerge w:val="continue"/>
            <w:tcBorders>
              <w:top w:val="nil"/>
            </w:tcBorders>
          </w:tcPr>
          <w:p>
            <w:pPr>
              <w:rPr>
                <w:rFonts w:ascii="Arial"/>
                <w:sz w:val="21"/>
              </w:rPr>
            </w:pPr>
            <w:r/>
          </w:p>
        </w:tc>
        <w:tc>
          <w:tcPr>
            <w:tcW w:w="1883" w:type="dxa"/>
            <w:vAlign w:val="top"/>
          </w:tcPr>
          <w:p>
            <w:pPr>
              <w:ind w:left="312" w:right="333" w:firstLine="108"/>
              <w:spacing w:before="32" w:line="236" w:lineRule="auto"/>
              <w:rPr>
                <w:rFonts w:ascii="SimSun" w:hAnsi="SimSun" w:eastAsia="SimSun" w:cs="SimSun"/>
                <w:sz w:val="20"/>
                <w:szCs w:val="20"/>
              </w:rPr>
            </w:pPr>
            <w:r>
              <w:rPr>
                <w:rFonts w:ascii="SimSun" w:hAnsi="SimSun" w:eastAsia="SimSun" w:cs="SimSun"/>
                <w:sz w:val="20"/>
                <w:szCs w:val="20"/>
                <w:spacing w:val="7"/>
              </w:rPr>
              <w:t>最小～最大</w:t>
            </w:r>
            <w:r>
              <w:rPr>
                <w:rFonts w:ascii="SimSun" w:hAnsi="SimSun" w:eastAsia="SimSun" w:cs="SimSun"/>
                <w:sz w:val="20"/>
                <w:szCs w:val="20"/>
                <w:spacing w:val="5"/>
              </w:rPr>
              <w:t>平均（点数）</w:t>
            </w:r>
          </w:p>
        </w:tc>
        <w:tc>
          <w:tcPr>
            <w:tcW w:w="1751" w:type="dxa"/>
            <w:vAlign w:val="top"/>
          </w:tcPr>
          <w:p>
            <w:pPr>
              <w:ind w:left="246" w:right="267" w:firstLine="108"/>
              <w:spacing w:before="32" w:line="236" w:lineRule="auto"/>
              <w:rPr>
                <w:rFonts w:ascii="SimSun" w:hAnsi="SimSun" w:eastAsia="SimSun" w:cs="SimSun"/>
                <w:sz w:val="20"/>
                <w:szCs w:val="20"/>
              </w:rPr>
            </w:pPr>
            <w:r>
              <w:rPr>
                <w:rFonts w:ascii="SimSun" w:hAnsi="SimSun" w:eastAsia="SimSun" w:cs="SimSun"/>
                <w:sz w:val="20"/>
                <w:szCs w:val="20"/>
                <w:spacing w:val="7"/>
              </w:rPr>
              <w:t>最小～最大</w:t>
            </w:r>
            <w:r>
              <w:rPr>
                <w:rFonts w:ascii="SimSun" w:hAnsi="SimSun" w:eastAsia="SimSun" w:cs="SimSun"/>
                <w:sz w:val="20"/>
                <w:szCs w:val="20"/>
                <w:spacing w:val="5"/>
              </w:rPr>
              <w:t>平均（点数）</w:t>
            </w:r>
          </w:p>
        </w:tc>
        <w:tc>
          <w:tcPr>
            <w:tcW w:w="1751" w:type="dxa"/>
            <w:vAlign w:val="top"/>
          </w:tcPr>
          <w:p>
            <w:pPr>
              <w:ind w:left="247" w:right="266" w:firstLine="108"/>
              <w:spacing w:before="32" w:line="236" w:lineRule="auto"/>
              <w:rPr>
                <w:rFonts w:ascii="SimSun" w:hAnsi="SimSun" w:eastAsia="SimSun" w:cs="SimSun"/>
                <w:sz w:val="20"/>
                <w:szCs w:val="20"/>
              </w:rPr>
            </w:pPr>
            <w:r>
              <w:rPr>
                <w:rFonts w:ascii="SimSun" w:hAnsi="SimSun" w:eastAsia="SimSun" w:cs="SimSun"/>
                <w:sz w:val="20"/>
                <w:szCs w:val="20"/>
                <w:spacing w:val="7"/>
              </w:rPr>
              <w:t>最小～最大</w:t>
            </w:r>
            <w:r>
              <w:rPr>
                <w:rFonts w:ascii="SimSun" w:hAnsi="SimSun" w:eastAsia="SimSun" w:cs="SimSun"/>
                <w:sz w:val="20"/>
                <w:szCs w:val="20"/>
                <w:spacing w:val="5"/>
              </w:rPr>
              <w:t>平均（点数）</w:t>
            </w:r>
          </w:p>
        </w:tc>
        <w:tc>
          <w:tcPr>
            <w:tcW w:w="1752" w:type="dxa"/>
            <w:vAlign w:val="top"/>
          </w:tcPr>
          <w:p>
            <w:pPr>
              <w:ind w:left="248" w:right="266" w:firstLine="108"/>
              <w:spacing w:before="32" w:line="236" w:lineRule="auto"/>
              <w:rPr>
                <w:rFonts w:ascii="SimSun" w:hAnsi="SimSun" w:eastAsia="SimSun" w:cs="SimSun"/>
                <w:sz w:val="20"/>
                <w:szCs w:val="20"/>
              </w:rPr>
            </w:pPr>
            <w:r>
              <w:rPr>
                <w:rFonts w:ascii="SimSun" w:hAnsi="SimSun" w:eastAsia="SimSun" w:cs="SimSun"/>
                <w:sz w:val="20"/>
                <w:szCs w:val="20"/>
                <w:spacing w:val="7"/>
              </w:rPr>
              <w:t>最小～最大</w:t>
            </w:r>
            <w:r>
              <w:rPr>
                <w:rFonts w:ascii="SimSun" w:hAnsi="SimSun" w:eastAsia="SimSun" w:cs="SimSun"/>
                <w:sz w:val="20"/>
                <w:szCs w:val="20"/>
                <w:spacing w:val="5"/>
              </w:rPr>
              <w:t>平均（点数）</w:t>
            </w:r>
          </w:p>
        </w:tc>
        <w:tc>
          <w:tcPr>
            <w:tcW w:w="974" w:type="dxa"/>
            <w:vAlign w:val="top"/>
          </w:tcPr>
          <w:p>
            <w:pPr>
              <w:pStyle w:val="TableText"/>
              <w:ind w:left="269" w:hanging="237"/>
              <w:spacing w:before="32" w:line="236" w:lineRule="auto"/>
              <w:rPr>
                <w:rFonts w:ascii="SimSun" w:hAnsi="SimSun" w:eastAsia="SimSun" w:cs="SimSun"/>
              </w:rPr>
            </w:pPr>
            <w:r>
              <w:rPr>
                <w:rFonts w:ascii="SimSun" w:hAnsi="SimSun" w:eastAsia="SimSun" w:cs="SimSun"/>
                <w:spacing w:val="-4"/>
              </w:rPr>
              <w:t>层厚（</w:t>
            </w:r>
            <w:r>
              <w:rPr>
                <w:spacing w:val="-4"/>
              </w:rPr>
              <w:t>m</w:t>
            </w:r>
            <w:r>
              <w:rPr>
                <w:rFonts w:ascii="SimSun" w:hAnsi="SimSun" w:eastAsia="SimSun" w:cs="SimSun"/>
                <w:spacing w:val="-4"/>
              </w:rPr>
              <w:t>）</w:t>
            </w:r>
            <w:r>
              <w:rPr>
                <w:rFonts w:ascii="SimSun" w:hAnsi="SimSun" w:eastAsia="SimSun" w:cs="SimSun"/>
                <w:spacing w:val="-4"/>
              </w:rPr>
              <w:t>层数</w:t>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7" w:hRule="atLeast"/>
        </w:trPr>
        <w:tc>
          <w:tcPr>
            <w:tcW w:w="914" w:type="dxa"/>
            <w:vAlign w:val="top"/>
            <w:vMerge w:val="restart"/>
            <w:tcBorders>
              <w:bottom w:val="nil"/>
            </w:tcBorders>
          </w:tcPr>
          <w:p>
            <w:pPr>
              <w:ind w:left="146"/>
              <w:spacing w:before="181" w:line="228" w:lineRule="auto"/>
              <w:rPr>
                <w:rFonts w:ascii="SimSun" w:hAnsi="SimSun" w:eastAsia="SimSun" w:cs="SimSun"/>
                <w:sz w:val="20"/>
                <w:szCs w:val="20"/>
              </w:rPr>
            </w:pPr>
            <w:r>
              <w:rPr>
                <w:rFonts w:ascii="SimSun" w:hAnsi="SimSun" w:eastAsia="SimSun" w:cs="SimSun"/>
                <w:sz w:val="20"/>
                <w:szCs w:val="20"/>
                <w:spacing w:val="6"/>
              </w:rPr>
              <w:t>上六煤</w:t>
            </w:r>
          </w:p>
        </w:tc>
        <w:tc>
          <w:tcPr>
            <w:tcW w:w="1883" w:type="dxa"/>
            <w:vAlign w:val="top"/>
            <w:vMerge w:val="restart"/>
            <w:tcBorders>
              <w:bottom w:val="nil"/>
            </w:tcBorders>
          </w:tcPr>
          <w:p>
            <w:pPr>
              <w:pStyle w:val="TableText"/>
              <w:ind w:left="308"/>
              <w:spacing w:before="46" w:line="264" w:lineRule="exact"/>
              <w:rPr/>
            </w:pPr>
            <w:r>
              <w:rPr>
                <w:spacing w:val="4"/>
                <w:position w:val="1"/>
              </w:rPr>
              <w:t>44.08</w:t>
            </w:r>
            <w:r>
              <w:rPr>
                <w:rFonts w:ascii="SimSun" w:hAnsi="SimSun" w:eastAsia="SimSun" w:cs="SimSun"/>
                <w:spacing w:val="4"/>
                <w:position w:val="1"/>
              </w:rPr>
              <w:t>～</w:t>
            </w:r>
            <w:r>
              <w:rPr>
                <w:spacing w:val="4"/>
                <w:position w:val="1"/>
              </w:rPr>
              <w:t>213.65</w:t>
            </w:r>
          </w:p>
          <w:p>
            <w:pPr>
              <w:pStyle w:val="TableText"/>
              <w:ind w:left="355"/>
              <w:spacing w:before="6" w:line="235" w:lineRule="auto"/>
              <w:rPr>
                <w:rFonts w:ascii="SimSun" w:hAnsi="SimSun" w:eastAsia="SimSun" w:cs="SimSun"/>
              </w:rPr>
            </w:pPr>
            <w:r>
              <w:rPr>
                <w:spacing w:val="2"/>
              </w:rPr>
              <w:t>128.00</w:t>
            </w:r>
            <w:r>
              <w:rPr>
                <w:rFonts w:ascii="SimSun" w:hAnsi="SimSun" w:eastAsia="SimSun" w:cs="SimSun"/>
                <w:spacing w:val="2"/>
              </w:rPr>
              <w:t>（</w:t>
            </w:r>
            <w:r>
              <w:rPr>
                <w:spacing w:val="2"/>
              </w:rPr>
              <w:t>64</w:t>
            </w:r>
            <w:r>
              <w:rPr>
                <w:rFonts w:ascii="SimSun" w:hAnsi="SimSun" w:eastAsia="SimSun" w:cs="SimSun"/>
                <w:spacing w:val="2"/>
              </w:rPr>
              <w:t>）</w:t>
            </w:r>
          </w:p>
        </w:tc>
        <w:tc>
          <w:tcPr>
            <w:tcW w:w="1751" w:type="dxa"/>
            <w:vAlign w:val="top"/>
            <w:vMerge w:val="restart"/>
            <w:tcBorders>
              <w:bottom w:val="nil"/>
            </w:tcBorders>
          </w:tcPr>
          <w:p>
            <w:pPr>
              <w:pStyle w:val="TableText"/>
              <w:ind w:left="404"/>
              <w:spacing w:before="46" w:line="264" w:lineRule="exact"/>
              <w:rPr/>
            </w:pPr>
            <w:r>
              <w:rPr>
                <w:spacing w:val="4"/>
                <w:position w:val="1"/>
              </w:rPr>
              <w:t>0.45</w:t>
            </w:r>
            <w:r>
              <w:rPr>
                <w:rFonts w:ascii="SimSun" w:hAnsi="SimSun" w:eastAsia="SimSun" w:cs="SimSun"/>
                <w:spacing w:val="4"/>
                <w:position w:val="1"/>
              </w:rPr>
              <w:t>～</w:t>
            </w:r>
            <w:r>
              <w:rPr>
                <w:spacing w:val="4"/>
                <w:position w:val="1"/>
              </w:rPr>
              <w:t>3.54</w:t>
            </w:r>
          </w:p>
          <w:p>
            <w:pPr>
              <w:pStyle w:val="TableText"/>
              <w:ind w:left="395"/>
              <w:spacing w:before="6" w:line="235" w:lineRule="auto"/>
              <w:rPr>
                <w:rFonts w:ascii="SimSun" w:hAnsi="SimSun" w:eastAsia="SimSun" w:cs="SimSun"/>
              </w:rPr>
            </w:pPr>
            <w:r>
              <w:rPr>
                <w:spacing w:val="1"/>
              </w:rPr>
              <w:t>1.44</w:t>
            </w:r>
            <w:r>
              <w:rPr>
                <w:rFonts w:ascii="SimSun" w:hAnsi="SimSun" w:eastAsia="SimSun" w:cs="SimSun"/>
                <w:spacing w:val="1"/>
              </w:rPr>
              <w:t>（</w:t>
            </w:r>
            <w:r>
              <w:rPr>
                <w:spacing w:val="1"/>
              </w:rPr>
              <w:t>64</w:t>
            </w:r>
            <w:r>
              <w:rPr>
                <w:rFonts w:ascii="SimSun" w:hAnsi="SimSun" w:eastAsia="SimSun" w:cs="SimSun"/>
                <w:spacing w:val="1"/>
              </w:rPr>
              <w:t>）</w:t>
            </w:r>
          </w:p>
        </w:tc>
        <w:tc>
          <w:tcPr>
            <w:tcW w:w="1751" w:type="dxa"/>
            <w:vAlign w:val="top"/>
            <w:vMerge w:val="restart"/>
            <w:tcBorders>
              <w:bottom w:val="nil"/>
            </w:tcBorders>
          </w:tcPr>
          <w:p>
            <w:pPr>
              <w:pStyle w:val="TableText"/>
              <w:ind w:left="422"/>
              <w:spacing w:before="46" w:line="264" w:lineRule="exact"/>
              <w:rPr/>
            </w:pPr>
            <w:r>
              <w:rPr>
                <w:spacing w:val="2"/>
                <w:position w:val="1"/>
              </w:rPr>
              <w:t>1.53</w:t>
            </w:r>
            <w:r>
              <w:rPr>
                <w:rFonts w:ascii="SimSun" w:hAnsi="SimSun" w:eastAsia="SimSun" w:cs="SimSun"/>
                <w:spacing w:val="2"/>
                <w:position w:val="1"/>
              </w:rPr>
              <w:t>～</w:t>
            </w:r>
            <w:r>
              <w:rPr>
                <w:spacing w:val="2"/>
                <w:position w:val="1"/>
              </w:rPr>
              <w:t>3.54</w:t>
            </w:r>
          </w:p>
          <w:p>
            <w:pPr>
              <w:pStyle w:val="TableText"/>
              <w:ind w:left="376"/>
              <w:spacing w:before="6" w:line="235" w:lineRule="auto"/>
              <w:rPr>
                <w:rFonts w:ascii="SimSun" w:hAnsi="SimSun" w:eastAsia="SimSun" w:cs="SimSun"/>
              </w:rPr>
            </w:pPr>
            <w:r>
              <w:rPr>
                <w:spacing w:val="3"/>
              </w:rPr>
              <w:t>2.46</w:t>
            </w:r>
            <w:r>
              <w:rPr>
                <w:rFonts w:ascii="SimSun" w:hAnsi="SimSun" w:eastAsia="SimSun" w:cs="SimSun"/>
                <w:spacing w:val="3"/>
              </w:rPr>
              <w:t>（</w:t>
            </w:r>
            <w:r>
              <w:rPr>
                <w:spacing w:val="3"/>
              </w:rPr>
              <w:t>23</w:t>
            </w:r>
            <w:r>
              <w:rPr>
                <w:rFonts w:ascii="SimSun" w:hAnsi="SimSun" w:eastAsia="SimSun" w:cs="SimSun"/>
                <w:spacing w:val="3"/>
              </w:rPr>
              <w:t>）</w:t>
            </w:r>
          </w:p>
        </w:tc>
        <w:tc>
          <w:tcPr>
            <w:tcW w:w="1752" w:type="dxa"/>
            <w:vAlign w:val="top"/>
          </w:tcPr>
          <w:p>
            <w:pPr>
              <w:rPr>
                <w:rFonts w:ascii="Arial"/>
                <w:sz w:val="21"/>
              </w:rPr>
            </w:pPr>
            <w:r/>
          </w:p>
        </w:tc>
        <w:tc>
          <w:tcPr>
            <w:tcW w:w="974" w:type="dxa"/>
            <w:vAlign w:val="top"/>
            <w:vMerge w:val="restart"/>
            <w:tcBorders>
              <w:bottom w:val="nil"/>
            </w:tcBorders>
          </w:tcPr>
          <w:p>
            <w:pPr>
              <w:pStyle w:val="TableText"/>
              <w:ind w:left="149"/>
              <w:spacing w:before="46" w:line="264" w:lineRule="exact"/>
              <w:rPr/>
            </w:pPr>
            <w:r>
              <w:rPr>
                <w:spacing w:val="4"/>
                <w:position w:val="1"/>
              </w:rPr>
              <w:t>0</w:t>
            </w:r>
            <w:r>
              <w:rPr>
                <w:rFonts w:ascii="SimSun" w:hAnsi="SimSun" w:eastAsia="SimSun" w:cs="SimSun"/>
                <w:spacing w:val="4"/>
                <w:position w:val="1"/>
              </w:rPr>
              <w:t>～</w:t>
            </w:r>
            <w:r>
              <w:rPr>
                <w:spacing w:val="4"/>
                <w:position w:val="1"/>
              </w:rPr>
              <w:t>0.84</w:t>
            </w:r>
          </w:p>
          <w:p>
            <w:pPr>
              <w:pStyle w:val="TableText"/>
              <w:ind w:left="279"/>
              <w:spacing w:before="6" w:line="235" w:lineRule="auto"/>
              <w:rPr/>
            </w:pPr>
            <w:r>
              <w:rPr>
                <w:spacing w:val="4"/>
              </w:rPr>
              <w:t>0</w:t>
            </w:r>
            <w:r>
              <w:rPr>
                <w:rFonts w:ascii="SimSun" w:hAnsi="SimSun" w:eastAsia="SimSun" w:cs="SimSun"/>
                <w:spacing w:val="4"/>
              </w:rPr>
              <w:t>～</w:t>
            </w:r>
            <w:r>
              <w:rPr>
                <w:spacing w:val="4"/>
              </w:rPr>
              <w:t>2</w:t>
            </w:r>
          </w:p>
        </w:tc>
        <w:tc>
          <w:tcPr>
            <w:tcW w:w="1104" w:type="dxa"/>
            <w:vAlign w:val="top"/>
            <w:vMerge w:val="restart"/>
            <w:tcBorders>
              <w:bottom w:val="nil"/>
            </w:tcBorders>
          </w:tcPr>
          <w:p>
            <w:pPr>
              <w:pStyle w:val="TableText"/>
              <w:ind w:left="366"/>
              <w:spacing w:before="216" w:line="195" w:lineRule="auto"/>
              <w:rPr/>
            </w:pPr>
            <w:r>
              <w:rPr>
                <w:spacing w:val="4"/>
              </w:rPr>
              <w:t>4.61</w:t>
            </w:r>
          </w:p>
        </w:tc>
        <w:tc>
          <w:tcPr>
            <w:tcW w:w="1106" w:type="dxa"/>
            <w:vAlign w:val="top"/>
            <w:vMerge w:val="restart"/>
            <w:tcBorders>
              <w:bottom w:val="nil"/>
            </w:tcBorders>
          </w:tcPr>
          <w:p>
            <w:pPr>
              <w:pStyle w:val="TableText"/>
              <w:ind w:left="469"/>
              <w:spacing w:before="216" w:line="195" w:lineRule="auto"/>
              <w:rPr/>
            </w:pPr>
            <w:r>
              <w:rPr>
                <w:spacing w:val="-8"/>
              </w:rPr>
              <w:t>19</w:t>
            </w:r>
          </w:p>
        </w:tc>
        <w:tc>
          <w:tcPr>
            <w:tcW w:w="1104" w:type="dxa"/>
            <w:vAlign w:val="top"/>
            <w:vMerge w:val="restart"/>
            <w:tcBorders>
              <w:bottom w:val="nil"/>
            </w:tcBorders>
          </w:tcPr>
          <w:p>
            <w:pPr>
              <w:ind w:left="139"/>
              <w:spacing w:before="180" w:line="227" w:lineRule="auto"/>
              <w:rPr>
                <w:rFonts w:ascii="SimSun" w:hAnsi="SimSun" w:eastAsia="SimSun" w:cs="SimSun"/>
                <w:sz w:val="20"/>
                <w:szCs w:val="20"/>
              </w:rPr>
            </w:pPr>
            <w:r>
              <w:rPr>
                <w:rFonts w:ascii="SimSun" w:hAnsi="SimSun" w:eastAsia="SimSun" w:cs="SimSun"/>
                <w:sz w:val="20"/>
                <w:szCs w:val="20"/>
                <w:spacing w:val="6"/>
              </w:rPr>
              <w:t>局部可采</w:t>
            </w:r>
          </w:p>
        </w:tc>
        <w:tc>
          <w:tcPr>
            <w:tcW w:w="849" w:type="dxa"/>
            <w:vAlign w:val="top"/>
            <w:vMerge w:val="restart"/>
            <w:tcBorders>
              <w:bottom w:val="nil"/>
            </w:tcBorders>
          </w:tcPr>
          <w:p>
            <w:pPr>
              <w:ind w:left="115"/>
              <w:spacing w:before="180"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80"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354"/>
              <w:spacing w:before="49" w:line="264" w:lineRule="exact"/>
              <w:rPr/>
            </w:pPr>
            <w:r>
              <w:rPr>
                <w:spacing w:val="4"/>
                <w:position w:val="1"/>
              </w:rPr>
              <w:t>9.85</w:t>
            </w:r>
            <w:r>
              <w:rPr>
                <w:rFonts w:ascii="SimSun" w:hAnsi="SimSun" w:eastAsia="SimSun" w:cs="SimSun"/>
                <w:spacing w:val="4"/>
                <w:position w:val="1"/>
              </w:rPr>
              <w:t>～</w:t>
            </w:r>
            <w:r>
              <w:rPr>
                <w:spacing w:val="4"/>
                <w:position w:val="1"/>
              </w:rPr>
              <w:t>33.35</w:t>
            </w:r>
          </w:p>
          <w:p>
            <w:pPr>
              <w:pStyle w:val="TableText"/>
              <w:ind w:left="324"/>
              <w:spacing w:before="6" w:line="232" w:lineRule="auto"/>
              <w:rPr>
                <w:rFonts w:ascii="SimSun" w:hAnsi="SimSun" w:eastAsia="SimSun" w:cs="SimSun"/>
              </w:rPr>
            </w:pPr>
            <w:r>
              <w:rPr>
                <w:spacing w:val="4"/>
              </w:rPr>
              <w:t>21.66</w:t>
            </w:r>
            <w:r>
              <w:rPr>
                <w:rFonts w:ascii="SimSun" w:hAnsi="SimSun" w:eastAsia="SimSun" w:cs="SimSun"/>
                <w:spacing w:val="4"/>
              </w:rPr>
              <w:t>（</w:t>
            </w:r>
            <w:r>
              <w:rPr>
                <w:spacing w:val="4"/>
              </w:rPr>
              <w:t>18</w:t>
            </w:r>
            <w:r>
              <w:rPr>
                <w:rFonts w:ascii="SimSun" w:hAnsi="SimSun" w:eastAsia="SimSun" w:cs="SimSun"/>
                <w:spacing w:val="4"/>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7" w:hRule="atLeast"/>
        </w:trPr>
        <w:tc>
          <w:tcPr>
            <w:tcW w:w="914" w:type="dxa"/>
            <w:vAlign w:val="top"/>
            <w:vMerge w:val="restart"/>
            <w:tcBorders>
              <w:bottom w:val="nil"/>
            </w:tcBorders>
          </w:tcPr>
          <w:p>
            <w:pPr>
              <w:ind w:left="146"/>
              <w:spacing w:before="199" w:line="228" w:lineRule="auto"/>
              <w:rPr>
                <w:rFonts w:ascii="SimSun" w:hAnsi="SimSun" w:eastAsia="SimSun" w:cs="SimSun"/>
                <w:sz w:val="20"/>
                <w:szCs w:val="20"/>
              </w:rPr>
            </w:pPr>
            <w:r>
              <w:rPr>
                <w:rFonts w:ascii="SimSun" w:hAnsi="SimSun" w:eastAsia="SimSun" w:cs="SimSun"/>
                <w:sz w:val="20"/>
                <w:szCs w:val="20"/>
                <w:spacing w:val="6"/>
              </w:rPr>
              <w:t>上五煤</w:t>
            </w:r>
          </w:p>
        </w:tc>
        <w:tc>
          <w:tcPr>
            <w:tcW w:w="1883" w:type="dxa"/>
            <w:vAlign w:val="top"/>
            <w:vMerge w:val="restart"/>
            <w:tcBorders>
              <w:bottom w:val="nil"/>
            </w:tcBorders>
          </w:tcPr>
          <w:p>
            <w:pPr>
              <w:pStyle w:val="TableText"/>
              <w:ind w:left="315"/>
              <w:spacing w:before="61" w:line="265" w:lineRule="exact"/>
              <w:rPr/>
            </w:pPr>
            <w:r>
              <w:rPr>
                <w:spacing w:val="4"/>
                <w:position w:val="1"/>
              </w:rPr>
              <w:t>54.05</w:t>
            </w:r>
            <w:r>
              <w:rPr>
                <w:rFonts w:ascii="SimSun" w:hAnsi="SimSun" w:eastAsia="SimSun" w:cs="SimSun"/>
                <w:spacing w:val="4"/>
                <w:position w:val="1"/>
              </w:rPr>
              <w:t>～</w:t>
            </w:r>
            <w:r>
              <w:rPr>
                <w:spacing w:val="4"/>
                <w:position w:val="1"/>
              </w:rPr>
              <w:t>276.25</w:t>
            </w:r>
          </w:p>
          <w:p>
            <w:pPr>
              <w:pStyle w:val="TableText"/>
              <w:ind w:left="355"/>
              <w:spacing w:before="6"/>
              <w:rPr>
                <w:rFonts w:ascii="SimSun" w:hAnsi="SimSun" w:eastAsia="SimSun" w:cs="SimSun"/>
              </w:rPr>
            </w:pPr>
            <w:r>
              <w:rPr>
                <w:spacing w:val="2"/>
              </w:rPr>
              <w:t>140.43</w:t>
            </w:r>
            <w:r>
              <w:rPr>
                <w:rFonts w:ascii="SimSun" w:hAnsi="SimSun" w:eastAsia="SimSun" w:cs="SimSun"/>
                <w:spacing w:val="2"/>
              </w:rPr>
              <w:t>（</w:t>
            </w:r>
            <w:r>
              <w:rPr>
                <w:spacing w:val="2"/>
              </w:rPr>
              <w:t>22</w:t>
            </w:r>
            <w:r>
              <w:rPr>
                <w:rFonts w:ascii="SimSun" w:hAnsi="SimSun" w:eastAsia="SimSun" w:cs="SimSun"/>
                <w:spacing w:val="2"/>
              </w:rPr>
              <w:t>）</w:t>
            </w:r>
          </w:p>
        </w:tc>
        <w:tc>
          <w:tcPr>
            <w:tcW w:w="1751" w:type="dxa"/>
            <w:vAlign w:val="top"/>
            <w:vMerge w:val="restart"/>
            <w:tcBorders>
              <w:bottom w:val="nil"/>
            </w:tcBorders>
          </w:tcPr>
          <w:p>
            <w:pPr>
              <w:pStyle w:val="TableText"/>
              <w:ind w:left="351"/>
              <w:spacing w:before="61" w:line="265" w:lineRule="exact"/>
              <w:rPr/>
            </w:pPr>
            <w:r>
              <w:rPr>
                <w:spacing w:val="4"/>
                <w:position w:val="1"/>
              </w:rPr>
              <w:t>0.40</w:t>
            </w:r>
            <w:r>
              <w:rPr>
                <w:rFonts w:ascii="SimSun" w:hAnsi="SimSun" w:eastAsia="SimSun" w:cs="SimSun"/>
                <w:spacing w:val="4"/>
                <w:position w:val="1"/>
              </w:rPr>
              <w:t>～</w:t>
            </w:r>
            <w:r>
              <w:rPr>
                <w:spacing w:val="4"/>
                <w:position w:val="1"/>
              </w:rPr>
              <w:t>20.37</w:t>
            </w:r>
          </w:p>
          <w:p>
            <w:pPr>
              <w:pStyle w:val="TableText"/>
              <w:ind w:left="380"/>
              <w:spacing w:before="6"/>
              <w:rPr>
                <w:rFonts w:ascii="SimSun" w:hAnsi="SimSun" w:eastAsia="SimSun" w:cs="SimSun"/>
              </w:rPr>
            </w:pPr>
            <w:r>
              <w:rPr>
                <w:spacing w:val="3"/>
              </w:rPr>
              <w:t>5.76</w:t>
            </w:r>
            <w:r>
              <w:rPr>
                <w:rFonts w:ascii="SimSun" w:hAnsi="SimSun" w:eastAsia="SimSun" w:cs="SimSun"/>
                <w:spacing w:val="3"/>
              </w:rPr>
              <w:t>（</w:t>
            </w:r>
            <w:r>
              <w:rPr>
                <w:spacing w:val="3"/>
              </w:rPr>
              <w:t>22</w:t>
            </w:r>
            <w:r>
              <w:rPr>
                <w:rFonts w:ascii="SimSun" w:hAnsi="SimSun" w:eastAsia="SimSun" w:cs="SimSun"/>
                <w:spacing w:val="3"/>
              </w:rPr>
              <w:t>）</w:t>
            </w:r>
          </w:p>
        </w:tc>
        <w:tc>
          <w:tcPr>
            <w:tcW w:w="1751" w:type="dxa"/>
            <w:vAlign w:val="top"/>
            <w:vMerge w:val="restart"/>
            <w:tcBorders>
              <w:bottom w:val="nil"/>
            </w:tcBorders>
          </w:tcPr>
          <w:p>
            <w:pPr>
              <w:pStyle w:val="TableText"/>
              <w:ind w:left="349"/>
              <w:spacing w:before="61" w:line="265" w:lineRule="exact"/>
              <w:rPr/>
            </w:pPr>
            <w:r>
              <w:rPr>
                <w:spacing w:val="4"/>
                <w:position w:val="1"/>
              </w:rPr>
              <w:t>2.05</w:t>
            </w:r>
            <w:r>
              <w:rPr>
                <w:rFonts w:ascii="SimSun" w:hAnsi="SimSun" w:eastAsia="SimSun" w:cs="SimSun"/>
                <w:spacing w:val="4"/>
                <w:position w:val="1"/>
              </w:rPr>
              <w:t>～</w:t>
            </w:r>
            <w:r>
              <w:rPr>
                <w:spacing w:val="4"/>
                <w:position w:val="1"/>
              </w:rPr>
              <w:t>20.37</w:t>
            </w:r>
          </w:p>
          <w:p>
            <w:pPr>
              <w:pStyle w:val="TableText"/>
              <w:ind w:left="379"/>
              <w:spacing w:before="6"/>
              <w:rPr>
                <w:rFonts w:ascii="SimSun" w:hAnsi="SimSun" w:eastAsia="SimSun" w:cs="SimSun"/>
              </w:rPr>
            </w:pPr>
            <w:r>
              <w:rPr>
                <w:spacing w:val="3"/>
              </w:rPr>
              <w:t>7.15</w:t>
            </w:r>
            <w:r>
              <w:rPr>
                <w:rFonts w:ascii="SimSun" w:hAnsi="SimSun" w:eastAsia="SimSun" w:cs="SimSun"/>
                <w:spacing w:val="3"/>
              </w:rPr>
              <w:t>（</w:t>
            </w:r>
            <w:r>
              <w:rPr>
                <w:spacing w:val="3"/>
              </w:rPr>
              <w:t>17</w:t>
            </w:r>
            <w:r>
              <w:rPr>
                <w:rFonts w:ascii="SimSun" w:hAnsi="SimSun" w:eastAsia="SimSun" w:cs="SimSun"/>
                <w:spacing w:val="3"/>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61" w:line="265" w:lineRule="exact"/>
              <w:rPr/>
            </w:pPr>
            <w:r>
              <w:rPr>
                <w:spacing w:val="4"/>
                <w:position w:val="1"/>
              </w:rPr>
              <w:t>0</w:t>
            </w:r>
            <w:r>
              <w:rPr>
                <w:rFonts w:ascii="SimSun" w:hAnsi="SimSun" w:eastAsia="SimSun" w:cs="SimSun"/>
                <w:spacing w:val="4"/>
                <w:position w:val="1"/>
              </w:rPr>
              <w:t>～</w:t>
            </w:r>
            <w:r>
              <w:rPr>
                <w:spacing w:val="4"/>
                <w:position w:val="1"/>
              </w:rPr>
              <w:t>1.53</w:t>
            </w:r>
          </w:p>
          <w:p>
            <w:pPr>
              <w:pStyle w:val="TableText"/>
              <w:ind w:left="279"/>
              <w:spacing w:before="7" w:line="264" w:lineRule="exact"/>
              <w:rPr/>
            </w:pPr>
            <w:r>
              <w:rPr>
                <w:spacing w:val="4"/>
                <w:position w:val="1"/>
              </w:rPr>
              <w:t>0</w:t>
            </w:r>
            <w:r>
              <w:rPr>
                <w:rFonts w:ascii="SimSun" w:hAnsi="SimSun" w:eastAsia="SimSun" w:cs="SimSun"/>
                <w:spacing w:val="4"/>
                <w:position w:val="1"/>
              </w:rPr>
              <w:t>～</w:t>
            </w:r>
            <w:r>
              <w:rPr>
                <w:spacing w:val="4"/>
                <w:position w:val="1"/>
              </w:rPr>
              <w:t>3</w:t>
            </w:r>
          </w:p>
        </w:tc>
        <w:tc>
          <w:tcPr>
            <w:tcW w:w="1104" w:type="dxa"/>
            <w:vAlign w:val="top"/>
            <w:vMerge w:val="restart"/>
            <w:tcBorders>
              <w:bottom w:val="nil"/>
            </w:tcBorders>
          </w:tcPr>
          <w:p>
            <w:pPr>
              <w:pStyle w:val="TableText"/>
              <w:ind w:left="366"/>
              <w:spacing w:before="234" w:line="195" w:lineRule="auto"/>
              <w:rPr/>
            </w:pPr>
            <w:r>
              <w:rPr>
                <w:spacing w:val="4"/>
              </w:rPr>
              <w:t>4.90</w:t>
            </w:r>
          </w:p>
        </w:tc>
        <w:tc>
          <w:tcPr>
            <w:tcW w:w="1106" w:type="dxa"/>
            <w:vAlign w:val="top"/>
            <w:vMerge w:val="restart"/>
            <w:tcBorders>
              <w:bottom w:val="nil"/>
            </w:tcBorders>
          </w:tcPr>
          <w:p>
            <w:pPr>
              <w:pStyle w:val="TableText"/>
              <w:ind w:left="449"/>
              <w:spacing w:before="234" w:line="195" w:lineRule="auto"/>
              <w:rPr/>
            </w:pPr>
            <w:r>
              <w:rPr>
                <w:spacing w:val="2"/>
              </w:rPr>
              <w:t>21</w:t>
            </w:r>
          </w:p>
        </w:tc>
        <w:tc>
          <w:tcPr>
            <w:tcW w:w="1104" w:type="dxa"/>
            <w:vAlign w:val="top"/>
            <w:vMerge w:val="restart"/>
            <w:tcBorders>
              <w:bottom w:val="nil"/>
            </w:tcBorders>
          </w:tcPr>
          <w:p>
            <w:pPr>
              <w:ind w:left="139"/>
              <w:spacing w:before="198" w:line="227" w:lineRule="auto"/>
              <w:rPr>
                <w:rFonts w:ascii="SimSun" w:hAnsi="SimSun" w:eastAsia="SimSun" w:cs="SimSun"/>
                <w:sz w:val="20"/>
                <w:szCs w:val="20"/>
              </w:rPr>
            </w:pPr>
            <w:r>
              <w:rPr>
                <w:rFonts w:ascii="SimSun" w:hAnsi="SimSun" w:eastAsia="SimSun" w:cs="SimSun"/>
                <w:sz w:val="20"/>
                <w:szCs w:val="20"/>
                <w:spacing w:val="6"/>
              </w:rPr>
              <w:t>局部可采</w:t>
            </w:r>
          </w:p>
        </w:tc>
        <w:tc>
          <w:tcPr>
            <w:tcW w:w="849" w:type="dxa"/>
            <w:vAlign w:val="top"/>
            <w:vMerge w:val="restart"/>
            <w:tcBorders>
              <w:bottom w:val="nil"/>
            </w:tcBorders>
          </w:tcPr>
          <w:p>
            <w:pPr>
              <w:ind w:left="115"/>
              <w:spacing w:before="198"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98"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319"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244"/>
              <w:spacing w:before="77" w:line="264" w:lineRule="exact"/>
              <w:rPr/>
            </w:pPr>
            <w:r>
              <w:rPr>
                <w:spacing w:val="5"/>
                <w:position w:val="1"/>
              </w:rPr>
              <w:t>49.01</w:t>
            </w:r>
            <w:r>
              <w:rPr>
                <w:rFonts w:ascii="SimSun" w:hAnsi="SimSun" w:eastAsia="SimSun" w:cs="SimSun"/>
                <w:spacing w:val="5"/>
                <w:position w:val="1"/>
              </w:rPr>
              <w:t>～</w:t>
            </w:r>
            <w:r>
              <w:rPr>
                <w:spacing w:val="5"/>
                <w:position w:val="1"/>
              </w:rPr>
              <w:t>105.63</w:t>
            </w:r>
          </w:p>
          <w:p>
            <w:pPr>
              <w:pStyle w:val="TableText"/>
              <w:ind w:left="385"/>
              <w:spacing w:before="9"/>
              <w:rPr>
                <w:rFonts w:ascii="SimSun" w:hAnsi="SimSun" w:eastAsia="SimSun" w:cs="SimSun"/>
              </w:rPr>
            </w:pPr>
            <w:r>
              <w:rPr>
                <w:spacing w:val="2"/>
              </w:rPr>
              <w:t>86.17</w:t>
            </w:r>
            <w:r>
              <w:rPr>
                <w:rFonts w:ascii="SimSun" w:hAnsi="SimSun" w:eastAsia="SimSun" w:cs="SimSun"/>
                <w:spacing w:val="2"/>
              </w:rPr>
              <w:t>（</w:t>
            </w:r>
            <w:r>
              <w:rPr>
                <w:spacing w:val="2"/>
              </w:rPr>
              <w:t>8</w:t>
            </w:r>
            <w:r>
              <w:rPr>
                <w:rFonts w:ascii="SimSun" w:hAnsi="SimSun" w:eastAsia="SimSun" w:cs="SimSun"/>
                <w:spacing w:val="2"/>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316" w:hRule="atLeast"/>
        </w:trPr>
        <w:tc>
          <w:tcPr>
            <w:tcW w:w="914" w:type="dxa"/>
            <w:vAlign w:val="top"/>
            <w:vMerge w:val="restart"/>
            <w:tcBorders>
              <w:bottom w:val="nil"/>
            </w:tcBorders>
          </w:tcPr>
          <w:p>
            <w:pPr>
              <w:ind w:left="146"/>
              <w:spacing w:before="211" w:line="228" w:lineRule="auto"/>
              <w:rPr>
                <w:rFonts w:ascii="SimSun" w:hAnsi="SimSun" w:eastAsia="SimSun" w:cs="SimSun"/>
                <w:sz w:val="20"/>
                <w:szCs w:val="20"/>
              </w:rPr>
            </w:pPr>
            <w:r>
              <w:rPr>
                <w:rFonts w:ascii="SimSun" w:hAnsi="SimSun" w:eastAsia="SimSun" w:cs="SimSun"/>
                <w:sz w:val="20"/>
                <w:szCs w:val="20"/>
                <w:spacing w:val="6"/>
              </w:rPr>
              <w:t>上一煤</w:t>
            </w:r>
          </w:p>
        </w:tc>
        <w:tc>
          <w:tcPr>
            <w:tcW w:w="1883" w:type="dxa"/>
            <w:vAlign w:val="top"/>
            <w:vMerge w:val="restart"/>
            <w:tcBorders>
              <w:bottom w:val="nil"/>
            </w:tcBorders>
          </w:tcPr>
          <w:p>
            <w:pPr>
              <w:pStyle w:val="TableText"/>
              <w:ind w:left="335" w:right="258" w:hanging="59"/>
              <w:spacing w:before="74" w:line="245" w:lineRule="auto"/>
              <w:rPr>
                <w:rFonts w:ascii="SimSun" w:hAnsi="SimSun" w:eastAsia="SimSun" w:cs="SimSun"/>
              </w:rPr>
            </w:pPr>
            <w:r>
              <w:rPr>
                <w:spacing w:val="3"/>
              </w:rPr>
              <w:t>167.60</w:t>
            </w:r>
            <w:r>
              <w:rPr>
                <w:rFonts w:ascii="SimSun" w:hAnsi="SimSun" w:eastAsia="SimSun" w:cs="SimSun"/>
                <w:spacing w:val="3"/>
              </w:rPr>
              <w:t>～</w:t>
            </w:r>
            <w:r>
              <w:rPr>
                <w:spacing w:val="3"/>
              </w:rPr>
              <w:t>333.52</w:t>
            </w:r>
            <w:r>
              <w:rPr>
                <w:spacing w:val="2"/>
              </w:rPr>
              <w:t xml:space="preserve"> </w:t>
            </w:r>
            <w:r>
              <w:rPr>
                <w:spacing w:val="4"/>
              </w:rPr>
              <w:t>273.27</w:t>
            </w:r>
            <w:r>
              <w:rPr>
                <w:rFonts w:ascii="SimSun" w:hAnsi="SimSun" w:eastAsia="SimSun" w:cs="SimSun"/>
                <w:spacing w:val="4"/>
              </w:rPr>
              <w:t>（</w:t>
            </w:r>
            <w:r>
              <w:rPr>
                <w:spacing w:val="4"/>
              </w:rPr>
              <w:t>13</w:t>
            </w:r>
            <w:r>
              <w:rPr>
                <w:rFonts w:ascii="SimSun" w:hAnsi="SimSun" w:eastAsia="SimSun" w:cs="SimSun"/>
                <w:spacing w:val="4"/>
              </w:rPr>
              <w:t>）</w:t>
            </w:r>
          </w:p>
        </w:tc>
        <w:tc>
          <w:tcPr>
            <w:tcW w:w="1751" w:type="dxa"/>
            <w:vAlign w:val="top"/>
            <w:vMerge w:val="restart"/>
            <w:tcBorders>
              <w:bottom w:val="nil"/>
            </w:tcBorders>
          </w:tcPr>
          <w:p>
            <w:pPr>
              <w:pStyle w:val="TableText"/>
              <w:ind w:left="404"/>
              <w:spacing w:before="74" w:line="264" w:lineRule="exact"/>
              <w:rPr/>
            </w:pPr>
            <w:r>
              <w:rPr>
                <w:spacing w:val="4"/>
                <w:position w:val="1"/>
              </w:rPr>
              <w:t>0.75</w:t>
            </w:r>
            <w:r>
              <w:rPr>
                <w:rFonts w:ascii="SimSun" w:hAnsi="SimSun" w:eastAsia="SimSun" w:cs="SimSun"/>
                <w:spacing w:val="4"/>
                <w:position w:val="1"/>
              </w:rPr>
              <w:t>～</w:t>
            </w:r>
            <w:r>
              <w:rPr>
                <w:spacing w:val="4"/>
                <w:position w:val="1"/>
              </w:rPr>
              <w:t>7.02</w:t>
            </w:r>
          </w:p>
          <w:p>
            <w:pPr>
              <w:pStyle w:val="TableText"/>
              <w:ind w:left="374"/>
              <w:spacing w:before="6"/>
              <w:rPr>
                <w:rFonts w:ascii="SimSun" w:hAnsi="SimSun" w:eastAsia="SimSun" w:cs="SimSun"/>
              </w:rPr>
            </w:pPr>
            <w:r>
              <w:rPr>
                <w:spacing w:val="4"/>
              </w:rPr>
              <w:t>4.47</w:t>
            </w:r>
            <w:r>
              <w:rPr>
                <w:rFonts w:ascii="SimSun" w:hAnsi="SimSun" w:eastAsia="SimSun" w:cs="SimSun"/>
                <w:spacing w:val="4"/>
              </w:rPr>
              <w:t>（</w:t>
            </w:r>
            <w:r>
              <w:rPr>
                <w:spacing w:val="4"/>
              </w:rPr>
              <w:t>13</w:t>
            </w:r>
            <w:r>
              <w:rPr>
                <w:rFonts w:ascii="SimSun" w:hAnsi="SimSun" w:eastAsia="SimSun" w:cs="SimSun"/>
                <w:spacing w:val="4"/>
              </w:rPr>
              <w:t>）</w:t>
            </w:r>
          </w:p>
        </w:tc>
        <w:tc>
          <w:tcPr>
            <w:tcW w:w="1751" w:type="dxa"/>
            <w:vAlign w:val="top"/>
            <w:vMerge w:val="restart"/>
            <w:tcBorders>
              <w:bottom w:val="nil"/>
            </w:tcBorders>
          </w:tcPr>
          <w:p>
            <w:pPr>
              <w:pStyle w:val="TableText"/>
              <w:ind w:left="402"/>
              <w:spacing w:before="74" w:line="264" w:lineRule="exact"/>
              <w:rPr/>
            </w:pPr>
            <w:r>
              <w:rPr>
                <w:spacing w:val="1"/>
                <w:position w:val="1"/>
              </w:rPr>
              <w:t>2.</w:t>
            </w:r>
            <w:r>
              <w:rPr>
                <w:spacing w:val="-20"/>
                <w:position w:val="1"/>
              </w:rPr>
              <w:t xml:space="preserve"> </w:t>
            </w:r>
            <w:r>
              <w:rPr>
                <w:spacing w:val="1"/>
                <w:position w:val="1"/>
              </w:rPr>
              <w:t>15</w:t>
            </w:r>
            <w:r>
              <w:rPr>
                <w:rFonts w:ascii="SimSun" w:hAnsi="SimSun" w:eastAsia="SimSun" w:cs="SimSun"/>
                <w:spacing w:val="1"/>
                <w:position w:val="1"/>
              </w:rPr>
              <w:t>～</w:t>
            </w:r>
            <w:r>
              <w:rPr>
                <w:spacing w:val="1"/>
                <w:position w:val="1"/>
              </w:rPr>
              <w:t>7.02</w:t>
            </w:r>
          </w:p>
          <w:p>
            <w:pPr>
              <w:pStyle w:val="TableText"/>
              <w:ind w:left="375"/>
              <w:spacing w:before="6"/>
              <w:rPr>
                <w:rFonts w:ascii="SimSun" w:hAnsi="SimSun" w:eastAsia="SimSun" w:cs="SimSun"/>
              </w:rPr>
            </w:pPr>
            <w:r>
              <w:rPr>
                <w:spacing w:val="4"/>
              </w:rPr>
              <w:t>4.78</w:t>
            </w:r>
            <w:r>
              <w:rPr>
                <w:rFonts w:ascii="SimSun" w:hAnsi="SimSun" w:eastAsia="SimSun" w:cs="SimSun"/>
                <w:spacing w:val="4"/>
              </w:rPr>
              <w:t>（</w:t>
            </w:r>
            <w:r>
              <w:rPr>
                <w:spacing w:val="4"/>
              </w:rPr>
              <w:t>12</w:t>
            </w:r>
            <w:r>
              <w:rPr>
                <w:rFonts w:ascii="SimSun" w:hAnsi="SimSun" w:eastAsia="SimSun" w:cs="SimSun"/>
                <w:spacing w:val="4"/>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74" w:line="264" w:lineRule="exact"/>
              <w:rPr/>
            </w:pPr>
            <w:r>
              <w:rPr>
                <w:spacing w:val="4"/>
                <w:position w:val="1"/>
              </w:rPr>
              <w:t>0</w:t>
            </w:r>
            <w:r>
              <w:rPr>
                <w:rFonts w:ascii="SimSun" w:hAnsi="SimSun" w:eastAsia="SimSun" w:cs="SimSun"/>
                <w:spacing w:val="4"/>
                <w:position w:val="1"/>
              </w:rPr>
              <w:t>～</w:t>
            </w:r>
            <w:r>
              <w:rPr>
                <w:spacing w:val="4"/>
                <w:position w:val="1"/>
              </w:rPr>
              <w:t>0.87</w:t>
            </w:r>
          </w:p>
          <w:p>
            <w:pPr>
              <w:pStyle w:val="TableText"/>
              <w:ind w:left="279"/>
              <w:spacing w:before="7" w:line="264" w:lineRule="exact"/>
              <w:rPr/>
            </w:pPr>
            <w:r>
              <w:rPr>
                <w:spacing w:val="4"/>
                <w:position w:val="1"/>
              </w:rPr>
              <w:t>0</w:t>
            </w:r>
            <w:r>
              <w:rPr>
                <w:rFonts w:ascii="SimSun" w:hAnsi="SimSun" w:eastAsia="SimSun" w:cs="SimSun"/>
                <w:spacing w:val="4"/>
                <w:position w:val="1"/>
              </w:rPr>
              <w:t>～</w:t>
            </w:r>
            <w:r>
              <w:rPr>
                <w:spacing w:val="4"/>
                <w:position w:val="1"/>
              </w:rPr>
              <w:t>1</w:t>
            </w:r>
          </w:p>
        </w:tc>
        <w:tc>
          <w:tcPr>
            <w:tcW w:w="1104" w:type="dxa"/>
            <w:vAlign w:val="top"/>
            <w:vMerge w:val="restart"/>
            <w:tcBorders>
              <w:bottom w:val="nil"/>
            </w:tcBorders>
          </w:tcPr>
          <w:p>
            <w:pPr>
              <w:pStyle w:val="TableText"/>
              <w:ind w:left="367"/>
              <w:spacing w:before="249" w:line="195" w:lineRule="auto"/>
              <w:rPr/>
            </w:pPr>
            <w:r>
              <w:rPr>
                <w:spacing w:val="-3"/>
              </w:rPr>
              <w:t>2.</w:t>
            </w:r>
            <w:r>
              <w:rPr>
                <w:spacing w:val="-23"/>
              </w:rPr>
              <w:t xml:space="preserve"> </w:t>
            </w:r>
            <w:r>
              <w:rPr>
                <w:spacing w:val="-3"/>
              </w:rPr>
              <w:t>18</w:t>
            </w:r>
          </w:p>
        </w:tc>
        <w:tc>
          <w:tcPr>
            <w:tcW w:w="1106" w:type="dxa"/>
            <w:vAlign w:val="top"/>
            <w:vMerge w:val="restart"/>
            <w:tcBorders>
              <w:bottom w:val="nil"/>
            </w:tcBorders>
          </w:tcPr>
          <w:p>
            <w:pPr>
              <w:pStyle w:val="TableText"/>
              <w:ind w:left="506"/>
              <w:spacing w:before="249" w:line="195" w:lineRule="auto"/>
              <w:rPr/>
            </w:pPr>
            <w:r>
              <w:rPr/>
              <w:t>9</w:t>
            </w:r>
          </w:p>
        </w:tc>
        <w:tc>
          <w:tcPr>
            <w:tcW w:w="1104" w:type="dxa"/>
            <w:vAlign w:val="top"/>
            <w:vMerge w:val="restart"/>
            <w:tcBorders>
              <w:bottom w:val="nil"/>
            </w:tcBorders>
          </w:tcPr>
          <w:p>
            <w:pPr>
              <w:ind w:left="139"/>
              <w:spacing w:before="211" w:line="227" w:lineRule="auto"/>
              <w:rPr>
                <w:rFonts w:ascii="SimSun" w:hAnsi="SimSun" w:eastAsia="SimSun" w:cs="SimSun"/>
                <w:sz w:val="20"/>
                <w:szCs w:val="20"/>
              </w:rPr>
            </w:pPr>
            <w:r>
              <w:rPr>
                <w:rFonts w:ascii="SimSun" w:hAnsi="SimSun" w:eastAsia="SimSun" w:cs="SimSun"/>
                <w:sz w:val="20"/>
                <w:szCs w:val="20"/>
                <w:spacing w:val="6"/>
              </w:rPr>
              <w:t>局部可采</w:t>
            </w:r>
          </w:p>
        </w:tc>
        <w:tc>
          <w:tcPr>
            <w:tcW w:w="849" w:type="dxa"/>
            <w:vAlign w:val="top"/>
            <w:vMerge w:val="restart"/>
            <w:tcBorders>
              <w:bottom w:val="nil"/>
            </w:tcBorders>
          </w:tcPr>
          <w:p>
            <w:pPr>
              <w:ind w:left="115"/>
              <w:spacing w:before="211"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211"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316"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406"/>
              <w:spacing w:before="77" w:line="264" w:lineRule="exact"/>
              <w:rPr/>
            </w:pPr>
            <w:r>
              <w:rPr>
                <w:spacing w:val="4"/>
                <w:position w:val="1"/>
              </w:rPr>
              <w:t>0.95</w:t>
            </w:r>
            <w:r>
              <w:rPr>
                <w:rFonts w:ascii="SimSun" w:hAnsi="SimSun" w:eastAsia="SimSun" w:cs="SimSun"/>
                <w:spacing w:val="4"/>
                <w:position w:val="1"/>
              </w:rPr>
              <w:t>～</w:t>
            </w:r>
            <w:r>
              <w:rPr>
                <w:spacing w:val="4"/>
                <w:position w:val="1"/>
              </w:rPr>
              <w:t>6.85</w:t>
            </w:r>
          </w:p>
          <w:p>
            <w:pPr>
              <w:pStyle w:val="TableText"/>
              <w:ind w:left="381"/>
              <w:spacing w:before="6"/>
              <w:rPr>
                <w:rFonts w:ascii="SimSun" w:hAnsi="SimSun" w:eastAsia="SimSun" w:cs="SimSun"/>
              </w:rPr>
            </w:pPr>
            <w:r>
              <w:rPr>
                <w:spacing w:val="3"/>
              </w:rPr>
              <w:t>3.32</w:t>
            </w:r>
            <w:r>
              <w:rPr>
                <w:rFonts w:ascii="SimSun" w:hAnsi="SimSun" w:eastAsia="SimSun" w:cs="SimSun"/>
                <w:spacing w:val="3"/>
              </w:rPr>
              <w:t>（</w:t>
            </w:r>
            <w:r>
              <w:rPr>
                <w:spacing w:val="3"/>
              </w:rPr>
              <w:t>13</w:t>
            </w:r>
            <w:r>
              <w:rPr>
                <w:rFonts w:ascii="SimSun" w:hAnsi="SimSun" w:eastAsia="SimSun" w:cs="SimSun"/>
                <w:spacing w:val="3"/>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316" w:hRule="atLeast"/>
        </w:trPr>
        <w:tc>
          <w:tcPr>
            <w:tcW w:w="914" w:type="dxa"/>
            <w:vAlign w:val="top"/>
            <w:vMerge w:val="restart"/>
            <w:tcBorders>
              <w:bottom w:val="nil"/>
            </w:tcBorders>
          </w:tcPr>
          <w:p>
            <w:pPr>
              <w:ind w:left="253"/>
              <w:spacing w:before="201" w:line="228" w:lineRule="auto"/>
              <w:rPr>
                <w:rFonts w:ascii="SimSun" w:hAnsi="SimSun" w:eastAsia="SimSun" w:cs="SimSun"/>
                <w:sz w:val="20"/>
                <w:szCs w:val="20"/>
              </w:rPr>
            </w:pPr>
            <w:r>
              <w:rPr>
                <w:rFonts w:ascii="SimSun" w:hAnsi="SimSun" w:eastAsia="SimSun" w:cs="SimSun"/>
                <w:sz w:val="20"/>
                <w:szCs w:val="20"/>
                <w:spacing w:val="3"/>
              </w:rPr>
              <w:t>一煤</w:t>
            </w:r>
          </w:p>
        </w:tc>
        <w:tc>
          <w:tcPr>
            <w:tcW w:w="1883" w:type="dxa"/>
            <w:vAlign w:val="top"/>
            <w:vMerge w:val="restart"/>
            <w:tcBorders>
              <w:bottom w:val="nil"/>
            </w:tcBorders>
          </w:tcPr>
          <w:p>
            <w:pPr>
              <w:pStyle w:val="TableText"/>
              <w:ind w:left="308"/>
              <w:spacing w:before="63" w:line="265" w:lineRule="exact"/>
              <w:rPr/>
            </w:pPr>
            <w:r>
              <w:rPr>
                <w:spacing w:val="2"/>
                <w:position w:val="1"/>
              </w:rPr>
              <w:t>42.</w:t>
            </w:r>
            <w:r>
              <w:rPr>
                <w:spacing w:val="-18"/>
                <w:position w:val="1"/>
              </w:rPr>
              <w:t xml:space="preserve"> </w:t>
            </w:r>
            <w:r>
              <w:rPr>
                <w:spacing w:val="2"/>
                <w:position w:val="1"/>
              </w:rPr>
              <w:t>10</w:t>
            </w:r>
            <w:r>
              <w:rPr>
                <w:rFonts w:ascii="SimSun" w:hAnsi="SimSun" w:eastAsia="SimSun" w:cs="SimSun"/>
                <w:spacing w:val="2"/>
                <w:position w:val="1"/>
              </w:rPr>
              <w:t>～</w:t>
            </w:r>
            <w:r>
              <w:rPr>
                <w:spacing w:val="2"/>
                <w:position w:val="1"/>
              </w:rPr>
              <w:t>426.55</w:t>
            </w:r>
          </w:p>
          <w:p>
            <w:pPr>
              <w:pStyle w:val="TableText"/>
              <w:ind w:left="303"/>
              <w:spacing w:before="6"/>
              <w:rPr>
                <w:rFonts w:ascii="SimSun" w:hAnsi="SimSun" w:eastAsia="SimSun" w:cs="SimSun"/>
              </w:rPr>
            </w:pPr>
            <w:r>
              <w:rPr>
                <w:spacing w:val="2"/>
              </w:rPr>
              <w:t>194.01</w:t>
            </w:r>
            <w:r>
              <w:rPr>
                <w:rFonts w:ascii="SimSun" w:hAnsi="SimSun" w:eastAsia="SimSun" w:cs="SimSun"/>
                <w:spacing w:val="2"/>
              </w:rPr>
              <w:t>（</w:t>
            </w:r>
            <w:r>
              <w:rPr>
                <w:spacing w:val="2"/>
              </w:rPr>
              <w:t>208</w:t>
            </w:r>
            <w:r>
              <w:rPr>
                <w:rFonts w:ascii="SimSun" w:hAnsi="SimSun" w:eastAsia="SimSun" w:cs="SimSun"/>
                <w:spacing w:val="2"/>
              </w:rPr>
              <w:t>）</w:t>
            </w:r>
          </w:p>
        </w:tc>
        <w:tc>
          <w:tcPr>
            <w:tcW w:w="1751" w:type="dxa"/>
            <w:vAlign w:val="top"/>
            <w:vMerge w:val="restart"/>
            <w:tcBorders>
              <w:bottom w:val="nil"/>
            </w:tcBorders>
          </w:tcPr>
          <w:p>
            <w:pPr>
              <w:pStyle w:val="TableText"/>
              <w:ind w:left="351"/>
              <w:spacing w:before="63" w:line="265" w:lineRule="exact"/>
              <w:rPr/>
            </w:pPr>
            <w:r>
              <w:rPr>
                <w:spacing w:val="4"/>
                <w:position w:val="1"/>
              </w:rPr>
              <w:t>0.36</w:t>
            </w:r>
            <w:r>
              <w:rPr>
                <w:rFonts w:ascii="SimSun" w:hAnsi="SimSun" w:eastAsia="SimSun" w:cs="SimSun"/>
                <w:spacing w:val="4"/>
                <w:position w:val="1"/>
              </w:rPr>
              <w:t>～</w:t>
            </w:r>
            <w:r>
              <w:rPr>
                <w:spacing w:val="4"/>
                <w:position w:val="1"/>
              </w:rPr>
              <w:t>44.12</w:t>
            </w:r>
          </w:p>
          <w:p>
            <w:pPr>
              <w:pStyle w:val="TableText"/>
              <w:ind w:left="269"/>
              <w:spacing w:before="6"/>
              <w:rPr>
                <w:rFonts w:ascii="SimSun" w:hAnsi="SimSun" w:eastAsia="SimSun" w:cs="SimSun"/>
              </w:rPr>
            </w:pPr>
            <w:r>
              <w:rPr>
                <w:spacing w:val="4"/>
              </w:rPr>
              <w:t>25.34</w:t>
            </w:r>
            <w:r>
              <w:rPr>
                <w:rFonts w:ascii="SimSun" w:hAnsi="SimSun" w:eastAsia="SimSun" w:cs="SimSun"/>
                <w:spacing w:val="4"/>
              </w:rPr>
              <w:t>（</w:t>
            </w:r>
            <w:r>
              <w:rPr>
                <w:spacing w:val="4"/>
              </w:rPr>
              <w:t>208</w:t>
            </w:r>
            <w:r>
              <w:rPr>
                <w:rFonts w:ascii="SimSun" w:hAnsi="SimSun" w:eastAsia="SimSun" w:cs="SimSun"/>
                <w:spacing w:val="4"/>
              </w:rPr>
              <w:t>）</w:t>
            </w:r>
          </w:p>
        </w:tc>
        <w:tc>
          <w:tcPr>
            <w:tcW w:w="1751" w:type="dxa"/>
            <w:vAlign w:val="top"/>
            <w:vMerge w:val="restart"/>
            <w:tcBorders>
              <w:bottom w:val="nil"/>
            </w:tcBorders>
          </w:tcPr>
          <w:p>
            <w:pPr>
              <w:pStyle w:val="TableText"/>
              <w:ind w:left="369"/>
              <w:spacing w:before="63" w:line="265" w:lineRule="exact"/>
              <w:rPr/>
            </w:pPr>
            <w:r>
              <w:rPr>
                <w:spacing w:val="2"/>
                <w:position w:val="1"/>
              </w:rPr>
              <w:t>1.55</w:t>
            </w:r>
            <w:r>
              <w:rPr>
                <w:rFonts w:ascii="SimSun" w:hAnsi="SimSun" w:eastAsia="SimSun" w:cs="SimSun"/>
                <w:spacing w:val="2"/>
                <w:position w:val="1"/>
              </w:rPr>
              <w:t>～</w:t>
            </w:r>
            <w:r>
              <w:rPr>
                <w:spacing w:val="2"/>
                <w:position w:val="1"/>
              </w:rPr>
              <w:t>44.12</w:t>
            </w:r>
          </w:p>
          <w:p>
            <w:pPr>
              <w:pStyle w:val="TableText"/>
              <w:ind w:left="270"/>
              <w:spacing w:before="6"/>
              <w:rPr>
                <w:rFonts w:ascii="SimSun" w:hAnsi="SimSun" w:eastAsia="SimSun" w:cs="SimSun"/>
              </w:rPr>
            </w:pPr>
            <w:r>
              <w:rPr>
                <w:spacing w:val="4"/>
              </w:rPr>
              <w:t>25.70</w:t>
            </w:r>
            <w:r>
              <w:rPr>
                <w:rFonts w:ascii="SimSun" w:hAnsi="SimSun" w:eastAsia="SimSun" w:cs="SimSun"/>
                <w:spacing w:val="4"/>
              </w:rPr>
              <w:t>（</w:t>
            </w:r>
            <w:r>
              <w:rPr>
                <w:spacing w:val="4"/>
              </w:rPr>
              <w:t>205</w:t>
            </w:r>
            <w:r>
              <w:rPr>
                <w:rFonts w:ascii="SimSun" w:hAnsi="SimSun" w:eastAsia="SimSun" w:cs="SimSun"/>
                <w:spacing w:val="4"/>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63" w:line="265" w:lineRule="exact"/>
              <w:rPr/>
            </w:pPr>
            <w:r>
              <w:rPr>
                <w:spacing w:val="4"/>
                <w:position w:val="1"/>
              </w:rPr>
              <w:t>0</w:t>
            </w:r>
            <w:r>
              <w:rPr>
                <w:rFonts w:ascii="SimSun" w:hAnsi="SimSun" w:eastAsia="SimSun" w:cs="SimSun"/>
                <w:spacing w:val="4"/>
                <w:position w:val="1"/>
              </w:rPr>
              <w:t>～</w:t>
            </w:r>
            <w:r>
              <w:rPr>
                <w:spacing w:val="4"/>
                <w:position w:val="1"/>
              </w:rPr>
              <w:t>7.80</w:t>
            </w:r>
          </w:p>
          <w:p>
            <w:pPr>
              <w:pStyle w:val="TableText"/>
              <w:ind w:left="231"/>
              <w:spacing w:before="7" w:line="264" w:lineRule="exact"/>
              <w:rPr/>
            </w:pPr>
            <w:r>
              <w:rPr>
                <w:spacing w:val="3"/>
                <w:position w:val="1"/>
              </w:rPr>
              <w:t>0</w:t>
            </w:r>
            <w:r>
              <w:rPr>
                <w:rFonts w:ascii="SimSun" w:hAnsi="SimSun" w:eastAsia="SimSun" w:cs="SimSun"/>
                <w:spacing w:val="3"/>
                <w:position w:val="1"/>
              </w:rPr>
              <w:t>～</w:t>
            </w:r>
            <w:r>
              <w:rPr>
                <w:spacing w:val="3"/>
                <w:position w:val="1"/>
              </w:rPr>
              <w:t>11</w:t>
            </w:r>
          </w:p>
        </w:tc>
        <w:tc>
          <w:tcPr>
            <w:tcW w:w="1104" w:type="dxa"/>
            <w:vAlign w:val="top"/>
            <w:vMerge w:val="restart"/>
            <w:tcBorders>
              <w:bottom w:val="nil"/>
            </w:tcBorders>
          </w:tcPr>
          <w:p>
            <w:pPr>
              <w:pStyle w:val="TableText"/>
              <w:ind w:left="317"/>
              <w:spacing w:before="236" w:line="195" w:lineRule="auto"/>
              <w:rPr/>
            </w:pPr>
            <w:r>
              <w:rPr>
                <w:spacing w:val="3"/>
              </w:rPr>
              <w:t>21.71</w:t>
            </w:r>
          </w:p>
        </w:tc>
        <w:tc>
          <w:tcPr>
            <w:tcW w:w="1106" w:type="dxa"/>
            <w:vAlign w:val="top"/>
            <w:vMerge w:val="restart"/>
            <w:tcBorders>
              <w:bottom w:val="nil"/>
            </w:tcBorders>
          </w:tcPr>
          <w:p>
            <w:pPr>
              <w:pStyle w:val="TableText"/>
              <w:ind w:left="453"/>
              <w:spacing w:before="236" w:line="195" w:lineRule="auto"/>
              <w:rPr/>
            </w:pPr>
            <w:r>
              <w:rPr/>
              <w:t>91</w:t>
            </w:r>
          </w:p>
        </w:tc>
        <w:tc>
          <w:tcPr>
            <w:tcW w:w="1104" w:type="dxa"/>
            <w:vAlign w:val="top"/>
            <w:vMerge w:val="restart"/>
            <w:tcBorders>
              <w:bottom w:val="nil"/>
            </w:tcBorders>
          </w:tcPr>
          <w:p>
            <w:pPr>
              <w:ind w:left="136"/>
              <w:spacing w:before="200" w:line="227" w:lineRule="auto"/>
              <w:rPr>
                <w:rFonts w:ascii="SimSun" w:hAnsi="SimSun" w:eastAsia="SimSun" w:cs="SimSun"/>
                <w:sz w:val="20"/>
                <w:szCs w:val="20"/>
              </w:rPr>
            </w:pPr>
            <w:r>
              <w:rPr>
                <w:rFonts w:ascii="SimSun" w:hAnsi="SimSun" w:eastAsia="SimSun" w:cs="SimSun"/>
                <w:sz w:val="20"/>
                <w:szCs w:val="20"/>
                <w:spacing w:val="7"/>
              </w:rPr>
              <w:t>全区可采</w:t>
            </w:r>
          </w:p>
        </w:tc>
        <w:tc>
          <w:tcPr>
            <w:tcW w:w="849" w:type="dxa"/>
            <w:vAlign w:val="top"/>
            <w:vMerge w:val="restart"/>
            <w:tcBorders>
              <w:bottom w:val="nil"/>
            </w:tcBorders>
          </w:tcPr>
          <w:p>
            <w:pPr>
              <w:ind w:left="115"/>
              <w:spacing w:before="200"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200"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353"/>
              <w:spacing w:before="50" w:line="264" w:lineRule="exact"/>
              <w:rPr/>
            </w:pPr>
            <w:r>
              <w:rPr>
                <w:spacing w:val="1"/>
                <w:position w:val="1"/>
              </w:rPr>
              <w:t>0.</w:t>
            </w:r>
            <w:r>
              <w:rPr>
                <w:spacing w:val="-17"/>
                <w:position w:val="1"/>
              </w:rPr>
              <w:t xml:space="preserve"> </w:t>
            </w:r>
            <w:r>
              <w:rPr>
                <w:spacing w:val="1"/>
                <w:position w:val="1"/>
              </w:rPr>
              <w:t>13</w:t>
            </w:r>
            <w:r>
              <w:rPr>
                <w:rFonts w:ascii="SimSun" w:hAnsi="SimSun" w:eastAsia="SimSun" w:cs="SimSun"/>
                <w:spacing w:val="1"/>
                <w:position w:val="1"/>
              </w:rPr>
              <w:t>～</w:t>
            </w:r>
            <w:r>
              <w:rPr>
                <w:spacing w:val="1"/>
                <w:position w:val="1"/>
              </w:rPr>
              <w:t>15.88</w:t>
            </w:r>
          </w:p>
          <w:p>
            <w:pPr>
              <w:pStyle w:val="TableText"/>
              <w:ind w:left="324"/>
              <w:spacing w:before="9" w:line="230" w:lineRule="auto"/>
              <w:rPr>
                <w:rFonts w:ascii="SimSun" w:hAnsi="SimSun" w:eastAsia="SimSun" w:cs="SimSun"/>
              </w:rPr>
            </w:pPr>
            <w:r>
              <w:rPr>
                <w:spacing w:val="4"/>
              </w:rPr>
              <w:t>2.29</w:t>
            </w:r>
            <w:r>
              <w:rPr>
                <w:rFonts w:ascii="SimSun" w:hAnsi="SimSun" w:eastAsia="SimSun" w:cs="SimSun"/>
                <w:spacing w:val="4"/>
              </w:rPr>
              <w:t>（</w:t>
            </w:r>
            <w:r>
              <w:rPr>
                <w:spacing w:val="4"/>
              </w:rPr>
              <w:t>178</w:t>
            </w:r>
            <w:r>
              <w:rPr>
                <w:rFonts w:ascii="SimSun" w:hAnsi="SimSun" w:eastAsia="SimSun" w:cs="SimSun"/>
                <w:spacing w:val="4"/>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8" w:hRule="atLeast"/>
        </w:trPr>
        <w:tc>
          <w:tcPr>
            <w:tcW w:w="914" w:type="dxa"/>
            <w:vAlign w:val="top"/>
            <w:vMerge w:val="restart"/>
            <w:tcBorders>
              <w:bottom w:val="nil"/>
            </w:tcBorders>
          </w:tcPr>
          <w:p>
            <w:pPr>
              <w:ind w:left="148"/>
              <w:spacing w:before="185" w:line="228" w:lineRule="auto"/>
              <w:rPr>
                <w:rFonts w:ascii="SimSun" w:hAnsi="SimSun" w:eastAsia="SimSun" w:cs="SimSun"/>
                <w:sz w:val="20"/>
                <w:szCs w:val="20"/>
              </w:rPr>
            </w:pPr>
            <w:r>
              <w:rPr>
                <w:rFonts w:ascii="SimSun" w:hAnsi="SimSun" w:eastAsia="SimSun" w:cs="SimSun"/>
                <w:sz w:val="20"/>
                <w:szCs w:val="20"/>
                <w:spacing w:val="5"/>
              </w:rPr>
              <w:t>一下煤</w:t>
            </w:r>
          </w:p>
        </w:tc>
        <w:tc>
          <w:tcPr>
            <w:tcW w:w="1883" w:type="dxa"/>
            <w:vAlign w:val="top"/>
            <w:vMerge w:val="restart"/>
            <w:tcBorders>
              <w:bottom w:val="nil"/>
            </w:tcBorders>
          </w:tcPr>
          <w:p>
            <w:pPr>
              <w:pStyle w:val="TableText"/>
              <w:ind w:left="308"/>
              <w:spacing w:before="47" w:line="265" w:lineRule="exact"/>
              <w:rPr/>
            </w:pPr>
            <w:r>
              <w:rPr>
                <w:spacing w:val="4"/>
                <w:position w:val="1"/>
              </w:rPr>
              <w:t>44.25</w:t>
            </w:r>
            <w:r>
              <w:rPr>
                <w:rFonts w:ascii="SimSun" w:hAnsi="SimSun" w:eastAsia="SimSun" w:cs="SimSun"/>
                <w:spacing w:val="4"/>
                <w:position w:val="1"/>
              </w:rPr>
              <w:t>～</w:t>
            </w:r>
            <w:r>
              <w:rPr>
                <w:spacing w:val="4"/>
                <w:position w:val="1"/>
              </w:rPr>
              <w:t>436.60</w:t>
            </w:r>
          </w:p>
          <w:p>
            <w:pPr>
              <w:pStyle w:val="TableText"/>
              <w:ind w:left="282"/>
              <w:spacing w:before="9" w:line="232" w:lineRule="auto"/>
              <w:rPr>
                <w:rFonts w:ascii="SimSun" w:hAnsi="SimSun" w:eastAsia="SimSun" w:cs="SimSun"/>
              </w:rPr>
            </w:pPr>
            <w:r>
              <w:rPr>
                <w:spacing w:val="4"/>
              </w:rPr>
              <w:t>206.57</w:t>
            </w:r>
            <w:r>
              <w:rPr>
                <w:rFonts w:ascii="SimSun" w:hAnsi="SimSun" w:eastAsia="SimSun" w:cs="SimSun"/>
                <w:spacing w:val="4"/>
              </w:rPr>
              <w:t>（</w:t>
            </w:r>
            <w:r>
              <w:rPr>
                <w:spacing w:val="4"/>
              </w:rPr>
              <w:t>179</w:t>
            </w:r>
            <w:r>
              <w:rPr>
                <w:rFonts w:ascii="SimSun" w:hAnsi="SimSun" w:eastAsia="SimSun" w:cs="SimSun"/>
                <w:spacing w:val="4"/>
              </w:rPr>
              <w:t>）</w:t>
            </w:r>
          </w:p>
        </w:tc>
        <w:tc>
          <w:tcPr>
            <w:tcW w:w="1751" w:type="dxa"/>
            <w:vAlign w:val="top"/>
            <w:vMerge w:val="restart"/>
            <w:tcBorders>
              <w:bottom w:val="nil"/>
            </w:tcBorders>
          </w:tcPr>
          <w:p>
            <w:pPr>
              <w:pStyle w:val="TableText"/>
              <w:ind w:left="351"/>
              <w:spacing w:before="47" w:line="265" w:lineRule="exact"/>
              <w:rPr/>
            </w:pPr>
            <w:r>
              <w:rPr>
                <w:spacing w:val="4"/>
                <w:position w:val="1"/>
              </w:rPr>
              <w:t>0.28</w:t>
            </w:r>
            <w:r>
              <w:rPr>
                <w:rFonts w:ascii="SimSun" w:hAnsi="SimSun" w:eastAsia="SimSun" w:cs="SimSun"/>
                <w:spacing w:val="4"/>
                <w:position w:val="1"/>
              </w:rPr>
              <w:t>～</w:t>
            </w:r>
            <w:r>
              <w:rPr>
                <w:spacing w:val="4"/>
                <w:position w:val="1"/>
              </w:rPr>
              <w:t>10.52</w:t>
            </w:r>
          </w:p>
          <w:p>
            <w:pPr>
              <w:pStyle w:val="TableText"/>
              <w:ind w:left="322"/>
              <w:spacing w:before="9" w:line="232" w:lineRule="auto"/>
              <w:rPr>
                <w:rFonts w:ascii="SimSun" w:hAnsi="SimSun" w:eastAsia="SimSun" w:cs="SimSun"/>
              </w:rPr>
            </w:pPr>
            <w:r>
              <w:rPr>
                <w:spacing w:val="4"/>
              </w:rPr>
              <w:t>2.84</w:t>
            </w:r>
            <w:r>
              <w:rPr>
                <w:rFonts w:ascii="SimSun" w:hAnsi="SimSun" w:eastAsia="SimSun" w:cs="SimSun"/>
                <w:spacing w:val="4"/>
              </w:rPr>
              <w:t>（</w:t>
            </w:r>
            <w:r>
              <w:rPr>
                <w:spacing w:val="4"/>
              </w:rPr>
              <w:t>179</w:t>
            </w:r>
            <w:r>
              <w:rPr>
                <w:rFonts w:ascii="SimSun" w:hAnsi="SimSun" w:eastAsia="SimSun" w:cs="SimSun"/>
                <w:spacing w:val="4"/>
              </w:rPr>
              <w:t>）</w:t>
            </w:r>
          </w:p>
        </w:tc>
        <w:tc>
          <w:tcPr>
            <w:tcW w:w="1751" w:type="dxa"/>
            <w:vAlign w:val="top"/>
            <w:vMerge w:val="restart"/>
            <w:tcBorders>
              <w:bottom w:val="nil"/>
            </w:tcBorders>
          </w:tcPr>
          <w:p>
            <w:pPr>
              <w:pStyle w:val="TableText"/>
              <w:ind w:left="369"/>
              <w:spacing w:before="47" w:line="265" w:lineRule="exact"/>
              <w:rPr/>
            </w:pPr>
            <w:r>
              <w:rPr>
                <w:spacing w:val="2"/>
                <w:position w:val="1"/>
              </w:rPr>
              <w:t>1.50</w:t>
            </w:r>
            <w:r>
              <w:rPr>
                <w:rFonts w:ascii="SimSun" w:hAnsi="SimSun" w:eastAsia="SimSun" w:cs="SimSun"/>
                <w:spacing w:val="2"/>
                <w:position w:val="1"/>
              </w:rPr>
              <w:t>～</w:t>
            </w:r>
            <w:r>
              <w:rPr>
                <w:spacing w:val="2"/>
                <w:position w:val="1"/>
              </w:rPr>
              <w:t>10.52</w:t>
            </w:r>
          </w:p>
          <w:p>
            <w:pPr>
              <w:pStyle w:val="TableText"/>
              <w:ind w:left="332"/>
              <w:spacing w:before="9" w:line="232" w:lineRule="auto"/>
              <w:rPr>
                <w:rFonts w:ascii="SimSun" w:hAnsi="SimSun" w:eastAsia="SimSun" w:cs="SimSun"/>
              </w:rPr>
            </w:pPr>
            <w:r>
              <w:rPr>
                <w:spacing w:val="2"/>
              </w:rPr>
              <w:t>3.96</w:t>
            </w:r>
            <w:r>
              <w:rPr>
                <w:rFonts w:ascii="SimSun" w:hAnsi="SimSun" w:eastAsia="SimSun" w:cs="SimSun"/>
                <w:spacing w:val="2"/>
              </w:rPr>
              <w:t>（</w:t>
            </w:r>
            <w:r>
              <w:rPr>
                <w:spacing w:val="2"/>
              </w:rPr>
              <w:t>115</w:t>
            </w:r>
            <w:r>
              <w:rPr>
                <w:rFonts w:ascii="SimSun" w:hAnsi="SimSun" w:eastAsia="SimSun" w:cs="SimSun"/>
                <w:spacing w:val="2"/>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47" w:line="265" w:lineRule="exact"/>
              <w:rPr/>
            </w:pPr>
            <w:r>
              <w:rPr>
                <w:spacing w:val="4"/>
                <w:position w:val="1"/>
              </w:rPr>
              <w:t>0</w:t>
            </w:r>
            <w:r>
              <w:rPr>
                <w:rFonts w:ascii="SimSun" w:hAnsi="SimSun" w:eastAsia="SimSun" w:cs="SimSun"/>
                <w:spacing w:val="4"/>
                <w:position w:val="1"/>
              </w:rPr>
              <w:t>～</w:t>
            </w:r>
            <w:r>
              <w:rPr>
                <w:spacing w:val="4"/>
                <w:position w:val="1"/>
              </w:rPr>
              <w:t>1.50</w:t>
            </w:r>
          </w:p>
          <w:p>
            <w:pPr>
              <w:pStyle w:val="TableText"/>
              <w:ind w:left="279"/>
              <w:spacing w:before="9" w:line="232" w:lineRule="auto"/>
              <w:rPr/>
            </w:pPr>
            <w:r>
              <w:rPr>
                <w:spacing w:val="4"/>
              </w:rPr>
              <w:t>0</w:t>
            </w:r>
            <w:r>
              <w:rPr>
                <w:rFonts w:ascii="SimSun" w:hAnsi="SimSun" w:eastAsia="SimSun" w:cs="SimSun"/>
                <w:spacing w:val="4"/>
              </w:rPr>
              <w:t>～</w:t>
            </w:r>
            <w:r>
              <w:rPr>
                <w:spacing w:val="4"/>
              </w:rPr>
              <w:t>5</w:t>
            </w:r>
          </w:p>
        </w:tc>
        <w:tc>
          <w:tcPr>
            <w:tcW w:w="1104" w:type="dxa"/>
            <w:vAlign w:val="top"/>
            <w:vMerge w:val="restart"/>
            <w:tcBorders>
              <w:bottom w:val="nil"/>
            </w:tcBorders>
          </w:tcPr>
          <w:p>
            <w:pPr>
              <w:pStyle w:val="TableText"/>
              <w:ind w:left="337"/>
              <w:spacing w:before="222" w:line="195" w:lineRule="auto"/>
              <w:rPr/>
            </w:pPr>
            <w:r>
              <w:rPr>
                <w:spacing w:val="-1"/>
              </w:rPr>
              <w:t>15.26</w:t>
            </w:r>
          </w:p>
        </w:tc>
        <w:tc>
          <w:tcPr>
            <w:tcW w:w="1106" w:type="dxa"/>
            <w:vAlign w:val="top"/>
            <w:vMerge w:val="restart"/>
            <w:tcBorders>
              <w:bottom w:val="nil"/>
            </w:tcBorders>
          </w:tcPr>
          <w:p>
            <w:pPr>
              <w:pStyle w:val="TableText"/>
              <w:ind w:left="454"/>
              <w:spacing w:before="222" w:line="195" w:lineRule="auto"/>
              <w:rPr/>
            </w:pPr>
            <w:r>
              <w:rPr/>
              <w:t>64</w:t>
            </w:r>
          </w:p>
        </w:tc>
        <w:tc>
          <w:tcPr>
            <w:tcW w:w="1104" w:type="dxa"/>
            <w:vAlign w:val="top"/>
            <w:vMerge w:val="restart"/>
            <w:tcBorders>
              <w:bottom w:val="nil"/>
            </w:tcBorders>
          </w:tcPr>
          <w:p>
            <w:pPr>
              <w:ind w:left="139"/>
              <w:spacing w:before="184" w:line="227" w:lineRule="auto"/>
              <w:rPr>
                <w:rFonts w:ascii="SimSun" w:hAnsi="SimSun" w:eastAsia="SimSun" w:cs="SimSun"/>
                <w:sz w:val="20"/>
                <w:szCs w:val="20"/>
              </w:rPr>
            </w:pPr>
            <w:r>
              <w:rPr>
                <w:rFonts w:ascii="SimSun" w:hAnsi="SimSun" w:eastAsia="SimSun" w:cs="SimSun"/>
                <w:sz w:val="20"/>
                <w:szCs w:val="20"/>
                <w:spacing w:val="6"/>
              </w:rPr>
              <w:t>大部可采</w:t>
            </w:r>
          </w:p>
        </w:tc>
        <w:tc>
          <w:tcPr>
            <w:tcW w:w="849" w:type="dxa"/>
            <w:vAlign w:val="top"/>
            <w:vMerge w:val="restart"/>
            <w:tcBorders>
              <w:bottom w:val="nil"/>
            </w:tcBorders>
          </w:tcPr>
          <w:p>
            <w:pPr>
              <w:ind w:left="115"/>
              <w:spacing w:before="184"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84"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406"/>
              <w:spacing w:before="50" w:line="264" w:lineRule="exact"/>
              <w:rPr/>
            </w:pPr>
            <w:r>
              <w:rPr>
                <w:spacing w:val="4"/>
                <w:position w:val="1"/>
              </w:rPr>
              <w:t>0.49</w:t>
            </w:r>
            <w:r>
              <w:rPr>
                <w:rFonts w:ascii="SimSun" w:hAnsi="SimSun" w:eastAsia="SimSun" w:cs="SimSun"/>
                <w:spacing w:val="4"/>
                <w:position w:val="1"/>
              </w:rPr>
              <w:t>～</w:t>
            </w:r>
            <w:r>
              <w:rPr>
                <w:spacing w:val="4"/>
                <w:position w:val="1"/>
              </w:rPr>
              <w:t>24.3</w:t>
            </w:r>
          </w:p>
          <w:p>
            <w:pPr>
              <w:pStyle w:val="TableText"/>
              <w:ind w:left="332"/>
              <w:spacing w:before="9" w:line="230" w:lineRule="auto"/>
              <w:rPr>
                <w:rFonts w:ascii="SimSun" w:hAnsi="SimSun" w:eastAsia="SimSun" w:cs="SimSun"/>
              </w:rPr>
            </w:pPr>
            <w:r>
              <w:rPr>
                <w:spacing w:val="3"/>
              </w:rPr>
              <w:t>8.10</w:t>
            </w:r>
            <w:r>
              <w:rPr>
                <w:rFonts w:ascii="SimSun" w:hAnsi="SimSun" w:eastAsia="SimSun" w:cs="SimSun"/>
                <w:spacing w:val="3"/>
              </w:rPr>
              <w:t>（</w:t>
            </w:r>
            <w:r>
              <w:rPr>
                <w:spacing w:val="3"/>
              </w:rPr>
              <w:t>142</w:t>
            </w:r>
            <w:r>
              <w:rPr>
                <w:rFonts w:ascii="SimSun" w:hAnsi="SimSun" w:eastAsia="SimSun" w:cs="SimSun"/>
                <w:spacing w:val="3"/>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8" w:hRule="atLeast"/>
        </w:trPr>
        <w:tc>
          <w:tcPr>
            <w:tcW w:w="914" w:type="dxa"/>
            <w:vAlign w:val="top"/>
            <w:vMerge w:val="restart"/>
            <w:tcBorders>
              <w:bottom w:val="nil"/>
            </w:tcBorders>
          </w:tcPr>
          <w:p>
            <w:pPr>
              <w:pStyle w:val="TableText"/>
              <w:ind w:left="140"/>
              <w:spacing w:before="185" w:line="228" w:lineRule="auto"/>
              <w:rPr>
                <w:rFonts w:ascii="SimSun" w:hAnsi="SimSun" w:eastAsia="SimSun" w:cs="SimSun"/>
              </w:rPr>
            </w:pPr>
            <w:r>
              <w:rPr>
                <w:rFonts w:ascii="SimSun" w:hAnsi="SimSun" w:eastAsia="SimSun" w:cs="SimSun"/>
                <w:spacing w:val="1"/>
              </w:rPr>
              <w:t>二</w:t>
            </w:r>
            <w:r>
              <w:rPr>
                <w:spacing w:val="1"/>
              </w:rPr>
              <w:t>-1</w:t>
            </w:r>
            <w:r>
              <w:rPr>
                <w:spacing w:val="12"/>
                <w:w w:val="101"/>
              </w:rPr>
              <w:t xml:space="preserve"> </w:t>
            </w:r>
            <w:r>
              <w:rPr>
                <w:rFonts w:ascii="SimSun" w:hAnsi="SimSun" w:eastAsia="SimSun" w:cs="SimSun"/>
                <w:spacing w:val="1"/>
              </w:rPr>
              <w:t>煤</w:t>
            </w:r>
          </w:p>
        </w:tc>
        <w:tc>
          <w:tcPr>
            <w:tcW w:w="1883" w:type="dxa"/>
            <w:vAlign w:val="top"/>
            <w:vMerge w:val="restart"/>
            <w:tcBorders>
              <w:bottom w:val="nil"/>
            </w:tcBorders>
          </w:tcPr>
          <w:p>
            <w:pPr>
              <w:pStyle w:val="TableText"/>
              <w:ind w:left="308"/>
              <w:spacing w:before="47" w:line="265" w:lineRule="exact"/>
              <w:rPr/>
            </w:pPr>
            <w:r>
              <w:rPr>
                <w:spacing w:val="4"/>
                <w:position w:val="1"/>
              </w:rPr>
              <w:t>49.55</w:t>
            </w:r>
            <w:r>
              <w:rPr>
                <w:rFonts w:ascii="SimSun" w:hAnsi="SimSun" w:eastAsia="SimSun" w:cs="SimSun"/>
                <w:spacing w:val="4"/>
                <w:position w:val="1"/>
              </w:rPr>
              <w:t>～</w:t>
            </w:r>
            <w:r>
              <w:rPr>
                <w:spacing w:val="4"/>
                <w:position w:val="1"/>
              </w:rPr>
              <w:t>404.55</w:t>
            </w:r>
          </w:p>
          <w:p>
            <w:pPr>
              <w:pStyle w:val="TableText"/>
              <w:ind w:left="303"/>
              <w:spacing w:before="9" w:line="232" w:lineRule="auto"/>
              <w:rPr>
                <w:rFonts w:ascii="SimSun" w:hAnsi="SimSun" w:eastAsia="SimSun" w:cs="SimSun"/>
              </w:rPr>
            </w:pPr>
            <w:r>
              <w:rPr>
                <w:spacing w:val="2"/>
              </w:rPr>
              <w:t>176.72</w:t>
            </w:r>
            <w:r>
              <w:rPr>
                <w:rFonts w:ascii="SimSun" w:hAnsi="SimSun" w:eastAsia="SimSun" w:cs="SimSun"/>
                <w:spacing w:val="2"/>
              </w:rPr>
              <w:t>（</w:t>
            </w:r>
            <w:r>
              <w:rPr>
                <w:spacing w:val="2"/>
              </w:rPr>
              <w:t>164</w:t>
            </w:r>
            <w:r>
              <w:rPr>
                <w:rFonts w:ascii="SimSun" w:hAnsi="SimSun" w:eastAsia="SimSun" w:cs="SimSun"/>
                <w:spacing w:val="2"/>
              </w:rPr>
              <w:t>）</w:t>
            </w:r>
          </w:p>
        </w:tc>
        <w:tc>
          <w:tcPr>
            <w:tcW w:w="1751" w:type="dxa"/>
            <w:vAlign w:val="top"/>
            <w:vMerge w:val="restart"/>
            <w:tcBorders>
              <w:bottom w:val="nil"/>
            </w:tcBorders>
          </w:tcPr>
          <w:p>
            <w:pPr>
              <w:pStyle w:val="TableText"/>
              <w:ind w:left="404"/>
              <w:spacing w:before="47" w:line="265" w:lineRule="exact"/>
              <w:rPr/>
            </w:pPr>
            <w:r>
              <w:rPr>
                <w:spacing w:val="1"/>
                <w:position w:val="1"/>
              </w:rPr>
              <w:t>0.</w:t>
            </w:r>
            <w:r>
              <w:rPr>
                <w:spacing w:val="-24"/>
                <w:position w:val="1"/>
              </w:rPr>
              <w:t xml:space="preserve"> </w:t>
            </w:r>
            <w:r>
              <w:rPr>
                <w:spacing w:val="1"/>
                <w:position w:val="1"/>
              </w:rPr>
              <w:t>15</w:t>
            </w:r>
            <w:r>
              <w:rPr>
                <w:rFonts w:ascii="SimSun" w:hAnsi="SimSun" w:eastAsia="SimSun" w:cs="SimSun"/>
                <w:spacing w:val="1"/>
                <w:position w:val="1"/>
              </w:rPr>
              <w:t>～</w:t>
            </w:r>
            <w:r>
              <w:rPr>
                <w:spacing w:val="1"/>
                <w:position w:val="1"/>
              </w:rPr>
              <w:t>5.86</w:t>
            </w:r>
          </w:p>
          <w:p>
            <w:pPr>
              <w:pStyle w:val="TableText"/>
              <w:ind w:left="342"/>
              <w:spacing w:before="9" w:line="232" w:lineRule="auto"/>
              <w:rPr>
                <w:rFonts w:ascii="SimSun" w:hAnsi="SimSun" w:eastAsia="SimSun" w:cs="SimSun"/>
              </w:rPr>
            </w:pPr>
            <w:r>
              <w:rPr>
                <w:spacing w:val="1"/>
              </w:rPr>
              <w:t>1.50</w:t>
            </w:r>
            <w:r>
              <w:rPr>
                <w:rFonts w:ascii="SimSun" w:hAnsi="SimSun" w:eastAsia="SimSun" w:cs="SimSun"/>
                <w:spacing w:val="1"/>
              </w:rPr>
              <w:t>（</w:t>
            </w:r>
            <w:r>
              <w:rPr>
                <w:spacing w:val="1"/>
              </w:rPr>
              <w:t>164</w:t>
            </w:r>
            <w:r>
              <w:rPr>
                <w:rFonts w:ascii="SimSun" w:hAnsi="SimSun" w:eastAsia="SimSun" w:cs="SimSun"/>
                <w:spacing w:val="1"/>
              </w:rPr>
              <w:t>）</w:t>
            </w:r>
          </w:p>
        </w:tc>
        <w:tc>
          <w:tcPr>
            <w:tcW w:w="1751" w:type="dxa"/>
            <w:vAlign w:val="top"/>
            <w:vMerge w:val="restart"/>
            <w:tcBorders>
              <w:bottom w:val="nil"/>
            </w:tcBorders>
          </w:tcPr>
          <w:p>
            <w:pPr>
              <w:pStyle w:val="TableText"/>
              <w:ind w:left="422"/>
              <w:spacing w:before="47" w:line="265" w:lineRule="exact"/>
              <w:rPr/>
            </w:pPr>
            <w:r>
              <w:rPr>
                <w:spacing w:val="2"/>
                <w:position w:val="1"/>
              </w:rPr>
              <w:t>1.50</w:t>
            </w:r>
            <w:r>
              <w:rPr>
                <w:rFonts w:ascii="SimSun" w:hAnsi="SimSun" w:eastAsia="SimSun" w:cs="SimSun"/>
                <w:spacing w:val="2"/>
                <w:position w:val="1"/>
              </w:rPr>
              <w:t>～</w:t>
            </w:r>
            <w:r>
              <w:rPr>
                <w:spacing w:val="2"/>
                <w:position w:val="1"/>
              </w:rPr>
              <w:t>5.86</w:t>
            </w:r>
          </w:p>
          <w:p>
            <w:pPr>
              <w:pStyle w:val="TableText"/>
              <w:ind w:left="376"/>
              <w:spacing w:before="9" w:line="232" w:lineRule="auto"/>
              <w:rPr>
                <w:rFonts w:ascii="SimSun" w:hAnsi="SimSun" w:eastAsia="SimSun" w:cs="SimSun"/>
              </w:rPr>
            </w:pPr>
            <w:r>
              <w:rPr>
                <w:spacing w:val="3"/>
              </w:rPr>
              <w:t>2.39</w:t>
            </w:r>
            <w:r>
              <w:rPr>
                <w:rFonts w:ascii="SimSun" w:hAnsi="SimSun" w:eastAsia="SimSun" w:cs="SimSun"/>
                <w:spacing w:val="3"/>
              </w:rPr>
              <w:t>（</w:t>
            </w:r>
            <w:r>
              <w:rPr>
                <w:spacing w:val="3"/>
              </w:rPr>
              <w:t>68</w:t>
            </w:r>
            <w:r>
              <w:rPr>
                <w:rFonts w:ascii="SimSun" w:hAnsi="SimSun" w:eastAsia="SimSun" w:cs="SimSun"/>
                <w:spacing w:val="3"/>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47" w:line="265" w:lineRule="exact"/>
              <w:rPr/>
            </w:pPr>
            <w:r>
              <w:rPr>
                <w:spacing w:val="4"/>
                <w:position w:val="1"/>
              </w:rPr>
              <w:t>0</w:t>
            </w:r>
            <w:r>
              <w:rPr>
                <w:rFonts w:ascii="SimSun" w:hAnsi="SimSun" w:eastAsia="SimSun" w:cs="SimSun"/>
                <w:spacing w:val="4"/>
                <w:position w:val="1"/>
              </w:rPr>
              <w:t>～</w:t>
            </w:r>
            <w:r>
              <w:rPr>
                <w:spacing w:val="4"/>
                <w:position w:val="1"/>
              </w:rPr>
              <w:t>2.50</w:t>
            </w:r>
          </w:p>
          <w:p>
            <w:pPr>
              <w:pStyle w:val="TableText"/>
              <w:ind w:left="279"/>
              <w:spacing w:before="9" w:line="232" w:lineRule="auto"/>
              <w:rPr/>
            </w:pPr>
            <w:r>
              <w:rPr>
                <w:spacing w:val="4"/>
              </w:rPr>
              <w:t>0</w:t>
            </w:r>
            <w:r>
              <w:rPr>
                <w:rFonts w:ascii="SimSun" w:hAnsi="SimSun" w:eastAsia="SimSun" w:cs="SimSun"/>
                <w:spacing w:val="4"/>
              </w:rPr>
              <w:t>～</w:t>
            </w:r>
            <w:r>
              <w:rPr>
                <w:spacing w:val="4"/>
              </w:rPr>
              <w:t>4</w:t>
            </w:r>
          </w:p>
        </w:tc>
        <w:tc>
          <w:tcPr>
            <w:tcW w:w="1104" w:type="dxa"/>
            <w:vAlign w:val="top"/>
            <w:vMerge w:val="restart"/>
            <w:tcBorders>
              <w:bottom w:val="nil"/>
            </w:tcBorders>
          </w:tcPr>
          <w:p>
            <w:pPr>
              <w:pStyle w:val="TableText"/>
              <w:ind w:left="371"/>
              <w:spacing w:before="222" w:line="195" w:lineRule="auto"/>
              <w:rPr/>
            </w:pPr>
            <w:r>
              <w:rPr>
                <w:spacing w:val="3"/>
              </w:rPr>
              <w:t>7.85</w:t>
            </w:r>
          </w:p>
        </w:tc>
        <w:tc>
          <w:tcPr>
            <w:tcW w:w="1106" w:type="dxa"/>
            <w:vAlign w:val="top"/>
            <w:vMerge w:val="restart"/>
            <w:tcBorders>
              <w:bottom w:val="nil"/>
            </w:tcBorders>
          </w:tcPr>
          <w:p>
            <w:pPr>
              <w:pStyle w:val="TableText"/>
              <w:ind w:left="453"/>
              <w:spacing w:before="222" w:line="195" w:lineRule="auto"/>
              <w:rPr/>
            </w:pPr>
            <w:r>
              <w:rPr/>
              <w:t>33</w:t>
            </w:r>
          </w:p>
        </w:tc>
        <w:tc>
          <w:tcPr>
            <w:tcW w:w="1104" w:type="dxa"/>
            <w:vAlign w:val="top"/>
            <w:vMerge w:val="restart"/>
            <w:tcBorders>
              <w:bottom w:val="nil"/>
            </w:tcBorders>
          </w:tcPr>
          <w:p>
            <w:pPr>
              <w:ind w:left="139"/>
              <w:spacing w:before="184" w:line="227" w:lineRule="auto"/>
              <w:rPr>
                <w:rFonts w:ascii="SimSun" w:hAnsi="SimSun" w:eastAsia="SimSun" w:cs="SimSun"/>
                <w:sz w:val="20"/>
                <w:szCs w:val="20"/>
              </w:rPr>
            </w:pPr>
            <w:r>
              <w:rPr>
                <w:rFonts w:ascii="SimSun" w:hAnsi="SimSun" w:eastAsia="SimSun" w:cs="SimSun"/>
                <w:sz w:val="20"/>
                <w:szCs w:val="20"/>
                <w:spacing w:val="6"/>
              </w:rPr>
              <w:t>大部可采</w:t>
            </w:r>
          </w:p>
        </w:tc>
        <w:tc>
          <w:tcPr>
            <w:tcW w:w="849" w:type="dxa"/>
            <w:vAlign w:val="top"/>
            <w:vMerge w:val="restart"/>
            <w:tcBorders>
              <w:bottom w:val="nil"/>
            </w:tcBorders>
          </w:tcPr>
          <w:p>
            <w:pPr>
              <w:ind w:left="115"/>
              <w:spacing w:before="184"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84"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406"/>
              <w:spacing w:before="50" w:line="264" w:lineRule="exact"/>
              <w:rPr/>
            </w:pPr>
            <w:r>
              <w:rPr>
                <w:spacing w:val="4"/>
                <w:position w:val="1"/>
              </w:rPr>
              <w:t>0.30</w:t>
            </w:r>
            <w:r>
              <w:rPr>
                <w:rFonts w:ascii="SimSun" w:hAnsi="SimSun" w:eastAsia="SimSun" w:cs="SimSun"/>
                <w:spacing w:val="4"/>
                <w:position w:val="1"/>
              </w:rPr>
              <w:t>～</w:t>
            </w:r>
            <w:r>
              <w:rPr>
                <w:spacing w:val="4"/>
                <w:position w:val="1"/>
              </w:rPr>
              <w:t>32.4</w:t>
            </w:r>
          </w:p>
          <w:p>
            <w:pPr>
              <w:pStyle w:val="TableText"/>
              <w:ind w:left="291"/>
              <w:spacing w:before="9" w:line="229" w:lineRule="auto"/>
              <w:rPr>
                <w:rFonts w:ascii="SimSun" w:hAnsi="SimSun" w:eastAsia="SimSun" w:cs="SimSun"/>
              </w:rPr>
            </w:pPr>
            <w:r>
              <w:rPr>
                <w:spacing w:val="2"/>
              </w:rPr>
              <w:t>10.38</w:t>
            </w:r>
            <w:r>
              <w:rPr>
                <w:rFonts w:ascii="SimSun" w:hAnsi="SimSun" w:eastAsia="SimSun" w:cs="SimSun"/>
                <w:spacing w:val="2"/>
              </w:rPr>
              <w:t>（</w:t>
            </w:r>
            <w:r>
              <w:rPr>
                <w:spacing w:val="2"/>
              </w:rPr>
              <w:t>137</w:t>
            </w:r>
            <w:r>
              <w:rPr>
                <w:rFonts w:ascii="SimSun" w:hAnsi="SimSun" w:eastAsia="SimSun" w:cs="SimSun"/>
                <w:spacing w:val="2"/>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7" w:hRule="atLeast"/>
        </w:trPr>
        <w:tc>
          <w:tcPr>
            <w:tcW w:w="914" w:type="dxa"/>
            <w:vAlign w:val="top"/>
            <w:vMerge w:val="restart"/>
            <w:tcBorders>
              <w:bottom w:val="nil"/>
            </w:tcBorders>
          </w:tcPr>
          <w:p>
            <w:pPr>
              <w:pStyle w:val="TableText"/>
              <w:ind w:left="140"/>
              <w:spacing w:before="185" w:line="228" w:lineRule="auto"/>
              <w:rPr>
                <w:rFonts w:ascii="SimSun" w:hAnsi="SimSun" w:eastAsia="SimSun" w:cs="SimSun"/>
              </w:rPr>
            </w:pPr>
            <w:r>
              <w:rPr>
                <w:rFonts w:ascii="SimSun" w:hAnsi="SimSun" w:eastAsia="SimSun" w:cs="SimSun"/>
                <w:spacing w:val="1"/>
              </w:rPr>
              <w:t>二</w:t>
            </w:r>
            <w:r>
              <w:rPr>
                <w:spacing w:val="1"/>
              </w:rPr>
              <w:t>-2</w:t>
            </w:r>
            <w:r>
              <w:rPr>
                <w:spacing w:val="12"/>
                <w:w w:val="101"/>
              </w:rPr>
              <w:t xml:space="preserve"> </w:t>
            </w:r>
            <w:r>
              <w:rPr>
                <w:rFonts w:ascii="SimSun" w:hAnsi="SimSun" w:eastAsia="SimSun" w:cs="SimSun"/>
                <w:spacing w:val="1"/>
              </w:rPr>
              <w:t>煤</w:t>
            </w:r>
          </w:p>
        </w:tc>
        <w:tc>
          <w:tcPr>
            <w:tcW w:w="1883" w:type="dxa"/>
            <w:vAlign w:val="top"/>
            <w:vMerge w:val="restart"/>
            <w:tcBorders>
              <w:bottom w:val="nil"/>
            </w:tcBorders>
          </w:tcPr>
          <w:p>
            <w:pPr>
              <w:pStyle w:val="TableText"/>
              <w:ind w:left="315"/>
              <w:spacing w:before="47" w:line="265" w:lineRule="exact"/>
              <w:rPr/>
            </w:pPr>
            <w:r>
              <w:rPr>
                <w:spacing w:val="4"/>
                <w:position w:val="1"/>
              </w:rPr>
              <w:t>57.05</w:t>
            </w:r>
            <w:r>
              <w:rPr>
                <w:rFonts w:ascii="SimSun" w:hAnsi="SimSun" w:eastAsia="SimSun" w:cs="SimSun"/>
                <w:spacing w:val="4"/>
                <w:position w:val="1"/>
              </w:rPr>
              <w:t>～</w:t>
            </w:r>
            <w:r>
              <w:rPr>
                <w:spacing w:val="4"/>
                <w:position w:val="1"/>
              </w:rPr>
              <w:t>450.60</w:t>
            </w:r>
          </w:p>
          <w:p>
            <w:pPr>
              <w:pStyle w:val="TableText"/>
              <w:ind w:left="282"/>
              <w:spacing w:before="9" w:line="231" w:lineRule="auto"/>
              <w:rPr>
                <w:rFonts w:ascii="SimSun" w:hAnsi="SimSun" w:eastAsia="SimSun" w:cs="SimSun"/>
              </w:rPr>
            </w:pPr>
            <w:r>
              <w:rPr>
                <w:spacing w:val="4"/>
              </w:rPr>
              <w:t>222.10</w:t>
            </w:r>
            <w:r>
              <w:rPr>
                <w:rFonts w:ascii="SimSun" w:hAnsi="SimSun" w:eastAsia="SimSun" w:cs="SimSun"/>
                <w:spacing w:val="4"/>
              </w:rPr>
              <w:t>（</w:t>
            </w:r>
            <w:r>
              <w:rPr>
                <w:spacing w:val="4"/>
              </w:rPr>
              <w:t>161</w:t>
            </w:r>
            <w:r>
              <w:rPr>
                <w:rFonts w:ascii="SimSun" w:hAnsi="SimSun" w:eastAsia="SimSun" w:cs="SimSun"/>
                <w:spacing w:val="4"/>
              </w:rPr>
              <w:t>）</w:t>
            </w:r>
          </w:p>
        </w:tc>
        <w:tc>
          <w:tcPr>
            <w:tcW w:w="1751" w:type="dxa"/>
            <w:vAlign w:val="top"/>
            <w:vMerge w:val="restart"/>
            <w:tcBorders>
              <w:bottom w:val="nil"/>
            </w:tcBorders>
          </w:tcPr>
          <w:p>
            <w:pPr>
              <w:pStyle w:val="TableText"/>
              <w:ind w:left="356"/>
              <w:spacing w:before="47" w:line="265" w:lineRule="exact"/>
              <w:rPr/>
            </w:pPr>
            <w:r>
              <w:rPr>
                <w:spacing w:val="3"/>
                <w:position w:val="1"/>
              </w:rPr>
              <w:t>0.25</w:t>
            </w:r>
            <w:r>
              <w:rPr>
                <w:rFonts w:ascii="SimSun" w:hAnsi="SimSun" w:eastAsia="SimSun" w:cs="SimSun"/>
                <w:spacing w:val="3"/>
                <w:position w:val="1"/>
              </w:rPr>
              <w:t>～</w:t>
            </w:r>
            <w:r>
              <w:rPr>
                <w:spacing w:val="3"/>
                <w:position w:val="1"/>
              </w:rPr>
              <w:t>11.34</w:t>
            </w:r>
          </w:p>
          <w:p>
            <w:pPr>
              <w:pStyle w:val="TableText"/>
              <w:ind w:left="326"/>
              <w:spacing w:before="9" w:line="231" w:lineRule="auto"/>
              <w:rPr>
                <w:rFonts w:ascii="SimSun" w:hAnsi="SimSun" w:eastAsia="SimSun" w:cs="SimSun"/>
              </w:rPr>
            </w:pPr>
            <w:r>
              <w:rPr>
                <w:spacing w:val="3"/>
              </w:rPr>
              <w:t>3.36</w:t>
            </w:r>
            <w:r>
              <w:rPr>
                <w:rFonts w:ascii="SimSun" w:hAnsi="SimSun" w:eastAsia="SimSun" w:cs="SimSun"/>
                <w:spacing w:val="3"/>
              </w:rPr>
              <w:t>（</w:t>
            </w:r>
            <w:r>
              <w:rPr>
                <w:spacing w:val="3"/>
              </w:rPr>
              <w:t>161</w:t>
            </w:r>
            <w:r>
              <w:rPr>
                <w:rFonts w:ascii="SimSun" w:hAnsi="SimSun" w:eastAsia="SimSun" w:cs="SimSun"/>
                <w:spacing w:val="3"/>
              </w:rPr>
              <w:t>）</w:t>
            </w:r>
          </w:p>
        </w:tc>
        <w:tc>
          <w:tcPr>
            <w:tcW w:w="1751" w:type="dxa"/>
            <w:vAlign w:val="top"/>
            <w:vMerge w:val="restart"/>
            <w:tcBorders>
              <w:bottom w:val="nil"/>
            </w:tcBorders>
          </w:tcPr>
          <w:p>
            <w:pPr>
              <w:pStyle w:val="TableText"/>
              <w:ind w:left="374"/>
              <w:spacing w:before="47" w:line="265" w:lineRule="exact"/>
              <w:rPr/>
            </w:pPr>
            <w:r>
              <w:rPr>
                <w:spacing w:val="1"/>
                <w:position w:val="1"/>
              </w:rPr>
              <w:t>1.52</w:t>
            </w:r>
            <w:r>
              <w:rPr>
                <w:rFonts w:ascii="SimSun" w:hAnsi="SimSun" w:eastAsia="SimSun" w:cs="SimSun"/>
                <w:spacing w:val="1"/>
                <w:position w:val="1"/>
              </w:rPr>
              <w:t>～</w:t>
            </w:r>
            <w:r>
              <w:rPr>
                <w:spacing w:val="1"/>
                <w:position w:val="1"/>
              </w:rPr>
              <w:t>11.34</w:t>
            </w:r>
          </w:p>
          <w:p>
            <w:pPr>
              <w:pStyle w:val="TableText"/>
              <w:ind w:left="381"/>
              <w:spacing w:before="9" w:line="231" w:lineRule="auto"/>
              <w:rPr>
                <w:rFonts w:ascii="SimSun" w:hAnsi="SimSun" w:eastAsia="SimSun" w:cs="SimSun"/>
              </w:rPr>
            </w:pPr>
            <w:r>
              <w:rPr>
                <w:spacing w:val="3"/>
              </w:rPr>
              <w:t>5.58</w:t>
            </w:r>
            <w:r>
              <w:rPr>
                <w:rFonts w:ascii="SimSun" w:hAnsi="SimSun" w:eastAsia="SimSun" w:cs="SimSun"/>
                <w:spacing w:val="3"/>
              </w:rPr>
              <w:t>（</w:t>
            </w:r>
            <w:r>
              <w:rPr>
                <w:spacing w:val="3"/>
              </w:rPr>
              <w:t>86</w:t>
            </w:r>
            <w:r>
              <w:rPr>
                <w:rFonts w:ascii="SimSun" w:hAnsi="SimSun" w:eastAsia="SimSun" w:cs="SimSun"/>
                <w:spacing w:val="3"/>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47" w:line="265" w:lineRule="exact"/>
              <w:rPr/>
            </w:pPr>
            <w:r>
              <w:rPr>
                <w:spacing w:val="4"/>
                <w:position w:val="1"/>
              </w:rPr>
              <w:t>0</w:t>
            </w:r>
            <w:r>
              <w:rPr>
                <w:rFonts w:ascii="SimSun" w:hAnsi="SimSun" w:eastAsia="SimSun" w:cs="SimSun"/>
                <w:spacing w:val="4"/>
                <w:position w:val="1"/>
              </w:rPr>
              <w:t>～</w:t>
            </w:r>
            <w:r>
              <w:rPr>
                <w:spacing w:val="4"/>
                <w:position w:val="1"/>
              </w:rPr>
              <w:t>2.85</w:t>
            </w:r>
          </w:p>
          <w:p>
            <w:pPr>
              <w:pStyle w:val="TableText"/>
              <w:ind w:left="279"/>
              <w:spacing w:before="9" w:line="231" w:lineRule="auto"/>
              <w:rPr/>
            </w:pPr>
            <w:r>
              <w:rPr>
                <w:spacing w:val="4"/>
              </w:rPr>
              <w:t>0</w:t>
            </w:r>
            <w:r>
              <w:rPr>
                <w:rFonts w:ascii="SimSun" w:hAnsi="SimSun" w:eastAsia="SimSun" w:cs="SimSun"/>
                <w:spacing w:val="4"/>
              </w:rPr>
              <w:t>～</w:t>
            </w:r>
            <w:r>
              <w:rPr>
                <w:spacing w:val="4"/>
              </w:rPr>
              <w:t>6</w:t>
            </w:r>
          </w:p>
        </w:tc>
        <w:tc>
          <w:tcPr>
            <w:tcW w:w="1104" w:type="dxa"/>
            <w:vAlign w:val="top"/>
            <w:vMerge w:val="restart"/>
            <w:tcBorders>
              <w:bottom w:val="nil"/>
            </w:tcBorders>
          </w:tcPr>
          <w:p>
            <w:pPr>
              <w:pStyle w:val="TableText"/>
              <w:ind w:left="337"/>
              <w:spacing w:before="222" w:line="195" w:lineRule="auto"/>
              <w:rPr/>
            </w:pPr>
            <w:r>
              <w:rPr>
                <w:spacing w:val="-1"/>
              </w:rPr>
              <w:t>13.59</w:t>
            </w:r>
          </w:p>
        </w:tc>
        <w:tc>
          <w:tcPr>
            <w:tcW w:w="1106" w:type="dxa"/>
            <w:vAlign w:val="top"/>
            <w:vMerge w:val="restart"/>
            <w:tcBorders>
              <w:bottom w:val="nil"/>
            </w:tcBorders>
          </w:tcPr>
          <w:p>
            <w:pPr>
              <w:pStyle w:val="TableText"/>
              <w:ind w:left="455"/>
              <w:spacing w:before="225" w:line="192" w:lineRule="auto"/>
              <w:rPr/>
            </w:pPr>
            <w:r>
              <w:rPr/>
              <w:t>57</w:t>
            </w:r>
          </w:p>
        </w:tc>
        <w:tc>
          <w:tcPr>
            <w:tcW w:w="1104" w:type="dxa"/>
            <w:vAlign w:val="top"/>
            <w:vMerge w:val="restart"/>
            <w:tcBorders>
              <w:bottom w:val="nil"/>
            </w:tcBorders>
          </w:tcPr>
          <w:p>
            <w:pPr>
              <w:ind w:left="139"/>
              <w:spacing w:before="184" w:line="227" w:lineRule="auto"/>
              <w:rPr>
                <w:rFonts w:ascii="SimSun" w:hAnsi="SimSun" w:eastAsia="SimSun" w:cs="SimSun"/>
                <w:sz w:val="20"/>
                <w:szCs w:val="20"/>
              </w:rPr>
            </w:pPr>
            <w:r>
              <w:rPr>
                <w:rFonts w:ascii="SimSun" w:hAnsi="SimSun" w:eastAsia="SimSun" w:cs="SimSun"/>
                <w:sz w:val="20"/>
                <w:szCs w:val="20"/>
                <w:spacing w:val="6"/>
              </w:rPr>
              <w:t>大部可采</w:t>
            </w:r>
          </w:p>
        </w:tc>
        <w:tc>
          <w:tcPr>
            <w:tcW w:w="849" w:type="dxa"/>
            <w:vAlign w:val="top"/>
            <w:vMerge w:val="restart"/>
            <w:tcBorders>
              <w:bottom w:val="nil"/>
            </w:tcBorders>
          </w:tcPr>
          <w:p>
            <w:pPr>
              <w:ind w:left="115"/>
              <w:spacing w:before="184"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84"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350"/>
              <w:spacing w:before="51" w:line="264" w:lineRule="exact"/>
              <w:rPr/>
            </w:pPr>
            <w:r>
              <w:rPr>
                <w:spacing w:val="4"/>
                <w:position w:val="1"/>
              </w:rPr>
              <w:t>2.90</w:t>
            </w:r>
            <w:r>
              <w:rPr>
                <w:rFonts w:ascii="SimSun" w:hAnsi="SimSun" w:eastAsia="SimSun" w:cs="SimSun"/>
                <w:spacing w:val="4"/>
                <w:position w:val="1"/>
              </w:rPr>
              <w:t>～</w:t>
            </w:r>
            <w:r>
              <w:rPr>
                <w:spacing w:val="4"/>
                <w:position w:val="1"/>
              </w:rPr>
              <w:t>30.90</w:t>
            </w:r>
          </w:p>
          <w:p>
            <w:pPr>
              <w:pStyle w:val="TableText"/>
              <w:ind w:left="296"/>
              <w:spacing w:before="9" w:line="229" w:lineRule="auto"/>
              <w:rPr>
                <w:rFonts w:ascii="SimSun" w:hAnsi="SimSun" w:eastAsia="SimSun" w:cs="SimSun"/>
              </w:rPr>
            </w:pPr>
            <w:r>
              <w:rPr>
                <w:spacing w:val="1"/>
              </w:rPr>
              <w:t>11.60</w:t>
            </w:r>
            <w:r>
              <w:rPr>
                <w:rFonts w:ascii="SimSun" w:hAnsi="SimSun" w:eastAsia="SimSun" w:cs="SimSun"/>
                <w:spacing w:val="1"/>
              </w:rPr>
              <w:t>（</w:t>
            </w:r>
            <w:r>
              <w:rPr>
                <w:spacing w:val="1"/>
              </w:rPr>
              <w:t>153</w:t>
            </w:r>
            <w:r>
              <w:rPr>
                <w:rFonts w:ascii="SimSun" w:hAnsi="SimSun" w:eastAsia="SimSun" w:cs="SimSun"/>
                <w:spacing w:val="1"/>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8" w:hRule="atLeast"/>
        </w:trPr>
        <w:tc>
          <w:tcPr>
            <w:tcW w:w="914" w:type="dxa"/>
            <w:vAlign w:val="top"/>
            <w:vMerge w:val="restart"/>
            <w:tcBorders>
              <w:bottom w:val="nil"/>
            </w:tcBorders>
          </w:tcPr>
          <w:p>
            <w:pPr>
              <w:pStyle w:val="TableText"/>
              <w:ind w:left="140"/>
              <w:spacing w:before="186" w:line="228" w:lineRule="auto"/>
              <w:rPr>
                <w:rFonts w:ascii="SimSun" w:hAnsi="SimSun" w:eastAsia="SimSun" w:cs="SimSun"/>
              </w:rPr>
            </w:pPr>
            <w:r>
              <w:rPr>
                <w:rFonts w:ascii="SimSun" w:hAnsi="SimSun" w:eastAsia="SimSun" w:cs="SimSun"/>
                <w:spacing w:val="1"/>
              </w:rPr>
              <w:t>二</w:t>
            </w:r>
            <w:r>
              <w:rPr>
                <w:spacing w:val="1"/>
              </w:rPr>
              <w:t>-3</w:t>
            </w:r>
            <w:r>
              <w:rPr>
                <w:spacing w:val="12"/>
                <w:w w:val="101"/>
              </w:rPr>
              <w:t xml:space="preserve"> </w:t>
            </w:r>
            <w:r>
              <w:rPr>
                <w:rFonts w:ascii="SimSun" w:hAnsi="SimSun" w:eastAsia="SimSun" w:cs="SimSun"/>
                <w:spacing w:val="1"/>
              </w:rPr>
              <w:t>煤</w:t>
            </w:r>
          </w:p>
        </w:tc>
        <w:tc>
          <w:tcPr>
            <w:tcW w:w="1883" w:type="dxa"/>
            <w:vAlign w:val="top"/>
            <w:vMerge w:val="restart"/>
            <w:tcBorders>
              <w:bottom w:val="nil"/>
            </w:tcBorders>
          </w:tcPr>
          <w:p>
            <w:pPr>
              <w:pStyle w:val="TableText"/>
              <w:ind w:left="312"/>
              <w:spacing w:before="48" w:line="265" w:lineRule="exact"/>
              <w:rPr/>
            </w:pPr>
            <w:r>
              <w:rPr>
                <w:spacing w:val="4"/>
                <w:position w:val="1"/>
              </w:rPr>
              <w:t>71.75</w:t>
            </w:r>
            <w:r>
              <w:rPr>
                <w:rFonts w:ascii="SimSun" w:hAnsi="SimSun" w:eastAsia="SimSun" w:cs="SimSun"/>
                <w:spacing w:val="4"/>
                <w:position w:val="1"/>
              </w:rPr>
              <w:t>～</w:t>
            </w:r>
            <w:r>
              <w:rPr>
                <w:spacing w:val="4"/>
                <w:position w:val="1"/>
              </w:rPr>
              <w:t>458.90</w:t>
            </w:r>
          </w:p>
          <w:p>
            <w:pPr>
              <w:pStyle w:val="TableText"/>
              <w:ind w:left="303"/>
              <w:spacing w:before="9" w:line="231" w:lineRule="auto"/>
              <w:rPr>
                <w:rFonts w:ascii="SimSun" w:hAnsi="SimSun" w:eastAsia="SimSun" w:cs="SimSun"/>
              </w:rPr>
            </w:pPr>
            <w:r>
              <w:rPr>
                <w:spacing w:val="2"/>
              </w:rPr>
              <w:t>168.00</w:t>
            </w:r>
            <w:r>
              <w:rPr>
                <w:rFonts w:ascii="SimSun" w:hAnsi="SimSun" w:eastAsia="SimSun" w:cs="SimSun"/>
                <w:spacing w:val="2"/>
              </w:rPr>
              <w:t>（</w:t>
            </w:r>
            <w:r>
              <w:rPr>
                <w:spacing w:val="2"/>
              </w:rPr>
              <w:t>144</w:t>
            </w:r>
            <w:r>
              <w:rPr>
                <w:rFonts w:ascii="SimSun" w:hAnsi="SimSun" w:eastAsia="SimSun" w:cs="SimSun"/>
                <w:spacing w:val="2"/>
              </w:rPr>
              <w:t>）</w:t>
            </w:r>
          </w:p>
        </w:tc>
        <w:tc>
          <w:tcPr>
            <w:tcW w:w="1751" w:type="dxa"/>
            <w:vAlign w:val="top"/>
            <w:vMerge w:val="restart"/>
            <w:tcBorders>
              <w:bottom w:val="nil"/>
            </w:tcBorders>
          </w:tcPr>
          <w:p>
            <w:pPr>
              <w:pStyle w:val="TableText"/>
              <w:ind w:left="404"/>
              <w:spacing w:before="48" w:line="265" w:lineRule="exact"/>
              <w:rPr/>
            </w:pPr>
            <w:r>
              <w:rPr>
                <w:spacing w:val="1"/>
                <w:position w:val="1"/>
              </w:rPr>
              <w:t>0.</w:t>
            </w:r>
            <w:r>
              <w:rPr>
                <w:spacing w:val="-24"/>
                <w:position w:val="1"/>
              </w:rPr>
              <w:t xml:space="preserve"> </w:t>
            </w:r>
            <w:r>
              <w:rPr>
                <w:spacing w:val="1"/>
                <w:position w:val="1"/>
              </w:rPr>
              <w:t>18</w:t>
            </w:r>
            <w:r>
              <w:rPr>
                <w:rFonts w:ascii="SimSun" w:hAnsi="SimSun" w:eastAsia="SimSun" w:cs="SimSun"/>
                <w:spacing w:val="1"/>
                <w:position w:val="1"/>
              </w:rPr>
              <w:t>～</w:t>
            </w:r>
            <w:r>
              <w:rPr>
                <w:spacing w:val="1"/>
                <w:position w:val="1"/>
              </w:rPr>
              <w:t>2.95</w:t>
            </w:r>
          </w:p>
          <w:p>
            <w:pPr>
              <w:pStyle w:val="TableText"/>
              <w:ind w:left="342"/>
              <w:spacing w:before="9" w:line="231" w:lineRule="auto"/>
              <w:rPr>
                <w:rFonts w:ascii="SimSun" w:hAnsi="SimSun" w:eastAsia="SimSun" w:cs="SimSun"/>
              </w:rPr>
            </w:pPr>
            <w:r>
              <w:rPr>
                <w:spacing w:val="1"/>
              </w:rPr>
              <w:t>1.02</w:t>
            </w:r>
            <w:r>
              <w:rPr>
                <w:rFonts w:ascii="SimSun" w:hAnsi="SimSun" w:eastAsia="SimSun" w:cs="SimSun"/>
                <w:spacing w:val="1"/>
              </w:rPr>
              <w:t>（</w:t>
            </w:r>
            <w:r>
              <w:rPr>
                <w:spacing w:val="1"/>
              </w:rPr>
              <w:t>144</w:t>
            </w:r>
            <w:r>
              <w:rPr>
                <w:rFonts w:ascii="SimSun" w:hAnsi="SimSun" w:eastAsia="SimSun" w:cs="SimSun"/>
                <w:spacing w:val="1"/>
              </w:rPr>
              <w:t>）</w:t>
            </w:r>
          </w:p>
        </w:tc>
        <w:tc>
          <w:tcPr>
            <w:tcW w:w="1751" w:type="dxa"/>
            <w:vAlign w:val="top"/>
            <w:vMerge w:val="restart"/>
            <w:tcBorders>
              <w:bottom w:val="nil"/>
            </w:tcBorders>
          </w:tcPr>
          <w:p>
            <w:pPr>
              <w:pStyle w:val="TableText"/>
              <w:ind w:left="422"/>
              <w:spacing w:before="48" w:line="265" w:lineRule="exact"/>
              <w:rPr/>
            </w:pPr>
            <w:r>
              <w:rPr>
                <w:spacing w:val="2"/>
                <w:position w:val="1"/>
              </w:rPr>
              <w:t>1.50</w:t>
            </w:r>
            <w:r>
              <w:rPr>
                <w:rFonts w:ascii="SimSun" w:hAnsi="SimSun" w:eastAsia="SimSun" w:cs="SimSun"/>
                <w:spacing w:val="2"/>
                <w:position w:val="1"/>
              </w:rPr>
              <w:t>～</w:t>
            </w:r>
            <w:r>
              <w:rPr>
                <w:spacing w:val="2"/>
                <w:position w:val="1"/>
              </w:rPr>
              <w:t>2.95</w:t>
            </w:r>
          </w:p>
          <w:p>
            <w:pPr>
              <w:pStyle w:val="TableText"/>
              <w:ind w:left="376"/>
              <w:spacing w:before="9" w:line="231" w:lineRule="auto"/>
              <w:rPr>
                <w:rFonts w:ascii="SimSun" w:hAnsi="SimSun" w:eastAsia="SimSun" w:cs="SimSun"/>
              </w:rPr>
            </w:pPr>
            <w:r>
              <w:rPr>
                <w:spacing w:val="3"/>
              </w:rPr>
              <w:t>2.05</w:t>
            </w:r>
            <w:r>
              <w:rPr>
                <w:rFonts w:ascii="SimSun" w:hAnsi="SimSun" w:eastAsia="SimSun" w:cs="SimSun"/>
                <w:spacing w:val="3"/>
              </w:rPr>
              <w:t>（</w:t>
            </w:r>
            <w:r>
              <w:rPr>
                <w:spacing w:val="3"/>
              </w:rPr>
              <w:t>39</w:t>
            </w:r>
            <w:r>
              <w:rPr>
                <w:rFonts w:ascii="SimSun" w:hAnsi="SimSun" w:eastAsia="SimSun" w:cs="SimSun"/>
                <w:spacing w:val="3"/>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48" w:line="265" w:lineRule="exact"/>
              <w:rPr/>
            </w:pPr>
            <w:r>
              <w:rPr>
                <w:spacing w:val="4"/>
                <w:position w:val="1"/>
              </w:rPr>
              <w:t>0</w:t>
            </w:r>
            <w:r>
              <w:rPr>
                <w:rFonts w:ascii="SimSun" w:hAnsi="SimSun" w:eastAsia="SimSun" w:cs="SimSun"/>
                <w:spacing w:val="4"/>
                <w:position w:val="1"/>
              </w:rPr>
              <w:t>～</w:t>
            </w:r>
            <w:r>
              <w:rPr>
                <w:spacing w:val="4"/>
                <w:position w:val="1"/>
              </w:rPr>
              <w:t>1.65</w:t>
            </w:r>
          </w:p>
          <w:p>
            <w:pPr>
              <w:pStyle w:val="TableText"/>
              <w:ind w:left="279"/>
              <w:spacing w:before="9" w:line="231" w:lineRule="auto"/>
              <w:rPr/>
            </w:pPr>
            <w:r>
              <w:rPr>
                <w:spacing w:val="4"/>
              </w:rPr>
              <w:t>0</w:t>
            </w:r>
            <w:r>
              <w:rPr>
                <w:rFonts w:ascii="SimSun" w:hAnsi="SimSun" w:eastAsia="SimSun" w:cs="SimSun"/>
                <w:spacing w:val="4"/>
              </w:rPr>
              <w:t>～</w:t>
            </w:r>
            <w:r>
              <w:rPr>
                <w:spacing w:val="4"/>
              </w:rPr>
              <w:t>1</w:t>
            </w:r>
          </w:p>
        </w:tc>
        <w:tc>
          <w:tcPr>
            <w:tcW w:w="1104" w:type="dxa"/>
            <w:vAlign w:val="top"/>
            <w:vMerge w:val="restart"/>
            <w:tcBorders>
              <w:bottom w:val="nil"/>
            </w:tcBorders>
          </w:tcPr>
          <w:p>
            <w:pPr>
              <w:pStyle w:val="TableText"/>
              <w:ind w:left="367"/>
              <w:spacing w:before="223" w:line="195" w:lineRule="auto"/>
              <w:rPr/>
            </w:pPr>
            <w:r>
              <w:rPr>
                <w:spacing w:val="4"/>
              </w:rPr>
              <w:t>2.88</w:t>
            </w:r>
          </w:p>
        </w:tc>
        <w:tc>
          <w:tcPr>
            <w:tcW w:w="1106" w:type="dxa"/>
            <w:vAlign w:val="top"/>
            <w:vMerge w:val="restart"/>
            <w:tcBorders>
              <w:bottom w:val="nil"/>
            </w:tcBorders>
          </w:tcPr>
          <w:p>
            <w:pPr>
              <w:pStyle w:val="TableText"/>
              <w:ind w:left="469"/>
              <w:spacing w:before="224" w:line="195" w:lineRule="auto"/>
              <w:rPr/>
            </w:pPr>
            <w:r>
              <w:rPr>
                <w:spacing w:val="-8"/>
              </w:rPr>
              <w:t>12</w:t>
            </w:r>
          </w:p>
        </w:tc>
        <w:tc>
          <w:tcPr>
            <w:tcW w:w="1104" w:type="dxa"/>
            <w:vAlign w:val="top"/>
            <w:vMerge w:val="restart"/>
            <w:tcBorders>
              <w:bottom w:val="nil"/>
            </w:tcBorders>
          </w:tcPr>
          <w:p>
            <w:pPr>
              <w:ind w:left="139"/>
              <w:spacing w:before="185" w:line="227" w:lineRule="auto"/>
              <w:rPr>
                <w:rFonts w:ascii="SimSun" w:hAnsi="SimSun" w:eastAsia="SimSun" w:cs="SimSun"/>
                <w:sz w:val="20"/>
                <w:szCs w:val="20"/>
              </w:rPr>
            </w:pPr>
            <w:r>
              <w:rPr>
                <w:rFonts w:ascii="SimSun" w:hAnsi="SimSun" w:eastAsia="SimSun" w:cs="SimSun"/>
                <w:sz w:val="20"/>
                <w:szCs w:val="20"/>
                <w:spacing w:val="6"/>
              </w:rPr>
              <w:t>局部可采</w:t>
            </w:r>
          </w:p>
        </w:tc>
        <w:tc>
          <w:tcPr>
            <w:tcW w:w="849" w:type="dxa"/>
            <w:vAlign w:val="top"/>
            <w:vMerge w:val="restart"/>
            <w:tcBorders>
              <w:bottom w:val="nil"/>
            </w:tcBorders>
          </w:tcPr>
          <w:p>
            <w:pPr>
              <w:ind w:left="115"/>
              <w:spacing w:before="185" w:line="228" w:lineRule="auto"/>
              <w:rPr>
                <w:rFonts w:ascii="SimSun" w:hAnsi="SimSun" w:eastAsia="SimSun" w:cs="SimSun"/>
                <w:sz w:val="20"/>
                <w:szCs w:val="20"/>
              </w:rPr>
            </w:pPr>
            <w:r>
              <w:rPr>
                <w:rFonts w:ascii="SimSun" w:hAnsi="SimSun" w:eastAsia="SimSun" w:cs="SimSun"/>
                <w:sz w:val="20"/>
                <w:szCs w:val="20"/>
                <w:spacing w:val="6"/>
              </w:rPr>
              <w:t>较稳定</w:t>
            </w:r>
          </w:p>
        </w:tc>
        <w:tc>
          <w:tcPr>
            <w:tcW w:w="590" w:type="dxa"/>
            <w:vAlign w:val="top"/>
            <w:vMerge w:val="restart"/>
            <w:tcBorders>
              <w:bottom w:val="nil"/>
            </w:tcBorders>
          </w:tcPr>
          <w:p>
            <w:pPr>
              <w:ind w:left="91"/>
              <w:spacing w:before="185"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290"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vMerge w:val="restart"/>
            <w:tcBorders>
              <w:bottom w:val="nil"/>
            </w:tcBorders>
          </w:tcPr>
          <w:p>
            <w:pPr>
              <w:pStyle w:val="TableText"/>
              <w:ind w:left="297"/>
              <w:spacing w:before="51" w:line="264" w:lineRule="exact"/>
              <w:rPr/>
            </w:pPr>
            <w:r>
              <w:rPr>
                <w:spacing w:val="4"/>
                <w:position w:val="1"/>
              </w:rPr>
              <w:t>25.33</w:t>
            </w:r>
            <w:r>
              <w:rPr>
                <w:rFonts w:ascii="SimSun" w:hAnsi="SimSun" w:eastAsia="SimSun" w:cs="SimSun"/>
                <w:spacing w:val="4"/>
                <w:position w:val="1"/>
              </w:rPr>
              <w:t>～</w:t>
            </w:r>
            <w:r>
              <w:rPr>
                <w:spacing w:val="4"/>
                <w:position w:val="1"/>
              </w:rPr>
              <w:t>64.88</w:t>
            </w:r>
          </w:p>
          <w:p>
            <w:pPr>
              <w:pStyle w:val="TableText"/>
              <w:ind w:left="270"/>
              <w:spacing w:before="9" w:line="229" w:lineRule="auto"/>
              <w:rPr>
                <w:rFonts w:ascii="SimSun" w:hAnsi="SimSun" w:eastAsia="SimSun" w:cs="SimSun"/>
              </w:rPr>
            </w:pPr>
            <w:r>
              <w:rPr>
                <w:spacing w:val="4"/>
              </w:rPr>
              <w:t>40.54</w:t>
            </w:r>
            <w:r>
              <w:rPr>
                <w:rFonts w:ascii="SimSun" w:hAnsi="SimSun" w:eastAsia="SimSun" w:cs="SimSun"/>
                <w:spacing w:val="4"/>
              </w:rPr>
              <w:t>（</w:t>
            </w:r>
            <w:r>
              <w:rPr>
                <w:spacing w:val="4"/>
              </w:rPr>
              <w:t>121</w:t>
            </w:r>
            <w:r>
              <w:rPr>
                <w:rFonts w:ascii="SimSun" w:hAnsi="SimSun" w:eastAsia="SimSun" w:cs="SimSun"/>
                <w:spacing w:val="4"/>
              </w:rPr>
              <w:t>）</w:t>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r>
        <w:trPr>
          <w:trHeight w:val="288" w:hRule="atLeast"/>
        </w:trPr>
        <w:tc>
          <w:tcPr>
            <w:tcW w:w="914" w:type="dxa"/>
            <w:vAlign w:val="top"/>
            <w:vMerge w:val="restart"/>
            <w:tcBorders>
              <w:bottom w:val="nil"/>
            </w:tcBorders>
          </w:tcPr>
          <w:p>
            <w:pPr>
              <w:ind w:left="250"/>
              <w:spacing w:before="265" w:line="228" w:lineRule="auto"/>
              <w:rPr>
                <w:rFonts w:ascii="SimSun" w:hAnsi="SimSun" w:eastAsia="SimSun" w:cs="SimSun"/>
                <w:sz w:val="20"/>
                <w:szCs w:val="20"/>
              </w:rPr>
            </w:pPr>
            <w:r>
              <w:rPr>
                <w:rFonts w:ascii="SimSun" w:hAnsi="SimSun" w:eastAsia="SimSun" w:cs="SimSun"/>
                <w:sz w:val="20"/>
                <w:szCs w:val="20"/>
                <w:spacing w:val="4"/>
              </w:rPr>
              <w:t>三煤</w:t>
            </w:r>
          </w:p>
        </w:tc>
        <w:tc>
          <w:tcPr>
            <w:tcW w:w="1883" w:type="dxa"/>
            <w:vAlign w:val="top"/>
            <w:vMerge w:val="restart"/>
            <w:tcBorders>
              <w:bottom w:val="nil"/>
            </w:tcBorders>
          </w:tcPr>
          <w:p>
            <w:pPr>
              <w:pStyle w:val="TableText"/>
              <w:ind w:left="282" w:right="263" w:hanging="1"/>
              <w:spacing w:before="128" w:line="246" w:lineRule="auto"/>
              <w:rPr>
                <w:rFonts w:ascii="SimSun" w:hAnsi="SimSun" w:eastAsia="SimSun" w:cs="SimSun"/>
              </w:rPr>
            </w:pPr>
            <w:r>
              <w:rPr>
                <w:spacing w:val="2"/>
              </w:rPr>
              <w:t>113.80</w:t>
            </w:r>
            <w:r>
              <w:rPr>
                <w:rFonts w:ascii="SimSun" w:hAnsi="SimSun" w:eastAsia="SimSun" w:cs="SimSun"/>
                <w:spacing w:val="2"/>
              </w:rPr>
              <w:t>～</w:t>
            </w:r>
            <w:r>
              <w:rPr>
                <w:spacing w:val="2"/>
              </w:rPr>
              <w:t>483.95</w:t>
            </w:r>
            <w:r>
              <w:rPr>
                <w:spacing w:val="5"/>
              </w:rPr>
              <w:t xml:space="preserve"> </w:t>
            </w:r>
            <w:r>
              <w:rPr>
                <w:spacing w:val="4"/>
              </w:rPr>
              <w:t>263.42</w:t>
            </w:r>
            <w:r>
              <w:rPr>
                <w:rFonts w:ascii="SimSun" w:hAnsi="SimSun" w:eastAsia="SimSun" w:cs="SimSun"/>
                <w:spacing w:val="4"/>
              </w:rPr>
              <w:t>（</w:t>
            </w:r>
            <w:r>
              <w:rPr>
                <w:spacing w:val="4"/>
              </w:rPr>
              <w:t>135</w:t>
            </w:r>
            <w:r>
              <w:rPr>
                <w:rFonts w:ascii="SimSun" w:hAnsi="SimSun" w:eastAsia="SimSun" w:cs="SimSun"/>
                <w:spacing w:val="4"/>
              </w:rPr>
              <w:t>）</w:t>
            </w:r>
          </w:p>
        </w:tc>
        <w:tc>
          <w:tcPr>
            <w:tcW w:w="1751" w:type="dxa"/>
            <w:vAlign w:val="top"/>
            <w:vMerge w:val="restart"/>
            <w:tcBorders>
              <w:bottom w:val="nil"/>
            </w:tcBorders>
          </w:tcPr>
          <w:p>
            <w:pPr>
              <w:pStyle w:val="TableText"/>
              <w:ind w:left="404"/>
              <w:spacing w:before="128" w:line="264" w:lineRule="exact"/>
              <w:rPr/>
            </w:pPr>
            <w:r>
              <w:rPr>
                <w:spacing w:val="4"/>
                <w:position w:val="1"/>
              </w:rPr>
              <w:t>0.25</w:t>
            </w:r>
            <w:r>
              <w:rPr>
                <w:rFonts w:ascii="SimSun" w:hAnsi="SimSun" w:eastAsia="SimSun" w:cs="SimSun"/>
                <w:spacing w:val="4"/>
                <w:position w:val="1"/>
              </w:rPr>
              <w:t>～</w:t>
            </w:r>
            <w:r>
              <w:rPr>
                <w:spacing w:val="4"/>
                <w:position w:val="1"/>
              </w:rPr>
              <w:t>5.00</w:t>
            </w:r>
          </w:p>
          <w:p>
            <w:pPr>
              <w:pStyle w:val="TableText"/>
              <w:ind w:left="342"/>
              <w:spacing w:before="9"/>
              <w:rPr>
                <w:rFonts w:ascii="SimSun" w:hAnsi="SimSun" w:eastAsia="SimSun" w:cs="SimSun"/>
              </w:rPr>
            </w:pPr>
            <w:r>
              <w:rPr>
                <w:spacing w:val="1"/>
              </w:rPr>
              <w:t>1.76</w:t>
            </w:r>
            <w:r>
              <w:rPr>
                <w:rFonts w:ascii="SimSun" w:hAnsi="SimSun" w:eastAsia="SimSun" w:cs="SimSun"/>
                <w:spacing w:val="1"/>
              </w:rPr>
              <w:t>（</w:t>
            </w:r>
            <w:r>
              <w:rPr>
                <w:spacing w:val="1"/>
              </w:rPr>
              <w:t>135</w:t>
            </w:r>
            <w:r>
              <w:rPr>
                <w:rFonts w:ascii="SimSun" w:hAnsi="SimSun" w:eastAsia="SimSun" w:cs="SimSun"/>
                <w:spacing w:val="1"/>
              </w:rPr>
              <w:t>）</w:t>
            </w:r>
          </w:p>
        </w:tc>
        <w:tc>
          <w:tcPr>
            <w:tcW w:w="1751" w:type="dxa"/>
            <w:vAlign w:val="top"/>
            <w:vMerge w:val="restart"/>
            <w:tcBorders>
              <w:bottom w:val="nil"/>
            </w:tcBorders>
          </w:tcPr>
          <w:p>
            <w:pPr>
              <w:pStyle w:val="TableText"/>
              <w:ind w:left="422"/>
              <w:spacing w:before="128" w:line="264" w:lineRule="exact"/>
              <w:rPr/>
            </w:pPr>
            <w:r>
              <w:rPr>
                <w:spacing w:val="2"/>
                <w:position w:val="1"/>
              </w:rPr>
              <w:t>1.50</w:t>
            </w:r>
            <w:r>
              <w:rPr>
                <w:rFonts w:ascii="SimSun" w:hAnsi="SimSun" w:eastAsia="SimSun" w:cs="SimSun"/>
                <w:spacing w:val="2"/>
                <w:position w:val="1"/>
              </w:rPr>
              <w:t>～</w:t>
            </w:r>
            <w:r>
              <w:rPr>
                <w:spacing w:val="2"/>
                <w:position w:val="1"/>
              </w:rPr>
              <w:t>5.00</w:t>
            </w:r>
          </w:p>
          <w:p>
            <w:pPr>
              <w:pStyle w:val="TableText"/>
              <w:ind w:left="343"/>
              <w:spacing w:before="9"/>
              <w:rPr>
                <w:rFonts w:ascii="SimSun" w:hAnsi="SimSun" w:eastAsia="SimSun" w:cs="SimSun"/>
              </w:rPr>
            </w:pPr>
            <w:r>
              <w:rPr>
                <w:spacing w:val="1"/>
              </w:rPr>
              <w:t>1.92</w:t>
            </w:r>
            <w:r>
              <w:rPr>
                <w:rFonts w:ascii="SimSun" w:hAnsi="SimSun" w:eastAsia="SimSun" w:cs="SimSun"/>
                <w:spacing w:val="1"/>
              </w:rPr>
              <w:t>（</w:t>
            </w:r>
            <w:r>
              <w:rPr>
                <w:spacing w:val="1"/>
              </w:rPr>
              <w:t>107</w:t>
            </w:r>
            <w:r>
              <w:rPr>
                <w:rFonts w:ascii="SimSun" w:hAnsi="SimSun" w:eastAsia="SimSun" w:cs="SimSun"/>
                <w:spacing w:val="1"/>
              </w:rPr>
              <w:t>）</w:t>
            </w:r>
          </w:p>
        </w:tc>
        <w:tc>
          <w:tcPr>
            <w:tcW w:w="1752" w:type="dxa"/>
            <w:vAlign w:val="top"/>
            <w:vMerge w:val="continue"/>
            <w:tcBorders>
              <w:top w:val="nil"/>
            </w:tcBorders>
          </w:tcPr>
          <w:p>
            <w:pPr>
              <w:rPr>
                <w:rFonts w:ascii="Arial"/>
                <w:sz w:val="21"/>
              </w:rPr>
            </w:pPr>
            <w:r/>
          </w:p>
        </w:tc>
        <w:tc>
          <w:tcPr>
            <w:tcW w:w="974" w:type="dxa"/>
            <w:vAlign w:val="top"/>
            <w:vMerge w:val="restart"/>
            <w:tcBorders>
              <w:bottom w:val="nil"/>
            </w:tcBorders>
          </w:tcPr>
          <w:p>
            <w:pPr>
              <w:pStyle w:val="TableText"/>
              <w:ind w:left="149"/>
              <w:spacing w:before="128" w:line="264" w:lineRule="exact"/>
              <w:rPr/>
            </w:pPr>
            <w:r>
              <w:rPr>
                <w:spacing w:val="4"/>
                <w:position w:val="1"/>
              </w:rPr>
              <w:t>0</w:t>
            </w:r>
            <w:r>
              <w:rPr>
                <w:rFonts w:ascii="SimSun" w:hAnsi="SimSun" w:eastAsia="SimSun" w:cs="SimSun"/>
                <w:spacing w:val="4"/>
                <w:position w:val="1"/>
              </w:rPr>
              <w:t>～</w:t>
            </w:r>
            <w:r>
              <w:rPr>
                <w:spacing w:val="4"/>
                <w:position w:val="1"/>
              </w:rPr>
              <w:t>0.40</w:t>
            </w:r>
          </w:p>
          <w:p>
            <w:pPr>
              <w:pStyle w:val="TableText"/>
              <w:ind w:left="279"/>
              <w:spacing w:before="9" w:line="264" w:lineRule="exact"/>
              <w:rPr/>
            </w:pPr>
            <w:r>
              <w:rPr>
                <w:spacing w:val="4"/>
                <w:position w:val="1"/>
              </w:rPr>
              <w:t>0</w:t>
            </w:r>
            <w:r>
              <w:rPr>
                <w:rFonts w:ascii="SimSun" w:hAnsi="SimSun" w:eastAsia="SimSun" w:cs="SimSun"/>
                <w:spacing w:val="4"/>
                <w:position w:val="1"/>
              </w:rPr>
              <w:t>～</w:t>
            </w:r>
            <w:r>
              <w:rPr>
                <w:spacing w:val="4"/>
                <w:position w:val="1"/>
              </w:rPr>
              <w:t>1</w:t>
            </w:r>
          </w:p>
        </w:tc>
        <w:tc>
          <w:tcPr>
            <w:tcW w:w="1104" w:type="dxa"/>
            <w:vAlign w:val="top"/>
            <w:vMerge w:val="restart"/>
            <w:tcBorders>
              <w:bottom w:val="nil"/>
            </w:tcBorders>
          </w:tcPr>
          <w:p>
            <w:pPr>
              <w:spacing w:line="241" w:lineRule="auto"/>
              <w:rPr>
                <w:rFonts w:ascii="Arial"/>
                <w:sz w:val="21"/>
              </w:rPr>
            </w:pPr>
            <w:r/>
          </w:p>
          <w:p>
            <w:pPr>
              <w:pStyle w:val="TableText"/>
              <w:ind w:left="337"/>
              <w:spacing w:before="58" w:line="195" w:lineRule="auto"/>
              <w:rPr/>
            </w:pPr>
            <w:r>
              <w:rPr>
                <w:spacing w:val="-1"/>
              </w:rPr>
              <w:t>19.48</w:t>
            </w:r>
          </w:p>
        </w:tc>
        <w:tc>
          <w:tcPr>
            <w:tcW w:w="1106" w:type="dxa"/>
            <w:vAlign w:val="top"/>
            <w:vMerge w:val="restart"/>
            <w:tcBorders>
              <w:bottom w:val="nil"/>
            </w:tcBorders>
          </w:tcPr>
          <w:p>
            <w:pPr>
              <w:spacing w:line="241" w:lineRule="auto"/>
              <w:rPr>
                <w:rFonts w:ascii="Arial"/>
                <w:sz w:val="21"/>
              </w:rPr>
            </w:pPr>
            <w:r/>
          </w:p>
          <w:p>
            <w:pPr>
              <w:pStyle w:val="TableText"/>
              <w:ind w:left="457"/>
              <w:spacing w:before="58" w:line="195" w:lineRule="auto"/>
              <w:rPr/>
            </w:pPr>
            <w:r>
              <w:rPr>
                <w:spacing w:val="-2"/>
              </w:rPr>
              <w:t>82</w:t>
            </w:r>
          </w:p>
        </w:tc>
        <w:tc>
          <w:tcPr>
            <w:tcW w:w="1104" w:type="dxa"/>
            <w:vAlign w:val="top"/>
            <w:vMerge w:val="restart"/>
            <w:tcBorders>
              <w:bottom w:val="nil"/>
            </w:tcBorders>
          </w:tcPr>
          <w:p>
            <w:pPr>
              <w:ind w:left="139"/>
              <w:spacing w:before="264" w:line="227" w:lineRule="auto"/>
              <w:rPr>
                <w:rFonts w:ascii="SimSun" w:hAnsi="SimSun" w:eastAsia="SimSun" w:cs="SimSun"/>
                <w:sz w:val="20"/>
                <w:szCs w:val="20"/>
              </w:rPr>
            </w:pPr>
            <w:r>
              <w:rPr>
                <w:rFonts w:ascii="SimSun" w:hAnsi="SimSun" w:eastAsia="SimSun" w:cs="SimSun"/>
                <w:sz w:val="20"/>
                <w:szCs w:val="20"/>
                <w:spacing w:val="6"/>
              </w:rPr>
              <w:t>大部可采</w:t>
            </w:r>
          </w:p>
        </w:tc>
        <w:tc>
          <w:tcPr>
            <w:tcW w:w="849" w:type="dxa"/>
            <w:vAlign w:val="top"/>
            <w:vMerge w:val="restart"/>
            <w:tcBorders>
              <w:bottom w:val="nil"/>
            </w:tcBorders>
          </w:tcPr>
          <w:p>
            <w:pPr>
              <w:ind w:left="221"/>
              <w:spacing w:before="264" w:line="228" w:lineRule="auto"/>
              <w:rPr>
                <w:rFonts w:ascii="SimSun" w:hAnsi="SimSun" w:eastAsia="SimSun" w:cs="SimSun"/>
                <w:sz w:val="20"/>
                <w:szCs w:val="20"/>
              </w:rPr>
            </w:pPr>
            <w:r>
              <w:rPr>
                <w:rFonts w:ascii="SimSun" w:hAnsi="SimSun" w:eastAsia="SimSun" w:cs="SimSun"/>
                <w:sz w:val="20"/>
                <w:szCs w:val="20"/>
                <w:spacing w:val="4"/>
              </w:rPr>
              <w:t>稳定</w:t>
            </w:r>
          </w:p>
        </w:tc>
        <w:tc>
          <w:tcPr>
            <w:tcW w:w="590" w:type="dxa"/>
            <w:vAlign w:val="top"/>
            <w:vMerge w:val="restart"/>
            <w:tcBorders>
              <w:bottom w:val="nil"/>
            </w:tcBorders>
          </w:tcPr>
          <w:p>
            <w:pPr>
              <w:ind w:left="91"/>
              <w:spacing w:before="264" w:line="229" w:lineRule="auto"/>
              <w:rPr>
                <w:rFonts w:ascii="SimSun" w:hAnsi="SimSun" w:eastAsia="SimSun" w:cs="SimSun"/>
                <w:sz w:val="20"/>
                <w:szCs w:val="20"/>
              </w:rPr>
            </w:pPr>
            <w:r>
              <w:rPr>
                <w:rFonts w:ascii="SimSun" w:hAnsi="SimSun" w:eastAsia="SimSun" w:cs="SimSun"/>
                <w:sz w:val="20"/>
                <w:szCs w:val="20"/>
                <w:spacing w:val="3"/>
              </w:rPr>
              <w:t>可靠</w:t>
            </w:r>
          </w:p>
        </w:tc>
      </w:tr>
      <w:tr>
        <w:trPr>
          <w:trHeight w:val="451" w:hRule="atLeast"/>
        </w:trPr>
        <w:tc>
          <w:tcPr>
            <w:tcW w:w="914" w:type="dxa"/>
            <w:vAlign w:val="top"/>
            <w:vMerge w:val="continue"/>
            <w:tcBorders>
              <w:top w:val="nil"/>
            </w:tcBorders>
          </w:tcPr>
          <w:p>
            <w:pPr>
              <w:rPr>
                <w:rFonts w:ascii="Arial"/>
                <w:sz w:val="21"/>
              </w:rPr>
            </w:pPr>
            <w:r/>
          </w:p>
        </w:tc>
        <w:tc>
          <w:tcPr>
            <w:tcW w:w="1883"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1" w:type="dxa"/>
            <w:vAlign w:val="top"/>
            <w:vMerge w:val="continue"/>
            <w:tcBorders>
              <w:top w:val="nil"/>
            </w:tcBorders>
          </w:tcPr>
          <w:p>
            <w:pPr>
              <w:rPr>
                <w:rFonts w:ascii="Arial"/>
                <w:sz w:val="21"/>
              </w:rPr>
            </w:pPr>
            <w:r/>
          </w:p>
        </w:tc>
        <w:tc>
          <w:tcPr>
            <w:tcW w:w="1752" w:type="dxa"/>
            <w:vAlign w:val="top"/>
          </w:tcPr>
          <w:p>
            <w:pPr>
              <w:rPr>
                <w:rFonts w:ascii="Arial"/>
                <w:sz w:val="21"/>
              </w:rPr>
            </w:pPr>
            <w:r/>
          </w:p>
        </w:tc>
        <w:tc>
          <w:tcPr>
            <w:tcW w:w="974"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1106" w:type="dxa"/>
            <w:vAlign w:val="top"/>
            <w:vMerge w:val="continue"/>
            <w:tcBorders>
              <w:top w:val="nil"/>
            </w:tcBorders>
          </w:tcPr>
          <w:p>
            <w:pPr>
              <w:rPr>
                <w:rFonts w:ascii="Arial"/>
                <w:sz w:val="21"/>
              </w:rPr>
            </w:pPr>
            <w:r/>
          </w:p>
        </w:tc>
        <w:tc>
          <w:tcPr>
            <w:tcW w:w="1104" w:type="dxa"/>
            <w:vAlign w:val="top"/>
            <w:vMerge w:val="continue"/>
            <w:tcBorders>
              <w:top w:val="nil"/>
            </w:tcBorders>
          </w:tcPr>
          <w:p>
            <w:pPr>
              <w:rPr>
                <w:rFonts w:ascii="Arial"/>
                <w:sz w:val="21"/>
              </w:rPr>
            </w:pPr>
            <w:r/>
          </w:p>
        </w:tc>
        <w:tc>
          <w:tcPr>
            <w:tcW w:w="849" w:type="dxa"/>
            <w:vAlign w:val="top"/>
            <w:vMerge w:val="continue"/>
            <w:tcBorders>
              <w:top w:val="nil"/>
            </w:tcBorders>
          </w:tcPr>
          <w:p>
            <w:pPr>
              <w:rPr>
                <w:rFonts w:ascii="Arial"/>
                <w:sz w:val="21"/>
              </w:rPr>
            </w:pPr>
            <w:r/>
          </w:p>
        </w:tc>
        <w:tc>
          <w:tcPr>
            <w:tcW w:w="590" w:type="dxa"/>
            <w:vAlign w:val="top"/>
            <w:vMerge w:val="continue"/>
            <w:tcBorders>
              <w:top w:val="nil"/>
            </w:tcBorders>
          </w:tcPr>
          <w:p>
            <w:pPr>
              <w:rPr>
                <w:rFonts w:ascii="Arial"/>
                <w:sz w:val="21"/>
              </w:rPr>
            </w:pPr>
            <w:r/>
          </w:p>
        </w:tc>
      </w:tr>
    </w:tbl>
    <w:p>
      <w:pPr>
        <w:pStyle w:val="BodyText"/>
        <w:rPr/>
      </w:pPr>
      <w:r/>
    </w:p>
    <w:p>
      <w:pPr>
        <w:sectPr>
          <w:headerReference w:type="default" r:id="rId193"/>
          <w:footerReference w:type="default" r:id="rId194"/>
          <w:pgSz w:w="16838" w:h="11906"/>
          <w:pgMar w:top="1396" w:right="1669" w:bottom="1253" w:left="1384" w:header="1119" w:footer="1090" w:gutter="0"/>
        </w:sectPr>
        <w:rPr/>
      </w:pPr>
    </w:p>
    <w:p>
      <w:pPr>
        <w:pStyle w:val="BodyText"/>
        <w:spacing w:line="312" w:lineRule="auto"/>
        <w:rPr/>
      </w:pPr>
      <w:r/>
    </w:p>
    <w:p>
      <w:pPr>
        <w:ind w:left="485"/>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、有害元素</w:t>
      </w:r>
    </w:p>
    <w:p>
      <w:pPr>
        <w:ind w:left="492"/>
        <w:spacing w:before="156" w:line="219" w:lineRule="auto"/>
        <w:rPr>
          <w:rFonts w:ascii="SimSun" w:hAnsi="SimSun" w:eastAsia="SimSun" w:cs="SimSun"/>
          <w:sz w:val="24"/>
          <w:szCs w:val="24"/>
        </w:rPr>
      </w:pPr>
      <w:r>
        <w:rPr>
          <w:rFonts w:ascii="SimSun" w:hAnsi="SimSun" w:eastAsia="SimSun" w:cs="SimSun"/>
          <w:sz w:val="24"/>
          <w:szCs w:val="24"/>
          <w:spacing w:val="-1"/>
        </w:rPr>
        <w:t>各煤层有害元素及含量如下：</w:t>
      </w:r>
    </w:p>
    <w:p>
      <w:pPr>
        <w:ind w:left="9" w:right="224" w:firstLine="486"/>
        <w:spacing w:before="155" w:line="338" w:lineRule="auto"/>
        <w:jc w:val="both"/>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）各煤层原煤全硫（</w:t>
      </w:r>
      <w:r>
        <w:rPr>
          <w:rFonts w:ascii="Times New Roman" w:hAnsi="Times New Roman" w:eastAsia="Times New Roman" w:cs="Times New Roman"/>
          <w:sz w:val="24"/>
          <w:szCs w:val="24"/>
        </w:rPr>
        <w:t>St.d</w:t>
      </w:r>
      <w:r>
        <w:rPr>
          <w:rFonts w:ascii="SimSun" w:hAnsi="SimSun" w:eastAsia="SimSun" w:cs="SimSun"/>
          <w:sz w:val="24"/>
          <w:szCs w:val="24"/>
        </w:rPr>
        <w:t>）含量为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0.28</w:t>
      </w:r>
      <w:r>
        <w:rPr>
          <w:rFonts w:ascii="SimSun" w:hAnsi="SimSun" w:eastAsia="SimSun" w:cs="SimSun"/>
          <w:sz w:val="24"/>
          <w:szCs w:val="24"/>
        </w:rPr>
        <w:t>～</w:t>
      </w:r>
      <w:r>
        <w:rPr>
          <w:rFonts w:ascii="Times New Roman" w:hAnsi="Times New Roman" w:eastAsia="Times New Roman" w:cs="Times New Roman"/>
          <w:sz w:val="24"/>
          <w:szCs w:val="24"/>
        </w:rPr>
        <w:t>5.63%</w:t>
      </w:r>
      <w:r>
        <w:rPr>
          <w:rFonts w:ascii="SimSun" w:hAnsi="SimSun" w:eastAsia="SimSun" w:cs="SimSun"/>
          <w:sz w:val="24"/>
          <w:szCs w:val="24"/>
        </w:rPr>
        <w:t>之间；根据中华人民共和国国家</w:t>
      </w:r>
      <w:r>
        <w:rPr>
          <w:rFonts w:ascii="SimSun" w:hAnsi="SimSun" w:eastAsia="SimSun" w:cs="SimSun"/>
          <w:sz w:val="24"/>
          <w:szCs w:val="24"/>
        </w:rPr>
        <w:t>标准《煤炭质量分级 第二部分：硫分》（</w:t>
      </w:r>
      <w:r>
        <w:rPr>
          <w:rFonts w:ascii="Times New Roman" w:hAnsi="Times New Roman" w:eastAsia="Times New Roman" w:cs="Times New Roman"/>
          <w:sz w:val="24"/>
          <w:szCs w:val="24"/>
        </w:rPr>
        <w:t>G</w:t>
      </w:r>
      <w:r>
        <w:rPr>
          <w:rFonts w:ascii="Times New Roman" w:hAnsi="Times New Roman" w:eastAsia="Times New Roman" w:cs="Times New Roman"/>
          <w:sz w:val="24"/>
          <w:szCs w:val="24"/>
          <w:spacing w:val="-1"/>
        </w:rPr>
        <w:t>B/T5224.2-2010</w:t>
      </w:r>
      <w:r>
        <w:rPr>
          <w:rFonts w:ascii="SimSun" w:hAnsi="SimSun" w:eastAsia="SimSun" w:cs="SimSun"/>
          <w:sz w:val="24"/>
          <w:szCs w:val="24"/>
          <w:spacing w:val="-1"/>
        </w:rPr>
        <w:t>）煤炭硫分分级：一煤、二</w:t>
      </w:r>
      <w:r>
        <w:rPr>
          <w:rFonts w:ascii="Times New Roman" w:hAnsi="Times New Roman" w:eastAsia="Times New Roman" w:cs="Times New Roman"/>
          <w:sz w:val="24"/>
          <w:szCs w:val="24"/>
        </w:rPr>
        <w:t>-1 </w:t>
      </w:r>
      <w:r>
        <w:rPr>
          <w:rFonts w:ascii="SimSun" w:hAnsi="SimSun" w:eastAsia="SimSun" w:cs="SimSun"/>
          <w:sz w:val="24"/>
          <w:szCs w:val="24"/>
        </w:rPr>
        <w:t>煤、上六煤、上五煤、一下煤、二</w:t>
      </w:r>
      <w:r>
        <w:rPr>
          <w:rFonts w:ascii="Times New Roman" w:hAnsi="Times New Roman" w:eastAsia="Times New Roman" w:cs="Times New Roman"/>
          <w:sz w:val="24"/>
          <w:szCs w:val="24"/>
        </w:rPr>
        <w:t>-3 </w:t>
      </w:r>
      <w:r>
        <w:rPr>
          <w:rFonts w:ascii="SimSun" w:hAnsi="SimSun" w:eastAsia="SimSun" w:cs="SimSun"/>
          <w:sz w:val="24"/>
          <w:szCs w:val="24"/>
        </w:rPr>
        <w:t>煤、三煤为低硫煤</w:t>
      </w:r>
      <w:r>
        <w:rPr>
          <w:rFonts w:ascii="SimSun" w:hAnsi="SimSun" w:eastAsia="SimSun" w:cs="SimSun"/>
          <w:sz w:val="24"/>
          <w:szCs w:val="24"/>
          <w:spacing w:val="-1"/>
        </w:rPr>
        <w:t>，二</w:t>
      </w:r>
      <w:r>
        <w:rPr>
          <w:rFonts w:ascii="Times New Roman" w:hAnsi="Times New Roman" w:eastAsia="Times New Roman" w:cs="Times New Roman"/>
          <w:sz w:val="24"/>
          <w:szCs w:val="24"/>
          <w:spacing w:val="-1"/>
        </w:rPr>
        <w:t>-2 </w:t>
      </w:r>
      <w:r>
        <w:rPr>
          <w:rFonts w:ascii="SimSun" w:hAnsi="SimSun" w:eastAsia="SimSun" w:cs="SimSun"/>
          <w:sz w:val="24"/>
          <w:szCs w:val="24"/>
          <w:spacing w:val="-1"/>
        </w:rPr>
        <w:t>煤为中硫煤。</w:t>
      </w:r>
    </w:p>
    <w:p>
      <w:pPr>
        <w:ind w:left="9" w:right="224" w:firstLine="486"/>
        <w:spacing w:before="3" w:line="314"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）上五煤层、一煤层、二</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煤层原煤磷平均含量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0.006</w:t>
      </w:r>
      <w:r>
        <w:rPr>
          <w:rFonts w:ascii="SimSun" w:hAnsi="SimSun" w:eastAsia="SimSun" w:cs="SimSun"/>
          <w:sz w:val="24"/>
          <w:szCs w:val="24"/>
          <w:spacing w:val="-3"/>
        </w:rPr>
        <w:t>～</w:t>
      </w:r>
      <w:r>
        <w:rPr>
          <w:rFonts w:ascii="Times New Roman" w:hAnsi="Times New Roman" w:eastAsia="Times New Roman" w:cs="Times New Roman"/>
          <w:sz w:val="24"/>
          <w:szCs w:val="24"/>
          <w:spacing w:val="-3"/>
        </w:rPr>
        <w:t>0.009%</w:t>
      </w:r>
      <w:r>
        <w:rPr>
          <w:rFonts w:ascii="SimSun" w:hAnsi="SimSun" w:eastAsia="SimSun" w:cs="SimSun"/>
          <w:sz w:val="24"/>
          <w:szCs w:val="24"/>
          <w:spacing w:val="-3"/>
        </w:rPr>
        <w:t>；上六煤层、一</w:t>
      </w:r>
      <w:r>
        <w:rPr>
          <w:rFonts w:ascii="SimSun" w:hAnsi="SimSun" w:eastAsia="SimSun" w:cs="SimSun"/>
          <w:sz w:val="24"/>
          <w:szCs w:val="24"/>
          <w:spacing w:val="-1"/>
        </w:rPr>
        <w:t>下煤层、二</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煤层、二</w:t>
      </w:r>
      <w:r>
        <w:rPr>
          <w:rFonts w:ascii="Times New Roman" w:hAnsi="Times New Roman" w:eastAsia="Times New Roman" w:cs="Times New Roman"/>
          <w:sz w:val="24"/>
          <w:szCs w:val="24"/>
          <w:spacing w:val="-1"/>
        </w:rPr>
        <w:t>-3 </w:t>
      </w:r>
      <w:r>
        <w:rPr>
          <w:rFonts w:ascii="SimSun" w:hAnsi="SimSun" w:eastAsia="SimSun" w:cs="SimSun"/>
          <w:sz w:val="24"/>
          <w:szCs w:val="24"/>
          <w:spacing w:val="-1"/>
        </w:rPr>
        <w:t>煤层、三煤层磷平均含量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0.010</w:t>
      </w:r>
      <w:r>
        <w:rPr>
          <w:rFonts w:ascii="SimSun" w:hAnsi="SimSun" w:eastAsia="SimSun" w:cs="SimSun"/>
          <w:sz w:val="24"/>
          <w:szCs w:val="24"/>
          <w:spacing w:val="-1"/>
        </w:rPr>
        <w:t>～</w:t>
      </w:r>
      <w:r>
        <w:rPr>
          <w:rFonts w:ascii="Times New Roman" w:hAnsi="Times New Roman" w:eastAsia="Times New Roman" w:cs="Times New Roman"/>
          <w:sz w:val="24"/>
          <w:szCs w:val="24"/>
          <w:spacing w:val="-1"/>
        </w:rPr>
        <w:t>0.02</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。按中华人民共和国</w:t>
      </w:r>
      <w:r>
        <w:rPr>
          <w:rFonts w:ascii="SimSun" w:hAnsi="SimSun" w:eastAsia="SimSun" w:cs="SimSun"/>
          <w:sz w:val="24"/>
          <w:szCs w:val="24"/>
          <w:spacing w:val="-2"/>
        </w:rPr>
        <w:t>国家标准《煤中有害元素含量分级第</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部分：磷》（</w:t>
      </w:r>
      <w:r>
        <w:rPr>
          <w:rFonts w:ascii="Times New Roman" w:hAnsi="Times New Roman" w:eastAsia="Times New Roman" w:cs="Times New Roman"/>
          <w:sz w:val="24"/>
          <w:szCs w:val="24"/>
          <w:spacing w:val="-2"/>
        </w:rPr>
        <w:t>GB/T20475.</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1-2006</w:t>
      </w:r>
      <w:r>
        <w:rPr>
          <w:rFonts w:ascii="SimSun" w:hAnsi="SimSun" w:eastAsia="SimSun" w:cs="SimSun"/>
          <w:sz w:val="24"/>
          <w:szCs w:val="24"/>
          <w:spacing w:val="-2"/>
        </w:rPr>
        <w:t>）分级：上五煤</w:t>
      </w:r>
      <w:r>
        <w:rPr>
          <w:rFonts w:ascii="SimSun" w:hAnsi="SimSun" w:eastAsia="SimSun" w:cs="SimSun"/>
          <w:sz w:val="24"/>
          <w:szCs w:val="24"/>
          <w:spacing w:val="-3"/>
        </w:rPr>
        <w:t>层、一煤层、二</w:t>
      </w:r>
      <w:r>
        <w:rPr>
          <w:rFonts w:ascii="Times New Roman" w:hAnsi="Times New Roman" w:eastAsia="Times New Roman" w:cs="Times New Roman"/>
          <w:sz w:val="24"/>
          <w:szCs w:val="24"/>
          <w:spacing w:val="-3"/>
        </w:rPr>
        <w:t>-1 </w:t>
      </w:r>
      <w:r>
        <w:rPr>
          <w:rFonts w:ascii="SimSun" w:hAnsi="SimSun" w:eastAsia="SimSun" w:cs="SimSun"/>
          <w:sz w:val="24"/>
          <w:szCs w:val="24"/>
          <w:spacing w:val="-3"/>
        </w:rPr>
        <w:t>煤层为特低磷煤；上六煤、一下煤层、二</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煤层、二</w:t>
      </w:r>
      <w:r>
        <w:rPr>
          <w:rFonts w:ascii="Times New Roman" w:hAnsi="Times New Roman" w:eastAsia="Times New Roman" w:cs="Times New Roman"/>
          <w:sz w:val="24"/>
          <w:szCs w:val="24"/>
          <w:spacing w:val="-3"/>
        </w:rPr>
        <w:t>-3 </w:t>
      </w:r>
      <w:r>
        <w:rPr>
          <w:rFonts w:ascii="SimSun" w:hAnsi="SimSun" w:eastAsia="SimSun" w:cs="SimSun"/>
          <w:sz w:val="24"/>
          <w:szCs w:val="24"/>
          <w:spacing w:val="-3"/>
        </w:rPr>
        <w:t>煤</w:t>
      </w:r>
      <w:r>
        <w:rPr>
          <w:rFonts w:ascii="SimSun" w:hAnsi="SimSun" w:eastAsia="SimSun" w:cs="SimSun"/>
          <w:sz w:val="24"/>
          <w:szCs w:val="24"/>
          <w:spacing w:val="-4"/>
        </w:rPr>
        <w:t>层、三煤层</w:t>
      </w:r>
      <w:r>
        <w:rPr>
          <w:rFonts w:ascii="SimSun" w:hAnsi="SimSun" w:eastAsia="SimSun" w:cs="SimSun"/>
          <w:sz w:val="24"/>
          <w:szCs w:val="24"/>
          <w:spacing w:val="-2"/>
        </w:rPr>
        <w:t>为低磷煤。</w:t>
      </w:r>
    </w:p>
    <w:p>
      <w:pPr>
        <w:ind w:left="12" w:right="231" w:firstLine="483"/>
        <w:spacing w:before="156"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3</w:t>
      </w:r>
      <w:r>
        <w:rPr>
          <w:rFonts w:ascii="SimSun" w:hAnsi="SimSun" w:eastAsia="SimSun" w:cs="SimSun"/>
          <w:sz w:val="24"/>
          <w:szCs w:val="24"/>
        </w:rPr>
        <w:t>）各煤层砷平均含量在</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27</w:t>
      </w:r>
      <w:r>
        <w:rPr>
          <w:rFonts w:ascii="SimSun" w:hAnsi="SimSun" w:eastAsia="SimSun" w:cs="SimSun"/>
          <w:sz w:val="24"/>
          <w:szCs w:val="24"/>
        </w:rPr>
        <w:t>～</w:t>
      </w:r>
      <w:r>
        <w:rPr>
          <w:rFonts w:ascii="Times New Roman" w:hAnsi="Times New Roman" w:eastAsia="Times New Roman" w:cs="Times New Roman"/>
          <w:sz w:val="24"/>
          <w:szCs w:val="24"/>
        </w:rPr>
        <w:t>55μg/g</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，按中华人民共和国国家标</w:t>
      </w:r>
      <w:r>
        <w:rPr>
          <w:rFonts w:ascii="SimSun" w:hAnsi="SimSun" w:eastAsia="SimSun" w:cs="SimSun"/>
          <w:sz w:val="24"/>
          <w:szCs w:val="24"/>
          <w:spacing w:val="-1"/>
        </w:rPr>
        <w:t>准《煤中有害元</w:t>
      </w:r>
      <w:r>
        <w:rPr>
          <w:rFonts w:ascii="SimSun" w:hAnsi="SimSun" w:eastAsia="SimSun" w:cs="SimSun"/>
          <w:sz w:val="24"/>
          <w:szCs w:val="24"/>
          <w:spacing w:val="-1"/>
        </w:rPr>
        <w:t>素含量分级第</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 </w:t>
      </w:r>
      <w:r>
        <w:rPr>
          <w:rFonts w:ascii="SimSun" w:hAnsi="SimSun" w:eastAsia="SimSun" w:cs="SimSun"/>
          <w:sz w:val="24"/>
          <w:szCs w:val="24"/>
          <w:spacing w:val="-1"/>
        </w:rPr>
        <w:t>部分：砷》（</w:t>
      </w:r>
      <w:r>
        <w:rPr>
          <w:rFonts w:ascii="Times New Roman" w:hAnsi="Times New Roman" w:eastAsia="Times New Roman" w:cs="Times New Roman"/>
          <w:sz w:val="24"/>
          <w:szCs w:val="24"/>
          <w:spacing w:val="-1"/>
        </w:rPr>
        <w:t>GB/T20475.3-2012</w:t>
      </w:r>
      <w:r>
        <w:rPr>
          <w:rFonts w:ascii="SimSun" w:hAnsi="SimSun" w:eastAsia="SimSun" w:cs="SimSun"/>
          <w:sz w:val="24"/>
          <w:szCs w:val="24"/>
          <w:spacing w:val="-1"/>
        </w:rPr>
        <w:t>）分级：所有煤层</w:t>
      </w:r>
      <w:r>
        <w:rPr>
          <w:rFonts w:ascii="SimSun" w:hAnsi="SimSun" w:eastAsia="SimSun" w:cs="SimSun"/>
          <w:sz w:val="24"/>
          <w:szCs w:val="24"/>
          <w:spacing w:val="-2"/>
        </w:rPr>
        <w:t>砷含量均为中砷煤。</w:t>
      </w:r>
    </w:p>
    <w:p>
      <w:pPr>
        <w:ind w:left="9" w:right="157" w:firstLine="486"/>
        <w:spacing w:before="152" w:line="30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）上六煤层、上五煤层氟平均含量在</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69</w:t>
      </w:r>
      <w:r>
        <w:rPr>
          <w:rFonts w:ascii="SimSun" w:hAnsi="SimSun" w:eastAsia="SimSun" w:cs="SimSun"/>
          <w:sz w:val="24"/>
          <w:szCs w:val="24"/>
        </w:rPr>
        <w:t>～</w:t>
      </w:r>
      <w:r>
        <w:rPr>
          <w:rFonts w:ascii="Times New Roman" w:hAnsi="Times New Roman" w:eastAsia="Times New Roman" w:cs="Times New Roman"/>
          <w:sz w:val="24"/>
          <w:szCs w:val="24"/>
        </w:rPr>
        <w:t>77μg/g</w:t>
      </w:r>
      <w:r>
        <w:rPr>
          <w:rFonts w:ascii="SimSun" w:hAnsi="SimSun" w:eastAsia="SimSun" w:cs="SimSun"/>
          <w:sz w:val="24"/>
          <w:szCs w:val="24"/>
        </w:rPr>
        <w:t>；一煤</w:t>
      </w:r>
      <w:r>
        <w:rPr>
          <w:rFonts w:ascii="SimSun" w:hAnsi="SimSun" w:eastAsia="SimSun" w:cs="SimSun"/>
          <w:sz w:val="24"/>
          <w:szCs w:val="24"/>
          <w:spacing w:val="-1"/>
        </w:rPr>
        <w:t>层、一下煤层、二</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煤</w:t>
      </w:r>
      <w:r>
        <w:rPr>
          <w:rFonts w:ascii="SimSun" w:hAnsi="SimSun" w:eastAsia="SimSun" w:cs="SimSun"/>
          <w:sz w:val="24"/>
          <w:szCs w:val="24"/>
          <w:spacing w:val="-1"/>
        </w:rPr>
        <w:t>层、二</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煤层、二</w:t>
      </w:r>
      <w:r>
        <w:rPr>
          <w:rFonts w:ascii="Times New Roman" w:hAnsi="Times New Roman" w:eastAsia="Times New Roman" w:cs="Times New Roman"/>
          <w:sz w:val="24"/>
          <w:szCs w:val="24"/>
          <w:spacing w:val="-1"/>
        </w:rPr>
        <w:t>-3 </w:t>
      </w:r>
      <w:r>
        <w:rPr>
          <w:rFonts w:ascii="SimSun" w:hAnsi="SimSun" w:eastAsia="SimSun" w:cs="SimSun"/>
          <w:sz w:val="24"/>
          <w:szCs w:val="24"/>
          <w:spacing w:val="-1"/>
        </w:rPr>
        <w:t>煤层、三煤层氟平均含量在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85</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2"/>
        </w:rPr>
        <w:t>2μg/g</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。按中华人民共和国煤炭</w:t>
      </w:r>
      <w:r>
        <w:rPr>
          <w:rFonts w:ascii="SimSun" w:hAnsi="SimSun" w:eastAsia="SimSun" w:cs="SimSun"/>
          <w:sz w:val="24"/>
          <w:szCs w:val="24"/>
          <w:spacing w:val="-6"/>
        </w:rPr>
        <w:t>行业标准《煤中氟含量分级》（</w:t>
      </w:r>
      <w:r>
        <w:rPr>
          <w:rFonts w:ascii="Times New Roman" w:hAnsi="Times New Roman" w:eastAsia="Times New Roman" w:cs="Times New Roman"/>
          <w:sz w:val="24"/>
          <w:szCs w:val="24"/>
          <w:spacing w:val="-6"/>
        </w:rPr>
        <w:t>MT/T966-2005</w:t>
      </w:r>
      <w:r>
        <w:rPr>
          <w:rFonts w:ascii="SimSun" w:hAnsi="SimSun" w:eastAsia="SimSun" w:cs="SimSun"/>
          <w:sz w:val="24"/>
          <w:szCs w:val="24"/>
          <w:spacing w:val="-6"/>
        </w:rPr>
        <w:t>）分级</w:t>
      </w:r>
      <w:r>
        <w:rPr>
          <w:rFonts w:ascii="SimSun" w:hAnsi="SimSun" w:eastAsia="SimSun" w:cs="SimSun"/>
          <w:sz w:val="24"/>
          <w:szCs w:val="24"/>
          <w:spacing w:val="-7"/>
        </w:rPr>
        <w:t>：上六煤层、上五煤层属特低氟煤，</w:t>
      </w:r>
      <w:r>
        <w:rPr>
          <w:rFonts w:ascii="SimSun" w:hAnsi="SimSun" w:eastAsia="SimSun" w:cs="SimSun"/>
          <w:sz w:val="24"/>
          <w:szCs w:val="24"/>
        </w:rPr>
        <w:t>一煤层、一下煤层、二</w:t>
      </w:r>
      <w:r>
        <w:rPr>
          <w:rFonts w:ascii="Times New Roman" w:hAnsi="Times New Roman" w:eastAsia="Times New Roman" w:cs="Times New Roman"/>
          <w:sz w:val="24"/>
          <w:szCs w:val="24"/>
        </w:rPr>
        <w:t>-1 </w:t>
      </w:r>
      <w:r>
        <w:rPr>
          <w:rFonts w:ascii="SimSun" w:hAnsi="SimSun" w:eastAsia="SimSun" w:cs="SimSun"/>
          <w:sz w:val="24"/>
          <w:szCs w:val="24"/>
        </w:rPr>
        <w:t>煤层、二</w:t>
      </w:r>
      <w:r>
        <w:rPr>
          <w:rFonts w:ascii="Times New Roman" w:hAnsi="Times New Roman" w:eastAsia="Times New Roman" w:cs="Times New Roman"/>
          <w:sz w:val="24"/>
          <w:szCs w:val="24"/>
        </w:rPr>
        <w:t>-2 </w:t>
      </w:r>
      <w:r>
        <w:rPr>
          <w:rFonts w:ascii="SimSun" w:hAnsi="SimSun" w:eastAsia="SimSun" w:cs="SimSun"/>
          <w:sz w:val="24"/>
          <w:szCs w:val="24"/>
        </w:rPr>
        <w:t>煤层、二</w:t>
      </w:r>
      <w:r>
        <w:rPr>
          <w:rFonts w:ascii="Times New Roman" w:hAnsi="Times New Roman" w:eastAsia="Times New Roman" w:cs="Times New Roman"/>
          <w:sz w:val="24"/>
          <w:szCs w:val="24"/>
        </w:rPr>
        <w:t>-3 </w:t>
      </w:r>
      <w:r>
        <w:rPr>
          <w:rFonts w:ascii="SimSun" w:hAnsi="SimSun" w:eastAsia="SimSun" w:cs="SimSun"/>
          <w:sz w:val="24"/>
          <w:szCs w:val="24"/>
          <w:spacing w:val="-1"/>
        </w:rPr>
        <w:t>煤层、三煤层属低氟煤。</w:t>
      </w:r>
    </w:p>
    <w:p>
      <w:pPr>
        <w:ind w:left="12" w:firstLine="483"/>
        <w:spacing w:before="156" w:line="27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5</w:t>
      </w:r>
      <w:r>
        <w:rPr>
          <w:rFonts w:ascii="SimSun" w:hAnsi="SimSun" w:eastAsia="SimSun" w:cs="SimSun"/>
          <w:sz w:val="24"/>
          <w:szCs w:val="24"/>
          <w:spacing w:val="-5"/>
        </w:rPr>
        <w:t>）氯平均含量在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5"/>
        </w:rPr>
        <w:t>0.018</w:t>
      </w:r>
      <w:r>
        <w:rPr>
          <w:rFonts w:ascii="SimSun" w:hAnsi="SimSun" w:eastAsia="SimSun" w:cs="SimSun"/>
          <w:sz w:val="24"/>
          <w:szCs w:val="24"/>
          <w:spacing w:val="-5"/>
        </w:rPr>
        <w:t>～</w:t>
      </w:r>
      <w:r>
        <w:rPr>
          <w:rFonts w:ascii="Times New Roman" w:hAnsi="Times New Roman" w:eastAsia="Times New Roman" w:cs="Times New Roman"/>
          <w:sz w:val="24"/>
          <w:szCs w:val="24"/>
          <w:spacing w:val="-5"/>
        </w:rPr>
        <w:t>0.026</w:t>
      </w:r>
      <w:r>
        <w:rPr>
          <w:rFonts w:ascii="SimSun" w:hAnsi="SimSun" w:eastAsia="SimSun" w:cs="SimSun"/>
          <w:sz w:val="24"/>
          <w:szCs w:val="24"/>
          <w:spacing w:val="-48"/>
        </w:rPr>
        <w:t>％，</w:t>
      </w:r>
      <w:r>
        <w:rPr>
          <w:rFonts w:ascii="SimSun" w:hAnsi="SimSun" w:eastAsia="SimSun" w:cs="SimSun"/>
          <w:sz w:val="24"/>
          <w:szCs w:val="24"/>
          <w:spacing w:val="-5"/>
        </w:rPr>
        <w:t>按中华人民共和国国家标准（</w:t>
      </w:r>
      <w:r>
        <w:rPr>
          <w:rFonts w:ascii="Times New Roman" w:hAnsi="Times New Roman" w:eastAsia="Times New Roman" w:cs="Times New Roman"/>
          <w:sz w:val="24"/>
          <w:szCs w:val="24"/>
          <w:spacing w:val="-5"/>
        </w:rPr>
        <w:t>GB/T204</w:t>
      </w:r>
      <w:r>
        <w:rPr>
          <w:rFonts w:ascii="Times New Roman" w:hAnsi="Times New Roman" w:eastAsia="Times New Roman" w:cs="Times New Roman"/>
          <w:sz w:val="24"/>
          <w:szCs w:val="24"/>
          <w:spacing w:val="-6"/>
        </w:rPr>
        <w:t>75.2-2006</w:t>
      </w:r>
      <w:r>
        <w:rPr>
          <w:rFonts w:ascii="SimSun" w:hAnsi="SimSun" w:eastAsia="SimSun" w:cs="SimSun"/>
          <w:sz w:val="24"/>
          <w:szCs w:val="24"/>
          <w:spacing w:val="-6"/>
        </w:rPr>
        <w:t>）</w:t>
      </w:r>
      <w:r>
        <w:rPr>
          <w:rFonts w:ascii="SimSun" w:hAnsi="SimSun" w:eastAsia="SimSun" w:cs="SimSun"/>
          <w:sz w:val="24"/>
          <w:szCs w:val="24"/>
          <w:spacing w:val="-1"/>
        </w:rPr>
        <w:t>分级：各煤层均为特低氯煤。</w:t>
      </w:r>
    </w:p>
    <w:p>
      <w:pPr>
        <w:ind w:left="489"/>
        <w:spacing w:before="153" w:line="221"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、工业用途</w:t>
      </w:r>
    </w:p>
    <w:p>
      <w:pPr>
        <w:ind w:left="8" w:right="210" w:firstLine="481"/>
        <w:spacing w:before="157" w:line="338" w:lineRule="auto"/>
        <w:rPr>
          <w:rFonts w:ascii="SimSun" w:hAnsi="SimSun" w:eastAsia="SimSun" w:cs="SimSun"/>
          <w:sz w:val="24"/>
          <w:szCs w:val="24"/>
        </w:rPr>
      </w:pPr>
      <w:r>
        <w:rPr>
          <w:rFonts w:ascii="SimSun" w:hAnsi="SimSun" w:eastAsia="SimSun" w:cs="SimSun"/>
          <w:sz w:val="24"/>
          <w:szCs w:val="24"/>
          <w:spacing w:val="-1"/>
        </w:rPr>
        <w:t>本区为低</w:t>
      </w:r>
      <w:r>
        <w:rPr>
          <w:rFonts w:ascii="Times New Roman" w:hAnsi="Times New Roman" w:eastAsia="Times New Roman" w:cs="Times New Roman"/>
          <w:sz w:val="24"/>
          <w:szCs w:val="24"/>
          <w:spacing w:val="-1"/>
        </w:rPr>
        <w:t>-</w:t>
      </w:r>
      <w:r>
        <w:rPr>
          <w:rFonts w:ascii="SimSun" w:hAnsi="SimSun" w:eastAsia="SimSun" w:cs="SimSun"/>
          <w:sz w:val="24"/>
          <w:szCs w:val="24"/>
          <w:spacing w:val="-1"/>
        </w:rPr>
        <w:t>中灰煤，低</w:t>
      </w:r>
      <w:r>
        <w:rPr>
          <w:rFonts w:ascii="Times New Roman" w:hAnsi="Times New Roman" w:eastAsia="Times New Roman" w:cs="Times New Roman"/>
          <w:sz w:val="24"/>
          <w:szCs w:val="24"/>
          <w:spacing w:val="-1"/>
        </w:rPr>
        <w:t>-</w:t>
      </w:r>
      <w:r>
        <w:rPr>
          <w:rFonts w:ascii="SimSun" w:hAnsi="SimSun" w:eastAsia="SimSun" w:cs="SimSun"/>
          <w:sz w:val="24"/>
          <w:szCs w:val="24"/>
          <w:spacing w:val="-1"/>
        </w:rPr>
        <w:t>中硫煤，中低、中、中高发热量煤，特低磷</w:t>
      </w:r>
      <w:r>
        <w:rPr>
          <w:rFonts w:ascii="Times New Roman" w:hAnsi="Times New Roman" w:eastAsia="Times New Roman" w:cs="Times New Roman"/>
          <w:sz w:val="24"/>
          <w:szCs w:val="24"/>
          <w:spacing w:val="-2"/>
        </w:rPr>
        <w:t>-</w:t>
      </w:r>
      <w:r>
        <w:rPr>
          <w:rFonts w:ascii="SimSun" w:hAnsi="SimSun" w:eastAsia="SimSun" w:cs="SimSun"/>
          <w:sz w:val="24"/>
          <w:szCs w:val="24"/>
          <w:spacing w:val="-2"/>
        </w:rPr>
        <w:t>低磷煤，较低、</w:t>
      </w:r>
      <w:r>
        <w:rPr>
          <w:rFonts w:ascii="SimSun" w:hAnsi="SimSun" w:eastAsia="SimSun" w:cs="SimSun"/>
          <w:sz w:val="24"/>
          <w:szCs w:val="24"/>
          <w:spacing w:val="2"/>
        </w:rPr>
        <w:t>中等、较高软化温度灰，为低</w:t>
      </w:r>
      <w:r>
        <w:rPr>
          <w:rFonts w:ascii="Times New Roman" w:hAnsi="Times New Roman" w:eastAsia="Times New Roman" w:cs="Times New Roman"/>
          <w:sz w:val="24"/>
          <w:szCs w:val="24"/>
          <w:spacing w:val="2"/>
        </w:rPr>
        <w:t>-</w:t>
      </w:r>
      <w:r>
        <w:rPr>
          <w:rFonts w:ascii="SimSun" w:hAnsi="SimSun" w:eastAsia="SimSun" w:cs="SimSun"/>
          <w:sz w:val="24"/>
          <w:szCs w:val="24"/>
          <w:spacing w:val="2"/>
        </w:rPr>
        <w:t>中油产率煤，中砷煤；鉴于以上煤质特征，结合我国工</w:t>
      </w:r>
      <w:r>
        <w:rPr>
          <w:rFonts w:ascii="SimSun" w:hAnsi="SimSun" w:eastAsia="SimSun" w:cs="SimSun"/>
          <w:sz w:val="24"/>
          <w:szCs w:val="24"/>
        </w:rPr>
        <w:t>业用煤的要求，本井田煤可作为民用煤（不可直接烤食</w:t>
      </w:r>
      <w:r>
        <w:rPr>
          <w:rFonts w:ascii="SimSun" w:hAnsi="SimSun" w:eastAsia="SimSun" w:cs="SimSun"/>
          <w:sz w:val="24"/>
          <w:szCs w:val="24"/>
          <w:spacing w:val="-1"/>
        </w:rPr>
        <w:t>品）、火力发电用煤。</w:t>
      </w:r>
    </w:p>
    <w:p>
      <w:pPr>
        <w:ind w:left="483"/>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、瓦斯、煤尘及煤的自燃性</w:t>
      </w:r>
    </w:p>
    <w:p>
      <w:pPr>
        <w:ind w:left="495"/>
        <w:spacing w:before="153"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）瓦斯等级</w:t>
      </w:r>
    </w:p>
    <w:p>
      <w:pPr>
        <w:ind w:left="7" w:right="224" w:firstLine="481"/>
        <w:spacing w:before="153" w:line="339" w:lineRule="auto"/>
        <w:rPr>
          <w:rFonts w:ascii="SimSun" w:hAnsi="SimSun" w:eastAsia="SimSun" w:cs="SimSun"/>
          <w:sz w:val="24"/>
          <w:szCs w:val="24"/>
        </w:rPr>
      </w:pPr>
      <w:r>
        <w:rPr>
          <w:rFonts w:ascii="SimSun" w:hAnsi="SimSun" w:eastAsia="SimSun" w:cs="SimSun"/>
          <w:sz w:val="24"/>
          <w:szCs w:val="24"/>
          <w:spacing w:val="-3"/>
        </w:rPr>
        <w:t>根据内蒙古安科安全生产检测检验有限公司</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2023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月出具的《内蒙古自治区锡</w:t>
      </w:r>
      <w:r>
        <w:rPr>
          <w:rFonts w:ascii="SimSun" w:hAnsi="SimSun" w:eastAsia="SimSun" w:cs="SimSun"/>
          <w:sz w:val="24"/>
          <w:szCs w:val="24"/>
          <w:spacing w:val="-1"/>
        </w:rPr>
        <w:t>林郭勒盟西乌珠穆沁旗内蒙古白音华四号露</w:t>
      </w:r>
      <w:r>
        <w:rPr>
          <w:rFonts w:ascii="SimSun" w:hAnsi="SimSun" w:eastAsia="SimSun" w:cs="SimSun"/>
          <w:sz w:val="24"/>
          <w:szCs w:val="24"/>
          <w:spacing w:val="-2"/>
        </w:rPr>
        <w:t>天矿二期工程（井工矿）矿井瓦斯等级鉴定</w:t>
      </w:r>
      <w:r>
        <w:rPr>
          <w:rFonts w:ascii="SimSun" w:hAnsi="SimSun" w:eastAsia="SimSun" w:cs="SimSun"/>
          <w:sz w:val="24"/>
          <w:szCs w:val="24"/>
        </w:rPr>
        <w:t>报告（</w:t>
      </w:r>
      <w:r>
        <w:rPr>
          <w:rFonts w:ascii="Times New Roman" w:hAnsi="Times New Roman" w:eastAsia="Times New Roman" w:cs="Times New Roman"/>
          <w:sz w:val="24"/>
          <w:szCs w:val="24"/>
        </w:rPr>
        <w:t>2023 </w:t>
      </w:r>
      <w:r>
        <w:rPr>
          <w:rFonts w:ascii="SimSun" w:hAnsi="SimSun" w:eastAsia="SimSun" w:cs="SimSun"/>
          <w:sz w:val="24"/>
          <w:szCs w:val="24"/>
        </w:rPr>
        <w:t>年度）》（报告编号：内安</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C/WSJD23/H-0019</w:t>
      </w:r>
      <w:r>
        <w:rPr>
          <w:rFonts w:ascii="SimSun" w:hAnsi="SimSun" w:eastAsia="SimSun" w:cs="SimSun"/>
          <w:sz w:val="24"/>
          <w:szCs w:val="24"/>
          <w:spacing w:val="7"/>
        </w:rPr>
        <w:t>），</w:t>
      </w:r>
      <w:r>
        <w:rPr>
          <w:rFonts w:ascii="Times New Roman" w:hAnsi="Times New Roman" w:eastAsia="Times New Roman" w:cs="Times New Roman"/>
          <w:sz w:val="24"/>
          <w:szCs w:val="24"/>
        </w:rPr>
        <w:t>2023 </w:t>
      </w:r>
      <w:r>
        <w:rPr>
          <w:rFonts w:ascii="SimSun" w:hAnsi="SimSun" w:eastAsia="SimSun" w:cs="SimSun"/>
          <w:sz w:val="24"/>
          <w:szCs w:val="24"/>
        </w:rPr>
        <w:t>年矿井的绝对瓦斯</w:t>
      </w:r>
      <w:r>
        <w:rPr>
          <w:rFonts w:ascii="SimSun" w:hAnsi="SimSun" w:eastAsia="SimSun" w:cs="SimSun"/>
          <w:sz w:val="24"/>
          <w:szCs w:val="24"/>
          <w:spacing w:val="1"/>
        </w:rPr>
        <w:t>涌出量为</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1"/>
        </w:rPr>
        <w:t>13.29m³/</w:t>
      </w:r>
      <w:r>
        <w:rPr>
          <w:rFonts w:ascii="Times New Roman" w:hAnsi="Times New Roman" w:eastAsia="Times New Roman" w:cs="Times New Roman"/>
          <w:sz w:val="24"/>
          <w:szCs w:val="24"/>
        </w:rPr>
        <w:t>min</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，矿井相对瓦斯涌出量为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0.77m³/t</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，采面最大绝对瓦斯涌出量为</w:t>
      </w:r>
    </w:p>
    <w:p>
      <w:pPr>
        <w:ind w:left="11"/>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8"/>
        </w:rPr>
        <w:t>5.61m³/</w:t>
      </w:r>
      <w:r>
        <w:rPr>
          <w:rFonts w:ascii="Times New Roman" w:hAnsi="Times New Roman" w:eastAsia="Times New Roman" w:cs="Times New Roman"/>
          <w:sz w:val="24"/>
          <w:szCs w:val="24"/>
        </w:rPr>
        <w:t>min</w:t>
      </w:r>
      <w:r>
        <w:rPr>
          <w:rFonts w:ascii="Times New Roman" w:hAnsi="Times New Roman" w:eastAsia="Times New Roman" w:cs="Times New Roman"/>
          <w:sz w:val="24"/>
          <w:szCs w:val="24"/>
          <w:spacing w:val="6"/>
        </w:rPr>
        <w:t xml:space="preserve"> </w:t>
      </w:r>
      <w:r>
        <w:rPr>
          <w:rFonts w:ascii="SimSun" w:hAnsi="SimSun" w:eastAsia="SimSun" w:cs="SimSun"/>
          <w:sz w:val="24"/>
          <w:szCs w:val="24"/>
          <w:spacing w:val="8"/>
        </w:rPr>
        <w:t>，掘进面最大瓦斯涌出量为 </w:t>
      </w:r>
      <w:r>
        <w:rPr>
          <w:rFonts w:ascii="Times New Roman" w:hAnsi="Times New Roman" w:eastAsia="Times New Roman" w:cs="Times New Roman"/>
          <w:sz w:val="24"/>
          <w:szCs w:val="24"/>
          <w:spacing w:val="8"/>
        </w:rPr>
        <w:t>1.93m³/</w:t>
      </w:r>
      <w:r>
        <w:rPr>
          <w:rFonts w:ascii="Times New Roman" w:hAnsi="Times New Roman" w:eastAsia="Times New Roman" w:cs="Times New Roman"/>
          <w:sz w:val="24"/>
          <w:szCs w:val="24"/>
        </w:rPr>
        <w:t>min</w:t>
      </w:r>
      <w:r>
        <w:rPr>
          <w:rFonts w:ascii="Times New Roman" w:hAnsi="Times New Roman" w:eastAsia="Times New Roman" w:cs="Times New Roman"/>
          <w:sz w:val="24"/>
          <w:szCs w:val="24"/>
          <w:spacing w:val="8"/>
        </w:rPr>
        <w:t xml:space="preserve"> </w:t>
      </w:r>
      <w:r>
        <w:rPr>
          <w:rFonts w:ascii="SimSun" w:hAnsi="SimSun" w:eastAsia="SimSun" w:cs="SimSun"/>
          <w:sz w:val="24"/>
          <w:szCs w:val="24"/>
          <w:spacing w:val="8"/>
        </w:rPr>
        <w:t>。采面最大绝对瓦斯涌出量大于</w:t>
      </w:r>
    </w:p>
    <w:p>
      <w:pPr>
        <w:ind w:left="11"/>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3"/>
        </w:rPr>
        <w:t>5.0m³/min</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3"/>
        </w:rPr>
        <w:t>，本矿井为高瓦斯矿井。</w:t>
      </w:r>
    </w:p>
    <w:p>
      <w:pPr>
        <w:ind w:left="495"/>
        <w:spacing w:before="155"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）煤尘资源分析</w:t>
      </w:r>
    </w:p>
    <w:p>
      <w:pPr>
        <w:spacing w:line="220" w:lineRule="auto"/>
        <w:sectPr>
          <w:headerReference w:type="default" r:id="rId195"/>
          <w:footerReference w:type="default" r:id="rId196"/>
          <w:pgSz w:w="11906" w:h="16838"/>
          <w:pgMar w:top="1453" w:right="1193" w:bottom="1250" w:left="1416" w:header="1120" w:footer="1088" w:gutter="0"/>
        </w:sectPr>
        <w:rPr>
          <w:rFonts w:ascii="SimSun" w:hAnsi="SimSun" w:eastAsia="SimSun" w:cs="SimSun"/>
          <w:sz w:val="24"/>
          <w:szCs w:val="24"/>
        </w:rPr>
      </w:pPr>
    </w:p>
    <w:p>
      <w:pPr>
        <w:pStyle w:val="BodyText"/>
        <w:spacing w:line="314" w:lineRule="auto"/>
        <w:rPr/>
      </w:pPr>
      <w:r/>
    </w:p>
    <w:p>
      <w:pPr>
        <w:ind w:left="299" w:right="247" w:firstLine="473"/>
        <w:spacing w:before="78" w:line="338" w:lineRule="auto"/>
        <w:jc w:val="both"/>
        <w:rPr>
          <w:rFonts w:ascii="SimSun" w:hAnsi="SimSun" w:eastAsia="SimSun" w:cs="SimSun"/>
          <w:sz w:val="24"/>
          <w:szCs w:val="24"/>
        </w:rPr>
      </w:pPr>
      <w:r>
        <w:rPr>
          <w:rFonts w:ascii="Times New Roman" w:hAnsi="Times New Roman" w:eastAsia="Times New Roman" w:cs="Times New Roman"/>
          <w:sz w:val="24"/>
          <w:szCs w:val="24"/>
          <w:spacing w:val="-1"/>
        </w:rPr>
        <w:t>2005 </w:t>
      </w:r>
      <w:r>
        <w:rPr>
          <w:rFonts w:ascii="SimSun" w:hAnsi="SimSun" w:eastAsia="SimSun" w:cs="SimSun"/>
          <w:sz w:val="24"/>
          <w:szCs w:val="24"/>
          <w:spacing w:val="-1"/>
        </w:rPr>
        <w:t>年白音华煤田勘探，利用</w:t>
      </w:r>
      <w:r>
        <w:rPr>
          <w:rFonts w:ascii="SimSun" w:hAnsi="SimSun" w:eastAsia="SimSun" w:cs="SimSun"/>
          <w:sz w:val="24"/>
          <w:szCs w:val="24"/>
          <w:spacing w:val="-15"/>
        </w:rPr>
        <w:t xml:space="preserve"> </w:t>
      </w:r>
      <w:r>
        <w:rPr>
          <w:rFonts w:ascii="Times New Roman" w:hAnsi="Times New Roman" w:eastAsia="Times New Roman" w:cs="Times New Roman"/>
          <w:sz w:val="24"/>
          <w:szCs w:val="24"/>
          <w:spacing w:val="-1"/>
        </w:rPr>
        <w:t>12 </w:t>
      </w:r>
      <w:r>
        <w:rPr>
          <w:rFonts w:ascii="SimSun" w:hAnsi="SimSun" w:eastAsia="SimSun" w:cs="SimSun"/>
          <w:sz w:val="24"/>
          <w:szCs w:val="24"/>
          <w:spacing w:val="-1"/>
        </w:rPr>
        <w:t>个孔对一、二、三煤组采取煤尘样，本矿区煤尘</w:t>
      </w:r>
      <w:r>
        <w:rPr>
          <w:rFonts w:ascii="SimSun" w:hAnsi="SimSun" w:eastAsia="SimSun" w:cs="SimSun"/>
          <w:sz w:val="24"/>
          <w:szCs w:val="24"/>
          <w:spacing w:val="-1"/>
        </w:rPr>
        <w:t>具有爆炸危险性。</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月煤科集团沈阳研究院有限公司对煤尘爆炸性进行</w:t>
      </w:r>
      <w:r>
        <w:rPr>
          <w:rFonts w:ascii="SimSun" w:hAnsi="SimSun" w:eastAsia="SimSun" w:cs="SimSun"/>
          <w:sz w:val="24"/>
          <w:szCs w:val="24"/>
          <w:spacing w:val="-2"/>
        </w:rPr>
        <w:t>鉴定，</w:t>
      </w:r>
      <w:r>
        <w:rPr>
          <w:rFonts w:ascii="SimSun" w:hAnsi="SimSun" w:eastAsia="SimSun" w:cs="SimSun"/>
          <w:sz w:val="24"/>
          <w:szCs w:val="24"/>
          <w:spacing w:val="-2"/>
        </w:rPr>
        <w:t>火焰长度＞</w:t>
      </w:r>
      <w:r>
        <w:rPr>
          <w:rFonts w:ascii="Times New Roman" w:hAnsi="Times New Roman" w:eastAsia="Times New Roman" w:cs="Times New Roman"/>
          <w:sz w:val="24"/>
          <w:szCs w:val="24"/>
          <w:spacing w:val="-2"/>
        </w:rPr>
        <w:t>400mm</w:t>
      </w:r>
      <w:r>
        <w:rPr>
          <w:rFonts w:ascii="SimSun" w:hAnsi="SimSun" w:eastAsia="SimSun" w:cs="SimSun"/>
          <w:sz w:val="24"/>
          <w:szCs w:val="24"/>
          <w:spacing w:val="-2"/>
        </w:rPr>
        <w:t>；抑制煤尘爆炸最低岩粉量</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85%</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。鉴定结果为有煤尘爆炸性。</w:t>
      </w:r>
    </w:p>
    <w:p>
      <w:pPr>
        <w:ind w:left="783"/>
        <w:spacing w:line="220" w:lineRule="auto"/>
        <w:rPr>
          <w:rFonts w:ascii="SimSun" w:hAnsi="SimSun" w:eastAsia="SimSun" w:cs="SimSun"/>
          <w:sz w:val="24"/>
          <w:szCs w:val="24"/>
        </w:rPr>
      </w:pPr>
      <w:r>
        <w:rPr>
          <w:rFonts w:ascii="SimSun" w:hAnsi="SimSun" w:eastAsia="SimSun" w:cs="SimSun"/>
          <w:sz w:val="24"/>
          <w:szCs w:val="24"/>
          <w:spacing w:val="-9"/>
        </w:rPr>
        <w:t>（</w:t>
      </w:r>
      <w:r>
        <w:rPr>
          <w:rFonts w:ascii="Times New Roman" w:hAnsi="Times New Roman" w:eastAsia="Times New Roman" w:cs="Times New Roman"/>
          <w:sz w:val="24"/>
          <w:szCs w:val="24"/>
          <w:spacing w:val="-9"/>
        </w:rPr>
        <w:t>3</w:t>
      </w:r>
      <w:r>
        <w:rPr>
          <w:rFonts w:ascii="SimSun" w:hAnsi="SimSun" w:eastAsia="SimSun" w:cs="SimSun"/>
          <w:sz w:val="24"/>
          <w:szCs w:val="24"/>
          <w:spacing w:val="-9"/>
        </w:rPr>
        <w:t>）</w:t>
      </w:r>
      <w:r>
        <w:rPr>
          <w:rFonts w:ascii="SimSun" w:hAnsi="SimSun" w:eastAsia="SimSun" w:cs="SimSun"/>
          <w:sz w:val="24"/>
          <w:szCs w:val="24"/>
          <w:spacing w:val="-65"/>
        </w:rPr>
        <w:t xml:space="preserve"> </w:t>
      </w:r>
      <w:r>
        <w:rPr>
          <w:rFonts w:ascii="SimSun" w:hAnsi="SimSun" w:eastAsia="SimSun" w:cs="SimSun"/>
          <w:sz w:val="24"/>
          <w:szCs w:val="24"/>
          <w:spacing w:val="-9"/>
        </w:rPr>
        <w:t>自燃性分析</w:t>
      </w:r>
    </w:p>
    <w:p>
      <w:pPr>
        <w:ind w:left="298" w:right="247" w:firstLine="479"/>
        <w:spacing w:before="157" w:line="338" w:lineRule="auto"/>
        <w:rPr>
          <w:rFonts w:ascii="SimSun" w:hAnsi="SimSun" w:eastAsia="SimSun" w:cs="SimSun"/>
          <w:sz w:val="24"/>
          <w:szCs w:val="24"/>
        </w:rPr>
      </w:pPr>
      <w:r>
        <w:rPr>
          <w:rFonts w:ascii="SimSun" w:hAnsi="SimSun" w:eastAsia="SimSun" w:cs="SimSun"/>
          <w:sz w:val="24"/>
          <w:szCs w:val="24"/>
          <w:spacing w:val="-1"/>
        </w:rPr>
        <w:t>根据煤科集团沈阳设计研究院有限公司</w:t>
      </w:r>
      <w:r>
        <w:rPr>
          <w:rFonts w:ascii="Times New Roman" w:hAnsi="Times New Roman" w:eastAsia="Times New Roman" w:cs="Times New Roman"/>
          <w:sz w:val="24"/>
          <w:szCs w:val="24"/>
          <w:spacing w:val="-1"/>
        </w:rPr>
        <w:t>2016 </w:t>
      </w:r>
      <w:r>
        <w:rPr>
          <w:rFonts w:ascii="SimSun" w:hAnsi="SimSun" w:eastAsia="SimSun" w:cs="SimSun"/>
          <w:sz w:val="24"/>
          <w:szCs w:val="24"/>
          <w:spacing w:val="-1"/>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月编制的矿井《矿井煤尘</w:t>
      </w:r>
      <w:r>
        <w:rPr>
          <w:rFonts w:ascii="SimSun" w:hAnsi="SimSun" w:eastAsia="SimSun" w:cs="SimSun"/>
          <w:sz w:val="24"/>
          <w:szCs w:val="24"/>
          <w:spacing w:val="-2"/>
        </w:rPr>
        <w:t>爆炸性</w:t>
      </w:r>
      <w:r>
        <w:rPr>
          <w:rFonts w:ascii="SimSun" w:hAnsi="SimSun" w:eastAsia="SimSun" w:cs="SimSun"/>
          <w:sz w:val="24"/>
          <w:szCs w:val="24"/>
          <w:spacing w:val="-2"/>
        </w:rPr>
        <w:t>鉴定及煤层自燃倾向性鉴定报告》，一煤层自燃倾向等级为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I </w:t>
      </w:r>
      <w:r>
        <w:rPr>
          <w:rFonts w:ascii="SimSun" w:hAnsi="SimSun" w:eastAsia="SimSun" w:cs="SimSun"/>
          <w:sz w:val="24"/>
          <w:szCs w:val="24"/>
          <w:spacing w:val="-2"/>
        </w:rPr>
        <w:t>级，</w:t>
      </w:r>
      <w:r>
        <w:rPr>
          <w:rFonts w:ascii="SimSun" w:hAnsi="SimSun" w:eastAsia="SimSun" w:cs="SimSun"/>
          <w:sz w:val="24"/>
          <w:szCs w:val="24"/>
          <w:spacing w:val="-71"/>
        </w:rPr>
        <w:t xml:space="preserve"> </w:t>
      </w:r>
      <w:r>
        <w:rPr>
          <w:rFonts w:ascii="SimSun" w:hAnsi="SimSun" w:eastAsia="SimSun" w:cs="SimSun"/>
          <w:sz w:val="24"/>
          <w:szCs w:val="24"/>
          <w:spacing w:val="-2"/>
        </w:rPr>
        <w:t>自燃倾向性为容易自</w:t>
      </w:r>
      <w:r>
        <w:rPr>
          <w:rFonts w:ascii="SimSun" w:hAnsi="SimSun" w:eastAsia="SimSun" w:cs="SimSun"/>
          <w:sz w:val="24"/>
          <w:szCs w:val="24"/>
          <w:spacing w:val="-6"/>
        </w:rPr>
        <w:t>燃。</w:t>
      </w:r>
    </w:p>
    <w:p>
      <w:pPr>
        <w:ind w:left="779"/>
        <w:spacing w:line="220" w:lineRule="auto"/>
        <w:rPr>
          <w:rFonts w:ascii="SimSun" w:hAnsi="SimSun" w:eastAsia="SimSun" w:cs="SimSun"/>
          <w:sz w:val="24"/>
          <w:szCs w:val="24"/>
        </w:rPr>
      </w:pPr>
      <w:r>
        <w:rPr>
          <w:rFonts w:ascii="Times New Roman" w:hAnsi="Times New Roman" w:eastAsia="Times New Roman" w:cs="Times New Roman"/>
          <w:sz w:val="24"/>
          <w:szCs w:val="24"/>
          <w:spacing w:val="-6"/>
        </w:rPr>
        <w:t>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、煤的放射性</w:t>
      </w:r>
    </w:p>
    <w:p>
      <w:pPr>
        <w:ind w:left="297" w:right="245" w:firstLine="480"/>
        <w:spacing w:before="153" w:line="336" w:lineRule="auto"/>
        <w:rPr>
          <w:rFonts w:ascii="SimSun" w:hAnsi="SimSun" w:eastAsia="SimSun" w:cs="SimSun"/>
          <w:sz w:val="24"/>
          <w:szCs w:val="24"/>
        </w:rPr>
      </w:pPr>
      <w:r>
        <w:rPr>
          <w:rFonts w:ascii="SimSun" w:hAnsi="SimSun" w:eastAsia="SimSun" w:cs="SimSun"/>
          <w:sz w:val="24"/>
          <w:szCs w:val="24"/>
          <w:spacing w:val="-2"/>
        </w:rPr>
        <w:t>根据监测单位对白音华四号露天矿原煤及煤矸石取样，对放射性元素进行检测，检</w:t>
      </w:r>
      <w:r>
        <w:rPr>
          <w:rFonts w:ascii="SimSun" w:hAnsi="SimSun" w:eastAsia="SimSun" w:cs="SimSun"/>
          <w:sz w:val="24"/>
          <w:szCs w:val="24"/>
          <w:spacing w:val="-2"/>
        </w:rPr>
        <w:t>测结果均未超过 </w:t>
      </w:r>
      <w:r>
        <w:rPr>
          <w:rFonts w:ascii="Times New Roman" w:hAnsi="Times New Roman" w:eastAsia="Times New Roman" w:cs="Times New Roman"/>
          <w:sz w:val="24"/>
          <w:szCs w:val="24"/>
          <w:spacing w:val="-2"/>
        </w:rPr>
        <w:t>1000Bq/kg</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，满足《矿产资源开发利用辐射环境监督管理名录》要求。</w:t>
      </w:r>
      <w:r>
        <w:rPr>
          <w:rFonts w:ascii="SimSun" w:hAnsi="SimSun" w:eastAsia="SimSun" w:cs="SimSun"/>
          <w:sz w:val="24"/>
          <w:szCs w:val="24"/>
          <w:spacing w:val="-2"/>
        </w:rPr>
        <w:t>检测结果统计见表</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3-5-3</w:t>
      </w:r>
      <w:r>
        <w:rPr>
          <w:rFonts w:ascii="SimSun" w:hAnsi="SimSun" w:eastAsia="SimSun" w:cs="SimSun"/>
          <w:sz w:val="24"/>
          <w:szCs w:val="24"/>
          <w:spacing w:val="-2"/>
        </w:rPr>
        <w:t>。</w:t>
      </w:r>
    </w:p>
    <w:p>
      <w:pPr>
        <w:ind w:left="3871"/>
        <w:spacing w:before="136" w:line="222" w:lineRule="auto"/>
        <w:rPr>
          <w:rFonts w:ascii="SimHei" w:hAnsi="SimHei" w:eastAsia="SimHei" w:cs="SimHei"/>
          <w:sz w:val="24"/>
          <w:szCs w:val="24"/>
        </w:rPr>
      </w:pPr>
      <w:r>
        <w:rPr>
          <w:rFonts w:ascii="SimHei" w:hAnsi="SimHei" w:eastAsia="SimHei" w:cs="SimHei"/>
          <w:sz w:val="24"/>
          <w:szCs w:val="24"/>
          <w:spacing w:val="-1"/>
        </w:rPr>
        <w:t>放射性分析成果表</w:t>
      </w:r>
    </w:p>
    <w:p>
      <w:pPr>
        <w:ind w:left="156"/>
        <w:spacing w:before="69"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2"/>
        </w:rPr>
        <w:t>3-5-3</w:t>
      </w:r>
    </w:p>
    <w:tbl>
      <w:tblPr>
        <w:tblStyle w:val="TableNormal"/>
        <w:tblW w:w="960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12"/>
        <w:gridCol w:w="914"/>
        <w:gridCol w:w="914"/>
        <w:gridCol w:w="1228"/>
        <w:gridCol w:w="1226"/>
        <w:gridCol w:w="1226"/>
        <w:gridCol w:w="1231"/>
        <w:gridCol w:w="1651"/>
      </w:tblGrid>
      <w:tr>
        <w:trPr>
          <w:trHeight w:val="465" w:hRule="atLeast"/>
        </w:trPr>
        <w:tc>
          <w:tcPr>
            <w:tcW w:w="1212" w:type="dxa"/>
            <w:vAlign w:val="top"/>
            <w:vMerge w:val="restart"/>
            <w:tcBorders>
              <w:bottom w:val="nil"/>
            </w:tcBorders>
          </w:tcPr>
          <w:p>
            <w:pPr>
              <w:spacing w:line="305" w:lineRule="auto"/>
              <w:rPr>
                <w:rFonts w:ascii="Arial"/>
                <w:sz w:val="21"/>
              </w:rPr>
            </w:pPr>
            <w:r/>
          </w:p>
          <w:p>
            <w:pPr>
              <w:spacing w:line="305" w:lineRule="auto"/>
              <w:rPr>
                <w:rFonts w:ascii="Arial"/>
                <w:sz w:val="21"/>
              </w:rPr>
            </w:pPr>
            <w:r/>
          </w:p>
          <w:p>
            <w:pPr>
              <w:ind w:left="191"/>
              <w:spacing w:before="65" w:line="227" w:lineRule="auto"/>
              <w:rPr>
                <w:rFonts w:ascii="SimSun" w:hAnsi="SimSun" w:eastAsia="SimSun" w:cs="SimSun"/>
                <w:sz w:val="20"/>
                <w:szCs w:val="20"/>
              </w:rPr>
            </w:pPr>
            <w:r>
              <w:rPr>
                <w:rFonts w:ascii="SimSun" w:hAnsi="SimSun" w:eastAsia="SimSun" w:cs="SimSun"/>
                <w:sz w:val="20"/>
                <w:szCs w:val="20"/>
                <w:spacing w:val="7"/>
              </w:rPr>
              <w:t>采样日期</w:t>
            </w:r>
          </w:p>
        </w:tc>
        <w:tc>
          <w:tcPr>
            <w:tcW w:w="1828" w:type="dxa"/>
            <w:vAlign w:val="top"/>
            <w:gridSpan w:val="2"/>
            <w:vMerge w:val="restart"/>
            <w:tcBorders>
              <w:bottom w:val="nil"/>
            </w:tcBorders>
          </w:tcPr>
          <w:p>
            <w:pPr>
              <w:spacing w:line="305" w:lineRule="auto"/>
              <w:rPr>
                <w:rFonts w:ascii="Arial"/>
                <w:sz w:val="21"/>
              </w:rPr>
            </w:pPr>
            <w:r/>
          </w:p>
          <w:p>
            <w:pPr>
              <w:spacing w:line="305" w:lineRule="auto"/>
              <w:rPr>
                <w:rFonts w:ascii="Arial"/>
                <w:sz w:val="21"/>
              </w:rPr>
            </w:pPr>
            <w:r/>
          </w:p>
          <w:p>
            <w:pPr>
              <w:ind w:left="495"/>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911" w:type="dxa"/>
            <w:vAlign w:val="top"/>
            <w:gridSpan w:val="4"/>
          </w:tcPr>
          <w:p>
            <w:pPr>
              <w:ind w:left="2041"/>
              <w:spacing w:before="125" w:line="228" w:lineRule="auto"/>
              <w:rPr>
                <w:rFonts w:ascii="SimSun" w:hAnsi="SimSun" w:eastAsia="SimSun" w:cs="SimSun"/>
                <w:sz w:val="20"/>
                <w:szCs w:val="20"/>
              </w:rPr>
            </w:pPr>
            <w:r>
              <w:rPr>
                <w:rFonts w:ascii="SimSun" w:hAnsi="SimSun" w:eastAsia="SimSun" w:cs="SimSun"/>
                <w:sz w:val="20"/>
                <w:szCs w:val="20"/>
                <w:spacing w:val="6"/>
              </w:rPr>
              <w:t>分析结果</w:t>
            </w:r>
          </w:p>
        </w:tc>
        <w:tc>
          <w:tcPr>
            <w:tcW w:w="1651" w:type="dxa"/>
            <w:vAlign w:val="top"/>
            <w:vMerge w:val="restart"/>
            <w:tcBorders>
              <w:bottom w:val="nil"/>
            </w:tcBorders>
          </w:tcPr>
          <w:p>
            <w:pPr>
              <w:spacing w:line="305" w:lineRule="auto"/>
              <w:rPr>
                <w:rFonts w:ascii="Arial"/>
                <w:sz w:val="21"/>
              </w:rPr>
            </w:pPr>
            <w:r/>
          </w:p>
          <w:p>
            <w:pPr>
              <w:spacing w:line="306" w:lineRule="auto"/>
              <w:rPr>
                <w:rFonts w:ascii="Arial"/>
                <w:sz w:val="21"/>
              </w:rPr>
            </w:pPr>
            <w:r/>
          </w:p>
          <w:p>
            <w:pPr>
              <w:ind w:left="621"/>
              <w:spacing w:before="65" w:line="228" w:lineRule="auto"/>
              <w:rPr>
                <w:rFonts w:ascii="SimSun" w:hAnsi="SimSun" w:eastAsia="SimSun" w:cs="SimSun"/>
                <w:sz w:val="20"/>
                <w:szCs w:val="20"/>
              </w:rPr>
            </w:pPr>
            <w:r>
              <w:rPr>
                <w:rFonts w:ascii="SimSun" w:hAnsi="SimSun" w:eastAsia="SimSun" w:cs="SimSun"/>
                <w:sz w:val="20"/>
                <w:szCs w:val="20"/>
                <w:spacing w:val="3"/>
              </w:rPr>
              <w:t>单位</w:t>
            </w:r>
          </w:p>
        </w:tc>
      </w:tr>
      <w:tr>
        <w:trPr>
          <w:trHeight w:val="549" w:hRule="atLeast"/>
        </w:trPr>
        <w:tc>
          <w:tcPr>
            <w:tcW w:w="1212" w:type="dxa"/>
            <w:vAlign w:val="top"/>
            <w:vMerge w:val="continue"/>
            <w:tcBorders>
              <w:top w:val="nil"/>
              <w:bottom w:val="nil"/>
            </w:tcBorders>
          </w:tcPr>
          <w:p>
            <w:pPr>
              <w:rPr>
                <w:rFonts w:ascii="Arial"/>
                <w:sz w:val="21"/>
              </w:rPr>
            </w:pPr>
            <w:r/>
          </w:p>
        </w:tc>
        <w:tc>
          <w:tcPr>
            <w:tcW w:w="1828" w:type="dxa"/>
            <w:vAlign w:val="top"/>
            <w:gridSpan w:val="2"/>
            <w:vMerge w:val="continue"/>
            <w:tcBorders>
              <w:top w:val="nil"/>
              <w:bottom w:val="nil"/>
            </w:tcBorders>
          </w:tcPr>
          <w:p>
            <w:pPr>
              <w:rPr>
                <w:rFonts w:ascii="Arial"/>
                <w:sz w:val="21"/>
              </w:rPr>
            </w:pPr>
            <w:r/>
          </w:p>
        </w:tc>
        <w:tc>
          <w:tcPr>
            <w:tcW w:w="2454" w:type="dxa"/>
            <w:vAlign w:val="top"/>
            <w:gridSpan w:val="2"/>
          </w:tcPr>
          <w:p>
            <w:pPr>
              <w:pStyle w:val="TableText"/>
              <w:ind w:left="892" w:right="180" w:hanging="683"/>
              <w:spacing w:before="29" w:line="235" w:lineRule="auto"/>
              <w:rPr/>
            </w:pPr>
            <w:r>
              <w:rPr>
                <w:rFonts w:ascii="SimSun" w:hAnsi="SimSun" w:eastAsia="SimSun" w:cs="SimSun"/>
                <w:spacing w:val="5"/>
              </w:rPr>
              <w:t>白音华四号露天矿（原</w:t>
            </w:r>
            <w:r>
              <w:rPr>
                <w:rFonts w:ascii="SimSun" w:hAnsi="SimSun" w:eastAsia="SimSun" w:cs="SimSun"/>
                <w:spacing w:val="5"/>
              </w:rPr>
              <w:t>煤）</w:t>
            </w:r>
            <w:r>
              <w:rPr>
                <w:spacing w:val="5"/>
              </w:rPr>
              <w:t>G1</w:t>
            </w:r>
          </w:p>
        </w:tc>
        <w:tc>
          <w:tcPr>
            <w:tcW w:w="2457" w:type="dxa"/>
            <w:vAlign w:val="top"/>
            <w:gridSpan w:val="2"/>
          </w:tcPr>
          <w:p>
            <w:pPr>
              <w:pStyle w:val="TableText"/>
              <w:ind w:left="893" w:right="179" w:hanging="680"/>
              <w:spacing w:before="29" w:line="235" w:lineRule="auto"/>
              <w:rPr/>
            </w:pPr>
            <w:r>
              <w:rPr>
                <w:rFonts w:ascii="SimSun" w:hAnsi="SimSun" w:eastAsia="SimSun" w:cs="SimSun"/>
                <w:spacing w:val="5"/>
              </w:rPr>
              <w:t>白音华四号露天矿（矸</w:t>
            </w:r>
            <w:r>
              <w:rPr>
                <w:rFonts w:ascii="SimSun" w:hAnsi="SimSun" w:eastAsia="SimSun" w:cs="SimSun"/>
                <w:spacing w:val="5"/>
              </w:rPr>
              <w:t>石）</w:t>
            </w:r>
            <w:r>
              <w:rPr>
                <w:spacing w:val="5"/>
              </w:rPr>
              <w:t>G2</w:t>
            </w:r>
          </w:p>
        </w:tc>
        <w:tc>
          <w:tcPr>
            <w:tcW w:w="1651" w:type="dxa"/>
            <w:vAlign w:val="top"/>
            <w:vMerge w:val="continue"/>
            <w:tcBorders>
              <w:top w:val="nil"/>
              <w:bottom w:val="nil"/>
            </w:tcBorders>
          </w:tcPr>
          <w:p>
            <w:pPr>
              <w:rPr>
                <w:rFonts w:ascii="Arial"/>
                <w:sz w:val="21"/>
              </w:rPr>
            </w:pPr>
            <w:r/>
          </w:p>
        </w:tc>
      </w:tr>
      <w:tr>
        <w:trPr>
          <w:trHeight w:val="549" w:hRule="atLeast"/>
        </w:trPr>
        <w:tc>
          <w:tcPr>
            <w:tcW w:w="1212" w:type="dxa"/>
            <w:vAlign w:val="top"/>
            <w:vMerge w:val="continue"/>
            <w:tcBorders>
              <w:top w:val="nil"/>
            </w:tcBorders>
          </w:tcPr>
          <w:p>
            <w:pPr>
              <w:rPr>
                <w:rFonts w:ascii="Arial"/>
                <w:sz w:val="21"/>
              </w:rPr>
            </w:pPr>
            <w:r/>
          </w:p>
        </w:tc>
        <w:tc>
          <w:tcPr>
            <w:tcW w:w="1828" w:type="dxa"/>
            <w:vAlign w:val="top"/>
            <w:gridSpan w:val="2"/>
            <w:vMerge w:val="continue"/>
            <w:tcBorders>
              <w:top w:val="nil"/>
            </w:tcBorders>
          </w:tcPr>
          <w:p>
            <w:pPr>
              <w:rPr>
                <w:rFonts w:ascii="Arial"/>
                <w:sz w:val="21"/>
              </w:rPr>
            </w:pPr>
            <w:r/>
          </w:p>
        </w:tc>
        <w:tc>
          <w:tcPr>
            <w:tcW w:w="1228" w:type="dxa"/>
            <w:vAlign w:val="top"/>
          </w:tcPr>
          <w:p>
            <w:pPr>
              <w:ind w:left="208" w:right="213" w:firstLine="95"/>
              <w:spacing w:before="29" w:line="235" w:lineRule="auto"/>
              <w:rPr>
                <w:rFonts w:ascii="SimSun" w:hAnsi="SimSun" w:eastAsia="SimSun" w:cs="SimSun"/>
                <w:sz w:val="20"/>
                <w:szCs w:val="20"/>
              </w:rPr>
            </w:pPr>
            <w:r>
              <w:rPr>
                <w:rFonts w:ascii="SimSun" w:hAnsi="SimSun" w:eastAsia="SimSun" w:cs="SimSun"/>
                <w:sz w:val="20"/>
                <w:szCs w:val="20"/>
                <w:spacing w:val="6"/>
              </w:rPr>
              <w:t>第一次</w:t>
            </w:r>
            <w:r>
              <w:rPr>
                <w:rFonts w:ascii="SimSun" w:hAnsi="SimSun" w:eastAsia="SimSun" w:cs="SimSun"/>
                <w:sz w:val="20"/>
                <w:szCs w:val="20"/>
              </w:rPr>
              <w:t>（块状）</w:t>
            </w:r>
          </w:p>
        </w:tc>
        <w:tc>
          <w:tcPr>
            <w:tcW w:w="1226" w:type="dxa"/>
            <w:vAlign w:val="top"/>
          </w:tcPr>
          <w:p>
            <w:pPr>
              <w:ind w:left="209" w:right="210" w:firstLine="93"/>
              <w:spacing w:before="29" w:line="235" w:lineRule="auto"/>
              <w:rPr>
                <w:rFonts w:ascii="SimSun" w:hAnsi="SimSun" w:eastAsia="SimSun" w:cs="SimSun"/>
                <w:sz w:val="20"/>
                <w:szCs w:val="20"/>
              </w:rPr>
            </w:pPr>
            <w:r>
              <w:rPr>
                <w:rFonts w:ascii="SimSun" w:hAnsi="SimSun" w:eastAsia="SimSun" w:cs="SimSun"/>
                <w:sz w:val="20"/>
                <w:szCs w:val="20"/>
                <w:spacing w:val="6"/>
              </w:rPr>
              <w:t>第二次</w:t>
            </w:r>
            <w:r>
              <w:rPr>
                <w:rFonts w:ascii="SimSun" w:hAnsi="SimSun" w:eastAsia="SimSun" w:cs="SimSun"/>
                <w:sz w:val="20"/>
                <w:szCs w:val="20"/>
              </w:rPr>
              <w:t>（粉状）</w:t>
            </w:r>
          </w:p>
        </w:tc>
        <w:tc>
          <w:tcPr>
            <w:tcW w:w="1226" w:type="dxa"/>
            <w:vAlign w:val="top"/>
          </w:tcPr>
          <w:p>
            <w:pPr>
              <w:ind w:left="207" w:right="212" w:firstLine="97"/>
              <w:spacing w:before="29" w:line="235" w:lineRule="auto"/>
              <w:rPr>
                <w:rFonts w:ascii="SimSun" w:hAnsi="SimSun" w:eastAsia="SimSun" w:cs="SimSun"/>
                <w:sz w:val="20"/>
                <w:szCs w:val="20"/>
              </w:rPr>
            </w:pPr>
            <w:r>
              <w:rPr>
                <w:rFonts w:ascii="SimSun" w:hAnsi="SimSun" w:eastAsia="SimSun" w:cs="SimSun"/>
                <w:sz w:val="20"/>
                <w:szCs w:val="20"/>
                <w:spacing w:val="6"/>
              </w:rPr>
              <w:t>第一次</w:t>
            </w:r>
            <w:r>
              <w:rPr>
                <w:rFonts w:ascii="SimSun" w:hAnsi="SimSun" w:eastAsia="SimSun" w:cs="SimSun"/>
                <w:sz w:val="20"/>
                <w:szCs w:val="20"/>
              </w:rPr>
              <w:t>（块状）</w:t>
            </w:r>
          </w:p>
        </w:tc>
        <w:tc>
          <w:tcPr>
            <w:tcW w:w="1231" w:type="dxa"/>
            <w:vAlign w:val="top"/>
          </w:tcPr>
          <w:p>
            <w:pPr>
              <w:ind w:left="214" w:right="209" w:firstLine="93"/>
              <w:spacing w:before="29" w:line="235" w:lineRule="auto"/>
              <w:rPr>
                <w:rFonts w:ascii="SimSun" w:hAnsi="SimSun" w:eastAsia="SimSun" w:cs="SimSun"/>
                <w:sz w:val="20"/>
                <w:szCs w:val="20"/>
              </w:rPr>
            </w:pPr>
            <w:r>
              <w:rPr>
                <w:rFonts w:ascii="SimSun" w:hAnsi="SimSun" w:eastAsia="SimSun" w:cs="SimSun"/>
                <w:sz w:val="20"/>
                <w:szCs w:val="20"/>
                <w:spacing w:val="6"/>
              </w:rPr>
              <w:t>第二次</w:t>
            </w:r>
            <w:r>
              <w:rPr>
                <w:rFonts w:ascii="SimSun" w:hAnsi="SimSun" w:eastAsia="SimSun" w:cs="SimSun"/>
                <w:sz w:val="20"/>
                <w:szCs w:val="20"/>
              </w:rPr>
              <w:t>（粉状）</w:t>
            </w:r>
          </w:p>
        </w:tc>
        <w:tc>
          <w:tcPr>
            <w:tcW w:w="1651" w:type="dxa"/>
            <w:vAlign w:val="top"/>
            <w:vMerge w:val="continue"/>
            <w:tcBorders>
              <w:top w:val="nil"/>
            </w:tcBorders>
          </w:tcPr>
          <w:p>
            <w:pPr>
              <w:rPr>
                <w:rFonts w:ascii="Arial"/>
                <w:sz w:val="21"/>
              </w:rPr>
            </w:pPr>
            <w:r/>
          </w:p>
        </w:tc>
      </w:tr>
      <w:tr>
        <w:trPr>
          <w:trHeight w:val="457" w:hRule="atLeast"/>
        </w:trPr>
        <w:tc>
          <w:tcPr>
            <w:tcW w:w="1212" w:type="dxa"/>
            <w:vAlign w:val="top"/>
            <w:vMerge w:val="restart"/>
            <w:tcBorders>
              <w:bottom w:val="nil"/>
            </w:tcBorders>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pStyle w:val="TableText"/>
              <w:ind w:left="136"/>
              <w:spacing w:before="57" w:line="195" w:lineRule="auto"/>
              <w:rPr/>
            </w:pPr>
            <w:r>
              <w:rPr>
                <w:spacing w:val="4"/>
              </w:rPr>
              <w:t>2025.03.27</w:t>
            </w:r>
          </w:p>
        </w:tc>
        <w:tc>
          <w:tcPr>
            <w:tcW w:w="914" w:type="dxa"/>
            <w:vAlign w:val="top"/>
            <w:vMerge w:val="restart"/>
            <w:tcBorders>
              <w:bottom w:val="nil"/>
            </w:tcBorders>
          </w:tcPr>
          <w:p>
            <w:pPr>
              <w:spacing w:line="474" w:lineRule="auto"/>
              <w:rPr>
                <w:rFonts w:ascii="Arial"/>
                <w:sz w:val="21"/>
              </w:rPr>
            </w:pPr>
            <w:r/>
          </w:p>
          <w:p>
            <w:pPr>
              <w:pStyle w:val="TableText"/>
              <w:ind w:left="149" w:right="141" w:firstLine="52"/>
              <w:spacing w:before="65" w:line="250" w:lineRule="auto"/>
              <w:jc w:val="both"/>
              <w:rPr/>
            </w:pPr>
            <w:r>
              <w:rPr>
                <w:spacing w:val="3"/>
              </w:rPr>
              <w:t>*</w:t>
            </w:r>
            <w:r>
              <w:rPr>
                <w:rFonts w:ascii="SimSun" w:hAnsi="SimSun" w:eastAsia="SimSun" w:cs="SimSun"/>
                <w:spacing w:val="3"/>
              </w:rPr>
              <w:t>放射</w:t>
            </w:r>
            <w:r>
              <w:rPr>
                <w:rFonts w:ascii="SimSun" w:hAnsi="SimSun" w:eastAsia="SimSun" w:cs="SimSun"/>
                <w:spacing w:val="6"/>
              </w:rPr>
              <w:t>性比活</w:t>
            </w:r>
            <w:r>
              <w:rPr>
                <w:rFonts w:ascii="SimSun" w:hAnsi="SimSun" w:eastAsia="SimSun" w:cs="SimSun"/>
                <w:spacing w:val="25"/>
              </w:rPr>
              <w:t>度</w:t>
            </w:r>
            <w:r>
              <w:rPr>
                <w:rFonts w:ascii="SimSun" w:hAnsi="SimSun" w:eastAsia="SimSun" w:cs="SimSun"/>
                <w:spacing w:val="-42"/>
              </w:rPr>
              <w:t xml:space="preserve"> </w:t>
            </w:r>
            <w:r>
              <w:rPr>
                <w:spacing w:val="25"/>
              </w:rPr>
              <w:t>Qj</w:t>
            </w:r>
          </w:p>
        </w:tc>
        <w:tc>
          <w:tcPr>
            <w:tcW w:w="914" w:type="dxa"/>
            <w:vAlign w:val="top"/>
          </w:tcPr>
          <w:p>
            <w:pPr>
              <w:pStyle w:val="TableText"/>
              <w:ind w:left="257"/>
              <w:spacing w:before="153" w:line="199" w:lineRule="auto"/>
              <w:rPr/>
            </w:pPr>
            <w:r>
              <w:rPr>
                <w:spacing w:val="1"/>
              </w:rPr>
              <w:t>*40k</w:t>
            </w:r>
          </w:p>
        </w:tc>
        <w:tc>
          <w:tcPr>
            <w:tcW w:w="1228" w:type="dxa"/>
            <w:vAlign w:val="top"/>
          </w:tcPr>
          <w:p>
            <w:pPr>
              <w:pStyle w:val="TableText"/>
              <w:ind w:left="485"/>
              <w:spacing w:before="157" w:line="195" w:lineRule="auto"/>
              <w:rPr/>
            </w:pPr>
            <w:r>
              <w:rPr>
                <w:spacing w:val="1"/>
              </w:rPr>
              <w:t>0.0</w:t>
            </w:r>
          </w:p>
        </w:tc>
        <w:tc>
          <w:tcPr>
            <w:tcW w:w="1226" w:type="dxa"/>
            <w:vAlign w:val="top"/>
          </w:tcPr>
          <w:p>
            <w:pPr>
              <w:pStyle w:val="TableText"/>
              <w:ind w:left="433"/>
              <w:spacing w:before="157" w:line="195" w:lineRule="auto"/>
              <w:rPr/>
            </w:pPr>
            <w:r>
              <w:rPr>
                <w:spacing w:val="2"/>
              </w:rPr>
              <w:t>0.48</w:t>
            </w:r>
          </w:p>
        </w:tc>
        <w:tc>
          <w:tcPr>
            <w:tcW w:w="1226" w:type="dxa"/>
            <w:vAlign w:val="top"/>
          </w:tcPr>
          <w:p>
            <w:pPr>
              <w:pStyle w:val="TableText"/>
              <w:ind w:left="329"/>
              <w:spacing w:before="157" w:line="195" w:lineRule="auto"/>
              <w:rPr/>
            </w:pPr>
            <w:r>
              <w:rPr>
                <w:spacing w:val="3"/>
              </w:rPr>
              <w:t>336.68</w:t>
            </w:r>
          </w:p>
        </w:tc>
        <w:tc>
          <w:tcPr>
            <w:tcW w:w="1231" w:type="dxa"/>
            <w:vAlign w:val="top"/>
          </w:tcPr>
          <w:p>
            <w:pPr>
              <w:pStyle w:val="TableText"/>
              <w:ind w:left="334"/>
              <w:spacing w:before="157" w:line="195" w:lineRule="auto"/>
              <w:rPr/>
            </w:pPr>
            <w:r>
              <w:rPr>
                <w:spacing w:val="3"/>
              </w:rPr>
              <w:t>367.87</w:t>
            </w:r>
          </w:p>
        </w:tc>
        <w:tc>
          <w:tcPr>
            <w:tcW w:w="1651" w:type="dxa"/>
            <w:vAlign w:val="top"/>
            <w:vMerge w:val="restart"/>
            <w:tcBorders>
              <w:bottom w:val="nil"/>
            </w:tcBorders>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pStyle w:val="TableText"/>
              <w:ind w:left="567"/>
              <w:spacing w:before="57" w:line="201" w:lineRule="auto"/>
              <w:rPr/>
            </w:pPr>
            <w:r>
              <w:rPr>
                <w:spacing w:val="4"/>
              </w:rPr>
              <w:t>Bq/kg</w:t>
            </w:r>
          </w:p>
        </w:tc>
      </w:tr>
      <w:tr>
        <w:trPr>
          <w:trHeight w:val="460" w:hRule="atLeast"/>
        </w:trPr>
        <w:tc>
          <w:tcPr>
            <w:tcW w:w="1212" w:type="dxa"/>
            <w:vAlign w:val="top"/>
            <w:vMerge w:val="continue"/>
            <w:tcBorders>
              <w:top w:val="nil"/>
              <w:bottom w:val="nil"/>
            </w:tcBorders>
          </w:tcPr>
          <w:p>
            <w:pPr>
              <w:rPr>
                <w:rFonts w:ascii="Arial"/>
                <w:sz w:val="21"/>
              </w:rPr>
            </w:pPr>
            <w:r/>
          </w:p>
        </w:tc>
        <w:tc>
          <w:tcPr>
            <w:tcW w:w="914" w:type="dxa"/>
            <w:vAlign w:val="top"/>
            <w:vMerge w:val="continue"/>
            <w:tcBorders>
              <w:top w:val="nil"/>
              <w:bottom w:val="nil"/>
            </w:tcBorders>
          </w:tcPr>
          <w:p>
            <w:pPr>
              <w:rPr>
                <w:rFonts w:ascii="Arial"/>
                <w:sz w:val="21"/>
              </w:rPr>
            </w:pPr>
            <w:r/>
          </w:p>
        </w:tc>
        <w:tc>
          <w:tcPr>
            <w:tcW w:w="914" w:type="dxa"/>
            <w:vAlign w:val="top"/>
          </w:tcPr>
          <w:p>
            <w:pPr>
              <w:pStyle w:val="TableText"/>
              <w:ind w:left="139"/>
              <w:spacing w:before="154" w:line="199" w:lineRule="auto"/>
              <w:rPr/>
            </w:pPr>
            <w:r>
              <w:rPr>
                <w:spacing w:val="3"/>
              </w:rPr>
              <w:t>*226</w:t>
            </w:r>
            <w:r>
              <w:rPr/>
              <w:t>Ra</w:t>
            </w:r>
          </w:p>
        </w:tc>
        <w:tc>
          <w:tcPr>
            <w:tcW w:w="1228" w:type="dxa"/>
            <w:vAlign w:val="top"/>
          </w:tcPr>
          <w:p>
            <w:pPr>
              <w:pStyle w:val="TableText"/>
              <w:ind w:left="435"/>
              <w:spacing w:before="158" w:line="195" w:lineRule="auto"/>
              <w:rPr/>
            </w:pPr>
            <w:r>
              <w:rPr>
                <w:spacing w:val="2"/>
              </w:rPr>
              <w:t>8.63</w:t>
            </w:r>
          </w:p>
        </w:tc>
        <w:tc>
          <w:tcPr>
            <w:tcW w:w="1226" w:type="dxa"/>
            <w:vAlign w:val="top"/>
          </w:tcPr>
          <w:p>
            <w:pPr>
              <w:pStyle w:val="TableText"/>
              <w:ind w:left="486"/>
              <w:spacing w:before="158" w:line="195" w:lineRule="auto"/>
              <w:rPr/>
            </w:pPr>
            <w:r>
              <w:rPr>
                <w:spacing w:val="1"/>
              </w:rPr>
              <w:t>0.0</w:t>
            </w:r>
          </w:p>
        </w:tc>
        <w:tc>
          <w:tcPr>
            <w:tcW w:w="1226" w:type="dxa"/>
            <w:vAlign w:val="top"/>
          </w:tcPr>
          <w:p>
            <w:pPr>
              <w:pStyle w:val="TableText"/>
              <w:ind w:left="386"/>
              <w:spacing w:before="158" w:line="195" w:lineRule="auto"/>
              <w:rPr/>
            </w:pPr>
            <w:r>
              <w:rPr>
                <w:spacing w:val="2"/>
              </w:rPr>
              <w:t>50.19</w:t>
            </w:r>
          </w:p>
        </w:tc>
        <w:tc>
          <w:tcPr>
            <w:tcW w:w="1231" w:type="dxa"/>
            <w:vAlign w:val="top"/>
          </w:tcPr>
          <w:p>
            <w:pPr>
              <w:pStyle w:val="TableText"/>
              <w:ind w:left="382"/>
              <w:spacing w:before="158" w:line="195" w:lineRule="auto"/>
              <w:rPr/>
            </w:pPr>
            <w:r>
              <w:rPr>
                <w:spacing w:val="4"/>
              </w:rPr>
              <w:t>45.22</w:t>
            </w:r>
          </w:p>
        </w:tc>
        <w:tc>
          <w:tcPr>
            <w:tcW w:w="1651" w:type="dxa"/>
            <w:vAlign w:val="top"/>
            <w:vMerge w:val="continue"/>
            <w:tcBorders>
              <w:top w:val="nil"/>
              <w:bottom w:val="nil"/>
            </w:tcBorders>
          </w:tcPr>
          <w:p>
            <w:pPr>
              <w:rPr>
                <w:rFonts w:ascii="Arial"/>
                <w:sz w:val="21"/>
              </w:rPr>
            </w:pPr>
            <w:r/>
          </w:p>
        </w:tc>
      </w:tr>
      <w:tr>
        <w:trPr>
          <w:trHeight w:val="457" w:hRule="atLeast"/>
        </w:trPr>
        <w:tc>
          <w:tcPr>
            <w:tcW w:w="1212" w:type="dxa"/>
            <w:vAlign w:val="top"/>
            <w:vMerge w:val="continue"/>
            <w:tcBorders>
              <w:top w:val="nil"/>
              <w:bottom w:val="nil"/>
            </w:tcBorders>
          </w:tcPr>
          <w:p>
            <w:pPr>
              <w:rPr>
                <w:rFonts w:ascii="Arial"/>
                <w:sz w:val="21"/>
              </w:rPr>
            </w:pPr>
            <w:r/>
          </w:p>
        </w:tc>
        <w:tc>
          <w:tcPr>
            <w:tcW w:w="914" w:type="dxa"/>
            <w:vAlign w:val="top"/>
            <w:vMerge w:val="continue"/>
            <w:tcBorders>
              <w:top w:val="nil"/>
              <w:bottom w:val="nil"/>
            </w:tcBorders>
          </w:tcPr>
          <w:p>
            <w:pPr>
              <w:rPr>
                <w:rFonts w:ascii="Arial"/>
                <w:sz w:val="21"/>
              </w:rPr>
            </w:pPr>
            <w:r/>
          </w:p>
        </w:tc>
        <w:tc>
          <w:tcPr>
            <w:tcW w:w="914" w:type="dxa"/>
            <w:vAlign w:val="top"/>
          </w:tcPr>
          <w:p>
            <w:pPr>
              <w:pStyle w:val="TableText"/>
              <w:ind w:left="139"/>
              <w:spacing w:before="152" w:line="199" w:lineRule="auto"/>
              <w:rPr/>
            </w:pPr>
            <w:r>
              <w:rPr>
                <w:spacing w:val="3"/>
              </w:rPr>
              <w:t>*232</w:t>
            </w:r>
            <w:r>
              <w:rPr/>
              <w:t>Th</w:t>
            </w:r>
          </w:p>
        </w:tc>
        <w:tc>
          <w:tcPr>
            <w:tcW w:w="1228" w:type="dxa"/>
            <w:vAlign w:val="top"/>
          </w:tcPr>
          <w:p>
            <w:pPr>
              <w:pStyle w:val="TableText"/>
              <w:ind w:left="397"/>
              <w:spacing w:before="156" w:line="195" w:lineRule="auto"/>
              <w:rPr/>
            </w:pPr>
            <w:r>
              <w:rPr>
                <w:spacing w:val="-1"/>
              </w:rPr>
              <w:t>13.53</w:t>
            </w:r>
          </w:p>
        </w:tc>
        <w:tc>
          <w:tcPr>
            <w:tcW w:w="1226" w:type="dxa"/>
            <w:vAlign w:val="top"/>
          </w:tcPr>
          <w:p>
            <w:pPr>
              <w:pStyle w:val="TableText"/>
              <w:ind w:left="395"/>
              <w:spacing w:before="156" w:line="195" w:lineRule="auto"/>
              <w:rPr/>
            </w:pPr>
            <w:r>
              <w:rPr/>
              <w:t>17.43</w:t>
            </w:r>
          </w:p>
        </w:tc>
        <w:tc>
          <w:tcPr>
            <w:tcW w:w="1226" w:type="dxa"/>
            <w:vAlign w:val="top"/>
          </w:tcPr>
          <w:p>
            <w:pPr>
              <w:pStyle w:val="TableText"/>
              <w:ind w:left="385"/>
              <w:spacing w:before="156" w:line="195" w:lineRule="auto"/>
              <w:rPr/>
            </w:pPr>
            <w:r>
              <w:rPr>
                <w:spacing w:val="3"/>
              </w:rPr>
              <w:t>62.20</w:t>
            </w:r>
          </w:p>
        </w:tc>
        <w:tc>
          <w:tcPr>
            <w:tcW w:w="1231" w:type="dxa"/>
            <w:vAlign w:val="top"/>
          </w:tcPr>
          <w:p>
            <w:pPr>
              <w:pStyle w:val="TableText"/>
              <w:ind w:left="387"/>
              <w:spacing w:before="156" w:line="195" w:lineRule="auto"/>
              <w:rPr/>
            </w:pPr>
            <w:r>
              <w:rPr>
                <w:spacing w:val="3"/>
              </w:rPr>
              <w:t>66.74</w:t>
            </w:r>
          </w:p>
        </w:tc>
        <w:tc>
          <w:tcPr>
            <w:tcW w:w="1651" w:type="dxa"/>
            <w:vAlign w:val="top"/>
            <w:vMerge w:val="continue"/>
            <w:tcBorders>
              <w:top w:val="nil"/>
              <w:bottom w:val="nil"/>
            </w:tcBorders>
          </w:tcPr>
          <w:p>
            <w:pPr>
              <w:rPr>
                <w:rFonts w:ascii="Arial"/>
                <w:sz w:val="21"/>
              </w:rPr>
            </w:pPr>
            <w:r/>
          </w:p>
        </w:tc>
      </w:tr>
      <w:tr>
        <w:trPr>
          <w:trHeight w:val="462" w:hRule="atLeast"/>
        </w:trPr>
        <w:tc>
          <w:tcPr>
            <w:tcW w:w="1212" w:type="dxa"/>
            <w:vAlign w:val="top"/>
            <w:vMerge w:val="continue"/>
            <w:tcBorders>
              <w:top w:val="nil"/>
            </w:tcBorders>
          </w:tcPr>
          <w:p>
            <w:pPr>
              <w:rPr>
                <w:rFonts w:ascii="Arial"/>
                <w:sz w:val="21"/>
              </w:rPr>
            </w:pPr>
            <w:r/>
          </w:p>
        </w:tc>
        <w:tc>
          <w:tcPr>
            <w:tcW w:w="914" w:type="dxa"/>
            <w:vAlign w:val="top"/>
            <w:vMerge w:val="continue"/>
            <w:tcBorders>
              <w:top w:val="nil"/>
            </w:tcBorders>
          </w:tcPr>
          <w:p>
            <w:pPr>
              <w:rPr>
                <w:rFonts w:ascii="Arial"/>
                <w:sz w:val="21"/>
              </w:rPr>
            </w:pPr>
            <w:r/>
          </w:p>
        </w:tc>
        <w:tc>
          <w:tcPr>
            <w:tcW w:w="914" w:type="dxa"/>
            <w:vAlign w:val="top"/>
          </w:tcPr>
          <w:p>
            <w:pPr>
              <w:pStyle w:val="TableText"/>
              <w:ind w:left="180"/>
              <w:spacing w:before="156" w:line="199" w:lineRule="auto"/>
              <w:rPr/>
            </w:pPr>
            <w:r>
              <w:rPr>
                <w:spacing w:val="2"/>
              </w:rPr>
              <w:t>*238U</w:t>
            </w:r>
          </w:p>
        </w:tc>
        <w:tc>
          <w:tcPr>
            <w:tcW w:w="1228" w:type="dxa"/>
            <w:vAlign w:val="top"/>
          </w:tcPr>
          <w:p>
            <w:pPr>
              <w:pStyle w:val="TableText"/>
              <w:ind w:left="397"/>
              <w:spacing w:before="160" w:line="195" w:lineRule="auto"/>
              <w:rPr/>
            </w:pPr>
            <w:r>
              <w:rPr>
                <w:spacing w:val="-1"/>
              </w:rPr>
              <w:t>18.71</w:t>
            </w:r>
          </w:p>
        </w:tc>
        <w:tc>
          <w:tcPr>
            <w:tcW w:w="1226" w:type="dxa"/>
            <w:vAlign w:val="top"/>
          </w:tcPr>
          <w:p>
            <w:pPr>
              <w:pStyle w:val="TableText"/>
              <w:ind w:left="395"/>
              <w:spacing w:before="160" w:line="195" w:lineRule="auto"/>
              <w:rPr/>
            </w:pPr>
            <w:r>
              <w:rPr/>
              <w:t>18.40</w:t>
            </w:r>
          </w:p>
        </w:tc>
        <w:tc>
          <w:tcPr>
            <w:tcW w:w="1226" w:type="dxa"/>
            <w:vAlign w:val="top"/>
          </w:tcPr>
          <w:p>
            <w:pPr>
              <w:pStyle w:val="TableText"/>
              <w:ind w:left="379"/>
              <w:spacing w:before="160" w:line="195" w:lineRule="auto"/>
              <w:rPr/>
            </w:pPr>
            <w:r>
              <w:rPr>
                <w:spacing w:val="4"/>
              </w:rPr>
              <w:t>49.57</w:t>
            </w:r>
          </w:p>
        </w:tc>
        <w:tc>
          <w:tcPr>
            <w:tcW w:w="1231" w:type="dxa"/>
            <w:vAlign w:val="top"/>
          </w:tcPr>
          <w:p>
            <w:pPr>
              <w:pStyle w:val="TableText"/>
              <w:ind w:left="492"/>
              <w:spacing w:before="160" w:line="195" w:lineRule="auto"/>
              <w:rPr/>
            </w:pPr>
            <w:r>
              <w:rPr>
                <w:spacing w:val="1"/>
              </w:rPr>
              <w:t>0.0</w:t>
            </w:r>
          </w:p>
        </w:tc>
        <w:tc>
          <w:tcPr>
            <w:tcW w:w="1651" w:type="dxa"/>
            <w:vAlign w:val="top"/>
            <w:vMerge w:val="continue"/>
            <w:tcBorders>
              <w:top w:val="nil"/>
            </w:tcBorders>
          </w:tcPr>
          <w:p>
            <w:pPr>
              <w:rPr>
                <w:rFonts w:ascii="Arial"/>
                <w:sz w:val="21"/>
              </w:rPr>
            </w:pPr>
            <w:r/>
          </w:p>
        </w:tc>
      </w:tr>
    </w:tbl>
    <w:p>
      <w:pPr>
        <w:pStyle w:val="BodyText"/>
        <w:rPr/>
      </w:pPr>
      <w:r/>
    </w:p>
    <w:p>
      <w:pPr>
        <w:sectPr>
          <w:headerReference w:type="default" r:id="rId197"/>
          <w:footerReference w:type="default" r:id="rId198"/>
          <w:pgSz w:w="11906" w:h="16838"/>
          <w:pgMar w:top="1453" w:right="1170" w:bottom="1250" w:left="1127" w:header="1120" w:footer="1088" w:gutter="0"/>
        </w:sectPr>
        <w:rPr/>
      </w:pPr>
    </w:p>
    <w:p>
      <w:pPr>
        <w:pStyle w:val="BodyText"/>
        <w:spacing w:line="318" w:lineRule="auto"/>
        <w:rPr/>
      </w:pPr>
      <w:r/>
    </w:p>
    <w:p>
      <w:pPr>
        <w:pStyle w:val="BodyText"/>
        <w:spacing w:line="319" w:lineRule="auto"/>
        <w:rPr/>
      </w:pPr>
      <w:r/>
    </w:p>
    <w:p>
      <w:pPr>
        <w:ind w:left="3735"/>
        <w:spacing w:before="78" w:line="219" w:lineRule="auto"/>
        <w:rPr>
          <w:rFonts w:ascii="SimSun" w:hAnsi="SimSun" w:eastAsia="SimSun" w:cs="SimSun"/>
          <w:sz w:val="24"/>
          <w:szCs w:val="24"/>
        </w:rPr>
      </w:pPr>
      <w:r>
        <w:rPr>
          <w:rFonts w:ascii="SimSun" w:hAnsi="SimSun" w:eastAsia="SimSun" w:cs="SimSun"/>
          <w:sz w:val="24"/>
          <w:szCs w:val="24"/>
          <w:b/>
          <w:bCs/>
          <w:spacing w:val="-4"/>
        </w:rPr>
        <w:t>煤层煤质特征表</w:t>
      </w:r>
    </w:p>
    <w:p>
      <w:pPr>
        <w:ind w:left="38"/>
        <w:spacing w:before="39" w:line="18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3-5-4</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5"/>
        <w:gridCol w:w="461"/>
        <w:gridCol w:w="1266"/>
        <w:gridCol w:w="1266"/>
        <w:gridCol w:w="1266"/>
        <w:gridCol w:w="1163"/>
        <w:gridCol w:w="1266"/>
        <w:gridCol w:w="1267"/>
        <w:gridCol w:w="461"/>
      </w:tblGrid>
      <w:tr>
        <w:trPr>
          <w:trHeight w:val="482" w:hRule="atLeast"/>
        </w:trPr>
        <w:tc>
          <w:tcPr>
            <w:tcW w:w="715" w:type="dxa"/>
            <w:vAlign w:val="top"/>
            <w:vMerge w:val="restart"/>
            <w:tcBorders>
              <w:bottom w:val="nil"/>
            </w:tcBorders>
          </w:tcPr>
          <w:p>
            <w:pPr>
              <w:spacing w:line="406" w:lineRule="auto"/>
              <w:rPr>
                <w:rFonts w:ascii="Arial"/>
                <w:sz w:val="21"/>
              </w:rPr>
            </w:pPr>
            <w:r/>
          </w:p>
          <w:p>
            <w:pPr>
              <w:ind w:left="155" w:right="145"/>
              <w:spacing w:before="65" w:line="254" w:lineRule="auto"/>
              <w:rPr>
                <w:rFonts w:ascii="SimSun" w:hAnsi="SimSun" w:eastAsia="SimSun" w:cs="SimSun"/>
                <w:sz w:val="20"/>
                <w:szCs w:val="20"/>
              </w:rPr>
            </w:pPr>
            <w:r>
              <w:rPr>
                <w:rFonts w:ascii="SimSun" w:hAnsi="SimSun" w:eastAsia="SimSun" w:cs="SimSun"/>
                <w:sz w:val="20"/>
                <w:szCs w:val="20"/>
                <w:spacing w:val="4"/>
              </w:rPr>
              <w:t>煤层</w:t>
            </w:r>
            <w:r>
              <w:rPr>
                <w:rFonts w:ascii="SimSun" w:hAnsi="SimSun" w:eastAsia="SimSun" w:cs="SimSun"/>
                <w:sz w:val="20"/>
                <w:szCs w:val="20"/>
                <w:spacing w:val="3"/>
              </w:rPr>
              <w:t>编号</w:t>
            </w:r>
          </w:p>
        </w:tc>
        <w:tc>
          <w:tcPr>
            <w:tcW w:w="461" w:type="dxa"/>
            <w:vAlign w:val="top"/>
            <w:vMerge w:val="restart"/>
            <w:textDirection w:val="tbRlV"/>
            <w:tcBorders>
              <w:bottom w:val="nil"/>
            </w:tcBorders>
          </w:tcPr>
          <w:p>
            <w:pPr>
              <w:ind w:left="202"/>
              <w:spacing w:before="127" w:line="217"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6"/>
              </w:rPr>
              <w:t xml:space="preserve"> </w:t>
            </w:r>
            <w:r>
              <w:rPr>
                <w:rFonts w:ascii="SimSun" w:hAnsi="SimSun" w:eastAsia="SimSun" w:cs="SimSun"/>
                <w:sz w:val="20"/>
                <w:szCs w:val="20"/>
                <w:spacing w:val="8"/>
              </w:rPr>
              <w:t>选</w:t>
            </w:r>
            <w:r>
              <w:rPr>
                <w:rFonts w:ascii="SimSun" w:hAnsi="SimSun" w:eastAsia="SimSun" w:cs="SimSun"/>
                <w:sz w:val="20"/>
                <w:szCs w:val="20"/>
                <w:spacing w:val="-35"/>
              </w:rPr>
              <w:t xml:space="preserve"> </w:t>
            </w:r>
            <w:r>
              <w:rPr>
                <w:rFonts w:ascii="SimSun" w:hAnsi="SimSun" w:eastAsia="SimSun" w:cs="SimSun"/>
                <w:sz w:val="20"/>
                <w:szCs w:val="20"/>
                <w:spacing w:val="8"/>
              </w:rPr>
              <w:t>情</w:t>
            </w:r>
            <w:r>
              <w:rPr>
                <w:rFonts w:ascii="SimSun" w:hAnsi="SimSun" w:eastAsia="SimSun" w:cs="SimSun"/>
                <w:sz w:val="20"/>
                <w:szCs w:val="20"/>
                <w:spacing w:val="-35"/>
              </w:rPr>
              <w:t xml:space="preserve"> </w:t>
            </w:r>
            <w:r>
              <w:rPr>
                <w:rFonts w:ascii="SimSun" w:hAnsi="SimSun" w:eastAsia="SimSun" w:cs="SimSun"/>
                <w:sz w:val="20"/>
                <w:szCs w:val="20"/>
                <w:spacing w:val="8"/>
              </w:rPr>
              <w:t>况</w:t>
            </w:r>
          </w:p>
        </w:tc>
        <w:tc>
          <w:tcPr>
            <w:tcW w:w="2532" w:type="dxa"/>
            <w:vAlign w:val="top"/>
            <w:gridSpan w:val="2"/>
            <w:vMerge w:val="restart"/>
            <w:tcBorders>
              <w:bottom w:val="nil"/>
            </w:tcBorders>
          </w:tcPr>
          <w:p>
            <w:pPr>
              <w:spacing w:line="306" w:lineRule="auto"/>
              <w:rPr>
                <w:rFonts w:ascii="Arial"/>
                <w:sz w:val="21"/>
              </w:rPr>
            </w:pPr>
            <w:r/>
          </w:p>
          <w:p>
            <w:pPr>
              <w:pStyle w:val="TableText"/>
              <w:ind w:left="552"/>
              <w:spacing w:before="65" w:line="228" w:lineRule="auto"/>
              <w:rPr>
                <w:rFonts w:ascii="SimSun" w:hAnsi="SimSun" w:eastAsia="SimSun" w:cs="SimSun"/>
              </w:rPr>
            </w:pPr>
            <w:r>
              <w:rPr>
                <w:rFonts w:ascii="SimSun" w:hAnsi="SimSun" w:eastAsia="SimSun" w:cs="SimSun"/>
                <w:spacing w:val="6"/>
              </w:rPr>
              <w:t>工业分析（</w:t>
            </w:r>
            <w:r>
              <w:rPr>
                <w:spacing w:val="6"/>
              </w:rPr>
              <w:t>%</w:t>
            </w:r>
            <w:r>
              <w:rPr>
                <w:rFonts w:ascii="SimSun" w:hAnsi="SimSun" w:eastAsia="SimSun" w:cs="SimSun"/>
                <w:spacing w:val="6"/>
              </w:rPr>
              <w:t>）</w:t>
            </w:r>
          </w:p>
        </w:tc>
        <w:tc>
          <w:tcPr>
            <w:tcW w:w="1266" w:type="dxa"/>
            <w:vAlign w:val="top"/>
          </w:tcPr>
          <w:p>
            <w:pPr>
              <w:pStyle w:val="TableText"/>
              <w:ind w:left="185"/>
              <w:spacing w:before="130" w:line="228" w:lineRule="auto"/>
              <w:rPr>
                <w:rFonts w:ascii="SimSun" w:hAnsi="SimSun" w:eastAsia="SimSun" w:cs="SimSun"/>
              </w:rPr>
            </w:pPr>
            <w:r>
              <w:rPr>
                <w:rFonts w:ascii="SimSun" w:hAnsi="SimSun" w:eastAsia="SimSun" w:cs="SimSun"/>
                <w:spacing w:val="5"/>
              </w:rPr>
              <w:t>最小</w:t>
            </w:r>
            <w:r>
              <w:rPr>
                <w:spacing w:val="5"/>
              </w:rPr>
              <w:t>-</w:t>
            </w:r>
            <w:r>
              <w:rPr>
                <w:rFonts w:ascii="SimSun" w:hAnsi="SimSun" w:eastAsia="SimSun" w:cs="SimSun"/>
                <w:spacing w:val="5"/>
              </w:rPr>
              <w:t>最大</w:t>
            </w:r>
          </w:p>
        </w:tc>
        <w:tc>
          <w:tcPr>
            <w:tcW w:w="1163" w:type="dxa"/>
            <w:vAlign w:val="top"/>
          </w:tcPr>
          <w:p>
            <w:pPr>
              <w:pStyle w:val="TableText"/>
              <w:ind w:left="129"/>
              <w:spacing w:before="130"/>
              <w:rPr>
                <w:rFonts w:ascii="SimSun" w:hAnsi="SimSun" w:eastAsia="SimSun" w:cs="SimSun"/>
              </w:rPr>
            </w:pPr>
            <w:r>
              <w:rPr/>
              <w:t>St</w:t>
            </w:r>
            <w:r>
              <w:rPr>
                <w:spacing w:val="3"/>
              </w:rPr>
              <w:t>.d</w:t>
            </w:r>
            <w:r>
              <w:rPr>
                <w:rFonts w:ascii="SimSun" w:hAnsi="SimSun" w:eastAsia="SimSun" w:cs="SimSun"/>
                <w:spacing w:val="3"/>
              </w:rPr>
              <w:t>（</w:t>
            </w:r>
            <w:r>
              <w:rPr>
                <w:spacing w:val="3"/>
              </w:rPr>
              <w:t>%</w:t>
            </w:r>
            <w:r>
              <w:rPr>
                <w:rFonts w:ascii="SimSun" w:hAnsi="SimSun" w:eastAsia="SimSun" w:cs="SimSun"/>
                <w:spacing w:val="3"/>
              </w:rPr>
              <w:t>）</w:t>
            </w:r>
          </w:p>
        </w:tc>
        <w:tc>
          <w:tcPr>
            <w:tcW w:w="1266" w:type="dxa"/>
            <w:vAlign w:val="top"/>
            <w:vMerge w:val="restart"/>
            <w:tcBorders>
              <w:bottom w:val="nil"/>
            </w:tcBorders>
          </w:tcPr>
          <w:p>
            <w:pPr>
              <w:pStyle w:val="TableText"/>
              <w:ind w:left="147" w:right="149" w:firstLine="180"/>
              <w:spacing w:before="238" w:line="247" w:lineRule="auto"/>
              <w:rPr>
                <w:rFonts w:ascii="SimSun" w:hAnsi="SimSun" w:eastAsia="SimSun" w:cs="SimSun"/>
              </w:rPr>
            </w:pPr>
            <w:r>
              <w:rPr>
                <w:rFonts w:ascii="SimSun" w:hAnsi="SimSun" w:eastAsia="SimSun" w:cs="SimSun"/>
                <w:spacing w:val="5"/>
              </w:rPr>
              <w:t>发热量</w:t>
            </w:r>
            <w:r>
              <w:rPr>
                <w:rFonts w:ascii="SimSun" w:hAnsi="SimSun" w:eastAsia="SimSun" w:cs="SimSun"/>
                <w:spacing w:val="2"/>
              </w:rPr>
              <w:t>（</w:t>
            </w:r>
            <w:r>
              <w:rPr/>
              <w:t>MJ</w:t>
            </w:r>
            <w:r>
              <w:rPr>
                <w:spacing w:val="2"/>
              </w:rPr>
              <w:t>/</w:t>
            </w:r>
            <w:r>
              <w:rPr/>
              <w:t>Kg</w:t>
            </w:r>
            <w:r>
              <w:rPr>
                <w:rFonts w:ascii="SimSun" w:hAnsi="SimSun" w:eastAsia="SimSun" w:cs="SimSun"/>
                <w:spacing w:val="2"/>
              </w:rPr>
              <w:t>）</w:t>
            </w:r>
          </w:p>
        </w:tc>
        <w:tc>
          <w:tcPr>
            <w:tcW w:w="1267" w:type="dxa"/>
            <w:vAlign w:val="top"/>
          </w:tcPr>
          <w:p>
            <w:pPr>
              <w:pStyle w:val="TableText"/>
              <w:ind w:left="189"/>
              <w:spacing w:before="130" w:line="228" w:lineRule="auto"/>
              <w:rPr>
                <w:rFonts w:ascii="SimSun" w:hAnsi="SimSun" w:eastAsia="SimSun" w:cs="SimSun"/>
              </w:rPr>
            </w:pPr>
            <w:r>
              <w:rPr>
                <w:rFonts w:ascii="SimSun" w:hAnsi="SimSun" w:eastAsia="SimSun" w:cs="SimSun"/>
                <w:spacing w:val="6"/>
              </w:rPr>
              <w:t>最小</w:t>
            </w:r>
            <w:r>
              <w:rPr>
                <w:spacing w:val="6"/>
              </w:rPr>
              <w:t>-</w:t>
            </w:r>
            <w:r>
              <w:rPr>
                <w:rFonts w:ascii="SimSun" w:hAnsi="SimSun" w:eastAsia="SimSun" w:cs="SimSun"/>
                <w:spacing w:val="6"/>
              </w:rPr>
              <w:t>最大</w:t>
            </w:r>
          </w:p>
        </w:tc>
        <w:tc>
          <w:tcPr>
            <w:tcW w:w="461"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ind w:left="131" w:right="123"/>
              <w:spacing w:before="65" w:line="232" w:lineRule="auto"/>
              <w:rPr>
                <w:rFonts w:ascii="SimSun" w:hAnsi="SimSun" w:eastAsia="SimSun" w:cs="SimSun"/>
                <w:sz w:val="20"/>
                <w:szCs w:val="20"/>
              </w:rPr>
            </w:pPr>
            <w:r>
              <w:rPr>
                <w:rFonts w:ascii="SimSun" w:hAnsi="SimSun" w:eastAsia="SimSun" w:cs="SimSun"/>
                <w:sz w:val="20"/>
                <w:szCs w:val="20"/>
              </w:rPr>
              <w:t>煤</w:t>
            </w:r>
            <w:r>
              <w:rPr>
                <w:rFonts w:ascii="SimSun" w:hAnsi="SimSun" w:eastAsia="SimSun" w:cs="SimSun"/>
                <w:sz w:val="20"/>
                <w:szCs w:val="20"/>
              </w:rPr>
              <w:t>类</w:t>
            </w:r>
          </w:p>
        </w:tc>
      </w:tr>
      <w:tr>
        <w:trPr>
          <w:trHeight w:val="482" w:hRule="atLeast"/>
        </w:trPr>
        <w:tc>
          <w:tcPr>
            <w:tcW w:w="715" w:type="dxa"/>
            <w:vAlign w:val="top"/>
            <w:vMerge w:val="continue"/>
            <w:tcBorders>
              <w:top w:val="nil"/>
              <w:bottom w:val="nil"/>
            </w:tcBorders>
          </w:tcPr>
          <w:p>
            <w:pPr>
              <w:rPr>
                <w:rFonts w:ascii="Arial"/>
                <w:sz w:val="21"/>
              </w:rPr>
            </w:pPr>
            <w:r/>
          </w:p>
        </w:tc>
        <w:tc>
          <w:tcPr>
            <w:tcW w:w="461" w:type="dxa"/>
            <w:vAlign w:val="top"/>
            <w:vMerge w:val="continue"/>
            <w:textDirection w:val="tbRlV"/>
            <w:tcBorders>
              <w:top w:val="nil"/>
              <w:bottom w:val="nil"/>
            </w:tcBorders>
          </w:tcPr>
          <w:p>
            <w:pPr>
              <w:rPr>
                <w:rFonts w:ascii="Arial"/>
                <w:sz w:val="21"/>
              </w:rPr>
            </w:pPr>
            <w:r/>
          </w:p>
        </w:tc>
        <w:tc>
          <w:tcPr>
            <w:tcW w:w="2532" w:type="dxa"/>
            <w:vAlign w:val="top"/>
            <w:gridSpan w:val="2"/>
            <w:vMerge w:val="continue"/>
            <w:tcBorders>
              <w:top w:val="nil"/>
            </w:tcBorders>
          </w:tcPr>
          <w:p>
            <w:pPr>
              <w:rPr>
                <w:rFonts w:ascii="Arial"/>
                <w:sz w:val="21"/>
              </w:rPr>
            </w:pPr>
            <w:r/>
          </w:p>
        </w:tc>
        <w:tc>
          <w:tcPr>
            <w:tcW w:w="1266" w:type="dxa"/>
            <w:vAlign w:val="top"/>
          </w:tcPr>
          <w:p>
            <w:pPr>
              <w:spacing w:before="128" w:line="228" w:lineRule="auto"/>
              <w:jc w:val="right"/>
              <w:rPr>
                <w:rFonts w:ascii="SimSun" w:hAnsi="SimSun" w:eastAsia="SimSun" w:cs="SimSun"/>
                <w:sz w:val="20"/>
                <w:szCs w:val="20"/>
              </w:rPr>
            </w:pPr>
            <w:r>
              <w:rPr>
                <w:rFonts w:ascii="SimSun" w:hAnsi="SimSun" w:eastAsia="SimSun" w:cs="SimSun"/>
                <w:sz w:val="20"/>
                <w:szCs w:val="20"/>
                <w:spacing w:val="4"/>
              </w:rPr>
              <w:t>平均（点数）</w:t>
            </w:r>
          </w:p>
        </w:tc>
        <w:tc>
          <w:tcPr>
            <w:tcW w:w="1163" w:type="dxa"/>
            <w:vAlign w:val="top"/>
          </w:tcPr>
          <w:p>
            <w:pPr>
              <w:pStyle w:val="TableText"/>
              <w:ind w:left="136"/>
              <w:spacing w:before="128" w:line="228" w:lineRule="auto"/>
              <w:rPr>
                <w:rFonts w:ascii="SimSun" w:hAnsi="SimSun" w:eastAsia="SimSun" w:cs="SimSun"/>
              </w:rPr>
            </w:pPr>
            <w:r>
              <w:rPr>
                <w:rFonts w:ascii="SimSun" w:hAnsi="SimSun" w:eastAsia="SimSun" w:cs="SimSun"/>
                <w:spacing w:val="5"/>
              </w:rPr>
              <w:t>最小</w:t>
            </w:r>
            <w:r>
              <w:rPr>
                <w:spacing w:val="5"/>
              </w:rPr>
              <w:t>-</w:t>
            </w:r>
            <w:r>
              <w:rPr>
                <w:rFonts w:ascii="SimSun" w:hAnsi="SimSun" w:eastAsia="SimSun" w:cs="SimSun"/>
                <w:spacing w:val="5"/>
              </w:rPr>
              <w:t>最大</w:t>
            </w:r>
          </w:p>
        </w:tc>
        <w:tc>
          <w:tcPr>
            <w:tcW w:w="1266" w:type="dxa"/>
            <w:vAlign w:val="top"/>
            <w:vMerge w:val="continue"/>
            <w:tcBorders>
              <w:top w:val="nil"/>
            </w:tcBorders>
          </w:tcPr>
          <w:p>
            <w:pPr>
              <w:rPr>
                <w:rFonts w:ascii="Arial"/>
                <w:sz w:val="21"/>
              </w:rPr>
            </w:pPr>
            <w:r/>
          </w:p>
        </w:tc>
        <w:tc>
          <w:tcPr>
            <w:tcW w:w="1267" w:type="dxa"/>
            <w:vAlign w:val="top"/>
          </w:tcPr>
          <w:p>
            <w:pPr>
              <w:spacing w:before="128" w:line="228" w:lineRule="auto"/>
              <w:jc w:val="right"/>
              <w:rPr>
                <w:rFonts w:ascii="SimSun" w:hAnsi="SimSun" w:eastAsia="SimSun" w:cs="SimSun"/>
                <w:sz w:val="20"/>
                <w:szCs w:val="20"/>
              </w:rPr>
            </w:pPr>
            <w:r>
              <w:rPr>
                <w:rFonts w:ascii="SimSun" w:hAnsi="SimSun" w:eastAsia="SimSun" w:cs="SimSun"/>
                <w:sz w:val="20"/>
                <w:szCs w:val="20"/>
                <w:spacing w:val="4"/>
              </w:rPr>
              <w:t>平均（点数）</w:t>
            </w:r>
          </w:p>
        </w:tc>
        <w:tc>
          <w:tcPr>
            <w:tcW w:w="461" w:type="dxa"/>
            <w:vAlign w:val="top"/>
            <w:vMerge w:val="continue"/>
            <w:tcBorders>
              <w:top w:val="nil"/>
              <w:bottom w:val="nil"/>
            </w:tcBorders>
          </w:tcPr>
          <w:p>
            <w:pPr>
              <w:rPr>
                <w:rFonts w:ascii="Arial"/>
                <w:sz w:val="21"/>
              </w:rPr>
            </w:pPr>
            <w:r/>
          </w:p>
        </w:tc>
      </w:tr>
      <w:tr>
        <w:trPr>
          <w:trHeight w:val="470" w:hRule="atLeast"/>
        </w:trPr>
        <w:tc>
          <w:tcPr>
            <w:tcW w:w="715" w:type="dxa"/>
            <w:vAlign w:val="top"/>
            <w:vMerge w:val="continue"/>
            <w:tcBorders>
              <w:top w:val="nil"/>
            </w:tcBorders>
          </w:tcPr>
          <w:p>
            <w:pPr>
              <w:rPr>
                <w:rFonts w:ascii="Arial"/>
                <w:sz w:val="21"/>
              </w:rPr>
            </w:pPr>
            <w:r/>
          </w:p>
        </w:tc>
        <w:tc>
          <w:tcPr>
            <w:tcW w:w="461" w:type="dxa"/>
            <w:vAlign w:val="top"/>
            <w:vMerge w:val="continue"/>
            <w:textDirection w:val="tbRlV"/>
            <w:tcBorders>
              <w:top w:val="nil"/>
            </w:tcBorders>
          </w:tcPr>
          <w:p>
            <w:pPr>
              <w:rPr>
                <w:rFonts w:ascii="Arial"/>
                <w:sz w:val="21"/>
              </w:rPr>
            </w:pPr>
            <w:r/>
          </w:p>
        </w:tc>
        <w:tc>
          <w:tcPr>
            <w:tcW w:w="1266" w:type="dxa"/>
            <w:vAlign w:val="top"/>
          </w:tcPr>
          <w:p>
            <w:pPr>
              <w:pStyle w:val="TableText"/>
              <w:ind w:left="437"/>
              <w:spacing w:before="156" w:line="199" w:lineRule="auto"/>
              <w:rPr/>
            </w:pPr>
            <w:r>
              <w:rPr>
                <w:spacing w:val="5"/>
              </w:rPr>
              <w:t>Mad</w:t>
            </w:r>
          </w:p>
        </w:tc>
        <w:tc>
          <w:tcPr>
            <w:tcW w:w="1266" w:type="dxa"/>
            <w:vAlign w:val="top"/>
          </w:tcPr>
          <w:p>
            <w:pPr>
              <w:pStyle w:val="TableText"/>
              <w:ind w:left="501"/>
              <w:spacing w:before="156" w:line="199" w:lineRule="auto"/>
              <w:rPr/>
            </w:pPr>
            <w:r>
              <w:rPr>
                <w:spacing w:val="5"/>
              </w:rPr>
              <w:t>Ad</w:t>
            </w:r>
          </w:p>
        </w:tc>
        <w:tc>
          <w:tcPr>
            <w:tcW w:w="1266" w:type="dxa"/>
            <w:vAlign w:val="top"/>
          </w:tcPr>
          <w:p>
            <w:pPr>
              <w:pStyle w:val="TableText"/>
              <w:ind w:left="421"/>
              <w:spacing w:before="156" w:line="199" w:lineRule="auto"/>
              <w:rPr/>
            </w:pPr>
            <w:r>
              <w:rPr>
                <w:spacing w:val="9"/>
              </w:rPr>
              <w:t>Vdaf</w:t>
            </w:r>
          </w:p>
        </w:tc>
        <w:tc>
          <w:tcPr>
            <w:tcW w:w="1163" w:type="dxa"/>
            <w:vAlign w:val="top"/>
          </w:tcPr>
          <w:p>
            <w:pPr>
              <w:pStyle w:val="TableText"/>
              <w:ind w:left="97"/>
              <w:spacing w:before="124" w:line="221" w:lineRule="auto"/>
              <w:rPr/>
            </w:pPr>
            <w:r>
              <w:rPr>
                <w:rFonts w:ascii="SimSun" w:hAnsi="SimSun" w:eastAsia="SimSun" w:cs="SimSun"/>
                <w:spacing w:val="6"/>
              </w:rPr>
              <w:t>平均</w:t>
            </w:r>
            <w:r>
              <w:rPr>
                <w:spacing w:val="6"/>
              </w:rPr>
              <w:t>(</w:t>
            </w:r>
            <w:r>
              <w:rPr>
                <w:rFonts w:ascii="SimSun" w:hAnsi="SimSun" w:eastAsia="SimSun" w:cs="SimSun"/>
                <w:spacing w:val="6"/>
              </w:rPr>
              <w:t>点数</w:t>
            </w:r>
            <w:r>
              <w:rPr>
                <w:spacing w:val="6"/>
              </w:rPr>
              <w:t>)</w:t>
            </w:r>
          </w:p>
        </w:tc>
        <w:tc>
          <w:tcPr>
            <w:tcW w:w="1266" w:type="dxa"/>
            <w:vAlign w:val="top"/>
          </w:tcPr>
          <w:p>
            <w:pPr>
              <w:pStyle w:val="TableText"/>
              <w:ind w:left="398"/>
              <w:spacing w:before="155" w:line="201" w:lineRule="auto"/>
              <w:rPr/>
            </w:pPr>
            <w:r>
              <w:rPr/>
              <w:t>Qgr</w:t>
            </w:r>
            <w:r>
              <w:rPr>
                <w:spacing w:val="7"/>
              </w:rPr>
              <w:t>.d</w:t>
            </w:r>
          </w:p>
        </w:tc>
        <w:tc>
          <w:tcPr>
            <w:tcW w:w="1267" w:type="dxa"/>
            <w:vAlign w:val="top"/>
          </w:tcPr>
          <w:p>
            <w:pPr>
              <w:pStyle w:val="TableText"/>
              <w:ind w:left="358"/>
              <w:spacing w:before="156" w:line="200" w:lineRule="auto"/>
              <w:rPr/>
            </w:pPr>
            <w:r>
              <w:rPr/>
              <w:t>Qnet</w:t>
            </w:r>
            <w:r>
              <w:rPr>
                <w:spacing w:val="10"/>
              </w:rPr>
              <w:t>.d</w:t>
            </w:r>
          </w:p>
        </w:tc>
        <w:tc>
          <w:tcPr>
            <w:tcW w:w="461" w:type="dxa"/>
            <w:vAlign w:val="top"/>
            <w:vMerge w:val="continue"/>
            <w:tcBorders>
              <w:top w:val="nil"/>
            </w:tcBorders>
          </w:tcPr>
          <w:p>
            <w:pPr>
              <w:rPr>
                <w:rFonts w:ascii="Arial"/>
                <w:sz w:val="21"/>
              </w:rPr>
            </w:pPr>
            <w:r/>
          </w:p>
        </w:tc>
      </w:tr>
      <w:tr>
        <w:trPr>
          <w:trHeight w:val="551" w:hRule="atLeast"/>
        </w:trPr>
        <w:tc>
          <w:tcPr>
            <w:tcW w:w="715" w:type="dxa"/>
            <w:vAlign w:val="top"/>
            <w:vMerge w:val="restart"/>
            <w:tcBorders>
              <w:bottom w:val="nil"/>
            </w:tcBorders>
          </w:tcPr>
          <w:p>
            <w:pPr>
              <w:spacing w:line="409" w:lineRule="auto"/>
              <w:rPr>
                <w:rFonts w:ascii="Arial"/>
                <w:sz w:val="21"/>
              </w:rPr>
            </w:pPr>
            <w:r/>
          </w:p>
          <w:p>
            <w:pPr>
              <w:ind w:left="48"/>
              <w:spacing w:before="65" w:line="228" w:lineRule="auto"/>
              <w:rPr>
                <w:rFonts w:ascii="SimSun" w:hAnsi="SimSun" w:eastAsia="SimSun" w:cs="SimSun"/>
                <w:sz w:val="20"/>
                <w:szCs w:val="20"/>
              </w:rPr>
            </w:pPr>
            <w:r>
              <w:rPr>
                <w:rFonts w:ascii="SimSun" w:hAnsi="SimSun" w:eastAsia="SimSun" w:cs="SimSun"/>
                <w:sz w:val="20"/>
                <w:szCs w:val="20"/>
                <w:spacing w:val="6"/>
              </w:rPr>
              <w:t>上六煤</w:t>
            </w:r>
          </w:p>
        </w:tc>
        <w:tc>
          <w:tcPr>
            <w:tcW w:w="461" w:type="dxa"/>
            <w:vAlign w:val="top"/>
            <w:textDirection w:val="tbRlV"/>
          </w:tcPr>
          <w:p>
            <w:pPr>
              <w:ind w:left="28"/>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74"/>
              <w:spacing w:before="42" w:line="264" w:lineRule="exact"/>
              <w:rPr/>
            </w:pPr>
            <w:r>
              <w:rPr>
                <w:spacing w:val="2"/>
                <w:position w:val="1"/>
              </w:rPr>
              <w:t>10.50</w:t>
            </w:r>
            <w:r>
              <w:rPr>
                <w:rFonts w:ascii="SimSun" w:hAnsi="SimSun" w:eastAsia="SimSun" w:cs="SimSun"/>
                <w:spacing w:val="2"/>
                <w:position w:val="1"/>
              </w:rPr>
              <w:t>～</w:t>
            </w:r>
            <w:r>
              <w:rPr>
                <w:spacing w:val="2"/>
                <w:position w:val="1"/>
              </w:rPr>
              <w:t>19.17</w:t>
            </w:r>
          </w:p>
          <w:p>
            <w:pPr>
              <w:pStyle w:val="TableText"/>
              <w:ind w:left="295"/>
              <w:spacing w:before="24" w:line="201" w:lineRule="auto"/>
              <w:rPr/>
            </w:pPr>
            <w:r>
              <w:rPr>
                <w:spacing w:val="1"/>
              </w:rPr>
              <w:t>15.43(9)</w:t>
            </w:r>
          </w:p>
        </w:tc>
        <w:tc>
          <w:tcPr>
            <w:tcW w:w="1266" w:type="dxa"/>
            <w:vAlign w:val="top"/>
          </w:tcPr>
          <w:p>
            <w:pPr>
              <w:pStyle w:val="TableText"/>
              <w:ind w:left="75"/>
              <w:spacing w:before="42" w:line="264" w:lineRule="exact"/>
              <w:rPr/>
            </w:pPr>
            <w:r>
              <w:rPr>
                <w:spacing w:val="2"/>
                <w:position w:val="1"/>
              </w:rPr>
              <w:t>10.36</w:t>
            </w:r>
            <w:r>
              <w:rPr>
                <w:rFonts w:ascii="SimSun" w:hAnsi="SimSun" w:eastAsia="SimSun" w:cs="SimSun"/>
                <w:spacing w:val="2"/>
                <w:position w:val="1"/>
              </w:rPr>
              <w:t>～</w:t>
            </w:r>
            <w:r>
              <w:rPr>
                <w:spacing w:val="2"/>
                <w:position w:val="1"/>
              </w:rPr>
              <w:t>36.00</w:t>
            </w:r>
          </w:p>
          <w:p>
            <w:pPr>
              <w:pStyle w:val="TableText"/>
              <w:ind w:left="276"/>
              <w:spacing w:before="24" w:line="201" w:lineRule="auto"/>
              <w:rPr/>
            </w:pPr>
            <w:r>
              <w:rPr>
                <w:spacing w:val="3"/>
              </w:rPr>
              <w:t>20.43(9)</w:t>
            </w:r>
          </w:p>
        </w:tc>
        <w:tc>
          <w:tcPr>
            <w:tcW w:w="1266" w:type="dxa"/>
            <w:vAlign w:val="top"/>
          </w:tcPr>
          <w:p>
            <w:pPr>
              <w:pStyle w:val="TableText"/>
              <w:ind w:left="53"/>
              <w:spacing w:before="42" w:line="264" w:lineRule="exact"/>
              <w:rPr/>
            </w:pPr>
            <w:r>
              <w:rPr>
                <w:spacing w:val="4"/>
                <w:position w:val="1"/>
              </w:rPr>
              <w:t>45.22</w:t>
            </w:r>
            <w:r>
              <w:rPr>
                <w:rFonts w:ascii="SimSun" w:hAnsi="SimSun" w:eastAsia="SimSun" w:cs="SimSun"/>
                <w:spacing w:val="4"/>
                <w:position w:val="1"/>
              </w:rPr>
              <w:t>～</w:t>
            </w:r>
            <w:r>
              <w:rPr>
                <w:spacing w:val="4"/>
                <w:position w:val="1"/>
              </w:rPr>
              <w:t>49.28</w:t>
            </w:r>
          </w:p>
          <w:p>
            <w:pPr>
              <w:pStyle w:val="TableText"/>
              <w:ind w:left="274"/>
              <w:spacing w:before="24" w:line="201" w:lineRule="auto"/>
              <w:rPr/>
            </w:pPr>
            <w:r>
              <w:rPr>
                <w:spacing w:val="3"/>
              </w:rPr>
              <w:t>47.29(9)</w:t>
            </w:r>
          </w:p>
        </w:tc>
        <w:tc>
          <w:tcPr>
            <w:tcW w:w="1163" w:type="dxa"/>
            <w:vAlign w:val="top"/>
          </w:tcPr>
          <w:p>
            <w:pPr>
              <w:pStyle w:val="TableText"/>
              <w:ind w:left="111"/>
              <w:spacing w:before="28" w:line="264" w:lineRule="exact"/>
              <w:rPr/>
            </w:pPr>
            <w:r>
              <w:rPr>
                <w:spacing w:val="4"/>
                <w:position w:val="1"/>
              </w:rPr>
              <w:t>0.31</w:t>
            </w:r>
            <w:r>
              <w:rPr>
                <w:rFonts w:ascii="SimSun" w:hAnsi="SimSun" w:eastAsia="SimSun" w:cs="SimSun"/>
                <w:spacing w:val="4"/>
                <w:position w:val="1"/>
              </w:rPr>
              <w:t>～</w:t>
            </w:r>
            <w:r>
              <w:rPr>
                <w:spacing w:val="4"/>
                <w:position w:val="1"/>
              </w:rPr>
              <w:t>1.82</w:t>
            </w:r>
          </w:p>
          <w:p>
            <w:pPr>
              <w:pStyle w:val="TableText"/>
              <w:ind w:left="140"/>
              <w:spacing w:before="6" w:line="223" w:lineRule="auto"/>
              <w:rPr>
                <w:rFonts w:ascii="SimSun" w:hAnsi="SimSun" w:eastAsia="SimSun" w:cs="SimSun"/>
              </w:rPr>
            </w:pPr>
            <w:r>
              <w:rPr>
                <w:spacing w:val="3"/>
              </w:rPr>
              <w:t>0.88</w:t>
            </w:r>
            <w:r>
              <w:rPr>
                <w:rFonts w:ascii="SimSun" w:hAnsi="SimSun" w:eastAsia="SimSun" w:cs="SimSun"/>
                <w:spacing w:val="3"/>
              </w:rPr>
              <w:t>（</w:t>
            </w:r>
            <w:r>
              <w:rPr>
                <w:spacing w:val="3"/>
              </w:rPr>
              <w:t>9</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80"/>
              <w:spacing w:before="28" w:line="264" w:lineRule="exact"/>
              <w:rPr/>
            </w:pPr>
            <w:r>
              <w:rPr>
                <w:spacing w:val="2"/>
                <w:position w:val="1"/>
              </w:rPr>
              <w:t>16.57</w:t>
            </w:r>
            <w:r>
              <w:rPr>
                <w:rFonts w:ascii="SimSun" w:hAnsi="SimSun" w:eastAsia="SimSun" w:cs="SimSun"/>
                <w:spacing w:val="2"/>
                <w:position w:val="1"/>
              </w:rPr>
              <w:t>～</w:t>
            </w:r>
            <w:r>
              <w:rPr>
                <w:spacing w:val="2"/>
                <w:position w:val="1"/>
              </w:rPr>
              <w:t>24.03</w:t>
            </w:r>
          </w:p>
          <w:p>
            <w:pPr>
              <w:pStyle w:val="TableText"/>
              <w:ind w:left="139"/>
              <w:spacing w:before="6" w:line="223" w:lineRule="auto"/>
              <w:rPr>
                <w:rFonts w:ascii="SimSun" w:hAnsi="SimSun" w:eastAsia="SimSun" w:cs="SimSun"/>
              </w:rPr>
            </w:pPr>
            <w:r>
              <w:rPr>
                <w:spacing w:val="3"/>
              </w:rPr>
              <w:t>21.42</w:t>
            </w:r>
            <w:r>
              <w:rPr>
                <w:rFonts w:ascii="SimSun" w:hAnsi="SimSun" w:eastAsia="SimSun" w:cs="SimSun"/>
                <w:spacing w:val="3"/>
              </w:rPr>
              <w:t>（</w:t>
            </w:r>
            <w:r>
              <w:rPr>
                <w:spacing w:val="3"/>
              </w:rPr>
              <w:t>9</w:t>
            </w:r>
            <w:r>
              <w:rPr>
                <w:rFonts w:ascii="SimSun" w:hAnsi="SimSun" w:eastAsia="SimSun" w:cs="SimSun"/>
                <w:spacing w:val="3"/>
              </w:rPr>
              <w:t>）</w:t>
            </w:r>
          </w:p>
        </w:tc>
        <w:tc>
          <w:tcPr>
            <w:tcW w:w="461" w:type="dxa"/>
            <w:vAlign w:val="top"/>
            <w:vMerge w:val="restart"/>
            <w:tcBorders>
              <w:bottom w:val="nil"/>
            </w:tcBorders>
          </w:tcPr>
          <w:p>
            <w:pPr>
              <w:spacing w:line="264" w:lineRule="auto"/>
              <w:rPr>
                <w:rFonts w:ascii="Arial"/>
                <w:sz w:val="21"/>
              </w:rPr>
            </w:pPr>
            <w:r/>
          </w:p>
          <w:p>
            <w:pPr>
              <w:spacing w:line="265" w:lineRule="auto"/>
              <w:rPr>
                <w:rFonts w:ascii="Arial"/>
                <w:sz w:val="21"/>
              </w:rPr>
            </w:pPr>
            <w:r/>
          </w:p>
          <w:p>
            <w:pPr>
              <w:pStyle w:val="TableText"/>
              <w:ind w:left="59"/>
              <w:spacing w:before="57" w:line="192" w:lineRule="auto"/>
              <w:rPr/>
            </w:pPr>
            <w:r>
              <w:rPr>
                <w:spacing w:val="5"/>
              </w:rPr>
              <w:t>HM</w:t>
            </w:r>
          </w:p>
        </w:tc>
      </w:tr>
      <w:tr>
        <w:trPr>
          <w:trHeight w:val="626"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62"/>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5"/>
              </w:rPr>
              <w:t xml:space="preserve"> </w:t>
            </w:r>
            <w:r>
              <w:rPr>
                <w:rFonts w:ascii="SimSun" w:hAnsi="SimSun" w:eastAsia="SimSun" w:cs="SimSun"/>
                <w:sz w:val="20"/>
                <w:szCs w:val="20"/>
                <w:spacing w:val="8"/>
              </w:rPr>
              <w:t>煤</w:t>
            </w:r>
          </w:p>
        </w:tc>
        <w:tc>
          <w:tcPr>
            <w:tcW w:w="1266" w:type="dxa"/>
            <w:vAlign w:val="top"/>
          </w:tcPr>
          <w:p>
            <w:pPr>
              <w:pStyle w:val="TableText"/>
              <w:ind w:left="110"/>
              <w:spacing w:before="62" w:line="264" w:lineRule="exact"/>
              <w:rPr/>
            </w:pPr>
            <w:r>
              <w:rPr>
                <w:spacing w:val="4"/>
                <w:position w:val="1"/>
              </w:rPr>
              <w:t>7.87</w:t>
            </w:r>
            <w:r>
              <w:rPr>
                <w:rFonts w:ascii="SimSun" w:hAnsi="SimSun" w:eastAsia="SimSun" w:cs="SimSun"/>
                <w:spacing w:val="4"/>
                <w:position w:val="1"/>
              </w:rPr>
              <w:t>～</w:t>
            </w:r>
            <w:r>
              <w:rPr>
                <w:spacing w:val="4"/>
                <w:position w:val="1"/>
              </w:rPr>
              <w:t>19.01</w:t>
            </w:r>
          </w:p>
          <w:p>
            <w:pPr>
              <w:pStyle w:val="TableText"/>
              <w:ind w:left="153"/>
              <w:spacing w:before="9"/>
              <w:rPr>
                <w:rFonts w:ascii="SimSun" w:hAnsi="SimSun" w:eastAsia="SimSun" w:cs="SimSun"/>
              </w:rPr>
            </w:pPr>
            <w:r>
              <w:rPr>
                <w:spacing w:val="1"/>
              </w:rPr>
              <w:t>12.76</w:t>
            </w:r>
            <w:r>
              <w:rPr>
                <w:rFonts w:ascii="SimSun" w:hAnsi="SimSun" w:eastAsia="SimSun" w:cs="SimSun"/>
                <w:spacing w:val="1"/>
              </w:rPr>
              <w:t>（</w:t>
            </w:r>
            <w:r>
              <w:rPr>
                <w:spacing w:val="1"/>
              </w:rPr>
              <w:t>9</w:t>
            </w:r>
            <w:r>
              <w:rPr>
                <w:rFonts w:ascii="SimSun" w:hAnsi="SimSun" w:eastAsia="SimSun" w:cs="SimSun"/>
                <w:spacing w:val="1"/>
              </w:rPr>
              <w:t>）</w:t>
            </w:r>
          </w:p>
        </w:tc>
        <w:tc>
          <w:tcPr>
            <w:tcW w:w="1266" w:type="dxa"/>
            <w:vAlign w:val="top"/>
          </w:tcPr>
          <w:p>
            <w:pPr>
              <w:pStyle w:val="TableText"/>
              <w:ind w:left="116"/>
              <w:spacing w:before="62" w:line="264" w:lineRule="exact"/>
              <w:rPr/>
            </w:pPr>
            <w:r>
              <w:rPr>
                <w:spacing w:val="3"/>
                <w:position w:val="1"/>
              </w:rPr>
              <w:t>8.42</w:t>
            </w:r>
            <w:r>
              <w:rPr>
                <w:rFonts w:ascii="SimSun" w:hAnsi="SimSun" w:eastAsia="SimSun" w:cs="SimSun"/>
                <w:spacing w:val="3"/>
                <w:position w:val="1"/>
              </w:rPr>
              <w:t>～</w:t>
            </w:r>
            <w:r>
              <w:rPr>
                <w:spacing w:val="3"/>
                <w:position w:val="1"/>
              </w:rPr>
              <w:t>11.67</w:t>
            </w:r>
          </w:p>
          <w:p>
            <w:pPr>
              <w:pStyle w:val="TableText"/>
              <w:ind w:left="152"/>
              <w:spacing w:before="9"/>
              <w:rPr>
                <w:rFonts w:ascii="SimSun" w:hAnsi="SimSun" w:eastAsia="SimSun" w:cs="SimSun"/>
              </w:rPr>
            </w:pPr>
            <w:r>
              <w:rPr>
                <w:spacing w:val="1"/>
              </w:rPr>
              <w:t>10.02</w:t>
            </w:r>
            <w:r>
              <w:rPr>
                <w:rFonts w:ascii="SimSun" w:hAnsi="SimSun" w:eastAsia="SimSun" w:cs="SimSun"/>
                <w:spacing w:val="1"/>
              </w:rPr>
              <w:t>（</w:t>
            </w:r>
            <w:r>
              <w:rPr>
                <w:spacing w:val="1"/>
              </w:rPr>
              <w:t>9</w:t>
            </w:r>
            <w:r>
              <w:rPr>
                <w:rFonts w:ascii="SimSun" w:hAnsi="SimSun" w:eastAsia="SimSun" w:cs="SimSun"/>
                <w:spacing w:val="1"/>
              </w:rPr>
              <w:t>）</w:t>
            </w:r>
          </w:p>
        </w:tc>
        <w:tc>
          <w:tcPr>
            <w:tcW w:w="1266" w:type="dxa"/>
            <w:vAlign w:val="top"/>
          </w:tcPr>
          <w:p>
            <w:pPr>
              <w:pStyle w:val="TableText"/>
              <w:ind w:left="53"/>
              <w:spacing w:before="62" w:line="264" w:lineRule="exact"/>
              <w:rPr/>
            </w:pPr>
            <w:r>
              <w:rPr>
                <w:spacing w:val="4"/>
                <w:position w:val="1"/>
              </w:rPr>
              <w:t>43.94</w:t>
            </w:r>
            <w:r>
              <w:rPr>
                <w:rFonts w:ascii="SimSun" w:hAnsi="SimSun" w:eastAsia="SimSun" w:cs="SimSun"/>
                <w:spacing w:val="4"/>
                <w:position w:val="1"/>
              </w:rPr>
              <w:t>～</w:t>
            </w:r>
            <w:r>
              <w:rPr>
                <w:spacing w:val="4"/>
                <w:position w:val="1"/>
              </w:rPr>
              <w:t>47.75</w:t>
            </w:r>
          </w:p>
          <w:p>
            <w:pPr>
              <w:pStyle w:val="TableText"/>
              <w:ind w:left="135"/>
              <w:spacing w:before="9"/>
              <w:rPr>
                <w:rFonts w:ascii="SimSun" w:hAnsi="SimSun" w:eastAsia="SimSun" w:cs="SimSun"/>
              </w:rPr>
            </w:pPr>
            <w:r>
              <w:rPr>
                <w:spacing w:val="4"/>
              </w:rPr>
              <w:t>45.85</w:t>
            </w:r>
            <w:r>
              <w:rPr>
                <w:rFonts w:ascii="SimSun" w:hAnsi="SimSun" w:eastAsia="SimSun" w:cs="SimSun"/>
                <w:spacing w:val="4"/>
              </w:rPr>
              <w:t>（</w:t>
            </w:r>
            <w:r>
              <w:rPr>
                <w:spacing w:val="4"/>
              </w:rPr>
              <w:t>9</w:t>
            </w:r>
            <w:r>
              <w:rPr>
                <w:rFonts w:ascii="SimSun" w:hAnsi="SimSun" w:eastAsia="SimSun" w:cs="SimSun"/>
                <w:spacing w:val="4"/>
              </w:rPr>
              <w:t>）</w:t>
            </w:r>
          </w:p>
        </w:tc>
        <w:tc>
          <w:tcPr>
            <w:tcW w:w="1163" w:type="dxa"/>
            <w:vAlign w:val="top"/>
          </w:tcPr>
          <w:p>
            <w:pPr>
              <w:pStyle w:val="TableText"/>
              <w:ind w:left="111"/>
              <w:spacing w:before="62" w:line="264" w:lineRule="exact"/>
              <w:rPr/>
            </w:pPr>
            <w:r>
              <w:rPr>
                <w:spacing w:val="4"/>
                <w:position w:val="1"/>
              </w:rPr>
              <w:t>0.41</w:t>
            </w:r>
            <w:r>
              <w:rPr>
                <w:rFonts w:ascii="SimSun" w:hAnsi="SimSun" w:eastAsia="SimSun" w:cs="SimSun"/>
                <w:spacing w:val="4"/>
                <w:position w:val="1"/>
              </w:rPr>
              <w:t>～</w:t>
            </w:r>
            <w:r>
              <w:rPr>
                <w:spacing w:val="4"/>
                <w:position w:val="1"/>
              </w:rPr>
              <w:t>1.37</w:t>
            </w:r>
          </w:p>
          <w:p>
            <w:pPr>
              <w:pStyle w:val="TableText"/>
              <w:ind w:left="140"/>
              <w:spacing w:before="9"/>
              <w:rPr>
                <w:rFonts w:ascii="SimSun" w:hAnsi="SimSun" w:eastAsia="SimSun" w:cs="SimSun"/>
              </w:rPr>
            </w:pPr>
            <w:r>
              <w:rPr>
                <w:spacing w:val="3"/>
              </w:rPr>
              <w:t>0.67</w:t>
            </w:r>
            <w:r>
              <w:rPr>
                <w:rFonts w:ascii="SimSun" w:hAnsi="SimSun" w:eastAsia="SimSun" w:cs="SimSun"/>
                <w:spacing w:val="3"/>
              </w:rPr>
              <w:t>（</w:t>
            </w:r>
            <w:r>
              <w:rPr>
                <w:spacing w:val="3"/>
              </w:rPr>
              <w:t>9</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60"/>
              <w:spacing w:before="62" w:line="264" w:lineRule="exact"/>
              <w:rPr/>
            </w:pPr>
            <w:r>
              <w:rPr>
                <w:spacing w:val="4"/>
                <w:position w:val="1"/>
              </w:rPr>
              <w:t>23.92</w:t>
            </w:r>
            <w:r>
              <w:rPr>
                <w:rFonts w:ascii="SimSun" w:hAnsi="SimSun" w:eastAsia="SimSun" w:cs="SimSun"/>
                <w:spacing w:val="4"/>
                <w:position w:val="1"/>
              </w:rPr>
              <w:t>～</w:t>
            </w:r>
            <w:r>
              <w:rPr>
                <w:spacing w:val="4"/>
                <w:position w:val="1"/>
              </w:rPr>
              <w:t>25.03</w:t>
            </w:r>
          </w:p>
          <w:p>
            <w:pPr>
              <w:pStyle w:val="TableText"/>
              <w:ind w:left="139"/>
              <w:spacing w:before="9"/>
              <w:rPr>
                <w:rFonts w:ascii="SimSun" w:hAnsi="SimSun" w:eastAsia="SimSun" w:cs="SimSun"/>
              </w:rPr>
            </w:pPr>
            <w:r>
              <w:rPr>
                <w:spacing w:val="3"/>
              </w:rPr>
              <w:t>24.50</w:t>
            </w:r>
            <w:r>
              <w:rPr>
                <w:rFonts w:ascii="SimSun" w:hAnsi="SimSun" w:eastAsia="SimSun" w:cs="SimSun"/>
                <w:spacing w:val="3"/>
              </w:rPr>
              <w:t>（</w:t>
            </w:r>
            <w:r>
              <w:rPr>
                <w:spacing w:val="3"/>
              </w:rPr>
              <w:t>5</w:t>
            </w:r>
            <w:r>
              <w:rPr>
                <w:rFonts w:ascii="SimSun" w:hAnsi="SimSun" w:eastAsia="SimSun" w:cs="SimSun"/>
                <w:spacing w:val="3"/>
              </w:rPr>
              <w:t>）</w:t>
            </w:r>
          </w:p>
        </w:tc>
        <w:tc>
          <w:tcPr>
            <w:tcW w:w="461" w:type="dxa"/>
            <w:vAlign w:val="top"/>
            <w:vMerge w:val="continue"/>
            <w:tcBorders>
              <w:top w:val="nil"/>
            </w:tcBorders>
          </w:tcPr>
          <w:p>
            <w:pPr>
              <w:rPr>
                <w:rFonts w:ascii="Arial"/>
                <w:sz w:val="21"/>
              </w:rPr>
            </w:pPr>
            <w:r/>
          </w:p>
        </w:tc>
      </w:tr>
      <w:tr>
        <w:trPr>
          <w:trHeight w:val="549" w:hRule="atLeast"/>
        </w:trPr>
        <w:tc>
          <w:tcPr>
            <w:tcW w:w="715" w:type="dxa"/>
            <w:vAlign w:val="top"/>
            <w:vMerge w:val="restart"/>
            <w:tcBorders>
              <w:bottom w:val="nil"/>
            </w:tcBorders>
          </w:tcPr>
          <w:p>
            <w:pPr>
              <w:spacing w:line="434" w:lineRule="auto"/>
              <w:rPr>
                <w:rFonts w:ascii="Arial"/>
                <w:sz w:val="21"/>
              </w:rPr>
            </w:pPr>
            <w:r/>
          </w:p>
          <w:p>
            <w:pPr>
              <w:ind w:left="48"/>
              <w:spacing w:before="65" w:line="228" w:lineRule="auto"/>
              <w:rPr>
                <w:rFonts w:ascii="SimSun" w:hAnsi="SimSun" w:eastAsia="SimSun" w:cs="SimSun"/>
                <w:sz w:val="20"/>
                <w:szCs w:val="20"/>
              </w:rPr>
            </w:pPr>
            <w:r>
              <w:rPr>
                <w:rFonts w:ascii="SimSun" w:hAnsi="SimSun" w:eastAsia="SimSun" w:cs="SimSun"/>
                <w:sz w:val="20"/>
                <w:szCs w:val="20"/>
                <w:spacing w:val="6"/>
              </w:rPr>
              <w:t>上五煤</w:t>
            </w:r>
          </w:p>
        </w:tc>
        <w:tc>
          <w:tcPr>
            <w:tcW w:w="461" w:type="dxa"/>
            <w:vAlign w:val="top"/>
            <w:textDirection w:val="tbRlV"/>
          </w:tcPr>
          <w:p>
            <w:pPr>
              <w:ind w:left="26"/>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74"/>
              <w:spacing w:before="26" w:line="265" w:lineRule="exact"/>
              <w:rPr/>
            </w:pPr>
            <w:r>
              <w:rPr>
                <w:spacing w:val="2"/>
                <w:position w:val="1"/>
              </w:rPr>
              <w:t>11.45</w:t>
            </w:r>
            <w:r>
              <w:rPr>
                <w:rFonts w:ascii="SimSun" w:hAnsi="SimSun" w:eastAsia="SimSun" w:cs="SimSun"/>
                <w:spacing w:val="2"/>
                <w:position w:val="1"/>
              </w:rPr>
              <w:t>～</w:t>
            </w:r>
            <w:r>
              <w:rPr>
                <w:spacing w:val="2"/>
                <w:position w:val="1"/>
              </w:rPr>
              <w:t>20.14</w:t>
            </w:r>
          </w:p>
          <w:p>
            <w:pPr>
              <w:pStyle w:val="TableText"/>
              <w:ind w:left="153"/>
              <w:spacing w:before="7" w:line="222" w:lineRule="auto"/>
              <w:rPr>
                <w:rFonts w:ascii="SimSun" w:hAnsi="SimSun" w:eastAsia="SimSun" w:cs="SimSun"/>
              </w:rPr>
            </w:pPr>
            <w:r>
              <w:rPr>
                <w:spacing w:val="1"/>
              </w:rPr>
              <w:t>15.95</w:t>
            </w:r>
            <w:r>
              <w:rPr>
                <w:rFonts w:ascii="SimSun" w:hAnsi="SimSun" w:eastAsia="SimSun" w:cs="SimSun"/>
                <w:spacing w:val="1"/>
              </w:rPr>
              <w:t>（</w:t>
            </w:r>
            <w:r>
              <w:rPr>
                <w:spacing w:val="1"/>
              </w:rPr>
              <w:t>7</w:t>
            </w:r>
            <w:r>
              <w:rPr>
                <w:rFonts w:ascii="SimSun" w:hAnsi="SimSun" w:eastAsia="SimSun" w:cs="SimSun"/>
                <w:spacing w:val="1"/>
              </w:rPr>
              <w:t>）</w:t>
            </w:r>
          </w:p>
        </w:tc>
        <w:tc>
          <w:tcPr>
            <w:tcW w:w="1266" w:type="dxa"/>
            <w:vAlign w:val="top"/>
          </w:tcPr>
          <w:p>
            <w:pPr>
              <w:pStyle w:val="TableText"/>
              <w:ind w:left="75"/>
              <w:spacing w:before="26" w:line="265" w:lineRule="exact"/>
              <w:rPr/>
            </w:pPr>
            <w:r>
              <w:rPr>
                <w:spacing w:val="2"/>
                <w:position w:val="1"/>
              </w:rPr>
              <w:t>12.07</w:t>
            </w:r>
            <w:r>
              <w:rPr>
                <w:rFonts w:ascii="SimSun" w:hAnsi="SimSun" w:eastAsia="SimSun" w:cs="SimSun"/>
                <w:spacing w:val="2"/>
                <w:position w:val="1"/>
              </w:rPr>
              <w:t>～</w:t>
            </w:r>
            <w:r>
              <w:rPr>
                <w:spacing w:val="2"/>
                <w:position w:val="1"/>
              </w:rPr>
              <w:t>29.06</w:t>
            </w:r>
          </w:p>
          <w:p>
            <w:pPr>
              <w:pStyle w:val="TableText"/>
              <w:ind w:left="132"/>
              <w:spacing w:before="7" w:line="222" w:lineRule="auto"/>
              <w:rPr>
                <w:rFonts w:ascii="SimSun" w:hAnsi="SimSun" w:eastAsia="SimSun" w:cs="SimSun"/>
              </w:rPr>
            </w:pPr>
            <w:r>
              <w:rPr>
                <w:spacing w:val="4"/>
              </w:rPr>
              <w:t>26.70</w:t>
            </w:r>
            <w:r>
              <w:rPr>
                <w:rFonts w:ascii="SimSun" w:hAnsi="SimSun" w:eastAsia="SimSun" w:cs="SimSun"/>
                <w:spacing w:val="4"/>
              </w:rPr>
              <w:t>（</w:t>
            </w:r>
            <w:r>
              <w:rPr>
                <w:spacing w:val="4"/>
              </w:rPr>
              <w:t>7</w:t>
            </w:r>
            <w:r>
              <w:rPr>
                <w:rFonts w:ascii="SimSun" w:hAnsi="SimSun" w:eastAsia="SimSun" w:cs="SimSun"/>
                <w:spacing w:val="4"/>
              </w:rPr>
              <w:t>）</w:t>
            </w:r>
          </w:p>
        </w:tc>
        <w:tc>
          <w:tcPr>
            <w:tcW w:w="1266" w:type="dxa"/>
            <w:vAlign w:val="top"/>
          </w:tcPr>
          <w:p>
            <w:pPr>
              <w:pStyle w:val="TableText"/>
              <w:ind w:left="53"/>
              <w:spacing w:before="26" w:line="265" w:lineRule="exact"/>
              <w:rPr/>
            </w:pPr>
            <w:r>
              <w:rPr>
                <w:spacing w:val="4"/>
                <w:position w:val="1"/>
              </w:rPr>
              <w:t>46.21</w:t>
            </w:r>
            <w:r>
              <w:rPr>
                <w:rFonts w:ascii="SimSun" w:hAnsi="SimSun" w:eastAsia="SimSun" w:cs="SimSun"/>
                <w:spacing w:val="4"/>
                <w:position w:val="1"/>
              </w:rPr>
              <w:t>～</w:t>
            </w:r>
            <w:r>
              <w:rPr>
                <w:spacing w:val="4"/>
                <w:position w:val="1"/>
              </w:rPr>
              <w:t>50.77</w:t>
            </w:r>
          </w:p>
          <w:p>
            <w:pPr>
              <w:pStyle w:val="TableText"/>
              <w:ind w:left="135"/>
              <w:spacing w:before="7" w:line="222" w:lineRule="auto"/>
              <w:rPr>
                <w:rFonts w:ascii="SimSun" w:hAnsi="SimSun" w:eastAsia="SimSun" w:cs="SimSun"/>
              </w:rPr>
            </w:pPr>
            <w:r>
              <w:rPr>
                <w:spacing w:val="4"/>
              </w:rPr>
              <w:t>48.06</w:t>
            </w:r>
            <w:r>
              <w:rPr>
                <w:rFonts w:ascii="SimSun" w:hAnsi="SimSun" w:eastAsia="SimSun" w:cs="SimSun"/>
                <w:spacing w:val="4"/>
              </w:rPr>
              <w:t>（</w:t>
            </w:r>
            <w:r>
              <w:rPr>
                <w:spacing w:val="4"/>
              </w:rPr>
              <w:t>7</w:t>
            </w:r>
            <w:r>
              <w:rPr>
                <w:rFonts w:ascii="SimSun" w:hAnsi="SimSun" w:eastAsia="SimSun" w:cs="SimSun"/>
                <w:spacing w:val="4"/>
              </w:rPr>
              <w:t>）</w:t>
            </w:r>
          </w:p>
        </w:tc>
        <w:tc>
          <w:tcPr>
            <w:tcW w:w="1163" w:type="dxa"/>
            <w:vAlign w:val="top"/>
          </w:tcPr>
          <w:p>
            <w:pPr>
              <w:pStyle w:val="TableText"/>
              <w:ind w:left="111"/>
              <w:spacing w:before="26" w:line="265" w:lineRule="exact"/>
              <w:rPr/>
            </w:pPr>
            <w:r>
              <w:rPr>
                <w:spacing w:val="4"/>
                <w:position w:val="1"/>
              </w:rPr>
              <w:t>0.45</w:t>
            </w:r>
            <w:r>
              <w:rPr>
                <w:rFonts w:ascii="SimSun" w:hAnsi="SimSun" w:eastAsia="SimSun" w:cs="SimSun"/>
                <w:spacing w:val="4"/>
                <w:position w:val="1"/>
              </w:rPr>
              <w:t>～</w:t>
            </w:r>
            <w:r>
              <w:rPr>
                <w:spacing w:val="4"/>
                <w:position w:val="1"/>
              </w:rPr>
              <w:t>2.47</w:t>
            </w:r>
          </w:p>
          <w:p>
            <w:pPr>
              <w:pStyle w:val="TableText"/>
              <w:ind w:left="140"/>
              <w:spacing w:before="7" w:line="222" w:lineRule="auto"/>
              <w:rPr>
                <w:rFonts w:ascii="SimSun" w:hAnsi="SimSun" w:eastAsia="SimSun" w:cs="SimSun"/>
              </w:rPr>
            </w:pPr>
            <w:r>
              <w:rPr>
                <w:spacing w:val="3"/>
              </w:rPr>
              <w:t>0.98</w:t>
            </w:r>
            <w:r>
              <w:rPr>
                <w:rFonts w:ascii="SimSun" w:hAnsi="SimSun" w:eastAsia="SimSun" w:cs="SimSun"/>
                <w:spacing w:val="3"/>
              </w:rPr>
              <w:t>（</w:t>
            </w:r>
            <w:r>
              <w:rPr>
                <w:spacing w:val="3"/>
              </w:rPr>
              <w:t>7</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80"/>
              <w:spacing w:before="26" w:line="265" w:lineRule="exact"/>
              <w:rPr/>
            </w:pPr>
            <w:r>
              <w:rPr>
                <w:spacing w:val="2"/>
                <w:position w:val="1"/>
              </w:rPr>
              <w:t>19.26</w:t>
            </w:r>
            <w:r>
              <w:rPr>
                <w:rFonts w:ascii="SimSun" w:hAnsi="SimSun" w:eastAsia="SimSun" w:cs="SimSun"/>
                <w:spacing w:val="2"/>
                <w:position w:val="1"/>
              </w:rPr>
              <w:t>～</w:t>
            </w:r>
            <w:r>
              <w:rPr>
                <w:spacing w:val="2"/>
                <w:position w:val="1"/>
              </w:rPr>
              <w:t>24.08</w:t>
            </w:r>
          </w:p>
          <w:p>
            <w:pPr>
              <w:pStyle w:val="TableText"/>
              <w:ind w:left="139"/>
              <w:spacing w:before="7" w:line="222" w:lineRule="auto"/>
              <w:rPr>
                <w:rFonts w:ascii="SimSun" w:hAnsi="SimSun" w:eastAsia="SimSun" w:cs="SimSun"/>
              </w:rPr>
            </w:pPr>
            <w:r>
              <w:rPr>
                <w:spacing w:val="3"/>
              </w:rPr>
              <w:t>21.66</w:t>
            </w:r>
            <w:r>
              <w:rPr>
                <w:rFonts w:ascii="SimSun" w:hAnsi="SimSun" w:eastAsia="SimSun" w:cs="SimSun"/>
                <w:spacing w:val="3"/>
              </w:rPr>
              <w:t>（</w:t>
            </w:r>
            <w:r>
              <w:rPr>
                <w:spacing w:val="3"/>
              </w:rPr>
              <w:t>7</w:t>
            </w:r>
            <w:r>
              <w:rPr>
                <w:rFonts w:ascii="SimSun" w:hAnsi="SimSun" w:eastAsia="SimSun" w:cs="SimSun"/>
                <w:spacing w:val="3"/>
              </w:rPr>
              <w:t>）</w:t>
            </w:r>
          </w:p>
        </w:tc>
        <w:tc>
          <w:tcPr>
            <w:tcW w:w="461" w:type="dxa"/>
            <w:vAlign w:val="top"/>
            <w:vMerge w:val="restart"/>
            <w:tcBorders>
              <w:bottom w:val="nil"/>
            </w:tcBorders>
          </w:tcPr>
          <w:p>
            <w:pPr>
              <w:spacing w:line="275" w:lineRule="auto"/>
              <w:rPr>
                <w:rFonts w:ascii="Arial"/>
                <w:sz w:val="21"/>
              </w:rPr>
            </w:pPr>
            <w:r/>
          </w:p>
          <w:p>
            <w:pPr>
              <w:spacing w:line="276" w:lineRule="auto"/>
              <w:rPr>
                <w:rFonts w:ascii="Arial"/>
                <w:sz w:val="21"/>
              </w:rPr>
            </w:pPr>
            <w:r/>
          </w:p>
          <w:p>
            <w:pPr>
              <w:pStyle w:val="TableText"/>
              <w:ind w:left="59"/>
              <w:spacing w:before="58" w:line="192" w:lineRule="auto"/>
              <w:rPr/>
            </w:pPr>
            <w:r>
              <w:rPr>
                <w:spacing w:val="5"/>
              </w:rPr>
              <w:t>HM</w:t>
            </w:r>
          </w:p>
        </w:tc>
      </w:tr>
      <w:tr>
        <w:trPr>
          <w:trHeight w:val="676"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89"/>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5"/>
              </w:rPr>
              <w:t xml:space="preserve"> </w:t>
            </w:r>
            <w:r>
              <w:rPr>
                <w:rFonts w:ascii="SimSun" w:hAnsi="SimSun" w:eastAsia="SimSun" w:cs="SimSun"/>
                <w:sz w:val="20"/>
                <w:szCs w:val="20"/>
                <w:spacing w:val="8"/>
              </w:rPr>
              <w:t>煤</w:t>
            </w:r>
          </w:p>
        </w:tc>
        <w:tc>
          <w:tcPr>
            <w:tcW w:w="1266" w:type="dxa"/>
            <w:vAlign w:val="top"/>
          </w:tcPr>
          <w:p>
            <w:pPr>
              <w:pStyle w:val="TableText"/>
              <w:ind w:left="74"/>
              <w:spacing w:before="89" w:line="264" w:lineRule="exact"/>
              <w:rPr/>
            </w:pPr>
            <w:r>
              <w:rPr>
                <w:spacing w:val="2"/>
                <w:position w:val="1"/>
              </w:rPr>
              <w:t>10.34</w:t>
            </w:r>
            <w:r>
              <w:rPr>
                <w:rFonts w:ascii="SimSun" w:hAnsi="SimSun" w:eastAsia="SimSun" w:cs="SimSun"/>
                <w:spacing w:val="2"/>
                <w:position w:val="1"/>
              </w:rPr>
              <w:t>～</w:t>
            </w:r>
            <w:r>
              <w:rPr>
                <w:spacing w:val="2"/>
                <w:position w:val="1"/>
              </w:rPr>
              <w:t>16.14</w:t>
            </w:r>
          </w:p>
          <w:p>
            <w:pPr>
              <w:pStyle w:val="TableText"/>
              <w:ind w:left="153"/>
              <w:spacing w:before="9"/>
              <w:rPr>
                <w:rFonts w:ascii="SimSun" w:hAnsi="SimSun" w:eastAsia="SimSun" w:cs="SimSun"/>
              </w:rPr>
            </w:pPr>
            <w:r>
              <w:rPr>
                <w:spacing w:val="1"/>
              </w:rPr>
              <w:t>13.66</w:t>
            </w:r>
            <w:r>
              <w:rPr>
                <w:rFonts w:ascii="SimSun" w:hAnsi="SimSun" w:eastAsia="SimSun" w:cs="SimSun"/>
                <w:spacing w:val="1"/>
              </w:rPr>
              <w:t>（</w:t>
            </w:r>
            <w:r>
              <w:rPr>
                <w:spacing w:val="1"/>
              </w:rPr>
              <w:t>7</w:t>
            </w:r>
            <w:r>
              <w:rPr>
                <w:rFonts w:ascii="SimSun" w:hAnsi="SimSun" w:eastAsia="SimSun" w:cs="SimSun"/>
                <w:spacing w:val="1"/>
              </w:rPr>
              <w:t>）</w:t>
            </w:r>
          </w:p>
        </w:tc>
        <w:tc>
          <w:tcPr>
            <w:tcW w:w="1266" w:type="dxa"/>
            <w:vAlign w:val="top"/>
          </w:tcPr>
          <w:p>
            <w:pPr>
              <w:pStyle w:val="TableText"/>
              <w:ind w:left="75"/>
              <w:spacing w:before="89" w:line="264" w:lineRule="exact"/>
              <w:rPr/>
            </w:pPr>
            <w:r>
              <w:rPr>
                <w:spacing w:val="2"/>
                <w:position w:val="1"/>
              </w:rPr>
              <w:t>18.96</w:t>
            </w:r>
            <w:r>
              <w:rPr>
                <w:rFonts w:ascii="SimSun" w:hAnsi="SimSun" w:eastAsia="SimSun" w:cs="SimSun"/>
                <w:spacing w:val="2"/>
                <w:position w:val="1"/>
              </w:rPr>
              <w:t>～</w:t>
            </w:r>
            <w:r>
              <w:rPr>
                <w:spacing w:val="2"/>
                <w:position w:val="1"/>
              </w:rPr>
              <w:t>11.94</w:t>
            </w:r>
          </w:p>
          <w:p>
            <w:pPr>
              <w:pStyle w:val="TableText"/>
              <w:ind w:left="152"/>
              <w:spacing w:before="9"/>
              <w:rPr>
                <w:rFonts w:ascii="SimSun" w:hAnsi="SimSun" w:eastAsia="SimSun" w:cs="SimSun"/>
              </w:rPr>
            </w:pPr>
            <w:r>
              <w:rPr>
                <w:spacing w:val="1"/>
              </w:rPr>
              <w:t>10.36</w:t>
            </w:r>
            <w:r>
              <w:rPr>
                <w:rFonts w:ascii="SimSun" w:hAnsi="SimSun" w:eastAsia="SimSun" w:cs="SimSun"/>
                <w:spacing w:val="1"/>
              </w:rPr>
              <w:t>（</w:t>
            </w:r>
            <w:r>
              <w:rPr>
                <w:spacing w:val="1"/>
              </w:rPr>
              <w:t>7</w:t>
            </w:r>
            <w:r>
              <w:rPr>
                <w:rFonts w:ascii="SimSun" w:hAnsi="SimSun" w:eastAsia="SimSun" w:cs="SimSun"/>
                <w:spacing w:val="1"/>
              </w:rPr>
              <w:t>）</w:t>
            </w:r>
          </w:p>
        </w:tc>
        <w:tc>
          <w:tcPr>
            <w:tcW w:w="1266" w:type="dxa"/>
            <w:vAlign w:val="top"/>
          </w:tcPr>
          <w:p>
            <w:pPr>
              <w:pStyle w:val="TableText"/>
              <w:ind w:left="53"/>
              <w:spacing w:before="89" w:line="264" w:lineRule="exact"/>
              <w:rPr/>
            </w:pPr>
            <w:r>
              <w:rPr>
                <w:spacing w:val="4"/>
                <w:position w:val="1"/>
              </w:rPr>
              <w:t>45.07</w:t>
            </w:r>
            <w:r>
              <w:rPr>
                <w:rFonts w:ascii="SimSun" w:hAnsi="SimSun" w:eastAsia="SimSun" w:cs="SimSun"/>
                <w:spacing w:val="4"/>
                <w:position w:val="1"/>
              </w:rPr>
              <w:t>～</w:t>
            </w:r>
            <w:r>
              <w:rPr>
                <w:spacing w:val="4"/>
                <w:position w:val="1"/>
              </w:rPr>
              <w:t>46.57</w:t>
            </w:r>
          </w:p>
          <w:p>
            <w:pPr>
              <w:pStyle w:val="TableText"/>
              <w:ind w:left="135"/>
              <w:spacing w:before="9"/>
              <w:rPr>
                <w:rFonts w:ascii="SimSun" w:hAnsi="SimSun" w:eastAsia="SimSun" w:cs="SimSun"/>
              </w:rPr>
            </w:pPr>
            <w:r>
              <w:rPr>
                <w:spacing w:val="4"/>
              </w:rPr>
              <w:t>45.65</w:t>
            </w:r>
            <w:r>
              <w:rPr>
                <w:rFonts w:ascii="SimSun" w:hAnsi="SimSun" w:eastAsia="SimSun" w:cs="SimSun"/>
                <w:spacing w:val="4"/>
              </w:rPr>
              <w:t>（</w:t>
            </w:r>
            <w:r>
              <w:rPr>
                <w:spacing w:val="4"/>
              </w:rPr>
              <w:t>7</w:t>
            </w:r>
            <w:r>
              <w:rPr>
                <w:rFonts w:ascii="SimSun" w:hAnsi="SimSun" w:eastAsia="SimSun" w:cs="SimSun"/>
                <w:spacing w:val="4"/>
              </w:rPr>
              <w:t>）</w:t>
            </w:r>
          </w:p>
        </w:tc>
        <w:tc>
          <w:tcPr>
            <w:tcW w:w="1163" w:type="dxa"/>
            <w:vAlign w:val="top"/>
          </w:tcPr>
          <w:p>
            <w:pPr>
              <w:pStyle w:val="TableText"/>
              <w:ind w:left="111"/>
              <w:spacing w:before="89" w:line="264" w:lineRule="exact"/>
              <w:rPr/>
            </w:pPr>
            <w:r>
              <w:rPr>
                <w:spacing w:val="4"/>
                <w:position w:val="1"/>
              </w:rPr>
              <w:t>0.47</w:t>
            </w:r>
            <w:r>
              <w:rPr>
                <w:rFonts w:ascii="SimSun" w:hAnsi="SimSun" w:eastAsia="SimSun" w:cs="SimSun"/>
                <w:spacing w:val="4"/>
                <w:position w:val="1"/>
              </w:rPr>
              <w:t>～</w:t>
            </w:r>
            <w:r>
              <w:rPr>
                <w:spacing w:val="4"/>
                <w:position w:val="1"/>
              </w:rPr>
              <w:t>1.26</w:t>
            </w:r>
          </w:p>
          <w:p>
            <w:pPr>
              <w:pStyle w:val="TableText"/>
              <w:ind w:left="140"/>
              <w:spacing w:before="9"/>
              <w:rPr>
                <w:rFonts w:ascii="SimSun" w:hAnsi="SimSun" w:eastAsia="SimSun" w:cs="SimSun"/>
              </w:rPr>
            </w:pPr>
            <w:r>
              <w:rPr>
                <w:spacing w:val="3"/>
              </w:rPr>
              <w:t>0.78</w:t>
            </w:r>
            <w:r>
              <w:rPr>
                <w:rFonts w:ascii="SimSun" w:hAnsi="SimSun" w:eastAsia="SimSun" w:cs="SimSun"/>
                <w:spacing w:val="3"/>
              </w:rPr>
              <w:t>（</w:t>
            </w:r>
            <w:r>
              <w:rPr>
                <w:spacing w:val="3"/>
              </w:rPr>
              <w:t>7</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60"/>
              <w:spacing w:before="89" w:line="264" w:lineRule="exact"/>
              <w:rPr/>
            </w:pPr>
            <w:r>
              <w:rPr>
                <w:spacing w:val="4"/>
                <w:position w:val="1"/>
              </w:rPr>
              <w:t>23.56</w:t>
            </w:r>
            <w:r>
              <w:rPr>
                <w:rFonts w:ascii="SimSun" w:hAnsi="SimSun" w:eastAsia="SimSun" w:cs="SimSun"/>
                <w:spacing w:val="4"/>
                <w:position w:val="1"/>
              </w:rPr>
              <w:t>～</w:t>
            </w:r>
            <w:r>
              <w:rPr>
                <w:spacing w:val="4"/>
                <w:position w:val="1"/>
              </w:rPr>
              <w:t>24.99</w:t>
            </w:r>
          </w:p>
          <w:p>
            <w:pPr>
              <w:pStyle w:val="TableText"/>
              <w:ind w:left="139"/>
              <w:spacing w:before="9"/>
              <w:rPr>
                <w:rFonts w:ascii="SimSun" w:hAnsi="SimSun" w:eastAsia="SimSun" w:cs="SimSun"/>
              </w:rPr>
            </w:pPr>
            <w:r>
              <w:rPr>
                <w:spacing w:val="3"/>
              </w:rPr>
              <w:t>24.28</w:t>
            </w:r>
            <w:r>
              <w:rPr>
                <w:rFonts w:ascii="SimSun" w:hAnsi="SimSun" w:eastAsia="SimSun" w:cs="SimSun"/>
                <w:spacing w:val="3"/>
              </w:rPr>
              <w:t>（</w:t>
            </w:r>
            <w:r>
              <w:rPr>
                <w:spacing w:val="3"/>
              </w:rPr>
              <w:t>2</w:t>
            </w:r>
            <w:r>
              <w:rPr>
                <w:rFonts w:ascii="SimSun" w:hAnsi="SimSun" w:eastAsia="SimSun" w:cs="SimSun"/>
                <w:spacing w:val="3"/>
              </w:rPr>
              <w:t>）</w:t>
            </w:r>
          </w:p>
        </w:tc>
        <w:tc>
          <w:tcPr>
            <w:tcW w:w="461" w:type="dxa"/>
            <w:vAlign w:val="top"/>
            <w:vMerge w:val="continue"/>
            <w:tcBorders>
              <w:top w:val="nil"/>
            </w:tcBorders>
          </w:tcPr>
          <w:p>
            <w:pPr>
              <w:rPr>
                <w:rFonts w:ascii="Arial"/>
                <w:sz w:val="21"/>
              </w:rPr>
            </w:pPr>
            <w:r/>
          </w:p>
        </w:tc>
      </w:tr>
      <w:tr>
        <w:trPr>
          <w:trHeight w:val="674" w:hRule="atLeast"/>
        </w:trPr>
        <w:tc>
          <w:tcPr>
            <w:tcW w:w="715" w:type="dxa"/>
            <w:vAlign w:val="top"/>
            <w:vMerge w:val="restart"/>
            <w:tcBorders>
              <w:bottom w:val="nil"/>
            </w:tcBorders>
          </w:tcPr>
          <w:p>
            <w:pPr>
              <w:spacing w:line="248" w:lineRule="auto"/>
              <w:rPr>
                <w:rFonts w:ascii="Arial"/>
                <w:sz w:val="21"/>
              </w:rPr>
            </w:pPr>
            <w:r/>
          </w:p>
          <w:p>
            <w:pPr>
              <w:spacing w:line="249" w:lineRule="auto"/>
              <w:rPr>
                <w:rFonts w:ascii="Arial"/>
                <w:sz w:val="21"/>
              </w:rPr>
            </w:pPr>
            <w:r/>
          </w:p>
          <w:p>
            <w:pPr>
              <w:ind w:left="157"/>
              <w:spacing w:before="65" w:line="228" w:lineRule="auto"/>
              <w:rPr>
                <w:rFonts w:ascii="SimSun" w:hAnsi="SimSun" w:eastAsia="SimSun" w:cs="SimSun"/>
                <w:sz w:val="20"/>
                <w:szCs w:val="20"/>
              </w:rPr>
            </w:pPr>
            <w:r>
              <w:rPr>
                <w:rFonts w:ascii="SimSun" w:hAnsi="SimSun" w:eastAsia="SimSun" w:cs="SimSun"/>
                <w:sz w:val="20"/>
                <w:szCs w:val="20"/>
                <w:spacing w:val="3"/>
              </w:rPr>
              <w:t>一煤</w:t>
            </w:r>
          </w:p>
        </w:tc>
        <w:tc>
          <w:tcPr>
            <w:tcW w:w="461" w:type="dxa"/>
            <w:vAlign w:val="top"/>
            <w:textDirection w:val="tbRlV"/>
          </w:tcPr>
          <w:p>
            <w:pPr>
              <w:ind w:left="90"/>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5"/>
              <w:spacing w:before="90" w:line="264" w:lineRule="exact"/>
              <w:rPr/>
            </w:pPr>
            <w:r>
              <w:rPr>
                <w:spacing w:val="3"/>
                <w:position w:val="1"/>
              </w:rPr>
              <w:t>8.94</w:t>
            </w:r>
            <w:r>
              <w:rPr>
                <w:rFonts w:ascii="SimSun" w:hAnsi="SimSun" w:eastAsia="SimSun" w:cs="SimSun"/>
                <w:spacing w:val="3"/>
                <w:position w:val="1"/>
              </w:rPr>
              <w:t>～</w:t>
            </w:r>
            <w:r>
              <w:rPr>
                <w:spacing w:val="3"/>
                <w:position w:val="1"/>
              </w:rPr>
              <w:t>21.49</w:t>
            </w:r>
          </w:p>
          <w:p>
            <w:pPr>
              <w:pStyle w:val="TableText"/>
              <w:ind w:left="48"/>
              <w:spacing w:before="6"/>
              <w:rPr>
                <w:rFonts w:ascii="SimSun" w:hAnsi="SimSun" w:eastAsia="SimSun" w:cs="SimSun"/>
              </w:rPr>
            </w:pPr>
            <w:r>
              <w:rPr>
                <w:spacing w:val="2"/>
              </w:rPr>
              <w:t>16.24</w:t>
            </w:r>
            <w:r>
              <w:rPr>
                <w:rFonts w:ascii="SimSun" w:hAnsi="SimSun" w:eastAsia="SimSun" w:cs="SimSun"/>
                <w:spacing w:val="2"/>
              </w:rPr>
              <w:t>（</w:t>
            </w:r>
            <w:r>
              <w:rPr>
                <w:spacing w:val="2"/>
              </w:rPr>
              <w:t>144</w:t>
            </w:r>
            <w:r>
              <w:rPr>
                <w:rFonts w:ascii="SimSun" w:hAnsi="SimSun" w:eastAsia="SimSun" w:cs="SimSun"/>
                <w:spacing w:val="2"/>
              </w:rPr>
              <w:t>）</w:t>
            </w:r>
          </w:p>
        </w:tc>
        <w:tc>
          <w:tcPr>
            <w:tcW w:w="1266" w:type="dxa"/>
            <w:vAlign w:val="top"/>
          </w:tcPr>
          <w:p>
            <w:pPr>
              <w:pStyle w:val="TableText"/>
              <w:ind w:left="112"/>
              <w:spacing w:before="90" w:line="264" w:lineRule="exact"/>
              <w:rPr/>
            </w:pPr>
            <w:r>
              <w:rPr>
                <w:spacing w:val="4"/>
                <w:position w:val="1"/>
              </w:rPr>
              <w:t>9.79</w:t>
            </w:r>
            <w:r>
              <w:rPr>
                <w:rFonts w:ascii="SimSun" w:hAnsi="SimSun" w:eastAsia="SimSun" w:cs="SimSun"/>
                <w:spacing w:val="4"/>
                <w:position w:val="1"/>
              </w:rPr>
              <w:t>～</w:t>
            </w:r>
            <w:r>
              <w:rPr>
                <w:spacing w:val="4"/>
                <w:position w:val="1"/>
              </w:rPr>
              <w:t>41.30</w:t>
            </w:r>
          </w:p>
          <w:p>
            <w:pPr>
              <w:pStyle w:val="TableText"/>
              <w:ind w:left="49"/>
              <w:spacing w:before="6"/>
              <w:rPr>
                <w:rFonts w:ascii="SimSun" w:hAnsi="SimSun" w:eastAsia="SimSun" w:cs="SimSun"/>
              </w:rPr>
            </w:pPr>
            <w:r>
              <w:rPr>
                <w:spacing w:val="2"/>
              </w:rPr>
              <w:t>18.29</w:t>
            </w:r>
            <w:r>
              <w:rPr>
                <w:rFonts w:ascii="SimSun" w:hAnsi="SimSun" w:eastAsia="SimSun" w:cs="SimSun"/>
                <w:spacing w:val="2"/>
              </w:rPr>
              <w:t>（</w:t>
            </w:r>
            <w:r>
              <w:rPr>
                <w:spacing w:val="2"/>
              </w:rPr>
              <w:t>144</w:t>
            </w:r>
            <w:r>
              <w:rPr>
                <w:rFonts w:ascii="SimSun" w:hAnsi="SimSun" w:eastAsia="SimSun" w:cs="SimSun"/>
                <w:spacing w:val="2"/>
              </w:rPr>
              <w:t>）</w:t>
            </w:r>
          </w:p>
        </w:tc>
        <w:tc>
          <w:tcPr>
            <w:tcW w:w="1266" w:type="dxa"/>
            <w:vAlign w:val="top"/>
          </w:tcPr>
          <w:p>
            <w:pPr>
              <w:pStyle w:val="TableText"/>
              <w:ind w:left="58"/>
              <w:spacing w:before="90" w:line="264" w:lineRule="exact"/>
              <w:rPr/>
            </w:pPr>
            <w:r>
              <w:rPr>
                <w:spacing w:val="4"/>
                <w:position w:val="1"/>
              </w:rPr>
              <w:t>36.90</w:t>
            </w:r>
            <w:r>
              <w:rPr>
                <w:rFonts w:ascii="SimSun" w:hAnsi="SimSun" w:eastAsia="SimSun" w:cs="SimSun"/>
                <w:spacing w:val="4"/>
                <w:position w:val="1"/>
              </w:rPr>
              <w:t>～</w:t>
            </w:r>
            <w:r>
              <w:rPr>
                <w:spacing w:val="4"/>
                <w:position w:val="1"/>
              </w:rPr>
              <w:t>55.21</w:t>
            </w:r>
          </w:p>
          <w:p>
            <w:pPr>
              <w:pStyle w:val="TableText"/>
              <w:ind w:left="29"/>
              <w:spacing w:before="6"/>
              <w:rPr>
                <w:rFonts w:ascii="SimSun" w:hAnsi="SimSun" w:eastAsia="SimSun" w:cs="SimSun"/>
              </w:rPr>
            </w:pPr>
            <w:r>
              <w:rPr>
                <w:spacing w:val="4"/>
              </w:rPr>
              <w:t>47.05</w:t>
            </w:r>
            <w:r>
              <w:rPr>
                <w:rFonts w:ascii="SimSun" w:hAnsi="SimSun" w:eastAsia="SimSun" w:cs="SimSun"/>
                <w:spacing w:val="4"/>
              </w:rPr>
              <w:t>（</w:t>
            </w:r>
            <w:r>
              <w:rPr>
                <w:spacing w:val="4"/>
              </w:rPr>
              <w:t>143</w:t>
            </w:r>
            <w:r>
              <w:rPr>
                <w:rFonts w:ascii="SimSun" w:hAnsi="SimSun" w:eastAsia="SimSun" w:cs="SimSun"/>
                <w:spacing w:val="4"/>
              </w:rPr>
              <w:t>）</w:t>
            </w:r>
          </w:p>
        </w:tc>
        <w:tc>
          <w:tcPr>
            <w:tcW w:w="1163" w:type="dxa"/>
            <w:vAlign w:val="top"/>
          </w:tcPr>
          <w:p>
            <w:pPr>
              <w:pStyle w:val="TableText"/>
              <w:ind w:left="111"/>
              <w:spacing w:before="107" w:line="264" w:lineRule="exact"/>
              <w:rPr/>
            </w:pPr>
            <w:r>
              <w:rPr>
                <w:spacing w:val="4"/>
                <w:position w:val="1"/>
              </w:rPr>
              <w:t>0.46</w:t>
            </w:r>
            <w:r>
              <w:rPr>
                <w:rFonts w:ascii="SimSun" w:hAnsi="SimSun" w:eastAsia="SimSun" w:cs="SimSun"/>
                <w:spacing w:val="4"/>
                <w:position w:val="1"/>
              </w:rPr>
              <w:t>～</w:t>
            </w:r>
            <w:r>
              <w:rPr>
                <w:spacing w:val="4"/>
                <w:position w:val="1"/>
              </w:rPr>
              <w:t>2.18</w:t>
            </w:r>
          </w:p>
          <w:p>
            <w:pPr>
              <w:pStyle w:val="TableText"/>
              <w:ind w:left="176"/>
              <w:spacing w:before="24" w:line="201" w:lineRule="auto"/>
              <w:rPr/>
            </w:pPr>
            <w:r>
              <w:rPr>
                <w:spacing w:val="3"/>
              </w:rPr>
              <w:t>0.81(143)</w:t>
            </w:r>
          </w:p>
        </w:tc>
        <w:tc>
          <w:tcPr>
            <w:tcW w:w="1266" w:type="dxa"/>
            <w:vAlign w:val="top"/>
          </w:tcPr>
          <w:p>
            <w:pPr>
              <w:pStyle w:val="TableText"/>
              <w:ind w:left="79"/>
              <w:spacing w:before="90" w:line="264" w:lineRule="exact"/>
              <w:rPr/>
            </w:pPr>
            <w:r>
              <w:rPr>
                <w:spacing w:val="2"/>
                <w:position w:val="1"/>
              </w:rPr>
              <w:t>16.62</w:t>
            </w:r>
            <w:r>
              <w:rPr>
                <w:rFonts w:ascii="SimSun" w:hAnsi="SimSun" w:eastAsia="SimSun" w:cs="SimSun"/>
                <w:spacing w:val="2"/>
                <w:position w:val="1"/>
              </w:rPr>
              <w:t>～</w:t>
            </w:r>
            <w:r>
              <w:rPr>
                <w:spacing w:val="2"/>
                <w:position w:val="1"/>
              </w:rPr>
              <w:t>27.36</w:t>
            </w:r>
          </w:p>
          <w:p>
            <w:pPr>
              <w:pStyle w:val="TableText"/>
              <w:ind w:left="32"/>
              <w:spacing w:before="6"/>
              <w:rPr>
                <w:rFonts w:ascii="SimSun" w:hAnsi="SimSun" w:eastAsia="SimSun" w:cs="SimSun"/>
              </w:rPr>
            </w:pPr>
            <w:r>
              <w:rPr>
                <w:spacing w:val="4"/>
              </w:rPr>
              <w:t>22.52</w:t>
            </w:r>
            <w:r>
              <w:rPr>
                <w:rFonts w:ascii="SimSun" w:hAnsi="SimSun" w:eastAsia="SimSun" w:cs="SimSun"/>
                <w:spacing w:val="4"/>
              </w:rPr>
              <w:t>（</w:t>
            </w:r>
            <w:r>
              <w:rPr>
                <w:spacing w:val="4"/>
              </w:rPr>
              <w:t>193</w:t>
            </w:r>
            <w:r>
              <w:rPr>
                <w:rFonts w:ascii="SimSun" w:hAnsi="SimSun" w:eastAsia="SimSun" w:cs="SimSun"/>
                <w:spacing w:val="4"/>
              </w:rPr>
              <w:t>）</w:t>
            </w:r>
          </w:p>
        </w:tc>
        <w:tc>
          <w:tcPr>
            <w:tcW w:w="1267" w:type="dxa"/>
            <w:vAlign w:val="top"/>
          </w:tcPr>
          <w:p>
            <w:pPr>
              <w:pStyle w:val="TableText"/>
              <w:ind w:left="80"/>
              <w:spacing w:before="90" w:line="264" w:lineRule="exact"/>
              <w:rPr/>
            </w:pPr>
            <w:r>
              <w:rPr>
                <w:spacing w:val="2"/>
                <w:position w:val="1"/>
              </w:rPr>
              <w:t>14.90</w:t>
            </w:r>
            <w:r>
              <w:rPr>
                <w:rFonts w:ascii="SimSun" w:hAnsi="SimSun" w:eastAsia="SimSun" w:cs="SimSun"/>
                <w:spacing w:val="2"/>
                <w:position w:val="1"/>
              </w:rPr>
              <w:t>～</w:t>
            </w:r>
            <w:r>
              <w:rPr>
                <w:spacing w:val="2"/>
                <w:position w:val="1"/>
              </w:rPr>
              <w:t>26.56</w:t>
            </w:r>
          </w:p>
          <w:p>
            <w:pPr>
              <w:pStyle w:val="TableText"/>
              <w:ind w:left="31"/>
              <w:spacing w:before="6"/>
              <w:rPr>
                <w:rFonts w:ascii="SimSun" w:hAnsi="SimSun" w:eastAsia="SimSun" w:cs="SimSun"/>
              </w:rPr>
            </w:pPr>
            <w:r>
              <w:rPr>
                <w:spacing w:val="4"/>
              </w:rPr>
              <w:t>21.83</w:t>
            </w:r>
            <w:r>
              <w:rPr>
                <w:rFonts w:ascii="SimSun" w:hAnsi="SimSun" w:eastAsia="SimSun" w:cs="SimSun"/>
                <w:spacing w:val="4"/>
              </w:rPr>
              <w:t>（</w:t>
            </w:r>
            <w:r>
              <w:rPr>
                <w:spacing w:val="4"/>
              </w:rPr>
              <w:t>133</w:t>
            </w:r>
            <w:r>
              <w:rPr>
                <w:rFonts w:ascii="SimSun" w:hAnsi="SimSun" w:eastAsia="SimSun" w:cs="SimSun"/>
                <w:spacing w:val="4"/>
              </w:rPr>
              <w:t>）</w:t>
            </w:r>
          </w:p>
        </w:tc>
        <w:tc>
          <w:tcPr>
            <w:tcW w:w="461" w:type="dxa"/>
            <w:vAlign w:val="top"/>
            <w:vMerge w:val="restart"/>
            <w:tcBorders>
              <w:bottom w:val="nil"/>
            </w:tcBorders>
          </w:tcPr>
          <w:p>
            <w:pPr>
              <w:spacing w:line="308" w:lineRule="auto"/>
              <w:rPr>
                <w:rFonts w:ascii="Arial"/>
                <w:sz w:val="21"/>
              </w:rPr>
            </w:pPr>
            <w:r/>
          </w:p>
          <w:p>
            <w:pPr>
              <w:spacing w:line="309" w:lineRule="auto"/>
              <w:rPr>
                <w:rFonts w:ascii="Arial"/>
                <w:sz w:val="21"/>
              </w:rPr>
            </w:pPr>
            <w:r/>
          </w:p>
          <w:p>
            <w:pPr>
              <w:pStyle w:val="TableText"/>
              <w:ind w:left="59"/>
              <w:spacing w:before="57" w:line="192" w:lineRule="auto"/>
              <w:rPr/>
            </w:pPr>
            <w:r>
              <w:rPr>
                <w:spacing w:val="5"/>
              </w:rPr>
              <w:t>HM</w:t>
            </w:r>
          </w:p>
        </w:tc>
      </w:tr>
      <w:tr>
        <w:trPr>
          <w:trHeight w:val="676"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90"/>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5"/>
              </w:rPr>
              <w:t xml:space="preserve"> </w:t>
            </w:r>
            <w:r>
              <w:rPr>
                <w:rFonts w:ascii="SimSun" w:hAnsi="SimSun" w:eastAsia="SimSun" w:cs="SimSun"/>
                <w:sz w:val="20"/>
                <w:szCs w:val="20"/>
                <w:spacing w:val="8"/>
              </w:rPr>
              <w:t>煤</w:t>
            </w:r>
          </w:p>
        </w:tc>
        <w:tc>
          <w:tcPr>
            <w:tcW w:w="1266" w:type="dxa"/>
            <w:vAlign w:val="top"/>
          </w:tcPr>
          <w:p>
            <w:pPr>
              <w:pStyle w:val="TableText"/>
              <w:ind w:left="74"/>
              <w:spacing w:before="90" w:line="264" w:lineRule="exact"/>
              <w:rPr/>
            </w:pPr>
            <w:r>
              <w:rPr>
                <w:spacing w:val="2"/>
                <w:position w:val="1"/>
              </w:rPr>
              <w:t>10.34</w:t>
            </w:r>
            <w:r>
              <w:rPr>
                <w:rFonts w:ascii="SimSun" w:hAnsi="SimSun" w:eastAsia="SimSun" w:cs="SimSun"/>
                <w:spacing w:val="2"/>
                <w:position w:val="1"/>
              </w:rPr>
              <w:t>～</w:t>
            </w:r>
            <w:r>
              <w:rPr>
                <w:spacing w:val="2"/>
                <w:position w:val="1"/>
              </w:rPr>
              <w:t>21.74</w:t>
            </w:r>
          </w:p>
          <w:p>
            <w:pPr>
              <w:pStyle w:val="TableText"/>
              <w:ind w:left="48"/>
              <w:spacing w:before="9"/>
              <w:rPr>
                <w:rFonts w:ascii="SimSun" w:hAnsi="SimSun" w:eastAsia="SimSun" w:cs="SimSun"/>
              </w:rPr>
            </w:pPr>
            <w:r>
              <w:rPr>
                <w:spacing w:val="2"/>
              </w:rPr>
              <w:t>15.52</w:t>
            </w:r>
            <w:r>
              <w:rPr>
                <w:rFonts w:ascii="SimSun" w:hAnsi="SimSun" w:eastAsia="SimSun" w:cs="SimSun"/>
                <w:spacing w:val="2"/>
              </w:rPr>
              <w:t>（</w:t>
            </w:r>
            <w:r>
              <w:rPr>
                <w:spacing w:val="2"/>
              </w:rPr>
              <w:t>142</w:t>
            </w:r>
            <w:r>
              <w:rPr>
                <w:rFonts w:ascii="SimSun" w:hAnsi="SimSun" w:eastAsia="SimSun" w:cs="SimSun"/>
                <w:spacing w:val="2"/>
              </w:rPr>
              <w:t>）</w:t>
            </w:r>
          </w:p>
        </w:tc>
        <w:tc>
          <w:tcPr>
            <w:tcW w:w="1266" w:type="dxa"/>
            <w:vAlign w:val="top"/>
          </w:tcPr>
          <w:p>
            <w:pPr>
              <w:pStyle w:val="TableText"/>
              <w:ind w:left="111"/>
              <w:spacing w:before="90" w:line="264" w:lineRule="exact"/>
              <w:rPr/>
            </w:pPr>
            <w:r>
              <w:rPr>
                <w:spacing w:val="4"/>
                <w:position w:val="1"/>
              </w:rPr>
              <w:t>7.27</w:t>
            </w:r>
            <w:r>
              <w:rPr>
                <w:rFonts w:ascii="SimSun" w:hAnsi="SimSun" w:eastAsia="SimSun" w:cs="SimSun"/>
                <w:spacing w:val="4"/>
                <w:position w:val="1"/>
              </w:rPr>
              <w:t>～</w:t>
            </w:r>
            <w:r>
              <w:rPr>
                <w:spacing w:val="4"/>
                <w:position w:val="1"/>
              </w:rPr>
              <w:t>14.20</w:t>
            </w:r>
          </w:p>
          <w:p>
            <w:pPr>
              <w:pStyle w:val="TableText"/>
              <w:ind w:left="86"/>
              <w:spacing w:before="9"/>
              <w:rPr>
                <w:rFonts w:ascii="SimSun" w:hAnsi="SimSun" w:eastAsia="SimSun" w:cs="SimSun"/>
              </w:rPr>
            </w:pPr>
            <w:r>
              <w:rPr>
                <w:spacing w:val="3"/>
              </w:rPr>
              <w:t>9.25</w:t>
            </w:r>
            <w:r>
              <w:rPr>
                <w:rFonts w:ascii="SimSun" w:hAnsi="SimSun" w:eastAsia="SimSun" w:cs="SimSun"/>
                <w:spacing w:val="3"/>
              </w:rPr>
              <w:t>（</w:t>
            </w:r>
            <w:r>
              <w:rPr>
                <w:spacing w:val="3"/>
              </w:rPr>
              <w:t>142</w:t>
            </w:r>
            <w:r>
              <w:rPr>
                <w:rFonts w:ascii="SimSun" w:hAnsi="SimSun" w:eastAsia="SimSun" w:cs="SimSun"/>
                <w:spacing w:val="3"/>
              </w:rPr>
              <w:t>）</w:t>
            </w:r>
          </w:p>
        </w:tc>
        <w:tc>
          <w:tcPr>
            <w:tcW w:w="1266" w:type="dxa"/>
            <w:vAlign w:val="top"/>
          </w:tcPr>
          <w:p>
            <w:pPr>
              <w:pStyle w:val="TableText"/>
              <w:ind w:left="58"/>
              <w:spacing w:before="90" w:line="264" w:lineRule="exact"/>
              <w:rPr/>
            </w:pPr>
            <w:r>
              <w:rPr>
                <w:spacing w:val="4"/>
                <w:position w:val="1"/>
              </w:rPr>
              <w:t>36.90</w:t>
            </w:r>
            <w:r>
              <w:rPr>
                <w:rFonts w:ascii="SimSun" w:hAnsi="SimSun" w:eastAsia="SimSun" w:cs="SimSun"/>
                <w:spacing w:val="4"/>
                <w:position w:val="1"/>
              </w:rPr>
              <w:t>～</w:t>
            </w:r>
            <w:r>
              <w:rPr>
                <w:spacing w:val="4"/>
                <w:position w:val="1"/>
              </w:rPr>
              <w:t>57.90</w:t>
            </w:r>
          </w:p>
          <w:p>
            <w:pPr>
              <w:pStyle w:val="TableText"/>
              <w:ind w:left="29"/>
              <w:spacing w:before="9"/>
              <w:rPr>
                <w:rFonts w:ascii="SimSun" w:hAnsi="SimSun" w:eastAsia="SimSun" w:cs="SimSun"/>
              </w:rPr>
            </w:pPr>
            <w:r>
              <w:rPr>
                <w:spacing w:val="4"/>
              </w:rPr>
              <w:t>45.57</w:t>
            </w:r>
            <w:r>
              <w:rPr>
                <w:rFonts w:ascii="SimSun" w:hAnsi="SimSun" w:eastAsia="SimSun" w:cs="SimSun"/>
                <w:spacing w:val="4"/>
              </w:rPr>
              <w:t>（</w:t>
            </w:r>
            <w:r>
              <w:rPr>
                <w:spacing w:val="4"/>
              </w:rPr>
              <w:t>142</w:t>
            </w:r>
            <w:r>
              <w:rPr>
                <w:rFonts w:ascii="SimSun" w:hAnsi="SimSun" w:eastAsia="SimSun" w:cs="SimSun"/>
                <w:spacing w:val="4"/>
              </w:rPr>
              <w:t>）</w:t>
            </w:r>
          </w:p>
        </w:tc>
        <w:tc>
          <w:tcPr>
            <w:tcW w:w="1163" w:type="dxa"/>
            <w:vAlign w:val="top"/>
          </w:tcPr>
          <w:p>
            <w:pPr>
              <w:pStyle w:val="TableText"/>
              <w:ind w:left="111"/>
              <w:spacing w:before="107" w:line="264" w:lineRule="exact"/>
              <w:rPr/>
            </w:pPr>
            <w:r>
              <w:rPr>
                <w:spacing w:val="4"/>
                <w:position w:val="1"/>
              </w:rPr>
              <w:t>0.45</w:t>
            </w:r>
            <w:r>
              <w:rPr>
                <w:rFonts w:ascii="SimSun" w:hAnsi="SimSun" w:eastAsia="SimSun" w:cs="SimSun"/>
                <w:spacing w:val="4"/>
                <w:position w:val="1"/>
              </w:rPr>
              <w:t>～</w:t>
            </w:r>
            <w:r>
              <w:rPr>
                <w:spacing w:val="4"/>
                <w:position w:val="1"/>
              </w:rPr>
              <w:t>2.40</w:t>
            </w:r>
          </w:p>
          <w:p>
            <w:pPr>
              <w:pStyle w:val="TableText"/>
              <w:ind w:left="176"/>
              <w:spacing w:before="24" w:line="201" w:lineRule="auto"/>
              <w:rPr/>
            </w:pPr>
            <w:r>
              <w:rPr>
                <w:spacing w:val="3"/>
              </w:rPr>
              <w:t>0.76(142)</w:t>
            </w:r>
          </w:p>
        </w:tc>
        <w:tc>
          <w:tcPr>
            <w:tcW w:w="1266" w:type="dxa"/>
            <w:vAlign w:val="top"/>
          </w:tcPr>
          <w:p>
            <w:pPr>
              <w:pStyle w:val="TableText"/>
              <w:ind w:left="59"/>
              <w:spacing w:before="90" w:line="264" w:lineRule="exact"/>
              <w:rPr/>
            </w:pPr>
            <w:r>
              <w:rPr>
                <w:spacing w:val="4"/>
                <w:position w:val="1"/>
              </w:rPr>
              <w:t>26.36</w:t>
            </w:r>
            <w:r>
              <w:rPr>
                <w:rFonts w:ascii="SimSun" w:hAnsi="SimSun" w:eastAsia="SimSun" w:cs="SimSun"/>
                <w:spacing w:val="4"/>
                <w:position w:val="1"/>
              </w:rPr>
              <w:t>～</w:t>
            </w:r>
            <w:r>
              <w:rPr>
                <w:spacing w:val="4"/>
                <w:position w:val="1"/>
              </w:rPr>
              <w:t>27.24</w:t>
            </w:r>
          </w:p>
          <w:p>
            <w:pPr>
              <w:pStyle w:val="TableText"/>
              <w:ind w:left="138"/>
              <w:spacing w:before="9"/>
              <w:rPr>
                <w:rFonts w:ascii="SimSun" w:hAnsi="SimSun" w:eastAsia="SimSun" w:cs="SimSun"/>
              </w:rPr>
            </w:pPr>
            <w:r>
              <w:rPr>
                <w:spacing w:val="3"/>
              </w:rPr>
              <w:t>26.68</w:t>
            </w:r>
            <w:r>
              <w:rPr>
                <w:rFonts w:ascii="SimSun" w:hAnsi="SimSun" w:eastAsia="SimSun" w:cs="SimSun"/>
                <w:spacing w:val="3"/>
              </w:rPr>
              <w:t>（</w:t>
            </w:r>
            <w:r>
              <w:rPr>
                <w:spacing w:val="3"/>
              </w:rPr>
              <w:t>6</w:t>
            </w:r>
            <w:r>
              <w:rPr>
                <w:rFonts w:ascii="SimSun" w:hAnsi="SimSun" w:eastAsia="SimSun" w:cs="SimSun"/>
                <w:spacing w:val="3"/>
              </w:rPr>
              <w:t>）</w:t>
            </w:r>
          </w:p>
        </w:tc>
        <w:tc>
          <w:tcPr>
            <w:tcW w:w="1267" w:type="dxa"/>
            <w:vAlign w:val="top"/>
          </w:tcPr>
          <w:p>
            <w:pPr>
              <w:pStyle w:val="TableText"/>
              <w:ind w:left="60"/>
              <w:spacing w:before="90" w:line="264" w:lineRule="exact"/>
              <w:rPr/>
            </w:pPr>
            <w:r>
              <w:rPr>
                <w:spacing w:val="4"/>
                <w:position w:val="1"/>
              </w:rPr>
              <w:t>22.77</w:t>
            </w:r>
            <w:r>
              <w:rPr>
                <w:rFonts w:ascii="SimSun" w:hAnsi="SimSun" w:eastAsia="SimSun" w:cs="SimSun"/>
                <w:spacing w:val="4"/>
                <w:position w:val="1"/>
              </w:rPr>
              <w:t>～</w:t>
            </w:r>
            <w:r>
              <w:rPr>
                <w:spacing w:val="4"/>
                <w:position w:val="1"/>
              </w:rPr>
              <w:t>26.19</w:t>
            </w:r>
          </w:p>
          <w:p>
            <w:pPr>
              <w:pStyle w:val="TableText"/>
              <w:ind w:left="86"/>
              <w:spacing w:before="9"/>
              <w:rPr>
                <w:rFonts w:ascii="SimSun" w:hAnsi="SimSun" w:eastAsia="SimSun" w:cs="SimSun"/>
              </w:rPr>
            </w:pPr>
            <w:r>
              <w:rPr>
                <w:spacing w:val="4"/>
              </w:rPr>
              <w:t>24.32</w:t>
            </w:r>
            <w:r>
              <w:rPr>
                <w:rFonts w:ascii="SimSun" w:hAnsi="SimSun" w:eastAsia="SimSun" w:cs="SimSun"/>
                <w:spacing w:val="4"/>
              </w:rPr>
              <w:t>（</w:t>
            </w:r>
            <w:r>
              <w:rPr>
                <w:spacing w:val="4"/>
              </w:rPr>
              <w:t>77</w:t>
            </w:r>
            <w:r>
              <w:rPr>
                <w:rFonts w:ascii="SimSun" w:hAnsi="SimSun" w:eastAsia="SimSun" w:cs="SimSun"/>
                <w:spacing w:val="4"/>
              </w:rPr>
              <w:t>）</w:t>
            </w:r>
          </w:p>
        </w:tc>
        <w:tc>
          <w:tcPr>
            <w:tcW w:w="461" w:type="dxa"/>
            <w:vAlign w:val="top"/>
            <w:vMerge w:val="continue"/>
            <w:tcBorders>
              <w:top w:val="nil"/>
            </w:tcBorders>
          </w:tcPr>
          <w:p>
            <w:pPr>
              <w:rPr>
                <w:rFonts w:ascii="Arial"/>
                <w:sz w:val="21"/>
              </w:rPr>
            </w:pPr>
            <w:r/>
          </w:p>
        </w:tc>
      </w:tr>
      <w:tr>
        <w:trPr>
          <w:trHeight w:val="673" w:hRule="atLeast"/>
        </w:trPr>
        <w:tc>
          <w:tcPr>
            <w:tcW w:w="715"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ind w:left="49"/>
              <w:spacing w:before="65" w:line="228" w:lineRule="auto"/>
              <w:rPr>
                <w:rFonts w:ascii="SimSun" w:hAnsi="SimSun" w:eastAsia="SimSun" w:cs="SimSun"/>
                <w:sz w:val="20"/>
                <w:szCs w:val="20"/>
              </w:rPr>
            </w:pPr>
            <w:r>
              <w:rPr>
                <w:rFonts w:ascii="SimSun" w:hAnsi="SimSun" w:eastAsia="SimSun" w:cs="SimSun"/>
                <w:sz w:val="20"/>
                <w:szCs w:val="20"/>
                <w:spacing w:val="5"/>
              </w:rPr>
              <w:t>一下煤</w:t>
            </w:r>
          </w:p>
        </w:tc>
        <w:tc>
          <w:tcPr>
            <w:tcW w:w="461" w:type="dxa"/>
            <w:vAlign w:val="top"/>
            <w:textDirection w:val="tbRlV"/>
          </w:tcPr>
          <w:p>
            <w:pPr>
              <w:ind w:left="91"/>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06"/>
              <w:spacing w:before="91" w:line="264" w:lineRule="exact"/>
              <w:rPr/>
            </w:pPr>
            <w:r>
              <w:rPr>
                <w:spacing w:val="4"/>
                <w:position w:val="1"/>
              </w:rPr>
              <w:t>4.84</w:t>
            </w:r>
            <w:r>
              <w:rPr>
                <w:rFonts w:ascii="SimSun" w:hAnsi="SimSun" w:eastAsia="SimSun" w:cs="SimSun"/>
                <w:spacing w:val="4"/>
                <w:position w:val="1"/>
              </w:rPr>
              <w:t>～</w:t>
            </w:r>
            <w:r>
              <w:rPr>
                <w:spacing w:val="4"/>
                <w:position w:val="1"/>
              </w:rPr>
              <w:t>24.89</w:t>
            </w:r>
          </w:p>
          <w:p>
            <w:pPr>
              <w:pStyle w:val="TableText"/>
              <w:ind w:left="98"/>
              <w:spacing w:before="6"/>
              <w:rPr>
                <w:rFonts w:ascii="SimSun" w:hAnsi="SimSun" w:eastAsia="SimSun" w:cs="SimSun"/>
              </w:rPr>
            </w:pPr>
            <w:r>
              <w:rPr>
                <w:spacing w:val="2"/>
              </w:rPr>
              <w:t>15.40</w:t>
            </w:r>
            <w:r>
              <w:rPr>
                <w:rFonts w:ascii="SimSun" w:hAnsi="SimSun" w:eastAsia="SimSun" w:cs="SimSun"/>
                <w:spacing w:val="2"/>
              </w:rPr>
              <w:t>（</w:t>
            </w:r>
            <w:r>
              <w:rPr>
                <w:spacing w:val="2"/>
              </w:rPr>
              <w:t>64</w:t>
            </w:r>
            <w:r>
              <w:rPr>
                <w:rFonts w:ascii="SimSun" w:hAnsi="SimSun" w:eastAsia="SimSun" w:cs="SimSun"/>
                <w:spacing w:val="2"/>
              </w:rPr>
              <w:t>）</w:t>
            </w:r>
          </w:p>
        </w:tc>
        <w:tc>
          <w:tcPr>
            <w:tcW w:w="1266" w:type="dxa"/>
            <w:vAlign w:val="top"/>
          </w:tcPr>
          <w:p>
            <w:pPr>
              <w:pStyle w:val="TableText"/>
              <w:ind w:left="116"/>
              <w:spacing w:before="91" w:line="264" w:lineRule="exact"/>
              <w:rPr/>
            </w:pPr>
            <w:r>
              <w:rPr>
                <w:spacing w:val="1"/>
                <w:position w:val="1"/>
              </w:rPr>
              <w:t>8.</w:t>
            </w:r>
            <w:r>
              <w:rPr>
                <w:spacing w:val="-24"/>
                <w:position w:val="1"/>
              </w:rPr>
              <w:t xml:space="preserve"> </w:t>
            </w:r>
            <w:r>
              <w:rPr>
                <w:spacing w:val="1"/>
                <w:position w:val="1"/>
              </w:rPr>
              <w:t>10</w:t>
            </w:r>
            <w:r>
              <w:rPr>
                <w:rFonts w:ascii="SimSun" w:hAnsi="SimSun" w:eastAsia="SimSun" w:cs="SimSun"/>
                <w:spacing w:val="1"/>
                <w:position w:val="1"/>
              </w:rPr>
              <w:t>～</w:t>
            </w:r>
            <w:r>
              <w:rPr>
                <w:spacing w:val="1"/>
                <w:position w:val="1"/>
              </w:rPr>
              <w:t>45.73</w:t>
            </w:r>
          </w:p>
          <w:p>
            <w:pPr>
              <w:pStyle w:val="TableText"/>
              <w:ind w:left="102"/>
              <w:spacing w:before="6"/>
              <w:rPr>
                <w:rFonts w:ascii="SimSun" w:hAnsi="SimSun" w:eastAsia="SimSun" w:cs="SimSun"/>
              </w:rPr>
            </w:pPr>
            <w:r>
              <w:rPr>
                <w:spacing w:val="1"/>
              </w:rPr>
              <w:t>19.64</w:t>
            </w:r>
            <w:r>
              <w:rPr>
                <w:rFonts w:ascii="SimSun" w:hAnsi="SimSun" w:eastAsia="SimSun" w:cs="SimSun"/>
                <w:spacing w:val="1"/>
              </w:rPr>
              <w:t>（</w:t>
            </w:r>
            <w:r>
              <w:rPr>
                <w:spacing w:val="1"/>
              </w:rPr>
              <w:t>64</w:t>
            </w:r>
            <w:r>
              <w:rPr>
                <w:rFonts w:ascii="SimSun" w:hAnsi="SimSun" w:eastAsia="SimSun" w:cs="SimSun"/>
                <w:spacing w:val="1"/>
              </w:rPr>
              <w:t>）</w:t>
            </w:r>
          </w:p>
        </w:tc>
        <w:tc>
          <w:tcPr>
            <w:tcW w:w="1266" w:type="dxa"/>
            <w:vAlign w:val="top"/>
          </w:tcPr>
          <w:p>
            <w:pPr>
              <w:pStyle w:val="TableText"/>
              <w:ind w:left="53"/>
              <w:spacing w:before="91" w:line="264" w:lineRule="exact"/>
              <w:rPr/>
            </w:pPr>
            <w:r>
              <w:rPr>
                <w:spacing w:val="4"/>
                <w:position w:val="1"/>
              </w:rPr>
              <w:t>42.01</w:t>
            </w:r>
            <w:r>
              <w:rPr>
                <w:rFonts w:ascii="SimSun" w:hAnsi="SimSun" w:eastAsia="SimSun" w:cs="SimSun"/>
                <w:spacing w:val="4"/>
                <w:position w:val="1"/>
              </w:rPr>
              <w:t>～</w:t>
            </w:r>
            <w:r>
              <w:rPr>
                <w:spacing w:val="4"/>
                <w:position w:val="1"/>
              </w:rPr>
              <w:t>55.17</w:t>
            </w:r>
          </w:p>
          <w:p>
            <w:pPr>
              <w:pStyle w:val="TableText"/>
              <w:ind w:left="82"/>
              <w:spacing w:before="6"/>
              <w:rPr>
                <w:rFonts w:ascii="SimSun" w:hAnsi="SimSun" w:eastAsia="SimSun" w:cs="SimSun"/>
              </w:rPr>
            </w:pPr>
            <w:r>
              <w:rPr>
                <w:spacing w:val="4"/>
              </w:rPr>
              <w:t>47.16</w:t>
            </w:r>
            <w:r>
              <w:rPr>
                <w:rFonts w:ascii="SimSun" w:hAnsi="SimSun" w:eastAsia="SimSun" w:cs="SimSun"/>
                <w:spacing w:val="4"/>
              </w:rPr>
              <w:t>（</w:t>
            </w:r>
            <w:r>
              <w:rPr>
                <w:spacing w:val="4"/>
              </w:rPr>
              <w:t>64</w:t>
            </w:r>
            <w:r>
              <w:rPr>
                <w:rFonts w:ascii="SimSun" w:hAnsi="SimSun" w:eastAsia="SimSun" w:cs="SimSun"/>
                <w:spacing w:val="4"/>
              </w:rPr>
              <w:t>）</w:t>
            </w:r>
          </w:p>
        </w:tc>
        <w:tc>
          <w:tcPr>
            <w:tcW w:w="1163" w:type="dxa"/>
            <w:vAlign w:val="top"/>
          </w:tcPr>
          <w:p>
            <w:pPr>
              <w:pStyle w:val="TableText"/>
              <w:ind w:left="111"/>
              <w:spacing w:before="91" w:line="264" w:lineRule="exact"/>
              <w:rPr/>
            </w:pPr>
            <w:r>
              <w:rPr>
                <w:spacing w:val="4"/>
                <w:position w:val="1"/>
              </w:rPr>
              <w:t>0.35</w:t>
            </w:r>
            <w:r>
              <w:rPr>
                <w:rFonts w:ascii="SimSun" w:hAnsi="SimSun" w:eastAsia="SimSun" w:cs="SimSun"/>
                <w:spacing w:val="4"/>
                <w:position w:val="1"/>
              </w:rPr>
              <w:t>～</w:t>
            </w:r>
            <w:r>
              <w:rPr>
                <w:spacing w:val="4"/>
                <w:position w:val="1"/>
              </w:rPr>
              <w:t>3.31</w:t>
            </w:r>
          </w:p>
          <w:p>
            <w:pPr>
              <w:pStyle w:val="TableText"/>
              <w:ind w:left="87"/>
              <w:spacing w:before="6"/>
              <w:rPr>
                <w:rFonts w:ascii="SimSun" w:hAnsi="SimSun" w:eastAsia="SimSun" w:cs="SimSun"/>
              </w:rPr>
            </w:pPr>
            <w:r>
              <w:rPr>
                <w:spacing w:val="3"/>
              </w:rPr>
              <w:t>0.90</w:t>
            </w:r>
            <w:r>
              <w:rPr>
                <w:rFonts w:ascii="SimSun" w:hAnsi="SimSun" w:eastAsia="SimSun" w:cs="SimSun"/>
                <w:spacing w:val="3"/>
              </w:rPr>
              <w:t>（</w:t>
            </w:r>
            <w:r>
              <w:rPr>
                <w:spacing w:val="3"/>
              </w:rPr>
              <w:t>64</w:t>
            </w:r>
            <w:r>
              <w:rPr>
                <w:rFonts w:ascii="SimSun" w:hAnsi="SimSun" w:eastAsia="SimSun" w:cs="SimSun"/>
                <w:spacing w:val="3"/>
              </w:rPr>
              <w:t>）</w:t>
            </w:r>
          </w:p>
        </w:tc>
        <w:tc>
          <w:tcPr>
            <w:tcW w:w="1266" w:type="dxa"/>
            <w:vAlign w:val="top"/>
          </w:tcPr>
          <w:p>
            <w:pPr>
              <w:pStyle w:val="TableText"/>
              <w:ind w:left="59"/>
              <w:spacing w:before="91" w:line="264" w:lineRule="exact"/>
              <w:rPr/>
            </w:pPr>
            <w:r>
              <w:rPr>
                <w:spacing w:val="4"/>
                <w:position w:val="1"/>
              </w:rPr>
              <w:t>20.57</w:t>
            </w:r>
            <w:r>
              <w:rPr>
                <w:rFonts w:ascii="SimSun" w:hAnsi="SimSun" w:eastAsia="SimSun" w:cs="SimSun"/>
                <w:spacing w:val="4"/>
                <w:position w:val="1"/>
              </w:rPr>
              <w:t>～</w:t>
            </w:r>
            <w:r>
              <w:rPr>
                <w:spacing w:val="4"/>
                <w:position w:val="1"/>
              </w:rPr>
              <w:t>26.68</w:t>
            </w:r>
          </w:p>
          <w:p>
            <w:pPr>
              <w:pStyle w:val="TableText"/>
              <w:ind w:left="138"/>
              <w:spacing w:before="6"/>
              <w:rPr>
                <w:rFonts w:ascii="SimSun" w:hAnsi="SimSun" w:eastAsia="SimSun" w:cs="SimSun"/>
              </w:rPr>
            </w:pPr>
            <w:r>
              <w:rPr>
                <w:spacing w:val="3"/>
              </w:rPr>
              <w:t>24.70</w:t>
            </w:r>
            <w:r>
              <w:rPr>
                <w:rFonts w:ascii="SimSun" w:hAnsi="SimSun" w:eastAsia="SimSun" w:cs="SimSun"/>
                <w:spacing w:val="3"/>
              </w:rPr>
              <w:t>（</w:t>
            </w:r>
            <w:r>
              <w:rPr>
                <w:spacing w:val="3"/>
              </w:rPr>
              <w:t>8</w:t>
            </w:r>
            <w:r>
              <w:rPr>
                <w:rFonts w:ascii="SimSun" w:hAnsi="SimSun" w:eastAsia="SimSun" w:cs="SimSun"/>
                <w:spacing w:val="3"/>
              </w:rPr>
              <w:t>）</w:t>
            </w:r>
          </w:p>
        </w:tc>
        <w:tc>
          <w:tcPr>
            <w:tcW w:w="1267" w:type="dxa"/>
            <w:vAlign w:val="top"/>
          </w:tcPr>
          <w:p>
            <w:pPr>
              <w:pStyle w:val="TableText"/>
              <w:ind w:left="80"/>
              <w:spacing w:before="91" w:line="264" w:lineRule="exact"/>
              <w:rPr/>
            </w:pPr>
            <w:r>
              <w:rPr>
                <w:spacing w:val="2"/>
                <w:position w:val="1"/>
              </w:rPr>
              <w:t>14.82</w:t>
            </w:r>
            <w:r>
              <w:rPr>
                <w:rFonts w:ascii="SimSun" w:hAnsi="SimSun" w:eastAsia="SimSun" w:cs="SimSun"/>
                <w:spacing w:val="2"/>
                <w:position w:val="1"/>
              </w:rPr>
              <w:t>～</w:t>
            </w:r>
            <w:r>
              <w:rPr>
                <w:spacing w:val="2"/>
                <w:position w:val="1"/>
              </w:rPr>
              <w:t>24.68</w:t>
            </w:r>
          </w:p>
          <w:p>
            <w:pPr>
              <w:pStyle w:val="TableText"/>
              <w:ind w:left="86"/>
              <w:spacing w:before="6"/>
              <w:rPr>
                <w:rFonts w:ascii="SimSun" w:hAnsi="SimSun" w:eastAsia="SimSun" w:cs="SimSun"/>
              </w:rPr>
            </w:pPr>
            <w:r>
              <w:rPr>
                <w:spacing w:val="4"/>
              </w:rPr>
              <w:t>21.34</w:t>
            </w:r>
            <w:r>
              <w:rPr>
                <w:rFonts w:ascii="SimSun" w:hAnsi="SimSun" w:eastAsia="SimSun" w:cs="SimSun"/>
                <w:spacing w:val="4"/>
              </w:rPr>
              <w:t>（</w:t>
            </w:r>
            <w:r>
              <w:rPr>
                <w:spacing w:val="4"/>
              </w:rPr>
              <w:t>54</w:t>
            </w:r>
            <w:r>
              <w:rPr>
                <w:rFonts w:ascii="SimSun" w:hAnsi="SimSun" w:eastAsia="SimSun" w:cs="SimSun"/>
                <w:spacing w:val="4"/>
              </w:rPr>
              <w:t>）</w:t>
            </w:r>
          </w:p>
        </w:tc>
        <w:tc>
          <w:tcPr>
            <w:tcW w:w="461" w:type="dxa"/>
            <w:vAlign w:val="top"/>
            <w:vMerge w:val="restart"/>
            <w:tcBorders>
              <w:bottom w:val="nil"/>
            </w:tcBorders>
          </w:tcPr>
          <w:p>
            <w:pPr>
              <w:spacing w:line="330" w:lineRule="auto"/>
              <w:rPr>
                <w:rFonts w:ascii="Arial"/>
                <w:sz w:val="21"/>
              </w:rPr>
            </w:pPr>
            <w:r/>
          </w:p>
          <w:p>
            <w:pPr>
              <w:spacing w:line="331" w:lineRule="auto"/>
              <w:rPr>
                <w:rFonts w:ascii="Arial"/>
                <w:sz w:val="21"/>
              </w:rPr>
            </w:pPr>
            <w:r/>
          </w:p>
          <w:p>
            <w:pPr>
              <w:pStyle w:val="TableText"/>
              <w:ind w:left="59"/>
              <w:spacing w:before="57" w:line="192" w:lineRule="auto"/>
              <w:rPr/>
            </w:pPr>
            <w:r>
              <w:rPr>
                <w:spacing w:val="5"/>
              </w:rPr>
              <w:t>HM</w:t>
            </w:r>
          </w:p>
        </w:tc>
      </w:tr>
      <w:tr>
        <w:trPr>
          <w:trHeight w:val="765"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137"/>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0"/>
              <w:spacing w:before="137" w:line="265" w:lineRule="exact"/>
              <w:rPr/>
            </w:pPr>
            <w:r>
              <w:rPr>
                <w:spacing w:val="1"/>
                <w:position w:val="1"/>
              </w:rPr>
              <w:t>7.</w:t>
            </w:r>
            <w:r>
              <w:rPr>
                <w:spacing w:val="-19"/>
                <w:position w:val="1"/>
              </w:rPr>
              <w:t xml:space="preserve"> </w:t>
            </w:r>
            <w:r>
              <w:rPr>
                <w:spacing w:val="1"/>
                <w:position w:val="1"/>
              </w:rPr>
              <w:t>12</w:t>
            </w:r>
            <w:r>
              <w:rPr>
                <w:rFonts w:ascii="SimSun" w:hAnsi="SimSun" w:eastAsia="SimSun" w:cs="SimSun"/>
                <w:spacing w:val="1"/>
                <w:position w:val="1"/>
              </w:rPr>
              <w:t>～</w:t>
            </w:r>
            <w:r>
              <w:rPr>
                <w:spacing w:val="1"/>
                <w:position w:val="1"/>
              </w:rPr>
              <w:t>24.60</w:t>
            </w:r>
          </w:p>
          <w:p>
            <w:pPr>
              <w:pStyle w:val="TableText"/>
              <w:ind w:left="98"/>
              <w:spacing w:before="6"/>
              <w:rPr>
                <w:rFonts w:ascii="SimSun" w:hAnsi="SimSun" w:eastAsia="SimSun" w:cs="SimSun"/>
              </w:rPr>
            </w:pPr>
            <w:r>
              <w:rPr>
                <w:spacing w:val="2"/>
              </w:rPr>
              <w:t>15.28</w:t>
            </w:r>
            <w:r>
              <w:rPr>
                <w:rFonts w:ascii="SimSun" w:hAnsi="SimSun" w:eastAsia="SimSun" w:cs="SimSun"/>
                <w:spacing w:val="2"/>
              </w:rPr>
              <w:t>（</w:t>
            </w:r>
            <w:r>
              <w:rPr>
                <w:spacing w:val="2"/>
              </w:rPr>
              <w:t>61</w:t>
            </w:r>
            <w:r>
              <w:rPr>
                <w:rFonts w:ascii="SimSun" w:hAnsi="SimSun" w:eastAsia="SimSun" w:cs="SimSun"/>
                <w:spacing w:val="2"/>
              </w:rPr>
              <w:t>）</w:t>
            </w:r>
          </w:p>
        </w:tc>
        <w:tc>
          <w:tcPr>
            <w:tcW w:w="1266" w:type="dxa"/>
            <w:vAlign w:val="top"/>
          </w:tcPr>
          <w:p>
            <w:pPr>
              <w:pStyle w:val="TableText"/>
              <w:ind w:left="113"/>
              <w:spacing w:before="137" w:line="265" w:lineRule="exact"/>
              <w:rPr/>
            </w:pPr>
            <w:r>
              <w:rPr>
                <w:spacing w:val="4"/>
                <w:position w:val="1"/>
              </w:rPr>
              <w:t>6.31</w:t>
            </w:r>
            <w:r>
              <w:rPr>
                <w:rFonts w:ascii="SimSun" w:hAnsi="SimSun" w:eastAsia="SimSun" w:cs="SimSun"/>
                <w:spacing w:val="4"/>
                <w:position w:val="1"/>
              </w:rPr>
              <w:t>～</w:t>
            </w:r>
            <w:r>
              <w:rPr>
                <w:spacing w:val="4"/>
                <w:position w:val="1"/>
              </w:rPr>
              <w:t>16.30</w:t>
            </w:r>
          </w:p>
          <w:p>
            <w:pPr>
              <w:pStyle w:val="TableText"/>
              <w:ind w:left="136"/>
              <w:spacing w:before="6"/>
              <w:rPr>
                <w:rFonts w:ascii="SimSun" w:hAnsi="SimSun" w:eastAsia="SimSun" w:cs="SimSun"/>
              </w:rPr>
            </w:pPr>
            <w:r>
              <w:rPr>
                <w:spacing w:val="3"/>
              </w:rPr>
              <w:t>9.41</w:t>
            </w:r>
            <w:r>
              <w:rPr>
                <w:rFonts w:ascii="SimSun" w:hAnsi="SimSun" w:eastAsia="SimSun" w:cs="SimSun"/>
                <w:spacing w:val="3"/>
              </w:rPr>
              <w:t>（</w:t>
            </w:r>
            <w:r>
              <w:rPr>
                <w:spacing w:val="3"/>
              </w:rPr>
              <w:t>61</w:t>
            </w:r>
            <w:r>
              <w:rPr>
                <w:rFonts w:ascii="SimSun" w:hAnsi="SimSun" w:eastAsia="SimSun" w:cs="SimSun"/>
                <w:spacing w:val="3"/>
              </w:rPr>
              <w:t>）</w:t>
            </w:r>
          </w:p>
        </w:tc>
        <w:tc>
          <w:tcPr>
            <w:tcW w:w="1266" w:type="dxa"/>
            <w:vAlign w:val="top"/>
          </w:tcPr>
          <w:p>
            <w:pPr>
              <w:pStyle w:val="TableText"/>
              <w:ind w:left="53"/>
              <w:spacing w:before="137" w:line="265" w:lineRule="exact"/>
              <w:rPr/>
            </w:pPr>
            <w:r>
              <w:rPr>
                <w:spacing w:val="4"/>
                <w:position w:val="1"/>
              </w:rPr>
              <w:t>41.67</w:t>
            </w:r>
            <w:r>
              <w:rPr>
                <w:rFonts w:ascii="SimSun" w:hAnsi="SimSun" w:eastAsia="SimSun" w:cs="SimSun"/>
                <w:spacing w:val="4"/>
                <w:position w:val="1"/>
              </w:rPr>
              <w:t>～</w:t>
            </w:r>
            <w:r>
              <w:rPr>
                <w:spacing w:val="4"/>
                <w:position w:val="1"/>
              </w:rPr>
              <w:t>51.98</w:t>
            </w:r>
          </w:p>
          <w:p>
            <w:pPr>
              <w:pStyle w:val="TableText"/>
              <w:ind w:left="82"/>
              <w:spacing w:before="6"/>
              <w:rPr>
                <w:rFonts w:ascii="SimSun" w:hAnsi="SimSun" w:eastAsia="SimSun" w:cs="SimSun"/>
              </w:rPr>
            </w:pPr>
            <w:r>
              <w:rPr>
                <w:spacing w:val="4"/>
              </w:rPr>
              <w:t>45.31</w:t>
            </w:r>
            <w:r>
              <w:rPr>
                <w:rFonts w:ascii="SimSun" w:hAnsi="SimSun" w:eastAsia="SimSun" w:cs="SimSun"/>
                <w:spacing w:val="4"/>
              </w:rPr>
              <w:t>（</w:t>
            </w:r>
            <w:r>
              <w:rPr>
                <w:spacing w:val="4"/>
              </w:rPr>
              <w:t>61</w:t>
            </w:r>
            <w:r>
              <w:rPr>
                <w:rFonts w:ascii="SimSun" w:hAnsi="SimSun" w:eastAsia="SimSun" w:cs="SimSun"/>
                <w:spacing w:val="4"/>
              </w:rPr>
              <w:t>）</w:t>
            </w:r>
          </w:p>
        </w:tc>
        <w:tc>
          <w:tcPr>
            <w:tcW w:w="1163" w:type="dxa"/>
            <w:vAlign w:val="top"/>
          </w:tcPr>
          <w:p>
            <w:pPr>
              <w:pStyle w:val="TableText"/>
              <w:ind w:left="111"/>
              <w:spacing w:before="137" w:line="265" w:lineRule="exact"/>
              <w:rPr/>
            </w:pPr>
            <w:r>
              <w:rPr>
                <w:spacing w:val="4"/>
                <w:position w:val="1"/>
              </w:rPr>
              <w:t>0.35</w:t>
            </w:r>
            <w:r>
              <w:rPr>
                <w:rFonts w:ascii="SimSun" w:hAnsi="SimSun" w:eastAsia="SimSun" w:cs="SimSun"/>
                <w:spacing w:val="4"/>
                <w:position w:val="1"/>
              </w:rPr>
              <w:t>～</w:t>
            </w:r>
            <w:r>
              <w:rPr>
                <w:spacing w:val="4"/>
                <w:position w:val="1"/>
              </w:rPr>
              <w:t>4.07</w:t>
            </w:r>
          </w:p>
          <w:p>
            <w:pPr>
              <w:pStyle w:val="TableText"/>
              <w:ind w:left="87"/>
              <w:spacing w:before="6"/>
              <w:rPr>
                <w:rFonts w:ascii="SimSun" w:hAnsi="SimSun" w:eastAsia="SimSun" w:cs="SimSun"/>
              </w:rPr>
            </w:pPr>
            <w:r>
              <w:rPr>
                <w:spacing w:val="3"/>
              </w:rPr>
              <w:t>0.93</w:t>
            </w:r>
            <w:r>
              <w:rPr>
                <w:rFonts w:ascii="SimSun" w:hAnsi="SimSun" w:eastAsia="SimSun" w:cs="SimSun"/>
                <w:spacing w:val="3"/>
              </w:rPr>
              <w:t>（</w:t>
            </w:r>
            <w:r>
              <w:rPr>
                <w:spacing w:val="3"/>
              </w:rPr>
              <w:t>61</w:t>
            </w:r>
            <w:r>
              <w:rPr>
                <w:rFonts w:ascii="SimSun" w:hAnsi="SimSun" w:eastAsia="SimSun" w:cs="SimSun"/>
                <w:spacing w:val="3"/>
              </w:rPr>
              <w:t>）</w:t>
            </w:r>
          </w:p>
        </w:tc>
        <w:tc>
          <w:tcPr>
            <w:tcW w:w="1266" w:type="dxa"/>
            <w:vAlign w:val="top"/>
          </w:tcPr>
          <w:p>
            <w:pPr>
              <w:pStyle w:val="TableText"/>
              <w:ind w:left="59"/>
              <w:spacing w:before="137" w:line="265" w:lineRule="exact"/>
              <w:rPr/>
            </w:pPr>
            <w:r>
              <w:rPr>
                <w:spacing w:val="4"/>
                <w:position w:val="1"/>
              </w:rPr>
              <w:t>25.62</w:t>
            </w:r>
            <w:r>
              <w:rPr>
                <w:rFonts w:ascii="SimSun" w:hAnsi="SimSun" w:eastAsia="SimSun" w:cs="SimSun"/>
                <w:spacing w:val="4"/>
                <w:position w:val="1"/>
              </w:rPr>
              <w:t>～</w:t>
            </w:r>
            <w:r>
              <w:rPr>
                <w:spacing w:val="4"/>
                <w:position w:val="1"/>
              </w:rPr>
              <w:t>27.30</w:t>
            </w:r>
          </w:p>
          <w:p>
            <w:pPr>
              <w:pStyle w:val="TableText"/>
              <w:ind w:left="138"/>
              <w:spacing w:before="6"/>
              <w:rPr>
                <w:rFonts w:ascii="SimSun" w:hAnsi="SimSun" w:eastAsia="SimSun" w:cs="SimSun"/>
              </w:rPr>
            </w:pPr>
            <w:r>
              <w:rPr>
                <w:spacing w:val="3"/>
              </w:rPr>
              <w:t>26.49</w:t>
            </w:r>
            <w:r>
              <w:rPr>
                <w:rFonts w:ascii="SimSun" w:hAnsi="SimSun" w:eastAsia="SimSun" w:cs="SimSun"/>
                <w:spacing w:val="3"/>
              </w:rPr>
              <w:t>（</w:t>
            </w:r>
            <w:r>
              <w:rPr>
                <w:spacing w:val="3"/>
              </w:rPr>
              <w:t>4</w:t>
            </w:r>
            <w:r>
              <w:rPr>
                <w:rFonts w:ascii="SimSun" w:hAnsi="SimSun" w:eastAsia="SimSun" w:cs="SimSun"/>
                <w:spacing w:val="3"/>
              </w:rPr>
              <w:t>）</w:t>
            </w:r>
          </w:p>
        </w:tc>
        <w:tc>
          <w:tcPr>
            <w:tcW w:w="1267" w:type="dxa"/>
            <w:vAlign w:val="top"/>
          </w:tcPr>
          <w:p>
            <w:pPr>
              <w:pStyle w:val="TableText"/>
              <w:ind w:left="80"/>
              <w:spacing w:before="137" w:line="265" w:lineRule="exact"/>
              <w:rPr/>
            </w:pPr>
            <w:r>
              <w:rPr>
                <w:spacing w:val="2"/>
                <w:position w:val="1"/>
              </w:rPr>
              <w:t>14.02</w:t>
            </w:r>
            <w:r>
              <w:rPr>
                <w:rFonts w:ascii="SimSun" w:hAnsi="SimSun" w:eastAsia="SimSun" w:cs="SimSun"/>
                <w:spacing w:val="2"/>
                <w:position w:val="1"/>
              </w:rPr>
              <w:t>～</w:t>
            </w:r>
            <w:r>
              <w:rPr>
                <w:spacing w:val="2"/>
                <w:position w:val="1"/>
              </w:rPr>
              <w:t>25.83</w:t>
            </w:r>
          </w:p>
          <w:p>
            <w:pPr>
              <w:pStyle w:val="TableText"/>
              <w:ind w:left="86"/>
              <w:spacing w:before="6"/>
              <w:rPr>
                <w:rFonts w:ascii="SimSun" w:hAnsi="SimSun" w:eastAsia="SimSun" w:cs="SimSun"/>
              </w:rPr>
            </w:pPr>
            <w:r>
              <w:rPr>
                <w:spacing w:val="4"/>
              </w:rPr>
              <w:t>24.20</w:t>
            </w:r>
            <w:r>
              <w:rPr>
                <w:rFonts w:ascii="SimSun" w:hAnsi="SimSun" w:eastAsia="SimSun" w:cs="SimSun"/>
                <w:spacing w:val="4"/>
              </w:rPr>
              <w:t>（</w:t>
            </w:r>
            <w:r>
              <w:rPr>
                <w:spacing w:val="4"/>
              </w:rPr>
              <w:t>31</w:t>
            </w:r>
            <w:r>
              <w:rPr>
                <w:rFonts w:ascii="SimSun" w:hAnsi="SimSun" w:eastAsia="SimSun" w:cs="SimSun"/>
                <w:spacing w:val="4"/>
              </w:rPr>
              <w:t>）</w:t>
            </w:r>
          </w:p>
        </w:tc>
        <w:tc>
          <w:tcPr>
            <w:tcW w:w="461" w:type="dxa"/>
            <w:vAlign w:val="top"/>
            <w:vMerge w:val="continue"/>
            <w:tcBorders>
              <w:top w:val="nil"/>
            </w:tcBorders>
          </w:tcPr>
          <w:p>
            <w:pPr>
              <w:rPr>
                <w:rFonts w:ascii="Arial"/>
                <w:sz w:val="21"/>
              </w:rPr>
            </w:pPr>
            <w:r/>
          </w:p>
        </w:tc>
      </w:tr>
      <w:tr>
        <w:trPr>
          <w:trHeight w:val="597" w:hRule="atLeast"/>
        </w:trPr>
        <w:tc>
          <w:tcPr>
            <w:tcW w:w="715" w:type="dxa"/>
            <w:vAlign w:val="top"/>
            <w:vMerge w:val="restart"/>
            <w:tcBorders>
              <w:bottom w:val="nil"/>
            </w:tcBorders>
          </w:tcPr>
          <w:p>
            <w:pPr>
              <w:spacing w:line="399" w:lineRule="auto"/>
              <w:rPr>
                <w:rFonts w:ascii="Arial"/>
                <w:sz w:val="21"/>
              </w:rPr>
            </w:pPr>
            <w:r/>
          </w:p>
          <w:p>
            <w:pPr>
              <w:pStyle w:val="TableText"/>
              <w:ind w:left="42"/>
              <w:spacing w:before="65" w:line="228" w:lineRule="auto"/>
              <w:rPr>
                <w:rFonts w:ascii="SimSun" w:hAnsi="SimSun" w:eastAsia="SimSun" w:cs="SimSun"/>
              </w:rPr>
            </w:pPr>
            <w:r>
              <w:rPr>
                <w:rFonts w:ascii="SimSun" w:hAnsi="SimSun" w:eastAsia="SimSun" w:cs="SimSun"/>
                <w:spacing w:val="1"/>
              </w:rPr>
              <w:t>二</w:t>
            </w:r>
            <w:r>
              <w:rPr>
                <w:spacing w:val="1"/>
              </w:rPr>
              <w:t>-1</w:t>
            </w:r>
            <w:r>
              <w:rPr>
                <w:spacing w:val="15"/>
              </w:rPr>
              <w:t xml:space="preserve"> </w:t>
            </w:r>
            <w:r>
              <w:rPr>
                <w:rFonts w:ascii="SimSun" w:hAnsi="SimSun" w:eastAsia="SimSun" w:cs="SimSun"/>
                <w:spacing w:val="1"/>
              </w:rPr>
              <w:t>煤</w:t>
            </w:r>
          </w:p>
        </w:tc>
        <w:tc>
          <w:tcPr>
            <w:tcW w:w="461" w:type="dxa"/>
            <w:vAlign w:val="top"/>
            <w:textDirection w:val="tbRlV"/>
          </w:tcPr>
          <w:p>
            <w:pPr>
              <w:ind w:left="54"/>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5"/>
              <w:spacing w:before="54" w:line="264" w:lineRule="exact"/>
              <w:rPr/>
            </w:pPr>
            <w:r>
              <w:rPr>
                <w:spacing w:val="3"/>
                <w:position w:val="1"/>
              </w:rPr>
              <w:t>8.87</w:t>
            </w:r>
            <w:r>
              <w:rPr>
                <w:rFonts w:ascii="SimSun" w:hAnsi="SimSun" w:eastAsia="SimSun" w:cs="SimSun"/>
                <w:spacing w:val="3"/>
                <w:position w:val="1"/>
              </w:rPr>
              <w:t>～</w:t>
            </w:r>
            <w:r>
              <w:rPr>
                <w:spacing w:val="3"/>
                <w:position w:val="1"/>
              </w:rPr>
              <w:t>21.32</w:t>
            </w:r>
          </w:p>
          <w:p>
            <w:pPr>
              <w:pStyle w:val="TableText"/>
              <w:ind w:left="98"/>
              <w:spacing w:before="6"/>
              <w:rPr>
                <w:rFonts w:ascii="SimSun" w:hAnsi="SimSun" w:eastAsia="SimSun" w:cs="SimSun"/>
              </w:rPr>
            </w:pPr>
            <w:r>
              <w:rPr>
                <w:spacing w:val="2"/>
              </w:rPr>
              <w:t>14.92</w:t>
            </w:r>
            <w:r>
              <w:rPr>
                <w:rFonts w:ascii="SimSun" w:hAnsi="SimSun" w:eastAsia="SimSun" w:cs="SimSun"/>
                <w:spacing w:val="2"/>
              </w:rPr>
              <w:t>（</w:t>
            </w:r>
            <w:r>
              <w:rPr>
                <w:spacing w:val="2"/>
              </w:rPr>
              <w:t>49</w:t>
            </w:r>
            <w:r>
              <w:rPr>
                <w:rFonts w:ascii="SimSun" w:hAnsi="SimSun" w:eastAsia="SimSun" w:cs="SimSun"/>
                <w:spacing w:val="2"/>
              </w:rPr>
              <w:t>）</w:t>
            </w:r>
          </w:p>
        </w:tc>
        <w:tc>
          <w:tcPr>
            <w:tcW w:w="1266" w:type="dxa"/>
            <w:vAlign w:val="top"/>
          </w:tcPr>
          <w:p>
            <w:pPr>
              <w:pStyle w:val="TableText"/>
              <w:ind w:left="116"/>
              <w:spacing w:before="54" w:line="264" w:lineRule="exact"/>
              <w:rPr/>
            </w:pPr>
            <w:r>
              <w:rPr>
                <w:spacing w:val="3"/>
                <w:position w:val="1"/>
              </w:rPr>
              <w:t>8.49</w:t>
            </w:r>
            <w:r>
              <w:rPr>
                <w:rFonts w:ascii="SimSun" w:hAnsi="SimSun" w:eastAsia="SimSun" w:cs="SimSun"/>
                <w:spacing w:val="3"/>
                <w:position w:val="1"/>
              </w:rPr>
              <w:t>～</w:t>
            </w:r>
            <w:r>
              <w:rPr>
                <w:spacing w:val="3"/>
                <w:position w:val="1"/>
              </w:rPr>
              <w:t>39.70</w:t>
            </w:r>
          </w:p>
          <w:p>
            <w:pPr>
              <w:pStyle w:val="TableText"/>
              <w:ind w:left="102"/>
              <w:spacing w:before="6"/>
              <w:rPr>
                <w:rFonts w:ascii="SimSun" w:hAnsi="SimSun" w:eastAsia="SimSun" w:cs="SimSun"/>
              </w:rPr>
            </w:pPr>
            <w:r>
              <w:rPr>
                <w:spacing w:val="1"/>
              </w:rPr>
              <w:t>18.69</w:t>
            </w:r>
            <w:r>
              <w:rPr>
                <w:rFonts w:ascii="SimSun" w:hAnsi="SimSun" w:eastAsia="SimSun" w:cs="SimSun"/>
                <w:spacing w:val="1"/>
              </w:rPr>
              <w:t>（</w:t>
            </w:r>
            <w:r>
              <w:rPr>
                <w:spacing w:val="1"/>
              </w:rPr>
              <w:t>49</w:t>
            </w:r>
            <w:r>
              <w:rPr>
                <w:rFonts w:ascii="SimSun" w:hAnsi="SimSun" w:eastAsia="SimSun" w:cs="SimSun"/>
                <w:spacing w:val="1"/>
              </w:rPr>
              <w:t>）</w:t>
            </w:r>
          </w:p>
        </w:tc>
        <w:tc>
          <w:tcPr>
            <w:tcW w:w="1266" w:type="dxa"/>
            <w:vAlign w:val="top"/>
          </w:tcPr>
          <w:p>
            <w:pPr>
              <w:pStyle w:val="TableText"/>
              <w:ind w:left="58"/>
              <w:spacing w:before="54" w:line="264" w:lineRule="exact"/>
              <w:rPr/>
            </w:pPr>
            <w:r>
              <w:rPr>
                <w:spacing w:val="4"/>
                <w:position w:val="1"/>
              </w:rPr>
              <w:t>39.91</w:t>
            </w:r>
            <w:r>
              <w:rPr>
                <w:rFonts w:ascii="SimSun" w:hAnsi="SimSun" w:eastAsia="SimSun" w:cs="SimSun"/>
                <w:spacing w:val="4"/>
                <w:position w:val="1"/>
              </w:rPr>
              <w:t>～</w:t>
            </w:r>
            <w:r>
              <w:rPr>
                <w:spacing w:val="4"/>
                <w:position w:val="1"/>
              </w:rPr>
              <w:t>51.42</w:t>
            </w:r>
          </w:p>
          <w:p>
            <w:pPr>
              <w:pStyle w:val="TableText"/>
              <w:ind w:left="82"/>
              <w:spacing w:before="6"/>
              <w:rPr>
                <w:rFonts w:ascii="SimSun" w:hAnsi="SimSun" w:eastAsia="SimSun" w:cs="SimSun"/>
              </w:rPr>
            </w:pPr>
            <w:r>
              <w:rPr>
                <w:spacing w:val="4"/>
              </w:rPr>
              <w:t>46.62</w:t>
            </w:r>
            <w:r>
              <w:rPr>
                <w:rFonts w:ascii="SimSun" w:hAnsi="SimSun" w:eastAsia="SimSun" w:cs="SimSun"/>
                <w:spacing w:val="4"/>
              </w:rPr>
              <w:t>（</w:t>
            </w:r>
            <w:r>
              <w:rPr>
                <w:spacing w:val="4"/>
              </w:rPr>
              <w:t>49</w:t>
            </w:r>
            <w:r>
              <w:rPr>
                <w:rFonts w:ascii="SimSun" w:hAnsi="SimSun" w:eastAsia="SimSun" w:cs="SimSun"/>
                <w:spacing w:val="4"/>
              </w:rPr>
              <w:t>）</w:t>
            </w:r>
          </w:p>
        </w:tc>
        <w:tc>
          <w:tcPr>
            <w:tcW w:w="1163" w:type="dxa"/>
            <w:vAlign w:val="top"/>
          </w:tcPr>
          <w:p>
            <w:pPr>
              <w:pStyle w:val="TableText"/>
              <w:ind w:left="111"/>
              <w:spacing w:before="54" w:line="264" w:lineRule="exact"/>
              <w:rPr/>
            </w:pPr>
            <w:r>
              <w:rPr>
                <w:spacing w:val="4"/>
                <w:position w:val="1"/>
              </w:rPr>
              <w:t>0.43</w:t>
            </w:r>
            <w:r>
              <w:rPr>
                <w:rFonts w:ascii="SimSun" w:hAnsi="SimSun" w:eastAsia="SimSun" w:cs="SimSun"/>
                <w:spacing w:val="4"/>
                <w:position w:val="1"/>
              </w:rPr>
              <w:t>～</w:t>
            </w:r>
            <w:r>
              <w:rPr>
                <w:spacing w:val="4"/>
                <w:position w:val="1"/>
              </w:rPr>
              <w:t>2.37</w:t>
            </w:r>
          </w:p>
          <w:p>
            <w:pPr>
              <w:pStyle w:val="TableText"/>
              <w:ind w:left="87"/>
              <w:spacing w:before="6"/>
              <w:rPr>
                <w:rFonts w:ascii="SimSun" w:hAnsi="SimSun" w:eastAsia="SimSun" w:cs="SimSun"/>
              </w:rPr>
            </w:pPr>
            <w:r>
              <w:rPr>
                <w:spacing w:val="3"/>
              </w:rPr>
              <w:t>0.89</w:t>
            </w:r>
            <w:r>
              <w:rPr>
                <w:rFonts w:ascii="SimSun" w:hAnsi="SimSun" w:eastAsia="SimSun" w:cs="SimSun"/>
                <w:spacing w:val="3"/>
              </w:rPr>
              <w:t>（</w:t>
            </w:r>
            <w:r>
              <w:rPr>
                <w:spacing w:val="3"/>
              </w:rPr>
              <w:t>49</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80"/>
              <w:spacing w:before="54" w:line="264" w:lineRule="exact"/>
              <w:rPr/>
            </w:pPr>
            <w:r>
              <w:rPr>
                <w:spacing w:val="2"/>
                <w:position w:val="1"/>
              </w:rPr>
              <w:t>16.42</w:t>
            </w:r>
            <w:r>
              <w:rPr>
                <w:rFonts w:ascii="SimSun" w:hAnsi="SimSun" w:eastAsia="SimSun" w:cs="SimSun"/>
                <w:spacing w:val="2"/>
                <w:position w:val="1"/>
              </w:rPr>
              <w:t>～</w:t>
            </w:r>
            <w:r>
              <w:rPr>
                <w:spacing w:val="2"/>
                <w:position w:val="1"/>
              </w:rPr>
              <w:t>25.93</w:t>
            </w:r>
          </w:p>
          <w:p>
            <w:pPr>
              <w:pStyle w:val="TableText"/>
              <w:ind w:left="86"/>
              <w:spacing w:before="6"/>
              <w:rPr>
                <w:rFonts w:ascii="SimSun" w:hAnsi="SimSun" w:eastAsia="SimSun" w:cs="SimSun"/>
              </w:rPr>
            </w:pPr>
            <w:r>
              <w:rPr>
                <w:spacing w:val="4"/>
              </w:rPr>
              <w:t>22.07</w:t>
            </w:r>
            <w:r>
              <w:rPr>
                <w:rFonts w:ascii="SimSun" w:hAnsi="SimSun" w:eastAsia="SimSun" w:cs="SimSun"/>
                <w:spacing w:val="4"/>
              </w:rPr>
              <w:t>（</w:t>
            </w:r>
            <w:r>
              <w:rPr>
                <w:spacing w:val="4"/>
              </w:rPr>
              <w:t>49</w:t>
            </w:r>
            <w:r>
              <w:rPr>
                <w:rFonts w:ascii="SimSun" w:hAnsi="SimSun" w:eastAsia="SimSun" w:cs="SimSun"/>
                <w:spacing w:val="4"/>
              </w:rPr>
              <w:t>）</w:t>
            </w:r>
          </w:p>
        </w:tc>
        <w:tc>
          <w:tcPr>
            <w:tcW w:w="461" w:type="dxa"/>
            <w:vAlign w:val="top"/>
            <w:vMerge w:val="restart"/>
            <w:tcBorders>
              <w:bottom w:val="nil"/>
            </w:tcBorders>
          </w:tcPr>
          <w:p>
            <w:pPr>
              <w:spacing w:line="251" w:lineRule="auto"/>
              <w:rPr>
                <w:rFonts w:ascii="Arial"/>
                <w:sz w:val="21"/>
              </w:rPr>
            </w:pPr>
            <w:r/>
          </w:p>
          <w:p>
            <w:pPr>
              <w:spacing w:line="251" w:lineRule="auto"/>
              <w:rPr>
                <w:rFonts w:ascii="Arial"/>
                <w:sz w:val="21"/>
              </w:rPr>
            </w:pPr>
            <w:r/>
          </w:p>
          <w:p>
            <w:pPr>
              <w:pStyle w:val="TableText"/>
              <w:ind w:left="59"/>
              <w:spacing w:before="58" w:line="192" w:lineRule="auto"/>
              <w:rPr/>
            </w:pPr>
            <w:r>
              <w:rPr>
                <w:spacing w:val="5"/>
              </w:rPr>
              <w:t>HM</w:t>
            </w:r>
          </w:p>
        </w:tc>
      </w:tr>
      <w:tr>
        <w:trPr>
          <w:trHeight w:val="549"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30"/>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0"/>
              <w:spacing w:before="30" w:line="264" w:lineRule="exact"/>
              <w:rPr/>
            </w:pPr>
            <w:r>
              <w:rPr>
                <w:spacing w:val="4"/>
                <w:position w:val="1"/>
              </w:rPr>
              <w:t>7.35</w:t>
            </w:r>
            <w:r>
              <w:rPr>
                <w:rFonts w:ascii="SimSun" w:hAnsi="SimSun" w:eastAsia="SimSun" w:cs="SimSun"/>
                <w:spacing w:val="4"/>
                <w:position w:val="1"/>
              </w:rPr>
              <w:t>～</w:t>
            </w:r>
            <w:r>
              <w:rPr>
                <w:spacing w:val="4"/>
                <w:position w:val="1"/>
              </w:rPr>
              <w:t>23.20</w:t>
            </w:r>
          </w:p>
          <w:p>
            <w:pPr>
              <w:pStyle w:val="TableText"/>
              <w:ind w:left="98"/>
              <w:spacing w:before="6" w:line="219" w:lineRule="auto"/>
              <w:rPr>
                <w:rFonts w:ascii="SimSun" w:hAnsi="SimSun" w:eastAsia="SimSun" w:cs="SimSun"/>
              </w:rPr>
            </w:pPr>
            <w:r>
              <w:rPr>
                <w:spacing w:val="2"/>
              </w:rPr>
              <w:t>14.54</w:t>
            </w:r>
            <w:r>
              <w:rPr>
                <w:rFonts w:ascii="SimSun" w:hAnsi="SimSun" w:eastAsia="SimSun" w:cs="SimSun"/>
                <w:spacing w:val="2"/>
              </w:rPr>
              <w:t>（</w:t>
            </w:r>
            <w:r>
              <w:rPr>
                <w:spacing w:val="2"/>
              </w:rPr>
              <w:t>45</w:t>
            </w:r>
            <w:r>
              <w:rPr>
                <w:rFonts w:ascii="SimSun" w:hAnsi="SimSun" w:eastAsia="SimSun" w:cs="SimSun"/>
                <w:spacing w:val="2"/>
              </w:rPr>
              <w:t>）</w:t>
            </w:r>
          </w:p>
        </w:tc>
        <w:tc>
          <w:tcPr>
            <w:tcW w:w="1266" w:type="dxa"/>
            <w:vAlign w:val="top"/>
          </w:tcPr>
          <w:p>
            <w:pPr>
              <w:pStyle w:val="TableText"/>
              <w:ind w:left="113"/>
              <w:spacing w:before="30" w:line="264" w:lineRule="exact"/>
              <w:rPr/>
            </w:pPr>
            <w:r>
              <w:rPr>
                <w:spacing w:val="4"/>
                <w:position w:val="1"/>
              </w:rPr>
              <w:t>6.45</w:t>
            </w:r>
            <w:r>
              <w:rPr>
                <w:rFonts w:ascii="SimSun" w:hAnsi="SimSun" w:eastAsia="SimSun" w:cs="SimSun"/>
                <w:spacing w:val="4"/>
                <w:position w:val="1"/>
              </w:rPr>
              <w:t>～</w:t>
            </w:r>
            <w:r>
              <w:rPr>
                <w:spacing w:val="4"/>
                <w:position w:val="1"/>
              </w:rPr>
              <w:t>14.04</w:t>
            </w:r>
          </w:p>
          <w:p>
            <w:pPr>
              <w:pStyle w:val="TableText"/>
              <w:ind w:left="136"/>
              <w:spacing w:before="6" w:line="219" w:lineRule="auto"/>
              <w:rPr>
                <w:rFonts w:ascii="SimSun" w:hAnsi="SimSun" w:eastAsia="SimSun" w:cs="SimSun"/>
              </w:rPr>
            </w:pPr>
            <w:r>
              <w:rPr>
                <w:spacing w:val="3"/>
              </w:rPr>
              <w:t>9.58</w:t>
            </w:r>
            <w:r>
              <w:rPr>
                <w:rFonts w:ascii="SimSun" w:hAnsi="SimSun" w:eastAsia="SimSun" w:cs="SimSun"/>
                <w:spacing w:val="3"/>
              </w:rPr>
              <w:t>（</w:t>
            </w:r>
            <w:r>
              <w:rPr>
                <w:spacing w:val="3"/>
              </w:rPr>
              <w:t>45</w:t>
            </w:r>
            <w:r>
              <w:rPr>
                <w:rFonts w:ascii="SimSun" w:hAnsi="SimSun" w:eastAsia="SimSun" w:cs="SimSun"/>
                <w:spacing w:val="3"/>
              </w:rPr>
              <w:t>）</w:t>
            </w:r>
          </w:p>
        </w:tc>
        <w:tc>
          <w:tcPr>
            <w:tcW w:w="1266" w:type="dxa"/>
            <w:vAlign w:val="top"/>
          </w:tcPr>
          <w:p>
            <w:pPr>
              <w:pStyle w:val="TableText"/>
              <w:ind w:left="53"/>
              <w:spacing w:before="30" w:line="264" w:lineRule="exact"/>
              <w:rPr/>
            </w:pPr>
            <w:r>
              <w:rPr>
                <w:spacing w:val="4"/>
                <w:position w:val="1"/>
              </w:rPr>
              <w:t>41.80</w:t>
            </w:r>
            <w:r>
              <w:rPr>
                <w:rFonts w:ascii="SimSun" w:hAnsi="SimSun" w:eastAsia="SimSun" w:cs="SimSun"/>
                <w:spacing w:val="4"/>
                <w:position w:val="1"/>
              </w:rPr>
              <w:t>～</w:t>
            </w:r>
            <w:r>
              <w:rPr>
                <w:spacing w:val="4"/>
                <w:position w:val="1"/>
              </w:rPr>
              <w:t>47.57</w:t>
            </w:r>
          </w:p>
          <w:p>
            <w:pPr>
              <w:pStyle w:val="TableText"/>
              <w:ind w:left="82"/>
              <w:spacing w:before="6" w:line="219" w:lineRule="auto"/>
              <w:rPr>
                <w:rFonts w:ascii="SimSun" w:hAnsi="SimSun" w:eastAsia="SimSun" w:cs="SimSun"/>
              </w:rPr>
            </w:pPr>
            <w:r>
              <w:rPr>
                <w:spacing w:val="4"/>
              </w:rPr>
              <w:t>45.22</w:t>
            </w:r>
            <w:r>
              <w:rPr>
                <w:rFonts w:ascii="SimSun" w:hAnsi="SimSun" w:eastAsia="SimSun" w:cs="SimSun"/>
                <w:spacing w:val="4"/>
              </w:rPr>
              <w:t>（</w:t>
            </w:r>
            <w:r>
              <w:rPr>
                <w:spacing w:val="4"/>
              </w:rPr>
              <w:t>45</w:t>
            </w:r>
            <w:r>
              <w:rPr>
                <w:rFonts w:ascii="SimSun" w:hAnsi="SimSun" w:eastAsia="SimSun" w:cs="SimSun"/>
                <w:spacing w:val="4"/>
              </w:rPr>
              <w:t>）</w:t>
            </w:r>
          </w:p>
        </w:tc>
        <w:tc>
          <w:tcPr>
            <w:tcW w:w="1163" w:type="dxa"/>
            <w:vAlign w:val="top"/>
          </w:tcPr>
          <w:p>
            <w:pPr>
              <w:pStyle w:val="TableText"/>
              <w:ind w:left="111"/>
              <w:spacing w:before="30" w:line="264" w:lineRule="exact"/>
              <w:rPr/>
            </w:pPr>
            <w:r>
              <w:rPr>
                <w:spacing w:val="4"/>
                <w:position w:val="1"/>
              </w:rPr>
              <w:t>0.44</w:t>
            </w:r>
            <w:r>
              <w:rPr>
                <w:rFonts w:ascii="SimSun" w:hAnsi="SimSun" w:eastAsia="SimSun" w:cs="SimSun"/>
                <w:spacing w:val="4"/>
                <w:position w:val="1"/>
              </w:rPr>
              <w:t>～</w:t>
            </w:r>
            <w:r>
              <w:rPr>
                <w:spacing w:val="4"/>
                <w:position w:val="1"/>
              </w:rPr>
              <w:t>1.83</w:t>
            </w:r>
          </w:p>
          <w:p>
            <w:pPr>
              <w:pStyle w:val="TableText"/>
              <w:ind w:left="87"/>
              <w:spacing w:before="6" w:line="219" w:lineRule="auto"/>
              <w:rPr>
                <w:rFonts w:ascii="SimSun" w:hAnsi="SimSun" w:eastAsia="SimSun" w:cs="SimSun"/>
              </w:rPr>
            </w:pPr>
            <w:r>
              <w:rPr>
                <w:spacing w:val="3"/>
              </w:rPr>
              <w:t>0.88</w:t>
            </w:r>
            <w:r>
              <w:rPr>
                <w:rFonts w:ascii="SimSun" w:hAnsi="SimSun" w:eastAsia="SimSun" w:cs="SimSun"/>
                <w:spacing w:val="3"/>
              </w:rPr>
              <w:t>（</w:t>
            </w:r>
            <w:r>
              <w:rPr>
                <w:spacing w:val="3"/>
              </w:rPr>
              <w:t>45</w:t>
            </w:r>
            <w:r>
              <w:rPr>
                <w:rFonts w:ascii="SimSun" w:hAnsi="SimSun" w:eastAsia="SimSun" w:cs="SimSun"/>
                <w:spacing w:val="3"/>
              </w:rPr>
              <w:t>）</w:t>
            </w:r>
          </w:p>
        </w:tc>
        <w:tc>
          <w:tcPr>
            <w:tcW w:w="1266" w:type="dxa"/>
            <w:vAlign w:val="top"/>
          </w:tcPr>
          <w:p>
            <w:pPr>
              <w:rPr>
                <w:rFonts w:ascii="Arial"/>
                <w:sz w:val="21"/>
              </w:rPr>
            </w:pPr>
            <w:r/>
          </w:p>
        </w:tc>
        <w:tc>
          <w:tcPr>
            <w:tcW w:w="1267" w:type="dxa"/>
            <w:vAlign w:val="top"/>
          </w:tcPr>
          <w:p>
            <w:pPr>
              <w:pStyle w:val="TableText"/>
              <w:ind w:left="60"/>
              <w:spacing w:before="30" w:line="264" w:lineRule="exact"/>
              <w:rPr/>
            </w:pPr>
            <w:r>
              <w:rPr>
                <w:spacing w:val="4"/>
                <w:position w:val="1"/>
              </w:rPr>
              <w:t>23.96</w:t>
            </w:r>
            <w:r>
              <w:rPr>
                <w:rFonts w:ascii="SimSun" w:hAnsi="SimSun" w:eastAsia="SimSun" w:cs="SimSun"/>
                <w:spacing w:val="4"/>
                <w:position w:val="1"/>
              </w:rPr>
              <w:t>～</w:t>
            </w:r>
            <w:r>
              <w:rPr>
                <w:spacing w:val="4"/>
                <w:position w:val="1"/>
              </w:rPr>
              <w:t>25.30</w:t>
            </w:r>
          </w:p>
          <w:p>
            <w:pPr>
              <w:pStyle w:val="TableText"/>
              <w:ind w:left="86"/>
              <w:spacing w:before="6" w:line="219" w:lineRule="auto"/>
              <w:rPr>
                <w:rFonts w:ascii="SimSun" w:hAnsi="SimSun" w:eastAsia="SimSun" w:cs="SimSun"/>
              </w:rPr>
            </w:pPr>
            <w:r>
              <w:rPr>
                <w:spacing w:val="4"/>
              </w:rPr>
              <w:t>24.51</w:t>
            </w:r>
            <w:r>
              <w:rPr>
                <w:rFonts w:ascii="SimSun" w:hAnsi="SimSun" w:eastAsia="SimSun" w:cs="SimSun"/>
                <w:spacing w:val="4"/>
              </w:rPr>
              <w:t>（</w:t>
            </w:r>
            <w:r>
              <w:rPr>
                <w:spacing w:val="4"/>
              </w:rPr>
              <w:t>26</w:t>
            </w:r>
            <w:r>
              <w:rPr>
                <w:rFonts w:ascii="SimSun" w:hAnsi="SimSun" w:eastAsia="SimSun" w:cs="SimSun"/>
                <w:spacing w:val="4"/>
              </w:rPr>
              <w:t>）</w:t>
            </w:r>
          </w:p>
        </w:tc>
        <w:tc>
          <w:tcPr>
            <w:tcW w:w="461" w:type="dxa"/>
            <w:vAlign w:val="top"/>
            <w:vMerge w:val="continue"/>
            <w:tcBorders>
              <w:top w:val="nil"/>
            </w:tcBorders>
          </w:tcPr>
          <w:p>
            <w:pPr>
              <w:rPr>
                <w:rFonts w:ascii="Arial"/>
                <w:sz w:val="21"/>
              </w:rPr>
            </w:pPr>
            <w:r/>
          </w:p>
        </w:tc>
      </w:tr>
      <w:tr>
        <w:trPr>
          <w:trHeight w:val="673" w:hRule="atLeast"/>
        </w:trPr>
        <w:tc>
          <w:tcPr>
            <w:tcW w:w="715" w:type="dxa"/>
            <w:vAlign w:val="top"/>
            <w:vMerge w:val="restart"/>
            <w:tcBorders>
              <w:bottom w:val="nil"/>
            </w:tcBorders>
          </w:tcPr>
          <w:p>
            <w:pPr>
              <w:spacing w:line="250" w:lineRule="auto"/>
              <w:rPr>
                <w:rFonts w:ascii="Arial"/>
                <w:sz w:val="21"/>
              </w:rPr>
            </w:pPr>
            <w:r/>
          </w:p>
          <w:p>
            <w:pPr>
              <w:spacing w:line="250" w:lineRule="auto"/>
              <w:rPr>
                <w:rFonts w:ascii="Arial"/>
                <w:sz w:val="21"/>
              </w:rPr>
            </w:pPr>
            <w:r/>
          </w:p>
          <w:p>
            <w:pPr>
              <w:pStyle w:val="TableText"/>
              <w:ind w:left="42"/>
              <w:spacing w:before="65" w:line="228" w:lineRule="auto"/>
              <w:rPr>
                <w:rFonts w:ascii="SimSun" w:hAnsi="SimSun" w:eastAsia="SimSun" w:cs="SimSun"/>
              </w:rPr>
            </w:pPr>
            <w:r>
              <w:rPr>
                <w:rFonts w:ascii="SimSun" w:hAnsi="SimSun" w:eastAsia="SimSun" w:cs="SimSun"/>
                <w:spacing w:val="1"/>
              </w:rPr>
              <w:t>二</w:t>
            </w:r>
            <w:r>
              <w:rPr>
                <w:spacing w:val="1"/>
              </w:rPr>
              <w:t>-2</w:t>
            </w:r>
            <w:r>
              <w:rPr>
                <w:spacing w:val="15"/>
              </w:rPr>
              <w:t xml:space="preserve"> </w:t>
            </w:r>
            <w:r>
              <w:rPr>
                <w:rFonts w:ascii="SimSun" w:hAnsi="SimSun" w:eastAsia="SimSun" w:cs="SimSun"/>
                <w:spacing w:val="1"/>
              </w:rPr>
              <w:t>煤</w:t>
            </w:r>
          </w:p>
        </w:tc>
        <w:tc>
          <w:tcPr>
            <w:tcW w:w="461" w:type="dxa"/>
            <w:vAlign w:val="top"/>
            <w:textDirection w:val="tbRlV"/>
          </w:tcPr>
          <w:p>
            <w:pPr>
              <w:ind w:left="93"/>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5"/>
              <w:spacing w:before="93" w:line="264" w:lineRule="exact"/>
              <w:rPr/>
            </w:pPr>
            <w:r>
              <w:rPr>
                <w:spacing w:val="3"/>
                <w:position w:val="1"/>
              </w:rPr>
              <w:t>8.87</w:t>
            </w:r>
            <w:r>
              <w:rPr>
                <w:rFonts w:ascii="SimSun" w:hAnsi="SimSun" w:eastAsia="SimSun" w:cs="SimSun"/>
                <w:spacing w:val="3"/>
                <w:position w:val="1"/>
              </w:rPr>
              <w:t>～</w:t>
            </w:r>
            <w:r>
              <w:rPr>
                <w:spacing w:val="3"/>
                <w:position w:val="1"/>
              </w:rPr>
              <w:t>26.88</w:t>
            </w:r>
          </w:p>
          <w:p>
            <w:pPr>
              <w:pStyle w:val="TableText"/>
              <w:ind w:left="98"/>
              <w:spacing w:before="6"/>
              <w:rPr>
                <w:rFonts w:ascii="SimSun" w:hAnsi="SimSun" w:eastAsia="SimSun" w:cs="SimSun"/>
              </w:rPr>
            </w:pPr>
            <w:r>
              <w:rPr>
                <w:spacing w:val="2"/>
              </w:rPr>
              <w:t>15.17</w:t>
            </w:r>
            <w:r>
              <w:rPr>
                <w:rFonts w:ascii="SimSun" w:hAnsi="SimSun" w:eastAsia="SimSun" w:cs="SimSun"/>
                <w:spacing w:val="2"/>
              </w:rPr>
              <w:t>（</w:t>
            </w:r>
            <w:r>
              <w:rPr>
                <w:spacing w:val="2"/>
              </w:rPr>
              <w:t>50</w:t>
            </w:r>
            <w:r>
              <w:rPr>
                <w:rFonts w:ascii="SimSun" w:hAnsi="SimSun" w:eastAsia="SimSun" w:cs="SimSun"/>
                <w:spacing w:val="2"/>
              </w:rPr>
              <w:t>）</w:t>
            </w:r>
          </w:p>
        </w:tc>
        <w:tc>
          <w:tcPr>
            <w:tcW w:w="1266" w:type="dxa"/>
            <w:vAlign w:val="top"/>
          </w:tcPr>
          <w:p>
            <w:pPr>
              <w:pStyle w:val="TableText"/>
              <w:ind w:left="111"/>
              <w:spacing w:before="93" w:line="264" w:lineRule="exact"/>
              <w:rPr/>
            </w:pPr>
            <w:r>
              <w:rPr>
                <w:spacing w:val="4"/>
                <w:position w:val="1"/>
              </w:rPr>
              <w:t>7.86</w:t>
            </w:r>
            <w:r>
              <w:rPr>
                <w:rFonts w:ascii="SimSun" w:hAnsi="SimSun" w:eastAsia="SimSun" w:cs="SimSun"/>
                <w:spacing w:val="4"/>
                <w:position w:val="1"/>
              </w:rPr>
              <w:t>～</w:t>
            </w:r>
            <w:r>
              <w:rPr>
                <w:spacing w:val="4"/>
                <w:position w:val="1"/>
              </w:rPr>
              <w:t>40.18</w:t>
            </w:r>
          </w:p>
          <w:p>
            <w:pPr>
              <w:pStyle w:val="TableText"/>
              <w:ind w:left="82"/>
              <w:spacing w:before="6"/>
              <w:rPr>
                <w:rFonts w:ascii="SimSun" w:hAnsi="SimSun" w:eastAsia="SimSun" w:cs="SimSun"/>
              </w:rPr>
            </w:pPr>
            <w:r>
              <w:rPr>
                <w:spacing w:val="4"/>
              </w:rPr>
              <w:t>22.94</w:t>
            </w:r>
            <w:r>
              <w:rPr>
                <w:rFonts w:ascii="SimSun" w:hAnsi="SimSun" w:eastAsia="SimSun" w:cs="SimSun"/>
                <w:spacing w:val="4"/>
              </w:rPr>
              <w:t>（</w:t>
            </w:r>
            <w:r>
              <w:rPr>
                <w:spacing w:val="4"/>
              </w:rPr>
              <w:t>50</w:t>
            </w:r>
            <w:r>
              <w:rPr>
                <w:rFonts w:ascii="SimSun" w:hAnsi="SimSun" w:eastAsia="SimSun" w:cs="SimSun"/>
                <w:spacing w:val="4"/>
              </w:rPr>
              <w:t>）</w:t>
            </w:r>
          </w:p>
        </w:tc>
        <w:tc>
          <w:tcPr>
            <w:tcW w:w="1266" w:type="dxa"/>
            <w:vAlign w:val="top"/>
          </w:tcPr>
          <w:p>
            <w:pPr>
              <w:pStyle w:val="TableText"/>
              <w:ind w:left="53"/>
              <w:spacing w:before="93" w:line="264" w:lineRule="exact"/>
              <w:rPr/>
            </w:pPr>
            <w:r>
              <w:rPr>
                <w:spacing w:val="4"/>
                <w:position w:val="1"/>
              </w:rPr>
              <w:t>41.29</w:t>
            </w:r>
            <w:r>
              <w:rPr>
                <w:rFonts w:ascii="SimSun" w:hAnsi="SimSun" w:eastAsia="SimSun" w:cs="SimSun"/>
                <w:spacing w:val="4"/>
                <w:position w:val="1"/>
              </w:rPr>
              <w:t>～</w:t>
            </w:r>
            <w:r>
              <w:rPr>
                <w:spacing w:val="4"/>
                <w:position w:val="1"/>
              </w:rPr>
              <w:t>51.02</w:t>
            </w:r>
          </w:p>
          <w:p>
            <w:pPr>
              <w:pStyle w:val="TableText"/>
              <w:ind w:left="82"/>
              <w:spacing w:before="6"/>
              <w:rPr>
                <w:rFonts w:ascii="SimSun" w:hAnsi="SimSun" w:eastAsia="SimSun" w:cs="SimSun"/>
              </w:rPr>
            </w:pPr>
            <w:r>
              <w:rPr>
                <w:spacing w:val="4"/>
              </w:rPr>
              <w:t>46.66</w:t>
            </w:r>
            <w:r>
              <w:rPr>
                <w:rFonts w:ascii="SimSun" w:hAnsi="SimSun" w:eastAsia="SimSun" w:cs="SimSun"/>
                <w:spacing w:val="4"/>
              </w:rPr>
              <w:t>（</w:t>
            </w:r>
            <w:r>
              <w:rPr>
                <w:spacing w:val="4"/>
              </w:rPr>
              <w:t>50</w:t>
            </w:r>
            <w:r>
              <w:rPr>
                <w:rFonts w:ascii="SimSun" w:hAnsi="SimSun" w:eastAsia="SimSun" w:cs="SimSun"/>
                <w:spacing w:val="4"/>
              </w:rPr>
              <w:t>）</w:t>
            </w:r>
          </w:p>
        </w:tc>
        <w:tc>
          <w:tcPr>
            <w:tcW w:w="1163" w:type="dxa"/>
            <w:vAlign w:val="top"/>
          </w:tcPr>
          <w:p>
            <w:pPr>
              <w:pStyle w:val="TableText"/>
              <w:ind w:left="111"/>
              <w:spacing w:before="93" w:line="264" w:lineRule="exact"/>
              <w:rPr/>
            </w:pPr>
            <w:r>
              <w:rPr>
                <w:spacing w:val="4"/>
                <w:position w:val="1"/>
              </w:rPr>
              <w:t>0.28</w:t>
            </w:r>
            <w:r>
              <w:rPr>
                <w:rFonts w:ascii="SimSun" w:hAnsi="SimSun" w:eastAsia="SimSun" w:cs="SimSun"/>
                <w:spacing w:val="4"/>
                <w:position w:val="1"/>
              </w:rPr>
              <w:t>～</w:t>
            </w:r>
            <w:r>
              <w:rPr>
                <w:spacing w:val="4"/>
                <w:position w:val="1"/>
              </w:rPr>
              <w:t>2.80</w:t>
            </w:r>
          </w:p>
          <w:p>
            <w:pPr>
              <w:pStyle w:val="TableText"/>
              <w:ind w:left="104"/>
              <w:spacing w:before="6"/>
              <w:rPr>
                <w:rFonts w:ascii="SimSun" w:hAnsi="SimSun" w:eastAsia="SimSun" w:cs="SimSun"/>
              </w:rPr>
            </w:pPr>
            <w:r>
              <w:rPr>
                <w:spacing w:val="1"/>
              </w:rPr>
              <w:t>1.01</w:t>
            </w:r>
            <w:r>
              <w:rPr>
                <w:rFonts w:ascii="SimSun" w:hAnsi="SimSun" w:eastAsia="SimSun" w:cs="SimSun"/>
                <w:spacing w:val="1"/>
              </w:rPr>
              <w:t>（</w:t>
            </w:r>
            <w:r>
              <w:rPr>
                <w:spacing w:val="1"/>
              </w:rPr>
              <w:t>50</w:t>
            </w:r>
            <w:r>
              <w:rPr>
                <w:rFonts w:ascii="SimSun" w:hAnsi="SimSun" w:eastAsia="SimSun" w:cs="SimSun"/>
                <w:spacing w:val="1"/>
              </w:rPr>
              <w:t>）</w:t>
            </w:r>
          </w:p>
        </w:tc>
        <w:tc>
          <w:tcPr>
            <w:tcW w:w="1266" w:type="dxa"/>
            <w:vAlign w:val="top"/>
          </w:tcPr>
          <w:p>
            <w:pPr>
              <w:pStyle w:val="TableText"/>
              <w:ind w:left="79"/>
              <w:spacing w:before="93" w:line="264" w:lineRule="exact"/>
              <w:rPr/>
            </w:pPr>
            <w:r>
              <w:rPr>
                <w:spacing w:val="2"/>
                <w:position w:val="1"/>
              </w:rPr>
              <w:t>16.82</w:t>
            </w:r>
            <w:r>
              <w:rPr>
                <w:rFonts w:ascii="SimSun" w:hAnsi="SimSun" w:eastAsia="SimSun" w:cs="SimSun"/>
                <w:spacing w:val="2"/>
                <w:position w:val="1"/>
              </w:rPr>
              <w:t>～</w:t>
            </w:r>
            <w:r>
              <w:rPr>
                <w:spacing w:val="2"/>
                <w:position w:val="1"/>
              </w:rPr>
              <w:t>26.57</w:t>
            </w:r>
          </w:p>
          <w:p>
            <w:pPr>
              <w:pStyle w:val="TableText"/>
              <w:ind w:left="138"/>
              <w:spacing w:before="6"/>
              <w:rPr>
                <w:rFonts w:ascii="SimSun" w:hAnsi="SimSun" w:eastAsia="SimSun" w:cs="SimSun"/>
              </w:rPr>
            </w:pPr>
            <w:r>
              <w:rPr>
                <w:spacing w:val="3"/>
              </w:rPr>
              <w:t>23.04</w:t>
            </w:r>
            <w:r>
              <w:rPr>
                <w:rFonts w:ascii="SimSun" w:hAnsi="SimSun" w:eastAsia="SimSun" w:cs="SimSun"/>
                <w:spacing w:val="3"/>
              </w:rPr>
              <w:t>（</w:t>
            </w:r>
            <w:r>
              <w:rPr>
                <w:spacing w:val="3"/>
              </w:rPr>
              <w:t>9</w:t>
            </w:r>
            <w:r>
              <w:rPr>
                <w:rFonts w:ascii="SimSun" w:hAnsi="SimSun" w:eastAsia="SimSun" w:cs="SimSun"/>
                <w:spacing w:val="3"/>
              </w:rPr>
              <w:t>）</w:t>
            </w:r>
          </w:p>
        </w:tc>
        <w:tc>
          <w:tcPr>
            <w:tcW w:w="1267" w:type="dxa"/>
            <w:vAlign w:val="top"/>
          </w:tcPr>
          <w:p>
            <w:pPr>
              <w:pStyle w:val="TableText"/>
              <w:ind w:left="80"/>
              <w:spacing w:before="93" w:line="264" w:lineRule="exact"/>
              <w:rPr/>
            </w:pPr>
            <w:r>
              <w:rPr>
                <w:spacing w:val="2"/>
                <w:position w:val="1"/>
              </w:rPr>
              <w:t>16.40</w:t>
            </w:r>
            <w:r>
              <w:rPr>
                <w:rFonts w:ascii="SimSun" w:hAnsi="SimSun" w:eastAsia="SimSun" w:cs="SimSun"/>
                <w:spacing w:val="2"/>
                <w:position w:val="1"/>
              </w:rPr>
              <w:t>～</w:t>
            </w:r>
            <w:r>
              <w:rPr>
                <w:spacing w:val="2"/>
                <w:position w:val="1"/>
              </w:rPr>
              <w:t>27.57</w:t>
            </w:r>
          </w:p>
          <w:p>
            <w:pPr>
              <w:pStyle w:val="TableText"/>
              <w:ind w:left="86"/>
              <w:spacing w:before="6"/>
              <w:rPr>
                <w:rFonts w:ascii="SimSun" w:hAnsi="SimSun" w:eastAsia="SimSun" w:cs="SimSun"/>
              </w:rPr>
            </w:pPr>
            <w:r>
              <w:rPr>
                <w:spacing w:val="4"/>
              </w:rPr>
              <w:t>20.66</w:t>
            </w:r>
            <w:r>
              <w:rPr>
                <w:rFonts w:ascii="SimSun" w:hAnsi="SimSun" w:eastAsia="SimSun" w:cs="SimSun"/>
                <w:spacing w:val="4"/>
              </w:rPr>
              <w:t>（</w:t>
            </w:r>
            <w:r>
              <w:rPr>
                <w:spacing w:val="4"/>
              </w:rPr>
              <w:t>41</w:t>
            </w:r>
            <w:r>
              <w:rPr>
                <w:rFonts w:ascii="SimSun" w:hAnsi="SimSun" w:eastAsia="SimSun" w:cs="SimSun"/>
                <w:spacing w:val="4"/>
              </w:rPr>
              <w:t>）</w:t>
            </w:r>
          </w:p>
        </w:tc>
        <w:tc>
          <w:tcPr>
            <w:tcW w:w="461" w:type="dxa"/>
            <w:vAlign w:val="top"/>
            <w:vMerge w:val="restart"/>
            <w:tcBorders>
              <w:bottom w:val="nil"/>
            </w:tcBorders>
          </w:tcPr>
          <w:p>
            <w:pPr>
              <w:spacing w:line="301" w:lineRule="auto"/>
              <w:rPr>
                <w:rFonts w:ascii="Arial"/>
                <w:sz w:val="21"/>
              </w:rPr>
            </w:pPr>
            <w:r/>
          </w:p>
          <w:p>
            <w:pPr>
              <w:spacing w:line="302" w:lineRule="auto"/>
              <w:rPr>
                <w:rFonts w:ascii="Arial"/>
                <w:sz w:val="21"/>
              </w:rPr>
            </w:pPr>
            <w:r/>
          </w:p>
          <w:p>
            <w:pPr>
              <w:pStyle w:val="TableText"/>
              <w:ind w:left="59"/>
              <w:spacing w:before="58" w:line="192" w:lineRule="auto"/>
              <w:rPr/>
            </w:pPr>
            <w:r>
              <w:rPr>
                <w:spacing w:val="5"/>
              </w:rPr>
              <w:t>HM</w:t>
            </w:r>
          </w:p>
        </w:tc>
      </w:tr>
      <w:tr>
        <w:trPr>
          <w:trHeight w:val="676"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94"/>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5"/>
              </w:rPr>
              <w:t xml:space="preserve"> </w:t>
            </w:r>
            <w:r>
              <w:rPr>
                <w:rFonts w:ascii="SimSun" w:hAnsi="SimSun" w:eastAsia="SimSun" w:cs="SimSun"/>
                <w:sz w:val="20"/>
                <w:szCs w:val="20"/>
                <w:spacing w:val="8"/>
              </w:rPr>
              <w:t>煤</w:t>
            </w:r>
          </w:p>
        </w:tc>
        <w:tc>
          <w:tcPr>
            <w:tcW w:w="1266" w:type="dxa"/>
            <w:vAlign w:val="top"/>
          </w:tcPr>
          <w:p>
            <w:pPr>
              <w:pStyle w:val="TableText"/>
              <w:ind w:left="115"/>
              <w:spacing w:before="94" w:line="264" w:lineRule="exact"/>
              <w:rPr/>
            </w:pPr>
            <w:r>
              <w:rPr>
                <w:spacing w:val="3"/>
                <w:position w:val="1"/>
              </w:rPr>
              <w:t>8.31</w:t>
            </w:r>
            <w:r>
              <w:rPr>
                <w:rFonts w:ascii="SimSun" w:hAnsi="SimSun" w:eastAsia="SimSun" w:cs="SimSun"/>
                <w:spacing w:val="3"/>
                <w:position w:val="1"/>
              </w:rPr>
              <w:t>～</w:t>
            </w:r>
            <w:r>
              <w:rPr>
                <w:spacing w:val="3"/>
                <w:position w:val="1"/>
              </w:rPr>
              <w:t>20.59</w:t>
            </w:r>
          </w:p>
          <w:p>
            <w:pPr>
              <w:pStyle w:val="TableText"/>
              <w:ind w:left="98"/>
              <w:spacing w:before="9"/>
              <w:rPr>
                <w:rFonts w:ascii="SimSun" w:hAnsi="SimSun" w:eastAsia="SimSun" w:cs="SimSun"/>
              </w:rPr>
            </w:pPr>
            <w:r>
              <w:rPr>
                <w:spacing w:val="2"/>
              </w:rPr>
              <w:t>13.53</w:t>
            </w:r>
            <w:r>
              <w:rPr>
                <w:rFonts w:ascii="SimSun" w:hAnsi="SimSun" w:eastAsia="SimSun" w:cs="SimSun"/>
                <w:spacing w:val="2"/>
              </w:rPr>
              <w:t>（</w:t>
            </w:r>
            <w:r>
              <w:rPr>
                <w:spacing w:val="2"/>
              </w:rPr>
              <w:t>48</w:t>
            </w:r>
            <w:r>
              <w:rPr>
                <w:rFonts w:ascii="SimSun" w:hAnsi="SimSun" w:eastAsia="SimSun" w:cs="SimSun"/>
                <w:spacing w:val="2"/>
              </w:rPr>
              <w:t>）</w:t>
            </w:r>
          </w:p>
        </w:tc>
        <w:tc>
          <w:tcPr>
            <w:tcW w:w="1266" w:type="dxa"/>
            <w:vAlign w:val="top"/>
          </w:tcPr>
          <w:p>
            <w:pPr>
              <w:pStyle w:val="TableText"/>
              <w:ind w:left="111"/>
              <w:spacing w:before="94" w:line="264" w:lineRule="exact"/>
              <w:rPr/>
            </w:pPr>
            <w:r>
              <w:rPr>
                <w:spacing w:val="4"/>
                <w:position w:val="1"/>
              </w:rPr>
              <w:t>7.24</w:t>
            </w:r>
            <w:r>
              <w:rPr>
                <w:rFonts w:ascii="SimSun" w:hAnsi="SimSun" w:eastAsia="SimSun" w:cs="SimSun"/>
                <w:spacing w:val="4"/>
                <w:position w:val="1"/>
              </w:rPr>
              <w:t>～</w:t>
            </w:r>
            <w:r>
              <w:rPr>
                <w:spacing w:val="4"/>
                <w:position w:val="1"/>
              </w:rPr>
              <w:t>13.60</w:t>
            </w:r>
          </w:p>
          <w:p>
            <w:pPr>
              <w:pStyle w:val="TableText"/>
              <w:ind w:left="136"/>
              <w:spacing w:before="9"/>
              <w:rPr>
                <w:rFonts w:ascii="SimSun" w:hAnsi="SimSun" w:eastAsia="SimSun" w:cs="SimSun"/>
              </w:rPr>
            </w:pPr>
            <w:r>
              <w:rPr>
                <w:spacing w:val="3"/>
              </w:rPr>
              <w:t>9.73</w:t>
            </w:r>
            <w:r>
              <w:rPr>
                <w:rFonts w:ascii="SimSun" w:hAnsi="SimSun" w:eastAsia="SimSun" w:cs="SimSun"/>
                <w:spacing w:val="3"/>
              </w:rPr>
              <w:t>（</w:t>
            </w:r>
            <w:r>
              <w:rPr>
                <w:spacing w:val="3"/>
              </w:rPr>
              <w:t>48</w:t>
            </w:r>
            <w:r>
              <w:rPr>
                <w:rFonts w:ascii="SimSun" w:hAnsi="SimSun" w:eastAsia="SimSun" w:cs="SimSun"/>
                <w:spacing w:val="3"/>
              </w:rPr>
              <w:t>）</w:t>
            </w:r>
          </w:p>
        </w:tc>
        <w:tc>
          <w:tcPr>
            <w:tcW w:w="1266" w:type="dxa"/>
            <w:vAlign w:val="top"/>
          </w:tcPr>
          <w:p>
            <w:pPr>
              <w:pStyle w:val="TableText"/>
              <w:ind w:left="53"/>
              <w:spacing w:before="94" w:line="264" w:lineRule="exact"/>
              <w:rPr/>
            </w:pPr>
            <w:r>
              <w:rPr>
                <w:spacing w:val="4"/>
                <w:position w:val="1"/>
              </w:rPr>
              <w:t>40.63</w:t>
            </w:r>
            <w:r>
              <w:rPr>
                <w:rFonts w:ascii="SimSun" w:hAnsi="SimSun" w:eastAsia="SimSun" w:cs="SimSun"/>
                <w:spacing w:val="4"/>
                <w:position w:val="1"/>
              </w:rPr>
              <w:t>～</w:t>
            </w:r>
            <w:r>
              <w:rPr>
                <w:spacing w:val="4"/>
                <w:position w:val="1"/>
              </w:rPr>
              <w:t>54.79</w:t>
            </w:r>
          </w:p>
          <w:p>
            <w:pPr>
              <w:pStyle w:val="TableText"/>
              <w:ind w:left="82"/>
              <w:spacing w:before="9"/>
              <w:rPr>
                <w:rFonts w:ascii="SimSun" w:hAnsi="SimSun" w:eastAsia="SimSun" w:cs="SimSun"/>
              </w:rPr>
            </w:pPr>
            <w:r>
              <w:rPr>
                <w:spacing w:val="4"/>
              </w:rPr>
              <w:t>44.87</w:t>
            </w:r>
            <w:r>
              <w:rPr>
                <w:rFonts w:ascii="SimSun" w:hAnsi="SimSun" w:eastAsia="SimSun" w:cs="SimSun"/>
                <w:spacing w:val="4"/>
              </w:rPr>
              <w:t>（</w:t>
            </w:r>
            <w:r>
              <w:rPr>
                <w:spacing w:val="4"/>
              </w:rPr>
              <w:t>48</w:t>
            </w:r>
            <w:r>
              <w:rPr>
                <w:rFonts w:ascii="SimSun" w:hAnsi="SimSun" w:eastAsia="SimSun" w:cs="SimSun"/>
                <w:spacing w:val="4"/>
              </w:rPr>
              <w:t>）</w:t>
            </w:r>
          </w:p>
        </w:tc>
        <w:tc>
          <w:tcPr>
            <w:tcW w:w="1163" w:type="dxa"/>
            <w:vAlign w:val="top"/>
          </w:tcPr>
          <w:p>
            <w:pPr>
              <w:pStyle w:val="TableText"/>
              <w:ind w:left="111"/>
              <w:spacing w:before="94" w:line="264" w:lineRule="exact"/>
              <w:rPr/>
            </w:pPr>
            <w:r>
              <w:rPr>
                <w:spacing w:val="4"/>
                <w:position w:val="1"/>
              </w:rPr>
              <w:t>0.24</w:t>
            </w:r>
            <w:r>
              <w:rPr>
                <w:rFonts w:ascii="SimSun" w:hAnsi="SimSun" w:eastAsia="SimSun" w:cs="SimSun"/>
                <w:spacing w:val="4"/>
                <w:position w:val="1"/>
              </w:rPr>
              <w:t>～</w:t>
            </w:r>
            <w:r>
              <w:rPr>
                <w:spacing w:val="4"/>
                <w:position w:val="1"/>
              </w:rPr>
              <w:t>4.76</w:t>
            </w:r>
          </w:p>
          <w:p>
            <w:pPr>
              <w:pStyle w:val="TableText"/>
              <w:ind w:left="104"/>
              <w:spacing w:before="9"/>
              <w:rPr>
                <w:rFonts w:ascii="SimSun" w:hAnsi="SimSun" w:eastAsia="SimSun" w:cs="SimSun"/>
              </w:rPr>
            </w:pPr>
            <w:r>
              <w:rPr>
                <w:spacing w:val="1"/>
              </w:rPr>
              <w:t>1.02</w:t>
            </w:r>
            <w:r>
              <w:rPr>
                <w:rFonts w:ascii="SimSun" w:hAnsi="SimSun" w:eastAsia="SimSun" w:cs="SimSun"/>
                <w:spacing w:val="1"/>
              </w:rPr>
              <w:t>（</w:t>
            </w:r>
            <w:r>
              <w:rPr>
                <w:spacing w:val="1"/>
              </w:rPr>
              <w:t>48</w:t>
            </w:r>
            <w:r>
              <w:rPr>
                <w:rFonts w:ascii="SimSun" w:hAnsi="SimSun" w:eastAsia="SimSun" w:cs="SimSun"/>
                <w:spacing w:val="1"/>
              </w:rPr>
              <w:t>）</w:t>
            </w:r>
          </w:p>
        </w:tc>
        <w:tc>
          <w:tcPr>
            <w:tcW w:w="1266" w:type="dxa"/>
            <w:vAlign w:val="top"/>
          </w:tcPr>
          <w:p>
            <w:pPr>
              <w:pStyle w:val="TableText"/>
              <w:ind w:left="59"/>
              <w:spacing w:before="94" w:line="264" w:lineRule="exact"/>
              <w:rPr/>
            </w:pPr>
            <w:r>
              <w:rPr>
                <w:spacing w:val="4"/>
                <w:position w:val="1"/>
              </w:rPr>
              <w:t>25.79</w:t>
            </w:r>
            <w:r>
              <w:rPr>
                <w:rFonts w:ascii="SimSun" w:hAnsi="SimSun" w:eastAsia="SimSun" w:cs="SimSun"/>
                <w:spacing w:val="4"/>
                <w:position w:val="1"/>
              </w:rPr>
              <w:t>～</w:t>
            </w:r>
            <w:r>
              <w:rPr>
                <w:spacing w:val="4"/>
                <w:position w:val="1"/>
              </w:rPr>
              <w:t>26.46</w:t>
            </w:r>
          </w:p>
          <w:p>
            <w:pPr>
              <w:pStyle w:val="TableText"/>
              <w:ind w:left="138"/>
              <w:spacing w:before="9"/>
              <w:rPr>
                <w:rFonts w:ascii="SimSun" w:hAnsi="SimSun" w:eastAsia="SimSun" w:cs="SimSun"/>
              </w:rPr>
            </w:pPr>
            <w:r>
              <w:rPr>
                <w:spacing w:val="3"/>
              </w:rPr>
              <w:t>26.05</w:t>
            </w:r>
            <w:r>
              <w:rPr>
                <w:rFonts w:ascii="SimSun" w:hAnsi="SimSun" w:eastAsia="SimSun" w:cs="SimSun"/>
                <w:spacing w:val="3"/>
              </w:rPr>
              <w:t>（</w:t>
            </w:r>
            <w:r>
              <w:rPr>
                <w:spacing w:val="3"/>
              </w:rPr>
              <w:t>4</w:t>
            </w:r>
            <w:r>
              <w:rPr>
                <w:rFonts w:ascii="SimSun" w:hAnsi="SimSun" w:eastAsia="SimSun" w:cs="SimSun"/>
                <w:spacing w:val="3"/>
              </w:rPr>
              <w:t>）</w:t>
            </w:r>
          </w:p>
        </w:tc>
        <w:tc>
          <w:tcPr>
            <w:tcW w:w="1267" w:type="dxa"/>
            <w:vAlign w:val="top"/>
          </w:tcPr>
          <w:p>
            <w:pPr>
              <w:pStyle w:val="TableText"/>
              <w:ind w:left="60"/>
              <w:spacing w:before="94" w:line="264" w:lineRule="exact"/>
              <w:rPr/>
            </w:pPr>
            <w:r>
              <w:rPr>
                <w:spacing w:val="4"/>
                <w:position w:val="1"/>
              </w:rPr>
              <w:t>23.06</w:t>
            </w:r>
            <w:r>
              <w:rPr>
                <w:rFonts w:ascii="SimSun" w:hAnsi="SimSun" w:eastAsia="SimSun" w:cs="SimSun"/>
                <w:spacing w:val="4"/>
                <w:position w:val="1"/>
              </w:rPr>
              <w:t>～</w:t>
            </w:r>
            <w:r>
              <w:rPr>
                <w:spacing w:val="4"/>
                <w:position w:val="1"/>
              </w:rPr>
              <w:t>25.98</w:t>
            </w:r>
          </w:p>
          <w:p>
            <w:pPr>
              <w:pStyle w:val="TableText"/>
              <w:ind w:left="86"/>
              <w:spacing w:before="9"/>
              <w:rPr>
                <w:rFonts w:ascii="SimSun" w:hAnsi="SimSun" w:eastAsia="SimSun" w:cs="SimSun"/>
              </w:rPr>
            </w:pPr>
            <w:r>
              <w:rPr>
                <w:spacing w:val="4"/>
              </w:rPr>
              <w:t>24.63</w:t>
            </w:r>
            <w:r>
              <w:rPr>
                <w:rFonts w:ascii="SimSun" w:hAnsi="SimSun" w:eastAsia="SimSun" w:cs="SimSun"/>
                <w:spacing w:val="4"/>
              </w:rPr>
              <w:t>（</w:t>
            </w:r>
            <w:r>
              <w:rPr>
                <w:spacing w:val="4"/>
              </w:rPr>
              <w:t>28</w:t>
            </w:r>
            <w:r>
              <w:rPr>
                <w:rFonts w:ascii="SimSun" w:hAnsi="SimSun" w:eastAsia="SimSun" w:cs="SimSun"/>
                <w:spacing w:val="4"/>
              </w:rPr>
              <w:t>）</w:t>
            </w:r>
          </w:p>
        </w:tc>
        <w:tc>
          <w:tcPr>
            <w:tcW w:w="461" w:type="dxa"/>
            <w:vAlign w:val="top"/>
            <w:vMerge w:val="continue"/>
            <w:tcBorders>
              <w:top w:val="nil"/>
            </w:tcBorders>
          </w:tcPr>
          <w:p>
            <w:pPr>
              <w:rPr>
                <w:rFonts w:ascii="Arial"/>
                <w:sz w:val="21"/>
              </w:rPr>
            </w:pPr>
            <w:r/>
          </w:p>
        </w:tc>
      </w:tr>
      <w:tr>
        <w:trPr>
          <w:trHeight w:val="673" w:hRule="atLeast"/>
        </w:trPr>
        <w:tc>
          <w:tcPr>
            <w:tcW w:w="715" w:type="dxa"/>
            <w:vAlign w:val="top"/>
            <w:vMerge w:val="restart"/>
            <w:tcBorders>
              <w:bottom w:val="nil"/>
            </w:tcBorders>
          </w:tcPr>
          <w:p>
            <w:pPr>
              <w:spacing w:line="251" w:lineRule="auto"/>
              <w:rPr>
                <w:rFonts w:ascii="Arial"/>
                <w:sz w:val="21"/>
              </w:rPr>
            </w:pPr>
            <w:r/>
          </w:p>
          <w:p>
            <w:pPr>
              <w:spacing w:line="251" w:lineRule="auto"/>
              <w:rPr>
                <w:rFonts w:ascii="Arial"/>
                <w:sz w:val="21"/>
              </w:rPr>
            </w:pPr>
            <w:r/>
          </w:p>
          <w:p>
            <w:pPr>
              <w:pStyle w:val="TableText"/>
              <w:ind w:left="42"/>
              <w:spacing w:before="65" w:line="228" w:lineRule="auto"/>
              <w:rPr>
                <w:rFonts w:ascii="SimSun" w:hAnsi="SimSun" w:eastAsia="SimSun" w:cs="SimSun"/>
              </w:rPr>
            </w:pPr>
            <w:r>
              <w:rPr>
                <w:rFonts w:ascii="SimSun" w:hAnsi="SimSun" w:eastAsia="SimSun" w:cs="SimSun"/>
                <w:spacing w:val="1"/>
              </w:rPr>
              <w:t>二</w:t>
            </w:r>
            <w:r>
              <w:rPr>
                <w:spacing w:val="1"/>
              </w:rPr>
              <w:t>-3</w:t>
            </w:r>
            <w:r>
              <w:rPr>
                <w:spacing w:val="15"/>
              </w:rPr>
              <w:t xml:space="preserve"> </w:t>
            </w:r>
            <w:r>
              <w:rPr>
                <w:rFonts w:ascii="SimSun" w:hAnsi="SimSun" w:eastAsia="SimSun" w:cs="SimSun"/>
                <w:spacing w:val="1"/>
              </w:rPr>
              <w:t>煤</w:t>
            </w:r>
          </w:p>
        </w:tc>
        <w:tc>
          <w:tcPr>
            <w:tcW w:w="461" w:type="dxa"/>
            <w:vAlign w:val="top"/>
            <w:textDirection w:val="tbRlV"/>
          </w:tcPr>
          <w:p>
            <w:pPr>
              <w:ind w:left="95"/>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06"/>
              <w:spacing w:before="95" w:line="264" w:lineRule="exact"/>
              <w:rPr/>
            </w:pPr>
            <w:r>
              <w:rPr>
                <w:spacing w:val="4"/>
                <w:position w:val="1"/>
              </w:rPr>
              <w:t>4.61</w:t>
            </w:r>
            <w:r>
              <w:rPr>
                <w:rFonts w:ascii="SimSun" w:hAnsi="SimSun" w:eastAsia="SimSun" w:cs="SimSun"/>
                <w:spacing w:val="4"/>
                <w:position w:val="1"/>
              </w:rPr>
              <w:t>～</w:t>
            </w:r>
            <w:r>
              <w:rPr>
                <w:spacing w:val="4"/>
                <w:position w:val="1"/>
              </w:rPr>
              <w:t>28.21</w:t>
            </w:r>
          </w:p>
          <w:p>
            <w:pPr>
              <w:pStyle w:val="TableText"/>
              <w:ind w:left="98"/>
              <w:spacing w:before="6"/>
              <w:rPr>
                <w:rFonts w:ascii="SimSun" w:hAnsi="SimSun" w:eastAsia="SimSun" w:cs="SimSun"/>
              </w:rPr>
            </w:pPr>
            <w:r>
              <w:rPr>
                <w:spacing w:val="2"/>
              </w:rPr>
              <w:t>14.36</w:t>
            </w:r>
            <w:r>
              <w:rPr>
                <w:rFonts w:ascii="SimSun" w:hAnsi="SimSun" w:eastAsia="SimSun" w:cs="SimSun"/>
                <w:spacing w:val="2"/>
              </w:rPr>
              <w:t>（</w:t>
            </w:r>
            <w:r>
              <w:rPr>
                <w:spacing w:val="2"/>
              </w:rPr>
              <w:t>12</w:t>
            </w:r>
            <w:r>
              <w:rPr>
                <w:rFonts w:ascii="SimSun" w:hAnsi="SimSun" w:eastAsia="SimSun" w:cs="SimSun"/>
                <w:spacing w:val="2"/>
              </w:rPr>
              <w:t>）</w:t>
            </w:r>
          </w:p>
        </w:tc>
        <w:tc>
          <w:tcPr>
            <w:tcW w:w="1266" w:type="dxa"/>
            <w:vAlign w:val="top"/>
          </w:tcPr>
          <w:p>
            <w:pPr>
              <w:pStyle w:val="TableText"/>
              <w:ind w:left="112"/>
              <w:spacing w:before="95" w:line="264" w:lineRule="exact"/>
              <w:rPr/>
            </w:pPr>
            <w:r>
              <w:rPr>
                <w:spacing w:val="4"/>
                <w:position w:val="1"/>
              </w:rPr>
              <w:t>9.82</w:t>
            </w:r>
            <w:r>
              <w:rPr>
                <w:rFonts w:ascii="SimSun" w:hAnsi="SimSun" w:eastAsia="SimSun" w:cs="SimSun"/>
                <w:spacing w:val="4"/>
                <w:position w:val="1"/>
              </w:rPr>
              <w:t>～</w:t>
            </w:r>
            <w:r>
              <w:rPr>
                <w:spacing w:val="4"/>
                <w:position w:val="1"/>
              </w:rPr>
              <w:t>36.97</w:t>
            </w:r>
          </w:p>
          <w:p>
            <w:pPr>
              <w:pStyle w:val="TableText"/>
              <w:ind w:left="82"/>
              <w:spacing w:before="6"/>
              <w:rPr>
                <w:rFonts w:ascii="SimSun" w:hAnsi="SimSun" w:eastAsia="SimSun" w:cs="SimSun"/>
              </w:rPr>
            </w:pPr>
            <w:r>
              <w:rPr>
                <w:spacing w:val="4"/>
              </w:rPr>
              <w:t>20.56</w:t>
            </w:r>
            <w:r>
              <w:rPr>
                <w:rFonts w:ascii="SimSun" w:hAnsi="SimSun" w:eastAsia="SimSun" w:cs="SimSun"/>
                <w:spacing w:val="4"/>
              </w:rPr>
              <w:t>（</w:t>
            </w:r>
            <w:r>
              <w:rPr>
                <w:spacing w:val="4"/>
              </w:rPr>
              <w:t>12</w:t>
            </w:r>
            <w:r>
              <w:rPr>
                <w:rFonts w:ascii="SimSun" w:hAnsi="SimSun" w:eastAsia="SimSun" w:cs="SimSun"/>
                <w:spacing w:val="4"/>
              </w:rPr>
              <w:t>）</w:t>
            </w:r>
          </w:p>
        </w:tc>
        <w:tc>
          <w:tcPr>
            <w:tcW w:w="1266" w:type="dxa"/>
            <w:vAlign w:val="top"/>
          </w:tcPr>
          <w:p>
            <w:pPr>
              <w:pStyle w:val="TableText"/>
              <w:ind w:left="53"/>
              <w:spacing w:before="95" w:line="264" w:lineRule="exact"/>
              <w:rPr/>
            </w:pPr>
            <w:r>
              <w:rPr>
                <w:spacing w:val="4"/>
                <w:position w:val="1"/>
              </w:rPr>
              <w:t>43.66</w:t>
            </w:r>
            <w:r>
              <w:rPr>
                <w:rFonts w:ascii="SimSun" w:hAnsi="SimSun" w:eastAsia="SimSun" w:cs="SimSun"/>
                <w:spacing w:val="4"/>
                <w:position w:val="1"/>
              </w:rPr>
              <w:t>～</w:t>
            </w:r>
            <w:r>
              <w:rPr>
                <w:spacing w:val="4"/>
                <w:position w:val="1"/>
              </w:rPr>
              <w:t>49.24</w:t>
            </w:r>
          </w:p>
          <w:p>
            <w:pPr>
              <w:pStyle w:val="TableText"/>
              <w:ind w:left="82"/>
              <w:spacing w:before="6"/>
              <w:rPr>
                <w:rFonts w:ascii="SimSun" w:hAnsi="SimSun" w:eastAsia="SimSun" w:cs="SimSun"/>
              </w:rPr>
            </w:pPr>
            <w:r>
              <w:rPr>
                <w:spacing w:val="4"/>
              </w:rPr>
              <w:t>46.23</w:t>
            </w:r>
            <w:r>
              <w:rPr>
                <w:rFonts w:ascii="SimSun" w:hAnsi="SimSun" w:eastAsia="SimSun" w:cs="SimSun"/>
                <w:spacing w:val="4"/>
              </w:rPr>
              <w:t>（</w:t>
            </w:r>
            <w:r>
              <w:rPr>
                <w:spacing w:val="4"/>
              </w:rPr>
              <w:t>12</w:t>
            </w:r>
            <w:r>
              <w:rPr>
                <w:rFonts w:ascii="SimSun" w:hAnsi="SimSun" w:eastAsia="SimSun" w:cs="SimSun"/>
                <w:spacing w:val="4"/>
              </w:rPr>
              <w:t>）</w:t>
            </w:r>
          </w:p>
        </w:tc>
        <w:tc>
          <w:tcPr>
            <w:tcW w:w="1163" w:type="dxa"/>
            <w:vAlign w:val="top"/>
          </w:tcPr>
          <w:p>
            <w:pPr>
              <w:pStyle w:val="TableText"/>
              <w:ind w:left="111"/>
              <w:spacing w:before="95" w:line="264" w:lineRule="exact"/>
              <w:rPr/>
            </w:pPr>
            <w:r>
              <w:rPr>
                <w:spacing w:val="4"/>
                <w:position w:val="1"/>
              </w:rPr>
              <w:t>0.50</w:t>
            </w:r>
            <w:r>
              <w:rPr>
                <w:rFonts w:ascii="SimSun" w:hAnsi="SimSun" w:eastAsia="SimSun" w:cs="SimSun"/>
                <w:spacing w:val="4"/>
                <w:position w:val="1"/>
              </w:rPr>
              <w:t>～</w:t>
            </w:r>
            <w:r>
              <w:rPr>
                <w:spacing w:val="4"/>
                <w:position w:val="1"/>
              </w:rPr>
              <w:t>1.62</w:t>
            </w:r>
          </w:p>
          <w:p>
            <w:pPr>
              <w:pStyle w:val="TableText"/>
              <w:ind w:left="87"/>
              <w:spacing w:before="6"/>
              <w:rPr>
                <w:rFonts w:ascii="SimSun" w:hAnsi="SimSun" w:eastAsia="SimSun" w:cs="SimSun"/>
              </w:rPr>
            </w:pPr>
            <w:r>
              <w:rPr>
                <w:spacing w:val="3"/>
              </w:rPr>
              <w:t>0.87</w:t>
            </w:r>
            <w:r>
              <w:rPr>
                <w:rFonts w:ascii="SimSun" w:hAnsi="SimSun" w:eastAsia="SimSun" w:cs="SimSun"/>
                <w:spacing w:val="3"/>
              </w:rPr>
              <w:t>（</w:t>
            </w:r>
            <w:r>
              <w:rPr>
                <w:spacing w:val="3"/>
              </w:rPr>
              <w:t>12</w:t>
            </w:r>
            <w:r>
              <w:rPr>
                <w:rFonts w:ascii="SimSun" w:hAnsi="SimSun" w:eastAsia="SimSun" w:cs="SimSun"/>
                <w:spacing w:val="3"/>
              </w:rPr>
              <w:t>）</w:t>
            </w:r>
          </w:p>
        </w:tc>
        <w:tc>
          <w:tcPr>
            <w:tcW w:w="1266" w:type="dxa"/>
            <w:vAlign w:val="top"/>
          </w:tcPr>
          <w:p>
            <w:pPr>
              <w:pStyle w:val="TableText"/>
              <w:ind w:left="79"/>
              <w:spacing w:before="95" w:line="264" w:lineRule="exact"/>
              <w:rPr/>
            </w:pPr>
            <w:r>
              <w:rPr>
                <w:position w:val="1"/>
              </w:rPr>
              <w:t>17.</w:t>
            </w:r>
            <w:r>
              <w:rPr>
                <w:spacing w:val="-20"/>
                <w:position w:val="1"/>
              </w:rPr>
              <w:t xml:space="preserve"> </w:t>
            </w:r>
            <w:r>
              <w:rPr>
                <w:position w:val="1"/>
              </w:rPr>
              <w:t>12</w:t>
            </w:r>
            <w:r>
              <w:rPr>
                <w:rFonts w:ascii="SimSun" w:hAnsi="SimSun" w:eastAsia="SimSun" w:cs="SimSun"/>
                <w:position w:val="1"/>
              </w:rPr>
              <w:t>～</w:t>
            </w:r>
            <w:r>
              <w:rPr>
                <w:position w:val="1"/>
              </w:rPr>
              <w:t>25.19</w:t>
            </w:r>
          </w:p>
          <w:p>
            <w:pPr>
              <w:pStyle w:val="TableText"/>
              <w:ind w:left="138"/>
              <w:spacing w:before="6"/>
              <w:rPr>
                <w:rFonts w:ascii="SimSun" w:hAnsi="SimSun" w:eastAsia="SimSun" w:cs="SimSun"/>
              </w:rPr>
            </w:pPr>
            <w:r>
              <w:rPr>
                <w:spacing w:val="3"/>
              </w:rPr>
              <w:t>20.73</w:t>
            </w:r>
            <w:r>
              <w:rPr>
                <w:rFonts w:ascii="SimSun" w:hAnsi="SimSun" w:eastAsia="SimSun" w:cs="SimSun"/>
                <w:spacing w:val="3"/>
              </w:rPr>
              <w:t>（</w:t>
            </w:r>
            <w:r>
              <w:rPr>
                <w:spacing w:val="3"/>
              </w:rPr>
              <w:t>6</w:t>
            </w:r>
            <w:r>
              <w:rPr>
                <w:rFonts w:ascii="SimSun" w:hAnsi="SimSun" w:eastAsia="SimSun" w:cs="SimSun"/>
                <w:spacing w:val="3"/>
              </w:rPr>
              <w:t>）</w:t>
            </w:r>
          </w:p>
        </w:tc>
        <w:tc>
          <w:tcPr>
            <w:tcW w:w="1267" w:type="dxa"/>
            <w:vAlign w:val="top"/>
          </w:tcPr>
          <w:p>
            <w:pPr>
              <w:pStyle w:val="TableText"/>
              <w:ind w:left="60"/>
              <w:spacing w:before="95" w:line="264" w:lineRule="exact"/>
              <w:rPr/>
            </w:pPr>
            <w:r>
              <w:rPr>
                <w:spacing w:val="4"/>
                <w:position w:val="1"/>
              </w:rPr>
              <w:t>20.60</w:t>
            </w:r>
            <w:r>
              <w:rPr>
                <w:rFonts w:ascii="SimSun" w:hAnsi="SimSun" w:eastAsia="SimSun" w:cs="SimSun"/>
                <w:spacing w:val="4"/>
                <w:position w:val="1"/>
              </w:rPr>
              <w:t>～</w:t>
            </w:r>
            <w:r>
              <w:rPr>
                <w:spacing w:val="4"/>
                <w:position w:val="1"/>
              </w:rPr>
              <w:t>24.68</w:t>
            </w:r>
          </w:p>
          <w:p>
            <w:pPr>
              <w:pStyle w:val="TableText"/>
              <w:ind w:left="139"/>
              <w:spacing w:before="6"/>
              <w:rPr>
                <w:rFonts w:ascii="SimSun" w:hAnsi="SimSun" w:eastAsia="SimSun" w:cs="SimSun"/>
              </w:rPr>
            </w:pPr>
            <w:r>
              <w:rPr>
                <w:spacing w:val="3"/>
              </w:rPr>
              <w:t>22.99</w:t>
            </w:r>
            <w:r>
              <w:rPr>
                <w:rFonts w:ascii="SimSun" w:hAnsi="SimSun" w:eastAsia="SimSun" w:cs="SimSun"/>
                <w:spacing w:val="3"/>
              </w:rPr>
              <w:t>（</w:t>
            </w:r>
            <w:r>
              <w:rPr>
                <w:spacing w:val="3"/>
              </w:rPr>
              <w:t>5</w:t>
            </w:r>
            <w:r>
              <w:rPr>
                <w:rFonts w:ascii="SimSun" w:hAnsi="SimSun" w:eastAsia="SimSun" w:cs="SimSun"/>
                <w:spacing w:val="3"/>
              </w:rPr>
              <w:t>）</w:t>
            </w:r>
          </w:p>
        </w:tc>
        <w:tc>
          <w:tcPr>
            <w:tcW w:w="461" w:type="dxa"/>
            <w:vAlign w:val="top"/>
            <w:vMerge w:val="restart"/>
            <w:tcBorders>
              <w:bottom w:val="nil"/>
            </w:tcBorders>
          </w:tcPr>
          <w:p>
            <w:pPr>
              <w:spacing w:line="302" w:lineRule="auto"/>
              <w:rPr>
                <w:rFonts w:ascii="Arial"/>
                <w:sz w:val="21"/>
              </w:rPr>
            </w:pPr>
            <w:r/>
          </w:p>
          <w:p>
            <w:pPr>
              <w:spacing w:line="303" w:lineRule="auto"/>
              <w:rPr>
                <w:rFonts w:ascii="Arial"/>
                <w:sz w:val="21"/>
              </w:rPr>
            </w:pPr>
            <w:r/>
          </w:p>
          <w:p>
            <w:pPr>
              <w:pStyle w:val="TableText"/>
              <w:ind w:left="59"/>
              <w:spacing w:before="58" w:line="192" w:lineRule="auto"/>
              <w:rPr/>
            </w:pPr>
            <w:r>
              <w:rPr>
                <w:spacing w:val="5"/>
              </w:rPr>
              <w:t>HM</w:t>
            </w:r>
          </w:p>
        </w:tc>
      </w:tr>
      <w:tr>
        <w:trPr>
          <w:trHeight w:val="674"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96"/>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0"/>
              <w:spacing w:before="96" w:line="264" w:lineRule="exact"/>
              <w:rPr/>
            </w:pPr>
            <w:r>
              <w:rPr>
                <w:spacing w:val="4"/>
                <w:position w:val="1"/>
              </w:rPr>
              <w:t>7.58</w:t>
            </w:r>
            <w:r>
              <w:rPr>
                <w:rFonts w:ascii="SimSun" w:hAnsi="SimSun" w:eastAsia="SimSun" w:cs="SimSun"/>
                <w:spacing w:val="4"/>
                <w:position w:val="1"/>
              </w:rPr>
              <w:t>～</w:t>
            </w:r>
            <w:r>
              <w:rPr>
                <w:spacing w:val="4"/>
                <w:position w:val="1"/>
              </w:rPr>
              <w:t>17.34</w:t>
            </w:r>
          </w:p>
          <w:p>
            <w:pPr>
              <w:pStyle w:val="TableText"/>
              <w:ind w:left="98"/>
              <w:spacing w:before="6"/>
              <w:rPr>
                <w:rFonts w:ascii="SimSun" w:hAnsi="SimSun" w:eastAsia="SimSun" w:cs="SimSun"/>
              </w:rPr>
            </w:pPr>
            <w:r>
              <w:rPr>
                <w:spacing w:val="2"/>
              </w:rPr>
              <w:t>11.85</w:t>
            </w:r>
            <w:r>
              <w:rPr>
                <w:rFonts w:ascii="SimSun" w:hAnsi="SimSun" w:eastAsia="SimSun" w:cs="SimSun"/>
                <w:spacing w:val="2"/>
              </w:rPr>
              <w:t>（</w:t>
            </w:r>
            <w:r>
              <w:rPr>
                <w:spacing w:val="2"/>
              </w:rPr>
              <w:t>12</w:t>
            </w:r>
            <w:r>
              <w:rPr>
                <w:rFonts w:ascii="SimSun" w:hAnsi="SimSun" w:eastAsia="SimSun" w:cs="SimSun"/>
                <w:spacing w:val="2"/>
              </w:rPr>
              <w:t>）</w:t>
            </w:r>
          </w:p>
        </w:tc>
        <w:tc>
          <w:tcPr>
            <w:tcW w:w="1266" w:type="dxa"/>
            <w:vAlign w:val="top"/>
          </w:tcPr>
          <w:p>
            <w:pPr>
              <w:pStyle w:val="TableText"/>
              <w:ind w:left="113"/>
              <w:spacing w:before="96" w:line="264" w:lineRule="exact"/>
              <w:rPr/>
            </w:pPr>
            <w:r>
              <w:rPr>
                <w:spacing w:val="4"/>
                <w:position w:val="1"/>
              </w:rPr>
              <w:t>6.34</w:t>
            </w:r>
            <w:r>
              <w:rPr>
                <w:rFonts w:ascii="SimSun" w:hAnsi="SimSun" w:eastAsia="SimSun" w:cs="SimSun"/>
                <w:spacing w:val="4"/>
                <w:position w:val="1"/>
              </w:rPr>
              <w:t>～</w:t>
            </w:r>
            <w:r>
              <w:rPr>
                <w:spacing w:val="4"/>
                <w:position w:val="1"/>
              </w:rPr>
              <w:t>13.53</w:t>
            </w:r>
          </w:p>
          <w:p>
            <w:pPr>
              <w:pStyle w:val="TableText"/>
              <w:ind w:left="102"/>
              <w:spacing w:before="6"/>
              <w:rPr>
                <w:rFonts w:ascii="SimSun" w:hAnsi="SimSun" w:eastAsia="SimSun" w:cs="SimSun"/>
              </w:rPr>
            </w:pPr>
            <w:r>
              <w:rPr>
                <w:spacing w:val="1"/>
              </w:rPr>
              <w:t>10.31</w:t>
            </w:r>
            <w:r>
              <w:rPr>
                <w:rFonts w:ascii="SimSun" w:hAnsi="SimSun" w:eastAsia="SimSun" w:cs="SimSun"/>
                <w:spacing w:val="1"/>
              </w:rPr>
              <w:t>（</w:t>
            </w:r>
            <w:r>
              <w:rPr>
                <w:spacing w:val="1"/>
              </w:rPr>
              <w:t>12</w:t>
            </w:r>
            <w:r>
              <w:rPr>
                <w:rFonts w:ascii="SimSun" w:hAnsi="SimSun" w:eastAsia="SimSun" w:cs="SimSun"/>
                <w:spacing w:val="1"/>
              </w:rPr>
              <w:t>）</w:t>
            </w:r>
          </w:p>
        </w:tc>
        <w:tc>
          <w:tcPr>
            <w:tcW w:w="1266" w:type="dxa"/>
            <w:vAlign w:val="top"/>
          </w:tcPr>
          <w:p>
            <w:pPr>
              <w:pStyle w:val="TableText"/>
              <w:ind w:left="53"/>
              <w:spacing w:before="96" w:line="264" w:lineRule="exact"/>
              <w:rPr/>
            </w:pPr>
            <w:r>
              <w:rPr>
                <w:spacing w:val="4"/>
                <w:position w:val="1"/>
              </w:rPr>
              <w:t>42.86</w:t>
            </w:r>
            <w:r>
              <w:rPr>
                <w:rFonts w:ascii="SimSun" w:hAnsi="SimSun" w:eastAsia="SimSun" w:cs="SimSun"/>
                <w:spacing w:val="4"/>
                <w:position w:val="1"/>
              </w:rPr>
              <w:t>～</w:t>
            </w:r>
            <w:r>
              <w:rPr>
                <w:spacing w:val="4"/>
                <w:position w:val="1"/>
              </w:rPr>
              <w:t>53.61</w:t>
            </w:r>
          </w:p>
          <w:p>
            <w:pPr>
              <w:pStyle w:val="TableText"/>
              <w:ind w:left="82"/>
              <w:spacing w:before="6"/>
              <w:rPr>
                <w:rFonts w:ascii="SimSun" w:hAnsi="SimSun" w:eastAsia="SimSun" w:cs="SimSun"/>
              </w:rPr>
            </w:pPr>
            <w:r>
              <w:rPr>
                <w:spacing w:val="4"/>
              </w:rPr>
              <w:t>46.26</w:t>
            </w:r>
            <w:r>
              <w:rPr>
                <w:rFonts w:ascii="SimSun" w:hAnsi="SimSun" w:eastAsia="SimSun" w:cs="SimSun"/>
                <w:spacing w:val="4"/>
              </w:rPr>
              <w:t>（</w:t>
            </w:r>
            <w:r>
              <w:rPr>
                <w:spacing w:val="4"/>
              </w:rPr>
              <w:t>12</w:t>
            </w:r>
            <w:r>
              <w:rPr>
                <w:rFonts w:ascii="SimSun" w:hAnsi="SimSun" w:eastAsia="SimSun" w:cs="SimSun"/>
                <w:spacing w:val="4"/>
              </w:rPr>
              <w:t>）</w:t>
            </w:r>
          </w:p>
        </w:tc>
        <w:tc>
          <w:tcPr>
            <w:tcW w:w="1163" w:type="dxa"/>
            <w:vAlign w:val="top"/>
          </w:tcPr>
          <w:p>
            <w:pPr>
              <w:pStyle w:val="TableText"/>
              <w:ind w:left="111"/>
              <w:spacing w:before="96" w:line="264" w:lineRule="exact"/>
              <w:rPr/>
            </w:pPr>
            <w:r>
              <w:rPr>
                <w:spacing w:val="4"/>
                <w:position w:val="1"/>
              </w:rPr>
              <w:t>0.49</w:t>
            </w:r>
            <w:r>
              <w:rPr>
                <w:rFonts w:ascii="SimSun" w:hAnsi="SimSun" w:eastAsia="SimSun" w:cs="SimSun"/>
                <w:spacing w:val="4"/>
                <w:position w:val="1"/>
              </w:rPr>
              <w:t>～</w:t>
            </w:r>
            <w:r>
              <w:rPr>
                <w:spacing w:val="4"/>
                <w:position w:val="1"/>
              </w:rPr>
              <w:t>1.21</w:t>
            </w:r>
          </w:p>
          <w:p>
            <w:pPr>
              <w:pStyle w:val="TableText"/>
              <w:ind w:left="87"/>
              <w:spacing w:before="6"/>
              <w:rPr>
                <w:rFonts w:ascii="SimSun" w:hAnsi="SimSun" w:eastAsia="SimSun" w:cs="SimSun"/>
              </w:rPr>
            </w:pPr>
            <w:r>
              <w:rPr>
                <w:spacing w:val="3"/>
              </w:rPr>
              <w:t>0.79</w:t>
            </w:r>
            <w:r>
              <w:rPr>
                <w:rFonts w:ascii="SimSun" w:hAnsi="SimSun" w:eastAsia="SimSun" w:cs="SimSun"/>
                <w:spacing w:val="3"/>
              </w:rPr>
              <w:t>（</w:t>
            </w:r>
            <w:r>
              <w:rPr>
                <w:spacing w:val="3"/>
              </w:rPr>
              <w:t>12</w:t>
            </w:r>
            <w:r>
              <w:rPr>
                <w:rFonts w:ascii="SimSun" w:hAnsi="SimSun" w:eastAsia="SimSun" w:cs="SimSun"/>
                <w:spacing w:val="3"/>
              </w:rPr>
              <w:t>）</w:t>
            </w:r>
          </w:p>
        </w:tc>
        <w:tc>
          <w:tcPr>
            <w:tcW w:w="1266" w:type="dxa"/>
            <w:vAlign w:val="top"/>
          </w:tcPr>
          <w:p>
            <w:pPr>
              <w:pStyle w:val="TableText"/>
              <w:ind w:left="59"/>
              <w:spacing w:before="96" w:line="264" w:lineRule="exact"/>
              <w:rPr/>
            </w:pPr>
            <w:r>
              <w:rPr>
                <w:spacing w:val="4"/>
                <w:position w:val="1"/>
              </w:rPr>
              <w:t>25.36</w:t>
            </w:r>
            <w:r>
              <w:rPr>
                <w:rFonts w:ascii="SimSun" w:hAnsi="SimSun" w:eastAsia="SimSun" w:cs="SimSun"/>
                <w:spacing w:val="4"/>
                <w:position w:val="1"/>
              </w:rPr>
              <w:t>～</w:t>
            </w:r>
            <w:r>
              <w:rPr>
                <w:spacing w:val="4"/>
                <w:position w:val="1"/>
              </w:rPr>
              <w:t>27.19</w:t>
            </w:r>
          </w:p>
          <w:p>
            <w:pPr>
              <w:pStyle w:val="TableText"/>
              <w:ind w:left="138"/>
              <w:spacing w:before="6"/>
              <w:rPr>
                <w:rFonts w:ascii="SimSun" w:hAnsi="SimSun" w:eastAsia="SimSun" w:cs="SimSun"/>
              </w:rPr>
            </w:pPr>
            <w:r>
              <w:rPr>
                <w:spacing w:val="3"/>
              </w:rPr>
              <w:t>26.39</w:t>
            </w:r>
            <w:r>
              <w:rPr>
                <w:rFonts w:ascii="SimSun" w:hAnsi="SimSun" w:eastAsia="SimSun" w:cs="SimSun"/>
                <w:spacing w:val="3"/>
              </w:rPr>
              <w:t>（</w:t>
            </w:r>
            <w:r>
              <w:rPr>
                <w:spacing w:val="3"/>
              </w:rPr>
              <w:t>4</w:t>
            </w:r>
            <w:r>
              <w:rPr>
                <w:rFonts w:ascii="SimSun" w:hAnsi="SimSun" w:eastAsia="SimSun" w:cs="SimSun"/>
                <w:spacing w:val="3"/>
              </w:rPr>
              <w:t>）</w:t>
            </w:r>
          </w:p>
        </w:tc>
        <w:tc>
          <w:tcPr>
            <w:tcW w:w="1267" w:type="dxa"/>
            <w:vAlign w:val="top"/>
          </w:tcPr>
          <w:p>
            <w:pPr>
              <w:pStyle w:val="TableText"/>
              <w:ind w:left="60"/>
              <w:spacing w:before="96" w:line="264" w:lineRule="exact"/>
              <w:rPr/>
            </w:pPr>
            <w:r>
              <w:rPr>
                <w:spacing w:val="4"/>
                <w:position w:val="1"/>
              </w:rPr>
              <w:t>24.30</w:t>
            </w:r>
            <w:r>
              <w:rPr>
                <w:rFonts w:ascii="SimSun" w:hAnsi="SimSun" w:eastAsia="SimSun" w:cs="SimSun"/>
                <w:spacing w:val="4"/>
                <w:position w:val="1"/>
              </w:rPr>
              <w:t>～</w:t>
            </w:r>
            <w:r>
              <w:rPr>
                <w:spacing w:val="4"/>
                <w:position w:val="1"/>
              </w:rPr>
              <w:t>24.77</w:t>
            </w:r>
          </w:p>
          <w:p>
            <w:pPr>
              <w:pStyle w:val="TableText"/>
              <w:ind w:left="139"/>
              <w:spacing w:before="6"/>
              <w:rPr>
                <w:rFonts w:ascii="SimSun" w:hAnsi="SimSun" w:eastAsia="SimSun" w:cs="SimSun"/>
              </w:rPr>
            </w:pPr>
            <w:r>
              <w:rPr>
                <w:spacing w:val="3"/>
              </w:rPr>
              <w:t>24.48</w:t>
            </w:r>
            <w:r>
              <w:rPr>
                <w:rFonts w:ascii="SimSun" w:hAnsi="SimSun" w:eastAsia="SimSun" w:cs="SimSun"/>
                <w:spacing w:val="3"/>
              </w:rPr>
              <w:t>（</w:t>
            </w:r>
            <w:r>
              <w:rPr>
                <w:spacing w:val="3"/>
              </w:rPr>
              <w:t>3</w:t>
            </w:r>
            <w:r>
              <w:rPr>
                <w:rFonts w:ascii="SimSun" w:hAnsi="SimSun" w:eastAsia="SimSun" w:cs="SimSun"/>
                <w:spacing w:val="3"/>
              </w:rPr>
              <w:t>）</w:t>
            </w:r>
          </w:p>
        </w:tc>
        <w:tc>
          <w:tcPr>
            <w:tcW w:w="461" w:type="dxa"/>
            <w:vAlign w:val="top"/>
            <w:vMerge w:val="continue"/>
            <w:tcBorders>
              <w:top w:val="nil"/>
            </w:tcBorders>
          </w:tcPr>
          <w:p>
            <w:pPr>
              <w:rPr>
                <w:rFonts w:ascii="Arial"/>
                <w:sz w:val="21"/>
              </w:rPr>
            </w:pPr>
            <w:r/>
          </w:p>
        </w:tc>
      </w:tr>
      <w:tr>
        <w:trPr>
          <w:trHeight w:val="549" w:hRule="atLeast"/>
        </w:trPr>
        <w:tc>
          <w:tcPr>
            <w:tcW w:w="715" w:type="dxa"/>
            <w:vAlign w:val="top"/>
            <w:vMerge w:val="restart"/>
            <w:tcBorders>
              <w:bottom w:val="nil"/>
            </w:tcBorders>
          </w:tcPr>
          <w:p>
            <w:pPr>
              <w:spacing w:line="442" w:lineRule="auto"/>
              <w:rPr>
                <w:rFonts w:ascii="Arial"/>
                <w:sz w:val="21"/>
              </w:rPr>
            </w:pPr>
            <w:r/>
          </w:p>
          <w:p>
            <w:pPr>
              <w:ind w:left="154"/>
              <w:spacing w:before="65" w:line="228" w:lineRule="auto"/>
              <w:rPr>
                <w:rFonts w:ascii="SimSun" w:hAnsi="SimSun" w:eastAsia="SimSun" w:cs="SimSun"/>
                <w:sz w:val="20"/>
                <w:szCs w:val="20"/>
              </w:rPr>
            </w:pPr>
            <w:r>
              <w:rPr>
                <w:rFonts w:ascii="SimSun" w:hAnsi="SimSun" w:eastAsia="SimSun" w:cs="SimSun"/>
                <w:sz w:val="20"/>
                <w:szCs w:val="20"/>
                <w:spacing w:val="4"/>
              </w:rPr>
              <w:t>三煤</w:t>
            </w:r>
          </w:p>
        </w:tc>
        <w:tc>
          <w:tcPr>
            <w:tcW w:w="461" w:type="dxa"/>
            <w:vAlign w:val="top"/>
            <w:textDirection w:val="tbRlV"/>
          </w:tcPr>
          <w:p>
            <w:pPr>
              <w:ind w:left="34"/>
              <w:spacing w:before="126" w:line="216" w:lineRule="auto"/>
              <w:rPr>
                <w:rFonts w:ascii="SimSun" w:hAnsi="SimSun" w:eastAsia="SimSun" w:cs="SimSun"/>
                <w:sz w:val="20"/>
                <w:szCs w:val="20"/>
              </w:rPr>
            </w:pPr>
            <w:r>
              <w:rPr>
                <w:rFonts w:ascii="SimSun" w:hAnsi="SimSun" w:eastAsia="SimSun" w:cs="SimSun"/>
                <w:sz w:val="20"/>
                <w:szCs w:val="20"/>
                <w:spacing w:val="8"/>
              </w:rPr>
              <w:t>原</w:t>
            </w:r>
            <w:r>
              <w:rPr>
                <w:rFonts w:ascii="SimSun" w:hAnsi="SimSun" w:eastAsia="SimSun" w:cs="SimSun"/>
                <w:sz w:val="20"/>
                <w:szCs w:val="20"/>
                <w:spacing w:val="-35"/>
              </w:rPr>
              <w:t xml:space="preserve"> </w:t>
            </w:r>
            <w:r>
              <w:rPr>
                <w:rFonts w:ascii="SimSun" w:hAnsi="SimSun" w:eastAsia="SimSun" w:cs="SimSun"/>
                <w:sz w:val="20"/>
                <w:szCs w:val="20"/>
                <w:spacing w:val="8"/>
              </w:rPr>
              <w:t>煤</w:t>
            </w:r>
          </w:p>
        </w:tc>
        <w:tc>
          <w:tcPr>
            <w:tcW w:w="1266" w:type="dxa"/>
            <w:vAlign w:val="top"/>
          </w:tcPr>
          <w:p>
            <w:pPr>
              <w:pStyle w:val="TableText"/>
              <w:ind w:left="111"/>
              <w:spacing w:before="34" w:line="264" w:lineRule="exact"/>
              <w:rPr/>
            </w:pPr>
            <w:r>
              <w:rPr>
                <w:spacing w:val="4"/>
                <w:position w:val="1"/>
              </w:rPr>
              <w:t>3.83</w:t>
            </w:r>
            <w:r>
              <w:rPr>
                <w:rFonts w:ascii="SimSun" w:hAnsi="SimSun" w:eastAsia="SimSun" w:cs="SimSun"/>
                <w:spacing w:val="4"/>
                <w:position w:val="1"/>
              </w:rPr>
              <w:t>～</w:t>
            </w:r>
            <w:r>
              <w:rPr>
                <w:spacing w:val="4"/>
                <w:position w:val="1"/>
              </w:rPr>
              <w:t>23.48</w:t>
            </w:r>
          </w:p>
          <w:p>
            <w:pPr>
              <w:pStyle w:val="TableText"/>
              <w:ind w:left="98"/>
              <w:spacing w:before="9" w:line="213" w:lineRule="auto"/>
              <w:rPr>
                <w:rFonts w:ascii="SimSun" w:hAnsi="SimSun" w:eastAsia="SimSun" w:cs="SimSun"/>
              </w:rPr>
            </w:pPr>
            <w:r>
              <w:rPr>
                <w:spacing w:val="2"/>
              </w:rPr>
              <w:t>14.79</w:t>
            </w:r>
            <w:r>
              <w:rPr>
                <w:rFonts w:ascii="SimSun" w:hAnsi="SimSun" w:eastAsia="SimSun" w:cs="SimSun"/>
                <w:spacing w:val="2"/>
              </w:rPr>
              <w:t>（</w:t>
            </w:r>
            <w:r>
              <w:rPr>
                <w:spacing w:val="2"/>
              </w:rPr>
              <w:t>85</w:t>
            </w:r>
            <w:r>
              <w:rPr>
                <w:rFonts w:ascii="SimSun" w:hAnsi="SimSun" w:eastAsia="SimSun" w:cs="SimSun"/>
                <w:spacing w:val="2"/>
              </w:rPr>
              <w:t>）</w:t>
            </w:r>
          </w:p>
        </w:tc>
        <w:tc>
          <w:tcPr>
            <w:tcW w:w="1266" w:type="dxa"/>
            <w:vAlign w:val="top"/>
          </w:tcPr>
          <w:p>
            <w:pPr>
              <w:pStyle w:val="TableText"/>
              <w:ind w:left="111"/>
              <w:spacing w:before="34" w:line="264" w:lineRule="exact"/>
              <w:rPr/>
            </w:pPr>
            <w:r>
              <w:rPr>
                <w:spacing w:val="4"/>
                <w:position w:val="1"/>
              </w:rPr>
              <w:t>7.76</w:t>
            </w:r>
            <w:r>
              <w:rPr>
                <w:rFonts w:ascii="SimSun" w:hAnsi="SimSun" w:eastAsia="SimSun" w:cs="SimSun"/>
                <w:spacing w:val="4"/>
                <w:position w:val="1"/>
              </w:rPr>
              <w:t>～</w:t>
            </w:r>
            <w:r>
              <w:rPr>
                <w:spacing w:val="4"/>
                <w:position w:val="1"/>
              </w:rPr>
              <w:t>62.24</w:t>
            </w:r>
          </w:p>
          <w:p>
            <w:pPr>
              <w:pStyle w:val="TableText"/>
              <w:ind w:left="82"/>
              <w:spacing w:before="9" w:line="213" w:lineRule="auto"/>
              <w:rPr>
                <w:rFonts w:ascii="SimSun" w:hAnsi="SimSun" w:eastAsia="SimSun" w:cs="SimSun"/>
              </w:rPr>
            </w:pPr>
            <w:r>
              <w:rPr>
                <w:spacing w:val="4"/>
              </w:rPr>
              <w:t>28.74</w:t>
            </w:r>
            <w:r>
              <w:rPr>
                <w:rFonts w:ascii="SimSun" w:hAnsi="SimSun" w:eastAsia="SimSun" w:cs="SimSun"/>
                <w:spacing w:val="4"/>
              </w:rPr>
              <w:t>（</w:t>
            </w:r>
            <w:r>
              <w:rPr>
                <w:spacing w:val="4"/>
              </w:rPr>
              <w:t>84</w:t>
            </w:r>
            <w:r>
              <w:rPr>
                <w:rFonts w:ascii="SimSun" w:hAnsi="SimSun" w:eastAsia="SimSun" w:cs="SimSun"/>
                <w:spacing w:val="4"/>
              </w:rPr>
              <w:t>）</w:t>
            </w:r>
          </w:p>
        </w:tc>
        <w:tc>
          <w:tcPr>
            <w:tcW w:w="1266" w:type="dxa"/>
            <w:vAlign w:val="top"/>
          </w:tcPr>
          <w:p>
            <w:pPr>
              <w:pStyle w:val="TableText"/>
              <w:ind w:left="58"/>
              <w:spacing w:before="34" w:line="264" w:lineRule="exact"/>
              <w:rPr/>
            </w:pPr>
            <w:r>
              <w:rPr>
                <w:spacing w:val="4"/>
                <w:position w:val="1"/>
              </w:rPr>
              <w:t>38.67</w:t>
            </w:r>
            <w:r>
              <w:rPr>
                <w:rFonts w:ascii="SimSun" w:hAnsi="SimSun" w:eastAsia="SimSun" w:cs="SimSun"/>
                <w:spacing w:val="4"/>
                <w:position w:val="1"/>
              </w:rPr>
              <w:t>～</w:t>
            </w:r>
            <w:r>
              <w:rPr>
                <w:spacing w:val="4"/>
                <w:position w:val="1"/>
              </w:rPr>
              <w:t>58.30</w:t>
            </w:r>
          </w:p>
          <w:p>
            <w:pPr>
              <w:pStyle w:val="TableText"/>
              <w:ind w:left="82"/>
              <w:spacing w:before="9" w:line="213" w:lineRule="auto"/>
              <w:rPr>
                <w:rFonts w:ascii="SimSun" w:hAnsi="SimSun" w:eastAsia="SimSun" w:cs="SimSun"/>
              </w:rPr>
            </w:pPr>
            <w:r>
              <w:rPr>
                <w:spacing w:val="4"/>
              </w:rPr>
              <w:t>45.35</w:t>
            </w:r>
            <w:r>
              <w:rPr>
                <w:rFonts w:ascii="SimSun" w:hAnsi="SimSun" w:eastAsia="SimSun" w:cs="SimSun"/>
                <w:spacing w:val="4"/>
              </w:rPr>
              <w:t>（</w:t>
            </w:r>
            <w:r>
              <w:rPr>
                <w:spacing w:val="4"/>
              </w:rPr>
              <w:t>85</w:t>
            </w:r>
            <w:r>
              <w:rPr>
                <w:rFonts w:ascii="SimSun" w:hAnsi="SimSun" w:eastAsia="SimSun" w:cs="SimSun"/>
                <w:spacing w:val="4"/>
              </w:rPr>
              <w:t>）</w:t>
            </w:r>
          </w:p>
        </w:tc>
        <w:tc>
          <w:tcPr>
            <w:tcW w:w="1163" w:type="dxa"/>
            <w:vAlign w:val="top"/>
          </w:tcPr>
          <w:p>
            <w:pPr>
              <w:pStyle w:val="TableText"/>
              <w:ind w:left="111"/>
              <w:spacing w:before="34" w:line="264" w:lineRule="exact"/>
              <w:rPr/>
            </w:pPr>
            <w:r>
              <w:rPr>
                <w:spacing w:val="4"/>
                <w:position w:val="1"/>
              </w:rPr>
              <w:t>0.29</w:t>
            </w:r>
            <w:r>
              <w:rPr>
                <w:rFonts w:ascii="SimSun" w:hAnsi="SimSun" w:eastAsia="SimSun" w:cs="SimSun"/>
                <w:spacing w:val="4"/>
                <w:position w:val="1"/>
              </w:rPr>
              <w:t>～</w:t>
            </w:r>
            <w:r>
              <w:rPr>
                <w:spacing w:val="4"/>
                <w:position w:val="1"/>
              </w:rPr>
              <w:t>5.63</w:t>
            </w:r>
          </w:p>
          <w:p>
            <w:pPr>
              <w:pStyle w:val="TableText"/>
              <w:ind w:left="87"/>
              <w:spacing w:before="9" w:line="213" w:lineRule="auto"/>
              <w:rPr>
                <w:rFonts w:ascii="SimSun" w:hAnsi="SimSun" w:eastAsia="SimSun" w:cs="SimSun"/>
              </w:rPr>
            </w:pPr>
            <w:r>
              <w:rPr>
                <w:spacing w:val="3"/>
              </w:rPr>
              <w:t>0.89</w:t>
            </w:r>
            <w:r>
              <w:rPr>
                <w:rFonts w:ascii="SimSun" w:hAnsi="SimSun" w:eastAsia="SimSun" w:cs="SimSun"/>
                <w:spacing w:val="3"/>
              </w:rPr>
              <w:t>（</w:t>
            </w:r>
            <w:r>
              <w:rPr>
                <w:spacing w:val="3"/>
              </w:rPr>
              <w:t>85</w:t>
            </w:r>
            <w:r>
              <w:rPr>
                <w:rFonts w:ascii="SimSun" w:hAnsi="SimSun" w:eastAsia="SimSun" w:cs="SimSun"/>
                <w:spacing w:val="3"/>
              </w:rPr>
              <w:t>）</w:t>
            </w:r>
          </w:p>
        </w:tc>
        <w:tc>
          <w:tcPr>
            <w:tcW w:w="1266" w:type="dxa"/>
            <w:vAlign w:val="top"/>
          </w:tcPr>
          <w:p>
            <w:pPr>
              <w:pStyle w:val="TableText"/>
              <w:ind w:left="79"/>
              <w:spacing w:before="34" w:line="264" w:lineRule="exact"/>
              <w:rPr/>
            </w:pPr>
            <w:r>
              <w:rPr>
                <w:spacing w:val="2"/>
                <w:position w:val="1"/>
              </w:rPr>
              <w:t>15.92</w:t>
            </w:r>
            <w:r>
              <w:rPr>
                <w:rFonts w:ascii="SimSun" w:hAnsi="SimSun" w:eastAsia="SimSun" w:cs="SimSun"/>
                <w:spacing w:val="2"/>
                <w:position w:val="1"/>
              </w:rPr>
              <w:t>～</w:t>
            </w:r>
            <w:r>
              <w:rPr>
                <w:spacing w:val="2"/>
                <w:position w:val="1"/>
              </w:rPr>
              <w:t>21.28</w:t>
            </w:r>
          </w:p>
          <w:p>
            <w:pPr>
              <w:pStyle w:val="TableText"/>
              <w:ind w:left="158"/>
              <w:spacing w:before="9" w:line="213" w:lineRule="auto"/>
              <w:rPr>
                <w:rFonts w:ascii="SimSun" w:hAnsi="SimSun" w:eastAsia="SimSun" w:cs="SimSun"/>
              </w:rPr>
            </w:pPr>
            <w:r>
              <w:rPr>
                <w:spacing w:val="1"/>
              </w:rPr>
              <w:t>18.20</w:t>
            </w:r>
            <w:r>
              <w:rPr>
                <w:rFonts w:ascii="SimSun" w:hAnsi="SimSun" w:eastAsia="SimSun" w:cs="SimSun"/>
                <w:spacing w:val="1"/>
              </w:rPr>
              <w:t>（</w:t>
            </w:r>
            <w:r>
              <w:rPr>
                <w:spacing w:val="1"/>
              </w:rPr>
              <w:t>5</w:t>
            </w:r>
            <w:r>
              <w:rPr>
                <w:rFonts w:ascii="SimSun" w:hAnsi="SimSun" w:eastAsia="SimSun" w:cs="SimSun"/>
                <w:spacing w:val="1"/>
              </w:rPr>
              <w:t>）</w:t>
            </w:r>
          </w:p>
        </w:tc>
        <w:tc>
          <w:tcPr>
            <w:tcW w:w="1267" w:type="dxa"/>
            <w:vAlign w:val="top"/>
          </w:tcPr>
          <w:p>
            <w:pPr>
              <w:pStyle w:val="TableText"/>
              <w:ind w:left="121"/>
              <w:spacing w:before="34" w:line="264" w:lineRule="exact"/>
              <w:rPr/>
            </w:pPr>
            <w:r>
              <w:rPr>
                <w:spacing w:val="3"/>
                <w:position w:val="1"/>
              </w:rPr>
              <w:t>8.29</w:t>
            </w:r>
            <w:r>
              <w:rPr>
                <w:rFonts w:ascii="SimSun" w:hAnsi="SimSun" w:eastAsia="SimSun" w:cs="SimSun"/>
                <w:spacing w:val="3"/>
                <w:position w:val="1"/>
              </w:rPr>
              <w:t>～</w:t>
            </w:r>
            <w:r>
              <w:rPr>
                <w:spacing w:val="3"/>
                <w:position w:val="1"/>
              </w:rPr>
              <w:t>26.18</w:t>
            </w:r>
          </w:p>
          <w:p>
            <w:pPr>
              <w:pStyle w:val="TableText"/>
              <w:ind w:left="106"/>
              <w:spacing w:before="9" w:line="213" w:lineRule="auto"/>
              <w:rPr>
                <w:rFonts w:ascii="SimSun" w:hAnsi="SimSun" w:eastAsia="SimSun" w:cs="SimSun"/>
              </w:rPr>
            </w:pPr>
            <w:r>
              <w:rPr>
                <w:spacing w:val="1"/>
              </w:rPr>
              <w:t>19.15</w:t>
            </w:r>
            <w:r>
              <w:rPr>
                <w:rFonts w:ascii="SimSun" w:hAnsi="SimSun" w:eastAsia="SimSun" w:cs="SimSun"/>
                <w:spacing w:val="1"/>
              </w:rPr>
              <w:t>（</w:t>
            </w:r>
            <w:r>
              <w:rPr>
                <w:spacing w:val="1"/>
              </w:rPr>
              <w:t>80</w:t>
            </w:r>
            <w:r>
              <w:rPr>
                <w:rFonts w:ascii="SimSun" w:hAnsi="SimSun" w:eastAsia="SimSun" w:cs="SimSun"/>
                <w:spacing w:val="1"/>
              </w:rPr>
              <w:t>）</w:t>
            </w:r>
          </w:p>
        </w:tc>
        <w:tc>
          <w:tcPr>
            <w:tcW w:w="461"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pStyle w:val="TableText"/>
              <w:ind w:left="59"/>
              <w:spacing w:before="58" w:line="192" w:lineRule="auto"/>
              <w:rPr/>
            </w:pPr>
            <w:r>
              <w:rPr>
                <w:spacing w:val="5"/>
              </w:rPr>
              <w:t>HM</w:t>
            </w:r>
          </w:p>
        </w:tc>
      </w:tr>
      <w:tr>
        <w:trPr>
          <w:trHeight w:val="681" w:hRule="atLeast"/>
        </w:trPr>
        <w:tc>
          <w:tcPr>
            <w:tcW w:w="715" w:type="dxa"/>
            <w:vAlign w:val="top"/>
            <w:vMerge w:val="continue"/>
            <w:tcBorders>
              <w:top w:val="nil"/>
            </w:tcBorders>
          </w:tcPr>
          <w:p>
            <w:pPr>
              <w:rPr>
                <w:rFonts w:ascii="Arial"/>
                <w:sz w:val="21"/>
              </w:rPr>
            </w:pPr>
            <w:r/>
          </w:p>
        </w:tc>
        <w:tc>
          <w:tcPr>
            <w:tcW w:w="461" w:type="dxa"/>
            <w:vAlign w:val="top"/>
            <w:textDirection w:val="tbRlV"/>
          </w:tcPr>
          <w:p>
            <w:pPr>
              <w:ind w:left="97"/>
              <w:spacing w:before="126" w:line="216" w:lineRule="auto"/>
              <w:rPr>
                <w:rFonts w:ascii="SimSun" w:hAnsi="SimSun" w:eastAsia="SimSun" w:cs="SimSun"/>
                <w:sz w:val="20"/>
                <w:szCs w:val="20"/>
              </w:rPr>
            </w:pPr>
            <w:r>
              <w:rPr>
                <w:rFonts w:ascii="SimSun" w:hAnsi="SimSun" w:eastAsia="SimSun" w:cs="SimSun"/>
                <w:sz w:val="20"/>
                <w:szCs w:val="20"/>
                <w:spacing w:val="8"/>
              </w:rPr>
              <w:t>浮</w:t>
            </w:r>
            <w:r>
              <w:rPr>
                <w:rFonts w:ascii="SimSun" w:hAnsi="SimSun" w:eastAsia="SimSun" w:cs="SimSun"/>
                <w:sz w:val="20"/>
                <w:szCs w:val="20"/>
                <w:spacing w:val="-38"/>
              </w:rPr>
              <w:t xml:space="preserve"> </w:t>
            </w:r>
            <w:r>
              <w:rPr>
                <w:rFonts w:ascii="SimSun" w:hAnsi="SimSun" w:eastAsia="SimSun" w:cs="SimSun"/>
                <w:sz w:val="20"/>
                <w:szCs w:val="20"/>
                <w:spacing w:val="8"/>
              </w:rPr>
              <w:t>煤</w:t>
            </w:r>
          </w:p>
        </w:tc>
        <w:tc>
          <w:tcPr>
            <w:tcW w:w="1266" w:type="dxa"/>
            <w:vAlign w:val="top"/>
          </w:tcPr>
          <w:p>
            <w:pPr>
              <w:pStyle w:val="TableText"/>
              <w:ind w:left="111"/>
              <w:spacing w:before="97" w:line="264" w:lineRule="exact"/>
              <w:rPr/>
            </w:pPr>
            <w:r>
              <w:rPr>
                <w:spacing w:val="4"/>
                <w:position w:val="1"/>
              </w:rPr>
              <w:t>6.68</w:t>
            </w:r>
            <w:r>
              <w:rPr>
                <w:rFonts w:ascii="SimSun" w:hAnsi="SimSun" w:eastAsia="SimSun" w:cs="SimSun"/>
                <w:spacing w:val="4"/>
                <w:position w:val="1"/>
              </w:rPr>
              <w:t>～</w:t>
            </w:r>
            <w:r>
              <w:rPr>
                <w:spacing w:val="4"/>
                <w:position w:val="1"/>
              </w:rPr>
              <w:t>26.41</w:t>
            </w:r>
          </w:p>
          <w:p>
            <w:pPr>
              <w:pStyle w:val="TableText"/>
              <w:ind w:left="98"/>
              <w:spacing w:before="6"/>
              <w:rPr>
                <w:rFonts w:ascii="SimSun" w:hAnsi="SimSun" w:eastAsia="SimSun" w:cs="SimSun"/>
              </w:rPr>
            </w:pPr>
            <w:r>
              <w:rPr>
                <w:spacing w:val="2"/>
              </w:rPr>
              <w:t>15.00</w:t>
            </w:r>
            <w:r>
              <w:rPr>
                <w:rFonts w:ascii="SimSun" w:hAnsi="SimSun" w:eastAsia="SimSun" w:cs="SimSun"/>
                <w:spacing w:val="2"/>
              </w:rPr>
              <w:t>（</w:t>
            </w:r>
            <w:r>
              <w:rPr>
                <w:spacing w:val="2"/>
              </w:rPr>
              <w:t>83</w:t>
            </w:r>
            <w:r>
              <w:rPr>
                <w:rFonts w:ascii="SimSun" w:hAnsi="SimSun" w:eastAsia="SimSun" w:cs="SimSun"/>
                <w:spacing w:val="2"/>
              </w:rPr>
              <w:t>）</w:t>
            </w:r>
          </w:p>
        </w:tc>
        <w:tc>
          <w:tcPr>
            <w:tcW w:w="1266" w:type="dxa"/>
            <w:vAlign w:val="top"/>
          </w:tcPr>
          <w:p>
            <w:pPr>
              <w:pStyle w:val="TableText"/>
              <w:ind w:left="114"/>
              <w:spacing w:before="97" w:line="264" w:lineRule="exact"/>
              <w:rPr/>
            </w:pPr>
            <w:r>
              <w:rPr>
                <w:spacing w:val="4"/>
                <w:position w:val="1"/>
              </w:rPr>
              <w:t>5.64</w:t>
            </w:r>
            <w:r>
              <w:rPr>
                <w:rFonts w:ascii="SimSun" w:hAnsi="SimSun" w:eastAsia="SimSun" w:cs="SimSun"/>
                <w:spacing w:val="4"/>
                <w:position w:val="1"/>
              </w:rPr>
              <w:t>～</w:t>
            </w:r>
            <w:r>
              <w:rPr>
                <w:spacing w:val="4"/>
                <w:position w:val="1"/>
              </w:rPr>
              <w:t>18.50</w:t>
            </w:r>
          </w:p>
          <w:p>
            <w:pPr>
              <w:pStyle w:val="TableText"/>
              <w:ind w:left="102"/>
              <w:spacing w:before="6"/>
              <w:rPr>
                <w:rFonts w:ascii="SimSun" w:hAnsi="SimSun" w:eastAsia="SimSun" w:cs="SimSun"/>
              </w:rPr>
            </w:pPr>
            <w:r>
              <w:rPr>
                <w:spacing w:val="1"/>
              </w:rPr>
              <w:t>10.74</w:t>
            </w:r>
            <w:r>
              <w:rPr>
                <w:rFonts w:ascii="SimSun" w:hAnsi="SimSun" w:eastAsia="SimSun" w:cs="SimSun"/>
                <w:spacing w:val="1"/>
              </w:rPr>
              <w:t>（</w:t>
            </w:r>
            <w:r>
              <w:rPr>
                <w:spacing w:val="1"/>
              </w:rPr>
              <w:t>82</w:t>
            </w:r>
            <w:r>
              <w:rPr>
                <w:rFonts w:ascii="SimSun" w:hAnsi="SimSun" w:eastAsia="SimSun" w:cs="SimSun"/>
                <w:spacing w:val="1"/>
              </w:rPr>
              <w:t>）</w:t>
            </w:r>
          </w:p>
        </w:tc>
        <w:tc>
          <w:tcPr>
            <w:tcW w:w="1266" w:type="dxa"/>
            <w:vAlign w:val="top"/>
          </w:tcPr>
          <w:p>
            <w:pPr>
              <w:pStyle w:val="TableText"/>
              <w:ind w:left="58"/>
              <w:spacing w:before="97" w:line="264" w:lineRule="exact"/>
              <w:rPr/>
            </w:pPr>
            <w:r>
              <w:rPr>
                <w:spacing w:val="4"/>
                <w:position w:val="1"/>
              </w:rPr>
              <w:t>38.00</w:t>
            </w:r>
            <w:r>
              <w:rPr>
                <w:rFonts w:ascii="SimSun" w:hAnsi="SimSun" w:eastAsia="SimSun" w:cs="SimSun"/>
                <w:spacing w:val="4"/>
                <w:position w:val="1"/>
              </w:rPr>
              <w:t>～</w:t>
            </w:r>
            <w:r>
              <w:rPr>
                <w:spacing w:val="4"/>
                <w:position w:val="1"/>
              </w:rPr>
              <w:t>51.52</w:t>
            </w:r>
          </w:p>
          <w:p>
            <w:pPr>
              <w:pStyle w:val="TableText"/>
              <w:ind w:left="82"/>
              <w:spacing w:before="6"/>
              <w:rPr>
                <w:rFonts w:ascii="SimSun" w:hAnsi="SimSun" w:eastAsia="SimSun" w:cs="SimSun"/>
              </w:rPr>
            </w:pPr>
            <w:r>
              <w:rPr>
                <w:spacing w:val="4"/>
              </w:rPr>
              <w:t>44.31</w:t>
            </w:r>
            <w:r>
              <w:rPr>
                <w:rFonts w:ascii="SimSun" w:hAnsi="SimSun" w:eastAsia="SimSun" w:cs="SimSun"/>
                <w:spacing w:val="4"/>
              </w:rPr>
              <w:t>（</w:t>
            </w:r>
            <w:r>
              <w:rPr>
                <w:spacing w:val="4"/>
              </w:rPr>
              <w:t>83</w:t>
            </w:r>
            <w:r>
              <w:rPr>
                <w:rFonts w:ascii="SimSun" w:hAnsi="SimSun" w:eastAsia="SimSun" w:cs="SimSun"/>
                <w:spacing w:val="4"/>
              </w:rPr>
              <w:t>）</w:t>
            </w:r>
          </w:p>
        </w:tc>
        <w:tc>
          <w:tcPr>
            <w:tcW w:w="1163" w:type="dxa"/>
            <w:vAlign w:val="top"/>
          </w:tcPr>
          <w:p>
            <w:pPr>
              <w:pStyle w:val="TableText"/>
              <w:ind w:left="111"/>
              <w:spacing w:before="97" w:line="264" w:lineRule="exact"/>
              <w:rPr/>
            </w:pPr>
            <w:r>
              <w:rPr>
                <w:spacing w:val="4"/>
                <w:position w:val="1"/>
              </w:rPr>
              <w:t>0.27</w:t>
            </w:r>
            <w:r>
              <w:rPr>
                <w:rFonts w:ascii="SimSun" w:hAnsi="SimSun" w:eastAsia="SimSun" w:cs="SimSun"/>
                <w:spacing w:val="4"/>
                <w:position w:val="1"/>
              </w:rPr>
              <w:t>～</w:t>
            </w:r>
            <w:r>
              <w:rPr>
                <w:spacing w:val="4"/>
                <w:position w:val="1"/>
              </w:rPr>
              <w:t>2.29</w:t>
            </w:r>
          </w:p>
          <w:p>
            <w:pPr>
              <w:pStyle w:val="TableText"/>
              <w:ind w:left="87"/>
              <w:spacing w:before="6"/>
              <w:rPr>
                <w:rFonts w:ascii="SimSun" w:hAnsi="SimSun" w:eastAsia="SimSun" w:cs="SimSun"/>
              </w:rPr>
            </w:pPr>
            <w:r>
              <w:rPr>
                <w:spacing w:val="3"/>
              </w:rPr>
              <w:t>0.90</w:t>
            </w:r>
            <w:r>
              <w:rPr>
                <w:rFonts w:ascii="SimSun" w:hAnsi="SimSun" w:eastAsia="SimSun" w:cs="SimSun"/>
                <w:spacing w:val="3"/>
              </w:rPr>
              <w:t>（</w:t>
            </w:r>
            <w:r>
              <w:rPr>
                <w:spacing w:val="3"/>
              </w:rPr>
              <w:t>83</w:t>
            </w:r>
            <w:r>
              <w:rPr>
                <w:rFonts w:ascii="SimSun" w:hAnsi="SimSun" w:eastAsia="SimSun" w:cs="SimSun"/>
                <w:spacing w:val="3"/>
              </w:rPr>
              <w:t>）</w:t>
            </w:r>
          </w:p>
        </w:tc>
        <w:tc>
          <w:tcPr>
            <w:tcW w:w="1266" w:type="dxa"/>
            <w:vAlign w:val="top"/>
          </w:tcPr>
          <w:p>
            <w:pPr>
              <w:pStyle w:val="TableText"/>
              <w:ind w:left="59"/>
              <w:spacing w:before="97" w:line="264" w:lineRule="exact"/>
              <w:rPr/>
            </w:pPr>
            <w:r>
              <w:rPr>
                <w:spacing w:val="4"/>
                <w:position w:val="1"/>
              </w:rPr>
              <w:t>24.45</w:t>
            </w:r>
            <w:r>
              <w:rPr>
                <w:rFonts w:ascii="SimSun" w:hAnsi="SimSun" w:eastAsia="SimSun" w:cs="SimSun"/>
                <w:spacing w:val="4"/>
                <w:position w:val="1"/>
              </w:rPr>
              <w:t>～</w:t>
            </w:r>
            <w:r>
              <w:rPr>
                <w:spacing w:val="4"/>
                <w:position w:val="1"/>
              </w:rPr>
              <w:t>27.37</w:t>
            </w:r>
          </w:p>
          <w:p>
            <w:pPr>
              <w:pStyle w:val="TableText"/>
              <w:ind w:left="138"/>
              <w:spacing w:before="6"/>
              <w:rPr>
                <w:rFonts w:ascii="SimSun" w:hAnsi="SimSun" w:eastAsia="SimSun" w:cs="SimSun"/>
              </w:rPr>
            </w:pPr>
            <w:r>
              <w:rPr>
                <w:spacing w:val="3"/>
              </w:rPr>
              <w:t>26.21</w:t>
            </w:r>
            <w:r>
              <w:rPr>
                <w:rFonts w:ascii="SimSun" w:hAnsi="SimSun" w:eastAsia="SimSun" w:cs="SimSun"/>
                <w:spacing w:val="3"/>
              </w:rPr>
              <w:t>（</w:t>
            </w:r>
            <w:r>
              <w:rPr>
                <w:spacing w:val="3"/>
              </w:rPr>
              <w:t>3</w:t>
            </w:r>
            <w:r>
              <w:rPr>
                <w:rFonts w:ascii="SimSun" w:hAnsi="SimSun" w:eastAsia="SimSun" w:cs="SimSun"/>
                <w:spacing w:val="3"/>
              </w:rPr>
              <w:t>）</w:t>
            </w:r>
          </w:p>
        </w:tc>
        <w:tc>
          <w:tcPr>
            <w:tcW w:w="1267" w:type="dxa"/>
            <w:vAlign w:val="top"/>
          </w:tcPr>
          <w:p>
            <w:pPr>
              <w:pStyle w:val="TableText"/>
              <w:ind w:left="60"/>
              <w:spacing w:before="97" w:line="264" w:lineRule="exact"/>
              <w:rPr/>
            </w:pPr>
            <w:r>
              <w:rPr>
                <w:spacing w:val="4"/>
                <w:position w:val="1"/>
              </w:rPr>
              <w:t>21.86</w:t>
            </w:r>
            <w:r>
              <w:rPr>
                <w:rFonts w:ascii="SimSun" w:hAnsi="SimSun" w:eastAsia="SimSun" w:cs="SimSun"/>
                <w:spacing w:val="4"/>
                <w:position w:val="1"/>
              </w:rPr>
              <w:t>～</w:t>
            </w:r>
            <w:r>
              <w:rPr>
                <w:spacing w:val="4"/>
                <w:position w:val="1"/>
              </w:rPr>
              <w:t>26.00</w:t>
            </w:r>
          </w:p>
          <w:p>
            <w:pPr>
              <w:pStyle w:val="TableText"/>
              <w:ind w:left="86"/>
              <w:spacing w:before="6"/>
              <w:rPr>
                <w:rFonts w:ascii="SimSun" w:hAnsi="SimSun" w:eastAsia="SimSun" w:cs="SimSun"/>
              </w:rPr>
            </w:pPr>
            <w:r>
              <w:rPr>
                <w:spacing w:val="4"/>
              </w:rPr>
              <w:t>23.91</w:t>
            </w:r>
            <w:r>
              <w:rPr>
                <w:rFonts w:ascii="SimSun" w:hAnsi="SimSun" w:eastAsia="SimSun" w:cs="SimSun"/>
                <w:spacing w:val="4"/>
              </w:rPr>
              <w:t>（</w:t>
            </w:r>
            <w:r>
              <w:rPr>
                <w:spacing w:val="4"/>
              </w:rPr>
              <w:t>43</w:t>
            </w:r>
            <w:r>
              <w:rPr>
                <w:rFonts w:ascii="SimSun" w:hAnsi="SimSun" w:eastAsia="SimSun" w:cs="SimSun"/>
                <w:spacing w:val="4"/>
              </w:rPr>
              <w:t>）</w:t>
            </w:r>
          </w:p>
        </w:tc>
        <w:tc>
          <w:tcPr>
            <w:tcW w:w="461" w:type="dxa"/>
            <w:vAlign w:val="top"/>
            <w:vMerge w:val="continue"/>
            <w:tcBorders>
              <w:top w:val="nil"/>
            </w:tcBorders>
          </w:tcPr>
          <w:p>
            <w:pPr>
              <w:rPr>
                <w:rFonts w:ascii="Arial"/>
                <w:sz w:val="21"/>
              </w:rPr>
            </w:pPr>
            <w:r/>
          </w:p>
        </w:tc>
      </w:tr>
    </w:tbl>
    <w:p>
      <w:pPr>
        <w:pStyle w:val="BodyText"/>
        <w:spacing w:line="290" w:lineRule="auto"/>
        <w:rPr/>
      </w:pPr>
      <w:r/>
    </w:p>
    <w:p>
      <w:pPr>
        <w:pStyle w:val="BodyText"/>
        <w:spacing w:line="290" w:lineRule="auto"/>
        <w:rPr/>
      </w:pPr>
      <w:r/>
    </w:p>
    <w:p>
      <w:pPr>
        <w:ind w:left="35"/>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3"/>
        </w:rPr>
        <w:t>3.5.4</w:t>
      </w:r>
      <w:r>
        <w:rPr>
          <w:rFonts w:ascii="Times New Roman" w:hAnsi="Times New Roman" w:eastAsia="Times New Roman" w:cs="Times New Roman"/>
          <w:sz w:val="28"/>
          <w:szCs w:val="28"/>
          <w:b/>
          <w:bCs/>
          <w:spacing w:val="21"/>
        </w:rPr>
        <w:t xml:space="preserve"> </w:t>
      </w:r>
      <w:r>
        <w:rPr>
          <w:rFonts w:ascii="SimHei" w:hAnsi="SimHei" w:eastAsia="SimHei" w:cs="SimHei"/>
          <w:sz w:val="28"/>
          <w:szCs w:val="28"/>
          <w:b/>
          <w:bCs/>
          <w:spacing w:val="-3"/>
        </w:rPr>
        <w:t>资源储量与服务年限</w:t>
      </w:r>
    </w:p>
    <w:p>
      <w:pPr>
        <w:spacing w:line="222" w:lineRule="auto"/>
        <w:sectPr>
          <w:headerReference w:type="default" r:id="rId199"/>
          <w:footerReference w:type="default" r:id="rId200"/>
          <w:pgSz w:w="11906" w:h="16838"/>
          <w:pgMar w:top="1170" w:right="1383" w:bottom="1080" w:left="1384" w:header="837" w:footer="918" w:gutter="0"/>
        </w:sectPr>
        <w:rPr>
          <w:rFonts w:ascii="SimHei" w:hAnsi="SimHei" w:eastAsia="SimHei" w:cs="SimHei"/>
          <w:sz w:val="28"/>
          <w:szCs w:val="28"/>
        </w:rPr>
      </w:pPr>
    </w:p>
    <w:p>
      <w:pPr>
        <w:pStyle w:val="BodyText"/>
        <w:spacing w:line="331" w:lineRule="auto"/>
        <w:rPr/>
      </w:pPr>
      <w:r/>
    </w:p>
    <w:p>
      <w:pPr>
        <w:ind w:left="120" w:right="112" w:firstLine="480"/>
        <w:spacing w:before="78" w:line="335" w:lineRule="auto"/>
        <w:jc w:val="both"/>
        <w:rPr>
          <w:rFonts w:ascii="SimSun" w:hAnsi="SimSun" w:eastAsia="SimSun" w:cs="SimSun"/>
          <w:sz w:val="24"/>
          <w:szCs w:val="24"/>
        </w:rPr>
      </w:pPr>
      <w:bookmarkStart w:name="bookmark89" w:id="39"/>
      <w:bookmarkEnd w:id="39"/>
      <w:r>
        <w:rPr>
          <w:rFonts w:ascii="SimSun" w:hAnsi="SimSun" w:eastAsia="SimSun" w:cs="SimSun"/>
          <w:sz w:val="24"/>
          <w:szCs w:val="24"/>
          <w:spacing w:val="1"/>
        </w:rPr>
        <w:t>调整开采范围后，露天区剩余开采范围共划分为一个采区。经计算，截至</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w:t>
      </w:r>
      <w:r>
        <w:rPr>
          <w:rFonts w:ascii="Times New Roman" w:hAnsi="Times New Roman" w:eastAsia="Times New Roman" w:cs="Times New Roman"/>
          <w:sz w:val="24"/>
          <w:szCs w:val="24"/>
        </w:rPr>
        <w:t>12</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月，原一煤层及以上煤层露天开采境界内剩余可采原煤为</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473.98</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万吨，一煤层及以</w:t>
      </w:r>
      <w:r>
        <w:rPr>
          <w:rFonts w:ascii="SimSun" w:hAnsi="SimSun" w:eastAsia="SimSun" w:cs="SimSun"/>
          <w:sz w:val="24"/>
          <w:szCs w:val="24"/>
          <w:spacing w:val="-1"/>
        </w:rPr>
        <w:t>上煤层扩大露天开采境界增加可采原煤为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4495.53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万吨，一煤层及以上煤层剩余可采原</w:t>
      </w:r>
      <w:r>
        <w:rPr>
          <w:rFonts w:ascii="SimSun" w:hAnsi="SimSun" w:eastAsia="SimSun" w:cs="SimSun"/>
          <w:sz w:val="24"/>
          <w:szCs w:val="24"/>
          <w:spacing w:val="-2"/>
        </w:rPr>
        <w:t>煤量合计为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4969.51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万吨。见表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3-5-5</w:t>
      </w:r>
      <w:r>
        <w:rPr>
          <w:rFonts w:ascii="SimSun" w:hAnsi="SimSun" w:eastAsia="SimSun" w:cs="SimSun"/>
          <w:sz w:val="24"/>
          <w:szCs w:val="24"/>
          <w:spacing w:val="-2"/>
        </w:rPr>
        <w:t>。</w:t>
      </w:r>
    </w:p>
    <w:p>
      <w:pPr>
        <w:ind w:left="125" w:right="112" w:firstLine="480"/>
        <w:spacing w:before="1" w:line="338" w:lineRule="auto"/>
        <w:jc w:val="both"/>
        <w:rPr>
          <w:rFonts w:ascii="SimSun" w:hAnsi="SimSun" w:eastAsia="SimSun" w:cs="SimSun"/>
          <w:sz w:val="24"/>
          <w:szCs w:val="24"/>
        </w:rPr>
      </w:pPr>
      <w:r>
        <w:rPr>
          <w:rFonts w:ascii="SimSun" w:hAnsi="SimSun" w:eastAsia="SimSun" w:cs="SimSun"/>
          <w:sz w:val="24"/>
          <w:szCs w:val="24"/>
          <w:spacing w:val="1"/>
        </w:rPr>
        <w:t>露天扩大开采区域一煤层以下煤层，各煤层层</w:t>
      </w:r>
      <w:r>
        <w:rPr>
          <w:rFonts w:ascii="SimSun" w:hAnsi="SimSun" w:eastAsia="SimSun" w:cs="SimSun"/>
          <w:sz w:val="24"/>
          <w:szCs w:val="24"/>
        </w:rPr>
        <w:t>间露天开采剥采比计算见表</w:t>
      </w:r>
      <w:r>
        <w:rPr>
          <w:rFonts w:ascii="SimSun" w:hAnsi="SimSun" w:eastAsia="SimSun" w:cs="SimSun"/>
          <w:sz w:val="24"/>
          <w:szCs w:val="24"/>
          <w:spacing w:val="-36"/>
        </w:rPr>
        <w:t xml:space="preserve"> </w:t>
      </w:r>
      <w:r>
        <w:rPr>
          <w:rFonts w:ascii="Times New Roman" w:hAnsi="Times New Roman" w:eastAsia="Times New Roman" w:cs="Times New Roman"/>
          <w:sz w:val="24"/>
          <w:szCs w:val="24"/>
        </w:rPr>
        <w:t>3-5-6</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w:t>
      </w:r>
      <w:r>
        <w:rPr>
          <w:rFonts w:ascii="SimSun" w:hAnsi="SimSun" w:eastAsia="SimSun" w:cs="SimSun"/>
          <w:sz w:val="24"/>
          <w:szCs w:val="24"/>
          <w:spacing w:val="-2"/>
        </w:rPr>
        <w:t>露天开采一下煤、二</w:t>
      </w:r>
      <w:r>
        <w:rPr>
          <w:rFonts w:ascii="Times New Roman" w:hAnsi="Times New Roman" w:eastAsia="Times New Roman" w:cs="Times New Roman"/>
          <w:sz w:val="24"/>
          <w:szCs w:val="24"/>
          <w:spacing w:val="-2"/>
        </w:rPr>
        <w:t>-1 </w:t>
      </w:r>
      <w:r>
        <w:rPr>
          <w:rFonts w:ascii="SimSun" w:hAnsi="SimSun" w:eastAsia="SimSun" w:cs="SimSun"/>
          <w:sz w:val="24"/>
          <w:szCs w:val="24"/>
          <w:spacing w:val="-2"/>
        </w:rPr>
        <w:t>煤、二</w:t>
      </w:r>
      <w:r>
        <w:rPr>
          <w:rFonts w:ascii="Times New Roman" w:hAnsi="Times New Roman" w:eastAsia="Times New Roman" w:cs="Times New Roman"/>
          <w:sz w:val="24"/>
          <w:szCs w:val="24"/>
          <w:spacing w:val="-2"/>
        </w:rPr>
        <w:t>-2 </w:t>
      </w:r>
      <w:r>
        <w:rPr>
          <w:rFonts w:ascii="SimSun" w:hAnsi="SimSun" w:eastAsia="SimSun" w:cs="SimSun"/>
          <w:sz w:val="24"/>
          <w:szCs w:val="24"/>
          <w:spacing w:val="-2"/>
        </w:rPr>
        <w:t>煤经济合理。一</w:t>
      </w:r>
      <w:r>
        <w:rPr>
          <w:rFonts w:ascii="SimSun" w:hAnsi="SimSun" w:eastAsia="SimSun" w:cs="SimSun"/>
          <w:sz w:val="24"/>
          <w:szCs w:val="24"/>
          <w:spacing w:val="-3"/>
        </w:rPr>
        <w:t>煤层以下煤层可采原煤量合计为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3"/>
        </w:rPr>
        <w:t>281.56</w:t>
      </w:r>
      <w:r>
        <w:rPr>
          <w:rFonts w:ascii="SimSun" w:hAnsi="SimSun" w:eastAsia="SimSun" w:cs="SimSun"/>
          <w:sz w:val="24"/>
          <w:szCs w:val="24"/>
          <w:spacing w:val="-6"/>
        </w:rPr>
        <w:t>万吨。</w:t>
      </w:r>
    </w:p>
    <w:p>
      <w:pPr>
        <w:ind w:left="121" w:right="27" w:firstLine="478"/>
        <w:spacing w:before="2" w:line="337" w:lineRule="auto"/>
        <w:rPr>
          <w:rFonts w:ascii="SimSun" w:hAnsi="SimSun" w:eastAsia="SimSun" w:cs="SimSun"/>
          <w:sz w:val="24"/>
          <w:szCs w:val="24"/>
        </w:rPr>
      </w:pPr>
      <w:r>
        <w:rPr>
          <w:rFonts w:ascii="SimSun" w:hAnsi="SimSun" w:eastAsia="SimSun" w:cs="SimSun"/>
          <w:sz w:val="24"/>
          <w:szCs w:val="24"/>
          <w:spacing w:val="-2"/>
        </w:rPr>
        <w:t>根据煤层特点及开采方法，可采储量及剥离量计算采用断面法，分条带计算。经计</w:t>
      </w:r>
      <w:r>
        <w:rPr>
          <w:rFonts w:ascii="SimSun" w:hAnsi="SimSun" w:eastAsia="SimSun" w:cs="SimSun"/>
          <w:sz w:val="24"/>
          <w:szCs w:val="24"/>
          <w:spacing w:val="-6"/>
        </w:rPr>
        <w:t>算本矿剥离量为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6"/>
        </w:rPr>
        <w:t>60896.02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m</w:t>
      </w:r>
      <w:r>
        <w:rPr>
          <w:rFonts w:ascii="Times New Roman" w:hAnsi="Times New Roman" w:eastAsia="Times New Roman" w:cs="Times New Roman"/>
          <w:sz w:val="15"/>
          <w:szCs w:val="15"/>
          <w:spacing w:val="-6"/>
          <w:position w:val="8"/>
        </w:rPr>
        <w:t>3</w:t>
      </w:r>
      <w:r>
        <w:rPr>
          <w:rFonts w:ascii="SimSun" w:hAnsi="SimSun" w:eastAsia="SimSun" w:cs="SimSun"/>
          <w:sz w:val="24"/>
          <w:szCs w:val="24"/>
          <w:spacing w:val="-6"/>
        </w:rPr>
        <w:t>，露天可采原煤量</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6"/>
        </w:rPr>
        <w:t>4969.51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6"/>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6"/>
        </w:rPr>
        <w:t>t</w:t>
      </w:r>
      <w:r>
        <w:rPr>
          <w:rFonts w:ascii="SimSun" w:hAnsi="SimSun" w:eastAsia="SimSun" w:cs="SimSun"/>
          <w:sz w:val="24"/>
          <w:szCs w:val="24"/>
          <w:spacing w:val="-6"/>
        </w:rPr>
        <w:t>，平均剥采比为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10.59m</w:t>
      </w:r>
      <w:r>
        <w:rPr>
          <w:rFonts w:ascii="Times New Roman" w:hAnsi="Times New Roman" w:eastAsia="Times New Roman" w:cs="Times New Roman"/>
          <w:sz w:val="15"/>
          <w:szCs w:val="15"/>
          <w:spacing w:val="-6"/>
          <w:position w:val="8"/>
        </w:rPr>
        <w:t>3</w:t>
      </w:r>
      <w:r>
        <w:rPr>
          <w:rFonts w:ascii="Times New Roman" w:hAnsi="Times New Roman" w:eastAsia="Times New Roman" w:cs="Times New Roman"/>
          <w:sz w:val="24"/>
          <w:szCs w:val="24"/>
          <w:spacing w:val="-6"/>
        </w:rPr>
        <w:t>/t</w:t>
      </w:r>
      <w:r>
        <w:rPr>
          <w:rFonts w:ascii="SimSun" w:hAnsi="SimSun" w:eastAsia="SimSun" w:cs="SimSun"/>
          <w:sz w:val="24"/>
          <w:szCs w:val="24"/>
          <w:spacing w:val="-6"/>
        </w:rPr>
        <w:t>。</w:t>
      </w:r>
    </w:p>
    <w:p>
      <w:pPr>
        <w:ind w:left="602"/>
        <w:spacing w:line="218" w:lineRule="auto"/>
        <w:rPr>
          <w:rFonts w:ascii="SimSun" w:hAnsi="SimSun" w:eastAsia="SimSun" w:cs="SimSun"/>
          <w:sz w:val="24"/>
          <w:szCs w:val="24"/>
        </w:rPr>
      </w:pPr>
      <w:r>
        <w:rPr>
          <w:rFonts w:ascii="SimSun" w:hAnsi="SimSun" w:eastAsia="SimSun" w:cs="SimSun"/>
          <w:sz w:val="24"/>
          <w:szCs w:val="24"/>
          <w:spacing w:val="-1"/>
        </w:rPr>
        <w:t>综上，露天区剩余可采原煤量合计为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4969.51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万吨。露天区剩余服务年限</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2"/>
        </w:rPr>
        <w:t>5a</w:t>
      </w:r>
      <w:r>
        <w:rPr>
          <w:rFonts w:ascii="SimSun" w:hAnsi="SimSun" w:eastAsia="SimSun" w:cs="SimSun"/>
          <w:sz w:val="24"/>
          <w:szCs w:val="24"/>
          <w:spacing w:val="-2"/>
        </w:rPr>
        <w:t>。</w:t>
      </w:r>
    </w:p>
    <w:p>
      <w:pPr>
        <w:pStyle w:val="BodyText"/>
        <w:spacing w:line="367" w:lineRule="auto"/>
        <w:rPr/>
      </w:pPr>
      <w:r/>
    </w:p>
    <w:p>
      <w:pPr>
        <w:ind w:left="2617"/>
        <w:spacing w:before="79" w:line="221" w:lineRule="auto"/>
        <w:rPr>
          <w:rFonts w:ascii="SimHei" w:hAnsi="SimHei" w:eastAsia="SimHei" w:cs="SimHei"/>
          <w:sz w:val="24"/>
          <w:szCs w:val="24"/>
        </w:rPr>
      </w:pPr>
      <w:r>
        <w:rPr>
          <w:rFonts w:ascii="SimHei" w:hAnsi="SimHei" w:eastAsia="SimHei" w:cs="SimHei"/>
          <w:sz w:val="24"/>
          <w:szCs w:val="24"/>
          <w:spacing w:val="-1"/>
        </w:rPr>
        <w:t>调整后露天开采境界内剩余可采原煤表</w:t>
      </w:r>
    </w:p>
    <w:p>
      <w:pPr>
        <w:ind w:left="117"/>
        <w:spacing w:before="71" w:line="223" w:lineRule="auto"/>
        <w:rPr>
          <w:rFonts w:ascii="SimSun" w:hAnsi="SimSun" w:eastAsia="SimSun" w:cs="SimSun"/>
          <w:sz w:val="20"/>
          <w:szCs w:val="20"/>
        </w:rPr>
      </w:pPr>
      <w:r>
        <w:rPr>
          <w:rFonts w:ascii="SimSun" w:hAnsi="SimSun" w:eastAsia="SimSun" w:cs="SimSun"/>
          <w:sz w:val="20"/>
          <w:szCs w:val="20"/>
          <w:spacing w:val="4"/>
        </w:rPr>
        <w:t>表</w:t>
      </w:r>
      <w:r>
        <w:rPr>
          <w:rFonts w:ascii="SimSun" w:hAnsi="SimSun" w:eastAsia="SimSun" w:cs="SimSun"/>
          <w:sz w:val="20"/>
          <w:szCs w:val="20"/>
          <w:spacing w:val="-30"/>
        </w:rPr>
        <w:t xml:space="preserve"> </w:t>
      </w:r>
      <w:r>
        <w:rPr>
          <w:rFonts w:ascii="Times New Roman" w:hAnsi="Times New Roman" w:eastAsia="Times New Roman" w:cs="Times New Roman"/>
          <w:sz w:val="20"/>
          <w:szCs w:val="20"/>
          <w:spacing w:val="4"/>
        </w:rPr>
        <w:t>3-5-5</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4"/>
        </w:rPr>
        <w:t>单位：万吨</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29"/>
        <w:gridCol w:w="2552"/>
        <w:gridCol w:w="2552"/>
        <w:gridCol w:w="2557"/>
      </w:tblGrid>
      <w:tr>
        <w:trPr>
          <w:trHeight w:val="553" w:hRule="atLeast"/>
        </w:trPr>
        <w:tc>
          <w:tcPr>
            <w:tcW w:w="1629" w:type="dxa"/>
            <w:vAlign w:val="top"/>
          </w:tcPr>
          <w:p>
            <w:pPr>
              <w:ind w:left="399"/>
              <w:spacing w:before="167" w:line="228" w:lineRule="auto"/>
              <w:rPr>
                <w:rFonts w:ascii="SimSun" w:hAnsi="SimSun" w:eastAsia="SimSun" w:cs="SimSun"/>
                <w:sz w:val="20"/>
                <w:szCs w:val="20"/>
              </w:rPr>
            </w:pPr>
            <w:r>
              <w:rPr>
                <w:rFonts w:ascii="SimSun" w:hAnsi="SimSun" w:eastAsia="SimSun" w:cs="SimSun"/>
                <w:sz w:val="20"/>
                <w:szCs w:val="20"/>
                <w:spacing w:val="7"/>
              </w:rPr>
              <w:t>煤层编号</w:t>
            </w:r>
          </w:p>
        </w:tc>
        <w:tc>
          <w:tcPr>
            <w:tcW w:w="2552" w:type="dxa"/>
            <w:vAlign w:val="top"/>
          </w:tcPr>
          <w:p>
            <w:pPr>
              <w:ind w:left="128"/>
              <w:spacing w:before="33" w:line="227" w:lineRule="auto"/>
              <w:rPr>
                <w:rFonts w:ascii="SimSun" w:hAnsi="SimSun" w:eastAsia="SimSun" w:cs="SimSun"/>
                <w:sz w:val="20"/>
                <w:szCs w:val="20"/>
              </w:rPr>
            </w:pPr>
            <w:r>
              <w:rPr>
                <w:rFonts w:ascii="SimSun" w:hAnsi="SimSun" w:eastAsia="SimSun" w:cs="SimSun"/>
                <w:sz w:val="20"/>
                <w:szCs w:val="20"/>
                <w:spacing w:val="8"/>
              </w:rPr>
              <w:t>原露天开采境界可采原煤</w:t>
            </w:r>
          </w:p>
          <w:p>
            <w:pPr>
              <w:ind w:left="1172"/>
              <w:spacing w:before="24" w:line="220" w:lineRule="auto"/>
              <w:rPr>
                <w:rFonts w:ascii="SimSun" w:hAnsi="SimSun" w:eastAsia="SimSun" w:cs="SimSun"/>
                <w:sz w:val="20"/>
                <w:szCs w:val="20"/>
              </w:rPr>
            </w:pPr>
            <w:r>
              <w:rPr>
                <w:rFonts w:ascii="SimSun" w:hAnsi="SimSun" w:eastAsia="SimSun" w:cs="SimSun"/>
                <w:sz w:val="20"/>
                <w:szCs w:val="20"/>
              </w:rPr>
              <w:t>量</w:t>
            </w:r>
          </w:p>
        </w:tc>
        <w:tc>
          <w:tcPr>
            <w:tcW w:w="2552" w:type="dxa"/>
            <w:vAlign w:val="top"/>
          </w:tcPr>
          <w:p>
            <w:pPr>
              <w:ind w:left="125"/>
              <w:spacing w:before="33" w:line="227" w:lineRule="auto"/>
              <w:rPr>
                <w:rFonts w:ascii="SimSun" w:hAnsi="SimSun" w:eastAsia="SimSun" w:cs="SimSun"/>
                <w:sz w:val="20"/>
                <w:szCs w:val="20"/>
              </w:rPr>
            </w:pPr>
            <w:r>
              <w:rPr>
                <w:rFonts w:ascii="SimSun" w:hAnsi="SimSun" w:eastAsia="SimSun" w:cs="SimSun"/>
                <w:sz w:val="20"/>
                <w:szCs w:val="20"/>
                <w:spacing w:val="9"/>
              </w:rPr>
              <w:t>扩大露天开采境界增加可</w:t>
            </w:r>
          </w:p>
          <w:p>
            <w:pPr>
              <w:ind w:left="861"/>
              <w:spacing w:before="24" w:line="220" w:lineRule="auto"/>
              <w:rPr>
                <w:rFonts w:ascii="SimSun" w:hAnsi="SimSun" w:eastAsia="SimSun" w:cs="SimSun"/>
                <w:sz w:val="20"/>
                <w:szCs w:val="20"/>
              </w:rPr>
            </w:pPr>
            <w:r>
              <w:rPr>
                <w:rFonts w:ascii="SimSun" w:hAnsi="SimSun" w:eastAsia="SimSun" w:cs="SimSun"/>
                <w:sz w:val="20"/>
                <w:szCs w:val="20"/>
                <w:spacing w:val="7"/>
              </w:rPr>
              <w:t>采原煤量</w:t>
            </w:r>
          </w:p>
        </w:tc>
        <w:tc>
          <w:tcPr>
            <w:tcW w:w="2557" w:type="dxa"/>
            <w:vAlign w:val="top"/>
          </w:tcPr>
          <w:p>
            <w:pPr>
              <w:ind w:left="131"/>
              <w:spacing w:before="33" w:line="227" w:lineRule="auto"/>
              <w:rPr>
                <w:rFonts w:ascii="SimSun" w:hAnsi="SimSun" w:eastAsia="SimSun" w:cs="SimSun"/>
                <w:sz w:val="20"/>
                <w:szCs w:val="20"/>
              </w:rPr>
            </w:pPr>
            <w:r>
              <w:rPr>
                <w:rFonts w:ascii="SimSun" w:hAnsi="SimSun" w:eastAsia="SimSun" w:cs="SimSun"/>
                <w:sz w:val="20"/>
                <w:szCs w:val="20"/>
                <w:spacing w:val="9"/>
              </w:rPr>
              <w:t>调整后境界剩余可采原煤</w:t>
            </w:r>
          </w:p>
          <w:p>
            <w:pPr>
              <w:ind w:left="1178"/>
              <w:spacing w:before="24" w:line="220" w:lineRule="auto"/>
              <w:rPr>
                <w:rFonts w:ascii="SimSun" w:hAnsi="SimSun" w:eastAsia="SimSun" w:cs="SimSun"/>
                <w:sz w:val="20"/>
                <w:szCs w:val="20"/>
              </w:rPr>
            </w:pPr>
            <w:r>
              <w:rPr>
                <w:rFonts w:ascii="SimSun" w:hAnsi="SimSun" w:eastAsia="SimSun" w:cs="SimSun"/>
                <w:sz w:val="20"/>
                <w:szCs w:val="20"/>
              </w:rPr>
              <w:t>量</w:t>
            </w:r>
          </w:p>
        </w:tc>
      </w:tr>
      <w:tr>
        <w:trPr>
          <w:trHeight w:val="277" w:hRule="atLeast"/>
        </w:trPr>
        <w:tc>
          <w:tcPr>
            <w:tcW w:w="1629" w:type="dxa"/>
            <w:vAlign w:val="top"/>
          </w:tcPr>
          <w:p>
            <w:pPr>
              <w:ind w:left="400"/>
              <w:spacing w:before="29" w:line="219" w:lineRule="auto"/>
              <w:rPr>
                <w:rFonts w:ascii="SimSun" w:hAnsi="SimSun" w:eastAsia="SimSun" w:cs="SimSun"/>
                <w:sz w:val="20"/>
                <w:szCs w:val="20"/>
              </w:rPr>
            </w:pPr>
            <w:r>
              <w:rPr>
                <w:rFonts w:ascii="SimSun" w:hAnsi="SimSun" w:eastAsia="SimSun" w:cs="SimSun"/>
                <w:sz w:val="20"/>
                <w:szCs w:val="20"/>
                <w:spacing w:val="6"/>
              </w:rPr>
              <w:t>上六煤层</w:t>
            </w:r>
          </w:p>
        </w:tc>
        <w:tc>
          <w:tcPr>
            <w:tcW w:w="2552" w:type="dxa"/>
            <w:vAlign w:val="top"/>
          </w:tcPr>
          <w:p>
            <w:pPr>
              <w:pStyle w:val="TableText"/>
              <w:ind w:left="1224"/>
              <w:spacing w:before="66" w:line="195" w:lineRule="auto"/>
              <w:rPr/>
            </w:pPr>
            <w:r>
              <w:rPr/>
              <w:t>0</w:t>
            </w:r>
          </w:p>
        </w:tc>
        <w:tc>
          <w:tcPr>
            <w:tcW w:w="2552" w:type="dxa"/>
            <w:vAlign w:val="top"/>
          </w:tcPr>
          <w:p>
            <w:pPr>
              <w:pStyle w:val="TableText"/>
              <w:ind w:left="993"/>
              <w:spacing w:before="66" w:line="195" w:lineRule="auto"/>
              <w:rPr/>
            </w:pPr>
            <w:r>
              <w:rPr>
                <w:spacing w:val="2"/>
              </w:rPr>
              <w:t>587.45</w:t>
            </w:r>
          </w:p>
        </w:tc>
        <w:tc>
          <w:tcPr>
            <w:tcW w:w="2557" w:type="dxa"/>
            <w:vAlign w:val="top"/>
          </w:tcPr>
          <w:p>
            <w:pPr>
              <w:pStyle w:val="TableText"/>
              <w:ind w:left="995"/>
              <w:spacing w:before="66" w:line="195" w:lineRule="auto"/>
              <w:rPr/>
            </w:pPr>
            <w:r>
              <w:rPr>
                <w:spacing w:val="2"/>
              </w:rPr>
              <w:t>587.45</w:t>
            </w:r>
          </w:p>
        </w:tc>
      </w:tr>
      <w:tr>
        <w:trPr>
          <w:trHeight w:val="277" w:hRule="atLeast"/>
        </w:trPr>
        <w:tc>
          <w:tcPr>
            <w:tcW w:w="1629" w:type="dxa"/>
            <w:vAlign w:val="top"/>
          </w:tcPr>
          <w:p>
            <w:pPr>
              <w:ind w:left="400"/>
              <w:spacing w:before="31" w:line="217" w:lineRule="auto"/>
              <w:rPr>
                <w:rFonts w:ascii="SimSun" w:hAnsi="SimSun" w:eastAsia="SimSun" w:cs="SimSun"/>
                <w:sz w:val="20"/>
                <w:szCs w:val="20"/>
              </w:rPr>
            </w:pPr>
            <w:r>
              <w:rPr>
                <w:rFonts w:ascii="SimSun" w:hAnsi="SimSun" w:eastAsia="SimSun" w:cs="SimSun"/>
                <w:sz w:val="20"/>
                <w:szCs w:val="20"/>
                <w:spacing w:val="6"/>
              </w:rPr>
              <w:t>上五煤层</w:t>
            </w:r>
          </w:p>
        </w:tc>
        <w:tc>
          <w:tcPr>
            <w:tcW w:w="2552" w:type="dxa"/>
            <w:vAlign w:val="top"/>
          </w:tcPr>
          <w:p>
            <w:pPr>
              <w:pStyle w:val="TableText"/>
              <w:ind w:left="1224"/>
              <w:spacing w:before="67" w:line="195" w:lineRule="auto"/>
              <w:rPr/>
            </w:pPr>
            <w:r>
              <w:rPr/>
              <w:t>0</w:t>
            </w:r>
          </w:p>
        </w:tc>
        <w:tc>
          <w:tcPr>
            <w:tcW w:w="2552" w:type="dxa"/>
            <w:vAlign w:val="top"/>
          </w:tcPr>
          <w:p>
            <w:pPr>
              <w:pStyle w:val="TableText"/>
              <w:ind w:left="996"/>
              <w:spacing w:before="67" w:line="195" w:lineRule="auto"/>
              <w:rPr/>
            </w:pPr>
            <w:r>
              <w:rPr>
                <w:spacing w:val="2"/>
              </w:rPr>
              <w:t>882.88</w:t>
            </w:r>
          </w:p>
        </w:tc>
        <w:tc>
          <w:tcPr>
            <w:tcW w:w="2557" w:type="dxa"/>
            <w:vAlign w:val="top"/>
          </w:tcPr>
          <w:p>
            <w:pPr>
              <w:pStyle w:val="TableText"/>
              <w:ind w:left="997"/>
              <w:spacing w:before="67" w:line="195" w:lineRule="auto"/>
              <w:rPr/>
            </w:pPr>
            <w:r>
              <w:rPr>
                <w:spacing w:val="2"/>
              </w:rPr>
              <w:t>882.88</w:t>
            </w:r>
          </w:p>
        </w:tc>
      </w:tr>
      <w:tr>
        <w:trPr>
          <w:trHeight w:val="275" w:hRule="atLeast"/>
        </w:trPr>
        <w:tc>
          <w:tcPr>
            <w:tcW w:w="1629" w:type="dxa"/>
            <w:vAlign w:val="top"/>
          </w:tcPr>
          <w:p>
            <w:pPr>
              <w:ind w:left="508"/>
              <w:spacing w:before="29" w:line="217" w:lineRule="auto"/>
              <w:rPr>
                <w:rFonts w:ascii="SimSun" w:hAnsi="SimSun" w:eastAsia="SimSun" w:cs="SimSun"/>
                <w:sz w:val="20"/>
                <w:szCs w:val="20"/>
              </w:rPr>
            </w:pPr>
            <w:r>
              <w:rPr>
                <w:rFonts w:ascii="SimSun" w:hAnsi="SimSun" w:eastAsia="SimSun" w:cs="SimSun"/>
                <w:sz w:val="20"/>
                <w:szCs w:val="20"/>
                <w:spacing w:val="5"/>
              </w:rPr>
              <w:t>一煤层</w:t>
            </w:r>
          </w:p>
        </w:tc>
        <w:tc>
          <w:tcPr>
            <w:tcW w:w="2552" w:type="dxa"/>
            <w:vAlign w:val="top"/>
          </w:tcPr>
          <w:p>
            <w:pPr>
              <w:pStyle w:val="TableText"/>
              <w:ind w:left="985"/>
              <w:spacing w:before="66" w:line="195" w:lineRule="auto"/>
              <w:rPr/>
            </w:pPr>
            <w:r>
              <w:rPr>
                <w:spacing w:val="4"/>
              </w:rPr>
              <w:t>473.98</w:t>
            </w:r>
          </w:p>
        </w:tc>
        <w:tc>
          <w:tcPr>
            <w:tcW w:w="2552" w:type="dxa"/>
            <w:vAlign w:val="top"/>
          </w:tcPr>
          <w:p>
            <w:pPr>
              <w:pStyle w:val="TableText"/>
              <w:ind w:left="992"/>
              <w:spacing w:before="66" w:line="195" w:lineRule="auto"/>
              <w:rPr/>
            </w:pPr>
            <w:r>
              <w:rPr>
                <w:spacing w:val="3"/>
              </w:rPr>
              <w:t>3025.2</w:t>
            </w:r>
          </w:p>
        </w:tc>
        <w:tc>
          <w:tcPr>
            <w:tcW w:w="2557" w:type="dxa"/>
            <w:vAlign w:val="top"/>
          </w:tcPr>
          <w:p>
            <w:pPr>
              <w:pStyle w:val="TableText"/>
              <w:ind w:left="940"/>
              <w:spacing w:before="66" w:line="195" w:lineRule="auto"/>
              <w:rPr/>
            </w:pPr>
            <w:r>
              <w:rPr>
                <w:spacing w:val="3"/>
              </w:rPr>
              <w:t>3499.18</w:t>
            </w:r>
          </w:p>
        </w:tc>
      </w:tr>
      <w:tr>
        <w:trPr>
          <w:trHeight w:val="282" w:hRule="atLeast"/>
        </w:trPr>
        <w:tc>
          <w:tcPr>
            <w:tcW w:w="1629" w:type="dxa"/>
            <w:vAlign w:val="top"/>
          </w:tcPr>
          <w:p>
            <w:pPr>
              <w:ind w:left="615"/>
              <w:spacing w:before="33" w:line="220" w:lineRule="auto"/>
              <w:rPr>
                <w:rFonts w:ascii="SimSun" w:hAnsi="SimSun" w:eastAsia="SimSun" w:cs="SimSun"/>
                <w:sz w:val="20"/>
                <w:szCs w:val="20"/>
              </w:rPr>
            </w:pPr>
            <w:r>
              <w:rPr>
                <w:rFonts w:ascii="SimSun" w:hAnsi="SimSun" w:eastAsia="SimSun" w:cs="SimSun"/>
                <w:sz w:val="20"/>
                <w:szCs w:val="20"/>
                <w:spacing w:val="2"/>
              </w:rPr>
              <w:t>总计</w:t>
            </w:r>
          </w:p>
        </w:tc>
        <w:tc>
          <w:tcPr>
            <w:tcW w:w="2552" w:type="dxa"/>
            <w:vAlign w:val="top"/>
          </w:tcPr>
          <w:p>
            <w:pPr>
              <w:pStyle w:val="TableText"/>
              <w:ind w:left="985"/>
              <w:spacing w:before="69" w:line="195" w:lineRule="auto"/>
              <w:rPr/>
            </w:pPr>
            <w:r>
              <w:rPr>
                <w:spacing w:val="4"/>
              </w:rPr>
              <w:t>473.98</w:t>
            </w:r>
          </w:p>
        </w:tc>
        <w:tc>
          <w:tcPr>
            <w:tcW w:w="2552" w:type="dxa"/>
            <w:vAlign w:val="top"/>
          </w:tcPr>
          <w:p>
            <w:pPr>
              <w:pStyle w:val="TableText"/>
              <w:ind w:left="931"/>
              <w:spacing w:before="69" w:line="195" w:lineRule="auto"/>
              <w:rPr/>
            </w:pPr>
            <w:r>
              <w:rPr>
                <w:spacing w:val="4"/>
              </w:rPr>
              <w:t>4495.53</w:t>
            </w:r>
          </w:p>
        </w:tc>
        <w:tc>
          <w:tcPr>
            <w:tcW w:w="2557" w:type="dxa"/>
            <w:vAlign w:val="top"/>
          </w:tcPr>
          <w:p>
            <w:pPr>
              <w:pStyle w:val="TableText"/>
              <w:ind w:left="935"/>
              <w:spacing w:before="69" w:line="195" w:lineRule="auto"/>
              <w:rPr/>
            </w:pPr>
            <w:r>
              <w:rPr>
                <w:spacing w:val="4"/>
              </w:rPr>
              <w:t>4969.51</w:t>
            </w:r>
          </w:p>
        </w:tc>
      </w:tr>
    </w:tbl>
    <w:p>
      <w:pPr>
        <w:pStyle w:val="BodyText"/>
        <w:spacing w:line="354" w:lineRule="auto"/>
        <w:rPr/>
      </w:pPr>
      <w:r/>
    </w:p>
    <w:p>
      <w:pPr>
        <w:ind w:left="1664"/>
        <w:spacing w:before="78" w:line="221" w:lineRule="auto"/>
        <w:rPr>
          <w:rFonts w:ascii="SimHei" w:hAnsi="SimHei" w:eastAsia="SimHei" w:cs="SimHei"/>
          <w:sz w:val="24"/>
          <w:szCs w:val="24"/>
        </w:rPr>
      </w:pPr>
      <w:r>
        <w:rPr>
          <w:rFonts w:ascii="SimHei" w:hAnsi="SimHei" w:eastAsia="SimHei" w:cs="SimHei"/>
          <w:sz w:val="24"/>
          <w:szCs w:val="24"/>
          <w:spacing w:val="-1"/>
        </w:rPr>
        <w:t>露天扩大开采区域一煤层以下煤层露天开采剥采比计算表</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3-5-6</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29"/>
        <w:gridCol w:w="2519"/>
        <w:gridCol w:w="2519"/>
        <w:gridCol w:w="2523"/>
      </w:tblGrid>
      <w:tr>
        <w:trPr>
          <w:trHeight w:val="291" w:hRule="atLeast"/>
        </w:trPr>
        <w:tc>
          <w:tcPr>
            <w:tcW w:w="1729" w:type="dxa"/>
            <w:vAlign w:val="top"/>
          </w:tcPr>
          <w:p>
            <w:pPr>
              <w:ind w:left="659"/>
              <w:spacing w:before="38" w:line="224" w:lineRule="auto"/>
              <w:rPr>
                <w:rFonts w:ascii="SimSun" w:hAnsi="SimSun" w:eastAsia="SimSun" w:cs="SimSun"/>
                <w:sz w:val="20"/>
                <w:szCs w:val="20"/>
              </w:rPr>
            </w:pPr>
            <w:r>
              <w:rPr>
                <w:rFonts w:ascii="SimSun" w:hAnsi="SimSun" w:eastAsia="SimSun" w:cs="SimSun"/>
                <w:sz w:val="20"/>
                <w:szCs w:val="20"/>
                <w:spacing w:val="4"/>
              </w:rPr>
              <w:t>煤层</w:t>
            </w:r>
          </w:p>
        </w:tc>
        <w:tc>
          <w:tcPr>
            <w:tcW w:w="2519" w:type="dxa"/>
            <w:vAlign w:val="top"/>
          </w:tcPr>
          <w:p>
            <w:pPr>
              <w:ind w:left="318"/>
              <w:spacing w:before="38" w:line="224" w:lineRule="auto"/>
              <w:rPr>
                <w:rFonts w:ascii="SimSun" w:hAnsi="SimSun" w:eastAsia="SimSun" w:cs="SimSun"/>
                <w:sz w:val="20"/>
                <w:szCs w:val="20"/>
              </w:rPr>
            </w:pPr>
            <w:r>
              <w:rPr>
                <w:rFonts w:ascii="SimSun" w:hAnsi="SimSun" w:eastAsia="SimSun" w:cs="SimSun"/>
                <w:sz w:val="20"/>
                <w:szCs w:val="20"/>
                <w:spacing w:val="7"/>
              </w:rPr>
              <w:t>可采原煤量（万吨）</w:t>
            </w:r>
          </w:p>
        </w:tc>
        <w:tc>
          <w:tcPr>
            <w:tcW w:w="2519" w:type="dxa"/>
            <w:vAlign w:val="top"/>
          </w:tcPr>
          <w:p>
            <w:pPr>
              <w:ind w:left="324"/>
              <w:spacing w:before="38" w:line="224" w:lineRule="auto"/>
              <w:rPr>
                <w:rFonts w:ascii="SimSun" w:hAnsi="SimSun" w:eastAsia="SimSun" w:cs="SimSun"/>
                <w:sz w:val="20"/>
                <w:szCs w:val="20"/>
              </w:rPr>
            </w:pPr>
            <w:r>
              <w:rPr>
                <w:rFonts w:ascii="SimSun" w:hAnsi="SimSun" w:eastAsia="SimSun" w:cs="SimSun"/>
                <w:sz w:val="20"/>
                <w:szCs w:val="20"/>
                <w:spacing w:val="7"/>
              </w:rPr>
              <w:t>剥离量（万立方米）</w:t>
            </w:r>
          </w:p>
        </w:tc>
        <w:tc>
          <w:tcPr>
            <w:tcW w:w="2523" w:type="dxa"/>
            <w:vAlign w:val="top"/>
          </w:tcPr>
          <w:p>
            <w:pPr>
              <w:pStyle w:val="TableText"/>
              <w:ind w:left="570"/>
              <w:spacing w:before="38" w:line="224" w:lineRule="auto"/>
              <w:rPr>
                <w:rFonts w:ascii="SimSun" w:hAnsi="SimSun" w:eastAsia="SimSun" w:cs="SimSun"/>
              </w:rPr>
            </w:pPr>
            <w:r>
              <w:rPr>
                <w:rFonts w:ascii="SimSun" w:hAnsi="SimSun" w:eastAsia="SimSun" w:cs="SimSun"/>
                <w:spacing w:val="4"/>
              </w:rPr>
              <w:t>剥采比（</w:t>
            </w:r>
            <w:r>
              <w:rPr>
                <w:spacing w:val="4"/>
              </w:rPr>
              <w:t>m</w:t>
            </w:r>
            <w:r>
              <w:rPr>
                <w:sz w:val="13"/>
                <w:szCs w:val="13"/>
                <w:spacing w:val="4"/>
                <w:position w:val="6"/>
              </w:rPr>
              <w:t>3</w:t>
            </w:r>
            <w:r>
              <w:rPr>
                <w:spacing w:val="4"/>
              </w:rPr>
              <w:t>/t</w:t>
            </w:r>
            <w:r>
              <w:rPr>
                <w:rFonts w:ascii="SimSun" w:hAnsi="SimSun" w:eastAsia="SimSun" w:cs="SimSun"/>
                <w:spacing w:val="4"/>
              </w:rPr>
              <w:t>）</w:t>
            </w:r>
          </w:p>
        </w:tc>
      </w:tr>
      <w:tr>
        <w:trPr>
          <w:trHeight w:val="289" w:hRule="atLeast"/>
        </w:trPr>
        <w:tc>
          <w:tcPr>
            <w:tcW w:w="1729" w:type="dxa"/>
            <w:vAlign w:val="top"/>
          </w:tcPr>
          <w:p>
            <w:pPr>
              <w:ind w:left="138"/>
              <w:spacing w:before="35" w:line="225" w:lineRule="auto"/>
              <w:rPr>
                <w:rFonts w:ascii="SimSun" w:hAnsi="SimSun" w:eastAsia="SimSun" w:cs="SimSun"/>
                <w:sz w:val="20"/>
                <w:szCs w:val="20"/>
              </w:rPr>
            </w:pPr>
            <w:r>
              <w:rPr>
                <w:rFonts w:ascii="SimSun" w:hAnsi="SimSun" w:eastAsia="SimSun" w:cs="SimSun"/>
                <w:sz w:val="20"/>
                <w:szCs w:val="20"/>
                <w:spacing w:val="8"/>
              </w:rPr>
              <w:t>一煤层至一下煤</w:t>
            </w:r>
          </w:p>
        </w:tc>
        <w:tc>
          <w:tcPr>
            <w:tcW w:w="2519" w:type="dxa"/>
            <w:vAlign w:val="top"/>
          </w:tcPr>
          <w:p>
            <w:pPr>
              <w:pStyle w:val="TableText"/>
              <w:ind w:left="992"/>
              <w:spacing w:before="71" w:line="195" w:lineRule="auto"/>
              <w:rPr/>
            </w:pPr>
            <w:r>
              <w:rPr/>
              <w:t>109.67</w:t>
            </w:r>
          </w:p>
        </w:tc>
        <w:tc>
          <w:tcPr>
            <w:tcW w:w="2519" w:type="dxa"/>
            <w:vAlign w:val="top"/>
          </w:tcPr>
          <w:p>
            <w:pPr>
              <w:pStyle w:val="TableText"/>
              <w:ind w:left="978"/>
              <w:spacing w:before="71" w:line="195" w:lineRule="auto"/>
              <w:rPr/>
            </w:pPr>
            <w:r>
              <w:rPr>
                <w:spacing w:val="3"/>
              </w:rPr>
              <w:t>612.35</w:t>
            </w:r>
          </w:p>
        </w:tc>
        <w:tc>
          <w:tcPr>
            <w:tcW w:w="2523" w:type="dxa"/>
            <w:vAlign w:val="top"/>
          </w:tcPr>
          <w:p>
            <w:pPr>
              <w:pStyle w:val="TableText"/>
              <w:ind w:left="1083"/>
              <w:spacing w:before="71" w:line="195" w:lineRule="auto"/>
              <w:rPr/>
            </w:pPr>
            <w:r>
              <w:rPr>
                <w:spacing w:val="2"/>
              </w:rPr>
              <w:t>5.58</w:t>
            </w:r>
          </w:p>
        </w:tc>
      </w:tr>
      <w:tr>
        <w:trPr>
          <w:trHeight w:val="287" w:hRule="atLeast"/>
        </w:trPr>
        <w:tc>
          <w:tcPr>
            <w:tcW w:w="1729" w:type="dxa"/>
            <w:vAlign w:val="top"/>
          </w:tcPr>
          <w:p>
            <w:pPr>
              <w:pStyle w:val="TableText"/>
              <w:ind w:left="128"/>
              <w:spacing w:before="34" w:line="224" w:lineRule="auto"/>
              <w:rPr>
                <w:rFonts w:ascii="SimSun" w:hAnsi="SimSun" w:eastAsia="SimSun" w:cs="SimSun"/>
              </w:rPr>
            </w:pPr>
            <w:r>
              <w:rPr>
                <w:rFonts w:ascii="SimSun" w:hAnsi="SimSun" w:eastAsia="SimSun" w:cs="SimSun"/>
                <w:spacing w:val="6"/>
              </w:rPr>
              <w:t>一下煤至二</w:t>
            </w:r>
            <w:r>
              <w:rPr>
                <w:spacing w:val="6"/>
              </w:rPr>
              <w:t>-1 </w:t>
            </w:r>
            <w:r>
              <w:rPr>
                <w:rFonts w:ascii="SimSun" w:hAnsi="SimSun" w:eastAsia="SimSun" w:cs="SimSun"/>
                <w:spacing w:val="6"/>
              </w:rPr>
              <w:t>煤</w:t>
            </w:r>
          </w:p>
        </w:tc>
        <w:tc>
          <w:tcPr>
            <w:tcW w:w="2519" w:type="dxa"/>
            <w:vAlign w:val="top"/>
          </w:tcPr>
          <w:p>
            <w:pPr>
              <w:pStyle w:val="TableText"/>
              <w:ind w:left="1024"/>
              <w:spacing w:before="70" w:line="195" w:lineRule="auto"/>
              <w:rPr/>
            </w:pPr>
            <w:r>
              <w:rPr>
                <w:spacing w:val="3"/>
              </w:rPr>
              <w:t>92.61</w:t>
            </w:r>
          </w:p>
        </w:tc>
        <w:tc>
          <w:tcPr>
            <w:tcW w:w="2519" w:type="dxa"/>
            <w:vAlign w:val="top"/>
          </w:tcPr>
          <w:p>
            <w:pPr>
              <w:pStyle w:val="TableText"/>
              <w:ind w:left="979"/>
              <w:spacing w:before="70" w:line="195" w:lineRule="auto"/>
              <w:rPr/>
            </w:pPr>
            <w:r>
              <w:rPr>
                <w:spacing w:val="2"/>
              </w:rPr>
              <w:t>571.19</w:t>
            </w:r>
          </w:p>
        </w:tc>
        <w:tc>
          <w:tcPr>
            <w:tcW w:w="2523" w:type="dxa"/>
            <w:vAlign w:val="top"/>
          </w:tcPr>
          <w:p>
            <w:pPr>
              <w:pStyle w:val="TableText"/>
              <w:ind w:left="1082"/>
              <w:spacing w:before="70" w:line="195" w:lineRule="auto"/>
              <w:rPr/>
            </w:pPr>
            <w:r>
              <w:rPr>
                <w:spacing w:val="2"/>
              </w:rPr>
              <w:t>6.17</w:t>
            </w:r>
          </w:p>
        </w:tc>
      </w:tr>
      <w:tr>
        <w:trPr>
          <w:trHeight w:val="287" w:hRule="atLeast"/>
        </w:trPr>
        <w:tc>
          <w:tcPr>
            <w:tcW w:w="1729" w:type="dxa"/>
            <w:vAlign w:val="top"/>
          </w:tcPr>
          <w:p>
            <w:pPr>
              <w:pStyle w:val="TableText"/>
              <w:ind w:left="121"/>
              <w:spacing w:before="35" w:line="223" w:lineRule="auto"/>
              <w:rPr>
                <w:rFonts w:ascii="SimSun" w:hAnsi="SimSun" w:eastAsia="SimSun" w:cs="SimSun"/>
              </w:rPr>
            </w:pPr>
            <w:r>
              <w:rPr>
                <w:rFonts w:ascii="SimSun" w:hAnsi="SimSun" w:eastAsia="SimSun" w:cs="SimSun"/>
                <w:spacing w:val="4"/>
              </w:rPr>
              <w:t>二</w:t>
            </w:r>
            <w:r>
              <w:rPr>
                <w:spacing w:val="4"/>
              </w:rPr>
              <w:t>-1 </w:t>
            </w:r>
            <w:r>
              <w:rPr>
                <w:rFonts w:ascii="SimSun" w:hAnsi="SimSun" w:eastAsia="SimSun" w:cs="SimSun"/>
                <w:spacing w:val="4"/>
              </w:rPr>
              <w:t>煤至二</w:t>
            </w:r>
            <w:r>
              <w:rPr>
                <w:spacing w:val="4"/>
              </w:rPr>
              <w:t>-2</w:t>
            </w:r>
            <w:r>
              <w:rPr>
                <w:spacing w:val="14"/>
                <w:w w:val="101"/>
              </w:rPr>
              <w:t xml:space="preserve"> </w:t>
            </w:r>
            <w:r>
              <w:rPr>
                <w:rFonts w:ascii="SimSun" w:hAnsi="SimSun" w:eastAsia="SimSun" w:cs="SimSun"/>
                <w:spacing w:val="4"/>
              </w:rPr>
              <w:t>煤</w:t>
            </w:r>
          </w:p>
        </w:tc>
        <w:tc>
          <w:tcPr>
            <w:tcW w:w="2519" w:type="dxa"/>
            <w:vAlign w:val="top"/>
          </w:tcPr>
          <w:p>
            <w:pPr>
              <w:pStyle w:val="TableText"/>
              <w:ind w:left="1024"/>
              <w:spacing w:before="70" w:line="195" w:lineRule="auto"/>
              <w:rPr/>
            </w:pPr>
            <w:r>
              <w:rPr>
                <w:spacing w:val="3"/>
              </w:rPr>
              <w:t>79.28</w:t>
            </w:r>
          </w:p>
        </w:tc>
        <w:tc>
          <w:tcPr>
            <w:tcW w:w="2519" w:type="dxa"/>
            <w:vAlign w:val="top"/>
          </w:tcPr>
          <w:p>
            <w:pPr>
              <w:pStyle w:val="TableText"/>
              <w:ind w:left="972"/>
              <w:spacing w:before="70" w:line="195" w:lineRule="auto"/>
              <w:rPr/>
            </w:pPr>
            <w:r>
              <w:rPr>
                <w:spacing w:val="3"/>
              </w:rPr>
              <w:t>422.37</w:t>
            </w:r>
          </w:p>
        </w:tc>
        <w:tc>
          <w:tcPr>
            <w:tcW w:w="2523" w:type="dxa"/>
            <w:vAlign w:val="top"/>
          </w:tcPr>
          <w:p>
            <w:pPr>
              <w:pStyle w:val="TableText"/>
              <w:ind w:left="1083"/>
              <w:spacing w:before="70" w:line="195" w:lineRule="auto"/>
              <w:rPr/>
            </w:pPr>
            <w:r>
              <w:rPr>
                <w:spacing w:val="2"/>
              </w:rPr>
              <w:t>5.33</w:t>
            </w:r>
          </w:p>
        </w:tc>
      </w:tr>
      <w:tr>
        <w:trPr>
          <w:trHeight w:val="291" w:hRule="atLeast"/>
        </w:trPr>
        <w:tc>
          <w:tcPr>
            <w:tcW w:w="1729" w:type="dxa"/>
            <w:vAlign w:val="top"/>
          </w:tcPr>
          <w:p>
            <w:pPr>
              <w:ind w:left="663"/>
              <w:spacing w:before="38" w:line="224" w:lineRule="auto"/>
              <w:rPr>
                <w:rFonts w:ascii="SimSun" w:hAnsi="SimSun" w:eastAsia="SimSun" w:cs="SimSun"/>
                <w:sz w:val="20"/>
                <w:szCs w:val="20"/>
              </w:rPr>
            </w:pPr>
            <w:r>
              <w:rPr>
                <w:rFonts w:ascii="SimSun" w:hAnsi="SimSun" w:eastAsia="SimSun" w:cs="SimSun"/>
                <w:sz w:val="20"/>
                <w:szCs w:val="20"/>
                <w:spacing w:val="2"/>
              </w:rPr>
              <w:t>总计</w:t>
            </w:r>
          </w:p>
        </w:tc>
        <w:tc>
          <w:tcPr>
            <w:tcW w:w="2519" w:type="dxa"/>
            <w:vAlign w:val="top"/>
          </w:tcPr>
          <w:p>
            <w:pPr>
              <w:pStyle w:val="TableText"/>
              <w:ind w:left="972"/>
              <w:spacing w:before="74" w:line="195" w:lineRule="auto"/>
              <w:rPr/>
            </w:pPr>
            <w:r>
              <w:rPr>
                <w:spacing w:val="3"/>
              </w:rPr>
              <w:t>281.56</w:t>
            </w:r>
          </w:p>
        </w:tc>
        <w:tc>
          <w:tcPr>
            <w:tcW w:w="2519" w:type="dxa"/>
            <w:vAlign w:val="top"/>
          </w:tcPr>
          <w:p>
            <w:pPr>
              <w:pStyle w:val="TableText"/>
              <w:ind w:left="941"/>
              <w:spacing w:before="74" w:line="195" w:lineRule="auto"/>
              <w:rPr/>
            </w:pPr>
            <w:r>
              <w:rPr>
                <w:spacing w:val="1"/>
              </w:rPr>
              <w:t>1605.91</w:t>
            </w:r>
          </w:p>
        </w:tc>
        <w:tc>
          <w:tcPr>
            <w:tcW w:w="2523" w:type="dxa"/>
            <w:vAlign w:val="top"/>
          </w:tcPr>
          <w:p>
            <w:pPr>
              <w:pStyle w:val="TableText"/>
              <w:ind w:left="1083"/>
              <w:spacing w:before="74" w:line="195" w:lineRule="auto"/>
              <w:rPr/>
            </w:pPr>
            <w:r>
              <w:rPr>
                <w:spacing w:val="2"/>
              </w:rPr>
              <w:t>5.70</w:t>
            </w:r>
          </w:p>
        </w:tc>
      </w:tr>
    </w:tbl>
    <w:p>
      <w:pPr>
        <w:pStyle w:val="BodyText"/>
        <w:spacing w:line="290" w:lineRule="auto"/>
        <w:rPr/>
      </w:pPr>
      <w:r/>
    </w:p>
    <w:p>
      <w:pPr>
        <w:pStyle w:val="BodyText"/>
        <w:spacing w:line="291" w:lineRule="auto"/>
        <w:rPr/>
      </w:pPr>
      <w:r/>
    </w:p>
    <w:p>
      <w:pPr>
        <w:ind w:left="114"/>
        <w:spacing w:before="91" w:line="224" w:lineRule="auto"/>
        <w:rPr>
          <w:rFonts w:ascii="SimHei" w:hAnsi="SimHei" w:eastAsia="SimHei" w:cs="SimHei"/>
          <w:sz w:val="28"/>
          <w:szCs w:val="28"/>
        </w:rPr>
      </w:pPr>
      <w:r>
        <w:rPr>
          <w:rFonts w:ascii="Times New Roman" w:hAnsi="Times New Roman" w:eastAsia="Times New Roman" w:cs="Times New Roman"/>
          <w:sz w:val="28"/>
          <w:szCs w:val="28"/>
          <w:b/>
          <w:bCs/>
          <w:spacing w:val="-2"/>
        </w:rPr>
        <w:t>3.5.5  </w:t>
      </w:r>
      <w:r>
        <w:rPr>
          <w:rFonts w:ascii="SimHei" w:hAnsi="SimHei" w:eastAsia="SimHei" w:cs="SimHei"/>
          <w:sz w:val="28"/>
          <w:szCs w:val="28"/>
          <w:b/>
          <w:bCs/>
          <w:spacing w:val="-2"/>
        </w:rPr>
        <w:t>总平面布置</w:t>
      </w:r>
    </w:p>
    <w:p>
      <w:pPr>
        <w:ind w:left="147" w:right="112" w:firstLine="451"/>
        <w:spacing w:before="167" w:line="339" w:lineRule="auto"/>
        <w:rPr>
          <w:rFonts w:ascii="SimSun" w:hAnsi="SimSun" w:eastAsia="SimSun" w:cs="SimSun"/>
          <w:sz w:val="24"/>
          <w:szCs w:val="24"/>
        </w:rPr>
      </w:pPr>
      <w:r>
        <w:rPr>
          <w:rFonts w:ascii="SimSun" w:hAnsi="SimSun" w:eastAsia="SimSun" w:cs="SimSun"/>
          <w:sz w:val="24"/>
          <w:szCs w:val="24"/>
          <w:spacing w:val="-2"/>
        </w:rPr>
        <w:t>地面总布置主要包括地面生产系统（位于井工区工业场地东北侧）、场外道路、输</w:t>
      </w:r>
      <w:r>
        <w:rPr>
          <w:rFonts w:ascii="SimSun" w:hAnsi="SimSun" w:eastAsia="SimSun" w:cs="SimSun"/>
          <w:sz w:val="24"/>
          <w:szCs w:val="24"/>
          <w:spacing w:val="-1"/>
        </w:rPr>
        <w:t>电线路、露天区工业场地、矿井（坑）水处理站、加油站、露天采掘场及排</w:t>
      </w:r>
      <w:r>
        <w:rPr>
          <w:rFonts w:ascii="SimSun" w:hAnsi="SimSun" w:eastAsia="SimSun" w:cs="SimSun"/>
          <w:sz w:val="24"/>
          <w:szCs w:val="24"/>
          <w:spacing w:val="-2"/>
        </w:rPr>
        <w:t>土场。</w:t>
      </w:r>
    </w:p>
    <w:p>
      <w:pPr>
        <w:ind w:left="120" w:right="118" w:firstLine="480"/>
        <w:spacing w:before="3" w:line="337" w:lineRule="auto"/>
        <w:rPr>
          <w:rFonts w:ascii="SimSun" w:hAnsi="SimSun" w:eastAsia="SimSun" w:cs="SimSun"/>
          <w:sz w:val="24"/>
          <w:szCs w:val="24"/>
        </w:rPr>
      </w:pPr>
      <w:r>
        <w:rPr>
          <w:rFonts w:ascii="SimSun" w:hAnsi="SimSun" w:eastAsia="SimSun" w:cs="SimSun"/>
          <w:sz w:val="24"/>
          <w:szCs w:val="24"/>
        </w:rPr>
        <w:t>其中露天采掘场范围发生调整、本次改建工程仅设</w:t>
      </w:r>
      <w:r>
        <w:rPr>
          <w:rFonts w:ascii="SimSun" w:hAnsi="SimSun" w:eastAsia="SimSun" w:cs="SimSun"/>
          <w:sz w:val="24"/>
          <w:szCs w:val="24"/>
          <w:spacing w:val="-1"/>
        </w:rPr>
        <w:t>内排土场（在现有采掘场内</w:t>
      </w:r>
      <w:r>
        <w:rPr>
          <w:rFonts w:ascii="SimSun" w:hAnsi="SimSun" w:eastAsia="SimSun" w:cs="SimSun"/>
          <w:sz w:val="24"/>
          <w:szCs w:val="24"/>
          <w:spacing w:val="-27"/>
        </w:rPr>
        <w:t>），</w:t>
      </w:r>
      <w:r>
        <w:rPr>
          <w:rFonts w:ascii="SimSun" w:hAnsi="SimSun" w:eastAsia="SimSun" w:cs="SimSun"/>
          <w:sz w:val="24"/>
          <w:szCs w:val="24"/>
          <w:spacing w:val="-1"/>
        </w:rPr>
        <w:t>其他均依托现有工业场地。</w:t>
      </w:r>
    </w:p>
    <w:p>
      <w:pPr>
        <w:ind w:left="606"/>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）露天区工业场地</w:t>
      </w:r>
    </w:p>
    <w:p>
      <w:pPr>
        <w:spacing w:line="220" w:lineRule="auto"/>
        <w:sectPr>
          <w:headerReference w:type="default" r:id="rId97"/>
          <w:footerReference w:type="default" r:id="rId201"/>
          <w:pgSz w:w="11906" w:h="16838"/>
          <w:pgMar w:top="1170" w:right="1304" w:bottom="1080" w:left="1305" w:header="837" w:footer="918" w:gutter="0"/>
        </w:sectPr>
        <w:rPr>
          <w:rFonts w:ascii="SimSun" w:hAnsi="SimSun" w:eastAsia="SimSun" w:cs="SimSun"/>
          <w:sz w:val="24"/>
          <w:szCs w:val="24"/>
        </w:rPr>
      </w:pPr>
    </w:p>
    <w:p>
      <w:pPr>
        <w:pStyle w:val="BodyText"/>
        <w:spacing w:line="314" w:lineRule="auto"/>
        <w:rPr/>
      </w:pPr>
      <w:r/>
    </w:p>
    <w:p>
      <w:pPr>
        <w:ind w:left="13" w:firstLine="481"/>
        <w:spacing w:before="78" w:line="338" w:lineRule="auto"/>
        <w:jc w:val="both"/>
        <w:rPr>
          <w:rFonts w:ascii="SimSun" w:hAnsi="SimSun" w:eastAsia="SimSun" w:cs="SimSun"/>
          <w:sz w:val="24"/>
          <w:szCs w:val="24"/>
        </w:rPr>
      </w:pPr>
      <w:r>
        <w:rPr>
          <w:rFonts w:ascii="SimSun" w:hAnsi="SimSun" w:eastAsia="SimSun" w:cs="SimSun"/>
          <w:sz w:val="24"/>
          <w:szCs w:val="24"/>
          <w:spacing w:val="-1"/>
        </w:rPr>
        <w:t>露天区工业场地利用现有工业场地，位于露天外排土场东侧约</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500m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处，设</w:t>
      </w:r>
      <w:r>
        <w:rPr>
          <w:rFonts w:ascii="SimSun" w:hAnsi="SimSun" w:eastAsia="SimSun" w:cs="SimSun"/>
          <w:sz w:val="24"/>
          <w:szCs w:val="24"/>
          <w:spacing w:val="-2"/>
        </w:rPr>
        <w:t>有大型</w:t>
      </w:r>
      <w:r>
        <w:rPr>
          <w:rFonts w:ascii="SimSun" w:hAnsi="SimSun" w:eastAsia="SimSun" w:cs="SimSun"/>
          <w:sz w:val="24"/>
          <w:szCs w:val="24"/>
          <w:spacing w:val="-3"/>
        </w:rPr>
        <w:t>设备组装场地、机修、车库区、行政生活区等，工业场地总占地面积</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26.01hm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8"/>
          <w:position w:val="8"/>
        </w:rPr>
        <w:t xml:space="preserve"> </w:t>
      </w:r>
      <w:r>
        <w:rPr>
          <w:rFonts w:ascii="SimSun" w:hAnsi="SimSun" w:eastAsia="SimSun" w:cs="SimSun"/>
          <w:sz w:val="24"/>
          <w:szCs w:val="24"/>
          <w:spacing w:val="-3"/>
        </w:rPr>
        <w:t>。该场地</w:t>
      </w:r>
      <w:r>
        <w:rPr>
          <w:rFonts w:ascii="SimSun" w:hAnsi="SimSun" w:eastAsia="SimSun" w:cs="SimSun"/>
          <w:sz w:val="24"/>
          <w:szCs w:val="24"/>
          <w:spacing w:val="-2"/>
        </w:rPr>
        <w:t>同时作为井工区生产生活区。</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）地面生产系统</w:t>
      </w:r>
    </w:p>
    <w:p>
      <w:pPr>
        <w:ind w:left="495"/>
        <w:spacing w:before="155" w:line="219" w:lineRule="auto"/>
        <w:rPr>
          <w:rFonts w:ascii="SimSun" w:hAnsi="SimSun" w:eastAsia="SimSun" w:cs="SimSun"/>
          <w:sz w:val="24"/>
          <w:szCs w:val="24"/>
        </w:rPr>
      </w:pPr>
      <w:r>
        <w:rPr>
          <w:rFonts w:ascii="SimSun" w:hAnsi="SimSun" w:eastAsia="SimSun" w:cs="SimSun"/>
          <w:sz w:val="24"/>
          <w:szCs w:val="24"/>
          <w:spacing w:val="-1"/>
        </w:rPr>
        <w:t>原煤经过带式输送机至风选车间，经风选车间加工后产品煤送往金山电厂。</w:t>
      </w:r>
    </w:p>
    <w:p>
      <w:pPr>
        <w:ind w:left="495"/>
        <w:spacing w:before="15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）矿井（坑）水处理站</w:t>
      </w:r>
    </w:p>
    <w:p>
      <w:pPr>
        <w:ind w:left="11" w:firstLine="477"/>
        <w:spacing w:before="155" w:line="340" w:lineRule="auto"/>
        <w:rPr>
          <w:rFonts w:ascii="SimSun" w:hAnsi="SimSun" w:eastAsia="SimSun" w:cs="SimSun"/>
          <w:sz w:val="24"/>
          <w:szCs w:val="24"/>
        </w:rPr>
      </w:pPr>
      <w:r>
        <w:rPr>
          <w:rFonts w:ascii="SimSun" w:hAnsi="SimSun" w:eastAsia="SimSun" w:cs="SimSun"/>
          <w:sz w:val="24"/>
          <w:szCs w:val="24"/>
          <w:spacing w:val="2"/>
        </w:rPr>
        <w:t>矿井（坑）水处理站位于露天区工业场地西北侧约</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1.5</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2"/>
        </w:rPr>
        <w:t>处，布置</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座处理规模</w:t>
      </w:r>
      <w:r>
        <w:rPr>
          <w:rFonts w:ascii="Times New Roman" w:hAnsi="Times New Roman" w:eastAsia="Times New Roman" w:cs="Times New Roman"/>
          <w:sz w:val="24"/>
          <w:szCs w:val="24"/>
          <w:spacing w:val="-3"/>
        </w:rPr>
        <w:t>18000m</w:t>
      </w:r>
      <w:r>
        <w:rPr>
          <w:rFonts w:ascii="Times New Roman" w:hAnsi="Times New Roman" w:eastAsia="Times New Roman" w:cs="Times New Roman"/>
          <w:sz w:val="15"/>
          <w:szCs w:val="15"/>
          <w:spacing w:val="-3"/>
          <w:position w:val="8"/>
        </w:rPr>
        <w:t>3</w:t>
      </w:r>
      <w:r>
        <w:rPr>
          <w:rFonts w:ascii="Times New Roman" w:hAnsi="Times New Roman" w:eastAsia="Times New Roman" w:cs="Times New Roman"/>
          <w:sz w:val="24"/>
          <w:szCs w:val="24"/>
          <w:spacing w:val="-3"/>
        </w:rPr>
        <w:t>/d</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3"/>
        </w:rPr>
        <w:t>的矿井（坑）水处理站及</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座处理规模</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8640</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的矿井（坑）水处理站（备</w:t>
      </w:r>
      <w:r>
        <w:rPr>
          <w:rFonts w:ascii="SimSun" w:hAnsi="SimSun" w:eastAsia="SimSun" w:cs="SimSun"/>
          <w:sz w:val="24"/>
          <w:szCs w:val="24"/>
          <w:spacing w:val="-7"/>
        </w:rPr>
        <w:t>用</w:t>
      </w:r>
      <w:r>
        <w:rPr>
          <w:rFonts w:ascii="SimSun" w:hAnsi="SimSun" w:eastAsia="SimSun" w:cs="SimSun"/>
          <w:sz w:val="24"/>
          <w:szCs w:val="24"/>
          <w:spacing w:val="4"/>
        </w:rPr>
        <w:t>），</w:t>
      </w:r>
      <w:r>
        <w:rPr>
          <w:rFonts w:ascii="SimSun" w:hAnsi="SimSun" w:eastAsia="SimSun" w:cs="SimSun"/>
          <w:sz w:val="24"/>
          <w:szCs w:val="24"/>
          <w:spacing w:val="-70"/>
        </w:rPr>
        <w:t xml:space="preserve"> </w:t>
      </w:r>
      <w:r>
        <w:rPr>
          <w:rFonts w:ascii="SimSun" w:hAnsi="SimSun" w:eastAsia="SimSun" w:cs="SimSun"/>
          <w:sz w:val="24"/>
          <w:szCs w:val="24"/>
          <w:spacing w:val="-7"/>
        </w:rPr>
        <w:t>占地面积约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9hm</w:t>
      </w:r>
      <w:r>
        <w:rPr>
          <w:rFonts w:ascii="Times New Roman" w:hAnsi="Times New Roman" w:eastAsia="Times New Roman" w:cs="Times New Roman"/>
          <w:sz w:val="15"/>
          <w:szCs w:val="15"/>
          <w:spacing w:val="-7"/>
          <w:position w:val="7"/>
        </w:rPr>
        <w:t>2</w:t>
      </w:r>
      <w:r>
        <w:rPr>
          <w:rFonts w:ascii="SimSun" w:hAnsi="SimSun" w:eastAsia="SimSun" w:cs="SimSun"/>
          <w:sz w:val="24"/>
          <w:szCs w:val="24"/>
          <w:spacing w:val="-7"/>
        </w:rPr>
        <w:t>。</w:t>
      </w:r>
    </w:p>
    <w:p>
      <w:pPr>
        <w:ind w:left="495"/>
        <w:spacing w:before="12"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）场外道路</w:t>
      </w:r>
    </w:p>
    <w:p>
      <w:pPr>
        <w:ind w:left="7" w:right="2" w:firstLine="482"/>
        <w:spacing w:before="155" w:line="331" w:lineRule="auto"/>
        <w:rPr>
          <w:rFonts w:ascii="SimSun" w:hAnsi="SimSun" w:eastAsia="SimSun" w:cs="SimSun"/>
          <w:sz w:val="24"/>
          <w:szCs w:val="24"/>
        </w:rPr>
      </w:pPr>
      <w:r>
        <w:rPr>
          <w:rFonts w:ascii="SimSun" w:hAnsi="SimSun" w:eastAsia="SimSun" w:cs="SimSun"/>
          <w:sz w:val="24"/>
          <w:szCs w:val="24"/>
        </w:rPr>
        <w:t>本项目设置</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3 </w:t>
      </w:r>
      <w:r>
        <w:rPr>
          <w:rFonts w:ascii="SimSun" w:hAnsi="SimSun" w:eastAsia="SimSun" w:cs="SimSun"/>
          <w:sz w:val="24"/>
          <w:szCs w:val="24"/>
        </w:rPr>
        <w:t>条场外道路，分别是露天区工业场地南部出口道</w:t>
      </w:r>
      <w:r>
        <w:rPr>
          <w:rFonts w:ascii="SimSun" w:hAnsi="SimSun" w:eastAsia="SimSun" w:cs="SimSun"/>
          <w:sz w:val="24"/>
          <w:szCs w:val="24"/>
          <w:spacing w:val="-1"/>
        </w:rPr>
        <w:t>路</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248m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，露天矿北</w:t>
      </w:r>
      <w:r>
        <w:rPr>
          <w:rFonts w:ascii="SimSun" w:hAnsi="SimSun" w:eastAsia="SimSun" w:cs="SimSun"/>
          <w:sz w:val="24"/>
          <w:szCs w:val="24"/>
          <w:spacing w:val="-2"/>
        </w:rPr>
        <w:t>侧与外部联络道路</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，工业场地外支线</w:t>
      </w:r>
      <w:r>
        <w:rPr>
          <w:rFonts w:ascii="SimSun" w:hAnsi="SimSun" w:eastAsia="SimSun" w:cs="SimSun"/>
          <w:sz w:val="24"/>
          <w:szCs w:val="24"/>
          <w:spacing w:val="-3"/>
        </w:rPr>
        <w:t>道路</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530m</w:t>
      </w:r>
      <w:r>
        <w:rPr>
          <w:rFonts w:ascii="SimSun" w:hAnsi="SimSun" w:eastAsia="SimSun" w:cs="SimSun"/>
          <w:sz w:val="24"/>
          <w:szCs w:val="24"/>
          <w:spacing w:val="-3"/>
        </w:rPr>
        <w:t>。</w:t>
      </w:r>
    </w:p>
    <w:p>
      <w:pPr>
        <w:ind w:left="495"/>
        <w:spacing w:before="1"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5</w:t>
      </w:r>
      <w:r>
        <w:rPr>
          <w:rFonts w:ascii="SimSun" w:hAnsi="SimSun" w:eastAsia="SimSun" w:cs="SimSun"/>
          <w:sz w:val="24"/>
          <w:szCs w:val="24"/>
          <w:spacing w:val="-3"/>
        </w:rPr>
        <w:t>）采掘场</w:t>
      </w:r>
    </w:p>
    <w:p>
      <w:pPr>
        <w:ind w:left="12" w:firstLine="482"/>
        <w:spacing w:before="157" w:line="338" w:lineRule="auto"/>
        <w:rPr>
          <w:rFonts w:ascii="SimSun" w:hAnsi="SimSun" w:eastAsia="SimSun" w:cs="SimSun"/>
          <w:sz w:val="24"/>
          <w:szCs w:val="24"/>
        </w:rPr>
      </w:pPr>
      <w:r>
        <w:rPr>
          <w:rFonts w:ascii="SimSun" w:hAnsi="SimSun" w:eastAsia="SimSun" w:cs="SimSun"/>
          <w:sz w:val="24"/>
          <w:szCs w:val="24"/>
          <w:spacing w:val="-2"/>
        </w:rPr>
        <w:t>露天区划分为一个采区，采掘场位于矿田东南部，目前已开采至中东部，主要开采</w:t>
      </w:r>
      <w:r>
        <w:rPr>
          <w:rFonts w:ascii="SimSun" w:hAnsi="SimSun" w:eastAsia="SimSun" w:cs="SimSun"/>
          <w:sz w:val="24"/>
          <w:szCs w:val="24"/>
        </w:rPr>
        <w:t>工艺为单斗</w:t>
      </w:r>
      <w:r>
        <w:rPr>
          <w:rFonts w:ascii="Times New Roman" w:hAnsi="Times New Roman" w:eastAsia="Times New Roman" w:cs="Times New Roman"/>
          <w:sz w:val="24"/>
          <w:szCs w:val="24"/>
        </w:rPr>
        <w:t>—</w:t>
      </w:r>
      <w:r>
        <w:rPr>
          <w:rFonts w:ascii="SimSun" w:hAnsi="SimSun" w:eastAsia="SimSun" w:cs="SimSun"/>
          <w:sz w:val="24"/>
          <w:szCs w:val="24"/>
        </w:rPr>
        <w:t>卡车、单斗</w:t>
      </w:r>
      <w:r>
        <w:rPr>
          <w:rFonts w:ascii="Times New Roman" w:hAnsi="Times New Roman" w:eastAsia="Times New Roman" w:cs="Times New Roman"/>
          <w:sz w:val="24"/>
          <w:szCs w:val="24"/>
        </w:rPr>
        <w:t>—</w:t>
      </w:r>
      <w:r>
        <w:rPr>
          <w:rFonts w:ascii="SimSun" w:hAnsi="SimSun" w:eastAsia="SimSun" w:cs="SimSun"/>
          <w:sz w:val="24"/>
          <w:szCs w:val="24"/>
        </w:rPr>
        <w:t>卡车</w:t>
      </w:r>
      <w:r>
        <w:rPr>
          <w:rFonts w:ascii="Times New Roman" w:hAnsi="Times New Roman" w:eastAsia="Times New Roman" w:cs="Times New Roman"/>
          <w:sz w:val="24"/>
          <w:szCs w:val="24"/>
        </w:rPr>
        <w:t>—</w:t>
      </w:r>
      <w:r>
        <w:rPr>
          <w:rFonts w:ascii="SimSun" w:hAnsi="SimSun" w:eastAsia="SimSun" w:cs="SimSun"/>
          <w:sz w:val="24"/>
          <w:szCs w:val="24"/>
        </w:rPr>
        <w:t>半移动破</w:t>
      </w:r>
      <w:r>
        <w:rPr>
          <w:rFonts w:ascii="SimSun" w:hAnsi="SimSun" w:eastAsia="SimSun" w:cs="SimSun"/>
          <w:sz w:val="24"/>
          <w:szCs w:val="24"/>
          <w:spacing w:val="-1"/>
        </w:rPr>
        <w:t>碎机</w:t>
      </w:r>
      <w:r>
        <w:rPr>
          <w:rFonts w:ascii="Times New Roman" w:hAnsi="Times New Roman" w:eastAsia="Times New Roman" w:cs="Times New Roman"/>
          <w:sz w:val="24"/>
          <w:szCs w:val="24"/>
          <w:spacing w:val="-1"/>
        </w:rPr>
        <w:t>—</w:t>
      </w:r>
      <w:r>
        <w:rPr>
          <w:rFonts w:ascii="SimSun" w:hAnsi="SimSun" w:eastAsia="SimSun" w:cs="SimSun"/>
          <w:sz w:val="24"/>
          <w:szCs w:val="24"/>
          <w:spacing w:val="-1"/>
        </w:rPr>
        <w:t>胶带运输机半连续工艺。</w:t>
      </w:r>
    </w:p>
    <w:p>
      <w:pPr>
        <w:ind w:left="495"/>
        <w:spacing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6</w:t>
      </w:r>
      <w:r>
        <w:rPr>
          <w:rFonts w:ascii="SimSun" w:hAnsi="SimSun" w:eastAsia="SimSun" w:cs="SimSun"/>
          <w:sz w:val="24"/>
          <w:szCs w:val="24"/>
          <w:spacing w:val="-3"/>
        </w:rPr>
        <w:t>）排土场</w:t>
      </w:r>
    </w:p>
    <w:p>
      <w:pPr>
        <w:ind w:left="7" w:right="4" w:firstLine="482"/>
        <w:spacing w:before="157" w:line="338" w:lineRule="auto"/>
        <w:rPr>
          <w:rFonts w:ascii="SimSun" w:hAnsi="SimSun" w:eastAsia="SimSun" w:cs="SimSun"/>
          <w:sz w:val="24"/>
          <w:szCs w:val="24"/>
        </w:rPr>
      </w:pPr>
      <w:r>
        <w:rPr>
          <w:rFonts w:ascii="SimSun" w:hAnsi="SimSun" w:eastAsia="SimSun" w:cs="SimSun"/>
          <w:sz w:val="24"/>
          <w:szCs w:val="24"/>
          <w:spacing w:val="1"/>
        </w:rPr>
        <w:t>本矿含</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座内排土场和</w:t>
      </w:r>
      <w:r>
        <w:rPr>
          <w:rFonts w:ascii="Times New Roman" w:hAnsi="Times New Roman" w:eastAsia="Times New Roman" w:cs="Times New Roman"/>
          <w:sz w:val="24"/>
          <w:szCs w:val="24"/>
          <w:spacing w:val="1"/>
        </w:rPr>
        <w:t>2 </w:t>
      </w:r>
      <w:r>
        <w:rPr>
          <w:rFonts w:ascii="SimSun" w:hAnsi="SimSun" w:eastAsia="SimSun" w:cs="SimSun"/>
          <w:sz w:val="24"/>
          <w:szCs w:val="24"/>
          <w:spacing w:val="1"/>
        </w:rPr>
        <w:t>座外排土场。内排土场位于采区</w:t>
      </w:r>
      <w:r>
        <w:rPr>
          <w:rFonts w:ascii="SimSun" w:hAnsi="SimSun" w:eastAsia="SimSun" w:cs="SimSun"/>
          <w:sz w:val="24"/>
          <w:szCs w:val="24"/>
        </w:rPr>
        <w:t>的南部。</w:t>
      </w:r>
      <w:r>
        <w:rPr>
          <w:rFonts w:ascii="Times New Roman" w:hAnsi="Times New Roman" w:eastAsia="Times New Roman" w:cs="Times New Roman"/>
          <w:sz w:val="24"/>
          <w:szCs w:val="24"/>
        </w:rPr>
        <w:t>2 </w:t>
      </w:r>
      <w:r>
        <w:rPr>
          <w:rFonts w:ascii="SimSun" w:hAnsi="SimSun" w:eastAsia="SimSun" w:cs="SimSun"/>
          <w:sz w:val="24"/>
          <w:szCs w:val="24"/>
        </w:rPr>
        <w:t>个外排土场，</w:t>
      </w:r>
      <w:r>
        <w:rPr>
          <w:rFonts w:ascii="SimSun" w:hAnsi="SimSun" w:eastAsia="SimSun" w:cs="SimSun"/>
          <w:sz w:val="24"/>
          <w:szCs w:val="24"/>
          <w:spacing w:val="-2"/>
        </w:rPr>
        <w:t>即：东一号外排土场及东二号外排土场，均位于露天矿采掘场东侧，现已经停止排弃，</w:t>
      </w:r>
      <w:r>
        <w:rPr>
          <w:rFonts w:ascii="SimSun" w:hAnsi="SimSun" w:eastAsia="SimSun" w:cs="SimSun"/>
          <w:sz w:val="24"/>
          <w:szCs w:val="24"/>
          <w:spacing w:val="-2"/>
        </w:rPr>
        <w:t>进入全内排时期，东一排土场最终排弃高度</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60m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SimSun" w:hAnsi="SimSun" w:eastAsia="SimSun" w:cs="SimSun"/>
          <w:sz w:val="24"/>
          <w:szCs w:val="24"/>
          <w:spacing w:val="-71"/>
        </w:rPr>
        <w:t xml:space="preserve"> </w:t>
      </w:r>
      <w:r>
        <w:rPr>
          <w:rFonts w:ascii="SimSun" w:hAnsi="SimSun" w:eastAsia="SimSun" w:cs="SimSun"/>
          <w:sz w:val="24"/>
          <w:szCs w:val="24"/>
          <w:spacing w:val="-2"/>
        </w:rPr>
        <w:t>占地面积约为</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2"/>
        </w:rPr>
        <w:t>144hm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；东二排土场</w:t>
      </w:r>
      <w:r>
        <w:rPr>
          <w:rFonts w:ascii="SimSun" w:hAnsi="SimSun" w:eastAsia="SimSun" w:cs="SimSun"/>
          <w:sz w:val="24"/>
          <w:szCs w:val="24"/>
          <w:spacing w:val="-6"/>
        </w:rPr>
        <w:t>最终排弃高度</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6"/>
        </w:rPr>
        <w:t>90m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w:t>
      </w:r>
      <w:r>
        <w:rPr>
          <w:rFonts w:ascii="SimSun" w:hAnsi="SimSun" w:eastAsia="SimSun" w:cs="SimSun"/>
          <w:sz w:val="24"/>
          <w:szCs w:val="24"/>
          <w:spacing w:val="-72"/>
        </w:rPr>
        <w:t xml:space="preserve"> </w:t>
      </w:r>
      <w:r>
        <w:rPr>
          <w:rFonts w:ascii="SimSun" w:hAnsi="SimSun" w:eastAsia="SimSun" w:cs="SimSun"/>
          <w:sz w:val="24"/>
          <w:szCs w:val="24"/>
          <w:spacing w:val="-6"/>
        </w:rPr>
        <w:t>占地面积约为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6"/>
        </w:rPr>
        <w:t>114hm</w:t>
      </w:r>
      <w:r>
        <w:rPr>
          <w:rFonts w:ascii="Times New Roman" w:hAnsi="Times New Roman" w:eastAsia="Times New Roman" w:cs="Times New Roman"/>
          <w:sz w:val="15"/>
          <w:szCs w:val="15"/>
          <w:spacing w:val="-6"/>
          <w:position w:val="8"/>
        </w:rPr>
        <w:t>2</w:t>
      </w:r>
      <w:r>
        <w:rPr>
          <w:rFonts w:ascii="SimSun" w:hAnsi="SimSun" w:eastAsia="SimSun" w:cs="SimSun"/>
          <w:sz w:val="24"/>
          <w:szCs w:val="24"/>
          <w:spacing w:val="-6"/>
        </w:rPr>
        <w:t>。</w:t>
      </w:r>
    </w:p>
    <w:p>
      <w:pPr>
        <w:ind w:left="495"/>
        <w:spacing w:before="1" w:line="222"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7</w:t>
      </w:r>
      <w:r>
        <w:rPr>
          <w:rFonts w:ascii="SimSun" w:hAnsi="SimSun" w:eastAsia="SimSun" w:cs="SimSun"/>
          <w:sz w:val="24"/>
          <w:szCs w:val="24"/>
          <w:spacing w:val="-3"/>
        </w:rPr>
        <w:t>）加油站</w:t>
      </w:r>
    </w:p>
    <w:p>
      <w:pPr>
        <w:ind w:left="495"/>
        <w:spacing w:before="150" w:line="219" w:lineRule="auto"/>
        <w:rPr>
          <w:rFonts w:ascii="SimSun" w:hAnsi="SimSun" w:eastAsia="SimSun" w:cs="SimSun"/>
          <w:sz w:val="24"/>
          <w:szCs w:val="24"/>
        </w:rPr>
      </w:pPr>
      <w:r>
        <w:rPr>
          <w:rFonts w:ascii="SimSun" w:hAnsi="SimSun" w:eastAsia="SimSun" w:cs="SimSun"/>
          <w:sz w:val="24"/>
          <w:szCs w:val="24"/>
          <w:spacing w:val="-2"/>
        </w:rPr>
        <w:t>露天区现有加油站位于工业场地北侧入口处，</w:t>
      </w:r>
      <w:r>
        <w:rPr>
          <w:rFonts w:ascii="SimSun" w:hAnsi="SimSun" w:eastAsia="SimSun" w:cs="SimSun"/>
          <w:sz w:val="24"/>
          <w:szCs w:val="24"/>
          <w:spacing w:val="-71"/>
        </w:rPr>
        <w:t xml:space="preserve"> </w:t>
      </w:r>
      <w:r>
        <w:rPr>
          <w:rFonts w:ascii="SimSun" w:hAnsi="SimSun" w:eastAsia="SimSun" w:cs="SimSun"/>
          <w:sz w:val="24"/>
          <w:szCs w:val="24"/>
          <w:spacing w:val="-2"/>
        </w:rPr>
        <w:t>占地面积约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0.59 h</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p>
    <w:p>
      <w:pPr>
        <w:ind w:left="493"/>
        <w:spacing w:before="156" w:line="219" w:lineRule="auto"/>
        <w:rPr>
          <w:rFonts w:ascii="SimSun" w:hAnsi="SimSun" w:eastAsia="SimSun" w:cs="SimSun"/>
          <w:sz w:val="24"/>
          <w:szCs w:val="24"/>
        </w:rPr>
      </w:pPr>
      <w:r>
        <w:rPr>
          <w:rFonts w:ascii="SimSun" w:hAnsi="SimSun" w:eastAsia="SimSun" w:cs="SimSun"/>
          <w:sz w:val="24"/>
          <w:szCs w:val="24"/>
          <w:spacing w:val="-2"/>
        </w:rPr>
        <w:t>项目地面总布置图见图</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3-5-1</w:t>
      </w:r>
      <w:r>
        <w:rPr>
          <w:rFonts w:ascii="SimSun" w:hAnsi="SimSun" w:eastAsia="SimSun" w:cs="SimSun"/>
          <w:sz w:val="24"/>
          <w:szCs w:val="24"/>
          <w:spacing w:val="-2"/>
        </w:rPr>
        <w:t>。</w:t>
      </w:r>
    </w:p>
    <w:p>
      <w:pPr>
        <w:ind w:left="4"/>
        <w:spacing w:before="24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3.5.6  </w:t>
      </w:r>
      <w:r>
        <w:rPr>
          <w:rFonts w:ascii="SimHei" w:hAnsi="SimHei" w:eastAsia="SimHei" w:cs="SimHei"/>
          <w:sz w:val="28"/>
          <w:szCs w:val="28"/>
          <w:b/>
          <w:bCs/>
          <w:spacing w:val="-2"/>
        </w:rPr>
        <w:t>工程分析</w:t>
      </w:r>
    </w:p>
    <w:p>
      <w:pPr>
        <w:ind w:left="490"/>
        <w:spacing w:before="170" w:line="219" w:lineRule="auto"/>
        <w:rPr>
          <w:rFonts w:ascii="SimSun" w:hAnsi="SimSun" w:eastAsia="SimSun" w:cs="SimSun"/>
          <w:sz w:val="24"/>
          <w:szCs w:val="24"/>
        </w:rPr>
      </w:pPr>
      <w:r>
        <w:rPr>
          <w:rFonts w:ascii="SimSun" w:hAnsi="SimSun" w:eastAsia="SimSun" w:cs="SimSun"/>
          <w:sz w:val="24"/>
          <w:szCs w:val="24"/>
        </w:rPr>
        <w:t>本项目仅为露天开采范围的调整，开采工艺、</w:t>
      </w:r>
      <w:r>
        <w:rPr>
          <w:rFonts w:ascii="SimSun" w:hAnsi="SimSun" w:eastAsia="SimSun" w:cs="SimSun"/>
          <w:sz w:val="24"/>
          <w:szCs w:val="24"/>
          <w:spacing w:val="-1"/>
        </w:rPr>
        <w:t>开采方法与现有工程一致。</w:t>
      </w:r>
    </w:p>
    <w:p>
      <w:pPr>
        <w:ind w:left="508"/>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、露天开采境界、开采工艺及开采方法</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）开采境界</w:t>
      </w:r>
    </w:p>
    <w:p>
      <w:pPr>
        <w:ind w:left="14" w:firstLine="480"/>
        <w:spacing w:before="138" w:line="343" w:lineRule="auto"/>
        <w:rPr>
          <w:rFonts w:ascii="SimSun" w:hAnsi="SimSun" w:eastAsia="SimSun" w:cs="SimSun"/>
          <w:sz w:val="24"/>
          <w:szCs w:val="24"/>
        </w:rPr>
      </w:pPr>
      <w:r>
        <w:rPr>
          <w:rFonts w:ascii="SimSun" w:hAnsi="SimSun" w:eastAsia="SimSun" w:cs="SimSun"/>
          <w:sz w:val="24"/>
          <w:szCs w:val="24"/>
          <w:spacing w:val="-2"/>
        </w:rPr>
        <w:t>露天矿开采面积</w:t>
      </w:r>
      <w:r>
        <w:rPr>
          <w:rFonts w:ascii="SimSun" w:hAnsi="SimSun" w:eastAsia="SimSun" w:cs="SimSun"/>
          <w:sz w:val="24"/>
          <w:szCs w:val="24"/>
          <w:spacing w:val="-33"/>
        </w:rPr>
        <w:t xml:space="preserve"> </w:t>
      </w:r>
      <w:r>
        <w:rPr>
          <w:rFonts w:ascii="SimSun" w:hAnsi="SimSun" w:eastAsia="SimSun" w:cs="SimSun"/>
          <w:sz w:val="24"/>
          <w:szCs w:val="24"/>
          <w:spacing w:val="-2"/>
        </w:rPr>
        <w:t>12.3525km</w:t>
      </w:r>
      <w:r>
        <w:rPr>
          <w:rFonts w:ascii="SimSun" w:hAnsi="SimSun" w:eastAsia="SimSun" w:cs="SimSun"/>
          <w:sz w:val="12"/>
          <w:szCs w:val="12"/>
          <w:spacing w:val="-2"/>
          <w:position w:val="11"/>
        </w:rPr>
        <w:t>2</w:t>
      </w:r>
      <w:r>
        <w:rPr>
          <w:rFonts w:ascii="SimSun" w:hAnsi="SimSun" w:eastAsia="SimSun" w:cs="SimSun"/>
          <w:sz w:val="24"/>
          <w:szCs w:val="24"/>
          <w:spacing w:val="-2"/>
        </w:rPr>
        <w:t>，煤层开采标高+930m～+640m，露天地表境界拐点见表</w:t>
      </w:r>
      <w:r>
        <w:rPr>
          <w:rFonts w:ascii="SimSun" w:hAnsi="SimSun" w:eastAsia="SimSun" w:cs="SimSun"/>
          <w:sz w:val="24"/>
          <w:szCs w:val="24"/>
          <w:spacing w:val="-2"/>
        </w:rPr>
        <w:t>3-5-7。露天开采终了平面见图</w:t>
      </w:r>
      <w:r>
        <w:rPr>
          <w:rFonts w:ascii="SimSun" w:hAnsi="SimSun" w:eastAsia="SimSun" w:cs="SimSun"/>
          <w:sz w:val="24"/>
          <w:szCs w:val="24"/>
          <w:spacing w:val="-32"/>
        </w:rPr>
        <w:t xml:space="preserve"> </w:t>
      </w:r>
      <w:r>
        <w:rPr>
          <w:rFonts w:ascii="SimSun" w:hAnsi="SimSun" w:eastAsia="SimSun" w:cs="SimSun"/>
          <w:sz w:val="24"/>
          <w:szCs w:val="24"/>
          <w:spacing w:val="-2"/>
        </w:rPr>
        <w:t>3-5-2。</w:t>
      </w:r>
    </w:p>
    <w:p>
      <w:pPr>
        <w:spacing w:line="343" w:lineRule="auto"/>
        <w:sectPr>
          <w:headerReference w:type="default" r:id="rId79"/>
          <w:footerReference w:type="default" r:id="rId202"/>
          <w:pgSz w:w="11906" w:h="16838"/>
          <w:pgMar w:top="1170" w:right="1417" w:bottom="1080" w:left="1416" w:header="837" w:footer="918" w:gutter="0"/>
        </w:sectPr>
        <w:rPr>
          <w:rFonts w:ascii="SimSun" w:hAnsi="SimSun" w:eastAsia="SimSun" w:cs="SimSun"/>
          <w:sz w:val="24"/>
          <w:szCs w:val="24"/>
        </w:rPr>
      </w:pPr>
    </w:p>
    <w:p>
      <w:pPr>
        <w:pStyle w:val="BodyText"/>
        <w:spacing w:line="264" w:lineRule="auto"/>
        <w:rPr/>
      </w:pPr>
      <w:r/>
    </w:p>
    <w:p>
      <w:pPr>
        <w:ind w:left="3288"/>
        <w:spacing w:before="91" w:line="221" w:lineRule="auto"/>
        <w:rPr>
          <w:rFonts w:ascii="SimSun" w:hAnsi="SimSun" w:eastAsia="SimSun" w:cs="SimSun"/>
          <w:sz w:val="28"/>
          <w:szCs w:val="28"/>
        </w:rPr>
      </w:pPr>
      <w:r>
        <w:rPr>
          <w:rFonts w:ascii="SimSun" w:hAnsi="SimSun" w:eastAsia="SimSun" w:cs="SimSun"/>
          <w:sz w:val="28"/>
          <w:szCs w:val="28"/>
          <w:b/>
          <w:bCs/>
          <w:spacing w:val="-4"/>
        </w:rPr>
        <w:t>露天地表境界拐点坐标表</w:t>
      </w:r>
    </w:p>
    <w:p>
      <w:pPr>
        <w:ind w:left="7"/>
        <w:spacing w:before="166" w:line="228" w:lineRule="auto"/>
        <w:rPr>
          <w:rFonts w:ascii="SimSun" w:hAnsi="SimSun" w:eastAsia="SimSun" w:cs="SimSun"/>
          <w:sz w:val="20"/>
          <w:szCs w:val="20"/>
        </w:rPr>
      </w:pPr>
      <w:r>
        <w:rPr>
          <w:rFonts w:ascii="SimSun" w:hAnsi="SimSun" w:eastAsia="SimSun" w:cs="SimSun"/>
          <w:sz w:val="20"/>
          <w:szCs w:val="20"/>
          <w:spacing w:val="3"/>
        </w:rPr>
        <w:t>表</w:t>
      </w:r>
      <w:r>
        <w:rPr>
          <w:rFonts w:ascii="SimSun" w:hAnsi="SimSun" w:eastAsia="SimSun" w:cs="SimSun"/>
          <w:sz w:val="20"/>
          <w:szCs w:val="20"/>
          <w:spacing w:val="-26"/>
        </w:rPr>
        <w:t xml:space="preserve"> </w:t>
      </w:r>
      <w:r>
        <w:rPr>
          <w:rFonts w:ascii="Times New Roman" w:hAnsi="Times New Roman" w:eastAsia="Times New Roman" w:cs="Times New Roman"/>
          <w:sz w:val="20"/>
          <w:szCs w:val="20"/>
          <w:spacing w:val="3"/>
        </w:rPr>
        <w:t>3-5-7</w:t>
      </w:r>
      <w:r>
        <w:rPr>
          <w:rFonts w:ascii="Times New Roman" w:hAnsi="Times New Roman" w:eastAsia="Times New Roman" w:cs="Times New Roman"/>
          <w:sz w:val="20"/>
          <w:szCs w:val="20"/>
        </w:rPr>
        <w:t xml:space="preserve">                                                                                                                          </w:t>
      </w:r>
      <w:r>
        <w:rPr>
          <w:rFonts w:ascii="SimSun" w:hAnsi="SimSun" w:eastAsia="SimSun" w:cs="SimSun"/>
          <w:sz w:val="20"/>
          <w:szCs w:val="20"/>
          <w:spacing w:val="3"/>
        </w:rPr>
        <w:t>2000</w:t>
      </w:r>
      <w:r>
        <w:rPr>
          <w:rFonts w:ascii="SimSun" w:hAnsi="SimSun" w:eastAsia="SimSun" w:cs="SimSun"/>
          <w:sz w:val="20"/>
          <w:szCs w:val="20"/>
          <w:spacing w:val="-16"/>
        </w:rPr>
        <w:t xml:space="preserve"> </w:t>
      </w:r>
      <w:r>
        <w:rPr>
          <w:rFonts w:ascii="SimSun" w:hAnsi="SimSun" w:eastAsia="SimSun" w:cs="SimSun"/>
          <w:sz w:val="20"/>
          <w:szCs w:val="20"/>
          <w:spacing w:val="3"/>
        </w:rPr>
        <w:t>国家大地坐标系</w:t>
      </w:r>
    </w:p>
    <w:p>
      <w:pPr>
        <w:spacing w:line="23" w:lineRule="exact"/>
        <w:rPr/>
      </w:pPr>
      <w:r/>
    </w:p>
    <w:tbl>
      <w:tblPr>
        <w:tblStyle w:val="TableNormal"/>
        <w:tblW w:w="8966" w:type="dxa"/>
        <w:tblInd w:w="5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38"/>
        <w:gridCol w:w="2761"/>
        <w:gridCol w:w="4267"/>
      </w:tblGrid>
      <w:tr>
        <w:trPr>
          <w:trHeight w:val="285" w:hRule="atLeast"/>
        </w:trPr>
        <w:tc>
          <w:tcPr>
            <w:tcW w:w="1938" w:type="dxa"/>
            <w:vAlign w:val="top"/>
          </w:tcPr>
          <w:p>
            <w:pPr>
              <w:ind w:left="764"/>
              <w:spacing w:before="33" w:line="223" w:lineRule="auto"/>
              <w:rPr>
                <w:rFonts w:ascii="SimSun" w:hAnsi="SimSun" w:eastAsia="SimSun" w:cs="SimSun"/>
                <w:sz w:val="20"/>
                <w:szCs w:val="20"/>
              </w:rPr>
            </w:pPr>
            <w:r>
              <w:rPr>
                <w:rFonts w:ascii="SimSun" w:hAnsi="SimSun" w:eastAsia="SimSun" w:cs="SimSun"/>
                <w:sz w:val="20"/>
                <w:szCs w:val="20"/>
                <w:spacing w:val="4"/>
              </w:rPr>
              <w:t>拐点</w:t>
            </w:r>
          </w:p>
        </w:tc>
        <w:tc>
          <w:tcPr>
            <w:tcW w:w="2761" w:type="dxa"/>
            <w:vAlign w:val="top"/>
          </w:tcPr>
          <w:p>
            <w:pPr>
              <w:pStyle w:val="TableText"/>
              <w:ind w:left="1303"/>
              <w:spacing w:before="75" w:line="192" w:lineRule="auto"/>
              <w:rPr/>
            </w:pPr>
            <w:r>
              <w:rPr>
                <w:spacing w:val="5"/>
              </w:rPr>
              <w:t>X</w:t>
            </w:r>
          </w:p>
        </w:tc>
        <w:tc>
          <w:tcPr>
            <w:tcW w:w="4267" w:type="dxa"/>
            <w:vAlign w:val="top"/>
          </w:tcPr>
          <w:p>
            <w:pPr>
              <w:pStyle w:val="TableText"/>
              <w:ind w:left="2056"/>
              <w:spacing w:before="75" w:line="192" w:lineRule="auto"/>
              <w:rPr/>
            </w:pPr>
            <w:r>
              <w:rPr>
                <w:spacing w:val="4"/>
              </w:rPr>
              <w:t>Y</w:t>
            </w:r>
          </w:p>
        </w:tc>
      </w:tr>
      <w:tr>
        <w:trPr>
          <w:trHeight w:val="285" w:hRule="atLeast"/>
        </w:trPr>
        <w:tc>
          <w:tcPr>
            <w:tcW w:w="1938" w:type="dxa"/>
            <w:vAlign w:val="top"/>
          </w:tcPr>
          <w:p>
            <w:pPr>
              <w:pStyle w:val="TableText"/>
              <w:ind w:left="885"/>
              <w:spacing w:before="70" w:line="195" w:lineRule="auto"/>
              <w:rPr/>
            </w:pPr>
            <w:r>
              <w:rPr>
                <w:spacing w:val="-8"/>
              </w:rPr>
              <w:t>10</w:t>
            </w:r>
          </w:p>
        </w:tc>
        <w:tc>
          <w:tcPr>
            <w:tcW w:w="2761" w:type="dxa"/>
            <w:vAlign w:val="top"/>
          </w:tcPr>
          <w:p>
            <w:pPr>
              <w:pStyle w:val="TableText"/>
              <w:ind w:left="829"/>
              <w:spacing w:before="70" w:line="195" w:lineRule="auto"/>
              <w:rPr/>
            </w:pPr>
            <w:r>
              <w:rPr>
                <w:spacing w:val="4"/>
              </w:rPr>
              <w:t>4986887.127</w:t>
            </w:r>
          </w:p>
        </w:tc>
        <w:tc>
          <w:tcPr>
            <w:tcW w:w="4267" w:type="dxa"/>
            <w:vAlign w:val="top"/>
          </w:tcPr>
          <w:p>
            <w:pPr>
              <w:pStyle w:val="TableText"/>
              <w:ind w:left="1529"/>
              <w:spacing w:before="70" w:line="195" w:lineRule="auto"/>
              <w:rPr/>
            </w:pPr>
            <w:r>
              <w:rPr>
                <w:spacing w:val="4"/>
              </w:rPr>
              <w:t>40394544.941</w:t>
            </w:r>
          </w:p>
        </w:tc>
      </w:tr>
      <w:tr>
        <w:trPr>
          <w:trHeight w:val="282" w:hRule="atLeast"/>
        </w:trPr>
        <w:tc>
          <w:tcPr>
            <w:tcW w:w="1938" w:type="dxa"/>
            <w:vAlign w:val="top"/>
          </w:tcPr>
          <w:p>
            <w:pPr>
              <w:pStyle w:val="TableText"/>
              <w:ind w:left="922"/>
              <w:spacing w:before="68" w:line="195" w:lineRule="auto"/>
              <w:rPr/>
            </w:pPr>
            <w:r>
              <w:rPr/>
              <w:t>9</w:t>
            </w:r>
          </w:p>
        </w:tc>
        <w:tc>
          <w:tcPr>
            <w:tcW w:w="2761" w:type="dxa"/>
            <w:vAlign w:val="top"/>
          </w:tcPr>
          <w:p>
            <w:pPr>
              <w:pStyle w:val="TableText"/>
              <w:ind w:left="829"/>
              <w:spacing w:before="68" w:line="195" w:lineRule="auto"/>
              <w:rPr/>
            </w:pPr>
            <w:r>
              <w:rPr>
                <w:spacing w:val="4"/>
              </w:rPr>
              <w:t>4984821.573</w:t>
            </w:r>
          </w:p>
        </w:tc>
        <w:tc>
          <w:tcPr>
            <w:tcW w:w="4267" w:type="dxa"/>
            <w:vAlign w:val="top"/>
          </w:tcPr>
          <w:p>
            <w:pPr>
              <w:pStyle w:val="TableText"/>
              <w:ind w:left="1529"/>
              <w:spacing w:before="68" w:line="195" w:lineRule="auto"/>
              <w:rPr/>
            </w:pPr>
            <w:r>
              <w:rPr>
                <w:spacing w:val="2"/>
              </w:rPr>
              <w:t>40393381.</w:t>
            </w:r>
            <w:r>
              <w:rPr>
                <w:spacing w:val="-18"/>
              </w:rPr>
              <w:t xml:space="preserve"> </w:t>
            </w:r>
            <w:r>
              <w:rPr>
                <w:spacing w:val="2"/>
              </w:rPr>
              <w:t>115</w:t>
            </w:r>
          </w:p>
        </w:tc>
      </w:tr>
      <w:tr>
        <w:trPr>
          <w:trHeight w:val="285" w:hRule="atLeast"/>
        </w:trPr>
        <w:tc>
          <w:tcPr>
            <w:tcW w:w="1938" w:type="dxa"/>
            <w:vAlign w:val="top"/>
          </w:tcPr>
          <w:p>
            <w:pPr>
              <w:pStyle w:val="TableText"/>
              <w:ind w:left="926"/>
              <w:spacing w:before="71" w:line="195" w:lineRule="auto"/>
              <w:rPr/>
            </w:pPr>
            <w:r>
              <w:rPr/>
              <w:t>8</w:t>
            </w:r>
          </w:p>
        </w:tc>
        <w:tc>
          <w:tcPr>
            <w:tcW w:w="2761" w:type="dxa"/>
            <w:vAlign w:val="top"/>
          </w:tcPr>
          <w:p>
            <w:pPr>
              <w:pStyle w:val="TableText"/>
              <w:ind w:left="829"/>
              <w:spacing w:before="71" w:line="195" w:lineRule="auto"/>
              <w:rPr/>
            </w:pPr>
            <w:r>
              <w:rPr>
                <w:spacing w:val="4"/>
              </w:rPr>
              <w:t>4984390.666</w:t>
            </w:r>
          </w:p>
        </w:tc>
        <w:tc>
          <w:tcPr>
            <w:tcW w:w="4267" w:type="dxa"/>
            <w:vAlign w:val="top"/>
          </w:tcPr>
          <w:p>
            <w:pPr>
              <w:pStyle w:val="TableText"/>
              <w:ind w:left="1529"/>
              <w:spacing w:before="71" w:line="195" w:lineRule="auto"/>
              <w:rPr/>
            </w:pPr>
            <w:r>
              <w:rPr>
                <w:spacing w:val="4"/>
              </w:rPr>
              <w:t>40394872.345</w:t>
            </w:r>
          </w:p>
        </w:tc>
      </w:tr>
      <w:tr>
        <w:trPr>
          <w:trHeight w:val="283" w:hRule="atLeast"/>
        </w:trPr>
        <w:tc>
          <w:tcPr>
            <w:tcW w:w="1938" w:type="dxa"/>
            <w:vAlign w:val="top"/>
          </w:tcPr>
          <w:p>
            <w:pPr>
              <w:pStyle w:val="TableText"/>
              <w:ind w:left="853"/>
              <w:spacing w:before="69" w:line="195" w:lineRule="auto"/>
              <w:rPr/>
            </w:pPr>
            <w:r>
              <w:rPr>
                <w:spacing w:val="2"/>
              </w:rPr>
              <w:t>L1</w:t>
            </w:r>
          </w:p>
        </w:tc>
        <w:tc>
          <w:tcPr>
            <w:tcW w:w="2761" w:type="dxa"/>
            <w:vAlign w:val="top"/>
          </w:tcPr>
          <w:p>
            <w:pPr>
              <w:pStyle w:val="TableText"/>
              <w:ind w:left="829"/>
              <w:spacing w:before="69" w:line="195" w:lineRule="auto"/>
              <w:rPr/>
            </w:pPr>
            <w:r>
              <w:rPr>
                <w:spacing w:val="4"/>
              </w:rPr>
              <w:t>4984071.202</w:t>
            </w:r>
          </w:p>
        </w:tc>
        <w:tc>
          <w:tcPr>
            <w:tcW w:w="4267" w:type="dxa"/>
            <w:vAlign w:val="top"/>
          </w:tcPr>
          <w:p>
            <w:pPr>
              <w:pStyle w:val="TableText"/>
              <w:ind w:left="1529"/>
              <w:spacing w:before="69" w:line="195" w:lineRule="auto"/>
              <w:rPr/>
            </w:pPr>
            <w:r>
              <w:rPr>
                <w:spacing w:val="4"/>
              </w:rPr>
              <w:t>40395584.755</w:t>
            </w:r>
          </w:p>
        </w:tc>
      </w:tr>
      <w:tr>
        <w:trPr>
          <w:trHeight w:val="283" w:hRule="atLeast"/>
        </w:trPr>
        <w:tc>
          <w:tcPr>
            <w:tcW w:w="1938" w:type="dxa"/>
            <w:vAlign w:val="top"/>
          </w:tcPr>
          <w:p>
            <w:pPr>
              <w:pStyle w:val="TableText"/>
              <w:ind w:left="853"/>
              <w:spacing w:before="72" w:line="195" w:lineRule="auto"/>
              <w:rPr/>
            </w:pPr>
            <w:r>
              <w:rPr>
                <w:spacing w:val="2"/>
              </w:rPr>
              <w:t>L2</w:t>
            </w:r>
          </w:p>
        </w:tc>
        <w:tc>
          <w:tcPr>
            <w:tcW w:w="2761" w:type="dxa"/>
            <w:vAlign w:val="top"/>
          </w:tcPr>
          <w:p>
            <w:pPr>
              <w:pStyle w:val="TableText"/>
              <w:ind w:left="829"/>
              <w:spacing w:before="71" w:line="195" w:lineRule="auto"/>
              <w:rPr/>
            </w:pPr>
            <w:r>
              <w:rPr>
                <w:spacing w:val="4"/>
              </w:rPr>
              <w:t>4984216.015</w:t>
            </w:r>
          </w:p>
        </w:tc>
        <w:tc>
          <w:tcPr>
            <w:tcW w:w="4267" w:type="dxa"/>
            <w:vAlign w:val="top"/>
          </w:tcPr>
          <w:p>
            <w:pPr>
              <w:pStyle w:val="TableText"/>
              <w:ind w:left="1529"/>
              <w:spacing w:before="71" w:line="195" w:lineRule="auto"/>
              <w:rPr/>
            </w:pPr>
            <w:r>
              <w:rPr>
                <w:spacing w:val="4"/>
              </w:rPr>
              <w:t>40395613.488</w:t>
            </w:r>
          </w:p>
        </w:tc>
      </w:tr>
      <w:tr>
        <w:trPr>
          <w:trHeight w:val="285" w:hRule="atLeast"/>
        </w:trPr>
        <w:tc>
          <w:tcPr>
            <w:tcW w:w="1938" w:type="dxa"/>
            <w:vAlign w:val="top"/>
          </w:tcPr>
          <w:p>
            <w:pPr>
              <w:pStyle w:val="TableText"/>
              <w:ind w:left="853"/>
              <w:spacing w:before="71" w:line="195" w:lineRule="auto"/>
              <w:rPr/>
            </w:pPr>
            <w:r>
              <w:rPr>
                <w:spacing w:val="2"/>
              </w:rPr>
              <w:t>L3</w:t>
            </w:r>
          </w:p>
        </w:tc>
        <w:tc>
          <w:tcPr>
            <w:tcW w:w="2761" w:type="dxa"/>
            <w:vAlign w:val="top"/>
          </w:tcPr>
          <w:p>
            <w:pPr>
              <w:pStyle w:val="TableText"/>
              <w:ind w:left="887"/>
              <w:spacing w:before="71" w:line="195" w:lineRule="auto"/>
              <w:rPr/>
            </w:pPr>
            <w:r>
              <w:rPr>
                <w:spacing w:val="4"/>
              </w:rPr>
              <w:t>984678.381</w:t>
            </w:r>
          </w:p>
        </w:tc>
        <w:tc>
          <w:tcPr>
            <w:tcW w:w="4267" w:type="dxa"/>
            <w:vAlign w:val="top"/>
          </w:tcPr>
          <w:p>
            <w:pPr>
              <w:pStyle w:val="TableText"/>
              <w:ind w:left="1529"/>
              <w:spacing w:before="71" w:line="195" w:lineRule="auto"/>
              <w:rPr/>
            </w:pPr>
            <w:r>
              <w:rPr>
                <w:spacing w:val="4"/>
              </w:rPr>
              <w:t>40395881.487</w:t>
            </w:r>
          </w:p>
        </w:tc>
      </w:tr>
      <w:tr>
        <w:trPr>
          <w:trHeight w:val="282" w:hRule="atLeast"/>
        </w:trPr>
        <w:tc>
          <w:tcPr>
            <w:tcW w:w="1938" w:type="dxa"/>
            <w:vAlign w:val="top"/>
          </w:tcPr>
          <w:p>
            <w:pPr>
              <w:pStyle w:val="TableText"/>
              <w:ind w:left="853"/>
              <w:spacing w:before="70" w:line="195" w:lineRule="auto"/>
              <w:rPr/>
            </w:pPr>
            <w:r>
              <w:rPr>
                <w:spacing w:val="2"/>
              </w:rPr>
              <w:t>L4</w:t>
            </w:r>
          </w:p>
        </w:tc>
        <w:tc>
          <w:tcPr>
            <w:tcW w:w="2761" w:type="dxa"/>
            <w:vAlign w:val="top"/>
          </w:tcPr>
          <w:p>
            <w:pPr>
              <w:pStyle w:val="TableText"/>
              <w:ind w:left="829"/>
              <w:spacing w:before="69" w:line="195" w:lineRule="auto"/>
              <w:rPr/>
            </w:pPr>
            <w:r>
              <w:rPr>
                <w:spacing w:val="4"/>
              </w:rPr>
              <w:t>4985070.245</w:t>
            </w:r>
          </w:p>
        </w:tc>
        <w:tc>
          <w:tcPr>
            <w:tcW w:w="4267" w:type="dxa"/>
            <w:vAlign w:val="top"/>
          </w:tcPr>
          <w:p>
            <w:pPr>
              <w:pStyle w:val="TableText"/>
              <w:ind w:left="1529"/>
              <w:spacing w:before="69" w:line="195" w:lineRule="auto"/>
              <w:rPr/>
            </w:pPr>
            <w:r>
              <w:rPr>
                <w:spacing w:val="4"/>
              </w:rPr>
              <w:t>40396402.910</w:t>
            </w:r>
          </w:p>
        </w:tc>
      </w:tr>
      <w:tr>
        <w:trPr>
          <w:trHeight w:val="285" w:hRule="atLeast"/>
        </w:trPr>
        <w:tc>
          <w:tcPr>
            <w:tcW w:w="1938" w:type="dxa"/>
            <w:vAlign w:val="top"/>
          </w:tcPr>
          <w:p>
            <w:pPr>
              <w:pStyle w:val="TableText"/>
              <w:ind w:left="853"/>
              <w:spacing w:before="76" w:line="192" w:lineRule="auto"/>
              <w:rPr/>
            </w:pPr>
            <w:r>
              <w:rPr>
                <w:spacing w:val="2"/>
              </w:rPr>
              <w:t>L5</w:t>
            </w:r>
          </w:p>
        </w:tc>
        <w:tc>
          <w:tcPr>
            <w:tcW w:w="2761" w:type="dxa"/>
            <w:vAlign w:val="top"/>
          </w:tcPr>
          <w:p>
            <w:pPr>
              <w:pStyle w:val="TableText"/>
              <w:ind w:left="829"/>
              <w:spacing w:before="73" w:line="195" w:lineRule="auto"/>
              <w:rPr/>
            </w:pPr>
            <w:r>
              <w:rPr>
                <w:spacing w:val="4"/>
              </w:rPr>
              <w:t>4985431.270</w:t>
            </w:r>
          </w:p>
        </w:tc>
        <w:tc>
          <w:tcPr>
            <w:tcW w:w="4267" w:type="dxa"/>
            <w:vAlign w:val="top"/>
          </w:tcPr>
          <w:p>
            <w:pPr>
              <w:pStyle w:val="TableText"/>
              <w:ind w:left="1529"/>
              <w:spacing w:before="73" w:line="195" w:lineRule="auto"/>
              <w:rPr/>
            </w:pPr>
            <w:r>
              <w:rPr>
                <w:spacing w:val="4"/>
              </w:rPr>
              <w:t>40396585.713</w:t>
            </w:r>
          </w:p>
        </w:tc>
      </w:tr>
      <w:tr>
        <w:trPr>
          <w:trHeight w:val="283" w:hRule="atLeast"/>
        </w:trPr>
        <w:tc>
          <w:tcPr>
            <w:tcW w:w="1938" w:type="dxa"/>
            <w:vAlign w:val="top"/>
          </w:tcPr>
          <w:p>
            <w:pPr>
              <w:pStyle w:val="TableText"/>
              <w:ind w:left="853"/>
              <w:spacing w:before="71" w:line="195" w:lineRule="auto"/>
              <w:rPr/>
            </w:pPr>
            <w:r>
              <w:rPr>
                <w:spacing w:val="2"/>
              </w:rPr>
              <w:t>L6</w:t>
            </w:r>
          </w:p>
        </w:tc>
        <w:tc>
          <w:tcPr>
            <w:tcW w:w="2761" w:type="dxa"/>
            <w:vAlign w:val="top"/>
          </w:tcPr>
          <w:p>
            <w:pPr>
              <w:pStyle w:val="TableText"/>
              <w:ind w:left="829"/>
              <w:spacing w:before="71" w:line="195" w:lineRule="auto"/>
              <w:rPr/>
            </w:pPr>
            <w:r>
              <w:rPr>
                <w:spacing w:val="4"/>
              </w:rPr>
              <w:t>4986228.791</w:t>
            </w:r>
          </w:p>
        </w:tc>
        <w:tc>
          <w:tcPr>
            <w:tcW w:w="4267" w:type="dxa"/>
            <w:vAlign w:val="top"/>
          </w:tcPr>
          <w:p>
            <w:pPr>
              <w:pStyle w:val="TableText"/>
              <w:ind w:left="1529"/>
              <w:spacing w:before="71" w:line="195" w:lineRule="auto"/>
              <w:rPr/>
            </w:pPr>
            <w:r>
              <w:rPr>
                <w:spacing w:val="2"/>
              </w:rPr>
              <w:t>40395356.</w:t>
            </w:r>
            <w:r>
              <w:rPr>
                <w:spacing w:val="-18"/>
              </w:rPr>
              <w:t xml:space="preserve"> </w:t>
            </w:r>
            <w:r>
              <w:rPr>
                <w:spacing w:val="2"/>
              </w:rPr>
              <w:t>178</w:t>
            </w:r>
          </w:p>
        </w:tc>
      </w:tr>
      <w:tr>
        <w:trPr>
          <w:trHeight w:val="285" w:hRule="atLeast"/>
        </w:trPr>
        <w:tc>
          <w:tcPr>
            <w:tcW w:w="1938" w:type="dxa"/>
            <w:vAlign w:val="top"/>
          </w:tcPr>
          <w:p>
            <w:pPr>
              <w:pStyle w:val="TableText"/>
              <w:ind w:left="853"/>
              <w:spacing w:before="76" w:line="192" w:lineRule="auto"/>
              <w:rPr/>
            </w:pPr>
            <w:r>
              <w:rPr>
                <w:spacing w:val="2"/>
              </w:rPr>
              <w:t>L7</w:t>
            </w:r>
          </w:p>
        </w:tc>
        <w:tc>
          <w:tcPr>
            <w:tcW w:w="2761" w:type="dxa"/>
            <w:vAlign w:val="top"/>
          </w:tcPr>
          <w:p>
            <w:pPr>
              <w:pStyle w:val="TableText"/>
              <w:ind w:left="829"/>
              <w:spacing w:before="73" w:line="195" w:lineRule="auto"/>
              <w:rPr/>
            </w:pPr>
            <w:r>
              <w:rPr>
                <w:spacing w:val="4"/>
              </w:rPr>
              <w:t>4986350.505</w:t>
            </w:r>
          </w:p>
        </w:tc>
        <w:tc>
          <w:tcPr>
            <w:tcW w:w="4267" w:type="dxa"/>
            <w:vAlign w:val="top"/>
          </w:tcPr>
          <w:p>
            <w:pPr>
              <w:pStyle w:val="TableText"/>
              <w:ind w:left="1529"/>
              <w:spacing w:before="73" w:line="195" w:lineRule="auto"/>
              <w:rPr/>
            </w:pPr>
            <w:r>
              <w:rPr>
                <w:spacing w:val="4"/>
              </w:rPr>
              <w:t>40395211.688</w:t>
            </w:r>
          </w:p>
        </w:tc>
      </w:tr>
      <w:tr>
        <w:trPr>
          <w:trHeight w:val="282" w:hRule="atLeast"/>
        </w:trPr>
        <w:tc>
          <w:tcPr>
            <w:tcW w:w="1938" w:type="dxa"/>
            <w:vAlign w:val="top"/>
          </w:tcPr>
          <w:p>
            <w:pPr>
              <w:pStyle w:val="TableText"/>
              <w:ind w:left="853"/>
              <w:spacing w:before="71" w:line="195" w:lineRule="auto"/>
              <w:rPr/>
            </w:pPr>
            <w:r>
              <w:rPr>
                <w:spacing w:val="2"/>
              </w:rPr>
              <w:t>L8</w:t>
            </w:r>
          </w:p>
        </w:tc>
        <w:tc>
          <w:tcPr>
            <w:tcW w:w="2761" w:type="dxa"/>
            <w:vAlign w:val="top"/>
          </w:tcPr>
          <w:p>
            <w:pPr>
              <w:pStyle w:val="TableText"/>
              <w:ind w:left="829"/>
              <w:spacing w:before="71" w:line="195" w:lineRule="auto"/>
              <w:rPr/>
            </w:pPr>
            <w:r>
              <w:rPr>
                <w:spacing w:val="4"/>
              </w:rPr>
              <w:t>4986562.520</w:t>
            </w:r>
          </w:p>
        </w:tc>
        <w:tc>
          <w:tcPr>
            <w:tcW w:w="4267" w:type="dxa"/>
            <w:vAlign w:val="top"/>
          </w:tcPr>
          <w:p>
            <w:pPr>
              <w:pStyle w:val="TableText"/>
              <w:ind w:left="1529"/>
              <w:spacing w:before="71" w:line="195" w:lineRule="auto"/>
              <w:rPr/>
            </w:pPr>
            <w:r>
              <w:rPr>
                <w:spacing w:val="4"/>
              </w:rPr>
              <w:t>40394724.374</w:t>
            </w:r>
          </w:p>
        </w:tc>
      </w:tr>
      <w:tr>
        <w:trPr>
          <w:trHeight w:val="285" w:hRule="atLeast"/>
        </w:trPr>
        <w:tc>
          <w:tcPr>
            <w:tcW w:w="1938" w:type="dxa"/>
            <w:vAlign w:val="top"/>
          </w:tcPr>
          <w:p>
            <w:pPr>
              <w:pStyle w:val="TableText"/>
              <w:ind w:left="853"/>
              <w:spacing w:before="75" w:line="195" w:lineRule="auto"/>
              <w:rPr/>
            </w:pPr>
            <w:r>
              <w:rPr>
                <w:spacing w:val="2"/>
              </w:rPr>
              <w:t>L9</w:t>
            </w:r>
          </w:p>
        </w:tc>
        <w:tc>
          <w:tcPr>
            <w:tcW w:w="2761" w:type="dxa"/>
            <w:vAlign w:val="top"/>
          </w:tcPr>
          <w:p>
            <w:pPr>
              <w:pStyle w:val="TableText"/>
              <w:ind w:left="829"/>
              <w:spacing w:before="75" w:line="195" w:lineRule="auto"/>
              <w:rPr/>
            </w:pPr>
            <w:r>
              <w:rPr>
                <w:spacing w:val="4"/>
              </w:rPr>
              <w:t>4986799.874</w:t>
            </w:r>
          </w:p>
        </w:tc>
        <w:tc>
          <w:tcPr>
            <w:tcW w:w="4267" w:type="dxa"/>
            <w:vAlign w:val="top"/>
          </w:tcPr>
          <w:p>
            <w:pPr>
              <w:pStyle w:val="TableText"/>
              <w:ind w:left="1529"/>
              <w:spacing w:before="75" w:line="195" w:lineRule="auto"/>
              <w:rPr/>
            </w:pPr>
            <w:r>
              <w:rPr>
                <w:spacing w:val="4"/>
              </w:rPr>
              <w:t>40394678.236</w:t>
            </w:r>
          </w:p>
        </w:tc>
      </w:tr>
    </w:tbl>
    <w:p>
      <w:pPr>
        <w:pStyle w:val="BodyText"/>
        <w:spacing w:line="252" w:lineRule="auto"/>
        <w:rPr/>
      </w:pPr>
      <w:r/>
    </w:p>
    <w:p>
      <w:pPr>
        <w:pStyle w:val="BodyText"/>
        <w:spacing w:line="252" w:lineRule="auto"/>
        <w:rPr/>
      </w:pPr>
      <w:r/>
    </w:p>
    <w:p>
      <w:pPr>
        <w:ind w:left="495"/>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）开采工艺</w:t>
      </w:r>
    </w:p>
    <w:p>
      <w:pPr>
        <w:ind w:left="7" w:right="63" w:firstLine="482"/>
        <w:spacing w:before="154" w:line="339" w:lineRule="auto"/>
        <w:rPr>
          <w:rFonts w:ascii="SimSun" w:hAnsi="SimSun" w:eastAsia="SimSun" w:cs="SimSun"/>
          <w:sz w:val="24"/>
          <w:szCs w:val="24"/>
        </w:rPr>
      </w:pPr>
      <w:r>
        <w:rPr>
          <w:rFonts w:ascii="SimSun" w:hAnsi="SimSun" w:eastAsia="SimSun" w:cs="SimSun"/>
          <w:sz w:val="24"/>
          <w:szCs w:val="24"/>
          <w:spacing w:val="-2"/>
        </w:rPr>
        <w:t>沿用现有工艺，剥离采用单斗——卡车工艺；采煤采用单斗——卡车半移动破碎机</w:t>
      </w:r>
      <w:r>
        <w:rPr>
          <w:rFonts w:ascii="SimSun" w:hAnsi="SimSun" w:eastAsia="SimSun" w:cs="SimSun"/>
          <w:sz w:val="24"/>
          <w:szCs w:val="24"/>
          <w:spacing w:val="-1"/>
        </w:rPr>
        <w:t>——胶带运输机的半连续工艺。</w:t>
      </w:r>
    </w:p>
    <w:p>
      <w:pPr>
        <w:ind w:left="495"/>
        <w:spacing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）开采方法</w:t>
      </w:r>
    </w:p>
    <w:p>
      <w:pPr>
        <w:ind w:left="508"/>
        <w:spacing w:before="155" w:line="220"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）剥离方式</w:t>
      </w:r>
    </w:p>
    <w:p>
      <w:pPr>
        <w:ind w:left="10" w:firstLine="481"/>
        <w:spacing w:before="157" w:line="338" w:lineRule="auto"/>
        <w:rPr>
          <w:rFonts w:ascii="SimSun" w:hAnsi="SimSun" w:eastAsia="SimSun" w:cs="SimSun"/>
          <w:sz w:val="24"/>
          <w:szCs w:val="24"/>
        </w:rPr>
      </w:pPr>
      <w:r>
        <w:rPr>
          <w:rFonts w:ascii="SimSun" w:hAnsi="SimSun" w:eastAsia="SimSun" w:cs="SimSun"/>
          <w:sz w:val="24"/>
          <w:szCs w:val="24"/>
          <w:spacing w:val="-8"/>
        </w:rPr>
        <w:t>剥离台阶水平分层，台阶高度</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8"/>
        </w:rPr>
        <w:t>12m</w:t>
      </w:r>
      <w:r>
        <w:rPr>
          <w:rFonts w:ascii="SimSun" w:hAnsi="SimSun" w:eastAsia="SimSun" w:cs="SimSun"/>
          <w:sz w:val="24"/>
          <w:szCs w:val="24"/>
          <w:spacing w:val="-8"/>
        </w:rPr>
        <w:t>。剥离台阶采用端工作面开采法，采掘带宽</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12m</w:t>
      </w:r>
      <w:r>
        <w:rPr>
          <w:rFonts w:ascii="SimSun" w:hAnsi="SimSun" w:eastAsia="SimSun" w:cs="SimSun"/>
          <w:sz w:val="24"/>
          <w:szCs w:val="24"/>
          <w:spacing w:val="-8"/>
        </w:rPr>
        <w:t>；</w:t>
      </w:r>
      <w:r>
        <w:rPr>
          <w:rFonts w:ascii="SimSun" w:hAnsi="SimSun" w:eastAsia="SimSun" w:cs="SimSun"/>
          <w:sz w:val="24"/>
          <w:szCs w:val="24"/>
          <w:spacing w:val="-2"/>
        </w:rPr>
        <w:t>由挖掘机采装，“之</w:t>
      </w:r>
      <w:r>
        <w:rPr>
          <w:rFonts w:ascii="SimSun" w:hAnsi="SimSun" w:eastAsia="SimSun" w:cs="SimSun"/>
          <w:sz w:val="24"/>
          <w:szCs w:val="24"/>
          <w:spacing w:val="-88"/>
        </w:rPr>
        <w:t xml:space="preserve"> </w:t>
      </w:r>
      <w:r>
        <w:rPr>
          <w:rFonts w:ascii="SimSun" w:hAnsi="SimSun" w:eastAsia="SimSun" w:cs="SimSun"/>
          <w:sz w:val="24"/>
          <w:szCs w:val="24"/>
          <w:spacing w:val="-2"/>
        </w:rPr>
        <w:t>”字型走行适应采宽；自卸汽</w:t>
      </w:r>
      <w:r>
        <w:rPr>
          <w:rFonts w:ascii="SimSun" w:hAnsi="SimSun" w:eastAsia="SimSun" w:cs="SimSun"/>
          <w:sz w:val="24"/>
          <w:szCs w:val="24"/>
          <w:spacing w:val="-3"/>
        </w:rPr>
        <w:t>车运输；推土机完成平整、清扫工作</w:t>
      </w:r>
      <w:r>
        <w:rPr>
          <w:rFonts w:ascii="SimSun" w:hAnsi="SimSun" w:eastAsia="SimSun" w:cs="SimSun"/>
          <w:sz w:val="24"/>
          <w:szCs w:val="24"/>
          <w:spacing w:val="-1"/>
        </w:rPr>
        <w:t>面和运输通路等辅助作业。</w:t>
      </w:r>
    </w:p>
    <w:p>
      <w:pPr>
        <w:ind w:left="10" w:right="50" w:firstLine="481"/>
        <w:spacing w:before="2" w:line="338" w:lineRule="auto"/>
        <w:jc w:val="both"/>
        <w:rPr>
          <w:rFonts w:ascii="SimSun" w:hAnsi="SimSun" w:eastAsia="SimSun" w:cs="SimSun"/>
          <w:sz w:val="24"/>
          <w:szCs w:val="24"/>
        </w:rPr>
      </w:pPr>
      <w:r>
        <w:rPr>
          <w:rFonts w:ascii="SimSun" w:hAnsi="SimSun" w:eastAsia="SimSun" w:cs="SimSun"/>
          <w:sz w:val="24"/>
          <w:szCs w:val="24"/>
          <w:spacing w:val="-3"/>
        </w:rPr>
        <w:t>剥离运输通路采用工作帮移动坑线。</w:t>
      </w:r>
      <w:r>
        <w:rPr>
          <w:rFonts w:ascii="SimSun" w:hAnsi="SimSun" w:eastAsia="SimSun" w:cs="SimSun"/>
          <w:sz w:val="24"/>
          <w:szCs w:val="24"/>
          <w:spacing w:val="-61"/>
        </w:rPr>
        <w:t xml:space="preserve"> </w:t>
      </w:r>
      <w:r>
        <w:rPr>
          <w:rFonts w:ascii="SimSun" w:hAnsi="SimSun" w:eastAsia="SimSun" w:cs="SimSun"/>
          <w:sz w:val="24"/>
          <w:szCs w:val="24"/>
          <w:spacing w:val="-3"/>
        </w:rPr>
        <w:t>自卸汽车自剥离工作面经工作平盘运输通路、</w:t>
      </w:r>
      <w:r>
        <w:rPr>
          <w:rFonts w:ascii="SimSun" w:hAnsi="SimSun" w:eastAsia="SimSun" w:cs="SimSun"/>
          <w:sz w:val="24"/>
          <w:szCs w:val="24"/>
          <w:spacing w:val="-2"/>
        </w:rPr>
        <w:t>工作帮移动坑线通过端帮运输道路去往内排土场进行排弃。下部煤岩混采台阶的剥离卡</w:t>
      </w:r>
      <w:r>
        <w:rPr>
          <w:rFonts w:ascii="SimSun" w:hAnsi="SimSun" w:eastAsia="SimSun" w:cs="SimSun"/>
          <w:sz w:val="24"/>
          <w:szCs w:val="24"/>
          <w:spacing w:val="2"/>
        </w:rPr>
        <w:t>车自工作面，穿越煤岩交界等高线</w:t>
      </w:r>
      <w:r>
        <w:rPr>
          <w:rFonts w:ascii="Times New Roman" w:hAnsi="Times New Roman" w:eastAsia="Times New Roman" w:cs="Times New Roman"/>
          <w:sz w:val="24"/>
          <w:szCs w:val="24"/>
          <w:spacing w:val="2"/>
        </w:rPr>
        <w:t>--</w:t>
      </w:r>
      <w:r>
        <w:rPr>
          <w:rFonts w:ascii="SimSun" w:hAnsi="SimSun" w:eastAsia="SimSun" w:cs="SimSun"/>
          <w:sz w:val="24"/>
          <w:szCs w:val="24"/>
          <w:spacing w:val="2"/>
        </w:rPr>
        <w:t>采煤平盘</w:t>
      </w:r>
      <w:r>
        <w:rPr>
          <w:rFonts w:ascii="Times New Roman" w:hAnsi="Times New Roman" w:eastAsia="Times New Roman" w:cs="Times New Roman"/>
          <w:sz w:val="24"/>
          <w:szCs w:val="24"/>
          <w:spacing w:val="2"/>
        </w:rPr>
        <w:t>--</w:t>
      </w:r>
      <w:r>
        <w:rPr>
          <w:rFonts w:ascii="SimSun" w:hAnsi="SimSun" w:eastAsia="SimSun" w:cs="SimSun"/>
          <w:sz w:val="24"/>
          <w:szCs w:val="24"/>
          <w:spacing w:val="2"/>
        </w:rPr>
        <w:t>煤层底板，主要沿等高线，辅以限坡回</w:t>
      </w:r>
      <w:r>
        <w:rPr>
          <w:rFonts w:ascii="SimSun" w:hAnsi="SimSun" w:eastAsia="SimSun" w:cs="SimSun"/>
          <w:sz w:val="24"/>
          <w:szCs w:val="24"/>
          <w:spacing w:val="-1"/>
        </w:rPr>
        <w:t>返展线抵达内排土场排弃。</w:t>
      </w:r>
    </w:p>
    <w:p>
      <w:pPr>
        <w:ind w:left="485"/>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）煤层的开采方法</w:t>
      </w:r>
    </w:p>
    <w:p>
      <w:pPr>
        <w:ind w:left="8" w:right="63" w:firstLine="481"/>
        <w:spacing w:before="157" w:line="338" w:lineRule="auto"/>
        <w:rPr>
          <w:rFonts w:ascii="SimSun" w:hAnsi="SimSun" w:eastAsia="SimSun" w:cs="SimSun"/>
          <w:sz w:val="24"/>
          <w:szCs w:val="24"/>
        </w:rPr>
      </w:pPr>
      <w:r>
        <w:rPr>
          <w:rFonts w:ascii="SimSun" w:hAnsi="SimSun" w:eastAsia="SimSun" w:cs="SimSun"/>
          <w:sz w:val="24"/>
          <w:szCs w:val="24"/>
          <w:spacing w:val="-1"/>
        </w:rPr>
        <w:t>本矿煤层倾角除局部外一般为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w:t>
      </w:r>
      <w:r>
        <w:rPr>
          <w:rFonts w:ascii="SimSun" w:hAnsi="SimSun" w:eastAsia="SimSun" w:cs="SimSun"/>
          <w:sz w:val="24"/>
          <w:szCs w:val="24"/>
          <w:spacing w:val="-89"/>
        </w:rPr>
        <w:t xml:space="preserve"> </w:t>
      </w:r>
      <w:r>
        <w:rPr>
          <w:rFonts w:ascii="SimSun" w:hAnsi="SimSun" w:eastAsia="SimSun" w:cs="SimSun"/>
          <w:sz w:val="24"/>
          <w:szCs w:val="24"/>
          <w:spacing w:val="-1"/>
        </w:rPr>
        <w:t>,</w:t>
      </w:r>
      <w:r>
        <w:rPr>
          <w:rFonts w:ascii="SimSun" w:hAnsi="SimSun" w:eastAsia="SimSun" w:cs="SimSun"/>
          <w:sz w:val="24"/>
          <w:szCs w:val="24"/>
          <w:spacing w:val="65"/>
        </w:rPr>
        <w:t xml:space="preserve"> </w:t>
      </w:r>
      <w:r>
        <w:rPr>
          <w:rFonts w:ascii="SimSun" w:hAnsi="SimSun" w:eastAsia="SimSun" w:cs="SimSun"/>
          <w:sz w:val="24"/>
          <w:szCs w:val="24"/>
          <w:spacing w:val="-2"/>
        </w:rPr>
        <w:t>属缓倾斜煤层，为提高煤质，采煤台阶</w:t>
      </w:r>
      <w:r>
        <w:rPr>
          <w:rFonts w:ascii="SimSun" w:hAnsi="SimSun" w:eastAsia="SimSun" w:cs="SimSun"/>
          <w:sz w:val="24"/>
          <w:szCs w:val="24"/>
          <w:spacing w:val="-2"/>
        </w:rPr>
        <w:t>水平划分台阶，采煤方法采用顶板露煤端工作面“之</w:t>
      </w:r>
      <w:r>
        <w:rPr>
          <w:rFonts w:ascii="SimSun" w:hAnsi="SimSun" w:eastAsia="SimSun" w:cs="SimSun"/>
          <w:sz w:val="24"/>
          <w:szCs w:val="24"/>
          <w:spacing w:val="-88"/>
        </w:rPr>
        <w:t xml:space="preserve"> </w:t>
      </w:r>
      <w:r>
        <w:rPr>
          <w:rFonts w:ascii="SimSun" w:hAnsi="SimSun" w:eastAsia="SimSun" w:cs="SimSun"/>
          <w:sz w:val="24"/>
          <w:szCs w:val="24"/>
          <w:spacing w:val="-2"/>
        </w:rPr>
        <w:t>”</w:t>
      </w:r>
      <w:r>
        <w:rPr>
          <w:rFonts w:ascii="SimSun" w:hAnsi="SimSun" w:eastAsia="SimSun" w:cs="SimSun"/>
          <w:sz w:val="24"/>
          <w:szCs w:val="24"/>
          <w:spacing w:val="-3"/>
        </w:rPr>
        <w:t>字走行水平装车作业方式进行开</w:t>
      </w:r>
      <w:r>
        <w:rPr>
          <w:rFonts w:ascii="SimSun" w:hAnsi="SimSun" w:eastAsia="SimSun" w:cs="SimSun"/>
          <w:sz w:val="24"/>
          <w:szCs w:val="24"/>
          <w:spacing w:val="-5"/>
        </w:rPr>
        <w:t>采。</w:t>
      </w:r>
    </w:p>
    <w:p>
      <w:pPr>
        <w:ind w:left="495"/>
        <w:spacing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）开采程序</w:t>
      </w:r>
    </w:p>
    <w:p>
      <w:pPr>
        <w:ind w:left="508"/>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）采区划分</w:t>
      </w:r>
    </w:p>
    <w:p>
      <w:pPr>
        <w:ind w:left="490"/>
        <w:spacing w:before="155" w:line="219" w:lineRule="auto"/>
        <w:rPr>
          <w:rFonts w:ascii="SimSun" w:hAnsi="SimSun" w:eastAsia="SimSun" w:cs="SimSun"/>
          <w:sz w:val="24"/>
          <w:szCs w:val="24"/>
        </w:rPr>
      </w:pPr>
      <w:r>
        <w:rPr>
          <w:rFonts w:ascii="SimSun" w:hAnsi="SimSun" w:eastAsia="SimSun" w:cs="SimSun"/>
          <w:sz w:val="24"/>
          <w:szCs w:val="24"/>
          <w:spacing w:val="-1"/>
        </w:rPr>
        <w:t>本次改建工程共设一个采区。</w:t>
      </w:r>
    </w:p>
    <w:p>
      <w:pPr>
        <w:ind w:left="485"/>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）开采顺序</w:t>
      </w:r>
    </w:p>
    <w:p>
      <w:pPr>
        <w:spacing w:line="219" w:lineRule="auto"/>
        <w:sectPr>
          <w:headerReference w:type="default" r:id="rId203"/>
          <w:footerReference w:type="default" r:id="rId204"/>
          <w:pgSz w:w="11906" w:h="16838"/>
          <w:pgMar w:top="1170" w:right="1353" w:bottom="1080" w:left="1416" w:header="837" w:footer="918" w:gutter="0"/>
        </w:sectPr>
        <w:rPr>
          <w:rFonts w:ascii="SimSun" w:hAnsi="SimSun" w:eastAsia="SimSun" w:cs="SimSun"/>
          <w:sz w:val="24"/>
          <w:szCs w:val="24"/>
        </w:rPr>
      </w:pPr>
    </w:p>
    <w:p>
      <w:pPr>
        <w:pStyle w:val="BodyText"/>
        <w:spacing w:line="311" w:lineRule="auto"/>
        <w:rPr/>
      </w:pPr>
      <w:r/>
    </w:p>
    <w:p>
      <w:pPr>
        <w:ind w:left="606"/>
        <w:spacing w:before="78" w:line="219" w:lineRule="auto"/>
        <w:rPr>
          <w:rFonts w:ascii="SimSun" w:hAnsi="SimSun" w:eastAsia="SimSun" w:cs="SimSun"/>
          <w:sz w:val="24"/>
          <w:szCs w:val="24"/>
        </w:rPr>
      </w:pPr>
      <w:r>
        <w:rPr>
          <w:rFonts w:ascii="SimSun" w:hAnsi="SimSun" w:eastAsia="SimSun" w:cs="SimSun"/>
          <w:sz w:val="24"/>
          <w:szCs w:val="24"/>
        </w:rPr>
        <w:t>根据煤矿开采现状分析，在已有采坑继续向北向</w:t>
      </w:r>
      <w:r>
        <w:rPr>
          <w:rFonts w:ascii="SimSun" w:hAnsi="SimSun" w:eastAsia="SimSun" w:cs="SimSun"/>
          <w:sz w:val="24"/>
          <w:szCs w:val="24"/>
          <w:spacing w:val="-1"/>
        </w:rPr>
        <w:t>西双向推进至采区结束。</w:t>
      </w:r>
    </w:p>
    <w:p>
      <w:pPr>
        <w:ind w:left="613"/>
        <w:spacing w:before="156"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4</w:t>
      </w:r>
      <w:r>
        <w:rPr>
          <w:rFonts w:ascii="SimSun" w:hAnsi="SimSun" w:eastAsia="SimSun" w:cs="SimSun"/>
          <w:sz w:val="24"/>
          <w:szCs w:val="24"/>
          <w:spacing w:val="-3"/>
        </w:rPr>
        <w:t>）开采参数</w:t>
      </w:r>
    </w:p>
    <w:p>
      <w:pPr>
        <w:ind w:left="146" w:right="117" w:firstLine="463"/>
        <w:spacing w:before="154" w:line="339" w:lineRule="auto"/>
        <w:rPr>
          <w:rFonts w:ascii="SimSun" w:hAnsi="SimSun" w:eastAsia="SimSun" w:cs="SimSun"/>
          <w:sz w:val="24"/>
          <w:szCs w:val="24"/>
        </w:rPr>
      </w:pPr>
      <w:r>
        <w:rPr>
          <w:rFonts w:ascii="SimSun" w:hAnsi="SimSun" w:eastAsia="SimSun" w:cs="SimSun"/>
          <w:sz w:val="24"/>
          <w:szCs w:val="24"/>
          <w:spacing w:val="-2"/>
        </w:rPr>
        <w:t>剥离采用单斗——卡车工艺；采煤采用单斗——卡车半移动破碎机——胶带运输机</w:t>
      </w:r>
      <w:r>
        <w:rPr>
          <w:rFonts w:ascii="SimSun" w:hAnsi="SimSun" w:eastAsia="SimSun" w:cs="SimSun"/>
          <w:sz w:val="24"/>
          <w:szCs w:val="24"/>
          <w:spacing w:val="-5"/>
        </w:rPr>
        <w:t>的半连续工艺。</w:t>
      </w:r>
    </w:p>
    <w:p>
      <w:pPr>
        <w:ind w:left="625"/>
        <w:spacing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）台阶高度</w:t>
      </w:r>
    </w:p>
    <w:p>
      <w:pPr>
        <w:ind w:left="127" w:right="117" w:firstLine="497"/>
        <w:spacing w:before="153" w:line="338" w:lineRule="auto"/>
        <w:rPr>
          <w:rFonts w:ascii="SimSun" w:hAnsi="SimSun" w:eastAsia="SimSun" w:cs="SimSun"/>
          <w:sz w:val="24"/>
          <w:szCs w:val="24"/>
        </w:rPr>
      </w:pPr>
      <w:r>
        <w:rPr>
          <w:rFonts w:ascii="SimSun" w:hAnsi="SimSun" w:eastAsia="SimSun" w:cs="SimSun"/>
          <w:sz w:val="24"/>
          <w:szCs w:val="24"/>
          <w:spacing w:val="-2"/>
        </w:rPr>
        <w:t>台阶高度是根据该露天矿剥离土岩性质、工艺特点、设备规格、开拓</w:t>
      </w:r>
      <w:r>
        <w:rPr>
          <w:rFonts w:ascii="SimSun" w:hAnsi="SimSun" w:eastAsia="SimSun" w:cs="SimSun"/>
          <w:sz w:val="24"/>
          <w:szCs w:val="24"/>
          <w:spacing w:val="-3"/>
        </w:rPr>
        <w:t>开采要求以及</w:t>
      </w:r>
      <w:r>
        <w:rPr>
          <w:rFonts w:ascii="SimSun" w:hAnsi="SimSun" w:eastAsia="SimSun" w:cs="SimSun"/>
          <w:sz w:val="24"/>
          <w:szCs w:val="24"/>
          <w:spacing w:val="-2"/>
        </w:rPr>
        <w:t>从改善设备作业条件、提高设备生产效率等因素综合考虑确定。台阶高度是露天矿的主</w:t>
      </w:r>
      <w:r>
        <w:rPr>
          <w:rFonts w:ascii="SimSun" w:hAnsi="SimSun" w:eastAsia="SimSun" w:cs="SimSun"/>
          <w:sz w:val="24"/>
          <w:szCs w:val="24"/>
          <w:spacing w:val="-2"/>
        </w:rPr>
        <w:t>要开采参数之一，设计考虑液压挖掘机最大挖掘深度，对剥离的台阶高度确定如下：剥</w:t>
      </w:r>
      <w:r>
        <w:rPr>
          <w:rFonts w:ascii="SimSun" w:hAnsi="SimSun" w:eastAsia="SimSun" w:cs="SimSun"/>
          <w:sz w:val="24"/>
          <w:szCs w:val="24"/>
          <w:spacing w:val="-2"/>
        </w:rPr>
        <w:t>离台阶高度</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12m(</w:t>
      </w:r>
      <w:r>
        <w:rPr>
          <w:rFonts w:ascii="SimSun" w:hAnsi="SimSun" w:eastAsia="SimSun" w:cs="SimSun"/>
          <w:sz w:val="24"/>
          <w:szCs w:val="24"/>
          <w:spacing w:val="-2"/>
        </w:rPr>
        <w:t>最大不超过</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，表土层水平、煤层中夹矸倾斜划分台阶。剥</w:t>
      </w:r>
      <w:r>
        <w:rPr>
          <w:rFonts w:ascii="SimSun" w:hAnsi="SimSun" w:eastAsia="SimSun" w:cs="SimSun"/>
          <w:sz w:val="24"/>
          <w:szCs w:val="24"/>
          <w:spacing w:val="-3"/>
        </w:rPr>
        <w:t>采设备</w:t>
      </w:r>
      <w:r>
        <w:rPr>
          <w:rFonts w:ascii="SimSun" w:hAnsi="SimSun" w:eastAsia="SimSun" w:cs="SimSun"/>
          <w:sz w:val="24"/>
          <w:szCs w:val="24"/>
          <w:spacing w:val="-2"/>
        </w:rPr>
        <w:t>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2.8  </w:t>
      </w:r>
      <w:r>
        <w:rPr>
          <w:rFonts w:ascii="SimSun" w:hAnsi="SimSun" w:eastAsia="SimSun" w:cs="SimSun"/>
          <w:sz w:val="24"/>
          <w:szCs w:val="24"/>
          <w:spacing w:val="-2"/>
        </w:rPr>
        <w:t>～</w:t>
      </w:r>
      <w:r>
        <w:rPr>
          <w:rFonts w:ascii="Times New Roman" w:hAnsi="Times New Roman" w:eastAsia="Times New Roman" w:cs="Times New Roman"/>
          <w:sz w:val="24"/>
          <w:szCs w:val="24"/>
          <w:spacing w:val="-2"/>
        </w:rPr>
        <w:t>3.2m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15"/>
          <w:szCs w:val="15"/>
          <w:spacing w:val="13"/>
          <w:w w:val="101"/>
          <w:position w:val="7"/>
        </w:rPr>
        <w:t xml:space="preserve"> </w:t>
      </w:r>
      <w:r>
        <w:rPr>
          <w:rFonts w:ascii="SimSun" w:hAnsi="SimSun" w:eastAsia="SimSun" w:cs="SimSun"/>
          <w:sz w:val="24"/>
          <w:szCs w:val="24"/>
          <w:spacing w:val="-2"/>
        </w:rPr>
        <w:t>液压挖掘机，采用分层作业方式，以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4m </w:t>
      </w:r>
      <w:r>
        <w:rPr>
          <w:rFonts w:ascii="SimSun" w:hAnsi="SimSun" w:eastAsia="SimSun" w:cs="SimSun"/>
          <w:sz w:val="24"/>
          <w:szCs w:val="24"/>
          <w:spacing w:val="-2"/>
        </w:rPr>
        <w:t>划分小台阶进行开采。</w:t>
      </w:r>
    </w:p>
    <w:p>
      <w:pPr>
        <w:ind w:left="602"/>
        <w:spacing w:before="5"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）采煤台阶高度</w:t>
      </w:r>
    </w:p>
    <w:p>
      <w:pPr>
        <w:ind w:left="121" w:right="32" w:firstLine="514"/>
        <w:spacing w:before="156" w:line="338" w:lineRule="auto"/>
        <w:rPr>
          <w:rFonts w:ascii="SimSun" w:hAnsi="SimSun" w:eastAsia="SimSun" w:cs="SimSun"/>
          <w:sz w:val="24"/>
          <w:szCs w:val="24"/>
        </w:rPr>
      </w:pPr>
      <w:r>
        <w:rPr>
          <w:rFonts w:ascii="SimSun" w:hAnsi="SimSun" w:eastAsia="SimSun" w:cs="SimSun"/>
          <w:sz w:val="24"/>
          <w:szCs w:val="24"/>
          <w:spacing w:val="-3"/>
        </w:rPr>
        <w:t>由于煤层倾角约为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r>
        <w:rPr>
          <w:rFonts w:ascii="SimSun" w:hAnsi="SimSun" w:eastAsia="SimSun" w:cs="SimSun"/>
          <w:sz w:val="24"/>
          <w:szCs w:val="24"/>
          <w:spacing w:val="-91"/>
        </w:rPr>
        <w:t xml:space="preserve"> </w:t>
      </w:r>
      <w:r>
        <w:rPr>
          <w:rFonts w:ascii="SimSun" w:hAnsi="SimSun" w:eastAsia="SimSun" w:cs="SimSun"/>
          <w:sz w:val="24"/>
          <w:szCs w:val="24"/>
          <w:spacing w:val="-3"/>
        </w:rPr>
        <w:t>,</w:t>
      </w:r>
      <w:r>
        <w:rPr>
          <w:rFonts w:ascii="SimSun" w:hAnsi="SimSun" w:eastAsia="SimSun" w:cs="SimSun"/>
          <w:sz w:val="24"/>
          <w:szCs w:val="24"/>
          <w:spacing w:val="82"/>
        </w:rPr>
        <w:t xml:space="preserve"> </w:t>
      </w:r>
      <w:r>
        <w:rPr>
          <w:rFonts w:ascii="SimSun" w:hAnsi="SimSun" w:eastAsia="SimSun" w:cs="SimSun"/>
          <w:sz w:val="24"/>
          <w:szCs w:val="24"/>
          <w:spacing w:val="-3"/>
        </w:rPr>
        <w:t>因此采用水平分层划分台阶。由于该矿煤层厚度较</w:t>
      </w:r>
      <w:r>
        <w:rPr>
          <w:rFonts w:ascii="SimSun" w:hAnsi="SimSun" w:eastAsia="SimSun" w:cs="SimSun"/>
          <w:sz w:val="24"/>
          <w:szCs w:val="24"/>
          <w:spacing w:val="-7"/>
        </w:rPr>
        <w:t>大，采煤台阶高度为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12m</w:t>
      </w:r>
      <w:r>
        <w:rPr>
          <w:rFonts w:ascii="SimSun" w:hAnsi="SimSun" w:eastAsia="SimSun" w:cs="SimSun"/>
          <w:sz w:val="24"/>
          <w:szCs w:val="24"/>
          <w:spacing w:val="-7"/>
        </w:rPr>
        <w:t>。采煤设备为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2.8 m</w:t>
      </w:r>
      <w:r>
        <w:rPr>
          <w:rFonts w:ascii="Times New Roman" w:hAnsi="Times New Roman" w:eastAsia="Times New Roman" w:cs="Times New Roman"/>
          <w:sz w:val="15"/>
          <w:szCs w:val="15"/>
          <w:spacing w:val="-7"/>
          <w:position w:val="7"/>
        </w:rPr>
        <w:t>3</w:t>
      </w:r>
      <w:r>
        <w:rPr>
          <w:rFonts w:ascii="Times New Roman" w:hAnsi="Times New Roman" w:eastAsia="Times New Roman" w:cs="Times New Roman"/>
          <w:sz w:val="15"/>
          <w:szCs w:val="15"/>
          <w:spacing w:val="16"/>
          <w:w w:val="101"/>
          <w:position w:val="7"/>
        </w:rPr>
        <w:t xml:space="preserve"> </w:t>
      </w:r>
      <w:r>
        <w:rPr>
          <w:rFonts w:ascii="SimSun" w:hAnsi="SimSun" w:eastAsia="SimSun" w:cs="SimSun"/>
          <w:sz w:val="24"/>
          <w:szCs w:val="24"/>
          <w:spacing w:val="-7"/>
        </w:rPr>
        <w:t>液</w:t>
      </w:r>
      <w:r>
        <w:rPr>
          <w:rFonts w:ascii="SimSun" w:hAnsi="SimSun" w:eastAsia="SimSun" w:cs="SimSun"/>
          <w:sz w:val="24"/>
          <w:szCs w:val="24"/>
          <w:spacing w:val="-8"/>
        </w:rPr>
        <w:t>压挖掘机，采用分层作业方式，以</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8"/>
        </w:rPr>
        <w:t>4</w:t>
      </w:r>
      <w:r>
        <w:rPr>
          <w:rFonts w:ascii="SimSun" w:hAnsi="SimSun" w:eastAsia="SimSun" w:cs="SimSun"/>
          <w:sz w:val="24"/>
          <w:szCs w:val="24"/>
          <w:spacing w:val="-8"/>
        </w:rPr>
        <w:t>、</w:t>
      </w:r>
      <w:r>
        <w:rPr>
          <w:rFonts w:ascii="Times New Roman" w:hAnsi="Times New Roman" w:eastAsia="Times New Roman" w:cs="Times New Roman"/>
          <w:sz w:val="24"/>
          <w:szCs w:val="24"/>
          <w:spacing w:val="-8"/>
        </w:rPr>
        <w:t>4</w:t>
      </w:r>
      <w:r>
        <w:rPr>
          <w:rFonts w:ascii="SimSun" w:hAnsi="SimSun" w:eastAsia="SimSun" w:cs="SimSun"/>
          <w:sz w:val="24"/>
          <w:szCs w:val="24"/>
          <w:spacing w:val="-8"/>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4m </w:t>
      </w:r>
      <w:r>
        <w:rPr>
          <w:rFonts w:ascii="SimSun" w:hAnsi="SimSun" w:eastAsia="SimSun" w:cs="SimSun"/>
          <w:sz w:val="24"/>
          <w:szCs w:val="24"/>
          <w:spacing w:val="-1"/>
        </w:rPr>
        <w:t>划分小台阶进行开采。</w:t>
      </w:r>
    </w:p>
    <w:p>
      <w:pPr>
        <w:ind w:left="607"/>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）台阶坡面角</w:t>
      </w:r>
    </w:p>
    <w:p>
      <w:pPr>
        <w:ind w:left="625"/>
        <w:spacing w:before="156" w:line="216" w:lineRule="auto"/>
        <w:rPr>
          <w:rFonts w:ascii="SimSun" w:hAnsi="SimSun" w:eastAsia="SimSun" w:cs="SimSun"/>
          <w:sz w:val="24"/>
          <w:szCs w:val="24"/>
        </w:rPr>
      </w:pPr>
      <w:r>
        <w:rPr>
          <w:rFonts w:ascii="SimSun" w:hAnsi="SimSun" w:eastAsia="SimSun" w:cs="SimSun"/>
          <w:sz w:val="24"/>
          <w:szCs w:val="24"/>
          <w:spacing w:val="-10"/>
        </w:rPr>
        <w:t>台阶坡面角</w:t>
      </w:r>
      <w:r>
        <w:rPr>
          <w:rFonts w:ascii="Times New Roman" w:hAnsi="Times New Roman" w:eastAsia="Times New Roman" w:cs="Times New Roman"/>
          <w:sz w:val="24"/>
          <w:szCs w:val="24"/>
          <w:spacing w:val="-10"/>
        </w:rPr>
        <w:t>:</w:t>
      </w:r>
      <w:r>
        <w:rPr>
          <w:rFonts w:ascii="SimSun" w:hAnsi="SimSun" w:eastAsia="SimSun" w:cs="SimSun"/>
          <w:sz w:val="24"/>
          <w:szCs w:val="24"/>
          <w:spacing w:val="-10"/>
        </w:rPr>
        <w:t>表土为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0"/>
        </w:rPr>
        <w:t>50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0"/>
        </w:rPr>
        <w:t>°</w:t>
      </w:r>
      <w:r>
        <w:rPr>
          <w:rFonts w:ascii="SimSun" w:hAnsi="SimSun" w:eastAsia="SimSun" w:cs="SimSun"/>
          <w:sz w:val="24"/>
          <w:szCs w:val="24"/>
          <w:spacing w:val="-91"/>
        </w:rPr>
        <w:t xml:space="preserve"> </w:t>
      </w:r>
      <w:r>
        <w:rPr>
          <w:rFonts w:ascii="SimSun" w:hAnsi="SimSun" w:eastAsia="SimSun" w:cs="SimSun"/>
          <w:sz w:val="24"/>
          <w:szCs w:val="24"/>
          <w:spacing w:val="-10"/>
        </w:rPr>
        <w:t>,</w:t>
      </w:r>
      <w:r>
        <w:rPr>
          <w:rFonts w:ascii="SimSun" w:hAnsi="SimSun" w:eastAsia="SimSun" w:cs="SimSun"/>
          <w:sz w:val="24"/>
          <w:szCs w:val="24"/>
          <w:spacing w:val="64"/>
        </w:rPr>
        <w:t xml:space="preserve"> </w:t>
      </w:r>
      <w:r>
        <w:rPr>
          <w:rFonts w:ascii="SimSun" w:hAnsi="SimSun" w:eastAsia="SimSun" w:cs="SimSun"/>
          <w:sz w:val="24"/>
          <w:szCs w:val="24"/>
          <w:spacing w:val="-10"/>
        </w:rPr>
        <w:t>煤、岩为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0"/>
        </w:rPr>
        <w:t>65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0"/>
        </w:rPr>
        <w:t>°。</w:t>
      </w:r>
    </w:p>
    <w:p>
      <w:pPr>
        <w:ind w:left="601"/>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）采掘带宽度</w:t>
      </w:r>
    </w:p>
    <w:p>
      <w:pPr>
        <w:ind w:left="609"/>
        <w:spacing w:before="155" w:line="219" w:lineRule="auto"/>
        <w:rPr>
          <w:rFonts w:ascii="SimSun" w:hAnsi="SimSun" w:eastAsia="SimSun" w:cs="SimSun"/>
          <w:sz w:val="24"/>
          <w:szCs w:val="24"/>
        </w:rPr>
      </w:pPr>
      <w:r>
        <w:rPr>
          <w:rFonts w:ascii="SimSun" w:hAnsi="SimSun" w:eastAsia="SimSun" w:cs="SimSun"/>
          <w:sz w:val="24"/>
          <w:szCs w:val="24"/>
          <w:spacing w:val="-3"/>
        </w:rPr>
        <w:t>剥离台阶采掘带宽度均为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3"/>
        </w:rPr>
        <w:t>12m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。工作平盘要素见图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3-5-3</w:t>
      </w:r>
      <w:r>
        <w:rPr>
          <w:rFonts w:ascii="SimSun" w:hAnsi="SimSun" w:eastAsia="SimSun" w:cs="SimSun"/>
          <w:sz w:val="24"/>
          <w:szCs w:val="24"/>
          <w:spacing w:val="-3"/>
        </w:rPr>
        <w:t>。</w:t>
      </w:r>
    </w:p>
    <w:p>
      <w:pPr>
        <w:ind w:left="2617"/>
        <w:spacing w:before="154" w:line="219" w:lineRule="auto"/>
        <w:rPr>
          <w:rFonts w:ascii="SimSun" w:hAnsi="SimSun" w:eastAsia="SimSun" w:cs="SimSun"/>
          <w:sz w:val="24"/>
          <w:szCs w:val="24"/>
        </w:rPr>
      </w:pPr>
      <w:r>
        <w:rPr>
          <w:rFonts w:ascii="SimSun" w:hAnsi="SimSun" w:eastAsia="SimSun" w:cs="SimSun"/>
          <w:sz w:val="24"/>
          <w:szCs w:val="24"/>
          <w:b/>
          <w:bCs/>
          <w:spacing w:val="-3"/>
        </w:rPr>
        <w:t>单斗——卡车开采工艺采剥工作平盘要素表</w:t>
      </w:r>
    </w:p>
    <w:p>
      <w:pPr>
        <w:ind w:left="124"/>
        <w:spacing w:before="43"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3-5-8</w:t>
      </w:r>
    </w:p>
    <w:tbl>
      <w:tblPr>
        <w:tblStyle w:val="TableNormal"/>
        <w:tblW w:w="930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2"/>
        <w:gridCol w:w="2766"/>
        <w:gridCol w:w="1068"/>
        <w:gridCol w:w="2348"/>
        <w:gridCol w:w="2348"/>
      </w:tblGrid>
      <w:tr>
        <w:trPr>
          <w:trHeight w:val="282" w:hRule="atLeast"/>
        </w:trPr>
        <w:tc>
          <w:tcPr>
            <w:tcW w:w="772" w:type="dxa"/>
            <w:vAlign w:val="top"/>
            <w:vMerge w:val="restart"/>
            <w:tcBorders>
              <w:bottom w:val="nil"/>
            </w:tcBorders>
          </w:tcPr>
          <w:p>
            <w:pPr>
              <w:ind w:left="182"/>
              <w:spacing w:before="172" w:line="228" w:lineRule="auto"/>
              <w:rPr>
                <w:rFonts w:ascii="SimSun" w:hAnsi="SimSun" w:eastAsia="SimSun" w:cs="SimSun"/>
                <w:sz w:val="20"/>
                <w:szCs w:val="20"/>
              </w:rPr>
            </w:pPr>
            <w:r>
              <w:rPr>
                <w:rFonts w:ascii="SimSun" w:hAnsi="SimSun" w:eastAsia="SimSun" w:cs="SimSun"/>
                <w:sz w:val="20"/>
                <w:szCs w:val="20"/>
                <w:spacing w:val="3"/>
              </w:rPr>
              <w:t>符号</w:t>
            </w:r>
          </w:p>
        </w:tc>
        <w:tc>
          <w:tcPr>
            <w:tcW w:w="2766" w:type="dxa"/>
            <w:vAlign w:val="top"/>
            <w:vMerge w:val="restart"/>
            <w:tcBorders>
              <w:bottom w:val="nil"/>
            </w:tcBorders>
          </w:tcPr>
          <w:p>
            <w:pPr>
              <w:ind w:left="970"/>
              <w:spacing w:before="172" w:line="228" w:lineRule="auto"/>
              <w:rPr>
                <w:rFonts w:ascii="SimSun" w:hAnsi="SimSun" w:eastAsia="SimSun" w:cs="SimSun"/>
                <w:sz w:val="20"/>
                <w:szCs w:val="20"/>
              </w:rPr>
            </w:pPr>
            <w:r>
              <w:rPr>
                <w:rFonts w:ascii="SimSun" w:hAnsi="SimSun" w:eastAsia="SimSun" w:cs="SimSun"/>
                <w:sz w:val="20"/>
                <w:szCs w:val="20"/>
                <w:spacing w:val="6"/>
              </w:rPr>
              <w:t>符号意义</w:t>
            </w:r>
          </w:p>
        </w:tc>
        <w:tc>
          <w:tcPr>
            <w:tcW w:w="1068" w:type="dxa"/>
            <w:vAlign w:val="top"/>
            <w:vMerge w:val="restart"/>
            <w:tcBorders>
              <w:bottom w:val="nil"/>
            </w:tcBorders>
          </w:tcPr>
          <w:p>
            <w:pPr>
              <w:ind w:left="328"/>
              <w:spacing w:before="173" w:line="228" w:lineRule="auto"/>
              <w:rPr>
                <w:rFonts w:ascii="SimSun" w:hAnsi="SimSun" w:eastAsia="SimSun" w:cs="SimSun"/>
                <w:sz w:val="20"/>
                <w:szCs w:val="20"/>
              </w:rPr>
            </w:pPr>
            <w:r>
              <w:rPr>
                <w:rFonts w:ascii="SimSun" w:hAnsi="SimSun" w:eastAsia="SimSun" w:cs="SimSun"/>
                <w:sz w:val="20"/>
                <w:szCs w:val="20"/>
                <w:spacing w:val="3"/>
              </w:rPr>
              <w:t>单位</w:t>
            </w:r>
          </w:p>
        </w:tc>
        <w:tc>
          <w:tcPr>
            <w:tcW w:w="4696" w:type="dxa"/>
            <w:vAlign w:val="top"/>
            <w:gridSpan w:val="2"/>
          </w:tcPr>
          <w:p>
            <w:pPr>
              <w:ind w:left="2036"/>
              <w:spacing w:before="33" w:line="220" w:lineRule="auto"/>
              <w:rPr>
                <w:rFonts w:ascii="SimSun" w:hAnsi="SimSun" w:eastAsia="SimSun" w:cs="SimSun"/>
                <w:sz w:val="20"/>
                <w:szCs w:val="20"/>
              </w:rPr>
            </w:pPr>
            <w:r>
              <w:rPr>
                <w:rFonts w:ascii="SimSun" w:hAnsi="SimSun" w:eastAsia="SimSun" w:cs="SimSun"/>
                <w:sz w:val="20"/>
                <w:szCs w:val="20"/>
                <w:spacing w:val="6"/>
              </w:rPr>
              <w:t>要素值</w:t>
            </w:r>
          </w:p>
        </w:tc>
      </w:tr>
      <w:tr>
        <w:trPr>
          <w:trHeight w:val="275" w:hRule="atLeast"/>
        </w:trPr>
        <w:tc>
          <w:tcPr>
            <w:tcW w:w="772" w:type="dxa"/>
            <w:vAlign w:val="top"/>
            <w:vMerge w:val="continue"/>
            <w:tcBorders>
              <w:top w:val="nil"/>
            </w:tcBorders>
          </w:tcPr>
          <w:p>
            <w:pPr>
              <w:rPr>
                <w:rFonts w:ascii="Arial"/>
                <w:sz w:val="21"/>
              </w:rPr>
            </w:pPr>
            <w:r/>
          </w:p>
        </w:tc>
        <w:tc>
          <w:tcPr>
            <w:tcW w:w="2766" w:type="dxa"/>
            <w:vAlign w:val="top"/>
            <w:vMerge w:val="continue"/>
            <w:tcBorders>
              <w:top w:val="nil"/>
            </w:tcBorders>
          </w:tcPr>
          <w:p>
            <w:pPr>
              <w:rPr>
                <w:rFonts w:ascii="Arial"/>
                <w:sz w:val="21"/>
              </w:rPr>
            </w:pPr>
            <w:r/>
          </w:p>
        </w:tc>
        <w:tc>
          <w:tcPr>
            <w:tcW w:w="1068" w:type="dxa"/>
            <w:vAlign w:val="top"/>
            <w:vMerge w:val="continue"/>
            <w:tcBorders>
              <w:top w:val="nil"/>
            </w:tcBorders>
          </w:tcPr>
          <w:p>
            <w:pPr>
              <w:rPr>
                <w:rFonts w:ascii="Arial"/>
                <w:sz w:val="21"/>
              </w:rPr>
            </w:pPr>
            <w:r/>
          </w:p>
        </w:tc>
        <w:tc>
          <w:tcPr>
            <w:tcW w:w="2348" w:type="dxa"/>
            <w:vAlign w:val="top"/>
          </w:tcPr>
          <w:p>
            <w:pPr>
              <w:ind w:left="1076"/>
              <w:spacing w:before="29" w:line="217" w:lineRule="auto"/>
              <w:rPr>
                <w:rFonts w:ascii="SimSun" w:hAnsi="SimSun" w:eastAsia="SimSun" w:cs="SimSun"/>
                <w:sz w:val="20"/>
                <w:szCs w:val="20"/>
              </w:rPr>
            </w:pPr>
            <w:r>
              <w:rPr>
                <w:rFonts w:ascii="SimSun" w:hAnsi="SimSun" w:eastAsia="SimSun" w:cs="SimSun"/>
                <w:sz w:val="20"/>
                <w:szCs w:val="20"/>
              </w:rPr>
              <w:t>土</w:t>
            </w:r>
          </w:p>
        </w:tc>
        <w:tc>
          <w:tcPr>
            <w:tcW w:w="2348" w:type="dxa"/>
            <w:vAlign w:val="top"/>
          </w:tcPr>
          <w:p>
            <w:pPr>
              <w:ind w:left="863"/>
              <w:spacing w:before="29" w:line="217" w:lineRule="auto"/>
              <w:rPr>
                <w:rFonts w:ascii="SimSun" w:hAnsi="SimSun" w:eastAsia="SimSun" w:cs="SimSun"/>
                <w:sz w:val="20"/>
                <w:szCs w:val="20"/>
              </w:rPr>
            </w:pPr>
            <w:r>
              <w:rPr>
                <w:rFonts w:ascii="SimSun" w:hAnsi="SimSun" w:eastAsia="SimSun" w:cs="SimSun"/>
                <w:sz w:val="20"/>
                <w:szCs w:val="20"/>
                <w:spacing w:val="6"/>
              </w:rPr>
              <w:t>岩、煤</w:t>
            </w:r>
          </w:p>
        </w:tc>
      </w:tr>
      <w:tr>
        <w:trPr>
          <w:trHeight w:val="278" w:hRule="atLeast"/>
        </w:trPr>
        <w:tc>
          <w:tcPr>
            <w:tcW w:w="772" w:type="dxa"/>
            <w:vAlign w:val="top"/>
          </w:tcPr>
          <w:p>
            <w:pPr>
              <w:pStyle w:val="TableText"/>
              <w:ind w:left="312"/>
              <w:spacing w:before="72" w:line="192" w:lineRule="auto"/>
              <w:rPr/>
            </w:pPr>
            <w:r>
              <w:rPr>
                <w:spacing w:val="2"/>
              </w:rPr>
              <w:t>H</w:t>
            </w:r>
          </w:p>
        </w:tc>
        <w:tc>
          <w:tcPr>
            <w:tcW w:w="2766" w:type="dxa"/>
            <w:vAlign w:val="top"/>
          </w:tcPr>
          <w:p>
            <w:pPr>
              <w:ind w:left="985"/>
              <w:spacing w:before="32" w:line="217" w:lineRule="auto"/>
              <w:rPr>
                <w:rFonts w:ascii="SimSun" w:hAnsi="SimSun" w:eastAsia="SimSun" w:cs="SimSun"/>
                <w:sz w:val="20"/>
                <w:szCs w:val="20"/>
              </w:rPr>
            </w:pPr>
            <w:r>
              <w:rPr>
                <w:rFonts w:ascii="SimSun" w:hAnsi="SimSun" w:eastAsia="SimSun" w:cs="SimSun"/>
                <w:sz w:val="20"/>
                <w:szCs w:val="20"/>
                <w:spacing w:val="3"/>
              </w:rPr>
              <w:t>台阶高度</w:t>
            </w:r>
          </w:p>
        </w:tc>
        <w:tc>
          <w:tcPr>
            <w:tcW w:w="1068" w:type="dxa"/>
            <w:vAlign w:val="top"/>
          </w:tcPr>
          <w:p>
            <w:pPr>
              <w:pStyle w:val="TableText"/>
              <w:ind w:left="452"/>
              <w:spacing w:before="115" w:line="141" w:lineRule="exact"/>
              <w:rPr/>
            </w:pPr>
            <w:r>
              <w:rPr>
                <w:spacing w:val="5"/>
              </w:rPr>
              <w:t>m</w:t>
            </w:r>
          </w:p>
        </w:tc>
        <w:tc>
          <w:tcPr>
            <w:tcW w:w="2348" w:type="dxa"/>
            <w:vAlign w:val="top"/>
          </w:tcPr>
          <w:p>
            <w:pPr>
              <w:pStyle w:val="TableText"/>
              <w:ind w:left="1091"/>
              <w:spacing w:before="69" w:line="195" w:lineRule="auto"/>
              <w:rPr/>
            </w:pPr>
            <w:r>
              <w:rPr>
                <w:spacing w:val="-8"/>
              </w:rPr>
              <w:t>12</w:t>
            </w:r>
          </w:p>
        </w:tc>
        <w:tc>
          <w:tcPr>
            <w:tcW w:w="2348" w:type="dxa"/>
            <w:vAlign w:val="top"/>
          </w:tcPr>
          <w:p>
            <w:pPr>
              <w:pStyle w:val="TableText"/>
              <w:ind w:left="1091"/>
              <w:spacing w:before="69" w:line="195" w:lineRule="auto"/>
              <w:rPr/>
            </w:pPr>
            <w:r>
              <w:rPr>
                <w:spacing w:val="-8"/>
              </w:rPr>
              <w:t>12</w:t>
            </w:r>
          </w:p>
        </w:tc>
      </w:tr>
      <w:tr>
        <w:trPr>
          <w:trHeight w:val="278" w:hRule="atLeast"/>
        </w:trPr>
        <w:tc>
          <w:tcPr>
            <w:tcW w:w="772" w:type="dxa"/>
            <w:vAlign w:val="top"/>
          </w:tcPr>
          <w:p>
            <w:pPr>
              <w:pStyle w:val="TableText"/>
              <w:ind w:left="311"/>
              <w:spacing w:before="67" w:line="195" w:lineRule="auto"/>
              <w:rPr/>
            </w:pPr>
            <w:r>
              <w:rPr>
                <w:spacing w:val="4"/>
              </w:rPr>
              <w:t>A</w:t>
            </w:r>
          </w:p>
        </w:tc>
        <w:tc>
          <w:tcPr>
            <w:tcW w:w="2766" w:type="dxa"/>
            <w:vAlign w:val="top"/>
          </w:tcPr>
          <w:p>
            <w:pPr>
              <w:ind w:left="859"/>
              <w:spacing w:before="30" w:line="219" w:lineRule="auto"/>
              <w:rPr>
                <w:rFonts w:ascii="SimSun" w:hAnsi="SimSun" w:eastAsia="SimSun" w:cs="SimSun"/>
                <w:sz w:val="20"/>
                <w:szCs w:val="20"/>
              </w:rPr>
            </w:pPr>
            <w:r>
              <w:rPr>
                <w:rFonts w:ascii="SimSun" w:hAnsi="SimSun" w:eastAsia="SimSun" w:cs="SimSun"/>
                <w:sz w:val="20"/>
                <w:szCs w:val="20"/>
                <w:spacing w:val="8"/>
              </w:rPr>
              <w:t>采掘带宽度</w:t>
            </w:r>
          </w:p>
        </w:tc>
        <w:tc>
          <w:tcPr>
            <w:tcW w:w="1068" w:type="dxa"/>
            <w:vAlign w:val="top"/>
          </w:tcPr>
          <w:p>
            <w:pPr>
              <w:pStyle w:val="TableText"/>
              <w:ind w:left="452"/>
              <w:spacing w:before="112" w:line="141" w:lineRule="exact"/>
              <w:rPr/>
            </w:pPr>
            <w:r>
              <w:rPr>
                <w:spacing w:val="5"/>
              </w:rPr>
              <w:t>m</w:t>
            </w:r>
          </w:p>
        </w:tc>
        <w:tc>
          <w:tcPr>
            <w:tcW w:w="2348" w:type="dxa"/>
            <w:vAlign w:val="top"/>
          </w:tcPr>
          <w:p>
            <w:pPr>
              <w:pStyle w:val="TableText"/>
              <w:ind w:left="1091"/>
              <w:spacing w:before="67" w:line="195" w:lineRule="auto"/>
              <w:rPr/>
            </w:pPr>
            <w:r>
              <w:rPr>
                <w:spacing w:val="-8"/>
              </w:rPr>
              <w:t>12</w:t>
            </w:r>
          </w:p>
        </w:tc>
        <w:tc>
          <w:tcPr>
            <w:tcW w:w="2348" w:type="dxa"/>
            <w:vAlign w:val="top"/>
          </w:tcPr>
          <w:p>
            <w:pPr>
              <w:pStyle w:val="TableText"/>
              <w:ind w:left="1091"/>
              <w:spacing w:before="67" w:line="195" w:lineRule="auto"/>
              <w:rPr/>
            </w:pPr>
            <w:r>
              <w:rPr>
                <w:spacing w:val="-8"/>
              </w:rPr>
              <w:t>12</w:t>
            </w:r>
          </w:p>
        </w:tc>
      </w:tr>
      <w:tr>
        <w:trPr>
          <w:trHeight w:val="275" w:hRule="atLeast"/>
        </w:trPr>
        <w:tc>
          <w:tcPr>
            <w:tcW w:w="772" w:type="dxa"/>
            <w:vAlign w:val="top"/>
          </w:tcPr>
          <w:p>
            <w:pPr>
              <w:pStyle w:val="TableText"/>
              <w:ind w:left="311"/>
              <w:spacing w:before="67" w:line="195" w:lineRule="auto"/>
              <w:rPr/>
            </w:pPr>
            <w:r>
              <w:rPr>
                <w:spacing w:val="4"/>
              </w:rPr>
              <w:t>A</w:t>
            </w:r>
          </w:p>
        </w:tc>
        <w:tc>
          <w:tcPr>
            <w:tcW w:w="2766" w:type="dxa"/>
            <w:vAlign w:val="top"/>
          </w:tcPr>
          <w:p>
            <w:pPr>
              <w:ind w:left="877"/>
              <w:spacing w:before="31" w:line="216" w:lineRule="auto"/>
              <w:rPr>
                <w:rFonts w:ascii="SimSun" w:hAnsi="SimSun" w:eastAsia="SimSun" w:cs="SimSun"/>
                <w:sz w:val="20"/>
                <w:szCs w:val="20"/>
              </w:rPr>
            </w:pPr>
            <w:r>
              <w:rPr>
                <w:rFonts w:ascii="SimSun" w:hAnsi="SimSun" w:eastAsia="SimSun" w:cs="SimSun"/>
                <w:sz w:val="20"/>
                <w:szCs w:val="20"/>
                <w:spacing w:val="4"/>
              </w:rPr>
              <w:t>台阶坡面角</w:t>
            </w:r>
          </w:p>
        </w:tc>
        <w:tc>
          <w:tcPr>
            <w:tcW w:w="1068" w:type="dxa"/>
            <w:vAlign w:val="top"/>
          </w:tcPr>
          <w:p>
            <w:pPr>
              <w:pStyle w:val="TableText"/>
              <w:ind w:left="496"/>
              <w:spacing w:before="66" w:line="192" w:lineRule="auto"/>
              <w:rPr/>
            </w:pPr>
            <w:r>
              <w:rPr/>
              <w:t>°</w:t>
            </w:r>
          </w:p>
        </w:tc>
        <w:tc>
          <w:tcPr>
            <w:tcW w:w="2348" w:type="dxa"/>
            <w:vAlign w:val="top"/>
          </w:tcPr>
          <w:p>
            <w:pPr>
              <w:pStyle w:val="TableText"/>
              <w:ind w:left="1077"/>
              <w:spacing w:before="67" w:line="195" w:lineRule="auto"/>
              <w:rPr/>
            </w:pPr>
            <w:r>
              <w:rPr/>
              <w:t>50</w:t>
            </w:r>
          </w:p>
        </w:tc>
        <w:tc>
          <w:tcPr>
            <w:tcW w:w="2348" w:type="dxa"/>
            <w:vAlign w:val="top"/>
          </w:tcPr>
          <w:p>
            <w:pPr>
              <w:pStyle w:val="TableText"/>
              <w:ind w:left="1075"/>
              <w:spacing w:before="67" w:line="195" w:lineRule="auto"/>
              <w:rPr/>
            </w:pPr>
            <w:r>
              <w:rPr/>
              <w:t>65</w:t>
            </w:r>
          </w:p>
        </w:tc>
      </w:tr>
      <w:tr>
        <w:trPr>
          <w:trHeight w:val="278" w:hRule="atLeast"/>
        </w:trPr>
        <w:tc>
          <w:tcPr>
            <w:tcW w:w="772" w:type="dxa"/>
            <w:vAlign w:val="top"/>
          </w:tcPr>
          <w:p>
            <w:pPr>
              <w:pStyle w:val="TableText"/>
              <w:ind w:left="296"/>
              <w:spacing w:before="64" w:line="201" w:lineRule="auto"/>
              <w:rPr/>
            </w:pPr>
            <w:r>
              <w:rPr/>
              <w:t>Tj</w:t>
            </w:r>
          </w:p>
        </w:tc>
        <w:tc>
          <w:tcPr>
            <w:tcW w:w="2766" w:type="dxa"/>
            <w:vAlign w:val="top"/>
          </w:tcPr>
          <w:p>
            <w:pPr>
              <w:ind w:left="757"/>
              <w:spacing w:before="31" w:line="218" w:lineRule="auto"/>
              <w:rPr>
                <w:rFonts w:ascii="SimSun" w:hAnsi="SimSun" w:eastAsia="SimSun" w:cs="SimSun"/>
                <w:sz w:val="20"/>
                <w:szCs w:val="20"/>
              </w:rPr>
            </w:pPr>
            <w:r>
              <w:rPr>
                <w:rFonts w:ascii="SimSun" w:hAnsi="SimSun" w:eastAsia="SimSun" w:cs="SimSun"/>
                <w:sz w:val="20"/>
                <w:szCs w:val="20"/>
                <w:spacing w:val="8"/>
              </w:rPr>
              <w:t>坡肩安全距离</w:t>
            </w:r>
          </w:p>
        </w:tc>
        <w:tc>
          <w:tcPr>
            <w:tcW w:w="1068" w:type="dxa"/>
            <w:vAlign w:val="top"/>
          </w:tcPr>
          <w:p>
            <w:pPr>
              <w:pStyle w:val="TableText"/>
              <w:ind w:left="452"/>
              <w:spacing w:before="113" w:line="141" w:lineRule="exact"/>
              <w:rPr/>
            </w:pPr>
            <w:r>
              <w:rPr>
                <w:spacing w:val="5"/>
              </w:rPr>
              <w:t>m</w:t>
            </w:r>
          </w:p>
        </w:tc>
        <w:tc>
          <w:tcPr>
            <w:tcW w:w="2348" w:type="dxa"/>
            <w:vAlign w:val="top"/>
          </w:tcPr>
          <w:p>
            <w:pPr>
              <w:pStyle w:val="TableText"/>
              <w:ind w:left="1126"/>
              <w:spacing w:before="67" w:line="195" w:lineRule="auto"/>
              <w:rPr/>
            </w:pPr>
            <w:r>
              <w:rPr/>
              <w:t>3</w:t>
            </w:r>
          </w:p>
        </w:tc>
        <w:tc>
          <w:tcPr>
            <w:tcW w:w="2348" w:type="dxa"/>
            <w:vAlign w:val="top"/>
          </w:tcPr>
          <w:p>
            <w:pPr>
              <w:pStyle w:val="TableText"/>
              <w:ind w:left="1127"/>
              <w:spacing w:before="67" w:line="195" w:lineRule="auto"/>
              <w:rPr/>
            </w:pPr>
            <w:r>
              <w:rPr/>
              <w:t>3</w:t>
            </w:r>
          </w:p>
        </w:tc>
      </w:tr>
      <w:tr>
        <w:trPr>
          <w:trHeight w:val="278" w:hRule="atLeast"/>
        </w:trPr>
        <w:tc>
          <w:tcPr>
            <w:tcW w:w="772" w:type="dxa"/>
            <w:vAlign w:val="top"/>
          </w:tcPr>
          <w:p>
            <w:pPr>
              <w:pStyle w:val="TableText"/>
              <w:ind w:left="274"/>
              <w:spacing w:before="64" w:line="199" w:lineRule="auto"/>
              <w:rPr/>
            </w:pPr>
            <w:r>
              <w:rPr>
                <w:spacing w:val="1"/>
              </w:rPr>
              <w:t>Tb</w:t>
            </w:r>
          </w:p>
        </w:tc>
        <w:tc>
          <w:tcPr>
            <w:tcW w:w="2766" w:type="dxa"/>
            <w:vAlign w:val="top"/>
          </w:tcPr>
          <w:p>
            <w:pPr>
              <w:ind w:left="757"/>
              <w:spacing w:before="31" w:line="218" w:lineRule="auto"/>
              <w:rPr>
                <w:rFonts w:ascii="SimSun" w:hAnsi="SimSun" w:eastAsia="SimSun" w:cs="SimSun"/>
                <w:sz w:val="20"/>
                <w:szCs w:val="20"/>
              </w:rPr>
            </w:pPr>
            <w:r>
              <w:rPr>
                <w:rFonts w:ascii="SimSun" w:hAnsi="SimSun" w:eastAsia="SimSun" w:cs="SimSun"/>
                <w:sz w:val="20"/>
                <w:szCs w:val="20"/>
                <w:spacing w:val="8"/>
              </w:rPr>
              <w:t>爆堆伸出距离</w:t>
            </w:r>
          </w:p>
        </w:tc>
        <w:tc>
          <w:tcPr>
            <w:tcW w:w="1068" w:type="dxa"/>
            <w:vAlign w:val="top"/>
          </w:tcPr>
          <w:p>
            <w:pPr>
              <w:pStyle w:val="TableText"/>
              <w:ind w:left="452"/>
              <w:spacing w:before="114" w:line="141" w:lineRule="exact"/>
              <w:rPr/>
            </w:pPr>
            <w:r>
              <w:rPr>
                <w:spacing w:val="5"/>
              </w:rPr>
              <w:t>m</w:t>
            </w:r>
          </w:p>
        </w:tc>
        <w:tc>
          <w:tcPr>
            <w:tcW w:w="2348" w:type="dxa"/>
            <w:vAlign w:val="top"/>
          </w:tcPr>
          <w:p>
            <w:pPr>
              <w:pStyle w:val="TableText"/>
              <w:ind w:left="1143"/>
              <w:spacing w:before="156" w:line="97" w:lineRule="exact"/>
              <w:rPr/>
            </w:pPr>
            <w:r>
              <w:rPr>
                <w:position w:val="-2"/>
              </w:rPr>
              <w:t>-</w:t>
            </w:r>
          </w:p>
        </w:tc>
        <w:tc>
          <w:tcPr>
            <w:tcW w:w="2348" w:type="dxa"/>
            <w:vAlign w:val="top"/>
          </w:tcPr>
          <w:p>
            <w:pPr>
              <w:pStyle w:val="TableText"/>
              <w:ind w:left="1144"/>
              <w:spacing w:before="156" w:line="97" w:lineRule="exact"/>
              <w:rPr/>
            </w:pPr>
            <w:r>
              <w:rPr>
                <w:position w:val="-2"/>
              </w:rPr>
              <w:t>-</w:t>
            </w:r>
          </w:p>
        </w:tc>
      </w:tr>
      <w:tr>
        <w:trPr>
          <w:trHeight w:val="275" w:hRule="atLeast"/>
        </w:trPr>
        <w:tc>
          <w:tcPr>
            <w:tcW w:w="772" w:type="dxa"/>
            <w:vAlign w:val="top"/>
          </w:tcPr>
          <w:p>
            <w:pPr>
              <w:pStyle w:val="TableText"/>
              <w:ind w:left="327"/>
              <w:spacing w:before="68" w:line="192" w:lineRule="auto"/>
              <w:rPr/>
            </w:pPr>
            <w:r>
              <w:rPr/>
              <w:t>T</w:t>
            </w:r>
          </w:p>
        </w:tc>
        <w:tc>
          <w:tcPr>
            <w:tcW w:w="2766" w:type="dxa"/>
            <w:vAlign w:val="top"/>
          </w:tcPr>
          <w:p>
            <w:pPr>
              <w:ind w:left="757"/>
              <w:spacing w:before="29" w:line="217" w:lineRule="auto"/>
              <w:rPr>
                <w:rFonts w:ascii="SimSun" w:hAnsi="SimSun" w:eastAsia="SimSun" w:cs="SimSun"/>
                <w:sz w:val="20"/>
                <w:szCs w:val="20"/>
              </w:rPr>
            </w:pPr>
            <w:r>
              <w:rPr>
                <w:rFonts w:ascii="SimSun" w:hAnsi="SimSun" w:eastAsia="SimSun" w:cs="SimSun"/>
                <w:sz w:val="20"/>
                <w:szCs w:val="20"/>
                <w:spacing w:val="8"/>
              </w:rPr>
              <w:t>运输通道宽度</w:t>
            </w:r>
          </w:p>
        </w:tc>
        <w:tc>
          <w:tcPr>
            <w:tcW w:w="1068" w:type="dxa"/>
            <w:vAlign w:val="top"/>
          </w:tcPr>
          <w:p>
            <w:pPr>
              <w:pStyle w:val="TableText"/>
              <w:ind w:left="452"/>
              <w:spacing w:before="111" w:line="141" w:lineRule="exact"/>
              <w:rPr/>
            </w:pPr>
            <w:r>
              <w:rPr>
                <w:spacing w:val="5"/>
              </w:rPr>
              <w:t>m</w:t>
            </w:r>
          </w:p>
        </w:tc>
        <w:tc>
          <w:tcPr>
            <w:tcW w:w="2348" w:type="dxa"/>
            <w:vAlign w:val="top"/>
          </w:tcPr>
          <w:p>
            <w:pPr>
              <w:pStyle w:val="TableText"/>
              <w:ind w:left="1071"/>
              <w:spacing w:before="65" w:line="195" w:lineRule="auto"/>
              <w:rPr/>
            </w:pPr>
            <w:r>
              <w:rPr>
                <w:spacing w:val="2"/>
              </w:rPr>
              <w:t>25</w:t>
            </w:r>
          </w:p>
        </w:tc>
        <w:tc>
          <w:tcPr>
            <w:tcW w:w="2348" w:type="dxa"/>
            <w:vAlign w:val="top"/>
          </w:tcPr>
          <w:p>
            <w:pPr>
              <w:pStyle w:val="TableText"/>
              <w:ind w:left="1091"/>
              <w:spacing w:before="66" w:line="195" w:lineRule="auto"/>
              <w:rPr/>
            </w:pPr>
            <w:r>
              <w:rPr>
                <w:spacing w:val="-8"/>
              </w:rPr>
              <w:t>12</w:t>
            </w:r>
          </w:p>
        </w:tc>
      </w:tr>
      <w:tr>
        <w:trPr>
          <w:trHeight w:val="278" w:hRule="atLeast"/>
        </w:trPr>
        <w:tc>
          <w:tcPr>
            <w:tcW w:w="772" w:type="dxa"/>
            <w:vAlign w:val="top"/>
          </w:tcPr>
          <w:p>
            <w:pPr>
              <w:pStyle w:val="TableText"/>
              <w:ind w:left="321"/>
              <w:spacing w:before="69" w:line="195" w:lineRule="auto"/>
              <w:rPr/>
            </w:pPr>
            <w:r>
              <w:rPr/>
              <w:t>C</w:t>
            </w:r>
          </w:p>
        </w:tc>
        <w:tc>
          <w:tcPr>
            <w:tcW w:w="2766" w:type="dxa"/>
            <w:vAlign w:val="top"/>
          </w:tcPr>
          <w:p>
            <w:pPr>
              <w:ind w:left="972"/>
              <w:spacing w:before="32" w:line="217" w:lineRule="auto"/>
              <w:rPr>
                <w:rFonts w:ascii="SimSun" w:hAnsi="SimSun" w:eastAsia="SimSun" w:cs="SimSun"/>
                <w:sz w:val="20"/>
                <w:szCs w:val="20"/>
              </w:rPr>
            </w:pPr>
            <w:r>
              <w:rPr>
                <w:rFonts w:ascii="SimSun" w:hAnsi="SimSun" w:eastAsia="SimSun" w:cs="SimSun"/>
                <w:sz w:val="20"/>
                <w:szCs w:val="20"/>
                <w:spacing w:val="6"/>
              </w:rPr>
              <w:t>安全距离</w:t>
            </w:r>
          </w:p>
        </w:tc>
        <w:tc>
          <w:tcPr>
            <w:tcW w:w="1068" w:type="dxa"/>
            <w:vAlign w:val="top"/>
          </w:tcPr>
          <w:p>
            <w:pPr>
              <w:pStyle w:val="TableText"/>
              <w:ind w:left="452"/>
              <w:spacing w:before="115" w:line="141" w:lineRule="exact"/>
              <w:rPr/>
            </w:pPr>
            <w:r>
              <w:rPr>
                <w:spacing w:val="5"/>
              </w:rPr>
              <w:t>m</w:t>
            </w:r>
          </w:p>
        </w:tc>
        <w:tc>
          <w:tcPr>
            <w:tcW w:w="2348" w:type="dxa"/>
            <w:vAlign w:val="top"/>
          </w:tcPr>
          <w:p>
            <w:pPr>
              <w:pStyle w:val="TableText"/>
              <w:ind w:left="1122"/>
              <w:spacing w:before="69" w:line="195" w:lineRule="auto"/>
              <w:rPr/>
            </w:pPr>
            <w:r>
              <w:rPr/>
              <w:t>2</w:t>
            </w:r>
          </w:p>
        </w:tc>
        <w:tc>
          <w:tcPr>
            <w:tcW w:w="2348" w:type="dxa"/>
            <w:vAlign w:val="top"/>
          </w:tcPr>
          <w:p>
            <w:pPr>
              <w:pStyle w:val="TableText"/>
              <w:ind w:left="1123"/>
              <w:spacing w:before="69" w:line="195" w:lineRule="auto"/>
              <w:rPr/>
            </w:pPr>
            <w:r>
              <w:rPr/>
              <w:t>2</w:t>
            </w:r>
          </w:p>
        </w:tc>
      </w:tr>
      <w:tr>
        <w:trPr>
          <w:trHeight w:val="278" w:hRule="atLeast"/>
        </w:trPr>
        <w:tc>
          <w:tcPr>
            <w:tcW w:w="772" w:type="dxa"/>
            <w:vAlign w:val="top"/>
          </w:tcPr>
          <w:p>
            <w:pPr>
              <w:pStyle w:val="TableText"/>
              <w:ind w:left="316"/>
              <w:spacing w:before="69" w:line="197" w:lineRule="auto"/>
              <w:rPr/>
            </w:pPr>
            <w:r>
              <w:rPr/>
              <w:t>Q</w:t>
            </w:r>
          </w:p>
        </w:tc>
        <w:tc>
          <w:tcPr>
            <w:tcW w:w="2766" w:type="dxa"/>
            <w:vAlign w:val="top"/>
          </w:tcPr>
          <w:p>
            <w:pPr>
              <w:ind w:left="758"/>
              <w:spacing w:before="33" w:line="216" w:lineRule="auto"/>
              <w:rPr>
                <w:rFonts w:ascii="SimSun" w:hAnsi="SimSun" w:eastAsia="SimSun" w:cs="SimSun"/>
                <w:sz w:val="20"/>
                <w:szCs w:val="20"/>
              </w:rPr>
            </w:pPr>
            <w:r>
              <w:rPr>
                <w:rFonts w:ascii="SimSun" w:hAnsi="SimSun" w:eastAsia="SimSun" w:cs="SimSun"/>
                <w:sz w:val="20"/>
                <w:szCs w:val="20"/>
                <w:spacing w:val="8"/>
              </w:rPr>
              <w:t>其他设施通道</w:t>
            </w:r>
          </w:p>
        </w:tc>
        <w:tc>
          <w:tcPr>
            <w:tcW w:w="1068" w:type="dxa"/>
            <w:vAlign w:val="top"/>
          </w:tcPr>
          <w:p>
            <w:pPr>
              <w:pStyle w:val="TableText"/>
              <w:ind w:left="452"/>
              <w:spacing w:before="115" w:line="141" w:lineRule="exact"/>
              <w:rPr/>
            </w:pPr>
            <w:r>
              <w:rPr>
                <w:spacing w:val="5"/>
              </w:rPr>
              <w:t>m</w:t>
            </w:r>
          </w:p>
        </w:tc>
        <w:tc>
          <w:tcPr>
            <w:tcW w:w="2348" w:type="dxa"/>
            <w:vAlign w:val="top"/>
          </w:tcPr>
          <w:p>
            <w:pPr>
              <w:pStyle w:val="TableText"/>
              <w:ind w:left="1126"/>
              <w:spacing w:before="69" w:line="195" w:lineRule="auto"/>
              <w:rPr/>
            </w:pPr>
            <w:r>
              <w:rPr/>
              <w:t>3</w:t>
            </w:r>
          </w:p>
        </w:tc>
        <w:tc>
          <w:tcPr>
            <w:tcW w:w="2348" w:type="dxa"/>
            <w:vAlign w:val="top"/>
          </w:tcPr>
          <w:p>
            <w:pPr>
              <w:pStyle w:val="TableText"/>
              <w:ind w:left="1127"/>
              <w:spacing w:before="69" w:line="195" w:lineRule="auto"/>
              <w:rPr/>
            </w:pPr>
            <w:r>
              <w:rPr/>
              <w:t>3</w:t>
            </w:r>
          </w:p>
        </w:tc>
      </w:tr>
      <w:tr>
        <w:trPr>
          <w:trHeight w:val="275" w:hRule="atLeast"/>
        </w:trPr>
        <w:tc>
          <w:tcPr>
            <w:tcW w:w="772" w:type="dxa"/>
            <w:vAlign w:val="top"/>
          </w:tcPr>
          <w:p>
            <w:pPr>
              <w:pStyle w:val="TableText"/>
              <w:ind w:left="317"/>
              <w:spacing w:before="70" w:line="192" w:lineRule="auto"/>
              <w:rPr/>
            </w:pPr>
            <w:r>
              <w:rPr>
                <w:spacing w:val="2"/>
              </w:rPr>
              <w:t>B</w:t>
            </w:r>
          </w:p>
        </w:tc>
        <w:tc>
          <w:tcPr>
            <w:tcW w:w="2766" w:type="dxa"/>
            <w:vAlign w:val="top"/>
          </w:tcPr>
          <w:p>
            <w:pPr>
              <w:ind w:left="757"/>
              <w:spacing w:before="31" w:line="216" w:lineRule="auto"/>
              <w:rPr>
                <w:rFonts w:ascii="SimSun" w:hAnsi="SimSun" w:eastAsia="SimSun" w:cs="SimSun"/>
                <w:sz w:val="20"/>
                <w:szCs w:val="20"/>
              </w:rPr>
            </w:pPr>
            <w:r>
              <w:rPr>
                <w:rFonts w:ascii="SimSun" w:hAnsi="SimSun" w:eastAsia="SimSun" w:cs="SimSun"/>
                <w:sz w:val="20"/>
                <w:szCs w:val="20"/>
                <w:spacing w:val="8"/>
              </w:rPr>
              <w:t>通路平盘宽度</w:t>
            </w:r>
          </w:p>
        </w:tc>
        <w:tc>
          <w:tcPr>
            <w:tcW w:w="1068" w:type="dxa"/>
            <w:vAlign w:val="top"/>
          </w:tcPr>
          <w:p>
            <w:pPr>
              <w:pStyle w:val="TableText"/>
              <w:ind w:left="452"/>
              <w:spacing w:before="113" w:line="141" w:lineRule="exact"/>
              <w:rPr/>
            </w:pPr>
            <w:r>
              <w:rPr>
                <w:spacing w:val="5"/>
              </w:rPr>
              <w:t>m</w:t>
            </w:r>
          </w:p>
        </w:tc>
        <w:tc>
          <w:tcPr>
            <w:tcW w:w="2348" w:type="dxa"/>
            <w:vAlign w:val="top"/>
          </w:tcPr>
          <w:p>
            <w:pPr>
              <w:pStyle w:val="TableText"/>
              <w:ind w:left="1075"/>
              <w:spacing w:before="67" w:line="195" w:lineRule="auto"/>
              <w:rPr/>
            </w:pPr>
            <w:r>
              <w:rPr/>
              <w:t>33</w:t>
            </w:r>
          </w:p>
        </w:tc>
        <w:tc>
          <w:tcPr>
            <w:tcW w:w="2348" w:type="dxa"/>
            <w:vAlign w:val="top"/>
          </w:tcPr>
          <w:p>
            <w:pPr>
              <w:pStyle w:val="TableText"/>
              <w:ind w:left="1070"/>
              <w:spacing w:before="67" w:line="195" w:lineRule="auto"/>
              <w:rPr/>
            </w:pPr>
            <w:r>
              <w:rPr>
                <w:spacing w:val="2"/>
              </w:rPr>
              <w:t>20</w:t>
            </w:r>
          </w:p>
        </w:tc>
      </w:tr>
      <w:tr>
        <w:trPr>
          <w:trHeight w:val="283" w:hRule="atLeast"/>
        </w:trPr>
        <w:tc>
          <w:tcPr>
            <w:tcW w:w="772" w:type="dxa"/>
            <w:vAlign w:val="top"/>
          </w:tcPr>
          <w:p>
            <w:pPr>
              <w:pStyle w:val="TableText"/>
              <w:ind w:left="212"/>
              <w:spacing w:before="73" w:line="208" w:lineRule="auto"/>
              <w:rPr>
                <w:sz w:val="13"/>
                <w:szCs w:val="13"/>
              </w:rPr>
            </w:pPr>
            <w:r>
              <w:rPr>
                <w:spacing w:val="2"/>
              </w:rPr>
              <w:t>B</w:t>
            </w:r>
            <w:r>
              <w:rPr>
                <w:sz w:val="13"/>
                <w:szCs w:val="13"/>
                <w:spacing w:val="2"/>
              </w:rPr>
              <w:t>min</w:t>
            </w:r>
          </w:p>
        </w:tc>
        <w:tc>
          <w:tcPr>
            <w:tcW w:w="2766" w:type="dxa"/>
            <w:vAlign w:val="top"/>
          </w:tcPr>
          <w:p>
            <w:pPr>
              <w:ind w:left="551"/>
              <w:spacing w:before="34" w:line="220" w:lineRule="auto"/>
              <w:rPr>
                <w:rFonts w:ascii="SimSun" w:hAnsi="SimSun" w:eastAsia="SimSun" w:cs="SimSun"/>
                <w:sz w:val="20"/>
                <w:szCs w:val="20"/>
              </w:rPr>
            </w:pPr>
            <w:r>
              <w:rPr>
                <w:rFonts w:ascii="SimSun" w:hAnsi="SimSun" w:eastAsia="SimSun" w:cs="SimSun"/>
                <w:sz w:val="20"/>
                <w:szCs w:val="20"/>
                <w:spacing w:val="8"/>
              </w:rPr>
              <w:t>最小工作平盘宽度</w:t>
            </w:r>
          </w:p>
        </w:tc>
        <w:tc>
          <w:tcPr>
            <w:tcW w:w="1068" w:type="dxa"/>
            <w:vAlign w:val="top"/>
          </w:tcPr>
          <w:p>
            <w:pPr>
              <w:pStyle w:val="TableText"/>
              <w:ind w:left="452"/>
              <w:spacing w:before="116" w:line="141" w:lineRule="exact"/>
              <w:rPr/>
            </w:pPr>
            <w:r>
              <w:rPr>
                <w:spacing w:val="5"/>
              </w:rPr>
              <w:t>m</w:t>
            </w:r>
          </w:p>
        </w:tc>
        <w:tc>
          <w:tcPr>
            <w:tcW w:w="2348" w:type="dxa"/>
            <w:vAlign w:val="top"/>
          </w:tcPr>
          <w:p>
            <w:pPr>
              <w:pStyle w:val="TableText"/>
              <w:ind w:left="1070"/>
              <w:spacing w:before="70" w:line="195" w:lineRule="auto"/>
              <w:rPr/>
            </w:pPr>
            <w:r>
              <w:rPr>
                <w:spacing w:val="3"/>
              </w:rPr>
              <w:t>45</w:t>
            </w:r>
          </w:p>
        </w:tc>
        <w:tc>
          <w:tcPr>
            <w:tcW w:w="2348" w:type="dxa"/>
            <w:vAlign w:val="top"/>
          </w:tcPr>
          <w:p>
            <w:pPr>
              <w:pStyle w:val="TableText"/>
              <w:ind w:left="1075"/>
              <w:spacing w:before="70" w:line="195" w:lineRule="auto"/>
              <w:rPr/>
            </w:pPr>
            <w:r>
              <w:rPr/>
              <w:t>32</w:t>
            </w:r>
          </w:p>
        </w:tc>
      </w:tr>
    </w:tbl>
    <w:p>
      <w:pPr>
        <w:pStyle w:val="BodyText"/>
        <w:rPr/>
      </w:pPr>
      <w:r/>
    </w:p>
    <w:p>
      <w:pPr>
        <w:sectPr>
          <w:headerReference w:type="default" r:id="rId205"/>
          <w:footerReference w:type="default" r:id="rId206"/>
          <w:pgSz w:w="11906" w:h="16838"/>
          <w:pgMar w:top="1170" w:right="1299" w:bottom="1080" w:left="1298" w:header="837" w:footer="918" w:gutter="0"/>
        </w:sectPr>
        <w:rPr/>
      </w:pPr>
    </w:p>
    <w:p>
      <w:pPr>
        <w:spacing w:before="18"/>
        <w:rPr/>
      </w:pPr>
      <w:r/>
    </w:p>
    <w:tbl>
      <w:tblPr>
        <w:tblStyle w:val="TableNormal"/>
        <w:tblW w:w="8955" w:type="dxa"/>
        <w:tblInd w:w="16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1"/>
        <w:gridCol w:w="773"/>
        <w:gridCol w:w="499"/>
        <w:gridCol w:w="304"/>
        <w:gridCol w:w="1913"/>
        <w:gridCol w:w="381"/>
        <w:gridCol w:w="773"/>
        <w:gridCol w:w="1166"/>
        <w:gridCol w:w="166"/>
        <w:gridCol w:w="321"/>
        <w:gridCol w:w="352"/>
        <w:gridCol w:w="535"/>
        <w:gridCol w:w="377"/>
        <w:gridCol w:w="384"/>
      </w:tblGrid>
      <w:tr>
        <w:trPr>
          <w:trHeight w:val="640" w:hRule="atLeast"/>
        </w:trPr>
        <w:tc>
          <w:tcPr>
            <w:tcW w:w="1011" w:type="dxa"/>
            <w:vAlign w:val="top"/>
            <w:vMerge w:val="restart"/>
            <w:tcBorders>
              <w:left w:val="nil"/>
              <w:top w:val="nil"/>
              <w:right w:val="single" w:color="000000" w:sz="6" w:space="0"/>
              <w:bottom w:val="nil"/>
            </w:tcBorders>
          </w:tcPr>
          <w:p>
            <w:pPr>
              <w:spacing w:line="299" w:lineRule="auto"/>
              <w:rPr>
                <w:rFonts w:ascii="Arial"/>
                <w:sz w:val="21"/>
              </w:rPr>
            </w:pPr>
            <w:r/>
          </w:p>
          <w:p>
            <w:pPr>
              <w:spacing w:line="300" w:lineRule="auto"/>
              <w:rPr>
                <w:rFonts w:ascii="Arial"/>
                <w:sz w:val="21"/>
              </w:rPr>
            </w:pPr>
            <w:r/>
          </w:p>
          <w:p>
            <w:pPr>
              <w:spacing w:line="300" w:lineRule="auto"/>
              <w:rPr>
                <w:rFonts w:ascii="Arial"/>
                <w:sz w:val="21"/>
              </w:rPr>
            </w:pPr>
            <w:r/>
          </w:p>
          <w:p>
            <w:pPr>
              <w:spacing w:line="300" w:lineRule="auto"/>
              <w:rPr>
                <w:rFonts w:ascii="Arial"/>
                <w:sz w:val="21"/>
              </w:rPr>
            </w:pPr>
            <w:r/>
          </w:p>
          <w:p>
            <w:pPr>
              <w:spacing w:line="1221" w:lineRule="exact"/>
              <w:rPr/>
            </w:pPr>
            <w:r>
              <w:rPr>
                <w:position w:val="-25"/>
              </w:rPr>
              <w:pict>
                <v:group id="_x0000_s362" style="mso-position-vertical-relative:line;mso-position-horizontal-relative:char;width:51pt;height:61.8pt;" filled="false" stroked="false" coordsize="1020,1235" coordorigin="0,0">
                  <v:shape id="_x0000_s364" style="position:absolute;left:1;top:1;width:1016;height:1233;" fillcolor="#000000" filled="true" stroked="false" coordsize="1016,1233" coordorigin="0,0" path="m0,1224l20,1232l1002,0l0,1224xem20,1232l1002,0l1016,17l20,1232xe"/>
                  <v:shape id="_x0000_s366" style="position:absolute;left:0;top:0;width:1020;height:1235;" filled="false" strokecolor="#000000" strokeweight="0.12pt" coordsize="1020,1235" coordorigin="0,0" path="m22,1234l1017,18m1003,1l1,1225m11,1229l171,1119m282,1042l506,889m617,812l842,658e">
                    <v:stroke endcap="round" miterlimit="10"/>
                  </v:shape>
                </v:group>
              </w:pict>
            </w:r>
          </w:p>
        </w:tc>
        <w:tc>
          <w:tcPr>
            <w:tcW w:w="4643" w:type="dxa"/>
            <w:vAlign w:val="top"/>
            <w:gridSpan w:val="6"/>
            <w:tcBorders>
              <w:left w:val="nil"/>
              <w:right w:val="nil"/>
              <w:top w:val="nil"/>
            </w:tcBorders>
          </w:tcPr>
          <w:p>
            <w:pPr>
              <w:spacing w:line="427" w:lineRule="auto"/>
              <w:rPr>
                <w:rFonts w:ascii="Arial"/>
                <w:sz w:val="21"/>
              </w:rPr>
            </w:pPr>
            <w:r/>
          </w:p>
          <w:p>
            <w:pPr>
              <w:ind w:left="2253"/>
              <w:spacing w:before="58" w:line="142" w:lineRule="exact"/>
              <w:rPr>
                <w:rFonts w:ascii="SimSun" w:hAnsi="SimSun" w:eastAsia="SimSun" w:cs="SimSun"/>
                <w:sz w:val="18"/>
                <w:szCs w:val="18"/>
              </w:rPr>
            </w:pPr>
            <w:r>
              <w:rPr>
                <w:rFonts w:ascii="SimSun" w:hAnsi="SimSun" w:eastAsia="SimSun" w:cs="SimSun"/>
                <w:sz w:val="18"/>
                <w:szCs w:val="18"/>
                <w:position w:val="-2"/>
              </w:rPr>
              <w:t>B</w:t>
            </w:r>
          </w:p>
        </w:tc>
        <w:tc>
          <w:tcPr>
            <w:tcW w:w="1166" w:type="dxa"/>
            <w:vAlign w:val="top"/>
            <w:vMerge w:val="restart"/>
            <w:tcBorders>
              <w:right w:val="nil"/>
              <w:top w:val="single" w:color="000000" w:sz="6" w:space="0"/>
              <w:bottom w:val="nil"/>
            </w:tcBorders>
          </w:tcPr>
          <w:p>
            <w:pPr>
              <w:spacing w:line="1201" w:lineRule="exact"/>
              <w:rPr/>
            </w:pPr>
            <w:r>
              <mc:AlternateContent xmlns:mc="http://schemas.openxmlformats.org/markup-compatibility/2006">
                <mc:Choice Requires="wps">
                  <w:drawing>
                    <wp:anchor distT="0" distB="0" distL="0" distR="0" simplePos="0" relativeHeight="256165888" behindDoc="0" locked="0" layoutInCell="1" allowOverlap="1">
                      <wp:simplePos x="0" y="0"/>
                      <wp:positionH relativeFrom="rightMargin">
                        <wp:posOffset>-560297</wp:posOffset>
                      </wp:positionH>
                      <wp:positionV relativeFrom="topMargin">
                        <wp:posOffset>531536</wp:posOffset>
                      </wp:positionV>
                      <wp:extent cx="235584" cy="233679"/>
                      <wp:effectExtent l="0" t="0" r="0" b="0"/>
                      <wp:wrapNone/>
                      <wp:docPr id="148" name="TextBox 148"/>
                      <wp:cNvGraphicFramePr/>
                      <a:graphic>
                        <a:graphicData uri="http://schemas.microsoft.com/office/word/2010/wordprocessingShape">
                          <wps:wsp>
                            <wps:cNvPr id="148" name="TextBox 148"/>
                            <wps:cNvSpPr txBox="1"/>
                            <wps:spPr>
                              <a:xfrm rot="3600000">
                                <a:off x="-560297" y="531536"/>
                                <a:ext cx="235584" cy="23367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91" w:line="256" w:lineRule="exact"/>
                                    <w:tabs>
                                      <w:tab w:val="left" w:pos="212"/>
                                    </w:tabs>
                                    <w:rPr>
                                      <w:rFonts w:ascii="SimSun" w:hAnsi="SimSun" w:eastAsia="SimSun" w:cs="SimSun"/>
                                      <w:sz w:val="18"/>
                                      <w:szCs w:val="18"/>
                                    </w:rPr>
                                  </w:pPr>
                                  <w:r>
                                    <w:rPr>
                                      <w:rFonts w:ascii="SimSun" w:hAnsi="SimSun" w:eastAsia="SimSun" w:cs="SimSun"/>
                                      <w:sz w:val="18"/>
                                      <w:szCs w:val="18"/>
                                      <w:position w:val="2"/>
                                    </w:rPr>
                                    <w:tab/>
                                  </w:r>
                                  <w:r>
                                    <w:rPr>
                                      <w:rFonts w:ascii="SimSun" w:hAnsi="SimSun" w:eastAsia="SimSun" w:cs="SimSun"/>
                                      <w:sz w:val="18"/>
                                      <w:szCs w:val="18"/>
                                      <w:spacing w:val="-43"/>
                                      <w:position w:val="2"/>
                                    </w:rPr>
                                    <w:t>α</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68" style="position:absolute;margin-left:-44.118pt;margin-top:41.8533pt;mso-position-vertical-relative:top-margin-area;mso-position-horizontal-relative:right-margin-area;width:18.55pt;height:18.4pt;z-index:256165888;rotation:60;" filled="false" stroked="false" type="#_x0000_t202">
                      <v:fill on="false"/>
                      <v:stroke on="false"/>
                      <v:path/>
                      <v:imagedata o:title=""/>
                      <o:lock v:ext="edit" aspectratio="false"/>
                      <v:textbox inset="0mm,0mm,0mm,0mm">
                        <w:txbxContent>
                          <w:p>
                            <w:pPr>
                              <w:ind w:left="20"/>
                              <w:spacing w:before="91" w:line="256" w:lineRule="exact"/>
                              <w:tabs>
                                <w:tab w:val="left" w:pos="212"/>
                              </w:tabs>
                              <w:rPr>
                                <w:rFonts w:ascii="SimSun" w:hAnsi="SimSun" w:eastAsia="SimSun" w:cs="SimSun"/>
                                <w:sz w:val="18"/>
                                <w:szCs w:val="18"/>
                              </w:rPr>
                            </w:pPr>
                            <w:r>
                              <w:rPr>
                                <w:rFonts w:ascii="SimSun" w:hAnsi="SimSun" w:eastAsia="SimSun" w:cs="SimSun"/>
                                <w:sz w:val="18"/>
                                <w:szCs w:val="18"/>
                                <w:position w:val="2"/>
                              </w:rPr>
                              <w:tab/>
                            </w:r>
                            <w:r>
                              <w:rPr>
                                <w:rFonts w:ascii="SimSun" w:hAnsi="SimSun" w:eastAsia="SimSun" w:cs="SimSun"/>
                                <w:sz w:val="18"/>
                                <w:szCs w:val="18"/>
                                <w:spacing w:val="-43"/>
                                <w:position w:val="2"/>
                              </w:rPr>
                              <w:t>α</w:t>
                            </w:r>
                          </w:p>
                        </w:txbxContent>
                      </v:textbox>
                    </v:shape>
                  </w:pict>
                </mc:Fallback>
              </mc:AlternateContent>
            </w:r>
            <w:r>
              <w:pict>
                <v:shape id="_x0000_s370" style="position:absolute;margin-left:-46.385pt;margin-top:44.55pt;mso-position-vertical-relative:top-margin-area;mso-position-horizontal-relative:right-margin-area;width:2.25pt;height:0.55pt;z-index:256166912;" filled="false" strokecolor="#000000" strokeweight="0.12pt" coordsize="45,11" coordorigin="0,0" path="m43,1l1,9e">
                  <v:stroke endcap="round" miterlimit="10"/>
                </v:shape>
              </w:pict>
            </w:r>
            <w:r>
              <w:pict>
                <v:shape id="_x0000_s372" style="position:absolute;margin-left:-58.971pt;margin-top:-0.64502pt;mso-position-vertical-relative:top-margin-area;mso-position-horizontal-relative:right-margin-area;width:51pt;height:61.75pt;z-index:-247152640;" filled="false" strokecolor="#000000" strokeweight="0.12pt" coordsize="1020,1235" coordorigin="0,0" path="m22,1233l1017,18m1004,1l1,1225e">
                  <v:stroke endcap="round" miterlimit="10"/>
                </v:shape>
              </w:pict>
            </w:r>
            <w:r>
              <w:rPr>
                <w:position w:val="-25"/>
              </w:rPr>
              <w:pict>
                <v:shape id="_x0000_s374" style="mso-position-vertical-relative:line;mso-position-horizontal-relative:char;width:50.85pt;height:61.65pt;" fillcolor="#000000" filled="true" stroked="false" coordsize="1016,1233" coordorigin="0,0" path="m0,1223l21,1232l1002,0l0,1223xem21,1232l1002,0l1016,17l21,1232xe"/>
              </w:pict>
            </w:r>
          </w:p>
        </w:tc>
        <w:tc>
          <w:tcPr>
            <w:tcW w:w="487" w:type="dxa"/>
            <w:vAlign w:val="top"/>
            <w:gridSpan w:val="2"/>
            <w:vMerge w:val="restart"/>
            <w:tcBorders>
              <w:left w:val="nil"/>
              <w:right w:val="nil"/>
              <w:top w:val="single" w:color="000000" w:sz="6" w:space="0"/>
              <w:bottom w:val="nil"/>
            </w:tcBorders>
          </w:tcPr>
          <w:p>
            <w:pPr>
              <w:spacing w:line="295" w:lineRule="auto"/>
              <w:rPr>
                <w:rFonts w:ascii="Arial"/>
                <w:sz w:val="21"/>
              </w:rPr>
            </w:pPr>
            <w:r/>
          </w:p>
          <w:p>
            <w:pPr>
              <w:spacing w:line="295" w:lineRule="auto"/>
              <w:rPr>
                <w:rFonts w:ascii="Arial"/>
                <w:sz w:val="21"/>
              </w:rPr>
            </w:pPr>
            <w:r/>
          </w:p>
          <w:p>
            <w:pPr>
              <w:spacing w:line="296" w:lineRule="auto"/>
              <w:rPr>
                <w:rFonts w:ascii="Arial"/>
                <w:sz w:val="21"/>
              </w:rPr>
            </w:pPr>
            <w:r/>
          </w:p>
          <w:p>
            <w:pPr>
              <w:ind w:firstLine="163"/>
              <w:spacing w:line="310" w:lineRule="exact"/>
              <w:rPr/>
            </w:pPr>
            <w:r>
              <w:rPr>
                <w:position w:val="-7"/>
              </w:rPr>
              <w:pict>
                <v:shape id="_x0000_s376" style="mso-position-vertical-relative:line;mso-position-horizontal-relative:char;width:13.4pt;height:16.3pt;" filled="false" strokecolor="#000000" strokeweight="0.12pt" coordsize="267,325" coordorigin="0,0" path="m1,324l266,1e">
                  <v:stroke endcap="round" miterlimit="10"/>
                </v:shape>
              </w:pict>
            </w:r>
          </w:p>
        </w:tc>
        <w:tc>
          <w:tcPr>
            <w:tcW w:w="352" w:type="dxa"/>
            <w:vAlign w:val="top"/>
            <w:vMerge w:val="restart"/>
            <w:tcBorders>
              <w:left w:val="nil"/>
              <w:right w:val="nil"/>
              <w:top w:val="single" w:color="000000" w:sz="6" w:space="0"/>
              <w:bottom w:val="nil"/>
            </w:tcBorders>
          </w:tcPr>
          <w:p>
            <w:pPr>
              <w:spacing w:line="459" w:lineRule="auto"/>
              <w:rPr>
                <w:rFonts w:ascii="Arial"/>
                <w:sz w:val="21"/>
              </w:rPr>
            </w:pPr>
            <w:r/>
          </w:p>
          <w:p>
            <w:pPr>
              <w:ind w:firstLine="58"/>
              <w:spacing w:line="289" w:lineRule="exact"/>
              <w:rPr/>
            </w:pPr>
            <w:r>
              <w:rPr>
                <w:position w:val="-5"/>
              </w:rPr>
              <w:pict>
                <v:shape id="_x0000_s378" style="mso-position-vertical-relative:line;mso-position-horizontal-relative:char;width:11.85pt;height:14.45pt;" filled="false" strokecolor="#000000" strokeweight="0.12pt" coordsize="237,288" coordorigin="0,0" path="m1,287l235,1e">
                  <v:stroke endcap="round" miterlimit="10"/>
                </v:shape>
              </w:pict>
            </w:r>
          </w:p>
        </w:tc>
        <w:tc>
          <w:tcPr>
            <w:tcW w:w="535" w:type="dxa"/>
            <w:vAlign w:val="top"/>
            <w:vMerge w:val="restart"/>
            <w:tcBorders>
              <w:left w:val="nil"/>
              <w:right w:val="nil"/>
              <w:top w:val="single" w:color="000000" w:sz="6" w:space="0"/>
              <w:bottom w:val="nil"/>
            </w:tcBorders>
          </w:tcPr>
          <w:p>
            <w:pPr>
              <w:ind w:firstLine="58"/>
              <w:spacing w:line="321" w:lineRule="exact"/>
              <w:rPr/>
            </w:pPr>
            <w:r>
              <w:rPr>
                <w:position w:val="-6"/>
              </w:rPr>
              <w:pict>
                <v:shape id="_x0000_s380" style="mso-position-vertical-relative:line;mso-position-horizontal-relative:char;width:13.4pt;height:16.3pt;" filled="false" strokecolor="#000000" strokeweight="0.12pt" coordsize="267,325" coordorigin="0,0" path="m1,324l266,1e">
                  <v:stroke endcap="round" miterlimit="10"/>
                </v:shape>
              </w:pict>
            </w:r>
          </w:p>
        </w:tc>
        <w:tc>
          <w:tcPr>
            <w:tcW w:w="377" w:type="dxa"/>
            <w:vAlign w:val="top"/>
            <w:vMerge w:val="restart"/>
            <w:textDirection w:val="btLr"/>
            <w:tcBorders>
              <w:left w:val="nil"/>
              <w:top w:val="single" w:color="000000" w:sz="6" w:space="0"/>
              <w:bottom w:val="nil"/>
            </w:tcBorders>
          </w:tcPr>
          <w:p>
            <w:pPr>
              <w:ind w:left="566"/>
              <w:spacing w:before="210" w:line="170" w:lineRule="auto"/>
              <w:rPr>
                <w:rFonts w:ascii="SimSun" w:hAnsi="SimSun" w:eastAsia="SimSun" w:cs="SimSun"/>
                <w:sz w:val="18"/>
                <w:szCs w:val="18"/>
              </w:rPr>
            </w:pPr>
            <w:r>
              <w:rPr>
                <w:rFonts w:ascii="SimSun" w:hAnsi="SimSun" w:eastAsia="SimSun" w:cs="SimSun"/>
                <w:sz w:val="18"/>
                <w:szCs w:val="18"/>
              </w:rPr>
              <w:t>H</w:t>
            </w:r>
          </w:p>
        </w:tc>
        <w:tc>
          <w:tcPr>
            <w:tcW w:w="384" w:type="dxa"/>
            <w:vAlign w:val="top"/>
            <w:vMerge w:val="restart"/>
            <w:tcBorders>
              <w:right w:val="nil"/>
              <w:top w:val="single" w:color="000000" w:sz="6" w:space="0"/>
              <w:bottom w:val="nil"/>
            </w:tcBorders>
          </w:tcPr>
          <w:p>
            <w:pPr>
              <w:rPr>
                <w:rFonts w:ascii="Arial"/>
                <w:sz w:val="21"/>
              </w:rPr>
            </w:pPr>
            <w:r>
              <w:pict>
                <v:rect id="_x0000_s382" style="position:absolute;margin-left:-10.006pt;margin-top:60.765pt;mso-position-vertical-relative:top-margin-area;mso-position-horizontal-relative:right-margin-area;width:0.15pt;height:0.15pt;z-index:256164864;" fillcolor="#000000" filled="true" stroked="false"/>
              </w:pict>
            </w:r>
            <w:r/>
          </w:p>
        </w:tc>
      </w:tr>
      <w:tr>
        <w:trPr>
          <w:trHeight w:val="307" w:hRule="atLeast"/>
        </w:trPr>
        <w:tc>
          <w:tcPr>
            <w:tcW w:w="1011" w:type="dxa"/>
            <w:vAlign w:val="top"/>
            <w:vMerge w:val="continue"/>
            <w:tcBorders>
              <w:left w:val="nil"/>
              <w:top w:val="nil"/>
              <w:right w:val="single" w:color="000000" w:sz="6" w:space="0"/>
              <w:bottom w:val="nil"/>
            </w:tcBorders>
          </w:tcPr>
          <w:p>
            <w:pPr>
              <w:rPr>
                <w:rFonts w:ascii="Arial"/>
                <w:sz w:val="21"/>
              </w:rPr>
            </w:pPr>
            <w:r/>
          </w:p>
        </w:tc>
        <w:tc>
          <w:tcPr>
            <w:tcW w:w="4643" w:type="dxa"/>
            <w:vAlign w:val="top"/>
            <w:gridSpan w:val="6"/>
          </w:tcPr>
          <w:p>
            <w:pPr>
              <w:ind w:left="252"/>
              <w:spacing w:before="131" w:line="165" w:lineRule="exact"/>
              <w:rPr>
                <w:rFonts w:ascii="SimSun" w:hAnsi="SimSun" w:eastAsia="SimSun" w:cs="SimSun"/>
                <w:sz w:val="18"/>
                <w:szCs w:val="18"/>
              </w:rPr>
            </w:pPr>
            <w:r>
              <w:rPr>
                <w:rFonts w:ascii="SimSun" w:hAnsi="SimSun" w:eastAsia="SimSun" w:cs="SimSun"/>
                <w:sz w:val="18"/>
                <w:szCs w:val="18"/>
                <w:spacing w:val="-3"/>
                <w:position w:val="-2"/>
              </w:rPr>
              <w:t>T</w:t>
            </w:r>
            <w:r>
              <w:rPr>
                <w:rFonts w:ascii="SimSun" w:hAnsi="SimSun" w:eastAsia="SimSun" w:cs="SimSun"/>
                <w:sz w:val="18"/>
                <w:szCs w:val="18"/>
                <w:spacing w:val="-47"/>
                <w:position w:val="-2"/>
              </w:rPr>
              <w:t xml:space="preserve"> </w:t>
            </w:r>
            <w:r>
              <w:rPr>
                <w:rFonts w:ascii="SimSun" w:hAnsi="SimSun" w:eastAsia="SimSun" w:cs="SimSun"/>
                <w:sz w:val="18"/>
                <w:szCs w:val="18"/>
                <w:spacing w:val="-3"/>
                <w:position w:val="-2"/>
              </w:rPr>
              <w:t>A</w:t>
            </w:r>
            <w:r>
              <w:rPr>
                <w:rFonts w:ascii="SimSun" w:hAnsi="SimSun" w:eastAsia="SimSun" w:cs="SimSun"/>
                <w:sz w:val="18"/>
                <w:szCs w:val="18"/>
                <w:spacing w:val="7"/>
                <w:position w:val="-2"/>
              </w:rPr>
              <w:t xml:space="preserve">   </w:t>
            </w:r>
            <w:r>
              <w:rPr>
                <w:sz w:val="18"/>
                <w:szCs w:val="18"/>
                <w:position w:val="-3"/>
              </w:rPr>
              <w:drawing>
                <wp:inline distT="0" distB="0" distL="0" distR="0">
                  <wp:extent cx="1523" cy="25806"/>
                  <wp:effectExtent l="0" t="0" r="0" b="0"/>
                  <wp:docPr id="150" name="IM 150"/>
                  <wp:cNvGraphicFramePr/>
                  <a:graphic>
                    <a:graphicData uri="http://schemas.openxmlformats.org/drawingml/2006/picture">
                      <pic:pic>
                        <pic:nvPicPr>
                          <pic:cNvPr id="150" name="IM 150"/>
                          <pic:cNvPicPr/>
                        </pic:nvPicPr>
                        <pic:blipFill>
                          <a:blip r:embed="rId208"/>
                          <a:stretch>
                            <a:fillRect/>
                          </a:stretch>
                        </pic:blipFill>
                        <pic:spPr>
                          <a:xfrm rot="0">
                            <a:off x="0" y="0"/>
                            <a:ext cx="1523" cy="25806"/>
                          </a:xfrm>
                          <a:prstGeom prst="rect">
                            <a:avLst/>
                          </a:prstGeom>
                        </pic:spPr>
                      </pic:pic>
                    </a:graphicData>
                  </a:graphic>
                </wp:inline>
              </w:drawing>
            </w:r>
            <w:r>
              <w:rPr>
                <w:rFonts w:ascii="SimSun" w:hAnsi="SimSun" w:eastAsia="SimSun" w:cs="SimSun"/>
                <w:sz w:val="18"/>
                <w:szCs w:val="18"/>
                <w:spacing w:val="41"/>
                <w:position w:val="-2"/>
              </w:rPr>
              <w:t xml:space="preserve"> </w:t>
            </w:r>
            <w:r>
              <w:rPr>
                <w:rFonts w:ascii="SimSun" w:hAnsi="SimSun" w:eastAsia="SimSun" w:cs="SimSun"/>
                <w:sz w:val="19"/>
                <w:szCs w:val="19"/>
                <w:spacing w:val="-3"/>
                <w:position w:val="-1"/>
              </w:rPr>
              <w:t>E</w:t>
            </w:r>
            <w:r>
              <w:rPr>
                <w:rFonts w:ascii="SimSun" w:hAnsi="SimSun" w:eastAsia="SimSun" w:cs="SimSun"/>
                <w:sz w:val="19"/>
                <w:szCs w:val="19"/>
                <w:spacing w:val="23"/>
                <w:position w:val="-1"/>
              </w:rPr>
              <w:t xml:space="preserve">   </w:t>
            </w:r>
            <w:r>
              <w:rPr>
                <w:rFonts w:ascii="SimSun" w:hAnsi="SimSun" w:eastAsia="SimSun" w:cs="SimSun"/>
                <w:sz w:val="19"/>
                <w:szCs w:val="19"/>
                <w:spacing w:val="-3"/>
                <w:position w:val="-1"/>
              </w:rPr>
              <w:t>C</w:t>
            </w:r>
            <w:r>
              <w:rPr>
                <w:rFonts w:ascii="SimSun" w:hAnsi="SimSun" w:eastAsia="SimSun" w:cs="SimSun"/>
                <w:sz w:val="19"/>
                <w:szCs w:val="19"/>
                <w:spacing w:val="1"/>
                <w:position w:val="-1"/>
              </w:rPr>
              <w:t xml:space="preserve">          </w:t>
            </w:r>
            <w:r>
              <w:rPr>
                <w:rFonts w:ascii="SimSun" w:hAnsi="SimSun" w:eastAsia="SimSun" w:cs="SimSun"/>
                <w:sz w:val="19"/>
                <w:szCs w:val="19"/>
                <w:spacing w:val="-3"/>
                <w:position w:val="-1"/>
              </w:rPr>
              <w:t>T</w:t>
            </w:r>
            <w:r>
              <w:rPr>
                <w:rFonts w:ascii="SimSun" w:hAnsi="SimSun" w:eastAsia="SimSun" w:cs="SimSun"/>
                <w:sz w:val="19"/>
                <w:szCs w:val="19"/>
                <w:spacing w:val="4"/>
                <w:position w:val="-1"/>
              </w:rPr>
              <w:t xml:space="preserve">          </w:t>
            </w:r>
            <w:r>
              <w:rPr>
                <w:sz w:val="19"/>
                <w:szCs w:val="19"/>
                <w:position w:val="-2"/>
              </w:rPr>
              <w:drawing>
                <wp:inline distT="0" distB="0" distL="0" distR="0">
                  <wp:extent cx="1523" cy="21424"/>
                  <wp:effectExtent l="0" t="0" r="0" b="0"/>
                  <wp:docPr id="152" name="IM 152"/>
                  <wp:cNvGraphicFramePr/>
                  <a:graphic>
                    <a:graphicData uri="http://schemas.openxmlformats.org/drawingml/2006/picture">
                      <pic:pic>
                        <pic:nvPicPr>
                          <pic:cNvPr id="152" name="IM 152"/>
                          <pic:cNvPicPr/>
                        </pic:nvPicPr>
                        <pic:blipFill>
                          <a:blip r:embed="rId209"/>
                          <a:stretch>
                            <a:fillRect/>
                          </a:stretch>
                        </pic:blipFill>
                        <pic:spPr>
                          <a:xfrm rot="0">
                            <a:off x="0" y="0"/>
                            <a:ext cx="1523" cy="21424"/>
                          </a:xfrm>
                          <a:prstGeom prst="rect">
                            <a:avLst/>
                          </a:prstGeom>
                        </pic:spPr>
                      </pic:pic>
                    </a:graphicData>
                  </a:graphic>
                </wp:inline>
              </w:drawing>
            </w:r>
            <w:r>
              <w:rPr>
                <w:rFonts w:ascii="SimSun" w:hAnsi="SimSun" w:eastAsia="SimSun" w:cs="SimSun"/>
                <w:sz w:val="19"/>
                <w:szCs w:val="19"/>
                <w:spacing w:val="41"/>
                <w:position w:val="-1"/>
              </w:rPr>
              <w:t xml:space="preserve"> </w:t>
            </w:r>
            <w:r>
              <w:rPr>
                <w:rFonts w:ascii="SimSun" w:hAnsi="SimSun" w:eastAsia="SimSun" w:cs="SimSun"/>
                <w:sz w:val="18"/>
                <w:szCs w:val="18"/>
                <w:spacing w:val="-3"/>
                <w:position w:val="-2"/>
              </w:rPr>
              <w:t>C</w:t>
            </w:r>
            <w:r>
              <w:rPr>
                <w:rFonts w:ascii="SimSun" w:hAnsi="SimSun" w:eastAsia="SimSun" w:cs="SimSun"/>
                <w:sz w:val="18"/>
                <w:szCs w:val="18"/>
                <w:spacing w:val="72"/>
                <w:position w:val="-2"/>
              </w:rPr>
              <w:t xml:space="preserve"> </w:t>
            </w:r>
            <w:r>
              <w:rPr>
                <w:sz w:val="18"/>
                <w:szCs w:val="18"/>
                <w:position w:val="-2"/>
              </w:rPr>
              <w:drawing>
                <wp:inline distT="0" distB="0" distL="0" distR="0">
                  <wp:extent cx="1816" cy="21424"/>
                  <wp:effectExtent l="0" t="0" r="0" b="0"/>
                  <wp:docPr id="154" name="IM 154"/>
                  <wp:cNvGraphicFramePr/>
                  <a:graphic>
                    <a:graphicData uri="http://schemas.openxmlformats.org/drawingml/2006/picture">
                      <pic:pic>
                        <pic:nvPicPr>
                          <pic:cNvPr id="154" name="IM 154"/>
                          <pic:cNvPicPr/>
                        </pic:nvPicPr>
                        <pic:blipFill>
                          <a:blip r:embed="rId210"/>
                          <a:stretch>
                            <a:fillRect/>
                          </a:stretch>
                        </pic:blipFill>
                        <pic:spPr>
                          <a:xfrm rot="0">
                            <a:off x="0" y="0"/>
                            <a:ext cx="1816" cy="21424"/>
                          </a:xfrm>
                          <a:prstGeom prst="rect">
                            <a:avLst/>
                          </a:prstGeom>
                        </pic:spPr>
                      </pic:pic>
                    </a:graphicData>
                  </a:graphic>
                </wp:inline>
              </w:drawing>
            </w:r>
            <w:r>
              <w:rPr>
                <w:rFonts w:ascii="SimSun" w:hAnsi="SimSun" w:eastAsia="SimSun" w:cs="SimSun"/>
                <w:sz w:val="18"/>
                <w:szCs w:val="18"/>
                <w:spacing w:val="40"/>
                <w:w w:val="101"/>
                <w:position w:val="-2"/>
              </w:rPr>
              <w:t xml:space="preserve">  </w:t>
            </w:r>
            <w:r>
              <w:rPr>
                <w:rFonts w:ascii="SimSun" w:hAnsi="SimSun" w:eastAsia="SimSun" w:cs="SimSun"/>
                <w:sz w:val="18"/>
                <w:szCs w:val="18"/>
                <w:spacing w:val="-3"/>
                <w:position w:val="-2"/>
              </w:rPr>
              <w:t>T</w:t>
            </w:r>
            <w:r>
              <w:rPr>
                <w:rFonts w:ascii="SimSun" w:hAnsi="SimSun" w:eastAsia="SimSun" w:cs="SimSun"/>
                <w:sz w:val="18"/>
                <w:szCs w:val="18"/>
                <w:spacing w:val="-48"/>
                <w:position w:val="-2"/>
              </w:rPr>
              <w:t xml:space="preserve"> </w:t>
            </w:r>
            <w:r>
              <w:rPr>
                <w:rFonts w:ascii="SimSun" w:hAnsi="SimSun" w:eastAsia="SimSun" w:cs="SimSun"/>
                <w:sz w:val="18"/>
                <w:szCs w:val="18"/>
                <w:spacing w:val="-3"/>
                <w:position w:val="-2"/>
              </w:rPr>
              <w:t>B</w:t>
            </w:r>
          </w:p>
        </w:tc>
        <w:tc>
          <w:tcPr>
            <w:tcW w:w="1166" w:type="dxa"/>
            <w:vAlign w:val="top"/>
            <w:vMerge w:val="continue"/>
            <w:tcBorders>
              <w:right w:val="nil"/>
              <w:top w:val="nil"/>
              <w:bottom w:val="nil"/>
            </w:tcBorders>
          </w:tcPr>
          <w:p>
            <w:pPr>
              <w:rPr>
                <w:rFonts w:ascii="Arial"/>
                <w:sz w:val="21"/>
              </w:rPr>
            </w:pPr>
            <w:r/>
          </w:p>
        </w:tc>
        <w:tc>
          <w:tcPr>
            <w:tcW w:w="487" w:type="dxa"/>
            <w:vAlign w:val="top"/>
            <w:gridSpan w:val="2"/>
            <w:vMerge w:val="continue"/>
            <w:tcBorders>
              <w:left w:val="nil"/>
              <w:right w:val="nil"/>
              <w:top w:val="nil"/>
              <w:bottom w:val="nil"/>
            </w:tcBorders>
          </w:tcPr>
          <w:p>
            <w:pPr>
              <w:rPr>
                <w:rFonts w:ascii="Arial"/>
                <w:sz w:val="21"/>
              </w:rPr>
            </w:pPr>
            <w:r/>
          </w:p>
        </w:tc>
        <w:tc>
          <w:tcPr>
            <w:tcW w:w="352" w:type="dxa"/>
            <w:vAlign w:val="top"/>
            <w:vMerge w:val="continue"/>
            <w:tcBorders>
              <w:left w:val="nil"/>
              <w:right w:val="nil"/>
              <w:top w:val="nil"/>
              <w:bottom w:val="nil"/>
            </w:tcBorders>
          </w:tcPr>
          <w:p>
            <w:pPr>
              <w:rPr>
                <w:rFonts w:ascii="Arial"/>
                <w:sz w:val="21"/>
              </w:rPr>
            </w:pPr>
            <w:r/>
          </w:p>
        </w:tc>
        <w:tc>
          <w:tcPr>
            <w:tcW w:w="535" w:type="dxa"/>
            <w:vAlign w:val="top"/>
            <w:vMerge w:val="continue"/>
            <w:tcBorders>
              <w:left w:val="nil"/>
              <w:right w:val="nil"/>
              <w:top w:val="nil"/>
              <w:bottom w:val="nil"/>
            </w:tcBorders>
          </w:tcPr>
          <w:p>
            <w:pPr>
              <w:rPr>
                <w:rFonts w:ascii="Arial"/>
                <w:sz w:val="21"/>
              </w:rPr>
            </w:pPr>
            <w:r/>
          </w:p>
        </w:tc>
        <w:tc>
          <w:tcPr>
            <w:tcW w:w="377" w:type="dxa"/>
            <w:vAlign w:val="top"/>
            <w:vMerge w:val="continue"/>
            <w:textDirection w:val="btLr"/>
            <w:tcBorders>
              <w:left w:val="nil"/>
              <w:top w:val="nil"/>
              <w:bottom w:val="nil"/>
            </w:tcBorders>
          </w:tcPr>
          <w:p>
            <w:pPr>
              <w:rPr>
                <w:rFonts w:ascii="Arial"/>
                <w:sz w:val="21"/>
              </w:rPr>
            </w:pPr>
            <w:r/>
          </w:p>
        </w:tc>
        <w:tc>
          <w:tcPr>
            <w:tcW w:w="384" w:type="dxa"/>
            <w:vAlign w:val="top"/>
            <w:vMerge w:val="continue"/>
            <w:tcBorders>
              <w:right w:val="nil"/>
              <w:top w:val="nil"/>
              <w:bottom w:val="nil"/>
            </w:tcBorders>
          </w:tcPr>
          <w:p>
            <w:pPr>
              <w:rPr>
                <w:rFonts w:ascii="Arial"/>
                <w:sz w:val="21"/>
              </w:rPr>
            </w:pPr>
            <w:r/>
          </w:p>
        </w:tc>
      </w:tr>
      <w:tr>
        <w:trPr>
          <w:trHeight w:val="255" w:hRule="atLeast"/>
        </w:trPr>
        <w:tc>
          <w:tcPr>
            <w:tcW w:w="1011" w:type="dxa"/>
            <w:vAlign w:val="top"/>
            <w:vMerge w:val="continue"/>
            <w:tcBorders>
              <w:left w:val="nil"/>
              <w:top w:val="nil"/>
              <w:right w:val="single" w:color="000000" w:sz="6" w:space="0"/>
              <w:bottom w:val="nil"/>
            </w:tcBorders>
          </w:tcPr>
          <w:p>
            <w:pPr>
              <w:rPr>
                <w:rFonts w:ascii="Arial"/>
                <w:sz w:val="21"/>
              </w:rPr>
            </w:pPr>
            <w:r/>
          </w:p>
        </w:tc>
        <w:tc>
          <w:tcPr>
            <w:tcW w:w="773" w:type="dxa"/>
            <w:vAlign w:val="top"/>
          </w:tcPr>
          <w:p>
            <w:pPr>
              <w:rPr>
                <w:rFonts w:ascii="Arial"/>
                <w:sz w:val="21"/>
              </w:rPr>
            </w:pPr>
            <w:r/>
          </w:p>
        </w:tc>
        <w:tc>
          <w:tcPr>
            <w:tcW w:w="499" w:type="dxa"/>
            <w:vAlign w:val="top"/>
          </w:tcPr>
          <w:p>
            <w:pPr>
              <w:rPr>
                <w:rFonts w:ascii="Arial"/>
                <w:sz w:val="21"/>
              </w:rPr>
            </w:pPr>
            <w:r/>
          </w:p>
        </w:tc>
        <w:tc>
          <w:tcPr>
            <w:tcW w:w="304" w:type="dxa"/>
            <w:vAlign w:val="top"/>
            <w:tcBorders>
              <w:bottom w:val="single" w:color="000000" w:sz="6" w:space="0"/>
            </w:tcBorders>
          </w:tcPr>
          <w:p>
            <w:pPr>
              <w:rPr>
                <w:rFonts w:ascii="Arial"/>
                <w:sz w:val="21"/>
              </w:rPr>
            </w:pPr>
            <w:r/>
          </w:p>
        </w:tc>
        <w:tc>
          <w:tcPr>
            <w:tcW w:w="1913" w:type="dxa"/>
            <w:vAlign w:val="top"/>
            <w:tcBorders>
              <w:bottom w:val="single" w:color="000000" w:sz="6" w:space="0"/>
            </w:tcBorders>
          </w:tcPr>
          <w:p>
            <w:pPr>
              <w:rPr>
                <w:rFonts w:ascii="Arial"/>
                <w:sz w:val="21"/>
              </w:rPr>
            </w:pPr>
            <w:r/>
          </w:p>
        </w:tc>
        <w:tc>
          <w:tcPr>
            <w:tcW w:w="381" w:type="dxa"/>
            <w:vAlign w:val="top"/>
          </w:tcPr>
          <w:p>
            <w:pPr>
              <w:rPr>
                <w:rFonts w:ascii="Arial"/>
                <w:sz w:val="21"/>
              </w:rPr>
            </w:pPr>
            <w:r/>
          </w:p>
        </w:tc>
        <w:tc>
          <w:tcPr>
            <w:tcW w:w="773" w:type="dxa"/>
            <w:vAlign w:val="top"/>
          </w:tcPr>
          <w:p>
            <w:pPr>
              <w:rPr>
                <w:rFonts w:ascii="Arial"/>
                <w:sz w:val="21"/>
              </w:rPr>
            </w:pPr>
            <w:r/>
          </w:p>
        </w:tc>
        <w:tc>
          <w:tcPr>
            <w:tcW w:w="1166" w:type="dxa"/>
            <w:vAlign w:val="top"/>
            <w:vMerge w:val="continue"/>
            <w:tcBorders>
              <w:right w:val="nil"/>
              <w:top w:val="nil"/>
            </w:tcBorders>
          </w:tcPr>
          <w:p>
            <w:pPr>
              <w:rPr>
                <w:rFonts w:ascii="Arial"/>
                <w:sz w:val="21"/>
              </w:rPr>
            </w:pPr>
            <w:r/>
          </w:p>
        </w:tc>
        <w:tc>
          <w:tcPr>
            <w:tcW w:w="487" w:type="dxa"/>
            <w:vAlign w:val="top"/>
            <w:gridSpan w:val="2"/>
            <w:vMerge w:val="continue"/>
            <w:tcBorders>
              <w:left w:val="nil"/>
              <w:right w:val="nil"/>
              <w:top w:val="nil"/>
            </w:tcBorders>
          </w:tcPr>
          <w:p>
            <w:pPr>
              <w:rPr>
                <w:rFonts w:ascii="Arial"/>
                <w:sz w:val="21"/>
              </w:rPr>
            </w:pPr>
            <w:r/>
          </w:p>
        </w:tc>
        <w:tc>
          <w:tcPr>
            <w:tcW w:w="352" w:type="dxa"/>
            <w:vAlign w:val="top"/>
            <w:vMerge w:val="continue"/>
            <w:tcBorders>
              <w:left w:val="nil"/>
              <w:right w:val="nil"/>
              <w:top w:val="nil"/>
            </w:tcBorders>
          </w:tcPr>
          <w:p>
            <w:pPr>
              <w:rPr>
                <w:rFonts w:ascii="Arial"/>
                <w:sz w:val="21"/>
              </w:rPr>
            </w:pPr>
            <w:r/>
          </w:p>
        </w:tc>
        <w:tc>
          <w:tcPr>
            <w:tcW w:w="535" w:type="dxa"/>
            <w:vAlign w:val="top"/>
            <w:vMerge w:val="continue"/>
            <w:tcBorders>
              <w:left w:val="nil"/>
              <w:right w:val="nil"/>
              <w:top w:val="nil"/>
            </w:tcBorders>
          </w:tcPr>
          <w:p>
            <w:pPr>
              <w:rPr>
                <w:rFonts w:ascii="Arial"/>
                <w:sz w:val="21"/>
              </w:rPr>
            </w:pPr>
            <w:r/>
          </w:p>
        </w:tc>
        <w:tc>
          <w:tcPr>
            <w:tcW w:w="377" w:type="dxa"/>
            <w:vAlign w:val="top"/>
            <w:vMerge w:val="continue"/>
            <w:textDirection w:val="btLr"/>
            <w:tcBorders>
              <w:left w:val="nil"/>
              <w:top w:val="nil"/>
            </w:tcBorders>
          </w:tcPr>
          <w:p>
            <w:pPr>
              <w:rPr>
                <w:rFonts w:ascii="Arial"/>
                <w:sz w:val="21"/>
              </w:rPr>
            </w:pPr>
            <w:r/>
          </w:p>
        </w:tc>
        <w:tc>
          <w:tcPr>
            <w:tcW w:w="384" w:type="dxa"/>
            <w:vAlign w:val="top"/>
            <w:vMerge w:val="continue"/>
            <w:tcBorders>
              <w:right w:val="nil"/>
              <w:top w:val="nil"/>
              <w:bottom w:val="nil"/>
            </w:tcBorders>
          </w:tcPr>
          <w:p>
            <w:pPr>
              <w:rPr>
                <w:rFonts w:ascii="Arial"/>
                <w:sz w:val="21"/>
              </w:rPr>
            </w:pPr>
            <w:r/>
          </w:p>
        </w:tc>
      </w:tr>
      <w:tr>
        <w:trPr>
          <w:trHeight w:val="259" w:hRule="atLeast"/>
        </w:trPr>
        <w:tc>
          <w:tcPr>
            <w:tcW w:w="1011" w:type="dxa"/>
            <w:vAlign w:val="top"/>
            <w:vMerge w:val="continue"/>
            <w:tcBorders>
              <w:left w:val="nil"/>
              <w:top w:val="nil"/>
              <w:right w:val="single" w:color="000000" w:sz="6" w:space="0"/>
              <w:bottom w:val="nil"/>
            </w:tcBorders>
          </w:tcPr>
          <w:p>
            <w:pPr>
              <w:rPr>
                <w:rFonts w:ascii="Arial"/>
                <w:sz w:val="21"/>
              </w:rPr>
            </w:pPr>
            <w:r/>
          </w:p>
        </w:tc>
        <w:tc>
          <w:tcPr>
            <w:tcW w:w="1272" w:type="dxa"/>
            <w:vAlign w:val="top"/>
            <w:gridSpan w:val="2"/>
            <w:vMerge w:val="restart"/>
            <w:tcBorders>
              <w:right w:val="nil"/>
              <w:top w:val="single" w:color="000000" w:sz="6" w:space="0"/>
              <w:bottom w:val="nil"/>
            </w:tcBorders>
          </w:tcPr>
          <w:p>
            <w:pPr>
              <w:spacing w:line="528" w:lineRule="exact"/>
              <w:rPr/>
            </w:pPr>
            <w:r>
              <w:rPr>
                <w:position w:val="-13"/>
              </w:rPr>
              <w:pict>
                <v:shape id="_x0000_s384" style="mso-position-vertical-relative:line;mso-position-horizontal-relative:char;width:41.65pt;height:28.7pt;" filled="false" strokecolor="#000000" strokeweight="0.12pt" coordsize="833,574" coordorigin="0,0" path="m1,572l224,418m336,341l560,187m671,110l831,1e">
                  <v:stroke endcap="round" miterlimit="10"/>
                </v:shape>
              </w:pict>
            </w:r>
          </w:p>
        </w:tc>
        <w:tc>
          <w:tcPr>
            <w:tcW w:w="3371" w:type="dxa"/>
            <w:vAlign w:val="top"/>
            <w:gridSpan w:val="4"/>
            <w:vMerge w:val="restart"/>
            <w:tcBorders>
              <w:left w:val="nil"/>
              <w:top w:val="single" w:color="000000" w:sz="6" w:space="0"/>
              <w:bottom w:val="nil"/>
            </w:tcBorders>
          </w:tcPr>
          <w:p>
            <w:pPr>
              <w:spacing w:line="298" w:lineRule="auto"/>
              <w:rPr>
                <w:rFonts w:ascii="Arial"/>
                <w:sz w:val="21"/>
              </w:rPr>
            </w:pPr>
            <w:r/>
          </w:p>
          <w:p>
            <w:pPr>
              <w:ind w:left="1457"/>
              <w:spacing w:before="58" w:line="174" w:lineRule="auto"/>
              <w:rPr>
                <w:rFonts w:ascii="SimSun" w:hAnsi="SimSun" w:eastAsia="SimSun" w:cs="SimSun"/>
                <w:sz w:val="18"/>
                <w:szCs w:val="18"/>
              </w:rPr>
            </w:pPr>
            <w:r>
              <w:rPr>
                <w:rFonts w:ascii="SimSun" w:hAnsi="SimSun" w:eastAsia="SimSun" w:cs="SimSun"/>
                <w:sz w:val="18"/>
                <w:szCs w:val="18"/>
                <w:spacing w:val="-5"/>
              </w:rPr>
              <w:t>B</w:t>
            </w:r>
            <w:r>
              <w:rPr>
                <w:rFonts w:ascii="SimSun" w:hAnsi="SimSun" w:eastAsia="SimSun" w:cs="SimSun"/>
                <w:sz w:val="18"/>
                <w:szCs w:val="18"/>
                <w:spacing w:val="-49"/>
              </w:rPr>
              <w:t xml:space="preserve"> </w:t>
            </w:r>
            <w:r>
              <w:rPr>
                <w:rFonts w:ascii="SimSun" w:hAnsi="SimSun" w:eastAsia="SimSun" w:cs="SimSun"/>
                <w:sz w:val="18"/>
                <w:szCs w:val="18"/>
                <w:spacing w:val="-5"/>
              </w:rPr>
              <w:t>m</w:t>
            </w:r>
            <w:r>
              <w:rPr>
                <w:rFonts w:ascii="SimSun" w:hAnsi="SimSun" w:eastAsia="SimSun" w:cs="SimSun"/>
                <w:sz w:val="18"/>
                <w:szCs w:val="18"/>
                <w:spacing w:val="-31"/>
              </w:rPr>
              <w:t xml:space="preserve"> </w:t>
            </w:r>
            <w:r>
              <w:rPr>
                <w:rFonts w:ascii="SimSun" w:hAnsi="SimSun" w:eastAsia="SimSun" w:cs="SimSun"/>
                <w:sz w:val="18"/>
                <w:szCs w:val="18"/>
                <w:spacing w:val="-5"/>
              </w:rPr>
              <w:t>i</w:t>
            </w:r>
            <w:r>
              <w:rPr>
                <w:rFonts w:ascii="SimSun" w:hAnsi="SimSun" w:eastAsia="SimSun" w:cs="SimSun"/>
                <w:sz w:val="18"/>
                <w:szCs w:val="18"/>
                <w:spacing w:val="-45"/>
              </w:rPr>
              <w:t xml:space="preserve"> </w:t>
            </w:r>
            <w:r>
              <w:rPr>
                <w:rFonts w:ascii="SimSun" w:hAnsi="SimSun" w:eastAsia="SimSun" w:cs="SimSun"/>
                <w:sz w:val="18"/>
                <w:szCs w:val="18"/>
                <w:spacing w:val="-5"/>
              </w:rPr>
              <w:t>n</w:t>
            </w:r>
          </w:p>
        </w:tc>
        <w:tc>
          <w:tcPr>
            <w:tcW w:w="1332" w:type="dxa"/>
            <w:vAlign w:val="top"/>
            <w:gridSpan w:val="2"/>
            <w:tcBorders>
              <w:top w:val="single" w:color="000000" w:sz="6" w:space="0"/>
            </w:tcBorders>
          </w:tcPr>
          <w:p>
            <w:pPr>
              <w:ind w:left="600"/>
              <w:spacing w:before="105" w:line="144" w:lineRule="exact"/>
              <w:rPr>
                <w:rFonts w:ascii="SimSun" w:hAnsi="SimSun" w:eastAsia="SimSun" w:cs="SimSun"/>
                <w:sz w:val="18"/>
                <w:szCs w:val="18"/>
              </w:rPr>
            </w:pPr>
            <w:r>
              <w:rPr>
                <w:rFonts w:ascii="SimSun" w:hAnsi="SimSun" w:eastAsia="SimSun" w:cs="SimSun"/>
                <w:sz w:val="18"/>
                <w:szCs w:val="18"/>
                <w:position w:val="-2"/>
              </w:rPr>
              <w:t>A</w:t>
            </w:r>
          </w:p>
        </w:tc>
        <w:tc>
          <w:tcPr>
            <w:tcW w:w="1585" w:type="dxa"/>
            <w:vAlign w:val="top"/>
            <w:gridSpan w:val="4"/>
            <w:vMerge w:val="restart"/>
            <w:textDirection w:val="btLr"/>
            <w:tcBorders>
              <w:left w:val="nil"/>
              <w:bottom w:val="nil"/>
            </w:tcBorders>
          </w:tcPr>
          <w:p>
            <w:pPr>
              <w:spacing w:line="270" w:lineRule="auto"/>
              <w:rPr>
                <w:rFonts w:ascii="Arial"/>
                <w:sz w:val="21"/>
              </w:rPr>
            </w:pPr>
            <w:r/>
          </w:p>
          <w:p>
            <w:pPr>
              <w:spacing w:line="270" w:lineRule="auto"/>
              <w:rPr>
                <w:rFonts w:ascii="Arial"/>
                <w:sz w:val="21"/>
              </w:rPr>
            </w:pPr>
            <w:r/>
          </w:p>
          <w:p>
            <w:pPr>
              <w:spacing w:line="271" w:lineRule="auto"/>
              <w:rPr>
                <w:rFonts w:ascii="Arial"/>
                <w:sz w:val="21"/>
              </w:rPr>
            </w:pPr>
            <w:r/>
          </w:p>
          <w:p>
            <w:pPr>
              <w:spacing w:line="271" w:lineRule="auto"/>
              <w:rPr>
                <w:rFonts w:ascii="Arial"/>
                <w:sz w:val="21"/>
              </w:rPr>
            </w:pPr>
            <w:r/>
          </w:p>
          <w:p>
            <w:pPr>
              <w:spacing w:line="271" w:lineRule="auto"/>
              <w:rPr>
                <w:rFonts w:ascii="Arial"/>
                <w:sz w:val="21"/>
              </w:rPr>
            </w:pPr>
            <w:r/>
          </w:p>
          <w:p>
            <w:pPr>
              <w:ind w:left="579"/>
              <w:spacing w:before="58" w:line="170" w:lineRule="auto"/>
              <w:rPr>
                <w:rFonts w:ascii="SimSun" w:hAnsi="SimSun" w:eastAsia="SimSun" w:cs="SimSun"/>
                <w:sz w:val="18"/>
                <w:szCs w:val="18"/>
              </w:rPr>
            </w:pPr>
            <w:r>
              <w:rPr>
                <w:rFonts w:ascii="SimSun" w:hAnsi="SimSun" w:eastAsia="SimSun" w:cs="SimSun"/>
                <w:sz w:val="18"/>
                <w:szCs w:val="18"/>
              </w:rPr>
              <w:t>H</w:t>
            </w:r>
          </w:p>
        </w:tc>
        <w:tc>
          <w:tcPr>
            <w:tcW w:w="384" w:type="dxa"/>
            <w:vAlign w:val="top"/>
            <w:vMerge w:val="continue"/>
            <w:tcBorders>
              <w:right w:val="nil"/>
              <w:top w:val="nil"/>
              <w:bottom w:val="nil"/>
            </w:tcBorders>
          </w:tcPr>
          <w:p>
            <w:pPr>
              <w:rPr>
                <w:rFonts w:ascii="Arial"/>
                <w:sz w:val="21"/>
              </w:rPr>
            </w:pPr>
            <w:r/>
          </w:p>
        </w:tc>
      </w:tr>
      <w:tr>
        <w:trPr>
          <w:trHeight w:val="274" w:hRule="atLeast"/>
        </w:trPr>
        <w:tc>
          <w:tcPr>
            <w:tcW w:w="1011" w:type="dxa"/>
            <w:vAlign w:val="top"/>
            <w:vMerge w:val="continue"/>
            <w:tcBorders>
              <w:left w:val="nil"/>
              <w:top w:val="nil"/>
              <w:right w:val="single" w:color="000000" w:sz="6" w:space="0"/>
              <w:bottom w:val="nil"/>
            </w:tcBorders>
          </w:tcPr>
          <w:p>
            <w:pPr>
              <w:rPr>
                <w:rFonts w:ascii="Arial"/>
                <w:sz w:val="21"/>
              </w:rPr>
            </w:pPr>
            <w:r/>
          </w:p>
        </w:tc>
        <w:tc>
          <w:tcPr>
            <w:tcW w:w="1272" w:type="dxa"/>
            <w:vAlign w:val="top"/>
            <w:gridSpan w:val="2"/>
            <w:vMerge w:val="continue"/>
            <w:tcBorders>
              <w:right w:val="nil"/>
              <w:top w:val="nil"/>
            </w:tcBorders>
          </w:tcPr>
          <w:p>
            <w:pPr>
              <w:rPr>
                <w:rFonts w:ascii="Arial"/>
                <w:sz w:val="21"/>
              </w:rPr>
            </w:pPr>
            <w:r/>
          </w:p>
        </w:tc>
        <w:tc>
          <w:tcPr>
            <w:tcW w:w="3371" w:type="dxa"/>
            <w:vAlign w:val="top"/>
            <w:gridSpan w:val="4"/>
            <w:vMerge w:val="continue"/>
            <w:tcBorders>
              <w:left w:val="nil"/>
              <w:top w:val="nil"/>
            </w:tcBorders>
          </w:tcPr>
          <w:p>
            <w:pPr>
              <w:rPr>
                <w:rFonts w:ascii="Arial"/>
                <w:sz w:val="21"/>
              </w:rPr>
            </w:pPr>
            <w:r/>
          </w:p>
        </w:tc>
        <w:tc>
          <w:tcPr>
            <w:tcW w:w="1332" w:type="dxa"/>
            <w:vAlign w:val="top"/>
            <w:gridSpan w:val="2"/>
            <w:tcBorders>
              <w:left w:val="nil"/>
            </w:tcBorders>
          </w:tcPr>
          <w:p>
            <w:pPr>
              <w:rPr>
                <w:rFonts w:ascii="Arial"/>
                <w:sz w:val="21"/>
              </w:rPr>
            </w:pPr>
            <w:r/>
          </w:p>
        </w:tc>
        <w:tc>
          <w:tcPr>
            <w:tcW w:w="1585" w:type="dxa"/>
            <w:vAlign w:val="top"/>
            <w:gridSpan w:val="4"/>
            <w:vMerge w:val="continue"/>
            <w:textDirection w:val="btLr"/>
            <w:tcBorders>
              <w:left w:val="nil"/>
              <w:top w:val="nil"/>
              <w:bottom w:val="nil"/>
            </w:tcBorders>
          </w:tcPr>
          <w:p>
            <w:pPr>
              <w:rPr>
                <w:rFonts w:ascii="Arial"/>
                <w:sz w:val="21"/>
              </w:rPr>
            </w:pPr>
            <w:r/>
          </w:p>
        </w:tc>
        <w:tc>
          <w:tcPr>
            <w:tcW w:w="384" w:type="dxa"/>
            <w:vAlign w:val="top"/>
            <w:vMerge w:val="continue"/>
            <w:tcBorders>
              <w:right w:val="nil"/>
              <w:top w:val="nil"/>
              <w:bottom w:val="nil"/>
            </w:tcBorders>
          </w:tcPr>
          <w:p>
            <w:pPr>
              <w:rPr>
                <w:rFonts w:ascii="Arial"/>
                <w:sz w:val="21"/>
              </w:rPr>
            </w:pPr>
            <w:r/>
          </w:p>
        </w:tc>
      </w:tr>
      <w:tr>
        <w:trPr>
          <w:trHeight w:val="668" w:hRule="atLeast"/>
        </w:trPr>
        <w:tc>
          <w:tcPr>
            <w:tcW w:w="1011" w:type="dxa"/>
            <w:vAlign w:val="top"/>
            <w:vMerge w:val="continue"/>
            <w:tcBorders>
              <w:left w:val="nil"/>
              <w:top w:val="nil"/>
              <w:right w:val="single" w:color="000000" w:sz="6" w:space="0"/>
              <w:bottom w:val="single" w:color="000000" w:sz="4" w:space="0"/>
            </w:tcBorders>
          </w:tcPr>
          <w:p>
            <w:pPr>
              <w:rPr>
                <w:rFonts w:ascii="Arial"/>
                <w:sz w:val="21"/>
              </w:rPr>
            </w:pPr>
            <w:r/>
          </w:p>
        </w:tc>
        <w:tc>
          <w:tcPr>
            <w:tcW w:w="5975" w:type="dxa"/>
            <w:vAlign w:val="top"/>
            <w:gridSpan w:val="8"/>
            <w:tcBorders>
              <w:left w:val="nil"/>
              <w:right w:val="nil"/>
            </w:tcBorders>
          </w:tcPr>
          <w:p>
            <w:pPr>
              <w:rPr>
                <w:rFonts w:ascii="Arial"/>
                <w:sz w:val="21"/>
              </w:rPr>
            </w:pPr>
            <w:r/>
          </w:p>
        </w:tc>
        <w:tc>
          <w:tcPr>
            <w:tcW w:w="1585" w:type="dxa"/>
            <w:vAlign w:val="top"/>
            <w:gridSpan w:val="4"/>
            <w:vMerge w:val="continue"/>
            <w:textDirection w:val="btLr"/>
            <w:tcBorders>
              <w:left w:val="nil"/>
              <w:top w:val="nil"/>
            </w:tcBorders>
          </w:tcPr>
          <w:p>
            <w:pPr>
              <w:rPr>
                <w:rFonts w:ascii="Arial"/>
                <w:sz w:val="21"/>
              </w:rPr>
            </w:pPr>
            <w:r/>
          </w:p>
        </w:tc>
        <w:tc>
          <w:tcPr>
            <w:tcW w:w="384" w:type="dxa"/>
            <w:vAlign w:val="top"/>
            <w:vMerge w:val="continue"/>
            <w:tcBorders>
              <w:right w:val="nil"/>
              <w:top w:val="nil"/>
            </w:tcBorders>
          </w:tcPr>
          <w:p>
            <w:pPr>
              <w:rPr>
                <w:rFonts w:ascii="Arial"/>
                <w:sz w:val="21"/>
              </w:rPr>
            </w:pPr>
            <w:r/>
          </w:p>
        </w:tc>
      </w:tr>
    </w:tbl>
    <w:p>
      <w:pPr>
        <w:ind w:left="2781"/>
        <w:spacing w:before="128"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47"/>
        </w:rPr>
        <w:t xml:space="preserve"> </w:t>
      </w:r>
      <w:r>
        <w:rPr>
          <w:rFonts w:ascii="SimHei" w:hAnsi="SimHei" w:eastAsia="SimHei" w:cs="SimHei"/>
          <w:sz w:val="24"/>
          <w:szCs w:val="24"/>
          <w:spacing w:val="-2"/>
        </w:rPr>
        <w:t>3-5-2</w:t>
      </w:r>
      <w:r>
        <w:rPr>
          <w:rFonts w:ascii="SimHei" w:hAnsi="SimHei" w:eastAsia="SimHei" w:cs="SimHei"/>
          <w:sz w:val="24"/>
          <w:szCs w:val="24"/>
          <w:spacing w:val="-2"/>
        </w:rPr>
        <w:t xml:space="preserve">  </w:t>
      </w:r>
      <w:r>
        <w:rPr>
          <w:rFonts w:ascii="SimHei" w:hAnsi="SimHei" w:eastAsia="SimHei" w:cs="SimHei"/>
          <w:sz w:val="24"/>
          <w:szCs w:val="24"/>
          <w:spacing w:val="-2"/>
        </w:rPr>
        <w:t>最小工作平盘要素示意图</w:t>
      </w:r>
    </w:p>
    <w:p>
      <w:pPr>
        <w:pStyle w:val="BodyText"/>
        <w:spacing w:line="246" w:lineRule="auto"/>
        <w:rPr/>
      </w:pPr>
      <w:r/>
    </w:p>
    <w:p>
      <w:pPr>
        <w:pStyle w:val="BodyText"/>
        <w:spacing w:line="246" w:lineRule="auto"/>
        <w:rPr/>
      </w:pPr>
      <w:r/>
    </w:p>
    <w:p>
      <w:pPr>
        <w:ind w:left="595"/>
        <w:spacing w:before="78"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、排土场设置</w:t>
      </w:r>
    </w:p>
    <w:p>
      <w:pPr>
        <w:ind w:left="123" w:right="112" w:firstLine="480"/>
        <w:spacing w:before="157" w:line="338" w:lineRule="auto"/>
        <w:rPr>
          <w:rFonts w:ascii="SimSun" w:hAnsi="SimSun" w:eastAsia="SimSun" w:cs="SimSun"/>
          <w:sz w:val="24"/>
          <w:szCs w:val="24"/>
        </w:rPr>
      </w:pPr>
      <w:r>
        <w:rPr>
          <w:rFonts w:ascii="SimSun" w:hAnsi="SimSun" w:eastAsia="SimSun" w:cs="SimSun"/>
          <w:sz w:val="24"/>
          <w:szCs w:val="24"/>
          <w:spacing w:val="-2"/>
        </w:rPr>
        <w:t>该矿目前已实现完全内排，形成了两处外排土场。外排土场分为东外一号排土场和</w:t>
      </w:r>
      <w:r>
        <w:rPr>
          <w:rFonts w:ascii="SimSun" w:hAnsi="SimSun" w:eastAsia="SimSun" w:cs="SimSun"/>
          <w:sz w:val="24"/>
          <w:szCs w:val="24"/>
          <w:spacing w:val="-2"/>
        </w:rPr>
        <w:t>东外二号排土场，东外一号排土场选择在首采区拉沟位置的东南侧，该排土场主要是排</w:t>
      </w:r>
      <w:r>
        <w:rPr>
          <w:rFonts w:ascii="SimSun" w:hAnsi="SimSun" w:eastAsia="SimSun" w:cs="SimSun"/>
          <w:sz w:val="24"/>
          <w:szCs w:val="24"/>
          <w:spacing w:val="-2"/>
        </w:rPr>
        <w:t>弃基建期及开采初期几年的剥离量；东外二号排土场选择在首采区的东侧，一号排土场</w:t>
      </w:r>
      <w:r>
        <w:rPr>
          <w:rFonts w:ascii="SimSun" w:hAnsi="SimSun" w:eastAsia="SimSun" w:cs="SimSun"/>
          <w:sz w:val="24"/>
          <w:szCs w:val="24"/>
        </w:rPr>
        <w:t>的北侧，该排土场主要是排弃形成内排以后到</w:t>
      </w:r>
      <w:r>
        <w:rPr>
          <w:rFonts w:ascii="SimSun" w:hAnsi="SimSun" w:eastAsia="SimSun" w:cs="SimSun"/>
          <w:sz w:val="24"/>
          <w:szCs w:val="24"/>
          <w:spacing w:val="-1"/>
        </w:rPr>
        <w:t>完全实现内排以前的全部剥离量。</w:t>
      </w:r>
    </w:p>
    <w:p>
      <w:pPr>
        <w:ind w:left="126" w:right="112" w:firstLine="474"/>
        <w:spacing w:before="1" w:line="338" w:lineRule="auto"/>
        <w:rPr>
          <w:rFonts w:ascii="SimSun" w:hAnsi="SimSun" w:eastAsia="SimSun" w:cs="SimSun"/>
          <w:sz w:val="24"/>
          <w:szCs w:val="24"/>
        </w:rPr>
      </w:pPr>
      <w:r>
        <w:rPr>
          <w:rFonts w:ascii="SimSun" w:hAnsi="SimSun" w:eastAsia="SimSun" w:cs="SimSun"/>
          <w:sz w:val="24"/>
          <w:szCs w:val="24"/>
          <w:spacing w:val="-2"/>
        </w:rPr>
        <w:t>本矿已进入全内排时期多年，内排空间满足剥离物的排放要求，无需增加内排土场</w:t>
      </w:r>
      <w:r>
        <w:rPr>
          <w:rFonts w:ascii="SimSun" w:hAnsi="SimSun" w:eastAsia="SimSun" w:cs="SimSun"/>
          <w:sz w:val="24"/>
          <w:szCs w:val="24"/>
          <w:spacing w:val="-6"/>
        </w:rPr>
        <w:t>高度。</w:t>
      </w:r>
    </w:p>
    <w:p>
      <w:pPr>
        <w:ind w:left="119" w:right="112" w:firstLine="481"/>
        <w:spacing w:before="4" w:line="338" w:lineRule="auto"/>
        <w:jc w:val="both"/>
        <w:rPr>
          <w:rFonts w:ascii="SimSun" w:hAnsi="SimSun" w:eastAsia="SimSun" w:cs="SimSun"/>
          <w:sz w:val="24"/>
          <w:szCs w:val="24"/>
        </w:rPr>
      </w:pPr>
      <w:r>
        <w:rPr>
          <w:rFonts w:ascii="SimSun" w:hAnsi="SimSun" w:eastAsia="SimSun" w:cs="SimSun"/>
          <w:sz w:val="24"/>
          <w:szCs w:val="24"/>
          <w:spacing w:val="-2"/>
        </w:rPr>
        <w:t>单斗汽车剥离物内、外排土场排弃方式采用汽车</w:t>
      </w:r>
      <w:r>
        <w:rPr>
          <w:rFonts w:ascii="Times New Roman" w:hAnsi="Times New Roman" w:eastAsia="Times New Roman" w:cs="Times New Roman"/>
          <w:sz w:val="24"/>
          <w:szCs w:val="24"/>
          <w:spacing w:val="-2"/>
        </w:rPr>
        <w:t>——</w:t>
      </w:r>
      <w:r>
        <w:rPr>
          <w:rFonts w:ascii="SimSun" w:hAnsi="SimSun" w:eastAsia="SimSun" w:cs="SimSun"/>
          <w:sz w:val="24"/>
          <w:szCs w:val="24"/>
          <w:spacing w:val="-2"/>
        </w:rPr>
        <w:t>推土机分层排土方式，剥离物</w:t>
      </w:r>
      <w:r>
        <w:rPr>
          <w:rFonts w:ascii="SimSun" w:hAnsi="SimSun" w:eastAsia="SimSun" w:cs="SimSun"/>
          <w:sz w:val="24"/>
          <w:szCs w:val="24"/>
          <w:spacing w:val="-2"/>
        </w:rPr>
        <w:t>由自卸汽车运至排土场各个水平后，靠近台阶坡顶线安全线以内翻卸，剥离物大部分由</w:t>
      </w:r>
      <w:r>
        <w:rPr>
          <w:rFonts w:ascii="SimSun" w:hAnsi="SimSun" w:eastAsia="SimSun" w:cs="SimSun"/>
          <w:sz w:val="24"/>
          <w:szCs w:val="24"/>
          <w:spacing w:val="-1"/>
        </w:rPr>
        <w:t>汽车翻卸，剩余物由装载机推下坡面。</w:t>
      </w:r>
    </w:p>
    <w:p>
      <w:pPr>
        <w:ind w:left="2630"/>
        <w:spacing w:before="125" w:line="221" w:lineRule="auto"/>
        <w:rPr>
          <w:rFonts w:ascii="SimHei" w:hAnsi="SimHei" w:eastAsia="SimHei" w:cs="SimHei"/>
          <w:sz w:val="24"/>
          <w:szCs w:val="24"/>
        </w:rPr>
      </w:pPr>
      <w:r>
        <w:rPr>
          <w:rFonts w:ascii="SimHei" w:hAnsi="SimHei" w:eastAsia="SimHei" w:cs="SimHei"/>
          <w:sz w:val="24"/>
          <w:szCs w:val="24"/>
          <w:spacing w:val="-2"/>
        </w:rPr>
        <w:t>内排土场汽车</w:t>
      </w:r>
      <w:r>
        <w:rPr>
          <w:rFonts w:ascii="Times New Roman" w:hAnsi="Times New Roman" w:eastAsia="Times New Roman" w:cs="Times New Roman"/>
          <w:sz w:val="24"/>
          <w:szCs w:val="24"/>
          <w:spacing w:val="-2"/>
        </w:rPr>
        <w:t>—</w:t>
      </w:r>
      <w:r>
        <w:rPr>
          <w:rFonts w:ascii="SimHei" w:hAnsi="SimHei" w:eastAsia="SimHei" w:cs="SimHei"/>
          <w:sz w:val="24"/>
          <w:szCs w:val="24"/>
          <w:spacing w:val="-2"/>
        </w:rPr>
        <w:t>推土机排土台阶参数表</w:t>
      </w:r>
    </w:p>
    <w:p>
      <w:pPr>
        <w:ind w:left="117"/>
        <w:spacing w:before="68"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3-5-9</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860"/>
        <w:gridCol w:w="1331"/>
        <w:gridCol w:w="3099"/>
      </w:tblGrid>
      <w:tr>
        <w:trPr>
          <w:trHeight w:val="282" w:hRule="atLeast"/>
        </w:trPr>
        <w:tc>
          <w:tcPr>
            <w:tcW w:w="4860" w:type="dxa"/>
            <w:vAlign w:val="top"/>
          </w:tcPr>
          <w:p>
            <w:pPr>
              <w:ind w:left="2072"/>
              <w:spacing w:before="33" w:line="220" w:lineRule="auto"/>
              <w:rPr>
                <w:rFonts w:ascii="SimSun" w:hAnsi="SimSun" w:eastAsia="SimSun" w:cs="SimSun"/>
                <w:sz w:val="20"/>
                <w:szCs w:val="20"/>
              </w:rPr>
            </w:pPr>
            <w:r>
              <w:rPr>
                <w:rFonts w:ascii="SimSun" w:hAnsi="SimSun" w:eastAsia="SimSun" w:cs="SimSun"/>
                <w:sz w:val="20"/>
                <w:szCs w:val="20"/>
                <w:spacing w:val="-2"/>
              </w:rPr>
              <w:t>项</w:t>
            </w:r>
            <w:r>
              <w:rPr>
                <w:rFonts w:ascii="SimSun" w:hAnsi="SimSun" w:eastAsia="SimSun" w:cs="SimSun"/>
                <w:sz w:val="20"/>
                <w:szCs w:val="20"/>
                <w:spacing w:val="20"/>
              </w:rPr>
              <w:t xml:space="preserve">   </w:t>
            </w:r>
            <w:r>
              <w:rPr>
                <w:rFonts w:ascii="SimSun" w:hAnsi="SimSun" w:eastAsia="SimSun" w:cs="SimSun"/>
                <w:sz w:val="20"/>
                <w:szCs w:val="20"/>
                <w:spacing w:val="-2"/>
              </w:rPr>
              <w:t>目</w:t>
            </w:r>
          </w:p>
        </w:tc>
        <w:tc>
          <w:tcPr>
            <w:tcW w:w="1331" w:type="dxa"/>
            <w:vAlign w:val="top"/>
          </w:tcPr>
          <w:p>
            <w:pPr>
              <w:ind w:left="463"/>
              <w:spacing w:before="33" w:line="220" w:lineRule="auto"/>
              <w:rPr>
                <w:rFonts w:ascii="SimSun" w:hAnsi="SimSun" w:eastAsia="SimSun" w:cs="SimSun"/>
                <w:sz w:val="20"/>
                <w:szCs w:val="20"/>
              </w:rPr>
            </w:pPr>
            <w:r>
              <w:rPr>
                <w:rFonts w:ascii="SimSun" w:hAnsi="SimSun" w:eastAsia="SimSun" w:cs="SimSun"/>
                <w:sz w:val="20"/>
                <w:szCs w:val="20"/>
                <w:spacing w:val="3"/>
              </w:rPr>
              <w:t>单位</w:t>
            </w:r>
          </w:p>
        </w:tc>
        <w:tc>
          <w:tcPr>
            <w:tcW w:w="3099" w:type="dxa"/>
            <w:vAlign w:val="top"/>
          </w:tcPr>
          <w:p>
            <w:pPr>
              <w:ind w:left="948"/>
              <w:spacing w:before="33" w:line="220" w:lineRule="auto"/>
              <w:rPr>
                <w:rFonts w:ascii="SimSun" w:hAnsi="SimSun" w:eastAsia="SimSun" w:cs="SimSun"/>
                <w:sz w:val="20"/>
                <w:szCs w:val="20"/>
              </w:rPr>
            </w:pPr>
            <w:r>
              <w:rPr>
                <w:rFonts w:ascii="SimSun" w:hAnsi="SimSun" w:eastAsia="SimSun" w:cs="SimSun"/>
                <w:sz w:val="20"/>
                <w:szCs w:val="20"/>
                <w:spacing w:val="4"/>
              </w:rPr>
              <w:t>内排土场参数</w:t>
            </w:r>
          </w:p>
        </w:tc>
      </w:tr>
      <w:tr>
        <w:trPr>
          <w:trHeight w:val="275" w:hRule="atLeast"/>
        </w:trPr>
        <w:tc>
          <w:tcPr>
            <w:tcW w:w="4860" w:type="dxa"/>
            <w:vAlign w:val="top"/>
          </w:tcPr>
          <w:p>
            <w:pPr>
              <w:ind w:left="1805"/>
              <w:spacing w:before="27" w:line="219" w:lineRule="auto"/>
              <w:rPr>
                <w:rFonts w:ascii="SimSun" w:hAnsi="SimSun" w:eastAsia="SimSun" w:cs="SimSun"/>
                <w:sz w:val="20"/>
                <w:szCs w:val="20"/>
              </w:rPr>
            </w:pPr>
            <w:r>
              <w:rPr>
                <w:rFonts w:ascii="SimSun" w:hAnsi="SimSun" w:eastAsia="SimSun" w:cs="SimSun"/>
                <w:sz w:val="20"/>
                <w:szCs w:val="20"/>
                <w:spacing w:val="8"/>
              </w:rPr>
              <w:t>排土台阶高度</w:t>
            </w:r>
          </w:p>
        </w:tc>
        <w:tc>
          <w:tcPr>
            <w:tcW w:w="1331" w:type="dxa"/>
            <w:vAlign w:val="top"/>
          </w:tcPr>
          <w:p>
            <w:pPr>
              <w:pStyle w:val="TableText"/>
              <w:ind w:left="582"/>
              <w:spacing w:before="109" w:line="141" w:lineRule="exact"/>
              <w:rPr/>
            </w:pPr>
            <w:r>
              <w:rPr>
                <w:spacing w:val="5"/>
              </w:rPr>
              <w:t>m</w:t>
            </w:r>
          </w:p>
        </w:tc>
        <w:tc>
          <w:tcPr>
            <w:tcW w:w="3099" w:type="dxa"/>
            <w:vAlign w:val="top"/>
          </w:tcPr>
          <w:p>
            <w:pPr>
              <w:pStyle w:val="TableText"/>
              <w:ind w:left="1449"/>
              <w:spacing w:before="68" w:line="195" w:lineRule="auto"/>
              <w:rPr>
                <w:sz w:val="19"/>
                <w:szCs w:val="19"/>
              </w:rPr>
            </w:pPr>
            <w:r>
              <w:rPr>
                <w:sz w:val="19"/>
                <w:szCs w:val="19"/>
                <w:spacing w:val="3"/>
              </w:rPr>
              <w:t>24</w:t>
            </w:r>
          </w:p>
        </w:tc>
      </w:tr>
      <w:tr>
        <w:trPr>
          <w:trHeight w:val="277" w:hRule="atLeast"/>
        </w:trPr>
        <w:tc>
          <w:tcPr>
            <w:tcW w:w="4860" w:type="dxa"/>
            <w:vAlign w:val="top"/>
          </w:tcPr>
          <w:p>
            <w:pPr>
              <w:ind w:left="1805"/>
              <w:spacing w:before="30" w:line="218" w:lineRule="auto"/>
              <w:rPr>
                <w:rFonts w:ascii="SimSun" w:hAnsi="SimSun" w:eastAsia="SimSun" w:cs="SimSun"/>
                <w:sz w:val="20"/>
                <w:szCs w:val="20"/>
              </w:rPr>
            </w:pPr>
            <w:r>
              <w:rPr>
                <w:rFonts w:ascii="SimSun" w:hAnsi="SimSun" w:eastAsia="SimSun" w:cs="SimSun"/>
                <w:sz w:val="20"/>
                <w:szCs w:val="20"/>
                <w:spacing w:val="8"/>
              </w:rPr>
              <w:t>岩石滚动距离</w:t>
            </w:r>
          </w:p>
        </w:tc>
        <w:tc>
          <w:tcPr>
            <w:tcW w:w="1331" w:type="dxa"/>
            <w:vAlign w:val="top"/>
          </w:tcPr>
          <w:p>
            <w:pPr>
              <w:pStyle w:val="TableText"/>
              <w:ind w:left="582"/>
              <w:spacing w:before="112" w:line="141" w:lineRule="exact"/>
              <w:rPr/>
            </w:pPr>
            <w:r>
              <w:rPr>
                <w:spacing w:val="5"/>
              </w:rPr>
              <w:t>m</w:t>
            </w:r>
          </w:p>
        </w:tc>
        <w:tc>
          <w:tcPr>
            <w:tcW w:w="3099" w:type="dxa"/>
            <w:vAlign w:val="top"/>
          </w:tcPr>
          <w:p>
            <w:pPr>
              <w:pStyle w:val="TableText"/>
              <w:ind w:left="1468"/>
              <w:spacing w:before="71" w:line="195" w:lineRule="auto"/>
              <w:rPr>
                <w:sz w:val="19"/>
                <w:szCs w:val="19"/>
              </w:rPr>
            </w:pPr>
            <w:r>
              <w:rPr>
                <w:sz w:val="19"/>
                <w:szCs w:val="19"/>
                <w:spacing w:val="-7"/>
              </w:rPr>
              <w:t>15</w:t>
            </w:r>
          </w:p>
        </w:tc>
      </w:tr>
      <w:tr>
        <w:trPr>
          <w:trHeight w:val="277" w:hRule="atLeast"/>
        </w:trPr>
        <w:tc>
          <w:tcPr>
            <w:tcW w:w="4860" w:type="dxa"/>
            <w:vAlign w:val="top"/>
          </w:tcPr>
          <w:p>
            <w:pPr>
              <w:ind w:left="1927"/>
              <w:spacing w:before="31" w:line="217" w:lineRule="auto"/>
              <w:rPr>
                <w:rFonts w:ascii="SimSun" w:hAnsi="SimSun" w:eastAsia="SimSun" w:cs="SimSun"/>
                <w:sz w:val="20"/>
                <w:szCs w:val="20"/>
              </w:rPr>
            </w:pPr>
            <w:r>
              <w:rPr>
                <w:rFonts w:ascii="SimSun" w:hAnsi="SimSun" w:eastAsia="SimSun" w:cs="SimSun"/>
                <w:sz w:val="20"/>
                <w:szCs w:val="20"/>
                <w:spacing w:val="4"/>
              </w:rPr>
              <w:t>台阶坡面角</w:t>
            </w:r>
          </w:p>
        </w:tc>
        <w:tc>
          <w:tcPr>
            <w:tcW w:w="1331" w:type="dxa"/>
            <w:vAlign w:val="top"/>
          </w:tcPr>
          <w:p>
            <w:pPr>
              <w:pStyle w:val="TableText"/>
              <w:ind w:left="631"/>
              <w:spacing w:before="67" w:line="192" w:lineRule="auto"/>
              <w:rPr/>
            </w:pPr>
            <w:r>
              <w:rPr/>
              <w:t>°</w:t>
            </w:r>
          </w:p>
        </w:tc>
        <w:tc>
          <w:tcPr>
            <w:tcW w:w="3099" w:type="dxa"/>
            <w:vAlign w:val="top"/>
          </w:tcPr>
          <w:p>
            <w:pPr>
              <w:pStyle w:val="TableText"/>
              <w:ind w:left="1453"/>
              <w:spacing w:before="72" w:line="195" w:lineRule="auto"/>
              <w:rPr>
                <w:sz w:val="19"/>
                <w:szCs w:val="19"/>
              </w:rPr>
            </w:pPr>
            <w:r>
              <w:rPr>
                <w:sz w:val="19"/>
                <w:szCs w:val="19"/>
                <w:spacing w:val="1"/>
              </w:rPr>
              <w:t>33</w:t>
            </w:r>
          </w:p>
        </w:tc>
      </w:tr>
      <w:tr>
        <w:trPr>
          <w:trHeight w:val="275" w:hRule="atLeast"/>
        </w:trPr>
        <w:tc>
          <w:tcPr>
            <w:tcW w:w="4860" w:type="dxa"/>
            <w:vAlign w:val="top"/>
          </w:tcPr>
          <w:p>
            <w:pPr>
              <w:ind w:left="1913"/>
              <w:spacing w:before="31" w:line="216" w:lineRule="auto"/>
              <w:rPr>
                <w:rFonts w:ascii="SimSun" w:hAnsi="SimSun" w:eastAsia="SimSun" w:cs="SimSun"/>
                <w:sz w:val="20"/>
                <w:szCs w:val="20"/>
              </w:rPr>
            </w:pPr>
            <w:r>
              <w:rPr>
                <w:rFonts w:ascii="SimSun" w:hAnsi="SimSun" w:eastAsia="SimSun" w:cs="SimSun"/>
                <w:sz w:val="20"/>
                <w:szCs w:val="20"/>
                <w:spacing w:val="7"/>
              </w:rPr>
              <w:t>最终帮坡角</w:t>
            </w:r>
          </w:p>
        </w:tc>
        <w:tc>
          <w:tcPr>
            <w:tcW w:w="1331" w:type="dxa"/>
            <w:vAlign w:val="top"/>
          </w:tcPr>
          <w:p>
            <w:pPr>
              <w:pStyle w:val="TableText"/>
              <w:ind w:left="631"/>
              <w:spacing w:before="66" w:line="192" w:lineRule="auto"/>
              <w:rPr/>
            </w:pPr>
            <w:r>
              <w:rPr/>
              <w:t>°</w:t>
            </w:r>
          </w:p>
        </w:tc>
        <w:tc>
          <w:tcPr>
            <w:tcW w:w="3099" w:type="dxa"/>
            <w:vAlign w:val="top"/>
          </w:tcPr>
          <w:p>
            <w:pPr>
              <w:pStyle w:val="TableText"/>
              <w:ind w:left="1468"/>
              <w:spacing w:before="71" w:line="195" w:lineRule="auto"/>
              <w:rPr>
                <w:sz w:val="19"/>
                <w:szCs w:val="19"/>
              </w:rPr>
            </w:pPr>
            <w:r>
              <w:rPr>
                <w:sz w:val="19"/>
                <w:szCs w:val="19"/>
                <w:spacing w:val="-7"/>
              </w:rPr>
              <w:t>18</w:t>
            </w:r>
          </w:p>
        </w:tc>
      </w:tr>
      <w:tr>
        <w:trPr>
          <w:trHeight w:val="282" w:hRule="atLeast"/>
        </w:trPr>
        <w:tc>
          <w:tcPr>
            <w:tcW w:w="4860" w:type="dxa"/>
            <w:vAlign w:val="top"/>
          </w:tcPr>
          <w:p>
            <w:pPr>
              <w:ind w:left="1388"/>
              <w:spacing w:before="33" w:line="220" w:lineRule="auto"/>
              <w:rPr>
                <w:rFonts w:ascii="SimSun" w:hAnsi="SimSun" w:eastAsia="SimSun" w:cs="SimSun"/>
                <w:sz w:val="20"/>
                <w:szCs w:val="20"/>
              </w:rPr>
            </w:pPr>
            <w:r>
              <w:rPr>
                <w:rFonts w:ascii="SimSun" w:hAnsi="SimSun" w:eastAsia="SimSun" w:cs="SimSun"/>
                <w:sz w:val="20"/>
                <w:szCs w:val="20"/>
                <w:spacing w:val="8"/>
              </w:rPr>
              <w:t>最小排土工作平盘宽度</w:t>
            </w:r>
          </w:p>
        </w:tc>
        <w:tc>
          <w:tcPr>
            <w:tcW w:w="1331" w:type="dxa"/>
            <w:vAlign w:val="top"/>
          </w:tcPr>
          <w:p>
            <w:pPr>
              <w:pStyle w:val="TableText"/>
              <w:ind w:left="582"/>
              <w:spacing w:before="115" w:line="141" w:lineRule="exact"/>
              <w:rPr/>
            </w:pPr>
            <w:r>
              <w:rPr>
                <w:spacing w:val="5"/>
              </w:rPr>
              <w:t>m</w:t>
            </w:r>
          </w:p>
        </w:tc>
        <w:tc>
          <w:tcPr>
            <w:tcW w:w="3099" w:type="dxa"/>
            <w:vAlign w:val="top"/>
          </w:tcPr>
          <w:p>
            <w:pPr>
              <w:pStyle w:val="TableText"/>
              <w:ind w:left="1454"/>
              <w:spacing w:before="74" w:line="195" w:lineRule="auto"/>
              <w:rPr>
                <w:sz w:val="19"/>
                <w:szCs w:val="19"/>
              </w:rPr>
            </w:pPr>
            <w:r>
              <w:rPr>
                <w:sz w:val="19"/>
                <w:szCs w:val="19"/>
              </w:rPr>
              <w:t>60</w:t>
            </w:r>
          </w:p>
        </w:tc>
      </w:tr>
    </w:tbl>
    <w:p>
      <w:pPr>
        <w:ind w:left="3110"/>
        <w:spacing w:before="271" w:line="221" w:lineRule="auto"/>
        <w:rPr>
          <w:rFonts w:ascii="SimHei" w:hAnsi="SimHei" w:eastAsia="SimHei" w:cs="SimHei"/>
          <w:sz w:val="24"/>
          <w:szCs w:val="24"/>
        </w:rPr>
      </w:pPr>
      <w:r>
        <w:rPr>
          <w:rFonts w:ascii="SimHei" w:hAnsi="SimHei" w:eastAsia="SimHei" w:cs="SimHei"/>
          <w:sz w:val="24"/>
          <w:szCs w:val="24"/>
          <w:spacing w:val="-2"/>
        </w:rPr>
        <w:t>内排沟底最小平盘宽度要素表</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2"/>
        </w:rPr>
        <w:t>3-5-10</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8"/>
        <w:gridCol w:w="2161"/>
        <w:gridCol w:w="1240"/>
        <w:gridCol w:w="931"/>
        <w:gridCol w:w="2778"/>
        <w:gridCol w:w="1242"/>
      </w:tblGrid>
      <w:tr>
        <w:trPr>
          <w:trHeight w:val="294" w:hRule="atLeast"/>
        </w:trPr>
        <w:tc>
          <w:tcPr>
            <w:tcW w:w="938" w:type="dxa"/>
            <w:vAlign w:val="top"/>
          </w:tcPr>
          <w:p>
            <w:pPr>
              <w:ind w:left="266"/>
              <w:spacing w:before="41" w:line="224" w:lineRule="auto"/>
              <w:rPr>
                <w:rFonts w:ascii="SimSun" w:hAnsi="SimSun" w:eastAsia="SimSun" w:cs="SimSun"/>
                <w:sz w:val="20"/>
                <w:szCs w:val="20"/>
              </w:rPr>
            </w:pPr>
            <w:r>
              <w:rPr>
                <w:rFonts w:ascii="SimSun" w:hAnsi="SimSun" w:eastAsia="SimSun" w:cs="SimSun"/>
                <w:sz w:val="20"/>
                <w:szCs w:val="20"/>
                <w:spacing w:val="3"/>
              </w:rPr>
              <w:t>符号</w:t>
            </w:r>
          </w:p>
        </w:tc>
        <w:tc>
          <w:tcPr>
            <w:tcW w:w="2161" w:type="dxa"/>
            <w:vAlign w:val="top"/>
          </w:tcPr>
          <w:p>
            <w:pPr>
              <w:ind w:left="665"/>
              <w:spacing w:before="41" w:line="224" w:lineRule="auto"/>
              <w:rPr>
                <w:rFonts w:ascii="SimSun" w:hAnsi="SimSun" w:eastAsia="SimSun" w:cs="SimSun"/>
                <w:sz w:val="20"/>
                <w:szCs w:val="20"/>
              </w:rPr>
            </w:pPr>
            <w:r>
              <w:rPr>
                <w:rFonts w:ascii="SimSun" w:hAnsi="SimSun" w:eastAsia="SimSun" w:cs="SimSun"/>
                <w:sz w:val="20"/>
                <w:szCs w:val="20"/>
                <w:spacing w:val="6"/>
              </w:rPr>
              <w:t>符号意义</w:t>
            </w:r>
          </w:p>
        </w:tc>
        <w:tc>
          <w:tcPr>
            <w:tcW w:w="1240" w:type="dxa"/>
            <w:vAlign w:val="top"/>
          </w:tcPr>
          <w:p>
            <w:pPr>
              <w:ind w:left="310"/>
              <w:spacing w:before="41" w:line="224" w:lineRule="auto"/>
              <w:rPr>
                <w:rFonts w:ascii="SimSun" w:hAnsi="SimSun" w:eastAsia="SimSun" w:cs="SimSun"/>
                <w:sz w:val="20"/>
                <w:szCs w:val="20"/>
              </w:rPr>
            </w:pPr>
            <w:r>
              <w:rPr>
                <w:rFonts w:ascii="SimSun" w:hAnsi="SimSun" w:eastAsia="SimSun" w:cs="SimSun"/>
                <w:sz w:val="20"/>
                <w:szCs w:val="20"/>
                <w:spacing w:val="6"/>
              </w:rPr>
              <w:t>要素值</w:t>
            </w:r>
          </w:p>
        </w:tc>
        <w:tc>
          <w:tcPr>
            <w:tcW w:w="931" w:type="dxa"/>
            <w:vAlign w:val="top"/>
          </w:tcPr>
          <w:p>
            <w:pPr>
              <w:ind w:left="264"/>
              <w:spacing w:before="41" w:line="224" w:lineRule="auto"/>
              <w:rPr>
                <w:rFonts w:ascii="SimSun" w:hAnsi="SimSun" w:eastAsia="SimSun" w:cs="SimSun"/>
                <w:sz w:val="20"/>
                <w:szCs w:val="20"/>
              </w:rPr>
            </w:pPr>
            <w:r>
              <w:rPr>
                <w:rFonts w:ascii="SimSun" w:hAnsi="SimSun" w:eastAsia="SimSun" w:cs="SimSun"/>
                <w:sz w:val="20"/>
                <w:szCs w:val="20"/>
                <w:spacing w:val="3"/>
              </w:rPr>
              <w:t>符号</w:t>
            </w:r>
          </w:p>
        </w:tc>
        <w:tc>
          <w:tcPr>
            <w:tcW w:w="2778" w:type="dxa"/>
            <w:vAlign w:val="top"/>
          </w:tcPr>
          <w:p>
            <w:pPr>
              <w:ind w:left="977"/>
              <w:spacing w:before="41" w:line="224" w:lineRule="auto"/>
              <w:rPr>
                <w:rFonts w:ascii="SimSun" w:hAnsi="SimSun" w:eastAsia="SimSun" w:cs="SimSun"/>
                <w:sz w:val="20"/>
                <w:szCs w:val="20"/>
              </w:rPr>
            </w:pPr>
            <w:r>
              <w:rPr>
                <w:rFonts w:ascii="SimSun" w:hAnsi="SimSun" w:eastAsia="SimSun" w:cs="SimSun"/>
                <w:sz w:val="20"/>
                <w:szCs w:val="20"/>
                <w:spacing w:val="6"/>
              </w:rPr>
              <w:t>符号意义</w:t>
            </w:r>
          </w:p>
        </w:tc>
        <w:tc>
          <w:tcPr>
            <w:tcW w:w="1242" w:type="dxa"/>
            <w:vAlign w:val="top"/>
          </w:tcPr>
          <w:p>
            <w:pPr>
              <w:ind w:left="310"/>
              <w:spacing w:before="41" w:line="224" w:lineRule="auto"/>
              <w:rPr>
                <w:rFonts w:ascii="SimSun" w:hAnsi="SimSun" w:eastAsia="SimSun" w:cs="SimSun"/>
                <w:sz w:val="20"/>
                <w:szCs w:val="20"/>
              </w:rPr>
            </w:pPr>
            <w:r>
              <w:rPr>
                <w:rFonts w:ascii="SimSun" w:hAnsi="SimSun" w:eastAsia="SimSun" w:cs="SimSun"/>
                <w:sz w:val="20"/>
                <w:szCs w:val="20"/>
                <w:spacing w:val="6"/>
              </w:rPr>
              <w:t>要素值</w:t>
            </w:r>
          </w:p>
        </w:tc>
      </w:tr>
      <w:tr>
        <w:trPr>
          <w:trHeight w:val="287" w:hRule="atLeast"/>
        </w:trPr>
        <w:tc>
          <w:tcPr>
            <w:tcW w:w="938" w:type="dxa"/>
            <w:vAlign w:val="top"/>
          </w:tcPr>
          <w:p>
            <w:pPr>
              <w:pStyle w:val="TableText"/>
              <w:ind w:left="348"/>
              <w:spacing w:before="73" w:line="199" w:lineRule="auto"/>
              <w:rPr>
                <w:sz w:val="13"/>
                <w:szCs w:val="13"/>
              </w:rPr>
            </w:pPr>
            <w:r>
              <w:rPr>
                <w:spacing w:val="3"/>
              </w:rPr>
              <w:t>H</w:t>
            </w:r>
            <w:r>
              <w:rPr>
                <w:sz w:val="13"/>
                <w:szCs w:val="13"/>
                <w:spacing w:val="3"/>
                <w:position w:val="-1"/>
              </w:rPr>
              <w:t>C</w:t>
            </w:r>
          </w:p>
        </w:tc>
        <w:tc>
          <w:tcPr>
            <w:tcW w:w="2161" w:type="dxa"/>
            <w:vAlign w:val="top"/>
          </w:tcPr>
          <w:p>
            <w:pPr>
              <w:ind w:left="561"/>
              <w:spacing w:before="34" w:line="224" w:lineRule="auto"/>
              <w:rPr>
                <w:rFonts w:ascii="SimSun" w:hAnsi="SimSun" w:eastAsia="SimSun" w:cs="SimSun"/>
                <w:sz w:val="20"/>
                <w:szCs w:val="20"/>
              </w:rPr>
            </w:pPr>
            <w:r>
              <w:rPr>
                <w:rFonts w:ascii="SimSun" w:hAnsi="SimSun" w:eastAsia="SimSun" w:cs="SimSun"/>
                <w:sz w:val="20"/>
                <w:szCs w:val="20"/>
                <w:spacing w:val="8"/>
              </w:rPr>
              <w:t>煤台阶高度</w:t>
            </w:r>
          </w:p>
        </w:tc>
        <w:tc>
          <w:tcPr>
            <w:tcW w:w="1240" w:type="dxa"/>
            <w:vAlign w:val="top"/>
          </w:tcPr>
          <w:p>
            <w:pPr>
              <w:pStyle w:val="TableText"/>
              <w:ind w:left="373"/>
              <w:spacing w:before="71" w:line="195" w:lineRule="auto"/>
              <w:rPr/>
            </w:pPr>
            <w:r>
              <w:rPr>
                <w:spacing w:val="5"/>
              </w:rPr>
              <w:t>≤12m</w:t>
            </w:r>
          </w:p>
        </w:tc>
        <w:tc>
          <w:tcPr>
            <w:tcW w:w="931" w:type="dxa"/>
            <w:vAlign w:val="top"/>
          </w:tcPr>
          <w:p>
            <w:pPr>
              <w:pStyle w:val="TableText"/>
              <w:ind w:left="401"/>
              <w:spacing w:before="70" w:line="195" w:lineRule="auto"/>
              <w:rPr/>
            </w:pPr>
            <w:r>
              <w:rPr/>
              <w:t>C</w:t>
            </w:r>
          </w:p>
        </w:tc>
        <w:tc>
          <w:tcPr>
            <w:tcW w:w="2778" w:type="dxa"/>
            <w:vAlign w:val="top"/>
          </w:tcPr>
          <w:p>
            <w:pPr>
              <w:ind w:left="979"/>
              <w:spacing w:before="34" w:line="224" w:lineRule="auto"/>
              <w:rPr>
                <w:rFonts w:ascii="SimSun" w:hAnsi="SimSun" w:eastAsia="SimSun" w:cs="SimSun"/>
                <w:sz w:val="20"/>
                <w:szCs w:val="20"/>
              </w:rPr>
            </w:pPr>
            <w:r>
              <w:rPr>
                <w:rFonts w:ascii="SimSun" w:hAnsi="SimSun" w:eastAsia="SimSun" w:cs="SimSun"/>
                <w:sz w:val="20"/>
                <w:szCs w:val="20"/>
                <w:spacing w:val="6"/>
              </w:rPr>
              <w:t>安全距离</w:t>
            </w:r>
          </w:p>
        </w:tc>
        <w:tc>
          <w:tcPr>
            <w:tcW w:w="1242" w:type="dxa"/>
            <w:vAlign w:val="top"/>
          </w:tcPr>
          <w:p>
            <w:pPr>
              <w:pStyle w:val="TableText"/>
              <w:ind w:left="435"/>
              <w:spacing w:before="70" w:line="195" w:lineRule="auto"/>
              <w:rPr/>
            </w:pPr>
            <w:r>
              <w:rPr>
                <w:spacing w:val="4"/>
              </w:rPr>
              <w:t>20m</w:t>
            </w:r>
          </w:p>
        </w:tc>
      </w:tr>
      <w:tr>
        <w:trPr>
          <w:trHeight w:val="287" w:hRule="atLeast"/>
        </w:trPr>
        <w:tc>
          <w:tcPr>
            <w:tcW w:w="938" w:type="dxa"/>
            <w:vAlign w:val="top"/>
          </w:tcPr>
          <w:p>
            <w:pPr>
              <w:pStyle w:val="TableText"/>
              <w:ind w:left="390"/>
              <w:spacing w:before="117" w:line="148" w:lineRule="exact"/>
              <w:rPr>
                <w:sz w:val="13"/>
                <w:szCs w:val="13"/>
              </w:rPr>
            </w:pPr>
            <w:r>
              <w:rPr>
                <w:spacing w:val="-2"/>
              </w:rPr>
              <w:t>α</w:t>
            </w:r>
            <w:r>
              <w:rPr>
                <w:sz w:val="13"/>
                <w:szCs w:val="13"/>
                <w:spacing w:val="-2"/>
                <w:position w:val="-1"/>
              </w:rPr>
              <w:t>c</w:t>
            </w:r>
          </w:p>
        </w:tc>
        <w:tc>
          <w:tcPr>
            <w:tcW w:w="2161" w:type="dxa"/>
            <w:vAlign w:val="top"/>
          </w:tcPr>
          <w:p>
            <w:pPr>
              <w:ind w:left="455"/>
              <w:spacing w:before="35" w:line="223" w:lineRule="auto"/>
              <w:rPr>
                <w:rFonts w:ascii="SimSun" w:hAnsi="SimSun" w:eastAsia="SimSun" w:cs="SimSun"/>
                <w:sz w:val="20"/>
                <w:szCs w:val="20"/>
              </w:rPr>
            </w:pPr>
            <w:r>
              <w:rPr>
                <w:rFonts w:ascii="SimSun" w:hAnsi="SimSun" w:eastAsia="SimSun" w:cs="SimSun"/>
                <w:sz w:val="20"/>
                <w:szCs w:val="20"/>
                <w:spacing w:val="8"/>
              </w:rPr>
              <w:t>煤台阶坡面角</w:t>
            </w:r>
          </w:p>
        </w:tc>
        <w:tc>
          <w:tcPr>
            <w:tcW w:w="1240" w:type="dxa"/>
            <w:vAlign w:val="top"/>
          </w:tcPr>
          <w:p>
            <w:pPr>
              <w:pStyle w:val="TableText"/>
              <w:ind w:left="477"/>
              <w:spacing w:before="71" w:line="195" w:lineRule="auto"/>
              <w:rPr/>
            </w:pPr>
            <w:r>
              <w:rPr>
                <w:spacing w:val="1"/>
              </w:rPr>
              <w:t>70°</w:t>
            </w:r>
          </w:p>
        </w:tc>
        <w:tc>
          <w:tcPr>
            <w:tcW w:w="931" w:type="dxa"/>
            <w:vAlign w:val="top"/>
          </w:tcPr>
          <w:p>
            <w:pPr>
              <w:pStyle w:val="TableText"/>
              <w:ind w:left="404"/>
              <w:spacing w:before="74" w:line="192" w:lineRule="auto"/>
              <w:rPr/>
            </w:pPr>
            <w:r>
              <w:rPr/>
              <w:t>T</w:t>
            </w:r>
          </w:p>
        </w:tc>
        <w:tc>
          <w:tcPr>
            <w:tcW w:w="2778" w:type="dxa"/>
            <w:vAlign w:val="top"/>
          </w:tcPr>
          <w:p>
            <w:pPr>
              <w:ind w:left="977"/>
              <w:spacing w:before="35" w:line="223" w:lineRule="auto"/>
              <w:rPr>
                <w:rFonts w:ascii="SimSun" w:hAnsi="SimSun" w:eastAsia="SimSun" w:cs="SimSun"/>
                <w:sz w:val="20"/>
                <w:szCs w:val="20"/>
              </w:rPr>
            </w:pPr>
            <w:r>
              <w:rPr>
                <w:rFonts w:ascii="SimSun" w:hAnsi="SimSun" w:eastAsia="SimSun" w:cs="SimSun"/>
                <w:sz w:val="20"/>
                <w:szCs w:val="20"/>
                <w:spacing w:val="6"/>
              </w:rPr>
              <w:t>路面宽度</w:t>
            </w:r>
          </w:p>
        </w:tc>
        <w:tc>
          <w:tcPr>
            <w:tcW w:w="1242" w:type="dxa"/>
            <w:vAlign w:val="top"/>
          </w:tcPr>
          <w:p>
            <w:pPr>
              <w:pStyle w:val="TableText"/>
              <w:ind w:left="435"/>
              <w:spacing w:before="71" w:line="195" w:lineRule="auto"/>
              <w:rPr/>
            </w:pPr>
            <w:r>
              <w:rPr>
                <w:spacing w:val="4"/>
              </w:rPr>
              <w:t>20m</w:t>
            </w:r>
          </w:p>
        </w:tc>
      </w:tr>
      <w:tr>
        <w:trPr>
          <w:trHeight w:val="287" w:hRule="atLeast"/>
        </w:trPr>
        <w:tc>
          <w:tcPr>
            <w:tcW w:w="938" w:type="dxa"/>
            <w:vAlign w:val="top"/>
          </w:tcPr>
          <w:p>
            <w:pPr>
              <w:pStyle w:val="TableText"/>
              <w:ind w:left="392"/>
              <w:spacing w:before="72" w:line="195" w:lineRule="auto"/>
              <w:rPr/>
            </w:pPr>
            <w:r>
              <w:rPr>
                <w:spacing w:val="4"/>
              </w:rPr>
              <w:t>A</w:t>
            </w:r>
          </w:p>
        </w:tc>
        <w:tc>
          <w:tcPr>
            <w:tcW w:w="2161" w:type="dxa"/>
            <w:vAlign w:val="top"/>
          </w:tcPr>
          <w:p>
            <w:pPr>
              <w:ind w:left="559"/>
              <w:spacing w:before="36" w:line="222" w:lineRule="auto"/>
              <w:rPr>
                <w:rFonts w:ascii="SimSun" w:hAnsi="SimSun" w:eastAsia="SimSun" w:cs="SimSun"/>
                <w:sz w:val="20"/>
                <w:szCs w:val="20"/>
              </w:rPr>
            </w:pPr>
            <w:r>
              <w:rPr>
                <w:rFonts w:ascii="SimSun" w:hAnsi="SimSun" w:eastAsia="SimSun" w:cs="SimSun"/>
                <w:sz w:val="20"/>
                <w:szCs w:val="20"/>
                <w:spacing w:val="8"/>
              </w:rPr>
              <w:t>采掘带宽度</w:t>
            </w:r>
          </w:p>
        </w:tc>
        <w:tc>
          <w:tcPr>
            <w:tcW w:w="1240" w:type="dxa"/>
            <w:vAlign w:val="top"/>
          </w:tcPr>
          <w:p>
            <w:pPr>
              <w:pStyle w:val="TableText"/>
              <w:ind w:left="434"/>
              <w:spacing w:before="72" w:line="195" w:lineRule="auto"/>
              <w:rPr/>
            </w:pPr>
            <w:r>
              <w:rPr>
                <w:spacing w:val="4"/>
              </w:rPr>
              <w:t>40m</w:t>
            </w:r>
          </w:p>
        </w:tc>
        <w:tc>
          <w:tcPr>
            <w:tcW w:w="931" w:type="dxa"/>
            <w:vAlign w:val="top"/>
          </w:tcPr>
          <w:p>
            <w:pPr>
              <w:pStyle w:val="TableText"/>
              <w:ind w:left="406"/>
              <w:spacing w:before="75" w:line="192" w:lineRule="auto"/>
              <w:rPr/>
            </w:pPr>
            <w:r>
              <w:rPr>
                <w:spacing w:val="1"/>
              </w:rPr>
              <w:t>F</w:t>
            </w:r>
          </w:p>
        </w:tc>
        <w:tc>
          <w:tcPr>
            <w:tcW w:w="2778" w:type="dxa"/>
            <w:vAlign w:val="top"/>
          </w:tcPr>
          <w:p>
            <w:pPr>
              <w:ind w:left="766"/>
              <w:spacing w:before="36" w:line="222" w:lineRule="auto"/>
              <w:rPr>
                <w:rFonts w:ascii="SimSun" w:hAnsi="SimSun" w:eastAsia="SimSun" w:cs="SimSun"/>
                <w:sz w:val="20"/>
                <w:szCs w:val="20"/>
              </w:rPr>
            </w:pPr>
            <w:r>
              <w:rPr>
                <w:rFonts w:ascii="SimSun" w:hAnsi="SimSun" w:eastAsia="SimSun" w:cs="SimSun"/>
                <w:sz w:val="20"/>
                <w:szCs w:val="20"/>
                <w:spacing w:val="7"/>
              </w:rPr>
              <w:t>大块滚落距离</w:t>
            </w:r>
          </w:p>
        </w:tc>
        <w:tc>
          <w:tcPr>
            <w:tcW w:w="1242" w:type="dxa"/>
            <w:vAlign w:val="top"/>
          </w:tcPr>
          <w:p>
            <w:pPr>
              <w:pStyle w:val="TableText"/>
              <w:ind w:left="434"/>
              <w:spacing w:before="72" w:line="195" w:lineRule="auto"/>
              <w:rPr/>
            </w:pPr>
            <w:r>
              <w:rPr>
                <w:spacing w:val="4"/>
              </w:rPr>
              <w:t>40m</w:t>
            </w:r>
          </w:p>
        </w:tc>
      </w:tr>
      <w:tr>
        <w:trPr>
          <w:trHeight w:val="287" w:hRule="atLeast"/>
        </w:trPr>
        <w:tc>
          <w:tcPr>
            <w:tcW w:w="938" w:type="dxa"/>
            <w:vAlign w:val="top"/>
          </w:tcPr>
          <w:p>
            <w:pPr>
              <w:pStyle w:val="TableText"/>
              <w:ind w:left="356"/>
              <w:spacing w:before="76" w:line="199" w:lineRule="auto"/>
              <w:rPr>
                <w:sz w:val="13"/>
                <w:szCs w:val="13"/>
              </w:rPr>
            </w:pPr>
            <w:r>
              <w:rPr>
                <w:spacing w:val="2"/>
              </w:rPr>
              <w:t>H</w:t>
            </w:r>
            <w:r>
              <w:rPr>
                <w:sz w:val="13"/>
                <w:szCs w:val="13"/>
                <w:spacing w:val="2"/>
                <w:position w:val="-1"/>
              </w:rPr>
              <w:t>P</w:t>
            </w:r>
          </w:p>
        </w:tc>
        <w:tc>
          <w:tcPr>
            <w:tcW w:w="2161" w:type="dxa"/>
            <w:vAlign w:val="top"/>
          </w:tcPr>
          <w:p>
            <w:pPr>
              <w:ind w:left="480"/>
              <w:spacing w:before="37" w:line="221" w:lineRule="auto"/>
              <w:rPr>
                <w:rFonts w:ascii="SimSun" w:hAnsi="SimSun" w:eastAsia="SimSun" w:cs="SimSun"/>
                <w:sz w:val="20"/>
                <w:szCs w:val="20"/>
              </w:rPr>
            </w:pPr>
            <w:r>
              <w:rPr>
                <w:rFonts w:ascii="SimSun" w:hAnsi="SimSun" w:eastAsia="SimSun" w:cs="SimSun"/>
                <w:sz w:val="20"/>
                <w:szCs w:val="20"/>
                <w:spacing w:val="4"/>
              </w:rPr>
              <w:t>内排台阶高度</w:t>
            </w:r>
          </w:p>
        </w:tc>
        <w:tc>
          <w:tcPr>
            <w:tcW w:w="1240" w:type="dxa"/>
            <w:vAlign w:val="top"/>
          </w:tcPr>
          <w:p>
            <w:pPr>
              <w:pStyle w:val="TableText"/>
              <w:ind w:left="373"/>
              <w:spacing w:before="73" w:line="195" w:lineRule="auto"/>
              <w:rPr/>
            </w:pPr>
            <w:r>
              <w:rPr>
                <w:spacing w:val="5"/>
              </w:rPr>
              <w:t>≤30m</w:t>
            </w:r>
          </w:p>
        </w:tc>
        <w:tc>
          <w:tcPr>
            <w:tcW w:w="931" w:type="dxa"/>
            <w:vAlign w:val="top"/>
          </w:tcPr>
          <w:p>
            <w:pPr>
              <w:pStyle w:val="TableText"/>
              <w:ind w:left="359"/>
              <w:spacing w:before="76" w:line="192" w:lineRule="auto"/>
              <w:rPr/>
            </w:pPr>
            <w:r>
              <w:rPr>
                <w:spacing w:val="-1"/>
              </w:rPr>
              <w:t>αP</w:t>
            </w:r>
          </w:p>
        </w:tc>
        <w:tc>
          <w:tcPr>
            <w:tcW w:w="2778" w:type="dxa"/>
            <w:vAlign w:val="top"/>
          </w:tcPr>
          <w:p>
            <w:pPr>
              <w:ind w:left="661"/>
              <w:spacing w:before="37" w:line="221" w:lineRule="auto"/>
              <w:rPr>
                <w:rFonts w:ascii="SimSun" w:hAnsi="SimSun" w:eastAsia="SimSun" w:cs="SimSun"/>
                <w:sz w:val="20"/>
                <w:szCs w:val="20"/>
              </w:rPr>
            </w:pPr>
            <w:r>
              <w:rPr>
                <w:rFonts w:ascii="SimSun" w:hAnsi="SimSun" w:eastAsia="SimSun" w:cs="SimSun"/>
                <w:sz w:val="20"/>
                <w:szCs w:val="20"/>
                <w:spacing w:val="8"/>
              </w:rPr>
              <w:t>排土台阶坡面角</w:t>
            </w:r>
          </w:p>
        </w:tc>
        <w:tc>
          <w:tcPr>
            <w:tcW w:w="1242" w:type="dxa"/>
            <w:vAlign w:val="top"/>
          </w:tcPr>
          <w:p>
            <w:pPr>
              <w:pStyle w:val="TableText"/>
              <w:ind w:left="477"/>
              <w:spacing w:before="73" w:line="195" w:lineRule="auto"/>
              <w:rPr/>
            </w:pPr>
            <w:r>
              <w:rPr>
                <w:spacing w:val="2"/>
              </w:rPr>
              <w:t>30°</w:t>
            </w:r>
          </w:p>
        </w:tc>
      </w:tr>
      <w:tr>
        <w:trPr>
          <w:trHeight w:val="291" w:hRule="atLeast"/>
        </w:trPr>
        <w:tc>
          <w:tcPr>
            <w:tcW w:w="938" w:type="dxa"/>
            <w:vAlign w:val="top"/>
          </w:tcPr>
          <w:p>
            <w:pPr>
              <w:pStyle w:val="TableText"/>
              <w:ind w:left="354"/>
              <w:spacing w:before="74" w:line="202" w:lineRule="auto"/>
              <w:rPr>
                <w:sz w:val="13"/>
                <w:szCs w:val="13"/>
              </w:rPr>
            </w:pPr>
            <w:r>
              <w:rPr>
                <w:spacing w:val="3"/>
              </w:rPr>
              <w:t>A</w:t>
            </w:r>
            <w:r>
              <w:rPr>
                <w:sz w:val="13"/>
                <w:szCs w:val="13"/>
                <w:spacing w:val="3"/>
                <w:position w:val="-1"/>
              </w:rPr>
              <w:t>P</w:t>
            </w:r>
          </w:p>
        </w:tc>
        <w:tc>
          <w:tcPr>
            <w:tcW w:w="2161" w:type="dxa"/>
            <w:vAlign w:val="top"/>
          </w:tcPr>
          <w:p>
            <w:pPr>
              <w:ind w:left="560"/>
              <w:spacing w:before="38" w:line="224" w:lineRule="auto"/>
              <w:rPr>
                <w:rFonts w:ascii="SimSun" w:hAnsi="SimSun" w:eastAsia="SimSun" w:cs="SimSun"/>
                <w:sz w:val="20"/>
                <w:szCs w:val="20"/>
              </w:rPr>
            </w:pPr>
            <w:r>
              <w:rPr>
                <w:rFonts w:ascii="SimSun" w:hAnsi="SimSun" w:eastAsia="SimSun" w:cs="SimSun"/>
                <w:sz w:val="20"/>
                <w:szCs w:val="20"/>
                <w:spacing w:val="8"/>
              </w:rPr>
              <w:t>排土带宽度</w:t>
            </w:r>
          </w:p>
        </w:tc>
        <w:tc>
          <w:tcPr>
            <w:tcW w:w="1240" w:type="dxa"/>
            <w:vAlign w:val="top"/>
          </w:tcPr>
          <w:p>
            <w:pPr>
              <w:pStyle w:val="TableText"/>
              <w:ind w:left="435"/>
              <w:spacing w:before="73" w:line="195" w:lineRule="auto"/>
              <w:rPr/>
            </w:pPr>
            <w:r>
              <w:rPr>
                <w:spacing w:val="4"/>
              </w:rPr>
              <w:t>20m</w:t>
            </w:r>
          </w:p>
        </w:tc>
        <w:tc>
          <w:tcPr>
            <w:tcW w:w="931" w:type="dxa"/>
            <w:vAlign w:val="top"/>
          </w:tcPr>
          <w:p>
            <w:pPr>
              <w:pStyle w:val="TableText"/>
              <w:ind w:left="233"/>
              <w:spacing w:before="70" w:line="199" w:lineRule="auto"/>
              <w:rPr/>
            </w:pPr>
            <w:r>
              <w:rPr>
                <w:spacing w:val="4"/>
              </w:rPr>
              <w:t>Bmin</w:t>
            </w:r>
          </w:p>
        </w:tc>
        <w:tc>
          <w:tcPr>
            <w:tcW w:w="2778" w:type="dxa"/>
            <w:vAlign w:val="top"/>
          </w:tcPr>
          <w:p>
            <w:pPr>
              <w:ind w:left="580"/>
              <w:spacing w:before="38" w:line="224" w:lineRule="auto"/>
              <w:rPr>
                <w:rFonts w:ascii="SimSun" w:hAnsi="SimSun" w:eastAsia="SimSun" w:cs="SimSun"/>
                <w:sz w:val="20"/>
                <w:szCs w:val="20"/>
              </w:rPr>
            </w:pPr>
            <w:r>
              <w:rPr>
                <w:rFonts w:ascii="SimSun" w:hAnsi="SimSun" w:eastAsia="SimSun" w:cs="SimSun"/>
                <w:sz w:val="20"/>
                <w:szCs w:val="20"/>
                <w:spacing w:val="5"/>
              </w:rPr>
              <w:t>内排沟底最小距离</w:t>
            </w:r>
          </w:p>
        </w:tc>
        <w:tc>
          <w:tcPr>
            <w:tcW w:w="1242" w:type="dxa"/>
            <w:vAlign w:val="top"/>
          </w:tcPr>
          <w:p>
            <w:pPr>
              <w:pStyle w:val="TableText"/>
              <w:ind w:left="443"/>
              <w:spacing w:before="73" w:line="195" w:lineRule="auto"/>
              <w:rPr/>
            </w:pPr>
            <w:r>
              <w:rPr>
                <w:spacing w:val="1"/>
              </w:rPr>
              <w:t>80m</w:t>
            </w:r>
          </w:p>
        </w:tc>
      </w:tr>
    </w:tbl>
    <w:p>
      <w:pPr>
        <w:pStyle w:val="BodyText"/>
        <w:rPr/>
      </w:pPr>
      <w:r/>
    </w:p>
    <w:p>
      <w:pPr>
        <w:sectPr>
          <w:headerReference w:type="default" r:id="rId97"/>
          <w:footerReference w:type="default" r:id="rId207"/>
          <w:pgSz w:w="11906" w:h="16838"/>
          <w:pgMar w:top="1170" w:right="1304" w:bottom="1080" w:left="1305" w:header="837" w:footer="918" w:gutter="0"/>
        </w:sectPr>
        <w:rPr/>
      </w:pP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mc:AlternateContent xmlns:mc="http://schemas.openxmlformats.org/markup-compatibility/2006">
          <mc:Choice Requires="wps">
            <w:drawing>
              <wp:anchor distT="0" distB="0" distL="0" distR="0" simplePos="0" relativeHeight="256221184" behindDoc="0" locked="0" layoutInCell="1" allowOverlap="1">
                <wp:simplePos x="0" y="0"/>
                <wp:positionH relativeFrom="column">
                  <wp:posOffset>5481018</wp:posOffset>
                </wp:positionH>
                <wp:positionV relativeFrom="paragraph">
                  <wp:posOffset>80075</wp:posOffset>
                </wp:positionV>
                <wp:extent cx="146685" cy="138429"/>
                <wp:effectExtent l="0" t="0" r="0" b="0"/>
                <wp:wrapNone/>
                <wp:docPr id="156" name="TextBox 156"/>
                <wp:cNvGraphicFramePr/>
                <a:graphic>
                  <a:graphicData uri="http://schemas.microsoft.com/office/word/2010/wordprocessingShape">
                    <wps:wsp>
                      <wps:cNvPr id="156" name="TextBox 156"/>
                      <wps:cNvSpPr txBox="1"/>
                      <wps:spPr>
                        <a:xfrm rot="16200000">
                          <a:off x="5481018" y="80075"/>
                          <a:ext cx="146685" cy="1384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2" w:line="189"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Hc</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88" style="position:absolute;margin-left:431.576pt;margin-top:6.30518pt;mso-position-vertical-relative:text;mso-position-horizontal-relative:text;width:11.55pt;height:10.9pt;z-index:256221184;rotation:270;" filled="false" stroked="false" type="#_x0000_t202">
                <v:fill on="false"/>
                <v:stroke on="false"/>
                <v:path/>
                <v:imagedata o:title=""/>
                <o:lock v:ext="edit" aspectratio="false"/>
                <v:textbox inset="0mm,0mm,0mm,0mm">
                  <w:txbxContent>
                    <w:p>
                      <w:pPr>
                        <w:ind w:left="20"/>
                        <w:spacing w:before="52" w:line="189"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Hc</w:t>
                      </w:r>
                    </w:p>
                  </w:txbxContent>
                </v:textbox>
              </v:shape>
            </w:pict>
          </mc:Fallback>
        </mc:AlternateContent>
      </w:r>
      <w:r/>
    </w:p>
    <w:p>
      <w:pPr>
        <w:pStyle w:val="BodyText"/>
        <w:spacing w:line="245" w:lineRule="auto"/>
        <w:rPr/>
      </w:pPr>
      <w:r/>
    </w:p>
    <w:p>
      <w:pPr>
        <w:pStyle w:val="BodyText"/>
        <w:spacing w:line="245" w:lineRule="auto"/>
        <w:rPr/>
      </w:pPr>
      <w:r>
        <mc:AlternateContent xmlns:mc="http://schemas.openxmlformats.org/markup-compatibility/2006">
          <mc:Choice Requires="wps">
            <w:drawing>
              <wp:anchor distT="0" distB="0" distL="0" distR="0" simplePos="0" relativeHeight="256219136" behindDoc="0" locked="0" layoutInCell="1" allowOverlap="1">
                <wp:simplePos x="0" y="0"/>
                <wp:positionH relativeFrom="column">
                  <wp:posOffset>217736</wp:posOffset>
                </wp:positionH>
                <wp:positionV relativeFrom="paragraph">
                  <wp:posOffset>131298</wp:posOffset>
                </wp:positionV>
                <wp:extent cx="151129" cy="118745"/>
                <wp:effectExtent l="0" t="0" r="0" b="0"/>
                <wp:wrapNone/>
                <wp:docPr id="158" name="TextBox 158"/>
                <wp:cNvGraphicFramePr/>
                <a:graphic>
                  <a:graphicData uri="http://schemas.microsoft.com/office/word/2010/wordprocessingShape">
                    <wps:wsp>
                      <wps:cNvPr id="158" name="TextBox 158"/>
                      <wps:cNvSpPr txBox="1"/>
                      <wps:spPr>
                        <a:xfrm rot="16200000">
                          <a:off x="217736" y="131298"/>
                          <a:ext cx="151129" cy="118745"/>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20" w:line="190" w:lineRule="auto"/>
                              <w:rPr>
                                <w:rFonts w:ascii="Times New Roman" w:hAnsi="Times New Roman" w:eastAsia="Times New Roman" w:cs="Times New Roman"/>
                                <w:sz w:val="16"/>
                                <w:szCs w:val="16"/>
                              </w:rPr>
                            </w:pPr>
                            <w:r>
                              <w:rPr>
                                <w:rFonts w:ascii="Times New Roman" w:hAnsi="Times New Roman" w:eastAsia="Times New Roman" w:cs="Times New Roman"/>
                                <w:sz w:val="16"/>
                                <w:szCs w:val="16"/>
                              </w:rPr>
                              <w:t>Hp</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90" style="position:absolute;margin-left:17.1446pt;margin-top:10.3384pt;mso-position-vertical-relative:text;mso-position-horizontal-relative:text;width:11.9pt;height:9.35pt;z-index:256219136;rotation:270;" filled="false" stroked="false" type="#_x0000_t202">
                <v:fill on="false"/>
                <v:stroke on="false"/>
                <v:path/>
                <v:imagedata o:title=""/>
                <o:lock v:ext="edit" aspectratio="false"/>
                <v:textbox inset="0mm,0mm,0mm,0mm">
                  <w:txbxContent>
                    <w:p>
                      <w:pPr>
                        <w:ind w:left="20"/>
                        <w:spacing w:before="20" w:line="190" w:lineRule="auto"/>
                        <w:rPr>
                          <w:rFonts w:ascii="Times New Roman" w:hAnsi="Times New Roman" w:eastAsia="Times New Roman" w:cs="Times New Roman"/>
                          <w:sz w:val="16"/>
                          <w:szCs w:val="16"/>
                        </w:rPr>
                      </w:pPr>
                      <w:r>
                        <w:rPr>
                          <w:rFonts w:ascii="Times New Roman" w:hAnsi="Times New Roman" w:eastAsia="Times New Roman" w:cs="Times New Roman"/>
                          <w:sz w:val="16"/>
                          <w:szCs w:val="16"/>
                        </w:rPr>
                        <w:t>Hp</w:t>
                      </w:r>
                    </w:p>
                  </w:txbxContent>
                </v:textbox>
              </v:shape>
            </w:pict>
          </mc:Fallback>
        </mc:AlternateContent>
      </w:r>
      <w:r/>
    </w:p>
    <w:p>
      <w:pPr>
        <w:pStyle w:val="BodyText"/>
        <w:spacing w:line="245" w:lineRule="auto"/>
        <w:rPr/>
      </w:pPr>
      <w:r/>
    </w:p>
    <w:p>
      <w:pPr>
        <w:pStyle w:val="BodyText"/>
        <w:spacing w:line="245" w:lineRule="auto"/>
        <w:rPr/>
      </w:pPr>
      <w:r/>
    </w:p>
    <w:p>
      <w:pPr>
        <w:pStyle w:val="BodyText"/>
        <w:spacing w:line="245" w:lineRule="auto"/>
        <w:rPr/>
      </w:pPr>
      <w:r>
        <mc:AlternateContent xmlns:mc="http://schemas.openxmlformats.org/markup-compatibility/2006">
          <mc:Choice Requires="wps">
            <w:drawing>
              <wp:anchor distT="0" distB="0" distL="0" distR="0" simplePos="0" relativeHeight="256218112" behindDoc="0" locked="0" layoutInCell="1" allowOverlap="1">
                <wp:simplePos x="0" y="0"/>
                <wp:positionH relativeFrom="column">
                  <wp:posOffset>1547703</wp:posOffset>
                </wp:positionH>
                <wp:positionV relativeFrom="paragraph">
                  <wp:posOffset>127951</wp:posOffset>
                </wp:positionV>
                <wp:extent cx="150495" cy="126364"/>
                <wp:effectExtent l="0" t="0" r="0" b="0"/>
                <wp:wrapNone/>
                <wp:docPr id="160" name="TextBox 160"/>
                <wp:cNvGraphicFramePr/>
                <a:graphic>
                  <a:graphicData uri="http://schemas.microsoft.com/office/word/2010/wordprocessingShape">
                    <wps:wsp>
                      <wps:cNvPr id="160" name="TextBox 160"/>
                      <wps:cNvSpPr txBox="1"/>
                      <wps:spPr>
                        <a:xfrm rot="17160000">
                          <a:off x="1547703" y="127951"/>
                          <a:ext cx="150495" cy="126364"/>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20" w:line="158" w:lineRule="exact"/>
                              <w:rPr/>
                            </w:pPr>
                            <w:r>
                              <w:rPr>
                                <w:position w:val="-3"/>
                              </w:rPr>
                              <w:drawing>
                                <wp:inline distT="0" distB="0" distL="0" distR="0">
                                  <wp:extent cx="125083" cy="100939"/>
                                  <wp:effectExtent l="0" t="0" r="0" b="0"/>
                                  <wp:docPr id="162" name="IM 162"/>
                                  <wp:cNvGraphicFramePr/>
                                  <a:graphic>
                                    <a:graphicData uri="http://schemas.openxmlformats.org/drawingml/2006/picture">
                                      <pic:pic>
                                        <pic:nvPicPr>
                                          <pic:cNvPr id="162" name="IM 162"/>
                                          <pic:cNvPicPr/>
                                        </pic:nvPicPr>
                                        <pic:blipFill>
                                          <a:blip r:embed="rId213"/>
                                          <a:stretch>
                                            <a:fillRect/>
                                          </a:stretch>
                                        </pic:blipFill>
                                        <pic:spPr>
                                          <a:xfrm rot="0">
                                            <a:off x="0" y="0"/>
                                            <a:ext cx="125083" cy="100939"/>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92" style="position:absolute;margin-left:121.866pt;margin-top:10.075pt;mso-position-vertical-relative:text;mso-position-horizontal-relative:text;width:11.85pt;height:9.95pt;z-index:256218112;rotation:286;" filled="false" stroked="false" type="#_x0000_t202">
                <v:fill on="false"/>
                <v:stroke on="false"/>
                <v:path/>
                <v:imagedata o:title=""/>
                <o:lock v:ext="edit" aspectratio="false"/>
                <v:textbox inset="0mm,0mm,0mm,0mm">
                  <w:txbxContent>
                    <w:p>
                      <w:pPr>
                        <w:ind w:left="20"/>
                        <w:spacing w:before="20" w:line="158" w:lineRule="exact"/>
                        <w:rPr/>
                      </w:pPr>
                      <w:r>
                        <w:rPr>
                          <w:position w:val="-3"/>
                        </w:rPr>
                        <w:drawing>
                          <wp:inline distT="0" distB="0" distL="0" distR="0">
                            <wp:extent cx="125083" cy="100939"/>
                            <wp:effectExtent l="0" t="0" r="0" b="0"/>
                            <wp:docPr id="164" name="IM 164"/>
                            <wp:cNvGraphicFramePr/>
                            <a:graphic>
                              <a:graphicData uri="http://schemas.openxmlformats.org/drawingml/2006/picture">
                                <pic:pic>
                                  <pic:nvPicPr>
                                    <pic:cNvPr id="164" name="IM 164"/>
                                    <pic:cNvPicPr/>
                                  </pic:nvPicPr>
                                  <pic:blipFill>
                                    <a:blip r:embed="rId214"/>
                                    <a:stretch>
                                      <a:fillRect/>
                                    </a:stretch>
                                  </pic:blipFill>
                                  <pic:spPr>
                                    <a:xfrm rot="0">
                                      <a:off x="0" y="0"/>
                                      <a:ext cx="125083" cy="100939"/>
                                    </a:xfrm>
                                    <a:prstGeom prst="rect">
                                      <a:avLst/>
                                    </a:prstGeom>
                                  </pic:spPr>
                                </pic:pic>
                              </a:graphicData>
                            </a:graphic>
                          </wp:inline>
                        </w:drawing>
                      </w:r>
                    </w:p>
                  </w:txbxContent>
                </v:textbox>
              </v:shape>
            </w:pict>
          </mc:Fallback>
        </mc:AlternateContent>
      </w:r>
      <w:r>
        <mc:AlternateContent xmlns:mc="http://schemas.openxmlformats.org/markup-compatibility/2006">
          <mc:Choice Requires="wps">
            <w:drawing>
              <wp:anchor distT="0" distB="0" distL="0" distR="0" simplePos="0" relativeHeight="256220160" behindDoc="0" locked="0" layoutInCell="1" allowOverlap="1">
                <wp:simplePos x="0" y="0"/>
                <wp:positionH relativeFrom="column">
                  <wp:posOffset>5480256</wp:posOffset>
                </wp:positionH>
                <wp:positionV relativeFrom="paragraph">
                  <wp:posOffset>6828</wp:posOffset>
                </wp:positionV>
                <wp:extent cx="147954" cy="138429"/>
                <wp:effectExtent l="0" t="0" r="0" b="0"/>
                <wp:wrapNone/>
                <wp:docPr id="166" name="TextBox 166"/>
                <wp:cNvGraphicFramePr/>
                <a:graphic>
                  <a:graphicData uri="http://schemas.microsoft.com/office/word/2010/wordprocessingShape">
                    <wps:wsp>
                      <wps:cNvPr id="166" name="TextBox 166"/>
                      <wps:cNvSpPr txBox="1"/>
                      <wps:spPr>
                        <a:xfrm rot="16200000">
                          <a:off x="5480256" y="6828"/>
                          <a:ext cx="147954" cy="13842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52" w:line="189"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Hc</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94" style="position:absolute;margin-left:431.516pt;margin-top:0.537659pt;mso-position-vertical-relative:text;mso-position-horizontal-relative:text;width:11.65pt;height:10.9pt;z-index:256220160;rotation:270;" filled="false" stroked="false" type="#_x0000_t202">
                <v:fill on="false"/>
                <v:stroke on="false"/>
                <v:path/>
                <v:imagedata o:title=""/>
                <o:lock v:ext="edit" aspectratio="false"/>
                <v:textbox inset="0mm,0mm,0mm,0mm">
                  <w:txbxContent>
                    <w:p>
                      <w:pPr>
                        <w:ind w:left="20"/>
                        <w:spacing w:before="52" w:line="189"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2"/>
                        </w:rPr>
                        <w:t>Hc</w:t>
                      </w:r>
                    </w:p>
                  </w:txbxContent>
                </v:textbox>
              </v:shape>
            </w:pict>
          </mc:Fallback>
        </mc:AlternateContent>
      </w:r>
      <w:r/>
    </w:p>
    <w:p>
      <w:pPr>
        <w:ind w:left="3694"/>
        <w:spacing w:before="46" w:line="195" w:lineRule="auto"/>
        <w:rPr>
          <w:rFonts w:ascii="Times New Roman" w:hAnsi="Times New Roman" w:eastAsia="Times New Roman" w:cs="Times New Roman"/>
          <w:sz w:val="16"/>
          <w:szCs w:val="16"/>
        </w:rPr>
      </w:pPr>
      <w:r>
        <mc:AlternateContent xmlns:mc="http://schemas.openxmlformats.org/markup-compatibility/2006">
          <mc:Choice Requires="wps">
            <w:drawing>
              <wp:anchor distT="0" distB="0" distL="0" distR="0" simplePos="0" relativeHeight="256217088" behindDoc="0" locked="0" layoutInCell="1" allowOverlap="1">
                <wp:simplePos x="0" y="0"/>
                <wp:positionH relativeFrom="column">
                  <wp:posOffset>4101842</wp:posOffset>
                </wp:positionH>
                <wp:positionV relativeFrom="paragraph">
                  <wp:posOffset>36223</wp:posOffset>
                </wp:positionV>
                <wp:extent cx="135889" cy="128270"/>
                <wp:effectExtent l="0" t="0" r="0" b="0"/>
                <wp:wrapNone/>
                <wp:docPr id="168" name="TextBox 168"/>
                <wp:cNvGraphicFramePr/>
                <a:graphic>
                  <a:graphicData uri="http://schemas.microsoft.com/office/word/2010/wordprocessingShape">
                    <wps:wsp>
                      <wps:cNvPr id="168" name="TextBox 168"/>
                      <wps:cNvSpPr txBox="1"/>
                      <wps:spPr>
                        <a:xfrm rot="3300000">
                          <a:off x="4101842" y="36223"/>
                          <a:ext cx="135889" cy="12827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pPr>
                              <w:ind w:left="20"/>
                              <w:spacing w:before="20" w:line="161" w:lineRule="exact"/>
                              <w:rPr/>
                            </w:pPr>
                            <w:r>
                              <w:rPr>
                                <w:position w:val="-3"/>
                              </w:rPr>
                              <w:drawing>
                                <wp:inline distT="0" distB="0" distL="0" distR="0">
                                  <wp:extent cx="110062" cy="102687"/>
                                  <wp:effectExtent l="0" t="0" r="0" b="0"/>
                                  <wp:docPr id="170" name="IM 170"/>
                                  <wp:cNvGraphicFramePr/>
                                  <a:graphic>
                                    <a:graphicData uri="http://schemas.openxmlformats.org/drawingml/2006/picture">
                                      <pic:pic>
                                        <pic:nvPicPr>
                                          <pic:cNvPr id="170" name="IM 170"/>
                                          <pic:cNvPicPr/>
                                        </pic:nvPicPr>
                                        <pic:blipFill>
                                          <a:blip r:embed="rId215"/>
                                          <a:stretch>
                                            <a:fillRect/>
                                          </a:stretch>
                                        </pic:blipFill>
                                        <pic:spPr>
                                          <a:xfrm rot="0">
                                            <a:off x="0" y="0"/>
                                            <a:ext cx="110062" cy="102687"/>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396" style="position:absolute;margin-left:322.98pt;margin-top:2.85228pt;mso-position-vertical-relative:text;mso-position-horizontal-relative:text;width:10.7pt;height:10.1pt;z-index:256217088;rotation:55;" filled="false" stroked="false" type="#_x0000_t202">
                <v:fill on="false"/>
                <v:stroke on="false"/>
                <v:path/>
                <v:imagedata o:title=""/>
                <o:lock v:ext="edit" aspectratio="false"/>
                <v:textbox inset="0mm,0mm,0mm,0mm">
                  <w:txbxContent>
                    <w:p>
                      <w:pPr>
                        <w:ind w:left="20"/>
                        <w:spacing w:before="20" w:line="161" w:lineRule="exact"/>
                        <w:rPr/>
                      </w:pPr>
                      <w:r>
                        <w:rPr>
                          <w:position w:val="-3"/>
                        </w:rPr>
                        <w:drawing>
                          <wp:inline distT="0" distB="0" distL="0" distR="0">
                            <wp:extent cx="110062" cy="102687"/>
                            <wp:effectExtent l="0" t="0" r="0" b="0"/>
                            <wp:docPr id="172" name="IM 172"/>
                            <wp:cNvGraphicFramePr/>
                            <a:graphic>
                              <a:graphicData uri="http://schemas.openxmlformats.org/drawingml/2006/picture">
                                <pic:pic>
                                  <pic:nvPicPr>
                                    <pic:cNvPr id="172" name="IM 172"/>
                                    <pic:cNvPicPr/>
                                  </pic:nvPicPr>
                                  <pic:blipFill>
                                    <a:blip r:embed="rId216"/>
                                    <a:stretch>
                                      <a:fillRect/>
                                    </a:stretch>
                                  </pic:blipFill>
                                  <pic:spPr>
                                    <a:xfrm rot="0">
                                      <a:off x="0" y="0"/>
                                      <a:ext cx="110062" cy="102687"/>
                                    </a:xfrm>
                                    <a:prstGeom prst="rect">
                                      <a:avLst/>
                                    </a:prstGeom>
                                  </pic:spPr>
                                </pic:pic>
                              </a:graphicData>
                            </a:graphic>
                          </wp:inline>
                        </w:drawing>
                      </w:r>
                    </w:p>
                  </w:txbxContent>
                </v:textbox>
              </v:shape>
            </w:pict>
          </mc:Fallback>
        </mc:AlternateContent>
      </w:r>
      <w:r>
        <w:pict>
          <v:group id="_x0000_s398" style="position:absolute;margin-left:23.603pt;margin-top:-90.4063pt;mso-position-vertical-relative:text;mso-position-horizontal-relative:text;width:421.4pt;height:144pt;z-index:-247100416;" filled="false" stroked="false" coordsize="8427,2880" coordorigin="0,0">
            <v:shape id="_x0000_s400" style="position:absolute;left:5905;top:1860;width:155;height:311;" filled="false" strokecolor="#000000" strokeweight="0.12pt" coordsize="155,311" coordorigin="0,0" path="m153,309l101,130l1,1e">
              <v:stroke endcap="round" miterlimit="10"/>
            </v:shape>
            <v:shape id="_x0000_s402" style="position:absolute;left:6050;top:2169;width:17;height:70;" fillcolor="#000000" filled="true" stroked="false" coordsize="17,70" coordorigin="0,0" path="m16,0l0,3l12,70l16,0xe"/>
            <v:shape id="_x0000_s404" style="position:absolute;left:6049;top:2168;width:18;height:73;" filled="false" strokecolor="#000000" strokeweight="0.12pt" coordsize="18,73" coordorigin="0,0" path="m17,1l1,4l13,71l17,1xe">
              <v:stroke endcap="round" miterlimit="10"/>
            </v:shape>
            <v:shape id="_x0000_s406" style="position:absolute;left:5863;top:1831;width:48;height:39;" fillcolor="#000000" filled="true" stroked="false" coordsize="48,39" coordorigin="0,0" path="m41,38l47,17l0,0l41,38xe"/>
            <v:shape id="_x0000_s408" style="position:absolute;left:2116;top:1122;width:6310;height:1119;" filled="false" strokecolor="#000000" strokeweight="0.12pt" coordsize="6310,1119" coordorigin="0,0" path="m3788,747l3794,727l3747,709l3788,747xm3921,944l3923,944m3642,1117l3644,1117m2862,1117l2865,1117m6307,1117l6309,1117m3925,1l3927,1m97,577l31,806l1,1047e">
              <v:stroke endcap="round" miterlimit="10"/>
            </v:shape>
            <v:shape id="_x0000_s410" style="position:absolute;left:2206;top:1640;width:32;height:65;" fillcolor="#000000" filled="true" stroked="false" coordsize="32,65" coordorigin="0,0" path="m0,52l14,64l32,0l0,52xe"/>
            <v:shape id="_x0000_s412" style="position:absolute;left:2205;top:1639;width:35;height:68;" filled="false" strokecolor="#000000" strokeweight="0.12pt" coordsize="35,68" coordorigin="0,0" path="m1,54l15,65l34,1l1,54xe">
              <v:stroke endcap="round" miterlimit="10"/>
            </v:shape>
            <v:shape id="_x0000_s414" style="position:absolute;left:2111;top:2169;width:15;height:70;" fillcolor="#000000" filled="true" stroked="false" coordsize="15,70" coordorigin="0,0" path="m14,3l0,0l6,70l14,3xe"/>
            <v:shape id="_x0000_s416" style="position:absolute;left:0;top:5;width:8345;height:2236;" filled="false" strokecolor="#000000" strokeweight="0.12pt" coordsize="8345,2236" coordorigin="0,0" path="m2126,2166l2111,2163l2118,2234l2126,2166xm2171,1823l2173,1823m2901,2234l2903,2234m3679,2234l3681,2234m1,2234l3,2234m440,1l442,1m8331,1117l8319,1117m8331,1l8319,1m8344,1047l8344,71e">
              <v:stroke endcap="round" miterlimit="10"/>
            </v:shape>
            <v:shape id="_x0000_s418" style="position:absolute;left:8335;top:1053;width:15;height:70;" fillcolor="#000000" filled="true" stroked="false" coordsize="15,70" coordorigin="0,0" path="m,l14,0l8,70l0,0xe"/>
            <v:shape id="_x0000_s420" style="position:absolute;left:8334;top:1051;width:17;height:73;" filled="false" strokecolor="#000000" strokeweight="0.12pt" coordsize="17,73" coordorigin="0,0" path="m1,1l15,1l9,71l1,1xe">
              <v:stroke endcap="round" miterlimit="10"/>
            </v:shape>
            <v:shape id="_x0000_s422" style="position:absolute;left:8335;top:7;width:15;height:70;" fillcolor="#000000" filled="true" stroked="false" coordsize="15,70" coordorigin="0,0" path="m0,70l14,70l8,0l0,70xe"/>
            <v:shape id="_x0000_s424" style="position:absolute;left:8318;top:5;width:34;height:2236;" filled="false" strokecolor="#000000" strokeweight="0.12pt" coordsize="34,2236" coordorigin="0,0" path="m17,71l31,71l25,1l17,71xm25,1117l27,1117m25,1l27,1m25,1l27,1m13,2234l1,2234m13,1117l1,1117m25,2163l25,1188e">
              <v:stroke endcap="round" miterlimit="10"/>
            </v:shape>
            <v:shape id="_x0000_s426" style="position:absolute;left:8335;top:2169;width:15;height:70;" fillcolor="#000000" filled="true" stroked="false" coordsize="15,70" coordorigin="0,0" path="m,l14,0l8,70l0,0xe"/>
            <v:shape id="_x0000_s428" style="position:absolute;left:8334;top:2168;width:17;height:73;" filled="false" strokecolor="#000000" strokeweight="0.12pt" coordsize="17,73" coordorigin="0,0" path="m1,1l15,1l9,71l1,1xe">
              <v:stroke endcap="round" miterlimit="10"/>
            </v:shape>
            <v:shape id="_x0000_s430" style="position:absolute;left:8335;top:1123;width:15;height:70;" fillcolor="#000000" filled="true" stroked="false" coordsize="15,70" coordorigin="0,0" path="m0,70l14,70l8,0l0,70xe"/>
            <v:shape id="_x0000_s432" style="position:absolute;left:41;top:5;width:8310;height:2236;" filled="false" strokecolor="#000000" strokeweight="0.12pt" coordsize="8310,2236" coordorigin="0,0" path="m8294,1188l8309,1188l8302,1117l8294,1188xm8302,2234l8305,2234m8302,1117l8305,1117m8302,1117l8305,1117m1164,1l1,1m1164,2234l1,2234m23,71l23,2163e">
              <v:stroke endcap="round" miterlimit="10"/>
            </v:shape>
            <v:shape id="_x0000_s434" style="position:absolute;left:56;top:7;width:17;height:70;" fillcolor="#000000" filled="true" stroked="false" coordsize="17,70" coordorigin="0,0" path="m0,70l16,70l8,0l0,70xe"/>
            <v:shape id="_x0000_s436" style="position:absolute;left:55;top:5;width:18;height:73;" filled="false" strokecolor="#000000" strokeweight="0.12pt" coordsize="18,73" coordorigin="0,0" path="m1,71l17,71l9,1l1,71xe">
              <v:stroke endcap="round" miterlimit="10"/>
            </v:shape>
            <v:shape id="_x0000_s438" style="position:absolute;left:56;top:2169;width:17;height:70;" fillcolor="#000000" filled="true" stroked="false" coordsize="17,70" coordorigin="0,0" path="m,l16,0l8,70l0,0xe"/>
            <v:shape id="_x0000_s440" style="position:absolute;left:55;top:5;width:4926;height:2873;" filled="false" strokecolor="#000000" strokeweight="0.12pt" coordsize="4926,2873" coordorigin="0,0" path="m1,2163l17,2163l9,2234l1,2163xm1162,1l1164,1m1162,2234l1164,2234m9,2234l11,2234m3623,2252l3623,2872m4924,2252l4924,2872m3673,2836l4877,2836e">
              <v:stroke endcap="round" miterlimit="10"/>
            </v:shape>
            <v:shape id="_x0000_s442" style="position:absolute;left:3679;top:2830;width:50;height:24;" fillcolor="#000000" filled="true" stroked="false" coordsize="50,24" coordorigin="0,0" path="m49,0l49,23l0,11l49,0xe"/>
            <v:shape id="_x0000_s444" style="position:absolute;left:3678;top:2829;width:51;height:25;" filled="false" strokecolor="#000000" strokeweight="0.12pt" coordsize="51,25" coordorigin="0,0" path="m50,1l50,24l1,12l50,1xe">
              <v:stroke endcap="round" miterlimit="10"/>
            </v:shape>
            <v:shape id="_x0000_s446" style="position:absolute;left:4932;top:2830;width:48;height:24;" fillcolor="#000000" filled="true" stroked="false" coordsize="48,24" coordorigin="0,0" path="m,l0,23l47,11l0,0xe"/>
            <v:shape id="_x0000_s448" style="position:absolute;left:3678;top:2239;width:2083;height:617;" filled="false" strokecolor="#000000" strokeweight="0.12pt" coordsize="2083,617" coordorigin="0,0" path="m1254,591l1254,615l1301,603l1254,591xm1,1l3,1m1301,1l1303,1m1301,603l1303,603m1301,18l1301,386m2081,18l2081,386m1350,350l2032,350e">
              <v:stroke endcap="round" miterlimit="10"/>
            </v:shape>
            <v:shape id="_x0000_s450" style="position:absolute;left:4979;top:2578;width:50;height:24;" fillcolor="#000000" filled="true" stroked="false" coordsize="50,24" coordorigin="0,0" path="m49,0l49,23l0,11l49,0xe"/>
            <v:shape id="_x0000_s452" style="position:absolute;left:4978;top:2576;width:51;height:25;" filled="false" strokecolor="#000000" strokeweight="0.12pt" coordsize="51,25" coordorigin="0,0" path="m50,1l50,24l1,13l50,1xe">
              <v:stroke endcap="round" miterlimit="10"/>
            </v:shape>
            <v:shape id="_x0000_s454" style="position:absolute;left:5710;top:2578;width:50;height:24;" fillcolor="#000000" filled="true" stroked="false" coordsize="50,24" coordorigin="0,0" path="m,l0,23l49,11l0,0xe"/>
            <v:shape id="_x0000_s456" style="position:absolute;left:4736;top:1983;width:1026;height:620;" filled="false" strokecolor="#000000" strokeweight="0.12pt" coordsize="1026,620" coordorigin="0,0" path="m973,594l973,618l1022,606l973,594xm243,256l245,256m1022,256l1024,256m1022,606l1024,606m1,239l1,1m243,239l243,1m50,36l196,36e">
              <v:stroke endcap="round" miterlimit="10"/>
            </v:shape>
            <v:shape id="_x0000_s458" style="position:absolute;left:4737;top:2008;width:50;height:24;" fillcolor="#000000" filled="true" stroked="false" coordsize="50,24" coordorigin="0,0" path="m49,0l49,23l0,11l49,0xe"/>
            <v:shape id="_x0000_s460" style="position:absolute;left:4736;top:2006;width:51;height:25;" filled="false" strokecolor="#000000" strokeweight="0.12pt" coordsize="51,25" coordorigin="0,0" path="m50,1l50,24l1,12l50,1xe">
              <v:stroke endcap="round" miterlimit="10"/>
            </v:shape>
            <v:shape id="_x0000_s462" style="position:absolute;left:4932;top:2008;width:48;height:24;" fillcolor="#000000" filled="true" stroked="false" coordsize="48,24" coordorigin="0,0" path="m,l0,23l47,11l0,0xe"/>
            <v:shape id="_x0000_s464" style="position:absolute;left:2900;top:1983;width:2083;height:257;" filled="false" strokecolor="#000000" strokeweight="0.12pt" coordsize="2083,257" coordorigin="0,0" path="m2032,24l2032,48l2079,36l2032,24xm1837,256l1839,256m2079,256l2081,256m2079,36l2081,36m1,239l1,1m778,239l778,1m48,36l731,36e">
              <v:stroke endcap="round" miterlimit="10"/>
            </v:shape>
            <v:shape id="_x0000_s466" style="position:absolute;left:2901;top:2008;width:48;height:24;" fillcolor="#000000" filled="true" stroked="false" coordsize="48,24" coordorigin="0,0" path="m47,0l47,23l0,11l47,0xe"/>
            <v:shape id="_x0000_s468" style="position:absolute;left:2900;top:2006;width:50;height:25;" filled="false" strokecolor="#000000" strokeweight="0.12pt" coordsize="50,25" coordorigin="0,0" path="m48,1l48,24l1,12l48,1xe">
              <v:stroke endcap="round" miterlimit="10"/>
            </v:shape>
            <v:shape id="_x0000_s470" style="position:absolute;left:3632;top:2008;width:48;height:24;" fillcolor="#000000" filled="true" stroked="false" coordsize="48,24" coordorigin="0,0" path="m,l0,23l47,11l0,0xe"/>
            <v:shape id="_x0000_s472" style="position:absolute;left:2900;top:1983;width:1180;height:257;" filled="false" strokecolor="#000000" strokeweight="0.12pt" coordsize="1180,257" coordorigin="0,0" path="m731,24l731,48l778,36l731,24xm1,256l3,256m778,256l780,256m778,36l780,36m1178,239l1178,1m778,239l778,1m1131,36l827,36e">
              <v:stroke endcap="round" miterlimit="10"/>
            </v:shape>
            <v:shape id="_x0000_s474" style="position:absolute;left:4032;top:2008;width:48;height:24;" fillcolor="#000000" filled="true" stroked="false" coordsize="48,24" coordorigin="0,0" path="m,l0,23l47,11l0,0xe"/>
            <v:shape id="_x0000_s476" style="position:absolute;left:4030;top:2006;width:50;height:25;" filled="false" strokecolor="#000000" strokeweight="0.12pt" coordsize="50,25" coordorigin="0,0" path="m1,1l1,24l48,12l1,1xe">
              <v:stroke endcap="round" miterlimit="10"/>
            </v:shape>
            <v:shape id="_x0000_s478" style="position:absolute;left:3679;top:2008;width:50;height:24;" fillcolor="#000000" filled="true" stroked="false" coordsize="50,24" coordorigin="0,0" path="m49,0l49,23l0,11l49,0xe"/>
            <v:shape id="_x0000_s480" style="position:absolute;left:3678;top:1983;width:1060;height:257;" filled="false" strokecolor="#000000" strokeweight="0.12pt" coordsize="1060,257" coordorigin="0,0" path="m50,24l50,48l1,36l50,24xm401,256l403,256m1,256l3,256m1,36l3,36m401,239l401,1m1059,239l1059,1m450,36l1012,36e">
              <v:stroke endcap="round" miterlimit="10"/>
            </v:shape>
            <v:shape id="_x0000_s482" style="position:absolute;left:4079;top:2008;width:50;height:24;" fillcolor="#000000" filled="true" stroked="false" coordsize="50,24" coordorigin="0,0" path="m49,0l49,23l0,11l49,0xe"/>
            <v:shape id="_x0000_s484" style="position:absolute;left:4078;top:2006;width:51;height:25;" filled="false" strokecolor="#000000" strokeweight="0.12pt" coordsize="51,25" coordorigin="0,0" path="m50,1l50,24l1,12l50,1xe">
              <v:stroke endcap="round" miterlimit="10"/>
            </v:shape>
            <v:shape id="_x0000_s486" style="position:absolute;left:4690;top:2008;width:48;height:24;" fillcolor="#000000" filled="true" stroked="false" coordsize="48,24" coordorigin="0,0" path="m,l0,23l47,11l0,0xe"/>
            <v:shape id="_x0000_s488" style="position:absolute;left:0;top:5;width:8425;height:2838;" filled="false" strokecolor="#000000" strokeweight="0.12pt" coordsize="8425,2838" coordorigin="0,0" path="m4690,2002l4690,2025l4737,2014l4690,2002xm4079,2234l4081,2234m4737,2234l4739,2234m4737,2014l4739,2014m3679,2836l4979,2836m5759,2584l4979,2584m5759,2234l5759,2610m2901,2234l2901,1984m8344,1l8344,2234m64,1l64,2234m202,1l1,1m6981,1117l8419,1117m8165,1l8423,1m4979,2234l8423,2234m3679,2234l1,2234e">
              <v:stroke endcap="round" miterlimit="10"/>
            </v:shape>
            <v:shape id="_x0000_s490" style="position:absolute;left:7265;top:1;width:900;height:12;" fillcolor="#000000" filled="true" stroked="false" coordsize="900,12" coordorigin="0,0" path="m,l0,11l900,0l0,0xem0,11l900,0l900,11l0,11xe"/>
            <v:shape id="_x0000_s492" style="position:absolute;left:7263;top:0;width:903;height:15;" filled="false" strokecolor="#000000" strokeweight="0.12pt" coordsize="903,15" coordorigin="0,0" path="m1,1l1,12l901,12l901,1l1,1xe">
              <v:stroke endcap="round" miterlimit="10"/>
            </v:shape>
            <v:shape id="_x0000_s494" style="position:absolute;left:5265;top:1117;width:1716;height:12;" fillcolor="#000000" filled="true" stroked="false" coordsize="1716,12" coordorigin="0,0" path="m,l0,11l1716,0l0,0xem0,11l1716,0l1716,11l0,11xe"/>
            <v:shape id="_x0000_s496" style="position:absolute;left:439;top:5;width:6545;height:2236;" filled="false" strokecolor="#000000" strokeweight="0.12pt" coordsize="6545,2236" coordorigin="0,0" path="m4825,1111l4825,1123l6542,1123l6542,1111l4825,1111xm2462,2234l2243,2037m2194,1990l1997,1811m1947,1767l1748,1588m1699,1543l1502,1364m1453,1320l1256,1141m1207,1097l1008,918m959,871l762,691m712,647l516,468m466,424l267,245m218,200l1,1e">
              <v:stroke endcap="round" miterlimit="10"/>
            </v:shape>
            <v:shape id="_x0000_s498" style="position:absolute;left:1215;top:4;width:2466;height:2243;" fillcolor="#000000" filled="true" stroked="false" coordsize="2466,2243" coordorigin="0,0" path="m2461,2242l2465,2233l0,8l2461,2242xem2465,2233l0,8l4,0l2465,2233xe"/>
            <v:shape id="_x0000_s500" style="position:absolute;left:1214;top:2;width:3767;height:2867;" filled="false" strokecolor="#000000" strokeweight="0.12pt" coordsize="3767,2867" coordorigin="0,0" path="m2462,2243l2466,2234l5,1l1,10l2462,2243xm2464,2866l2464,1987m2864,2237l2864,1987m3523,2237l3523,1987m3765,2866l3765,1987e">
              <v:stroke endcap="round" miterlimit="10"/>
            </v:shape>
            <v:shape id="_x0000_s502" style="position:absolute;left:202;top:1;width:1015;height:12;" fillcolor="#000000" filled="true" stroked="false" coordsize="1015,12" coordorigin="0,0" path="m,l0,11l1015,0l0,0xem0,11l1015,0l1015,11l0,11xe"/>
            <v:shape id="_x0000_s504" style="position:absolute;left:200;top:0;width:1018;height:15;" filled="false" strokecolor="#000000" strokeweight="0.12pt" coordsize="1018,15" coordorigin="0,0" path="m1,1l1,12l1016,12l1016,1l1,1xe">
              <v:stroke endcap="round" miterlimit="10"/>
            </v:shape>
            <v:shape id="_x0000_s506" style="position:absolute;left:6977;top:7;width:292;height:1120;" fillcolor="#000000" filled="true" stroked="false" coordsize="292,1120" coordorigin="0,0" path="m0,1116l8,1119l285,0l0,1116xem8,1119l285,0l291,2l8,1119xe"/>
            <v:shape id="_x0000_s508" style="position:absolute;left:5758;top:5;width:1513;height:2236;" filled="false" strokecolor="#000000" strokeweight="0.12pt" coordsize="1513,2236" coordorigin="0,0" path="m1219,1117l1227,1120l1510,4l1504,1l1219,1117xm1,2234l83,1911m103,1834l183,1520m202,1441l284,1117e">
              <v:stroke endcap="round" miterlimit="10"/>
            </v:shape>
            <v:shape id="_x0000_s510" style="position:absolute;left:4977;top:1123;width:290;height:1120;" fillcolor="#000000" filled="true" stroked="false" coordsize="290,1120" coordorigin="0,0" path="m0,1113l6,1119l283,0l0,1113xem6,1119l283,0l289,2l6,1119xe"/>
            <v:shape id="_x0000_s512" style="position:absolute;left:4976;top:1122;width:292;height:1121;" filled="false" strokecolor="#000000" strokeweight="0.12pt" coordsize="292,1121" coordorigin="0,0" path="m1,1114l7,1120l290,4l284,1l1,1114xe">
              <v:stroke endcap="round" miterlimit="10"/>
            </v:shape>
            <v:shape id="_x0000_s514" style="position:absolute;left:3679;top:2234;width:1301;height:12;" fillcolor="#000000" filled="true" stroked="false" coordsize="1301,12" coordorigin="0,0" path="m,l0,11l1300,0l0,0xem0,11l1300,0l1300,11l0,11xe"/>
            <v:shape id="_x0000_s516" style="position:absolute;left:3678;top:2233;width:1303;height:15;" filled="false" strokecolor="#000000" strokeweight="0.12pt" coordsize="1303,15" coordorigin="0,0" path="m1,1l1,13l1301,13l1301,1l1,1xe">
              <v:stroke endcap="round" miterlimit="10"/>
            </v:shape>
          </v:group>
        </w:pict>
      </w:r>
      <w:r>
        <w:rPr>
          <w:rFonts w:ascii="Times New Roman" w:hAnsi="Times New Roman" w:eastAsia="Times New Roman" w:cs="Times New Roman"/>
          <w:sz w:val="16"/>
          <w:szCs w:val="16"/>
          <w:spacing w:val="-8"/>
          <w:position w:val="2"/>
        </w:rPr>
        <w:t>Ap</w:t>
      </w:r>
      <w:r>
        <w:rPr>
          <w:rFonts w:ascii="Times New Roman" w:hAnsi="Times New Roman" w:eastAsia="Times New Roman" w:cs="Times New Roman"/>
          <w:sz w:val="16"/>
          <w:szCs w:val="16"/>
          <w:spacing w:val="2"/>
          <w:position w:val="2"/>
        </w:rPr>
        <w:t xml:space="preserve">           </w:t>
      </w:r>
      <w:r>
        <w:rPr>
          <w:rFonts w:ascii="Times New Roman" w:hAnsi="Times New Roman" w:eastAsia="Times New Roman" w:cs="Times New Roman"/>
          <w:sz w:val="16"/>
          <w:szCs w:val="16"/>
          <w:spacing w:val="-8"/>
          <w:position w:val="-1"/>
        </w:rPr>
        <w:t>F</w:t>
      </w:r>
      <w:r>
        <w:rPr>
          <w:rFonts w:ascii="Times New Roman" w:hAnsi="Times New Roman" w:eastAsia="Times New Roman" w:cs="Times New Roman"/>
          <w:sz w:val="16"/>
          <w:szCs w:val="16"/>
          <w:spacing w:val="4"/>
          <w:position w:val="-1"/>
        </w:rPr>
        <w:t xml:space="preserve">          </w:t>
      </w:r>
      <w:r>
        <w:rPr>
          <w:rFonts w:ascii="Times New Roman" w:hAnsi="Times New Roman" w:eastAsia="Times New Roman" w:cs="Times New Roman"/>
          <w:sz w:val="16"/>
          <w:szCs w:val="16"/>
          <w:spacing w:val="-8"/>
          <w:position w:val="-1"/>
        </w:rPr>
        <w:t>T</w:t>
      </w:r>
      <w:r>
        <w:rPr>
          <w:rFonts w:ascii="Times New Roman" w:hAnsi="Times New Roman" w:eastAsia="Times New Roman" w:cs="Times New Roman"/>
          <w:sz w:val="16"/>
          <w:szCs w:val="16"/>
          <w:spacing w:val="4"/>
          <w:position w:val="-1"/>
        </w:rPr>
        <w:t xml:space="preserve">        </w:t>
      </w:r>
      <w:r>
        <w:rPr>
          <w:rFonts w:ascii="Times New Roman" w:hAnsi="Times New Roman" w:eastAsia="Times New Roman" w:cs="Times New Roman"/>
          <w:sz w:val="16"/>
          <w:szCs w:val="16"/>
          <w:spacing w:val="-8"/>
          <w:position w:val="-1"/>
        </w:rPr>
        <w:t>C</w:t>
      </w:r>
    </w:p>
    <w:p>
      <w:pPr>
        <w:pStyle w:val="BodyText"/>
        <w:spacing w:line="377" w:lineRule="auto"/>
        <w:rPr/>
      </w:pPr>
      <w:r/>
    </w:p>
    <w:p>
      <w:pPr>
        <w:ind w:left="4675" w:right="3478" w:firstLine="1126"/>
        <w:spacing w:before="46" w:line="338" w:lineRule="auto"/>
        <w:rPr>
          <w:rFonts w:ascii="Times New Roman" w:hAnsi="Times New Roman" w:eastAsia="Times New Roman" w:cs="Times New Roman"/>
          <w:sz w:val="16"/>
          <w:szCs w:val="16"/>
        </w:rPr>
      </w:pPr>
      <w:r>
        <w:rPr>
          <w:rFonts w:ascii="Times New Roman" w:hAnsi="Times New Roman" w:eastAsia="Times New Roman" w:cs="Times New Roman"/>
          <w:sz w:val="16"/>
          <w:szCs w:val="16"/>
          <w:spacing w:val="1"/>
        </w:rPr>
        <w:t>A</w:t>
      </w:r>
      <w:r>
        <w:rPr>
          <w:rFonts w:ascii="Times New Roman" w:hAnsi="Times New Roman" w:eastAsia="Times New Roman" w:cs="Times New Roman"/>
          <w:sz w:val="16"/>
          <w:szCs w:val="16"/>
        </w:rPr>
        <w:t xml:space="preserve"> </w:t>
      </w:r>
      <w:r>
        <w:rPr>
          <w:rFonts w:ascii="Times New Roman" w:hAnsi="Times New Roman" w:eastAsia="Times New Roman" w:cs="Times New Roman"/>
          <w:sz w:val="16"/>
          <w:szCs w:val="16"/>
          <w:spacing w:val="-5"/>
          <w:w w:val="86"/>
        </w:rPr>
        <w:t>Bmin</w:t>
      </w:r>
    </w:p>
    <w:p>
      <w:pPr>
        <w:ind w:left="2358"/>
        <w:spacing w:before="213"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41"/>
        </w:rPr>
        <w:t xml:space="preserve"> </w:t>
      </w:r>
      <w:r>
        <w:rPr>
          <w:rFonts w:ascii="SimHei" w:hAnsi="SimHei" w:eastAsia="SimHei" w:cs="SimHei"/>
          <w:sz w:val="24"/>
          <w:szCs w:val="24"/>
          <w:spacing w:val="-2"/>
        </w:rPr>
        <w:t>3-5-3</w:t>
      </w:r>
      <w:r>
        <w:rPr>
          <w:rFonts w:ascii="SimHei" w:hAnsi="SimHei" w:eastAsia="SimHei" w:cs="SimHei"/>
          <w:sz w:val="24"/>
          <w:szCs w:val="24"/>
          <w:spacing w:val="-2"/>
        </w:rPr>
        <w:t xml:space="preserve"> </w:t>
      </w:r>
      <w:r>
        <w:rPr>
          <w:rFonts w:ascii="SimHei" w:hAnsi="SimHei" w:eastAsia="SimHei" w:cs="SimHei"/>
          <w:sz w:val="24"/>
          <w:szCs w:val="24"/>
          <w:spacing w:val="-2"/>
        </w:rPr>
        <w:t>内排沟底最小工作平盘要素示意图</w:t>
      </w:r>
    </w:p>
    <w:p>
      <w:pPr>
        <w:pStyle w:val="BodyText"/>
        <w:spacing w:line="325" w:lineRule="auto"/>
        <w:rPr/>
      </w:pPr>
      <w:r/>
    </w:p>
    <w:p>
      <w:pPr>
        <w:ind w:left="601"/>
        <w:spacing w:before="78" w:line="219" w:lineRule="auto"/>
        <w:rPr>
          <w:rFonts w:ascii="SimSun" w:hAnsi="SimSun" w:eastAsia="SimSun" w:cs="SimSun"/>
          <w:sz w:val="24"/>
          <w:szCs w:val="24"/>
        </w:rPr>
      </w:pPr>
      <w:r>
        <w:rPr>
          <w:rFonts w:ascii="SimSun" w:hAnsi="SimSun" w:eastAsia="SimSun" w:cs="SimSun"/>
          <w:sz w:val="24"/>
          <w:szCs w:val="24"/>
          <w:spacing w:val="-3"/>
        </w:rPr>
        <w:t>项目开采计划见表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3-5-8</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，项目排土计划见表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3-5-9</w:t>
      </w:r>
      <w:r>
        <w:rPr>
          <w:rFonts w:ascii="SimSun" w:hAnsi="SimSun" w:eastAsia="SimSun" w:cs="SimSun"/>
          <w:sz w:val="24"/>
          <w:szCs w:val="24"/>
          <w:spacing w:val="-3"/>
        </w:rPr>
        <w:t>。</w:t>
      </w:r>
    </w:p>
    <w:p>
      <w:pPr>
        <w:ind w:left="3814"/>
        <w:spacing w:before="154" w:line="219" w:lineRule="auto"/>
        <w:rPr>
          <w:rFonts w:ascii="SimSun" w:hAnsi="SimSun" w:eastAsia="SimSun" w:cs="SimSun"/>
          <w:sz w:val="24"/>
          <w:szCs w:val="24"/>
        </w:rPr>
      </w:pPr>
      <w:r>
        <w:rPr>
          <w:rFonts w:ascii="SimSun" w:hAnsi="SimSun" w:eastAsia="SimSun" w:cs="SimSun"/>
          <w:sz w:val="24"/>
          <w:szCs w:val="24"/>
          <w:b/>
          <w:bCs/>
          <w:spacing w:val="-5"/>
        </w:rPr>
        <w:t>项目开采计划表</w:t>
      </w:r>
    </w:p>
    <w:p>
      <w:pPr>
        <w:ind w:left="115"/>
        <w:spacing w:before="39"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6"/>
        </w:rPr>
        <w:t xml:space="preserve"> </w:t>
      </w:r>
      <w:r>
        <w:rPr>
          <w:rFonts w:ascii="Times New Roman" w:hAnsi="Times New Roman" w:eastAsia="Times New Roman" w:cs="Times New Roman"/>
          <w:sz w:val="20"/>
          <w:szCs w:val="20"/>
          <w:spacing w:val="2"/>
        </w:rPr>
        <w:t>3-5-11</w:t>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2"/>
        <w:gridCol w:w="2319"/>
        <w:gridCol w:w="2322"/>
        <w:gridCol w:w="2322"/>
      </w:tblGrid>
      <w:tr>
        <w:trPr>
          <w:trHeight w:val="323" w:hRule="atLeast"/>
        </w:trPr>
        <w:tc>
          <w:tcPr>
            <w:tcW w:w="2322" w:type="dxa"/>
            <w:vAlign w:val="top"/>
          </w:tcPr>
          <w:p>
            <w:pPr>
              <w:ind w:left="746"/>
              <w:spacing w:before="52" w:line="228" w:lineRule="auto"/>
              <w:rPr>
                <w:rFonts w:ascii="SimSun" w:hAnsi="SimSun" w:eastAsia="SimSun" w:cs="SimSun"/>
                <w:sz w:val="20"/>
                <w:szCs w:val="20"/>
              </w:rPr>
            </w:pPr>
            <w:r>
              <w:rPr>
                <w:rFonts w:ascii="SimSun" w:hAnsi="SimSun" w:eastAsia="SimSun" w:cs="SimSun"/>
                <w:sz w:val="20"/>
                <w:szCs w:val="20"/>
                <w:spacing w:val="6"/>
              </w:rPr>
              <w:t>生产时期</w:t>
            </w:r>
          </w:p>
        </w:tc>
        <w:tc>
          <w:tcPr>
            <w:tcW w:w="2319" w:type="dxa"/>
            <w:vAlign w:val="top"/>
          </w:tcPr>
          <w:p>
            <w:pPr>
              <w:pStyle w:val="TableText"/>
              <w:ind w:left="522"/>
              <w:spacing w:before="53" w:line="228" w:lineRule="auto"/>
              <w:rPr>
                <w:rFonts w:ascii="SimSun" w:hAnsi="SimSun" w:eastAsia="SimSun" w:cs="SimSun"/>
              </w:rPr>
            </w:pPr>
            <w:r>
              <w:rPr>
                <w:rFonts w:ascii="SimSun" w:hAnsi="SimSun" w:eastAsia="SimSun" w:cs="SimSun"/>
                <w:spacing w:val="7"/>
              </w:rPr>
              <w:t>原煤量（</w:t>
            </w:r>
            <w:r>
              <w:rPr/>
              <w:t>Mt</w:t>
            </w:r>
            <w:r>
              <w:rPr>
                <w:rFonts w:ascii="SimSun" w:hAnsi="SimSun" w:eastAsia="SimSun" w:cs="SimSun"/>
                <w:spacing w:val="7"/>
              </w:rPr>
              <w:t>）</w:t>
            </w:r>
          </w:p>
        </w:tc>
        <w:tc>
          <w:tcPr>
            <w:tcW w:w="2322" w:type="dxa"/>
            <w:vAlign w:val="top"/>
          </w:tcPr>
          <w:p>
            <w:pPr>
              <w:pStyle w:val="TableText"/>
              <w:ind w:left="435"/>
              <w:spacing w:before="53" w:line="228" w:lineRule="auto"/>
              <w:rPr>
                <w:rFonts w:ascii="SimSun" w:hAnsi="SimSun" w:eastAsia="SimSun" w:cs="SimSun"/>
              </w:rPr>
            </w:pPr>
            <w:r>
              <w:rPr>
                <w:rFonts w:ascii="SimSun" w:hAnsi="SimSun" w:eastAsia="SimSun" w:cs="SimSun"/>
                <w:spacing w:val="8"/>
              </w:rPr>
              <w:t>剥离量（</w:t>
            </w:r>
            <w:r>
              <w:rPr/>
              <w:t>Mm</w:t>
            </w:r>
            <w:r>
              <w:rPr>
                <w:sz w:val="13"/>
                <w:szCs w:val="13"/>
                <w:spacing w:val="8"/>
                <w:position w:val="6"/>
              </w:rPr>
              <w:t>3</w:t>
            </w:r>
            <w:r>
              <w:rPr>
                <w:rFonts w:ascii="SimSun" w:hAnsi="SimSun" w:eastAsia="SimSun" w:cs="SimSun"/>
                <w:spacing w:val="8"/>
              </w:rPr>
              <w:t>）</w:t>
            </w:r>
          </w:p>
        </w:tc>
        <w:tc>
          <w:tcPr>
            <w:tcW w:w="2322" w:type="dxa"/>
            <w:vAlign w:val="top"/>
          </w:tcPr>
          <w:p>
            <w:pPr>
              <w:pStyle w:val="TableText"/>
              <w:ind w:left="609"/>
              <w:spacing w:before="53" w:line="221" w:lineRule="auto"/>
              <w:rPr/>
            </w:pPr>
            <w:r>
              <w:rPr>
                <w:rFonts w:ascii="SimSun" w:hAnsi="SimSun" w:eastAsia="SimSun" w:cs="SimSun"/>
                <w:spacing w:val="4"/>
              </w:rPr>
              <w:t>剥采比</w:t>
            </w:r>
            <w:r>
              <w:rPr>
                <w:spacing w:val="4"/>
              </w:rPr>
              <w:t>(m</w:t>
            </w:r>
            <w:r>
              <w:rPr>
                <w:sz w:val="13"/>
                <w:szCs w:val="13"/>
                <w:spacing w:val="4"/>
                <w:position w:val="6"/>
              </w:rPr>
              <w:t>3</w:t>
            </w:r>
            <w:r>
              <w:rPr>
                <w:spacing w:val="4"/>
              </w:rPr>
              <w:t>/t)</w:t>
            </w:r>
          </w:p>
        </w:tc>
      </w:tr>
      <w:tr>
        <w:trPr>
          <w:trHeight w:val="283" w:hRule="atLeast"/>
        </w:trPr>
        <w:tc>
          <w:tcPr>
            <w:tcW w:w="2322" w:type="dxa"/>
            <w:vAlign w:val="top"/>
          </w:tcPr>
          <w:p>
            <w:pPr>
              <w:ind w:left="638"/>
              <w:spacing w:before="32" w:line="222" w:lineRule="auto"/>
              <w:rPr>
                <w:rFonts w:ascii="SimSun" w:hAnsi="SimSun" w:eastAsia="SimSun" w:cs="SimSun"/>
                <w:sz w:val="20"/>
                <w:szCs w:val="20"/>
              </w:rPr>
            </w:pPr>
            <w:r>
              <w:rPr>
                <w:rFonts w:ascii="SimSun" w:hAnsi="SimSun" w:eastAsia="SimSun" w:cs="SimSun"/>
                <w:sz w:val="20"/>
                <w:szCs w:val="20"/>
                <w:spacing w:val="8"/>
              </w:rPr>
              <w:t>达产第一年</w:t>
            </w:r>
          </w:p>
        </w:tc>
        <w:tc>
          <w:tcPr>
            <w:tcW w:w="2319" w:type="dxa"/>
            <w:vAlign w:val="top"/>
          </w:tcPr>
          <w:p>
            <w:pPr>
              <w:pStyle w:val="TableText"/>
              <w:ind w:left="1115"/>
              <w:spacing w:before="71" w:line="192" w:lineRule="auto"/>
              <w:rPr/>
            </w:pPr>
            <w:r>
              <w:rPr/>
              <w:t>5</w:t>
            </w:r>
          </w:p>
        </w:tc>
        <w:tc>
          <w:tcPr>
            <w:tcW w:w="2322" w:type="dxa"/>
            <w:vAlign w:val="top"/>
          </w:tcPr>
          <w:p>
            <w:pPr>
              <w:pStyle w:val="TableText"/>
              <w:ind w:left="932"/>
              <w:spacing w:before="68" w:line="195" w:lineRule="auto"/>
              <w:rPr/>
            </w:pPr>
            <w:r>
              <w:rPr>
                <w:spacing w:val="2"/>
              </w:rPr>
              <w:t>52.95</w:t>
            </w:r>
          </w:p>
        </w:tc>
        <w:tc>
          <w:tcPr>
            <w:tcW w:w="2322" w:type="dxa"/>
            <w:vAlign w:val="top"/>
          </w:tcPr>
          <w:p>
            <w:pPr>
              <w:pStyle w:val="TableText"/>
              <w:ind w:left="945"/>
              <w:spacing w:before="68" w:line="195" w:lineRule="auto"/>
              <w:rPr/>
            </w:pPr>
            <w:r>
              <w:rPr>
                <w:spacing w:val="-1"/>
              </w:rPr>
              <w:t>10.59</w:t>
            </w:r>
          </w:p>
        </w:tc>
      </w:tr>
      <w:tr>
        <w:trPr>
          <w:trHeight w:val="316" w:hRule="atLeast"/>
        </w:trPr>
        <w:tc>
          <w:tcPr>
            <w:tcW w:w="2322" w:type="dxa"/>
            <w:vAlign w:val="top"/>
          </w:tcPr>
          <w:p>
            <w:pPr>
              <w:ind w:left="638"/>
              <w:spacing w:before="46" w:line="228" w:lineRule="auto"/>
              <w:rPr>
                <w:rFonts w:ascii="SimSun" w:hAnsi="SimSun" w:eastAsia="SimSun" w:cs="SimSun"/>
                <w:sz w:val="20"/>
                <w:szCs w:val="20"/>
              </w:rPr>
            </w:pPr>
            <w:r>
              <w:rPr>
                <w:rFonts w:ascii="SimSun" w:hAnsi="SimSun" w:eastAsia="SimSun" w:cs="SimSun"/>
                <w:sz w:val="20"/>
                <w:szCs w:val="20"/>
                <w:spacing w:val="8"/>
              </w:rPr>
              <w:t>达产第二年</w:t>
            </w:r>
          </w:p>
        </w:tc>
        <w:tc>
          <w:tcPr>
            <w:tcW w:w="2319" w:type="dxa"/>
            <w:vAlign w:val="top"/>
          </w:tcPr>
          <w:p>
            <w:pPr>
              <w:pStyle w:val="TableText"/>
              <w:ind w:left="1115"/>
              <w:spacing w:before="87" w:line="192" w:lineRule="auto"/>
              <w:rPr/>
            </w:pPr>
            <w:r>
              <w:rPr/>
              <w:t>5</w:t>
            </w:r>
          </w:p>
        </w:tc>
        <w:tc>
          <w:tcPr>
            <w:tcW w:w="2322" w:type="dxa"/>
            <w:vAlign w:val="top"/>
          </w:tcPr>
          <w:p>
            <w:pPr>
              <w:pStyle w:val="TableText"/>
              <w:ind w:left="932"/>
              <w:spacing w:before="84" w:line="195" w:lineRule="auto"/>
              <w:rPr/>
            </w:pPr>
            <w:r>
              <w:rPr>
                <w:spacing w:val="2"/>
              </w:rPr>
              <w:t>52.95</w:t>
            </w:r>
          </w:p>
        </w:tc>
        <w:tc>
          <w:tcPr>
            <w:tcW w:w="2322" w:type="dxa"/>
            <w:vAlign w:val="top"/>
          </w:tcPr>
          <w:p>
            <w:pPr>
              <w:pStyle w:val="TableText"/>
              <w:ind w:left="945"/>
              <w:spacing w:before="84" w:line="195" w:lineRule="auto"/>
              <w:rPr/>
            </w:pPr>
            <w:r>
              <w:rPr>
                <w:spacing w:val="-1"/>
              </w:rPr>
              <w:t>10.59</w:t>
            </w:r>
          </w:p>
        </w:tc>
      </w:tr>
      <w:tr>
        <w:trPr>
          <w:trHeight w:val="271" w:hRule="atLeast"/>
        </w:trPr>
        <w:tc>
          <w:tcPr>
            <w:tcW w:w="2322" w:type="dxa"/>
            <w:vAlign w:val="top"/>
          </w:tcPr>
          <w:p>
            <w:pPr>
              <w:ind w:left="638"/>
              <w:spacing w:before="25" w:line="217" w:lineRule="auto"/>
              <w:rPr>
                <w:rFonts w:ascii="SimSun" w:hAnsi="SimSun" w:eastAsia="SimSun" w:cs="SimSun"/>
                <w:sz w:val="20"/>
                <w:szCs w:val="20"/>
              </w:rPr>
            </w:pPr>
            <w:r>
              <w:rPr>
                <w:rFonts w:ascii="SimSun" w:hAnsi="SimSun" w:eastAsia="SimSun" w:cs="SimSun"/>
                <w:sz w:val="20"/>
                <w:szCs w:val="20"/>
                <w:spacing w:val="8"/>
              </w:rPr>
              <w:t>达产第三年</w:t>
            </w:r>
          </w:p>
        </w:tc>
        <w:tc>
          <w:tcPr>
            <w:tcW w:w="2319" w:type="dxa"/>
            <w:vAlign w:val="top"/>
          </w:tcPr>
          <w:p>
            <w:pPr>
              <w:pStyle w:val="TableText"/>
              <w:ind w:left="1115"/>
              <w:spacing w:before="64" w:line="192" w:lineRule="auto"/>
              <w:rPr/>
            </w:pPr>
            <w:r>
              <w:rPr/>
              <w:t>5</w:t>
            </w:r>
          </w:p>
        </w:tc>
        <w:tc>
          <w:tcPr>
            <w:tcW w:w="2322" w:type="dxa"/>
            <w:vAlign w:val="top"/>
          </w:tcPr>
          <w:p>
            <w:pPr>
              <w:pStyle w:val="TableText"/>
              <w:ind w:left="932"/>
              <w:spacing w:before="61" w:line="195" w:lineRule="auto"/>
              <w:rPr/>
            </w:pPr>
            <w:r>
              <w:rPr>
                <w:spacing w:val="2"/>
              </w:rPr>
              <w:t>52.95</w:t>
            </w:r>
          </w:p>
        </w:tc>
        <w:tc>
          <w:tcPr>
            <w:tcW w:w="2322" w:type="dxa"/>
            <w:vAlign w:val="top"/>
          </w:tcPr>
          <w:p>
            <w:pPr>
              <w:pStyle w:val="TableText"/>
              <w:ind w:left="945"/>
              <w:spacing w:before="61" w:line="195" w:lineRule="auto"/>
              <w:rPr/>
            </w:pPr>
            <w:r>
              <w:rPr>
                <w:spacing w:val="-1"/>
              </w:rPr>
              <w:t>10.59</w:t>
            </w:r>
          </w:p>
        </w:tc>
      </w:tr>
      <w:tr>
        <w:trPr>
          <w:trHeight w:val="326" w:hRule="atLeast"/>
        </w:trPr>
        <w:tc>
          <w:tcPr>
            <w:tcW w:w="2322" w:type="dxa"/>
            <w:vAlign w:val="top"/>
          </w:tcPr>
          <w:p>
            <w:pPr>
              <w:ind w:left="638"/>
              <w:spacing w:before="54" w:line="228" w:lineRule="auto"/>
              <w:rPr>
                <w:rFonts w:ascii="SimSun" w:hAnsi="SimSun" w:eastAsia="SimSun" w:cs="SimSun"/>
                <w:sz w:val="20"/>
                <w:szCs w:val="20"/>
              </w:rPr>
            </w:pPr>
            <w:r>
              <w:rPr>
                <w:rFonts w:ascii="SimSun" w:hAnsi="SimSun" w:eastAsia="SimSun" w:cs="SimSun"/>
                <w:sz w:val="20"/>
                <w:szCs w:val="20"/>
                <w:spacing w:val="8"/>
              </w:rPr>
              <w:t>达产第四年</w:t>
            </w:r>
          </w:p>
        </w:tc>
        <w:tc>
          <w:tcPr>
            <w:tcW w:w="2319" w:type="dxa"/>
            <w:vAlign w:val="top"/>
          </w:tcPr>
          <w:p>
            <w:pPr>
              <w:pStyle w:val="TableText"/>
              <w:ind w:left="1115"/>
              <w:spacing w:before="93" w:line="192" w:lineRule="auto"/>
              <w:rPr/>
            </w:pPr>
            <w:r>
              <w:rPr/>
              <w:t>5</w:t>
            </w:r>
          </w:p>
        </w:tc>
        <w:tc>
          <w:tcPr>
            <w:tcW w:w="2322" w:type="dxa"/>
            <w:vAlign w:val="top"/>
          </w:tcPr>
          <w:p>
            <w:pPr>
              <w:pStyle w:val="TableText"/>
              <w:ind w:left="932"/>
              <w:spacing w:before="90" w:line="195" w:lineRule="auto"/>
              <w:rPr/>
            </w:pPr>
            <w:r>
              <w:rPr>
                <w:spacing w:val="2"/>
              </w:rPr>
              <w:t>52.95</w:t>
            </w:r>
          </w:p>
        </w:tc>
        <w:tc>
          <w:tcPr>
            <w:tcW w:w="2322" w:type="dxa"/>
            <w:vAlign w:val="top"/>
          </w:tcPr>
          <w:p>
            <w:pPr>
              <w:pStyle w:val="TableText"/>
              <w:ind w:left="945"/>
              <w:spacing w:before="90" w:line="195" w:lineRule="auto"/>
              <w:rPr/>
            </w:pPr>
            <w:r>
              <w:rPr>
                <w:spacing w:val="-1"/>
              </w:rPr>
              <w:t>10.59</w:t>
            </w:r>
          </w:p>
        </w:tc>
      </w:tr>
      <w:tr>
        <w:trPr>
          <w:trHeight w:val="338" w:hRule="atLeast"/>
        </w:trPr>
        <w:tc>
          <w:tcPr>
            <w:tcW w:w="2322" w:type="dxa"/>
            <w:vAlign w:val="top"/>
          </w:tcPr>
          <w:p>
            <w:pPr>
              <w:ind w:left="638"/>
              <w:spacing w:before="61" w:line="228" w:lineRule="auto"/>
              <w:rPr>
                <w:rFonts w:ascii="SimSun" w:hAnsi="SimSun" w:eastAsia="SimSun" w:cs="SimSun"/>
                <w:sz w:val="20"/>
                <w:szCs w:val="20"/>
              </w:rPr>
            </w:pPr>
            <w:r>
              <w:rPr>
                <w:rFonts w:ascii="SimSun" w:hAnsi="SimSun" w:eastAsia="SimSun" w:cs="SimSun"/>
                <w:sz w:val="20"/>
                <w:szCs w:val="20"/>
                <w:spacing w:val="8"/>
              </w:rPr>
              <w:t>达产第五年</w:t>
            </w:r>
          </w:p>
        </w:tc>
        <w:tc>
          <w:tcPr>
            <w:tcW w:w="2319" w:type="dxa"/>
            <w:vAlign w:val="top"/>
          </w:tcPr>
          <w:p>
            <w:pPr>
              <w:pStyle w:val="TableText"/>
              <w:ind w:left="1115"/>
              <w:spacing w:before="100" w:line="192" w:lineRule="auto"/>
              <w:rPr/>
            </w:pPr>
            <w:r>
              <w:rPr/>
              <w:t>5</w:t>
            </w:r>
          </w:p>
        </w:tc>
        <w:tc>
          <w:tcPr>
            <w:tcW w:w="2322" w:type="dxa"/>
            <w:vAlign w:val="top"/>
          </w:tcPr>
          <w:p>
            <w:pPr>
              <w:pStyle w:val="TableText"/>
              <w:ind w:left="932"/>
              <w:spacing w:before="97" w:line="195" w:lineRule="auto"/>
              <w:rPr/>
            </w:pPr>
            <w:r>
              <w:rPr>
                <w:spacing w:val="2"/>
              </w:rPr>
              <w:t>52.95</w:t>
            </w:r>
          </w:p>
        </w:tc>
        <w:tc>
          <w:tcPr>
            <w:tcW w:w="2322" w:type="dxa"/>
            <w:vAlign w:val="top"/>
          </w:tcPr>
          <w:p>
            <w:pPr>
              <w:pStyle w:val="TableText"/>
              <w:ind w:left="945"/>
              <w:spacing w:before="97" w:line="195" w:lineRule="auto"/>
              <w:rPr/>
            </w:pPr>
            <w:r>
              <w:rPr>
                <w:spacing w:val="-1"/>
              </w:rPr>
              <w:t>10.59</w:t>
            </w:r>
          </w:p>
        </w:tc>
      </w:tr>
      <w:tr>
        <w:trPr>
          <w:trHeight w:val="338" w:hRule="atLeast"/>
        </w:trPr>
        <w:tc>
          <w:tcPr>
            <w:tcW w:w="2322" w:type="dxa"/>
            <w:vAlign w:val="top"/>
          </w:tcPr>
          <w:p>
            <w:pPr>
              <w:ind w:left="638"/>
              <w:spacing w:before="61" w:line="228" w:lineRule="auto"/>
              <w:rPr>
                <w:rFonts w:ascii="SimSun" w:hAnsi="SimSun" w:eastAsia="SimSun" w:cs="SimSun"/>
                <w:sz w:val="20"/>
                <w:szCs w:val="20"/>
              </w:rPr>
            </w:pPr>
            <w:r>
              <w:rPr>
                <w:rFonts w:ascii="SimSun" w:hAnsi="SimSun" w:eastAsia="SimSun" w:cs="SimSun"/>
                <w:sz w:val="20"/>
                <w:szCs w:val="20"/>
                <w:spacing w:val="8"/>
              </w:rPr>
              <w:t>达产第六年</w:t>
            </w:r>
          </w:p>
        </w:tc>
        <w:tc>
          <w:tcPr>
            <w:tcW w:w="2319" w:type="dxa"/>
            <w:vAlign w:val="top"/>
          </w:tcPr>
          <w:p>
            <w:pPr>
              <w:pStyle w:val="TableText"/>
              <w:ind w:left="1115"/>
              <w:spacing w:before="100" w:line="192" w:lineRule="auto"/>
              <w:rPr/>
            </w:pPr>
            <w:r>
              <w:rPr/>
              <w:t>5</w:t>
            </w:r>
          </w:p>
        </w:tc>
        <w:tc>
          <w:tcPr>
            <w:tcW w:w="2322" w:type="dxa"/>
            <w:vAlign w:val="top"/>
          </w:tcPr>
          <w:p>
            <w:pPr>
              <w:pStyle w:val="TableText"/>
              <w:ind w:left="932"/>
              <w:spacing w:before="97" w:line="195" w:lineRule="auto"/>
              <w:rPr/>
            </w:pPr>
            <w:r>
              <w:rPr>
                <w:spacing w:val="2"/>
              </w:rPr>
              <w:t>52.95</w:t>
            </w:r>
          </w:p>
        </w:tc>
        <w:tc>
          <w:tcPr>
            <w:tcW w:w="2322" w:type="dxa"/>
            <w:vAlign w:val="top"/>
          </w:tcPr>
          <w:p>
            <w:pPr>
              <w:pStyle w:val="TableText"/>
              <w:ind w:left="945"/>
              <w:spacing w:before="97" w:line="195" w:lineRule="auto"/>
              <w:rPr/>
            </w:pPr>
            <w:r>
              <w:rPr>
                <w:spacing w:val="-1"/>
              </w:rPr>
              <w:t>10.59</w:t>
            </w:r>
          </w:p>
        </w:tc>
      </w:tr>
      <w:tr>
        <w:trPr>
          <w:trHeight w:val="316" w:hRule="atLeast"/>
        </w:trPr>
        <w:tc>
          <w:tcPr>
            <w:tcW w:w="2322" w:type="dxa"/>
            <w:vAlign w:val="top"/>
          </w:tcPr>
          <w:p>
            <w:pPr>
              <w:ind w:left="638"/>
              <w:spacing w:before="49" w:line="228" w:lineRule="auto"/>
              <w:rPr>
                <w:rFonts w:ascii="SimSun" w:hAnsi="SimSun" w:eastAsia="SimSun" w:cs="SimSun"/>
                <w:sz w:val="20"/>
                <w:szCs w:val="20"/>
              </w:rPr>
            </w:pPr>
            <w:r>
              <w:rPr>
                <w:rFonts w:ascii="SimSun" w:hAnsi="SimSun" w:eastAsia="SimSun" w:cs="SimSun"/>
                <w:sz w:val="20"/>
                <w:szCs w:val="20"/>
                <w:spacing w:val="8"/>
              </w:rPr>
              <w:t>达产第七年</w:t>
            </w:r>
          </w:p>
        </w:tc>
        <w:tc>
          <w:tcPr>
            <w:tcW w:w="2319" w:type="dxa"/>
            <w:vAlign w:val="top"/>
          </w:tcPr>
          <w:p>
            <w:pPr>
              <w:pStyle w:val="TableText"/>
              <w:ind w:left="1115"/>
              <w:spacing w:before="91" w:line="192" w:lineRule="auto"/>
              <w:rPr/>
            </w:pPr>
            <w:r>
              <w:rPr/>
              <w:t>5</w:t>
            </w:r>
          </w:p>
        </w:tc>
        <w:tc>
          <w:tcPr>
            <w:tcW w:w="2322" w:type="dxa"/>
            <w:vAlign w:val="top"/>
          </w:tcPr>
          <w:p>
            <w:pPr>
              <w:pStyle w:val="TableText"/>
              <w:ind w:left="932"/>
              <w:spacing w:before="88" w:line="195" w:lineRule="auto"/>
              <w:rPr/>
            </w:pPr>
            <w:r>
              <w:rPr>
                <w:spacing w:val="2"/>
              </w:rPr>
              <w:t>52.95</w:t>
            </w:r>
          </w:p>
        </w:tc>
        <w:tc>
          <w:tcPr>
            <w:tcW w:w="2322" w:type="dxa"/>
            <w:vAlign w:val="top"/>
          </w:tcPr>
          <w:p>
            <w:pPr>
              <w:pStyle w:val="TableText"/>
              <w:ind w:left="945"/>
              <w:spacing w:before="88" w:line="195" w:lineRule="auto"/>
              <w:rPr/>
            </w:pPr>
            <w:r>
              <w:rPr>
                <w:spacing w:val="-1"/>
              </w:rPr>
              <w:t>10.59</w:t>
            </w:r>
          </w:p>
        </w:tc>
      </w:tr>
      <w:tr>
        <w:trPr>
          <w:trHeight w:val="326" w:hRule="atLeast"/>
        </w:trPr>
        <w:tc>
          <w:tcPr>
            <w:tcW w:w="2322" w:type="dxa"/>
            <w:vAlign w:val="top"/>
          </w:tcPr>
          <w:p>
            <w:pPr>
              <w:ind w:left="638"/>
              <w:spacing w:before="55" w:line="228" w:lineRule="auto"/>
              <w:rPr>
                <w:rFonts w:ascii="SimSun" w:hAnsi="SimSun" w:eastAsia="SimSun" w:cs="SimSun"/>
                <w:sz w:val="20"/>
                <w:szCs w:val="20"/>
              </w:rPr>
            </w:pPr>
            <w:r>
              <w:rPr>
                <w:rFonts w:ascii="SimSun" w:hAnsi="SimSun" w:eastAsia="SimSun" w:cs="SimSun"/>
                <w:sz w:val="20"/>
                <w:szCs w:val="20"/>
                <w:spacing w:val="8"/>
              </w:rPr>
              <w:t>达产第八年</w:t>
            </w:r>
          </w:p>
        </w:tc>
        <w:tc>
          <w:tcPr>
            <w:tcW w:w="2319" w:type="dxa"/>
            <w:vAlign w:val="top"/>
          </w:tcPr>
          <w:p>
            <w:pPr>
              <w:pStyle w:val="TableText"/>
              <w:ind w:left="1115"/>
              <w:spacing w:before="94" w:line="192" w:lineRule="auto"/>
              <w:rPr/>
            </w:pPr>
            <w:r>
              <w:rPr/>
              <w:t>5</w:t>
            </w:r>
          </w:p>
        </w:tc>
        <w:tc>
          <w:tcPr>
            <w:tcW w:w="2322" w:type="dxa"/>
            <w:vAlign w:val="top"/>
          </w:tcPr>
          <w:p>
            <w:pPr>
              <w:pStyle w:val="TableText"/>
              <w:ind w:left="932"/>
              <w:spacing w:before="91" w:line="195" w:lineRule="auto"/>
              <w:rPr/>
            </w:pPr>
            <w:r>
              <w:rPr>
                <w:spacing w:val="2"/>
              </w:rPr>
              <w:t>52.95</w:t>
            </w:r>
          </w:p>
        </w:tc>
        <w:tc>
          <w:tcPr>
            <w:tcW w:w="2322" w:type="dxa"/>
            <w:vAlign w:val="top"/>
          </w:tcPr>
          <w:p>
            <w:pPr>
              <w:pStyle w:val="TableText"/>
              <w:ind w:left="945"/>
              <w:spacing w:before="91" w:line="195" w:lineRule="auto"/>
              <w:rPr/>
            </w:pPr>
            <w:r>
              <w:rPr>
                <w:spacing w:val="-1"/>
              </w:rPr>
              <w:t>10.59</w:t>
            </w:r>
          </w:p>
        </w:tc>
      </w:tr>
      <w:tr>
        <w:trPr>
          <w:trHeight w:val="304" w:hRule="atLeast"/>
        </w:trPr>
        <w:tc>
          <w:tcPr>
            <w:tcW w:w="2322" w:type="dxa"/>
            <w:vAlign w:val="top"/>
          </w:tcPr>
          <w:p>
            <w:pPr>
              <w:ind w:left="638"/>
              <w:spacing w:before="45" w:line="228" w:lineRule="auto"/>
              <w:rPr>
                <w:rFonts w:ascii="SimSun" w:hAnsi="SimSun" w:eastAsia="SimSun" w:cs="SimSun"/>
                <w:sz w:val="20"/>
                <w:szCs w:val="20"/>
              </w:rPr>
            </w:pPr>
            <w:r>
              <w:rPr>
                <w:rFonts w:ascii="SimSun" w:hAnsi="SimSun" w:eastAsia="SimSun" w:cs="SimSun"/>
                <w:sz w:val="20"/>
                <w:szCs w:val="20"/>
                <w:spacing w:val="8"/>
              </w:rPr>
              <w:t>达产第九年</w:t>
            </w:r>
          </w:p>
        </w:tc>
        <w:tc>
          <w:tcPr>
            <w:tcW w:w="2319" w:type="dxa"/>
            <w:vAlign w:val="top"/>
          </w:tcPr>
          <w:p>
            <w:pPr>
              <w:pStyle w:val="TableText"/>
              <w:ind w:left="1115"/>
              <w:spacing w:before="85" w:line="192" w:lineRule="auto"/>
              <w:rPr/>
            </w:pPr>
            <w:r>
              <w:rPr/>
              <w:t>5</w:t>
            </w:r>
          </w:p>
        </w:tc>
        <w:tc>
          <w:tcPr>
            <w:tcW w:w="2322" w:type="dxa"/>
            <w:vAlign w:val="top"/>
          </w:tcPr>
          <w:p>
            <w:pPr>
              <w:pStyle w:val="TableText"/>
              <w:ind w:left="932"/>
              <w:spacing w:before="82" w:line="195" w:lineRule="auto"/>
              <w:rPr/>
            </w:pPr>
            <w:r>
              <w:rPr>
                <w:spacing w:val="2"/>
              </w:rPr>
              <w:t>52.95</w:t>
            </w:r>
          </w:p>
        </w:tc>
        <w:tc>
          <w:tcPr>
            <w:tcW w:w="2322" w:type="dxa"/>
            <w:vAlign w:val="top"/>
          </w:tcPr>
          <w:p>
            <w:pPr>
              <w:pStyle w:val="TableText"/>
              <w:ind w:left="945"/>
              <w:spacing w:before="82" w:line="195" w:lineRule="auto"/>
              <w:rPr/>
            </w:pPr>
            <w:r>
              <w:rPr>
                <w:spacing w:val="-1"/>
              </w:rPr>
              <w:t>10.59</w:t>
            </w:r>
          </w:p>
        </w:tc>
      </w:tr>
      <w:tr>
        <w:trPr>
          <w:trHeight w:val="316" w:hRule="atLeast"/>
        </w:trPr>
        <w:tc>
          <w:tcPr>
            <w:tcW w:w="2322" w:type="dxa"/>
            <w:vAlign w:val="top"/>
          </w:tcPr>
          <w:p>
            <w:pPr>
              <w:ind w:left="638"/>
              <w:spacing w:before="51" w:line="228" w:lineRule="auto"/>
              <w:rPr>
                <w:rFonts w:ascii="SimSun" w:hAnsi="SimSun" w:eastAsia="SimSun" w:cs="SimSun"/>
                <w:sz w:val="20"/>
                <w:szCs w:val="20"/>
              </w:rPr>
            </w:pPr>
            <w:r>
              <w:rPr>
                <w:rFonts w:ascii="SimSun" w:hAnsi="SimSun" w:eastAsia="SimSun" w:cs="SimSun"/>
                <w:sz w:val="20"/>
                <w:szCs w:val="20"/>
                <w:spacing w:val="8"/>
              </w:rPr>
              <w:t>达产第十年</w:t>
            </w:r>
          </w:p>
        </w:tc>
        <w:tc>
          <w:tcPr>
            <w:tcW w:w="2319" w:type="dxa"/>
            <w:vAlign w:val="top"/>
          </w:tcPr>
          <w:p>
            <w:pPr>
              <w:pStyle w:val="TableText"/>
              <w:ind w:left="1115"/>
              <w:spacing w:before="90" w:line="192" w:lineRule="auto"/>
              <w:rPr/>
            </w:pPr>
            <w:r>
              <w:rPr/>
              <w:t>5</w:t>
            </w:r>
          </w:p>
        </w:tc>
        <w:tc>
          <w:tcPr>
            <w:tcW w:w="2322" w:type="dxa"/>
            <w:vAlign w:val="top"/>
          </w:tcPr>
          <w:p>
            <w:pPr>
              <w:pStyle w:val="TableText"/>
              <w:ind w:left="932"/>
              <w:spacing w:before="87" w:line="195" w:lineRule="auto"/>
              <w:rPr/>
            </w:pPr>
            <w:r>
              <w:rPr>
                <w:spacing w:val="2"/>
              </w:rPr>
              <w:t>52.95</w:t>
            </w:r>
          </w:p>
        </w:tc>
        <w:tc>
          <w:tcPr>
            <w:tcW w:w="2322" w:type="dxa"/>
            <w:vAlign w:val="top"/>
          </w:tcPr>
          <w:p>
            <w:pPr>
              <w:pStyle w:val="TableText"/>
              <w:ind w:left="945"/>
              <w:spacing w:before="87" w:line="195" w:lineRule="auto"/>
              <w:rPr/>
            </w:pPr>
            <w:r>
              <w:rPr>
                <w:spacing w:val="-1"/>
              </w:rPr>
              <w:t>10.59</w:t>
            </w:r>
          </w:p>
        </w:tc>
      </w:tr>
      <w:tr>
        <w:trPr>
          <w:trHeight w:val="338" w:hRule="atLeast"/>
        </w:trPr>
        <w:tc>
          <w:tcPr>
            <w:tcW w:w="2322" w:type="dxa"/>
            <w:vAlign w:val="top"/>
          </w:tcPr>
          <w:p>
            <w:pPr>
              <w:ind w:left="535"/>
              <w:spacing w:before="61" w:line="228" w:lineRule="auto"/>
              <w:rPr>
                <w:rFonts w:ascii="SimSun" w:hAnsi="SimSun" w:eastAsia="SimSun" w:cs="SimSun"/>
                <w:sz w:val="20"/>
                <w:szCs w:val="20"/>
              </w:rPr>
            </w:pPr>
            <w:r>
              <w:rPr>
                <w:rFonts w:ascii="SimSun" w:hAnsi="SimSun" w:eastAsia="SimSun" w:cs="SimSun"/>
                <w:sz w:val="20"/>
                <w:szCs w:val="20"/>
                <w:spacing w:val="8"/>
              </w:rPr>
              <w:t>达产第十一年</w:t>
            </w:r>
          </w:p>
        </w:tc>
        <w:tc>
          <w:tcPr>
            <w:tcW w:w="2319" w:type="dxa"/>
            <w:vAlign w:val="top"/>
          </w:tcPr>
          <w:p>
            <w:pPr>
              <w:pStyle w:val="TableText"/>
              <w:ind w:left="1115"/>
              <w:spacing w:before="103" w:line="192" w:lineRule="auto"/>
              <w:rPr/>
            </w:pPr>
            <w:r>
              <w:rPr/>
              <w:t>5</w:t>
            </w:r>
          </w:p>
        </w:tc>
        <w:tc>
          <w:tcPr>
            <w:tcW w:w="2322" w:type="dxa"/>
            <w:vAlign w:val="top"/>
          </w:tcPr>
          <w:p>
            <w:pPr>
              <w:pStyle w:val="TableText"/>
              <w:ind w:left="932"/>
              <w:spacing w:before="100" w:line="195" w:lineRule="auto"/>
              <w:rPr/>
            </w:pPr>
            <w:r>
              <w:rPr>
                <w:spacing w:val="2"/>
              </w:rPr>
              <w:t>52.95</w:t>
            </w:r>
          </w:p>
        </w:tc>
        <w:tc>
          <w:tcPr>
            <w:tcW w:w="2322" w:type="dxa"/>
            <w:vAlign w:val="top"/>
          </w:tcPr>
          <w:p>
            <w:pPr>
              <w:pStyle w:val="TableText"/>
              <w:ind w:left="945"/>
              <w:spacing w:before="100" w:line="195" w:lineRule="auto"/>
              <w:rPr/>
            </w:pPr>
            <w:r>
              <w:rPr>
                <w:spacing w:val="-1"/>
              </w:rPr>
              <w:t>10.59</w:t>
            </w:r>
          </w:p>
        </w:tc>
      </w:tr>
      <w:tr>
        <w:trPr>
          <w:trHeight w:val="359" w:hRule="atLeast"/>
        </w:trPr>
        <w:tc>
          <w:tcPr>
            <w:tcW w:w="2322" w:type="dxa"/>
            <w:vAlign w:val="top"/>
          </w:tcPr>
          <w:p>
            <w:pPr>
              <w:ind w:left="535"/>
              <w:spacing w:before="73" w:line="228" w:lineRule="auto"/>
              <w:rPr>
                <w:rFonts w:ascii="SimSun" w:hAnsi="SimSun" w:eastAsia="SimSun" w:cs="SimSun"/>
                <w:sz w:val="20"/>
                <w:szCs w:val="20"/>
              </w:rPr>
            </w:pPr>
            <w:r>
              <w:rPr>
                <w:rFonts w:ascii="SimSun" w:hAnsi="SimSun" w:eastAsia="SimSun" w:cs="SimSun"/>
                <w:sz w:val="20"/>
                <w:szCs w:val="20"/>
                <w:spacing w:val="8"/>
              </w:rPr>
              <w:t>达产第十二年</w:t>
            </w:r>
          </w:p>
        </w:tc>
        <w:tc>
          <w:tcPr>
            <w:tcW w:w="2319" w:type="dxa"/>
            <w:vAlign w:val="top"/>
          </w:tcPr>
          <w:p>
            <w:pPr>
              <w:pStyle w:val="TableText"/>
              <w:ind w:left="977"/>
              <w:spacing w:before="109" w:line="195" w:lineRule="auto"/>
              <w:rPr/>
            </w:pPr>
            <w:r>
              <w:rPr>
                <w:spacing w:val="2"/>
              </w:rPr>
              <w:t>2.51</w:t>
            </w:r>
          </w:p>
        </w:tc>
        <w:tc>
          <w:tcPr>
            <w:tcW w:w="2322" w:type="dxa"/>
            <w:vAlign w:val="top"/>
          </w:tcPr>
          <w:p>
            <w:pPr>
              <w:pStyle w:val="TableText"/>
              <w:ind w:left="926"/>
              <w:spacing w:before="109" w:line="195" w:lineRule="auto"/>
              <w:rPr/>
            </w:pPr>
            <w:r>
              <w:rPr>
                <w:spacing w:val="3"/>
              </w:rPr>
              <w:t>26.51</w:t>
            </w:r>
          </w:p>
        </w:tc>
        <w:tc>
          <w:tcPr>
            <w:tcW w:w="2322" w:type="dxa"/>
            <w:vAlign w:val="top"/>
          </w:tcPr>
          <w:p>
            <w:pPr>
              <w:pStyle w:val="TableText"/>
              <w:ind w:left="945"/>
              <w:spacing w:before="109" w:line="195" w:lineRule="auto"/>
              <w:rPr/>
            </w:pPr>
            <w:r>
              <w:rPr>
                <w:spacing w:val="-1"/>
              </w:rPr>
              <w:t>10.56</w:t>
            </w:r>
          </w:p>
        </w:tc>
      </w:tr>
      <w:tr>
        <w:trPr>
          <w:trHeight w:val="294" w:hRule="atLeast"/>
        </w:trPr>
        <w:tc>
          <w:tcPr>
            <w:tcW w:w="2322" w:type="dxa"/>
            <w:vAlign w:val="top"/>
          </w:tcPr>
          <w:p>
            <w:pPr>
              <w:ind w:left="956"/>
              <w:spacing w:before="41" w:line="224" w:lineRule="auto"/>
              <w:rPr>
                <w:rFonts w:ascii="SimSun" w:hAnsi="SimSun" w:eastAsia="SimSun" w:cs="SimSun"/>
                <w:sz w:val="20"/>
                <w:szCs w:val="20"/>
              </w:rPr>
            </w:pPr>
            <w:r>
              <w:rPr>
                <w:rFonts w:ascii="SimSun" w:hAnsi="SimSun" w:eastAsia="SimSun" w:cs="SimSun"/>
                <w:sz w:val="20"/>
                <w:szCs w:val="20"/>
                <w:spacing w:val="4"/>
              </w:rPr>
              <w:t>合计</w:t>
            </w:r>
          </w:p>
        </w:tc>
        <w:tc>
          <w:tcPr>
            <w:tcW w:w="2319" w:type="dxa"/>
            <w:vAlign w:val="top"/>
          </w:tcPr>
          <w:p>
            <w:pPr>
              <w:pStyle w:val="TableText"/>
              <w:ind w:left="923"/>
              <w:spacing w:before="77" w:line="195" w:lineRule="auto"/>
              <w:rPr/>
            </w:pPr>
            <w:r>
              <w:rPr>
                <w:spacing w:val="4"/>
              </w:rPr>
              <w:t>47.65</w:t>
            </w:r>
          </w:p>
        </w:tc>
        <w:tc>
          <w:tcPr>
            <w:tcW w:w="2322" w:type="dxa"/>
            <w:vAlign w:val="top"/>
          </w:tcPr>
          <w:p>
            <w:pPr>
              <w:pStyle w:val="TableText"/>
              <w:ind w:left="878"/>
              <w:spacing w:before="77" w:line="195" w:lineRule="auto"/>
              <w:rPr/>
            </w:pPr>
            <w:r>
              <w:rPr>
                <w:spacing w:val="3"/>
              </w:rPr>
              <w:t>608.96</w:t>
            </w:r>
          </w:p>
        </w:tc>
        <w:tc>
          <w:tcPr>
            <w:tcW w:w="2322" w:type="dxa"/>
            <w:vAlign w:val="top"/>
          </w:tcPr>
          <w:p>
            <w:pPr>
              <w:pStyle w:val="TableText"/>
              <w:ind w:left="945"/>
              <w:spacing w:before="77" w:line="195" w:lineRule="auto"/>
              <w:rPr/>
            </w:pPr>
            <w:r>
              <w:rPr>
                <w:spacing w:val="-1"/>
              </w:rPr>
              <w:t>10.59</w:t>
            </w:r>
          </w:p>
        </w:tc>
      </w:tr>
    </w:tbl>
    <w:p>
      <w:pPr>
        <w:ind w:left="3810"/>
        <w:spacing w:before="144" w:line="219" w:lineRule="auto"/>
        <w:rPr>
          <w:rFonts w:ascii="SimSun" w:hAnsi="SimSun" w:eastAsia="SimSun" w:cs="SimSun"/>
          <w:sz w:val="24"/>
          <w:szCs w:val="24"/>
        </w:rPr>
      </w:pPr>
      <w:r>
        <w:rPr>
          <w:rFonts w:ascii="SimSun" w:hAnsi="SimSun" w:eastAsia="SimSun" w:cs="SimSun"/>
          <w:sz w:val="24"/>
          <w:szCs w:val="24"/>
          <w:b/>
          <w:bCs/>
          <w:spacing w:val="-4"/>
        </w:rPr>
        <w:t>排弃进度计划表</w:t>
      </w:r>
    </w:p>
    <w:p>
      <w:pPr>
        <w:ind w:left="115"/>
        <w:spacing w:before="39"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3-5-12</w:t>
      </w:r>
    </w:p>
    <w:tbl>
      <w:tblPr>
        <w:tblStyle w:val="TableNormal"/>
        <w:tblW w:w="9299" w:type="dxa"/>
        <w:tblInd w:w="9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61"/>
        <w:gridCol w:w="1859"/>
        <w:gridCol w:w="1859"/>
        <w:gridCol w:w="1859"/>
        <w:gridCol w:w="1861"/>
      </w:tblGrid>
      <w:tr>
        <w:trPr>
          <w:trHeight w:val="467" w:hRule="atLeast"/>
        </w:trPr>
        <w:tc>
          <w:tcPr>
            <w:tcW w:w="1861" w:type="dxa"/>
            <w:vAlign w:val="top"/>
          </w:tcPr>
          <w:p>
            <w:pPr>
              <w:ind w:left="516"/>
              <w:spacing w:before="122" w:line="228" w:lineRule="auto"/>
              <w:rPr>
                <w:rFonts w:ascii="SimSun" w:hAnsi="SimSun" w:eastAsia="SimSun" w:cs="SimSun"/>
                <w:sz w:val="20"/>
                <w:szCs w:val="20"/>
              </w:rPr>
            </w:pPr>
            <w:r>
              <w:rPr>
                <w:rFonts w:ascii="SimSun" w:hAnsi="SimSun" w:eastAsia="SimSun" w:cs="SimSun"/>
                <w:sz w:val="20"/>
                <w:szCs w:val="20"/>
                <w:spacing w:val="6"/>
              </w:rPr>
              <w:t>生产时期</w:t>
            </w:r>
          </w:p>
        </w:tc>
        <w:tc>
          <w:tcPr>
            <w:tcW w:w="1859" w:type="dxa"/>
            <w:vAlign w:val="top"/>
          </w:tcPr>
          <w:p>
            <w:pPr>
              <w:pStyle w:val="TableText"/>
              <w:ind w:left="184"/>
              <w:spacing w:before="122" w:line="228" w:lineRule="auto"/>
              <w:rPr>
                <w:rFonts w:ascii="SimSun" w:hAnsi="SimSun" w:eastAsia="SimSun" w:cs="SimSun"/>
              </w:rPr>
            </w:pPr>
            <w:r>
              <w:rPr>
                <w:rFonts w:ascii="SimSun" w:hAnsi="SimSun" w:eastAsia="SimSun" w:cs="SimSun"/>
                <w:spacing w:val="7"/>
              </w:rPr>
              <w:t>原煤产量（</w:t>
            </w:r>
            <w:r>
              <w:rPr/>
              <w:t>Mt</w:t>
            </w:r>
            <w:r>
              <w:rPr>
                <w:rFonts w:ascii="SimSun" w:hAnsi="SimSun" w:eastAsia="SimSun" w:cs="SimSun"/>
                <w:spacing w:val="7"/>
              </w:rPr>
              <w:t>）</w:t>
            </w:r>
          </w:p>
        </w:tc>
        <w:tc>
          <w:tcPr>
            <w:tcW w:w="1859" w:type="dxa"/>
            <w:vAlign w:val="top"/>
          </w:tcPr>
          <w:p>
            <w:pPr>
              <w:pStyle w:val="TableText"/>
              <w:ind w:left="200"/>
              <w:spacing w:before="123" w:line="228" w:lineRule="auto"/>
              <w:rPr>
                <w:rFonts w:ascii="SimSun" w:hAnsi="SimSun" w:eastAsia="SimSun" w:cs="SimSun"/>
              </w:rPr>
            </w:pPr>
            <w:r>
              <w:rPr>
                <w:rFonts w:ascii="SimSun" w:hAnsi="SimSun" w:eastAsia="SimSun" w:cs="SimSun"/>
                <w:spacing w:val="8"/>
              </w:rPr>
              <w:t>剥离量（</w:t>
            </w:r>
            <w:r>
              <w:rPr/>
              <w:t>Mm</w:t>
            </w:r>
            <w:r>
              <w:rPr>
                <w:sz w:val="13"/>
                <w:szCs w:val="13"/>
                <w:spacing w:val="8"/>
                <w:position w:val="6"/>
              </w:rPr>
              <w:t>3</w:t>
            </w:r>
            <w:r>
              <w:rPr>
                <w:rFonts w:ascii="SimSun" w:hAnsi="SimSun" w:eastAsia="SimSun" w:cs="SimSun"/>
                <w:spacing w:val="8"/>
              </w:rPr>
              <w:t>）</w:t>
            </w:r>
          </w:p>
        </w:tc>
        <w:tc>
          <w:tcPr>
            <w:tcW w:w="1859" w:type="dxa"/>
            <w:vAlign w:val="top"/>
          </w:tcPr>
          <w:p>
            <w:pPr>
              <w:pStyle w:val="TableText"/>
              <w:ind w:left="202"/>
              <w:spacing w:before="123" w:line="228" w:lineRule="auto"/>
              <w:rPr>
                <w:rFonts w:ascii="SimSun" w:hAnsi="SimSun" w:eastAsia="SimSun" w:cs="SimSun"/>
              </w:rPr>
            </w:pPr>
            <w:r>
              <w:rPr>
                <w:rFonts w:ascii="SimSun" w:hAnsi="SimSun" w:eastAsia="SimSun" w:cs="SimSun"/>
                <w:spacing w:val="8"/>
              </w:rPr>
              <w:t>外排量（</w:t>
            </w:r>
            <w:r>
              <w:rPr/>
              <w:t>Mm</w:t>
            </w:r>
            <w:r>
              <w:rPr>
                <w:sz w:val="13"/>
                <w:szCs w:val="13"/>
                <w:spacing w:val="8"/>
                <w:position w:val="6"/>
              </w:rPr>
              <w:t>3</w:t>
            </w:r>
            <w:r>
              <w:rPr>
                <w:rFonts w:ascii="SimSun" w:hAnsi="SimSun" w:eastAsia="SimSun" w:cs="SimSun"/>
                <w:spacing w:val="8"/>
              </w:rPr>
              <w:t>）</w:t>
            </w:r>
          </w:p>
        </w:tc>
        <w:tc>
          <w:tcPr>
            <w:tcW w:w="1861" w:type="dxa"/>
            <w:vAlign w:val="top"/>
          </w:tcPr>
          <w:p>
            <w:pPr>
              <w:pStyle w:val="TableText"/>
              <w:ind w:left="224"/>
              <w:spacing w:before="122" w:line="228" w:lineRule="auto"/>
              <w:rPr>
                <w:rFonts w:ascii="SimSun" w:hAnsi="SimSun" w:eastAsia="SimSun" w:cs="SimSun"/>
              </w:rPr>
            </w:pPr>
            <w:r>
              <w:rPr>
                <w:rFonts w:ascii="SimSun" w:hAnsi="SimSun" w:eastAsia="SimSun" w:cs="SimSun"/>
                <w:spacing w:val="4"/>
              </w:rPr>
              <w:t>内排量（</w:t>
            </w:r>
            <w:r>
              <w:rPr/>
              <w:t>Mm</w:t>
            </w:r>
            <w:r>
              <w:rPr>
                <w:sz w:val="13"/>
                <w:szCs w:val="13"/>
                <w:spacing w:val="4"/>
                <w:position w:val="6"/>
              </w:rPr>
              <w:t>3</w:t>
            </w:r>
            <w:r>
              <w:rPr>
                <w:rFonts w:ascii="SimSun" w:hAnsi="SimSun" w:eastAsia="SimSun" w:cs="SimSun"/>
                <w:spacing w:val="4"/>
              </w:rPr>
              <w:t>）</w:t>
            </w:r>
          </w:p>
        </w:tc>
      </w:tr>
      <w:tr>
        <w:trPr>
          <w:trHeight w:val="316" w:hRule="atLeast"/>
        </w:trPr>
        <w:tc>
          <w:tcPr>
            <w:tcW w:w="1861" w:type="dxa"/>
            <w:vAlign w:val="top"/>
          </w:tcPr>
          <w:p>
            <w:pPr>
              <w:ind w:left="407"/>
              <w:spacing w:before="46" w:line="228" w:lineRule="auto"/>
              <w:rPr>
                <w:rFonts w:ascii="SimSun" w:hAnsi="SimSun" w:eastAsia="SimSun" w:cs="SimSun"/>
                <w:sz w:val="20"/>
                <w:szCs w:val="20"/>
              </w:rPr>
            </w:pPr>
            <w:r>
              <w:rPr>
                <w:rFonts w:ascii="SimSun" w:hAnsi="SimSun" w:eastAsia="SimSun" w:cs="SimSun"/>
                <w:sz w:val="20"/>
                <w:szCs w:val="20"/>
                <w:spacing w:val="8"/>
              </w:rPr>
              <w:t>达产第一年</w:t>
            </w:r>
          </w:p>
        </w:tc>
        <w:tc>
          <w:tcPr>
            <w:tcW w:w="1859" w:type="dxa"/>
            <w:vAlign w:val="top"/>
          </w:tcPr>
          <w:p>
            <w:pPr>
              <w:pStyle w:val="TableText"/>
              <w:ind w:left="882"/>
              <w:spacing w:before="85" w:line="192" w:lineRule="auto"/>
              <w:rPr/>
            </w:pPr>
            <w:r>
              <w:rPr/>
              <w:t>5</w:t>
            </w:r>
          </w:p>
        </w:tc>
        <w:tc>
          <w:tcPr>
            <w:tcW w:w="1859" w:type="dxa"/>
            <w:vAlign w:val="top"/>
          </w:tcPr>
          <w:p>
            <w:pPr>
              <w:pStyle w:val="TableText"/>
              <w:ind w:left="698"/>
              <w:spacing w:before="82" w:line="195" w:lineRule="auto"/>
              <w:rPr/>
            </w:pPr>
            <w:r>
              <w:rPr>
                <w:spacing w:val="2"/>
              </w:rPr>
              <w:t>52.95</w:t>
            </w:r>
          </w:p>
        </w:tc>
        <w:tc>
          <w:tcPr>
            <w:tcW w:w="1859" w:type="dxa"/>
            <w:vAlign w:val="top"/>
          </w:tcPr>
          <w:p>
            <w:pPr>
              <w:pStyle w:val="TableText"/>
              <w:ind w:left="881"/>
              <w:spacing w:before="82" w:line="195" w:lineRule="auto"/>
              <w:rPr/>
            </w:pPr>
            <w:r>
              <w:rPr/>
              <w:t>0</w:t>
            </w:r>
          </w:p>
        </w:tc>
        <w:tc>
          <w:tcPr>
            <w:tcW w:w="1861" w:type="dxa"/>
            <w:vAlign w:val="top"/>
          </w:tcPr>
          <w:p>
            <w:pPr>
              <w:pStyle w:val="TableText"/>
              <w:ind w:left="700"/>
              <w:spacing w:before="82" w:line="195" w:lineRule="auto"/>
              <w:rPr/>
            </w:pPr>
            <w:r>
              <w:rPr>
                <w:spacing w:val="2"/>
              </w:rPr>
              <w:t>52.95</w:t>
            </w:r>
          </w:p>
        </w:tc>
      </w:tr>
      <w:tr>
        <w:trPr>
          <w:trHeight w:val="383" w:hRule="atLeast"/>
        </w:trPr>
        <w:tc>
          <w:tcPr>
            <w:tcW w:w="1861" w:type="dxa"/>
            <w:vAlign w:val="top"/>
          </w:tcPr>
          <w:p>
            <w:pPr>
              <w:ind w:left="407"/>
              <w:spacing w:before="80" w:line="228" w:lineRule="auto"/>
              <w:rPr>
                <w:rFonts w:ascii="SimSun" w:hAnsi="SimSun" w:eastAsia="SimSun" w:cs="SimSun"/>
                <w:sz w:val="20"/>
                <w:szCs w:val="20"/>
              </w:rPr>
            </w:pPr>
            <w:r>
              <w:rPr>
                <w:rFonts w:ascii="SimSun" w:hAnsi="SimSun" w:eastAsia="SimSun" w:cs="SimSun"/>
                <w:sz w:val="20"/>
                <w:szCs w:val="20"/>
                <w:spacing w:val="8"/>
              </w:rPr>
              <w:t>达产第二年</w:t>
            </w:r>
          </w:p>
        </w:tc>
        <w:tc>
          <w:tcPr>
            <w:tcW w:w="1859" w:type="dxa"/>
            <w:vAlign w:val="top"/>
          </w:tcPr>
          <w:p>
            <w:pPr>
              <w:pStyle w:val="TableText"/>
              <w:ind w:left="882"/>
              <w:spacing w:before="122" w:line="192" w:lineRule="auto"/>
              <w:rPr/>
            </w:pPr>
            <w:r>
              <w:rPr/>
              <w:t>5</w:t>
            </w:r>
          </w:p>
        </w:tc>
        <w:tc>
          <w:tcPr>
            <w:tcW w:w="1859" w:type="dxa"/>
            <w:vAlign w:val="top"/>
          </w:tcPr>
          <w:p>
            <w:pPr>
              <w:pStyle w:val="TableText"/>
              <w:ind w:left="698"/>
              <w:spacing w:before="119" w:line="195" w:lineRule="auto"/>
              <w:rPr/>
            </w:pPr>
            <w:r>
              <w:rPr>
                <w:spacing w:val="2"/>
              </w:rPr>
              <w:t>52.95</w:t>
            </w:r>
          </w:p>
        </w:tc>
        <w:tc>
          <w:tcPr>
            <w:tcW w:w="1859" w:type="dxa"/>
            <w:vAlign w:val="top"/>
          </w:tcPr>
          <w:p>
            <w:pPr>
              <w:pStyle w:val="TableText"/>
              <w:ind w:left="881"/>
              <w:spacing w:before="119" w:line="195" w:lineRule="auto"/>
              <w:rPr/>
            </w:pPr>
            <w:r>
              <w:rPr/>
              <w:t>0</w:t>
            </w:r>
          </w:p>
        </w:tc>
        <w:tc>
          <w:tcPr>
            <w:tcW w:w="1861" w:type="dxa"/>
            <w:vAlign w:val="top"/>
          </w:tcPr>
          <w:p>
            <w:pPr>
              <w:pStyle w:val="TableText"/>
              <w:ind w:left="700"/>
              <w:spacing w:before="119" w:line="195" w:lineRule="auto"/>
              <w:rPr/>
            </w:pPr>
            <w:r>
              <w:rPr>
                <w:spacing w:val="2"/>
              </w:rPr>
              <w:t>52.95</w:t>
            </w:r>
          </w:p>
        </w:tc>
      </w:tr>
      <w:tr>
        <w:trPr>
          <w:trHeight w:val="405" w:hRule="atLeast"/>
        </w:trPr>
        <w:tc>
          <w:tcPr>
            <w:tcW w:w="1861" w:type="dxa"/>
            <w:vAlign w:val="top"/>
          </w:tcPr>
          <w:p>
            <w:pPr>
              <w:ind w:left="407"/>
              <w:spacing w:before="93" w:line="228" w:lineRule="auto"/>
              <w:rPr>
                <w:rFonts w:ascii="SimSun" w:hAnsi="SimSun" w:eastAsia="SimSun" w:cs="SimSun"/>
                <w:sz w:val="20"/>
                <w:szCs w:val="20"/>
              </w:rPr>
            </w:pPr>
            <w:r>
              <w:rPr>
                <w:rFonts w:ascii="SimSun" w:hAnsi="SimSun" w:eastAsia="SimSun" w:cs="SimSun"/>
                <w:sz w:val="20"/>
                <w:szCs w:val="20"/>
                <w:spacing w:val="8"/>
              </w:rPr>
              <w:t>达产第三年</w:t>
            </w:r>
          </w:p>
        </w:tc>
        <w:tc>
          <w:tcPr>
            <w:tcW w:w="1859" w:type="dxa"/>
            <w:vAlign w:val="top"/>
          </w:tcPr>
          <w:p>
            <w:pPr>
              <w:pStyle w:val="TableText"/>
              <w:ind w:left="882"/>
              <w:spacing w:before="132" w:line="192" w:lineRule="auto"/>
              <w:rPr/>
            </w:pPr>
            <w:r>
              <w:rPr/>
              <w:t>5</w:t>
            </w:r>
          </w:p>
        </w:tc>
        <w:tc>
          <w:tcPr>
            <w:tcW w:w="1859" w:type="dxa"/>
            <w:vAlign w:val="top"/>
          </w:tcPr>
          <w:p>
            <w:pPr>
              <w:pStyle w:val="TableText"/>
              <w:ind w:left="698"/>
              <w:spacing w:before="129" w:line="195" w:lineRule="auto"/>
              <w:rPr/>
            </w:pPr>
            <w:r>
              <w:rPr>
                <w:spacing w:val="2"/>
              </w:rPr>
              <w:t>52.95</w:t>
            </w:r>
          </w:p>
        </w:tc>
        <w:tc>
          <w:tcPr>
            <w:tcW w:w="1859" w:type="dxa"/>
            <w:vAlign w:val="top"/>
          </w:tcPr>
          <w:p>
            <w:pPr>
              <w:pStyle w:val="TableText"/>
              <w:ind w:left="881"/>
              <w:spacing w:before="129" w:line="195" w:lineRule="auto"/>
              <w:rPr/>
            </w:pPr>
            <w:r>
              <w:rPr/>
              <w:t>0</w:t>
            </w:r>
          </w:p>
        </w:tc>
        <w:tc>
          <w:tcPr>
            <w:tcW w:w="1861" w:type="dxa"/>
            <w:vAlign w:val="top"/>
          </w:tcPr>
          <w:p>
            <w:pPr>
              <w:pStyle w:val="TableText"/>
              <w:ind w:left="700"/>
              <w:spacing w:before="129" w:line="195" w:lineRule="auto"/>
              <w:rPr/>
            </w:pPr>
            <w:r>
              <w:rPr>
                <w:spacing w:val="2"/>
              </w:rPr>
              <w:t>52.95</w:t>
            </w:r>
          </w:p>
        </w:tc>
      </w:tr>
      <w:tr>
        <w:trPr>
          <w:trHeight w:val="395" w:hRule="atLeast"/>
        </w:trPr>
        <w:tc>
          <w:tcPr>
            <w:tcW w:w="1861" w:type="dxa"/>
            <w:vAlign w:val="top"/>
          </w:tcPr>
          <w:p>
            <w:pPr>
              <w:ind w:left="407"/>
              <w:spacing w:before="88" w:line="228" w:lineRule="auto"/>
              <w:rPr>
                <w:rFonts w:ascii="SimSun" w:hAnsi="SimSun" w:eastAsia="SimSun" w:cs="SimSun"/>
                <w:sz w:val="20"/>
                <w:szCs w:val="20"/>
              </w:rPr>
            </w:pPr>
            <w:r>
              <w:rPr>
                <w:rFonts w:ascii="SimSun" w:hAnsi="SimSun" w:eastAsia="SimSun" w:cs="SimSun"/>
                <w:sz w:val="20"/>
                <w:szCs w:val="20"/>
                <w:spacing w:val="8"/>
              </w:rPr>
              <w:t>达产第四年</w:t>
            </w:r>
          </w:p>
        </w:tc>
        <w:tc>
          <w:tcPr>
            <w:tcW w:w="1859" w:type="dxa"/>
            <w:vAlign w:val="top"/>
          </w:tcPr>
          <w:p>
            <w:pPr>
              <w:pStyle w:val="TableText"/>
              <w:ind w:left="882"/>
              <w:spacing w:before="128" w:line="192" w:lineRule="auto"/>
              <w:rPr/>
            </w:pPr>
            <w:r>
              <w:rPr/>
              <w:t>5</w:t>
            </w:r>
          </w:p>
        </w:tc>
        <w:tc>
          <w:tcPr>
            <w:tcW w:w="1859" w:type="dxa"/>
            <w:vAlign w:val="top"/>
          </w:tcPr>
          <w:p>
            <w:pPr>
              <w:pStyle w:val="TableText"/>
              <w:ind w:left="698"/>
              <w:spacing w:before="125" w:line="195" w:lineRule="auto"/>
              <w:rPr/>
            </w:pPr>
            <w:r>
              <w:rPr>
                <w:spacing w:val="2"/>
              </w:rPr>
              <w:t>52.95</w:t>
            </w:r>
          </w:p>
        </w:tc>
        <w:tc>
          <w:tcPr>
            <w:tcW w:w="1859" w:type="dxa"/>
            <w:vAlign w:val="top"/>
          </w:tcPr>
          <w:p>
            <w:pPr>
              <w:pStyle w:val="TableText"/>
              <w:ind w:left="881"/>
              <w:spacing w:before="125" w:line="195" w:lineRule="auto"/>
              <w:rPr/>
            </w:pPr>
            <w:r>
              <w:rPr/>
              <w:t>0</w:t>
            </w:r>
          </w:p>
        </w:tc>
        <w:tc>
          <w:tcPr>
            <w:tcW w:w="1861" w:type="dxa"/>
            <w:vAlign w:val="top"/>
          </w:tcPr>
          <w:p>
            <w:pPr>
              <w:pStyle w:val="TableText"/>
              <w:ind w:left="700"/>
              <w:spacing w:before="125" w:line="195" w:lineRule="auto"/>
              <w:rPr/>
            </w:pPr>
            <w:r>
              <w:rPr>
                <w:spacing w:val="2"/>
              </w:rPr>
              <w:t>52.95</w:t>
            </w:r>
          </w:p>
        </w:tc>
      </w:tr>
      <w:tr>
        <w:trPr>
          <w:trHeight w:val="381" w:hRule="atLeast"/>
        </w:trPr>
        <w:tc>
          <w:tcPr>
            <w:tcW w:w="1861" w:type="dxa"/>
            <w:vAlign w:val="top"/>
          </w:tcPr>
          <w:p>
            <w:pPr>
              <w:ind w:left="407"/>
              <w:spacing w:before="82" w:line="228" w:lineRule="auto"/>
              <w:rPr>
                <w:rFonts w:ascii="SimSun" w:hAnsi="SimSun" w:eastAsia="SimSun" w:cs="SimSun"/>
                <w:sz w:val="20"/>
                <w:szCs w:val="20"/>
              </w:rPr>
            </w:pPr>
            <w:r>
              <w:rPr>
                <w:rFonts w:ascii="SimSun" w:hAnsi="SimSun" w:eastAsia="SimSun" w:cs="SimSun"/>
                <w:sz w:val="20"/>
                <w:szCs w:val="20"/>
                <w:spacing w:val="8"/>
              </w:rPr>
              <w:t>达产第五年</w:t>
            </w:r>
          </w:p>
        </w:tc>
        <w:tc>
          <w:tcPr>
            <w:tcW w:w="1859" w:type="dxa"/>
            <w:vAlign w:val="top"/>
          </w:tcPr>
          <w:p>
            <w:pPr>
              <w:pStyle w:val="TableText"/>
              <w:ind w:left="882"/>
              <w:spacing w:before="121" w:line="192" w:lineRule="auto"/>
              <w:rPr/>
            </w:pPr>
            <w:r>
              <w:rPr/>
              <w:t>5</w:t>
            </w:r>
          </w:p>
        </w:tc>
        <w:tc>
          <w:tcPr>
            <w:tcW w:w="1859" w:type="dxa"/>
            <w:vAlign w:val="top"/>
          </w:tcPr>
          <w:p>
            <w:pPr>
              <w:pStyle w:val="TableText"/>
              <w:ind w:left="698"/>
              <w:spacing w:before="118" w:line="195" w:lineRule="auto"/>
              <w:rPr/>
            </w:pPr>
            <w:r>
              <w:rPr>
                <w:spacing w:val="2"/>
              </w:rPr>
              <w:t>52.95</w:t>
            </w:r>
          </w:p>
        </w:tc>
        <w:tc>
          <w:tcPr>
            <w:tcW w:w="1859" w:type="dxa"/>
            <w:vAlign w:val="top"/>
          </w:tcPr>
          <w:p>
            <w:pPr>
              <w:pStyle w:val="TableText"/>
              <w:ind w:left="881"/>
              <w:spacing w:before="118" w:line="195" w:lineRule="auto"/>
              <w:rPr/>
            </w:pPr>
            <w:r>
              <w:rPr/>
              <w:t>0</w:t>
            </w:r>
          </w:p>
        </w:tc>
        <w:tc>
          <w:tcPr>
            <w:tcW w:w="1861" w:type="dxa"/>
            <w:vAlign w:val="top"/>
          </w:tcPr>
          <w:p>
            <w:pPr>
              <w:pStyle w:val="TableText"/>
              <w:ind w:left="700"/>
              <w:spacing w:before="118" w:line="195" w:lineRule="auto"/>
              <w:rPr/>
            </w:pPr>
            <w:r>
              <w:rPr>
                <w:spacing w:val="2"/>
              </w:rPr>
              <w:t>52.95</w:t>
            </w:r>
          </w:p>
        </w:tc>
      </w:tr>
      <w:tr>
        <w:trPr>
          <w:trHeight w:val="428" w:hRule="atLeast"/>
        </w:trPr>
        <w:tc>
          <w:tcPr>
            <w:tcW w:w="1861" w:type="dxa"/>
            <w:vAlign w:val="top"/>
          </w:tcPr>
          <w:p>
            <w:pPr>
              <w:ind w:left="407"/>
              <w:spacing w:before="106" w:line="228" w:lineRule="auto"/>
              <w:rPr>
                <w:rFonts w:ascii="SimSun" w:hAnsi="SimSun" w:eastAsia="SimSun" w:cs="SimSun"/>
                <w:sz w:val="20"/>
                <w:szCs w:val="20"/>
              </w:rPr>
            </w:pPr>
            <w:r>
              <w:rPr>
                <w:rFonts w:ascii="SimSun" w:hAnsi="SimSun" w:eastAsia="SimSun" w:cs="SimSun"/>
                <w:sz w:val="20"/>
                <w:szCs w:val="20"/>
                <w:spacing w:val="8"/>
              </w:rPr>
              <w:t>达产第六年</w:t>
            </w:r>
          </w:p>
        </w:tc>
        <w:tc>
          <w:tcPr>
            <w:tcW w:w="1859" w:type="dxa"/>
            <w:vAlign w:val="top"/>
          </w:tcPr>
          <w:p>
            <w:pPr>
              <w:pStyle w:val="TableText"/>
              <w:ind w:left="882"/>
              <w:spacing w:before="148" w:line="192" w:lineRule="auto"/>
              <w:rPr/>
            </w:pPr>
            <w:r>
              <w:rPr/>
              <w:t>5</w:t>
            </w:r>
          </w:p>
        </w:tc>
        <w:tc>
          <w:tcPr>
            <w:tcW w:w="1859" w:type="dxa"/>
            <w:vAlign w:val="top"/>
          </w:tcPr>
          <w:p>
            <w:pPr>
              <w:pStyle w:val="TableText"/>
              <w:ind w:left="698"/>
              <w:spacing w:before="145" w:line="195" w:lineRule="auto"/>
              <w:rPr/>
            </w:pPr>
            <w:r>
              <w:rPr>
                <w:spacing w:val="2"/>
              </w:rPr>
              <w:t>52.95</w:t>
            </w:r>
          </w:p>
        </w:tc>
        <w:tc>
          <w:tcPr>
            <w:tcW w:w="1859" w:type="dxa"/>
            <w:vAlign w:val="top"/>
          </w:tcPr>
          <w:p>
            <w:pPr>
              <w:pStyle w:val="TableText"/>
              <w:ind w:left="881"/>
              <w:spacing w:before="145" w:line="195" w:lineRule="auto"/>
              <w:rPr/>
            </w:pPr>
            <w:r>
              <w:rPr/>
              <w:t>0</w:t>
            </w:r>
          </w:p>
        </w:tc>
        <w:tc>
          <w:tcPr>
            <w:tcW w:w="1861" w:type="dxa"/>
            <w:vAlign w:val="top"/>
          </w:tcPr>
          <w:p>
            <w:pPr>
              <w:pStyle w:val="TableText"/>
              <w:ind w:left="700"/>
              <w:spacing w:before="145" w:line="195" w:lineRule="auto"/>
              <w:rPr/>
            </w:pPr>
            <w:r>
              <w:rPr>
                <w:spacing w:val="2"/>
              </w:rPr>
              <w:t>52.95</w:t>
            </w:r>
          </w:p>
        </w:tc>
      </w:tr>
      <w:tr>
        <w:trPr>
          <w:trHeight w:val="405" w:hRule="atLeast"/>
        </w:trPr>
        <w:tc>
          <w:tcPr>
            <w:tcW w:w="1861" w:type="dxa"/>
            <w:vAlign w:val="top"/>
          </w:tcPr>
          <w:p>
            <w:pPr>
              <w:ind w:left="407"/>
              <w:spacing w:before="96" w:line="228" w:lineRule="auto"/>
              <w:rPr>
                <w:rFonts w:ascii="SimSun" w:hAnsi="SimSun" w:eastAsia="SimSun" w:cs="SimSun"/>
                <w:sz w:val="20"/>
                <w:szCs w:val="20"/>
              </w:rPr>
            </w:pPr>
            <w:r>
              <w:rPr>
                <w:rFonts w:ascii="SimSun" w:hAnsi="SimSun" w:eastAsia="SimSun" w:cs="SimSun"/>
                <w:sz w:val="20"/>
                <w:szCs w:val="20"/>
                <w:spacing w:val="8"/>
              </w:rPr>
              <w:t>达产第七年</w:t>
            </w:r>
          </w:p>
        </w:tc>
        <w:tc>
          <w:tcPr>
            <w:tcW w:w="1859" w:type="dxa"/>
            <w:vAlign w:val="top"/>
          </w:tcPr>
          <w:p>
            <w:pPr>
              <w:pStyle w:val="TableText"/>
              <w:ind w:left="882"/>
              <w:spacing w:before="135" w:line="192" w:lineRule="auto"/>
              <w:rPr/>
            </w:pPr>
            <w:r>
              <w:rPr/>
              <w:t>5</w:t>
            </w:r>
          </w:p>
        </w:tc>
        <w:tc>
          <w:tcPr>
            <w:tcW w:w="1859" w:type="dxa"/>
            <w:vAlign w:val="top"/>
          </w:tcPr>
          <w:p>
            <w:pPr>
              <w:pStyle w:val="TableText"/>
              <w:ind w:left="698"/>
              <w:spacing w:before="132" w:line="195" w:lineRule="auto"/>
              <w:rPr/>
            </w:pPr>
            <w:r>
              <w:rPr>
                <w:spacing w:val="2"/>
              </w:rPr>
              <w:t>52.95</w:t>
            </w:r>
          </w:p>
        </w:tc>
        <w:tc>
          <w:tcPr>
            <w:tcW w:w="1859" w:type="dxa"/>
            <w:vAlign w:val="top"/>
          </w:tcPr>
          <w:p>
            <w:pPr>
              <w:pStyle w:val="TableText"/>
              <w:ind w:left="881"/>
              <w:spacing w:before="132" w:line="195" w:lineRule="auto"/>
              <w:rPr/>
            </w:pPr>
            <w:r>
              <w:rPr/>
              <w:t>0</w:t>
            </w:r>
          </w:p>
        </w:tc>
        <w:tc>
          <w:tcPr>
            <w:tcW w:w="1861" w:type="dxa"/>
            <w:vAlign w:val="top"/>
          </w:tcPr>
          <w:p>
            <w:pPr>
              <w:pStyle w:val="TableText"/>
              <w:ind w:left="700"/>
              <w:spacing w:before="132" w:line="195" w:lineRule="auto"/>
              <w:rPr/>
            </w:pPr>
            <w:r>
              <w:rPr>
                <w:spacing w:val="2"/>
              </w:rPr>
              <w:t>52.95</w:t>
            </w:r>
          </w:p>
        </w:tc>
      </w:tr>
    </w:tbl>
    <w:p>
      <w:pPr>
        <w:pStyle w:val="BodyText"/>
        <w:rPr/>
      </w:pPr>
      <w:r/>
    </w:p>
    <w:p>
      <w:pPr>
        <w:sectPr>
          <w:headerReference w:type="default" r:id="rId211"/>
          <w:footerReference w:type="default" r:id="rId212"/>
          <w:pgSz w:w="11906" w:h="16838"/>
          <w:pgMar w:top="1170" w:right="1199" w:bottom="1080" w:left="1307" w:header="837" w:footer="918" w:gutter="0"/>
        </w:sectPr>
        <w:rPr/>
      </w:pPr>
    </w:p>
    <w:p>
      <w:pPr>
        <w:spacing w:before="6"/>
        <w:rPr/>
      </w:pPr>
      <w:r/>
    </w:p>
    <w:tbl>
      <w:tblPr>
        <w:tblStyle w:val="TableNormal"/>
        <w:tblW w:w="929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61"/>
        <w:gridCol w:w="1859"/>
        <w:gridCol w:w="1859"/>
        <w:gridCol w:w="1859"/>
        <w:gridCol w:w="1861"/>
      </w:tblGrid>
      <w:tr>
        <w:trPr>
          <w:trHeight w:val="419" w:hRule="atLeast"/>
        </w:trPr>
        <w:tc>
          <w:tcPr>
            <w:tcW w:w="1861" w:type="dxa"/>
            <w:vAlign w:val="top"/>
          </w:tcPr>
          <w:p>
            <w:pPr>
              <w:ind w:left="407"/>
              <w:spacing w:before="100" w:line="228" w:lineRule="auto"/>
              <w:rPr>
                <w:rFonts w:ascii="SimSun" w:hAnsi="SimSun" w:eastAsia="SimSun" w:cs="SimSun"/>
                <w:sz w:val="20"/>
                <w:szCs w:val="20"/>
              </w:rPr>
            </w:pPr>
            <w:r>
              <w:rPr>
                <w:rFonts w:ascii="SimSun" w:hAnsi="SimSun" w:eastAsia="SimSun" w:cs="SimSun"/>
                <w:sz w:val="20"/>
                <w:szCs w:val="20"/>
                <w:spacing w:val="8"/>
              </w:rPr>
              <w:t>达产第八年</w:t>
            </w:r>
          </w:p>
        </w:tc>
        <w:tc>
          <w:tcPr>
            <w:tcW w:w="1859" w:type="dxa"/>
            <w:vAlign w:val="top"/>
          </w:tcPr>
          <w:p>
            <w:pPr>
              <w:pStyle w:val="TableText"/>
              <w:ind w:left="882"/>
              <w:spacing w:before="139" w:line="192" w:lineRule="auto"/>
              <w:rPr/>
            </w:pPr>
            <w:r>
              <w:rPr/>
              <w:t>5</w:t>
            </w:r>
          </w:p>
        </w:tc>
        <w:tc>
          <w:tcPr>
            <w:tcW w:w="1859" w:type="dxa"/>
            <w:vAlign w:val="top"/>
          </w:tcPr>
          <w:p>
            <w:pPr>
              <w:pStyle w:val="TableText"/>
              <w:ind w:left="698"/>
              <w:spacing w:before="136" w:line="195" w:lineRule="auto"/>
              <w:rPr/>
            </w:pPr>
            <w:r>
              <w:rPr>
                <w:spacing w:val="2"/>
              </w:rPr>
              <w:t>52.95</w:t>
            </w:r>
          </w:p>
        </w:tc>
        <w:tc>
          <w:tcPr>
            <w:tcW w:w="1859" w:type="dxa"/>
            <w:vAlign w:val="top"/>
          </w:tcPr>
          <w:p>
            <w:pPr>
              <w:pStyle w:val="TableText"/>
              <w:ind w:left="881"/>
              <w:spacing w:before="136" w:line="195" w:lineRule="auto"/>
              <w:rPr/>
            </w:pPr>
            <w:r>
              <w:rPr/>
              <w:t>0</w:t>
            </w:r>
          </w:p>
        </w:tc>
        <w:tc>
          <w:tcPr>
            <w:tcW w:w="1861" w:type="dxa"/>
            <w:vAlign w:val="top"/>
          </w:tcPr>
          <w:p>
            <w:pPr>
              <w:pStyle w:val="TableText"/>
              <w:ind w:left="700"/>
              <w:spacing w:before="136" w:line="195" w:lineRule="auto"/>
              <w:rPr/>
            </w:pPr>
            <w:r>
              <w:rPr>
                <w:spacing w:val="2"/>
              </w:rPr>
              <w:t>52.95</w:t>
            </w:r>
          </w:p>
        </w:tc>
      </w:tr>
      <w:tr>
        <w:trPr>
          <w:trHeight w:val="450" w:hRule="atLeast"/>
        </w:trPr>
        <w:tc>
          <w:tcPr>
            <w:tcW w:w="1861" w:type="dxa"/>
            <w:vAlign w:val="top"/>
          </w:tcPr>
          <w:p>
            <w:pPr>
              <w:ind w:left="407"/>
              <w:spacing w:before="115" w:line="228" w:lineRule="auto"/>
              <w:rPr>
                <w:rFonts w:ascii="SimSun" w:hAnsi="SimSun" w:eastAsia="SimSun" w:cs="SimSun"/>
                <w:sz w:val="20"/>
                <w:szCs w:val="20"/>
              </w:rPr>
            </w:pPr>
            <w:r>
              <w:rPr>
                <w:rFonts w:ascii="SimSun" w:hAnsi="SimSun" w:eastAsia="SimSun" w:cs="SimSun"/>
                <w:sz w:val="20"/>
                <w:szCs w:val="20"/>
                <w:spacing w:val="8"/>
              </w:rPr>
              <w:t>达产第九年</w:t>
            </w:r>
          </w:p>
        </w:tc>
        <w:tc>
          <w:tcPr>
            <w:tcW w:w="1859" w:type="dxa"/>
            <w:vAlign w:val="top"/>
          </w:tcPr>
          <w:p>
            <w:pPr>
              <w:pStyle w:val="TableText"/>
              <w:ind w:left="882"/>
              <w:spacing w:before="155" w:line="192" w:lineRule="auto"/>
              <w:rPr/>
            </w:pPr>
            <w:r>
              <w:rPr/>
              <w:t>5</w:t>
            </w:r>
          </w:p>
        </w:tc>
        <w:tc>
          <w:tcPr>
            <w:tcW w:w="1859" w:type="dxa"/>
            <w:vAlign w:val="top"/>
          </w:tcPr>
          <w:p>
            <w:pPr>
              <w:pStyle w:val="TableText"/>
              <w:ind w:left="698"/>
              <w:spacing w:before="152" w:line="195" w:lineRule="auto"/>
              <w:rPr/>
            </w:pPr>
            <w:r>
              <w:rPr>
                <w:spacing w:val="2"/>
              </w:rPr>
              <w:t>52.95</w:t>
            </w:r>
          </w:p>
        </w:tc>
        <w:tc>
          <w:tcPr>
            <w:tcW w:w="1859" w:type="dxa"/>
            <w:vAlign w:val="top"/>
          </w:tcPr>
          <w:p>
            <w:pPr>
              <w:pStyle w:val="TableText"/>
              <w:ind w:left="881"/>
              <w:spacing w:before="152" w:line="195" w:lineRule="auto"/>
              <w:rPr/>
            </w:pPr>
            <w:r>
              <w:rPr/>
              <w:t>0</w:t>
            </w:r>
          </w:p>
        </w:tc>
        <w:tc>
          <w:tcPr>
            <w:tcW w:w="1861" w:type="dxa"/>
            <w:vAlign w:val="top"/>
          </w:tcPr>
          <w:p>
            <w:pPr>
              <w:pStyle w:val="TableText"/>
              <w:ind w:left="700"/>
              <w:spacing w:before="152" w:line="195" w:lineRule="auto"/>
              <w:rPr/>
            </w:pPr>
            <w:r>
              <w:rPr>
                <w:spacing w:val="2"/>
              </w:rPr>
              <w:t>52.95</w:t>
            </w:r>
          </w:p>
        </w:tc>
      </w:tr>
      <w:tr>
        <w:trPr>
          <w:trHeight w:val="393" w:hRule="atLeast"/>
        </w:trPr>
        <w:tc>
          <w:tcPr>
            <w:tcW w:w="1861" w:type="dxa"/>
            <w:vAlign w:val="top"/>
          </w:tcPr>
          <w:p>
            <w:pPr>
              <w:ind w:left="407"/>
              <w:spacing w:before="88" w:line="228" w:lineRule="auto"/>
              <w:rPr>
                <w:rFonts w:ascii="SimSun" w:hAnsi="SimSun" w:eastAsia="SimSun" w:cs="SimSun"/>
                <w:sz w:val="20"/>
                <w:szCs w:val="20"/>
              </w:rPr>
            </w:pPr>
            <w:r>
              <w:rPr>
                <w:rFonts w:ascii="SimSun" w:hAnsi="SimSun" w:eastAsia="SimSun" w:cs="SimSun"/>
                <w:sz w:val="20"/>
                <w:szCs w:val="20"/>
                <w:spacing w:val="8"/>
              </w:rPr>
              <w:t>达产第十年</w:t>
            </w:r>
          </w:p>
        </w:tc>
        <w:tc>
          <w:tcPr>
            <w:tcW w:w="1859" w:type="dxa"/>
            <w:vAlign w:val="top"/>
          </w:tcPr>
          <w:p>
            <w:pPr>
              <w:pStyle w:val="TableText"/>
              <w:ind w:left="882"/>
              <w:spacing w:before="127" w:line="192" w:lineRule="auto"/>
              <w:rPr/>
            </w:pPr>
            <w:r>
              <w:rPr/>
              <w:t>5</w:t>
            </w:r>
          </w:p>
        </w:tc>
        <w:tc>
          <w:tcPr>
            <w:tcW w:w="1859" w:type="dxa"/>
            <w:vAlign w:val="top"/>
          </w:tcPr>
          <w:p>
            <w:pPr>
              <w:pStyle w:val="TableText"/>
              <w:ind w:left="698"/>
              <w:spacing w:before="124" w:line="195" w:lineRule="auto"/>
              <w:rPr/>
            </w:pPr>
            <w:r>
              <w:rPr>
                <w:spacing w:val="2"/>
              </w:rPr>
              <w:t>52.95</w:t>
            </w:r>
          </w:p>
        </w:tc>
        <w:tc>
          <w:tcPr>
            <w:tcW w:w="1859" w:type="dxa"/>
            <w:vAlign w:val="top"/>
          </w:tcPr>
          <w:p>
            <w:pPr>
              <w:pStyle w:val="TableText"/>
              <w:ind w:left="881"/>
              <w:spacing w:before="124" w:line="195" w:lineRule="auto"/>
              <w:rPr/>
            </w:pPr>
            <w:r>
              <w:rPr/>
              <w:t>0</w:t>
            </w:r>
          </w:p>
        </w:tc>
        <w:tc>
          <w:tcPr>
            <w:tcW w:w="1861" w:type="dxa"/>
            <w:vAlign w:val="top"/>
          </w:tcPr>
          <w:p>
            <w:pPr>
              <w:pStyle w:val="TableText"/>
              <w:ind w:left="700"/>
              <w:spacing w:before="124" w:line="195" w:lineRule="auto"/>
              <w:rPr/>
            </w:pPr>
            <w:r>
              <w:rPr>
                <w:spacing w:val="2"/>
              </w:rPr>
              <w:t>52.95</w:t>
            </w:r>
          </w:p>
        </w:tc>
      </w:tr>
      <w:tr>
        <w:trPr>
          <w:trHeight w:val="428" w:hRule="atLeast"/>
        </w:trPr>
        <w:tc>
          <w:tcPr>
            <w:tcW w:w="1861" w:type="dxa"/>
            <w:vAlign w:val="top"/>
          </w:tcPr>
          <w:p>
            <w:pPr>
              <w:ind w:left="304"/>
              <w:spacing w:before="107" w:line="228" w:lineRule="auto"/>
              <w:rPr>
                <w:rFonts w:ascii="SimSun" w:hAnsi="SimSun" w:eastAsia="SimSun" w:cs="SimSun"/>
                <w:sz w:val="20"/>
                <w:szCs w:val="20"/>
              </w:rPr>
            </w:pPr>
            <w:r>
              <w:rPr>
                <w:rFonts w:ascii="SimSun" w:hAnsi="SimSun" w:eastAsia="SimSun" w:cs="SimSun"/>
                <w:sz w:val="20"/>
                <w:szCs w:val="20"/>
                <w:spacing w:val="8"/>
              </w:rPr>
              <w:t>达产第十一年</w:t>
            </w:r>
          </w:p>
        </w:tc>
        <w:tc>
          <w:tcPr>
            <w:tcW w:w="1859" w:type="dxa"/>
            <w:vAlign w:val="top"/>
          </w:tcPr>
          <w:p>
            <w:pPr>
              <w:pStyle w:val="TableText"/>
              <w:ind w:left="882"/>
              <w:spacing w:before="146" w:line="192" w:lineRule="auto"/>
              <w:rPr/>
            </w:pPr>
            <w:r>
              <w:rPr/>
              <w:t>5</w:t>
            </w:r>
          </w:p>
        </w:tc>
        <w:tc>
          <w:tcPr>
            <w:tcW w:w="1859" w:type="dxa"/>
            <w:vAlign w:val="top"/>
          </w:tcPr>
          <w:p>
            <w:pPr>
              <w:pStyle w:val="TableText"/>
              <w:ind w:left="698"/>
              <w:spacing w:before="143" w:line="195" w:lineRule="auto"/>
              <w:rPr/>
            </w:pPr>
            <w:r>
              <w:rPr>
                <w:spacing w:val="2"/>
              </w:rPr>
              <w:t>52.95</w:t>
            </w:r>
          </w:p>
        </w:tc>
        <w:tc>
          <w:tcPr>
            <w:tcW w:w="1859" w:type="dxa"/>
            <w:vAlign w:val="top"/>
          </w:tcPr>
          <w:p>
            <w:pPr>
              <w:pStyle w:val="TableText"/>
              <w:ind w:left="881"/>
              <w:spacing w:before="143" w:line="195" w:lineRule="auto"/>
              <w:rPr/>
            </w:pPr>
            <w:r>
              <w:rPr/>
              <w:t>0</w:t>
            </w:r>
          </w:p>
        </w:tc>
        <w:tc>
          <w:tcPr>
            <w:tcW w:w="1861" w:type="dxa"/>
            <w:vAlign w:val="top"/>
          </w:tcPr>
          <w:p>
            <w:pPr>
              <w:pStyle w:val="TableText"/>
              <w:ind w:left="700"/>
              <w:spacing w:before="143" w:line="195" w:lineRule="auto"/>
              <w:rPr/>
            </w:pPr>
            <w:r>
              <w:rPr>
                <w:spacing w:val="2"/>
              </w:rPr>
              <w:t>52.95</w:t>
            </w:r>
          </w:p>
        </w:tc>
      </w:tr>
      <w:tr>
        <w:trPr>
          <w:trHeight w:val="438" w:hRule="atLeast"/>
        </w:trPr>
        <w:tc>
          <w:tcPr>
            <w:tcW w:w="1861" w:type="dxa"/>
            <w:vAlign w:val="top"/>
          </w:tcPr>
          <w:p>
            <w:pPr>
              <w:ind w:left="304"/>
              <w:spacing w:before="111" w:line="228" w:lineRule="auto"/>
              <w:rPr>
                <w:rFonts w:ascii="SimSun" w:hAnsi="SimSun" w:eastAsia="SimSun" w:cs="SimSun"/>
                <w:sz w:val="20"/>
                <w:szCs w:val="20"/>
              </w:rPr>
            </w:pPr>
            <w:r>
              <w:rPr>
                <w:rFonts w:ascii="SimSun" w:hAnsi="SimSun" w:eastAsia="SimSun" w:cs="SimSun"/>
                <w:sz w:val="20"/>
                <w:szCs w:val="20"/>
                <w:spacing w:val="8"/>
              </w:rPr>
              <w:t>达产第十二年</w:t>
            </w:r>
          </w:p>
        </w:tc>
        <w:tc>
          <w:tcPr>
            <w:tcW w:w="1859" w:type="dxa"/>
            <w:vAlign w:val="top"/>
          </w:tcPr>
          <w:p>
            <w:pPr>
              <w:pStyle w:val="TableText"/>
              <w:ind w:left="744"/>
              <w:spacing w:before="147" w:line="195" w:lineRule="auto"/>
              <w:rPr/>
            </w:pPr>
            <w:r>
              <w:rPr>
                <w:spacing w:val="3"/>
              </w:rPr>
              <w:t>2.51</w:t>
            </w:r>
          </w:p>
        </w:tc>
        <w:tc>
          <w:tcPr>
            <w:tcW w:w="1859" w:type="dxa"/>
            <w:vAlign w:val="top"/>
          </w:tcPr>
          <w:p>
            <w:pPr>
              <w:pStyle w:val="TableText"/>
              <w:ind w:left="692"/>
              <w:spacing w:before="147" w:line="195" w:lineRule="auto"/>
              <w:rPr/>
            </w:pPr>
            <w:r>
              <w:rPr>
                <w:spacing w:val="3"/>
              </w:rPr>
              <w:t>26.51</w:t>
            </w:r>
          </w:p>
        </w:tc>
        <w:tc>
          <w:tcPr>
            <w:tcW w:w="1859" w:type="dxa"/>
            <w:vAlign w:val="top"/>
          </w:tcPr>
          <w:p>
            <w:pPr>
              <w:pStyle w:val="TableText"/>
              <w:ind w:left="881"/>
              <w:spacing w:before="147" w:line="195" w:lineRule="auto"/>
              <w:rPr/>
            </w:pPr>
            <w:r>
              <w:rPr/>
              <w:t>0</w:t>
            </w:r>
          </w:p>
        </w:tc>
        <w:tc>
          <w:tcPr>
            <w:tcW w:w="1861" w:type="dxa"/>
            <w:vAlign w:val="top"/>
          </w:tcPr>
          <w:p>
            <w:pPr>
              <w:pStyle w:val="TableText"/>
              <w:ind w:left="694"/>
              <w:spacing w:before="147" w:line="195" w:lineRule="auto"/>
              <w:rPr/>
            </w:pPr>
            <w:r>
              <w:rPr>
                <w:spacing w:val="3"/>
              </w:rPr>
              <w:t>26.51</w:t>
            </w:r>
          </w:p>
        </w:tc>
      </w:tr>
      <w:tr>
        <w:trPr>
          <w:trHeight w:val="287" w:hRule="atLeast"/>
        </w:trPr>
        <w:tc>
          <w:tcPr>
            <w:tcW w:w="1861" w:type="dxa"/>
            <w:vAlign w:val="top"/>
          </w:tcPr>
          <w:p>
            <w:pPr>
              <w:ind w:left="726"/>
              <w:spacing w:before="38" w:line="220" w:lineRule="auto"/>
              <w:rPr>
                <w:rFonts w:ascii="SimSun" w:hAnsi="SimSun" w:eastAsia="SimSun" w:cs="SimSun"/>
                <w:sz w:val="20"/>
                <w:szCs w:val="20"/>
              </w:rPr>
            </w:pPr>
            <w:r>
              <w:rPr>
                <w:rFonts w:ascii="SimSun" w:hAnsi="SimSun" w:eastAsia="SimSun" w:cs="SimSun"/>
                <w:sz w:val="20"/>
                <w:szCs w:val="20"/>
                <w:spacing w:val="4"/>
              </w:rPr>
              <w:t>合计</w:t>
            </w:r>
          </w:p>
        </w:tc>
        <w:tc>
          <w:tcPr>
            <w:tcW w:w="1859" w:type="dxa"/>
            <w:vAlign w:val="top"/>
          </w:tcPr>
          <w:p>
            <w:pPr>
              <w:pStyle w:val="TableText"/>
              <w:ind w:left="690"/>
              <w:spacing w:before="74" w:line="195" w:lineRule="auto"/>
              <w:rPr/>
            </w:pPr>
            <w:r>
              <w:rPr>
                <w:spacing w:val="4"/>
              </w:rPr>
              <w:t>47.65</w:t>
            </w:r>
          </w:p>
        </w:tc>
        <w:tc>
          <w:tcPr>
            <w:tcW w:w="1859" w:type="dxa"/>
            <w:vAlign w:val="top"/>
          </w:tcPr>
          <w:p>
            <w:pPr>
              <w:pStyle w:val="TableText"/>
              <w:ind w:left="647"/>
              <w:spacing w:before="74" w:line="195" w:lineRule="auto"/>
              <w:rPr/>
            </w:pPr>
            <w:r>
              <w:rPr>
                <w:spacing w:val="3"/>
              </w:rPr>
              <w:t>608.96</w:t>
            </w:r>
          </w:p>
        </w:tc>
        <w:tc>
          <w:tcPr>
            <w:tcW w:w="1859" w:type="dxa"/>
            <w:vAlign w:val="top"/>
          </w:tcPr>
          <w:p>
            <w:pPr>
              <w:pStyle w:val="TableText"/>
              <w:ind w:left="881"/>
              <w:spacing w:before="74" w:line="195" w:lineRule="auto"/>
              <w:rPr/>
            </w:pPr>
            <w:r>
              <w:rPr/>
              <w:t>0</w:t>
            </w:r>
          </w:p>
        </w:tc>
        <w:tc>
          <w:tcPr>
            <w:tcW w:w="1861" w:type="dxa"/>
            <w:vAlign w:val="top"/>
          </w:tcPr>
          <w:p>
            <w:pPr>
              <w:pStyle w:val="TableText"/>
              <w:ind w:left="649"/>
              <w:spacing w:before="74" w:line="195" w:lineRule="auto"/>
              <w:rPr/>
            </w:pPr>
            <w:r>
              <w:rPr>
                <w:spacing w:val="3"/>
              </w:rPr>
              <w:t>608.96</w:t>
            </w:r>
          </w:p>
        </w:tc>
      </w:tr>
    </w:tbl>
    <w:p>
      <w:pPr>
        <w:pStyle w:val="BodyText"/>
        <w:spacing w:line="252" w:lineRule="auto"/>
        <w:rPr/>
      </w:pPr>
      <w:r/>
    </w:p>
    <w:p>
      <w:pPr>
        <w:pStyle w:val="BodyText"/>
        <w:spacing w:line="252" w:lineRule="auto"/>
        <w:rPr/>
      </w:pPr>
      <w:r/>
    </w:p>
    <w:p>
      <w:pPr>
        <w:ind w:left="504"/>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2"/>
        </w:rPr>
        <w:t>3 </w:t>
      </w:r>
      <w:r>
        <w:rPr>
          <w:rFonts w:ascii="SimSun" w:hAnsi="SimSun" w:eastAsia="SimSun" w:cs="SimSun"/>
          <w:sz w:val="24"/>
          <w:szCs w:val="24"/>
          <w:spacing w:val="-2"/>
        </w:rPr>
        <w:t>采矿设备</w:t>
      </w:r>
    </w:p>
    <w:p>
      <w:pPr>
        <w:ind w:left="509"/>
        <w:spacing w:before="155" w:line="219" w:lineRule="auto"/>
        <w:rPr>
          <w:rFonts w:ascii="SimSun" w:hAnsi="SimSun" w:eastAsia="SimSun" w:cs="SimSun"/>
          <w:sz w:val="24"/>
          <w:szCs w:val="24"/>
        </w:rPr>
      </w:pPr>
      <w:r>
        <w:rPr>
          <w:rFonts w:ascii="SimSun" w:hAnsi="SimSun" w:eastAsia="SimSun" w:cs="SimSun"/>
          <w:sz w:val="24"/>
          <w:szCs w:val="24"/>
          <w:spacing w:val="-1"/>
        </w:rPr>
        <w:t>露天区已正常生产多年，现有设备可以满足生产需要。</w:t>
      </w:r>
    </w:p>
    <w:p>
      <w:pPr>
        <w:ind w:left="498"/>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、地面生产系统</w:t>
      </w:r>
    </w:p>
    <w:p>
      <w:pPr>
        <w:ind w:left="22" w:right="218" w:firstLine="486"/>
        <w:spacing w:before="155" w:line="339" w:lineRule="auto"/>
        <w:rPr>
          <w:rFonts w:ascii="SimSun" w:hAnsi="SimSun" w:eastAsia="SimSun" w:cs="SimSun"/>
          <w:sz w:val="24"/>
          <w:szCs w:val="24"/>
        </w:rPr>
      </w:pPr>
      <w:r>
        <w:rPr>
          <w:rFonts w:ascii="SimSun" w:hAnsi="SimSun" w:eastAsia="SimSun" w:cs="SimSun"/>
          <w:sz w:val="24"/>
          <w:szCs w:val="24"/>
          <w:spacing w:val="-2"/>
        </w:rPr>
        <w:t>露天区现有生产系统的破碎站布置于采掘场北部，露天区生产的煤，在采场由单斗</w:t>
      </w:r>
      <w:r>
        <w:rPr>
          <w:rFonts w:ascii="SimSun" w:hAnsi="SimSun" w:eastAsia="SimSun" w:cs="SimSun"/>
          <w:sz w:val="24"/>
          <w:szCs w:val="24"/>
          <w:spacing w:val="-3"/>
        </w:rPr>
        <w:t>铲采装，由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20t </w:t>
      </w:r>
      <w:r>
        <w:rPr>
          <w:rFonts w:ascii="SimSun" w:hAnsi="SimSun" w:eastAsia="SimSun" w:cs="SimSun"/>
          <w:sz w:val="24"/>
          <w:szCs w:val="24"/>
          <w:spacing w:val="-3"/>
        </w:rPr>
        <w:t>级自卸卡车短距离运输至</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M101 </w:t>
      </w:r>
      <w:r>
        <w:rPr>
          <w:rFonts w:ascii="SimSun" w:hAnsi="SimSun" w:eastAsia="SimSun" w:cs="SimSun"/>
          <w:sz w:val="24"/>
          <w:szCs w:val="24"/>
          <w:spacing w:val="-3"/>
        </w:rPr>
        <w:t>破碎站，原</w:t>
      </w:r>
      <w:r>
        <w:rPr>
          <w:rFonts w:ascii="SimSun" w:hAnsi="SimSun" w:eastAsia="SimSun" w:cs="SimSun"/>
          <w:sz w:val="24"/>
          <w:szCs w:val="24"/>
          <w:spacing w:val="-4"/>
        </w:rPr>
        <w:t>煤粒度</w:t>
      </w:r>
      <w:r>
        <w:rPr>
          <w:rFonts w:ascii="Times New Roman" w:hAnsi="Times New Roman" w:eastAsia="Times New Roman" w:cs="Times New Roman"/>
          <w:sz w:val="24"/>
          <w:szCs w:val="24"/>
          <w:spacing w:val="-4"/>
        </w:rPr>
        <w:t>0</w:t>
      </w:r>
      <w:r>
        <w:rPr>
          <w:rFonts w:ascii="SimSun" w:hAnsi="SimSun" w:eastAsia="SimSun" w:cs="SimSun"/>
          <w:sz w:val="24"/>
          <w:szCs w:val="24"/>
          <w:spacing w:val="-4"/>
        </w:rPr>
        <w:t>～</w:t>
      </w:r>
      <w:r>
        <w:rPr>
          <w:rFonts w:ascii="Times New Roman" w:hAnsi="Times New Roman" w:eastAsia="Times New Roman" w:cs="Times New Roman"/>
          <w:sz w:val="24"/>
          <w:szCs w:val="24"/>
          <w:spacing w:val="-4"/>
        </w:rPr>
        <w:t>1200mm</w:t>
      </w:r>
      <w:r>
        <w:rPr>
          <w:rFonts w:ascii="SimSun" w:hAnsi="SimSun" w:eastAsia="SimSun" w:cs="SimSun"/>
          <w:sz w:val="24"/>
          <w:szCs w:val="24"/>
          <w:spacing w:val="-4"/>
        </w:rPr>
        <w:t>，经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M101</w:t>
      </w:r>
      <w:r>
        <w:rPr>
          <w:rFonts w:ascii="SimSun" w:hAnsi="SimSun" w:eastAsia="SimSun" w:cs="SimSun"/>
          <w:sz w:val="24"/>
          <w:szCs w:val="24"/>
        </w:rPr>
        <w:t>破碎站破碎至</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0</w:t>
      </w:r>
      <w:r>
        <w:rPr>
          <w:rFonts w:ascii="SimSun" w:hAnsi="SimSun" w:eastAsia="SimSun" w:cs="SimSun"/>
          <w:sz w:val="24"/>
          <w:szCs w:val="24"/>
        </w:rPr>
        <w:t>～</w:t>
      </w:r>
      <w:r>
        <w:rPr>
          <w:rFonts w:ascii="Times New Roman" w:hAnsi="Times New Roman" w:eastAsia="Times New Roman" w:cs="Times New Roman"/>
          <w:sz w:val="24"/>
          <w:szCs w:val="24"/>
        </w:rPr>
        <w:t>300mm</w:t>
      </w:r>
      <w:r>
        <w:rPr>
          <w:rFonts w:ascii="SimSun" w:hAnsi="SimSun" w:eastAsia="SimSun" w:cs="SimSun"/>
          <w:sz w:val="24"/>
          <w:szCs w:val="24"/>
        </w:rPr>
        <w:t>后，通过带式输</w:t>
      </w:r>
      <w:r>
        <w:rPr>
          <w:rFonts w:ascii="SimSun" w:hAnsi="SimSun" w:eastAsia="SimSun" w:cs="SimSun"/>
          <w:sz w:val="24"/>
          <w:szCs w:val="24"/>
          <w:spacing w:val="-1"/>
        </w:rPr>
        <w:t>送机转载，原煤经现有原煤输送系统转载运到</w:t>
      </w:r>
      <w:r>
        <w:rPr>
          <w:rFonts w:ascii="SimSun" w:hAnsi="SimSun" w:eastAsia="SimSun" w:cs="SimSun"/>
          <w:sz w:val="24"/>
          <w:szCs w:val="24"/>
        </w:rPr>
        <w:t>风选楼，进入井工矿地面生产系统。露天区地面生</w:t>
      </w:r>
      <w:r>
        <w:rPr>
          <w:rFonts w:ascii="SimSun" w:hAnsi="SimSun" w:eastAsia="SimSun" w:cs="SimSun"/>
          <w:sz w:val="24"/>
          <w:szCs w:val="24"/>
          <w:spacing w:val="-1"/>
        </w:rPr>
        <w:t>产系统主要依托现有。</w:t>
      </w:r>
    </w:p>
    <w:p>
      <w:pPr>
        <w:ind w:left="18"/>
        <w:spacing w:before="28" w:line="222" w:lineRule="auto"/>
        <w:rPr>
          <w:rFonts w:ascii="SimHei" w:hAnsi="SimHei" w:eastAsia="SimHei" w:cs="SimHei"/>
          <w:sz w:val="24"/>
          <w:szCs w:val="24"/>
        </w:rPr>
      </w:pPr>
      <w:r>
        <w:rPr>
          <w:rFonts w:ascii="Times New Roman" w:hAnsi="Times New Roman" w:eastAsia="Times New Roman" w:cs="Times New Roman"/>
          <w:sz w:val="24"/>
          <w:szCs w:val="24"/>
          <w:b/>
          <w:bCs/>
          <w:spacing w:val="-1"/>
        </w:rPr>
        <w:t>3.5.6.3  </w:t>
      </w:r>
      <w:r>
        <w:rPr>
          <w:rFonts w:ascii="SimHei" w:hAnsi="SimHei" w:eastAsia="SimHei" w:cs="SimHei"/>
          <w:sz w:val="24"/>
          <w:szCs w:val="24"/>
          <w:b/>
          <w:bCs/>
          <w:spacing w:val="-1"/>
        </w:rPr>
        <w:t>公用工程</w:t>
      </w:r>
    </w:p>
    <w:p>
      <w:pPr>
        <w:ind w:left="522"/>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、项目给、排水</w:t>
      </w:r>
    </w:p>
    <w:p>
      <w:pPr>
        <w:ind w:left="510"/>
        <w:spacing w:before="157"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SimSun" w:hAnsi="SimSun" w:eastAsia="SimSun" w:cs="SimSun"/>
          <w:sz w:val="24"/>
          <w:szCs w:val="24"/>
          <w:spacing w:val="-4"/>
        </w:rPr>
        <w:t>）给水</w:t>
      </w:r>
    </w:p>
    <w:p>
      <w:pPr>
        <w:ind w:left="23" w:right="218" w:firstLine="480"/>
        <w:spacing w:before="151" w:line="339" w:lineRule="auto"/>
        <w:rPr>
          <w:rFonts w:ascii="SimSun" w:hAnsi="SimSun" w:eastAsia="SimSun" w:cs="SimSun"/>
          <w:sz w:val="24"/>
          <w:szCs w:val="24"/>
        </w:rPr>
      </w:pPr>
      <w:r>
        <w:rPr>
          <w:rFonts w:ascii="SimSun" w:hAnsi="SimSun" w:eastAsia="SimSun" w:cs="SimSun"/>
          <w:sz w:val="24"/>
          <w:szCs w:val="24"/>
          <w:spacing w:val="-2"/>
        </w:rPr>
        <w:t>根据可行性研究报告，改扩建后，白音华四号露天矿井工区及露天区地下涌水总量</w:t>
      </w:r>
      <w:r>
        <w:rPr>
          <w:rFonts w:ascii="SimSun" w:hAnsi="SimSun" w:eastAsia="SimSun" w:cs="SimSun"/>
          <w:sz w:val="24"/>
          <w:szCs w:val="24"/>
          <w:spacing w:val="-1"/>
        </w:rPr>
        <w:t>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11664m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，其中井工区矿井正常涌水量为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2208m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92m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/h</w:t>
      </w:r>
      <w:r>
        <w:rPr>
          <w:rFonts w:ascii="SimSun" w:hAnsi="SimSun" w:eastAsia="SimSun" w:cs="SimSun"/>
          <w:sz w:val="24"/>
          <w:szCs w:val="24"/>
          <w:spacing w:val="7"/>
        </w:rPr>
        <w:t>），</w:t>
      </w:r>
      <w:r>
        <w:rPr>
          <w:rFonts w:ascii="SimSun" w:hAnsi="SimSun" w:eastAsia="SimSun" w:cs="SimSun"/>
          <w:sz w:val="24"/>
          <w:szCs w:val="24"/>
          <w:spacing w:val="-1"/>
        </w:rPr>
        <w:t>露天区矿坑</w:t>
      </w:r>
      <w:r>
        <w:rPr>
          <w:rFonts w:ascii="SimSun" w:hAnsi="SimSun" w:eastAsia="SimSun" w:cs="SimSun"/>
          <w:sz w:val="24"/>
          <w:szCs w:val="24"/>
          <w:spacing w:val="-2"/>
        </w:rPr>
        <w:t>排水量</w:t>
      </w:r>
      <w:r>
        <w:rPr>
          <w:rFonts w:ascii="SimSun" w:hAnsi="SimSun" w:eastAsia="SimSun" w:cs="SimSun"/>
          <w:sz w:val="24"/>
          <w:szCs w:val="24"/>
          <w:spacing w:val="1"/>
        </w:rPr>
        <w:t>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9456m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394m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）。为了合理利用水资源，露天、井工工业场地采用</w:t>
      </w:r>
      <w:r>
        <w:rPr>
          <w:rFonts w:ascii="SimSun" w:hAnsi="SimSun" w:eastAsia="SimSun" w:cs="SimSun"/>
          <w:sz w:val="24"/>
          <w:szCs w:val="24"/>
        </w:rPr>
        <w:t>处理后的矿</w:t>
      </w:r>
      <w:r>
        <w:rPr>
          <w:rFonts w:ascii="SimSun" w:hAnsi="SimSun" w:eastAsia="SimSun" w:cs="SimSun"/>
          <w:sz w:val="24"/>
          <w:szCs w:val="24"/>
          <w:spacing w:val="-2"/>
        </w:rPr>
        <w:t>井（坑）水作为四号露天矿绿化、抑尘、生产、消防、冲洗等用水水源，生活用水采用</w:t>
      </w:r>
      <w:r>
        <w:rPr>
          <w:rFonts w:ascii="SimSun" w:hAnsi="SimSun" w:eastAsia="SimSun" w:cs="SimSun"/>
          <w:sz w:val="24"/>
          <w:szCs w:val="24"/>
          <w:spacing w:val="-1"/>
        </w:rPr>
        <w:t>深度处理后的矿井（坑）水。剩余矿井（坑）水排至电厂使用。</w:t>
      </w:r>
    </w:p>
    <w:p>
      <w:pPr>
        <w:ind w:left="510"/>
        <w:spacing w:before="1"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SimSun" w:hAnsi="SimSun" w:eastAsia="SimSun" w:cs="SimSun"/>
          <w:sz w:val="24"/>
          <w:szCs w:val="24"/>
          <w:spacing w:val="-4"/>
        </w:rPr>
        <w:t>）排水</w:t>
      </w:r>
    </w:p>
    <w:p>
      <w:pPr>
        <w:ind w:left="538"/>
        <w:spacing w:before="154" w:line="219" w:lineRule="auto"/>
        <w:rPr>
          <w:rFonts w:ascii="SimSun" w:hAnsi="SimSun" w:eastAsia="SimSun" w:cs="SimSun"/>
          <w:sz w:val="24"/>
          <w:szCs w:val="24"/>
        </w:rPr>
      </w:pPr>
      <w:r>
        <w:rPr>
          <w:rFonts w:ascii="SimSun" w:hAnsi="SimSun" w:eastAsia="SimSun" w:cs="SimSun"/>
          <w:sz w:val="24"/>
          <w:szCs w:val="24"/>
          <w:spacing w:val="-2"/>
        </w:rPr>
        <w:t>白音华四号矿污废水主要为矿井（坑）水、生活污水、其他工业废水。</w:t>
      </w:r>
    </w:p>
    <w:p>
      <w:pPr>
        <w:ind w:left="522"/>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SimSun" w:hAnsi="SimSun" w:eastAsia="SimSun" w:cs="SimSun"/>
          <w:sz w:val="24"/>
          <w:szCs w:val="24"/>
          <w:spacing w:val="-2"/>
        </w:rPr>
        <w:t>）矿井（坑）水</w:t>
      </w:r>
    </w:p>
    <w:p>
      <w:pPr>
        <w:ind w:left="23" w:right="218" w:firstLine="480"/>
        <w:spacing w:before="160" w:line="338" w:lineRule="auto"/>
        <w:rPr>
          <w:rFonts w:ascii="SimSun" w:hAnsi="SimSun" w:eastAsia="SimSun" w:cs="SimSun"/>
          <w:sz w:val="24"/>
          <w:szCs w:val="24"/>
        </w:rPr>
      </w:pPr>
      <w:r>
        <w:rPr>
          <w:rFonts w:ascii="SimSun" w:hAnsi="SimSun" w:eastAsia="SimSun" w:cs="SimSun"/>
          <w:sz w:val="24"/>
          <w:szCs w:val="24"/>
          <w:spacing w:val="-1"/>
        </w:rPr>
        <w:t>运营期矿井（坑）水总量为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1"/>
        </w:rPr>
        <w:t>11664m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。矿井（坑）水经集水坑收集后排至地面矿</w:t>
      </w:r>
      <w:r>
        <w:rPr>
          <w:rFonts w:ascii="SimSun" w:hAnsi="SimSun" w:eastAsia="SimSun" w:cs="SimSun"/>
          <w:sz w:val="24"/>
          <w:szCs w:val="24"/>
          <w:spacing w:val="-3"/>
        </w:rPr>
        <w:t>井（坑）水处理站，出水水质满足《煤炭工业污染物排放标准》（</w:t>
      </w:r>
      <w:r>
        <w:rPr>
          <w:rFonts w:ascii="Times New Roman" w:hAnsi="Times New Roman" w:eastAsia="Times New Roman" w:cs="Times New Roman"/>
          <w:sz w:val="24"/>
          <w:szCs w:val="24"/>
          <w:spacing w:val="-3"/>
        </w:rPr>
        <w:t>GB20426-2006</w:t>
      </w:r>
      <w:r>
        <w:rPr>
          <w:rFonts w:ascii="SimSun" w:hAnsi="SimSun" w:eastAsia="SimSun" w:cs="SimSun"/>
          <w:sz w:val="24"/>
          <w:szCs w:val="24"/>
          <w:spacing w:val="7"/>
        </w:rPr>
        <w:t>），</w:t>
      </w:r>
      <w:r>
        <w:rPr>
          <w:rFonts w:ascii="SimSun" w:hAnsi="SimSun" w:eastAsia="SimSun" w:cs="SimSun"/>
          <w:sz w:val="24"/>
          <w:szCs w:val="24"/>
          <w:spacing w:val="-3"/>
        </w:rPr>
        <w:t>同</w:t>
      </w:r>
      <w:r>
        <w:rPr>
          <w:rFonts w:ascii="SimSun" w:hAnsi="SimSun" w:eastAsia="SimSun" w:cs="SimSun"/>
          <w:sz w:val="24"/>
          <w:szCs w:val="24"/>
          <w:spacing w:val="-2"/>
        </w:rPr>
        <w:t>时满足《城市污水再生利用城市杂用水水质》（</w:t>
      </w:r>
      <w:r>
        <w:rPr>
          <w:rFonts w:ascii="Times New Roman" w:hAnsi="Times New Roman" w:eastAsia="Times New Roman" w:cs="Times New Roman"/>
          <w:sz w:val="24"/>
          <w:szCs w:val="24"/>
          <w:spacing w:val="-2"/>
        </w:rPr>
        <w:t>GB/T18920-2020</w:t>
      </w:r>
      <w:r>
        <w:rPr>
          <w:rFonts w:ascii="SimSun" w:hAnsi="SimSun" w:eastAsia="SimSun" w:cs="SimSun"/>
          <w:sz w:val="24"/>
          <w:szCs w:val="24"/>
          <w:spacing w:val="-2"/>
        </w:rPr>
        <w:t>）标准限值要求。部分</w:t>
      </w:r>
      <w:r>
        <w:rPr>
          <w:rFonts w:ascii="SimSun" w:hAnsi="SimSun" w:eastAsia="SimSun" w:cs="SimSun"/>
          <w:sz w:val="24"/>
          <w:szCs w:val="24"/>
          <w:spacing w:val="-2"/>
        </w:rPr>
        <w:t>用于生产、生活、冲洗、消防用水等，部分矿井（坑）水进入矿坑水深度处理站（位于</w:t>
      </w:r>
      <w:r>
        <w:rPr>
          <w:rFonts w:ascii="SimSun" w:hAnsi="SimSun" w:eastAsia="SimSun" w:cs="SimSun"/>
          <w:sz w:val="24"/>
          <w:szCs w:val="24"/>
          <w:spacing w:val="-2"/>
        </w:rPr>
        <w:t>井工区工业场地内</w:t>
      </w:r>
      <w:r>
        <w:rPr>
          <w:rFonts w:ascii="SimSun" w:hAnsi="SimSun" w:eastAsia="SimSun" w:cs="SimSun"/>
          <w:sz w:val="24"/>
          <w:szCs w:val="24"/>
          <w:spacing w:val="6"/>
        </w:rPr>
        <w:t>），</w:t>
      </w:r>
      <w:r>
        <w:rPr>
          <w:rFonts w:ascii="SimSun" w:hAnsi="SimSun" w:eastAsia="SimSun" w:cs="SimSun"/>
          <w:sz w:val="24"/>
          <w:szCs w:val="24"/>
          <w:spacing w:val="-2"/>
        </w:rPr>
        <w:t>深度处理后用于井工区生产、生活用水。剩余矿井（坑）水回用</w:t>
      </w:r>
      <w:r>
        <w:rPr>
          <w:rFonts w:ascii="SimSun" w:hAnsi="SimSun" w:eastAsia="SimSun" w:cs="SimSun"/>
          <w:sz w:val="24"/>
          <w:szCs w:val="24"/>
          <w:spacing w:val="-1"/>
        </w:rPr>
        <w:t>于金山电厂生产用水，不外排。</w:t>
      </w:r>
    </w:p>
    <w:p>
      <w:pPr>
        <w:ind w:left="499"/>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）生活污水</w:t>
      </w:r>
    </w:p>
    <w:p>
      <w:pPr>
        <w:spacing w:line="219" w:lineRule="auto"/>
        <w:sectPr>
          <w:headerReference w:type="default" r:id="rId217"/>
          <w:footerReference w:type="default" r:id="rId218"/>
          <w:pgSz w:w="11906" w:h="16838"/>
          <w:pgMar w:top="1170" w:right="1199" w:bottom="1080" w:left="1401" w:header="837" w:footer="918" w:gutter="0"/>
        </w:sectPr>
        <w:rPr>
          <w:rFonts w:ascii="SimSun" w:hAnsi="SimSun" w:eastAsia="SimSun" w:cs="SimSun"/>
          <w:sz w:val="24"/>
          <w:szCs w:val="24"/>
        </w:rPr>
      </w:pPr>
    </w:p>
    <w:p>
      <w:pPr>
        <w:pStyle w:val="BodyText"/>
        <w:spacing w:line="309" w:lineRule="auto"/>
        <w:rPr/>
      </w:pPr>
      <w:r/>
    </w:p>
    <w:p>
      <w:pPr>
        <w:ind w:left="121" w:firstLine="512"/>
        <w:spacing w:before="78" w:line="340" w:lineRule="auto"/>
        <w:tabs>
          <w:tab w:val="left" w:pos="9385"/>
        </w:tabs>
        <w:jc w:val="both"/>
        <w:rPr>
          <w:rFonts w:ascii="SimSun" w:hAnsi="SimSun" w:eastAsia="SimSun" w:cs="SimSun"/>
          <w:sz w:val="24"/>
          <w:szCs w:val="24"/>
        </w:rPr>
      </w:pPr>
      <w:r>
        <w:rPr>
          <w:rFonts w:ascii="SimSun" w:hAnsi="SimSun" w:eastAsia="SimSun" w:cs="SimSun"/>
          <w:sz w:val="24"/>
          <w:szCs w:val="24"/>
          <w:spacing w:val="-3"/>
        </w:rPr>
        <w:t>白音华四号露天矿（露天区）生活污水主要来源于露天区工业场地。其污水产生量</w:t>
      </w:r>
      <w:r>
        <w:rPr>
          <w:rFonts w:ascii="SimSun" w:hAnsi="SimSun" w:eastAsia="SimSun" w:cs="SimSun"/>
          <w:sz w:val="24"/>
          <w:szCs w:val="24"/>
        </w:rPr>
        <w:t>分别为</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422m</w:t>
      </w:r>
      <w:r>
        <w:rPr>
          <w:rFonts w:ascii="Times New Roman" w:hAnsi="Times New Roman" w:eastAsia="Times New Roman" w:cs="Times New Roman"/>
          <w:sz w:val="15"/>
          <w:szCs w:val="15"/>
          <w:position w:val="8"/>
        </w:rPr>
        <w:t>3</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。生活污水经生活污水处理站处</w:t>
      </w:r>
      <w:r>
        <w:rPr>
          <w:rFonts w:ascii="SimSun" w:hAnsi="SimSun" w:eastAsia="SimSun" w:cs="SimSun"/>
          <w:sz w:val="24"/>
          <w:szCs w:val="24"/>
          <w:spacing w:val="-1"/>
        </w:rPr>
        <w:t>理达标后用于矿区绿化、浇洒道路、汽</w:t>
      </w:r>
      <w:r>
        <w:rPr>
          <w:rFonts w:ascii="SimSun" w:hAnsi="SimSun" w:eastAsia="SimSun" w:cs="SimSun"/>
          <w:sz w:val="24"/>
          <w:szCs w:val="24"/>
          <w:spacing w:val="-5"/>
        </w:rPr>
        <w:t>车冲洗水等及金山电厂道路浇洒用水。项目采暖期与非采暖期用水量见</w:t>
      </w:r>
      <w:r>
        <w:rPr>
          <w:rFonts w:ascii="SimSun" w:hAnsi="SimSun" w:eastAsia="SimSun" w:cs="SimSun"/>
          <w:sz w:val="24"/>
          <w:szCs w:val="24"/>
          <w:spacing w:val="-6"/>
        </w:rPr>
        <w:t>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3-5-13</w:t>
      </w:r>
      <w:r>
        <w:rPr>
          <w:rFonts w:ascii="SimSun" w:hAnsi="SimSun" w:eastAsia="SimSun" w:cs="SimSun"/>
          <w:sz w:val="24"/>
          <w:szCs w:val="24"/>
          <w:spacing w:val="-6"/>
        </w:rPr>
        <w:t>、</w:t>
      </w:r>
      <w:r>
        <w:rPr>
          <w:rFonts w:ascii="Times New Roman" w:hAnsi="Times New Roman" w:eastAsia="Times New Roman" w:cs="Times New Roman"/>
          <w:sz w:val="24"/>
          <w:szCs w:val="24"/>
          <w:spacing w:val="-6"/>
        </w:rPr>
        <w:t>3-5-14</w:t>
      </w:r>
      <w:r>
        <w:rPr>
          <w:rFonts w:ascii="SimSun" w:hAnsi="SimSun" w:eastAsia="SimSun" w:cs="SimSun"/>
          <w:sz w:val="24"/>
          <w:szCs w:val="24"/>
          <w:spacing w:val="-6"/>
        </w:rPr>
        <w:t>。</w:t>
      </w:r>
      <w:r>
        <w:rPr>
          <w:rFonts w:ascii="SimSun" w:hAnsi="SimSun" w:eastAsia="SimSun" w:cs="SimSun"/>
          <w:sz w:val="24"/>
          <w:szCs w:val="24"/>
          <w:spacing w:val="-3"/>
        </w:rPr>
        <w:t>水量平衡见图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3-5-5</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3-5-6</w:t>
      </w:r>
      <w:r>
        <w:rPr>
          <w:rFonts w:ascii="SimSun" w:hAnsi="SimSun" w:eastAsia="SimSun" w:cs="SimSun"/>
          <w:sz w:val="24"/>
          <w:szCs w:val="24"/>
          <w:spacing w:val="-3"/>
        </w:rPr>
        <w:t>。</w:t>
      </w:r>
    </w:p>
    <w:p>
      <w:pPr>
        <w:ind w:left="3694"/>
        <w:spacing w:before="123" w:line="221" w:lineRule="auto"/>
        <w:rPr>
          <w:rFonts w:ascii="SimHei" w:hAnsi="SimHei" w:eastAsia="SimHei" w:cs="SimHei"/>
          <w:sz w:val="24"/>
          <w:szCs w:val="24"/>
        </w:rPr>
      </w:pPr>
      <w:r>
        <w:rPr>
          <w:rFonts w:ascii="SimHei" w:hAnsi="SimHei" w:eastAsia="SimHei" w:cs="SimHei"/>
          <w:sz w:val="24"/>
          <w:szCs w:val="24"/>
          <w:spacing w:val="-1"/>
        </w:rPr>
        <w:t>水量平衡表（采暖期）</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2"/>
        </w:rPr>
        <w:t>3-5-13</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34"/>
        <w:gridCol w:w="1384"/>
        <w:gridCol w:w="967"/>
        <w:gridCol w:w="1345"/>
        <w:gridCol w:w="998"/>
        <w:gridCol w:w="1010"/>
        <w:gridCol w:w="983"/>
        <w:gridCol w:w="1569"/>
      </w:tblGrid>
      <w:tr>
        <w:trPr>
          <w:trHeight w:val="477" w:hRule="atLeast"/>
        </w:trPr>
        <w:tc>
          <w:tcPr>
            <w:tcW w:w="1034" w:type="dxa"/>
            <w:vAlign w:val="top"/>
          </w:tcPr>
          <w:p>
            <w:pPr>
              <w:ind w:left="339"/>
              <w:spacing w:before="144" w:line="221" w:lineRule="auto"/>
              <w:rPr>
                <w:rFonts w:ascii="SimSun" w:hAnsi="SimSun" w:eastAsia="SimSun" w:cs="SimSun"/>
                <w:sz w:val="18"/>
                <w:szCs w:val="18"/>
              </w:rPr>
            </w:pPr>
            <w:r>
              <w:rPr>
                <w:rFonts w:ascii="SimSun" w:hAnsi="SimSun" w:eastAsia="SimSun" w:cs="SimSun"/>
                <w:sz w:val="18"/>
                <w:szCs w:val="18"/>
                <w:spacing w:val="-4"/>
              </w:rPr>
              <w:t>序号</w:t>
            </w:r>
          </w:p>
        </w:tc>
        <w:tc>
          <w:tcPr>
            <w:tcW w:w="1384" w:type="dxa"/>
            <w:vAlign w:val="top"/>
          </w:tcPr>
          <w:p>
            <w:pPr>
              <w:ind w:left="335"/>
              <w:spacing w:before="145" w:line="219" w:lineRule="auto"/>
              <w:rPr>
                <w:rFonts w:ascii="SimSun" w:hAnsi="SimSun" w:eastAsia="SimSun" w:cs="SimSun"/>
                <w:sz w:val="18"/>
                <w:szCs w:val="18"/>
              </w:rPr>
            </w:pPr>
            <w:r>
              <w:rPr>
                <w:rFonts w:ascii="SimSun" w:hAnsi="SimSun" w:eastAsia="SimSun" w:cs="SimSun"/>
                <w:sz w:val="18"/>
                <w:szCs w:val="18"/>
                <w:spacing w:val="-3"/>
              </w:rPr>
              <w:t>用水项目</w:t>
            </w:r>
          </w:p>
        </w:tc>
        <w:tc>
          <w:tcPr>
            <w:tcW w:w="967" w:type="dxa"/>
            <w:vAlign w:val="top"/>
          </w:tcPr>
          <w:p>
            <w:pPr>
              <w:ind w:left="308"/>
              <w:spacing w:before="145" w:line="219" w:lineRule="auto"/>
              <w:rPr>
                <w:rFonts w:ascii="SimSun" w:hAnsi="SimSun" w:eastAsia="SimSun" w:cs="SimSun"/>
                <w:sz w:val="18"/>
                <w:szCs w:val="18"/>
              </w:rPr>
            </w:pPr>
            <w:r>
              <w:rPr>
                <w:rFonts w:ascii="SimSun" w:hAnsi="SimSun" w:eastAsia="SimSun" w:cs="SimSun"/>
                <w:sz w:val="18"/>
                <w:szCs w:val="18"/>
                <w:spacing w:val="-4"/>
              </w:rPr>
              <w:t>规模</w:t>
            </w:r>
          </w:p>
        </w:tc>
        <w:tc>
          <w:tcPr>
            <w:tcW w:w="1345" w:type="dxa"/>
            <w:vAlign w:val="top"/>
          </w:tcPr>
          <w:p>
            <w:pPr>
              <w:ind w:left="316"/>
              <w:spacing w:before="145" w:line="219" w:lineRule="auto"/>
              <w:rPr>
                <w:rFonts w:ascii="SimSun" w:hAnsi="SimSun" w:eastAsia="SimSun" w:cs="SimSun"/>
                <w:sz w:val="18"/>
                <w:szCs w:val="18"/>
              </w:rPr>
            </w:pPr>
            <w:r>
              <w:rPr>
                <w:rFonts w:ascii="SimSun" w:hAnsi="SimSun" w:eastAsia="SimSun" w:cs="SimSun"/>
                <w:sz w:val="18"/>
                <w:szCs w:val="18"/>
                <w:spacing w:val="-3"/>
              </w:rPr>
              <w:t>用水定额</w:t>
            </w:r>
          </w:p>
        </w:tc>
        <w:tc>
          <w:tcPr>
            <w:tcW w:w="998" w:type="dxa"/>
            <w:vAlign w:val="top"/>
          </w:tcPr>
          <w:p>
            <w:pPr>
              <w:pStyle w:val="TableText"/>
              <w:ind w:left="158" w:right="159" w:firstLine="73"/>
              <w:spacing w:before="30" w:line="224" w:lineRule="auto"/>
              <w:rPr>
                <w:rFonts w:ascii="SimSun" w:hAnsi="SimSun" w:eastAsia="SimSun" w:cs="SimSun"/>
                <w:sz w:val="18"/>
                <w:szCs w:val="18"/>
              </w:rPr>
            </w:pPr>
            <w:r>
              <w:rPr>
                <w:rFonts w:ascii="SimSun" w:hAnsi="SimSun" w:eastAsia="SimSun" w:cs="SimSun"/>
                <w:sz w:val="18"/>
                <w:szCs w:val="18"/>
                <w:spacing w:val="-3"/>
              </w:rPr>
              <w:t>用水量</w:t>
            </w:r>
            <w:r>
              <w:rPr>
                <w:rFonts w:ascii="SimSun" w:hAnsi="SimSun" w:eastAsia="SimSun" w:cs="SimSun"/>
                <w:sz w:val="18"/>
                <w:szCs w:val="18"/>
                <w:spacing w:val="-4"/>
              </w:rPr>
              <w:t>（</w:t>
            </w:r>
            <w:r>
              <w:rPr>
                <w:sz w:val="18"/>
                <w:szCs w:val="18"/>
                <w:spacing w:val="-4"/>
              </w:rPr>
              <w:t>m</w:t>
            </w:r>
            <w:r>
              <w:rPr>
                <w:sz w:val="11"/>
                <w:szCs w:val="11"/>
                <w:spacing w:val="-4"/>
                <w:position w:val="5"/>
              </w:rPr>
              <w:t>3</w:t>
            </w:r>
            <w:r>
              <w:rPr>
                <w:sz w:val="18"/>
                <w:szCs w:val="18"/>
                <w:spacing w:val="-4"/>
              </w:rPr>
              <w:t>/d</w:t>
            </w:r>
            <w:r>
              <w:rPr>
                <w:rFonts w:ascii="SimSun" w:hAnsi="SimSun" w:eastAsia="SimSun" w:cs="SimSun"/>
                <w:sz w:val="18"/>
                <w:szCs w:val="18"/>
                <w:spacing w:val="-4"/>
              </w:rPr>
              <w:t>）</w:t>
            </w:r>
          </w:p>
        </w:tc>
        <w:tc>
          <w:tcPr>
            <w:tcW w:w="1010" w:type="dxa"/>
            <w:vAlign w:val="top"/>
          </w:tcPr>
          <w:p>
            <w:pPr>
              <w:pStyle w:val="TableText"/>
              <w:ind w:left="329" w:right="116" w:hanging="203"/>
              <w:spacing w:before="30" w:line="224" w:lineRule="auto"/>
              <w:rPr>
                <w:rFonts w:ascii="SimSun" w:hAnsi="SimSun" w:eastAsia="SimSun" w:cs="SimSun"/>
                <w:sz w:val="18"/>
                <w:szCs w:val="18"/>
              </w:rPr>
            </w:pPr>
            <w:r>
              <w:rPr>
                <w:rFonts w:ascii="SimSun" w:hAnsi="SimSun" w:eastAsia="SimSun" w:cs="SimSun"/>
                <w:sz w:val="18"/>
                <w:szCs w:val="18"/>
                <w:spacing w:val="-2"/>
              </w:rPr>
              <w:t>折算系数</w:t>
            </w:r>
            <w:r>
              <w:rPr>
                <w:sz w:val="18"/>
                <w:szCs w:val="18"/>
                <w:spacing w:val="-2"/>
              </w:rPr>
              <w:t>/</w:t>
            </w:r>
            <w:r>
              <w:rPr>
                <w:rFonts w:ascii="SimSun" w:hAnsi="SimSun" w:eastAsia="SimSun" w:cs="SimSun"/>
                <w:sz w:val="18"/>
                <w:szCs w:val="18"/>
                <w:spacing w:val="-4"/>
              </w:rPr>
              <w:t>频次</w:t>
            </w:r>
          </w:p>
        </w:tc>
        <w:tc>
          <w:tcPr>
            <w:tcW w:w="983" w:type="dxa"/>
            <w:vAlign w:val="top"/>
          </w:tcPr>
          <w:p>
            <w:pPr>
              <w:pStyle w:val="TableText"/>
              <w:ind w:left="152" w:right="151" w:firstLine="74"/>
              <w:spacing w:before="30" w:line="224" w:lineRule="auto"/>
              <w:rPr>
                <w:rFonts w:ascii="SimSun" w:hAnsi="SimSun" w:eastAsia="SimSun" w:cs="SimSun"/>
                <w:sz w:val="18"/>
                <w:szCs w:val="18"/>
              </w:rPr>
            </w:pPr>
            <w:r>
              <w:rPr>
                <w:rFonts w:ascii="SimSun" w:hAnsi="SimSun" w:eastAsia="SimSun" w:cs="SimSun"/>
                <w:sz w:val="18"/>
                <w:szCs w:val="18"/>
                <w:spacing w:val="-3"/>
              </w:rPr>
              <w:t>排水量</w:t>
            </w:r>
            <w:r>
              <w:rPr>
                <w:rFonts w:ascii="SimSun" w:hAnsi="SimSun" w:eastAsia="SimSun" w:cs="SimSun"/>
                <w:sz w:val="18"/>
                <w:szCs w:val="18"/>
                <w:spacing w:val="-4"/>
              </w:rPr>
              <w:t>（</w:t>
            </w:r>
            <w:r>
              <w:rPr>
                <w:sz w:val="18"/>
                <w:szCs w:val="18"/>
                <w:spacing w:val="-4"/>
              </w:rPr>
              <w:t>m</w:t>
            </w:r>
            <w:r>
              <w:rPr>
                <w:sz w:val="11"/>
                <w:szCs w:val="11"/>
                <w:spacing w:val="-4"/>
                <w:position w:val="5"/>
              </w:rPr>
              <w:t>3</w:t>
            </w:r>
            <w:r>
              <w:rPr>
                <w:sz w:val="18"/>
                <w:szCs w:val="18"/>
                <w:spacing w:val="-4"/>
              </w:rPr>
              <w:t>/d</w:t>
            </w:r>
            <w:r>
              <w:rPr>
                <w:rFonts w:ascii="SimSun" w:hAnsi="SimSun" w:eastAsia="SimSun" w:cs="SimSun"/>
                <w:sz w:val="18"/>
                <w:szCs w:val="18"/>
                <w:spacing w:val="-4"/>
              </w:rPr>
              <w:t>）</w:t>
            </w:r>
          </w:p>
        </w:tc>
        <w:tc>
          <w:tcPr>
            <w:tcW w:w="1569" w:type="dxa"/>
            <w:vAlign w:val="top"/>
          </w:tcPr>
          <w:p>
            <w:pPr>
              <w:ind w:left="611"/>
              <w:spacing w:before="144" w:line="221" w:lineRule="auto"/>
              <w:rPr>
                <w:rFonts w:ascii="SimSun" w:hAnsi="SimSun" w:eastAsia="SimSun" w:cs="SimSun"/>
                <w:sz w:val="18"/>
                <w:szCs w:val="18"/>
              </w:rPr>
            </w:pPr>
            <w:r>
              <w:rPr>
                <w:rFonts w:ascii="SimSun" w:hAnsi="SimSun" w:eastAsia="SimSun" w:cs="SimSun"/>
                <w:sz w:val="18"/>
                <w:szCs w:val="18"/>
                <w:spacing w:val="-5"/>
              </w:rPr>
              <w:t>备注</w:t>
            </w:r>
          </w:p>
        </w:tc>
      </w:tr>
      <w:tr>
        <w:trPr>
          <w:trHeight w:val="237" w:hRule="atLeast"/>
        </w:trPr>
        <w:tc>
          <w:tcPr>
            <w:tcW w:w="1034" w:type="dxa"/>
            <w:vAlign w:val="top"/>
          </w:tcPr>
          <w:p>
            <w:pPr>
              <w:ind w:left="434"/>
              <w:spacing w:before="93" w:line="133" w:lineRule="exact"/>
              <w:rPr>
                <w:rFonts w:ascii="SimSun" w:hAnsi="SimSun" w:eastAsia="SimSun" w:cs="SimSun"/>
                <w:sz w:val="18"/>
                <w:szCs w:val="18"/>
              </w:rPr>
            </w:pPr>
            <w:r>
              <w:rPr>
                <w:rFonts w:ascii="SimSun" w:hAnsi="SimSun" w:eastAsia="SimSun" w:cs="SimSun"/>
                <w:sz w:val="18"/>
                <w:szCs w:val="18"/>
                <w:position w:val="-4"/>
              </w:rPr>
              <w:t>一</w:t>
            </w:r>
          </w:p>
        </w:tc>
        <w:tc>
          <w:tcPr>
            <w:tcW w:w="1384" w:type="dxa"/>
            <w:vAlign w:val="top"/>
            <w:tcBorders>
              <w:right w:val="nil"/>
            </w:tcBorders>
          </w:tcPr>
          <w:p>
            <w:pPr>
              <w:spacing w:line="226" w:lineRule="exact"/>
              <w:rPr>
                <w:rFonts w:ascii="Arial"/>
                <w:sz w:val="19"/>
              </w:rPr>
            </w:pPr>
            <w:r/>
          </w:p>
        </w:tc>
        <w:tc>
          <w:tcPr>
            <w:tcW w:w="967" w:type="dxa"/>
            <w:vAlign w:val="top"/>
            <w:tcBorders>
              <w:left w:val="nil"/>
              <w:right w:val="nil"/>
            </w:tcBorders>
          </w:tcPr>
          <w:p>
            <w:pPr>
              <w:spacing w:line="226" w:lineRule="exact"/>
              <w:rPr>
                <w:rFonts w:ascii="Arial"/>
                <w:sz w:val="19"/>
              </w:rPr>
            </w:pPr>
            <w:r/>
          </w:p>
        </w:tc>
        <w:tc>
          <w:tcPr>
            <w:tcW w:w="1345" w:type="dxa"/>
            <w:vAlign w:val="top"/>
            <w:tcBorders>
              <w:left w:val="nil"/>
              <w:right w:val="nil"/>
            </w:tcBorders>
          </w:tcPr>
          <w:p>
            <w:pPr>
              <w:spacing w:line="226" w:lineRule="exact"/>
              <w:rPr>
                <w:rFonts w:ascii="Arial"/>
                <w:sz w:val="19"/>
              </w:rPr>
            </w:pPr>
            <w:r/>
          </w:p>
        </w:tc>
        <w:tc>
          <w:tcPr>
            <w:tcW w:w="998" w:type="dxa"/>
            <w:vAlign w:val="top"/>
            <w:tcBorders>
              <w:left w:val="nil"/>
              <w:right w:val="nil"/>
            </w:tcBorders>
          </w:tcPr>
          <w:p>
            <w:pPr>
              <w:ind w:left="78"/>
              <w:spacing w:before="25" w:line="207" w:lineRule="auto"/>
              <w:rPr>
                <w:rFonts w:ascii="SimSun" w:hAnsi="SimSun" w:eastAsia="SimSun" w:cs="SimSun"/>
                <w:sz w:val="18"/>
                <w:szCs w:val="18"/>
              </w:rPr>
            </w:pPr>
            <w:r>
              <w:rPr>
                <w:rFonts w:ascii="SimSun" w:hAnsi="SimSun" w:eastAsia="SimSun" w:cs="SimSun"/>
                <w:sz w:val="18"/>
                <w:szCs w:val="18"/>
                <w:spacing w:val="-3"/>
              </w:rPr>
              <w:t>生活用水</w:t>
            </w:r>
          </w:p>
        </w:tc>
        <w:tc>
          <w:tcPr>
            <w:tcW w:w="1010" w:type="dxa"/>
            <w:vAlign w:val="top"/>
            <w:tcBorders>
              <w:left w:val="nil"/>
              <w:right w:val="nil"/>
            </w:tcBorders>
          </w:tcPr>
          <w:p>
            <w:pPr>
              <w:spacing w:line="226" w:lineRule="exact"/>
              <w:rPr>
                <w:rFonts w:ascii="Arial"/>
                <w:sz w:val="19"/>
              </w:rPr>
            </w:pPr>
            <w:r/>
          </w:p>
        </w:tc>
        <w:tc>
          <w:tcPr>
            <w:tcW w:w="983" w:type="dxa"/>
            <w:vAlign w:val="top"/>
            <w:tcBorders>
              <w:left w:val="nil"/>
              <w:right w:val="nil"/>
            </w:tcBorders>
          </w:tcPr>
          <w:p>
            <w:pPr>
              <w:spacing w:line="226" w:lineRule="exact"/>
              <w:rPr>
                <w:rFonts w:ascii="Arial"/>
                <w:sz w:val="19"/>
              </w:rPr>
            </w:pPr>
            <w:r/>
          </w:p>
        </w:tc>
        <w:tc>
          <w:tcPr>
            <w:tcW w:w="1569" w:type="dxa"/>
            <w:vAlign w:val="top"/>
            <w:tcBorders>
              <w:left w:val="nil"/>
            </w:tcBorders>
          </w:tcPr>
          <w:p>
            <w:pPr>
              <w:spacing w:line="226" w:lineRule="exact"/>
              <w:rPr>
                <w:rFonts w:ascii="Arial"/>
                <w:sz w:val="19"/>
              </w:rPr>
            </w:pPr>
            <w:r/>
          </w:p>
        </w:tc>
      </w:tr>
      <w:tr>
        <w:trPr>
          <w:trHeight w:val="240" w:hRule="atLeast"/>
        </w:trPr>
        <w:tc>
          <w:tcPr>
            <w:tcW w:w="1034" w:type="dxa"/>
            <w:vAlign w:val="top"/>
            <w:vMerge w:val="restart"/>
            <w:tcBorders>
              <w:bottom w:val="nil"/>
            </w:tcBorders>
          </w:tcPr>
          <w:p>
            <w:pPr>
              <w:spacing w:line="287" w:lineRule="auto"/>
              <w:rPr>
                <w:rFonts w:ascii="Arial"/>
                <w:sz w:val="21"/>
              </w:rPr>
            </w:pPr>
            <w:r/>
          </w:p>
          <w:p>
            <w:pPr>
              <w:spacing w:line="288" w:lineRule="auto"/>
              <w:rPr>
                <w:rFonts w:ascii="Arial"/>
                <w:sz w:val="21"/>
              </w:rPr>
            </w:pPr>
            <w:r/>
          </w:p>
          <w:p>
            <w:pPr>
              <w:ind w:left="250" w:right="155" w:hanging="86"/>
              <w:spacing w:before="58" w:line="244" w:lineRule="auto"/>
              <w:rPr>
                <w:rFonts w:ascii="SimSun" w:hAnsi="SimSun" w:eastAsia="SimSun" w:cs="SimSun"/>
                <w:sz w:val="18"/>
                <w:szCs w:val="18"/>
              </w:rPr>
            </w:pPr>
            <w:r>
              <w:rPr>
                <w:rFonts w:ascii="SimSun" w:hAnsi="SimSun" w:eastAsia="SimSun" w:cs="SimSun"/>
                <w:sz w:val="18"/>
                <w:szCs w:val="18"/>
                <w:spacing w:val="-3"/>
              </w:rPr>
              <w:t>露天区工</w:t>
            </w:r>
            <w:r>
              <w:rPr>
                <w:rFonts w:ascii="SimSun" w:hAnsi="SimSun" w:eastAsia="SimSun" w:cs="SimSun"/>
                <w:sz w:val="18"/>
                <w:szCs w:val="18"/>
                <w:spacing w:val="-3"/>
              </w:rPr>
              <w:t>业场地</w:t>
            </w:r>
          </w:p>
        </w:tc>
        <w:tc>
          <w:tcPr>
            <w:tcW w:w="1384" w:type="dxa"/>
            <w:vAlign w:val="top"/>
          </w:tcPr>
          <w:p>
            <w:pPr>
              <w:ind w:left="335"/>
              <w:spacing w:before="26" w:line="209" w:lineRule="auto"/>
              <w:rPr>
                <w:rFonts w:ascii="SimSun" w:hAnsi="SimSun" w:eastAsia="SimSun" w:cs="SimSun"/>
                <w:sz w:val="18"/>
                <w:szCs w:val="18"/>
              </w:rPr>
            </w:pPr>
            <w:r>
              <w:rPr>
                <w:rFonts w:ascii="SimSun" w:hAnsi="SimSun" w:eastAsia="SimSun" w:cs="SimSun"/>
                <w:sz w:val="18"/>
                <w:szCs w:val="18"/>
                <w:spacing w:val="-3"/>
              </w:rPr>
              <w:t>生活用水</w:t>
            </w:r>
          </w:p>
        </w:tc>
        <w:tc>
          <w:tcPr>
            <w:tcW w:w="967" w:type="dxa"/>
            <w:vAlign w:val="top"/>
          </w:tcPr>
          <w:p>
            <w:pPr>
              <w:pStyle w:val="TableText"/>
              <w:ind w:left="238"/>
              <w:spacing w:before="26" w:line="209" w:lineRule="auto"/>
              <w:rPr>
                <w:rFonts w:ascii="SimSun" w:hAnsi="SimSun" w:eastAsia="SimSun" w:cs="SimSun"/>
                <w:sz w:val="18"/>
                <w:szCs w:val="18"/>
              </w:rPr>
            </w:pPr>
            <w:r>
              <w:rPr>
                <w:sz w:val="18"/>
                <w:szCs w:val="18"/>
                <w:spacing w:val="-2"/>
              </w:rPr>
              <w:t>758</w:t>
            </w:r>
            <w:r>
              <w:rPr>
                <w:sz w:val="18"/>
                <w:szCs w:val="18"/>
                <w:spacing w:val="10"/>
              </w:rPr>
              <w:t xml:space="preserve"> </w:t>
            </w:r>
            <w:r>
              <w:rPr>
                <w:rFonts w:ascii="SimSun" w:hAnsi="SimSun" w:eastAsia="SimSun" w:cs="SimSun"/>
                <w:sz w:val="18"/>
                <w:szCs w:val="18"/>
                <w:spacing w:val="-2"/>
              </w:rPr>
              <w:t>人</w:t>
            </w:r>
          </w:p>
        </w:tc>
        <w:tc>
          <w:tcPr>
            <w:tcW w:w="1345" w:type="dxa"/>
            <w:vAlign w:val="top"/>
          </w:tcPr>
          <w:p>
            <w:pPr>
              <w:pStyle w:val="TableText"/>
              <w:ind w:left="305"/>
              <w:spacing w:before="26" w:line="209" w:lineRule="auto"/>
              <w:rPr>
                <w:rFonts w:ascii="SimSun" w:hAnsi="SimSun" w:eastAsia="SimSun" w:cs="SimSun"/>
                <w:sz w:val="18"/>
                <w:szCs w:val="18"/>
              </w:rPr>
            </w:pPr>
            <w:r>
              <w:rPr>
                <w:sz w:val="18"/>
                <w:szCs w:val="18"/>
                <w:spacing w:val="-2"/>
              </w:rPr>
              <w:t>50L/</w:t>
            </w:r>
            <w:r>
              <w:rPr>
                <w:rFonts w:ascii="SimSun" w:hAnsi="SimSun" w:eastAsia="SimSun" w:cs="SimSun"/>
                <w:sz w:val="18"/>
                <w:szCs w:val="18"/>
                <w:spacing w:val="-2"/>
              </w:rPr>
              <w:t>人</w:t>
            </w:r>
            <w:r>
              <w:rPr>
                <w:sz w:val="18"/>
                <w:szCs w:val="18"/>
                <w:spacing w:val="-2"/>
              </w:rPr>
              <w:t>.</w:t>
            </w:r>
            <w:r>
              <w:rPr>
                <w:rFonts w:ascii="SimSun" w:hAnsi="SimSun" w:eastAsia="SimSun" w:cs="SimSun"/>
                <w:sz w:val="18"/>
                <w:szCs w:val="18"/>
                <w:spacing w:val="-2"/>
              </w:rPr>
              <w:t>班</w:t>
            </w:r>
          </w:p>
        </w:tc>
        <w:tc>
          <w:tcPr>
            <w:tcW w:w="998" w:type="dxa"/>
            <w:vAlign w:val="top"/>
          </w:tcPr>
          <w:p>
            <w:pPr>
              <w:pStyle w:val="TableText"/>
              <w:ind w:left="410"/>
              <w:spacing w:before="57" w:line="188" w:lineRule="auto"/>
              <w:rPr>
                <w:sz w:val="18"/>
                <w:szCs w:val="18"/>
              </w:rPr>
            </w:pPr>
            <w:r>
              <w:rPr>
                <w:sz w:val="18"/>
                <w:szCs w:val="18"/>
                <w:spacing w:val="-4"/>
              </w:rPr>
              <w:t>38</w:t>
            </w:r>
          </w:p>
        </w:tc>
        <w:tc>
          <w:tcPr>
            <w:tcW w:w="1010" w:type="dxa"/>
            <w:vAlign w:val="top"/>
          </w:tcPr>
          <w:p>
            <w:pPr>
              <w:pStyle w:val="TableText"/>
              <w:ind w:left="343"/>
              <w:spacing w:before="57" w:line="188" w:lineRule="auto"/>
              <w:rPr>
                <w:sz w:val="18"/>
                <w:szCs w:val="18"/>
              </w:rPr>
            </w:pPr>
            <w:r>
              <w:rPr>
                <w:sz w:val="18"/>
                <w:szCs w:val="18"/>
                <w:spacing w:val="-3"/>
              </w:rPr>
              <w:t>95%</w:t>
            </w:r>
          </w:p>
        </w:tc>
        <w:tc>
          <w:tcPr>
            <w:tcW w:w="983" w:type="dxa"/>
            <w:vAlign w:val="top"/>
          </w:tcPr>
          <w:p>
            <w:pPr>
              <w:pStyle w:val="TableText"/>
              <w:ind w:left="406"/>
              <w:spacing w:before="57" w:line="188" w:lineRule="auto"/>
              <w:rPr>
                <w:sz w:val="18"/>
                <w:szCs w:val="18"/>
              </w:rPr>
            </w:pPr>
            <w:r>
              <w:rPr>
                <w:sz w:val="18"/>
                <w:szCs w:val="18"/>
                <w:spacing w:val="-4"/>
              </w:rPr>
              <w:t>36</w:t>
            </w:r>
          </w:p>
        </w:tc>
        <w:tc>
          <w:tcPr>
            <w:tcW w:w="1569" w:type="dxa"/>
            <w:vAlign w:val="top"/>
            <w:vMerge w:val="restart"/>
            <w:tcBorders>
              <w:bottom w:val="nil"/>
            </w:tcBorders>
          </w:tcPr>
          <w:p>
            <w:pPr>
              <w:spacing w:line="288" w:lineRule="auto"/>
              <w:rPr>
                <w:rFonts w:ascii="Arial"/>
                <w:sz w:val="21"/>
              </w:rPr>
            </w:pPr>
            <w:r/>
          </w:p>
          <w:p>
            <w:pPr>
              <w:spacing w:line="288" w:lineRule="auto"/>
              <w:rPr>
                <w:rFonts w:ascii="Arial"/>
                <w:sz w:val="21"/>
              </w:rPr>
            </w:pPr>
            <w:r/>
          </w:p>
          <w:p>
            <w:pPr>
              <w:ind w:left="430" w:right="30" w:hanging="314"/>
              <w:spacing w:before="59" w:line="243" w:lineRule="auto"/>
              <w:rPr>
                <w:rFonts w:ascii="SimSun" w:hAnsi="SimSun" w:eastAsia="SimSun" w:cs="SimSun"/>
                <w:sz w:val="18"/>
                <w:szCs w:val="18"/>
              </w:rPr>
            </w:pPr>
            <w:r>
              <w:rPr>
                <w:rFonts w:ascii="SimSun" w:hAnsi="SimSun" w:eastAsia="SimSun" w:cs="SimSun"/>
                <w:sz w:val="18"/>
                <w:szCs w:val="18"/>
                <w:spacing w:val="-3"/>
              </w:rPr>
              <w:t>水源为矿井（坑）</w:t>
            </w:r>
            <w:r>
              <w:rPr>
                <w:rFonts w:ascii="SimSun" w:hAnsi="SimSun" w:eastAsia="SimSun" w:cs="SimSun"/>
                <w:sz w:val="18"/>
                <w:szCs w:val="18"/>
                <w:spacing w:val="-3"/>
              </w:rPr>
              <w:t>混合来水</w:t>
            </w:r>
          </w:p>
        </w:tc>
      </w:tr>
      <w:tr>
        <w:trPr>
          <w:trHeight w:val="237"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3"/>
              <w:spacing w:before="26" w:line="206" w:lineRule="auto"/>
              <w:rPr>
                <w:rFonts w:ascii="SimSun" w:hAnsi="SimSun" w:eastAsia="SimSun" w:cs="SimSun"/>
                <w:sz w:val="18"/>
                <w:szCs w:val="18"/>
              </w:rPr>
            </w:pPr>
            <w:r>
              <w:rPr>
                <w:rFonts w:ascii="SimSun" w:hAnsi="SimSun" w:eastAsia="SimSun" w:cs="SimSun"/>
                <w:sz w:val="18"/>
                <w:szCs w:val="18"/>
                <w:spacing w:val="-2"/>
              </w:rPr>
              <w:t>食堂用水</w:t>
            </w:r>
          </w:p>
        </w:tc>
        <w:tc>
          <w:tcPr>
            <w:tcW w:w="967" w:type="dxa"/>
            <w:vAlign w:val="top"/>
          </w:tcPr>
          <w:p>
            <w:pPr>
              <w:pStyle w:val="TableText"/>
              <w:ind w:left="239"/>
              <w:spacing w:before="26" w:line="206" w:lineRule="auto"/>
              <w:rPr>
                <w:rFonts w:ascii="SimSun" w:hAnsi="SimSun" w:eastAsia="SimSun" w:cs="SimSun"/>
                <w:sz w:val="18"/>
                <w:szCs w:val="18"/>
              </w:rPr>
            </w:pPr>
            <w:r>
              <w:rPr>
                <w:sz w:val="18"/>
                <w:szCs w:val="18"/>
                <w:spacing w:val="-2"/>
              </w:rPr>
              <w:t>636</w:t>
            </w:r>
            <w:r>
              <w:rPr>
                <w:sz w:val="18"/>
                <w:szCs w:val="18"/>
                <w:spacing w:val="10"/>
              </w:rPr>
              <w:t xml:space="preserve"> </w:t>
            </w:r>
            <w:r>
              <w:rPr>
                <w:rFonts w:ascii="SimSun" w:hAnsi="SimSun" w:eastAsia="SimSun" w:cs="SimSun"/>
                <w:sz w:val="18"/>
                <w:szCs w:val="18"/>
                <w:spacing w:val="-2"/>
              </w:rPr>
              <w:t>人</w:t>
            </w:r>
          </w:p>
        </w:tc>
        <w:tc>
          <w:tcPr>
            <w:tcW w:w="1345" w:type="dxa"/>
            <w:vAlign w:val="top"/>
          </w:tcPr>
          <w:p>
            <w:pPr>
              <w:pStyle w:val="TableText"/>
              <w:ind w:left="300"/>
              <w:spacing w:before="26" w:line="206" w:lineRule="auto"/>
              <w:rPr>
                <w:rFonts w:ascii="SimSun" w:hAnsi="SimSun" w:eastAsia="SimSun" w:cs="SimSun"/>
                <w:sz w:val="18"/>
                <w:szCs w:val="18"/>
              </w:rPr>
            </w:pPr>
            <w:r>
              <w:rPr>
                <w:sz w:val="18"/>
                <w:szCs w:val="18"/>
              </w:rPr>
              <w:t>25L/</w:t>
            </w:r>
            <w:r>
              <w:rPr>
                <w:rFonts w:ascii="SimSun" w:hAnsi="SimSun" w:eastAsia="SimSun" w:cs="SimSun"/>
                <w:sz w:val="18"/>
                <w:szCs w:val="18"/>
              </w:rPr>
              <w:t>人</w:t>
            </w:r>
            <w:r>
              <w:rPr>
                <w:sz w:val="18"/>
                <w:szCs w:val="18"/>
              </w:rPr>
              <w:t>.</w:t>
            </w:r>
            <w:r>
              <w:rPr>
                <w:rFonts w:ascii="SimSun" w:hAnsi="SimSun" w:eastAsia="SimSun" w:cs="SimSun"/>
                <w:sz w:val="18"/>
                <w:szCs w:val="18"/>
              </w:rPr>
              <w:t>餐</w:t>
            </w:r>
          </w:p>
        </w:tc>
        <w:tc>
          <w:tcPr>
            <w:tcW w:w="998" w:type="dxa"/>
            <w:vAlign w:val="top"/>
          </w:tcPr>
          <w:p>
            <w:pPr>
              <w:pStyle w:val="TableText"/>
              <w:ind w:left="410"/>
              <w:spacing w:before="54" w:line="188" w:lineRule="auto"/>
              <w:rPr>
                <w:sz w:val="18"/>
                <w:szCs w:val="18"/>
              </w:rPr>
            </w:pPr>
            <w:r>
              <w:rPr>
                <w:sz w:val="18"/>
                <w:szCs w:val="18"/>
                <w:spacing w:val="-4"/>
              </w:rPr>
              <w:t>32</w:t>
            </w:r>
          </w:p>
        </w:tc>
        <w:tc>
          <w:tcPr>
            <w:tcW w:w="1010" w:type="dxa"/>
            <w:vAlign w:val="top"/>
          </w:tcPr>
          <w:p>
            <w:pPr>
              <w:pStyle w:val="TableText"/>
              <w:ind w:left="347"/>
              <w:spacing w:before="54" w:line="188" w:lineRule="auto"/>
              <w:rPr>
                <w:sz w:val="18"/>
                <w:szCs w:val="18"/>
              </w:rPr>
            </w:pPr>
            <w:r>
              <w:rPr>
                <w:sz w:val="18"/>
                <w:szCs w:val="18"/>
                <w:spacing w:val="-4"/>
              </w:rPr>
              <w:t>85%</w:t>
            </w:r>
          </w:p>
        </w:tc>
        <w:tc>
          <w:tcPr>
            <w:tcW w:w="983" w:type="dxa"/>
            <w:vAlign w:val="top"/>
          </w:tcPr>
          <w:p>
            <w:pPr>
              <w:pStyle w:val="TableText"/>
              <w:ind w:left="403"/>
              <w:spacing w:before="54" w:line="188" w:lineRule="auto"/>
              <w:rPr>
                <w:sz w:val="18"/>
                <w:szCs w:val="18"/>
              </w:rPr>
            </w:pPr>
            <w:r>
              <w:rPr>
                <w:sz w:val="18"/>
                <w:szCs w:val="18"/>
                <w:spacing w:val="-2"/>
              </w:rPr>
              <w:t>27</w:t>
            </w:r>
          </w:p>
        </w:tc>
        <w:tc>
          <w:tcPr>
            <w:tcW w:w="1569" w:type="dxa"/>
            <w:vAlign w:val="top"/>
            <w:vMerge w:val="continue"/>
            <w:tcBorders>
              <w:top w:val="nil"/>
              <w:bottom w:val="nil"/>
            </w:tcBorders>
          </w:tcPr>
          <w:p>
            <w:pPr>
              <w:rPr>
                <w:rFonts w:ascii="Arial"/>
                <w:sz w:val="21"/>
              </w:rPr>
            </w:pPr>
            <w:r/>
          </w:p>
        </w:tc>
      </w:tr>
      <w:tr>
        <w:trPr>
          <w:trHeight w:val="239"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5"/>
              <w:spacing w:before="26" w:line="208" w:lineRule="auto"/>
              <w:rPr>
                <w:rFonts w:ascii="SimSun" w:hAnsi="SimSun" w:eastAsia="SimSun" w:cs="SimSun"/>
                <w:sz w:val="18"/>
                <w:szCs w:val="18"/>
              </w:rPr>
            </w:pPr>
            <w:r>
              <w:rPr>
                <w:rFonts w:ascii="SimSun" w:hAnsi="SimSun" w:eastAsia="SimSun" w:cs="SimSun"/>
                <w:sz w:val="18"/>
                <w:szCs w:val="18"/>
                <w:spacing w:val="-3"/>
              </w:rPr>
              <w:t>浴室用水</w:t>
            </w:r>
          </w:p>
        </w:tc>
        <w:tc>
          <w:tcPr>
            <w:tcW w:w="967" w:type="dxa"/>
            <w:vAlign w:val="top"/>
          </w:tcPr>
          <w:p>
            <w:pPr>
              <w:spacing w:line="229" w:lineRule="exact"/>
              <w:rPr>
                <w:rFonts w:ascii="Arial"/>
                <w:sz w:val="19"/>
              </w:rPr>
            </w:pPr>
            <w:r/>
          </w:p>
        </w:tc>
        <w:tc>
          <w:tcPr>
            <w:tcW w:w="1345" w:type="dxa"/>
            <w:vAlign w:val="top"/>
          </w:tcPr>
          <w:p>
            <w:pPr>
              <w:spacing w:line="229" w:lineRule="exact"/>
              <w:rPr>
                <w:rFonts w:ascii="Arial"/>
                <w:sz w:val="19"/>
              </w:rPr>
            </w:pPr>
            <w:r/>
          </w:p>
        </w:tc>
        <w:tc>
          <w:tcPr>
            <w:tcW w:w="998" w:type="dxa"/>
            <w:vAlign w:val="top"/>
          </w:tcPr>
          <w:p>
            <w:pPr>
              <w:pStyle w:val="TableText"/>
              <w:ind w:left="381"/>
              <w:spacing w:before="57" w:line="188" w:lineRule="auto"/>
              <w:rPr>
                <w:sz w:val="18"/>
                <w:szCs w:val="18"/>
              </w:rPr>
            </w:pPr>
            <w:r>
              <w:rPr>
                <w:sz w:val="18"/>
                <w:szCs w:val="18"/>
                <w:spacing w:val="-7"/>
              </w:rPr>
              <w:t>154</w:t>
            </w:r>
          </w:p>
        </w:tc>
        <w:tc>
          <w:tcPr>
            <w:tcW w:w="1010" w:type="dxa"/>
            <w:vAlign w:val="top"/>
          </w:tcPr>
          <w:p>
            <w:pPr>
              <w:pStyle w:val="TableText"/>
              <w:ind w:left="343"/>
              <w:spacing w:before="57" w:line="188" w:lineRule="auto"/>
              <w:rPr>
                <w:sz w:val="18"/>
                <w:szCs w:val="18"/>
              </w:rPr>
            </w:pPr>
            <w:r>
              <w:rPr>
                <w:sz w:val="18"/>
                <w:szCs w:val="18"/>
                <w:spacing w:val="-3"/>
              </w:rPr>
              <w:t>95%</w:t>
            </w:r>
          </w:p>
        </w:tc>
        <w:tc>
          <w:tcPr>
            <w:tcW w:w="983" w:type="dxa"/>
            <w:vAlign w:val="top"/>
          </w:tcPr>
          <w:p>
            <w:pPr>
              <w:pStyle w:val="TableText"/>
              <w:ind w:left="377"/>
              <w:spacing w:before="57" w:line="188" w:lineRule="auto"/>
              <w:rPr>
                <w:sz w:val="18"/>
                <w:szCs w:val="18"/>
              </w:rPr>
            </w:pPr>
            <w:r>
              <w:rPr>
                <w:sz w:val="18"/>
                <w:szCs w:val="18"/>
                <w:spacing w:val="-7"/>
              </w:rPr>
              <w:t>146</w:t>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2"/>
              <w:spacing w:before="24" w:line="208" w:lineRule="auto"/>
              <w:rPr>
                <w:rFonts w:ascii="SimSun" w:hAnsi="SimSun" w:eastAsia="SimSun" w:cs="SimSun"/>
                <w:sz w:val="18"/>
                <w:szCs w:val="18"/>
              </w:rPr>
            </w:pPr>
            <w:r>
              <w:rPr>
                <w:rFonts w:ascii="SimSun" w:hAnsi="SimSun" w:eastAsia="SimSun" w:cs="SimSun"/>
                <w:sz w:val="18"/>
                <w:szCs w:val="18"/>
                <w:spacing w:val="-2"/>
              </w:rPr>
              <w:t>洗衣用水</w:t>
            </w:r>
          </w:p>
        </w:tc>
        <w:tc>
          <w:tcPr>
            <w:tcW w:w="967" w:type="dxa"/>
            <w:vAlign w:val="top"/>
          </w:tcPr>
          <w:p>
            <w:pPr>
              <w:pStyle w:val="TableText"/>
              <w:ind w:left="150"/>
              <w:spacing w:before="52" w:line="192" w:lineRule="auto"/>
              <w:rPr>
                <w:sz w:val="18"/>
                <w:szCs w:val="18"/>
              </w:rPr>
            </w:pPr>
            <w:r>
              <w:rPr>
                <w:sz w:val="18"/>
                <w:szCs w:val="18"/>
                <w:spacing w:val="-1"/>
              </w:rPr>
              <w:t>649.37kg</w:t>
            </w:r>
          </w:p>
        </w:tc>
        <w:tc>
          <w:tcPr>
            <w:tcW w:w="1345" w:type="dxa"/>
            <w:vAlign w:val="top"/>
          </w:tcPr>
          <w:p>
            <w:pPr>
              <w:pStyle w:val="TableText"/>
              <w:ind w:left="218"/>
              <w:spacing w:before="24" w:line="208" w:lineRule="auto"/>
              <w:rPr>
                <w:rFonts w:ascii="SimSun" w:hAnsi="SimSun" w:eastAsia="SimSun" w:cs="SimSun"/>
                <w:sz w:val="18"/>
                <w:szCs w:val="18"/>
              </w:rPr>
            </w:pPr>
            <w:r>
              <w:rPr>
                <w:sz w:val="18"/>
                <w:szCs w:val="18"/>
                <w:spacing w:val="-1"/>
              </w:rPr>
              <w:t>80L/</w:t>
            </w:r>
            <w:r>
              <w:rPr>
                <w:rFonts w:ascii="SimSun" w:hAnsi="SimSun" w:eastAsia="SimSun" w:cs="SimSun"/>
                <w:sz w:val="18"/>
                <w:szCs w:val="18"/>
                <w:spacing w:val="-1"/>
              </w:rPr>
              <w:t>千克</w:t>
            </w:r>
            <w:r>
              <w:rPr>
                <w:sz w:val="18"/>
                <w:szCs w:val="18"/>
                <w:spacing w:val="-1"/>
              </w:rPr>
              <w:t>.</w:t>
            </w:r>
            <w:r>
              <w:rPr>
                <w:rFonts w:ascii="SimSun" w:hAnsi="SimSun" w:eastAsia="SimSun" w:cs="SimSun"/>
                <w:sz w:val="18"/>
                <w:szCs w:val="18"/>
                <w:spacing w:val="-1"/>
              </w:rPr>
              <w:t>天</w:t>
            </w:r>
          </w:p>
        </w:tc>
        <w:tc>
          <w:tcPr>
            <w:tcW w:w="998" w:type="dxa"/>
            <w:vAlign w:val="top"/>
          </w:tcPr>
          <w:p>
            <w:pPr>
              <w:pStyle w:val="TableText"/>
              <w:ind w:left="412"/>
              <w:spacing w:before="55" w:line="188" w:lineRule="auto"/>
              <w:rPr>
                <w:sz w:val="18"/>
                <w:szCs w:val="18"/>
              </w:rPr>
            </w:pPr>
            <w:r>
              <w:rPr>
                <w:sz w:val="18"/>
                <w:szCs w:val="18"/>
                <w:spacing w:val="-4"/>
              </w:rPr>
              <w:t>52</w:t>
            </w:r>
          </w:p>
        </w:tc>
        <w:tc>
          <w:tcPr>
            <w:tcW w:w="1010" w:type="dxa"/>
            <w:vAlign w:val="top"/>
          </w:tcPr>
          <w:p>
            <w:pPr>
              <w:pStyle w:val="TableText"/>
              <w:ind w:left="343"/>
              <w:spacing w:before="55" w:line="188" w:lineRule="auto"/>
              <w:rPr>
                <w:sz w:val="18"/>
                <w:szCs w:val="18"/>
              </w:rPr>
            </w:pPr>
            <w:r>
              <w:rPr>
                <w:sz w:val="18"/>
                <w:szCs w:val="18"/>
                <w:spacing w:val="-3"/>
              </w:rPr>
              <w:t>95%</w:t>
            </w:r>
          </w:p>
        </w:tc>
        <w:tc>
          <w:tcPr>
            <w:tcW w:w="983" w:type="dxa"/>
            <w:vAlign w:val="top"/>
          </w:tcPr>
          <w:p>
            <w:pPr>
              <w:pStyle w:val="TableText"/>
              <w:ind w:left="402"/>
              <w:spacing w:before="55" w:line="188" w:lineRule="auto"/>
              <w:rPr>
                <w:sz w:val="18"/>
                <w:szCs w:val="18"/>
              </w:rPr>
            </w:pPr>
            <w:r>
              <w:rPr>
                <w:sz w:val="18"/>
                <w:szCs w:val="18"/>
                <w:spacing w:val="-1"/>
              </w:rPr>
              <w:t>49</w:t>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5"/>
              <w:spacing w:before="27" w:line="205" w:lineRule="auto"/>
              <w:rPr>
                <w:rFonts w:ascii="SimSun" w:hAnsi="SimSun" w:eastAsia="SimSun" w:cs="SimSun"/>
                <w:sz w:val="18"/>
                <w:szCs w:val="18"/>
              </w:rPr>
            </w:pPr>
            <w:r>
              <w:rPr>
                <w:rFonts w:ascii="SimSun" w:hAnsi="SimSun" w:eastAsia="SimSun" w:cs="SimSun"/>
                <w:sz w:val="18"/>
                <w:szCs w:val="18"/>
                <w:spacing w:val="-3"/>
              </w:rPr>
              <w:t>单身用水</w:t>
            </w:r>
          </w:p>
        </w:tc>
        <w:tc>
          <w:tcPr>
            <w:tcW w:w="967" w:type="dxa"/>
            <w:vAlign w:val="top"/>
          </w:tcPr>
          <w:p>
            <w:pPr>
              <w:pStyle w:val="TableText"/>
              <w:ind w:left="238"/>
              <w:spacing w:before="27" w:line="205" w:lineRule="auto"/>
              <w:rPr>
                <w:rFonts w:ascii="SimSun" w:hAnsi="SimSun" w:eastAsia="SimSun" w:cs="SimSun"/>
                <w:sz w:val="18"/>
                <w:szCs w:val="18"/>
              </w:rPr>
            </w:pPr>
            <w:r>
              <w:rPr>
                <w:sz w:val="18"/>
                <w:szCs w:val="18"/>
                <w:spacing w:val="-2"/>
              </w:rPr>
              <w:t>758</w:t>
            </w:r>
            <w:r>
              <w:rPr>
                <w:sz w:val="18"/>
                <w:szCs w:val="18"/>
                <w:spacing w:val="10"/>
              </w:rPr>
              <w:t xml:space="preserve"> </w:t>
            </w:r>
            <w:r>
              <w:rPr>
                <w:rFonts w:ascii="SimSun" w:hAnsi="SimSun" w:eastAsia="SimSun" w:cs="SimSun"/>
                <w:sz w:val="18"/>
                <w:szCs w:val="18"/>
                <w:spacing w:val="-2"/>
              </w:rPr>
              <w:t>人</w:t>
            </w:r>
          </w:p>
        </w:tc>
        <w:tc>
          <w:tcPr>
            <w:tcW w:w="1345" w:type="dxa"/>
            <w:vAlign w:val="top"/>
          </w:tcPr>
          <w:p>
            <w:pPr>
              <w:pStyle w:val="TableText"/>
              <w:ind w:left="317"/>
              <w:spacing w:before="27" w:line="205" w:lineRule="auto"/>
              <w:rPr>
                <w:sz w:val="18"/>
                <w:szCs w:val="18"/>
              </w:rPr>
            </w:pPr>
            <w:r>
              <w:rPr>
                <w:sz w:val="18"/>
                <w:szCs w:val="18"/>
                <w:spacing w:val="-2"/>
              </w:rPr>
              <w:t>150L/</w:t>
            </w:r>
            <w:r>
              <w:rPr>
                <w:rFonts w:ascii="SimSun" w:hAnsi="SimSun" w:eastAsia="SimSun" w:cs="SimSun"/>
                <w:sz w:val="18"/>
                <w:szCs w:val="18"/>
                <w:spacing w:val="-2"/>
              </w:rPr>
              <w:t>人</w:t>
            </w:r>
            <w:r>
              <w:rPr>
                <w:sz w:val="18"/>
                <w:szCs w:val="18"/>
                <w:spacing w:val="-2"/>
              </w:rPr>
              <w:t>.d</w:t>
            </w:r>
          </w:p>
        </w:tc>
        <w:tc>
          <w:tcPr>
            <w:tcW w:w="998" w:type="dxa"/>
            <w:vAlign w:val="top"/>
          </w:tcPr>
          <w:p>
            <w:pPr>
              <w:pStyle w:val="TableText"/>
              <w:ind w:left="381"/>
              <w:spacing w:before="56" w:line="188" w:lineRule="auto"/>
              <w:rPr>
                <w:sz w:val="18"/>
                <w:szCs w:val="18"/>
              </w:rPr>
            </w:pPr>
            <w:r>
              <w:rPr>
                <w:sz w:val="18"/>
                <w:szCs w:val="18"/>
                <w:spacing w:val="-7"/>
              </w:rPr>
              <w:t>114</w:t>
            </w:r>
          </w:p>
        </w:tc>
        <w:tc>
          <w:tcPr>
            <w:tcW w:w="1010" w:type="dxa"/>
            <w:vAlign w:val="top"/>
          </w:tcPr>
          <w:p>
            <w:pPr>
              <w:pStyle w:val="TableText"/>
              <w:ind w:left="343"/>
              <w:spacing w:before="56" w:line="188" w:lineRule="auto"/>
              <w:rPr>
                <w:sz w:val="18"/>
                <w:szCs w:val="18"/>
              </w:rPr>
            </w:pPr>
            <w:r>
              <w:rPr>
                <w:sz w:val="18"/>
                <w:szCs w:val="18"/>
                <w:spacing w:val="-3"/>
              </w:rPr>
              <w:t>95%</w:t>
            </w:r>
          </w:p>
        </w:tc>
        <w:tc>
          <w:tcPr>
            <w:tcW w:w="983" w:type="dxa"/>
            <w:vAlign w:val="top"/>
          </w:tcPr>
          <w:p>
            <w:pPr>
              <w:pStyle w:val="TableText"/>
              <w:ind w:left="377"/>
              <w:spacing w:before="56" w:line="188" w:lineRule="auto"/>
              <w:rPr>
                <w:sz w:val="18"/>
                <w:szCs w:val="18"/>
              </w:rPr>
            </w:pPr>
            <w:r>
              <w:rPr>
                <w:sz w:val="18"/>
                <w:szCs w:val="18"/>
                <w:spacing w:val="-7"/>
              </w:rPr>
              <w:t>108</w:t>
            </w:r>
          </w:p>
        </w:tc>
        <w:tc>
          <w:tcPr>
            <w:tcW w:w="1569" w:type="dxa"/>
            <w:vAlign w:val="top"/>
            <w:vMerge w:val="continue"/>
            <w:tcBorders>
              <w:top w:val="nil"/>
              <w:bottom w:val="nil"/>
            </w:tcBorders>
          </w:tcPr>
          <w:p>
            <w:pPr>
              <w:rPr>
                <w:rFonts w:ascii="Arial"/>
                <w:sz w:val="21"/>
              </w:rPr>
            </w:pPr>
            <w:r/>
          </w:p>
        </w:tc>
      </w:tr>
      <w:tr>
        <w:trPr>
          <w:trHeight w:val="239"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245"/>
              <w:spacing w:before="28" w:line="206" w:lineRule="auto"/>
              <w:rPr>
                <w:rFonts w:ascii="SimSun" w:hAnsi="SimSun" w:eastAsia="SimSun" w:cs="SimSun"/>
                <w:sz w:val="18"/>
                <w:szCs w:val="18"/>
              </w:rPr>
            </w:pPr>
            <w:r>
              <w:rPr>
                <w:rFonts w:ascii="SimSun" w:hAnsi="SimSun" w:eastAsia="SimSun" w:cs="SimSun"/>
                <w:sz w:val="18"/>
                <w:szCs w:val="18"/>
                <w:spacing w:val="-2"/>
              </w:rPr>
              <w:t>未预见用水</w:t>
            </w:r>
          </w:p>
        </w:tc>
        <w:tc>
          <w:tcPr>
            <w:tcW w:w="967" w:type="dxa"/>
            <w:vAlign w:val="top"/>
          </w:tcPr>
          <w:p>
            <w:pPr>
              <w:pStyle w:val="TableText"/>
              <w:ind w:left="322"/>
              <w:spacing w:before="28" w:line="206" w:lineRule="auto"/>
              <w:rPr>
                <w:rFonts w:ascii="SimSun" w:hAnsi="SimSun" w:eastAsia="SimSun" w:cs="SimSun"/>
                <w:sz w:val="18"/>
                <w:szCs w:val="18"/>
              </w:rPr>
            </w:pPr>
            <w:r>
              <w:rPr>
                <w:sz w:val="18"/>
                <w:szCs w:val="18"/>
                <w:spacing w:val="15"/>
              </w:rPr>
              <w:t>15</w:t>
            </w:r>
            <w:r>
              <w:rPr>
                <w:rFonts w:ascii="SimSun" w:hAnsi="SimSun" w:eastAsia="SimSun" w:cs="SimSun"/>
                <w:sz w:val="18"/>
                <w:szCs w:val="18"/>
                <w:spacing w:val="15"/>
              </w:rPr>
              <w:t>%</w:t>
            </w:r>
          </w:p>
        </w:tc>
        <w:tc>
          <w:tcPr>
            <w:tcW w:w="1345" w:type="dxa"/>
            <w:vAlign w:val="top"/>
          </w:tcPr>
          <w:p>
            <w:pPr>
              <w:spacing w:line="229" w:lineRule="exact"/>
              <w:rPr>
                <w:rFonts w:ascii="Arial"/>
                <w:sz w:val="19"/>
              </w:rPr>
            </w:pPr>
            <w:r/>
          </w:p>
        </w:tc>
        <w:tc>
          <w:tcPr>
            <w:tcW w:w="998" w:type="dxa"/>
            <w:vAlign w:val="top"/>
          </w:tcPr>
          <w:p>
            <w:pPr>
              <w:pStyle w:val="TableText"/>
              <w:ind w:left="412"/>
              <w:spacing w:before="59" w:line="188" w:lineRule="auto"/>
              <w:rPr>
                <w:sz w:val="18"/>
                <w:szCs w:val="18"/>
              </w:rPr>
            </w:pPr>
            <w:r>
              <w:rPr>
                <w:sz w:val="18"/>
                <w:szCs w:val="18"/>
                <w:spacing w:val="-4"/>
              </w:rPr>
              <w:t>59</w:t>
            </w:r>
          </w:p>
        </w:tc>
        <w:tc>
          <w:tcPr>
            <w:tcW w:w="1010" w:type="dxa"/>
            <w:vAlign w:val="top"/>
          </w:tcPr>
          <w:p>
            <w:pPr>
              <w:pStyle w:val="TableText"/>
              <w:ind w:left="343"/>
              <w:spacing w:before="58" w:line="188" w:lineRule="auto"/>
              <w:rPr>
                <w:sz w:val="18"/>
                <w:szCs w:val="18"/>
              </w:rPr>
            </w:pPr>
            <w:r>
              <w:rPr>
                <w:sz w:val="18"/>
                <w:szCs w:val="18"/>
                <w:spacing w:val="-3"/>
              </w:rPr>
              <w:t>95%</w:t>
            </w:r>
          </w:p>
        </w:tc>
        <w:tc>
          <w:tcPr>
            <w:tcW w:w="983" w:type="dxa"/>
            <w:vAlign w:val="top"/>
          </w:tcPr>
          <w:p>
            <w:pPr>
              <w:pStyle w:val="TableText"/>
              <w:ind w:left="408"/>
              <w:spacing w:before="59" w:line="188" w:lineRule="auto"/>
              <w:rPr>
                <w:sz w:val="18"/>
                <w:szCs w:val="18"/>
              </w:rPr>
            </w:pPr>
            <w:r>
              <w:rPr>
                <w:sz w:val="18"/>
                <w:szCs w:val="18"/>
                <w:spacing w:val="-4"/>
              </w:rPr>
              <w:t>56</w:t>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tcBorders>
          </w:tcPr>
          <w:p>
            <w:pPr>
              <w:rPr>
                <w:rFonts w:ascii="Arial"/>
                <w:sz w:val="21"/>
              </w:rPr>
            </w:pPr>
            <w:r/>
          </w:p>
        </w:tc>
        <w:tc>
          <w:tcPr>
            <w:tcW w:w="1384" w:type="dxa"/>
            <w:vAlign w:val="top"/>
          </w:tcPr>
          <w:p>
            <w:pPr>
              <w:ind w:left="518"/>
              <w:spacing w:before="28" w:line="204" w:lineRule="auto"/>
              <w:rPr>
                <w:rFonts w:ascii="SimSun" w:hAnsi="SimSun" w:eastAsia="SimSun" w:cs="SimSun"/>
                <w:sz w:val="18"/>
                <w:szCs w:val="18"/>
              </w:rPr>
            </w:pPr>
            <w:r>
              <w:rPr>
                <w:rFonts w:ascii="SimSun" w:hAnsi="SimSun" w:eastAsia="SimSun" w:cs="SimSun"/>
                <w:sz w:val="18"/>
                <w:szCs w:val="18"/>
                <w:spacing w:val="-6"/>
              </w:rPr>
              <w:t>小计</w:t>
            </w:r>
          </w:p>
        </w:tc>
        <w:tc>
          <w:tcPr>
            <w:tcW w:w="967" w:type="dxa"/>
            <w:vAlign w:val="top"/>
          </w:tcPr>
          <w:p>
            <w:pPr>
              <w:spacing w:line="226" w:lineRule="exact"/>
              <w:rPr>
                <w:rFonts w:ascii="Arial"/>
                <w:sz w:val="19"/>
              </w:rPr>
            </w:pPr>
            <w:r/>
          </w:p>
        </w:tc>
        <w:tc>
          <w:tcPr>
            <w:tcW w:w="1345" w:type="dxa"/>
            <w:vAlign w:val="top"/>
          </w:tcPr>
          <w:p>
            <w:pPr>
              <w:spacing w:line="226" w:lineRule="exact"/>
              <w:rPr>
                <w:rFonts w:ascii="Arial"/>
                <w:sz w:val="19"/>
              </w:rPr>
            </w:pPr>
            <w:r/>
          </w:p>
        </w:tc>
        <w:tc>
          <w:tcPr>
            <w:tcW w:w="998" w:type="dxa"/>
            <w:vAlign w:val="top"/>
          </w:tcPr>
          <w:p>
            <w:pPr>
              <w:pStyle w:val="TableText"/>
              <w:ind w:left="363"/>
              <w:spacing w:before="57" w:line="188" w:lineRule="auto"/>
              <w:rPr>
                <w:sz w:val="18"/>
                <w:szCs w:val="18"/>
              </w:rPr>
            </w:pPr>
            <w:r>
              <w:rPr>
                <w:sz w:val="18"/>
                <w:szCs w:val="18"/>
                <w:spacing w:val="-1"/>
              </w:rPr>
              <w:t>449</w:t>
            </w:r>
          </w:p>
        </w:tc>
        <w:tc>
          <w:tcPr>
            <w:tcW w:w="1010" w:type="dxa"/>
            <w:vAlign w:val="top"/>
          </w:tcPr>
          <w:p>
            <w:pPr>
              <w:spacing w:line="226" w:lineRule="exact"/>
              <w:rPr>
                <w:rFonts w:ascii="Arial"/>
                <w:sz w:val="19"/>
              </w:rPr>
            </w:pPr>
            <w:r/>
          </w:p>
        </w:tc>
        <w:tc>
          <w:tcPr>
            <w:tcW w:w="983" w:type="dxa"/>
            <w:vAlign w:val="top"/>
          </w:tcPr>
          <w:p>
            <w:pPr>
              <w:pStyle w:val="TableText"/>
              <w:ind w:left="359"/>
              <w:spacing w:before="57" w:line="188" w:lineRule="auto"/>
              <w:rPr>
                <w:sz w:val="18"/>
                <w:szCs w:val="18"/>
              </w:rPr>
            </w:pPr>
            <w:r>
              <w:rPr>
                <w:sz w:val="18"/>
                <w:szCs w:val="18"/>
                <w:spacing w:val="-1"/>
              </w:rPr>
              <w:t>422</w:t>
            </w:r>
          </w:p>
        </w:tc>
        <w:tc>
          <w:tcPr>
            <w:tcW w:w="1569" w:type="dxa"/>
            <w:vAlign w:val="top"/>
            <w:vMerge w:val="continue"/>
            <w:tcBorders>
              <w:top w:val="nil"/>
            </w:tcBorders>
          </w:tcPr>
          <w:p>
            <w:pPr>
              <w:rPr>
                <w:rFonts w:ascii="Arial"/>
                <w:sz w:val="21"/>
              </w:rPr>
            </w:pPr>
            <w:r/>
          </w:p>
        </w:tc>
      </w:tr>
      <w:tr>
        <w:trPr>
          <w:trHeight w:val="240" w:hRule="atLeast"/>
        </w:trPr>
        <w:tc>
          <w:tcPr>
            <w:tcW w:w="1034" w:type="dxa"/>
            <w:vAlign w:val="top"/>
          </w:tcPr>
          <w:p>
            <w:pPr>
              <w:ind w:left="434"/>
              <w:spacing w:before="62" w:line="172" w:lineRule="auto"/>
              <w:rPr>
                <w:rFonts w:ascii="SimSun" w:hAnsi="SimSun" w:eastAsia="SimSun" w:cs="SimSun"/>
                <w:sz w:val="18"/>
                <w:szCs w:val="18"/>
              </w:rPr>
            </w:pPr>
            <w:r>
              <w:rPr>
                <w:rFonts w:ascii="SimSun" w:hAnsi="SimSun" w:eastAsia="SimSun" w:cs="SimSun"/>
                <w:sz w:val="18"/>
                <w:szCs w:val="18"/>
              </w:rPr>
              <w:t>二</w:t>
            </w:r>
          </w:p>
        </w:tc>
        <w:tc>
          <w:tcPr>
            <w:tcW w:w="1384" w:type="dxa"/>
            <w:vAlign w:val="top"/>
            <w:tcBorders>
              <w:right w:val="nil"/>
            </w:tcBorders>
          </w:tcPr>
          <w:p>
            <w:pPr>
              <w:spacing w:line="230" w:lineRule="exact"/>
              <w:rPr>
                <w:rFonts w:ascii="Arial"/>
                <w:sz w:val="20"/>
              </w:rPr>
            </w:pPr>
            <w:r/>
          </w:p>
        </w:tc>
        <w:tc>
          <w:tcPr>
            <w:tcW w:w="967" w:type="dxa"/>
            <w:vAlign w:val="top"/>
            <w:tcBorders>
              <w:left w:val="nil"/>
              <w:right w:val="nil"/>
            </w:tcBorders>
          </w:tcPr>
          <w:p>
            <w:pPr>
              <w:spacing w:line="230" w:lineRule="exact"/>
              <w:rPr>
                <w:rFonts w:ascii="Arial"/>
                <w:sz w:val="20"/>
              </w:rPr>
            </w:pPr>
            <w:r/>
          </w:p>
        </w:tc>
        <w:tc>
          <w:tcPr>
            <w:tcW w:w="1345" w:type="dxa"/>
            <w:vAlign w:val="top"/>
            <w:tcBorders>
              <w:left w:val="nil"/>
              <w:right w:val="nil"/>
            </w:tcBorders>
          </w:tcPr>
          <w:p>
            <w:pPr>
              <w:spacing w:line="230" w:lineRule="exact"/>
              <w:rPr>
                <w:rFonts w:ascii="Arial"/>
                <w:sz w:val="20"/>
              </w:rPr>
            </w:pPr>
            <w:r/>
          </w:p>
        </w:tc>
        <w:tc>
          <w:tcPr>
            <w:tcW w:w="998" w:type="dxa"/>
            <w:vAlign w:val="top"/>
            <w:tcBorders>
              <w:left w:val="nil"/>
              <w:right w:val="nil"/>
            </w:tcBorders>
          </w:tcPr>
          <w:p>
            <w:pPr>
              <w:ind w:left="78"/>
              <w:spacing w:before="29" w:line="206" w:lineRule="auto"/>
              <w:rPr>
                <w:rFonts w:ascii="SimSun" w:hAnsi="SimSun" w:eastAsia="SimSun" w:cs="SimSun"/>
                <w:sz w:val="18"/>
                <w:szCs w:val="18"/>
              </w:rPr>
            </w:pPr>
            <w:r>
              <w:rPr>
                <w:rFonts w:ascii="SimSun" w:hAnsi="SimSun" w:eastAsia="SimSun" w:cs="SimSun"/>
                <w:sz w:val="18"/>
                <w:szCs w:val="18"/>
                <w:spacing w:val="-3"/>
              </w:rPr>
              <w:t>生产用水</w:t>
            </w:r>
          </w:p>
        </w:tc>
        <w:tc>
          <w:tcPr>
            <w:tcW w:w="1010" w:type="dxa"/>
            <w:vAlign w:val="top"/>
            <w:tcBorders>
              <w:left w:val="nil"/>
              <w:right w:val="nil"/>
            </w:tcBorders>
          </w:tcPr>
          <w:p>
            <w:pPr>
              <w:spacing w:line="230" w:lineRule="exact"/>
              <w:rPr>
                <w:rFonts w:ascii="Arial"/>
                <w:sz w:val="20"/>
              </w:rPr>
            </w:pPr>
            <w:r/>
          </w:p>
        </w:tc>
        <w:tc>
          <w:tcPr>
            <w:tcW w:w="983" w:type="dxa"/>
            <w:vAlign w:val="top"/>
            <w:tcBorders>
              <w:left w:val="nil"/>
              <w:right w:val="nil"/>
            </w:tcBorders>
          </w:tcPr>
          <w:p>
            <w:pPr>
              <w:spacing w:line="230" w:lineRule="exact"/>
              <w:rPr>
                <w:rFonts w:ascii="Arial"/>
                <w:sz w:val="20"/>
              </w:rPr>
            </w:pPr>
            <w:r/>
          </w:p>
        </w:tc>
        <w:tc>
          <w:tcPr>
            <w:tcW w:w="1569" w:type="dxa"/>
            <w:vAlign w:val="top"/>
            <w:tcBorders>
              <w:left w:val="nil"/>
            </w:tcBorders>
          </w:tcPr>
          <w:p>
            <w:pPr>
              <w:spacing w:line="230" w:lineRule="exact"/>
              <w:rPr>
                <w:rFonts w:ascii="Arial"/>
                <w:sz w:val="20"/>
              </w:rPr>
            </w:pPr>
            <w:r/>
          </w:p>
        </w:tc>
      </w:tr>
      <w:tr>
        <w:trPr>
          <w:trHeight w:val="237" w:hRule="atLeast"/>
        </w:trPr>
        <w:tc>
          <w:tcPr>
            <w:tcW w:w="1034" w:type="dxa"/>
            <w:vAlign w:val="top"/>
            <w:vMerge w:val="restart"/>
            <w:tcBorders>
              <w:bottom w:val="nil"/>
            </w:tcBorders>
          </w:tcPr>
          <w:p>
            <w:pPr>
              <w:spacing w:line="457" w:lineRule="auto"/>
              <w:rPr>
                <w:rFonts w:ascii="Arial"/>
                <w:sz w:val="21"/>
              </w:rPr>
            </w:pPr>
            <w:r/>
          </w:p>
          <w:p>
            <w:pPr>
              <w:ind w:left="250" w:right="155" w:hanging="86"/>
              <w:spacing w:before="58" w:line="241" w:lineRule="auto"/>
              <w:rPr>
                <w:rFonts w:ascii="SimSun" w:hAnsi="SimSun" w:eastAsia="SimSun" w:cs="SimSun"/>
                <w:sz w:val="18"/>
                <w:szCs w:val="18"/>
              </w:rPr>
            </w:pPr>
            <w:r>
              <w:rPr>
                <w:rFonts w:ascii="SimSun" w:hAnsi="SimSun" w:eastAsia="SimSun" w:cs="SimSun"/>
                <w:sz w:val="18"/>
                <w:szCs w:val="18"/>
                <w:spacing w:val="-3"/>
              </w:rPr>
              <w:t>露天区工</w:t>
            </w:r>
            <w:r>
              <w:rPr>
                <w:rFonts w:ascii="SimSun" w:hAnsi="SimSun" w:eastAsia="SimSun" w:cs="SimSun"/>
                <w:sz w:val="18"/>
                <w:szCs w:val="18"/>
                <w:spacing w:val="-3"/>
              </w:rPr>
              <w:t>业场地</w:t>
            </w:r>
          </w:p>
        </w:tc>
        <w:tc>
          <w:tcPr>
            <w:tcW w:w="1384" w:type="dxa"/>
            <w:vAlign w:val="top"/>
          </w:tcPr>
          <w:p>
            <w:pPr>
              <w:ind w:left="243"/>
              <w:spacing w:before="29" w:line="203" w:lineRule="auto"/>
              <w:rPr>
                <w:rFonts w:ascii="SimSun" w:hAnsi="SimSun" w:eastAsia="SimSun" w:cs="SimSun"/>
                <w:sz w:val="18"/>
                <w:szCs w:val="18"/>
              </w:rPr>
            </w:pPr>
            <w:r>
              <w:rPr>
                <w:rFonts w:ascii="SimSun" w:hAnsi="SimSun" w:eastAsia="SimSun" w:cs="SimSun"/>
                <w:sz w:val="18"/>
                <w:szCs w:val="18"/>
                <w:spacing w:val="-2"/>
              </w:rPr>
              <w:t>换热站补水</w:t>
            </w:r>
          </w:p>
        </w:tc>
        <w:tc>
          <w:tcPr>
            <w:tcW w:w="967" w:type="dxa"/>
            <w:vAlign w:val="top"/>
          </w:tcPr>
          <w:p>
            <w:pPr>
              <w:spacing w:line="227" w:lineRule="exact"/>
              <w:rPr>
                <w:rFonts w:ascii="Arial"/>
                <w:sz w:val="19"/>
              </w:rPr>
            </w:pPr>
            <w:r/>
          </w:p>
        </w:tc>
        <w:tc>
          <w:tcPr>
            <w:tcW w:w="1345" w:type="dxa"/>
            <w:vAlign w:val="top"/>
          </w:tcPr>
          <w:p>
            <w:pPr>
              <w:spacing w:line="227" w:lineRule="exact"/>
              <w:rPr>
                <w:rFonts w:ascii="Arial"/>
                <w:sz w:val="19"/>
              </w:rPr>
            </w:pPr>
            <w:r/>
          </w:p>
        </w:tc>
        <w:tc>
          <w:tcPr>
            <w:tcW w:w="998" w:type="dxa"/>
            <w:vAlign w:val="top"/>
          </w:tcPr>
          <w:p>
            <w:pPr>
              <w:pStyle w:val="TableText"/>
              <w:ind w:left="363"/>
              <w:spacing w:before="57" w:line="188" w:lineRule="auto"/>
              <w:rPr>
                <w:sz w:val="18"/>
                <w:szCs w:val="18"/>
              </w:rPr>
            </w:pPr>
            <w:r>
              <w:rPr>
                <w:sz w:val="18"/>
                <w:szCs w:val="18"/>
                <w:spacing w:val="-1"/>
              </w:rPr>
              <w:t>480</w:t>
            </w:r>
          </w:p>
        </w:tc>
        <w:tc>
          <w:tcPr>
            <w:tcW w:w="1010" w:type="dxa"/>
            <w:vAlign w:val="top"/>
          </w:tcPr>
          <w:p>
            <w:pPr>
              <w:spacing w:line="227" w:lineRule="exact"/>
              <w:rPr>
                <w:rFonts w:ascii="Arial"/>
                <w:sz w:val="19"/>
              </w:rPr>
            </w:pPr>
            <w:r/>
          </w:p>
        </w:tc>
        <w:tc>
          <w:tcPr>
            <w:tcW w:w="983" w:type="dxa"/>
            <w:vAlign w:val="top"/>
          </w:tcPr>
          <w:p>
            <w:pPr>
              <w:spacing w:line="227" w:lineRule="exact"/>
              <w:rPr>
                <w:rFonts w:ascii="Arial"/>
                <w:sz w:val="19"/>
              </w:rPr>
            </w:pPr>
            <w:r/>
          </w:p>
        </w:tc>
        <w:tc>
          <w:tcPr>
            <w:tcW w:w="1569" w:type="dxa"/>
            <w:vAlign w:val="top"/>
            <w:vMerge w:val="restart"/>
            <w:tcBorders>
              <w:bottom w:val="nil"/>
            </w:tcBorders>
          </w:tcPr>
          <w:p>
            <w:pPr>
              <w:ind w:left="114" w:right="110"/>
              <w:spacing w:before="55" w:line="237" w:lineRule="auto"/>
              <w:rPr>
                <w:rFonts w:ascii="SimSun" w:hAnsi="SimSun" w:eastAsia="SimSun" w:cs="SimSun"/>
                <w:sz w:val="18"/>
                <w:szCs w:val="18"/>
              </w:rPr>
            </w:pPr>
            <w:r>
              <w:rPr>
                <w:rFonts w:ascii="SimSun" w:hAnsi="SimSun" w:eastAsia="SimSun" w:cs="SimSun"/>
                <w:sz w:val="18"/>
                <w:szCs w:val="18"/>
                <w:spacing w:val="11"/>
              </w:rPr>
              <w:t>汽车冲洗、道路</w:t>
            </w:r>
            <w:r>
              <w:rPr>
                <w:rFonts w:ascii="SimSun" w:hAnsi="SimSun" w:eastAsia="SimSun" w:cs="SimSun"/>
                <w:sz w:val="18"/>
                <w:szCs w:val="18"/>
                <w:spacing w:val="11"/>
              </w:rPr>
              <w:t>洒水水源为处理</w:t>
            </w:r>
            <w:r>
              <w:rPr>
                <w:rFonts w:ascii="SimSun" w:hAnsi="SimSun" w:eastAsia="SimSun" w:cs="SimSun"/>
                <w:sz w:val="18"/>
                <w:szCs w:val="18"/>
                <w:spacing w:val="9"/>
              </w:rPr>
              <w:t>后的生活污水；</w:t>
            </w:r>
            <w:r>
              <w:rPr>
                <w:rFonts w:ascii="SimSun" w:hAnsi="SimSun" w:eastAsia="SimSun" w:cs="SimSun"/>
                <w:sz w:val="18"/>
                <w:szCs w:val="18"/>
                <w:spacing w:val="11"/>
              </w:rPr>
              <w:t>换热站补水水源</w:t>
            </w:r>
            <w:r>
              <w:rPr>
                <w:rFonts w:ascii="SimSun" w:hAnsi="SimSun" w:eastAsia="SimSun" w:cs="SimSun"/>
                <w:sz w:val="18"/>
                <w:szCs w:val="18"/>
                <w:spacing w:val="5"/>
              </w:rPr>
              <w:t>为矿井（坑）</w:t>
            </w:r>
            <w:r>
              <w:rPr>
                <w:rFonts w:ascii="SimSun" w:hAnsi="SimSun" w:eastAsia="SimSun" w:cs="SimSun"/>
                <w:sz w:val="18"/>
                <w:szCs w:val="18"/>
                <w:spacing w:val="-48"/>
              </w:rPr>
              <w:t xml:space="preserve"> </w:t>
            </w:r>
            <w:r>
              <w:rPr>
                <w:rFonts w:ascii="SimSun" w:hAnsi="SimSun" w:eastAsia="SimSun" w:cs="SimSun"/>
                <w:sz w:val="18"/>
                <w:szCs w:val="18"/>
                <w:spacing w:val="5"/>
              </w:rPr>
              <w:t>混</w:t>
            </w:r>
            <w:r>
              <w:rPr>
                <w:rFonts w:ascii="SimSun" w:hAnsi="SimSun" w:eastAsia="SimSun" w:cs="SimSun"/>
                <w:sz w:val="18"/>
                <w:szCs w:val="18"/>
                <w:spacing w:val="-3"/>
              </w:rPr>
              <w:t>合来水</w:t>
            </w:r>
          </w:p>
        </w:tc>
      </w:tr>
      <w:tr>
        <w:trPr>
          <w:trHeight w:val="239"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153"/>
              <w:spacing w:before="29" w:line="205" w:lineRule="auto"/>
              <w:rPr>
                <w:rFonts w:ascii="SimSun" w:hAnsi="SimSun" w:eastAsia="SimSun" w:cs="SimSun"/>
                <w:sz w:val="18"/>
                <w:szCs w:val="18"/>
              </w:rPr>
            </w:pPr>
            <w:r>
              <w:rPr>
                <w:rFonts w:ascii="SimSun" w:hAnsi="SimSun" w:eastAsia="SimSun" w:cs="SimSun"/>
                <w:sz w:val="18"/>
                <w:szCs w:val="18"/>
                <w:spacing w:val="-2"/>
              </w:rPr>
              <w:t>汽车冲洗用水</w:t>
            </w:r>
          </w:p>
        </w:tc>
        <w:tc>
          <w:tcPr>
            <w:tcW w:w="967" w:type="dxa"/>
            <w:vAlign w:val="top"/>
          </w:tcPr>
          <w:p>
            <w:pPr>
              <w:pStyle w:val="TableText"/>
              <w:ind w:left="252"/>
              <w:spacing w:before="29" w:line="205" w:lineRule="auto"/>
              <w:rPr>
                <w:rFonts w:ascii="SimSun" w:hAnsi="SimSun" w:eastAsia="SimSun" w:cs="SimSun"/>
                <w:sz w:val="18"/>
                <w:szCs w:val="18"/>
              </w:rPr>
            </w:pPr>
            <w:r>
              <w:rPr>
                <w:sz w:val="18"/>
                <w:szCs w:val="18"/>
                <w:spacing w:val="-6"/>
              </w:rPr>
              <w:t>120</w:t>
            </w:r>
            <w:r>
              <w:rPr>
                <w:sz w:val="18"/>
                <w:szCs w:val="18"/>
                <w:spacing w:val="10"/>
              </w:rPr>
              <w:t xml:space="preserve"> </w:t>
            </w:r>
            <w:r>
              <w:rPr>
                <w:rFonts w:ascii="SimSun" w:hAnsi="SimSun" w:eastAsia="SimSun" w:cs="SimSun"/>
                <w:sz w:val="18"/>
                <w:szCs w:val="18"/>
                <w:spacing w:val="-6"/>
              </w:rPr>
              <w:t>辆</w:t>
            </w:r>
          </w:p>
        </w:tc>
        <w:tc>
          <w:tcPr>
            <w:tcW w:w="1345" w:type="dxa"/>
            <w:vAlign w:val="top"/>
          </w:tcPr>
          <w:p>
            <w:pPr>
              <w:pStyle w:val="TableText"/>
              <w:ind w:left="228"/>
              <w:spacing w:before="29" w:line="205" w:lineRule="auto"/>
              <w:rPr>
                <w:rFonts w:ascii="SimSun" w:hAnsi="SimSun" w:eastAsia="SimSun" w:cs="SimSun"/>
                <w:sz w:val="18"/>
                <w:szCs w:val="18"/>
              </w:rPr>
            </w:pPr>
            <w:r>
              <w:rPr>
                <w:sz w:val="18"/>
                <w:szCs w:val="18"/>
                <w:spacing w:val="-3"/>
              </w:rPr>
              <w:t>1500L/</w:t>
            </w:r>
            <w:r>
              <w:rPr>
                <w:rFonts w:ascii="SimSun" w:hAnsi="SimSun" w:eastAsia="SimSun" w:cs="SimSun"/>
                <w:sz w:val="18"/>
                <w:szCs w:val="18"/>
                <w:spacing w:val="-3"/>
              </w:rPr>
              <w:t>辆</w:t>
            </w:r>
            <w:r>
              <w:rPr>
                <w:sz w:val="18"/>
                <w:szCs w:val="18"/>
                <w:spacing w:val="-3"/>
              </w:rPr>
              <w:t>. </w:t>
            </w:r>
            <w:r>
              <w:rPr>
                <w:rFonts w:ascii="SimSun" w:hAnsi="SimSun" w:eastAsia="SimSun" w:cs="SimSun"/>
                <w:sz w:val="18"/>
                <w:szCs w:val="18"/>
                <w:spacing w:val="-3"/>
              </w:rPr>
              <w:t>日</w:t>
            </w:r>
          </w:p>
        </w:tc>
        <w:tc>
          <w:tcPr>
            <w:tcW w:w="998" w:type="dxa"/>
            <w:vAlign w:val="top"/>
          </w:tcPr>
          <w:p>
            <w:pPr>
              <w:pStyle w:val="TableText"/>
              <w:ind w:left="410"/>
              <w:spacing w:before="60" w:line="188" w:lineRule="auto"/>
              <w:rPr>
                <w:sz w:val="18"/>
                <w:szCs w:val="18"/>
              </w:rPr>
            </w:pPr>
            <w:r>
              <w:rPr>
                <w:sz w:val="18"/>
                <w:szCs w:val="18"/>
                <w:spacing w:val="-4"/>
              </w:rPr>
              <w:t>36</w:t>
            </w:r>
          </w:p>
        </w:tc>
        <w:tc>
          <w:tcPr>
            <w:tcW w:w="1010" w:type="dxa"/>
            <w:vAlign w:val="top"/>
          </w:tcPr>
          <w:p>
            <w:pPr>
              <w:spacing w:line="229" w:lineRule="exact"/>
              <w:rPr>
                <w:rFonts w:ascii="Arial"/>
                <w:sz w:val="19"/>
              </w:rPr>
            </w:pPr>
            <w:r/>
          </w:p>
        </w:tc>
        <w:tc>
          <w:tcPr>
            <w:tcW w:w="983" w:type="dxa"/>
            <w:vAlign w:val="top"/>
          </w:tcPr>
          <w:p>
            <w:pPr>
              <w:spacing w:line="229" w:lineRule="exact"/>
              <w:rPr>
                <w:rFonts w:ascii="Arial"/>
                <w:sz w:val="19"/>
              </w:rPr>
            </w:pPr>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2"/>
              <w:spacing w:before="30" w:line="202" w:lineRule="auto"/>
              <w:rPr>
                <w:rFonts w:ascii="SimSun" w:hAnsi="SimSun" w:eastAsia="SimSun" w:cs="SimSun"/>
                <w:sz w:val="18"/>
                <w:szCs w:val="18"/>
              </w:rPr>
            </w:pPr>
            <w:r>
              <w:rPr>
                <w:rFonts w:ascii="SimSun" w:hAnsi="SimSun" w:eastAsia="SimSun" w:cs="SimSun"/>
                <w:sz w:val="18"/>
                <w:szCs w:val="18"/>
                <w:spacing w:val="-2"/>
              </w:rPr>
              <w:t>道路洒水</w:t>
            </w:r>
          </w:p>
        </w:tc>
        <w:tc>
          <w:tcPr>
            <w:tcW w:w="967" w:type="dxa"/>
            <w:vAlign w:val="top"/>
          </w:tcPr>
          <w:p>
            <w:pPr>
              <w:spacing w:line="227" w:lineRule="exact"/>
              <w:rPr>
                <w:rFonts w:ascii="Arial"/>
                <w:sz w:val="19"/>
              </w:rPr>
            </w:pPr>
            <w:r/>
          </w:p>
        </w:tc>
        <w:tc>
          <w:tcPr>
            <w:tcW w:w="1345" w:type="dxa"/>
            <w:vAlign w:val="top"/>
          </w:tcPr>
          <w:p>
            <w:pPr>
              <w:spacing w:line="227" w:lineRule="exact"/>
              <w:rPr>
                <w:rFonts w:ascii="Arial"/>
                <w:sz w:val="19"/>
              </w:rPr>
            </w:pPr>
            <w:r/>
          </w:p>
        </w:tc>
        <w:tc>
          <w:tcPr>
            <w:tcW w:w="998" w:type="dxa"/>
            <w:vAlign w:val="top"/>
          </w:tcPr>
          <w:p>
            <w:pPr>
              <w:pStyle w:val="TableText"/>
              <w:ind w:left="381"/>
              <w:spacing w:before="58" w:line="188" w:lineRule="auto"/>
              <w:rPr>
                <w:sz w:val="18"/>
                <w:szCs w:val="18"/>
              </w:rPr>
            </w:pPr>
            <w:r>
              <w:rPr>
                <w:sz w:val="18"/>
                <w:szCs w:val="18"/>
                <w:spacing w:val="-7"/>
              </w:rPr>
              <w:t>150</w:t>
            </w:r>
          </w:p>
        </w:tc>
        <w:tc>
          <w:tcPr>
            <w:tcW w:w="1010" w:type="dxa"/>
            <w:vAlign w:val="top"/>
          </w:tcPr>
          <w:p>
            <w:pPr>
              <w:spacing w:line="227" w:lineRule="exact"/>
              <w:rPr>
                <w:rFonts w:ascii="Arial"/>
                <w:sz w:val="19"/>
              </w:rPr>
            </w:pPr>
            <w:r/>
          </w:p>
        </w:tc>
        <w:tc>
          <w:tcPr>
            <w:tcW w:w="983" w:type="dxa"/>
            <w:vAlign w:val="top"/>
          </w:tcPr>
          <w:p>
            <w:pPr>
              <w:spacing w:line="227" w:lineRule="exact"/>
              <w:rPr>
                <w:rFonts w:ascii="Arial"/>
                <w:sz w:val="19"/>
              </w:rPr>
            </w:pPr>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5"/>
              <w:spacing w:before="30" w:line="202" w:lineRule="auto"/>
              <w:rPr>
                <w:rFonts w:ascii="SimSun" w:hAnsi="SimSun" w:eastAsia="SimSun" w:cs="SimSun"/>
                <w:sz w:val="18"/>
                <w:szCs w:val="18"/>
              </w:rPr>
            </w:pPr>
            <w:r>
              <w:rPr>
                <w:rFonts w:ascii="SimSun" w:hAnsi="SimSun" w:eastAsia="SimSun" w:cs="SimSun"/>
                <w:sz w:val="18"/>
                <w:szCs w:val="18"/>
                <w:spacing w:val="-3"/>
              </w:rPr>
              <w:t>绿化洒水</w:t>
            </w:r>
          </w:p>
        </w:tc>
        <w:tc>
          <w:tcPr>
            <w:tcW w:w="967" w:type="dxa"/>
            <w:vAlign w:val="top"/>
          </w:tcPr>
          <w:p>
            <w:pPr>
              <w:spacing w:line="227" w:lineRule="exact"/>
              <w:rPr>
                <w:rFonts w:ascii="Arial"/>
                <w:sz w:val="19"/>
              </w:rPr>
            </w:pPr>
            <w:r/>
          </w:p>
        </w:tc>
        <w:tc>
          <w:tcPr>
            <w:tcW w:w="1345" w:type="dxa"/>
            <w:vAlign w:val="top"/>
          </w:tcPr>
          <w:p>
            <w:pPr>
              <w:spacing w:line="227" w:lineRule="exact"/>
              <w:rPr>
                <w:rFonts w:ascii="Arial"/>
                <w:sz w:val="19"/>
              </w:rPr>
            </w:pPr>
            <w:r/>
          </w:p>
        </w:tc>
        <w:tc>
          <w:tcPr>
            <w:tcW w:w="998" w:type="dxa"/>
            <w:vAlign w:val="top"/>
          </w:tcPr>
          <w:p>
            <w:pPr>
              <w:pStyle w:val="TableText"/>
              <w:ind w:left="457"/>
              <w:spacing w:before="59" w:line="188" w:lineRule="auto"/>
              <w:rPr>
                <w:sz w:val="18"/>
                <w:szCs w:val="18"/>
              </w:rPr>
            </w:pPr>
            <w:r>
              <w:rPr>
                <w:sz w:val="18"/>
                <w:szCs w:val="18"/>
              </w:rPr>
              <w:t>0</w:t>
            </w:r>
          </w:p>
        </w:tc>
        <w:tc>
          <w:tcPr>
            <w:tcW w:w="1010" w:type="dxa"/>
            <w:vAlign w:val="top"/>
          </w:tcPr>
          <w:p>
            <w:pPr>
              <w:spacing w:line="227" w:lineRule="exact"/>
              <w:rPr>
                <w:rFonts w:ascii="Arial"/>
                <w:sz w:val="19"/>
              </w:rPr>
            </w:pPr>
            <w:r/>
          </w:p>
        </w:tc>
        <w:tc>
          <w:tcPr>
            <w:tcW w:w="983" w:type="dxa"/>
            <w:vAlign w:val="top"/>
          </w:tcPr>
          <w:p>
            <w:pPr>
              <w:spacing w:line="227" w:lineRule="exact"/>
              <w:rPr>
                <w:rFonts w:ascii="Arial"/>
                <w:sz w:val="19"/>
              </w:rPr>
            </w:pPr>
            <w:r/>
          </w:p>
        </w:tc>
        <w:tc>
          <w:tcPr>
            <w:tcW w:w="1569" w:type="dxa"/>
            <w:vAlign w:val="top"/>
            <w:vMerge w:val="continue"/>
            <w:tcBorders>
              <w:top w:val="nil"/>
              <w:bottom w:val="nil"/>
            </w:tcBorders>
          </w:tcPr>
          <w:p>
            <w:pPr>
              <w:rPr>
                <w:rFonts w:ascii="Arial"/>
                <w:sz w:val="21"/>
              </w:rPr>
            </w:pPr>
            <w:r/>
          </w:p>
        </w:tc>
      </w:tr>
      <w:tr>
        <w:trPr>
          <w:trHeight w:val="240" w:hRule="atLeast"/>
        </w:trPr>
        <w:tc>
          <w:tcPr>
            <w:tcW w:w="1034" w:type="dxa"/>
            <w:vAlign w:val="top"/>
            <w:vMerge w:val="continue"/>
            <w:tcBorders>
              <w:top w:val="nil"/>
              <w:bottom w:val="nil"/>
            </w:tcBorders>
          </w:tcPr>
          <w:p>
            <w:pPr>
              <w:rPr>
                <w:rFonts w:ascii="Arial"/>
                <w:sz w:val="21"/>
              </w:rPr>
            </w:pPr>
            <w:r/>
          </w:p>
        </w:tc>
        <w:tc>
          <w:tcPr>
            <w:tcW w:w="1384" w:type="dxa"/>
            <w:vAlign w:val="top"/>
          </w:tcPr>
          <w:p>
            <w:pPr>
              <w:ind w:left="332"/>
              <w:spacing w:before="31" w:line="204" w:lineRule="auto"/>
              <w:rPr>
                <w:rFonts w:ascii="SimSun" w:hAnsi="SimSun" w:eastAsia="SimSun" w:cs="SimSun"/>
                <w:sz w:val="18"/>
                <w:szCs w:val="18"/>
              </w:rPr>
            </w:pPr>
            <w:r>
              <w:rPr>
                <w:rFonts w:ascii="SimSun" w:hAnsi="SimSun" w:eastAsia="SimSun" w:cs="SimSun"/>
                <w:sz w:val="18"/>
                <w:szCs w:val="18"/>
                <w:spacing w:val="-2"/>
              </w:rPr>
              <w:t>采场洒水</w:t>
            </w:r>
          </w:p>
        </w:tc>
        <w:tc>
          <w:tcPr>
            <w:tcW w:w="967" w:type="dxa"/>
            <w:vAlign w:val="top"/>
          </w:tcPr>
          <w:p>
            <w:pPr>
              <w:spacing w:line="230" w:lineRule="exact"/>
              <w:rPr>
                <w:rFonts w:ascii="Arial"/>
                <w:sz w:val="20"/>
              </w:rPr>
            </w:pPr>
            <w:r/>
          </w:p>
        </w:tc>
        <w:tc>
          <w:tcPr>
            <w:tcW w:w="1345" w:type="dxa"/>
            <w:vAlign w:val="top"/>
          </w:tcPr>
          <w:p>
            <w:pPr>
              <w:spacing w:line="230" w:lineRule="exact"/>
              <w:rPr>
                <w:rFonts w:ascii="Arial"/>
                <w:sz w:val="20"/>
              </w:rPr>
            </w:pPr>
            <w:r/>
          </w:p>
        </w:tc>
        <w:tc>
          <w:tcPr>
            <w:tcW w:w="998" w:type="dxa"/>
            <w:vAlign w:val="top"/>
          </w:tcPr>
          <w:p>
            <w:pPr>
              <w:pStyle w:val="TableText"/>
              <w:ind w:left="457"/>
              <w:spacing w:before="62" w:line="188" w:lineRule="auto"/>
              <w:rPr>
                <w:sz w:val="18"/>
                <w:szCs w:val="18"/>
              </w:rPr>
            </w:pPr>
            <w:r>
              <w:rPr>
                <w:sz w:val="18"/>
                <w:szCs w:val="18"/>
              </w:rPr>
              <w:t>0</w:t>
            </w:r>
          </w:p>
        </w:tc>
        <w:tc>
          <w:tcPr>
            <w:tcW w:w="1010" w:type="dxa"/>
            <w:vAlign w:val="top"/>
          </w:tcPr>
          <w:p>
            <w:pPr>
              <w:spacing w:line="230" w:lineRule="exact"/>
              <w:rPr>
                <w:rFonts w:ascii="Arial"/>
                <w:sz w:val="20"/>
              </w:rPr>
            </w:pPr>
            <w:r/>
          </w:p>
        </w:tc>
        <w:tc>
          <w:tcPr>
            <w:tcW w:w="983" w:type="dxa"/>
            <w:vAlign w:val="top"/>
          </w:tcPr>
          <w:p>
            <w:pPr>
              <w:spacing w:line="230" w:lineRule="exact"/>
              <w:rPr>
                <w:rFonts w:ascii="Arial"/>
                <w:sz w:val="20"/>
              </w:rPr>
            </w:pPr>
            <w:r/>
          </w:p>
        </w:tc>
        <w:tc>
          <w:tcPr>
            <w:tcW w:w="1569" w:type="dxa"/>
            <w:vAlign w:val="top"/>
            <w:vMerge w:val="continue"/>
            <w:tcBorders>
              <w:top w:val="nil"/>
              <w:bottom w:val="nil"/>
            </w:tcBorders>
          </w:tcPr>
          <w:p>
            <w:pPr>
              <w:rPr>
                <w:rFonts w:ascii="Arial"/>
                <w:sz w:val="21"/>
              </w:rPr>
            </w:pPr>
            <w:r/>
          </w:p>
        </w:tc>
      </w:tr>
      <w:tr>
        <w:trPr>
          <w:trHeight w:val="237" w:hRule="atLeast"/>
        </w:trPr>
        <w:tc>
          <w:tcPr>
            <w:tcW w:w="1034" w:type="dxa"/>
            <w:vAlign w:val="top"/>
            <w:vMerge w:val="continue"/>
            <w:tcBorders>
              <w:top w:val="nil"/>
            </w:tcBorders>
          </w:tcPr>
          <w:p>
            <w:pPr>
              <w:rPr>
                <w:rFonts w:ascii="Arial"/>
                <w:sz w:val="21"/>
              </w:rPr>
            </w:pPr>
            <w:r/>
          </w:p>
        </w:tc>
        <w:tc>
          <w:tcPr>
            <w:tcW w:w="1384" w:type="dxa"/>
            <w:vAlign w:val="top"/>
          </w:tcPr>
          <w:p>
            <w:pPr>
              <w:ind w:left="518"/>
              <w:spacing w:before="31" w:line="201" w:lineRule="auto"/>
              <w:rPr>
                <w:rFonts w:ascii="SimSun" w:hAnsi="SimSun" w:eastAsia="SimSun" w:cs="SimSun"/>
                <w:sz w:val="18"/>
                <w:szCs w:val="18"/>
              </w:rPr>
            </w:pPr>
            <w:r>
              <w:rPr>
                <w:rFonts w:ascii="SimSun" w:hAnsi="SimSun" w:eastAsia="SimSun" w:cs="SimSun"/>
                <w:sz w:val="18"/>
                <w:szCs w:val="18"/>
                <w:spacing w:val="-6"/>
              </w:rPr>
              <w:t>小计</w:t>
            </w:r>
          </w:p>
        </w:tc>
        <w:tc>
          <w:tcPr>
            <w:tcW w:w="967" w:type="dxa"/>
            <w:vAlign w:val="top"/>
          </w:tcPr>
          <w:p>
            <w:pPr>
              <w:spacing w:line="227" w:lineRule="exact"/>
              <w:rPr>
                <w:rFonts w:ascii="Arial"/>
                <w:sz w:val="19"/>
              </w:rPr>
            </w:pPr>
            <w:r/>
          </w:p>
        </w:tc>
        <w:tc>
          <w:tcPr>
            <w:tcW w:w="1345" w:type="dxa"/>
            <w:vAlign w:val="top"/>
          </w:tcPr>
          <w:p>
            <w:pPr>
              <w:spacing w:line="227" w:lineRule="exact"/>
              <w:rPr>
                <w:rFonts w:ascii="Arial"/>
                <w:sz w:val="19"/>
              </w:rPr>
            </w:pPr>
            <w:r/>
          </w:p>
        </w:tc>
        <w:tc>
          <w:tcPr>
            <w:tcW w:w="998" w:type="dxa"/>
            <w:vAlign w:val="top"/>
          </w:tcPr>
          <w:p>
            <w:pPr>
              <w:pStyle w:val="TableText"/>
              <w:ind w:left="367"/>
              <w:spacing w:before="59" w:line="188" w:lineRule="auto"/>
              <w:rPr>
                <w:sz w:val="18"/>
                <w:szCs w:val="18"/>
              </w:rPr>
            </w:pPr>
            <w:r>
              <w:rPr>
                <w:sz w:val="18"/>
                <w:szCs w:val="18"/>
                <w:spacing w:val="-3"/>
              </w:rPr>
              <w:t>666</w:t>
            </w:r>
          </w:p>
        </w:tc>
        <w:tc>
          <w:tcPr>
            <w:tcW w:w="1010" w:type="dxa"/>
            <w:vAlign w:val="top"/>
          </w:tcPr>
          <w:p>
            <w:pPr>
              <w:spacing w:line="227" w:lineRule="exact"/>
              <w:rPr>
                <w:rFonts w:ascii="Arial"/>
                <w:sz w:val="19"/>
              </w:rPr>
            </w:pPr>
            <w:r/>
          </w:p>
        </w:tc>
        <w:tc>
          <w:tcPr>
            <w:tcW w:w="983" w:type="dxa"/>
            <w:vAlign w:val="top"/>
          </w:tcPr>
          <w:p>
            <w:pPr>
              <w:spacing w:line="227" w:lineRule="exact"/>
              <w:rPr>
                <w:rFonts w:ascii="Arial"/>
                <w:sz w:val="19"/>
              </w:rPr>
            </w:pPr>
            <w:r/>
          </w:p>
        </w:tc>
        <w:tc>
          <w:tcPr>
            <w:tcW w:w="1569" w:type="dxa"/>
            <w:vAlign w:val="top"/>
            <w:vMerge w:val="continue"/>
            <w:tcBorders>
              <w:top w:val="nil"/>
            </w:tcBorders>
          </w:tcPr>
          <w:p>
            <w:pPr>
              <w:rPr>
                <w:rFonts w:ascii="Arial"/>
                <w:sz w:val="21"/>
              </w:rPr>
            </w:pPr>
            <w:r/>
          </w:p>
        </w:tc>
      </w:tr>
      <w:tr>
        <w:trPr>
          <w:trHeight w:val="240" w:hRule="atLeast"/>
        </w:trPr>
        <w:tc>
          <w:tcPr>
            <w:tcW w:w="1034" w:type="dxa"/>
            <w:vAlign w:val="top"/>
          </w:tcPr>
          <w:p>
            <w:pPr>
              <w:ind w:left="431"/>
              <w:spacing w:before="31" w:line="204" w:lineRule="auto"/>
              <w:rPr>
                <w:rFonts w:ascii="SimSun" w:hAnsi="SimSun" w:eastAsia="SimSun" w:cs="SimSun"/>
                <w:sz w:val="18"/>
                <w:szCs w:val="18"/>
              </w:rPr>
            </w:pPr>
            <w:r>
              <w:rPr>
                <w:rFonts w:ascii="SimSun" w:hAnsi="SimSun" w:eastAsia="SimSun" w:cs="SimSun"/>
                <w:sz w:val="18"/>
                <w:szCs w:val="18"/>
              </w:rPr>
              <w:t>三</w:t>
            </w:r>
          </w:p>
        </w:tc>
        <w:tc>
          <w:tcPr>
            <w:tcW w:w="1384" w:type="dxa"/>
            <w:vAlign w:val="top"/>
          </w:tcPr>
          <w:p>
            <w:pPr>
              <w:ind w:left="337"/>
              <w:spacing w:before="31" w:line="204" w:lineRule="auto"/>
              <w:rPr>
                <w:rFonts w:ascii="SimSun" w:hAnsi="SimSun" w:eastAsia="SimSun" w:cs="SimSun"/>
                <w:sz w:val="18"/>
                <w:szCs w:val="18"/>
              </w:rPr>
            </w:pPr>
            <w:r>
              <w:rPr>
                <w:rFonts w:ascii="SimSun" w:hAnsi="SimSun" w:eastAsia="SimSun" w:cs="SimSun"/>
                <w:sz w:val="18"/>
                <w:szCs w:val="18"/>
                <w:spacing w:val="-3"/>
              </w:rPr>
              <w:t>消防用水</w:t>
            </w:r>
          </w:p>
        </w:tc>
        <w:tc>
          <w:tcPr>
            <w:tcW w:w="967" w:type="dxa"/>
            <w:vAlign w:val="top"/>
          </w:tcPr>
          <w:p>
            <w:pPr>
              <w:spacing w:line="230" w:lineRule="exact"/>
              <w:rPr>
                <w:rFonts w:ascii="Arial"/>
                <w:sz w:val="20"/>
              </w:rPr>
            </w:pPr>
            <w:r/>
          </w:p>
        </w:tc>
        <w:tc>
          <w:tcPr>
            <w:tcW w:w="1345" w:type="dxa"/>
            <w:vAlign w:val="top"/>
          </w:tcPr>
          <w:p>
            <w:pPr>
              <w:spacing w:line="230" w:lineRule="exact"/>
              <w:rPr>
                <w:rFonts w:ascii="Arial"/>
                <w:sz w:val="20"/>
              </w:rPr>
            </w:pPr>
            <w:r/>
          </w:p>
        </w:tc>
        <w:tc>
          <w:tcPr>
            <w:tcW w:w="998" w:type="dxa"/>
            <w:vAlign w:val="top"/>
          </w:tcPr>
          <w:p>
            <w:pPr>
              <w:pStyle w:val="TableText"/>
              <w:ind w:left="366"/>
              <w:spacing w:before="62" w:line="188" w:lineRule="auto"/>
              <w:rPr>
                <w:sz w:val="18"/>
                <w:szCs w:val="18"/>
              </w:rPr>
            </w:pPr>
            <w:r>
              <w:rPr>
                <w:sz w:val="18"/>
                <w:szCs w:val="18"/>
                <w:spacing w:val="-2"/>
              </w:rPr>
              <w:t>702</w:t>
            </w:r>
          </w:p>
        </w:tc>
        <w:tc>
          <w:tcPr>
            <w:tcW w:w="1010" w:type="dxa"/>
            <w:vAlign w:val="top"/>
          </w:tcPr>
          <w:p>
            <w:pPr>
              <w:spacing w:line="230" w:lineRule="exact"/>
              <w:rPr>
                <w:rFonts w:ascii="Arial"/>
                <w:sz w:val="20"/>
              </w:rPr>
            </w:pPr>
            <w:r/>
          </w:p>
        </w:tc>
        <w:tc>
          <w:tcPr>
            <w:tcW w:w="983" w:type="dxa"/>
            <w:vAlign w:val="top"/>
          </w:tcPr>
          <w:p>
            <w:pPr>
              <w:spacing w:line="230" w:lineRule="exact"/>
              <w:rPr>
                <w:rFonts w:ascii="Arial"/>
                <w:sz w:val="20"/>
              </w:rPr>
            </w:pPr>
            <w:r/>
          </w:p>
        </w:tc>
        <w:tc>
          <w:tcPr>
            <w:tcW w:w="1569" w:type="dxa"/>
            <w:vAlign w:val="top"/>
          </w:tcPr>
          <w:p>
            <w:pPr>
              <w:spacing w:line="230" w:lineRule="exact"/>
              <w:rPr>
                <w:rFonts w:ascii="Arial"/>
                <w:sz w:val="20"/>
              </w:rPr>
            </w:pPr>
            <w:r/>
          </w:p>
        </w:tc>
      </w:tr>
      <w:tr>
        <w:trPr>
          <w:trHeight w:val="242" w:hRule="atLeast"/>
        </w:trPr>
        <w:tc>
          <w:tcPr>
            <w:tcW w:w="2418" w:type="dxa"/>
            <w:vAlign w:val="top"/>
            <w:gridSpan w:val="2"/>
          </w:tcPr>
          <w:p>
            <w:pPr>
              <w:ind w:left="1038"/>
              <w:spacing w:before="31" w:line="206" w:lineRule="auto"/>
              <w:rPr>
                <w:rFonts w:ascii="SimSun" w:hAnsi="SimSun" w:eastAsia="SimSun" w:cs="SimSun"/>
                <w:sz w:val="18"/>
                <w:szCs w:val="18"/>
              </w:rPr>
            </w:pPr>
            <w:r>
              <w:rPr>
                <w:rFonts w:ascii="SimSun" w:hAnsi="SimSun" w:eastAsia="SimSun" w:cs="SimSun"/>
                <w:sz w:val="18"/>
                <w:szCs w:val="18"/>
                <w:spacing w:val="-6"/>
              </w:rPr>
              <w:t>总计</w:t>
            </w:r>
          </w:p>
        </w:tc>
        <w:tc>
          <w:tcPr>
            <w:tcW w:w="967" w:type="dxa"/>
            <w:vAlign w:val="top"/>
          </w:tcPr>
          <w:p>
            <w:pPr>
              <w:spacing w:line="232" w:lineRule="exact"/>
              <w:rPr>
                <w:rFonts w:ascii="Arial"/>
                <w:sz w:val="20"/>
              </w:rPr>
            </w:pPr>
            <w:r/>
          </w:p>
        </w:tc>
        <w:tc>
          <w:tcPr>
            <w:tcW w:w="1345" w:type="dxa"/>
            <w:vAlign w:val="top"/>
          </w:tcPr>
          <w:p>
            <w:pPr>
              <w:spacing w:line="232" w:lineRule="exact"/>
              <w:rPr>
                <w:rFonts w:ascii="Arial"/>
                <w:sz w:val="20"/>
              </w:rPr>
            </w:pPr>
            <w:r/>
          </w:p>
        </w:tc>
        <w:tc>
          <w:tcPr>
            <w:tcW w:w="998" w:type="dxa"/>
            <w:vAlign w:val="top"/>
          </w:tcPr>
          <w:p>
            <w:pPr>
              <w:pStyle w:val="TableText"/>
              <w:ind w:left="338"/>
              <w:spacing w:before="59" w:line="188" w:lineRule="auto"/>
              <w:rPr>
                <w:sz w:val="18"/>
                <w:szCs w:val="18"/>
              </w:rPr>
            </w:pPr>
            <w:r>
              <w:rPr>
                <w:sz w:val="18"/>
                <w:szCs w:val="18"/>
                <w:spacing w:val="-5"/>
              </w:rPr>
              <w:t>1817</w:t>
            </w:r>
          </w:p>
        </w:tc>
        <w:tc>
          <w:tcPr>
            <w:tcW w:w="1010" w:type="dxa"/>
            <w:vAlign w:val="top"/>
          </w:tcPr>
          <w:p>
            <w:pPr>
              <w:spacing w:line="232" w:lineRule="exact"/>
              <w:rPr>
                <w:rFonts w:ascii="Arial"/>
                <w:sz w:val="20"/>
              </w:rPr>
            </w:pPr>
            <w:r/>
          </w:p>
        </w:tc>
        <w:tc>
          <w:tcPr>
            <w:tcW w:w="983" w:type="dxa"/>
            <w:vAlign w:val="top"/>
          </w:tcPr>
          <w:p>
            <w:pPr>
              <w:pStyle w:val="TableText"/>
              <w:ind w:left="359"/>
              <w:spacing w:before="59" w:line="188" w:lineRule="auto"/>
              <w:rPr>
                <w:sz w:val="18"/>
                <w:szCs w:val="18"/>
              </w:rPr>
            </w:pPr>
            <w:r>
              <w:rPr>
                <w:sz w:val="18"/>
                <w:szCs w:val="18"/>
                <w:spacing w:val="-1"/>
              </w:rPr>
              <w:t>422</w:t>
            </w:r>
          </w:p>
        </w:tc>
        <w:tc>
          <w:tcPr>
            <w:tcW w:w="1569" w:type="dxa"/>
            <w:vAlign w:val="top"/>
          </w:tcPr>
          <w:p>
            <w:pPr>
              <w:spacing w:line="232" w:lineRule="exact"/>
              <w:rPr>
                <w:rFonts w:ascii="Arial"/>
                <w:sz w:val="20"/>
              </w:rPr>
            </w:pPr>
            <w:r/>
          </w:p>
        </w:tc>
      </w:tr>
    </w:tbl>
    <w:p>
      <w:pPr>
        <w:ind w:left="118"/>
        <w:spacing w:before="28" w:line="228" w:lineRule="auto"/>
        <w:rPr>
          <w:rFonts w:ascii="SimSun" w:hAnsi="SimSun" w:eastAsia="SimSun" w:cs="SimSun"/>
          <w:sz w:val="20"/>
          <w:szCs w:val="20"/>
        </w:rPr>
      </w:pPr>
      <w:r>
        <w:rPr>
          <w:rFonts w:ascii="SimSun" w:hAnsi="SimSun" w:eastAsia="SimSun" w:cs="SimSun"/>
          <w:sz w:val="20"/>
          <w:szCs w:val="20"/>
          <w:spacing w:val="9"/>
        </w:rPr>
        <w:t>注：表中统计的汽车冲洗用水量为补水量</w:t>
      </w:r>
    </w:p>
    <w:p>
      <w:pPr>
        <w:ind w:left="3574"/>
        <w:spacing w:before="268" w:line="221" w:lineRule="auto"/>
        <w:rPr>
          <w:rFonts w:ascii="SimHei" w:hAnsi="SimHei" w:eastAsia="SimHei" w:cs="SimHei"/>
          <w:sz w:val="24"/>
          <w:szCs w:val="24"/>
        </w:rPr>
      </w:pPr>
      <w:r>
        <w:rPr>
          <w:rFonts w:ascii="SimHei" w:hAnsi="SimHei" w:eastAsia="SimHei" w:cs="SimHei"/>
          <w:sz w:val="24"/>
          <w:szCs w:val="24"/>
          <w:spacing w:val="-1"/>
        </w:rPr>
        <w:t>水量平衡表（非采暖期）</w:t>
      </w:r>
    </w:p>
    <w:p>
      <w:pPr>
        <w:ind w:left="117"/>
        <w:spacing w:before="72"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2"/>
        </w:rPr>
        <w:t>3-5-14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29"/>
        <w:gridCol w:w="1384"/>
        <w:gridCol w:w="969"/>
        <w:gridCol w:w="1343"/>
        <w:gridCol w:w="998"/>
        <w:gridCol w:w="1010"/>
        <w:gridCol w:w="998"/>
        <w:gridCol w:w="1559"/>
      </w:tblGrid>
      <w:tr>
        <w:trPr>
          <w:trHeight w:val="477" w:hRule="atLeast"/>
        </w:trPr>
        <w:tc>
          <w:tcPr>
            <w:tcW w:w="1029" w:type="dxa"/>
            <w:vAlign w:val="top"/>
          </w:tcPr>
          <w:p>
            <w:pPr>
              <w:ind w:left="339"/>
              <w:spacing w:before="147" w:line="221" w:lineRule="auto"/>
              <w:rPr>
                <w:rFonts w:ascii="SimSun" w:hAnsi="SimSun" w:eastAsia="SimSun" w:cs="SimSun"/>
                <w:sz w:val="18"/>
                <w:szCs w:val="18"/>
              </w:rPr>
            </w:pPr>
            <w:r>
              <w:rPr>
                <w:rFonts w:ascii="SimSun" w:hAnsi="SimSun" w:eastAsia="SimSun" w:cs="SimSun"/>
                <w:sz w:val="18"/>
                <w:szCs w:val="18"/>
                <w:spacing w:val="-4"/>
              </w:rPr>
              <w:t>序号</w:t>
            </w:r>
          </w:p>
        </w:tc>
        <w:tc>
          <w:tcPr>
            <w:tcW w:w="1384" w:type="dxa"/>
            <w:vAlign w:val="top"/>
          </w:tcPr>
          <w:p>
            <w:pPr>
              <w:ind w:left="337"/>
              <w:spacing w:before="147" w:line="219" w:lineRule="auto"/>
              <w:rPr>
                <w:rFonts w:ascii="SimSun" w:hAnsi="SimSun" w:eastAsia="SimSun" w:cs="SimSun"/>
                <w:sz w:val="18"/>
                <w:szCs w:val="18"/>
              </w:rPr>
            </w:pPr>
            <w:r>
              <w:rPr>
                <w:rFonts w:ascii="SimSun" w:hAnsi="SimSun" w:eastAsia="SimSun" w:cs="SimSun"/>
                <w:sz w:val="18"/>
                <w:szCs w:val="18"/>
                <w:spacing w:val="-3"/>
              </w:rPr>
              <w:t>用水项目</w:t>
            </w:r>
          </w:p>
        </w:tc>
        <w:tc>
          <w:tcPr>
            <w:tcW w:w="969" w:type="dxa"/>
            <w:vAlign w:val="top"/>
          </w:tcPr>
          <w:p>
            <w:pPr>
              <w:ind w:left="308"/>
              <w:spacing w:before="147" w:line="219" w:lineRule="auto"/>
              <w:rPr>
                <w:rFonts w:ascii="SimSun" w:hAnsi="SimSun" w:eastAsia="SimSun" w:cs="SimSun"/>
                <w:sz w:val="18"/>
                <w:szCs w:val="18"/>
              </w:rPr>
            </w:pPr>
            <w:r>
              <w:rPr>
                <w:rFonts w:ascii="SimSun" w:hAnsi="SimSun" w:eastAsia="SimSun" w:cs="SimSun"/>
                <w:sz w:val="18"/>
                <w:szCs w:val="18"/>
                <w:spacing w:val="-4"/>
              </w:rPr>
              <w:t>规模</w:t>
            </w:r>
          </w:p>
        </w:tc>
        <w:tc>
          <w:tcPr>
            <w:tcW w:w="1343" w:type="dxa"/>
            <w:vAlign w:val="top"/>
          </w:tcPr>
          <w:p>
            <w:pPr>
              <w:ind w:left="317"/>
              <w:spacing w:before="147" w:line="219" w:lineRule="auto"/>
              <w:rPr>
                <w:rFonts w:ascii="SimSun" w:hAnsi="SimSun" w:eastAsia="SimSun" w:cs="SimSun"/>
                <w:sz w:val="18"/>
                <w:szCs w:val="18"/>
              </w:rPr>
            </w:pPr>
            <w:r>
              <w:rPr>
                <w:rFonts w:ascii="SimSun" w:hAnsi="SimSun" w:eastAsia="SimSun" w:cs="SimSun"/>
                <w:sz w:val="18"/>
                <w:szCs w:val="18"/>
                <w:spacing w:val="-3"/>
              </w:rPr>
              <w:t>用水定额</w:t>
            </w:r>
          </w:p>
        </w:tc>
        <w:tc>
          <w:tcPr>
            <w:tcW w:w="998" w:type="dxa"/>
            <w:vAlign w:val="top"/>
          </w:tcPr>
          <w:p>
            <w:pPr>
              <w:pStyle w:val="TableText"/>
              <w:ind w:left="161" w:right="159" w:firstLine="75"/>
              <w:spacing w:before="30" w:line="224" w:lineRule="auto"/>
              <w:rPr>
                <w:rFonts w:ascii="SimSun" w:hAnsi="SimSun" w:eastAsia="SimSun" w:cs="SimSun"/>
                <w:sz w:val="18"/>
                <w:szCs w:val="18"/>
              </w:rPr>
            </w:pPr>
            <w:r>
              <w:rPr>
                <w:rFonts w:ascii="SimSun" w:hAnsi="SimSun" w:eastAsia="SimSun" w:cs="SimSun"/>
                <w:sz w:val="18"/>
                <w:szCs w:val="18"/>
                <w:spacing w:val="-3"/>
              </w:rPr>
              <w:t>用水量</w:t>
            </w:r>
            <w:r>
              <w:rPr>
                <w:rFonts w:ascii="SimSun" w:hAnsi="SimSun" w:eastAsia="SimSun" w:cs="SimSun"/>
                <w:sz w:val="18"/>
                <w:szCs w:val="18"/>
                <w:spacing w:val="-4"/>
              </w:rPr>
              <w:t>（</w:t>
            </w:r>
            <w:r>
              <w:rPr>
                <w:sz w:val="18"/>
                <w:szCs w:val="18"/>
                <w:spacing w:val="-4"/>
              </w:rPr>
              <w:t>m</w:t>
            </w:r>
            <w:r>
              <w:rPr>
                <w:sz w:val="11"/>
                <w:szCs w:val="11"/>
                <w:spacing w:val="-4"/>
                <w:position w:val="5"/>
              </w:rPr>
              <w:t>3</w:t>
            </w:r>
            <w:r>
              <w:rPr>
                <w:sz w:val="18"/>
                <w:szCs w:val="18"/>
                <w:spacing w:val="-4"/>
              </w:rPr>
              <w:t>/d</w:t>
            </w:r>
            <w:r>
              <w:rPr>
                <w:rFonts w:ascii="SimSun" w:hAnsi="SimSun" w:eastAsia="SimSun" w:cs="SimSun"/>
                <w:sz w:val="18"/>
                <w:szCs w:val="18"/>
                <w:spacing w:val="-4"/>
              </w:rPr>
              <w:t>）</w:t>
            </w:r>
          </w:p>
        </w:tc>
        <w:tc>
          <w:tcPr>
            <w:tcW w:w="1010" w:type="dxa"/>
            <w:vAlign w:val="top"/>
          </w:tcPr>
          <w:p>
            <w:pPr>
              <w:pStyle w:val="TableText"/>
              <w:ind w:left="329" w:right="116" w:hanging="203"/>
              <w:spacing w:before="30" w:line="224" w:lineRule="auto"/>
              <w:rPr>
                <w:rFonts w:ascii="SimSun" w:hAnsi="SimSun" w:eastAsia="SimSun" w:cs="SimSun"/>
                <w:sz w:val="18"/>
                <w:szCs w:val="18"/>
              </w:rPr>
            </w:pPr>
            <w:r>
              <w:rPr>
                <w:rFonts w:ascii="SimSun" w:hAnsi="SimSun" w:eastAsia="SimSun" w:cs="SimSun"/>
                <w:sz w:val="18"/>
                <w:szCs w:val="18"/>
                <w:spacing w:val="-2"/>
              </w:rPr>
              <w:t>折算系数</w:t>
            </w:r>
            <w:r>
              <w:rPr>
                <w:sz w:val="18"/>
                <w:szCs w:val="18"/>
                <w:spacing w:val="-2"/>
              </w:rPr>
              <w:t>/</w:t>
            </w:r>
            <w:r>
              <w:rPr>
                <w:rFonts w:ascii="SimSun" w:hAnsi="SimSun" w:eastAsia="SimSun" w:cs="SimSun"/>
                <w:sz w:val="18"/>
                <w:szCs w:val="18"/>
                <w:spacing w:val="-4"/>
              </w:rPr>
              <w:t>频次</w:t>
            </w:r>
          </w:p>
        </w:tc>
        <w:tc>
          <w:tcPr>
            <w:tcW w:w="998" w:type="dxa"/>
            <w:vAlign w:val="top"/>
          </w:tcPr>
          <w:p>
            <w:pPr>
              <w:pStyle w:val="TableText"/>
              <w:ind w:left="161" w:right="156" w:firstLine="74"/>
              <w:spacing w:before="30" w:line="224" w:lineRule="auto"/>
              <w:rPr>
                <w:rFonts w:ascii="SimSun" w:hAnsi="SimSun" w:eastAsia="SimSun" w:cs="SimSun"/>
                <w:sz w:val="18"/>
                <w:szCs w:val="18"/>
              </w:rPr>
            </w:pPr>
            <w:r>
              <w:rPr>
                <w:rFonts w:ascii="SimSun" w:hAnsi="SimSun" w:eastAsia="SimSun" w:cs="SimSun"/>
                <w:sz w:val="18"/>
                <w:szCs w:val="18"/>
                <w:spacing w:val="-3"/>
              </w:rPr>
              <w:t>排水量</w:t>
            </w:r>
            <w:r>
              <w:rPr>
                <w:rFonts w:ascii="SimSun" w:hAnsi="SimSun" w:eastAsia="SimSun" w:cs="SimSun"/>
                <w:sz w:val="18"/>
                <w:szCs w:val="18"/>
                <w:spacing w:val="-4"/>
              </w:rPr>
              <w:t>（</w:t>
            </w:r>
            <w:r>
              <w:rPr>
                <w:sz w:val="18"/>
                <w:szCs w:val="18"/>
                <w:spacing w:val="-4"/>
              </w:rPr>
              <w:t>m</w:t>
            </w:r>
            <w:r>
              <w:rPr>
                <w:sz w:val="11"/>
                <w:szCs w:val="11"/>
                <w:spacing w:val="-4"/>
                <w:position w:val="5"/>
              </w:rPr>
              <w:t>3</w:t>
            </w:r>
            <w:r>
              <w:rPr>
                <w:sz w:val="18"/>
                <w:szCs w:val="18"/>
                <w:spacing w:val="-4"/>
              </w:rPr>
              <w:t>/d</w:t>
            </w:r>
            <w:r>
              <w:rPr>
                <w:rFonts w:ascii="SimSun" w:hAnsi="SimSun" w:eastAsia="SimSun" w:cs="SimSun"/>
                <w:sz w:val="18"/>
                <w:szCs w:val="18"/>
                <w:spacing w:val="-4"/>
              </w:rPr>
              <w:t>）</w:t>
            </w:r>
          </w:p>
        </w:tc>
        <w:tc>
          <w:tcPr>
            <w:tcW w:w="1559" w:type="dxa"/>
            <w:vAlign w:val="top"/>
          </w:tcPr>
          <w:p>
            <w:pPr>
              <w:ind w:left="603"/>
              <w:spacing w:before="147" w:line="221" w:lineRule="auto"/>
              <w:rPr>
                <w:rFonts w:ascii="SimSun" w:hAnsi="SimSun" w:eastAsia="SimSun" w:cs="SimSun"/>
                <w:sz w:val="18"/>
                <w:szCs w:val="18"/>
              </w:rPr>
            </w:pPr>
            <w:r>
              <w:rPr>
                <w:rFonts w:ascii="SimSun" w:hAnsi="SimSun" w:eastAsia="SimSun" w:cs="SimSun"/>
                <w:sz w:val="18"/>
                <w:szCs w:val="18"/>
                <w:spacing w:val="-5"/>
              </w:rPr>
              <w:t>备注</w:t>
            </w:r>
          </w:p>
        </w:tc>
      </w:tr>
      <w:tr>
        <w:trPr>
          <w:trHeight w:val="240" w:hRule="atLeast"/>
        </w:trPr>
        <w:tc>
          <w:tcPr>
            <w:tcW w:w="1029" w:type="dxa"/>
            <w:vAlign w:val="top"/>
          </w:tcPr>
          <w:p>
            <w:pPr>
              <w:ind w:left="432"/>
              <w:spacing w:before="93" w:line="136" w:lineRule="exact"/>
              <w:rPr>
                <w:rFonts w:ascii="SimSun" w:hAnsi="SimSun" w:eastAsia="SimSun" w:cs="SimSun"/>
                <w:sz w:val="18"/>
                <w:szCs w:val="18"/>
              </w:rPr>
            </w:pPr>
            <w:r>
              <w:rPr>
                <w:rFonts w:ascii="SimSun" w:hAnsi="SimSun" w:eastAsia="SimSun" w:cs="SimSun"/>
                <w:sz w:val="18"/>
                <w:szCs w:val="18"/>
                <w:position w:val="-4"/>
              </w:rPr>
              <w:t>一</w:t>
            </w:r>
          </w:p>
        </w:tc>
        <w:tc>
          <w:tcPr>
            <w:tcW w:w="8261" w:type="dxa"/>
            <w:vAlign w:val="top"/>
            <w:gridSpan w:val="7"/>
          </w:tcPr>
          <w:p>
            <w:pPr>
              <w:ind w:left="3774"/>
              <w:spacing w:before="25" w:line="210" w:lineRule="auto"/>
              <w:rPr>
                <w:rFonts w:ascii="SimSun" w:hAnsi="SimSun" w:eastAsia="SimSun" w:cs="SimSun"/>
                <w:sz w:val="18"/>
                <w:szCs w:val="18"/>
              </w:rPr>
            </w:pPr>
            <w:r>
              <w:rPr>
                <w:rFonts w:ascii="SimSun" w:hAnsi="SimSun" w:eastAsia="SimSun" w:cs="SimSun"/>
                <w:sz w:val="18"/>
                <w:szCs w:val="18"/>
                <w:spacing w:val="-3"/>
              </w:rPr>
              <w:t>生活用水</w:t>
            </w:r>
          </w:p>
        </w:tc>
      </w:tr>
      <w:tr>
        <w:trPr>
          <w:trHeight w:val="237" w:hRule="atLeast"/>
        </w:trPr>
        <w:tc>
          <w:tcPr>
            <w:tcW w:w="1029" w:type="dxa"/>
            <w:vAlign w:val="top"/>
            <w:vMerge w:val="restart"/>
            <w:tcBorders>
              <w:bottom w:val="nil"/>
            </w:tcBorders>
          </w:tcPr>
          <w:p>
            <w:pPr>
              <w:spacing w:line="287" w:lineRule="auto"/>
              <w:rPr>
                <w:rFonts w:ascii="Arial"/>
                <w:sz w:val="21"/>
              </w:rPr>
            </w:pPr>
            <w:r/>
          </w:p>
          <w:p>
            <w:pPr>
              <w:spacing w:line="288" w:lineRule="auto"/>
              <w:rPr>
                <w:rFonts w:ascii="Arial"/>
                <w:sz w:val="21"/>
              </w:rPr>
            </w:pPr>
            <w:r/>
          </w:p>
          <w:p>
            <w:pPr>
              <w:ind w:left="247" w:right="150" w:hanging="83"/>
              <w:spacing w:before="59" w:line="241" w:lineRule="auto"/>
              <w:rPr>
                <w:rFonts w:ascii="SimSun" w:hAnsi="SimSun" w:eastAsia="SimSun" w:cs="SimSun"/>
                <w:sz w:val="18"/>
                <w:szCs w:val="18"/>
              </w:rPr>
            </w:pPr>
            <w:r>
              <w:rPr>
                <w:rFonts w:ascii="SimSun" w:hAnsi="SimSun" w:eastAsia="SimSun" w:cs="SimSun"/>
                <w:sz w:val="18"/>
                <w:szCs w:val="18"/>
                <w:spacing w:val="-3"/>
              </w:rPr>
              <w:t>露天区工</w:t>
            </w:r>
            <w:r>
              <w:rPr>
                <w:rFonts w:ascii="SimSun" w:hAnsi="SimSun" w:eastAsia="SimSun" w:cs="SimSun"/>
                <w:sz w:val="18"/>
                <w:szCs w:val="18"/>
                <w:spacing w:val="-3"/>
              </w:rPr>
              <w:t>业场地</w:t>
            </w:r>
          </w:p>
        </w:tc>
        <w:tc>
          <w:tcPr>
            <w:tcW w:w="1384" w:type="dxa"/>
            <w:vAlign w:val="top"/>
          </w:tcPr>
          <w:p>
            <w:pPr>
              <w:ind w:left="337"/>
              <w:spacing w:before="23" w:line="209" w:lineRule="auto"/>
              <w:rPr>
                <w:rFonts w:ascii="SimSun" w:hAnsi="SimSun" w:eastAsia="SimSun" w:cs="SimSun"/>
                <w:sz w:val="18"/>
                <w:szCs w:val="18"/>
              </w:rPr>
            </w:pPr>
            <w:r>
              <w:rPr>
                <w:rFonts w:ascii="SimSun" w:hAnsi="SimSun" w:eastAsia="SimSun" w:cs="SimSun"/>
                <w:sz w:val="18"/>
                <w:szCs w:val="18"/>
                <w:spacing w:val="-3"/>
              </w:rPr>
              <w:t>生活用水</w:t>
            </w:r>
          </w:p>
        </w:tc>
        <w:tc>
          <w:tcPr>
            <w:tcW w:w="969" w:type="dxa"/>
            <w:vAlign w:val="top"/>
          </w:tcPr>
          <w:p>
            <w:pPr>
              <w:pStyle w:val="TableText"/>
              <w:ind w:left="240"/>
              <w:spacing w:before="23" w:line="209" w:lineRule="auto"/>
              <w:rPr>
                <w:rFonts w:ascii="SimSun" w:hAnsi="SimSun" w:eastAsia="SimSun" w:cs="SimSun"/>
                <w:sz w:val="18"/>
                <w:szCs w:val="18"/>
              </w:rPr>
            </w:pPr>
            <w:r>
              <w:rPr>
                <w:sz w:val="18"/>
                <w:szCs w:val="18"/>
                <w:spacing w:val="-2"/>
              </w:rPr>
              <w:t>758</w:t>
            </w:r>
            <w:r>
              <w:rPr>
                <w:sz w:val="18"/>
                <w:szCs w:val="18"/>
                <w:spacing w:val="8"/>
              </w:rPr>
              <w:t xml:space="preserve"> </w:t>
            </w:r>
            <w:r>
              <w:rPr>
                <w:rFonts w:ascii="SimSun" w:hAnsi="SimSun" w:eastAsia="SimSun" w:cs="SimSun"/>
                <w:sz w:val="18"/>
                <w:szCs w:val="18"/>
                <w:spacing w:val="-2"/>
              </w:rPr>
              <w:t>人</w:t>
            </w:r>
          </w:p>
        </w:tc>
        <w:tc>
          <w:tcPr>
            <w:tcW w:w="1343" w:type="dxa"/>
            <w:vAlign w:val="top"/>
          </w:tcPr>
          <w:p>
            <w:pPr>
              <w:pStyle w:val="TableText"/>
              <w:ind w:left="305"/>
              <w:spacing w:before="23" w:line="209" w:lineRule="auto"/>
              <w:rPr>
                <w:rFonts w:ascii="SimSun" w:hAnsi="SimSun" w:eastAsia="SimSun" w:cs="SimSun"/>
                <w:sz w:val="18"/>
                <w:szCs w:val="18"/>
              </w:rPr>
            </w:pPr>
            <w:r>
              <w:rPr>
                <w:sz w:val="18"/>
                <w:szCs w:val="18"/>
                <w:spacing w:val="-1"/>
              </w:rPr>
              <w:t>50L/</w:t>
            </w:r>
            <w:r>
              <w:rPr>
                <w:rFonts w:ascii="SimSun" w:hAnsi="SimSun" w:eastAsia="SimSun" w:cs="SimSun"/>
                <w:sz w:val="18"/>
                <w:szCs w:val="18"/>
                <w:spacing w:val="-1"/>
              </w:rPr>
              <w:t>人</w:t>
            </w:r>
            <w:r>
              <w:rPr>
                <w:sz w:val="18"/>
                <w:szCs w:val="18"/>
                <w:spacing w:val="-1"/>
              </w:rPr>
              <w:t>.</w:t>
            </w:r>
            <w:r>
              <w:rPr>
                <w:rFonts w:ascii="SimSun" w:hAnsi="SimSun" w:eastAsia="SimSun" w:cs="SimSun"/>
                <w:sz w:val="18"/>
                <w:szCs w:val="18"/>
                <w:spacing w:val="-1"/>
              </w:rPr>
              <w:t>班</w:t>
            </w:r>
          </w:p>
        </w:tc>
        <w:tc>
          <w:tcPr>
            <w:tcW w:w="998" w:type="dxa"/>
            <w:vAlign w:val="top"/>
          </w:tcPr>
          <w:p>
            <w:pPr>
              <w:pStyle w:val="TableText"/>
              <w:ind w:left="415"/>
              <w:spacing w:before="54" w:line="188" w:lineRule="auto"/>
              <w:rPr>
                <w:sz w:val="18"/>
                <w:szCs w:val="18"/>
              </w:rPr>
            </w:pPr>
            <w:r>
              <w:rPr>
                <w:sz w:val="18"/>
                <w:szCs w:val="18"/>
                <w:spacing w:val="-4"/>
              </w:rPr>
              <w:t>38</w:t>
            </w:r>
          </w:p>
        </w:tc>
        <w:tc>
          <w:tcPr>
            <w:tcW w:w="1010" w:type="dxa"/>
            <w:vAlign w:val="top"/>
          </w:tcPr>
          <w:p>
            <w:pPr>
              <w:pStyle w:val="TableText"/>
              <w:ind w:left="346"/>
              <w:spacing w:before="54" w:line="188" w:lineRule="auto"/>
              <w:rPr>
                <w:sz w:val="18"/>
                <w:szCs w:val="18"/>
              </w:rPr>
            </w:pPr>
            <w:r>
              <w:rPr>
                <w:sz w:val="18"/>
                <w:szCs w:val="18"/>
                <w:spacing w:val="-2"/>
              </w:rPr>
              <w:t>95%</w:t>
            </w:r>
          </w:p>
        </w:tc>
        <w:tc>
          <w:tcPr>
            <w:tcW w:w="998" w:type="dxa"/>
            <w:vAlign w:val="top"/>
          </w:tcPr>
          <w:p>
            <w:pPr>
              <w:pStyle w:val="TableText"/>
              <w:ind w:left="416"/>
              <w:spacing w:before="54" w:line="188" w:lineRule="auto"/>
              <w:rPr>
                <w:sz w:val="18"/>
                <w:szCs w:val="18"/>
              </w:rPr>
            </w:pPr>
            <w:r>
              <w:rPr>
                <w:sz w:val="18"/>
                <w:szCs w:val="18"/>
                <w:spacing w:val="-4"/>
              </w:rPr>
              <w:t>36</w:t>
            </w:r>
          </w:p>
        </w:tc>
        <w:tc>
          <w:tcPr>
            <w:tcW w:w="1559" w:type="dxa"/>
            <w:vAlign w:val="top"/>
            <w:vMerge w:val="restart"/>
            <w:tcBorders>
              <w:bottom w:val="nil"/>
            </w:tcBorders>
          </w:tcPr>
          <w:p>
            <w:pPr>
              <w:spacing w:line="287" w:lineRule="auto"/>
              <w:rPr>
                <w:rFonts w:ascii="Arial"/>
                <w:sz w:val="21"/>
              </w:rPr>
            </w:pPr>
            <w:r/>
          </w:p>
          <w:p>
            <w:pPr>
              <w:spacing w:line="288" w:lineRule="auto"/>
              <w:rPr>
                <w:rFonts w:ascii="Arial"/>
                <w:sz w:val="21"/>
              </w:rPr>
            </w:pPr>
            <w:r/>
          </w:p>
          <w:p>
            <w:pPr>
              <w:ind w:left="423" w:right="30" w:hanging="307"/>
              <w:spacing w:before="58" w:line="241" w:lineRule="auto"/>
              <w:rPr>
                <w:rFonts w:ascii="SimSun" w:hAnsi="SimSun" w:eastAsia="SimSun" w:cs="SimSun"/>
                <w:sz w:val="18"/>
                <w:szCs w:val="18"/>
              </w:rPr>
            </w:pPr>
            <w:r>
              <w:rPr>
                <w:rFonts w:ascii="SimSun" w:hAnsi="SimSun" w:eastAsia="SimSun" w:cs="SimSun"/>
                <w:sz w:val="18"/>
                <w:szCs w:val="18"/>
                <w:spacing w:val="-5"/>
              </w:rPr>
              <w:t>水源为矿井（坑）</w:t>
            </w:r>
            <w:r>
              <w:rPr>
                <w:rFonts w:ascii="SimSun" w:hAnsi="SimSun" w:eastAsia="SimSun" w:cs="SimSun"/>
                <w:sz w:val="18"/>
                <w:szCs w:val="18"/>
                <w:spacing w:val="-3"/>
              </w:rPr>
              <w:t>混合来水</w:t>
            </w:r>
          </w:p>
        </w:tc>
      </w:tr>
      <w:tr>
        <w:trPr>
          <w:trHeight w:val="237"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6"/>
              <w:spacing w:before="26" w:line="206" w:lineRule="auto"/>
              <w:rPr>
                <w:rFonts w:ascii="SimSun" w:hAnsi="SimSun" w:eastAsia="SimSun" w:cs="SimSun"/>
                <w:sz w:val="18"/>
                <w:szCs w:val="18"/>
              </w:rPr>
            </w:pPr>
            <w:r>
              <w:rPr>
                <w:rFonts w:ascii="SimSun" w:hAnsi="SimSun" w:eastAsia="SimSun" w:cs="SimSun"/>
                <w:sz w:val="18"/>
                <w:szCs w:val="18"/>
                <w:spacing w:val="-2"/>
              </w:rPr>
              <w:t>食堂用水</w:t>
            </w:r>
          </w:p>
        </w:tc>
        <w:tc>
          <w:tcPr>
            <w:tcW w:w="969" w:type="dxa"/>
            <w:vAlign w:val="top"/>
          </w:tcPr>
          <w:p>
            <w:pPr>
              <w:pStyle w:val="TableText"/>
              <w:ind w:left="241"/>
              <w:spacing w:before="26" w:line="206" w:lineRule="auto"/>
              <w:rPr>
                <w:rFonts w:ascii="SimSun" w:hAnsi="SimSun" w:eastAsia="SimSun" w:cs="SimSun"/>
                <w:sz w:val="18"/>
                <w:szCs w:val="18"/>
              </w:rPr>
            </w:pPr>
            <w:r>
              <w:rPr>
                <w:sz w:val="18"/>
                <w:szCs w:val="18"/>
                <w:spacing w:val="-2"/>
              </w:rPr>
              <w:t>636</w:t>
            </w:r>
            <w:r>
              <w:rPr>
                <w:sz w:val="18"/>
                <w:szCs w:val="18"/>
                <w:spacing w:val="7"/>
              </w:rPr>
              <w:t xml:space="preserve"> </w:t>
            </w:r>
            <w:r>
              <w:rPr>
                <w:rFonts w:ascii="SimSun" w:hAnsi="SimSun" w:eastAsia="SimSun" w:cs="SimSun"/>
                <w:sz w:val="18"/>
                <w:szCs w:val="18"/>
                <w:spacing w:val="-2"/>
              </w:rPr>
              <w:t>人</w:t>
            </w:r>
          </w:p>
        </w:tc>
        <w:tc>
          <w:tcPr>
            <w:tcW w:w="1343" w:type="dxa"/>
            <w:vAlign w:val="top"/>
          </w:tcPr>
          <w:p>
            <w:pPr>
              <w:pStyle w:val="TableText"/>
              <w:ind w:left="300"/>
              <w:spacing w:before="26" w:line="206" w:lineRule="auto"/>
              <w:rPr>
                <w:rFonts w:ascii="SimSun" w:hAnsi="SimSun" w:eastAsia="SimSun" w:cs="SimSun"/>
                <w:sz w:val="18"/>
                <w:szCs w:val="18"/>
              </w:rPr>
            </w:pPr>
            <w:r>
              <w:rPr>
                <w:sz w:val="18"/>
                <w:szCs w:val="18"/>
              </w:rPr>
              <w:t>25L/</w:t>
            </w:r>
            <w:r>
              <w:rPr>
                <w:rFonts w:ascii="SimSun" w:hAnsi="SimSun" w:eastAsia="SimSun" w:cs="SimSun"/>
                <w:sz w:val="18"/>
                <w:szCs w:val="18"/>
              </w:rPr>
              <w:t>人</w:t>
            </w:r>
            <w:r>
              <w:rPr>
                <w:sz w:val="18"/>
                <w:szCs w:val="18"/>
              </w:rPr>
              <w:t>.</w:t>
            </w:r>
            <w:r>
              <w:rPr>
                <w:rFonts w:ascii="SimSun" w:hAnsi="SimSun" w:eastAsia="SimSun" w:cs="SimSun"/>
                <w:sz w:val="18"/>
                <w:szCs w:val="18"/>
              </w:rPr>
              <w:t>餐</w:t>
            </w:r>
          </w:p>
        </w:tc>
        <w:tc>
          <w:tcPr>
            <w:tcW w:w="998" w:type="dxa"/>
            <w:vAlign w:val="top"/>
          </w:tcPr>
          <w:p>
            <w:pPr>
              <w:pStyle w:val="TableText"/>
              <w:ind w:left="415"/>
              <w:spacing w:before="54" w:line="188" w:lineRule="auto"/>
              <w:rPr>
                <w:sz w:val="18"/>
                <w:szCs w:val="18"/>
              </w:rPr>
            </w:pPr>
            <w:r>
              <w:rPr>
                <w:sz w:val="18"/>
                <w:szCs w:val="18"/>
                <w:spacing w:val="-4"/>
              </w:rPr>
              <w:t>32</w:t>
            </w:r>
          </w:p>
        </w:tc>
        <w:tc>
          <w:tcPr>
            <w:tcW w:w="1010" w:type="dxa"/>
            <w:vAlign w:val="top"/>
          </w:tcPr>
          <w:p>
            <w:pPr>
              <w:pStyle w:val="TableText"/>
              <w:ind w:left="350"/>
              <w:spacing w:before="54" w:line="188" w:lineRule="auto"/>
              <w:rPr>
                <w:sz w:val="18"/>
                <w:szCs w:val="18"/>
              </w:rPr>
            </w:pPr>
            <w:r>
              <w:rPr>
                <w:sz w:val="18"/>
                <w:szCs w:val="18"/>
                <w:spacing w:val="-4"/>
              </w:rPr>
              <w:t>85%</w:t>
            </w:r>
          </w:p>
        </w:tc>
        <w:tc>
          <w:tcPr>
            <w:tcW w:w="998" w:type="dxa"/>
            <w:vAlign w:val="top"/>
          </w:tcPr>
          <w:p>
            <w:pPr>
              <w:pStyle w:val="TableText"/>
              <w:ind w:left="412"/>
              <w:spacing w:before="54" w:line="188" w:lineRule="auto"/>
              <w:rPr>
                <w:sz w:val="18"/>
                <w:szCs w:val="18"/>
              </w:rPr>
            </w:pPr>
            <w:r>
              <w:rPr>
                <w:sz w:val="18"/>
                <w:szCs w:val="18"/>
                <w:spacing w:val="-2"/>
              </w:rPr>
              <w:t>27</w:t>
            </w:r>
          </w:p>
        </w:tc>
        <w:tc>
          <w:tcPr>
            <w:tcW w:w="1559" w:type="dxa"/>
            <w:vAlign w:val="top"/>
            <w:vMerge w:val="continue"/>
            <w:tcBorders>
              <w:top w:val="nil"/>
              <w:bottom w:val="nil"/>
            </w:tcBorders>
          </w:tcPr>
          <w:p>
            <w:pPr>
              <w:rPr>
                <w:rFonts w:ascii="Arial"/>
                <w:sz w:val="21"/>
              </w:rPr>
            </w:pPr>
            <w:r/>
          </w:p>
        </w:tc>
      </w:tr>
      <w:tr>
        <w:trPr>
          <w:trHeight w:val="240"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7"/>
              <w:spacing w:before="26" w:line="209" w:lineRule="auto"/>
              <w:rPr>
                <w:rFonts w:ascii="SimSun" w:hAnsi="SimSun" w:eastAsia="SimSun" w:cs="SimSun"/>
                <w:sz w:val="18"/>
                <w:szCs w:val="18"/>
              </w:rPr>
            </w:pPr>
            <w:r>
              <w:rPr>
                <w:rFonts w:ascii="SimSun" w:hAnsi="SimSun" w:eastAsia="SimSun" w:cs="SimSun"/>
                <w:sz w:val="18"/>
                <w:szCs w:val="18"/>
                <w:spacing w:val="-3"/>
              </w:rPr>
              <w:t>浴室用水</w:t>
            </w:r>
          </w:p>
        </w:tc>
        <w:tc>
          <w:tcPr>
            <w:tcW w:w="969" w:type="dxa"/>
            <w:vAlign w:val="top"/>
          </w:tcPr>
          <w:p>
            <w:pPr>
              <w:spacing w:line="230" w:lineRule="exact"/>
              <w:rPr>
                <w:rFonts w:ascii="Arial"/>
                <w:sz w:val="20"/>
              </w:rPr>
            </w:pPr>
            <w:r/>
          </w:p>
        </w:tc>
        <w:tc>
          <w:tcPr>
            <w:tcW w:w="1343" w:type="dxa"/>
            <w:vAlign w:val="top"/>
          </w:tcPr>
          <w:p>
            <w:pPr>
              <w:spacing w:line="230" w:lineRule="exact"/>
              <w:rPr>
                <w:rFonts w:ascii="Arial"/>
                <w:sz w:val="20"/>
              </w:rPr>
            </w:pPr>
            <w:r/>
          </w:p>
        </w:tc>
        <w:tc>
          <w:tcPr>
            <w:tcW w:w="998" w:type="dxa"/>
            <w:vAlign w:val="top"/>
          </w:tcPr>
          <w:p>
            <w:pPr>
              <w:pStyle w:val="TableText"/>
              <w:ind w:left="381"/>
              <w:spacing w:before="57" w:line="188" w:lineRule="auto"/>
              <w:rPr>
                <w:sz w:val="18"/>
                <w:szCs w:val="18"/>
              </w:rPr>
            </w:pPr>
            <w:r>
              <w:rPr>
                <w:sz w:val="18"/>
                <w:szCs w:val="18"/>
                <w:spacing w:val="-7"/>
              </w:rPr>
              <w:t>154</w:t>
            </w:r>
          </w:p>
        </w:tc>
        <w:tc>
          <w:tcPr>
            <w:tcW w:w="1010" w:type="dxa"/>
            <w:vAlign w:val="top"/>
          </w:tcPr>
          <w:p>
            <w:pPr>
              <w:pStyle w:val="TableText"/>
              <w:ind w:left="346"/>
              <w:spacing w:before="57" w:line="188" w:lineRule="auto"/>
              <w:rPr>
                <w:sz w:val="18"/>
                <w:szCs w:val="18"/>
              </w:rPr>
            </w:pPr>
            <w:r>
              <w:rPr>
                <w:sz w:val="18"/>
                <w:szCs w:val="18"/>
                <w:spacing w:val="-2"/>
              </w:rPr>
              <w:t>95%</w:t>
            </w:r>
          </w:p>
        </w:tc>
        <w:tc>
          <w:tcPr>
            <w:tcW w:w="998" w:type="dxa"/>
            <w:vAlign w:val="top"/>
          </w:tcPr>
          <w:p>
            <w:pPr>
              <w:pStyle w:val="TableText"/>
              <w:ind w:left="384"/>
              <w:spacing w:before="57" w:line="188" w:lineRule="auto"/>
              <w:rPr>
                <w:sz w:val="18"/>
                <w:szCs w:val="18"/>
              </w:rPr>
            </w:pPr>
            <w:r>
              <w:rPr>
                <w:sz w:val="18"/>
                <w:szCs w:val="18"/>
                <w:spacing w:val="-8"/>
              </w:rPr>
              <w:t>146</w:t>
            </w:r>
          </w:p>
        </w:tc>
        <w:tc>
          <w:tcPr>
            <w:tcW w:w="1559" w:type="dxa"/>
            <w:vAlign w:val="top"/>
            <w:vMerge w:val="continue"/>
            <w:tcBorders>
              <w:top w:val="nil"/>
              <w:bottom w:val="nil"/>
            </w:tcBorders>
          </w:tcPr>
          <w:p>
            <w:pPr>
              <w:rPr>
                <w:rFonts w:ascii="Arial"/>
                <w:sz w:val="21"/>
              </w:rPr>
            </w:pPr>
            <w:r/>
          </w:p>
        </w:tc>
      </w:tr>
      <w:tr>
        <w:trPr>
          <w:trHeight w:val="237"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5"/>
              <w:spacing w:before="23" w:line="209" w:lineRule="auto"/>
              <w:rPr>
                <w:rFonts w:ascii="SimSun" w:hAnsi="SimSun" w:eastAsia="SimSun" w:cs="SimSun"/>
                <w:sz w:val="18"/>
                <w:szCs w:val="18"/>
              </w:rPr>
            </w:pPr>
            <w:r>
              <w:rPr>
                <w:rFonts w:ascii="SimSun" w:hAnsi="SimSun" w:eastAsia="SimSun" w:cs="SimSun"/>
                <w:sz w:val="18"/>
                <w:szCs w:val="18"/>
                <w:spacing w:val="-2"/>
              </w:rPr>
              <w:t>洗衣用水</w:t>
            </w:r>
          </w:p>
        </w:tc>
        <w:tc>
          <w:tcPr>
            <w:tcW w:w="969" w:type="dxa"/>
            <w:vAlign w:val="top"/>
          </w:tcPr>
          <w:p>
            <w:pPr>
              <w:pStyle w:val="TableText"/>
              <w:ind w:left="148"/>
              <w:spacing w:before="51" w:line="192" w:lineRule="auto"/>
              <w:rPr>
                <w:sz w:val="18"/>
                <w:szCs w:val="18"/>
              </w:rPr>
            </w:pPr>
            <w:r>
              <w:rPr>
                <w:sz w:val="18"/>
                <w:szCs w:val="18"/>
                <w:spacing w:val="-1"/>
              </w:rPr>
              <w:t>649.37kg</w:t>
            </w:r>
          </w:p>
        </w:tc>
        <w:tc>
          <w:tcPr>
            <w:tcW w:w="1343" w:type="dxa"/>
            <w:vAlign w:val="top"/>
          </w:tcPr>
          <w:p>
            <w:pPr>
              <w:pStyle w:val="TableText"/>
              <w:ind w:left="214"/>
              <w:spacing w:before="23" w:line="209" w:lineRule="auto"/>
              <w:rPr>
                <w:rFonts w:ascii="SimSun" w:hAnsi="SimSun" w:eastAsia="SimSun" w:cs="SimSun"/>
                <w:sz w:val="18"/>
                <w:szCs w:val="18"/>
              </w:rPr>
            </w:pPr>
            <w:r>
              <w:rPr>
                <w:sz w:val="18"/>
                <w:szCs w:val="18"/>
                <w:spacing w:val="-1"/>
              </w:rPr>
              <w:t>80L/</w:t>
            </w:r>
            <w:r>
              <w:rPr>
                <w:rFonts w:ascii="SimSun" w:hAnsi="SimSun" w:eastAsia="SimSun" w:cs="SimSun"/>
                <w:sz w:val="18"/>
                <w:szCs w:val="18"/>
                <w:spacing w:val="-1"/>
              </w:rPr>
              <w:t>千克</w:t>
            </w:r>
            <w:r>
              <w:rPr>
                <w:sz w:val="18"/>
                <w:szCs w:val="18"/>
                <w:spacing w:val="-1"/>
              </w:rPr>
              <w:t>.</w:t>
            </w:r>
            <w:r>
              <w:rPr>
                <w:rFonts w:ascii="SimSun" w:hAnsi="SimSun" w:eastAsia="SimSun" w:cs="SimSun"/>
                <w:sz w:val="18"/>
                <w:szCs w:val="18"/>
                <w:spacing w:val="-1"/>
              </w:rPr>
              <w:t>天</w:t>
            </w:r>
          </w:p>
        </w:tc>
        <w:tc>
          <w:tcPr>
            <w:tcW w:w="998" w:type="dxa"/>
            <w:vAlign w:val="top"/>
          </w:tcPr>
          <w:p>
            <w:pPr>
              <w:pStyle w:val="TableText"/>
              <w:ind w:left="417"/>
              <w:spacing w:before="54" w:line="188" w:lineRule="auto"/>
              <w:rPr>
                <w:sz w:val="18"/>
                <w:szCs w:val="18"/>
              </w:rPr>
            </w:pPr>
            <w:r>
              <w:rPr>
                <w:sz w:val="18"/>
                <w:szCs w:val="18"/>
                <w:spacing w:val="-4"/>
              </w:rPr>
              <w:t>52</w:t>
            </w:r>
          </w:p>
        </w:tc>
        <w:tc>
          <w:tcPr>
            <w:tcW w:w="1010" w:type="dxa"/>
            <w:vAlign w:val="top"/>
          </w:tcPr>
          <w:p>
            <w:pPr>
              <w:pStyle w:val="TableText"/>
              <w:ind w:left="346"/>
              <w:spacing w:before="54" w:line="188" w:lineRule="auto"/>
              <w:rPr>
                <w:sz w:val="18"/>
                <w:szCs w:val="18"/>
              </w:rPr>
            </w:pPr>
            <w:r>
              <w:rPr>
                <w:sz w:val="18"/>
                <w:szCs w:val="18"/>
                <w:spacing w:val="-2"/>
              </w:rPr>
              <w:t>95%</w:t>
            </w:r>
          </w:p>
        </w:tc>
        <w:tc>
          <w:tcPr>
            <w:tcW w:w="998" w:type="dxa"/>
            <w:vAlign w:val="top"/>
          </w:tcPr>
          <w:p>
            <w:pPr>
              <w:pStyle w:val="TableText"/>
              <w:ind w:left="412"/>
              <w:spacing w:before="54" w:line="188" w:lineRule="auto"/>
              <w:rPr>
                <w:sz w:val="18"/>
                <w:szCs w:val="18"/>
              </w:rPr>
            </w:pPr>
            <w:r>
              <w:rPr>
                <w:sz w:val="18"/>
                <w:szCs w:val="18"/>
                <w:spacing w:val="-1"/>
              </w:rPr>
              <w:t>49</w:t>
            </w:r>
          </w:p>
        </w:tc>
        <w:tc>
          <w:tcPr>
            <w:tcW w:w="1559" w:type="dxa"/>
            <w:vAlign w:val="top"/>
            <w:vMerge w:val="continue"/>
            <w:tcBorders>
              <w:top w:val="nil"/>
              <w:bottom w:val="nil"/>
            </w:tcBorders>
          </w:tcPr>
          <w:p>
            <w:pPr>
              <w:rPr>
                <w:rFonts w:ascii="Arial"/>
                <w:sz w:val="21"/>
              </w:rPr>
            </w:pPr>
            <w:r/>
          </w:p>
        </w:tc>
      </w:tr>
      <w:tr>
        <w:trPr>
          <w:trHeight w:val="239"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7"/>
              <w:spacing w:before="26" w:line="208" w:lineRule="auto"/>
              <w:rPr>
                <w:rFonts w:ascii="SimSun" w:hAnsi="SimSun" w:eastAsia="SimSun" w:cs="SimSun"/>
                <w:sz w:val="18"/>
                <w:szCs w:val="18"/>
              </w:rPr>
            </w:pPr>
            <w:r>
              <w:rPr>
                <w:rFonts w:ascii="SimSun" w:hAnsi="SimSun" w:eastAsia="SimSun" w:cs="SimSun"/>
                <w:sz w:val="18"/>
                <w:szCs w:val="18"/>
                <w:spacing w:val="-3"/>
              </w:rPr>
              <w:t>单身用水</w:t>
            </w:r>
          </w:p>
        </w:tc>
        <w:tc>
          <w:tcPr>
            <w:tcW w:w="969" w:type="dxa"/>
            <w:vAlign w:val="top"/>
          </w:tcPr>
          <w:p>
            <w:pPr>
              <w:pStyle w:val="TableText"/>
              <w:ind w:left="240"/>
              <w:spacing w:before="26" w:line="208" w:lineRule="auto"/>
              <w:rPr>
                <w:rFonts w:ascii="SimSun" w:hAnsi="SimSun" w:eastAsia="SimSun" w:cs="SimSun"/>
                <w:sz w:val="18"/>
                <w:szCs w:val="18"/>
              </w:rPr>
            </w:pPr>
            <w:r>
              <w:rPr>
                <w:sz w:val="18"/>
                <w:szCs w:val="18"/>
                <w:spacing w:val="-2"/>
              </w:rPr>
              <w:t>758</w:t>
            </w:r>
            <w:r>
              <w:rPr>
                <w:sz w:val="18"/>
                <w:szCs w:val="18"/>
                <w:spacing w:val="8"/>
              </w:rPr>
              <w:t xml:space="preserve"> </w:t>
            </w:r>
            <w:r>
              <w:rPr>
                <w:rFonts w:ascii="SimSun" w:hAnsi="SimSun" w:eastAsia="SimSun" w:cs="SimSun"/>
                <w:sz w:val="18"/>
                <w:szCs w:val="18"/>
                <w:spacing w:val="-2"/>
              </w:rPr>
              <w:t>人</w:t>
            </w:r>
          </w:p>
        </w:tc>
        <w:tc>
          <w:tcPr>
            <w:tcW w:w="1343" w:type="dxa"/>
            <w:vAlign w:val="top"/>
          </w:tcPr>
          <w:p>
            <w:pPr>
              <w:pStyle w:val="TableText"/>
              <w:ind w:left="318"/>
              <w:spacing w:before="26" w:line="208" w:lineRule="auto"/>
              <w:rPr>
                <w:sz w:val="18"/>
                <w:szCs w:val="18"/>
              </w:rPr>
            </w:pPr>
            <w:r>
              <w:rPr>
                <w:sz w:val="18"/>
                <w:szCs w:val="18"/>
                <w:spacing w:val="-3"/>
              </w:rPr>
              <w:t>150L/</w:t>
            </w:r>
            <w:r>
              <w:rPr>
                <w:rFonts w:ascii="SimSun" w:hAnsi="SimSun" w:eastAsia="SimSun" w:cs="SimSun"/>
                <w:sz w:val="18"/>
                <w:szCs w:val="18"/>
                <w:spacing w:val="-3"/>
              </w:rPr>
              <w:t>人</w:t>
            </w:r>
            <w:r>
              <w:rPr>
                <w:sz w:val="18"/>
                <w:szCs w:val="18"/>
                <w:spacing w:val="-3"/>
              </w:rPr>
              <w:t>.d</w:t>
            </w:r>
          </w:p>
        </w:tc>
        <w:tc>
          <w:tcPr>
            <w:tcW w:w="998" w:type="dxa"/>
            <w:vAlign w:val="top"/>
          </w:tcPr>
          <w:p>
            <w:pPr>
              <w:pStyle w:val="TableText"/>
              <w:ind w:left="381"/>
              <w:spacing w:before="57" w:line="188" w:lineRule="auto"/>
              <w:rPr>
                <w:sz w:val="18"/>
                <w:szCs w:val="18"/>
              </w:rPr>
            </w:pPr>
            <w:r>
              <w:rPr>
                <w:sz w:val="18"/>
                <w:szCs w:val="18"/>
                <w:spacing w:val="-7"/>
              </w:rPr>
              <w:t>114</w:t>
            </w:r>
          </w:p>
        </w:tc>
        <w:tc>
          <w:tcPr>
            <w:tcW w:w="1010" w:type="dxa"/>
            <w:vAlign w:val="top"/>
          </w:tcPr>
          <w:p>
            <w:pPr>
              <w:pStyle w:val="TableText"/>
              <w:ind w:left="346"/>
              <w:spacing w:before="57" w:line="188" w:lineRule="auto"/>
              <w:rPr>
                <w:sz w:val="18"/>
                <w:szCs w:val="18"/>
              </w:rPr>
            </w:pPr>
            <w:r>
              <w:rPr>
                <w:sz w:val="18"/>
                <w:szCs w:val="18"/>
                <w:spacing w:val="-2"/>
              </w:rPr>
              <w:t>95%</w:t>
            </w:r>
          </w:p>
        </w:tc>
        <w:tc>
          <w:tcPr>
            <w:tcW w:w="998" w:type="dxa"/>
            <w:vAlign w:val="top"/>
          </w:tcPr>
          <w:p>
            <w:pPr>
              <w:pStyle w:val="TableText"/>
              <w:ind w:left="384"/>
              <w:spacing w:before="57" w:line="188" w:lineRule="auto"/>
              <w:rPr>
                <w:sz w:val="18"/>
                <w:szCs w:val="18"/>
              </w:rPr>
            </w:pPr>
            <w:r>
              <w:rPr>
                <w:sz w:val="18"/>
                <w:szCs w:val="18"/>
                <w:spacing w:val="-8"/>
              </w:rPr>
              <w:t>108</w:t>
            </w:r>
          </w:p>
        </w:tc>
        <w:tc>
          <w:tcPr>
            <w:tcW w:w="1559" w:type="dxa"/>
            <w:vAlign w:val="top"/>
            <w:vMerge w:val="continue"/>
            <w:tcBorders>
              <w:top w:val="nil"/>
              <w:bottom w:val="nil"/>
            </w:tcBorders>
          </w:tcPr>
          <w:p>
            <w:pPr>
              <w:rPr>
                <w:rFonts w:ascii="Arial"/>
                <w:sz w:val="21"/>
              </w:rPr>
            </w:pPr>
            <w:r/>
          </w:p>
        </w:tc>
      </w:tr>
      <w:tr>
        <w:trPr>
          <w:trHeight w:val="237"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247"/>
              <w:spacing w:before="25" w:line="207" w:lineRule="auto"/>
              <w:rPr>
                <w:rFonts w:ascii="SimSun" w:hAnsi="SimSun" w:eastAsia="SimSun" w:cs="SimSun"/>
                <w:sz w:val="18"/>
                <w:szCs w:val="18"/>
              </w:rPr>
            </w:pPr>
            <w:r>
              <w:rPr>
                <w:rFonts w:ascii="SimSun" w:hAnsi="SimSun" w:eastAsia="SimSun" w:cs="SimSun"/>
                <w:sz w:val="18"/>
                <w:szCs w:val="18"/>
                <w:spacing w:val="-2"/>
              </w:rPr>
              <w:t>未预见用水</w:t>
            </w:r>
          </w:p>
        </w:tc>
        <w:tc>
          <w:tcPr>
            <w:tcW w:w="969" w:type="dxa"/>
            <w:vAlign w:val="top"/>
          </w:tcPr>
          <w:p>
            <w:pPr>
              <w:pStyle w:val="TableText"/>
              <w:ind w:left="322"/>
              <w:spacing w:before="25" w:line="207" w:lineRule="auto"/>
              <w:rPr>
                <w:rFonts w:ascii="SimSun" w:hAnsi="SimSun" w:eastAsia="SimSun" w:cs="SimSun"/>
                <w:sz w:val="18"/>
                <w:szCs w:val="18"/>
              </w:rPr>
            </w:pPr>
            <w:r>
              <w:rPr>
                <w:sz w:val="18"/>
                <w:szCs w:val="18"/>
                <w:spacing w:val="15"/>
              </w:rPr>
              <w:t>15</w:t>
            </w:r>
            <w:r>
              <w:rPr>
                <w:rFonts w:ascii="SimSun" w:hAnsi="SimSun" w:eastAsia="SimSun" w:cs="SimSun"/>
                <w:sz w:val="18"/>
                <w:szCs w:val="18"/>
                <w:spacing w:val="15"/>
              </w:rPr>
              <w:t>%</w:t>
            </w:r>
          </w:p>
        </w:tc>
        <w:tc>
          <w:tcPr>
            <w:tcW w:w="1343" w:type="dxa"/>
            <w:vAlign w:val="top"/>
          </w:tcPr>
          <w:p>
            <w:pPr>
              <w:spacing w:line="227" w:lineRule="exact"/>
              <w:rPr>
                <w:rFonts w:ascii="Arial"/>
                <w:sz w:val="19"/>
              </w:rPr>
            </w:pPr>
            <w:r/>
          </w:p>
        </w:tc>
        <w:tc>
          <w:tcPr>
            <w:tcW w:w="998" w:type="dxa"/>
            <w:vAlign w:val="top"/>
          </w:tcPr>
          <w:p>
            <w:pPr>
              <w:pStyle w:val="TableText"/>
              <w:ind w:left="417"/>
              <w:spacing w:before="56" w:line="188" w:lineRule="auto"/>
              <w:rPr>
                <w:sz w:val="18"/>
                <w:szCs w:val="18"/>
              </w:rPr>
            </w:pPr>
            <w:r>
              <w:rPr>
                <w:sz w:val="18"/>
                <w:szCs w:val="18"/>
                <w:spacing w:val="-4"/>
              </w:rPr>
              <w:t>59</w:t>
            </w:r>
          </w:p>
        </w:tc>
        <w:tc>
          <w:tcPr>
            <w:tcW w:w="1010" w:type="dxa"/>
            <w:vAlign w:val="top"/>
          </w:tcPr>
          <w:p>
            <w:pPr>
              <w:pStyle w:val="TableText"/>
              <w:ind w:left="346"/>
              <w:spacing w:before="55" w:line="188" w:lineRule="auto"/>
              <w:rPr>
                <w:sz w:val="18"/>
                <w:szCs w:val="18"/>
              </w:rPr>
            </w:pPr>
            <w:r>
              <w:rPr>
                <w:sz w:val="18"/>
                <w:szCs w:val="18"/>
                <w:spacing w:val="-2"/>
              </w:rPr>
              <w:t>95%</w:t>
            </w:r>
          </w:p>
        </w:tc>
        <w:tc>
          <w:tcPr>
            <w:tcW w:w="998" w:type="dxa"/>
            <w:vAlign w:val="top"/>
          </w:tcPr>
          <w:p>
            <w:pPr>
              <w:pStyle w:val="TableText"/>
              <w:ind w:left="417"/>
              <w:spacing w:before="56" w:line="188" w:lineRule="auto"/>
              <w:rPr>
                <w:sz w:val="18"/>
                <w:szCs w:val="18"/>
              </w:rPr>
            </w:pPr>
            <w:r>
              <w:rPr>
                <w:sz w:val="18"/>
                <w:szCs w:val="18"/>
                <w:spacing w:val="-4"/>
              </w:rPr>
              <w:t>56</w:t>
            </w:r>
          </w:p>
        </w:tc>
        <w:tc>
          <w:tcPr>
            <w:tcW w:w="1559" w:type="dxa"/>
            <w:vAlign w:val="top"/>
            <w:vMerge w:val="continue"/>
            <w:tcBorders>
              <w:top w:val="nil"/>
              <w:bottom w:val="nil"/>
            </w:tcBorders>
          </w:tcPr>
          <w:p>
            <w:pPr>
              <w:rPr>
                <w:rFonts w:ascii="Arial"/>
                <w:sz w:val="21"/>
              </w:rPr>
            </w:pPr>
            <w:r/>
          </w:p>
        </w:tc>
      </w:tr>
      <w:tr>
        <w:trPr>
          <w:trHeight w:val="240" w:hRule="atLeast"/>
        </w:trPr>
        <w:tc>
          <w:tcPr>
            <w:tcW w:w="1029" w:type="dxa"/>
            <w:vAlign w:val="top"/>
            <w:vMerge w:val="continue"/>
            <w:tcBorders>
              <w:top w:val="nil"/>
            </w:tcBorders>
          </w:tcPr>
          <w:p>
            <w:pPr>
              <w:rPr>
                <w:rFonts w:ascii="Arial"/>
                <w:sz w:val="21"/>
              </w:rPr>
            </w:pPr>
            <w:r/>
          </w:p>
        </w:tc>
        <w:tc>
          <w:tcPr>
            <w:tcW w:w="1384" w:type="dxa"/>
            <w:vAlign w:val="top"/>
          </w:tcPr>
          <w:p>
            <w:pPr>
              <w:ind w:left="521"/>
              <w:spacing w:before="27" w:line="208" w:lineRule="auto"/>
              <w:rPr>
                <w:rFonts w:ascii="SimSun" w:hAnsi="SimSun" w:eastAsia="SimSun" w:cs="SimSun"/>
                <w:sz w:val="18"/>
                <w:szCs w:val="18"/>
              </w:rPr>
            </w:pPr>
            <w:r>
              <w:rPr>
                <w:rFonts w:ascii="SimSun" w:hAnsi="SimSun" w:eastAsia="SimSun" w:cs="SimSun"/>
                <w:sz w:val="18"/>
                <w:szCs w:val="18"/>
                <w:spacing w:val="-6"/>
              </w:rPr>
              <w:t>小计</w:t>
            </w:r>
          </w:p>
        </w:tc>
        <w:tc>
          <w:tcPr>
            <w:tcW w:w="969" w:type="dxa"/>
            <w:vAlign w:val="top"/>
          </w:tcPr>
          <w:p>
            <w:pPr>
              <w:spacing w:line="230" w:lineRule="exact"/>
              <w:rPr>
                <w:rFonts w:ascii="Arial"/>
                <w:sz w:val="20"/>
              </w:rPr>
            </w:pPr>
            <w:r/>
          </w:p>
        </w:tc>
        <w:tc>
          <w:tcPr>
            <w:tcW w:w="1343" w:type="dxa"/>
            <w:vAlign w:val="top"/>
          </w:tcPr>
          <w:p>
            <w:pPr>
              <w:spacing w:line="230" w:lineRule="exact"/>
              <w:rPr>
                <w:rFonts w:ascii="Arial"/>
                <w:sz w:val="20"/>
              </w:rPr>
            </w:pPr>
            <w:r/>
          </w:p>
        </w:tc>
        <w:tc>
          <w:tcPr>
            <w:tcW w:w="998" w:type="dxa"/>
            <w:vAlign w:val="top"/>
          </w:tcPr>
          <w:p>
            <w:pPr>
              <w:pStyle w:val="TableText"/>
              <w:ind w:left="363"/>
              <w:spacing w:before="58" w:line="188" w:lineRule="auto"/>
              <w:rPr>
                <w:sz w:val="18"/>
                <w:szCs w:val="18"/>
              </w:rPr>
            </w:pPr>
            <w:r>
              <w:rPr>
                <w:sz w:val="18"/>
                <w:szCs w:val="18"/>
                <w:spacing w:val="-1"/>
              </w:rPr>
              <w:t>449</w:t>
            </w:r>
          </w:p>
        </w:tc>
        <w:tc>
          <w:tcPr>
            <w:tcW w:w="1010" w:type="dxa"/>
            <w:vAlign w:val="top"/>
          </w:tcPr>
          <w:p>
            <w:pPr>
              <w:spacing w:line="230" w:lineRule="exact"/>
              <w:rPr>
                <w:rFonts w:ascii="Arial"/>
                <w:sz w:val="20"/>
              </w:rPr>
            </w:pPr>
            <w:r/>
          </w:p>
        </w:tc>
        <w:tc>
          <w:tcPr>
            <w:tcW w:w="998" w:type="dxa"/>
            <w:vAlign w:val="top"/>
          </w:tcPr>
          <w:p>
            <w:pPr>
              <w:pStyle w:val="TableText"/>
              <w:ind w:left="366"/>
              <w:spacing w:before="58" w:line="188" w:lineRule="auto"/>
              <w:rPr>
                <w:sz w:val="18"/>
                <w:szCs w:val="18"/>
              </w:rPr>
            </w:pPr>
            <w:r>
              <w:rPr>
                <w:sz w:val="18"/>
                <w:szCs w:val="18"/>
                <w:spacing w:val="-1"/>
              </w:rPr>
              <w:t>422</w:t>
            </w:r>
          </w:p>
        </w:tc>
        <w:tc>
          <w:tcPr>
            <w:tcW w:w="1559" w:type="dxa"/>
            <w:vAlign w:val="top"/>
            <w:vMerge w:val="continue"/>
            <w:tcBorders>
              <w:top w:val="nil"/>
            </w:tcBorders>
          </w:tcPr>
          <w:p>
            <w:pPr>
              <w:rPr>
                <w:rFonts w:ascii="Arial"/>
                <w:sz w:val="21"/>
              </w:rPr>
            </w:pPr>
            <w:r/>
          </w:p>
        </w:tc>
      </w:tr>
      <w:tr>
        <w:trPr>
          <w:trHeight w:val="237" w:hRule="atLeast"/>
        </w:trPr>
        <w:tc>
          <w:tcPr>
            <w:tcW w:w="1029" w:type="dxa"/>
            <w:vAlign w:val="top"/>
          </w:tcPr>
          <w:p>
            <w:pPr>
              <w:ind w:left="432"/>
              <w:spacing w:before="58" w:line="173" w:lineRule="auto"/>
              <w:rPr>
                <w:rFonts w:ascii="SimSun" w:hAnsi="SimSun" w:eastAsia="SimSun" w:cs="SimSun"/>
                <w:sz w:val="18"/>
                <w:szCs w:val="18"/>
              </w:rPr>
            </w:pPr>
            <w:r>
              <w:rPr>
                <w:rFonts w:ascii="SimSun" w:hAnsi="SimSun" w:eastAsia="SimSun" w:cs="SimSun"/>
                <w:sz w:val="18"/>
                <w:szCs w:val="18"/>
              </w:rPr>
              <w:t>二</w:t>
            </w:r>
          </w:p>
        </w:tc>
        <w:tc>
          <w:tcPr>
            <w:tcW w:w="8261" w:type="dxa"/>
            <w:vAlign w:val="top"/>
            <w:gridSpan w:val="7"/>
          </w:tcPr>
          <w:p>
            <w:pPr>
              <w:ind w:left="3774"/>
              <w:spacing w:before="25" w:line="207" w:lineRule="auto"/>
              <w:rPr>
                <w:rFonts w:ascii="SimSun" w:hAnsi="SimSun" w:eastAsia="SimSun" w:cs="SimSun"/>
                <w:sz w:val="18"/>
                <w:szCs w:val="18"/>
              </w:rPr>
            </w:pPr>
            <w:r>
              <w:rPr>
                <w:rFonts w:ascii="SimSun" w:hAnsi="SimSun" w:eastAsia="SimSun" w:cs="SimSun"/>
                <w:sz w:val="18"/>
                <w:szCs w:val="18"/>
                <w:spacing w:val="-3"/>
              </w:rPr>
              <w:t>生产用水</w:t>
            </w:r>
          </w:p>
        </w:tc>
      </w:tr>
      <w:tr>
        <w:trPr>
          <w:trHeight w:val="237" w:hRule="atLeast"/>
        </w:trPr>
        <w:tc>
          <w:tcPr>
            <w:tcW w:w="1029"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spacing w:line="260" w:lineRule="auto"/>
              <w:rPr>
                <w:rFonts w:ascii="Arial"/>
                <w:sz w:val="21"/>
              </w:rPr>
            </w:pPr>
            <w:r/>
          </w:p>
          <w:p>
            <w:pPr>
              <w:ind w:left="247" w:right="150" w:hanging="83"/>
              <w:spacing w:before="59" w:line="241" w:lineRule="auto"/>
              <w:rPr>
                <w:rFonts w:ascii="SimSun" w:hAnsi="SimSun" w:eastAsia="SimSun" w:cs="SimSun"/>
                <w:sz w:val="18"/>
                <w:szCs w:val="18"/>
              </w:rPr>
            </w:pPr>
            <w:r>
              <w:rPr>
                <w:rFonts w:ascii="SimSun" w:hAnsi="SimSun" w:eastAsia="SimSun" w:cs="SimSun"/>
                <w:sz w:val="18"/>
                <w:szCs w:val="18"/>
                <w:spacing w:val="-3"/>
              </w:rPr>
              <w:t>露天区工</w:t>
            </w:r>
            <w:r>
              <w:rPr>
                <w:rFonts w:ascii="SimSun" w:hAnsi="SimSun" w:eastAsia="SimSun" w:cs="SimSun"/>
                <w:sz w:val="18"/>
                <w:szCs w:val="18"/>
                <w:spacing w:val="-3"/>
              </w:rPr>
              <w:t>业场地</w:t>
            </w:r>
          </w:p>
        </w:tc>
        <w:tc>
          <w:tcPr>
            <w:tcW w:w="1384" w:type="dxa"/>
            <w:vAlign w:val="top"/>
          </w:tcPr>
          <w:p>
            <w:pPr>
              <w:ind w:left="246"/>
              <w:spacing w:before="28" w:line="204" w:lineRule="auto"/>
              <w:rPr>
                <w:rFonts w:ascii="SimSun" w:hAnsi="SimSun" w:eastAsia="SimSun" w:cs="SimSun"/>
                <w:sz w:val="18"/>
                <w:szCs w:val="18"/>
              </w:rPr>
            </w:pPr>
            <w:r>
              <w:rPr>
                <w:rFonts w:ascii="SimSun" w:hAnsi="SimSun" w:eastAsia="SimSun" w:cs="SimSun"/>
                <w:sz w:val="18"/>
                <w:szCs w:val="18"/>
                <w:spacing w:val="-2"/>
              </w:rPr>
              <w:t>换热站补水</w:t>
            </w:r>
          </w:p>
        </w:tc>
        <w:tc>
          <w:tcPr>
            <w:tcW w:w="969" w:type="dxa"/>
            <w:vAlign w:val="top"/>
          </w:tcPr>
          <w:p>
            <w:pPr>
              <w:spacing w:line="227" w:lineRule="exact"/>
              <w:rPr>
                <w:rFonts w:ascii="Arial"/>
                <w:sz w:val="19"/>
              </w:rPr>
            </w:pPr>
            <w:r/>
          </w:p>
        </w:tc>
        <w:tc>
          <w:tcPr>
            <w:tcW w:w="1343" w:type="dxa"/>
            <w:vAlign w:val="top"/>
          </w:tcPr>
          <w:p>
            <w:pPr>
              <w:spacing w:line="227" w:lineRule="exact"/>
              <w:rPr>
                <w:rFonts w:ascii="Arial"/>
                <w:sz w:val="19"/>
              </w:rPr>
            </w:pPr>
            <w:r/>
          </w:p>
        </w:tc>
        <w:tc>
          <w:tcPr>
            <w:tcW w:w="998" w:type="dxa"/>
            <w:vAlign w:val="top"/>
          </w:tcPr>
          <w:p>
            <w:pPr>
              <w:pStyle w:val="TableText"/>
              <w:ind w:left="415"/>
              <w:spacing w:before="56" w:line="188" w:lineRule="auto"/>
              <w:rPr>
                <w:sz w:val="18"/>
                <w:szCs w:val="18"/>
              </w:rPr>
            </w:pPr>
            <w:r>
              <w:rPr>
                <w:sz w:val="18"/>
                <w:szCs w:val="18"/>
                <w:spacing w:val="-3"/>
              </w:rPr>
              <w:t>96</w:t>
            </w:r>
          </w:p>
        </w:tc>
        <w:tc>
          <w:tcPr>
            <w:tcW w:w="1010" w:type="dxa"/>
            <w:vAlign w:val="top"/>
          </w:tcPr>
          <w:p>
            <w:pPr>
              <w:spacing w:line="227" w:lineRule="exact"/>
              <w:rPr>
                <w:rFonts w:ascii="Arial"/>
                <w:sz w:val="19"/>
              </w:rPr>
            </w:pPr>
            <w:r/>
          </w:p>
        </w:tc>
        <w:tc>
          <w:tcPr>
            <w:tcW w:w="998" w:type="dxa"/>
            <w:vAlign w:val="top"/>
          </w:tcPr>
          <w:p>
            <w:pPr>
              <w:spacing w:line="227" w:lineRule="exact"/>
              <w:rPr>
                <w:rFonts w:ascii="Arial"/>
                <w:sz w:val="19"/>
              </w:rPr>
            </w:pPr>
            <w:r/>
          </w:p>
        </w:tc>
        <w:tc>
          <w:tcPr>
            <w:tcW w:w="1559" w:type="dxa"/>
            <w:vAlign w:val="top"/>
            <w:vMerge w:val="restart"/>
            <w:tcBorders>
              <w:bottom w:val="nil"/>
            </w:tcBorders>
          </w:tcPr>
          <w:p>
            <w:pPr>
              <w:ind w:left="113" w:right="60"/>
              <w:spacing w:before="29" w:line="235" w:lineRule="auto"/>
              <w:jc w:val="both"/>
              <w:rPr>
                <w:rFonts w:ascii="SimSun" w:hAnsi="SimSun" w:eastAsia="SimSun" w:cs="SimSun"/>
                <w:sz w:val="18"/>
                <w:szCs w:val="18"/>
              </w:rPr>
            </w:pPr>
            <w:r>
              <w:rPr>
                <w:rFonts w:ascii="SimSun" w:hAnsi="SimSun" w:eastAsia="SimSun" w:cs="SimSun"/>
                <w:sz w:val="18"/>
                <w:szCs w:val="18"/>
                <w:spacing w:val="10"/>
              </w:rPr>
              <w:t>道路、绿化洒水</w:t>
            </w:r>
            <w:r>
              <w:rPr>
                <w:rFonts w:ascii="SimSun" w:hAnsi="SimSun" w:eastAsia="SimSun" w:cs="SimSun"/>
                <w:sz w:val="18"/>
                <w:szCs w:val="18"/>
                <w:spacing w:val="10"/>
              </w:rPr>
              <w:t>水源为处理后的</w:t>
            </w:r>
            <w:r>
              <w:rPr>
                <w:rFonts w:ascii="SimSun" w:hAnsi="SimSun" w:eastAsia="SimSun" w:cs="SimSun"/>
                <w:sz w:val="18"/>
                <w:szCs w:val="18"/>
                <w:spacing w:val="10"/>
              </w:rPr>
              <w:t>生活污水及矿井</w:t>
            </w:r>
            <w:r>
              <w:rPr>
                <w:rFonts w:ascii="SimSun" w:hAnsi="SimSun" w:eastAsia="SimSun" w:cs="SimSun"/>
                <w:sz w:val="18"/>
                <w:szCs w:val="18"/>
                <w:spacing w:val="-8"/>
              </w:rPr>
              <w:t>（坑）混合来水；</w:t>
            </w:r>
            <w:r>
              <w:rPr>
                <w:rFonts w:ascii="SimSun" w:hAnsi="SimSun" w:eastAsia="SimSun" w:cs="SimSun"/>
                <w:sz w:val="18"/>
                <w:szCs w:val="18"/>
                <w:spacing w:val="10"/>
              </w:rPr>
              <w:t>汽车冲洗水源为</w:t>
            </w:r>
            <w:r>
              <w:rPr>
                <w:rFonts w:ascii="SimSun" w:hAnsi="SimSun" w:eastAsia="SimSun" w:cs="SimSun"/>
                <w:sz w:val="18"/>
                <w:szCs w:val="18"/>
                <w:spacing w:val="10"/>
              </w:rPr>
              <w:t>处理后的生活污</w:t>
            </w:r>
            <w:r>
              <w:rPr>
                <w:rFonts w:ascii="SimSun" w:hAnsi="SimSun" w:eastAsia="SimSun" w:cs="SimSun"/>
                <w:sz w:val="18"/>
                <w:szCs w:val="18"/>
                <w:spacing w:val="10"/>
              </w:rPr>
              <w:t>水；其他水源为</w:t>
            </w:r>
            <w:r>
              <w:rPr>
                <w:rFonts w:ascii="SimSun" w:hAnsi="SimSun" w:eastAsia="SimSun" w:cs="SimSun"/>
                <w:sz w:val="18"/>
                <w:szCs w:val="18"/>
                <w:spacing w:val="10"/>
              </w:rPr>
              <w:t>矿井（坑）混合</w:t>
            </w:r>
            <w:r>
              <w:rPr>
                <w:rFonts w:ascii="SimSun" w:hAnsi="SimSun" w:eastAsia="SimSun" w:cs="SimSun"/>
                <w:sz w:val="18"/>
                <w:szCs w:val="18"/>
                <w:spacing w:val="-4"/>
              </w:rPr>
              <w:t>来水</w:t>
            </w:r>
          </w:p>
        </w:tc>
      </w:tr>
      <w:tr>
        <w:trPr>
          <w:trHeight w:val="472"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517" w:right="329" w:hanging="181"/>
              <w:spacing w:before="29" w:line="222" w:lineRule="auto"/>
              <w:rPr>
                <w:rFonts w:ascii="SimSun" w:hAnsi="SimSun" w:eastAsia="SimSun" w:cs="SimSun"/>
                <w:sz w:val="18"/>
                <w:szCs w:val="18"/>
              </w:rPr>
            </w:pPr>
            <w:r>
              <w:rPr>
                <w:rFonts w:ascii="SimSun" w:hAnsi="SimSun" w:eastAsia="SimSun" w:cs="SimSun"/>
                <w:sz w:val="18"/>
                <w:szCs w:val="18"/>
                <w:spacing w:val="-2"/>
              </w:rPr>
              <w:t>汽车冲洗</w:t>
            </w:r>
            <w:r>
              <w:rPr>
                <w:rFonts w:ascii="SimSun" w:hAnsi="SimSun" w:eastAsia="SimSun" w:cs="SimSun"/>
                <w:sz w:val="18"/>
                <w:szCs w:val="18"/>
                <w:spacing w:val="-5"/>
              </w:rPr>
              <w:t>用水</w:t>
            </w:r>
          </w:p>
        </w:tc>
        <w:tc>
          <w:tcPr>
            <w:tcW w:w="969" w:type="dxa"/>
            <w:vAlign w:val="top"/>
          </w:tcPr>
          <w:p>
            <w:pPr>
              <w:pStyle w:val="TableText"/>
              <w:ind w:left="255"/>
              <w:spacing w:before="143" w:line="219" w:lineRule="auto"/>
              <w:rPr>
                <w:rFonts w:ascii="SimSun" w:hAnsi="SimSun" w:eastAsia="SimSun" w:cs="SimSun"/>
                <w:sz w:val="18"/>
                <w:szCs w:val="18"/>
              </w:rPr>
            </w:pPr>
            <w:r>
              <w:rPr>
                <w:sz w:val="18"/>
                <w:szCs w:val="18"/>
                <w:spacing w:val="-6"/>
              </w:rPr>
              <w:t>120</w:t>
            </w:r>
            <w:r>
              <w:rPr>
                <w:sz w:val="18"/>
                <w:szCs w:val="18"/>
                <w:spacing w:val="7"/>
              </w:rPr>
              <w:t xml:space="preserve"> </w:t>
            </w:r>
            <w:r>
              <w:rPr>
                <w:rFonts w:ascii="SimSun" w:hAnsi="SimSun" w:eastAsia="SimSun" w:cs="SimSun"/>
                <w:sz w:val="18"/>
                <w:szCs w:val="18"/>
                <w:spacing w:val="-6"/>
              </w:rPr>
              <w:t>辆</w:t>
            </w:r>
          </w:p>
        </w:tc>
        <w:tc>
          <w:tcPr>
            <w:tcW w:w="1343" w:type="dxa"/>
            <w:vAlign w:val="top"/>
          </w:tcPr>
          <w:p>
            <w:pPr>
              <w:pStyle w:val="TableText"/>
              <w:ind w:left="224"/>
              <w:spacing w:before="143" w:line="219" w:lineRule="auto"/>
              <w:rPr>
                <w:rFonts w:ascii="SimSun" w:hAnsi="SimSun" w:eastAsia="SimSun" w:cs="SimSun"/>
                <w:sz w:val="18"/>
                <w:szCs w:val="18"/>
              </w:rPr>
            </w:pPr>
            <w:r>
              <w:rPr>
                <w:sz w:val="18"/>
                <w:szCs w:val="18"/>
                <w:spacing w:val="-3"/>
              </w:rPr>
              <w:t>1500L/</w:t>
            </w:r>
            <w:r>
              <w:rPr>
                <w:rFonts w:ascii="SimSun" w:hAnsi="SimSun" w:eastAsia="SimSun" w:cs="SimSun"/>
                <w:sz w:val="18"/>
                <w:szCs w:val="18"/>
                <w:spacing w:val="-3"/>
              </w:rPr>
              <w:t>辆</w:t>
            </w:r>
            <w:r>
              <w:rPr>
                <w:sz w:val="18"/>
                <w:szCs w:val="18"/>
                <w:spacing w:val="-3"/>
              </w:rPr>
              <w:t>.</w:t>
            </w:r>
            <w:r>
              <w:rPr>
                <w:sz w:val="18"/>
                <w:szCs w:val="18"/>
                <w:spacing w:val="-4"/>
              </w:rPr>
              <w:t xml:space="preserve"> </w:t>
            </w:r>
            <w:r>
              <w:rPr>
                <w:rFonts w:ascii="SimSun" w:hAnsi="SimSun" w:eastAsia="SimSun" w:cs="SimSun"/>
                <w:sz w:val="18"/>
                <w:szCs w:val="18"/>
                <w:spacing w:val="-3"/>
              </w:rPr>
              <w:t>日</w:t>
            </w:r>
          </w:p>
        </w:tc>
        <w:tc>
          <w:tcPr>
            <w:tcW w:w="998" w:type="dxa"/>
            <w:vAlign w:val="top"/>
          </w:tcPr>
          <w:p>
            <w:pPr>
              <w:pStyle w:val="TableText"/>
              <w:ind w:left="415"/>
              <w:spacing w:before="174" w:line="188" w:lineRule="auto"/>
              <w:rPr>
                <w:sz w:val="18"/>
                <w:szCs w:val="18"/>
              </w:rPr>
            </w:pPr>
            <w:r>
              <w:rPr>
                <w:sz w:val="18"/>
                <w:szCs w:val="18"/>
                <w:spacing w:val="-4"/>
              </w:rPr>
              <w:t>36</w:t>
            </w:r>
          </w:p>
        </w:tc>
        <w:tc>
          <w:tcPr>
            <w:tcW w:w="1010" w:type="dxa"/>
            <w:vAlign w:val="top"/>
          </w:tcPr>
          <w:p>
            <w:pPr>
              <w:rPr>
                <w:rFonts w:ascii="Arial"/>
                <w:sz w:val="21"/>
              </w:rPr>
            </w:pPr>
            <w:r/>
          </w:p>
        </w:tc>
        <w:tc>
          <w:tcPr>
            <w:tcW w:w="998" w:type="dxa"/>
            <w:vAlign w:val="top"/>
          </w:tcPr>
          <w:p>
            <w:pPr>
              <w:rPr>
                <w:rFonts w:ascii="Arial"/>
                <w:sz w:val="21"/>
              </w:rPr>
            </w:pPr>
            <w:r/>
          </w:p>
        </w:tc>
        <w:tc>
          <w:tcPr>
            <w:tcW w:w="1559" w:type="dxa"/>
            <w:vAlign w:val="top"/>
            <w:vMerge w:val="continue"/>
            <w:tcBorders>
              <w:top w:val="nil"/>
              <w:bottom w:val="nil"/>
            </w:tcBorders>
          </w:tcPr>
          <w:p>
            <w:pPr>
              <w:rPr>
                <w:rFonts w:ascii="Arial"/>
                <w:sz w:val="21"/>
              </w:rPr>
            </w:pPr>
            <w:r/>
          </w:p>
        </w:tc>
      </w:tr>
      <w:tr>
        <w:trPr>
          <w:trHeight w:val="237"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5"/>
              <w:spacing w:before="29" w:line="203" w:lineRule="auto"/>
              <w:rPr>
                <w:rFonts w:ascii="SimSun" w:hAnsi="SimSun" w:eastAsia="SimSun" w:cs="SimSun"/>
                <w:sz w:val="18"/>
                <w:szCs w:val="18"/>
              </w:rPr>
            </w:pPr>
            <w:r>
              <w:rPr>
                <w:rFonts w:ascii="SimSun" w:hAnsi="SimSun" w:eastAsia="SimSun" w:cs="SimSun"/>
                <w:sz w:val="18"/>
                <w:szCs w:val="18"/>
                <w:spacing w:val="-2"/>
              </w:rPr>
              <w:t>道路洒水</w:t>
            </w:r>
          </w:p>
        </w:tc>
        <w:tc>
          <w:tcPr>
            <w:tcW w:w="969" w:type="dxa"/>
            <w:vAlign w:val="top"/>
          </w:tcPr>
          <w:p>
            <w:pPr>
              <w:spacing w:line="227" w:lineRule="exact"/>
              <w:rPr>
                <w:rFonts w:ascii="Arial"/>
                <w:sz w:val="19"/>
              </w:rPr>
            </w:pPr>
            <w:r/>
          </w:p>
        </w:tc>
        <w:tc>
          <w:tcPr>
            <w:tcW w:w="1343" w:type="dxa"/>
            <w:vAlign w:val="top"/>
          </w:tcPr>
          <w:p>
            <w:pPr>
              <w:spacing w:line="227" w:lineRule="exact"/>
              <w:rPr>
                <w:rFonts w:ascii="Arial"/>
                <w:sz w:val="19"/>
              </w:rPr>
            </w:pPr>
            <w:r/>
          </w:p>
        </w:tc>
        <w:tc>
          <w:tcPr>
            <w:tcW w:w="998" w:type="dxa"/>
            <w:vAlign w:val="top"/>
          </w:tcPr>
          <w:p>
            <w:pPr>
              <w:pStyle w:val="TableText"/>
              <w:ind w:left="367"/>
              <w:spacing w:before="57" w:line="188" w:lineRule="auto"/>
              <w:rPr>
                <w:sz w:val="18"/>
                <w:szCs w:val="18"/>
              </w:rPr>
            </w:pPr>
            <w:r>
              <w:rPr>
                <w:sz w:val="18"/>
                <w:szCs w:val="18"/>
                <w:spacing w:val="-3"/>
              </w:rPr>
              <w:t>300</w:t>
            </w:r>
          </w:p>
        </w:tc>
        <w:tc>
          <w:tcPr>
            <w:tcW w:w="1010" w:type="dxa"/>
            <w:vAlign w:val="top"/>
          </w:tcPr>
          <w:p>
            <w:pPr>
              <w:spacing w:line="227" w:lineRule="exact"/>
              <w:rPr>
                <w:rFonts w:ascii="Arial"/>
                <w:sz w:val="19"/>
              </w:rPr>
            </w:pPr>
            <w:r/>
          </w:p>
        </w:tc>
        <w:tc>
          <w:tcPr>
            <w:tcW w:w="998" w:type="dxa"/>
            <w:vAlign w:val="top"/>
          </w:tcPr>
          <w:p>
            <w:pPr>
              <w:spacing w:line="227" w:lineRule="exact"/>
              <w:rPr>
                <w:rFonts w:ascii="Arial"/>
                <w:sz w:val="19"/>
              </w:rPr>
            </w:pPr>
            <w:r/>
          </w:p>
        </w:tc>
        <w:tc>
          <w:tcPr>
            <w:tcW w:w="1559" w:type="dxa"/>
            <w:vAlign w:val="top"/>
            <w:vMerge w:val="continue"/>
            <w:tcBorders>
              <w:top w:val="nil"/>
              <w:bottom w:val="nil"/>
            </w:tcBorders>
          </w:tcPr>
          <w:p>
            <w:pPr>
              <w:rPr>
                <w:rFonts w:ascii="Arial"/>
                <w:sz w:val="21"/>
              </w:rPr>
            </w:pPr>
            <w:r/>
          </w:p>
        </w:tc>
      </w:tr>
      <w:tr>
        <w:trPr>
          <w:trHeight w:val="240"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7"/>
              <w:spacing w:before="29" w:line="206" w:lineRule="auto"/>
              <w:rPr>
                <w:rFonts w:ascii="SimSun" w:hAnsi="SimSun" w:eastAsia="SimSun" w:cs="SimSun"/>
                <w:sz w:val="18"/>
                <w:szCs w:val="18"/>
              </w:rPr>
            </w:pPr>
            <w:r>
              <w:rPr>
                <w:rFonts w:ascii="SimSun" w:hAnsi="SimSun" w:eastAsia="SimSun" w:cs="SimSun"/>
                <w:sz w:val="18"/>
                <w:szCs w:val="18"/>
                <w:spacing w:val="-3"/>
              </w:rPr>
              <w:t>绿化洒水</w:t>
            </w:r>
          </w:p>
        </w:tc>
        <w:tc>
          <w:tcPr>
            <w:tcW w:w="969" w:type="dxa"/>
            <w:vAlign w:val="top"/>
          </w:tcPr>
          <w:p>
            <w:pPr>
              <w:spacing w:line="230" w:lineRule="exact"/>
              <w:rPr>
                <w:rFonts w:ascii="Arial"/>
                <w:sz w:val="20"/>
              </w:rPr>
            </w:pPr>
            <w:r/>
          </w:p>
        </w:tc>
        <w:tc>
          <w:tcPr>
            <w:tcW w:w="1343" w:type="dxa"/>
            <w:vAlign w:val="top"/>
          </w:tcPr>
          <w:p>
            <w:pPr>
              <w:spacing w:line="230" w:lineRule="exact"/>
              <w:rPr>
                <w:rFonts w:ascii="Arial"/>
                <w:sz w:val="20"/>
              </w:rPr>
            </w:pPr>
            <w:r/>
          </w:p>
        </w:tc>
        <w:tc>
          <w:tcPr>
            <w:tcW w:w="998" w:type="dxa"/>
            <w:vAlign w:val="top"/>
          </w:tcPr>
          <w:p>
            <w:pPr>
              <w:pStyle w:val="TableText"/>
              <w:ind w:left="364"/>
              <w:spacing w:before="60" w:line="188" w:lineRule="auto"/>
              <w:rPr>
                <w:sz w:val="18"/>
                <w:szCs w:val="18"/>
              </w:rPr>
            </w:pPr>
            <w:r>
              <w:rPr>
                <w:sz w:val="18"/>
                <w:szCs w:val="18"/>
                <w:spacing w:val="-1"/>
              </w:rPr>
              <w:t>200</w:t>
            </w:r>
          </w:p>
        </w:tc>
        <w:tc>
          <w:tcPr>
            <w:tcW w:w="1010" w:type="dxa"/>
            <w:vAlign w:val="top"/>
          </w:tcPr>
          <w:p>
            <w:pPr>
              <w:spacing w:line="230" w:lineRule="exact"/>
              <w:rPr>
                <w:rFonts w:ascii="Arial"/>
                <w:sz w:val="20"/>
              </w:rPr>
            </w:pPr>
            <w:r/>
          </w:p>
        </w:tc>
        <w:tc>
          <w:tcPr>
            <w:tcW w:w="998" w:type="dxa"/>
            <w:vAlign w:val="top"/>
          </w:tcPr>
          <w:p>
            <w:pPr>
              <w:spacing w:line="230" w:lineRule="exact"/>
              <w:rPr>
                <w:rFonts w:ascii="Arial"/>
                <w:sz w:val="20"/>
              </w:rPr>
            </w:pPr>
            <w:r/>
          </w:p>
        </w:tc>
        <w:tc>
          <w:tcPr>
            <w:tcW w:w="1559" w:type="dxa"/>
            <w:vAlign w:val="top"/>
            <w:vMerge w:val="continue"/>
            <w:tcBorders>
              <w:top w:val="nil"/>
              <w:bottom w:val="nil"/>
            </w:tcBorders>
          </w:tcPr>
          <w:p>
            <w:pPr>
              <w:rPr>
                <w:rFonts w:ascii="Arial"/>
                <w:sz w:val="21"/>
              </w:rPr>
            </w:pPr>
            <w:r/>
          </w:p>
        </w:tc>
      </w:tr>
      <w:tr>
        <w:trPr>
          <w:trHeight w:val="237" w:hRule="atLeast"/>
        </w:trPr>
        <w:tc>
          <w:tcPr>
            <w:tcW w:w="1029" w:type="dxa"/>
            <w:vAlign w:val="top"/>
            <w:vMerge w:val="continue"/>
            <w:tcBorders>
              <w:top w:val="nil"/>
              <w:bottom w:val="nil"/>
            </w:tcBorders>
          </w:tcPr>
          <w:p>
            <w:pPr>
              <w:rPr>
                <w:rFonts w:ascii="Arial"/>
                <w:sz w:val="21"/>
              </w:rPr>
            </w:pPr>
            <w:r/>
          </w:p>
        </w:tc>
        <w:tc>
          <w:tcPr>
            <w:tcW w:w="1384" w:type="dxa"/>
            <w:vAlign w:val="top"/>
          </w:tcPr>
          <w:p>
            <w:pPr>
              <w:ind w:left="335"/>
              <w:spacing w:before="29" w:line="203" w:lineRule="auto"/>
              <w:rPr>
                <w:rFonts w:ascii="SimSun" w:hAnsi="SimSun" w:eastAsia="SimSun" w:cs="SimSun"/>
                <w:sz w:val="18"/>
                <w:szCs w:val="18"/>
              </w:rPr>
            </w:pPr>
            <w:r>
              <w:rPr>
                <w:rFonts w:ascii="SimSun" w:hAnsi="SimSun" w:eastAsia="SimSun" w:cs="SimSun"/>
                <w:sz w:val="18"/>
                <w:szCs w:val="18"/>
                <w:spacing w:val="-2"/>
              </w:rPr>
              <w:t>采场洒水</w:t>
            </w:r>
          </w:p>
        </w:tc>
        <w:tc>
          <w:tcPr>
            <w:tcW w:w="969" w:type="dxa"/>
            <w:vAlign w:val="top"/>
          </w:tcPr>
          <w:p>
            <w:pPr>
              <w:spacing w:line="227" w:lineRule="exact"/>
              <w:rPr>
                <w:rFonts w:ascii="Arial"/>
                <w:sz w:val="19"/>
              </w:rPr>
            </w:pPr>
            <w:r/>
          </w:p>
        </w:tc>
        <w:tc>
          <w:tcPr>
            <w:tcW w:w="1343" w:type="dxa"/>
            <w:vAlign w:val="top"/>
          </w:tcPr>
          <w:p>
            <w:pPr>
              <w:spacing w:line="227" w:lineRule="exact"/>
              <w:rPr>
                <w:rFonts w:ascii="Arial"/>
                <w:sz w:val="19"/>
              </w:rPr>
            </w:pPr>
            <w:r/>
          </w:p>
        </w:tc>
        <w:tc>
          <w:tcPr>
            <w:tcW w:w="998" w:type="dxa"/>
            <w:vAlign w:val="top"/>
          </w:tcPr>
          <w:p>
            <w:pPr>
              <w:pStyle w:val="TableText"/>
              <w:ind w:left="367"/>
              <w:spacing w:before="57" w:line="188" w:lineRule="auto"/>
              <w:rPr>
                <w:sz w:val="18"/>
                <w:szCs w:val="18"/>
              </w:rPr>
            </w:pPr>
            <w:r>
              <w:rPr>
                <w:sz w:val="18"/>
                <w:szCs w:val="18"/>
                <w:spacing w:val="-2"/>
              </w:rPr>
              <w:t>700</w:t>
            </w:r>
          </w:p>
        </w:tc>
        <w:tc>
          <w:tcPr>
            <w:tcW w:w="1010" w:type="dxa"/>
            <w:vAlign w:val="top"/>
          </w:tcPr>
          <w:p>
            <w:pPr>
              <w:spacing w:line="227" w:lineRule="exact"/>
              <w:rPr>
                <w:rFonts w:ascii="Arial"/>
                <w:sz w:val="19"/>
              </w:rPr>
            </w:pPr>
            <w:r/>
          </w:p>
        </w:tc>
        <w:tc>
          <w:tcPr>
            <w:tcW w:w="998" w:type="dxa"/>
            <w:vAlign w:val="top"/>
          </w:tcPr>
          <w:p>
            <w:pPr>
              <w:spacing w:line="227" w:lineRule="exact"/>
              <w:rPr>
                <w:rFonts w:ascii="Arial"/>
                <w:sz w:val="19"/>
              </w:rPr>
            </w:pPr>
            <w:r/>
          </w:p>
        </w:tc>
        <w:tc>
          <w:tcPr>
            <w:tcW w:w="1559" w:type="dxa"/>
            <w:vAlign w:val="top"/>
            <w:vMerge w:val="continue"/>
            <w:tcBorders>
              <w:top w:val="nil"/>
              <w:bottom w:val="nil"/>
            </w:tcBorders>
          </w:tcPr>
          <w:p>
            <w:pPr>
              <w:rPr>
                <w:rFonts w:ascii="Arial"/>
                <w:sz w:val="21"/>
              </w:rPr>
            </w:pPr>
            <w:r/>
          </w:p>
        </w:tc>
      </w:tr>
      <w:tr>
        <w:trPr>
          <w:trHeight w:val="654" w:hRule="atLeast"/>
        </w:trPr>
        <w:tc>
          <w:tcPr>
            <w:tcW w:w="1029" w:type="dxa"/>
            <w:vAlign w:val="top"/>
            <w:vMerge w:val="continue"/>
            <w:tcBorders>
              <w:top w:val="nil"/>
            </w:tcBorders>
          </w:tcPr>
          <w:p>
            <w:pPr>
              <w:rPr>
                <w:rFonts w:ascii="Arial"/>
                <w:sz w:val="21"/>
              </w:rPr>
            </w:pPr>
            <w:r/>
          </w:p>
        </w:tc>
        <w:tc>
          <w:tcPr>
            <w:tcW w:w="1384" w:type="dxa"/>
            <w:vAlign w:val="top"/>
          </w:tcPr>
          <w:p>
            <w:pPr>
              <w:ind w:left="521"/>
              <w:spacing w:before="237" w:line="221" w:lineRule="auto"/>
              <w:rPr>
                <w:rFonts w:ascii="SimSun" w:hAnsi="SimSun" w:eastAsia="SimSun" w:cs="SimSun"/>
                <w:sz w:val="18"/>
                <w:szCs w:val="18"/>
              </w:rPr>
            </w:pPr>
            <w:r>
              <w:rPr>
                <w:rFonts w:ascii="SimSun" w:hAnsi="SimSun" w:eastAsia="SimSun" w:cs="SimSun"/>
                <w:sz w:val="18"/>
                <w:szCs w:val="18"/>
                <w:spacing w:val="-6"/>
              </w:rPr>
              <w:t>小计</w:t>
            </w:r>
          </w:p>
        </w:tc>
        <w:tc>
          <w:tcPr>
            <w:tcW w:w="969" w:type="dxa"/>
            <w:vAlign w:val="top"/>
          </w:tcPr>
          <w:p>
            <w:pPr>
              <w:rPr>
                <w:rFonts w:ascii="Arial"/>
                <w:sz w:val="21"/>
              </w:rPr>
            </w:pPr>
            <w:r/>
          </w:p>
        </w:tc>
        <w:tc>
          <w:tcPr>
            <w:tcW w:w="1343" w:type="dxa"/>
            <w:vAlign w:val="top"/>
          </w:tcPr>
          <w:p>
            <w:pPr>
              <w:rPr>
                <w:rFonts w:ascii="Arial"/>
                <w:sz w:val="21"/>
              </w:rPr>
            </w:pPr>
            <w:r/>
          </w:p>
        </w:tc>
        <w:tc>
          <w:tcPr>
            <w:tcW w:w="998" w:type="dxa"/>
            <w:vAlign w:val="top"/>
          </w:tcPr>
          <w:p>
            <w:pPr>
              <w:pStyle w:val="TableText"/>
              <w:ind w:left="338"/>
              <w:spacing w:before="267" w:line="188" w:lineRule="auto"/>
              <w:rPr>
                <w:sz w:val="18"/>
                <w:szCs w:val="18"/>
              </w:rPr>
            </w:pPr>
            <w:r>
              <w:rPr>
                <w:sz w:val="18"/>
                <w:szCs w:val="18"/>
                <w:spacing w:val="-5"/>
              </w:rPr>
              <w:t>1332</w:t>
            </w:r>
          </w:p>
        </w:tc>
        <w:tc>
          <w:tcPr>
            <w:tcW w:w="1010" w:type="dxa"/>
            <w:vAlign w:val="top"/>
          </w:tcPr>
          <w:p>
            <w:pPr>
              <w:rPr>
                <w:rFonts w:ascii="Arial"/>
                <w:sz w:val="21"/>
              </w:rPr>
            </w:pPr>
            <w:r/>
          </w:p>
        </w:tc>
        <w:tc>
          <w:tcPr>
            <w:tcW w:w="998" w:type="dxa"/>
            <w:vAlign w:val="top"/>
          </w:tcPr>
          <w:p>
            <w:pPr>
              <w:rPr>
                <w:rFonts w:ascii="Arial"/>
                <w:sz w:val="21"/>
              </w:rPr>
            </w:pPr>
            <w:r/>
          </w:p>
        </w:tc>
        <w:tc>
          <w:tcPr>
            <w:tcW w:w="1559" w:type="dxa"/>
            <w:vAlign w:val="top"/>
            <w:vMerge w:val="continue"/>
            <w:tcBorders>
              <w:top w:val="nil"/>
            </w:tcBorders>
          </w:tcPr>
          <w:p>
            <w:pPr>
              <w:rPr>
                <w:rFonts w:ascii="Arial"/>
                <w:sz w:val="21"/>
              </w:rPr>
            </w:pPr>
            <w:r/>
          </w:p>
        </w:tc>
      </w:tr>
      <w:tr>
        <w:trPr>
          <w:trHeight w:val="240" w:hRule="atLeast"/>
        </w:trPr>
        <w:tc>
          <w:tcPr>
            <w:tcW w:w="1029" w:type="dxa"/>
            <w:vAlign w:val="top"/>
          </w:tcPr>
          <w:p>
            <w:pPr>
              <w:ind w:left="429"/>
              <w:spacing w:before="30" w:line="205" w:lineRule="auto"/>
              <w:rPr>
                <w:rFonts w:ascii="SimSun" w:hAnsi="SimSun" w:eastAsia="SimSun" w:cs="SimSun"/>
                <w:sz w:val="18"/>
                <w:szCs w:val="18"/>
              </w:rPr>
            </w:pPr>
            <w:r>
              <w:rPr>
                <w:rFonts w:ascii="SimSun" w:hAnsi="SimSun" w:eastAsia="SimSun" w:cs="SimSun"/>
                <w:sz w:val="18"/>
                <w:szCs w:val="18"/>
              </w:rPr>
              <w:t>三</w:t>
            </w:r>
          </w:p>
        </w:tc>
        <w:tc>
          <w:tcPr>
            <w:tcW w:w="1384" w:type="dxa"/>
            <w:vAlign w:val="top"/>
          </w:tcPr>
          <w:p>
            <w:pPr>
              <w:ind w:left="339"/>
              <w:spacing w:before="30" w:line="205" w:lineRule="auto"/>
              <w:rPr>
                <w:rFonts w:ascii="SimSun" w:hAnsi="SimSun" w:eastAsia="SimSun" w:cs="SimSun"/>
                <w:sz w:val="18"/>
                <w:szCs w:val="18"/>
              </w:rPr>
            </w:pPr>
            <w:r>
              <w:rPr>
                <w:rFonts w:ascii="SimSun" w:hAnsi="SimSun" w:eastAsia="SimSun" w:cs="SimSun"/>
                <w:sz w:val="18"/>
                <w:szCs w:val="18"/>
                <w:spacing w:val="-3"/>
              </w:rPr>
              <w:t>消防用水</w:t>
            </w:r>
          </w:p>
        </w:tc>
        <w:tc>
          <w:tcPr>
            <w:tcW w:w="969" w:type="dxa"/>
            <w:vAlign w:val="top"/>
          </w:tcPr>
          <w:p>
            <w:pPr>
              <w:spacing w:line="230" w:lineRule="exact"/>
              <w:rPr>
                <w:rFonts w:ascii="Arial"/>
                <w:sz w:val="20"/>
              </w:rPr>
            </w:pPr>
            <w:r/>
          </w:p>
        </w:tc>
        <w:tc>
          <w:tcPr>
            <w:tcW w:w="1343" w:type="dxa"/>
            <w:vAlign w:val="top"/>
          </w:tcPr>
          <w:p>
            <w:pPr>
              <w:spacing w:line="230" w:lineRule="exact"/>
              <w:rPr>
                <w:rFonts w:ascii="Arial"/>
                <w:sz w:val="20"/>
              </w:rPr>
            </w:pPr>
            <w:r/>
          </w:p>
        </w:tc>
        <w:tc>
          <w:tcPr>
            <w:tcW w:w="998" w:type="dxa"/>
            <w:vAlign w:val="top"/>
          </w:tcPr>
          <w:p>
            <w:pPr>
              <w:pStyle w:val="TableText"/>
              <w:ind w:left="367"/>
              <w:spacing w:before="61" w:line="188" w:lineRule="auto"/>
              <w:rPr>
                <w:sz w:val="18"/>
                <w:szCs w:val="18"/>
              </w:rPr>
            </w:pPr>
            <w:r>
              <w:rPr>
                <w:sz w:val="18"/>
                <w:szCs w:val="18"/>
                <w:spacing w:val="-2"/>
              </w:rPr>
              <w:t>702</w:t>
            </w:r>
          </w:p>
        </w:tc>
        <w:tc>
          <w:tcPr>
            <w:tcW w:w="1010" w:type="dxa"/>
            <w:vAlign w:val="top"/>
          </w:tcPr>
          <w:p>
            <w:pPr>
              <w:spacing w:line="230" w:lineRule="exact"/>
              <w:rPr>
                <w:rFonts w:ascii="Arial"/>
                <w:sz w:val="20"/>
              </w:rPr>
            </w:pPr>
            <w:r/>
          </w:p>
        </w:tc>
        <w:tc>
          <w:tcPr>
            <w:tcW w:w="998" w:type="dxa"/>
            <w:vAlign w:val="top"/>
          </w:tcPr>
          <w:p>
            <w:pPr>
              <w:spacing w:line="230" w:lineRule="exact"/>
              <w:rPr>
                <w:rFonts w:ascii="Arial"/>
                <w:sz w:val="20"/>
              </w:rPr>
            </w:pPr>
            <w:r/>
          </w:p>
        </w:tc>
        <w:tc>
          <w:tcPr>
            <w:tcW w:w="1559" w:type="dxa"/>
            <w:vAlign w:val="top"/>
          </w:tcPr>
          <w:p>
            <w:pPr>
              <w:spacing w:line="230" w:lineRule="exact"/>
              <w:rPr>
                <w:rFonts w:ascii="Arial"/>
                <w:sz w:val="20"/>
              </w:rPr>
            </w:pPr>
            <w:r/>
          </w:p>
        </w:tc>
      </w:tr>
      <w:tr>
        <w:trPr>
          <w:trHeight w:val="242" w:hRule="atLeast"/>
        </w:trPr>
        <w:tc>
          <w:tcPr>
            <w:tcW w:w="2413" w:type="dxa"/>
            <w:vAlign w:val="top"/>
            <w:gridSpan w:val="2"/>
          </w:tcPr>
          <w:p>
            <w:pPr>
              <w:ind w:left="1036"/>
              <w:spacing w:before="30" w:line="207" w:lineRule="auto"/>
              <w:rPr>
                <w:rFonts w:ascii="SimSun" w:hAnsi="SimSun" w:eastAsia="SimSun" w:cs="SimSun"/>
                <w:sz w:val="18"/>
                <w:szCs w:val="18"/>
              </w:rPr>
            </w:pPr>
            <w:r>
              <w:rPr>
                <w:rFonts w:ascii="SimSun" w:hAnsi="SimSun" w:eastAsia="SimSun" w:cs="SimSun"/>
                <w:sz w:val="18"/>
                <w:szCs w:val="18"/>
                <w:spacing w:val="-6"/>
              </w:rPr>
              <w:t>总计</w:t>
            </w:r>
          </w:p>
        </w:tc>
        <w:tc>
          <w:tcPr>
            <w:tcW w:w="969" w:type="dxa"/>
            <w:vAlign w:val="top"/>
          </w:tcPr>
          <w:p>
            <w:pPr>
              <w:spacing w:line="231" w:lineRule="exact"/>
              <w:rPr>
                <w:rFonts w:ascii="Arial"/>
                <w:sz w:val="20"/>
              </w:rPr>
            </w:pPr>
            <w:r/>
          </w:p>
        </w:tc>
        <w:tc>
          <w:tcPr>
            <w:tcW w:w="1343" w:type="dxa"/>
            <w:vAlign w:val="top"/>
          </w:tcPr>
          <w:p>
            <w:pPr>
              <w:spacing w:line="231" w:lineRule="exact"/>
              <w:rPr>
                <w:rFonts w:ascii="Arial"/>
                <w:sz w:val="20"/>
              </w:rPr>
            </w:pPr>
            <w:r/>
          </w:p>
        </w:tc>
        <w:tc>
          <w:tcPr>
            <w:tcW w:w="998" w:type="dxa"/>
            <w:vAlign w:val="top"/>
          </w:tcPr>
          <w:p>
            <w:pPr>
              <w:pStyle w:val="TableText"/>
              <w:ind w:left="320"/>
              <w:spacing w:before="59" w:line="188" w:lineRule="auto"/>
              <w:rPr>
                <w:sz w:val="18"/>
                <w:szCs w:val="18"/>
              </w:rPr>
            </w:pPr>
            <w:r>
              <w:rPr>
                <w:sz w:val="18"/>
                <w:szCs w:val="18"/>
                <w:spacing w:val="-1"/>
              </w:rPr>
              <w:t>2034</w:t>
            </w:r>
          </w:p>
        </w:tc>
        <w:tc>
          <w:tcPr>
            <w:tcW w:w="1010" w:type="dxa"/>
            <w:vAlign w:val="top"/>
          </w:tcPr>
          <w:p>
            <w:pPr>
              <w:spacing w:line="231" w:lineRule="exact"/>
              <w:rPr>
                <w:rFonts w:ascii="Arial"/>
                <w:sz w:val="20"/>
              </w:rPr>
            </w:pPr>
            <w:r/>
          </w:p>
        </w:tc>
        <w:tc>
          <w:tcPr>
            <w:tcW w:w="998" w:type="dxa"/>
            <w:vAlign w:val="top"/>
          </w:tcPr>
          <w:p>
            <w:pPr>
              <w:pStyle w:val="TableText"/>
              <w:ind w:left="366"/>
              <w:spacing w:before="59" w:line="188" w:lineRule="auto"/>
              <w:rPr>
                <w:sz w:val="18"/>
                <w:szCs w:val="18"/>
              </w:rPr>
            </w:pPr>
            <w:r>
              <w:rPr>
                <w:sz w:val="18"/>
                <w:szCs w:val="18"/>
                <w:spacing w:val="-1"/>
              </w:rPr>
              <w:t>422</w:t>
            </w:r>
          </w:p>
        </w:tc>
        <w:tc>
          <w:tcPr>
            <w:tcW w:w="1559" w:type="dxa"/>
            <w:vAlign w:val="top"/>
          </w:tcPr>
          <w:p>
            <w:pPr>
              <w:spacing w:line="231" w:lineRule="exact"/>
              <w:rPr>
                <w:rFonts w:ascii="Arial"/>
                <w:sz w:val="20"/>
              </w:rPr>
            </w:pPr>
            <w:r/>
          </w:p>
        </w:tc>
      </w:tr>
    </w:tbl>
    <w:p>
      <w:pPr>
        <w:ind w:left="118"/>
        <w:spacing w:before="28" w:line="228" w:lineRule="auto"/>
        <w:rPr>
          <w:rFonts w:ascii="SimSun" w:hAnsi="SimSun" w:eastAsia="SimSun" w:cs="SimSun"/>
          <w:sz w:val="20"/>
          <w:szCs w:val="20"/>
        </w:rPr>
      </w:pPr>
      <w:r>
        <w:rPr>
          <w:rFonts w:ascii="SimSun" w:hAnsi="SimSun" w:eastAsia="SimSun" w:cs="SimSun"/>
          <w:sz w:val="20"/>
          <w:szCs w:val="20"/>
          <w:spacing w:val="9"/>
        </w:rPr>
        <w:t>注：表中统计的汽车冲洗用水量为补水量</w:t>
      </w:r>
    </w:p>
    <w:p>
      <w:pPr>
        <w:spacing w:line="228" w:lineRule="auto"/>
        <w:sectPr>
          <w:headerReference w:type="default" r:id="rId219"/>
          <w:footerReference w:type="default" r:id="rId220"/>
          <w:pgSz w:w="11906" w:h="16838"/>
          <w:pgMar w:top="1170" w:right="1212" w:bottom="1080" w:left="1305" w:header="837" w:footer="918" w:gutter="0"/>
        </w:sectPr>
        <w:rPr>
          <w:rFonts w:ascii="SimSun" w:hAnsi="SimSun" w:eastAsia="SimSun" w:cs="SimSun"/>
          <w:sz w:val="20"/>
          <w:szCs w:val="20"/>
        </w:rPr>
      </w:pPr>
    </w:p>
    <w:p>
      <w:pPr>
        <w:pStyle w:val="BodyText"/>
        <w:spacing w:line="311" w:lineRule="auto"/>
        <w:rPr/>
      </w:pPr>
      <w:r/>
    </w:p>
    <w:p>
      <w:pPr>
        <w:ind w:left="485"/>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、采暖</w:t>
      </w:r>
    </w:p>
    <w:p>
      <w:pPr>
        <w:ind w:left="489"/>
        <w:spacing w:before="156" w:line="219" w:lineRule="auto"/>
        <w:rPr>
          <w:rFonts w:ascii="SimSun" w:hAnsi="SimSun" w:eastAsia="SimSun" w:cs="SimSun"/>
          <w:sz w:val="24"/>
          <w:szCs w:val="24"/>
        </w:rPr>
      </w:pPr>
      <w:r>
        <w:rPr>
          <w:rFonts w:ascii="SimSun" w:hAnsi="SimSun" w:eastAsia="SimSun" w:cs="SimSun"/>
          <w:sz w:val="24"/>
          <w:szCs w:val="24"/>
          <w:spacing w:val="-1"/>
        </w:rPr>
        <w:t>供暖设施不变，采用金山电厂余热。</w:t>
      </w:r>
    </w:p>
    <w:p>
      <w:pPr>
        <w:ind w:left="489"/>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9"/>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9"/>
        </w:rPr>
        <w:t>、供电</w:t>
      </w:r>
    </w:p>
    <w:p>
      <w:pPr>
        <w:ind w:left="13" w:firstLine="475"/>
        <w:spacing w:before="155" w:line="340" w:lineRule="auto"/>
        <w:rPr>
          <w:rFonts w:ascii="SimSun" w:hAnsi="SimSun" w:eastAsia="SimSun" w:cs="SimSun"/>
          <w:sz w:val="24"/>
          <w:szCs w:val="24"/>
        </w:rPr>
      </w:pPr>
      <w:r>
        <w:rPr>
          <w:rFonts w:ascii="SimSun" w:hAnsi="SimSun" w:eastAsia="SimSun" w:cs="SimSun"/>
          <w:sz w:val="24"/>
          <w:szCs w:val="24"/>
          <w:spacing w:val="-6"/>
        </w:rPr>
        <w:t>矿区现有双回</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6"/>
        </w:rPr>
        <w:t>110kV</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6"/>
        </w:rPr>
        <w:t>电源分别引自高力罕</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220kV </w:t>
      </w:r>
      <w:r>
        <w:rPr>
          <w:rFonts w:ascii="SimSun" w:hAnsi="SimSun" w:eastAsia="SimSun" w:cs="SimSun"/>
          <w:sz w:val="24"/>
          <w:szCs w:val="24"/>
          <w:spacing w:val="-6"/>
        </w:rPr>
        <w:t>变电站</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110kV</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不同母线侧，</w:t>
      </w:r>
      <w:r>
        <w:rPr>
          <w:rFonts w:ascii="Times New Roman" w:hAnsi="Times New Roman" w:eastAsia="Times New Roman" w:cs="Times New Roman"/>
          <w:sz w:val="24"/>
          <w:szCs w:val="24"/>
          <w:spacing w:val="-6"/>
        </w:rPr>
        <w:t>110kV</w:t>
      </w:r>
      <w:r>
        <w:rPr>
          <w:rFonts w:ascii="SimSun" w:hAnsi="SimSun" w:eastAsia="SimSun" w:cs="SimSun"/>
          <w:sz w:val="24"/>
          <w:szCs w:val="24"/>
        </w:rPr>
        <w:t>电源线路采用</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LGJ-185</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rPr>
        <w:t>型导线，铁塔架设，线路长均为</w:t>
      </w:r>
      <w:r>
        <w:rPr>
          <w:rFonts w:ascii="SimSun" w:hAnsi="SimSun" w:eastAsia="SimSun" w:cs="SimSun"/>
          <w:sz w:val="24"/>
          <w:szCs w:val="24"/>
          <w:spacing w:val="-46"/>
        </w:rPr>
        <w:t xml:space="preserve"> </w:t>
      </w:r>
      <w:r>
        <w:rPr>
          <w:rFonts w:ascii="Times New Roman" w:hAnsi="Times New Roman" w:eastAsia="Times New Roman" w:cs="Times New Roman"/>
          <w:sz w:val="24"/>
          <w:szCs w:val="24"/>
        </w:rPr>
        <w:t>38.5km</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。两回电源线路一回运</w:t>
      </w:r>
      <w:r>
        <w:rPr>
          <w:rFonts w:ascii="SimSun" w:hAnsi="SimSun" w:eastAsia="SimSun" w:cs="SimSun"/>
          <w:sz w:val="24"/>
          <w:szCs w:val="24"/>
          <w:spacing w:val="-6"/>
        </w:rPr>
        <w:t>行，一回备用，当任意一回电源线路故障或检修时，另一回线路满足矿区全部负荷用电。</w:t>
      </w:r>
    </w:p>
    <w:p>
      <w:pPr>
        <w:ind w:left="4"/>
        <w:spacing w:before="72" w:line="221" w:lineRule="auto"/>
        <w:outlineLvl w:val="1"/>
        <w:rPr>
          <w:rFonts w:ascii="SimHei" w:hAnsi="SimHei" w:eastAsia="SimHei" w:cs="SimHei"/>
          <w:sz w:val="30"/>
          <w:szCs w:val="30"/>
        </w:rPr>
      </w:pPr>
      <w:bookmarkStart w:name="bookmark23" w:id="40"/>
      <w:bookmarkEnd w:id="40"/>
      <w:r>
        <w:rPr>
          <w:rFonts w:ascii="Times New Roman" w:hAnsi="Times New Roman" w:eastAsia="Times New Roman" w:cs="Times New Roman"/>
          <w:sz w:val="30"/>
          <w:szCs w:val="30"/>
          <w:b/>
          <w:bCs/>
          <w:spacing w:val="-2"/>
        </w:rPr>
        <w:t>3.6  </w:t>
      </w:r>
      <w:r>
        <w:rPr>
          <w:rFonts w:ascii="SimHei" w:hAnsi="SimHei" w:eastAsia="SimHei" w:cs="SimHei"/>
          <w:sz w:val="30"/>
          <w:szCs w:val="30"/>
          <w:b/>
          <w:bCs/>
          <w:spacing w:val="-2"/>
        </w:rPr>
        <w:t>改建项目污染源及防治措施</w:t>
      </w:r>
    </w:p>
    <w:p>
      <w:pPr>
        <w:ind w:left="4"/>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3.6.1  </w:t>
      </w:r>
      <w:r>
        <w:rPr>
          <w:rFonts w:ascii="SimHei" w:hAnsi="SimHei" w:eastAsia="SimHei" w:cs="SimHei"/>
          <w:sz w:val="28"/>
          <w:szCs w:val="28"/>
          <w:b/>
          <w:bCs/>
          <w:spacing w:val="-2"/>
        </w:rPr>
        <w:t>施工期污染源及污染因素分析</w:t>
      </w:r>
    </w:p>
    <w:p>
      <w:pPr>
        <w:ind w:left="11" w:right="85" w:firstLine="479"/>
        <w:spacing w:before="59" w:line="361" w:lineRule="auto"/>
        <w:rPr>
          <w:rFonts w:ascii="SimSun" w:hAnsi="SimSun" w:eastAsia="SimSun" w:cs="SimSun"/>
          <w:sz w:val="24"/>
          <w:szCs w:val="24"/>
        </w:rPr>
      </w:pPr>
      <w:r>
        <w:rPr>
          <w:rFonts w:ascii="SimSun" w:hAnsi="SimSun" w:eastAsia="SimSun" w:cs="SimSun"/>
          <w:sz w:val="24"/>
          <w:szCs w:val="24"/>
          <w:spacing w:val="-2"/>
        </w:rPr>
        <w:t>本次露天区开采范围的调整不涉及工程施工期，本次评价主要分析运营期污染源及</w:t>
      </w:r>
      <w:r>
        <w:rPr>
          <w:rFonts w:ascii="SimSun" w:hAnsi="SimSun" w:eastAsia="SimSun" w:cs="SimSun"/>
          <w:sz w:val="24"/>
          <w:szCs w:val="24"/>
          <w:spacing w:val="-2"/>
        </w:rPr>
        <w:t>污染防治措施。</w:t>
      </w:r>
    </w:p>
    <w:p>
      <w:pPr>
        <w:ind w:left="4"/>
        <w:spacing w:before="200"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3.6.2  </w:t>
      </w:r>
      <w:r>
        <w:rPr>
          <w:rFonts w:ascii="SimHei" w:hAnsi="SimHei" w:eastAsia="SimHei" w:cs="SimHei"/>
          <w:sz w:val="28"/>
          <w:szCs w:val="28"/>
          <w:b/>
          <w:bCs/>
          <w:spacing w:val="-2"/>
        </w:rPr>
        <w:t>运营期污染源核算及污染因素分析</w:t>
      </w:r>
    </w:p>
    <w:p>
      <w:pPr>
        <w:ind w:left="9" w:right="85" w:firstLine="480"/>
        <w:spacing w:before="59" w:line="362" w:lineRule="auto"/>
        <w:rPr>
          <w:rFonts w:ascii="SimSun" w:hAnsi="SimSun" w:eastAsia="SimSun" w:cs="SimSun"/>
          <w:sz w:val="24"/>
          <w:szCs w:val="24"/>
        </w:rPr>
      </w:pPr>
      <w:r>
        <w:rPr>
          <w:rFonts w:ascii="SimSun" w:hAnsi="SimSun" w:eastAsia="SimSun" w:cs="SimSun"/>
          <w:sz w:val="24"/>
          <w:szCs w:val="24"/>
          <w:spacing w:val="-2"/>
        </w:rPr>
        <w:t>本项目在生产过程中，将会对周围环境产生一系列的影响，其影响主要表现为对生</w:t>
      </w:r>
      <w:r>
        <w:rPr>
          <w:rFonts w:ascii="SimSun" w:hAnsi="SimSun" w:eastAsia="SimSun" w:cs="SimSun"/>
          <w:sz w:val="24"/>
          <w:szCs w:val="24"/>
        </w:rPr>
        <w:t>态系统产生的影响以及废气、废水、噪声、固</w:t>
      </w:r>
      <w:r>
        <w:rPr>
          <w:rFonts w:ascii="SimSun" w:hAnsi="SimSun" w:eastAsia="SimSun" w:cs="SimSun"/>
          <w:sz w:val="24"/>
          <w:szCs w:val="24"/>
          <w:spacing w:val="-1"/>
        </w:rPr>
        <w:t>体废物等对环境的污染。</w:t>
      </w:r>
    </w:p>
    <w:p>
      <w:pPr>
        <w:ind w:left="3"/>
        <w:spacing w:before="136"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3.6.2.1  </w:t>
      </w:r>
      <w:r>
        <w:rPr>
          <w:rFonts w:ascii="SimHei" w:hAnsi="SimHei" w:eastAsia="SimHei" w:cs="SimHei"/>
          <w:sz w:val="24"/>
          <w:szCs w:val="24"/>
          <w:b/>
          <w:bCs/>
          <w:spacing w:val="-2"/>
        </w:rPr>
        <w:t>废气源强核算污染防治措施</w:t>
      </w:r>
    </w:p>
    <w:p>
      <w:pPr>
        <w:ind w:left="8" w:firstLine="481"/>
        <w:spacing w:before="157" w:line="339" w:lineRule="auto"/>
        <w:jc w:val="both"/>
        <w:rPr>
          <w:rFonts w:ascii="SimSun" w:hAnsi="SimSun" w:eastAsia="SimSun" w:cs="SimSun"/>
          <w:sz w:val="24"/>
          <w:szCs w:val="24"/>
        </w:rPr>
      </w:pPr>
      <w:r>
        <w:rPr>
          <w:rFonts w:ascii="SimSun" w:hAnsi="SimSun" w:eastAsia="SimSun" w:cs="SimSun"/>
          <w:sz w:val="24"/>
          <w:szCs w:val="24"/>
          <w:spacing w:val="-2"/>
        </w:rPr>
        <w:t>本次改建工程不涉及产能变化，主要依托现有生产系统。白音华四号露天矿（露天</w:t>
      </w:r>
      <w:r>
        <w:rPr>
          <w:rFonts w:ascii="SimSun" w:hAnsi="SimSun" w:eastAsia="SimSun" w:cs="SimSun"/>
          <w:sz w:val="24"/>
          <w:szCs w:val="24"/>
          <w:spacing w:val="-2"/>
        </w:rPr>
        <w:t>区）由于开采范围的调整导致运营期采掘场及排土场产生的扬尘对大气环境影响区域的</w:t>
      </w:r>
      <w:r>
        <w:rPr>
          <w:rFonts w:ascii="SimSun" w:hAnsi="SimSun" w:eastAsia="SimSun" w:cs="SimSun"/>
          <w:sz w:val="24"/>
          <w:szCs w:val="24"/>
          <w:spacing w:val="-5"/>
        </w:rPr>
        <w:t>变化。根据项目可行性研究，本项目生产工艺不</w:t>
      </w:r>
      <w:r>
        <w:rPr>
          <w:rFonts w:ascii="SimSun" w:hAnsi="SimSun" w:eastAsia="SimSun" w:cs="SimSun"/>
          <w:sz w:val="24"/>
          <w:szCs w:val="24"/>
          <w:spacing w:val="-6"/>
        </w:rPr>
        <w:t>涉及穿孔爆破，无穿孔、爆破废气产生。</w:t>
      </w:r>
      <w:r>
        <w:rPr>
          <w:rFonts w:ascii="SimSun" w:hAnsi="SimSun" w:eastAsia="SimSun" w:cs="SimSun"/>
          <w:sz w:val="24"/>
          <w:szCs w:val="24"/>
          <w:spacing w:val="-2"/>
        </w:rPr>
        <w:t>废气污染源主要为采掘场开采、装卸、运输作业时产生的粉尘，排土场剥离物运输、堆</w:t>
      </w:r>
      <w:r>
        <w:rPr>
          <w:rFonts w:ascii="SimSun" w:hAnsi="SimSun" w:eastAsia="SimSun" w:cs="SimSun"/>
          <w:sz w:val="24"/>
          <w:szCs w:val="24"/>
          <w:spacing w:val="-2"/>
        </w:rPr>
        <w:t>放产生的扬尘。</w:t>
      </w:r>
    </w:p>
    <w:p>
      <w:pPr>
        <w:ind w:left="495"/>
        <w:spacing w:before="1"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）采装粉尘</w:t>
      </w:r>
    </w:p>
    <w:p>
      <w:pPr>
        <w:ind w:left="8" w:right="85" w:firstLine="483"/>
        <w:spacing w:before="152" w:line="310" w:lineRule="auto"/>
        <w:rPr>
          <w:rFonts w:ascii="SimSun" w:hAnsi="SimSun" w:eastAsia="SimSun" w:cs="SimSun"/>
          <w:sz w:val="24"/>
          <w:szCs w:val="24"/>
        </w:rPr>
      </w:pPr>
      <w:r>
        <w:rPr>
          <w:rFonts w:ascii="SimSun" w:hAnsi="SimSun" w:eastAsia="SimSun" w:cs="SimSun"/>
          <w:sz w:val="24"/>
          <w:szCs w:val="24"/>
          <w:spacing w:val="-2"/>
        </w:rPr>
        <w:t>剥离物和原煤在装卸过程中由于落差及撞击会产生扬尘，但只对装车、卸车点附近</w:t>
      </w:r>
      <w:r>
        <w:rPr>
          <w:rFonts w:ascii="SimSun" w:hAnsi="SimSun" w:eastAsia="SimSun" w:cs="SimSun"/>
          <w:sz w:val="24"/>
          <w:szCs w:val="24"/>
          <w:spacing w:val="-2"/>
        </w:rPr>
        <w:t>有局部影响。装卸扬尘产生量的大小与装卸高度、平均风速等有关。采掘场及内排土场</w:t>
      </w:r>
      <w:r>
        <w:rPr>
          <w:rFonts w:ascii="SimSun" w:hAnsi="SimSun" w:eastAsia="SimSun" w:cs="SimSun"/>
          <w:sz w:val="24"/>
          <w:szCs w:val="24"/>
          <w:spacing w:val="-2"/>
        </w:rPr>
        <w:t>扬尘量与周围环境状况、风速及含水量等有关，采用《扬尘源颗粒物排放清单编制技术</w:t>
      </w:r>
      <w:r>
        <w:rPr>
          <w:rFonts w:ascii="SimSun" w:hAnsi="SimSun" w:eastAsia="SimSun" w:cs="SimSun"/>
          <w:sz w:val="24"/>
          <w:szCs w:val="24"/>
          <w:spacing w:val="-1"/>
        </w:rPr>
        <w:t>指南》中的堆场扬尘源排放量公式计算。</w:t>
      </w:r>
    </w:p>
    <w:p>
      <w:pPr>
        <w:ind w:left="524"/>
        <w:spacing w:line="445" w:lineRule="exact"/>
        <w:rPr/>
      </w:pPr>
      <w:r>
        <w:rPr>
          <w:position w:val="-9"/>
        </w:rPr>
        <w:drawing>
          <wp:inline distT="0" distB="0" distL="0" distR="0">
            <wp:extent cx="2313468" cy="282523"/>
            <wp:effectExtent l="0" t="0" r="0" b="0"/>
            <wp:docPr id="174" name="IM 174"/>
            <wp:cNvGraphicFramePr/>
            <a:graphic>
              <a:graphicData uri="http://schemas.openxmlformats.org/drawingml/2006/picture">
                <pic:pic>
                  <pic:nvPicPr>
                    <pic:cNvPr id="174" name="IM 174"/>
                    <pic:cNvPicPr/>
                  </pic:nvPicPr>
                  <pic:blipFill>
                    <a:blip r:embed="rId222"/>
                    <a:stretch>
                      <a:fillRect/>
                    </a:stretch>
                  </pic:blipFill>
                  <pic:spPr>
                    <a:xfrm rot="0">
                      <a:off x="0" y="0"/>
                      <a:ext cx="2313468" cy="282523"/>
                    </a:xfrm>
                    <a:prstGeom prst="rect">
                      <a:avLst/>
                    </a:prstGeom>
                  </pic:spPr>
                </pic:pic>
              </a:graphicData>
            </a:graphic>
          </wp:inline>
        </w:drawing>
      </w:r>
    </w:p>
    <w:p>
      <w:pPr>
        <w:ind w:left="494"/>
        <w:spacing w:before="146" w:line="22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W</w:t>
      </w:r>
      <w:r>
        <w:rPr>
          <w:rFonts w:ascii="Times New Roman" w:hAnsi="Times New Roman" w:eastAsia="Times New Roman" w:cs="Times New Roman"/>
          <w:sz w:val="15"/>
          <w:szCs w:val="15"/>
          <w:spacing w:val="-1"/>
          <w:position w:val="-1"/>
        </w:rPr>
        <w:t>Y</w:t>
      </w:r>
      <w:r>
        <w:rPr>
          <w:rFonts w:ascii="Times New Roman" w:hAnsi="Times New Roman" w:eastAsia="Times New Roman" w:cs="Times New Roman"/>
          <w:sz w:val="24"/>
          <w:szCs w:val="24"/>
          <w:spacing w:val="-1"/>
        </w:rPr>
        <w:t>—</w:t>
      </w:r>
      <w:r>
        <w:rPr>
          <w:rFonts w:ascii="SimSun" w:hAnsi="SimSun" w:eastAsia="SimSun" w:cs="SimSun"/>
          <w:sz w:val="24"/>
          <w:szCs w:val="24"/>
          <w:spacing w:val="-1"/>
        </w:rPr>
        <w:t>堆场扬尘源中颗粒物总排放量（</w:t>
      </w:r>
      <w:r>
        <w:rPr>
          <w:rFonts w:ascii="Times New Roman" w:hAnsi="Times New Roman" w:eastAsia="Times New Roman" w:cs="Times New Roman"/>
          <w:sz w:val="24"/>
          <w:szCs w:val="24"/>
          <w:spacing w:val="-1"/>
        </w:rPr>
        <w:t>t/a</w:t>
      </w:r>
      <w:r>
        <w:rPr>
          <w:rFonts w:ascii="SimSun" w:hAnsi="SimSun" w:eastAsia="SimSun" w:cs="SimSun"/>
          <w:sz w:val="24"/>
          <w:szCs w:val="24"/>
          <w:spacing w:val="6"/>
        </w:rPr>
        <w:t>）；</w:t>
      </w:r>
    </w:p>
    <w:p>
      <w:pPr>
        <w:ind w:left="1205"/>
        <w:spacing w:before="154" w:line="212" w:lineRule="auto"/>
        <w:rPr>
          <w:rFonts w:ascii="SimSun" w:hAnsi="SimSun" w:eastAsia="SimSun" w:cs="SimSun"/>
          <w:sz w:val="24"/>
          <w:szCs w:val="24"/>
        </w:rPr>
      </w:pPr>
      <w:r>
        <w:rPr>
          <w:rFonts w:ascii="Times New Roman" w:hAnsi="Times New Roman" w:eastAsia="Times New Roman" w:cs="Times New Roman"/>
          <w:sz w:val="24"/>
          <w:szCs w:val="24"/>
          <w:spacing w:val="-1"/>
        </w:rPr>
        <w:t>E</w:t>
      </w:r>
      <w:r>
        <w:rPr>
          <w:rFonts w:ascii="Times New Roman" w:hAnsi="Times New Roman" w:eastAsia="Times New Roman" w:cs="Times New Roman"/>
          <w:sz w:val="15"/>
          <w:szCs w:val="15"/>
          <w:spacing w:val="-1"/>
        </w:rPr>
        <w:t>h</w:t>
      </w:r>
      <w:r>
        <w:rPr>
          <w:rFonts w:ascii="Times New Roman" w:hAnsi="Times New Roman" w:eastAsia="Times New Roman" w:cs="Times New Roman"/>
          <w:sz w:val="24"/>
          <w:szCs w:val="24"/>
          <w:spacing w:val="-1"/>
        </w:rPr>
        <w:t>—</w:t>
      </w:r>
      <w:r>
        <w:rPr>
          <w:rFonts w:ascii="SimSun" w:hAnsi="SimSun" w:eastAsia="SimSun" w:cs="SimSun"/>
          <w:sz w:val="24"/>
          <w:szCs w:val="24"/>
          <w:spacing w:val="-1"/>
        </w:rPr>
        <w:t>堆场装卸扬尘排放系数（</w:t>
      </w:r>
      <w:r>
        <w:rPr>
          <w:rFonts w:ascii="Times New Roman" w:hAnsi="Times New Roman" w:eastAsia="Times New Roman" w:cs="Times New Roman"/>
          <w:sz w:val="24"/>
          <w:szCs w:val="24"/>
          <w:spacing w:val="-1"/>
        </w:rPr>
        <w:t>kg/t</w:t>
      </w:r>
      <w:r>
        <w:rPr>
          <w:rFonts w:ascii="SimSun" w:hAnsi="SimSun" w:eastAsia="SimSun" w:cs="SimSun"/>
          <w:sz w:val="24"/>
          <w:szCs w:val="24"/>
          <w:spacing w:val="7"/>
        </w:rPr>
        <w:t>）；</w:t>
      </w:r>
    </w:p>
    <w:p>
      <w:pPr>
        <w:ind w:left="1201"/>
        <w:spacing w:before="166" w:line="219" w:lineRule="auto"/>
        <w:rPr>
          <w:rFonts w:ascii="SimSun" w:hAnsi="SimSun" w:eastAsia="SimSun" w:cs="SimSun"/>
          <w:sz w:val="24"/>
          <w:szCs w:val="24"/>
        </w:rPr>
      </w:pPr>
      <w:r>
        <w:rPr>
          <w:rFonts w:ascii="Times New Roman" w:hAnsi="Times New Roman" w:eastAsia="Times New Roman" w:cs="Times New Roman"/>
          <w:sz w:val="24"/>
          <w:szCs w:val="24"/>
          <w:spacing w:val="-1"/>
        </w:rPr>
        <w:t>m—</w:t>
      </w:r>
      <w:r>
        <w:rPr>
          <w:rFonts w:ascii="SimSun" w:hAnsi="SimSun" w:eastAsia="SimSun" w:cs="SimSun"/>
          <w:sz w:val="24"/>
          <w:szCs w:val="24"/>
          <w:spacing w:val="-1"/>
        </w:rPr>
        <w:t>每年物料装卸总次数；</w:t>
      </w:r>
    </w:p>
    <w:p>
      <w:pPr>
        <w:ind w:left="1208"/>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2"/>
        </w:rPr>
        <w:t>G</w:t>
      </w:r>
      <w:r>
        <w:rPr>
          <w:rFonts w:ascii="Times New Roman" w:hAnsi="Times New Roman" w:eastAsia="Times New Roman" w:cs="Times New Roman"/>
          <w:sz w:val="15"/>
          <w:szCs w:val="15"/>
          <w:spacing w:val="-2"/>
        </w:rPr>
        <w:t>Yi</w:t>
      </w:r>
      <w:r>
        <w:rPr>
          <w:rFonts w:ascii="Times New Roman" w:hAnsi="Times New Roman" w:eastAsia="Times New Roman" w:cs="Times New Roman"/>
          <w:sz w:val="24"/>
          <w:szCs w:val="24"/>
          <w:spacing w:val="-2"/>
        </w:rPr>
        <w:t>—</w:t>
      </w:r>
      <w:r>
        <w:rPr>
          <w:rFonts w:ascii="SimSun" w:hAnsi="SimSun" w:eastAsia="SimSun" w:cs="SimSun"/>
          <w:sz w:val="24"/>
          <w:szCs w:val="24"/>
          <w:spacing w:val="-2"/>
        </w:rPr>
        <w:t>第</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次装卸过程的物料装卸量，</w:t>
      </w:r>
      <w:r>
        <w:rPr>
          <w:rFonts w:ascii="Times New Roman" w:hAnsi="Times New Roman" w:eastAsia="Times New Roman" w:cs="Times New Roman"/>
          <w:sz w:val="24"/>
          <w:szCs w:val="24"/>
          <w:spacing w:val="-2"/>
        </w:rPr>
        <w:t>t</w:t>
      </w:r>
      <w:r>
        <w:rPr>
          <w:rFonts w:ascii="SimSun" w:hAnsi="SimSun" w:eastAsia="SimSun" w:cs="SimSun"/>
          <w:sz w:val="24"/>
          <w:szCs w:val="24"/>
          <w:spacing w:val="-2"/>
        </w:rPr>
        <w:t>；</w:t>
      </w:r>
    </w:p>
    <w:p>
      <w:pPr>
        <w:ind w:left="1205"/>
        <w:spacing w:before="155" w:line="212" w:lineRule="auto"/>
        <w:rPr>
          <w:rFonts w:ascii="SimSun" w:hAnsi="SimSun" w:eastAsia="SimSun" w:cs="SimSun"/>
          <w:sz w:val="24"/>
          <w:szCs w:val="24"/>
        </w:rPr>
      </w:pP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1"/>
        </w:rPr>
        <w:t>w</w:t>
      </w:r>
      <w:r>
        <w:rPr>
          <w:rFonts w:ascii="Times New Roman" w:hAnsi="Times New Roman" w:eastAsia="Times New Roman" w:cs="Times New Roman"/>
          <w:sz w:val="24"/>
          <w:szCs w:val="24"/>
        </w:rPr>
        <w:t>—</w:t>
      </w:r>
      <w:r>
        <w:rPr>
          <w:rFonts w:ascii="SimSun" w:hAnsi="SimSun" w:eastAsia="SimSun" w:cs="SimSun"/>
          <w:sz w:val="24"/>
          <w:szCs w:val="24"/>
        </w:rPr>
        <w:t>料堆受到风蚀作用的颗粒物排放系数，</w:t>
      </w:r>
      <w:r>
        <w:rPr>
          <w:rFonts w:ascii="Times New Roman" w:hAnsi="Times New Roman" w:eastAsia="Times New Roman" w:cs="Times New Roman"/>
          <w:sz w:val="24"/>
          <w:szCs w:val="24"/>
        </w:rPr>
        <w:t>kg/m</w:t>
      </w:r>
      <w:r>
        <w:rPr>
          <w:rFonts w:ascii="Times New Roman" w:hAnsi="Times New Roman" w:eastAsia="Times New Roman" w:cs="Times New Roman"/>
          <w:sz w:val="15"/>
          <w:szCs w:val="15"/>
          <w:position w:val="7"/>
        </w:rPr>
        <w:t>2</w:t>
      </w:r>
      <w:r>
        <w:rPr>
          <w:rFonts w:ascii="SimSun" w:hAnsi="SimSun" w:eastAsia="SimSun" w:cs="SimSun"/>
          <w:sz w:val="24"/>
          <w:szCs w:val="24"/>
        </w:rPr>
        <w:t>；</w:t>
      </w:r>
    </w:p>
    <w:p>
      <w:pPr>
        <w:spacing w:line="212" w:lineRule="auto"/>
        <w:sectPr>
          <w:headerReference w:type="default" r:id="rId6"/>
          <w:footerReference w:type="default" r:id="rId221"/>
          <w:pgSz w:w="11906" w:h="16838"/>
          <w:pgMar w:top="1170" w:right="1332" w:bottom="1080" w:left="1416" w:header="837" w:footer="918" w:gutter="0"/>
        </w:sectPr>
        <w:rPr>
          <w:rFonts w:ascii="SimSun" w:hAnsi="SimSun" w:eastAsia="SimSun" w:cs="SimSun"/>
          <w:sz w:val="24"/>
          <w:szCs w:val="24"/>
        </w:rPr>
      </w:pPr>
    </w:p>
    <w:p>
      <w:pPr>
        <w:pStyle w:val="BodyText"/>
        <w:spacing w:line="312" w:lineRule="auto"/>
        <w:rPr/>
      </w:pPr>
      <w:r/>
    </w:p>
    <w:p>
      <w:pPr>
        <w:ind w:left="1204"/>
        <w:spacing w:before="78" w:line="220" w:lineRule="auto"/>
        <w:rPr>
          <w:rFonts w:ascii="SimSun" w:hAnsi="SimSun" w:eastAsia="SimSun" w:cs="SimSun"/>
          <w:sz w:val="24"/>
          <w:szCs w:val="24"/>
        </w:rPr>
      </w:pPr>
      <w:bookmarkStart w:name="bookmark90" w:id="41"/>
      <w:bookmarkEnd w:id="41"/>
      <w:r>
        <w:rPr>
          <w:rFonts w:ascii="Times New Roman" w:hAnsi="Times New Roman" w:eastAsia="Times New Roman" w:cs="Times New Roman"/>
          <w:sz w:val="24"/>
          <w:szCs w:val="24"/>
        </w:rPr>
        <w:t>A</w:t>
      </w:r>
      <w:r>
        <w:rPr>
          <w:rFonts w:ascii="Times New Roman" w:hAnsi="Times New Roman" w:eastAsia="Times New Roman" w:cs="Times New Roman"/>
          <w:sz w:val="15"/>
          <w:szCs w:val="15"/>
          <w:position w:val="-2"/>
        </w:rPr>
        <w:t>Y</w:t>
      </w:r>
      <w:r>
        <w:rPr>
          <w:rFonts w:ascii="Times New Roman" w:hAnsi="Times New Roman" w:eastAsia="Times New Roman" w:cs="Times New Roman"/>
          <w:sz w:val="24"/>
          <w:szCs w:val="24"/>
        </w:rPr>
        <w:t>—</w:t>
      </w:r>
      <w:r>
        <w:rPr>
          <w:rFonts w:ascii="SimSun" w:hAnsi="SimSun" w:eastAsia="SimSun" w:cs="SimSun"/>
          <w:sz w:val="24"/>
          <w:szCs w:val="24"/>
        </w:rPr>
        <w:t>料堆表面积，</w:t>
      </w:r>
      <w:r>
        <w:rPr>
          <w:rFonts w:ascii="Times New Roman" w:hAnsi="Times New Roman" w:eastAsia="Times New Roman" w:cs="Times New Roman"/>
          <w:sz w:val="24"/>
          <w:szCs w:val="24"/>
        </w:rPr>
        <w:t>m</w:t>
      </w:r>
      <w:r>
        <w:rPr>
          <w:rFonts w:ascii="Times New Roman" w:hAnsi="Times New Roman" w:eastAsia="Times New Roman" w:cs="Times New Roman"/>
          <w:sz w:val="15"/>
          <w:szCs w:val="15"/>
          <w:position w:val="7"/>
        </w:rPr>
        <w:t>2</w:t>
      </w:r>
      <w:r>
        <w:rPr>
          <w:rFonts w:ascii="SimSun" w:hAnsi="SimSun" w:eastAsia="SimSun" w:cs="SimSun"/>
          <w:sz w:val="24"/>
          <w:szCs w:val="24"/>
        </w:rPr>
        <w:t>。</w:t>
      </w:r>
    </w:p>
    <w:p>
      <w:pPr>
        <w:ind w:left="492"/>
        <w:spacing w:before="155" w:line="219" w:lineRule="auto"/>
        <w:rPr>
          <w:rFonts w:ascii="SimSun" w:hAnsi="SimSun" w:eastAsia="SimSun" w:cs="SimSun"/>
          <w:sz w:val="24"/>
          <w:szCs w:val="24"/>
        </w:rPr>
      </w:pPr>
      <w:r>
        <w:rPr>
          <w:rFonts w:ascii="SimSun" w:hAnsi="SimSun" w:eastAsia="SimSun" w:cs="SimSun"/>
          <w:sz w:val="24"/>
          <w:szCs w:val="24"/>
        </w:rPr>
        <w:t>其中，剥离物及煤炭装卸过程产生的粉尘</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1"/>
        </w:rPr>
        <w:t>h</w:t>
      </w:r>
      <w:r>
        <w:rPr>
          <w:rFonts w:ascii="Times New Roman" w:hAnsi="Times New Roman" w:eastAsia="Times New Roman" w:cs="Times New Roman"/>
          <w:sz w:val="15"/>
          <w:szCs w:val="15"/>
          <w:spacing w:val="-1"/>
          <w:position w:val="-1"/>
        </w:rPr>
        <w:t xml:space="preserve"> </w:t>
      </w:r>
      <w:r>
        <w:rPr>
          <w:rFonts w:ascii="SimSun" w:hAnsi="SimSun" w:eastAsia="SimSun" w:cs="SimSun"/>
          <w:sz w:val="24"/>
          <w:szCs w:val="24"/>
          <w:spacing w:val="-1"/>
        </w:rPr>
        <w:t>采用以下公式进行计算：</w:t>
      </w:r>
    </w:p>
    <w:p>
      <w:pPr>
        <w:ind w:left="2909"/>
        <w:spacing w:before="140" w:line="1046" w:lineRule="exact"/>
        <w:rPr/>
      </w:pPr>
      <w:r>
        <w:rPr>
          <w:position w:val="-21"/>
        </w:rPr>
        <w:drawing>
          <wp:inline distT="0" distB="0" distL="0" distR="0">
            <wp:extent cx="1985814" cy="664410"/>
            <wp:effectExtent l="0" t="0" r="0" b="0"/>
            <wp:docPr id="176" name="IM 176"/>
            <wp:cNvGraphicFramePr/>
            <a:graphic>
              <a:graphicData uri="http://schemas.openxmlformats.org/drawingml/2006/picture">
                <pic:pic>
                  <pic:nvPicPr>
                    <pic:cNvPr id="176" name="IM 176"/>
                    <pic:cNvPicPr/>
                  </pic:nvPicPr>
                  <pic:blipFill>
                    <a:blip r:embed="rId225"/>
                    <a:stretch>
                      <a:fillRect/>
                    </a:stretch>
                  </pic:blipFill>
                  <pic:spPr>
                    <a:xfrm rot="0">
                      <a:off x="0" y="0"/>
                      <a:ext cx="1985814" cy="664410"/>
                    </a:xfrm>
                    <a:prstGeom prst="rect">
                      <a:avLst/>
                    </a:prstGeom>
                  </pic:spPr>
                </pic:pic>
              </a:graphicData>
            </a:graphic>
          </wp:inline>
        </w:drawing>
      </w:r>
    </w:p>
    <w:p>
      <w:pPr>
        <w:ind w:left="496"/>
        <w:spacing w:before="157" w:line="319" w:lineRule="exact"/>
        <w:rPr>
          <w:rFonts w:ascii="Times New Roman" w:hAnsi="Times New Roman" w:eastAsia="Times New Roman" w:cs="Times New Roman"/>
          <w:sz w:val="24"/>
          <w:szCs w:val="24"/>
        </w:rPr>
      </w:pPr>
      <w:r>
        <w:rPr>
          <w:rFonts w:ascii="SimSun" w:hAnsi="SimSun" w:eastAsia="SimSun" w:cs="SimSun"/>
          <w:sz w:val="24"/>
          <w:szCs w:val="24"/>
          <w:spacing w:val="-1"/>
          <w:position w:val="2"/>
        </w:rPr>
        <w:t>式中：</w:t>
      </w:r>
      <w:r>
        <w:rPr>
          <w:rFonts w:ascii="Times New Roman" w:hAnsi="Times New Roman" w:eastAsia="Times New Roman" w:cs="Times New Roman"/>
          <w:sz w:val="24"/>
          <w:szCs w:val="24"/>
          <w:i/>
          <w:iCs/>
          <w:spacing w:val="-1"/>
          <w:position w:val="2"/>
        </w:rPr>
        <w:t>k</w:t>
      </w:r>
      <w:r>
        <w:rPr>
          <w:rFonts w:ascii="Times New Roman" w:hAnsi="Times New Roman" w:eastAsia="Times New Roman" w:cs="Times New Roman"/>
          <w:sz w:val="15"/>
          <w:szCs w:val="15"/>
          <w:i/>
          <w:iCs/>
          <w:spacing w:val="-1"/>
          <w:position w:val="1"/>
        </w:rPr>
        <w:t>i</w:t>
      </w:r>
      <w:r>
        <w:rPr>
          <w:rFonts w:ascii="Times New Roman" w:hAnsi="Times New Roman" w:eastAsia="Times New Roman" w:cs="Times New Roman"/>
          <w:sz w:val="24"/>
          <w:szCs w:val="24"/>
          <w:spacing w:val="-1"/>
          <w:position w:val="2"/>
        </w:rPr>
        <w:t>—</w:t>
      </w:r>
      <w:r>
        <w:rPr>
          <w:rFonts w:ascii="SimSun" w:hAnsi="SimSun" w:eastAsia="SimSun" w:cs="SimSun"/>
          <w:sz w:val="24"/>
          <w:szCs w:val="24"/>
          <w:spacing w:val="-1"/>
          <w:position w:val="2"/>
        </w:rPr>
        <w:t>物料的粒度乘数，参考《技术指南》推荐值，</w:t>
      </w:r>
      <w:r>
        <w:rPr>
          <w:rFonts w:ascii="Times New Roman" w:hAnsi="Times New Roman" w:eastAsia="Times New Roman" w:cs="Times New Roman"/>
          <w:sz w:val="24"/>
          <w:szCs w:val="24"/>
          <w:spacing w:val="-1"/>
          <w:position w:val="2"/>
        </w:rPr>
        <w:t>TSP </w:t>
      </w:r>
      <w:r>
        <w:rPr>
          <w:rFonts w:ascii="SimSun" w:hAnsi="SimSun" w:eastAsia="SimSun" w:cs="SimSun"/>
          <w:sz w:val="24"/>
          <w:szCs w:val="24"/>
          <w:spacing w:val="-1"/>
          <w:position w:val="2"/>
        </w:rPr>
        <w:t>取</w:t>
      </w:r>
      <w:r>
        <w:rPr>
          <w:rFonts w:ascii="SimSun" w:hAnsi="SimSun" w:eastAsia="SimSun" w:cs="SimSun"/>
          <w:sz w:val="24"/>
          <w:szCs w:val="24"/>
          <w:spacing w:val="-37"/>
          <w:position w:val="2"/>
        </w:rPr>
        <w:t xml:space="preserve"> </w:t>
      </w:r>
      <w:r>
        <w:rPr>
          <w:rFonts w:ascii="Times New Roman" w:hAnsi="Times New Roman" w:eastAsia="Times New Roman" w:cs="Times New Roman"/>
          <w:sz w:val="24"/>
          <w:szCs w:val="24"/>
          <w:spacing w:val="-1"/>
          <w:position w:val="2"/>
        </w:rPr>
        <w:t>0.74;</w:t>
      </w:r>
    </w:p>
    <w:p>
      <w:pPr>
        <w:ind w:left="1202"/>
        <w:spacing w:before="162" w:line="220" w:lineRule="auto"/>
        <w:rPr>
          <w:rFonts w:ascii="SimSun" w:hAnsi="SimSun" w:eastAsia="SimSun" w:cs="SimSun"/>
          <w:sz w:val="24"/>
          <w:szCs w:val="24"/>
        </w:rPr>
      </w:pPr>
      <w:r>
        <w:rPr>
          <w:rFonts w:ascii="Times New Roman" w:hAnsi="Times New Roman" w:eastAsia="Times New Roman" w:cs="Times New Roman"/>
          <w:sz w:val="24"/>
          <w:szCs w:val="24"/>
        </w:rPr>
        <w:t>u—</w:t>
      </w:r>
      <w:r>
        <w:rPr>
          <w:rFonts w:ascii="SimSun" w:hAnsi="SimSun" w:eastAsia="SimSun" w:cs="SimSun"/>
          <w:sz w:val="24"/>
          <w:szCs w:val="24"/>
        </w:rPr>
        <w:t>地面平均风速（</w:t>
      </w:r>
      <w:r>
        <w:rPr>
          <w:rFonts w:ascii="Times New Roman" w:hAnsi="Times New Roman" w:eastAsia="Times New Roman" w:cs="Times New Roman"/>
          <w:sz w:val="24"/>
          <w:szCs w:val="24"/>
        </w:rPr>
        <w:t>m/s</w:t>
      </w:r>
      <w:r>
        <w:rPr>
          <w:rFonts w:ascii="SimSun" w:hAnsi="SimSun" w:eastAsia="SimSun" w:cs="SimSun"/>
          <w:sz w:val="24"/>
          <w:szCs w:val="24"/>
        </w:rPr>
        <w:t>）；</w:t>
      </w:r>
    </w:p>
    <w:p>
      <w:pPr>
        <w:ind w:left="1203" w:right="1647" w:firstLine="2"/>
        <w:spacing w:before="153" w:line="339" w:lineRule="auto"/>
        <w:rPr>
          <w:rFonts w:ascii="SimSun" w:hAnsi="SimSun" w:eastAsia="SimSun" w:cs="SimSun"/>
          <w:sz w:val="24"/>
          <w:szCs w:val="24"/>
        </w:rPr>
      </w:pPr>
      <w:r>
        <w:rPr>
          <w:rFonts w:ascii="Times New Roman" w:hAnsi="Times New Roman" w:eastAsia="Times New Roman" w:cs="Times New Roman"/>
          <w:sz w:val="24"/>
          <w:szCs w:val="24"/>
          <w:spacing w:val="-3"/>
        </w:rPr>
        <w:t>M—</w:t>
      </w:r>
      <w:r>
        <w:rPr>
          <w:rFonts w:ascii="SimSun" w:hAnsi="SimSun" w:eastAsia="SimSun" w:cs="SimSun"/>
          <w:sz w:val="24"/>
          <w:szCs w:val="24"/>
          <w:spacing w:val="-3"/>
        </w:rPr>
        <w:t>物料含水率（</w:t>
      </w:r>
      <w:r>
        <w:rPr>
          <w:rFonts w:ascii="Times New Roman" w:hAnsi="Times New Roman" w:eastAsia="Times New Roman" w:cs="Times New Roman"/>
          <w:sz w:val="24"/>
          <w:szCs w:val="24"/>
          <w:spacing w:val="-3"/>
        </w:rPr>
        <w:t>%</w:t>
      </w:r>
      <w:r>
        <w:rPr>
          <w:rFonts w:ascii="SimSun" w:hAnsi="SimSun" w:eastAsia="SimSun" w:cs="SimSun"/>
          <w:sz w:val="24"/>
          <w:szCs w:val="24"/>
          <w:spacing w:val="5"/>
        </w:rPr>
        <w:t>），</w:t>
      </w:r>
      <w:r>
        <w:rPr>
          <w:rFonts w:ascii="SimSun" w:hAnsi="SimSun" w:eastAsia="SimSun" w:cs="SimSun"/>
          <w:sz w:val="24"/>
          <w:szCs w:val="24"/>
          <w:spacing w:val="-3"/>
        </w:rPr>
        <w:t>参考《技术指南》推荐值，取</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4"/>
        </w:rPr>
        <w:t>.9</w:t>
      </w:r>
      <w:r>
        <w:rPr>
          <w:rFonts w:ascii="SimSun" w:hAnsi="SimSun" w:eastAsia="SimSun" w:cs="SimSun"/>
          <w:sz w:val="24"/>
          <w:szCs w:val="24"/>
          <w:spacing w:val="-4"/>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η—</w:t>
      </w:r>
      <w:r>
        <w:rPr>
          <w:rFonts w:ascii="SimSun" w:hAnsi="SimSun" w:eastAsia="SimSun" w:cs="SimSun"/>
          <w:sz w:val="24"/>
          <w:szCs w:val="24"/>
          <w:spacing w:val="-1"/>
        </w:rPr>
        <w:t>污染控制技术对扬尘的去除效率（</w:t>
      </w:r>
      <w:r>
        <w:rPr>
          <w:rFonts w:ascii="Times New Roman" w:hAnsi="Times New Roman" w:eastAsia="Times New Roman" w:cs="Times New Roman"/>
          <w:sz w:val="24"/>
          <w:szCs w:val="24"/>
          <w:spacing w:val="-1"/>
        </w:rPr>
        <w:t>%</w:t>
      </w:r>
      <w:r>
        <w:rPr>
          <w:rFonts w:ascii="SimSun" w:hAnsi="SimSun" w:eastAsia="SimSun" w:cs="SimSun"/>
          <w:sz w:val="24"/>
          <w:szCs w:val="24"/>
          <w:spacing w:val="5"/>
        </w:rPr>
        <w:t>），</w:t>
      </w:r>
      <w:r>
        <w:rPr>
          <w:rFonts w:ascii="SimSun" w:hAnsi="SimSun" w:eastAsia="SimSun" w:cs="SimSun"/>
          <w:sz w:val="24"/>
          <w:szCs w:val="24"/>
          <w:spacing w:val="-1"/>
        </w:rPr>
        <w:t>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74%</w:t>
      </w:r>
      <w:r>
        <w:rPr>
          <w:rFonts w:ascii="SimSun" w:hAnsi="SimSun" w:eastAsia="SimSun" w:cs="SimSun"/>
          <w:sz w:val="24"/>
          <w:szCs w:val="24"/>
          <w:spacing w:val="-1"/>
        </w:rPr>
        <w:t>；</w:t>
      </w:r>
    </w:p>
    <w:p>
      <w:pPr>
        <w:ind w:left="9" w:right="1718" w:firstLine="1713"/>
        <w:spacing w:before="125" w:line="252" w:lineRule="auto"/>
        <w:rPr>
          <w:rFonts w:ascii="Times New Roman" w:hAnsi="Times New Roman" w:eastAsia="Times New Roman" w:cs="Times New Roman"/>
          <w:sz w:val="20"/>
          <w:szCs w:val="20"/>
        </w:rPr>
      </w:pPr>
      <w:r>
        <w:rPr>
          <w:rFonts w:ascii="SimHei" w:hAnsi="SimHei" w:eastAsia="SimHei" w:cs="SimHei"/>
          <w:sz w:val="24"/>
          <w:szCs w:val="24"/>
          <w:spacing w:val="-1"/>
        </w:rPr>
        <w:t>装卸、运输物料过程扬尘排放系数</w:t>
      </w:r>
      <w:r>
        <w:rPr>
          <w:rFonts w:ascii="SimHei" w:hAnsi="SimHei" w:eastAsia="SimHei" w:cs="SimHei"/>
          <w:sz w:val="24"/>
          <w:szCs w:val="24"/>
          <w:spacing w:val="-55"/>
        </w:rPr>
        <w:t xml:space="preserve"> </w:t>
      </w:r>
      <w:r>
        <w:rPr>
          <w:rFonts w:ascii="Times New Roman" w:hAnsi="Times New Roman" w:eastAsia="Times New Roman" w:cs="Times New Roman"/>
          <w:sz w:val="24"/>
          <w:szCs w:val="24"/>
          <w:spacing w:val="-1"/>
        </w:rPr>
        <w:t>Eh </w:t>
      </w:r>
      <w:r>
        <w:rPr>
          <w:rFonts w:ascii="SimHei" w:hAnsi="SimHei" w:eastAsia="SimHei" w:cs="SimHei"/>
          <w:sz w:val="24"/>
          <w:szCs w:val="24"/>
          <w:spacing w:val="-1"/>
        </w:rPr>
        <w:t>计算参数及结果</w:t>
      </w: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3-6-2</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24"/>
        <w:gridCol w:w="945"/>
        <w:gridCol w:w="1573"/>
        <w:gridCol w:w="1660"/>
        <w:gridCol w:w="1835"/>
        <w:gridCol w:w="2046"/>
      </w:tblGrid>
      <w:tr>
        <w:trPr>
          <w:trHeight w:val="347" w:hRule="atLeast"/>
        </w:trPr>
        <w:tc>
          <w:tcPr>
            <w:tcW w:w="1024" w:type="dxa"/>
            <w:vAlign w:val="top"/>
          </w:tcPr>
          <w:p>
            <w:pPr>
              <w:ind w:left="308"/>
              <w:spacing w:before="67" w:line="228" w:lineRule="auto"/>
              <w:rPr>
                <w:rFonts w:ascii="SimSun" w:hAnsi="SimSun" w:eastAsia="SimSun" w:cs="SimSun"/>
                <w:sz w:val="20"/>
                <w:szCs w:val="20"/>
              </w:rPr>
            </w:pPr>
            <w:r>
              <w:rPr>
                <w:rFonts w:ascii="SimSun" w:hAnsi="SimSun" w:eastAsia="SimSun" w:cs="SimSun"/>
                <w:sz w:val="20"/>
                <w:szCs w:val="20"/>
                <w:spacing w:val="3"/>
              </w:rPr>
              <w:t>项目</w:t>
            </w:r>
          </w:p>
        </w:tc>
        <w:tc>
          <w:tcPr>
            <w:tcW w:w="945" w:type="dxa"/>
            <w:vAlign w:val="top"/>
          </w:tcPr>
          <w:p>
            <w:pPr>
              <w:pStyle w:val="TableText"/>
              <w:ind w:left="388"/>
              <w:spacing w:before="99" w:line="199" w:lineRule="auto"/>
              <w:rPr/>
            </w:pPr>
            <w:r>
              <w:rPr>
                <w:spacing w:val="2"/>
              </w:rPr>
              <w:t>ki</w:t>
            </w:r>
          </w:p>
        </w:tc>
        <w:tc>
          <w:tcPr>
            <w:tcW w:w="1573" w:type="dxa"/>
            <w:vAlign w:val="top"/>
          </w:tcPr>
          <w:p>
            <w:pPr>
              <w:pStyle w:val="TableText"/>
              <w:ind w:left="395"/>
              <w:spacing w:before="67"/>
              <w:rPr>
                <w:rFonts w:ascii="SimSun" w:hAnsi="SimSun" w:eastAsia="SimSun" w:cs="SimSun"/>
              </w:rPr>
            </w:pPr>
            <w:r>
              <w:rPr>
                <w:spacing w:val="5"/>
              </w:rPr>
              <w:t>M</w:t>
            </w:r>
            <w:r>
              <w:rPr>
                <w:rFonts w:ascii="SimSun" w:hAnsi="SimSun" w:eastAsia="SimSun" w:cs="SimSun"/>
                <w:spacing w:val="5"/>
              </w:rPr>
              <w:t>（</w:t>
            </w:r>
            <w:r>
              <w:rPr>
                <w:spacing w:val="5"/>
              </w:rPr>
              <w:t>%</w:t>
            </w:r>
            <w:r>
              <w:rPr>
                <w:rFonts w:ascii="SimSun" w:hAnsi="SimSun" w:eastAsia="SimSun" w:cs="SimSun"/>
                <w:spacing w:val="5"/>
              </w:rPr>
              <w:t>）</w:t>
            </w:r>
          </w:p>
        </w:tc>
        <w:tc>
          <w:tcPr>
            <w:tcW w:w="1660" w:type="dxa"/>
            <w:vAlign w:val="top"/>
          </w:tcPr>
          <w:p>
            <w:pPr>
              <w:pStyle w:val="TableText"/>
              <w:ind w:left="476"/>
              <w:spacing w:before="67" w:line="221" w:lineRule="auto"/>
              <w:rPr>
                <w:rFonts w:ascii="SimSun" w:hAnsi="SimSun" w:eastAsia="SimSun" w:cs="SimSun"/>
              </w:rPr>
            </w:pPr>
            <w:r>
              <w:rPr>
                <w:spacing w:val="5"/>
              </w:rPr>
              <w:t>η</w:t>
            </w:r>
            <w:r>
              <w:rPr>
                <w:rFonts w:ascii="SimSun" w:hAnsi="SimSun" w:eastAsia="SimSun" w:cs="SimSun"/>
                <w:spacing w:val="5"/>
              </w:rPr>
              <w:t>（</w:t>
            </w:r>
            <w:r>
              <w:rPr>
                <w:spacing w:val="5"/>
              </w:rPr>
              <w:t>%</w:t>
            </w:r>
            <w:r>
              <w:rPr>
                <w:rFonts w:ascii="SimSun" w:hAnsi="SimSun" w:eastAsia="SimSun" w:cs="SimSun"/>
                <w:spacing w:val="5"/>
              </w:rPr>
              <w:t>）</w:t>
            </w:r>
          </w:p>
        </w:tc>
        <w:tc>
          <w:tcPr>
            <w:tcW w:w="1835" w:type="dxa"/>
            <w:vAlign w:val="top"/>
          </w:tcPr>
          <w:p>
            <w:pPr>
              <w:pStyle w:val="TableText"/>
              <w:ind w:left="502"/>
              <w:spacing w:before="67"/>
              <w:rPr>
                <w:rFonts w:ascii="SimSun" w:hAnsi="SimSun" w:eastAsia="SimSun" w:cs="SimSun"/>
              </w:rPr>
            </w:pPr>
            <w:r>
              <w:rPr>
                <w:spacing w:val="4"/>
              </w:rPr>
              <w:t>u</w:t>
            </w:r>
            <w:r>
              <w:rPr>
                <w:rFonts w:ascii="SimSun" w:hAnsi="SimSun" w:eastAsia="SimSun" w:cs="SimSun"/>
                <w:spacing w:val="4"/>
              </w:rPr>
              <w:t>（</w:t>
            </w:r>
            <w:r>
              <w:rPr>
                <w:spacing w:val="4"/>
              </w:rPr>
              <w:t>m/s</w:t>
            </w:r>
            <w:r>
              <w:rPr>
                <w:rFonts w:ascii="SimSun" w:hAnsi="SimSun" w:eastAsia="SimSun" w:cs="SimSun"/>
                <w:spacing w:val="4"/>
              </w:rPr>
              <w:t>）</w:t>
            </w:r>
          </w:p>
        </w:tc>
        <w:tc>
          <w:tcPr>
            <w:tcW w:w="2046" w:type="dxa"/>
            <w:vAlign w:val="top"/>
          </w:tcPr>
          <w:p>
            <w:pPr>
              <w:pStyle w:val="TableText"/>
              <w:ind w:left="534"/>
              <w:spacing w:before="67" w:line="221" w:lineRule="auto"/>
              <w:rPr>
                <w:rFonts w:ascii="SimSun" w:hAnsi="SimSun" w:eastAsia="SimSun" w:cs="SimSun"/>
              </w:rPr>
            </w:pPr>
            <w:r>
              <w:rPr/>
              <w:t>Eh</w:t>
            </w:r>
            <w:r>
              <w:rPr>
                <w:rFonts w:ascii="SimSun" w:hAnsi="SimSun" w:eastAsia="SimSun" w:cs="SimSun"/>
                <w:spacing w:val="7"/>
              </w:rPr>
              <w:t>（</w:t>
            </w:r>
            <w:r>
              <w:rPr/>
              <w:t>kg</w:t>
            </w:r>
            <w:r>
              <w:rPr>
                <w:spacing w:val="7"/>
              </w:rPr>
              <w:t>/t</w:t>
            </w:r>
            <w:r>
              <w:rPr>
                <w:rFonts w:ascii="SimSun" w:hAnsi="SimSun" w:eastAsia="SimSun" w:cs="SimSun"/>
                <w:spacing w:val="7"/>
              </w:rPr>
              <w:t>）</w:t>
            </w:r>
          </w:p>
        </w:tc>
      </w:tr>
      <w:tr>
        <w:trPr>
          <w:trHeight w:val="348" w:hRule="atLeast"/>
        </w:trPr>
        <w:tc>
          <w:tcPr>
            <w:tcW w:w="1024" w:type="dxa"/>
            <w:vAlign w:val="top"/>
          </w:tcPr>
          <w:p>
            <w:pPr>
              <w:ind w:left="307"/>
              <w:spacing w:before="65" w:line="228" w:lineRule="auto"/>
              <w:rPr>
                <w:rFonts w:ascii="SimSun" w:hAnsi="SimSun" w:eastAsia="SimSun" w:cs="SimSun"/>
                <w:sz w:val="20"/>
                <w:szCs w:val="20"/>
              </w:rPr>
            </w:pPr>
            <w:r>
              <w:rPr>
                <w:rFonts w:ascii="SimSun" w:hAnsi="SimSun" w:eastAsia="SimSun" w:cs="SimSun"/>
                <w:sz w:val="20"/>
                <w:szCs w:val="20"/>
                <w:spacing w:val="3"/>
              </w:rPr>
              <w:t>参数</w:t>
            </w:r>
          </w:p>
        </w:tc>
        <w:tc>
          <w:tcPr>
            <w:tcW w:w="945" w:type="dxa"/>
            <w:vAlign w:val="top"/>
          </w:tcPr>
          <w:p>
            <w:pPr>
              <w:pStyle w:val="TableText"/>
              <w:ind w:left="288"/>
              <w:spacing w:before="101" w:line="195" w:lineRule="auto"/>
              <w:rPr/>
            </w:pPr>
            <w:r>
              <w:rPr>
                <w:spacing w:val="3"/>
              </w:rPr>
              <w:t>0.74</w:t>
            </w:r>
          </w:p>
        </w:tc>
        <w:tc>
          <w:tcPr>
            <w:tcW w:w="1573" w:type="dxa"/>
            <w:vAlign w:val="top"/>
          </w:tcPr>
          <w:p>
            <w:pPr>
              <w:pStyle w:val="TableText"/>
              <w:ind w:left="660"/>
              <w:spacing w:before="101" w:line="195" w:lineRule="auto"/>
              <w:rPr/>
            </w:pPr>
            <w:r>
              <w:rPr>
                <w:spacing w:val="1"/>
              </w:rPr>
              <w:t>6.9</w:t>
            </w:r>
          </w:p>
        </w:tc>
        <w:tc>
          <w:tcPr>
            <w:tcW w:w="1660" w:type="dxa"/>
            <w:vAlign w:val="top"/>
          </w:tcPr>
          <w:p>
            <w:pPr>
              <w:pStyle w:val="TableText"/>
              <w:ind w:left="730"/>
              <w:spacing w:before="101" w:line="195" w:lineRule="auto"/>
              <w:rPr/>
            </w:pPr>
            <w:r>
              <w:rPr>
                <w:spacing w:val="1"/>
              </w:rPr>
              <w:t>74</w:t>
            </w:r>
          </w:p>
        </w:tc>
        <w:tc>
          <w:tcPr>
            <w:tcW w:w="1835" w:type="dxa"/>
            <w:vAlign w:val="top"/>
          </w:tcPr>
          <w:p>
            <w:pPr>
              <w:pStyle w:val="TableText"/>
              <w:ind w:left="787"/>
              <w:spacing w:before="101" w:line="195" w:lineRule="auto"/>
              <w:rPr/>
            </w:pPr>
            <w:r>
              <w:rPr>
                <w:spacing w:val="2"/>
              </w:rPr>
              <w:t>2.3</w:t>
            </w:r>
          </w:p>
        </w:tc>
        <w:tc>
          <w:tcPr>
            <w:tcW w:w="2046" w:type="dxa"/>
            <w:vAlign w:val="top"/>
          </w:tcPr>
          <w:p>
            <w:pPr>
              <w:pStyle w:val="TableText"/>
              <w:ind w:left="633"/>
              <w:spacing w:before="101" w:line="195" w:lineRule="auto"/>
              <w:rPr/>
            </w:pPr>
            <w:r>
              <w:rPr>
                <w:spacing w:val="4"/>
              </w:rPr>
              <w:t>0.000057</w:t>
            </w:r>
          </w:p>
        </w:tc>
      </w:tr>
    </w:tbl>
    <w:p>
      <w:pPr>
        <w:pStyle w:val="BodyText"/>
        <w:spacing w:line="251" w:lineRule="auto"/>
        <w:rPr/>
      </w:pPr>
      <w:r/>
    </w:p>
    <w:p>
      <w:pPr>
        <w:pStyle w:val="BodyText"/>
        <w:spacing w:line="251" w:lineRule="auto"/>
        <w:rPr/>
      </w:pPr>
      <w:r/>
    </w:p>
    <w:p>
      <w:pPr>
        <w:ind w:left="492"/>
        <w:spacing w:before="79" w:line="219" w:lineRule="auto"/>
        <w:rPr>
          <w:rFonts w:ascii="SimSun" w:hAnsi="SimSun" w:eastAsia="SimSun" w:cs="SimSun"/>
          <w:sz w:val="24"/>
          <w:szCs w:val="24"/>
        </w:rPr>
      </w:pPr>
      <w:r>
        <w:rPr>
          <w:rFonts w:ascii="SimSun" w:hAnsi="SimSun" w:eastAsia="SimSun" w:cs="SimSun"/>
          <w:sz w:val="24"/>
          <w:szCs w:val="24"/>
          <w:spacing w:val="-1"/>
        </w:rPr>
        <w:t>堆场风蚀扬尘排放系数的计算方法：</w:t>
      </w:r>
    </w:p>
    <w:p>
      <w:pPr>
        <w:ind w:left="491"/>
        <w:spacing w:before="157" w:line="219" w:lineRule="auto"/>
        <w:rPr>
          <w:rFonts w:ascii="SimSun" w:hAnsi="SimSun" w:eastAsia="SimSun" w:cs="SimSun"/>
          <w:sz w:val="24"/>
          <w:szCs w:val="24"/>
        </w:rPr>
      </w:pPr>
      <w:r>
        <w:rPr>
          <w:rFonts w:ascii="SimSun" w:hAnsi="SimSun" w:eastAsia="SimSun" w:cs="SimSun"/>
          <w:sz w:val="24"/>
          <w:szCs w:val="24"/>
        </w:rPr>
        <w:t>料堆表面遭受风扰动后引起颗粒物排放的排</w:t>
      </w:r>
      <w:r>
        <w:rPr>
          <w:rFonts w:ascii="SimSun" w:hAnsi="SimSun" w:eastAsia="SimSun" w:cs="SimSun"/>
          <w:sz w:val="24"/>
          <w:szCs w:val="24"/>
          <w:spacing w:val="-1"/>
        </w:rPr>
        <w:t>放系数可以用下式计算：</w:t>
      </w:r>
    </w:p>
    <w:p>
      <w:pPr>
        <w:ind w:left="3175"/>
        <w:spacing w:before="2" w:line="433" w:lineRule="exact"/>
        <w:rPr/>
      </w:pPr>
      <w:r>
        <w:rPr>
          <w:position w:val="-9"/>
        </w:rPr>
        <w:drawing>
          <wp:inline distT="0" distB="0" distL="0" distR="0">
            <wp:extent cx="1647654" cy="275066"/>
            <wp:effectExtent l="0" t="0" r="0" b="0"/>
            <wp:docPr id="178" name="IM 178"/>
            <wp:cNvGraphicFramePr/>
            <a:graphic>
              <a:graphicData uri="http://schemas.openxmlformats.org/drawingml/2006/picture">
                <pic:pic>
                  <pic:nvPicPr>
                    <pic:cNvPr id="178" name="IM 178"/>
                    <pic:cNvPicPr/>
                  </pic:nvPicPr>
                  <pic:blipFill>
                    <a:blip r:embed="rId226"/>
                    <a:stretch>
                      <a:fillRect/>
                    </a:stretch>
                  </pic:blipFill>
                  <pic:spPr>
                    <a:xfrm rot="0">
                      <a:off x="0" y="0"/>
                      <a:ext cx="1647654" cy="275066"/>
                    </a:xfrm>
                    <a:prstGeom prst="rect">
                      <a:avLst/>
                    </a:prstGeom>
                  </pic:spPr>
                </pic:pic>
              </a:graphicData>
            </a:graphic>
          </wp:inline>
        </w:drawing>
      </w:r>
    </w:p>
    <w:p>
      <w:pPr>
        <w:ind w:left="496"/>
        <w:spacing w:before="119" w:line="319" w:lineRule="exact"/>
        <w:rPr>
          <w:rFonts w:ascii="SimSun" w:hAnsi="SimSun" w:eastAsia="SimSun" w:cs="SimSun"/>
          <w:sz w:val="24"/>
          <w:szCs w:val="24"/>
        </w:rPr>
      </w:pPr>
      <w:r>
        <w:rPr>
          <w:rFonts w:ascii="SimSun" w:hAnsi="SimSun" w:eastAsia="SimSun" w:cs="SimSun"/>
          <w:sz w:val="24"/>
          <w:szCs w:val="24"/>
          <w:spacing w:val="-1"/>
          <w:position w:val="1"/>
        </w:rPr>
        <w:t>式中：</w:t>
      </w:r>
      <w:r>
        <w:rPr>
          <w:rFonts w:ascii="Times New Roman" w:hAnsi="Times New Roman" w:eastAsia="Times New Roman" w:cs="Times New Roman"/>
          <w:sz w:val="24"/>
          <w:szCs w:val="24"/>
          <w:i/>
          <w:iCs/>
          <w:spacing w:val="-1"/>
          <w:position w:val="1"/>
        </w:rPr>
        <w:t>k</w:t>
      </w:r>
      <w:r>
        <w:rPr>
          <w:rFonts w:ascii="Times New Roman" w:hAnsi="Times New Roman" w:eastAsia="Times New Roman" w:cs="Times New Roman"/>
          <w:sz w:val="15"/>
          <w:szCs w:val="15"/>
          <w:i/>
          <w:iCs/>
          <w:spacing w:val="-1"/>
        </w:rPr>
        <w:t>i</w:t>
      </w:r>
      <w:r>
        <w:rPr>
          <w:rFonts w:ascii="Times New Roman" w:hAnsi="Times New Roman" w:eastAsia="Times New Roman" w:cs="Times New Roman"/>
          <w:sz w:val="24"/>
          <w:szCs w:val="24"/>
          <w:spacing w:val="-1"/>
          <w:position w:val="1"/>
        </w:rPr>
        <w:t>—</w:t>
      </w:r>
      <w:r>
        <w:rPr>
          <w:rFonts w:ascii="SimSun" w:hAnsi="SimSun" w:eastAsia="SimSun" w:cs="SimSun"/>
          <w:sz w:val="24"/>
          <w:szCs w:val="24"/>
          <w:spacing w:val="-1"/>
          <w:position w:val="1"/>
        </w:rPr>
        <w:t>物料的粒度乘数，参考《技术指南》推荐值，</w:t>
      </w:r>
      <w:r>
        <w:rPr>
          <w:rFonts w:ascii="Times New Roman" w:hAnsi="Times New Roman" w:eastAsia="Times New Roman" w:cs="Times New Roman"/>
          <w:sz w:val="24"/>
          <w:szCs w:val="24"/>
          <w:spacing w:val="-1"/>
          <w:position w:val="1"/>
        </w:rPr>
        <w:t>TSP</w:t>
      </w:r>
      <w:r>
        <w:rPr>
          <w:rFonts w:ascii="Times New Roman" w:hAnsi="Times New Roman" w:eastAsia="Times New Roman" w:cs="Times New Roman"/>
          <w:sz w:val="24"/>
          <w:szCs w:val="24"/>
          <w:spacing w:val="-2"/>
          <w:position w:val="1"/>
        </w:rPr>
        <w:t xml:space="preserve"> </w:t>
      </w:r>
      <w:r>
        <w:rPr>
          <w:rFonts w:ascii="SimSun" w:hAnsi="SimSun" w:eastAsia="SimSun" w:cs="SimSun"/>
          <w:sz w:val="24"/>
          <w:szCs w:val="24"/>
          <w:spacing w:val="-2"/>
          <w:position w:val="1"/>
        </w:rPr>
        <w:t>取</w:t>
      </w:r>
      <w:r>
        <w:rPr>
          <w:rFonts w:ascii="SimSun" w:hAnsi="SimSun" w:eastAsia="SimSun" w:cs="SimSun"/>
          <w:sz w:val="24"/>
          <w:szCs w:val="24"/>
          <w:spacing w:val="-32"/>
          <w:position w:val="1"/>
        </w:rPr>
        <w:t xml:space="preserve"> </w:t>
      </w:r>
      <w:r>
        <w:rPr>
          <w:rFonts w:ascii="Times New Roman" w:hAnsi="Times New Roman" w:eastAsia="Times New Roman" w:cs="Times New Roman"/>
          <w:sz w:val="24"/>
          <w:szCs w:val="24"/>
          <w:spacing w:val="-2"/>
          <w:position w:val="1"/>
        </w:rPr>
        <w:t>1.0</w:t>
      </w:r>
      <w:r>
        <w:rPr>
          <w:rFonts w:ascii="SimSun" w:hAnsi="SimSun" w:eastAsia="SimSun" w:cs="SimSun"/>
          <w:sz w:val="24"/>
          <w:szCs w:val="24"/>
          <w:spacing w:val="-2"/>
          <w:position w:val="1"/>
        </w:rPr>
        <w:t>；</w:t>
      </w:r>
    </w:p>
    <w:p>
      <w:pPr>
        <w:ind w:left="1203"/>
        <w:spacing w:before="162" w:line="219" w:lineRule="auto"/>
        <w:rPr>
          <w:rFonts w:ascii="SimSun" w:hAnsi="SimSun" w:eastAsia="SimSun" w:cs="SimSun"/>
          <w:sz w:val="24"/>
          <w:szCs w:val="24"/>
        </w:rPr>
      </w:pPr>
      <w:r>
        <w:rPr>
          <w:rFonts w:ascii="Times New Roman" w:hAnsi="Times New Roman" w:eastAsia="Times New Roman" w:cs="Times New Roman"/>
          <w:sz w:val="24"/>
          <w:szCs w:val="24"/>
          <w:spacing w:val="-1"/>
        </w:rPr>
        <w:t>n—</w:t>
      </w:r>
      <w:r>
        <w:rPr>
          <w:rFonts w:ascii="SimSun" w:hAnsi="SimSun" w:eastAsia="SimSun" w:cs="SimSun"/>
          <w:sz w:val="24"/>
          <w:szCs w:val="24"/>
          <w:spacing w:val="-1"/>
        </w:rPr>
        <w:t>料堆每年受扰动的次数；</w:t>
      </w:r>
    </w:p>
    <w:p>
      <w:pPr>
        <w:ind w:left="1203"/>
        <w:spacing w:before="155" w:line="212" w:lineRule="auto"/>
        <w:rPr>
          <w:rFonts w:ascii="SimSun" w:hAnsi="SimSun" w:eastAsia="SimSun" w:cs="SimSun"/>
          <w:sz w:val="24"/>
          <w:szCs w:val="24"/>
        </w:rPr>
      </w:pPr>
      <w:r>
        <w:rPr>
          <w:rFonts w:ascii="Times New Roman" w:hAnsi="Times New Roman" w:eastAsia="Times New Roman" w:cs="Times New Roman"/>
          <w:sz w:val="24"/>
          <w:szCs w:val="24"/>
        </w:rPr>
        <w:t>η—</w:t>
      </w:r>
      <w:r>
        <w:rPr>
          <w:rFonts w:ascii="SimSun" w:hAnsi="SimSun" w:eastAsia="SimSun" w:cs="SimSun"/>
          <w:sz w:val="24"/>
          <w:szCs w:val="24"/>
        </w:rPr>
        <w:t>污染控制技术对扬尘的去除效率（</w:t>
      </w:r>
      <w:r>
        <w:rPr>
          <w:rFonts w:ascii="Times New Roman" w:hAnsi="Times New Roman" w:eastAsia="Times New Roman" w:cs="Times New Roman"/>
          <w:sz w:val="24"/>
          <w:szCs w:val="24"/>
        </w:rPr>
        <w:t>%</w:t>
      </w:r>
      <w:r>
        <w:rPr>
          <w:rFonts w:ascii="SimSun" w:hAnsi="SimSun" w:eastAsia="SimSun" w:cs="SimSun"/>
          <w:sz w:val="24"/>
          <w:szCs w:val="24"/>
          <w:spacing w:val="-2"/>
        </w:rPr>
        <w:t>）；</w:t>
      </w:r>
    </w:p>
    <w:p>
      <w:pPr>
        <w:ind w:left="1206"/>
        <w:spacing w:before="163" w:line="212" w:lineRule="auto"/>
        <w:rPr>
          <w:rFonts w:ascii="SimSun" w:hAnsi="SimSun" w:eastAsia="SimSun" w:cs="SimSun"/>
          <w:sz w:val="24"/>
          <w:szCs w:val="24"/>
        </w:rPr>
      </w:pPr>
      <w:r>
        <w:rPr>
          <w:rFonts w:ascii="Times New Roman" w:hAnsi="Times New Roman" w:eastAsia="Times New Roman" w:cs="Times New Roman"/>
          <w:sz w:val="24"/>
          <w:szCs w:val="24"/>
          <w:spacing w:val="-2"/>
        </w:rPr>
        <w:t>Pi—</w:t>
      </w:r>
      <w:r>
        <w:rPr>
          <w:rFonts w:ascii="SimSun" w:hAnsi="SimSun" w:eastAsia="SimSun" w:cs="SimSun"/>
          <w:sz w:val="24"/>
          <w:szCs w:val="24"/>
          <w:spacing w:val="-2"/>
        </w:rPr>
        <w:t>第</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次扰动中观测的最大风速的风蚀潜势，</w:t>
      </w:r>
      <w:r>
        <w:rPr>
          <w:rFonts w:ascii="Times New Roman" w:hAnsi="Times New Roman" w:eastAsia="Times New Roman" w:cs="Times New Roman"/>
          <w:sz w:val="24"/>
          <w:szCs w:val="24"/>
          <w:spacing w:val="-2"/>
        </w:rPr>
        <w:t>g/m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2"/>
        </w:rPr>
        <w:t>，计算公式如下；</w:t>
      </w:r>
    </w:p>
    <w:p>
      <w:pPr>
        <w:ind w:left="2397"/>
        <w:spacing w:before="42" w:line="708" w:lineRule="exact"/>
        <w:rPr/>
      </w:pPr>
      <w:r>
        <w:rPr>
          <w:position w:val="-14"/>
        </w:rPr>
        <w:drawing>
          <wp:inline distT="0" distB="0" distL="0" distR="0">
            <wp:extent cx="2632941" cy="449663"/>
            <wp:effectExtent l="0" t="0" r="0" b="0"/>
            <wp:docPr id="180" name="IM 180"/>
            <wp:cNvGraphicFramePr/>
            <a:graphic>
              <a:graphicData uri="http://schemas.openxmlformats.org/drawingml/2006/picture">
                <pic:pic>
                  <pic:nvPicPr>
                    <pic:cNvPr id="180" name="IM 180"/>
                    <pic:cNvPicPr/>
                  </pic:nvPicPr>
                  <pic:blipFill>
                    <a:blip r:embed="rId227"/>
                    <a:stretch>
                      <a:fillRect/>
                    </a:stretch>
                  </pic:blipFill>
                  <pic:spPr>
                    <a:xfrm rot="0">
                      <a:off x="0" y="0"/>
                      <a:ext cx="2632941" cy="449663"/>
                    </a:xfrm>
                    <a:prstGeom prst="rect">
                      <a:avLst/>
                    </a:prstGeom>
                  </pic:spPr>
                </pic:pic>
              </a:graphicData>
            </a:graphic>
          </wp:inline>
        </w:drawing>
      </w:r>
    </w:p>
    <w:p>
      <w:pPr>
        <w:ind w:left="496"/>
        <w:spacing w:before="156" w:line="219"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u</w:t>
      </w:r>
      <w:r>
        <w:rPr>
          <w:rFonts w:ascii="Times New Roman" w:hAnsi="Times New Roman" w:eastAsia="Times New Roman" w:cs="Times New Roman"/>
          <w:sz w:val="15"/>
          <w:szCs w:val="15"/>
          <w:spacing w:val="-2"/>
        </w:rPr>
        <w:t>t</w:t>
      </w:r>
      <w:r>
        <w:rPr>
          <w:rFonts w:ascii="Times New Roman" w:hAnsi="Times New Roman" w:eastAsia="Times New Roman" w:cs="Times New Roman"/>
          <w:sz w:val="24"/>
          <w:szCs w:val="24"/>
          <w:spacing w:val="-2"/>
        </w:rPr>
        <w:t>*—</w:t>
      </w:r>
      <w:r>
        <w:rPr>
          <w:rFonts w:ascii="SimSun" w:hAnsi="SimSun" w:eastAsia="SimSun" w:cs="SimSun"/>
          <w:sz w:val="24"/>
          <w:szCs w:val="24"/>
          <w:spacing w:val="-2"/>
        </w:rPr>
        <w:t>阈值摩擦风速（</w:t>
      </w:r>
      <w:r>
        <w:rPr>
          <w:rFonts w:ascii="Times New Roman" w:hAnsi="Times New Roman" w:eastAsia="Times New Roman" w:cs="Times New Roman"/>
          <w:sz w:val="24"/>
          <w:szCs w:val="24"/>
          <w:spacing w:val="-2"/>
        </w:rPr>
        <w:t>m/s</w:t>
      </w:r>
      <w:r>
        <w:rPr>
          <w:rFonts w:ascii="SimSun" w:hAnsi="SimSun" w:eastAsia="SimSun" w:cs="SimSun"/>
          <w:sz w:val="24"/>
          <w:szCs w:val="24"/>
          <w:spacing w:val="12"/>
        </w:rPr>
        <w:t>），</w:t>
      </w:r>
      <w:r>
        <w:rPr>
          <w:rFonts w:ascii="SimSun" w:hAnsi="SimSun" w:eastAsia="SimSun" w:cs="SimSun"/>
          <w:sz w:val="24"/>
          <w:szCs w:val="24"/>
          <w:spacing w:val="-2"/>
        </w:rPr>
        <w:t>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0.62</w:t>
      </w:r>
      <w:r>
        <w:rPr>
          <w:rFonts w:ascii="SimSun" w:hAnsi="SimSun" w:eastAsia="SimSun" w:cs="SimSun"/>
          <w:sz w:val="24"/>
          <w:szCs w:val="24"/>
          <w:spacing w:val="-2"/>
        </w:rPr>
        <w:t>；</w:t>
      </w:r>
    </w:p>
    <w:p>
      <w:pPr>
        <w:ind w:left="1202"/>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u*—</w:t>
      </w:r>
      <w:r>
        <w:rPr>
          <w:rFonts w:ascii="SimSun" w:hAnsi="SimSun" w:eastAsia="SimSun" w:cs="SimSun"/>
          <w:sz w:val="24"/>
          <w:szCs w:val="24"/>
          <w:spacing w:val="-1"/>
        </w:rPr>
        <w:t>摩擦风速（</w:t>
      </w:r>
      <w:r>
        <w:rPr>
          <w:rFonts w:ascii="Times New Roman" w:hAnsi="Times New Roman" w:eastAsia="Times New Roman" w:cs="Times New Roman"/>
          <w:sz w:val="24"/>
          <w:szCs w:val="24"/>
          <w:spacing w:val="-1"/>
        </w:rPr>
        <w:t>m/s</w:t>
      </w:r>
      <w:r>
        <w:rPr>
          <w:rFonts w:ascii="SimSun" w:hAnsi="SimSun" w:eastAsia="SimSun" w:cs="SimSun"/>
          <w:sz w:val="24"/>
          <w:szCs w:val="24"/>
          <w:spacing w:val="9"/>
        </w:rPr>
        <w:t>），</w:t>
      </w:r>
      <w:r>
        <w:rPr>
          <w:rFonts w:ascii="SimSun" w:hAnsi="SimSun" w:eastAsia="SimSun" w:cs="SimSun"/>
          <w:sz w:val="24"/>
          <w:szCs w:val="24"/>
          <w:spacing w:val="-1"/>
        </w:rPr>
        <w:t>计算公式如下；</w:t>
      </w:r>
    </w:p>
    <w:p>
      <w:pPr>
        <w:ind w:left="3474"/>
        <w:spacing w:before="65" w:line="815" w:lineRule="exact"/>
        <w:rPr/>
      </w:pPr>
      <w:r>
        <w:rPr>
          <w:position w:val="-16"/>
        </w:rPr>
        <w:drawing>
          <wp:inline distT="0" distB="0" distL="0" distR="0">
            <wp:extent cx="1258098" cy="517598"/>
            <wp:effectExtent l="0" t="0" r="0" b="0"/>
            <wp:docPr id="182" name="IM 182"/>
            <wp:cNvGraphicFramePr/>
            <a:graphic>
              <a:graphicData uri="http://schemas.openxmlformats.org/drawingml/2006/picture">
                <pic:pic>
                  <pic:nvPicPr>
                    <pic:cNvPr id="182" name="IM 182"/>
                    <pic:cNvPicPr/>
                  </pic:nvPicPr>
                  <pic:blipFill>
                    <a:blip r:embed="rId228"/>
                    <a:stretch>
                      <a:fillRect/>
                    </a:stretch>
                  </pic:blipFill>
                  <pic:spPr>
                    <a:xfrm rot="0">
                      <a:off x="0" y="0"/>
                      <a:ext cx="1258098" cy="517598"/>
                    </a:xfrm>
                    <a:prstGeom prst="rect">
                      <a:avLst/>
                    </a:prstGeom>
                  </pic:spPr>
                </pic:pic>
              </a:graphicData>
            </a:graphic>
          </wp:inline>
        </w:drawing>
      </w:r>
    </w:p>
    <w:p>
      <w:pPr>
        <w:ind w:left="496"/>
        <w:spacing w:before="196" w:line="212"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u(z)—</w:t>
      </w:r>
      <w:r>
        <w:rPr>
          <w:rFonts w:ascii="SimSun" w:hAnsi="SimSun" w:eastAsia="SimSun" w:cs="SimSun"/>
          <w:sz w:val="24"/>
          <w:szCs w:val="24"/>
          <w:spacing w:val="-1"/>
        </w:rPr>
        <w:t>地面风速（</w:t>
      </w:r>
      <w:r>
        <w:rPr>
          <w:rFonts w:ascii="Times New Roman" w:hAnsi="Times New Roman" w:eastAsia="Times New Roman" w:cs="Times New Roman"/>
          <w:sz w:val="24"/>
          <w:szCs w:val="24"/>
          <w:spacing w:val="-1"/>
        </w:rPr>
        <w:t>m/s</w:t>
      </w:r>
      <w:r>
        <w:rPr>
          <w:rFonts w:ascii="SimSun" w:hAnsi="SimSun" w:eastAsia="SimSun" w:cs="SimSun"/>
          <w:sz w:val="24"/>
          <w:szCs w:val="24"/>
          <w:spacing w:val="-1"/>
        </w:rPr>
        <w:t>）；</w:t>
      </w:r>
    </w:p>
    <w:p>
      <w:pPr>
        <w:ind w:left="1207"/>
        <w:spacing w:before="164" w:line="219" w:lineRule="auto"/>
        <w:rPr>
          <w:rFonts w:ascii="SimSun" w:hAnsi="SimSun" w:eastAsia="SimSun" w:cs="SimSun"/>
          <w:sz w:val="24"/>
          <w:szCs w:val="24"/>
        </w:rPr>
      </w:pPr>
      <w:r>
        <w:rPr>
          <w:rFonts w:ascii="Times New Roman" w:hAnsi="Times New Roman" w:eastAsia="Times New Roman" w:cs="Times New Roman"/>
          <w:sz w:val="24"/>
          <w:szCs w:val="24"/>
          <w:spacing w:val="-4"/>
        </w:rPr>
        <w:t>z—</w:t>
      </w:r>
      <w:r>
        <w:rPr>
          <w:rFonts w:ascii="SimSun" w:hAnsi="SimSun" w:eastAsia="SimSun" w:cs="SimSun"/>
          <w:sz w:val="24"/>
          <w:szCs w:val="24"/>
          <w:spacing w:val="-4"/>
        </w:rPr>
        <w:t>地面风速检测高度，</w:t>
      </w:r>
      <w:r>
        <w:rPr>
          <w:rFonts w:ascii="Times New Roman" w:hAnsi="Times New Roman" w:eastAsia="Times New Roman" w:cs="Times New Roman"/>
          <w:sz w:val="24"/>
          <w:szCs w:val="24"/>
          <w:spacing w:val="-4"/>
        </w:rPr>
        <w:t>m</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4"/>
        </w:rPr>
        <w:t>，取</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10m</w:t>
      </w:r>
      <w:r>
        <w:rPr>
          <w:rFonts w:ascii="SimSun" w:hAnsi="SimSun" w:eastAsia="SimSun" w:cs="SimSun"/>
          <w:sz w:val="24"/>
          <w:szCs w:val="24"/>
          <w:spacing w:val="-4"/>
        </w:rPr>
        <w:t>；</w:t>
      </w:r>
    </w:p>
    <w:p>
      <w:pPr>
        <w:ind w:left="1213" w:right="709" w:hanging="6"/>
        <w:spacing w:before="155" w:line="342" w:lineRule="auto"/>
        <w:rPr>
          <w:rFonts w:ascii="SimSun" w:hAnsi="SimSun" w:eastAsia="SimSun" w:cs="SimSun"/>
          <w:sz w:val="24"/>
          <w:szCs w:val="24"/>
        </w:rPr>
      </w:pPr>
      <w:r>
        <w:rPr>
          <w:rFonts w:ascii="Times New Roman" w:hAnsi="Times New Roman" w:eastAsia="Times New Roman" w:cs="Times New Roman"/>
          <w:sz w:val="24"/>
          <w:szCs w:val="24"/>
          <w:spacing w:val="-4"/>
        </w:rPr>
        <w:t>z</w:t>
      </w:r>
      <w:r>
        <w:rPr>
          <w:rFonts w:ascii="Times New Roman" w:hAnsi="Times New Roman" w:eastAsia="Times New Roman" w:cs="Times New Roman"/>
          <w:sz w:val="15"/>
          <w:szCs w:val="15"/>
          <w:spacing w:val="-4"/>
        </w:rPr>
        <w:t>0</w:t>
      </w:r>
      <w:r>
        <w:rPr>
          <w:rFonts w:ascii="Times New Roman" w:hAnsi="Times New Roman" w:eastAsia="Times New Roman" w:cs="Times New Roman"/>
          <w:sz w:val="24"/>
          <w:szCs w:val="24"/>
          <w:spacing w:val="-4"/>
        </w:rPr>
        <w:t>—</w:t>
      </w:r>
      <w:r>
        <w:rPr>
          <w:rFonts w:ascii="SimSun" w:hAnsi="SimSun" w:eastAsia="SimSun" w:cs="SimSun"/>
          <w:sz w:val="24"/>
          <w:szCs w:val="24"/>
          <w:spacing w:val="-4"/>
        </w:rPr>
        <w:t>地面粗糙度，</w:t>
      </w:r>
      <w:r>
        <w:rPr>
          <w:rFonts w:ascii="Times New Roman" w:hAnsi="Times New Roman" w:eastAsia="Times New Roman" w:cs="Times New Roman"/>
          <w:sz w:val="24"/>
          <w:szCs w:val="24"/>
          <w:spacing w:val="-4"/>
        </w:rPr>
        <w:t>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，城市取值</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0.6</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，郊区取值</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，本次</w:t>
      </w:r>
      <w:r>
        <w:rPr>
          <w:rFonts w:ascii="SimSun" w:hAnsi="SimSun" w:eastAsia="SimSun" w:cs="SimSun"/>
          <w:sz w:val="24"/>
          <w:szCs w:val="24"/>
          <w:spacing w:val="-5"/>
        </w:rPr>
        <w:t>评价取</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0.2</w:t>
      </w:r>
      <w:r>
        <w:rPr>
          <w:rFonts w:ascii="SimSun" w:hAnsi="SimSun" w:eastAsia="SimSun" w:cs="SimSun"/>
          <w:sz w:val="24"/>
          <w:szCs w:val="24"/>
          <w:spacing w:val="-5"/>
        </w:rPr>
        <w:t>。</w:t>
      </w:r>
      <w:r>
        <w:rPr>
          <w:rFonts w:ascii="SimSun" w:hAnsi="SimSun" w:eastAsia="SimSun" w:cs="SimSun"/>
          <w:sz w:val="24"/>
          <w:szCs w:val="24"/>
          <w:spacing w:val="-3"/>
        </w:rPr>
        <w:t>经计算，</w:t>
      </w:r>
      <w:r>
        <w:rPr>
          <w:rFonts w:ascii="Times New Roman" w:hAnsi="Times New Roman" w:eastAsia="Times New Roman" w:cs="Times New Roman"/>
          <w:sz w:val="24"/>
          <w:szCs w:val="24"/>
          <w:spacing w:val="-3"/>
        </w:rPr>
        <w:t>u*=0.235m/s&lt;ut*=0.62m/s</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，故</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Pi </w:t>
      </w:r>
      <w:r>
        <w:rPr>
          <w:rFonts w:ascii="SimSun" w:hAnsi="SimSun" w:eastAsia="SimSun" w:cs="SimSun"/>
          <w:sz w:val="24"/>
          <w:szCs w:val="24"/>
          <w:spacing w:val="-3"/>
        </w:rPr>
        <w:t>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Ew</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w:t>
      </w:r>
      <w:r>
        <w:rPr>
          <w:rFonts w:ascii="SimSun" w:hAnsi="SimSun" w:eastAsia="SimSun" w:cs="SimSun"/>
          <w:sz w:val="24"/>
          <w:szCs w:val="24"/>
          <w:spacing w:val="-3"/>
        </w:rPr>
        <w:t>。</w:t>
      </w:r>
    </w:p>
    <w:p>
      <w:pPr>
        <w:spacing w:line="342" w:lineRule="auto"/>
        <w:sectPr>
          <w:headerReference w:type="default" r:id="rId223"/>
          <w:footerReference w:type="default" r:id="rId224"/>
          <w:pgSz w:w="11906" w:h="16838"/>
          <w:pgMar w:top="1170" w:right="1403" w:bottom="1080" w:left="1413" w:header="837" w:footer="918" w:gutter="0"/>
        </w:sectPr>
        <w:rPr>
          <w:rFonts w:ascii="SimSun" w:hAnsi="SimSun" w:eastAsia="SimSun" w:cs="SimSun"/>
          <w:sz w:val="24"/>
          <w:szCs w:val="24"/>
        </w:rPr>
      </w:pPr>
    </w:p>
    <w:p>
      <w:pPr>
        <w:pStyle w:val="BodyText"/>
        <w:spacing w:line="440" w:lineRule="auto"/>
        <w:rPr/>
      </w:pPr>
      <w:r/>
    </w:p>
    <w:p>
      <w:pPr>
        <w:ind w:left="2988"/>
        <w:spacing w:before="78" w:line="222" w:lineRule="auto"/>
        <w:rPr>
          <w:rFonts w:ascii="SimHei" w:hAnsi="SimHei" w:eastAsia="SimHei" w:cs="SimHei"/>
          <w:sz w:val="24"/>
          <w:szCs w:val="24"/>
        </w:rPr>
      </w:pPr>
      <w:r>
        <w:rPr>
          <w:rFonts w:ascii="SimHei" w:hAnsi="SimHei" w:eastAsia="SimHei" w:cs="SimHei"/>
          <w:sz w:val="24"/>
          <w:szCs w:val="24"/>
          <w:spacing w:val="-1"/>
        </w:rPr>
        <w:t>各堆场扬尘量计算参数及结果</w:t>
      </w:r>
    </w:p>
    <w:p>
      <w:pPr>
        <w:ind w:left="9"/>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3-6-3</w:t>
      </w:r>
    </w:p>
    <w:tbl>
      <w:tblPr>
        <w:tblStyle w:val="TableNormal"/>
        <w:tblW w:w="908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90"/>
        <w:gridCol w:w="1986"/>
        <w:gridCol w:w="1741"/>
        <w:gridCol w:w="1581"/>
        <w:gridCol w:w="1583"/>
      </w:tblGrid>
      <w:tr>
        <w:trPr>
          <w:trHeight w:val="305" w:hRule="atLeast"/>
        </w:trPr>
        <w:tc>
          <w:tcPr>
            <w:tcW w:w="2190" w:type="dxa"/>
            <w:vAlign w:val="top"/>
          </w:tcPr>
          <w:p>
            <w:pPr>
              <w:ind w:left="894"/>
              <w:spacing w:before="46" w:line="228" w:lineRule="auto"/>
              <w:rPr>
                <w:rFonts w:ascii="SimSun" w:hAnsi="SimSun" w:eastAsia="SimSun" w:cs="SimSun"/>
                <w:sz w:val="20"/>
                <w:szCs w:val="20"/>
              </w:rPr>
            </w:pPr>
            <w:r>
              <w:rPr>
                <w:rFonts w:ascii="SimSun" w:hAnsi="SimSun" w:eastAsia="SimSun" w:cs="SimSun"/>
                <w:sz w:val="20"/>
                <w:szCs w:val="20"/>
                <w:spacing w:val="3"/>
              </w:rPr>
              <w:t>项目</w:t>
            </w:r>
          </w:p>
        </w:tc>
        <w:tc>
          <w:tcPr>
            <w:tcW w:w="1986" w:type="dxa"/>
            <w:vAlign w:val="top"/>
          </w:tcPr>
          <w:p>
            <w:pPr>
              <w:pStyle w:val="TableText"/>
              <w:ind w:left="504"/>
              <w:spacing w:before="45" w:line="221" w:lineRule="auto"/>
              <w:rPr>
                <w:rFonts w:ascii="SimSun" w:hAnsi="SimSun" w:eastAsia="SimSun" w:cs="SimSun"/>
              </w:rPr>
            </w:pPr>
            <w:r>
              <w:rPr/>
              <w:t>Eh</w:t>
            </w:r>
            <w:r>
              <w:rPr>
                <w:rFonts w:ascii="SimSun" w:hAnsi="SimSun" w:eastAsia="SimSun" w:cs="SimSun"/>
                <w:spacing w:val="6"/>
              </w:rPr>
              <w:t>（</w:t>
            </w:r>
            <w:r>
              <w:rPr/>
              <w:t>kg</w:t>
            </w:r>
            <w:r>
              <w:rPr>
                <w:spacing w:val="6"/>
              </w:rPr>
              <w:t>/t</w:t>
            </w:r>
            <w:r>
              <w:rPr>
                <w:rFonts w:ascii="SimSun" w:hAnsi="SimSun" w:eastAsia="SimSun" w:cs="SimSun"/>
                <w:spacing w:val="6"/>
              </w:rPr>
              <w:t>）</w:t>
            </w:r>
          </w:p>
        </w:tc>
        <w:tc>
          <w:tcPr>
            <w:tcW w:w="1741" w:type="dxa"/>
            <w:vAlign w:val="top"/>
          </w:tcPr>
          <w:p>
            <w:pPr>
              <w:pStyle w:val="TableText"/>
              <w:ind w:left="471"/>
              <w:spacing w:before="45" w:line="228" w:lineRule="auto"/>
              <w:rPr>
                <w:rFonts w:ascii="SimSun" w:hAnsi="SimSun" w:eastAsia="SimSun" w:cs="SimSun"/>
              </w:rPr>
            </w:pPr>
            <w:r>
              <w:rPr>
                <w:spacing w:val="5"/>
              </w:rPr>
              <w:t>m</w:t>
            </w:r>
            <w:r>
              <w:rPr>
                <w:rFonts w:ascii="SimSun" w:hAnsi="SimSun" w:eastAsia="SimSun" w:cs="SimSun"/>
                <w:spacing w:val="5"/>
              </w:rPr>
              <w:t>（次）</w:t>
            </w:r>
          </w:p>
        </w:tc>
        <w:tc>
          <w:tcPr>
            <w:tcW w:w="1581" w:type="dxa"/>
            <w:vAlign w:val="top"/>
          </w:tcPr>
          <w:p>
            <w:pPr>
              <w:pStyle w:val="TableText"/>
              <w:ind w:left="382"/>
              <w:spacing w:before="45" w:line="230" w:lineRule="auto"/>
              <w:rPr>
                <w:rFonts w:ascii="SimSun" w:hAnsi="SimSun" w:eastAsia="SimSun" w:cs="SimSun"/>
              </w:rPr>
            </w:pPr>
            <w:r>
              <w:rPr/>
              <w:t>GYi</w:t>
            </w:r>
            <w:r>
              <w:rPr>
                <w:rFonts w:ascii="SimSun" w:hAnsi="SimSun" w:eastAsia="SimSun" w:cs="SimSun"/>
                <w:spacing w:val="2"/>
              </w:rPr>
              <w:t>（</w:t>
            </w:r>
            <w:r>
              <w:rPr>
                <w:spacing w:val="2"/>
              </w:rPr>
              <w:t>t</w:t>
            </w:r>
            <w:r>
              <w:rPr>
                <w:rFonts w:ascii="SimSun" w:hAnsi="SimSun" w:eastAsia="SimSun" w:cs="SimSun"/>
                <w:spacing w:val="2"/>
              </w:rPr>
              <w:t>）</w:t>
            </w:r>
          </w:p>
        </w:tc>
        <w:tc>
          <w:tcPr>
            <w:tcW w:w="1583" w:type="dxa"/>
            <w:vAlign w:val="top"/>
          </w:tcPr>
          <w:p>
            <w:pPr>
              <w:pStyle w:val="TableText"/>
              <w:ind w:left="302"/>
              <w:spacing w:before="45" w:line="230" w:lineRule="auto"/>
              <w:rPr>
                <w:rFonts w:ascii="SimSun" w:hAnsi="SimSun" w:eastAsia="SimSun" w:cs="SimSun"/>
              </w:rPr>
            </w:pPr>
            <w:r>
              <w:rPr/>
              <w:t>WY</w:t>
            </w:r>
            <w:r>
              <w:rPr>
                <w:rFonts w:ascii="SimSun" w:hAnsi="SimSun" w:eastAsia="SimSun" w:cs="SimSun"/>
                <w:spacing w:val="5"/>
              </w:rPr>
              <w:t>（</w:t>
            </w:r>
            <w:r>
              <w:rPr>
                <w:spacing w:val="5"/>
              </w:rPr>
              <w:t>t/a</w:t>
            </w:r>
            <w:r>
              <w:rPr>
                <w:rFonts w:ascii="SimSun" w:hAnsi="SimSun" w:eastAsia="SimSun" w:cs="SimSun"/>
                <w:spacing w:val="5"/>
              </w:rPr>
              <w:t>）</w:t>
            </w:r>
          </w:p>
        </w:tc>
      </w:tr>
      <w:tr>
        <w:trPr>
          <w:trHeight w:val="341" w:hRule="atLeast"/>
        </w:trPr>
        <w:tc>
          <w:tcPr>
            <w:tcW w:w="2190" w:type="dxa"/>
            <w:vAlign w:val="top"/>
          </w:tcPr>
          <w:p>
            <w:pPr>
              <w:ind w:left="784"/>
              <w:spacing w:before="64" w:line="227" w:lineRule="auto"/>
              <w:rPr>
                <w:rFonts w:ascii="SimSun" w:hAnsi="SimSun" w:eastAsia="SimSun" w:cs="SimSun"/>
                <w:sz w:val="20"/>
                <w:szCs w:val="20"/>
              </w:rPr>
            </w:pPr>
            <w:r>
              <w:rPr>
                <w:rFonts w:ascii="SimSun" w:hAnsi="SimSun" w:eastAsia="SimSun" w:cs="SimSun"/>
                <w:sz w:val="20"/>
                <w:szCs w:val="20"/>
                <w:spacing w:val="7"/>
              </w:rPr>
              <w:t>采掘场</w:t>
            </w:r>
          </w:p>
        </w:tc>
        <w:tc>
          <w:tcPr>
            <w:tcW w:w="1986" w:type="dxa"/>
            <w:vAlign w:val="top"/>
          </w:tcPr>
          <w:p>
            <w:pPr>
              <w:pStyle w:val="TableText"/>
              <w:ind w:left="603"/>
              <w:spacing w:before="100" w:line="195" w:lineRule="auto"/>
              <w:rPr/>
            </w:pPr>
            <w:r>
              <w:rPr>
                <w:spacing w:val="3"/>
              </w:rPr>
              <w:t>0.000057</w:t>
            </w:r>
          </w:p>
        </w:tc>
        <w:tc>
          <w:tcPr>
            <w:tcW w:w="1741" w:type="dxa"/>
            <w:vAlign w:val="top"/>
          </w:tcPr>
          <w:p>
            <w:pPr>
              <w:pStyle w:val="TableText"/>
              <w:ind w:left="525"/>
              <w:spacing w:before="100" w:line="195" w:lineRule="auto"/>
              <w:rPr/>
            </w:pPr>
            <w:r>
              <w:rPr>
                <w:spacing w:val="1"/>
              </w:rPr>
              <w:t>1931667</w:t>
            </w:r>
          </w:p>
        </w:tc>
        <w:tc>
          <w:tcPr>
            <w:tcW w:w="1581" w:type="dxa"/>
            <w:vAlign w:val="top"/>
          </w:tcPr>
          <w:p>
            <w:pPr>
              <w:pStyle w:val="TableText"/>
              <w:ind w:left="693"/>
              <w:spacing w:before="100" w:line="195" w:lineRule="auto"/>
              <w:rPr/>
            </w:pPr>
            <w:r>
              <w:rPr/>
              <w:t>30</w:t>
            </w:r>
          </w:p>
        </w:tc>
        <w:tc>
          <w:tcPr>
            <w:tcW w:w="1583" w:type="dxa"/>
            <w:vAlign w:val="top"/>
          </w:tcPr>
          <w:p>
            <w:pPr>
              <w:pStyle w:val="TableText"/>
              <w:ind w:left="612"/>
              <w:spacing w:before="100" w:line="195" w:lineRule="auto"/>
              <w:rPr/>
            </w:pPr>
            <w:r>
              <w:rPr>
                <w:spacing w:val="1"/>
              </w:rPr>
              <w:t>3.31</w:t>
            </w:r>
          </w:p>
        </w:tc>
      </w:tr>
      <w:tr>
        <w:trPr>
          <w:trHeight w:val="327" w:hRule="atLeast"/>
        </w:trPr>
        <w:tc>
          <w:tcPr>
            <w:tcW w:w="2190" w:type="dxa"/>
            <w:vAlign w:val="top"/>
          </w:tcPr>
          <w:p>
            <w:pPr>
              <w:ind w:left="702"/>
              <w:spacing w:before="56" w:line="228" w:lineRule="auto"/>
              <w:rPr>
                <w:rFonts w:ascii="SimSun" w:hAnsi="SimSun" w:eastAsia="SimSun" w:cs="SimSun"/>
                <w:sz w:val="20"/>
                <w:szCs w:val="20"/>
              </w:rPr>
            </w:pPr>
            <w:r>
              <w:rPr>
                <w:rFonts w:ascii="SimSun" w:hAnsi="SimSun" w:eastAsia="SimSun" w:cs="SimSun"/>
                <w:sz w:val="20"/>
                <w:szCs w:val="20"/>
                <w:spacing w:val="1"/>
              </w:rPr>
              <w:t>内排土场</w:t>
            </w:r>
          </w:p>
        </w:tc>
        <w:tc>
          <w:tcPr>
            <w:tcW w:w="1986" w:type="dxa"/>
            <w:vAlign w:val="top"/>
          </w:tcPr>
          <w:p>
            <w:pPr>
              <w:pStyle w:val="TableText"/>
              <w:ind w:left="603"/>
              <w:spacing w:before="92" w:line="195" w:lineRule="auto"/>
              <w:rPr/>
            </w:pPr>
            <w:r>
              <w:rPr>
                <w:spacing w:val="3"/>
              </w:rPr>
              <w:t>0.000057</w:t>
            </w:r>
          </w:p>
        </w:tc>
        <w:tc>
          <w:tcPr>
            <w:tcW w:w="1741" w:type="dxa"/>
            <w:vAlign w:val="top"/>
          </w:tcPr>
          <w:p>
            <w:pPr>
              <w:pStyle w:val="TableText"/>
              <w:ind w:left="525"/>
              <w:spacing w:before="92" w:line="195" w:lineRule="auto"/>
              <w:rPr/>
            </w:pPr>
            <w:r>
              <w:rPr>
                <w:spacing w:val="1"/>
              </w:rPr>
              <w:t>1765000</w:t>
            </w:r>
          </w:p>
        </w:tc>
        <w:tc>
          <w:tcPr>
            <w:tcW w:w="1581" w:type="dxa"/>
            <w:vAlign w:val="top"/>
          </w:tcPr>
          <w:p>
            <w:pPr>
              <w:pStyle w:val="TableText"/>
              <w:ind w:left="693"/>
              <w:spacing w:before="92" w:line="195" w:lineRule="auto"/>
              <w:rPr/>
            </w:pPr>
            <w:r>
              <w:rPr/>
              <w:t>30</w:t>
            </w:r>
          </w:p>
        </w:tc>
        <w:tc>
          <w:tcPr>
            <w:tcW w:w="1583" w:type="dxa"/>
            <w:vAlign w:val="top"/>
          </w:tcPr>
          <w:p>
            <w:pPr>
              <w:pStyle w:val="TableText"/>
              <w:ind w:left="612"/>
              <w:spacing w:before="92" w:line="195" w:lineRule="auto"/>
              <w:rPr/>
            </w:pPr>
            <w:r>
              <w:rPr>
                <w:spacing w:val="1"/>
              </w:rPr>
              <w:t>3.02</w:t>
            </w:r>
          </w:p>
        </w:tc>
      </w:tr>
    </w:tbl>
    <w:p>
      <w:pPr>
        <w:pStyle w:val="BodyText"/>
        <w:spacing w:line="251" w:lineRule="auto"/>
        <w:rPr/>
      </w:pPr>
      <w:r/>
    </w:p>
    <w:p>
      <w:pPr>
        <w:pStyle w:val="BodyText"/>
        <w:spacing w:line="251" w:lineRule="auto"/>
        <w:rPr/>
      </w:pPr>
      <w:r/>
    </w:p>
    <w:p>
      <w:pPr>
        <w:ind w:left="498"/>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）运输道路扬尘</w:t>
      </w:r>
    </w:p>
    <w:p>
      <w:pPr>
        <w:ind w:left="12" w:right="11" w:firstLine="478"/>
        <w:spacing w:before="157" w:line="335" w:lineRule="auto"/>
        <w:rPr>
          <w:rFonts w:ascii="SimSun" w:hAnsi="SimSun" w:eastAsia="SimSun" w:cs="SimSun"/>
          <w:sz w:val="24"/>
          <w:szCs w:val="24"/>
        </w:rPr>
      </w:pPr>
      <w:r>
        <w:rPr>
          <w:rFonts w:ascii="SimSun" w:hAnsi="SimSun" w:eastAsia="SimSun" w:cs="SimSun"/>
          <w:sz w:val="24"/>
          <w:szCs w:val="24"/>
          <w:spacing w:val="-2"/>
        </w:rPr>
        <w:t>矿山道路运输和排废作业，尤其是在旱季，有间断的粉尘产生，在作业点和汽车经</w:t>
      </w:r>
      <w:r>
        <w:rPr>
          <w:rFonts w:ascii="SimSun" w:hAnsi="SimSun" w:eastAsia="SimSun" w:cs="SimSun"/>
          <w:sz w:val="24"/>
          <w:szCs w:val="24"/>
        </w:rPr>
        <w:t>过的运输线路上粉尘浓度可达到</w:t>
      </w:r>
      <w:r>
        <w:rPr>
          <w:rFonts w:ascii="SimSun" w:hAnsi="SimSun" w:eastAsia="SimSun" w:cs="SimSun"/>
          <w:sz w:val="24"/>
          <w:szCs w:val="24"/>
          <w:spacing w:val="-22"/>
        </w:rPr>
        <w:t xml:space="preserve"> </w:t>
      </w:r>
      <w:r>
        <w:rPr>
          <w:rFonts w:ascii="Times New Roman" w:hAnsi="Times New Roman" w:eastAsia="Times New Roman" w:cs="Times New Roman"/>
          <w:sz w:val="24"/>
          <w:szCs w:val="24"/>
        </w:rPr>
        <w:t>100~400mg/m</w:t>
      </w:r>
      <w:r>
        <w:rPr>
          <w:rFonts w:ascii="Times New Roman" w:hAnsi="Times New Roman" w:eastAsia="Times New Roman" w:cs="Times New Roman"/>
          <w:sz w:val="15"/>
          <w:szCs w:val="15"/>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rPr>
        <w:t>，将会对道路周围的植被、动物等产生</w:t>
      </w:r>
      <w:r>
        <w:rPr>
          <w:rFonts w:ascii="SimSun" w:hAnsi="SimSun" w:eastAsia="SimSun" w:cs="SimSun"/>
          <w:sz w:val="24"/>
          <w:szCs w:val="24"/>
        </w:rPr>
        <w:t>一定的影响。扬尘量的大小与道路状况、气候条</w:t>
      </w:r>
      <w:r>
        <w:rPr>
          <w:rFonts w:ascii="SimSun" w:hAnsi="SimSun" w:eastAsia="SimSun" w:cs="SimSun"/>
          <w:sz w:val="24"/>
          <w:szCs w:val="24"/>
          <w:spacing w:val="-1"/>
        </w:rPr>
        <w:t>件、汽车行驶速度等有关。</w:t>
      </w:r>
    </w:p>
    <w:p>
      <w:pPr>
        <w:ind w:left="11" w:right="11" w:firstLine="480"/>
        <w:spacing w:before="12" w:line="301" w:lineRule="auto"/>
        <w:jc w:val="both"/>
        <w:rPr>
          <w:rFonts w:ascii="SimSun" w:hAnsi="SimSun" w:eastAsia="SimSun" w:cs="SimSun"/>
          <w:sz w:val="24"/>
          <w:szCs w:val="24"/>
        </w:rPr>
      </w:pPr>
      <w:r>
        <w:rPr>
          <w:rFonts w:ascii="SimSun" w:hAnsi="SimSun" w:eastAsia="SimSun" w:cs="SimSun"/>
          <w:sz w:val="24"/>
          <w:szCs w:val="24"/>
          <w:spacing w:val="-2"/>
        </w:rPr>
        <w:t>本项目主要通过铁路运输，不设地销煤公路，运输道路扬尘主要为剥离物运输至内</w:t>
      </w:r>
      <w:r>
        <w:rPr>
          <w:rFonts w:ascii="SimSun" w:hAnsi="SimSun" w:eastAsia="SimSun" w:cs="SimSun"/>
          <w:sz w:val="24"/>
          <w:szCs w:val="24"/>
          <w:spacing w:val="-2"/>
        </w:rPr>
        <w:t>排土场过程中产生的扬尘。根据上海港环境保护中心和武汉水运工程学院公式估算，公</w:t>
      </w:r>
      <w:r>
        <w:rPr>
          <w:rFonts w:ascii="SimSun" w:hAnsi="SimSun" w:eastAsia="SimSun" w:cs="SimSun"/>
          <w:sz w:val="24"/>
          <w:szCs w:val="24"/>
          <w:spacing w:val="-3"/>
        </w:rPr>
        <w:t>式如下：</w:t>
      </w:r>
    </w:p>
    <w:p>
      <w:pPr>
        <w:ind w:firstLine="482"/>
        <w:spacing w:line="972" w:lineRule="exact"/>
        <w:rPr/>
      </w:pPr>
      <w:r>
        <w:rPr>
          <w:position w:val="-19"/>
        </w:rPr>
        <w:drawing>
          <wp:inline distT="0" distB="0" distL="0" distR="0">
            <wp:extent cx="3055620" cy="617220"/>
            <wp:effectExtent l="0" t="0" r="0" b="0"/>
            <wp:docPr id="184" name="IM 184"/>
            <wp:cNvGraphicFramePr/>
            <a:graphic>
              <a:graphicData uri="http://schemas.openxmlformats.org/drawingml/2006/picture">
                <pic:pic>
                  <pic:nvPicPr>
                    <pic:cNvPr id="184" name="IM 184"/>
                    <pic:cNvPicPr/>
                  </pic:nvPicPr>
                  <pic:blipFill>
                    <a:blip r:embed="rId231"/>
                    <a:stretch>
                      <a:fillRect/>
                    </a:stretch>
                  </pic:blipFill>
                  <pic:spPr>
                    <a:xfrm rot="0">
                      <a:off x="0" y="0"/>
                      <a:ext cx="3055620" cy="617220"/>
                    </a:xfrm>
                    <a:prstGeom prst="rect">
                      <a:avLst/>
                    </a:prstGeom>
                  </pic:spPr>
                </pic:pic>
              </a:graphicData>
            </a:graphic>
          </wp:inline>
        </w:drawing>
      </w:r>
    </w:p>
    <w:p>
      <w:pPr>
        <w:ind w:left="496"/>
        <w:spacing w:before="154" w:line="220" w:lineRule="auto"/>
        <w:rPr>
          <w:rFonts w:ascii="SimSun" w:hAnsi="SimSun" w:eastAsia="SimSun" w:cs="SimSun"/>
          <w:sz w:val="24"/>
          <w:szCs w:val="24"/>
        </w:rPr>
      </w:pPr>
      <w:r>
        <w:rPr>
          <w:rFonts w:ascii="SimSun" w:hAnsi="SimSun" w:eastAsia="SimSun" w:cs="SimSun"/>
          <w:sz w:val="24"/>
          <w:szCs w:val="24"/>
          <w:spacing w:val="-5"/>
        </w:rPr>
        <w:t>式中：</w:t>
      </w:r>
    </w:p>
    <w:p>
      <w:pPr>
        <w:ind w:left="490"/>
        <w:spacing w:before="153" w:line="212"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Times New Roman" w:hAnsi="Times New Roman" w:eastAsia="Times New Roman" w:cs="Times New Roman"/>
          <w:sz w:val="16"/>
          <w:szCs w:val="16"/>
          <w:spacing w:val="-1"/>
        </w:rPr>
        <w:t>P</w:t>
      </w:r>
      <w:r>
        <w:rPr>
          <w:rFonts w:ascii="Times New Roman" w:hAnsi="Times New Roman" w:eastAsia="Times New Roman" w:cs="Times New Roman"/>
          <w:sz w:val="24"/>
          <w:szCs w:val="24"/>
          <w:spacing w:val="-1"/>
        </w:rPr>
        <w:t>—</w:t>
      </w:r>
      <w:r>
        <w:rPr>
          <w:rFonts w:ascii="SimSun" w:hAnsi="SimSun" w:eastAsia="SimSun" w:cs="SimSun"/>
          <w:sz w:val="24"/>
          <w:szCs w:val="24"/>
          <w:spacing w:val="-1"/>
        </w:rPr>
        <w:t>扬尘量，</w:t>
      </w:r>
      <w:r>
        <w:rPr>
          <w:rFonts w:ascii="Times New Roman" w:hAnsi="Times New Roman" w:eastAsia="Times New Roman" w:cs="Times New Roman"/>
          <w:sz w:val="24"/>
          <w:szCs w:val="24"/>
          <w:spacing w:val="-1"/>
        </w:rPr>
        <w:t>kg/km·</w:t>
      </w:r>
      <w:r>
        <w:rPr>
          <w:rFonts w:ascii="SimSun" w:hAnsi="SimSun" w:eastAsia="SimSun" w:cs="SimSun"/>
          <w:sz w:val="24"/>
          <w:szCs w:val="24"/>
          <w:spacing w:val="-1"/>
        </w:rPr>
        <w:t>车；</w:t>
      </w:r>
    </w:p>
    <w:p>
      <w:pPr>
        <w:ind w:left="484"/>
        <w:spacing w:before="167" w:line="219" w:lineRule="auto"/>
        <w:rPr>
          <w:rFonts w:ascii="SimSun" w:hAnsi="SimSun" w:eastAsia="SimSun" w:cs="SimSun"/>
          <w:sz w:val="24"/>
          <w:szCs w:val="24"/>
        </w:rPr>
      </w:pPr>
      <w:r>
        <w:rPr>
          <w:rFonts w:ascii="Times New Roman" w:hAnsi="Times New Roman" w:eastAsia="Times New Roman" w:cs="Times New Roman"/>
          <w:sz w:val="24"/>
          <w:szCs w:val="24"/>
          <w:spacing w:val="-1"/>
        </w:rPr>
        <w:t>V—</w:t>
      </w:r>
      <w:r>
        <w:rPr>
          <w:rFonts w:ascii="SimSun" w:hAnsi="SimSun" w:eastAsia="SimSun" w:cs="SimSun"/>
          <w:sz w:val="24"/>
          <w:szCs w:val="24"/>
          <w:spacing w:val="-1"/>
        </w:rPr>
        <w:t>车辆行驶速度，</w:t>
      </w:r>
      <w:r>
        <w:rPr>
          <w:rFonts w:ascii="Times New Roman" w:hAnsi="Times New Roman" w:eastAsia="Times New Roman" w:cs="Times New Roman"/>
          <w:sz w:val="24"/>
          <w:szCs w:val="24"/>
          <w:spacing w:val="-1"/>
        </w:rPr>
        <w:t>km/h</w:t>
      </w:r>
      <w:r>
        <w:rPr>
          <w:rFonts w:ascii="SimSun" w:hAnsi="SimSun" w:eastAsia="SimSun" w:cs="SimSun"/>
          <w:sz w:val="24"/>
          <w:szCs w:val="24"/>
          <w:spacing w:val="-1"/>
        </w:rPr>
        <w:t>；</w:t>
      </w:r>
    </w:p>
    <w:p>
      <w:pPr>
        <w:ind w:left="485"/>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W—</w:t>
      </w:r>
      <w:r>
        <w:rPr>
          <w:rFonts w:ascii="SimSun" w:hAnsi="SimSun" w:eastAsia="SimSun" w:cs="SimSun"/>
          <w:sz w:val="24"/>
          <w:szCs w:val="24"/>
          <w:spacing w:val="-1"/>
        </w:rPr>
        <w:t>车辆载重量，</w:t>
      </w:r>
      <w:r>
        <w:rPr>
          <w:rFonts w:ascii="Times New Roman" w:hAnsi="Times New Roman" w:eastAsia="Times New Roman" w:cs="Times New Roman"/>
          <w:sz w:val="24"/>
          <w:szCs w:val="24"/>
          <w:spacing w:val="-1"/>
        </w:rPr>
        <w:t>t</w:t>
      </w:r>
      <w:r>
        <w:rPr>
          <w:rFonts w:ascii="SimSun" w:hAnsi="SimSun" w:eastAsia="SimSun" w:cs="SimSun"/>
          <w:sz w:val="24"/>
          <w:szCs w:val="24"/>
          <w:spacing w:val="-1"/>
        </w:rPr>
        <w:t>；</w:t>
      </w:r>
    </w:p>
    <w:p>
      <w:pPr>
        <w:ind w:left="486"/>
        <w:spacing w:before="154" w:line="212" w:lineRule="auto"/>
        <w:rPr>
          <w:rFonts w:ascii="SimSun" w:hAnsi="SimSun" w:eastAsia="SimSun" w:cs="SimSun"/>
          <w:sz w:val="24"/>
          <w:szCs w:val="24"/>
        </w:rPr>
      </w:pPr>
      <w:r>
        <w:rPr>
          <w:rFonts w:ascii="Times New Roman" w:hAnsi="Times New Roman" w:eastAsia="Times New Roman" w:cs="Times New Roman"/>
          <w:sz w:val="24"/>
          <w:szCs w:val="24"/>
          <w:spacing w:val="-1"/>
        </w:rPr>
        <w:t>P—</w:t>
      </w:r>
      <w:r>
        <w:rPr>
          <w:rFonts w:ascii="SimSun" w:hAnsi="SimSun" w:eastAsia="SimSun" w:cs="SimSun"/>
          <w:sz w:val="24"/>
          <w:szCs w:val="24"/>
          <w:spacing w:val="-1"/>
        </w:rPr>
        <w:t>单位路面起尘量，</w:t>
      </w:r>
      <w:r>
        <w:rPr>
          <w:rFonts w:ascii="Times New Roman" w:hAnsi="Times New Roman" w:eastAsia="Times New Roman" w:cs="Times New Roman"/>
          <w:sz w:val="24"/>
          <w:szCs w:val="24"/>
          <w:spacing w:val="-1"/>
        </w:rPr>
        <w:t>kg/m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（本工程取</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0.01</w:t>
      </w:r>
      <w:r>
        <w:rPr>
          <w:rFonts w:ascii="SimSun" w:hAnsi="SimSun" w:eastAsia="SimSun" w:cs="SimSun"/>
          <w:sz w:val="24"/>
          <w:szCs w:val="24"/>
          <w:spacing w:val="7"/>
        </w:rPr>
        <w:t>）；</w:t>
      </w:r>
    </w:p>
    <w:p>
      <w:pPr>
        <w:ind w:left="487"/>
        <w:spacing w:before="166" w:line="219" w:lineRule="auto"/>
        <w:rPr>
          <w:rFonts w:ascii="SimSun" w:hAnsi="SimSun" w:eastAsia="SimSun" w:cs="SimSun"/>
          <w:sz w:val="24"/>
          <w:szCs w:val="24"/>
        </w:rPr>
      </w:pPr>
      <w:r>
        <w:rPr>
          <w:rFonts w:ascii="Times New Roman" w:hAnsi="Times New Roman" w:eastAsia="Times New Roman" w:cs="Times New Roman"/>
          <w:sz w:val="24"/>
          <w:szCs w:val="24"/>
          <w:spacing w:val="-3"/>
        </w:rPr>
        <w:t>L—</w:t>
      </w:r>
      <w:r>
        <w:rPr>
          <w:rFonts w:ascii="SimSun" w:hAnsi="SimSun" w:eastAsia="SimSun" w:cs="SimSun"/>
          <w:sz w:val="24"/>
          <w:szCs w:val="24"/>
          <w:spacing w:val="-3"/>
        </w:rPr>
        <w:t>运输距离，</w:t>
      </w:r>
      <w:r>
        <w:rPr>
          <w:rFonts w:ascii="Times New Roman" w:hAnsi="Times New Roman" w:eastAsia="Times New Roman" w:cs="Times New Roman"/>
          <w:sz w:val="24"/>
          <w:szCs w:val="24"/>
          <w:spacing w:val="-3"/>
        </w:rPr>
        <w:t>km</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，本项目取</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3km</w:t>
      </w:r>
      <w:r>
        <w:rPr>
          <w:rFonts w:ascii="SimSun" w:hAnsi="SimSun" w:eastAsia="SimSun" w:cs="SimSun"/>
          <w:sz w:val="24"/>
          <w:szCs w:val="24"/>
          <w:spacing w:val="-3"/>
        </w:rPr>
        <w:t>；</w:t>
      </w:r>
    </w:p>
    <w:p>
      <w:pPr>
        <w:ind w:left="490"/>
        <w:spacing w:before="155" w:line="212" w:lineRule="auto"/>
        <w:rPr>
          <w:rFonts w:ascii="SimSun" w:hAnsi="SimSun" w:eastAsia="SimSun" w:cs="SimSun"/>
          <w:sz w:val="24"/>
          <w:szCs w:val="24"/>
        </w:rPr>
      </w:pPr>
      <w:r>
        <w:rPr>
          <w:rFonts w:ascii="Times New Roman" w:hAnsi="Times New Roman" w:eastAsia="Times New Roman" w:cs="Times New Roman"/>
          <w:sz w:val="24"/>
          <w:szCs w:val="24"/>
          <w:spacing w:val="-2"/>
        </w:rPr>
        <w:t>Q—</w:t>
      </w:r>
      <w:r>
        <w:rPr>
          <w:rFonts w:ascii="SimSun" w:hAnsi="SimSun" w:eastAsia="SimSun" w:cs="SimSun"/>
          <w:sz w:val="24"/>
          <w:szCs w:val="24"/>
          <w:spacing w:val="-2"/>
        </w:rPr>
        <w:t>总运输量</w:t>
      </w:r>
    </w:p>
    <w:p>
      <w:pPr>
        <w:ind w:left="490"/>
        <w:spacing w:before="164" w:line="212"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Times New Roman" w:hAnsi="Times New Roman" w:eastAsia="Times New Roman" w:cs="Times New Roman"/>
          <w:sz w:val="16"/>
          <w:szCs w:val="16"/>
          <w:spacing w:val="-1"/>
        </w:rPr>
        <w:t>P‘</w:t>
      </w:r>
      <w:r>
        <w:rPr>
          <w:rFonts w:ascii="Times New Roman" w:hAnsi="Times New Roman" w:eastAsia="Times New Roman" w:cs="Times New Roman"/>
          <w:sz w:val="24"/>
          <w:szCs w:val="24"/>
          <w:spacing w:val="-1"/>
        </w:rPr>
        <w:t>—</w:t>
      </w:r>
      <w:r>
        <w:rPr>
          <w:rFonts w:ascii="SimSun" w:hAnsi="SimSun" w:eastAsia="SimSun" w:cs="SimSun"/>
          <w:sz w:val="24"/>
          <w:szCs w:val="24"/>
          <w:spacing w:val="-1"/>
        </w:rPr>
        <w:t>总扬尘量。</w:t>
      </w:r>
    </w:p>
    <w:p>
      <w:pPr>
        <w:ind w:left="491"/>
        <w:spacing w:before="120" w:line="323" w:lineRule="exact"/>
        <w:rPr>
          <w:rFonts w:ascii="Times New Roman" w:hAnsi="Times New Roman" w:eastAsia="Times New Roman" w:cs="Times New Roman"/>
          <w:sz w:val="24"/>
          <w:szCs w:val="24"/>
        </w:rPr>
      </w:pPr>
      <w:r>
        <w:rPr>
          <w:rFonts w:ascii="SimSun" w:hAnsi="SimSun" w:eastAsia="SimSun" w:cs="SimSun"/>
          <w:sz w:val="24"/>
          <w:szCs w:val="24"/>
          <w:spacing w:val="-2"/>
          <w:position w:val="2"/>
        </w:rPr>
        <w:t>根据上述公式，计算可得</w:t>
      </w:r>
      <w:r>
        <w:rPr>
          <w:rFonts w:ascii="SimSun" w:hAnsi="SimSun" w:eastAsia="SimSun" w:cs="SimSun"/>
          <w:sz w:val="24"/>
          <w:szCs w:val="24"/>
          <w:spacing w:val="-52"/>
          <w:position w:val="2"/>
        </w:rPr>
        <w:t xml:space="preserve"> </w:t>
      </w:r>
      <w:r>
        <w:rPr>
          <w:rFonts w:ascii="Times New Roman" w:hAnsi="Times New Roman" w:eastAsia="Times New Roman" w:cs="Times New Roman"/>
          <w:sz w:val="24"/>
          <w:szCs w:val="24"/>
          <w:spacing w:val="-2"/>
          <w:position w:val="2"/>
        </w:rPr>
        <w:t>Q</w:t>
      </w:r>
      <w:r>
        <w:rPr>
          <w:rFonts w:ascii="Times New Roman" w:hAnsi="Times New Roman" w:eastAsia="Times New Roman" w:cs="Times New Roman"/>
          <w:sz w:val="16"/>
          <w:szCs w:val="16"/>
          <w:spacing w:val="-2"/>
          <w:position w:val="2"/>
        </w:rPr>
        <w:t>P</w:t>
      </w:r>
      <w:r>
        <w:rPr>
          <w:rFonts w:ascii="Times New Roman" w:hAnsi="Times New Roman" w:eastAsia="Times New Roman" w:cs="Times New Roman"/>
          <w:sz w:val="24"/>
          <w:szCs w:val="24"/>
          <w:spacing w:val="-2"/>
          <w:position w:val="2"/>
        </w:rPr>
        <w:t>=0.</w:t>
      </w:r>
      <w:r>
        <w:rPr>
          <w:rFonts w:ascii="Times New Roman" w:hAnsi="Times New Roman" w:eastAsia="Times New Roman" w:cs="Times New Roman"/>
          <w:sz w:val="24"/>
          <w:szCs w:val="24"/>
          <w:spacing w:val="-32"/>
          <w:position w:val="2"/>
        </w:rPr>
        <w:t xml:space="preserve"> </w:t>
      </w:r>
      <w:r>
        <w:rPr>
          <w:rFonts w:ascii="Times New Roman" w:hAnsi="Times New Roman" w:eastAsia="Times New Roman" w:cs="Times New Roman"/>
          <w:sz w:val="24"/>
          <w:szCs w:val="24"/>
          <w:spacing w:val="-2"/>
          <w:position w:val="2"/>
        </w:rPr>
        <w:t>12kg/km</w:t>
      </w:r>
      <w:r>
        <w:rPr>
          <w:rFonts w:ascii="Times New Roman" w:hAnsi="Times New Roman" w:eastAsia="Times New Roman" w:cs="Times New Roman"/>
          <w:sz w:val="24"/>
          <w:szCs w:val="24"/>
          <w:spacing w:val="-24"/>
          <w:position w:val="2"/>
        </w:rPr>
        <w:t xml:space="preserve"> </w:t>
      </w:r>
      <w:r>
        <w:rPr>
          <w:rFonts w:ascii="SimSun" w:hAnsi="SimSun" w:eastAsia="SimSun" w:cs="SimSun"/>
          <w:sz w:val="24"/>
          <w:szCs w:val="24"/>
          <w:spacing w:val="-2"/>
          <w:position w:val="2"/>
        </w:rPr>
        <w:t>。汽车运输总起尘量</w:t>
      </w:r>
      <w:r>
        <w:rPr>
          <w:rFonts w:ascii="SimSun" w:hAnsi="SimSun" w:eastAsia="SimSun" w:cs="SimSun"/>
          <w:sz w:val="24"/>
          <w:szCs w:val="24"/>
          <w:spacing w:val="-51"/>
          <w:position w:val="2"/>
        </w:rPr>
        <w:t xml:space="preserve"> </w:t>
      </w:r>
      <w:r>
        <w:rPr>
          <w:rFonts w:ascii="Times New Roman" w:hAnsi="Times New Roman" w:eastAsia="Times New Roman" w:cs="Times New Roman"/>
          <w:sz w:val="24"/>
          <w:szCs w:val="24"/>
          <w:spacing w:val="-2"/>
          <w:position w:val="2"/>
        </w:rPr>
        <w:t>Q</w:t>
      </w:r>
      <w:r>
        <w:rPr>
          <w:rFonts w:ascii="Times New Roman" w:hAnsi="Times New Roman" w:eastAsia="Times New Roman" w:cs="Times New Roman"/>
          <w:sz w:val="15"/>
          <w:szCs w:val="15"/>
          <w:spacing w:val="-2"/>
          <w:position w:val="1"/>
        </w:rPr>
        <w:t>P</w:t>
      </w:r>
      <w:r>
        <w:rPr>
          <w:rFonts w:ascii="Times New Roman" w:hAnsi="Times New Roman" w:eastAsia="Times New Roman" w:cs="Times New Roman"/>
          <w:sz w:val="16"/>
          <w:szCs w:val="16"/>
          <w:spacing w:val="-2"/>
          <w:position w:val="2"/>
        </w:rPr>
        <w:t>‘</w:t>
      </w:r>
      <w:r>
        <w:rPr>
          <w:rFonts w:ascii="Times New Roman" w:hAnsi="Times New Roman" w:eastAsia="Times New Roman" w:cs="Times New Roman"/>
          <w:sz w:val="24"/>
          <w:szCs w:val="24"/>
          <w:spacing w:val="-2"/>
          <w:position w:val="2"/>
        </w:rPr>
        <w:t>=635.4t</w:t>
      </w:r>
      <w:r>
        <w:rPr>
          <w:rFonts w:ascii="Times New Roman" w:hAnsi="Times New Roman" w:eastAsia="Times New Roman" w:cs="Times New Roman"/>
          <w:sz w:val="24"/>
          <w:szCs w:val="24"/>
          <w:spacing w:val="-3"/>
          <w:position w:val="2"/>
        </w:rPr>
        <w:t>/a</w:t>
      </w:r>
    </w:p>
    <w:p>
      <w:pPr>
        <w:ind w:left="12" w:right="11" w:firstLine="480"/>
        <w:spacing w:before="163" w:line="338" w:lineRule="auto"/>
        <w:rPr>
          <w:rFonts w:ascii="SimSun" w:hAnsi="SimSun" w:eastAsia="SimSun" w:cs="SimSun"/>
          <w:sz w:val="24"/>
          <w:szCs w:val="24"/>
        </w:rPr>
      </w:pPr>
      <w:r>
        <w:rPr>
          <w:rFonts w:ascii="SimSun" w:hAnsi="SimSun" w:eastAsia="SimSun" w:cs="SimSun"/>
          <w:sz w:val="24"/>
          <w:szCs w:val="24"/>
          <w:spacing w:val="-2"/>
        </w:rPr>
        <w:t>本次评价提出，对运输汽车加盖篷布，其次对出现损坏路面进行及时修整，减少路</w:t>
      </w:r>
      <w:r>
        <w:rPr>
          <w:rFonts w:ascii="SimSun" w:hAnsi="SimSun" w:eastAsia="SimSun" w:cs="SimSun"/>
          <w:sz w:val="24"/>
          <w:szCs w:val="24"/>
          <w:spacing w:val="-4"/>
        </w:rPr>
        <w:t>面积尘；配备雾炮车不少于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次</w:t>
      </w:r>
      <w:r>
        <w:rPr>
          <w:rFonts w:ascii="Times New Roman" w:hAnsi="Times New Roman" w:eastAsia="Times New Roman" w:cs="Times New Roman"/>
          <w:sz w:val="24"/>
          <w:szCs w:val="24"/>
          <w:spacing w:val="-4"/>
        </w:rPr>
        <w:t>/</w:t>
      </w:r>
      <w:r>
        <w:rPr>
          <w:rFonts w:ascii="SimSun" w:hAnsi="SimSun" w:eastAsia="SimSun" w:cs="SimSun"/>
          <w:sz w:val="24"/>
          <w:szCs w:val="24"/>
          <w:spacing w:val="-4"/>
        </w:rPr>
        <w:t>天洒水清扫，减少道路表面的扬尘量。在采取上述措施</w:t>
      </w:r>
      <w:r>
        <w:rPr>
          <w:rFonts w:ascii="SimSun" w:hAnsi="SimSun" w:eastAsia="SimSun" w:cs="SimSun"/>
          <w:sz w:val="24"/>
          <w:szCs w:val="24"/>
          <w:spacing w:val="-2"/>
        </w:rPr>
        <w:t>后，扬尘的有效去除效率约</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80%</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。在采取上述措施后，运输道路扬尘排放量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12</w:t>
      </w:r>
      <w:r>
        <w:rPr>
          <w:rFonts w:ascii="Times New Roman" w:hAnsi="Times New Roman" w:eastAsia="Times New Roman" w:cs="Times New Roman"/>
          <w:sz w:val="24"/>
          <w:szCs w:val="24"/>
          <w:spacing w:val="-3"/>
        </w:rPr>
        <w:t>7t/a</w:t>
      </w:r>
      <w:r>
        <w:rPr>
          <w:rFonts w:ascii="SimSun" w:hAnsi="SimSun" w:eastAsia="SimSun" w:cs="SimSun"/>
          <w:sz w:val="24"/>
          <w:szCs w:val="24"/>
          <w:spacing w:val="-3"/>
        </w:rPr>
        <w:t>。</w:t>
      </w:r>
    </w:p>
    <w:p>
      <w:pPr>
        <w:ind w:left="491"/>
        <w:spacing w:before="1" w:line="219" w:lineRule="auto"/>
        <w:rPr>
          <w:rFonts w:ascii="SimSun" w:hAnsi="SimSun" w:eastAsia="SimSun" w:cs="SimSun"/>
          <w:sz w:val="24"/>
          <w:szCs w:val="24"/>
        </w:rPr>
      </w:pPr>
      <w:r>
        <w:rPr>
          <w:rFonts w:ascii="SimSun" w:hAnsi="SimSun" w:eastAsia="SimSun" w:cs="SimSun"/>
          <w:sz w:val="24"/>
          <w:szCs w:val="24"/>
          <w:spacing w:val="-1"/>
        </w:rPr>
        <w:t>环境空气污染源、污染防治措施与污染物产、排情况见表</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3-6-4</w:t>
      </w:r>
      <w:r>
        <w:rPr>
          <w:rFonts w:ascii="SimSun" w:hAnsi="SimSun" w:eastAsia="SimSun" w:cs="SimSun"/>
          <w:sz w:val="24"/>
          <w:szCs w:val="24"/>
          <w:spacing w:val="-1"/>
        </w:rPr>
        <w:t>。</w:t>
      </w:r>
    </w:p>
    <w:p>
      <w:pPr>
        <w:spacing w:line="219" w:lineRule="auto"/>
        <w:sectPr>
          <w:headerReference w:type="default" r:id="rId229"/>
          <w:footerReference w:type="default" r:id="rId230"/>
          <w:pgSz w:w="11906" w:h="16838"/>
          <w:pgMar w:top="1170" w:right="1405" w:bottom="1080" w:left="1413" w:header="837" w:footer="918" w:gutter="0"/>
        </w:sectPr>
        <w:rPr>
          <w:rFonts w:ascii="SimSun" w:hAnsi="SimSun" w:eastAsia="SimSun" w:cs="SimSun"/>
          <w:sz w:val="24"/>
          <w:szCs w:val="24"/>
        </w:rPr>
      </w:pPr>
    </w:p>
    <w:p>
      <w:pPr>
        <w:ind w:left="3416"/>
        <w:spacing w:before="280" w:line="219" w:lineRule="auto"/>
        <w:rPr>
          <w:rFonts w:ascii="SimSun" w:hAnsi="SimSun" w:eastAsia="SimSun" w:cs="SimSun"/>
          <w:sz w:val="24"/>
          <w:szCs w:val="24"/>
        </w:rPr>
      </w:pPr>
      <w:r>
        <w:rPr>
          <w:rFonts w:ascii="SimSun" w:hAnsi="SimSun" w:eastAsia="SimSun" w:cs="SimSun"/>
          <w:sz w:val="24"/>
          <w:szCs w:val="24"/>
          <w:b/>
          <w:bCs/>
          <w:spacing w:val="-2"/>
        </w:rPr>
        <w:t>改建后本项目环境空气污染源、污染防治措施</w:t>
      </w:r>
      <w:r>
        <w:rPr>
          <w:rFonts w:ascii="SimSun" w:hAnsi="SimSun" w:eastAsia="SimSun" w:cs="SimSun"/>
          <w:sz w:val="24"/>
          <w:szCs w:val="24"/>
          <w:b/>
          <w:bCs/>
          <w:spacing w:val="-3"/>
        </w:rPr>
        <w:t>与污染物产、排情况一览表</w:t>
      </w:r>
    </w:p>
    <w:p>
      <w:pPr>
        <w:ind w:left="118"/>
        <w:spacing w:before="296" w:line="221" w:lineRule="auto"/>
        <w:rPr>
          <w:rFonts w:ascii="Times New Roman" w:hAnsi="Times New Roman" w:eastAsia="Times New Roman" w:cs="Times New Roman"/>
          <w:sz w:val="24"/>
          <w:szCs w:val="24"/>
        </w:rPr>
      </w:pPr>
      <w:r>
        <w:rPr>
          <w:rFonts w:ascii="SimSun" w:hAnsi="SimSun" w:eastAsia="SimSun" w:cs="SimSun"/>
          <w:sz w:val="24"/>
          <w:szCs w:val="24"/>
          <w:spacing w:val="-3"/>
        </w:rPr>
        <w:t>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3-6-4</w:t>
      </w:r>
    </w:p>
    <w:p>
      <w:pPr>
        <w:spacing w:line="82" w:lineRule="auto"/>
        <w:rPr>
          <w:rFonts w:ascii="Arial"/>
          <w:sz w:val="2"/>
        </w:rPr>
      </w:pPr>
      <w:r>
        <w:rPr>
          <w:rFonts w:ascii="Arial"/>
          <w:sz w:val="2"/>
        </w:r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2"/>
        <w:gridCol w:w="2354"/>
        <w:gridCol w:w="1420"/>
        <w:gridCol w:w="2747"/>
        <w:gridCol w:w="1811"/>
        <w:gridCol w:w="1814"/>
        <w:gridCol w:w="1811"/>
        <w:gridCol w:w="1818"/>
      </w:tblGrid>
      <w:tr>
        <w:trPr>
          <w:trHeight w:val="314" w:hRule="atLeast"/>
        </w:trPr>
        <w:tc>
          <w:tcPr>
            <w:tcW w:w="732" w:type="dxa"/>
            <w:vAlign w:val="top"/>
            <w:vMerge w:val="restart"/>
            <w:tcBorders>
              <w:bottom w:val="nil"/>
            </w:tcBorders>
          </w:tcPr>
          <w:p>
            <w:pPr>
              <w:ind w:left="160"/>
              <w:spacing w:before="206" w:line="229" w:lineRule="auto"/>
              <w:rPr>
                <w:rFonts w:ascii="SimSun" w:hAnsi="SimSun" w:eastAsia="SimSun" w:cs="SimSun"/>
                <w:sz w:val="20"/>
                <w:szCs w:val="20"/>
              </w:rPr>
            </w:pPr>
            <w:r>
              <w:rPr>
                <w:rFonts w:ascii="SimSun" w:hAnsi="SimSun" w:eastAsia="SimSun" w:cs="SimSun"/>
                <w:sz w:val="20"/>
                <w:szCs w:val="20"/>
                <w:spacing w:val="5"/>
              </w:rPr>
              <w:t>序号</w:t>
            </w:r>
          </w:p>
        </w:tc>
        <w:tc>
          <w:tcPr>
            <w:tcW w:w="3774" w:type="dxa"/>
            <w:vAlign w:val="top"/>
            <w:gridSpan w:val="2"/>
          </w:tcPr>
          <w:p>
            <w:pPr>
              <w:ind w:left="1365"/>
              <w:spacing w:before="50" w:line="228" w:lineRule="auto"/>
              <w:rPr>
                <w:rFonts w:ascii="SimSun" w:hAnsi="SimSun" w:eastAsia="SimSun" w:cs="SimSun"/>
                <w:sz w:val="20"/>
                <w:szCs w:val="20"/>
              </w:rPr>
            </w:pPr>
            <w:r>
              <w:rPr>
                <w:rFonts w:ascii="SimSun" w:hAnsi="SimSun" w:eastAsia="SimSun" w:cs="SimSun"/>
                <w:sz w:val="20"/>
                <w:szCs w:val="20"/>
                <w:spacing w:val="7"/>
              </w:rPr>
              <w:t>污染源种类</w:t>
            </w:r>
          </w:p>
        </w:tc>
        <w:tc>
          <w:tcPr>
            <w:tcW w:w="2747" w:type="dxa"/>
            <w:vAlign w:val="top"/>
            <w:vMerge w:val="restart"/>
            <w:tcBorders>
              <w:bottom w:val="nil"/>
            </w:tcBorders>
          </w:tcPr>
          <w:p>
            <w:pPr>
              <w:ind w:left="853"/>
              <w:spacing w:before="206" w:line="228" w:lineRule="auto"/>
              <w:rPr>
                <w:rFonts w:ascii="SimSun" w:hAnsi="SimSun" w:eastAsia="SimSun" w:cs="SimSun"/>
                <w:sz w:val="20"/>
                <w:szCs w:val="20"/>
              </w:rPr>
            </w:pPr>
            <w:r>
              <w:rPr>
                <w:rFonts w:ascii="SimSun" w:hAnsi="SimSun" w:eastAsia="SimSun" w:cs="SimSun"/>
                <w:sz w:val="20"/>
                <w:szCs w:val="20"/>
                <w:spacing w:val="7"/>
              </w:rPr>
              <w:t>污染源特征</w:t>
            </w:r>
          </w:p>
        </w:tc>
        <w:tc>
          <w:tcPr>
            <w:tcW w:w="1811" w:type="dxa"/>
            <w:vAlign w:val="top"/>
            <w:vMerge w:val="restart"/>
            <w:tcBorders>
              <w:bottom w:val="nil"/>
            </w:tcBorders>
          </w:tcPr>
          <w:p>
            <w:pPr>
              <w:ind w:left="283"/>
              <w:spacing w:before="206" w:line="228" w:lineRule="auto"/>
              <w:rPr>
                <w:rFonts w:ascii="SimSun" w:hAnsi="SimSun" w:eastAsia="SimSun" w:cs="SimSun"/>
                <w:sz w:val="20"/>
                <w:szCs w:val="20"/>
              </w:rPr>
            </w:pPr>
            <w:r>
              <w:rPr>
                <w:rFonts w:ascii="SimSun" w:hAnsi="SimSun" w:eastAsia="SimSun" w:cs="SimSun"/>
                <w:sz w:val="20"/>
                <w:szCs w:val="20"/>
                <w:spacing w:val="7"/>
              </w:rPr>
              <w:t>原始产生情况</w:t>
            </w:r>
          </w:p>
        </w:tc>
        <w:tc>
          <w:tcPr>
            <w:tcW w:w="1814" w:type="dxa"/>
            <w:vAlign w:val="top"/>
            <w:vMerge w:val="restart"/>
            <w:tcBorders>
              <w:bottom w:val="nil"/>
            </w:tcBorders>
          </w:tcPr>
          <w:p>
            <w:pPr>
              <w:ind w:left="284"/>
              <w:spacing w:before="207" w:line="228" w:lineRule="auto"/>
              <w:rPr>
                <w:rFonts w:ascii="SimSun" w:hAnsi="SimSun" w:eastAsia="SimSun" w:cs="SimSun"/>
                <w:sz w:val="20"/>
                <w:szCs w:val="20"/>
              </w:rPr>
            </w:pPr>
            <w:r>
              <w:rPr>
                <w:rFonts w:ascii="SimSun" w:hAnsi="SimSun" w:eastAsia="SimSun" w:cs="SimSun"/>
                <w:sz w:val="20"/>
                <w:szCs w:val="20"/>
                <w:spacing w:val="7"/>
              </w:rPr>
              <w:t>污染防治措施</w:t>
            </w:r>
          </w:p>
        </w:tc>
        <w:tc>
          <w:tcPr>
            <w:tcW w:w="1811" w:type="dxa"/>
            <w:vAlign w:val="top"/>
            <w:vMerge w:val="restart"/>
            <w:tcBorders>
              <w:bottom w:val="nil"/>
            </w:tcBorders>
          </w:tcPr>
          <w:p>
            <w:pPr>
              <w:ind w:left="178"/>
              <w:spacing w:before="207" w:line="228" w:lineRule="auto"/>
              <w:rPr>
                <w:rFonts w:ascii="SimSun" w:hAnsi="SimSun" w:eastAsia="SimSun" w:cs="SimSun"/>
                <w:sz w:val="20"/>
                <w:szCs w:val="20"/>
              </w:rPr>
            </w:pPr>
            <w:r>
              <w:rPr>
                <w:rFonts w:ascii="SimSun" w:hAnsi="SimSun" w:eastAsia="SimSun" w:cs="SimSun"/>
                <w:sz w:val="20"/>
                <w:szCs w:val="20"/>
                <w:spacing w:val="8"/>
              </w:rPr>
              <w:t>处理后排放情况</w:t>
            </w:r>
          </w:p>
        </w:tc>
        <w:tc>
          <w:tcPr>
            <w:tcW w:w="1818" w:type="dxa"/>
            <w:vAlign w:val="top"/>
            <w:vMerge w:val="restart"/>
            <w:tcBorders>
              <w:bottom w:val="nil"/>
            </w:tcBorders>
          </w:tcPr>
          <w:p>
            <w:pPr>
              <w:ind w:left="492"/>
              <w:spacing w:before="206" w:line="229" w:lineRule="auto"/>
              <w:rPr>
                <w:rFonts w:ascii="SimSun" w:hAnsi="SimSun" w:eastAsia="SimSun" w:cs="SimSun"/>
                <w:sz w:val="20"/>
                <w:szCs w:val="20"/>
              </w:rPr>
            </w:pPr>
            <w:r>
              <w:rPr>
                <w:rFonts w:ascii="SimSun" w:hAnsi="SimSun" w:eastAsia="SimSun" w:cs="SimSun"/>
                <w:sz w:val="20"/>
                <w:szCs w:val="20"/>
                <w:spacing w:val="7"/>
              </w:rPr>
              <w:t>排放方式</w:t>
            </w:r>
          </w:p>
        </w:tc>
      </w:tr>
      <w:tr>
        <w:trPr>
          <w:trHeight w:val="311" w:hRule="atLeast"/>
        </w:trPr>
        <w:tc>
          <w:tcPr>
            <w:tcW w:w="732" w:type="dxa"/>
            <w:vAlign w:val="top"/>
            <w:vMerge w:val="continue"/>
            <w:tcBorders>
              <w:top w:val="nil"/>
            </w:tcBorders>
          </w:tcPr>
          <w:p>
            <w:pPr>
              <w:rPr>
                <w:rFonts w:ascii="Arial"/>
                <w:sz w:val="21"/>
              </w:rPr>
            </w:pPr>
            <w:r/>
          </w:p>
        </w:tc>
        <w:tc>
          <w:tcPr>
            <w:tcW w:w="2354" w:type="dxa"/>
            <w:vAlign w:val="top"/>
          </w:tcPr>
          <w:p>
            <w:pPr>
              <w:ind w:left="866"/>
              <w:spacing w:before="46" w:line="228" w:lineRule="auto"/>
              <w:rPr>
                <w:rFonts w:ascii="SimSun" w:hAnsi="SimSun" w:eastAsia="SimSun" w:cs="SimSun"/>
                <w:sz w:val="20"/>
                <w:szCs w:val="20"/>
              </w:rPr>
            </w:pPr>
            <w:r>
              <w:rPr>
                <w:rFonts w:ascii="SimSun" w:hAnsi="SimSun" w:eastAsia="SimSun" w:cs="SimSun"/>
                <w:sz w:val="20"/>
                <w:szCs w:val="20"/>
                <w:spacing w:val="6"/>
              </w:rPr>
              <w:t>污染源</w:t>
            </w:r>
          </w:p>
        </w:tc>
        <w:tc>
          <w:tcPr>
            <w:tcW w:w="1420" w:type="dxa"/>
            <w:vAlign w:val="top"/>
          </w:tcPr>
          <w:p>
            <w:pPr>
              <w:ind w:left="398"/>
              <w:spacing w:before="46" w:line="228" w:lineRule="auto"/>
              <w:rPr>
                <w:rFonts w:ascii="SimSun" w:hAnsi="SimSun" w:eastAsia="SimSun" w:cs="SimSun"/>
                <w:sz w:val="20"/>
                <w:szCs w:val="20"/>
              </w:rPr>
            </w:pPr>
            <w:r>
              <w:rPr>
                <w:rFonts w:ascii="SimSun" w:hAnsi="SimSun" w:eastAsia="SimSun" w:cs="SimSun"/>
                <w:sz w:val="20"/>
                <w:szCs w:val="20"/>
                <w:spacing w:val="6"/>
              </w:rPr>
              <w:t>污染物</w:t>
            </w:r>
          </w:p>
        </w:tc>
        <w:tc>
          <w:tcPr>
            <w:tcW w:w="2747" w:type="dxa"/>
            <w:vAlign w:val="top"/>
            <w:vMerge w:val="continue"/>
            <w:tcBorders>
              <w:top w:val="nil"/>
            </w:tcBorders>
          </w:tcPr>
          <w:p>
            <w:pPr>
              <w:rPr>
                <w:rFonts w:ascii="Arial"/>
                <w:sz w:val="21"/>
              </w:rPr>
            </w:pPr>
            <w:r/>
          </w:p>
        </w:tc>
        <w:tc>
          <w:tcPr>
            <w:tcW w:w="1811" w:type="dxa"/>
            <w:vAlign w:val="top"/>
            <w:vMerge w:val="continue"/>
            <w:tcBorders>
              <w:top w:val="nil"/>
            </w:tcBorders>
          </w:tcPr>
          <w:p>
            <w:pPr>
              <w:rPr>
                <w:rFonts w:ascii="Arial"/>
                <w:sz w:val="21"/>
              </w:rPr>
            </w:pPr>
            <w:r/>
          </w:p>
        </w:tc>
        <w:tc>
          <w:tcPr>
            <w:tcW w:w="1814" w:type="dxa"/>
            <w:vAlign w:val="top"/>
            <w:vMerge w:val="continue"/>
            <w:tcBorders>
              <w:top w:val="nil"/>
            </w:tcBorders>
          </w:tcPr>
          <w:p>
            <w:pPr>
              <w:rPr>
                <w:rFonts w:ascii="Arial"/>
                <w:sz w:val="21"/>
              </w:rPr>
            </w:pPr>
            <w:r/>
          </w:p>
        </w:tc>
        <w:tc>
          <w:tcPr>
            <w:tcW w:w="1811" w:type="dxa"/>
            <w:vAlign w:val="top"/>
            <w:vMerge w:val="continue"/>
            <w:tcBorders>
              <w:top w:val="nil"/>
            </w:tcBorders>
          </w:tcPr>
          <w:p>
            <w:pPr>
              <w:rPr>
                <w:rFonts w:ascii="Arial"/>
                <w:sz w:val="21"/>
              </w:rPr>
            </w:pPr>
            <w:r/>
          </w:p>
        </w:tc>
        <w:tc>
          <w:tcPr>
            <w:tcW w:w="1818" w:type="dxa"/>
            <w:vAlign w:val="top"/>
            <w:vMerge w:val="continue"/>
            <w:tcBorders>
              <w:top w:val="nil"/>
            </w:tcBorders>
          </w:tcPr>
          <w:p>
            <w:pPr>
              <w:rPr>
                <w:rFonts w:ascii="Arial"/>
                <w:sz w:val="21"/>
              </w:rPr>
            </w:pPr>
            <w:r/>
          </w:p>
        </w:tc>
      </w:tr>
      <w:tr>
        <w:trPr>
          <w:trHeight w:val="1093" w:hRule="atLeast"/>
        </w:trPr>
        <w:tc>
          <w:tcPr>
            <w:tcW w:w="732" w:type="dxa"/>
            <w:vAlign w:val="top"/>
          </w:tcPr>
          <w:p>
            <w:pPr>
              <w:spacing w:line="413" w:lineRule="auto"/>
              <w:rPr>
                <w:rFonts w:ascii="Arial"/>
                <w:sz w:val="21"/>
              </w:rPr>
            </w:pPr>
            <w:r/>
          </w:p>
          <w:p>
            <w:pPr>
              <w:pStyle w:val="TableText"/>
              <w:ind w:left="333"/>
              <w:spacing w:before="58" w:line="195" w:lineRule="auto"/>
              <w:rPr/>
            </w:pPr>
            <w:r>
              <w:rPr/>
              <w:t>1</w:t>
            </w:r>
          </w:p>
        </w:tc>
        <w:tc>
          <w:tcPr>
            <w:tcW w:w="2354" w:type="dxa"/>
            <w:vAlign w:val="top"/>
          </w:tcPr>
          <w:p>
            <w:pPr>
              <w:ind w:left="130"/>
              <w:spacing w:before="303" w:line="228" w:lineRule="auto"/>
              <w:rPr>
                <w:rFonts w:ascii="SimSun" w:hAnsi="SimSun" w:eastAsia="SimSun" w:cs="SimSun"/>
                <w:sz w:val="20"/>
                <w:szCs w:val="20"/>
              </w:rPr>
            </w:pPr>
            <w:r>
              <w:rPr>
                <w:rFonts w:ascii="SimSun" w:hAnsi="SimSun" w:eastAsia="SimSun" w:cs="SimSun"/>
                <w:sz w:val="20"/>
                <w:szCs w:val="20"/>
                <w:spacing w:val="8"/>
              </w:rPr>
              <w:t>手选车间、风选车间、</w:t>
            </w:r>
          </w:p>
          <w:p>
            <w:pPr>
              <w:ind w:left="863"/>
              <w:spacing w:before="24" w:line="228" w:lineRule="auto"/>
              <w:rPr>
                <w:rFonts w:ascii="SimSun" w:hAnsi="SimSun" w:eastAsia="SimSun" w:cs="SimSun"/>
                <w:sz w:val="20"/>
                <w:szCs w:val="20"/>
              </w:rPr>
            </w:pPr>
            <w:r>
              <w:rPr>
                <w:rFonts w:ascii="SimSun" w:hAnsi="SimSun" w:eastAsia="SimSun" w:cs="SimSun"/>
                <w:sz w:val="20"/>
                <w:szCs w:val="20"/>
                <w:spacing w:val="7"/>
              </w:rPr>
              <w:t>破碎楼</w:t>
            </w:r>
          </w:p>
        </w:tc>
        <w:tc>
          <w:tcPr>
            <w:tcW w:w="1420" w:type="dxa"/>
            <w:vAlign w:val="top"/>
          </w:tcPr>
          <w:p>
            <w:pPr>
              <w:spacing w:line="416" w:lineRule="auto"/>
              <w:rPr>
                <w:rFonts w:ascii="Arial"/>
                <w:sz w:val="21"/>
              </w:rPr>
            </w:pPr>
            <w:r/>
          </w:p>
          <w:p>
            <w:pPr>
              <w:pStyle w:val="TableText"/>
              <w:ind w:left="488"/>
              <w:spacing w:before="58" w:line="199" w:lineRule="auto"/>
              <w:rPr>
                <w:sz w:val="13"/>
                <w:szCs w:val="13"/>
              </w:rPr>
            </w:pPr>
            <w:r>
              <w:rPr/>
              <w:t>PM</w:t>
            </w:r>
            <w:r>
              <w:rPr>
                <w:sz w:val="13"/>
                <w:szCs w:val="13"/>
                <w:spacing w:val="8"/>
                <w:position w:val="-1"/>
              </w:rPr>
              <w:t>10</w:t>
            </w:r>
          </w:p>
        </w:tc>
        <w:tc>
          <w:tcPr>
            <w:tcW w:w="2747" w:type="dxa"/>
            <w:vAlign w:val="top"/>
          </w:tcPr>
          <w:p>
            <w:pPr>
              <w:ind w:left="222" w:right="115" w:hanging="100"/>
              <w:spacing w:before="303" w:line="252" w:lineRule="auto"/>
              <w:rPr>
                <w:rFonts w:ascii="SimSun" w:hAnsi="SimSun" w:eastAsia="SimSun" w:cs="SimSun"/>
                <w:sz w:val="20"/>
                <w:szCs w:val="20"/>
              </w:rPr>
            </w:pPr>
            <w:r>
              <w:rPr>
                <w:rFonts w:ascii="SimSun" w:hAnsi="SimSun" w:eastAsia="SimSun" w:cs="SimSun"/>
                <w:sz w:val="20"/>
                <w:szCs w:val="20"/>
                <w:spacing w:val="8"/>
              </w:rPr>
              <w:t>原煤手选、风选、破碎等生</w:t>
            </w:r>
            <w:r>
              <w:rPr>
                <w:rFonts w:ascii="SimSun" w:hAnsi="SimSun" w:eastAsia="SimSun" w:cs="SimSun"/>
                <w:sz w:val="20"/>
                <w:szCs w:val="20"/>
                <w:spacing w:val="9"/>
              </w:rPr>
              <w:t>产工艺将产生一定量煤尘</w:t>
            </w:r>
          </w:p>
        </w:tc>
        <w:tc>
          <w:tcPr>
            <w:tcW w:w="1811" w:type="dxa"/>
            <w:vAlign w:val="top"/>
          </w:tcPr>
          <w:p>
            <w:pPr>
              <w:spacing w:line="371" w:lineRule="auto"/>
              <w:rPr>
                <w:rFonts w:ascii="Arial"/>
                <w:sz w:val="21"/>
              </w:rPr>
            </w:pPr>
            <w:r/>
          </w:p>
          <w:p>
            <w:pPr>
              <w:ind w:left="599"/>
              <w:spacing w:before="65" w:line="228" w:lineRule="auto"/>
              <w:rPr>
                <w:rFonts w:ascii="SimSun" w:hAnsi="SimSun" w:eastAsia="SimSun" w:cs="SimSun"/>
                <w:sz w:val="20"/>
                <w:szCs w:val="20"/>
              </w:rPr>
            </w:pPr>
            <w:r>
              <w:rPr>
                <w:rFonts w:ascii="SimSun" w:hAnsi="SimSun" w:eastAsia="SimSun" w:cs="SimSun"/>
                <w:sz w:val="20"/>
                <w:szCs w:val="20"/>
                <w:spacing w:val="5"/>
              </w:rPr>
              <w:t>不定量</w:t>
            </w:r>
          </w:p>
        </w:tc>
        <w:tc>
          <w:tcPr>
            <w:tcW w:w="1814" w:type="dxa"/>
            <w:vAlign w:val="top"/>
          </w:tcPr>
          <w:p>
            <w:pPr>
              <w:ind w:left="175"/>
              <w:spacing w:before="29" w:line="228" w:lineRule="auto"/>
              <w:rPr>
                <w:rFonts w:ascii="SimSun" w:hAnsi="SimSun" w:eastAsia="SimSun" w:cs="SimSun"/>
                <w:sz w:val="20"/>
                <w:szCs w:val="20"/>
              </w:rPr>
            </w:pPr>
            <w:r>
              <w:rPr>
                <w:rFonts w:ascii="SimSun" w:hAnsi="SimSun" w:eastAsia="SimSun" w:cs="SimSun"/>
                <w:sz w:val="20"/>
                <w:szCs w:val="20"/>
                <w:spacing w:val="8"/>
              </w:rPr>
              <w:t>破碎楼、风选车</w:t>
            </w:r>
          </w:p>
          <w:p>
            <w:pPr>
              <w:ind w:left="130"/>
              <w:spacing w:before="26" w:line="228" w:lineRule="auto"/>
              <w:rPr>
                <w:rFonts w:ascii="SimSun" w:hAnsi="SimSun" w:eastAsia="SimSun" w:cs="SimSun"/>
                <w:sz w:val="20"/>
                <w:szCs w:val="20"/>
              </w:rPr>
            </w:pPr>
            <w:r>
              <w:rPr>
                <w:rFonts w:ascii="SimSun" w:hAnsi="SimSun" w:eastAsia="SimSun" w:cs="SimSun"/>
                <w:sz w:val="20"/>
                <w:szCs w:val="20"/>
                <w:spacing w:val="-4"/>
              </w:rPr>
              <w:t>间、手选车间、原</w:t>
            </w:r>
          </w:p>
          <w:p>
            <w:pPr>
              <w:pStyle w:val="TableText"/>
              <w:ind w:left="151"/>
              <w:spacing w:before="24" w:line="228" w:lineRule="auto"/>
              <w:rPr/>
            </w:pPr>
            <w:r>
              <w:rPr>
                <w:rFonts w:ascii="SimSun" w:hAnsi="SimSun" w:eastAsia="SimSun" w:cs="SimSun"/>
                <w:spacing w:val="6"/>
              </w:rPr>
              <w:t>煤仓等共设置</w:t>
            </w:r>
            <w:r>
              <w:rPr>
                <w:rFonts w:ascii="SimSun" w:hAnsi="SimSun" w:eastAsia="SimSun" w:cs="SimSun"/>
                <w:spacing w:val="-35"/>
              </w:rPr>
              <w:t xml:space="preserve"> </w:t>
            </w:r>
            <w:r>
              <w:rPr>
                <w:spacing w:val="6"/>
              </w:rPr>
              <w:t>56</w:t>
            </w:r>
          </w:p>
          <w:p>
            <w:pPr>
              <w:ind w:left="283"/>
              <w:spacing w:before="27" w:line="216" w:lineRule="auto"/>
              <w:rPr>
                <w:rFonts w:ascii="SimSun" w:hAnsi="SimSun" w:eastAsia="SimSun" w:cs="SimSun"/>
                <w:sz w:val="20"/>
                <w:szCs w:val="20"/>
              </w:rPr>
            </w:pPr>
            <w:r>
              <w:rPr>
                <w:rFonts w:ascii="SimSun" w:hAnsi="SimSun" w:eastAsia="SimSun" w:cs="SimSun"/>
                <w:sz w:val="20"/>
                <w:szCs w:val="20"/>
                <w:spacing w:val="8"/>
              </w:rPr>
              <w:t>套布袋除尘器</w:t>
            </w:r>
          </w:p>
        </w:tc>
        <w:tc>
          <w:tcPr>
            <w:tcW w:w="1811" w:type="dxa"/>
            <w:vAlign w:val="top"/>
          </w:tcPr>
          <w:p>
            <w:pPr>
              <w:spacing w:line="371" w:lineRule="auto"/>
              <w:rPr>
                <w:rFonts w:ascii="Arial"/>
                <w:sz w:val="21"/>
              </w:rPr>
            </w:pPr>
            <w:r/>
          </w:p>
          <w:p>
            <w:pPr>
              <w:ind w:left="598"/>
              <w:spacing w:before="65" w:line="228" w:lineRule="auto"/>
              <w:rPr>
                <w:rFonts w:ascii="SimSun" w:hAnsi="SimSun" w:eastAsia="SimSun" w:cs="SimSun"/>
                <w:sz w:val="20"/>
                <w:szCs w:val="20"/>
              </w:rPr>
            </w:pPr>
            <w:r>
              <w:rPr>
                <w:rFonts w:ascii="SimSun" w:hAnsi="SimSun" w:eastAsia="SimSun" w:cs="SimSun"/>
                <w:sz w:val="20"/>
                <w:szCs w:val="20"/>
                <w:spacing w:val="5"/>
              </w:rPr>
              <w:t>不定量</w:t>
            </w:r>
          </w:p>
        </w:tc>
        <w:tc>
          <w:tcPr>
            <w:tcW w:w="1818" w:type="dxa"/>
            <w:vAlign w:val="top"/>
          </w:tcPr>
          <w:p>
            <w:pPr>
              <w:spacing w:line="371" w:lineRule="auto"/>
              <w:rPr>
                <w:rFonts w:ascii="Arial"/>
                <w:sz w:val="21"/>
              </w:rPr>
            </w:pPr>
            <w:r/>
          </w:p>
          <w:p>
            <w:pPr>
              <w:ind w:left="599"/>
              <w:spacing w:before="65" w:line="228" w:lineRule="auto"/>
              <w:rPr>
                <w:rFonts w:ascii="SimSun" w:hAnsi="SimSun" w:eastAsia="SimSun" w:cs="SimSun"/>
                <w:sz w:val="20"/>
                <w:szCs w:val="20"/>
              </w:rPr>
            </w:pPr>
            <w:r>
              <w:rPr>
                <w:rFonts w:ascii="SimSun" w:hAnsi="SimSun" w:eastAsia="SimSun" w:cs="SimSun"/>
                <w:sz w:val="20"/>
                <w:szCs w:val="20"/>
                <w:spacing w:val="6"/>
              </w:rPr>
              <w:t>无组织</w:t>
            </w:r>
          </w:p>
        </w:tc>
      </w:tr>
      <w:tr>
        <w:trPr>
          <w:trHeight w:val="549" w:hRule="atLeast"/>
        </w:trPr>
        <w:tc>
          <w:tcPr>
            <w:tcW w:w="732" w:type="dxa"/>
            <w:vAlign w:val="top"/>
          </w:tcPr>
          <w:p>
            <w:pPr>
              <w:pStyle w:val="TableText"/>
              <w:ind w:left="313"/>
              <w:spacing w:before="204" w:line="195" w:lineRule="auto"/>
              <w:rPr/>
            </w:pPr>
            <w:r>
              <w:rPr/>
              <w:t>2</w:t>
            </w:r>
          </w:p>
        </w:tc>
        <w:tc>
          <w:tcPr>
            <w:tcW w:w="2354" w:type="dxa"/>
            <w:vAlign w:val="top"/>
          </w:tcPr>
          <w:p>
            <w:pPr>
              <w:ind w:left="865"/>
              <w:spacing w:before="168" w:line="228" w:lineRule="auto"/>
              <w:rPr>
                <w:rFonts w:ascii="SimSun" w:hAnsi="SimSun" w:eastAsia="SimSun" w:cs="SimSun"/>
                <w:sz w:val="20"/>
                <w:szCs w:val="20"/>
              </w:rPr>
            </w:pPr>
            <w:r>
              <w:rPr>
                <w:rFonts w:ascii="SimSun" w:hAnsi="SimSun" w:eastAsia="SimSun" w:cs="SimSun"/>
                <w:sz w:val="20"/>
                <w:szCs w:val="20"/>
                <w:spacing w:val="6"/>
              </w:rPr>
              <w:t>转载点</w:t>
            </w:r>
          </w:p>
        </w:tc>
        <w:tc>
          <w:tcPr>
            <w:tcW w:w="1420" w:type="dxa"/>
            <w:vAlign w:val="top"/>
          </w:tcPr>
          <w:p>
            <w:pPr>
              <w:pStyle w:val="TableText"/>
              <w:ind w:left="529"/>
              <w:spacing w:before="203" w:line="195" w:lineRule="auto"/>
              <w:rPr/>
            </w:pPr>
            <w:r>
              <w:rPr>
                <w:spacing w:val="3"/>
              </w:rPr>
              <w:t>TSP</w:t>
            </w:r>
          </w:p>
        </w:tc>
        <w:tc>
          <w:tcPr>
            <w:tcW w:w="2747" w:type="dxa"/>
            <w:vAlign w:val="top"/>
          </w:tcPr>
          <w:p>
            <w:pPr>
              <w:ind w:left="122"/>
              <w:spacing w:before="33" w:line="228" w:lineRule="auto"/>
              <w:rPr>
                <w:rFonts w:ascii="SimSun" w:hAnsi="SimSun" w:eastAsia="SimSun" w:cs="SimSun"/>
                <w:sz w:val="20"/>
                <w:szCs w:val="20"/>
              </w:rPr>
            </w:pPr>
            <w:r>
              <w:rPr>
                <w:rFonts w:ascii="SimSun" w:hAnsi="SimSun" w:eastAsia="SimSun" w:cs="SimSun"/>
                <w:sz w:val="20"/>
                <w:szCs w:val="20"/>
                <w:spacing w:val="8"/>
              </w:rPr>
              <w:t>原煤转载过程中将产生一定</w:t>
            </w:r>
          </w:p>
          <w:p>
            <w:pPr>
              <w:ind w:left="1062"/>
              <w:spacing w:before="24" w:line="216" w:lineRule="auto"/>
              <w:rPr>
                <w:rFonts w:ascii="SimSun" w:hAnsi="SimSun" w:eastAsia="SimSun" w:cs="SimSun"/>
                <w:sz w:val="20"/>
                <w:szCs w:val="20"/>
              </w:rPr>
            </w:pPr>
            <w:r>
              <w:rPr>
                <w:rFonts w:ascii="SimSun" w:hAnsi="SimSun" w:eastAsia="SimSun" w:cs="SimSun"/>
                <w:sz w:val="20"/>
                <w:szCs w:val="20"/>
                <w:spacing w:val="6"/>
              </w:rPr>
              <w:t>量煤尘</w:t>
            </w:r>
          </w:p>
        </w:tc>
        <w:tc>
          <w:tcPr>
            <w:tcW w:w="1811" w:type="dxa"/>
            <w:vAlign w:val="top"/>
          </w:tcPr>
          <w:p>
            <w:pPr>
              <w:ind w:left="599"/>
              <w:spacing w:before="168" w:line="228" w:lineRule="auto"/>
              <w:rPr>
                <w:rFonts w:ascii="SimSun" w:hAnsi="SimSun" w:eastAsia="SimSun" w:cs="SimSun"/>
                <w:sz w:val="20"/>
                <w:szCs w:val="20"/>
              </w:rPr>
            </w:pPr>
            <w:r>
              <w:rPr>
                <w:rFonts w:ascii="SimSun" w:hAnsi="SimSun" w:eastAsia="SimSun" w:cs="SimSun"/>
                <w:sz w:val="20"/>
                <w:szCs w:val="20"/>
                <w:spacing w:val="5"/>
              </w:rPr>
              <w:t>不定量</w:t>
            </w:r>
          </w:p>
        </w:tc>
        <w:tc>
          <w:tcPr>
            <w:tcW w:w="1814" w:type="dxa"/>
            <w:vAlign w:val="top"/>
          </w:tcPr>
          <w:p>
            <w:pPr>
              <w:ind w:left="803" w:right="171" w:hanging="623"/>
              <w:spacing w:before="34" w:line="233" w:lineRule="auto"/>
              <w:rPr>
                <w:rFonts w:ascii="SimSun" w:hAnsi="SimSun" w:eastAsia="SimSun" w:cs="SimSun"/>
                <w:sz w:val="20"/>
                <w:szCs w:val="20"/>
              </w:rPr>
            </w:pPr>
            <w:r>
              <w:rPr>
                <w:rFonts w:ascii="SimSun" w:hAnsi="SimSun" w:eastAsia="SimSun" w:cs="SimSun"/>
                <w:sz w:val="20"/>
                <w:szCs w:val="20"/>
                <w:spacing w:val="8"/>
              </w:rPr>
              <w:t>设置喷雾洒水装</w:t>
            </w:r>
            <w:r>
              <w:rPr>
                <w:rFonts w:ascii="SimSun" w:hAnsi="SimSun" w:eastAsia="SimSun" w:cs="SimSun"/>
                <w:sz w:val="20"/>
                <w:szCs w:val="20"/>
                <w:spacing w:val="2"/>
              </w:rPr>
              <w:t>置</w:t>
            </w:r>
          </w:p>
        </w:tc>
        <w:tc>
          <w:tcPr>
            <w:tcW w:w="1811" w:type="dxa"/>
            <w:vAlign w:val="top"/>
          </w:tcPr>
          <w:p>
            <w:pPr>
              <w:ind w:left="598"/>
              <w:spacing w:before="168" w:line="228" w:lineRule="auto"/>
              <w:rPr>
                <w:rFonts w:ascii="SimSun" w:hAnsi="SimSun" w:eastAsia="SimSun" w:cs="SimSun"/>
                <w:sz w:val="20"/>
                <w:szCs w:val="20"/>
              </w:rPr>
            </w:pPr>
            <w:r>
              <w:rPr>
                <w:rFonts w:ascii="SimSun" w:hAnsi="SimSun" w:eastAsia="SimSun" w:cs="SimSun"/>
                <w:sz w:val="20"/>
                <w:szCs w:val="20"/>
                <w:spacing w:val="5"/>
              </w:rPr>
              <w:t>不定量</w:t>
            </w:r>
          </w:p>
        </w:tc>
        <w:tc>
          <w:tcPr>
            <w:tcW w:w="1818" w:type="dxa"/>
            <w:vAlign w:val="top"/>
          </w:tcPr>
          <w:p>
            <w:pPr>
              <w:ind w:left="599"/>
              <w:spacing w:before="168" w:line="228" w:lineRule="auto"/>
              <w:rPr>
                <w:rFonts w:ascii="SimSun" w:hAnsi="SimSun" w:eastAsia="SimSun" w:cs="SimSun"/>
                <w:sz w:val="20"/>
                <w:szCs w:val="20"/>
              </w:rPr>
            </w:pPr>
            <w:r>
              <w:rPr>
                <w:rFonts w:ascii="SimSun" w:hAnsi="SimSun" w:eastAsia="SimSun" w:cs="SimSun"/>
                <w:sz w:val="20"/>
                <w:szCs w:val="20"/>
                <w:spacing w:val="6"/>
              </w:rPr>
              <w:t>无组织</w:t>
            </w:r>
          </w:p>
        </w:tc>
      </w:tr>
      <w:tr>
        <w:trPr>
          <w:trHeight w:val="551" w:hRule="atLeast"/>
        </w:trPr>
        <w:tc>
          <w:tcPr>
            <w:tcW w:w="732" w:type="dxa"/>
            <w:vAlign w:val="top"/>
          </w:tcPr>
          <w:p>
            <w:pPr>
              <w:pStyle w:val="TableText"/>
              <w:ind w:left="317"/>
              <w:spacing w:before="204" w:line="195" w:lineRule="auto"/>
              <w:rPr/>
            </w:pPr>
            <w:r>
              <w:rPr/>
              <w:t>3</w:t>
            </w:r>
          </w:p>
        </w:tc>
        <w:tc>
          <w:tcPr>
            <w:tcW w:w="2354" w:type="dxa"/>
            <w:vAlign w:val="top"/>
          </w:tcPr>
          <w:p>
            <w:pPr>
              <w:ind w:left="764"/>
              <w:spacing w:before="168" w:line="228" w:lineRule="auto"/>
              <w:rPr>
                <w:rFonts w:ascii="SimSun" w:hAnsi="SimSun" w:eastAsia="SimSun" w:cs="SimSun"/>
                <w:sz w:val="20"/>
                <w:szCs w:val="20"/>
              </w:rPr>
            </w:pPr>
            <w:r>
              <w:rPr>
                <w:rFonts w:ascii="SimSun" w:hAnsi="SimSun" w:eastAsia="SimSun" w:cs="SimSun"/>
                <w:sz w:val="20"/>
                <w:szCs w:val="20"/>
                <w:spacing w:val="6"/>
              </w:rPr>
              <w:t>原煤输送</w:t>
            </w:r>
          </w:p>
        </w:tc>
        <w:tc>
          <w:tcPr>
            <w:tcW w:w="1420" w:type="dxa"/>
            <w:vAlign w:val="top"/>
          </w:tcPr>
          <w:p>
            <w:pPr>
              <w:pStyle w:val="TableText"/>
              <w:ind w:left="529"/>
              <w:spacing w:before="204" w:line="195" w:lineRule="auto"/>
              <w:rPr/>
            </w:pPr>
            <w:r>
              <w:rPr>
                <w:spacing w:val="3"/>
              </w:rPr>
              <w:t>TSP</w:t>
            </w:r>
          </w:p>
        </w:tc>
        <w:tc>
          <w:tcPr>
            <w:tcW w:w="2747" w:type="dxa"/>
            <w:vAlign w:val="top"/>
          </w:tcPr>
          <w:p>
            <w:pPr>
              <w:ind w:left="122"/>
              <w:spacing w:before="31" w:line="228" w:lineRule="auto"/>
              <w:rPr>
                <w:rFonts w:ascii="SimSun" w:hAnsi="SimSun" w:eastAsia="SimSun" w:cs="SimSun"/>
                <w:sz w:val="20"/>
                <w:szCs w:val="20"/>
              </w:rPr>
            </w:pPr>
            <w:r>
              <w:rPr>
                <w:rFonts w:ascii="SimSun" w:hAnsi="SimSun" w:eastAsia="SimSun" w:cs="SimSun"/>
                <w:sz w:val="20"/>
                <w:szCs w:val="20"/>
                <w:spacing w:val="8"/>
              </w:rPr>
              <w:t>原煤输送过程中将产生一定</w:t>
            </w:r>
          </w:p>
          <w:p>
            <w:pPr>
              <w:ind w:left="1062"/>
              <w:spacing w:before="24" w:line="220" w:lineRule="auto"/>
              <w:rPr>
                <w:rFonts w:ascii="SimSun" w:hAnsi="SimSun" w:eastAsia="SimSun" w:cs="SimSun"/>
                <w:sz w:val="20"/>
                <w:szCs w:val="20"/>
              </w:rPr>
            </w:pPr>
            <w:r>
              <w:rPr>
                <w:rFonts w:ascii="SimSun" w:hAnsi="SimSun" w:eastAsia="SimSun" w:cs="SimSun"/>
                <w:sz w:val="20"/>
                <w:szCs w:val="20"/>
                <w:spacing w:val="6"/>
              </w:rPr>
              <w:t>量煤尘</w:t>
            </w:r>
          </w:p>
        </w:tc>
        <w:tc>
          <w:tcPr>
            <w:tcW w:w="1811" w:type="dxa"/>
            <w:vAlign w:val="top"/>
          </w:tcPr>
          <w:p>
            <w:pPr>
              <w:ind w:left="599"/>
              <w:spacing w:before="168" w:line="228" w:lineRule="auto"/>
              <w:rPr>
                <w:rFonts w:ascii="SimSun" w:hAnsi="SimSun" w:eastAsia="SimSun" w:cs="SimSun"/>
                <w:sz w:val="20"/>
                <w:szCs w:val="20"/>
              </w:rPr>
            </w:pPr>
            <w:r>
              <w:rPr>
                <w:rFonts w:ascii="SimSun" w:hAnsi="SimSun" w:eastAsia="SimSun" w:cs="SimSun"/>
                <w:sz w:val="20"/>
                <w:szCs w:val="20"/>
                <w:spacing w:val="5"/>
              </w:rPr>
              <w:t>不定量</w:t>
            </w:r>
          </w:p>
        </w:tc>
        <w:tc>
          <w:tcPr>
            <w:tcW w:w="1814" w:type="dxa"/>
            <w:vAlign w:val="top"/>
          </w:tcPr>
          <w:p>
            <w:pPr>
              <w:ind w:left="704" w:right="109" w:hanging="591"/>
              <w:spacing w:before="31" w:line="235" w:lineRule="auto"/>
              <w:rPr>
                <w:rFonts w:ascii="SimSun" w:hAnsi="SimSun" w:eastAsia="SimSun" w:cs="SimSun"/>
                <w:sz w:val="20"/>
                <w:szCs w:val="20"/>
              </w:rPr>
            </w:pPr>
            <w:r>
              <w:rPr>
                <w:rFonts w:ascii="SimSun" w:hAnsi="SimSun" w:eastAsia="SimSun" w:cs="SimSun"/>
                <w:sz w:val="20"/>
                <w:szCs w:val="20"/>
                <w:spacing w:val="-2"/>
              </w:rPr>
              <w:t>封闭式栈桥、喷雾</w:t>
            </w:r>
            <w:r>
              <w:rPr>
                <w:rFonts w:ascii="SimSun" w:hAnsi="SimSun" w:eastAsia="SimSun" w:cs="SimSun"/>
                <w:sz w:val="20"/>
                <w:szCs w:val="20"/>
                <w:spacing w:val="3"/>
              </w:rPr>
              <w:t>洒水</w:t>
            </w:r>
          </w:p>
        </w:tc>
        <w:tc>
          <w:tcPr>
            <w:tcW w:w="1811" w:type="dxa"/>
            <w:vAlign w:val="top"/>
          </w:tcPr>
          <w:p>
            <w:pPr>
              <w:ind w:left="598"/>
              <w:spacing w:before="168" w:line="228" w:lineRule="auto"/>
              <w:rPr>
                <w:rFonts w:ascii="SimSun" w:hAnsi="SimSun" w:eastAsia="SimSun" w:cs="SimSun"/>
                <w:sz w:val="20"/>
                <w:szCs w:val="20"/>
              </w:rPr>
            </w:pPr>
            <w:r>
              <w:rPr>
                <w:rFonts w:ascii="SimSun" w:hAnsi="SimSun" w:eastAsia="SimSun" w:cs="SimSun"/>
                <w:sz w:val="20"/>
                <w:szCs w:val="20"/>
                <w:spacing w:val="5"/>
              </w:rPr>
              <w:t>不定量</w:t>
            </w:r>
          </w:p>
        </w:tc>
        <w:tc>
          <w:tcPr>
            <w:tcW w:w="1818" w:type="dxa"/>
            <w:vAlign w:val="top"/>
          </w:tcPr>
          <w:p>
            <w:pPr>
              <w:ind w:left="599"/>
              <w:spacing w:before="168" w:line="228" w:lineRule="auto"/>
              <w:rPr>
                <w:rFonts w:ascii="SimSun" w:hAnsi="SimSun" w:eastAsia="SimSun" w:cs="SimSun"/>
                <w:sz w:val="20"/>
                <w:szCs w:val="20"/>
              </w:rPr>
            </w:pPr>
            <w:r>
              <w:rPr>
                <w:rFonts w:ascii="SimSun" w:hAnsi="SimSun" w:eastAsia="SimSun" w:cs="SimSun"/>
                <w:sz w:val="20"/>
                <w:szCs w:val="20"/>
                <w:spacing w:val="6"/>
              </w:rPr>
              <w:t>无组织</w:t>
            </w:r>
          </w:p>
        </w:tc>
      </w:tr>
      <w:tr>
        <w:trPr>
          <w:trHeight w:val="546" w:hRule="atLeast"/>
        </w:trPr>
        <w:tc>
          <w:tcPr>
            <w:tcW w:w="732" w:type="dxa"/>
            <w:vAlign w:val="top"/>
          </w:tcPr>
          <w:p>
            <w:pPr>
              <w:pStyle w:val="TableText"/>
              <w:ind w:left="312"/>
              <w:spacing w:before="202" w:line="195" w:lineRule="auto"/>
              <w:rPr/>
            </w:pPr>
            <w:r>
              <w:rPr>
                <w:spacing w:val="1"/>
              </w:rPr>
              <w:t>4</w:t>
            </w:r>
          </w:p>
        </w:tc>
        <w:tc>
          <w:tcPr>
            <w:tcW w:w="2354" w:type="dxa"/>
            <w:vAlign w:val="top"/>
          </w:tcPr>
          <w:p>
            <w:pPr>
              <w:ind w:left="863"/>
              <w:spacing w:before="166" w:line="227" w:lineRule="auto"/>
              <w:rPr>
                <w:rFonts w:ascii="SimSun" w:hAnsi="SimSun" w:eastAsia="SimSun" w:cs="SimSun"/>
                <w:sz w:val="20"/>
                <w:szCs w:val="20"/>
              </w:rPr>
            </w:pPr>
            <w:r>
              <w:rPr>
                <w:rFonts w:ascii="SimSun" w:hAnsi="SimSun" w:eastAsia="SimSun" w:cs="SimSun"/>
                <w:sz w:val="20"/>
                <w:szCs w:val="20"/>
                <w:spacing w:val="7"/>
              </w:rPr>
              <w:t>采掘场</w:t>
            </w:r>
          </w:p>
        </w:tc>
        <w:tc>
          <w:tcPr>
            <w:tcW w:w="1420" w:type="dxa"/>
            <w:vAlign w:val="top"/>
          </w:tcPr>
          <w:p>
            <w:pPr>
              <w:pStyle w:val="TableText"/>
              <w:ind w:left="529"/>
              <w:spacing w:before="202" w:line="195" w:lineRule="auto"/>
              <w:rPr/>
            </w:pPr>
            <w:r>
              <w:rPr>
                <w:spacing w:val="3"/>
              </w:rPr>
              <w:t>TSP</w:t>
            </w:r>
          </w:p>
        </w:tc>
        <w:tc>
          <w:tcPr>
            <w:tcW w:w="2747" w:type="dxa"/>
            <w:vAlign w:val="top"/>
          </w:tcPr>
          <w:p>
            <w:pPr>
              <w:ind w:left="535" w:right="115" w:hanging="413"/>
              <w:spacing w:before="33" w:line="232" w:lineRule="auto"/>
              <w:rPr>
                <w:rFonts w:ascii="SimSun" w:hAnsi="SimSun" w:eastAsia="SimSun" w:cs="SimSun"/>
                <w:sz w:val="20"/>
                <w:szCs w:val="20"/>
              </w:rPr>
            </w:pPr>
            <w:r>
              <w:rPr>
                <w:rFonts w:ascii="SimSun" w:hAnsi="SimSun" w:eastAsia="SimSun" w:cs="SimSun"/>
                <w:sz w:val="20"/>
                <w:szCs w:val="20"/>
                <w:spacing w:val="8"/>
              </w:rPr>
              <w:t>原煤开采及岩土剥离过程中</w:t>
            </w:r>
            <w:r>
              <w:rPr>
                <w:rFonts w:ascii="SimSun" w:hAnsi="SimSun" w:eastAsia="SimSun" w:cs="SimSun"/>
                <w:sz w:val="20"/>
                <w:szCs w:val="20"/>
                <w:spacing w:val="8"/>
              </w:rPr>
              <w:t>将产生一定量煤尘</w:t>
            </w:r>
          </w:p>
        </w:tc>
        <w:tc>
          <w:tcPr>
            <w:tcW w:w="1811" w:type="dxa"/>
            <w:vAlign w:val="top"/>
          </w:tcPr>
          <w:p>
            <w:pPr>
              <w:pStyle w:val="TableText"/>
              <w:ind w:left="688"/>
              <w:spacing w:before="202" w:line="195" w:lineRule="auto"/>
              <w:rPr/>
            </w:pPr>
            <w:r>
              <w:rPr/>
              <w:t>12.80</w:t>
            </w:r>
          </w:p>
        </w:tc>
        <w:tc>
          <w:tcPr>
            <w:tcW w:w="1814" w:type="dxa"/>
            <w:vAlign w:val="top"/>
          </w:tcPr>
          <w:p>
            <w:pPr>
              <w:ind w:left="493"/>
              <w:spacing w:before="166" w:line="228" w:lineRule="auto"/>
              <w:rPr>
                <w:rFonts w:ascii="SimSun" w:hAnsi="SimSun" w:eastAsia="SimSun" w:cs="SimSun"/>
                <w:sz w:val="20"/>
                <w:szCs w:val="20"/>
              </w:rPr>
            </w:pPr>
            <w:r>
              <w:rPr>
                <w:rFonts w:ascii="SimSun" w:hAnsi="SimSun" w:eastAsia="SimSun" w:cs="SimSun"/>
                <w:sz w:val="20"/>
                <w:szCs w:val="20"/>
                <w:spacing w:val="6"/>
              </w:rPr>
              <w:t>洒水降尘</w:t>
            </w:r>
          </w:p>
        </w:tc>
        <w:tc>
          <w:tcPr>
            <w:tcW w:w="1811" w:type="dxa"/>
            <w:vAlign w:val="top"/>
          </w:tcPr>
          <w:p>
            <w:pPr>
              <w:pStyle w:val="TableText"/>
              <w:ind w:left="727"/>
              <w:spacing w:before="202" w:line="195" w:lineRule="auto"/>
              <w:rPr/>
            </w:pPr>
            <w:r>
              <w:rPr>
                <w:spacing w:val="1"/>
              </w:rPr>
              <w:t>3.31</w:t>
            </w:r>
          </w:p>
        </w:tc>
        <w:tc>
          <w:tcPr>
            <w:tcW w:w="1818" w:type="dxa"/>
            <w:vAlign w:val="top"/>
          </w:tcPr>
          <w:p>
            <w:pPr>
              <w:ind w:left="599"/>
              <w:spacing w:before="167" w:line="228" w:lineRule="auto"/>
              <w:rPr>
                <w:rFonts w:ascii="SimSun" w:hAnsi="SimSun" w:eastAsia="SimSun" w:cs="SimSun"/>
                <w:sz w:val="20"/>
                <w:szCs w:val="20"/>
              </w:rPr>
            </w:pPr>
            <w:r>
              <w:rPr>
                <w:rFonts w:ascii="SimSun" w:hAnsi="SimSun" w:eastAsia="SimSun" w:cs="SimSun"/>
                <w:sz w:val="20"/>
                <w:szCs w:val="20"/>
                <w:spacing w:val="6"/>
              </w:rPr>
              <w:t>无组织</w:t>
            </w:r>
          </w:p>
        </w:tc>
      </w:tr>
      <w:tr>
        <w:trPr>
          <w:trHeight w:val="551" w:hRule="atLeast"/>
        </w:trPr>
        <w:tc>
          <w:tcPr>
            <w:tcW w:w="732" w:type="dxa"/>
            <w:vAlign w:val="top"/>
          </w:tcPr>
          <w:p>
            <w:pPr>
              <w:pStyle w:val="TableText"/>
              <w:ind w:left="319"/>
              <w:spacing w:before="211" w:line="192" w:lineRule="auto"/>
              <w:rPr/>
            </w:pPr>
            <w:r>
              <w:rPr/>
              <w:t>5</w:t>
            </w:r>
          </w:p>
        </w:tc>
        <w:tc>
          <w:tcPr>
            <w:tcW w:w="2354" w:type="dxa"/>
            <w:vAlign w:val="top"/>
          </w:tcPr>
          <w:p>
            <w:pPr>
              <w:ind w:left="864"/>
              <w:spacing w:before="168" w:line="228" w:lineRule="auto"/>
              <w:rPr>
                <w:rFonts w:ascii="SimSun" w:hAnsi="SimSun" w:eastAsia="SimSun" w:cs="SimSun"/>
                <w:sz w:val="20"/>
                <w:szCs w:val="20"/>
              </w:rPr>
            </w:pPr>
            <w:r>
              <w:rPr>
                <w:rFonts w:ascii="SimSun" w:hAnsi="SimSun" w:eastAsia="SimSun" w:cs="SimSun"/>
                <w:sz w:val="20"/>
                <w:szCs w:val="20"/>
                <w:spacing w:val="6"/>
              </w:rPr>
              <w:t>排土场</w:t>
            </w:r>
          </w:p>
        </w:tc>
        <w:tc>
          <w:tcPr>
            <w:tcW w:w="1420" w:type="dxa"/>
            <w:vAlign w:val="top"/>
          </w:tcPr>
          <w:p>
            <w:pPr>
              <w:pStyle w:val="TableText"/>
              <w:ind w:left="529"/>
              <w:spacing w:before="208" w:line="195" w:lineRule="auto"/>
              <w:rPr/>
            </w:pPr>
            <w:r>
              <w:rPr>
                <w:spacing w:val="3"/>
              </w:rPr>
              <w:t>TSP</w:t>
            </w:r>
          </w:p>
        </w:tc>
        <w:tc>
          <w:tcPr>
            <w:tcW w:w="2747" w:type="dxa"/>
            <w:vAlign w:val="top"/>
          </w:tcPr>
          <w:p>
            <w:pPr>
              <w:ind w:left="117"/>
              <w:spacing w:before="35" w:line="228" w:lineRule="auto"/>
              <w:rPr>
                <w:rFonts w:ascii="SimSun" w:hAnsi="SimSun" w:eastAsia="SimSun" w:cs="SimSun"/>
                <w:sz w:val="20"/>
                <w:szCs w:val="20"/>
              </w:rPr>
            </w:pPr>
            <w:r>
              <w:rPr>
                <w:rFonts w:ascii="SimSun" w:hAnsi="SimSun" w:eastAsia="SimSun" w:cs="SimSun"/>
                <w:sz w:val="20"/>
                <w:szCs w:val="20"/>
                <w:spacing w:val="9"/>
              </w:rPr>
              <w:t>排土过程中将产生一定量粉</w:t>
            </w:r>
          </w:p>
          <w:p>
            <w:pPr>
              <w:ind w:left="1273"/>
              <w:spacing w:before="24" w:line="216" w:lineRule="auto"/>
              <w:rPr>
                <w:rFonts w:ascii="SimSun" w:hAnsi="SimSun" w:eastAsia="SimSun" w:cs="SimSun"/>
                <w:sz w:val="20"/>
                <w:szCs w:val="20"/>
              </w:rPr>
            </w:pPr>
            <w:r>
              <w:rPr>
                <w:rFonts w:ascii="SimSun" w:hAnsi="SimSun" w:eastAsia="SimSun" w:cs="SimSun"/>
                <w:sz w:val="20"/>
                <w:szCs w:val="20"/>
              </w:rPr>
              <w:t>尘</w:t>
            </w:r>
          </w:p>
        </w:tc>
        <w:tc>
          <w:tcPr>
            <w:tcW w:w="1811" w:type="dxa"/>
            <w:vAlign w:val="top"/>
          </w:tcPr>
          <w:p>
            <w:pPr>
              <w:pStyle w:val="TableText"/>
              <w:ind w:left="688"/>
              <w:spacing w:before="208" w:line="195" w:lineRule="auto"/>
              <w:rPr/>
            </w:pPr>
            <w:r>
              <w:rPr/>
              <w:t>11.69</w:t>
            </w:r>
          </w:p>
        </w:tc>
        <w:tc>
          <w:tcPr>
            <w:tcW w:w="1814" w:type="dxa"/>
            <w:vAlign w:val="top"/>
          </w:tcPr>
          <w:p>
            <w:pPr>
              <w:ind w:left="493"/>
              <w:spacing w:before="167" w:line="228" w:lineRule="auto"/>
              <w:rPr>
                <w:rFonts w:ascii="SimSun" w:hAnsi="SimSun" w:eastAsia="SimSun" w:cs="SimSun"/>
                <w:sz w:val="20"/>
                <w:szCs w:val="20"/>
              </w:rPr>
            </w:pPr>
            <w:r>
              <w:rPr>
                <w:rFonts w:ascii="SimSun" w:hAnsi="SimSun" w:eastAsia="SimSun" w:cs="SimSun"/>
                <w:sz w:val="20"/>
                <w:szCs w:val="20"/>
                <w:spacing w:val="6"/>
              </w:rPr>
              <w:t>洒水降尘</w:t>
            </w:r>
          </w:p>
        </w:tc>
        <w:tc>
          <w:tcPr>
            <w:tcW w:w="1811" w:type="dxa"/>
            <w:vAlign w:val="top"/>
          </w:tcPr>
          <w:p>
            <w:pPr>
              <w:pStyle w:val="TableText"/>
              <w:ind w:left="727"/>
              <w:spacing w:before="208" w:line="195" w:lineRule="auto"/>
              <w:rPr/>
            </w:pPr>
            <w:r>
              <w:rPr>
                <w:spacing w:val="1"/>
              </w:rPr>
              <w:t>3.02</w:t>
            </w:r>
          </w:p>
        </w:tc>
        <w:tc>
          <w:tcPr>
            <w:tcW w:w="1818" w:type="dxa"/>
            <w:vAlign w:val="top"/>
          </w:tcPr>
          <w:p>
            <w:pPr>
              <w:ind w:left="599"/>
              <w:spacing w:before="168" w:line="228" w:lineRule="auto"/>
              <w:rPr>
                <w:rFonts w:ascii="SimSun" w:hAnsi="SimSun" w:eastAsia="SimSun" w:cs="SimSun"/>
                <w:sz w:val="20"/>
                <w:szCs w:val="20"/>
              </w:rPr>
            </w:pPr>
            <w:r>
              <w:rPr>
                <w:rFonts w:ascii="SimSun" w:hAnsi="SimSun" w:eastAsia="SimSun" w:cs="SimSun"/>
                <w:sz w:val="20"/>
                <w:szCs w:val="20"/>
                <w:spacing w:val="6"/>
              </w:rPr>
              <w:t>无组织</w:t>
            </w:r>
          </w:p>
        </w:tc>
      </w:tr>
      <w:tr>
        <w:trPr>
          <w:trHeight w:val="554" w:hRule="atLeast"/>
        </w:trPr>
        <w:tc>
          <w:tcPr>
            <w:tcW w:w="732" w:type="dxa"/>
            <w:vAlign w:val="top"/>
          </w:tcPr>
          <w:p>
            <w:pPr>
              <w:pStyle w:val="TableText"/>
              <w:ind w:left="318"/>
              <w:spacing w:before="206" w:line="195" w:lineRule="auto"/>
              <w:rPr/>
            </w:pPr>
            <w:r>
              <w:rPr/>
              <w:t>6</w:t>
            </w:r>
          </w:p>
        </w:tc>
        <w:tc>
          <w:tcPr>
            <w:tcW w:w="2354" w:type="dxa"/>
            <w:vAlign w:val="top"/>
          </w:tcPr>
          <w:p>
            <w:pPr>
              <w:ind w:left="759"/>
              <w:spacing w:before="168" w:line="228" w:lineRule="auto"/>
              <w:rPr>
                <w:rFonts w:ascii="SimSun" w:hAnsi="SimSun" w:eastAsia="SimSun" w:cs="SimSun"/>
                <w:sz w:val="20"/>
                <w:szCs w:val="20"/>
              </w:rPr>
            </w:pPr>
            <w:r>
              <w:rPr>
                <w:rFonts w:ascii="SimSun" w:hAnsi="SimSun" w:eastAsia="SimSun" w:cs="SimSun"/>
                <w:sz w:val="20"/>
                <w:szCs w:val="20"/>
                <w:spacing w:val="7"/>
              </w:rPr>
              <w:t>运输道路</w:t>
            </w:r>
          </w:p>
        </w:tc>
        <w:tc>
          <w:tcPr>
            <w:tcW w:w="1420" w:type="dxa"/>
            <w:vAlign w:val="top"/>
          </w:tcPr>
          <w:p>
            <w:pPr>
              <w:pStyle w:val="TableText"/>
              <w:ind w:left="529"/>
              <w:spacing w:before="206" w:line="195" w:lineRule="auto"/>
              <w:rPr/>
            </w:pPr>
            <w:r>
              <w:rPr>
                <w:spacing w:val="3"/>
              </w:rPr>
              <w:t>TSP</w:t>
            </w:r>
          </w:p>
        </w:tc>
        <w:tc>
          <w:tcPr>
            <w:tcW w:w="2747" w:type="dxa"/>
            <w:vAlign w:val="top"/>
          </w:tcPr>
          <w:p>
            <w:pPr>
              <w:ind w:left="450" w:right="115" w:hanging="334"/>
              <w:spacing w:before="32" w:line="236" w:lineRule="auto"/>
              <w:rPr>
                <w:rFonts w:ascii="SimSun" w:hAnsi="SimSun" w:eastAsia="SimSun" w:cs="SimSun"/>
                <w:sz w:val="20"/>
                <w:szCs w:val="20"/>
              </w:rPr>
            </w:pPr>
            <w:r>
              <w:rPr>
                <w:rFonts w:ascii="SimSun" w:hAnsi="SimSun" w:eastAsia="SimSun" w:cs="SimSun"/>
                <w:sz w:val="20"/>
                <w:szCs w:val="20"/>
                <w:spacing w:val="9"/>
              </w:rPr>
              <w:t>采掘场岩土剥离物运输过程</w:t>
            </w:r>
            <w:r>
              <w:rPr>
                <w:rFonts w:ascii="SimSun" w:hAnsi="SimSun" w:eastAsia="SimSun" w:cs="SimSun"/>
                <w:sz w:val="20"/>
                <w:szCs w:val="20"/>
                <w:spacing w:val="6"/>
              </w:rPr>
              <w:t>中将产生一定量粉尘</w:t>
            </w:r>
          </w:p>
        </w:tc>
        <w:tc>
          <w:tcPr>
            <w:tcW w:w="1811" w:type="dxa"/>
            <w:vAlign w:val="top"/>
          </w:tcPr>
          <w:p>
            <w:pPr>
              <w:pStyle w:val="TableText"/>
              <w:ind w:left="752"/>
              <w:spacing w:before="206" w:line="195" w:lineRule="auto"/>
              <w:rPr/>
            </w:pPr>
            <w:r>
              <w:rPr>
                <w:spacing w:val="3"/>
              </w:rPr>
              <w:t>635</w:t>
            </w:r>
          </w:p>
        </w:tc>
        <w:tc>
          <w:tcPr>
            <w:tcW w:w="1814" w:type="dxa"/>
            <w:vAlign w:val="top"/>
          </w:tcPr>
          <w:p>
            <w:pPr>
              <w:ind w:left="493"/>
              <w:spacing w:before="168" w:line="228" w:lineRule="auto"/>
              <w:rPr>
                <w:rFonts w:ascii="SimSun" w:hAnsi="SimSun" w:eastAsia="SimSun" w:cs="SimSun"/>
                <w:sz w:val="20"/>
                <w:szCs w:val="20"/>
              </w:rPr>
            </w:pPr>
            <w:r>
              <w:rPr>
                <w:rFonts w:ascii="SimSun" w:hAnsi="SimSun" w:eastAsia="SimSun" w:cs="SimSun"/>
                <w:sz w:val="20"/>
                <w:szCs w:val="20"/>
                <w:spacing w:val="6"/>
              </w:rPr>
              <w:t>洒水降尘</w:t>
            </w:r>
          </w:p>
        </w:tc>
        <w:tc>
          <w:tcPr>
            <w:tcW w:w="1811" w:type="dxa"/>
            <w:vAlign w:val="top"/>
          </w:tcPr>
          <w:p>
            <w:pPr>
              <w:pStyle w:val="TableText"/>
              <w:ind w:left="769"/>
              <w:spacing w:before="206" w:line="195" w:lineRule="auto"/>
              <w:rPr/>
            </w:pPr>
            <w:r>
              <w:rPr>
                <w:spacing w:val="-3"/>
              </w:rPr>
              <w:t>127</w:t>
            </w:r>
          </w:p>
        </w:tc>
        <w:tc>
          <w:tcPr>
            <w:tcW w:w="1818" w:type="dxa"/>
            <w:vAlign w:val="top"/>
          </w:tcPr>
          <w:p>
            <w:pPr>
              <w:ind w:left="599"/>
              <w:spacing w:before="169" w:line="228" w:lineRule="auto"/>
              <w:rPr>
                <w:rFonts w:ascii="SimSun" w:hAnsi="SimSun" w:eastAsia="SimSun" w:cs="SimSun"/>
                <w:sz w:val="20"/>
                <w:szCs w:val="20"/>
              </w:rPr>
            </w:pPr>
            <w:r>
              <w:rPr>
                <w:rFonts w:ascii="SimSun" w:hAnsi="SimSun" w:eastAsia="SimSun" w:cs="SimSun"/>
                <w:sz w:val="20"/>
                <w:szCs w:val="20"/>
                <w:spacing w:val="6"/>
              </w:rPr>
              <w:t>无组织</w:t>
            </w:r>
          </w:p>
        </w:tc>
      </w:tr>
    </w:tbl>
    <w:p>
      <w:pPr>
        <w:pStyle w:val="BodyText"/>
        <w:rPr/>
      </w:pPr>
      <w:r/>
    </w:p>
    <w:p>
      <w:pPr>
        <w:sectPr>
          <w:headerReference w:type="default" r:id="rId81"/>
          <w:footerReference w:type="default" r:id="rId232"/>
          <w:pgSz w:w="16838" w:h="11906"/>
          <w:pgMar w:top="1169" w:right="1305" w:bottom="1080" w:left="1020" w:header="836" w:footer="917" w:gutter="0"/>
        </w:sectPr>
        <w:rPr/>
      </w:pPr>
    </w:p>
    <w:p>
      <w:pPr>
        <w:pStyle w:val="BodyText"/>
        <w:spacing w:line="345" w:lineRule="auto"/>
        <w:rPr/>
      </w:pPr>
      <w:r/>
    </w:p>
    <w:p>
      <w:pPr>
        <w:ind w:left="594"/>
        <w:spacing w:before="78" w:line="221" w:lineRule="auto"/>
        <w:rPr>
          <w:rFonts w:ascii="SimHei" w:hAnsi="SimHei" w:eastAsia="SimHei" w:cs="SimHei"/>
          <w:sz w:val="24"/>
          <w:szCs w:val="24"/>
        </w:rPr>
      </w:pPr>
      <w:bookmarkStart w:name="bookmark91" w:id="42"/>
      <w:bookmarkEnd w:id="42"/>
      <w:r>
        <w:rPr>
          <w:rFonts w:ascii="Times New Roman" w:hAnsi="Times New Roman" w:eastAsia="Times New Roman" w:cs="Times New Roman"/>
          <w:sz w:val="24"/>
          <w:szCs w:val="24"/>
          <w:b/>
          <w:bCs/>
          <w:spacing w:val="-2"/>
        </w:rPr>
        <w:t>3.6.2.2 </w:t>
      </w:r>
      <w:r>
        <w:rPr>
          <w:rFonts w:ascii="SimHei" w:hAnsi="SimHei" w:eastAsia="SimHei" w:cs="SimHei"/>
          <w:sz w:val="24"/>
          <w:szCs w:val="24"/>
          <w:b/>
          <w:bCs/>
          <w:spacing w:val="-2"/>
        </w:rPr>
        <w:t>水污染源及其治理措施</w:t>
      </w:r>
    </w:p>
    <w:p>
      <w:pPr>
        <w:ind w:left="618"/>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、水污染源</w:t>
      </w:r>
    </w:p>
    <w:p>
      <w:pPr>
        <w:ind w:left="634"/>
        <w:spacing w:before="156" w:line="219" w:lineRule="auto"/>
        <w:rPr>
          <w:rFonts w:ascii="SimSun" w:hAnsi="SimSun" w:eastAsia="SimSun" w:cs="SimSun"/>
          <w:sz w:val="24"/>
          <w:szCs w:val="24"/>
        </w:rPr>
      </w:pPr>
      <w:r>
        <w:rPr>
          <w:rFonts w:ascii="SimSun" w:hAnsi="SimSun" w:eastAsia="SimSun" w:cs="SimSun"/>
          <w:sz w:val="24"/>
          <w:szCs w:val="24"/>
          <w:spacing w:val="-2"/>
        </w:rPr>
        <w:t>白音华四号露天矿（露天区）污废水主要包括矿坑水及生活污水。</w:t>
      </w:r>
    </w:p>
    <w:p>
      <w:pPr>
        <w:ind w:left="606"/>
        <w:spacing w:before="154" w:line="21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1</w:t>
      </w:r>
      <w:r>
        <w:rPr>
          <w:rFonts w:ascii="SimSun" w:hAnsi="SimSun" w:eastAsia="SimSun" w:cs="SimSun"/>
          <w:sz w:val="24"/>
          <w:szCs w:val="24"/>
          <w:spacing w:val="-5"/>
        </w:rPr>
        <w:t>）</w:t>
      </w:r>
      <w:r>
        <w:rPr>
          <w:rFonts w:ascii="SimSun" w:hAnsi="SimSun" w:eastAsia="SimSun" w:cs="SimSun"/>
          <w:sz w:val="24"/>
          <w:szCs w:val="24"/>
          <w:spacing w:val="73"/>
        </w:rPr>
        <w:t xml:space="preserve"> </w:t>
      </w:r>
      <w:r>
        <w:rPr>
          <w:rFonts w:ascii="SimSun" w:hAnsi="SimSun" w:eastAsia="SimSun" w:cs="SimSun"/>
          <w:sz w:val="24"/>
          <w:szCs w:val="24"/>
          <w:spacing w:val="-5"/>
        </w:rPr>
        <w:t>矿坑水</w:t>
      </w:r>
    </w:p>
    <w:p>
      <w:pPr>
        <w:ind w:left="119" w:right="115" w:firstLine="479"/>
        <w:spacing w:before="150" w:line="339" w:lineRule="auto"/>
        <w:rPr>
          <w:rFonts w:ascii="SimSun" w:hAnsi="SimSun" w:eastAsia="SimSun" w:cs="SimSun"/>
          <w:sz w:val="24"/>
          <w:szCs w:val="24"/>
        </w:rPr>
      </w:pPr>
      <w:r>
        <w:rPr>
          <w:rFonts w:ascii="SimSun" w:hAnsi="SimSun" w:eastAsia="SimSun" w:cs="SimSun"/>
          <w:sz w:val="24"/>
          <w:szCs w:val="24"/>
          <w:spacing w:val="-2"/>
        </w:rPr>
        <w:t>矿坑水来源于白音华四号露天矿（露天区）矿坑涌水。根据可行性研究报告，改扩</w:t>
      </w:r>
      <w:r>
        <w:rPr>
          <w:rFonts w:ascii="SimSun" w:hAnsi="SimSun" w:eastAsia="SimSun" w:cs="SimSun"/>
          <w:sz w:val="24"/>
          <w:szCs w:val="24"/>
        </w:rPr>
        <w:t>建后，四号露天矿（露天区）矿坑排水量为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9456m</w:t>
      </w:r>
      <w:r>
        <w:rPr>
          <w:rFonts w:ascii="Times New Roman" w:hAnsi="Times New Roman" w:eastAsia="Times New Roman" w:cs="Times New Roman"/>
          <w:sz w:val="15"/>
          <w:szCs w:val="15"/>
          <w:position w:val="8"/>
        </w:rPr>
        <w:t>3</w:t>
      </w:r>
      <w:r>
        <w:rPr>
          <w:rFonts w:ascii="Times New Roman" w:hAnsi="Times New Roman" w:eastAsia="Times New Roman" w:cs="Times New Roman"/>
          <w:sz w:val="24"/>
          <w:szCs w:val="24"/>
        </w:rPr>
        <w:t>/d</w:t>
      </w:r>
      <w:r>
        <w:rPr>
          <w:rFonts w:ascii="SimSun" w:hAnsi="SimSun" w:eastAsia="SimSun" w:cs="SimSun"/>
          <w:sz w:val="24"/>
          <w:szCs w:val="24"/>
        </w:rPr>
        <w:t>（</w:t>
      </w: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1"/>
        </w:rPr>
        <w:t>94 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）。改扩建后矿坑水处</w:t>
      </w:r>
      <w:r>
        <w:rPr>
          <w:rFonts w:ascii="SimSun" w:hAnsi="SimSun" w:eastAsia="SimSun" w:cs="SimSun"/>
          <w:sz w:val="24"/>
          <w:szCs w:val="24"/>
          <w:spacing w:val="-1"/>
        </w:rPr>
        <w:t>理依托现有的矿井（坑）水处理站（处理规模</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750m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0"/>
        </w:rPr>
        <w:t>），</w:t>
      </w:r>
      <w:r>
        <w:rPr>
          <w:rFonts w:ascii="SimSun" w:hAnsi="SimSun" w:eastAsia="SimSun" w:cs="SimSun"/>
          <w:sz w:val="24"/>
          <w:szCs w:val="24"/>
          <w:spacing w:val="-1"/>
        </w:rPr>
        <w:t>可以容纳矿坑水及矿井水总</w:t>
      </w:r>
      <w:r>
        <w:rPr>
          <w:rFonts w:ascii="SimSun" w:hAnsi="SimSun" w:eastAsia="SimSun" w:cs="SimSun"/>
          <w:sz w:val="24"/>
          <w:szCs w:val="24"/>
          <w:spacing w:val="-2"/>
        </w:rPr>
        <w:t>排水量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11664m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486m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/h</w:t>
      </w:r>
      <w:r>
        <w:rPr>
          <w:rFonts w:ascii="SimSun" w:hAnsi="SimSun" w:eastAsia="SimSun" w:cs="SimSun"/>
          <w:sz w:val="24"/>
          <w:szCs w:val="24"/>
          <w:spacing w:val="-2"/>
        </w:rPr>
        <w:t>）。矿坑水污染物主要种类为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SS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COD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、石</w:t>
      </w:r>
      <w:r>
        <w:rPr>
          <w:rFonts w:ascii="SimSun" w:hAnsi="SimSun" w:eastAsia="SimSun" w:cs="SimSun"/>
          <w:sz w:val="24"/>
          <w:szCs w:val="24"/>
          <w:spacing w:val="-3"/>
        </w:rPr>
        <w:t>油类。改建前</w:t>
      </w:r>
      <w:r>
        <w:rPr>
          <w:rFonts w:ascii="SimSun" w:hAnsi="SimSun" w:eastAsia="SimSun" w:cs="SimSun"/>
          <w:sz w:val="24"/>
          <w:szCs w:val="24"/>
          <w:spacing w:val="-3"/>
        </w:rPr>
        <w:t>后，矿坑水水质变化幅度较小，</w:t>
      </w:r>
      <w:r>
        <w:rPr>
          <w:rFonts w:ascii="SimSun" w:hAnsi="SimSun" w:eastAsia="SimSun" w:cs="SimSun"/>
          <w:sz w:val="24"/>
          <w:szCs w:val="24"/>
          <w:spacing w:val="-50"/>
        </w:rPr>
        <w:t xml:space="preserve"> </w:t>
      </w:r>
      <w:r>
        <w:rPr>
          <w:rFonts w:ascii="SimSun" w:hAnsi="SimSun" w:eastAsia="SimSun" w:cs="SimSun"/>
          <w:sz w:val="24"/>
          <w:szCs w:val="24"/>
          <w:spacing w:val="-3"/>
        </w:rPr>
        <w:t>目前的矿井（坑）水处理站采取“混凝沉淀</w:t>
      </w:r>
      <w:r>
        <w:rPr>
          <w:rFonts w:ascii="Times New Roman" w:hAnsi="Times New Roman" w:eastAsia="Times New Roman" w:cs="Times New Roman"/>
          <w:sz w:val="24"/>
          <w:szCs w:val="24"/>
          <w:spacing w:val="-3"/>
        </w:rPr>
        <w:t>+</w:t>
      </w:r>
      <w:r>
        <w:rPr>
          <w:rFonts w:ascii="SimSun" w:hAnsi="SimSun" w:eastAsia="SimSun" w:cs="SimSun"/>
          <w:sz w:val="24"/>
          <w:szCs w:val="24"/>
          <w:spacing w:val="-3"/>
        </w:rPr>
        <w:t>过滤</w:t>
      </w:r>
      <w:r>
        <w:rPr>
          <w:rFonts w:ascii="SimSun" w:hAnsi="SimSun" w:eastAsia="SimSun" w:cs="SimSun"/>
          <w:sz w:val="24"/>
          <w:szCs w:val="24"/>
          <w:spacing w:val="-88"/>
        </w:rPr>
        <w:t xml:space="preserve"> </w:t>
      </w:r>
      <w:r>
        <w:rPr>
          <w:rFonts w:ascii="SimSun" w:hAnsi="SimSun" w:eastAsia="SimSun" w:cs="SimSun"/>
          <w:sz w:val="24"/>
          <w:szCs w:val="24"/>
          <w:spacing w:val="-3"/>
        </w:rPr>
        <w:t>”的</w:t>
      </w:r>
      <w:r>
        <w:rPr>
          <w:rFonts w:ascii="SimSun" w:hAnsi="SimSun" w:eastAsia="SimSun" w:cs="SimSun"/>
          <w:sz w:val="24"/>
          <w:szCs w:val="24"/>
          <w:spacing w:val="-2"/>
        </w:rPr>
        <w:t>处理工艺，该工艺能有效去除矿坑水中的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SS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COD</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，处理规模能容纳改建后水量，处</w:t>
      </w:r>
      <w:r>
        <w:rPr>
          <w:rFonts w:ascii="SimSun" w:hAnsi="SimSun" w:eastAsia="SimSun" w:cs="SimSun"/>
          <w:sz w:val="24"/>
          <w:szCs w:val="24"/>
          <w:spacing w:val="-2"/>
        </w:rPr>
        <w:t>理后的矿坑水回用于绿化洒水、抑尘洒水及生活用水，多余部分送往金山电厂用水，全</w:t>
      </w:r>
      <w:r>
        <w:rPr>
          <w:rFonts w:ascii="SimSun" w:hAnsi="SimSun" w:eastAsia="SimSun" w:cs="SimSun"/>
          <w:sz w:val="24"/>
          <w:szCs w:val="24"/>
          <w:spacing w:val="-2"/>
        </w:rPr>
        <w:t>部回用不外排。</w:t>
      </w:r>
    </w:p>
    <w:p>
      <w:pPr>
        <w:ind w:left="606"/>
        <w:spacing w:line="219"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SimSun" w:hAnsi="SimSun" w:eastAsia="SimSun" w:cs="SimSun"/>
          <w:sz w:val="24"/>
          <w:szCs w:val="24"/>
          <w:spacing w:val="-4"/>
        </w:rPr>
        <w:t>）</w:t>
      </w:r>
      <w:r>
        <w:rPr>
          <w:rFonts w:ascii="SimSun" w:hAnsi="SimSun" w:eastAsia="SimSun" w:cs="SimSun"/>
          <w:sz w:val="24"/>
          <w:szCs w:val="24"/>
          <w:spacing w:val="71"/>
        </w:rPr>
        <w:t xml:space="preserve"> </w:t>
      </w:r>
      <w:r>
        <w:rPr>
          <w:rFonts w:ascii="SimSun" w:hAnsi="SimSun" w:eastAsia="SimSun" w:cs="SimSun"/>
          <w:sz w:val="24"/>
          <w:szCs w:val="24"/>
          <w:spacing w:val="-4"/>
        </w:rPr>
        <w:t>生活污水</w:t>
      </w:r>
    </w:p>
    <w:p>
      <w:pPr>
        <w:ind w:left="601"/>
        <w:spacing w:before="154" w:line="219" w:lineRule="auto"/>
        <w:rPr>
          <w:rFonts w:ascii="SimSun" w:hAnsi="SimSun" w:eastAsia="SimSun" w:cs="SimSun"/>
          <w:sz w:val="24"/>
          <w:szCs w:val="24"/>
        </w:rPr>
      </w:pPr>
      <w:r>
        <w:rPr>
          <w:rFonts w:ascii="SimSun" w:hAnsi="SimSun" w:eastAsia="SimSun" w:cs="SimSun"/>
          <w:sz w:val="24"/>
          <w:szCs w:val="24"/>
          <w:spacing w:val="-1"/>
        </w:rPr>
        <w:t>生活污水主要来源于露天区工业场地劳动定员产生的生活污水。</w:t>
      </w:r>
    </w:p>
    <w:p>
      <w:pPr>
        <w:ind w:left="119" w:right="48" w:firstLine="509"/>
        <w:spacing w:before="161" w:line="338" w:lineRule="auto"/>
        <w:rPr>
          <w:rFonts w:ascii="SimSun" w:hAnsi="SimSun" w:eastAsia="SimSun" w:cs="SimSun"/>
          <w:sz w:val="24"/>
          <w:szCs w:val="24"/>
        </w:rPr>
      </w:pPr>
      <w:r>
        <w:rPr>
          <w:rFonts w:ascii="SimSun" w:hAnsi="SimSun" w:eastAsia="SimSun" w:cs="SimSun"/>
          <w:sz w:val="24"/>
          <w:szCs w:val="24"/>
          <w:spacing w:val="-3"/>
        </w:rPr>
        <w:t>由于劳动定员不变，因此露天区工业场地劳动定员产生的生活污水量与现状保持一</w:t>
      </w:r>
      <w:r>
        <w:rPr>
          <w:rFonts w:ascii="SimSun" w:hAnsi="SimSun" w:eastAsia="SimSun" w:cs="SimSun"/>
          <w:sz w:val="24"/>
          <w:szCs w:val="24"/>
          <w:spacing w:val="-4"/>
        </w:rPr>
        <w:t>致，其污水产生量为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4"/>
        </w:rPr>
        <w:t>422m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。污染物主要种类为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SS</w:t>
      </w:r>
      <w:r>
        <w:rPr>
          <w:rFonts w:ascii="Times New Roman" w:hAnsi="Times New Roman" w:eastAsia="Times New Roman" w:cs="Times New Roman"/>
          <w:sz w:val="24"/>
          <w:szCs w:val="24"/>
          <w:spacing w:val="-36"/>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COD</w:t>
      </w:r>
      <w:r>
        <w:rPr>
          <w:rFonts w:ascii="SimSun" w:hAnsi="SimSun" w:eastAsia="SimSun" w:cs="SimSun"/>
          <w:sz w:val="24"/>
          <w:szCs w:val="24"/>
          <w:spacing w:val="-5"/>
        </w:rPr>
        <w:t>、</w:t>
      </w:r>
      <w:r>
        <w:rPr>
          <w:rFonts w:ascii="Times New Roman" w:hAnsi="Times New Roman" w:eastAsia="Times New Roman" w:cs="Times New Roman"/>
          <w:sz w:val="24"/>
          <w:szCs w:val="24"/>
          <w:spacing w:val="-5"/>
        </w:rPr>
        <w:t>BOD</w:t>
      </w:r>
      <w:r>
        <w:rPr>
          <w:rFonts w:ascii="Times New Roman" w:hAnsi="Times New Roman" w:eastAsia="Times New Roman" w:cs="Times New Roman"/>
          <w:sz w:val="15"/>
          <w:szCs w:val="15"/>
          <w:spacing w:val="-5"/>
          <w:position w:val="-1"/>
        </w:rPr>
        <w:t>5</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5"/>
        </w:rPr>
        <w:t>、</w:t>
      </w:r>
      <w:r>
        <w:rPr>
          <w:rFonts w:ascii="Times New Roman" w:hAnsi="Times New Roman" w:eastAsia="Times New Roman" w:cs="Times New Roman"/>
          <w:sz w:val="24"/>
          <w:szCs w:val="24"/>
          <w:spacing w:val="-5"/>
        </w:rPr>
        <w:t>NH</w:t>
      </w:r>
      <w:r>
        <w:rPr>
          <w:rFonts w:ascii="Times New Roman" w:hAnsi="Times New Roman" w:eastAsia="Times New Roman" w:cs="Times New Roman"/>
          <w:sz w:val="15"/>
          <w:szCs w:val="15"/>
          <w:spacing w:val="-5"/>
        </w:rPr>
        <w:t>3</w:t>
      </w:r>
      <w:r>
        <w:rPr>
          <w:rFonts w:ascii="Times New Roman" w:hAnsi="Times New Roman" w:eastAsia="Times New Roman" w:cs="Times New Roman"/>
          <w:sz w:val="24"/>
          <w:szCs w:val="24"/>
          <w:spacing w:val="-5"/>
        </w:rPr>
        <w:t>-N</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5"/>
        </w:rPr>
        <w:t>。改建后，</w:t>
      </w:r>
      <w:r>
        <w:rPr>
          <w:rFonts w:ascii="SimSun" w:hAnsi="SimSun" w:eastAsia="SimSun" w:cs="SimSun"/>
          <w:sz w:val="24"/>
          <w:szCs w:val="24"/>
          <w:spacing w:val="-1"/>
        </w:rPr>
        <w:t>生活污水依托现有生活污水处理站（处理规模</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50m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/h</w:t>
      </w:r>
      <w:r>
        <w:rPr>
          <w:rFonts w:ascii="SimSun" w:hAnsi="SimSun" w:eastAsia="SimSun" w:cs="SimSun"/>
          <w:sz w:val="24"/>
          <w:szCs w:val="24"/>
          <w:spacing w:val="7"/>
        </w:rPr>
        <w:t>），</w:t>
      </w:r>
      <w:r>
        <w:rPr>
          <w:rFonts w:ascii="SimSun" w:hAnsi="SimSun" w:eastAsia="SimSun" w:cs="SimSun"/>
          <w:sz w:val="24"/>
          <w:szCs w:val="24"/>
          <w:spacing w:val="-1"/>
        </w:rPr>
        <w:t>采用“生物接触氧化工艺</w:t>
      </w:r>
      <w:r>
        <w:rPr>
          <w:rFonts w:ascii="Times New Roman" w:hAnsi="Times New Roman" w:eastAsia="Times New Roman" w:cs="Times New Roman"/>
          <w:sz w:val="24"/>
          <w:szCs w:val="24"/>
          <w:b/>
          <w:bCs/>
          <w:spacing w:val="-1"/>
        </w:rPr>
        <w:t>”</w:t>
      </w:r>
      <w:r>
        <w:rPr>
          <w:rFonts w:ascii="Times New Roman" w:hAnsi="Times New Roman" w:eastAsia="Times New Roman" w:cs="Times New Roman"/>
          <w:sz w:val="24"/>
          <w:szCs w:val="24"/>
          <w:b/>
          <w:bCs/>
          <w:spacing w:val="-31"/>
        </w:rPr>
        <w:t xml:space="preserve"> </w:t>
      </w:r>
      <w:r>
        <w:rPr>
          <w:rFonts w:ascii="SimSun" w:hAnsi="SimSun" w:eastAsia="SimSun" w:cs="SimSun"/>
          <w:sz w:val="24"/>
          <w:szCs w:val="24"/>
          <w:b/>
          <w:bCs/>
          <w:spacing w:val="-1"/>
        </w:rPr>
        <w:t>，</w:t>
      </w:r>
      <w:r>
        <w:rPr>
          <w:rFonts w:ascii="SimSun" w:hAnsi="SimSun" w:eastAsia="SimSun" w:cs="SimSun"/>
          <w:sz w:val="24"/>
          <w:szCs w:val="24"/>
          <w:spacing w:val="-2"/>
        </w:rPr>
        <w:t>该工艺能有效去除生活污水中的“</w:t>
      </w:r>
      <w:r>
        <w:rPr>
          <w:rFonts w:ascii="Times New Roman" w:hAnsi="Times New Roman" w:eastAsia="Times New Roman" w:cs="Times New Roman"/>
          <w:sz w:val="24"/>
          <w:szCs w:val="24"/>
          <w:spacing w:val="-2"/>
        </w:rPr>
        <w:t>SS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COD</w:t>
      </w:r>
      <w:r>
        <w:rPr>
          <w:rFonts w:ascii="SimSun" w:hAnsi="SimSun" w:eastAsia="SimSun" w:cs="SimSun"/>
          <w:sz w:val="24"/>
          <w:szCs w:val="24"/>
          <w:spacing w:val="-2"/>
        </w:rPr>
        <w:t>、</w:t>
      </w:r>
      <w:r>
        <w:rPr>
          <w:rFonts w:ascii="Times New Roman" w:hAnsi="Times New Roman" w:eastAsia="Times New Roman" w:cs="Times New Roman"/>
          <w:sz w:val="24"/>
          <w:szCs w:val="24"/>
          <w:spacing w:val="-2"/>
        </w:rPr>
        <w:t>BOD</w:t>
      </w:r>
      <w:r>
        <w:rPr>
          <w:rFonts w:ascii="Times New Roman" w:hAnsi="Times New Roman" w:eastAsia="Times New Roman" w:cs="Times New Roman"/>
          <w:sz w:val="15"/>
          <w:szCs w:val="15"/>
          <w:spacing w:val="-2"/>
          <w:position w:val="-1"/>
        </w:rPr>
        <w:t>5</w:t>
      </w:r>
      <w:r>
        <w:rPr>
          <w:rFonts w:ascii="Times New Roman" w:hAnsi="Times New Roman" w:eastAsia="Times New Roman" w:cs="Times New Roman"/>
          <w:sz w:val="15"/>
          <w:szCs w:val="15"/>
          <w:spacing w:val="-15"/>
          <w:position w:val="-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NH</w:t>
      </w:r>
      <w:r>
        <w:rPr>
          <w:rFonts w:ascii="Times New Roman" w:hAnsi="Times New Roman" w:eastAsia="Times New Roman" w:cs="Times New Roman"/>
          <w:sz w:val="15"/>
          <w:szCs w:val="15"/>
          <w:spacing w:val="-2"/>
        </w:rPr>
        <w:t>3</w:t>
      </w:r>
      <w:r>
        <w:rPr>
          <w:rFonts w:ascii="Times New Roman" w:hAnsi="Times New Roman" w:eastAsia="Times New Roman" w:cs="Times New Roman"/>
          <w:sz w:val="24"/>
          <w:szCs w:val="24"/>
          <w:spacing w:val="-2"/>
        </w:rPr>
        <w:t>-N</w:t>
      </w:r>
      <w:r>
        <w:rPr>
          <w:rFonts w:ascii="Times New Roman" w:hAnsi="Times New Roman" w:eastAsia="Times New Roman" w:cs="Times New Roman"/>
          <w:sz w:val="24"/>
          <w:szCs w:val="24"/>
          <w:spacing w:val="-24"/>
        </w:rPr>
        <w:t xml:space="preserve"> </w:t>
      </w:r>
      <w:r>
        <w:rPr>
          <w:rFonts w:ascii="SimSun" w:hAnsi="SimSun" w:eastAsia="SimSun" w:cs="SimSun"/>
          <w:sz w:val="24"/>
          <w:szCs w:val="24"/>
          <w:b/>
          <w:bCs/>
          <w:spacing w:val="-2"/>
        </w:rPr>
        <w:t>”，</w:t>
      </w:r>
      <w:r>
        <w:rPr>
          <w:rFonts w:ascii="SimSun" w:hAnsi="SimSun" w:eastAsia="SimSun" w:cs="SimSun"/>
          <w:sz w:val="24"/>
          <w:szCs w:val="24"/>
          <w:spacing w:val="-2"/>
        </w:rPr>
        <w:t>本次改</w:t>
      </w:r>
      <w:r>
        <w:rPr>
          <w:rFonts w:ascii="SimSun" w:hAnsi="SimSun" w:eastAsia="SimSun" w:cs="SimSun"/>
          <w:sz w:val="24"/>
          <w:szCs w:val="24"/>
          <w:spacing w:val="-3"/>
        </w:rPr>
        <w:t>建工程不新增</w:t>
      </w:r>
      <w:r>
        <w:rPr>
          <w:rFonts w:ascii="SimSun" w:hAnsi="SimSun" w:eastAsia="SimSun" w:cs="SimSun"/>
          <w:sz w:val="24"/>
          <w:szCs w:val="24"/>
          <w:spacing w:val="-2"/>
        </w:rPr>
        <w:t>劳动定员，处理工艺、处理后水质要求、处理后的生活污水用于道路、绿化洒水、输煤</w:t>
      </w:r>
      <w:r>
        <w:rPr>
          <w:rFonts w:ascii="SimSun" w:hAnsi="SimSun" w:eastAsia="SimSun" w:cs="SimSun"/>
          <w:sz w:val="24"/>
          <w:szCs w:val="24"/>
          <w:spacing w:val="-1"/>
        </w:rPr>
        <w:t>系统洒水、汽车冲洗水、金山电厂绿化洒水，不外排。</w:t>
      </w:r>
    </w:p>
    <w:p>
      <w:pPr>
        <w:ind w:left="600"/>
        <w:spacing w:line="218" w:lineRule="auto"/>
        <w:rPr>
          <w:rFonts w:ascii="SimSun" w:hAnsi="SimSun" w:eastAsia="SimSun" w:cs="SimSun"/>
          <w:sz w:val="24"/>
          <w:szCs w:val="24"/>
        </w:rPr>
      </w:pPr>
      <w:r>
        <w:rPr>
          <w:rFonts w:ascii="SimSun" w:hAnsi="SimSun" w:eastAsia="SimSun" w:cs="SimSun"/>
          <w:sz w:val="24"/>
          <w:szCs w:val="24"/>
          <w:spacing w:val="-1"/>
        </w:rPr>
        <w:t>本项目废水污染源强及排放情况见表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3-6-5</w:t>
      </w:r>
      <w:r>
        <w:rPr>
          <w:rFonts w:ascii="SimSun" w:hAnsi="SimSun" w:eastAsia="SimSun" w:cs="SimSun"/>
          <w:sz w:val="24"/>
          <w:szCs w:val="24"/>
          <w:spacing w:val="-1"/>
        </w:rPr>
        <w:t>。</w:t>
      </w:r>
    </w:p>
    <w:p>
      <w:pPr>
        <w:ind w:left="1763"/>
        <w:spacing w:before="282" w:line="221" w:lineRule="auto"/>
        <w:rPr>
          <w:rFonts w:ascii="SimHei" w:hAnsi="SimHei" w:eastAsia="SimHei" w:cs="SimHei"/>
          <w:sz w:val="24"/>
          <w:szCs w:val="24"/>
        </w:rPr>
      </w:pPr>
      <w:r>
        <w:rPr>
          <w:rFonts w:ascii="SimHei" w:hAnsi="SimHei" w:eastAsia="SimHei" w:cs="SimHei"/>
          <w:sz w:val="24"/>
          <w:szCs w:val="24"/>
          <w:b/>
          <w:bCs/>
          <w:spacing w:val="-2"/>
        </w:rPr>
        <w:t>废水污染源、污染防治措施与污染物产、排情</w:t>
      </w:r>
      <w:r>
        <w:rPr>
          <w:rFonts w:ascii="SimHei" w:hAnsi="SimHei" w:eastAsia="SimHei" w:cs="SimHei"/>
          <w:sz w:val="24"/>
          <w:szCs w:val="24"/>
          <w:b/>
          <w:bCs/>
          <w:spacing w:val="-3"/>
        </w:rPr>
        <w:t>况一览表</w:t>
      </w:r>
    </w:p>
    <w:p>
      <w:pPr>
        <w:ind w:left="117"/>
        <w:spacing w:before="105"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3-6-5</w:t>
      </w:r>
    </w:p>
    <w:p>
      <w:pPr>
        <w:spacing w:line="30"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32"/>
        <w:gridCol w:w="1031"/>
        <w:gridCol w:w="1082"/>
        <w:gridCol w:w="1274"/>
        <w:gridCol w:w="1269"/>
        <w:gridCol w:w="2802"/>
      </w:tblGrid>
      <w:tr>
        <w:trPr>
          <w:trHeight w:val="280" w:hRule="atLeast"/>
        </w:trPr>
        <w:tc>
          <w:tcPr>
            <w:tcW w:w="1832" w:type="dxa"/>
            <w:vAlign w:val="top"/>
            <w:vMerge w:val="restart"/>
            <w:tcBorders>
              <w:bottom w:val="nil"/>
            </w:tcBorders>
          </w:tcPr>
          <w:p>
            <w:pPr>
              <w:spacing w:line="242" w:lineRule="auto"/>
              <w:rPr>
                <w:rFonts w:ascii="Arial"/>
                <w:sz w:val="21"/>
              </w:rPr>
            </w:pPr>
            <w:r/>
          </w:p>
          <w:p>
            <w:pPr>
              <w:ind w:left="501"/>
              <w:spacing w:before="65" w:line="228" w:lineRule="auto"/>
              <w:rPr>
                <w:rFonts w:ascii="SimSun" w:hAnsi="SimSun" w:eastAsia="SimSun" w:cs="SimSun"/>
                <w:sz w:val="20"/>
                <w:szCs w:val="20"/>
              </w:rPr>
            </w:pPr>
            <w:r>
              <w:rPr>
                <w:rFonts w:ascii="SimSun" w:hAnsi="SimSun" w:eastAsia="SimSun" w:cs="SimSun"/>
                <w:sz w:val="20"/>
                <w:szCs w:val="20"/>
                <w:spacing w:val="7"/>
              </w:rPr>
              <w:t>污水来源</w:t>
            </w:r>
          </w:p>
        </w:tc>
        <w:tc>
          <w:tcPr>
            <w:tcW w:w="1031" w:type="dxa"/>
            <w:vAlign w:val="top"/>
            <w:vMerge w:val="restart"/>
            <w:tcBorders>
              <w:bottom w:val="nil"/>
            </w:tcBorders>
          </w:tcPr>
          <w:p>
            <w:pPr>
              <w:pStyle w:val="TableText"/>
              <w:ind w:left="120" w:right="128" w:firstLine="82"/>
              <w:spacing w:before="175" w:line="258" w:lineRule="auto"/>
              <w:rPr>
                <w:rFonts w:ascii="SimSun" w:hAnsi="SimSun" w:eastAsia="SimSun" w:cs="SimSun"/>
              </w:rPr>
            </w:pPr>
            <w:r>
              <w:rPr>
                <w:rFonts w:ascii="SimSun" w:hAnsi="SimSun" w:eastAsia="SimSun" w:cs="SimSun"/>
                <w:spacing w:val="7"/>
              </w:rPr>
              <w:t>废水量</w:t>
            </w:r>
            <w:r>
              <w:rPr>
                <w:rFonts w:ascii="SimSun" w:hAnsi="SimSun" w:eastAsia="SimSun" w:cs="SimSun"/>
              </w:rPr>
              <w:t>（</w:t>
            </w:r>
            <w:r>
              <w:rPr/>
              <w:t>m</w:t>
            </w:r>
            <w:r>
              <w:rPr>
                <w:sz w:val="13"/>
                <w:szCs w:val="13"/>
                <w:position w:val="6"/>
              </w:rPr>
              <w:t>3</w:t>
            </w:r>
            <w:r>
              <w:rPr/>
              <w:t>/d</w:t>
            </w:r>
            <w:r>
              <w:rPr>
                <w:rFonts w:ascii="SimSun" w:hAnsi="SimSun" w:eastAsia="SimSun" w:cs="SimSun"/>
              </w:rPr>
              <w:t>）</w:t>
            </w:r>
          </w:p>
        </w:tc>
        <w:tc>
          <w:tcPr>
            <w:tcW w:w="1082" w:type="dxa"/>
            <w:vAlign w:val="top"/>
            <w:vMerge w:val="restart"/>
            <w:tcBorders>
              <w:bottom w:val="nil"/>
            </w:tcBorders>
          </w:tcPr>
          <w:p>
            <w:pPr>
              <w:ind w:left="350" w:right="332" w:hanging="14"/>
              <w:spacing w:before="175" w:line="252" w:lineRule="auto"/>
              <w:rPr>
                <w:rFonts w:ascii="SimSun" w:hAnsi="SimSun" w:eastAsia="SimSun" w:cs="SimSun"/>
                <w:sz w:val="20"/>
                <w:szCs w:val="20"/>
              </w:rPr>
            </w:pPr>
            <w:r>
              <w:rPr>
                <w:rFonts w:ascii="SimSun" w:hAnsi="SimSun" w:eastAsia="SimSun" w:cs="SimSun"/>
                <w:sz w:val="20"/>
                <w:szCs w:val="20"/>
                <w:spacing w:val="3"/>
              </w:rPr>
              <w:t>污染</w:t>
            </w:r>
            <w:r>
              <w:rPr>
                <w:rFonts w:ascii="SimSun" w:hAnsi="SimSun" w:eastAsia="SimSun" w:cs="SimSun"/>
                <w:sz w:val="20"/>
                <w:szCs w:val="20"/>
                <w:spacing w:val="-4"/>
              </w:rPr>
              <w:t>因子</w:t>
            </w:r>
          </w:p>
        </w:tc>
        <w:tc>
          <w:tcPr>
            <w:tcW w:w="2543" w:type="dxa"/>
            <w:vAlign w:val="top"/>
            <w:gridSpan w:val="2"/>
          </w:tcPr>
          <w:p>
            <w:pPr>
              <w:ind w:left="648"/>
              <w:spacing w:before="33" w:line="218" w:lineRule="auto"/>
              <w:rPr>
                <w:rFonts w:ascii="SimSun" w:hAnsi="SimSun" w:eastAsia="SimSun" w:cs="SimSun"/>
                <w:sz w:val="20"/>
                <w:szCs w:val="20"/>
              </w:rPr>
            </w:pPr>
            <w:r>
              <w:rPr>
                <w:rFonts w:ascii="SimSun" w:hAnsi="SimSun" w:eastAsia="SimSun" w:cs="SimSun"/>
                <w:sz w:val="20"/>
                <w:szCs w:val="20"/>
                <w:spacing w:val="8"/>
              </w:rPr>
              <w:t>污染物产生量</w:t>
            </w:r>
          </w:p>
        </w:tc>
        <w:tc>
          <w:tcPr>
            <w:tcW w:w="2802" w:type="dxa"/>
            <w:vAlign w:val="top"/>
            <w:vMerge w:val="restart"/>
            <w:tcBorders>
              <w:bottom w:val="nil"/>
            </w:tcBorders>
          </w:tcPr>
          <w:p>
            <w:pPr>
              <w:spacing w:line="243" w:lineRule="auto"/>
              <w:rPr>
                <w:rFonts w:ascii="Arial"/>
                <w:sz w:val="21"/>
              </w:rPr>
            </w:pPr>
            <w:r/>
          </w:p>
          <w:p>
            <w:pPr>
              <w:ind w:left="463"/>
              <w:spacing w:before="65" w:line="228" w:lineRule="auto"/>
              <w:rPr>
                <w:rFonts w:ascii="SimSun" w:hAnsi="SimSun" w:eastAsia="SimSun" w:cs="SimSun"/>
                <w:sz w:val="20"/>
                <w:szCs w:val="20"/>
              </w:rPr>
            </w:pPr>
            <w:r>
              <w:rPr>
                <w:rFonts w:ascii="SimSun" w:hAnsi="SimSun" w:eastAsia="SimSun" w:cs="SimSun"/>
                <w:sz w:val="20"/>
                <w:szCs w:val="20"/>
                <w:spacing w:val="8"/>
              </w:rPr>
              <w:t>治理措施及排放去向</w:t>
            </w:r>
          </w:p>
        </w:tc>
      </w:tr>
      <w:tr>
        <w:trPr>
          <w:trHeight w:val="548" w:hRule="atLeast"/>
        </w:trPr>
        <w:tc>
          <w:tcPr>
            <w:tcW w:w="1832" w:type="dxa"/>
            <w:vAlign w:val="top"/>
            <w:vMerge w:val="continue"/>
            <w:tcBorders>
              <w:top w:val="nil"/>
            </w:tcBorders>
          </w:tcPr>
          <w:p>
            <w:pPr>
              <w:rPr>
                <w:rFonts w:ascii="Arial"/>
                <w:sz w:val="21"/>
              </w:rPr>
            </w:pPr>
            <w:r/>
          </w:p>
        </w:tc>
        <w:tc>
          <w:tcPr>
            <w:tcW w:w="1031" w:type="dxa"/>
            <w:vAlign w:val="top"/>
            <w:vMerge w:val="continue"/>
            <w:tcBorders>
              <w:top w:val="nil"/>
            </w:tcBorders>
          </w:tcPr>
          <w:p>
            <w:pPr>
              <w:rPr>
                <w:rFonts w:ascii="Arial"/>
                <w:sz w:val="21"/>
              </w:rPr>
            </w:pPr>
            <w:r/>
          </w:p>
        </w:tc>
        <w:tc>
          <w:tcPr>
            <w:tcW w:w="1082" w:type="dxa"/>
            <w:vAlign w:val="top"/>
            <w:vMerge w:val="continue"/>
            <w:tcBorders>
              <w:top w:val="nil"/>
            </w:tcBorders>
          </w:tcPr>
          <w:p>
            <w:pPr>
              <w:rPr>
                <w:rFonts w:ascii="Arial"/>
                <w:sz w:val="21"/>
              </w:rPr>
            </w:pPr>
            <w:r/>
          </w:p>
        </w:tc>
        <w:tc>
          <w:tcPr>
            <w:tcW w:w="1274" w:type="dxa"/>
            <w:vAlign w:val="top"/>
          </w:tcPr>
          <w:p>
            <w:pPr>
              <w:pStyle w:val="TableText"/>
              <w:ind w:left="213" w:right="216" w:firstLine="217"/>
              <w:spacing w:before="28" w:line="235" w:lineRule="auto"/>
              <w:rPr>
                <w:rFonts w:ascii="SimSun" w:hAnsi="SimSun" w:eastAsia="SimSun" w:cs="SimSun"/>
              </w:rPr>
            </w:pPr>
            <w:r>
              <w:rPr>
                <w:rFonts w:ascii="SimSun" w:hAnsi="SimSun" w:eastAsia="SimSun" w:cs="SimSun"/>
                <w:spacing w:val="6"/>
              </w:rPr>
              <w:t>浓度</w:t>
            </w:r>
            <w:r>
              <w:rPr>
                <w:rFonts w:ascii="SimSun" w:hAnsi="SimSun" w:eastAsia="SimSun" w:cs="SimSun"/>
              </w:rPr>
              <w:t xml:space="preserve"> </w:t>
            </w:r>
            <w:r>
              <w:rPr>
                <w:rFonts w:ascii="SimSun" w:hAnsi="SimSun" w:eastAsia="SimSun" w:cs="SimSun"/>
                <w:spacing w:val="1"/>
              </w:rPr>
              <w:t>（</w:t>
            </w:r>
            <w:r>
              <w:rPr/>
              <w:t>mg</w:t>
            </w:r>
            <w:r>
              <w:rPr>
                <w:spacing w:val="1"/>
              </w:rPr>
              <w:t>/L</w:t>
            </w:r>
            <w:r>
              <w:rPr>
                <w:rFonts w:ascii="SimSun" w:hAnsi="SimSun" w:eastAsia="SimSun" w:cs="SimSun"/>
                <w:spacing w:val="1"/>
              </w:rPr>
              <w:t>）</w:t>
            </w:r>
          </w:p>
        </w:tc>
        <w:tc>
          <w:tcPr>
            <w:tcW w:w="1269" w:type="dxa"/>
            <w:vAlign w:val="top"/>
          </w:tcPr>
          <w:p>
            <w:pPr>
              <w:pStyle w:val="TableText"/>
              <w:ind w:left="333" w:right="319" w:hanging="10"/>
              <w:spacing w:before="28" w:line="235" w:lineRule="auto"/>
              <w:rPr>
                <w:rFonts w:ascii="SimSun" w:hAnsi="SimSun" w:eastAsia="SimSun" w:cs="SimSun"/>
              </w:rPr>
            </w:pPr>
            <w:r>
              <w:rPr>
                <w:rFonts w:ascii="SimSun" w:hAnsi="SimSun" w:eastAsia="SimSun" w:cs="SimSun"/>
                <w:spacing w:val="6"/>
              </w:rPr>
              <w:t>产生量</w:t>
            </w:r>
            <w:r>
              <w:rPr>
                <w:rFonts w:ascii="SimSun" w:hAnsi="SimSun" w:eastAsia="SimSun" w:cs="SimSun"/>
              </w:rPr>
              <w:t>（</w:t>
            </w:r>
            <w:r>
              <w:rPr/>
              <w:t>t/a</w:t>
            </w:r>
            <w:r>
              <w:rPr>
                <w:rFonts w:ascii="SimSun" w:hAnsi="SimSun" w:eastAsia="SimSun" w:cs="SimSun"/>
              </w:rPr>
              <w:t>）</w:t>
            </w:r>
          </w:p>
        </w:tc>
        <w:tc>
          <w:tcPr>
            <w:tcW w:w="2802" w:type="dxa"/>
            <w:vAlign w:val="top"/>
            <w:vMerge w:val="continue"/>
            <w:tcBorders>
              <w:top w:val="nil"/>
            </w:tcBorders>
          </w:tcPr>
          <w:p>
            <w:pPr>
              <w:rPr>
                <w:rFonts w:ascii="Arial"/>
                <w:sz w:val="21"/>
              </w:rPr>
            </w:pPr>
            <w:r/>
          </w:p>
        </w:tc>
      </w:tr>
      <w:tr>
        <w:trPr>
          <w:trHeight w:val="247" w:hRule="atLeast"/>
        </w:trPr>
        <w:tc>
          <w:tcPr>
            <w:tcW w:w="1832" w:type="dxa"/>
            <w:vAlign w:val="top"/>
            <w:vMerge w:val="restart"/>
            <w:tcBorders>
              <w:bottom w:val="nil"/>
            </w:tcBorders>
          </w:tcPr>
          <w:p>
            <w:pPr>
              <w:spacing w:line="373" w:lineRule="auto"/>
              <w:rPr>
                <w:rFonts w:ascii="Arial"/>
                <w:sz w:val="21"/>
              </w:rPr>
            </w:pPr>
            <w:r/>
          </w:p>
          <w:p>
            <w:pPr>
              <w:ind w:left="602"/>
              <w:spacing w:before="65" w:line="228" w:lineRule="auto"/>
              <w:rPr>
                <w:rFonts w:ascii="SimSun" w:hAnsi="SimSun" w:eastAsia="SimSun" w:cs="SimSun"/>
                <w:sz w:val="20"/>
                <w:szCs w:val="20"/>
              </w:rPr>
            </w:pPr>
            <w:r>
              <w:rPr>
                <w:rFonts w:ascii="SimSun" w:hAnsi="SimSun" w:eastAsia="SimSun" w:cs="SimSun"/>
                <w:sz w:val="20"/>
                <w:szCs w:val="20"/>
                <w:spacing w:val="7"/>
              </w:rPr>
              <w:t>矿坑水</w:t>
            </w:r>
          </w:p>
        </w:tc>
        <w:tc>
          <w:tcPr>
            <w:tcW w:w="1031" w:type="dxa"/>
            <w:vAlign w:val="top"/>
            <w:vMerge w:val="restart"/>
            <w:tcBorders>
              <w:bottom w:val="nil"/>
            </w:tcBorders>
          </w:tcPr>
          <w:p>
            <w:pPr>
              <w:spacing w:line="417" w:lineRule="auto"/>
              <w:rPr>
                <w:rFonts w:ascii="Arial"/>
                <w:sz w:val="21"/>
              </w:rPr>
            </w:pPr>
            <w:r/>
          </w:p>
          <w:p>
            <w:pPr>
              <w:pStyle w:val="TableText"/>
              <w:ind w:left="307"/>
              <w:spacing w:before="57" w:line="195" w:lineRule="auto"/>
              <w:rPr/>
            </w:pPr>
            <w:r>
              <w:rPr>
                <w:spacing w:val="3"/>
              </w:rPr>
              <w:t>9456</w:t>
            </w:r>
          </w:p>
        </w:tc>
        <w:tc>
          <w:tcPr>
            <w:tcW w:w="1082" w:type="dxa"/>
            <w:vAlign w:val="top"/>
          </w:tcPr>
          <w:p>
            <w:pPr>
              <w:pStyle w:val="TableText"/>
              <w:ind w:left="433"/>
              <w:spacing w:before="53" w:line="192" w:lineRule="auto"/>
              <w:rPr/>
            </w:pPr>
            <w:r>
              <w:rPr>
                <w:spacing w:val="-3"/>
              </w:rPr>
              <w:t>SS</w:t>
            </w:r>
          </w:p>
        </w:tc>
        <w:tc>
          <w:tcPr>
            <w:tcW w:w="1274" w:type="dxa"/>
            <w:vAlign w:val="top"/>
          </w:tcPr>
          <w:p>
            <w:pPr>
              <w:pStyle w:val="TableText"/>
              <w:ind w:left="536"/>
              <w:spacing w:before="53" w:line="192" w:lineRule="auto"/>
              <w:rPr/>
            </w:pPr>
            <w:r>
              <w:rPr/>
              <w:t>30</w:t>
            </w:r>
          </w:p>
        </w:tc>
        <w:tc>
          <w:tcPr>
            <w:tcW w:w="1269" w:type="dxa"/>
            <w:vAlign w:val="top"/>
          </w:tcPr>
          <w:p>
            <w:pPr>
              <w:pStyle w:val="TableText"/>
              <w:ind w:left="402"/>
              <w:spacing w:before="53" w:line="192" w:lineRule="auto"/>
              <w:rPr/>
            </w:pPr>
            <w:r>
              <w:rPr>
                <w:spacing w:val="3"/>
              </w:rPr>
              <w:t>93.61</w:t>
            </w:r>
          </w:p>
        </w:tc>
        <w:tc>
          <w:tcPr>
            <w:tcW w:w="2802" w:type="dxa"/>
            <w:vAlign w:val="top"/>
            <w:vMerge w:val="restart"/>
            <w:tcBorders>
              <w:bottom w:val="nil"/>
            </w:tcBorders>
          </w:tcPr>
          <w:p>
            <w:pPr>
              <w:ind w:left="143"/>
              <w:spacing w:before="33" w:line="228" w:lineRule="auto"/>
              <w:rPr>
                <w:rFonts w:ascii="SimSun" w:hAnsi="SimSun" w:eastAsia="SimSun" w:cs="SimSun"/>
                <w:sz w:val="20"/>
                <w:szCs w:val="20"/>
              </w:rPr>
            </w:pPr>
            <w:r>
              <w:rPr>
                <w:rFonts w:ascii="SimSun" w:hAnsi="SimSun" w:eastAsia="SimSun" w:cs="SimSun"/>
                <w:sz w:val="20"/>
                <w:szCs w:val="20"/>
                <w:spacing w:val="9"/>
              </w:rPr>
              <w:t>矿坑排水经矿井（坑）水处</w:t>
            </w:r>
          </w:p>
          <w:p>
            <w:pPr>
              <w:ind w:left="146"/>
              <w:spacing w:before="24" w:line="228" w:lineRule="auto"/>
              <w:rPr>
                <w:rFonts w:ascii="SimSun" w:hAnsi="SimSun" w:eastAsia="SimSun" w:cs="SimSun"/>
                <w:sz w:val="20"/>
                <w:szCs w:val="20"/>
              </w:rPr>
            </w:pPr>
            <w:r>
              <w:rPr>
                <w:rFonts w:ascii="SimSun" w:hAnsi="SimSun" w:eastAsia="SimSun" w:cs="SimSun"/>
                <w:sz w:val="20"/>
                <w:szCs w:val="20"/>
                <w:spacing w:val="8"/>
              </w:rPr>
              <w:t>理站处理达标后用于生产、</w:t>
            </w:r>
          </w:p>
          <w:p>
            <w:pPr>
              <w:ind w:left="145"/>
              <w:spacing w:before="24" w:line="228" w:lineRule="auto"/>
              <w:rPr>
                <w:rFonts w:ascii="SimSun" w:hAnsi="SimSun" w:eastAsia="SimSun" w:cs="SimSun"/>
                <w:sz w:val="20"/>
                <w:szCs w:val="20"/>
              </w:rPr>
            </w:pPr>
            <w:r>
              <w:rPr>
                <w:rFonts w:ascii="SimSun" w:hAnsi="SimSun" w:eastAsia="SimSun" w:cs="SimSun"/>
                <w:sz w:val="20"/>
                <w:szCs w:val="20"/>
                <w:spacing w:val="9"/>
              </w:rPr>
              <w:t>生活等用水，多余部分输送</w:t>
            </w:r>
          </w:p>
          <w:p>
            <w:pPr>
              <w:ind w:left="565"/>
              <w:spacing w:before="26" w:line="215" w:lineRule="auto"/>
              <w:rPr>
                <w:rFonts w:ascii="SimSun" w:hAnsi="SimSun" w:eastAsia="SimSun" w:cs="SimSun"/>
                <w:sz w:val="20"/>
                <w:szCs w:val="20"/>
              </w:rPr>
            </w:pPr>
            <w:r>
              <w:rPr>
                <w:rFonts w:ascii="SimSun" w:hAnsi="SimSun" w:eastAsia="SimSun" w:cs="SimSun"/>
                <w:sz w:val="20"/>
                <w:szCs w:val="20"/>
                <w:spacing w:val="7"/>
              </w:rPr>
              <w:t>至金山电厂用水。</w:t>
            </w:r>
          </w:p>
        </w:tc>
      </w:tr>
      <w:tr>
        <w:trPr>
          <w:trHeight w:val="246" w:hRule="atLeast"/>
        </w:trPr>
        <w:tc>
          <w:tcPr>
            <w:tcW w:w="1832" w:type="dxa"/>
            <w:vAlign w:val="top"/>
            <w:vMerge w:val="continue"/>
            <w:tcBorders>
              <w:top w:val="nil"/>
              <w:bottom w:val="nil"/>
            </w:tcBorders>
          </w:tcPr>
          <w:p>
            <w:pPr>
              <w:rPr>
                <w:rFonts w:ascii="Arial"/>
                <w:sz w:val="21"/>
              </w:rPr>
            </w:pPr>
            <w:r/>
          </w:p>
        </w:tc>
        <w:tc>
          <w:tcPr>
            <w:tcW w:w="1031" w:type="dxa"/>
            <w:vAlign w:val="top"/>
            <w:vMerge w:val="continue"/>
            <w:tcBorders>
              <w:top w:val="nil"/>
              <w:bottom w:val="nil"/>
            </w:tcBorders>
          </w:tcPr>
          <w:p>
            <w:pPr>
              <w:rPr>
                <w:rFonts w:ascii="Arial"/>
                <w:sz w:val="21"/>
              </w:rPr>
            </w:pPr>
            <w:r/>
          </w:p>
        </w:tc>
        <w:tc>
          <w:tcPr>
            <w:tcW w:w="1082" w:type="dxa"/>
            <w:vAlign w:val="top"/>
          </w:tcPr>
          <w:p>
            <w:pPr>
              <w:pStyle w:val="TableText"/>
              <w:ind w:left="324"/>
              <w:spacing w:before="52" w:line="191" w:lineRule="auto"/>
              <w:rPr/>
            </w:pPr>
            <w:r>
              <w:rPr>
                <w:spacing w:val="3"/>
              </w:rPr>
              <w:t>COD</w:t>
            </w:r>
          </w:p>
        </w:tc>
        <w:tc>
          <w:tcPr>
            <w:tcW w:w="1274" w:type="dxa"/>
            <w:vAlign w:val="top"/>
          </w:tcPr>
          <w:p>
            <w:pPr>
              <w:pStyle w:val="TableText"/>
              <w:ind w:left="537"/>
              <w:spacing w:before="52" w:line="191" w:lineRule="auto"/>
              <w:rPr/>
            </w:pPr>
            <w:r>
              <w:rPr/>
              <w:t>60</w:t>
            </w:r>
          </w:p>
        </w:tc>
        <w:tc>
          <w:tcPr>
            <w:tcW w:w="1269" w:type="dxa"/>
            <w:vAlign w:val="top"/>
          </w:tcPr>
          <w:p>
            <w:pPr>
              <w:pStyle w:val="TableText"/>
              <w:ind w:left="368"/>
              <w:spacing w:before="52" w:line="191" w:lineRule="auto"/>
              <w:rPr/>
            </w:pPr>
            <w:r>
              <w:rPr/>
              <w:t>187.22</w:t>
            </w:r>
          </w:p>
        </w:tc>
        <w:tc>
          <w:tcPr>
            <w:tcW w:w="2802" w:type="dxa"/>
            <w:vAlign w:val="top"/>
            <w:vMerge w:val="continue"/>
            <w:tcBorders>
              <w:top w:val="nil"/>
              <w:bottom w:val="nil"/>
            </w:tcBorders>
          </w:tcPr>
          <w:p>
            <w:pPr>
              <w:rPr>
                <w:rFonts w:ascii="Arial"/>
                <w:sz w:val="21"/>
              </w:rPr>
            </w:pPr>
            <w:r/>
          </w:p>
        </w:tc>
      </w:tr>
      <w:tr>
        <w:trPr>
          <w:trHeight w:val="589" w:hRule="atLeast"/>
        </w:trPr>
        <w:tc>
          <w:tcPr>
            <w:tcW w:w="1832" w:type="dxa"/>
            <w:vAlign w:val="top"/>
            <w:vMerge w:val="continue"/>
            <w:tcBorders>
              <w:top w:val="nil"/>
            </w:tcBorders>
          </w:tcPr>
          <w:p>
            <w:pPr>
              <w:rPr>
                <w:rFonts w:ascii="Arial"/>
                <w:sz w:val="21"/>
              </w:rPr>
            </w:pPr>
            <w:r/>
          </w:p>
        </w:tc>
        <w:tc>
          <w:tcPr>
            <w:tcW w:w="1031" w:type="dxa"/>
            <w:vAlign w:val="top"/>
            <w:vMerge w:val="continue"/>
            <w:tcBorders>
              <w:top w:val="nil"/>
            </w:tcBorders>
          </w:tcPr>
          <w:p>
            <w:pPr>
              <w:rPr>
                <w:rFonts w:ascii="Arial"/>
                <w:sz w:val="21"/>
              </w:rPr>
            </w:pPr>
            <w:r/>
          </w:p>
        </w:tc>
        <w:tc>
          <w:tcPr>
            <w:tcW w:w="1082" w:type="dxa"/>
            <w:vAlign w:val="top"/>
          </w:tcPr>
          <w:p>
            <w:pPr>
              <w:ind w:left="229"/>
              <w:spacing w:before="187" w:line="228" w:lineRule="auto"/>
              <w:rPr>
                <w:rFonts w:ascii="SimSun" w:hAnsi="SimSun" w:eastAsia="SimSun" w:cs="SimSun"/>
                <w:sz w:val="20"/>
                <w:szCs w:val="20"/>
              </w:rPr>
            </w:pPr>
            <w:r>
              <w:rPr>
                <w:rFonts w:ascii="SimSun" w:hAnsi="SimSun" w:eastAsia="SimSun" w:cs="SimSun"/>
                <w:sz w:val="20"/>
                <w:szCs w:val="20"/>
                <w:spacing w:val="6"/>
              </w:rPr>
              <w:t>石油类</w:t>
            </w:r>
          </w:p>
        </w:tc>
        <w:tc>
          <w:tcPr>
            <w:tcW w:w="1274" w:type="dxa"/>
            <w:vAlign w:val="top"/>
          </w:tcPr>
          <w:p>
            <w:pPr>
              <w:pStyle w:val="TableText"/>
              <w:ind w:left="605"/>
              <w:spacing w:before="224" w:line="195" w:lineRule="auto"/>
              <w:rPr/>
            </w:pPr>
            <w:r>
              <w:rPr/>
              <w:t>1</w:t>
            </w:r>
          </w:p>
        </w:tc>
        <w:tc>
          <w:tcPr>
            <w:tcW w:w="1269" w:type="dxa"/>
            <w:vAlign w:val="top"/>
          </w:tcPr>
          <w:p>
            <w:pPr>
              <w:pStyle w:val="TableText"/>
              <w:ind w:left="453"/>
              <w:spacing w:before="223" w:line="195" w:lineRule="auto"/>
              <w:rPr/>
            </w:pPr>
            <w:r>
              <w:rPr>
                <w:spacing w:val="-4"/>
              </w:rPr>
              <w:t>3.</w:t>
            </w:r>
            <w:r>
              <w:rPr>
                <w:spacing w:val="-23"/>
              </w:rPr>
              <w:t xml:space="preserve"> </w:t>
            </w:r>
            <w:r>
              <w:rPr>
                <w:spacing w:val="-4"/>
              </w:rPr>
              <w:t>12</w:t>
            </w:r>
          </w:p>
        </w:tc>
        <w:tc>
          <w:tcPr>
            <w:tcW w:w="2802" w:type="dxa"/>
            <w:vAlign w:val="top"/>
            <w:vMerge w:val="continue"/>
            <w:tcBorders>
              <w:top w:val="nil"/>
            </w:tcBorders>
          </w:tcPr>
          <w:p>
            <w:pPr>
              <w:rPr>
                <w:rFonts w:ascii="Arial"/>
                <w:sz w:val="21"/>
              </w:rPr>
            </w:pPr>
            <w:r/>
          </w:p>
        </w:tc>
      </w:tr>
      <w:tr>
        <w:trPr>
          <w:trHeight w:val="246" w:hRule="atLeast"/>
        </w:trPr>
        <w:tc>
          <w:tcPr>
            <w:tcW w:w="1832" w:type="dxa"/>
            <w:vAlign w:val="top"/>
            <w:vMerge w:val="restart"/>
            <w:tcBorders>
              <w:bottom w:val="nil"/>
            </w:tcBorders>
          </w:tcPr>
          <w:p>
            <w:pPr>
              <w:spacing w:line="254" w:lineRule="auto"/>
              <w:rPr>
                <w:rFonts w:ascii="Arial"/>
                <w:sz w:val="21"/>
              </w:rPr>
            </w:pPr>
            <w:r/>
          </w:p>
          <w:p>
            <w:pPr>
              <w:spacing w:line="255" w:lineRule="auto"/>
              <w:rPr>
                <w:rFonts w:ascii="Arial"/>
                <w:sz w:val="21"/>
              </w:rPr>
            </w:pPr>
            <w:r/>
          </w:p>
          <w:p>
            <w:pPr>
              <w:ind w:left="501"/>
              <w:spacing w:before="65" w:line="228" w:lineRule="auto"/>
              <w:rPr>
                <w:rFonts w:ascii="SimSun" w:hAnsi="SimSun" w:eastAsia="SimSun" w:cs="SimSun"/>
                <w:sz w:val="20"/>
                <w:szCs w:val="20"/>
              </w:rPr>
            </w:pPr>
            <w:r>
              <w:rPr>
                <w:rFonts w:ascii="SimSun" w:hAnsi="SimSun" w:eastAsia="SimSun" w:cs="SimSun"/>
                <w:sz w:val="20"/>
                <w:szCs w:val="20"/>
                <w:spacing w:val="7"/>
              </w:rPr>
              <w:t>生活污水</w:t>
            </w:r>
          </w:p>
        </w:tc>
        <w:tc>
          <w:tcPr>
            <w:tcW w:w="1031" w:type="dxa"/>
            <w:vAlign w:val="top"/>
            <w:vMerge w:val="restart"/>
            <w:tcBorders>
              <w:bottom w:val="nil"/>
            </w:tcBorders>
          </w:tcPr>
          <w:p>
            <w:pPr>
              <w:spacing w:line="276" w:lineRule="auto"/>
              <w:rPr>
                <w:rFonts w:ascii="Arial"/>
                <w:sz w:val="21"/>
              </w:rPr>
            </w:pPr>
            <w:r/>
          </w:p>
          <w:p>
            <w:pPr>
              <w:spacing w:line="277" w:lineRule="auto"/>
              <w:rPr>
                <w:rFonts w:ascii="Arial"/>
                <w:sz w:val="21"/>
              </w:rPr>
            </w:pPr>
            <w:r/>
          </w:p>
          <w:p>
            <w:pPr>
              <w:pStyle w:val="TableText"/>
              <w:ind w:left="355"/>
              <w:spacing w:before="57" w:line="195" w:lineRule="auto"/>
              <w:rPr/>
            </w:pPr>
            <w:r>
              <w:rPr>
                <w:spacing w:val="4"/>
              </w:rPr>
              <w:t>422</w:t>
            </w:r>
          </w:p>
        </w:tc>
        <w:tc>
          <w:tcPr>
            <w:tcW w:w="1082" w:type="dxa"/>
            <w:vAlign w:val="top"/>
          </w:tcPr>
          <w:p>
            <w:pPr>
              <w:pStyle w:val="TableText"/>
              <w:ind w:left="433"/>
              <w:spacing w:before="54" w:line="189" w:lineRule="auto"/>
              <w:rPr/>
            </w:pPr>
            <w:r>
              <w:rPr>
                <w:spacing w:val="-3"/>
              </w:rPr>
              <w:t>SS</w:t>
            </w:r>
          </w:p>
        </w:tc>
        <w:tc>
          <w:tcPr>
            <w:tcW w:w="1274" w:type="dxa"/>
            <w:vAlign w:val="top"/>
          </w:tcPr>
          <w:p>
            <w:pPr>
              <w:pStyle w:val="TableText"/>
              <w:ind w:left="536"/>
              <w:spacing w:before="54" w:line="189" w:lineRule="auto"/>
              <w:rPr/>
            </w:pPr>
            <w:r>
              <w:rPr>
                <w:spacing w:val="1"/>
              </w:rPr>
              <w:t>70</w:t>
            </w:r>
          </w:p>
        </w:tc>
        <w:tc>
          <w:tcPr>
            <w:tcW w:w="1269" w:type="dxa"/>
            <w:vAlign w:val="top"/>
          </w:tcPr>
          <w:p>
            <w:pPr>
              <w:pStyle w:val="TableText"/>
              <w:ind w:left="418"/>
              <w:spacing w:before="54" w:line="189" w:lineRule="auto"/>
              <w:rPr/>
            </w:pPr>
            <w:r>
              <w:rPr>
                <w:spacing w:val="-1"/>
              </w:rPr>
              <w:t>10.78</w:t>
            </w:r>
          </w:p>
        </w:tc>
        <w:tc>
          <w:tcPr>
            <w:tcW w:w="2802" w:type="dxa"/>
            <w:vAlign w:val="top"/>
            <w:vMerge w:val="restart"/>
            <w:tcBorders>
              <w:bottom w:val="nil"/>
            </w:tcBorders>
          </w:tcPr>
          <w:p>
            <w:pPr>
              <w:ind w:left="145"/>
              <w:spacing w:before="32" w:line="228" w:lineRule="auto"/>
              <w:rPr>
                <w:rFonts w:ascii="SimSun" w:hAnsi="SimSun" w:eastAsia="SimSun" w:cs="SimSun"/>
                <w:sz w:val="20"/>
                <w:szCs w:val="20"/>
              </w:rPr>
            </w:pPr>
            <w:r>
              <w:rPr>
                <w:rFonts w:ascii="SimSun" w:hAnsi="SimSun" w:eastAsia="SimSun" w:cs="SimSun"/>
                <w:sz w:val="20"/>
                <w:szCs w:val="20"/>
                <w:spacing w:val="9"/>
              </w:rPr>
              <w:t>生活污水经生活污水处理站</w:t>
            </w:r>
          </w:p>
          <w:p>
            <w:pPr>
              <w:ind w:left="148"/>
              <w:spacing w:before="26" w:line="228" w:lineRule="auto"/>
              <w:rPr>
                <w:rFonts w:ascii="SimSun" w:hAnsi="SimSun" w:eastAsia="SimSun" w:cs="SimSun"/>
                <w:sz w:val="20"/>
                <w:szCs w:val="20"/>
              </w:rPr>
            </w:pPr>
            <w:r>
              <w:rPr>
                <w:rFonts w:ascii="SimSun" w:hAnsi="SimSun" w:eastAsia="SimSun" w:cs="SimSun"/>
                <w:sz w:val="20"/>
                <w:szCs w:val="20"/>
                <w:spacing w:val="8"/>
              </w:rPr>
              <w:t>处理达标后用于道路、绿化</w:t>
            </w:r>
          </w:p>
          <w:p>
            <w:pPr>
              <w:ind w:left="146"/>
              <w:spacing w:before="24" w:line="228" w:lineRule="auto"/>
              <w:rPr>
                <w:rFonts w:ascii="SimSun" w:hAnsi="SimSun" w:eastAsia="SimSun" w:cs="SimSun"/>
                <w:sz w:val="20"/>
                <w:szCs w:val="20"/>
              </w:rPr>
            </w:pPr>
            <w:r>
              <w:rPr>
                <w:rFonts w:ascii="SimSun" w:hAnsi="SimSun" w:eastAsia="SimSun" w:cs="SimSun"/>
                <w:sz w:val="20"/>
                <w:szCs w:val="20"/>
                <w:spacing w:val="9"/>
              </w:rPr>
              <w:t>洒水、输煤系统洒水、汽车</w:t>
            </w:r>
          </w:p>
          <w:p>
            <w:pPr>
              <w:ind w:left="144"/>
              <w:spacing w:before="26" w:line="228" w:lineRule="auto"/>
              <w:rPr>
                <w:rFonts w:ascii="SimSun" w:hAnsi="SimSun" w:eastAsia="SimSun" w:cs="SimSun"/>
                <w:sz w:val="20"/>
                <w:szCs w:val="20"/>
              </w:rPr>
            </w:pPr>
            <w:r>
              <w:rPr>
                <w:rFonts w:ascii="SimSun" w:hAnsi="SimSun" w:eastAsia="SimSun" w:cs="SimSun"/>
                <w:sz w:val="20"/>
                <w:szCs w:val="20"/>
                <w:spacing w:val="9"/>
              </w:rPr>
              <w:t>冲洗水，金山电厂绿化洒水</w:t>
            </w:r>
          </w:p>
          <w:p>
            <w:pPr>
              <w:ind w:left="987"/>
              <w:spacing w:before="24" w:line="220" w:lineRule="auto"/>
              <w:rPr>
                <w:rFonts w:ascii="SimSun" w:hAnsi="SimSun" w:eastAsia="SimSun" w:cs="SimSun"/>
                <w:sz w:val="20"/>
                <w:szCs w:val="20"/>
              </w:rPr>
            </w:pPr>
            <w:r>
              <w:rPr>
                <w:rFonts w:ascii="SimSun" w:hAnsi="SimSun" w:eastAsia="SimSun" w:cs="SimSun"/>
                <w:sz w:val="20"/>
                <w:szCs w:val="20"/>
                <w:spacing w:val="4"/>
              </w:rPr>
              <w:t>不外排。</w:t>
            </w:r>
          </w:p>
        </w:tc>
      </w:tr>
      <w:tr>
        <w:trPr>
          <w:trHeight w:val="247" w:hRule="atLeast"/>
        </w:trPr>
        <w:tc>
          <w:tcPr>
            <w:tcW w:w="1832" w:type="dxa"/>
            <w:vAlign w:val="top"/>
            <w:vMerge w:val="continue"/>
            <w:tcBorders>
              <w:top w:val="nil"/>
              <w:bottom w:val="nil"/>
            </w:tcBorders>
          </w:tcPr>
          <w:p>
            <w:pPr>
              <w:rPr>
                <w:rFonts w:ascii="Arial"/>
                <w:sz w:val="21"/>
              </w:rPr>
            </w:pPr>
            <w:r/>
          </w:p>
        </w:tc>
        <w:tc>
          <w:tcPr>
            <w:tcW w:w="1031" w:type="dxa"/>
            <w:vAlign w:val="top"/>
            <w:vMerge w:val="continue"/>
            <w:tcBorders>
              <w:top w:val="nil"/>
              <w:bottom w:val="nil"/>
            </w:tcBorders>
          </w:tcPr>
          <w:p>
            <w:pPr>
              <w:rPr>
                <w:rFonts w:ascii="Arial"/>
                <w:sz w:val="21"/>
              </w:rPr>
            </w:pPr>
            <w:r/>
          </w:p>
        </w:tc>
        <w:tc>
          <w:tcPr>
            <w:tcW w:w="1082" w:type="dxa"/>
            <w:vAlign w:val="top"/>
          </w:tcPr>
          <w:p>
            <w:pPr>
              <w:pStyle w:val="TableText"/>
              <w:ind w:left="284"/>
              <w:spacing w:before="55" w:line="189" w:lineRule="auto"/>
              <w:rPr>
                <w:sz w:val="13"/>
                <w:szCs w:val="13"/>
              </w:rPr>
            </w:pPr>
            <w:r>
              <w:rPr>
                <w:spacing w:val="5"/>
              </w:rPr>
              <w:t>BOD</w:t>
            </w:r>
            <w:r>
              <w:rPr>
                <w:sz w:val="13"/>
                <w:szCs w:val="13"/>
                <w:spacing w:val="5"/>
                <w:position w:val="-1"/>
              </w:rPr>
              <w:t>5</w:t>
            </w:r>
          </w:p>
        </w:tc>
        <w:tc>
          <w:tcPr>
            <w:tcW w:w="1274" w:type="dxa"/>
            <w:vAlign w:val="top"/>
          </w:tcPr>
          <w:p>
            <w:pPr>
              <w:pStyle w:val="TableText"/>
              <w:ind w:left="532"/>
              <w:spacing w:before="55" w:line="189" w:lineRule="auto"/>
              <w:rPr/>
            </w:pPr>
            <w:r>
              <w:rPr>
                <w:spacing w:val="2"/>
              </w:rPr>
              <w:t>20</w:t>
            </w:r>
          </w:p>
        </w:tc>
        <w:tc>
          <w:tcPr>
            <w:tcW w:w="1269" w:type="dxa"/>
            <w:vAlign w:val="top"/>
          </w:tcPr>
          <w:p>
            <w:pPr>
              <w:pStyle w:val="TableText"/>
              <w:ind w:left="453"/>
              <w:spacing w:before="55" w:line="189" w:lineRule="auto"/>
              <w:rPr/>
            </w:pPr>
            <w:r>
              <w:rPr>
                <w:spacing w:val="3"/>
              </w:rPr>
              <w:t>3.08</w:t>
            </w:r>
          </w:p>
        </w:tc>
        <w:tc>
          <w:tcPr>
            <w:tcW w:w="2802" w:type="dxa"/>
            <w:vAlign w:val="top"/>
            <w:vMerge w:val="continue"/>
            <w:tcBorders>
              <w:top w:val="nil"/>
              <w:bottom w:val="nil"/>
            </w:tcBorders>
          </w:tcPr>
          <w:p>
            <w:pPr>
              <w:rPr>
                <w:rFonts w:ascii="Arial"/>
                <w:sz w:val="21"/>
              </w:rPr>
            </w:pPr>
            <w:r/>
          </w:p>
        </w:tc>
      </w:tr>
      <w:tr>
        <w:trPr>
          <w:trHeight w:val="247" w:hRule="atLeast"/>
        </w:trPr>
        <w:tc>
          <w:tcPr>
            <w:tcW w:w="1832" w:type="dxa"/>
            <w:vAlign w:val="top"/>
            <w:vMerge w:val="continue"/>
            <w:tcBorders>
              <w:top w:val="nil"/>
              <w:bottom w:val="nil"/>
            </w:tcBorders>
          </w:tcPr>
          <w:p>
            <w:pPr>
              <w:rPr>
                <w:rFonts w:ascii="Arial"/>
                <w:sz w:val="21"/>
              </w:rPr>
            </w:pPr>
            <w:r/>
          </w:p>
        </w:tc>
        <w:tc>
          <w:tcPr>
            <w:tcW w:w="1031" w:type="dxa"/>
            <w:vAlign w:val="top"/>
            <w:vMerge w:val="continue"/>
            <w:tcBorders>
              <w:top w:val="nil"/>
              <w:bottom w:val="nil"/>
            </w:tcBorders>
          </w:tcPr>
          <w:p>
            <w:pPr>
              <w:rPr>
                <w:rFonts w:ascii="Arial"/>
                <w:sz w:val="21"/>
              </w:rPr>
            </w:pPr>
            <w:r/>
          </w:p>
        </w:tc>
        <w:tc>
          <w:tcPr>
            <w:tcW w:w="1082" w:type="dxa"/>
            <w:vAlign w:val="top"/>
          </w:tcPr>
          <w:p>
            <w:pPr>
              <w:pStyle w:val="TableText"/>
              <w:ind w:left="324"/>
              <w:spacing w:before="55" w:line="189" w:lineRule="auto"/>
              <w:rPr/>
            </w:pPr>
            <w:r>
              <w:rPr>
                <w:spacing w:val="3"/>
              </w:rPr>
              <w:t>COD</w:t>
            </w:r>
          </w:p>
        </w:tc>
        <w:tc>
          <w:tcPr>
            <w:tcW w:w="1274" w:type="dxa"/>
            <w:vAlign w:val="top"/>
          </w:tcPr>
          <w:p>
            <w:pPr>
              <w:pStyle w:val="TableText"/>
              <w:ind w:left="502"/>
              <w:spacing w:before="55" w:line="189" w:lineRule="auto"/>
              <w:rPr/>
            </w:pPr>
            <w:r>
              <w:rPr>
                <w:spacing w:val="-3"/>
              </w:rPr>
              <w:t>100</w:t>
            </w:r>
          </w:p>
        </w:tc>
        <w:tc>
          <w:tcPr>
            <w:tcW w:w="1269" w:type="dxa"/>
            <w:vAlign w:val="top"/>
          </w:tcPr>
          <w:p>
            <w:pPr>
              <w:pStyle w:val="TableText"/>
              <w:ind w:left="418"/>
              <w:spacing w:before="55" w:line="189" w:lineRule="auto"/>
              <w:rPr/>
            </w:pPr>
            <w:r>
              <w:rPr>
                <w:spacing w:val="-1"/>
              </w:rPr>
              <w:t>15.40</w:t>
            </w:r>
          </w:p>
        </w:tc>
        <w:tc>
          <w:tcPr>
            <w:tcW w:w="2802" w:type="dxa"/>
            <w:vAlign w:val="top"/>
            <w:vMerge w:val="continue"/>
            <w:tcBorders>
              <w:top w:val="nil"/>
              <w:bottom w:val="nil"/>
            </w:tcBorders>
          </w:tcPr>
          <w:p>
            <w:pPr>
              <w:rPr>
                <w:rFonts w:ascii="Arial"/>
                <w:sz w:val="21"/>
              </w:rPr>
            </w:pPr>
            <w:r/>
          </w:p>
        </w:tc>
      </w:tr>
      <w:tr>
        <w:trPr>
          <w:trHeight w:val="616" w:hRule="atLeast"/>
        </w:trPr>
        <w:tc>
          <w:tcPr>
            <w:tcW w:w="1832" w:type="dxa"/>
            <w:vAlign w:val="top"/>
            <w:vMerge w:val="continue"/>
            <w:tcBorders>
              <w:top w:val="nil"/>
            </w:tcBorders>
          </w:tcPr>
          <w:p>
            <w:pPr>
              <w:rPr>
                <w:rFonts w:ascii="Arial"/>
                <w:sz w:val="21"/>
              </w:rPr>
            </w:pPr>
            <w:r/>
          </w:p>
        </w:tc>
        <w:tc>
          <w:tcPr>
            <w:tcW w:w="1031" w:type="dxa"/>
            <w:vAlign w:val="top"/>
            <w:vMerge w:val="continue"/>
            <w:tcBorders>
              <w:top w:val="nil"/>
            </w:tcBorders>
          </w:tcPr>
          <w:p>
            <w:pPr>
              <w:rPr>
                <w:rFonts w:ascii="Arial"/>
                <w:sz w:val="21"/>
              </w:rPr>
            </w:pPr>
            <w:r/>
          </w:p>
        </w:tc>
        <w:tc>
          <w:tcPr>
            <w:tcW w:w="1082" w:type="dxa"/>
            <w:vAlign w:val="top"/>
          </w:tcPr>
          <w:p>
            <w:pPr>
              <w:pStyle w:val="TableText"/>
              <w:ind w:left="237"/>
              <w:spacing w:before="238" w:line="209" w:lineRule="auto"/>
              <w:rPr/>
            </w:pPr>
            <w:r>
              <w:rPr/>
              <w:t>NH</w:t>
            </w:r>
            <w:r>
              <w:rPr>
                <w:sz w:val="13"/>
                <w:szCs w:val="13"/>
                <w:spacing w:val="10"/>
              </w:rPr>
              <w:t>3</w:t>
            </w:r>
            <w:r>
              <w:rPr>
                <w:spacing w:val="10"/>
              </w:rPr>
              <w:t>-N</w:t>
            </w:r>
          </w:p>
        </w:tc>
        <w:tc>
          <w:tcPr>
            <w:tcW w:w="1274" w:type="dxa"/>
            <w:vAlign w:val="top"/>
          </w:tcPr>
          <w:p>
            <w:pPr>
              <w:pStyle w:val="TableText"/>
              <w:ind w:left="552"/>
              <w:spacing w:before="235" w:line="195" w:lineRule="auto"/>
              <w:rPr/>
            </w:pPr>
            <w:r>
              <w:rPr>
                <w:spacing w:val="-8"/>
              </w:rPr>
              <w:t>15</w:t>
            </w:r>
          </w:p>
        </w:tc>
        <w:tc>
          <w:tcPr>
            <w:tcW w:w="1269" w:type="dxa"/>
            <w:vAlign w:val="top"/>
          </w:tcPr>
          <w:p>
            <w:pPr>
              <w:pStyle w:val="TableText"/>
              <w:ind w:left="449"/>
              <w:spacing w:before="235" w:line="195" w:lineRule="auto"/>
              <w:rPr/>
            </w:pPr>
            <w:r>
              <w:rPr>
                <w:spacing w:val="4"/>
              </w:rPr>
              <w:t>2.31</w:t>
            </w:r>
          </w:p>
        </w:tc>
        <w:tc>
          <w:tcPr>
            <w:tcW w:w="2802" w:type="dxa"/>
            <w:vAlign w:val="top"/>
            <w:vMerge w:val="continue"/>
            <w:tcBorders>
              <w:top w:val="nil"/>
            </w:tcBorders>
          </w:tcPr>
          <w:p>
            <w:pPr>
              <w:rPr>
                <w:rFonts w:ascii="Arial"/>
                <w:sz w:val="21"/>
              </w:rPr>
            </w:pPr>
            <w:r/>
          </w:p>
        </w:tc>
      </w:tr>
    </w:tbl>
    <w:p>
      <w:pPr>
        <w:pStyle w:val="BodyText"/>
        <w:rPr/>
      </w:pPr>
      <w:r/>
    </w:p>
    <w:p>
      <w:pPr>
        <w:sectPr>
          <w:headerReference w:type="default" r:id="rId125"/>
          <w:footerReference w:type="default" r:id="rId233"/>
          <w:pgSz w:w="11906" w:h="16838"/>
          <w:pgMar w:top="1170" w:right="1304" w:bottom="1078" w:left="1305" w:header="837" w:footer="915" w:gutter="0"/>
        </w:sectPr>
        <w:rPr/>
      </w:pPr>
    </w:p>
    <w:p>
      <w:pPr>
        <w:pStyle w:val="BodyText"/>
        <w:spacing w:line="345" w:lineRule="auto"/>
        <w:rPr/>
      </w:pPr>
      <w:r/>
    </w:p>
    <w:p>
      <w:pPr>
        <w:ind w:left="3"/>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3.6.2.3 </w:t>
      </w:r>
      <w:r>
        <w:rPr>
          <w:rFonts w:ascii="SimHei" w:hAnsi="SimHei" w:eastAsia="SimHei" w:cs="SimHei"/>
          <w:sz w:val="24"/>
          <w:szCs w:val="24"/>
          <w:b/>
          <w:bCs/>
          <w:spacing w:val="-2"/>
        </w:rPr>
        <w:t>运营期固体废物防治措施</w:t>
      </w:r>
    </w:p>
    <w:p>
      <w:pPr>
        <w:ind w:left="3"/>
        <w:spacing w:before="192"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3.6.2.3.1.</w:t>
      </w:r>
      <w:r>
        <w:rPr>
          <w:rFonts w:ascii="SimHei" w:hAnsi="SimHei" w:eastAsia="SimHei" w:cs="SimHei"/>
          <w:sz w:val="24"/>
          <w:szCs w:val="24"/>
          <w:b/>
          <w:bCs/>
          <w:spacing w:val="-2"/>
        </w:rPr>
        <w:t>固体污染源防治措施</w:t>
      </w:r>
    </w:p>
    <w:p>
      <w:pPr>
        <w:ind w:left="510"/>
        <w:spacing w:before="159" w:line="220" w:lineRule="auto"/>
        <w:rPr>
          <w:rFonts w:ascii="SimSun" w:hAnsi="SimSun" w:eastAsia="SimSun" w:cs="SimSun"/>
          <w:sz w:val="24"/>
          <w:szCs w:val="24"/>
        </w:rPr>
      </w:pP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1"/>
        </w:rPr>
        <w:t>、煤矸石</w:t>
      </w:r>
    </w:p>
    <w:p>
      <w:pPr>
        <w:ind w:left="15" w:right="66" w:firstLine="477"/>
        <w:spacing w:before="155" w:line="338" w:lineRule="auto"/>
        <w:rPr>
          <w:rFonts w:ascii="SimSun" w:hAnsi="SimSun" w:eastAsia="SimSun" w:cs="SimSun"/>
          <w:sz w:val="24"/>
          <w:szCs w:val="24"/>
        </w:rPr>
      </w:pPr>
      <w:r>
        <w:rPr>
          <w:rFonts w:ascii="SimSun" w:hAnsi="SimSun" w:eastAsia="SimSun" w:cs="SimSun"/>
          <w:sz w:val="24"/>
          <w:szCs w:val="24"/>
          <w:spacing w:val="-4"/>
        </w:rPr>
        <w:t>本项目改建前后生产规模不变，产生选煤矸石保持不变。生产系统风选车间矸石</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4"/>
        </w:rPr>
        <w:t>50</w:t>
      </w:r>
      <w:r>
        <w:rPr>
          <w:rFonts w:ascii="SimSun" w:hAnsi="SimSun" w:eastAsia="SimSun" w:cs="SimSun"/>
          <w:sz w:val="24"/>
          <w:szCs w:val="24"/>
          <w:spacing w:val="-2"/>
        </w:rPr>
        <w:t>万</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t/a </w:t>
      </w:r>
      <w:r>
        <w:rPr>
          <w:rFonts w:ascii="SimSun" w:hAnsi="SimSun" w:eastAsia="SimSun" w:cs="SimSun"/>
          <w:sz w:val="24"/>
          <w:szCs w:val="24"/>
          <w:spacing w:val="-2"/>
        </w:rPr>
        <w:t>全部充填沉陷区。</w:t>
      </w:r>
    </w:p>
    <w:p>
      <w:pPr>
        <w:ind w:left="487"/>
        <w:spacing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、土岩剥离物</w:t>
      </w:r>
    </w:p>
    <w:p>
      <w:pPr>
        <w:ind w:left="490"/>
        <w:spacing w:before="155" w:line="219" w:lineRule="auto"/>
        <w:rPr>
          <w:rFonts w:ascii="SimSun" w:hAnsi="SimSun" w:eastAsia="SimSun" w:cs="SimSun"/>
          <w:sz w:val="24"/>
          <w:szCs w:val="24"/>
        </w:rPr>
      </w:pPr>
      <w:r>
        <w:rPr>
          <w:rFonts w:ascii="SimSun" w:hAnsi="SimSun" w:eastAsia="SimSun" w:cs="SimSun"/>
          <w:sz w:val="24"/>
          <w:szCs w:val="24"/>
          <w:spacing w:val="-2"/>
        </w:rPr>
        <w:t>采掘场的土岩剥离物</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5295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，部分用于沉陷区充填，部分运送至内排土场。</w:t>
      </w:r>
    </w:p>
    <w:p>
      <w:pPr>
        <w:ind w:left="492"/>
        <w:spacing w:before="155"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、生活垃圾</w:t>
      </w:r>
    </w:p>
    <w:p>
      <w:pPr>
        <w:ind w:left="9" w:right="66" w:firstLine="517"/>
        <w:spacing w:before="154" w:line="337" w:lineRule="auto"/>
        <w:rPr>
          <w:rFonts w:ascii="SimSun" w:hAnsi="SimSun" w:eastAsia="SimSun" w:cs="SimSun"/>
          <w:sz w:val="24"/>
          <w:szCs w:val="24"/>
        </w:rPr>
      </w:pPr>
      <w:r>
        <w:rPr>
          <w:rFonts w:ascii="SimSun" w:hAnsi="SimSun" w:eastAsia="SimSun" w:cs="SimSun"/>
          <w:sz w:val="24"/>
          <w:szCs w:val="24"/>
        </w:rPr>
        <w:t>白音华四号露天矿（露天区）劳动定员</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758 </w:t>
      </w:r>
      <w:r>
        <w:rPr>
          <w:rFonts w:ascii="SimSun" w:hAnsi="SimSun" w:eastAsia="SimSun" w:cs="SimSun"/>
          <w:sz w:val="24"/>
          <w:szCs w:val="24"/>
        </w:rPr>
        <w:t>人，生活垃圾</w:t>
      </w:r>
      <w:r>
        <w:rPr>
          <w:rFonts w:ascii="SimSun" w:hAnsi="SimSun" w:eastAsia="SimSun" w:cs="SimSun"/>
          <w:sz w:val="24"/>
          <w:szCs w:val="24"/>
          <w:spacing w:val="-1"/>
        </w:rPr>
        <w:t>产生量按</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0.8kg/d </w:t>
      </w:r>
      <w:r>
        <w:rPr>
          <w:rFonts w:ascii="SimSun" w:hAnsi="SimSun" w:eastAsia="SimSun" w:cs="SimSun"/>
          <w:sz w:val="24"/>
          <w:szCs w:val="24"/>
          <w:spacing w:val="-1"/>
        </w:rPr>
        <w:t>计，生</w:t>
      </w:r>
      <w:r>
        <w:rPr>
          <w:rFonts w:ascii="SimSun" w:hAnsi="SimSun" w:eastAsia="SimSun" w:cs="SimSun"/>
          <w:sz w:val="24"/>
          <w:szCs w:val="24"/>
          <w:spacing w:val="-2"/>
        </w:rPr>
        <w:t>活垃圾产生量为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11t/a</w:t>
      </w:r>
      <w:r>
        <w:rPr>
          <w:rFonts w:ascii="SimSun" w:hAnsi="SimSun" w:eastAsia="SimSun" w:cs="SimSun"/>
          <w:sz w:val="24"/>
          <w:szCs w:val="24"/>
          <w:spacing w:val="-2"/>
        </w:rPr>
        <w:t>。通过在主要建筑物及作业场所设置垃圾桶</w:t>
      </w:r>
      <w:r>
        <w:rPr>
          <w:rFonts w:ascii="SimSun" w:hAnsi="SimSun" w:eastAsia="SimSun" w:cs="SimSun"/>
          <w:sz w:val="24"/>
          <w:szCs w:val="24"/>
          <w:spacing w:val="-3"/>
        </w:rPr>
        <w:t>，配备垃圾车定时</w:t>
      </w:r>
      <w:r>
        <w:rPr>
          <w:rFonts w:ascii="SimSun" w:hAnsi="SimSun" w:eastAsia="SimSun" w:cs="SimSun"/>
          <w:sz w:val="24"/>
          <w:szCs w:val="24"/>
        </w:rPr>
        <w:t>清运生活垃圾，生活垃圾统一收集交予西乌旗白音华环卫</w:t>
      </w:r>
      <w:r>
        <w:rPr>
          <w:rFonts w:ascii="SimSun" w:hAnsi="SimSun" w:eastAsia="SimSun" w:cs="SimSun"/>
          <w:sz w:val="24"/>
          <w:szCs w:val="24"/>
          <w:spacing w:val="-1"/>
        </w:rPr>
        <w:t>部门处置统一收集处理。</w:t>
      </w:r>
    </w:p>
    <w:p>
      <w:pPr>
        <w:ind w:left="486"/>
        <w:spacing w:before="5"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、生活污水处理站污泥</w:t>
      </w:r>
    </w:p>
    <w:p>
      <w:pPr>
        <w:ind w:left="14" w:firstLine="478"/>
        <w:spacing w:before="156" w:line="338" w:lineRule="auto"/>
        <w:rPr>
          <w:rFonts w:ascii="SimSun" w:hAnsi="SimSun" w:eastAsia="SimSun" w:cs="SimSun"/>
          <w:sz w:val="24"/>
          <w:szCs w:val="24"/>
        </w:rPr>
      </w:pPr>
      <w:r>
        <w:rPr>
          <w:rFonts w:ascii="SimSun" w:hAnsi="SimSun" w:eastAsia="SimSun" w:cs="SimSun"/>
          <w:sz w:val="24"/>
          <w:szCs w:val="24"/>
          <w:spacing w:val="-6"/>
        </w:rPr>
        <w:t>本项目运营期生活污水污泥产生量为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18.7t</w:t>
      </w:r>
      <w:r>
        <w:rPr>
          <w:rFonts w:ascii="Times New Roman" w:hAnsi="Times New Roman" w:eastAsia="Times New Roman" w:cs="Times New Roman"/>
          <w:sz w:val="24"/>
          <w:szCs w:val="24"/>
          <w:spacing w:val="-7"/>
        </w:rPr>
        <w:t>/a</w:t>
      </w:r>
      <w:r>
        <w:rPr>
          <w:rFonts w:ascii="SimSun" w:hAnsi="SimSun" w:eastAsia="SimSun" w:cs="SimSun"/>
          <w:sz w:val="24"/>
          <w:szCs w:val="24"/>
          <w:spacing w:val="-7"/>
        </w:rPr>
        <w:t>。污泥经压滤脱水后，与生活垃圾一起，</w:t>
      </w:r>
      <w:r>
        <w:rPr>
          <w:rFonts w:ascii="SimSun" w:hAnsi="SimSun" w:eastAsia="SimSun" w:cs="SimSun"/>
          <w:sz w:val="24"/>
          <w:szCs w:val="24"/>
          <w:spacing w:val="-1"/>
        </w:rPr>
        <w:t>交予西乌旗白音华环卫部门统一收集处置。</w:t>
      </w:r>
    </w:p>
    <w:p>
      <w:pPr>
        <w:ind w:left="493"/>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、矿井水处理站煤泥</w:t>
      </w:r>
    </w:p>
    <w:p>
      <w:pPr>
        <w:ind w:left="10" w:right="66" w:firstLine="480"/>
        <w:spacing w:before="156" w:line="338" w:lineRule="auto"/>
        <w:rPr>
          <w:rFonts w:ascii="SimSun" w:hAnsi="SimSun" w:eastAsia="SimSun" w:cs="SimSun"/>
          <w:sz w:val="24"/>
          <w:szCs w:val="24"/>
        </w:rPr>
      </w:pPr>
      <w:r>
        <w:rPr>
          <w:rFonts w:ascii="SimSun" w:hAnsi="SimSun" w:eastAsia="SimSun" w:cs="SimSun"/>
          <w:sz w:val="24"/>
          <w:szCs w:val="24"/>
          <w:spacing w:val="-3"/>
        </w:rPr>
        <w:t>矿井（坑）水处理站煤泥的总产生量为</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3"/>
        </w:rPr>
        <w:t>171.62t/a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，压滤后定期与煤炭产品一同外运</w:t>
      </w:r>
      <w:r>
        <w:rPr>
          <w:rFonts w:ascii="SimSun" w:hAnsi="SimSun" w:eastAsia="SimSun" w:cs="SimSun"/>
          <w:sz w:val="24"/>
          <w:szCs w:val="24"/>
          <w:spacing w:val="-4"/>
        </w:rPr>
        <w:t>销售。</w:t>
      </w:r>
    </w:p>
    <w:p>
      <w:pPr>
        <w:ind w:left="492"/>
        <w:spacing w:line="220" w:lineRule="auto"/>
        <w:rPr>
          <w:rFonts w:ascii="SimSun" w:hAnsi="SimSun" w:eastAsia="SimSun" w:cs="SimSun"/>
          <w:sz w:val="24"/>
          <w:szCs w:val="24"/>
        </w:rPr>
      </w:pPr>
      <w:r>
        <w:rPr>
          <w:rFonts w:ascii="Times New Roman" w:hAnsi="Times New Roman" w:eastAsia="Times New Roman" w:cs="Times New Roman"/>
          <w:sz w:val="24"/>
          <w:szCs w:val="24"/>
          <w:spacing w:val="-7"/>
        </w:rPr>
        <w:t>6</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、危险废物</w:t>
      </w:r>
    </w:p>
    <w:p>
      <w:pPr>
        <w:ind w:left="9" w:right="66" w:firstLine="484"/>
        <w:spacing w:before="158" w:line="338" w:lineRule="auto"/>
        <w:rPr>
          <w:rFonts w:ascii="SimSun" w:hAnsi="SimSun" w:eastAsia="SimSun" w:cs="SimSun"/>
          <w:sz w:val="24"/>
          <w:szCs w:val="24"/>
        </w:rPr>
      </w:pPr>
      <w:r>
        <w:rPr>
          <w:rFonts w:ascii="SimSun" w:hAnsi="SimSun" w:eastAsia="SimSun" w:cs="SimSun"/>
          <w:sz w:val="24"/>
          <w:szCs w:val="24"/>
          <w:spacing w:val="-3"/>
        </w:rPr>
        <w:t>按照《国家危险废物名录》（</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年版</w:t>
      </w:r>
      <w:r>
        <w:rPr>
          <w:rFonts w:ascii="SimSun" w:hAnsi="SimSun" w:eastAsia="SimSun" w:cs="SimSun"/>
          <w:sz w:val="24"/>
          <w:szCs w:val="24"/>
          <w:spacing w:val="-8"/>
        </w:rPr>
        <w:t>），</w:t>
      </w:r>
      <w:r>
        <w:rPr>
          <w:rFonts w:ascii="SimSun" w:hAnsi="SimSun" w:eastAsia="SimSun" w:cs="SimSun"/>
          <w:sz w:val="24"/>
          <w:szCs w:val="24"/>
          <w:spacing w:val="-3"/>
        </w:rPr>
        <w:t>本项目可能产生的危险废物主要有：①</w:t>
      </w:r>
      <w:r>
        <w:rPr>
          <w:rFonts w:ascii="SimSun" w:hAnsi="SimSun" w:eastAsia="SimSun" w:cs="SimSun"/>
          <w:sz w:val="24"/>
          <w:szCs w:val="24"/>
          <w:spacing w:val="-2"/>
        </w:rPr>
        <w:t>清洗金属零部件过程中产生的清洗废油；②车辆、机械维修和拆解过程中产生的废润滑</w:t>
      </w:r>
      <w:r>
        <w:rPr>
          <w:rFonts w:ascii="SimSun" w:hAnsi="SimSun" w:eastAsia="SimSun" w:cs="SimSun"/>
          <w:sz w:val="24"/>
          <w:szCs w:val="24"/>
          <w:spacing w:val="-1"/>
        </w:rPr>
        <w:t>油；③液压设备维护、更换和拆解过程中产生的废液压油。</w:t>
      </w:r>
    </w:p>
    <w:p>
      <w:pPr>
        <w:ind w:left="8" w:firstLine="487"/>
        <w:spacing w:before="1" w:line="335" w:lineRule="auto"/>
        <w:jc w:val="both"/>
        <w:rPr>
          <w:rFonts w:ascii="SimSun" w:hAnsi="SimSun" w:eastAsia="SimSun" w:cs="SimSun"/>
          <w:sz w:val="24"/>
          <w:szCs w:val="24"/>
        </w:rPr>
      </w:pPr>
      <w:r>
        <w:rPr>
          <w:rFonts w:ascii="SimSun" w:hAnsi="SimSun" w:eastAsia="SimSun" w:cs="SimSun"/>
          <w:sz w:val="24"/>
          <w:szCs w:val="24"/>
          <w:spacing w:val="-7"/>
        </w:rPr>
        <w:t>项目改建后运营期危险废物产生量均未发生改变。危险废物包括废矿物油、废电瓶，</w:t>
      </w:r>
      <w:r>
        <w:rPr>
          <w:rFonts w:ascii="SimSun" w:hAnsi="SimSun" w:eastAsia="SimSun" w:cs="SimSun"/>
          <w:sz w:val="24"/>
          <w:szCs w:val="24"/>
        </w:rPr>
        <w:t>白音华四号露天矿（露天区）总产生量分别为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20t/a</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w:t>
      </w:r>
      <w:r>
        <w:rPr>
          <w:rFonts w:ascii="Times New Roman" w:hAnsi="Times New Roman" w:eastAsia="Times New Roman" w:cs="Times New Roman"/>
          <w:sz w:val="24"/>
          <w:szCs w:val="24"/>
        </w:rPr>
        <w:t>2.5t/a</w:t>
      </w:r>
      <w:r>
        <w:rPr>
          <w:rFonts w:ascii="Times New Roman" w:hAnsi="Times New Roman" w:eastAsia="Times New Roman" w:cs="Times New Roman"/>
          <w:sz w:val="24"/>
          <w:szCs w:val="24"/>
          <w:spacing w:val="-32"/>
        </w:rPr>
        <w:t xml:space="preserve"> </w:t>
      </w:r>
      <w:r>
        <w:rPr>
          <w:rFonts w:ascii="SimSun" w:hAnsi="SimSun" w:eastAsia="SimSun" w:cs="SimSun"/>
          <w:sz w:val="24"/>
          <w:szCs w:val="24"/>
        </w:rPr>
        <w:t>，废矿物油、</w:t>
      </w:r>
      <w:r>
        <w:rPr>
          <w:rFonts w:ascii="SimSun" w:hAnsi="SimSun" w:eastAsia="SimSun" w:cs="SimSun"/>
          <w:sz w:val="24"/>
          <w:szCs w:val="24"/>
          <w:spacing w:val="-1"/>
        </w:rPr>
        <w:t>废电池均暂存</w:t>
      </w:r>
      <w:r>
        <w:rPr>
          <w:rFonts w:ascii="SimSun" w:hAnsi="SimSun" w:eastAsia="SimSun" w:cs="SimSun"/>
          <w:sz w:val="24"/>
          <w:szCs w:val="24"/>
          <w:spacing w:val="-1"/>
        </w:rPr>
        <w:t>在危废暂存间，定期交予具有资质的单位进行处置。</w:t>
      </w:r>
    </w:p>
    <w:p>
      <w:pPr>
        <w:ind w:left="510"/>
        <w:spacing w:before="1" w:line="219" w:lineRule="auto"/>
        <w:rPr>
          <w:rFonts w:ascii="SimSun" w:hAnsi="SimSun" w:eastAsia="SimSun" w:cs="SimSun"/>
          <w:sz w:val="24"/>
          <w:szCs w:val="24"/>
        </w:rPr>
      </w:pPr>
      <w:r>
        <w:rPr>
          <w:rFonts w:ascii="SimSun" w:hAnsi="SimSun" w:eastAsia="SimSun" w:cs="SimSun"/>
          <w:sz w:val="24"/>
          <w:szCs w:val="24"/>
          <w:spacing w:val="-2"/>
        </w:rPr>
        <w:t>固体废物污染源、污染物产生、排放情况见表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3-6-6</w:t>
      </w:r>
      <w:r>
        <w:rPr>
          <w:rFonts w:ascii="SimSun" w:hAnsi="SimSun" w:eastAsia="SimSun" w:cs="SimSun"/>
          <w:sz w:val="24"/>
          <w:szCs w:val="24"/>
          <w:spacing w:val="-2"/>
        </w:rPr>
        <w:t>。</w:t>
      </w:r>
    </w:p>
    <w:p>
      <w:pPr>
        <w:spacing w:line="219" w:lineRule="auto"/>
        <w:sectPr>
          <w:headerReference w:type="default" r:id="rId234"/>
          <w:footerReference w:type="default" r:id="rId235"/>
          <w:pgSz w:w="11906" w:h="16838"/>
          <w:pgMar w:top="1170" w:right="1353" w:bottom="1078" w:left="1416" w:header="837" w:footer="915" w:gutter="0"/>
        </w:sectPr>
        <w:rPr>
          <w:rFonts w:ascii="SimSun" w:hAnsi="SimSun" w:eastAsia="SimSun" w:cs="SimSun"/>
          <w:sz w:val="24"/>
          <w:szCs w:val="24"/>
        </w:rPr>
      </w:pPr>
    </w:p>
    <w:p>
      <w:pPr>
        <w:pStyle w:val="BodyText"/>
        <w:spacing w:line="441" w:lineRule="auto"/>
        <w:rPr/>
      </w:pPr>
      <w:r/>
    </w:p>
    <w:p>
      <w:pPr>
        <w:ind w:left="4977"/>
        <w:spacing w:before="78" w:line="221" w:lineRule="auto"/>
        <w:rPr>
          <w:rFonts w:ascii="SimHei" w:hAnsi="SimHei" w:eastAsia="SimHei" w:cs="SimHei"/>
          <w:sz w:val="24"/>
          <w:szCs w:val="24"/>
        </w:rPr>
      </w:pPr>
      <w:r>
        <w:rPr>
          <w:rFonts w:ascii="SimHei" w:hAnsi="SimHei" w:eastAsia="SimHei" w:cs="SimHei"/>
          <w:sz w:val="24"/>
          <w:szCs w:val="24"/>
          <w:b/>
          <w:bCs/>
          <w:spacing w:val="-3"/>
        </w:rPr>
        <w:t>固体废物污染源、污染物产生、排放一览表</w:t>
      </w:r>
    </w:p>
    <w:p>
      <w:pPr>
        <w:ind w:left="108"/>
        <w:spacing w:before="102"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3-6-6</w:t>
      </w:r>
    </w:p>
    <w:p>
      <w:pPr>
        <w:spacing w:line="29" w:lineRule="exact"/>
        <w:rPr/>
      </w:pPr>
      <w:r/>
    </w:p>
    <w:tbl>
      <w:tblPr>
        <w:tblStyle w:val="TableNormal"/>
        <w:tblW w:w="1449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0"/>
        <w:gridCol w:w="3294"/>
        <w:gridCol w:w="1120"/>
        <w:gridCol w:w="914"/>
        <w:gridCol w:w="1615"/>
        <w:gridCol w:w="7008"/>
      </w:tblGrid>
      <w:tr>
        <w:trPr>
          <w:trHeight w:val="282" w:hRule="atLeast"/>
        </w:trPr>
        <w:tc>
          <w:tcPr>
            <w:tcW w:w="540" w:type="dxa"/>
            <w:vAlign w:val="top"/>
            <w:vMerge w:val="restart"/>
            <w:tcBorders>
              <w:bottom w:val="nil"/>
            </w:tcBorders>
          </w:tcPr>
          <w:p>
            <w:pPr>
              <w:ind w:left="62"/>
              <w:spacing w:before="173" w:line="229" w:lineRule="auto"/>
              <w:rPr>
                <w:rFonts w:ascii="SimSun" w:hAnsi="SimSun" w:eastAsia="SimSun" w:cs="SimSun"/>
                <w:sz w:val="20"/>
                <w:szCs w:val="20"/>
              </w:rPr>
            </w:pPr>
            <w:r>
              <w:rPr>
                <w:rFonts w:ascii="SimSun" w:hAnsi="SimSun" w:eastAsia="SimSun" w:cs="SimSun"/>
                <w:sz w:val="20"/>
                <w:szCs w:val="20"/>
                <w:spacing w:val="5"/>
              </w:rPr>
              <w:t>序号</w:t>
            </w:r>
          </w:p>
        </w:tc>
        <w:tc>
          <w:tcPr>
            <w:tcW w:w="4414" w:type="dxa"/>
            <w:vAlign w:val="top"/>
            <w:gridSpan w:val="2"/>
          </w:tcPr>
          <w:p>
            <w:pPr>
              <w:ind w:left="1684"/>
              <w:spacing w:before="35" w:line="218" w:lineRule="auto"/>
              <w:rPr>
                <w:rFonts w:ascii="SimSun" w:hAnsi="SimSun" w:eastAsia="SimSun" w:cs="SimSun"/>
                <w:sz w:val="20"/>
                <w:szCs w:val="20"/>
              </w:rPr>
            </w:pPr>
            <w:r>
              <w:rPr>
                <w:rFonts w:ascii="SimSun" w:hAnsi="SimSun" w:eastAsia="SimSun" w:cs="SimSun"/>
                <w:sz w:val="20"/>
                <w:szCs w:val="20"/>
                <w:spacing w:val="7"/>
              </w:rPr>
              <w:t>污染物种类</w:t>
            </w:r>
          </w:p>
        </w:tc>
        <w:tc>
          <w:tcPr>
            <w:tcW w:w="914" w:type="dxa"/>
            <w:vAlign w:val="top"/>
            <w:vMerge w:val="restart"/>
            <w:tcBorders>
              <w:bottom w:val="nil"/>
            </w:tcBorders>
          </w:tcPr>
          <w:p>
            <w:pPr>
              <w:ind w:left="252"/>
              <w:spacing w:before="173" w:line="228" w:lineRule="auto"/>
              <w:rPr>
                <w:rFonts w:ascii="SimSun" w:hAnsi="SimSun" w:eastAsia="SimSun" w:cs="SimSun"/>
                <w:sz w:val="20"/>
                <w:szCs w:val="20"/>
              </w:rPr>
            </w:pPr>
            <w:r>
              <w:rPr>
                <w:rFonts w:ascii="SimSun" w:hAnsi="SimSun" w:eastAsia="SimSun" w:cs="SimSun"/>
                <w:sz w:val="20"/>
                <w:szCs w:val="20"/>
                <w:spacing w:val="3"/>
              </w:rPr>
              <w:t>性质</w:t>
            </w:r>
          </w:p>
        </w:tc>
        <w:tc>
          <w:tcPr>
            <w:tcW w:w="1615" w:type="dxa"/>
            <w:vAlign w:val="top"/>
          </w:tcPr>
          <w:p>
            <w:pPr>
              <w:ind w:left="82"/>
              <w:spacing w:before="35" w:line="218" w:lineRule="auto"/>
              <w:rPr>
                <w:rFonts w:ascii="SimSun" w:hAnsi="SimSun" w:eastAsia="SimSun" w:cs="SimSun"/>
                <w:sz w:val="20"/>
                <w:szCs w:val="20"/>
              </w:rPr>
            </w:pPr>
            <w:r>
              <w:rPr>
                <w:rFonts w:ascii="SimSun" w:hAnsi="SimSun" w:eastAsia="SimSun" w:cs="SimSun"/>
                <w:sz w:val="20"/>
                <w:szCs w:val="20"/>
                <w:spacing w:val="7"/>
              </w:rPr>
              <w:t>改建后处置情况</w:t>
            </w:r>
          </w:p>
        </w:tc>
        <w:tc>
          <w:tcPr>
            <w:tcW w:w="7008" w:type="dxa"/>
            <w:vAlign w:val="top"/>
            <w:vMerge w:val="restart"/>
            <w:tcBorders>
              <w:bottom w:val="nil"/>
            </w:tcBorders>
          </w:tcPr>
          <w:p>
            <w:pPr>
              <w:ind w:left="2774"/>
              <w:spacing w:before="173" w:line="229" w:lineRule="auto"/>
              <w:rPr>
                <w:rFonts w:ascii="SimSun" w:hAnsi="SimSun" w:eastAsia="SimSun" w:cs="SimSun"/>
                <w:sz w:val="20"/>
                <w:szCs w:val="20"/>
              </w:rPr>
            </w:pPr>
            <w:r>
              <w:rPr>
                <w:rFonts w:ascii="SimSun" w:hAnsi="SimSun" w:eastAsia="SimSun" w:cs="SimSun"/>
                <w:sz w:val="20"/>
                <w:szCs w:val="20"/>
                <w:spacing w:val="8"/>
              </w:rPr>
              <w:t>处置及利用方式</w:t>
            </w:r>
          </w:p>
        </w:tc>
      </w:tr>
      <w:tr>
        <w:trPr>
          <w:trHeight w:val="278" w:hRule="atLeast"/>
        </w:trPr>
        <w:tc>
          <w:tcPr>
            <w:tcW w:w="540" w:type="dxa"/>
            <w:vAlign w:val="top"/>
            <w:vMerge w:val="continue"/>
            <w:tcBorders>
              <w:top w:val="nil"/>
            </w:tcBorders>
          </w:tcPr>
          <w:p>
            <w:pPr>
              <w:rPr>
                <w:rFonts w:ascii="Arial"/>
                <w:sz w:val="21"/>
              </w:rPr>
            </w:pPr>
            <w:r/>
          </w:p>
        </w:tc>
        <w:tc>
          <w:tcPr>
            <w:tcW w:w="3294" w:type="dxa"/>
            <w:vAlign w:val="top"/>
          </w:tcPr>
          <w:p>
            <w:pPr>
              <w:ind w:left="1336"/>
              <w:spacing w:before="29" w:line="220" w:lineRule="auto"/>
              <w:rPr>
                <w:rFonts w:ascii="SimSun" w:hAnsi="SimSun" w:eastAsia="SimSun" w:cs="SimSun"/>
                <w:sz w:val="20"/>
                <w:szCs w:val="20"/>
              </w:rPr>
            </w:pPr>
            <w:r>
              <w:rPr>
                <w:rFonts w:ascii="SimSun" w:hAnsi="SimSun" w:eastAsia="SimSun" w:cs="SimSun"/>
                <w:sz w:val="20"/>
                <w:szCs w:val="20"/>
                <w:spacing w:val="6"/>
              </w:rPr>
              <w:t>污染源</w:t>
            </w:r>
          </w:p>
        </w:tc>
        <w:tc>
          <w:tcPr>
            <w:tcW w:w="1120" w:type="dxa"/>
            <w:vAlign w:val="top"/>
          </w:tcPr>
          <w:p>
            <w:pPr>
              <w:ind w:left="250"/>
              <w:spacing w:before="29" w:line="220" w:lineRule="auto"/>
              <w:rPr>
                <w:rFonts w:ascii="SimSun" w:hAnsi="SimSun" w:eastAsia="SimSun" w:cs="SimSun"/>
                <w:sz w:val="20"/>
                <w:szCs w:val="20"/>
              </w:rPr>
            </w:pPr>
            <w:r>
              <w:rPr>
                <w:rFonts w:ascii="SimSun" w:hAnsi="SimSun" w:eastAsia="SimSun" w:cs="SimSun"/>
                <w:sz w:val="20"/>
                <w:szCs w:val="20"/>
                <w:spacing w:val="6"/>
              </w:rPr>
              <w:t>污染物</w:t>
            </w:r>
          </w:p>
        </w:tc>
        <w:tc>
          <w:tcPr>
            <w:tcW w:w="914" w:type="dxa"/>
            <w:vAlign w:val="top"/>
            <w:vMerge w:val="continue"/>
            <w:tcBorders>
              <w:top w:val="nil"/>
            </w:tcBorders>
          </w:tcPr>
          <w:p>
            <w:pPr>
              <w:rPr>
                <w:rFonts w:ascii="Arial"/>
                <w:sz w:val="21"/>
              </w:rPr>
            </w:pPr>
            <w:r/>
          </w:p>
        </w:tc>
        <w:tc>
          <w:tcPr>
            <w:tcW w:w="1615" w:type="dxa"/>
            <w:vAlign w:val="top"/>
          </w:tcPr>
          <w:p>
            <w:pPr>
              <w:pStyle w:val="TableText"/>
              <w:ind w:left="255"/>
              <w:spacing w:before="29" w:line="220" w:lineRule="auto"/>
              <w:rPr>
                <w:rFonts w:ascii="SimSun" w:hAnsi="SimSun" w:eastAsia="SimSun" w:cs="SimSun"/>
              </w:rPr>
            </w:pPr>
            <w:r>
              <w:rPr>
                <w:rFonts w:ascii="SimSun" w:hAnsi="SimSun" w:eastAsia="SimSun" w:cs="SimSun"/>
                <w:spacing w:val="7"/>
              </w:rPr>
              <w:t>排放</w:t>
            </w:r>
            <w:r>
              <w:rPr>
                <w:spacing w:val="7"/>
              </w:rPr>
              <w:t>/</w:t>
            </w:r>
            <w:r>
              <w:rPr>
                <w:rFonts w:ascii="SimSun" w:hAnsi="SimSun" w:eastAsia="SimSun" w:cs="SimSun"/>
                <w:spacing w:val="7"/>
              </w:rPr>
              <w:t>处置量</w:t>
            </w:r>
          </w:p>
        </w:tc>
        <w:tc>
          <w:tcPr>
            <w:tcW w:w="7008" w:type="dxa"/>
            <w:vAlign w:val="top"/>
            <w:vMerge w:val="continue"/>
            <w:tcBorders>
              <w:top w:val="nil"/>
            </w:tcBorders>
          </w:tcPr>
          <w:p>
            <w:pPr>
              <w:rPr>
                <w:rFonts w:ascii="Arial"/>
                <w:sz w:val="21"/>
              </w:rPr>
            </w:pPr>
            <w:r/>
          </w:p>
        </w:tc>
      </w:tr>
      <w:tr>
        <w:trPr>
          <w:trHeight w:val="275" w:hRule="atLeast"/>
        </w:trPr>
        <w:tc>
          <w:tcPr>
            <w:tcW w:w="540" w:type="dxa"/>
            <w:vAlign w:val="top"/>
          </w:tcPr>
          <w:p>
            <w:pPr>
              <w:pStyle w:val="TableText"/>
              <w:ind w:left="235"/>
              <w:spacing w:before="66" w:line="195" w:lineRule="auto"/>
              <w:rPr/>
            </w:pPr>
            <w:r>
              <w:rPr/>
              <w:t>1</w:t>
            </w:r>
          </w:p>
        </w:tc>
        <w:tc>
          <w:tcPr>
            <w:tcW w:w="3294" w:type="dxa"/>
            <w:vAlign w:val="top"/>
          </w:tcPr>
          <w:p>
            <w:pPr>
              <w:ind w:left="1227"/>
              <w:spacing w:before="29" w:line="217" w:lineRule="auto"/>
              <w:rPr>
                <w:rFonts w:ascii="SimSun" w:hAnsi="SimSun" w:eastAsia="SimSun" w:cs="SimSun"/>
                <w:sz w:val="20"/>
                <w:szCs w:val="20"/>
              </w:rPr>
            </w:pPr>
            <w:r>
              <w:rPr>
                <w:rFonts w:ascii="SimSun" w:hAnsi="SimSun" w:eastAsia="SimSun" w:cs="SimSun"/>
                <w:sz w:val="20"/>
                <w:szCs w:val="20"/>
                <w:spacing w:val="7"/>
              </w:rPr>
              <w:t>风选车间</w:t>
            </w:r>
          </w:p>
        </w:tc>
        <w:tc>
          <w:tcPr>
            <w:tcW w:w="1120" w:type="dxa"/>
            <w:vAlign w:val="top"/>
          </w:tcPr>
          <w:p>
            <w:pPr>
              <w:ind w:left="142"/>
              <w:spacing w:before="29" w:line="217" w:lineRule="auto"/>
              <w:rPr>
                <w:rFonts w:ascii="SimSun" w:hAnsi="SimSun" w:eastAsia="SimSun" w:cs="SimSun"/>
                <w:sz w:val="20"/>
                <w:szCs w:val="20"/>
              </w:rPr>
            </w:pPr>
            <w:r>
              <w:rPr>
                <w:rFonts w:ascii="SimSun" w:hAnsi="SimSun" w:eastAsia="SimSun" w:cs="SimSun"/>
                <w:sz w:val="20"/>
                <w:szCs w:val="20"/>
                <w:spacing w:val="7"/>
              </w:rPr>
              <w:t>选煤矸石</w:t>
            </w:r>
          </w:p>
        </w:tc>
        <w:tc>
          <w:tcPr>
            <w:tcW w:w="914" w:type="dxa"/>
            <w:vAlign w:val="top"/>
          </w:tcPr>
          <w:p>
            <w:pPr>
              <w:ind w:left="249"/>
              <w:spacing w:before="29" w:line="217" w:lineRule="auto"/>
              <w:rPr>
                <w:rFonts w:ascii="SimSun" w:hAnsi="SimSun" w:eastAsia="SimSun" w:cs="SimSun"/>
                <w:sz w:val="20"/>
                <w:szCs w:val="20"/>
              </w:rPr>
            </w:pPr>
            <w:r>
              <w:rPr>
                <w:rFonts w:ascii="SimSun" w:hAnsi="SimSun" w:eastAsia="SimSun" w:cs="SimSun"/>
                <w:sz w:val="20"/>
                <w:szCs w:val="20"/>
                <w:spacing w:val="5"/>
              </w:rPr>
              <w:t>矸石</w:t>
            </w:r>
          </w:p>
        </w:tc>
        <w:tc>
          <w:tcPr>
            <w:tcW w:w="1615" w:type="dxa"/>
            <w:vAlign w:val="top"/>
          </w:tcPr>
          <w:p>
            <w:pPr>
              <w:pStyle w:val="TableText"/>
              <w:ind w:left="444"/>
              <w:spacing w:before="29" w:line="217" w:lineRule="auto"/>
              <w:rPr/>
            </w:pPr>
            <w:r>
              <w:rPr/>
              <w:t>50</w:t>
            </w:r>
            <w:r>
              <w:rPr>
                <w:spacing w:val="17"/>
                <w:w w:val="101"/>
              </w:rPr>
              <w:t xml:space="preserve"> </w:t>
            </w:r>
            <w:r>
              <w:rPr>
                <w:rFonts w:ascii="SimSun" w:hAnsi="SimSun" w:eastAsia="SimSun" w:cs="SimSun"/>
              </w:rPr>
              <w:t>万</w:t>
            </w:r>
            <w:r>
              <w:rPr>
                <w:rFonts w:ascii="SimSun" w:hAnsi="SimSun" w:eastAsia="SimSun" w:cs="SimSun"/>
                <w:spacing w:val="-43"/>
              </w:rPr>
              <w:t xml:space="preserve"> </w:t>
            </w:r>
            <w:r>
              <w:rPr/>
              <w:t>t/a</w:t>
            </w:r>
          </w:p>
        </w:tc>
        <w:tc>
          <w:tcPr>
            <w:tcW w:w="7008" w:type="dxa"/>
            <w:vAlign w:val="top"/>
          </w:tcPr>
          <w:p>
            <w:pPr>
              <w:ind w:left="2986"/>
              <w:spacing w:before="29" w:line="217" w:lineRule="auto"/>
              <w:rPr>
                <w:rFonts w:ascii="SimSun" w:hAnsi="SimSun" w:eastAsia="SimSun" w:cs="SimSun"/>
                <w:sz w:val="20"/>
                <w:szCs w:val="20"/>
              </w:rPr>
            </w:pPr>
            <w:r>
              <w:rPr>
                <w:rFonts w:ascii="SimSun" w:hAnsi="SimSun" w:eastAsia="SimSun" w:cs="SimSun"/>
                <w:sz w:val="20"/>
                <w:szCs w:val="20"/>
                <w:spacing w:val="7"/>
              </w:rPr>
              <w:t>充填沉陷区</w:t>
            </w:r>
          </w:p>
        </w:tc>
      </w:tr>
      <w:tr>
        <w:trPr>
          <w:trHeight w:val="277" w:hRule="atLeast"/>
        </w:trPr>
        <w:tc>
          <w:tcPr>
            <w:tcW w:w="540" w:type="dxa"/>
            <w:vAlign w:val="top"/>
          </w:tcPr>
          <w:p>
            <w:pPr>
              <w:pStyle w:val="TableText"/>
              <w:ind w:left="215"/>
              <w:spacing w:before="67" w:line="195" w:lineRule="auto"/>
              <w:rPr/>
            </w:pPr>
            <w:r>
              <w:rPr/>
              <w:t>2</w:t>
            </w:r>
          </w:p>
        </w:tc>
        <w:tc>
          <w:tcPr>
            <w:tcW w:w="3294" w:type="dxa"/>
            <w:vAlign w:val="top"/>
          </w:tcPr>
          <w:p>
            <w:pPr>
              <w:ind w:left="1334"/>
              <w:spacing w:before="30" w:line="218" w:lineRule="auto"/>
              <w:rPr>
                <w:rFonts w:ascii="SimSun" w:hAnsi="SimSun" w:eastAsia="SimSun" w:cs="SimSun"/>
                <w:sz w:val="20"/>
                <w:szCs w:val="20"/>
              </w:rPr>
            </w:pPr>
            <w:r>
              <w:rPr>
                <w:rFonts w:ascii="SimSun" w:hAnsi="SimSun" w:eastAsia="SimSun" w:cs="SimSun"/>
                <w:sz w:val="20"/>
                <w:szCs w:val="20"/>
                <w:spacing w:val="7"/>
              </w:rPr>
              <w:t>采掘场</w:t>
            </w:r>
          </w:p>
        </w:tc>
        <w:tc>
          <w:tcPr>
            <w:tcW w:w="1120" w:type="dxa"/>
            <w:vAlign w:val="top"/>
          </w:tcPr>
          <w:p>
            <w:pPr>
              <w:ind w:left="38"/>
              <w:spacing w:before="30" w:line="218" w:lineRule="auto"/>
              <w:rPr>
                <w:rFonts w:ascii="SimSun" w:hAnsi="SimSun" w:eastAsia="SimSun" w:cs="SimSun"/>
                <w:sz w:val="20"/>
                <w:szCs w:val="20"/>
              </w:rPr>
            </w:pPr>
            <w:r>
              <w:rPr>
                <w:rFonts w:ascii="SimSun" w:hAnsi="SimSun" w:eastAsia="SimSun" w:cs="SimSun"/>
                <w:sz w:val="20"/>
                <w:szCs w:val="20"/>
                <w:spacing w:val="8"/>
              </w:rPr>
              <w:t>土岩剥离物</w:t>
            </w:r>
          </w:p>
        </w:tc>
        <w:tc>
          <w:tcPr>
            <w:tcW w:w="914" w:type="dxa"/>
            <w:vAlign w:val="top"/>
          </w:tcPr>
          <w:p>
            <w:pPr>
              <w:ind w:left="249"/>
              <w:spacing w:before="30" w:line="218" w:lineRule="auto"/>
              <w:rPr>
                <w:rFonts w:ascii="SimSun" w:hAnsi="SimSun" w:eastAsia="SimSun" w:cs="SimSun"/>
                <w:sz w:val="20"/>
                <w:szCs w:val="20"/>
              </w:rPr>
            </w:pPr>
            <w:r>
              <w:rPr>
                <w:rFonts w:ascii="SimSun" w:hAnsi="SimSun" w:eastAsia="SimSun" w:cs="SimSun"/>
                <w:sz w:val="20"/>
                <w:szCs w:val="20"/>
                <w:spacing w:val="5"/>
              </w:rPr>
              <w:t>矸石</w:t>
            </w:r>
          </w:p>
        </w:tc>
        <w:tc>
          <w:tcPr>
            <w:tcW w:w="1615" w:type="dxa"/>
            <w:vAlign w:val="top"/>
          </w:tcPr>
          <w:p>
            <w:pPr>
              <w:pStyle w:val="TableText"/>
              <w:ind w:left="252"/>
              <w:spacing w:before="30" w:line="218" w:lineRule="auto"/>
              <w:rPr/>
            </w:pPr>
            <w:r>
              <w:rPr>
                <w:spacing w:val="2"/>
              </w:rPr>
              <w:t>5295</w:t>
            </w:r>
            <w:r>
              <w:rPr>
                <w:spacing w:val="16"/>
                <w:w w:val="101"/>
              </w:rPr>
              <w:t xml:space="preserve"> </w:t>
            </w:r>
            <w:r>
              <w:rPr>
                <w:rFonts w:ascii="SimSun" w:hAnsi="SimSun" w:eastAsia="SimSun" w:cs="SimSun"/>
                <w:spacing w:val="2"/>
              </w:rPr>
              <w:t>万</w:t>
            </w:r>
            <w:r>
              <w:rPr>
                <w:rFonts w:ascii="SimSun" w:hAnsi="SimSun" w:eastAsia="SimSun" w:cs="SimSun"/>
                <w:spacing w:val="-44"/>
              </w:rPr>
              <w:t xml:space="preserve"> </w:t>
            </w:r>
            <w:r>
              <w:rPr>
                <w:spacing w:val="2"/>
              </w:rPr>
              <w:t>m</w:t>
            </w:r>
            <w:r>
              <w:rPr>
                <w:sz w:val="13"/>
                <w:szCs w:val="13"/>
                <w:spacing w:val="2"/>
                <w:position w:val="6"/>
              </w:rPr>
              <w:t>3</w:t>
            </w:r>
            <w:r>
              <w:rPr>
                <w:spacing w:val="2"/>
              </w:rPr>
              <w:t>/a</w:t>
            </w:r>
          </w:p>
        </w:tc>
        <w:tc>
          <w:tcPr>
            <w:tcW w:w="7008" w:type="dxa"/>
            <w:vAlign w:val="top"/>
          </w:tcPr>
          <w:p>
            <w:pPr>
              <w:ind w:left="1513"/>
              <w:spacing w:before="30" w:line="218" w:lineRule="auto"/>
              <w:rPr>
                <w:rFonts w:ascii="SimSun" w:hAnsi="SimSun" w:eastAsia="SimSun" w:cs="SimSun"/>
                <w:sz w:val="20"/>
                <w:szCs w:val="20"/>
              </w:rPr>
            </w:pPr>
            <w:r>
              <w:rPr>
                <w:rFonts w:ascii="SimSun" w:hAnsi="SimSun" w:eastAsia="SimSun" w:cs="SimSun"/>
                <w:sz w:val="20"/>
                <w:szCs w:val="20"/>
                <w:spacing w:val="9"/>
              </w:rPr>
              <w:t>部分用于沉陷区充填，部分运送至内排土场</w:t>
            </w:r>
          </w:p>
        </w:tc>
      </w:tr>
      <w:tr>
        <w:trPr>
          <w:trHeight w:val="278" w:hRule="atLeast"/>
        </w:trPr>
        <w:tc>
          <w:tcPr>
            <w:tcW w:w="540" w:type="dxa"/>
            <w:vAlign w:val="top"/>
          </w:tcPr>
          <w:p>
            <w:pPr>
              <w:pStyle w:val="TableText"/>
              <w:ind w:left="219"/>
              <w:spacing w:before="68" w:line="195" w:lineRule="auto"/>
              <w:rPr/>
            </w:pPr>
            <w:r>
              <w:rPr/>
              <w:t>3</w:t>
            </w:r>
          </w:p>
        </w:tc>
        <w:tc>
          <w:tcPr>
            <w:tcW w:w="3294" w:type="dxa"/>
            <w:vAlign w:val="top"/>
          </w:tcPr>
          <w:p>
            <w:pPr>
              <w:ind w:left="1229"/>
              <w:spacing w:before="31" w:line="218" w:lineRule="auto"/>
              <w:rPr>
                <w:rFonts w:ascii="SimSun" w:hAnsi="SimSun" w:eastAsia="SimSun" w:cs="SimSun"/>
                <w:sz w:val="20"/>
                <w:szCs w:val="20"/>
              </w:rPr>
            </w:pPr>
            <w:r>
              <w:rPr>
                <w:rFonts w:ascii="SimSun" w:hAnsi="SimSun" w:eastAsia="SimSun" w:cs="SimSun"/>
                <w:sz w:val="20"/>
                <w:szCs w:val="20"/>
                <w:spacing w:val="6"/>
              </w:rPr>
              <w:t>工业场地</w:t>
            </w:r>
          </w:p>
        </w:tc>
        <w:tc>
          <w:tcPr>
            <w:tcW w:w="1120" w:type="dxa"/>
            <w:vAlign w:val="top"/>
          </w:tcPr>
          <w:p>
            <w:pPr>
              <w:ind w:left="145"/>
              <w:spacing w:before="31" w:line="218" w:lineRule="auto"/>
              <w:rPr>
                <w:rFonts w:ascii="SimSun" w:hAnsi="SimSun" w:eastAsia="SimSun" w:cs="SimSun"/>
                <w:sz w:val="20"/>
                <w:szCs w:val="20"/>
              </w:rPr>
            </w:pPr>
            <w:r>
              <w:rPr>
                <w:rFonts w:ascii="SimSun" w:hAnsi="SimSun" w:eastAsia="SimSun" w:cs="SimSun"/>
                <w:sz w:val="20"/>
                <w:szCs w:val="20"/>
                <w:spacing w:val="6"/>
              </w:rPr>
              <w:t>生活垃圾</w:t>
            </w:r>
          </w:p>
        </w:tc>
        <w:tc>
          <w:tcPr>
            <w:tcW w:w="914" w:type="dxa"/>
            <w:vAlign w:val="top"/>
          </w:tcPr>
          <w:p>
            <w:pPr>
              <w:ind w:left="42"/>
              <w:spacing w:before="31" w:line="218" w:lineRule="auto"/>
              <w:rPr>
                <w:rFonts w:ascii="SimSun" w:hAnsi="SimSun" w:eastAsia="SimSun" w:cs="SimSun"/>
                <w:sz w:val="20"/>
                <w:szCs w:val="20"/>
              </w:rPr>
            </w:pPr>
            <w:r>
              <w:rPr>
                <w:rFonts w:ascii="SimSun" w:hAnsi="SimSun" w:eastAsia="SimSun" w:cs="SimSun"/>
                <w:sz w:val="20"/>
                <w:szCs w:val="20"/>
                <w:spacing w:val="6"/>
              </w:rPr>
              <w:t>生活垃圾</w:t>
            </w:r>
          </w:p>
        </w:tc>
        <w:tc>
          <w:tcPr>
            <w:tcW w:w="1615" w:type="dxa"/>
            <w:vAlign w:val="top"/>
          </w:tcPr>
          <w:p>
            <w:pPr>
              <w:pStyle w:val="TableText"/>
              <w:ind w:left="419"/>
              <w:spacing w:before="64" w:line="199" w:lineRule="auto"/>
              <w:rPr/>
            </w:pPr>
            <w:r>
              <w:rPr>
                <w:spacing w:val="-1"/>
              </w:rPr>
              <w:t>200.</w:t>
            </w:r>
            <w:r>
              <w:rPr>
                <w:spacing w:val="-23"/>
              </w:rPr>
              <w:t xml:space="preserve"> </w:t>
            </w:r>
            <w:r>
              <w:rPr>
                <w:spacing w:val="-1"/>
              </w:rPr>
              <w:t>11t/a</w:t>
            </w:r>
          </w:p>
        </w:tc>
        <w:tc>
          <w:tcPr>
            <w:tcW w:w="7008" w:type="dxa"/>
            <w:vAlign w:val="top"/>
          </w:tcPr>
          <w:p>
            <w:pPr>
              <w:ind w:left="1621"/>
              <w:spacing w:before="31" w:line="218" w:lineRule="auto"/>
              <w:rPr>
                <w:rFonts w:ascii="SimSun" w:hAnsi="SimSun" w:eastAsia="SimSun" w:cs="SimSun"/>
                <w:sz w:val="20"/>
                <w:szCs w:val="20"/>
              </w:rPr>
            </w:pPr>
            <w:r>
              <w:rPr>
                <w:rFonts w:ascii="SimSun" w:hAnsi="SimSun" w:eastAsia="SimSun" w:cs="SimSun"/>
                <w:sz w:val="20"/>
                <w:szCs w:val="20"/>
                <w:spacing w:val="9"/>
              </w:rPr>
              <w:t>统一收集，由西乌旗白音华环卫部门处置</w:t>
            </w:r>
          </w:p>
        </w:tc>
      </w:tr>
      <w:tr>
        <w:trPr>
          <w:trHeight w:val="275" w:hRule="atLeast"/>
        </w:trPr>
        <w:tc>
          <w:tcPr>
            <w:tcW w:w="540" w:type="dxa"/>
            <w:vAlign w:val="top"/>
          </w:tcPr>
          <w:p>
            <w:pPr>
              <w:pStyle w:val="TableText"/>
              <w:ind w:left="214"/>
              <w:spacing w:before="66" w:line="195" w:lineRule="auto"/>
              <w:rPr/>
            </w:pPr>
            <w:r>
              <w:rPr>
                <w:spacing w:val="1"/>
              </w:rPr>
              <w:t>4</w:t>
            </w:r>
          </w:p>
        </w:tc>
        <w:tc>
          <w:tcPr>
            <w:tcW w:w="3294" w:type="dxa"/>
            <w:vAlign w:val="top"/>
          </w:tcPr>
          <w:p>
            <w:pPr>
              <w:ind w:left="703"/>
              <w:spacing w:before="29" w:line="217" w:lineRule="auto"/>
              <w:rPr>
                <w:rFonts w:ascii="SimSun" w:hAnsi="SimSun" w:eastAsia="SimSun" w:cs="SimSun"/>
                <w:sz w:val="20"/>
                <w:szCs w:val="20"/>
              </w:rPr>
            </w:pPr>
            <w:r>
              <w:rPr>
                <w:rFonts w:ascii="SimSun" w:hAnsi="SimSun" w:eastAsia="SimSun" w:cs="SimSun"/>
                <w:sz w:val="20"/>
                <w:szCs w:val="20"/>
                <w:spacing w:val="9"/>
              </w:rPr>
              <w:t>矿井（坑）水处理站</w:t>
            </w:r>
          </w:p>
        </w:tc>
        <w:tc>
          <w:tcPr>
            <w:tcW w:w="1120" w:type="dxa"/>
            <w:vAlign w:val="top"/>
          </w:tcPr>
          <w:p>
            <w:pPr>
              <w:ind w:left="353"/>
              <w:spacing w:before="29" w:line="217" w:lineRule="auto"/>
              <w:rPr>
                <w:rFonts w:ascii="SimSun" w:hAnsi="SimSun" w:eastAsia="SimSun" w:cs="SimSun"/>
                <w:sz w:val="20"/>
                <w:szCs w:val="20"/>
              </w:rPr>
            </w:pPr>
            <w:r>
              <w:rPr>
                <w:rFonts w:ascii="SimSun" w:hAnsi="SimSun" w:eastAsia="SimSun" w:cs="SimSun"/>
                <w:sz w:val="20"/>
                <w:szCs w:val="20"/>
                <w:spacing w:val="4"/>
              </w:rPr>
              <w:t>煤泥</w:t>
            </w:r>
          </w:p>
        </w:tc>
        <w:tc>
          <w:tcPr>
            <w:tcW w:w="914" w:type="dxa"/>
            <w:vAlign w:val="top"/>
          </w:tcPr>
          <w:p>
            <w:pPr>
              <w:ind w:left="250"/>
              <w:spacing w:before="29" w:line="217" w:lineRule="auto"/>
              <w:rPr>
                <w:rFonts w:ascii="SimSun" w:hAnsi="SimSun" w:eastAsia="SimSun" w:cs="SimSun"/>
                <w:sz w:val="20"/>
                <w:szCs w:val="20"/>
              </w:rPr>
            </w:pPr>
            <w:r>
              <w:rPr>
                <w:rFonts w:ascii="SimSun" w:hAnsi="SimSun" w:eastAsia="SimSun" w:cs="SimSun"/>
                <w:sz w:val="20"/>
                <w:szCs w:val="20"/>
                <w:spacing w:val="4"/>
              </w:rPr>
              <w:t>煤泥</w:t>
            </w:r>
          </w:p>
        </w:tc>
        <w:tc>
          <w:tcPr>
            <w:tcW w:w="1615" w:type="dxa"/>
            <w:vAlign w:val="top"/>
          </w:tcPr>
          <w:p>
            <w:pPr>
              <w:pStyle w:val="TableText"/>
              <w:ind w:left="432"/>
              <w:spacing w:before="62" w:line="199" w:lineRule="auto"/>
              <w:rPr/>
            </w:pPr>
            <w:r>
              <w:rPr>
                <w:spacing w:val="1"/>
              </w:rPr>
              <w:t>171.62t/a</w:t>
            </w:r>
          </w:p>
        </w:tc>
        <w:tc>
          <w:tcPr>
            <w:tcW w:w="7008" w:type="dxa"/>
            <w:vAlign w:val="top"/>
          </w:tcPr>
          <w:p>
            <w:pPr>
              <w:ind w:left="2144"/>
              <w:spacing w:before="29" w:line="217" w:lineRule="auto"/>
              <w:rPr>
                <w:rFonts w:ascii="SimSun" w:hAnsi="SimSun" w:eastAsia="SimSun" w:cs="SimSun"/>
                <w:sz w:val="20"/>
                <w:szCs w:val="20"/>
              </w:rPr>
            </w:pPr>
            <w:r>
              <w:rPr>
                <w:rFonts w:ascii="SimSun" w:hAnsi="SimSun" w:eastAsia="SimSun" w:cs="SimSun"/>
                <w:sz w:val="20"/>
                <w:szCs w:val="20"/>
                <w:spacing w:val="9"/>
              </w:rPr>
              <w:t>压滤后，与煤炭产品一并外售</w:t>
            </w:r>
          </w:p>
        </w:tc>
      </w:tr>
      <w:tr>
        <w:trPr>
          <w:trHeight w:val="278" w:hRule="atLeast"/>
        </w:trPr>
        <w:tc>
          <w:tcPr>
            <w:tcW w:w="540" w:type="dxa"/>
            <w:vAlign w:val="top"/>
          </w:tcPr>
          <w:p>
            <w:pPr>
              <w:pStyle w:val="TableText"/>
              <w:ind w:left="221"/>
              <w:spacing w:before="72" w:line="192" w:lineRule="auto"/>
              <w:rPr/>
            </w:pPr>
            <w:r>
              <w:rPr/>
              <w:t>5</w:t>
            </w:r>
          </w:p>
        </w:tc>
        <w:tc>
          <w:tcPr>
            <w:tcW w:w="3294" w:type="dxa"/>
            <w:vAlign w:val="top"/>
          </w:tcPr>
          <w:p>
            <w:pPr>
              <w:ind w:left="916"/>
              <w:spacing w:before="32" w:line="217" w:lineRule="auto"/>
              <w:rPr>
                <w:rFonts w:ascii="SimSun" w:hAnsi="SimSun" w:eastAsia="SimSun" w:cs="SimSun"/>
                <w:sz w:val="20"/>
                <w:szCs w:val="20"/>
              </w:rPr>
            </w:pPr>
            <w:r>
              <w:rPr>
                <w:rFonts w:ascii="SimSun" w:hAnsi="SimSun" w:eastAsia="SimSun" w:cs="SimSun"/>
                <w:sz w:val="20"/>
                <w:szCs w:val="20"/>
                <w:spacing w:val="8"/>
              </w:rPr>
              <w:t>生活污水处理站</w:t>
            </w:r>
          </w:p>
        </w:tc>
        <w:tc>
          <w:tcPr>
            <w:tcW w:w="1120" w:type="dxa"/>
            <w:vAlign w:val="top"/>
          </w:tcPr>
          <w:p>
            <w:pPr>
              <w:ind w:left="354"/>
              <w:spacing w:before="32" w:line="217" w:lineRule="auto"/>
              <w:rPr>
                <w:rFonts w:ascii="SimSun" w:hAnsi="SimSun" w:eastAsia="SimSun" w:cs="SimSun"/>
                <w:sz w:val="20"/>
                <w:szCs w:val="20"/>
              </w:rPr>
            </w:pPr>
            <w:r>
              <w:rPr>
                <w:rFonts w:ascii="SimSun" w:hAnsi="SimSun" w:eastAsia="SimSun" w:cs="SimSun"/>
                <w:sz w:val="20"/>
                <w:szCs w:val="20"/>
                <w:spacing w:val="3"/>
              </w:rPr>
              <w:t>污泥</w:t>
            </w:r>
          </w:p>
        </w:tc>
        <w:tc>
          <w:tcPr>
            <w:tcW w:w="914" w:type="dxa"/>
            <w:vAlign w:val="top"/>
          </w:tcPr>
          <w:p>
            <w:pPr>
              <w:ind w:left="251"/>
              <w:spacing w:before="32" w:line="217" w:lineRule="auto"/>
              <w:rPr>
                <w:rFonts w:ascii="SimSun" w:hAnsi="SimSun" w:eastAsia="SimSun" w:cs="SimSun"/>
                <w:sz w:val="20"/>
                <w:szCs w:val="20"/>
              </w:rPr>
            </w:pPr>
            <w:r>
              <w:rPr>
                <w:rFonts w:ascii="SimSun" w:hAnsi="SimSun" w:eastAsia="SimSun" w:cs="SimSun"/>
                <w:sz w:val="20"/>
                <w:szCs w:val="20"/>
                <w:spacing w:val="3"/>
              </w:rPr>
              <w:t>污泥</w:t>
            </w:r>
          </w:p>
        </w:tc>
        <w:tc>
          <w:tcPr>
            <w:tcW w:w="1615" w:type="dxa"/>
            <w:vAlign w:val="top"/>
          </w:tcPr>
          <w:p>
            <w:pPr>
              <w:pStyle w:val="TableText"/>
              <w:ind w:left="537"/>
              <w:spacing w:before="65" w:line="199" w:lineRule="auto"/>
              <w:rPr/>
            </w:pPr>
            <w:r>
              <w:rPr/>
              <w:t>18.7t/a</w:t>
            </w:r>
          </w:p>
        </w:tc>
        <w:tc>
          <w:tcPr>
            <w:tcW w:w="7008" w:type="dxa"/>
            <w:vAlign w:val="top"/>
          </w:tcPr>
          <w:p>
            <w:pPr>
              <w:ind w:left="1196"/>
              <w:spacing w:before="32" w:line="217" w:lineRule="auto"/>
              <w:rPr>
                <w:rFonts w:ascii="SimSun" w:hAnsi="SimSun" w:eastAsia="SimSun" w:cs="SimSun"/>
                <w:sz w:val="20"/>
                <w:szCs w:val="20"/>
              </w:rPr>
            </w:pPr>
            <w:r>
              <w:rPr>
                <w:rFonts w:ascii="SimSun" w:hAnsi="SimSun" w:eastAsia="SimSun" w:cs="SimSun"/>
                <w:sz w:val="20"/>
                <w:szCs w:val="20"/>
                <w:spacing w:val="7"/>
              </w:rPr>
              <w:t>压滤后，与生活垃圾一起，</w:t>
            </w:r>
            <w:r>
              <w:rPr>
                <w:rFonts w:ascii="SimSun" w:hAnsi="SimSun" w:eastAsia="SimSun" w:cs="SimSun"/>
                <w:sz w:val="20"/>
                <w:szCs w:val="20"/>
                <w:spacing w:val="-47"/>
              </w:rPr>
              <w:t xml:space="preserve"> </w:t>
            </w:r>
            <w:r>
              <w:rPr>
                <w:rFonts w:ascii="SimSun" w:hAnsi="SimSun" w:eastAsia="SimSun" w:cs="SimSun"/>
                <w:sz w:val="20"/>
                <w:szCs w:val="20"/>
                <w:spacing w:val="7"/>
              </w:rPr>
              <w:t>由西乌旗环卫部门处置</w:t>
            </w:r>
          </w:p>
        </w:tc>
      </w:tr>
      <w:tr>
        <w:trPr>
          <w:trHeight w:val="278" w:hRule="atLeast"/>
        </w:trPr>
        <w:tc>
          <w:tcPr>
            <w:tcW w:w="540" w:type="dxa"/>
            <w:vAlign w:val="top"/>
            <w:vMerge w:val="restart"/>
            <w:tcBorders>
              <w:bottom w:val="nil"/>
            </w:tcBorders>
          </w:tcPr>
          <w:p>
            <w:pPr>
              <w:pStyle w:val="TableText"/>
              <w:ind w:left="219"/>
              <w:spacing w:before="208" w:line="195" w:lineRule="auto"/>
              <w:rPr/>
            </w:pPr>
            <w:r>
              <w:rPr/>
              <w:t>6</w:t>
            </w:r>
          </w:p>
        </w:tc>
        <w:tc>
          <w:tcPr>
            <w:tcW w:w="3294" w:type="dxa"/>
            <w:vAlign w:val="top"/>
            <w:vMerge w:val="restart"/>
            <w:tcBorders>
              <w:bottom w:val="nil"/>
            </w:tcBorders>
          </w:tcPr>
          <w:p>
            <w:pPr>
              <w:ind w:left="1126"/>
              <w:spacing w:before="172" w:line="228" w:lineRule="auto"/>
              <w:rPr>
                <w:rFonts w:ascii="SimSun" w:hAnsi="SimSun" w:eastAsia="SimSun" w:cs="SimSun"/>
                <w:sz w:val="20"/>
                <w:szCs w:val="20"/>
              </w:rPr>
            </w:pPr>
            <w:r>
              <w:rPr>
                <w:rFonts w:ascii="SimSun" w:hAnsi="SimSun" w:eastAsia="SimSun" w:cs="SimSun"/>
                <w:sz w:val="20"/>
                <w:szCs w:val="20"/>
                <w:spacing w:val="7"/>
              </w:rPr>
              <w:t>危废暂存间</w:t>
            </w:r>
          </w:p>
        </w:tc>
        <w:tc>
          <w:tcPr>
            <w:tcW w:w="1120" w:type="dxa"/>
            <w:vAlign w:val="top"/>
          </w:tcPr>
          <w:p>
            <w:pPr>
              <w:ind w:left="142"/>
              <w:spacing w:before="30" w:line="219" w:lineRule="auto"/>
              <w:rPr>
                <w:rFonts w:ascii="SimSun" w:hAnsi="SimSun" w:eastAsia="SimSun" w:cs="SimSun"/>
                <w:sz w:val="20"/>
                <w:szCs w:val="20"/>
              </w:rPr>
            </w:pPr>
            <w:r>
              <w:rPr>
                <w:rFonts w:ascii="SimSun" w:hAnsi="SimSun" w:eastAsia="SimSun" w:cs="SimSun"/>
                <w:sz w:val="20"/>
                <w:szCs w:val="20"/>
                <w:spacing w:val="7"/>
              </w:rPr>
              <w:t>废矿物油</w:t>
            </w:r>
          </w:p>
        </w:tc>
        <w:tc>
          <w:tcPr>
            <w:tcW w:w="914" w:type="dxa"/>
            <w:vAlign w:val="top"/>
          </w:tcPr>
          <w:p>
            <w:pPr>
              <w:ind w:left="249"/>
              <w:spacing w:before="30" w:line="219" w:lineRule="auto"/>
              <w:rPr>
                <w:rFonts w:ascii="SimSun" w:hAnsi="SimSun" w:eastAsia="SimSun" w:cs="SimSun"/>
                <w:sz w:val="20"/>
                <w:szCs w:val="20"/>
              </w:rPr>
            </w:pPr>
            <w:r>
              <w:rPr>
                <w:rFonts w:ascii="SimSun" w:hAnsi="SimSun" w:eastAsia="SimSun" w:cs="SimSun"/>
                <w:sz w:val="20"/>
                <w:szCs w:val="20"/>
                <w:spacing w:val="5"/>
              </w:rPr>
              <w:t>废油</w:t>
            </w:r>
          </w:p>
        </w:tc>
        <w:tc>
          <w:tcPr>
            <w:tcW w:w="1615" w:type="dxa"/>
            <w:vAlign w:val="top"/>
          </w:tcPr>
          <w:p>
            <w:pPr>
              <w:pStyle w:val="TableText"/>
              <w:ind w:left="599"/>
              <w:spacing w:before="63" w:line="199" w:lineRule="auto"/>
              <w:rPr/>
            </w:pPr>
            <w:r>
              <w:rPr>
                <w:spacing w:val="1"/>
              </w:rPr>
              <w:t>20t/a</w:t>
            </w:r>
          </w:p>
        </w:tc>
        <w:tc>
          <w:tcPr>
            <w:tcW w:w="7008" w:type="dxa"/>
            <w:vAlign w:val="top"/>
          </w:tcPr>
          <w:p>
            <w:pPr>
              <w:ind w:left="991"/>
              <w:spacing w:before="30" w:line="219" w:lineRule="auto"/>
              <w:rPr>
                <w:rFonts w:ascii="SimSun" w:hAnsi="SimSun" w:eastAsia="SimSun" w:cs="SimSun"/>
                <w:sz w:val="20"/>
                <w:szCs w:val="20"/>
              </w:rPr>
            </w:pPr>
            <w:r>
              <w:rPr>
                <w:rFonts w:ascii="SimSun" w:hAnsi="SimSun" w:eastAsia="SimSun" w:cs="SimSun"/>
                <w:sz w:val="20"/>
                <w:szCs w:val="20"/>
                <w:spacing w:val="9"/>
              </w:rPr>
              <w:t>暂存在危废暂存间，交由具有资质的单位进行回收处理</w:t>
            </w:r>
          </w:p>
        </w:tc>
      </w:tr>
      <w:tr>
        <w:trPr>
          <w:trHeight w:val="280" w:hRule="atLeast"/>
        </w:trPr>
        <w:tc>
          <w:tcPr>
            <w:tcW w:w="540" w:type="dxa"/>
            <w:vAlign w:val="top"/>
            <w:vMerge w:val="continue"/>
            <w:tcBorders>
              <w:top w:val="nil"/>
            </w:tcBorders>
          </w:tcPr>
          <w:p>
            <w:pPr>
              <w:rPr>
                <w:rFonts w:ascii="Arial"/>
                <w:sz w:val="21"/>
              </w:rPr>
            </w:pPr>
            <w:r/>
          </w:p>
        </w:tc>
        <w:tc>
          <w:tcPr>
            <w:tcW w:w="3294" w:type="dxa"/>
            <w:vAlign w:val="top"/>
            <w:vMerge w:val="continue"/>
            <w:tcBorders>
              <w:top w:val="nil"/>
            </w:tcBorders>
          </w:tcPr>
          <w:p>
            <w:pPr>
              <w:rPr>
                <w:rFonts w:ascii="Arial"/>
                <w:sz w:val="21"/>
              </w:rPr>
            </w:pPr>
            <w:r/>
          </w:p>
        </w:tc>
        <w:tc>
          <w:tcPr>
            <w:tcW w:w="1120" w:type="dxa"/>
            <w:vAlign w:val="top"/>
          </w:tcPr>
          <w:p>
            <w:pPr>
              <w:ind w:left="248"/>
              <w:spacing w:before="31" w:line="220" w:lineRule="auto"/>
              <w:rPr>
                <w:rFonts w:ascii="SimSun" w:hAnsi="SimSun" w:eastAsia="SimSun" w:cs="SimSun"/>
                <w:sz w:val="20"/>
                <w:szCs w:val="20"/>
              </w:rPr>
            </w:pPr>
            <w:r>
              <w:rPr>
                <w:rFonts w:ascii="SimSun" w:hAnsi="SimSun" w:eastAsia="SimSun" w:cs="SimSun"/>
                <w:sz w:val="20"/>
                <w:szCs w:val="20"/>
                <w:spacing w:val="7"/>
              </w:rPr>
              <w:t>废电池</w:t>
            </w:r>
          </w:p>
        </w:tc>
        <w:tc>
          <w:tcPr>
            <w:tcW w:w="914" w:type="dxa"/>
            <w:vAlign w:val="top"/>
          </w:tcPr>
          <w:p>
            <w:pPr>
              <w:ind w:left="143"/>
              <w:spacing w:before="31" w:line="220" w:lineRule="auto"/>
              <w:rPr>
                <w:rFonts w:ascii="SimSun" w:hAnsi="SimSun" w:eastAsia="SimSun" w:cs="SimSun"/>
                <w:sz w:val="20"/>
                <w:szCs w:val="20"/>
              </w:rPr>
            </w:pPr>
            <w:r>
              <w:rPr>
                <w:rFonts w:ascii="SimSun" w:hAnsi="SimSun" w:eastAsia="SimSun" w:cs="SimSun"/>
                <w:sz w:val="20"/>
                <w:szCs w:val="20"/>
                <w:spacing w:val="7"/>
              </w:rPr>
              <w:t>废电池</w:t>
            </w:r>
          </w:p>
        </w:tc>
        <w:tc>
          <w:tcPr>
            <w:tcW w:w="1615" w:type="dxa"/>
            <w:vAlign w:val="top"/>
          </w:tcPr>
          <w:p>
            <w:pPr>
              <w:pStyle w:val="TableText"/>
              <w:ind w:left="570"/>
              <w:spacing w:before="63" w:line="199" w:lineRule="auto"/>
              <w:rPr/>
            </w:pPr>
            <w:r>
              <w:rPr>
                <w:spacing w:val="2"/>
              </w:rPr>
              <w:t>2.5t/a</w:t>
            </w:r>
          </w:p>
        </w:tc>
        <w:tc>
          <w:tcPr>
            <w:tcW w:w="7008" w:type="dxa"/>
            <w:vAlign w:val="top"/>
          </w:tcPr>
          <w:p>
            <w:pPr>
              <w:ind w:left="991"/>
              <w:spacing w:before="31" w:line="220" w:lineRule="auto"/>
              <w:rPr>
                <w:rFonts w:ascii="SimSun" w:hAnsi="SimSun" w:eastAsia="SimSun" w:cs="SimSun"/>
                <w:sz w:val="20"/>
                <w:szCs w:val="20"/>
              </w:rPr>
            </w:pPr>
            <w:r>
              <w:rPr>
                <w:rFonts w:ascii="SimSun" w:hAnsi="SimSun" w:eastAsia="SimSun" w:cs="SimSun"/>
                <w:sz w:val="20"/>
                <w:szCs w:val="20"/>
                <w:spacing w:val="9"/>
              </w:rPr>
              <w:t>暂存在危废暂存间，交由具有资质的单位进行回收处理</w:t>
            </w:r>
          </w:p>
        </w:tc>
      </w:tr>
    </w:tbl>
    <w:p>
      <w:pPr>
        <w:pStyle w:val="BodyText"/>
        <w:rPr/>
      </w:pPr>
      <w:r/>
    </w:p>
    <w:p>
      <w:pPr>
        <w:sectPr>
          <w:headerReference w:type="default" r:id="rId236"/>
          <w:footerReference w:type="default" r:id="rId237"/>
          <w:pgSz w:w="16838" w:h="11906"/>
          <w:pgMar w:top="1167" w:right="1314" w:bottom="1080" w:left="1027" w:header="835" w:footer="917" w:gutter="0"/>
        </w:sectPr>
        <w:rPr/>
      </w:pPr>
    </w:p>
    <w:p>
      <w:pPr>
        <w:pStyle w:val="BodyText"/>
        <w:spacing w:line="345" w:lineRule="auto"/>
        <w:rPr/>
      </w:pPr>
      <w:r/>
    </w:p>
    <w:p>
      <w:pPr>
        <w:ind w:left="114"/>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1"/>
        </w:rPr>
        <w:t>3.6.2.4  </w:t>
      </w:r>
      <w:r>
        <w:rPr>
          <w:rFonts w:ascii="SimHei" w:hAnsi="SimHei" w:eastAsia="SimHei" w:cs="SimHei"/>
          <w:sz w:val="24"/>
          <w:szCs w:val="24"/>
          <w:b/>
          <w:bCs/>
          <w:spacing w:val="-1"/>
        </w:rPr>
        <w:t>噪声污染防治措施</w:t>
      </w:r>
    </w:p>
    <w:p>
      <w:pPr>
        <w:ind w:left="120" w:right="112" w:firstLine="480"/>
        <w:spacing w:before="49" w:line="359" w:lineRule="auto"/>
        <w:jc w:val="both"/>
        <w:rPr>
          <w:rFonts w:ascii="SimSun" w:hAnsi="SimSun" w:eastAsia="SimSun" w:cs="SimSun"/>
          <w:sz w:val="24"/>
          <w:szCs w:val="24"/>
        </w:rPr>
      </w:pPr>
      <w:r>
        <w:rPr>
          <w:rFonts w:ascii="SimSun" w:hAnsi="SimSun" w:eastAsia="SimSun" w:cs="SimSun"/>
          <w:sz w:val="24"/>
          <w:szCs w:val="24"/>
          <w:spacing w:val="-2"/>
        </w:rPr>
        <w:t>本项目运营期的环境噪声污染源主要分布在采掘场以及工业场地处。采掘场噪声源</w:t>
      </w:r>
      <w:r>
        <w:rPr>
          <w:rFonts w:ascii="SimSun" w:hAnsi="SimSun" w:eastAsia="SimSun" w:cs="SimSun"/>
          <w:sz w:val="24"/>
          <w:szCs w:val="24"/>
          <w:spacing w:val="-2"/>
        </w:rPr>
        <w:t>主要为短促的剥离及采煤作业和煤炭运输过程中的大型机器设备如转载机、排土机、推</w:t>
      </w:r>
      <w:r>
        <w:rPr>
          <w:rFonts w:ascii="SimSun" w:hAnsi="SimSun" w:eastAsia="SimSun" w:cs="SimSun"/>
          <w:sz w:val="24"/>
          <w:szCs w:val="24"/>
          <w:spacing w:val="-2"/>
        </w:rPr>
        <w:t>土机等机械噪声；工业场地噪声源主要为机修车间、各类水泵房等设备噪声。噪声的控</w:t>
      </w:r>
      <w:r>
        <w:rPr>
          <w:rFonts w:ascii="SimSun" w:hAnsi="SimSun" w:eastAsia="SimSun" w:cs="SimSun"/>
          <w:sz w:val="24"/>
          <w:szCs w:val="24"/>
          <w:spacing w:val="-1"/>
        </w:rPr>
        <w:t>制主要以声源为主，对噪声防治对策提出以下措施：</w:t>
      </w:r>
    </w:p>
    <w:p>
      <w:pPr>
        <w:ind w:left="118" w:right="112" w:firstLine="487"/>
        <w:spacing w:before="2" w:line="324"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）针对矿大型机械设备排土机、推土机</w:t>
      </w:r>
      <w:r>
        <w:rPr>
          <w:rFonts w:ascii="SimSun" w:hAnsi="SimSun" w:eastAsia="SimSun" w:cs="SimSun"/>
          <w:sz w:val="24"/>
          <w:szCs w:val="24"/>
          <w:spacing w:val="-1"/>
        </w:rPr>
        <w:t>等声源控制主要对往复运动的机械设备</w:t>
      </w:r>
      <w:r>
        <w:rPr>
          <w:rFonts w:ascii="SimSun" w:hAnsi="SimSun" w:eastAsia="SimSun" w:cs="SimSun"/>
          <w:sz w:val="24"/>
          <w:szCs w:val="24"/>
          <w:spacing w:val="-2"/>
        </w:rPr>
        <w:t>提高检修安装精度，定期检修，保持良好工作状态。选用低噪声设备，高噪声设备采用</w:t>
      </w:r>
      <w:r>
        <w:rPr>
          <w:rFonts w:ascii="SimSun" w:hAnsi="SimSun" w:eastAsia="SimSun" w:cs="SimSun"/>
          <w:sz w:val="24"/>
          <w:szCs w:val="24"/>
          <w:spacing w:val="-2"/>
        </w:rPr>
        <w:t>软连接降噪，并及时对设备添加润滑剂，合理安排施工时间，使用高噪声设备尽量安排</w:t>
      </w:r>
      <w:r>
        <w:rPr>
          <w:rFonts w:ascii="SimSun" w:hAnsi="SimSun" w:eastAsia="SimSun" w:cs="SimSun"/>
          <w:sz w:val="24"/>
          <w:szCs w:val="24"/>
          <w:spacing w:val="-2"/>
        </w:rPr>
        <w:t>在白天进行。</w:t>
      </w:r>
    </w:p>
    <w:p>
      <w:pPr>
        <w:ind w:left="122" w:right="112" w:firstLine="483"/>
        <w:spacing w:before="177" w:line="312"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2</w:t>
      </w:r>
      <w:r>
        <w:rPr>
          <w:rFonts w:ascii="SimSun" w:hAnsi="SimSun" w:eastAsia="SimSun" w:cs="SimSun"/>
          <w:sz w:val="24"/>
          <w:szCs w:val="24"/>
        </w:rPr>
        <w:t>）针对工业场地内主要噪声源，拟采取</w:t>
      </w:r>
      <w:r>
        <w:rPr>
          <w:rFonts w:ascii="SimSun" w:hAnsi="SimSun" w:eastAsia="SimSun" w:cs="SimSun"/>
          <w:sz w:val="24"/>
          <w:szCs w:val="24"/>
          <w:spacing w:val="-1"/>
        </w:rPr>
        <w:t>以下噪声污染防治措施：选用低噪声设</w:t>
      </w:r>
      <w:r>
        <w:rPr>
          <w:rFonts w:ascii="SimSun" w:hAnsi="SimSun" w:eastAsia="SimSun" w:cs="SimSun"/>
          <w:sz w:val="24"/>
          <w:szCs w:val="24"/>
          <w:spacing w:val="-2"/>
        </w:rPr>
        <w:t>备，各类水泵房设置单独封闭的水泵间，泵体进行基础减振，水泵与进出口管道间安装</w:t>
      </w:r>
      <w:r>
        <w:rPr>
          <w:rFonts w:ascii="SimSun" w:hAnsi="SimSun" w:eastAsia="SimSun" w:cs="SimSun"/>
          <w:sz w:val="24"/>
          <w:szCs w:val="24"/>
        </w:rPr>
        <w:t>软橡胶接头，机修车间采取隔声、吸声措施、</w:t>
      </w:r>
      <w:r>
        <w:rPr>
          <w:rFonts w:ascii="SimSun" w:hAnsi="SimSun" w:eastAsia="SimSun" w:cs="SimSun"/>
          <w:sz w:val="24"/>
          <w:szCs w:val="24"/>
          <w:spacing w:val="-1"/>
        </w:rPr>
        <w:t>在工业场地周围建有防护林带。</w:t>
      </w:r>
    </w:p>
    <w:p>
      <w:pPr>
        <w:ind w:left="600"/>
        <w:spacing w:before="186" w:line="219" w:lineRule="auto"/>
        <w:rPr>
          <w:rFonts w:ascii="SimSun" w:hAnsi="SimSun" w:eastAsia="SimSun" w:cs="SimSun"/>
          <w:sz w:val="24"/>
          <w:szCs w:val="24"/>
        </w:rPr>
      </w:pPr>
      <w:r>
        <w:rPr>
          <w:rFonts w:ascii="SimSun" w:hAnsi="SimSun" w:eastAsia="SimSun" w:cs="SimSun"/>
          <w:sz w:val="24"/>
          <w:szCs w:val="24"/>
          <w:spacing w:val="-1"/>
        </w:rPr>
        <w:t>本项目各噪声源及源强见下表。</w:t>
      </w:r>
    </w:p>
    <w:p>
      <w:pPr>
        <w:pStyle w:val="BodyText"/>
        <w:spacing w:line="341" w:lineRule="auto"/>
        <w:rPr/>
      </w:pPr>
      <w:r/>
    </w:p>
    <w:p>
      <w:pPr>
        <w:ind w:left="2140"/>
        <w:spacing w:before="78" w:line="221" w:lineRule="auto"/>
        <w:rPr>
          <w:rFonts w:ascii="SimHei" w:hAnsi="SimHei" w:eastAsia="SimHei" w:cs="SimHei"/>
          <w:sz w:val="24"/>
          <w:szCs w:val="24"/>
        </w:rPr>
      </w:pPr>
      <w:r>
        <w:rPr>
          <w:rFonts w:ascii="SimHei" w:hAnsi="SimHei" w:eastAsia="SimHei" w:cs="SimHei"/>
          <w:sz w:val="24"/>
          <w:szCs w:val="24"/>
          <w:spacing w:val="-1"/>
        </w:rPr>
        <w:t>噪声污染源防治措施与污染物产、排情况一览表</w:t>
      </w:r>
    </w:p>
    <w:p>
      <w:pPr>
        <w:ind w:left="117"/>
        <w:spacing w:before="68"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3"/>
        </w:rPr>
        <w:t>3-6-7</w:t>
      </w:r>
      <w:r>
        <w:rPr>
          <w:rFonts w:ascii="Times New Roman" w:hAnsi="Times New Roman" w:eastAsia="Times New Roman" w:cs="Times New Roman"/>
          <w:sz w:val="20"/>
          <w:szCs w:val="20"/>
        </w:rPr>
        <w:t xml:space="preserve">                                                                                                                                                 </w:t>
      </w:r>
      <w:r>
        <w:rPr>
          <w:rFonts w:ascii="SimSun" w:hAnsi="SimSun" w:eastAsia="SimSun" w:cs="SimSun"/>
          <w:sz w:val="20"/>
          <w:szCs w:val="20"/>
          <w:spacing w:val="3"/>
        </w:rPr>
        <w:t>单位：</w:t>
      </w:r>
      <w:r>
        <w:rPr>
          <w:rFonts w:ascii="Times New Roman" w:hAnsi="Times New Roman" w:eastAsia="Times New Roman" w:cs="Times New Roman"/>
          <w:sz w:val="20"/>
          <w:szCs w:val="20"/>
          <w:spacing w:val="3"/>
        </w:rPr>
        <w:t>t/a</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80"/>
        <w:gridCol w:w="1422"/>
        <w:gridCol w:w="1111"/>
        <w:gridCol w:w="4373"/>
        <w:gridCol w:w="1804"/>
      </w:tblGrid>
      <w:tr>
        <w:trPr>
          <w:trHeight w:val="827" w:hRule="atLeast"/>
        </w:trPr>
        <w:tc>
          <w:tcPr>
            <w:tcW w:w="580" w:type="dxa"/>
            <w:vAlign w:val="top"/>
            <w:textDirection w:val="tbRlV"/>
          </w:tcPr>
          <w:p>
            <w:pPr>
              <w:ind w:left="33"/>
              <w:spacing w:before="183" w:line="217" w:lineRule="auto"/>
              <w:rPr>
                <w:rFonts w:ascii="SimSun" w:hAnsi="SimSun" w:eastAsia="SimSun" w:cs="SimSun"/>
                <w:sz w:val="20"/>
                <w:szCs w:val="20"/>
              </w:rPr>
            </w:pPr>
            <w:r>
              <w:rPr>
                <w:rFonts w:ascii="SimSun" w:hAnsi="SimSun" w:eastAsia="SimSun" w:cs="SimSun"/>
                <w:sz w:val="20"/>
                <w:szCs w:val="20"/>
                <w:spacing w:val="8"/>
              </w:rPr>
              <w:t>污</w:t>
            </w:r>
            <w:r>
              <w:rPr>
                <w:rFonts w:ascii="SimSun" w:hAnsi="SimSun" w:eastAsia="SimSun" w:cs="SimSun"/>
                <w:sz w:val="20"/>
                <w:szCs w:val="20"/>
                <w:spacing w:val="-37"/>
              </w:rPr>
              <w:t xml:space="preserve"> </w:t>
            </w:r>
            <w:r>
              <w:rPr>
                <w:rFonts w:ascii="SimSun" w:hAnsi="SimSun" w:eastAsia="SimSun" w:cs="SimSun"/>
                <w:sz w:val="20"/>
                <w:szCs w:val="20"/>
                <w:spacing w:val="8"/>
              </w:rPr>
              <w:t>染</w:t>
            </w:r>
            <w:r>
              <w:rPr>
                <w:rFonts w:ascii="SimSun" w:hAnsi="SimSun" w:eastAsia="SimSun" w:cs="SimSun"/>
                <w:sz w:val="20"/>
                <w:szCs w:val="20"/>
                <w:spacing w:val="-35"/>
              </w:rPr>
              <w:t xml:space="preserve"> </w:t>
            </w:r>
            <w:r>
              <w:rPr>
                <w:rFonts w:ascii="SimSun" w:hAnsi="SimSun" w:eastAsia="SimSun" w:cs="SimSun"/>
                <w:sz w:val="20"/>
                <w:szCs w:val="20"/>
                <w:spacing w:val="8"/>
              </w:rPr>
              <w:t>源</w:t>
            </w:r>
          </w:p>
        </w:tc>
        <w:tc>
          <w:tcPr>
            <w:tcW w:w="1422" w:type="dxa"/>
            <w:vAlign w:val="top"/>
          </w:tcPr>
          <w:p>
            <w:pPr>
              <w:ind w:left="297"/>
              <w:spacing w:before="304" w:line="228" w:lineRule="auto"/>
              <w:rPr>
                <w:rFonts w:ascii="SimSun" w:hAnsi="SimSun" w:eastAsia="SimSun" w:cs="SimSun"/>
                <w:sz w:val="20"/>
                <w:szCs w:val="20"/>
              </w:rPr>
            </w:pPr>
            <w:r>
              <w:rPr>
                <w:rFonts w:ascii="SimSun" w:hAnsi="SimSun" w:eastAsia="SimSun" w:cs="SimSun"/>
                <w:sz w:val="20"/>
                <w:szCs w:val="20"/>
                <w:spacing w:val="6"/>
              </w:rPr>
              <w:t>设备类型</w:t>
            </w:r>
          </w:p>
        </w:tc>
        <w:tc>
          <w:tcPr>
            <w:tcW w:w="1111" w:type="dxa"/>
            <w:vAlign w:val="top"/>
          </w:tcPr>
          <w:p>
            <w:pPr>
              <w:pStyle w:val="TableText"/>
              <w:ind w:left="289" w:right="136" w:hanging="148"/>
              <w:spacing w:before="184" w:line="259" w:lineRule="auto"/>
              <w:rPr/>
            </w:pPr>
            <w:r>
              <w:rPr>
                <w:rFonts w:ascii="SimSun" w:hAnsi="SimSun" w:eastAsia="SimSun" w:cs="SimSun"/>
                <w:spacing w:val="6"/>
              </w:rPr>
              <w:t>单台设备</w:t>
            </w:r>
            <w:r>
              <w:rPr/>
              <w:t>dB</w:t>
            </w:r>
            <w:r>
              <w:rPr>
                <w:spacing w:val="5"/>
              </w:rPr>
              <w:t>(A)</w:t>
            </w:r>
          </w:p>
        </w:tc>
        <w:tc>
          <w:tcPr>
            <w:tcW w:w="4373" w:type="dxa"/>
            <w:vAlign w:val="top"/>
          </w:tcPr>
          <w:p>
            <w:pPr>
              <w:ind w:left="1562"/>
              <w:spacing w:before="305" w:line="228" w:lineRule="auto"/>
              <w:rPr>
                <w:rFonts w:ascii="SimSun" w:hAnsi="SimSun" w:eastAsia="SimSun" w:cs="SimSun"/>
                <w:sz w:val="20"/>
                <w:szCs w:val="20"/>
              </w:rPr>
            </w:pPr>
            <w:r>
              <w:rPr>
                <w:rFonts w:ascii="SimSun" w:hAnsi="SimSun" w:eastAsia="SimSun" w:cs="SimSun"/>
                <w:sz w:val="20"/>
                <w:szCs w:val="20"/>
                <w:spacing w:val="7"/>
              </w:rPr>
              <w:t>污染防治措施</w:t>
            </w:r>
          </w:p>
        </w:tc>
        <w:tc>
          <w:tcPr>
            <w:tcW w:w="1804" w:type="dxa"/>
            <w:vAlign w:val="top"/>
          </w:tcPr>
          <w:p>
            <w:pPr>
              <w:pStyle w:val="TableText"/>
              <w:ind w:left="304" w:right="113" w:hanging="189"/>
              <w:spacing w:before="170" w:line="247" w:lineRule="auto"/>
              <w:rPr/>
            </w:pPr>
            <w:r>
              <w:rPr>
                <w:rFonts w:ascii="SimSun" w:hAnsi="SimSun" w:eastAsia="SimSun" w:cs="SimSun"/>
                <w:spacing w:val="4"/>
              </w:rPr>
              <w:t>措施后厂房外</w:t>
            </w:r>
            <w:r>
              <w:rPr>
                <w:rFonts w:ascii="SimSun" w:hAnsi="SimSun" w:eastAsia="SimSun" w:cs="SimSun"/>
                <w:spacing w:val="-19"/>
              </w:rPr>
              <w:t xml:space="preserve"> </w:t>
            </w:r>
            <w:r>
              <w:rPr>
                <w:spacing w:val="4"/>
              </w:rPr>
              <w:t>1m</w:t>
            </w:r>
            <w:r>
              <w:rPr>
                <w:rFonts w:ascii="SimSun" w:hAnsi="SimSun" w:eastAsia="SimSun" w:cs="SimSun"/>
                <w:spacing w:val="4"/>
              </w:rPr>
              <w:t>噪声级</w:t>
            </w:r>
            <w:r>
              <w:rPr>
                <w:rFonts w:ascii="SimSun" w:hAnsi="SimSun" w:eastAsia="SimSun" w:cs="SimSun"/>
                <w:spacing w:val="-35"/>
              </w:rPr>
              <w:t xml:space="preserve"> </w:t>
            </w:r>
            <w:r>
              <w:rPr/>
              <w:t>dB</w:t>
            </w:r>
            <w:r>
              <w:rPr>
                <w:spacing w:val="4"/>
              </w:rPr>
              <w:t>(A)</w:t>
            </w:r>
          </w:p>
        </w:tc>
      </w:tr>
      <w:tr>
        <w:trPr>
          <w:trHeight w:val="901" w:hRule="atLeast"/>
        </w:trPr>
        <w:tc>
          <w:tcPr>
            <w:tcW w:w="580" w:type="dxa"/>
            <w:vAlign w:val="top"/>
            <w:vMerge w:val="restart"/>
            <w:textDirection w:val="tbRlV"/>
            <w:tcBorders>
              <w:bottom w:val="nil"/>
            </w:tcBorders>
          </w:tcPr>
          <w:p>
            <w:pPr>
              <w:ind w:left="262"/>
              <w:spacing w:before="183" w:line="217" w:lineRule="auto"/>
              <w:rPr>
                <w:rFonts w:ascii="SimSun" w:hAnsi="SimSun" w:eastAsia="SimSun" w:cs="SimSun"/>
                <w:sz w:val="20"/>
                <w:szCs w:val="20"/>
              </w:rPr>
            </w:pPr>
            <w:r>
              <w:rPr>
                <w:rFonts w:ascii="SimSun" w:hAnsi="SimSun" w:eastAsia="SimSun" w:cs="SimSun"/>
                <w:sz w:val="20"/>
                <w:szCs w:val="20"/>
                <w:spacing w:val="8"/>
              </w:rPr>
              <w:t>工</w:t>
            </w:r>
            <w:r>
              <w:rPr>
                <w:rFonts w:ascii="SimSun" w:hAnsi="SimSun" w:eastAsia="SimSun" w:cs="SimSun"/>
                <w:sz w:val="20"/>
                <w:szCs w:val="20"/>
                <w:spacing w:val="-34"/>
              </w:rPr>
              <w:t xml:space="preserve"> </w:t>
            </w:r>
            <w:r>
              <w:rPr>
                <w:rFonts w:ascii="SimSun" w:hAnsi="SimSun" w:eastAsia="SimSun" w:cs="SimSun"/>
                <w:sz w:val="20"/>
                <w:szCs w:val="20"/>
                <w:spacing w:val="8"/>
              </w:rPr>
              <w:t>业</w:t>
            </w:r>
            <w:r>
              <w:rPr>
                <w:rFonts w:ascii="SimSun" w:hAnsi="SimSun" w:eastAsia="SimSun" w:cs="SimSun"/>
                <w:sz w:val="20"/>
                <w:szCs w:val="20"/>
                <w:spacing w:val="-37"/>
              </w:rPr>
              <w:t xml:space="preserve"> </w:t>
            </w:r>
            <w:r>
              <w:rPr>
                <w:rFonts w:ascii="SimSun" w:hAnsi="SimSun" w:eastAsia="SimSun" w:cs="SimSun"/>
                <w:sz w:val="20"/>
                <w:szCs w:val="20"/>
                <w:spacing w:val="8"/>
              </w:rPr>
              <w:t>场</w:t>
            </w:r>
            <w:r>
              <w:rPr>
                <w:rFonts w:ascii="SimSun" w:hAnsi="SimSun" w:eastAsia="SimSun" w:cs="SimSun"/>
                <w:sz w:val="20"/>
                <w:szCs w:val="20"/>
                <w:spacing w:val="-35"/>
              </w:rPr>
              <w:t xml:space="preserve"> </w:t>
            </w:r>
            <w:r>
              <w:rPr>
                <w:rFonts w:ascii="SimSun" w:hAnsi="SimSun" w:eastAsia="SimSun" w:cs="SimSun"/>
                <w:sz w:val="20"/>
                <w:szCs w:val="20"/>
                <w:spacing w:val="8"/>
              </w:rPr>
              <w:t>地</w:t>
            </w:r>
          </w:p>
        </w:tc>
        <w:tc>
          <w:tcPr>
            <w:tcW w:w="1422" w:type="dxa"/>
            <w:vAlign w:val="top"/>
          </w:tcPr>
          <w:p>
            <w:pPr>
              <w:spacing w:line="275" w:lineRule="auto"/>
              <w:rPr>
                <w:rFonts w:ascii="Arial"/>
                <w:sz w:val="21"/>
              </w:rPr>
            </w:pPr>
            <w:r/>
          </w:p>
          <w:p>
            <w:pPr>
              <w:ind w:left="293"/>
              <w:spacing w:before="65" w:line="227" w:lineRule="auto"/>
              <w:rPr>
                <w:rFonts w:ascii="SimSun" w:hAnsi="SimSun" w:eastAsia="SimSun" w:cs="SimSun"/>
                <w:sz w:val="20"/>
                <w:szCs w:val="20"/>
              </w:rPr>
            </w:pPr>
            <w:r>
              <w:rPr>
                <w:rFonts w:ascii="SimSun" w:hAnsi="SimSun" w:eastAsia="SimSun" w:cs="SimSun"/>
                <w:sz w:val="20"/>
                <w:szCs w:val="20"/>
                <w:spacing w:val="7"/>
              </w:rPr>
              <w:t>机修车间</w:t>
            </w:r>
          </w:p>
        </w:tc>
        <w:tc>
          <w:tcPr>
            <w:tcW w:w="1111" w:type="dxa"/>
            <w:vAlign w:val="top"/>
          </w:tcPr>
          <w:p>
            <w:pPr>
              <w:spacing w:line="318" w:lineRule="auto"/>
              <w:rPr>
                <w:rFonts w:ascii="Arial"/>
                <w:sz w:val="21"/>
              </w:rPr>
            </w:pPr>
            <w:r/>
          </w:p>
          <w:p>
            <w:pPr>
              <w:pStyle w:val="TableText"/>
              <w:ind w:left="451"/>
              <w:spacing w:before="57" w:line="195" w:lineRule="auto"/>
              <w:rPr/>
            </w:pPr>
            <w:r>
              <w:rPr>
                <w:spacing w:val="2"/>
              </w:rPr>
              <w:t>95</w:t>
            </w:r>
          </w:p>
        </w:tc>
        <w:tc>
          <w:tcPr>
            <w:tcW w:w="4373" w:type="dxa"/>
            <w:vAlign w:val="top"/>
          </w:tcPr>
          <w:p>
            <w:pPr>
              <w:ind w:left="238" w:right="141" w:hanging="115"/>
              <w:spacing w:before="179" w:line="302" w:lineRule="auto"/>
              <w:rPr>
                <w:rFonts w:ascii="SimSun" w:hAnsi="SimSun" w:eastAsia="SimSun" w:cs="SimSun"/>
                <w:sz w:val="20"/>
                <w:szCs w:val="20"/>
              </w:rPr>
            </w:pPr>
            <w:r>
              <w:rPr>
                <w:rFonts w:ascii="SimSun" w:hAnsi="SimSun" w:eastAsia="SimSun" w:cs="SimSun"/>
                <w:sz w:val="20"/>
                <w:szCs w:val="20"/>
                <w:spacing w:val="12"/>
              </w:rPr>
              <w:t>厂房封闭安装</w:t>
            </w:r>
            <w:r>
              <w:rPr>
                <w:rFonts w:ascii="SimSun" w:hAnsi="SimSun" w:eastAsia="SimSun" w:cs="SimSun"/>
                <w:sz w:val="20"/>
                <w:szCs w:val="20"/>
                <w:spacing w:val="-52"/>
              </w:rPr>
              <w:t xml:space="preserve"> </w:t>
            </w:r>
            <w:r>
              <w:rPr>
                <w:rFonts w:ascii="SimSun" w:hAnsi="SimSun" w:eastAsia="SimSun" w:cs="SimSun"/>
                <w:sz w:val="20"/>
                <w:szCs w:val="20"/>
                <w:spacing w:val="12"/>
              </w:rPr>
              <w:t>隔声</w:t>
            </w:r>
            <w:r>
              <w:rPr>
                <w:rFonts w:ascii="SimSun" w:hAnsi="SimSun" w:eastAsia="SimSun" w:cs="SimSun"/>
                <w:sz w:val="20"/>
                <w:szCs w:val="20"/>
                <w:spacing w:val="-47"/>
              </w:rPr>
              <w:t xml:space="preserve"> </w:t>
            </w:r>
            <w:r>
              <w:rPr>
                <w:rFonts w:ascii="SimSun" w:hAnsi="SimSun" w:eastAsia="SimSun" w:cs="SimSun"/>
                <w:sz w:val="20"/>
                <w:szCs w:val="20"/>
                <w:spacing w:val="12"/>
              </w:rPr>
              <w:t>门窗</w:t>
            </w:r>
            <w:r>
              <w:rPr>
                <w:rFonts w:ascii="SimSun" w:hAnsi="SimSun" w:eastAsia="SimSun" w:cs="SimSun"/>
                <w:sz w:val="20"/>
                <w:szCs w:val="20"/>
                <w:spacing w:val="-58"/>
              </w:rPr>
              <w:t xml:space="preserve"> </w:t>
            </w:r>
            <w:r>
              <w:rPr>
                <w:rFonts w:ascii="SimSun" w:hAnsi="SimSun" w:eastAsia="SimSun" w:cs="SimSun"/>
                <w:sz w:val="20"/>
                <w:szCs w:val="20"/>
                <w:spacing w:val="12"/>
              </w:rPr>
              <w:t>隔声</w:t>
            </w:r>
            <w:r>
              <w:rPr>
                <w:rFonts w:ascii="SimSun" w:hAnsi="SimSun" w:eastAsia="SimSun" w:cs="SimSun"/>
                <w:sz w:val="20"/>
                <w:szCs w:val="20"/>
                <w:spacing w:val="-54"/>
              </w:rPr>
              <w:t xml:space="preserve"> </w:t>
            </w:r>
            <w:r>
              <w:rPr>
                <w:rFonts w:ascii="SimSun" w:hAnsi="SimSun" w:eastAsia="SimSun" w:cs="SimSun"/>
                <w:sz w:val="20"/>
                <w:szCs w:val="20"/>
                <w:spacing w:val="12"/>
              </w:rPr>
              <w:t>降噪</w:t>
            </w:r>
            <w:r>
              <w:rPr>
                <w:rFonts w:ascii="SimSun" w:hAnsi="SimSun" w:eastAsia="SimSun" w:cs="SimSun"/>
                <w:sz w:val="20"/>
                <w:szCs w:val="20"/>
                <w:spacing w:val="-58"/>
              </w:rPr>
              <w:t xml:space="preserve"> </w:t>
            </w:r>
            <w:r>
              <w:rPr>
                <w:rFonts w:ascii="SimSun" w:hAnsi="SimSun" w:eastAsia="SimSun" w:cs="SimSun"/>
                <w:sz w:val="20"/>
                <w:szCs w:val="20"/>
                <w:spacing w:val="12"/>
              </w:rPr>
              <w:t>、室</w:t>
            </w:r>
            <w:r>
              <w:rPr>
                <w:rFonts w:ascii="SimSun" w:hAnsi="SimSun" w:eastAsia="SimSun" w:cs="SimSun"/>
                <w:sz w:val="20"/>
                <w:szCs w:val="20"/>
                <w:spacing w:val="-45"/>
              </w:rPr>
              <w:t xml:space="preserve"> </w:t>
            </w:r>
            <w:r>
              <w:rPr>
                <w:rFonts w:ascii="SimSun" w:hAnsi="SimSun" w:eastAsia="SimSun" w:cs="SimSun"/>
                <w:sz w:val="20"/>
                <w:szCs w:val="20"/>
                <w:spacing w:val="12"/>
              </w:rPr>
              <w:t>内墙</w:t>
            </w:r>
            <w:r>
              <w:rPr>
                <w:rFonts w:ascii="SimSun" w:hAnsi="SimSun" w:eastAsia="SimSun" w:cs="SimSun"/>
                <w:sz w:val="20"/>
                <w:szCs w:val="20"/>
                <w:spacing w:val="17"/>
              </w:rPr>
              <w:t>壁</w:t>
            </w:r>
            <w:r>
              <w:rPr>
                <w:rFonts w:ascii="SimSun" w:hAnsi="SimSun" w:eastAsia="SimSun" w:cs="SimSun"/>
                <w:sz w:val="20"/>
                <w:szCs w:val="20"/>
                <w:spacing w:val="-46"/>
              </w:rPr>
              <w:t xml:space="preserve"> </w:t>
            </w:r>
            <w:r>
              <w:rPr>
                <w:rFonts w:ascii="SimSun" w:hAnsi="SimSun" w:eastAsia="SimSun" w:cs="SimSun"/>
                <w:sz w:val="20"/>
                <w:szCs w:val="20"/>
                <w:spacing w:val="17"/>
              </w:rPr>
              <w:t>、顶棚进行吸声处理</w:t>
            </w:r>
            <w:r>
              <w:rPr>
                <w:rFonts w:ascii="SimSun" w:hAnsi="SimSun" w:eastAsia="SimSun" w:cs="SimSun"/>
                <w:sz w:val="20"/>
                <w:szCs w:val="20"/>
                <w:spacing w:val="-56"/>
              </w:rPr>
              <w:t xml:space="preserve"> </w:t>
            </w:r>
            <w:r>
              <w:rPr>
                <w:rFonts w:ascii="SimSun" w:hAnsi="SimSun" w:eastAsia="SimSun" w:cs="SimSun"/>
                <w:sz w:val="20"/>
                <w:szCs w:val="20"/>
                <w:spacing w:val="17"/>
              </w:rPr>
              <w:t>，</w:t>
            </w:r>
            <w:r>
              <w:rPr>
                <w:rFonts w:ascii="SimSun" w:hAnsi="SimSun" w:eastAsia="SimSun" w:cs="SimSun"/>
                <w:sz w:val="20"/>
                <w:szCs w:val="20"/>
                <w:spacing w:val="-59"/>
              </w:rPr>
              <w:t xml:space="preserve"> </w:t>
            </w:r>
            <w:r>
              <w:rPr>
                <w:rFonts w:ascii="SimSun" w:hAnsi="SimSun" w:eastAsia="SimSun" w:cs="SimSun"/>
                <w:sz w:val="20"/>
                <w:szCs w:val="20"/>
                <w:spacing w:val="17"/>
              </w:rPr>
              <w:t>夜</w:t>
            </w:r>
            <w:r>
              <w:rPr>
                <w:rFonts w:ascii="SimSun" w:hAnsi="SimSun" w:eastAsia="SimSun" w:cs="SimSun"/>
                <w:sz w:val="20"/>
                <w:szCs w:val="20"/>
                <w:spacing w:val="-54"/>
              </w:rPr>
              <w:t xml:space="preserve"> </w:t>
            </w:r>
            <w:r>
              <w:rPr>
                <w:rFonts w:ascii="SimSun" w:hAnsi="SimSun" w:eastAsia="SimSun" w:cs="SimSun"/>
                <w:sz w:val="20"/>
                <w:szCs w:val="20"/>
                <w:spacing w:val="17"/>
              </w:rPr>
              <w:t>间停止工作</w:t>
            </w:r>
          </w:p>
        </w:tc>
        <w:tc>
          <w:tcPr>
            <w:tcW w:w="1804" w:type="dxa"/>
            <w:vAlign w:val="top"/>
          </w:tcPr>
          <w:p>
            <w:pPr>
              <w:spacing w:line="321" w:lineRule="auto"/>
              <w:rPr>
                <w:rFonts w:ascii="Arial"/>
                <w:sz w:val="21"/>
              </w:rPr>
            </w:pPr>
            <w:r/>
          </w:p>
          <w:p>
            <w:pPr>
              <w:pStyle w:val="TableText"/>
              <w:ind w:left="799"/>
              <w:spacing w:before="57" w:line="192" w:lineRule="auto"/>
              <w:rPr/>
            </w:pPr>
            <w:r>
              <w:rPr>
                <w:spacing w:val="2"/>
              </w:rPr>
              <w:t>75</w:t>
            </w:r>
          </w:p>
        </w:tc>
      </w:tr>
      <w:tr>
        <w:trPr>
          <w:trHeight w:val="657" w:hRule="atLeast"/>
        </w:trPr>
        <w:tc>
          <w:tcPr>
            <w:tcW w:w="580" w:type="dxa"/>
            <w:vAlign w:val="top"/>
            <w:vMerge w:val="continue"/>
            <w:textDirection w:val="tbRlV"/>
            <w:tcBorders>
              <w:top w:val="nil"/>
            </w:tcBorders>
          </w:tcPr>
          <w:p>
            <w:pPr>
              <w:rPr>
                <w:rFonts w:ascii="Arial"/>
                <w:sz w:val="21"/>
              </w:rPr>
            </w:pPr>
            <w:r/>
          </w:p>
        </w:tc>
        <w:tc>
          <w:tcPr>
            <w:tcW w:w="1422" w:type="dxa"/>
            <w:vAlign w:val="top"/>
          </w:tcPr>
          <w:p>
            <w:pPr>
              <w:ind w:left="191"/>
              <w:spacing w:before="220" w:line="228" w:lineRule="auto"/>
              <w:rPr>
                <w:rFonts w:ascii="SimSun" w:hAnsi="SimSun" w:eastAsia="SimSun" w:cs="SimSun"/>
                <w:sz w:val="20"/>
                <w:szCs w:val="20"/>
              </w:rPr>
            </w:pPr>
            <w:r>
              <w:rPr>
                <w:rFonts w:ascii="SimSun" w:hAnsi="SimSun" w:eastAsia="SimSun" w:cs="SimSun"/>
                <w:sz w:val="20"/>
                <w:szCs w:val="20"/>
                <w:spacing w:val="7"/>
              </w:rPr>
              <w:t>各类水泵房</w:t>
            </w:r>
          </w:p>
        </w:tc>
        <w:tc>
          <w:tcPr>
            <w:tcW w:w="1111" w:type="dxa"/>
            <w:vAlign w:val="top"/>
          </w:tcPr>
          <w:p>
            <w:pPr>
              <w:pStyle w:val="TableText"/>
              <w:ind w:left="456"/>
              <w:spacing w:before="256" w:line="195" w:lineRule="auto"/>
              <w:rPr/>
            </w:pPr>
            <w:r>
              <w:rPr>
                <w:spacing w:val="-1"/>
              </w:rPr>
              <w:t>85</w:t>
            </w:r>
          </w:p>
        </w:tc>
        <w:tc>
          <w:tcPr>
            <w:tcW w:w="4373" w:type="dxa"/>
            <w:vAlign w:val="top"/>
          </w:tcPr>
          <w:p>
            <w:pPr>
              <w:ind w:left="581" w:right="141" w:hanging="458"/>
              <w:spacing w:before="57" w:line="272" w:lineRule="auto"/>
              <w:rPr>
                <w:rFonts w:ascii="SimSun" w:hAnsi="SimSun" w:eastAsia="SimSun" w:cs="SimSun"/>
                <w:sz w:val="20"/>
                <w:szCs w:val="20"/>
              </w:rPr>
            </w:pPr>
            <w:r>
              <w:rPr>
                <w:rFonts w:ascii="SimSun" w:hAnsi="SimSun" w:eastAsia="SimSun" w:cs="SimSun"/>
                <w:sz w:val="20"/>
                <w:szCs w:val="20"/>
                <w:spacing w:val="20"/>
              </w:rPr>
              <w:t>水泵与进</w:t>
            </w:r>
            <w:r>
              <w:rPr>
                <w:rFonts w:ascii="SimSun" w:hAnsi="SimSun" w:eastAsia="SimSun" w:cs="SimSun"/>
                <w:sz w:val="20"/>
                <w:szCs w:val="20"/>
                <w:spacing w:val="-51"/>
              </w:rPr>
              <w:t xml:space="preserve"> </w:t>
            </w:r>
            <w:r>
              <w:rPr>
                <w:rFonts w:ascii="SimSun" w:hAnsi="SimSun" w:eastAsia="SimSun" w:cs="SimSun"/>
                <w:sz w:val="20"/>
                <w:szCs w:val="20"/>
                <w:spacing w:val="20"/>
              </w:rPr>
              <w:t>出口管道</w:t>
            </w:r>
            <w:r>
              <w:rPr>
                <w:rFonts w:ascii="SimSun" w:hAnsi="SimSun" w:eastAsia="SimSun" w:cs="SimSun"/>
                <w:sz w:val="20"/>
                <w:szCs w:val="20"/>
                <w:spacing w:val="-54"/>
              </w:rPr>
              <w:t xml:space="preserve"> </w:t>
            </w:r>
            <w:r>
              <w:rPr>
                <w:rFonts w:ascii="SimSun" w:hAnsi="SimSun" w:eastAsia="SimSun" w:cs="SimSun"/>
                <w:sz w:val="20"/>
                <w:szCs w:val="20"/>
                <w:spacing w:val="20"/>
              </w:rPr>
              <w:t>间安装软橡胶接头</w:t>
            </w:r>
            <w:r>
              <w:rPr>
                <w:rFonts w:ascii="SimSun" w:hAnsi="SimSun" w:eastAsia="SimSun" w:cs="SimSun"/>
                <w:sz w:val="20"/>
                <w:szCs w:val="20"/>
                <w:spacing w:val="-53"/>
              </w:rPr>
              <w:t xml:space="preserve"> </w:t>
            </w:r>
            <w:r>
              <w:rPr>
                <w:rFonts w:ascii="SimSun" w:hAnsi="SimSun" w:eastAsia="SimSun" w:cs="SimSun"/>
                <w:sz w:val="20"/>
                <w:szCs w:val="20"/>
                <w:spacing w:val="20"/>
              </w:rPr>
              <w:t>，泵</w:t>
            </w:r>
            <w:r>
              <w:rPr>
                <w:rFonts w:ascii="SimSun" w:hAnsi="SimSun" w:eastAsia="SimSun" w:cs="SimSun"/>
                <w:sz w:val="20"/>
                <w:szCs w:val="20"/>
                <w:spacing w:val="27"/>
              </w:rPr>
              <w:t>体基础设橡胶垫或弹簧减震动器</w:t>
            </w:r>
          </w:p>
        </w:tc>
        <w:tc>
          <w:tcPr>
            <w:tcW w:w="1804" w:type="dxa"/>
            <w:vAlign w:val="top"/>
          </w:tcPr>
          <w:p>
            <w:pPr>
              <w:pStyle w:val="TableText"/>
              <w:ind w:left="799"/>
              <w:spacing w:before="259" w:line="192" w:lineRule="auto"/>
              <w:rPr/>
            </w:pPr>
            <w:r>
              <w:rPr>
                <w:spacing w:val="2"/>
              </w:rPr>
              <w:t>75</w:t>
            </w:r>
          </w:p>
        </w:tc>
      </w:tr>
      <w:tr>
        <w:trPr>
          <w:trHeight w:val="549" w:hRule="atLeast"/>
        </w:trPr>
        <w:tc>
          <w:tcPr>
            <w:tcW w:w="580" w:type="dxa"/>
            <w:vAlign w:val="top"/>
            <w:vMerge w:val="restart"/>
            <w:textDirection w:val="tbRlV"/>
            <w:tcBorders>
              <w:bottom w:val="nil"/>
            </w:tcBorders>
          </w:tcPr>
          <w:p>
            <w:pPr>
              <w:ind w:left="1010"/>
              <w:spacing w:before="183" w:line="216" w:lineRule="auto"/>
              <w:rPr>
                <w:rFonts w:ascii="SimSun" w:hAnsi="SimSun" w:eastAsia="SimSun" w:cs="SimSun"/>
                <w:sz w:val="20"/>
                <w:szCs w:val="20"/>
              </w:rPr>
            </w:pPr>
            <w:r>
              <w:rPr>
                <w:rFonts w:ascii="SimSun" w:hAnsi="SimSun" w:eastAsia="SimSun" w:cs="SimSun"/>
                <w:sz w:val="20"/>
                <w:szCs w:val="20"/>
                <w:spacing w:val="8"/>
              </w:rPr>
              <w:t>采</w:t>
            </w:r>
            <w:r>
              <w:rPr>
                <w:rFonts w:ascii="SimSun" w:hAnsi="SimSun" w:eastAsia="SimSun" w:cs="SimSun"/>
                <w:sz w:val="20"/>
                <w:szCs w:val="20"/>
                <w:spacing w:val="-37"/>
              </w:rPr>
              <w:t xml:space="preserve"> </w:t>
            </w:r>
            <w:r>
              <w:rPr>
                <w:rFonts w:ascii="SimSun" w:hAnsi="SimSun" w:eastAsia="SimSun" w:cs="SimSun"/>
                <w:sz w:val="20"/>
                <w:szCs w:val="20"/>
                <w:spacing w:val="8"/>
              </w:rPr>
              <w:t>掘</w:t>
            </w:r>
            <w:r>
              <w:rPr>
                <w:rFonts w:ascii="SimSun" w:hAnsi="SimSun" w:eastAsia="SimSun" w:cs="SimSun"/>
                <w:sz w:val="20"/>
                <w:szCs w:val="20"/>
                <w:spacing w:val="-35"/>
              </w:rPr>
              <w:t xml:space="preserve"> </w:t>
            </w:r>
            <w:r>
              <w:rPr>
                <w:rFonts w:ascii="SimSun" w:hAnsi="SimSun" w:eastAsia="SimSun" w:cs="SimSun"/>
                <w:sz w:val="20"/>
                <w:szCs w:val="20"/>
                <w:spacing w:val="8"/>
              </w:rPr>
              <w:t>场</w:t>
            </w:r>
          </w:p>
        </w:tc>
        <w:tc>
          <w:tcPr>
            <w:tcW w:w="1422" w:type="dxa"/>
            <w:vAlign w:val="top"/>
          </w:tcPr>
          <w:p>
            <w:pPr>
              <w:ind w:left="607" w:right="187" w:hanging="384"/>
              <w:spacing w:before="32" w:line="234" w:lineRule="auto"/>
              <w:rPr>
                <w:rFonts w:ascii="SimSun" w:hAnsi="SimSun" w:eastAsia="SimSun" w:cs="SimSun"/>
                <w:sz w:val="20"/>
                <w:szCs w:val="20"/>
              </w:rPr>
            </w:pPr>
            <w:r>
              <w:rPr>
                <w:rFonts w:ascii="SimSun" w:hAnsi="SimSun" w:eastAsia="SimSun" w:cs="SimSun"/>
                <w:sz w:val="20"/>
                <w:szCs w:val="20"/>
                <w:spacing w:val="1"/>
              </w:rPr>
              <w:t>自移式破碎</w:t>
            </w:r>
            <w:r>
              <w:rPr>
                <w:rFonts w:ascii="SimSun" w:hAnsi="SimSun" w:eastAsia="SimSun" w:cs="SimSun"/>
                <w:sz w:val="20"/>
                <w:szCs w:val="20"/>
                <w:spacing w:val="1"/>
              </w:rPr>
              <w:t>机</w:t>
            </w:r>
          </w:p>
        </w:tc>
        <w:tc>
          <w:tcPr>
            <w:tcW w:w="1111" w:type="dxa"/>
            <w:vAlign w:val="top"/>
          </w:tcPr>
          <w:p>
            <w:pPr>
              <w:pStyle w:val="TableText"/>
              <w:ind w:left="456"/>
              <w:spacing w:before="201" w:line="195" w:lineRule="auto"/>
              <w:rPr/>
            </w:pPr>
            <w:r>
              <w:rPr>
                <w:spacing w:val="-1"/>
              </w:rPr>
              <w:t>89</w:t>
            </w:r>
          </w:p>
        </w:tc>
        <w:tc>
          <w:tcPr>
            <w:tcW w:w="4373" w:type="dxa"/>
            <w:vAlign w:val="top"/>
            <w:vMerge w:val="restart"/>
            <w:tcBorders>
              <w:bottom w:val="nil"/>
            </w:tcBorders>
          </w:tcPr>
          <w:p>
            <w:pPr>
              <w:spacing w:line="398" w:lineRule="auto"/>
              <w:rPr>
                <w:rFonts w:ascii="Arial"/>
                <w:sz w:val="21"/>
              </w:rPr>
            </w:pPr>
            <w:r/>
          </w:p>
          <w:p>
            <w:pPr>
              <w:ind w:left="112"/>
              <w:spacing w:before="65" w:line="226" w:lineRule="auto"/>
              <w:rPr>
                <w:rFonts w:ascii="SimSun" w:hAnsi="SimSun" w:eastAsia="SimSun" w:cs="SimSun"/>
                <w:sz w:val="20"/>
                <w:szCs w:val="20"/>
              </w:rPr>
            </w:pPr>
            <w:r>
              <w:rPr>
                <w:rFonts w:ascii="SimSun" w:hAnsi="SimSun" w:eastAsia="SimSun" w:cs="SimSun"/>
                <w:sz w:val="20"/>
                <w:szCs w:val="20"/>
                <w:spacing w:val="7"/>
              </w:rPr>
              <w:t>在设备选型上，购置设备时选用低排放、低噪</w:t>
            </w:r>
          </w:p>
          <w:p>
            <w:pPr>
              <w:ind w:left="115"/>
              <w:spacing w:before="28" w:line="227" w:lineRule="auto"/>
              <w:rPr>
                <w:rFonts w:ascii="SimSun" w:hAnsi="SimSun" w:eastAsia="SimSun" w:cs="SimSun"/>
                <w:sz w:val="20"/>
                <w:szCs w:val="20"/>
              </w:rPr>
            </w:pPr>
            <w:r>
              <w:rPr>
                <w:rFonts w:ascii="SimSun" w:hAnsi="SimSun" w:eastAsia="SimSun" w:cs="SimSun"/>
                <w:sz w:val="20"/>
                <w:szCs w:val="20"/>
                <w:spacing w:val="7"/>
              </w:rPr>
              <w:t>音发动机，将设备噪音指标不超过预定值做为</w:t>
            </w:r>
          </w:p>
          <w:p>
            <w:pPr>
              <w:ind w:left="116"/>
              <w:spacing w:before="25" w:line="225" w:lineRule="auto"/>
              <w:rPr>
                <w:rFonts w:ascii="SimSun" w:hAnsi="SimSun" w:eastAsia="SimSun" w:cs="SimSun"/>
                <w:sz w:val="20"/>
                <w:szCs w:val="20"/>
              </w:rPr>
            </w:pPr>
            <w:r>
              <w:rPr>
                <w:rFonts w:ascii="SimSun" w:hAnsi="SimSun" w:eastAsia="SimSun" w:cs="SimSun"/>
                <w:sz w:val="20"/>
                <w:szCs w:val="20"/>
                <w:spacing w:val="7"/>
              </w:rPr>
              <w:t>设备必须满足的技术条件之一，从噪声源头上</w:t>
            </w:r>
          </w:p>
          <w:p>
            <w:pPr>
              <w:ind w:left="1893"/>
              <w:spacing w:before="29" w:line="228" w:lineRule="auto"/>
              <w:rPr>
                <w:rFonts w:ascii="SimSun" w:hAnsi="SimSun" w:eastAsia="SimSun" w:cs="SimSun"/>
                <w:sz w:val="20"/>
                <w:szCs w:val="20"/>
              </w:rPr>
            </w:pPr>
            <w:r>
              <w:rPr>
                <w:rFonts w:ascii="SimSun" w:hAnsi="SimSun" w:eastAsia="SimSun" w:cs="SimSun"/>
                <w:sz w:val="20"/>
                <w:szCs w:val="20"/>
                <w:spacing w:val="-3"/>
              </w:rPr>
              <w:t>降噪。</w:t>
            </w:r>
          </w:p>
          <w:p>
            <w:pPr>
              <w:ind w:left="113" w:right="48" w:firstLine="1"/>
              <w:spacing w:before="24" w:line="252" w:lineRule="auto"/>
              <w:jc w:val="both"/>
              <w:rPr>
                <w:rFonts w:ascii="SimSun" w:hAnsi="SimSun" w:eastAsia="SimSun" w:cs="SimSun"/>
                <w:sz w:val="20"/>
                <w:szCs w:val="20"/>
              </w:rPr>
            </w:pPr>
            <w:r>
              <w:rPr>
                <w:rFonts w:ascii="SimSun" w:hAnsi="SimSun" w:eastAsia="SimSun" w:cs="SimSun"/>
                <w:sz w:val="20"/>
                <w:szCs w:val="20"/>
                <w:spacing w:val="10"/>
              </w:rPr>
              <w:t>现场工程设备的消声器配备齐全并保持完好，</w:t>
            </w:r>
            <w:r>
              <w:rPr>
                <w:rFonts w:ascii="SimSun" w:hAnsi="SimSun" w:eastAsia="SimSun" w:cs="SimSun"/>
                <w:sz w:val="20"/>
                <w:szCs w:val="20"/>
              </w:rPr>
              <w:t>通过消声器降噪；密封驾驶室，提高隔音效果，</w:t>
            </w:r>
            <w:r>
              <w:rPr>
                <w:rFonts w:ascii="SimSun" w:hAnsi="SimSun" w:eastAsia="SimSun" w:cs="SimSun"/>
                <w:sz w:val="20"/>
                <w:szCs w:val="20"/>
                <w:spacing w:val="9"/>
              </w:rPr>
              <w:t>降低驾驶室内噪音；发放劳动保护用品耳塞。</w:t>
            </w:r>
          </w:p>
        </w:tc>
        <w:tc>
          <w:tcPr>
            <w:tcW w:w="1804" w:type="dxa"/>
            <w:vAlign w:val="top"/>
          </w:tcPr>
          <w:p>
            <w:pPr>
              <w:pStyle w:val="TableText"/>
              <w:ind w:left="799"/>
              <w:spacing w:before="204" w:line="192" w:lineRule="auto"/>
              <w:rPr/>
            </w:pPr>
            <w:r>
              <w:rPr>
                <w:spacing w:val="2"/>
              </w:rPr>
              <w:t>77</w:t>
            </w:r>
          </w:p>
        </w:tc>
      </w:tr>
      <w:tr>
        <w:trPr>
          <w:trHeight w:val="549" w:hRule="atLeast"/>
        </w:trPr>
        <w:tc>
          <w:tcPr>
            <w:tcW w:w="580" w:type="dxa"/>
            <w:vAlign w:val="top"/>
            <w:vMerge w:val="continue"/>
            <w:textDirection w:val="tbRlV"/>
            <w:tcBorders>
              <w:top w:val="nil"/>
              <w:bottom w:val="nil"/>
            </w:tcBorders>
          </w:tcPr>
          <w:p>
            <w:pPr>
              <w:rPr>
                <w:rFonts w:ascii="Arial"/>
                <w:sz w:val="21"/>
              </w:rPr>
            </w:pPr>
            <w:r/>
          </w:p>
        </w:tc>
        <w:tc>
          <w:tcPr>
            <w:tcW w:w="1422" w:type="dxa"/>
            <w:vAlign w:val="top"/>
          </w:tcPr>
          <w:p>
            <w:pPr>
              <w:ind w:left="607" w:right="187" w:hanging="415"/>
              <w:spacing w:before="31" w:line="234" w:lineRule="auto"/>
              <w:rPr>
                <w:rFonts w:ascii="SimSun" w:hAnsi="SimSun" w:eastAsia="SimSun" w:cs="SimSun"/>
                <w:sz w:val="20"/>
                <w:szCs w:val="20"/>
              </w:rPr>
            </w:pPr>
            <w:r>
              <w:rPr>
                <w:rFonts w:ascii="SimSun" w:hAnsi="SimSun" w:eastAsia="SimSun" w:cs="SimSun"/>
                <w:sz w:val="20"/>
                <w:szCs w:val="20"/>
                <w:spacing w:val="7"/>
              </w:rPr>
              <w:t>半固定破碎</w:t>
            </w:r>
            <w:r>
              <w:rPr>
                <w:rFonts w:ascii="SimSun" w:hAnsi="SimSun" w:eastAsia="SimSun" w:cs="SimSun"/>
                <w:sz w:val="20"/>
                <w:szCs w:val="20"/>
                <w:spacing w:val="1"/>
              </w:rPr>
              <w:t>机</w:t>
            </w:r>
          </w:p>
        </w:tc>
        <w:tc>
          <w:tcPr>
            <w:tcW w:w="1111" w:type="dxa"/>
            <w:vAlign w:val="top"/>
          </w:tcPr>
          <w:p>
            <w:pPr>
              <w:pStyle w:val="TableText"/>
              <w:ind w:left="451"/>
              <w:spacing w:before="204" w:line="195" w:lineRule="auto"/>
              <w:rPr/>
            </w:pPr>
            <w:r>
              <w:rPr>
                <w:spacing w:val="2"/>
              </w:rPr>
              <w:t>93</w:t>
            </w:r>
          </w:p>
        </w:tc>
        <w:tc>
          <w:tcPr>
            <w:tcW w:w="4373"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207" w:line="192" w:lineRule="auto"/>
              <w:rPr/>
            </w:pPr>
            <w:r>
              <w:rPr>
                <w:spacing w:val="2"/>
              </w:rPr>
              <w:t>77</w:t>
            </w:r>
          </w:p>
        </w:tc>
      </w:tr>
      <w:tr>
        <w:trPr>
          <w:trHeight w:val="330" w:hRule="atLeast"/>
        </w:trPr>
        <w:tc>
          <w:tcPr>
            <w:tcW w:w="580" w:type="dxa"/>
            <w:vAlign w:val="top"/>
            <w:vMerge w:val="continue"/>
            <w:textDirection w:val="tbRlV"/>
            <w:tcBorders>
              <w:top w:val="nil"/>
              <w:bottom w:val="nil"/>
            </w:tcBorders>
          </w:tcPr>
          <w:p>
            <w:pPr>
              <w:rPr>
                <w:rFonts w:ascii="Arial"/>
                <w:sz w:val="21"/>
              </w:rPr>
            </w:pPr>
            <w:r/>
          </w:p>
        </w:tc>
        <w:tc>
          <w:tcPr>
            <w:tcW w:w="1422" w:type="dxa"/>
            <w:vAlign w:val="top"/>
          </w:tcPr>
          <w:p>
            <w:pPr>
              <w:ind w:left="397"/>
              <w:spacing w:before="58" w:line="227" w:lineRule="auto"/>
              <w:rPr>
                <w:rFonts w:ascii="SimSun" w:hAnsi="SimSun" w:eastAsia="SimSun" w:cs="SimSun"/>
                <w:sz w:val="20"/>
                <w:szCs w:val="20"/>
              </w:rPr>
            </w:pPr>
            <w:r>
              <w:rPr>
                <w:rFonts w:ascii="SimSun" w:hAnsi="SimSun" w:eastAsia="SimSun" w:cs="SimSun"/>
                <w:sz w:val="20"/>
                <w:szCs w:val="20"/>
                <w:spacing w:val="6"/>
              </w:rPr>
              <w:t>装载机</w:t>
            </w:r>
          </w:p>
        </w:tc>
        <w:tc>
          <w:tcPr>
            <w:tcW w:w="1111" w:type="dxa"/>
            <w:vAlign w:val="top"/>
          </w:tcPr>
          <w:p>
            <w:pPr>
              <w:pStyle w:val="TableText"/>
              <w:ind w:left="451"/>
              <w:spacing w:before="94" w:line="195" w:lineRule="auto"/>
              <w:rPr/>
            </w:pPr>
            <w:r>
              <w:rPr>
                <w:spacing w:val="2"/>
              </w:rPr>
              <w:t>90</w:t>
            </w:r>
          </w:p>
        </w:tc>
        <w:tc>
          <w:tcPr>
            <w:tcW w:w="4373"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7" w:line="192" w:lineRule="auto"/>
              <w:rPr/>
            </w:pPr>
            <w:r>
              <w:rPr>
                <w:spacing w:val="2"/>
              </w:rPr>
              <w:t>75</w:t>
            </w:r>
          </w:p>
        </w:tc>
      </w:tr>
      <w:tr>
        <w:trPr>
          <w:trHeight w:val="331" w:hRule="atLeast"/>
        </w:trPr>
        <w:tc>
          <w:tcPr>
            <w:tcW w:w="580" w:type="dxa"/>
            <w:vAlign w:val="top"/>
            <w:vMerge w:val="continue"/>
            <w:textDirection w:val="tbRlV"/>
            <w:tcBorders>
              <w:top w:val="nil"/>
              <w:bottom w:val="nil"/>
            </w:tcBorders>
          </w:tcPr>
          <w:p>
            <w:pPr>
              <w:rPr>
                <w:rFonts w:ascii="Arial"/>
                <w:sz w:val="21"/>
              </w:rPr>
            </w:pPr>
            <w:r/>
          </w:p>
        </w:tc>
        <w:tc>
          <w:tcPr>
            <w:tcW w:w="1422" w:type="dxa"/>
            <w:vAlign w:val="top"/>
          </w:tcPr>
          <w:p>
            <w:pPr>
              <w:ind w:left="397"/>
              <w:spacing w:before="59" w:line="227" w:lineRule="auto"/>
              <w:rPr>
                <w:rFonts w:ascii="SimSun" w:hAnsi="SimSun" w:eastAsia="SimSun" w:cs="SimSun"/>
                <w:sz w:val="20"/>
                <w:szCs w:val="20"/>
              </w:rPr>
            </w:pPr>
            <w:r>
              <w:rPr>
                <w:rFonts w:ascii="SimSun" w:hAnsi="SimSun" w:eastAsia="SimSun" w:cs="SimSun"/>
                <w:sz w:val="20"/>
                <w:szCs w:val="20"/>
                <w:spacing w:val="6"/>
              </w:rPr>
              <w:t>推土机</w:t>
            </w:r>
          </w:p>
        </w:tc>
        <w:tc>
          <w:tcPr>
            <w:tcW w:w="1111" w:type="dxa"/>
            <w:vAlign w:val="top"/>
          </w:tcPr>
          <w:p>
            <w:pPr>
              <w:pStyle w:val="TableText"/>
              <w:ind w:left="456"/>
              <w:spacing w:before="95" w:line="195" w:lineRule="auto"/>
              <w:rPr/>
            </w:pPr>
            <w:r>
              <w:rPr>
                <w:spacing w:val="-1"/>
              </w:rPr>
              <w:t>83</w:t>
            </w:r>
          </w:p>
        </w:tc>
        <w:tc>
          <w:tcPr>
            <w:tcW w:w="4373"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8" w:line="192" w:lineRule="auto"/>
              <w:rPr/>
            </w:pPr>
            <w:r>
              <w:rPr>
                <w:spacing w:val="2"/>
              </w:rPr>
              <w:t>77</w:t>
            </w:r>
          </w:p>
        </w:tc>
      </w:tr>
      <w:tr>
        <w:trPr>
          <w:trHeight w:val="331" w:hRule="atLeast"/>
        </w:trPr>
        <w:tc>
          <w:tcPr>
            <w:tcW w:w="580" w:type="dxa"/>
            <w:vAlign w:val="top"/>
            <w:vMerge w:val="continue"/>
            <w:textDirection w:val="tbRlV"/>
            <w:tcBorders>
              <w:top w:val="nil"/>
              <w:bottom w:val="nil"/>
            </w:tcBorders>
          </w:tcPr>
          <w:p>
            <w:pPr>
              <w:rPr>
                <w:rFonts w:ascii="Arial"/>
                <w:sz w:val="21"/>
              </w:rPr>
            </w:pPr>
            <w:r/>
          </w:p>
        </w:tc>
        <w:tc>
          <w:tcPr>
            <w:tcW w:w="1422" w:type="dxa"/>
            <w:vAlign w:val="top"/>
          </w:tcPr>
          <w:p>
            <w:pPr>
              <w:ind w:left="397"/>
              <w:spacing w:before="59" w:line="227" w:lineRule="auto"/>
              <w:rPr>
                <w:rFonts w:ascii="SimSun" w:hAnsi="SimSun" w:eastAsia="SimSun" w:cs="SimSun"/>
                <w:sz w:val="20"/>
                <w:szCs w:val="20"/>
              </w:rPr>
            </w:pPr>
            <w:r>
              <w:rPr>
                <w:rFonts w:ascii="SimSun" w:hAnsi="SimSun" w:eastAsia="SimSun" w:cs="SimSun"/>
                <w:sz w:val="20"/>
                <w:szCs w:val="20"/>
                <w:spacing w:val="6"/>
              </w:rPr>
              <w:t>排土机</w:t>
            </w:r>
          </w:p>
        </w:tc>
        <w:tc>
          <w:tcPr>
            <w:tcW w:w="1111" w:type="dxa"/>
            <w:vAlign w:val="top"/>
          </w:tcPr>
          <w:p>
            <w:pPr>
              <w:pStyle w:val="TableText"/>
              <w:ind w:left="456"/>
              <w:spacing w:before="95" w:line="195" w:lineRule="auto"/>
              <w:rPr/>
            </w:pPr>
            <w:r>
              <w:rPr>
                <w:spacing w:val="-1"/>
              </w:rPr>
              <w:t>89</w:t>
            </w:r>
          </w:p>
        </w:tc>
        <w:tc>
          <w:tcPr>
            <w:tcW w:w="4373"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8" w:line="192" w:lineRule="auto"/>
              <w:rPr/>
            </w:pPr>
            <w:r>
              <w:rPr>
                <w:spacing w:val="2"/>
              </w:rPr>
              <w:t>75</w:t>
            </w:r>
          </w:p>
        </w:tc>
      </w:tr>
      <w:tr>
        <w:trPr>
          <w:trHeight w:val="331" w:hRule="atLeast"/>
        </w:trPr>
        <w:tc>
          <w:tcPr>
            <w:tcW w:w="580" w:type="dxa"/>
            <w:vAlign w:val="top"/>
            <w:vMerge w:val="continue"/>
            <w:textDirection w:val="tbRlV"/>
            <w:tcBorders>
              <w:top w:val="nil"/>
              <w:bottom w:val="nil"/>
            </w:tcBorders>
          </w:tcPr>
          <w:p>
            <w:pPr>
              <w:rPr>
                <w:rFonts w:ascii="Arial"/>
                <w:sz w:val="21"/>
              </w:rPr>
            </w:pPr>
            <w:r/>
          </w:p>
        </w:tc>
        <w:tc>
          <w:tcPr>
            <w:tcW w:w="1422" w:type="dxa"/>
            <w:vAlign w:val="top"/>
          </w:tcPr>
          <w:p>
            <w:pPr>
              <w:ind w:left="328"/>
              <w:spacing w:before="59" w:line="228" w:lineRule="auto"/>
              <w:rPr>
                <w:rFonts w:ascii="SimSun" w:hAnsi="SimSun" w:eastAsia="SimSun" w:cs="SimSun"/>
                <w:sz w:val="20"/>
                <w:szCs w:val="20"/>
              </w:rPr>
            </w:pPr>
            <w:r>
              <w:rPr>
                <w:rFonts w:ascii="SimSun" w:hAnsi="SimSun" w:eastAsia="SimSun" w:cs="SimSun"/>
                <w:sz w:val="20"/>
                <w:szCs w:val="20"/>
                <w:spacing w:val="-2"/>
              </w:rPr>
              <w:t>自卸卡车</w:t>
            </w:r>
          </w:p>
        </w:tc>
        <w:tc>
          <w:tcPr>
            <w:tcW w:w="1111" w:type="dxa"/>
            <w:vAlign w:val="top"/>
          </w:tcPr>
          <w:p>
            <w:pPr>
              <w:pStyle w:val="TableText"/>
              <w:ind w:left="456"/>
              <w:spacing w:before="95" w:line="195" w:lineRule="auto"/>
              <w:rPr/>
            </w:pPr>
            <w:r>
              <w:rPr>
                <w:spacing w:val="-1"/>
              </w:rPr>
              <w:t>85</w:t>
            </w:r>
          </w:p>
        </w:tc>
        <w:tc>
          <w:tcPr>
            <w:tcW w:w="4373" w:type="dxa"/>
            <w:vAlign w:val="top"/>
            <w:vMerge w:val="continue"/>
            <w:tcBorders>
              <w:top w:val="nil"/>
              <w:bottom w:val="nil"/>
            </w:tcBorders>
          </w:tcPr>
          <w:p>
            <w:pPr>
              <w:rPr>
                <w:rFonts w:ascii="Arial"/>
                <w:sz w:val="21"/>
              </w:rPr>
            </w:pPr>
            <w:r/>
          </w:p>
        </w:tc>
        <w:tc>
          <w:tcPr>
            <w:tcW w:w="1804" w:type="dxa"/>
            <w:vAlign w:val="top"/>
          </w:tcPr>
          <w:p>
            <w:pPr>
              <w:pStyle w:val="TableText"/>
              <w:ind w:left="799"/>
              <w:spacing w:before="95" w:line="195" w:lineRule="auto"/>
              <w:rPr/>
            </w:pPr>
            <w:r>
              <w:rPr>
                <w:spacing w:val="2"/>
              </w:rPr>
              <w:t>70</w:t>
            </w:r>
          </w:p>
        </w:tc>
      </w:tr>
      <w:tr>
        <w:trPr>
          <w:trHeight w:val="335" w:hRule="atLeast"/>
        </w:trPr>
        <w:tc>
          <w:tcPr>
            <w:tcW w:w="580" w:type="dxa"/>
            <w:vAlign w:val="top"/>
            <w:vMerge w:val="continue"/>
            <w:textDirection w:val="tbRlV"/>
            <w:tcBorders>
              <w:top w:val="nil"/>
            </w:tcBorders>
          </w:tcPr>
          <w:p>
            <w:pPr>
              <w:rPr>
                <w:rFonts w:ascii="Arial"/>
                <w:sz w:val="21"/>
              </w:rPr>
            </w:pPr>
            <w:r/>
          </w:p>
        </w:tc>
        <w:tc>
          <w:tcPr>
            <w:tcW w:w="1422" w:type="dxa"/>
            <w:vAlign w:val="top"/>
          </w:tcPr>
          <w:p>
            <w:pPr>
              <w:ind w:left="396"/>
              <w:spacing w:before="59" w:line="227" w:lineRule="auto"/>
              <w:rPr>
                <w:rFonts w:ascii="SimSun" w:hAnsi="SimSun" w:eastAsia="SimSun" w:cs="SimSun"/>
                <w:sz w:val="20"/>
                <w:szCs w:val="20"/>
              </w:rPr>
            </w:pPr>
            <w:r>
              <w:rPr>
                <w:rFonts w:ascii="SimSun" w:hAnsi="SimSun" w:eastAsia="SimSun" w:cs="SimSun"/>
                <w:sz w:val="20"/>
                <w:szCs w:val="20"/>
                <w:spacing w:val="7"/>
              </w:rPr>
              <w:t>挖掘机</w:t>
            </w:r>
          </w:p>
        </w:tc>
        <w:tc>
          <w:tcPr>
            <w:tcW w:w="1111" w:type="dxa"/>
            <w:vAlign w:val="top"/>
          </w:tcPr>
          <w:p>
            <w:pPr>
              <w:pStyle w:val="TableText"/>
              <w:ind w:left="451"/>
              <w:spacing w:before="95" w:line="195" w:lineRule="auto"/>
              <w:rPr/>
            </w:pPr>
            <w:r>
              <w:rPr>
                <w:spacing w:val="2"/>
              </w:rPr>
              <w:t>92</w:t>
            </w:r>
          </w:p>
        </w:tc>
        <w:tc>
          <w:tcPr>
            <w:tcW w:w="4373" w:type="dxa"/>
            <w:vAlign w:val="top"/>
            <w:vMerge w:val="continue"/>
            <w:tcBorders>
              <w:top w:val="nil"/>
            </w:tcBorders>
          </w:tcPr>
          <w:p>
            <w:pPr>
              <w:rPr>
                <w:rFonts w:ascii="Arial"/>
                <w:sz w:val="21"/>
              </w:rPr>
            </w:pPr>
            <w:r/>
          </w:p>
        </w:tc>
        <w:tc>
          <w:tcPr>
            <w:tcW w:w="1804" w:type="dxa"/>
            <w:vAlign w:val="top"/>
          </w:tcPr>
          <w:p>
            <w:pPr>
              <w:pStyle w:val="TableText"/>
              <w:ind w:left="799"/>
              <w:spacing w:before="98" w:line="192" w:lineRule="auto"/>
              <w:rPr/>
            </w:pPr>
            <w:r>
              <w:rPr>
                <w:spacing w:val="2"/>
              </w:rPr>
              <w:t>77</w:t>
            </w:r>
          </w:p>
        </w:tc>
      </w:tr>
    </w:tbl>
    <w:p>
      <w:pPr>
        <w:pStyle w:val="BodyText"/>
        <w:spacing w:line="278" w:lineRule="auto"/>
        <w:rPr/>
      </w:pPr>
      <w:r/>
    </w:p>
    <w:p>
      <w:pPr>
        <w:pStyle w:val="BodyText"/>
        <w:spacing w:line="279" w:lineRule="auto"/>
        <w:rPr/>
      </w:pPr>
      <w:r/>
    </w:p>
    <w:p>
      <w:pPr>
        <w:ind w:left="114"/>
        <w:spacing w:before="91" w:line="222" w:lineRule="auto"/>
        <w:rPr>
          <w:rFonts w:ascii="Times New Roman" w:hAnsi="Times New Roman" w:eastAsia="Times New Roman" w:cs="Times New Roman"/>
          <w:sz w:val="28"/>
          <w:szCs w:val="28"/>
        </w:rPr>
      </w:pPr>
      <w:r>
        <w:rPr>
          <w:rFonts w:ascii="Times New Roman" w:hAnsi="Times New Roman" w:eastAsia="Times New Roman" w:cs="Times New Roman"/>
          <w:sz w:val="28"/>
          <w:szCs w:val="28"/>
          <w:b/>
          <w:bCs/>
          <w:spacing w:val="2"/>
        </w:rPr>
        <w:t>3.6.3 </w:t>
      </w:r>
      <w:r>
        <w:rPr>
          <w:rFonts w:ascii="SimHei" w:hAnsi="SimHei" w:eastAsia="SimHei" w:cs="SimHei"/>
          <w:sz w:val="28"/>
          <w:szCs w:val="28"/>
          <w:b/>
          <w:bCs/>
          <w:spacing w:val="2"/>
        </w:rPr>
        <w:t>改建前后污染物排放</w:t>
      </w:r>
      <w:r>
        <w:rPr>
          <w:rFonts w:ascii="Times New Roman" w:hAnsi="Times New Roman" w:eastAsia="Times New Roman" w:cs="Times New Roman"/>
          <w:sz w:val="28"/>
          <w:szCs w:val="28"/>
          <w:b/>
          <w:bCs/>
          <w:spacing w:val="2"/>
        </w:rPr>
        <w:t>“</w:t>
      </w:r>
      <w:r>
        <w:rPr>
          <w:rFonts w:ascii="SimHei" w:hAnsi="SimHei" w:eastAsia="SimHei" w:cs="SimHei"/>
          <w:sz w:val="28"/>
          <w:szCs w:val="28"/>
          <w:b/>
          <w:bCs/>
          <w:spacing w:val="2"/>
        </w:rPr>
        <w:t>三本帐</w:t>
      </w:r>
      <w:r>
        <w:rPr>
          <w:rFonts w:ascii="Times New Roman" w:hAnsi="Times New Roman" w:eastAsia="Times New Roman" w:cs="Times New Roman"/>
          <w:sz w:val="28"/>
          <w:szCs w:val="28"/>
          <w:b/>
          <w:bCs/>
          <w:spacing w:val="2"/>
        </w:rPr>
        <w:t>”</w:t>
      </w:r>
    </w:p>
    <w:p>
      <w:pPr>
        <w:ind w:left="600"/>
        <w:spacing w:before="171" w:line="219" w:lineRule="auto"/>
        <w:rPr>
          <w:rFonts w:ascii="SimSun" w:hAnsi="SimSun" w:eastAsia="SimSun" w:cs="SimSun"/>
          <w:sz w:val="24"/>
          <w:szCs w:val="24"/>
        </w:rPr>
      </w:pPr>
      <w:r>
        <w:rPr>
          <w:rFonts w:ascii="SimSun" w:hAnsi="SimSun" w:eastAsia="SimSun" w:cs="SimSun"/>
          <w:sz w:val="24"/>
          <w:szCs w:val="24"/>
          <w:spacing w:val="-1"/>
        </w:rPr>
        <w:t>本项目改建前后的污染物排放</w:t>
      </w:r>
      <w:r>
        <w:rPr>
          <w:rFonts w:ascii="Times New Roman" w:hAnsi="Times New Roman" w:eastAsia="Times New Roman" w:cs="Times New Roman"/>
          <w:sz w:val="24"/>
          <w:szCs w:val="24"/>
          <w:spacing w:val="-1"/>
        </w:rPr>
        <w:t>“</w:t>
      </w:r>
      <w:r>
        <w:rPr>
          <w:rFonts w:ascii="SimSun" w:hAnsi="SimSun" w:eastAsia="SimSun" w:cs="SimSun"/>
          <w:sz w:val="24"/>
          <w:szCs w:val="24"/>
          <w:spacing w:val="-1"/>
        </w:rPr>
        <w:t>三本账</w:t>
      </w:r>
      <w:r>
        <w:rPr>
          <w:rFonts w:ascii="Times New Roman" w:hAnsi="Times New Roman" w:eastAsia="Times New Roman" w:cs="Times New Roman"/>
          <w:sz w:val="24"/>
          <w:szCs w:val="24"/>
          <w:spacing w:val="-1"/>
        </w:rPr>
        <w:t>”</w:t>
      </w:r>
      <w:r>
        <w:rPr>
          <w:rFonts w:ascii="SimSun" w:hAnsi="SimSun" w:eastAsia="SimSun" w:cs="SimSun"/>
          <w:sz w:val="24"/>
          <w:szCs w:val="24"/>
          <w:spacing w:val="-1"/>
        </w:rPr>
        <w:t>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3-6-8</w:t>
      </w:r>
      <w:r>
        <w:rPr>
          <w:rFonts w:ascii="SimSun" w:hAnsi="SimSun" w:eastAsia="SimSun" w:cs="SimSun"/>
          <w:sz w:val="24"/>
          <w:szCs w:val="24"/>
          <w:spacing w:val="-1"/>
        </w:rPr>
        <w:t>。</w:t>
      </w:r>
    </w:p>
    <w:p>
      <w:pPr>
        <w:spacing w:line="219" w:lineRule="auto"/>
        <w:sectPr>
          <w:headerReference w:type="default" r:id="rId238"/>
          <w:footerReference w:type="default" r:id="rId239"/>
          <w:pgSz w:w="11906" w:h="16838"/>
          <w:pgMar w:top="1170" w:right="1304" w:bottom="1080" w:left="1305" w:header="837" w:footer="918" w:gutter="0"/>
        </w:sectPr>
        <w:rPr>
          <w:rFonts w:ascii="SimSun" w:hAnsi="SimSun" w:eastAsia="SimSun" w:cs="SimSun"/>
          <w:sz w:val="24"/>
          <w:szCs w:val="24"/>
        </w:rPr>
      </w:pPr>
    </w:p>
    <w:p>
      <w:pPr>
        <w:pStyle w:val="BodyText"/>
        <w:spacing w:line="441" w:lineRule="auto"/>
        <w:rPr/>
      </w:pPr>
      <w:r/>
    </w:p>
    <w:p>
      <w:pPr>
        <w:ind w:left="2040"/>
        <w:spacing w:before="78" w:line="221" w:lineRule="auto"/>
        <w:rPr>
          <w:rFonts w:ascii="SimHei" w:hAnsi="SimHei" w:eastAsia="SimHei" w:cs="SimHei"/>
          <w:sz w:val="24"/>
          <w:szCs w:val="24"/>
        </w:rPr>
      </w:pPr>
      <w:r>
        <w:rPr>
          <w:rFonts w:ascii="SimHei" w:hAnsi="SimHei" w:eastAsia="SimHei" w:cs="SimHei"/>
          <w:sz w:val="24"/>
          <w:szCs w:val="24"/>
          <w:spacing w:val="-1"/>
        </w:rPr>
        <w:t>本项目改建前后项目污染物排放</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spacing w:val="-44"/>
        </w:rPr>
        <w:t xml:space="preserve"> </w:t>
      </w:r>
      <w:r>
        <w:rPr>
          <w:rFonts w:ascii="SimHei" w:hAnsi="SimHei" w:eastAsia="SimHei" w:cs="SimHei"/>
          <w:sz w:val="24"/>
          <w:szCs w:val="24"/>
          <w:spacing w:val="-1"/>
        </w:rPr>
        <w:t>三本账</w:t>
      </w:r>
      <w:r>
        <w:rPr>
          <w:rFonts w:ascii="Times New Roman" w:hAnsi="Times New Roman" w:eastAsia="Times New Roman" w:cs="Times New Roman"/>
          <w:sz w:val="24"/>
          <w:szCs w:val="24"/>
          <w:spacing w:val="-1"/>
        </w:rPr>
        <w:t>”</w:t>
      </w:r>
      <w:r>
        <w:rPr>
          <w:rFonts w:ascii="SimHei" w:hAnsi="SimHei" w:eastAsia="SimHei" w:cs="SimHei"/>
          <w:sz w:val="24"/>
          <w:szCs w:val="24"/>
          <w:spacing w:val="-2"/>
        </w:rPr>
        <w:t>一览表</w:t>
      </w:r>
    </w:p>
    <w:p>
      <w:pPr>
        <w:ind w:left="9"/>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3"/>
        </w:rPr>
        <w:t>3-6-8</w:t>
      </w:r>
      <w:r>
        <w:rPr>
          <w:rFonts w:ascii="Times New Roman" w:hAnsi="Times New Roman" w:eastAsia="Times New Roman" w:cs="Times New Roman"/>
          <w:sz w:val="20"/>
          <w:szCs w:val="20"/>
        </w:rPr>
        <w:t xml:space="preserve">                                                                                                                                                 </w:t>
      </w:r>
      <w:r>
        <w:rPr>
          <w:rFonts w:ascii="SimSun" w:hAnsi="SimSun" w:eastAsia="SimSun" w:cs="SimSun"/>
          <w:sz w:val="20"/>
          <w:szCs w:val="20"/>
          <w:spacing w:val="3"/>
        </w:rPr>
        <w:t>单位：</w:t>
      </w:r>
      <w:r>
        <w:rPr>
          <w:rFonts w:ascii="Times New Roman" w:hAnsi="Times New Roman" w:eastAsia="Times New Roman" w:cs="Times New Roman"/>
          <w:sz w:val="20"/>
          <w:szCs w:val="20"/>
          <w:spacing w:val="3"/>
        </w:rPr>
        <w:t>t/a</w:t>
      </w:r>
    </w:p>
    <w:tbl>
      <w:tblPr>
        <w:tblStyle w:val="TableNormal"/>
        <w:tblW w:w="936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65"/>
        <w:gridCol w:w="1175"/>
        <w:gridCol w:w="717"/>
        <w:gridCol w:w="979"/>
        <w:gridCol w:w="979"/>
        <w:gridCol w:w="993"/>
        <w:gridCol w:w="1017"/>
        <w:gridCol w:w="1017"/>
        <w:gridCol w:w="1022"/>
      </w:tblGrid>
      <w:tr>
        <w:trPr>
          <w:trHeight w:val="431" w:hRule="atLeast"/>
        </w:trPr>
        <w:tc>
          <w:tcPr>
            <w:tcW w:w="1465" w:type="dxa"/>
            <w:vAlign w:val="top"/>
            <w:vMerge w:val="restart"/>
            <w:tcBorders>
              <w:bottom w:val="nil"/>
            </w:tcBorders>
          </w:tcPr>
          <w:p>
            <w:pPr>
              <w:spacing w:line="245" w:lineRule="auto"/>
              <w:rPr>
                <w:rFonts w:ascii="Arial"/>
                <w:sz w:val="21"/>
              </w:rPr>
            </w:pPr>
            <w:r/>
          </w:p>
          <w:p>
            <w:pPr>
              <w:ind w:left="528"/>
              <w:spacing w:before="65" w:line="228" w:lineRule="auto"/>
              <w:rPr>
                <w:rFonts w:ascii="SimSun" w:hAnsi="SimSun" w:eastAsia="SimSun" w:cs="SimSun"/>
                <w:sz w:val="20"/>
                <w:szCs w:val="20"/>
              </w:rPr>
            </w:pPr>
            <w:r>
              <w:rPr>
                <w:rFonts w:ascii="SimSun" w:hAnsi="SimSun" w:eastAsia="SimSun" w:cs="SimSun"/>
                <w:sz w:val="20"/>
                <w:szCs w:val="20"/>
                <w:spacing w:val="3"/>
              </w:rPr>
              <w:t>编号</w:t>
            </w:r>
          </w:p>
        </w:tc>
        <w:tc>
          <w:tcPr>
            <w:tcW w:w="1175" w:type="dxa"/>
            <w:vAlign w:val="top"/>
            <w:vMerge w:val="restart"/>
            <w:tcBorders>
              <w:bottom w:val="nil"/>
            </w:tcBorders>
          </w:tcPr>
          <w:p>
            <w:pPr>
              <w:spacing w:line="246" w:lineRule="auto"/>
              <w:rPr>
                <w:rFonts w:ascii="Arial"/>
                <w:sz w:val="21"/>
              </w:rPr>
            </w:pPr>
            <w:r/>
          </w:p>
          <w:p>
            <w:pPr>
              <w:ind w:left="277"/>
              <w:spacing w:before="65" w:line="228" w:lineRule="auto"/>
              <w:rPr>
                <w:rFonts w:ascii="SimSun" w:hAnsi="SimSun" w:eastAsia="SimSun" w:cs="SimSun"/>
                <w:sz w:val="20"/>
                <w:szCs w:val="20"/>
              </w:rPr>
            </w:pPr>
            <w:r>
              <w:rPr>
                <w:rFonts w:ascii="SimSun" w:hAnsi="SimSun" w:eastAsia="SimSun" w:cs="SimSun"/>
                <w:sz w:val="20"/>
                <w:szCs w:val="20"/>
                <w:spacing w:val="6"/>
              </w:rPr>
              <w:t>污染物</w:t>
            </w:r>
          </w:p>
        </w:tc>
        <w:tc>
          <w:tcPr>
            <w:tcW w:w="717" w:type="dxa"/>
            <w:vAlign w:val="top"/>
            <w:vMerge w:val="restart"/>
            <w:tcBorders>
              <w:bottom w:val="nil"/>
            </w:tcBorders>
          </w:tcPr>
          <w:p>
            <w:pPr>
              <w:ind w:left="256" w:right="42" w:hanging="206"/>
              <w:spacing w:before="41" w:line="250" w:lineRule="auto"/>
              <w:rPr>
                <w:rFonts w:ascii="SimSun" w:hAnsi="SimSun" w:eastAsia="SimSun" w:cs="SimSun"/>
                <w:sz w:val="20"/>
                <w:szCs w:val="20"/>
              </w:rPr>
            </w:pPr>
            <w:r>
              <w:rPr>
                <w:rFonts w:ascii="SimSun" w:hAnsi="SimSun" w:eastAsia="SimSun" w:cs="SimSun"/>
                <w:sz w:val="20"/>
                <w:szCs w:val="20"/>
                <w:spacing w:val="6"/>
              </w:rPr>
              <w:t>现有工</w:t>
            </w:r>
            <w:r>
              <w:rPr>
                <w:rFonts w:ascii="SimSun" w:hAnsi="SimSun" w:eastAsia="SimSun" w:cs="SimSun"/>
                <w:sz w:val="20"/>
                <w:szCs w:val="20"/>
                <w:spacing w:val="1"/>
              </w:rPr>
              <w:t>程</w:t>
            </w:r>
          </w:p>
          <w:p>
            <w:pPr>
              <w:ind w:left="48"/>
              <w:spacing w:line="225" w:lineRule="auto"/>
              <w:rPr>
                <w:rFonts w:ascii="SimSun" w:hAnsi="SimSun" w:eastAsia="SimSun" w:cs="SimSun"/>
                <w:sz w:val="20"/>
                <w:szCs w:val="20"/>
              </w:rPr>
            </w:pPr>
            <w:r>
              <w:rPr>
                <w:rFonts w:ascii="SimSun" w:hAnsi="SimSun" w:eastAsia="SimSun" w:cs="SimSun"/>
                <w:sz w:val="20"/>
                <w:szCs w:val="20"/>
                <w:spacing w:val="6"/>
              </w:rPr>
              <w:t>排放量</w:t>
            </w:r>
          </w:p>
        </w:tc>
        <w:tc>
          <w:tcPr>
            <w:tcW w:w="2951" w:type="dxa"/>
            <w:vAlign w:val="top"/>
            <w:gridSpan w:val="3"/>
          </w:tcPr>
          <w:p>
            <w:pPr>
              <w:ind w:left="649"/>
              <w:spacing w:before="107" w:line="228" w:lineRule="auto"/>
              <w:rPr>
                <w:rFonts w:ascii="SimSun" w:hAnsi="SimSun" w:eastAsia="SimSun" w:cs="SimSun"/>
                <w:sz w:val="20"/>
                <w:szCs w:val="20"/>
              </w:rPr>
            </w:pPr>
            <w:r>
              <w:rPr>
                <w:rFonts w:ascii="SimSun" w:hAnsi="SimSun" w:eastAsia="SimSun" w:cs="SimSun"/>
                <w:sz w:val="20"/>
                <w:szCs w:val="20"/>
                <w:spacing w:val="7"/>
              </w:rPr>
              <w:t>改建工程排放情况</w:t>
            </w:r>
          </w:p>
        </w:tc>
        <w:tc>
          <w:tcPr>
            <w:tcW w:w="1017" w:type="dxa"/>
            <w:vAlign w:val="top"/>
            <w:vMerge w:val="restart"/>
            <w:tcBorders>
              <w:bottom w:val="nil"/>
            </w:tcBorders>
          </w:tcPr>
          <w:p>
            <w:pPr>
              <w:ind w:left="205" w:right="88" w:hanging="88"/>
              <w:spacing w:before="174" w:line="255" w:lineRule="auto"/>
              <w:rPr>
                <w:rFonts w:ascii="SimSun" w:hAnsi="SimSun" w:eastAsia="SimSun" w:cs="SimSun"/>
                <w:sz w:val="20"/>
                <w:szCs w:val="20"/>
              </w:rPr>
            </w:pPr>
            <w:r>
              <w:rPr>
                <w:rFonts w:ascii="SimSun" w:hAnsi="SimSun" w:eastAsia="SimSun" w:cs="SimSun"/>
                <w:sz w:val="20"/>
                <w:szCs w:val="20"/>
                <w:spacing w:val="1"/>
              </w:rPr>
              <w:t>以新带老</w:t>
            </w:r>
            <w:r>
              <w:rPr>
                <w:rFonts w:ascii="SimSun" w:hAnsi="SimSun" w:eastAsia="SimSun" w:cs="SimSun"/>
                <w:sz w:val="20"/>
                <w:szCs w:val="20"/>
                <w:spacing w:val="5"/>
              </w:rPr>
              <w:t>消减量</w:t>
            </w:r>
          </w:p>
        </w:tc>
        <w:tc>
          <w:tcPr>
            <w:tcW w:w="1017" w:type="dxa"/>
            <w:vAlign w:val="top"/>
            <w:vMerge w:val="restart"/>
            <w:tcBorders>
              <w:bottom w:val="nil"/>
            </w:tcBorders>
          </w:tcPr>
          <w:p>
            <w:pPr>
              <w:ind w:left="202" w:right="189" w:firstLine="102"/>
              <w:spacing w:before="174" w:line="255" w:lineRule="auto"/>
              <w:rPr>
                <w:rFonts w:ascii="SimSun" w:hAnsi="SimSun" w:eastAsia="SimSun" w:cs="SimSun"/>
                <w:sz w:val="20"/>
                <w:szCs w:val="20"/>
              </w:rPr>
            </w:pPr>
            <w:r>
              <w:rPr>
                <w:rFonts w:ascii="SimSun" w:hAnsi="SimSun" w:eastAsia="SimSun" w:cs="SimSun"/>
                <w:sz w:val="20"/>
                <w:szCs w:val="20"/>
                <w:spacing w:val="4"/>
              </w:rPr>
              <w:t>排放</w:t>
            </w:r>
            <w:r>
              <w:rPr>
                <w:rFonts w:ascii="SimSun" w:hAnsi="SimSun" w:eastAsia="SimSun" w:cs="SimSun"/>
                <w:sz w:val="20"/>
                <w:szCs w:val="20"/>
                <w:spacing w:val="6"/>
              </w:rPr>
              <w:t>增减量</w:t>
            </w:r>
          </w:p>
        </w:tc>
        <w:tc>
          <w:tcPr>
            <w:tcW w:w="1022" w:type="dxa"/>
            <w:vAlign w:val="top"/>
            <w:vMerge w:val="restart"/>
            <w:tcBorders>
              <w:bottom w:val="nil"/>
            </w:tcBorders>
          </w:tcPr>
          <w:p>
            <w:pPr>
              <w:ind w:left="202" w:right="193" w:firstLine="108"/>
              <w:spacing w:before="174" w:line="255" w:lineRule="auto"/>
              <w:rPr>
                <w:rFonts w:ascii="SimSun" w:hAnsi="SimSun" w:eastAsia="SimSun" w:cs="SimSun"/>
                <w:sz w:val="20"/>
                <w:szCs w:val="20"/>
              </w:rPr>
            </w:pPr>
            <w:r>
              <w:rPr>
                <w:rFonts w:ascii="SimSun" w:hAnsi="SimSun" w:eastAsia="SimSun" w:cs="SimSun"/>
                <w:sz w:val="20"/>
                <w:szCs w:val="20"/>
                <w:spacing w:val="3"/>
              </w:rPr>
              <w:t>最终</w:t>
            </w:r>
            <w:r>
              <w:rPr>
                <w:rFonts w:ascii="SimSun" w:hAnsi="SimSun" w:eastAsia="SimSun" w:cs="SimSun"/>
                <w:sz w:val="20"/>
                <w:szCs w:val="20"/>
                <w:spacing w:val="6"/>
              </w:rPr>
              <w:t>排放量</w:t>
            </w:r>
          </w:p>
        </w:tc>
      </w:tr>
      <w:tr>
        <w:trPr>
          <w:trHeight w:val="402" w:hRule="atLeast"/>
        </w:trPr>
        <w:tc>
          <w:tcPr>
            <w:tcW w:w="1465" w:type="dxa"/>
            <w:vAlign w:val="top"/>
            <w:vMerge w:val="continue"/>
            <w:tcBorders>
              <w:top w:val="nil"/>
            </w:tcBorders>
          </w:tcPr>
          <w:p>
            <w:pPr>
              <w:rPr>
                <w:rFonts w:ascii="Arial"/>
                <w:sz w:val="21"/>
              </w:rPr>
            </w:pPr>
            <w:r/>
          </w:p>
        </w:tc>
        <w:tc>
          <w:tcPr>
            <w:tcW w:w="1175" w:type="dxa"/>
            <w:vAlign w:val="top"/>
            <w:vMerge w:val="continue"/>
            <w:tcBorders>
              <w:top w:val="nil"/>
            </w:tcBorders>
          </w:tcPr>
          <w:p>
            <w:pPr>
              <w:rPr>
                <w:rFonts w:ascii="Arial"/>
                <w:sz w:val="21"/>
              </w:rPr>
            </w:pPr>
            <w:r/>
          </w:p>
        </w:tc>
        <w:tc>
          <w:tcPr>
            <w:tcW w:w="717" w:type="dxa"/>
            <w:vAlign w:val="top"/>
            <w:vMerge w:val="continue"/>
            <w:tcBorders>
              <w:top w:val="nil"/>
            </w:tcBorders>
          </w:tcPr>
          <w:p>
            <w:pPr>
              <w:rPr>
                <w:rFonts w:ascii="Arial"/>
                <w:sz w:val="21"/>
              </w:rPr>
            </w:pPr>
            <w:r/>
          </w:p>
        </w:tc>
        <w:tc>
          <w:tcPr>
            <w:tcW w:w="979" w:type="dxa"/>
            <w:vAlign w:val="top"/>
          </w:tcPr>
          <w:p>
            <w:pPr>
              <w:ind w:left="181"/>
              <w:spacing w:before="91" w:line="228" w:lineRule="auto"/>
              <w:rPr>
                <w:rFonts w:ascii="SimSun" w:hAnsi="SimSun" w:eastAsia="SimSun" w:cs="SimSun"/>
                <w:sz w:val="20"/>
                <w:szCs w:val="20"/>
              </w:rPr>
            </w:pPr>
            <w:r>
              <w:rPr>
                <w:rFonts w:ascii="SimSun" w:hAnsi="SimSun" w:eastAsia="SimSun" w:cs="SimSun"/>
                <w:sz w:val="20"/>
                <w:szCs w:val="20"/>
                <w:spacing w:val="6"/>
              </w:rPr>
              <w:t>产生量</w:t>
            </w:r>
          </w:p>
        </w:tc>
        <w:tc>
          <w:tcPr>
            <w:tcW w:w="979" w:type="dxa"/>
            <w:vAlign w:val="top"/>
          </w:tcPr>
          <w:p>
            <w:pPr>
              <w:ind w:left="185"/>
              <w:spacing w:before="92" w:line="229" w:lineRule="auto"/>
              <w:rPr>
                <w:rFonts w:ascii="SimSun" w:hAnsi="SimSun" w:eastAsia="SimSun" w:cs="SimSun"/>
                <w:sz w:val="20"/>
                <w:szCs w:val="20"/>
              </w:rPr>
            </w:pPr>
            <w:r>
              <w:rPr>
                <w:rFonts w:ascii="SimSun" w:hAnsi="SimSun" w:eastAsia="SimSun" w:cs="SimSun"/>
                <w:sz w:val="20"/>
                <w:szCs w:val="20"/>
                <w:spacing w:val="5"/>
              </w:rPr>
              <w:t>消减量</w:t>
            </w:r>
          </w:p>
        </w:tc>
        <w:tc>
          <w:tcPr>
            <w:tcW w:w="993" w:type="dxa"/>
            <w:vAlign w:val="top"/>
          </w:tcPr>
          <w:p>
            <w:pPr>
              <w:ind w:left="186"/>
              <w:spacing w:before="92" w:line="229" w:lineRule="auto"/>
              <w:rPr>
                <w:rFonts w:ascii="SimSun" w:hAnsi="SimSun" w:eastAsia="SimSun" w:cs="SimSun"/>
                <w:sz w:val="20"/>
                <w:szCs w:val="20"/>
              </w:rPr>
            </w:pPr>
            <w:r>
              <w:rPr>
                <w:rFonts w:ascii="SimSun" w:hAnsi="SimSun" w:eastAsia="SimSun" w:cs="SimSun"/>
                <w:sz w:val="20"/>
                <w:szCs w:val="20"/>
                <w:spacing w:val="6"/>
              </w:rPr>
              <w:t>排放量</w:t>
            </w:r>
          </w:p>
        </w:tc>
        <w:tc>
          <w:tcPr>
            <w:tcW w:w="1017" w:type="dxa"/>
            <w:vAlign w:val="top"/>
            <w:vMerge w:val="continue"/>
            <w:tcBorders>
              <w:top w:val="nil"/>
            </w:tcBorders>
          </w:tcPr>
          <w:p>
            <w:pPr>
              <w:rPr>
                <w:rFonts w:ascii="Arial"/>
                <w:sz w:val="21"/>
              </w:rPr>
            </w:pPr>
            <w:r/>
          </w:p>
        </w:tc>
        <w:tc>
          <w:tcPr>
            <w:tcW w:w="1017" w:type="dxa"/>
            <w:vAlign w:val="top"/>
            <w:vMerge w:val="continue"/>
            <w:tcBorders>
              <w:top w:val="nil"/>
            </w:tcBorders>
          </w:tcPr>
          <w:p>
            <w:pPr>
              <w:rPr>
                <w:rFonts w:ascii="Arial"/>
                <w:sz w:val="21"/>
              </w:rPr>
            </w:pPr>
            <w:r/>
          </w:p>
        </w:tc>
        <w:tc>
          <w:tcPr>
            <w:tcW w:w="1022" w:type="dxa"/>
            <w:vAlign w:val="top"/>
            <w:vMerge w:val="continue"/>
            <w:tcBorders>
              <w:top w:val="nil"/>
            </w:tcBorders>
          </w:tcPr>
          <w:p>
            <w:pPr>
              <w:rPr>
                <w:rFonts w:ascii="Arial"/>
                <w:sz w:val="21"/>
              </w:rPr>
            </w:pPr>
            <w:r/>
          </w:p>
        </w:tc>
      </w:tr>
      <w:tr>
        <w:trPr>
          <w:trHeight w:val="765" w:hRule="atLeast"/>
        </w:trPr>
        <w:tc>
          <w:tcPr>
            <w:tcW w:w="1465" w:type="dxa"/>
            <w:vAlign w:val="top"/>
          </w:tcPr>
          <w:p>
            <w:pPr>
              <w:ind w:left="525"/>
              <w:spacing w:before="139" w:line="228" w:lineRule="auto"/>
              <w:rPr>
                <w:rFonts w:ascii="SimSun" w:hAnsi="SimSun" w:eastAsia="SimSun" w:cs="SimSun"/>
                <w:sz w:val="20"/>
                <w:szCs w:val="20"/>
              </w:rPr>
            </w:pPr>
            <w:r>
              <w:rPr>
                <w:rFonts w:ascii="SimSun" w:hAnsi="SimSun" w:eastAsia="SimSun" w:cs="SimSun"/>
                <w:sz w:val="20"/>
                <w:szCs w:val="20"/>
                <w:spacing w:val="5"/>
              </w:rPr>
              <w:t>废气</w:t>
            </w:r>
          </w:p>
          <w:p>
            <w:pPr>
              <w:spacing w:before="26" w:line="228" w:lineRule="auto"/>
              <w:jc w:val="right"/>
              <w:rPr>
                <w:rFonts w:ascii="SimSun" w:hAnsi="SimSun" w:eastAsia="SimSun" w:cs="SimSun"/>
                <w:sz w:val="20"/>
                <w:szCs w:val="20"/>
              </w:rPr>
            </w:pPr>
            <w:r>
              <w:rPr>
                <w:rFonts w:ascii="SimSun" w:hAnsi="SimSun" w:eastAsia="SimSun" w:cs="SimSun"/>
                <w:sz w:val="20"/>
                <w:szCs w:val="20"/>
                <w:spacing w:val="4"/>
              </w:rPr>
              <w:t>（无组织排放）</w:t>
            </w:r>
          </w:p>
        </w:tc>
        <w:tc>
          <w:tcPr>
            <w:tcW w:w="1175" w:type="dxa"/>
            <w:vAlign w:val="top"/>
          </w:tcPr>
          <w:p>
            <w:pPr>
              <w:ind w:left="274"/>
              <w:spacing w:before="276" w:line="228" w:lineRule="auto"/>
              <w:rPr>
                <w:rFonts w:ascii="SimSun" w:hAnsi="SimSun" w:eastAsia="SimSun" w:cs="SimSun"/>
                <w:sz w:val="20"/>
                <w:szCs w:val="20"/>
              </w:rPr>
            </w:pPr>
            <w:r>
              <w:rPr>
                <w:rFonts w:ascii="SimSun" w:hAnsi="SimSun" w:eastAsia="SimSun" w:cs="SimSun"/>
                <w:sz w:val="20"/>
                <w:szCs w:val="20"/>
                <w:spacing w:val="7"/>
              </w:rPr>
              <w:t>颗粒物</w:t>
            </w:r>
          </w:p>
        </w:tc>
        <w:tc>
          <w:tcPr>
            <w:tcW w:w="717" w:type="dxa"/>
            <w:vAlign w:val="top"/>
          </w:tcPr>
          <w:p>
            <w:pPr>
              <w:ind w:left="52"/>
              <w:spacing w:before="276" w:line="228" w:lineRule="auto"/>
              <w:rPr>
                <w:rFonts w:ascii="SimSun" w:hAnsi="SimSun" w:eastAsia="SimSun" w:cs="SimSun"/>
                <w:sz w:val="20"/>
                <w:szCs w:val="20"/>
              </w:rPr>
            </w:pPr>
            <w:r>
              <w:rPr>
                <w:rFonts w:ascii="SimSun" w:hAnsi="SimSun" w:eastAsia="SimSun" w:cs="SimSun"/>
                <w:sz w:val="20"/>
                <w:szCs w:val="20"/>
                <w:spacing w:val="5"/>
              </w:rPr>
              <w:t>不定量</w:t>
            </w:r>
          </w:p>
        </w:tc>
        <w:tc>
          <w:tcPr>
            <w:tcW w:w="979" w:type="dxa"/>
            <w:vAlign w:val="top"/>
          </w:tcPr>
          <w:p>
            <w:pPr>
              <w:spacing w:line="252" w:lineRule="auto"/>
              <w:rPr>
                <w:rFonts w:ascii="Arial"/>
                <w:sz w:val="21"/>
              </w:rPr>
            </w:pPr>
            <w:r/>
          </w:p>
          <w:p>
            <w:pPr>
              <w:pStyle w:val="TableText"/>
              <w:ind w:left="258"/>
              <w:spacing w:before="58" w:line="195" w:lineRule="auto"/>
              <w:rPr/>
            </w:pPr>
            <w:r>
              <w:rPr>
                <w:spacing w:val="3"/>
              </w:rPr>
              <w:t>635.4</w:t>
            </w:r>
          </w:p>
        </w:tc>
        <w:tc>
          <w:tcPr>
            <w:tcW w:w="979" w:type="dxa"/>
            <w:vAlign w:val="top"/>
          </w:tcPr>
          <w:p>
            <w:pPr>
              <w:spacing w:line="252" w:lineRule="auto"/>
              <w:rPr>
                <w:rFonts w:ascii="Arial"/>
                <w:sz w:val="21"/>
              </w:rPr>
            </w:pPr>
            <w:r/>
          </w:p>
          <w:p>
            <w:pPr>
              <w:pStyle w:val="TableText"/>
              <w:ind w:left="260"/>
              <w:spacing w:before="58" w:line="195" w:lineRule="auto"/>
              <w:rPr/>
            </w:pPr>
            <w:r>
              <w:rPr>
                <w:spacing w:val="2"/>
              </w:rPr>
              <w:t>508.4</w:t>
            </w:r>
          </w:p>
        </w:tc>
        <w:tc>
          <w:tcPr>
            <w:tcW w:w="993" w:type="dxa"/>
            <w:vAlign w:val="top"/>
          </w:tcPr>
          <w:p>
            <w:pPr>
              <w:spacing w:line="252" w:lineRule="auto"/>
              <w:rPr>
                <w:rFonts w:ascii="Arial"/>
                <w:sz w:val="21"/>
              </w:rPr>
            </w:pPr>
            <w:r/>
          </w:p>
          <w:p>
            <w:pPr>
              <w:pStyle w:val="TableText"/>
              <w:ind w:left="358"/>
              <w:spacing w:before="58" w:line="195" w:lineRule="auto"/>
              <w:rPr/>
            </w:pPr>
            <w:r>
              <w:rPr>
                <w:spacing w:val="-3"/>
              </w:rPr>
              <w:t>127</w:t>
            </w:r>
          </w:p>
        </w:tc>
        <w:tc>
          <w:tcPr>
            <w:tcW w:w="1017" w:type="dxa"/>
            <w:vAlign w:val="top"/>
          </w:tcPr>
          <w:p>
            <w:pPr>
              <w:spacing w:line="248" w:lineRule="auto"/>
              <w:rPr>
                <w:rFonts w:ascii="Arial"/>
                <w:sz w:val="21"/>
              </w:rPr>
            </w:pPr>
            <w:r/>
          </w:p>
          <w:p>
            <w:pPr>
              <w:pStyle w:val="TableText"/>
              <w:ind w:left="479"/>
              <w:spacing w:before="58" w:line="199" w:lineRule="auto"/>
              <w:rPr/>
            </w:pPr>
            <w:r>
              <w:rPr>
                <w:spacing w:val="2"/>
              </w:rPr>
              <w:t>/</w:t>
            </w:r>
          </w:p>
        </w:tc>
        <w:tc>
          <w:tcPr>
            <w:tcW w:w="1017" w:type="dxa"/>
            <w:vAlign w:val="top"/>
          </w:tcPr>
          <w:p>
            <w:pPr>
              <w:spacing w:line="252" w:lineRule="auto"/>
              <w:rPr>
                <w:rFonts w:ascii="Arial"/>
                <w:sz w:val="21"/>
              </w:rPr>
            </w:pPr>
            <w:r/>
          </w:p>
          <w:p>
            <w:pPr>
              <w:pStyle w:val="TableText"/>
              <w:ind w:left="463"/>
              <w:spacing w:before="58" w:line="195" w:lineRule="auto"/>
              <w:rPr/>
            </w:pPr>
            <w:r>
              <w:rPr/>
              <w:t>0</w:t>
            </w:r>
          </w:p>
        </w:tc>
        <w:tc>
          <w:tcPr>
            <w:tcW w:w="1022" w:type="dxa"/>
            <w:vAlign w:val="top"/>
          </w:tcPr>
          <w:p>
            <w:pPr>
              <w:spacing w:line="252" w:lineRule="auto"/>
              <w:rPr>
                <w:rFonts w:ascii="Arial"/>
                <w:sz w:val="21"/>
              </w:rPr>
            </w:pPr>
            <w:r/>
          </w:p>
          <w:p>
            <w:pPr>
              <w:pStyle w:val="TableText"/>
              <w:ind w:left="375"/>
              <w:spacing w:before="58" w:line="195" w:lineRule="auto"/>
              <w:rPr/>
            </w:pPr>
            <w:r>
              <w:rPr>
                <w:spacing w:val="-3"/>
              </w:rPr>
              <w:t>127</w:t>
            </w:r>
          </w:p>
        </w:tc>
      </w:tr>
      <w:tr>
        <w:trPr>
          <w:trHeight w:val="379" w:hRule="atLeast"/>
        </w:trPr>
        <w:tc>
          <w:tcPr>
            <w:tcW w:w="1465" w:type="dxa"/>
            <w:vAlign w:val="top"/>
            <w:vMerge w:val="restart"/>
            <w:tcBorders>
              <w:bottom w:val="nil"/>
            </w:tcBorders>
          </w:tcPr>
          <w:p>
            <w:pPr>
              <w:spacing w:line="321" w:lineRule="auto"/>
              <w:rPr>
                <w:rFonts w:ascii="Arial"/>
                <w:sz w:val="21"/>
              </w:rPr>
            </w:pPr>
            <w:r/>
          </w:p>
          <w:p>
            <w:pPr>
              <w:spacing w:line="322" w:lineRule="auto"/>
              <w:rPr>
                <w:rFonts w:ascii="Arial"/>
                <w:sz w:val="21"/>
              </w:rPr>
            </w:pPr>
            <w:r/>
          </w:p>
          <w:p>
            <w:pPr>
              <w:ind w:left="525"/>
              <w:spacing w:before="65" w:line="228" w:lineRule="auto"/>
              <w:rPr>
                <w:rFonts w:ascii="SimSun" w:hAnsi="SimSun" w:eastAsia="SimSun" w:cs="SimSun"/>
                <w:sz w:val="20"/>
                <w:szCs w:val="20"/>
              </w:rPr>
            </w:pPr>
            <w:r>
              <w:rPr>
                <w:rFonts w:ascii="SimSun" w:hAnsi="SimSun" w:eastAsia="SimSun" w:cs="SimSun"/>
                <w:sz w:val="20"/>
                <w:szCs w:val="20"/>
                <w:spacing w:val="5"/>
              </w:rPr>
              <w:t>废水</w:t>
            </w:r>
          </w:p>
        </w:tc>
        <w:tc>
          <w:tcPr>
            <w:tcW w:w="1175" w:type="dxa"/>
            <w:vAlign w:val="top"/>
          </w:tcPr>
          <w:p>
            <w:pPr>
              <w:pStyle w:val="TableText"/>
              <w:ind w:left="368"/>
              <w:spacing w:before="117" w:line="195" w:lineRule="auto"/>
              <w:rPr/>
            </w:pPr>
            <w:r>
              <w:rPr>
                <w:spacing w:val="3"/>
              </w:rPr>
              <w:t>COD</w:t>
            </w:r>
          </w:p>
        </w:tc>
        <w:tc>
          <w:tcPr>
            <w:tcW w:w="717" w:type="dxa"/>
            <w:vAlign w:val="top"/>
          </w:tcPr>
          <w:p>
            <w:pPr>
              <w:pStyle w:val="TableText"/>
              <w:ind w:left="309"/>
              <w:spacing w:before="117" w:line="195" w:lineRule="auto"/>
              <w:rPr/>
            </w:pPr>
            <w:r>
              <w:rPr/>
              <w:t>0</w:t>
            </w:r>
          </w:p>
        </w:tc>
        <w:tc>
          <w:tcPr>
            <w:tcW w:w="979" w:type="dxa"/>
            <w:vAlign w:val="top"/>
          </w:tcPr>
          <w:p>
            <w:pPr>
              <w:pStyle w:val="TableText"/>
              <w:ind w:left="201"/>
              <w:spacing w:before="117" w:line="195" w:lineRule="auto"/>
              <w:rPr/>
            </w:pPr>
            <w:r>
              <w:rPr>
                <w:spacing w:val="3"/>
              </w:rPr>
              <w:t>202.62</w:t>
            </w:r>
          </w:p>
        </w:tc>
        <w:tc>
          <w:tcPr>
            <w:tcW w:w="979" w:type="dxa"/>
            <w:vAlign w:val="top"/>
          </w:tcPr>
          <w:p>
            <w:pPr>
              <w:pStyle w:val="TableText"/>
              <w:ind w:left="201"/>
              <w:spacing w:before="117" w:line="195" w:lineRule="auto"/>
              <w:rPr/>
            </w:pPr>
            <w:r>
              <w:rPr>
                <w:spacing w:val="4"/>
              </w:rPr>
              <w:t>202.62</w:t>
            </w:r>
          </w:p>
        </w:tc>
        <w:tc>
          <w:tcPr>
            <w:tcW w:w="993" w:type="dxa"/>
            <w:vAlign w:val="top"/>
          </w:tcPr>
          <w:p>
            <w:pPr>
              <w:pStyle w:val="TableText"/>
              <w:ind w:left="449"/>
              <w:spacing w:before="117" w:line="195" w:lineRule="auto"/>
              <w:rPr/>
            </w:pPr>
            <w:r>
              <w:rPr/>
              <w:t>0</w:t>
            </w:r>
          </w:p>
        </w:tc>
        <w:tc>
          <w:tcPr>
            <w:tcW w:w="1017" w:type="dxa"/>
            <w:vAlign w:val="top"/>
          </w:tcPr>
          <w:p>
            <w:pPr>
              <w:pStyle w:val="TableText"/>
              <w:ind w:left="479"/>
              <w:spacing w:before="113" w:line="199" w:lineRule="auto"/>
              <w:rPr/>
            </w:pPr>
            <w:r>
              <w:rPr>
                <w:spacing w:val="2"/>
              </w:rPr>
              <w:t>/</w:t>
            </w:r>
          </w:p>
        </w:tc>
        <w:tc>
          <w:tcPr>
            <w:tcW w:w="1017" w:type="dxa"/>
            <w:vAlign w:val="top"/>
          </w:tcPr>
          <w:p>
            <w:pPr>
              <w:pStyle w:val="TableText"/>
              <w:ind w:left="463"/>
              <w:spacing w:before="117" w:line="195" w:lineRule="auto"/>
              <w:rPr/>
            </w:pPr>
            <w:r>
              <w:rPr/>
              <w:t>0</w:t>
            </w:r>
          </w:p>
        </w:tc>
        <w:tc>
          <w:tcPr>
            <w:tcW w:w="1022" w:type="dxa"/>
            <w:vAlign w:val="top"/>
          </w:tcPr>
          <w:p>
            <w:pPr>
              <w:pStyle w:val="TableText"/>
              <w:ind w:left="463"/>
              <w:spacing w:before="117" w:line="195" w:lineRule="auto"/>
              <w:rPr/>
            </w:pPr>
            <w:r>
              <w:rPr/>
              <w:t>0</w:t>
            </w:r>
          </w:p>
        </w:tc>
      </w:tr>
      <w:tr>
        <w:trPr>
          <w:trHeight w:val="386" w:hRule="atLeast"/>
        </w:trPr>
        <w:tc>
          <w:tcPr>
            <w:tcW w:w="1465" w:type="dxa"/>
            <w:vAlign w:val="top"/>
            <w:vMerge w:val="continue"/>
            <w:tcBorders>
              <w:top w:val="nil"/>
              <w:bottom w:val="nil"/>
            </w:tcBorders>
          </w:tcPr>
          <w:p>
            <w:pPr>
              <w:rPr>
                <w:rFonts w:ascii="Arial"/>
                <w:sz w:val="21"/>
              </w:rPr>
            </w:pPr>
            <w:r/>
          </w:p>
        </w:tc>
        <w:tc>
          <w:tcPr>
            <w:tcW w:w="1175" w:type="dxa"/>
            <w:vAlign w:val="top"/>
          </w:tcPr>
          <w:p>
            <w:pPr>
              <w:pStyle w:val="TableText"/>
              <w:ind w:left="331"/>
              <w:spacing w:before="122" w:line="202" w:lineRule="auto"/>
              <w:rPr>
                <w:sz w:val="13"/>
                <w:szCs w:val="13"/>
              </w:rPr>
            </w:pPr>
            <w:r>
              <w:rPr>
                <w:spacing w:val="5"/>
              </w:rPr>
              <w:t>BOD</w:t>
            </w:r>
            <w:r>
              <w:rPr>
                <w:sz w:val="13"/>
                <w:szCs w:val="13"/>
                <w:spacing w:val="5"/>
                <w:position w:val="-1"/>
              </w:rPr>
              <w:t>5</w:t>
            </w:r>
          </w:p>
        </w:tc>
        <w:tc>
          <w:tcPr>
            <w:tcW w:w="717" w:type="dxa"/>
            <w:vAlign w:val="top"/>
          </w:tcPr>
          <w:p>
            <w:pPr>
              <w:pStyle w:val="TableText"/>
              <w:ind w:left="309"/>
              <w:spacing w:before="122" w:line="195" w:lineRule="auto"/>
              <w:rPr/>
            </w:pPr>
            <w:r>
              <w:rPr/>
              <w:t>0</w:t>
            </w:r>
          </w:p>
        </w:tc>
        <w:tc>
          <w:tcPr>
            <w:tcW w:w="979" w:type="dxa"/>
            <w:vAlign w:val="top"/>
          </w:tcPr>
          <w:p>
            <w:pPr>
              <w:pStyle w:val="TableText"/>
              <w:ind w:left="308"/>
              <w:spacing w:before="122" w:line="195" w:lineRule="auto"/>
              <w:rPr/>
            </w:pPr>
            <w:r>
              <w:rPr>
                <w:spacing w:val="3"/>
              </w:rPr>
              <w:t>3.08</w:t>
            </w:r>
          </w:p>
        </w:tc>
        <w:tc>
          <w:tcPr>
            <w:tcW w:w="979" w:type="dxa"/>
            <w:vAlign w:val="top"/>
          </w:tcPr>
          <w:p>
            <w:pPr>
              <w:pStyle w:val="TableText"/>
              <w:ind w:left="313"/>
              <w:spacing w:before="122" w:line="195" w:lineRule="auto"/>
              <w:rPr/>
            </w:pPr>
            <w:r>
              <w:rPr>
                <w:spacing w:val="1"/>
              </w:rPr>
              <w:t>3.08</w:t>
            </w:r>
          </w:p>
        </w:tc>
        <w:tc>
          <w:tcPr>
            <w:tcW w:w="993" w:type="dxa"/>
            <w:vAlign w:val="top"/>
          </w:tcPr>
          <w:p>
            <w:pPr>
              <w:pStyle w:val="TableText"/>
              <w:ind w:left="449"/>
              <w:spacing w:before="122" w:line="195" w:lineRule="auto"/>
              <w:rPr/>
            </w:pPr>
            <w:r>
              <w:rPr/>
              <w:t>0</w:t>
            </w:r>
          </w:p>
        </w:tc>
        <w:tc>
          <w:tcPr>
            <w:tcW w:w="1017" w:type="dxa"/>
            <w:vAlign w:val="top"/>
          </w:tcPr>
          <w:p>
            <w:pPr>
              <w:pStyle w:val="TableText"/>
              <w:ind w:left="479"/>
              <w:spacing w:before="118" w:line="199" w:lineRule="auto"/>
              <w:rPr/>
            </w:pPr>
            <w:r>
              <w:rPr>
                <w:spacing w:val="2"/>
              </w:rPr>
              <w:t>/</w:t>
            </w:r>
          </w:p>
        </w:tc>
        <w:tc>
          <w:tcPr>
            <w:tcW w:w="1017" w:type="dxa"/>
            <w:vAlign w:val="top"/>
          </w:tcPr>
          <w:p>
            <w:pPr>
              <w:pStyle w:val="TableText"/>
              <w:ind w:left="463"/>
              <w:spacing w:before="122" w:line="195" w:lineRule="auto"/>
              <w:rPr/>
            </w:pPr>
            <w:r>
              <w:rPr/>
              <w:t>0</w:t>
            </w:r>
          </w:p>
        </w:tc>
        <w:tc>
          <w:tcPr>
            <w:tcW w:w="1022" w:type="dxa"/>
            <w:vAlign w:val="top"/>
          </w:tcPr>
          <w:p>
            <w:pPr>
              <w:pStyle w:val="TableText"/>
              <w:ind w:left="463"/>
              <w:spacing w:before="122" w:line="195" w:lineRule="auto"/>
              <w:rPr/>
            </w:pPr>
            <w:r>
              <w:rPr/>
              <w:t>0</w:t>
            </w:r>
          </w:p>
        </w:tc>
      </w:tr>
      <w:tr>
        <w:trPr>
          <w:trHeight w:val="333" w:hRule="atLeast"/>
        </w:trPr>
        <w:tc>
          <w:tcPr>
            <w:tcW w:w="1465" w:type="dxa"/>
            <w:vAlign w:val="top"/>
            <w:vMerge w:val="continue"/>
            <w:tcBorders>
              <w:top w:val="nil"/>
              <w:bottom w:val="nil"/>
            </w:tcBorders>
          </w:tcPr>
          <w:p>
            <w:pPr>
              <w:rPr>
                <w:rFonts w:ascii="Arial"/>
                <w:sz w:val="21"/>
              </w:rPr>
            </w:pPr>
            <w:r/>
          </w:p>
        </w:tc>
        <w:tc>
          <w:tcPr>
            <w:tcW w:w="1175" w:type="dxa"/>
            <w:vAlign w:val="top"/>
          </w:tcPr>
          <w:p>
            <w:pPr>
              <w:pStyle w:val="TableText"/>
              <w:ind w:left="281"/>
              <w:spacing w:before="98" w:line="209" w:lineRule="auto"/>
              <w:rPr/>
            </w:pPr>
            <w:r>
              <w:rPr/>
              <w:t>NH</w:t>
            </w:r>
            <w:r>
              <w:rPr>
                <w:sz w:val="13"/>
                <w:szCs w:val="13"/>
                <w:spacing w:val="9"/>
              </w:rPr>
              <w:t>3</w:t>
            </w:r>
            <w:r>
              <w:rPr>
                <w:spacing w:val="9"/>
              </w:rPr>
              <w:t>-N</w:t>
            </w:r>
          </w:p>
        </w:tc>
        <w:tc>
          <w:tcPr>
            <w:tcW w:w="717" w:type="dxa"/>
            <w:vAlign w:val="top"/>
          </w:tcPr>
          <w:p>
            <w:pPr>
              <w:pStyle w:val="TableText"/>
              <w:ind w:left="309"/>
              <w:spacing w:before="96" w:line="195" w:lineRule="auto"/>
              <w:rPr/>
            </w:pPr>
            <w:r>
              <w:rPr/>
              <w:t>0</w:t>
            </w:r>
          </w:p>
        </w:tc>
        <w:tc>
          <w:tcPr>
            <w:tcW w:w="979" w:type="dxa"/>
            <w:vAlign w:val="top"/>
          </w:tcPr>
          <w:p>
            <w:pPr>
              <w:pStyle w:val="TableText"/>
              <w:ind w:left="304"/>
              <w:spacing w:before="96" w:line="195" w:lineRule="auto"/>
              <w:rPr/>
            </w:pPr>
            <w:r>
              <w:rPr>
                <w:spacing w:val="4"/>
              </w:rPr>
              <w:t>2.31</w:t>
            </w:r>
          </w:p>
        </w:tc>
        <w:tc>
          <w:tcPr>
            <w:tcW w:w="979" w:type="dxa"/>
            <w:vAlign w:val="top"/>
          </w:tcPr>
          <w:p>
            <w:pPr>
              <w:pStyle w:val="TableText"/>
              <w:ind w:left="309"/>
              <w:spacing w:before="96" w:line="195" w:lineRule="auto"/>
              <w:rPr/>
            </w:pPr>
            <w:r>
              <w:rPr>
                <w:spacing w:val="2"/>
              </w:rPr>
              <w:t>2.31</w:t>
            </w:r>
          </w:p>
        </w:tc>
        <w:tc>
          <w:tcPr>
            <w:tcW w:w="993" w:type="dxa"/>
            <w:vAlign w:val="top"/>
          </w:tcPr>
          <w:p>
            <w:pPr>
              <w:pStyle w:val="TableText"/>
              <w:ind w:left="449"/>
              <w:spacing w:before="96" w:line="195" w:lineRule="auto"/>
              <w:rPr/>
            </w:pPr>
            <w:r>
              <w:rPr/>
              <w:t>0</w:t>
            </w:r>
          </w:p>
        </w:tc>
        <w:tc>
          <w:tcPr>
            <w:tcW w:w="1017" w:type="dxa"/>
            <w:vAlign w:val="top"/>
          </w:tcPr>
          <w:p>
            <w:pPr>
              <w:pStyle w:val="TableText"/>
              <w:ind w:left="479"/>
              <w:spacing w:before="92" w:line="199" w:lineRule="auto"/>
              <w:rPr/>
            </w:pPr>
            <w:r>
              <w:rPr>
                <w:spacing w:val="2"/>
              </w:rPr>
              <w:t>/</w:t>
            </w:r>
          </w:p>
        </w:tc>
        <w:tc>
          <w:tcPr>
            <w:tcW w:w="1017" w:type="dxa"/>
            <w:vAlign w:val="top"/>
          </w:tcPr>
          <w:p>
            <w:pPr>
              <w:pStyle w:val="TableText"/>
              <w:ind w:left="463"/>
              <w:spacing w:before="96" w:line="195" w:lineRule="auto"/>
              <w:rPr/>
            </w:pPr>
            <w:r>
              <w:rPr/>
              <w:t>0</w:t>
            </w:r>
          </w:p>
        </w:tc>
        <w:tc>
          <w:tcPr>
            <w:tcW w:w="1022" w:type="dxa"/>
            <w:vAlign w:val="top"/>
          </w:tcPr>
          <w:p>
            <w:pPr>
              <w:pStyle w:val="TableText"/>
              <w:ind w:left="463"/>
              <w:spacing w:before="96" w:line="195" w:lineRule="auto"/>
              <w:rPr/>
            </w:pPr>
            <w:r>
              <w:rPr/>
              <w:t>0</w:t>
            </w:r>
          </w:p>
        </w:tc>
      </w:tr>
      <w:tr>
        <w:trPr>
          <w:trHeight w:val="247" w:hRule="atLeast"/>
        </w:trPr>
        <w:tc>
          <w:tcPr>
            <w:tcW w:w="1465" w:type="dxa"/>
            <w:vAlign w:val="top"/>
            <w:vMerge w:val="continue"/>
            <w:tcBorders>
              <w:top w:val="nil"/>
              <w:bottom w:val="nil"/>
            </w:tcBorders>
          </w:tcPr>
          <w:p>
            <w:pPr>
              <w:rPr>
                <w:rFonts w:ascii="Arial"/>
                <w:sz w:val="21"/>
              </w:rPr>
            </w:pPr>
            <w:r/>
          </w:p>
        </w:tc>
        <w:tc>
          <w:tcPr>
            <w:tcW w:w="1175" w:type="dxa"/>
            <w:vAlign w:val="top"/>
          </w:tcPr>
          <w:p>
            <w:pPr>
              <w:pStyle w:val="TableText"/>
              <w:ind w:left="477"/>
              <w:spacing w:before="53" w:line="192" w:lineRule="auto"/>
              <w:rPr/>
            </w:pPr>
            <w:r>
              <w:rPr>
                <w:spacing w:val="-3"/>
              </w:rPr>
              <w:t>SS</w:t>
            </w:r>
          </w:p>
        </w:tc>
        <w:tc>
          <w:tcPr>
            <w:tcW w:w="717" w:type="dxa"/>
            <w:vAlign w:val="top"/>
          </w:tcPr>
          <w:p>
            <w:pPr>
              <w:pStyle w:val="TableText"/>
              <w:ind w:left="309"/>
              <w:spacing w:before="53" w:line="191" w:lineRule="auto"/>
              <w:rPr/>
            </w:pPr>
            <w:r>
              <w:rPr/>
              <w:t>0</w:t>
            </w:r>
          </w:p>
        </w:tc>
        <w:tc>
          <w:tcPr>
            <w:tcW w:w="979" w:type="dxa"/>
            <w:vAlign w:val="top"/>
          </w:tcPr>
          <w:p>
            <w:pPr>
              <w:pStyle w:val="TableText"/>
              <w:ind w:left="221"/>
              <w:spacing w:before="53" w:line="191" w:lineRule="auto"/>
              <w:rPr/>
            </w:pPr>
            <w:r>
              <w:rPr/>
              <w:t>104.39</w:t>
            </w:r>
          </w:p>
        </w:tc>
        <w:tc>
          <w:tcPr>
            <w:tcW w:w="979" w:type="dxa"/>
            <w:vAlign w:val="top"/>
          </w:tcPr>
          <w:p>
            <w:pPr>
              <w:pStyle w:val="TableText"/>
              <w:ind w:left="221"/>
              <w:spacing w:before="53" w:line="191" w:lineRule="auto"/>
              <w:rPr/>
            </w:pPr>
            <w:r>
              <w:rPr/>
              <w:t>104.39</w:t>
            </w:r>
          </w:p>
        </w:tc>
        <w:tc>
          <w:tcPr>
            <w:tcW w:w="993" w:type="dxa"/>
            <w:vAlign w:val="top"/>
          </w:tcPr>
          <w:p>
            <w:pPr>
              <w:pStyle w:val="TableText"/>
              <w:ind w:left="449"/>
              <w:spacing w:before="53" w:line="191" w:lineRule="auto"/>
              <w:rPr/>
            </w:pPr>
            <w:r>
              <w:rPr/>
              <w:t>0</w:t>
            </w:r>
          </w:p>
        </w:tc>
        <w:tc>
          <w:tcPr>
            <w:tcW w:w="1017" w:type="dxa"/>
            <w:vAlign w:val="top"/>
          </w:tcPr>
          <w:p>
            <w:pPr>
              <w:pStyle w:val="TableText"/>
              <w:ind w:left="479"/>
              <w:spacing w:before="50" w:line="195" w:lineRule="auto"/>
              <w:rPr/>
            </w:pPr>
            <w:r>
              <w:rPr>
                <w:spacing w:val="2"/>
              </w:rPr>
              <w:t>/</w:t>
            </w:r>
          </w:p>
        </w:tc>
        <w:tc>
          <w:tcPr>
            <w:tcW w:w="1017" w:type="dxa"/>
            <w:vAlign w:val="top"/>
          </w:tcPr>
          <w:p>
            <w:pPr>
              <w:pStyle w:val="TableText"/>
              <w:ind w:left="463"/>
              <w:spacing w:before="53" w:line="191" w:lineRule="auto"/>
              <w:rPr/>
            </w:pPr>
            <w:r>
              <w:rPr/>
              <w:t>0</w:t>
            </w:r>
          </w:p>
        </w:tc>
        <w:tc>
          <w:tcPr>
            <w:tcW w:w="1022" w:type="dxa"/>
            <w:vAlign w:val="top"/>
          </w:tcPr>
          <w:p>
            <w:pPr>
              <w:pStyle w:val="TableText"/>
              <w:ind w:left="463"/>
              <w:spacing w:before="53" w:line="191" w:lineRule="auto"/>
              <w:rPr/>
            </w:pPr>
            <w:r>
              <w:rPr/>
              <w:t>0</w:t>
            </w:r>
          </w:p>
        </w:tc>
      </w:tr>
      <w:tr>
        <w:trPr>
          <w:trHeight w:val="278" w:hRule="atLeast"/>
        </w:trPr>
        <w:tc>
          <w:tcPr>
            <w:tcW w:w="1465" w:type="dxa"/>
            <w:vAlign w:val="top"/>
            <w:vMerge w:val="continue"/>
            <w:tcBorders>
              <w:top w:val="nil"/>
            </w:tcBorders>
          </w:tcPr>
          <w:p>
            <w:pPr>
              <w:rPr>
                <w:rFonts w:ascii="Arial"/>
                <w:sz w:val="21"/>
              </w:rPr>
            </w:pPr>
            <w:r/>
          </w:p>
        </w:tc>
        <w:tc>
          <w:tcPr>
            <w:tcW w:w="1175" w:type="dxa"/>
            <w:vAlign w:val="top"/>
          </w:tcPr>
          <w:p>
            <w:pPr>
              <w:ind w:left="276"/>
              <w:spacing w:before="31" w:line="218" w:lineRule="auto"/>
              <w:rPr>
                <w:rFonts w:ascii="SimSun" w:hAnsi="SimSun" w:eastAsia="SimSun" w:cs="SimSun"/>
                <w:sz w:val="20"/>
                <w:szCs w:val="20"/>
              </w:rPr>
            </w:pPr>
            <w:r>
              <w:rPr>
                <w:rFonts w:ascii="SimSun" w:hAnsi="SimSun" w:eastAsia="SimSun" w:cs="SimSun"/>
                <w:sz w:val="20"/>
                <w:szCs w:val="20"/>
                <w:spacing w:val="6"/>
              </w:rPr>
              <w:t>石油类</w:t>
            </w:r>
          </w:p>
        </w:tc>
        <w:tc>
          <w:tcPr>
            <w:tcW w:w="717" w:type="dxa"/>
            <w:vAlign w:val="top"/>
          </w:tcPr>
          <w:p>
            <w:pPr>
              <w:pStyle w:val="TableText"/>
              <w:ind w:left="309"/>
              <w:spacing w:before="67" w:line="195" w:lineRule="auto"/>
              <w:rPr/>
            </w:pPr>
            <w:r>
              <w:rPr/>
              <w:t>0</w:t>
            </w:r>
          </w:p>
        </w:tc>
        <w:tc>
          <w:tcPr>
            <w:tcW w:w="979" w:type="dxa"/>
            <w:vAlign w:val="top"/>
          </w:tcPr>
          <w:p>
            <w:pPr>
              <w:pStyle w:val="TableText"/>
              <w:ind w:left="308"/>
              <w:spacing w:before="67" w:line="195" w:lineRule="auto"/>
              <w:rPr/>
            </w:pPr>
            <w:r>
              <w:rPr>
                <w:spacing w:val="-4"/>
              </w:rPr>
              <w:t>3.</w:t>
            </w:r>
            <w:r>
              <w:rPr>
                <w:spacing w:val="-23"/>
              </w:rPr>
              <w:t xml:space="preserve"> </w:t>
            </w:r>
            <w:r>
              <w:rPr>
                <w:spacing w:val="-4"/>
              </w:rPr>
              <w:t>12</w:t>
            </w:r>
          </w:p>
        </w:tc>
        <w:tc>
          <w:tcPr>
            <w:tcW w:w="979" w:type="dxa"/>
            <w:vAlign w:val="top"/>
          </w:tcPr>
          <w:p>
            <w:pPr>
              <w:pStyle w:val="TableText"/>
              <w:ind w:left="313"/>
              <w:spacing w:before="67" w:line="195" w:lineRule="auto"/>
              <w:rPr/>
            </w:pPr>
            <w:r>
              <w:rPr>
                <w:spacing w:val="-5"/>
              </w:rPr>
              <w:t>3.</w:t>
            </w:r>
            <w:r>
              <w:rPr>
                <w:spacing w:val="-24"/>
              </w:rPr>
              <w:t xml:space="preserve"> </w:t>
            </w:r>
            <w:r>
              <w:rPr>
                <w:spacing w:val="-5"/>
              </w:rPr>
              <w:t>12</w:t>
            </w:r>
          </w:p>
        </w:tc>
        <w:tc>
          <w:tcPr>
            <w:tcW w:w="993" w:type="dxa"/>
            <w:vAlign w:val="top"/>
          </w:tcPr>
          <w:p>
            <w:pPr>
              <w:pStyle w:val="TableText"/>
              <w:ind w:left="449"/>
              <w:spacing w:before="67" w:line="195" w:lineRule="auto"/>
              <w:rPr/>
            </w:pPr>
            <w:r>
              <w:rPr/>
              <w:t>0</w:t>
            </w:r>
          </w:p>
        </w:tc>
        <w:tc>
          <w:tcPr>
            <w:tcW w:w="1017" w:type="dxa"/>
            <w:vAlign w:val="top"/>
          </w:tcPr>
          <w:p>
            <w:pPr>
              <w:pStyle w:val="TableText"/>
              <w:ind w:left="479"/>
              <w:spacing w:before="63" w:line="199" w:lineRule="auto"/>
              <w:rPr/>
            </w:pPr>
            <w:r>
              <w:rPr>
                <w:spacing w:val="2"/>
              </w:rPr>
              <w:t>/</w:t>
            </w:r>
          </w:p>
        </w:tc>
        <w:tc>
          <w:tcPr>
            <w:tcW w:w="1017" w:type="dxa"/>
            <w:vAlign w:val="top"/>
          </w:tcPr>
          <w:p>
            <w:pPr>
              <w:pStyle w:val="TableText"/>
              <w:ind w:left="463"/>
              <w:spacing w:before="67" w:line="195" w:lineRule="auto"/>
              <w:rPr/>
            </w:pPr>
            <w:r>
              <w:rPr/>
              <w:t>0</w:t>
            </w:r>
          </w:p>
        </w:tc>
        <w:tc>
          <w:tcPr>
            <w:tcW w:w="1022" w:type="dxa"/>
            <w:vAlign w:val="top"/>
          </w:tcPr>
          <w:p>
            <w:pPr>
              <w:pStyle w:val="TableText"/>
              <w:ind w:left="463"/>
              <w:spacing w:before="67" w:line="195" w:lineRule="auto"/>
              <w:rPr/>
            </w:pPr>
            <w:r>
              <w:rPr/>
              <w:t>0</w:t>
            </w:r>
          </w:p>
        </w:tc>
      </w:tr>
      <w:tr>
        <w:trPr>
          <w:trHeight w:val="518" w:hRule="atLeast"/>
        </w:trPr>
        <w:tc>
          <w:tcPr>
            <w:tcW w:w="1465" w:type="dxa"/>
            <w:vAlign w:val="top"/>
            <w:vMerge w:val="restart"/>
            <w:tcBorders>
              <w:bottom w:val="nil"/>
            </w:tcBorders>
          </w:tcPr>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ind w:left="227"/>
              <w:spacing w:before="65" w:line="228" w:lineRule="auto"/>
              <w:rPr>
                <w:rFonts w:ascii="SimSun" w:hAnsi="SimSun" w:eastAsia="SimSun" w:cs="SimSun"/>
                <w:sz w:val="20"/>
                <w:szCs w:val="20"/>
              </w:rPr>
            </w:pPr>
            <w:r>
              <w:rPr>
                <w:rFonts w:ascii="SimSun" w:hAnsi="SimSun" w:eastAsia="SimSun" w:cs="SimSun"/>
                <w:sz w:val="20"/>
                <w:szCs w:val="20"/>
                <w:spacing w:val="4"/>
              </w:rPr>
              <w:t>固体废弃物</w:t>
            </w:r>
          </w:p>
        </w:tc>
        <w:tc>
          <w:tcPr>
            <w:tcW w:w="1175" w:type="dxa"/>
            <w:vAlign w:val="top"/>
          </w:tcPr>
          <w:p>
            <w:pPr>
              <w:ind w:left="65"/>
              <w:spacing w:before="152" w:line="228" w:lineRule="auto"/>
              <w:rPr>
                <w:rFonts w:ascii="SimSun" w:hAnsi="SimSun" w:eastAsia="SimSun" w:cs="SimSun"/>
                <w:sz w:val="20"/>
                <w:szCs w:val="20"/>
              </w:rPr>
            </w:pPr>
            <w:r>
              <w:rPr>
                <w:rFonts w:ascii="SimSun" w:hAnsi="SimSun" w:eastAsia="SimSun" w:cs="SimSun"/>
                <w:sz w:val="20"/>
                <w:szCs w:val="20"/>
                <w:spacing w:val="8"/>
              </w:rPr>
              <w:t>土岩剥离物</w:t>
            </w:r>
          </w:p>
        </w:tc>
        <w:tc>
          <w:tcPr>
            <w:tcW w:w="717" w:type="dxa"/>
            <w:vAlign w:val="top"/>
          </w:tcPr>
          <w:p>
            <w:pPr>
              <w:pStyle w:val="TableText"/>
              <w:ind w:left="309"/>
              <w:spacing w:before="187" w:line="195" w:lineRule="auto"/>
              <w:rPr/>
            </w:pPr>
            <w:r>
              <w:rPr/>
              <w:t>0</w:t>
            </w:r>
          </w:p>
        </w:tc>
        <w:tc>
          <w:tcPr>
            <w:tcW w:w="979" w:type="dxa"/>
            <w:vAlign w:val="top"/>
          </w:tcPr>
          <w:p>
            <w:pPr>
              <w:pStyle w:val="TableText"/>
              <w:ind w:left="296" w:right="147" w:hanging="142"/>
              <w:spacing w:before="32" w:line="233" w:lineRule="auto"/>
              <w:rPr/>
            </w:pPr>
            <w:r>
              <w:rPr>
                <w:spacing w:val="1"/>
              </w:rPr>
              <w:t>5295</w:t>
            </w:r>
            <w:r>
              <w:rPr>
                <w:spacing w:val="15"/>
                <w:w w:val="101"/>
              </w:rPr>
              <w:t xml:space="preserve"> </w:t>
            </w:r>
            <w:r>
              <w:rPr>
                <w:rFonts w:ascii="SimSun" w:hAnsi="SimSun" w:eastAsia="SimSun" w:cs="SimSun"/>
                <w:spacing w:val="1"/>
              </w:rPr>
              <w:t>万</w:t>
            </w:r>
            <w:r>
              <w:rPr>
                <w:spacing w:val="3"/>
                <w:position w:val="-1"/>
              </w:rPr>
              <w:t>m</w:t>
            </w:r>
            <w:r>
              <w:rPr>
                <w:sz w:val="13"/>
                <w:szCs w:val="13"/>
                <w:spacing w:val="3"/>
                <w:position w:val="5"/>
              </w:rPr>
              <w:t>3</w:t>
            </w:r>
            <w:r>
              <w:rPr>
                <w:spacing w:val="3"/>
                <w:position w:val="-1"/>
              </w:rPr>
              <w:t>/a</w:t>
            </w:r>
          </w:p>
        </w:tc>
        <w:tc>
          <w:tcPr>
            <w:tcW w:w="979" w:type="dxa"/>
            <w:vAlign w:val="top"/>
          </w:tcPr>
          <w:p>
            <w:pPr>
              <w:pStyle w:val="TableText"/>
              <w:ind w:left="295" w:right="147" w:hanging="138"/>
              <w:spacing w:before="32" w:line="233" w:lineRule="auto"/>
              <w:rPr/>
            </w:pPr>
            <w:r>
              <w:rPr/>
              <w:t>5295</w:t>
            </w:r>
            <w:r>
              <w:rPr>
                <w:spacing w:val="18"/>
              </w:rPr>
              <w:t xml:space="preserve"> </w:t>
            </w:r>
            <w:r>
              <w:rPr>
                <w:rFonts w:ascii="SimSun" w:hAnsi="SimSun" w:eastAsia="SimSun" w:cs="SimSun"/>
              </w:rPr>
              <w:t>万</w:t>
            </w:r>
            <w:r>
              <w:rPr>
                <w:spacing w:val="4"/>
                <w:position w:val="-1"/>
              </w:rPr>
              <w:t>m</w:t>
            </w:r>
            <w:r>
              <w:rPr>
                <w:sz w:val="13"/>
                <w:szCs w:val="13"/>
                <w:spacing w:val="4"/>
                <w:position w:val="5"/>
              </w:rPr>
              <w:t>3</w:t>
            </w:r>
            <w:r>
              <w:rPr>
                <w:spacing w:val="4"/>
                <w:position w:val="-1"/>
              </w:rPr>
              <w:t>/a</w:t>
            </w:r>
          </w:p>
        </w:tc>
        <w:tc>
          <w:tcPr>
            <w:tcW w:w="993" w:type="dxa"/>
            <w:vAlign w:val="top"/>
          </w:tcPr>
          <w:p>
            <w:pPr>
              <w:pStyle w:val="TableText"/>
              <w:ind w:left="449"/>
              <w:spacing w:before="187" w:line="195" w:lineRule="auto"/>
              <w:rPr/>
            </w:pPr>
            <w:r>
              <w:rPr/>
              <w:t>0</w:t>
            </w:r>
          </w:p>
        </w:tc>
        <w:tc>
          <w:tcPr>
            <w:tcW w:w="1017" w:type="dxa"/>
            <w:vAlign w:val="top"/>
          </w:tcPr>
          <w:p>
            <w:pPr>
              <w:pStyle w:val="TableText"/>
              <w:ind w:left="479"/>
              <w:spacing w:before="184" w:line="199" w:lineRule="auto"/>
              <w:rPr/>
            </w:pPr>
            <w:r>
              <w:rPr>
                <w:spacing w:val="2"/>
              </w:rPr>
              <w:t>/</w:t>
            </w:r>
          </w:p>
        </w:tc>
        <w:tc>
          <w:tcPr>
            <w:tcW w:w="1017" w:type="dxa"/>
            <w:vAlign w:val="top"/>
          </w:tcPr>
          <w:p>
            <w:pPr>
              <w:pStyle w:val="TableText"/>
              <w:ind w:left="463"/>
              <w:spacing w:before="187" w:line="195" w:lineRule="auto"/>
              <w:rPr/>
            </w:pPr>
            <w:r>
              <w:rPr/>
              <w:t>0</w:t>
            </w:r>
          </w:p>
        </w:tc>
        <w:tc>
          <w:tcPr>
            <w:tcW w:w="1022" w:type="dxa"/>
            <w:vAlign w:val="top"/>
          </w:tcPr>
          <w:p>
            <w:pPr>
              <w:pStyle w:val="TableText"/>
              <w:ind w:left="463"/>
              <w:spacing w:before="187" w:line="195" w:lineRule="auto"/>
              <w:rPr/>
            </w:pPr>
            <w:r>
              <w:rPr/>
              <w:t>0</w:t>
            </w:r>
          </w:p>
        </w:tc>
      </w:tr>
      <w:tr>
        <w:trPr>
          <w:trHeight w:val="570" w:hRule="atLeast"/>
        </w:trPr>
        <w:tc>
          <w:tcPr>
            <w:tcW w:w="1465" w:type="dxa"/>
            <w:vAlign w:val="top"/>
            <w:vMerge w:val="continue"/>
            <w:tcBorders>
              <w:top w:val="nil"/>
              <w:bottom w:val="nil"/>
            </w:tcBorders>
          </w:tcPr>
          <w:p>
            <w:pPr>
              <w:rPr>
                <w:rFonts w:ascii="Arial"/>
                <w:sz w:val="21"/>
              </w:rPr>
            </w:pPr>
            <w:r/>
          </w:p>
        </w:tc>
        <w:tc>
          <w:tcPr>
            <w:tcW w:w="1175" w:type="dxa"/>
            <w:vAlign w:val="top"/>
          </w:tcPr>
          <w:p>
            <w:pPr>
              <w:ind w:left="275" w:right="64" w:hanging="212"/>
              <w:spacing w:before="42" w:line="239" w:lineRule="auto"/>
              <w:rPr>
                <w:rFonts w:ascii="SimSun" w:hAnsi="SimSun" w:eastAsia="SimSun" w:cs="SimSun"/>
                <w:sz w:val="20"/>
                <w:szCs w:val="20"/>
              </w:rPr>
            </w:pPr>
            <w:r>
              <w:rPr>
                <w:rFonts w:ascii="SimSun" w:hAnsi="SimSun" w:eastAsia="SimSun" w:cs="SimSun"/>
                <w:sz w:val="20"/>
                <w:szCs w:val="20"/>
                <w:spacing w:val="8"/>
              </w:rPr>
              <w:t>矿坑水处理</w:t>
            </w:r>
            <w:r>
              <w:rPr>
                <w:rFonts w:ascii="SimSun" w:hAnsi="SimSun" w:eastAsia="SimSun" w:cs="SimSun"/>
                <w:sz w:val="20"/>
                <w:szCs w:val="20"/>
                <w:spacing w:val="6"/>
              </w:rPr>
              <w:t>站污泥</w:t>
            </w:r>
          </w:p>
        </w:tc>
        <w:tc>
          <w:tcPr>
            <w:tcW w:w="717" w:type="dxa"/>
            <w:vAlign w:val="top"/>
          </w:tcPr>
          <w:p>
            <w:pPr>
              <w:pStyle w:val="TableText"/>
              <w:ind w:left="309"/>
              <w:spacing w:before="214" w:line="195" w:lineRule="auto"/>
              <w:rPr/>
            </w:pPr>
            <w:r>
              <w:rPr/>
              <w:t>0</w:t>
            </w:r>
          </w:p>
        </w:tc>
        <w:tc>
          <w:tcPr>
            <w:tcW w:w="979" w:type="dxa"/>
            <w:vAlign w:val="top"/>
          </w:tcPr>
          <w:p>
            <w:pPr>
              <w:pStyle w:val="TableText"/>
              <w:ind w:left="118"/>
              <w:spacing w:before="210" w:line="199" w:lineRule="auto"/>
              <w:rPr/>
            </w:pPr>
            <w:r>
              <w:rPr>
                <w:spacing w:val="1"/>
              </w:rPr>
              <w:t>171.62t/a</w:t>
            </w:r>
          </w:p>
        </w:tc>
        <w:tc>
          <w:tcPr>
            <w:tcW w:w="979" w:type="dxa"/>
            <w:vAlign w:val="top"/>
          </w:tcPr>
          <w:p>
            <w:pPr>
              <w:pStyle w:val="TableText"/>
              <w:ind w:left="118"/>
              <w:spacing w:before="210" w:line="199" w:lineRule="auto"/>
              <w:rPr/>
            </w:pPr>
            <w:r>
              <w:rPr>
                <w:spacing w:val="1"/>
              </w:rPr>
              <w:t>171.62t/a</w:t>
            </w:r>
          </w:p>
        </w:tc>
        <w:tc>
          <w:tcPr>
            <w:tcW w:w="993" w:type="dxa"/>
            <w:vAlign w:val="top"/>
          </w:tcPr>
          <w:p>
            <w:pPr>
              <w:pStyle w:val="TableText"/>
              <w:ind w:left="449"/>
              <w:spacing w:before="214" w:line="195" w:lineRule="auto"/>
              <w:rPr/>
            </w:pPr>
            <w:r>
              <w:rPr/>
              <w:t>0</w:t>
            </w:r>
          </w:p>
        </w:tc>
        <w:tc>
          <w:tcPr>
            <w:tcW w:w="1017" w:type="dxa"/>
            <w:vAlign w:val="top"/>
          </w:tcPr>
          <w:p>
            <w:pPr>
              <w:pStyle w:val="TableText"/>
              <w:ind w:left="479"/>
              <w:spacing w:before="210" w:line="199" w:lineRule="auto"/>
              <w:rPr/>
            </w:pPr>
            <w:r>
              <w:rPr>
                <w:spacing w:val="2"/>
              </w:rPr>
              <w:t>/</w:t>
            </w:r>
          </w:p>
        </w:tc>
        <w:tc>
          <w:tcPr>
            <w:tcW w:w="1017" w:type="dxa"/>
            <w:vAlign w:val="top"/>
          </w:tcPr>
          <w:p>
            <w:pPr>
              <w:pStyle w:val="TableText"/>
              <w:ind w:left="463"/>
              <w:spacing w:before="214" w:line="195" w:lineRule="auto"/>
              <w:rPr/>
            </w:pPr>
            <w:r>
              <w:rPr/>
              <w:t>0</w:t>
            </w:r>
          </w:p>
        </w:tc>
        <w:tc>
          <w:tcPr>
            <w:tcW w:w="1022" w:type="dxa"/>
            <w:vAlign w:val="top"/>
          </w:tcPr>
          <w:p>
            <w:pPr>
              <w:pStyle w:val="TableText"/>
              <w:ind w:left="463"/>
              <w:spacing w:before="214" w:line="195" w:lineRule="auto"/>
              <w:rPr/>
            </w:pPr>
            <w:r>
              <w:rPr/>
              <w:t>0</w:t>
            </w:r>
          </w:p>
        </w:tc>
      </w:tr>
      <w:tr>
        <w:trPr>
          <w:trHeight w:val="592" w:hRule="atLeast"/>
        </w:trPr>
        <w:tc>
          <w:tcPr>
            <w:tcW w:w="1465" w:type="dxa"/>
            <w:vAlign w:val="top"/>
            <w:vMerge w:val="continue"/>
            <w:tcBorders>
              <w:top w:val="nil"/>
              <w:bottom w:val="nil"/>
            </w:tcBorders>
          </w:tcPr>
          <w:p>
            <w:pPr>
              <w:rPr>
                <w:rFonts w:ascii="Arial"/>
                <w:sz w:val="21"/>
              </w:rPr>
            </w:pPr>
            <w:r/>
          </w:p>
        </w:tc>
        <w:tc>
          <w:tcPr>
            <w:tcW w:w="1175" w:type="dxa"/>
            <w:vAlign w:val="top"/>
          </w:tcPr>
          <w:p>
            <w:pPr>
              <w:ind w:left="174" w:right="64" w:hanging="108"/>
              <w:spacing w:before="53" w:line="244" w:lineRule="auto"/>
              <w:rPr>
                <w:rFonts w:ascii="SimSun" w:hAnsi="SimSun" w:eastAsia="SimSun" w:cs="SimSun"/>
                <w:sz w:val="20"/>
                <w:szCs w:val="20"/>
              </w:rPr>
            </w:pPr>
            <w:r>
              <w:rPr>
                <w:rFonts w:ascii="SimSun" w:hAnsi="SimSun" w:eastAsia="SimSun" w:cs="SimSun"/>
                <w:sz w:val="20"/>
                <w:szCs w:val="20"/>
                <w:spacing w:val="7"/>
              </w:rPr>
              <w:t>生活污水处</w:t>
            </w:r>
            <w:r>
              <w:rPr>
                <w:rFonts w:ascii="SimSun" w:hAnsi="SimSun" w:eastAsia="SimSun" w:cs="SimSun"/>
                <w:sz w:val="20"/>
                <w:szCs w:val="20"/>
                <w:spacing w:val="6"/>
              </w:rPr>
              <w:t>理站污泥</w:t>
            </w:r>
          </w:p>
        </w:tc>
        <w:tc>
          <w:tcPr>
            <w:tcW w:w="717" w:type="dxa"/>
            <w:vAlign w:val="top"/>
          </w:tcPr>
          <w:p>
            <w:pPr>
              <w:pStyle w:val="TableText"/>
              <w:ind w:left="309"/>
              <w:spacing w:before="225" w:line="195" w:lineRule="auto"/>
              <w:rPr/>
            </w:pPr>
            <w:r>
              <w:rPr/>
              <w:t>0</w:t>
            </w:r>
          </w:p>
        </w:tc>
        <w:tc>
          <w:tcPr>
            <w:tcW w:w="979" w:type="dxa"/>
            <w:vAlign w:val="top"/>
          </w:tcPr>
          <w:p>
            <w:pPr>
              <w:pStyle w:val="TableText"/>
              <w:ind w:left="221"/>
              <w:spacing w:before="221" w:line="199" w:lineRule="auto"/>
              <w:rPr/>
            </w:pPr>
            <w:r>
              <w:rPr/>
              <w:t>18.7t/a</w:t>
            </w:r>
          </w:p>
        </w:tc>
        <w:tc>
          <w:tcPr>
            <w:tcW w:w="979" w:type="dxa"/>
            <w:vAlign w:val="top"/>
          </w:tcPr>
          <w:p>
            <w:pPr>
              <w:pStyle w:val="TableText"/>
              <w:ind w:left="221"/>
              <w:spacing w:before="221" w:line="199" w:lineRule="auto"/>
              <w:rPr/>
            </w:pPr>
            <w:r>
              <w:rPr/>
              <w:t>18.7t/a</w:t>
            </w:r>
          </w:p>
        </w:tc>
        <w:tc>
          <w:tcPr>
            <w:tcW w:w="993" w:type="dxa"/>
            <w:vAlign w:val="top"/>
          </w:tcPr>
          <w:p>
            <w:pPr>
              <w:pStyle w:val="TableText"/>
              <w:ind w:left="449"/>
              <w:spacing w:before="225" w:line="195" w:lineRule="auto"/>
              <w:rPr/>
            </w:pPr>
            <w:r>
              <w:rPr/>
              <w:t>0</w:t>
            </w:r>
          </w:p>
        </w:tc>
        <w:tc>
          <w:tcPr>
            <w:tcW w:w="1017" w:type="dxa"/>
            <w:vAlign w:val="top"/>
          </w:tcPr>
          <w:p>
            <w:pPr>
              <w:pStyle w:val="TableText"/>
              <w:ind w:left="479"/>
              <w:spacing w:before="221" w:line="199" w:lineRule="auto"/>
              <w:rPr/>
            </w:pPr>
            <w:r>
              <w:rPr>
                <w:spacing w:val="2"/>
              </w:rPr>
              <w:t>/</w:t>
            </w:r>
          </w:p>
        </w:tc>
        <w:tc>
          <w:tcPr>
            <w:tcW w:w="1017" w:type="dxa"/>
            <w:vAlign w:val="top"/>
          </w:tcPr>
          <w:p>
            <w:pPr>
              <w:pStyle w:val="TableText"/>
              <w:ind w:left="463"/>
              <w:spacing w:before="225" w:line="195" w:lineRule="auto"/>
              <w:rPr/>
            </w:pPr>
            <w:r>
              <w:rPr/>
              <w:t>0</w:t>
            </w:r>
          </w:p>
        </w:tc>
        <w:tc>
          <w:tcPr>
            <w:tcW w:w="1022" w:type="dxa"/>
            <w:vAlign w:val="top"/>
          </w:tcPr>
          <w:p>
            <w:pPr>
              <w:pStyle w:val="TableText"/>
              <w:ind w:left="463"/>
              <w:spacing w:before="225" w:line="195" w:lineRule="auto"/>
              <w:rPr/>
            </w:pPr>
            <w:r>
              <w:rPr/>
              <w:t>0</w:t>
            </w:r>
          </w:p>
        </w:tc>
      </w:tr>
      <w:tr>
        <w:trPr>
          <w:trHeight w:val="275" w:hRule="atLeast"/>
        </w:trPr>
        <w:tc>
          <w:tcPr>
            <w:tcW w:w="1465" w:type="dxa"/>
            <w:vAlign w:val="top"/>
            <w:vMerge w:val="continue"/>
            <w:tcBorders>
              <w:top w:val="nil"/>
              <w:bottom w:val="nil"/>
            </w:tcBorders>
          </w:tcPr>
          <w:p>
            <w:pPr>
              <w:rPr>
                <w:rFonts w:ascii="Arial"/>
                <w:sz w:val="21"/>
              </w:rPr>
            </w:pPr>
            <w:r/>
          </w:p>
        </w:tc>
        <w:tc>
          <w:tcPr>
            <w:tcW w:w="1175" w:type="dxa"/>
            <w:vAlign w:val="top"/>
          </w:tcPr>
          <w:p>
            <w:pPr>
              <w:ind w:left="274"/>
              <w:spacing w:before="31" w:line="216" w:lineRule="auto"/>
              <w:rPr>
                <w:rFonts w:ascii="SimSun" w:hAnsi="SimSun" w:eastAsia="SimSun" w:cs="SimSun"/>
                <w:sz w:val="20"/>
                <w:szCs w:val="20"/>
              </w:rPr>
            </w:pPr>
            <w:r>
              <w:rPr>
                <w:rFonts w:ascii="SimSun" w:hAnsi="SimSun" w:eastAsia="SimSun" w:cs="SimSun"/>
                <w:sz w:val="20"/>
                <w:szCs w:val="20"/>
                <w:spacing w:val="7"/>
              </w:rPr>
              <w:t>废机油</w:t>
            </w:r>
          </w:p>
        </w:tc>
        <w:tc>
          <w:tcPr>
            <w:tcW w:w="717" w:type="dxa"/>
            <w:vAlign w:val="top"/>
          </w:tcPr>
          <w:p>
            <w:pPr>
              <w:pStyle w:val="TableText"/>
              <w:ind w:left="309"/>
              <w:spacing w:before="67" w:line="195" w:lineRule="auto"/>
              <w:rPr/>
            </w:pPr>
            <w:r>
              <w:rPr/>
              <w:t>0</w:t>
            </w:r>
          </w:p>
        </w:tc>
        <w:tc>
          <w:tcPr>
            <w:tcW w:w="979" w:type="dxa"/>
            <w:vAlign w:val="top"/>
          </w:tcPr>
          <w:p>
            <w:pPr>
              <w:pStyle w:val="TableText"/>
              <w:ind w:left="280"/>
              <w:spacing w:before="63" w:line="199" w:lineRule="auto"/>
              <w:rPr/>
            </w:pPr>
            <w:r>
              <w:rPr>
                <w:spacing w:val="2"/>
              </w:rPr>
              <w:t>20t/a</w:t>
            </w:r>
          </w:p>
        </w:tc>
        <w:tc>
          <w:tcPr>
            <w:tcW w:w="979" w:type="dxa"/>
            <w:vAlign w:val="top"/>
          </w:tcPr>
          <w:p>
            <w:pPr>
              <w:pStyle w:val="TableText"/>
              <w:ind w:left="283"/>
              <w:spacing w:before="63" w:line="199" w:lineRule="auto"/>
              <w:rPr/>
            </w:pPr>
            <w:r>
              <w:rPr>
                <w:spacing w:val="2"/>
              </w:rPr>
              <w:t>20t/a</w:t>
            </w:r>
          </w:p>
        </w:tc>
        <w:tc>
          <w:tcPr>
            <w:tcW w:w="993" w:type="dxa"/>
            <w:vAlign w:val="top"/>
          </w:tcPr>
          <w:p>
            <w:pPr>
              <w:pStyle w:val="TableText"/>
              <w:ind w:left="449"/>
              <w:spacing w:before="67" w:line="195" w:lineRule="auto"/>
              <w:rPr/>
            </w:pPr>
            <w:r>
              <w:rPr/>
              <w:t>0</w:t>
            </w:r>
          </w:p>
        </w:tc>
        <w:tc>
          <w:tcPr>
            <w:tcW w:w="1017" w:type="dxa"/>
            <w:vAlign w:val="top"/>
          </w:tcPr>
          <w:p>
            <w:pPr>
              <w:pStyle w:val="TableText"/>
              <w:ind w:left="479"/>
              <w:spacing w:before="63" w:line="199" w:lineRule="auto"/>
              <w:rPr/>
            </w:pPr>
            <w:r>
              <w:rPr>
                <w:spacing w:val="2"/>
              </w:rPr>
              <w:t>/</w:t>
            </w:r>
          </w:p>
        </w:tc>
        <w:tc>
          <w:tcPr>
            <w:tcW w:w="1017" w:type="dxa"/>
            <w:vAlign w:val="top"/>
          </w:tcPr>
          <w:p>
            <w:pPr>
              <w:pStyle w:val="TableText"/>
              <w:ind w:left="463"/>
              <w:spacing w:before="67" w:line="195" w:lineRule="auto"/>
              <w:rPr/>
            </w:pPr>
            <w:r>
              <w:rPr/>
              <w:t>0</w:t>
            </w:r>
          </w:p>
        </w:tc>
        <w:tc>
          <w:tcPr>
            <w:tcW w:w="1022" w:type="dxa"/>
            <w:vAlign w:val="top"/>
          </w:tcPr>
          <w:p>
            <w:pPr>
              <w:pStyle w:val="TableText"/>
              <w:ind w:left="463"/>
              <w:spacing w:before="67" w:line="195" w:lineRule="auto"/>
              <w:rPr/>
            </w:pPr>
            <w:r>
              <w:rPr/>
              <w:t>0</w:t>
            </w:r>
          </w:p>
        </w:tc>
      </w:tr>
      <w:tr>
        <w:trPr>
          <w:trHeight w:val="278" w:hRule="atLeast"/>
        </w:trPr>
        <w:tc>
          <w:tcPr>
            <w:tcW w:w="1465" w:type="dxa"/>
            <w:vAlign w:val="top"/>
            <w:vMerge w:val="continue"/>
            <w:tcBorders>
              <w:top w:val="nil"/>
              <w:bottom w:val="nil"/>
            </w:tcBorders>
          </w:tcPr>
          <w:p>
            <w:pPr>
              <w:rPr>
                <w:rFonts w:ascii="Arial"/>
                <w:sz w:val="21"/>
              </w:rPr>
            </w:pPr>
            <w:r/>
          </w:p>
        </w:tc>
        <w:tc>
          <w:tcPr>
            <w:tcW w:w="1175" w:type="dxa"/>
            <w:vAlign w:val="top"/>
          </w:tcPr>
          <w:p>
            <w:pPr>
              <w:ind w:left="274"/>
              <w:spacing w:before="35" w:line="215" w:lineRule="auto"/>
              <w:rPr>
                <w:rFonts w:ascii="SimSun" w:hAnsi="SimSun" w:eastAsia="SimSun" w:cs="SimSun"/>
                <w:sz w:val="20"/>
                <w:szCs w:val="20"/>
              </w:rPr>
            </w:pPr>
            <w:r>
              <w:rPr>
                <w:rFonts w:ascii="SimSun" w:hAnsi="SimSun" w:eastAsia="SimSun" w:cs="SimSun"/>
                <w:sz w:val="20"/>
                <w:szCs w:val="20"/>
                <w:spacing w:val="7"/>
              </w:rPr>
              <w:t>废电池</w:t>
            </w:r>
          </w:p>
        </w:tc>
        <w:tc>
          <w:tcPr>
            <w:tcW w:w="717" w:type="dxa"/>
            <w:vAlign w:val="top"/>
          </w:tcPr>
          <w:p>
            <w:pPr>
              <w:pStyle w:val="TableText"/>
              <w:ind w:left="309"/>
              <w:spacing w:before="70" w:line="195" w:lineRule="auto"/>
              <w:rPr/>
            </w:pPr>
            <w:r>
              <w:rPr/>
              <w:t>0</w:t>
            </w:r>
          </w:p>
        </w:tc>
        <w:tc>
          <w:tcPr>
            <w:tcW w:w="979" w:type="dxa"/>
            <w:vAlign w:val="top"/>
          </w:tcPr>
          <w:p>
            <w:pPr>
              <w:pStyle w:val="TableText"/>
              <w:ind w:left="256"/>
              <w:spacing w:before="66" w:line="199" w:lineRule="auto"/>
              <w:rPr/>
            </w:pPr>
            <w:r>
              <w:rPr>
                <w:spacing w:val="2"/>
              </w:rPr>
              <w:t>2.5t/a</w:t>
            </w:r>
          </w:p>
        </w:tc>
        <w:tc>
          <w:tcPr>
            <w:tcW w:w="979" w:type="dxa"/>
            <w:vAlign w:val="top"/>
          </w:tcPr>
          <w:p>
            <w:pPr>
              <w:pStyle w:val="TableText"/>
              <w:ind w:left="256"/>
              <w:spacing w:before="66" w:line="199" w:lineRule="auto"/>
              <w:rPr/>
            </w:pPr>
            <w:r>
              <w:rPr>
                <w:spacing w:val="2"/>
              </w:rPr>
              <w:t>2.5t/a</w:t>
            </w:r>
          </w:p>
        </w:tc>
        <w:tc>
          <w:tcPr>
            <w:tcW w:w="993" w:type="dxa"/>
            <w:vAlign w:val="top"/>
          </w:tcPr>
          <w:p>
            <w:pPr>
              <w:pStyle w:val="TableText"/>
              <w:ind w:left="449"/>
              <w:spacing w:before="70" w:line="195" w:lineRule="auto"/>
              <w:rPr/>
            </w:pPr>
            <w:r>
              <w:rPr/>
              <w:t>0</w:t>
            </w:r>
          </w:p>
        </w:tc>
        <w:tc>
          <w:tcPr>
            <w:tcW w:w="1017" w:type="dxa"/>
            <w:vAlign w:val="top"/>
          </w:tcPr>
          <w:p>
            <w:pPr>
              <w:pStyle w:val="TableText"/>
              <w:ind w:left="479"/>
              <w:spacing w:before="66" w:line="199" w:lineRule="auto"/>
              <w:rPr/>
            </w:pPr>
            <w:r>
              <w:rPr>
                <w:spacing w:val="2"/>
              </w:rPr>
              <w:t>/</w:t>
            </w:r>
          </w:p>
        </w:tc>
        <w:tc>
          <w:tcPr>
            <w:tcW w:w="1017" w:type="dxa"/>
            <w:vAlign w:val="top"/>
          </w:tcPr>
          <w:p>
            <w:pPr>
              <w:pStyle w:val="TableText"/>
              <w:ind w:left="463"/>
              <w:spacing w:before="70" w:line="195" w:lineRule="auto"/>
              <w:rPr/>
            </w:pPr>
            <w:r>
              <w:rPr/>
              <w:t>0</w:t>
            </w:r>
          </w:p>
        </w:tc>
        <w:tc>
          <w:tcPr>
            <w:tcW w:w="1022" w:type="dxa"/>
            <w:vAlign w:val="top"/>
          </w:tcPr>
          <w:p>
            <w:pPr>
              <w:pStyle w:val="TableText"/>
              <w:ind w:left="463"/>
              <w:spacing w:before="70" w:line="195" w:lineRule="auto"/>
              <w:rPr/>
            </w:pPr>
            <w:r>
              <w:rPr/>
              <w:t>0</w:t>
            </w:r>
          </w:p>
        </w:tc>
      </w:tr>
      <w:tr>
        <w:trPr>
          <w:trHeight w:val="350" w:hRule="atLeast"/>
        </w:trPr>
        <w:tc>
          <w:tcPr>
            <w:tcW w:w="1465" w:type="dxa"/>
            <w:vAlign w:val="top"/>
            <w:vMerge w:val="continue"/>
            <w:tcBorders>
              <w:top w:val="nil"/>
            </w:tcBorders>
          </w:tcPr>
          <w:p>
            <w:pPr>
              <w:rPr>
                <w:rFonts w:ascii="Arial"/>
                <w:sz w:val="21"/>
              </w:rPr>
            </w:pPr>
            <w:r/>
          </w:p>
        </w:tc>
        <w:tc>
          <w:tcPr>
            <w:tcW w:w="1175" w:type="dxa"/>
            <w:vAlign w:val="top"/>
          </w:tcPr>
          <w:p>
            <w:pPr>
              <w:ind w:left="174"/>
              <w:spacing w:before="68" w:line="228" w:lineRule="auto"/>
              <w:rPr>
                <w:rFonts w:ascii="SimSun" w:hAnsi="SimSun" w:eastAsia="SimSun" w:cs="SimSun"/>
                <w:sz w:val="20"/>
                <w:szCs w:val="20"/>
              </w:rPr>
            </w:pPr>
            <w:r>
              <w:rPr>
                <w:rFonts w:ascii="SimSun" w:hAnsi="SimSun" w:eastAsia="SimSun" w:cs="SimSun"/>
                <w:sz w:val="20"/>
                <w:szCs w:val="20"/>
                <w:spacing w:val="6"/>
              </w:rPr>
              <w:t>生活垃圾</w:t>
            </w:r>
          </w:p>
        </w:tc>
        <w:tc>
          <w:tcPr>
            <w:tcW w:w="717" w:type="dxa"/>
            <w:vAlign w:val="top"/>
          </w:tcPr>
          <w:p>
            <w:pPr>
              <w:pStyle w:val="TableText"/>
              <w:ind w:left="309"/>
              <w:spacing w:before="104" w:line="195" w:lineRule="auto"/>
              <w:rPr/>
            </w:pPr>
            <w:r>
              <w:rPr/>
              <w:t>0</w:t>
            </w:r>
          </w:p>
        </w:tc>
        <w:tc>
          <w:tcPr>
            <w:tcW w:w="979" w:type="dxa"/>
            <w:vAlign w:val="top"/>
          </w:tcPr>
          <w:p>
            <w:pPr>
              <w:pStyle w:val="TableText"/>
              <w:ind w:left="98"/>
              <w:spacing w:before="100" w:line="199" w:lineRule="auto"/>
              <w:rPr/>
            </w:pPr>
            <w:r>
              <w:rPr/>
              <w:t>200.</w:t>
            </w:r>
            <w:r>
              <w:rPr>
                <w:spacing w:val="-22"/>
              </w:rPr>
              <w:t xml:space="preserve"> </w:t>
            </w:r>
            <w:r>
              <w:rPr/>
              <w:t>11t/a</w:t>
            </w:r>
          </w:p>
        </w:tc>
        <w:tc>
          <w:tcPr>
            <w:tcW w:w="979" w:type="dxa"/>
            <w:vAlign w:val="top"/>
          </w:tcPr>
          <w:p>
            <w:pPr>
              <w:pStyle w:val="TableText"/>
              <w:ind w:left="98"/>
              <w:spacing w:before="100" w:line="199" w:lineRule="auto"/>
              <w:rPr/>
            </w:pPr>
            <w:r>
              <w:rPr/>
              <w:t>200.</w:t>
            </w:r>
            <w:r>
              <w:rPr>
                <w:spacing w:val="-22"/>
              </w:rPr>
              <w:t xml:space="preserve"> </w:t>
            </w:r>
            <w:r>
              <w:rPr/>
              <w:t>11t/a</w:t>
            </w:r>
          </w:p>
        </w:tc>
        <w:tc>
          <w:tcPr>
            <w:tcW w:w="993" w:type="dxa"/>
            <w:vAlign w:val="top"/>
          </w:tcPr>
          <w:p>
            <w:pPr>
              <w:pStyle w:val="TableText"/>
              <w:ind w:left="449"/>
              <w:spacing w:before="104" w:line="195" w:lineRule="auto"/>
              <w:rPr/>
            </w:pPr>
            <w:r>
              <w:rPr/>
              <w:t>0</w:t>
            </w:r>
          </w:p>
        </w:tc>
        <w:tc>
          <w:tcPr>
            <w:tcW w:w="1017" w:type="dxa"/>
            <w:vAlign w:val="top"/>
          </w:tcPr>
          <w:p>
            <w:pPr>
              <w:pStyle w:val="TableText"/>
              <w:ind w:left="479"/>
              <w:spacing w:before="100" w:line="199" w:lineRule="auto"/>
              <w:rPr/>
            </w:pPr>
            <w:r>
              <w:rPr>
                <w:spacing w:val="2"/>
              </w:rPr>
              <w:t>/</w:t>
            </w:r>
          </w:p>
        </w:tc>
        <w:tc>
          <w:tcPr>
            <w:tcW w:w="1017" w:type="dxa"/>
            <w:vAlign w:val="top"/>
          </w:tcPr>
          <w:p>
            <w:pPr>
              <w:pStyle w:val="TableText"/>
              <w:ind w:left="463"/>
              <w:spacing w:before="104" w:line="195" w:lineRule="auto"/>
              <w:rPr/>
            </w:pPr>
            <w:r>
              <w:rPr/>
              <w:t>0</w:t>
            </w:r>
          </w:p>
        </w:tc>
        <w:tc>
          <w:tcPr>
            <w:tcW w:w="1022" w:type="dxa"/>
            <w:vAlign w:val="top"/>
          </w:tcPr>
          <w:p>
            <w:pPr>
              <w:pStyle w:val="TableText"/>
              <w:ind w:left="463"/>
              <w:spacing w:before="104" w:line="195" w:lineRule="auto"/>
              <w:rPr/>
            </w:pPr>
            <w:r>
              <w:rPr/>
              <w:t>0</w:t>
            </w:r>
          </w:p>
        </w:tc>
      </w:tr>
    </w:tbl>
    <w:p>
      <w:pPr>
        <w:pStyle w:val="BodyText"/>
        <w:rPr/>
      </w:pPr>
      <w:r/>
    </w:p>
    <w:p>
      <w:pPr>
        <w:sectPr>
          <w:headerReference w:type="default" r:id="rId240"/>
          <w:footerReference w:type="default" r:id="rId241"/>
          <w:pgSz w:w="11906" w:h="16838"/>
          <w:pgMar w:top="1170" w:right="1122" w:bottom="1080" w:left="1413" w:header="837" w:footer="918" w:gutter="0"/>
        </w:sectPr>
        <w:rPr/>
      </w:pPr>
    </w:p>
    <w:p>
      <w:pPr>
        <w:ind w:left="2790"/>
        <w:spacing w:before="298" w:line="222" w:lineRule="auto"/>
        <w:outlineLvl w:val="0"/>
        <w:rPr>
          <w:rFonts w:ascii="SimHei" w:hAnsi="SimHei" w:eastAsia="SimHei" w:cs="SimHei"/>
          <w:sz w:val="36"/>
          <w:szCs w:val="36"/>
        </w:rPr>
      </w:pPr>
      <w:bookmarkStart w:name="bookmark24" w:id="43"/>
      <w:bookmarkEnd w:id="43"/>
      <w:r>
        <w:rPr>
          <w:rFonts w:ascii="Times New Roman" w:hAnsi="Times New Roman" w:eastAsia="Times New Roman" w:cs="Times New Roman"/>
          <w:sz w:val="36"/>
          <w:szCs w:val="36"/>
          <w:spacing w:val="-1"/>
        </w:rPr>
        <w:t>4 </w:t>
      </w:r>
      <w:r>
        <w:rPr>
          <w:rFonts w:ascii="SimHei" w:hAnsi="SimHei" w:eastAsia="SimHei" w:cs="SimHei"/>
          <w:sz w:val="36"/>
          <w:szCs w:val="36"/>
          <w:spacing w:val="-1"/>
        </w:rPr>
        <w:t>环境现状调查与评价</w:t>
      </w:r>
    </w:p>
    <w:p>
      <w:pPr>
        <w:pStyle w:val="BodyText"/>
        <w:spacing w:line="457" w:lineRule="auto"/>
        <w:rPr/>
      </w:pPr>
      <w:r/>
    </w:p>
    <w:p>
      <w:pPr>
        <w:ind w:left="10"/>
        <w:spacing w:before="97" w:line="221" w:lineRule="auto"/>
        <w:outlineLvl w:val="1"/>
        <w:rPr>
          <w:rFonts w:ascii="SimHei" w:hAnsi="SimHei" w:eastAsia="SimHei" w:cs="SimHei"/>
          <w:sz w:val="30"/>
          <w:szCs w:val="30"/>
        </w:rPr>
      </w:pPr>
      <w:bookmarkStart w:name="bookmark25" w:id="44"/>
      <w:bookmarkEnd w:id="44"/>
      <w:r>
        <w:rPr>
          <w:rFonts w:ascii="Times New Roman" w:hAnsi="Times New Roman" w:eastAsia="Times New Roman" w:cs="Times New Roman"/>
          <w:sz w:val="30"/>
          <w:szCs w:val="30"/>
          <w:b/>
          <w:bCs/>
          <w:spacing w:val="-9"/>
        </w:rPr>
        <w:t>4.1</w:t>
      </w:r>
      <w:r>
        <w:rPr>
          <w:rFonts w:ascii="Times New Roman" w:hAnsi="Times New Roman" w:eastAsia="Times New Roman" w:cs="Times New Roman"/>
          <w:sz w:val="30"/>
          <w:szCs w:val="30"/>
          <w:b/>
          <w:bCs/>
          <w:spacing w:val="29"/>
        </w:rPr>
        <w:t xml:space="preserve">  </w:t>
      </w:r>
      <w:r>
        <w:rPr>
          <w:rFonts w:ascii="SimHei" w:hAnsi="SimHei" w:eastAsia="SimHei" w:cs="SimHei"/>
          <w:sz w:val="30"/>
          <w:szCs w:val="30"/>
          <w:b/>
          <w:bCs/>
          <w:spacing w:val="-9"/>
        </w:rPr>
        <w:t>自然环境概况</w:t>
      </w:r>
    </w:p>
    <w:p>
      <w:pPr>
        <w:ind w:left="9"/>
        <w:spacing w:before="257" w:line="223" w:lineRule="auto"/>
        <w:rPr>
          <w:rFonts w:ascii="SimHei" w:hAnsi="SimHei" w:eastAsia="SimHei" w:cs="SimHei"/>
          <w:sz w:val="28"/>
          <w:szCs w:val="28"/>
        </w:rPr>
      </w:pPr>
      <w:r>
        <w:rPr>
          <w:rFonts w:ascii="Times New Roman" w:hAnsi="Times New Roman" w:eastAsia="Times New Roman" w:cs="Times New Roman"/>
          <w:sz w:val="28"/>
          <w:szCs w:val="28"/>
          <w:b/>
          <w:bCs/>
          <w:spacing w:val="-2"/>
        </w:rPr>
        <w:t>4.1.1  </w:t>
      </w:r>
      <w:r>
        <w:rPr>
          <w:rFonts w:ascii="SimHei" w:hAnsi="SimHei" w:eastAsia="SimHei" w:cs="SimHei"/>
          <w:sz w:val="28"/>
          <w:szCs w:val="28"/>
          <w:b/>
          <w:bCs/>
          <w:spacing w:val="-2"/>
        </w:rPr>
        <w:t>地理位置</w:t>
      </w:r>
    </w:p>
    <w:p>
      <w:pPr>
        <w:ind w:right="66" w:firstLine="493"/>
        <w:spacing w:before="171" w:line="338" w:lineRule="auto"/>
        <w:jc w:val="both"/>
        <w:rPr>
          <w:rFonts w:ascii="SimSun" w:hAnsi="SimSun" w:eastAsia="SimSun" w:cs="SimSun"/>
          <w:sz w:val="24"/>
          <w:szCs w:val="24"/>
        </w:rPr>
      </w:pPr>
      <w:r>
        <w:rPr>
          <w:rFonts w:ascii="SimSun" w:hAnsi="SimSun" w:eastAsia="SimSun" w:cs="SimSun"/>
          <w:sz w:val="24"/>
          <w:szCs w:val="24"/>
          <w:spacing w:val="-2"/>
        </w:rPr>
        <w:t>本项目位于白音华煤田范围内，白音华煤田位于内蒙古自治区锡林郭勒盟西乌珠穆</w:t>
      </w:r>
      <w:r>
        <w:rPr>
          <w:rFonts w:ascii="SimSun" w:hAnsi="SimSun" w:eastAsia="SimSun" w:cs="SimSun"/>
          <w:sz w:val="24"/>
          <w:szCs w:val="24"/>
          <w:spacing w:val="-11"/>
        </w:rPr>
        <w:t>沁</w:t>
      </w:r>
      <w:r>
        <w:rPr>
          <w:rFonts w:ascii="SimSun" w:hAnsi="SimSun" w:eastAsia="SimSun" w:cs="SimSun"/>
          <w:sz w:val="24"/>
          <w:szCs w:val="24"/>
          <w:spacing w:val="-50"/>
        </w:rPr>
        <w:t xml:space="preserve"> </w:t>
      </w:r>
      <w:r>
        <w:rPr>
          <w:rFonts w:ascii="SimSun" w:hAnsi="SimSun" w:eastAsia="SimSun" w:cs="SimSun"/>
          <w:sz w:val="24"/>
          <w:szCs w:val="24"/>
          <w:spacing w:val="-11"/>
        </w:rPr>
        <w:t>旗 白</w:t>
      </w:r>
      <w:r>
        <w:rPr>
          <w:rFonts w:ascii="SimSun" w:hAnsi="SimSun" w:eastAsia="SimSun" w:cs="SimSun"/>
          <w:sz w:val="24"/>
          <w:szCs w:val="24"/>
          <w:spacing w:val="-48"/>
        </w:rPr>
        <w:t xml:space="preserve"> </w:t>
      </w:r>
      <w:r>
        <w:rPr>
          <w:rFonts w:ascii="SimSun" w:hAnsi="SimSun" w:eastAsia="SimSun" w:cs="SimSun"/>
          <w:sz w:val="24"/>
          <w:szCs w:val="24"/>
          <w:spacing w:val="-11"/>
        </w:rPr>
        <w:t>音</w:t>
      </w:r>
      <w:r>
        <w:rPr>
          <w:rFonts w:ascii="SimSun" w:hAnsi="SimSun" w:eastAsia="SimSun" w:cs="SimSun"/>
          <w:sz w:val="24"/>
          <w:szCs w:val="24"/>
          <w:spacing w:val="-50"/>
        </w:rPr>
        <w:t xml:space="preserve"> </w:t>
      </w:r>
      <w:r>
        <w:rPr>
          <w:rFonts w:ascii="SimSun" w:hAnsi="SimSun" w:eastAsia="SimSun" w:cs="SimSun"/>
          <w:sz w:val="24"/>
          <w:szCs w:val="24"/>
          <w:spacing w:val="-11"/>
        </w:rPr>
        <w:t>华</w:t>
      </w:r>
      <w:r>
        <w:rPr>
          <w:rFonts w:ascii="SimSun" w:hAnsi="SimSun" w:eastAsia="SimSun" w:cs="SimSun"/>
          <w:sz w:val="24"/>
          <w:szCs w:val="24"/>
          <w:spacing w:val="-44"/>
        </w:rPr>
        <w:t xml:space="preserve"> </w:t>
      </w:r>
      <w:r>
        <w:rPr>
          <w:rFonts w:ascii="SimSun" w:hAnsi="SimSun" w:eastAsia="SimSun" w:cs="SimSun"/>
          <w:sz w:val="24"/>
          <w:szCs w:val="24"/>
          <w:spacing w:val="-11"/>
        </w:rPr>
        <w:t>苏</w:t>
      </w:r>
      <w:r>
        <w:rPr>
          <w:rFonts w:ascii="SimSun" w:hAnsi="SimSun" w:eastAsia="SimSun" w:cs="SimSun"/>
          <w:sz w:val="24"/>
          <w:szCs w:val="24"/>
          <w:spacing w:val="-49"/>
        </w:rPr>
        <w:t xml:space="preserve"> </w:t>
      </w:r>
      <w:r>
        <w:rPr>
          <w:rFonts w:ascii="SimSun" w:hAnsi="SimSun" w:eastAsia="SimSun" w:cs="SimSun"/>
          <w:sz w:val="24"/>
          <w:szCs w:val="24"/>
          <w:spacing w:val="-11"/>
        </w:rPr>
        <w:t>木</w:t>
      </w:r>
      <w:r>
        <w:rPr>
          <w:rFonts w:ascii="SimSun" w:hAnsi="SimSun" w:eastAsia="SimSun" w:cs="SimSun"/>
          <w:sz w:val="24"/>
          <w:szCs w:val="24"/>
          <w:spacing w:val="-45"/>
        </w:rPr>
        <w:t xml:space="preserve"> </w:t>
      </w:r>
      <w:r>
        <w:rPr>
          <w:rFonts w:ascii="SimSun" w:hAnsi="SimSun" w:eastAsia="SimSun" w:cs="SimSun"/>
          <w:sz w:val="24"/>
          <w:szCs w:val="24"/>
          <w:spacing w:val="-11"/>
        </w:rPr>
        <w:t>管</w:t>
      </w:r>
      <w:r>
        <w:rPr>
          <w:rFonts w:ascii="SimSun" w:hAnsi="SimSun" w:eastAsia="SimSun" w:cs="SimSun"/>
          <w:sz w:val="24"/>
          <w:szCs w:val="24"/>
          <w:spacing w:val="-49"/>
        </w:rPr>
        <w:t xml:space="preserve"> </w:t>
      </w:r>
      <w:r>
        <w:rPr>
          <w:rFonts w:ascii="SimSun" w:hAnsi="SimSun" w:eastAsia="SimSun" w:cs="SimSun"/>
          <w:sz w:val="24"/>
          <w:szCs w:val="24"/>
          <w:spacing w:val="-11"/>
        </w:rPr>
        <w:t>辖</w:t>
      </w:r>
      <w:r>
        <w:rPr>
          <w:rFonts w:ascii="SimSun" w:hAnsi="SimSun" w:eastAsia="SimSun" w:cs="SimSun"/>
          <w:sz w:val="24"/>
          <w:szCs w:val="24"/>
          <w:spacing w:val="-45"/>
        </w:rPr>
        <w:t xml:space="preserve"> </w:t>
      </w:r>
      <w:r>
        <w:rPr>
          <w:rFonts w:ascii="SimSun" w:hAnsi="SimSun" w:eastAsia="SimSun" w:cs="SimSun"/>
          <w:sz w:val="24"/>
          <w:szCs w:val="24"/>
          <w:spacing w:val="-11"/>
        </w:rPr>
        <w:t>范</w:t>
      </w:r>
      <w:r>
        <w:rPr>
          <w:rFonts w:ascii="SimSun" w:hAnsi="SimSun" w:eastAsia="SimSun" w:cs="SimSun"/>
          <w:sz w:val="24"/>
          <w:szCs w:val="24"/>
          <w:spacing w:val="-29"/>
        </w:rPr>
        <w:t xml:space="preserve"> </w:t>
      </w:r>
      <w:r>
        <w:rPr>
          <w:rFonts w:ascii="SimSun" w:hAnsi="SimSun" w:eastAsia="SimSun" w:cs="SimSun"/>
          <w:sz w:val="24"/>
          <w:szCs w:val="24"/>
          <w:spacing w:val="-11"/>
        </w:rPr>
        <w:t>围 内</w:t>
      </w:r>
      <w:r>
        <w:rPr>
          <w:rFonts w:ascii="SimSun" w:hAnsi="SimSun" w:eastAsia="SimSun" w:cs="SimSun"/>
          <w:sz w:val="24"/>
          <w:szCs w:val="24"/>
          <w:spacing w:val="-27"/>
        </w:rPr>
        <w:t xml:space="preserve"> </w:t>
      </w:r>
      <w:r>
        <w:rPr>
          <w:rFonts w:ascii="SimSun" w:hAnsi="SimSun" w:eastAsia="SimSun" w:cs="SimSun"/>
          <w:sz w:val="24"/>
          <w:szCs w:val="24"/>
          <w:spacing w:val="-11"/>
        </w:rPr>
        <w:t>。</w:t>
      </w:r>
      <w:r>
        <w:rPr>
          <w:rFonts w:ascii="SimSun" w:hAnsi="SimSun" w:eastAsia="SimSun" w:cs="SimSun"/>
          <w:sz w:val="24"/>
          <w:szCs w:val="24"/>
          <w:spacing w:val="-50"/>
        </w:rPr>
        <w:t xml:space="preserve"> </w:t>
      </w:r>
      <w:r>
        <w:rPr>
          <w:rFonts w:ascii="SimSun" w:hAnsi="SimSun" w:eastAsia="SimSun" w:cs="SimSun"/>
          <w:sz w:val="24"/>
          <w:szCs w:val="24"/>
          <w:spacing w:val="-11"/>
        </w:rPr>
        <w:t>煤 田</w:t>
      </w:r>
      <w:r>
        <w:rPr>
          <w:rFonts w:ascii="SimSun" w:hAnsi="SimSun" w:eastAsia="SimSun" w:cs="SimSun"/>
          <w:sz w:val="24"/>
          <w:szCs w:val="24"/>
          <w:spacing w:val="-51"/>
        </w:rPr>
        <w:t xml:space="preserve"> </w:t>
      </w:r>
      <w:r>
        <w:rPr>
          <w:rFonts w:ascii="SimSun" w:hAnsi="SimSun" w:eastAsia="SimSun" w:cs="SimSun"/>
          <w:sz w:val="24"/>
          <w:szCs w:val="24"/>
          <w:spacing w:val="-11"/>
        </w:rPr>
        <w:t>地</w:t>
      </w:r>
      <w:r>
        <w:rPr>
          <w:rFonts w:ascii="SimSun" w:hAnsi="SimSun" w:eastAsia="SimSun" w:cs="SimSun"/>
          <w:sz w:val="24"/>
          <w:szCs w:val="24"/>
          <w:spacing w:val="-47"/>
        </w:rPr>
        <w:t xml:space="preserve"> </w:t>
      </w:r>
      <w:r>
        <w:rPr>
          <w:rFonts w:ascii="SimSun" w:hAnsi="SimSun" w:eastAsia="SimSun" w:cs="SimSun"/>
          <w:sz w:val="24"/>
          <w:szCs w:val="24"/>
          <w:spacing w:val="-11"/>
        </w:rPr>
        <w:t>理</w:t>
      </w:r>
      <w:r>
        <w:rPr>
          <w:rFonts w:ascii="SimSun" w:hAnsi="SimSun" w:eastAsia="SimSun" w:cs="SimSun"/>
          <w:sz w:val="24"/>
          <w:szCs w:val="24"/>
          <w:spacing w:val="-50"/>
        </w:rPr>
        <w:t xml:space="preserve"> </w:t>
      </w:r>
      <w:r>
        <w:rPr>
          <w:rFonts w:ascii="SimSun" w:hAnsi="SimSun" w:eastAsia="SimSun" w:cs="SimSun"/>
          <w:sz w:val="24"/>
          <w:szCs w:val="24"/>
          <w:spacing w:val="-11"/>
        </w:rPr>
        <w:t>坐</w:t>
      </w:r>
      <w:r>
        <w:rPr>
          <w:rFonts w:ascii="SimSun" w:hAnsi="SimSun" w:eastAsia="SimSun" w:cs="SimSun"/>
          <w:sz w:val="24"/>
          <w:szCs w:val="24"/>
          <w:spacing w:val="-50"/>
        </w:rPr>
        <w:t xml:space="preserve"> </w:t>
      </w:r>
      <w:r>
        <w:rPr>
          <w:rFonts w:ascii="SimSun" w:hAnsi="SimSun" w:eastAsia="SimSun" w:cs="SimSun"/>
          <w:sz w:val="24"/>
          <w:szCs w:val="24"/>
          <w:spacing w:val="-11"/>
        </w:rPr>
        <w:t>标</w:t>
      </w:r>
      <w:r>
        <w:rPr>
          <w:rFonts w:ascii="SimSun" w:hAnsi="SimSun" w:eastAsia="SimSun" w:cs="SimSun"/>
          <w:sz w:val="24"/>
          <w:szCs w:val="24"/>
          <w:spacing w:val="-47"/>
        </w:rPr>
        <w:t xml:space="preserve"> </w:t>
      </w:r>
      <w:r>
        <w:rPr>
          <w:rFonts w:ascii="SimSun" w:hAnsi="SimSun" w:eastAsia="SimSun" w:cs="SimSun"/>
          <w:sz w:val="24"/>
          <w:szCs w:val="24"/>
          <w:spacing w:val="-11"/>
        </w:rPr>
        <w:t>为</w:t>
      </w:r>
      <w:r>
        <w:rPr>
          <w:rFonts w:ascii="SimSun" w:hAnsi="SimSun" w:eastAsia="SimSun" w:cs="SimSun"/>
          <w:sz w:val="24"/>
          <w:szCs w:val="24"/>
          <w:spacing w:val="-30"/>
        </w:rPr>
        <w:t xml:space="preserve"> </w:t>
      </w:r>
      <w:r>
        <w:rPr>
          <w:rFonts w:ascii="SimSun" w:hAnsi="SimSun" w:eastAsia="SimSun" w:cs="SimSun"/>
          <w:sz w:val="24"/>
          <w:szCs w:val="24"/>
          <w:spacing w:val="-11"/>
        </w:rPr>
        <w:t>：</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1"/>
        </w:rPr>
        <w:t>E118°35′40″~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1"/>
        </w:rPr>
        <w:t>118°41′</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1"/>
        </w:rPr>
        <w:t>18″</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1"/>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N44°56′35″~45°01′37″</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。四号露</w:t>
      </w:r>
      <w:r>
        <w:rPr>
          <w:rFonts w:ascii="SimSun" w:hAnsi="SimSun" w:eastAsia="SimSun" w:cs="SimSun"/>
          <w:sz w:val="24"/>
          <w:szCs w:val="24"/>
          <w:spacing w:val="1"/>
        </w:rPr>
        <w:t>天矿位于煤田东北部，隶属白音华苏木管辖。其地理坐</w:t>
      </w:r>
      <w:r>
        <w:rPr>
          <w:rFonts w:ascii="SimSun" w:hAnsi="SimSun" w:eastAsia="SimSun" w:cs="SimSun"/>
          <w:sz w:val="24"/>
          <w:szCs w:val="24"/>
          <w:spacing w:val="-2"/>
        </w:rPr>
        <w:t>标为：</w:t>
      </w:r>
      <w:r>
        <w:rPr>
          <w:rFonts w:ascii="Times New Roman" w:hAnsi="Times New Roman" w:eastAsia="Times New Roman" w:cs="Times New Roman"/>
          <w:sz w:val="24"/>
          <w:szCs w:val="24"/>
          <w:spacing w:val="-2"/>
        </w:rPr>
        <w:t>E118°36′45″~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118°39′</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2"/>
        </w:rPr>
        <w:t>15″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N44°</w:t>
      </w:r>
      <w:r>
        <w:rPr>
          <w:rFonts w:ascii="Times New Roman" w:hAnsi="Times New Roman" w:eastAsia="Times New Roman" w:cs="Times New Roman"/>
          <w:sz w:val="24"/>
          <w:szCs w:val="24"/>
          <w:spacing w:val="-3"/>
        </w:rPr>
        <w:t>57′</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3"/>
        </w:rPr>
        <w:t>15″~45°00′45″</w:t>
      </w:r>
      <w:r>
        <w:rPr>
          <w:rFonts w:ascii="SimSun" w:hAnsi="SimSun" w:eastAsia="SimSun" w:cs="SimSun"/>
          <w:sz w:val="24"/>
          <w:szCs w:val="24"/>
          <w:spacing w:val="-3"/>
        </w:rPr>
        <w:t>。</w:t>
      </w:r>
    </w:p>
    <w:p>
      <w:pPr>
        <w:ind w:left="496"/>
        <w:spacing w:line="219" w:lineRule="auto"/>
        <w:rPr>
          <w:rFonts w:ascii="SimSun" w:hAnsi="SimSun" w:eastAsia="SimSun" w:cs="SimSun"/>
          <w:sz w:val="24"/>
          <w:szCs w:val="24"/>
        </w:rPr>
      </w:pPr>
      <w:r>
        <w:rPr>
          <w:rFonts w:ascii="SimSun" w:hAnsi="SimSun" w:eastAsia="SimSun" w:cs="SimSun"/>
          <w:sz w:val="24"/>
          <w:szCs w:val="24"/>
          <w:spacing w:val="-2"/>
        </w:rPr>
        <w:t>项目地理位置图见图</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3-2-1</w:t>
      </w:r>
      <w:r>
        <w:rPr>
          <w:rFonts w:ascii="SimSun" w:hAnsi="SimSun" w:eastAsia="SimSun" w:cs="SimSun"/>
          <w:sz w:val="24"/>
          <w:szCs w:val="24"/>
          <w:spacing w:val="-2"/>
        </w:rPr>
        <w:t>。</w:t>
      </w:r>
    </w:p>
    <w:p>
      <w:pPr>
        <w:ind w:left="9"/>
        <w:spacing w:before="248" w:line="223" w:lineRule="auto"/>
        <w:rPr>
          <w:rFonts w:ascii="SimHei" w:hAnsi="SimHei" w:eastAsia="SimHei" w:cs="SimHei"/>
          <w:sz w:val="28"/>
          <w:szCs w:val="28"/>
        </w:rPr>
      </w:pPr>
      <w:r>
        <w:rPr>
          <w:rFonts w:ascii="Times New Roman" w:hAnsi="Times New Roman" w:eastAsia="Times New Roman" w:cs="Times New Roman"/>
          <w:sz w:val="28"/>
          <w:szCs w:val="28"/>
          <w:b/>
          <w:bCs/>
          <w:spacing w:val="-2"/>
        </w:rPr>
        <w:t>4.1.2  </w:t>
      </w:r>
      <w:r>
        <w:rPr>
          <w:rFonts w:ascii="SimHei" w:hAnsi="SimHei" w:eastAsia="SimHei" w:cs="SimHei"/>
          <w:sz w:val="28"/>
          <w:szCs w:val="28"/>
          <w:b/>
          <w:bCs/>
          <w:spacing w:val="-2"/>
        </w:rPr>
        <w:t>地形地貌</w:t>
      </w:r>
    </w:p>
    <w:p>
      <w:pPr>
        <w:ind w:left="17" w:firstLine="473"/>
        <w:spacing w:before="171" w:line="338" w:lineRule="auto"/>
        <w:jc w:val="both"/>
        <w:rPr>
          <w:rFonts w:ascii="SimSun" w:hAnsi="SimSun" w:eastAsia="SimSun" w:cs="SimSun"/>
          <w:sz w:val="24"/>
          <w:szCs w:val="24"/>
        </w:rPr>
      </w:pPr>
      <w:r>
        <w:rPr>
          <w:rFonts w:ascii="SimSun" w:hAnsi="SimSun" w:eastAsia="SimSun" w:cs="SimSun"/>
          <w:sz w:val="24"/>
          <w:szCs w:val="24"/>
          <w:spacing w:val="-2"/>
        </w:rPr>
        <w:t>矿区处于西乌珠穆沁旗帜，西乌珠穆沁旗位于锡林郭勒盟东部，地处大兴安岭余脉</w:t>
      </w:r>
      <w:r>
        <w:rPr>
          <w:rFonts w:ascii="SimSun" w:hAnsi="SimSun" w:eastAsia="SimSun" w:cs="SimSun"/>
          <w:sz w:val="24"/>
          <w:szCs w:val="24"/>
          <w:spacing w:val="-4"/>
        </w:rPr>
        <w:t>西北麓，蒙古地槽西缘，东西长约</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250km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，南北宽约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145 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，地势由东南向西北低倾，</w:t>
      </w:r>
      <w:r>
        <w:rPr>
          <w:rFonts w:ascii="SimSun" w:hAnsi="SimSun" w:eastAsia="SimSun" w:cs="SimSun"/>
          <w:sz w:val="24"/>
          <w:szCs w:val="24"/>
          <w:spacing w:val="-2"/>
        </w:rPr>
        <w:t>东南部为大兴安岭山地，北部和西部为坦荡的波状平原，嘎亥额勒苏沙地横亘旗境内中</w:t>
      </w:r>
      <w:r>
        <w:rPr>
          <w:rFonts w:ascii="SimSun" w:hAnsi="SimSun" w:eastAsia="SimSun" w:cs="SimSun"/>
          <w:sz w:val="24"/>
          <w:szCs w:val="24"/>
          <w:spacing w:val="-4"/>
        </w:rPr>
        <w:t>西部地区。</w:t>
      </w:r>
    </w:p>
    <w:p>
      <w:pPr>
        <w:ind w:left="18" w:right="66" w:firstLine="474"/>
        <w:spacing w:before="4" w:line="339" w:lineRule="auto"/>
        <w:jc w:val="both"/>
        <w:rPr>
          <w:rFonts w:ascii="SimSun" w:hAnsi="SimSun" w:eastAsia="SimSun" w:cs="SimSun"/>
          <w:sz w:val="24"/>
          <w:szCs w:val="24"/>
        </w:rPr>
      </w:pPr>
      <w:r>
        <w:rPr>
          <w:rFonts w:ascii="SimSun" w:hAnsi="SimSun" w:eastAsia="SimSun" w:cs="SimSun"/>
          <w:sz w:val="24"/>
          <w:szCs w:val="24"/>
          <w:spacing w:val="-2"/>
        </w:rPr>
        <w:t>本矿区地处内蒙古高原大兴安岭南段之北侧，海拔</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100</w:t>
      </w:r>
      <w:r>
        <w:rPr>
          <w:rFonts w:ascii="Times New Roman" w:hAnsi="Times New Roman" w:eastAsia="Times New Roman" w:cs="Times New Roman"/>
          <w:sz w:val="24"/>
          <w:szCs w:val="24"/>
          <w:spacing w:val="-3"/>
        </w:rPr>
        <w:t>0</w:t>
      </w:r>
      <w:r>
        <w:rPr>
          <w:rFonts w:ascii="SimSun" w:hAnsi="SimSun" w:eastAsia="SimSun" w:cs="SimSun"/>
          <w:sz w:val="24"/>
          <w:szCs w:val="24"/>
          <w:spacing w:val="-3"/>
        </w:rPr>
        <w:t>～</w:t>
      </w:r>
      <w:r>
        <w:rPr>
          <w:rFonts w:ascii="Times New Roman" w:hAnsi="Times New Roman" w:eastAsia="Times New Roman" w:cs="Times New Roman"/>
          <w:sz w:val="24"/>
          <w:szCs w:val="24"/>
          <w:spacing w:val="-3"/>
        </w:rPr>
        <w:t>1200m</w:t>
      </w:r>
      <w:r>
        <w:rPr>
          <w:rFonts w:ascii="SimSun" w:hAnsi="SimSun" w:eastAsia="SimSun" w:cs="SimSun"/>
          <w:sz w:val="24"/>
          <w:szCs w:val="24"/>
          <w:spacing w:val="-3"/>
        </w:rPr>
        <w:t>，大的地貌特征为</w:t>
      </w:r>
      <w:r>
        <w:rPr>
          <w:rFonts w:ascii="SimSun" w:hAnsi="SimSun" w:eastAsia="SimSun" w:cs="SimSun"/>
          <w:sz w:val="24"/>
          <w:szCs w:val="24"/>
          <w:spacing w:val="-2"/>
        </w:rPr>
        <w:t>高原低山缓坡状丘陵，剥蚀堆积地形，冲洪积平原，地形呈东北高，西南低，除煤田外</w:t>
      </w:r>
      <w:r>
        <w:rPr>
          <w:rFonts w:ascii="SimSun" w:hAnsi="SimSun" w:eastAsia="SimSun" w:cs="SimSun"/>
          <w:sz w:val="24"/>
          <w:szCs w:val="24"/>
          <w:spacing w:val="-1"/>
        </w:rPr>
        <w:t>围有低山丘陵外，煤田区内均为广阔的草原和起伏很小的丘陵地带。</w:t>
      </w:r>
    </w:p>
    <w:p>
      <w:pPr>
        <w:ind w:left="9"/>
        <w:spacing w:before="250"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4.1.2  </w:t>
      </w:r>
      <w:r>
        <w:rPr>
          <w:rFonts w:ascii="SimHei" w:hAnsi="SimHei" w:eastAsia="SimHei" w:cs="SimHei"/>
          <w:sz w:val="28"/>
          <w:szCs w:val="28"/>
          <w:b/>
          <w:bCs/>
          <w:spacing w:val="-2"/>
        </w:rPr>
        <w:t>地表水系</w:t>
      </w:r>
    </w:p>
    <w:p>
      <w:pPr>
        <w:ind w:left="11" w:right="66" w:firstLine="480"/>
        <w:spacing w:before="166" w:line="339" w:lineRule="auto"/>
        <w:jc w:val="both"/>
        <w:rPr>
          <w:rFonts w:ascii="SimSun" w:hAnsi="SimSun" w:eastAsia="SimSun" w:cs="SimSun"/>
          <w:sz w:val="24"/>
          <w:szCs w:val="24"/>
        </w:rPr>
      </w:pPr>
      <w:r>
        <w:rPr>
          <w:rFonts w:ascii="SimSun" w:hAnsi="SimSun" w:eastAsia="SimSun" w:cs="SimSun"/>
          <w:sz w:val="24"/>
          <w:szCs w:val="24"/>
          <w:spacing w:val="-2"/>
        </w:rPr>
        <w:t>矿区涉及的地表水系主要为彦吉嘎河，彦吉嘎河源于西乌珠穆沁旗罕乌拉苏木的巴</w:t>
      </w:r>
      <w:r>
        <w:rPr>
          <w:rFonts w:ascii="SimSun" w:hAnsi="SimSun" w:eastAsia="SimSun" w:cs="SimSun"/>
          <w:sz w:val="24"/>
          <w:szCs w:val="24"/>
          <w:spacing w:val="-2"/>
        </w:rPr>
        <w:t>彦乌拉山，有胡吉尔，宝拉格，吉嘎撕台</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条支流。由南向北流经罕乌拉苏木、巴彦华</w:t>
      </w:r>
      <w:r>
        <w:rPr>
          <w:rFonts w:ascii="SimSun" w:hAnsi="SimSun" w:eastAsia="SimSun" w:cs="SimSun"/>
          <w:sz w:val="24"/>
          <w:szCs w:val="24"/>
        </w:rPr>
        <w:t>苏木，由巴彦华苏木唐斯格嘎查出境。原彦吉嘎河在白音华煤田境内长达</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26km</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。彦吉</w:t>
      </w:r>
      <w:r>
        <w:rPr>
          <w:rFonts w:ascii="SimSun" w:hAnsi="SimSun" w:eastAsia="SimSun" w:cs="SimSun"/>
          <w:sz w:val="24"/>
          <w:szCs w:val="24"/>
          <w:spacing w:val="-2"/>
        </w:rPr>
        <w:t>嘎河是乌拉盖河的主要支流之一，为季节性河流，其径流主要受大气降水补给，水量季</w:t>
      </w:r>
      <w:r>
        <w:rPr>
          <w:rFonts w:ascii="SimSun" w:hAnsi="SimSun" w:eastAsia="SimSun" w:cs="SimSun"/>
          <w:sz w:val="24"/>
          <w:szCs w:val="24"/>
          <w:spacing w:val="-2"/>
        </w:rPr>
        <w:t>节性变化显著，由西南向东北流过，是白音华煤田的主要河流，在四号露天矿东侧呈蛇</w:t>
      </w:r>
      <w:r>
        <w:rPr>
          <w:rFonts w:ascii="SimSun" w:hAnsi="SimSun" w:eastAsia="SimSun" w:cs="SimSun"/>
          <w:sz w:val="24"/>
          <w:szCs w:val="24"/>
          <w:spacing w:val="-3"/>
        </w:rPr>
        <w:t>曲形蜿蜒于平原沼泽之中，水深</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，洪水期流</w:t>
      </w:r>
      <w:r>
        <w:rPr>
          <w:rFonts w:ascii="SimSun" w:hAnsi="SimSun" w:eastAsia="SimSun" w:cs="SimSun"/>
          <w:sz w:val="24"/>
          <w:szCs w:val="24"/>
          <w:spacing w:val="-4"/>
        </w:rPr>
        <w:t>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7.0m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/s</w:t>
      </w:r>
      <w:r>
        <w:rPr>
          <w:rFonts w:ascii="SimSun" w:hAnsi="SimSun" w:eastAsia="SimSun" w:cs="SimSun"/>
          <w:sz w:val="24"/>
          <w:szCs w:val="24"/>
          <w:spacing w:val="-4"/>
        </w:rPr>
        <w:t>，平均径流量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/s</w:t>
      </w:r>
      <w:r>
        <w:rPr>
          <w:rFonts w:ascii="SimSun" w:hAnsi="SimSun" w:eastAsia="SimSun" w:cs="SimSun"/>
          <w:sz w:val="24"/>
          <w:szCs w:val="24"/>
          <w:spacing w:val="-4"/>
        </w:rPr>
        <w:t>。彦吉嘎</w:t>
      </w:r>
      <w:r>
        <w:rPr>
          <w:rFonts w:ascii="SimSun" w:hAnsi="SimSun" w:eastAsia="SimSun" w:cs="SimSun"/>
          <w:sz w:val="24"/>
          <w:szCs w:val="24"/>
          <w:spacing w:val="-2"/>
        </w:rPr>
        <w:t>河为典型丘陵河流，河谷宽，比降小、水流缓，结冰期</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个月。水量不大，为季节性河</w:t>
      </w:r>
      <w:r>
        <w:rPr>
          <w:rFonts w:ascii="SimSun" w:hAnsi="SimSun" w:eastAsia="SimSun" w:cs="SimSun"/>
          <w:sz w:val="24"/>
          <w:szCs w:val="24"/>
          <w:spacing w:val="-5"/>
        </w:rPr>
        <w:t>流。</w:t>
      </w:r>
    </w:p>
    <w:p>
      <w:pPr>
        <w:ind w:left="31" w:right="66" w:firstLine="466"/>
        <w:spacing w:before="2" w:line="339" w:lineRule="auto"/>
        <w:rPr>
          <w:rFonts w:ascii="SimSun" w:hAnsi="SimSun" w:eastAsia="SimSun" w:cs="SimSun"/>
          <w:sz w:val="24"/>
          <w:szCs w:val="24"/>
        </w:rPr>
      </w:pPr>
      <w:r>
        <w:rPr>
          <w:rFonts w:ascii="SimSun" w:hAnsi="SimSun" w:eastAsia="SimSun" w:cs="SimSun"/>
          <w:sz w:val="24"/>
          <w:szCs w:val="24"/>
          <w:spacing w:val="-2"/>
        </w:rPr>
        <w:t>原彦吉嘎河横穿本矿区地表境界，流向自南而北，汇入乌拉盖河，目前井田范围内</w:t>
      </w:r>
      <w:r>
        <w:rPr>
          <w:rFonts w:ascii="SimSun" w:hAnsi="SimSun" w:eastAsia="SimSun" w:cs="SimSun"/>
          <w:sz w:val="24"/>
          <w:szCs w:val="24"/>
          <w:spacing w:val="-2"/>
        </w:rPr>
        <w:t>的原彦吉嘎河段已被改道，绕过本矿区。四号露天矿北侧彦吉嘎</w:t>
      </w:r>
      <w:r>
        <w:rPr>
          <w:rFonts w:ascii="SimSun" w:hAnsi="SimSun" w:eastAsia="SimSun" w:cs="SimSun"/>
          <w:sz w:val="24"/>
          <w:szCs w:val="24"/>
          <w:spacing w:val="-3"/>
        </w:rPr>
        <w:t>河改道前后情况如下：</w:t>
      </w:r>
    </w:p>
    <w:p>
      <w:pPr>
        <w:spacing w:line="339" w:lineRule="auto"/>
        <w:sectPr>
          <w:headerReference w:type="default" r:id="rId242"/>
          <w:footerReference w:type="default" r:id="rId243"/>
          <w:pgSz w:w="11906" w:h="16838"/>
          <w:pgMar w:top="1170" w:right="1351" w:bottom="1080" w:left="1413" w:header="837" w:footer="918" w:gutter="0"/>
        </w:sectPr>
        <w:rPr>
          <w:rFonts w:ascii="SimSun" w:hAnsi="SimSun" w:eastAsia="SimSun" w:cs="SimSun"/>
          <w:sz w:val="24"/>
          <w:szCs w:val="24"/>
        </w:rPr>
      </w:pPr>
    </w:p>
    <w:p>
      <w:pPr>
        <w:pStyle w:val="BodyText"/>
        <w:spacing w:line="246" w:lineRule="auto"/>
        <w:rPr/>
      </w:pPr>
      <w:r/>
    </w:p>
    <w:p>
      <w:pPr>
        <w:ind w:firstLine="1195"/>
        <w:spacing w:line="3970" w:lineRule="exact"/>
        <w:rPr/>
      </w:pPr>
      <w:r>
        <w:rPr>
          <w:position w:val="-79"/>
        </w:rPr>
        <w:drawing>
          <wp:inline distT="0" distB="0" distL="0" distR="0">
            <wp:extent cx="4536948" cy="2520695"/>
            <wp:effectExtent l="0" t="0" r="0" b="0"/>
            <wp:docPr id="186" name="IM 186"/>
            <wp:cNvGraphicFramePr/>
            <a:graphic>
              <a:graphicData uri="http://schemas.openxmlformats.org/drawingml/2006/picture">
                <pic:pic>
                  <pic:nvPicPr>
                    <pic:cNvPr id="186" name="IM 186"/>
                    <pic:cNvPicPr/>
                  </pic:nvPicPr>
                  <pic:blipFill>
                    <a:blip r:embed="rId246"/>
                    <a:stretch>
                      <a:fillRect/>
                    </a:stretch>
                  </pic:blipFill>
                  <pic:spPr>
                    <a:xfrm rot="0">
                      <a:off x="0" y="0"/>
                      <a:ext cx="4536948" cy="2520695"/>
                    </a:xfrm>
                    <a:prstGeom prst="rect">
                      <a:avLst/>
                    </a:prstGeom>
                  </pic:spPr>
                </pic:pic>
              </a:graphicData>
            </a:graphic>
          </wp:inline>
        </w:drawing>
      </w:r>
    </w:p>
    <w:p>
      <w:pPr>
        <w:ind w:left="3705"/>
        <w:spacing w:before="155" w:line="219" w:lineRule="auto"/>
        <w:rPr>
          <w:rFonts w:ascii="SimSun" w:hAnsi="SimSun" w:eastAsia="SimSun" w:cs="SimSun"/>
          <w:sz w:val="24"/>
          <w:szCs w:val="24"/>
        </w:rPr>
      </w:pPr>
      <w:r>
        <w:rPr>
          <w:rFonts w:ascii="SimSun" w:hAnsi="SimSun" w:eastAsia="SimSun" w:cs="SimSun"/>
          <w:sz w:val="24"/>
          <w:szCs w:val="24"/>
          <w:spacing w:val="-2"/>
        </w:rPr>
        <w:t>彦吉嘎河改道前情况</w:t>
      </w:r>
    </w:p>
    <w:p>
      <w:pPr>
        <w:ind w:firstLine="1176"/>
        <w:spacing w:before="10" w:line="5386" w:lineRule="exact"/>
        <w:rPr/>
      </w:pPr>
      <w:r>
        <w:rPr>
          <w:position w:val="-107"/>
        </w:rPr>
        <w:drawing>
          <wp:inline distT="0" distB="0" distL="0" distR="0">
            <wp:extent cx="4559808" cy="3419855"/>
            <wp:effectExtent l="0" t="0" r="0" b="0"/>
            <wp:docPr id="188" name="IM 188"/>
            <wp:cNvGraphicFramePr/>
            <a:graphic>
              <a:graphicData uri="http://schemas.openxmlformats.org/drawingml/2006/picture">
                <pic:pic>
                  <pic:nvPicPr>
                    <pic:cNvPr id="188" name="IM 188"/>
                    <pic:cNvPicPr/>
                  </pic:nvPicPr>
                  <pic:blipFill>
                    <a:blip r:embed="rId247"/>
                    <a:stretch>
                      <a:fillRect/>
                    </a:stretch>
                  </pic:blipFill>
                  <pic:spPr>
                    <a:xfrm rot="0">
                      <a:off x="0" y="0"/>
                      <a:ext cx="4559808" cy="3419855"/>
                    </a:xfrm>
                    <a:prstGeom prst="rect">
                      <a:avLst/>
                    </a:prstGeom>
                  </pic:spPr>
                </pic:pic>
              </a:graphicData>
            </a:graphic>
          </wp:inline>
        </w:drawing>
      </w:r>
    </w:p>
    <w:p>
      <w:pPr>
        <w:ind w:left="3705"/>
        <w:spacing w:before="158" w:line="219" w:lineRule="auto"/>
        <w:rPr>
          <w:rFonts w:ascii="SimSun" w:hAnsi="SimSun" w:eastAsia="SimSun" w:cs="SimSun"/>
          <w:sz w:val="24"/>
          <w:szCs w:val="24"/>
        </w:rPr>
      </w:pPr>
      <w:r>
        <w:rPr>
          <w:rFonts w:ascii="SimSun" w:hAnsi="SimSun" w:eastAsia="SimSun" w:cs="SimSun"/>
          <w:sz w:val="24"/>
          <w:szCs w:val="24"/>
          <w:spacing w:val="-2"/>
        </w:rPr>
        <w:t>彦吉嘎河改道后情况</w:t>
      </w:r>
    </w:p>
    <w:p>
      <w:pPr>
        <w:ind w:left="32" w:right="2" w:firstLine="456"/>
        <w:spacing w:before="156" w:line="341" w:lineRule="auto"/>
        <w:rPr>
          <w:rFonts w:ascii="SimSun" w:hAnsi="SimSun" w:eastAsia="SimSun" w:cs="SimSun"/>
          <w:sz w:val="24"/>
          <w:szCs w:val="24"/>
        </w:rPr>
      </w:pPr>
      <w:r>
        <w:rPr>
          <w:rFonts w:ascii="SimSun" w:hAnsi="SimSun" w:eastAsia="SimSun" w:cs="SimSun"/>
          <w:sz w:val="24"/>
          <w:szCs w:val="24"/>
        </w:rPr>
        <w:t>位于井田周边彦吉嘎河改道河道及自然河段分布情况见图</w:t>
      </w:r>
      <w:r>
        <w:rPr>
          <w:rFonts w:ascii="SimSun" w:hAnsi="SimSun" w:eastAsia="SimSun" w:cs="SimSun"/>
          <w:sz w:val="24"/>
          <w:szCs w:val="24"/>
          <w:spacing w:val="-19"/>
        </w:rPr>
        <w:t xml:space="preserve"> </w:t>
      </w:r>
      <w:r>
        <w:rPr>
          <w:rFonts w:ascii="Times New Roman" w:hAnsi="Times New Roman" w:eastAsia="Times New Roman" w:cs="Times New Roman"/>
          <w:sz w:val="24"/>
          <w:szCs w:val="24"/>
        </w:rPr>
        <w:t>5-4-6</w:t>
      </w:r>
      <w:r>
        <w:rPr>
          <w:rFonts w:ascii="Times New Roman" w:hAnsi="Times New Roman" w:eastAsia="Times New Roman" w:cs="Times New Roman"/>
          <w:sz w:val="24"/>
          <w:szCs w:val="24"/>
          <w:spacing w:val="-22"/>
        </w:rPr>
        <w:t xml:space="preserve"> </w:t>
      </w:r>
      <w:r>
        <w:rPr>
          <w:rFonts w:ascii="SimSun" w:hAnsi="SimSun" w:eastAsia="SimSun" w:cs="SimSun"/>
          <w:sz w:val="24"/>
          <w:szCs w:val="24"/>
        </w:rPr>
        <w:t>。区域地表水系见</w:t>
      </w:r>
      <w:r>
        <w:rPr>
          <w:rFonts w:ascii="SimSun" w:hAnsi="SimSun" w:eastAsia="SimSun" w:cs="SimSun"/>
          <w:sz w:val="24"/>
          <w:szCs w:val="24"/>
          <w:spacing w:val="-3"/>
        </w:rPr>
        <w:t>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4-1-1</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3"/>
        </w:rPr>
        <w:t>。矿田附近彦吉嘎河河道管理范围见图</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2-8-3</w:t>
      </w:r>
      <w:r>
        <w:rPr>
          <w:rFonts w:ascii="SimSun" w:hAnsi="SimSun" w:eastAsia="SimSun" w:cs="SimSun"/>
          <w:sz w:val="24"/>
          <w:szCs w:val="24"/>
          <w:spacing w:val="-3"/>
        </w:rPr>
        <w:t>。</w:t>
      </w:r>
    </w:p>
    <w:p>
      <w:pPr>
        <w:ind w:left="7"/>
        <w:spacing w:before="85" w:line="223" w:lineRule="auto"/>
        <w:rPr>
          <w:rFonts w:ascii="SimHei" w:hAnsi="SimHei" w:eastAsia="SimHei" w:cs="SimHei"/>
          <w:sz w:val="28"/>
          <w:szCs w:val="28"/>
        </w:rPr>
      </w:pPr>
      <w:r>
        <w:rPr>
          <w:rFonts w:ascii="Times New Roman" w:hAnsi="Times New Roman" w:eastAsia="Times New Roman" w:cs="Times New Roman"/>
          <w:sz w:val="28"/>
          <w:szCs w:val="28"/>
          <w:b/>
          <w:bCs/>
          <w:spacing w:val="-5"/>
        </w:rPr>
        <w:t>4.1.3</w:t>
      </w:r>
      <w:r>
        <w:rPr>
          <w:rFonts w:ascii="Times New Roman" w:hAnsi="Times New Roman" w:eastAsia="Times New Roman" w:cs="Times New Roman"/>
          <w:sz w:val="28"/>
          <w:szCs w:val="28"/>
          <w:b/>
          <w:bCs/>
          <w:spacing w:val="14"/>
        </w:rPr>
        <w:t xml:space="preserve">  </w:t>
      </w:r>
      <w:r>
        <w:rPr>
          <w:rFonts w:ascii="SimHei" w:hAnsi="SimHei" w:eastAsia="SimHei" w:cs="SimHei"/>
          <w:sz w:val="28"/>
          <w:szCs w:val="28"/>
          <w:b/>
          <w:bCs/>
          <w:spacing w:val="-5"/>
        </w:rPr>
        <w:t>区域地质</w:t>
      </w:r>
    </w:p>
    <w:p>
      <w:pPr>
        <w:ind w:left="495"/>
        <w:spacing w:before="170"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）区域地层</w:t>
      </w:r>
    </w:p>
    <w:p>
      <w:pPr>
        <w:ind w:left="9" w:firstLine="514"/>
        <w:spacing w:before="153" w:line="336" w:lineRule="auto"/>
        <w:rPr>
          <w:rFonts w:ascii="SimSun" w:hAnsi="SimSun" w:eastAsia="SimSun" w:cs="SimSun"/>
          <w:sz w:val="24"/>
          <w:szCs w:val="24"/>
        </w:rPr>
      </w:pPr>
      <w:r>
        <w:rPr>
          <w:rFonts w:ascii="SimSun" w:hAnsi="SimSun" w:eastAsia="SimSun" w:cs="SimSun"/>
          <w:sz w:val="24"/>
          <w:szCs w:val="24"/>
          <w:spacing w:val="-3"/>
        </w:rPr>
        <w:t>白音华煤田为隐伏煤田。根据《内蒙古自治区岩石地层》分区，本区内出主要为中</w:t>
      </w:r>
      <w:r>
        <w:rPr>
          <w:rFonts w:ascii="SimSun" w:hAnsi="SimSun" w:eastAsia="SimSun" w:cs="SimSun"/>
          <w:sz w:val="24"/>
          <w:szCs w:val="24"/>
        </w:rPr>
        <w:t>晚元古代及古生代地层，属于北疆</w:t>
      </w:r>
      <w:r>
        <w:rPr>
          <w:rFonts w:ascii="Times New Roman" w:hAnsi="Times New Roman" w:eastAsia="Times New Roman" w:cs="Times New Roman"/>
          <w:sz w:val="24"/>
          <w:szCs w:val="24"/>
        </w:rPr>
        <w:t>—</w:t>
      </w:r>
      <w:r>
        <w:rPr>
          <w:rFonts w:ascii="SimSun" w:hAnsi="SimSun" w:eastAsia="SimSun" w:cs="SimSun"/>
          <w:sz w:val="24"/>
          <w:szCs w:val="24"/>
        </w:rPr>
        <w:t>兴安地层大区</w:t>
      </w:r>
      <w:r>
        <w:rPr>
          <w:rFonts w:ascii="Times New Roman" w:hAnsi="Times New Roman" w:eastAsia="Times New Roman" w:cs="Times New Roman"/>
          <w:sz w:val="24"/>
          <w:szCs w:val="24"/>
        </w:rPr>
        <w:t>(I)</w:t>
      </w:r>
      <w:r>
        <w:rPr>
          <w:rFonts w:ascii="SimSun" w:hAnsi="SimSun" w:eastAsia="SimSun" w:cs="SimSun"/>
          <w:sz w:val="24"/>
          <w:szCs w:val="24"/>
        </w:rPr>
        <w:t>兴安地层区</w:t>
      </w:r>
      <w:r>
        <w:rPr>
          <w:rFonts w:ascii="Times New Roman" w:hAnsi="Times New Roman" w:eastAsia="Times New Roman" w:cs="Times New Roman"/>
          <w:sz w:val="24"/>
          <w:szCs w:val="24"/>
        </w:rPr>
        <w:t>(I</w:t>
      </w:r>
      <w:r>
        <w:rPr>
          <w:rFonts w:ascii="Times New Roman" w:hAnsi="Times New Roman" w:eastAsia="Times New Roman" w:cs="Times New Roman"/>
          <w:sz w:val="24"/>
          <w:szCs w:val="24"/>
          <w:spacing w:val="-1"/>
        </w:rPr>
        <w:t>2)</w:t>
      </w:r>
      <w:r>
        <w:rPr>
          <w:rFonts w:ascii="SimSun" w:hAnsi="SimSun" w:eastAsia="SimSun" w:cs="SimSun"/>
          <w:sz w:val="24"/>
          <w:szCs w:val="24"/>
          <w:spacing w:val="-1"/>
        </w:rPr>
        <w:t>中的东乌</w:t>
      </w:r>
      <w:r>
        <w:rPr>
          <w:rFonts w:ascii="Times New Roman" w:hAnsi="Times New Roman" w:eastAsia="Times New Roman" w:cs="Times New Roman"/>
          <w:sz w:val="24"/>
          <w:szCs w:val="24"/>
          <w:spacing w:val="-1"/>
        </w:rPr>
        <w:t>—</w:t>
      </w:r>
      <w:r>
        <w:rPr>
          <w:rFonts w:ascii="SimSun" w:hAnsi="SimSun" w:eastAsia="SimSun" w:cs="SimSun"/>
          <w:sz w:val="24"/>
          <w:szCs w:val="24"/>
          <w:spacing w:val="-1"/>
        </w:rPr>
        <w:t>呼玛地</w:t>
      </w:r>
      <w:r>
        <w:rPr>
          <w:rFonts w:ascii="SimSun" w:hAnsi="SimSun" w:eastAsia="SimSun" w:cs="SimSun"/>
          <w:sz w:val="24"/>
          <w:szCs w:val="24"/>
          <w:spacing w:val="-1"/>
        </w:rPr>
        <w:t>层分区</w:t>
      </w:r>
      <w:r>
        <w:rPr>
          <w:rFonts w:ascii="Times New Roman" w:hAnsi="Times New Roman" w:eastAsia="Times New Roman" w:cs="Times New Roman"/>
          <w:sz w:val="24"/>
          <w:szCs w:val="24"/>
          <w:spacing w:val="-1"/>
        </w:rPr>
        <w:t>(I23)</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。中生代地层单位属于滨太平洋地层区</w:t>
      </w:r>
      <w:r>
        <w:rPr>
          <w:rFonts w:ascii="Times New Roman" w:hAnsi="Times New Roman" w:eastAsia="Times New Roman" w:cs="Times New Roman"/>
          <w:sz w:val="24"/>
          <w:szCs w:val="24"/>
          <w:spacing w:val="-1"/>
        </w:rPr>
        <w:t>(5)</w:t>
      </w:r>
      <w:r>
        <w:rPr>
          <w:rFonts w:ascii="SimSun" w:hAnsi="SimSun" w:eastAsia="SimSun" w:cs="SimSun"/>
          <w:sz w:val="24"/>
          <w:szCs w:val="24"/>
          <w:spacing w:val="-1"/>
        </w:rPr>
        <w:t>大兴安岭</w:t>
      </w:r>
      <w:r>
        <w:rPr>
          <w:rFonts w:ascii="Times New Roman" w:hAnsi="Times New Roman" w:eastAsia="Times New Roman" w:cs="Times New Roman"/>
          <w:sz w:val="24"/>
          <w:szCs w:val="24"/>
          <w:spacing w:val="-1"/>
        </w:rPr>
        <w:t>—</w:t>
      </w:r>
      <w:r>
        <w:rPr>
          <w:rFonts w:ascii="SimSun" w:hAnsi="SimSun" w:eastAsia="SimSun" w:cs="SimSun"/>
          <w:sz w:val="24"/>
          <w:szCs w:val="24"/>
          <w:spacing w:val="-1"/>
        </w:rPr>
        <w:t>燕山地层分区</w:t>
      </w:r>
      <w:r>
        <w:rPr>
          <w:rFonts w:ascii="Times New Roman" w:hAnsi="Times New Roman" w:eastAsia="Times New Roman" w:cs="Times New Roman"/>
          <w:sz w:val="24"/>
          <w:szCs w:val="24"/>
          <w:spacing w:val="-1"/>
        </w:rPr>
        <w:t>(512)</w:t>
      </w:r>
      <w:r>
        <w:rPr>
          <w:rFonts w:ascii="SimSun" w:hAnsi="SimSun" w:eastAsia="SimSun" w:cs="SimSun"/>
          <w:sz w:val="24"/>
          <w:szCs w:val="24"/>
          <w:spacing w:val="-1"/>
        </w:rPr>
        <w:t>中</w:t>
      </w:r>
      <w:r>
        <w:rPr>
          <w:rFonts w:ascii="SimSun" w:hAnsi="SimSun" w:eastAsia="SimSun" w:cs="SimSun"/>
          <w:sz w:val="24"/>
          <w:szCs w:val="24"/>
          <w:spacing w:val="-1"/>
        </w:rPr>
        <w:t>的博克图</w:t>
      </w:r>
      <w:r>
        <w:rPr>
          <w:rFonts w:ascii="Times New Roman" w:hAnsi="Times New Roman" w:eastAsia="Times New Roman" w:cs="Times New Roman"/>
          <w:sz w:val="24"/>
          <w:szCs w:val="24"/>
          <w:spacing w:val="-1"/>
        </w:rPr>
        <w:t>—</w:t>
      </w:r>
      <w:r>
        <w:rPr>
          <w:rFonts w:ascii="SimSun" w:hAnsi="SimSun" w:eastAsia="SimSun" w:cs="SimSun"/>
          <w:sz w:val="24"/>
          <w:szCs w:val="24"/>
          <w:spacing w:val="-1"/>
        </w:rPr>
        <w:t>二连浩特地层小区。</w:t>
      </w:r>
    </w:p>
    <w:p>
      <w:pPr>
        <w:spacing w:line="336" w:lineRule="auto"/>
        <w:sectPr>
          <w:headerReference w:type="default" r:id="rId244"/>
          <w:footerReference w:type="default" r:id="rId245"/>
          <w:pgSz w:w="11906" w:h="16838"/>
          <w:pgMar w:top="1170" w:right="1417" w:bottom="1080" w:left="1416" w:header="837" w:footer="918" w:gutter="0"/>
        </w:sectPr>
        <w:rPr>
          <w:rFonts w:ascii="SimSun" w:hAnsi="SimSun" w:eastAsia="SimSun" w:cs="SimSun"/>
          <w:sz w:val="24"/>
          <w:szCs w:val="24"/>
        </w:rPr>
      </w:pPr>
    </w:p>
    <w:p>
      <w:pPr>
        <w:pStyle w:val="BodyText"/>
        <w:spacing w:line="314" w:lineRule="auto"/>
        <w:rPr/>
      </w:pPr>
      <w:r/>
    </w:p>
    <w:p>
      <w:pPr>
        <w:ind w:left="10" w:firstLine="513"/>
        <w:spacing w:before="78" w:line="338" w:lineRule="auto"/>
        <w:jc w:val="both"/>
        <w:rPr>
          <w:rFonts w:ascii="SimSun" w:hAnsi="SimSun" w:eastAsia="SimSun" w:cs="SimSun"/>
          <w:sz w:val="24"/>
          <w:szCs w:val="24"/>
        </w:rPr>
      </w:pPr>
      <w:r>
        <w:rPr>
          <w:rFonts w:ascii="SimSun" w:hAnsi="SimSun" w:eastAsia="SimSun" w:cs="SimSun"/>
          <w:sz w:val="24"/>
          <w:szCs w:val="24"/>
          <w:spacing w:val="-4"/>
        </w:rPr>
        <w:t>白音华盆地周围出露的地层有古生界二叠系下统哲斯组、格根敖包组等低级变质岩，</w:t>
      </w:r>
      <w:r>
        <w:rPr>
          <w:rFonts w:ascii="SimSun" w:hAnsi="SimSun" w:eastAsia="SimSun" w:cs="SimSun"/>
          <w:sz w:val="24"/>
          <w:szCs w:val="24"/>
          <w:spacing w:val="-2"/>
        </w:rPr>
        <w:t>白垩系下统龙江组凝灰岩，白垩系上统玄武岩、安山岩；盆地内沉积了白垩系下统大磨</w:t>
      </w:r>
      <w:r>
        <w:rPr>
          <w:rFonts w:ascii="SimSun" w:hAnsi="SimSun" w:eastAsia="SimSun" w:cs="SimSun"/>
          <w:sz w:val="24"/>
          <w:szCs w:val="24"/>
          <w:spacing w:val="-1"/>
        </w:rPr>
        <w:t>拐河组及新生界第四系、新近系。</w:t>
      </w:r>
    </w:p>
    <w:p>
      <w:pPr>
        <w:ind w:left="495"/>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）区域构造</w:t>
      </w:r>
    </w:p>
    <w:p>
      <w:pPr>
        <w:ind w:left="30" w:right="186" w:firstLine="493"/>
        <w:spacing w:before="156" w:line="338" w:lineRule="auto"/>
        <w:rPr>
          <w:rFonts w:ascii="SimSun" w:hAnsi="SimSun" w:eastAsia="SimSun" w:cs="SimSun"/>
          <w:sz w:val="24"/>
          <w:szCs w:val="24"/>
        </w:rPr>
      </w:pPr>
      <w:r>
        <w:rPr>
          <w:rFonts w:ascii="SimSun" w:hAnsi="SimSun" w:eastAsia="SimSun" w:cs="SimSun"/>
          <w:sz w:val="24"/>
          <w:szCs w:val="24"/>
          <w:spacing w:val="-3"/>
        </w:rPr>
        <w:t>白音华煤田大地构造位置属华北板块，华北北部陆缘增生带，宝音图</w:t>
      </w:r>
      <w:r>
        <w:rPr>
          <w:rFonts w:ascii="Times New Roman" w:hAnsi="Times New Roman" w:eastAsia="Times New Roman" w:cs="Times New Roman"/>
          <w:sz w:val="24"/>
          <w:szCs w:val="24"/>
          <w:spacing w:val="-3"/>
        </w:rPr>
        <w:t>—</w:t>
      </w:r>
      <w:r>
        <w:rPr>
          <w:rFonts w:ascii="SimSun" w:hAnsi="SimSun" w:eastAsia="SimSun" w:cs="SimSun"/>
          <w:sz w:val="24"/>
          <w:szCs w:val="24"/>
          <w:spacing w:val="-3"/>
        </w:rPr>
        <w:t>锡林浩特火</w:t>
      </w:r>
      <w:r>
        <w:rPr>
          <w:rFonts w:ascii="SimSun" w:hAnsi="SimSun" w:eastAsia="SimSun" w:cs="SimSun"/>
          <w:sz w:val="24"/>
          <w:szCs w:val="24"/>
          <w:spacing w:val="-4"/>
        </w:rPr>
        <w:t>山型被动陆缘的中部。</w:t>
      </w:r>
    </w:p>
    <w:p>
      <w:pPr>
        <w:ind w:left="10" w:right="186" w:firstLine="513"/>
        <w:spacing w:line="340" w:lineRule="auto"/>
        <w:jc w:val="both"/>
        <w:rPr>
          <w:rFonts w:ascii="SimSun" w:hAnsi="SimSun" w:eastAsia="SimSun" w:cs="SimSun"/>
          <w:sz w:val="24"/>
          <w:szCs w:val="24"/>
        </w:rPr>
      </w:pPr>
      <w:r>
        <w:rPr>
          <w:rFonts w:ascii="SimSun" w:hAnsi="SimSun" w:eastAsia="SimSun" w:cs="SimSun"/>
          <w:sz w:val="24"/>
          <w:szCs w:val="24"/>
          <w:spacing w:val="-3"/>
        </w:rPr>
        <w:t>白音华煤田是大兴安岭以西煤盆地之一，位于二连坳陷（亦称二连盆地群）东端乌</w:t>
      </w:r>
      <w:r>
        <w:rPr>
          <w:rFonts w:ascii="SimSun" w:hAnsi="SimSun" w:eastAsia="SimSun" w:cs="SimSun"/>
          <w:sz w:val="24"/>
          <w:szCs w:val="24"/>
        </w:rPr>
        <w:t>尼特断陷带中。大地构造位置属天山</w:t>
      </w:r>
      <w:r>
        <w:rPr>
          <w:rFonts w:ascii="Times New Roman" w:hAnsi="Times New Roman" w:eastAsia="Times New Roman" w:cs="Times New Roman"/>
          <w:sz w:val="24"/>
          <w:szCs w:val="24"/>
        </w:rPr>
        <w:t>-</w:t>
      </w:r>
      <w:r>
        <w:rPr>
          <w:rFonts w:ascii="SimSun" w:hAnsi="SimSun" w:eastAsia="SimSun" w:cs="SimSun"/>
          <w:sz w:val="24"/>
          <w:szCs w:val="24"/>
        </w:rPr>
        <w:t>内蒙古中部</w:t>
      </w:r>
      <w:r>
        <w:rPr>
          <w:rFonts w:ascii="Times New Roman" w:hAnsi="Times New Roman" w:eastAsia="Times New Roman" w:cs="Times New Roman"/>
          <w:sz w:val="24"/>
          <w:szCs w:val="24"/>
        </w:rPr>
        <w:t>-</w:t>
      </w:r>
      <w:r>
        <w:rPr>
          <w:rFonts w:ascii="SimSun" w:hAnsi="SimSun" w:eastAsia="SimSun" w:cs="SimSun"/>
          <w:sz w:val="24"/>
          <w:szCs w:val="24"/>
        </w:rPr>
        <w:t>兴安地槽褶皱区（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级）、内蒙古中</w:t>
      </w:r>
      <w:r>
        <w:rPr>
          <w:rFonts w:ascii="SimSun" w:hAnsi="SimSun" w:eastAsia="SimSun" w:cs="SimSun"/>
          <w:sz w:val="24"/>
          <w:szCs w:val="24"/>
          <w:spacing w:val="-1"/>
        </w:rPr>
        <w:t>部地槽褶皱系（</w:t>
      </w:r>
      <w:r>
        <w:rPr>
          <w:rFonts w:ascii="Times New Roman" w:hAnsi="Times New Roman" w:eastAsia="Times New Roman" w:cs="Times New Roman"/>
          <w:sz w:val="24"/>
          <w:szCs w:val="24"/>
          <w:spacing w:val="-1"/>
        </w:rPr>
        <w:t>II</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级）、爱力格庙</w:t>
      </w:r>
      <w:r>
        <w:rPr>
          <w:rFonts w:ascii="Times New Roman" w:hAnsi="Times New Roman" w:eastAsia="Times New Roman" w:cs="Times New Roman"/>
          <w:sz w:val="24"/>
          <w:szCs w:val="24"/>
          <w:spacing w:val="-1"/>
        </w:rPr>
        <w:t>-</w:t>
      </w:r>
      <w:r>
        <w:rPr>
          <w:rFonts w:ascii="SimSun" w:hAnsi="SimSun" w:eastAsia="SimSun" w:cs="SimSun"/>
          <w:sz w:val="24"/>
          <w:szCs w:val="24"/>
          <w:spacing w:val="-1"/>
        </w:rPr>
        <w:t>锡林浩特中间地</w:t>
      </w:r>
      <w:r>
        <w:rPr>
          <w:rFonts w:ascii="SimSun" w:hAnsi="SimSun" w:eastAsia="SimSun" w:cs="SimSun"/>
          <w:sz w:val="24"/>
          <w:szCs w:val="24"/>
          <w:spacing w:val="-2"/>
        </w:rPr>
        <w:t>块（</w:t>
      </w:r>
      <w:r>
        <w:rPr>
          <w:rFonts w:ascii="Times New Roman" w:hAnsi="Times New Roman" w:eastAsia="Times New Roman" w:cs="Times New Roman"/>
          <w:sz w:val="24"/>
          <w:szCs w:val="24"/>
          <w:spacing w:val="-2"/>
        </w:rPr>
        <w:t>III</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级）的中部。</w:t>
      </w:r>
    </w:p>
    <w:p>
      <w:pPr>
        <w:spacing w:line="63" w:lineRule="exact"/>
        <w:rPr/>
      </w:pPr>
      <w:r/>
    </w:p>
    <w:tbl>
      <w:tblPr>
        <w:tblStyle w:val="TableNormal"/>
        <w:tblW w:w="8403" w:type="dxa"/>
        <w:tblInd w:w="294" w:type="dxa"/>
        <w:tblLayout w:type="fixed"/>
        <w:tblBorders>
          <w:left w:val="single" w:color="000000" w:sz="2" w:space="0"/>
          <w:bottom w:val="single" w:color="000000" w:sz="2" w:space="0"/>
          <w:right w:val="single" w:color="000000" w:sz="2" w:space="0"/>
          <w:top w:val="single" w:color="000000" w:sz="2" w:space="0"/>
        </w:tblBorders>
      </w:tblPr>
      <w:tblGrid>
        <w:gridCol w:w="8403"/>
      </w:tblGrid>
      <w:tr>
        <w:trPr>
          <w:trHeight w:val="4034" w:hRule="atLeast"/>
        </w:trPr>
        <w:tc>
          <w:tcPr>
            <w:tcW w:w="8403" w:type="dxa"/>
            <w:vAlign w:val="top"/>
          </w:tcPr>
          <w:p>
            <w:pPr>
              <w:spacing w:line="308" w:lineRule="auto"/>
              <w:rPr>
                <w:rFonts w:ascii="Arial"/>
                <w:sz w:val="21"/>
              </w:rPr>
            </w:pPr>
            <w:r>
              <w:pict>
                <v:shape id="_x0000_s540" style="position:absolute;margin-left:-288.876pt;margin-top:186.714pt;mso-position-vertical-relative:top-margin-area;mso-position-horizontal-relative:right-margin-area;width:83.7pt;height:14.85pt;z-index:-246345728;" filled="false" stroked="false" type="#_x0000_t202">
                  <v:fill on="false"/>
                  <v:stroke on="false"/>
                  <v:path/>
                  <v:imagedata o:title=""/>
                  <o:lock v:ext="edit" aspectratio="false"/>
                  <v:textbox inset="0mm,0mm,0mm,0mm">
                    <w:txbxContent>
                      <w:p>
                        <w:pPr>
                          <w:ind w:left="20"/>
                          <w:spacing w:before="19" w:line="232" w:lineRule="auto"/>
                          <w:rPr>
                            <w:sz w:val="10"/>
                            <w:szCs w:val="10"/>
                          </w:rPr>
                        </w:pPr>
                        <w:r>
                          <w:rPr>
                            <w:rFonts w:ascii="SimSun" w:hAnsi="SimSun" w:eastAsia="SimSun" w:cs="SimSun"/>
                            <w:sz w:val="10"/>
                            <w:szCs w:val="10"/>
                            <w:spacing w:val="-2"/>
                          </w:rPr>
                          <w:t>温</w:t>
                        </w:r>
                        <w:r>
                          <w:rPr>
                            <w:rFonts w:ascii="SimSun" w:hAnsi="SimSun" w:eastAsia="SimSun" w:cs="SimSun"/>
                            <w:sz w:val="10"/>
                            <w:szCs w:val="10"/>
                            <w:spacing w:val="1"/>
                          </w:rPr>
                          <w:t xml:space="preserve">          </w:t>
                        </w:r>
                        <w:r>
                          <w:rPr>
                            <w:rFonts w:ascii="SimSun" w:hAnsi="SimSun" w:eastAsia="SimSun" w:cs="SimSun"/>
                            <w:sz w:val="10"/>
                            <w:szCs w:val="10"/>
                            <w:spacing w:val="-2"/>
                          </w:rPr>
                          <w:t>都</w:t>
                        </w:r>
                        <w:r>
                          <w:rPr>
                            <w:rFonts w:ascii="SimSun" w:hAnsi="SimSun" w:eastAsia="SimSun" w:cs="SimSun"/>
                            <w:sz w:val="10"/>
                            <w:szCs w:val="10"/>
                            <w:spacing w:val="1"/>
                          </w:rPr>
                          <w:t xml:space="preserve">           </w:t>
                        </w:r>
                        <w:r>
                          <w:rPr>
                            <w:rFonts w:ascii="SimSun" w:hAnsi="SimSun" w:eastAsia="SimSun" w:cs="SimSun"/>
                            <w:sz w:val="10"/>
                            <w:szCs w:val="10"/>
                            <w:spacing w:val="-2"/>
                          </w:rPr>
                          <w:t>尔</w:t>
                        </w:r>
                        <w:r>
                          <w:rPr>
                            <w:rFonts w:ascii="SimSun" w:hAnsi="SimSun" w:eastAsia="SimSun" w:cs="SimSun"/>
                            <w:sz w:val="10"/>
                            <w:szCs w:val="10"/>
                            <w:spacing w:val="12"/>
                            <w:w w:val="101"/>
                          </w:rPr>
                          <w:t xml:space="preserve">  </w:t>
                        </w:r>
                        <w:r>
                          <w:rPr>
                            <w:sz w:val="10"/>
                            <w:szCs w:val="10"/>
                            <w:position w:val="-16"/>
                          </w:rPr>
                          <w:drawing>
                            <wp:inline distT="0" distB="0" distL="0" distR="0">
                              <wp:extent cx="40974" cy="153542"/>
                              <wp:effectExtent l="0" t="0" r="0" b="0"/>
                              <wp:docPr id="190" name="IM 190"/>
                              <wp:cNvGraphicFramePr/>
                              <a:graphic>
                                <a:graphicData uri="http://schemas.openxmlformats.org/drawingml/2006/picture">
                                  <pic:pic>
                                    <pic:nvPicPr>
                                      <pic:cNvPr id="190" name="IM 190"/>
                                      <pic:cNvPicPr/>
                                    </pic:nvPicPr>
                                    <pic:blipFill>
                                      <a:blip r:embed="rId250"/>
                                      <a:stretch>
                                        <a:fillRect/>
                                      </a:stretch>
                                    </pic:blipFill>
                                    <pic:spPr>
                                      <a:xfrm rot="0">
                                        <a:off x="0" y="0"/>
                                        <a:ext cx="40974" cy="153542"/>
                                      </a:xfrm>
                                      <a:prstGeom prst="rect">
                                        <a:avLst/>
                                      </a:prstGeom>
                                    </pic:spPr>
                                  </pic:pic>
                                </a:graphicData>
                              </a:graphic>
                            </wp:inline>
                          </w:drawing>
                        </w:r>
                        <w:r>
                          <w:rPr>
                            <w:sz w:val="10"/>
                            <w:szCs w:val="10"/>
                            <w:position w:val="2"/>
                          </w:rPr>
                          <w:drawing>
                            <wp:inline distT="0" distB="0" distL="0" distR="0">
                              <wp:extent cx="8911" cy="7048"/>
                              <wp:effectExtent l="0" t="0" r="0" b="0"/>
                              <wp:docPr id="192" name="IM 192"/>
                              <wp:cNvGraphicFramePr/>
                              <a:graphic>
                                <a:graphicData uri="http://schemas.openxmlformats.org/drawingml/2006/picture">
                                  <pic:pic>
                                    <pic:nvPicPr>
                                      <pic:cNvPr id="192" name="IM 192"/>
                                      <pic:cNvPicPr/>
                                    </pic:nvPicPr>
                                    <pic:blipFill>
                                      <a:blip r:embed="rId251"/>
                                      <a:stretch>
                                        <a:fillRect/>
                                      </a:stretch>
                                    </pic:blipFill>
                                    <pic:spPr>
                                      <a:xfrm rot="0">
                                        <a:off x="0" y="0"/>
                                        <a:ext cx="8911" cy="7048"/>
                                      </a:xfrm>
                                      <a:prstGeom prst="rect">
                                        <a:avLst/>
                                      </a:prstGeom>
                                    </pic:spPr>
                                  </pic:pic>
                                </a:graphicData>
                              </a:graphic>
                            </wp:inline>
                          </w:drawing>
                        </w:r>
                        <w:r>
                          <w:rPr>
                            <w:sz w:val="10"/>
                            <w:szCs w:val="10"/>
                            <w:position w:val="-15"/>
                          </w:rPr>
                          <w:drawing>
                            <wp:inline distT="0" distB="0" distL="0" distR="0">
                              <wp:extent cx="40220" cy="149923"/>
                              <wp:effectExtent l="0" t="0" r="0" b="0"/>
                              <wp:docPr id="194" name="IM 194"/>
                              <wp:cNvGraphicFramePr/>
                              <a:graphic>
                                <a:graphicData uri="http://schemas.openxmlformats.org/drawingml/2006/picture">
                                  <pic:pic>
                                    <pic:nvPicPr>
                                      <pic:cNvPr id="194" name="IM 194"/>
                                      <pic:cNvPicPr/>
                                    </pic:nvPicPr>
                                    <pic:blipFill>
                                      <a:blip r:embed="rId252"/>
                                      <a:stretch>
                                        <a:fillRect/>
                                      </a:stretch>
                                    </pic:blipFill>
                                    <pic:spPr>
                                      <a:xfrm rot="0">
                                        <a:off x="0" y="0"/>
                                        <a:ext cx="40220" cy="149923"/>
                                      </a:xfrm>
                                      <a:prstGeom prst="rect">
                                        <a:avLst/>
                                      </a:prstGeom>
                                    </pic:spPr>
                                  </pic:pic>
                                </a:graphicData>
                              </a:graphic>
                            </wp:inline>
                          </w:drawing>
                        </w:r>
                      </w:p>
                    </w:txbxContent>
                  </v:textbox>
                </v:shape>
              </w:pict>
            </w:r>
            <w:r>
              <w:pict>
                <v:shape id="_x0000_s542" style="position:absolute;margin-left:-191.978pt;margin-top:186.714pt;mso-position-vertical-relative:top-margin-area;mso-position-horizontal-relative:right-margin-area;width:7.05pt;height:8.15pt;z-index:25699840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庙</w:t>
                        </w:r>
                      </w:p>
                    </w:txbxContent>
                  </v:textbox>
                </v:shape>
              </w:pict>
            </w:r>
            <w:r>
              <w:pict>
                <v:shape id="_x0000_s544" style="position:absolute;margin-left:-158.39pt;margin-top:186.714pt;mso-position-vertical-relative:top-margin-area;mso-position-horizontal-relative:right-margin-area;width:6.7pt;height:8.15pt;z-index:25705472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隆</w:t>
                        </w:r>
                      </w:p>
                    </w:txbxContent>
                  </v:textbox>
                </v:shape>
              </w:pict>
            </w:r>
            <w:r>
              <w:pict>
                <v:shape id="_x0000_s546" style="position:absolute;margin-left:-125.457pt;margin-top:186.714pt;mso-position-vertical-relative:top-margin-area;mso-position-horizontal-relative:right-margin-area;width:7pt;height:8.2pt;z-index:257106944;"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起</w:t>
                        </w:r>
                      </w:p>
                    </w:txbxContent>
                  </v:textbox>
                </v:shape>
              </w:pict>
            </w:r>
            <w:r>
              <w:pict>
                <v:shape id="_x0000_s548" style="position:absolute;margin-left:-76.2736pt;margin-top:191.394pt;mso-position-vertical-relative:top-margin-area;mso-position-horizontal-relative:right-margin-area;width:12.15pt;height:8.2pt;z-index:257003520;"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spacing w:val="1"/>
                          </w:rPr>
                          <w:t>凹陷</w:t>
                        </w:r>
                      </w:p>
                    </w:txbxContent>
                  </v:textbox>
                </v:shape>
              </w:pict>
            </w:r>
            <w:r>
              <w:pict>
                <v:shape id="_x0000_s550" style="position:absolute;margin-left:-43.5297pt;margin-top:191.394pt;mso-position-vertical-relative:top-margin-area;mso-position-horizontal-relative:right-margin-area;width:12.05pt;height:8.2pt;z-index:257032192;"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凸起</w:t>
                        </w:r>
                      </w:p>
                    </w:txbxContent>
                  </v:textbox>
                </v:shape>
              </w:pict>
            </w:r>
            <w:r>
              <w:pict>
                <v:shape id="_x0000_s552" style="position:absolute;margin-left:-417.225pt;margin-top:185.922pt;mso-position-vertical-relative:top-margin-area;mso-position-horizontal-relative:right-margin-area;width:19.95pt;height:13.2pt;z-index:257099776;" filled="false" strokecolor="#000000" strokeweight="0.12pt" coordsize="399,263" coordorigin="0,0" path="m105,147l106,147m213,80l213,80m141,80l141,80m1,237l51,165m44,257l101,176m99,261l211,101m169,244l308,45m291,152l397,1e">
                  <v:stroke endcap="round" miterlimit="10"/>
                </v:shape>
              </w:pict>
            </w:r>
            <w:r>
              <w:pict>
                <v:shape id="_x0000_s554" style="position:absolute;margin-left:-118.38pt;margin-top:188.795pt;mso-position-vertical-relative:top-margin-area;mso-position-horizontal-relative:right-margin-area;width:3.25pt;height:2.1pt;z-index:-246326272;" filled="false" strokecolor="#000000" strokeweight="0.12pt" coordsize="65,41" coordorigin="0,0" path="m63,1l51,31l38,40l22,37l1,12m20,23l21,23e">
                  <v:stroke endcap="round" miterlimit="10"/>
                </v:shape>
              </w:pict>
            </w:r>
            <w:r>
              <w:pict>
                <v:shape id="_x0000_s556" style="position:absolute;margin-left:-208.748pt;margin-top:197.465pt;mso-position-vertical-relative:top-margin-area;mso-position-horizontal-relative:right-margin-area;width:1.2pt;height:0.7pt;z-index:257098752;" filled="false" strokecolor="#000000" strokeweight="0.12pt" coordsize="24,13" coordorigin="0,0" path="m22,1l1,12e">
                  <v:stroke endcap="round" miterlimit="10"/>
                </v:shape>
              </w:pict>
            </w:r>
            <w:r>
              <w:pict>
                <v:shape id="_x0000_s558" style="position:absolute;margin-left:-378.698pt;margin-top:6.23358pt;mso-position-vertical-relative:top-margin-area;mso-position-horizontal-relative:right-margin-area;width:295.75pt;height:181.2pt;z-index:-246372352;" filled="false" stroked="false" type="#_x0000_t202">
                  <v:fill on="false"/>
                  <v:stroke on="false"/>
                  <v:path/>
                  <v:imagedata o:title=""/>
                  <o:lock v:ext="edit" aspectratio="false"/>
                  <v:textbox inset="0mm,0mm,0mm,0mm">
                    <w:txbxContent>
                      <w:p>
                        <w:pPr>
                          <w:ind w:left="5585"/>
                          <w:spacing w:before="19"/>
                          <w:rPr>
                            <w:rFonts w:ascii="SimSun" w:hAnsi="SimSun" w:eastAsia="SimSun" w:cs="SimSun"/>
                            <w:sz w:val="10"/>
                            <w:szCs w:val="10"/>
                          </w:rPr>
                        </w:pPr>
                        <w:r>
                          <w:rPr>
                            <w:rFonts w:ascii="SimSun" w:hAnsi="SimSun" w:eastAsia="SimSun" w:cs="SimSun"/>
                            <w:sz w:val="10"/>
                            <w:szCs w:val="10"/>
                          </w:rPr>
                          <w:t>巴</w:t>
                        </w:r>
                      </w:p>
                      <w:p>
                        <w:pPr>
                          <w:spacing w:line="299" w:lineRule="auto"/>
                          <w:rPr>
                            <w:rFonts w:ascii="Arial"/>
                            <w:sz w:val="21"/>
                          </w:rPr>
                        </w:pPr>
                        <w:r/>
                      </w:p>
                      <w:p>
                        <w:pPr>
                          <w:ind w:left="5577"/>
                          <w:spacing w:before="32" w:line="225" w:lineRule="auto"/>
                          <w:rPr>
                            <w:rFonts w:ascii="SimSun" w:hAnsi="SimSun" w:eastAsia="SimSun" w:cs="SimSun"/>
                            <w:sz w:val="10"/>
                            <w:szCs w:val="10"/>
                          </w:rPr>
                        </w:pPr>
                        <w:r>
                          <w:rPr>
                            <w:rFonts w:ascii="SimSun" w:hAnsi="SimSun" w:eastAsia="SimSun" w:cs="SimSun"/>
                            <w:sz w:val="10"/>
                            <w:szCs w:val="10"/>
                            <w:spacing w:val="5"/>
                          </w:rPr>
                          <w:t>东乌旗</w:t>
                        </w:r>
                      </w:p>
                      <w:p>
                        <w:pPr>
                          <w:ind w:firstLine="4924"/>
                          <w:spacing w:line="31" w:lineRule="exact"/>
                          <w:rPr/>
                        </w:pPr>
                        <w:r>
                          <w:rPr/>
                          <w:drawing>
                            <wp:inline distT="0" distB="0" distL="0" distR="0">
                              <wp:extent cx="137731" cy="19430"/>
                              <wp:effectExtent l="0" t="0" r="0" b="0"/>
                              <wp:docPr id="196" name="IM 196"/>
                              <wp:cNvGraphicFramePr/>
                              <a:graphic>
                                <a:graphicData uri="http://schemas.openxmlformats.org/drawingml/2006/picture">
                                  <pic:pic>
                                    <pic:nvPicPr>
                                      <pic:cNvPr id="196" name="IM 196"/>
                                      <pic:cNvPicPr/>
                                    </pic:nvPicPr>
                                    <pic:blipFill>
                                      <a:blip r:embed="rId253"/>
                                      <a:stretch>
                                        <a:fillRect/>
                                      </a:stretch>
                                    </pic:blipFill>
                                    <pic:spPr>
                                      <a:xfrm rot="0">
                                        <a:off x="0" y="0"/>
                                        <a:ext cx="137731" cy="19430"/>
                                      </a:xfrm>
                                      <a:prstGeom prst="rect">
                                        <a:avLst/>
                                      </a:prstGeom>
                                    </pic:spPr>
                                  </pic:pic>
                                </a:graphicData>
                              </a:graphic>
                            </wp:inline>
                          </w:drawing>
                        </w:r>
                      </w:p>
                      <w:p>
                        <w:pPr>
                          <w:spacing w:line="390" w:lineRule="auto"/>
                          <w:rPr>
                            <w:rFonts w:ascii="Arial"/>
                            <w:sz w:val="21"/>
                          </w:rPr>
                        </w:pPr>
                        <w:r/>
                      </w:p>
                      <w:p>
                        <w:pPr>
                          <w:ind w:left="54"/>
                          <w:spacing w:before="32" w:line="227" w:lineRule="auto"/>
                          <w:rPr>
                            <w:rFonts w:ascii="SimSun" w:hAnsi="SimSun" w:eastAsia="SimSun" w:cs="SimSun"/>
                            <w:sz w:val="10"/>
                            <w:szCs w:val="10"/>
                          </w:rPr>
                        </w:pPr>
                        <w:r>
                          <w:rPr>
                            <w:rFonts w:ascii="SimSun" w:hAnsi="SimSun" w:eastAsia="SimSun" w:cs="SimSun"/>
                            <w:sz w:val="10"/>
                            <w:szCs w:val="10"/>
                          </w:rPr>
                          <w:t>Ⅰ</w:t>
                        </w:r>
                        <w:r>
                          <w:rPr>
                            <w:rFonts w:ascii="SimSun" w:hAnsi="SimSun" w:eastAsia="SimSun" w:cs="SimSun"/>
                            <w:sz w:val="10"/>
                            <w:szCs w:val="10"/>
                            <w:spacing w:val="24"/>
                            <w:w w:val="101"/>
                          </w:rPr>
                          <w:t xml:space="preserve"> </w:t>
                        </w:r>
                        <w:r>
                          <w:rPr>
                            <w:rFonts w:ascii="SimSun" w:hAnsi="SimSun" w:eastAsia="SimSun" w:cs="SimSun"/>
                            <w:sz w:val="10"/>
                            <w:szCs w:val="10"/>
                          </w:rPr>
                          <w:t>马尼特拗陷</w:t>
                        </w:r>
                      </w:p>
                      <w:p>
                        <w:pPr>
                          <w:ind w:left="38"/>
                          <w:spacing w:before="71" w:line="226" w:lineRule="auto"/>
                          <w:rPr>
                            <w:rFonts w:ascii="SimSun" w:hAnsi="SimSun" w:eastAsia="SimSun" w:cs="SimSun"/>
                            <w:sz w:val="10"/>
                            <w:szCs w:val="10"/>
                          </w:rPr>
                        </w:pPr>
                        <w:r>
                          <w:rPr>
                            <w:rFonts w:ascii="SimSun" w:hAnsi="SimSun" w:eastAsia="SimSun" w:cs="SimSun"/>
                            <w:sz w:val="10"/>
                            <w:szCs w:val="10"/>
                            <w:spacing w:val="4"/>
                          </w:rPr>
                          <w:t>Ⅱ</w:t>
                        </w:r>
                        <w:r>
                          <w:rPr>
                            <w:rFonts w:ascii="SimSun" w:hAnsi="SimSun" w:eastAsia="SimSun" w:cs="SimSun"/>
                            <w:sz w:val="10"/>
                            <w:szCs w:val="10"/>
                            <w:spacing w:val="22"/>
                            <w:w w:val="101"/>
                          </w:rPr>
                          <w:t xml:space="preserve"> </w:t>
                        </w:r>
                        <w:r>
                          <w:rPr>
                            <w:rFonts w:ascii="SimSun" w:hAnsi="SimSun" w:eastAsia="SimSun" w:cs="SimSun"/>
                            <w:sz w:val="10"/>
                            <w:szCs w:val="10"/>
                            <w:spacing w:val="4"/>
                          </w:rPr>
                          <w:t>乌兰察布拗陷</w:t>
                        </w:r>
                      </w:p>
                      <w:p>
                        <w:pPr>
                          <w:ind w:left="20"/>
                          <w:spacing w:before="79" w:line="227" w:lineRule="auto"/>
                          <w:rPr>
                            <w:rFonts w:ascii="SimSun" w:hAnsi="SimSun" w:eastAsia="SimSun" w:cs="SimSun"/>
                            <w:sz w:val="10"/>
                            <w:szCs w:val="10"/>
                          </w:rPr>
                        </w:pPr>
                        <w:r>
                          <w:rPr>
                            <w:rFonts w:ascii="SimSun" w:hAnsi="SimSun" w:eastAsia="SimSun" w:cs="SimSun"/>
                            <w:sz w:val="10"/>
                            <w:szCs w:val="10"/>
                            <w:spacing w:val="5"/>
                          </w:rPr>
                          <w:t>Ⅲ</w:t>
                        </w:r>
                        <w:r>
                          <w:rPr>
                            <w:rFonts w:ascii="SimSun" w:hAnsi="SimSun" w:eastAsia="SimSun" w:cs="SimSun"/>
                            <w:sz w:val="10"/>
                            <w:szCs w:val="10"/>
                            <w:spacing w:val="23"/>
                          </w:rPr>
                          <w:t xml:space="preserve"> </w:t>
                        </w:r>
                        <w:r>
                          <w:rPr>
                            <w:rFonts w:ascii="SimSun" w:hAnsi="SimSun" w:eastAsia="SimSun" w:cs="SimSun"/>
                            <w:sz w:val="10"/>
                            <w:szCs w:val="10"/>
                            <w:spacing w:val="5"/>
                          </w:rPr>
                          <w:t>川井拗陷</w:t>
                        </w:r>
                      </w:p>
                      <w:p>
                        <w:pPr>
                          <w:ind w:left="24"/>
                          <w:spacing w:before="81" w:line="227" w:lineRule="auto"/>
                          <w:rPr>
                            <w:rFonts w:ascii="SimSun" w:hAnsi="SimSun" w:eastAsia="SimSun" w:cs="SimSun"/>
                            <w:sz w:val="10"/>
                            <w:szCs w:val="10"/>
                          </w:rPr>
                        </w:pPr>
                        <w:r>
                          <w:rPr>
                            <w:rFonts w:ascii="SimSun" w:hAnsi="SimSun" w:eastAsia="SimSun" w:cs="SimSun"/>
                            <w:sz w:val="10"/>
                            <w:szCs w:val="10"/>
                            <w:spacing w:val="6"/>
                          </w:rPr>
                          <w:t>Ⅳ</w:t>
                        </w:r>
                        <w:r>
                          <w:rPr>
                            <w:rFonts w:ascii="SimSun" w:hAnsi="SimSun" w:eastAsia="SimSun" w:cs="SimSun"/>
                            <w:sz w:val="10"/>
                            <w:szCs w:val="10"/>
                            <w:spacing w:val="18"/>
                            <w:w w:val="101"/>
                          </w:rPr>
                          <w:t xml:space="preserve"> </w:t>
                        </w:r>
                        <w:r>
                          <w:rPr>
                            <w:rFonts w:ascii="SimSun" w:hAnsi="SimSun" w:eastAsia="SimSun" w:cs="SimSun"/>
                            <w:sz w:val="10"/>
                            <w:szCs w:val="10"/>
                            <w:spacing w:val="6"/>
                          </w:rPr>
                          <w:t>乌尼特拗陷</w:t>
                        </w:r>
                      </w:p>
                      <w:p>
                        <w:pPr>
                          <w:ind w:left="32"/>
                          <w:spacing w:before="79" w:line="227" w:lineRule="auto"/>
                          <w:rPr>
                            <w:rFonts w:ascii="SimSun" w:hAnsi="SimSun" w:eastAsia="SimSun" w:cs="SimSun"/>
                            <w:sz w:val="10"/>
                            <w:szCs w:val="10"/>
                          </w:rPr>
                        </w:pPr>
                        <w:r>
                          <w:rPr>
                            <w:rFonts w:ascii="SimSun" w:hAnsi="SimSun" w:eastAsia="SimSun" w:cs="SimSun"/>
                            <w:sz w:val="10"/>
                            <w:szCs w:val="10"/>
                            <w:spacing w:val="5"/>
                          </w:rPr>
                          <w:t>Ⅴ</w:t>
                        </w:r>
                        <w:r>
                          <w:rPr>
                            <w:rFonts w:ascii="SimSun" w:hAnsi="SimSun" w:eastAsia="SimSun" w:cs="SimSun"/>
                            <w:sz w:val="10"/>
                            <w:szCs w:val="10"/>
                            <w:spacing w:val="17"/>
                            <w:w w:val="101"/>
                          </w:rPr>
                          <w:t xml:space="preserve"> </w:t>
                        </w:r>
                        <w:r>
                          <w:rPr>
                            <w:rFonts w:ascii="SimSun" w:hAnsi="SimSun" w:eastAsia="SimSun" w:cs="SimSun"/>
                            <w:sz w:val="10"/>
                            <w:szCs w:val="10"/>
                            <w:spacing w:val="5"/>
                          </w:rPr>
                          <w:t>腾格尔拗陷</w:t>
                        </w:r>
                      </w:p>
                      <w:p>
                        <w:pPr>
                          <w:spacing w:line="391" w:lineRule="auto"/>
                          <w:rPr>
                            <w:rFonts w:ascii="Arial"/>
                            <w:sz w:val="21"/>
                          </w:rPr>
                        </w:pPr>
                        <w:r/>
                      </w:p>
                      <w:p>
                        <w:pPr>
                          <w:ind w:left="1636"/>
                          <w:spacing w:before="33" w:line="218" w:lineRule="auto"/>
                          <w:rPr>
                            <w:rFonts w:ascii="SimSun" w:hAnsi="SimSun" w:eastAsia="SimSun" w:cs="SimSun"/>
                            <w:sz w:val="10"/>
                            <w:szCs w:val="10"/>
                          </w:rPr>
                        </w:pPr>
                        <w:r>
                          <w:rPr>
                            <w:rFonts w:ascii="SimSun" w:hAnsi="SimSun" w:eastAsia="SimSun" w:cs="SimSun"/>
                            <w:sz w:val="10"/>
                            <w:szCs w:val="10"/>
                            <w:position w:val="-4"/>
                          </w:rPr>
                          <w:drawing>
                            <wp:inline distT="0" distB="0" distL="0" distR="0">
                              <wp:extent cx="35242" cy="49618"/>
                              <wp:effectExtent l="0" t="0" r="0" b="0"/>
                              <wp:docPr id="198" name="IM 198"/>
                              <wp:cNvGraphicFramePr/>
                              <a:graphic>
                                <a:graphicData uri="http://schemas.openxmlformats.org/drawingml/2006/picture">
                                  <pic:pic>
                                    <pic:nvPicPr>
                                      <pic:cNvPr id="198" name="IM 198"/>
                                      <pic:cNvPicPr/>
                                    </pic:nvPicPr>
                                    <pic:blipFill>
                                      <a:blip r:embed="rId254"/>
                                      <a:stretch>
                                        <a:fillRect/>
                                      </a:stretch>
                                    </pic:blipFill>
                                    <pic:spPr>
                                      <a:xfrm rot="0">
                                        <a:off x="0" y="0"/>
                                        <a:ext cx="35242" cy="49618"/>
                                      </a:xfrm>
                                      <a:prstGeom prst="rect">
                                        <a:avLst/>
                                      </a:prstGeom>
                                    </pic:spPr>
                                  </pic:pic>
                                </a:graphicData>
                              </a:graphic>
                            </wp:inline>
                          </w:drawing>
                        </w:r>
                        <w:r>
                          <w:rPr>
                            <w:highlight w:val="black"/>
                            <w:rFonts w:ascii="SimSun" w:hAnsi="SimSun" w:eastAsia="SimSun" w:cs="SimSun"/>
                            <w:sz w:val="10"/>
                            <w:szCs w:val="10"/>
                          </w:rPr>
                          <w:t>隆</w:t>
                        </w:r>
                      </w:p>
                      <w:p>
                        <w:pPr>
                          <w:ind w:left="2021"/>
                          <w:spacing w:before="6" w:line="163" w:lineRule="auto"/>
                          <w:rPr>
                            <w:rFonts w:ascii="SimSun" w:hAnsi="SimSun" w:eastAsia="SimSun" w:cs="SimSun"/>
                            <w:sz w:val="10"/>
                            <w:szCs w:val="10"/>
                          </w:rPr>
                        </w:pPr>
                        <w:r>
                          <w:rPr>
                            <w:rFonts w:ascii="SimSun" w:hAnsi="SimSun" w:eastAsia="SimSun" w:cs="SimSun"/>
                            <w:sz w:val="10"/>
                            <w:szCs w:val="10"/>
                            <w:spacing w:val="3"/>
                          </w:rPr>
                          <w:t>MCD</w:t>
                        </w:r>
                      </w:p>
                      <w:p>
                        <w:pPr>
                          <w:ind w:firstLine="1300"/>
                          <w:spacing w:line="98" w:lineRule="exact"/>
                          <w:rPr/>
                        </w:pPr>
                        <w:r>
                          <w:rPr>
                            <w:position w:val="-1"/>
                          </w:rPr>
                          <w:drawing>
                            <wp:inline distT="0" distB="0" distL="0" distR="0">
                              <wp:extent cx="104012" cy="62204"/>
                              <wp:effectExtent l="0" t="0" r="0" b="0"/>
                              <wp:docPr id="200" name="IM 200"/>
                              <wp:cNvGraphicFramePr/>
                              <a:graphic>
                                <a:graphicData uri="http://schemas.openxmlformats.org/drawingml/2006/picture">
                                  <pic:pic>
                                    <pic:nvPicPr>
                                      <pic:cNvPr id="200" name="IM 200"/>
                                      <pic:cNvPicPr/>
                                    </pic:nvPicPr>
                                    <pic:blipFill>
                                      <a:blip r:embed="rId255"/>
                                      <a:stretch>
                                        <a:fillRect/>
                                      </a:stretch>
                                    </pic:blipFill>
                                    <pic:spPr>
                                      <a:xfrm rot="0">
                                        <a:off x="0" y="0"/>
                                        <a:ext cx="104012" cy="62204"/>
                                      </a:xfrm>
                                      <a:prstGeom prst="rect">
                                        <a:avLst/>
                                      </a:prstGeom>
                                    </pic:spPr>
                                  </pic:pic>
                                </a:graphicData>
                              </a:graphic>
                            </wp:inline>
                          </w:drawing>
                        </w:r>
                      </w:p>
                      <w:p>
                        <w:pPr>
                          <w:ind w:left="2832"/>
                          <w:spacing w:before="207" w:line="234" w:lineRule="auto"/>
                          <w:rPr>
                            <w:sz w:val="10"/>
                            <w:szCs w:val="10"/>
                          </w:rPr>
                        </w:pPr>
                        <w:r>
                          <w:rPr>
                            <w:rFonts w:ascii="SimSun" w:hAnsi="SimSun" w:eastAsia="SimSun" w:cs="SimSun"/>
                            <w:sz w:val="10"/>
                            <w:szCs w:val="10"/>
                          </w:rPr>
                          <w:t>36</w:t>
                        </w:r>
                        <w:r>
                          <w:rPr>
                            <w:sz w:val="10"/>
                            <w:szCs w:val="10"/>
                            <w:position w:val="-23"/>
                          </w:rPr>
                          <w:drawing>
                            <wp:inline distT="0" distB="0" distL="0" distR="0">
                              <wp:extent cx="40075" cy="87922"/>
                              <wp:effectExtent l="0" t="0" r="0" b="0"/>
                              <wp:docPr id="202" name="IM 202"/>
                              <wp:cNvGraphicFramePr/>
                              <a:graphic>
                                <a:graphicData uri="http://schemas.openxmlformats.org/drawingml/2006/picture">
                                  <pic:pic>
                                    <pic:nvPicPr>
                                      <pic:cNvPr id="202" name="IM 202"/>
                                      <pic:cNvPicPr/>
                                    </pic:nvPicPr>
                                    <pic:blipFill>
                                      <a:blip r:embed="rId256"/>
                                      <a:stretch>
                                        <a:fillRect/>
                                      </a:stretch>
                                    </pic:blipFill>
                                    <pic:spPr>
                                      <a:xfrm rot="0">
                                        <a:off x="0" y="0"/>
                                        <a:ext cx="40075" cy="87922"/>
                                      </a:xfrm>
                                      <a:prstGeom prst="rect">
                                        <a:avLst/>
                                      </a:prstGeom>
                                    </pic:spPr>
                                  </pic:pic>
                                </a:graphicData>
                              </a:graphic>
                            </wp:inline>
                          </w:drawing>
                        </w:r>
                        <w:r>
                          <w:rPr>
                            <w:sz w:val="10"/>
                            <w:szCs w:val="10"/>
                            <w:position w:val="-20"/>
                          </w:rPr>
                          <w:drawing>
                            <wp:inline distT="0" distB="0" distL="0" distR="0">
                              <wp:extent cx="66113" cy="145161"/>
                              <wp:effectExtent l="0" t="0" r="0" b="0"/>
                              <wp:docPr id="204" name="IM 204"/>
                              <wp:cNvGraphicFramePr/>
                              <a:graphic>
                                <a:graphicData uri="http://schemas.openxmlformats.org/drawingml/2006/picture">
                                  <pic:pic>
                                    <pic:nvPicPr>
                                      <pic:cNvPr id="204" name="IM 204"/>
                                      <pic:cNvPicPr/>
                                    </pic:nvPicPr>
                                    <pic:blipFill>
                                      <a:blip r:embed="rId257"/>
                                      <a:stretch>
                                        <a:fillRect/>
                                      </a:stretch>
                                    </pic:blipFill>
                                    <pic:spPr>
                                      <a:xfrm rot="0">
                                        <a:off x="0" y="0"/>
                                        <a:ext cx="66113" cy="145161"/>
                                      </a:xfrm>
                                      <a:prstGeom prst="rect">
                                        <a:avLst/>
                                      </a:prstGeom>
                                    </pic:spPr>
                                  </pic:pic>
                                </a:graphicData>
                              </a:graphic>
                            </wp:inline>
                          </w:drawing>
                        </w:r>
                        <w:r>
                          <w:rPr>
                            <w:sz w:val="10"/>
                            <w:szCs w:val="10"/>
                            <w:position w:val="-14"/>
                          </w:rPr>
                          <w:drawing>
                            <wp:inline distT="0" distB="0" distL="0" distR="0">
                              <wp:extent cx="97797" cy="163258"/>
                              <wp:effectExtent l="0" t="0" r="0" b="0"/>
                              <wp:docPr id="206" name="IM 206"/>
                              <wp:cNvGraphicFramePr/>
                              <a:graphic>
                                <a:graphicData uri="http://schemas.openxmlformats.org/drawingml/2006/picture">
                                  <pic:pic>
                                    <pic:nvPicPr>
                                      <pic:cNvPr id="206" name="IM 206"/>
                                      <pic:cNvPicPr/>
                                    </pic:nvPicPr>
                                    <pic:blipFill>
                                      <a:blip r:embed="rId258"/>
                                      <a:stretch>
                                        <a:fillRect/>
                                      </a:stretch>
                                    </pic:blipFill>
                                    <pic:spPr>
                                      <a:xfrm rot="0">
                                        <a:off x="0" y="0"/>
                                        <a:ext cx="97797" cy="163258"/>
                                      </a:xfrm>
                                      <a:prstGeom prst="rect">
                                        <a:avLst/>
                                      </a:prstGeom>
                                    </pic:spPr>
                                  </pic:pic>
                                </a:graphicData>
                              </a:graphic>
                            </wp:inline>
                          </w:drawing>
                        </w:r>
                      </w:p>
                      <w:p>
                        <w:pPr>
                          <w:ind w:left="1187"/>
                          <w:spacing w:before="197" w:line="227" w:lineRule="auto"/>
                          <w:rPr>
                            <w:rFonts w:ascii="SimSun" w:hAnsi="SimSun" w:eastAsia="SimSun" w:cs="SimSun"/>
                            <w:sz w:val="10"/>
                            <w:szCs w:val="10"/>
                          </w:rPr>
                        </w:pPr>
                        <w:r>
                          <w:rPr>
                            <w:rFonts w:ascii="SimSun" w:hAnsi="SimSun" w:eastAsia="SimSun" w:cs="SimSun"/>
                            <w:sz w:val="10"/>
                            <w:szCs w:val="10"/>
                            <w:spacing w:val="4"/>
                          </w:rPr>
                          <w:t>白云鄂博</w:t>
                        </w:r>
                      </w:p>
                    </w:txbxContent>
                  </v:textbox>
                </v:shape>
              </w:pict>
            </w:r>
            <w:r>
              <w:pict>
                <v:shape id="_x0000_s560" style="position:absolute;margin-left:-215.813pt;margin-top:137.285pt;mso-position-vertical-relative:top-margin-area;mso-position-horizontal-relative:right-margin-area;width:5.95pt;height:0.85pt;z-index:257104896;" filled="false" strokecolor="#000000" strokeweight="0.12pt" coordsize="118,17" coordorigin="0,0" path="m1,11l59,15l116,1e">
                  <v:stroke endcap="round" miterlimit="10"/>
                </v:shape>
              </w:pict>
            </w:r>
            <w:r>
              <w:pict>
                <v:shape id="_x0000_s562" style="position:absolute;margin-left:-25.26pt;margin-top:33.11pt;mso-position-vertical-relative:top-margin-area;mso-position-horizontal-relative:right-margin-area;width:0.3pt;height:0.75pt;z-index:257090560;" filled="false" strokecolor="#000000" strokeweight="0.12pt" coordsize="6,15" coordorigin="0,0" path="m1,13l4,1e">
                  <v:stroke endcap="round" miterlimit="10"/>
                </v:shape>
              </w:pict>
            </w:r>
            <w:r>
              <w:pict>
                <v:shape id="_x0000_s564" style="position:absolute;margin-left:-175.793pt;margin-top:2.20197pt;mso-position-vertical-relative:top-margin-area;mso-position-horizontal-relative:right-margin-area;width:126.5pt;height:64.2pt;z-index:-246374400;" filled="false" strokecolor="#000000" strokeweight="0.12pt" coordsize="2530,1283" coordorigin="0,0" path="m1,955l78,889l167,791l189,752m206,723l206,723m223,693l232,677l298,563l322,540l353,527l415,530m450,538l451,538m485,547l555,565l691,583l768,578m804,576l805,576m840,572l963,544l1024,514l1076,473l1094,457m1120,433l1120,433m1146,410l1176,383l1296,320l1356,288l1381,259m1400,232l1400,232m1401,198l1394,175l1387,143l1392,110l1469,3m2038,75l1994,95l1958,125l1894,194l1816,248l1762,325l1744,368l1739,413l1751,459l1767,475l1791,479l1840,466l1879,438l1936,364l1965,276l1995,241l2040,223l2114,164l2173,91l2246,30l2260,10l2256,1l2242,2l2193,3l2146,6l2119,46l2079,69l2031,78m2442,479l2506,475l2524,494l2528,525l2507,638l2469,864l2454,893l2430,904l2401,890l2382,867l2359,754l2357,642l2361,607l2348,588l2317,595l2295,615l2265,665l2226,709l2178,744l2117,753l2058,767l2005,796l1956,829l1917,873l1906,988l1879,1099l1829,1203l1813,1260m1957,1171l2025,1109l2067,1090l2114,1084l2206,1075l2289,1035l2372,991l2416,1001m1388,1251l1430,1197l1481,1152l1547,1120l1582,1116l1610,1134l1643,1198l1648,1264m1146,794l1138,809l1117,813l1064,812l980,826l820,882l681,976l605,1021l566,1011l551,996l564,981m1452,1044l1395,1112l1323,1166l1251,1221l1212,1245m1122,1247l1083,1224l1044,1200l1031,1182l1009,1177l838,1245m731,1244l744,1226l775,1188l806,1160l848,1141l922,1090l1078,998l1207,875m1036,1233l1057,1213l1079,1222l1124,1250m376,1226l410,1189l419,1148l420,1096l427,1070l424,1059m567,1117l826,988l951,915l1000,861l1051,815l1124,802l1161,805l1186,841l1078,925l844,1092l600,1244m365,1282l428,1155l567,1117m1597,1206l1597,1206m1525,1206l1526,1206m1454,1206l1454,1206m1561,1139l1562,1139m1811,1206l1812,1206m1740,1206l1740,1206m1847,1139l1847,1139m1775,1139l1776,1139m1704,1139l1704,1139m1882,1072l1883,1072m1811,1072l1812,1072m1740,1072l1740,1072m1847,1004l1847,1004m1775,1004l1776,1004m1882,937l1883,937m1811,937l1812,937m2418,870l2418,870m1918,870l1918,870m1847,870l1847,870m2454,803l2454,803m2382,803l2383,803m1954,803l1954,803m1882,803l1883,803m2489,736l2490,736m2418,736l2418,736m2133,736l2133,736m2061,736l2062,736m1990,736l1990,736m1918,736l1918,736m2454,669l2454,669m2382,669l2383,669m2240,669l2240,669m2168,669l2168,669m2097,669l2097,669m2025,669l2026,669m2489,602l2490,602m2418,602l2418,602m2275,602l2276,602m2204,602l2204,602m2133,602l2133,602m2525,535l2526,535m2454,535l2454,535m2382,535l2383,535m2311,535l2311,535m2489,468l2490,468m2275,468l2276,468m2204,468l2204,468m2133,468l2133,468m2525,401l2526,401m2454,401l2454,401m2382,401l2383,401m2311,401l2311,401m2240,401l2240,401m2025,1206l2026,1206m1954,1206l1954,1206m2204,1139l2204,1139m2133,1139l2133,1139m2061,1139l2062,1139m2311,1072l2311,1072m2240,1072l2240,1072m2418,1004l2418,1004m2347,1004l2347,1004m383,1206l383,1206m311,1206l312,1206m240,1206l240,1206m169,1206l169,1206m347,1139l347,1139m276,1139l276,1139m1240,1206l1240,1206m1168,1206l1169,1206m1097,1206l1097,1206m883,1206l883,1206m811,1206l812,1206m1347,1139l1347,1139m1275,1139l1276,1139m1204,1139l1204,1139m1133,1139l1133,1139m1061,1139l1062,1139m990,1139l990,1139m919,1139l919,1139m1383,1072l1383,1072m1311,1072l1312,1072m1240,1072l1240,1072m1168,1072l1169,1072m1097,1072l1097,1072m1025,1072l1026,1072m1418,1004l1419,1004m1347,1004l1347,1004m1275,1004l1276,1004m1204,1004l1204,1004m1133,1004l1133,1004m633,1004l633,1004m561,1004l562,1004m1525,937l1526,937m1454,937l1454,937m1383,937l1383,937m1311,937l1312,937m1240,937l1240,937m1168,937l1169,937m669,937l669,937m1561,870l1562,870m1490,870l1490,870m1418,870l1419,870m1347,870l1347,870m1275,870l1276,870m775,870l776,870m704,870l705,870m1597,803l1597,803m1525,803l1526,803m1454,803l1454,803m1383,803l1383,803m1097,803l1097,803m1025,803l1026,803m954,803l954,803m883,803l883,803m811,803l812,803m1133,736l1133,736m1061,736l1062,736m990,736l990,736m919,736l919,736m847,736l847,736m1240,669l1240,669m1168,669l1169,669m1275,602l1276,602m1204,602l1204,602m1133,602l1133,602m1383,535l1383,535m1311,535l1312,535m1240,535l1240,535m1168,535l1169,535m1490,468l1490,468m1418,468l1419,468m1347,468l1347,468m1275,468l1276,468m1525,401l1526,401m1454,401l1454,401m1383,401l1383,401m1490,334l1490,334m1775,468l1776,468m1882,401l1883,401m1811,401l1812,401m1740,401l1740,401m1918,334l1918,334m1847,334l1847,334m1775,334l1776,334m1954,267l1954,267m1882,267l1883,267m1811,267l1812,267m2061,199l2062,199m1990,199l1990,199m1918,199l1918,199m2097,133l2097,133m2025,133l2026,133m1954,133l1954,133m2133,65l2133,65m597,1206l597,1206m525,1206l526,1206m454,1206l454,1206m704,1139l705,1139m633,1139l633,1139m561,1139l562,1139m811,1072l812,1072m740,1072l740,1072m669,1072l669,1072m919,1004l919,1004m847,1004l847,1004m1025,937l1026,937m954,937l954,937m1133,870l1133,870m1061,870l1062,870e">
                  <v:stroke endcap="round" miterlimit="10"/>
                </v:shape>
              </w:pict>
            </w:r>
            <w:r>
              <w:pict>
                <v:shape id="_x0000_s566" style="position:absolute;margin-left:-65.64pt;margin-top:10.58pt;mso-position-vertical-relative:top-margin-area;mso-position-horizontal-relative:right-margin-area;width:50.85pt;height:49.8pt;z-index:-246355968;" filled="false" strokecolor="#000000" strokeweight="0.12pt" coordsize="1016,995" coordorigin="0,0" path="m79,357l124,292m154,332l178,296m226,311l231,304m399,148l470,47m466,134l536,34m533,121l602,22m599,109l667,11m664,98l731,4m728,89l790,1m788,86l846,4m843,88l897,12m893,100l943,29m931,128l982,55m957,172l1014,91m262,994l312,924m227,961l279,889m332,160l403,60m266,172l336,73m200,184l270,86m134,197l203,98m68,209l137,110m1,222l71,122m302,915l303,915m292,899l316,858l351,828l372,788l377,743l363,654l370,564l394,478l398,432l380,393l338,367l327,349l326,326l315,309l291,302l239,298m928,125l930,127e">
                  <v:stroke endcap="round" miterlimit="10"/>
                </v:shape>
              </w:pict>
            </w:r>
            <w:r>
              <w:pict>
                <v:shape id="_x0000_s568" style="position:absolute;margin-left:-47.775pt;margin-top:18.852pt;mso-position-vertical-relative:top-margin-area;mso-position-horizontal-relative:right-margin-area;width:28.75pt;height:37.05pt;z-index:-246366208;" filled="false" strokecolor="#000000" strokeweight="0.12pt" coordsize="575,740" coordorigin="0,0" path="m322,739l322,739m1,671l1,671m357,671l358,671m286,671l287,671m36,604l37,604m393,604l394,604m322,604l322,604m72,537l72,537m429,537l429,537m357,537l358,537m107,470l108,470m36,470l37,470m393,470l394,470m143,403l144,403m72,403l72,403m429,403l429,403m179,336l179,336m107,336l108,336m36,336l37,336m215,269l215,269m143,269l144,269m72,269l72,269m501,269l501,269m322,202l322,202m251,202l251,202m179,202l179,202m107,202l108,202m36,202l37,202m536,202l537,202m465,202l465,202m357,135l358,135m286,135l287,135m215,135l215,135m143,135l144,135m72,135l72,135m1,135l1,135m572,135l572,135m501,135l501,135m536,68l537,68m465,68l465,68m322,68l322,68m251,68l251,68m179,68l179,68m107,68l108,68m36,68l37,68m501,1l501,1m357,1l358,1m286,1l287,1m215,1l215,1m143,1l144,1e">
                  <v:stroke endcap="round" miterlimit="10"/>
                </v:shape>
              </w:pict>
            </w:r>
            <w:r>
              <w:pict>
                <v:shape id="_x0000_s570" style="position:absolute;margin-left:-29.52pt;margin-top:17.96pt;mso-position-vertical-relative:top-margin-area;mso-position-horizontal-relative:right-margin-area;width:4pt;height:11.55pt;z-index:-246370304;" filled="false" strokecolor="#000000" strokeweight="0.12pt" coordsize="80,231" coordorigin="0,0" path="m1,31l3,170l9,205l30,229l64,229l76,196l78,65l61,1l26,9l1,31xe">
                  <v:stroke endcap="round" miterlimit="10"/>
                </v:shape>
              </w:pict>
            </w:r>
            <w:r>
              <w:pict>
                <v:shape id="_x0000_s572" style="position:absolute;margin-left:-122.453pt;margin-top:17.15pt;mso-position-vertical-relative:top-margin-area;mso-position-horizontal-relative:right-margin-area;width:55.35pt;height:39.15pt;z-index:257108992;" filled="false" strokecolor="#000000" strokeweight="0.12pt" coordsize="1106,783" coordorigin="0,0" path="m1092,100l1041,118l996,155l985,179l992,202l1041,226l1096,221m1070,286l975,339l901,416l858,383l830,380l803,389l787,409l785,435l782,487l752,586l700,678l627,754l580,781l525,776l483,741l458,742l425,753l396,758l385,746l412,695l494,629l526,583l537,531l518,483l472,454l417,453l366,473l276,528l169,577l142,580l122,569l92,523l83,500l86,474l108,426l180,349l269,290l361,230l438,153l474,58l479,31l469,9l442,1l416,7l336,85l240,134l136,168l93,200l60,242l37,289l29,341l28,368l14,388m1,396l29,356m89,516l232,313m115,560l334,250m159,580l259,438m240,547l355,384m422,452l480,369m337,491l424,367m477,455l527,384m517,481l567,409m385,749l599,445m444,747l738,330m498,752l820,296m535,781l875,299m598,774l773,525m912,410l1041,226m1051,295l1105,218m872,359l865,343l848,337l831,343l824,359l831,375l848,382l865,375l872,359xe">
                  <v:stroke endcap="round" miterlimit="10"/>
                </v:shape>
              </w:pict>
            </w:r>
            <w:r>
              <w:pict>
                <v:shape id="_x0000_s574" style="position:absolute;margin-left:-99.915pt;margin-top:13.595pt;mso-position-vertical-relative:top-margin-area;mso-position-horizontal-relative:right-margin-area;width:4.6pt;height:6.05pt;z-index:257120256;" filled="false" strokecolor="#000000" strokeweight="0.12pt" coordsize="91,121" coordorigin="0,0" path="m1,73l52,1m25,119l90,28e">
                  <v:stroke endcap="round" miterlimit="10"/>
                </v:shape>
              </w:pict>
            </w:r>
            <w:r>
              <w:pict>
                <v:shape id="_x0000_s576" style="position:absolute;margin-left:-114.742pt;margin-top:16.047pt;mso-position-vertical-relative:top-margin-area;mso-position-horizontal-relative:right-margin-area;width:47.45pt;height:38.65pt;z-index:257113088;" filled="false" strokecolor="#000000" strokeweight="0.12pt" coordsize="949,773" coordorigin="0,0" path="m1,607l427,4m404,771l947,1e">
                  <v:stroke endcap="round" miterlimit="10"/>
                </v:shape>
              </w:pict>
            </w:r>
            <w:r>
              <w:pict>
                <v:shape id="_x0000_s578" style="position:absolute;margin-left:-110.288pt;margin-top:12.972pt;mso-position-vertical-relative:top-margin-area;mso-position-horizontal-relative:right-margin-area;width:10.6pt;height:10.9pt;z-index:257112064;" filled="false" strokecolor="#000000" strokeweight="0.12pt" coordsize="212,217" coordorigin="0,0" path="m1,216l147,9m91,169l210,1e">
                  <v:stroke endcap="round" miterlimit="10"/>
                </v:shape>
              </w:pict>
            </w:r>
            <w:r>
              <w:pict>
                <v:shape id="_x0000_s580" style="position:absolute;margin-left:-17.415pt;margin-top:17.42pt;mso-position-vertical-relative:top-margin-area;mso-position-horizontal-relative:right-margin-area;width:3.85pt;height:5.4pt;z-index:-246354944;" filled="false" strokecolor="#000000" strokeweight="0.12pt" coordsize="76,108" coordorigin="0,0" path="m1,105l75,1e">
                  <v:stroke endcap="round" miterlimit="10"/>
                </v:shape>
              </w:pict>
            </w:r>
            <w:r>
              <w:pict>
                <v:shape id="_x0000_s582" style="position:absolute;margin-left:-69.098pt;margin-top:17.292pt;mso-position-vertical-relative:top-margin-area;mso-position-horizontal-relative:right-margin-area;width:3.8pt;height:5.35pt;z-index:257119232;" filled="false" strokecolor="#000000" strokeweight="0.12pt" coordsize="75,106" coordorigin="0,0" path="m1,104l74,1e">
                  <v:stroke endcap="round" miterlimit="10"/>
                </v:shape>
              </w:pict>
            </w:r>
            <w:r>
              <w:pict>
                <v:shape id="_x0000_s584" style="position:absolute;margin-left:-113.903pt;margin-top:18.875pt;mso-position-vertical-relative:top-margin-area;mso-position-horizontal-relative:right-margin-area;width:4.3pt;height:6.05pt;z-index:257132544;" filled="false" strokecolor="#000000" strokeweight="0.12pt" coordsize="86,121" coordorigin="0,0" path="m1,119l84,1e">
                  <v:stroke endcap="round" miterlimit="10"/>
                </v:shape>
              </w:pict>
            </w:r>
            <w:r>
              <w:pict>
                <v:shape id="_x0000_s586" style="position:absolute;margin-left:-414.833pt;margin-top:14.862pt;mso-position-vertical-relative:top-margin-area;mso-position-horizontal-relative:right-margin-area;width:397.55pt;height:180pt;z-index:-246325248;" filled="false" strokecolor="#000000" strokeweight="0.12pt" coordsize="7950,3600" coordorigin="0,0" path="m2973,2024l2921,2115l2847,2191l2762,2256l2663,2300l2562,2342l2460,2374l2404,2376l2343,2364l2323,2371l2318,2398l2319,2451l2289,2492l2246,2530l2214,2572l2200,2620l2197,2724l2179,2773l2147,2814l2068,2893l2025,2926l1976,2924l1923,2898l1887,2863l1885,2837l1901,2810l1953,2764l1964,2750l1950,2745l1888,2751l1784,2766l1564,2781l1345,2773l1126,2771l908,2796l689,2798l469,2803l362,2830l270,2881l174,2940l145,2980l131,3030l104,3134l98,3190l110,3236l148,3265l202,3284l258,3308l276,3325l282,3349l261,3398l215,3426l105,3454l60,3476l24,3518l1,3572l8,3591l32,3598l90,3584l131,3550l217,3489l416,3392l466,3381l518,3387l626,3439l638,3428l639,3400l631,3341l638,3296l678,3262l782,3206l881,3168l987,3158l1098,3170l1316,3198l1426,3193l1533,3171l1633,3128l1684,3117l1738,3117l1852,3133l1963,3134l2009,3114l2049,3078l2117,2989l2157,2953l2212,2942l2269,2958l2288,2976l2296,2999l2282,3053l2248,3097l2219,3136l2221,3181l2251,3209l2299,3202l2355,3168l2410,3124l2434,3109l2453,3109l2478,3154l2511,3251l2523,3358l2533,3382l2552,3387l2602,3355l2642,3311l2682,3283l2791,3266l2993,3187l3190,3096l3292,3056l3400,3037l3509,3035l3614,3000l3705,2941l3784,2870l3869,2801l3917,2779l3969,2770l4084,2761l4140,2763l4187,2790l4200,2815l4196,2838l4155,2876l4091,2958l4026,3041l3997,3086l3980,3135l3995,3184l4020,3200l4048,3204l4067,3194l4072,3172l4068,3111l4082,3059l4116,3018l4199,2951l4278,2880l4368,2819l4419,2804l4474,2805l4529,2824l4532,2842l4516,2865l4469,2906l4438,2946l4424,2996l4398,3040l4353,3070l4320,3114l4307,3170l4320,3182l4346,3178l4403,3148l4442,3109l4488,3019l4537,2926l4606,2847l4759,2696l4850,2643l4957,2612l5011,2608l5061,2626l5153,2681l5257,2705l5369,2704l5586,2675l5802,2640l5912,2632l6022,2635l6131,2638l6239,2623l6343,2584l6382,2551l6400,2505l6405,2394l6404,2340l6387,2294l6346,2261l6292,2242l6183,2231l6074,2219l5971,2183l5887,2117l5831,2027l5818,1975l5820,1924l5840,1879l5876,1840l5962,1767l5995,1726l6010,1676l6020,1625l6049,1587l6153,1537l6255,1484l6341,1420l6407,1343l6455,1252l6496,1154l6519,1106l6555,1067l6608,1057l6656,1081l6741,1150l6765,1148l6787,1129l6827,1091l6853,1047l6863,994l6873,971l6892,955l6946,939l7052,911l7091,876l7121,835l7166,810l7221,799l7271,808l7286,829l7305,841l7331,835l7359,816l7395,771l7427,675l7480,586l7575,397l7611,361l7658,333l7710,312l7765,316l7787,333l7796,355l7781,408l7740,502l7624,677l7586,770l7586,823l7594,847l7611,859l7663,843l7708,807l7760,719l7906,329l7938,230l7949,126l7936,76l7906,32l7858,8l7803,1l7693,5l7585,23l7370,64l6940,146e">
                  <v:stroke endcap="round" miterlimit="10"/>
                </v:shape>
              </w:pict>
            </w:r>
            <w:r>
              <w:pict>
                <v:shape id="_x0000_s588" style="position:absolute;margin-left:-24.015pt;margin-top:18.9536pt;mso-position-vertical-relative:top-margin-area;mso-position-horizontal-relative:right-margin-area;width:7.25pt;height:8.7pt;z-index:25713356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2"/>
                            <w:position w:val="1"/>
                          </w:rPr>
                          <w:t>29</w:t>
                        </w:r>
                      </w:p>
                    </w:txbxContent>
                  </v:textbox>
                </v:shape>
              </w:pict>
            </w:r>
            <w:r>
              <w:pict>
                <v:shape id="_x0000_s590" style="position:absolute;margin-left:-56.6134pt;margin-top:19.4336pt;mso-position-vertical-relative:top-margin-area;mso-position-horizontal-relative:right-margin-area;width:20.65pt;height:10.15pt;z-index:-246356992;" filled="false" stroked="false" type="#_x0000_t202">
                  <v:fill on="false"/>
                  <v:stroke on="false"/>
                  <v:path/>
                  <v:imagedata o:title=""/>
                  <o:lock v:ext="edit" aspectratio="false"/>
                  <v:textbox inset="0mm,0mm,0mm,0mm">
                    <w:txbxContent>
                      <w:p>
                        <w:pPr>
                          <w:ind w:left="20"/>
                          <w:spacing w:before="20" w:line="162" w:lineRule="exact"/>
                          <w:rPr>
                            <w:rFonts w:ascii="SimSun" w:hAnsi="SimSun" w:eastAsia="SimSun" w:cs="SimSun"/>
                            <w:sz w:val="10"/>
                            <w:szCs w:val="10"/>
                          </w:rPr>
                        </w:pPr>
                        <w:r>
                          <w:rPr>
                            <w:rFonts w:ascii="SimSun" w:hAnsi="SimSun" w:eastAsia="SimSun" w:cs="SimSun"/>
                            <w:sz w:val="10"/>
                            <w:szCs w:val="10"/>
                            <w:position w:val="2"/>
                          </w:rPr>
                          <w:t>32</w:t>
                        </w:r>
                        <w:r>
                          <w:rPr>
                            <w:rFonts w:ascii="SimSun" w:hAnsi="SimSun" w:eastAsia="SimSun" w:cs="SimSun"/>
                            <w:sz w:val="10"/>
                            <w:szCs w:val="10"/>
                            <w:spacing w:val="7"/>
                            <w:position w:val="2"/>
                          </w:rPr>
                          <w:t xml:space="preserve">   </w:t>
                        </w:r>
                        <w:r>
                          <w:rPr>
                            <w:rFonts w:ascii="SimSun" w:hAnsi="SimSun" w:eastAsia="SimSun" w:cs="SimSun"/>
                            <w:sz w:val="10"/>
                            <w:szCs w:val="10"/>
                          </w:rPr>
                          <w:t>31</w:t>
                        </w:r>
                      </w:p>
                    </w:txbxContent>
                  </v:textbox>
                </v:shape>
              </w:pict>
            </w:r>
            <w:r>
              <w:pict>
                <v:shape id="_x0000_s592" style="position:absolute;margin-left:-210.537pt;margin-top:23.2736pt;mso-position-vertical-relative:top-margin-area;mso-position-horizontal-relative:right-margin-area;width:6.9pt;height:8.15pt;z-index:-246367232;"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蒙</w:t>
                        </w:r>
                      </w:p>
                    </w:txbxContent>
                  </v:textbox>
                </v:shape>
              </w:pict>
            </w:r>
            <w:r>
              <w:pict>
                <v:shape id="_x0000_s594" style="position:absolute;margin-left:-119.597pt;margin-top:23.8909pt;mso-position-vertical-relative:top-margin-area;mso-position-horizontal-relative:right-margin-area;width:5.35pt;height:7.5pt;z-index:257111040;" filled="false" stroked="false" type="#_x0000_t202">
                  <v:fill on="false"/>
                  <v:stroke on="false"/>
                  <v:path/>
                  <v:imagedata o:title=""/>
                  <o:lock v:ext="edit" aspectratio="false"/>
                  <v:textbox inset="0mm,0mm,0mm,0mm">
                    <w:txbxContent>
                      <w:p>
                        <w:pPr>
                          <w:ind w:left="20"/>
                          <w:spacing w:before="20" w:line="202" w:lineRule="auto"/>
                          <w:rPr>
                            <w:rFonts w:ascii="SimSun" w:hAnsi="SimSun" w:eastAsia="SimSun" w:cs="SimSun"/>
                            <w:sz w:val="3"/>
                            <w:szCs w:val="3"/>
                          </w:rPr>
                        </w:pPr>
                        <w:r>
                          <w:rPr>
                            <w:rFonts w:ascii="SimSun" w:hAnsi="SimSun" w:eastAsia="SimSun" w:cs="SimSun"/>
                            <w:sz w:val="10"/>
                            <w:szCs w:val="10"/>
                          </w:rPr>
                          <w:t>B</w:t>
                        </w:r>
                        <w:r>
                          <w:rPr>
                            <w:rFonts w:ascii="SimSun" w:hAnsi="SimSun" w:eastAsia="SimSun" w:cs="SimSun"/>
                            <w:sz w:val="3"/>
                            <w:szCs w:val="3"/>
                          </w:rPr>
                          <w:t>1</w:t>
                        </w:r>
                      </w:p>
                    </w:txbxContent>
                  </v:textbox>
                </v:shape>
              </w:pict>
            </w:r>
            <w:r>
              <w:pict>
                <v:shape id="_x0000_s596" style="position:absolute;margin-left:-11.655pt;margin-top:24.1136pt;mso-position-vertical-relative:top-margin-area;mso-position-horizontal-relative:right-margin-area;width:6.95pt;height:8.2pt;z-index:257072128;"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大</w:t>
                        </w:r>
                      </w:p>
                    </w:txbxContent>
                  </v:textbox>
                </v:shape>
              </w:pict>
            </w:r>
            <w:r>
              <w:pict>
                <v:shape id="_x0000_s598" style="position:absolute;margin-left:-69.008pt;margin-top:25.197pt;mso-position-vertical-relative:top-margin-area;mso-position-horizontal-relative:right-margin-area;width:15.3pt;height:6.4pt;z-index:-246360064;" filled="false" strokecolor="#000000" strokeweight="0.12pt" coordsize="306,128" coordorigin="0,0" path="m27,60l81,38l183,1l292,12l303,14l281,22l199,46l138,67l96,86l1,125m62,101l120,20e">
                  <v:stroke endcap="round" miterlimit="10"/>
                </v:shape>
              </w:pict>
            </w:r>
            <w:r>
              <w:pict>
                <v:shape id="_x0000_s600" style="position:absolute;margin-left:-125.798pt;margin-top:20.292pt;mso-position-vertical-relative:top-margin-area;mso-position-horizontal-relative:right-margin-area;width:12.35pt;height:17.45pt;z-index:257051648;" filled="false" strokecolor="#000000" strokeweight="0.12pt" coordsize="247,349" coordorigin="0,0" path="m1,347l245,1e">
                  <v:stroke endcap="round" miterlimit="10"/>
                </v:shape>
              </w:pict>
            </w:r>
            <w:r>
              <w:pict>
                <v:shape id="_x0000_s602" style="position:absolute;margin-left:-24.998pt;margin-top:20.457pt;mso-position-vertical-relative:top-margin-area;mso-position-horizontal-relative:right-margin-area;width:12.15pt;height:25.35pt;z-index:257064960;" filled="false" strokecolor="#000000" strokeweight="0.12pt" coordsize="242,507" coordorigin="0,0" path="m130,158l241,1m62,336l238,86m1,505l206,214e">
                  <v:stroke endcap="round" miterlimit="10"/>
                </v:shape>
              </w:pict>
            </w:r>
            <w:r>
              <w:pict>
                <v:shape id="_x0000_s604" style="position:absolute;margin-left:-131.565pt;margin-top:33.2pt;mso-position-vertical-relative:top-margin-area;mso-position-horizontal-relative:right-margin-area;width:6pt;height:4.55pt;z-index:257058816;" filled="false" strokecolor="#000000" strokeweight="0.12pt" coordsize="120,91" coordorigin="0,0" path="m1,88l63,1m61,85l118,4e">
                  <v:stroke endcap="round" miterlimit="10"/>
                </v:shape>
              </w:pict>
            </w:r>
            <w:r>
              <w:pict>
                <v:shape id="_x0000_s606" style="position:absolute;margin-left:-199.485pt;margin-top:33.26pt;mso-position-vertical-relative:top-margin-area;mso-position-horizontal-relative:right-margin-area;width:68.25pt;height:43.65pt;z-index:257145856;" filled="false" strokecolor="#000000" strokeweight="0.12pt" coordsize="1365,873" coordorigin="0,0" path="m1,871l77,763m71,852l178,702m147,826l303,606m266,739l384,573m375,667l463,542m453,638l545,506m534,605l631,468m617,568l715,429m702,529l799,393m787,490l882,355m869,455l986,290m956,414l1177,100m1077,323l1288,24m1259,148l1363,1e">
                  <v:stroke endcap="round" miterlimit="10"/>
                </v:shape>
              </w:pict>
            </w:r>
            <w:r>
              <w:pict>
                <v:shape id="_x0000_s608" style="position:absolute;margin-left:-50.28pt;margin-top:30.267pt;mso-position-vertical-relative:top-margin-area;mso-position-horizontal-relative:right-margin-area;width:25.15pt;height:30.95pt;z-index:-246358016;" filled="false" strokecolor="#000000" strokeweight="0.12pt" coordsize="502,619" coordorigin="0,0" path="m209,566l303,433m191,509l501,71m64,609l484,14m1,617l435,1e">
                  <v:stroke endcap="round" miterlimit="10"/>
                </v:shape>
              </w:pict>
            </w:r>
            <w:r>
              <w:pict>
                <v:shape id="_x0000_s610" style="position:absolute;margin-left:-39.203pt;margin-top:31.7pt;mso-position-vertical-relative:top-margin-area;mso-position-horizontal-relative:right-margin-area;width:6.9pt;height:9.75pt;z-index:257130496;" filled="false" strokecolor="#000000" strokeweight="0.12pt" coordsize="138,195" coordorigin="0,0" path="m1,193l136,1e">
                  <v:stroke endcap="round" miterlimit="10"/>
                </v:shape>
              </w:pict>
            </w:r>
            <w:r>
              <w:pict>
                <v:shape id="_x0000_s612" style="position:absolute;margin-left:-79.043pt;margin-top:27.477pt;mso-position-vertical-relative:top-margin-area;mso-position-horizontal-relative:right-margin-area;width:6.55pt;height:9.25pt;z-index:257118208;" filled="false" strokecolor="#000000" strokeweight="0.12pt" coordsize="131,185" coordorigin="0,0" path="m1,183l129,1e">
                  <v:stroke endcap="round" miterlimit="10"/>
                </v:shape>
              </w:pict>
            </w:r>
            <w:r>
              <w:pict>
                <v:shape id="_x0000_s614" style="position:absolute;margin-left:-145.356pt;margin-top:36.4736pt;mso-position-vertical-relative:top-margin-area;mso-position-horizontal-relative:right-margin-area;width:14pt;height:8.2pt;z-index:-246373376;" filled="false" stroked="false" type="#_x0000_t202">
                  <v:fill on="false"/>
                  <v:stroke on="false"/>
                  <v:path/>
                  <v:imagedata o:title=""/>
                  <o:lock v:ext="edit" aspectratio="false"/>
                  <v:textbox inset="0mm,0mm,0mm,0mm">
                    <w:txbxContent>
                      <w:p>
                        <w:pPr>
                          <w:ind w:left="20"/>
                          <w:spacing w:before="20" w:line="227" w:lineRule="auto"/>
                          <w:rPr>
                            <w:sz w:val="10"/>
                            <w:szCs w:val="10"/>
                          </w:rPr>
                        </w:pPr>
                        <w:r>
                          <w:rPr>
                            <w:rFonts w:ascii="SimSun" w:hAnsi="SimSun" w:eastAsia="SimSun" w:cs="SimSun"/>
                            <w:sz w:val="10"/>
                            <w:szCs w:val="10"/>
                            <w:spacing w:val="-1"/>
                          </w:rPr>
                          <w:t>音</w:t>
                        </w:r>
                        <w:r>
                          <w:rPr>
                            <w:sz w:val="10"/>
                            <w:szCs w:val="10"/>
                            <w:position w:val="-1"/>
                          </w:rPr>
                          <w:drawing>
                            <wp:inline distT="0" distB="0" distL="0" distR="0">
                              <wp:extent cx="89268" cy="60198"/>
                              <wp:effectExtent l="0" t="0" r="0" b="0"/>
                              <wp:docPr id="208" name="IM 208"/>
                              <wp:cNvGraphicFramePr/>
                              <a:graphic>
                                <a:graphicData uri="http://schemas.openxmlformats.org/drawingml/2006/picture">
                                  <pic:pic>
                                    <pic:nvPicPr>
                                      <pic:cNvPr id="208" name="IM 208"/>
                                      <pic:cNvPicPr/>
                                    </pic:nvPicPr>
                                    <pic:blipFill>
                                      <a:blip r:embed="rId259"/>
                                      <a:stretch>
                                        <a:fillRect/>
                                      </a:stretch>
                                    </pic:blipFill>
                                    <pic:spPr>
                                      <a:xfrm rot="0">
                                        <a:off x="0" y="0"/>
                                        <a:ext cx="89268" cy="60198"/>
                                      </a:xfrm>
                                      <a:prstGeom prst="rect">
                                        <a:avLst/>
                                      </a:prstGeom>
                                    </pic:spPr>
                                  </pic:pic>
                                </a:graphicData>
                              </a:graphic>
                            </wp:inline>
                          </w:drawing>
                        </w:r>
                      </w:p>
                    </w:txbxContent>
                  </v:textbox>
                </v:shape>
              </w:pict>
            </w:r>
            <w:r>
              <w:pict>
                <v:shape id="_x0000_s616" style="position:absolute;margin-left:-371.676pt;margin-top:35.5136pt;mso-position-vertical-relative:top-margin-area;mso-position-horizontal-relative:right-margin-area;width:62.6pt;height:8.7pt;z-index:-24637132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rPr>
                          <w:t>0</w:t>
                        </w:r>
                        <w:r>
                          <w:rPr>
                            <w:rFonts w:ascii="SimSun" w:hAnsi="SimSun" w:eastAsia="SimSun" w:cs="SimSun"/>
                            <w:sz w:val="10"/>
                            <w:szCs w:val="10"/>
                            <w:spacing w:val="8"/>
                          </w:rPr>
                          <w:t xml:space="preserve">     </w:t>
                        </w:r>
                        <w:r>
                          <w:rPr>
                            <w:rFonts w:ascii="SimSun" w:hAnsi="SimSun" w:eastAsia="SimSun" w:cs="SimSun"/>
                            <w:sz w:val="10"/>
                            <w:szCs w:val="10"/>
                            <w:spacing w:val="1"/>
                          </w:rPr>
                          <w:t>40</w:t>
                        </w:r>
                        <w:r>
                          <w:rPr>
                            <w:rFonts w:ascii="SimSun" w:hAnsi="SimSun" w:eastAsia="SimSun" w:cs="SimSun"/>
                            <w:sz w:val="10"/>
                            <w:szCs w:val="10"/>
                            <w:spacing w:val="7"/>
                          </w:rPr>
                          <w:t xml:space="preserve">    </w:t>
                        </w:r>
                        <w:r>
                          <w:rPr>
                            <w:rFonts w:ascii="SimSun" w:hAnsi="SimSun" w:eastAsia="SimSun" w:cs="SimSun"/>
                            <w:sz w:val="10"/>
                            <w:szCs w:val="10"/>
                            <w:spacing w:val="1"/>
                          </w:rPr>
                          <w:t>80</w:t>
                        </w:r>
                        <w:r>
                          <w:rPr>
                            <w:rFonts w:ascii="SimSun" w:hAnsi="SimSun" w:eastAsia="SimSun" w:cs="SimSun"/>
                            <w:sz w:val="10"/>
                            <w:szCs w:val="10"/>
                            <w:spacing w:val="11"/>
                          </w:rPr>
                          <w:t xml:space="preserve">   </w:t>
                        </w:r>
                        <w:r>
                          <w:rPr>
                            <w:rFonts w:ascii="SimSun" w:hAnsi="SimSun" w:eastAsia="SimSun" w:cs="SimSun"/>
                            <w:sz w:val="10"/>
                            <w:szCs w:val="10"/>
                            <w:spacing w:val="1"/>
                          </w:rPr>
                          <w:t>120</w:t>
                        </w:r>
                        <w:r>
                          <w:rPr>
                            <w:rFonts w:ascii="SimSun" w:hAnsi="SimSun" w:eastAsia="SimSun" w:cs="SimSun"/>
                            <w:sz w:val="10"/>
                            <w:szCs w:val="10"/>
                          </w:rPr>
                          <w:t>km</w:t>
                        </w:r>
                      </w:p>
                    </w:txbxContent>
                  </v:textbox>
                </v:shape>
              </w:pict>
            </w:r>
            <w:r>
              <w:pict>
                <v:shape id="_x0000_s618" style="position:absolute;margin-left:-370.043pt;margin-top:43.67pt;mso-position-vertical-relative:top-margin-area;mso-position-horizontal-relative:right-margin-area;width:51.95pt;height:1.65pt;z-index:-246378496;" filled="false" strokecolor="#000000" strokeweight="0.12pt" coordsize="1039,32" coordorigin="0,0" path="m1,1l1,31m1,31l1037,31m347,1l347,31m698,1l698,31m1037,1l1037,31e">
                  <v:stroke endcap="round" miterlimit="10"/>
                </v:shape>
              </w:pict>
            </w:r>
            <w:r>
              <w:pict>
                <v:shape id="_x0000_s620" style="position:absolute;margin-left:-260.977pt;margin-top:42.657pt;mso-position-vertical-relative:top-margin-area;mso-position-horizontal-relative:right-margin-area;width:35.5pt;height:22.6pt;z-index:-246377472;" filled="false" strokecolor="#000000" strokeweight="0.12pt" coordsize="710,452" coordorigin="0,0" path="m1,270l44,196m62,166l62,166m82,139l151,53l209,17l275,1l311,3m346,6l347,6m382,9l412,11l543,52l639,120m668,140l668,140m697,160l708,168m367,432l417,393l455,343l508,232l545,180l568,124l585,97l601,89l611,100l632,121l665,138l679,149l674,160l653,184l611,231l569,277l536,330l514,450m69,148l115,181l141,228l154,253l181,261l205,245l217,220l232,168l268,125l322,107l380,104l436,88l474,52l484,39l481,31l451,26l395,33l343,56l286,68l231,55l181,28m515,396l516,396m444,396l444,396m479,330l480,330m515,262l516,262m623,195l623,195m551,195l552,195m194,195l194,195m587,128l587,128m230,128l230,128m158,128l158,128m87,128l87,128m408,61l408,61m337,61l337,61m194,61l194,61e">
                  <v:stroke endcap="round" miterlimit="10"/>
                </v:shape>
              </w:pict>
            </w:r>
            <w:r>
              <w:pict>
                <v:shape id="_x0000_s622" style="position:absolute;margin-left:-142.905pt;margin-top:42.552pt;mso-position-vertical-relative:top-margin-area;mso-position-horizontal-relative:right-margin-area;width:3.85pt;height:3.85pt;z-index:-246352896;" filled="false" strokecolor="#000000" strokeweight="0.12pt" coordsize="76,76" coordorigin="0,0" path="m75,1l1,75e">
                  <v:stroke endcap="round" miterlimit="10"/>
                </v:shape>
              </w:pict>
            </w:r>
            <w:r>
              <w:pict>
                <v:shape id="_x0000_s624" style="position:absolute;margin-left:-33.682pt;margin-top:40.242pt;mso-position-vertical-relative:top-margin-area;mso-position-horizontal-relative:right-margin-area;width:15.5pt;height:21.9pt;z-index:-246359040;" filled="false" strokecolor="#000000" strokeweight="0.12pt" coordsize="310,437" coordorigin="0,0" path="m1,436l308,1m73,415l249,165e">
                  <v:stroke endcap="round" miterlimit="10"/>
                </v:shape>
              </w:pict>
            </w:r>
            <w:r>
              <w:pict>
                <v:shape id="_x0000_s626" style="position:absolute;margin-left:-18.6935pt;margin-top:44.3936pt;mso-position-vertical-relative:top-margin-area;mso-position-horizontal-relative:right-margin-area;width:6.9pt;height:8.15pt;z-index:-246332416;"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兴</w:t>
                        </w:r>
                      </w:p>
                    </w:txbxContent>
                  </v:textbox>
                </v:shape>
              </w:pict>
            </w:r>
            <w:r>
              <w:pict>
                <v:shape id="_x0000_s628" style="position:absolute;margin-left:-70.3969pt;margin-top:42.8336pt;mso-position-vertical-relative:top-margin-area;mso-position-horizontal-relative:right-margin-area;width:7.3pt;height:8.75pt;z-index:25711718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2"/>
                            <w:position w:val="1"/>
                          </w:rPr>
                          <w:t>VI</w:t>
                        </w:r>
                      </w:p>
                    </w:txbxContent>
                  </v:textbox>
                </v:shape>
              </w:pict>
            </w:r>
            <w:r>
              <w:pict>
                <v:shape id="_x0000_s630" style="position:absolute;margin-left:-146.475pt;margin-top:46.272pt;mso-position-vertical-relative:top-margin-area;mso-position-horizontal-relative:right-margin-area;width:3.7pt;height:4.1pt;z-index:-246365184;" filled="false" strokecolor="#000000" strokeweight="0.12pt" coordsize="74,81" coordorigin="0,0" path="m72,1l1,80e">
                  <v:stroke endcap="round" miterlimit="10"/>
                </v:shape>
              </w:pict>
            </w:r>
            <w:r>
              <w:pict>
                <v:shape id="_x0000_s632" style="position:absolute;margin-left:-256.298pt;margin-top:45.5936pt;mso-position-vertical-relative:top-margin-area;mso-position-horizontal-relative:right-margin-area;width:7.2pt;height:8.7pt;z-index:25705779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46</w:t>
                        </w:r>
                      </w:p>
                    </w:txbxContent>
                  </v:textbox>
                </v:shape>
              </w:pict>
            </w:r>
            <w:r>
              <w:pict>
                <v:shape id="_x0000_s634" style="position:absolute;margin-left:-25.5334pt;margin-top:47.8737pt;mso-position-vertical-relative:top-margin-area;mso-position-horizontal-relative:right-margin-area;width:7.1pt;height:8.7pt;z-index:-246334464;"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30</w:t>
                        </w:r>
                      </w:p>
                    </w:txbxContent>
                  </v:textbox>
                </v:shape>
              </w:pict>
            </w:r>
            <w:r>
              <w:pict>
                <v:shape id="_x0000_s636" style="position:absolute;margin-left:-28.32pt;margin-top:46.062pt;mso-position-vertical-relative:top-margin-area;mso-position-horizontal-relative:right-margin-area;width:15.75pt;height:19.6pt;z-index:-246333440;" filled="false" strokecolor="#000000" strokeweight="0.12pt" coordsize="315,392" coordorigin="0,0" path="m313,389l1,1m1,1l264,389e">
                  <v:stroke endcap="round" miterlimit="10"/>
                </v:shape>
              </w:pict>
            </w:r>
            <w:r>
              <w:pict>
                <v:shape id="_x0000_s638" style="position:absolute;margin-left:-150.795pt;margin-top:50.217pt;mso-position-vertical-relative:top-margin-area;mso-position-horizontal-relative:right-margin-area;width:4.45pt;height:3.3pt;z-index:257049600;" filled="false" strokecolor="#000000" strokeweight="0.12pt" coordsize="88,65" coordorigin="0,0" path="m87,1l1,64e">
                  <v:stroke endcap="round" miterlimit="10"/>
                </v:shape>
              </w:pict>
            </w:r>
            <w:r>
              <w:pict>
                <v:shape id="_x0000_s640" style="position:absolute;margin-left:-128.758pt;margin-top:51.8336pt;mso-position-vertical-relative:top-margin-area;mso-position-horizontal-relative:right-margin-area;width:7.35pt;height:8.75pt;z-index:257053696;"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3"/>
                          </w:rPr>
                          <w:t>A2</w:t>
                        </w:r>
                      </w:p>
                    </w:txbxContent>
                  </v:textbox>
                </v:shape>
              </w:pict>
            </w:r>
            <w:r>
              <w:pict>
                <v:shape id="_x0000_s642" style="position:absolute;margin-left:-114.557pt;margin-top:53.651pt;mso-position-vertical-relative:top-margin-area;mso-position-horizontal-relative:right-margin-area;width:4.55pt;height:7.1pt;z-index:257052672;" filled="false" stroked="false" type="#_x0000_t202">
                  <v:fill on="false"/>
                  <v:stroke on="false"/>
                  <v:path/>
                  <v:imagedata o:title=""/>
                  <o:lock v:ext="edit" aspectratio="false"/>
                  <v:textbox inset="0mm,0mm,0mm,0mm">
                    <w:txbxContent>
                      <w:p>
                        <w:pPr>
                          <w:ind w:left="20"/>
                          <w:spacing w:before="19" w:line="187" w:lineRule="auto"/>
                          <w:rPr>
                            <w:rFonts w:ascii="SimSun" w:hAnsi="SimSun" w:eastAsia="SimSun" w:cs="SimSun"/>
                            <w:sz w:val="10"/>
                            <w:szCs w:val="10"/>
                          </w:rPr>
                        </w:pPr>
                        <w:r>
                          <w:rPr>
                            <w:rFonts w:ascii="SimSun" w:hAnsi="SimSun" w:eastAsia="SimSun" w:cs="SimSun"/>
                            <w:sz w:val="10"/>
                            <w:szCs w:val="10"/>
                          </w:rPr>
                          <w:t>H</w:t>
                        </w:r>
                      </w:p>
                    </w:txbxContent>
                  </v:textbox>
                </v:shape>
              </w:pict>
            </w:r>
            <w:r>
              <w:pict>
                <v:shape id="_x0000_s644" style="position:absolute;margin-left:-182.295pt;margin-top:55.1936pt;mso-position-vertical-relative:top-margin-area;mso-position-horizontal-relative:right-margin-area;width:6.95pt;height:8.4pt;z-index:257073152;" filled="false" stroked="false" type="#_x0000_t202">
                  <v:fill on="false"/>
                  <v:stroke on="false"/>
                  <v:path/>
                  <v:imagedata o:title=""/>
                  <o:lock v:ext="edit" aspectratio="false"/>
                  <v:textbox inset="0mm,0mm,0mm,0mm">
                    <w:txbxContent>
                      <w:p>
                        <w:pPr>
                          <w:ind w:left="20"/>
                          <w:spacing w:before="20" w:line="234" w:lineRule="auto"/>
                          <w:rPr>
                            <w:rFonts w:ascii="SimSun" w:hAnsi="SimSun" w:eastAsia="SimSun" w:cs="SimSun"/>
                            <w:sz w:val="10"/>
                            <w:szCs w:val="10"/>
                          </w:rPr>
                        </w:pPr>
                        <w:r>
                          <w:rPr>
                            <w:rFonts w:ascii="SimSun" w:hAnsi="SimSun" w:eastAsia="SimSun" w:cs="SimSun"/>
                            <w:sz w:val="10"/>
                            <w:szCs w:val="10"/>
                          </w:rPr>
                          <w:t>宝</w:t>
                        </w:r>
                      </w:p>
                    </w:txbxContent>
                  </v:textbox>
                </v:shape>
              </w:pict>
            </w:r>
            <w:r>
              <w:pict>
                <v:shape id="_x0000_s646" style="position:absolute;margin-left:-112.135pt;margin-top:55.6633pt;mso-position-vertical-relative:top-margin-area;mso-position-horizontal-relative:right-margin-area;width:2.8pt;height:4pt;z-index:257071104;" filled="false" stroked="false" type="#_x0000_t202">
                  <v:fill on="false"/>
                  <v:stroke on="false"/>
                  <v:path/>
                  <v:imagedata o:title=""/>
                  <o:lock v:ext="edit" aspectratio="false"/>
                  <v:textbox inset="0mm,0mm,0mm,0mm">
                    <w:txbxContent>
                      <w:p>
                        <w:pPr>
                          <w:ind w:left="20"/>
                          <w:spacing w:before="20" w:line="39" w:lineRule="exact"/>
                          <w:rPr>
                            <w:rFonts w:ascii="SimSun" w:hAnsi="SimSun" w:eastAsia="SimSun" w:cs="SimSun"/>
                            <w:sz w:val="3"/>
                            <w:szCs w:val="3"/>
                          </w:rPr>
                        </w:pPr>
                        <w:r>
                          <w:rPr>
                            <w:rFonts w:ascii="SimSun" w:hAnsi="SimSun" w:eastAsia="SimSun" w:cs="SimSun"/>
                            <w:sz w:val="3"/>
                            <w:szCs w:val="3"/>
                          </w:rPr>
                          <w:t>1</w:t>
                        </w:r>
                      </w:p>
                    </w:txbxContent>
                  </v:textbox>
                </v:shape>
              </w:pict>
            </w:r>
            <w:r>
              <w:pict>
                <v:shape id="_x0000_s648" style="position:absolute;margin-left:-123.915pt;margin-top:58.182pt;mso-position-vertical-relative:top-margin-area;mso-position-horizontal-relative:right-margin-area;width:2.55pt;height:2.4pt;z-index:257050624;" filled="false" strokecolor="#000000" strokeweight="0.12pt" coordsize="50,48" coordorigin="0,0" path="m49,23l41,7l25,1l8,7l1,23l8,39l25,46l41,39l49,23xe">
                  <v:stroke endcap="round" miterlimit="10"/>
                </v:shape>
              </w:pict>
            </w:r>
            <w:r>
              <w:pict>
                <v:shape id="_x0000_s650" style="position:absolute;margin-left:-264.675pt;margin-top:56.12pt;mso-position-vertical-relative:top-margin-area;mso-position-horizontal-relative:right-margin-area;width:3.85pt;height:8.75pt;z-index:-246376448;" filled="false" strokecolor="#000000" strokeweight="0.12pt" coordsize="76,175" coordorigin="0,0" path="m1,173l29,122l75,1e">
                  <v:stroke endcap="round" miterlimit="10"/>
                </v:shape>
              </w:pict>
            </w:r>
            <w:r>
              <w:pict>
                <v:shape id="_x0000_s652" style="position:absolute;margin-left:-225.608pt;margin-top:51.027pt;mso-position-vertical-relative:top-margin-area;mso-position-horizontal-relative:right-margin-area;width:48.65pt;height:7.4pt;z-index:-246331392;" filled="false" strokecolor="#000000" strokeweight="0.12pt" coordsize="973,148" coordorigin="0,0" path="m1,1l63,26l191,76l256,92m291,101l291,101m325,110l596,146l610,145m646,144l647,144m681,136l728,118l846,51l937,14m970,1l970,1e">
                  <v:stroke endcap="round" miterlimit="10"/>
                </v:shape>
              </w:pict>
            </w:r>
            <w:r>
              <w:pict>
                <v:shape id="_x0000_s654" style="position:absolute;margin-left:-170.498pt;margin-top:53.382pt;mso-position-vertical-relative:top-margin-area;mso-position-horizontal-relative:right-margin-area;width:19.85pt;height:9.2pt;z-index:257144832;" filled="false" strokecolor="#000000" strokeweight="0.12pt" coordsize="397,183" coordorigin="0,0" path="m395,1l1,182e">
                  <v:stroke endcap="round" miterlimit="10"/>
                </v:shape>
              </w:pict>
            </w:r>
            <w:r>
              <w:pict>
                <v:shape id="_x0000_s656" style="position:absolute;margin-left:-38.355pt;margin-top:56.457pt;mso-position-vertical-relative:top-margin-area;mso-position-horizontal-relative:right-margin-area;width:4.95pt;height:5.35pt;z-index:-246369280;" filled="false" strokecolor="#000000" strokeweight="0.12pt" coordsize="98,106" coordorigin="0,0" path="m41,105l97,27m1,82l58,1e">
                  <v:stroke endcap="round" miterlimit="10"/>
                </v:shape>
              </w:pict>
            </w:r>
            <w:r>
              <w:pict>
                <v:shape id="_x0000_s658" style="position:absolute;margin-left:-92.363pt;margin-top:55.122pt;mso-position-vertical-relative:top-margin-area;mso-position-horizontal-relative:right-margin-area;width:2.35pt;height:15.75pt;z-index:257143808;" filled="false" strokecolor="#000000" strokeweight="0.12pt" coordsize="46,315" coordorigin="0,0" path="m1,313l45,157l31,78l17,37l18,1e">
                  <v:stroke endcap="round" miterlimit="10"/>
                </v:shape>
              </w:pict>
            </w:r>
            <w:r>
              <w:pict>
                <v:shape id="_x0000_s660" style="position:absolute;margin-left:-118.575pt;margin-top:57.455pt;mso-position-vertical-relative:top-margin-area;mso-position-horizontal-relative:right-margin-area;width:2.55pt;height:2.4pt;z-index:257134592;" filled="false" strokecolor="#000000" strokeweight="0.12pt" coordsize="50,48" coordorigin="0,0" path="m49,23l42,7l25,1l8,7l1,23l8,39l25,46l42,39l49,23xe">
                  <v:stroke endcap="round" miterlimit="10"/>
                </v:shape>
              </w:pict>
            </w:r>
            <w:r>
              <w:pict>
                <v:shape id="_x0000_s662" style="position:absolute;margin-left:-78.443pt;margin-top:54.837pt;mso-position-vertical-relative:top-margin-area;mso-position-horizontal-relative:right-margin-area;width:24.1pt;height:21.85pt;z-index:257061888;" filled="false" strokecolor="#000000" strokeweight="0.12pt" coordsize="482,437" coordorigin="0,0" path="m341,197l479,1m270,216l402,29m61,430l274,129m1,435l207,142e">
                  <v:stroke endcap="round" miterlimit="10"/>
                </v:shape>
              </w:pict>
            </w:r>
            <w:r>
              <w:pict>
                <v:shape id="_x0000_s664" style="position:absolute;margin-left:-78.9335pt;margin-top:58.9136pt;mso-position-vertical-relative:top-margin-area;mso-position-horizontal-relative:right-margin-area;width:7.1pt;height:8.7pt;z-index:25707520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35</w:t>
                        </w:r>
                      </w:p>
                    </w:txbxContent>
                  </v:textbox>
                </v:shape>
              </w:pict>
            </w:r>
            <w:r>
              <w:pict>
                <v:shape id="_x0000_s666" style="position:absolute;margin-left:-223.207pt;margin-top:59.7536pt;mso-position-vertical-relative:top-margin-area;mso-position-horizontal-relative:right-margin-area;width:28.55pt;height:8.15pt;z-index:-24632832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spacing w:val="6"/>
                          </w:rPr>
                          <w:t>巴音宝力格</w:t>
                        </w:r>
                      </w:p>
                    </w:txbxContent>
                  </v:textbox>
                </v:shape>
              </w:pict>
            </w:r>
            <w:r>
              <w:pict>
                <v:shape id="_x0000_s668" style="position:absolute;margin-left:-57.1926pt;margin-top:59.7536pt;mso-position-vertical-relative:top-margin-area;mso-position-horizontal-relative:right-margin-area;width:17.95pt;height:8.1pt;z-index:257056768;" filled="false" stroked="false" type="#_x0000_t202">
                  <v:fill on="false"/>
                  <v:stroke on="false"/>
                  <v:path/>
                  <v:imagedata o:title=""/>
                  <o:lock v:ext="edit" aspectratio="false"/>
                  <v:textbox inset="0mm,0mm,0mm,0mm">
                    <w:txbxContent>
                      <w:p>
                        <w:pPr>
                          <w:ind w:left="20"/>
                          <w:spacing w:before="20" w:line="225" w:lineRule="auto"/>
                          <w:rPr>
                            <w:rFonts w:ascii="SimSun" w:hAnsi="SimSun" w:eastAsia="SimSun" w:cs="SimSun"/>
                            <w:sz w:val="10"/>
                            <w:szCs w:val="10"/>
                          </w:rPr>
                        </w:pPr>
                        <w:r>
                          <w:rPr>
                            <w:rFonts w:ascii="SimSun" w:hAnsi="SimSun" w:eastAsia="SimSun" w:cs="SimSun"/>
                            <w:sz w:val="10"/>
                            <w:szCs w:val="10"/>
                            <w:spacing w:val="6"/>
                          </w:rPr>
                          <w:t>西乌旗</w:t>
                        </w:r>
                      </w:p>
                    </w:txbxContent>
                  </v:textbox>
                </v:shape>
              </w:pict>
            </w:r>
            <w:r>
              <w:pict>
                <v:shape id="_x0000_s670" style="position:absolute;margin-left:-181.623pt;margin-top:61.3136pt;mso-position-vertical-relative:top-margin-area;mso-position-horizontal-relative:right-margin-area;width:17.85pt;height:8.65pt;z-index:257105920;" filled="false" stroked="false" type="#_x0000_t202">
                  <v:fill on="false"/>
                  <v:stroke on="false"/>
                  <v:path/>
                  <v:imagedata o:title=""/>
                  <o:lock v:ext="edit" aspectratio="false"/>
                  <v:textbox inset="0mm,0mm,0mm,0mm">
                    <w:txbxContent>
                      <w:p>
                        <w:pPr>
                          <w:ind w:left="20"/>
                          <w:spacing w:before="20" w:line="132" w:lineRule="exact"/>
                          <w:rPr>
                            <w:rFonts w:ascii="SimSun" w:hAnsi="SimSun" w:eastAsia="SimSun" w:cs="SimSun"/>
                            <w:sz w:val="10"/>
                            <w:szCs w:val="10"/>
                          </w:rPr>
                        </w:pPr>
                        <w:r>
                          <w:rPr>
                            <w:rFonts w:ascii="SimSun" w:hAnsi="SimSun" w:eastAsia="SimSun" w:cs="SimSun"/>
                            <w:sz w:val="10"/>
                            <w:szCs w:val="10"/>
                          </w:rPr>
                          <w:drawing>
                            <wp:inline distT="0" distB="0" distL="0" distR="0">
                              <wp:extent cx="130111" cy="52958"/>
                              <wp:effectExtent l="0" t="0" r="0" b="0"/>
                              <wp:docPr id="210" name="IM 210"/>
                              <wp:cNvGraphicFramePr/>
                              <a:graphic>
                                <a:graphicData uri="http://schemas.openxmlformats.org/drawingml/2006/picture">
                                  <pic:pic>
                                    <pic:nvPicPr>
                                      <pic:cNvPr id="210" name="IM 210"/>
                                      <pic:cNvPicPr/>
                                    </pic:nvPicPr>
                                    <pic:blipFill>
                                      <a:blip r:embed="rId260"/>
                                      <a:stretch>
                                        <a:fillRect/>
                                      </a:stretch>
                                    </pic:blipFill>
                                    <pic:spPr>
                                      <a:xfrm rot="0">
                                        <a:off x="0" y="0"/>
                                        <a:ext cx="130111" cy="52958"/>
                                      </a:xfrm>
                                      <a:prstGeom prst="rect">
                                        <a:avLst/>
                                      </a:prstGeom>
                                    </pic:spPr>
                                  </pic:pic>
                                </a:graphicData>
                              </a:graphic>
                            </wp:inline>
                          </w:drawing>
                        </w:r>
                        <w:r>
                          <w:rPr>
                            <w:rFonts w:ascii="SimSun" w:hAnsi="SimSun" w:eastAsia="SimSun" w:cs="SimSun"/>
                            <w:sz w:val="10"/>
                            <w:szCs w:val="10"/>
                            <w:spacing w:val="15"/>
                            <w:w w:val="101"/>
                          </w:rPr>
                          <w:t xml:space="preserve"> </w:t>
                        </w:r>
                        <w:r>
                          <w:rPr>
                            <w:rFonts w:ascii="SimSun" w:hAnsi="SimSun" w:eastAsia="SimSun" w:cs="SimSun"/>
                            <w:sz w:val="10"/>
                            <w:szCs w:val="10"/>
                          </w:rPr>
                          <w:t>5</w:t>
                        </w:r>
                      </w:p>
                    </w:txbxContent>
                  </v:textbox>
                </v:shape>
              </w:pict>
            </w:r>
            <w:r>
              <w:pict>
                <v:shape id="_x0000_s672" style="position:absolute;margin-left:-103.575pt;margin-top:62.2736pt;mso-position-vertical-relative:top-margin-area;mso-position-horizontal-relative:right-margin-area;width:7.1pt;height:8.75pt;z-index:257141760;"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rPr>
                          <w:t>21</w:t>
                        </w:r>
                      </w:p>
                    </w:txbxContent>
                  </v:textbox>
                </v:shape>
              </w:pict>
            </w:r>
            <w:r>
              <w:pict>
                <v:shape id="_x0000_s674" style="position:absolute;margin-left:-17.29pt;margin-top:64.6pt;mso-position-vertical-relative:top-margin-area;mso-position-horizontal-relative:right-margin-area;width:8pt;height:34.7pt;z-index:257048576;" filled="false" stroked="false" type="#_x0000_t202">
                  <v:fill on="false"/>
                  <v:stroke on="false"/>
                  <v:path/>
                  <v:imagedata o:title=""/>
                  <o:lock v:ext="edit" aspectratio="false"/>
                  <v:textbox inset="0mm,0mm,0mm,0mm">
                    <w:txbxContent>
                      <w:p>
                        <w:pPr>
                          <w:spacing w:line="20" w:lineRule="exact"/>
                          <w:rPr/>
                        </w:pPr>
                        <w:r/>
                      </w:p>
                      <w:tbl>
                        <w:tblPr>
                          <w:tblStyle w:val="TableNormal"/>
                          <w:tblW w:w="114" w:type="dxa"/>
                          <w:tblInd w:w="22" w:type="dxa"/>
                          <w:tblLayout w:type="fixed"/>
                          <w:tblBorders>
                            <w:left w:val="single" w:color="000000" w:sz="2" w:space="0"/>
                            <w:bottom w:val="single" w:color="000000" w:sz="2" w:space="0"/>
                            <w:right w:val="single" w:color="000000" w:sz="2" w:space="0"/>
                            <w:top w:val="single" w:color="000000" w:sz="2" w:space="0"/>
                          </w:tblBorders>
                        </w:tblPr>
                        <w:tblGrid>
                          <w:gridCol w:w="114"/>
                        </w:tblGrid>
                        <w:tr>
                          <w:trPr>
                            <w:trHeight w:val="643" w:hRule="atLeast"/>
                          </w:trPr>
                          <w:tc>
                            <w:tcPr>
                              <w:tcW w:w="114" w:type="dxa"/>
                              <w:vAlign w:val="top"/>
                              <w:textDirection w:val="tbRlV"/>
                            </w:tcPr>
                            <w:p>
                              <w:pPr>
                                <w:spacing w:before="5" w:line="215" w:lineRule="auto"/>
                                <w:jc w:val="right"/>
                                <w:rPr>
                                  <w:rFonts w:ascii="SimSun" w:hAnsi="SimSun" w:eastAsia="SimSun" w:cs="SimSun"/>
                                  <w:sz w:val="10"/>
                                  <w:szCs w:val="10"/>
                                </w:rPr>
                              </w:pPr>
                              <w:r>
                                <w:rPr>
                                  <w:rFonts w:ascii="SimSun" w:hAnsi="SimSun" w:eastAsia="SimSun" w:cs="SimSun"/>
                                  <w:sz w:val="10"/>
                                  <w:szCs w:val="10"/>
                                  <w:spacing w:val="8"/>
                                </w:rPr>
                                <w:t>白</w:t>
                              </w:r>
                              <w:r>
                                <w:rPr>
                                  <w:rFonts w:ascii="SimSun" w:hAnsi="SimSun" w:eastAsia="SimSun" w:cs="SimSun"/>
                                  <w:sz w:val="10"/>
                                  <w:szCs w:val="10"/>
                                  <w:spacing w:val="-20"/>
                                </w:rPr>
                                <w:t xml:space="preserve"> </w:t>
                              </w:r>
                              <w:r>
                                <w:rPr>
                                  <w:rFonts w:ascii="SimSun" w:hAnsi="SimSun" w:eastAsia="SimSun" w:cs="SimSun"/>
                                  <w:sz w:val="10"/>
                                  <w:szCs w:val="10"/>
                                  <w:spacing w:val="8"/>
                                </w:rPr>
                                <w:t>音</w:t>
                              </w:r>
                              <w:r>
                                <w:rPr>
                                  <w:rFonts w:ascii="SimSun" w:hAnsi="SimSun" w:eastAsia="SimSun" w:cs="SimSun"/>
                                  <w:sz w:val="10"/>
                                  <w:szCs w:val="10"/>
                                  <w:spacing w:val="-20"/>
                                </w:rPr>
                                <w:t xml:space="preserve"> </w:t>
                              </w:r>
                              <w:r>
                                <w:rPr>
                                  <w:rFonts w:ascii="SimSun" w:hAnsi="SimSun" w:eastAsia="SimSun" w:cs="SimSun"/>
                                  <w:sz w:val="10"/>
                                  <w:szCs w:val="10"/>
                                  <w:spacing w:val="8"/>
                                </w:rPr>
                                <w:t>华</w:t>
                              </w:r>
                              <w:r>
                                <w:rPr>
                                  <w:rFonts w:ascii="SimSun" w:hAnsi="SimSun" w:eastAsia="SimSun" w:cs="SimSun"/>
                                  <w:sz w:val="10"/>
                                  <w:szCs w:val="10"/>
                                  <w:spacing w:val="-22"/>
                                </w:rPr>
                                <w:t xml:space="preserve"> </w:t>
                              </w:r>
                              <w:r>
                                <w:rPr>
                                  <w:rFonts w:ascii="SimSun" w:hAnsi="SimSun" w:eastAsia="SimSun" w:cs="SimSun"/>
                                  <w:sz w:val="10"/>
                                  <w:szCs w:val="10"/>
                                  <w:spacing w:val="8"/>
                                </w:rPr>
                                <w:t>煤田</w:t>
                              </w:r>
                            </w:p>
                          </w:tc>
                        </w:tr>
                      </w:tbl>
                      <w:p>
                        <w:pPr>
                          <w:rPr>
                            <w:rFonts w:ascii="Arial"/>
                            <w:sz w:val="21"/>
                          </w:rPr>
                        </w:pPr>
                        <w:r/>
                      </w:p>
                    </w:txbxContent>
                  </v:textbox>
                </v:shape>
              </w:pict>
            </w:r>
            <w:r>
              <w:pict>
                <v:shape id="_x0000_s676" style="position:absolute;margin-left:-121.293pt;margin-top:65.1536pt;mso-position-vertical-relative:top-margin-area;mso-position-horizontal-relative:right-margin-area;width:6.9pt;height:8.2pt;z-index:257107968;"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苏</w:t>
                        </w:r>
                      </w:p>
                    </w:txbxContent>
                  </v:textbox>
                </v:shape>
              </w:pict>
            </w:r>
            <w:r>
              <w:pict>
                <v:shape id="_x0000_s678" style="position:absolute;margin-left:-32.0134pt;margin-top:66.4736pt;mso-position-vertical-relative:top-margin-area;mso-position-horizontal-relative:right-margin-area;width:6.9pt;height:8.15pt;z-index:257026048;"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安</w:t>
                        </w:r>
                      </w:p>
                    </w:txbxContent>
                  </v:textbox>
                </v:shape>
              </w:pict>
            </w:r>
            <w:r>
              <w:pict>
                <v:shape id="_x0000_s680" style="position:absolute;margin-left:-159.992pt;margin-top:67.9136pt;mso-position-vertical-relative:top-margin-area;mso-position-horizontal-relative:right-margin-area;width:4.15pt;height:8.75pt;z-index:25705574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position w:val="1"/>
                          </w:rPr>
                          <w:t>I</w:t>
                        </w:r>
                      </w:p>
                    </w:txbxContent>
                  </v:textbox>
                </v:shape>
              </w:pict>
            </w:r>
            <w:r>
              <w:pict>
                <v:shape id="_x0000_s682" style="position:absolute;margin-left:-243.218pt;margin-top:68.0336pt;mso-position-vertical-relative:top-margin-area;mso-position-horizontal-relative:right-margin-area;width:7.2pt;height:8.7pt;z-index:25700864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45</w:t>
                        </w:r>
                      </w:p>
                    </w:txbxContent>
                  </v:textbox>
                </v:shape>
              </w:pict>
            </w:r>
            <w:r>
              <w:pict>
                <v:shape id="_x0000_s684" style="position:absolute;margin-left:-148.617pt;margin-top:68.6336pt;mso-position-vertical-relative:top-margin-area;mso-position-horizontal-relative:right-margin-area;width:4.4pt;height:8.7pt;z-index:25714892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8</w:t>
                        </w:r>
                      </w:p>
                    </w:txbxContent>
                  </v:textbox>
                </v:shape>
              </w:pict>
            </w:r>
            <w:r>
              <w:pict>
                <v:shape id="_x0000_s686" style="position:absolute;margin-left:-188.978pt;margin-top:71.7536pt;mso-position-vertical-relative:top-margin-area;mso-position-horizontal-relative:right-margin-area;width:4.45pt;height:8.75pt;z-index:25714790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rPr>
                          <w:t>4</w:t>
                        </w:r>
                      </w:p>
                    </w:txbxContent>
                  </v:textbox>
                </v:shape>
              </w:pict>
            </w:r>
            <w:r>
              <w:pict>
                <v:shape id="_x0000_s688" style="position:absolute;margin-left:-207.992pt;margin-top:77.6336pt;mso-position-vertical-relative:top-margin-area;mso-position-horizontal-relative:right-margin-area;width:7.9pt;height:8.75pt;z-index:257096704;" filled="false" stroked="false" type="#_x0000_t202">
                  <v:fill on="false"/>
                  <v:stroke on="false"/>
                  <v:path/>
                  <v:imagedata o:title=""/>
                  <o:lock v:ext="edit" aspectratio="false"/>
                  <v:textbox inset="0mm,0mm,0mm,0mm">
                    <w:txbxContent>
                      <w:p>
                        <w:pPr>
                          <w:ind w:left="20"/>
                          <w:spacing w:before="20" w:line="134" w:lineRule="exact"/>
                          <w:tabs>
                            <w:tab w:val="left" w:pos="68"/>
                          </w:tabs>
                          <w:rPr>
                            <w:rFonts w:ascii="SimSun" w:hAnsi="SimSun" w:eastAsia="SimSun" w:cs="SimSun"/>
                            <w:sz w:val="10"/>
                            <w:szCs w:val="10"/>
                          </w:rPr>
                        </w:pPr>
                        <w:r>
                          <w:rPr>
                            <w:rFonts w:ascii="SimSun" w:hAnsi="SimSun" w:eastAsia="SimSun" w:cs="SimSun"/>
                            <w:sz w:val="10"/>
                            <w:szCs w:val="10"/>
                          </w:rPr>
                          <w:tab/>
                        </w:r>
                        <w:r>
                          <w:rPr>
                            <w:rFonts w:ascii="SimSun" w:hAnsi="SimSun" w:eastAsia="SimSun" w:cs="SimSun"/>
                            <w:sz w:val="10"/>
                            <w:szCs w:val="10"/>
                            <w:spacing w:val="-3"/>
                          </w:rPr>
                          <w:t>2</w:t>
                        </w:r>
                        <w:r>
                          <w:rPr>
                            <w:rFonts w:ascii="SimSun" w:hAnsi="SimSun" w:eastAsia="SimSun" w:cs="SimSun"/>
                            <w:sz w:val="10"/>
                            <w:szCs w:val="10"/>
                          </w:rPr>
                          <w:t xml:space="preserve"> </w:t>
                        </w:r>
                      </w:p>
                    </w:txbxContent>
                  </v:textbox>
                </v:shape>
              </w:pict>
            </w:r>
            <w:r>
              <w:pict>
                <v:shape id="_x0000_s690" style="position:absolute;margin-left:-173.097pt;margin-top:80.3936pt;mso-position-vertical-relative:top-margin-area;mso-position-horizontal-relative:right-margin-area;width:4.4pt;height:8.7pt;z-index:25700761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9</w:t>
                        </w:r>
                      </w:p>
                    </w:txbxContent>
                  </v:textbox>
                </v:shape>
              </w:pict>
            </w:r>
            <w:r>
              <w:pict>
                <v:shape id="_x0000_s692" style="position:absolute;margin-left:-105.693pt;margin-top:80.8736pt;mso-position-vertical-relative:top-margin-area;mso-position-horizontal-relative:right-margin-area;width:7.1pt;height:8.7pt;z-index:257137664;"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34</w:t>
                        </w:r>
                      </w:p>
                    </w:txbxContent>
                  </v:textbox>
                </v:shape>
              </w:pict>
            </w:r>
            <w:r>
              <w:pict>
                <v:shape id="_x0000_s694" style="position:absolute;margin-left:-81.4582pt;margin-top:82.3136pt;mso-position-vertical-relative:top-margin-area;mso-position-horizontal-relative:right-margin-area;width:7.2pt;height:8.7pt;z-index:25702195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49</w:t>
                        </w:r>
                      </w:p>
                    </w:txbxContent>
                  </v:textbox>
                </v:shape>
              </w:pict>
            </w:r>
            <w:r>
              <w:pict>
                <v:shape id="_x0000_s696" style="position:absolute;margin-left:-195.933pt;margin-top:83.6336pt;mso-position-vertical-relative:top-margin-area;mso-position-horizontal-relative:right-margin-area;width:4.3pt;height:8.7pt;z-index:25700249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w:t>
                        </w:r>
                      </w:p>
                    </w:txbxContent>
                  </v:textbox>
                </v:shape>
              </w:pict>
            </w:r>
            <w:r>
              <w:pict>
                <v:shape id="_x0000_s698" style="position:absolute;margin-left:-46.0326pt;margin-top:85.9136pt;mso-position-vertical-relative:top-margin-area;mso-position-horizontal-relative:right-margin-area;width:6.9pt;height:8.2pt;z-index:257035264;"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岭</w:t>
                        </w:r>
                      </w:p>
                    </w:txbxContent>
                  </v:textbox>
                </v:shape>
              </w:pict>
            </w:r>
            <w:r>
              <w:pict>
                <v:shape id="_x0000_s700" style="position:absolute;margin-left:-228.354pt;margin-top:86.9936pt;mso-position-vertical-relative:top-margin-area;mso-position-horizontal-relative:right-margin-area;width:6.95pt;height:8.15pt;z-index:257092608;"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力</w:t>
                        </w:r>
                      </w:p>
                    </w:txbxContent>
                  </v:textbox>
                </v:shape>
              </w:pict>
            </w:r>
            <w:r>
              <w:pict>
                <v:shape id="_x0000_s702" style="position:absolute;margin-left:-139.857pt;margin-top:89.2736pt;mso-position-vertical-relative:top-margin-area;mso-position-horizontal-relative:right-margin-area;width:7pt;height:8.2pt;z-index:25701683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0"/>
                            <w:szCs w:val="10"/>
                          </w:rPr>
                        </w:pPr>
                        <w:r>
                          <w:rPr>
                            <w:rFonts w:ascii="SimSun" w:hAnsi="SimSun" w:eastAsia="SimSun" w:cs="SimSun"/>
                            <w:sz w:val="10"/>
                            <w:szCs w:val="10"/>
                          </w:rPr>
                          <w:t>尼</w:t>
                        </w:r>
                      </w:p>
                    </w:txbxContent>
                  </v:textbox>
                </v:shape>
              </w:pict>
            </w:r>
            <w:r>
              <w:pict>
                <v:shape id="_x0000_s704" style="position:absolute;margin-left:-186.693pt;margin-top:92.7536pt;mso-position-vertical-relative:top-margin-area;mso-position-horizontal-relative:right-margin-area;width:17.95pt;height:8.1pt;z-index:257017856;" filled="false" stroked="false" type="#_x0000_t202">
                  <v:fill on="false"/>
                  <v:stroke on="false"/>
                  <v:path/>
                  <v:imagedata o:title=""/>
                  <o:lock v:ext="edit" aspectratio="false"/>
                  <v:textbox inset="0mm,0mm,0mm,0mm">
                    <w:txbxContent>
                      <w:p>
                        <w:pPr>
                          <w:ind w:left="20"/>
                          <w:spacing w:before="20" w:line="225" w:lineRule="auto"/>
                          <w:rPr>
                            <w:rFonts w:ascii="SimSun" w:hAnsi="SimSun" w:eastAsia="SimSun" w:cs="SimSun"/>
                            <w:sz w:val="10"/>
                            <w:szCs w:val="10"/>
                          </w:rPr>
                        </w:pPr>
                        <w:r>
                          <w:rPr>
                            <w:rFonts w:ascii="SimSun" w:hAnsi="SimSun" w:eastAsia="SimSun" w:cs="SimSun"/>
                            <w:sz w:val="10"/>
                            <w:szCs w:val="10"/>
                            <w:spacing w:val="6"/>
                          </w:rPr>
                          <w:t>苏左旗</w:t>
                        </w:r>
                      </w:p>
                    </w:txbxContent>
                  </v:textbox>
                </v:shape>
              </w:pict>
            </w:r>
            <w:r>
              <w:pict>
                <v:shape id="_x0000_s706" style="position:absolute;margin-left:-263.514pt;margin-top:93.7136pt;mso-position-vertical-relative:top-margin-area;mso-position-horizontal-relative:right-margin-area;width:23.6pt;height:8.15pt;z-index:25701888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spacing w:val="7"/>
                          </w:rPr>
                          <w:t>二连浩特</w:t>
                        </w:r>
                      </w:p>
                    </w:txbxContent>
                  </v:textbox>
                </v:shape>
              </w:pict>
            </w:r>
            <w:r>
              <w:pict>
                <v:shape id="_x0000_s708" style="position:absolute;margin-left:-236.378pt;margin-top:94.1936pt;mso-position-vertical-relative:top-margin-area;mso-position-horizontal-relative:right-margin-area;width:7.2pt;height:8.7pt;z-index:25709465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47</w:t>
                        </w:r>
                      </w:p>
                    </w:txbxContent>
                  </v:textbox>
                </v:shape>
              </w:pict>
            </w:r>
            <w:r>
              <w:pict>
                <v:shape id="_x0000_s710" style="position:absolute;margin-left:-206.933pt;margin-top:94.9136pt;mso-position-vertical-relative:top-margin-area;mso-position-horizontal-relative:right-margin-area;width:6.8pt;height:8.75pt;z-index:25701990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3"/>
                          </w:rPr>
                          <w:t>12</w:t>
                        </w:r>
                      </w:p>
                    </w:txbxContent>
                  </v:textbox>
                </v:shape>
              </w:pict>
            </w:r>
            <w:r>
              <w:pict>
                <v:shape id="_x0000_s712" style="position:absolute;margin-left:-109.298pt;margin-top:96.2336pt;mso-position-vertical-relative:top-margin-area;mso-position-horizontal-relative:right-margin-area;width:23.7pt;height:8.15pt;z-index:257029120;"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spacing w:val="8"/>
                          </w:rPr>
                          <w:t>锡林浩特</w:t>
                        </w:r>
                      </w:p>
                    </w:txbxContent>
                  </v:textbox>
                </v:shape>
              </w:pict>
            </w:r>
            <w:r>
              <w:pict>
                <v:shape id="_x0000_s714" style="position:absolute;margin-left:-221.573pt;margin-top:101.274pt;mso-position-vertical-relative:top-margin-area;mso-position-horizontal-relative:right-margin-area;width:6.8pt;height:8.7pt;z-index:25709363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13</w:t>
                        </w:r>
                      </w:p>
                    </w:txbxContent>
                  </v:textbox>
                </v:shape>
              </w:pict>
            </w:r>
            <w:r>
              <w:pict>
                <v:shape id="_x0000_s716" style="position:absolute;margin-left:-189.015pt;margin-top:101.394pt;mso-position-vertical-relative:top-margin-area;mso-position-horizontal-relative:right-margin-area;width:7.1pt;height:8.75pt;z-index:257027072;"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rPr>
                          <w:t>22</w:t>
                        </w:r>
                      </w:p>
                    </w:txbxContent>
                  </v:textbox>
                </v:shape>
              </w:pict>
            </w:r>
            <w:r>
              <w:pict>
                <v:shape id="_x0000_s718" style="position:absolute;margin-left:-271.26pt;margin-top:63.477pt;mso-position-vertical-relative:top-margin-area;mso-position-horizontal-relative:right-margin-area;width:174.9pt;height:126pt;z-index:-246381568;" filled="false" strokecolor="#000000" strokeweight="0.12pt" coordsize="3497,2520" coordorigin="0,0" path="m28,1011l86,977l125,923l135,897m147,865l147,865m165,837l186,808l315,764l335,738l341,705l328,665m315,634l315,634m296,606l284,588l238,539l162,432l135,382m120,352l120,352m104,322l38,199l36,168l53,141l97,89l99,86m116,56l116,56m2620,419l2895,348l2902,317l2891,284l2910,257l2942,241l3069,182l3195,118l3251,77l3297,26m3495,156l3257,305l3021,456l2968,500l2930,557l2872,679l2839,738l2789,786l2739,834l2703,892l2678,955l2635,1008l2601,1012l2582,983l2592,951l2616,922l2663,873l2678,842l2657,815l2626,803l2629,768l2648,737l2675,717l2808,667l2832,642l2846,612l2851,544l2858,510l2877,484l2934,442l3047,360l3055,344l3051,330l3012,327l2947,348l2835,433l2715,505l2586,560l2550,569l2514,565l2505,536l2514,498l2530,468l2558,451l2593,440l2620,419m3122,19l3076,31l3032,22m2748,19l2706,31l2651,29l2640,18m2361,273l2410,182l2441,140l2483,108l2536,95l2590,96l2700,99l2806,85l2901,44l2945,7m3034,25l3058,39l3046,58l2939,85l2851,145l2765,208l2721,236l2666,244l2558,246l2456,283l2366,343l2342,345l2339,319l2361,273m1746,103l1750,120l1777,119l1827,118l1923,114l2113,81l2202,52l2285,1m2510,18l2399,110l2320,226l2283,283l2255,350l2236,378l2200,386l2133,414l2068,446l1998,465l1851,466l1777,471l1708,493l1577,554l1432,579l1286,594l1220,611l1141,628l1133,619l1138,602l1158,566l1182,545l1217,533l1289,512l1353,478l1482,413l1742,284l2005,162l2143,115l2215,95l2274,56m2052,256l2077,224l2123,205l2168,198l2189,205l2196,212l2191,221l2151,249l2116,264l2071,273l2046,273l2052,256xm1749,391l1903,317l1922,323l1921,339l1884,364l1814,404l1739,447l1724,484l1683,501l1667,504l1669,482l1695,451l1749,391xm2246,828l2303,753l2378,694l2425,680l2450,677l2471,685l2473,710l2463,730l2417,746l2343,805l2291,883l2253,910l2227,921l2211,910l2217,863l2226,842l2246,828xm2842,1056l2725,1102l2693,1110l2662,1105l2646,1082l2660,1053l2706,1010l2764,986l2814,947l2849,897l2885,846l2944,828l3002,802l3048,761l3086,710m3116,682l3129,676m3128,1247l3066,1262l3033,1273l3024,1298l3043,1327l3073,1339l3137,1332l3196,1305l3224,1288l3241,1261l3241,1247l3227,1245l3190,1247l3160,1241l3128,1247xm2628,1513l2743,1467l2864,1442l2988,1430l3107,1397l3337,1308m3441,1301l3420,1324l3377,1365l3284,1443l3177,1502l3060,1541l2939,1568l2815,1567l2697,1603l2634,1607l2573,1600l2561,1590l2562,1577l2583,1551l2628,1513m3100,2185l3127,2128l3143,2100l3170,2087l3186,2114l3187,2144l3167,2204l3136,2260l3122,2320l3118,2445l3121,2507m3058,2518l3056,2487l3056,2424l3044,2364l3059,2303l3085,2246l3100,2185m2766,1846l2783,1811l2810,1780l2874,1733l2914,1720l2924,1738l2921,1757l2872,1820l2829,1886l2811,1922l2783,1949l2741,1950l2729,1937l2732,1919l2745,1879l2766,1846xm2316,1679l2356,1666l2439,1669l2523,1671l2605,1655l2772,1634l2940,1629l3106,1601l3262,1541l3335,1501l3400,1450m1977,1444l2364,1248l2456,1191l2504,1166l2559,1161l2669,1153l2774,1125l2827,1109l2854,1106l2865,1107l2860,1119l2837,1148l2823,1171l2794,1208l2746,1235l2693,1247l2583,1253l2473,1261l2367,1285l2318,1310l2296,1326l2284,1349l2290,1374l2314,1387l2369,1387l2478,1363l2587,1364l2642,1369l2689,1351l2751,1338l2771,1348l2758,1370l2719,1408l2667,1424l2617,1444l2576,1479l2488,1541l2441,1569l2418,1560l2409,1534l2398,1512l2373,1500l2321,1486l2212,1508l2103,1518l1997,1545l1947,1565l1902,1597l1879,1609l1852,1610l1821,1601l1812,1592l1815,1581l1849,1540l1894,1511l1941,1482l1977,1444xm2125,599l2233,574l2343,560l2353,582l2339,604l2294,637l2247,665l2233,686l2242,711l2242,737l2226,760l2201,759l2176,743l2093,676l2038,674l1989,698l1894,751l1700,849l1670,856l1648,845l1646,820l1661,799l1725,712l1805,640l1852,612l1905,599l2015,605l2125,599xm1246,665l1348,651l1455,661l1508,678l1520,697l1520,722l1489,762l1438,778l1333,796l1279,801l1241,768l1197,791l1187,740l1205,696l1246,665xm1296,1042l1313,1011l1346,997l1415,1029l1443,1052l1440,1086l1379,1124l1231,1140l1216,1130l1223,1114l1238,1081l1262,1056l1296,1042xm984,1191l1002,1170l1031,1164l1089,1165l1104,1168l1111,1175l1085,1197l1048,1237l1009,1278l985,1293l955,1292l948,1266l962,1242l984,1191xm405,1112l462,1108l516,1078l561,1040l611,1013l669,1017l718,1048l742,1065l751,1090l740,1116l716,1133l486,1172l432,1192l371,1192l355,1170l357,1141l376,1120l405,1112xm658,897l628,963l605,997l606,1011l627,1009l699,988l748,931l820,902l885,859l940,810l962,778l959,763l938,766m338,1648l395,1580l466,1523l508,1507l555,1506l601,1499l624,1500l638,1512l577,1584l503,1635l431,1691l378,1762l331,1930l319,1973l278,1990l232,1984l197,1955l183,1913l190,1869l234,1792l338,1648xm7,2180l99,2152l187,2112l280,2083l329,2083m533,2066l556,1905l585,1827l638,1763l706,1711l763,1650l839,1504l860,1467l894,1442l936,1438l974,1450l1015,1465l1066,1471l1092,1473l1107,1481l1103,1522l1059,1591l1006,1656l996,1695l1016,1730l1041,1766m1179,1724l1202,1657l1229,1592l1231,1557l1221,1519l1223,1489l1254,1472l1326,1448l1355,1426l1363,1395l1330,1328l1321,1261l1334,1226l1348,1227l1365,1240l1491,1312l1559,1343l1632,1349l1770,1306l1841,1280l1883,1264l1913,1272l1915,1306l1903,1340l1880,1405l1824,1452l1757,1475l1607,1478l1461,1466l1423,1466l1393,1486l1363,1549l1301,1676l1285,1743m1427,1777l1518,1693l1611,1610l1712,1538l1767,1507l1791,1526l1786,1556l1708,1649l1615,1732m2020,1590l2055,1583l2093,1588l2128,1605m1829,2065l1874,2007l1929,1957l2041,1861l2081,1845l2101,1845l2112,1853l2104,1891l2084,1924l2036,1978l1977,2024l1919,2071l1883,2133l1880,2206l1877,2241l1861,2273l1833,2297l1804,2272l1794,2201l1800,2131l1811,2095l1829,2065xm1,1327l126,1235l201,1207l270,1171l386,1067l422,999l445,927m458,332l551,247l569,188l560,128l544,69l552,39l573,16m720,34l700,154l685,214l658,269l624,322l580,367l478,443l416,461l385,455l379,427l409,373l458,332m676,2274l858,2114l902,2074l933,2070l965,2079l891,2169l844,2210l807,2258l747,2359l701,2397l669,2398l644,2383l638,2353l645,2324l676,2274xm1221,1724l1221,1724m1257,1657l1257,1657m1292,1590l1293,1590m1328,1523l1328,1523m1257,1523l1257,1523m1792,1456l1793,1456m1721,1456l1721,1456m1649,1456l1650,1456m1578,1456l1579,1456m1507,1456l1507,1456m1435,1456l1435,1456m1364,1456l1364,1456m1828,1389l1828,1389m1757,1389l1757,1389m1685,1389l1685,1389m1613,1389l1614,1389m1542,1389l1543,1389m1471,1389l1471,1389m1399,1389l1400,1389m1864,1321l1864,1321m1792,1321l1793,1321m1507,1321l1507,1321m1435,1321l1435,1321m1364,1321l1364,1321m1328,1255l1328,1255m2721,1590l2721,1590m2649,1590l2650,1590m2578,1590l2578,1590m3113,1523l3114,1523m3042,1523l3042,1523m2971,1523l2971,1523m2899,1523l2900,1523m2828,1523l2828,1523m2756,1523l2756,1523m2685,1523l2685,1523m2613,1523l2614,1523m3221,1456l3221,1456m3149,1456l3150,1456m3078,1456l3078,1456m3006,1456l3007,1456m2935,1456l2935,1456m2863,1456l2864,1456m2792,1456l2792,1456m3327,1389l3328,1389m3256,1389l3256,1389m3185,1389l3185,1389m3363,1321l3364,1321m3113,2462l3114,2462m3078,2395l3078,2395m3113,2328l3114,2328m1864,2260l1864,2260m1828,2194l1828,2194m3113,2194l3114,2194m1864,2127l1864,2127m1507,2127l1507,2127m3149,2127l3150,2127m1899,2059l1900,2059m1578,1992l1579,1992m2006,1992l2007,1992m1935,1992l1935,1992m2042,1925l2042,1925m1971,1925l1971,1925m2756,1925l2756,1925m1328,1925l1328,1925m2078,1858l2078,1858m2792,1858l2792,1858m1364,1858l1364,1858m1757,1791l1757,1791m2828,1791l2828,1791m1542,1791l1543,1791m1471,1791l1471,1791m1578,1724l1579,1724m1507,1724l1507,1724m1685,1657l1685,1657m1613,1657l1614,1657m1864,1590l1864,1590m2078,1590l2078,1590m1721,1590l1721,1590m1649,1590l1650,1590m2042,1523l2042,1523m1971,1523l1971,1523m1899,1523l1900,1523m2471,1523l2471,1523m1757,1523l1757,1523m2578,1456l2578,1456m2506,1456l2507,1456m2435,1456l2435,1456m2363,1456l2364,1456m2292,1456l2293,1456m2221,1456l2221,1456m2149,1456l2150,1456m2078,1456l2078,1456m2006,1456l2007,1456m2685,1389l2685,1389m2613,1389l2614,1389m2542,1389l2542,1389m2471,1389l2471,1389m2399,1389l2400,1389m2328,1389l2328,1389m2256,1389l2257,1389m2185,1389l2185,1389m2113,1389l2114,1389m3149,1321l3150,1321m3078,1321l3078,1321m2292,1321l2293,1321m3113,1255l3114,1255m2542,1255l2542,1255m2471,1255l2471,1255m2399,1255l2400,1255m2792,1188l2792,1188m2721,1188l2721,1188m2649,1188l2650,1188m2578,1188l2578,1188m2506,1188l2507,1188m2828,1120l2828,1120m1328,1120l1328,1120m1257,1120l1257,1120m2792,1053l2792,1053m2721,1053l2721,1053m1435,1053l1435,1053m1364,1053l1364,1053m1292,1053l1293,1053m2899,986l2900,986m2828,986l2828,986m2613,986l2614,986m2863,919l2864,919m2649,919l2650,919m2685,852l2685,852m2256,852l2257,852m2971,852l2971,852m2899,852l2900,852m1685,852l1685,852m2721,785l2721,785m2649,785l2650,785m2363,785l2364,785m2292,785l2293,785m1792,785l1793,785m1721,785l1721,785m2471,718l2471,718m2399,718l2400,718m2828,718l2828,718m2756,718l2756,718m2685,718l2685,718m2185,718l2185,718m1899,718l1900,718m1828,718l1828,718m1757,718l1757,718m2863,651l2864,651m2221,651l2221,651m2149,651l2150,651m2078,651l2078,651m2006,651l2007,651m1935,651l1935,651m1864,651l1864,651m1792,651l1793,651m2899,584l2900,584m2328,584l2328,584m2256,584l2257,584m2185,584l2185,584m2935,517l2935,517m2863,517l2864,517m2649,517l2650,517m2578,517l2578,517m2971,450l2971,450m2756,450l2756,450m2685,450l2685,450m2613,450l2614,450m3078,383l3078,383m2863,383l2864,383m2792,383l2792,383m3185,315l3185,315m3113,315l3114,315m3042,315l3042,315m2971,315l2971,315m3292,248l3292,248m3221,248l3221,248m3149,248l3150,248m3078,248l3078,248m3006,248l3007,248m2935,248l2935,248m3399,181l3400,181m3327,181l3328,181m3256,181l3256,181m3185,181l3185,181m3113,181l3114,181m3435,114l3435,114m3363,114l3364,114m3292,114l3292,114m3221,114l3221,114m3399,47l3400,47m3327,47l3328,47m2828,1657l2828,1657m2756,1657l2756,1657m2685,1657l2685,1657m2613,1657l2614,1657m3435,1590l3435,1590m3363,1590l3364,1590m3292,1590l3292,1590m3221,1590l3221,1590m3149,1590l3150,1590m3399,1523l3400,1523m3327,1523l3328,1523m3435,1456l3435,1456m3078,651l3078,651m3185,584l3185,584m3113,584l3114,584m3042,584l3042,584m3292,517l3292,517m3221,517l3221,517m3149,517l3150,517m3399,450l3400,450m3327,450l3328,450m3256,450l3256,450m3435,383l3435,383m3363,383l3364,383m3399,315l3400,315m971,1255l971,1255m757,1255l757,1255m685,1255l685,1255m1078,1188l1079,1188m1007,1188l1007,1188m792,1188l793,1188m721,1188l721,1188m828,1120l829,1120m685,1120l685,1120m614,1120l614,1120m935,1053l936,1053m864,1053l864,1053m721,1053l721,1053m650,1053l650,1053m578,1053l579,1053m1042,986l1043,986m971,986l971,986m899,986l900,986m685,986l685,986m614,986l614,986m1150,919l1150,919m1078,919l1079,919m721,919l721,919m1185,852l1185,852m828,852l829,852m1221,785l1221,785m1364,785l1364,785m1292,785l1293,785m935,785l936,785m1471,718l1471,718m1399,718l1400,718m1328,718l1328,718m1257,718l1257,718m2399,315l2400,315m2506,248l2507,248m2435,248l2435,248m2756,181l2756,181m2685,181l2685,181m2613,181l2614,181m2542,181l2542,181m2471,181l2471,181m2863,114l2864,114m2792,114l2792,114m2721,114l2721,114m2649,114l2650,114m2578,114l2578,114m2506,114l2507,114m1864,114l1864,114m1792,114l1793,114m3042,47l3042,47m2971,47l2971,47m2899,47l2900,47m2185,47l2185,47m2113,47l2114,47m2042,47l2042,47m1971,47l1971,47m1899,47l1900,47m400,450l400,450m507,383l507,383m436,383l436,383m614,315l614,315m542,315l543,315m650,248l650,248m578,248l579,248m685,181l685,181m614,181l614,181m650,114l650,114m578,114l579,114m685,47l685,47m614,47l614,47m757,2328l757,2328m685,2328l685,2328m792,2260l793,2260m721,2260l721,2260m42,2194l43,2194m828,2194l829,2194m221,2127l221,2127m864,2127l864,2127m42,2059l43,2059m78,1992l79,1992m7,1992l7,1992m721,1992l721,1992m650,1992l650,1992m578,1992l579,1992m328,1925l329,1925m257,1925l257,1925m186,1925l186,1925m114,1925l114,1925m42,1925l43,1925m828,1925l829,1925m757,1925l757,1925m685,1925l685,1925m614,1925l614,1925m864,1858l864,1858m792,1858l793,1858m721,1858l721,1858m650,1858l650,1858m578,1858l579,1858m292,1858l293,1858m221,1858l221,1858m7,1858l7,1858m328,1791l329,1791m257,1791l257,1791m899,1791l900,1791m828,1791l829,1791m757,1791l757,1791m685,1791l685,1791m614,1791l614,1791m42,1791l43,1791m971,1791l971,1791m364,1724l364,1724m292,1724l293,1724m864,1724l864,1724m792,1724l793,1724m721,1724l721,1724m7,1724l7,1724m1007,1724l1007,1724m935,1724l936,1724m471,1657l471,1657m400,1657l400,1657m828,1657l829,1657m42,1657l43,1657m971,1657l971,1657m899,1657l900,1657m507,1590l507,1590m436,1590l436,1590m150,1590l150,1590m78,1590l79,1590m1007,1590l1007,1590m935,1590l936,1590m864,1590l864,1590m614,1523l614,1523m542,1523l543,1523m471,1523l471,1523m257,1523l257,1523m186,1523l186,1523m114,1523l114,1523m1042,1523l1043,1523m971,1523l971,1523m899,1523l900,1523m364,1456l364,1456m935,1456l936,1456m221,1456l221,1456m150,1456l150,1456m542,1389l543,1389m471,1389l471,1389m257,1389l257,1389m186,1389l186,1389m650,1321l650,1321m578,1321l579,1321m507,1321l507,1321m292,1321l293,1321m614,1255l614,1255m542,1255l543,1255m436,1188l436,1188m542,1120l543,1120m471,1120l471,1120m400,1120l400,1120m1399,584l1400,584m1328,584l1328,584m1257,584l1257,584m1185,584l1185,584m1649,517l1650,517m1578,517l1579,517m1507,517l1507,517m1435,517l1435,517m1364,517l1364,517m1292,517l1293,517m2042,450l2042,450m1971,450l1971,450m1899,450l1900,450m1828,450l1828,450m1757,450l1757,450m1685,450l1685,450m1613,450l1614,450m1542,450l1543,450m1471,450l1471,450m2149,383l2150,383m2078,383l2078,383m2006,383l2007,383m1935,383l1935,383m1864,383l1864,383m1792,383l1793,383m1721,383l1721,383m1649,383l1650,383m1578,383l1579,383m2256,315l2257,315m2185,315l2185,315m2113,315l2114,315m2042,315l2042,315m1971,315l1971,315m1899,315l1900,315m1828,315l1828,315m1757,315l1757,315m1685,315l1685,315m2292,248l2293,248m2221,248l2221,248m2149,248l2150,248m2078,248l2078,248m2006,248l2007,248m1935,248l1935,248m1864,248l1864,248m2328,181l2328,181m2256,181l2257,181m2185,181l2185,181m2113,181l2114,181m2042,181l2042,181m1971,181l1971,181m2363,114l2364,114m2292,114l2293,114m2221,114l2221,114m2149,114l2150,114m2471,47l2471,47m2399,47l2400,47m2328,47l2328,47m7,1321l7,1321m42,1255l43,1255m221,1188l221,1188m150,1188l150,1188m78,1188l79,1188m328,1120l329,1120m257,1120l257,1120m186,1120l186,1120m114,1120l114,1120m364,1053l364,1053m292,1053l293,1053m221,1053l221,1053m150,1053l150,1053m400,986l400,986m328,986l329,986m257,986l257,986m186,986l186,986m364,919l364,919m292,919l293,919e">
                  <v:stroke endcap="round" miterlimit="10"/>
                </v:shape>
              </w:pict>
            </w:r>
            <w:r>
              <w:pict>
                <v:shape id="_x0000_s720" style="position:absolute;margin-left:-97.77pt;margin-top:65.142pt;mso-position-vertical-relative:top-margin-area;mso-position-horizontal-relative:right-margin-area;width:30.5pt;height:88.3pt;z-index:-246351872;" filled="false" strokecolor="#000000" strokeweight="0.12pt" coordsize="610,1766" coordorigin="0,0" path="m253,1l249,31m88,5l69,70l26,122m217,1561l369,1316l399,1295l417,1326l422,1398l402,1467l369,1531l290,1654l238,1704l176,1747l142,1763l124,1758l112,1744l110,1708l126,1675l217,1561xm144,1758l144,1758m251,1691l251,1691m179,1691l180,1691m286,1624l287,1624m215,1624l215,1624m322,1557l322,1557m251,1557l251,1557m358,1489l358,1489m286,1489l287,1489m393,1422l394,1422m322,1422l322,1422m358,1355l358,1355m36,81l37,81m72,14l73,14m1,14l1,14m1,1489l1,1489m36,1422l37,1422m1,282l1,282m36,215l37,215m215,14l215,14m144,14l144,14m393,483l394,483m322,483l322,483m251,483l251,483m179,483l180,483m429,416l430,416m358,416l358,416m286,416l287,416m215,416l215,416m465,349l465,349m393,349l394,349m572,282l573,282m501,282l501,282m607,215l608,215m536,215l537,215m393,81l394,81m501,14l501,14m429,14l430,14m358,14l358,14e">
                  <v:stroke endcap="round" miterlimit="10"/>
                </v:shape>
              </w:pict>
            </w:r>
            <w:r>
              <w:pict>
                <v:shape id="_x0000_s722" style="position:absolute;margin-left:-92.055pt;margin-top:60.695pt;mso-position-vertical-relative:top-margin-area;mso-position-horizontal-relative:right-margin-area;width:25.75pt;height:31.55pt;z-index:-246364160;" filled="false" strokecolor="#000000" strokeweight="0.12pt" coordsize="515,630" coordorigin="0,0" path="m192,158l283,1m118,498l268,426l336,381l396,323l425,291l462,275l502,288l513,327l502,365l469,390l412,449l374,519l353,554l317,574l150,596l71,623l28,628l10,618l1,601l14,562l41,531l118,498xe">
                  <v:stroke endcap="round" miterlimit="10"/>
                </v:shape>
              </w:pict>
            </w:r>
            <w:r>
              <w:pict>
                <v:shape id="_x0000_s724" style="position:absolute;margin-left:-231.435pt;margin-top:66.492pt;mso-position-vertical-relative:top-margin-area;mso-position-horizontal-relative:right-margin-area;width:50.95pt;height:39.4pt;z-index:257091584;" filled="false" strokecolor="#000000" strokeweight="0.12pt" coordsize="1019,788" coordorigin="0,0" path="m1017,1l926,56l844,126l749,177l642,205l549,257l469,329l379,387l358,434l351,487l344,536l325,583l291,623l247,653m376,396l381,409l397,409l428,406l490,391m605,344l691,267l740,223l764,200l764,174m460,389l461,389m388,389l389,389m567,322l568,322m496,322l496,322m674,255l675,255m603,255l603,255m710,188l711,188m1,786l337,309m91,738l454,224m188,683l356,445m285,627l342,547m847,623l840,608l823,601l806,608l799,623l806,640l823,646l840,640l847,623xm413,58l406,43l389,36l372,43l365,58l372,74l389,81l406,74l413,58xm312,602l341,639l346,675m317,658l317,658e">
                  <v:stroke endcap="round" miterlimit="10"/>
                </v:shape>
              </w:pict>
            </w:r>
            <w:r>
              <w:pict>
                <v:shape id="_x0000_s726" style="position:absolute;margin-left:-123.405pt;margin-top:90.92pt;mso-position-vertical-relative:top-margin-area;mso-position-horizontal-relative:right-margin-area;width:17.5pt;height:8.15pt;z-index:257142784;" filled="false" strokecolor="#000000" strokeweight="0.12pt" coordsize="350,162" coordorigin="0,0" path="m181,161l227,95m293,92l286,76l269,70l252,76l245,92l252,108l269,115l286,108l293,92xm206,81l128,106l86,106l39,95l1,72l1,59l16,46l106,1m311,92l298,64l269,53l239,64l227,92l239,120l269,132l298,120l311,92xm303,69l348,5m256,54l266,40e">
                  <v:stroke endcap="round" miterlimit="10"/>
                </v:shape>
              </w:pict>
            </w:r>
            <w:r>
              <w:pict>
                <v:shape id="_x0000_s728" style="position:absolute;margin-left:-82.59pt;margin-top:70.655pt;mso-position-vertical-relative:top-margin-area;mso-position-horizontal-relative:right-margin-area;width:4.5pt;height:5.15pt;z-index:257135616;" filled="false" strokecolor="#000000" strokeweight="0.12pt" coordsize="90,103" coordorigin="0,0" path="m38,101l88,30m1,72l51,1e">
                  <v:stroke endcap="round" miterlimit="10"/>
                </v:shape>
              </w:pict>
            </w:r>
            <w:r>
              <w:pict>
                <v:shape id="_x0000_s730" style="position:absolute;margin-left:-60.585pt;margin-top:62.502pt;mso-position-vertical-relative:top-margin-area;mso-position-horizontal-relative:right-margin-area;width:2.55pt;height:2.4pt;z-index:257103872;" filled="false" strokecolor="#000000" strokeweight="0.12pt" coordsize="50,48" coordorigin="0,0" path="m49,24l42,7l25,1l8,7l1,24l8,39l25,46l42,39l49,24xe">
                  <v:stroke endcap="round" miterlimit="10"/>
                </v:shape>
              </w:pict>
            </w:r>
            <w:r>
              <w:pict>
                <v:shape id="_x0000_s732" style="position:absolute;margin-left:-97.988pt;margin-top:70.715pt;mso-position-vertical-relative:top-margin-area;mso-position-horizontal-relative:right-margin-area;width:5.75pt;height:6.15pt;z-index:257138688;" filled="false" strokecolor="#000000" strokeweight="0.12pt" coordsize="115,123" coordorigin="0,0" path="m1,120l65,66l113,1e">
                  <v:stroke endcap="round" miterlimit="10"/>
                </v:shape>
              </w:pict>
            </w:r>
            <w:r>
              <w:pict>
                <v:shape id="_x0000_s734" style="position:absolute;margin-left:-258.938pt;margin-top:99.087pt;mso-position-vertical-relative:top-margin-area;mso-position-horizontal-relative:right-margin-area;width:44.9pt;height:10.8pt;z-index:-246349824;" filled="false" strokecolor="#000000" strokeweight="0.12pt" coordsize="898,216" coordorigin="0,0" path="m797,1l608,99l411,185l302,211l193,214l93,186l44,156l20,137l9,132l1,139m322,212l397,107m391,197l478,74m466,172l567,28m896,23l891,103e">
                  <v:stroke endcap="round" miterlimit="10"/>
                </v:shape>
              </w:pict>
            </w:r>
            <w:r>
              <w:pict>
                <v:shape id="_x0000_s736" style="position:absolute;margin-left:-257.678pt;margin-top:100.895pt;mso-position-vertical-relative:top-margin-area;mso-position-horizontal-relative:right-margin-area;width:15.15pt;height:11.2pt;z-index:257125376;" filled="false" strokecolor="#000000" strokeweight="0.12pt" coordsize="302,223" coordorigin="0,0" path="m1,107l51,36m39,134l89,63m81,156l132,84m127,172l181,96m179,181l238,97m236,182l301,89m141,40l134,24l117,18l100,24l93,40l100,56l117,63l134,56l141,40xm159,44l201,115l234,173m167,58l148,71m254,208l235,221m167,58l148,71l175,71l167,58xm148,71l184,134l212,134l148,71xm148,71l175,71l212,134l148,71xm184,134l212,134l197,155l184,134xm212,134l197,155l224,155l212,134xm197,155l227,208l254,208l197,155xm197,155l224,155l254,208l197,155xm227,208l254,208l235,221l227,208xm159,40l147,12l117,1l87,12l75,40l87,68l117,80l147,68l159,40xe">
                  <v:stroke endcap="round" miterlimit="10"/>
                </v:shape>
              </w:pict>
            </w:r>
            <w:r>
              <w:pict>
                <v:shape id="_x0000_s738" style="position:absolute;margin-left:-106.613pt;margin-top:67.842pt;mso-position-vertical-relative:top-margin-area;mso-position-horizontal-relative:right-margin-area;width:24.95pt;height:28.35pt;z-index:257136640;" filled="false" strokecolor="#000000" strokeweight="0.12pt" coordsize="499,567" coordorigin="0,0" path="m187,463l497,25m86,526l456,1m1,565l107,414e">
                  <v:stroke endcap="round" miterlimit="10"/>
                </v:shape>
              </w:pict>
            </w:r>
            <w:r>
              <w:pict>
                <v:shape id="_x0000_s740" style="position:absolute;margin-left:-90.143pt;margin-top:68.052pt;mso-position-vertical-relative:top-margin-area;mso-position-horizontal-relative:right-margin-area;width:3.4pt;height:4.8pt;z-index:257139712;" filled="false" strokecolor="#000000" strokeweight="0.12pt" coordsize="68,96" coordorigin="0,0" path="m1,93l66,1e">
                  <v:stroke endcap="round" miterlimit="10"/>
                </v:shape>
              </w:pict>
            </w:r>
            <w:r>
              <w:pict>
                <v:shape id="_x0000_s742" style="position:absolute;margin-left:-124.028pt;margin-top:97.4pt;mso-position-vertical-relative:top-margin-area;mso-position-horizontal-relative:right-margin-area;width:13.75pt;height:21.05pt;z-index:257069056;" filled="false" strokecolor="#000000" strokeweight="0.12pt" coordsize="275,420" coordorigin="0,0" path="m1,305l112,146m13,369l272,1m35,418l273,81e">
                  <v:stroke endcap="round" miterlimit="10"/>
                </v:shape>
              </w:pict>
            </w:r>
            <w:r>
              <w:pict>
                <v:shape id="_x0000_s744" style="position:absolute;margin-left:-220.028pt;margin-top:99.522pt;mso-position-vertical-relative:top-margin-area;mso-position-horizontal-relative:right-margin-area;width:2.65pt;height:9.4pt;z-index:257097728;" filled="false" strokecolor="#000000" strokeweight="0.12pt" coordsize="53,187" coordorigin="0,0" path="m42,186l50,160l46,137l6,100l1,77l8,50l16,1e">
                  <v:stroke endcap="round" miterlimit="10"/>
                </v:shape>
              </w:pict>
            </w:r>
            <w:r>
              <w:pict>
                <v:shape id="_x0000_s746" style="position:absolute;margin-left:-210.802pt;margin-top:72.252pt;mso-position-vertical-relative:top-margin-area;mso-position-horizontal-relative:right-margin-area;width:11.75pt;height:12.55pt;z-index:257095680;" filled="false" strokecolor="#000000" strokeweight="0.12pt" coordsize="235,251" coordorigin="0,0" path="m122,157l233,1m1,249l157,27e">
                  <v:stroke endcap="round" miterlimit="10"/>
                </v:shape>
              </w:pict>
            </w:r>
            <w:r>
              <w:pict>
                <v:shape id="_x0000_s748" style="position:absolute;margin-left:-118.155pt;margin-top:76.7pt;mso-position-vertical-relative:top-margin-area;mso-position-horizontal-relative:right-margin-area;width:20.3pt;height:14.35pt;z-index:257140736;" filled="false" strokecolor="#000000" strokeweight="0.12pt" coordsize="405,287" coordorigin="0,0" path="m1,285l133,198l269,98l404,1e">
                  <v:stroke endcap="round" miterlimit="10"/>
                </v:shape>
              </w:pict>
            </w:r>
            <w:r>
              <w:pict>
                <v:shape id="_x0000_s750" style="position:absolute;margin-left:-291.27pt;margin-top:101.6pt;mso-position-vertical-relative:top-margin-area;mso-position-horizontal-relative:right-margin-area;width:34.1pt;height:31.95pt;z-index:257121280;" filled="false" strokecolor="#000000" strokeweight="0.12pt" coordsize="681,639" coordorigin="0,0" path="m1,637l85,517m75,613l166,483m156,580l251,445m237,547l620,4m332,494l680,1m647,285l640,269l623,263l607,269l599,285l607,301l623,307l640,301l647,285xe">
                  <v:stroke endcap="round" miterlimit="10"/>
                </v:shape>
              </w:pict>
            </w:r>
            <w:r>
              <w:pict>
                <v:shape id="_x0000_s752" style="position:absolute;margin-left:-58.07pt;margin-top:104.274pt;mso-position-vertical-relative:top-margin-area;mso-position-horizontal-relative:right-margin-area;width:6.7pt;height:8.15pt;z-index:257022976;"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隆</w:t>
                        </w:r>
                      </w:p>
                    </w:txbxContent>
                  </v:textbox>
                </v:shape>
              </w:pict>
            </w:r>
            <w:r>
              <w:pict>
                <v:shape id="_x0000_s754" style="position:absolute;margin-left:-272.117pt;margin-top:105.834pt;mso-position-vertical-relative:top-margin-area;mso-position-horizontal-relative:right-margin-area;width:7pt;height:8.15pt;z-index:257122304;"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格</w:t>
                        </w:r>
                      </w:p>
                    </w:txbxContent>
                  </v:textbox>
                </v:shape>
              </w:pict>
            </w:r>
            <w:r>
              <w:pict>
                <v:shape id="_x0000_s756" style="position:absolute;margin-left:-154.695pt;margin-top:103.314pt;mso-position-vertical-relative:top-margin-area;mso-position-horizontal-relative:right-margin-area;width:7.1pt;height:8.7pt;z-index:25704755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23</w:t>
                        </w:r>
                      </w:p>
                    </w:txbxContent>
                  </v:textbox>
                </v:shape>
              </w:pict>
            </w:r>
            <w:r>
              <w:pict>
                <v:shape id="_x0000_s758" style="position:absolute;margin-left:-170.432pt;margin-top:107.634pt;mso-position-vertical-relative:top-margin-area;mso-position-horizontal-relative:right-margin-area;width:6.9pt;height:8.75pt;z-index:257028096;"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2"/>
                            <w:position w:val="1"/>
                          </w:rPr>
                          <w:t>IV</w:t>
                        </w:r>
                      </w:p>
                    </w:txbxContent>
                  </v:textbox>
                </v:shape>
              </w:pict>
            </w:r>
            <w:r>
              <w:pict>
                <v:shape id="_x0000_s760" style="position:absolute;margin-left:-133.335pt;margin-top:107.994pt;mso-position-vertical-relative:top-margin-area;mso-position-horizontal-relative:right-margin-area;width:7.1pt;height:8.75pt;z-index:25703014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rPr>
                          <w:t>24</w:t>
                        </w:r>
                      </w:p>
                    </w:txbxContent>
                  </v:textbox>
                </v:shape>
              </w:pict>
            </w:r>
            <w:r>
              <w:pict>
                <v:shape id="_x0000_s762" style="position:absolute;margin-left:-248.823pt;margin-top:106.194pt;mso-position-vertical-relative:top-margin-area;mso-position-horizontal-relative:right-margin-area;width:15.2pt;height:8.65pt;z-index:257010688;" filled="false" stroked="false" type="#_x0000_t202">
                  <v:fill on="false"/>
                  <v:stroke on="false"/>
                  <v:path/>
                  <v:imagedata o:title=""/>
                  <o:lock v:ext="edit" aspectratio="false"/>
                  <v:textbox inset="0mm,0mm,0mm,0mm">
                    <w:txbxContent>
                      <w:p>
                        <w:pPr>
                          <w:ind w:left="20"/>
                          <w:spacing w:before="20" w:line="132" w:lineRule="exact"/>
                          <w:rPr>
                            <w:rFonts w:ascii="SimSun" w:hAnsi="SimSun" w:eastAsia="SimSun" w:cs="SimSun"/>
                            <w:sz w:val="10"/>
                            <w:szCs w:val="10"/>
                          </w:rPr>
                        </w:pPr>
                        <w:r>
                          <w:rPr>
                            <w:rFonts w:ascii="SimSun" w:hAnsi="SimSun" w:eastAsia="SimSun" w:cs="SimSun"/>
                            <w:sz w:val="10"/>
                            <w:szCs w:val="10"/>
                            <w:position w:val="1"/>
                          </w:rPr>
                          <w:drawing>
                            <wp:inline distT="0" distB="0" distL="0" distR="0">
                              <wp:extent cx="36398" cy="33248"/>
                              <wp:effectExtent l="0" t="0" r="0" b="0"/>
                              <wp:docPr id="212" name="IM 212"/>
                              <wp:cNvGraphicFramePr/>
                              <a:graphic>
                                <a:graphicData uri="http://schemas.openxmlformats.org/drawingml/2006/picture">
                                  <pic:pic>
                                    <pic:nvPicPr>
                                      <pic:cNvPr id="212" name="IM 212"/>
                                      <pic:cNvPicPr/>
                                    </pic:nvPicPr>
                                    <pic:blipFill>
                                      <a:blip r:embed="rId261"/>
                                      <a:stretch>
                                        <a:fillRect/>
                                      </a:stretch>
                                    </pic:blipFill>
                                    <pic:spPr>
                                      <a:xfrm rot="0">
                                        <a:off x="0" y="0"/>
                                        <a:ext cx="36398" cy="33248"/>
                                      </a:xfrm>
                                      <a:prstGeom prst="rect">
                                        <a:avLst/>
                                      </a:prstGeom>
                                    </pic:spPr>
                                  </pic:pic>
                                </a:graphicData>
                              </a:graphic>
                            </wp:inline>
                          </w:drawing>
                        </w:r>
                        <w:r>
                          <w:rPr>
                            <w:rFonts w:ascii="SimSun" w:hAnsi="SimSun" w:eastAsia="SimSun" w:cs="SimSun"/>
                            <w:sz w:val="10"/>
                            <w:szCs w:val="10"/>
                            <w:spacing w:val="5"/>
                            <w:position w:val="1"/>
                          </w:rPr>
                          <w:t xml:space="preserve">  </w:t>
                        </w:r>
                        <w:r>
                          <w:rPr>
                            <w:rFonts w:ascii="SimSun" w:hAnsi="SimSun" w:eastAsia="SimSun" w:cs="SimSun"/>
                            <w:sz w:val="10"/>
                            <w:szCs w:val="10"/>
                            <w:spacing w:val="-3"/>
                            <w:position w:val="1"/>
                          </w:rPr>
                          <w:t>11</w:t>
                        </w:r>
                      </w:p>
                    </w:txbxContent>
                  </v:textbox>
                </v:shape>
              </w:pict>
            </w:r>
            <w:r>
              <w:pict>
                <v:shape id="_x0000_s764" style="position:absolute;margin-left:-229.253pt;margin-top:112.314pt;mso-position-vertical-relative:top-margin-area;mso-position-horizontal-relative:right-margin-area;width:6.8pt;height:8.75pt;z-index:257046528;"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3"/>
                          </w:rPr>
                          <w:t>14</w:t>
                        </w:r>
                      </w:p>
                    </w:txbxContent>
                  </v:textbox>
                </v:shape>
              </w:pict>
            </w:r>
            <w:r>
              <w:pict>
                <v:shape id="_x0000_s766" style="position:absolute;margin-left:-299.473pt;margin-top:109.434pt;mso-position-vertical-relative:top-margin-area;mso-position-horizontal-relative:right-margin-area;width:6.9pt;height:8.2pt;z-index:-246327296;" filled="false" stroked="false" type="#_x0000_t202">
                  <v:fill on="false"/>
                  <v:stroke on="false"/>
                  <v:path/>
                  <v:imagedata o:title=""/>
                  <o:lock v:ext="edit" aspectratio="false"/>
                  <v:textbox inset="0mm,0mm,0mm,0mm">
                    <w:txbxContent>
                      <w:p>
                        <w:pPr>
                          <w:ind w:left="20"/>
                          <w:spacing w:before="19" w:line="229" w:lineRule="auto"/>
                          <w:rPr>
                            <w:rFonts w:ascii="SimSun" w:hAnsi="SimSun" w:eastAsia="SimSun" w:cs="SimSun"/>
                            <w:sz w:val="10"/>
                            <w:szCs w:val="10"/>
                          </w:rPr>
                        </w:pPr>
                        <w:r>
                          <w:rPr>
                            <w:rFonts w:ascii="SimSun" w:hAnsi="SimSun" w:eastAsia="SimSun" w:cs="SimSun"/>
                            <w:sz w:val="10"/>
                            <w:szCs w:val="10"/>
                          </w:rPr>
                          <w:t>古</w:t>
                        </w:r>
                      </w:p>
                    </w:txbxContent>
                  </v:textbox>
                </v:shape>
              </w:pict>
            </w:r>
            <w:r>
              <w:pict>
                <v:shape id="_x0000_s768" style="position:absolute;margin-left:-275.638pt;margin-top:112.674pt;mso-position-vertical-relative:top-margin-area;mso-position-horizontal-relative:right-margin-area;width:10.1pt;height:7.2pt;z-index:257123328;" filled="false" stroked="false" type="#_x0000_t202">
                  <v:fill on="false"/>
                  <v:stroke on="false"/>
                  <v:path/>
                  <v:imagedata o:title=""/>
                  <o:lock v:ext="edit" aspectratio="false"/>
                  <v:textbox inset="0mm,0mm,0mm,0mm">
                    <w:txbxContent>
                      <w:p>
                        <w:pPr>
                          <w:ind w:left="20"/>
                          <w:spacing w:before="19" w:line="192" w:lineRule="auto"/>
                          <w:rPr>
                            <w:rFonts w:ascii="SimSun" w:hAnsi="SimSun" w:eastAsia="SimSun" w:cs="SimSun"/>
                            <w:sz w:val="10"/>
                            <w:szCs w:val="10"/>
                          </w:rPr>
                        </w:pPr>
                        <w:r>
                          <w:rPr>
                            <w:rFonts w:ascii="SimSun" w:hAnsi="SimSun" w:eastAsia="SimSun" w:cs="SimSun"/>
                            <w:sz w:val="10"/>
                            <w:szCs w:val="10"/>
                            <w:spacing w:val="3"/>
                          </w:rPr>
                          <w:t>NCI</w:t>
                        </w:r>
                      </w:p>
                    </w:txbxContent>
                  </v:textbox>
                </v:shape>
              </w:pict>
            </w:r>
            <w:r>
              <w:pict>
                <v:shape id="_x0000_s770" style="position:absolute;margin-left:-198.255pt;margin-top:112.554pt;mso-position-vertical-relative:top-margin-area;mso-position-horizontal-relative:right-margin-area;width:7.1pt;height:8.7pt;z-index:25704345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25</w:t>
                        </w:r>
                      </w:p>
                    </w:txbxContent>
                  </v:textbox>
                </v:shape>
              </w:pict>
            </w:r>
            <w:r>
              <w:pict>
                <v:shape id="_x0000_s772" style="position:absolute;margin-left:-167.597pt;margin-top:115.554pt;mso-position-vertical-relative:top-margin-area;mso-position-horizontal-relative:right-margin-area;width:7pt;height:8.15pt;z-index:257033216;"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特</w:t>
                        </w:r>
                      </w:p>
                    </w:txbxContent>
                  </v:textbox>
                </v:shape>
              </w:pict>
            </w:r>
            <w:r>
              <w:pict>
                <v:shape id="_x0000_s774" style="position:absolute;margin-left:-248.933pt;margin-top:113.994pt;mso-position-vertical-relative:top-margin-area;mso-position-horizontal-relative:right-margin-area;width:6.8pt;height:8.7pt;z-index:-24633856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15</w:t>
                        </w:r>
                      </w:p>
                    </w:txbxContent>
                  </v:textbox>
                </v:shape>
              </w:pict>
            </w:r>
            <w:r>
              <w:pict>
                <v:shape id="_x0000_s776" style="position:absolute;margin-left:-408.428pt;margin-top:114.012pt;mso-position-vertical-relative:top-margin-area;mso-position-horizontal-relative:right-margin-area;width:138.65pt;height:72.65pt;z-index:-246382592;" filled="false" strokecolor="#000000" strokeweight="0.12pt" coordsize="2772,1453" coordorigin="0,0" path="m17,667l18,667m50,678l149,718l286,728l329,724m365,721l365,721m400,717l423,715l560,729l686,746m722,750l723,750m758,755l833,765l1045,761m1081,760l1081,760m1117,759l1383,753l1403,744m1434,729l1435,729m1467,714l1506,696l1570,673l1638,664m1777,633l1777,633m1809,618l1895,576m2087,463l2088,463m2118,445l2129,438m2326,214l2327,214m2351,190l2399,146m2505,64l2568,37l2582,34m2617,27l2617,27m2652,21l2771,1m967,1006l1050,995l1084,1004l1087,1039l1057,1058l1016,1060l941,1065l866,1071l832,1089l821,1105l822,1122l854,1140l893,1135l968,1127l1270,1103l1421,1099l1496,1084l1563,1056l1632,1023l1668,1015l1681,1028l1683,1045l1659,1072l1621,1092l1588,1107m1734,1097l1796,1077l1861,1084m2478,1261l2563,1215l2653,1183l2750,1170m111,1229l178,1180m334,1106l409,1068l493,1056l577,1070l661,1059l669,1054l663,1047l651,1027l658,1008l674,996l755,962l835,941l919,933l1006,927l1089,905l1155,856m1238,837l1237,890l1228,915l1208,931l1157,962l1156,985l1181,993l1239,985l1350,997l1463,984l1569,953l1673,910l1726,892m2334,487l2410,486l2488,463l2563,435l2597,366l2625,342l2666,338l2744,317m2429,1317l2429,1317m2679,1250l2679,1250m2607,1250l2608,1250m2536,1250l2536,1250m2714,1183l2715,1183m2143,1183l2144,1183m2464,1116l2465,1116m2393,1116l2394,1116m2250,1116l2251,1116m2179,1116l2179,1116m2500,1049l2501,1049m2429,1049l2429,1049m2607,982l2608,982m2536,982l2536,982m1965,982l1965,982m1893,982l1894,982m2714,915l2715,915m2643,915l2644,915m2572,915l2572,915m2429,915l2429,915m2357,915l2358,915m2286,915l2286,915m2214,915l2215,915m2143,915l2144,915m2072,915l2072,915m2000,915l2001,915m2679,847l2679,847m2607,847l2608,847m2536,847l2536,847m2464,847l2465,847m2393,847l2394,847m2322,847l2322,847m2250,847l2251,847m2179,847l2179,847m2714,781l2715,781m2643,781l2644,781m2500,781l2501,781m2429,781l2429,781m2357,781l2358,781m2679,713l2679,713m2464,713l2465,713m2714,646l2715,646m2572,646l2572,646m2500,646l2501,646m2607,579l2608,579m2536,579l2536,579m2572,512l2572,512m143,1451l144,1451m465,1384l465,1384m251,1384l251,1384m179,1384l180,1384m37,1250l37,1250m1286,1183l1286,1183m1215,1183l1215,1183m1143,1183l1144,1183m143,1183l144,1183m72,1183l73,1183m1,1183l1,1183m1536,1116l1536,1116m1465,1116l1465,1116m1393,1116l1394,1116m1322,1116l1322,1116m1251,1116l1251,1116m1179,1116l1180,1116m751,1116l751,1116m679,1116l680,1116m608,1116l608,1116m1822,1116l1822,1116m1750,1116l1751,1116m251,1116l251,1116m179,1116l180,1116m108,1116l108,1116m37,1116l37,1116m1072,1049l1072,1049m1001,1049l1001,1049m929,1049l930,1049m858,1049l858,1049m1643,1049l1644,1049m643,1049l644,1049m572,1049l573,1049m501,1049l501,1049m429,1049l430,1049m358,1049l358,1049m287,1049l287,1049m215,1049l215,1049m143,1049l144,1049m72,1049l73,1049m1465,982l1465,982m1393,982l1394,982m1322,982l1322,982m1251,982l1251,982m1179,982l1180,982m679,982l680,982m608,982l608,982m537,982l537,982m465,982l465,982m393,982l394,982m322,982l322,982m251,982l251,982m179,982l180,982m108,982l108,982m1643,915l1644,915m1572,915l1572,915m1501,915l1501,915m1429,915l1430,915m1358,915l1358,915m1286,915l1286,915m1001,915l1001,915m929,915l930,915m858,915l858,915m787,915l787,915m715,915l715,915m643,915l644,915m572,915l573,915m501,915l501,915m429,915l430,915m358,915l358,915m287,915l287,915m215,915l215,915m1679,847l1680,847m1608,847l1608,847m1536,847l1536,847m1465,847l1465,847m1393,847l1394,847m1322,847l1322,847m1251,847l1251,847m1108,847l1108,847m1036,847l1036,847m965,847l965,847m893,847l894,847m822,847l822,847m751,847l751,847m679,847l680,847m608,847l608,847m537,847l537,847m465,847l465,847m393,847l394,847m322,847l322,847m2536,445l2536,445m2464,445l2465,445m2393,445l2394,445m2322,445l2322,445m2250,445l2251,445m2572,378l2572,378m2500,378l2501,378m2679,311l2679,311m2607,311l2608,311m2714,244l2715,244e">
                  <v:stroke endcap="round" miterlimit="10"/>
                </v:shape>
              </w:pict>
            </w:r>
            <w:r>
              <w:pict>
                <v:shape id="_x0000_s778" style="position:absolute;margin-left:-288.518pt;margin-top:117.17pt;mso-position-vertical-relative:top-margin-area;mso-position-horizontal-relative:right-margin-area;width:5.45pt;height:4.25pt;z-index:-246379520;" filled="false" strokecolor="#000000" strokeweight="0.12pt" coordsize="108,85" coordorigin="0,0" path="m1,83l107,1e">
                  <v:stroke endcap="round" miterlimit="10"/>
                </v:shape>
              </w:pict>
            </w:r>
            <w:r>
              <w:pict>
                <v:shape id="_x0000_s780" style="position:absolute;margin-left:-128.393pt;margin-top:116.502pt;mso-position-vertical-relative:top-margin-area;mso-position-horizontal-relative:right-margin-area;width:37.05pt;height:15.75pt;z-index:257077248;" filled="false" strokecolor="#000000" strokeweight="0.12pt" coordsize="740,315" coordorigin="0,0" path="m152,77l205,1m185,110l236,39m223,139l273,68m265,162l315,90m310,178l363,104m360,189l415,111m413,195l471,114m468,199l525,118m523,203l578,126m574,212l626,139m619,230l669,159m657,259l708,186m676,313l739,223m1,43l58,28l110,1e">
                  <v:stroke endcap="round" miterlimit="10"/>
                </v:shape>
              </w:pict>
            </w:r>
            <w:r>
              <w:pict>
                <v:shape id="_x0000_s782" style="position:absolute;margin-left:-175.837pt;margin-top:121.827pt;mso-position-vertical-relative:top-margin-area;mso-position-horizontal-relative:right-margin-area;width:29.5pt;height:5.5pt;z-index:257074176;" filled="false" strokecolor="#000000" strokeweight="0.12pt" coordsize="590,110" coordorigin="0,0" path="m1,107l298,65l371,46l440,17l511,1l587,5e">
                  <v:stroke endcap="round" miterlimit="10"/>
                </v:shape>
              </w:pict>
            </w:r>
            <w:r>
              <w:pict>
                <v:group id="_x0000_s784" style="position:absolute;margin-left:-250.403pt;margin-top:104.3pt;mso-position-vertical-relative:top-margin-area;mso-position-horizontal-relative:right-margin-area;width:37.9pt;height:77.75pt;z-index:-246336512;" filled="false" stroked="false" coordsize="758,1555" coordorigin="0,0">
                  <v:shape id="_x0000_s786" style="position:absolute;left:0;top:0;width:758;height:1555;" filled="false" strokecolor="#000000" strokeweight="0.12pt" coordsize="758,1555" coordorigin="0,0" path="m23,1351l95,1249m92,1334l153,1249m151,1333l211,1247m209,1333l280,1231m642,1454l695,1377m679,1482l729,1410m490,862l483,846l466,839l449,846l442,862l449,878l466,884l483,878l490,862xm89,105l158,219l288,452l408,688l512,933l717,1420l756,1548m1,1l140,235l268,466l388,701l490,944l695,1430l733,1553m200,286l181,300m282,440l262,453m359,589l339,601m433,742l411,750m510,927l487,936m571,1075l549,1082m637,1232l615,1240m704,1389l681,1397e">
                    <v:stroke endcap="round" miterlimit="10"/>
                  </v:shape>
                  <v:shape id="_x0000_s788" style="position:absolute;left:181;top:286;width:27;height:13;" fillcolor="#000000" filled="true" stroked="false" coordsize="27,13" coordorigin="0,0" path="m19,0l0,13l26,13l19,0xe"/>
                  <v:shape id="_x0000_s790" style="position:absolute;left:179;top:285;width:30;height:17;" filled="false" strokecolor="#000000" strokeweight="0.12pt" coordsize="30,17" coordorigin="0,0" path="m20,1l1,15l28,15l20,1xe">
                    <v:stroke endcap="round" miterlimit="10"/>
                  </v:shape>
                  <v:shape id="_x0000_s792" style="position:absolute;left:181;top:300;width:45;height:32;" fillcolor="#000000" filled="true" stroked="false" coordsize="45,32" coordorigin="0,0" path="m,l18,32l45,32l0,0xe"/>
                  <v:shape id="_x0000_s794" style="position:absolute;left:179;top:299;width:48;height:35;" filled="false" strokecolor="#000000" strokeweight="0.12pt" coordsize="48,35" coordorigin="0,0" path="m1,1l19,33l46,33l1,1xe">
                    <v:stroke endcap="round" miterlimit="10"/>
                  </v:shape>
                  <v:shape id="_x0000_s796" style="position:absolute;left:181;top:300;width:45;height:32;" fillcolor="#000000" filled="true" stroked="false" coordsize="45,32" coordorigin="0,0" path="m,l26,0l45,32l0,0xe"/>
                  <v:shape id="_x0000_s798" style="position:absolute;left:179;top:299;width:48;height:37;" filled="false" strokecolor="#000000" strokeweight="0.12pt" coordsize="48,37" coordorigin="0,0" path="m1,1l28,1l46,33l1,1xm19,33l21,36l21,36l19,33xe">
                    <v:stroke endcap="round" miterlimit="10"/>
                  </v:shape>
                  <v:shape id="_x0000_s800" style="position:absolute;left:199;top:332;width:27;height:3;" fillcolor="#000000" filled="true" stroked="false" coordsize="27,3" coordorigin="0,0" path="m,l26,0l1,2l0,0xe"/>
                  <v:shape id="_x0000_s802" style="position:absolute;left:198;top:331;width:30;height:6;" filled="false" strokecolor="#000000" strokeweight="0.12pt" coordsize="30,6" coordorigin="0,0" path="m1,1l28,1l2,4l1,1xe">
                    <v:stroke endcap="round" miterlimit="10"/>
                  </v:shape>
                  <v:shape id="_x0000_s804" style="position:absolute;left:201;top:332;width:27;height:3;" fillcolor="#000000" filled="true" stroked="false" coordsize="27,3" coordorigin="0,0" path="m25,0l0,2l26,2l25,0xe"/>
                  <v:shape id="_x0000_s806" style="position:absolute;left:199;top:331;width:30;height:6;" filled="false" strokecolor="#000000" strokeweight="0.12pt" coordsize="30,6" coordorigin="0,0" path="m26,1l1,4l28,4l26,1xe">
                    <v:stroke endcap="round" miterlimit="10"/>
                  </v:shape>
                  <v:shape id="_x0000_s808" style="position:absolute;left:201;top:335;width:49;height:40;" fillcolor="#000000" filled="true" stroked="false" coordsize="49,40" coordorigin="0,0" path="m,l21,40l48,40l0,0xe"/>
                  <v:shape id="_x0000_s810" style="position:absolute;left:199;top:334;width:50;height:43;" filled="false" strokecolor="#000000" strokeweight="0.12pt" coordsize="50,43" coordorigin="0,0" path="m1,1l22,41l49,41l1,1xe">
                    <v:stroke endcap="round" miterlimit="10"/>
                  </v:shape>
                  <v:shape id="_x0000_s812" style="position:absolute;left:201;top:335;width:49;height:40;" fillcolor="#000000" filled="true" stroked="false" coordsize="49,40" coordorigin="0,0" path="m,l26,0l48,40l0,0xe"/>
                  <v:shape id="_x0000_s814" style="position:absolute;left:199;top:334;width:50;height:43;" filled="false" strokecolor="#000000" strokeweight="0.12pt" coordsize="50,43" coordorigin="0,0" path="m1,1l28,1l49,41l1,1xe">
                    <v:stroke endcap="round" miterlimit="10"/>
                  </v:shape>
                  <v:shape id="_x0000_s816" style="position:absolute;left:222;top:376;width:27;height:6;" fillcolor="#000000" filled="true" stroked="false" coordsize="27,6" coordorigin="0,0" path="m,l26,0l3,5l0,0xe"/>
                  <v:shape id="_x0000_s818" style="position:absolute;left:221;top:375;width:29;height:8;" filled="false" strokecolor="#000000" strokeweight="0.12pt" coordsize="29,8" coordorigin="0,0" path="m1,1l27,1l4,7l1,1xe">
                    <v:stroke endcap="round" miterlimit="10"/>
                  </v:shape>
                  <v:shape id="_x0000_s820" style="position:absolute;left:225;top:376;width:27;height:6;" fillcolor="#000000" filled="true" stroked="false" coordsize="27,6" coordorigin="0,0" path="m23,0l0,5l26,5l23,0xe"/>
                  <v:shape id="_x0000_s822" style="position:absolute;left:224;top:375;width:29;height:8;" filled="false" strokecolor="#000000" strokeweight="0.12pt" coordsize="29,8" coordorigin="0,0" path="m24,1l1,7l27,7l24,1xe">
                    <v:stroke endcap="round" miterlimit="10"/>
                  </v:shape>
                  <v:shape id="_x0000_s824" style="position:absolute;left:225;top:382;width:56;height:59;" fillcolor="#000000" filled="true" stroked="false" coordsize="56,59" coordorigin="0,0" path="m,l29,58l56,58l0,0xe"/>
                  <v:shape id="_x0000_s826" style="position:absolute;left:224;top:380;width:59;height:60;" filled="false" strokecolor="#000000" strokeweight="0.12pt" coordsize="59,60" coordorigin="0,0" path="m1,1l30,59l57,59l1,1xe">
                    <v:stroke endcap="round" miterlimit="10"/>
                  </v:shape>
                  <v:shape id="_x0000_s828" style="position:absolute;left:225;top:382;width:56;height:59;" fillcolor="#000000" filled="true" stroked="false" coordsize="56,59" coordorigin="0,0" path="m,l26,0l56,58l0,0xe"/>
                  <v:shape id="_x0000_s830" style="position:absolute;left:224;top:380;width:59;height:60;" filled="false" strokecolor="#000000" strokeweight="0.12pt" coordsize="59,60" coordorigin="0,0" path="m1,1l27,1l57,59l1,1xe">
                    <v:stroke endcap="round" miterlimit="10"/>
                  </v:shape>
                  <v:shape id="_x0000_s832" style="position:absolute;left:255;top:440;width:27;height:13;" fillcolor="#000000" filled="true" stroked="false" coordsize="27,13" coordorigin="0,0" path="m,l26,0l7,13l0,0xe"/>
                  <v:shape id="_x0000_s834" style="position:absolute;left:254;top:439;width:29;height:17;" filled="false" strokecolor="#000000" strokeweight="0.12pt" coordsize="29,17" coordorigin="0,0" path="m1,1l27,1l8,14l1,1xe">
                    <v:stroke endcap="round" miterlimit="10"/>
                  </v:shape>
                  <v:shape id="_x0000_s836" style="position:absolute;left:339;top:589;width:27;height:12;" fillcolor="#000000" filled="true" stroked="false" coordsize="27,12" coordorigin="0,0" path="m19,0l0,12l26,12l19,0xe"/>
                  <v:shape id="_x0000_s838" style="position:absolute;left:338;top:588;width:29;height:15;" filled="false" strokecolor="#000000" strokeweight="0.12pt" coordsize="29,15" coordorigin="0,0" path="m21,1l1,13l27,13l21,1xe">
                    <v:stroke endcap="round" miterlimit="10"/>
                  </v:shape>
                  <v:shape id="_x0000_s840" style="position:absolute;left:339;top:601;width:76;height:101;" fillcolor="#000000" filled="true" stroked="false" coordsize="76,101" coordorigin="0,0" path="m,l49,100l76,100l0,0xe"/>
                  <v:shape id="_x0000_s842" style="position:absolute;left:338;top:600;width:79;height:103;" filled="false" strokecolor="#000000" strokeweight="0.12pt" coordsize="79,103" coordorigin="0,0" path="m1,1l50,102l77,102l1,1xe">
                    <v:stroke endcap="round" miterlimit="10"/>
                  </v:shape>
                  <v:shape id="_x0000_s844" style="position:absolute;left:339;top:601;width:76;height:101;" fillcolor="#000000" filled="true" stroked="false" coordsize="76,101" coordorigin="0,0" path="m,l26,0l76,100l0,0xe"/>
                  <v:shape id="_x0000_s846" style="position:absolute;left:338;top:600;width:79;height:103;" filled="false" strokecolor="#000000" strokeweight="0.12pt" coordsize="79,103" coordorigin="0,0" path="m1,1l27,1l77,102l1,1xe">
                    <v:stroke endcap="round" miterlimit="10"/>
                  </v:shape>
                  <v:shape id="_x0000_s848" style="position:absolute;left:388;top:702;width:27;height:27;" fillcolor="#000000" filled="true" stroked="false" coordsize="27,27" coordorigin="0,0" path="m,l27,0l13,27l0,0xe"/>
                  <v:shape id="_x0000_s850" style="position:absolute;left:387;top:701;width:30;height:30;" filled="false" strokecolor="#000000" strokeweight="0.12pt" coordsize="30,30" coordorigin="0,0" path="m1,1l28,1l14,28l1,1xe">
                    <v:stroke endcap="round" miterlimit="10"/>
                  </v:shape>
                  <v:shape id="_x0000_s852" style="position:absolute;left:401;top:702;width:27;height:27;" fillcolor="#000000" filled="true" stroked="false" coordsize="27,27" coordorigin="0,0" path="m13,0l0,27l26,27l13,0xe"/>
                  <v:shape id="_x0000_s854" style="position:absolute;left:400;top:701;width:29;height:30;" filled="false" strokecolor="#000000" strokeweight="0.12pt" coordsize="29,30" coordorigin="0,0" path="m14,1l1,28l27,28l14,1xe">
                    <v:stroke endcap="round" miterlimit="10"/>
                  </v:shape>
                  <v:shape id="_x0000_s856" style="position:absolute;left:401;top:730;width:32;height:12;" fillcolor="#000000" filled="true" stroked="false" coordsize="32,12" coordorigin="0,0" path="m,l5,12l31,12l0,0xe"/>
                  <v:shape id="_x0000_s858" style="position:absolute;left:400;top:729;width:34;height:15;" filled="false" strokecolor="#000000" strokeweight="0.12pt" coordsize="34,15" coordorigin="0,0" path="m1,1l6,13l32,13l1,1xe">
                    <v:stroke endcap="round" miterlimit="10"/>
                  </v:shape>
                  <v:shape id="_x0000_s860" style="position:absolute;left:401;top:730;width:32;height:12;" fillcolor="#000000" filled="true" stroked="false" coordsize="32,12" coordorigin="0,0" path="m,l26,0l31,12l0,0xe"/>
                  <v:shape id="_x0000_s862" style="position:absolute;left:400;top:729;width:34;height:15;" filled="false" strokecolor="#000000" strokeweight="0.12pt" coordsize="34,15" coordorigin="0,0" path="m1,1l27,1l32,13l1,1xe">
                    <v:stroke endcap="round" miterlimit="10"/>
                  </v:shape>
                  <v:shape id="_x0000_s864" style="position:absolute;left:407;top:742;width:27;height:8;" fillcolor="#000000" filled="true" stroked="false" coordsize="27,8" coordorigin="0,0" path="m,l26,0l4,7l0,0xe"/>
                  <v:shape id="_x0000_s866" style="position:absolute;left:405;top:741;width:29;height:11;" filled="false" strokecolor="#000000" strokeweight="0.12pt" coordsize="29,11" coordorigin="0,0" path="m1,1l27,1l5,8l1,1xe">
                    <v:stroke endcap="round" miterlimit="10"/>
                  </v:shape>
                  <v:shape id="_x0000_s868" style="position:absolute;left:487;top:927;width:25;height:8;" fillcolor="#000000" filled="true" stroked="false" coordsize="25,8" coordorigin="0,0" path="m22,0l0,8l25,8l22,0xe"/>
                  <v:shape id="_x0000_s870" style="position:absolute;left:486;top:926;width:29;height:11;" filled="false" strokecolor="#000000" strokeweight="0.12pt" coordsize="29,11" coordorigin="0,0" path="m23,1l1,9l26,9l23,1xe">
                    <v:stroke endcap="round" miterlimit="10"/>
                  </v:shape>
                  <v:shape id="_x0000_s872" style="position:absolute;left:487;top:936;width:66;height:96;" fillcolor="#000000" filled="true" stroked="false" coordsize="66,96" coordorigin="0,0" path="m,l40,95l66,95l0,0xe"/>
                  <v:shape id="_x0000_s874" style="position:absolute;left:486;top:934;width:69;height:98;" filled="false" strokecolor="#000000" strokeweight="0.12pt" coordsize="69,98" coordorigin="0,0" path="m1,1l41,97l67,97l1,1xe">
                    <v:stroke endcap="round" miterlimit="10"/>
                  </v:shape>
                  <v:shape id="_x0000_s876" style="position:absolute;left:487;top:936;width:66;height:96;" fillcolor="#000000" filled="true" stroked="false" coordsize="66,96" coordorigin="0,0" path="m,l25,0l66,95l0,0xe"/>
                  <v:shape id="_x0000_s878" style="position:absolute;left:486;top:934;width:69;height:98;" filled="false" strokecolor="#000000" strokeweight="0.12pt" coordsize="69,98" coordorigin="0,0" path="m1,1l26,1l67,97l1,1xe">
                    <v:stroke endcap="round" miterlimit="10"/>
                  </v:shape>
                  <v:shape id="_x0000_s880" style="position:absolute;left:528;top:1032;width:25;height:16;" fillcolor="#000000" filled="true" stroked="false" coordsize="25,16" coordorigin="0,0" path="m,l25,0l6,15l0,0xe"/>
                  <v:shape id="_x0000_s882" style="position:absolute;left:526;top:1030;width:29;height:18;" filled="false" strokecolor="#000000" strokeweight="0.12pt" coordsize="29,18" coordorigin="0,0" path="m1,1l26,1l7,17l1,1xe">
                    <v:stroke endcap="round" miterlimit="10"/>
                  </v:shape>
                  <v:shape id="_x0000_s884" style="position:absolute;left:534;top:1032;width:27;height:16;" fillcolor="#000000" filled="true" stroked="false" coordsize="27,16" coordorigin="0,0" path="m19,0l0,15l26,15l19,0xe"/>
                  <v:shape id="_x0000_s886" style="position:absolute;left:533;top:1030;width:29;height:18;" filled="false" strokecolor="#000000" strokeweight="0.12pt" coordsize="29,18" coordorigin="0,0" path="m20,1l1,17l27,17l20,1xe">
                    <v:stroke endcap="round" miterlimit="10"/>
                  </v:shape>
                  <v:shape id="_x0000_s888" style="position:absolute;left:534;top:1048;width:35;height:20;" fillcolor="#000000" filled="true" stroked="false" coordsize="35,20" coordorigin="0,0" path="m,l8,19l34,19l0,0xe"/>
                  <v:shape id="_x0000_s890" style="position:absolute;left:533;top:1046;width:37;height:22;" filled="false" strokecolor="#000000" strokeweight="0.12pt" coordsize="37,22" coordorigin="0,0" path="m1,1l10,21l35,21l1,1xe">
                    <v:stroke endcap="round" miterlimit="10"/>
                  </v:shape>
                  <v:shape id="_x0000_s892" style="position:absolute;left:534;top:1048;width:35;height:20;" fillcolor="#000000" filled="true" stroked="false" coordsize="35,20" coordorigin="0,0" path="m,l26,0l34,19l0,0xe"/>
                  <v:shape id="_x0000_s894" style="position:absolute;left:533;top:1046;width:37;height:22;" filled="false" strokecolor="#000000" strokeweight="0.12pt" coordsize="37,22" coordorigin="0,0" path="m1,1l27,1l35,21l1,1xe">
                    <v:stroke endcap="round" miterlimit="10"/>
                  </v:shape>
                  <v:shape id="_x0000_s896" style="position:absolute;left:543;top:1067;width:18;height:11;" fillcolor="#000000" filled="true" stroked="false" coordsize="18,11" coordorigin="0,0" path="m,l4,10l18,10l0,0xe"/>
                  <v:shape id="_x0000_s898" style="position:absolute;left:541;top:1066;width:20;height:13;" filled="false" strokecolor="#000000" strokeweight="0.12pt" coordsize="20,13" coordorigin="0,0" path="m1,1l5,11l19,11l1,1xe">
                    <v:stroke endcap="round" miterlimit="10"/>
                  </v:shape>
                  <v:shape id="_x0000_s900" style="position:absolute;left:543;top:1067;width:25;height:11;" fillcolor="#000000" filled="true" stroked="false" coordsize="25,11" coordorigin="0,0" path="m,l25,0l18,10l0,0xe"/>
                  <v:shape id="_x0000_s902" style="position:absolute;left:541;top:1066;width:29;height:13;" filled="false" strokecolor="#000000" strokeweight="0.12pt" coordsize="29,13" coordorigin="0,0" path="m1,1l26,1l19,11l1,1xe">
                    <v:stroke endcap="round" miterlimit="10"/>
                  </v:shape>
                  <v:shape id="_x0000_s904" style="position:absolute;left:547;top:1078;width:13;height:5;" fillcolor="#000000" filled="true" stroked="false" coordsize="13,5" coordorigin="0,0" path="m,l13,0l1,4l0,0xe"/>
                  <v:shape id="_x0000_s906" style="position:absolute;left:546;top:1077;width:17;height:6;" filled="false" strokecolor="#000000" strokeweight="0.12pt" coordsize="17,6" coordorigin="0,0" path="m1,1l14,1l2,5l1,1xe">
                    <v:stroke endcap="round" miterlimit="10"/>
                  </v:shape>
                  <v:shape id="_x0000_s908" style="position:absolute;left:615;top:1232;width:25;height:8;" fillcolor="#000000" filled="true" stroked="false" coordsize="25,8" coordorigin="0,0" path="m22,0l0,7l25,7l22,0xe"/>
                  <v:shape id="_x0000_s910" style="position:absolute;left:614;top:1230;width:29;height:11;" filled="false" strokecolor="#000000" strokeweight="0.12pt" coordsize="29,11" coordorigin="0,0" path="m23,1l1,9l26,9l23,1xe">
                    <v:stroke endcap="round" miterlimit="10"/>
                  </v:shape>
                  <v:shape id="_x0000_s912" style="position:absolute;left:615;top:1240;width:39;height:34;" fillcolor="#000000" filled="true" stroked="false" coordsize="39,34" coordorigin="0,0" path="m,l13,33l38,33l0,0xe"/>
                  <v:shape id="_x0000_s914" style="position:absolute;left:614;top:1238;width:41;height:35;" filled="false" strokecolor="#000000" strokeweight="0.12pt" coordsize="41,35" coordorigin="0,0" path="m1,1l14,34l40,34l1,1xe">
                    <v:stroke endcap="round" miterlimit="10"/>
                  </v:shape>
                  <v:shape id="_x0000_s916" style="position:absolute;left:615;top:1240;width:39;height:34;" fillcolor="#000000" filled="true" stroked="false" coordsize="39,34" coordorigin="0,0" path="m,l25,0l38,33l0,0xe"/>
                  <v:shape id="_x0000_s918" style="position:absolute;left:614;top:1238;width:41;height:35;" filled="false" strokecolor="#000000" strokeweight="0.12pt" coordsize="41,35" coordorigin="0,0" path="m1,1l26,1l40,34l1,1xe">
                    <v:stroke endcap="round" miterlimit="10"/>
                  </v:shape>
                  <v:shape id="_x0000_s920" style="position:absolute;left:628;top:1273;width:25;height:22;" fillcolor="#000000" filled="true" stroked="false" coordsize="25,22" coordorigin="0,0" path="m,l25,0l9,22l0,0xe"/>
                  <v:shape id="_x0000_s922" style="position:absolute;left:627;top:1272;width:29;height:25;" filled="false" strokecolor="#000000" strokeweight="0.12pt" coordsize="29,25" coordorigin="0,0" path="m1,1l26,1l10,24l1,1xe">
                    <v:stroke endcap="round" miterlimit="10"/>
                  </v:shape>
                  <v:shape id="_x0000_s924" style="position:absolute;left:638;top:1273;width:25;height:22;" fillcolor="#000000" filled="true" stroked="false" coordsize="25,22" coordorigin="0,0" path="m16,0l0,22l25,22l16,0xe"/>
                  <v:shape id="_x0000_s926" style="position:absolute;left:637;top:1272;width:29;height:25;" filled="false" strokecolor="#000000" strokeweight="0.12pt" coordsize="29,25" coordorigin="0,0" path="m17,1l1,24l26,24l17,1xe">
                    <v:stroke endcap="round" miterlimit="10"/>
                  </v:shape>
                  <v:shape id="_x0000_s928" style="position:absolute;left:638;top:1296;width:37;height:29;" fillcolor="#000000" filled="true" stroked="false" coordsize="37,29" coordorigin="0,0" path="m,l11,28l37,28l0,0xe"/>
                  <v:shape id="_x0000_s930" style="position:absolute;left:637;top:1294;width:40;height:30;" filled="false" strokecolor="#000000" strokeweight="0.12pt" coordsize="40,30" coordorigin="0,0" path="m1,1l12,29l38,29l1,1xe">
                    <v:stroke endcap="round" miterlimit="10"/>
                  </v:shape>
                  <v:shape id="_x0000_s932" style="position:absolute;left:638;top:1296;width:37;height:29;" fillcolor="#000000" filled="true" stroked="false" coordsize="37,29" coordorigin="0,0" path="m,l25,0l37,28l0,0xe"/>
                  <v:shape id="_x0000_s934" style="position:absolute;left:637;top:1294;width:40;height:30;" filled="false" strokecolor="#000000" strokeweight="0.12pt" coordsize="40,30" coordorigin="0,0" path="m1,1l26,1l38,29l1,1xe">
                    <v:stroke endcap="round" miterlimit="10"/>
                  </v:shape>
                  <v:shape id="_x0000_s936" style="position:absolute;left:649;top:1324;width:25;height:22;" fillcolor="#000000" filled="true" stroked="false" coordsize="25,22" coordorigin="0,0" path="m,l25,0l9,22l0,0xe"/>
                  <v:shape id="_x0000_s938" style="position:absolute;left:648;top:1323;width:29;height:25;" filled="false" strokecolor="#000000" strokeweight="0.12pt" coordsize="29,25" coordorigin="0,0" path="m1,1l27,1l10,24l1,1xe">
                    <v:stroke endcap="round" miterlimit="10"/>
                  </v:shape>
                  <v:shape id="_x0000_s940" style="position:absolute;left:659;top:1324;width:25;height:22;" fillcolor="#000000" filled="true" stroked="false" coordsize="25,22" coordorigin="0,0" path="m16,0l0,22l25,22l16,0xe"/>
                  <v:shape id="_x0000_s942" style="position:absolute;left:658;top:1323;width:29;height:25;" filled="false" strokecolor="#000000" strokeweight="0.12pt" coordsize="29,25" coordorigin="0,0" path="m17,1l1,24l26,24l17,1xe">
                    <v:stroke endcap="round" miterlimit="10"/>
                  </v:shape>
                  <v:shape id="_x0000_s944" style="position:absolute;left:659;top:1347;width:32;height:16;" fillcolor="#000000" filled="true" stroked="false" coordsize="32,16" coordorigin="0,0" path="m,l6,15l32,15l0,0xe"/>
                  <v:shape id="_x0000_s946" style="position:absolute;left:658;top:1346;width:35;height:17;" filled="false" strokecolor="#000000" strokeweight="0.12pt" coordsize="35,17" coordorigin="0,0" path="m1,1l7,16l33,16l1,1xe">
                    <v:stroke endcap="round" miterlimit="10"/>
                  </v:shape>
                  <v:shape id="_x0000_s948" style="position:absolute;left:659;top:1347;width:32;height:16;" fillcolor="#000000" filled="true" stroked="false" coordsize="32,16" coordorigin="0,0" path="m,l25,0l32,15l0,0xe"/>
                  <v:shape id="_x0000_s950" style="position:absolute;left:658;top:1346;width:35;height:17;" filled="false" strokecolor="#000000" strokeweight="0.12pt" coordsize="35,17" coordorigin="0,0" path="m1,1l26,1l33,16l1,1xe">
                    <v:stroke endcap="round" miterlimit="10"/>
                  </v:shape>
                  <v:shape id="_x0000_s952" style="position:absolute;left:666;top:1362;width:30;height:15;" fillcolor="#000000" filled="true" stroked="false" coordsize="30,15" coordorigin="0,0" path="m,l6,14l29,14l0,0xe"/>
                  <v:shape id="_x0000_s954" style="position:absolute;left:665;top:1361;width:32;height:17;" filled="false" strokecolor="#000000" strokeweight="0.12pt" coordsize="32,17" coordorigin="0,0" path="m1,1l7,16l30,16l1,1xe">
                    <v:stroke endcap="round" miterlimit="10"/>
                  </v:shape>
                  <v:shape id="_x0000_s956" style="position:absolute;left:666;top:1362;width:30;height:15;" fillcolor="#000000" filled="true" stroked="false" coordsize="30,15" coordorigin="0,0" path="m,l25,0l29,14l0,0xe"/>
                  <v:shape id="_x0000_s958" style="position:absolute;left:665;top:1361;width:32;height:37;" filled="false" strokecolor="#000000" strokeweight="0.12pt" coordsize="32,37" coordorigin="0,0" path="m1,1l26,1l30,16l1,1xm7,16l16,35l16,35l7,16xe">
                    <v:stroke endcap="round" miterlimit="10"/>
                  </v:shape>
                  <v:shape id="_x0000_s960" style="position:absolute;left:673;top:1377;width:22;height:20;" fillcolor="#000000" filled="true" stroked="false" coordsize="22,20" coordorigin="0,0" path="m,l22,0l8,19l0,0xe"/>
                  <v:shape id="_x0000_s962" style="position:absolute;left:671;top:1376;width:25;height:22;" filled="false" strokecolor="#000000" strokeweight="0.12pt" coordsize="25,22" coordorigin="0,0" path="m1,1l23,1l10,20l1,1xm9,20l10,20l9,21l9,20xe">
                    <v:stroke endcap="round" miterlimit="10"/>
                  </v:shape>
                  <v:shape id="_x0000_s964" style="position:absolute;left:201;top:332;width:27;height:3;" fillcolor="#000000" filled="true" stroked="false" coordsize="27,3" coordorigin="0,0" path="m25,0l0,2l26,2l25,0xe"/>
                  <v:shape id="_x0000_s966" style="position:absolute;left:199;top:331;width:30;height:6;" filled="false" strokecolor="#000000" strokeweight="0.12pt" coordsize="30,6" coordorigin="0,0" path="m26,1l1,4l28,4l26,1xe">
                    <v:stroke endcap="round" miterlimit="10"/>
                  </v:shape>
                  <v:shape id="_x0000_s968" style="position:absolute;left:201;top:335;width:49;height:40;" fillcolor="#000000" filled="true" stroked="false" coordsize="49,40" coordorigin="0,0" path="m,l21,40l48,40l0,0xe"/>
                  <v:shape id="_x0000_s970" style="position:absolute;left:199;top:334;width:50;height:43;" filled="false" strokecolor="#000000" strokeweight="0.12pt" coordsize="50,43" coordorigin="0,0" path="m1,1l22,41l49,41l1,1xe">
                    <v:stroke endcap="round" miterlimit="10"/>
                  </v:shape>
                  <v:shape id="_x0000_s972" style="position:absolute;left:201;top:335;width:49;height:40;" fillcolor="#000000" filled="true" stroked="false" coordsize="49,40" coordorigin="0,0" path="m,l26,0l48,40l0,0xe"/>
                  <v:shape id="_x0000_s974" style="position:absolute;left:199;top:334;width:50;height:43;" filled="false" strokecolor="#000000" strokeweight="0.12pt" coordsize="50,43" coordorigin="0,0" path="m1,1l28,1l49,41l1,1xe">
                    <v:stroke endcap="round" miterlimit="10"/>
                  </v:shape>
                  <v:shape id="_x0000_s976" style="position:absolute;left:222;top:376;width:27;height:6;" fillcolor="#000000" filled="true" stroked="false" coordsize="27,6" coordorigin="0,0" path="m,l26,0l3,5l0,0xe"/>
                  <v:shape id="_x0000_s978" style="position:absolute;left:221;top:375;width:29;height:8;" filled="false" strokecolor="#000000" strokeweight="0.12pt" coordsize="29,8" coordorigin="0,0" path="m1,1l27,1l4,7l1,1xe">
                    <v:stroke endcap="round" miterlimit="10"/>
                  </v:shape>
                </v:group>
              </w:pict>
            </w:r>
            <w:r>
              <w:pict>
                <v:shape id="_x0000_s980" style="position:absolute;margin-left:-129.917pt;margin-top:125.411pt;mso-position-vertical-relative:top-margin-area;mso-position-horizontal-relative:right-margin-area;width:4.55pt;height:7.1pt;z-index:257014784;" filled="false" stroked="false" type="#_x0000_t202">
                  <v:fill on="false"/>
                  <v:stroke on="false"/>
                  <v:path/>
                  <v:imagedata o:title=""/>
                  <o:lock v:ext="edit" aspectratio="false"/>
                  <v:textbox inset="0mm,0mm,0mm,0mm">
                    <w:txbxContent>
                      <w:p>
                        <w:pPr>
                          <w:ind w:left="20"/>
                          <w:spacing w:before="19" w:line="187" w:lineRule="auto"/>
                          <w:rPr>
                            <w:rFonts w:ascii="SimSun" w:hAnsi="SimSun" w:eastAsia="SimSun" w:cs="SimSun"/>
                            <w:sz w:val="10"/>
                            <w:szCs w:val="10"/>
                          </w:rPr>
                        </w:pPr>
                        <w:r>
                          <w:rPr>
                            <w:rFonts w:ascii="SimSun" w:hAnsi="SimSun" w:eastAsia="SimSun" w:cs="SimSun"/>
                            <w:sz w:val="10"/>
                            <w:szCs w:val="10"/>
                          </w:rPr>
                          <w:t>V</w:t>
                        </w:r>
                      </w:p>
                    </w:txbxContent>
                  </v:textbox>
                </v:shape>
              </w:pict>
            </w:r>
            <w:r>
              <w:pict>
                <v:shape id="_x0000_s982" style="position:absolute;margin-left:-218.775pt;margin-top:125.274pt;mso-position-vertical-relative:top-margin-area;mso-position-horizontal-relative:right-margin-area;width:7.1pt;height:8.7pt;z-index:25701580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26</w:t>
                        </w:r>
                      </w:p>
                    </w:txbxContent>
                  </v:textbox>
                </v:shape>
              </w:pict>
            </w:r>
            <w:r>
              <w:pict>
                <v:shape id="_x0000_s984" style="position:absolute;margin-left:-68.3366pt;margin-top:126.714pt;mso-position-vertical-relative:top-margin-area;mso-position-horizontal-relative:right-margin-area;width:7pt;height:8.2pt;z-index:257013760;"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起</w:t>
                        </w:r>
                      </w:p>
                    </w:txbxContent>
                  </v:textbox>
                </v:shape>
              </w:pict>
            </w:r>
            <w:r>
              <w:pict>
                <v:shape id="_x0000_s986" style="position:absolute;margin-left:-212.75pt;margin-top:128.034pt;mso-position-vertical-relative:top-margin-area;mso-position-horizontal-relative:right-margin-area;width:6.7pt;height:8.15pt;z-index:257009664;"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rPr>
                          <w:t>隆</w:t>
                        </w:r>
                      </w:p>
                    </w:txbxContent>
                  </v:textbox>
                </v:shape>
              </w:pict>
            </w:r>
            <w:r>
              <w:pict>
                <v:shape id="_x0000_s988" style="position:absolute;margin-left:-188.493pt;margin-top:129.834pt;mso-position-vertical-relative:top-margin-area;mso-position-horizontal-relative:right-margin-area;width:7.1pt;height:8.7pt;z-index:25703628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37</w:t>
                        </w:r>
                      </w:p>
                    </w:txbxContent>
                  </v:textbox>
                </v:shape>
              </w:pict>
            </w:r>
            <w:r>
              <w:pict>
                <v:shape id="_x0000_s990" style="position:absolute;margin-left:-164.498pt;margin-top:130.674pt;mso-position-vertical-relative:top-margin-area;mso-position-horizontal-relative:right-margin-area;width:7.2pt;height:8.7pt;z-index:25700044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40</w:t>
                        </w:r>
                      </w:p>
                    </w:txbxContent>
                  </v:textbox>
                </v:shape>
              </w:pict>
            </w:r>
            <w:r>
              <w:pict>
                <v:shape id="_x0000_s992" style="position:absolute;margin-left:-297.585pt;margin-top:125.877pt;mso-position-vertical-relative:top-margin-area;mso-position-horizontal-relative:right-margin-area;width:4.3pt;height:5.3pt;z-index:-246380544;" filled="false" strokecolor="#000000" strokeweight="0.12pt" coordsize="86,106" coordorigin="0,0" path="m1,103l84,1e">
                  <v:stroke endcap="round" miterlimit="10"/>
                </v:shape>
              </w:pict>
            </w:r>
            <w:r>
              <w:pict>
                <v:shape id="_x0000_s994" style="position:absolute;margin-left:-101.295pt;margin-top:131.112pt;mso-position-vertical-relative:top-margin-area;mso-position-horizontal-relative:right-margin-area;width:6.6pt;height:5pt;z-index:-246368256;" filled="false" strokecolor="#000000" strokeweight="0.12pt" coordsize="131,100" coordorigin="0,0" path="m1,98l130,1e">
                  <v:stroke endcap="round" miterlimit="10"/>
                </v:shape>
              </w:pict>
            </w:r>
            <w:r>
              <w:pict>
                <v:shape id="_x0000_s996" style="position:absolute;margin-left:-320.363pt;margin-top:128.87pt;mso-position-vertical-relative:top-margin-area;mso-position-horizontal-relative:right-margin-area;width:23.8pt;height:32.45pt;z-index:257081344;" filled="false" strokecolor="#000000" strokeweight="0.12pt" coordsize="475,649" coordorigin="0,0" path="m1,590l132,404m37,620l474,1m80,640l430,144m133,647l311,396e">
                  <v:stroke endcap="round" miterlimit="10"/>
                </v:shape>
              </w:pict>
            </w:r>
            <w:r>
              <w:pict>
                <v:shape id="_x0000_s998" style="position:absolute;margin-left:-95.063pt;margin-top:130.197pt;mso-position-vertical-relative:top-margin-area;mso-position-horizontal-relative:right-margin-area;width:5.15pt;height:10.85pt;z-index:257078272;" filled="false" strokecolor="#000000" strokeweight="0.12pt" coordsize="103,217" coordorigin="0,0" path="m10,120l94,1m1,214l100,73e">
                  <v:stroke endcap="round" miterlimit="10"/>
                </v:shape>
              </w:pict>
            </w:r>
            <w:r>
              <w:pict>
                <v:shape id="_x0000_s1000" style="position:absolute;margin-left:-136.058pt;margin-top:134.994pt;mso-position-vertical-relative:top-margin-area;mso-position-horizontal-relative:right-margin-area;width:7.2pt;height:8.75pt;z-index:257001472;"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1"/>
                          </w:rPr>
                          <w:t>42</w:t>
                        </w:r>
                      </w:p>
                    </w:txbxContent>
                  </v:textbox>
                </v:shape>
              </w:pict>
            </w:r>
            <w:r>
              <w:pict>
                <v:shape id="_x0000_s1002" style="position:absolute;margin-left:-246.015pt;margin-top:135.954pt;mso-position-vertical-relative:top-margin-area;mso-position-horizontal-relative:right-margin-area;width:7.1pt;height:8.7pt;z-index:25701273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27</w:t>
                        </w:r>
                      </w:p>
                    </w:txbxContent>
                  </v:textbox>
                </v:shape>
              </w:pict>
            </w:r>
            <w:r>
              <w:pict>
                <v:shape id="_x0000_s1004" style="position:absolute;margin-left:-212.013pt;margin-top:137.994pt;mso-position-vertical-relative:top-margin-area;mso-position-horizontal-relative:right-margin-area;width:7.1pt;height:8.7pt;z-index:25701171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38</w:t>
                        </w:r>
                      </w:p>
                    </w:txbxContent>
                  </v:textbox>
                </v:shape>
              </w:pict>
            </w:r>
            <w:r>
              <w:pict>
                <v:shape id="_x0000_s1006" style="position:absolute;margin-left:-86.8582pt;margin-top:140.154pt;mso-position-vertical-relative:top-margin-area;mso-position-horizontal-relative:right-margin-area;width:7.2pt;height:8.7pt;z-index:257045504;"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1"/>
                            <w:position w:val="1"/>
                          </w:rPr>
                          <w:t>48</w:t>
                        </w:r>
                      </w:p>
                    </w:txbxContent>
                  </v:textbox>
                </v:shape>
              </w:pict>
            </w:r>
            <w:r>
              <w:pict>
                <v:shape id="_x0000_s1008" style="position:absolute;margin-left:-246.093pt;margin-top:143.514pt;mso-position-vertical-relative:top-margin-area;mso-position-horizontal-relative:right-margin-area;width:17.95pt;height:8.1pt;z-index:-246339584;" filled="false" stroked="false" type="#_x0000_t202">
                  <v:fill on="false"/>
                  <v:stroke on="false"/>
                  <v:path/>
                  <v:imagedata o:title=""/>
                  <o:lock v:ext="edit" aspectratio="false"/>
                  <v:textbox inset="0mm,0mm,0mm,0mm">
                    <w:txbxContent>
                      <w:p>
                        <w:pPr>
                          <w:ind w:left="20"/>
                          <w:spacing w:before="20" w:line="225" w:lineRule="auto"/>
                          <w:rPr>
                            <w:rFonts w:ascii="SimSun" w:hAnsi="SimSun" w:eastAsia="SimSun" w:cs="SimSun"/>
                            <w:sz w:val="10"/>
                            <w:szCs w:val="10"/>
                          </w:rPr>
                        </w:pPr>
                        <w:r>
                          <w:rPr>
                            <w:rFonts w:ascii="SimSun" w:hAnsi="SimSun" w:eastAsia="SimSun" w:cs="SimSun"/>
                            <w:sz w:val="10"/>
                            <w:szCs w:val="10"/>
                            <w:spacing w:val="6"/>
                          </w:rPr>
                          <w:t>苏左旗</w:t>
                        </w:r>
                      </w:p>
                    </w:txbxContent>
                  </v:textbox>
                </v:shape>
              </w:pict>
            </w:r>
            <w:r>
              <w:pict>
                <v:shape id="_x0000_s1010" style="position:absolute;margin-left:-105.858pt;margin-top:136.997pt;mso-position-vertical-relative:top-margin-area;mso-position-horizontal-relative:right-margin-area;width:16.85pt;height:14.8pt;z-index:257044480;" filled="false" stroked="false" type="#_x0000_t202">
                  <v:fill on="false"/>
                  <v:stroke on="false"/>
                  <v:path/>
                  <v:imagedata o:title=""/>
                  <o:lock v:ext="edit" aspectratio="false"/>
                  <v:textbox inset="0mm,0mm,0mm,0mm">
                    <w:txbxContent>
                      <w:p>
                        <w:pPr>
                          <w:ind w:left="20"/>
                          <w:spacing w:before="19" w:line="238" w:lineRule="auto"/>
                          <w:rPr>
                            <w:sz w:val="10"/>
                            <w:szCs w:val="10"/>
                          </w:rPr>
                        </w:pPr>
                        <w:r>
                          <w:rPr>
                            <w:rFonts w:ascii="SimSun" w:hAnsi="SimSun" w:eastAsia="SimSun" w:cs="SimSun"/>
                            <w:sz w:val="10"/>
                            <w:szCs w:val="10"/>
                            <w:position w:val="-15"/>
                          </w:rPr>
                          <w:drawing>
                            <wp:inline distT="0" distB="0" distL="0" distR="0">
                              <wp:extent cx="48208" cy="67716"/>
                              <wp:effectExtent l="0" t="0" r="0" b="0"/>
                              <wp:docPr id="214" name="IM 214"/>
                              <wp:cNvGraphicFramePr/>
                              <a:graphic>
                                <a:graphicData uri="http://schemas.openxmlformats.org/drawingml/2006/picture">
                                  <pic:pic>
                                    <pic:nvPicPr>
                                      <pic:cNvPr id="214" name="IM 214"/>
                                      <pic:cNvPicPr/>
                                    </pic:nvPicPr>
                                    <pic:blipFill>
                                      <a:blip r:embed="rId262"/>
                                      <a:stretch>
                                        <a:fillRect/>
                                      </a:stretch>
                                    </pic:blipFill>
                                    <pic:spPr>
                                      <a:xfrm rot="0">
                                        <a:off x="0" y="0"/>
                                        <a:ext cx="48208" cy="67716"/>
                                      </a:xfrm>
                                      <a:prstGeom prst="rect">
                                        <a:avLst/>
                                      </a:prstGeom>
                                    </pic:spPr>
                                  </pic:pic>
                                </a:graphicData>
                              </a:graphic>
                            </wp:inline>
                          </w:drawing>
                        </w:r>
                        <w:r>
                          <w:rPr>
                            <w:rFonts w:ascii="SimSun" w:hAnsi="SimSun" w:eastAsia="SimSun" w:cs="SimSun"/>
                            <w:sz w:val="10"/>
                            <w:szCs w:val="10"/>
                            <w:spacing w:val="-4"/>
                            <w:w w:val="50"/>
                          </w:rPr>
                          <w:t>43</w:t>
                        </w:r>
                        <w:r>
                          <w:rPr>
                            <w:rFonts w:ascii="SimSun" w:hAnsi="SimSun" w:eastAsia="SimSun" w:cs="SimSun"/>
                            <w:sz w:val="10"/>
                            <w:szCs w:val="10"/>
                            <w:spacing w:val="-27"/>
                          </w:rPr>
                          <w:t xml:space="preserve"> </w:t>
                        </w:r>
                        <w:r>
                          <w:rPr>
                            <w:sz w:val="10"/>
                            <w:szCs w:val="10"/>
                            <w:position w:val="-11"/>
                          </w:rPr>
                          <w:drawing>
                            <wp:inline distT="0" distB="0" distL="0" distR="0">
                              <wp:extent cx="97815" cy="137921"/>
                              <wp:effectExtent l="0" t="0" r="0" b="0"/>
                              <wp:docPr id="216" name="IM 216"/>
                              <wp:cNvGraphicFramePr/>
                              <a:graphic>
                                <a:graphicData uri="http://schemas.openxmlformats.org/drawingml/2006/picture">
                                  <pic:pic>
                                    <pic:nvPicPr>
                                      <pic:cNvPr id="216" name="IM 216"/>
                                      <pic:cNvPicPr/>
                                    </pic:nvPicPr>
                                    <pic:blipFill>
                                      <a:blip r:embed="rId263"/>
                                      <a:stretch>
                                        <a:fillRect/>
                                      </a:stretch>
                                    </pic:blipFill>
                                    <pic:spPr>
                                      <a:xfrm rot="0">
                                        <a:off x="0" y="0"/>
                                        <a:ext cx="97815" cy="137921"/>
                                      </a:xfrm>
                                      <a:prstGeom prst="rect">
                                        <a:avLst/>
                                      </a:prstGeom>
                                    </pic:spPr>
                                  </pic:pic>
                                </a:graphicData>
                              </a:graphic>
                            </wp:inline>
                          </w:drawing>
                        </w:r>
                      </w:p>
                    </w:txbxContent>
                  </v:textbox>
                </v:shape>
              </w:pict>
            </w:r>
            <w:r>
              <w:pict>
                <v:shape id="_x0000_s1012" style="position:absolute;margin-left:-300.752pt;margin-top:145.194pt;mso-position-vertical-relative:top-margin-area;mso-position-horizontal-relative:right-margin-area;width:6.9pt;height:8.75pt;z-index:257082368;"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2"/>
                            <w:position w:val="1"/>
                          </w:rPr>
                          <w:t>II</w:t>
                        </w:r>
                      </w:p>
                    </w:txbxContent>
                  </v:textbox>
                </v:shape>
              </w:pict>
            </w:r>
            <w:r>
              <w:pict>
                <v:shape id="_x0000_s1014" style="position:absolute;margin-left:-316.497pt;margin-top:147.714pt;mso-position-vertical-relative:top-margin-area;mso-position-horizontal-relative:right-margin-area;width:7pt;height:8.2pt;z-index:257025024;"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起</w:t>
                        </w:r>
                      </w:p>
                    </w:txbxContent>
                  </v:textbox>
                </v:shape>
              </w:pict>
            </w:r>
            <w:r>
              <w:pict>
                <v:shape id="_x0000_s1016" style="position:absolute;margin-left:-326.55pt;margin-top:146.082pt;mso-position-vertical-relative:top-margin-area;mso-position-horizontal-relative:right-margin-area;width:5.35pt;height:1.25pt;z-index:-246363136;" filled="false" strokecolor="#000000" strokeweight="0.12pt" coordsize="106,25" coordorigin="0,0" path="m1,23l105,1e">
                  <v:stroke endcap="round" miterlimit="10"/>
                </v:shape>
              </w:pict>
            </w:r>
            <w:r>
              <w:pict>
                <v:shape id="_x0000_s1018" style="position:absolute;margin-left:-393.023pt;margin-top:147.927pt;mso-position-vertical-relative:top-margin-area;mso-position-horizontal-relative:right-margin-area;width:77.2pt;height:7.45pt;z-index:257080320;" filled="false" strokecolor="#000000" strokeweight="0.12pt" coordsize="1543,148" coordorigin="0,0" path="m65,138l127,50m1,147l67,53m125,135l184,51m182,135l241,52m239,137l297,54m295,138l354,54m352,139l412,54m410,138l472,50m470,135l534,44m532,129l598,35m595,121l661,28m658,113l722,23m720,108l780,22m778,106l837,22m835,107l893,25m891,110l947,30m945,115l1001,35m999,120l1057,38m1055,122l1115,36m1113,121l1176,31m1174,116l1237,27m1234,112l1296,24m1294,109l1358,19m1355,104l1423,8m1420,94l1486,1m1483,86l1542,2e">
                  <v:stroke endcap="round" miterlimit="10"/>
                </v:shape>
              </w:pict>
            </w:r>
            <w:r>
              <w:pict>
                <v:shape id="_x0000_s1020" style="position:absolute;margin-left:-167.64pt;margin-top:145.227pt;mso-position-vertical-relative:top-margin-area;mso-position-horizontal-relative:right-margin-area;width:63.1pt;height:9.65pt;z-index:257085440;" filled="false" strokecolor="#000000" strokeweight="0.12pt" coordsize="1261,192" coordorigin="0,0" path="m1,95l67,1m63,88l113,17m103,113l152,43m142,139l192,69m184,161l234,90m230,178l283,103m280,188l338,106m336,191l397,103m395,188l460,97m457,182l524,88m521,174l589,77m585,164l654,66m651,152l720,54m717,140l786,42m783,129l850,34m847,119l912,27m909,112l971,24m969,109l1028,26m1026,110l1083,29m1081,113l1139,31m1137,115l1197,31m1195,115l1260,23e">
                  <v:stroke endcap="round" miterlimit="10"/>
                </v:shape>
              </w:pict>
            </w:r>
            <w:r>
              <w:pict>
                <v:shape id="_x0000_s1022" style="position:absolute;margin-left:-199.065pt;margin-top:145.497pt;mso-position-vertical-relative:top-margin-area;mso-position-horizontal-relative:right-margin-area;width:31.8pt;height:32.8pt;z-index:-246340608;" filled="false" strokecolor="#000000" strokeweight="0.12pt" coordsize="635,655" coordorigin="0,0" path="m1,654l80,542m65,644l478,58m164,586l563,20m553,115l634,1e">
                  <v:stroke endcap="round" miterlimit="10"/>
                </v:shape>
              </w:pict>
            </w:r>
            <w:r>
              <w:pict>
                <v:shape id="_x0000_s1024" style="position:absolute;margin-left:-290.805pt;margin-top:144.56pt;mso-position-vertical-relative:top-margin-area;mso-position-horizontal-relative:right-margin-area;width:5.8pt;height:5.15pt;z-index:257062912;" filled="false" strokecolor="#000000" strokeweight="0.12pt" coordsize="116,103" coordorigin="0,0" path="m3,51l31,24l69,3l89,1l106,10l114,29l108,47l43,96l26,101l11,87l1,69l3,51xm77,35l77,35e">
                  <v:stroke endcap="round" miterlimit="10"/>
                </v:shape>
              </w:pict>
            </w:r>
            <w:r>
              <w:pict>
                <v:shape id="_x0000_s1026" style="position:absolute;margin-left:-203.373pt;margin-top:150.954pt;mso-position-vertical-relative:top-margin-area;mso-position-horizontal-relative:right-margin-area;width:7.1pt;height:8.7pt;z-index:25699225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39</w:t>
                        </w:r>
                      </w:p>
                    </w:txbxContent>
                  </v:textbox>
                </v:shape>
              </w:pict>
            </w:r>
            <w:r>
              <w:pict>
                <v:shape id="_x0000_s1028" style="position:absolute;margin-left:-292.253pt;margin-top:151.554pt;mso-position-vertical-relative:top-margin-area;mso-position-horizontal-relative:right-margin-area;width:6.8pt;height:8.7pt;z-index:25703116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17</w:t>
                        </w:r>
                      </w:p>
                    </w:txbxContent>
                  </v:textbox>
                </v:shape>
              </w:pict>
            </w:r>
            <w:r>
              <w:pict>
                <v:shape id="_x0000_s1030" style="position:absolute;margin-left:-175.017pt;margin-top:150.354pt;mso-position-vertical-relative:top-margin-area;mso-position-horizontal-relative:right-margin-area;width:23.55pt;height:8.15pt;z-index:256993280;" filled="false" stroked="false" type="#_x0000_t202">
                  <v:fill on="false"/>
                  <v:stroke on="false"/>
                  <v:path/>
                  <v:imagedata o:title=""/>
                  <o:lock v:ext="edit" aspectratio="false"/>
                  <v:textbox inset="0mm,0mm,0mm,0mm">
                    <w:txbxContent>
                      <w:p>
                        <w:pPr>
                          <w:ind w:left="20"/>
                          <w:spacing w:before="19" w:line="226" w:lineRule="auto"/>
                          <w:rPr>
                            <w:rFonts w:ascii="SimSun" w:hAnsi="SimSun" w:eastAsia="SimSun" w:cs="SimSun"/>
                            <w:sz w:val="10"/>
                            <w:szCs w:val="10"/>
                          </w:rPr>
                        </w:pPr>
                        <w:r>
                          <w:rPr>
                            <w:rFonts w:ascii="SimSun" w:hAnsi="SimSun" w:eastAsia="SimSun" w:cs="SimSun"/>
                            <w:sz w:val="10"/>
                            <w:szCs w:val="10"/>
                            <w:spacing w:val="7"/>
                          </w:rPr>
                          <w:t>翁贡乌拉</w:t>
                        </w:r>
                      </w:p>
                    </w:txbxContent>
                  </v:textbox>
                </v:shape>
              </w:pict>
            </w:r>
            <w:r>
              <w:pict>
                <v:shape id="_x0000_s1032" style="position:absolute;margin-left:-179.272pt;margin-top:154.1pt;mso-position-vertical-relative:top-margin-area;mso-position-horizontal-relative:right-margin-area;width:2.55pt;height:2.4pt;z-index:257006592;" filled="false" strokecolor="#000000" strokeweight="0.12pt" coordsize="50,48" coordorigin="0,0" path="m49,23l42,7l25,1l8,7l1,23l8,39l25,46l42,39l49,23xe">
                  <v:stroke endcap="round" miterlimit="10"/>
                </v:shape>
              </w:pict>
            </w:r>
            <w:r>
              <w:pict>
                <v:shape id="_x0000_s1034" style="position:absolute;margin-left:-276.533pt;margin-top:154.194pt;mso-position-vertical-relative:top-margin-area;mso-position-horizontal-relative:right-margin-area;width:6.8pt;height:8.7pt;z-index:257004544;"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16</w:t>
                        </w:r>
                      </w:p>
                    </w:txbxContent>
                  </v:textbox>
                </v:shape>
              </w:pict>
            </w:r>
            <w:r>
              <w:pict>
                <v:shape id="_x0000_s1036" style="position:absolute;margin-left:-129.093pt;margin-top:155.394pt;mso-position-vertical-relative:top-margin-area;mso-position-horizontal-relative:right-margin-area;width:7.1pt;height:8.7pt;z-index:256999424;"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rPr>
                          <w:t>51</w:t>
                        </w:r>
                      </w:p>
                    </w:txbxContent>
                  </v:textbox>
                </v:shape>
              </w:pict>
            </w:r>
            <w:r>
              <w:pict>
                <v:shape id="_x0000_s1038" style="position:absolute;margin-left:-344.295pt;margin-top:155.874pt;mso-position-vertical-relative:top-margin-area;mso-position-horizontal-relative:right-margin-area;width:7.1pt;height:8.7pt;z-index:25699635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20</w:t>
                        </w:r>
                      </w:p>
                    </w:txbxContent>
                  </v:textbox>
                </v:shape>
              </w:pict>
            </w:r>
            <w:r>
              <w:pict>
                <v:shape id="_x0000_s1040" style="position:absolute;margin-left:-217.716pt;margin-top:156.234pt;mso-position-vertical-relative:top-margin-area;mso-position-horizontal-relative:right-margin-area;width:23.55pt;height:8.15pt;z-index:-246337536;" filled="false" stroked="false" type="#_x0000_t202">
                  <v:fill on="false"/>
                  <v:stroke on="false"/>
                  <v:path/>
                  <v:imagedata o:title=""/>
                  <o:lock v:ext="edit" aspectratio="false"/>
                  <v:textbox inset="0mm,0mm,0mm,0mm">
                    <w:txbxContent>
                      <w:p>
                        <w:pPr>
                          <w:ind w:left="20"/>
                          <w:spacing w:before="19" w:line="227" w:lineRule="auto"/>
                          <w:rPr>
                            <w:rFonts w:ascii="SimSun" w:hAnsi="SimSun" w:eastAsia="SimSun" w:cs="SimSun"/>
                            <w:sz w:val="10"/>
                            <w:szCs w:val="10"/>
                          </w:rPr>
                        </w:pPr>
                        <w:r>
                          <w:rPr>
                            <w:rFonts w:ascii="SimSun" w:hAnsi="SimSun" w:eastAsia="SimSun" w:cs="SimSun"/>
                            <w:sz w:val="10"/>
                            <w:szCs w:val="10"/>
                            <w:spacing w:val="7"/>
                          </w:rPr>
                          <w:t>温都尔庙</w:t>
                        </w:r>
                      </w:p>
                    </w:txbxContent>
                  </v:textbox>
                </v:shape>
              </w:pict>
            </w:r>
            <w:r>
              <w:pict>
                <v:shape id="_x0000_s1042" style="position:absolute;margin-left:-391.613pt;margin-top:157.194pt;mso-position-vertical-relative:top-margin-area;mso-position-horizontal-relative:right-margin-area;width:6.8pt;height:8.7pt;z-index:25699737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18</w:t>
                        </w:r>
                      </w:p>
                    </w:txbxContent>
                  </v:textbox>
                </v:shape>
              </w:pict>
            </w:r>
            <w:r>
              <w:pict>
                <v:shape id="_x0000_s1044" style="position:absolute;margin-left:-252.297pt;margin-top:158.514pt;mso-position-vertical-relative:top-margin-area;mso-position-horizontal-relative:right-margin-area;width:7pt;height:8.2pt;z-index:256994304;" filled="false" stroked="false" type="#_x0000_t202">
                  <v:fill on="false"/>
                  <v:stroke on="false"/>
                  <v:path/>
                  <v:imagedata o:title=""/>
                  <o:lock v:ext="edit" aspectratio="false"/>
                  <v:textbox inset="0mm,0mm,0mm,0mm">
                    <w:txbxContent>
                      <w:p>
                        <w:pPr>
                          <w:ind w:left="20"/>
                          <w:spacing w:before="20" w:line="227" w:lineRule="auto"/>
                          <w:rPr>
                            <w:rFonts w:ascii="SimSun" w:hAnsi="SimSun" w:eastAsia="SimSun" w:cs="SimSun"/>
                            <w:sz w:val="10"/>
                            <w:szCs w:val="10"/>
                          </w:rPr>
                        </w:pPr>
                        <w:r>
                          <w:rPr>
                            <w:rFonts w:ascii="SimSun" w:hAnsi="SimSun" w:eastAsia="SimSun" w:cs="SimSun"/>
                            <w:sz w:val="10"/>
                            <w:szCs w:val="10"/>
                          </w:rPr>
                          <w:t>起</w:t>
                        </w:r>
                      </w:p>
                    </w:txbxContent>
                  </v:textbox>
                </v:shape>
              </w:pict>
            </w:r>
            <w:r>
              <w:pict>
                <v:shape id="_x0000_s1046" style="position:absolute;margin-left:-60.6481pt;margin-top:160.794pt;mso-position-vertical-relative:top-margin-area;mso-position-horizontal-relative:right-margin-area;width:6.5pt;height:8.2pt;z-index:257037312;"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0"/>
                            <w:szCs w:val="10"/>
                          </w:rPr>
                        </w:pPr>
                        <w:r>
                          <w:rPr>
                            <w:rFonts w:ascii="SimSun" w:hAnsi="SimSun" w:eastAsia="SimSun" w:cs="SimSun"/>
                            <w:sz w:val="10"/>
                            <w:szCs w:val="10"/>
                          </w:rPr>
                          <w:t>图</w:t>
                        </w:r>
                      </w:p>
                    </w:txbxContent>
                  </v:textbox>
                </v:shape>
              </w:pict>
            </w:r>
            <w:r>
              <w:pict>
                <v:shape id="_x0000_s1048" style="position:absolute;margin-left:-50.1173pt;margin-top:160.794pt;mso-position-vertical-relative:top-margin-area;mso-position-horizontal-relative:right-margin-area;width:7pt;height:8.2pt;z-index:257024000;"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0"/>
                            <w:szCs w:val="10"/>
                          </w:rPr>
                        </w:pPr>
                        <w:r>
                          <w:rPr>
                            <w:rFonts w:ascii="SimSun" w:hAnsi="SimSun" w:eastAsia="SimSun" w:cs="SimSun"/>
                            <w:sz w:val="10"/>
                            <w:szCs w:val="10"/>
                          </w:rPr>
                          <w:t>例</w:t>
                        </w:r>
                      </w:p>
                    </w:txbxContent>
                  </v:textbox>
                </v:shape>
              </w:pict>
            </w:r>
            <w:r>
              <w:pict>
                <v:shape id="_x0000_s1050" style="position:absolute;margin-left:-368.672pt;margin-top:161.994pt;mso-position-vertical-relative:top-margin-area;mso-position-horizontal-relative:right-margin-area;width:9.75pt;height:8.75pt;z-index:257040384;"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1"/>
                            <w:position w:val="1"/>
                          </w:rPr>
                          <w:t>III</w:t>
                        </w:r>
                      </w:p>
                    </w:txbxContent>
                  </v:textbox>
                </v:shape>
              </w:pict>
            </w:r>
            <w:r>
              <w:pict>
                <v:shape id="_x0000_s1052" style="position:absolute;margin-left:-401.25pt;margin-top:164.27pt;mso-position-vertical-relative:top-margin-area;mso-position-horizontal-relative:right-margin-area;width:41.3pt;height:17.3pt;z-index:-246329344;" filled="false" strokecolor="#000000" strokeweight="0.12pt" coordsize="825,345" coordorigin="0,0" path="m1,344l125,263l259,195l394,132l537,86l682,37l824,1m286,312l286,312m214,312l215,312m143,312l143,312m71,312l72,312m393,245l393,245m321,245l322,245m250,245l250,245m178,245l179,245m500,178l500,178m428,178l429,178m357,178l358,178e">
                  <v:stroke endcap="round" miterlimit="10"/>
                </v:shape>
              </w:pict>
            </w:r>
            <w:r>
              <w:pict>
                <v:shape id="_x0000_s1054" style="position:absolute;margin-left:-399.585pt;margin-top:169.257pt;mso-position-vertical-relative:top-margin-area;mso-position-horizontal-relative:right-margin-area;width:7.95pt;height:3.85pt;z-index:-246335488;" filled="false" strokecolor="#000000" strokeweight="0.12pt" coordsize="158,76" coordorigin="0,0" path="m1,75l157,1e">
                  <v:stroke endcap="round" miterlimit="10"/>
                </v:shape>
              </w:pict>
            </w:r>
            <w:r>
              <w:pict>
                <v:shape id="_x0000_s1056" style="position:absolute;margin-left:-394.425pt;margin-top:166.265pt;mso-position-vertical-relative:top-margin-area;mso-position-horizontal-relative:right-margin-area;width:2.55pt;height:2.4pt;z-index:257083392;" filled="false" strokecolor="#000000" strokeweight="0.12pt" coordsize="50,48" coordorigin="0,0" path="m49,23l42,7l25,1l8,7l1,23l8,39l25,46l42,39l49,23xe">
                  <v:stroke endcap="round" miterlimit="10"/>
                </v:shape>
              </w:pict>
            </w:r>
            <w:r>
              <w:pict>
                <v:shape id="_x0000_s1058" style="position:absolute;margin-left:-220.38pt;margin-top:152.832pt;mso-position-vertical-relative:top-margin-area;mso-position-horizontal-relative:right-margin-area;width:10.55pt;height:6.3pt;z-index:-246362112;" filled="false" strokecolor="#000000" strokeweight="0.12pt" coordsize="211,126" coordorigin="0,0" path="m85,95l147,6m145,91l209,1m49,101l41,86l25,79l7,86l1,101l7,118l25,124l41,118l49,101xe">
                  <v:stroke endcap="round" miterlimit="10"/>
                </v:shape>
              </w:pict>
            </w:r>
            <w:r>
              <w:pict>
                <v:shape id="_x0000_s1060" style="position:absolute;margin-left:-261.795pt;margin-top:167.3pt;mso-position-vertical-relative:top-margin-area;mso-position-horizontal-relative:right-margin-area;width:13pt;height:10.15pt;z-index:-246341632;" filled="false" strokecolor="#000000" strokeweight="0.12pt" coordsize="260,202" coordorigin="0,0" path="m1,201l100,60m87,160l182,25m172,122l257,1e">
                  <v:stroke endcap="round" miterlimit="10"/>
                </v:shape>
              </w:pict>
            </w:r>
            <w:r>
              <w:pict>
                <v:shape id="_x0000_s1062" style="position:absolute;margin-left:-414.435pt;margin-top:153.17pt;mso-position-vertical-relative:top-margin-area;mso-position-horizontal-relative:right-margin-area;width:14.4pt;height:23.9pt;z-index:257059840;" filled="false" strokecolor="#000000" strokeweight="0.12pt" coordsize="287,477" coordorigin="0,0" path="m21,295l184,63m1,405l286,1m8,476l101,344e">
                  <v:stroke endcap="round" miterlimit="10"/>
                </v:shape>
              </w:pict>
            </w:r>
            <w:r>
              <w:pict>
                <v:shape id="_x0000_s1064" style="position:absolute;margin-left:-318.413pt;margin-top:162.02pt;mso-position-vertical-relative:top-margin-area;mso-position-horizontal-relative:right-margin-area;width:17.8pt;height:14.95pt;z-index:257060864;" filled="false" strokecolor="#000000" strokeweight="0.12pt" coordsize="355,298" coordorigin="0,0" path="m1,280l75,174m64,271l255,1m158,220l311,2m194,250l353,25m219,297l353,106e">
                  <v:stroke endcap="round" miterlimit="10"/>
                </v:shape>
              </w:pict>
            </w:r>
            <w:r>
              <w:pict>
                <v:shape id="_x0000_s1066" style="position:absolute;margin-left:-220.38pt;margin-top:153.125pt;mso-position-vertical-relative:top-margin-area;mso-position-horizontal-relative:right-margin-area;width:15.1pt;height:21.9pt;z-index:-246361088;" filled="false" strokecolor="#000000" strokeweight="0.12pt" coordsize="302,437" coordorigin="0,0" path="m1,371l262,1m13,436l300,28e">
                  <v:stroke endcap="round" miterlimit="10"/>
                </v:shape>
              </w:pict>
            </w:r>
            <w:r>
              <w:pict>
                <v:shape id="_x0000_s1068" style="position:absolute;margin-left:-214.155pt;margin-top:155.037pt;mso-position-vertical-relative:top-margin-area;mso-position-horizontal-relative:right-margin-area;width:25.3pt;height:24.25pt;z-index:-246350848;" filled="false" strokecolor="#000000" strokeweight="0.12pt" coordsize="505,485" coordorigin="0,0" path="m1,482l315,37m59,482l397,2m203,359l456,1m220,417l504,14m254,451l305,378e">
                  <v:stroke endcap="round" miterlimit="10"/>
                </v:shape>
              </w:pict>
            </w:r>
            <w:r>
              <w:pict>
                <v:shape id="_x0000_s1070" style="position:absolute;margin-left:-401.31pt;margin-top:150.92pt;mso-position-vertical-relative:top-margin-area;mso-position-horizontal-relative:right-margin-area;width:8.6pt;height:8.1pt;z-index:257063936;" filled="false" strokecolor="#000000" strokeweight="0.12pt" coordsize="172,162" coordorigin="0,0" path="m95,108l170,1m1,160l102,16e">
                  <v:stroke endcap="round" miterlimit="10"/>
                </v:shape>
              </w:pict>
            </w:r>
            <w:r>
              <w:pict>
                <v:shape id="_x0000_s1072" style="position:absolute;margin-left:-190.688pt;margin-top:156.08pt;mso-position-vertical-relative:top-margin-area;mso-position-horizontal-relative:right-margin-area;width:7.35pt;height:10.35pt;z-index:257070080;" filled="false" strokecolor="#000000" strokeweight="0.12pt" coordsize="146,207" coordorigin="0,0" path="m1,205l144,1e">
                  <v:stroke endcap="round" miterlimit="10"/>
                </v:shape>
              </w:pict>
            </w:r>
            <w:r>
              <w:pict>
                <v:shape id="_x0000_s1074" style="position:absolute;margin-left:-211.448pt;margin-top:162.815pt;mso-position-vertical-relative:top-margin-area;mso-position-horizontal-relative:right-margin-area;width:6.1pt;height:8.55pt;z-index:257129472;" filled="false" strokecolor="#000000" strokeweight="0.12pt" coordsize="121,171" coordorigin="0,0" path="m1,169l120,1e">
                  <v:stroke endcap="round" miterlimit="10"/>
                </v:shape>
              </w:pict>
            </w:r>
            <w:r>
              <w:pict>
                <v:shape id="_x0000_s1076" style="position:absolute;margin-left:-270.495pt;margin-top:168.234pt;mso-position-vertical-relative:top-margin-area;mso-position-horizontal-relative:right-margin-area;width:7.1pt;height:8.7pt;z-index:25703424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28</w:t>
                        </w:r>
                      </w:p>
                    </w:txbxContent>
                  </v:textbox>
                </v:shape>
              </w:pict>
            </w:r>
            <w:r>
              <w:pict>
                <v:shape id="_x0000_s1078" style="position:absolute;margin-left:-405.644pt;margin-top:169.434pt;mso-position-vertical-relative:top-margin-area;mso-position-horizontal-relative:right-margin-area;width:22.8pt;height:8.15pt;z-index:257039360;" filled="false" stroked="false" type="#_x0000_t202">
                  <v:fill on="false"/>
                  <v:stroke on="false"/>
                  <v:path/>
                  <v:imagedata o:title=""/>
                  <o:lock v:ext="edit" aspectratio="false"/>
                  <v:textbox inset="0mm,0mm,0mm,0mm">
                    <w:txbxContent>
                      <w:p>
                        <w:pPr>
                          <w:ind w:left="20"/>
                          <w:spacing w:before="19" w:line="226" w:lineRule="auto"/>
                          <w:rPr>
                            <w:rFonts w:ascii="SimSun" w:hAnsi="SimSun" w:eastAsia="SimSun" w:cs="SimSun"/>
                            <w:sz w:val="10"/>
                            <w:szCs w:val="10"/>
                          </w:rPr>
                        </w:pPr>
                        <w:r>
                          <w:rPr>
                            <w:rFonts w:ascii="SimSun" w:hAnsi="SimSun" w:eastAsia="SimSun" w:cs="SimSun"/>
                            <w:sz w:val="10"/>
                            <w:szCs w:val="10"/>
                            <w:spacing w:val="3"/>
                          </w:rPr>
                          <w:t>白音查干</w:t>
                        </w:r>
                      </w:p>
                    </w:txbxContent>
                  </v:textbox>
                </v:shape>
              </w:pict>
            </w:r>
            <w:r>
              <w:pict>
                <v:shape id="_x0000_s1080" style="position:absolute;margin-left:-80.64pt;margin-top:174.575pt;mso-position-vertical-relative:top-margin-area;mso-position-horizontal-relative:right-margin-area;width:23.75pt;height:13.85pt;z-index:-246330368;" filled="false" strokecolor="#000000" strokeweight="0.12pt" coordsize="475,277" coordorigin="0,0" path="m1,1l472,1l472,275l1,275l1,1xm94,93l142,60l197,44l253,28l282,22l311,24l365,47l408,86l417,113l411,140l393,162l369,179l316,203l260,220l202,230l144,230l84,221l58,210l43,186l43,159l53,131l69,108l94,93xm360,173l360,173m288,173l288,173m217,173l217,173m145,173l146,173m74,173l74,173m395,106l396,106m324,106l324,106m252,106l253,106m181,106l182,106m110,106l110,106m288,38l288,38e">
                  <v:stroke endcap="round" miterlimit="10"/>
                </v:shape>
              </w:pict>
            </w:r>
            <w:r>
              <w:pict>
                <v:shape id="_x0000_s1082" style="position:absolute;margin-left:-368.093pt;margin-top:172.745pt;mso-position-vertical-relative:top-margin-area;mso-position-horizontal-relative:right-margin-area;width:28.3pt;height:6.35pt;z-index:257086464;" filled="false" strokecolor="#000000" strokeweight="0.12pt" coordsize="565,126" coordorigin="0,0" path="m1,86l61,1m59,86l115,6m113,91l168,13m165,98l219,22m216,107l271,30m268,115l324,37m322,121l379,40m377,125l436,40m434,125l497,35m495,121l563,23e">
                  <v:stroke endcap="round" miterlimit="10"/>
                </v:shape>
              </w:pict>
            </w:r>
            <w:r>
              <w:pict>
                <v:shape id="_x0000_s1084" style="position:absolute;margin-left:-293.82pt;margin-top:173.352pt;mso-position-vertical-relative:top-margin-area;mso-position-horizontal-relative:right-margin-area;width:3.3pt;height:4.6pt;z-index:-246347776;" filled="false" strokecolor="#000000" strokeweight="0.12pt" coordsize="65,91" coordorigin="0,0" path="m1,90l64,1e">
                  <v:stroke endcap="round" miterlimit="10"/>
                </v:shape>
              </w:pict>
            </w:r>
            <w:r>
              <w:pict>
                <v:shape id="_x0000_s1086" style="position:absolute;margin-left:-270.105pt;margin-top:172.227pt;mso-position-vertical-relative:top-margin-area;mso-position-horizontal-relative:right-margin-area;width:9.15pt;height:8.85pt;z-index:-246342656;" filled="false" strokecolor="#000000" strokeweight="0.12pt" coordsize="182,177" coordorigin="0,0" path="m1,175l94,42m81,142l181,1e">
                  <v:stroke endcap="round" miterlimit="10"/>
                </v:shape>
              </w:pict>
            </w:r>
            <w:r>
              <w:pict>
                <v:shape id="_x0000_s1088" style="position:absolute;margin-left:-386.16pt;margin-top:172.79pt;mso-position-vertical-relative:top-margin-area;mso-position-horizontal-relative:right-margin-area;width:18.35pt;height:18.35pt;z-index:257102848;" filled="false" strokecolor="#000000" strokeweight="0.12pt" coordsize="367,367" coordorigin="0,0" path="m1,353l221,41m50,365l299,12m292,103l365,1m58,190l130,88e">
                  <v:stroke endcap="round" miterlimit="10"/>
                </v:shape>
              </w:pict>
            </w:r>
            <w:r>
              <w:pict>
                <v:shape id="_x0000_s1090" style="position:absolute;margin-left:-340.178pt;margin-top:170.9pt;mso-position-vertical-relative:top-margin-area;mso-position-horizontal-relative:right-margin-area;width:8.25pt;height:7.5pt;z-index:257067008;" filled="false" strokecolor="#000000" strokeweight="0.12pt" coordsize="165,150" coordorigin="0,0" path="m1,148l81,34m71,130l163,1e">
                  <v:stroke endcap="round" miterlimit="10"/>
                </v:shape>
              </w:pict>
            </w:r>
            <w:r>
              <w:pict>
                <v:shape id="_x0000_s1092" style="position:absolute;margin-left:-332.483pt;margin-top:170.607pt;mso-position-vertical-relative:top-margin-area;mso-position-horizontal-relative:right-margin-area;width:14.35pt;height:5.4pt;z-index:257068032;" filled="false" strokecolor="#000000" strokeweight="0.12pt" coordsize="287,108" coordorigin="0,0" path="m1,99l70,1m68,85l124,5m122,90l177,13m174,98l228,21m226,105l284,23e">
                  <v:stroke endcap="round" miterlimit="10"/>
                </v:shape>
              </w:pict>
            </w:r>
            <w:r>
              <w:pict>
                <v:shape id="_x0000_s1094" style="position:absolute;margin-left:-301.11pt;margin-top:170.795pt;mso-position-vertical-relative:top-margin-area;mso-position-horizontal-relative:right-margin-area;width:9.5pt;height:9.35pt;z-index:-246348800;" filled="false" strokecolor="#000000" strokeweight="0.12pt" coordsize="190,187" coordorigin="0,0" path="m1,185l115,23m73,163l188,1e">
                  <v:stroke endcap="round" miterlimit="10"/>
                </v:shape>
              </w:pict>
            </w:r>
            <w:r>
              <w:pict>
                <v:shape id="_x0000_s1096" style="position:absolute;margin-left:-113.373pt;margin-top:175.554pt;mso-position-vertical-relative:top-margin-area;mso-position-horizontal-relative:right-margin-area;width:7.1pt;height:8.7pt;z-index:25704140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50</w:t>
                        </w:r>
                      </w:p>
                    </w:txbxContent>
                  </v:textbox>
                </v:shape>
              </w:pict>
            </w:r>
            <w:r>
              <w:pict>
                <v:shape id="_x0000_s1098" style="position:absolute;margin-left:-392.333pt;margin-top:177.714pt;mso-position-vertical-relative:top-margin-area;mso-position-horizontal-relative:right-margin-area;width:6.8pt;height:8.7pt;z-index:25704243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19</w:t>
                        </w:r>
                      </w:p>
                    </w:txbxContent>
                  </v:textbox>
                </v:shape>
              </w:pict>
            </w:r>
            <w:r>
              <w:pict>
                <v:shape id="_x0000_s1100" style="position:absolute;margin-left:-231.093pt;margin-top:175.914pt;mso-position-vertical-relative:top-margin-area;mso-position-horizontal-relative:right-margin-area;width:7.1pt;height:8.7pt;z-index:25703833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53</w:t>
                        </w:r>
                      </w:p>
                    </w:txbxContent>
                  </v:textbox>
                </v:shape>
              </w:pict>
            </w:r>
            <w:r>
              <w:pict>
                <v:shape id="_x0000_s1102" style="position:absolute;margin-left:-178.257pt;margin-top:179.154pt;mso-position-vertical-relative:top-margin-area;mso-position-horizontal-relative:right-margin-area;width:12.5pt;height:8.2pt;z-index:257020928;" filled="false" stroked="false" type="#_x0000_t202">
                  <v:fill on="false"/>
                  <v:stroke on="false"/>
                  <v:path/>
                  <v:imagedata o:title=""/>
                  <o:lock v:ext="edit" aspectratio="false"/>
                  <v:textbox inset="0mm,0mm,0mm,0mm">
                    <w:txbxContent>
                      <w:p>
                        <w:pPr>
                          <w:ind w:left="20"/>
                          <w:spacing w:before="20" w:line="228" w:lineRule="auto"/>
                          <w:rPr>
                            <w:rFonts w:ascii="SimSun" w:hAnsi="SimSun" w:eastAsia="SimSun" w:cs="SimSun"/>
                            <w:sz w:val="10"/>
                            <w:szCs w:val="10"/>
                          </w:rPr>
                        </w:pPr>
                        <w:r>
                          <w:rPr>
                            <w:rFonts w:ascii="SimSun" w:hAnsi="SimSun" w:eastAsia="SimSun" w:cs="SimSun"/>
                            <w:sz w:val="10"/>
                            <w:szCs w:val="10"/>
                            <w:spacing w:val="4"/>
                          </w:rPr>
                          <w:t>化德</w:t>
                        </w:r>
                      </w:p>
                    </w:txbxContent>
                  </v:textbox>
                </v:shape>
              </w:pict>
            </w:r>
            <w:r>
              <w:pict>
                <v:shape id="_x0000_s1104" style="position:absolute;margin-left:-49.927pt;margin-top:174.83pt;mso-position-vertical-relative:top-margin-area;mso-position-horizontal-relative:right-margin-area;width:24.2pt;height:14.3pt;z-index:-246353920;" filled="false" strokecolor="#000000" strokeweight="0.12pt" coordsize="484,286" coordorigin="0,0" path="m1,1l482,1l482,284l1,284l1,1xm130,100l231,76l282,65l334,59l361,62l385,71l405,86l419,107l425,132l424,157l412,178l392,194l344,216l293,226l243,228l191,224l135,215l111,205l95,188l92,163l99,138l130,100xe">
                  <v:stroke endcap="round" miterlimit="10"/>
                </v:shape>
              </w:pict>
            </w:r>
            <w:r>
              <w:pict>
                <v:shape id="_x0000_s1106" style="position:absolute;margin-left:-402.885pt;margin-top:182.577pt;mso-position-vertical-relative:top-margin-area;mso-position-horizontal-relative:right-margin-area;width:2.25pt;height:3.1pt;z-index:257128448;" filled="false" strokecolor="#000000" strokeweight="0.12pt" coordsize="45,61" coordorigin="0,0" path="m1,60l43,1e">
                  <v:stroke endcap="round" miterlimit="10"/>
                </v:shape>
              </w:pict>
            </w:r>
            <w:r>
              <w:pict>
                <v:shape id="_x0000_s1108" style="position:absolute;margin-left:-393.712pt;margin-top:183.927pt;mso-position-vertical-relative:top-margin-area;mso-position-horizontal-relative:right-margin-area;width:8.1pt;height:5.5pt;z-index:257101824;" filled="false" strokecolor="#000000" strokeweight="0.12pt" coordsize="162,110" coordorigin="0,0" path="m1,100l71,1m68,86l118,15m110,108l160,37e">
                  <v:stroke endcap="round" miterlimit="10"/>
                </v:shape>
              </w:pict>
            </w:r>
            <w:r>
              <w:pict>
                <v:shape id="_x0000_s1110" style="position:absolute;margin-left:-326.1pt;margin-top:180.92pt;mso-position-vertical-relative:top-margin-area;mso-position-horizontal-relative:right-margin-area;width:2.55pt;height:2.4pt;z-index:257088512;" filled="false" strokecolor="#000000" strokeweight="0.12pt" coordsize="50,48" coordorigin="0,0" path="m49,23l41,7l25,1l8,7l1,23l8,39l25,46l41,39l49,23xe">
                  <v:stroke endcap="round" miterlimit="10"/>
                </v:shape>
              </w:pict>
            </w:r>
            <w:r>
              <w:pict>
                <v:shape id="_x0000_s1112" style="position:absolute;margin-left:-291.51pt;margin-top:182.787pt;mso-position-vertical-relative:top-margin-area;mso-position-horizontal-relative:right-margin-area;width:5pt;height:5.45pt;z-index:-246344704;" filled="false" strokecolor="#000000" strokeweight="0.12pt" coordsize="100,108" coordorigin="0,0" path="m1,81l57,1m40,107l98,24e">
                  <v:stroke endcap="round" miterlimit="10"/>
                </v:shape>
              </w:pict>
            </w:r>
            <w:r>
              <w:pict>
                <v:shape id="_x0000_s1114" style="position:absolute;margin-left:-182.73pt;margin-top:181.52pt;mso-position-vertical-relative:top-margin-area;mso-position-horizontal-relative:right-margin-area;width:2.55pt;height:2.4pt;z-index:257079296;" filled="false" strokecolor="#000000" strokeweight="0.12pt" coordsize="50,48" coordorigin="0,0" path="m49,23l42,7l25,1l8,7l1,23l8,39l25,46l42,39l49,23xe">
                  <v:stroke endcap="round" miterlimit="10"/>
                </v:shape>
              </w:pict>
            </w:r>
            <w:r>
              <w:pict>
                <v:shape id="_x0000_s1116" style="position:absolute;margin-left:-213.795pt;margin-top:181.685pt;mso-position-vertical-relative:top-margin-area;mso-position-horizontal-relative:right-margin-area;width:1.8pt;height:6.9pt;z-index:-246375424;" filled="false" strokecolor="#000000" strokeweight="0.12pt" coordsize="35,138" coordorigin="0,0" path="m24,1l34,131m1,5l10,136m25,4l1,7e">
                  <v:stroke endcap="round" miterlimit="10"/>
                </v:shape>
              </w:pict>
            </w:r>
            <w:r>
              <w:pict>
                <v:group id="_x0000_s1118" style="position:absolute;margin-left:-213.795pt;margin-top:181.85pt;mso-position-vertical-relative:top-margin-area;mso-position-horizontal-relative:right-margin-area;width:2.4pt;height:8.65pt;z-index:257087488;" filled="false" stroked="false" coordsize="48,172" coordorigin="0,0">
                  <v:shape id="_x0000_s1120" style="position:absolute;left:0;top:0;width:27;height:5;" filled="false" strokecolor="#000000" strokeweight="0.12pt" coordsize="27,5" coordorigin="0,0" path="m25,1l1,3l25,3l25,1xe">
                    <v:stroke endcap="round" miterlimit="10"/>
                  </v:shape>
                  <v:shape id="_x0000_s1122" style="position:absolute;left:1;top:3;width:30;height:86;" fillcolor="#000000" filled="true" stroked="false" coordsize="30,86" coordorigin="0,0" path="m,l5,85l29,85l0,0xe"/>
                  <v:shape id="_x0000_s1124" style="position:absolute;left:0;top:2;width:32;height:88;" filled="false" strokecolor="#000000" strokeweight="0.12pt" coordsize="32,88" coordorigin="0,0" path="m1,1l6,86l30,86l1,1xe">
                    <v:stroke endcap="round" miterlimit="10"/>
                  </v:shape>
                  <v:shape id="_x0000_s1126" style="position:absolute;left:1;top:3;width:30;height:86;" fillcolor="#000000" filled="true" stroked="false" coordsize="30,86" coordorigin="0,0" path="m,l23,0l29,85l0,0xe"/>
                  <v:shape id="_x0000_s1128" style="position:absolute;left:0;top:2;width:32;height:88;" filled="false" strokecolor="#000000" strokeweight="0.12pt" coordsize="32,88" coordorigin="0,0" path="m1,1l25,1l30,86l1,1xe">
                    <v:stroke endcap="round" miterlimit="10"/>
                  </v:shape>
                  <v:shape id="_x0000_s1130" style="position:absolute;left:6;top:88;width:25;height:2;" fillcolor="#000000" filled="true" stroked="false" coordsize="25,2" coordorigin="0,0" path="m,l0,1l24,1l0,0xe"/>
                  <v:shape id="_x0000_s1132" style="position:absolute;left:5;top:87;width:27;height:5;" filled="false" strokecolor="#000000" strokeweight="0.12pt" coordsize="27,5" coordorigin="0,0" path="m1,1l1,2l25,2l1,1xe">
                    <v:stroke endcap="round" miterlimit="10"/>
                  </v:shape>
                  <v:shape id="_x0000_s1134" style="position:absolute;left:6;top:88;width:25;height:2;" fillcolor="#000000" filled="true" stroked="false" coordsize="25,2" coordorigin="0,0" path="m,l23,0l24,1l0,0xe"/>
                  <v:shape id="_x0000_s1136" style="position:absolute;left:5;top:87;width:27;height:5;" filled="false" strokecolor="#000000" strokeweight="0.12pt" coordsize="27,5" coordorigin="0,0" path="m1,1l25,1l25,2l1,1xe">
                    <v:stroke endcap="round" miterlimit="10"/>
                  </v:shape>
                  <v:shape id="_x0000_s1138" style="position:absolute;left:6;top:90;width:39;height:81;" fillcolor="#000000" filled="true" stroked="false" coordsize="39,81" coordorigin="0,0" path="m,l15,80l38,80l0,0xe"/>
                  <v:shape id="_x0000_s1140" style="position:absolute;left:5;top:89;width:41;height:83;" filled="false" strokecolor="#000000" strokeweight="0.12pt" coordsize="41,83" coordorigin="0,0" path="m1,1l16,81l40,81l1,1xe">
                    <v:stroke endcap="round" miterlimit="10"/>
                  </v:shape>
                  <v:shape id="_x0000_s1142" style="position:absolute;left:6;top:90;width:39;height:81;" fillcolor="#000000" filled="true" stroked="false" coordsize="39,81" coordorigin="0,0" path="m,l24,0l38,80l0,0xe"/>
                  <v:shape id="_x0000_s1144" style="position:absolute;left:5;top:89;width:41;height:83;" filled="false" strokecolor="#000000" strokeweight="0.12pt" coordsize="41,83" coordorigin="0,0" path="m1,1l25,1l40,81l1,1xe">
                    <v:stroke endcap="round" miterlimit="10"/>
                  </v:shape>
                </v:group>
              </w:pict>
            </w:r>
            <w:r>
              <w:pict>
                <v:shape id="_x0000_s1146" style="position:absolute;margin-left:-286.905pt;margin-top:176.18pt;mso-position-vertical-relative:top-margin-area;mso-position-horizontal-relative:right-margin-area;width:17.45pt;height:12.4pt;z-index:-246343680;" filled="false" strokecolor="#000000" strokeweight="0.12pt" coordsize="349,247" coordorigin="0,0" path="m1,246l136,54m86,207l199,47m196,132l268,30m262,120l346,1e">
                  <v:stroke endcap="round" miterlimit="10"/>
                </v:shape>
              </w:pict>
            </w:r>
            <w:r>
              <w:pict>
                <v:shape id="_x0000_s1148" style="position:absolute;margin-left:-419.505pt;margin-top:178.467pt;mso-position-vertical-relative:top-margin-area;mso-position-horizontal-relative:right-margin-area;width:13.15pt;height:18.6pt;z-index:257065984;" filled="false" strokecolor="#000000" strokeweight="0.12pt" coordsize="262,372" coordorigin="0,0" path="m1,287l115,126m1,369l261,1e">
                  <v:stroke endcap="round" miterlimit="10"/>
                </v:shape>
              </w:pict>
            </w:r>
            <w:r>
              <w:pict>
                <v:shape id="_x0000_s1150" style="position:absolute;margin-left:-398.168pt;margin-top:184.16pt;mso-position-vertical-relative:top-margin-area;mso-position-horizontal-relative:right-margin-area;width:5.05pt;height:7.1pt;z-index:257100800;" filled="false" strokecolor="#000000" strokeweight="0.12pt" coordsize="101,141" coordorigin="0,0" path="m1,140l99,1e">
                  <v:stroke endcap="round" miterlimit="10"/>
                </v:shape>
              </w:pict>
            </w:r>
            <w:r>
              <w:pict>
                <v:shape id="_x0000_s1152" style="position:absolute;margin-left:-293.438pt;margin-top:176.007pt;mso-position-vertical-relative:top-margin-area;mso-position-horizontal-relative:right-margin-area;width:4.5pt;height:8.7pt;z-index:-246346752;" filled="false" strokecolor="#000000" strokeweight="0.12pt" coordsize="90,173" coordorigin="0,0" path="m1,108l76,1m13,172l88,66e">
                  <v:stroke endcap="round" miterlimit="10"/>
                </v:shape>
              </w:pict>
            </w:r>
            <w:r>
              <w:pict>
                <v:shape id="_x0000_s1154" style="position:absolute;margin-left:-406.635pt;margin-top:180.207pt;mso-position-vertical-relative:top-margin-area;mso-position-horizontal-relative:right-margin-area;width:4.8pt;height:6.75pt;z-index:257127424;" filled="false" strokecolor="#000000" strokeweight="0.12pt" coordsize="96,135" coordorigin="0,0" path="m1,133l94,1e">
                  <v:stroke endcap="round" miterlimit="10"/>
                </v:shape>
              </w:pict>
            </w:r>
            <w:r>
              <w:pict>
                <v:shape id="_x0000_s1156" style="position:absolute;margin-left:-410.153pt;margin-top:179.232pt;mso-position-vertical-relative:top-margin-area;mso-position-horizontal-relative:right-margin-area;width:6.1pt;height:8.65pt;z-index:257131520;" filled="false" strokecolor="#000000" strokeweight="0.12pt" coordsize="121,172" coordorigin="0,0" path="m1,170l120,1e">
                  <v:stroke endcap="round" miterlimit="10"/>
                </v:shape>
              </w:pict>
            </w:r>
            <w:r>
              <w:pict>
                <v:shape id="_x0000_s1158" style="position:absolute;margin-left:-264.525pt;margin-top:137.742pt;mso-position-vertical-relative:top-margin-area;mso-position-horizontal-relative:right-margin-area;width:2.55pt;height:2.4pt;z-index:257089536;" filled="false" strokecolor="#000000" strokeweight="0.12pt" coordsize="50,48" coordorigin="0,0" path="m49,23l42,7l25,1l8,7l1,23l8,39l25,46l42,39l49,23xe">
                  <v:stroke endcap="round" miterlimit="10"/>
                </v:shape>
              </w:pict>
            </w:r>
            <w:r>
              <w:pict>
                <v:shape id="_x0000_s1160" style="position:absolute;margin-left:-305.85pt;margin-top:175.01pt;mso-position-vertical-relative:top-margin-area;mso-position-horizontal-relative:right-margin-area;width:5.05pt;height:4.8pt;z-index:257076224;" filled="false" strokecolor="#000000" strokeweight="0.12pt" coordsize="101,96" coordorigin="0,0" path="m1,72l51,1m43,94l99,15e">
                  <v:stroke endcap="round" miterlimit="10"/>
                </v:shape>
              </w:pict>
            </w:r>
            <w:r>
              <w:pict>
                <v:shape id="_x0000_s1162" style="position:absolute;margin-left:-250.26pt;margin-top:103.82pt;mso-position-vertical-relative:top-margin-area;mso-position-horizontal-relative:right-margin-area;width:37.75pt;height:78.25pt;z-index:257126400;" fillcolor="#000000" filled="true" stroked="false" coordsize="755,1565" coordorigin="0,0" path="m19,0l0,13l27,13l19,0xem0,13l36,76l63,76l0,13xem0,13l27,13l63,76l0,13xem36,76l63,76l48,97l36,76xem63,76l48,97l76,97l63,76xem78,149l106,149l86,163l78,149xem754,1561l730,1564l754,1564l754,1561xe"/>
              </w:pict>
            </w:r>
            <w:r>
              <w:pict>
                <v:shape id="_x0000_s1164" style="position:absolute;margin-left:-183.338pt;margin-top:144.114pt;mso-position-vertical-relative:top-margin-area;mso-position-horizontal-relative:right-margin-area;width:7.2pt;height:8.75pt;z-index:256995328;"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1"/>
                          </w:rPr>
                          <w:t>41</w:t>
                        </w:r>
                      </w:p>
                    </w:txbxContent>
                  </v:textbox>
                </v:shape>
              </w:pict>
            </w:r>
            <w:r>
              <w:pict>
                <v:shape id="_x0000_s1166" style="position:absolute;margin-left:-175.773pt;margin-top:169.314pt;mso-position-vertical-relative:top-margin-area;mso-position-horizontal-relative:right-margin-area;width:7.1pt;height:8.7pt;z-index:257005568;"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52</w:t>
                        </w:r>
                      </w:p>
                    </w:txbxContent>
                  </v:textbox>
                </v:shape>
              </w:pict>
            </w:r>
            <w:r>
              <w:pict>
                <v:shape id="_x0000_s1168" style="position:absolute;margin-left:-135.156pt;margin-top:38.1536pt;mso-position-vertical-relative:top-margin-area;mso-position-horizontal-relative:right-margin-area;width:4.4pt;height:8.7pt;z-index:25714688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6</w:t>
                        </w:r>
                      </w:p>
                    </w:txbxContent>
                  </v:textbox>
                </v:shape>
              </w:pict>
            </w:r>
            <w:r>
              <w:pict>
                <v:shape id="_x0000_s1170" style="position:absolute;margin-left:-86.4982pt;margin-top:14.3936pt;mso-position-vertical-relative:top-margin-area;mso-position-horizontal-relative:right-margin-area;width:7.2pt;height:8.75pt;z-index:257115136;"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spacing w:val="1"/>
                          </w:rPr>
                          <w:t>44</w:t>
                        </w:r>
                      </w:p>
                    </w:txbxContent>
                  </v:textbox>
                </v:shape>
              </w:pict>
            </w:r>
            <w:r>
              <w:pict>
                <v:shape id="_x0000_s1172" style="position:absolute;margin-left:-109.133pt;margin-top:21.4736pt;mso-position-vertical-relative:top-margin-area;mso-position-horizontal-relative:right-margin-area;width:4.05pt;height:8.75pt;z-index:257114112;" filled="false" stroked="false" type="#_x0000_t202">
                  <v:fill on="false"/>
                  <v:stroke on="false"/>
                  <v:path/>
                  <v:imagedata o:title=""/>
                  <o:lock v:ext="edit" aspectratio="false"/>
                  <v:textbox inset="0mm,0mm,0mm,0mm">
                    <w:txbxContent>
                      <w:p>
                        <w:pPr>
                          <w:ind w:left="20"/>
                          <w:spacing w:before="20" w:line="134" w:lineRule="exact"/>
                          <w:rPr>
                            <w:rFonts w:ascii="SimSun" w:hAnsi="SimSun" w:eastAsia="SimSun" w:cs="SimSun"/>
                            <w:sz w:val="10"/>
                            <w:szCs w:val="10"/>
                          </w:rPr>
                        </w:pPr>
                        <w:r>
                          <w:rPr>
                            <w:rFonts w:ascii="SimSun" w:hAnsi="SimSun" w:eastAsia="SimSun" w:cs="SimSun"/>
                            <w:sz w:val="10"/>
                            <w:szCs w:val="10"/>
                          </w:rPr>
                          <w:t>1</w:t>
                        </w:r>
                      </w:p>
                    </w:txbxContent>
                  </v:textbox>
                </v:shape>
              </w:pict>
            </w:r>
            <w:r>
              <w:pict>
                <v:shape id="_x0000_s1174" style="position:absolute;margin-left:-109.873pt;margin-top:44.8737pt;mso-position-vertical-relative:top-margin-area;mso-position-horizontal-relative:right-margin-area;width:4.3pt;height:8.7pt;z-index:257116160;"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7</w:t>
                        </w:r>
                      </w:p>
                    </w:txbxContent>
                  </v:textbox>
                </v:shape>
              </w:pict>
            </w:r>
            <w:r>
              <w:pict>
                <v:shape id="_x0000_s1176" style="position:absolute;margin-left:-90.3335pt;margin-top:53.1536pt;mso-position-vertical-relative:top-margin-area;mso-position-horizontal-relative:right-margin-area;width:7.1pt;height:8.7pt;z-index:257110016;"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position w:val="1"/>
                          </w:rPr>
                          <w:t>33</w:t>
                        </w:r>
                      </w:p>
                    </w:txbxContent>
                  </v:textbox>
                </v:shape>
              </w:pict>
            </w:r>
            <w:r>
              <w:pict>
                <v:shape id="_x0000_s1178" style="position:absolute;margin-left:-265.373pt;margin-top:116.994pt;mso-position-vertical-relative:top-margin-area;mso-position-horizontal-relative:right-margin-area;width:6.8pt;height:8.7pt;z-index:257124352;" filled="false" stroked="false" type="#_x0000_t202">
                  <v:fill on="false"/>
                  <v:stroke on="false"/>
                  <v:path/>
                  <v:imagedata o:title=""/>
                  <o:lock v:ext="edit" aspectratio="false"/>
                  <v:textbox inset="0mm,0mm,0mm,0mm">
                    <w:txbxContent>
                      <w:p>
                        <w:pPr>
                          <w:ind w:left="20"/>
                          <w:spacing w:before="20" w:line="133" w:lineRule="exact"/>
                          <w:rPr>
                            <w:rFonts w:ascii="SimSun" w:hAnsi="SimSun" w:eastAsia="SimSun" w:cs="SimSun"/>
                            <w:sz w:val="10"/>
                            <w:szCs w:val="10"/>
                          </w:rPr>
                        </w:pPr>
                        <w:r>
                          <w:rPr>
                            <w:rFonts w:ascii="SimSun" w:hAnsi="SimSun" w:eastAsia="SimSun" w:cs="SimSun"/>
                            <w:sz w:val="10"/>
                            <w:szCs w:val="10"/>
                            <w:spacing w:val="-3"/>
                          </w:rPr>
                          <w:t>10</w:t>
                        </w:r>
                      </w:p>
                    </w:txbxContent>
                  </v:textbox>
                </v:shape>
              </w:pict>
            </w:r>
            <w:r>
              <w:pict>
                <v:shape id="_x0000_s1180" style="position:absolute;margin-left:-412.86pt;margin-top:175.1pt;mso-position-vertical-relative:top-margin-area;mso-position-horizontal-relative:right-margin-area;width:4.35pt;height:5.95pt;z-index:257084416;" filled="false" strokecolor="#000000" strokeweight="0.12pt" coordsize="86,118" coordorigin="0,0" path="m1,85l60,1m35,117l85,46e">
                  <v:stroke endcap="round" miterlimit="10"/>
                </v:shape>
              </w:pict>
            </w:r>
            <w:r/>
          </w:p>
          <w:p>
            <w:pPr>
              <w:ind w:firstLine="229"/>
              <w:spacing w:line="3423" w:lineRule="exact"/>
              <w:rPr/>
            </w:pPr>
            <w:r>
              <w:rPr>
                <w:position w:val="-68"/>
              </w:rPr>
              <w:pict>
                <v:shape id="_x0000_s1182" style="mso-position-vertical-relative:line;mso-position-horizontal-relative:char;width:389.4pt;height:171.15pt;" filled="false" strokecolor="#000000" strokeweight="0.12pt" coordsize="7787,3422" coordorigin="0,0" path="m2129,2408l2180,2365l2218,2311m6463,1023l6447,1045m7069,735l7100,774m5698,1958l5586,2016m5830,1669l5860,1642m5873,1635l5888,1640m6081,2267l6132,2236l6163,2225l6190,2233l6185,2261m5046,2668l5040,2650l5059,2638m2119,3085l2165,3051l2226,3049l2286,3044l2345,3027l2456,2975l2495,2937l2517,2913l2527,2889l2497,2879l2467,2881l2408,2892l2291,2921l2171,2934l2111,2928l2051,2929l1999,2963l1981,2992l1962,3008l1909,2974l1882,2956l1871,2935l1882,2908l1907,2893l1970,2890l2028,2877l2082,2853l2300,2753l2413,2709l2460,2674l2472,2618l2469,2561l2504,2514l2543,2471l2571,2470l2593,2492l2647,2517l2653,2544l2646,2573l2613,2620l2566,2657l2520,2693l2504,2717l2500,2748l2512,2773l2539,2784l2601,2776l2644,2736l2670,2685l2694,2633l2733,2589l2772,2548l2792,2493l2820,2442l2831,2415l2823,2387l3013,2260l3079,2245l3084,2269l3075,2297l3036,2337l2987,2376l2983,2403l3001,2425l3064,2423l3122,2404l3159,2363l3214,2260l3302,2182l3417,2149l3524,2094l3568,2054l3601,2007l3623,1954l3634,1927l3655,1909l3774,1885l3825,1854l3860,1808l3895,1762l3954,1749l3978,1730l3999,1749l3976,1802l3947,1850l3903,1891l3814,1968l3711,2026l3613,2092l3542,2184l3462,2269l3366,2338l3254,2381l3038,2483l2934,2541l2840,2612l2806,2660l2790,2716l2795,2772l2822,2824l2855,2873l2865,2927l2840,2980l2797,3022l2747,3053l2718,3059l2715,3030l2748,2982l2738,2957l2709,2946l2648,2951l2591,2970l2496,3040l2477,3062l2469,3089l2458,3114l2432,3131l2402,3135l2376,3121l2354,3099l2328,3098m1588,3077l1563,3103m1695,3115l1734,3067m1861,3054l1916,3087m2386,3256l2478,3231m3072,3042l3115,3061m3784,2726l3792,2765m3915,2752l3923,2683m4029,2703l4027,2772m4073,2812l4171,2736m4358,2692l4289,2791m4405,2817l4632,2630l4763,2550m4871,2565l4887,2596m77,3272l111,3199m1155,2826l1206,2761m1223,2756l1238,2807m1726,2862l1767,2826m2176,2425l2334,2457m4000,2751l4001,2751m3928,2751l3929,2751m4214,3153l4215,3153m3928,3153l3929,3153m3857,3153l3857,3153m4321,3086l4322,3086m3893,3086l3893,3086m4286,3019l4286,3019m3928,3019l3929,3019m4393,2952l4393,2952m4036,2952l4036,2952m3964,2952l3965,2952m4428,2885l4429,2885m4143,2885l4143,2885m4464,2818l4465,2818m4178,2818l4179,2818m4607,2684l4607,2684m4714,2616l4715,2616m5928,2214l5928,2214m5678,1878l5679,1878m5821,1745l5822,1745m5857,1677l5857,1677m5250,2684l5250,2684m5178,2684l5179,2684m5107,2684l5107,2684m6071,2616l6071,2616m5999,2616l6000,2616m5928,2616l5928,2616m5857,2616l5857,2616m5785,2616l5786,2616m5714,2616l5714,2616m5643,2616l5643,2616m6249,1342l6250,1342m6285,1275l6286,1275m6321,1208l6321,1208m6357,1141l6357,1141m6393,1074l6393,1074m7178,805l7178,805m7464,805l7464,805m7678,537l7678,537m7714,470l7714,470m7678,403l7678,403m7499,336l7500,336m7785,68l7785,68m7285,68l7285,68m7214,68l7214,68m7142,68l7142,68m7678,1l7678,1m7606,1l7607,1m7535,1l7536,1m6678,1074l6678,1074m6535,1074l6536,1074m6749,939l6750,939m6928,873l6928,873m2393,3354l2394,3354m2500,3287l2501,3287m2750,3220l2751,3220m2857,3153l2858,3153m3036,3086l3036,3086m2322,3086l2322,3086m3286,3019l3286,3019m3536,2952l3536,2952m3678,2818l3679,2818m3786,2751l3786,2751m501,3421l501,3421m72,3421l73,3421m393,3354l394,3354m322,3354l322,3354m501,3287l501,3287m715,3153l715,3153m1429,3153l1430,3153m1358,3153l1358,3153m1072,3153l1072,3153m1001,3153l1001,3153m929,3153l930,3153m1893,3086l1894,3086m1,3019l1,3019m37,2952l37,2952m143,2885l144,2885m1750,2818l1751,2818m251,2818l251,2818m1786,2751l1786,2751m1715,2751l1715,2751m2429,2348l2429,2348e">
                  <v:stroke endcap="round" miterlimit="10"/>
                </v:shape>
              </w:pict>
            </w:r>
          </w:p>
        </w:tc>
      </w:tr>
    </w:tbl>
    <w:p>
      <w:pPr>
        <w:pStyle w:val="BodyText"/>
        <w:spacing w:line="353" w:lineRule="auto"/>
        <w:rPr/>
      </w:pPr>
      <w:r/>
    </w:p>
    <w:p>
      <w:pPr>
        <w:ind w:left="2593"/>
        <w:spacing w:before="78" w:line="220" w:lineRule="auto"/>
        <w:rPr>
          <w:rFonts w:ascii="SimSun" w:hAnsi="SimSun" w:eastAsia="SimSun" w:cs="SimSun"/>
          <w:sz w:val="24"/>
          <w:szCs w:val="24"/>
        </w:rPr>
      </w:pPr>
      <w:r>
        <w:rPr>
          <w:rFonts w:ascii="SimSun" w:hAnsi="SimSun" w:eastAsia="SimSun" w:cs="SimSun"/>
          <w:sz w:val="24"/>
          <w:szCs w:val="24"/>
          <w:b/>
          <w:bCs/>
          <w:spacing w:val="-6"/>
        </w:rPr>
        <w:t>图</w:t>
      </w:r>
      <w:r>
        <w:rPr>
          <w:rFonts w:ascii="SimSun" w:hAnsi="SimSun" w:eastAsia="SimSun" w:cs="SimSun"/>
          <w:sz w:val="24"/>
          <w:szCs w:val="24"/>
          <w:spacing w:val="-54"/>
        </w:rPr>
        <w:t xml:space="preserve"> </w:t>
      </w:r>
      <w:r>
        <w:rPr>
          <w:rFonts w:ascii="Times New Roman" w:hAnsi="Times New Roman" w:eastAsia="Times New Roman" w:cs="Times New Roman"/>
          <w:sz w:val="24"/>
          <w:szCs w:val="24"/>
          <w:b/>
          <w:bCs/>
          <w:spacing w:val="-6"/>
        </w:rPr>
        <w:t>4-1-2</w:t>
      </w:r>
      <w:r>
        <w:rPr>
          <w:rFonts w:ascii="Times New Roman" w:hAnsi="Times New Roman" w:eastAsia="Times New Roman" w:cs="Times New Roman"/>
          <w:sz w:val="24"/>
          <w:szCs w:val="24"/>
          <w:b/>
          <w:bCs/>
          <w:spacing w:val="11"/>
        </w:rPr>
        <w:t xml:space="preserve">    </w:t>
      </w:r>
      <w:r>
        <w:rPr>
          <w:rFonts w:ascii="SimSun" w:hAnsi="SimSun" w:eastAsia="SimSun" w:cs="SimSun"/>
          <w:sz w:val="24"/>
          <w:szCs w:val="24"/>
          <w:b/>
          <w:bCs/>
          <w:spacing w:val="-6"/>
        </w:rPr>
        <w:t>白音华煤田构造位置示意图</w:t>
      </w:r>
    </w:p>
    <w:p>
      <w:pPr>
        <w:ind w:left="490"/>
        <w:spacing w:before="156" w:line="217" w:lineRule="auto"/>
        <w:rPr>
          <w:rFonts w:ascii="SimSun" w:hAnsi="SimSun" w:eastAsia="SimSun" w:cs="SimSun"/>
          <w:sz w:val="24"/>
          <w:szCs w:val="24"/>
        </w:rPr>
      </w:pPr>
      <w:r>
        <w:rPr>
          <w:rFonts w:ascii="SimSun" w:hAnsi="SimSun" w:eastAsia="SimSun" w:cs="SimSun"/>
          <w:sz w:val="24"/>
          <w:szCs w:val="24"/>
          <w:spacing w:val="-1"/>
        </w:rPr>
        <w:t>煤田边界断层有</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9 </w:t>
      </w:r>
      <w:r>
        <w:rPr>
          <w:rFonts w:ascii="SimSun" w:hAnsi="SimSun" w:eastAsia="SimSun" w:cs="SimSun"/>
          <w:sz w:val="24"/>
          <w:szCs w:val="24"/>
          <w:spacing w:val="-1"/>
        </w:rPr>
        <w:t>条，具有同沉积性质，它们控制了盆地的形成与发展。</w:t>
      </w:r>
    </w:p>
    <w:p>
      <w:pPr>
        <w:ind w:left="495"/>
        <w:spacing w:before="157"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）岩浆岩</w:t>
      </w:r>
    </w:p>
    <w:p>
      <w:pPr>
        <w:ind w:left="8" w:right="186" w:firstLine="498"/>
        <w:spacing w:before="156" w:line="339" w:lineRule="auto"/>
        <w:rPr>
          <w:rFonts w:ascii="SimSun" w:hAnsi="SimSun" w:eastAsia="SimSun" w:cs="SimSun"/>
          <w:sz w:val="24"/>
          <w:szCs w:val="24"/>
        </w:rPr>
      </w:pPr>
      <w:r>
        <w:rPr>
          <w:rFonts w:ascii="SimSun" w:hAnsi="SimSun" w:eastAsia="SimSun" w:cs="SimSun"/>
          <w:sz w:val="24"/>
          <w:szCs w:val="24"/>
          <w:spacing w:val="-2"/>
        </w:rPr>
        <w:t>区域所见岩浆岩可分为三期，即：华力西晚期侵入岩、印支期侵入岩和</w:t>
      </w:r>
      <w:r>
        <w:rPr>
          <w:rFonts w:ascii="SimSun" w:hAnsi="SimSun" w:eastAsia="SimSun" w:cs="SimSun"/>
          <w:sz w:val="24"/>
          <w:szCs w:val="24"/>
          <w:spacing w:val="-3"/>
        </w:rPr>
        <w:t>燕山早期侵</w:t>
      </w:r>
      <w:r>
        <w:rPr>
          <w:rFonts w:ascii="SimSun" w:hAnsi="SimSun" w:eastAsia="SimSun" w:cs="SimSun"/>
          <w:sz w:val="24"/>
          <w:szCs w:val="24"/>
          <w:spacing w:val="-2"/>
        </w:rPr>
        <w:t>入岩。其中燕山早期侵入岩及印支期侵入岩出露面积较大，前者分布于煤田东部及西部</w:t>
      </w:r>
      <w:r>
        <w:rPr>
          <w:rFonts w:ascii="SimSun" w:hAnsi="SimSun" w:eastAsia="SimSun" w:cs="SimSun"/>
          <w:sz w:val="24"/>
          <w:szCs w:val="24"/>
          <w:spacing w:val="-2"/>
        </w:rPr>
        <w:t>山地，后者则主要出露于煤田西部，华力西晚期侵入岩零星分布于图幅周边，出露面积</w:t>
      </w:r>
      <w:r>
        <w:rPr>
          <w:rFonts w:ascii="SimSun" w:hAnsi="SimSun" w:eastAsia="SimSun" w:cs="SimSun"/>
          <w:sz w:val="24"/>
          <w:szCs w:val="24"/>
        </w:rPr>
        <w:t>很小。上述岩浆岩均分布于煤盆地外围，且均为成煤期前侵</w:t>
      </w:r>
      <w:r>
        <w:rPr>
          <w:rFonts w:ascii="SimSun" w:hAnsi="SimSun" w:eastAsia="SimSun" w:cs="SimSun"/>
          <w:sz w:val="24"/>
          <w:szCs w:val="24"/>
          <w:spacing w:val="-1"/>
        </w:rPr>
        <w:t>入，与煤层关系不大。</w:t>
      </w:r>
    </w:p>
    <w:p>
      <w:pPr>
        <w:ind w:left="7"/>
        <w:spacing w:before="89" w:line="223" w:lineRule="auto"/>
        <w:rPr>
          <w:rFonts w:ascii="SimHei" w:hAnsi="SimHei" w:eastAsia="SimHei" w:cs="SimHei"/>
          <w:sz w:val="28"/>
          <w:szCs w:val="28"/>
        </w:rPr>
      </w:pPr>
      <w:r>
        <w:rPr>
          <w:rFonts w:ascii="Times New Roman" w:hAnsi="Times New Roman" w:eastAsia="Times New Roman" w:cs="Times New Roman"/>
          <w:sz w:val="28"/>
          <w:szCs w:val="28"/>
          <w:b/>
          <w:bCs/>
          <w:spacing w:val="-2"/>
        </w:rPr>
        <w:t>4.1.4  </w:t>
      </w:r>
      <w:r>
        <w:rPr>
          <w:rFonts w:ascii="SimHei" w:hAnsi="SimHei" w:eastAsia="SimHei" w:cs="SimHei"/>
          <w:sz w:val="28"/>
          <w:szCs w:val="28"/>
          <w:b/>
          <w:bCs/>
          <w:spacing w:val="-2"/>
        </w:rPr>
        <w:t>气候气象</w:t>
      </w:r>
    </w:p>
    <w:p>
      <w:pPr>
        <w:ind w:left="11" w:right="186" w:firstLine="481"/>
        <w:spacing w:before="167" w:line="340" w:lineRule="auto"/>
        <w:jc w:val="both"/>
        <w:rPr>
          <w:rFonts w:ascii="SimSun" w:hAnsi="SimSun" w:eastAsia="SimSun" w:cs="SimSun"/>
          <w:sz w:val="24"/>
          <w:szCs w:val="24"/>
        </w:rPr>
      </w:pPr>
      <w:r>
        <w:rPr>
          <w:rFonts w:ascii="SimSun" w:hAnsi="SimSun" w:eastAsia="SimSun" w:cs="SimSun"/>
          <w:sz w:val="24"/>
          <w:szCs w:val="24"/>
          <w:spacing w:val="-2"/>
        </w:rPr>
        <w:t>项目地区地处内蒙古高原东部，属大陆性半干旱草原气候，春季干旱多大风；冬季</w:t>
      </w:r>
      <w:r>
        <w:rPr>
          <w:rFonts w:ascii="SimSun" w:hAnsi="SimSun" w:eastAsia="SimSun" w:cs="SimSun"/>
          <w:sz w:val="24"/>
          <w:szCs w:val="24"/>
        </w:rPr>
        <w:t>寒冷漫长，年温差变化较大。根据近</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22 </w:t>
      </w:r>
      <w:r>
        <w:rPr>
          <w:rFonts w:ascii="SimSun" w:hAnsi="SimSun" w:eastAsia="SimSun" w:cs="SimSun"/>
          <w:sz w:val="24"/>
          <w:szCs w:val="24"/>
        </w:rPr>
        <w:t>年的气象资料，年平均降水量</w:t>
      </w:r>
      <w:r>
        <w:rPr>
          <w:rFonts w:ascii="SimSun" w:hAnsi="SimSun" w:eastAsia="SimSun" w:cs="SimSun"/>
          <w:sz w:val="24"/>
          <w:szCs w:val="24"/>
          <w:spacing w:val="-1"/>
        </w:rPr>
        <w:t>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355.2mm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、蒸</w:t>
      </w:r>
      <w:r>
        <w:rPr>
          <w:rFonts w:ascii="SimSun" w:hAnsi="SimSun" w:eastAsia="SimSun" w:cs="SimSun"/>
          <w:sz w:val="24"/>
          <w:szCs w:val="24"/>
          <w:spacing w:val="-3"/>
        </w:rPr>
        <w:t>发量为</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3"/>
        </w:rPr>
        <w:t>1632.6mm</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。降雨量年际变化较大，雨季主要集中在每年的</w:t>
      </w:r>
      <w:r>
        <w:rPr>
          <w:rFonts w:ascii="Times New Roman" w:hAnsi="Times New Roman" w:eastAsia="Times New Roman" w:cs="Times New Roman"/>
          <w:sz w:val="24"/>
          <w:szCs w:val="24"/>
          <w:spacing w:val="-3"/>
        </w:rPr>
        <w:t>6</w:t>
      </w:r>
      <w:r>
        <w:rPr>
          <w:rFonts w:ascii="SimSun" w:hAnsi="SimSun" w:eastAsia="SimSun" w:cs="SimSun"/>
          <w:sz w:val="24"/>
          <w:szCs w:val="24"/>
          <w:spacing w:val="-3"/>
        </w:rPr>
        <w:t>～</w:t>
      </w: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月份。每年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w:t>
      </w:r>
      <w:r>
        <w:rPr>
          <w:rFonts w:ascii="SimSun" w:hAnsi="SimSun" w:eastAsia="SimSun" w:cs="SimSun"/>
          <w:sz w:val="24"/>
          <w:szCs w:val="24"/>
          <w:spacing w:val="-4"/>
        </w:rPr>
        <w:t>至翌年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月为霜冻期；最大冻土深度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3.27m</w:t>
      </w:r>
      <w:r>
        <w:rPr>
          <w:rFonts w:ascii="SimSun" w:hAnsi="SimSun" w:eastAsia="SimSun" w:cs="SimSun"/>
          <w:sz w:val="24"/>
          <w:szCs w:val="24"/>
          <w:spacing w:val="-4"/>
        </w:rPr>
        <w:t>。该地区春季多风，一般</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w:t>
      </w:r>
      <w:r>
        <w:rPr>
          <w:rFonts w:ascii="SimSun" w:hAnsi="SimSun" w:eastAsia="SimSun" w:cs="SimSun"/>
          <w:sz w:val="24"/>
          <w:szCs w:val="24"/>
          <w:spacing w:val="-4"/>
        </w:rPr>
        <w:t>～</w:t>
      </w:r>
      <w:r>
        <w:rPr>
          <w:rFonts w:ascii="Times New Roman" w:hAnsi="Times New Roman" w:eastAsia="Times New Roman" w:cs="Times New Roman"/>
          <w:sz w:val="24"/>
          <w:szCs w:val="24"/>
          <w:spacing w:val="-4"/>
        </w:rPr>
        <w:t>9 </w:t>
      </w:r>
      <w:r>
        <w:rPr>
          <w:rFonts w:ascii="SimSun" w:hAnsi="SimSun" w:eastAsia="SimSun" w:cs="SimSun"/>
          <w:sz w:val="24"/>
          <w:szCs w:val="24"/>
          <w:spacing w:val="-4"/>
        </w:rPr>
        <w:t>级。最大风速</w:t>
      </w:r>
    </w:p>
    <w:p>
      <w:pPr>
        <w:spacing w:line="340" w:lineRule="auto"/>
        <w:sectPr>
          <w:headerReference w:type="default" r:id="rId248"/>
          <w:footerReference w:type="default" r:id="rId249"/>
          <w:pgSz w:w="11906" w:h="16838"/>
          <w:pgMar w:top="1170" w:right="1231" w:bottom="1080" w:left="1416" w:header="837" w:footer="918" w:gutter="0"/>
        </w:sectPr>
        <w:rPr>
          <w:rFonts w:ascii="SimSun" w:hAnsi="SimSun" w:eastAsia="SimSun" w:cs="SimSun"/>
          <w:sz w:val="24"/>
          <w:szCs w:val="24"/>
        </w:rPr>
      </w:pPr>
    </w:p>
    <w:p>
      <w:pPr>
        <w:pStyle w:val="BodyText"/>
        <w:spacing w:line="313" w:lineRule="auto"/>
        <w:rPr/>
      </w:pPr>
      <w:r/>
    </w:p>
    <w:p>
      <w:pPr>
        <w:ind w:left="8" w:right="113" w:firstLine="6"/>
        <w:spacing w:before="78" w:line="340" w:lineRule="auto"/>
        <w:jc w:val="both"/>
        <w:rPr>
          <w:rFonts w:ascii="SimSun" w:hAnsi="SimSun" w:eastAsia="SimSun" w:cs="SimSun"/>
          <w:sz w:val="24"/>
          <w:szCs w:val="24"/>
        </w:rPr>
      </w:pPr>
      <w:r>
        <w:rPr>
          <w:rFonts w:ascii="SimSun" w:hAnsi="SimSun" w:eastAsia="SimSun" w:cs="SimSun"/>
          <w:sz w:val="24"/>
          <w:szCs w:val="24"/>
          <w:spacing w:val="-1"/>
        </w:rPr>
        <w:t>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20m/s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，以西北风居多，春季平均风速</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1m/s</w:t>
      </w:r>
      <w:r>
        <w:rPr>
          <w:rFonts w:ascii="SimSun" w:hAnsi="SimSun" w:eastAsia="SimSun" w:cs="SimSun"/>
          <w:sz w:val="24"/>
          <w:szCs w:val="24"/>
          <w:spacing w:val="-1"/>
        </w:rPr>
        <w:t>；年平均风速为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2.3m/s</w:t>
      </w:r>
      <w:r>
        <w:rPr>
          <w:rFonts w:ascii="SimSun" w:hAnsi="SimSun" w:eastAsia="SimSun" w:cs="SimSun"/>
          <w:sz w:val="24"/>
          <w:szCs w:val="24"/>
          <w:spacing w:val="-2"/>
        </w:rPr>
        <w:t>；全年以春季风</w:t>
      </w:r>
      <w:r>
        <w:rPr>
          <w:rFonts w:ascii="SimSun" w:hAnsi="SimSun" w:eastAsia="SimSun" w:cs="SimSun"/>
          <w:sz w:val="24"/>
          <w:szCs w:val="24"/>
          <w:spacing w:val="-2"/>
        </w:rPr>
        <w:t>速最大，全年大风日数</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2"/>
        </w:rPr>
        <w:t>60d </w:t>
      </w:r>
      <w:r>
        <w:rPr>
          <w:rFonts w:ascii="SimSun" w:hAnsi="SimSun" w:eastAsia="SimSun" w:cs="SimSun"/>
          <w:sz w:val="24"/>
          <w:szCs w:val="24"/>
          <w:spacing w:val="-2"/>
        </w:rPr>
        <w:t>左右，沙尘天平均为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14d</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。全年日照时数为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2894h</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，历年平</w:t>
      </w:r>
      <w:r>
        <w:rPr>
          <w:rFonts w:ascii="SimSun" w:hAnsi="SimSun" w:eastAsia="SimSun" w:cs="SimSun"/>
          <w:sz w:val="24"/>
          <w:szCs w:val="24"/>
          <w:spacing w:val="-4"/>
        </w:rPr>
        <w:t>均无霜期</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4"/>
        </w:rPr>
        <w:t>106d </w:t>
      </w:r>
      <w:r>
        <w:rPr>
          <w:rFonts w:ascii="SimSun" w:hAnsi="SimSun" w:eastAsia="SimSun" w:cs="SimSun"/>
          <w:sz w:val="24"/>
          <w:szCs w:val="24"/>
          <w:spacing w:val="-4"/>
        </w:rPr>
        <w:t>左右。</w:t>
      </w:r>
    </w:p>
    <w:p>
      <w:pPr>
        <w:ind w:left="7"/>
        <w:spacing w:before="86" w:line="223" w:lineRule="auto"/>
        <w:rPr>
          <w:rFonts w:ascii="SimHei" w:hAnsi="SimHei" w:eastAsia="SimHei" w:cs="SimHei"/>
          <w:sz w:val="28"/>
          <w:szCs w:val="28"/>
        </w:rPr>
      </w:pPr>
      <w:r>
        <w:rPr>
          <w:rFonts w:ascii="Times New Roman" w:hAnsi="Times New Roman" w:eastAsia="Times New Roman" w:cs="Times New Roman"/>
          <w:sz w:val="28"/>
          <w:szCs w:val="28"/>
          <w:b/>
          <w:bCs/>
          <w:spacing w:val="-2"/>
        </w:rPr>
        <w:t>4.1.5  </w:t>
      </w:r>
      <w:r>
        <w:rPr>
          <w:rFonts w:ascii="SimHei" w:hAnsi="SimHei" w:eastAsia="SimHei" w:cs="SimHei"/>
          <w:sz w:val="28"/>
          <w:szCs w:val="28"/>
          <w:b/>
          <w:bCs/>
          <w:spacing w:val="-2"/>
        </w:rPr>
        <w:t>土壤植被</w:t>
      </w:r>
    </w:p>
    <w:p>
      <w:pPr>
        <w:ind w:left="9" w:right="44" w:firstLine="497"/>
        <w:spacing w:before="171" w:line="338" w:lineRule="auto"/>
        <w:jc w:val="both"/>
        <w:rPr>
          <w:rFonts w:ascii="SimSun" w:hAnsi="SimSun" w:eastAsia="SimSun" w:cs="SimSun"/>
          <w:sz w:val="24"/>
          <w:szCs w:val="24"/>
        </w:rPr>
      </w:pPr>
      <w:r>
        <w:rPr>
          <w:rFonts w:ascii="SimSun" w:hAnsi="SimSun" w:eastAsia="SimSun" w:cs="SimSun"/>
          <w:sz w:val="24"/>
          <w:szCs w:val="24"/>
        </w:rPr>
        <w:t>区域内土壤主要有栗钙土、黑钙土、灰色森林土、灰色草甸</w:t>
      </w:r>
      <w:r>
        <w:rPr>
          <w:rFonts w:ascii="SimSun" w:hAnsi="SimSun" w:eastAsia="SimSun" w:cs="SimSun"/>
          <w:sz w:val="24"/>
          <w:szCs w:val="24"/>
          <w:spacing w:val="-1"/>
        </w:rPr>
        <w:t>土、沼泽土、粗骨土、</w:t>
      </w:r>
      <w:r>
        <w:rPr>
          <w:rFonts w:ascii="SimSun" w:hAnsi="SimSun" w:eastAsia="SimSun" w:cs="SimSun"/>
          <w:sz w:val="24"/>
          <w:szCs w:val="24"/>
        </w:rPr>
        <w:t>风沙土、盐土等八个土类。栗钙土总面积</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150</w:t>
      </w:r>
      <w:r>
        <w:rPr>
          <w:rFonts w:ascii="Times New Roman" w:hAnsi="Times New Roman" w:eastAsia="Times New Roman" w:cs="Times New Roman"/>
          <w:sz w:val="24"/>
          <w:szCs w:val="24"/>
          <w:spacing w:val="15"/>
        </w:rPr>
        <w:t xml:space="preserve"> </w:t>
      </w:r>
      <w:r>
        <w:rPr>
          <w:rFonts w:ascii="SimSun" w:hAnsi="SimSun" w:eastAsia="SimSun" w:cs="SimSun"/>
          <w:sz w:val="24"/>
          <w:szCs w:val="24"/>
        </w:rPr>
        <w:t>余万公</w:t>
      </w:r>
      <w:r>
        <w:rPr>
          <w:rFonts w:ascii="SimSun" w:hAnsi="SimSun" w:eastAsia="SimSun" w:cs="SimSun"/>
          <w:sz w:val="24"/>
          <w:szCs w:val="24"/>
          <w:spacing w:val="-1"/>
        </w:rPr>
        <w:t>顷，</w:t>
      </w:r>
      <w:r>
        <w:rPr>
          <w:rFonts w:ascii="SimSun" w:hAnsi="SimSun" w:eastAsia="SimSun" w:cs="SimSun"/>
          <w:sz w:val="24"/>
          <w:szCs w:val="24"/>
          <w:spacing w:val="-69"/>
        </w:rPr>
        <w:t xml:space="preserve"> </w:t>
      </w:r>
      <w:r>
        <w:rPr>
          <w:rFonts w:ascii="SimSun" w:hAnsi="SimSun" w:eastAsia="SimSun" w:cs="SimSun"/>
          <w:sz w:val="24"/>
          <w:szCs w:val="24"/>
          <w:spacing w:val="-1"/>
        </w:rPr>
        <w:t>占全旗总土地面的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62.42%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w:t>
      </w:r>
      <w:r>
        <w:rPr>
          <w:rFonts w:ascii="SimSun" w:hAnsi="SimSun" w:eastAsia="SimSun" w:cs="SimSun"/>
          <w:sz w:val="24"/>
          <w:szCs w:val="24"/>
          <w:spacing w:val="-8"/>
        </w:rPr>
        <w:t>有机质含量为</w:t>
      </w:r>
      <w:r>
        <w:rPr>
          <w:rFonts w:ascii="Times New Roman" w:hAnsi="Times New Roman" w:eastAsia="Times New Roman" w:cs="Times New Roman"/>
          <w:sz w:val="24"/>
          <w:szCs w:val="24"/>
          <w:spacing w:val="-8"/>
        </w:rPr>
        <w:t>2~5%</w:t>
      </w:r>
      <w:r>
        <w:rPr>
          <w:rFonts w:ascii="SimSun" w:hAnsi="SimSun" w:eastAsia="SimSun" w:cs="SimSun"/>
          <w:sz w:val="24"/>
          <w:szCs w:val="24"/>
          <w:spacing w:val="-8"/>
        </w:rPr>
        <w:t>，全氮含量加权平均为</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8"/>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8"/>
        </w:rPr>
        <w:t>1729%</w:t>
      </w:r>
      <w:r>
        <w:rPr>
          <w:rFonts w:ascii="SimSun" w:hAnsi="SimSun" w:eastAsia="SimSun" w:cs="SimSun"/>
          <w:sz w:val="24"/>
          <w:szCs w:val="24"/>
          <w:spacing w:val="-8"/>
        </w:rPr>
        <w:t>，全磷含量</w:t>
      </w:r>
      <w:r>
        <w:rPr>
          <w:rFonts w:ascii="SimSun" w:hAnsi="SimSun" w:eastAsia="SimSun" w:cs="SimSun"/>
          <w:sz w:val="24"/>
          <w:szCs w:val="24"/>
          <w:spacing w:val="-71"/>
        </w:rPr>
        <w:t xml:space="preserve"> </w:t>
      </w:r>
      <w:r>
        <w:rPr>
          <w:rFonts w:ascii="Times New Roman" w:hAnsi="Times New Roman" w:eastAsia="Times New Roman" w:cs="Times New Roman"/>
          <w:sz w:val="24"/>
          <w:szCs w:val="24"/>
          <w:spacing w:val="-8"/>
        </w:rPr>
        <w:t>0.0739%</w:t>
      </w:r>
      <w:r>
        <w:rPr>
          <w:rFonts w:ascii="SimSun" w:hAnsi="SimSun" w:eastAsia="SimSun" w:cs="SimSun"/>
          <w:sz w:val="24"/>
          <w:szCs w:val="24"/>
          <w:spacing w:val="-8"/>
        </w:rPr>
        <w:t>，全钾含量</w:t>
      </w:r>
      <w:r>
        <w:rPr>
          <w:rFonts w:ascii="Times New Roman" w:hAnsi="Times New Roman" w:eastAsia="Times New Roman" w:cs="Times New Roman"/>
          <w:sz w:val="24"/>
          <w:szCs w:val="24"/>
          <w:spacing w:val="-8"/>
        </w:rPr>
        <w:t>2.82%</w:t>
      </w:r>
      <w:r>
        <w:rPr>
          <w:rFonts w:ascii="SimSun" w:hAnsi="SimSun" w:eastAsia="SimSun" w:cs="SimSun"/>
          <w:sz w:val="24"/>
          <w:szCs w:val="24"/>
          <w:spacing w:val="-8"/>
        </w:rPr>
        <w:t>，</w:t>
      </w:r>
      <w:r>
        <w:rPr>
          <w:rFonts w:ascii="SimSun" w:hAnsi="SimSun" w:eastAsia="SimSun" w:cs="SimSun"/>
          <w:sz w:val="24"/>
          <w:szCs w:val="24"/>
          <w:spacing w:val="6"/>
        </w:rPr>
        <w:t>主要分布在西乌旗的中部与西北部。黑钙土总面</w:t>
      </w:r>
      <w:r>
        <w:rPr>
          <w:rFonts w:ascii="SimSun" w:hAnsi="SimSun" w:eastAsia="SimSun" w:cs="SimSun"/>
          <w:sz w:val="24"/>
          <w:szCs w:val="24"/>
          <w:spacing w:val="5"/>
        </w:rPr>
        <w:t>积</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5"/>
        </w:rPr>
        <w:t>32</w:t>
      </w:r>
      <w:r>
        <w:rPr>
          <w:rFonts w:ascii="Times New Roman" w:hAnsi="Times New Roman" w:eastAsia="Times New Roman" w:cs="Times New Roman"/>
          <w:sz w:val="24"/>
          <w:szCs w:val="24"/>
          <w:spacing w:val="22"/>
          <w:w w:val="101"/>
        </w:rPr>
        <w:t xml:space="preserve"> </w:t>
      </w:r>
      <w:r>
        <w:rPr>
          <w:rFonts w:ascii="SimSun" w:hAnsi="SimSun" w:eastAsia="SimSun" w:cs="SimSun"/>
          <w:sz w:val="24"/>
          <w:szCs w:val="24"/>
          <w:spacing w:val="5"/>
        </w:rPr>
        <w:t>万余公顷，</w:t>
      </w:r>
      <w:r>
        <w:rPr>
          <w:rFonts w:ascii="SimSun" w:hAnsi="SimSun" w:eastAsia="SimSun" w:cs="SimSun"/>
          <w:sz w:val="24"/>
          <w:szCs w:val="24"/>
          <w:spacing w:val="-64"/>
        </w:rPr>
        <w:t xml:space="preserve"> </w:t>
      </w:r>
      <w:r>
        <w:rPr>
          <w:rFonts w:ascii="SimSun" w:hAnsi="SimSun" w:eastAsia="SimSun" w:cs="SimSun"/>
          <w:sz w:val="24"/>
          <w:szCs w:val="24"/>
          <w:spacing w:val="5"/>
        </w:rPr>
        <w:t>占全旗总土地面的</w:t>
      </w:r>
      <w:r>
        <w:rPr>
          <w:rFonts w:ascii="Times New Roman" w:hAnsi="Times New Roman" w:eastAsia="Times New Roman" w:cs="Times New Roman"/>
          <w:sz w:val="24"/>
          <w:szCs w:val="24"/>
          <w:spacing w:val="-2"/>
        </w:rPr>
        <w:t>13.</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19%</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，有机质含量为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5~8%</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，全氮含量加权平均为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
        </w:rPr>
        <w:t>2536%</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，全磷含量</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0.0957%</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，全</w:t>
      </w:r>
      <w:r>
        <w:rPr>
          <w:rFonts w:ascii="SimSun" w:hAnsi="SimSun" w:eastAsia="SimSun" w:cs="SimSun"/>
          <w:sz w:val="24"/>
          <w:szCs w:val="24"/>
          <w:spacing w:val="-2"/>
        </w:rPr>
        <w:t>钾含量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2.79%</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，主要分布在西乌旗的东南部。</w:t>
      </w:r>
    </w:p>
    <w:p>
      <w:pPr>
        <w:ind w:left="507"/>
        <w:spacing w:line="219" w:lineRule="auto"/>
        <w:rPr>
          <w:rFonts w:ascii="SimSun" w:hAnsi="SimSun" w:eastAsia="SimSun" w:cs="SimSun"/>
          <w:sz w:val="24"/>
          <w:szCs w:val="24"/>
        </w:rPr>
      </w:pPr>
      <w:r>
        <w:rPr>
          <w:rFonts w:ascii="SimSun" w:hAnsi="SimSun" w:eastAsia="SimSun" w:cs="SimSun"/>
          <w:sz w:val="24"/>
          <w:szCs w:val="24"/>
          <w:spacing w:val="-2"/>
        </w:rPr>
        <w:t>区域内内主要植被为草原植被、沙地植被等。</w:t>
      </w:r>
    </w:p>
    <w:p>
      <w:pPr>
        <w:ind w:left="31" w:firstLine="457"/>
        <w:spacing w:before="156" w:line="340" w:lineRule="auto"/>
        <w:rPr>
          <w:rFonts w:ascii="SimSun" w:hAnsi="SimSun" w:eastAsia="SimSun" w:cs="SimSun"/>
          <w:sz w:val="24"/>
          <w:szCs w:val="24"/>
        </w:rPr>
      </w:pPr>
      <w:r>
        <w:rPr>
          <w:rFonts w:ascii="SimSun" w:hAnsi="SimSun" w:eastAsia="SimSun" w:cs="SimSun"/>
          <w:sz w:val="24"/>
          <w:szCs w:val="24"/>
          <w:spacing w:val="-5"/>
        </w:rPr>
        <w:t>井田范围内未发现《国家重点保护野生动物名录》、《国家重点保护野生植物</w:t>
      </w:r>
      <w:r>
        <w:rPr>
          <w:rFonts w:ascii="SimSun" w:hAnsi="SimSun" w:eastAsia="SimSun" w:cs="SimSun"/>
          <w:sz w:val="24"/>
          <w:szCs w:val="24"/>
          <w:spacing w:val="-6"/>
        </w:rPr>
        <w:t>名录》</w:t>
      </w:r>
      <w:r>
        <w:rPr>
          <w:rFonts w:ascii="SimSun" w:hAnsi="SimSun" w:eastAsia="SimSun" w:cs="SimSun"/>
          <w:sz w:val="24"/>
          <w:szCs w:val="24"/>
          <w:spacing w:val="-2"/>
        </w:rPr>
        <w:t>中收录的国家重点保护野生动植物。</w:t>
      </w:r>
    </w:p>
    <w:p>
      <w:pPr>
        <w:ind w:left="7"/>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4.1.6  </w:t>
      </w:r>
      <w:r>
        <w:rPr>
          <w:rFonts w:ascii="SimHei" w:hAnsi="SimHei" w:eastAsia="SimHei" w:cs="SimHei"/>
          <w:sz w:val="28"/>
          <w:szCs w:val="28"/>
          <w:b/>
          <w:bCs/>
          <w:spacing w:val="-2"/>
        </w:rPr>
        <w:t>地震烈度</w:t>
      </w:r>
    </w:p>
    <w:p>
      <w:pPr>
        <w:ind w:left="8" w:right="110" w:firstLine="480"/>
        <w:spacing w:before="168" w:line="339" w:lineRule="auto"/>
        <w:rPr>
          <w:rFonts w:ascii="SimSun" w:hAnsi="SimSun" w:eastAsia="SimSun" w:cs="SimSun"/>
          <w:sz w:val="24"/>
          <w:szCs w:val="24"/>
        </w:rPr>
      </w:pPr>
      <w:r>
        <w:rPr>
          <w:rFonts w:ascii="SimSun" w:hAnsi="SimSun" w:eastAsia="SimSun" w:cs="SimSun"/>
          <w:sz w:val="24"/>
          <w:szCs w:val="24"/>
          <w:spacing w:val="-2"/>
        </w:rPr>
        <w:t>根据《中国地震动参数区划图》（</w:t>
      </w:r>
      <w:r>
        <w:rPr>
          <w:rFonts w:ascii="Times New Roman" w:hAnsi="Times New Roman" w:eastAsia="Times New Roman" w:cs="Times New Roman"/>
          <w:sz w:val="24"/>
          <w:szCs w:val="24"/>
          <w:spacing w:val="-2"/>
        </w:rPr>
        <w:t>GB18306-2015</w:t>
      </w:r>
      <w:r>
        <w:rPr>
          <w:rFonts w:ascii="SimSun" w:hAnsi="SimSun" w:eastAsia="SimSun" w:cs="SimSun"/>
          <w:sz w:val="24"/>
          <w:szCs w:val="24"/>
          <w:spacing w:val="-15"/>
        </w:rPr>
        <w:t>），</w:t>
      </w:r>
      <w:r>
        <w:rPr>
          <w:rFonts w:ascii="SimSun" w:hAnsi="SimSun" w:eastAsia="SimSun" w:cs="SimSun"/>
          <w:sz w:val="24"/>
          <w:szCs w:val="24"/>
          <w:spacing w:val="-2"/>
        </w:rPr>
        <w:t>本区所处区域地震动峰值</w:t>
      </w:r>
      <w:r>
        <w:rPr>
          <w:rFonts w:ascii="SimSun" w:hAnsi="SimSun" w:eastAsia="SimSun" w:cs="SimSun"/>
          <w:sz w:val="24"/>
          <w:szCs w:val="24"/>
          <w:spacing w:val="-3"/>
        </w:rPr>
        <w:t>加速</w:t>
      </w:r>
      <w:r>
        <w:rPr>
          <w:rFonts w:ascii="SimSun" w:hAnsi="SimSun" w:eastAsia="SimSun" w:cs="SimSun"/>
          <w:sz w:val="24"/>
          <w:szCs w:val="24"/>
          <w:spacing w:val="-3"/>
        </w:rPr>
        <w:t>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0.05g</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，地震烈度为</w:t>
      </w:r>
      <w:r>
        <w:rPr>
          <w:rFonts w:ascii="Times New Roman" w:hAnsi="Times New Roman" w:eastAsia="Times New Roman" w:cs="Times New Roman"/>
          <w:sz w:val="24"/>
          <w:szCs w:val="24"/>
          <w:spacing w:val="-3"/>
        </w:rPr>
        <w:t>Ⅵ</w:t>
      </w:r>
      <w:r>
        <w:rPr>
          <w:rFonts w:ascii="SimSun" w:hAnsi="SimSun" w:eastAsia="SimSun" w:cs="SimSun"/>
          <w:sz w:val="24"/>
          <w:szCs w:val="24"/>
          <w:spacing w:val="-3"/>
        </w:rPr>
        <w:t>度。</w:t>
      </w:r>
    </w:p>
    <w:p>
      <w:pPr>
        <w:ind w:left="9" w:right="44" w:firstLine="480"/>
        <w:spacing w:before="4" w:line="335" w:lineRule="auto"/>
        <w:jc w:val="both"/>
        <w:rPr>
          <w:rFonts w:ascii="SimSun" w:hAnsi="SimSun" w:eastAsia="SimSun" w:cs="SimSun"/>
          <w:sz w:val="24"/>
          <w:szCs w:val="24"/>
        </w:rPr>
      </w:pPr>
      <w:r>
        <w:rPr>
          <w:rFonts w:ascii="SimSun" w:hAnsi="SimSun" w:eastAsia="SimSun" w:cs="SimSun"/>
          <w:sz w:val="24"/>
          <w:szCs w:val="24"/>
          <w:spacing w:val="1"/>
        </w:rPr>
        <w:t>根据内蒙古自治区地震工程研究勘察院</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2004 </w:t>
      </w:r>
      <w:r>
        <w:rPr>
          <w:rFonts w:ascii="SimSun" w:hAnsi="SimSun" w:eastAsia="SimSun" w:cs="SimSun"/>
          <w:sz w:val="24"/>
          <w:szCs w:val="24"/>
          <w:spacing w:val="1"/>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月完成的地震安全性评价报告，</w:t>
      </w:r>
      <w:r>
        <w:rPr>
          <w:rFonts w:ascii="SimSun" w:hAnsi="SimSun" w:eastAsia="SimSun" w:cs="SimSun"/>
          <w:sz w:val="24"/>
          <w:szCs w:val="24"/>
          <w:spacing w:val="-8"/>
        </w:rPr>
        <w:t>本区土质类型为中硬，建筑场地类别为</w:t>
      </w:r>
      <w:r>
        <w:rPr>
          <w:rFonts w:ascii="Times New Roman" w:hAnsi="Times New Roman" w:eastAsia="Times New Roman" w:cs="Times New Roman"/>
          <w:sz w:val="24"/>
          <w:szCs w:val="24"/>
          <w:spacing w:val="-8"/>
        </w:rPr>
        <w:t>Ⅱ</w:t>
      </w:r>
      <w:r>
        <w:rPr>
          <w:rFonts w:ascii="SimSun" w:hAnsi="SimSun" w:eastAsia="SimSun" w:cs="SimSun"/>
          <w:sz w:val="24"/>
          <w:szCs w:val="24"/>
          <w:spacing w:val="-8"/>
        </w:rPr>
        <w:t>类，</w:t>
      </w:r>
      <w:r>
        <w:rPr>
          <w:rFonts w:ascii="Times New Roman" w:hAnsi="Times New Roman" w:eastAsia="Times New Roman" w:cs="Times New Roman"/>
          <w:sz w:val="24"/>
          <w:szCs w:val="24"/>
          <w:spacing w:val="-8"/>
        </w:rPr>
        <w:t>50 </w:t>
      </w:r>
      <w:r>
        <w:rPr>
          <w:rFonts w:ascii="SimSun" w:hAnsi="SimSun" w:eastAsia="SimSun" w:cs="SimSun"/>
          <w:sz w:val="24"/>
          <w:szCs w:val="24"/>
          <w:spacing w:val="-8"/>
        </w:rPr>
        <w:t>年超越概率</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9"/>
        </w:rPr>
        <w:t>10%</w:t>
      </w:r>
      <w:r>
        <w:rPr>
          <w:rFonts w:ascii="SimSun" w:hAnsi="SimSun" w:eastAsia="SimSun" w:cs="SimSun"/>
          <w:sz w:val="24"/>
          <w:szCs w:val="24"/>
          <w:spacing w:val="-9"/>
        </w:rPr>
        <w:t>的峰值加速度为</w:t>
      </w:r>
      <w:r>
        <w:rPr>
          <w:rFonts w:ascii="SimSun" w:hAnsi="SimSun" w:eastAsia="SimSun" w:cs="SimSun"/>
          <w:sz w:val="24"/>
          <w:szCs w:val="24"/>
          <w:spacing w:val="-64"/>
        </w:rPr>
        <w:t xml:space="preserve"> </w:t>
      </w:r>
      <w:r>
        <w:rPr>
          <w:rFonts w:ascii="Times New Roman" w:hAnsi="Times New Roman" w:eastAsia="Times New Roman" w:cs="Times New Roman"/>
          <w:sz w:val="24"/>
          <w:szCs w:val="24"/>
          <w:spacing w:val="-9"/>
        </w:rPr>
        <w:t>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9"/>
        </w:rPr>
        <w:t>1239g</w:t>
      </w:r>
      <w:r>
        <w:rPr>
          <w:rFonts w:ascii="SimSun" w:hAnsi="SimSun" w:eastAsia="SimSun" w:cs="SimSun"/>
          <w:sz w:val="24"/>
          <w:szCs w:val="24"/>
          <w:spacing w:val="-9"/>
        </w:rPr>
        <w:t>，</w:t>
      </w:r>
      <w:r>
        <w:rPr>
          <w:rFonts w:ascii="SimSun" w:hAnsi="SimSun" w:eastAsia="SimSun" w:cs="SimSun"/>
          <w:sz w:val="24"/>
          <w:szCs w:val="24"/>
          <w:spacing w:val="-1"/>
        </w:rPr>
        <w:t>相应的地震基本烈度为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6 </w:t>
      </w:r>
      <w:r>
        <w:rPr>
          <w:rFonts w:ascii="SimSun" w:hAnsi="SimSun" w:eastAsia="SimSun" w:cs="SimSun"/>
          <w:sz w:val="24"/>
          <w:szCs w:val="24"/>
          <w:spacing w:val="-1"/>
        </w:rPr>
        <w:t>度，反应谱特征周期为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0.40</w:t>
      </w:r>
      <w:r>
        <w:rPr>
          <w:rFonts w:ascii="Times New Roman" w:hAnsi="Times New Roman" w:eastAsia="Times New Roman" w:cs="Times New Roman"/>
          <w:sz w:val="24"/>
          <w:szCs w:val="24"/>
          <w:spacing w:val="-2"/>
        </w:rPr>
        <w:t>S</w:t>
      </w:r>
      <w:r>
        <w:rPr>
          <w:rFonts w:ascii="SimSun" w:hAnsi="SimSun" w:eastAsia="SimSun" w:cs="SimSun"/>
          <w:sz w:val="24"/>
          <w:szCs w:val="24"/>
          <w:spacing w:val="-2"/>
        </w:rPr>
        <w:t>。</w:t>
      </w:r>
    </w:p>
    <w:p>
      <w:pPr>
        <w:ind w:left="7"/>
        <w:spacing w:before="85" w:line="222" w:lineRule="auto"/>
        <w:outlineLvl w:val="1"/>
        <w:rPr>
          <w:rFonts w:ascii="SimHei" w:hAnsi="SimHei" w:eastAsia="SimHei" w:cs="SimHei"/>
          <w:sz w:val="30"/>
          <w:szCs w:val="30"/>
        </w:rPr>
      </w:pPr>
      <w:bookmarkStart w:name="bookmark26" w:id="45"/>
      <w:bookmarkEnd w:id="45"/>
      <w:r>
        <w:rPr>
          <w:rFonts w:ascii="Times New Roman" w:hAnsi="Times New Roman" w:eastAsia="Times New Roman" w:cs="Times New Roman"/>
          <w:sz w:val="30"/>
          <w:szCs w:val="30"/>
          <w:b/>
          <w:bCs/>
          <w:spacing w:val="-2"/>
        </w:rPr>
        <w:t>4.2  </w:t>
      </w:r>
      <w:r>
        <w:rPr>
          <w:rFonts w:ascii="SimHei" w:hAnsi="SimHei" w:eastAsia="SimHei" w:cs="SimHei"/>
          <w:sz w:val="30"/>
          <w:szCs w:val="30"/>
          <w:b/>
          <w:bCs/>
          <w:spacing w:val="-2"/>
        </w:rPr>
        <w:t>环境质量现状调查与评价</w:t>
      </w:r>
    </w:p>
    <w:p>
      <w:pPr>
        <w:ind w:left="7"/>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4.2.1  </w:t>
      </w:r>
      <w:r>
        <w:rPr>
          <w:rFonts w:ascii="SimHei" w:hAnsi="SimHei" w:eastAsia="SimHei" w:cs="SimHei"/>
          <w:sz w:val="28"/>
          <w:szCs w:val="28"/>
          <w:b/>
          <w:bCs/>
          <w:spacing w:val="-2"/>
        </w:rPr>
        <w:t>生态环境现状调查与评价</w:t>
      </w:r>
    </w:p>
    <w:p>
      <w:pPr>
        <w:ind w:left="6"/>
        <w:spacing w:before="202"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4.2.1.1  </w:t>
      </w:r>
      <w:r>
        <w:rPr>
          <w:rFonts w:ascii="SimHei" w:hAnsi="SimHei" w:eastAsia="SimHei" w:cs="SimHei"/>
          <w:sz w:val="24"/>
          <w:szCs w:val="24"/>
          <w:b/>
          <w:bCs/>
          <w:spacing w:val="-2"/>
        </w:rPr>
        <w:t>基础资料获取及现场调查</w:t>
      </w:r>
    </w:p>
    <w:p>
      <w:pPr>
        <w:ind w:left="508"/>
        <w:spacing w:before="162" w:line="220"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、调查手段</w:t>
      </w:r>
    </w:p>
    <w:p>
      <w:pPr>
        <w:ind w:left="8" w:right="115" w:firstLine="480"/>
        <w:spacing w:before="155" w:line="338" w:lineRule="auto"/>
        <w:rPr>
          <w:rFonts w:ascii="SimSun" w:hAnsi="SimSun" w:eastAsia="SimSun" w:cs="SimSun"/>
          <w:sz w:val="24"/>
          <w:szCs w:val="24"/>
        </w:rPr>
      </w:pPr>
      <w:r>
        <w:rPr>
          <w:rFonts w:ascii="SimSun" w:hAnsi="SimSun" w:eastAsia="SimSun" w:cs="SimSun"/>
          <w:sz w:val="24"/>
          <w:szCs w:val="24"/>
          <w:spacing w:val="2"/>
        </w:rPr>
        <w:t>根据《环境影响评价技术导则  生态影响》（</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19-2022</w:t>
      </w:r>
      <w:r>
        <w:rPr>
          <w:rFonts w:ascii="SimSun" w:hAnsi="SimSun" w:eastAsia="SimSun" w:cs="SimSun"/>
          <w:sz w:val="24"/>
          <w:szCs w:val="24"/>
          <w:spacing w:val="2"/>
        </w:rPr>
        <w:t>）的要</w:t>
      </w:r>
      <w:r>
        <w:rPr>
          <w:rFonts w:ascii="SimSun" w:hAnsi="SimSun" w:eastAsia="SimSun" w:cs="SimSun"/>
          <w:sz w:val="24"/>
          <w:szCs w:val="24"/>
          <w:spacing w:val="1"/>
        </w:rPr>
        <w:t>求，结合工程特点</w:t>
      </w:r>
      <w:r>
        <w:rPr>
          <w:rFonts w:ascii="SimSun" w:hAnsi="SimSun" w:eastAsia="SimSun" w:cs="SimSun"/>
          <w:sz w:val="24"/>
          <w:szCs w:val="24"/>
        </w:rPr>
        <w:t>采用附录 </w:t>
      </w:r>
      <w:r>
        <w:rPr>
          <w:rFonts w:ascii="Times New Roman" w:hAnsi="Times New Roman" w:eastAsia="Times New Roman" w:cs="Times New Roman"/>
          <w:sz w:val="24"/>
          <w:szCs w:val="24"/>
        </w:rPr>
        <w:t>B</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中的资料收集法、现场调查法、</w:t>
      </w:r>
      <w:r>
        <w:rPr>
          <w:rFonts w:ascii="SimSun" w:hAnsi="SimSun" w:eastAsia="SimSun" w:cs="SimSun"/>
          <w:sz w:val="24"/>
          <w:szCs w:val="24"/>
          <w:spacing w:val="-1"/>
        </w:rPr>
        <w:t>遥感调查法、陆生动植物调查法相结合的</w:t>
      </w:r>
      <w:r>
        <w:rPr>
          <w:rFonts w:ascii="SimSun" w:hAnsi="SimSun" w:eastAsia="SimSun" w:cs="SimSun"/>
          <w:sz w:val="24"/>
          <w:szCs w:val="24"/>
          <w:spacing w:val="-1"/>
        </w:rPr>
        <w:t>方法，进行定性或定量的分析评价。</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、遥感影像图制作</w:t>
      </w:r>
    </w:p>
    <w:p>
      <w:pPr>
        <w:ind w:left="12" w:right="110" w:firstLine="483"/>
        <w:spacing w:before="156" w:line="340" w:lineRule="auto"/>
        <w:jc w:val="both"/>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）根据国家或相关行业标准，结合生态</w:t>
      </w:r>
      <w:r>
        <w:rPr>
          <w:rFonts w:ascii="SimSun" w:hAnsi="SimSun" w:eastAsia="SimSun" w:cs="SimSun"/>
          <w:sz w:val="24"/>
          <w:szCs w:val="24"/>
          <w:spacing w:val="1"/>
        </w:rPr>
        <w:t>环境信息遥感图像解译的可解译程度，</w:t>
      </w:r>
      <w:r>
        <w:rPr>
          <w:rFonts w:ascii="SimSun" w:hAnsi="SimSun" w:eastAsia="SimSun" w:cs="SimSun"/>
          <w:sz w:val="24"/>
          <w:szCs w:val="24"/>
          <w:spacing w:val="-2"/>
        </w:rPr>
        <w:t>建立科学的地貌类型、植被类型及覆盖度、土地利用现状、土壤侵蚀类型与强度分类系</w:t>
      </w:r>
      <w:r>
        <w:rPr>
          <w:rFonts w:ascii="SimSun" w:hAnsi="SimSun" w:eastAsia="SimSun" w:cs="SimSun"/>
          <w:sz w:val="24"/>
          <w:szCs w:val="24"/>
          <w:spacing w:val="-7"/>
        </w:rPr>
        <w:t>统。</w:t>
      </w:r>
    </w:p>
    <w:p>
      <w:pPr>
        <w:spacing w:line="340" w:lineRule="auto"/>
        <w:sectPr>
          <w:headerReference w:type="default" r:id="rId264"/>
          <w:footerReference w:type="default" r:id="rId265"/>
          <w:pgSz w:w="11906" w:h="16838"/>
          <w:pgMar w:top="1170" w:right="1306" w:bottom="1080" w:left="1416" w:header="837" w:footer="918" w:gutter="0"/>
        </w:sectPr>
        <w:rPr>
          <w:rFonts w:ascii="SimSun" w:hAnsi="SimSun" w:eastAsia="SimSun" w:cs="SimSun"/>
          <w:sz w:val="24"/>
          <w:szCs w:val="24"/>
        </w:rPr>
      </w:pPr>
    </w:p>
    <w:p>
      <w:pPr>
        <w:pStyle w:val="BodyText"/>
        <w:spacing w:line="312" w:lineRule="auto"/>
        <w:rPr/>
      </w:pPr>
      <w:r/>
    </w:p>
    <w:p>
      <w:pPr>
        <w:ind w:left="495"/>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）遥感信息源的选取</w:t>
      </w:r>
    </w:p>
    <w:p>
      <w:pPr>
        <w:ind w:left="9" w:right="66" w:firstLine="480"/>
        <w:spacing w:before="158" w:line="338" w:lineRule="auto"/>
        <w:rPr>
          <w:rFonts w:ascii="SimSun" w:hAnsi="SimSun" w:eastAsia="SimSun" w:cs="SimSun"/>
          <w:sz w:val="24"/>
          <w:szCs w:val="24"/>
        </w:rPr>
      </w:pPr>
      <w:r>
        <w:rPr>
          <w:rFonts w:ascii="SimSun" w:hAnsi="SimSun" w:eastAsia="SimSun" w:cs="SimSun"/>
          <w:sz w:val="24"/>
          <w:szCs w:val="24"/>
          <w:spacing w:val="3"/>
        </w:rPr>
        <w:t>本次评价遥感数据来源于</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w:t>
      </w:r>
      <w:r>
        <w:rPr>
          <w:rFonts w:ascii="Times New Roman" w:hAnsi="Times New Roman" w:eastAsia="Times New Roman" w:cs="Times New Roman"/>
          <w:sz w:val="24"/>
          <w:szCs w:val="24"/>
          <w:spacing w:val="3"/>
        </w:rPr>
        <w:t>9 </w:t>
      </w:r>
      <w:r>
        <w:rPr>
          <w:rFonts w:ascii="SimSun" w:hAnsi="SimSun" w:eastAsia="SimSun" w:cs="SimSun"/>
          <w:sz w:val="24"/>
          <w:szCs w:val="24"/>
          <w:spacing w:val="3"/>
        </w:rPr>
        <w:t>月的高分一号卫星空间分辨率</w:t>
      </w:r>
      <w:r>
        <w:rPr>
          <w:rFonts w:ascii="Times New Roman" w:hAnsi="Times New Roman" w:eastAsia="Times New Roman" w:cs="Times New Roman"/>
          <w:sz w:val="24"/>
          <w:szCs w:val="24"/>
          <w:spacing w:val="3"/>
        </w:rPr>
        <w:t>2m</w:t>
      </w:r>
      <w:r>
        <w:rPr>
          <w:rFonts w:ascii="SimSun" w:hAnsi="SimSun" w:eastAsia="SimSun" w:cs="SimSun"/>
          <w:sz w:val="24"/>
          <w:szCs w:val="24"/>
          <w:spacing w:val="2"/>
        </w:rPr>
        <w:t>影像数据作为</w:t>
      </w:r>
      <w:r>
        <w:rPr>
          <w:rFonts w:ascii="SimSun" w:hAnsi="SimSun" w:eastAsia="SimSun" w:cs="SimSun"/>
          <w:sz w:val="24"/>
          <w:szCs w:val="24"/>
          <w:spacing w:val="-2"/>
        </w:rPr>
        <w:t>基本信息源，经过镶嵌融合处理后的图像地表信息丰富，有利于生态环境因子遥感解译</w:t>
      </w:r>
      <w:r>
        <w:rPr>
          <w:rFonts w:ascii="SimSun" w:hAnsi="SimSun" w:eastAsia="SimSun" w:cs="SimSun"/>
          <w:sz w:val="24"/>
          <w:szCs w:val="24"/>
          <w:spacing w:val="-1"/>
        </w:rPr>
        <w:t>标志的建立，保证了各生态环境要素解译成果的准确性。</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）影像图处理</w:t>
      </w:r>
    </w:p>
    <w:p>
      <w:pPr>
        <w:ind w:left="12" w:right="66" w:firstLine="478"/>
        <w:spacing w:before="155" w:line="338" w:lineRule="auto"/>
        <w:rPr>
          <w:rFonts w:ascii="SimSun" w:hAnsi="SimSun" w:eastAsia="SimSun" w:cs="SimSun"/>
          <w:sz w:val="24"/>
          <w:szCs w:val="24"/>
        </w:rPr>
      </w:pPr>
      <w:r>
        <w:rPr>
          <w:rFonts w:ascii="SimSun" w:hAnsi="SimSun" w:eastAsia="SimSun" w:cs="SimSun"/>
          <w:sz w:val="24"/>
          <w:szCs w:val="24"/>
          <w:spacing w:val="1"/>
        </w:rPr>
        <w:t>利用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3S </w:t>
      </w:r>
      <w:r>
        <w:rPr>
          <w:rFonts w:ascii="SimSun" w:hAnsi="SimSun" w:eastAsia="SimSun" w:cs="SimSun"/>
          <w:sz w:val="24"/>
          <w:szCs w:val="24"/>
          <w:spacing w:val="1"/>
        </w:rPr>
        <w:t>技术对数据进行了投影转换、几何纠正、波段</w:t>
      </w:r>
      <w:r>
        <w:rPr>
          <w:rFonts w:ascii="SimSun" w:hAnsi="SimSun" w:eastAsia="SimSun" w:cs="SimSun"/>
          <w:sz w:val="24"/>
          <w:szCs w:val="24"/>
        </w:rPr>
        <w:t>组合、直方图匹配等图像预</w:t>
      </w:r>
      <w:r>
        <w:rPr>
          <w:rFonts w:ascii="SimSun" w:hAnsi="SimSun" w:eastAsia="SimSun" w:cs="SimSun"/>
          <w:sz w:val="24"/>
          <w:szCs w:val="24"/>
          <w:spacing w:val="-2"/>
        </w:rPr>
        <w:t>处理。根据土地利用现状、植被类型、土壤侵蚀等生态环境要素的地物光谱特征的差异</w:t>
      </w:r>
      <w:r>
        <w:rPr>
          <w:rFonts w:ascii="SimSun" w:hAnsi="SimSun" w:eastAsia="SimSun" w:cs="SimSun"/>
          <w:sz w:val="24"/>
          <w:szCs w:val="24"/>
          <w:spacing w:val="-2"/>
        </w:rPr>
        <w:t>性，选择全波段合成方案，全波段合成图像色彩丰富、层次分明，地类边界明显，有利</w:t>
      </w:r>
      <w:r>
        <w:rPr>
          <w:rFonts w:ascii="SimSun" w:hAnsi="SimSun" w:eastAsia="SimSun" w:cs="SimSun"/>
          <w:sz w:val="24"/>
          <w:szCs w:val="24"/>
          <w:spacing w:val="-2"/>
        </w:rPr>
        <w:t>于生态要素的判读解译。</w:t>
      </w:r>
    </w:p>
    <w:p>
      <w:pPr>
        <w:ind w:left="11" w:right="71" w:firstLine="484"/>
        <w:spacing w:before="1"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）采用专业制图软件</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Arcgis </w:t>
      </w:r>
      <w:r>
        <w:rPr>
          <w:rFonts w:ascii="SimSun" w:hAnsi="SimSun" w:eastAsia="SimSun" w:cs="SimSun"/>
          <w:sz w:val="24"/>
          <w:szCs w:val="24"/>
        </w:rPr>
        <w:t>对解译的图件加注坐标、项目区范围、评价区范围</w:t>
      </w:r>
      <w:r>
        <w:rPr>
          <w:rFonts w:ascii="SimSun" w:hAnsi="SimSun" w:eastAsia="SimSun" w:cs="SimSun"/>
          <w:sz w:val="24"/>
          <w:szCs w:val="24"/>
          <w:spacing w:val="-1"/>
        </w:rPr>
        <w:t>等重要地理要素，并按进行专题面积统计；</w:t>
      </w:r>
    </w:p>
    <w:p>
      <w:pPr>
        <w:ind w:left="10" w:right="115" w:firstLine="485"/>
        <w:spacing w:before="155" w:line="27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5</w:t>
      </w:r>
      <w:r>
        <w:rPr>
          <w:rFonts w:ascii="SimSun" w:hAnsi="SimSun" w:eastAsia="SimSun" w:cs="SimSun"/>
          <w:sz w:val="24"/>
          <w:szCs w:val="24"/>
        </w:rPr>
        <w:t>）根据专题图件和统计结果，总结环境影响评价区植被类型、土地利用现状、</w:t>
      </w:r>
      <w:r>
        <w:rPr>
          <w:rFonts w:ascii="SimSun" w:hAnsi="SimSun" w:eastAsia="SimSun" w:cs="SimSun"/>
          <w:sz w:val="24"/>
          <w:szCs w:val="24"/>
          <w:spacing w:val="-1"/>
        </w:rPr>
        <w:t>土壤侵蚀类型与强度等生态环境要素的空间分布特征。</w:t>
      </w:r>
    </w:p>
    <w:p>
      <w:pPr>
        <w:ind w:left="489"/>
        <w:spacing w:before="157"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、现场调查</w:t>
      </w:r>
    </w:p>
    <w:p>
      <w:pPr>
        <w:ind w:left="10" w:right="66" w:firstLine="479"/>
        <w:spacing w:before="155" w:line="338" w:lineRule="auto"/>
        <w:rPr>
          <w:rFonts w:ascii="SimSun" w:hAnsi="SimSun" w:eastAsia="SimSun" w:cs="SimSun"/>
          <w:sz w:val="24"/>
          <w:szCs w:val="24"/>
        </w:rPr>
      </w:pPr>
      <w:r>
        <w:rPr>
          <w:rFonts w:ascii="SimSun" w:hAnsi="SimSun" w:eastAsia="SimSun" w:cs="SimSun"/>
          <w:sz w:val="24"/>
          <w:szCs w:val="24"/>
          <w:spacing w:val="-2"/>
        </w:rPr>
        <w:t>通过评价区实地调查，对遥感解译结果进行核对与补判，识别植物种类、记录植被</w:t>
      </w:r>
      <w:r>
        <w:rPr>
          <w:rFonts w:ascii="SimSun" w:hAnsi="SimSun" w:eastAsia="SimSun" w:cs="SimSun"/>
          <w:sz w:val="24"/>
          <w:szCs w:val="24"/>
          <w:spacing w:val="-2"/>
        </w:rPr>
        <w:t>盖度和野外调查中发现的动物，并走访当地相关政府部门了解掌握评价区野生动植物的</w:t>
      </w:r>
      <w:r>
        <w:rPr>
          <w:rFonts w:ascii="SimSun" w:hAnsi="SimSun" w:eastAsia="SimSun" w:cs="SimSun"/>
          <w:sz w:val="24"/>
          <w:szCs w:val="24"/>
          <w:spacing w:val="-3"/>
        </w:rPr>
        <w:t>分布状况。</w:t>
      </w:r>
    </w:p>
    <w:p>
      <w:pPr>
        <w:ind w:left="483"/>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、评价因子现状图件制作流程</w:t>
      </w:r>
    </w:p>
    <w:p>
      <w:pPr>
        <w:ind w:left="32" w:right="66" w:firstLine="456"/>
        <w:spacing w:before="158" w:line="338" w:lineRule="auto"/>
        <w:rPr>
          <w:rFonts w:ascii="SimSun" w:hAnsi="SimSun" w:eastAsia="SimSun" w:cs="SimSun"/>
          <w:sz w:val="24"/>
          <w:szCs w:val="24"/>
        </w:rPr>
      </w:pPr>
      <w:r>
        <w:rPr>
          <w:rFonts w:ascii="SimSun" w:hAnsi="SimSun" w:eastAsia="SimSun" w:cs="SimSun"/>
          <w:sz w:val="24"/>
          <w:szCs w:val="24"/>
          <w:spacing w:val="-2"/>
        </w:rPr>
        <w:t>根据遥感解译标志，在基础影像上进行各专题内容解译、提取的基础上，通过与底</w:t>
      </w:r>
      <w:r>
        <w:rPr>
          <w:rFonts w:ascii="SimSun" w:hAnsi="SimSun" w:eastAsia="SimSun" w:cs="SimSun"/>
          <w:sz w:val="24"/>
          <w:szCs w:val="24"/>
          <w:spacing w:val="-2"/>
        </w:rPr>
        <w:t>图的套合，添加工程建设要素，经纬网、地名标注等，编制土地利用现状</w:t>
      </w:r>
      <w:r>
        <w:rPr>
          <w:rFonts w:ascii="SimSun" w:hAnsi="SimSun" w:eastAsia="SimSun" w:cs="SimSun"/>
          <w:sz w:val="24"/>
          <w:szCs w:val="24"/>
          <w:spacing w:val="-3"/>
        </w:rPr>
        <w:t>图、植被类型</w:t>
      </w:r>
      <w:r>
        <w:rPr>
          <w:rFonts w:ascii="SimSun" w:hAnsi="SimSun" w:eastAsia="SimSun" w:cs="SimSun"/>
          <w:sz w:val="24"/>
          <w:szCs w:val="24"/>
          <w:spacing w:val="-2"/>
        </w:rPr>
        <w:t>图和土壤侵蚀类型及强度图等系列专题图件。</w:t>
      </w:r>
    </w:p>
    <w:p>
      <w:pPr>
        <w:ind w:left="491"/>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7"/>
        </w:rPr>
        <w:t>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、评价范围</w:t>
      </w:r>
    </w:p>
    <w:p>
      <w:pPr>
        <w:ind w:left="8" w:right="66" w:firstLine="480"/>
        <w:spacing w:before="160" w:line="339" w:lineRule="auto"/>
        <w:rPr>
          <w:rFonts w:ascii="SimSun" w:hAnsi="SimSun" w:eastAsia="SimSun" w:cs="SimSun"/>
          <w:sz w:val="24"/>
          <w:szCs w:val="24"/>
        </w:rPr>
      </w:pPr>
      <w:r>
        <w:rPr>
          <w:rFonts w:ascii="SimSun" w:hAnsi="SimSun" w:eastAsia="SimSun" w:cs="SimSun"/>
          <w:sz w:val="24"/>
          <w:szCs w:val="24"/>
          <w:spacing w:val="-2"/>
        </w:rPr>
        <w:t>根据《环境影响评价技术导则生态影响》（</w:t>
      </w:r>
      <w:r>
        <w:rPr>
          <w:rFonts w:ascii="Times New Roman" w:hAnsi="Times New Roman" w:eastAsia="Times New Roman" w:cs="Times New Roman"/>
          <w:sz w:val="24"/>
          <w:szCs w:val="24"/>
          <w:spacing w:val="-2"/>
        </w:rPr>
        <w:t>HJ19</w:t>
      </w:r>
      <w:r>
        <w:rPr>
          <w:rFonts w:ascii="SimSun" w:hAnsi="SimSun" w:eastAsia="SimSun" w:cs="SimSun"/>
          <w:sz w:val="24"/>
          <w:szCs w:val="24"/>
          <w:spacing w:val="-2"/>
        </w:rPr>
        <w:t>－</w:t>
      </w:r>
      <w:r>
        <w:rPr>
          <w:rFonts w:ascii="Times New Roman" w:hAnsi="Times New Roman" w:eastAsia="Times New Roman" w:cs="Times New Roman"/>
          <w:sz w:val="24"/>
          <w:szCs w:val="24"/>
          <w:spacing w:val="-2"/>
        </w:rPr>
        <w:t>2022</w:t>
      </w:r>
      <w:r>
        <w:rPr>
          <w:rFonts w:ascii="SimSun" w:hAnsi="SimSun" w:eastAsia="SimSun" w:cs="SimSun"/>
          <w:sz w:val="24"/>
          <w:szCs w:val="24"/>
          <w:spacing w:val="-2"/>
        </w:rPr>
        <w:t>）的要求，生</w:t>
      </w:r>
      <w:r>
        <w:rPr>
          <w:rFonts w:ascii="SimSun" w:hAnsi="SimSun" w:eastAsia="SimSun" w:cs="SimSun"/>
          <w:sz w:val="24"/>
          <w:szCs w:val="24"/>
          <w:spacing w:val="-3"/>
        </w:rPr>
        <w:t>态影响评价应</w:t>
      </w:r>
      <w:r>
        <w:rPr>
          <w:rFonts w:ascii="SimSun" w:hAnsi="SimSun" w:eastAsia="SimSun" w:cs="SimSun"/>
          <w:sz w:val="24"/>
          <w:szCs w:val="24"/>
          <w:spacing w:val="-2"/>
        </w:rPr>
        <w:t>能够充分体现生态完整性，涵盖评价项目全部活动的直接影响区域和间接影响区域，依</w:t>
      </w:r>
      <w:r>
        <w:rPr>
          <w:rFonts w:ascii="SimSun" w:hAnsi="SimSun" w:eastAsia="SimSun" w:cs="SimSun"/>
          <w:sz w:val="24"/>
          <w:szCs w:val="24"/>
          <w:spacing w:val="-2"/>
        </w:rPr>
        <w:t>据评价项目对生态因子的影响方式、影响程度和生态因子之间的相互影响和相互依存关</w:t>
      </w:r>
      <w:r>
        <w:rPr>
          <w:rFonts w:ascii="SimSun" w:hAnsi="SimSun" w:eastAsia="SimSun" w:cs="SimSun"/>
          <w:sz w:val="24"/>
          <w:szCs w:val="24"/>
          <w:spacing w:val="-4"/>
        </w:rPr>
        <w:t>系确定评价范围，本次生态环境现状评价范围以矿区边</w:t>
      </w:r>
      <w:r>
        <w:rPr>
          <w:rFonts w:ascii="SimSun" w:hAnsi="SimSun" w:eastAsia="SimSun" w:cs="SimSun"/>
          <w:sz w:val="24"/>
          <w:szCs w:val="24"/>
          <w:spacing w:val="-5"/>
        </w:rPr>
        <w:t>界为基础外扩</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1km</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5"/>
        </w:rPr>
        <w:t>范围，评价区</w:t>
      </w:r>
      <w:r>
        <w:rPr>
          <w:rFonts w:ascii="SimSun" w:hAnsi="SimSun" w:eastAsia="SimSun" w:cs="SimSun"/>
          <w:sz w:val="24"/>
          <w:szCs w:val="24"/>
          <w:spacing w:val="-2"/>
        </w:rPr>
        <w:t>面积</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53.41km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6"/>
        <w:spacing w:before="27"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4.2.1.2  </w:t>
      </w:r>
      <w:r>
        <w:rPr>
          <w:rFonts w:ascii="SimHei" w:hAnsi="SimHei" w:eastAsia="SimHei" w:cs="SimHei"/>
          <w:sz w:val="24"/>
          <w:szCs w:val="24"/>
          <w:b/>
          <w:bCs/>
          <w:spacing w:val="-2"/>
        </w:rPr>
        <w:t>生态功能区划</w:t>
      </w:r>
    </w:p>
    <w:p>
      <w:pPr>
        <w:ind w:left="11" w:right="71" w:firstLine="478"/>
        <w:spacing w:before="157" w:line="339" w:lineRule="auto"/>
        <w:rPr>
          <w:rFonts w:ascii="SimSun" w:hAnsi="SimSun" w:eastAsia="SimSun" w:cs="SimSun"/>
          <w:sz w:val="24"/>
          <w:szCs w:val="24"/>
        </w:rPr>
      </w:pPr>
      <w:r>
        <w:rPr>
          <w:rFonts w:ascii="SimSun" w:hAnsi="SimSun" w:eastAsia="SimSun" w:cs="SimSun"/>
          <w:sz w:val="24"/>
          <w:szCs w:val="24"/>
          <w:spacing w:val="2"/>
        </w:rPr>
        <w:t>根据《内蒙古生态功能区划》，白音华四号露天矿属于</w:t>
      </w:r>
      <w:r>
        <w:rPr>
          <w:rFonts w:ascii="Times New Roman" w:hAnsi="Times New Roman" w:eastAsia="Times New Roman" w:cs="Times New Roman"/>
          <w:sz w:val="24"/>
          <w:szCs w:val="24"/>
          <w:spacing w:val="2"/>
        </w:rPr>
        <w:t>“</w:t>
      </w:r>
      <w:r>
        <w:rPr>
          <w:rFonts w:ascii="SimSun" w:hAnsi="SimSun" w:eastAsia="SimSun" w:cs="SimSun"/>
          <w:sz w:val="24"/>
          <w:szCs w:val="24"/>
          <w:spacing w:val="2"/>
        </w:rPr>
        <w:t>锡林郭勒典型草原防</w:t>
      </w:r>
      <w:r>
        <w:rPr>
          <w:rFonts w:ascii="SimSun" w:hAnsi="SimSun" w:eastAsia="SimSun" w:cs="SimSun"/>
          <w:sz w:val="24"/>
          <w:szCs w:val="24"/>
          <w:spacing w:val="1"/>
        </w:rPr>
        <w:t>风固</w:t>
      </w:r>
      <w:r>
        <w:rPr>
          <w:rFonts w:ascii="SimSun" w:hAnsi="SimSun" w:eastAsia="SimSun" w:cs="SimSun"/>
          <w:sz w:val="24"/>
          <w:szCs w:val="24"/>
          <w:spacing w:val="-2"/>
        </w:rPr>
        <w:t>沙生态屏障功能区</w:t>
      </w:r>
      <w:r>
        <w:rPr>
          <w:rFonts w:ascii="Times New Roman" w:hAnsi="Times New Roman" w:eastAsia="Times New Roman" w:cs="Times New Roman"/>
          <w:sz w:val="24"/>
          <w:szCs w:val="24"/>
          <w:spacing w:val="-2"/>
        </w:rPr>
        <w:t>”</w:t>
      </w:r>
      <w:r>
        <w:rPr>
          <w:rFonts w:ascii="SimSun" w:hAnsi="SimSun" w:eastAsia="SimSun" w:cs="SimSun"/>
          <w:sz w:val="24"/>
          <w:szCs w:val="24"/>
          <w:spacing w:val="-2"/>
        </w:rPr>
        <w:t>。</w:t>
      </w:r>
    </w:p>
    <w:p>
      <w:pPr>
        <w:ind w:left="9" w:firstLine="483"/>
        <w:spacing w:before="2" w:line="339" w:lineRule="auto"/>
        <w:rPr>
          <w:rFonts w:ascii="SimSun" w:hAnsi="SimSun" w:eastAsia="SimSun" w:cs="SimSun"/>
          <w:sz w:val="24"/>
          <w:szCs w:val="24"/>
        </w:rPr>
      </w:pPr>
      <w:r>
        <w:rPr>
          <w:rFonts w:ascii="SimSun" w:hAnsi="SimSun" w:eastAsia="SimSun" w:cs="SimSun"/>
          <w:sz w:val="24"/>
          <w:szCs w:val="24"/>
          <w:spacing w:val="-2"/>
        </w:rPr>
        <w:t>该功能区以典型草原为优势类型，草原植被的最基本群落类型是大针茅草原和克氏</w:t>
      </w:r>
      <w:r>
        <w:rPr>
          <w:rFonts w:ascii="SimSun" w:hAnsi="SimSun" w:eastAsia="SimSun" w:cs="SimSun"/>
          <w:sz w:val="24"/>
          <w:szCs w:val="24"/>
          <w:spacing w:val="-6"/>
        </w:rPr>
        <w:t>针茅草原两种群系。由于地区特点，本区一直以畜牧业为经济主体，目前牲畜头数超载，</w:t>
      </w:r>
    </w:p>
    <w:p>
      <w:pPr>
        <w:spacing w:line="339" w:lineRule="auto"/>
        <w:sectPr>
          <w:headerReference w:type="default" r:id="rId266"/>
          <w:footerReference w:type="default" r:id="rId267"/>
          <w:pgSz w:w="11906" w:h="16838"/>
          <w:pgMar w:top="1170" w:right="1351" w:bottom="1080" w:left="1416" w:header="837" w:footer="918" w:gutter="0"/>
        </w:sectPr>
        <w:rPr>
          <w:rFonts w:ascii="SimSun" w:hAnsi="SimSun" w:eastAsia="SimSun" w:cs="SimSun"/>
          <w:sz w:val="24"/>
          <w:szCs w:val="24"/>
        </w:rPr>
      </w:pPr>
    </w:p>
    <w:p>
      <w:pPr>
        <w:pStyle w:val="BodyText"/>
        <w:spacing w:line="311" w:lineRule="auto"/>
        <w:rPr/>
      </w:pPr>
      <w:r/>
    </w:p>
    <w:p>
      <w:pPr>
        <w:ind w:left="119" w:right="112" w:firstLine="29"/>
        <w:spacing w:before="78" w:line="339" w:lineRule="auto"/>
        <w:jc w:val="both"/>
        <w:rPr>
          <w:rFonts w:ascii="SimSun" w:hAnsi="SimSun" w:eastAsia="SimSun" w:cs="SimSun"/>
          <w:sz w:val="24"/>
          <w:szCs w:val="24"/>
        </w:rPr>
      </w:pPr>
      <w:r>
        <w:rPr>
          <w:rFonts w:ascii="SimSun" w:hAnsi="SimSun" w:eastAsia="SimSun" w:cs="SimSun"/>
          <w:sz w:val="24"/>
          <w:szCs w:val="24"/>
          <w:spacing w:val="-2"/>
        </w:rPr>
        <w:t>由于过度放牧，草场已明显退化和沙化，草原的防风固沙生</w:t>
      </w:r>
      <w:r>
        <w:rPr>
          <w:rFonts w:ascii="SimSun" w:hAnsi="SimSun" w:eastAsia="SimSun" w:cs="SimSun"/>
          <w:sz w:val="24"/>
          <w:szCs w:val="24"/>
          <w:spacing w:val="-3"/>
        </w:rPr>
        <w:t>态屏障功能在衰退，成为我</w:t>
      </w:r>
      <w:r>
        <w:rPr>
          <w:rFonts w:ascii="SimSun" w:hAnsi="SimSun" w:eastAsia="SimSun" w:cs="SimSun"/>
          <w:sz w:val="24"/>
          <w:szCs w:val="24"/>
          <w:spacing w:val="-2"/>
        </w:rPr>
        <w:t>国北方地区重要的沙尘暴源头。在生态敏感性评价上，本区属于土地沙化和生物多样性</w:t>
      </w:r>
      <w:r>
        <w:rPr>
          <w:rFonts w:ascii="SimSun" w:hAnsi="SimSun" w:eastAsia="SimSun" w:cs="SimSun"/>
          <w:sz w:val="24"/>
          <w:szCs w:val="24"/>
          <w:spacing w:val="-2"/>
        </w:rPr>
        <w:t>极敏感区，土壤盐渍化属于敏感区。本区在生态服务功能重要性上，在草地有机物质生</w:t>
      </w:r>
      <w:r>
        <w:rPr>
          <w:rFonts w:ascii="SimSun" w:hAnsi="SimSun" w:eastAsia="SimSun" w:cs="SimSun"/>
          <w:sz w:val="24"/>
          <w:szCs w:val="24"/>
          <w:spacing w:val="-1"/>
        </w:rPr>
        <w:t>产、防风固沙、生物多样性保护上具有重要作用。</w:t>
      </w:r>
    </w:p>
    <w:p>
      <w:pPr>
        <w:ind w:left="118" w:right="112" w:firstLine="481"/>
        <w:spacing w:before="3" w:line="338" w:lineRule="auto"/>
        <w:jc w:val="both"/>
        <w:rPr>
          <w:rFonts w:ascii="SimSun" w:hAnsi="SimSun" w:eastAsia="SimSun" w:cs="SimSun"/>
          <w:sz w:val="24"/>
          <w:szCs w:val="24"/>
        </w:rPr>
      </w:pPr>
      <w:r>
        <w:rPr>
          <w:rFonts w:ascii="SimSun" w:hAnsi="SimSun" w:eastAsia="SimSun" w:cs="SimSun"/>
          <w:sz w:val="24"/>
          <w:szCs w:val="24"/>
          <w:spacing w:val="-2"/>
        </w:rPr>
        <w:t>本区在生态环境建设上应实施退牧还草政策，逐步使草原休养生息。建立典型草原</w:t>
      </w:r>
      <w:r>
        <w:rPr>
          <w:rFonts w:ascii="SimSun" w:hAnsi="SimSun" w:eastAsia="SimSun" w:cs="SimSun"/>
          <w:sz w:val="24"/>
          <w:szCs w:val="24"/>
          <w:spacing w:val="-2"/>
        </w:rPr>
        <w:t>生态功能保护区和封育保护区工程，实施强制性保护措施，退耕还草，坚决贯彻以牧为</w:t>
      </w:r>
      <w:r>
        <w:rPr>
          <w:rFonts w:ascii="SimSun" w:hAnsi="SimSun" w:eastAsia="SimSun" w:cs="SimSun"/>
          <w:sz w:val="24"/>
          <w:szCs w:val="24"/>
          <w:spacing w:val="-2"/>
        </w:rPr>
        <w:t>主的方针。按照当地生态特点搞好生态恢复重建工作；限制超载放牧，划定禁牧区，轮</w:t>
      </w:r>
      <w:r>
        <w:rPr>
          <w:rFonts w:ascii="SimSun" w:hAnsi="SimSun" w:eastAsia="SimSun" w:cs="SimSun"/>
          <w:sz w:val="24"/>
          <w:szCs w:val="24"/>
          <w:spacing w:val="-2"/>
        </w:rPr>
        <w:t>牧区，建立合理的放牧制度，并选择有条件的地段，建设改良草场和粮料基地，鼓励发</w:t>
      </w:r>
      <w:r>
        <w:rPr>
          <w:rFonts w:ascii="SimSun" w:hAnsi="SimSun" w:eastAsia="SimSun" w:cs="SimSun"/>
          <w:sz w:val="24"/>
          <w:szCs w:val="24"/>
          <w:spacing w:val="-2"/>
        </w:rPr>
        <w:t>展舍饲畜牧业，以保证畜牧业的顺利发展。对于矿产资源开发必须符合生态环境准入条</w:t>
      </w:r>
      <w:r>
        <w:rPr>
          <w:rFonts w:ascii="SimSun" w:hAnsi="SimSun" w:eastAsia="SimSun" w:cs="SimSun"/>
          <w:sz w:val="24"/>
          <w:szCs w:val="24"/>
        </w:rPr>
        <w:t>件，并严格限制开采区范围，搞好土地复垦工作</w:t>
      </w:r>
      <w:r>
        <w:rPr>
          <w:rFonts w:ascii="SimSun" w:hAnsi="SimSun" w:eastAsia="SimSun" w:cs="SimSun"/>
          <w:sz w:val="24"/>
          <w:szCs w:val="24"/>
          <w:spacing w:val="-1"/>
        </w:rPr>
        <w:t>，建立生态监管制度。</w:t>
      </w:r>
    </w:p>
    <w:p>
      <w:pPr>
        <w:ind w:left="110" w:right="112" w:firstLine="489"/>
        <w:spacing w:before="6" w:line="338" w:lineRule="auto"/>
        <w:jc w:val="both"/>
        <w:rPr>
          <w:rFonts w:ascii="SimSun" w:hAnsi="SimSun" w:eastAsia="SimSun" w:cs="SimSun"/>
          <w:sz w:val="24"/>
          <w:szCs w:val="24"/>
        </w:rPr>
      </w:pPr>
      <w:r>
        <w:rPr>
          <w:rFonts w:ascii="SimSun" w:hAnsi="SimSun" w:eastAsia="SimSun" w:cs="SimSun"/>
          <w:sz w:val="24"/>
          <w:szCs w:val="24"/>
          <w:spacing w:val="-3"/>
        </w:rPr>
        <w:t>根据《内蒙古自治区锡林郭勒盟生态功能区划》，</w:t>
      </w:r>
      <w:r>
        <w:rPr>
          <w:rFonts w:ascii="SimSun" w:hAnsi="SimSun" w:eastAsia="SimSun" w:cs="SimSun"/>
          <w:sz w:val="24"/>
          <w:szCs w:val="24"/>
          <w:spacing w:val="-4"/>
        </w:rPr>
        <w:t>项目区属于森林草原区河流</w:t>
      </w:r>
      <w:r>
        <w:rPr>
          <w:rFonts w:ascii="Times New Roman" w:hAnsi="Times New Roman" w:eastAsia="Times New Roman" w:cs="Times New Roman"/>
          <w:sz w:val="24"/>
          <w:szCs w:val="24"/>
          <w:spacing w:val="-4"/>
        </w:rPr>
        <w:t>/</w:t>
      </w:r>
      <w:r>
        <w:rPr>
          <w:rFonts w:ascii="SimSun" w:hAnsi="SimSun" w:eastAsia="SimSun" w:cs="SimSun"/>
          <w:sz w:val="24"/>
          <w:szCs w:val="24"/>
          <w:spacing w:val="-4"/>
        </w:rPr>
        <w:t>湖泊</w:t>
      </w:r>
      <w:r>
        <w:rPr>
          <w:rFonts w:ascii="Times New Roman" w:hAnsi="Times New Roman" w:eastAsia="Times New Roman" w:cs="Times New Roman"/>
          <w:sz w:val="24"/>
          <w:szCs w:val="24"/>
          <w:spacing w:val="-3"/>
        </w:rPr>
        <w:t>/</w:t>
      </w:r>
      <w:r>
        <w:rPr>
          <w:rFonts w:ascii="SimSun" w:hAnsi="SimSun" w:eastAsia="SimSun" w:cs="SimSun"/>
          <w:sz w:val="24"/>
          <w:szCs w:val="24"/>
          <w:spacing w:val="-3"/>
        </w:rPr>
        <w:t>沼泽湿地生物多样性保护生态功能区、草甸草原防风固沙生态功能恢复重建区共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个生</w:t>
      </w:r>
      <w:r>
        <w:rPr>
          <w:rFonts w:ascii="SimSun" w:hAnsi="SimSun" w:eastAsia="SimSun" w:cs="SimSun"/>
          <w:sz w:val="24"/>
          <w:szCs w:val="24"/>
          <w:spacing w:val="-1"/>
        </w:rPr>
        <w:t>态功能区。该功能区生态环境为生物多样性极敏感区，要注</w:t>
      </w:r>
      <w:r>
        <w:rPr>
          <w:rFonts w:ascii="SimSun" w:hAnsi="SimSun" w:eastAsia="SimSun" w:cs="SimSun"/>
          <w:sz w:val="24"/>
          <w:szCs w:val="24"/>
          <w:spacing w:val="-2"/>
        </w:rPr>
        <w:t>意加强保护，维持其重要的</w:t>
      </w:r>
      <w:r>
        <w:rPr>
          <w:rFonts w:ascii="SimSun" w:hAnsi="SimSun" w:eastAsia="SimSun" w:cs="SimSun"/>
          <w:sz w:val="24"/>
          <w:szCs w:val="24"/>
          <w:spacing w:val="-1"/>
        </w:rPr>
        <w:t>水源涵养和保持土壤的功能，大面积的草甸草原的保护对于</w:t>
      </w:r>
      <w:r>
        <w:rPr>
          <w:rFonts w:ascii="SimSun" w:hAnsi="SimSun" w:eastAsia="SimSun" w:cs="SimSun"/>
          <w:sz w:val="24"/>
          <w:szCs w:val="24"/>
          <w:spacing w:val="-2"/>
        </w:rPr>
        <w:t>保持区域水土流失，维护其</w:t>
      </w:r>
      <w:r>
        <w:rPr>
          <w:rFonts w:ascii="SimSun" w:hAnsi="SimSun" w:eastAsia="SimSun" w:cs="SimSun"/>
          <w:sz w:val="24"/>
          <w:szCs w:val="24"/>
          <w:spacing w:val="-1"/>
        </w:rPr>
        <w:t>毗邻的森林区和草原区的生态功能的发挥也具有重要意义。</w:t>
      </w:r>
      <w:r>
        <w:rPr>
          <w:rFonts w:ascii="SimSun" w:hAnsi="SimSun" w:eastAsia="SimSun" w:cs="SimSun"/>
          <w:sz w:val="24"/>
          <w:szCs w:val="24"/>
          <w:spacing w:val="-2"/>
        </w:rPr>
        <w:t>该区域应加强保护，合理开</w:t>
      </w:r>
      <w:r>
        <w:rPr>
          <w:rFonts w:ascii="SimSun" w:hAnsi="SimSun" w:eastAsia="SimSun" w:cs="SimSun"/>
          <w:sz w:val="24"/>
          <w:szCs w:val="24"/>
        </w:rPr>
        <w:t>发，不宜开垦和严禁过牧。项目所在锡林郭勒盟生态功能区划见图 </w:t>
      </w:r>
      <w:r>
        <w:rPr>
          <w:rFonts w:ascii="Times New Roman" w:hAnsi="Times New Roman" w:eastAsia="Times New Roman" w:cs="Times New Roman"/>
          <w:sz w:val="24"/>
          <w:szCs w:val="24"/>
        </w:rPr>
        <w:t>4-2</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p>
    <w:p>
      <w:pPr>
        <w:ind w:left="596"/>
        <w:spacing w:before="2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4.2.1.3 </w:t>
      </w:r>
      <w:r>
        <w:rPr>
          <w:rFonts w:ascii="SimHei" w:hAnsi="SimHei" w:eastAsia="SimHei" w:cs="SimHei"/>
          <w:sz w:val="24"/>
          <w:szCs w:val="24"/>
          <w:b/>
          <w:bCs/>
          <w:spacing w:val="-2"/>
        </w:rPr>
        <w:t>土地利用现状</w:t>
      </w:r>
    </w:p>
    <w:p>
      <w:pPr>
        <w:ind w:left="125" w:right="89" w:firstLine="475"/>
        <w:spacing w:before="160" w:line="338" w:lineRule="auto"/>
        <w:rPr>
          <w:rFonts w:ascii="SimSun" w:hAnsi="SimSun" w:eastAsia="SimSun" w:cs="SimSun"/>
          <w:sz w:val="24"/>
          <w:szCs w:val="24"/>
        </w:rPr>
      </w:pPr>
      <w:r>
        <w:rPr>
          <w:rFonts w:ascii="SimSun" w:hAnsi="SimSun" w:eastAsia="SimSun" w:cs="SimSun"/>
          <w:sz w:val="24"/>
          <w:szCs w:val="24"/>
          <w:spacing w:val="-2"/>
        </w:rPr>
        <w:t>本项目利用卫星遥感和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GIS</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系统对拟建项目评价</w:t>
      </w:r>
      <w:r>
        <w:rPr>
          <w:rFonts w:ascii="SimSun" w:hAnsi="SimSun" w:eastAsia="SimSun" w:cs="SimSun"/>
          <w:sz w:val="24"/>
          <w:szCs w:val="24"/>
          <w:spacing w:val="-3"/>
        </w:rPr>
        <w:t>区域内的土地利用情况进行调查，</w:t>
      </w:r>
      <w:r>
        <w:rPr>
          <w:rFonts w:ascii="SimSun" w:hAnsi="SimSun" w:eastAsia="SimSun" w:cs="SimSun"/>
          <w:sz w:val="24"/>
          <w:szCs w:val="24"/>
          <w:spacing w:val="-2"/>
        </w:rPr>
        <w:t>统计数据详见下表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4-2-1</w:t>
      </w:r>
      <w:r>
        <w:rPr>
          <w:rFonts w:ascii="SimSun" w:hAnsi="SimSun" w:eastAsia="SimSun" w:cs="SimSun"/>
          <w:sz w:val="24"/>
          <w:szCs w:val="24"/>
          <w:spacing w:val="-2"/>
        </w:rPr>
        <w:t>。</w:t>
      </w:r>
    </w:p>
    <w:p>
      <w:pPr>
        <w:ind w:left="119" w:right="112" w:firstLine="480"/>
        <w:spacing w:before="3" w:line="338" w:lineRule="auto"/>
        <w:jc w:val="both"/>
        <w:rPr>
          <w:rFonts w:ascii="SimSun" w:hAnsi="SimSun" w:eastAsia="SimSun" w:cs="SimSun"/>
          <w:sz w:val="24"/>
          <w:szCs w:val="24"/>
        </w:rPr>
      </w:pPr>
      <w:r>
        <w:rPr>
          <w:rFonts w:ascii="SimSun" w:hAnsi="SimSun" w:eastAsia="SimSun" w:cs="SimSun"/>
          <w:sz w:val="24"/>
          <w:szCs w:val="24"/>
          <w:spacing w:val="-2"/>
        </w:rPr>
        <w:t>根据评价范围内土地利用类型现状调查结果表可知，评价区土地利用类型主要为草</w:t>
      </w:r>
      <w:r>
        <w:rPr>
          <w:rFonts w:ascii="SimSun" w:hAnsi="SimSun" w:eastAsia="SimSun" w:cs="SimSun"/>
          <w:sz w:val="24"/>
          <w:szCs w:val="24"/>
          <w:spacing w:val="-3"/>
        </w:rPr>
        <w:t>地，</w:t>
      </w:r>
      <w:r>
        <w:rPr>
          <w:rFonts w:ascii="SimSun" w:hAnsi="SimSun" w:eastAsia="SimSun" w:cs="SimSun"/>
          <w:sz w:val="24"/>
          <w:szCs w:val="24"/>
          <w:spacing w:val="-69"/>
        </w:rPr>
        <w:t xml:space="preserve"> </w:t>
      </w:r>
      <w:r>
        <w:rPr>
          <w:rFonts w:ascii="SimSun" w:hAnsi="SimSun" w:eastAsia="SimSun" w:cs="SimSun"/>
          <w:sz w:val="24"/>
          <w:szCs w:val="24"/>
          <w:spacing w:val="-3"/>
        </w:rPr>
        <w:t>占评价区面积的</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65.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11%</w:t>
      </w:r>
      <w:r>
        <w:rPr>
          <w:rFonts w:ascii="SimSun" w:hAnsi="SimSun" w:eastAsia="SimSun" w:cs="SimSun"/>
          <w:sz w:val="24"/>
          <w:szCs w:val="24"/>
          <w:spacing w:val="-3"/>
        </w:rPr>
        <w:t>；其次为工矿仓储用地，</w:t>
      </w:r>
      <w:r>
        <w:rPr>
          <w:rFonts w:ascii="SimSun" w:hAnsi="SimSun" w:eastAsia="SimSun" w:cs="SimSun"/>
          <w:sz w:val="24"/>
          <w:szCs w:val="24"/>
          <w:spacing w:val="-69"/>
        </w:rPr>
        <w:t xml:space="preserve"> </w:t>
      </w:r>
      <w:r>
        <w:rPr>
          <w:rFonts w:ascii="SimSun" w:hAnsi="SimSun" w:eastAsia="SimSun" w:cs="SimSun"/>
          <w:sz w:val="24"/>
          <w:szCs w:val="24"/>
          <w:spacing w:val="-3"/>
        </w:rPr>
        <w:t>占</w:t>
      </w:r>
      <w:r>
        <w:rPr>
          <w:rFonts w:ascii="SimSun" w:hAnsi="SimSun" w:eastAsia="SimSun" w:cs="SimSun"/>
          <w:sz w:val="24"/>
          <w:szCs w:val="24"/>
          <w:spacing w:val="-55"/>
        </w:rPr>
        <w:t xml:space="preserve"> </w:t>
      </w:r>
      <w:r>
        <w:rPr>
          <w:rFonts w:ascii="Times New Roman" w:hAnsi="Times New Roman" w:eastAsia="Times New Roman" w:cs="Times New Roman"/>
          <w:sz w:val="24"/>
          <w:szCs w:val="24"/>
          <w:color w:val="FF0000"/>
          <w:spacing w:val="-3"/>
        </w:rPr>
        <w:t>26.23%</w:t>
      </w:r>
      <w:r>
        <w:rPr>
          <w:rFonts w:ascii="SimSun" w:hAnsi="SimSun" w:eastAsia="SimSun" w:cs="SimSun"/>
          <w:sz w:val="24"/>
          <w:szCs w:val="24"/>
          <w:spacing w:val="-3"/>
        </w:rPr>
        <w:t>；矿田范围内由于露天</w:t>
      </w:r>
      <w:r>
        <w:rPr>
          <w:rFonts w:ascii="SimSun" w:hAnsi="SimSun" w:eastAsia="SimSun" w:cs="SimSun"/>
          <w:sz w:val="24"/>
          <w:szCs w:val="24"/>
          <w:spacing w:val="-3"/>
        </w:rPr>
        <w:t>开采且已开采多年，因此工矿仓储用地面积最大占</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59.83%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，其次为草地，</w:t>
      </w:r>
      <w:r>
        <w:rPr>
          <w:rFonts w:ascii="SimSun" w:hAnsi="SimSun" w:eastAsia="SimSun" w:cs="SimSun"/>
          <w:sz w:val="24"/>
          <w:szCs w:val="24"/>
          <w:spacing w:val="-69"/>
        </w:rPr>
        <w:t xml:space="preserve"> </w:t>
      </w:r>
      <w:r>
        <w:rPr>
          <w:rFonts w:ascii="SimSun" w:hAnsi="SimSun" w:eastAsia="SimSun" w:cs="SimSun"/>
          <w:sz w:val="24"/>
          <w:szCs w:val="24"/>
          <w:spacing w:val="-3"/>
        </w:rPr>
        <w:t>占</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34.97%</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w:t>
      </w:r>
      <w:r>
        <w:rPr>
          <w:rFonts w:ascii="SimSun" w:hAnsi="SimSun" w:eastAsia="SimSun" w:cs="SimSun"/>
          <w:sz w:val="24"/>
          <w:szCs w:val="24"/>
          <w:spacing w:val="-1"/>
        </w:rPr>
        <w:t>主要分布于矿田西北部。</w:t>
      </w:r>
    </w:p>
    <w:p>
      <w:pPr>
        <w:ind w:left="3214"/>
        <w:spacing w:before="1" w:line="221" w:lineRule="auto"/>
        <w:rPr>
          <w:rFonts w:ascii="SimHei" w:hAnsi="SimHei" w:eastAsia="SimHei" w:cs="SimHei"/>
          <w:sz w:val="24"/>
          <w:szCs w:val="24"/>
        </w:rPr>
      </w:pPr>
      <w:r>
        <w:rPr>
          <w:rFonts w:ascii="SimHei" w:hAnsi="SimHei" w:eastAsia="SimHei" w:cs="SimHei"/>
          <w:sz w:val="24"/>
          <w:szCs w:val="24"/>
          <w:spacing w:val="-1"/>
        </w:rPr>
        <w:t>评价区和矿区土地利用现状</w:t>
      </w:r>
    </w:p>
    <w:p>
      <w:pPr>
        <w:ind w:left="117"/>
        <w:spacing w:before="36"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56"/>
        <w:gridCol w:w="1631"/>
        <w:gridCol w:w="1634"/>
        <w:gridCol w:w="1631"/>
        <w:gridCol w:w="1638"/>
      </w:tblGrid>
      <w:tr>
        <w:trPr>
          <w:trHeight w:val="335" w:hRule="atLeast"/>
        </w:trPr>
        <w:tc>
          <w:tcPr>
            <w:tcW w:w="2756" w:type="dxa"/>
            <w:vAlign w:val="top"/>
            <w:vMerge w:val="restart"/>
            <w:tcBorders>
              <w:bottom w:val="nil"/>
            </w:tcBorders>
          </w:tcPr>
          <w:p>
            <w:pPr>
              <w:ind w:left="750"/>
              <w:spacing w:before="230" w:line="228" w:lineRule="auto"/>
              <w:rPr>
                <w:rFonts w:ascii="SimSun" w:hAnsi="SimSun" w:eastAsia="SimSun" w:cs="SimSun"/>
                <w:sz w:val="20"/>
                <w:szCs w:val="20"/>
              </w:rPr>
            </w:pPr>
            <w:r>
              <w:rPr>
                <w:rFonts w:ascii="SimSun" w:hAnsi="SimSun" w:eastAsia="SimSun" w:cs="SimSun"/>
                <w:sz w:val="20"/>
                <w:szCs w:val="20"/>
                <w:b/>
                <w:bCs/>
                <w:spacing w:val="6"/>
              </w:rPr>
              <w:t>土地利用分类</w:t>
            </w:r>
          </w:p>
        </w:tc>
        <w:tc>
          <w:tcPr>
            <w:tcW w:w="3265" w:type="dxa"/>
            <w:vAlign w:val="top"/>
            <w:gridSpan w:val="2"/>
          </w:tcPr>
          <w:p>
            <w:pPr>
              <w:ind w:left="1321"/>
              <w:spacing w:before="62" w:line="226" w:lineRule="auto"/>
              <w:rPr>
                <w:rFonts w:ascii="SimSun" w:hAnsi="SimSun" w:eastAsia="SimSun" w:cs="SimSun"/>
                <w:sz w:val="20"/>
                <w:szCs w:val="20"/>
              </w:rPr>
            </w:pPr>
            <w:r>
              <w:rPr>
                <w:rFonts w:ascii="SimSun" w:hAnsi="SimSun" w:eastAsia="SimSun" w:cs="SimSun"/>
                <w:sz w:val="20"/>
                <w:szCs w:val="20"/>
                <w:b/>
                <w:bCs/>
                <w:spacing w:val="5"/>
              </w:rPr>
              <w:t>评价区</w:t>
            </w:r>
          </w:p>
        </w:tc>
        <w:tc>
          <w:tcPr>
            <w:tcW w:w="3269" w:type="dxa"/>
            <w:vAlign w:val="top"/>
            <w:gridSpan w:val="2"/>
          </w:tcPr>
          <w:p>
            <w:pPr>
              <w:ind w:left="1217"/>
              <w:spacing w:before="62" w:line="228" w:lineRule="auto"/>
              <w:rPr>
                <w:rFonts w:ascii="SimSun" w:hAnsi="SimSun" w:eastAsia="SimSun" w:cs="SimSun"/>
                <w:sz w:val="20"/>
                <w:szCs w:val="20"/>
              </w:rPr>
            </w:pPr>
            <w:r>
              <w:rPr>
                <w:rFonts w:ascii="SimSun" w:hAnsi="SimSun" w:eastAsia="SimSun" w:cs="SimSun"/>
                <w:sz w:val="20"/>
                <w:szCs w:val="20"/>
                <w:b/>
                <w:bCs/>
                <w:spacing w:val="6"/>
              </w:rPr>
              <w:t>矿田范围</w:t>
            </w:r>
          </w:p>
        </w:tc>
      </w:tr>
      <w:tr>
        <w:trPr>
          <w:trHeight w:val="330" w:hRule="atLeast"/>
        </w:trPr>
        <w:tc>
          <w:tcPr>
            <w:tcW w:w="2756" w:type="dxa"/>
            <w:vAlign w:val="top"/>
            <w:vMerge w:val="continue"/>
            <w:tcBorders>
              <w:top w:val="nil"/>
            </w:tcBorders>
          </w:tcPr>
          <w:p>
            <w:pPr>
              <w:rPr>
                <w:rFonts w:ascii="Arial"/>
                <w:sz w:val="21"/>
              </w:rPr>
            </w:pPr>
            <w:r/>
          </w:p>
        </w:tc>
        <w:tc>
          <w:tcPr>
            <w:tcW w:w="1631" w:type="dxa"/>
            <w:vAlign w:val="top"/>
          </w:tcPr>
          <w:p>
            <w:pPr>
              <w:pStyle w:val="TableText"/>
              <w:ind w:left="219"/>
              <w:spacing w:before="59"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634" w:type="dxa"/>
            <w:vAlign w:val="top"/>
          </w:tcPr>
          <w:p>
            <w:pPr>
              <w:ind w:left="514"/>
              <w:spacing w:before="59" w:line="228" w:lineRule="auto"/>
              <w:rPr>
                <w:rFonts w:ascii="SimSun" w:hAnsi="SimSun" w:eastAsia="SimSun" w:cs="SimSun"/>
                <w:sz w:val="20"/>
                <w:szCs w:val="20"/>
              </w:rPr>
            </w:pPr>
            <w:r>
              <w:rPr>
                <w:rFonts w:ascii="SimSun" w:hAnsi="SimSun" w:eastAsia="SimSun" w:cs="SimSun"/>
                <w:sz w:val="20"/>
                <w:szCs w:val="20"/>
                <w:b/>
                <w:bCs/>
                <w:spacing w:val="2"/>
              </w:rPr>
              <w:t>百分比</w:t>
            </w:r>
          </w:p>
        </w:tc>
        <w:tc>
          <w:tcPr>
            <w:tcW w:w="1631" w:type="dxa"/>
            <w:vAlign w:val="top"/>
          </w:tcPr>
          <w:p>
            <w:pPr>
              <w:pStyle w:val="TableText"/>
              <w:ind w:left="220"/>
              <w:spacing w:before="59"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638" w:type="dxa"/>
            <w:vAlign w:val="top"/>
          </w:tcPr>
          <w:p>
            <w:pPr>
              <w:ind w:left="516"/>
              <w:spacing w:before="59" w:line="228" w:lineRule="auto"/>
              <w:rPr>
                <w:rFonts w:ascii="SimSun" w:hAnsi="SimSun" w:eastAsia="SimSun" w:cs="SimSun"/>
                <w:sz w:val="20"/>
                <w:szCs w:val="20"/>
              </w:rPr>
            </w:pPr>
            <w:r>
              <w:rPr>
                <w:rFonts w:ascii="SimSun" w:hAnsi="SimSun" w:eastAsia="SimSun" w:cs="SimSun"/>
                <w:sz w:val="20"/>
                <w:szCs w:val="20"/>
                <w:b/>
                <w:bCs/>
                <w:spacing w:val="2"/>
              </w:rPr>
              <w:t>百分比</w:t>
            </w:r>
          </w:p>
        </w:tc>
      </w:tr>
      <w:tr>
        <w:trPr>
          <w:trHeight w:val="330" w:hRule="atLeast"/>
        </w:trPr>
        <w:tc>
          <w:tcPr>
            <w:tcW w:w="2756" w:type="dxa"/>
            <w:vAlign w:val="top"/>
          </w:tcPr>
          <w:p>
            <w:pPr>
              <w:ind w:left="756"/>
              <w:spacing w:before="59" w:line="228" w:lineRule="auto"/>
              <w:rPr>
                <w:rFonts w:ascii="SimSun" w:hAnsi="SimSun" w:eastAsia="SimSun" w:cs="SimSun"/>
                <w:sz w:val="20"/>
                <w:szCs w:val="20"/>
              </w:rPr>
            </w:pPr>
            <w:r>
              <w:rPr>
                <w:rFonts w:ascii="SimSun" w:hAnsi="SimSun" w:eastAsia="SimSun" w:cs="SimSun"/>
                <w:sz w:val="20"/>
                <w:szCs w:val="20"/>
                <w:spacing w:val="7"/>
              </w:rPr>
              <w:t>工矿仓储用地</w:t>
            </w:r>
          </w:p>
        </w:tc>
        <w:tc>
          <w:tcPr>
            <w:tcW w:w="1631" w:type="dxa"/>
            <w:vAlign w:val="top"/>
          </w:tcPr>
          <w:p>
            <w:pPr>
              <w:pStyle w:val="TableText"/>
              <w:ind w:left="601"/>
              <w:spacing w:before="95" w:line="195" w:lineRule="auto"/>
              <w:rPr/>
            </w:pPr>
            <w:r>
              <w:rPr>
                <w:spacing w:val="-1"/>
              </w:rPr>
              <w:t>14.01</w:t>
            </w:r>
          </w:p>
        </w:tc>
        <w:tc>
          <w:tcPr>
            <w:tcW w:w="1634" w:type="dxa"/>
            <w:vAlign w:val="top"/>
          </w:tcPr>
          <w:p>
            <w:pPr>
              <w:pStyle w:val="TableText"/>
              <w:ind w:left="496"/>
              <w:spacing w:before="95" w:line="195" w:lineRule="auto"/>
              <w:rPr/>
            </w:pPr>
            <w:r>
              <w:rPr>
                <w:spacing w:val="4"/>
              </w:rPr>
              <w:t>26.23%</w:t>
            </w:r>
          </w:p>
        </w:tc>
        <w:tc>
          <w:tcPr>
            <w:tcW w:w="1631" w:type="dxa"/>
            <w:vAlign w:val="top"/>
          </w:tcPr>
          <w:p>
            <w:pPr>
              <w:pStyle w:val="TableText"/>
              <w:ind w:left="636"/>
              <w:spacing w:before="95" w:line="195" w:lineRule="auto"/>
              <w:rPr/>
            </w:pPr>
            <w:r>
              <w:rPr>
                <w:spacing w:val="2"/>
              </w:rPr>
              <w:t>7.39</w:t>
            </w:r>
          </w:p>
        </w:tc>
        <w:tc>
          <w:tcPr>
            <w:tcW w:w="1638" w:type="dxa"/>
            <w:vAlign w:val="top"/>
          </w:tcPr>
          <w:p>
            <w:pPr>
              <w:pStyle w:val="TableText"/>
              <w:ind w:left="503"/>
              <w:spacing w:before="95" w:line="195" w:lineRule="auto"/>
              <w:rPr/>
            </w:pPr>
            <w:r>
              <w:rPr>
                <w:spacing w:val="3"/>
              </w:rPr>
              <w:t>59.83%</w:t>
            </w:r>
          </w:p>
        </w:tc>
      </w:tr>
      <w:tr>
        <w:trPr>
          <w:trHeight w:val="331" w:hRule="atLeast"/>
        </w:trPr>
        <w:tc>
          <w:tcPr>
            <w:tcW w:w="2756" w:type="dxa"/>
            <w:vAlign w:val="top"/>
          </w:tcPr>
          <w:p>
            <w:pPr>
              <w:ind w:left="1176"/>
              <w:spacing w:before="60" w:line="228" w:lineRule="auto"/>
              <w:rPr>
                <w:rFonts w:ascii="SimSun" w:hAnsi="SimSun" w:eastAsia="SimSun" w:cs="SimSun"/>
                <w:sz w:val="20"/>
                <w:szCs w:val="20"/>
              </w:rPr>
            </w:pPr>
            <w:r>
              <w:rPr>
                <w:rFonts w:ascii="SimSun" w:hAnsi="SimSun" w:eastAsia="SimSun" w:cs="SimSun"/>
                <w:sz w:val="20"/>
                <w:szCs w:val="20"/>
                <w:spacing w:val="3"/>
              </w:rPr>
              <w:t>草地</w:t>
            </w:r>
          </w:p>
        </w:tc>
        <w:tc>
          <w:tcPr>
            <w:tcW w:w="1631" w:type="dxa"/>
            <w:vAlign w:val="top"/>
          </w:tcPr>
          <w:p>
            <w:pPr>
              <w:pStyle w:val="TableText"/>
              <w:ind w:left="585"/>
              <w:spacing w:before="96" w:line="195" w:lineRule="auto"/>
              <w:rPr/>
            </w:pPr>
            <w:r>
              <w:rPr>
                <w:spacing w:val="2"/>
              </w:rPr>
              <w:t>34.77</w:t>
            </w:r>
          </w:p>
        </w:tc>
        <w:tc>
          <w:tcPr>
            <w:tcW w:w="1634" w:type="dxa"/>
            <w:vAlign w:val="top"/>
          </w:tcPr>
          <w:p>
            <w:pPr>
              <w:pStyle w:val="TableText"/>
              <w:ind w:left="500"/>
              <w:spacing w:before="96" w:line="195" w:lineRule="auto"/>
              <w:rPr/>
            </w:pPr>
            <w:r>
              <w:rPr>
                <w:spacing w:val="-1"/>
              </w:rPr>
              <w:t>65.</w:t>
            </w:r>
            <w:r>
              <w:rPr>
                <w:spacing w:val="-24"/>
              </w:rPr>
              <w:t xml:space="preserve"> </w:t>
            </w:r>
            <w:r>
              <w:rPr>
                <w:spacing w:val="-1"/>
              </w:rPr>
              <w:t>11%</w:t>
            </w:r>
          </w:p>
        </w:tc>
        <w:tc>
          <w:tcPr>
            <w:tcW w:w="1631" w:type="dxa"/>
            <w:vAlign w:val="top"/>
          </w:tcPr>
          <w:p>
            <w:pPr>
              <w:pStyle w:val="TableText"/>
              <w:ind w:left="632"/>
              <w:spacing w:before="96" w:line="195" w:lineRule="auto"/>
              <w:rPr/>
            </w:pPr>
            <w:r>
              <w:rPr>
                <w:spacing w:val="3"/>
              </w:rPr>
              <w:t>4.32</w:t>
            </w:r>
          </w:p>
        </w:tc>
        <w:tc>
          <w:tcPr>
            <w:tcW w:w="1638" w:type="dxa"/>
            <w:vAlign w:val="top"/>
          </w:tcPr>
          <w:p>
            <w:pPr>
              <w:pStyle w:val="TableText"/>
              <w:ind w:left="501"/>
              <w:spacing w:before="96" w:line="195" w:lineRule="auto"/>
              <w:rPr/>
            </w:pPr>
            <w:r>
              <w:rPr>
                <w:spacing w:val="3"/>
              </w:rPr>
              <w:t>34.97%</w:t>
            </w:r>
          </w:p>
        </w:tc>
      </w:tr>
      <w:tr>
        <w:trPr>
          <w:trHeight w:val="330" w:hRule="atLeast"/>
        </w:trPr>
        <w:tc>
          <w:tcPr>
            <w:tcW w:w="2756" w:type="dxa"/>
            <w:vAlign w:val="top"/>
          </w:tcPr>
          <w:p>
            <w:pPr>
              <w:ind w:left="963"/>
              <w:spacing w:before="60" w:line="228" w:lineRule="auto"/>
              <w:rPr>
                <w:rFonts w:ascii="SimSun" w:hAnsi="SimSun" w:eastAsia="SimSun" w:cs="SimSun"/>
                <w:sz w:val="20"/>
                <w:szCs w:val="20"/>
              </w:rPr>
            </w:pPr>
            <w:r>
              <w:rPr>
                <w:rFonts w:ascii="SimSun" w:hAnsi="SimSun" w:eastAsia="SimSun" w:cs="SimSun"/>
                <w:sz w:val="20"/>
                <w:szCs w:val="20"/>
                <w:spacing w:val="7"/>
              </w:rPr>
              <w:t>坑塘水面</w:t>
            </w:r>
          </w:p>
        </w:tc>
        <w:tc>
          <w:tcPr>
            <w:tcW w:w="1631" w:type="dxa"/>
            <w:vAlign w:val="top"/>
          </w:tcPr>
          <w:p>
            <w:pPr>
              <w:pStyle w:val="TableText"/>
              <w:ind w:left="632"/>
              <w:spacing w:before="96" w:line="195" w:lineRule="auto"/>
              <w:rPr/>
            </w:pPr>
            <w:r>
              <w:rPr>
                <w:spacing w:val="3"/>
              </w:rPr>
              <w:t>0.80</w:t>
            </w:r>
          </w:p>
        </w:tc>
        <w:tc>
          <w:tcPr>
            <w:tcW w:w="1634" w:type="dxa"/>
            <w:vAlign w:val="top"/>
          </w:tcPr>
          <w:p>
            <w:pPr>
              <w:pStyle w:val="TableText"/>
              <w:ind w:left="566"/>
              <w:spacing w:before="96" w:line="195" w:lineRule="auto"/>
              <w:rPr/>
            </w:pPr>
            <w:r>
              <w:rPr/>
              <w:t>1.49%</w:t>
            </w:r>
          </w:p>
        </w:tc>
        <w:tc>
          <w:tcPr>
            <w:tcW w:w="1631" w:type="dxa"/>
            <w:vAlign w:val="top"/>
          </w:tcPr>
          <w:p>
            <w:pPr>
              <w:pStyle w:val="TableText"/>
              <w:ind w:left="636"/>
              <w:spacing w:before="96" w:line="195" w:lineRule="auto"/>
              <w:rPr/>
            </w:pPr>
            <w:r>
              <w:rPr>
                <w:spacing w:val="2"/>
              </w:rPr>
              <w:t>0.44</w:t>
            </w:r>
          </w:p>
        </w:tc>
        <w:tc>
          <w:tcPr>
            <w:tcW w:w="1638" w:type="dxa"/>
            <w:vAlign w:val="top"/>
          </w:tcPr>
          <w:p>
            <w:pPr>
              <w:pStyle w:val="TableText"/>
              <w:ind w:left="554"/>
              <w:spacing w:before="96" w:line="195" w:lineRule="auto"/>
              <w:rPr/>
            </w:pPr>
            <w:r>
              <w:rPr>
                <w:spacing w:val="3"/>
              </w:rPr>
              <w:t>3.59%</w:t>
            </w:r>
          </w:p>
        </w:tc>
      </w:tr>
      <w:tr>
        <w:trPr>
          <w:trHeight w:val="331" w:hRule="atLeast"/>
        </w:trPr>
        <w:tc>
          <w:tcPr>
            <w:tcW w:w="2756" w:type="dxa"/>
            <w:vAlign w:val="top"/>
          </w:tcPr>
          <w:p>
            <w:pPr>
              <w:ind w:left="758"/>
              <w:spacing w:before="61" w:line="228" w:lineRule="auto"/>
              <w:rPr>
                <w:rFonts w:ascii="SimSun" w:hAnsi="SimSun" w:eastAsia="SimSun" w:cs="SimSun"/>
                <w:sz w:val="20"/>
                <w:szCs w:val="20"/>
              </w:rPr>
            </w:pPr>
            <w:r>
              <w:rPr>
                <w:rFonts w:ascii="SimSun" w:hAnsi="SimSun" w:eastAsia="SimSun" w:cs="SimSun"/>
                <w:sz w:val="20"/>
                <w:szCs w:val="20"/>
                <w:spacing w:val="7"/>
              </w:rPr>
              <w:t>交通运输用地</w:t>
            </w:r>
          </w:p>
        </w:tc>
        <w:tc>
          <w:tcPr>
            <w:tcW w:w="1631" w:type="dxa"/>
            <w:vAlign w:val="top"/>
          </w:tcPr>
          <w:p>
            <w:pPr>
              <w:pStyle w:val="TableText"/>
              <w:ind w:left="649"/>
              <w:spacing w:before="97" w:line="195" w:lineRule="auto"/>
              <w:rPr/>
            </w:pPr>
            <w:r>
              <w:rPr>
                <w:spacing w:val="-1"/>
              </w:rPr>
              <w:t>1.30</w:t>
            </w:r>
          </w:p>
        </w:tc>
        <w:tc>
          <w:tcPr>
            <w:tcW w:w="1634" w:type="dxa"/>
            <w:vAlign w:val="top"/>
          </w:tcPr>
          <w:p>
            <w:pPr>
              <w:pStyle w:val="TableText"/>
              <w:ind w:left="546"/>
              <w:spacing w:before="97" w:line="195" w:lineRule="auto"/>
              <w:rPr/>
            </w:pPr>
            <w:r>
              <w:rPr>
                <w:spacing w:val="4"/>
              </w:rPr>
              <w:t>2.43%</w:t>
            </w:r>
          </w:p>
        </w:tc>
        <w:tc>
          <w:tcPr>
            <w:tcW w:w="1631" w:type="dxa"/>
            <w:vAlign w:val="top"/>
          </w:tcPr>
          <w:p>
            <w:pPr>
              <w:pStyle w:val="TableText"/>
              <w:ind w:left="636"/>
              <w:spacing w:before="97" w:line="195" w:lineRule="auto"/>
              <w:rPr/>
            </w:pPr>
            <w:r>
              <w:rPr>
                <w:spacing w:val="2"/>
              </w:rPr>
              <w:t>0.10</w:t>
            </w:r>
          </w:p>
        </w:tc>
        <w:tc>
          <w:tcPr>
            <w:tcW w:w="1638" w:type="dxa"/>
            <w:vAlign w:val="top"/>
          </w:tcPr>
          <w:p>
            <w:pPr>
              <w:pStyle w:val="TableText"/>
              <w:ind w:left="553"/>
              <w:spacing w:before="97" w:line="195" w:lineRule="auto"/>
              <w:rPr/>
            </w:pPr>
            <w:r>
              <w:rPr>
                <w:spacing w:val="3"/>
              </w:rPr>
              <w:t>0.82%</w:t>
            </w:r>
          </w:p>
        </w:tc>
      </w:tr>
      <w:tr>
        <w:trPr>
          <w:trHeight w:val="331" w:hRule="atLeast"/>
        </w:trPr>
        <w:tc>
          <w:tcPr>
            <w:tcW w:w="2756" w:type="dxa"/>
            <w:vAlign w:val="top"/>
          </w:tcPr>
          <w:p>
            <w:pPr>
              <w:ind w:left="963"/>
              <w:spacing w:before="62" w:line="228" w:lineRule="auto"/>
              <w:rPr>
                <w:rFonts w:ascii="SimSun" w:hAnsi="SimSun" w:eastAsia="SimSun" w:cs="SimSun"/>
                <w:sz w:val="20"/>
                <w:szCs w:val="20"/>
              </w:rPr>
            </w:pPr>
            <w:r>
              <w:rPr>
                <w:rFonts w:ascii="SimSun" w:hAnsi="SimSun" w:eastAsia="SimSun" w:cs="SimSun"/>
                <w:sz w:val="20"/>
                <w:szCs w:val="20"/>
                <w:spacing w:val="7"/>
              </w:rPr>
              <w:t>其他土地</w:t>
            </w:r>
          </w:p>
        </w:tc>
        <w:tc>
          <w:tcPr>
            <w:tcW w:w="1631" w:type="dxa"/>
            <w:vAlign w:val="top"/>
          </w:tcPr>
          <w:p>
            <w:pPr>
              <w:pStyle w:val="TableText"/>
              <w:ind w:left="632"/>
              <w:spacing w:before="97" w:line="195" w:lineRule="auto"/>
              <w:rPr/>
            </w:pPr>
            <w:r>
              <w:rPr>
                <w:spacing w:val="3"/>
              </w:rPr>
              <w:t>0.57</w:t>
            </w:r>
          </w:p>
        </w:tc>
        <w:tc>
          <w:tcPr>
            <w:tcW w:w="1634" w:type="dxa"/>
            <w:vAlign w:val="top"/>
          </w:tcPr>
          <w:p>
            <w:pPr>
              <w:pStyle w:val="TableText"/>
              <w:ind w:left="566"/>
              <w:spacing w:before="97" w:line="195" w:lineRule="auto"/>
              <w:rPr/>
            </w:pPr>
            <w:r>
              <w:rPr/>
              <w:t>1.07%</w:t>
            </w:r>
          </w:p>
        </w:tc>
        <w:tc>
          <w:tcPr>
            <w:tcW w:w="1631" w:type="dxa"/>
            <w:vAlign w:val="top"/>
          </w:tcPr>
          <w:p>
            <w:pPr>
              <w:pStyle w:val="TableText"/>
              <w:ind w:left="636"/>
              <w:spacing w:before="97" w:line="195" w:lineRule="auto"/>
              <w:rPr/>
            </w:pPr>
            <w:r>
              <w:rPr>
                <w:spacing w:val="2"/>
              </w:rPr>
              <w:t>0.06</w:t>
            </w:r>
          </w:p>
        </w:tc>
        <w:tc>
          <w:tcPr>
            <w:tcW w:w="1638" w:type="dxa"/>
            <w:vAlign w:val="top"/>
          </w:tcPr>
          <w:p>
            <w:pPr>
              <w:pStyle w:val="TableText"/>
              <w:ind w:left="553"/>
              <w:spacing w:before="97" w:line="195" w:lineRule="auto"/>
              <w:rPr/>
            </w:pPr>
            <w:r>
              <w:rPr>
                <w:spacing w:val="3"/>
              </w:rPr>
              <w:t>0.45%</w:t>
            </w:r>
          </w:p>
        </w:tc>
      </w:tr>
      <w:tr>
        <w:trPr>
          <w:trHeight w:val="331" w:hRule="atLeast"/>
        </w:trPr>
        <w:tc>
          <w:tcPr>
            <w:tcW w:w="2756" w:type="dxa"/>
            <w:vAlign w:val="top"/>
          </w:tcPr>
          <w:p>
            <w:pPr>
              <w:ind w:left="962"/>
              <w:spacing w:before="61" w:line="229" w:lineRule="auto"/>
              <w:rPr>
                <w:rFonts w:ascii="SimSun" w:hAnsi="SimSun" w:eastAsia="SimSun" w:cs="SimSun"/>
                <w:sz w:val="20"/>
                <w:szCs w:val="20"/>
              </w:rPr>
            </w:pPr>
            <w:r>
              <w:rPr>
                <w:rFonts w:ascii="SimSun" w:hAnsi="SimSun" w:eastAsia="SimSun" w:cs="SimSun"/>
                <w:sz w:val="20"/>
                <w:szCs w:val="20"/>
                <w:spacing w:val="7"/>
              </w:rPr>
              <w:t>住宅用地</w:t>
            </w:r>
          </w:p>
        </w:tc>
        <w:tc>
          <w:tcPr>
            <w:tcW w:w="1631" w:type="dxa"/>
            <w:vAlign w:val="top"/>
          </w:tcPr>
          <w:p>
            <w:pPr>
              <w:pStyle w:val="TableText"/>
              <w:ind w:left="632"/>
              <w:spacing w:before="97" w:line="195" w:lineRule="auto"/>
              <w:rPr/>
            </w:pPr>
            <w:r>
              <w:rPr>
                <w:spacing w:val="3"/>
              </w:rPr>
              <w:t>0.08</w:t>
            </w:r>
          </w:p>
        </w:tc>
        <w:tc>
          <w:tcPr>
            <w:tcW w:w="1634" w:type="dxa"/>
            <w:vAlign w:val="top"/>
          </w:tcPr>
          <w:p>
            <w:pPr>
              <w:pStyle w:val="TableText"/>
              <w:ind w:left="549"/>
              <w:spacing w:before="97" w:line="195" w:lineRule="auto"/>
              <w:rPr/>
            </w:pPr>
            <w:r>
              <w:rPr>
                <w:spacing w:val="-2"/>
              </w:rPr>
              <w:t>0.</w:t>
            </w:r>
            <w:r>
              <w:rPr>
                <w:spacing w:val="-22"/>
              </w:rPr>
              <w:t xml:space="preserve"> </w:t>
            </w:r>
            <w:r>
              <w:rPr>
                <w:spacing w:val="-2"/>
              </w:rPr>
              <w:t>15%</w:t>
            </w:r>
          </w:p>
        </w:tc>
        <w:tc>
          <w:tcPr>
            <w:tcW w:w="1631" w:type="dxa"/>
            <w:vAlign w:val="top"/>
          </w:tcPr>
          <w:p>
            <w:pPr>
              <w:pStyle w:val="TableText"/>
              <w:ind w:left="636"/>
              <w:spacing w:before="97" w:line="195" w:lineRule="auto"/>
              <w:rPr/>
            </w:pPr>
            <w:r>
              <w:rPr>
                <w:spacing w:val="2"/>
              </w:rPr>
              <w:t>0.00</w:t>
            </w:r>
          </w:p>
        </w:tc>
        <w:tc>
          <w:tcPr>
            <w:tcW w:w="1638" w:type="dxa"/>
            <w:vAlign w:val="top"/>
          </w:tcPr>
          <w:p>
            <w:pPr>
              <w:pStyle w:val="TableText"/>
              <w:ind w:left="553"/>
              <w:spacing w:before="97" w:line="195" w:lineRule="auto"/>
              <w:rPr/>
            </w:pPr>
            <w:r>
              <w:rPr>
                <w:spacing w:val="3"/>
              </w:rPr>
              <w:t>0.00%</w:t>
            </w:r>
          </w:p>
        </w:tc>
      </w:tr>
      <w:tr>
        <w:trPr>
          <w:trHeight w:val="330" w:hRule="atLeast"/>
        </w:trPr>
        <w:tc>
          <w:tcPr>
            <w:tcW w:w="2756" w:type="dxa"/>
            <w:vAlign w:val="top"/>
          </w:tcPr>
          <w:p>
            <w:pPr>
              <w:ind w:left="988"/>
              <w:spacing w:before="61" w:line="228" w:lineRule="auto"/>
              <w:rPr>
                <w:rFonts w:ascii="SimSun" w:hAnsi="SimSun" w:eastAsia="SimSun" w:cs="SimSun"/>
                <w:sz w:val="20"/>
                <w:szCs w:val="20"/>
              </w:rPr>
            </w:pPr>
            <w:r>
              <w:rPr>
                <w:rFonts w:ascii="SimSun" w:hAnsi="SimSun" w:eastAsia="SimSun" w:cs="SimSun"/>
                <w:sz w:val="20"/>
                <w:szCs w:val="20"/>
                <w:spacing w:val="1"/>
              </w:rPr>
              <w:t>内陆滩涂</w:t>
            </w:r>
          </w:p>
        </w:tc>
        <w:tc>
          <w:tcPr>
            <w:tcW w:w="1631" w:type="dxa"/>
            <w:vAlign w:val="top"/>
          </w:tcPr>
          <w:p>
            <w:pPr>
              <w:pStyle w:val="TableText"/>
              <w:ind w:left="632"/>
              <w:spacing w:before="97" w:line="195" w:lineRule="auto"/>
              <w:rPr/>
            </w:pPr>
            <w:r>
              <w:rPr>
                <w:spacing w:val="3"/>
              </w:rPr>
              <w:t>0.79</w:t>
            </w:r>
          </w:p>
        </w:tc>
        <w:tc>
          <w:tcPr>
            <w:tcW w:w="1634" w:type="dxa"/>
            <w:vAlign w:val="top"/>
          </w:tcPr>
          <w:p>
            <w:pPr>
              <w:pStyle w:val="TableText"/>
              <w:ind w:left="566"/>
              <w:spacing w:before="97" w:line="195" w:lineRule="auto"/>
              <w:rPr/>
            </w:pPr>
            <w:r>
              <w:rPr/>
              <w:t>1.49%</w:t>
            </w:r>
          </w:p>
        </w:tc>
        <w:tc>
          <w:tcPr>
            <w:tcW w:w="1631" w:type="dxa"/>
            <w:vAlign w:val="top"/>
          </w:tcPr>
          <w:p>
            <w:pPr>
              <w:pStyle w:val="TableText"/>
              <w:ind w:left="636"/>
              <w:spacing w:before="97" w:line="195" w:lineRule="auto"/>
              <w:rPr/>
            </w:pPr>
            <w:r>
              <w:rPr>
                <w:spacing w:val="2"/>
              </w:rPr>
              <w:t>0.01</w:t>
            </w:r>
          </w:p>
        </w:tc>
        <w:tc>
          <w:tcPr>
            <w:tcW w:w="1638" w:type="dxa"/>
            <w:vAlign w:val="top"/>
          </w:tcPr>
          <w:p>
            <w:pPr>
              <w:pStyle w:val="TableText"/>
              <w:ind w:left="553"/>
              <w:spacing w:before="97" w:line="195" w:lineRule="auto"/>
              <w:rPr/>
            </w:pPr>
            <w:r>
              <w:rPr>
                <w:spacing w:val="3"/>
              </w:rPr>
              <w:t>0.06%</w:t>
            </w:r>
          </w:p>
        </w:tc>
      </w:tr>
      <w:tr>
        <w:trPr>
          <w:trHeight w:val="333" w:hRule="atLeast"/>
        </w:trPr>
        <w:tc>
          <w:tcPr>
            <w:tcW w:w="2756" w:type="dxa"/>
            <w:vAlign w:val="top"/>
          </w:tcPr>
          <w:p>
            <w:pPr>
              <w:ind w:left="962"/>
              <w:spacing w:before="62" w:line="228" w:lineRule="auto"/>
              <w:rPr>
                <w:rFonts w:ascii="SimSun" w:hAnsi="SimSun" w:eastAsia="SimSun" w:cs="SimSun"/>
                <w:sz w:val="20"/>
                <w:szCs w:val="20"/>
              </w:rPr>
            </w:pPr>
            <w:r>
              <w:rPr>
                <w:rFonts w:ascii="SimSun" w:hAnsi="SimSun" w:eastAsia="SimSun" w:cs="SimSun"/>
                <w:sz w:val="20"/>
                <w:szCs w:val="20"/>
                <w:spacing w:val="7"/>
              </w:rPr>
              <w:t>河流水面</w:t>
            </w:r>
          </w:p>
        </w:tc>
        <w:tc>
          <w:tcPr>
            <w:tcW w:w="1631" w:type="dxa"/>
            <w:vAlign w:val="top"/>
          </w:tcPr>
          <w:p>
            <w:pPr>
              <w:pStyle w:val="TableText"/>
              <w:ind w:left="632"/>
              <w:spacing w:before="98" w:line="195" w:lineRule="auto"/>
              <w:rPr/>
            </w:pPr>
            <w:r>
              <w:rPr>
                <w:spacing w:val="3"/>
              </w:rPr>
              <w:t>0.23</w:t>
            </w:r>
          </w:p>
        </w:tc>
        <w:tc>
          <w:tcPr>
            <w:tcW w:w="1634" w:type="dxa"/>
            <w:vAlign w:val="top"/>
          </w:tcPr>
          <w:p>
            <w:pPr>
              <w:pStyle w:val="TableText"/>
              <w:ind w:left="549"/>
              <w:spacing w:before="98" w:line="195" w:lineRule="auto"/>
              <w:rPr/>
            </w:pPr>
            <w:r>
              <w:rPr>
                <w:spacing w:val="3"/>
              </w:rPr>
              <w:t>0.43%</w:t>
            </w:r>
          </w:p>
        </w:tc>
        <w:tc>
          <w:tcPr>
            <w:tcW w:w="1631" w:type="dxa"/>
            <w:vAlign w:val="top"/>
          </w:tcPr>
          <w:p>
            <w:pPr>
              <w:pStyle w:val="TableText"/>
              <w:ind w:left="636"/>
              <w:spacing w:before="98" w:line="195" w:lineRule="auto"/>
              <w:rPr/>
            </w:pPr>
            <w:r>
              <w:rPr>
                <w:spacing w:val="2"/>
              </w:rPr>
              <w:t>0.03</w:t>
            </w:r>
          </w:p>
        </w:tc>
        <w:tc>
          <w:tcPr>
            <w:tcW w:w="1638" w:type="dxa"/>
            <w:vAlign w:val="top"/>
          </w:tcPr>
          <w:p>
            <w:pPr>
              <w:pStyle w:val="TableText"/>
              <w:ind w:left="553"/>
              <w:spacing w:before="98" w:line="195" w:lineRule="auto"/>
              <w:rPr/>
            </w:pPr>
            <w:r>
              <w:rPr>
                <w:spacing w:val="3"/>
              </w:rPr>
              <w:t>0.28%</w:t>
            </w:r>
          </w:p>
        </w:tc>
      </w:tr>
    </w:tbl>
    <w:p>
      <w:pPr>
        <w:pStyle w:val="BodyText"/>
        <w:spacing w:line="90" w:lineRule="exact"/>
        <w:rPr>
          <w:sz w:val="7"/>
        </w:rPr>
      </w:pPr>
      <w:r/>
    </w:p>
    <w:p>
      <w:pPr>
        <w:spacing w:line="90" w:lineRule="exact"/>
        <w:sectPr>
          <w:headerReference w:type="default" r:id="rId238"/>
          <w:footerReference w:type="default" r:id="rId268"/>
          <w:pgSz w:w="11906" w:h="16838"/>
          <w:pgMar w:top="1170" w:right="1304" w:bottom="1080" w:left="1305" w:header="837" w:footer="918" w:gutter="0"/>
        </w:sectPr>
        <w:rPr>
          <w:sz w:val="7"/>
          <w:szCs w:val="7"/>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56"/>
        <w:gridCol w:w="1631"/>
        <w:gridCol w:w="1634"/>
        <w:gridCol w:w="1631"/>
        <w:gridCol w:w="1638"/>
      </w:tblGrid>
      <w:tr>
        <w:trPr>
          <w:trHeight w:val="334" w:hRule="atLeast"/>
        </w:trPr>
        <w:tc>
          <w:tcPr>
            <w:tcW w:w="2756" w:type="dxa"/>
            <w:vAlign w:val="top"/>
          </w:tcPr>
          <w:p>
            <w:pPr>
              <w:ind w:left="1175"/>
              <w:spacing w:before="62" w:line="228" w:lineRule="auto"/>
              <w:rPr>
                <w:rFonts w:ascii="SimSun" w:hAnsi="SimSun" w:eastAsia="SimSun" w:cs="SimSun"/>
                <w:sz w:val="20"/>
                <w:szCs w:val="20"/>
              </w:rPr>
            </w:pPr>
            <w:r>
              <w:rPr>
                <w:rFonts w:ascii="SimSun" w:hAnsi="SimSun" w:eastAsia="SimSun" w:cs="SimSun"/>
                <w:sz w:val="20"/>
                <w:szCs w:val="20"/>
                <w:spacing w:val="4"/>
              </w:rPr>
              <w:t>林地</w:t>
            </w:r>
          </w:p>
        </w:tc>
        <w:tc>
          <w:tcPr>
            <w:tcW w:w="1631" w:type="dxa"/>
            <w:vAlign w:val="top"/>
          </w:tcPr>
          <w:p>
            <w:pPr>
              <w:pStyle w:val="TableText"/>
              <w:ind w:left="632"/>
              <w:spacing w:before="98" w:line="195" w:lineRule="auto"/>
              <w:rPr/>
            </w:pPr>
            <w:r>
              <w:rPr>
                <w:spacing w:val="3"/>
              </w:rPr>
              <w:t>0.70</w:t>
            </w:r>
          </w:p>
        </w:tc>
        <w:tc>
          <w:tcPr>
            <w:tcW w:w="1634" w:type="dxa"/>
            <w:vAlign w:val="top"/>
          </w:tcPr>
          <w:p>
            <w:pPr>
              <w:pStyle w:val="TableText"/>
              <w:ind w:left="566"/>
              <w:spacing w:before="98" w:line="195" w:lineRule="auto"/>
              <w:rPr/>
            </w:pPr>
            <w:r>
              <w:rPr/>
              <w:t>1.31%</w:t>
            </w:r>
          </w:p>
        </w:tc>
        <w:tc>
          <w:tcPr>
            <w:tcW w:w="1631" w:type="dxa"/>
            <w:vAlign w:val="top"/>
          </w:tcPr>
          <w:p>
            <w:pPr>
              <w:pStyle w:val="TableText"/>
              <w:ind w:left="636"/>
              <w:spacing w:before="98" w:line="195" w:lineRule="auto"/>
              <w:rPr/>
            </w:pPr>
            <w:r>
              <w:rPr>
                <w:spacing w:val="2"/>
              </w:rPr>
              <w:t>0.00</w:t>
            </w:r>
          </w:p>
        </w:tc>
        <w:tc>
          <w:tcPr>
            <w:tcW w:w="1638" w:type="dxa"/>
            <w:vAlign w:val="top"/>
          </w:tcPr>
          <w:p>
            <w:pPr>
              <w:pStyle w:val="TableText"/>
              <w:ind w:left="553"/>
              <w:spacing w:before="98" w:line="195" w:lineRule="auto"/>
              <w:rPr/>
            </w:pPr>
            <w:r>
              <w:rPr>
                <w:spacing w:val="3"/>
              </w:rPr>
              <w:t>0.00%</w:t>
            </w:r>
          </w:p>
        </w:tc>
      </w:tr>
      <w:tr>
        <w:trPr>
          <w:trHeight w:val="329" w:hRule="atLeast"/>
        </w:trPr>
        <w:tc>
          <w:tcPr>
            <w:tcW w:w="2756" w:type="dxa"/>
            <w:vAlign w:val="top"/>
          </w:tcPr>
          <w:p>
            <w:pPr>
              <w:ind w:left="967"/>
              <w:spacing w:before="60" w:line="228" w:lineRule="auto"/>
              <w:rPr>
                <w:rFonts w:ascii="SimSun" w:hAnsi="SimSun" w:eastAsia="SimSun" w:cs="SimSun"/>
                <w:sz w:val="20"/>
                <w:szCs w:val="20"/>
              </w:rPr>
            </w:pPr>
            <w:r>
              <w:rPr>
                <w:rFonts w:ascii="SimSun" w:hAnsi="SimSun" w:eastAsia="SimSun" w:cs="SimSun"/>
                <w:sz w:val="20"/>
                <w:szCs w:val="20"/>
                <w:spacing w:val="6"/>
              </w:rPr>
              <w:t>商服用地</w:t>
            </w:r>
          </w:p>
        </w:tc>
        <w:tc>
          <w:tcPr>
            <w:tcW w:w="1631" w:type="dxa"/>
            <w:vAlign w:val="top"/>
          </w:tcPr>
          <w:p>
            <w:pPr>
              <w:pStyle w:val="TableText"/>
              <w:ind w:left="632"/>
              <w:spacing w:before="95" w:line="195" w:lineRule="auto"/>
              <w:rPr/>
            </w:pPr>
            <w:r>
              <w:rPr>
                <w:spacing w:val="3"/>
              </w:rPr>
              <w:t>0.15</w:t>
            </w:r>
          </w:p>
        </w:tc>
        <w:tc>
          <w:tcPr>
            <w:tcW w:w="1634" w:type="dxa"/>
            <w:vAlign w:val="top"/>
          </w:tcPr>
          <w:p>
            <w:pPr>
              <w:pStyle w:val="TableText"/>
              <w:ind w:left="549"/>
              <w:spacing w:before="95" w:line="195" w:lineRule="auto"/>
              <w:rPr/>
            </w:pPr>
            <w:r>
              <w:rPr>
                <w:spacing w:val="3"/>
              </w:rPr>
              <w:t>0.28%</w:t>
            </w:r>
          </w:p>
        </w:tc>
        <w:tc>
          <w:tcPr>
            <w:tcW w:w="1631" w:type="dxa"/>
            <w:vAlign w:val="top"/>
          </w:tcPr>
          <w:p>
            <w:pPr>
              <w:pStyle w:val="TableText"/>
              <w:ind w:left="636"/>
              <w:spacing w:before="95" w:line="195" w:lineRule="auto"/>
              <w:rPr/>
            </w:pPr>
            <w:r>
              <w:rPr>
                <w:spacing w:val="2"/>
              </w:rPr>
              <w:t>0.00</w:t>
            </w:r>
          </w:p>
        </w:tc>
        <w:tc>
          <w:tcPr>
            <w:tcW w:w="1638" w:type="dxa"/>
            <w:vAlign w:val="top"/>
          </w:tcPr>
          <w:p>
            <w:pPr>
              <w:pStyle w:val="TableText"/>
              <w:ind w:left="553"/>
              <w:spacing w:before="95" w:line="195" w:lineRule="auto"/>
              <w:rPr/>
            </w:pPr>
            <w:r>
              <w:rPr>
                <w:spacing w:val="3"/>
              </w:rPr>
              <w:t>0.00%</w:t>
            </w:r>
          </w:p>
        </w:tc>
      </w:tr>
      <w:tr>
        <w:trPr>
          <w:trHeight w:val="334" w:hRule="atLeast"/>
        </w:trPr>
        <w:tc>
          <w:tcPr>
            <w:tcW w:w="2756" w:type="dxa"/>
            <w:vAlign w:val="top"/>
          </w:tcPr>
          <w:p>
            <w:pPr>
              <w:ind w:left="1179"/>
              <w:spacing w:before="61" w:line="229" w:lineRule="auto"/>
              <w:rPr>
                <w:rFonts w:ascii="SimSun" w:hAnsi="SimSun" w:eastAsia="SimSun" w:cs="SimSun"/>
                <w:sz w:val="20"/>
                <w:szCs w:val="20"/>
              </w:rPr>
            </w:pPr>
            <w:r>
              <w:rPr>
                <w:rFonts w:ascii="SimSun" w:hAnsi="SimSun" w:eastAsia="SimSun" w:cs="SimSun"/>
                <w:sz w:val="20"/>
                <w:szCs w:val="20"/>
                <w:spacing w:val="2"/>
              </w:rPr>
              <w:t>总计</w:t>
            </w:r>
          </w:p>
        </w:tc>
        <w:tc>
          <w:tcPr>
            <w:tcW w:w="1631" w:type="dxa"/>
            <w:vAlign w:val="top"/>
          </w:tcPr>
          <w:p>
            <w:pPr>
              <w:pStyle w:val="TableText"/>
              <w:ind w:left="587"/>
              <w:spacing w:before="97" w:line="195" w:lineRule="auto"/>
              <w:rPr/>
            </w:pPr>
            <w:r>
              <w:rPr>
                <w:spacing w:val="2"/>
              </w:rPr>
              <w:t>53.41</w:t>
            </w:r>
          </w:p>
        </w:tc>
        <w:tc>
          <w:tcPr>
            <w:tcW w:w="1634" w:type="dxa"/>
            <w:vAlign w:val="top"/>
          </w:tcPr>
          <w:p>
            <w:pPr>
              <w:pStyle w:val="TableText"/>
              <w:ind w:left="463"/>
              <w:spacing w:before="97" w:line="195" w:lineRule="auto"/>
              <w:rPr/>
            </w:pPr>
            <w:r>
              <w:rPr>
                <w:spacing w:val="1"/>
              </w:rPr>
              <w:t>100.00%</w:t>
            </w:r>
          </w:p>
        </w:tc>
        <w:tc>
          <w:tcPr>
            <w:tcW w:w="1631" w:type="dxa"/>
            <w:vAlign w:val="top"/>
          </w:tcPr>
          <w:p>
            <w:pPr>
              <w:pStyle w:val="TableText"/>
              <w:ind w:left="600"/>
              <w:spacing w:before="97" w:line="195" w:lineRule="auto"/>
              <w:rPr/>
            </w:pPr>
            <w:r>
              <w:rPr>
                <w:spacing w:val="-1"/>
              </w:rPr>
              <w:t>12.35</w:t>
            </w:r>
          </w:p>
        </w:tc>
        <w:tc>
          <w:tcPr>
            <w:tcW w:w="1638" w:type="dxa"/>
            <w:vAlign w:val="top"/>
          </w:tcPr>
          <w:p>
            <w:pPr>
              <w:pStyle w:val="TableText"/>
              <w:ind w:left="465"/>
              <w:spacing w:before="97" w:line="195" w:lineRule="auto"/>
              <w:rPr/>
            </w:pPr>
            <w:r>
              <w:rPr>
                <w:spacing w:val="1"/>
              </w:rPr>
              <w:t>100.00%</w:t>
            </w:r>
          </w:p>
        </w:tc>
      </w:tr>
    </w:tbl>
    <w:p>
      <w:pPr>
        <w:pStyle w:val="BodyText"/>
        <w:spacing w:line="267" w:lineRule="auto"/>
        <w:rPr/>
      </w:pPr>
      <w:r/>
    </w:p>
    <w:p>
      <w:pPr>
        <w:pStyle w:val="BodyText"/>
        <w:spacing w:line="268" w:lineRule="auto"/>
        <w:rPr/>
      </w:pPr>
      <w:r/>
    </w:p>
    <w:p>
      <w:pPr>
        <w:ind w:left="596"/>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4.2.1.4 </w:t>
      </w:r>
      <w:r>
        <w:rPr>
          <w:rFonts w:ascii="SimHei" w:hAnsi="SimHei" w:eastAsia="SimHei" w:cs="SimHei"/>
          <w:sz w:val="24"/>
          <w:szCs w:val="24"/>
          <w:b/>
          <w:bCs/>
          <w:spacing w:val="-2"/>
        </w:rPr>
        <w:t>土壤类型现状调查</w:t>
      </w:r>
    </w:p>
    <w:p>
      <w:pPr>
        <w:ind w:left="120" w:right="89" w:firstLine="480"/>
        <w:spacing w:before="161" w:line="339" w:lineRule="auto"/>
        <w:rPr>
          <w:rFonts w:ascii="SimSun" w:hAnsi="SimSun" w:eastAsia="SimSun" w:cs="SimSun"/>
          <w:sz w:val="24"/>
          <w:szCs w:val="24"/>
        </w:rPr>
      </w:pPr>
      <w:r>
        <w:rPr>
          <w:rFonts w:ascii="SimSun" w:hAnsi="SimSun" w:eastAsia="SimSun" w:cs="SimSun"/>
          <w:sz w:val="24"/>
          <w:szCs w:val="24"/>
          <w:spacing w:val="-2"/>
        </w:rPr>
        <w:t>本项目利用卫星遥感和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GIS</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系统对拟建项目评价</w:t>
      </w:r>
      <w:r>
        <w:rPr>
          <w:rFonts w:ascii="SimSun" w:hAnsi="SimSun" w:eastAsia="SimSun" w:cs="SimSun"/>
          <w:sz w:val="24"/>
          <w:szCs w:val="24"/>
          <w:spacing w:val="-3"/>
        </w:rPr>
        <w:t>区域内的土壤类型情况进行调查，</w:t>
      </w:r>
      <w:r>
        <w:rPr>
          <w:rFonts w:ascii="SimSun" w:hAnsi="SimSun" w:eastAsia="SimSun" w:cs="SimSun"/>
          <w:sz w:val="24"/>
          <w:szCs w:val="24"/>
          <w:spacing w:val="-2"/>
        </w:rPr>
        <w:t>土壤类型分布见图</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4-2-2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，统计数据详见下表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4-2-2</w:t>
      </w:r>
      <w:r>
        <w:rPr>
          <w:rFonts w:ascii="SimSun" w:hAnsi="SimSun" w:eastAsia="SimSun" w:cs="SimSun"/>
          <w:sz w:val="24"/>
          <w:szCs w:val="24"/>
          <w:spacing w:val="-2"/>
        </w:rPr>
        <w:t>。</w:t>
      </w:r>
    </w:p>
    <w:p>
      <w:pPr>
        <w:ind w:left="120" w:right="112" w:firstLine="479"/>
        <w:spacing w:before="1" w:line="338" w:lineRule="auto"/>
        <w:jc w:val="both"/>
        <w:rPr>
          <w:rFonts w:ascii="SimSun" w:hAnsi="SimSun" w:eastAsia="SimSun" w:cs="SimSun"/>
          <w:sz w:val="24"/>
          <w:szCs w:val="24"/>
        </w:rPr>
      </w:pPr>
      <w:r>
        <w:rPr>
          <w:rFonts w:ascii="SimSun" w:hAnsi="SimSun" w:eastAsia="SimSun" w:cs="SimSun"/>
          <w:sz w:val="24"/>
          <w:szCs w:val="24"/>
          <w:spacing w:val="-2"/>
        </w:rPr>
        <w:t>根据评价范围内土壤类型现状调查结果表可知，评价区和矿田范围内主要的土壤类</w:t>
      </w:r>
      <w:r>
        <w:rPr>
          <w:rFonts w:ascii="SimSun" w:hAnsi="SimSun" w:eastAsia="SimSun" w:cs="SimSun"/>
          <w:sz w:val="24"/>
          <w:szCs w:val="24"/>
          <w:spacing w:val="-3"/>
        </w:rPr>
        <w:t>型基本一致，都是以沼泽土为主，面积分别为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29.86km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15"/>
          <w:w w:val="101"/>
          <w:position w:val="8"/>
        </w:rPr>
        <w:t xml:space="preserve"> </w:t>
      </w:r>
      <w:r>
        <w:rPr>
          <w:rFonts w:ascii="SimSun" w:hAnsi="SimSun" w:eastAsia="SimSun" w:cs="SimSun"/>
          <w:sz w:val="24"/>
          <w:szCs w:val="24"/>
          <w:spacing w:val="-3"/>
        </w:rPr>
        <w:t>和</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8.87km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，分别占比为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55.9</w:t>
      </w:r>
      <w:r>
        <w:rPr>
          <w:rFonts w:ascii="Times New Roman" w:hAnsi="Times New Roman" w:eastAsia="Times New Roman" w:cs="Times New Roman"/>
          <w:sz w:val="24"/>
          <w:szCs w:val="24"/>
          <w:spacing w:val="-4"/>
        </w:rPr>
        <w:t>2%</w:t>
      </w:r>
      <w:r>
        <w:rPr>
          <w:rFonts w:ascii="SimSun" w:hAnsi="SimSun" w:eastAsia="SimSun" w:cs="SimSun"/>
          <w:sz w:val="24"/>
          <w:szCs w:val="24"/>
          <w:spacing w:val="-5"/>
        </w:rPr>
        <w:t>和</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5"/>
        </w:rPr>
        <w:t>71.81%</w:t>
      </w:r>
      <w:r>
        <w:rPr>
          <w:rFonts w:ascii="SimSun" w:hAnsi="SimSun" w:eastAsia="SimSun" w:cs="SimSun"/>
          <w:sz w:val="24"/>
          <w:szCs w:val="24"/>
          <w:spacing w:val="-5"/>
        </w:rPr>
        <w:t>；其次为暗栗钙土，占地面积分别为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12.95km</w:t>
      </w:r>
      <w:r>
        <w:rPr>
          <w:rFonts w:ascii="Times New Roman" w:hAnsi="Times New Roman" w:eastAsia="Times New Roman" w:cs="Times New Roman"/>
          <w:sz w:val="15"/>
          <w:szCs w:val="15"/>
          <w:spacing w:val="-5"/>
          <w:position w:val="7"/>
        </w:rPr>
        <w:t>2</w:t>
      </w:r>
      <w:r>
        <w:rPr>
          <w:rFonts w:ascii="Times New Roman" w:hAnsi="Times New Roman" w:eastAsia="Times New Roman" w:cs="Times New Roman"/>
          <w:sz w:val="15"/>
          <w:szCs w:val="15"/>
          <w:spacing w:val="10"/>
          <w:w w:val="101"/>
          <w:position w:val="7"/>
        </w:rPr>
        <w:t xml:space="preserve"> </w:t>
      </w:r>
      <w:r>
        <w:rPr>
          <w:rFonts w:ascii="SimSun" w:hAnsi="SimSun" w:eastAsia="SimSun" w:cs="SimSun"/>
          <w:sz w:val="24"/>
          <w:szCs w:val="24"/>
          <w:spacing w:val="-5"/>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2.53km</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，分别占比为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24.25%</w:t>
      </w:r>
      <w:r>
        <w:rPr>
          <w:rFonts w:ascii="SimSun" w:hAnsi="SimSun" w:eastAsia="SimSun" w:cs="SimSun"/>
          <w:sz w:val="24"/>
          <w:szCs w:val="24"/>
          <w:spacing w:val="-2"/>
        </w:rPr>
        <w:t>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20.46%</w:t>
      </w:r>
      <w:r>
        <w:rPr>
          <w:rFonts w:ascii="SimSun" w:hAnsi="SimSun" w:eastAsia="SimSun" w:cs="SimSun"/>
          <w:sz w:val="24"/>
          <w:szCs w:val="24"/>
          <w:spacing w:val="-2"/>
        </w:rPr>
        <w:t>。</w:t>
      </w:r>
    </w:p>
    <w:p>
      <w:pPr>
        <w:ind w:left="3214"/>
        <w:spacing w:before="1" w:line="220" w:lineRule="auto"/>
        <w:rPr>
          <w:rFonts w:ascii="SimHei" w:hAnsi="SimHei" w:eastAsia="SimHei" w:cs="SimHei"/>
          <w:sz w:val="24"/>
          <w:szCs w:val="24"/>
        </w:rPr>
      </w:pPr>
      <w:r>
        <w:rPr>
          <w:rFonts w:ascii="SimHei" w:hAnsi="SimHei" w:eastAsia="SimHei" w:cs="SimHei"/>
          <w:sz w:val="24"/>
          <w:szCs w:val="24"/>
          <w:spacing w:val="-1"/>
        </w:rPr>
        <w:t>评价区和矿区土壤类型现状</w:t>
      </w:r>
    </w:p>
    <w:p>
      <w:pPr>
        <w:ind w:left="117"/>
        <w:spacing w:before="37"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4-2-2</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61"/>
        <w:gridCol w:w="1854"/>
        <w:gridCol w:w="1857"/>
        <w:gridCol w:w="1857"/>
        <w:gridCol w:w="1861"/>
      </w:tblGrid>
      <w:tr>
        <w:trPr>
          <w:trHeight w:val="335" w:hRule="atLeast"/>
        </w:trPr>
        <w:tc>
          <w:tcPr>
            <w:tcW w:w="1861" w:type="dxa"/>
            <w:vAlign w:val="top"/>
            <w:vMerge w:val="restart"/>
            <w:tcBorders>
              <w:bottom w:val="nil"/>
            </w:tcBorders>
          </w:tcPr>
          <w:p>
            <w:pPr>
              <w:ind w:left="303"/>
              <w:spacing w:before="230" w:line="228" w:lineRule="auto"/>
              <w:rPr>
                <w:rFonts w:ascii="SimSun" w:hAnsi="SimSun" w:eastAsia="SimSun" w:cs="SimSun"/>
                <w:sz w:val="20"/>
                <w:szCs w:val="20"/>
              </w:rPr>
            </w:pPr>
            <w:r>
              <w:rPr>
                <w:rFonts w:ascii="SimSun" w:hAnsi="SimSun" w:eastAsia="SimSun" w:cs="SimSun"/>
                <w:sz w:val="20"/>
                <w:szCs w:val="20"/>
                <w:b/>
                <w:bCs/>
                <w:spacing w:val="6"/>
              </w:rPr>
              <w:t>土壤类型分类</w:t>
            </w:r>
          </w:p>
        </w:tc>
        <w:tc>
          <w:tcPr>
            <w:tcW w:w="3711" w:type="dxa"/>
            <w:vAlign w:val="top"/>
            <w:gridSpan w:val="2"/>
          </w:tcPr>
          <w:p>
            <w:pPr>
              <w:ind w:left="1544"/>
              <w:spacing w:before="62" w:line="226" w:lineRule="auto"/>
              <w:rPr>
                <w:rFonts w:ascii="SimSun" w:hAnsi="SimSun" w:eastAsia="SimSun" w:cs="SimSun"/>
                <w:sz w:val="20"/>
                <w:szCs w:val="20"/>
              </w:rPr>
            </w:pPr>
            <w:r>
              <w:rPr>
                <w:rFonts w:ascii="SimSun" w:hAnsi="SimSun" w:eastAsia="SimSun" w:cs="SimSun"/>
                <w:sz w:val="20"/>
                <w:szCs w:val="20"/>
                <w:b/>
                <w:bCs/>
                <w:spacing w:val="5"/>
              </w:rPr>
              <w:t>评价区</w:t>
            </w:r>
          </w:p>
        </w:tc>
        <w:tc>
          <w:tcPr>
            <w:tcW w:w="3718" w:type="dxa"/>
            <w:vAlign w:val="top"/>
            <w:gridSpan w:val="2"/>
          </w:tcPr>
          <w:p>
            <w:pPr>
              <w:ind w:left="1332"/>
              <w:spacing w:before="62" w:line="228" w:lineRule="auto"/>
              <w:rPr>
                <w:rFonts w:ascii="SimSun" w:hAnsi="SimSun" w:eastAsia="SimSun" w:cs="SimSun"/>
                <w:sz w:val="20"/>
                <w:szCs w:val="20"/>
              </w:rPr>
            </w:pPr>
            <w:r>
              <w:rPr>
                <w:rFonts w:ascii="SimSun" w:hAnsi="SimSun" w:eastAsia="SimSun" w:cs="SimSun"/>
                <w:sz w:val="20"/>
                <w:szCs w:val="20"/>
                <w:b/>
                <w:bCs/>
                <w:spacing w:val="6"/>
              </w:rPr>
              <w:t>矿田范围内</w:t>
            </w:r>
          </w:p>
        </w:tc>
      </w:tr>
      <w:tr>
        <w:trPr>
          <w:trHeight w:val="330" w:hRule="atLeast"/>
        </w:trPr>
        <w:tc>
          <w:tcPr>
            <w:tcW w:w="1861" w:type="dxa"/>
            <w:vAlign w:val="top"/>
            <w:vMerge w:val="continue"/>
            <w:tcBorders>
              <w:top w:val="nil"/>
            </w:tcBorders>
          </w:tcPr>
          <w:p>
            <w:pPr>
              <w:rPr>
                <w:rFonts w:ascii="Arial"/>
                <w:sz w:val="21"/>
              </w:rPr>
            </w:pPr>
            <w:r/>
          </w:p>
        </w:tc>
        <w:tc>
          <w:tcPr>
            <w:tcW w:w="1854" w:type="dxa"/>
            <w:vAlign w:val="top"/>
          </w:tcPr>
          <w:p>
            <w:pPr>
              <w:pStyle w:val="TableText"/>
              <w:ind w:left="329"/>
              <w:spacing w:before="59"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857" w:type="dxa"/>
            <w:vAlign w:val="top"/>
          </w:tcPr>
          <w:p>
            <w:pPr>
              <w:ind w:left="625"/>
              <w:spacing w:before="59" w:line="228" w:lineRule="auto"/>
              <w:rPr>
                <w:rFonts w:ascii="SimSun" w:hAnsi="SimSun" w:eastAsia="SimSun" w:cs="SimSun"/>
                <w:sz w:val="20"/>
                <w:szCs w:val="20"/>
              </w:rPr>
            </w:pPr>
            <w:r>
              <w:rPr>
                <w:rFonts w:ascii="SimSun" w:hAnsi="SimSun" w:eastAsia="SimSun" w:cs="SimSun"/>
                <w:sz w:val="20"/>
                <w:szCs w:val="20"/>
                <w:b/>
                <w:bCs/>
                <w:spacing w:val="2"/>
              </w:rPr>
              <w:t>百分比</w:t>
            </w:r>
          </w:p>
        </w:tc>
        <w:tc>
          <w:tcPr>
            <w:tcW w:w="1857" w:type="dxa"/>
            <w:vAlign w:val="top"/>
          </w:tcPr>
          <w:p>
            <w:pPr>
              <w:pStyle w:val="TableText"/>
              <w:ind w:left="333"/>
              <w:spacing w:before="59"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861" w:type="dxa"/>
            <w:vAlign w:val="top"/>
          </w:tcPr>
          <w:p>
            <w:pPr>
              <w:ind w:left="623"/>
              <w:spacing w:before="59" w:line="228" w:lineRule="auto"/>
              <w:rPr>
                <w:rFonts w:ascii="SimSun" w:hAnsi="SimSun" w:eastAsia="SimSun" w:cs="SimSun"/>
                <w:sz w:val="20"/>
                <w:szCs w:val="20"/>
              </w:rPr>
            </w:pPr>
            <w:r>
              <w:rPr>
                <w:rFonts w:ascii="SimSun" w:hAnsi="SimSun" w:eastAsia="SimSun" w:cs="SimSun"/>
                <w:sz w:val="20"/>
                <w:szCs w:val="20"/>
                <w:b/>
                <w:bCs/>
                <w:spacing w:val="3"/>
              </w:rPr>
              <w:t>百分比</w:t>
            </w:r>
          </w:p>
        </w:tc>
      </w:tr>
      <w:tr>
        <w:trPr>
          <w:trHeight w:val="330" w:hRule="atLeast"/>
        </w:trPr>
        <w:tc>
          <w:tcPr>
            <w:tcW w:w="1861" w:type="dxa"/>
            <w:vAlign w:val="top"/>
          </w:tcPr>
          <w:p>
            <w:pPr>
              <w:ind w:left="619"/>
              <w:spacing w:before="59" w:line="228" w:lineRule="auto"/>
              <w:rPr>
                <w:rFonts w:ascii="SimSun" w:hAnsi="SimSun" w:eastAsia="SimSun" w:cs="SimSun"/>
                <w:sz w:val="20"/>
                <w:szCs w:val="20"/>
              </w:rPr>
            </w:pPr>
            <w:r>
              <w:rPr>
                <w:rFonts w:ascii="SimSun" w:hAnsi="SimSun" w:eastAsia="SimSun" w:cs="SimSun"/>
                <w:sz w:val="20"/>
                <w:szCs w:val="20"/>
                <w:spacing w:val="6"/>
              </w:rPr>
              <w:t>草甸土</w:t>
            </w:r>
          </w:p>
        </w:tc>
        <w:tc>
          <w:tcPr>
            <w:tcW w:w="1854" w:type="dxa"/>
            <w:vAlign w:val="top"/>
          </w:tcPr>
          <w:p>
            <w:pPr>
              <w:pStyle w:val="TableText"/>
              <w:ind w:left="712"/>
              <w:spacing w:before="95" w:line="195" w:lineRule="auto"/>
              <w:rPr/>
            </w:pPr>
            <w:r>
              <w:rPr>
                <w:spacing w:val="-1"/>
              </w:rPr>
              <w:t>10.38</w:t>
            </w:r>
          </w:p>
        </w:tc>
        <w:tc>
          <w:tcPr>
            <w:tcW w:w="1857" w:type="dxa"/>
            <w:vAlign w:val="top"/>
          </w:tcPr>
          <w:p>
            <w:pPr>
              <w:pStyle w:val="TableText"/>
              <w:ind w:left="626"/>
              <w:spacing w:before="95" w:line="195" w:lineRule="auto"/>
              <w:rPr/>
            </w:pPr>
            <w:r>
              <w:rPr/>
              <w:t>19.43%</w:t>
            </w:r>
          </w:p>
        </w:tc>
        <w:tc>
          <w:tcPr>
            <w:tcW w:w="1857" w:type="dxa"/>
            <w:vAlign w:val="top"/>
          </w:tcPr>
          <w:p>
            <w:pPr>
              <w:pStyle w:val="TableText"/>
              <w:ind w:left="749"/>
              <w:spacing w:before="95" w:line="195" w:lineRule="auto"/>
              <w:rPr/>
            </w:pPr>
            <w:r>
              <w:rPr>
                <w:spacing w:val="2"/>
              </w:rPr>
              <w:t>0.95</w:t>
            </w:r>
          </w:p>
        </w:tc>
        <w:tc>
          <w:tcPr>
            <w:tcW w:w="1861" w:type="dxa"/>
            <w:vAlign w:val="top"/>
          </w:tcPr>
          <w:p>
            <w:pPr>
              <w:pStyle w:val="TableText"/>
              <w:ind w:left="664"/>
              <w:spacing w:before="95" w:line="195" w:lineRule="auto"/>
              <w:rPr/>
            </w:pPr>
            <w:r>
              <w:rPr>
                <w:spacing w:val="3"/>
              </w:rPr>
              <w:t>7.73%</w:t>
            </w:r>
          </w:p>
        </w:tc>
      </w:tr>
      <w:tr>
        <w:trPr>
          <w:trHeight w:val="330" w:hRule="atLeast"/>
        </w:trPr>
        <w:tc>
          <w:tcPr>
            <w:tcW w:w="1861" w:type="dxa"/>
            <w:vAlign w:val="top"/>
          </w:tcPr>
          <w:p>
            <w:pPr>
              <w:ind w:left="621"/>
              <w:spacing w:before="61" w:line="228" w:lineRule="auto"/>
              <w:rPr>
                <w:rFonts w:ascii="SimSun" w:hAnsi="SimSun" w:eastAsia="SimSun" w:cs="SimSun"/>
                <w:sz w:val="20"/>
                <w:szCs w:val="20"/>
              </w:rPr>
            </w:pPr>
            <w:r>
              <w:rPr>
                <w:rFonts w:ascii="SimSun" w:hAnsi="SimSun" w:eastAsia="SimSun" w:cs="SimSun"/>
                <w:sz w:val="20"/>
                <w:szCs w:val="20"/>
                <w:spacing w:val="5"/>
              </w:rPr>
              <w:t>沼泽土</w:t>
            </w:r>
          </w:p>
        </w:tc>
        <w:tc>
          <w:tcPr>
            <w:tcW w:w="1854" w:type="dxa"/>
            <w:vAlign w:val="top"/>
          </w:tcPr>
          <w:p>
            <w:pPr>
              <w:pStyle w:val="TableText"/>
              <w:ind w:left="691"/>
              <w:spacing w:before="96" w:line="195" w:lineRule="auto"/>
              <w:rPr/>
            </w:pPr>
            <w:r>
              <w:rPr>
                <w:spacing w:val="3"/>
              </w:rPr>
              <w:t>29.86</w:t>
            </w:r>
          </w:p>
        </w:tc>
        <w:tc>
          <w:tcPr>
            <w:tcW w:w="1857" w:type="dxa"/>
            <w:vAlign w:val="top"/>
          </w:tcPr>
          <w:p>
            <w:pPr>
              <w:pStyle w:val="TableText"/>
              <w:ind w:left="612"/>
              <w:spacing w:before="96" w:line="195" w:lineRule="auto"/>
              <w:rPr/>
            </w:pPr>
            <w:r>
              <w:rPr>
                <w:spacing w:val="3"/>
              </w:rPr>
              <w:t>55.92%</w:t>
            </w:r>
          </w:p>
        </w:tc>
        <w:tc>
          <w:tcPr>
            <w:tcW w:w="1857" w:type="dxa"/>
            <w:vAlign w:val="top"/>
          </w:tcPr>
          <w:p>
            <w:pPr>
              <w:pStyle w:val="TableText"/>
              <w:ind w:left="754"/>
              <w:spacing w:before="96" w:line="195" w:lineRule="auto"/>
              <w:rPr/>
            </w:pPr>
            <w:r>
              <w:rPr>
                <w:spacing w:val="1"/>
              </w:rPr>
              <w:t>8.87</w:t>
            </w:r>
          </w:p>
        </w:tc>
        <w:tc>
          <w:tcPr>
            <w:tcW w:w="1861" w:type="dxa"/>
            <w:vAlign w:val="top"/>
          </w:tcPr>
          <w:p>
            <w:pPr>
              <w:pStyle w:val="TableText"/>
              <w:ind w:left="611"/>
              <w:spacing w:before="96" w:line="195" w:lineRule="auto"/>
              <w:rPr/>
            </w:pPr>
            <w:r>
              <w:rPr>
                <w:spacing w:val="3"/>
              </w:rPr>
              <w:t>71.81%</w:t>
            </w:r>
          </w:p>
        </w:tc>
      </w:tr>
      <w:tr>
        <w:trPr>
          <w:trHeight w:val="330" w:hRule="atLeast"/>
        </w:trPr>
        <w:tc>
          <w:tcPr>
            <w:tcW w:w="1861" w:type="dxa"/>
            <w:vAlign w:val="top"/>
          </w:tcPr>
          <w:p>
            <w:pPr>
              <w:ind w:left="724"/>
              <w:spacing w:before="61" w:line="228" w:lineRule="auto"/>
              <w:rPr>
                <w:rFonts w:ascii="SimSun" w:hAnsi="SimSun" w:eastAsia="SimSun" w:cs="SimSun"/>
                <w:sz w:val="20"/>
                <w:szCs w:val="20"/>
              </w:rPr>
            </w:pPr>
            <w:r>
              <w:rPr>
                <w:rFonts w:ascii="SimSun" w:hAnsi="SimSun" w:eastAsia="SimSun" w:cs="SimSun"/>
                <w:sz w:val="20"/>
                <w:szCs w:val="20"/>
                <w:spacing w:val="5"/>
              </w:rPr>
              <w:t>潮土</w:t>
            </w:r>
          </w:p>
        </w:tc>
        <w:tc>
          <w:tcPr>
            <w:tcW w:w="1854" w:type="dxa"/>
            <w:vAlign w:val="top"/>
          </w:tcPr>
          <w:p>
            <w:pPr>
              <w:pStyle w:val="TableText"/>
              <w:ind w:left="747"/>
              <w:spacing w:before="97" w:line="195" w:lineRule="auto"/>
              <w:rPr/>
            </w:pPr>
            <w:r>
              <w:rPr>
                <w:spacing w:val="2"/>
              </w:rPr>
              <w:t>0.22</w:t>
            </w:r>
          </w:p>
        </w:tc>
        <w:tc>
          <w:tcPr>
            <w:tcW w:w="1857" w:type="dxa"/>
            <w:vAlign w:val="top"/>
          </w:tcPr>
          <w:p>
            <w:pPr>
              <w:pStyle w:val="TableText"/>
              <w:ind w:left="662"/>
              <w:spacing w:before="97" w:line="195" w:lineRule="auto"/>
              <w:rPr/>
            </w:pPr>
            <w:r>
              <w:rPr>
                <w:spacing w:val="3"/>
              </w:rPr>
              <w:t>0.41%</w:t>
            </w:r>
          </w:p>
        </w:tc>
        <w:tc>
          <w:tcPr>
            <w:tcW w:w="1857" w:type="dxa"/>
            <w:vAlign w:val="top"/>
          </w:tcPr>
          <w:p>
            <w:pPr>
              <w:pStyle w:val="TableText"/>
              <w:ind w:left="881"/>
              <w:spacing w:before="97" w:line="195" w:lineRule="auto"/>
              <w:rPr/>
            </w:pPr>
            <w:r>
              <w:rPr/>
              <w:t>0</w:t>
            </w:r>
          </w:p>
        </w:tc>
        <w:tc>
          <w:tcPr>
            <w:tcW w:w="1861" w:type="dxa"/>
            <w:vAlign w:val="top"/>
          </w:tcPr>
          <w:p>
            <w:pPr>
              <w:pStyle w:val="TableText"/>
              <w:ind w:left="879"/>
              <w:spacing w:before="97" w:line="195" w:lineRule="auto"/>
              <w:rPr/>
            </w:pPr>
            <w:r>
              <w:rPr/>
              <w:t>0</w:t>
            </w:r>
          </w:p>
        </w:tc>
      </w:tr>
      <w:tr>
        <w:trPr>
          <w:trHeight w:val="331" w:hRule="atLeast"/>
        </w:trPr>
        <w:tc>
          <w:tcPr>
            <w:tcW w:w="1861" w:type="dxa"/>
            <w:vAlign w:val="top"/>
          </w:tcPr>
          <w:p>
            <w:pPr>
              <w:ind w:left="523"/>
              <w:spacing w:before="63" w:line="228" w:lineRule="auto"/>
              <w:rPr>
                <w:rFonts w:ascii="SimSun" w:hAnsi="SimSun" w:eastAsia="SimSun" w:cs="SimSun"/>
                <w:sz w:val="20"/>
                <w:szCs w:val="20"/>
              </w:rPr>
            </w:pPr>
            <w:r>
              <w:rPr>
                <w:rFonts w:ascii="SimSun" w:hAnsi="SimSun" w:eastAsia="SimSun" w:cs="SimSun"/>
                <w:sz w:val="20"/>
                <w:szCs w:val="20"/>
                <w:spacing w:val="5"/>
              </w:rPr>
              <w:t>暗栗钙土</w:t>
            </w:r>
          </w:p>
        </w:tc>
        <w:tc>
          <w:tcPr>
            <w:tcW w:w="1854" w:type="dxa"/>
            <w:vAlign w:val="top"/>
          </w:tcPr>
          <w:p>
            <w:pPr>
              <w:pStyle w:val="TableText"/>
              <w:ind w:left="712"/>
              <w:spacing w:before="98" w:line="195" w:lineRule="auto"/>
              <w:rPr/>
            </w:pPr>
            <w:r>
              <w:rPr>
                <w:spacing w:val="-1"/>
              </w:rPr>
              <w:t>12.95</w:t>
            </w:r>
          </w:p>
        </w:tc>
        <w:tc>
          <w:tcPr>
            <w:tcW w:w="1857" w:type="dxa"/>
            <w:vAlign w:val="top"/>
          </w:tcPr>
          <w:p>
            <w:pPr>
              <w:pStyle w:val="TableText"/>
              <w:ind w:left="606"/>
              <w:spacing w:before="98" w:line="195" w:lineRule="auto"/>
              <w:rPr/>
            </w:pPr>
            <w:r>
              <w:rPr>
                <w:spacing w:val="4"/>
              </w:rPr>
              <w:t>24.25%</w:t>
            </w:r>
          </w:p>
        </w:tc>
        <w:tc>
          <w:tcPr>
            <w:tcW w:w="1857" w:type="dxa"/>
            <w:vAlign w:val="top"/>
          </w:tcPr>
          <w:p>
            <w:pPr>
              <w:pStyle w:val="TableText"/>
              <w:ind w:left="746"/>
              <w:spacing w:before="98" w:line="195" w:lineRule="auto"/>
              <w:rPr/>
            </w:pPr>
            <w:r>
              <w:rPr>
                <w:spacing w:val="3"/>
              </w:rPr>
              <w:t>2.53</w:t>
            </w:r>
          </w:p>
        </w:tc>
        <w:tc>
          <w:tcPr>
            <w:tcW w:w="1861" w:type="dxa"/>
            <w:vAlign w:val="top"/>
          </w:tcPr>
          <w:p>
            <w:pPr>
              <w:pStyle w:val="TableText"/>
              <w:ind w:left="607"/>
              <w:spacing w:before="98" w:line="195" w:lineRule="auto"/>
              <w:rPr/>
            </w:pPr>
            <w:r>
              <w:rPr>
                <w:spacing w:val="4"/>
              </w:rPr>
              <w:t>20.46%</w:t>
            </w:r>
          </w:p>
        </w:tc>
      </w:tr>
      <w:tr>
        <w:trPr>
          <w:trHeight w:val="335" w:hRule="atLeast"/>
        </w:trPr>
        <w:tc>
          <w:tcPr>
            <w:tcW w:w="1861" w:type="dxa"/>
            <w:vAlign w:val="top"/>
          </w:tcPr>
          <w:p>
            <w:pPr>
              <w:ind w:left="731"/>
              <w:spacing w:before="62" w:line="229" w:lineRule="auto"/>
              <w:rPr>
                <w:rFonts w:ascii="SimSun" w:hAnsi="SimSun" w:eastAsia="SimSun" w:cs="SimSun"/>
                <w:sz w:val="20"/>
                <w:szCs w:val="20"/>
              </w:rPr>
            </w:pPr>
            <w:r>
              <w:rPr>
                <w:rFonts w:ascii="SimSun" w:hAnsi="SimSun" w:eastAsia="SimSun" w:cs="SimSun"/>
                <w:sz w:val="20"/>
                <w:szCs w:val="20"/>
                <w:spacing w:val="2"/>
              </w:rPr>
              <w:t>总计</w:t>
            </w:r>
          </w:p>
        </w:tc>
        <w:tc>
          <w:tcPr>
            <w:tcW w:w="1854" w:type="dxa"/>
            <w:vAlign w:val="top"/>
          </w:tcPr>
          <w:p>
            <w:pPr>
              <w:pStyle w:val="TableText"/>
              <w:ind w:left="697"/>
              <w:spacing w:before="98" w:line="195" w:lineRule="auto"/>
              <w:rPr/>
            </w:pPr>
            <w:r>
              <w:rPr>
                <w:spacing w:val="2"/>
              </w:rPr>
              <w:t>53.41</w:t>
            </w:r>
          </w:p>
        </w:tc>
        <w:tc>
          <w:tcPr>
            <w:tcW w:w="1857" w:type="dxa"/>
            <w:vAlign w:val="top"/>
          </w:tcPr>
          <w:p>
            <w:pPr>
              <w:pStyle w:val="TableText"/>
              <w:ind w:left="574"/>
              <w:spacing w:before="98" w:line="195" w:lineRule="auto"/>
              <w:rPr/>
            </w:pPr>
            <w:r>
              <w:rPr>
                <w:spacing w:val="1"/>
              </w:rPr>
              <w:t>100.00%</w:t>
            </w:r>
          </w:p>
        </w:tc>
        <w:tc>
          <w:tcPr>
            <w:tcW w:w="1857" w:type="dxa"/>
            <w:vAlign w:val="top"/>
          </w:tcPr>
          <w:p>
            <w:pPr>
              <w:pStyle w:val="TableText"/>
              <w:ind w:left="713"/>
              <w:spacing w:before="98" w:line="195" w:lineRule="auto"/>
              <w:rPr/>
            </w:pPr>
            <w:r>
              <w:rPr>
                <w:spacing w:val="-1"/>
              </w:rPr>
              <w:t>12.35</w:t>
            </w:r>
          </w:p>
        </w:tc>
        <w:tc>
          <w:tcPr>
            <w:tcW w:w="1861" w:type="dxa"/>
            <w:vAlign w:val="top"/>
          </w:tcPr>
          <w:p>
            <w:pPr>
              <w:pStyle w:val="TableText"/>
              <w:ind w:left="572"/>
              <w:spacing w:before="98" w:line="195" w:lineRule="auto"/>
              <w:rPr/>
            </w:pPr>
            <w:r>
              <w:rPr>
                <w:spacing w:val="1"/>
              </w:rPr>
              <w:t>100.00%</w:t>
            </w:r>
          </w:p>
        </w:tc>
      </w:tr>
    </w:tbl>
    <w:p>
      <w:pPr>
        <w:pStyle w:val="BodyText"/>
        <w:spacing w:line="267" w:lineRule="auto"/>
        <w:rPr/>
      </w:pPr>
      <w:r/>
    </w:p>
    <w:p>
      <w:pPr>
        <w:pStyle w:val="BodyText"/>
        <w:spacing w:line="268" w:lineRule="auto"/>
        <w:rPr/>
      </w:pPr>
      <w:r/>
    </w:p>
    <w:p>
      <w:pPr>
        <w:ind w:left="596"/>
        <w:spacing w:before="79"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4.2.1.5 </w:t>
      </w:r>
      <w:r>
        <w:rPr>
          <w:rFonts w:ascii="SimHei" w:hAnsi="SimHei" w:eastAsia="SimHei" w:cs="SimHei"/>
          <w:sz w:val="24"/>
          <w:szCs w:val="24"/>
          <w:b/>
          <w:bCs/>
          <w:spacing w:val="-2"/>
        </w:rPr>
        <w:t>植被类型现状调查</w:t>
      </w:r>
    </w:p>
    <w:p>
      <w:pPr>
        <w:ind w:left="618"/>
        <w:spacing w:before="161"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、植被分布特征</w:t>
      </w:r>
    </w:p>
    <w:p>
      <w:pPr>
        <w:ind w:left="118" w:right="112" w:firstLine="515"/>
        <w:spacing w:before="151" w:line="339" w:lineRule="auto"/>
        <w:rPr>
          <w:rFonts w:ascii="SimSun" w:hAnsi="SimSun" w:eastAsia="SimSun" w:cs="SimSun"/>
          <w:sz w:val="24"/>
          <w:szCs w:val="24"/>
        </w:rPr>
      </w:pPr>
      <w:r>
        <w:rPr>
          <w:rFonts w:ascii="SimSun" w:hAnsi="SimSun" w:eastAsia="SimSun" w:cs="SimSun"/>
          <w:sz w:val="24"/>
          <w:szCs w:val="24"/>
          <w:spacing w:val="-3"/>
        </w:rPr>
        <w:t>白音华四号露天矿位于内蒙古自治区锡林郭勒盟西乌珠穆沁旗境内，该区属中温带</w:t>
      </w:r>
      <w:r>
        <w:rPr>
          <w:rFonts w:ascii="SimSun" w:hAnsi="SimSun" w:eastAsia="SimSun" w:cs="SimSun"/>
          <w:sz w:val="24"/>
          <w:szCs w:val="24"/>
          <w:spacing w:val="-2"/>
        </w:rPr>
        <w:t>干旱～半干旱大陆性气候，春季风多易干旱，夏季温热雨不匀，秋季凉爽霜雪早，冬长</w:t>
      </w:r>
      <w:r>
        <w:rPr>
          <w:rFonts w:ascii="SimSun" w:hAnsi="SimSun" w:eastAsia="SimSun" w:cs="SimSun"/>
          <w:sz w:val="24"/>
          <w:szCs w:val="24"/>
          <w:spacing w:val="-2"/>
        </w:rPr>
        <w:t>寒冷冰雪茫。根据《中国植被及其地理格局》（张新时，</w:t>
      </w:r>
      <w:r>
        <w:rPr>
          <w:rFonts w:ascii="Times New Roman" w:hAnsi="Times New Roman" w:eastAsia="Times New Roman" w:cs="Times New Roman"/>
          <w:sz w:val="24"/>
          <w:szCs w:val="24"/>
          <w:spacing w:val="-2"/>
        </w:rPr>
        <w:t>2007</w:t>
      </w:r>
      <w:r>
        <w:rPr>
          <w:rFonts w:ascii="SimSun" w:hAnsi="SimSun" w:eastAsia="SimSun" w:cs="SimSun"/>
          <w:sz w:val="24"/>
          <w:szCs w:val="24"/>
          <w:spacing w:val="9"/>
        </w:rPr>
        <w:t>），</w:t>
      </w:r>
      <w:r>
        <w:rPr>
          <w:rFonts w:ascii="SimSun" w:hAnsi="SimSun" w:eastAsia="SimSun" w:cs="SimSun"/>
          <w:sz w:val="24"/>
          <w:szCs w:val="24"/>
          <w:spacing w:val="-2"/>
        </w:rPr>
        <w:t>该区属于温带草原区</w:t>
      </w:r>
      <w:r>
        <w:rPr>
          <w:rFonts w:ascii="SimSun" w:hAnsi="SimSun" w:eastAsia="SimSun" w:cs="SimSun"/>
          <w:sz w:val="24"/>
          <w:szCs w:val="24"/>
          <w:spacing w:val="5"/>
        </w:rPr>
        <w:t>域</w:t>
      </w:r>
      <w:r>
        <w:rPr>
          <w:rFonts w:ascii="Times New Roman" w:hAnsi="Times New Roman" w:eastAsia="Times New Roman" w:cs="Times New Roman"/>
          <w:sz w:val="24"/>
          <w:szCs w:val="24"/>
          <w:spacing w:val="5"/>
        </w:rPr>
        <w:t>—</w:t>
      </w:r>
      <w:r>
        <w:rPr>
          <w:rFonts w:ascii="SimSun" w:hAnsi="SimSun" w:eastAsia="SimSun" w:cs="SimSun"/>
          <w:sz w:val="24"/>
          <w:szCs w:val="24"/>
          <w:spacing w:val="5"/>
        </w:rPr>
        <w:t>东部草原亚区域</w:t>
      </w:r>
      <w:r>
        <w:rPr>
          <w:rFonts w:ascii="Times New Roman" w:hAnsi="Times New Roman" w:eastAsia="Times New Roman" w:cs="Times New Roman"/>
          <w:sz w:val="24"/>
          <w:szCs w:val="24"/>
          <w:spacing w:val="5"/>
        </w:rPr>
        <w:t>—</w:t>
      </w:r>
      <w:r>
        <w:rPr>
          <w:rFonts w:ascii="SimSun" w:hAnsi="SimSun" w:eastAsia="SimSun" w:cs="SimSun"/>
          <w:sz w:val="24"/>
          <w:szCs w:val="24"/>
          <w:spacing w:val="5"/>
        </w:rPr>
        <w:t>温带北部草原地带</w:t>
      </w:r>
      <w:r>
        <w:rPr>
          <w:rFonts w:ascii="Times New Roman" w:hAnsi="Times New Roman" w:eastAsia="Times New Roman" w:cs="Times New Roman"/>
          <w:sz w:val="24"/>
          <w:szCs w:val="24"/>
          <w:spacing w:val="5"/>
        </w:rPr>
        <w:t>—</w:t>
      </w:r>
      <w:r>
        <w:rPr>
          <w:rFonts w:ascii="SimSun" w:hAnsi="SimSun" w:eastAsia="SimSun" w:cs="SimSun"/>
          <w:sz w:val="24"/>
          <w:szCs w:val="24"/>
          <w:spacing w:val="5"/>
        </w:rPr>
        <w:t>温带北部典型草原亚地带</w:t>
      </w:r>
      <w:r>
        <w:rPr>
          <w:rFonts w:ascii="Times New Roman" w:hAnsi="Times New Roman" w:eastAsia="Times New Roman" w:cs="Times New Roman"/>
          <w:sz w:val="24"/>
          <w:szCs w:val="24"/>
          <w:spacing w:val="5"/>
        </w:rPr>
        <w:t>—</w:t>
      </w:r>
      <w:r>
        <w:rPr>
          <w:rFonts w:ascii="SimSun" w:hAnsi="SimSun" w:eastAsia="SimSun" w:cs="SimSun"/>
          <w:sz w:val="24"/>
          <w:szCs w:val="24"/>
          <w:spacing w:val="5"/>
        </w:rPr>
        <w:t>内蒙古</w:t>
      </w:r>
      <w:r>
        <w:rPr>
          <w:rFonts w:ascii="SimSun" w:hAnsi="SimSun" w:eastAsia="SimSun" w:cs="SimSun"/>
          <w:sz w:val="24"/>
          <w:szCs w:val="24"/>
          <w:spacing w:val="4"/>
        </w:rPr>
        <w:t>高原东</w:t>
      </w:r>
      <w:r>
        <w:rPr>
          <w:rFonts w:ascii="SimSun" w:hAnsi="SimSun" w:eastAsia="SimSun" w:cs="SimSun"/>
          <w:sz w:val="24"/>
          <w:szCs w:val="24"/>
          <w:spacing w:val="-2"/>
        </w:rPr>
        <w:t>部大针茅、克氏针茅草原区。该区植被类型主要有小麦、樟子松、野大麦、地榆、萎陵</w:t>
      </w:r>
      <w:r>
        <w:rPr>
          <w:rFonts w:ascii="SimSun" w:hAnsi="SimSun" w:eastAsia="SimSun" w:cs="SimSun"/>
          <w:sz w:val="24"/>
          <w:szCs w:val="24"/>
          <w:spacing w:val="-2"/>
        </w:rPr>
        <w:t>菜、大针茅、绣叶菊、克氏针茅、羊草、碱蒿、寸草苔和碱蓬等。评价区内无国家重点</w:t>
      </w:r>
      <w:r>
        <w:rPr>
          <w:rFonts w:ascii="SimSun" w:hAnsi="SimSun" w:eastAsia="SimSun" w:cs="SimSun"/>
          <w:sz w:val="24"/>
          <w:szCs w:val="24"/>
          <w:spacing w:val="-1"/>
        </w:rPr>
        <w:t>保护野生植物物种。</w:t>
      </w:r>
    </w:p>
    <w:p>
      <w:pPr>
        <w:ind w:left="595"/>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、植被类型分布</w:t>
      </w:r>
    </w:p>
    <w:p>
      <w:pPr>
        <w:ind w:left="119" w:right="112" w:firstLine="479"/>
        <w:spacing w:before="154" w:line="340" w:lineRule="auto"/>
        <w:rPr>
          <w:rFonts w:ascii="SimSun" w:hAnsi="SimSun" w:eastAsia="SimSun" w:cs="SimSun"/>
          <w:sz w:val="24"/>
          <w:szCs w:val="24"/>
        </w:rPr>
      </w:pPr>
      <w:r>
        <w:rPr>
          <w:rFonts w:ascii="SimSun" w:hAnsi="SimSun" w:eastAsia="SimSun" w:cs="SimSun"/>
          <w:sz w:val="24"/>
          <w:szCs w:val="24"/>
          <w:spacing w:val="1"/>
        </w:rPr>
        <w:t>评价范围内植被类型统计数据详见下表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4-2-3</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1"/>
        </w:rPr>
        <w:t>。根</w:t>
      </w:r>
      <w:r>
        <w:rPr>
          <w:rFonts w:ascii="SimSun" w:hAnsi="SimSun" w:eastAsia="SimSun" w:cs="SimSun"/>
          <w:sz w:val="24"/>
          <w:szCs w:val="24"/>
        </w:rPr>
        <w:t>据评价范围内植被类型现状调查</w:t>
      </w:r>
      <w:r>
        <w:rPr>
          <w:rFonts w:ascii="SimSun" w:hAnsi="SimSun" w:eastAsia="SimSun" w:cs="SimSun"/>
          <w:sz w:val="24"/>
          <w:szCs w:val="24"/>
          <w:spacing w:val="-2"/>
        </w:rPr>
        <w:t>结果表可知，评价范围内植被类型主要为克氏针茅、羊草、绣钱菊等草甸草原，占地面</w:t>
      </w:r>
      <w:r>
        <w:rPr>
          <w:rFonts w:ascii="SimSun" w:hAnsi="SimSun" w:eastAsia="SimSun" w:cs="SimSun"/>
          <w:sz w:val="24"/>
          <w:szCs w:val="24"/>
          <w:spacing w:val="-1"/>
        </w:rPr>
        <w:t>积</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13.89km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w:t>
      </w:r>
      <w:r>
        <w:rPr>
          <w:rFonts w:ascii="SimSun" w:hAnsi="SimSun" w:eastAsia="SimSun" w:cs="SimSun"/>
          <w:sz w:val="24"/>
          <w:szCs w:val="24"/>
          <w:spacing w:val="-71"/>
        </w:rPr>
        <w:t xml:space="preserve"> </w:t>
      </w:r>
      <w:r>
        <w:rPr>
          <w:rFonts w:ascii="SimSun" w:hAnsi="SimSun" w:eastAsia="SimSun" w:cs="SimSun"/>
          <w:sz w:val="24"/>
          <w:szCs w:val="24"/>
          <w:spacing w:val="-1"/>
        </w:rPr>
        <w:t>占评价区面积的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26.01%</w:t>
      </w:r>
      <w:r>
        <w:rPr>
          <w:rFonts w:ascii="SimSun" w:hAnsi="SimSun" w:eastAsia="SimSun" w:cs="SimSun"/>
          <w:sz w:val="24"/>
          <w:szCs w:val="24"/>
          <w:spacing w:val="-1"/>
        </w:rPr>
        <w:t>；其次为拂子茅、野大麦、芨</w:t>
      </w:r>
      <w:r>
        <w:rPr>
          <w:rFonts w:ascii="SimSun" w:hAnsi="SimSun" w:eastAsia="SimSun" w:cs="SimSun"/>
          <w:sz w:val="24"/>
          <w:szCs w:val="24"/>
          <w:spacing w:val="-2"/>
        </w:rPr>
        <w:t>芨草等河滩草甸，</w:t>
      </w:r>
    </w:p>
    <w:p>
      <w:pPr>
        <w:spacing w:line="340" w:lineRule="auto"/>
        <w:sectPr>
          <w:footerReference w:type="default" r:id="rId269"/>
          <w:pgSz w:w="11906" w:h="16838"/>
          <w:pgMar w:top="1170" w:right="1304" w:bottom="1080" w:left="1305" w:header="837" w:footer="918" w:gutter="0"/>
        </w:sectPr>
        <w:rPr>
          <w:rFonts w:ascii="SimSun" w:hAnsi="SimSun" w:eastAsia="SimSun" w:cs="SimSun"/>
          <w:sz w:val="24"/>
          <w:szCs w:val="24"/>
        </w:rPr>
      </w:pPr>
    </w:p>
    <w:p>
      <w:pPr>
        <w:pStyle w:val="BodyText"/>
        <w:spacing w:line="314" w:lineRule="auto"/>
        <w:rPr/>
      </w:pPr>
      <w:r/>
    </w:p>
    <w:p>
      <w:pPr>
        <w:ind w:left="119" w:right="210" w:firstLine="37"/>
        <w:spacing w:before="78" w:line="338" w:lineRule="auto"/>
        <w:jc w:val="both"/>
        <w:rPr>
          <w:rFonts w:ascii="SimSun" w:hAnsi="SimSun" w:eastAsia="SimSun" w:cs="SimSun"/>
          <w:sz w:val="24"/>
          <w:szCs w:val="24"/>
        </w:rPr>
      </w:pPr>
      <w:r>
        <w:rPr>
          <w:rFonts w:ascii="SimSun" w:hAnsi="SimSun" w:eastAsia="SimSun" w:cs="SimSun"/>
          <w:sz w:val="24"/>
          <w:szCs w:val="24"/>
          <w:spacing w:val="-2"/>
        </w:rPr>
        <w:t>占地面积</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2"/>
        </w:rPr>
        <w:t>13.39km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w:t>
      </w:r>
      <w:r>
        <w:rPr>
          <w:rFonts w:ascii="SimSun" w:hAnsi="SimSun" w:eastAsia="SimSun" w:cs="SimSun"/>
          <w:sz w:val="24"/>
          <w:szCs w:val="24"/>
          <w:spacing w:val="-72"/>
        </w:rPr>
        <w:t xml:space="preserve"> </w:t>
      </w:r>
      <w:r>
        <w:rPr>
          <w:rFonts w:ascii="SimSun" w:hAnsi="SimSun" w:eastAsia="SimSun" w:cs="SimSun"/>
          <w:sz w:val="24"/>
          <w:szCs w:val="24"/>
          <w:spacing w:val="-2"/>
        </w:rPr>
        <w:t>占评价区面积的</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25.07%</w:t>
      </w:r>
      <w:r>
        <w:rPr>
          <w:rFonts w:ascii="SimSun" w:hAnsi="SimSun" w:eastAsia="SimSun" w:cs="SimSun"/>
          <w:sz w:val="24"/>
          <w:szCs w:val="24"/>
          <w:spacing w:val="-2"/>
        </w:rPr>
        <w:t>；矿田范围内主要的植被类型为羊草、丛</w:t>
      </w:r>
      <w:r>
        <w:rPr>
          <w:rFonts w:ascii="SimSun" w:hAnsi="SimSun" w:eastAsia="SimSun" w:cs="SimSun"/>
          <w:sz w:val="24"/>
          <w:szCs w:val="24"/>
          <w:spacing w:val="-3"/>
        </w:rPr>
        <w:t>生禾草草原，</w:t>
      </w:r>
      <w:r>
        <w:rPr>
          <w:rFonts w:ascii="SimSun" w:hAnsi="SimSun" w:eastAsia="SimSun" w:cs="SimSun"/>
          <w:sz w:val="24"/>
          <w:szCs w:val="24"/>
          <w:spacing w:val="-58"/>
        </w:rPr>
        <w:t xml:space="preserve"> </w:t>
      </w:r>
      <w:r>
        <w:rPr>
          <w:rFonts w:ascii="SimSun" w:hAnsi="SimSun" w:eastAsia="SimSun" w:cs="SimSun"/>
          <w:sz w:val="24"/>
          <w:szCs w:val="24"/>
          <w:spacing w:val="-3"/>
        </w:rPr>
        <w:t>占矿田面积的</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20.95%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，无植被面积占矿田面积的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63.07%</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，主要是露天区</w:t>
      </w:r>
      <w:r>
        <w:rPr>
          <w:rFonts w:ascii="SimSun" w:hAnsi="SimSun" w:eastAsia="SimSun" w:cs="SimSun"/>
          <w:sz w:val="24"/>
          <w:szCs w:val="24"/>
          <w:spacing w:val="-2"/>
        </w:rPr>
        <w:t>未复垦的采掘面积较大。</w:t>
      </w:r>
    </w:p>
    <w:p>
      <w:pPr>
        <w:ind w:left="3331"/>
        <w:spacing w:before="1" w:line="220" w:lineRule="auto"/>
        <w:rPr>
          <w:rFonts w:ascii="SimHei" w:hAnsi="SimHei" w:eastAsia="SimHei" w:cs="SimHei"/>
          <w:sz w:val="24"/>
          <w:szCs w:val="24"/>
        </w:rPr>
      </w:pPr>
      <w:r>
        <w:rPr>
          <w:rFonts w:ascii="SimHei" w:hAnsi="SimHei" w:eastAsia="SimHei" w:cs="SimHei"/>
          <w:sz w:val="24"/>
          <w:szCs w:val="24"/>
          <w:spacing w:val="-1"/>
        </w:rPr>
        <w:t>生态评价区植被类型现状</w:t>
      </w:r>
    </w:p>
    <w:p>
      <w:pPr>
        <w:ind w:left="115"/>
        <w:spacing w:before="39"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4-2-3</w:t>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205"/>
        <w:gridCol w:w="1290"/>
        <w:gridCol w:w="1864"/>
        <w:gridCol w:w="1288"/>
        <w:gridCol w:w="1638"/>
      </w:tblGrid>
      <w:tr>
        <w:trPr>
          <w:trHeight w:val="328" w:hRule="atLeast"/>
        </w:trPr>
        <w:tc>
          <w:tcPr>
            <w:tcW w:w="3205" w:type="dxa"/>
            <w:vAlign w:val="top"/>
            <w:vMerge w:val="restart"/>
            <w:tcBorders>
              <w:bottom w:val="nil"/>
            </w:tcBorders>
          </w:tcPr>
          <w:p>
            <w:pPr>
              <w:ind w:left="975"/>
              <w:spacing w:before="220" w:line="228" w:lineRule="auto"/>
              <w:rPr>
                <w:rFonts w:ascii="SimSun" w:hAnsi="SimSun" w:eastAsia="SimSun" w:cs="SimSun"/>
                <w:sz w:val="20"/>
                <w:szCs w:val="20"/>
              </w:rPr>
            </w:pPr>
            <w:r>
              <w:rPr>
                <w:rFonts w:ascii="SimSun" w:hAnsi="SimSun" w:eastAsia="SimSun" w:cs="SimSun"/>
                <w:sz w:val="20"/>
                <w:szCs w:val="20"/>
                <w:b/>
                <w:bCs/>
                <w:spacing w:val="6"/>
              </w:rPr>
              <w:t>植被类型分类</w:t>
            </w:r>
          </w:p>
        </w:tc>
        <w:tc>
          <w:tcPr>
            <w:tcW w:w="3154" w:type="dxa"/>
            <w:vAlign w:val="top"/>
            <w:gridSpan w:val="2"/>
          </w:tcPr>
          <w:p>
            <w:pPr>
              <w:ind w:left="1266"/>
              <w:spacing w:before="55" w:line="226" w:lineRule="auto"/>
              <w:rPr>
                <w:rFonts w:ascii="SimSun" w:hAnsi="SimSun" w:eastAsia="SimSun" w:cs="SimSun"/>
                <w:sz w:val="20"/>
                <w:szCs w:val="20"/>
              </w:rPr>
            </w:pPr>
            <w:r>
              <w:rPr>
                <w:rFonts w:ascii="SimSun" w:hAnsi="SimSun" w:eastAsia="SimSun" w:cs="SimSun"/>
                <w:sz w:val="20"/>
                <w:szCs w:val="20"/>
                <w:b/>
                <w:bCs/>
                <w:spacing w:val="5"/>
              </w:rPr>
              <w:t>评价区</w:t>
            </w:r>
          </w:p>
        </w:tc>
        <w:tc>
          <w:tcPr>
            <w:tcW w:w="2926" w:type="dxa"/>
            <w:vAlign w:val="top"/>
            <w:gridSpan w:val="2"/>
          </w:tcPr>
          <w:p>
            <w:pPr>
              <w:ind w:left="1257"/>
              <w:spacing w:before="55" w:line="228" w:lineRule="auto"/>
              <w:rPr>
                <w:rFonts w:ascii="SimSun" w:hAnsi="SimSun" w:eastAsia="SimSun" w:cs="SimSun"/>
                <w:sz w:val="20"/>
                <w:szCs w:val="20"/>
              </w:rPr>
            </w:pPr>
            <w:r>
              <w:rPr>
                <w:rFonts w:ascii="SimSun" w:hAnsi="SimSun" w:eastAsia="SimSun" w:cs="SimSun"/>
                <w:sz w:val="20"/>
                <w:szCs w:val="20"/>
                <w:b/>
                <w:bCs/>
                <w:spacing w:val="3"/>
              </w:rPr>
              <w:t>煤矿</w:t>
            </w:r>
          </w:p>
        </w:tc>
      </w:tr>
      <w:tr>
        <w:trPr>
          <w:trHeight w:val="325" w:hRule="atLeast"/>
        </w:trPr>
        <w:tc>
          <w:tcPr>
            <w:tcW w:w="3205" w:type="dxa"/>
            <w:vAlign w:val="top"/>
            <w:vMerge w:val="continue"/>
            <w:tcBorders>
              <w:top w:val="nil"/>
            </w:tcBorders>
          </w:tcPr>
          <w:p>
            <w:pPr>
              <w:rPr>
                <w:rFonts w:ascii="Arial"/>
                <w:sz w:val="21"/>
              </w:rPr>
            </w:pPr>
            <w:r/>
          </w:p>
        </w:tc>
        <w:tc>
          <w:tcPr>
            <w:tcW w:w="1290" w:type="dxa"/>
            <w:vAlign w:val="top"/>
          </w:tcPr>
          <w:p>
            <w:pPr>
              <w:pStyle w:val="TableText"/>
              <w:ind w:right="14"/>
              <w:spacing w:before="54" w:line="228" w:lineRule="auto"/>
              <w:jc w:val="right"/>
              <w:rPr>
                <w:rFonts w:ascii="SimSun" w:hAnsi="SimSun" w:eastAsia="SimSun" w:cs="SimSun"/>
              </w:rPr>
            </w:pPr>
            <w:r>
              <w:rPr>
                <w:rFonts w:ascii="SimSun" w:hAnsi="SimSun" w:eastAsia="SimSun" w:cs="SimSun"/>
                <w:b/>
                <w:bCs/>
                <w:spacing w:val="1"/>
              </w:rPr>
              <w:t>面积（</w:t>
            </w:r>
            <w:r>
              <w:rPr>
                <w:b/>
                <w:bCs/>
              </w:rPr>
              <w:t>km</w:t>
            </w:r>
            <w:r>
              <w:rPr>
                <w:sz w:val="13"/>
                <w:szCs w:val="13"/>
                <w:b/>
                <w:bCs/>
                <w:spacing w:val="1"/>
                <w:position w:val="6"/>
              </w:rPr>
              <w:t>2</w:t>
            </w:r>
            <w:r>
              <w:rPr>
                <w:rFonts w:ascii="SimSun" w:hAnsi="SimSun" w:eastAsia="SimSun" w:cs="SimSun"/>
                <w:b/>
                <w:bCs/>
                <w:spacing w:val="1"/>
              </w:rPr>
              <w:t>）</w:t>
            </w:r>
          </w:p>
        </w:tc>
        <w:tc>
          <w:tcPr>
            <w:tcW w:w="1864" w:type="dxa"/>
            <w:vAlign w:val="top"/>
          </w:tcPr>
          <w:p>
            <w:pPr>
              <w:ind w:left="627"/>
              <w:spacing w:before="54" w:line="228" w:lineRule="auto"/>
              <w:rPr>
                <w:rFonts w:ascii="SimSun" w:hAnsi="SimSun" w:eastAsia="SimSun" w:cs="SimSun"/>
                <w:sz w:val="20"/>
                <w:szCs w:val="20"/>
              </w:rPr>
            </w:pPr>
            <w:r>
              <w:rPr>
                <w:rFonts w:ascii="SimSun" w:hAnsi="SimSun" w:eastAsia="SimSun" w:cs="SimSun"/>
                <w:sz w:val="20"/>
                <w:szCs w:val="20"/>
                <w:b/>
                <w:bCs/>
                <w:spacing w:val="3"/>
              </w:rPr>
              <w:t>百分比</w:t>
            </w:r>
          </w:p>
        </w:tc>
        <w:tc>
          <w:tcPr>
            <w:tcW w:w="1288" w:type="dxa"/>
            <w:vAlign w:val="top"/>
          </w:tcPr>
          <w:p>
            <w:pPr>
              <w:pStyle w:val="TableText"/>
              <w:ind w:right="10"/>
              <w:spacing w:before="54" w:line="228" w:lineRule="auto"/>
              <w:jc w:val="right"/>
              <w:rPr>
                <w:rFonts w:ascii="SimSun" w:hAnsi="SimSun" w:eastAsia="SimSun" w:cs="SimSun"/>
              </w:rPr>
            </w:pPr>
            <w:r>
              <w:rPr>
                <w:rFonts w:ascii="SimSun" w:hAnsi="SimSun" w:eastAsia="SimSun" w:cs="SimSun"/>
                <w:b/>
                <w:bCs/>
                <w:spacing w:val="1"/>
              </w:rPr>
              <w:t>面积（</w:t>
            </w:r>
            <w:r>
              <w:rPr>
                <w:b/>
                <w:bCs/>
              </w:rPr>
              <w:t>km</w:t>
            </w:r>
            <w:r>
              <w:rPr>
                <w:sz w:val="13"/>
                <w:szCs w:val="13"/>
                <w:b/>
                <w:bCs/>
                <w:spacing w:val="1"/>
                <w:position w:val="6"/>
              </w:rPr>
              <w:t>2</w:t>
            </w:r>
            <w:r>
              <w:rPr>
                <w:rFonts w:ascii="SimSun" w:hAnsi="SimSun" w:eastAsia="SimSun" w:cs="SimSun"/>
                <w:b/>
                <w:bCs/>
                <w:spacing w:val="1"/>
              </w:rPr>
              <w:t>）</w:t>
            </w:r>
          </w:p>
        </w:tc>
        <w:tc>
          <w:tcPr>
            <w:tcW w:w="1638" w:type="dxa"/>
            <w:vAlign w:val="top"/>
          </w:tcPr>
          <w:p>
            <w:pPr>
              <w:ind w:left="516"/>
              <w:spacing w:before="54" w:line="228" w:lineRule="auto"/>
              <w:rPr>
                <w:rFonts w:ascii="SimSun" w:hAnsi="SimSun" w:eastAsia="SimSun" w:cs="SimSun"/>
                <w:sz w:val="20"/>
                <w:szCs w:val="20"/>
              </w:rPr>
            </w:pPr>
            <w:r>
              <w:rPr>
                <w:rFonts w:ascii="SimSun" w:hAnsi="SimSun" w:eastAsia="SimSun" w:cs="SimSun"/>
                <w:sz w:val="20"/>
                <w:szCs w:val="20"/>
                <w:b/>
                <w:bCs/>
                <w:spacing w:val="2"/>
              </w:rPr>
              <w:t>百分比</w:t>
            </w:r>
          </w:p>
        </w:tc>
      </w:tr>
      <w:tr>
        <w:trPr>
          <w:trHeight w:val="325" w:hRule="atLeast"/>
        </w:trPr>
        <w:tc>
          <w:tcPr>
            <w:tcW w:w="3205" w:type="dxa"/>
            <w:vAlign w:val="top"/>
          </w:tcPr>
          <w:p>
            <w:pPr>
              <w:ind w:left="458"/>
              <w:spacing w:before="54" w:line="228" w:lineRule="auto"/>
              <w:rPr>
                <w:rFonts w:ascii="SimSun" w:hAnsi="SimSun" w:eastAsia="SimSun" w:cs="SimSun"/>
                <w:sz w:val="20"/>
                <w:szCs w:val="20"/>
              </w:rPr>
            </w:pPr>
            <w:r>
              <w:rPr>
                <w:rFonts w:ascii="SimSun" w:hAnsi="SimSun" w:eastAsia="SimSun" w:cs="SimSun"/>
                <w:sz w:val="20"/>
                <w:szCs w:val="20"/>
                <w:spacing w:val="8"/>
              </w:rPr>
              <w:t>羊草、线叶菊等草甸草原</w:t>
            </w:r>
          </w:p>
        </w:tc>
        <w:tc>
          <w:tcPr>
            <w:tcW w:w="1290" w:type="dxa"/>
            <w:vAlign w:val="top"/>
          </w:tcPr>
          <w:p>
            <w:pPr>
              <w:pStyle w:val="TableText"/>
              <w:ind w:left="426"/>
              <w:spacing w:before="90" w:line="195" w:lineRule="auto"/>
              <w:rPr/>
            </w:pPr>
            <w:r>
              <w:rPr/>
              <w:t>13.89</w:t>
            </w:r>
          </w:p>
        </w:tc>
        <w:tc>
          <w:tcPr>
            <w:tcW w:w="1864" w:type="dxa"/>
            <w:vAlign w:val="top"/>
          </w:tcPr>
          <w:p>
            <w:pPr>
              <w:pStyle w:val="TableText"/>
              <w:ind w:left="609"/>
              <w:spacing w:before="90" w:line="195" w:lineRule="auto"/>
              <w:rPr/>
            </w:pPr>
            <w:r>
              <w:rPr>
                <w:spacing w:val="4"/>
              </w:rPr>
              <w:t>26.01%</w:t>
            </w:r>
          </w:p>
        </w:tc>
        <w:tc>
          <w:tcPr>
            <w:tcW w:w="1288" w:type="dxa"/>
            <w:vAlign w:val="top"/>
          </w:tcPr>
          <w:p>
            <w:pPr>
              <w:pStyle w:val="TableText"/>
              <w:ind w:left="483"/>
              <w:spacing w:before="90" w:line="195" w:lineRule="auto"/>
              <w:rPr/>
            </w:pPr>
            <w:r>
              <w:rPr>
                <w:spacing w:val="-2"/>
              </w:rPr>
              <w:t>1.41</w:t>
            </w:r>
          </w:p>
        </w:tc>
        <w:tc>
          <w:tcPr>
            <w:tcW w:w="1638" w:type="dxa"/>
            <w:vAlign w:val="top"/>
          </w:tcPr>
          <w:p>
            <w:pPr>
              <w:pStyle w:val="TableText"/>
              <w:ind w:left="520"/>
              <w:spacing w:before="90" w:line="195" w:lineRule="auto"/>
              <w:rPr/>
            </w:pPr>
            <w:r>
              <w:rPr/>
              <w:t>11.44%</w:t>
            </w:r>
          </w:p>
        </w:tc>
      </w:tr>
      <w:tr>
        <w:trPr>
          <w:trHeight w:val="649" w:hRule="atLeast"/>
        </w:trPr>
        <w:tc>
          <w:tcPr>
            <w:tcW w:w="3205" w:type="dxa"/>
            <w:vAlign w:val="top"/>
          </w:tcPr>
          <w:p>
            <w:pPr>
              <w:ind w:left="134"/>
              <w:spacing w:before="55" w:line="227" w:lineRule="auto"/>
              <w:rPr>
                <w:rFonts w:ascii="SimSun" w:hAnsi="SimSun" w:eastAsia="SimSun" w:cs="SimSun"/>
                <w:sz w:val="20"/>
                <w:szCs w:val="20"/>
              </w:rPr>
            </w:pPr>
            <w:r>
              <w:rPr>
                <w:rFonts w:ascii="SimSun" w:hAnsi="SimSun" w:eastAsia="SimSun" w:cs="SimSun"/>
                <w:sz w:val="20"/>
                <w:szCs w:val="20"/>
                <w:spacing w:val="9"/>
              </w:rPr>
              <w:t>拂子茅、野大麦、芨芨草等河滩</w:t>
            </w:r>
          </w:p>
          <w:p>
            <w:pPr>
              <w:ind w:left="1396"/>
              <w:spacing w:before="80" w:line="228" w:lineRule="auto"/>
              <w:rPr>
                <w:rFonts w:ascii="SimSun" w:hAnsi="SimSun" w:eastAsia="SimSun" w:cs="SimSun"/>
                <w:sz w:val="20"/>
                <w:szCs w:val="20"/>
              </w:rPr>
            </w:pPr>
            <w:r>
              <w:rPr>
                <w:rFonts w:ascii="SimSun" w:hAnsi="SimSun" w:eastAsia="SimSun" w:cs="SimSun"/>
                <w:sz w:val="20"/>
                <w:szCs w:val="20"/>
                <w:spacing w:val="3"/>
              </w:rPr>
              <w:t>草甸</w:t>
            </w:r>
          </w:p>
        </w:tc>
        <w:tc>
          <w:tcPr>
            <w:tcW w:w="1290" w:type="dxa"/>
            <w:vAlign w:val="top"/>
          </w:tcPr>
          <w:p>
            <w:pPr>
              <w:pStyle w:val="TableText"/>
              <w:ind w:left="426"/>
              <w:spacing w:before="255" w:line="195" w:lineRule="auto"/>
              <w:rPr/>
            </w:pPr>
            <w:r>
              <w:rPr/>
              <w:t>13.39</w:t>
            </w:r>
          </w:p>
        </w:tc>
        <w:tc>
          <w:tcPr>
            <w:tcW w:w="1864" w:type="dxa"/>
            <w:vAlign w:val="top"/>
          </w:tcPr>
          <w:p>
            <w:pPr>
              <w:pStyle w:val="TableText"/>
              <w:ind w:left="609"/>
              <w:spacing w:before="255" w:line="195" w:lineRule="auto"/>
              <w:rPr/>
            </w:pPr>
            <w:r>
              <w:rPr>
                <w:spacing w:val="4"/>
              </w:rPr>
              <w:t>25.07%</w:t>
            </w:r>
          </w:p>
        </w:tc>
        <w:tc>
          <w:tcPr>
            <w:tcW w:w="1288" w:type="dxa"/>
            <w:vAlign w:val="top"/>
          </w:tcPr>
          <w:p>
            <w:pPr>
              <w:pStyle w:val="TableText"/>
              <w:ind w:left="466"/>
              <w:spacing w:before="255" w:line="195" w:lineRule="auto"/>
              <w:rPr/>
            </w:pPr>
            <w:r>
              <w:rPr>
                <w:spacing w:val="2"/>
              </w:rPr>
              <w:t>0.56</w:t>
            </w:r>
          </w:p>
        </w:tc>
        <w:tc>
          <w:tcPr>
            <w:tcW w:w="1638" w:type="dxa"/>
            <w:vAlign w:val="top"/>
          </w:tcPr>
          <w:p>
            <w:pPr>
              <w:pStyle w:val="TableText"/>
              <w:ind w:left="547"/>
              <w:spacing w:before="255" w:line="195" w:lineRule="auto"/>
              <w:rPr/>
            </w:pPr>
            <w:r>
              <w:rPr>
                <w:spacing w:val="5"/>
              </w:rPr>
              <w:t>4.54%</w:t>
            </w:r>
          </w:p>
        </w:tc>
      </w:tr>
      <w:tr>
        <w:trPr>
          <w:trHeight w:val="326" w:hRule="atLeast"/>
        </w:trPr>
        <w:tc>
          <w:tcPr>
            <w:tcW w:w="3205" w:type="dxa"/>
            <w:vAlign w:val="top"/>
          </w:tcPr>
          <w:p>
            <w:pPr>
              <w:ind w:left="669"/>
              <w:spacing w:before="59" w:line="228" w:lineRule="auto"/>
              <w:rPr>
                <w:rFonts w:ascii="SimSun" w:hAnsi="SimSun" w:eastAsia="SimSun" w:cs="SimSun"/>
                <w:sz w:val="20"/>
                <w:szCs w:val="20"/>
              </w:rPr>
            </w:pPr>
            <w:r>
              <w:rPr>
                <w:rFonts w:ascii="SimSun" w:hAnsi="SimSun" w:eastAsia="SimSun" w:cs="SimSun"/>
                <w:sz w:val="20"/>
                <w:szCs w:val="20"/>
                <w:spacing w:val="8"/>
              </w:rPr>
              <w:t>羊草、丛生禾草草原</w:t>
            </w:r>
          </w:p>
        </w:tc>
        <w:tc>
          <w:tcPr>
            <w:tcW w:w="1290" w:type="dxa"/>
            <w:vAlign w:val="top"/>
          </w:tcPr>
          <w:p>
            <w:pPr>
              <w:pStyle w:val="TableText"/>
              <w:ind w:left="426"/>
              <w:spacing w:before="95" w:line="195" w:lineRule="auto"/>
              <w:rPr/>
            </w:pPr>
            <w:r>
              <w:rPr/>
              <w:t>12.03</w:t>
            </w:r>
          </w:p>
        </w:tc>
        <w:tc>
          <w:tcPr>
            <w:tcW w:w="1864" w:type="dxa"/>
            <w:vAlign w:val="top"/>
          </w:tcPr>
          <w:p>
            <w:pPr>
              <w:pStyle w:val="TableText"/>
              <w:ind w:left="609"/>
              <w:spacing w:before="95" w:line="195" w:lineRule="auto"/>
              <w:rPr/>
            </w:pPr>
            <w:r>
              <w:rPr>
                <w:spacing w:val="4"/>
              </w:rPr>
              <w:t>22.53%</w:t>
            </w:r>
          </w:p>
        </w:tc>
        <w:tc>
          <w:tcPr>
            <w:tcW w:w="1288" w:type="dxa"/>
            <w:vAlign w:val="top"/>
          </w:tcPr>
          <w:p>
            <w:pPr>
              <w:pStyle w:val="TableText"/>
              <w:ind w:left="463"/>
              <w:spacing w:before="95" w:line="195" w:lineRule="auto"/>
              <w:rPr/>
            </w:pPr>
            <w:r>
              <w:rPr>
                <w:spacing w:val="3"/>
              </w:rPr>
              <w:t>2.59</w:t>
            </w:r>
          </w:p>
        </w:tc>
        <w:tc>
          <w:tcPr>
            <w:tcW w:w="1638" w:type="dxa"/>
            <w:vAlign w:val="top"/>
          </w:tcPr>
          <w:p>
            <w:pPr>
              <w:pStyle w:val="TableText"/>
              <w:ind w:left="497"/>
              <w:spacing w:before="95" w:line="195" w:lineRule="auto"/>
              <w:rPr/>
            </w:pPr>
            <w:r>
              <w:rPr>
                <w:spacing w:val="4"/>
              </w:rPr>
              <w:t>20.95%</w:t>
            </w:r>
          </w:p>
        </w:tc>
      </w:tr>
      <w:tr>
        <w:trPr>
          <w:trHeight w:val="326" w:hRule="atLeast"/>
        </w:trPr>
        <w:tc>
          <w:tcPr>
            <w:tcW w:w="3205" w:type="dxa"/>
            <w:vAlign w:val="top"/>
          </w:tcPr>
          <w:p>
            <w:pPr>
              <w:ind w:left="1293"/>
              <w:spacing w:before="59" w:line="228" w:lineRule="auto"/>
              <w:rPr>
                <w:rFonts w:ascii="SimSun" w:hAnsi="SimSun" w:eastAsia="SimSun" w:cs="SimSun"/>
                <w:sz w:val="20"/>
                <w:szCs w:val="20"/>
              </w:rPr>
            </w:pPr>
            <w:r>
              <w:rPr>
                <w:rFonts w:ascii="SimSun" w:hAnsi="SimSun" w:eastAsia="SimSun" w:cs="SimSun"/>
                <w:sz w:val="20"/>
                <w:szCs w:val="20"/>
                <w:spacing w:val="6"/>
              </w:rPr>
              <w:t>无植被</w:t>
            </w:r>
          </w:p>
        </w:tc>
        <w:tc>
          <w:tcPr>
            <w:tcW w:w="1290" w:type="dxa"/>
            <w:vAlign w:val="top"/>
          </w:tcPr>
          <w:p>
            <w:pPr>
              <w:pStyle w:val="TableText"/>
              <w:ind w:left="426"/>
              <w:spacing w:before="95" w:line="195" w:lineRule="auto"/>
              <w:rPr/>
            </w:pPr>
            <w:r>
              <w:rPr/>
              <w:t>14.09</w:t>
            </w:r>
          </w:p>
        </w:tc>
        <w:tc>
          <w:tcPr>
            <w:tcW w:w="1864" w:type="dxa"/>
            <w:vAlign w:val="top"/>
          </w:tcPr>
          <w:p>
            <w:pPr>
              <w:pStyle w:val="TableText"/>
              <w:ind w:left="609"/>
              <w:spacing w:before="95" w:line="195" w:lineRule="auto"/>
              <w:rPr/>
            </w:pPr>
            <w:r>
              <w:rPr>
                <w:spacing w:val="4"/>
              </w:rPr>
              <w:t>26.39%</w:t>
            </w:r>
          </w:p>
        </w:tc>
        <w:tc>
          <w:tcPr>
            <w:tcW w:w="1288" w:type="dxa"/>
            <w:vAlign w:val="top"/>
          </w:tcPr>
          <w:p>
            <w:pPr>
              <w:pStyle w:val="TableText"/>
              <w:ind w:left="466"/>
              <w:spacing w:before="95" w:line="195" w:lineRule="auto"/>
              <w:rPr/>
            </w:pPr>
            <w:r>
              <w:rPr>
                <w:spacing w:val="2"/>
              </w:rPr>
              <w:t>7.79</w:t>
            </w:r>
          </w:p>
        </w:tc>
        <w:tc>
          <w:tcPr>
            <w:tcW w:w="1638" w:type="dxa"/>
            <w:vAlign w:val="top"/>
          </w:tcPr>
          <w:p>
            <w:pPr>
              <w:pStyle w:val="TableText"/>
              <w:ind w:left="502"/>
              <w:spacing w:before="95" w:line="195" w:lineRule="auto"/>
              <w:rPr/>
            </w:pPr>
            <w:r>
              <w:rPr>
                <w:spacing w:val="3"/>
              </w:rPr>
              <w:t>63.07%</w:t>
            </w:r>
          </w:p>
        </w:tc>
      </w:tr>
      <w:tr>
        <w:trPr>
          <w:trHeight w:val="328" w:hRule="atLeast"/>
        </w:trPr>
        <w:tc>
          <w:tcPr>
            <w:tcW w:w="3205" w:type="dxa"/>
            <w:vAlign w:val="top"/>
          </w:tcPr>
          <w:p>
            <w:pPr>
              <w:ind w:left="1400"/>
              <w:spacing w:before="60" w:line="229" w:lineRule="auto"/>
              <w:rPr>
                <w:rFonts w:ascii="SimSun" w:hAnsi="SimSun" w:eastAsia="SimSun" w:cs="SimSun"/>
                <w:sz w:val="20"/>
                <w:szCs w:val="20"/>
              </w:rPr>
            </w:pPr>
            <w:r>
              <w:rPr>
                <w:rFonts w:ascii="SimSun" w:hAnsi="SimSun" w:eastAsia="SimSun" w:cs="SimSun"/>
                <w:sz w:val="20"/>
                <w:szCs w:val="20"/>
                <w:spacing w:val="2"/>
              </w:rPr>
              <w:t>总计</w:t>
            </w:r>
          </w:p>
        </w:tc>
        <w:tc>
          <w:tcPr>
            <w:tcW w:w="1290" w:type="dxa"/>
            <w:vAlign w:val="top"/>
          </w:tcPr>
          <w:p>
            <w:pPr>
              <w:pStyle w:val="TableText"/>
              <w:ind w:left="412"/>
              <w:spacing w:before="95" w:line="195" w:lineRule="auto"/>
              <w:rPr/>
            </w:pPr>
            <w:r>
              <w:rPr>
                <w:spacing w:val="3"/>
              </w:rPr>
              <w:t>53.41</w:t>
            </w:r>
          </w:p>
        </w:tc>
        <w:tc>
          <w:tcPr>
            <w:tcW w:w="1864" w:type="dxa"/>
            <w:vAlign w:val="top"/>
          </w:tcPr>
          <w:p>
            <w:pPr>
              <w:pStyle w:val="TableText"/>
              <w:ind w:left="576"/>
              <w:spacing w:before="95" w:line="195" w:lineRule="auto"/>
              <w:rPr/>
            </w:pPr>
            <w:r>
              <w:rPr>
                <w:spacing w:val="1"/>
              </w:rPr>
              <w:t>100.00%</w:t>
            </w:r>
          </w:p>
        </w:tc>
        <w:tc>
          <w:tcPr>
            <w:tcW w:w="1288" w:type="dxa"/>
            <w:vAlign w:val="top"/>
          </w:tcPr>
          <w:p>
            <w:pPr>
              <w:pStyle w:val="TableText"/>
              <w:ind w:left="428"/>
              <w:spacing w:before="95" w:line="195" w:lineRule="auto"/>
              <w:rPr/>
            </w:pPr>
            <w:r>
              <w:rPr/>
              <w:t>12.35</w:t>
            </w:r>
          </w:p>
        </w:tc>
        <w:tc>
          <w:tcPr>
            <w:tcW w:w="1638" w:type="dxa"/>
            <w:vAlign w:val="top"/>
          </w:tcPr>
          <w:p>
            <w:pPr>
              <w:pStyle w:val="TableText"/>
              <w:ind w:left="465"/>
              <w:spacing w:before="95" w:line="195" w:lineRule="auto"/>
              <w:rPr/>
            </w:pPr>
            <w:r>
              <w:rPr>
                <w:spacing w:val="1"/>
              </w:rPr>
              <w:t>100.00%</w:t>
            </w:r>
          </w:p>
        </w:tc>
      </w:tr>
    </w:tbl>
    <w:p>
      <w:pPr>
        <w:ind w:left="597"/>
        <w:spacing w:before="144" w:line="219"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植被类型特点</w:t>
      </w:r>
    </w:p>
    <w:p>
      <w:pPr>
        <w:ind w:left="603"/>
        <w:spacing w:before="156"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）羊草、线叶菊等草甸草原</w:t>
      </w:r>
    </w:p>
    <w:p>
      <w:pPr>
        <w:ind w:left="116" w:firstLine="480"/>
        <w:spacing w:before="156" w:line="338" w:lineRule="auto"/>
        <w:rPr>
          <w:rFonts w:ascii="SimSun" w:hAnsi="SimSun" w:eastAsia="SimSun" w:cs="SimSun"/>
          <w:sz w:val="24"/>
          <w:szCs w:val="24"/>
        </w:rPr>
      </w:pPr>
      <w:r>
        <w:rPr>
          <w:rFonts w:ascii="SimSun" w:hAnsi="SimSun" w:eastAsia="SimSun" w:cs="SimSun"/>
          <w:sz w:val="24"/>
          <w:szCs w:val="24"/>
          <w:spacing w:val="-8"/>
        </w:rPr>
        <w:t>评价区克氏针茅、羊草、绣线菊等草甸草原</w:t>
      </w:r>
      <w:r>
        <w:rPr>
          <w:rFonts w:ascii="SimSun" w:hAnsi="SimSun" w:eastAsia="SimSun" w:cs="SimSun"/>
          <w:sz w:val="24"/>
          <w:szCs w:val="24"/>
          <w:spacing w:val="-9"/>
        </w:rPr>
        <w:t>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9"/>
        </w:rPr>
        <w:t>13.89km</w:t>
      </w:r>
      <w:r>
        <w:rPr>
          <w:rFonts w:ascii="Times New Roman" w:hAnsi="Times New Roman" w:eastAsia="Times New Roman" w:cs="Times New Roman"/>
          <w:sz w:val="15"/>
          <w:szCs w:val="15"/>
          <w:spacing w:val="-9"/>
          <w:position w:val="8"/>
        </w:rPr>
        <w:t>2</w:t>
      </w:r>
      <w:r>
        <w:rPr>
          <w:rFonts w:ascii="SimSun" w:hAnsi="SimSun" w:eastAsia="SimSun" w:cs="SimSun"/>
          <w:sz w:val="24"/>
          <w:szCs w:val="24"/>
          <w:spacing w:val="-9"/>
        </w:rPr>
        <w:t>，占评价区面积的</w:t>
      </w:r>
      <w:r>
        <w:rPr>
          <w:rFonts w:ascii="Times New Roman" w:hAnsi="Times New Roman" w:eastAsia="Times New Roman" w:cs="Times New Roman"/>
          <w:sz w:val="24"/>
          <w:szCs w:val="24"/>
          <w:spacing w:val="-9"/>
        </w:rPr>
        <w:t>26.01%</w:t>
      </w:r>
      <w:r>
        <w:rPr>
          <w:rFonts w:ascii="SimSun" w:hAnsi="SimSun" w:eastAsia="SimSun" w:cs="SimSun"/>
          <w:sz w:val="24"/>
          <w:szCs w:val="24"/>
          <w:spacing w:val="-9"/>
        </w:rPr>
        <w:t>。</w:t>
      </w:r>
      <w:r>
        <w:rPr>
          <w:rFonts w:ascii="SimSun" w:hAnsi="SimSun" w:eastAsia="SimSun" w:cs="SimSun"/>
          <w:sz w:val="24"/>
          <w:szCs w:val="24"/>
          <w:spacing w:val="-2"/>
        </w:rPr>
        <w:t>评价区草原植被主要以草甸草原植被为主，属线叶菊、羊草草原，植被广泛发育，植被</w:t>
      </w:r>
      <w:r>
        <w:rPr>
          <w:rFonts w:ascii="SimSun" w:hAnsi="SimSun" w:eastAsia="SimSun" w:cs="SimSun"/>
          <w:sz w:val="24"/>
          <w:szCs w:val="24"/>
          <w:spacing w:val="-2"/>
        </w:rPr>
        <w:t>群落以线叶菊</w:t>
      </w:r>
      <w:r>
        <w:rPr>
          <w:rFonts w:ascii="Times New Roman" w:hAnsi="Times New Roman" w:eastAsia="Times New Roman" w:cs="Times New Roman"/>
          <w:sz w:val="24"/>
          <w:szCs w:val="24"/>
          <w:spacing w:val="-2"/>
        </w:rPr>
        <w:t>+</w:t>
      </w:r>
      <w:r>
        <w:rPr>
          <w:rFonts w:ascii="SimSun" w:hAnsi="SimSun" w:eastAsia="SimSun" w:cs="SimSun"/>
          <w:sz w:val="24"/>
          <w:szCs w:val="24"/>
          <w:spacing w:val="-2"/>
        </w:rPr>
        <w:t>克氏针茅群落、线叶菊</w:t>
      </w:r>
      <w:r>
        <w:rPr>
          <w:rFonts w:ascii="Times New Roman" w:hAnsi="Times New Roman" w:eastAsia="Times New Roman" w:cs="Times New Roman"/>
          <w:sz w:val="24"/>
          <w:szCs w:val="24"/>
          <w:spacing w:val="-2"/>
        </w:rPr>
        <w:t>+</w:t>
      </w:r>
      <w:r>
        <w:rPr>
          <w:rFonts w:ascii="SimSun" w:hAnsi="SimSun" w:eastAsia="SimSun" w:cs="SimSun"/>
          <w:sz w:val="24"/>
          <w:szCs w:val="24"/>
          <w:spacing w:val="-2"/>
        </w:rPr>
        <w:t>杂类草群落、克氏针茅</w:t>
      </w:r>
      <w:r>
        <w:rPr>
          <w:rFonts w:ascii="Times New Roman" w:hAnsi="Times New Roman" w:eastAsia="Times New Roman" w:cs="Times New Roman"/>
          <w:sz w:val="24"/>
          <w:szCs w:val="24"/>
          <w:spacing w:val="-2"/>
        </w:rPr>
        <w:t>-</w:t>
      </w:r>
      <w:r>
        <w:rPr>
          <w:rFonts w:ascii="SimSun" w:hAnsi="SimSun" w:eastAsia="SimSun" w:cs="SimSun"/>
          <w:sz w:val="24"/>
          <w:szCs w:val="24"/>
          <w:spacing w:val="-2"/>
        </w:rPr>
        <w:t>杂类草群落、羊草</w:t>
      </w:r>
      <w:r>
        <w:rPr>
          <w:rFonts w:ascii="Times New Roman" w:hAnsi="Times New Roman" w:eastAsia="Times New Roman" w:cs="Times New Roman"/>
          <w:sz w:val="24"/>
          <w:szCs w:val="24"/>
          <w:spacing w:val="-2"/>
        </w:rPr>
        <w:t>+</w:t>
      </w:r>
      <w:r>
        <w:rPr>
          <w:rFonts w:ascii="SimSun" w:hAnsi="SimSun" w:eastAsia="SimSun" w:cs="SimSun"/>
          <w:sz w:val="24"/>
          <w:szCs w:val="24"/>
          <w:spacing w:val="-2"/>
        </w:rPr>
        <w:t>克氏</w:t>
      </w:r>
      <w:r>
        <w:rPr>
          <w:rFonts w:ascii="SimSun" w:hAnsi="SimSun" w:eastAsia="SimSun" w:cs="SimSun"/>
          <w:sz w:val="24"/>
          <w:szCs w:val="24"/>
        </w:rPr>
        <w:t>针茅群落、羊草</w:t>
      </w:r>
      <w:r>
        <w:rPr>
          <w:rFonts w:ascii="Times New Roman" w:hAnsi="Times New Roman" w:eastAsia="Times New Roman" w:cs="Times New Roman"/>
          <w:sz w:val="24"/>
          <w:szCs w:val="24"/>
        </w:rPr>
        <w:t>+</w:t>
      </w:r>
      <w:r>
        <w:rPr>
          <w:rFonts w:ascii="SimSun" w:hAnsi="SimSun" w:eastAsia="SimSun" w:cs="SimSun"/>
          <w:sz w:val="24"/>
          <w:szCs w:val="24"/>
        </w:rPr>
        <w:t>杂类草群落为主，主要植物种有</w:t>
      </w:r>
      <w:r>
        <w:rPr>
          <w:rFonts w:ascii="SimSun" w:hAnsi="SimSun" w:eastAsia="SimSun" w:cs="SimSun"/>
          <w:sz w:val="24"/>
          <w:szCs w:val="24"/>
          <w:spacing w:val="-1"/>
        </w:rPr>
        <w:t>克氏针茅、线叶菊、羊草、</w:t>
      </w:r>
      <w:r>
        <w:rPr>
          <w:rFonts w:ascii="SimSun" w:hAnsi="SimSun" w:eastAsia="SimSun" w:cs="SimSun"/>
          <w:sz w:val="24"/>
          <w:szCs w:val="24"/>
          <w:spacing w:val="-67"/>
        </w:rPr>
        <w:t xml:space="preserve"> </w:t>
      </w:r>
      <w:r>
        <w:rPr>
          <w:rFonts w:ascii="SimSun" w:hAnsi="SimSun" w:eastAsia="SimSun" w:cs="SimSun"/>
          <w:sz w:val="24"/>
          <w:szCs w:val="24"/>
          <w:spacing w:val="-1"/>
        </w:rPr>
        <w:t>日阴菅、</w:t>
      </w:r>
    </w:p>
    <w:p>
      <w:pPr>
        <w:ind w:left="118" w:right="192" w:hanging="1"/>
        <w:spacing w:before="4" w:line="338" w:lineRule="auto"/>
        <w:rPr>
          <w:rFonts w:ascii="SimSun" w:hAnsi="SimSun" w:eastAsia="SimSun" w:cs="SimSun"/>
          <w:sz w:val="24"/>
          <w:szCs w:val="24"/>
        </w:rPr>
      </w:pPr>
      <w:r>
        <w:rPr>
          <w:rFonts w:ascii="SimSun" w:hAnsi="SimSun" w:eastAsia="SimSun" w:cs="SimSun"/>
          <w:sz w:val="24"/>
          <w:szCs w:val="24"/>
          <w:spacing w:val="-1"/>
        </w:rPr>
        <w:t>糙隐子草、多叶隐子草、达乌里胡枝子、早熟草、冰草、无芒雀麦、</w:t>
      </w:r>
      <w:r>
        <w:rPr>
          <w:rFonts w:ascii="SimSun" w:hAnsi="SimSun" w:eastAsia="SimSun" w:cs="SimSun"/>
          <w:sz w:val="24"/>
          <w:szCs w:val="24"/>
          <w:spacing w:val="-2"/>
        </w:rPr>
        <w:t>野火球、蓬子菜、</w:t>
      </w:r>
      <w:r>
        <w:rPr>
          <w:rFonts w:ascii="SimSun" w:hAnsi="SimSun" w:eastAsia="SimSun" w:cs="SimSun"/>
          <w:sz w:val="24"/>
          <w:szCs w:val="24"/>
          <w:spacing w:val="-1"/>
        </w:rPr>
        <w:t>草本樨状黄芪、直立黄芪、扁蓿豆、唐松草、白头翁等，草群高度一般在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w:t>
      </w:r>
      <w:r>
        <w:rPr>
          <w:rFonts w:ascii="Times New Roman" w:hAnsi="Times New Roman" w:eastAsia="Times New Roman" w:cs="Times New Roman"/>
          <w:sz w:val="24"/>
          <w:szCs w:val="24"/>
          <w:spacing w:val="-2"/>
        </w:rPr>
        <w:t>-60cm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，群</w:t>
      </w:r>
      <w:r>
        <w:rPr>
          <w:rFonts w:ascii="SimSun" w:hAnsi="SimSun" w:eastAsia="SimSun" w:cs="SimSun"/>
          <w:sz w:val="24"/>
          <w:szCs w:val="24"/>
          <w:spacing w:val="-1"/>
        </w:rPr>
        <w:t>落盖度</w:t>
      </w:r>
      <w:r>
        <w:rPr>
          <w:rFonts w:ascii="Times New Roman" w:hAnsi="Times New Roman" w:eastAsia="Times New Roman" w:cs="Times New Roman"/>
          <w:sz w:val="24"/>
          <w:szCs w:val="24"/>
          <w:spacing w:val="-1"/>
        </w:rPr>
        <w:t>50-70%</w:t>
      </w:r>
      <w:r>
        <w:rPr>
          <w:rFonts w:ascii="SimSun" w:hAnsi="SimSun" w:eastAsia="SimSun" w:cs="SimSun"/>
          <w:sz w:val="24"/>
          <w:szCs w:val="24"/>
          <w:spacing w:val="-1"/>
        </w:rPr>
        <w:t>左右，</w:t>
      </w:r>
      <w:r>
        <w:rPr>
          <w:rFonts w:ascii="Times New Roman" w:hAnsi="Times New Roman" w:eastAsia="Times New Roman" w:cs="Times New Roman"/>
          <w:sz w:val="24"/>
          <w:szCs w:val="24"/>
          <w:spacing w:val="-1"/>
        </w:rPr>
        <w:t>1 </w:t>
      </w:r>
      <w:r>
        <w:rPr>
          <w:rFonts w:ascii="SimSun" w:hAnsi="SimSun" w:eastAsia="SimSun" w:cs="SimSun"/>
          <w:sz w:val="24"/>
          <w:szCs w:val="24"/>
          <w:spacing w:val="-1"/>
        </w:rPr>
        <w:t>平方米内植物可以达到</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1"/>
        </w:rPr>
        <w:t>18-28 </w:t>
      </w:r>
      <w:r>
        <w:rPr>
          <w:rFonts w:ascii="SimSun" w:hAnsi="SimSun" w:eastAsia="SimSun" w:cs="SimSun"/>
          <w:sz w:val="24"/>
          <w:szCs w:val="24"/>
          <w:spacing w:val="-1"/>
        </w:rPr>
        <w:t>种。本草场既可做放牧场，又可做</w:t>
      </w:r>
      <w:r>
        <w:rPr>
          <w:rFonts w:ascii="SimSun" w:hAnsi="SimSun" w:eastAsia="SimSun" w:cs="SimSun"/>
          <w:sz w:val="24"/>
          <w:szCs w:val="24"/>
          <w:spacing w:val="-1"/>
        </w:rPr>
        <w:t>打草场，是本区的优良牧场。</w:t>
      </w:r>
    </w:p>
    <w:p>
      <w:pPr>
        <w:ind w:left="599"/>
        <w:spacing w:line="219" w:lineRule="auto"/>
        <w:rPr>
          <w:rFonts w:ascii="SimSun" w:hAnsi="SimSun" w:eastAsia="SimSun" w:cs="SimSun"/>
          <w:sz w:val="24"/>
          <w:szCs w:val="24"/>
        </w:rPr>
      </w:pPr>
      <w:r>
        <w:rPr>
          <w:rFonts w:ascii="SimSun" w:hAnsi="SimSun" w:eastAsia="SimSun" w:cs="SimSun"/>
          <w:sz w:val="24"/>
          <w:szCs w:val="24"/>
          <w:spacing w:val="-1"/>
        </w:rPr>
        <w:t>主要植物群落类型特征为：</w:t>
      </w:r>
    </w:p>
    <w:p>
      <w:pPr>
        <w:ind w:left="596"/>
        <w:spacing w:before="155" w:line="217" w:lineRule="auto"/>
        <w:rPr>
          <w:rFonts w:ascii="SimSun" w:hAnsi="SimSun" w:eastAsia="SimSun" w:cs="SimSun"/>
          <w:sz w:val="24"/>
          <w:szCs w:val="24"/>
        </w:rPr>
      </w:pPr>
      <w:r>
        <w:rPr>
          <w:rFonts w:ascii="SimSun" w:hAnsi="SimSun" w:eastAsia="SimSun" w:cs="SimSun"/>
          <w:sz w:val="24"/>
          <w:szCs w:val="24"/>
          <w:spacing w:val="-2"/>
        </w:rPr>
        <w:t>①羊草群落</w:t>
      </w:r>
    </w:p>
    <w:p>
      <w:pPr>
        <w:ind w:left="116" w:right="139" w:firstLine="488"/>
        <w:spacing w:before="160" w:line="338" w:lineRule="auto"/>
        <w:rPr>
          <w:rFonts w:ascii="SimSun" w:hAnsi="SimSun" w:eastAsia="SimSun" w:cs="SimSun"/>
          <w:sz w:val="24"/>
          <w:szCs w:val="24"/>
        </w:rPr>
      </w:pPr>
      <w:r>
        <w:rPr>
          <w:rFonts w:ascii="SimSun" w:hAnsi="SimSun" w:eastAsia="SimSun" w:cs="SimSun"/>
          <w:sz w:val="24"/>
          <w:szCs w:val="24"/>
          <w:spacing w:val="-3"/>
        </w:rPr>
        <w:t>羊草群落的种类成分丰富复杂，种的饱和度较高，平均</w:t>
      </w:r>
      <w:r>
        <w:rPr>
          <w:rFonts w:ascii="SimSun" w:hAnsi="SimSun" w:eastAsia="SimSun" w:cs="SimSun"/>
          <w:sz w:val="24"/>
          <w:szCs w:val="24"/>
          <w:spacing w:val="-13"/>
        </w:rPr>
        <w:t xml:space="preserve"> </w:t>
      </w:r>
      <w:r>
        <w:rPr>
          <w:rFonts w:ascii="Times New Roman" w:hAnsi="Times New Roman" w:eastAsia="Times New Roman" w:cs="Times New Roman"/>
          <w:sz w:val="24"/>
          <w:szCs w:val="24"/>
          <w:spacing w:val="-3"/>
        </w:rPr>
        <w:t>15-20 </w:t>
      </w:r>
      <w:r>
        <w:rPr>
          <w:rFonts w:ascii="SimSun" w:hAnsi="SimSun" w:eastAsia="SimSun" w:cs="SimSun"/>
          <w:sz w:val="24"/>
          <w:szCs w:val="24"/>
          <w:spacing w:val="-3"/>
        </w:rPr>
        <w:t>种</w:t>
      </w:r>
      <w:r>
        <w:rPr>
          <w:rFonts w:ascii="Times New Roman" w:hAnsi="Times New Roman" w:eastAsia="Times New Roman" w:cs="Times New Roman"/>
          <w:sz w:val="24"/>
          <w:szCs w:val="24"/>
          <w:spacing w:val="-3"/>
        </w:rPr>
        <w:t>/m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，主要以菊科、</w:t>
      </w:r>
      <w:r>
        <w:rPr>
          <w:rFonts w:ascii="SimSun" w:hAnsi="SimSun" w:eastAsia="SimSun" w:cs="SimSun"/>
          <w:sz w:val="24"/>
          <w:szCs w:val="24"/>
          <w:spacing w:val="-2"/>
        </w:rPr>
        <w:t>禾本科、豆科等植物为主，其次是蔷薇科、毛茛科、白合科等植物，主要优势植物和常</w:t>
      </w:r>
      <w:r>
        <w:rPr>
          <w:rFonts w:ascii="SimSun" w:hAnsi="SimSun" w:eastAsia="SimSun" w:cs="SimSun"/>
          <w:sz w:val="24"/>
          <w:szCs w:val="24"/>
          <w:spacing w:val="-2"/>
        </w:rPr>
        <w:t>见植物有羊草、克氏针茅、早熟草、冰草、糙隐子草、大油麦、无芒雀麦、芨芨草、野</w:t>
      </w:r>
      <w:r>
        <w:rPr>
          <w:rFonts w:ascii="SimSun" w:hAnsi="SimSun" w:eastAsia="SimSun" w:cs="SimSun"/>
          <w:sz w:val="24"/>
          <w:szCs w:val="24"/>
          <w:spacing w:val="-2"/>
        </w:rPr>
        <w:t>大麦、寸草苔、日阴菅、柴胡、裂叶蒿、线叶菊、阿尔泰狗哇花、麻花头、碱蒿、直立</w:t>
      </w:r>
      <w:r>
        <w:rPr>
          <w:rFonts w:ascii="SimSun" w:hAnsi="SimSun" w:eastAsia="SimSun" w:cs="SimSun"/>
          <w:sz w:val="24"/>
          <w:szCs w:val="24"/>
          <w:spacing w:val="-2"/>
        </w:rPr>
        <w:t>黄芪、草本樨状黄芪、华北岩黄芪、扁蓿豆、野豌豆、野火球、黄花苜蓿、黄芩、蓬子</w:t>
      </w:r>
      <w:r>
        <w:rPr>
          <w:rFonts w:ascii="SimSun" w:hAnsi="SimSun" w:eastAsia="SimSun" w:cs="SimSun"/>
          <w:sz w:val="24"/>
          <w:szCs w:val="24"/>
          <w:spacing w:val="-1"/>
        </w:rPr>
        <w:t>菜、狼毒、星毛委陵菜、双齿葱等。</w:t>
      </w:r>
    </w:p>
    <w:p>
      <w:pPr>
        <w:ind w:left="595"/>
        <w:spacing w:line="217" w:lineRule="auto"/>
        <w:rPr>
          <w:rFonts w:ascii="SimSun" w:hAnsi="SimSun" w:eastAsia="SimSun" w:cs="SimSun"/>
          <w:sz w:val="24"/>
          <w:szCs w:val="24"/>
        </w:rPr>
      </w:pPr>
      <w:r>
        <w:rPr>
          <w:rFonts w:ascii="SimSun" w:hAnsi="SimSun" w:eastAsia="SimSun" w:cs="SimSun"/>
          <w:sz w:val="24"/>
          <w:szCs w:val="24"/>
          <w:spacing w:val="-2"/>
        </w:rPr>
        <w:t>②线叶菊群落</w:t>
      </w:r>
    </w:p>
    <w:p>
      <w:pPr>
        <w:ind w:left="117" w:right="138" w:firstLine="482"/>
        <w:spacing w:before="159" w:line="340" w:lineRule="auto"/>
        <w:rPr>
          <w:rFonts w:ascii="SimSun" w:hAnsi="SimSun" w:eastAsia="SimSun" w:cs="SimSun"/>
          <w:sz w:val="24"/>
          <w:szCs w:val="24"/>
        </w:rPr>
      </w:pPr>
      <w:r>
        <w:rPr>
          <w:rFonts w:ascii="SimSun" w:hAnsi="SimSun" w:eastAsia="SimSun" w:cs="SimSun"/>
          <w:sz w:val="24"/>
          <w:szCs w:val="24"/>
          <w:spacing w:val="-9"/>
        </w:rPr>
        <w:t>线叶菊群落的种类组成是相当丰富的，种的饱和度较高，平均</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9"/>
        </w:rPr>
        <w:t>25 </w:t>
      </w:r>
      <w:r>
        <w:rPr>
          <w:rFonts w:ascii="SimSun" w:hAnsi="SimSun" w:eastAsia="SimSun" w:cs="SimSun"/>
          <w:sz w:val="24"/>
          <w:szCs w:val="24"/>
          <w:spacing w:val="-9"/>
        </w:rPr>
        <w:t>种</w:t>
      </w:r>
      <w:r>
        <w:rPr>
          <w:rFonts w:ascii="Times New Roman" w:hAnsi="Times New Roman" w:eastAsia="Times New Roman" w:cs="Times New Roman"/>
          <w:sz w:val="24"/>
          <w:szCs w:val="24"/>
          <w:spacing w:val="-9"/>
        </w:rPr>
        <w:t>/m</w:t>
      </w:r>
      <w:r>
        <w:rPr>
          <w:rFonts w:ascii="Times New Roman" w:hAnsi="Times New Roman" w:eastAsia="Times New Roman" w:cs="Times New Roman"/>
          <w:sz w:val="15"/>
          <w:szCs w:val="15"/>
          <w:spacing w:val="-9"/>
          <w:position w:val="8"/>
        </w:rPr>
        <w:t>2</w:t>
      </w:r>
      <w:r>
        <w:rPr>
          <w:rFonts w:ascii="SimSun" w:hAnsi="SimSun" w:eastAsia="SimSun" w:cs="SimSun"/>
          <w:sz w:val="24"/>
          <w:szCs w:val="24"/>
          <w:spacing w:val="-10"/>
        </w:rPr>
        <w:t>，变幅在</w:t>
      </w:r>
      <w:r>
        <w:rPr>
          <w:rFonts w:ascii="SimSun" w:hAnsi="SimSun" w:eastAsia="SimSun" w:cs="SimSun"/>
          <w:sz w:val="24"/>
          <w:szCs w:val="24"/>
          <w:spacing w:val="-67"/>
        </w:rPr>
        <w:t xml:space="preserve"> </w:t>
      </w:r>
      <w:r>
        <w:rPr>
          <w:rFonts w:ascii="Times New Roman" w:hAnsi="Times New Roman" w:eastAsia="Times New Roman" w:cs="Times New Roman"/>
          <w:sz w:val="24"/>
          <w:szCs w:val="24"/>
          <w:spacing w:val="-10"/>
        </w:rPr>
        <w:t>20-30</w:t>
      </w:r>
      <w:r>
        <w:rPr>
          <w:rFonts w:ascii="SimSun" w:hAnsi="SimSun" w:eastAsia="SimSun" w:cs="SimSun"/>
          <w:sz w:val="24"/>
          <w:szCs w:val="24"/>
          <w:spacing w:val="-6"/>
        </w:rPr>
        <w:t>种，主要以菊科、豆科、禾本科、蔷薇科和百合科等植物为主，多数为中生、旱生植物，</w:t>
      </w:r>
    </w:p>
    <w:p>
      <w:pPr>
        <w:spacing w:line="340" w:lineRule="auto"/>
        <w:sectPr>
          <w:headerReference w:type="default" r:id="rId270"/>
          <w:footerReference w:type="default" r:id="rId271"/>
          <w:pgSz w:w="11906" w:h="16838"/>
          <w:pgMar w:top="1170" w:right="1212" w:bottom="1080" w:left="1307" w:header="837" w:footer="918" w:gutter="0"/>
        </w:sectPr>
        <w:rPr>
          <w:rFonts w:ascii="SimSun" w:hAnsi="SimSun" w:eastAsia="SimSun" w:cs="SimSun"/>
          <w:sz w:val="24"/>
          <w:szCs w:val="24"/>
        </w:rPr>
      </w:pPr>
    </w:p>
    <w:p>
      <w:pPr>
        <w:pStyle w:val="BodyText"/>
        <w:spacing w:line="311" w:lineRule="auto"/>
        <w:rPr/>
      </w:pPr>
      <w:r/>
    </w:p>
    <w:p>
      <w:pPr>
        <w:ind w:left="119" w:right="138"/>
        <w:spacing w:before="78" w:line="339" w:lineRule="auto"/>
        <w:rPr>
          <w:rFonts w:ascii="SimSun" w:hAnsi="SimSun" w:eastAsia="SimSun" w:cs="SimSun"/>
          <w:sz w:val="24"/>
          <w:szCs w:val="24"/>
        </w:rPr>
      </w:pPr>
      <w:r>
        <w:rPr>
          <w:rFonts w:ascii="SimSun" w:hAnsi="SimSun" w:eastAsia="SimSun" w:cs="SimSun"/>
          <w:sz w:val="24"/>
          <w:szCs w:val="24"/>
        </w:rPr>
        <w:t>少数为旱生植物。优势植物及常见植物有线叶菊、克氏针茅、羊草、蓬子菜、麻花头、</w:t>
      </w:r>
      <w:r>
        <w:rPr>
          <w:rFonts w:ascii="SimSun" w:hAnsi="SimSun" w:eastAsia="SimSun" w:cs="SimSun"/>
          <w:sz w:val="24"/>
          <w:szCs w:val="24"/>
          <w:spacing w:val="-2"/>
        </w:rPr>
        <w:t>火绒草、桃叶鸦葱、草本樨状黄芪、直立黄芪、扁蓿豆、山野豌豆、广布的野豌豆、黄</w:t>
      </w:r>
      <w:r>
        <w:rPr>
          <w:rFonts w:ascii="SimSun" w:hAnsi="SimSun" w:eastAsia="SimSun" w:cs="SimSun"/>
          <w:sz w:val="24"/>
          <w:szCs w:val="24"/>
          <w:spacing w:val="-7"/>
        </w:rPr>
        <w:t>花菜、细叶百合、叶展唐松草等。线叶菊草原的草群比较稠密，植被覆盖度在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55%</w:t>
      </w:r>
      <w:r>
        <w:rPr>
          <w:rFonts w:ascii="SimSun" w:hAnsi="SimSun" w:eastAsia="SimSun" w:cs="SimSun"/>
          <w:sz w:val="24"/>
          <w:szCs w:val="24"/>
          <w:spacing w:val="-7"/>
        </w:rPr>
        <w:t>以上，</w:t>
      </w:r>
      <w:r>
        <w:rPr>
          <w:rFonts w:ascii="SimSun" w:hAnsi="SimSun" w:eastAsia="SimSun" w:cs="SimSun"/>
          <w:sz w:val="24"/>
          <w:szCs w:val="24"/>
          <w:spacing w:val="-3"/>
        </w:rPr>
        <w:t>变幅在</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45-80%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，生产力较高。</w:t>
      </w:r>
    </w:p>
    <w:p>
      <w:pPr>
        <w:ind w:left="606"/>
        <w:spacing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）拂子茅、芨芨草、野大麦等河滩草甸</w:t>
      </w:r>
    </w:p>
    <w:p>
      <w:pPr>
        <w:ind w:left="118" w:firstLine="480"/>
        <w:spacing w:before="156" w:line="338" w:lineRule="auto"/>
        <w:rPr>
          <w:rFonts w:ascii="SimSun" w:hAnsi="SimSun" w:eastAsia="SimSun" w:cs="SimSun"/>
          <w:sz w:val="24"/>
          <w:szCs w:val="24"/>
        </w:rPr>
      </w:pPr>
      <w:r>
        <w:rPr>
          <w:rFonts w:ascii="SimSun" w:hAnsi="SimSun" w:eastAsia="SimSun" w:cs="SimSun"/>
          <w:sz w:val="24"/>
          <w:szCs w:val="24"/>
          <w:spacing w:val="-8"/>
        </w:rPr>
        <w:t>评价区拂子茅、芨芨草、野大麦等河滩草甸</w:t>
      </w:r>
      <w:r>
        <w:rPr>
          <w:rFonts w:ascii="SimSun" w:hAnsi="SimSun" w:eastAsia="SimSun" w:cs="SimSun"/>
          <w:sz w:val="24"/>
          <w:szCs w:val="24"/>
          <w:spacing w:val="-9"/>
        </w:rPr>
        <w:t>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9"/>
        </w:rPr>
        <w:t>13.39km</w:t>
      </w:r>
      <w:r>
        <w:rPr>
          <w:rFonts w:ascii="Times New Roman" w:hAnsi="Times New Roman" w:eastAsia="Times New Roman" w:cs="Times New Roman"/>
          <w:sz w:val="15"/>
          <w:szCs w:val="15"/>
          <w:spacing w:val="-9"/>
          <w:position w:val="8"/>
        </w:rPr>
        <w:t>2</w:t>
      </w:r>
      <w:r>
        <w:rPr>
          <w:rFonts w:ascii="SimSun" w:hAnsi="SimSun" w:eastAsia="SimSun" w:cs="SimSun"/>
          <w:sz w:val="24"/>
          <w:szCs w:val="24"/>
          <w:spacing w:val="-9"/>
        </w:rPr>
        <w:t>，占评价区面积的</w:t>
      </w:r>
      <w:r>
        <w:rPr>
          <w:rFonts w:ascii="Times New Roman" w:hAnsi="Times New Roman" w:eastAsia="Times New Roman" w:cs="Times New Roman"/>
          <w:sz w:val="24"/>
          <w:szCs w:val="24"/>
          <w:spacing w:val="-9"/>
        </w:rPr>
        <w:t>25.07%</w:t>
      </w:r>
      <w:r>
        <w:rPr>
          <w:rFonts w:ascii="SimSun" w:hAnsi="SimSun" w:eastAsia="SimSun" w:cs="SimSun"/>
          <w:sz w:val="24"/>
          <w:szCs w:val="24"/>
          <w:spacing w:val="-9"/>
        </w:rPr>
        <w:t>。</w:t>
      </w:r>
      <w:r>
        <w:rPr>
          <w:rFonts w:ascii="SimSun" w:hAnsi="SimSun" w:eastAsia="SimSun" w:cs="SimSun"/>
          <w:sz w:val="24"/>
          <w:szCs w:val="24"/>
          <w:spacing w:val="-2"/>
        </w:rPr>
        <w:t>评价区沿河河滩地分布有草甸植被，主要植物有草地早熟禾、看麦娘、无芒雀麦、拂子</w:t>
      </w:r>
      <w:r>
        <w:rPr>
          <w:rFonts w:ascii="SimSun" w:hAnsi="SimSun" w:eastAsia="SimSun" w:cs="SimSun"/>
          <w:sz w:val="24"/>
          <w:szCs w:val="24"/>
          <w:spacing w:val="-3"/>
        </w:rPr>
        <w:t>茅、芨芨草、野大麦、羊草等，植被盖度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30%-60%</w:t>
      </w:r>
      <w:r>
        <w:rPr>
          <w:rFonts w:ascii="SimSun" w:hAnsi="SimSun" w:eastAsia="SimSun" w:cs="SimSun"/>
          <w:sz w:val="24"/>
          <w:szCs w:val="24"/>
          <w:spacing w:val="-3"/>
        </w:rPr>
        <w:t>。河流沿岸草甸草场由于</w:t>
      </w:r>
      <w:r>
        <w:rPr>
          <w:rFonts w:ascii="SimSun" w:hAnsi="SimSun" w:eastAsia="SimSun" w:cs="SimSun"/>
          <w:sz w:val="24"/>
          <w:szCs w:val="24"/>
          <w:spacing w:val="-4"/>
        </w:rPr>
        <w:t>多年以夏季</w:t>
      </w:r>
      <w:r>
        <w:rPr>
          <w:rFonts w:ascii="SimSun" w:hAnsi="SimSun" w:eastAsia="SimSun" w:cs="SimSun"/>
          <w:sz w:val="24"/>
          <w:szCs w:val="24"/>
          <w:spacing w:val="-1"/>
        </w:rPr>
        <w:t>营地利用，超载过牧、土壤沙化、盐碱化发育。</w:t>
      </w:r>
    </w:p>
    <w:p>
      <w:pPr>
        <w:ind w:left="606"/>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）羊草、丛生禾草草原</w:t>
      </w:r>
    </w:p>
    <w:p>
      <w:pPr>
        <w:ind w:left="131" w:right="207" w:firstLine="467"/>
        <w:spacing w:before="156" w:line="340" w:lineRule="auto"/>
        <w:rPr>
          <w:rFonts w:ascii="SimSun" w:hAnsi="SimSun" w:eastAsia="SimSun" w:cs="SimSun"/>
          <w:sz w:val="24"/>
          <w:szCs w:val="24"/>
        </w:rPr>
      </w:pPr>
      <w:r>
        <w:rPr>
          <w:rFonts w:ascii="SimSun" w:hAnsi="SimSun" w:eastAsia="SimSun" w:cs="SimSun"/>
          <w:sz w:val="24"/>
          <w:szCs w:val="24"/>
          <w:spacing w:val="-2"/>
        </w:rPr>
        <w:t>评价区羊草、丛生禾草草原面积为</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2"/>
        </w:rPr>
        <w:t>12.03km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2"/>
        </w:rPr>
        <w:t>，</w:t>
      </w:r>
      <w:r>
        <w:rPr>
          <w:rFonts w:ascii="SimSun" w:hAnsi="SimSun" w:eastAsia="SimSun" w:cs="SimSun"/>
          <w:sz w:val="24"/>
          <w:szCs w:val="24"/>
          <w:spacing w:val="-69"/>
        </w:rPr>
        <w:t xml:space="preserve"> </w:t>
      </w:r>
      <w:r>
        <w:rPr>
          <w:rFonts w:ascii="SimSun" w:hAnsi="SimSun" w:eastAsia="SimSun" w:cs="SimSun"/>
          <w:sz w:val="24"/>
          <w:szCs w:val="24"/>
          <w:spacing w:val="-2"/>
        </w:rPr>
        <w:t>占评价区面积的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22.53%</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，主要以以</w:t>
      </w:r>
      <w:r>
        <w:rPr>
          <w:rFonts w:ascii="SimSun" w:hAnsi="SimSun" w:eastAsia="SimSun" w:cs="SimSun"/>
          <w:sz w:val="24"/>
          <w:szCs w:val="24"/>
          <w:spacing w:val="-2"/>
        </w:rPr>
        <w:t>多年生禾草和杂类草为主。</w:t>
      </w:r>
    </w:p>
    <w:p>
      <w:pPr>
        <w:ind w:left="3574"/>
        <w:spacing w:before="123" w:line="222" w:lineRule="auto"/>
        <w:rPr>
          <w:rFonts w:ascii="SimHei" w:hAnsi="SimHei" w:eastAsia="SimHei" w:cs="SimHei"/>
          <w:sz w:val="24"/>
          <w:szCs w:val="24"/>
        </w:rPr>
      </w:pPr>
      <w:r>
        <w:rPr>
          <w:rFonts w:ascii="SimHei" w:hAnsi="SimHei" w:eastAsia="SimHei" w:cs="SimHei"/>
          <w:sz w:val="24"/>
          <w:szCs w:val="24"/>
          <w:spacing w:val="-1"/>
        </w:rPr>
        <w:t>评价区主要植物名录</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8"/>
        <w:gridCol w:w="4094"/>
        <w:gridCol w:w="499"/>
        <w:gridCol w:w="3999"/>
      </w:tblGrid>
      <w:tr>
        <w:trPr>
          <w:trHeight w:val="554" w:hRule="atLeast"/>
        </w:trPr>
        <w:tc>
          <w:tcPr>
            <w:tcW w:w="698" w:type="dxa"/>
            <w:vAlign w:val="top"/>
          </w:tcPr>
          <w:p>
            <w:pPr>
              <w:ind w:left="143"/>
              <w:spacing w:before="168" w:line="229" w:lineRule="auto"/>
              <w:rPr>
                <w:rFonts w:ascii="SimSun" w:hAnsi="SimSun" w:eastAsia="SimSun" w:cs="SimSun"/>
                <w:sz w:val="20"/>
                <w:szCs w:val="20"/>
              </w:rPr>
            </w:pPr>
            <w:r>
              <w:rPr>
                <w:rFonts w:ascii="SimSun" w:hAnsi="SimSun" w:eastAsia="SimSun" w:cs="SimSun"/>
                <w:sz w:val="20"/>
                <w:szCs w:val="20"/>
                <w:spacing w:val="5"/>
              </w:rPr>
              <w:t>序号</w:t>
            </w:r>
          </w:p>
        </w:tc>
        <w:tc>
          <w:tcPr>
            <w:tcW w:w="4094" w:type="dxa"/>
            <w:vAlign w:val="top"/>
          </w:tcPr>
          <w:p>
            <w:pPr>
              <w:ind w:left="1525"/>
              <w:spacing w:before="167" w:line="228" w:lineRule="auto"/>
              <w:rPr>
                <w:rFonts w:ascii="SimSun" w:hAnsi="SimSun" w:eastAsia="SimSun" w:cs="SimSun"/>
                <w:sz w:val="20"/>
                <w:szCs w:val="20"/>
              </w:rPr>
            </w:pPr>
            <w:r>
              <w:rPr>
                <w:rFonts w:ascii="SimSun" w:hAnsi="SimSun" w:eastAsia="SimSun" w:cs="SimSun"/>
                <w:sz w:val="20"/>
                <w:szCs w:val="20"/>
                <w:spacing w:val="8"/>
              </w:rPr>
              <w:t>植物种名称</w:t>
            </w:r>
          </w:p>
        </w:tc>
        <w:tc>
          <w:tcPr>
            <w:tcW w:w="499" w:type="dxa"/>
            <w:vAlign w:val="top"/>
            <w:textDirection w:val="tbRlV"/>
          </w:tcPr>
          <w:p>
            <w:pPr>
              <w:ind w:left="33"/>
              <w:spacing w:before="142" w:line="218" w:lineRule="auto"/>
              <w:rPr>
                <w:rFonts w:ascii="SimSun" w:hAnsi="SimSun" w:eastAsia="SimSun" w:cs="SimSun"/>
                <w:sz w:val="20"/>
                <w:szCs w:val="20"/>
              </w:rPr>
            </w:pPr>
            <w:r>
              <w:rPr>
                <w:rFonts w:ascii="SimSun" w:hAnsi="SimSun" w:eastAsia="SimSun" w:cs="SimSun"/>
                <w:sz w:val="20"/>
                <w:szCs w:val="20"/>
                <w:spacing w:val="8"/>
              </w:rPr>
              <w:t>序</w:t>
            </w:r>
            <w:r>
              <w:rPr>
                <w:rFonts w:ascii="SimSun" w:hAnsi="SimSun" w:eastAsia="SimSun" w:cs="SimSun"/>
                <w:sz w:val="20"/>
                <w:szCs w:val="20"/>
                <w:spacing w:val="-38"/>
              </w:rPr>
              <w:t xml:space="preserve"> </w:t>
            </w:r>
            <w:r>
              <w:rPr>
                <w:rFonts w:ascii="SimSun" w:hAnsi="SimSun" w:eastAsia="SimSun" w:cs="SimSun"/>
                <w:sz w:val="20"/>
                <w:szCs w:val="20"/>
                <w:spacing w:val="8"/>
              </w:rPr>
              <w:t>号</w:t>
            </w:r>
          </w:p>
        </w:tc>
        <w:tc>
          <w:tcPr>
            <w:tcW w:w="3999" w:type="dxa"/>
            <w:vAlign w:val="top"/>
          </w:tcPr>
          <w:p>
            <w:pPr>
              <w:ind w:left="1478"/>
              <w:spacing w:before="167" w:line="228" w:lineRule="auto"/>
              <w:rPr>
                <w:rFonts w:ascii="SimSun" w:hAnsi="SimSun" w:eastAsia="SimSun" w:cs="SimSun"/>
                <w:sz w:val="20"/>
                <w:szCs w:val="20"/>
              </w:rPr>
            </w:pPr>
            <w:r>
              <w:rPr>
                <w:rFonts w:ascii="SimSun" w:hAnsi="SimSun" w:eastAsia="SimSun" w:cs="SimSun"/>
                <w:sz w:val="20"/>
                <w:szCs w:val="20"/>
                <w:spacing w:val="8"/>
              </w:rPr>
              <w:t>植物种名称</w:t>
            </w:r>
          </w:p>
        </w:tc>
      </w:tr>
      <w:tr>
        <w:trPr>
          <w:trHeight w:val="345" w:hRule="atLeast"/>
        </w:trPr>
        <w:tc>
          <w:tcPr>
            <w:tcW w:w="698" w:type="dxa"/>
            <w:vAlign w:val="top"/>
          </w:tcPr>
          <w:p>
            <w:pPr>
              <w:pStyle w:val="TableText"/>
              <w:ind w:left="317"/>
              <w:spacing w:before="98" w:line="195" w:lineRule="auto"/>
              <w:rPr/>
            </w:pPr>
            <w:r>
              <w:rPr/>
              <w:t>1</w:t>
            </w:r>
          </w:p>
        </w:tc>
        <w:tc>
          <w:tcPr>
            <w:tcW w:w="4094" w:type="dxa"/>
            <w:vAlign w:val="top"/>
          </w:tcPr>
          <w:p>
            <w:pPr>
              <w:pStyle w:val="TableText"/>
              <w:ind w:left="1016"/>
              <w:spacing w:before="28" w:line="278" w:lineRule="exact"/>
              <w:rPr>
                <w:rFonts w:ascii="SimSun" w:hAnsi="SimSun" w:eastAsia="SimSun" w:cs="SimSun"/>
              </w:rPr>
            </w:pPr>
            <w:r>
              <w:rPr>
                <w:rFonts w:ascii="SimSun" w:hAnsi="SimSun" w:eastAsia="SimSun" w:cs="SimSun"/>
                <w:spacing w:val="16"/>
                <w:position w:val="2"/>
              </w:rPr>
              <w:t>针茅（</w:t>
            </w:r>
            <w:r>
              <w:rPr>
                <w:i/>
                <w:iCs/>
                <w:position w:val="2"/>
              </w:rPr>
              <w:t>Stipa</w:t>
            </w:r>
            <w:r>
              <w:rPr>
                <w:i/>
                <w:iCs/>
                <w:spacing w:val="16"/>
                <w:position w:val="2"/>
              </w:rPr>
              <w:t xml:space="preserve"> </w:t>
            </w:r>
            <w:r>
              <w:rPr>
                <w:i/>
                <w:iCs/>
                <w:position w:val="2"/>
              </w:rPr>
              <w:t>capillata</w:t>
            </w:r>
            <w:r>
              <w:rPr>
                <w:rFonts w:ascii="SimSun" w:hAnsi="SimSun" w:eastAsia="SimSun" w:cs="SimSun"/>
                <w:spacing w:val="16"/>
                <w:position w:val="2"/>
              </w:rPr>
              <w:t>）</w:t>
            </w:r>
          </w:p>
        </w:tc>
        <w:tc>
          <w:tcPr>
            <w:tcW w:w="499" w:type="dxa"/>
            <w:vAlign w:val="top"/>
          </w:tcPr>
          <w:p>
            <w:pPr>
              <w:pStyle w:val="TableText"/>
              <w:ind w:left="146"/>
              <w:spacing w:before="98" w:line="195" w:lineRule="auto"/>
              <w:rPr/>
            </w:pPr>
            <w:r>
              <w:rPr>
                <w:spacing w:val="2"/>
              </w:rPr>
              <w:t>23</w:t>
            </w:r>
          </w:p>
        </w:tc>
        <w:tc>
          <w:tcPr>
            <w:tcW w:w="3999" w:type="dxa"/>
            <w:vAlign w:val="top"/>
          </w:tcPr>
          <w:p>
            <w:pPr>
              <w:pStyle w:val="TableText"/>
              <w:ind w:left="700"/>
              <w:spacing w:before="28" w:line="278" w:lineRule="exact"/>
              <w:rPr>
                <w:rFonts w:ascii="SimSun" w:hAnsi="SimSun" w:eastAsia="SimSun" w:cs="SimSun"/>
              </w:rPr>
            </w:pPr>
            <w:r>
              <w:rPr>
                <w:rFonts w:ascii="SimSun" w:hAnsi="SimSun" w:eastAsia="SimSun" w:cs="SimSun"/>
                <w:spacing w:val="17"/>
                <w:position w:val="2"/>
              </w:rPr>
              <w:t>骆驼蓬（</w:t>
            </w:r>
            <w:r>
              <w:rPr>
                <w:i/>
                <w:iCs/>
                <w:position w:val="2"/>
              </w:rPr>
              <w:t>Peganum</w:t>
            </w:r>
            <w:r>
              <w:rPr>
                <w:i/>
                <w:iCs/>
                <w:spacing w:val="17"/>
                <w:position w:val="2"/>
              </w:rPr>
              <w:t xml:space="preserve"> </w:t>
            </w:r>
            <w:r>
              <w:rPr>
                <w:i/>
                <w:iCs/>
                <w:position w:val="2"/>
              </w:rPr>
              <w:t>harmala</w:t>
            </w:r>
            <w:r>
              <w:rPr>
                <w:rFonts w:ascii="SimSun" w:hAnsi="SimSun" w:eastAsia="SimSun" w:cs="SimSun"/>
                <w:spacing w:val="17"/>
                <w:position w:val="2"/>
              </w:rPr>
              <w:t>）</w:t>
            </w:r>
          </w:p>
        </w:tc>
      </w:tr>
      <w:tr>
        <w:trPr>
          <w:trHeight w:val="345" w:hRule="atLeast"/>
        </w:trPr>
        <w:tc>
          <w:tcPr>
            <w:tcW w:w="698" w:type="dxa"/>
            <w:vAlign w:val="top"/>
          </w:tcPr>
          <w:p>
            <w:pPr>
              <w:pStyle w:val="TableText"/>
              <w:ind w:left="296"/>
              <w:spacing w:before="99" w:line="195" w:lineRule="auto"/>
              <w:rPr/>
            </w:pPr>
            <w:r>
              <w:rPr/>
              <w:t>2</w:t>
            </w:r>
          </w:p>
        </w:tc>
        <w:tc>
          <w:tcPr>
            <w:tcW w:w="4094" w:type="dxa"/>
            <w:vAlign w:val="top"/>
          </w:tcPr>
          <w:p>
            <w:pPr>
              <w:pStyle w:val="TableText"/>
              <w:ind w:left="167"/>
              <w:spacing w:before="28" w:line="278" w:lineRule="exact"/>
              <w:rPr>
                <w:rFonts w:ascii="SimSun" w:hAnsi="SimSun" w:eastAsia="SimSun" w:cs="SimSun"/>
              </w:rPr>
            </w:pPr>
            <w:r>
              <w:rPr>
                <w:rFonts w:ascii="SimSun" w:hAnsi="SimSun" w:eastAsia="SimSun" w:cs="SimSun"/>
                <w:spacing w:val="17"/>
                <w:position w:val="2"/>
              </w:rPr>
              <w:t>碱地肤（</w:t>
            </w:r>
            <w:r>
              <w:rPr>
                <w:i/>
                <w:iCs/>
                <w:position w:val="2"/>
              </w:rPr>
              <w:t>Kochia</w:t>
            </w:r>
            <w:r>
              <w:rPr>
                <w:i/>
                <w:iCs/>
                <w:spacing w:val="17"/>
                <w:position w:val="2"/>
              </w:rPr>
              <w:t xml:space="preserve"> </w:t>
            </w:r>
            <w:r>
              <w:rPr>
                <w:i/>
                <w:iCs/>
                <w:position w:val="2"/>
              </w:rPr>
              <w:t>scoparia</w:t>
            </w:r>
            <w:r>
              <w:rPr>
                <w:i/>
                <w:iCs/>
                <w:spacing w:val="17"/>
                <w:position w:val="2"/>
              </w:rPr>
              <w:t xml:space="preserve"> </w:t>
            </w:r>
            <w:r>
              <w:rPr>
                <w:i/>
                <w:iCs/>
                <w:position w:val="2"/>
              </w:rPr>
              <w:t>var</w:t>
            </w:r>
            <w:r>
              <w:rPr>
                <w:i/>
                <w:iCs/>
                <w:spacing w:val="17"/>
                <w:position w:val="2"/>
              </w:rPr>
              <w:t>.</w:t>
            </w:r>
            <w:r>
              <w:rPr>
                <w:i/>
                <w:iCs/>
                <w:position w:val="2"/>
              </w:rPr>
              <w:t>sieversiana</w:t>
            </w:r>
            <w:r>
              <w:rPr>
                <w:rFonts w:ascii="SimSun" w:hAnsi="SimSun" w:eastAsia="SimSun" w:cs="SimSun"/>
                <w:spacing w:val="17"/>
                <w:position w:val="2"/>
              </w:rPr>
              <w:t>）</w:t>
            </w:r>
          </w:p>
        </w:tc>
        <w:tc>
          <w:tcPr>
            <w:tcW w:w="499" w:type="dxa"/>
            <w:vAlign w:val="top"/>
          </w:tcPr>
          <w:p>
            <w:pPr>
              <w:pStyle w:val="TableText"/>
              <w:ind w:left="146"/>
              <w:spacing w:before="99" w:line="195" w:lineRule="auto"/>
              <w:rPr/>
            </w:pPr>
            <w:r>
              <w:rPr>
                <w:spacing w:val="2"/>
              </w:rPr>
              <w:t>24</w:t>
            </w:r>
          </w:p>
        </w:tc>
        <w:tc>
          <w:tcPr>
            <w:tcW w:w="3999" w:type="dxa"/>
            <w:vAlign w:val="top"/>
          </w:tcPr>
          <w:p>
            <w:pPr>
              <w:pStyle w:val="TableText"/>
              <w:ind w:left="880"/>
              <w:spacing w:before="28" w:line="278" w:lineRule="exact"/>
              <w:rPr>
                <w:rFonts w:ascii="SimSun" w:hAnsi="SimSun" w:eastAsia="SimSun" w:cs="SimSun"/>
              </w:rPr>
            </w:pPr>
            <w:r>
              <w:rPr>
                <w:rFonts w:ascii="SimSun" w:hAnsi="SimSun" w:eastAsia="SimSun" w:cs="SimSun"/>
                <w:spacing w:val="15"/>
                <w:position w:val="1"/>
              </w:rPr>
              <w:t>狗尾草（</w:t>
            </w:r>
            <w:r>
              <w:rPr>
                <w:i/>
                <w:iCs/>
                <w:position w:val="1"/>
              </w:rPr>
              <w:t>Setaria</w:t>
            </w:r>
            <w:r>
              <w:rPr>
                <w:i/>
                <w:iCs/>
                <w:spacing w:val="15"/>
                <w:position w:val="1"/>
              </w:rPr>
              <w:t xml:space="preserve"> </w:t>
            </w:r>
            <w:r>
              <w:rPr>
                <w:i/>
                <w:iCs/>
                <w:position w:val="1"/>
              </w:rPr>
              <w:t>viridis</w:t>
            </w:r>
            <w:r>
              <w:rPr>
                <w:rFonts w:ascii="SimSun" w:hAnsi="SimSun" w:eastAsia="SimSun" w:cs="SimSun"/>
                <w:spacing w:val="15"/>
                <w:position w:val="1"/>
              </w:rPr>
              <w:t>）</w:t>
            </w:r>
          </w:p>
        </w:tc>
      </w:tr>
      <w:tr>
        <w:trPr>
          <w:trHeight w:val="343" w:hRule="atLeast"/>
        </w:trPr>
        <w:tc>
          <w:tcPr>
            <w:tcW w:w="698" w:type="dxa"/>
            <w:vAlign w:val="top"/>
          </w:tcPr>
          <w:p>
            <w:pPr>
              <w:pStyle w:val="TableText"/>
              <w:ind w:left="301"/>
              <w:spacing w:before="99" w:line="195" w:lineRule="auto"/>
              <w:rPr/>
            </w:pPr>
            <w:r>
              <w:rPr/>
              <w:t>3</w:t>
            </w:r>
          </w:p>
        </w:tc>
        <w:tc>
          <w:tcPr>
            <w:tcW w:w="4094" w:type="dxa"/>
            <w:vAlign w:val="top"/>
          </w:tcPr>
          <w:p>
            <w:pPr>
              <w:pStyle w:val="TableText"/>
              <w:ind w:left="435"/>
              <w:spacing w:before="26" w:line="278" w:lineRule="exact"/>
              <w:rPr>
                <w:rFonts w:ascii="SimSun" w:hAnsi="SimSun" w:eastAsia="SimSun" w:cs="SimSun"/>
              </w:rPr>
            </w:pPr>
            <w:r>
              <w:rPr>
                <w:rFonts w:ascii="SimSun" w:hAnsi="SimSun" w:eastAsia="SimSun" w:cs="SimSun"/>
                <w:spacing w:val="18"/>
                <w:position w:val="2"/>
              </w:rPr>
              <w:t>糙隐子草（</w:t>
            </w:r>
            <w:r>
              <w:rPr>
                <w:i/>
                <w:iCs/>
                <w:position w:val="2"/>
              </w:rPr>
              <w:t>Cleistogenes</w:t>
            </w:r>
            <w:r>
              <w:rPr>
                <w:i/>
                <w:iCs/>
                <w:spacing w:val="18"/>
                <w:position w:val="2"/>
              </w:rPr>
              <w:t xml:space="preserve"> </w:t>
            </w:r>
            <w:r>
              <w:rPr>
                <w:i/>
                <w:iCs/>
                <w:position w:val="2"/>
              </w:rPr>
              <w:t>squarrosa</w:t>
            </w:r>
            <w:r>
              <w:rPr>
                <w:rFonts w:ascii="SimSun" w:hAnsi="SimSun" w:eastAsia="SimSun" w:cs="SimSun"/>
                <w:spacing w:val="18"/>
                <w:position w:val="2"/>
              </w:rPr>
              <w:t>）</w:t>
            </w:r>
          </w:p>
        </w:tc>
        <w:tc>
          <w:tcPr>
            <w:tcW w:w="499" w:type="dxa"/>
            <w:vAlign w:val="top"/>
          </w:tcPr>
          <w:p>
            <w:pPr>
              <w:pStyle w:val="TableText"/>
              <w:ind w:left="146"/>
              <w:spacing w:before="99" w:line="195" w:lineRule="auto"/>
              <w:rPr/>
            </w:pPr>
            <w:r>
              <w:rPr>
                <w:spacing w:val="2"/>
              </w:rPr>
              <w:t>25</w:t>
            </w:r>
          </w:p>
        </w:tc>
        <w:tc>
          <w:tcPr>
            <w:tcW w:w="3999" w:type="dxa"/>
            <w:vAlign w:val="top"/>
          </w:tcPr>
          <w:p>
            <w:pPr>
              <w:pStyle w:val="TableText"/>
              <w:ind w:left="604"/>
              <w:spacing w:before="26" w:line="278" w:lineRule="exact"/>
              <w:rPr>
                <w:rFonts w:ascii="SimSun" w:hAnsi="SimSun" w:eastAsia="SimSun" w:cs="SimSun"/>
              </w:rPr>
            </w:pPr>
            <w:r>
              <w:rPr>
                <w:rFonts w:ascii="SimSun" w:hAnsi="SimSun" w:eastAsia="SimSun" w:cs="SimSun"/>
                <w:spacing w:val="18"/>
                <w:position w:val="2"/>
              </w:rPr>
              <w:t>蒙古蒿（</w:t>
            </w:r>
            <w:r>
              <w:rPr>
                <w:i/>
                <w:iCs/>
                <w:position w:val="2"/>
              </w:rPr>
              <w:t>Artemisia</w:t>
            </w:r>
            <w:r>
              <w:rPr>
                <w:i/>
                <w:iCs/>
                <w:spacing w:val="18"/>
                <w:position w:val="2"/>
              </w:rPr>
              <w:t xml:space="preserve"> </w:t>
            </w:r>
            <w:r>
              <w:rPr>
                <w:i/>
                <w:iCs/>
                <w:position w:val="2"/>
              </w:rPr>
              <w:t>mongolica</w:t>
            </w:r>
            <w:r>
              <w:rPr>
                <w:rFonts w:ascii="SimSun" w:hAnsi="SimSun" w:eastAsia="SimSun" w:cs="SimSun"/>
                <w:spacing w:val="18"/>
                <w:position w:val="2"/>
              </w:rPr>
              <w:t>）</w:t>
            </w:r>
          </w:p>
        </w:tc>
      </w:tr>
      <w:tr>
        <w:trPr>
          <w:trHeight w:val="345" w:hRule="atLeast"/>
        </w:trPr>
        <w:tc>
          <w:tcPr>
            <w:tcW w:w="698" w:type="dxa"/>
            <w:vAlign w:val="top"/>
          </w:tcPr>
          <w:p>
            <w:pPr>
              <w:pStyle w:val="TableText"/>
              <w:ind w:left="295"/>
              <w:spacing w:before="102" w:line="195" w:lineRule="auto"/>
              <w:rPr/>
            </w:pPr>
            <w:r>
              <w:rPr>
                <w:spacing w:val="1"/>
              </w:rPr>
              <w:t>4</w:t>
            </w:r>
          </w:p>
        </w:tc>
        <w:tc>
          <w:tcPr>
            <w:tcW w:w="4094" w:type="dxa"/>
            <w:vAlign w:val="top"/>
          </w:tcPr>
          <w:p>
            <w:pPr>
              <w:pStyle w:val="TableText"/>
              <w:ind w:left="614"/>
              <w:spacing w:before="29" w:line="278" w:lineRule="exact"/>
              <w:rPr>
                <w:rFonts w:ascii="SimSun" w:hAnsi="SimSun" w:eastAsia="SimSun" w:cs="SimSun"/>
              </w:rPr>
            </w:pPr>
            <w:r>
              <w:rPr>
                <w:rFonts w:ascii="SimSun" w:hAnsi="SimSun" w:eastAsia="SimSun" w:cs="SimSun"/>
                <w:spacing w:val="19"/>
                <w:position w:val="2"/>
              </w:rPr>
              <w:t>光沙蒿（</w:t>
            </w:r>
            <w:r>
              <w:rPr>
                <w:i/>
                <w:iCs/>
                <w:position w:val="2"/>
              </w:rPr>
              <w:t>Artemisia</w:t>
            </w:r>
            <w:r>
              <w:rPr>
                <w:i/>
                <w:iCs/>
                <w:spacing w:val="19"/>
                <w:position w:val="2"/>
              </w:rPr>
              <w:t xml:space="preserve"> </w:t>
            </w:r>
            <w:r>
              <w:rPr>
                <w:i/>
                <w:iCs/>
                <w:position w:val="2"/>
              </w:rPr>
              <w:t>oxycephala</w:t>
            </w:r>
            <w:r>
              <w:rPr>
                <w:rFonts w:ascii="SimSun" w:hAnsi="SimSun" w:eastAsia="SimSun" w:cs="SimSun"/>
                <w:spacing w:val="19"/>
                <w:position w:val="2"/>
              </w:rPr>
              <w:t>）</w:t>
            </w:r>
          </w:p>
        </w:tc>
        <w:tc>
          <w:tcPr>
            <w:tcW w:w="499" w:type="dxa"/>
            <w:vAlign w:val="top"/>
          </w:tcPr>
          <w:p>
            <w:pPr>
              <w:pStyle w:val="TableText"/>
              <w:ind w:left="146"/>
              <w:spacing w:before="101" w:line="195" w:lineRule="auto"/>
              <w:rPr/>
            </w:pPr>
            <w:r>
              <w:rPr>
                <w:spacing w:val="2"/>
              </w:rPr>
              <w:t>26</w:t>
            </w:r>
          </w:p>
        </w:tc>
        <w:tc>
          <w:tcPr>
            <w:tcW w:w="3999" w:type="dxa"/>
            <w:vAlign w:val="top"/>
          </w:tcPr>
          <w:p>
            <w:pPr>
              <w:pStyle w:val="TableText"/>
              <w:ind w:left="853"/>
              <w:spacing w:before="29" w:line="278" w:lineRule="exact"/>
              <w:rPr>
                <w:rFonts w:ascii="SimSun" w:hAnsi="SimSun" w:eastAsia="SimSun" w:cs="SimSun"/>
              </w:rPr>
            </w:pPr>
            <w:r>
              <w:rPr>
                <w:rFonts w:ascii="SimSun" w:hAnsi="SimSun" w:eastAsia="SimSun" w:cs="SimSun"/>
                <w:spacing w:val="17"/>
                <w:position w:val="2"/>
              </w:rPr>
              <w:t>羊草（</w:t>
            </w:r>
            <w:r>
              <w:rPr>
                <w:i/>
                <w:iCs/>
                <w:position w:val="2"/>
              </w:rPr>
              <w:t>Leymus</w:t>
            </w:r>
            <w:r>
              <w:rPr>
                <w:i/>
                <w:iCs/>
                <w:spacing w:val="17"/>
                <w:position w:val="2"/>
              </w:rPr>
              <w:t xml:space="preserve"> </w:t>
            </w:r>
            <w:r>
              <w:rPr>
                <w:i/>
                <w:iCs/>
                <w:position w:val="2"/>
              </w:rPr>
              <w:t>chinensis</w:t>
            </w:r>
            <w:r>
              <w:rPr>
                <w:rFonts w:ascii="SimSun" w:hAnsi="SimSun" w:eastAsia="SimSun" w:cs="SimSun"/>
                <w:spacing w:val="17"/>
                <w:position w:val="2"/>
              </w:rPr>
              <w:t>）</w:t>
            </w:r>
          </w:p>
        </w:tc>
      </w:tr>
      <w:tr>
        <w:trPr>
          <w:trHeight w:val="346" w:hRule="atLeast"/>
        </w:trPr>
        <w:tc>
          <w:tcPr>
            <w:tcW w:w="698" w:type="dxa"/>
            <w:vAlign w:val="top"/>
          </w:tcPr>
          <w:p>
            <w:pPr>
              <w:pStyle w:val="TableText"/>
              <w:ind w:left="302"/>
              <w:spacing w:before="105" w:line="192" w:lineRule="auto"/>
              <w:rPr/>
            </w:pPr>
            <w:r>
              <w:rPr/>
              <w:t>5</w:t>
            </w:r>
          </w:p>
        </w:tc>
        <w:tc>
          <w:tcPr>
            <w:tcW w:w="4094" w:type="dxa"/>
            <w:vAlign w:val="top"/>
          </w:tcPr>
          <w:p>
            <w:pPr>
              <w:pStyle w:val="TableText"/>
              <w:ind w:left="729"/>
              <w:spacing w:before="29" w:line="278" w:lineRule="exact"/>
              <w:rPr>
                <w:rFonts w:ascii="SimSun" w:hAnsi="SimSun" w:eastAsia="SimSun" w:cs="SimSun"/>
              </w:rPr>
            </w:pPr>
            <w:r>
              <w:rPr>
                <w:rFonts w:ascii="SimSun" w:hAnsi="SimSun" w:eastAsia="SimSun" w:cs="SimSun"/>
                <w:spacing w:val="33"/>
                <w:position w:val="2"/>
              </w:rPr>
              <w:t>白草（</w:t>
            </w:r>
            <w:r>
              <w:rPr>
                <w:i/>
                <w:iCs/>
                <w:position w:val="2"/>
              </w:rPr>
              <w:t>Pennisetumflaccidum</w:t>
            </w:r>
            <w:r>
              <w:rPr>
                <w:rFonts w:ascii="SimSun" w:hAnsi="SimSun" w:eastAsia="SimSun" w:cs="SimSun"/>
                <w:spacing w:val="33"/>
                <w:position w:val="2"/>
              </w:rPr>
              <w:t>）</w:t>
            </w:r>
          </w:p>
        </w:tc>
        <w:tc>
          <w:tcPr>
            <w:tcW w:w="499" w:type="dxa"/>
            <w:vAlign w:val="top"/>
          </w:tcPr>
          <w:p>
            <w:pPr>
              <w:pStyle w:val="TableText"/>
              <w:ind w:left="146"/>
              <w:spacing w:before="102" w:line="195" w:lineRule="auto"/>
              <w:rPr/>
            </w:pPr>
            <w:r>
              <w:rPr>
                <w:spacing w:val="2"/>
              </w:rPr>
              <w:t>27</w:t>
            </w:r>
          </w:p>
        </w:tc>
        <w:tc>
          <w:tcPr>
            <w:tcW w:w="3999" w:type="dxa"/>
            <w:vAlign w:val="top"/>
          </w:tcPr>
          <w:p>
            <w:pPr>
              <w:pStyle w:val="TableText"/>
              <w:ind w:left="371"/>
              <w:spacing w:before="29" w:line="278" w:lineRule="exact"/>
              <w:rPr>
                <w:rFonts w:ascii="SimSun" w:hAnsi="SimSun" w:eastAsia="SimSun" w:cs="SimSun"/>
              </w:rPr>
            </w:pPr>
            <w:r>
              <w:rPr>
                <w:rFonts w:ascii="SimSun" w:hAnsi="SimSun" w:eastAsia="SimSun" w:cs="SimSun"/>
                <w:spacing w:val="16"/>
                <w:position w:val="2"/>
              </w:rPr>
              <w:t>西伯利亚蓼（</w:t>
            </w:r>
            <w:r>
              <w:rPr>
                <w:i/>
                <w:iCs/>
                <w:position w:val="2"/>
              </w:rPr>
              <w:t>Polygonum</w:t>
            </w:r>
            <w:r>
              <w:rPr>
                <w:i/>
                <w:iCs/>
                <w:spacing w:val="16"/>
                <w:position w:val="2"/>
              </w:rPr>
              <w:t xml:space="preserve"> </w:t>
            </w:r>
            <w:r>
              <w:rPr>
                <w:i/>
                <w:iCs/>
                <w:position w:val="2"/>
              </w:rPr>
              <w:t>sibiricum</w:t>
            </w:r>
            <w:r>
              <w:rPr>
                <w:rFonts w:ascii="SimSun" w:hAnsi="SimSun" w:eastAsia="SimSun" w:cs="SimSun"/>
                <w:spacing w:val="16"/>
                <w:position w:val="2"/>
              </w:rPr>
              <w:t>）</w:t>
            </w:r>
          </w:p>
        </w:tc>
      </w:tr>
      <w:tr>
        <w:trPr>
          <w:trHeight w:val="345" w:hRule="atLeast"/>
        </w:trPr>
        <w:tc>
          <w:tcPr>
            <w:tcW w:w="698" w:type="dxa"/>
            <w:vAlign w:val="top"/>
          </w:tcPr>
          <w:p>
            <w:pPr>
              <w:pStyle w:val="TableText"/>
              <w:ind w:left="301"/>
              <w:spacing w:before="99" w:line="195" w:lineRule="auto"/>
              <w:rPr/>
            </w:pPr>
            <w:r>
              <w:rPr/>
              <w:t>6</w:t>
            </w:r>
          </w:p>
        </w:tc>
        <w:tc>
          <w:tcPr>
            <w:tcW w:w="4094" w:type="dxa"/>
            <w:vAlign w:val="top"/>
          </w:tcPr>
          <w:p>
            <w:pPr>
              <w:pStyle w:val="TableText"/>
              <w:ind w:left="898"/>
              <w:spacing w:before="29" w:line="277" w:lineRule="exact"/>
              <w:rPr>
                <w:rFonts w:ascii="SimSun" w:hAnsi="SimSun" w:eastAsia="SimSun" w:cs="SimSun"/>
              </w:rPr>
            </w:pPr>
            <w:r>
              <w:rPr>
                <w:rFonts w:ascii="SimSun" w:hAnsi="SimSun" w:eastAsia="SimSun" w:cs="SimSun"/>
                <w:spacing w:val="15"/>
                <w:position w:val="1"/>
              </w:rPr>
              <w:t>猪毛菜（</w:t>
            </w:r>
            <w:r>
              <w:rPr>
                <w:i/>
                <w:iCs/>
                <w:position w:val="1"/>
              </w:rPr>
              <w:t>Salsola</w:t>
            </w:r>
            <w:r>
              <w:rPr>
                <w:i/>
                <w:iCs/>
                <w:spacing w:val="15"/>
                <w:position w:val="1"/>
              </w:rPr>
              <w:t xml:space="preserve"> </w:t>
            </w:r>
            <w:r>
              <w:rPr>
                <w:i/>
                <w:iCs/>
                <w:position w:val="1"/>
              </w:rPr>
              <w:t>collina</w:t>
            </w:r>
            <w:r>
              <w:rPr>
                <w:rFonts w:ascii="SimSun" w:hAnsi="SimSun" w:eastAsia="SimSun" w:cs="SimSun"/>
                <w:spacing w:val="15"/>
                <w:position w:val="1"/>
              </w:rPr>
              <w:t>）</w:t>
            </w:r>
          </w:p>
        </w:tc>
        <w:tc>
          <w:tcPr>
            <w:tcW w:w="499" w:type="dxa"/>
            <w:vAlign w:val="top"/>
          </w:tcPr>
          <w:p>
            <w:pPr>
              <w:pStyle w:val="TableText"/>
              <w:ind w:left="146"/>
              <w:spacing w:before="99" w:line="195" w:lineRule="auto"/>
              <w:rPr/>
            </w:pPr>
            <w:r>
              <w:rPr>
                <w:spacing w:val="2"/>
              </w:rPr>
              <w:t>28</w:t>
            </w:r>
          </w:p>
        </w:tc>
        <w:tc>
          <w:tcPr>
            <w:tcW w:w="3999" w:type="dxa"/>
            <w:vAlign w:val="top"/>
          </w:tcPr>
          <w:p>
            <w:pPr>
              <w:pStyle w:val="TableText"/>
              <w:ind w:left="845"/>
              <w:spacing w:before="29" w:line="277" w:lineRule="exact"/>
              <w:rPr>
                <w:rFonts w:ascii="SimSun" w:hAnsi="SimSun" w:eastAsia="SimSun" w:cs="SimSun"/>
              </w:rPr>
            </w:pPr>
            <w:r>
              <w:rPr>
                <w:rFonts w:ascii="SimSun" w:hAnsi="SimSun" w:eastAsia="SimSun" w:cs="SimSun"/>
                <w:spacing w:val="18"/>
                <w:position w:val="2"/>
              </w:rPr>
              <w:t>赖草（</w:t>
            </w:r>
            <w:r>
              <w:rPr>
                <w:i/>
                <w:iCs/>
                <w:position w:val="2"/>
              </w:rPr>
              <w:t>Leymus</w:t>
            </w:r>
            <w:r>
              <w:rPr>
                <w:i/>
                <w:iCs/>
                <w:spacing w:val="18"/>
                <w:position w:val="2"/>
              </w:rPr>
              <w:t xml:space="preserve"> </w:t>
            </w:r>
            <w:r>
              <w:rPr>
                <w:i/>
                <w:iCs/>
                <w:position w:val="2"/>
              </w:rPr>
              <w:t>secalinus</w:t>
            </w:r>
            <w:r>
              <w:rPr>
                <w:rFonts w:ascii="SimSun" w:hAnsi="SimSun" w:eastAsia="SimSun" w:cs="SimSun"/>
                <w:spacing w:val="18"/>
                <w:position w:val="2"/>
              </w:rPr>
              <w:t>）</w:t>
            </w:r>
          </w:p>
        </w:tc>
      </w:tr>
      <w:tr>
        <w:trPr>
          <w:trHeight w:val="345" w:hRule="atLeast"/>
        </w:trPr>
        <w:tc>
          <w:tcPr>
            <w:tcW w:w="698" w:type="dxa"/>
            <w:vAlign w:val="top"/>
          </w:tcPr>
          <w:p>
            <w:pPr>
              <w:pStyle w:val="TableText"/>
              <w:ind w:left="300"/>
              <w:spacing w:before="102" w:line="192" w:lineRule="auto"/>
              <w:rPr/>
            </w:pPr>
            <w:r>
              <w:rPr/>
              <w:t>7</w:t>
            </w:r>
          </w:p>
        </w:tc>
        <w:tc>
          <w:tcPr>
            <w:tcW w:w="4094" w:type="dxa"/>
            <w:vAlign w:val="top"/>
          </w:tcPr>
          <w:p>
            <w:pPr>
              <w:pStyle w:val="TableText"/>
              <w:ind w:left="730"/>
              <w:spacing w:before="29" w:line="278" w:lineRule="exact"/>
              <w:rPr>
                <w:rFonts w:ascii="SimSun" w:hAnsi="SimSun" w:eastAsia="SimSun" w:cs="SimSun"/>
              </w:rPr>
            </w:pPr>
            <w:r>
              <w:rPr>
                <w:rFonts w:ascii="SimSun" w:hAnsi="SimSun" w:eastAsia="SimSun" w:cs="SimSun"/>
                <w:spacing w:val="15"/>
                <w:position w:val="1"/>
              </w:rPr>
              <w:t>凹头苋（</w:t>
            </w:r>
            <w:r>
              <w:rPr>
                <w:i/>
                <w:iCs/>
                <w:position w:val="1"/>
              </w:rPr>
              <w:t>Amaranthus</w:t>
            </w:r>
            <w:r>
              <w:rPr>
                <w:i/>
                <w:iCs/>
                <w:spacing w:val="15"/>
                <w:position w:val="1"/>
              </w:rPr>
              <w:t xml:space="preserve"> </w:t>
            </w:r>
            <w:r>
              <w:rPr>
                <w:i/>
                <w:iCs/>
                <w:position w:val="1"/>
              </w:rPr>
              <w:t>blitum</w:t>
            </w:r>
            <w:r>
              <w:rPr>
                <w:rFonts w:ascii="SimSun" w:hAnsi="SimSun" w:eastAsia="SimSun" w:cs="SimSun"/>
                <w:spacing w:val="15"/>
                <w:position w:val="1"/>
              </w:rPr>
              <w:t>）</w:t>
            </w:r>
          </w:p>
        </w:tc>
        <w:tc>
          <w:tcPr>
            <w:tcW w:w="499" w:type="dxa"/>
            <w:vAlign w:val="top"/>
          </w:tcPr>
          <w:p>
            <w:pPr>
              <w:pStyle w:val="TableText"/>
              <w:ind w:left="146"/>
              <w:spacing w:before="99" w:line="195" w:lineRule="auto"/>
              <w:rPr/>
            </w:pPr>
            <w:r>
              <w:rPr>
                <w:spacing w:val="2"/>
              </w:rPr>
              <w:t>29</w:t>
            </w:r>
          </w:p>
        </w:tc>
        <w:tc>
          <w:tcPr>
            <w:tcW w:w="3999" w:type="dxa"/>
            <w:vAlign w:val="top"/>
          </w:tcPr>
          <w:p>
            <w:pPr>
              <w:pStyle w:val="TableText"/>
              <w:ind w:left="460"/>
              <w:spacing w:before="29" w:line="278" w:lineRule="exact"/>
              <w:rPr>
                <w:rFonts w:ascii="SimSun" w:hAnsi="SimSun" w:eastAsia="SimSun" w:cs="SimSun"/>
              </w:rPr>
            </w:pPr>
            <w:r>
              <w:rPr>
                <w:rFonts w:ascii="SimSun" w:hAnsi="SimSun" w:eastAsia="SimSun" w:cs="SimSun"/>
                <w:spacing w:val="14"/>
                <w:position w:val="2"/>
              </w:rPr>
              <w:t>多裂委陵菜（</w:t>
            </w:r>
            <w:r>
              <w:rPr>
                <w:i/>
                <w:iCs/>
                <w:position w:val="2"/>
              </w:rPr>
              <w:t>Potentilla</w:t>
            </w:r>
            <w:r>
              <w:rPr>
                <w:i/>
                <w:iCs/>
                <w:spacing w:val="14"/>
                <w:position w:val="2"/>
              </w:rPr>
              <w:t xml:space="preserve"> </w:t>
            </w:r>
            <w:r>
              <w:rPr>
                <w:i/>
                <w:iCs/>
                <w:position w:val="2"/>
              </w:rPr>
              <w:t>multifida</w:t>
            </w:r>
            <w:r>
              <w:rPr>
                <w:rFonts w:ascii="SimSun" w:hAnsi="SimSun" w:eastAsia="SimSun" w:cs="SimSun"/>
                <w:spacing w:val="14"/>
                <w:position w:val="2"/>
              </w:rPr>
              <w:t>）</w:t>
            </w:r>
          </w:p>
        </w:tc>
      </w:tr>
      <w:tr>
        <w:trPr>
          <w:trHeight w:val="345" w:hRule="atLeast"/>
        </w:trPr>
        <w:tc>
          <w:tcPr>
            <w:tcW w:w="698" w:type="dxa"/>
            <w:vAlign w:val="top"/>
          </w:tcPr>
          <w:p>
            <w:pPr>
              <w:pStyle w:val="TableText"/>
              <w:ind w:left="305"/>
              <w:spacing w:before="100" w:line="195" w:lineRule="auto"/>
              <w:rPr/>
            </w:pPr>
            <w:r>
              <w:rPr/>
              <w:t>8</w:t>
            </w:r>
          </w:p>
        </w:tc>
        <w:tc>
          <w:tcPr>
            <w:tcW w:w="4094" w:type="dxa"/>
            <w:vAlign w:val="top"/>
          </w:tcPr>
          <w:p>
            <w:pPr>
              <w:pStyle w:val="TableText"/>
              <w:ind w:left="626"/>
              <w:spacing w:before="29" w:line="278" w:lineRule="exact"/>
              <w:rPr>
                <w:rFonts w:ascii="SimSun" w:hAnsi="SimSun" w:eastAsia="SimSun" w:cs="SimSun"/>
              </w:rPr>
            </w:pPr>
            <w:r>
              <w:rPr>
                <w:rFonts w:ascii="SimSun" w:hAnsi="SimSun" w:eastAsia="SimSun" w:cs="SimSun"/>
                <w:spacing w:val="19"/>
                <w:position w:val="2"/>
              </w:rPr>
              <w:t>灰绿蓼（</w:t>
            </w:r>
            <w:r>
              <w:rPr>
                <w:i/>
                <w:iCs/>
                <w:position w:val="2"/>
              </w:rPr>
              <w:t>Polygonum</w:t>
            </w:r>
            <w:r>
              <w:rPr>
                <w:i/>
                <w:iCs/>
                <w:spacing w:val="19"/>
                <w:position w:val="2"/>
              </w:rPr>
              <w:t xml:space="preserve"> </w:t>
            </w:r>
            <w:r>
              <w:rPr>
                <w:i/>
                <w:iCs/>
                <w:position w:val="2"/>
              </w:rPr>
              <w:t>acetosum</w:t>
            </w:r>
            <w:r>
              <w:rPr>
                <w:rFonts w:ascii="SimSun" w:hAnsi="SimSun" w:eastAsia="SimSun" w:cs="SimSun"/>
                <w:spacing w:val="19"/>
                <w:position w:val="2"/>
              </w:rPr>
              <w:t>）</w:t>
            </w:r>
          </w:p>
        </w:tc>
        <w:tc>
          <w:tcPr>
            <w:tcW w:w="499" w:type="dxa"/>
            <w:vAlign w:val="top"/>
          </w:tcPr>
          <w:p>
            <w:pPr>
              <w:pStyle w:val="TableText"/>
              <w:ind w:left="150"/>
              <w:spacing w:before="100" w:line="195" w:lineRule="auto"/>
              <w:rPr/>
            </w:pPr>
            <w:r>
              <w:rPr/>
              <w:t>30</w:t>
            </w:r>
          </w:p>
        </w:tc>
        <w:tc>
          <w:tcPr>
            <w:tcW w:w="3999" w:type="dxa"/>
            <w:vAlign w:val="top"/>
          </w:tcPr>
          <w:p>
            <w:pPr>
              <w:pStyle w:val="TableText"/>
              <w:ind w:left="541"/>
              <w:spacing w:before="63" w:line="228" w:lineRule="auto"/>
              <w:rPr>
                <w:rFonts w:ascii="SimSun" w:hAnsi="SimSun" w:eastAsia="SimSun" w:cs="SimSun"/>
              </w:rPr>
            </w:pPr>
            <w:r>
              <w:rPr>
                <w:rFonts w:ascii="SimSun" w:hAnsi="SimSun" w:eastAsia="SimSun" w:cs="SimSun"/>
                <w:spacing w:val="17"/>
              </w:rPr>
              <w:t>桃叶鸦葱（</w:t>
            </w:r>
            <w:r>
              <w:rPr/>
              <w:t>Scorzonera</w:t>
            </w:r>
            <w:r>
              <w:rPr>
                <w:spacing w:val="17"/>
              </w:rPr>
              <w:t xml:space="preserve"> </w:t>
            </w:r>
            <w:r>
              <w:rPr/>
              <w:t>sinensis</w:t>
            </w:r>
            <w:r>
              <w:rPr>
                <w:rFonts w:ascii="SimSun" w:hAnsi="SimSun" w:eastAsia="SimSun" w:cs="SimSun"/>
                <w:spacing w:val="17"/>
              </w:rPr>
              <w:t>）</w:t>
            </w:r>
          </w:p>
        </w:tc>
      </w:tr>
      <w:tr>
        <w:trPr>
          <w:trHeight w:val="343" w:hRule="atLeast"/>
        </w:trPr>
        <w:tc>
          <w:tcPr>
            <w:tcW w:w="698" w:type="dxa"/>
            <w:vAlign w:val="top"/>
          </w:tcPr>
          <w:p>
            <w:pPr>
              <w:pStyle w:val="TableText"/>
              <w:ind w:left="300"/>
              <w:spacing w:before="100" w:line="195" w:lineRule="auto"/>
              <w:rPr/>
            </w:pPr>
            <w:r>
              <w:rPr/>
              <w:t>9</w:t>
            </w:r>
          </w:p>
        </w:tc>
        <w:tc>
          <w:tcPr>
            <w:tcW w:w="4094" w:type="dxa"/>
            <w:vAlign w:val="top"/>
          </w:tcPr>
          <w:p>
            <w:pPr>
              <w:pStyle w:val="TableText"/>
              <w:ind w:left="386"/>
              <w:spacing w:before="27" w:line="278" w:lineRule="exact"/>
              <w:rPr>
                <w:rFonts w:ascii="SimSun" w:hAnsi="SimSun" w:eastAsia="SimSun" w:cs="SimSun"/>
              </w:rPr>
            </w:pPr>
            <w:r>
              <w:rPr>
                <w:rFonts w:ascii="SimSun" w:hAnsi="SimSun" w:eastAsia="SimSun" w:cs="SimSun"/>
                <w:spacing w:val="23"/>
                <w:position w:val="2"/>
              </w:rPr>
              <w:t>香青兰（</w:t>
            </w:r>
            <w:r>
              <w:rPr>
                <w:i/>
                <w:iCs/>
                <w:position w:val="2"/>
              </w:rPr>
              <w:t>Dracocephalum</w:t>
            </w:r>
            <w:r>
              <w:rPr>
                <w:i/>
                <w:iCs/>
                <w:spacing w:val="23"/>
                <w:position w:val="2"/>
              </w:rPr>
              <w:t xml:space="preserve"> </w:t>
            </w:r>
            <w:r>
              <w:rPr>
                <w:i/>
                <w:iCs/>
                <w:position w:val="2"/>
              </w:rPr>
              <w:t>moldavica</w:t>
            </w:r>
            <w:r>
              <w:rPr>
                <w:rFonts w:ascii="SimSun" w:hAnsi="SimSun" w:eastAsia="SimSun" w:cs="SimSun"/>
                <w:spacing w:val="23"/>
                <w:position w:val="2"/>
              </w:rPr>
              <w:t>）</w:t>
            </w:r>
          </w:p>
        </w:tc>
        <w:tc>
          <w:tcPr>
            <w:tcW w:w="499" w:type="dxa"/>
            <w:vAlign w:val="top"/>
          </w:tcPr>
          <w:p>
            <w:pPr>
              <w:pStyle w:val="TableText"/>
              <w:ind w:left="150"/>
              <w:spacing w:before="100" w:line="195" w:lineRule="auto"/>
              <w:rPr/>
            </w:pPr>
            <w:r>
              <w:rPr/>
              <w:t>31</w:t>
            </w:r>
          </w:p>
        </w:tc>
        <w:tc>
          <w:tcPr>
            <w:tcW w:w="3999" w:type="dxa"/>
            <w:vAlign w:val="top"/>
          </w:tcPr>
          <w:p>
            <w:pPr>
              <w:pStyle w:val="TableText"/>
              <w:ind w:left="474"/>
              <w:spacing w:before="27" w:line="278" w:lineRule="exact"/>
              <w:rPr>
                <w:rFonts w:ascii="SimSun" w:hAnsi="SimSun" w:eastAsia="SimSun" w:cs="SimSun"/>
              </w:rPr>
            </w:pPr>
            <w:r>
              <w:rPr>
                <w:rFonts w:ascii="SimSun" w:hAnsi="SimSun" w:eastAsia="SimSun" w:cs="SimSun"/>
                <w:spacing w:val="21"/>
                <w:position w:val="2"/>
              </w:rPr>
              <w:t>芨芨草（</w:t>
            </w:r>
            <w:r>
              <w:rPr>
                <w:i/>
                <w:iCs/>
                <w:position w:val="2"/>
              </w:rPr>
              <w:t>Achnatherum</w:t>
            </w:r>
            <w:r>
              <w:rPr>
                <w:i/>
                <w:iCs/>
                <w:spacing w:val="21"/>
                <w:position w:val="2"/>
              </w:rPr>
              <w:t xml:space="preserve"> </w:t>
            </w:r>
            <w:r>
              <w:rPr>
                <w:i/>
                <w:iCs/>
                <w:position w:val="2"/>
              </w:rPr>
              <w:t>splendens</w:t>
            </w:r>
            <w:r>
              <w:rPr>
                <w:rFonts w:ascii="SimSun" w:hAnsi="SimSun" w:eastAsia="SimSun" w:cs="SimSun"/>
                <w:spacing w:val="21"/>
                <w:position w:val="2"/>
              </w:rPr>
              <w:t>）</w:t>
            </w:r>
          </w:p>
        </w:tc>
      </w:tr>
      <w:tr>
        <w:trPr>
          <w:trHeight w:val="345" w:hRule="atLeast"/>
        </w:trPr>
        <w:tc>
          <w:tcPr>
            <w:tcW w:w="698" w:type="dxa"/>
            <w:vAlign w:val="top"/>
          </w:tcPr>
          <w:p>
            <w:pPr>
              <w:pStyle w:val="TableText"/>
              <w:ind w:left="266"/>
              <w:spacing w:before="102" w:line="195" w:lineRule="auto"/>
              <w:rPr/>
            </w:pPr>
            <w:r>
              <w:rPr>
                <w:spacing w:val="-8"/>
              </w:rPr>
              <w:t>10</w:t>
            </w:r>
          </w:p>
        </w:tc>
        <w:tc>
          <w:tcPr>
            <w:tcW w:w="4094" w:type="dxa"/>
            <w:vAlign w:val="top"/>
          </w:tcPr>
          <w:p>
            <w:pPr>
              <w:pStyle w:val="TableText"/>
              <w:ind w:left="741"/>
              <w:spacing w:before="30" w:line="278" w:lineRule="exact"/>
              <w:rPr>
                <w:rFonts w:ascii="SimSun" w:hAnsi="SimSun" w:eastAsia="SimSun" w:cs="SimSun"/>
              </w:rPr>
            </w:pPr>
            <w:r>
              <w:rPr>
                <w:rFonts w:ascii="SimSun" w:hAnsi="SimSun" w:eastAsia="SimSun" w:cs="SimSun"/>
                <w:spacing w:val="17"/>
                <w:position w:val="1"/>
              </w:rPr>
              <w:t>苦苣菜（</w:t>
            </w:r>
            <w:r>
              <w:rPr>
                <w:i/>
                <w:iCs/>
                <w:position w:val="1"/>
              </w:rPr>
              <w:t>Sonchus</w:t>
            </w:r>
            <w:r>
              <w:rPr>
                <w:i/>
                <w:iCs/>
                <w:spacing w:val="17"/>
                <w:position w:val="1"/>
              </w:rPr>
              <w:t xml:space="preserve"> </w:t>
            </w:r>
            <w:r>
              <w:rPr>
                <w:i/>
                <w:iCs/>
                <w:position w:val="1"/>
              </w:rPr>
              <w:t>oleraceus</w:t>
            </w:r>
            <w:r>
              <w:rPr>
                <w:rFonts w:ascii="SimSun" w:hAnsi="SimSun" w:eastAsia="SimSun" w:cs="SimSun"/>
                <w:spacing w:val="17"/>
                <w:position w:val="1"/>
              </w:rPr>
              <w:t>）</w:t>
            </w:r>
          </w:p>
        </w:tc>
        <w:tc>
          <w:tcPr>
            <w:tcW w:w="499" w:type="dxa"/>
            <w:vAlign w:val="top"/>
          </w:tcPr>
          <w:p>
            <w:pPr>
              <w:pStyle w:val="TableText"/>
              <w:ind w:left="150"/>
              <w:spacing w:before="102" w:line="195" w:lineRule="auto"/>
              <w:rPr/>
            </w:pPr>
            <w:r>
              <w:rPr/>
              <w:t>32</w:t>
            </w:r>
          </w:p>
        </w:tc>
        <w:tc>
          <w:tcPr>
            <w:tcW w:w="3999" w:type="dxa"/>
            <w:vAlign w:val="top"/>
          </w:tcPr>
          <w:p>
            <w:pPr>
              <w:pStyle w:val="TableText"/>
              <w:ind w:left="666"/>
              <w:spacing w:before="30" w:line="278" w:lineRule="exact"/>
              <w:rPr>
                <w:rFonts w:ascii="SimSun" w:hAnsi="SimSun" w:eastAsia="SimSun" w:cs="SimSun"/>
              </w:rPr>
            </w:pPr>
            <w:r>
              <w:rPr>
                <w:rFonts w:ascii="SimSun" w:hAnsi="SimSun" w:eastAsia="SimSun" w:cs="SimSun"/>
                <w:spacing w:val="18"/>
                <w:position w:val="2"/>
              </w:rPr>
              <w:t>独行菜（</w:t>
            </w:r>
            <w:r>
              <w:rPr>
                <w:i/>
                <w:iCs/>
                <w:position w:val="2"/>
              </w:rPr>
              <w:t>Lepidium</w:t>
            </w:r>
            <w:r>
              <w:rPr>
                <w:i/>
                <w:iCs/>
                <w:spacing w:val="18"/>
                <w:position w:val="2"/>
              </w:rPr>
              <w:t xml:space="preserve"> </w:t>
            </w:r>
            <w:r>
              <w:rPr>
                <w:i/>
                <w:iCs/>
                <w:position w:val="2"/>
              </w:rPr>
              <w:t>apetalum</w:t>
            </w:r>
            <w:r>
              <w:rPr>
                <w:rFonts w:ascii="SimSun" w:hAnsi="SimSun" w:eastAsia="SimSun" w:cs="SimSun"/>
                <w:spacing w:val="18"/>
                <w:position w:val="2"/>
              </w:rPr>
              <w:t>）</w:t>
            </w:r>
          </w:p>
        </w:tc>
      </w:tr>
      <w:tr>
        <w:trPr>
          <w:trHeight w:val="345" w:hRule="atLeast"/>
        </w:trPr>
        <w:tc>
          <w:tcPr>
            <w:tcW w:w="698" w:type="dxa"/>
            <w:vAlign w:val="top"/>
          </w:tcPr>
          <w:p>
            <w:pPr>
              <w:pStyle w:val="TableText"/>
              <w:ind w:left="269"/>
              <w:spacing w:before="103" w:line="195" w:lineRule="auto"/>
              <w:rPr/>
            </w:pPr>
            <w:r>
              <w:rPr>
                <w:spacing w:val="-10"/>
              </w:rPr>
              <w:t>11</w:t>
            </w:r>
          </w:p>
        </w:tc>
        <w:tc>
          <w:tcPr>
            <w:tcW w:w="4094" w:type="dxa"/>
            <w:vAlign w:val="top"/>
          </w:tcPr>
          <w:p>
            <w:pPr>
              <w:pStyle w:val="TableText"/>
              <w:ind w:left="350"/>
              <w:spacing w:before="30" w:line="278" w:lineRule="exact"/>
              <w:rPr>
                <w:rFonts w:ascii="SimSun" w:hAnsi="SimSun" w:eastAsia="SimSun" w:cs="SimSun"/>
              </w:rPr>
            </w:pPr>
            <w:r>
              <w:rPr>
                <w:rFonts w:ascii="SimSun" w:hAnsi="SimSun" w:eastAsia="SimSun" w:cs="SimSun"/>
                <w:spacing w:val="23"/>
                <w:position w:val="2"/>
              </w:rPr>
              <w:t>刺花莲子草（</w:t>
            </w:r>
            <w:r>
              <w:rPr>
                <w:i/>
                <w:iCs/>
                <w:position w:val="2"/>
              </w:rPr>
              <w:t>Alternanthera</w:t>
            </w:r>
            <w:r>
              <w:rPr>
                <w:i/>
                <w:iCs/>
                <w:spacing w:val="-19"/>
                <w:position w:val="2"/>
              </w:rPr>
              <w:t xml:space="preserve"> </w:t>
            </w:r>
            <w:r>
              <w:rPr>
                <w:i/>
                <w:iCs/>
                <w:position w:val="2"/>
              </w:rPr>
              <w:t>pungens</w:t>
            </w:r>
            <w:r>
              <w:rPr>
                <w:rFonts w:ascii="SimSun" w:hAnsi="SimSun" w:eastAsia="SimSun" w:cs="SimSun"/>
                <w:spacing w:val="23"/>
                <w:position w:val="2"/>
              </w:rPr>
              <w:t>）</w:t>
            </w:r>
          </w:p>
        </w:tc>
        <w:tc>
          <w:tcPr>
            <w:tcW w:w="499" w:type="dxa"/>
            <w:vAlign w:val="top"/>
          </w:tcPr>
          <w:p>
            <w:pPr>
              <w:pStyle w:val="TableText"/>
              <w:ind w:left="150"/>
              <w:spacing w:before="103" w:line="195" w:lineRule="auto"/>
              <w:rPr/>
            </w:pPr>
            <w:r>
              <w:rPr/>
              <w:t>33</w:t>
            </w:r>
          </w:p>
        </w:tc>
        <w:tc>
          <w:tcPr>
            <w:tcW w:w="3999" w:type="dxa"/>
            <w:vAlign w:val="top"/>
          </w:tcPr>
          <w:p>
            <w:pPr>
              <w:pStyle w:val="TableText"/>
              <w:ind w:left="773"/>
              <w:spacing w:before="30" w:line="278" w:lineRule="exact"/>
              <w:rPr>
                <w:rFonts w:ascii="SimSun" w:hAnsi="SimSun" w:eastAsia="SimSun" w:cs="SimSun"/>
              </w:rPr>
            </w:pPr>
            <w:r>
              <w:rPr>
                <w:rFonts w:ascii="SimSun" w:hAnsi="SimSun" w:eastAsia="SimSun" w:cs="SimSun"/>
                <w:spacing w:val="20"/>
                <w:position w:val="2"/>
              </w:rPr>
              <w:t>刺藜（</w:t>
            </w:r>
            <w:r>
              <w:rPr>
                <w:i/>
                <w:iCs/>
                <w:position w:val="2"/>
              </w:rPr>
              <w:t>Dysphania</w:t>
            </w:r>
            <w:r>
              <w:rPr>
                <w:i/>
                <w:iCs/>
                <w:spacing w:val="20"/>
                <w:position w:val="2"/>
              </w:rPr>
              <w:t xml:space="preserve"> </w:t>
            </w:r>
            <w:r>
              <w:rPr>
                <w:i/>
                <w:iCs/>
                <w:position w:val="2"/>
              </w:rPr>
              <w:t>aristata</w:t>
            </w:r>
            <w:r>
              <w:rPr>
                <w:rFonts w:ascii="SimSun" w:hAnsi="SimSun" w:eastAsia="SimSun" w:cs="SimSun"/>
                <w:spacing w:val="20"/>
                <w:position w:val="2"/>
              </w:rPr>
              <w:t>）</w:t>
            </w:r>
          </w:p>
        </w:tc>
      </w:tr>
      <w:tr>
        <w:trPr>
          <w:trHeight w:val="345" w:hRule="atLeast"/>
        </w:trPr>
        <w:tc>
          <w:tcPr>
            <w:tcW w:w="698" w:type="dxa"/>
            <w:vAlign w:val="top"/>
          </w:tcPr>
          <w:p>
            <w:pPr>
              <w:pStyle w:val="TableText"/>
              <w:ind w:left="266"/>
              <w:spacing w:before="101" w:line="195" w:lineRule="auto"/>
              <w:rPr/>
            </w:pPr>
            <w:r>
              <w:rPr>
                <w:spacing w:val="-8"/>
              </w:rPr>
              <w:t>12</w:t>
            </w:r>
          </w:p>
        </w:tc>
        <w:tc>
          <w:tcPr>
            <w:tcW w:w="4094" w:type="dxa"/>
            <w:vAlign w:val="top"/>
          </w:tcPr>
          <w:p>
            <w:pPr>
              <w:pStyle w:val="TableText"/>
              <w:ind w:left="454"/>
              <w:spacing w:before="31" w:line="277" w:lineRule="exact"/>
              <w:rPr>
                <w:rFonts w:ascii="SimSun" w:hAnsi="SimSun" w:eastAsia="SimSun" w:cs="SimSun"/>
              </w:rPr>
            </w:pPr>
            <w:r>
              <w:rPr>
                <w:rFonts w:ascii="SimSun" w:hAnsi="SimSun" w:eastAsia="SimSun" w:cs="SimSun"/>
                <w:spacing w:val="22"/>
                <w:position w:val="2"/>
              </w:rPr>
              <w:t>绳虫实（</w:t>
            </w:r>
            <w:r>
              <w:rPr>
                <w:i/>
                <w:iCs/>
                <w:position w:val="2"/>
              </w:rPr>
              <w:t>Corispermum</w:t>
            </w:r>
            <w:r>
              <w:rPr>
                <w:i/>
                <w:iCs/>
                <w:spacing w:val="22"/>
                <w:position w:val="2"/>
              </w:rPr>
              <w:t xml:space="preserve"> </w:t>
            </w:r>
            <w:r>
              <w:rPr>
                <w:i/>
                <w:iCs/>
                <w:position w:val="2"/>
              </w:rPr>
              <w:t>declinatum</w:t>
            </w:r>
            <w:r>
              <w:rPr>
                <w:rFonts w:ascii="SimSun" w:hAnsi="SimSun" w:eastAsia="SimSun" w:cs="SimSun"/>
                <w:spacing w:val="22"/>
                <w:position w:val="2"/>
              </w:rPr>
              <w:t>）</w:t>
            </w:r>
          </w:p>
        </w:tc>
        <w:tc>
          <w:tcPr>
            <w:tcW w:w="499" w:type="dxa"/>
            <w:vAlign w:val="top"/>
          </w:tcPr>
          <w:p>
            <w:pPr>
              <w:pStyle w:val="TableText"/>
              <w:ind w:left="150"/>
              <w:spacing w:before="101" w:line="195" w:lineRule="auto"/>
              <w:rPr/>
            </w:pPr>
            <w:r>
              <w:rPr/>
              <w:t>34</w:t>
            </w:r>
          </w:p>
        </w:tc>
        <w:tc>
          <w:tcPr>
            <w:tcW w:w="3999" w:type="dxa"/>
            <w:vAlign w:val="top"/>
          </w:tcPr>
          <w:p>
            <w:pPr>
              <w:pStyle w:val="TableText"/>
              <w:ind w:left="556"/>
              <w:spacing w:before="31" w:line="277" w:lineRule="exact"/>
              <w:rPr>
                <w:rFonts w:ascii="SimSun" w:hAnsi="SimSun" w:eastAsia="SimSun" w:cs="SimSun"/>
              </w:rPr>
            </w:pPr>
            <w:r>
              <w:rPr>
                <w:rFonts w:ascii="SimSun" w:hAnsi="SimSun" w:eastAsia="SimSun" w:cs="SimSun"/>
                <w:spacing w:val="21"/>
                <w:position w:val="2"/>
              </w:rPr>
              <w:t>小藜（</w:t>
            </w:r>
            <w:r>
              <w:rPr>
                <w:i/>
                <w:iCs/>
                <w:position w:val="2"/>
              </w:rPr>
              <w:t>Chenopodium</w:t>
            </w:r>
            <w:r>
              <w:rPr>
                <w:i/>
                <w:iCs/>
                <w:spacing w:val="21"/>
                <w:position w:val="2"/>
              </w:rPr>
              <w:t xml:space="preserve"> </w:t>
            </w:r>
            <w:r>
              <w:rPr>
                <w:i/>
                <w:iCs/>
                <w:position w:val="2"/>
              </w:rPr>
              <w:t>serotinum</w:t>
            </w:r>
            <w:r>
              <w:rPr>
                <w:rFonts w:ascii="SimSun" w:hAnsi="SimSun" w:eastAsia="SimSun" w:cs="SimSun"/>
                <w:spacing w:val="21"/>
                <w:position w:val="2"/>
              </w:rPr>
              <w:t>）</w:t>
            </w:r>
          </w:p>
        </w:tc>
      </w:tr>
      <w:tr>
        <w:trPr>
          <w:trHeight w:val="345" w:hRule="atLeast"/>
        </w:trPr>
        <w:tc>
          <w:tcPr>
            <w:tcW w:w="698" w:type="dxa"/>
            <w:vAlign w:val="top"/>
          </w:tcPr>
          <w:p>
            <w:pPr>
              <w:pStyle w:val="TableText"/>
              <w:ind w:left="266"/>
              <w:spacing w:before="101" w:line="195" w:lineRule="auto"/>
              <w:rPr/>
            </w:pPr>
            <w:r>
              <w:rPr>
                <w:spacing w:val="-8"/>
              </w:rPr>
              <w:t>13</w:t>
            </w:r>
          </w:p>
        </w:tc>
        <w:tc>
          <w:tcPr>
            <w:tcW w:w="4094" w:type="dxa"/>
            <w:vAlign w:val="top"/>
          </w:tcPr>
          <w:p>
            <w:pPr>
              <w:pStyle w:val="TableText"/>
              <w:ind w:left="530"/>
              <w:spacing w:before="31" w:line="278" w:lineRule="exact"/>
              <w:rPr>
                <w:rFonts w:ascii="SimSun" w:hAnsi="SimSun" w:eastAsia="SimSun" w:cs="SimSun"/>
              </w:rPr>
            </w:pPr>
            <w:r>
              <w:rPr>
                <w:rFonts w:ascii="SimSun" w:hAnsi="SimSun" w:eastAsia="SimSun" w:cs="SimSun"/>
                <w:spacing w:val="24"/>
                <w:position w:val="2"/>
              </w:rPr>
              <w:t>沙蓬（</w:t>
            </w:r>
            <w:r>
              <w:rPr>
                <w:i/>
                <w:iCs/>
                <w:position w:val="2"/>
              </w:rPr>
              <w:t>Agriophyllum</w:t>
            </w:r>
            <w:r>
              <w:rPr>
                <w:i/>
                <w:iCs/>
                <w:spacing w:val="24"/>
                <w:position w:val="2"/>
              </w:rPr>
              <w:t xml:space="preserve"> </w:t>
            </w:r>
            <w:r>
              <w:rPr>
                <w:i/>
                <w:iCs/>
                <w:position w:val="2"/>
              </w:rPr>
              <w:t>squarrosum</w:t>
            </w:r>
            <w:r>
              <w:rPr>
                <w:rFonts w:ascii="SimSun" w:hAnsi="SimSun" w:eastAsia="SimSun" w:cs="SimSun"/>
                <w:spacing w:val="24"/>
                <w:position w:val="2"/>
              </w:rPr>
              <w:t>）</w:t>
            </w:r>
          </w:p>
        </w:tc>
        <w:tc>
          <w:tcPr>
            <w:tcW w:w="499" w:type="dxa"/>
            <w:vAlign w:val="top"/>
          </w:tcPr>
          <w:p>
            <w:pPr>
              <w:pStyle w:val="TableText"/>
              <w:ind w:left="150"/>
              <w:spacing w:before="101" w:line="195" w:lineRule="auto"/>
              <w:rPr/>
            </w:pPr>
            <w:r>
              <w:rPr/>
              <w:t>35</w:t>
            </w:r>
          </w:p>
        </w:tc>
        <w:tc>
          <w:tcPr>
            <w:tcW w:w="3999" w:type="dxa"/>
            <w:vAlign w:val="top"/>
          </w:tcPr>
          <w:p>
            <w:pPr>
              <w:pStyle w:val="TableText"/>
              <w:ind w:left="714"/>
              <w:spacing w:before="65" w:line="221" w:lineRule="auto"/>
              <w:rPr>
                <w:rFonts w:ascii="SimSun" w:hAnsi="SimSun" w:eastAsia="SimSun" w:cs="SimSun"/>
              </w:rPr>
            </w:pPr>
            <w:r>
              <w:rPr>
                <w:rFonts w:ascii="SimSun" w:hAnsi="SimSun" w:eastAsia="SimSun" w:cs="SimSun"/>
                <w:spacing w:val="17"/>
              </w:rPr>
              <w:t>冰草（</w:t>
            </w:r>
            <w:r>
              <w:rPr>
                <w:i/>
                <w:iCs/>
              </w:rPr>
              <w:t>Agropyron</w:t>
            </w:r>
            <w:r>
              <w:rPr>
                <w:i/>
                <w:iCs/>
                <w:spacing w:val="17"/>
              </w:rPr>
              <w:t xml:space="preserve"> </w:t>
            </w:r>
            <w:r>
              <w:rPr>
                <w:i/>
                <w:iCs/>
              </w:rPr>
              <w:t>cristatum</w:t>
            </w:r>
            <w:r>
              <w:rPr>
                <w:rFonts w:ascii="SimSun" w:hAnsi="SimSun" w:eastAsia="SimSun" w:cs="SimSun"/>
                <w:spacing w:val="17"/>
              </w:rPr>
              <w:t>）</w:t>
            </w:r>
          </w:p>
        </w:tc>
      </w:tr>
      <w:tr>
        <w:trPr>
          <w:trHeight w:val="345" w:hRule="atLeast"/>
        </w:trPr>
        <w:tc>
          <w:tcPr>
            <w:tcW w:w="698" w:type="dxa"/>
            <w:vAlign w:val="top"/>
          </w:tcPr>
          <w:p>
            <w:pPr>
              <w:pStyle w:val="TableText"/>
              <w:ind w:left="266"/>
              <w:spacing w:before="102" w:line="195" w:lineRule="auto"/>
              <w:rPr/>
            </w:pPr>
            <w:r>
              <w:rPr>
                <w:spacing w:val="-8"/>
              </w:rPr>
              <w:t>14</w:t>
            </w:r>
          </w:p>
        </w:tc>
        <w:tc>
          <w:tcPr>
            <w:tcW w:w="4094" w:type="dxa"/>
            <w:vAlign w:val="top"/>
          </w:tcPr>
          <w:p>
            <w:pPr>
              <w:pStyle w:val="TableText"/>
              <w:ind w:left="1000"/>
              <w:spacing w:before="31" w:line="278" w:lineRule="exact"/>
              <w:rPr>
                <w:rFonts w:ascii="SimSun" w:hAnsi="SimSun" w:eastAsia="SimSun" w:cs="SimSun"/>
              </w:rPr>
            </w:pPr>
            <w:r>
              <w:rPr>
                <w:rFonts w:ascii="SimSun" w:hAnsi="SimSun" w:eastAsia="SimSun" w:cs="SimSun"/>
                <w:spacing w:val="15"/>
                <w:position w:val="2"/>
              </w:rPr>
              <w:t>蔊菜（</w:t>
            </w:r>
            <w:r>
              <w:rPr>
                <w:i/>
                <w:iCs/>
                <w:position w:val="2"/>
              </w:rPr>
              <w:t>Rorippa</w:t>
            </w:r>
            <w:r>
              <w:rPr>
                <w:i/>
                <w:iCs/>
                <w:spacing w:val="15"/>
                <w:position w:val="2"/>
              </w:rPr>
              <w:t xml:space="preserve"> </w:t>
            </w:r>
            <w:r>
              <w:rPr>
                <w:i/>
                <w:iCs/>
                <w:position w:val="2"/>
              </w:rPr>
              <w:t>indica</w:t>
            </w:r>
            <w:r>
              <w:rPr>
                <w:rFonts w:ascii="SimSun" w:hAnsi="SimSun" w:eastAsia="SimSun" w:cs="SimSun"/>
                <w:spacing w:val="15"/>
                <w:position w:val="2"/>
              </w:rPr>
              <w:t>）</w:t>
            </w:r>
          </w:p>
        </w:tc>
        <w:tc>
          <w:tcPr>
            <w:tcW w:w="499" w:type="dxa"/>
            <w:vAlign w:val="top"/>
          </w:tcPr>
          <w:p>
            <w:pPr>
              <w:pStyle w:val="TableText"/>
              <w:ind w:left="150"/>
              <w:spacing w:before="102" w:line="195" w:lineRule="auto"/>
              <w:rPr/>
            </w:pPr>
            <w:r>
              <w:rPr/>
              <w:t>36</w:t>
            </w:r>
          </w:p>
        </w:tc>
        <w:tc>
          <w:tcPr>
            <w:tcW w:w="3999" w:type="dxa"/>
            <w:vAlign w:val="top"/>
          </w:tcPr>
          <w:p>
            <w:pPr>
              <w:pStyle w:val="TableText"/>
              <w:ind w:left="655"/>
              <w:spacing w:before="31" w:line="278" w:lineRule="exact"/>
              <w:rPr>
                <w:rFonts w:ascii="SimSun" w:hAnsi="SimSun" w:eastAsia="SimSun" w:cs="SimSun"/>
              </w:rPr>
            </w:pPr>
            <w:r>
              <w:rPr>
                <w:rFonts w:ascii="SimSun" w:hAnsi="SimSun" w:eastAsia="SimSun" w:cs="SimSun"/>
                <w:spacing w:val="14"/>
                <w:position w:val="2"/>
              </w:rPr>
              <w:t>垂穗披碱草（</w:t>
            </w:r>
            <w:r>
              <w:rPr>
                <w:i/>
                <w:iCs/>
                <w:position w:val="2"/>
              </w:rPr>
              <w:t>Elymus</w:t>
            </w:r>
            <w:r>
              <w:rPr>
                <w:i/>
                <w:iCs/>
                <w:spacing w:val="14"/>
                <w:position w:val="2"/>
              </w:rPr>
              <w:t xml:space="preserve"> </w:t>
            </w:r>
            <w:r>
              <w:rPr>
                <w:i/>
                <w:iCs/>
                <w:position w:val="2"/>
              </w:rPr>
              <w:t>nutans</w:t>
            </w:r>
            <w:r>
              <w:rPr>
                <w:rFonts w:ascii="SimSun" w:hAnsi="SimSun" w:eastAsia="SimSun" w:cs="SimSun"/>
                <w:spacing w:val="14"/>
                <w:position w:val="2"/>
              </w:rPr>
              <w:t>）</w:t>
            </w:r>
          </w:p>
        </w:tc>
      </w:tr>
      <w:tr>
        <w:trPr>
          <w:trHeight w:val="343" w:hRule="atLeast"/>
        </w:trPr>
        <w:tc>
          <w:tcPr>
            <w:tcW w:w="698" w:type="dxa"/>
            <w:vAlign w:val="top"/>
          </w:tcPr>
          <w:p>
            <w:pPr>
              <w:pStyle w:val="TableText"/>
              <w:ind w:left="266"/>
              <w:spacing w:before="102" w:line="195" w:lineRule="auto"/>
              <w:rPr/>
            </w:pPr>
            <w:r>
              <w:rPr>
                <w:spacing w:val="-8"/>
              </w:rPr>
              <w:t>15</w:t>
            </w:r>
          </w:p>
        </w:tc>
        <w:tc>
          <w:tcPr>
            <w:tcW w:w="4094" w:type="dxa"/>
            <w:vAlign w:val="top"/>
          </w:tcPr>
          <w:p>
            <w:pPr>
              <w:pStyle w:val="TableText"/>
              <w:ind w:left="786"/>
              <w:spacing w:before="64" w:line="221" w:lineRule="auto"/>
              <w:rPr>
                <w:rFonts w:ascii="SimSun" w:hAnsi="SimSun" w:eastAsia="SimSun" w:cs="SimSun"/>
              </w:rPr>
            </w:pPr>
            <w:r>
              <w:rPr>
                <w:rFonts w:ascii="SimSun" w:hAnsi="SimSun" w:eastAsia="SimSun" w:cs="SimSun"/>
                <w:spacing w:val="20"/>
              </w:rPr>
              <w:t>芸薹（</w:t>
            </w:r>
            <w:r>
              <w:rPr>
                <w:i/>
                <w:iCs/>
              </w:rPr>
              <w:t>Brassica</w:t>
            </w:r>
            <w:r>
              <w:rPr>
                <w:i/>
                <w:iCs/>
                <w:spacing w:val="20"/>
              </w:rPr>
              <w:t xml:space="preserve"> </w:t>
            </w:r>
            <w:r>
              <w:rPr>
                <w:i/>
                <w:iCs/>
              </w:rPr>
              <w:t>campestris</w:t>
            </w:r>
            <w:r>
              <w:rPr>
                <w:rFonts w:ascii="SimSun" w:hAnsi="SimSun" w:eastAsia="SimSun" w:cs="SimSun"/>
                <w:spacing w:val="20"/>
              </w:rPr>
              <w:t>）</w:t>
            </w:r>
          </w:p>
        </w:tc>
        <w:tc>
          <w:tcPr>
            <w:tcW w:w="499" w:type="dxa"/>
            <w:vAlign w:val="top"/>
          </w:tcPr>
          <w:p>
            <w:pPr>
              <w:pStyle w:val="TableText"/>
              <w:ind w:left="150"/>
              <w:spacing w:before="102" w:line="195" w:lineRule="auto"/>
              <w:rPr/>
            </w:pPr>
            <w:r>
              <w:rPr/>
              <w:t>37</w:t>
            </w:r>
          </w:p>
        </w:tc>
        <w:tc>
          <w:tcPr>
            <w:tcW w:w="3999" w:type="dxa"/>
            <w:vAlign w:val="top"/>
          </w:tcPr>
          <w:p>
            <w:pPr>
              <w:pStyle w:val="TableText"/>
              <w:ind w:left="589"/>
              <w:spacing w:before="29" w:line="278" w:lineRule="exact"/>
              <w:rPr>
                <w:rFonts w:ascii="SimSun" w:hAnsi="SimSun" w:eastAsia="SimSun" w:cs="SimSun"/>
              </w:rPr>
            </w:pPr>
            <w:r>
              <w:rPr>
                <w:rFonts w:ascii="SimSun" w:hAnsi="SimSun" w:eastAsia="SimSun" w:cs="SimSun"/>
                <w:spacing w:val="14"/>
                <w:position w:val="1"/>
              </w:rPr>
              <w:t>欧亚旋覆花（</w:t>
            </w:r>
            <w:r>
              <w:rPr>
                <w:i/>
                <w:iCs/>
                <w:position w:val="1"/>
              </w:rPr>
              <w:t>Inula</w:t>
            </w:r>
            <w:r>
              <w:rPr>
                <w:i/>
                <w:iCs/>
                <w:spacing w:val="14"/>
                <w:position w:val="1"/>
              </w:rPr>
              <w:t xml:space="preserve"> </w:t>
            </w:r>
            <w:r>
              <w:rPr>
                <w:i/>
                <w:iCs/>
                <w:position w:val="1"/>
              </w:rPr>
              <w:t>britannica</w:t>
            </w:r>
            <w:r>
              <w:rPr>
                <w:rFonts w:ascii="SimSun" w:hAnsi="SimSun" w:eastAsia="SimSun" w:cs="SimSun"/>
                <w:spacing w:val="14"/>
                <w:position w:val="1"/>
              </w:rPr>
              <w:t>）</w:t>
            </w:r>
          </w:p>
        </w:tc>
      </w:tr>
      <w:tr>
        <w:trPr>
          <w:trHeight w:val="345" w:hRule="atLeast"/>
        </w:trPr>
        <w:tc>
          <w:tcPr>
            <w:tcW w:w="698" w:type="dxa"/>
            <w:vAlign w:val="top"/>
          </w:tcPr>
          <w:p>
            <w:pPr>
              <w:pStyle w:val="TableText"/>
              <w:ind w:left="266"/>
              <w:spacing w:before="104" w:line="195" w:lineRule="auto"/>
              <w:rPr/>
            </w:pPr>
            <w:r>
              <w:rPr>
                <w:spacing w:val="-8"/>
              </w:rPr>
              <w:t>16</w:t>
            </w:r>
          </w:p>
        </w:tc>
        <w:tc>
          <w:tcPr>
            <w:tcW w:w="4094" w:type="dxa"/>
            <w:vAlign w:val="top"/>
          </w:tcPr>
          <w:p>
            <w:pPr>
              <w:pStyle w:val="TableText"/>
              <w:ind w:left="834"/>
              <w:spacing w:before="32" w:line="278" w:lineRule="exact"/>
              <w:rPr>
                <w:rFonts w:ascii="SimSun" w:hAnsi="SimSun" w:eastAsia="SimSun" w:cs="SimSun"/>
              </w:rPr>
            </w:pPr>
            <w:r>
              <w:rPr>
                <w:rFonts w:ascii="SimSun" w:hAnsi="SimSun" w:eastAsia="SimSun" w:cs="SimSun"/>
                <w:spacing w:val="15"/>
                <w:position w:val="2"/>
              </w:rPr>
              <w:t>紫苜蓿（</w:t>
            </w:r>
            <w:r>
              <w:rPr>
                <w:i/>
                <w:iCs/>
                <w:position w:val="2"/>
              </w:rPr>
              <w:t>Medicago</w:t>
            </w:r>
            <w:r>
              <w:rPr>
                <w:i/>
                <w:iCs/>
                <w:spacing w:val="15"/>
                <w:position w:val="2"/>
              </w:rPr>
              <w:t xml:space="preserve"> </w:t>
            </w:r>
            <w:r>
              <w:rPr>
                <w:i/>
                <w:iCs/>
                <w:position w:val="2"/>
              </w:rPr>
              <w:t>sativa</w:t>
            </w:r>
            <w:r>
              <w:rPr>
                <w:rFonts w:ascii="SimSun" w:hAnsi="SimSun" w:eastAsia="SimSun" w:cs="SimSun"/>
                <w:spacing w:val="15"/>
                <w:position w:val="2"/>
              </w:rPr>
              <w:t>）</w:t>
            </w:r>
          </w:p>
        </w:tc>
        <w:tc>
          <w:tcPr>
            <w:tcW w:w="499" w:type="dxa"/>
            <w:vAlign w:val="top"/>
          </w:tcPr>
          <w:p>
            <w:pPr>
              <w:pStyle w:val="TableText"/>
              <w:ind w:left="150"/>
              <w:spacing w:before="104" w:line="195" w:lineRule="auto"/>
              <w:rPr/>
            </w:pPr>
            <w:r>
              <w:rPr/>
              <w:t>38</w:t>
            </w:r>
          </w:p>
        </w:tc>
        <w:tc>
          <w:tcPr>
            <w:tcW w:w="3999" w:type="dxa"/>
            <w:vAlign w:val="top"/>
          </w:tcPr>
          <w:p>
            <w:pPr>
              <w:pStyle w:val="TableText"/>
              <w:ind w:left="754"/>
              <w:spacing w:before="32" w:line="278" w:lineRule="exact"/>
              <w:rPr>
                <w:rFonts w:ascii="SimSun" w:hAnsi="SimSun" w:eastAsia="SimSun" w:cs="SimSun"/>
              </w:rPr>
            </w:pPr>
            <w:r>
              <w:rPr>
                <w:rFonts w:ascii="SimSun" w:hAnsi="SimSun" w:eastAsia="SimSun" w:cs="SimSun"/>
                <w:spacing w:val="16"/>
                <w:position w:val="1"/>
              </w:rPr>
              <w:t>苣荬菜（</w:t>
            </w:r>
            <w:r>
              <w:rPr>
                <w:i/>
                <w:iCs/>
                <w:position w:val="1"/>
              </w:rPr>
              <w:t>Sonchus</w:t>
            </w:r>
            <w:r>
              <w:rPr>
                <w:i/>
                <w:iCs/>
                <w:spacing w:val="16"/>
                <w:position w:val="1"/>
              </w:rPr>
              <w:t xml:space="preserve"> </w:t>
            </w:r>
            <w:r>
              <w:rPr>
                <w:i/>
                <w:iCs/>
                <w:position w:val="1"/>
              </w:rPr>
              <w:t>arvensis</w:t>
            </w:r>
            <w:r>
              <w:rPr>
                <w:rFonts w:ascii="SimSun" w:hAnsi="SimSun" w:eastAsia="SimSun" w:cs="SimSun"/>
                <w:spacing w:val="16"/>
                <w:position w:val="1"/>
              </w:rPr>
              <w:t>）</w:t>
            </w:r>
          </w:p>
        </w:tc>
      </w:tr>
      <w:tr>
        <w:trPr>
          <w:trHeight w:val="345" w:hRule="atLeast"/>
        </w:trPr>
        <w:tc>
          <w:tcPr>
            <w:tcW w:w="698" w:type="dxa"/>
            <w:vAlign w:val="top"/>
          </w:tcPr>
          <w:p>
            <w:pPr>
              <w:pStyle w:val="TableText"/>
              <w:ind w:left="266"/>
              <w:spacing w:before="105" w:line="195" w:lineRule="auto"/>
              <w:rPr/>
            </w:pPr>
            <w:r>
              <w:rPr>
                <w:spacing w:val="-8"/>
              </w:rPr>
              <w:t>17</w:t>
            </w:r>
          </w:p>
        </w:tc>
        <w:tc>
          <w:tcPr>
            <w:tcW w:w="4094" w:type="dxa"/>
            <w:vAlign w:val="top"/>
          </w:tcPr>
          <w:p>
            <w:pPr>
              <w:pStyle w:val="TableText"/>
              <w:ind w:left="1028"/>
              <w:spacing w:before="32" w:line="278" w:lineRule="exact"/>
              <w:rPr>
                <w:rFonts w:ascii="SimSun" w:hAnsi="SimSun" w:eastAsia="SimSun" w:cs="SimSun"/>
              </w:rPr>
            </w:pPr>
            <w:r>
              <w:rPr>
                <w:rFonts w:ascii="SimSun" w:hAnsi="SimSun" w:eastAsia="SimSun" w:cs="SimSun"/>
                <w:spacing w:val="20"/>
                <w:position w:val="2"/>
              </w:rPr>
              <w:t>野燕麦（</w:t>
            </w:r>
            <w:r>
              <w:rPr>
                <w:i/>
                <w:iCs/>
                <w:position w:val="2"/>
              </w:rPr>
              <w:t>Avena</w:t>
            </w:r>
            <w:r>
              <w:rPr>
                <w:i/>
                <w:iCs/>
                <w:spacing w:val="-35"/>
                <w:position w:val="2"/>
              </w:rPr>
              <w:t xml:space="preserve"> </w:t>
            </w:r>
            <w:r>
              <w:rPr>
                <w:i/>
                <w:iCs/>
                <w:position w:val="2"/>
              </w:rPr>
              <w:t>fatua</w:t>
            </w:r>
            <w:r>
              <w:rPr>
                <w:rFonts w:ascii="SimSun" w:hAnsi="SimSun" w:eastAsia="SimSun" w:cs="SimSun"/>
                <w:spacing w:val="20"/>
                <w:position w:val="2"/>
              </w:rPr>
              <w:t>）</w:t>
            </w:r>
          </w:p>
        </w:tc>
        <w:tc>
          <w:tcPr>
            <w:tcW w:w="499" w:type="dxa"/>
            <w:vAlign w:val="top"/>
          </w:tcPr>
          <w:p>
            <w:pPr>
              <w:pStyle w:val="TableText"/>
              <w:ind w:left="150"/>
              <w:spacing w:before="105" w:line="195" w:lineRule="auto"/>
              <w:rPr/>
            </w:pPr>
            <w:r>
              <w:rPr/>
              <w:t>39</w:t>
            </w:r>
          </w:p>
        </w:tc>
        <w:tc>
          <w:tcPr>
            <w:tcW w:w="3999" w:type="dxa"/>
            <w:vAlign w:val="top"/>
          </w:tcPr>
          <w:p>
            <w:pPr>
              <w:pStyle w:val="TableText"/>
              <w:ind w:left="530"/>
              <w:spacing w:before="32" w:line="278" w:lineRule="exact"/>
              <w:rPr>
                <w:rFonts w:ascii="SimSun" w:hAnsi="SimSun" w:eastAsia="SimSun" w:cs="SimSun"/>
              </w:rPr>
            </w:pPr>
            <w:r>
              <w:rPr>
                <w:rFonts w:ascii="SimSun" w:hAnsi="SimSun" w:eastAsia="SimSun" w:cs="SimSun"/>
                <w:spacing w:val="13"/>
                <w:position w:val="2"/>
              </w:rPr>
              <w:t>二裂委陵菜（</w:t>
            </w:r>
            <w:r>
              <w:rPr>
                <w:i/>
                <w:iCs/>
                <w:position w:val="2"/>
              </w:rPr>
              <w:t>Potentilla</w:t>
            </w:r>
            <w:r>
              <w:rPr>
                <w:i/>
                <w:iCs/>
                <w:spacing w:val="13"/>
                <w:position w:val="2"/>
              </w:rPr>
              <w:t xml:space="preserve"> </w:t>
            </w:r>
            <w:r>
              <w:rPr>
                <w:i/>
                <w:iCs/>
                <w:position w:val="2"/>
              </w:rPr>
              <w:t>bifurca</w:t>
            </w:r>
            <w:r>
              <w:rPr>
                <w:rFonts w:ascii="SimSun" w:hAnsi="SimSun" w:eastAsia="SimSun" w:cs="SimSun"/>
                <w:spacing w:val="13"/>
                <w:position w:val="2"/>
              </w:rPr>
              <w:t>）</w:t>
            </w:r>
          </w:p>
        </w:tc>
      </w:tr>
      <w:tr>
        <w:trPr>
          <w:trHeight w:val="345" w:hRule="atLeast"/>
        </w:trPr>
        <w:tc>
          <w:tcPr>
            <w:tcW w:w="698" w:type="dxa"/>
            <w:vAlign w:val="top"/>
          </w:tcPr>
          <w:p>
            <w:pPr>
              <w:pStyle w:val="TableText"/>
              <w:ind w:left="266"/>
              <w:spacing w:before="103" w:line="195" w:lineRule="auto"/>
              <w:rPr/>
            </w:pPr>
            <w:r>
              <w:rPr>
                <w:spacing w:val="-8"/>
              </w:rPr>
              <w:t>18</w:t>
            </w:r>
          </w:p>
        </w:tc>
        <w:tc>
          <w:tcPr>
            <w:tcW w:w="4094" w:type="dxa"/>
            <w:vAlign w:val="top"/>
          </w:tcPr>
          <w:p>
            <w:pPr>
              <w:pStyle w:val="TableText"/>
              <w:ind w:left="511"/>
              <w:spacing w:before="33" w:line="277" w:lineRule="exact"/>
              <w:rPr>
                <w:rFonts w:ascii="SimSun" w:hAnsi="SimSun" w:eastAsia="SimSun" w:cs="SimSun"/>
              </w:rPr>
            </w:pPr>
            <w:r>
              <w:rPr>
                <w:rFonts w:ascii="SimSun" w:hAnsi="SimSun" w:eastAsia="SimSun" w:cs="SimSun"/>
                <w:spacing w:val="17"/>
                <w:position w:val="2"/>
              </w:rPr>
              <w:t>斜茎黄耆（</w:t>
            </w:r>
            <w:r>
              <w:rPr>
                <w:i/>
                <w:iCs/>
                <w:position w:val="2"/>
              </w:rPr>
              <w:t>Astragalus</w:t>
            </w:r>
            <w:r>
              <w:rPr>
                <w:i/>
                <w:iCs/>
                <w:spacing w:val="17"/>
                <w:position w:val="2"/>
              </w:rPr>
              <w:t xml:space="preserve"> </w:t>
            </w:r>
            <w:r>
              <w:rPr>
                <w:i/>
                <w:iCs/>
                <w:position w:val="2"/>
              </w:rPr>
              <w:t>adsurgens</w:t>
            </w:r>
            <w:r>
              <w:rPr>
                <w:rFonts w:ascii="SimSun" w:hAnsi="SimSun" w:eastAsia="SimSun" w:cs="SimSun"/>
                <w:spacing w:val="17"/>
                <w:position w:val="2"/>
              </w:rPr>
              <w:t>）</w:t>
            </w:r>
          </w:p>
        </w:tc>
        <w:tc>
          <w:tcPr>
            <w:tcW w:w="499" w:type="dxa"/>
            <w:vAlign w:val="top"/>
          </w:tcPr>
          <w:p>
            <w:pPr>
              <w:pStyle w:val="TableText"/>
              <w:ind w:left="145"/>
              <w:spacing w:before="103" w:line="195" w:lineRule="auto"/>
              <w:rPr/>
            </w:pPr>
            <w:r>
              <w:rPr>
                <w:spacing w:val="3"/>
              </w:rPr>
              <w:t>40</w:t>
            </w:r>
          </w:p>
        </w:tc>
        <w:tc>
          <w:tcPr>
            <w:tcW w:w="3999" w:type="dxa"/>
            <w:vAlign w:val="top"/>
          </w:tcPr>
          <w:p>
            <w:pPr>
              <w:pStyle w:val="TableText"/>
              <w:ind w:left="637"/>
              <w:spacing w:before="33" w:line="277" w:lineRule="exact"/>
              <w:rPr>
                <w:rFonts w:ascii="SimSun" w:hAnsi="SimSun" w:eastAsia="SimSun" w:cs="SimSun"/>
              </w:rPr>
            </w:pPr>
            <w:r>
              <w:rPr>
                <w:rFonts w:ascii="SimSun" w:hAnsi="SimSun" w:eastAsia="SimSun" w:cs="SimSun"/>
                <w:spacing w:val="25"/>
                <w:position w:val="2"/>
              </w:rPr>
              <w:t>草木犀（</w:t>
            </w:r>
            <w:r>
              <w:rPr>
                <w:i/>
                <w:iCs/>
                <w:position w:val="2"/>
              </w:rPr>
              <w:t>Melilotus</w:t>
            </w:r>
            <w:r>
              <w:rPr>
                <w:i/>
                <w:iCs/>
                <w:spacing w:val="25"/>
                <w:position w:val="2"/>
              </w:rPr>
              <w:t xml:space="preserve"> </w:t>
            </w:r>
            <w:r>
              <w:rPr>
                <w:i/>
                <w:iCs/>
                <w:position w:val="2"/>
              </w:rPr>
              <w:t>o</w:t>
            </w:r>
            <w:r>
              <w:rPr>
                <w:b/>
                <w:bCs/>
                <w:i/>
                <w:iCs/>
                <w:position w:val="2"/>
              </w:rPr>
              <w:t>f</w:t>
            </w:r>
            <w:r>
              <w:rPr>
                <w:i/>
                <w:iCs/>
                <w:position w:val="2"/>
              </w:rPr>
              <w:t>icinalis</w:t>
            </w:r>
            <w:r>
              <w:rPr>
                <w:rFonts w:ascii="SimSun" w:hAnsi="SimSun" w:eastAsia="SimSun" w:cs="SimSun"/>
                <w:spacing w:val="25"/>
                <w:position w:val="2"/>
              </w:rPr>
              <w:t>）</w:t>
            </w:r>
          </w:p>
        </w:tc>
      </w:tr>
      <w:tr>
        <w:trPr>
          <w:trHeight w:val="345" w:hRule="atLeast"/>
        </w:trPr>
        <w:tc>
          <w:tcPr>
            <w:tcW w:w="698" w:type="dxa"/>
            <w:vAlign w:val="top"/>
          </w:tcPr>
          <w:p>
            <w:pPr>
              <w:pStyle w:val="TableText"/>
              <w:ind w:left="266"/>
              <w:spacing w:before="103" w:line="195" w:lineRule="auto"/>
              <w:rPr/>
            </w:pPr>
            <w:r>
              <w:rPr>
                <w:spacing w:val="-8"/>
              </w:rPr>
              <w:t>19</w:t>
            </w:r>
          </w:p>
        </w:tc>
        <w:tc>
          <w:tcPr>
            <w:tcW w:w="4094" w:type="dxa"/>
            <w:vAlign w:val="top"/>
          </w:tcPr>
          <w:p>
            <w:pPr>
              <w:pStyle w:val="TableText"/>
              <w:ind w:left="615"/>
              <w:spacing w:before="67" w:line="228" w:lineRule="auto"/>
              <w:rPr>
                <w:rFonts w:ascii="SimSun" w:hAnsi="SimSun" w:eastAsia="SimSun" w:cs="SimSun"/>
              </w:rPr>
            </w:pPr>
            <w:r>
              <w:rPr>
                <w:rFonts w:ascii="SimSun" w:hAnsi="SimSun" w:eastAsia="SimSun" w:cs="SimSun"/>
                <w:spacing w:val="19"/>
              </w:rPr>
              <w:t>大籽蒿（</w:t>
            </w:r>
            <w:r>
              <w:rPr>
                <w:i/>
                <w:iCs/>
              </w:rPr>
              <w:t>Artemisia</w:t>
            </w:r>
            <w:r>
              <w:rPr>
                <w:i/>
                <w:iCs/>
                <w:spacing w:val="19"/>
              </w:rPr>
              <w:t xml:space="preserve"> </w:t>
            </w:r>
            <w:r>
              <w:rPr>
                <w:i/>
                <w:iCs/>
              </w:rPr>
              <w:t>sieversiana</w:t>
            </w:r>
            <w:r>
              <w:rPr>
                <w:rFonts w:ascii="SimSun" w:hAnsi="SimSun" w:eastAsia="SimSun" w:cs="SimSun"/>
                <w:spacing w:val="19"/>
              </w:rPr>
              <w:t>）</w:t>
            </w:r>
          </w:p>
        </w:tc>
        <w:tc>
          <w:tcPr>
            <w:tcW w:w="499" w:type="dxa"/>
            <w:vAlign w:val="top"/>
          </w:tcPr>
          <w:p>
            <w:pPr>
              <w:pStyle w:val="TableText"/>
              <w:ind w:left="145"/>
              <w:spacing w:before="103" w:line="195" w:lineRule="auto"/>
              <w:rPr/>
            </w:pPr>
            <w:r>
              <w:rPr>
                <w:spacing w:val="3"/>
              </w:rPr>
              <w:t>41</w:t>
            </w:r>
          </w:p>
        </w:tc>
        <w:tc>
          <w:tcPr>
            <w:tcW w:w="3999" w:type="dxa"/>
            <w:vAlign w:val="top"/>
          </w:tcPr>
          <w:p>
            <w:pPr>
              <w:pStyle w:val="TableText"/>
              <w:ind w:left="464"/>
              <w:spacing w:before="33" w:line="278" w:lineRule="exact"/>
              <w:rPr>
                <w:rFonts w:ascii="SimSun" w:hAnsi="SimSun" w:eastAsia="SimSun" w:cs="SimSun"/>
              </w:rPr>
            </w:pPr>
            <w:r>
              <w:rPr>
                <w:rFonts w:ascii="SimSun" w:hAnsi="SimSun" w:eastAsia="SimSun" w:cs="SimSun"/>
                <w:spacing w:val="18"/>
                <w:position w:val="2"/>
              </w:rPr>
              <w:t>蒲公英（</w:t>
            </w:r>
            <w:r>
              <w:rPr>
                <w:i/>
                <w:iCs/>
                <w:position w:val="2"/>
              </w:rPr>
              <w:t>Taraxacum</w:t>
            </w:r>
            <w:r>
              <w:rPr>
                <w:i/>
                <w:iCs/>
                <w:spacing w:val="18"/>
                <w:position w:val="2"/>
              </w:rPr>
              <w:t xml:space="preserve"> </w:t>
            </w:r>
            <w:r>
              <w:rPr>
                <w:i/>
                <w:iCs/>
                <w:position w:val="2"/>
              </w:rPr>
              <w:t>mongolicum</w:t>
            </w:r>
            <w:r>
              <w:rPr>
                <w:rFonts w:ascii="SimSun" w:hAnsi="SimSun" w:eastAsia="SimSun" w:cs="SimSun"/>
                <w:spacing w:val="18"/>
                <w:position w:val="2"/>
              </w:rPr>
              <w:t>）</w:t>
            </w:r>
          </w:p>
        </w:tc>
      </w:tr>
      <w:tr>
        <w:trPr>
          <w:trHeight w:val="345" w:hRule="atLeast"/>
        </w:trPr>
        <w:tc>
          <w:tcPr>
            <w:tcW w:w="698" w:type="dxa"/>
            <w:vAlign w:val="top"/>
          </w:tcPr>
          <w:p>
            <w:pPr>
              <w:pStyle w:val="TableText"/>
              <w:ind w:left="246"/>
              <w:spacing w:before="104" w:line="195" w:lineRule="auto"/>
              <w:rPr/>
            </w:pPr>
            <w:r>
              <w:rPr>
                <w:spacing w:val="2"/>
              </w:rPr>
              <w:t>20</w:t>
            </w:r>
          </w:p>
        </w:tc>
        <w:tc>
          <w:tcPr>
            <w:tcW w:w="4094" w:type="dxa"/>
            <w:vAlign w:val="top"/>
          </w:tcPr>
          <w:p>
            <w:pPr>
              <w:pStyle w:val="TableText"/>
              <w:ind w:left="932"/>
              <w:spacing w:before="33" w:line="278" w:lineRule="exact"/>
              <w:rPr>
                <w:rFonts w:ascii="SimSun" w:hAnsi="SimSun" w:eastAsia="SimSun" w:cs="SimSun"/>
              </w:rPr>
            </w:pPr>
            <w:r>
              <w:rPr>
                <w:rFonts w:ascii="SimSun" w:hAnsi="SimSun" w:eastAsia="SimSun" w:cs="SimSun"/>
                <w:spacing w:val="18"/>
                <w:position w:val="2"/>
              </w:rPr>
              <w:t>地肤（</w:t>
            </w:r>
            <w:r>
              <w:rPr>
                <w:i/>
                <w:iCs/>
                <w:position w:val="2"/>
              </w:rPr>
              <w:t>Kochia</w:t>
            </w:r>
            <w:r>
              <w:rPr>
                <w:i/>
                <w:iCs/>
                <w:spacing w:val="18"/>
                <w:position w:val="2"/>
              </w:rPr>
              <w:t xml:space="preserve"> </w:t>
            </w:r>
            <w:r>
              <w:rPr>
                <w:i/>
                <w:iCs/>
                <w:position w:val="2"/>
              </w:rPr>
              <w:t>scoparia</w:t>
            </w:r>
            <w:r>
              <w:rPr>
                <w:rFonts w:ascii="SimSun" w:hAnsi="SimSun" w:eastAsia="SimSun" w:cs="SimSun"/>
                <w:spacing w:val="18"/>
                <w:position w:val="2"/>
              </w:rPr>
              <w:t>）</w:t>
            </w:r>
          </w:p>
        </w:tc>
        <w:tc>
          <w:tcPr>
            <w:tcW w:w="499" w:type="dxa"/>
            <w:vAlign w:val="top"/>
          </w:tcPr>
          <w:p>
            <w:pPr>
              <w:pStyle w:val="TableText"/>
              <w:ind w:left="145"/>
              <w:spacing w:before="104" w:line="195" w:lineRule="auto"/>
              <w:rPr/>
            </w:pPr>
            <w:r>
              <w:rPr>
                <w:spacing w:val="3"/>
              </w:rPr>
              <w:t>42</w:t>
            </w:r>
          </w:p>
        </w:tc>
        <w:tc>
          <w:tcPr>
            <w:tcW w:w="3999" w:type="dxa"/>
            <w:vAlign w:val="top"/>
          </w:tcPr>
          <w:p>
            <w:pPr>
              <w:pStyle w:val="TableText"/>
              <w:ind w:left="238"/>
              <w:spacing w:before="33" w:line="278" w:lineRule="exact"/>
              <w:rPr>
                <w:rFonts w:ascii="SimSun" w:hAnsi="SimSun" w:eastAsia="SimSun" w:cs="SimSun"/>
              </w:rPr>
            </w:pPr>
            <w:r>
              <w:rPr>
                <w:rFonts w:ascii="SimSun" w:hAnsi="SimSun" w:eastAsia="SimSun" w:cs="SimSun"/>
                <w:spacing w:val="21"/>
                <w:position w:val="2"/>
              </w:rPr>
              <w:t>尖头叶藜（</w:t>
            </w:r>
            <w:r>
              <w:rPr>
                <w:i/>
                <w:iCs/>
                <w:position w:val="2"/>
              </w:rPr>
              <w:t>Chenopodium</w:t>
            </w:r>
            <w:r>
              <w:rPr>
                <w:i/>
                <w:iCs/>
                <w:spacing w:val="21"/>
                <w:position w:val="2"/>
              </w:rPr>
              <w:t xml:space="preserve"> </w:t>
            </w:r>
            <w:r>
              <w:rPr>
                <w:i/>
                <w:iCs/>
                <w:position w:val="2"/>
              </w:rPr>
              <w:t>acuminatum</w:t>
            </w:r>
            <w:r>
              <w:rPr>
                <w:rFonts w:ascii="SimSun" w:hAnsi="SimSun" w:eastAsia="SimSun" w:cs="SimSun"/>
                <w:spacing w:val="21"/>
                <w:position w:val="2"/>
              </w:rPr>
              <w:t>）</w:t>
            </w:r>
          </w:p>
        </w:tc>
      </w:tr>
      <w:tr>
        <w:trPr>
          <w:trHeight w:val="348" w:hRule="atLeast"/>
        </w:trPr>
        <w:tc>
          <w:tcPr>
            <w:tcW w:w="698" w:type="dxa"/>
            <w:vAlign w:val="top"/>
          </w:tcPr>
          <w:p>
            <w:pPr>
              <w:pStyle w:val="TableText"/>
              <w:ind w:left="246"/>
              <w:spacing w:before="104" w:line="195" w:lineRule="auto"/>
              <w:rPr/>
            </w:pPr>
            <w:r>
              <w:rPr>
                <w:spacing w:val="2"/>
              </w:rPr>
              <w:t>21</w:t>
            </w:r>
          </w:p>
        </w:tc>
        <w:tc>
          <w:tcPr>
            <w:tcW w:w="4094" w:type="dxa"/>
            <w:vAlign w:val="top"/>
          </w:tcPr>
          <w:p>
            <w:pPr>
              <w:pStyle w:val="TableText"/>
              <w:ind w:left="771"/>
              <w:spacing w:before="31" w:line="278" w:lineRule="exact"/>
              <w:rPr>
                <w:rFonts w:ascii="SimSun" w:hAnsi="SimSun" w:eastAsia="SimSun" w:cs="SimSun"/>
              </w:rPr>
            </w:pPr>
            <w:r>
              <w:rPr>
                <w:rFonts w:ascii="SimSun" w:hAnsi="SimSun" w:eastAsia="SimSun" w:cs="SimSun"/>
                <w:spacing w:val="17"/>
                <w:position w:val="2"/>
              </w:rPr>
              <w:t>披碱草（</w:t>
            </w:r>
            <w:r>
              <w:rPr>
                <w:i/>
                <w:iCs/>
                <w:position w:val="2"/>
              </w:rPr>
              <w:t>Elymus</w:t>
            </w:r>
            <w:r>
              <w:rPr>
                <w:i/>
                <w:iCs/>
                <w:spacing w:val="17"/>
                <w:position w:val="2"/>
              </w:rPr>
              <w:t xml:space="preserve"> </w:t>
            </w:r>
            <w:r>
              <w:rPr>
                <w:i/>
                <w:iCs/>
                <w:position w:val="2"/>
              </w:rPr>
              <w:t>dahuricus</w:t>
            </w:r>
            <w:r>
              <w:rPr>
                <w:rFonts w:ascii="SimSun" w:hAnsi="SimSun" w:eastAsia="SimSun" w:cs="SimSun"/>
                <w:spacing w:val="17"/>
                <w:position w:val="2"/>
              </w:rPr>
              <w:t>）</w:t>
            </w:r>
          </w:p>
        </w:tc>
        <w:tc>
          <w:tcPr>
            <w:tcW w:w="499" w:type="dxa"/>
            <w:vAlign w:val="top"/>
          </w:tcPr>
          <w:p>
            <w:pPr>
              <w:pStyle w:val="TableText"/>
              <w:ind w:left="145"/>
              <w:spacing w:before="104" w:line="195" w:lineRule="auto"/>
              <w:rPr/>
            </w:pPr>
            <w:r>
              <w:rPr>
                <w:spacing w:val="3"/>
              </w:rPr>
              <w:t>43</w:t>
            </w:r>
          </w:p>
        </w:tc>
        <w:tc>
          <w:tcPr>
            <w:tcW w:w="3999" w:type="dxa"/>
            <w:vAlign w:val="top"/>
          </w:tcPr>
          <w:p>
            <w:pPr>
              <w:pStyle w:val="TableText"/>
              <w:ind w:left="631"/>
              <w:spacing w:before="31" w:line="278" w:lineRule="exact"/>
              <w:rPr>
                <w:rFonts w:ascii="SimSun" w:hAnsi="SimSun" w:eastAsia="SimSun" w:cs="SimSun"/>
              </w:rPr>
            </w:pPr>
            <w:r>
              <w:rPr>
                <w:rFonts w:ascii="SimSun" w:hAnsi="SimSun" w:eastAsia="SimSun" w:cs="SimSun"/>
                <w:spacing w:val="19"/>
                <w:position w:val="2"/>
              </w:rPr>
              <w:t>花苜蓿（</w:t>
            </w:r>
            <w:r>
              <w:rPr>
                <w:i/>
                <w:iCs/>
                <w:position w:val="2"/>
              </w:rPr>
              <w:t>Medicago</w:t>
            </w:r>
            <w:r>
              <w:rPr>
                <w:i/>
                <w:iCs/>
                <w:spacing w:val="19"/>
                <w:position w:val="2"/>
              </w:rPr>
              <w:t xml:space="preserve"> </w:t>
            </w:r>
            <w:r>
              <w:rPr>
                <w:i/>
                <w:iCs/>
                <w:position w:val="2"/>
              </w:rPr>
              <w:t>ruthenica</w:t>
            </w:r>
            <w:r>
              <w:rPr>
                <w:rFonts w:ascii="SimSun" w:hAnsi="SimSun" w:eastAsia="SimSun" w:cs="SimSun"/>
                <w:spacing w:val="19"/>
                <w:position w:val="2"/>
              </w:rPr>
              <w:t>）</w:t>
            </w:r>
          </w:p>
        </w:tc>
      </w:tr>
    </w:tbl>
    <w:p>
      <w:pPr>
        <w:pStyle w:val="BodyText"/>
        <w:rPr/>
      </w:pPr>
      <w:r/>
    </w:p>
    <w:p>
      <w:pPr>
        <w:sectPr>
          <w:headerReference w:type="default" r:id="rId272"/>
          <w:footerReference w:type="default" r:id="rId273"/>
          <w:pgSz w:w="11906" w:h="16838"/>
          <w:pgMar w:top="1170" w:right="1212" w:bottom="1080" w:left="1305" w:header="837" w:footer="918"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98"/>
        <w:gridCol w:w="4094"/>
        <w:gridCol w:w="499"/>
        <w:gridCol w:w="3999"/>
      </w:tblGrid>
      <w:tr>
        <w:trPr>
          <w:trHeight w:val="350" w:hRule="atLeast"/>
        </w:trPr>
        <w:tc>
          <w:tcPr>
            <w:tcW w:w="698" w:type="dxa"/>
            <w:vAlign w:val="top"/>
          </w:tcPr>
          <w:p>
            <w:pPr>
              <w:pStyle w:val="TableText"/>
              <w:ind w:left="246"/>
              <w:spacing w:before="105" w:line="195" w:lineRule="auto"/>
              <w:rPr/>
            </w:pPr>
            <w:r>
              <w:rPr>
                <w:spacing w:val="2"/>
              </w:rPr>
              <w:t>22</w:t>
            </w:r>
          </w:p>
        </w:tc>
        <w:tc>
          <w:tcPr>
            <w:tcW w:w="4094" w:type="dxa"/>
            <w:vAlign w:val="top"/>
          </w:tcPr>
          <w:p>
            <w:pPr>
              <w:pStyle w:val="TableText"/>
              <w:ind w:left="735"/>
              <w:spacing w:before="33" w:line="277" w:lineRule="exact"/>
              <w:rPr>
                <w:rFonts w:ascii="SimSun" w:hAnsi="SimSun" w:eastAsia="SimSun" w:cs="SimSun"/>
              </w:rPr>
            </w:pPr>
            <w:r>
              <w:rPr>
                <w:rFonts w:ascii="SimSun" w:hAnsi="SimSun" w:eastAsia="SimSun" w:cs="SimSun"/>
                <w:spacing w:val="20"/>
                <w:position w:val="2"/>
              </w:rPr>
              <w:t>萹蓄（</w:t>
            </w:r>
            <w:r>
              <w:rPr>
                <w:i/>
                <w:iCs/>
                <w:position w:val="2"/>
              </w:rPr>
              <w:t>Polygonum</w:t>
            </w:r>
            <w:r>
              <w:rPr>
                <w:i/>
                <w:iCs/>
                <w:spacing w:val="20"/>
                <w:position w:val="2"/>
              </w:rPr>
              <w:t xml:space="preserve"> </w:t>
            </w:r>
            <w:r>
              <w:rPr>
                <w:i/>
                <w:iCs/>
                <w:position w:val="2"/>
              </w:rPr>
              <w:t>aviculare</w:t>
            </w:r>
            <w:r>
              <w:rPr>
                <w:rFonts w:ascii="SimSun" w:hAnsi="SimSun" w:eastAsia="SimSun" w:cs="SimSun"/>
                <w:spacing w:val="20"/>
                <w:position w:val="2"/>
              </w:rPr>
              <w:t>）</w:t>
            </w:r>
          </w:p>
        </w:tc>
        <w:tc>
          <w:tcPr>
            <w:tcW w:w="499" w:type="dxa"/>
            <w:vAlign w:val="top"/>
          </w:tcPr>
          <w:p>
            <w:pPr>
              <w:pStyle w:val="TableText"/>
              <w:ind w:left="145"/>
              <w:spacing w:before="105" w:line="195" w:lineRule="auto"/>
              <w:rPr/>
            </w:pPr>
            <w:r>
              <w:rPr>
                <w:spacing w:val="3"/>
              </w:rPr>
              <w:t>44</w:t>
            </w:r>
          </w:p>
        </w:tc>
        <w:tc>
          <w:tcPr>
            <w:tcW w:w="3999" w:type="dxa"/>
            <w:vAlign w:val="top"/>
          </w:tcPr>
          <w:p>
            <w:pPr>
              <w:pStyle w:val="TableText"/>
              <w:ind w:left="606"/>
              <w:spacing w:before="33" w:line="277" w:lineRule="exact"/>
              <w:rPr>
                <w:rFonts w:ascii="SimSun" w:hAnsi="SimSun" w:eastAsia="SimSun" w:cs="SimSun"/>
              </w:rPr>
            </w:pPr>
            <w:r>
              <w:rPr>
                <w:rFonts w:ascii="SimSun" w:hAnsi="SimSun" w:eastAsia="SimSun" w:cs="SimSun"/>
                <w:spacing w:val="31"/>
                <w:position w:val="2"/>
              </w:rPr>
              <w:t>地榆（</w:t>
            </w:r>
            <w:r>
              <w:rPr>
                <w:i/>
                <w:iCs/>
                <w:position w:val="2"/>
              </w:rPr>
              <w:t>Sanguisorba</w:t>
            </w:r>
            <w:r>
              <w:rPr>
                <w:i/>
                <w:iCs/>
                <w:spacing w:val="31"/>
                <w:position w:val="2"/>
              </w:rPr>
              <w:t xml:space="preserve"> </w:t>
            </w:r>
            <w:r>
              <w:rPr>
                <w:i/>
                <w:iCs/>
                <w:position w:val="2"/>
              </w:rPr>
              <w:t>o</w:t>
            </w:r>
            <w:r>
              <w:rPr>
                <w:b/>
                <w:bCs/>
                <w:i/>
                <w:iCs/>
                <w:position w:val="2"/>
              </w:rPr>
              <w:t>f</w:t>
            </w:r>
            <w:r>
              <w:rPr>
                <w:i/>
                <w:iCs/>
                <w:position w:val="2"/>
              </w:rPr>
              <w:t>icinalis</w:t>
            </w:r>
            <w:r>
              <w:rPr>
                <w:rFonts w:ascii="SimSun" w:hAnsi="SimSun" w:eastAsia="SimSun" w:cs="SimSun"/>
                <w:spacing w:val="31"/>
                <w:position w:val="2"/>
              </w:rPr>
              <w:t>）</w:t>
            </w:r>
          </w:p>
        </w:tc>
      </w:tr>
    </w:tbl>
    <w:p>
      <w:pPr>
        <w:pStyle w:val="BodyText"/>
        <w:spacing w:line="339" w:lineRule="auto"/>
        <w:rPr/>
      </w:pPr>
      <w:r/>
    </w:p>
    <w:p>
      <w:pPr>
        <w:ind w:left="120" w:right="124" w:firstLine="480"/>
        <w:spacing w:before="78" w:line="339" w:lineRule="auto"/>
        <w:rPr>
          <w:rFonts w:ascii="SimSun" w:hAnsi="SimSun" w:eastAsia="SimSun" w:cs="SimSun"/>
          <w:sz w:val="24"/>
          <w:szCs w:val="24"/>
        </w:rPr>
      </w:pPr>
      <w:r>
        <w:rPr>
          <w:rFonts w:ascii="SimSun" w:hAnsi="SimSun" w:eastAsia="SimSun" w:cs="SimSun"/>
          <w:sz w:val="24"/>
          <w:szCs w:val="24"/>
          <w:spacing w:val="1"/>
        </w:rPr>
        <w:t>调查区域有植物</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44 </w:t>
      </w:r>
      <w:r>
        <w:rPr>
          <w:rFonts w:ascii="SimSun" w:hAnsi="SimSun" w:eastAsia="SimSun" w:cs="SimSun"/>
          <w:sz w:val="24"/>
          <w:szCs w:val="24"/>
          <w:spacing w:val="1"/>
        </w:rPr>
        <w:t>种，主要物种以抗寒抗旱为主，体现了该地区干旱、寒冷，环</w:t>
      </w:r>
      <w:r>
        <w:rPr>
          <w:rFonts w:ascii="SimSun" w:hAnsi="SimSun" w:eastAsia="SimSun" w:cs="SimSun"/>
          <w:sz w:val="24"/>
          <w:szCs w:val="24"/>
          <w:spacing w:val="-1"/>
        </w:rPr>
        <w:t>境恶劣，生境脆弱的特点。</w:t>
      </w:r>
    </w:p>
    <w:p>
      <w:pPr>
        <w:ind w:left="594"/>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植被样方调查</w:t>
      </w:r>
    </w:p>
    <w:p>
      <w:pPr>
        <w:ind w:left="599"/>
        <w:spacing w:before="153" w:line="219" w:lineRule="auto"/>
        <w:rPr>
          <w:rFonts w:ascii="SimSun" w:hAnsi="SimSun" w:eastAsia="SimSun" w:cs="SimSun"/>
          <w:sz w:val="24"/>
          <w:szCs w:val="24"/>
        </w:rPr>
      </w:pPr>
      <w:r>
        <w:rPr>
          <w:rFonts w:ascii="SimSun" w:hAnsi="SimSun" w:eastAsia="SimSun" w:cs="SimSun"/>
          <w:sz w:val="24"/>
          <w:szCs w:val="24"/>
          <w:spacing w:val="-2"/>
        </w:rPr>
        <w:t>布点原则：</w:t>
      </w:r>
    </w:p>
    <w:p>
      <w:pPr>
        <w:ind w:left="606"/>
        <w:spacing w:before="155"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）布点范围</w:t>
      </w:r>
      <w:r>
        <w:rPr>
          <w:rFonts w:ascii="Times New Roman" w:hAnsi="Times New Roman" w:eastAsia="Times New Roman" w:cs="Times New Roman"/>
          <w:sz w:val="24"/>
          <w:szCs w:val="24"/>
          <w:spacing w:val="-1"/>
        </w:rPr>
        <w:t>——</w:t>
      </w:r>
      <w:r>
        <w:rPr>
          <w:rFonts w:ascii="SimSun" w:hAnsi="SimSun" w:eastAsia="SimSun" w:cs="SimSun"/>
          <w:sz w:val="24"/>
          <w:szCs w:val="24"/>
          <w:spacing w:val="-1"/>
        </w:rPr>
        <w:t>样方点位均位于矿区及</w:t>
      </w:r>
      <w:r>
        <w:rPr>
          <w:rFonts w:ascii="SimSun" w:hAnsi="SimSun" w:eastAsia="SimSun" w:cs="SimSun"/>
          <w:sz w:val="24"/>
          <w:szCs w:val="24"/>
          <w:spacing w:val="-2"/>
        </w:rPr>
        <w:t>其周围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1km </w:t>
      </w:r>
      <w:r>
        <w:rPr>
          <w:rFonts w:ascii="SimSun" w:hAnsi="SimSun" w:eastAsia="SimSun" w:cs="SimSun"/>
          <w:sz w:val="24"/>
          <w:szCs w:val="24"/>
          <w:spacing w:val="-2"/>
        </w:rPr>
        <w:t>评价范围内。</w:t>
      </w:r>
    </w:p>
    <w:p>
      <w:pPr>
        <w:ind w:left="120" w:right="46" w:firstLine="485"/>
        <w:spacing w:before="157" w:line="27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）随机布点</w:t>
      </w:r>
      <w:r>
        <w:rPr>
          <w:rFonts w:ascii="Times New Roman" w:hAnsi="Times New Roman" w:eastAsia="Times New Roman" w:cs="Times New Roman"/>
          <w:sz w:val="24"/>
          <w:szCs w:val="24"/>
          <w:spacing w:val="-3"/>
        </w:rPr>
        <w:t>——</w:t>
      </w:r>
      <w:r>
        <w:rPr>
          <w:rFonts w:ascii="SimSun" w:hAnsi="SimSun" w:eastAsia="SimSun" w:cs="SimSun"/>
          <w:sz w:val="24"/>
          <w:szCs w:val="24"/>
          <w:spacing w:val="-3"/>
        </w:rPr>
        <w:t>采用随机选取方法，随机选取具有代表性的样</w:t>
      </w:r>
      <w:r>
        <w:rPr>
          <w:rFonts w:ascii="SimSun" w:hAnsi="SimSun" w:eastAsia="SimSun" w:cs="SimSun"/>
          <w:sz w:val="24"/>
          <w:szCs w:val="24"/>
          <w:spacing w:val="-4"/>
        </w:rPr>
        <w:t>方点位进行调查，</w:t>
      </w:r>
      <w:r>
        <w:rPr>
          <w:rFonts w:ascii="SimSun" w:hAnsi="SimSun" w:eastAsia="SimSun" w:cs="SimSun"/>
          <w:sz w:val="24"/>
          <w:szCs w:val="24"/>
          <w:spacing w:val="-2"/>
        </w:rPr>
        <w:t>保证样方具有代表性。</w:t>
      </w:r>
    </w:p>
    <w:p>
      <w:pPr>
        <w:ind w:left="125" w:right="124" w:firstLine="480"/>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）均匀分布</w:t>
      </w:r>
      <w:r>
        <w:rPr>
          <w:rFonts w:ascii="Times New Roman" w:hAnsi="Times New Roman" w:eastAsia="Times New Roman" w:cs="Times New Roman"/>
          <w:sz w:val="24"/>
          <w:szCs w:val="24"/>
          <w:spacing w:val="1"/>
        </w:rPr>
        <w:t>——</w:t>
      </w:r>
      <w:r>
        <w:rPr>
          <w:rFonts w:ascii="SimSun" w:hAnsi="SimSun" w:eastAsia="SimSun" w:cs="SimSun"/>
          <w:sz w:val="24"/>
          <w:szCs w:val="24"/>
          <w:spacing w:val="1"/>
        </w:rPr>
        <w:t>设置样方点位时，使样方尽量均匀分布于矿区及矿区周围评价</w:t>
      </w:r>
      <w:r>
        <w:rPr>
          <w:rFonts w:ascii="SimSun" w:hAnsi="SimSun" w:eastAsia="SimSun" w:cs="SimSun"/>
          <w:sz w:val="24"/>
          <w:szCs w:val="24"/>
          <w:spacing w:val="-4"/>
        </w:rPr>
        <w:t>范围内。</w:t>
      </w:r>
    </w:p>
    <w:p>
      <w:pPr>
        <w:ind w:left="118" w:right="122" w:firstLine="487"/>
        <w:spacing w:before="154" w:line="27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w:t>
      </w:r>
      <w:r>
        <w:rPr>
          <w:rFonts w:ascii="SimSun" w:hAnsi="SimSun" w:eastAsia="SimSun" w:cs="SimSun"/>
          <w:sz w:val="24"/>
          <w:szCs w:val="24"/>
          <w:spacing w:val="-71"/>
        </w:rPr>
        <w:t xml:space="preserve"> </w:t>
      </w:r>
      <w:r>
        <w:rPr>
          <w:rFonts w:ascii="SimSun" w:hAnsi="SimSun" w:eastAsia="SimSun" w:cs="SimSun"/>
          <w:sz w:val="24"/>
          <w:szCs w:val="24"/>
        </w:rPr>
        <w:t>自然性</w:t>
      </w:r>
      <w:r>
        <w:rPr>
          <w:rFonts w:ascii="Times New Roman" w:hAnsi="Times New Roman" w:eastAsia="Times New Roman" w:cs="Times New Roman"/>
          <w:sz w:val="24"/>
          <w:szCs w:val="24"/>
        </w:rPr>
        <w:t>——</w:t>
      </w:r>
      <w:r>
        <w:rPr>
          <w:rFonts w:ascii="SimSun" w:hAnsi="SimSun" w:eastAsia="SimSun" w:cs="SimSun"/>
          <w:sz w:val="24"/>
          <w:szCs w:val="24"/>
        </w:rPr>
        <w:t>为保证样点生物量的真实性，尽量选取未受到人为干扰</w:t>
      </w:r>
      <w:r>
        <w:rPr>
          <w:rFonts w:ascii="SimSun" w:hAnsi="SimSun" w:eastAsia="SimSun" w:cs="SimSun"/>
          <w:sz w:val="24"/>
          <w:szCs w:val="24"/>
          <w:spacing w:val="-1"/>
        </w:rPr>
        <w:t>区域作为</w:t>
      </w:r>
      <w:r>
        <w:rPr>
          <w:rFonts w:ascii="SimSun" w:hAnsi="SimSun" w:eastAsia="SimSun" w:cs="SimSun"/>
          <w:sz w:val="24"/>
          <w:szCs w:val="24"/>
          <w:spacing w:val="-3"/>
        </w:rPr>
        <w:t>采样点。</w:t>
      </w:r>
    </w:p>
    <w:p>
      <w:pPr>
        <w:ind w:left="118" w:right="112" w:firstLine="487"/>
        <w:spacing w:before="159" w:line="29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）植被类型全面性</w:t>
      </w:r>
      <w:r>
        <w:rPr>
          <w:rFonts w:ascii="Times New Roman" w:hAnsi="Times New Roman" w:eastAsia="Times New Roman" w:cs="Times New Roman"/>
          <w:sz w:val="24"/>
          <w:szCs w:val="24"/>
          <w:spacing w:val="1"/>
        </w:rPr>
        <w:t>——</w:t>
      </w:r>
      <w:r>
        <w:rPr>
          <w:rFonts w:ascii="SimSun" w:hAnsi="SimSun" w:eastAsia="SimSun" w:cs="SimSun"/>
          <w:sz w:val="24"/>
          <w:szCs w:val="24"/>
          <w:spacing w:val="1"/>
        </w:rPr>
        <w:t>根据遥感监测结果以及现场调研情况，矿区及矿区周围</w:t>
      </w:r>
      <w:r>
        <w:rPr>
          <w:rFonts w:ascii="SimSun" w:hAnsi="SimSun" w:eastAsia="SimSun" w:cs="SimSun"/>
          <w:sz w:val="24"/>
          <w:szCs w:val="24"/>
          <w:spacing w:val="-2"/>
        </w:rPr>
        <w:t>评价范围内主要植被类型为草地。参照《陆地生态系统生物观测规范》，草本群落样方</w:t>
      </w:r>
      <w:r>
        <w:rPr>
          <w:rFonts w:ascii="SimSun" w:hAnsi="SimSun" w:eastAsia="SimSun" w:cs="SimSun"/>
          <w:sz w:val="24"/>
          <w:szCs w:val="24"/>
          <w:spacing w:val="-4"/>
        </w:rPr>
        <w:t>取样面积为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4"/>
        </w:rPr>
        <w:t>1m×1m</w:t>
      </w:r>
      <w:r>
        <w:rPr>
          <w:rFonts w:ascii="SimSun" w:hAnsi="SimSun" w:eastAsia="SimSun" w:cs="SimSun"/>
          <w:sz w:val="24"/>
          <w:szCs w:val="24"/>
          <w:spacing w:val="-4"/>
        </w:rPr>
        <w:t>。</w:t>
      </w:r>
    </w:p>
    <w:p>
      <w:pPr>
        <w:ind w:left="118" w:right="112" w:firstLine="481"/>
        <w:spacing w:before="156" w:line="339" w:lineRule="auto"/>
        <w:jc w:val="both"/>
        <w:rPr>
          <w:rFonts w:ascii="SimSun" w:hAnsi="SimSun" w:eastAsia="SimSun" w:cs="SimSun"/>
          <w:sz w:val="24"/>
          <w:szCs w:val="24"/>
        </w:rPr>
      </w:pPr>
      <w:r>
        <w:rPr>
          <w:rFonts w:ascii="SimSun" w:hAnsi="SimSun" w:eastAsia="SimSun" w:cs="SimSun"/>
          <w:sz w:val="24"/>
          <w:szCs w:val="24"/>
          <w:spacing w:val="-3"/>
        </w:rPr>
        <w:t>本次环评于</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3"/>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27  </w:t>
      </w:r>
      <w:r>
        <w:rPr>
          <w:rFonts w:ascii="SimSun" w:hAnsi="SimSun" w:eastAsia="SimSun" w:cs="SimSun"/>
          <w:sz w:val="24"/>
          <w:szCs w:val="24"/>
          <w:spacing w:val="-3"/>
        </w:rPr>
        <w:t>日和</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4"/>
        </w:rPr>
        <w:t>28  </w:t>
      </w:r>
      <w:r>
        <w:rPr>
          <w:rFonts w:ascii="SimSun" w:hAnsi="SimSun" w:eastAsia="SimSun" w:cs="SimSun"/>
          <w:sz w:val="24"/>
          <w:szCs w:val="24"/>
          <w:spacing w:val="-4"/>
        </w:rPr>
        <w:t>日对矿区内的生态植被进行了现场样方调</w:t>
      </w:r>
      <w:r>
        <w:rPr>
          <w:rFonts w:ascii="SimSun" w:hAnsi="SimSun" w:eastAsia="SimSun" w:cs="SimSun"/>
          <w:sz w:val="24"/>
          <w:szCs w:val="24"/>
        </w:rPr>
        <w:t>查，主要包括的植被类型为草地。针对评价区内环境特点，共设置生态样方共 </w:t>
      </w:r>
      <w:r>
        <w:rPr>
          <w:rFonts w:ascii="Times New Roman" w:hAnsi="Times New Roman" w:eastAsia="Times New Roman" w:cs="Times New Roman"/>
          <w:sz w:val="24"/>
          <w:szCs w:val="24"/>
        </w:rPr>
        <w:t>15 </w:t>
      </w:r>
      <w:r>
        <w:rPr>
          <w:rFonts w:ascii="SimSun" w:hAnsi="SimSun" w:eastAsia="SimSun" w:cs="SimSun"/>
          <w:sz w:val="24"/>
          <w:szCs w:val="24"/>
        </w:rPr>
        <w:t>个，</w:t>
      </w:r>
      <w:r>
        <w:rPr>
          <w:rFonts w:ascii="SimSun" w:hAnsi="SimSun" w:eastAsia="SimSun" w:cs="SimSun"/>
          <w:sz w:val="24"/>
          <w:szCs w:val="24"/>
          <w:spacing w:val="-2"/>
        </w:rPr>
        <w:t>样方点位在矿区内呈均匀分布，每个点位设置</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个平行，样方调查设置点位和数量基本</w:t>
      </w:r>
      <w:r>
        <w:rPr>
          <w:rFonts w:ascii="SimSun" w:hAnsi="SimSun" w:eastAsia="SimSun" w:cs="SimSun"/>
          <w:sz w:val="24"/>
          <w:szCs w:val="24"/>
          <w:spacing w:val="1"/>
        </w:rPr>
        <w:t>可以反映出评价区的植被情况。样方调查点位分布图见</w:t>
      </w:r>
      <w:r>
        <w:rPr>
          <w:rFonts w:ascii="SimSun" w:hAnsi="SimSun" w:eastAsia="SimSun" w:cs="SimSun"/>
          <w:sz w:val="24"/>
          <w:szCs w:val="24"/>
        </w:rPr>
        <w:t>图</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4-2-3</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。现场调查中记录数据</w:t>
      </w:r>
      <w:r>
        <w:rPr>
          <w:rFonts w:ascii="SimSun" w:hAnsi="SimSun" w:eastAsia="SimSun" w:cs="SimSun"/>
          <w:sz w:val="24"/>
          <w:szCs w:val="24"/>
          <w:spacing w:val="2"/>
        </w:rPr>
        <w:t>主要有：各个样方</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GPS</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坐标，样方内及周围植物名称，优势植物、平均高度、群落盖</w:t>
      </w:r>
      <w:r>
        <w:rPr>
          <w:rFonts w:ascii="SimSun" w:hAnsi="SimSun" w:eastAsia="SimSun" w:cs="SimSun"/>
          <w:sz w:val="24"/>
          <w:szCs w:val="24"/>
          <w:spacing w:val="-1"/>
        </w:rPr>
        <w:t>度等信息。样方调查结果见表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4-2-5~4-2-18</w:t>
      </w:r>
      <w:r>
        <w:rPr>
          <w:rFonts w:ascii="SimSun" w:hAnsi="SimSun" w:eastAsia="SimSun" w:cs="SimSun"/>
          <w:sz w:val="24"/>
          <w:szCs w:val="24"/>
          <w:spacing w:val="-1"/>
        </w:rPr>
        <w:t>。</w:t>
      </w:r>
    </w:p>
    <w:p>
      <w:pPr>
        <w:spacing w:line="339" w:lineRule="auto"/>
        <w:sectPr>
          <w:headerReference w:type="default" r:id="rId238"/>
          <w:footerReference w:type="default" r:id="rId274"/>
          <w:pgSz w:w="11906" w:h="16838"/>
          <w:pgMar w:top="1170" w:right="1304" w:bottom="1080" w:left="1305" w:header="837" w:footer="918" w:gutter="0"/>
        </w:sectPr>
        <w:rPr>
          <w:rFonts w:ascii="SimSun" w:hAnsi="SimSun" w:eastAsia="SimSun" w:cs="SimSun"/>
          <w:sz w:val="24"/>
          <w:szCs w:val="24"/>
        </w:rPr>
      </w:pPr>
    </w:p>
    <w:p>
      <w:pPr>
        <w:pStyle w:val="BodyText"/>
        <w:spacing w:line="441" w:lineRule="auto"/>
        <w:rPr/>
      </w:pPr>
      <w:r/>
    </w:p>
    <w:p>
      <w:pPr>
        <w:ind w:left="3664"/>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4"/>
        </w:rPr>
        <w:t>1#</w:t>
      </w:r>
      <w:r>
        <w:rPr>
          <w:rFonts w:ascii="SimHei" w:hAnsi="SimHei" w:eastAsia="SimHei" w:cs="SimHei"/>
          <w:sz w:val="24"/>
          <w:szCs w:val="24"/>
          <w:spacing w:val="-4"/>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4-2-5</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96"/>
              <w:spacing w:before="132" w:line="195" w:lineRule="auto"/>
              <w:rPr/>
            </w:pPr>
            <w:r>
              <w:rPr>
                <w:spacing w:val="-8"/>
              </w:rPr>
              <w:t>1#</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06"/>
              <w:spacing w:before="118" w:line="188" w:lineRule="auto"/>
              <w:rPr>
                <w:sz w:val="24"/>
                <w:szCs w:val="24"/>
              </w:rPr>
            </w:pPr>
            <w:r>
              <w:rPr>
                <w:sz w:val="24"/>
                <w:szCs w:val="24"/>
                <w:spacing w:val="-4"/>
              </w:rPr>
              <w:t>118.6442°</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13"/>
              <w:spacing w:before="118" w:line="188" w:lineRule="auto"/>
              <w:rPr>
                <w:sz w:val="24"/>
                <w:szCs w:val="24"/>
              </w:rPr>
            </w:pPr>
            <w:r>
              <w:rPr>
                <w:sz w:val="24"/>
                <w:szCs w:val="24"/>
                <w:spacing w:val="-1"/>
              </w:rPr>
              <w:t>44.9350°</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29"/>
              <w:spacing w:before="75" w:line="219" w:lineRule="auto"/>
              <w:rPr>
                <w:rFonts w:ascii="SimSun" w:hAnsi="SimSun" w:eastAsia="SimSun" w:cs="SimSun"/>
                <w:sz w:val="24"/>
                <w:szCs w:val="24"/>
              </w:rPr>
            </w:pPr>
            <w:r>
              <w:rPr>
                <w:rFonts w:ascii="SimSun" w:hAnsi="SimSun" w:eastAsia="SimSun" w:cs="SimSun"/>
                <w:sz w:val="24"/>
                <w:szCs w:val="24"/>
                <w:spacing w:val="-4"/>
              </w:rPr>
              <w:t>草甸土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216"/>
              <w:spacing w:before="78" w:line="219" w:lineRule="auto"/>
              <w:rPr>
                <w:rFonts w:ascii="SimSun" w:hAnsi="SimSun" w:eastAsia="SimSun" w:cs="SimSun"/>
                <w:sz w:val="24"/>
                <w:szCs w:val="24"/>
              </w:rPr>
            </w:pPr>
            <w:r>
              <w:rPr>
                <w:rFonts w:ascii="SimSun" w:hAnsi="SimSun" w:eastAsia="SimSun" w:cs="SimSun"/>
                <w:sz w:val="24"/>
                <w:szCs w:val="24"/>
                <w:spacing w:val="-2"/>
              </w:rPr>
              <w:t>盐地碱蓬、羊草、黄花蒿</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06"/>
              <w:spacing w:before="119" w:line="190" w:lineRule="auto"/>
              <w:rPr/>
            </w:pPr>
            <w:r>
              <w:rPr>
                <w:sz w:val="24"/>
                <w:szCs w:val="24"/>
                <w:spacing w:val="-1"/>
              </w:rPr>
              <w:t>72.3 </w:t>
            </w:r>
            <w:r>
              <w:rPr>
                <w:spacing w:val="-1"/>
              </w:rPr>
              <w:t>g/(m</w:t>
            </w:r>
            <w:r>
              <w:rPr>
                <w:sz w:val="13"/>
                <w:szCs w:val="13"/>
                <w:spacing w:val="-1"/>
                <w:position w:val="6"/>
              </w:rPr>
              <w:t>2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34"/>
              <w:spacing w:before="119" w:line="188" w:lineRule="auto"/>
              <w:rPr/>
            </w:pPr>
            <w:r>
              <w:rPr>
                <w:sz w:val="24"/>
                <w:szCs w:val="24"/>
                <w:spacing w:val="4"/>
              </w:rPr>
              <w:t>9</w:t>
            </w:r>
            <w:r>
              <w:rPr/>
              <w:t>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5"/>
              <w:spacing w:before="128" w:line="195" w:lineRule="auto"/>
              <w:rPr/>
            </w:pPr>
            <w:r>
              <w:rPr>
                <w:spacing w:val="2"/>
              </w:rPr>
              <w:t>50%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20"/>
              <w:spacing w:before="92" w:line="228" w:lineRule="auto"/>
              <w:rPr>
                <w:rFonts w:ascii="SimSun" w:hAnsi="SimSun" w:eastAsia="SimSun" w:cs="SimSun"/>
                <w:sz w:val="20"/>
                <w:szCs w:val="20"/>
              </w:rPr>
            </w:pPr>
            <w:r>
              <w:rPr>
                <w:rFonts w:ascii="SimSun" w:hAnsi="SimSun" w:eastAsia="SimSun" w:cs="SimSun"/>
                <w:sz w:val="20"/>
                <w:szCs w:val="20"/>
                <w:spacing w:val="1"/>
              </w:rPr>
              <w:t>羊草</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156"/>
              <w:spacing w:before="75" w:line="219" w:lineRule="auto"/>
              <w:rPr>
                <w:rFonts w:ascii="SimSun" w:hAnsi="SimSun" w:eastAsia="SimSun" w:cs="SimSun"/>
                <w:sz w:val="24"/>
                <w:szCs w:val="24"/>
              </w:rPr>
            </w:pPr>
            <w:r>
              <w:rPr>
                <w:rFonts w:ascii="SimSun" w:hAnsi="SimSun" w:eastAsia="SimSun" w:cs="SimSun"/>
                <w:sz w:val="24"/>
                <w:szCs w:val="24"/>
                <w:spacing w:val="-2"/>
              </w:rPr>
              <w:t>盐地碱蓬、羊草、黄花蒿</w:t>
            </w:r>
          </w:p>
        </w:tc>
      </w:tr>
      <w:tr>
        <w:trPr>
          <w:trHeight w:val="8226" w:hRule="atLeast"/>
        </w:trPr>
        <w:tc>
          <w:tcPr>
            <w:tcW w:w="9189" w:type="dxa"/>
            <w:vAlign w:val="top"/>
            <w:gridSpan w:val="6"/>
          </w:tcPr>
          <w:p>
            <w:pPr>
              <w:ind w:firstLine="1502"/>
              <w:spacing w:before="1" w:line="8205" w:lineRule="exact"/>
              <w:rPr/>
            </w:pPr>
            <w:r>
              <w:rPr>
                <w:position w:val="-164"/>
              </w:rPr>
              <w:drawing>
                <wp:inline distT="0" distB="0" distL="0" distR="0">
                  <wp:extent cx="3916679" cy="5210556"/>
                  <wp:effectExtent l="0" t="0" r="0" b="0"/>
                  <wp:docPr id="218" name="IM 218"/>
                  <wp:cNvGraphicFramePr/>
                  <a:graphic>
                    <a:graphicData uri="http://schemas.openxmlformats.org/drawingml/2006/picture">
                      <pic:pic>
                        <pic:nvPicPr>
                          <pic:cNvPr id="218" name="IM 218"/>
                          <pic:cNvPicPr/>
                        </pic:nvPicPr>
                        <pic:blipFill>
                          <a:blip r:embed="rId277"/>
                          <a:stretch>
                            <a:fillRect/>
                          </a:stretch>
                        </pic:blipFill>
                        <pic:spPr>
                          <a:xfrm rot="0">
                            <a:off x="0" y="0"/>
                            <a:ext cx="3916679" cy="5210556"/>
                          </a:xfrm>
                          <a:prstGeom prst="rect">
                            <a:avLst/>
                          </a:prstGeom>
                        </pic:spPr>
                      </pic:pic>
                    </a:graphicData>
                  </a:graphic>
                </wp:inline>
              </w:drawing>
            </w:r>
          </w:p>
        </w:tc>
      </w:tr>
    </w:tbl>
    <w:p>
      <w:pPr>
        <w:pStyle w:val="BodyText"/>
        <w:rPr/>
      </w:pPr>
      <w:r/>
    </w:p>
    <w:p>
      <w:pPr>
        <w:sectPr>
          <w:headerReference w:type="default" r:id="rId275"/>
          <w:footerReference w:type="default" r:id="rId276"/>
          <w:pgSz w:w="11906" w:h="16838"/>
          <w:pgMar w:top="1170" w:right="1355" w:bottom="1080" w:left="1356" w:header="837" w:footer="918" w:gutter="0"/>
        </w:sectPr>
        <w:rPr/>
      </w:pPr>
    </w:p>
    <w:p>
      <w:pPr>
        <w:pStyle w:val="BodyText"/>
        <w:spacing w:line="441" w:lineRule="auto"/>
        <w:rPr/>
      </w:pPr>
      <w:r/>
    </w:p>
    <w:p>
      <w:pPr>
        <w:ind w:left="3641"/>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1"/>
        </w:rPr>
        <w:t>2#</w:t>
      </w:r>
      <w:r>
        <w:rPr>
          <w:rFonts w:ascii="SimHei" w:hAnsi="SimHei" w:eastAsia="SimHei" w:cs="SimHei"/>
          <w:sz w:val="24"/>
          <w:szCs w:val="24"/>
          <w:spacing w:val="-1"/>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4-2-6</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76"/>
              <w:spacing w:before="132" w:line="195" w:lineRule="auto"/>
              <w:rPr/>
            </w:pPr>
            <w:r>
              <w:rPr>
                <w:spacing w:val="2"/>
              </w:rPr>
              <w:t>2#</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118.6708°</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44.9266°</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8"/>
              <w:spacing w:before="92" w:line="228" w:lineRule="auto"/>
              <w:rPr>
                <w:rFonts w:ascii="SimSun" w:hAnsi="SimSun" w:eastAsia="SimSun" w:cs="SimSun"/>
                <w:sz w:val="20"/>
                <w:szCs w:val="20"/>
              </w:rPr>
            </w:pPr>
            <w:r>
              <w:rPr>
                <w:rFonts w:ascii="SimSun" w:hAnsi="SimSun" w:eastAsia="SimSun" w:cs="SimSun"/>
                <w:sz w:val="20"/>
                <w:szCs w:val="20"/>
                <w:spacing w:val="8"/>
              </w:rPr>
              <w:t>羊草、黄花蒿、车前草、独行菜</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2"/>
              <w:spacing w:before="111" w:line="215" w:lineRule="auto"/>
              <w:rPr/>
            </w:pPr>
            <w:r>
              <w:rPr>
                <w:spacing w:val="1"/>
              </w:rPr>
              <w:t>68.4g/(m</w:t>
            </w:r>
            <w:r>
              <w:rPr>
                <w:sz w:val="13"/>
                <w:szCs w:val="13"/>
                <w:spacing w:val="1"/>
                <w:position w:val="6"/>
              </w:rPr>
              <w:t>2</w:t>
            </w:r>
            <w:r>
              <w:rPr>
                <w:sz w:val="13"/>
                <w:szCs w:val="13"/>
                <w:spacing w:val="-4"/>
                <w:position w:val="6"/>
              </w:rPr>
              <w:t xml:space="preserve">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8" w:line="195" w:lineRule="auto"/>
              <w:rPr/>
            </w:pPr>
            <w:r>
              <w:rPr>
                <w:spacing w:val="-1"/>
              </w:rPr>
              <w:t>10cm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8" w:line="195" w:lineRule="auto"/>
              <w:rPr/>
            </w:pPr>
            <w:r>
              <w:rPr>
                <w:spacing w:val="4"/>
              </w:rPr>
              <w:t>45%</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20"/>
              <w:spacing w:before="92" w:line="228" w:lineRule="auto"/>
              <w:rPr>
                <w:rFonts w:ascii="SimSun" w:hAnsi="SimSun" w:eastAsia="SimSun" w:cs="SimSun"/>
                <w:sz w:val="20"/>
                <w:szCs w:val="20"/>
              </w:rPr>
            </w:pPr>
            <w:r>
              <w:rPr>
                <w:rFonts w:ascii="SimSun" w:hAnsi="SimSun" w:eastAsia="SimSun" w:cs="SimSun"/>
                <w:sz w:val="20"/>
                <w:szCs w:val="20"/>
                <w:spacing w:val="1"/>
              </w:rPr>
              <w:t>羊草</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010"/>
              <w:spacing w:before="92" w:line="228" w:lineRule="auto"/>
              <w:rPr>
                <w:rFonts w:ascii="SimSun" w:hAnsi="SimSun" w:eastAsia="SimSun" w:cs="SimSun"/>
                <w:sz w:val="20"/>
                <w:szCs w:val="20"/>
              </w:rPr>
            </w:pPr>
            <w:r>
              <w:rPr>
                <w:rFonts w:ascii="SimSun" w:hAnsi="SimSun" w:eastAsia="SimSun" w:cs="SimSun"/>
                <w:sz w:val="20"/>
                <w:szCs w:val="20"/>
                <w:spacing w:val="8"/>
              </w:rPr>
              <w:t>羊草、黄花蒿、车前草、独行菜</w:t>
            </w:r>
          </w:p>
        </w:tc>
      </w:tr>
      <w:tr>
        <w:trPr>
          <w:trHeight w:val="7047" w:hRule="atLeast"/>
        </w:trPr>
        <w:tc>
          <w:tcPr>
            <w:tcW w:w="9189" w:type="dxa"/>
            <w:vAlign w:val="top"/>
            <w:gridSpan w:val="6"/>
          </w:tcPr>
          <w:p>
            <w:pPr>
              <w:ind w:firstLine="55"/>
              <w:spacing w:before="1" w:line="7034" w:lineRule="exact"/>
              <w:rPr/>
            </w:pPr>
            <w:r>
              <w:rPr>
                <w:position w:val="-140"/>
              </w:rPr>
              <w:drawing>
                <wp:inline distT="0" distB="0" distL="0" distR="0">
                  <wp:extent cx="5796915" cy="4466844"/>
                  <wp:effectExtent l="0" t="0" r="0" b="0"/>
                  <wp:docPr id="220" name="IM 220"/>
                  <wp:cNvGraphicFramePr/>
                  <a:graphic>
                    <a:graphicData uri="http://schemas.openxmlformats.org/drawingml/2006/picture">
                      <pic:pic>
                        <pic:nvPicPr>
                          <pic:cNvPr id="220" name="IM 220"/>
                          <pic:cNvPicPr/>
                        </pic:nvPicPr>
                        <pic:blipFill>
                          <a:blip r:embed="rId279"/>
                          <a:stretch>
                            <a:fillRect/>
                          </a:stretch>
                        </pic:blipFill>
                        <pic:spPr>
                          <a:xfrm rot="0">
                            <a:off x="0" y="0"/>
                            <a:ext cx="5796915" cy="4466844"/>
                          </a:xfrm>
                          <a:prstGeom prst="rect">
                            <a:avLst/>
                          </a:prstGeom>
                        </pic:spPr>
                      </pic:pic>
                    </a:graphicData>
                  </a:graphic>
                </wp:inline>
              </w:drawing>
            </w:r>
          </w:p>
        </w:tc>
      </w:tr>
    </w:tbl>
    <w:p>
      <w:pPr>
        <w:pStyle w:val="BodyText"/>
        <w:rPr/>
      </w:pPr>
      <w:r/>
    </w:p>
    <w:p>
      <w:pPr>
        <w:sectPr>
          <w:footerReference w:type="default" r:id="rId278"/>
          <w:pgSz w:w="11906" w:h="16838"/>
          <w:pgMar w:top="1170" w:right="1355" w:bottom="1080" w:left="1356" w:header="837" w:footer="918" w:gutter="0"/>
        </w:sectPr>
        <w:rPr/>
      </w:pPr>
    </w:p>
    <w:p>
      <w:pPr>
        <w:pStyle w:val="BodyText"/>
        <w:spacing w:line="441" w:lineRule="auto"/>
        <w:rPr/>
      </w:pPr>
      <w:r/>
    </w:p>
    <w:p>
      <w:pPr>
        <w:ind w:left="3645"/>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2"/>
        </w:rPr>
        <w:t>3#</w:t>
      </w:r>
      <w:r>
        <w:rPr>
          <w:rFonts w:ascii="SimHei" w:hAnsi="SimHei" w:eastAsia="SimHei" w:cs="SimHei"/>
          <w:sz w:val="24"/>
          <w:szCs w:val="24"/>
          <w:spacing w:val="-2"/>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4-2-7</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80"/>
              <w:spacing w:before="132" w:line="195" w:lineRule="auto"/>
              <w:rPr/>
            </w:pPr>
            <w:r>
              <w:rPr/>
              <w:t>3#</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118.6914°</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44.9445°</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2"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spacing w:before="32" w:line="228" w:lineRule="auto"/>
              <w:jc w:val="right"/>
              <w:rPr>
                <w:rFonts w:ascii="SimSun" w:hAnsi="SimSun" w:eastAsia="SimSun" w:cs="SimSun"/>
                <w:sz w:val="20"/>
                <w:szCs w:val="20"/>
              </w:rPr>
            </w:pPr>
            <w:r>
              <w:rPr>
                <w:rFonts w:ascii="SimSun" w:hAnsi="SimSun" w:eastAsia="SimSun" w:cs="SimSun"/>
                <w:sz w:val="20"/>
                <w:szCs w:val="20"/>
                <w:spacing w:val="-1"/>
              </w:rPr>
              <w:t>芨芨草、独行菜、车前、黄花蒿、</w:t>
            </w:r>
          </w:p>
          <w:p>
            <w:pPr>
              <w:ind w:left="1120"/>
              <w:spacing w:before="24" w:line="220" w:lineRule="auto"/>
              <w:rPr>
                <w:rFonts w:ascii="SimSun" w:hAnsi="SimSun" w:eastAsia="SimSun" w:cs="SimSun"/>
                <w:sz w:val="20"/>
                <w:szCs w:val="20"/>
              </w:rPr>
            </w:pPr>
            <w:r>
              <w:rPr>
                <w:rFonts w:ascii="SimSun" w:hAnsi="SimSun" w:eastAsia="SimSun" w:cs="SimSun"/>
                <w:sz w:val="20"/>
                <w:szCs w:val="20"/>
                <w:spacing w:val="5"/>
              </w:rPr>
              <w:t>东北鹤虱</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0"/>
              <w:spacing w:before="182" w:line="218" w:lineRule="auto"/>
              <w:rPr/>
            </w:pPr>
            <w:r>
              <w:rPr>
                <w:spacing w:val="1"/>
              </w:rPr>
              <w:t>70.3g/(m</w:t>
            </w:r>
            <w:r>
              <w:rPr>
                <w:sz w:val="13"/>
                <w:szCs w:val="13"/>
                <w:spacing w:val="1"/>
                <w:position w:val="6"/>
              </w:rPr>
              <w:t>2</w:t>
            </w:r>
            <w:r>
              <w:rPr>
                <w:sz w:val="13"/>
                <w:szCs w:val="13"/>
                <w:spacing w:val="-3"/>
                <w:position w:val="6"/>
              </w:rPr>
              <w:t xml:space="preserve"> </w:t>
            </w:r>
            <w:r>
              <w:rPr>
                <w:spacing w:val="1"/>
              </w:rPr>
              <w:t>·a)</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585"/>
              <w:spacing w:before="128" w:line="195" w:lineRule="auto"/>
              <w:rPr/>
            </w:pPr>
            <w:r>
              <w:rPr>
                <w:spacing w:val="9"/>
              </w:rPr>
              <w:t>40</w:t>
            </w:r>
            <w:r>
              <w:rPr/>
              <w:t>cm</w:t>
            </w:r>
          </w:p>
        </w:tc>
        <w:tc>
          <w:tcPr>
            <w:tcW w:w="1418" w:type="dxa"/>
            <w:vAlign w:val="top"/>
          </w:tcPr>
          <w:p>
            <w:pPr>
              <w:ind w:left="295"/>
              <w:spacing w:before="91"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8" w:line="195" w:lineRule="auto"/>
              <w:rPr/>
            </w:pPr>
            <w:r>
              <w:rPr>
                <w:spacing w:val="4"/>
              </w:rPr>
              <w:t>45%</w:t>
            </w:r>
          </w:p>
        </w:tc>
        <w:tc>
          <w:tcPr>
            <w:tcW w:w="1672" w:type="dxa"/>
            <w:vAlign w:val="top"/>
          </w:tcPr>
          <w:p>
            <w:pPr>
              <w:ind w:left="423"/>
              <w:spacing w:before="91"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510"/>
              <w:spacing w:before="92" w:line="228" w:lineRule="auto"/>
              <w:rPr>
                <w:rFonts w:ascii="SimSun" w:hAnsi="SimSun" w:eastAsia="SimSun" w:cs="SimSun"/>
                <w:sz w:val="20"/>
                <w:szCs w:val="20"/>
              </w:rPr>
            </w:pPr>
            <w:r>
              <w:rPr>
                <w:rFonts w:ascii="SimSun" w:hAnsi="SimSun" w:eastAsia="SimSun" w:cs="SimSun"/>
                <w:sz w:val="20"/>
                <w:szCs w:val="20"/>
                <w:spacing w:val="6"/>
              </w:rPr>
              <w:t>芨芨草</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481"/>
              <w:spacing w:before="92" w:line="228" w:lineRule="auto"/>
              <w:rPr>
                <w:rFonts w:ascii="SimSun" w:hAnsi="SimSun" w:eastAsia="SimSun" w:cs="SimSun"/>
                <w:sz w:val="20"/>
                <w:szCs w:val="20"/>
              </w:rPr>
            </w:pPr>
            <w:r>
              <w:rPr>
                <w:rFonts w:ascii="SimSun" w:hAnsi="SimSun" w:eastAsia="SimSun" w:cs="SimSun"/>
                <w:sz w:val="20"/>
                <w:szCs w:val="20"/>
                <w:spacing w:val="9"/>
              </w:rPr>
              <w:t>芨芨草、独行菜、车前、黄花蒿、东北鹤虱</w:t>
            </w:r>
          </w:p>
        </w:tc>
      </w:tr>
      <w:tr>
        <w:trPr>
          <w:trHeight w:val="8026" w:hRule="atLeast"/>
        </w:trPr>
        <w:tc>
          <w:tcPr>
            <w:tcW w:w="9189" w:type="dxa"/>
            <w:vAlign w:val="top"/>
            <w:gridSpan w:val="6"/>
          </w:tcPr>
          <w:p>
            <w:pPr>
              <w:ind w:firstLine="1571"/>
              <w:spacing w:before="1" w:line="8015" w:lineRule="exact"/>
              <w:rPr/>
            </w:pPr>
            <w:r>
              <w:rPr>
                <w:position w:val="-160"/>
              </w:rPr>
              <w:drawing>
                <wp:inline distT="0" distB="0" distL="0" distR="0">
                  <wp:extent cx="3829811" cy="5089397"/>
                  <wp:effectExtent l="0" t="0" r="0" b="0"/>
                  <wp:docPr id="222" name="IM 222"/>
                  <wp:cNvGraphicFramePr/>
                  <a:graphic>
                    <a:graphicData uri="http://schemas.openxmlformats.org/drawingml/2006/picture">
                      <pic:pic>
                        <pic:nvPicPr>
                          <pic:cNvPr id="222" name="IM 222"/>
                          <pic:cNvPicPr/>
                        </pic:nvPicPr>
                        <pic:blipFill>
                          <a:blip r:embed="rId281"/>
                          <a:stretch>
                            <a:fillRect/>
                          </a:stretch>
                        </pic:blipFill>
                        <pic:spPr>
                          <a:xfrm rot="0">
                            <a:off x="0" y="0"/>
                            <a:ext cx="3829811" cy="5089397"/>
                          </a:xfrm>
                          <a:prstGeom prst="rect">
                            <a:avLst/>
                          </a:prstGeom>
                        </pic:spPr>
                      </pic:pic>
                    </a:graphicData>
                  </a:graphic>
                </wp:inline>
              </w:drawing>
            </w:r>
          </w:p>
        </w:tc>
      </w:tr>
    </w:tbl>
    <w:p>
      <w:pPr>
        <w:pStyle w:val="BodyText"/>
        <w:rPr/>
      </w:pPr>
      <w:r/>
    </w:p>
    <w:p>
      <w:pPr>
        <w:sectPr>
          <w:footerReference w:type="default" r:id="rId280"/>
          <w:pgSz w:w="11906" w:h="16838"/>
          <w:pgMar w:top="1170" w:right="1355" w:bottom="1080" w:left="1356" w:header="837" w:footer="918" w:gutter="0"/>
        </w:sectPr>
        <w:rPr/>
      </w:pPr>
    </w:p>
    <w:p>
      <w:pPr>
        <w:pStyle w:val="BodyText"/>
        <w:spacing w:line="441" w:lineRule="auto"/>
        <w:rPr/>
      </w:pPr>
      <w:r/>
    </w:p>
    <w:p>
      <w:pPr>
        <w:ind w:left="3639"/>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1"/>
        </w:rPr>
        <w:t>4#</w:t>
      </w:r>
      <w:r>
        <w:rPr>
          <w:rFonts w:ascii="SimHei" w:hAnsi="SimHei" w:eastAsia="SimHei" w:cs="SimHei"/>
          <w:sz w:val="24"/>
          <w:szCs w:val="24"/>
          <w:spacing w:val="-1"/>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4-2-8</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75"/>
              <w:spacing w:before="132" w:line="195" w:lineRule="auto"/>
              <w:rPr/>
            </w:pPr>
            <w:r>
              <w:rPr>
                <w:spacing w:val="3"/>
              </w:rPr>
              <w:t>4#</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118.6894°</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44.9741°</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374"/>
              <w:spacing w:before="92" w:line="228" w:lineRule="auto"/>
              <w:rPr>
                <w:rFonts w:ascii="SimSun" w:hAnsi="SimSun" w:eastAsia="SimSun" w:cs="SimSun"/>
                <w:sz w:val="20"/>
                <w:szCs w:val="20"/>
              </w:rPr>
            </w:pPr>
            <w:r>
              <w:rPr>
                <w:rFonts w:ascii="SimSun" w:hAnsi="SimSun" w:eastAsia="SimSun" w:cs="SimSun"/>
                <w:sz w:val="20"/>
                <w:szCs w:val="20"/>
                <w:spacing w:val="5"/>
              </w:rPr>
              <w:t>暗栗钙土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1"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88" w:hanging="627"/>
              <w:spacing w:before="31" w:line="235" w:lineRule="auto"/>
              <w:rPr>
                <w:rFonts w:ascii="SimSun" w:hAnsi="SimSun" w:eastAsia="SimSun" w:cs="SimSun"/>
                <w:sz w:val="20"/>
                <w:szCs w:val="20"/>
              </w:rPr>
            </w:pPr>
            <w:r>
              <w:rPr>
                <w:rFonts w:ascii="SimSun" w:hAnsi="SimSun" w:eastAsia="SimSun" w:cs="SimSun"/>
                <w:sz w:val="20"/>
                <w:szCs w:val="20"/>
                <w:spacing w:val="-1"/>
              </w:rPr>
              <w:t>委陵菜、蒙古韭、黄花蒿、羊草、</w:t>
            </w:r>
            <w:r>
              <w:rPr>
                <w:rFonts w:ascii="SimSun" w:hAnsi="SimSun" w:eastAsia="SimSun" w:cs="SimSun"/>
                <w:sz w:val="20"/>
                <w:szCs w:val="20"/>
                <w:spacing w:val="7"/>
              </w:rPr>
              <w:t>达乌里黄芪、车前</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213"/>
              <w:spacing w:before="182" w:line="218" w:lineRule="auto"/>
              <w:rPr/>
            </w:pPr>
            <w:r>
              <w:rPr>
                <w:spacing w:val="1"/>
              </w:rPr>
              <w:t>71.6g/(m</w:t>
            </w:r>
            <w:r>
              <w:rPr>
                <w:sz w:val="13"/>
                <w:szCs w:val="13"/>
                <w:spacing w:val="1"/>
                <w:position w:val="6"/>
              </w:rPr>
              <w:t>2</w:t>
            </w:r>
            <w:r>
              <w:rPr>
                <w:sz w:val="13"/>
                <w:szCs w:val="13"/>
                <w:spacing w:val="-3"/>
                <w:position w:val="6"/>
              </w:rPr>
              <w:t xml:space="preserve"> </w:t>
            </w:r>
            <w:r>
              <w:rPr>
                <w:spacing w:val="1"/>
              </w:rPr>
              <w:t>·a)</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9" w:line="195" w:lineRule="auto"/>
              <w:rPr/>
            </w:pPr>
            <w:r>
              <w:rPr>
                <w:spacing w:val="-1"/>
              </w:rPr>
              <w:t>12cm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5"/>
              <w:spacing w:before="129" w:line="195" w:lineRule="auto"/>
              <w:rPr/>
            </w:pPr>
            <w:r>
              <w:rPr>
                <w:spacing w:val="2"/>
              </w:rPr>
              <w:t>50%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3"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3"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20"/>
              <w:spacing w:before="93" w:line="228" w:lineRule="auto"/>
              <w:rPr>
                <w:rFonts w:ascii="SimSun" w:hAnsi="SimSun" w:eastAsia="SimSun" w:cs="SimSun"/>
                <w:sz w:val="20"/>
                <w:szCs w:val="20"/>
              </w:rPr>
            </w:pPr>
            <w:r>
              <w:rPr>
                <w:rFonts w:ascii="SimSun" w:hAnsi="SimSun" w:eastAsia="SimSun" w:cs="SimSun"/>
                <w:sz w:val="20"/>
                <w:szCs w:val="20"/>
                <w:spacing w:val="1"/>
              </w:rPr>
              <w:t>羊草</w:t>
            </w:r>
          </w:p>
        </w:tc>
        <w:tc>
          <w:tcPr>
            <w:tcW w:w="1418" w:type="dxa"/>
            <w:vAlign w:val="top"/>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003"/>
              <w:spacing w:before="93" w:line="228" w:lineRule="auto"/>
              <w:rPr>
                <w:rFonts w:ascii="SimSun" w:hAnsi="SimSun" w:eastAsia="SimSun" w:cs="SimSun"/>
                <w:sz w:val="20"/>
                <w:szCs w:val="20"/>
              </w:rPr>
            </w:pPr>
            <w:r>
              <w:rPr>
                <w:rFonts w:ascii="SimSun" w:hAnsi="SimSun" w:eastAsia="SimSun" w:cs="SimSun"/>
                <w:sz w:val="20"/>
                <w:szCs w:val="20"/>
                <w:spacing w:val="9"/>
              </w:rPr>
              <w:t>委陵菜、蒙古韭、黄花蒿、羊草</w:t>
            </w:r>
          </w:p>
        </w:tc>
      </w:tr>
      <w:tr>
        <w:trPr>
          <w:trHeight w:val="6906" w:hRule="atLeast"/>
        </w:trPr>
        <w:tc>
          <w:tcPr>
            <w:tcW w:w="9189" w:type="dxa"/>
            <w:vAlign w:val="top"/>
            <w:gridSpan w:val="6"/>
          </w:tcPr>
          <w:p>
            <w:pPr>
              <w:ind w:firstLine="55"/>
              <w:spacing w:before="2" w:line="6885" w:lineRule="exact"/>
              <w:rPr/>
            </w:pPr>
            <w:r>
              <w:rPr>
                <w:position w:val="-137"/>
              </w:rPr>
              <w:drawing>
                <wp:inline distT="0" distB="0" distL="0" distR="0">
                  <wp:extent cx="5796915" cy="4372356"/>
                  <wp:effectExtent l="0" t="0" r="0" b="0"/>
                  <wp:docPr id="224" name="IM 224"/>
                  <wp:cNvGraphicFramePr/>
                  <a:graphic>
                    <a:graphicData uri="http://schemas.openxmlformats.org/drawingml/2006/picture">
                      <pic:pic>
                        <pic:nvPicPr>
                          <pic:cNvPr id="224" name="IM 224"/>
                          <pic:cNvPicPr/>
                        </pic:nvPicPr>
                        <pic:blipFill>
                          <a:blip r:embed="rId283"/>
                          <a:stretch>
                            <a:fillRect/>
                          </a:stretch>
                        </pic:blipFill>
                        <pic:spPr>
                          <a:xfrm rot="0">
                            <a:off x="0" y="0"/>
                            <a:ext cx="5796915" cy="4372356"/>
                          </a:xfrm>
                          <a:prstGeom prst="rect">
                            <a:avLst/>
                          </a:prstGeom>
                        </pic:spPr>
                      </pic:pic>
                    </a:graphicData>
                  </a:graphic>
                </wp:inline>
              </w:drawing>
            </w:r>
          </w:p>
        </w:tc>
      </w:tr>
    </w:tbl>
    <w:p>
      <w:pPr>
        <w:pStyle w:val="BodyText"/>
        <w:rPr/>
      </w:pPr>
      <w:r/>
    </w:p>
    <w:p>
      <w:pPr>
        <w:sectPr>
          <w:footerReference w:type="default" r:id="rId282"/>
          <w:pgSz w:w="11906" w:h="16838"/>
          <w:pgMar w:top="1170" w:right="1355" w:bottom="1080" w:left="1356" w:header="837" w:footer="918" w:gutter="0"/>
        </w:sectPr>
        <w:rPr/>
      </w:pPr>
    </w:p>
    <w:p>
      <w:pPr>
        <w:pStyle w:val="BodyText"/>
        <w:spacing w:line="441" w:lineRule="auto"/>
        <w:rPr/>
      </w:pPr>
      <w:r/>
    </w:p>
    <w:p>
      <w:pPr>
        <w:ind w:left="3647"/>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2"/>
        </w:rPr>
        <w:t>5#</w:t>
      </w:r>
      <w:r>
        <w:rPr>
          <w:rFonts w:ascii="SimHei" w:hAnsi="SimHei" w:eastAsia="SimHei" w:cs="SimHei"/>
          <w:sz w:val="24"/>
          <w:szCs w:val="24"/>
          <w:spacing w:val="-2"/>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4-2-9</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82"/>
              <w:spacing w:before="132" w:line="195" w:lineRule="auto"/>
              <w:rPr/>
            </w:pPr>
            <w:r>
              <w:rPr/>
              <w:t>5#</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118.6925°</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44.9998°</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374"/>
              <w:spacing w:before="92" w:line="228" w:lineRule="auto"/>
              <w:rPr>
                <w:rFonts w:ascii="SimSun" w:hAnsi="SimSun" w:eastAsia="SimSun" w:cs="SimSun"/>
                <w:sz w:val="20"/>
                <w:szCs w:val="20"/>
              </w:rPr>
            </w:pPr>
            <w:r>
              <w:rPr>
                <w:rFonts w:ascii="SimSun" w:hAnsi="SimSun" w:eastAsia="SimSun" w:cs="SimSun"/>
                <w:sz w:val="20"/>
                <w:szCs w:val="20"/>
                <w:spacing w:val="5"/>
              </w:rPr>
              <w:t>暗栗钙土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1"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483" w:right="59" w:hanging="415"/>
              <w:spacing w:before="31" w:line="235" w:lineRule="auto"/>
              <w:rPr>
                <w:rFonts w:ascii="SimSun" w:hAnsi="SimSun" w:eastAsia="SimSun" w:cs="SimSun"/>
                <w:sz w:val="20"/>
                <w:szCs w:val="20"/>
              </w:rPr>
            </w:pPr>
            <w:r>
              <w:rPr>
                <w:rFonts w:ascii="SimSun" w:hAnsi="SimSun" w:eastAsia="SimSun" w:cs="SimSun"/>
                <w:sz w:val="20"/>
                <w:szCs w:val="20"/>
                <w:spacing w:val="8"/>
              </w:rPr>
              <w:t>羊草、车前、蒙古韭、达乌里黄</w:t>
            </w:r>
            <w:r>
              <w:rPr>
                <w:rFonts w:ascii="SimSun" w:hAnsi="SimSun" w:eastAsia="SimSun" w:cs="SimSun"/>
                <w:sz w:val="20"/>
                <w:szCs w:val="20"/>
                <w:spacing w:val="8"/>
              </w:rPr>
              <w:t>芪、黄花蒿、鳞叶龙胆</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2"/>
              <w:spacing w:before="182" w:line="218" w:lineRule="auto"/>
              <w:rPr/>
            </w:pPr>
            <w:r>
              <w:rPr>
                <w:spacing w:val="1"/>
              </w:rPr>
              <w:t>65.3g/(m</w:t>
            </w:r>
            <w:r>
              <w:rPr>
                <w:sz w:val="13"/>
                <w:szCs w:val="13"/>
                <w:spacing w:val="1"/>
                <w:position w:val="6"/>
              </w:rPr>
              <w:t>2</w:t>
            </w:r>
            <w:r>
              <w:rPr>
                <w:sz w:val="13"/>
                <w:szCs w:val="13"/>
                <w:spacing w:val="-4"/>
                <w:position w:val="6"/>
              </w:rPr>
              <w:t xml:space="preserve"> </w:t>
            </w:r>
            <w:r>
              <w:rPr>
                <w:spacing w:val="1"/>
              </w:rPr>
              <w:t>·a)</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42"/>
              <w:spacing w:before="129" w:line="195" w:lineRule="auto"/>
              <w:rPr/>
            </w:pPr>
            <w:r>
              <w:rPr>
                <w:spacing w:val="8"/>
              </w:rPr>
              <w:t>9</w:t>
            </w:r>
            <w:r>
              <w:rPr/>
              <w:t>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9" w:line="195" w:lineRule="auto"/>
              <w:rPr/>
            </w:pPr>
            <w:r>
              <w:rPr>
                <w:spacing w:val="4"/>
              </w:rPr>
              <w:t>40%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3"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3"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303"/>
              <w:spacing w:before="93" w:line="228" w:lineRule="auto"/>
              <w:rPr>
                <w:rFonts w:ascii="SimSun" w:hAnsi="SimSun" w:eastAsia="SimSun" w:cs="SimSun"/>
                <w:sz w:val="20"/>
                <w:szCs w:val="20"/>
              </w:rPr>
            </w:pPr>
            <w:r>
              <w:rPr>
                <w:rFonts w:ascii="SimSun" w:hAnsi="SimSun" w:eastAsia="SimSun" w:cs="SimSun"/>
                <w:sz w:val="20"/>
                <w:szCs w:val="20"/>
                <w:spacing w:val="6"/>
              </w:rPr>
              <w:t>羊草、车前</w:t>
            </w:r>
          </w:p>
        </w:tc>
        <w:tc>
          <w:tcPr>
            <w:tcW w:w="1418" w:type="dxa"/>
            <w:vAlign w:val="top"/>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536"/>
              <w:spacing w:before="93" w:line="228" w:lineRule="auto"/>
              <w:rPr>
                <w:rFonts w:ascii="SimSun" w:hAnsi="SimSun" w:eastAsia="SimSun" w:cs="SimSun"/>
                <w:sz w:val="20"/>
                <w:szCs w:val="20"/>
              </w:rPr>
            </w:pPr>
            <w:r>
              <w:rPr>
                <w:rFonts w:ascii="SimSun" w:hAnsi="SimSun" w:eastAsia="SimSun" w:cs="SimSun"/>
                <w:sz w:val="20"/>
                <w:szCs w:val="20"/>
                <w:spacing w:val="8"/>
              </w:rPr>
              <w:t>羊草、车前、黄花蒿</w:t>
            </w:r>
          </w:p>
        </w:tc>
      </w:tr>
      <w:tr>
        <w:trPr>
          <w:trHeight w:val="7026" w:hRule="atLeast"/>
        </w:trPr>
        <w:tc>
          <w:tcPr>
            <w:tcW w:w="9189" w:type="dxa"/>
            <w:vAlign w:val="top"/>
            <w:gridSpan w:val="6"/>
          </w:tcPr>
          <w:p>
            <w:pPr>
              <w:ind w:firstLine="55"/>
              <w:spacing w:before="2" w:line="7013" w:lineRule="exact"/>
              <w:rPr/>
            </w:pPr>
            <w:r>
              <w:rPr>
                <w:position w:val="-140"/>
              </w:rPr>
              <w:drawing>
                <wp:inline distT="0" distB="0" distL="0" distR="0">
                  <wp:extent cx="5796915" cy="4453763"/>
                  <wp:effectExtent l="0" t="0" r="0" b="0"/>
                  <wp:docPr id="226" name="IM 226"/>
                  <wp:cNvGraphicFramePr/>
                  <a:graphic>
                    <a:graphicData uri="http://schemas.openxmlformats.org/drawingml/2006/picture">
                      <pic:pic>
                        <pic:nvPicPr>
                          <pic:cNvPr id="226" name="IM 226"/>
                          <pic:cNvPicPr/>
                        </pic:nvPicPr>
                        <pic:blipFill>
                          <a:blip r:embed="rId285"/>
                          <a:stretch>
                            <a:fillRect/>
                          </a:stretch>
                        </pic:blipFill>
                        <pic:spPr>
                          <a:xfrm rot="0">
                            <a:off x="0" y="0"/>
                            <a:ext cx="5796915" cy="4453763"/>
                          </a:xfrm>
                          <a:prstGeom prst="rect">
                            <a:avLst/>
                          </a:prstGeom>
                        </pic:spPr>
                      </pic:pic>
                    </a:graphicData>
                  </a:graphic>
                </wp:inline>
              </w:drawing>
            </w:r>
          </w:p>
        </w:tc>
      </w:tr>
    </w:tbl>
    <w:p>
      <w:pPr>
        <w:pStyle w:val="BodyText"/>
        <w:rPr/>
      </w:pPr>
      <w:r/>
    </w:p>
    <w:p>
      <w:pPr>
        <w:sectPr>
          <w:footerReference w:type="default" r:id="rId284"/>
          <w:pgSz w:w="11906" w:h="16838"/>
          <w:pgMar w:top="1170" w:right="1355" w:bottom="1080" w:left="1356" w:header="837" w:footer="918" w:gutter="0"/>
        </w:sectPr>
        <w:rPr/>
      </w:pPr>
    </w:p>
    <w:p>
      <w:pPr>
        <w:pStyle w:val="BodyText"/>
        <w:spacing w:line="441" w:lineRule="auto"/>
        <w:rPr/>
      </w:pPr>
      <w:r/>
    </w:p>
    <w:p>
      <w:pPr>
        <w:ind w:left="3646"/>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2"/>
        </w:rPr>
        <w:t>6#</w:t>
      </w:r>
      <w:r>
        <w:rPr>
          <w:rFonts w:ascii="SimHei" w:hAnsi="SimHei" w:eastAsia="SimHei" w:cs="SimHei"/>
          <w:sz w:val="24"/>
          <w:szCs w:val="24"/>
          <w:spacing w:val="-2"/>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4-2-10</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81"/>
              <w:spacing w:before="132" w:line="195" w:lineRule="auto"/>
              <w:rPr/>
            </w:pPr>
            <w:r>
              <w:rPr/>
              <w:t>6#</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498"/>
              <w:spacing w:before="130" w:line="192" w:lineRule="auto"/>
              <w:rPr/>
            </w:pPr>
            <w:r>
              <w:rPr>
                <w:spacing w:val="4"/>
              </w:rPr>
              <w:t>5m×5m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118.6676°</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45.0126°</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922m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1"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88" w:hanging="625"/>
              <w:spacing w:before="31" w:line="235" w:lineRule="auto"/>
              <w:rPr>
                <w:rFonts w:ascii="SimSun" w:hAnsi="SimSun" w:eastAsia="SimSun" w:cs="SimSun"/>
                <w:sz w:val="20"/>
                <w:szCs w:val="20"/>
              </w:rPr>
            </w:pPr>
            <w:r>
              <w:rPr>
                <w:rFonts w:ascii="SimSun" w:hAnsi="SimSun" w:eastAsia="SimSun" w:cs="SimSun"/>
                <w:sz w:val="20"/>
                <w:szCs w:val="20"/>
                <w:spacing w:val="-1"/>
              </w:rPr>
              <w:t>车前草、蒙古韭、独行菜、羊草、</w:t>
            </w:r>
            <w:r>
              <w:rPr>
                <w:rFonts w:ascii="SimSun" w:hAnsi="SimSun" w:eastAsia="SimSun" w:cs="SimSun"/>
                <w:sz w:val="20"/>
                <w:szCs w:val="20"/>
                <w:spacing w:val="7"/>
              </w:rPr>
              <w:t>黄花蒿、盐地碱蓬</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0"/>
              <w:spacing w:before="182" w:line="218" w:lineRule="auto"/>
              <w:rPr/>
            </w:pPr>
            <w:r>
              <w:rPr>
                <w:spacing w:val="1"/>
              </w:rPr>
              <w:t>70.9g/(m</w:t>
            </w:r>
            <w:r>
              <w:rPr>
                <w:sz w:val="13"/>
                <w:szCs w:val="13"/>
                <w:spacing w:val="1"/>
                <w:position w:val="6"/>
              </w:rPr>
              <w:t>2</w:t>
            </w:r>
            <w:r>
              <w:rPr>
                <w:sz w:val="13"/>
                <w:szCs w:val="13"/>
                <w:spacing w:val="-3"/>
                <w:position w:val="6"/>
              </w:rPr>
              <w:t xml:space="preserve"> </w:t>
            </w:r>
            <w:r>
              <w:rPr>
                <w:spacing w:val="1"/>
              </w:rPr>
              <w:t>·a)</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591"/>
              <w:spacing w:before="129" w:line="195" w:lineRule="auto"/>
              <w:rPr/>
            </w:pPr>
            <w:r>
              <w:rPr>
                <w:spacing w:val="6"/>
              </w:rPr>
              <w:t>50</w:t>
            </w:r>
            <w:r>
              <w:rPr/>
              <w:t>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5"/>
              <w:spacing w:before="129" w:line="195" w:lineRule="auto"/>
              <w:rPr/>
            </w:pPr>
            <w:r>
              <w:rPr>
                <w:spacing w:val="2"/>
              </w:rPr>
              <w:t>50%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3"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3"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200"/>
              <w:spacing w:before="93" w:line="228" w:lineRule="auto"/>
              <w:rPr>
                <w:rFonts w:ascii="SimSun" w:hAnsi="SimSun" w:eastAsia="SimSun" w:cs="SimSun"/>
                <w:sz w:val="20"/>
                <w:szCs w:val="20"/>
              </w:rPr>
            </w:pPr>
            <w:r>
              <w:rPr>
                <w:rFonts w:ascii="SimSun" w:hAnsi="SimSun" w:eastAsia="SimSun" w:cs="SimSun"/>
                <w:sz w:val="20"/>
                <w:szCs w:val="20"/>
                <w:spacing w:val="7"/>
              </w:rPr>
              <w:t>羊草、芨芨草</w:t>
            </w:r>
          </w:p>
        </w:tc>
        <w:tc>
          <w:tcPr>
            <w:tcW w:w="1418" w:type="dxa"/>
            <w:vAlign w:val="top"/>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325"/>
              <w:spacing w:before="93" w:line="228" w:lineRule="auto"/>
              <w:rPr>
                <w:rFonts w:ascii="SimSun" w:hAnsi="SimSun" w:eastAsia="SimSun" w:cs="SimSun"/>
                <w:sz w:val="20"/>
                <w:szCs w:val="20"/>
              </w:rPr>
            </w:pPr>
            <w:r>
              <w:rPr>
                <w:rFonts w:ascii="SimSun" w:hAnsi="SimSun" w:eastAsia="SimSun" w:cs="SimSun"/>
                <w:sz w:val="20"/>
                <w:szCs w:val="20"/>
                <w:spacing w:val="8"/>
              </w:rPr>
              <w:t>羊草、芨芨草、盐地碱蓬</w:t>
            </w:r>
          </w:p>
        </w:tc>
      </w:tr>
      <w:tr>
        <w:trPr>
          <w:trHeight w:val="6887" w:hRule="atLeast"/>
        </w:trPr>
        <w:tc>
          <w:tcPr>
            <w:tcW w:w="9189" w:type="dxa"/>
            <w:vAlign w:val="top"/>
            <w:gridSpan w:val="6"/>
          </w:tcPr>
          <w:p>
            <w:pPr>
              <w:ind w:firstLine="55"/>
              <w:spacing w:before="2" w:line="6871" w:lineRule="exact"/>
              <w:rPr/>
            </w:pPr>
            <w:r>
              <w:rPr>
                <w:position w:val="-137"/>
              </w:rPr>
              <w:drawing>
                <wp:inline distT="0" distB="0" distL="0" distR="0">
                  <wp:extent cx="5796915" cy="4363212"/>
                  <wp:effectExtent l="0" t="0" r="0" b="0"/>
                  <wp:docPr id="228" name="IM 228"/>
                  <wp:cNvGraphicFramePr/>
                  <a:graphic>
                    <a:graphicData uri="http://schemas.openxmlformats.org/drawingml/2006/picture">
                      <pic:pic>
                        <pic:nvPicPr>
                          <pic:cNvPr id="228" name="IM 228"/>
                          <pic:cNvPicPr/>
                        </pic:nvPicPr>
                        <pic:blipFill>
                          <a:blip r:embed="rId287"/>
                          <a:stretch>
                            <a:fillRect/>
                          </a:stretch>
                        </pic:blipFill>
                        <pic:spPr>
                          <a:xfrm rot="0">
                            <a:off x="0" y="0"/>
                            <a:ext cx="5796915" cy="4363212"/>
                          </a:xfrm>
                          <a:prstGeom prst="rect">
                            <a:avLst/>
                          </a:prstGeom>
                        </pic:spPr>
                      </pic:pic>
                    </a:graphicData>
                  </a:graphic>
                </wp:inline>
              </w:drawing>
            </w:r>
          </w:p>
        </w:tc>
      </w:tr>
    </w:tbl>
    <w:p>
      <w:pPr>
        <w:pStyle w:val="BodyText"/>
        <w:rPr/>
      </w:pPr>
      <w:r/>
    </w:p>
    <w:p>
      <w:pPr>
        <w:sectPr>
          <w:footerReference w:type="default" r:id="rId286"/>
          <w:pgSz w:w="11906" w:h="16838"/>
          <w:pgMar w:top="1170" w:right="1355" w:bottom="1080" w:left="1356" w:header="837" w:footer="918" w:gutter="0"/>
        </w:sectPr>
        <w:rPr/>
      </w:pPr>
    </w:p>
    <w:p>
      <w:pPr>
        <w:pStyle w:val="BodyText"/>
        <w:spacing w:line="441" w:lineRule="auto"/>
        <w:rPr/>
      </w:pPr>
      <w:r/>
    </w:p>
    <w:p>
      <w:pPr>
        <w:ind w:left="3644"/>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1"/>
        </w:rPr>
        <w:t>7#</w:t>
      </w:r>
      <w:r>
        <w:rPr>
          <w:rFonts w:ascii="SimHei" w:hAnsi="SimHei" w:eastAsia="SimHei" w:cs="SimHei"/>
          <w:sz w:val="24"/>
          <w:szCs w:val="24"/>
          <w:spacing w:val="-1"/>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4-2-11</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79"/>
              <w:spacing w:before="132" w:line="195" w:lineRule="auto"/>
              <w:rPr/>
            </w:pPr>
            <w:r>
              <w:rPr>
                <w:spacing w:val="1"/>
              </w:rPr>
              <w:t>7#</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03"/>
              <w:spacing w:before="116" w:line="197" w:lineRule="auto"/>
              <w:rPr>
                <w:rFonts w:ascii="SimSun" w:hAnsi="SimSun" w:eastAsia="SimSun" w:cs="SimSun"/>
              </w:rPr>
            </w:pPr>
            <w:r>
              <w:rPr>
                <w:spacing w:val="1"/>
              </w:rPr>
              <w:t>118.6562</w:t>
            </w:r>
            <w:r>
              <w:rPr>
                <w:spacing w:val="-21"/>
              </w:rPr>
              <w:t xml:space="preserve"> </w:t>
            </w:r>
            <w:r>
              <w:rPr>
                <w:rFonts w:ascii="SimSun" w:hAnsi="SimSun" w:eastAsia="SimSun" w:cs="SimSun"/>
                <w:spacing w:val="1"/>
              </w:rPr>
              <w:t>°</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45.0072°</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927m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1"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8"/>
              <w:spacing w:before="32" w:line="228" w:lineRule="auto"/>
              <w:rPr>
                <w:rFonts w:ascii="SimSun" w:hAnsi="SimSun" w:eastAsia="SimSun" w:cs="SimSun"/>
                <w:sz w:val="20"/>
                <w:szCs w:val="20"/>
              </w:rPr>
            </w:pPr>
            <w:r>
              <w:rPr>
                <w:rFonts w:ascii="SimSun" w:hAnsi="SimSun" w:eastAsia="SimSun" w:cs="SimSun"/>
                <w:sz w:val="20"/>
                <w:szCs w:val="20"/>
                <w:spacing w:val="8"/>
              </w:rPr>
              <w:t>羊草、达乌里黄芪、车前草、委</w:t>
            </w:r>
          </w:p>
          <w:p>
            <w:pPr>
              <w:ind w:left="1335"/>
              <w:spacing w:before="24" w:line="219" w:lineRule="auto"/>
              <w:rPr>
                <w:rFonts w:ascii="SimSun" w:hAnsi="SimSun" w:eastAsia="SimSun" w:cs="SimSun"/>
                <w:sz w:val="20"/>
                <w:szCs w:val="20"/>
              </w:rPr>
            </w:pPr>
            <w:r>
              <w:rPr>
                <w:rFonts w:ascii="SimSun" w:hAnsi="SimSun" w:eastAsia="SimSun" w:cs="SimSun"/>
                <w:sz w:val="20"/>
                <w:szCs w:val="20"/>
                <w:spacing w:val="-2"/>
              </w:rPr>
              <w:t>陵菜</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267"/>
              <w:spacing w:before="182" w:line="218" w:lineRule="auto"/>
              <w:rPr/>
            </w:pPr>
            <w:r>
              <w:rPr>
                <w:spacing w:val="1"/>
              </w:rPr>
              <w:t>69.3g/(m</w:t>
            </w:r>
            <w:r>
              <w:rPr>
                <w:sz w:val="13"/>
                <w:szCs w:val="13"/>
                <w:spacing w:val="1"/>
                <w:position w:val="6"/>
              </w:rPr>
              <w:t>2</w:t>
            </w:r>
            <w:r>
              <w:rPr>
                <w:sz w:val="13"/>
                <w:szCs w:val="13"/>
                <w:spacing w:val="-4"/>
                <w:position w:val="6"/>
              </w:rPr>
              <w:t xml:space="preserve"> </w:t>
            </w:r>
            <w:r>
              <w:rPr>
                <w:spacing w:val="1"/>
              </w:rPr>
              <w:t>·a)</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42"/>
              <w:spacing w:before="132" w:line="192" w:lineRule="auto"/>
              <w:rPr/>
            </w:pPr>
            <w:r>
              <w:rPr>
                <w:spacing w:val="9"/>
              </w:rPr>
              <w:t>7</w:t>
            </w:r>
            <w:r>
              <w:rPr/>
              <w:t>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5"/>
              <w:spacing w:before="129" w:line="195" w:lineRule="auto"/>
              <w:rPr/>
            </w:pPr>
            <w:r>
              <w:rPr>
                <w:spacing w:val="2"/>
              </w:rPr>
              <w:t>50%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3"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3"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510"/>
              <w:spacing w:before="93" w:line="228" w:lineRule="auto"/>
              <w:rPr>
                <w:rFonts w:ascii="SimSun" w:hAnsi="SimSun" w:eastAsia="SimSun" w:cs="SimSun"/>
                <w:sz w:val="20"/>
                <w:szCs w:val="20"/>
              </w:rPr>
            </w:pPr>
            <w:r>
              <w:rPr>
                <w:rFonts w:ascii="SimSun" w:hAnsi="SimSun" w:eastAsia="SimSun" w:cs="SimSun"/>
                <w:sz w:val="20"/>
                <w:szCs w:val="20"/>
                <w:spacing w:val="6"/>
              </w:rPr>
              <w:t>车前草</w:t>
            </w:r>
          </w:p>
        </w:tc>
        <w:tc>
          <w:tcPr>
            <w:tcW w:w="1418" w:type="dxa"/>
            <w:vAlign w:val="top"/>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66"/>
              <w:spacing w:before="93" w:line="228" w:lineRule="auto"/>
              <w:rPr>
                <w:rFonts w:ascii="SimSun" w:hAnsi="SimSun" w:eastAsia="SimSun" w:cs="SimSun"/>
                <w:sz w:val="20"/>
                <w:szCs w:val="20"/>
              </w:rPr>
            </w:pPr>
            <w:r>
              <w:rPr>
                <w:rFonts w:ascii="SimSun" w:hAnsi="SimSun" w:eastAsia="SimSun" w:cs="SimSun"/>
                <w:sz w:val="20"/>
                <w:szCs w:val="20"/>
                <w:spacing w:val="9"/>
              </w:rPr>
              <w:t>芨芨草、阿尔泰狗娃花、冷蒿、旋覆花、尖头叶藜</w:t>
            </w:r>
          </w:p>
        </w:tc>
      </w:tr>
      <w:tr>
        <w:trPr>
          <w:trHeight w:val="7026" w:hRule="atLeast"/>
        </w:trPr>
        <w:tc>
          <w:tcPr>
            <w:tcW w:w="9189" w:type="dxa"/>
            <w:vAlign w:val="top"/>
            <w:gridSpan w:val="6"/>
          </w:tcPr>
          <w:p>
            <w:pPr>
              <w:ind w:firstLine="55"/>
              <w:spacing w:before="2" w:line="7013" w:lineRule="exact"/>
              <w:rPr/>
            </w:pPr>
            <w:r>
              <w:rPr>
                <w:position w:val="-140"/>
              </w:rPr>
              <w:drawing>
                <wp:inline distT="0" distB="0" distL="0" distR="0">
                  <wp:extent cx="5796915" cy="4453763"/>
                  <wp:effectExtent l="0" t="0" r="0" b="0"/>
                  <wp:docPr id="230" name="IM 230"/>
                  <wp:cNvGraphicFramePr/>
                  <a:graphic>
                    <a:graphicData uri="http://schemas.openxmlformats.org/drawingml/2006/picture">
                      <pic:pic>
                        <pic:nvPicPr>
                          <pic:cNvPr id="230" name="IM 230"/>
                          <pic:cNvPicPr/>
                        </pic:nvPicPr>
                        <pic:blipFill>
                          <a:blip r:embed="rId289"/>
                          <a:stretch>
                            <a:fillRect/>
                          </a:stretch>
                        </pic:blipFill>
                        <pic:spPr>
                          <a:xfrm rot="0">
                            <a:off x="0" y="0"/>
                            <a:ext cx="5796915" cy="4453763"/>
                          </a:xfrm>
                          <a:prstGeom prst="rect">
                            <a:avLst/>
                          </a:prstGeom>
                        </pic:spPr>
                      </pic:pic>
                    </a:graphicData>
                  </a:graphic>
                </wp:inline>
              </w:drawing>
            </w:r>
          </w:p>
        </w:tc>
      </w:tr>
    </w:tbl>
    <w:p>
      <w:pPr>
        <w:pStyle w:val="BodyText"/>
        <w:rPr/>
      </w:pPr>
      <w:r/>
    </w:p>
    <w:p>
      <w:pPr>
        <w:sectPr>
          <w:footerReference w:type="default" r:id="rId288"/>
          <w:pgSz w:w="11906" w:h="16838"/>
          <w:pgMar w:top="1170" w:right="1355" w:bottom="1080" w:left="1356" w:header="837" w:footer="918" w:gutter="0"/>
        </w:sectPr>
        <w:rPr/>
      </w:pPr>
    </w:p>
    <w:p>
      <w:pPr>
        <w:pStyle w:val="BodyText"/>
        <w:spacing w:line="441" w:lineRule="auto"/>
        <w:rPr/>
      </w:pPr>
      <w:r/>
    </w:p>
    <w:p>
      <w:pPr>
        <w:ind w:left="3650"/>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2"/>
        </w:rPr>
        <w:t>8#</w:t>
      </w:r>
      <w:r>
        <w:rPr>
          <w:rFonts w:ascii="SimHei" w:hAnsi="SimHei" w:eastAsia="SimHei" w:cs="SimHei"/>
          <w:sz w:val="24"/>
          <w:szCs w:val="24"/>
          <w:spacing w:val="-2"/>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4-2-12</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84"/>
              <w:spacing w:before="132" w:line="195" w:lineRule="auto"/>
              <w:rPr/>
            </w:pPr>
            <w:r>
              <w:rPr>
                <w:spacing w:val="-2"/>
              </w:rPr>
              <w:t>8#</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118.6639°</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45.0015°</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945m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273"/>
              <w:spacing w:before="92" w:line="228" w:lineRule="auto"/>
              <w:rPr>
                <w:rFonts w:ascii="SimSun" w:hAnsi="SimSun" w:eastAsia="SimSun" w:cs="SimSun"/>
                <w:sz w:val="20"/>
                <w:szCs w:val="20"/>
              </w:rPr>
            </w:pPr>
            <w:r>
              <w:rPr>
                <w:rFonts w:ascii="SimSun" w:hAnsi="SimSun" w:eastAsia="SimSun" w:cs="SimSun"/>
                <w:sz w:val="20"/>
                <w:szCs w:val="20"/>
                <w:spacing w:val="9"/>
              </w:rPr>
              <w:t>针茅、北柴胡、赖草、羊草</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2"/>
              <w:spacing w:before="111" w:line="215" w:lineRule="auto"/>
              <w:rPr/>
            </w:pPr>
            <w:r>
              <w:rPr>
                <w:spacing w:val="1"/>
              </w:rPr>
              <w:t>67.9g/(m</w:t>
            </w:r>
            <w:r>
              <w:rPr>
                <w:sz w:val="13"/>
                <w:szCs w:val="13"/>
                <w:spacing w:val="1"/>
                <w:position w:val="6"/>
              </w:rPr>
              <w:t>2</w:t>
            </w:r>
            <w:r>
              <w:rPr>
                <w:sz w:val="13"/>
                <w:szCs w:val="13"/>
                <w:spacing w:val="-4"/>
                <w:position w:val="6"/>
              </w:rPr>
              <w:t xml:space="preserve">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8" w:line="195" w:lineRule="auto"/>
              <w:rPr/>
            </w:pPr>
            <w:r>
              <w:rPr>
                <w:spacing w:val="-1"/>
              </w:rPr>
              <w:t>15cm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8" w:line="195" w:lineRule="auto"/>
              <w:rPr/>
            </w:pPr>
            <w:r>
              <w:rPr>
                <w:spacing w:val="4"/>
              </w:rPr>
              <w:t>45%</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297"/>
              <w:spacing w:before="92" w:line="228" w:lineRule="auto"/>
              <w:rPr>
                <w:rFonts w:ascii="SimSun" w:hAnsi="SimSun" w:eastAsia="SimSun" w:cs="SimSun"/>
                <w:sz w:val="20"/>
                <w:szCs w:val="20"/>
              </w:rPr>
            </w:pPr>
            <w:r>
              <w:rPr>
                <w:rFonts w:ascii="SimSun" w:hAnsi="SimSun" w:eastAsia="SimSun" w:cs="SimSun"/>
                <w:sz w:val="20"/>
                <w:szCs w:val="20"/>
                <w:spacing w:val="8"/>
              </w:rPr>
              <w:t>针茅、羊草</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949"/>
              <w:spacing w:before="92" w:line="228" w:lineRule="auto"/>
              <w:rPr>
                <w:rFonts w:ascii="SimSun" w:hAnsi="SimSun" w:eastAsia="SimSun" w:cs="SimSun"/>
                <w:sz w:val="20"/>
                <w:szCs w:val="20"/>
              </w:rPr>
            </w:pPr>
            <w:r>
              <w:rPr>
                <w:rFonts w:ascii="SimSun" w:hAnsi="SimSun" w:eastAsia="SimSun" w:cs="SimSun"/>
                <w:sz w:val="20"/>
                <w:szCs w:val="20"/>
                <w:spacing w:val="8"/>
              </w:rPr>
              <w:t>针茅、羊草</w:t>
            </w:r>
          </w:p>
        </w:tc>
      </w:tr>
      <w:tr>
        <w:trPr>
          <w:trHeight w:val="6906" w:hRule="atLeast"/>
        </w:trPr>
        <w:tc>
          <w:tcPr>
            <w:tcW w:w="9189" w:type="dxa"/>
            <w:vAlign w:val="top"/>
            <w:gridSpan w:val="6"/>
          </w:tcPr>
          <w:p>
            <w:pPr>
              <w:ind w:firstLine="57"/>
              <w:spacing w:before="3" w:line="6881" w:lineRule="exact"/>
              <w:rPr/>
            </w:pPr>
            <w:r>
              <w:rPr>
                <w:position w:val="-137"/>
              </w:rPr>
              <w:drawing>
                <wp:inline distT="0" distB="0" distL="0" distR="0">
                  <wp:extent cx="5795391" cy="4369307"/>
                  <wp:effectExtent l="0" t="0" r="0" b="0"/>
                  <wp:docPr id="232" name="IM 232"/>
                  <wp:cNvGraphicFramePr/>
                  <a:graphic>
                    <a:graphicData uri="http://schemas.openxmlformats.org/drawingml/2006/picture">
                      <pic:pic>
                        <pic:nvPicPr>
                          <pic:cNvPr id="232" name="IM 232"/>
                          <pic:cNvPicPr/>
                        </pic:nvPicPr>
                        <pic:blipFill>
                          <a:blip r:embed="rId291"/>
                          <a:stretch>
                            <a:fillRect/>
                          </a:stretch>
                        </pic:blipFill>
                        <pic:spPr>
                          <a:xfrm rot="0">
                            <a:off x="0" y="0"/>
                            <a:ext cx="5795391" cy="4369307"/>
                          </a:xfrm>
                          <a:prstGeom prst="rect">
                            <a:avLst/>
                          </a:prstGeom>
                        </pic:spPr>
                      </pic:pic>
                    </a:graphicData>
                  </a:graphic>
                </wp:inline>
              </w:drawing>
            </w:r>
          </w:p>
        </w:tc>
      </w:tr>
    </w:tbl>
    <w:p>
      <w:pPr>
        <w:pStyle w:val="BodyText"/>
        <w:rPr/>
      </w:pPr>
      <w:r/>
    </w:p>
    <w:p>
      <w:pPr>
        <w:sectPr>
          <w:footerReference w:type="default" r:id="rId290"/>
          <w:pgSz w:w="11906" w:h="16838"/>
          <w:pgMar w:top="1170" w:right="1355" w:bottom="1080" w:left="1356" w:header="837" w:footer="918" w:gutter="0"/>
        </w:sectPr>
        <w:rPr/>
      </w:pPr>
    </w:p>
    <w:p>
      <w:pPr>
        <w:pStyle w:val="BodyText"/>
        <w:spacing w:line="441" w:lineRule="auto"/>
        <w:rPr/>
      </w:pPr>
      <w:r/>
    </w:p>
    <w:p>
      <w:pPr>
        <w:ind w:left="3645"/>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2"/>
        </w:rPr>
        <w:t>9#</w:t>
      </w:r>
      <w:r>
        <w:rPr>
          <w:rFonts w:ascii="SimHei" w:hAnsi="SimHei" w:eastAsia="SimHei" w:cs="SimHei"/>
          <w:sz w:val="24"/>
          <w:szCs w:val="24"/>
          <w:spacing w:val="-2"/>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4-2-13</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80"/>
              <w:spacing w:before="132" w:line="195" w:lineRule="auto"/>
              <w:rPr/>
            </w:pPr>
            <w:r>
              <w:rPr/>
              <w:t>9#</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118.6848°</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44.9966°</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945m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165"/>
              <w:spacing w:before="92" w:line="228" w:lineRule="auto"/>
              <w:rPr>
                <w:rFonts w:ascii="SimSun" w:hAnsi="SimSun" w:eastAsia="SimSun" w:cs="SimSun"/>
                <w:sz w:val="20"/>
                <w:szCs w:val="20"/>
              </w:rPr>
            </w:pPr>
            <w:r>
              <w:rPr>
                <w:rFonts w:ascii="SimSun" w:hAnsi="SimSun" w:eastAsia="SimSun" w:cs="SimSun"/>
                <w:sz w:val="20"/>
                <w:szCs w:val="20"/>
                <w:spacing w:val="9"/>
              </w:rPr>
              <w:t>针茅、羊草、冷蒿、粘毛黄芩</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214"/>
              <w:spacing w:before="111" w:line="215" w:lineRule="auto"/>
              <w:rPr/>
            </w:pPr>
            <w:r>
              <w:rPr>
                <w:spacing w:val="1"/>
              </w:rPr>
              <w:t>68.9g/(m</w:t>
            </w:r>
            <w:r>
              <w:rPr>
                <w:sz w:val="13"/>
                <w:szCs w:val="13"/>
                <w:spacing w:val="1"/>
                <w:position w:val="6"/>
              </w:rPr>
              <w:t>2</w:t>
            </w:r>
            <w:r>
              <w:rPr>
                <w:sz w:val="13"/>
                <w:szCs w:val="13"/>
                <w:spacing w:val="-4"/>
                <w:position w:val="6"/>
              </w:rPr>
              <w:t xml:space="preserve">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8" w:line="195" w:lineRule="auto"/>
              <w:rPr/>
            </w:pPr>
            <w:r>
              <w:rPr>
                <w:spacing w:val="-1"/>
              </w:rPr>
              <w:t>12cm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8" w:line="195" w:lineRule="auto"/>
              <w:rPr/>
            </w:pPr>
            <w:r>
              <w:rPr>
                <w:spacing w:val="4"/>
              </w:rPr>
              <w:t>45%</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13"/>
              <w:spacing w:before="92" w:line="229" w:lineRule="auto"/>
              <w:rPr>
                <w:rFonts w:ascii="SimSun" w:hAnsi="SimSun" w:eastAsia="SimSun" w:cs="SimSun"/>
                <w:sz w:val="20"/>
                <w:szCs w:val="20"/>
              </w:rPr>
            </w:pPr>
            <w:r>
              <w:rPr>
                <w:rFonts w:ascii="SimSun" w:hAnsi="SimSun" w:eastAsia="SimSun" w:cs="SimSun"/>
                <w:sz w:val="20"/>
                <w:szCs w:val="20"/>
                <w:spacing w:val="4"/>
              </w:rPr>
              <w:t>针茅</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212"/>
              <w:spacing w:before="92" w:line="228" w:lineRule="auto"/>
              <w:rPr>
                <w:rFonts w:ascii="SimSun" w:hAnsi="SimSun" w:eastAsia="SimSun" w:cs="SimSun"/>
                <w:sz w:val="20"/>
                <w:szCs w:val="20"/>
              </w:rPr>
            </w:pPr>
            <w:r>
              <w:rPr>
                <w:rFonts w:ascii="SimSun" w:hAnsi="SimSun" w:eastAsia="SimSun" w:cs="SimSun"/>
                <w:sz w:val="20"/>
                <w:szCs w:val="20"/>
                <w:spacing w:val="9"/>
              </w:rPr>
              <w:t>达乌里芯芭、冷蒿、草木犀</w:t>
            </w:r>
          </w:p>
        </w:tc>
      </w:tr>
      <w:tr>
        <w:trPr>
          <w:trHeight w:val="7066" w:hRule="atLeast"/>
        </w:trPr>
        <w:tc>
          <w:tcPr>
            <w:tcW w:w="9189" w:type="dxa"/>
            <w:vAlign w:val="top"/>
            <w:gridSpan w:val="6"/>
          </w:tcPr>
          <w:p>
            <w:pPr>
              <w:ind w:firstLine="57"/>
              <w:spacing w:before="3" w:line="7049" w:lineRule="exact"/>
              <w:rPr/>
            </w:pPr>
            <w:r>
              <w:rPr>
                <w:position w:val="-140"/>
              </w:rPr>
              <w:drawing>
                <wp:inline distT="0" distB="0" distL="0" distR="0">
                  <wp:extent cx="5795391" cy="4475987"/>
                  <wp:effectExtent l="0" t="0" r="0" b="0"/>
                  <wp:docPr id="234" name="IM 234"/>
                  <wp:cNvGraphicFramePr/>
                  <a:graphic>
                    <a:graphicData uri="http://schemas.openxmlformats.org/drawingml/2006/picture">
                      <pic:pic>
                        <pic:nvPicPr>
                          <pic:cNvPr id="234" name="IM 234"/>
                          <pic:cNvPicPr/>
                        </pic:nvPicPr>
                        <pic:blipFill>
                          <a:blip r:embed="rId293"/>
                          <a:stretch>
                            <a:fillRect/>
                          </a:stretch>
                        </pic:blipFill>
                        <pic:spPr>
                          <a:xfrm rot="0">
                            <a:off x="0" y="0"/>
                            <a:ext cx="5795391" cy="4475987"/>
                          </a:xfrm>
                          <a:prstGeom prst="rect">
                            <a:avLst/>
                          </a:prstGeom>
                        </pic:spPr>
                      </pic:pic>
                    </a:graphicData>
                  </a:graphic>
                </wp:inline>
              </w:drawing>
            </w:r>
          </w:p>
        </w:tc>
      </w:tr>
    </w:tbl>
    <w:p>
      <w:pPr>
        <w:pStyle w:val="BodyText"/>
        <w:rPr/>
      </w:pPr>
      <w:r/>
    </w:p>
    <w:p>
      <w:pPr>
        <w:sectPr>
          <w:footerReference w:type="default" r:id="rId292"/>
          <w:pgSz w:w="11906" w:h="16838"/>
          <w:pgMar w:top="1170" w:right="1355" w:bottom="1080" w:left="1356" w:header="837" w:footer="918" w:gutter="0"/>
        </w:sectPr>
        <w:rPr/>
      </w:pPr>
    </w:p>
    <w:p>
      <w:pPr>
        <w:pStyle w:val="BodyText"/>
        <w:spacing w:line="441" w:lineRule="auto"/>
        <w:rPr/>
      </w:pPr>
      <w:r/>
    </w:p>
    <w:p>
      <w:pPr>
        <w:ind w:left="3604"/>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3"/>
        </w:rPr>
        <w:t>10#</w:t>
      </w:r>
      <w:r>
        <w:rPr>
          <w:rFonts w:ascii="SimHei" w:hAnsi="SimHei" w:eastAsia="SimHei" w:cs="SimHei"/>
          <w:sz w:val="24"/>
          <w:szCs w:val="24"/>
          <w:spacing w:val="-3"/>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4-2-14</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10#</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118.6544°</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44.9865°</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945m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551"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1"/>
              <w:spacing w:before="32" w:line="228" w:lineRule="auto"/>
              <w:rPr>
                <w:rFonts w:ascii="SimSun" w:hAnsi="SimSun" w:eastAsia="SimSun" w:cs="SimSun"/>
                <w:sz w:val="20"/>
                <w:szCs w:val="20"/>
              </w:rPr>
            </w:pPr>
            <w:r>
              <w:rPr>
                <w:rFonts w:ascii="SimSun" w:hAnsi="SimSun" w:eastAsia="SimSun" w:cs="SimSun"/>
                <w:sz w:val="20"/>
                <w:szCs w:val="20"/>
                <w:spacing w:val="9"/>
              </w:rPr>
              <w:t>针茅、达乌里黄芪、羊草、达乌</w:t>
            </w:r>
          </w:p>
          <w:p>
            <w:pPr>
              <w:ind w:left="1221"/>
              <w:spacing w:before="24" w:line="219" w:lineRule="auto"/>
              <w:rPr>
                <w:rFonts w:ascii="SimSun" w:hAnsi="SimSun" w:eastAsia="SimSun" w:cs="SimSun"/>
                <w:sz w:val="20"/>
                <w:szCs w:val="20"/>
              </w:rPr>
            </w:pPr>
            <w:r>
              <w:rPr>
                <w:rFonts w:ascii="SimSun" w:hAnsi="SimSun" w:eastAsia="SimSun" w:cs="SimSun"/>
                <w:sz w:val="20"/>
                <w:szCs w:val="20"/>
                <w:spacing w:val="6"/>
              </w:rPr>
              <w:t>里芯芭</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214"/>
              <w:spacing w:before="182" w:line="218" w:lineRule="auto"/>
              <w:rPr/>
            </w:pPr>
            <w:r>
              <w:rPr>
                <w:spacing w:val="1"/>
              </w:rPr>
              <w:t>66.7g/(m</w:t>
            </w:r>
            <w:r>
              <w:rPr>
                <w:sz w:val="13"/>
                <w:szCs w:val="13"/>
                <w:spacing w:val="1"/>
                <w:position w:val="6"/>
              </w:rPr>
              <w:t>2</w:t>
            </w:r>
            <w:r>
              <w:rPr>
                <w:sz w:val="13"/>
                <w:szCs w:val="13"/>
                <w:spacing w:val="-4"/>
                <w:position w:val="6"/>
              </w:rPr>
              <w:t xml:space="preserve"> </w:t>
            </w:r>
            <w:r>
              <w:rPr>
                <w:spacing w:val="1"/>
              </w:rPr>
              <w:t>·a)</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9" w:line="195" w:lineRule="auto"/>
              <w:rPr/>
            </w:pPr>
            <w:r>
              <w:rPr>
                <w:spacing w:val="-1"/>
              </w:rPr>
              <w:t>10cm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4"/>
              <w:spacing w:before="129" w:line="195" w:lineRule="auto"/>
              <w:rPr/>
            </w:pPr>
            <w:r>
              <w:rPr>
                <w:spacing w:val="2"/>
              </w:rPr>
              <w:t>30%</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3"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3"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297"/>
              <w:spacing w:before="93" w:line="228" w:lineRule="auto"/>
              <w:rPr>
                <w:rFonts w:ascii="SimSun" w:hAnsi="SimSun" w:eastAsia="SimSun" w:cs="SimSun"/>
                <w:sz w:val="20"/>
                <w:szCs w:val="20"/>
              </w:rPr>
            </w:pPr>
            <w:r>
              <w:rPr>
                <w:rFonts w:ascii="SimSun" w:hAnsi="SimSun" w:eastAsia="SimSun" w:cs="SimSun"/>
                <w:sz w:val="20"/>
                <w:szCs w:val="20"/>
                <w:spacing w:val="8"/>
              </w:rPr>
              <w:t>针茅、羊草</w:t>
            </w:r>
          </w:p>
        </w:tc>
        <w:tc>
          <w:tcPr>
            <w:tcW w:w="1418" w:type="dxa"/>
            <w:vAlign w:val="top"/>
          </w:tcPr>
          <w:p>
            <w:pPr>
              <w:ind w:left="189"/>
              <w:spacing w:before="93"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949"/>
              <w:spacing w:before="93" w:line="228" w:lineRule="auto"/>
              <w:rPr>
                <w:rFonts w:ascii="SimSun" w:hAnsi="SimSun" w:eastAsia="SimSun" w:cs="SimSun"/>
                <w:sz w:val="20"/>
                <w:szCs w:val="20"/>
              </w:rPr>
            </w:pPr>
            <w:r>
              <w:rPr>
                <w:rFonts w:ascii="SimSun" w:hAnsi="SimSun" w:eastAsia="SimSun" w:cs="SimSun"/>
                <w:sz w:val="20"/>
                <w:szCs w:val="20"/>
                <w:spacing w:val="8"/>
              </w:rPr>
              <w:t>针茅、羊草</w:t>
            </w:r>
          </w:p>
        </w:tc>
      </w:tr>
      <w:tr>
        <w:trPr>
          <w:trHeight w:val="6906" w:hRule="atLeast"/>
        </w:trPr>
        <w:tc>
          <w:tcPr>
            <w:tcW w:w="9189" w:type="dxa"/>
            <w:vAlign w:val="top"/>
            <w:gridSpan w:val="6"/>
          </w:tcPr>
          <w:p>
            <w:pPr>
              <w:ind w:firstLine="55"/>
              <w:spacing w:before="2" w:line="6885" w:lineRule="exact"/>
              <w:rPr/>
            </w:pPr>
            <w:r>
              <w:rPr>
                <w:position w:val="-137"/>
              </w:rPr>
              <w:drawing>
                <wp:inline distT="0" distB="0" distL="0" distR="0">
                  <wp:extent cx="5796915" cy="4372356"/>
                  <wp:effectExtent l="0" t="0" r="0" b="0"/>
                  <wp:docPr id="236" name="IM 236"/>
                  <wp:cNvGraphicFramePr/>
                  <a:graphic>
                    <a:graphicData uri="http://schemas.openxmlformats.org/drawingml/2006/picture">
                      <pic:pic>
                        <pic:nvPicPr>
                          <pic:cNvPr id="236" name="IM 236"/>
                          <pic:cNvPicPr/>
                        </pic:nvPicPr>
                        <pic:blipFill>
                          <a:blip r:embed="rId295"/>
                          <a:stretch>
                            <a:fillRect/>
                          </a:stretch>
                        </pic:blipFill>
                        <pic:spPr>
                          <a:xfrm rot="0">
                            <a:off x="0" y="0"/>
                            <a:ext cx="5796915" cy="4372356"/>
                          </a:xfrm>
                          <a:prstGeom prst="rect">
                            <a:avLst/>
                          </a:prstGeom>
                        </pic:spPr>
                      </pic:pic>
                    </a:graphicData>
                  </a:graphic>
                </wp:inline>
              </w:drawing>
            </w:r>
          </w:p>
        </w:tc>
      </w:tr>
    </w:tbl>
    <w:p>
      <w:pPr>
        <w:pStyle w:val="BodyText"/>
        <w:rPr/>
      </w:pPr>
      <w:r/>
    </w:p>
    <w:p>
      <w:pPr>
        <w:sectPr>
          <w:footerReference w:type="default" r:id="rId294"/>
          <w:pgSz w:w="11906" w:h="16838"/>
          <w:pgMar w:top="1170" w:right="1355" w:bottom="1080" w:left="1356" w:header="837" w:footer="918" w:gutter="0"/>
        </w:sectPr>
        <w:rPr/>
      </w:pPr>
    </w:p>
    <w:p>
      <w:pPr>
        <w:pStyle w:val="BodyText"/>
        <w:spacing w:line="441" w:lineRule="auto"/>
        <w:rPr/>
      </w:pPr>
      <w:r/>
    </w:p>
    <w:p>
      <w:pPr>
        <w:ind w:left="3604"/>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3"/>
        </w:rPr>
        <w:t>11#</w:t>
      </w:r>
      <w:r>
        <w:rPr>
          <w:rFonts w:ascii="SimHei" w:hAnsi="SimHei" w:eastAsia="SimHei" w:cs="SimHei"/>
          <w:sz w:val="24"/>
          <w:szCs w:val="24"/>
          <w:spacing w:val="-3"/>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41"/>
        </w:rPr>
        <w:t xml:space="preserve"> </w:t>
      </w:r>
      <w:r>
        <w:rPr>
          <w:rFonts w:ascii="Times New Roman" w:hAnsi="Times New Roman" w:eastAsia="Times New Roman" w:cs="Times New Roman"/>
          <w:sz w:val="20"/>
          <w:szCs w:val="20"/>
          <w:spacing w:val="3"/>
        </w:rPr>
        <w:t>4-2-15</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11#</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118.6494°</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44.9776°</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967m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585"/>
              <w:spacing w:before="92" w:line="228" w:lineRule="auto"/>
              <w:rPr>
                <w:rFonts w:ascii="SimSun" w:hAnsi="SimSun" w:eastAsia="SimSun" w:cs="SimSun"/>
                <w:sz w:val="20"/>
                <w:szCs w:val="20"/>
              </w:rPr>
            </w:pPr>
            <w:r>
              <w:rPr>
                <w:rFonts w:ascii="SimSun" w:hAnsi="SimSun" w:eastAsia="SimSun" w:cs="SimSun"/>
                <w:sz w:val="20"/>
                <w:szCs w:val="20"/>
                <w:spacing w:val="8"/>
              </w:rPr>
              <w:t>针茅、羊草、北柴胡</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2"/>
              <w:spacing w:before="111" w:line="215" w:lineRule="auto"/>
              <w:rPr/>
            </w:pPr>
            <w:r>
              <w:rPr>
                <w:spacing w:val="1"/>
              </w:rPr>
              <w:t>68.3g/(m</w:t>
            </w:r>
            <w:r>
              <w:rPr>
                <w:sz w:val="13"/>
                <w:szCs w:val="13"/>
                <w:spacing w:val="1"/>
                <w:position w:val="6"/>
              </w:rPr>
              <w:t>2</w:t>
            </w:r>
            <w:r>
              <w:rPr>
                <w:sz w:val="13"/>
                <w:szCs w:val="13"/>
                <w:spacing w:val="-4"/>
                <w:position w:val="6"/>
              </w:rPr>
              <w:t xml:space="preserve">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586"/>
              <w:spacing w:before="128" w:line="195" w:lineRule="auto"/>
              <w:rPr/>
            </w:pPr>
            <w:r>
              <w:rPr>
                <w:spacing w:val="9"/>
              </w:rPr>
              <w:t>20</w:t>
            </w:r>
            <w:r>
              <w:rPr/>
              <w:t>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89"/>
              <w:spacing w:before="128" w:line="195" w:lineRule="auto"/>
              <w:rPr/>
            </w:pPr>
            <w:r>
              <w:rPr>
                <w:spacing w:val="4"/>
              </w:rPr>
              <w:t>45%</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13"/>
              <w:spacing w:before="92" w:line="229" w:lineRule="auto"/>
              <w:rPr>
                <w:rFonts w:ascii="SimSun" w:hAnsi="SimSun" w:eastAsia="SimSun" w:cs="SimSun"/>
                <w:sz w:val="20"/>
                <w:szCs w:val="20"/>
              </w:rPr>
            </w:pPr>
            <w:r>
              <w:rPr>
                <w:rFonts w:ascii="SimSun" w:hAnsi="SimSun" w:eastAsia="SimSun" w:cs="SimSun"/>
                <w:sz w:val="20"/>
                <w:szCs w:val="20"/>
                <w:spacing w:val="4"/>
              </w:rPr>
              <w:t>针茅</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949"/>
              <w:spacing w:before="92" w:line="228" w:lineRule="auto"/>
              <w:rPr>
                <w:rFonts w:ascii="SimSun" w:hAnsi="SimSun" w:eastAsia="SimSun" w:cs="SimSun"/>
                <w:sz w:val="20"/>
                <w:szCs w:val="20"/>
              </w:rPr>
            </w:pPr>
            <w:r>
              <w:rPr>
                <w:rFonts w:ascii="SimSun" w:hAnsi="SimSun" w:eastAsia="SimSun" w:cs="SimSun"/>
                <w:sz w:val="20"/>
                <w:szCs w:val="20"/>
                <w:spacing w:val="8"/>
              </w:rPr>
              <w:t>针茅、羊草</w:t>
            </w:r>
          </w:p>
        </w:tc>
      </w:tr>
      <w:tr>
        <w:trPr>
          <w:trHeight w:val="6867" w:hRule="atLeast"/>
        </w:trPr>
        <w:tc>
          <w:tcPr>
            <w:tcW w:w="9189" w:type="dxa"/>
            <w:vAlign w:val="top"/>
            <w:gridSpan w:val="6"/>
          </w:tcPr>
          <w:p>
            <w:pPr>
              <w:ind w:firstLine="57"/>
              <w:spacing w:before="3" w:line="6854" w:lineRule="exact"/>
              <w:rPr/>
            </w:pPr>
            <w:r>
              <w:rPr>
                <w:position w:val="-137"/>
              </w:rPr>
              <w:drawing>
                <wp:inline distT="0" distB="0" distL="0" distR="0">
                  <wp:extent cx="5792723" cy="4351782"/>
                  <wp:effectExtent l="0" t="0" r="0" b="0"/>
                  <wp:docPr id="238" name="IM 238"/>
                  <wp:cNvGraphicFramePr/>
                  <a:graphic>
                    <a:graphicData uri="http://schemas.openxmlformats.org/drawingml/2006/picture">
                      <pic:pic>
                        <pic:nvPicPr>
                          <pic:cNvPr id="238" name="IM 238"/>
                          <pic:cNvPicPr/>
                        </pic:nvPicPr>
                        <pic:blipFill>
                          <a:blip r:embed="rId297"/>
                          <a:stretch>
                            <a:fillRect/>
                          </a:stretch>
                        </pic:blipFill>
                        <pic:spPr>
                          <a:xfrm rot="0">
                            <a:off x="0" y="0"/>
                            <a:ext cx="5792723" cy="4351782"/>
                          </a:xfrm>
                          <a:prstGeom prst="rect">
                            <a:avLst/>
                          </a:prstGeom>
                        </pic:spPr>
                      </pic:pic>
                    </a:graphicData>
                  </a:graphic>
                </wp:inline>
              </w:drawing>
            </w:r>
          </w:p>
        </w:tc>
      </w:tr>
    </w:tbl>
    <w:p>
      <w:pPr>
        <w:pStyle w:val="BodyText"/>
        <w:rPr/>
      </w:pPr>
      <w:r/>
    </w:p>
    <w:p>
      <w:pPr>
        <w:sectPr>
          <w:footerReference w:type="default" r:id="rId296"/>
          <w:pgSz w:w="11906" w:h="16838"/>
          <w:pgMar w:top="1170" w:right="1355" w:bottom="1080" w:left="1356" w:header="837" w:footer="918" w:gutter="0"/>
        </w:sectPr>
        <w:rPr/>
      </w:pPr>
    </w:p>
    <w:p>
      <w:pPr>
        <w:pStyle w:val="BodyText"/>
        <w:spacing w:line="441" w:lineRule="auto"/>
        <w:rPr/>
      </w:pPr>
      <w:r/>
    </w:p>
    <w:p>
      <w:pPr>
        <w:ind w:left="3604"/>
        <w:spacing w:before="78" w:line="221" w:lineRule="auto"/>
        <w:rPr>
          <w:rFonts w:ascii="SimHei" w:hAnsi="SimHei" w:eastAsia="SimHei" w:cs="SimHei"/>
          <w:sz w:val="24"/>
          <w:szCs w:val="24"/>
        </w:rPr>
      </w:pPr>
      <w:r>
        <w:rPr>
          <w:rFonts w:ascii="Times New Roman" w:hAnsi="Times New Roman" w:eastAsia="Times New Roman" w:cs="Times New Roman"/>
          <w:sz w:val="24"/>
          <w:szCs w:val="24"/>
          <w:spacing w:val="-3"/>
        </w:rPr>
        <w:t>12#</w:t>
      </w:r>
      <w:r>
        <w:rPr>
          <w:rFonts w:ascii="SimHei" w:hAnsi="SimHei" w:eastAsia="SimHei" w:cs="SimHei"/>
          <w:sz w:val="24"/>
          <w:szCs w:val="24"/>
          <w:spacing w:val="-3"/>
        </w:rPr>
        <w:t>样方调查登记表</w:t>
      </w:r>
    </w:p>
    <w:p>
      <w:pPr>
        <w:ind w:left="6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4-2-16</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5"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12#</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2024.7.27</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2"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118.6338°</w:t>
            </w:r>
          </w:p>
        </w:tc>
        <w:tc>
          <w:tcPr>
            <w:tcW w:w="1672" w:type="dxa"/>
            <w:vAlign w:val="top"/>
          </w:tcPr>
          <w:p>
            <w:pPr>
              <w:ind w:left="634"/>
              <w:spacing w:before="92"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44.9490°</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127" w:line="195" w:lineRule="auto"/>
              <w:rPr/>
            </w:pPr>
            <w:r>
              <w:rPr>
                <w:spacing w:val="2"/>
              </w:rPr>
              <w:t>971m</w:t>
            </w:r>
          </w:p>
        </w:tc>
        <w:tc>
          <w:tcPr>
            <w:tcW w:w="1418" w:type="dxa"/>
            <w:vAlign w:val="top"/>
          </w:tcPr>
          <w:p>
            <w:pPr>
              <w:ind w:left="296"/>
              <w:spacing w:before="91"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92"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91"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474"/>
              <w:spacing w:before="91" w:line="228" w:lineRule="auto"/>
              <w:rPr>
                <w:rFonts w:ascii="SimSun" w:hAnsi="SimSun" w:eastAsia="SimSun" w:cs="SimSun"/>
                <w:sz w:val="20"/>
                <w:szCs w:val="20"/>
              </w:rPr>
            </w:pPr>
            <w:r>
              <w:rPr>
                <w:rFonts w:ascii="SimSun" w:hAnsi="SimSun" w:eastAsia="SimSun" w:cs="SimSun"/>
                <w:sz w:val="20"/>
                <w:szCs w:val="20"/>
                <w:spacing w:val="-2"/>
              </w:rPr>
              <w:t>自然降雨</w:t>
            </w:r>
          </w:p>
        </w:tc>
      </w:tr>
      <w:tr>
        <w:trPr>
          <w:trHeight w:val="403" w:hRule="atLeast"/>
        </w:trPr>
        <w:tc>
          <w:tcPr>
            <w:tcW w:w="1194" w:type="dxa"/>
            <w:vAlign w:val="top"/>
          </w:tcPr>
          <w:p>
            <w:pPr>
              <w:ind w:left="184"/>
              <w:spacing w:before="92"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488"/>
              <w:spacing w:before="92" w:line="228" w:lineRule="auto"/>
              <w:rPr>
                <w:rFonts w:ascii="SimSun" w:hAnsi="SimSun" w:eastAsia="SimSun" w:cs="SimSun"/>
                <w:sz w:val="20"/>
                <w:szCs w:val="20"/>
              </w:rPr>
            </w:pPr>
            <w:r>
              <w:rPr>
                <w:rFonts w:ascii="SimSun" w:hAnsi="SimSun" w:eastAsia="SimSun" w:cs="SimSun"/>
                <w:sz w:val="20"/>
                <w:szCs w:val="20"/>
                <w:spacing w:val="8"/>
              </w:rPr>
              <w:t>羊草、冷蒿、斜茎黄耆</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2"/>
              <w:spacing w:before="111" w:line="215" w:lineRule="auto"/>
              <w:rPr/>
            </w:pPr>
            <w:r>
              <w:rPr>
                <w:spacing w:val="-1"/>
              </w:rPr>
              <w:t>67.</w:t>
            </w:r>
            <w:r>
              <w:rPr>
                <w:spacing w:val="-20"/>
              </w:rPr>
              <w:t xml:space="preserve"> </w:t>
            </w:r>
            <w:r>
              <w:rPr>
                <w:spacing w:val="-1"/>
              </w:rPr>
              <w:t>1g/(m</w:t>
            </w:r>
            <w:r>
              <w:rPr>
                <w:sz w:val="13"/>
                <w:szCs w:val="13"/>
                <w:spacing w:val="-1"/>
                <w:position w:val="6"/>
              </w:rPr>
              <w:t>2</w:t>
            </w:r>
            <w:r>
              <w:rPr>
                <w:sz w:val="13"/>
                <w:szCs w:val="13"/>
                <w:spacing w:val="-10"/>
                <w:position w:val="6"/>
              </w:rPr>
              <w:t xml:space="preserve"> </w:t>
            </w:r>
            <w:r>
              <w:rPr>
                <w:spacing w:val="-1"/>
              </w:rPr>
              <w:t>·a)</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8" w:line="195" w:lineRule="auto"/>
              <w:rPr/>
            </w:pPr>
            <w:r>
              <w:rPr>
                <w:spacing w:val="-1"/>
              </w:rPr>
              <w:t>15cm</w:t>
            </w:r>
          </w:p>
        </w:tc>
        <w:tc>
          <w:tcPr>
            <w:tcW w:w="1418" w:type="dxa"/>
            <w:vAlign w:val="top"/>
          </w:tcPr>
          <w:p>
            <w:pPr>
              <w:ind w:left="295"/>
              <w:spacing w:before="92"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4"/>
              <w:spacing w:before="128" w:line="195" w:lineRule="auto"/>
              <w:rPr/>
            </w:pPr>
            <w:r>
              <w:rPr>
                <w:spacing w:val="2"/>
              </w:rPr>
              <w:t>35%</w:t>
            </w:r>
          </w:p>
        </w:tc>
        <w:tc>
          <w:tcPr>
            <w:tcW w:w="1672" w:type="dxa"/>
            <w:vAlign w:val="top"/>
          </w:tcPr>
          <w:p>
            <w:pPr>
              <w:ind w:left="423"/>
              <w:spacing w:before="92"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303"/>
              <w:spacing w:before="92" w:line="228" w:lineRule="auto"/>
              <w:rPr>
                <w:rFonts w:ascii="SimSun" w:hAnsi="SimSun" w:eastAsia="SimSun" w:cs="SimSun"/>
                <w:sz w:val="20"/>
                <w:szCs w:val="20"/>
              </w:rPr>
            </w:pPr>
            <w:r>
              <w:rPr>
                <w:rFonts w:ascii="SimSun" w:hAnsi="SimSun" w:eastAsia="SimSun" w:cs="SimSun"/>
                <w:sz w:val="20"/>
                <w:szCs w:val="20"/>
                <w:spacing w:val="6"/>
              </w:rPr>
              <w:t>羊草、冷蒿</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1430"/>
              <w:spacing w:before="92" w:line="228" w:lineRule="auto"/>
              <w:rPr>
                <w:rFonts w:ascii="SimSun" w:hAnsi="SimSun" w:eastAsia="SimSun" w:cs="SimSun"/>
                <w:sz w:val="20"/>
                <w:szCs w:val="20"/>
              </w:rPr>
            </w:pPr>
            <w:r>
              <w:rPr>
                <w:rFonts w:ascii="SimSun" w:hAnsi="SimSun" w:eastAsia="SimSun" w:cs="SimSun"/>
                <w:sz w:val="20"/>
                <w:szCs w:val="20"/>
                <w:spacing w:val="8"/>
              </w:rPr>
              <w:t>羊草、冷蒿、斜茎黄耆</w:t>
            </w:r>
          </w:p>
        </w:tc>
      </w:tr>
      <w:tr>
        <w:trPr>
          <w:trHeight w:val="6646" w:hRule="atLeast"/>
        </w:trPr>
        <w:tc>
          <w:tcPr>
            <w:tcW w:w="9189" w:type="dxa"/>
            <w:vAlign w:val="top"/>
            <w:gridSpan w:val="6"/>
          </w:tcPr>
          <w:p>
            <w:pPr>
              <w:ind w:firstLine="182"/>
              <w:spacing w:before="1" w:line="6631" w:lineRule="exact"/>
              <w:rPr/>
            </w:pPr>
            <w:r>
              <w:rPr>
                <w:position w:val="-132"/>
              </w:rPr>
              <w:drawing>
                <wp:inline distT="0" distB="0" distL="0" distR="0">
                  <wp:extent cx="5597651" cy="4210812"/>
                  <wp:effectExtent l="0" t="0" r="0" b="0"/>
                  <wp:docPr id="240" name="IM 240"/>
                  <wp:cNvGraphicFramePr/>
                  <a:graphic>
                    <a:graphicData uri="http://schemas.openxmlformats.org/drawingml/2006/picture">
                      <pic:pic>
                        <pic:nvPicPr>
                          <pic:cNvPr id="240" name="IM 240"/>
                          <pic:cNvPicPr/>
                        </pic:nvPicPr>
                        <pic:blipFill>
                          <a:blip r:embed="rId299"/>
                          <a:stretch>
                            <a:fillRect/>
                          </a:stretch>
                        </pic:blipFill>
                        <pic:spPr>
                          <a:xfrm rot="0">
                            <a:off x="0" y="0"/>
                            <a:ext cx="5597651" cy="4210812"/>
                          </a:xfrm>
                          <a:prstGeom prst="rect">
                            <a:avLst/>
                          </a:prstGeom>
                        </pic:spPr>
                      </pic:pic>
                    </a:graphicData>
                  </a:graphic>
                </wp:inline>
              </w:drawing>
            </w:r>
          </w:p>
        </w:tc>
      </w:tr>
    </w:tbl>
    <w:p>
      <w:pPr>
        <w:pStyle w:val="BodyText"/>
        <w:rPr/>
      </w:pPr>
      <w:r/>
    </w:p>
    <w:p>
      <w:pPr>
        <w:sectPr>
          <w:footerReference w:type="default" r:id="rId298"/>
          <w:pgSz w:w="11906" w:h="16838"/>
          <w:pgMar w:top="1170" w:right="1355" w:bottom="1080" w:left="1356" w:header="837" w:footer="918" w:gutter="0"/>
        </w:sectPr>
        <w:rPr/>
      </w:pPr>
    </w:p>
    <w:p>
      <w:pPr>
        <w:pStyle w:val="BodyText"/>
        <w:spacing w:line="312" w:lineRule="auto"/>
        <w:rPr/>
      </w:pPr>
      <w:r/>
    </w:p>
    <w:p>
      <w:pPr>
        <w:ind w:left="3597"/>
        <w:spacing w:before="78" w:line="221" w:lineRule="auto"/>
        <w:rPr>
          <w:rFonts w:ascii="SimHei" w:hAnsi="SimHei" w:eastAsia="SimHei" w:cs="SimHei"/>
          <w:sz w:val="24"/>
          <w:szCs w:val="24"/>
        </w:rPr>
      </w:pPr>
      <w:r>
        <w:rPr>
          <w:rFonts w:ascii="SimHei" w:hAnsi="SimHei" w:eastAsia="SimHei" w:cs="SimHei"/>
          <w:sz w:val="24"/>
          <w:szCs w:val="24"/>
          <w:spacing w:val="-3"/>
        </w:rPr>
        <w:t>13#样方调查登记表</w:t>
      </w:r>
    </w:p>
    <w:p>
      <w:pPr>
        <w:ind w:left="67"/>
        <w:spacing w:before="39"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4-2-17</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8"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pStyle w:val="TableText"/>
              <w:ind w:left="342"/>
              <w:spacing w:before="96" w:line="228" w:lineRule="auto"/>
              <w:rPr>
                <w:rFonts w:ascii="SimSun" w:hAnsi="SimSun" w:eastAsia="SimSun" w:cs="SimSun"/>
              </w:rPr>
            </w:pPr>
            <w:r>
              <w:rPr/>
              <w:t>1</w:t>
            </w:r>
            <w:r>
              <w:rPr>
                <w:spacing w:val="18"/>
              </w:rPr>
              <w:t xml:space="preserve"> </w:t>
            </w:r>
            <w:r>
              <w:rPr>
                <w:rFonts w:ascii="SimSun" w:hAnsi="SimSun" w:eastAsia="SimSun" w:cs="SimSun"/>
              </w:rPr>
              <w:t>号排土场</w:t>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13#</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2024.7.28</w:t>
            </w:r>
          </w:p>
        </w:tc>
      </w:tr>
      <w:tr>
        <w:trPr>
          <w:trHeight w:val="400" w:hRule="atLeast"/>
        </w:trPr>
        <w:tc>
          <w:tcPr>
            <w:tcW w:w="1194" w:type="dxa"/>
            <w:vAlign w:val="top"/>
          </w:tcPr>
          <w:p>
            <w:pPr>
              <w:ind w:left="182"/>
              <w:spacing w:before="90"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1"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118.6637°</w:t>
            </w:r>
          </w:p>
        </w:tc>
        <w:tc>
          <w:tcPr>
            <w:tcW w:w="1672" w:type="dxa"/>
            <w:vAlign w:val="top"/>
          </w:tcPr>
          <w:p>
            <w:pPr>
              <w:ind w:left="634"/>
              <w:spacing w:before="91"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44.9427°</w:t>
            </w:r>
          </w:p>
        </w:tc>
      </w:tr>
      <w:tr>
        <w:trPr>
          <w:trHeight w:val="549" w:hRule="atLeast"/>
        </w:trPr>
        <w:tc>
          <w:tcPr>
            <w:tcW w:w="1194" w:type="dxa"/>
            <w:vAlign w:val="top"/>
          </w:tcPr>
          <w:p>
            <w:pPr>
              <w:ind w:left="182"/>
              <w:spacing w:before="165"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202" w:line="195" w:lineRule="auto"/>
              <w:rPr/>
            </w:pPr>
            <w:r>
              <w:rPr>
                <w:spacing w:val="2"/>
              </w:rPr>
              <w:t>977m</w:t>
            </w:r>
          </w:p>
        </w:tc>
        <w:tc>
          <w:tcPr>
            <w:tcW w:w="1418" w:type="dxa"/>
            <w:vAlign w:val="top"/>
          </w:tcPr>
          <w:p>
            <w:pPr>
              <w:ind w:left="296"/>
              <w:spacing w:before="165"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166"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165"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756" w:right="59" w:hanging="657"/>
              <w:spacing w:before="29" w:line="235" w:lineRule="auto"/>
              <w:rPr>
                <w:rFonts w:ascii="SimSun" w:hAnsi="SimSun" w:eastAsia="SimSun" w:cs="SimSun"/>
                <w:sz w:val="20"/>
                <w:szCs w:val="20"/>
              </w:rPr>
            </w:pPr>
            <w:r>
              <w:rPr>
                <w:rFonts w:ascii="SimSun" w:hAnsi="SimSun" w:eastAsia="SimSun" w:cs="SimSun"/>
                <w:sz w:val="20"/>
                <w:szCs w:val="20"/>
                <w:spacing w:val="-7"/>
              </w:rPr>
              <w:t>自然降雨、人工洒</w:t>
            </w:r>
            <w:r>
              <w:rPr>
                <w:rFonts w:ascii="SimSun" w:hAnsi="SimSun" w:eastAsia="SimSun" w:cs="SimSun"/>
                <w:sz w:val="20"/>
                <w:szCs w:val="20"/>
              </w:rPr>
              <w:t>水</w:t>
            </w:r>
          </w:p>
        </w:tc>
      </w:tr>
      <w:tr>
        <w:trPr>
          <w:trHeight w:val="552" w:hRule="atLeast"/>
        </w:trPr>
        <w:tc>
          <w:tcPr>
            <w:tcW w:w="1194" w:type="dxa"/>
            <w:vAlign w:val="top"/>
          </w:tcPr>
          <w:p>
            <w:pPr>
              <w:ind w:left="184"/>
              <w:spacing w:before="166"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4"/>
              <w:spacing w:before="31" w:line="228" w:lineRule="auto"/>
              <w:rPr>
                <w:rFonts w:ascii="SimSun" w:hAnsi="SimSun" w:eastAsia="SimSun" w:cs="SimSun"/>
                <w:sz w:val="20"/>
                <w:szCs w:val="20"/>
              </w:rPr>
            </w:pPr>
            <w:r>
              <w:rPr>
                <w:rFonts w:ascii="SimSun" w:hAnsi="SimSun" w:eastAsia="SimSun" w:cs="SimSun"/>
                <w:sz w:val="20"/>
                <w:szCs w:val="20"/>
                <w:spacing w:val="8"/>
              </w:rPr>
              <w:t>线叶菊、北柴胡达、乌里黄芪、</w:t>
            </w:r>
          </w:p>
          <w:p>
            <w:pPr>
              <w:ind w:left="908"/>
              <w:spacing w:before="24" w:line="220" w:lineRule="auto"/>
              <w:rPr>
                <w:rFonts w:ascii="SimSun" w:hAnsi="SimSun" w:eastAsia="SimSun" w:cs="SimSun"/>
                <w:sz w:val="20"/>
                <w:szCs w:val="20"/>
              </w:rPr>
            </w:pPr>
            <w:r>
              <w:rPr>
                <w:rFonts w:ascii="SimSun" w:hAnsi="SimSun" w:eastAsia="SimSun" w:cs="SimSun"/>
                <w:sz w:val="20"/>
                <w:szCs w:val="20"/>
                <w:spacing w:val="7"/>
              </w:rPr>
              <w:t>羊草、猪毛菜</w:t>
            </w:r>
          </w:p>
        </w:tc>
        <w:tc>
          <w:tcPr>
            <w:tcW w:w="1559" w:type="dxa"/>
            <w:vAlign w:val="top"/>
          </w:tcPr>
          <w:p>
            <w:pPr>
              <w:ind w:left="470"/>
              <w:spacing w:before="166"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5"/>
              <w:spacing w:before="182" w:line="218" w:lineRule="auto"/>
              <w:rPr/>
            </w:pPr>
            <w:r>
              <w:rPr>
                <w:spacing w:val="1"/>
              </w:rPr>
              <w:t>83.8g/(m</w:t>
            </w:r>
            <w:r>
              <w:rPr>
                <w:sz w:val="13"/>
                <w:szCs w:val="13"/>
                <w:spacing w:val="1"/>
                <w:position w:val="6"/>
              </w:rPr>
              <w:t>2</w:t>
            </w:r>
            <w:r>
              <w:rPr>
                <w:sz w:val="13"/>
                <w:szCs w:val="13"/>
                <w:spacing w:val="-8"/>
                <w:position w:val="6"/>
              </w:rPr>
              <w:t xml:space="preserve"> </w:t>
            </w:r>
            <w:r>
              <w:rPr>
                <w:spacing w:val="1"/>
              </w:rPr>
              <w:t>·a)</w:t>
            </w:r>
          </w:p>
        </w:tc>
      </w:tr>
      <w:tr>
        <w:trPr>
          <w:trHeight w:val="400" w:hRule="atLeast"/>
        </w:trPr>
        <w:tc>
          <w:tcPr>
            <w:tcW w:w="1194" w:type="dxa"/>
            <w:vAlign w:val="top"/>
          </w:tcPr>
          <w:p>
            <w:pPr>
              <w:ind w:left="182"/>
              <w:spacing w:before="89"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586"/>
              <w:spacing w:before="125" w:line="195" w:lineRule="auto"/>
              <w:rPr/>
            </w:pPr>
            <w:r>
              <w:rPr>
                <w:spacing w:val="9"/>
              </w:rPr>
              <w:t>20</w:t>
            </w:r>
            <w:r>
              <w:rPr/>
              <w:t>cm</w:t>
            </w:r>
          </w:p>
        </w:tc>
        <w:tc>
          <w:tcPr>
            <w:tcW w:w="1418" w:type="dxa"/>
            <w:vAlign w:val="top"/>
          </w:tcPr>
          <w:p>
            <w:pPr>
              <w:ind w:left="295"/>
              <w:spacing w:before="89"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5"/>
              <w:spacing w:before="125" w:line="195" w:lineRule="auto"/>
              <w:rPr/>
            </w:pPr>
            <w:r>
              <w:rPr>
                <w:spacing w:val="2"/>
              </w:rPr>
              <w:t>55%</w:t>
            </w:r>
          </w:p>
        </w:tc>
        <w:tc>
          <w:tcPr>
            <w:tcW w:w="1672" w:type="dxa"/>
            <w:vAlign w:val="top"/>
          </w:tcPr>
          <w:p>
            <w:pPr>
              <w:ind w:left="423"/>
              <w:spacing w:before="89"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0" w:line="228" w:lineRule="auto"/>
              <w:rPr>
                <w:rFonts w:ascii="SimSun" w:hAnsi="SimSun" w:eastAsia="SimSun" w:cs="SimSun"/>
                <w:sz w:val="20"/>
                <w:szCs w:val="20"/>
              </w:rPr>
            </w:pPr>
            <w:r>
              <w:rPr>
                <w:rFonts w:ascii="SimSun" w:hAnsi="SimSun" w:eastAsia="SimSun" w:cs="SimSun"/>
                <w:sz w:val="20"/>
                <w:szCs w:val="20"/>
              </w:rPr>
              <w:t>无</w:t>
            </w:r>
          </w:p>
        </w:tc>
      </w:tr>
      <w:tr>
        <w:trPr>
          <w:trHeight w:val="403" w:hRule="atLeast"/>
        </w:trPr>
        <w:tc>
          <w:tcPr>
            <w:tcW w:w="1194" w:type="dxa"/>
            <w:vAlign w:val="top"/>
          </w:tcPr>
          <w:p>
            <w:pPr>
              <w:ind w:left="182"/>
              <w:spacing w:before="92"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510"/>
              <w:spacing w:before="92" w:line="228" w:lineRule="auto"/>
              <w:rPr>
                <w:rFonts w:ascii="SimSun" w:hAnsi="SimSun" w:eastAsia="SimSun" w:cs="SimSun"/>
                <w:sz w:val="20"/>
                <w:szCs w:val="20"/>
              </w:rPr>
            </w:pPr>
            <w:r>
              <w:rPr>
                <w:rFonts w:ascii="SimSun" w:hAnsi="SimSun" w:eastAsia="SimSun" w:cs="SimSun"/>
                <w:sz w:val="20"/>
                <w:szCs w:val="20"/>
                <w:spacing w:val="6"/>
              </w:rPr>
              <w:t>线叶菊</w:t>
            </w:r>
          </w:p>
        </w:tc>
        <w:tc>
          <w:tcPr>
            <w:tcW w:w="1418" w:type="dxa"/>
            <w:vAlign w:val="top"/>
          </w:tcPr>
          <w:p>
            <w:pPr>
              <w:ind w:left="189"/>
              <w:spacing w:before="92"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795"/>
              <w:spacing w:before="92" w:line="228" w:lineRule="auto"/>
              <w:rPr>
                <w:rFonts w:ascii="SimSun" w:hAnsi="SimSun" w:eastAsia="SimSun" w:cs="SimSun"/>
                <w:sz w:val="20"/>
                <w:szCs w:val="20"/>
              </w:rPr>
            </w:pPr>
            <w:r>
              <w:rPr>
                <w:rFonts w:ascii="SimSun" w:hAnsi="SimSun" w:eastAsia="SimSun" w:cs="SimSun"/>
                <w:sz w:val="20"/>
                <w:szCs w:val="20"/>
                <w:spacing w:val="9"/>
              </w:rPr>
              <w:t>线叶菊、北柴胡达、乌里黄芪、羊草</w:t>
            </w:r>
          </w:p>
        </w:tc>
      </w:tr>
      <w:tr>
        <w:trPr>
          <w:trHeight w:val="9771" w:hRule="atLeast"/>
        </w:trPr>
        <w:tc>
          <w:tcPr>
            <w:tcW w:w="9189" w:type="dxa"/>
            <w:vAlign w:val="top"/>
            <w:gridSpan w:val="6"/>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8791"/>
              <w:spacing w:before="57" w:line="194" w:lineRule="auto"/>
              <w:rPr/>
            </w:pPr>
            <w:r>
              <w:drawing>
                <wp:anchor distT="0" distB="0" distL="0" distR="0" simplePos="0" relativeHeight="260146176" behindDoc="1" locked="0" layoutInCell="1" allowOverlap="1">
                  <wp:simplePos x="0" y="0"/>
                  <wp:positionH relativeFrom="column">
                    <wp:posOffset>188848</wp:posOffset>
                  </wp:positionH>
                  <wp:positionV relativeFrom="paragraph">
                    <wp:posOffset>-6044461</wp:posOffset>
                  </wp:positionV>
                  <wp:extent cx="5384292" cy="6163055"/>
                  <wp:effectExtent l="0" t="0" r="0" b="0"/>
                  <wp:wrapNone/>
                  <wp:docPr id="242" name="IM 242"/>
                  <wp:cNvGraphicFramePr/>
                  <a:graphic>
                    <a:graphicData uri="http://schemas.openxmlformats.org/drawingml/2006/picture">
                      <pic:pic>
                        <pic:nvPicPr>
                          <pic:cNvPr id="242" name="IM 242"/>
                          <pic:cNvPicPr/>
                        </pic:nvPicPr>
                        <pic:blipFill>
                          <a:blip r:embed="rId301"/>
                          <a:stretch>
                            <a:fillRect/>
                          </a:stretch>
                        </pic:blipFill>
                        <pic:spPr>
                          <a:xfrm rot="0">
                            <a:off x="0" y="0"/>
                            <a:ext cx="5384292" cy="6163055"/>
                          </a:xfrm>
                          <a:prstGeom prst="rect">
                            <a:avLst/>
                          </a:prstGeom>
                        </pic:spPr>
                      </pic:pic>
                    </a:graphicData>
                  </a:graphic>
                </wp:anchor>
              </w:drawing>
            </w:r>
            <w:r>
              <w:rPr/>
              <w:t>8</w:t>
            </w:r>
          </w:p>
        </w:tc>
      </w:tr>
    </w:tbl>
    <w:p>
      <w:pPr>
        <w:pStyle w:val="BodyText"/>
        <w:rPr/>
      </w:pPr>
      <w:r/>
    </w:p>
    <w:p>
      <w:pPr>
        <w:sectPr>
          <w:footerReference w:type="default" r:id="rId300"/>
          <w:pgSz w:w="11906" w:h="16838"/>
          <w:pgMar w:top="1170" w:right="1355" w:bottom="1080" w:left="1356" w:header="837" w:footer="918" w:gutter="0"/>
        </w:sectPr>
        <w:rPr/>
      </w:pPr>
    </w:p>
    <w:p>
      <w:pPr>
        <w:pStyle w:val="BodyText"/>
        <w:spacing w:line="312" w:lineRule="auto"/>
        <w:rPr/>
      </w:pPr>
      <w:r/>
    </w:p>
    <w:p>
      <w:pPr>
        <w:ind w:left="3597"/>
        <w:spacing w:before="78" w:line="221" w:lineRule="auto"/>
        <w:rPr>
          <w:rFonts w:ascii="SimHei" w:hAnsi="SimHei" w:eastAsia="SimHei" w:cs="SimHei"/>
          <w:sz w:val="24"/>
          <w:szCs w:val="24"/>
        </w:rPr>
      </w:pPr>
      <w:r>
        <w:rPr>
          <w:rFonts w:ascii="SimHei" w:hAnsi="SimHei" w:eastAsia="SimHei" w:cs="SimHei"/>
          <w:sz w:val="24"/>
          <w:szCs w:val="24"/>
          <w:spacing w:val="-3"/>
        </w:rPr>
        <w:t>14#样方调查登记表</w:t>
      </w:r>
    </w:p>
    <w:p>
      <w:pPr>
        <w:ind w:left="67"/>
        <w:spacing w:before="39"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4-2-18</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8"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pStyle w:val="TableText"/>
              <w:ind w:left="322"/>
              <w:spacing w:before="96" w:line="228" w:lineRule="auto"/>
              <w:rPr>
                <w:rFonts w:ascii="SimSun" w:hAnsi="SimSun" w:eastAsia="SimSun" w:cs="SimSun"/>
              </w:rPr>
            </w:pPr>
            <w:r>
              <w:rPr>
                <w:spacing w:val="4"/>
              </w:rPr>
              <w:t>2</w:t>
            </w:r>
            <w:r>
              <w:rPr>
                <w:spacing w:val="18"/>
              </w:rPr>
              <w:t xml:space="preserve"> </w:t>
            </w:r>
            <w:r>
              <w:rPr>
                <w:rFonts w:ascii="SimSun" w:hAnsi="SimSun" w:eastAsia="SimSun" w:cs="SimSun"/>
                <w:spacing w:val="4"/>
              </w:rPr>
              <w:t>号排土场</w:t>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14#</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2024.7.28</w:t>
            </w:r>
          </w:p>
        </w:tc>
      </w:tr>
      <w:tr>
        <w:trPr>
          <w:trHeight w:val="400" w:hRule="atLeast"/>
        </w:trPr>
        <w:tc>
          <w:tcPr>
            <w:tcW w:w="1194" w:type="dxa"/>
            <w:vAlign w:val="top"/>
          </w:tcPr>
          <w:p>
            <w:pPr>
              <w:ind w:left="182"/>
              <w:spacing w:before="90"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1"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118.6743°</w:t>
            </w:r>
          </w:p>
        </w:tc>
        <w:tc>
          <w:tcPr>
            <w:tcW w:w="1672" w:type="dxa"/>
            <w:vAlign w:val="top"/>
          </w:tcPr>
          <w:p>
            <w:pPr>
              <w:ind w:left="634"/>
              <w:spacing w:before="91"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44.9557°</w:t>
            </w:r>
          </w:p>
        </w:tc>
      </w:tr>
      <w:tr>
        <w:trPr>
          <w:trHeight w:val="549" w:hRule="atLeast"/>
        </w:trPr>
        <w:tc>
          <w:tcPr>
            <w:tcW w:w="1194" w:type="dxa"/>
            <w:vAlign w:val="top"/>
          </w:tcPr>
          <w:p>
            <w:pPr>
              <w:ind w:left="182"/>
              <w:spacing w:before="165"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202" w:line="195" w:lineRule="auto"/>
              <w:rPr/>
            </w:pPr>
            <w:r>
              <w:rPr>
                <w:spacing w:val="2"/>
              </w:rPr>
              <w:t>976m</w:t>
            </w:r>
          </w:p>
        </w:tc>
        <w:tc>
          <w:tcPr>
            <w:tcW w:w="1418" w:type="dxa"/>
            <w:vAlign w:val="top"/>
          </w:tcPr>
          <w:p>
            <w:pPr>
              <w:ind w:left="296"/>
              <w:spacing w:before="165"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166"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165"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756" w:right="59" w:hanging="657"/>
              <w:spacing w:before="29" w:line="235" w:lineRule="auto"/>
              <w:rPr>
                <w:rFonts w:ascii="SimSun" w:hAnsi="SimSun" w:eastAsia="SimSun" w:cs="SimSun"/>
                <w:sz w:val="20"/>
                <w:szCs w:val="20"/>
              </w:rPr>
            </w:pPr>
            <w:r>
              <w:rPr>
                <w:rFonts w:ascii="SimSun" w:hAnsi="SimSun" w:eastAsia="SimSun" w:cs="SimSun"/>
                <w:sz w:val="20"/>
                <w:szCs w:val="20"/>
                <w:spacing w:val="-7"/>
              </w:rPr>
              <w:t>自然降雨、人工洒</w:t>
            </w:r>
            <w:r>
              <w:rPr>
                <w:rFonts w:ascii="SimSun" w:hAnsi="SimSun" w:eastAsia="SimSun" w:cs="SimSun"/>
                <w:sz w:val="20"/>
                <w:szCs w:val="20"/>
              </w:rPr>
              <w:t>水</w:t>
            </w:r>
          </w:p>
        </w:tc>
      </w:tr>
      <w:tr>
        <w:trPr>
          <w:trHeight w:val="403" w:hRule="atLeast"/>
        </w:trPr>
        <w:tc>
          <w:tcPr>
            <w:tcW w:w="1194" w:type="dxa"/>
            <w:vAlign w:val="top"/>
          </w:tcPr>
          <w:p>
            <w:pPr>
              <w:ind w:left="184"/>
              <w:spacing w:before="91"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64"/>
              <w:spacing w:before="91" w:line="228" w:lineRule="auto"/>
              <w:rPr>
                <w:rFonts w:ascii="SimSun" w:hAnsi="SimSun" w:eastAsia="SimSun" w:cs="SimSun"/>
                <w:sz w:val="20"/>
                <w:szCs w:val="20"/>
              </w:rPr>
            </w:pPr>
            <w:r>
              <w:rPr>
                <w:rFonts w:ascii="SimSun" w:hAnsi="SimSun" w:eastAsia="SimSun" w:cs="SimSun"/>
                <w:sz w:val="20"/>
                <w:szCs w:val="20"/>
                <w:spacing w:val="9"/>
              </w:rPr>
              <w:t>线叶菊、披碱草、草木犀、羊草</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5"/>
              <w:spacing w:before="110" w:line="215" w:lineRule="auto"/>
              <w:rPr/>
            </w:pPr>
            <w:r>
              <w:rPr>
                <w:spacing w:val="1"/>
              </w:rPr>
              <w:t>85.5g/(m</w:t>
            </w:r>
            <w:r>
              <w:rPr>
                <w:sz w:val="13"/>
                <w:szCs w:val="13"/>
                <w:spacing w:val="1"/>
                <w:position w:val="6"/>
              </w:rPr>
              <w:t>2</w:t>
            </w:r>
            <w:r>
              <w:rPr>
                <w:sz w:val="13"/>
                <w:szCs w:val="13"/>
                <w:spacing w:val="-8"/>
                <w:position w:val="6"/>
              </w:rPr>
              <w:t xml:space="preserve"> </w:t>
            </w:r>
            <w:r>
              <w:rPr>
                <w:spacing w:val="1"/>
              </w:rPr>
              <w:t>·a)</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606"/>
              <w:spacing w:before="128" w:line="195" w:lineRule="auto"/>
              <w:rPr/>
            </w:pPr>
            <w:r>
              <w:rPr>
                <w:spacing w:val="-1"/>
              </w:rPr>
              <w:t>18cm</w:t>
            </w:r>
          </w:p>
        </w:tc>
        <w:tc>
          <w:tcPr>
            <w:tcW w:w="1418" w:type="dxa"/>
            <w:vAlign w:val="top"/>
          </w:tcPr>
          <w:p>
            <w:pPr>
              <w:ind w:left="295"/>
              <w:spacing w:before="91"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3"/>
              <w:spacing w:before="128" w:line="195" w:lineRule="auto"/>
              <w:rPr/>
            </w:pPr>
            <w:r>
              <w:rPr>
                <w:spacing w:val="2"/>
              </w:rPr>
              <w:t>75%</w:t>
            </w:r>
          </w:p>
        </w:tc>
        <w:tc>
          <w:tcPr>
            <w:tcW w:w="1672" w:type="dxa"/>
            <w:vAlign w:val="top"/>
          </w:tcPr>
          <w:p>
            <w:pPr>
              <w:ind w:left="423"/>
              <w:spacing w:before="91"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510"/>
              <w:spacing w:before="91" w:line="228" w:lineRule="auto"/>
              <w:rPr>
                <w:rFonts w:ascii="SimSun" w:hAnsi="SimSun" w:eastAsia="SimSun" w:cs="SimSun"/>
                <w:sz w:val="20"/>
                <w:szCs w:val="20"/>
              </w:rPr>
            </w:pPr>
            <w:r>
              <w:rPr>
                <w:rFonts w:ascii="SimSun" w:hAnsi="SimSun" w:eastAsia="SimSun" w:cs="SimSun"/>
                <w:sz w:val="20"/>
                <w:szCs w:val="20"/>
                <w:spacing w:val="6"/>
              </w:rPr>
              <w:t>线叶菊</w:t>
            </w:r>
          </w:p>
        </w:tc>
        <w:tc>
          <w:tcPr>
            <w:tcW w:w="1418" w:type="dxa"/>
            <w:vAlign w:val="top"/>
          </w:tcPr>
          <w:p>
            <w:pPr>
              <w:ind w:left="189"/>
              <w:spacing w:before="91"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586"/>
              <w:spacing w:before="91" w:line="228" w:lineRule="auto"/>
              <w:rPr>
                <w:rFonts w:ascii="SimSun" w:hAnsi="SimSun" w:eastAsia="SimSun" w:cs="SimSun"/>
                <w:sz w:val="20"/>
                <w:szCs w:val="20"/>
              </w:rPr>
            </w:pPr>
            <w:r>
              <w:rPr>
                <w:rFonts w:ascii="SimSun" w:hAnsi="SimSun" w:eastAsia="SimSun" w:cs="SimSun"/>
                <w:sz w:val="20"/>
                <w:szCs w:val="20"/>
                <w:spacing w:val="9"/>
              </w:rPr>
              <w:t>线叶菊、披碱草、草木犀、羊草、猪毛菜</w:t>
            </w:r>
          </w:p>
        </w:tc>
      </w:tr>
      <w:tr>
        <w:trPr>
          <w:trHeight w:val="10112" w:hRule="atLeast"/>
        </w:trPr>
        <w:tc>
          <w:tcPr>
            <w:tcW w:w="9189" w:type="dxa"/>
            <w:vAlign w:val="top"/>
            <w:gridSpan w:val="6"/>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ind w:left="8907"/>
              <w:spacing w:before="65" w:line="268" w:lineRule="exact"/>
              <w:rPr>
                <w:rFonts w:ascii="SimSun" w:hAnsi="SimSun" w:eastAsia="SimSun" w:cs="SimSun"/>
                <w:sz w:val="20"/>
                <w:szCs w:val="20"/>
              </w:rPr>
            </w:pPr>
            <w:r>
              <w:drawing>
                <wp:anchor distT="0" distB="0" distL="0" distR="0" simplePos="0" relativeHeight="260304896" behindDoc="1" locked="0" layoutInCell="1" allowOverlap="1">
                  <wp:simplePos x="0" y="0"/>
                  <wp:positionH relativeFrom="column">
                    <wp:posOffset>112648</wp:posOffset>
                  </wp:positionH>
                  <wp:positionV relativeFrom="paragraph">
                    <wp:posOffset>-6181370</wp:posOffset>
                  </wp:positionV>
                  <wp:extent cx="5533644" cy="6333744"/>
                  <wp:effectExtent l="0" t="0" r="0" b="0"/>
                  <wp:wrapNone/>
                  <wp:docPr id="244" name="IM 244"/>
                  <wp:cNvGraphicFramePr/>
                  <a:graphic>
                    <a:graphicData uri="http://schemas.openxmlformats.org/drawingml/2006/picture">
                      <pic:pic>
                        <pic:nvPicPr>
                          <pic:cNvPr id="244" name="IM 244"/>
                          <pic:cNvPicPr/>
                        </pic:nvPicPr>
                        <pic:blipFill>
                          <a:blip r:embed="rId303"/>
                          <a:stretch>
                            <a:fillRect/>
                          </a:stretch>
                        </pic:blipFill>
                        <pic:spPr>
                          <a:xfrm rot="0">
                            <a:off x="0" y="0"/>
                            <a:ext cx="5533644" cy="6333744"/>
                          </a:xfrm>
                          <a:prstGeom prst="rect">
                            <a:avLst/>
                          </a:prstGeom>
                        </pic:spPr>
                      </pic:pic>
                    </a:graphicData>
                  </a:graphic>
                </wp:anchor>
              </w:drawing>
            </w:r>
            <w:r>
              <w:rPr>
                <w:rFonts w:ascii="SimSun" w:hAnsi="SimSun" w:eastAsia="SimSun" w:cs="SimSun"/>
                <w:sz w:val="20"/>
                <w:szCs w:val="20"/>
                <w:position w:val="1"/>
              </w:rPr>
              <w:t>8</w:t>
            </w:r>
          </w:p>
        </w:tc>
      </w:tr>
    </w:tbl>
    <w:p>
      <w:pPr>
        <w:pStyle w:val="BodyText"/>
        <w:rPr/>
      </w:pPr>
      <w:r/>
    </w:p>
    <w:p>
      <w:pPr>
        <w:sectPr>
          <w:footerReference w:type="default" r:id="rId302"/>
          <w:pgSz w:w="11906" w:h="16838"/>
          <w:pgMar w:top="1170" w:right="1355" w:bottom="1080" w:left="1356" w:header="837" w:footer="918" w:gutter="0"/>
        </w:sectPr>
        <w:rPr/>
      </w:pPr>
    </w:p>
    <w:p>
      <w:pPr>
        <w:pStyle w:val="BodyText"/>
        <w:spacing w:line="312" w:lineRule="auto"/>
        <w:rPr/>
      </w:pPr>
      <w:r/>
    </w:p>
    <w:p>
      <w:pPr>
        <w:ind w:left="3597"/>
        <w:spacing w:before="78" w:line="221" w:lineRule="auto"/>
        <w:rPr>
          <w:rFonts w:ascii="SimHei" w:hAnsi="SimHei" w:eastAsia="SimHei" w:cs="SimHei"/>
          <w:sz w:val="24"/>
          <w:szCs w:val="24"/>
        </w:rPr>
      </w:pPr>
      <w:r>
        <w:rPr>
          <w:rFonts w:ascii="SimHei" w:hAnsi="SimHei" w:eastAsia="SimHei" w:cs="SimHei"/>
          <w:sz w:val="24"/>
          <w:szCs w:val="24"/>
          <w:spacing w:val="-3"/>
        </w:rPr>
        <w:t>15#样方调查登记表</w:t>
      </w:r>
    </w:p>
    <w:p>
      <w:pPr>
        <w:ind w:left="67"/>
        <w:spacing w:before="39"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4-2-18</w:t>
      </w:r>
    </w:p>
    <w:tbl>
      <w:tblPr>
        <w:tblStyle w:val="TableNormal"/>
        <w:tblW w:w="918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4"/>
        <w:gridCol w:w="1638"/>
        <w:gridCol w:w="1418"/>
        <w:gridCol w:w="1559"/>
        <w:gridCol w:w="1672"/>
        <w:gridCol w:w="1708"/>
      </w:tblGrid>
      <w:tr>
        <w:trPr>
          <w:trHeight w:val="408" w:hRule="atLeast"/>
        </w:trPr>
        <w:tc>
          <w:tcPr>
            <w:tcW w:w="1194" w:type="dxa"/>
            <w:vAlign w:val="top"/>
          </w:tcPr>
          <w:p>
            <w:pPr>
              <w:ind w:left="391"/>
              <w:spacing w:before="96" w:line="229" w:lineRule="auto"/>
              <w:rPr>
                <w:rFonts w:ascii="SimSun" w:hAnsi="SimSun" w:eastAsia="SimSun" w:cs="SimSun"/>
                <w:sz w:val="20"/>
                <w:szCs w:val="20"/>
              </w:rPr>
            </w:pPr>
            <w:r>
              <w:rPr>
                <w:rFonts w:ascii="SimSun" w:hAnsi="SimSun" w:eastAsia="SimSun" w:cs="SimSun"/>
                <w:sz w:val="20"/>
                <w:szCs w:val="20"/>
                <w:spacing w:val="4"/>
              </w:rPr>
              <w:t>位置</w:t>
            </w:r>
          </w:p>
        </w:tc>
        <w:tc>
          <w:tcPr>
            <w:tcW w:w="1638" w:type="dxa"/>
            <w:vAlign w:val="top"/>
          </w:tcPr>
          <w:p>
            <w:pPr>
              <w:rPr>
                <w:rFonts w:ascii="Arial"/>
                <w:sz w:val="21"/>
              </w:rPr>
            </w:pPr>
            <w:r/>
          </w:p>
        </w:tc>
        <w:tc>
          <w:tcPr>
            <w:tcW w:w="1418" w:type="dxa"/>
            <w:vAlign w:val="top"/>
          </w:tcPr>
          <w:p>
            <w:pPr>
              <w:ind w:left="398"/>
              <w:spacing w:before="95" w:line="228" w:lineRule="auto"/>
              <w:rPr>
                <w:rFonts w:ascii="SimSun" w:hAnsi="SimSun" w:eastAsia="SimSun" w:cs="SimSun"/>
                <w:sz w:val="20"/>
                <w:szCs w:val="20"/>
              </w:rPr>
            </w:pPr>
            <w:r>
              <w:rPr>
                <w:rFonts w:ascii="SimSun" w:hAnsi="SimSun" w:eastAsia="SimSun" w:cs="SimSun"/>
                <w:sz w:val="20"/>
                <w:szCs w:val="20"/>
                <w:spacing w:val="7"/>
              </w:rPr>
              <w:t>样方号</w:t>
            </w:r>
          </w:p>
        </w:tc>
        <w:tc>
          <w:tcPr>
            <w:tcW w:w="1559" w:type="dxa"/>
            <w:vAlign w:val="top"/>
          </w:tcPr>
          <w:p>
            <w:pPr>
              <w:pStyle w:val="TableText"/>
              <w:ind w:left="641"/>
              <w:spacing w:before="132" w:line="195" w:lineRule="auto"/>
              <w:rPr/>
            </w:pPr>
            <w:r>
              <w:rPr>
                <w:spacing w:val="-3"/>
              </w:rPr>
              <w:t>14#</w:t>
            </w:r>
          </w:p>
        </w:tc>
        <w:tc>
          <w:tcPr>
            <w:tcW w:w="1672" w:type="dxa"/>
            <w:vAlign w:val="top"/>
          </w:tcPr>
          <w:p>
            <w:pPr>
              <w:ind w:left="643"/>
              <w:spacing w:before="96" w:line="230" w:lineRule="auto"/>
              <w:rPr>
                <w:rFonts w:ascii="SimSun" w:hAnsi="SimSun" w:eastAsia="SimSun" w:cs="SimSun"/>
                <w:sz w:val="20"/>
                <w:szCs w:val="20"/>
              </w:rPr>
            </w:pPr>
            <w:r>
              <w:rPr>
                <w:rFonts w:ascii="SimSun" w:hAnsi="SimSun" w:eastAsia="SimSun" w:cs="SimSun"/>
                <w:sz w:val="20"/>
                <w:szCs w:val="20"/>
                <w:spacing w:val="-1"/>
              </w:rPr>
              <w:t>时间</w:t>
            </w:r>
          </w:p>
        </w:tc>
        <w:tc>
          <w:tcPr>
            <w:tcW w:w="1708" w:type="dxa"/>
            <w:vAlign w:val="top"/>
          </w:tcPr>
          <w:p>
            <w:pPr>
              <w:pStyle w:val="TableText"/>
              <w:ind w:left="435"/>
              <w:spacing w:before="132" w:line="195" w:lineRule="auto"/>
              <w:rPr/>
            </w:pPr>
            <w:r>
              <w:rPr>
                <w:spacing w:val="3"/>
              </w:rPr>
              <w:t>2024.7.28</w:t>
            </w:r>
          </w:p>
        </w:tc>
      </w:tr>
      <w:tr>
        <w:trPr>
          <w:trHeight w:val="400" w:hRule="atLeast"/>
        </w:trPr>
        <w:tc>
          <w:tcPr>
            <w:tcW w:w="1194" w:type="dxa"/>
            <w:vAlign w:val="top"/>
          </w:tcPr>
          <w:p>
            <w:pPr>
              <w:ind w:left="182"/>
              <w:spacing w:before="90" w:line="228" w:lineRule="auto"/>
              <w:rPr>
                <w:rFonts w:ascii="SimSun" w:hAnsi="SimSun" w:eastAsia="SimSun" w:cs="SimSun"/>
                <w:sz w:val="20"/>
                <w:szCs w:val="20"/>
              </w:rPr>
            </w:pPr>
            <w:r>
              <w:rPr>
                <w:rFonts w:ascii="SimSun" w:hAnsi="SimSun" w:eastAsia="SimSun" w:cs="SimSun"/>
                <w:sz w:val="20"/>
                <w:szCs w:val="20"/>
                <w:spacing w:val="7"/>
              </w:rPr>
              <w:t>样方面积</w:t>
            </w:r>
          </w:p>
        </w:tc>
        <w:tc>
          <w:tcPr>
            <w:tcW w:w="1638" w:type="dxa"/>
            <w:vAlign w:val="top"/>
          </w:tcPr>
          <w:p>
            <w:pPr>
              <w:pStyle w:val="TableText"/>
              <w:ind w:left="512"/>
              <w:spacing w:before="127" w:line="195" w:lineRule="auto"/>
              <w:rPr/>
            </w:pPr>
            <w:r>
              <w:rPr>
                <w:spacing w:val="1"/>
              </w:rPr>
              <w:t>1m×1m</w:t>
            </w:r>
          </w:p>
        </w:tc>
        <w:tc>
          <w:tcPr>
            <w:tcW w:w="1418" w:type="dxa"/>
            <w:vAlign w:val="top"/>
          </w:tcPr>
          <w:p>
            <w:pPr>
              <w:ind w:left="506"/>
              <w:spacing w:before="91" w:line="228" w:lineRule="auto"/>
              <w:rPr>
                <w:rFonts w:ascii="SimSun" w:hAnsi="SimSun" w:eastAsia="SimSun" w:cs="SimSun"/>
                <w:sz w:val="20"/>
                <w:szCs w:val="20"/>
              </w:rPr>
            </w:pPr>
            <w:r>
              <w:rPr>
                <w:rFonts w:ascii="SimSun" w:hAnsi="SimSun" w:eastAsia="SimSun" w:cs="SimSun"/>
                <w:sz w:val="20"/>
                <w:szCs w:val="20"/>
                <w:spacing w:val="3"/>
              </w:rPr>
              <w:t>经度</w:t>
            </w:r>
          </w:p>
        </w:tc>
        <w:tc>
          <w:tcPr>
            <w:tcW w:w="1559" w:type="dxa"/>
            <w:vAlign w:val="top"/>
          </w:tcPr>
          <w:p>
            <w:pPr>
              <w:pStyle w:val="TableText"/>
              <w:ind w:left="365"/>
              <w:spacing w:before="127" w:line="195" w:lineRule="auto"/>
              <w:rPr/>
            </w:pPr>
            <w:r>
              <w:rPr>
                <w:spacing w:val="1"/>
              </w:rPr>
              <w:t>118.6639°</w:t>
            </w:r>
          </w:p>
        </w:tc>
        <w:tc>
          <w:tcPr>
            <w:tcW w:w="1672" w:type="dxa"/>
            <w:vAlign w:val="top"/>
          </w:tcPr>
          <w:p>
            <w:pPr>
              <w:ind w:left="634"/>
              <w:spacing w:before="91" w:line="228" w:lineRule="auto"/>
              <w:rPr>
                <w:rFonts w:ascii="SimSun" w:hAnsi="SimSun" w:eastAsia="SimSun" w:cs="SimSun"/>
                <w:sz w:val="20"/>
                <w:szCs w:val="20"/>
              </w:rPr>
            </w:pPr>
            <w:r>
              <w:rPr>
                <w:rFonts w:ascii="SimSun" w:hAnsi="SimSun" w:eastAsia="SimSun" w:cs="SimSun"/>
                <w:sz w:val="20"/>
                <w:szCs w:val="20"/>
                <w:spacing w:val="4"/>
              </w:rPr>
              <w:t>纬度</w:t>
            </w:r>
          </w:p>
        </w:tc>
        <w:tc>
          <w:tcPr>
            <w:tcW w:w="1708" w:type="dxa"/>
            <w:vAlign w:val="top"/>
          </w:tcPr>
          <w:p>
            <w:pPr>
              <w:pStyle w:val="TableText"/>
              <w:ind w:left="470"/>
              <w:spacing w:before="127" w:line="195" w:lineRule="auto"/>
              <w:rPr/>
            </w:pPr>
            <w:r>
              <w:rPr>
                <w:spacing w:val="3"/>
              </w:rPr>
              <w:t>44.9598°</w:t>
            </w:r>
          </w:p>
        </w:tc>
      </w:tr>
      <w:tr>
        <w:trPr>
          <w:trHeight w:val="549" w:hRule="atLeast"/>
        </w:trPr>
        <w:tc>
          <w:tcPr>
            <w:tcW w:w="1194" w:type="dxa"/>
            <w:vAlign w:val="top"/>
          </w:tcPr>
          <w:p>
            <w:pPr>
              <w:ind w:left="182"/>
              <w:spacing w:before="165" w:line="228" w:lineRule="auto"/>
              <w:rPr>
                <w:rFonts w:ascii="SimSun" w:hAnsi="SimSun" w:eastAsia="SimSun" w:cs="SimSun"/>
                <w:sz w:val="20"/>
                <w:szCs w:val="20"/>
              </w:rPr>
            </w:pPr>
            <w:r>
              <w:rPr>
                <w:rFonts w:ascii="SimSun" w:hAnsi="SimSun" w:eastAsia="SimSun" w:cs="SimSun"/>
                <w:sz w:val="20"/>
                <w:szCs w:val="20"/>
                <w:spacing w:val="7"/>
              </w:rPr>
              <w:t>海拔高度</w:t>
            </w:r>
          </w:p>
        </w:tc>
        <w:tc>
          <w:tcPr>
            <w:tcW w:w="1638" w:type="dxa"/>
            <w:vAlign w:val="top"/>
          </w:tcPr>
          <w:p>
            <w:pPr>
              <w:pStyle w:val="TableText"/>
              <w:ind w:left="585"/>
              <w:spacing w:before="202" w:line="195" w:lineRule="auto"/>
              <w:rPr/>
            </w:pPr>
            <w:r>
              <w:rPr>
                <w:spacing w:val="2"/>
              </w:rPr>
              <w:t>971m</w:t>
            </w:r>
          </w:p>
        </w:tc>
        <w:tc>
          <w:tcPr>
            <w:tcW w:w="1418" w:type="dxa"/>
            <w:vAlign w:val="top"/>
          </w:tcPr>
          <w:p>
            <w:pPr>
              <w:ind w:left="296"/>
              <w:spacing w:before="165" w:line="228" w:lineRule="auto"/>
              <w:rPr>
                <w:rFonts w:ascii="SimSun" w:hAnsi="SimSun" w:eastAsia="SimSun" w:cs="SimSun"/>
                <w:sz w:val="20"/>
                <w:szCs w:val="20"/>
              </w:rPr>
            </w:pPr>
            <w:r>
              <w:rPr>
                <w:rFonts w:ascii="SimSun" w:hAnsi="SimSun" w:eastAsia="SimSun" w:cs="SimSun"/>
                <w:sz w:val="20"/>
                <w:szCs w:val="20"/>
                <w:spacing w:val="7"/>
              </w:rPr>
              <w:t>土壤类型</w:t>
            </w:r>
          </w:p>
        </w:tc>
        <w:tc>
          <w:tcPr>
            <w:tcW w:w="1559" w:type="dxa"/>
            <w:vAlign w:val="top"/>
          </w:tcPr>
          <w:p>
            <w:pPr>
              <w:ind w:left="473"/>
              <w:spacing w:before="166" w:line="228" w:lineRule="auto"/>
              <w:rPr>
                <w:rFonts w:ascii="SimSun" w:hAnsi="SimSun" w:eastAsia="SimSun" w:cs="SimSun"/>
                <w:sz w:val="20"/>
                <w:szCs w:val="20"/>
              </w:rPr>
            </w:pPr>
            <w:r>
              <w:rPr>
                <w:rFonts w:ascii="SimSun" w:hAnsi="SimSun" w:eastAsia="SimSun" w:cs="SimSun"/>
                <w:sz w:val="20"/>
                <w:szCs w:val="20"/>
                <w:spacing w:val="5"/>
              </w:rPr>
              <w:t>沼泽土</w:t>
            </w:r>
          </w:p>
        </w:tc>
        <w:tc>
          <w:tcPr>
            <w:tcW w:w="1672" w:type="dxa"/>
            <w:vAlign w:val="top"/>
          </w:tcPr>
          <w:p>
            <w:pPr>
              <w:ind w:left="424"/>
              <w:spacing w:before="165" w:line="228" w:lineRule="auto"/>
              <w:rPr>
                <w:rFonts w:ascii="SimSun" w:hAnsi="SimSun" w:eastAsia="SimSun" w:cs="SimSun"/>
                <w:sz w:val="20"/>
                <w:szCs w:val="20"/>
              </w:rPr>
            </w:pPr>
            <w:r>
              <w:rPr>
                <w:rFonts w:ascii="SimSun" w:hAnsi="SimSun" w:eastAsia="SimSun" w:cs="SimSun"/>
                <w:sz w:val="20"/>
                <w:szCs w:val="20"/>
                <w:spacing w:val="6"/>
              </w:rPr>
              <w:t>水文条件</w:t>
            </w:r>
          </w:p>
        </w:tc>
        <w:tc>
          <w:tcPr>
            <w:tcW w:w="1708" w:type="dxa"/>
            <w:vAlign w:val="top"/>
          </w:tcPr>
          <w:p>
            <w:pPr>
              <w:ind w:left="756" w:right="59" w:hanging="657"/>
              <w:spacing w:before="29" w:line="235" w:lineRule="auto"/>
              <w:rPr>
                <w:rFonts w:ascii="SimSun" w:hAnsi="SimSun" w:eastAsia="SimSun" w:cs="SimSun"/>
                <w:sz w:val="20"/>
                <w:szCs w:val="20"/>
              </w:rPr>
            </w:pPr>
            <w:r>
              <w:rPr>
                <w:rFonts w:ascii="SimSun" w:hAnsi="SimSun" w:eastAsia="SimSun" w:cs="SimSun"/>
                <w:sz w:val="20"/>
                <w:szCs w:val="20"/>
                <w:spacing w:val="-7"/>
              </w:rPr>
              <w:t>自然降雨、人工洒</w:t>
            </w:r>
            <w:r>
              <w:rPr>
                <w:rFonts w:ascii="SimSun" w:hAnsi="SimSun" w:eastAsia="SimSun" w:cs="SimSun"/>
                <w:sz w:val="20"/>
                <w:szCs w:val="20"/>
              </w:rPr>
              <w:t>水</w:t>
            </w:r>
          </w:p>
        </w:tc>
      </w:tr>
      <w:tr>
        <w:trPr>
          <w:trHeight w:val="403" w:hRule="atLeast"/>
        </w:trPr>
        <w:tc>
          <w:tcPr>
            <w:tcW w:w="1194" w:type="dxa"/>
            <w:vAlign w:val="top"/>
          </w:tcPr>
          <w:p>
            <w:pPr>
              <w:ind w:left="184"/>
              <w:spacing w:before="91" w:line="228" w:lineRule="auto"/>
              <w:rPr>
                <w:rFonts w:ascii="SimSun" w:hAnsi="SimSun" w:eastAsia="SimSun" w:cs="SimSun"/>
                <w:sz w:val="20"/>
                <w:szCs w:val="20"/>
              </w:rPr>
            </w:pPr>
            <w:r>
              <w:rPr>
                <w:rFonts w:ascii="SimSun" w:hAnsi="SimSun" w:eastAsia="SimSun" w:cs="SimSun"/>
                <w:sz w:val="20"/>
                <w:szCs w:val="20"/>
                <w:spacing w:val="6"/>
              </w:rPr>
              <w:t>主要植物</w:t>
            </w:r>
          </w:p>
        </w:tc>
        <w:tc>
          <w:tcPr>
            <w:tcW w:w="3056" w:type="dxa"/>
            <w:vAlign w:val="top"/>
            <w:gridSpan w:val="2"/>
          </w:tcPr>
          <w:p>
            <w:pPr>
              <w:ind w:left="171"/>
              <w:spacing w:before="91" w:line="228" w:lineRule="auto"/>
              <w:rPr>
                <w:rFonts w:ascii="SimSun" w:hAnsi="SimSun" w:eastAsia="SimSun" w:cs="SimSun"/>
                <w:sz w:val="20"/>
                <w:szCs w:val="20"/>
              </w:rPr>
            </w:pPr>
            <w:r>
              <w:rPr>
                <w:rFonts w:ascii="SimSun" w:hAnsi="SimSun" w:eastAsia="SimSun" w:cs="SimSun"/>
                <w:sz w:val="20"/>
                <w:szCs w:val="20"/>
                <w:spacing w:val="8"/>
              </w:rPr>
              <w:t>羊草、车前草、针茅、花苜蓿</w:t>
            </w:r>
          </w:p>
        </w:tc>
        <w:tc>
          <w:tcPr>
            <w:tcW w:w="1559" w:type="dxa"/>
            <w:vAlign w:val="top"/>
          </w:tcPr>
          <w:p>
            <w:pPr>
              <w:ind w:left="470"/>
              <w:spacing w:before="92" w:line="229" w:lineRule="auto"/>
              <w:rPr>
                <w:rFonts w:ascii="SimSun" w:hAnsi="SimSun" w:eastAsia="SimSun" w:cs="SimSun"/>
                <w:sz w:val="20"/>
                <w:szCs w:val="20"/>
              </w:rPr>
            </w:pPr>
            <w:r>
              <w:rPr>
                <w:rFonts w:ascii="SimSun" w:hAnsi="SimSun" w:eastAsia="SimSun" w:cs="SimSun"/>
                <w:sz w:val="20"/>
                <w:szCs w:val="20"/>
                <w:spacing w:val="6"/>
              </w:rPr>
              <w:t>生物量</w:t>
            </w:r>
          </w:p>
        </w:tc>
        <w:tc>
          <w:tcPr>
            <w:tcW w:w="3380" w:type="dxa"/>
            <w:vAlign w:val="top"/>
            <w:gridSpan w:val="2"/>
          </w:tcPr>
          <w:p>
            <w:pPr>
              <w:pStyle w:val="TableText"/>
              <w:ind w:left="1165"/>
              <w:spacing w:before="110" w:line="215" w:lineRule="auto"/>
              <w:rPr/>
            </w:pPr>
            <w:r>
              <w:rPr>
                <w:spacing w:val="1"/>
              </w:rPr>
              <w:t>88.7g/(m</w:t>
            </w:r>
            <w:r>
              <w:rPr>
                <w:sz w:val="13"/>
                <w:szCs w:val="13"/>
                <w:spacing w:val="1"/>
                <w:position w:val="6"/>
              </w:rPr>
              <w:t>2</w:t>
            </w:r>
            <w:r>
              <w:rPr>
                <w:sz w:val="13"/>
                <w:szCs w:val="13"/>
                <w:spacing w:val="-8"/>
                <w:position w:val="6"/>
              </w:rPr>
              <w:t xml:space="preserve"> </w:t>
            </w:r>
            <w:r>
              <w:rPr>
                <w:spacing w:val="1"/>
              </w:rPr>
              <w:t>·a)</w:t>
            </w:r>
          </w:p>
        </w:tc>
      </w:tr>
      <w:tr>
        <w:trPr>
          <w:trHeight w:val="403"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平均高度</w:t>
            </w:r>
          </w:p>
        </w:tc>
        <w:tc>
          <w:tcPr>
            <w:tcW w:w="1638" w:type="dxa"/>
            <w:vAlign w:val="top"/>
          </w:tcPr>
          <w:p>
            <w:pPr>
              <w:pStyle w:val="TableText"/>
              <w:ind w:left="586"/>
              <w:spacing w:before="128" w:line="195" w:lineRule="auto"/>
              <w:rPr/>
            </w:pPr>
            <w:r>
              <w:rPr>
                <w:spacing w:val="9"/>
              </w:rPr>
              <w:t>25</w:t>
            </w:r>
            <w:r>
              <w:rPr/>
              <w:t>cm</w:t>
            </w:r>
          </w:p>
        </w:tc>
        <w:tc>
          <w:tcPr>
            <w:tcW w:w="1418" w:type="dxa"/>
            <w:vAlign w:val="top"/>
          </w:tcPr>
          <w:p>
            <w:pPr>
              <w:ind w:left="295"/>
              <w:spacing w:before="91" w:line="228" w:lineRule="auto"/>
              <w:rPr>
                <w:rFonts w:ascii="SimSun" w:hAnsi="SimSun" w:eastAsia="SimSun" w:cs="SimSun"/>
                <w:sz w:val="20"/>
                <w:szCs w:val="20"/>
              </w:rPr>
            </w:pPr>
            <w:r>
              <w:rPr>
                <w:rFonts w:ascii="SimSun" w:hAnsi="SimSun" w:eastAsia="SimSun" w:cs="SimSun"/>
                <w:sz w:val="20"/>
                <w:szCs w:val="20"/>
                <w:spacing w:val="7"/>
              </w:rPr>
              <w:t>群落盖度</w:t>
            </w:r>
          </w:p>
        </w:tc>
        <w:tc>
          <w:tcPr>
            <w:tcW w:w="1559" w:type="dxa"/>
            <w:vAlign w:val="top"/>
          </w:tcPr>
          <w:p>
            <w:pPr>
              <w:pStyle w:val="TableText"/>
              <w:ind w:left="593"/>
              <w:spacing w:before="128" w:line="195" w:lineRule="auto"/>
              <w:rPr/>
            </w:pPr>
            <w:r>
              <w:rPr>
                <w:spacing w:val="2"/>
              </w:rPr>
              <w:t>75%</w:t>
            </w:r>
          </w:p>
        </w:tc>
        <w:tc>
          <w:tcPr>
            <w:tcW w:w="1672" w:type="dxa"/>
            <w:vAlign w:val="top"/>
          </w:tcPr>
          <w:p>
            <w:pPr>
              <w:ind w:left="423"/>
              <w:spacing w:before="91" w:line="228" w:lineRule="auto"/>
              <w:rPr>
                <w:rFonts w:ascii="SimSun" w:hAnsi="SimSun" w:eastAsia="SimSun" w:cs="SimSun"/>
                <w:sz w:val="20"/>
                <w:szCs w:val="20"/>
              </w:rPr>
            </w:pPr>
            <w:r>
              <w:rPr>
                <w:rFonts w:ascii="SimSun" w:hAnsi="SimSun" w:eastAsia="SimSun" w:cs="SimSun"/>
                <w:sz w:val="20"/>
                <w:szCs w:val="20"/>
                <w:spacing w:val="6"/>
              </w:rPr>
              <w:t>珍稀植物</w:t>
            </w:r>
          </w:p>
        </w:tc>
        <w:tc>
          <w:tcPr>
            <w:tcW w:w="1708" w:type="dxa"/>
            <w:vAlign w:val="top"/>
          </w:tcPr>
          <w:p>
            <w:pPr>
              <w:ind w:left="755"/>
              <w:spacing w:before="92" w:line="228" w:lineRule="auto"/>
              <w:rPr>
                <w:rFonts w:ascii="SimSun" w:hAnsi="SimSun" w:eastAsia="SimSun" w:cs="SimSun"/>
                <w:sz w:val="20"/>
                <w:szCs w:val="20"/>
              </w:rPr>
            </w:pPr>
            <w:r>
              <w:rPr>
                <w:rFonts w:ascii="SimSun" w:hAnsi="SimSun" w:eastAsia="SimSun" w:cs="SimSun"/>
                <w:sz w:val="20"/>
                <w:szCs w:val="20"/>
              </w:rPr>
              <w:t>无</w:t>
            </w:r>
          </w:p>
        </w:tc>
      </w:tr>
      <w:tr>
        <w:trPr>
          <w:trHeight w:val="400" w:hRule="atLeast"/>
        </w:trPr>
        <w:tc>
          <w:tcPr>
            <w:tcW w:w="1194" w:type="dxa"/>
            <w:vAlign w:val="top"/>
          </w:tcPr>
          <w:p>
            <w:pPr>
              <w:ind w:left="182"/>
              <w:spacing w:before="91" w:line="228" w:lineRule="auto"/>
              <w:rPr>
                <w:rFonts w:ascii="SimSun" w:hAnsi="SimSun" w:eastAsia="SimSun" w:cs="SimSun"/>
                <w:sz w:val="20"/>
                <w:szCs w:val="20"/>
              </w:rPr>
            </w:pPr>
            <w:r>
              <w:rPr>
                <w:rFonts w:ascii="SimSun" w:hAnsi="SimSun" w:eastAsia="SimSun" w:cs="SimSun"/>
                <w:sz w:val="20"/>
                <w:szCs w:val="20"/>
                <w:spacing w:val="7"/>
              </w:rPr>
              <w:t>优势植物</w:t>
            </w:r>
          </w:p>
        </w:tc>
        <w:tc>
          <w:tcPr>
            <w:tcW w:w="1638" w:type="dxa"/>
            <w:vAlign w:val="top"/>
          </w:tcPr>
          <w:p>
            <w:pPr>
              <w:ind w:left="613"/>
              <w:spacing w:before="92" w:line="229" w:lineRule="auto"/>
              <w:rPr>
                <w:rFonts w:ascii="SimSun" w:hAnsi="SimSun" w:eastAsia="SimSun" w:cs="SimSun"/>
                <w:sz w:val="20"/>
                <w:szCs w:val="20"/>
              </w:rPr>
            </w:pPr>
            <w:r>
              <w:rPr>
                <w:rFonts w:ascii="SimSun" w:hAnsi="SimSun" w:eastAsia="SimSun" w:cs="SimSun"/>
                <w:sz w:val="20"/>
                <w:szCs w:val="20"/>
                <w:spacing w:val="4"/>
              </w:rPr>
              <w:t>针茅</w:t>
            </w:r>
          </w:p>
        </w:tc>
        <w:tc>
          <w:tcPr>
            <w:tcW w:w="1418" w:type="dxa"/>
            <w:vAlign w:val="top"/>
          </w:tcPr>
          <w:p>
            <w:pPr>
              <w:ind w:left="189"/>
              <w:spacing w:before="91" w:line="228" w:lineRule="auto"/>
              <w:rPr>
                <w:rFonts w:ascii="SimSun" w:hAnsi="SimSun" w:eastAsia="SimSun" w:cs="SimSun"/>
                <w:sz w:val="20"/>
                <w:szCs w:val="20"/>
              </w:rPr>
            </w:pPr>
            <w:r>
              <w:rPr>
                <w:rFonts w:ascii="SimSun" w:hAnsi="SimSun" w:eastAsia="SimSun" w:cs="SimSun"/>
                <w:sz w:val="20"/>
                <w:szCs w:val="20"/>
                <w:spacing w:val="8"/>
              </w:rPr>
              <w:t>样方外植物</w:t>
            </w:r>
          </w:p>
        </w:tc>
        <w:tc>
          <w:tcPr>
            <w:tcW w:w="4939" w:type="dxa"/>
            <w:vAlign w:val="top"/>
            <w:gridSpan w:val="3"/>
          </w:tcPr>
          <w:p>
            <w:pPr>
              <w:ind w:left="696"/>
              <w:spacing w:before="91" w:line="228" w:lineRule="auto"/>
              <w:rPr>
                <w:rFonts w:ascii="SimSun" w:hAnsi="SimSun" w:eastAsia="SimSun" w:cs="SimSun"/>
                <w:sz w:val="20"/>
                <w:szCs w:val="20"/>
              </w:rPr>
            </w:pPr>
            <w:r>
              <w:rPr>
                <w:rFonts w:ascii="SimSun" w:hAnsi="SimSun" w:eastAsia="SimSun" w:cs="SimSun"/>
                <w:sz w:val="20"/>
                <w:szCs w:val="20"/>
                <w:spacing w:val="9"/>
              </w:rPr>
              <w:t>羊草、车前草、针茅、花苜蓿、草木犀</w:t>
            </w:r>
          </w:p>
        </w:tc>
      </w:tr>
      <w:tr>
        <w:trPr>
          <w:trHeight w:val="6853" w:hRule="atLeast"/>
        </w:trPr>
        <w:tc>
          <w:tcPr>
            <w:tcW w:w="9189" w:type="dxa"/>
            <w:vAlign w:val="top"/>
            <w:gridSpan w:val="6"/>
          </w:tcPr>
          <w:p>
            <w:pPr>
              <w:ind w:firstLine="55"/>
              <w:spacing w:before="13" w:line="6804" w:lineRule="exact"/>
              <w:rPr/>
            </w:pPr>
            <w:r>
              <w:rPr>
                <w:position w:val="-136"/>
              </w:rPr>
              <w:drawing>
                <wp:inline distT="0" distB="0" distL="0" distR="0">
                  <wp:extent cx="5759195" cy="4320540"/>
                  <wp:effectExtent l="0" t="0" r="0" b="0"/>
                  <wp:docPr id="246" name="IM 246"/>
                  <wp:cNvGraphicFramePr/>
                  <a:graphic>
                    <a:graphicData uri="http://schemas.openxmlformats.org/drawingml/2006/picture">
                      <pic:pic>
                        <pic:nvPicPr>
                          <pic:cNvPr id="246" name="IM 246"/>
                          <pic:cNvPicPr/>
                        </pic:nvPicPr>
                        <pic:blipFill>
                          <a:blip r:embed="rId306"/>
                          <a:stretch>
                            <a:fillRect/>
                          </a:stretch>
                        </pic:blipFill>
                        <pic:spPr>
                          <a:xfrm rot="0">
                            <a:off x="0" y="0"/>
                            <a:ext cx="5759195" cy="4320540"/>
                          </a:xfrm>
                          <a:prstGeom prst="rect">
                            <a:avLst/>
                          </a:prstGeom>
                        </pic:spPr>
                      </pic:pic>
                    </a:graphicData>
                  </a:graphic>
                </wp:inline>
              </w:drawing>
            </w:r>
          </w:p>
        </w:tc>
      </w:tr>
    </w:tbl>
    <w:p>
      <w:pPr>
        <w:pStyle w:val="BodyText"/>
        <w:spacing w:line="346" w:lineRule="auto"/>
        <w:rPr/>
      </w:pPr>
      <w:r/>
    </w:p>
    <w:p>
      <w:pPr>
        <w:pStyle w:val="BodyText"/>
        <w:spacing w:line="346" w:lineRule="auto"/>
        <w:rPr/>
      </w:pPr>
      <w:r/>
    </w:p>
    <w:p>
      <w:pPr>
        <w:ind w:left="54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4.2.1.6 </w:t>
      </w:r>
      <w:r>
        <w:rPr>
          <w:rFonts w:ascii="SimHei" w:hAnsi="SimHei" w:eastAsia="SimHei" w:cs="SimHei"/>
          <w:sz w:val="24"/>
          <w:szCs w:val="24"/>
          <w:b/>
          <w:bCs/>
          <w:spacing w:val="-2"/>
        </w:rPr>
        <w:t>植被覆盖度现状调查</w:t>
      </w:r>
    </w:p>
    <w:p>
      <w:pPr>
        <w:ind w:left="68" w:right="66" w:firstLine="480"/>
        <w:spacing w:before="160" w:line="339" w:lineRule="auto"/>
        <w:rPr>
          <w:rFonts w:ascii="SimSun" w:hAnsi="SimSun" w:eastAsia="SimSun" w:cs="SimSun"/>
          <w:sz w:val="24"/>
          <w:szCs w:val="24"/>
        </w:rPr>
      </w:pPr>
      <w:r>
        <w:rPr>
          <w:rFonts w:ascii="SimSun" w:hAnsi="SimSun" w:eastAsia="SimSun" w:cs="SimSun"/>
          <w:sz w:val="24"/>
          <w:szCs w:val="24"/>
          <w:spacing w:val="1"/>
        </w:rPr>
        <w:t>根据卫星数据反演获得项目开采范围及周边外延</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rPr>
        <w:t>km</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评价区域内</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rPr>
        <w:t>024 </w:t>
      </w:r>
      <w:r>
        <w:rPr>
          <w:rFonts w:ascii="SimSun" w:hAnsi="SimSun" w:eastAsia="SimSun" w:cs="SimSun"/>
          <w:sz w:val="24"/>
          <w:szCs w:val="24"/>
        </w:rPr>
        <w:t>年植被覆盖</w:t>
      </w:r>
      <w:r>
        <w:rPr>
          <w:rFonts w:ascii="SimSun" w:hAnsi="SimSun" w:eastAsia="SimSun" w:cs="SimSun"/>
          <w:sz w:val="24"/>
          <w:szCs w:val="24"/>
          <w:spacing w:val="-1"/>
        </w:rPr>
        <w:t>度分布情况，具体数据见表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4-2-19</w:t>
      </w:r>
      <w:r>
        <w:rPr>
          <w:rFonts w:ascii="SimSun" w:hAnsi="SimSun" w:eastAsia="SimSun" w:cs="SimSun"/>
          <w:sz w:val="24"/>
          <w:szCs w:val="24"/>
          <w:spacing w:val="-1"/>
        </w:rPr>
        <w:t>。</w:t>
      </w:r>
    </w:p>
    <w:p>
      <w:pPr>
        <w:ind w:left="70" w:firstLine="479"/>
        <w:spacing w:before="2" w:line="339" w:lineRule="auto"/>
        <w:jc w:val="both"/>
        <w:rPr>
          <w:rFonts w:ascii="SimSun" w:hAnsi="SimSun" w:eastAsia="SimSun" w:cs="SimSun"/>
          <w:sz w:val="24"/>
          <w:szCs w:val="24"/>
        </w:rPr>
      </w:pPr>
      <w:r>
        <w:rPr>
          <w:rFonts w:ascii="SimSun" w:hAnsi="SimSun" w:eastAsia="SimSun" w:cs="SimSun"/>
          <w:sz w:val="24"/>
          <w:szCs w:val="24"/>
          <w:b/>
          <w:bCs/>
          <w:spacing w:val="-4"/>
        </w:rPr>
        <w:t>根据评价范围内植被覆盖度现状调查结果表可知，评价范围</w:t>
      </w:r>
      <w:r>
        <w:rPr>
          <w:rFonts w:ascii="SimSun" w:hAnsi="SimSun" w:eastAsia="SimSun" w:cs="SimSun"/>
          <w:sz w:val="24"/>
          <w:szCs w:val="24"/>
          <w:b/>
          <w:bCs/>
          <w:spacing w:val="-5"/>
        </w:rPr>
        <w:t>内植被覆盖度主要为中</w:t>
      </w:r>
      <w:r>
        <w:rPr>
          <w:rFonts w:ascii="SimSun" w:hAnsi="SimSun" w:eastAsia="SimSun" w:cs="SimSun"/>
          <w:sz w:val="24"/>
          <w:szCs w:val="24"/>
          <w:b/>
          <w:bCs/>
          <w:spacing w:val="-1"/>
        </w:rPr>
        <w:t>覆盖度（</w:t>
      </w:r>
      <w:r>
        <w:rPr>
          <w:rFonts w:ascii="Times New Roman" w:hAnsi="Times New Roman" w:eastAsia="Times New Roman" w:cs="Times New Roman"/>
          <w:sz w:val="24"/>
          <w:szCs w:val="24"/>
          <w:b/>
          <w:bCs/>
          <w:spacing w:val="-1"/>
        </w:rPr>
        <w:t>40-60%</w:t>
      </w:r>
      <w:r>
        <w:rPr>
          <w:rFonts w:ascii="SimSun" w:hAnsi="SimSun" w:eastAsia="SimSun" w:cs="SimSun"/>
          <w:sz w:val="24"/>
          <w:szCs w:val="24"/>
          <w:b/>
          <w:bCs/>
          <w:spacing w:val="13"/>
        </w:rPr>
        <w:t>），</w:t>
      </w:r>
      <w:r>
        <w:rPr>
          <w:rFonts w:ascii="SimSun" w:hAnsi="SimSun" w:eastAsia="SimSun" w:cs="SimSun"/>
          <w:sz w:val="24"/>
          <w:szCs w:val="24"/>
          <w:b/>
          <w:bCs/>
          <w:spacing w:val="-1"/>
        </w:rPr>
        <w:t>面积为</w:t>
      </w:r>
      <w:r>
        <w:rPr>
          <w:rFonts w:ascii="SimSun" w:hAnsi="SimSun" w:eastAsia="SimSun" w:cs="SimSun"/>
          <w:sz w:val="24"/>
          <w:szCs w:val="24"/>
          <w:spacing w:val="-36"/>
        </w:rPr>
        <w:t xml:space="preserve"> </w:t>
      </w:r>
      <w:r>
        <w:rPr>
          <w:rFonts w:ascii="Times New Roman" w:hAnsi="Times New Roman" w:eastAsia="Times New Roman" w:cs="Times New Roman"/>
          <w:sz w:val="24"/>
          <w:szCs w:val="24"/>
          <w:b/>
          <w:bCs/>
          <w:spacing w:val="-1"/>
        </w:rPr>
        <w:t>13.62km</w:t>
      </w:r>
      <w:r>
        <w:rPr>
          <w:rFonts w:ascii="Times New Roman" w:hAnsi="Times New Roman" w:eastAsia="Times New Roman" w:cs="Times New Roman"/>
          <w:sz w:val="15"/>
          <w:szCs w:val="15"/>
          <w:b/>
          <w:bCs/>
          <w:spacing w:val="-1"/>
          <w:position w:val="8"/>
        </w:rPr>
        <w:t>2 </w:t>
      </w:r>
      <w:r>
        <w:rPr>
          <w:rFonts w:ascii="SimSun" w:hAnsi="SimSun" w:eastAsia="SimSun" w:cs="SimSun"/>
          <w:sz w:val="24"/>
          <w:szCs w:val="24"/>
          <w:b/>
          <w:bCs/>
          <w:spacing w:val="-1"/>
        </w:rPr>
        <w:t>，</w:t>
      </w:r>
      <w:r>
        <w:rPr>
          <w:rFonts w:ascii="SimSun" w:hAnsi="SimSun" w:eastAsia="SimSun" w:cs="SimSun"/>
          <w:sz w:val="24"/>
          <w:szCs w:val="24"/>
          <w:spacing w:val="-64"/>
        </w:rPr>
        <w:t xml:space="preserve"> </w:t>
      </w:r>
      <w:r>
        <w:rPr>
          <w:rFonts w:ascii="SimSun" w:hAnsi="SimSun" w:eastAsia="SimSun" w:cs="SimSun"/>
          <w:sz w:val="24"/>
          <w:szCs w:val="24"/>
          <w:b/>
          <w:bCs/>
          <w:spacing w:val="-1"/>
        </w:rPr>
        <w:t>占评价区面积的</w:t>
      </w:r>
      <w:r>
        <w:rPr>
          <w:rFonts w:ascii="SimSun" w:hAnsi="SimSun" w:eastAsia="SimSun" w:cs="SimSun"/>
          <w:sz w:val="24"/>
          <w:szCs w:val="24"/>
          <w:spacing w:val="-50"/>
        </w:rPr>
        <w:t xml:space="preserve"> </w:t>
      </w:r>
      <w:r>
        <w:rPr>
          <w:rFonts w:ascii="Times New Roman" w:hAnsi="Times New Roman" w:eastAsia="Times New Roman" w:cs="Times New Roman"/>
          <w:sz w:val="24"/>
          <w:szCs w:val="24"/>
          <w:b/>
          <w:bCs/>
          <w:spacing w:val="-1"/>
        </w:rPr>
        <w:t>25.51%</w:t>
      </w:r>
      <w:r>
        <w:rPr>
          <w:rFonts w:ascii="SimSun" w:hAnsi="SimSun" w:eastAsia="SimSun" w:cs="SimSun"/>
          <w:sz w:val="24"/>
          <w:szCs w:val="24"/>
          <w:b/>
          <w:bCs/>
          <w:spacing w:val="-1"/>
        </w:rPr>
        <w:t>；其次是</w:t>
      </w:r>
      <w:r>
        <w:rPr>
          <w:rFonts w:ascii="SimSun" w:hAnsi="SimSun" w:eastAsia="SimSun" w:cs="SimSun"/>
          <w:sz w:val="24"/>
          <w:szCs w:val="24"/>
          <w:b/>
          <w:bCs/>
          <w:spacing w:val="-2"/>
        </w:rPr>
        <w:t>中高覆盖度</w:t>
      </w:r>
      <w:r>
        <w:rPr>
          <w:rFonts w:ascii="SimSun" w:hAnsi="SimSun" w:eastAsia="SimSun" w:cs="SimSun"/>
          <w:sz w:val="24"/>
          <w:szCs w:val="24"/>
          <w:b/>
          <w:bCs/>
          <w:spacing w:val="-4"/>
        </w:rPr>
        <w:t>（</w:t>
      </w:r>
      <w:r>
        <w:rPr>
          <w:rFonts w:ascii="Times New Roman" w:hAnsi="Times New Roman" w:eastAsia="Times New Roman" w:cs="Times New Roman"/>
          <w:sz w:val="24"/>
          <w:szCs w:val="24"/>
          <w:b/>
          <w:bCs/>
          <w:spacing w:val="-4"/>
        </w:rPr>
        <w:t>60-80%</w:t>
      </w:r>
      <w:r>
        <w:rPr>
          <w:rFonts w:ascii="SimSun" w:hAnsi="SimSun" w:eastAsia="SimSun" w:cs="SimSun"/>
          <w:sz w:val="24"/>
          <w:szCs w:val="24"/>
          <w:b/>
          <w:bCs/>
          <w:spacing w:val="-10"/>
        </w:rPr>
        <w:t>），</w:t>
      </w:r>
      <w:r>
        <w:rPr>
          <w:rFonts w:ascii="SimSun" w:hAnsi="SimSun" w:eastAsia="SimSun" w:cs="SimSun"/>
          <w:sz w:val="24"/>
          <w:szCs w:val="24"/>
          <w:b/>
          <w:bCs/>
          <w:spacing w:val="-4"/>
        </w:rPr>
        <w:t>面积为</w:t>
      </w:r>
      <w:r>
        <w:rPr>
          <w:rFonts w:ascii="SimSun" w:hAnsi="SimSun" w:eastAsia="SimSun" w:cs="SimSun"/>
          <w:sz w:val="24"/>
          <w:szCs w:val="24"/>
          <w:spacing w:val="-42"/>
        </w:rPr>
        <w:t xml:space="preserve"> </w:t>
      </w:r>
      <w:r>
        <w:rPr>
          <w:rFonts w:ascii="Times New Roman" w:hAnsi="Times New Roman" w:eastAsia="Times New Roman" w:cs="Times New Roman"/>
          <w:sz w:val="24"/>
          <w:szCs w:val="24"/>
          <w:b/>
          <w:bCs/>
          <w:spacing w:val="-4"/>
        </w:rPr>
        <w:t>13.31km</w:t>
      </w:r>
      <w:r>
        <w:rPr>
          <w:rFonts w:ascii="Times New Roman" w:hAnsi="Times New Roman" w:eastAsia="Times New Roman" w:cs="Times New Roman"/>
          <w:sz w:val="15"/>
          <w:szCs w:val="15"/>
          <w:b/>
          <w:bCs/>
          <w:spacing w:val="-4"/>
          <w:position w:val="7"/>
        </w:rPr>
        <w:t>2</w:t>
      </w:r>
      <w:r>
        <w:rPr>
          <w:rFonts w:ascii="Times New Roman" w:hAnsi="Times New Roman" w:eastAsia="Times New Roman" w:cs="Times New Roman"/>
          <w:sz w:val="15"/>
          <w:szCs w:val="15"/>
          <w:b/>
          <w:bCs/>
          <w:spacing w:val="-7"/>
          <w:position w:val="7"/>
        </w:rPr>
        <w:t xml:space="preserve"> </w:t>
      </w:r>
      <w:r>
        <w:rPr>
          <w:rFonts w:ascii="SimSun" w:hAnsi="SimSun" w:eastAsia="SimSun" w:cs="SimSun"/>
          <w:sz w:val="24"/>
          <w:szCs w:val="24"/>
          <w:b/>
          <w:bCs/>
          <w:spacing w:val="-4"/>
        </w:rPr>
        <w:t>，占评价区面积的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b/>
          <w:bCs/>
          <w:spacing w:val="-4"/>
        </w:rPr>
        <w:t>24.92%</w:t>
      </w:r>
      <w:r>
        <w:rPr>
          <w:rFonts w:ascii="SimSun" w:hAnsi="SimSun" w:eastAsia="SimSun" w:cs="SimSun"/>
          <w:sz w:val="24"/>
          <w:szCs w:val="24"/>
          <w:b/>
          <w:bCs/>
          <w:spacing w:val="-4"/>
        </w:rPr>
        <w:t>；矿区内植被覆盖度主要是低</w:t>
      </w:r>
      <w:r>
        <w:rPr>
          <w:rFonts w:ascii="SimSun" w:hAnsi="SimSun" w:eastAsia="SimSun" w:cs="SimSun"/>
          <w:sz w:val="24"/>
          <w:szCs w:val="24"/>
          <w:b/>
          <w:bCs/>
          <w:spacing w:val="-7"/>
        </w:rPr>
        <w:t>覆盖度（</w:t>
      </w:r>
      <w:r>
        <w:rPr>
          <w:rFonts w:ascii="Times New Roman" w:hAnsi="Times New Roman" w:eastAsia="Times New Roman" w:cs="Times New Roman"/>
          <w:sz w:val="24"/>
          <w:szCs w:val="24"/>
          <w:b/>
          <w:bCs/>
          <w:spacing w:val="-7"/>
        </w:rPr>
        <w:t>0-20%</w:t>
      </w:r>
      <w:r>
        <w:rPr>
          <w:rFonts w:ascii="SimSun" w:hAnsi="SimSun" w:eastAsia="SimSun" w:cs="SimSun"/>
          <w:sz w:val="24"/>
          <w:szCs w:val="24"/>
          <w:b/>
          <w:bCs/>
          <w:spacing w:val="-58"/>
          <w:w w:val="92"/>
        </w:rPr>
        <w:t>），</w:t>
      </w:r>
      <w:r>
        <w:rPr>
          <w:rFonts w:ascii="SimSun" w:hAnsi="SimSun" w:eastAsia="SimSun" w:cs="SimSun"/>
          <w:sz w:val="24"/>
          <w:szCs w:val="24"/>
          <w:b/>
          <w:bCs/>
          <w:spacing w:val="-7"/>
        </w:rPr>
        <w:t>面积为</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7"/>
        </w:rPr>
        <w:t>5.95km</w:t>
      </w:r>
      <w:r>
        <w:rPr>
          <w:rFonts w:ascii="Times New Roman" w:hAnsi="Times New Roman" w:eastAsia="Times New Roman" w:cs="Times New Roman"/>
          <w:sz w:val="15"/>
          <w:szCs w:val="15"/>
          <w:b/>
          <w:bCs/>
          <w:spacing w:val="-7"/>
          <w:position w:val="8"/>
        </w:rPr>
        <w:t>2</w:t>
      </w:r>
      <w:r>
        <w:rPr>
          <w:rFonts w:ascii="SimSun" w:hAnsi="SimSun" w:eastAsia="SimSun" w:cs="SimSun"/>
          <w:sz w:val="24"/>
          <w:szCs w:val="24"/>
          <w:b/>
          <w:bCs/>
          <w:spacing w:val="-7"/>
        </w:rPr>
        <w:t>，占矿区面积的</w:t>
      </w:r>
      <w:r>
        <w:rPr>
          <w:rFonts w:ascii="SimSun" w:hAnsi="SimSun" w:eastAsia="SimSun" w:cs="SimSun"/>
          <w:sz w:val="24"/>
          <w:szCs w:val="24"/>
          <w:spacing w:val="-52"/>
        </w:rPr>
        <w:t xml:space="preserve"> </w:t>
      </w:r>
      <w:r>
        <w:rPr>
          <w:rFonts w:ascii="Times New Roman" w:hAnsi="Times New Roman" w:eastAsia="Times New Roman" w:cs="Times New Roman"/>
          <w:sz w:val="24"/>
          <w:szCs w:val="24"/>
          <w:b/>
          <w:bCs/>
          <w:spacing w:val="-7"/>
        </w:rPr>
        <w:t>48</w:t>
      </w:r>
      <w:r>
        <w:rPr>
          <w:rFonts w:ascii="Times New Roman" w:hAnsi="Times New Roman" w:eastAsia="Times New Roman" w:cs="Times New Roman"/>
          <w:sz w:val="24"/>
          <w:szCs w:val="24"/>
          <w:b/>
          <w:bCs/>
          <w:spacing w:val="-8"/>
        </w:rPr>
        <w:t>.13%</w:t>
      </w:r>
      <w:r>
        <w:rPr>
          <w:rFonts w:ascii="SimSun" w:hAnsi="SimSun" w:eastAsia="SimSun" w:cs="SimSun"/>
          <w:sz w:val="24"/>
          <w:szCs w:val="24"/>
          <w:b/>
          <w:bCs/>
          <w:spacing w:val="-8"/>
        </w:rPr>
        <w:t>；其次是中覆盖度（</w:t>
      </w:r>
      <w:r>
        <w:rPr>
          <w:rFonts w:ascii="Times New Roman" w:hAnsi="Times New Roman" w:eastAsia="Times New Roman" w:cs="Times New Roman"/>
          <w:sz w:val="24"/>
          <w:szCs w:val="24"/>
          <w:b/>
          <w:bCs/>
          <w:spacing w:val="-8"/>
        </w:rPr>
        <w:t>40-60%</w:t>
      </w:r>
      <w:r>
        <w:rPr>
          <w:rFonts w:ascii="SimSun" w:hAnsi="SimSun" w:eastAsia="SimSun" w:cs="SimSun"/>
          <w:sz w:val="24"/>
          <w:szCs w:val="24"/>
          <w:b/>
          <w:bCs/>
          <w:spacing w:val="-58"/>
          <w:w w:val="92"/>
        </w:rPr>
        <w:t>），</w:t>
      </w:r>
    </w:p>
    <w:p>
      <w:pPr>
        <w:spacing w:line="339" w:lineRule="auto"/>
        <w:sectPr>
          <w:headerReference w:type="default" r:id="rId304"/>
          <w:footerReference w:type="default" r:id="rId305"/>
          <w:pgSz w:w="11906" w:h="16838"/>
          <w:pgMar w:top="1170" w:right="1351" w:bottom="1080" w:left="1356" w:header="837" w:footer="918" w:gutter="0"/>
        </w:sectPr>
        <w:rPr>
          <w:rFonts w:ascii="SimSun" w:hAnsi="SimSun" w:eastAsia="SimSun" w:cs="SimSun"/>
          <w:sz w:val="24"/>
          <w:szCs w:val="24"/>
        </w:rPr>
      </w:pPr>
    </w:p>
    <w:p>
      <w:pPr>
        <w:pStyle w:val="BodyText"/>
        <w:spacing w:line="311" w:lineRule="auto"/>
        <w:rPr/>
      </w:pPr>
      <w:r/>
    </w:p>
    <w:p>
      <w:pPr>
        <w:ind w:left="120" w:right="115" w:hanging="2"/>
        <w:spacing w:before="78" w:line="339" w:lineRule="auto"/>
        <w:rPr>
          <w:rFonts w:ascii="SimSun" w:hAnsi="SimSun" w:eastAsia="SimSun" w:cs="SimSun"/>
          <w:sz w:val="24"/>
          <w:szCs w:val="24"/>
        </w:rPr>
      </w:pPr>
      <w:r>
        <w:rPr>
          <w:rFonts w:ascii="SimSun" w:hAnsi="SimSun" w:eastAsia="SimSun" w:cs="SimSun"/>
          <w:sz w:val="24"/>
          <w:szCs w:val="24"/>
          <w:b/>
          <w:bCs/>
          <w:spacing w:val="-4"/>
        </w:rPr>
        <w:t>面积为</w:t>
      </w:r>
      <w:r>
        <w:rPr>
          <w:rFonts w:ascii="SimSun" w:hAnsi="SimSun" w:eastAsia="SimSun" w:cs="SimSun"/>
          <w:sz w:val="24"/>
          <w:szCs w:val="24"/>
          <w:spacing w:val="-51"/>
        </w:rPr>
        <w:t xml:space="preserve"> </w:t>
      </w:r>
      <w:r>
        <w:rPr>
          <w:rFonts w:ascii="Times New Roman" w:hAnsi="Times New Roman" w:eastAsia="Times New Roman" w:cs="Times New Roman"/>
          <w:sz w:val="24"/>
          <w:szCs w:val="24"/>
          <w:b/>
          <w:bCs/>
          <w:spacing w:val="-4"/>
        </w:rPr>
        <w:t>2.29km</w:t>
      </w:r>
      <w:r>
        <w:rPr>
          <w:rFonts w:ascii="Times New Roman" w:hAnsi="Times New Roman" w:eastAsia="Times New Roman" w:cs="Times New Roman"/>
          <w:sz w:val="15"/>
          <w:szCs w:val="15"/>
          <w:b/>
          <w:bCs/>
          <w:spacing w:val="-4"/>
          <w:position w:val="7"/>
        </w:rPr>
        <w:t>2</w:t>
      </w:r>
      <w:r>
        <w:rPr>
          <w:rFonts w:ascii="Times New Roman" w:hAnsi="Times New Roman" w:eastAsia="Times New Roman" w:cs="Times New Roman"/>
          <w:sz w:val="15"/>
          <w:szCs w:val="15"/>
          <w:b/>
          <w:bCs/>
          <w:spacing w:val="-8"/>
          <w:position w:val="7"/>
        </w:rPr>
        <w:t xml:space="preserve"> </w:t>
      </w:r>
      <w:r>
        <w:rPr>
          <w:rFonts w:ascii="SimSun" w:hAnsi="SimSun" w:eastAsia="SimSun" w:cs="SimSun"/>
          <w:sz w:val="24"/>
          <w:szCs w:val="24"/>
          <w:b/>
          <w:bCs/>
          <w:spacing w:val="-4"/>
        </w:rPr>
        <w:t>，占矿区面积的</w:t>
      </w:r>
      <w:r>
        <w:rPr>
          <w:rFonts w:ascii="SimSun" w:hAnsi="SimSun" w:eastAsia="SimSun" w:cs="SimSun"/>
          <w:sz w:val="24"/>
          <w:szCs w:val="24"/>
          <w:spacing w:val="-39"/>
        </w:rPr>
        <w:t xml:space="preserve"> </w:t>
      </w:r>
      <w:r>
        <w:rPr>
          <w:rFonts w:ascii="Times New Roman" w:hAnsi="Times New Roman" w:eastAsia="Times New Roman" w:cs="Times New Roman"/>
          <w:sz w:val="24"/>
          <w:szCs w:val="24"/>
          <w:b/>
          <w:bCs/>
          <w:spacing w:val="-4"/>
        </w:rPr>
        <w:t>18.54%</w:t>
      </w:r>
      <w:r>
        <w:rPr>
          <w:rFonts w:ascii="SimSun" w:hAnsi="SimSun" w:eastAsia="SimSun" w:cs="SimSun"/>
          <w:sz w:val="24"/>
          <w:szCs w:val="24"/>
          <w:b/>
          <w:bCs/>
          <w:spacing w:val="-4"/>
        </w:rPr>
        <w:t>。矿田低</w:t>
      </w:r>
      <w:r>
        <w:rPr>
          <w:rFonts w:ascii="SimSun" w:hAnsi="SimSun" w:eastAsia="SimSun" w:cs="SimSun"/>
          <w:sz w:val="24"/>
          <w:szCs w:val="24"/>
          <w:b/>
          <w:bCs/>
          <w:spacing w:val="-5"/>
        </w:rPr>
        <w:t>覆盖度（</w:t>
      </w:r>
      <w:r>
        <w:rPr>
          <w:rFonts w:ascii="Times New Roman" w:hAnsi="Times New Roman" w:eastAsia="Times New Roman" w:cs="Times New Roman"/>
          <w:sz w:val="24"/>
          <w:szCs w:val="24"/>
          <w:b/>
          <w:bCs/>
          <w:spacing w:val="-5"/>
        </w:rPr>
        <w:t>0-20%</w:t>
      </w:r>
      <w:r>
        <w:rPr>
          <w:rFonts w:ascii="SimSun" w:hAnsi="SimSun" w:eastAsia="SimSun" w:cs="SimSun"/>
          <w:sz w:val="24"/>
          <w:szCs w:val="24"/>
          <w:b/>
          <w:bCs/>
          <w:spacing w:val="-5"/>
        </w:rPr>
        <w:t>）面积最大的主要原因</w:t>
      </w:r>
      <w:r>
        <w:rPr>
          <w:rFonts w:ascii="SimSun" w:hAnsi="SimSun" w:eastAsia="SimSun" w:cs="SimSun"/>
          <w:sz w:val="24"/>
          <w:szCs w:val="24"/>
          <w:b/>
          <w:bCs/>
          <w:spacing w:val="-3"/>
        </w:rPr>
        <w:t>是露天区采掘场未复垦面积占比较大。</w:t>
      </w:r>
    </w:p>
    <w:p>
      <w:pPr>
        <w:ind w:left="3332"/>
        <w:spacing w:line="221" w:lineRule="auto"/>
        <w:rPr>
          <w:rFonts w:ascii="SimHei" w:hAnsi="SimHei" w:eastAsia="SimHei" w:cs="SimHei"/>
          <w:sz w:val="24"/>
          <w:szCs w:val="24"/>
        </w:rPr>
      </w:pPr>
      <w:r>
        <w:rPr>
          <w:rFonts w:ascii="SimHei" w:hAnsi="SimHei" w:eastAsia="SimHei" w:cs="SimHei"/>
          <w:sz w:val="24"/>
          <w:szCs w:val="24"/>
          <w:spacing w:val="-1"/>
        </w:rPr>
        <w:t>评价区和矿区植被覆盖度现状</w:t>
      </w:r>
    </w:p>
    <w:p>
      <w:pPr>
        <w:ind w:left="119"/>
        <w:spacing w:before="35" w:line="226" w:lineRule="auto"/>
        <w:rPr>
          <w:rFonts w:ascii="Times New Roman" w:hAnsi="Times New Roman" w:eastAsia="Times New Roman" w:cs="Times New Roman"/>
          <w:sz w:val="20"/>
          <w:szCs w:val="20"/>
        </w:rPr>
      </w:pPr>
      <w:r>
        <w:rPr>
          <w:rFonts w:ascii="SimHei" w:hAnsi="SimHei" w:eastAsia="SimHei" w:cs="SimHei"/>
          <w:sz w:val="20"/>
          <w:szCs w:val="20"/>
          <w:spacing w:val="3"/>
        </w:rPr>
        <w:t>表</w:t>
      </w:r>
      <w:r>
        <w:rPr>
          <w:rFonts w:ascii="SimHei" w:hAnsi="SimHei" w:eastAsia="SimHei" w:cs="SimHei"/>
          <w:sz w:val="20"/>
          <w:szCs w:val="20"/>
          <w:spacing w:val="-42"/>
        </w:rPr>
        <w:t xml:space="preserve"> </w:t>
      </w:r>
      <w:r>
        <w:rPr>
          <w:rFonts w:ascii="Times New Roman" w:hAnsi="Times New Roman" w:eastAsia="Times New Roman" w:cs="Times New Roman"/>
          <w:sz w:val="20"/>
          <w:szCs w:val="20"/>
          <w:spacing w:val="3"/>
        </w:rPr>
        <w:t>4-2-19</w:t>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612"/>
        <w:gridCol w:w="1360"/>
        <w:gridCol w:w="1725"/>
        <w:gridCol w:w="1861"/>
        <w:gridCol w:w="1727"/>
      </w:tblGrid>
      <w:tr>
        <w:trPr>
          <w:trHeight w:val="328" w:hRule="atLeast"/>
        </w:trPr>
        <w:tc>
          <w:tcPr>
            <w:tcW w:w="2612" w:type="dxa"/>
            <w:vAlign w:val="top"/>
            <w:vMerge w:val="restart"/>
            <w:tcBorders>
              <w:bottom w:val="nil"/>
            </w:tcBorders>
          </w:tcPr>
          <w:p>
            <w:pPr>
              <w:ind w:left="783"/>
              <w:spacing w:before="220" w:line="228" w:lineRule="auto"/>
              <w:rPr>
                <w:rFonts w:ascii="SimSun" w:hAnsi="SimSun" w:eastAsia="SimSun" w:cs="SimSun"/>
                <w:sz w:val="20"/>
                <w:szCs w:val="20"/>
              </w:rPr>
            </w:pPr>
            <w:r>
              <w:rPr>
                <w:rFonts w:ascii="SimSun" w:hAnsi="SimSun" w:eastAsia="SimSun" w:cs="SimSun"/>
                <w:sz w:val="20"/>
                <w:szCs w:val="20"/>
                <w:spacing w:val="8"/>
              </w:rPr>
              <w:t>植被覆盖度</w:t>
            </w:r>
          </w:p>
        </w:tc>
        <w:tc>
          <w:tcPr>
            <w:tcW w:w="3085" w:type="dxa"/>
            <w:vAlign w:val="top"/>
            <w:gridSpan w:val="2"/>
          </w:tcPr>
          <w:p>
            <w:pPr>
              <w:ind w:left="1230"/>
              <w:spacing w:before="55" w:line="226" w:lineRule="auto"/>
              <w:rPr>
                <w:rFonts w:ascii="SimSun" w:hAnsi="SimSun" w:eastAsia="SimSun" w:cs="SimSun"/>
                <w:sz w:val="20"/>
                <w:szCs w:val="20"/>
              </w:rPr>
            </w:pPr>
            <w:r>
              <w:rPr>
                <w:rFonts w:ascii="SimSun" w:hAnsi="SimSun" w:eastAsia="SimSun" w:cs="SimSun"/>
                <w:sz w:val="20"/>
                <w:szCs w:val="20"/>
                <w:spacing w:val="7"/>
              </w:rPr>
              <w:t>评价区</w:t>
            </w:r>
          </w:p>
        </w:tc>
        <w:tc>
          <w:tcPr>
            <w:tcW w:w="3588" w:type="dxa"/>
            <w:vAlign w:val="top"/>
            <w:gridSpan w:val="2"/>
          </w:tcPr>
          <w:p>
            <w:pPr>
              <w:ind w:left="1272"/>
              <w:spacing w:before="55" w:line="228" w:lineRule="auto"/>
              <w:rPr>
                <w:rFonts w:ascii="SimSun" w:hAnsi="SimSun" w:eastAsia="SimSun" w:cs="SimSun"/>
                <w:sz w:val="20"/>
                <w:szCs w:val="20"/>
              </w:rPr>
            </w:pPr>
            <w:r>
              <w:rPr>
                <w:rFonts w:ascii="SimSun" w:hAnsi="SimSun" w:eastAsia="SimSun" w:cs="SimSun"/>
                <w:sz w:val="20"/>
                <w:szCs w:val="20"/>
                <w:spacing w:val="8"/>
              </w:rPr>
              <w:t>矿田范围内</w:t>
            </w:r>
          </w:p>
        </w:tc>
      </w:tr>
      <w:tr>
        <w:trPr>
          <w:trHeight w:val="323" w:hRule="atLeast"/>
        </w:trPr>
        <w:tc>
          <w:tcPr>
            <w:tcW w:w="2612" w:type="dxa"/>
            <w:vAlign w:val="top"/>
            <w:vMerge w:val="continue"/>
            <w:tcBorders>
              <w:top w:val="nil"/>
            </w:tcBorders>
          </w:tcPr>
          <w:p>
            <w:pPr>
              <w:rPr>
                <w:rFonts w:ascii="Arial"/>
                <w:sz w:val="21"/>
              </w:rPr>
            </w:pPr>
            <w:r/>
          </w:p>
        </w:tc>
        <w:tc>
          <w:tcPr>
            <w:tcW w:w="1360" w:type="dxa"/>
            <w:vAlign w:val="top"/>
          </w:tcPr>
          <w:p>
            <w:pPr>
              <w:pStyle w:val="TableText"/>
              <w:ind w:left="113"/>
              <w:spacing w:before="54" w:line="228" w:lineRule="auto"/>
              <w:rPr>
                <w:rFonts w:ascii="SimSun" w:hAnsi="SimSun" w:eastAsia="SimSun" w:cs="SimSun"/>
              </w:rPr>
            </w:pPr>
            <w:r>
              <w:rPr>
                <w:rFonts w:ascii="SimSun" w:hAnsi="SimSun" w:eastAsia="SimSun" w:cs="SimSun"/>
                <w:spacing w:val="7"/>
              </w:rPr>
              <w:t>面积（</w:t>
            </w:r>
            <w:r>
              <w:rPr/>
              <w:t>km</w:t>
            </w:r>
            <w:r>
              <w:rPr>
                <w:sz w:val="13"/>
                <w:szCs w:val="13"/>
                <w:spacing w:val="7"/>
                <w:position w:val="6"/>
              </w:rPr>
              <w:t>2</w:t>
            </w:r>
            <w:r>
              <w:rPr>
                <w:rFonts w:ascii="SimSun" w:hAnsi="SimSun" w:eastAsia="SimSun" w:cs="SimSun"/>
                <w:spacing w:val="7"/>
              </w:rPr>
              <w:t>）</w:t>
            </w:r>
          </w:p>
        </w:tc>
        <w:tc>
          <w:tcPr>
            <w:tcW w:w="1725" w:type="dxa"/>
            <w:vAlign w:val="top"/>
          </w:tcPr>
          <w:p>
            <w:pPr>
              <w:ind w:left="560"/>
              <w:spacing w:before="54" w:line="228" w:lineRule="auto"/>
              <w:rPr>
                <w:rFonts w:ascii="SimSun" w:hAnsi="SimSun" w:eastAsia="SimSun" w:cs="SimSun"/>
                <w:sz w:val="20"/>
                <w:szCs w:val="20"/>
              </w:rPr>
            </w:pPr>
            <w:r>
              <w:rPr>
                <w:rFonts w:ascii="SimSun" w:hAnsi="SimSun" w:eastAsia="SimSun" w:cs="SimSun"/>
                <w:sz w:val="20"/>
                <w:szCs w:val="20"/>
                <w:spacing w:val="4"/>
              </w:rPr>
              <w:t>百分比</w:t>
            </w:r>
          </w:p>
        </w:tc>
        <w:tc>
          <w:tcPr>
            <w:tcW w:w="1861" w:type="dxa"/>
            <w:vAlign w:val="top"/>
          </w:tcPr>
          <w:p>
            <w:pPr>
              <w:pStyle w:val="TableText"/>
              <w:ind w:left="350"/>
              <w:spacing w:before="54" w:line="228" w:lineRule="auto"/>
              <w:rPr>
                <w:rFonts w:ascii="SimSun" w:hAnsi="SimSun" w:eastAsia="SimSun" w:cs="SimSun"/>
              </w:rPr>
            </w:pPr>
            <w:r>
              <w:rPr>
                <w:rFonts w:ascii="SimSun" w:hAnsi="SimSun" w:eastAsia="SimSun" w:cs="SimSun"/>
                <w:spacing w:val="7"/>
              </w:rPr>
              <w:t>面积（</w:t>
            </w:r>
            <w:r>
              <w:rPr/>
              <w:t>km</w:t>
            </w:r>
            <w:r>
              <w:rPr>
                <w:sz w:val="13"/>
                <w:szCs w:val="13"/>
                <w:spacing w:val="7"/>
                <w:position w:val="6"/>
              </w:rPr>
              <w:t>2</w:t>
            </w:r>
            <w:r>
              <w:rPr>
                <w:rFonts w:ascii="SimSun" w:hAnsi="SimSun" w:eastAsia="SimSun" w:cs="SimSun"/>
                <w:spacing w:val="7"/>
              </w:rPr>
              <w:t>）</w:t>
            </w:r>
          </w:p>
        </w:tc>
        <w:tc>
          <w:tcPr>
            <w:tcW w:w="1727" w:type="dxa"/>
            <w:vAlign w:val="top"/>
          </w:tcPr>
          <w:p>
            <w:pPr>
              <w:ind w:left="562"/>
              <w:spacing w:before="54" w:line="228" w:lineRule="auto"/>
              <w:rPr>
                <w:rFonts w:ascii="SimSun" w:hAnsi="SimSun" w:eastAsia="SimSun" w:cs="SimSun"/>
                <w:sz w:val="20"/>
                <w:szCs w:val="20"/>
              </w:rPr>
            </w:pPr>
            <w:r>
              <w:rPr>
                <w:rFonts w:ascii="SimSun" w:hAnsi="SimSun" w:eastAsia="SimSun" w:cs="SimSun"/>
                <w:sz w:val="20"/>
                <w:szCs w:val="20"/>
                <w:spacing w:val="4"/>
              </w:rPr>
              <w:t>百分比</w:t>
            </w:r>
          </w:p>
        </w:tc>
      </w:tr>
      <w:tr>
        <w:trPr>
          <w:trHeight w:val="325" w:hRule="atLeast"/>
        </w:trPr>
        <w:tc>
          <w:tcPr>
            <w:tcW w:w="2612" w:type="dxa"/>
            <w:vAlign w:val="top"/>
          </w:tcPr>
          <w:p>
            <w:pPr>
              <w:pStyle w:val="TableText"/>
              <w:ind w:left="398"/>
              <w:spacing w:before="57" w:line="228" w:lineRule="auto"/>
              <w:rPr>
                <w:rFonts w:ascii="SimSun" w:hAnsi="SimSun" w:eastAsia="SimSun" w:cs="SimSun"/>
              </w:rPr>
            </w:pPr>
            <w:r>
              <w:rPr>
                <w:rFonts w:ascii="SimSun" w:hAnsi="SimSun" w:eastAsia="SimSun" w:cs="SimSun"/>
                <w:spacing w:val="6"/>
              </w:rPr>
              <w:t>低覆盖度（</w:t>
            </w:r>
            <w:r>
              <w:rPr>
                <w:spacing w:val="6"/>
              </w:rPr>
              <w:t>0-20%</w:t>
            </w:r>
            <w:r>
              <w:rPr>
                <w:rFonts w:ascii="SimSun" w:hAnsi="SimSun" w:eastAsia="SimSun" w:cs="SimSun"/>
                <w:spacing w:val="6"/>
              </w:rPr>
              <w:t>）</w:t>
            </w:r>
          </w:p>
        </w:tc>
        <w:tc>
          <w:tcPr>
            <w:tcW w:w="1360" w:type="dxa"/>
            <w:vAlign w:val="top"/>
          </w:tcPr>
          <w:p>
            <w:pPr>
              <w:pStyle w:val="TableText"/>
              <w:ind w:left="465"/>
              <w:spacing w:before="92" w:line="195" w:lineRule="auto"/>
              <w:rPr/>
            </w:pPr>
            <w:r>
              <w:rPr>
                <w:spacing w:val="-1"/>
              </w:rPr>
              <w:t>10.32</w:t>
            </w:r>
          </w:p>
        </w:tc>
        <w:tc>
          <w:tcPr>
            <w:tcW w:w="1725" w:type="dxa"/>
            <w:vAlign w:val="top"/>
          </w:tcPr>
          <w:p>
            <w:pPr>
              <w:pStyle w:val="TableText"/>
              <w:ind w:left="559"/>
              <w:spacing w:before="92" w:line="195" w:lineRule="auto"/>
              <w:rPr/>
            </w:pPr>
            <w:r>
              <w:rPr/>
              <w:t>19.32%</w:t>
            </w:r>
          </w:p>
        </w:tc>
        <w:tc>
          <w:tcPr>
            <w:tcW w:w="1861" w:type="dxa"/>
            <w:vAlign w:val="top"/>
          </w:tcPr>
          <w:p>
            <w:pPr>
              <w:pStyle w:val="TableText"/>
              <w:ind w:left="752"/>
              <w:spacing w:before="92" w:line="195" w:lineRule="auto"/>
              <w:rPr/>
            </w:pPr>
            <w:r>
              <w:rPr>
                <w:spacing w:val="2"/>
              </w:rPr>
              <w:t>5.95</w:t>
            </w:r>
          </w:p>
        </w:tc>
        <w:tc>
          <w:tcPr>
            <w:tcW w:w="1727" w:type="dxa"/>
            <w:vAlign w:val="top"/>
          </w:tcPr>
          <w:p>
            <w:pPr>
              <w:pStyle w:val="TableText"/>
              <w:ind w:left="540"/>
              <w:spacing w:before="92" w:line="195" w:lineRule="auto"/>
              <w:rPr/>
            </w:pPr>
            <w:r>
              <w:rPr/>
              <w:t>48.</w:t>
            </w:r>
            <w:r>
              <w:rPr>
                <w:spacing w:val="-22"/>
              </w:rPr>
              <w:t xml:space="preserve"> </w:t>
            </w:r>
            <w:r>
              <w:rPr/>
              <w:t>13%</w:t>
            </w:r>
          </w:p>
        </w:tc>
      </w:tr>
      <w:tr>
        <w:trPr>
          <w:trHeight w:val="326" w:hRule="atLeast"/>
        </w:trPr>
        <w:tc>
          <w:tcPr>
            <w:tcW w:w="2612" w:type="dxa"/>
            <w:vAlign w:val="top"/>
          </w:tcPr>
          <w:p>
            <w:pPr>
              <w:pStyle w:val="TableText"/>
              <w:ind w:left="262"/>
              <w:spacing w:before="58" w:line="228" w:lineRule="auto"/>
              <w:rPr>
                <w:rFonts w:ascii="SimSun" w:hAnsi="SimSun" w:eastAsia="SimSun" w:cs="SimSun"/>
              </w:rPr>
            </w:pPr>
            <w:r>
              <w:rPr>
                <w:rFonts w:ascii="SimSun" w:hAnsi="SimSun" w:eastAsia="SimSun" w:cs="SimSun"/>
                <w:spacing w:val="4"/>
              </w:rPr>
              <w:t>中低覆盖度（</w:t>
            </w:r>
            <w:r>
              <w:rPr>
                <w:spacing w:val="4"/>
              </w:rPr>
              <w:t>20-40%</w:t>
            </w:r>
            <w:r>
              <w:rPr>
                <w:rFonts w:ascii="SimSun" w:hAnsi="SimSun" w:eastAsia="SimSun" w:cs="SimSun"/>
                <w:spacing w:val="4"/>
              </w:rPr>
              <w:t>）</w:t>
            </w:r>
          </w:p>
        </w:tc>
        <w:tc>
          <w:tcPr>
            <w:tcW w:w="1360" w:type="dxa"/>
            <w:vAlign w:val="top"/>
          </w:tcPr>
          <w:p>
            <w:pPr>
              <w:pStyle w:val="TableText"/>
              <w:ind w:left="503"/>
              <w:spacing w:before="93" w:line="195" w:lineRule="auto"/>
              <w:rPr/>
            </w:pPr>
            <w:r>
              <w:rPr>
                <w:spacing w:val="1"/>
              </w:rPr>
              <w:t>8.42</w:t>
            </w:r>
          </w:p>
        </w:tc>
        <w:tc>
          <w:tcPr>
            <w:tcW w:w="1725" w:type="dxa"/>
            <w:vAlign w:val="top"/>
          </w:tcPr>
          <w:p>
            <w:pPr>
              <w:pStyle w:val="TableText"/>
              <w:ind w:left="559"/>
              <w:spacing w:before="93" w:line="195" w:lineRule="auto"/>
              <w:rPr/>
            </w:pPr>
            <w:r>
              <w:rPr/>
              <w:t>15.77%</w:t>
            </w:r>
          </w:p>
        </w:tc>
        <w:tc>
          <w:tcPr>
            <w:tcW w:w="1861" w:type="dxa"/>
            <w:vAlign w:val="top"/>
          </w:tcPr>
          <w:p>
            <w:pPr>
              <w:pStyle w:val="TableText"/>
              <w:ind w:left="746"/>
              <w:spacing w:before="93" w:line="195" w:lineRule="auto"/>
              <w:rPr/>
            </w:pPr>
            <w:r>
              <w:rPr>
                <w:spacing w:val="4"/>
              </w:rPr>
              <w:t>2.23</w:t>
            </w:r>
          </w:p>
        </w:tc>
        <w:tc>
          <w:tcPr>
            <w:tcW w:w="1727" w:type="dxa"/>
            <w:vAlign w:val="top"/>
          </w:tcPr>
          <w:p>
            <w:pPr>
              <w:pStyle w:val="TableText"/>
              <w:ind w:left="561"/>
              <w:spacing w:before="93" w:line="195" w:lineRule="auto"/>
              <w:rPr/>
            </w:pPr>
            <w:r>
              <w:rPr>
                <w:spacing w:val="1"/>
              </w:rPr>
              <w:t>18.06%</w:t>
            </w:r>
          </w:p>
        </w:tc>
      </w:tr>
      <w:tr>
        <w:trPr>
          <w:trHeight w:val="325" w:hRule="atLeast"/>
        </w:trPr>
        <w:tc>
          <w:tcPr>
            <w:tcW w:w="2612" w:type="dxa"/>
            <w:vAlign w:val="top"/>
          </w:tcPr>
          <w:p>
            <w:pPr>
              <w:pStyle w:val="TableText"/>
              <w:ind w:left="507"/>
              <w:spacing w:before="58" w:line="221" w:lineRule="auto"/>
              <w:rPr/>
            </w:pPr>
            <w:r>
              <w:rPr>
                <w:rFonts w:ascii="SimSun" w:hAnsi="SimSun" w:eastAsia="SimSun" w:cs="SimSun"/>
                <w:spacing w:val="4"/>
              </w:rPr>
              <w:t>中覆盖度</w:t>
            </w:r>
            <w:r>
              <w:rPr>
                <w:spacing w:val="4"/>
              </w:rPr>
              <w:t>(40-60%)</w:t>
            </w:r>
          </w:p>
        </w:tc>
        <w:tc>
          <w:tcPr>
            <w:tcW w:w="1360" w:type="dxa"/>
            <w:vAlign w:val="top"/>
          </w:tcPr>
          <w:p>
            <w:pPr>
              <w:pStyle w:val="TableText"/>
              <w:ind w:left="465"/>
              <w:spacing w:before="94" w:line="195" w:lineRule="auto"/>
              <w:rPr/>
            </w:pPr>
            <w:r>
              <w:rPr>
                <w:spacing w:val="-1"/>
              </w:rPr>
              <w:t>13.62</w:t>
            </w:r>
          </w:p>
        </w:tc>
        <w:tc>
          <w:tcPr>
            <w:tcW w:w="1725" w:type="dxa"/>
            <w:vAlign w:val="top"/>
          </w:tcPr>
          <w:p>
            <w:pPr>
              <w:pStyle w:val="TableText"/>
              <w:ind w:left="539"/>
              <w:spacing w:before="94" w:line="195" w:lineRule="auto"/>
              <w:rPr/>
            </w:pPr>
            <w:r>
              <w:rPr>
                <w:spacing w:val="4"/>
              </w:rPr>
              <w:t>25.51%</w:t>
            </w:r>
          </w:p>
        </w:tc>
        <w:tc>
          <w:tcPr>
            <w:tcW w:w="1861" w:type="dxa"/>
            <w:vAlign w:val="top"/>
          </w:tcPr>
          <w:p>
            <w:pPr>
              <w:pStyle w:val="TableText"/>
              <w:ind w:left="746"/>
              <w:spacing w:before="94" w:line="195" w:lineRule="auto"/>
              <w:rPr/>
            </w:pPr>
            <w:r>
              <w:rPr>
                <w:spacing w:val="4"/>
              </w:rPr>
              <w:t>2.29</w:t>
            </w:r>
          </w:p>
        </w:tc>
        <w:tc>
          <w:tcPr>
            <w:tcW w:w="1727" w:type="dxa"/>
            <w:vAlign w:val="top"/>
          </w:tcPr>
          <w:p>
            <w:pPr>
              <w:pStyle w:val="TableText"/>
              <w:ind w:left="561"/>
              <w:spacing w:before="94" w:line="195" w:lineRule="auto"/>
              <w:rPr/>
            </w:pPr>
            <w:r>
              <w:rPr>
                <w:spacing w:val="1"/>
              </w:rPr>
              <w:t>18.54%</w:t>
            </w:r>
          </w:p>
        </w:tc>
      </w:tr>
      <w:tr>
        <w:trPr>
          <w:trHeight w:val="326" w:hRule="atLeast"/>
        </w:trPr>
        <w:tc>
          <w:tcPr>
            <w:tcW w:w="2612" w:type="dxa"/>
            <w:vAlign w:val="top"/>
          </w:tcPr>
          <w:p>
            <w:pPr>
              <w:pStyle w:val="TableText"/>
              <w:ind w:left="262"/>
              <w:spacing w:before="59" w:line="228" w:lineRule="auto"/>
              <w:rPr>
                <w:rFonts w:ascii="SimSun" w:hAnsi="SimSun" w:eastAsia="SimSun" w:cs="SimSun"/>
              </w:rPr>
            </w:pPr>
            <w:r>
              <w:rPr>
                <w:rFonts w:ascii="SimSun" w:hAnsi="SimSun" w:eastAsia="SimSun" w:cs="SimSun"/>
                <w:spacing w:val="4"/>
              </w:rPr>
              <w:t>中高覆盖度（</w:t>
            </w:r>
            <w:r>
              <w:rPr>
                <w:spacing w:val="4"/>
              </w:rPr>
              <w:t>60-80%</w:t>
            </w:r>
            <w:r>
              <w:rPr>
                <w:rFonts w:ascii="SimSun" w:hAnsi="SimSun" w:eastAsia="SimSun" w:cs="SimSun"/>
                <w:spacing w:val="4"/>
              </w:rPr>
              <w:t>）</w:t>
            </w:r>
          </w:p>
        </w:tc>
        <w:tc>
          <w:tcPr>
            <w:tcW w:w="1360" w:type="dxa"/>
            <w:vAlign w:val="top"/>
          </w:tcPr>
          <w:p>
            <w:pPr>
              <w:pStyle w:val="TableText"/>
              <w:ind w:left="465"/>
              <w:spacing w:before="95" w:line="195" w:lineRule="auto"/>
              <w:rPr/>
            </w:pPr>
            <w:r>
              <w:rPr>
                <w:spacing w:val="-1"/>
              </w:rPr>
              <w:t>13.31</w:t>
            </w:r>
          </w:p>
        </w:tc>
        <w:tc>
          <w:tcPr>
            <w:tcW w:w="1725" w:type="dxa"/>
            <w:vAlign w:val="top"/>
          </w:tcPr>
          <w:p>
            <w:pPr>
              <w:pStyle w:val="TableText"/>
              <w:ind w:left="539"/>
              <w:spacing w:before="95" w:line="195" w:lineRule="auto"/>
              <w:rPr/>
            </w:pPr>
            <w:r>
              <w:rPr>
                <w:spacing w:val="4"/>
              </w:rPr>
              <w:t>24.92%</w:t>
            </w:r>
          </w:p>
        </w:tc>
        <w:tc>
          <w:tcPr>
            <w:tcW w:w="1861" w:type="dxa"/>
            <w:vAlign w:val="top"/>
          </w:tcPr>
          <w:p>
            <w:pPr>
              <w:pStyle w:val="TableText"/>
              <w:ind w:left="766"/>
              <w:spacing w:before="95" w:line="195" w:lineRule="auto"/>
              <w:rPr/>
            </w:pPr>
            <w:r>
              <w:rPr>
                <w:spacing w:val="-1"/>
              </w:rPr>
              <w:t>1.21</w:t>
            </w:r>
          </w:p>
        </w:tc>
        <w:tc>
          <w:tcPr>
            <w:tcW w:w="1727" w:type="dxa"/>
            <w:vAlign w:val="top"/>
          </w:tcPr>
          <w:p>
            <w:pPr>
              <w:pStyle w:val="TableText"/>
              <w:ind w:left="598"/>
              <w:spacing w:before="95" w:line="195" w:lineRule="auto"/>
              <w:rPr/>
            </w:pPr>
            <w:r>
              <w:rPr>
                <w:spacing w:val="3"/>
              </w:rPr>
              <w:t>9.81%</w:t>
            </w:r>
          </w:p>
        </w:tc>
      </w:tr>
      <w:tr>
        <w:trPr>
          <w:trHeight w:val="326" w:hRule="atLeast"/>
        </w:trPr>
        <w:tc>
          <w:tcPr>
            <w:tcW w:w="2612" w:type="dxa"/>
            <w:vAlign w:val="top"/>
          </w:tcPr>
          <w:p>
            <w:pPr>
              <w:pStyle w:val="TableText"/>
              <w:ind w:left="301"/>
              <w:spacing w:before="56" w:line="228" w:lineRule="auto"/>
              <w:rPr>
                <w:rFonts w:ascii="SimSun" w:hAnsi="SimSun" w:eastAsia="SimSun" w:cs="SimSun"/>
              </w:rPr>
            </w:pPr>
            <w:r>
              <w:rPr>
                <w:rFonts w:ascii="SimSun" w:hAnsi="SimSun" w:eastAsia="SimSun" w:cs="SimSun"/>
                <w:spacing w:val="5"/>
              </w:rPr>
              <w:t>高覆盖度（</w:t>
            </w:r>
            <w:r>
              <w:rPr>
                <w:spacing w:val="5"/>
              </w:rPr>
              <w:t>80-100%</w:t>
            </w:r>
            <w:r>
              <w:rPr>
                <w:rFonts w:ascii="SimSun" w:hAnsi="SimSun" w:eastAsia="SimSun" w:cs="SimSun"/>
                <w:spacing w:val="5"/>
              </w:rPr>
              <w:t>）</w:t>
            </w:r>
          </w:p>
        </w:tc>
        <w:tc>
          <w:tcPr>
            <w:tcW w:w="1360" w:type="dxa"/>
            <w:vAlign w:val="top"/>
          </w:tcPr>
          <w:p>
            <w:pPr>
              <w:pStyle w:val="TableText"/>
              <w:ind w:left="498"/>
              <w:spacing w:before="93" w:line="195" w:lineRule="auto"/>
              <w:rPr/>
            </w:pPr>
            <w:r>
              <w:rPr>
                <w:spacing w:val="2"/>
              </w:rPr>
              <w:t>7.73</w:t>
            </w:r>
          </w:p>
        </w:tc>
        <w:tc>
          <w:tcPr>
            <w:tcW w:w="1725" w:type="dxa"/>
            <w:vAlign w:val="top"/>
          </w:tcPr>
          <w:p>
            <w:pPr>
              <w:pStyle w:val="TableText"/>
              <w:ind w:left="559"/>
              <w:spacing w:before="93" w:line="195" w:lineRule="auto"/>
              <w:rPr/>
            </w:pPr>
            <w:r>
              <w:rPr/>
              <w:t>14.47%</w:t>
            </w:r>
          </w:p>
        </w:tc>
        <w:tc>
          <w:tcPr>
            <w:tcW w:w="1861" w:type="dxa"/>
            <w:vAlign w:val="top"/>
          </w:tcPr>
          <w:p>
            <w:pPr>
              <w:pStyle w:val="TableText"/>
              <w:ind w:left="749"/>
              <w:spacing w:before="93" w:line="195" w:lineRule="auto"/>
              <w:rPr/>
            </w:pPr>
            <w:r>
              <w:rPr>
                <w:spacing w:val="3"/>
              </w:rPr>
              <w:t>0.67</w:t>
            </w:r>
          </w:p>
        </w:tc>
        <w:tc>
          <w:tcPr>
            <w:tcW w:w="1727" w:type="dxa"/>
            <w:vAlign w:val="top"/>
          </w:tcPr>
          <w:p>
            <w:pPr>
              <w:pStyle w:val="TableText"/>
              <w:ind w:left="599"/>
              <w:spacing w:before="93" w:line="195" w:lineRule="auto"/>
              <w:rPr/>
            </w:pPr>
            <w:r>
              <w:rPr>
                <w:spacing w:val="3"/>
              </w:rPr>
              <w:t>5.46%</w:t>
            </w:r>
          </w:p>
        </w:tc>
      </w:tr>
      <w:tr>
        <w:trPr>
          <w:trHeight w:val="328" w:hRule="atLeast"/>
        </w:trPr>
        <w:tc>
          <w:tcPr>
            <w:tcW w:w="2612" w:type="dxa"/>
            <w:vAlign w:val="top"/>
          </w:tcPr>
          <w:p>
            <w:pPr>
              <w:ind w:left="1105"/>
              <w:spacing w:before="57" w:line="229" w:lineRule="auto"/>
              <w:rPr>
                <w:rFonts w:ascii="SimSun" w:hAnsi="SimSun" w:eastAsia="SimSun" w:cs="SimSun"/>
                <w:sz w:val="20"/>
                <w:szCs w:val="20"/>
              </w:rPr>
            </w:pPr>
            <w:r>
              <w:rPr>
                <w:rFonts w:ascii="SimSun" w:hAnsi="SimSun" w:eastAsia="SimSun" w:cs="SimSun"/>
                <w:sz w:val="20"/>
                <w:szCs w:val="20"/>
                <w:spacing w:val="2"/>
              </w:rPr>
              <w:t>总计</w:t>
            </w:r>
          </w:p>
        </w:tc>
        <w:tc>
          <w:tcPr>
            <w:tcW w:w="1360" w:type="dxa"/>
            <w:vAlign w:val="top"/>
          </w:tcPr>
          <w:p>
            <w:pPr>
              <w:pStyle w:val="TableText"/>
              <w:ind w:left="450"/>
              <w:spacing w:before="93" w:line="195" w:lineRule="auto"/>
              <w:rPr/>
            </w:pPr>
            <w:r>
              <w:rPr>
                <w:spacing w:val="2"/>
              </w:rPr>
              <w:t>53.41</w:t>
            </w:r>
          </w:p>
        </w:tc>
        <w:tc>
          <w:tcPr>
            <w:tcW w:w="1725" w:type="dxa"/>
            <w:vAlign w:val="top"/>
          </w:tcPr>
          <w:p>
            <w:pPr>
              <w:pStyle w:val="TableText"/>
              <w:ind w:left="506"/>
              <w:spacing w:before="93" w:line="195" w:lineRule="auto"/>
              <w:rPr/>
            </w:pPr>
            <w:r>
              <w:rPr>
                <w:spacing w:val="1"/>
              </w:rPr>
              <w:t>100.00%</w:t>
            </w:r>
          </w:p>
        </w:tc>
        <w:tc>
          <w:tcPr>
            <w:tcW w:w="1861" w:type="dxa"/>
            <w:vAlign w:val="top"/>
          </w:tcPr>
          <w:p>
            <w:pPr>
              <w:pStyle w:val="TableText"/>
              <w:ind w:left="716"/>
              <w:spacing w:before="93" w:line="195" w:lineRule="auto"/>
              <w:rPr/>
            </w:pPr>
            <w:r>
              <w:rPr>
                <w:spacing w:val="-1"/>
              </w:rPr>
              <w:t>12.35</w:t>
            </w:r>
          </w:p>
        </w:tc>
        <w:tc>
          <w:tcPr>
            <w:tcW w:w="1727" w:type="dxa"/>
            <w:vAlign w:val="top"/>
          </w:tcPr>
          <w:p>
            <w:pPr>
              <w:pStyle w:val="TableText"/>
              <w:ind w:left="511"/>
              <w:spacing w:before="93" w:line="195" w:lineRule="auto"/>
              <w:rPr/>
            </w:pPr>
            <w:r>
              <w:rPr>
                <w:spacing w:val="1"/>
              </w:rPr>
              <w:t>100.00%</w:t>
            </w:r>
          </w:p>
        </w:tc>
      </w:tr>
    </w:tbl>
    <w:p>
      <w:pPr>
        <w:ind w:left="594"/>
        <w:spacing w:before="177"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4.2.1.7 </w:t>
      </w:r>
      <w:r>
        <w:rPr>
          <w:rFonts w:ascii="SimHei" w:hAnsi="SimHei" w:eastAsia="SimHei" w:cs="SimHei"/>
          <w:sz w:val="24"/>
          <w:szCs w:val="24"/>
          <w:b/>
          <w:bCs/>
          <w:spacing w:val="-2"/>
        </w:rPr>
        <w:t>动物分布现状调查</w:t>
      </w:r>
    </w:p>
    <w:p>
      <w:pPr>
        <w:ind w:left="115" w:right="110" w:firstLine="480"/>
        <w:spacing w:before="157" w:line="339" w:lineRule="auto"/>
        <w:jc w:val="both"/>
        <w:rPr>
          <w:rFonts w:ascii="SimSun" w:hAnsi="SimSun" w:eastAsia="SimSun" w:cs="SimSun"/>
          <w:sz w:val="24"/>
          <w:szCs w:val="24"/>
        </w:rPr>
      </w:pPr>
      <w:r>
        <w:rPr>
          <w:rFonts w:ascii="SimSun" w:hAnsi="SimSun" w:eastAsia="SimSun" w:cs="SimSun"/>
          <w:sz w:val="24"/>
          <w:szCs w:val="24"/>
          <w:spacing w:val="-2"/>
        </w:rPr>
        <w:t>评价区为内蒙古草甸草原向典型草原过渡地带，在中国动物地理区划中属古北界的</w:t>
      </w:r>
      <w:r>
        <w:rPr>
          <w:rFonts w:ascii="SimSun" w:hAnsi="SimSun" w:eastAsia="SimSun" w:cs="SimSun"/>
          <w:sz w:val="24"/>
          <w:szCs w:val="24"/>
          <w:spacing w:val="-1"/>
        </w:rPr>
        <w:t>蒙新区东部草原亚区，本区野生动物区系以</w:t>
      </w:r>
      <w:r>
        <w:rPr>
          <w:rFonts w:ascii="SimSun" w:hAnsi="SimSun" w:eastAsia="SimSun" w:cs="SimSun"/>
          <w:sz w:val="24"/>
          <w:szCs w:val="24"/>
          <w:spacing w:val="-2"/>
        </w:rPr>
        <w:t>中亚型草原及半荒漠草原动物为主。评价区</w:t>
      </w:r>
      <w:r>
        <w:rPr>
          <w:rFonts w:ascii="SimSun" w:hAnsi="SimSun" w:eastAsia="SimSun" w:cs="SimSun"/>
          <w:sz w:val="24"/>
          <w:szCs w:val="24"/>
          <w:spacing w:val="-1"/>
        </w:rPr>
        <w:t>由于近年来矿山开发和畜牧业发展等原因，</w:t>
      </w:r>
      <w:r>
        <w:rPr>
          <w:rFonts w:ascii="SimSun" w:hAnsi="SimSun" w:eastAsia="SimSun" w:cs="SimSun"/>
          <w:sz w:val="24"/>
          <w:szCs w:val="24"/>
          <w:spacing w:val="-2"/>
        </w:rPr>
        <w:t>较大的兽类濒临绝迹，小哺乳兽类、野鸟等</w:t>
      </w:r>
      <w:r>
        <w:rPr>
          <w:rFonts w:ascii="SimSun" w:hAnsi="SimSun" w:eastAsia="SimSun" w:cs="SimSun"/>
          <w:sz w:val="24"/>
          <w:szCs w:val="24"/>
          <w:spacing w:val="-1"/>
        </w:rPr>
        <w:t>遍及评价区内，野生动物种类并不多。</w:t>
      </w:r>
    </w:p>
    <w:p>
      <w:pPr>
        <w:ind w:left="118" w:right="43" w:firstLine="481"/>
        <w:spacing w:before="4" w:line="338" w:lineRule="auto"/>
        <w:jc w:val="both"/>
        <w:rPr>
          <w:rFonts w:ascii="SimSun" w:hAnsi="SimSun" w:eastAsia="SimSun" w:cs="SimSun"/>
          <w:sz w:val="24"/>
          <w:szCs w:val="24"/>
        </w:rPr>
      </w:pPr>
      <w:r>
        <w:rPr>
          <w:rFonts w:ascii="SimSun" w:hAnsi="SimSun" w:eastAsia="SimSun" w:cs="SimSun"/>
          <w:sz w:val="24"/>
          <w:szCs w:val="24"/>
          <w:spacing w:val="1"/>
        </w:rPr>
        <w:t>为了客观全面地反映本项目评价区域现有动物资源情况，于</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2024</w:t>
      </w:r>
      <w:r>
        <w:rPr>
          <w:rFonts w:ascii="Times New Roman" w:hAnsi="Times New Roman" w:eastAsia="Times New Roman" w:cs="Times New Roman"/>
          <w:sz w:val="24"/>
          <w:szCs w:val="24"/>
        </w:rPr>
        <w:t xml:space="preserve"> </w:t>
      </w:r>
      <w:r>
        <w:rPr>
          <w:rFonts w:ascii="SimSun" w:hAnsi="SimSun" w:eastAsia="SimSun" w:cs="SimSun"/>
          <w:sz w:val="24"/>
          <w:szCs w:val="24"/>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7 </w:t>
      </w:r>
      <w:r>
        <w:rPr>
          <w:rFonts w:ascii="SimSun" w:hAnsi="SimSun" w:eastAsia="SimSun" w:cs="SimSun"/>
          <w:sz w:val="24"/>
          <w:szCs w:val="24"/>
        </w:rPr>
        <w:t>月基于《环</w:t>
      </w:r>
      <w:r>
        <w:rPr>
          <w:rFonts w:ascii="SimSun" w:hAnsi="SimSun" w:eastAsia="SimSun" w:cs="SimSun"/>
          <w:sz w:val="24"/>
          <w:szCs w:val="24"/>
          <w:spacing w:val="-4"/>
        </w:rPr>
        <w:t>境影响评价技术导则生态影响》（</w:t>
      </w:r>
      <w:r>
        <w:rPr>
          <w:rFonts w:ascii="Times New Roman" w:hAnsi="Times New Roman" w:eastAsia="Times New Roman" w:cs="Times New Roman"/>
          <w:sz w:val="24"/>
          <w:szCs w:val="24"/>
          <w:spacing w:val="-4"/>
        </w:rPr>
        <w:t>HJ19-2022</w:t>
      </w:r>
      <w:r>
        <w:rPr>
          <w:rFonts w:ascii="SimSun" w:hAnsi="SimSun" w:eastAsia="SimSun" w:cs="SimSun"/>
          <w:sz w:val="24"/>
          <w:szCs w:val="24"/>
          <w:spacing w:val="-4"/>
        </w:rPr>
        <w:t>）</w:t>
      </w:r>
      <w:r>
        <w:rPr>
          <w:rFonts w:ascii="Times New Roman" w:hAnsi="Times New Roman" w:eastAsia="Times New Roman" w:cs="Times New Roman"/>
          <w:sz w:val="24"/>
          <w:szCs w:val="24"/>
          <w:spacing w:val="-4"/>
        </w:rPr>
        <w:t>-</w:t>
      </w:r>
      <w:r>
        <w:rPr>
          <w:rFonts w:ascii="SimSun" w:hAnsi="SimSun" w:eastAsia="SimSun" w:cs="SimSun"/>
          <w:sz w:val="24"/>
          <w:szCs w:val="24"/>
          <w:spacing w:val="-4"/>
        </w:rPr>
        <w:t>陆生生态二级评价生态现状调查</w:t>
      </w:r>
      <w:r>
        <w:rPr>
          <w:rFonts w:ascii="SimSun" w:hAnsi="SimSun" w:eastAsia="SimSun" w:cs="SimSun"/>
          <w:sz w:val="24"/>
          <w:szCs w:val="24"/>
          <w:spacing w:val="-5"/>
        </w:rPr>
        <w:t>的要求，</w:t>
      </w:r>
      <w:r>
        <w:rPr>
          <w:rFonts w:ascii="SimSun" w:hAnsi="SimSun" w:eastAsia="SimSun" w:cs="SimSun"/>
          <w:sz w:val="24"/>
          <w:szCs w:val="24"/>
          <w:spacing w:val="-1"/>
        </w:rPr>
        <w:t>结合评价区生境类型（草地</w:t>
      </w:r>
      <w:r>
        <w:rPr>
          <w:rFonts w:ascii="SimSun" w:hAnsi="SimSun" w:eastAsia="SimSun" w:cs="SimSun"/>
          <w:sz w:val="24"/>
          <w:szCs w:val="24"/>
          <w:spacing w:val="-6"/>
        </w:rPr>
        <w:t>），</w:t>
      </w:r>
      <w:r>
        <w:rPr>
          <w:rFonts w:ascii="SimSun" w:hAnsi="SimSun" w:eastAsia="SimSun" w:cs="SimSun"/>
          <w:sz w:val="24"/>
          <w:szCs w:val="24"/>
          <w:spacing w:val="-1"/>
        </w:rPr>
        <w:t>开展了样线观察工作，从</w:t>
      </w:r>
      <w:r>
        <w:rPr>
          <w:rFonts w:ascii="SimSun" w:hAnsi="SimSun" w:eastAsia="SimSun" w:cs="SimSun"/>
          <w:sz w:val="24"/>
          <w:szCs w:val="24"/>
          <w:spacing w:val="-2"/>
        </w:rPr>
        <w:t>项目起点到项目终点，每个生</w:t>
      </w:r>
      <w:r>
        <w:rPr>
          <w:rFonts w:ascii="SimSun" w:hAnsi="SimSun" w:eastAsia="SimSun" w:cs="SimSun"/>
          <w:sz w:val="24"/>
          <w:szCs w:val="24"/>
          <w:spacing w:val="-2"/>
        </w:rPr>
        <w:t>境设置</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条样线，共设置</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条野生动物调查样线实地调查了该区域的动物资源情况。本</w:t>
      </w:r>
      <w:r>
        <w:rPr>
          <w:rFonts w:ascii="SimSun" w:hAnsi="SimSun" w:eastAsia="SimSun" w:cs="SimSun"/>
          <w:sz w:val="24"/>
          <w:szCs w:val="24"/>
          <w:spacing w:val="-6"/>
        </w:rPr>
        <w:t>次设置每条样线长度在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6"/>
        </w:rPr>
        <w:t>1500</w:t>
      </w:r>
      <w:r>
        <w:rPr>
          <w:rFonts w:ascii="SimSun" w:hAnsi="SimSun" w:eastAsia="SimSun" w:cs="SimSun"/>
          <w:sz w:val="24"/>
          <w:szCs w:val="24"/>
          <w:spacing w:val="-6"/>
        </w:rPr>
        <w:t>～</w:t>
      </w:r>
      <w:r>
        <w:rPr>
          <w:rFonts w:ascii="Times New Roman" w:hAnsi="Times New Roman" w:eastAsia="Times New Roman" w:cs="Times New Roman"/>
          <w:sz w:val="24"/>
          <w:szCs w:val="24"/>
          <w:spacing w:val="-6"/>
        </w:rPr>
        <w:t>2000m</w:t>
      </w:r>
      <w:r>
        <w:rPr>
          <w:rFonts w:ascii="SimSun" w:hAnsi="SimSun" w:eastAsia="SimSun" w:cs="SimSun"/>
          <w:sz w:val="24"/>
          <w:szCs w:val="24"/>
          <w:spacing w:val="-6"/>
        </w:rPr>
        <w:t>，调查时沿样线两侧行</w:t>
      </w:r>
      <w:r>
        <w:rPr>
          <w:rFonts w:ascii="SimSun" w:hAnsi="SimSun" w:eastAsia="SimSun" w:cs="SimSun"/>
          <w:sz w:val="24"/>
          <w:szCs w:val="24"/>
          <w:spacing w:val="-7"/>
        </w:rPr>
        <w:t>走，行走速度以保持在</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7"/>
        </w:rPr>
        <w:t>4km/h</w:t>
      </w:r>
      <w:r>
        <w:rPr>
          <w:rFonts w:ascii="SimSun" w:hAnsi="SimSun" w:eastAsia="SimSun" w:cs="SimSun"/>
          <w:sz w:val="24"/>
          <w:szCs w:val="24"/>
          <w:spacing w:val="-2"/>
        </w:rPr>
        <w:t>以下，通过调查动物足迹、巢穴、粪便等统计沿样线左右两栖类、爬行类、鸟类以及哺</w:t>
      </w:r>
      <w:r>
        <w:rPr>
          <w:rFonts w:ascii="SimSun" w:hAnsi="SimSun" w:eastAsia="SimSun" w:cs="SimSun"/>
          <w:sz w:val="24"/>
          <w:szCs w:val="24"/>
          <w:spacing w:val="-1"/>
        </w:rPr>
        <w:t>乳类动物种类、种群结构、种群数量、出现频率等情况。</w:t>
      </w:r>
    </w:p>
    <w:p>
      <w:pPr>
        <w:ind w:left="113" w:right="109" w:firstLine="483"/>
        <w:spacing w:before="3" w:line="332" w:lineRule="auto"/>
        <w:jc w:val="both"/>
        <w:rPr>
          <w:rFonts w:ascii="SimSun" w:hAnsi="SimSun" w:eastAsia="SimSun" w:cs="SimSun"/>
          <w:sz w:val="24"/>
          <w:szCs w:val="24"/>
        </w:rPr>
      </w:pPr>
      <w:r>
        <w:rPr>
          <w:rFonts w:ascii="SimSun" w:hAnsi="SimSun" w:eastAsia="SimSun" w:cs="SimSun"/>
          <w:sz w:val="24"/>
          <w:szCs w:val="24"/>
          <w:spacing w:val="4"/>
        </w:rPr>
        <w:t>通过收集资料，</w:t>
      </w:r>
      <w:r>
        <w:rPr>
          <w:rFonts w:ascii="SimSun" w:hAnsi="SimSun" w:eastAsia="SimSun" w:cs="SimSun"/>
          <w:sz w:val="24"/>
          <w:szCs w:val="24"/>
          <w:spacing w:val="-71"/>
        </w:rPr>
        <w:t xml:space="preserve"> </w:t>
      </w:r>
      <w:r>
        <w:rPr>
          <w:rFonts w:ascii="SimSun" w:hAnsi="SimSun" w:eastAsia="SimSun" w:cs="SimSun"/>
          <w:sz w:val="24"/>
          <w:szCs w:val="24"/>
          <w:spacing w:val="4"/>
        </w:rPr>
        <w:t>白音华四号露天矿项目区域分布的常见野生动</w:t>
      </w:r>
      <w:r>
        <w:rPr>
          <w:rFonts w:ascii="SimSun" w:hAnsi="SimSun" w:eastAsia="SimSun" w:cs="SimSun"/>
          <w:sz w:val="24"/>
          <w:szCs w:val="24"/>
          <w:spacing w:val="3"/>
        </w:rPr>
        <w:t>物为典型的草原动</w:t>
      </w:r>
      <w:r>
        <w:rPr>
          <w:rFonts w:ascii="SimSun" w:hAnsi="SimSun" w:eastAsia="SimSun" w:cs="SimSun"/>
          <w:sz w:val="24"/>
          <w:szCs w:val="24"/>
        </w:rPr>
        <w:t>物，其中哺乳类有蒙古兔（</w:t>
      </w:r>
      <w:r>
        <w:rPr>
          <w:rFonts w:ascii="Times New Roman" w:hAnsi="Times New Roman" w:eastAsia="Times New Roman" w:cs="Times New Roman"/>
          <w:sz w:val="24"/>
          <w:szCs w:val="24"/>
          <w:i/>
          <w:iCs/>
        </w:rPr>
        <w:t>Lepus tolei</w:t>
      </w:r>
      <w:r>
        <w:rPr>
          <w:rFonts w:ascii="Times New Roman" w:hAnsi="Times New Roman" w:eastAsia="Times New Roman" w:cs="Times New Roman"/>
          <w:sz w:val="24"/>
          <w:szCs w:val="24"/>
          <w:i/>
          <w:iCs/>
          <w:spacing w:val="-27"/>
        </w:rPr>
        <w:t xml:space="preserve"> </w:t>
      </w:r>
      <w:r>
        <w:rPr>
          <w:rFonts w:ascii="Times New Roman" w:hAnsi="Times New Roman" w:eastAsia="Times New Roman" w:cs="Times New Roman"/>
          <w:sz w:val="24"/>
          <w:szCs w:val="24"/>
          <w:i/>
          <w:iCs/>
        </w:rPr>
        <w:t>pallas</w:t>
      </w:r>
      <w:r>
        <w:rPr>
          <w:rFonts w:ascii="SimSun" w:hAnsi="SimSun" w:eastAsia="SimSun" w:cs="SimSun"/>
          <w:sz w:val="24"/>
          <w:szCs w:val="24"/>
        </w:rPr>
        <w:t>）、草原旱獭（</w:t>
      </w:r>
      <w:r>
        <w:rPr>
          <w:rFonts w:ascii="Times New Roman" w:hAnsi="Times New Roman" w:eastAsia="Times New Roman" w:cs="Times New Roman"/>
          <w:sz w:val="24"/>
          <w:szCs w:val="24"/>
          <w:i/>
          <w:iCs/>
        </w:rPr>
        <w:t>Marmota sib</w:t>
      </w:r>
      <w:r>
        <w:rPr>
          <w:rFonts w:ascii="Times New Roman" w:hAnsi="Times New Roman" w:eastAsia="Times New Roman" w:cs="Times New Roman"/>
          <w:sz w:val="24"/>
          <w:szCs w:val="24"/>
          <w:i/>
          <w:iCs/>
          <w:spacing w:val="-1"/>
        </w:rPr>
        <w:t>irica Radde</w:t>
      </w:r>
      <w:r>
        <w:rPr>
          <w:rFonts w:ascii="SimSun" w:hAnsi="SimSun" w:eastAsia="SimSun" w:cs="SimSun"/>
          <w:sz w:val="24"/>
          <w:szCs w:val="24"/>
          <w:spacing w:val="-1"/>
        </w:rPr>
        <w:t>）、</w:t>
      </w:r>
      <w:r>
        <w:rPr>
          <w:rFonts w:ascii="SimSun" w:hAnsi="SimSun" w:eastAsia="SimSun" w:cs="SimSun"/>
          <w:sz w:val="24"/>
          <w:szCs w:val="24"/>
          <w:spacing w:val="-1"/>
        </w:rPr>
        <w:t>狭颅田鼠（</w:t>
      </w:r>
      <w:r>
        <w:rPr>
          <w:rFonts w:ascii="Times New Roman" w:hAnsi="Times New Roman" w:eastAsia="Times New Roman" w:cs="Times New Roman"/>
          <w:sz w:val="24"/>
          <w:szCs w:val="24"/>
          <w:spacing w:val="-1"/>
        </w:rPr>
        <w:t>Microtus gregalis P</w:t>
      </w:r>
      <w:r>
        <w:rPr>
          <w:rFonts w:ascii="Times New Roman" w:hAnsi="Times New Roman" w:eastAsia="Times New Roman" w:cs="Times New Roman"/>
          <w:sz w:val="24"/>
          <w:szCs w:val="24"/>
          <w:spacing w:val="-2"/>
        </w:rPr>
        <w:t>allas</w:t>
      </w:r>
      <w:r>
        <w:rPr>
          <w:rFonts w:ascii="SimSun" w:hAnsi="SimSun" w:eastAsia="SimSun" w:cs="SimSun"/>
          <w:sz w:val="24"/>
          <w:szCs w:val="24"/>
          <w:spacing w:val="-2"/>
        </w:rPr>
        <w:t>）、草原鼢鼠（</w:t>
      </w:r>
      <w:r>
        <w:rPr>
          <w:rFonts w:ascii="Times New Roman" w:hAnsi="Times New Roman" w:eastAsia="Times New Roman" w:cs="Times New Roman"/>
          <w:sz w:val="24"/>
          <w:szCs w:val="24"/>
          <w:i/>
          <w:iCs/>
          <w:spacing w:val="-2"/>
        </w:rPr>
        <w:t>Myospalax aspalax Pallas</w:t>
      </w:r>
      <w:r>
        <w:rPr>
          <w:rFonts w:ascii="SimSun" w:hAnsi="SimSun" w:eastAsia="SimSun" w:cs="SimSun"/>
          <w:sz w:val="24"/>
          <w:szCs w:val="24"/>
          <w:spacing w:val="-2"/>
        </w:rPr>
        <w:t>）等；两栖类</w:t>
      </w:r>
      <w:r>
        <w:rPr>
          <w:rFonts w:ascii="SimSun" w:hAnsi="SimSun" w:eastAsia="SimSun" w:cs="SimSun"/>
          <w:sz w:val="24"/>
          <w:szCs w:val="24"/>
          <w:spacing w:val="7"/>
        </w:rPr>
        <w:t>有花背蟾蜍（</w:t>
      </w:r>
      <w:r>
        <w:rPr>
          <w:rFonts w:ascii="Times New Roman" w:hAnsi="Times New Roman" w:eastAsia="Times New Roman" w:cs="Times New Roman"/>
          <w:sz w:val="24"/>
          <w:szCs w:val="24"/>
          <w:i/>
          <w:iCs/>
          <w:spacing w:val="7"/>
        </w:rPr>
        <w:t>B.</w:t>
      </w:r>
      <w:r>
        <w:rPr>
          <w:rFonts w:ascii="Times New Roman" w:hAnsi="Times New Roman" w:eastAsia="Times New Roman" w:cs="Times New Roman"/>
          <w:sz w:val="24"/>
          <w:szCs w:val="24"/>
          <w:i/>
          <w:iCs/>
        </w:rPr>
        <w:t>raddei</w:t>
      </w:r>
      <w:r>
        <w:rPr>
          <w:rFonts w:ascii="Times New Roman" w:hAnsi="Times New Roman" w:eastAsia="Times New Roman" w:cs="Times New Roman"/>
          <w:sz w:val="24"/>
          <w:szCs w:val="24"/>
          <w:i/>
          <w:iCs/>
          <w:spacing w:val="7"/>
        </w:rPr>
        <w:t xml:space="preserve"> </w:t>
      </w:r>
      <w:r>
        <w:rPr>
          <w:rFonts w:ascii="Times New Roman" w:hAnsi="Times New Roman" w:eastAsia="Times New Roman" w:cs="Times New Roman"/>
          <w:sz w:val="24"/>
          <w:szCs w:val="24"/>
          <w:i/>
          <w:iCs/>
        </w:rPr>
        <w:t>strauch</w:t>
      </w:r>
      <w:r>
        <w:rPr>
          <w:rFonts w:ascii="SimSun" w:hAnsi="SimSun" w:eastAsia="SimSun" w:cs="SimSun"/>
          <w:sz w:val="24"/>
          <w:szCs w:val="24"/>
          <w:spacing w:val="7"/>
        </w:rPr>
        <w:t>）、青蛙（</w:t>
      </w:r>
      <w:r>
        <w:rPr>
          <w:rFonts w:ascii="Times New Roman" w:hAnsi="Times New Roman" w:eastAsia="Times New Roman" w:cs="Times New Roman"/>
          <w:sz w:val="24"/>
          <w:szCs w:val="24"/>
          <w:i/>
          <w:iCs/>
        </w:rPr>
        <w:t>Rana</w:t>
      </w:r>
      <w:r>
        <w:rPr>
          <w:rFonts w:ascii="Times New Roman" w:hAnsi="Times New Roman" w:eastAsia="Times New Roman" w:cs="Times New Roman"/>
          <w:sz w:val="24"/>
          <w:szCs w:val="24"/>
          <w:i/>
          <w:iCs/>
          <w:spacing w:val="7"/>
        </w:rPr>
        <w:t xml:space="preserve"> </w:t>
      </w:r>
      <w:r>
        <w:rPr>
          <w:rFonts w:ascii="Times New Roman" w:hAnsi="Times New Roman" w:eastAsia="Times New Roman" w:cs="Times New Roman"/>
          <w:sz w:val="24"/>
          <w:szCs w:val="24"/>
          <w:i/>
          <w:iCs/>
        </w:rPr>
        <w:t>nigromaculata</w:t>
      </w:r>
      <w:r>
        <w:rPr>
          <w:rFonts w:ascii="SimSun" w:hAnsi="SimSun" w:eastAsia="SimSun" w:cs="SimSun"/>
          <w:sz w:val="24"/>
          <w:szCs w:val="24"/>
          <w:spacing w:val="7"/>
        </w:rPr>
        <w:t>）等；爬行类有草原沙蜥</w:t>
      </w:r>
      <w:r>
        <w:rPr>
          <w:rFonts w:ascii="SimSun" w:hAnsi="SimSun" w:eastAsia="SimSun" w:cs="SimSun"/>
          <w:sz w:val="24"/>
          <w:szCs w:val="24"/>
          <w:spacing w:val="5"/>
        </w:rPr>
        <w:t>（</w:t>
      </w:r>
      <w:r>
        <w:rPr>
          <w:rFonts w:ascii="Times New Roman" w:hAnsi="Times New Roman" w:eastAsia="Times New Roman" w:cs="Times New Roman"/>
          <w:sz w:val="24"/>
          <w:szCs w:val="24"/>
          <w:i/>
          <w:iCs/>
        </w:rPr>
        <w:t>Phrynocephalus</w:t>
      </w:r>
      <w:r>
        <w:rPr>
          <w:rFonts w:ascii="Times New Roman" w:hAnsi="Times New Roman" w:eastAsia="Times New Roman" w:cs="Times New Roman"/>
          <w:sz w:val="24"/>
          <w:szCs w:val="24"/>
          <w:i/>
          <w:iCs/>
          <w:spacing w:val="-39"/>
        </w:rPr>
        <w:t xml:space="preserve"> </w:t>
      </w:r>
      <w:r>
        <w:rPr>
          <w:rFonts w:ascii="Times New Roman" w:hAnsi="Times New Roman" w:eastAsia="Times New Roman" w:cs="Times New Roman"/>
          <w:sz w:val="24"/>
          <w:szCs w:val="24"/>
          <w:i/>
          <w:iCs/>
        </w:rPr>
        <w:t>frontalis</w:t>
      </w:r>
      <w:r>
        <w:rPr>
          <w:rFonts w:ascii="SimSun" w:hAnsi="SimSun" w:eastAsia="SimSun" w:cs="SimSun"/>
          <w:sz w:val="24"/>
          <w:szCs w:val="24"/>
          <w:spacing w:val="5"/>
        </w:rPr>
        <w:t>）、黄脊游蛇（</w:t>
      </w:r>
      <w:r>
        <w:rPr>
          <w:rFonts w:ascii="Times New Roman" w:hAnsi="Times New Roman" w:eastAsia="Times New Roman" w:cs="Times New Roman"/>
          <w:sz w:val="24"/>
          <w:szCs w:val="24"/>
          <w:i/>
          <w:iCs/>
        </w:rPr>
        <w:t>Calamaris</w:t>
      </w:r>
      <w:r>
        <w:rPr>
          <w:rFonts w:ascii="Times New Roman" w:hAnsi="Times New Roman" w:eastAsia="Times New Roman" w:cs="Times New Roman"/>
          <w:sz w:val="24"/>
          <w:szCs w:val="24"/>
          <w:i/>
          <w:iCs/>
          <w:spacing w:val="5"/>
        </w:rPr>
        <w:t xml:space="preserve"> </w:t>
      </w:r>
      <w:r>
        <w:rPr>
          <w:rFonts w:ascii="Times New Roman" w:hAnsi="Times New Roman" w:eastAsia="Times New Roman" w:cs="Times New Roman"/>
          <w:sz w:val="24"/>
          <w:szCs w:val="24"/>
          <w:i/>
          <w:iCs/>
        </w:rPr>
        <w:t>spinalis</w:t>
      </w:r>
      <w:r>
        <w:rPr>
          <w:rFonts w:ascii="Times New Roman" w:hAnsi="Times New Roman" w:eastAsia="Times New Roman" w:cs="Times New Roman"/>
          <w:sz w:val="24"/>
          <w:szCs w:val="24"/>
          <w:i/>
          <w:iCs/>
          <w:spacing w:val="5"/>
        </w:rPr>
        <w:t xml:space="preserve"> </w:t>
      </w:r>
      <w:r>
        <w:rPr>
          <w:rFonts w:ascii="Times New Roman" w:hAnsi="Times New Roman" w:eastAsia="Times New Roman" w:cs="Times New Roman"/>
          <w:sz w:val="24"/>
          <w:szCs w:val="24"/>
          <w:i/>
          <w:iCs/>
        </w:rPr>
        <w:t>Peters</w:t>
      </w:r>
      <w:r>
        <w:rPr>
          <w:rFonts w:ascii="SimSun" w:hAnsi="SimSun" w:eastAsia="SimSun" w:cs="SimSun"/>
          <w:sz w:val="24"/>
          <w:szCs w:val="24"/>
          <w:spacing w:val="5"/>
        </w:rPr>
        <w:t>）等；鸟类主要有小</w:t>
      </w:r>
      <w:r>
        <w:rPr>
          <w:rFonts w:ascii="SimSun" w:hAnsi="SimSun" w:eastAsia="SimSun" w:cs="SimSun"/>
          <w:sz w:val="24"/>
          <w:szCs w:val="24"/>
          <w:spacing w:val="-5"/>
        </w:rPr>
        <w:t>沙百灵（</w:t>
      </w:r>
      <w:r>
        <w:rPr>
          <w:rFonts w:ascii="Times New Roman" w:hAnsi="Times New Roman" w:eastAsia="Times New Roman" w:cs="Times New Roman"/>
          <w:sz w:val="24"/>
          <w:szCs w:val="24"/>
          <w:i/>
          <w:iCs/>
          <w:spacing w:val="-5"/>
        </w:rPr>
        <w:t>C.rufescens</w:t>
      </w:r>
      <w:r>
        <w:rPr>
          <w:rFonts w:ascii="Times New Roman" w:hAnsi="Times New Roman" w:eastAsia="Times New Roman" w:cs="Times New Roman"/>
          <w:sz w:val="24"/>
          <w:szCs w:val="24"/>
          <w:i/>
          <w:iCs/>
          <w:spacing w:val="16"/>
          <w:w w:val="101"/>
        </w:rPr>
        <w:t xml:space="preserve"> </w:t>
      </w:r>
      <w:r>
        <w:rPr>
          <w:rFonts w:ascii="Times New Roman" w:hAnsi="Times New Roman" w:eastAsia="Times New Roman" w:cs="Times New Roman"/>
          <w:sz w:val="24"/>
          <w:szCs w:val="24"/>
          <w:i/>
          <w:iCs/>
          <w:spacing w:val="-5"/>
        </w:rPr>
        <w:t>(Vieillot)</w:t>
      </w:r>
      <w:r>
        <w:rPr>
          <w:rFonts w:ascii="SimSun" w:hAnsi="SimSun" w:eastAsia="SimSun" w:cs="SimSun"/>
          <w:sz w:val="24"/>
          <w:szCs w:val="24"/>
          <w:spacing w:val="-5"/>
        </w:rPr>
        <w:t>）、毛腿沙鸡（</w:t>
      </w:r>
      <w:r>
        <w:rPr>
          <w:rFonts w:ascii="Times New Roman" w:hAnsi="Times New Roman" w:eastAsia="Times New Roman" w:cs="Times New Roman"/>
          <w:sz w:val="24"/>
          <w:szCs w:val="24"/>
          <w:i/>
          <w:iCs/>
          <w:spacing w:val="-5"/>
        </w:rPr>
        <w:t>Syrrhaptes</w:t>
      </w:r>
      <w:r>
        <w:rPr>
          <w:rFonts w:ascii="Times New Roman" w:hAnsi="Times New Roman" w:eastAsia="Times New Roman" w:cs="Times New Roman"/>
          <w:sz w:val="24"/>
          <w:szCs w:val="24"/>
          <w:i/>
          <w:iCs/>
          <w:spacing w:val="-26"/>
        </w:rPr>
        <w:t xml:space="preserve"> </w:t>
      </w:r>
      <w:r>
        <w:rPr>
          <w:rFonts w:ascii="Times New Roman" w:hAnsi="Times New Roman" w:eastAsia="Times New Roman" w:cs="Times New Roman"/>
          <w:sz w:val="24"/>
          <w:szCs w:val="24"/>
          <w:i/>
          <w:iCs/>
          <w:spacing w:val="-5"/>
        </w:rPr>
        <w:t>para</w:t>
      </w:r>
      <w:r>
        <w:rPr>
          <w:rFonts w:ascii="Times New Roman" w:hAnsi="Times New Roman" w:eastAsia="Times New Roman" w:cs="Times New Roman"/>
          <w:sz w:val="24"/>
          <w:szCs w:val="24"/>
          <w:i/>
          <w:iCs/>
          <w:spacing w:val="-6"/>
        </w:rPr>
        <w:t>doxus(pallas)</w:t>
      </w:r>
      <w:r>
        <w:rPr>
          <w:rFonts w:ascii="SimSun" w:hAnsi="SimSun" w:eastAsia="SimSun" w:cs="SimSun"/>
          <w:sz w:val="24"/>
          <w:szCs w:val="24"/>
          <w:spacing w:val="-6"/>
        </w:rPr>
        <w:t>）、云雀（</w:t>
      </w:r>
      <w:r>
        <w:rPr>
          <w:rFonts w:ascii="Times New Roman" w:hAnsi="Times New Roman" w:eastAsia="Times New Roman" w:cs="Times New Roman"/>
          <w:sz w:val="24"/>
          <w:szCs w:val="24"/>
          <w:i/>
          <w:iCs/>
          <w:spacing w:val="-6"/>
        </w:rPr>
        <w:t>Alauda</w:t>
      </w:r>
      <w:r>
        <w:rPr>
          <w:rFonts w:ascii="Times New Roman" w:hAnsi="Times New Roman" w:eastAsia="Times New Roman" w:cs="Times New Roman"/>
          <w:sz w:val="24"/>
          <w:szCs w:val="24"/>
          <w:i/>
          <w:iCs/>
        </w:rPr>
        <w:t xml:space="preserve"> </w:t>
      </w:r>
      <w:r>
        <w:rPr>
          <w:rFonts w:ascii="Times New Roman" w:hAnsi="Times New Roman" w:eastAsia="Times New Roman" w:cs="Times New Roman"/>
          <w:sz w:val="24"/>
          <w:szCs w:val="24"/>
          <w:i/>
          <w:iCs/>
        </w:rPr>
        <w:t>arvernsis Linnaeus</w:t>
      </w:r>
      <w:r>
        <w:rPr>
          <w:rFonts w:ascii="SimSun" w:hAnsi="SimSun" w:eastAsia="SimSun" w:cs="SimSun"/>
          <w:sz w:val="24"/>
          <w:szCs w:val="24"/>
        </w:rPr>
        <w:t>）、凤头</w:t>
      </w:r>
      <w:r>
        <w:rPr>
          <w:rFonts w:ascii="SimSun" w:hAnsi="SimSun" w:eastAsia="SimSun" w:cs="SimSun"/>
          <w:sz w:val="24"/>
          <w:szCs w:val="24"/>
          <w:spacing w:val="-1"/>
        </w:rPr>
        <w:t>麦鸡（</w:t>
      </w:r>
      <w:r>
        <w:rPr>
          <w:rFonts w:ascii="Times New Roman" w:hAnsi="Times New Roman" w:eastAsia="Times New Roman" w:cs="Times New Roman"/>
          <w:sz w:val="24"/>
          <w:szCs w:val="24"/>
          <w:i/>
          <w:iCs/>
          <w:spacing w:val="-1"/>
        </w:rPr>
        <w:t>Vanellus vanellus Linnaeus</w:t>
      </w:r>
      <w:r>
        <w:rPr>
          <w:rFonts w:ascii="SimSun" w:hAnsi="SimSun" w:eastAsia="SimSun" w:cs="SimSun"/>
          <w:sz w:val="24"/>
          <w:szCs w:val="24"/>
          <w:spacing w:val="-1"/>
        </w:rPr>
        <w:t>）、极北柳莺（</w:t>
      </w:r>
      <w:r>
        <w:rPr>
          <w:rFonts w:ascii="Times New Roman" w:hAnsi="Times New Roman" w:eastAsia="Times New Roman" w:cs="Times New Roman"/>
          <w:sz w:val="24"/>
          <w:szCs w:val="24"/>
          <w:i/>
          <w:iCs/>
          <w:spacing w:val="-1"/>
        </w:rPr>
        <w:t>Phylloscopus</w:t>
      </w:r>
      <w:r>
        <w:rPr>
          <w:rFonts w:ascii="Times New Roman" w:hAnsi="Times New Roman" w:eastAsia="Times New Roman" w:cs="Times New Roman"/>
          <w:sz w:val="24"/>
          <w:szCs w:val="24"/>
          <w:i/>
          <w:iCs/>
        </w:rPr>
        <w:t xml:space="preserve"> </w:t>
      </w:r>
      <w:r>
        <w:rPr>
          <w:rFonts w:ascii="Times New Roman" w:hAnsi="Times New Roman" w:eastAsia="Times New Roman" w:cs="Times New Roman"/>
          <w:sz w:val="24"/>
          <w:szCs w:val="24"/>
          <w:i/>
          <w:iCs/>
        </w:rPr>
        <w:t>borealis</w:t>
      </w:r>
      <w:r>
        <w:rPr>
          <w:rFonts w:ascii="SimSun" w:hAnsi="SimSun" w:eastAsia="SimSun" w:cs="SimSun"/>
          <w:sz w:val="24"/>
          <w:szCs w:val="24"/>
          <w:spacing w:val="3"/>
        </w:rPr>
        <w:t>）、鹌鹑（</w:t>
      </w:r>
      <w:r>
        <w:rPr>
          <w:rFonts w:ascii="Times New Roman" w:hAnsi="Times New Roman" w:eastAsia="Times New Roman" w:cs="Times New Roman"/>
          <w:sz w:val="24"/>
          <w:szCs w:val="24"/>
          <w:i/>
          <w:iCs/>
        </w:rPr>
        <w:t>Coturnix</w:t>
      </w:r>
      <w:r>
        <w:rPr>
          <w:rFonts w:ascii="Times New Roman" w:hAnsi="Times New Roman" w:eastAsia="Times New Roman" w:cs="Times New Roman"/>
          <w:sz w:val="24"/>
          <w:szCs w:val="24"/>
          <w:i/>
          <w:iCs/>
          <w:spacing w:val="3"/>
        </w:rPr>
        <w:t xml:space="preserve"> </w:t>
      </w:r>
      <w:r>
        <w:rPr>
          <w:rFonts w:ascii="Times New Roman" w:hAnsi="Times New Roman" w:eastAsia="Times New Roman" w:cs="Times New Roman"/>
          <w:sz w:val="24"/>
          <w:szCs w:val="24"/>
          <w:i/>
          <w:iCs/>
        </w:rPr>
        <w:t>coturnix</w:t>
      </w:r>
      <w:r>
        <w:rPr>
          <w:rFonts w:ascii="SimSun" w:hAnsi="SimSun" w:eastAsia="SimSun" w:cs="SimSun"/>
          <w:sz w:val="24"/>
          <w:szCs w:val="24"/>
          <w:spacing w:val="3"/>
        </w:rPr>
        <w:t>）等；家畜主要是牛、羊，项目区域</w:t>
      </w:r>
      <w:r>
        <w:rPr>
          <w:rFonts w:ascii="SimSun" w:hAnsi="SimSun" w:eastAsia="SimSun" w:cs="SimSun"/>
          <w:sz w:val="24"/>
          <w:szCs w:val="24"/>
          <w:spacing w:val="2"/>
        </w:rPr>
        <w:t>还有种类和数</w:t>
      </w:r>
      <w:r>
        <w:rPr>
          <w:rFonts w:ascii="SimSun" w:hAnsi="SimSun" w:eastAsia="SimSun" w:cs="SimSun"/>
          <w:sz w:val="24"/>
          <w:szCs w:val="24"/>
          <w:spacing w:val="-1"/>
        </w:rPr>
        <w:t>量众多的昆虫。对照《国家重点保护野生动物名</w:t>
      </w:r>
      <w:r>
        <w:rPr>
          <w:rFonts w:ascii="SimSun" w:hAnsi="SimSun" w:eastAsia="SimSun" w:cs="SimSun"/>
          <w:sz w:val="24"/>
          <w:szCs w:val="24"/>
          <w:spacing w:val="-2"/>
        </w:rPr>
        <w:t>录》及《内蒙古自治区重点保护陆生野</w:t>
      </w:r>
      <w:r>
        <w:rPr>
          <w:rFonts w:ascii="SimSun" w:hAnsi="SimSun" w:eastAsia="SimSun" w:cs="SimSun"/>
          <w:sz w:val="24"/>
          <w:szCs w:val="24"/>
          <w:spacing w:val="-1"/>
        </w:rPr>
        <w:t>生动物保护名录》，未发现名录中的保护动物。</w:t>
      </w:r>
    </w:p>
    <w:p>
      <w:pPr>
        <w:spacing w:line="332" w:lineRule="auto"/>
        <w:sectPr>
          <w:headerReference w:type="default" r:id="rId307"/>
          <w:footerReference w:type="default" r:id="rId308"/>
          <w:pgSz w:w="11906" w:h="16838"/>
          <w:pgMar w:top="1170" w:right="1307" w:bottom="1080" w:left="1307" w:header="837" w:footer="918" w:gutter="0"/>
        </w:sectPr>
        <w:rPr>
          <w:rFonts w:ascii="SimSun" w:hAnsi="SimSun" w:eastAsia="SimSun" w:cs="SimSun"/>
          <w:sz w:val="24"/>
          <w:szCs w:val="24"/>
        </w:rPr>
      </w:pPr>
    </w:p>
    <w:p>
      <w:pPr>
        <w:pStyle w:val="BodyText"/>
        <w:spacing w:line="309" w:lineRule="auto"/>
        <w:rPr/>
      </w:pPr>
      <w:r/>
    </w:p>
    <w:p>
      <w:pPr>
        <w:ind w:left="119" w:right="27" w:firstLine="482"/>
        <w:spacing w:before="78" w:line="339" w:lineRule="auto"/>
        <w:jc w:val="both"/>
        <w:rPr>
          <w:rFonts w:ascii="SimSun" w:hAnsi="SimSun" w:eastAsia="SimSun" w:cs="SimSun"/>
          <w:sz w:val="24"/>
          <w:szCs w:val="24"/>
        </w:rPr>
      </w:pPr>
      <w:r>
        <w:rPr>
          <w:rFonts w:ascii="SimSun" w:hAnsi="SimSun" w:eastAsia="SimSun" w:cs="SimSun"/>
          <w:sz w:val="24"/>
          <w:szCs w:val="24"/>
          <w:spacing w:val="-2"/>
        </w:rPr>
        <w:t>为表示各类动物种类数量的丰富度，本次评价采用数量等级方法：某动物种群在单</w:t>
      </w:r>
      <w:r>
        <w:rPr>
          <w:rFonts w:ascii="SimSun" w:hAnsi="SimSun" w:eastAsia="SimSun" w:cs="SimSun"/>
          <w:sz w:val="24"/>
          <w:szCs w:val="24"/>
          <w:spacing w:val="-4"/>
        </w:rPr>
        <w:t>位面积内其数量占所调查动物总数的</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10%</w:t>
      </w:r>
      <w:r>
        <w:rPr>
          <w:rFonts w:ascii="SimSun" w:hAnsi="SimSun" w:eastAsia="SimSun" w:cs="SimSun"/>
          <w:sz w:val="24"/>
          <w:szCs w:val="24"/>
          <w:spacing w:val="-4"/>
        </w:rPr>
        <w:t>以上，用“</w:t>
      </w:r>
      <w:r>
        <w:rPr>
          <w:rFonts w:ascii="SimSun" w:hAnsi="SimSun" w:eastAsia="SimSun" w:cs="SimSun"/>
          <w:sz w:val="24"/>
          <w:szCs w:val="24"/>
          <w:spacing w:val="-9"/>
        </w:rPr>
        <w:t>＋＋＋</w:t>
      </w:r>
      <w:r>
        <w:rPr>
          <w:rFonts w:ascii="SimSun" w:hAnsi="SimSun" w:eastAsia="SimSun" w:cs="SimSun"/>
          <w:sz w:val="24"/>
          <w:szCs w:val="24"/>
          <w:spacing w:val="-57"/>
        </w:rPr>
        <w:t xml:space="preserve"> </w:t>
      </w:r>
      <w:r>
        <w:rPr>
          <w:rFonts w:ascii="SimSun" w:hAnsi="SimSun" w:eastAsia="SimSun" w:cs="SimSun"/>
          <w:sz w:val="24"/>
          <w:szCs w:val="24"/>
          <w:spacing w:val="-4"/>
        </w:rPr>
        <w:t>”表示，为当地优势种；某</w:t>
      </w:r>
      <w:r>
        <w:rPr>
          <w:rFonts w:ascii="SimSun" w:hAnsi="SimSun" w:eastAsia="SimSun" w:cs="SimSun"/>
          <w:sz w:val="24"/>
          <w:szCs w:val="24"/>
          <w:spacing w:val="-2"/>
        </w:rPr>
        <w:t>动物种群占调查总数的</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2"/>
        </w:rPr>
        <w:t>～</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，用“</w:t>
      </w:r>
      <w:r>
        <w:rPr>
          <w:rFonts w:ascii="SimSun" w:hAnsi="SimSun" w:eastAsia="SimSun" w:cs="SimSun"/>
          <w:sz w:val="24"/>
          <w:szCs w:val="24"/>
          <w:spacing w:val="-6"/>
        </w:rPr>
        <w:t>＋＋</w:t>
      </w:r>
      <w:r>
        <w:rPr>
          <w:rFonts w:ascii="SimSun" w:hAnsi="SimSun" w:eastAsia="SimSun" w:cs="SimSun"/>
          <w:sz w:val="24"/>
          <w:szCs w:val="24"/>
          <w:spacing w:val="-55"/>
        </w:rPr>
        <w:t xml:space="preserve"> </w:t>
      </w:r>
      <w:r>
        <w:rPr>
          <w:rFonts w:ascii="SimSun" w:hAnsi="SimSun" w:eastAsia="SimSun" w:cs="SimSun"/>
          <w:sz w:val="24"/>
          <w:szCs w:val="24"/>
          <w:spacing w:val="-2"/>
        </w:rPr>
        <w:t>”表示，为当地普通种；某动物种群占调查</w:t>
      </w:r>
      <w:r>
        <w:rPr>
          <w:rFonts w:ascii="SimSun" w:hAnsi="SimSun" w:eastAsia="SimSun" w:cs="SimSun"/>
          <w:sz w:val="24"/>
          <w:szCs w:val="24"/>
          <w:spacing w:val="-17"/>
        </w:rPr>
        <w:t>总数的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7"/>
        </w:rPr>
        <w:t>1%</w:t>
      </w:r>
      <w:r>
        <w:rPr>
          <w:rFonts w:ascii="SimSun" w:hAnsi="SimSun" w:eastAsia="SimSun" w:cs="SimSun"/>
          <w:sz w:val="24"/>
          <w:szCs w:val="24"/>
          <w:spacing w:val="-17"/>
        </w:rPr>
        <w:t>以下或仅见</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7"/>
        </w:rPr>
        <w:t>1</w:t>
      </w:r>
      <w:r>
        <w:rPr>
          <w:rFonts w:ascii="Times New Roman" w:hAnsi="Times New Roman" w:eastAsia="Times New Roman" w:cs="Times New Roman"/>
          <w:sz w:val="24"/>
          <w:szCs w:val="24"/>
          <w:spacing w:val="11"/>
        </w:rPr>
        <w:t xml:space="preserve">  </w:t>
      </w:r>
      <w:r>
        <w:rPr>
          <w:rFonts w:ascii="SimSun" w:hAnsi="SimSun" w:eastAsia="SimSun" w:cs="SimSun"/>
          <w:sz w:val="24"/>
          <w:szCs w:val="24"/>
          <w:spacing w:val="-17"/>
        </w:rPr>
        <w:t>只，用“＋</w:t>
      </w:r>
      <w:r>
        <w:rPr>
          <w:rFonts w:ascii="SimSun" w:hAnsi="SimSun" w:eastAsia="SimSun" w:cs="SimSun"/>
          <w:sz w:val="24"/>
          <w:szCs w:val="24"/>
          <w:spacing w:val="-87"/>
        </w:rPr>
        <w:t xml:space="preserve"> </w:t>
      </w:r>
      <w:r>
        <w:rPr>
          <w:rFonts w:ascii="SimSun" w:hAnsi="SimSun" w:eastAsia="SimSun" w:cs="SimSun"/>
          <w:sz w:val="24"/>
          <w:szCs w:val="24"/>
          <w:spacing w:val="-17"/>
        </w:rPr>
        <w:t>”表示，为当地偶见种。数量等级评价标准见表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7"/>
        </w:rPr>
        <w:t>4-2-20</w:t>
      </w:r>
      <w:r>
        <w:rPr>
          <w:rFonts w:ascii="SimSun" w:hAnsi="SimSun" w:eastAsia="SimSun" w:cs="SimSun"/>
          <w:sz w:val="24"/>
          <w:szCs w:val="24"/>
          <w:spacing w:val="-17"/>
        </w:rPr>
        <w:t>。</w:t>
      </w:r>
      <w:r>
        <w:rPr>
          <w:rFonts w:ascii="SimSun" w:hAnsi="SimSun" w:eastAsia="SimSun" w:cs="SimSun"/>
          <w:sz w:val="24"/>
          <w:szCs w:val="24"/>
          <w:spacing w:val="-2"/>
        </w:rPr>
        <w:t>调查结果见表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4-2-21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。评价区野生动物名录见表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4-2-22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。动物样线分布见图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4-2-3</w:t>
      </w:r>
      <w:r>
        <w:rPr>
          <w:rFonts w:ascii="SimSun" w:hAnsi="SimSun" w:eastAsia="SimSun" w:cs="SimSun"/>
          <w:sz w:val="24"/>
          <w:szCs w:val="24"/>
          <w:spacing w:val="-2"/>
        </w:rPr>
        <w:t>。</w:t>
      </w:r>
    </w:p>
    <w:p>
      <w:pPr>
        <w:ind w:left="3696"/>
        <w:spacing w:before="1" w:line="220" w:lineRule="auto"/>
        <w:rPr>
          <w:rFonts w:ascii="SimHei" w:hAnsi="SimHei" w:eastAsia="SimHei" w:cs="SimHei"/>
          <w:sz w:val="24"/>
          <w:szCs w:val="24"/>
        </w:rPr>
      </w:pPr>
      <w:r>
        <w:rPr>
          <w:rFonts w:ascii="SimHei" w:hAnsi="SimHei" w:eastAsia="SimHei" w:cs="SimHei"/>
          <w:sz w:val="24"/>
          <w:szCs w:val="24"/>
          <w:spacing w:val="-2"/>
        </w:rPr>
        <w:t>动物数量等级评价标准</w:t>
      </w:r>
    </w:p>
    <w:p>
      <w:pPr>
        <w:ind w:left="117"/>
        <w:spacing w:before="36"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4-2-20</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89"/>
        <w:gridCol w:w="1322"/>
        <w:gridCol w:w="6579"/>
      </w:tblGrid>
      <w:tr>
        <w:trPr>
          <w:trHeight w:val="334" w:hRule="atLeast"/>
        </w:trPr>
        <w:tc>
          <w:tcPr>
            <w:tcW w:w="1389" w:type="dxa"/>
            <w:vAlign w:val="top"/>
          </w:tcPr>
          <w:p>
            <w:pPr>
              <w:ind w:left="279"/>
              <w:spacing w:before="59" w:line="228" w:lineRule="auto"/>
              <w:rPr>
                <w:rFonts w:ascii="SimSun" w:hAnsi="SimSun" w:eastAsia="SimSun" w:cs="SimSun"/>
                <w:sz w:val="20"/>
                <w:szCs w:val="20"/>
              </w:rPr>
            </w:pPr>
            <w:r>
              <w:rPr>
                <w:rFonts w:ascii="SimSun" w:hAnsi="SimSun" w:eastAsia="SimSun" w:cs="SimSun"/>
                <w:sz w:val="20"/>
                <w:szCs w:val="20"/>
                <w:spacing w:val="7"/>
              </w:rPr>
              <w:t>种群状况</w:t>
            </w:r>
          </w:p>
        </w:tc>
        <w:tc>
          <w:tcPr>
            <w:tcW w:w="1322" w:type="dxa"/>
            <w:vAlign w:val="top"/>
          </w:tcPr>
          <w:p>
            <w:pPr>
              <w:ind w:left="242"/>
              <w:spacing w:before="59" w:line="228" w:lineRule="auto"/>
              <w:rPr>
                <w:rFonts w:ascii="SimSun" w:hAnsi="SimSun" w:eastAsia="SimSun" w:cs="SimSun"/>
                <w:sz w:val="20"/>
                <w:szCs w:val="20"/>
              </w:rPr>
            </w:pPr>
            <w:r>
              <w:rPr>
                <w:rFonts w:ascii="SimSun" w:hAnsi="SimSun" w:eastAsia="SimSun" w:cs="SimSun"/>
                <w:sz w:val="20"/>
                <w:szCs w:val="20"/>
                <w:spacing w:val="7"/>
              </w:rPr>
              <w:t>表示符号</w:t>
            </w:r>
          </w:p>
        </w:tc>
        <w:tc>
          <w:tcPr>
            <w:tcW w:w="6579" w:type="dxa"/>
            <w:vAlign w:val="top"/>
          </w:tcPr>
          <w:p>
            <w:pPr>
              <w:ind w:left="3084"/>
              <w:spacing w:before="60" w:line="228" w:lineRule="auto"/>
              <w:rPr>
                <w:rFonts w:ascii="SimSun" w:hAnsi="SimSun" w:eastAsia="SimSun" w:cs="SimSun"/>
                <w:sz w:val="20"/>
                <w:szCs w:val="20"/>
              </w:rPr>
            </w:pPr>
            <w:r>
              <w:rPr>
                <w:rFonts w:ascii="SimSun" w:hAnsi="SimSun" w:eastAsia="SimSun" w:cs="SimSun"/>
                <w:sz w:val="20"/>
                <w:szCs w:val="20"/>
                <w:spacing w:val="4"/>
              </w:rPr>
              <w:t>标准</w:t>
            </w:r>
          </w:p>
        </w:tc>
      </w:tr>
      <w:tr>
        <w:trPr>
          <w:trHeight w:val="330" w:hRule="atLeast"/>
        </w:trPr>
        <w:tc>
          <w:tcPr>
            <w:tcW w:w="1389" w:type="dxa"/>
            <w:vAlign w:val="top"/>
          </w:tcPr>
          <w:p>
            <w:pPr>
              <w:ind w:left="186"/>
              <w:spacing w:before="56" w:line="228" w:lineRule="auto"/>
              <w:rPr>
                <w:rFonts w:ascii="SimSun" w:hAnsi="SimSun" w:eastAsia="SimSun" w:cs="SimSun"/>
                <w:sz w:val="20"/>
                <w:szCs w:val="20"/>
              </w:rPr>
            </w:pPr>
            <w:r>
              <w:rPr>
                <w:rFonts w:ascii="SimSun" w:hAnsi="SimSun" w:eastAsia="SimSun" w:cs="SimSun"/>
                <w:sz w:val="20"/>
                <w:szCs w:val="20"/>
                <w:spacing w:val="5"/>
              </w:rPr>
              <w:t>当地优势种</w:t>
            </w:r>
          </w:p>
        </w:tc>
        <w:tc>
          <w:tcPr>
            <w:tcW w:w="1322" w:type="dxa"/>
            <w:vAlign w:val="top"/>
          </w:tcPr>
          <w:p>
            <w:pPr>
              <w:ind w:left="367"/>
              <w:spacing w:before="57" w:line="262" w:lineRule="exact"/>
              <w:rPr>
                <w:rFonts w:ascii="SimSun" w:hAnsi="SimSun" w:eastAsia="SimSun" w:cs="SimSun"/>
                <w:sz w:val="20"/>
                <w:szCs w:val="20"/>
              </w:rPr>
            </w:pPr>
            <w:r>
              <w:rPr>
                <w:rFonts w:ascii="SimSun" w:hAnsi="SimSun" w:eastAsia="SimSun" w:cs="SimSun"/>
                <w:sz w:val="20"/>
                <w:szCs w:val="20"/>
                <w:spacing w:val="36"/>
                <w:w w:val="155"/>
                <w:position w:val="1"/>
              </w:rPr>
              <w:t>+++</w:t>
            </w:r>
          </w:p>
        </w:tc>
        <w:tc>
          <w:tcPr>
            <w:tcW w:w="6579" w:type="dxa"/>
            <w:vAlign w:val="top"/>
          </w:tcPr>
          <w:p>
            <w:pPr>
              <w:pStyle w:val="TableText"/>
              <w:ind w:left="1081"/>
              <w:spacing w:before="56" w:line="228" w:lineRule="auto"/>
              <w:rPr>
                <w:rFonts w:ascii="SimSun" w:hAnsi="SimSun" w:eastAsia="SimSun" w:cs="SimSun"/>
              </w:rPr>
            </w:pPr>
            <w:r>
              <w:rPr>
                <w:rFonts w:ascii="SimSun" w:hAnsi="SimSun" w:eastAsia="SimSun" w:cs="SimSun"/>
                <w:spacing w:val="8"/>
              </w:rPr>
              <w:t>单位面积内其数量占所调查动物总数的</w:t>
            </w:r>
            <w:r>
              <w:rPr>
                <w:rFonts w:ascii="SimSun" w:hAnsi="SimSun" w:eastAsia="SimSun" w:cs="SimSun"/>
                <w:spacing w:val="-25"/>
              </w:rPr>
              <w:t xml:space="preserve"> </w:t>
            </w:r>
            <w:r>
              <w:rPr>
                <w:spacing w:val="8"/>
              </w:rPr>
              <w:t>10</w:t>
            </w:r>
            <w:r>
              <w:rPr>
                <w:spacing w:val="7"/>
              </w:rPr>
              <w:t>%</w:t>
            </w:r>
            <w:r>
              <w:rPr>
                <w:rFonts w:ascii="SimSun" w:hAnsi="SimSun" w:eastAsia="SimSun" w:cs="SimSun"/>
                <w:spacing w:val="7"/>
              </w:rPr>
              <w:t>以上</w:t>
            </w:r>
          </w:p>
        </w:tc>
      </w:tr>
      <w:tr>
        <w:trPr>
          <w:trHeight w:val="330" w:hRule="atLeast"/>
        </w:trPr>
        <w:tc>
          <w:tcPr>
            <w:tcW w:w="1389" w:type="dxa"/>
            <w:vAlign w:val="top"/>
          </w:tcPr>
          <w:p>
            <w:pPr>
              <w:ind w:left="186"/>
              <w:spacing w:before="57" w:line="228" w:lineRule="auto"/>
              <w:rPr>
                <w:rFonts w:ascii="SimSun" w:hAnsi="SimSun" w:eastAsia="SimSun" w:cs="SimSun"/>
                <w:sz w:val="20"/>
                <w:szCs w:val="20"/>
              </w:rPr>
            </w:pPr>
            <w:r>
              <w:rPr>
                <w:rFonts w:ascii="SimSun" w:hAnsi="SimSun" w:eastAsia="SimSun" w:cs="SimSun"/>
                <w:sz w:val="20"/>
                <w:szCs w:val="20"/>
                <w:spacing w:val="5"/>
              </w:rPr>
              <w:t>当地普通种</w:t>
            </w:r>
          </w:p>
        </w:tc>
        <w:tc>
          <w:tcPr>
            <w:tcW w:w="1322" w:type="dxa"/>
            <w:vAlign w:val="top"/>
          </w:tcPr>
          <w:p>
            <w:pPr>
              <w:ind w:left="470"/>
              <w:spacing w:before="57" w:line="242" w:lineRule="auto"/>
              <w:rPr>
                <w:rFonts w:ascii="SimSun" w:hAnsi="SimSun" w:eastAsia="SimSun" w:cs="SimSun"/>
                <w:sz w:val="20"/>
                <w:szCs w:val="20"/>
              </w:rPr>
            </w:pPr>
            <w:r>
              <w:rPr>
                <w:rFonts w:ascii="SimSun" w:hAnsi="SimSun" w:eastAsia="SimSun" w:cs="SimSun"/>
                <w:sz w:val="20"/>
                <w:szCs w:val="20"/>
                <w:spacing w:val="32"/>
                <w:w w:val="150"/>
              </w:rPr>
              <w:t>++</w:t>
            </w:r>
          </w:p>
        </w:tc>
        <w:tc>
          <w:tcPr>
            <w:tcW w:w="6579" w:type="dxa"/>
            <w:vAlign w:val="top"/>
          </w:tcPr>
          <w:p>
            <w:pPr>
              <w:pStyle w:val="TableText"/>
              <w:ind w:left="884"/>
              <w:spacing w:before="57" w:line="228" w:lineRule="auto"/>
              <w:rPr>
                <w:rFonts w:ascii="SimSun" w:hAnsi="SimSun" w:eastAsia="SimSun" w:cs="SimSun"/>
              </w:rPr>
            </w:pPr>
            <w:r>
              <w:rPr>
                <w:rFonts w:ascii="SimSun" w:hAnsi="SimSun" w:eastAsia="SimSun" w:cs="SimSun"/>
                <w:spacing w:val="6"/>
              </w:rPr>
              <w:t>单位面积内其数量占所调查动物总数的</w:t>
            </w:r>
            <w:r>
              <w:rPr>
                <w:rFonts w:ascii="SimSun" w:hAnsi="SimSun" w:eastAsia="SimSun" w:cs="SimSun"/>
                <w:spacing w:val="-10"/>
              </w:rPr>
              <w:t xml:space="preserve"> </w:t>
            </w:r>
            <w:r>
              <w:rPr>
                <w:spacing w:val="6"/>
              </w:rPr>
              <w:t>1%~</w:t>
            </w:r>
            <w:r>
              <w:rPr>
                <w:spacing w:val="-26"/>
              </w:rPr>
              <w:t xml:space="preserve"> </w:t>
            </w:r>
            <w:r>
              <w:rPr>
                <w:spacing w:val="6"/>
              </w:rPr>
              <w:t>10%</w:t>
            </w:r>
            <w:r>
              <w:rPr>
                <w:rFonts w:ascii="SimSun" w:hAnsi="SimSun" w:eastAsia="SimSun" w:cs="SimSun"/>
                <w:spacing w:val="6"/>
              </w:rPr>
              <w:t>以上</w:t>
            </w:r>
          </w:p>
        </w:tc>
      </w:tr>
      <w:tr>
        <w:trPr>
          <w:trHeight w:val="334" w:hRule="atLeast"/>
        </w:trPr>
        <w:tc>
          <w:tcPr>
            <w:tcW w:w="1389" w:type="dxa"/>
            <w:vAlign w:val="top"/>
          </w:tcPr>
          <w:p>
            <w:pPr>
              <w:ind w:left="186"/>
              <w:spacing w:before="59" w:line="227" w:lineRule="auto"/>
              <w:rPr>
                <w:rFonts w:ascii="SimSun" w:hAnsi="SimSun" w:eastAsia="SimSun" w:cs="SimSun"/>
                <w:sz w:val="20"/>
                <w:szCs w:val="20"/>
              </w:rPr>
            </w:pPr>
            <w:r>
              <w:rPr>
                <w:rFonts w:ascii="SimSun" w:hAnsi="SimSun" w:eastAsia="SimSun" w:cs="SimSun"/>
                <w:sz w:val="20"/>
                <w:szCs w:val="20"/>
                <w:spacing w:val="5"/>
              </w:rPr>
              <w:t>当地偶见种</w:t>
            </w:r>
          </w:p>
        </w:tc>
        <w:tc>
          <w:tcPr>
            <w:tcW w:w="1322" w:type="dxa"/>
            <w:vAlign w:val="top"/>
          </w:tcPr>
          <w:p>
            <w:pPr>
              <w:ind w:left="576"/>
              <w:spacing w:before="59" w:line="265" w:lineRule="exact"/>
              <w:rPr>
                <w:rFonts w:ascii="SimSun" w:hAnsi="SimSun" w:eastAsia="SimSun" w:cs="SimSun"/>
                <w:sz w:val="20"/>
                <w:szCs w:val="20"/>
              </w:rPr>
            </w:pPr>
            <w:r>
              <w:rPr>
                <w:rFonts w:ascii="SimSun" w:hAnsi="SimSun" w:eastAsia="SimSun" w:cs="SimSun"/>
                <w:sz w:val="20"/>
                <w:szCs w:val="20"/>
                <w:spacing w:val="24"/>
                <w:w w:val="131"/>
                <w:position w:val="1"/>
              </w:rPr>
              <w:t>+</w:t>
            </w:r>
          </w:p>
        </w:tc>
        <w:tc>
          <w:tcPr>
            <w:tcW w:w="6579" w:type="dxa"/>
            <w:vAlign w:val="top"/>
          </w:tcPr>
          <w:p>
            <w:pPr>
              <w:pStyle w:val="TableText"/>
              <w:ind w:left="713"/>
              <w:spacing w:before="58" w:line="228" w:lineRule="auto"/>
              <w:rPr>
                <w:rFonts w:ascii="SimSun" w:hAnsi="SimSun" w:eastAsia="SimSun" w:cs="SimSun"/>
              </w:rPr>
            </w:pPr>
            <w:r>
              <w:rPr>
                <w:rFonts w:ascii="SimSun" w:hAnsi="SimSun" w:eastAsia="SimSun" w:cs="SimSun"/>
                <w:spacing w:val="8"/>
              </w:rPr>
              <w:t>单位面积内其数量占所调查动物总数的</w:t>
            </w:r>
            <w:r>
              <w:rPr>
                <w:rFonts w:ascii="SimSun" w:hAnsi="SimSun" w:eastAsia="SimSun" w:cs="SimSun"/>
                <w:spacing w:val="-18"/>
              </w:rPr>
              <w:t xml:space="preserve"> </w:t>
            </w:r>
            <w:r>
              <w:rPr>
                <w:spacing w:val="8"/>
              </w:rPr>
              <w:t>1%</w:t>
            </w:r>
            <w:r>
              <w:rPr>
                <w:rFonts w:ascii="SimSun" w:hAnsi="SimSun" w:eastAsia="SimSun" w:cs="SimSun"/>
                <w:spacing w:val="8"/>
              </w:rPr>
              <w:t>以下或仅一只</w:t>
            </w:r>
          </w:p>
        </w:tc>
      </w:tr>
    </w:tbl>
    <w:p>
      <w:pPr>
        <w:ind w:left="3576"/>
        <w:spacing w:before="143" w:line="222" w:lineRule="auto"/>
        <w:rPr>
          <w:rFonts w:ascii="SimHei" w:hAnsi="SimHei" w:eastAsia="SimHei" w:cs="SimHei"/>
          <w:sz w:val="24"/>
          <w:szCs w:val="24"/>
        </w:rPr>
      </w:pPr>
      <w:r>
        <w:rPr>
          <w:rFonts w:ascii="SimHei" w:hAnsi="SimHei" w:eastAsia="SimHei" w:cs="SimHei"/>
          <w:sz w:val="24"/>
          <w:szCs w:val="24"/>
          <w:spacing w:val="-1"/>
        </w:rPr>
        <w:t>草地野生动物调查记录表</w:t>
      </w:r>
    </w:p>
    <w:p>
      <w:pPr>
        <w:ind w:left="117"/>
        <w:spacing w:before="35"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63"/>
        <w:gridCol w:w="1259"/>
        <w:gridCol w:w="1262"/>
        <w:gridCol w:w="859"/>
        <w:gridCol w:w="1262"/>
        <w:gridCol w:w="885"/>
        <w:gridCol w:w="883"/>
        <w:gridCol w:w="1717"/>
      </w:tblGrid>
      <w:tr>
        <w:trPr>
          <w:trHeight w:val="335" w:hRule="atLeast"/>
        </w:trPr>
        <w:tc>
          <w:tcPr>
            <w:tcW w:w="5805" w:type="dxa"/>
            <w:vAlign w:val="top"/>
            <w:gridSpan w:val="5"/>
          </w:tcPr>
          <w:p>
            <w:pPr>
              <w:pStyle w:val="TableText"/>
              <w:ind w:left="2207"/>
              <w:spacing w:before="59" w:line="228" w:lineRule="auto"/>
              <w:rPr>
                <w:sz w:val="13"/>
                <w:szCs w:val="13"/>
              </w:rPr>
            </w:pPr>
            <w:r>
              <w:rPr>
                <w:rFonts w:ascii="SimSun" w:hAnsi="SimSun" w:eastAsia="SimSun" w:cs="SimSun"/>
                <w:spacing w:val="6"/>
              </w:rPr>
              <w:t>样线编号：</w:t>
            </w:r>
            <w:r>
              <w:rPr>
                <w:spacing w:val="6"/>
              </w:rPr>
              <w:t>1-3</w:t>
            </w:r>
            <w:r>
              <w:rPr>
                <w:sz w:val="13"/>
                <w:szCs w:val="13"/>
                <w:spacing w:val="6"/>
                <w:position w:val="6"/>
              </w:rPr>
              <w:t>#</w:t>
            </w:r>
          </w:p>
        </w:tc>
        <w:tc>
          <w:tcPr>
            <w:tcW w:w="3485" w:type="dxa"/>
            <w:vAlign w:val="top"/>
            <w:gridSpan w:val="3"/>
          </w:tcPr>
          <w:p>
            <w:pPr>
              <w:pStyle w:val="TableText"/>
              <w:ind w:left="684"/>
              <w:spacing w:before="59" w:line="228" w:lineRule="auto"/>
              <w:rPr/>
            </w:pPr>
            <w:r>
              <w:rPr>
                <w:rFonts w:ascii="SimSun" w:hAnsi="SimSun" w:eastAsia="SimSun" w:cs="SimSun"/>
                <w:spacing w:val="6"/>
              </w:rPr>
              <w:t>样线长度：</w:t>
            </w:r>
            <w:r>
              <w:rPr>
                <w:spacing w:val="6"/>
              </w:rPr>
              <w:t>1500-2000m</w:t>
            </w:r>
          </w:p>
        </w:tc>
      </w:tr>
      <w:tr>
        <w:trPr>
          <w:trHeight w:val="330" w:hRule="atLeast"/>
        </w:trPr>
        <w:tc>
          <w:tcPr>
            <w:tcW w:w="5805" w:type="dxa"/>
            <w:vAlign w:val="top"/>
            <w:gridSpan w:val="5"/>
          </w:tcPr>
          <w:p>
            <w:pPr>
              <w:ind w:left="2070"/>
              <w:spacing w:before="55" w:line="228" w:lineRule="auto"/>
              <w:rPr>
                <w:rFonts w:ascii="SimSun" w:hAnsi="SimSun" w:eastAsia="SimSun" w:cs="SimSun"/>
                <w:sz w:val="20"/>
                <w:szCs w:val="20"/>
              </w:rPr>
            </w:pPr>
            <w:r>
              <w:rPr>
                <w:rFonts w:ascii="SimSun" w:hAnsi="SimSun" w:eastAsia="SimSun" w:cs="SimSun"/>
                <w:sz w:val="20"/>
                <w:szCs w:val="20"/>
                <w:spacing w:val="8"/>
              </w:rPr>
              <w:t>栖息地类型：草地</w:t>
            </w:r>
          </w:p>
        </w:tc>
        <w:tc>
          <w:tcPr>
            <w:tcW w:w="3485" w:type="dxa"/>
            <w:vAlign w:val="top"/>
            <w:gridSpan w:val="3"/>
          </w:tcPr>
          <w:p>
            <w:pPr>
              <w:pStyle w:val="TableText"/>
              <w:ind w:left="907"/>
              <w:spacing w:before="56" w:line="230" w:lineRule="auto"/>
              <w:rPr/>
            </w:pPr>
            <w:r>
              <w:rPr>
                <w:rFonts w:ascii="SimSun" w:hAnsi="SimSun" w:eastAsia="SimSun" w:cs="SimSun"/>
                <w:spacing w:val="6"/>
              </w:rPr>
              <w:t>调查时间：</w:t>
            </w:r>
            <w:r>
              <w:rPr>
                <w:spacing w:val="6"/>
              </w:rPr>
              <w:t>2024.7.</w:t>
            </w:r>
          </w:p>
        </w:tc>
      </w:tr>
      <w:tr>
        <w:trPr>
          <w:trHeight w:val="330" w:hRule="atLeast"/>
        </w:trPr>
        <w:tc>
          <w:tcPr>
            <w:tcW w:w="1163" w:type="dxa"/>
            <w:vAlign w:val="top"/>
          </w:tcPr>
          <w:p>
            <w:pPr>
              <w:ind w:left="167"/>
              <w:spacing w:before="57" w:line="228" w:lineRule="auto"/>
              <w:rPr>
                <w:rFonts w:ascii="SimSun" w:hAnsi="SimSun" w:eastAsia="SimSun" w:cs="SimSun"/>
                <w:sz w:val="20"/>
                <w:szCs w:val="20"/>
              </w:rPr>
            </w:pPr>
            <w:r>
              <w:rPr>
                <w:rFonts w:ascii="SimSun" w:hAnsi="SimSun" w:eastAsia="SimSun" w:cs="SimSun"/>
                <w:sz w:val="20"/>
                <w:szCs w:val="20"/>
                <w:spacing w:val="7"/>
              </w:rPr>
              <w:t>动物名称</w:t>
            </w:r>
          </w:p>
        </w:tc>
        <w:tc>
          <w:tcPr>
            <w:tcW w:w="1259" w:type="dxa"/>
            <w:vAlign w:val="top"/>
          </w:tcPr>
          <w:p>
            <w:pPr>
              <w:ind w:left="321"/>
              <w:spacing w:before="56" w:line="228" w:lineRule="auto"/>
              <w:rPr>
                <w:rFonts w:ascii="SimSun" w:hAnsi="SimSun" w:eastAsia="SimSun" w:cs="SimSun"/>
                <w:sz w:val="20"/>
                <w:szCs w:val="20"/>
              </w:rPr>
            </w:pPr>
            <w:r>
              <w:rPr>
                <w:rFonts w:ascii="SimSun" w:hAnsi="SimSun" w:eastAsia="SimSun" w:cs="SimSun"/>
                <w:sz w:val="20"/>
                <w:szCs w:val="20"/>
                <w:spacing w:val="5"/>
              </w:rPr>
              <w:t>足迹数</w:t>
            </w:r>
          </w:p>
        </w:tc>
        <w:tc>
          <w:tcPr>
            <w:tcW w:w="1262" w:type="dxa"/>
            <w:vAlign w:val="top"/>
          </w:tcPr>
          <w:p>
            <w:pPr>
              <w:ind w:left="324"/>
              <w:spacing w:before="56" w:line="228" w:lineRule="auto"/>
              <w:rPr>
                <w:rFonts w:ascii="SimSun" w:hAnsi="SimSun" w:eastAsia="SimSun" w:cs="SimSun"/>
                <w:sz w:val="20"/>
                <w:szCs w:val="20"/>
              </w:rPr>
            </w:pPr>
            <w:r>
              <w:rPr>
                <w:rFonts w:ascii="SimSun" w:hAnsi="SimSun" w:eastAsia="SimSun" w:cs="SimSun"/>
                <w:sz w:val="20"/>
                <w:szCs w:val="20"/>
                <w:spacing w:val="5"/>
              </w:rPr>
              <w:t>实体数</w:t>
            </w:r>
          </w:p>
        </w:tc>
        <w:tc>
          <w:tcPr>
            <w:tcW w:w="859" w:type="dxa"/>
            <w:vAlign w:val="top"/>
          </w:tcPr>
          <w:p>
            <w:pPr>
              <w:ind w:left="223"/>
              <w:spacing w:before="56" w:line="228" w:lineRule="auto"/>
              <w:rPr>
                <w:rFonts w:ascii="SimSun" w:hAnsi="SimSun" w:eastAsia="SimSun" w:cs="SimSun"/>
                <w:sz w:val="20"/>
                <w:szCs w:val="20"/>
              </w:rPr>
            </w:pPr>
            <w:r>
              <w:rPr>
                <w:rFonts w:ascii="SimSun" w:hAnsi="SimSun" w:eastAsia="SimSun" w:cs="SimSun"/>
                <w:sz w:val="20"/>
                <w:szCs w:val="20"/>
                <w:spacing w:val="3"/>
              </w:rPr>
              <w:t>粪便</w:t>
            </w:r>
          </w:p>
        </w:tc>
        <w:tc>
          <w:tcPr>
            <w:tcW w:w="1262" w:type="dxa"/>
            <w:vAlign w:val="top"/>
          </w:tcPr>
          <w:p>
            <w:pPr>
              <w:ind w:left="425"/>
              <w:spacing w:before="56" w:line="228" w:lineRule="auto"/>
              <w:rPr>
                <w:rFonts w:ascii="SimSun" w:hAnsi="SimSun" w:eastAsia="SimSun" w:cs="SimSun"/>
                <w:sz w:val="20"/>
                <w:szCs w:val="20"/>
              </w:rPr>
            </w:pPr>
            <w:r>
              <w:rPr>
                <w:rFonts w:ascii="SimSun" w:hAnsi="SimSun" w:eastAsia="SimSun" w:cs="SimSun"/>
                <w:sz w:val="20"/>
                <w:szCs w:val="20"/>
                <w:spacing w:val="4"/>
              </w:rPr>
              <w:t>巢穴</w:t>
            </w:r>
          </w:p>
        </w:tc>
        <w:tc>
          <w:tcPr>
            <w:tcW w:w="885" w:type="dxa"/>
            <w:vAlign w:val="top"/>
          </w:tcPr>
          <w:p>
            <w:pPr>
              <w:ind w:left="236"/>
              <w:spacing w:before="56" w:line="228" w:lineRule="auto"/>
              <w:rPr>
                <w:rFonts w:ascii="SimSun" w:hAnsi="SimSun" w:eastAsia="SimSun" w:cs="SimSun"/>
                <w:sz w:val="20"/>
                <w:szCs w:val="20"/>
              </w:rPr>
            </w:pPr>
            <w:r>
              <w:rPr>
                <w:rFonts w:ascii="SimSun" w:hAnsi="SimSun" w:eastAsia="SimSun" w:cs="SimSun"/>
                <w:sz w:val="20"/>
                <w:szCs w:val="20"/>
                <w:spacing w:val="4"/>
              </w:rPr>
              <w:t>食痕</w:t>
            </w:r>
          </w:p>
        </w:tc>
        <w:tc>
          <w:tcPr>
            <w:tcW w:w="883" w:type="dxa"/>
            <w:vAlign w:val="top"/>
          </w:tcPr>
          <w:p>
            <w:pPr>
              <w:ind w:left="248"/>
              <w:spacing w:before="57" w:line="229" w:lineRule="auto"/>
              <w:rPr>
                <w:rFonts w:ascii="SimSun" w:hAnsi="SimSun" w:eastAsia="SimSun" w:cs="SimSun"/>
                <w:sz w:val="20"/>
                <w:szCs w:val="20"/>
              </w:rPr>
            </w:pPr>
            <w:r>
              <w:rPr>
                <w:rFonts w:ascii="SimSun" w:hAnsi="SimSun" w:eastAsia="SimSun" w:cs="SimSun"/>
                <w:sz w:val="20"/>
                <w:szCs w:val="20"/>
                <w:spacing w:val="-1"/>
              </w:rPr>
              <w:t>卧迹</w:t>
            </w:r>
          </w:p>
        </w:tc>
        <w:tc>
          <w:tcPr>
            <w:tcW w:w="1717" w:type="dxa"/>
            <w:vAlign w:val="top"/>
          </w:tcPr>
          <w:p>
            <w:pPr>
              <w:ind w:left="443"/>
              <w:spacing w:before="56" w:line="228" w:lineRule="auto"/>
              <w:rPr>
                <w:rFonts w:ascii="SimSun" w:hAnsi="SimSun" w:eastAsia="SimSun" w:cs="SimSun"/>
                <w:sz w:val="20"/>
                <w:szCs w:val="20"/>
              </w:rPr>
            </w:pPr>
            <w:r>
              <w:rPr>
                <w:rFonts w:ascii="SimSun" w:hAnsi="SimSun" w:eastAsia="SimSun" w:cs="SimSun"/>
                <w:sz w:val="20"/>
                <w:szCs w:val="20"/>
                <w:spacing w:val="7"/>
              </w:rPr>
              <w:t>种群状况</w:t>
            </w:r>
          </w:p>
        </w:tc>
      </w:tr>
      <w:tr>
        <w:trPr>
          <w:trHeight w:val="330" w:hRule="atLeast"/>
        </w:trPr>
        <w:tc>
          <w:tcPr>
            <w:tcW w:w="1163" w:type="dxa"/>
            <w:vAlign w:val="top"/>
          </w:tcPr>
          <w:p>
            <w:pPr>
              <w:ind w:left="168"/>
              <w:spacing w:before="57" w:line="228" w:lineRule="auto"/>
              <w:rPr>
                <w:rFonts w:ascii="SimSun" w:hAnsi="SimSun" w:eastAsia="SimSun" w:cs="SimSun"/>
                <w:sz w:val="20"/>
                <w:szCs w:val="20"/>
              </w:rPr>
            </w:pPr>
            <w:r>
              <w:rPr>
                <w:rFonts w:ascii="SimSun" w:hAnsi="SimSun" w:eastAsia="SimSun" w:cs="SimSun"/>
                <w:sz w:val="20"/>
                <w:szCs w:val="20"/>
                <w:spacing w:val="6"/>
              </w:rPr>
              <w:t>草原旱獭</w:t>
            </w:r>
          </w:p>
        </w:tc>
        <w:tc>
          <w:tcPr>
            <w:tcW w:w="1259" w:type="dxa"/>
            <w:vAlign w:val="top"/>
          </w:tcPr>
          <w:p>
            <w:pPr>
              <w:pStyle w:val="TableText"/>
              <w:ind w:left="596"/>
              <w:spacing w:before="90" w:line="199" w:lineRule="auto"/>
              <w:rPr/>
            </w:pPr>
            <w:r>
              <w:rPr>
                <w:spacing w:val="2"/>
              </w:rPr>
              <w:t>/</w:t>
            </w:r>
          </w:p>
        </w:tc>
        <w:tc>
          <w:tcPr>
            <w:tcW w:w="1262" w:type="dxa"/>
            <w:vAlign w:val="top"/>
          </w:tcPr>
          <w:p>
            <w:pPr>
              <w:pStyle w:val="TableText"/>
              <w:ind w:left="599"/>
              <w:spacing w:before="94" w:line="195" w:lineRule="auto"/>
              <w:rPr/>
            </w:pPr>
            <w:r>
              <w:rPr/>
              <w:t>1</w:t>
            </w:r>
          </w:p>
        </w:tc>
        <w:tc>
          <w:tcPr>
            <w:tcW w:w="859" w:type="dxa"/>
            <w:vAlign w:val="top"/>
          </w:tcPr>
          <w:p>
            <w:pPr>
              <w:pStyle w:val="TableText"/>
              <w:ind w:left="398"/>
              <w:spacing w:before="90" w:line="199" w:lineRule="auto"/>
              <w:rPr/>
            </w:pPr>
            <w:r>
              <w:rPr>
                <w:spacing w:val="2"/>
              </w:rPr>
              <w:t>/</w:t>
            </w:r>
          </w:p>
        </w:tc>
        <w:tc>
          <w:tcPr>
            <w:tcW w:w="1262" w:type="dxa"/>
            <w:vAlign w:val="top"/>
          </w:tcPr>
          <w:p>
            <w:pPr>
              <w:pStyle w:val="TableText"/>
              <w:ind w:left="600"/>
              <w:spacing w:before="90" w:line="199" w:lineRule="auto"/>
              <w:rPr/>
            </w:pPr>
            <w:r>
              <w:rPr>
                <w:spacing w:val="2"/>
              </w:rPr>
              <w:t>/</w:t>
            </w:r>
          </w:p>
        </w:tc>
        <w:tc>
          <w:tcPr>
            <w:tcW w:w="885" w:type="dxa"/>
            <w:vAlign w:val="top"/>
          </w:tcPr>
          <w:p>
            <w:pPr>
              <w:pStyle w:val="TableText"/>
              <w:ind w:left="408"/>
              <w:spacing w:before="90" w:line="199" w:lineRule="auto"/>
              <w:rPr/>
            </w:pPr>
            <w:r>
              <w:rPr>
                <w:spacing w:val="2"/>
              </w:rPr>
              <w:t>/</w:t>
            </w:r>
          </w:p>
        </w:tc>
        <w:tc>
          <w:tcPr>
            <w:tcW w:w="883" w:type="dxa"/>
            <w:vAlign w:val="top"/>
          </w:tcPr>
          <w:p>
            <w:pPr>
              <w:pStyle w:val="TableText"/>
              <w:ind w:left="411"/>
              <w:spacing w:before="90" w:line="199" w:lineRule="auto"/>
              <w:rPr/>
            </w:pPr>
            <w:r>
              <w:rPr>
                <w:spacing w:val="2"/>
              </w:rPr>
              <w:t>/</w:t>
            </w:r>
          </w:p>
        </w:tc>
        <w:tc>
          <w:tcPr>
            <w:tcW w:w="1717" w:type="dxa"/>
            <w:vAlign w:val="top"/>
          </w:tcPr>
          <w:p>
            <w:pPr>
              <w:ind w:left="567"/>
              <w:spacing w:before="57" w:line="242" w:lineRule="auto"/>
              <w:rPr>
                <w:rFonts w:ascii="SimSun" w:hAnsi="SimSun" w:eastAsia="SimSun" w:cs="SimSun"/>
                <w:sz w:val="20"/>
                <w:szCs w:val="20"/>
              </w:rPr>
            </w:pPr>
            <w:r>
              <w:rPr>
                <w:rFonts w:ascii="SimSun" w:hAnsi="SimSun" w:eastAsia="SimSun" w:cs="SimSun"/>
                <w:sz w:val="20"/>
                <w:szCs w:val="20"/>
                <w:spacing w:val="36"/>
                <w:w w:val="155"/>
              </w:rPr>
              <w:t>+++</w:t>
            </w:r>
          </w:p>
        </w:tc>
      </w:tr>
      <w:tr>
        <w:trPr>
          <w:trHeight w:val="334" w:hRule="atLeast"/>
        </w:trPr>
        <w:tc>
          <w:tcPr>
            <w:tcW w:w="1163" w:type="dxa"/>
            <w:vAlign w:val="top"/>
          </w:tcPr>
          <w:p>
            <w:pPr>
              <w:ind w:left="275"/>
              <w:spacing w:before="58" w:line="228" w:lineRule="auto"/>
              <w:rPr>
                <w:rFonts w:ascii="SimSun" w:hAnsi="SimSun" w:eastAsia="SimSun" w:cs="SimSun"/>
                <w:sz w:val="20"/>
                <w:szCs w:val="20"/>
              </w:rPr>
            </w:pPr>
            <w:r>
              <w:rPr>
                <w:rFonts w:ascii="SimSun" w:hAnsi="SimSun" w:eastAsia="SimSun" w:cs="SimSun"/>
                <w:sz w:val="20"/>
                <w:szCs w:val="20"/>
                <w:spacing w:val="5"/>
              </w:rPr>
              <w:t>蒙古兔</w:t>
            </w:r>
          </w:p>
        </w:tc>
        <w:tc>
          <w:tcPr>
            <w:tcW w:w="1259" w:type="dxa"/>
            <w:vAlign w:val="top"/>
          </w:tcPr>
          <w:p>
            <w:pPr>
              <w:pStyle w:val="TableText"/>
              <w:ind w:left="596"/>
              <w:spacing w:before="91" w:line="199" w:lineRule="auto"/>
              <w:rPr/>
            </w:pPr>
            <w:r>
              <w:rPr>
                <w:spacing w:val="2"/>
              </w:rPr>
              <w:t>/</w:t>
            </w:r>
          </w:p>
        </w:tc>
        <w:tc>
          <w:tcPr>
            <w:tcW w:w="1262" w:type="dxa"/>
            <w:vAlign w:val="top"/>
          </w:tcPr>
          <w:p>
            <w:pPr>
              <w:pStyle w:val="TableText"/>
              <w:ind w:left="599"/>
              <w:spacing w:before="91" w:line="199" w:lineRule="auto"/>
              <w:rPr/>
            </w:pPr>
            <w:r>
              <w:rPr>
                <w:spacing w:val="2"/>
              </w:rPr>
              <w:t>/</w:t>
            </w:r>
          </w:p>
        </w:tc>
        <w:tc>
          <w:tcPr>
            <w:tcW w:w="859" w:type="dxa"/>
            <w:vAlign w:val="top"/>
          </w:tcPr>
          <w:p>
            <w:pPr>
              <w:pStyle w:val="TableText"/>
              <w:ind w:left="398"/>
              <w:spacing w:before="91" w:line="199" w:lineRule="auto"/>
              <w:rPr/>
            </w:pPr>
            <w:r>
              <w:rPr>
                <w:spacing w:val="2"/>
              </w:rPr>
              <w:t>/</w:t>
            </w:r>
          </w:p>
        </w:tc>
        <w:tc>
          <w:tcPr>
            <w:tcW w:w="1262" w:type="dxa"/>
            <w:vAlign w:val="top"/>
          </w:tcPr>
          <w:p>
            <w:pPr>
              <w:pStyle w:val="TableText"/>
              <w:ind w:left="580"/>
              <w:spacing w:before="95" w:line="195" w:lineRule="auto"/>
              <w:rPr/>
            </w:pPr>
            <w:r>
              <w:rPr/>
              <w:t>2</w:t>
            </w:r>
          </w:p>
        </w:tc>
        <w:tc>
          <w:tcPr>
            <w:tcW w:w="885" w:type="dxa"/>
            <w:vAlign w:val="top"/>
          </w:tcPr>
          <w:p>
            <w:pPr>
              <w:pStyle w:val="TableText"/>
              <w:ind w:left="408"/>
              <w:spacing w:before="91" w:line="199" w:lineRule="auto"/>
              <w:rPr/>
            </w:pPr>
            <w:r>
              <w:rPr>
                <w:spacing w:val="2"/>
              </w:rPr>
              <w:t>/</w:t>
            </w:r>
          </w:p>
        </w:tc>
        <w:tc>
          <w:tcPr>
            <w:tcW w:w="883" w:type="dxa"/>
            <w:vAlign w:val="top"/>
          </w:tcPr>
          <w:p>
            <w:pPr>
              <w:pStyle w:val="TableText"/>
              <w:ind w:left="411"/>
              <w:spacing w:before="91" w:line="199" w:lineRule="auto"/>
              <w:rPr/>
            </w:pPr>
            <w:r>
              <w:rPr>
                <w:spacing w:val="2"/>
              </w:rPr>
              <w:t>/</w:t>
            </w:r>
          </w:p>
        </w:tc>
        <w:tc>
          <w:tcPr>
            <w:tcW w:w="1717" w:type="dxa"/>
            <w:vAlign w:val="top"/>
          </w:tcPr>
          <w:p>
            <w:pPr>
              <w:ind w:left="567"/>
              <w:spacing w:before="59" w:line="265" w:lineRule="exact"/>
              <w:rPr>
                <w:rFonts w:ascii="SimSun" w:hAnsi="SimSun" w:eastAsia="SimSun" w:cs="SimSun"/>
                <w:sz w:val="20"/>
                <w:szCs w:val="20"/>
              </w:rPr>
            </w:pPr>
            <w:r>
              <w:rPr>
                <w:rFonts w:ascii="SimSun" w:hAnsi="SimSun" w:eastAsia="SimSun" w:cs="SimSun"/>
                <w:sz w:val="20"/>
                <w:szCs w:val="20"/>
                <w:spacing w:val="36"/>
                <w:w w:val="155"/>
                <w:position w:val="1"/>
              </w:rPr>
              <w:t>+++</w:t>
            </w:r>
          </w:p>
        </w:tc>
      </w:tr>
    </w:tbl>
    <w:p>
      <w:pPr>
        <w:pStyle w:val="BodyText"/>
        <w:rPr/>
      </w:pPr>
      <w:r/>
    </w:p>
    <w:p>
      <w:pPr>
        <w:sectPr>
          <w:headerReference w:type="default" r:id="rId238"/>
          <w:footerReference w:type="default" r:id="rId309"/>
          <w:pgSz w:w="11906" w:h="16838"/>
          <w:pgMar w:top="1170" w:right="1304" w:bottom="1080" w:left="1305" w:header="837" w:footer="918" w:gutter="0"/>
        </w:sectPr>
        <w:rPr/>
      </w:pPr>
    </w:p>
    <w:p>
      <w:pPr>
        <w:pStyle w:val="BodyText"/>
        <w:spacing w:line="246" w:lineRule="auto"/>
        <w:rPr/>
      </w:pPr>
      <w:r/>
    </w:p>
    <w:p>
      <w:pPr>
        <w:ind w:firstLine="360"/>
        <w:spacing w:line="10963" w:lineRule="exact"/>
        <w:rPr/>
      </w:pPr>
      <w:r>
        <w:rPr>
          <w:position w:val="-219"/>
        </w:rPr>
        <w:drawing>
          <wp:inline distT="0" distB="0" distL="0" distR="0">
            <wp:extent cx="5301995" cy="6961631"/>
            <wp:effectExtent l="0" t="0" r="0" b="0"/>
            <wp:docPr id="248" name="IM 248"/>
            <wp:cNvGraphicFramePr/>
            <a:graphic>
              <a:graphicData uri="http://schemas.openxmlformats.org/drawingml/2006/picture">
                <pic:pic>
                  <pic:nvPicPr>
                    <pic:cNvPr id="248" name="IM 248"/>
                    <pic:cNvPicPr/>
                  </pic:nvPicPr>
                  <pic:blipFill>
                    <a:blip r:embed="rId311"/>
                    <a:stretch>
                      <a:fillRect/>
                    </a:stretch>
                  </pic:blipFill>
                  <pic:spPr>
                    <a:xfrm rot="0">
                      <a:off x="0" y="0"/>
                      <a:ext cx="5301995" cy="6961631"/>
                    </a:xfrm>
                    <a:prstGeom prst="rect">
                      <a:avLst/>
                    </a:prstGeom>
                  </pic:spPr>
                </pic:pic>
              </a:graphicData>
            </a:graphic>
          </wp:inline>
        </w:drawing>
      </w:r>
    </w:p>
    <w:p>
      <w:pPr>
        <w:ind w:left="3450"/>
        <w:spacing w:before="190" w:line="219"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57"/>
        </w:rPr>
        <w:t xml:space="preserve"> </w:t>
      </w:r>
      <w:r>
        <w:rPr>
          <w:rFonts w:ascii="SimHei" w:hAnsi="SimHei" w:eastAsia="SimHei" w:cs="SimHei"/>
          <w:sz w:val="24"/>
          <w:szCs w:val="24"/>
          <w:spacing w:val="-2"/>
        </w:rPr>
        <w:t>4-2-3</w:t>
      </w:r>
      <w:r>
        <w:rPr>
          <w:rFonts w:ascii="SimHei" w:hAnsi="SimHei" w:eastAsia="SimHei" w:cs="SimHei"/>
          <w:sz w:val="24"/>
          <w:szCs w:val="24"/>
          <w:spacing w:val="-2"/>
        </w:rPr>
        <w:t xml:space="preserve"> </w:t>
      </w:r>
      <w:r>
        <w:rPr>
          <w:rFonts w:ascii="SimHei" w:hAnsi="SimHei" w:eastAsia="SimHei" w:cs="SimHei"/>
          <w:sz w:val="24"/>
          <w:szCs w:val="24"/>
          <w:spacing w:val="-2"/>
        </w:rPr>
        <w:t>动物样线分布图</w:t>
      </w:r>
    </w:p>
    <w:p>
      <w:pPr>
        <w:spacing w:line="219" w:lineRule="auto"/>
        <w:sectPr>
          <w:headerReference w:type="default" r:id="rId244"/>
          <w:footerReference w:type="default" r:id="rId310"/>
          <w:pgSz w:w="11906" w:h="16838"/>
          <w:pgMar w:top="1170" w:right="1417" w:bottom="1080" w:left="1416" w:header="837" w:footer="918" w:gutter="0"/>
        </w:sectPr>
        <w:rPr>
          <w:rFonts w:ascii="SimHei" w:hAnsi="SimHei" w:eastAsia="SimHei" w:cs="SimHei"/>
          <w:sz w:val="24"/>
          <w:szCs w:val="24"/>
        </w:rPr>
      </w:pPr>
    </w:p>
    <w:p>
      <w:pPr>
        <w:pStyle w:val="BodyText"/>
        <w:spacing w:line="246" w:lineRule="auto"/>
        <w:rPr/>
      </w:pPr>
      <w:r/>
    </w:p>
    <w:p>
      <w:pPr>
        <w:ind w:firstLine="530"/>
        <w:spacing w:line="6000" w:lineRule="exact"/>
        <w:rPr/>
      </w:pPr>
      <w:r>
        <w:rPr>
          <w:position w:val="-120"/>
        </w:rPr>
        <w:drawing>
          <wp:inline distT="0" distB="0" distL="0" distR="0">
            <wp:extent cx="5079491" cy="3810000"/>
            <wp:effectExtent l="0" t="0" r="0" b="0"/>
            <wp:docPr id="250" name="IM 250"/>
            <wp:cNvGraphicFramePr/>
            <a:graphic>
              <a:graphicData uri="http://schemas.openxmlformats.org/drawingml/2006/picture">
                <pic:pic>
                  <pic:nvPicPr>
                    <pic:cNvPr id="250" name="IM 250"/>
                    <pic:cNvPicPr/>
                  </pic:nvPicPr>
                  <pic:blipFill>
                    <a:blip r:embed="rId313"/>
                    <a:stretch>
                      <a:fillRect/>
                    </a:stretch>
                  </pic:blipFill>
                  <pic:spPr>
                    <a:xfrm rot="0">
                      <a:off x="0" y="0"/>
                      <a:ext cx="5079491" cy="3810000"/>
                    </a:xfrm>
                    <a:prstGeom prst="rect">
                      <a:avLst/>
                    </a:prstGeom>
                  </pic:spPr>
                </pic:pic>
              </a:graphicData>
            </a:graphic>
          </wp:inline>
        </w:drawing>
      </w:r>
    </w:p>
    <w:p>
      <w:pPr>
        <w:ind w:left="3738"/>
        <w:spacing w:before="144" w:line="219" w:lineRule="auto"/>
        <w:rPr>
          <w:rFonts w:ascii="SimSun" w:hAnsi="SimSun" w:eastAsia="SimSun" w:cs="SimSun"/>
          <w:sz w:val="24"/>
          <w:szCs w:val="24"/>
        </w:rPr>
      </w:pPr>
      <w:r>
        <w:rPr>
          <w:rFonts w:ascii="SimSun" w:hAnsi="SimSun" w:eastAsia="SimSun" w:cs="SimSun"/>
          <w:sz w:val="24"/>
          <w:szCs w:val="24"/>
          <w:spacing w:val="5"/>
        </w:rPr>
        <w:t>草原旱獭（样线</w:t>
      </w:r>
      <w:r>
        <w:rPr>
          <w:rFonts w:ascii="Times New Roman" w:hAnsi="Times New Roman" w:eastAsia="Times New Roman" w:cs="Times New Roman"/>
          <w:sz w:val="24"/>
          <w:szCs w:val="24"/>
          <w:spacing w:val="5"/>
        </w:rPr>
        <w:t>2</w:t>
      </w:r>
      <w:r>
        <w:rPr>
          <w:rFonts w:ascii="SimSun" w:hAnsi="SimSun" w:eastAsia="SimSun" w:cs="SimSun"/>
          <w:sz w:val="24"/>
          <w:szCs w:val="24"/>
          <w:spacing w:val="5"/>
        </w:rPr>
        <w:t>）</w:t>
      </w:r>
    </w:p>
    <w:p>
      <w:pPr>
        <w:ind w:firstLine="530"/>
        <w:spacing w:before="9" w:line="6000" w:lineRule="exact"/>
        <w:rPr/>
      </w:pPr>
      <w:r>
        <w:rPr>
          <w:position w:val="-120"/>
        </w:rPr>
        <w:drawing>
          <wp:inline distT="0" distB="0" distL="0" distR="0">
            <wp:extent cx="5079491" cy="3810000"/>
            <wp:effectExtent l="0" t="0" r="0" b="0"/>
            <wp:docPr id="252" name="IM 252"/>
            <wp:cNvGraphicFramePr/>
            <a:graphic>
              <a:graphicData uri="http://schemas.openxmlformats.org/drawingml/2006/picture">
                <pic:pic>
                  <pic:nvPicPr>
                    <pic:cNvPr id="252" name="IM 252"/>
                    <pic:cNvPicPr/>
                  </pic:nvPicPr>
                  <pic:blipFill>
                    <a:blip r:embed="rId314"/>
                    <a:stretch>
                      <a:fillRect/>
                    </a:stretch>
                  </pic:blipFill>
                  <pic:spPr>
                    <a:xfrm rot="0">
                      <a:off x="0" y="0"/>
                      <a:ext cx="5079491" cy="3810000"/>
                    </a:xfrm>
                    <a:prstGeom prst="rect">
                      <a:avLst/>
                    </a:prstGeom>
                  </pic:spPr>
                </pic:pic>
              </a:graphicData>
            </a:graphic>
          </wp:inline>
        </w:drawing>
      </w:r>
    </w:p>
    <w:p>
      <w:pPr>
        <w:ind w:left="3617"/>
        <w:spacing w:before="147" w:line="219" w:lineRule="auto"/>
        <w:rPr>
          <w:rFonts w:ascii="SimSun" w:hAnsi="SimSun" w:eastAsia="SimSun" w:cs="SimSun"/>
          <w:sz w:val="24"/>
          <w:szCs w:val="24"/>
        </w:rPr>
      </w:pPr>
      <w:r>
        <w:rPr>
          <w:rFonts w:ascii="SimSun" w:hAnsi="SimSun" w:eastAsia="SimSun" w:cs="SimSun"/>
          <w:sz w:val="24"/>
          <w:szCs w:val="24"/>
          <w:spacing w:val="1"/>
        </w:rPr>
        <w:t>动物（洞</w:t>
      </w:r>
      <w:r>
        <w:rPr>
          <w:rFonts w:ascii="SimSun" w:hAnsi="SimSun" w:eastAsia="SimSun" w:cs="SimSun"/>
          <w:sz w:val="24"/>
          <w:szCs w:val="24"/>
          <w:spacing w:val="-15"/>
        </w:rPr>
        <w:t>）（</w:t>
      </w:r>
      <w:r>
        <w:rPr>
          <w:rFonts w:ascii="SimSun" w:hAnsi="SimSun" w:eastAsia="SimSun" w:cs="SimSun"/>
          <w:sz w:val="24"/>
          <w:szCs w:val="24"/>
          <w:spacing w:val="1"/>
        </w:rPr>
        <w:t>样线</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p>
    <w:p>
      <w:pPr>
        <w:spacing w:line="219" w:lineRule="auto"/>
        <w:sectPr>
          <w:footerReference w:type="default" r:id="rId312"/>
          <w:pgSz w:w="11906" w:h="16838"/>
          <w:pgMar w:top="1170" w:right="1417" w:bottom="1080" w:left="1416" w:header="837" w:footer="918" w:gutter="0"/>
        </w:sectPr>
        <w:rPr>
          <w:rFonts w:ascii="SimSun" w:hAnsi="SimSun" w:eastAsia="SimSun" w:cs="SimSun"/>
          <w:sz w:val="24"/>
          <w:szCs w:val="24"/>
        </w:rPr>
      </w:pPr>
    </w:p>
    <w:p>
      <w:pPr>
        <w:pStyle w:val="BodyText"/>
        <w:spacing w:line="440" w:lineRule="auto"/>
        <w:rPr/>
      </w:pPr>
      <w:r/>
    </w:p>
    <w:p>
      <w:pPr>
        <w:ind w:left="3694"/>
        <w:spacing w:before="78" w:line="222" w:lineRule="auto"/>
        <w:rPr>
          <w:rFonts w:ascii="SimHei" w:hAnsi="SimHei" w:eastAsia="SimHei" w:cs="SimHei"/>
          <w:sz w:val="24"/>
          <w:szCs w:val="24"/>
        </w:rPr>
      </w:pPr>
      <w:r>
        <w:rPr>
          <w:rFonts w:ascii="SimHei" w:hAnsi="SimHei" w:eastAsia="SimHei" w:cs="SimHei"/>
          <w:sz w:val="24"/>
          <w:szCs w:val="24"/>
          <w:spacing w:val="-1"/>
        </w:rPr>
        <w:t>评价区内野生动物名录</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4-2-22</w:t>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6"/>
        <w:gridCol w:w="1729"/>
        <w:gridCol w:w="244"/>
        <w:gridCol w:w="4517"/>
        <w:gridCol w:w="1871"/>
      </w:tblGrid>
      <w:tr>
        <w:trPr>
          <w:trHeight w:val="348" w:hRule="atLeast"/>
        </w:trPr>
        <w:tc>
          <w:tcPr>
            <w:tcW w:w="926" w:type="dxa"/>
            <w:vAlign w:val="top"/>
          </w:tcPr>
          <w:p>
            <w:pPr>
              <w:ind w:left="256"/>
              <w:spacing w:before="67" w:line="229" w:lineRule="auto"/>
              <w:rPr>
                <w:rFonts w:ascii="SimSun" w:hAnsi="SimSun" w:eastAsia="SimSun" w:cs="SimSun"/>
                <w:sz w:val="20"/>
                <w:szCs w:val="20"/>
              </w:rPr>
            </w:pPr>
            <w:r>
              <w:rPr>
                <w:rFonts w:ascii="SimSun" w:hAnsi="SimSun" w:eastAsia="SimSun" w:cs="SimSun"/>
                <w:sz w:val="20"/>
                <w:szCs w:val="20"/>
                <w:spacing w:val="5"/>
              </w:rPr>
              <w:t>序号</w:t>
            </w:r>
          </w:p>
        </w:tc>
        <w:tc>
          <w:tcPr>
            <w:tcW w:w="1729" w:type="dxa"/>
            <w:vAlign w:val="top"/>
          </w:tcPr>
          <w:p>
            <w:pPr>
              <w:ind w:left="572"/>
              <w:spacing w:before="67" w:line="228" w:lineRule="auto"/>
              <w:rPr>
                <w:rFonts w:ascii="SimSun" w:hAnsi="SimSun" w:eastAsia="SimSun" w:cs="SimSun"/>
                <w:sz w:val="20"/>
                <w:szCs w:val="20"/>
              </w:rPr>
            </w:pPr>
            <w:r>
              <w:rPr>
                <w:rFonts w:ascii="SimSun" w:hAnsi="SimSun" w:eastAsia="SimSun" w:cs="SimSun"/>
                <w:sz w:val="20"/>
                <w:szCs w:val="20"/>
              </w:rPr>
              <w:t>中文名</w:t>
            </w:r>
          </w:p>
        </w:tc>
        <w:tc>
          <w:tcPr>
            <w:tcW w:w="4761" w:type="dxa"/>
            <w:vAlign w:val="top"/>
            <w:gridSpan w:val="2"/>
          </w:tcPr>
          <w:p>
            <w:pPr>
              <w:ind w:left="2178"/>
              <w:spacing w:before="67" w:line="229" w:lineRule="auto"/>
              <w:rPr>
                <w:rFonts w:ascii="SimSun" w:hAnsi="SimSun" w:eastAsia="SimSun" w:cs="SimSun"/>
                <w:sz w:val="20"/>
                <w:szCs w:val="20"/>
              </w:rPr>
            </w:pPr>
            <w:r>
              <w:rPr>
                <w:rFonts w:ascii="SimSun" w:hAnsi="SimSun" w:eastAsia="SimSun" w:cs="SimSun"/>
                <w:sz w:val="20"/>
                <w:szCs w:val="20"/>
                <w:spacing w:val="2"/>
              </w:rPr>
              <w:t>学名</w:t>
            </w:r>
          </w:p>
        </w:tc>
        <w:tc>
          <w:tcPr>
            <w:tcW w:w="1871" w:type="dxa"/>
            <w:vAlign w:val="top"/>
          </w:tcPr>
          <w:p>
            <w:pPr>
              <w:ind w:left="312"/>
              <w:spacing w:before="67" w:line="227" w:lineRule="auto"/>
              <w:rPr>
                <w:rFonts w:ascii="SimSun" w:hAnsi="SimSun" w:eastAsia="SimSun" w:cs="SimSun"/>
                <w:sz w:val="20"/>
                <w:szCs w:val="20"/>
              </w:rPr>
            </w:pPr>
            <w:r>
              <w:rPr>
                <w:rFonts w:ascii="SimSun" w:hAnsi="SimSun" w:eastAsia="SimSun" w:cs="SimSun"/>
                <w:sz w:val="20"/>
                <w:szCs w:val="20"/>
                <w:spacing w:val="7"/>
              </w:rPr>
              <w:t>分布生境类型</w:t>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ind w:left="1472"/>
              <w:spacing w:before="62" w:line="228" w:lineRule="auto"/>
              <w:rPr>
                <w:rFonts w:ascii="SimSun" w:hAnsi="SimSun" w:eastAsia="SimSun" w:cs="SimSun"/>
                <w:sz w:val="20"/>
                <w:szCs w:val="20"/>
              </w:rPr>
            </w:pPr>
            <w:r>
              <w:rPr>
                <w:rFonts w:ascii="SimSun" w:hAnsi="SimSun" w:eastAsia="SimSun" w:cs="SimSun"/>
                <w:sz w:val="20"/>
                <w:szCs w:val="20"/>
                <w:spacing w:val="7"/>
              </w:rPr>
              <w:t>一、两栖纲</w:t>
            </w:r>
          </w:p>
        </w:tc>
        <w:tc>
          <w:tcPr>
            <w:tcW w:w="1871" w:type="dxa"/>
            <w:vAlign w:val="top"/>
            <w:tcBorders>
              <w:left w:val="nil"/>
            </w:tcBorders>
          </w:tcPr>
          <w:p>
            <w:pPr>
              <w:rPr>
                <w:rFonts w:ascii="Arial"/>
                <w:sz w:val="21"/>
              </w:rPr>
            </w:pPr>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3" w:line="228" w:lineRule="auto"/>
              <w:rPr>
                <w:rFonts w:ascii="SimSun" w:hAnsi="SimSun" w:eastAsia="SimSun" w:cs="SimSun"/>
              </w:rPr>
            </w:pPr>
            <w:r>
              <w:rPr>
                <w:rFonts w:ascii="SimSun" w:hAnsi="SimSun" w:eastAsia="SimSun" w:cs="SimSun"/>
                <w:spacing w:val="5"/>
              </w:rPr>
              <w:t>（</w:t>
            </w:r>
            <w:r>
              <w:rPr>
                <w:spacing w:val="5"/>
              </w:rPr>
              <w:t>1</w:t>
            </w:r>
            <w:r>
              <w:rPr>
                <w:rFonts w:ascii="SimSun" w:hAnsi="SimSun" w:eastAsia="SimSun" w:cs="SimSun"/>
                <w:spacing w:val="5"/>
              </w:rPr>
              <w:t>）无尾目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429"/>
              <w:spacing w:before="99" w:line="195" w:lineRule="auto"/>
              <w:rPr/>
            </w:pPr>
            <w:r>
              <w:rPr/>
              <w:t>1</w:t>
            </w:r>
          </w:p>
        </w:tc>
        <w:tc>
          <w:tcPr>
            <w:tcW w:w="1729" w:type="dxa"/>
            <w:vAlign w:val="top"/>
            <w:tcBorders>
              <w:right w:val="nil"/>
            </w:tcBorders>
          </w:tcPr>
          <w:p>
            <w:pPr>
              <w:ind w:left="568"/>
              <w:spacing w:before="62" w:line="228" w:lineRule="auto"/>
              <w:rPr>
                <w:rFonts w:ascii="SimSun" w:hAnsi="SimSun" w:eastAsia="SimSun" w:cs="SimSun"/>
                <w:sz w:val="20"/>
                <w:szCs w:val="20"/>
              </w:rPr>
            </w:pPr>
            <w:r>
              <w:rPr>
                <w:rFonts w:ascii="SimSun" w:hAnsi="SimSun" w:eastAsia="SimSun" w:cs="SimSun"/>
                <w:sz w:val="20"/>
                <w:szCs w:val="20"/>
                <w:spacing w:val="7"/>
              </w:rPr>
              <w:t>花背蟾蜍</w:t>
            </w:r>
          </w:p>
        </w:tc>
        <w:tc>
          <w:tcPr>
            <w:tcW w:w="244" w:type="dxa"/>
            <w:vAlign w:val="top"/>
            <w:tcBorders>
              <w:left w:val="nil"/>
            </w:tcBorders>
          </w:tcPr>
          <w:p>
            <w:pPr>
              <w:rPr>
                <w:rFonts w:ascii="Arial"/>
                <w:sz w:val="21"/>
              </w:rPr>
            </w:pPr>
            <w:r/>
          </w:p>
        </w:tc>
        <w:tc>
          <w:tcPr>
            <w:tcW w:w="4517" w:type="dxa"/>
            <w:vAlign w:val="top"/>
          </w:tcPr>
          <w:p>
            <w:pPr>
              <w:pStyle w:val="TableText"/>
              <w:ind w:left="1545"/>
              <w:spacing w:before="28" w:line="278" w:lineRule="exact"/>
              <w:rPr/>
            </w:pPr>
            <w:r>
              <w:rPr>
                <w:i/>
                <w:iCs/>
                <w:spacing w:val="4"/>
                <w:position w:val="2"/>
              </w:rPr>
              <w:t>B.raddei strauch</w:t>
            </w:r>
          </w:p>
        </w:tc>
        <w:tc>
          <w:tcPr>
            <w:tcW w:w="1871" w:type="dxa"/>
            <w:vAlign w:val="top"/>
          </w:tcPr>
          <w:p>
            <w:pPr>
              <w:ind w:left="416"/>
              <w:spacing w:before="62" w:line="228" w:lineRule="auto"/>
              <w:rPr>
                <w:rFonts w:ascii="SimSun" w:hAnsi="SimSun" w:eastAsia="SimSun" w:cs="SimSun"/>
                <w:sz w:val="20"/>
                <w:szCs w:val="20"/>
              </w:rPr>
            </w:pPr>
            <w:r>
              <w:rPr>
                <w:rFonts w:ascii="SimSun" w:hAnsi="SimSun" w:eastAsia="SimSun" w:cs="SimSun"/>
                <w:sz w:val="20"/>
                <w:szCs w:val="20"/>
                <w:spacing w:val="7"/>
              </w:rPr>
              <w:t>水域、沼泽</w:t>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ind w:left="1472"/>
              <w:spacing w:before="64" w:line="228" w:lineRule="auto"/>
              <w:rPr>
                <w:rFonts w:ascii="SimSun" w:hAnsi="SimSun" w:eastAsia="SimSun" w:cs="SimSun"/>
                <w:sz w:val="20"/>
                <w:szCs w:val="20"/>
              </w:rPr>
            </w:pPr>
            <w:r>
              <w:rPr>
                <w:rFonts w:ascii="SimSun" w:hAnsi="SimSun" w:eastAsia="SimSun" w:cs="SimSun"/>
                <w:sz w:val="20"/>
                <w:szCs w:val="20"/>
                <w:spacing w:val="7"/>
              </w:rPr>
              <w:t>二、爬行纲</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409"/>
              <w:spacing w:before="100" w:line="195" w:lineRule="auto"/>
              <w:rPr/>
            </w:pPr>
            <w:r>
              <w:rPr/>
              <w:t>2</w:t>
            </w:r>
          </w:p>
        </w:tc>
        <w:tc>
          <w:tcPr>
            <w:tcW w:w="1729" w:type="dxa"/>
            <w:vAlign w:val="top"/>
            <w:tcBorders>
              <w:right w:val="nil"/>
            </w:tcBorders>
          </w:tcPr>
          <w:p>
            <w:pPr>
              <w:ind w:left="569"/>
              <w:spacing w:before="63" w:line="228" w:lineRule="auto"/>
              <w:rPr>
                <w:rFonts w:ascii="SimSun" w:hAnsi="SimSun" w:eastAsia="SimSun" w:cs="SimSun"/>
                <w:sz w:val="20"/>
                <w:szCs w:val="20"/>
              </w:rPr>
            </w:pPr>
            <w:r>
              <w:rPr>
                <w:rFonts w:ascii="SimSun" w:hAnsi="SimSun" w:eastAsia="SimSun" w:cs="SimSun"/>
                <w:sz w:val="20"/>
                <w:szCs w:val="20"/>
                <w:spacing w:val="6"/>
              </w:rPr>
              <w:t>草原沙蜥</w:t>
            </w:r>
          </w:p>
        </w:tc>
        <w:tc>
          <w:tcPr>
            <w:tcW w:w="244" w:type="dxa"/>
            <w:vAlign w:val="top"/>
            <w:tcBorders>
              <w:left w:val="nil"/>
            </w:tcBorders>
          </w:tcPr>
          <w:p>
            <w:pPr>
              <w:rPr>
                <w:rFonts w:ascii="Arial"/>
                <w:sz w:val="21"/>
              </w:rPr>
            </w:pPr>
            <w:r/>
          </w:p>
        </w:tc>
        <w:tc>
          <w:tcPr>
            <w:tcW w:w="4517" w:type="dxa"/>
            <w:vAlign w:val="top"/>
          </w:tcPr>
          <w:p>
            <w:pPr>
              <w:pStyle w:val="TableText"/>
              <w:ind w:left="1190"/>
              <w:spacing w:before="29" w:line="278" w:lineRule="exact"/>
              <w:rPr/>
            </w:pPr>
            <w:r>
              <w:rPr>
                <w:i/>
                <w:iCs/>
                <w:spacing w:val="5"/>
                <w:position w:val="4"/>
              </w:rPr>
              <w:t>Phrynocephalus</w:t>
            </w:r>
            <w:r>
              <w:rPr>
                <w:i/>
                <w:iCs/>
                <w:spacing w:val="-18"/>
                <w:position w:val="4"/>
              </w:rPr>
              <w:t xml:space="preserve"> </w:t>
            </w:r>
            <w:r>
              <w:rPr>
                <w:i/>
                <w:iCs/>
                <w:spacing w:val="5"/>
                <w:position w:val="4"/>
              </w:rPr>
              <w:t>frontalis</w:t>
            </w:r>
          </w:p>
        </w:tc>
        <w:tc>
          <w:tcPr>
            <w:tcW w:w="1871" w:type="dxa"/>
            <w:vAlign w:val="top"/>
          </w:tcPr>
          <w:p>
            <w:pPr>
              <w:rPr>
                <w:rFonts w:ascii="Arial"/>
                <w:sz w:val="21"/>
              </w:rPr>
            </w:pPr>
            <w:r/>
          </w:p>
        </w:tc>
      </w:tr>
      <w:tr>
        <w:trPr>
          <w:trHeight w:val="343" w:hRule="atLeast"/>
        </w:trPr>
        <w:tc>
          <w:tcPr>
            <w:tcW w:w="926" w:type="dxa"/>
            <w:vAlign w:val="top"/>
          </w:tcPr>
          <w:p>
            <w:pPr>
              <w:pStyle w:val="TableText"/>
              <w:ind w:left="413"/>
              <w:spacing w:before="100" w:line="195" w:lineRule="auto"/>
              <w:rPr/>
            </w:pPr>
            <w:r>
              <w:rPr/>
              <w:t>3</w:t>
            </w:r>
          </w:p>
        </w:tc>
        <w:tc>
          <w:tcPr>
            <w:tcW w:w="1729" w:type="dxa"/>
            <w:vAlign w:val="top"/>
            <w:tcBorders>
              <w:right w:val="nil"/>
            </w:tcBorders>
          </w:tcPr>
          <w:p>
            <w:pPr>
              <w:ind w:left="778"/>
              <w:spacing w:before="64" w:line="228" w:lineRule="auto"/>
              <w:rPr>
                <w:rFonts w:ascii="SimSun" w:hAnsi="SimSun" w:eastAsia="SimSun" w:cs="SimSun"/>
                <w:sz w:val="20"/>
                <w:szCs w:val="20"/>
              </w:rPr>
            </w:pPr>
            <w:r>
              <w:rPr>
                <w:rFonts w:ascii="SimSun" w:hAnsi="SimSun" w:eastAsia="SimSun" w:cs="SimSun"/>
                <w:sz w:val="20"/>
                <w:szCs w:val="20"/>
                <w:spacing w:val="4"/>
              </w:rPr>
              <w:t>蝮蛇</w:t>
            </w:r>
          </w:p>
        </w:tc>
        <w:tc>
          <w:tcPr>
            <w:tcW w:w="244" w:type="dxa"/>
            <w:vAlign w:val="top"/>
            <w:tcBorders>
              <w:left w:val="nil"/>
            </w:tcBorders>
          </w:tcPr>
          <w:p>
            <w:pPr>
              <w:rPr>
                <w:rFonts w:ascii="Arial"/>
                <w:sz w:val="21"/>
              </w:rPr>
            </w:pPr>
            <w:r/>
          </w:p>
        </w:tc>
        <w:tc>
          <w:tcPr>
            <w:tcW w:w="4517" w:type="dxa"/>
            <w:vAlign w:val="top"/>
          </w:tcPr>
          <w:p>
            <w:pPr>
              <w:pStyle w:val="TableText"/>
              <w:ind w:left="1537"/>
              <w:spacing w:before="30" w:line="277" w:lineRule="exact"/>
              <w:rPr/>
            </w:pPr>
            <w:r>
              <w:rPr>
                <w:i/>
                <w:iCs/>
                <w:spacing w:val="4"/>
                <w:position w:val="4"/>
              </w:rPr>
              <w:t>Agkistrodon sp.p</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Pr>
          <w:p>
            <w:pPr>
              <w:pStyle w:val="TableText"/>
              <w:ind w:left="408"/>
              <w:spacing w:before="102" w:line="195" w:lineRule="auto"/>
              <w:rPr/>
            </w:pPr>
            <w:r>
              <w:rPr>
                <w:spacing w:val="1"/>
              </w:rPr>
              <w:t>4</w:t>
            </w:r>
          </w:p>
        </w:tc>
        <w:tc>
          <w:tcPr>
            <w:tcW w:w="1729" w:type="dxa"/>
            <w:vAlign w:val="top"/>
            <w:tcBorders>
              <w:right w:val="nil"/>
            </w:tcBorders>
          </w:tcPr>
          <w:p>
            <w:pPr>
              <w:ind w:left="566"/>
              <w:spacing w:before="64" w:line="227" w:lineRule="auto"/>
              <w:rPr>
                <w:rFonts w:ascii="SimSun" w:hAnsi="SimSun" w:eastAsia="SimSun" w:cs="SimSun"/>
                <w:sz w:val="20"/>
                <w:szCs w:val="20"/>
              </w:rPr>
            </w:pPr>
            <w:r>
              <w:rPr>
                <w:rFonts w:ascii="SimSun" w:hAnsi="SimSun" w:eastAsia="SimSun" w:cs="SimSun"/>
                <w:sz w:val="20"/>
                <w:szCs w:val="20"/>
                <w:spacing w:val="7"/>
              </w:rPr>
              <w:t>黄脊游蛇</w:t>
            </w:r>
          </w:p>
        </w:tc>
        <w:tc>
          <w:tcPr>
            <w:tcW w:w="244" w:type="dxa"/>
            <w:vAlign w:val="top"/>
            <w:tcBorders>
              <w:left w:val="nil"/>
            </w:tcBorders>
          </w:tcPr>
          <w:p>
            <w:pPr>
              <w:rPr>
                <w:rFonts w:ascii="Arial"/>
                <w:sz w:val="21"/>
              </w:rPr>
            </w:pPr>
            <w:r/>
          </w:p>
        </w:tc>
        <w:tc>
          <w:tcPr>
            <w:tcW w:w="4517" w:type="dxa"/>
            <w:vAlign w:val="top"/>
          </w:tcPr>
          <w:p>
            <w:pPr>
              <w:pStyle w:val="TableText"/>
              <w:ind w:left="1180"/>
              <w:spacing w:before="32" w:line="278" w:lineRule="exact"/>
              <w:rPr/>
            </w:pPr>
            <w:r>
              <w:rPr>
                <w:i/>
                <w:iCs/>
                <w:spacing w:val="3"/>
                <w:position w:val="4"/>
              </w:rPr>
              <w:t>Calamaris spinalis Peters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ind w:left="1577"/>
              <w:spacing w:before="65" w:line="228" w:lineRule="auto"/>
              <w:rPr>
                <w:rFonts w:ascii="SimSun" w:hAnsi="SimSun" w:eastAsia="SimSun" w:cs="SimSun"/>
                <w:sz w:val="20"/>
                <w:szCs w:val="20"/>
              </w:rPr>
            </w:pPr>
            <w:r>
              <w:rPr>
                <w:rFonts w:ascii="SimSun" w:hAnsi="SimSun" w:eastAsia="SimSun" w:cs="SimSun"/>
                <w:sz w:val="20"/>
                <w:szCs w:val="20"/>
                <w:spacing w:val="7"/>
              </w:rPr>
              <w:t>三、鸟纲</w:t>
            </w:r>
          </w:p>
        </w:tc>
        <w:tc>
          <w:tcPr>
            <w:tcW w:w="1871" w:type="dxa"/>
            <w:vAlign w:val="top"/>
            <w:tcBorders>
              <w:left w:val="nil"/>
            </w:tcBorders>
          </w:tcPr>
          <w:p>
            <w:pPr>
              <w:rPr>
                <w:rFonts w:ascii="Arial"/>
                <w:sz w:val="21"/>
              </w:rPr>
            </w:pPr>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5" w:line="229" w:lineRule="auto"/>
              <w:rPr>
                <w:rFonts w:ascii="SimSun" w:hAnsi="SimSun" w:eastAsia="SimSun" w:cs="SimSun"/>
              </w:rPr>
            </w:pPr>
            <w:r>
              <w:rPr>
                <w:rFonts w:ascii="SimSun" w:hAnsi="SimSun" w:eastAsia="SimSun" w:cs="SimSun"/>
                <w:spacing w:val="5"/>
              </w:rPr>
              <w:t>（</w:t>
            </w:r>
            <w:r>
              <w:rPr>
                <w:spacing w:val="5"/>
              </w:rPr>
              <w:t>1</w:t>
            </w:r>
            <w:r>
              <w:rPr>
                <w:rFonts w:ascii="SimSun" w:hAnsi="SimSun" w:eastAsia="SimSun" w:cs="SimSun"/>
                <w:spacing w:val="5"/>
              </w:rPr>
              <w:t>）鸡形目</w:t>
            </w:r>
          </w:p>
        </w:tc>
        <w:tc>
          <w:tcPr>
            <w:tcW w:w="1871" w:type="dxa"/>
            <w:vAlign w:val="top"/>
            <w:tcBorders>
              <w:left w:val="nil"/>
            </w:tcBorders>
          </w:tcPr>
          <w:p>
            <w:pPr>
              <w:rPr>
                <w:rFonts w:ascii="Arial"/>
                <w:sz w:val="21"/>
              </w:rPr>
            </w:pPr>
            <w:r/>
          </w:p>
        </w:tc>
      </w:tr>
      <w:tr>
        <w:trPr>
          <w:trHeight w:val="346" w:hRule="atLeast"/>
        </w:trPr>
        <w:tc>
          <w:tcPr>
            <w:tcW w:w="926" w:type="dxa"/>
            <w:vAlign w:val="top"/>
          </w:tcPr>
          <w:p>
            <w:pPr>
              <w:pStyle w:val="TableText"/>
              <w:ind w:left="415"/>
              <w:spacing w:before="104" w:line="192" w:lineRule="auto"/>
              <w:rPr/>
            </w:pPr>
            <w:r>
              <w:rPr/>
              <w:t>5</w:t>
            </w:r>
          </w:p>
        </w:tc>
        <w:tc>
          <w:tcPr>
            <w:tcW w:w="1729" w:type="dxa"/>
            <w:vAlign w:val="top"/>
          </w:tcPr>
          <w:p>
            <w:pPr>
              <w:ind w:left="659"/>
              <w:spacing w:before="65" w:line="229" w:lineRule="auto"/>
              <w:rPr>
                <w:rFonts w:ascii="SimSun" w:hAnsi="SimSun" w:eastAsia="SimSun" w:cs="SimSun"/>
                <w:sz w:val="20"/>
                <w:szCs w:val="20"/>
              </w:rPr>
            </w:pPr>
            <w:r>
              <w:rPr>
                <w:rFonts w:ascii="SimSun" w:hAnsi="SimSun" w:eastAsia="SimSun" w:cs="SimSun"/>
                <w:sz w:val="20"/>
                <w:szCs w:val="20"/>
                <w:spacing w:val="4"/>
              </w:rPr>
              <w:t>石鸡</w:t>
            </w:r>
          </w:p>
        </w:tc>
        <w:tc>
          <w:tcPr>
            <w:tcW w:w="4761" w:type="dxa"/>
            <w:vAlign w:val="top"/>
            <w:gridSpan w:val="2"/>
          </w:tcPr>
          <w:p>
            <w:pPr>
              <w:pStyle w:val="TableText"/>
              <w:ind w:left="1268"/>
              <w:spacing w:before="31" w:line="278" w:lineRule="exact"/>
              <w:rPr/>
            </w:pPr>
            <w:r>
              <w:rPr>
                <w:i/>
                <w:iCs/>
                <w:spacing w:val="4"/>
                <w:position w:val="4"/>
              </w:rPr>
              <w:t>Alectoris graeca(meisner)</w:t>
            </w:r>
          </w:p>
        </w:tc>
        <w:tc>
          <w:tcPr>
            <w:tcW w:w="1871" w:type="dxa"/>
            <w:vAlign w:val="top"/>
          </w:tcPr>
          <w:p>
            <w:pPr>
              <w:ind w:left="415"/>
              <w:spacing w:before="65"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6" w:hRule="atLeast"/>
        </w:trPr>
        <w:tc>
          <w:tcPr>
            <w:tcW w:w="926" w:type="dxa"/>
            <w:vAlign w:val="top"/>
          </w:tcPr>
          <w:p>
            <w:pPr>
              <w:pStyle w:val="TableText"/>
              <w:ind w:left="414"/>
              <w:spacing w:before="100" w:line="195" w:lineRule="auto"/>
              <w:rPr/>
            </w:pPr>
            <w:r>
              <w:rPr/>
              <w:t>6</w:t>
            </w:r>
          </w:p>
        </w:tc>
        <w:tc>
          <w:tcPr>
            <w:tcW w:w="1729" w:type="dxa"/>
            <w:vAlign w:val="top"/>
          </w:tcPr>
          <w:p>
            <w:pPr>
              <w:ind w:left="658"/>
              <w:spacing w:before="65" w:line="229" w:lineRule="auto"/>
              <w:rPr>
                <w:rFonts w:ascii="SimSun" w:hAnsi="SimSun" w:eastAsia="SimSun" w:cs="SimSun"/>
                <w:sz w:val="20"/>
                <w:szCs w:val="20"/>
              </w:rPr>
            </w:pPr>
            <w:r>
              <w:rPr>
                <w:rFonts w:ascii="SimSun" w:hAnsi="SimSun" w:eastAsia="SimSun" w:cs="SimSun"/>
                <w:sz w:val="20"/>
                <w:szCs w:val="20"/>
                <w:spacing w:val="4"/>
              </w:rPr>
              <w:t>鹌鹑</w:t>
            </w:r>
          </w:p>
        </w:tc>
        <w:tc>
          <w:tcPr>
            <w:tcW w:w="4761" w:type="dxa"/>
            <w:vAlign w:val="top"/>
            <w:gridSpan w:val="2"/>
          </w:tcPr>
          <w:p>
            <w:pPr>
              <w:pStyle w:val="TableText"/>
              <w:ind w:left="1160"/>
              <w:spacing w:before="30" w:line="278" w:lineRule="exact"/>
              <w:rPr/>
            </w:pPr>
            <w:r>
              <w:rPr>
                <w:i/>
                <w:iCs/>
                <w:spacing w:val="4"/>
                <w:position w:val="4"/>
              </w:rPr>
              <w:t>Coturnix coturnix (</w:t>
            </w:r>
            <w:r>
              <w:rPr>
                <w:i/>
                <w:iCs/>
                <w:spacing w:val="3"/>
                <w:position w:val="4"/>
              </w:rPr>
              <w:t>Linnaeus)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3" w:hRule="atLeast"/>
        </w:trPr>
        <w:tc>
          <w:tcPr>
            <w:tcW w:w="926" w:type="dxa"/>
            <w:vAlign w:val="top"/>
          </w:tcPr>
          <w:p>
            <w:pPr>
              <w:pStyle w:val="TableText"/>
              <w:ind w:left="413"/>
              <w:spacing w:before="103" w:line="192" w:lineRule="auto"/>
              <w:rPr/>
            </w:pPr>
            <w:r>
              <w:rPr/>
              <w:t>7</w:t>
            </w:r>
          </w:p>
        </w:tc>
        <w:tc>
          <w:tcPr>
            <w:tcW w:w="1729" w:type="dxa"/>
            <w:vAlign w:val="top"/>
          </w:tcPr>
          <w:p>
            <w:pPr>
              <w:ind w:left="660"/>
              <w:spacing w:before="64" w:line="229" w:lineRule="auto"/>
              <w:rPr>
                <w:rFonts w:ascii="SimSun" w:hAnsi="SimSun" w:eastAsia="SimSun" w:cs="SimSun"/>
                <w:sz w:val="20"/>
                <w:szCs w:val="20"/>
              </w:rPr>
            </w:pPr>
            <w:r>
              <w:rPr>
                <w:rFonts w:ascii="SimSun" w:hAnsi="SimSun" w:eastAsia="SimSun" w:cs="SimSun"/>
                <w:sz w:val="20"/>
                <w:szCs w:val="20"/>
                <w:spacing w:val="3"/>
              </w:rPr>
              <w:t>雉鸡</w:t>
            </w:r>
          </w:p>
        </w:tc>
        <w:tc>
          <w:tcPr>
            <w:tcW w:w="4761" w:type="dxa"/>
            <w:vAlign w:val="top"/>
            <w:gridSpan w:val="2"/>
          </w:tcPr>
          <w:p>
            <w:pPr>
              <w:pStyle w:val="TableText"/>
              <w:ind w:left="1057"/>
              <w:spacing w:before="30" w:line="277" w:lineRule="exact"/>
              <w:rPr/>
            </w:pPr>
            <w:r>
              <w:rPr>
                <w:i/>
                <w:iCs/>
                <w:spacing w:val="5"/>
                <w:position w:val="4"/>
              </w:rPr>
              <w:t>Phasianus colchicus(</w:t>
            </w:r>
            <w:r>
              <w:rPr>
                <w:i/>
                <w:iCs/>
                <w:spacing w:val="4"/>
                <w:position w:val="4"/>
              </w:rPr>
              <w:t>Linnaeus)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4" w:line="228" w:lineRule="auto"/>
              <w:rPr>
                <w:rFonts w:ascii="SimSun" w:hAnsi="SimSun" w:eastAsia="SimSun" w:cs="SimSun"/>
              </w:rPr>
            </w:pPr>
            <w:r>
              <w:rPr>
                <w:rFonts w:ascii="SimSun" w:hAnsi="SimSun" w:eastAsia="SimSun" w:cs="SimSun"/>
                <w:spacing w:val="5"/>
              </w:rPr>
              <w:t>（</w:t>
            </w:r>
            <w:r>
              <w:rPr>
                <w:spacing w:val="5"/>
              </w:rPr>
              <w:t>2</w:t>
            </w:r>
            <w:r>
              <w:rPr>
                <w:rFonts w:ascii="SimSun" w:hAnsi="SimSun" w:eastAsia="SimSun" w:cs="SimSun"/>
                <w:spacing w:val="5"/>
              </w:rPr>
              <w:t>）鹤行目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418"/>
              <w:spacing w:before="103" w:line="195" w:lineRule="auto"/>
              <w:rPr/>
            </w:pPr>
            <w:r>
              <w:rPr/>
              <w:t>8</w:t>
            </w:r>
          </w:p>
        </w:tc>
        <w:tc>
          <w:tcPr>
            <w:tcW w:w="1729" w:type="dxa"/>
            <w:vAlign w:val="top"/>
          </w:tcPr>
          <w:p>
            <w:pPr>
              <w:ind w:left="553"/>
              <w:spacing w:before="64" w:line="228" w:lineRule="auto"/>
              <w:rPr>
                <w:rFonts w:ascii="SimSun" w:hAnsi="SimSun" w:eastAsia="SimSun" w:cs="SimSun"/>
                <w:sz w:val="20"/>
                <w:szCs w:val="20"/>
              </w:rPr>
            </w:pPr>
            <w:r>
              <w:rPr>
                <w:rFonts w:ascii="SimSun" w:hAnsi="SimSun" w:eastAsia="SimSun" w:cs="SimSun"/>
                <w:sz w:val="20"/>
                <w:szCs w:val="20"/>
                <w:spacing w:val="6"/>
              </w:rPr>
              <w:t>骨顶鸡</w:t>
            </w:r>
          </w:p>
        </w:tc>
        <w:tc>
          <w:tcPr>
            <w:tcW w:w="4761" w:type="dxa"/>
            <w:vAlign w:val="top"/>
            <w:gridSpan w:val="2"/>
          </w:tcPr>
          <w:p>
            <w:pPr>
              <w:pStyle w:val="TableText"/>
              <w:ind w:left="1487"/>
              <w:spacing w:before="32" w:line="278" w:lineRule="exact"/>
              <w:rPr/>
            </w:pPr>
            <w:r>
              <w:rPr>
                <w:i/>
                <w:iCs/>
                <w:spacing w:val="4"/>
                <w:position w:val="2"/>
              </w:rPr>
              <w:t>Fulica atra Linnaeus</w:t>
            </w:r>
          </w:p>
        </w:tc>
        <w:tc>
          <w:tcPr>
            <w:tcW w:w="1871" w:type="dxa"/>
            <w:vAlign w:val="top"/>
          </w:tcPr>
          <w:p>
            <w:pPr>
              <w:rPr>
                <w:rFonts w:ascii="Arial"/>
                <w:sz w:val="21"/>
              </w:rPr>
            </w:pPr>
            <w:r/>
          </w:p>
        </w:tc>
      </w:tr>
      <w:tr>
        <w:trPr>
          <w:trHeight w:val="346"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5" w:line="227" w:lineRule="auto"/>
              <w:rPr>
                <w:rFonts w:ascii="SimSun" w:hAnsi="SimSun" w:eastAsia="SimSun" w:cs="SimSun"/>
              </w:rPr>
            </w:pPr>
            <w:r>
              <w:rPr>
                <w:rFonts w:ascii="SimSun" w:hAnsi="SimSun" w:eastAsia="SimSun" w:cs="SimSun"/>
                <w:spacing w:val="5"/>
              </w:rPr>
              <w:t>（</w:t>
            </w:r>
            <w:r>
              <w:rPr>
                <w:spacing w:val="5"/>
              </w:rPr>
              <w:t>3</w:t>
            </w:r>
            <w:r>
              <w:rPr>
                <w:rFonts w:ascii="SimSun" w:hAnsi="SimSun" w:eastAsia="SimSun" w:cs="SimSun"/>
                <w:spacing w:val="5"/>
              </w:rPr>
              <w:t>）鸻形目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413"/>
              <w:spacing w:before="100" w:line="195" w:lineRule="auto"/>
              <w:rPr/>
            </w:pPr>
            <w:r>
              <w:rPr/>
              <w:t>9</w:t>
            </w:r>
          </w:p>
        </w:tc>
        <w:tc>
          <w:tcPr>
            <w:tcW w:w="1729" w:type="dxa"/>
            <w:vAlign w:val="top"/>
          </w:tcPr>
          <w:p>
            <w:pPr>
              <w:ind w:left="448"/>
              <w:spacing w:before="64" w:line="227" w:lineRule="auto"/>
              <w:rPr>
                <w:rFonts w:ascii="SimSun" w:hAnsi="SimSun" w:eastAsia="SimSun" w:cs="SimSun"/>
                <w:sz w:val="20"/>
                <w:szCs w:val="20"/>
              </w:rPr>
            </w:pPr>
            <w:r>
              <w:rPr>
                <w:rFonts w:ascii="SimSun" w:hAnsi="SimSun" w:eastAsia="SimSun" w:cs="SimSun"/>
                <w:sz w:val="20"/>
                <w:szCs w:val="20"/>
                <w:spacing w:val="7"/>
              </w:rPr>
              <w:t>凤头麦鸡</w:t>
            </w:r>
          </w:p>
        </w:tc>
        <w:tc>
          <w:tcPr>
            <w:tcW w:w="4761" w:type="dxa"/>
            <w:vAlign w:val="top"/>
            <w:gridSpan w:val="2"/>
          </w:tcPr>
          <w:p>
            <w:pPr>
              <w:pStyle w:val="TableText"/>
              <w:ind w:left="1261"/>
              <w:spacing w:before="30" w:line="278" w:lineRule="exact"/>
              <w:rPr/>
            </w:pPr>
            <w:r>
              <w:rPr>
                <w:i/>
                <w:iCs/>
                <w:spacing w:val="2"/>
                <w:position w:val="2"/>
              </w:rPr>
              <w:t>Vanellus vanellus Linnaeus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6" w:hRule="atLeast"/>
        </w:trPr>
        <w:tc>
          <w:tcPr>
            <w:tcW w:w="926" w:type="dxa"/>
            <w:vAlign w:val="top"/>
          </w:tcPr>
          <w:p>
            <w:pPr>
              <w:pStyle w:val="TableText"/>
              <w:ind w:left="379"/>
              <w:spacing w:before="100" w:line="195" w:lineRule="auto"/>
              <w:rPr/>
            </w:pPr>
            <w:r>
              <w:rPr>
                <w:spacing w:val="-8"/>
              </w:rPr>
              <w:t>10</w:t>
            </w:r>
          </w:p>
        </w:tc>
        <w:tc>
          <w:tcPr>
            <w:tcW w:w="1729" w:type="dxa"/>
            <w:vAlign w:val="top"/>
          </w:tcPr>
          <w:p>
            <w:pPr>
              <w:ind w:left="553"/>
              <w:spacing w:before="64" w:line="228" w:lineRule="auto"/>
              <w:rPr>
                <w:rFonts w:ascii="SimSun" w:hAnsi="SimSun" w:eastAsia="SimSun" w:cs="SimSun"/>
                <w:sz w:val="20"/>
                <w:szCs w:val="20"/>
              </w:rPr>
            </w:pPr>
            <w:r>
              <w:rPr>
                <w:rFonts w:ascii="SimSun" w:hAnsi="SimSun" w:eastAsia="SimSun" w:cs="SimSun"/>
                <w:sz w:val="20"/>
                <w:szCs w:val="20"/>
                <w:spacing w:val="6"/>
              </w:rPr>
              <w:t>反嘴鹬</w:t>
            </w:r>
          </w:p>
        </w:tc>
        <w:tc>
          <w:tcPr>
            <w:tcW w:w="4761" w:type="dxa"/>
            <w:vAlign w:val="top"/>
            <w:gridSpan w:val="2"/>
          </w:tcPr>
          <w:p>
            <w:pPr>
              <w:pStyle w:val="TableText"/>
              <w:ind w:left="1417"/>
              <w:spacing w:before="103" w:line="192" w:lineRule="auto"/>
              <w:rPr/>
            </w:pPr>
            <w:r>
              <w:rPr>
                <w:i/>
                <w:iCs/>
                <w:spacing w:val="4"/>
              </w:rPr>
              <w:t>Recurvirostra avosetta</w:t>
            </w:r>
          </w:p>
        </w:tc>
        <w:tc>
          <w:tcPr>
            <w:tcW w:w="1871" w:type="dxa"/>
            <w:vAlign w:val="top"/>
          </w:tcPr>
          <w:p>
            <w:pPr>
              <w:rPr>
                <w:rFonts w:ascii="Arial"/>
                <w:sz w:val="21"/>
              </w:rPr>
            </w:pPr>
            <w:r/>
          </w:p>
        </w:tc>
      </w:tr>
      <w:tr>
        <w:trPr>
          <w:trHeight w:val="343"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4" w:line="228" w:lineRule="auto"/>
              <w:rPr>
                <w:rFonts w:ascii="SimSun" w:hAnsi="SimSun" w:eastAsia="SimSun" w:cs="SimSun"/>
              </w:rPr>
            </w:pPr>
            <w:r>
              <w:rPr>
                <w:rFonts w:ascii="SimSun" w:hAnsi="SimSun" w:eastAsia="SimSun" w:cs="SimSun"/>
                <w:spacing w:val="5"/>
              </w:rPr>
              <w:t>（</w:t>
            </w:r>
            <w:r>
              <w:rPr>
                <w:spacing w:val="5"/>
              </w:rPr>
              <w:t>4</w:t>
            </w:r>
            <w:r>
              <w:rPr>
                <w:rFonts w:ascii="SimSun" w:hAnsi="SimSun" w:eastAsia="SimSun" w:cs="SimSun"/>
                <w:spacing w:val="5"/>
              </w:rPr>
              <w:t>）鸽形目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381"/>
              <w:spacing w:before="102" w:line="195" w:lineRule="auto"/>
              <w:rPr/>
            </w:pPr>
            <w:r>
              <w:rPr>
                <w:spacing w:val="-10"/>
              </w:rPr>
              <w:t>11</w:t>
            </w:r>
          </w:p>
        </w:tc>
        <w:tc>
          <w:tcPr>
            <w:tcW w:w="1729" w:type="dxa"/>
            <w:vAlign w:val="top"/>
          </w:tcPr>
          <w:p>
            <w:pPr>
              <w:ind w:left="571"/>
              <w:spacing w:before="64" w:line="228" w:lineRule="auto"/>
              <w:rPr>
                <w:rFonts w:ascii="SimSun" w:hAnsi="SimSun" w:eastAsia="SimSun" w:cs="SimSun"/>
                <w:sz w:val="20"/>
                <w:szCs w:val="20"/>
              </w:rPr>
            </w:pPr>
            <w:r>
              <w:rPr>
                <w:rFonts w:ascii="SimSun" w:hAnsi="SimSun" w:eastAsia="SimSun" w:cs="SimSun"/>
                <w:sz w:val="20"/>
                <w:szCs w:val="20"/>
              </w:rPr>
              <w:t>山斑鸠</w:t>
            </w:r>
          </w:p>
        </w:tc>
        <w:tc>
          <w:tcPr>
            <w:tcW w:w="4761" w:type="dxa"/>
            <w:vAlign w:val="top"/>
            <w:gridSpan w:val="2"/>
          </w:tcPr>
          <w:p>
            <w:pPr>
              <w:pStyle w:val="TableText"/>
              <w:ind w:left="1001"/>
              <w:spacing w:before="32" w:line="278" w:lineRule="exact"/>
              <w:rPr/>
            </w:pPr>
            <w:r>
              <w:rPr>
                <w:i/>
                <w:iCs/>
                <w:spacing w:val="4"/>
                <w:position w:val="4"/>
              </w:rPr>
              <w:t>Streptopeliaorientalia(Linnaeus)</w:t>
            </w:r>
          </w:p>
        </w:tc>
        <w:tc>
          <w:tcPr>
            <w:tcW w:w="1871" w:type="dxa"/>
            <w:vAlign w:val="top"/>
          </w:tcPr>
          <w:p>
            <w:pPr>
              <w:ind w:left="732"/>
              <w:spacing w:before="64" w:line="228" w:lineRule="auto"/>
              <w:rPr>
                <w:rFonts w:ascii="SimSun" w:hAnsi="SimSun" w:eastAsia="SimSun" w:cs="SimSun"/>
                <w:sz w:val="20"/>
                <w:szCs w:val="20"/>
              </w:rPr>
            </w:pPr>
            <w:r>
              <w:rPr>
                <w:rFonts w:ascii="SimSun" w:hAnsi="SimSun" w:eastAsia="SimSun" w:cs="SimSun"/>
                <w:sz w:val="20"/>
                <w:szCs w:val="20"/>
                <w:spacing w:val="3"/>
              </w:rPr>
              <w:t>草地</w:t>
            </w:r>
          </w:p>
        </w:tc>
      </w:tr>
      <w:tr>
        <w:trPr>
          <w:trHeight w:val="345" w:hRule="atLeast"/>
        </w:trPr>
        <w:tc>
          <w:tcPr>
            <w:tcW w:w="926" w:type="dxa"/>
            <w:vAlign w:val="top"/>
          </w:tcPr>
          <w:p>
            <w:pPr>
              <w:pStyle w:val="TableText"/>
              <w:ind w:left="379"/>
              <w:spacing w:before="103" w:line="195" w:lineRule="auto"/>
              <w:rPr/>
            </w:pPr>
            <w:r>
              <w:rPr>
                <w:spacing w:val="-8"/>
              </w:rPr>
              <w:t>12</w:t>
            </w:r>
          </w:p>
        </w:tc>
        <w:tc>
          <w:tcPr>
            <w:tcW w:w="1729" w:type="dxa"/>
            <w:vAlign w:val="top"/>
          </w:tcPr>
          <w:p>
            <w:pPr>
              <w:ind w:left="448"/>
              <w:spacing w:before="65" w:line="228" w:lineRule="auto"/>
              <w:rPr>
                <w:rFonts w:ascii="SimSun" w:hAnsi="SimSun" w:eastAsia="SimSun" w:cs="SimSun"/>
                <w:sz w:val="20"/>
                <w:szCs w:val="20"/>
              </w:rPr>
            </w:pPr>
            <w:r>
              <w:rPr>
                <w:rFonts w:ascii="SimSun" w:hAnsi="SimSun" w:eastAsia="SimSun" w:cs="SimSun"/>
                <w:sz w:val="20"/>
                <w:szCs w:val="20"/>
                <w:spacing w:val="7"/>
              </w:rPr>
              <w:t>毛腿沙鸡</w:t>
            </w:r>
          </w:p>
        </w:tc>
        <w:tc>
          <w:tcPr>
            <w:tcW w:w="4761" w:type="dxa"/>
            <w:vAlign w:val="top"/>
            <w:gridSpan w:val="2"/>
          </w:tcPr>
          <w:p>
            <w:pPr>
              <w:pStyle w:val="TableText"/>
              <w:ind w:left="1131"/>
              <w:spacing w:before="32" w:line="278" w:lineRule="exact"/>
              <w:rPr/>
            </w:pPr>
            <w:r>
              <w:rPr>
                <w:i/>
                <w:iCs/>
                <w:spacing w:val="5"/>
                <w:position w:val="4"/>
              </w:rPr>
              <w:t>Syrrhaptes</w:t>
            </w:r>
            <w:r>
              <w:rPr>
                <w:i/>
                <w:iCs/>
                <w:spacing w:val="-20"/>
                <w:position w:val="4"/>
              </w:rPr>
              <w:t xml:space="preserve"> </w:t>
            </w:r>
            <w:r>
              <w:rPr>
                <w:i/>
                <w:iCs/>
                <w:spacing w:val="5"/>
                <w:position w:val="4"/>
              </w:rPr>
              <w:t>paradoxus(pallas)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6"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323"/>
              <w:spacing w:before="64" w:line="228" w:lineRule="auto"/>
              <w:rPr>
                <w:rFonts w:ascii="SimSun" w:hAnsi="SimSun" w:eastAsia="SimSun" w:cs="SimSun"/>
              </w:rPr>
            </w:pPr>
            <w:r>
              <w:rPr>
                <w:rFonts w:ascii="SimSun" w:hAnsi="SimSun" w:eastAsia="SimSun" w:cs="SimSun"/>
                <w:spacing w:val="6"/>
              </w:rPr>
              <w:t>（</w:t>
            </w:r>
            <w:r>
              <w:rPr>
                <w:spacing w:val="6"/>
              </w:rPr>
              <w:t>5</w:t>
            </w:r>
            <w:r>
              <w:rPr>
                <w:rFonts w:ascii="SimSun" w:hAnsi="SimSun" w:eastAsia="SimSun" w:cs="SimSun"/>
                <w:spacing w:val="6"/>
              </w:rPr>
              <w:t>）佛法僧目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379"/>
              <w:spacing w:before="100" w:line="195" w:lineRule="auto"/>
              <w:rPr/>
            </w:pPr>
            <w:r>
              <w:rPr>
                <w:spacing w:val="-8"/>
              </w:rPr>
              <w:t>13</w:t>
            </w:r>
          </w:p>
        </w:tc>
        <w:tc>
          <w:tcPr>
            <w:tcW w:w="1729" w:type="dxa"/>
            <w:vAlign w:val="top"/>
          </w:tcPr>
          <w:p>
            <w:pPr>
              <w:ind w:left="662"/>
              <w:spacing w:before="65" w:line="228" w:lineRule="auto"/>
              <w:rPr>
                <w:rFonts w:ascii="SimSun" w:hAnsi="SimSun" w:eastAsia="SimSun" w:cs="SimSun"/>
                <w:sz w:val="20"/>
                <w:szCs w:val="20"/>
              </w:rPr>
            </w:pPr>
            <w:r>
              <w:rPr>
                <w:rFonts w:ascii="SimSun" w:hAnsi="SimSun" w:eastAsia="SimSun" w:cs="SimSun"/>
                <w:sz w:val="20"/>
                <w:szCs w:val="20"/>
                <w:spacing w:val="2"/>
              </w:rPr>
              <w:t>戴胜</w:t>
            </w:r>
          </w:p>
        </w:tc>
        <w:tc>
          <w:tcPr>
            <w:tcW w:w="4761" w:type="dxa"/>
            <w:vAlign w:val="top"/>
            <w:gridSpan w:val="2"/>
          </w:tcPr>
          <w:p>
            <w:pPr>
              <w:pStyle w:val="TableText"/>
              <w:ind w:left="1360"/>
              <w:spacing w:before="30" w:line="278" w:lineRule="exact"/>
              <w:rPr/>
            </w:pPr>
            <w:r>
              <w:rPr>
                <w:i/>
                <w:iCs/>
                <w:spacing w:val="3"/>
                <w:position w:val="4"/>
              </w:rPr>
              <w:t>Upupa epops</w:t>
            </w:r>
            <w:r>
              <w:rPr>
                <w:i/>
                <w:iCs/>
                <w:spacing w:val="17"/>
                <w:position w:val="4"/>
              </w:rPr>
              <w:t xml:space="preserve"> </w:t>
            </w:r>
            <w:r>
              <w:rPr>
                <w:i/>
                <w:iCs/>
                <w:spacing w:val="3"/>
                <w:position w:val="4"/>
              </w:rPr>
              <w:t>(Linnaeus)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6"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5" w:line="228" w:lineRule="auto"/>
              <w:rPr>
                <w:rFonts w:ascii="SimSun" w:hAnsi="SimSun" w:eastAsia="SimSun" w:cs="SimSun"/>
              </w:rPr>
            </w:pPr>
            <w:r>
              <w:rPr>
                <w:rFonts w:ascii="SimSun" w:hAnsi="SimSun" w:eastAsia="SimSun" w:cs="SimSun"/>
                <w:spacing w:val="5"/>
              </w:rPr>
              <w:t>（</w:t>
            </w:r>
            <w:r>
              <w:rPr>
                <w:spacing w:val="5"/>
              </w:rPr>
              <w:t>6</w:t>
            </w:r>
            <w:r>
              <w:rPr>
                <w:rFonts w:ascii="SimSun" w:hAnsi="SimSun" w:eastAsia="SimSun" w:cs="SimSun"/>
                <w:spacing w:val="5"/>
              </w:rPr>
              <w:t>）雀形目</w:t>
            </w:r>
          </w:p>
        </w:tc>
        <w:tc>
          <w:tcPr>
            <w:tcW w:w="1871" w:type="dxa"/>
            <w:vAlign w:val="top"/>
            <w:tcBorders>
              <w:left w:val="nil"/>
            </w:tcBorders>
          </w:tcPr>
          <w:p>
            <w:pPr>
              <w:rPr>
                <w:rFonts w:ascii="Arial"/>
                <w:sz w:val="21"/>
              </w:rPr>
            </w:pPr>
            <w:r/>
          </w:p>
        </w:tc>
      </w:tr>
      <w:tr>
        <w:trPr>
          <w:trHeight w:val="343" w:hRule="atLeast"/>
        </w:trPr>
        <w:tc>
          <w:tcPr>
            <w:tcW w:w="926" w:type="dxa"/>
            <w:vAlign w:val="top"/>
          </w:tcPr>
          <w:p>
            <w:pPr>
              <w:pStyle w:val="TableText"/>
              <w:ind w:left="379"/>
              <w:spacing w:before="100" w:line="195" w:lineRule="auto"/>
              <w:rPr/>
            </w:pPr>
            <w:r>
              <w:rPr>
                <w:spacing w:val="-8"/>
              </w:rPr>
              <w:t>14</w:t>
            </w:r>
          </w:p>
        </w:tc>
        <w:tc>
          <w:tcPr>
            <w:tcW w:w="1729" w:type="dxa"/>
            <w:vAlign w:val="top"/>
          </w:tcPr>
          <w:p>
            <w:pPr>
              <w:ind w:left="453"/>
              <w:spacing w:before="64" w:line="230" w:lineRule="auto"/>
              <w:rPr>
                <w:rFonts w:ascii="SimSun" w:hAnsi="SimSun" w:eastAsia="SimSun" w:cs="SimSun"/>
                <w:sz w:val="20"/>
                <w:szCs w:val="20"/>
              </w:rPr>
            </w:pPr>
            <w:r>
              <w:rPr>
                <w:rFonts w:ascii="SimSun" w:hAnsi="SimSun" w:eastAsia="SimSun" w:cs="SimSun"/>
                <w:sz w:val="20"/>
                <w:szCs w:val="20"/>
                <w:spacing w:val="6"/>
              </w:rPr>
              <w:t>小沙百灵</w:t>
            </w:r>
          </w:p>
        </w:tc>
        <w:tc>
          <w:tcPr>
            <w:tcW w:w="4761" w:type="dxa"/>
            <w:vAlign w:val="top"/>
            <w:gridSpan w:val="2"/>
          </w:tcPr>
          <w:p>
            <w:pPr>
              <w:pStyle w:val="TableText"/>
              <w:ind w:left="1501"/>
              <w:spacing w:before="30" w:line="277" w:lineRule="exact"/>
              <w:rPr/>
            </w:pPr>
            <w:r>
              <w:rPr>
                <w:i/>
                <w:iCs/>
                <w:spacing w:val="11"/>
                <w:position w:val="4"/>
              </w:rPr>
              <w:t>C.</w:t>
            </w:r>
            <w:r>
              <w:rPr>
                <w:i/>
                <w:iCs/>
                <w:position w:val="4"/>
              </w:rPr>
              <w:t>rufescens</w:t>
            </w:r>
            <w:r>
              <w:rPr>
                <w:i/>
                <w:iCs/>
                <w:spacing w:val="15"/>
                <w:position w:val="4"/>
              </w:rPr>
              <w:t xml:space="preserve"> </w:t>
            </w:r>
            <w:r>
              <w:rPr>
                <w:i/>
                <w:iCs/>
                <w:spacing w:val="11"/>
                <w:position w:val="4"/>
              </w:rPr>
              <w:t>(</w:t>
            </w:r>
            <w:r>
              <w:rPr>
                <w:i/>
                <w:iCs/>
                <w:position w:val="4"/>
              </w:rPr>
              <w:t>Vieillot</w:t>
            </w:r>
            <w:r>
              <w:rPr>
                <w:i/>
                <w:iCs/>
                <w:spacing w:val="11"/>
                <w:position w:val="4"/>
              </w:rPr>
              <w:t>)</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5" w:hRule="atLeast"/>
        </w:trPr>
        <w:tc>
          <w:tcPr>
            <w:tcW w:w="926" w:type="dxa"/>
            <w:vAlign w:val="top"/>
          </w:tcPr>
          <w:p>
            <w:pPr>
              <w:pStyle w:val="TableText"/>
              <w:ind w:left="379"/>
              <w:spacing w:before="102" w:line="195" w:lineRule="auto"/>
              <w:rPr/>
            </w:pPr>
            <w:r>
              <w:rPr>
                <w:spacing w:val="-9"/>
              </w:rPr>
              <w:t>15</w:t>
            </w:r>
          </w:p>
        </w:tc>
        <w:tc>
          <w:tcPr>
            <w:tcW w:w="1729" w:type="dxa"/>
            <w:vAlign w:val="top"/>
          </w:tcPr>
          <w:p>
            <w:pPr>
              <w:ind w:left="664"/>
              <w:spacing w:before="64" w:line="228" w:lineRule="auto"/>
              <w:rPr>
                <w:rFonts w:ascii="SimSun" w:hAnsi="SimSun" w:eastAsia="SimSun" w:cs="SimSun"/>
                <w:sz w:val="20"/>
                <w:szCs w:val="20"/>
              </w:rPr>
            </w:pPr>
            <w:r>
              <w:rPr>
                <w:rFonts w:ascii="SimSun" w:hAnsi="SimSun" w:eastAsia="SimSun" w:cs="SimSun"/>
                <w:sz w:val="20"/>
                <w:szCs w:val="20"/>
                <w:spacing w:val="2"/>
              </w:rPr>
              <w:t>云雀</w:t>
            </w:r>
          </w:p>
        </w:tc>
        <w:tc>
          <w:tcPr>
            <w:tcW w:w="4761" w:type="dxa"/>
            <w:vAlign w:val="top"/>
            <w:gridSpan w:val="2"/>
          </w:tcPr>
          <w:p>
            <w:pPr>
              <w:pStyle w:val="TableText"/>
              <w:ind w:left="1237"/>
              <w:spacing w:before="32" w:line="278" w:lineRule="exact"/>
              <w:rPr/>
            </w:pPr>
            <w:r>
              <w:rPr>
                <w:i/>
                <w:iCs/>
                <w:spacing w:val="4"/>
                <w:position w:val="2"/>
              </w:rPr>
              <w:t>Alauda arvernsis Linnaeus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草地、水域</w:t>
            </w:r>
          </w:p>
        </w:tc>
      </w:tr>
      <w:tr>
        <w:trPr>
          <w:trHeight w:val="345" w:hRule="atLeast"/>
        </w:trPr>
        <w:tc>
          <w:tcPr>
            <w:tcW w:w="926" w:type="dxa"/>
            <w:vAlign w:val="top"/>
          </w:tcPr>
          <w:p>
            <w:pPr>
              <w:pStyle w:val="TableText"/>
              <w:ind w:left="379"/>
              <w:spacing w:before="103" w:line="195" w:lineRule="auto"/>
              <w:rPr/>
            </w:pPr>
            <w:r>
              <w:rPr>
                <w:spacing w:val="-9"/>
              </w:rPr>
              <w:t>16</w:t>
            </w:r>
          </w:p>
        </w:tc>
        <w:tc>
          <w:tcPr>
            <w:tcW w:w="1729" w:type="dxa"/>
            <w:vAlign w:val="top"/>
          </w:tcPr>
          <w:p>
            <w:pPr>
              <w:ind w:left="452"/>
              <w:spacing w:before="64" w:line="227" w:lineRule="auto"/>
              <w:rPr>
                <w:rFonts w:ascii="SimSun" w:hAnsi="SimSun" w:eastAsia="SimSun" w:cs="SimSun"/>
                <w:sz w:val="20"/>
                <w:szCs w:val="20"/>
              </w:rPr>
            </w:pPr>
            <w:r>
              <w:rPr>
                <w:rFonts w:ascii="SimSun" w:hAnsi="SimSun" w:eastAsia="SimSun" w:cs="SimSun"/>
                <w:sz w:val="20"/>
                <w:szCs w:val="20"/>
                <w:spacing w:val="6"/>
              </w:rPr>
              <w:t>红背伯劳</w:t>
            </w:r>
          </w:p>
        </w:tc>
        <w:tc>
          <w:tcPr>
            <w:tcW w:w="4761" w:type="dxa"/>
            <w:vAlign w:val="top"/>
            <w:gridSpan w:val="2"/>
          </w:tcPr>
          <w:p>
            <w:pPr>
              <w:pStyle w:val="TableText"/>
              <w:ind w:left="1317"/>
              <w:spacing w:before="32" w:line="278" w:lineRule="exact"/>
              <w:rPr/>
            </w:pPr>
            <w:r>
              <w:rPr>
                <w:i/>
                <w:iCs/>
                <w:spacing w:val="5"/>
                <w:position w:val="2"/>
              </w:rPr>
              <w:t>Lanius collurio</w:t>
            </w:r>
            <w:r>
              <w:rPr>
                <w:i/>
                <w:iCs/>
                <w:spacing w:val="-8"/>
                <w:position w:val="2"/>
              </w:rPr>
              <w:t xml:space="preserve"> </w:t>
            </w:r>
            <w:r>
              <w:rPr>
                <w:i/>
                <w:iCs/>
                <w:spacing w:val="5"/>
                <w:position w:val="2"/>
              </w:rPr>
              <w:t>Linnae</w:t>
            </w:r>
            <w:r>
              <w:rPr>
                <w:i/>
                <w:iCs/>
                <w:spacing w:val="4"/>
                <w:position w:val="2"/>
              </w:rPr>
              <w:t>us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草地、水域</w:t>
            </w:r>
          </w:p>
        </w:tc>
      </w:tr>
      <w:tr>
        <w:trPr>
          <w:trHeight w:val="345" w:hRule="atLeast"/>
        </w:trPr>
        <w:tc>
          <w:tcPr>
            <w:tcW w:w="926" w:type="dxa"/>
            <w:vAlign w:val="top"/>
          </w:tcPr>
          <w:p>
            <w:pPr>
              <w:pStyle w:val="TableText"/>
              <w:ind w:left="379"/>
              <w:spacing w:before="101" w:line="195" w:lineRule="auto"/>
              <w:rPr/>
            </w:pPr>
            <w:r>
              <w:rPr>
                <w:spacing w:val="-9"/>
              </w:rPr>
              <w:t>17</w:t>
            </w:r>
          </w:p>
        </w:tc>
        <w:tc>
          <w:tcPr>
            <w:tcW w:w="1729" w:type="dxa"/>
            <w:vAlign w:val="top"/>
          </w:tcPr>
          <w:p>
            <w:pPr>
              <w:ind w:left="450"/>
              <w:spacing w:before="65" w:line="227" w:lineRule="auto"/>
              <w:rPr>
                <w:rFonts w:ascii="SimSun" w:hAnsi="SimSun" w:eastAsia="SimSun" w:cs="SimSun"/>
                <w:sz w:val="20"/>
                <w:szCs w:val="20"/>
              </w:rPr>
            </w:pPr>
            <w:r>
              <w:rPr>
                <w:rFonts w:ascii="SimSun" w:hAnsi="SimSun" w:eastAsia="SimSun" w:cs="SimSun"/>
                <w:sz w:val="20"/>
                <w:szCs w:val="20"/>
                <w:spacing w:val="6"/>
              </w:rPr>
              <w:t>极北柳莺</w:t>
            </w:r>
          </w:p>
        </w:tc>
        <w:tc>
          <w:tcPr>
            <w:tcW w:w="4761" w:type="dxa"/>
            <w:vAlign w:val="top"/>
            <w:gridSpan w:val="2"/>
          </w:tcPr>
          <w:p>
            <w:pPr>
              <w:pStyle w:val="TableText"/>
              <w:ind w:left="1446"/>
              <w:spacing w:before="30" w:line="278" w:lineRule="exact"/>
              <w:rPr/>
            </w:pPr>
            <w:r>
              <w:rPr>
                <w:i/>
                <w:iCs/>
                <w:spacing w:val="4"/>
                <w:position w:val="4"/>
              </w:rPr>
              <w:t>Phylloscopus borealis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草地、水域</w:t>
            </w:r>
          </w:p>
        </w:tc>
      </w:tr>
      <w:tr>
        <w:trPr>
          <w:trHeight w:val="345" w:hRule="atLeast"/>
        </w:trPr>
        <w:tc>
          <w:tcPr>
            <w:tcW w:w="926" w:type="dxa"/>
            <w:vAlign w:val="top"/>
          </w:tcPr>
          <w:p>
            <w:pPr>
              <w:pStyle w:val="TableText"/>
              <w:ind w:left="379"/>
              <w:spacing w:before="101" w:line="195" w:lineRule="auto"/>
              <w:rPr/>
            </w:pPr>
            <w:r>
              <w:rPr>
                <w:spacing w:val="-9"/>
              </w:rPr>
              <w:t>18</w:t>
            </w:r>
          </w:p>
        </w:tc>
        <w:tc>
          <w:tcPr>
            <w:tcW w:w="1729" w:type="dxa"/>
            <w:vAlign w:val="top"/>
          </w:tcPr>
          <w:p>
            <w:pPr>
              <w:ind w:left="660"/>
              <w:spacing w:before="66" w:line="228" w:lineRule="auto"/>
              <w:rPr>
                <w:rFonts w:ascii="SimSun" w:hAnsi="SimSun" w:eastAsia="SimSun" w:cs="SimSun"/>
                <w:sz w:val="20"/>
                <w:szCs w:val="20"/>
              </w:rPr>
            </w:pPr>
            <w:r>
              <w:rPr>
                <w:rFonts w:ascii="SimSun" w:hAnsi="SimSun" w:eastAsia="SimSun" w:cs="SimSun"/>
                <w:sz w:val="20"/>
                <w:szCs w:val="20"/>
                <w:spacing w:val="3"/>
              </w:rPr>
              <w:t>家燕</w:t>
            </w:r>
          </w:p>
        </w:tc>
        <w:tc>
          <w:tcPr>
            <w:tcW w:w="4761" w:type="dxa"/>
            <w:vAlign w:val="top"/>
            <w:gridSpan w:val="2"/>
          </w:tcPr>
          <w:p>
            <w:pPr>
              <w:pStyle w:val="TableText"/>
              <w:ind w:left="1318"/>
              <w:spacing w:before="31" w:line="278" w:lineRule="exact"/>
              <w:rPr/>
            </w:pPr>
            <w:r>
              <w:rPr>
                <w:i/>
                <w:iCs/>
                <w:spacing w:val="4"/>
                <w:position w:val="2"/>
              </w:rPr>
              <w:t>Hirundo rustica linnaeus</w:t>
            </w:r>
          </w:p>
        </w:tc>
        <w:tc>
          <w:tcPr>
            <w:tcW w:w="1871" w:type="dxa"/>
            <w:vAlign w:val="top"/>
          </w:tcPr>
          <w:p>
            <w:pPr>
              <w:ind w:left="732"/>
              <w:spacing w:before="65" w:line="228" w:lineRule="auto"/>
              <w:rPr>
                <w:rFonts w:ascii="SimSun" w:hAnsi="SimSun" w:eastAsia="SimSun" w:cs="SimSun"/>
                <w:sz w:val="20"/>
                <w:szCs w:val="20"/>
              </w:rPr>
            </w:pPr>
            <w:r>
              <w:rPr>
                <w:rFonts w:ascii="SimSun" w:hAnsi="SimSun" w:eastAsia="SimSun" w:cs="SimSun"/>
                <w:sz w:val="20"/>
                <w:szCs w:val="20"/>
                <w:spacing w:val="3"/>
              </w:rPr>
              <w:t>草地</w:t>
            </w:r>
          </w:p>
        </w:tc>
      </w:tr>
      <w:tr>
        <w:trPr>
          <w:trHeight w:val="345" w:hRule="atLeast"/>
        </w:trPr>
        <w:tc>
          <w:tcPr>
            <w:tcW w:w="926" w:type="dxa"/>
            <w:vAlign w:val="top"/>
          </w:tcPr>
          <w:p>
            <w:pPr>
              <w:pStyle w:val="TableText"/>
              <w:ind w:left="379"/>
              <w:spacing w:before="101" w:line="195" w:lineRule="auto"/>
              <w:rPr/>
            </w:pPr>
            <w:r>
              <w:rPr>
                <w:spacing w:val="-8"/>
              </w:rPr>
              <w:t>19</w:t>
            </w:r>
          </w:p>
        </w:tc>
        <w:tc>
          <w:tcPr>
            <w:tcW w:w="1729" w:type="dxa"/>
            <w:vAlign w:val="top"/>
          </w:tcPr>
          <w:p>
            <w:pPr>
              <w:ind w:left="554"/>
              <w:spacing w:before="65" w:line="228" w:lineRule="auto"/>
              <w:rPr>
                <w:rFonts w:ascii="SimSun" w:hAnsi="SimSun" w:eastAsia="SimSun" w:cs="SimSun"/>
                <w:sz w:val="20"/>
                <w:szCs w:val="20"/>
              </w:rPr>
            </w:pPr>
            <w:r>
              <w:rPr>
                <w:rFonts w:ascii="SimSun" w:hAnsi="SimSun" w:eastAsia="SimSun" w:cs="SimSun"/>
                <w:sz w:val="20"/>
                <w:szCs w:val="20"/>
                <w:spacing w:val="6"/>
              </w:rPr>
              <w:t>灰沙燕</w:t>
            </w:r>
          </w:p>
        </w:tc>
        <w:tc>
          <w:tcPr>
            <w:tcW w:w="4761" w:type="dxa"/>
            <w:vAlign w:val="top"/>
            <w:gridSpan w:val="2"/>
          </w:tcPr>
          <w:p>
            <w:pPr>
              <w:pStyle w:val="TableText"/>
              <w:ind w:left="1729"/>
              <w:spacing w:before="104" w:line="194" w:lineRule="auto"/>
              <w:rPr/>
            </w:pPr>
            <w:r>
              <w:rPr>
                <w:i/>
                <w:iCs/>
                <w:spacing w:val="4"/>
              </w:rPr>
              <w:t>Riparia riparia</w:t>
            </w:r>
          </w:p>
        </w:tc>
        <w:tc>
          <w:tcPr>
            <w:tcW w:w="1871" w:type="dxa"/>
            <w:vAlign w:val="top"/>
          </w:tcPr>
          <w:p>
            <w:pPr>
              <w:ind w:left="732"/>
              <w:spacing w:before="65" w:line="228" w:lineRule="auto"/>
              <w:rPr>
                <w:rFonts w:ascii="SimSun" w:hAnsi="SimSun" w:eastAsia="SimSun" w:cs="SimSun"/>
                <w:sz w:val="20"/>
                <w:szCs w:val="20"/>
              </w:rPr>
            </w:pPr>
            <w:r>
              <w:rPr>
                <w:rFonts w:ascii="SimSun" w:hAnsi="SimSun" w:eastAsia="SimSun" w:cs="SimSun"/>
                <w:sz w:val="20"/>
                <w:szCs w:val="20"/>
                <w:spacing w:val="3"/>
              </w:rPr>
              <w:t>草地</w:t>
            </w:r>
          </w:p>
        </w:tc>
      </w:tr>
      <w:tr>
        <w:trPr>
          <w:trHeight w:val="343" w:hRule="atLeast"/>
        </w:trPr>
        <w:tc>
          <w:tcPr>
            <w:tcW w:w="926" w:type="dxa"/>
            <w:vAlign w:val="top"/>
          </w:tcPr>
          <w:p>
            <w:pPr>
              <w:pStyle w:val="TableText"/>
              <w:ind w:left="359"/>
              <w:spacing w:before="102" w:line="195" w:lineRule="auto"/>
              <w:rPr/>
            </w:pPr>
            <w:r>
              <w:rPr>
                <w:spacing w:val="1"/>
              </w:rPr>
              <w:t>20</w:t>
            </w:r>
          </w:p>
        </w:tc>
        <w:tc>
          <w:tcPr>
            <w:tcW w:w="1729" w:type="dxa"/>
            <w:vAlign w:val="top"/>
          </w:tcPr>
          <w:p>
            <w:pPr>
              <w:ind w:left="553"/>
              <w:spacing w:before="66" w:line="228" w:lineRule="auto"/>
              <w:rPr>
                <w:rFonts w:ascii="SimSun" w:hAnsi="SimSun" w:eastAsia="SimSun" w:cs="SimSun"/>
                <w:sz w:val="20"/>
                <w:szCs w:val="20"/>
              </w:rPr>
            </w:pPr>
            <w:r>
              <w:rPr>
                <w:rFonts w:ascii="SimSun" w:hAnsi="SimSun" w:eastAsia="SimSun" w:cs="SimSun"/>
                <w:sz w:val="20"/>
                <w:szCs w:val="20"/>
                <w:spacing w:val="6"/>
              </w:rPr>
              <w:t>树麻雀</w:t>
            </w:r>
          </w:p>
        </w:tc>
        <w:tc>
          <w:tcPr>
            <w:tcW w:w="4761" w:type="dxa"/>
            <w:vAlign w:val="top"/>
            <w:gridSpan w:val="2"/>
          </w:tcPr>
          <w:p>
            <w:pPr>
              <w:pStyle w:val="TableText"/>
              <w:ind w:left="1439"/>
              <w:spacing w:before="32" w:line="277" w:lineRule="exact"/>
              <w:rPr/>
            </w:pPr>
            <w:r>
              <w:rPr>
                <w:i/>
                <w:iCs/>
                <w:spacing w:val="18"/>
                <w:position w:val="4"/>
              </w:rPr>
              <w:t>P.</w:t>
            </w:r>
            <w:r>
              <w:rPr>
                <w:i/>
                <w:iCs/>
                <w:position w:val="4"/>
              </w:rPr>
              <w:t>mentanus</w:t>
            </w:r>
            <w:r>
              <w:rPr>
                <w:i/>
                <w:iCs/>
                <w:spacing w:val="18"/>
                <w:position w:val="4"/>
              </w:rPr>
              <w:t>(</w:t>
            </w:r>
            <w:r>
              <w:rPr>
                <w:i/>
                <w:iCs/>
                <w:position w:val="4"/>
              </w:rPr>
              <w:t>Linnaeus</w:t>
            </w:r>
            <w:r>
              <w:rPr>
                <w:i/>
                <w:iCs/>
                <w:spacing w:val="18"/>
                <w:position w:val="4"/>
              </w:rPr>
              <w:t>)</w:t>
            </w:r>
          </w:p>
        </w:tc>
        <w:tc>
          <w:tcPr>
            <w:tcW w:w="1871" w:type="dxa"/>
            <w:vAlign w:val="top"/>
          </w:tcPr>
          <w:p>
            <w:pPr>
              <w:ind w:left="415"/>
              <w:spacing w:before="66"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Pr>
          <w:p>
            <w:pPr>
              <w:pStyle w:val="TableText"/>
              <w:ind w:left="359"/>
              <w:spacing w:before="104" w:line="195" w:lineRule="auto"/>
              <w:rPr/>
            </w:pPr>
            <w:r>
              <w:rPr>
                <w:spacing w:val="1"/>
              </w:rPr>
              <w:t>21</w:t>
            </w:r>
          </w:p>
        </w:tc>
        <w:tc>
          <w:tcPr>
            <w:tcW w:w="1729" w:type="dxa"/>
            <w:vAlign w:val="top"/>
          </w:tcPr>
          <w:p>
            <w:pPr>
              <w:ind w:left="662"/>
              <w:spacing w:before="66" w:line="228" w:lineRule="auto"/>
              <w:rPr>
                <w:rFonts w:ascii="SimSun" w:hAnsi="SimSun" w:eastAsia="SimSun" w:cs="SimSun"/>
                <w:sz w:val="20"/>
                <w:szCs w:val="20"/>
              </w:rPr>
            </w:pPr>
            <w:r>
              <w:rPr>
                <w:rFonts w:ascii="SimSun" w:hAnsi="SimSun" w:eastAsia="SimSun" w:cs="SimSun"/>
                <w:sz w:val="20"/>
                <w:szCs w:val="20"/>
                <w:spacing w:val="3"/>
              </w:rPr>
              <w:t>喜鹊</w:t>
            </w:r>
          </w:p>
        </w:tc>
        <w:tc>
          <w:tcPr>
            <w:tcW w:w="4761" w:type="dxa"/>
            <w:vAlign w:val="top"/>
            <w:gridSpan w:val="2"/>
          </w:tcPr>
          <w:p>
            <w:pPr>
              <w:pStyle w:val="TableText"/>
              <w:ind w:left="1518"/>
              <w:spacing w:before="34" w:line="278" w:lineRule="exact"/>
              <w:rPr/>
            </w:pPr>
            <w:r>
              <w:rPr>
                <w:i/>
                <w:iCs/>
                <w:spacing w:val="6"/>
                <w:position w:val="4"/>
              </w:rPr>
              <w:t>Pica</w:t>
            </w:r>
            <w:r>
              <w:rPr>
                <w:i/>
                <w:iCs/>
                <w:spacing w:val="-16"/>
                <w:position w:val="4"/>
              </w:rPr>
              <w:t xml:space="preserve"> </w:t>
            </w:r>
            <w:r>
              <w:rPr>
                <w:i/>
                <w:iCs/>
                <w:spacing w:val="6"/>
                <w:position w:val="4"/>
              </w:rPr>
              <w:t>pica(Linnaeus)</w:t>
            </w:r>
          </w:p>
        </w:tc>
        <w:tc>
          <w:tcPr>
            <w:tcW w:w="1871" w:type="dxa"/>
            <w:vAlign w:val="top"/>
          </w:tcPr>
          <w:p>
            <w:pPr>
              <w:ind w:left="415"/>
              <w:spacing w:before="66"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Pr>
          <w:p>
            <w:pPr>
              <w:pStyle w:val="TableText"/>
              <w:ind w:left="359"/>
              <w:spacing w:before="105" w:line="195" w:lineRule="auto"/>
              <w:rPr/>
            </w:pPr>
            <w:r>
              <w:rPr>
                <w:spacing w:val="1"/>
              </w:rPr>
              <w:t>22</w:t>
            </w:r>
          </w:p>
        </w:tc>
        <w:tc>
          <w:tcPr>
            <w:tcW w:w="1729" w:type="dxa"/>
            <w:vAlign w:val="top"/>
          </w:tcPr>
          <w:p>
            <w:pPr>
              <w:ind w:left="449"/>
              <w:spacing w:before="66" w:line="228" w:lineRule="auto"/>
              <w:rPr>
                <w:rFonts w:ascii="SimSun" w:hAnsi="SimSun" w:eastAsia="SimSun" w:cs="SimSun"/>
                <w:sz w:val="20"/>
                <w:szCs w:val="20"/>
              </w:rPr>
            </w:pPr>
            <w:r>
              <w:rPr>
                <w:rFonts w:ascii="SimSun" w:hAnsi="SimSun" w:eastAsia="SimSun" w:cs="SimSun"/>
                <w:sz w:val="20"/>
                <w:szCs w:val="20"/>
                <w:spacing w:val="6"/>
              </w:rPr>
              <w:t>秃鼻乌鸦</w:t>
            </w:r>
          </w:p>
        </w:tc>
        <w:tc>
          <w:tcPr>
            <w:tcW w:w="4761" w:type="dxa"/>
            <w:vAlign w:val="top"/>
            <w:gridSpan w:val="2"/>
          </w:tcPr>
          <w:p>
            <w:pPr>
              <w:pStyle w:val="TableText"/>
              <w:ind w:left="1242"/>
              <w:spacing w:before="34" w:line="278" w:lineRule="exact"/>
              <w:rPr/>
            </w:pPr>
            <w:r>
              <w:rPr>
                <w:i/>
                <w:iCs/>
                <w:spacing w:val="5"/>
                <w:position w:val="4"/>
              </w:rPr>
              <w:t>Cervus</w:t>
            </w:r>
            <w:r>
              <w:rPr>
                <w:i/>
                <w:iCs/>
                <w:spacing w:val="-26"/>
                <w:position w:val="4"/>
              </w:rPr>
              <w:t xml:space="preserve"> </w:t>
            </w:r>
            <w:r>
              <w:rPr>
                <w:i/>
                <w:iCs/>
                <w:spacing w:val="5"/>
                <w:position w:val="4"/>
              </w:rPr>
              <w:t>fruilegus(Linnaeus)</w:t>
            </w:r>
          </w:p>
        </w:tc>
        <w:tc>
          <w:tcPr>
            <w:tcW w:w="1871" w:type="dxa"/>
            <w:vAlign w:val="top"/>
          </w:tcPr>
          <w:p>
            <w:pPr>
              <w:ind w:left="415"/>
              <w:spacing w:before="66" w:line="228" w:lineRule="auto"/>
              <w:rPr>
                <w:rFonts w:ascii="SimSun" w:hAnsi="SimSun" w:eastAsia="SimSun" w:cs="SimSun"/>
                <w:sz w:val="20"/>
                <w:szCs w:val="20"/>
              </w:rPr>
            </w:pPr>
            <w:r>
              <w:rPr>
                <w:rFonts w:ascii="SimSun" w:hAnsi="SimSun" w:eastAsia="SimSun" w:cs="SimSun"/>
                <w:sz w:val="20"/>
                <w:szCs w:val="20"/>
                <w:spacing w:val="7"/>
              </w:rPr>
              <w:t>草地、灌丛</w:t>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ind w:left="1488"/>
              <w:spacing w:before="67" w:line="228" w:lineRule="auto"/>
              <w:rPr>
                <w:rFonts w:ascii="SimSun" w:hAnsi="SimSun" w:eastAsia="SimSun" w:cs="SimSun"/>
                <w:sz w:val="20"/>
                <w:szCs w:val="20"/>
              </w:rPr>
            </w:pPr>
            <w:r>
              <w:rPr>
                <w:rFonts w:ascii="SimSun" w:hAnsi="SimSun" w:eastAsia="SimSun" w:cs="SimSun"/>
                <w:sz w:val="20"/>
                <w:szCs w:val="20"/>
                <w:spacing w:val="4"/>
              </w:rPr>
              <w:t>四、哺乳纲</w:t>
            </w:r>
          </w:p>
        </w:tc>
        <w:tc>
          <w:tcPr>
            <w:tcW w:w="1871" w:type="dxa"/>
            <w:vAlign w:val="top"/>
            <w:tcBorders>
              <w:left w:val="nil"/>
            </w:tcBorders>
          </w:tcPr>
          <w:p>
            <w:pPr>
              <w:rPr>
                <w:rFonts w:ascii="Arial"/>
                <w:sz w:val="21"/>
              </w:rPr>
            </w:pPr>
            <w:r/>
          </w:p>
        </w:tc>
      </w:tr>
      <w:tr>
        <w:trPr>
          <w:trHeight w:val="345" w:hRule="atLeast"/>
        </w:trPr>
        <w:tc>
          <w:tcPr>
            <w:tcW w:w="926" w:type="dxa"/>
            <w:vAlign w:val="top"/>
            <w:tcBorders>
              <w:right w:val="nil"/>
            </w:tcBorders>
          </w:tcPr>
          <w:p>
            <w:pPr>
              <w:rPr>
                <w:rFonts w:ascii="Arial"/>
                <w:sz w:val="21"/>
              </w:rPr>
            </w:pPr>
            <w:r/>
          </w:p>
        </w:tc>
        <w:tc>
          <w:tcPr>
            <w:tcW w:w="1729" w:type="dxa"/>
            <w:vAlign w:val="top"/>
            <w:tcBorders>
              <w:left w:val="nil"/>
              <w:right w:val="nil"/>
            </w:tcBorders>
          </w:tcPr>
          <w:p>
            <w:pPr>
              <w:rPr>
                <w:rFonts w:ascii="Arial"/>
                <w:sz w:val="21"/>
              </w:rPr>
            </w:pPr>
            <w:r/>
          </w:p>
        </w:tc>
        <w:tc>
          <w:tcPr>
            <w:tcW w:w="4761" w:type="dxa"/>
            <w:vAlign w:val="top"/>
            <w:gridSpan w:val="2"/>
            <w:tcBorders>
              <w:left w:val="nil"/>
              <w:right w:val="nil"/>
            </w:tcBorders>
          </w:tcPr>
          <w:p>
            <w:pPr>
              <w:pStyle w:val="TableText"/>
              <w:ind w:left="1428"/>
              <w:spacing w:before="67" w:line="229" w:lineRule="auto"/>
              <w:rPr>
                <w:rFonts w:ascii="SimSun" w:hAnsi="SimSun" w:eastAsia="SimSun" w:cs="SimSun"/>
              </w:rPr>
            </w:pPr>
            <w:r>
              <w:rPr>
                <w:rFonts w:ascii="SimSun" w:hAnsi="SimSun" w:eastAsia="SimSun" w:cs="SimSun"/>
                <w:spacing w:val="5"/>
              </w:rPr>
              <w:t>（</w:t>
            </w:r>
            <w:r>
              <w:rPr>
                <w:spacing w:val="5"/>
              </w:rPr>
              <w:t>1</w:t>
            </w:r>
            <w:r>
              <w:rPr>
                <w:rFonts w:ascii="SimSun" w:hAnsi="SimSun" w:eastAsia="SimSun" w:cs="SimSun"/>
                <w:spacing w:val="5"/>
              </w:rPr>
              <w:t>）兔形目</w:t>
            </w:r>
          </w:p>
        </w:tc>
        <w:tc>
          <w:tcPr>
            <w:tcW w:w="1871" w:type="dxa"/>
            <w:vAlign w:val="top"/>
            <w:tcBorders>
              <w:left w:val="nil"/>
            </w:tcBorders>
          </w:tcPr>
          <w:p>
            <w:pPr>
              <w:rPr>
                <w:rFonts w:ascii="Arial"/>
                <w:sz w:val="21"/>
              </w:rPr>
            </w:pPr>
            <w:r/>
          </w:p>
        </w:tc>
      </w:tr>
      <w:tr>
        <w:trPr>
          <w:trHeight w:val="345" w:hRule="atLeast"/>
        </w:trPr>
        <w:tc>
          <w:tcPr>
            <w:tcW w:w="926" w:type="dxa"/>
            <w:vAlign w:val="top"/>
          </w:tcPr>
          <w:p>
            <w:pPr>
              <w:pStyle w:val="TableText"/>
              <w:ind w:left="359"/>
              <w:spacing w:before="103" w:line="195" w:lineRule="auto"/>
              <w:rPr/>
            </w:pPr>
            <w:r>
              <w:rPr>
                <w:spacing w:val="1"/>
              </w:rPr>
              <w:t>23</w:t>
            </w:r>
          </w:p>
        </w:tc>
        <w:tc>
          <w:tcPr>
            <w:tcW w:w="1729" w:type="dxa"/>
            <w:vAlign w:val="top"/>
          </w:tcPr>
          <w:p>
            <w:pPr>
              <w:ind w:left="558"/>
              <w:spacing w:before="67" w:line="228" w:lineRule="auto"/>
              <w:rPr>
                <w:rFonts w:ascii="SimSun" w:hAnsi="SimSun" w:eastAsia="SimSun" w:cs="SimSun"/>
                <w:sz w:val="20"/>
                <w:szCs w:val="20"/>
              </w:rPr>
            </w:pPr>
            <w:r>
              <w:rPr>
                <w:rFonts w:ascii="SimSun" w:hAnsi="SimSun" w:eastAsia="SimSun" w:cs="SimSun"/>
                <w:sz w:val="20"/>
                <w:szCs w:val="20"/>
                <w:spacing w:val="5"/>
              </w:rPr>
              <w:t>蒙古兔</w:t>
            </w:r>
          </w:p>
        </w:tc>
        <w:tc>
          <w:tcPr>
            <w:tcW w:w="4761" w:type="dxa"/>
            <w:vAlign w:val="top"/>
            <w:gridSpan w:val="2"/>
          </w:tcPr>
          <w:p>
            <w:pPr>
              <w:pStyle w:val="TableText"/>
              <w:ind w:left="1624"/>
              <w:spacing w:before="33" w:line="278" w:lineRule="exact"/>
              <w:rPr/>
            </w:pPr>
            <w:r>
              <w:rPr>
                <w:i/>
                <w:iCs/>
                <w:spacing w:val="5"/>
                <w:position w:val="4"/>
              </w:rPr>
              <w:t>Lepus tolei</w:t>
            </w:r>
            <w:r>
              <w:rPr>
                <w:i/>
                <w:iCs/>
                <w:spacing w:val="-10"/>
                <w:position w:val="4"/>
              </w:rPr>
              <w:t xml:space="preserve"> </w:t>
            </w:r>
            <w:r>
              <w:rPr>
                <w:i/>
                <w:iCs/>
                <w:spacing w:val="5"/>
                <w:position w:val="4"/>
              </w:rPr>
              <w:t>pallas</w:t>
            </w:r>
          </w:p>
        </w:tc>
        <w:tc>
          <w:tcPr>
            <w:tcW w:w="1871" w:type="dxa"/>
            <w:vAlign w:val="top"/>
          </w:tcPr>
          <w:p>
            <w:pPr>
              <w:ind w:left="415"/>
              <w:spacing w:before="67"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3" w:hRule="atLeast"/>
        </w:trPr>
        <w:tc>
          <w:tcPr>
            <w:tcW w:w="926" w:type="dxa"/>
            <w:vAlign w:val="top"/>
          </w:tcPr>
          <w:p>
            <w:pPr>
              <w:pStyle w:val="TableText"/>
              <w:ind w:left="359"/>
              <w:spacing w:before="104" w:line="195" w:lineRule="auto"/>
              <w:rPr/>
            </w:pPr>
            <w:r>
              <w:rPr>
                <w:spacing w:val="1"/>
              </w:rPr>
              <w:t>24</w:t>
            </w:r>
          </w:p>
        </w:tc>
        <w:tc>
          <w:tcPr>
            <w:tcW w:w="1729" w:type="dxa"/>
            <w:vAlign w:val="top"/>
          </w:tcPr>
          <w:p>
            <w:pPr>
              <w:ind w:left="449"/>
              <w:spacing w:before="68" w:line="228" w:lineRule="auto"/>
              <w:rPr>
                <w:rFonts w:ascii="SimSun" w:hAnsi="SimSun" w:eastAsia="SimSun" w:cs="SimSun"/>
                <w:sz w:val="20"/>
                <w:szCs w:val="20"/>
              </w:rPr>
            </w:pPr>
            <w:r>
              <w:rPr>
                <w:rFonts w:ascii="SimSun" w:hAnsi="SimSun" w:eastAsia="SimSun" w:cs="SimSun"/>
                <w:sz w:val="20"/>
                <w:szCs w:val="20"/>
                <w:spacing w:val="6"/>
              </w:rPr>
              <w:t>草原鼠兔</w:t>
            </w:r>
          </w:p>
        </w:tc>
        <w:tc>
          <w:tcPr>
            <w:tcW w:w="4761" w:type="dxa"/>
            <w:vAlign w:val="top"/>
            <w:gridSpan w:val="2"/>
          </w:tcPr>
          <w:p>
            <w:pPr>
              <w:pStyle w:val="TableText"/>
              <w:ind w:left="1326"/>
              <w:spacing w:before="34" w:line="277" w:lineRule="exact"/>
              <w:rPr/>
            </w:pPr>
            <w:r>
              <w:rPr>
                <w:i/>
                <w:iCs/>
                <w:spacing w:val="4"/>
                <w:position w:val="2"/>
              </w:rPr>
              <w:t>Ochotona daurica Pa</w:t>
            </w:r>
            <w:r>
              <w:rPr>
                <w:i/>
                <w:iCs/>
                <w:spacing w:val="3"/>
                <w:position w:val="2"/>
              </w:rPr>
              <w:t>llas</w:t>
            </w:r>
          </w:p>
        </w:tc>
        <w:tc>
          <w:tcPr>
            <w:tcW w:w="1871" w:type="dxa"/>
            <w:vAlign w:val="top"/>
          </w:tcPr>
          <w:p>
            <w:pPr>
              <w:ind w:left="415"/>
              <w:spacing w:before="68"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8" w:hRule="atLeast"/>
        </w:trPr>
        <w:tc>
          <w:tcPr>
            <w:tcW w:w="926" w:type="dxa"/>
            <w:vAlign w:val="top"/>
          </w:tcPr>
          <w:p>
            <w:pPr>
              <w:pStyle w:val="TableText"/>
              <w:ind w:left="359"/>
              <w:spacing w:before="106" w:line="195" w:lineRule="auto"/>
              <w:rPr/>
            </w:pPr>
            <w:r>
              <w:rPr>
                <w:spacing w:val="1"/>
              </w:rPr>
              <w:t>25</w:t>
            </w:r>
          </w:p>
        </w:tc>
        <w:tc>
          <w:tcPr>
            <w:tcW w:w="1729" w:type="dxa"/>
            <w:vAlign w:val="top"/>
          </w:tcPr>
          <w:p>
            <w:pPr>
              <w:ind w:left="343"/>
              <w:spacing w:before="68" w:line="228" w:lineRule="auto"/>
              <w:rPr>
                <w:rFonts w:ascii="SimSun" w:hAnsi="SimSun" w:eastAsia="SimSun" w:cs="SimSun"/>
                <w:sz w:val="20"/>
                <w:szCs w:val="20"/>
              </w:rPr>
            </w:pPr>
            <w:r>
              <w:rPr>
                <w:rFonts w:ascii="SimSun" w:hAnsi="SimSun" w:eastAsia="SimSun" w:cs="SimSun"/>
                <w:sz w:val="20"/>
                <w:szCs w:val="20"/>
                <w:spacing w:val="8"/>
              </w:rPr>
              <w:t>达乌尔鼠兔</w:t>
            </w:r>
          </w:p>
        </w:tc>
        <w:tc>
          <w:tcPr>
            <w:tcW w:w="4761" w:type="dxa"/>
            <w:vAlign w:val="top"/>
            <w:gridSpan w:val="2"/>
          </w:tcPr>
          <w:p>
            <w:pPr>
              <w:pStyle w:val="TableText"/>
              <w:ind w:left="1374"/>
              <w:spacing w:before="36" w:line="278" w:lineRule="exact"/>
              <w:rPr/>
            </w:pPr>
            <w:r>
              <w:rPr>
                <w:i/>
                <w:iCs/>
                <w:spacing w:val="3"/>
                <w:position w:val="4"/>
              </w:rPr>
              <w:t>Ocgitiba daurica Pallas</w:t>
            </w:r>
          </w:p>
        </w:tc>
        <w:tc>
          <w:tcPr>
            <w:tcW w:w="1871" w:type="dxa"/>
            <w:vAlign w:val="top"/>
          </w:tcPr>
          <w:p>
            <w:pPr>
              <w:ind w:left="415"/>
              <w:spacing w:before="68" w:line="228" w:lineRule="auto"/>
              <w:rPr>
                <w:rFonts w:ascii="SimSun" w:hAnsi="SimSun" w:eastAsia="SimSun" w:cs="SimSun"/>
                <w:sz w:val="20"/>
                <w:szCs w:val="20"/>
              </w:rPr>
            </w:pPr>
            <w:r>
              <w:rPr>
                <w:rFonts w:ascii="SimSun" w:hAnsi="SimSun" w:eastAsia="SimSun" w:cs="SimSun"/>
                <w:sz w:val="20"/>
                <w:szCs w:val="20"/>
                <w:spacing w:val="7"/>
              </w:rPr>
              <w:t>草地、沙地</w:t>
            </w:r>
          </w:p>
        </w:tc>
      </w:tr>
    </w:tbl>
    <w:p>
      <w:pPr>
        <w:pStyle w:val="BodyText"/>
        <w:spacing w:line="149" w:lineRule="exact"/>
        <w:rPr>
          <w:sz w:val="13"/>
        </w:rPr>
      </w:pPr>
      <w:r/>
    </w:p>
    <w:p>
      <w:pPr>
        <w:spacing w:line="149" w:lineRule="exact"/>
        <w:sectPr>
          <w:headerReference w:type="default" r:id="rId315"/>
          <w:footerReference w:type="default" r:id="rId316"/>
          <w:pgSz w:w="11906" w:h="16838"/>
          <w:pgMar w:top="1170" w:right="1307" w:bottom="1080" w:left="1305" w:header="837" w:footer="918" w:gutter="0"/>
        </w:sectPr>
        <w:rPr>
          <w:sz w:val="13"/>
          <w:szCs w:val="13"/>
        </w:rPr>
      </w:pPr>
    </w:p>
    <w:p>
      <w:pPr>
        <w:spacing w:before="6"/>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26"/>
        <w:gridCol w:w="1729"/>
        <w:gridCol w:w="4761"/>
        <w:gridCol w:w="1871"/>
      </w:tblGrid>
      <w:tr>
        <w:trPr>
          <w:trHeight w:val="349" w:hRule="atLeast"/>
        </w:trPr>
        <w:tc>
          <w:tcPr>
            <w:tcW w:w="9287" w:type="dxa"/>
            <w:vAlign w:val="top"/>
            <w:gridSpan w:val="4"/>
          </w:tcPr>
          <w:p>
            <w:pPr>
              <w:pStyle w:val="TableText"/>
              <w:ind w:left="4081"/>
              <w:spacing w:before="66" w:line="231" w:lineRule="auto"/>
              <w:rPr>
                <w:rFonts w:ascii="SimSun" w:hAnsi="SimSun" w:eastAsia="SimSun" w:cs="SimSun"/>
              </w:rPr>
            </w:pPr>
            <w:r>
              <w:rPr>
                <w:rFonts w:ascii="SimSun" w:hAnsi="SimSun" w:eastAsia="SimSun" w:cs="SimSun"/>
                <w:spacing w:val="5"/>
              </w:rPr>
              <w:t>（</w:t>
            </w:r>
            <w:r>
              <w:rPr>
                <w:spacing w:val="5"/>
              </w:rPr>
              <w:t>2</w:t>
            </w:r>
            <w:r>
              <w:rPr>
                <w:rFonts w:ascii="SimSun" w:hAnsi="SimSun" w:eastAsia="SimSun" w:cs="SimSun"/>
                <w:spacing w:val="5"/>
              </w:rPr>
              <w:t>）啮齿目</w:t>
            </w:r>
          </w:p>
        </w:tc>
      </w:tr>
      <w:tr>
        <w:trPr>
          <w:trHeight w:val="345" w:hRule="atLeast"/>
        </w:trPr>
        <w:tc>
          <w:tcPr>
            <w:tcW w:w="926" w:type="dxa"/>
            <w:vAlign w:val="top"/>
          </w:tcPr>
          <w:p>
            <w:pPr>
              <w:pStyle w:val="TableText"/>
              <w:ind w:left="359"/>
              <w:spacing w:before="99" w:line="195" w:lineRule="auto"/>
              <w:rPr/>
            </w:pPr>
            <w:r>
              <w:rPr>
                <w:spacing w:val="1"/>
              </w:rPr>
              <w:t>26</w:t>
            </w:r>
          </w:p>
        </w:tc>
        <w:tc>
          <w:tcPr>
            <w:tcW w:w="1729" w:type="dxa"/>
            <w:vAlign w:val="top"/>
          </w:tcPr>
          <w:p>
            <w:pPr>
              <w:ind w:left="449"/>
              <w:spacing w:before="63" w:line="228" w:lineRule="auto"/>
              <w:rPr>
                <w:rFonts w:ascii="SimSun" w:hAnsi="SimSun" w:eastAsia="SimSun" w:cs="SimSun"/>
                <w:sz w:val="20"/>
                <w:szCs w:val="20"/>
              </w:rPr>
            </w:pPr>
            <w:r>
              <w:rPr>
                <w:rFonts w:ascii="SimSun" w:hAnsi="SimSun" w:eastAsia="SimSun" w:cs="SimSun"/>
                <w:sz w:val="20"/>
                <w:szCs w:val="20"/>
                <w:spacing w:val="6"/>
              </w:rPr>
              <w:t>草原旱獭</w:t>
            </w:r>
          </w:p>
        </w:tc>
        <w:tc>
          <w:tcPr>
            <w:tcW w:w="4761" w:type="dxa"/>
            <w:vAlign w:val="top"/>
          </w:tcPr>
          <w:p>
            <w:pPr>
              <w:pStyle w:val="TableText"/>
              <w:ind w:left="1338"/>
              <w:spacing w:before="29" w:line="278" w:lineRule="exact"/>
              <w:rPr/>
            </w:pPr>
            <w:r>
              <w:rPr>
                <w:i/>
                <w:iCs/>
                <w:spacing w:val="5"/>
                <w:position w:val="2"/>
              </w:rPr>
              <w:t>Marmota sibirica Rad</w:t>
            </w:r>
            <w:r>
              <w:rPr>
                <w:i/>
                <w:iCs/>
                <w:spacing w:val="4"/>
                <w:position w:val="2"/>
              </w:rPr>
              <w:t>de</w:t>
            </w:r>
          </w:p>
        </w:tc>
        <w:tc>
          <w:tcPr>
            <w:tcW w:w="1871" w:type="dxa"/>
            <w:vAlign w:val="top"/>
          </w:tcPr>
          <w:p>
            <w:pPr>
              <w:rPr>
                <w:rFonts w:ascii="Arial"/>
                <w:sz w:val="21"/>
              </w:rPr>
            </w:pPr>
            <w:r/>
          </w:p>
        </w:tc>
      </w:tr>
      <w:tr>
        <w:trPr>
          <w:trHeight w:val="345" w:hRule="atLeast"/>
        </w:trPr>
        <w:tc>
          <w:tcPr>
            <w:tcW w:w="926" w:type="dxa"/>
            <w:vAlign w:val="top"/>
          </w:tcPr>
          <w:p>
            <w:pPr>
              <w:pStyle w:val="TableText"/>
              <w:ind w:left="359"/>
              <w:spacing w:before="100" w:line="195" w:lineRule="auto"/>
              <w:rPr/>
            </w:pPr>
            <w:r>
              <w:rPr>
                <w:spacing w:val="1"/>
              </w:rPr>
              <w:t>27</w:t>
            </w:r>
          </w:p>
        </w:tc>
        <w:tc>
          <w:tcPr>
            <w:tcW w:w="1729" w:type="dxa"/>
            <w:vAlign w:val="top"/>
          </w:tcPr>
          <w:p>
            <w:pPr>
              <w:ind w:left="449"/>
              <w:spacing w:before="63" w:line="228" w:lineRule="auto"/>
              <w:rPr>
                <w:rFonts w:ascii="SimSun" w:hAnsi="SimSun" w:eastAsia="SimSun" w:cs="SimSun"/>
                <w:sz w:val="20"/>
                <w:szCs w:val="20"/>
              </w:rPr>
            </w:pPr>
            <w:r>
              <w:rPr>
                <w:rFonts w:ascii="SimSun" w:hAnsi="SimSun" w:eastAsia="SimSun" w:cs="SimSun"/>
                <w:sz w:val="20"/>
                <w:szCs w:val="20"/>
                <w:spacing w:val="6"/>
              </w:rPr>
              <w:t>草原黄鼠</w:t>
            </w:r>
          </w:p>
        </w:tc>
        <w:tc>
          <w:tcPr>
            <w:tcW w:w="4761" w:type="dxa"/>
            <w:vAlign w:val="top"/>
          </w:tcPr>
          <w:p>
            <w:pPr>
              <w:pStyle w:val="TableText"/>
              <w:ind w:left="1073"/>
              <w:spacing w:before="29" w:line="278" w:lineRule="exact"/>
              <w:rPr/>
            </w:pPr>
            <w:r>
              <w:rPr>
                <w:i/>
                <w:iCs/>
                <w:spacing w:val="5"/>
                <w:position w:val="4"/>
              </w:rPr>
              <w:t>Spermophilus dauricus</w:t>
            </w:r>
            <w:r>
              <w:rPr>
                <w:i/>
                <w:iCs/>
                <w:spacing w:val="-6"/>
                <w:position w:val="4"/>
              </w:rPr>
              <w:t xml:space="preserve"> </w:t>
            </w:r>
            <w:r>
              <w:rPr>
                <w:i/>
                <w:iCs/>
                <w:spacing w:val="5"/>
                <w:position w:val="4"/>
              </w:rPr>
              <w:t>Br</w:t>
            </w:r>
            <w:r>
              <w:rPr>
                <w:i/>
                <w:iCs/>
                <w:spacing w:val="4"/>
                <w:position w:val="4"/>
              </w:rPr>
              <w:t>ande</w:t>
            </w:r>
          </w:p>
        </w:tc>
        <w:tc>
          <w:tcPr>
            <w:tcW w:w="1871" w:type="dxa"/>
            <w:vAlign w:val="top"/>
          </w:tcPr>
          <w:p>
            <w:pPr>
              <w:ind w:left="415"/>
              <w:spacing w:before="63"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5" w:hRule="atLeast"/>
        </w:trPr>
        <w:tc>
          <w:tcPr>
            <w:tcW w:w="926" w:type="dxa"/>
            <w:vAlign w:val="top"/>
          </w:tcPr>
          <w:p>
            <w:pPr>
              <w:pStyle w:val="TableText"/>
              <w:ind w:left="359"/>
              <w:spacing w:before="100" w:line="195" w:lineRule="auto"/>
              <w:rPr/>
            </w:pPr>
            <w:r>
              <w:rPr>
                <w:spacing w:val="1"/>
              </w:rPr>
              <w:t>28</w:t>
            </w:r>
          </w:p>
        </w:tc>
        <w:tc>
          <w:tcPr>
            <w:tcW w:w="1729" w:type="dxa"/>
            <w:vAlign w:val="top"/>
          </w:tcPr>
          <w:p>
            <w:pPr>
              <w:ind w:left="448"/>
              <w:spacing w:before="65" w:line="228" w:lineRule="auto"/>
              <w:rPr>
                <w:rFonts w:ascii="SimSun" w:hAnsi="SimSun" w:eastAsia="SimSun" w:cs="SimSun"/>
                <w:sz w:val="20"/>
                <w:szCs w:val="20"/>
              </w:rPr>
            </w:pPr>
            <w:r>
              <w:rPr>
                <w:rFonts w:ascii="SimSun" w:hAnsi="SimSun" w:eastAsia="SimSun" w:cs="SimSun"/>
                <w:sz w:val="20"/>
                <w:szCs w:val="20"/>
                <w:spacing w:val="7"/>
              </w:rPr>
              <w:t>子午沙鼠</w:t>
            </w:r>
          </w:p>
        </w:tc>
        <w:tc>
          <w:tcPr>
            <w:tcW w:w="4761" w:type="dxa"/>
            <w:vAlign w:val="top"/>
          </w:tcPr>
          <w:p>
            <w:pPr>
              <w:pStyle w:val="TableText"/>
              <w:ind w:left="1182"/>
              <w:spacing w:before="30" w:line="278" w:lineRule="exact"/>
              <w:rPr/>
            </w:pPr>
            <w:r>
              <w:rPr>
                <w:i/>
                <w:iCs/>
                <w:spacing w:val="5"/>
                <w:position w:val="2"/>
              </w:rPr>
              <w:t>Meriones meridianus</w:t>
            </w:r>
            <w:r>
              <w:rPr>
                <w:i/>
                <w:iCs/>
                <w:spacing w:val="-6"/>
                <w:position w:val="2"/>
              </w:rPr>
              <w:t xml:space="preserve"> </w:t>
            </w:r>
            <w:r>
              <w:rPr>
                <w:i/>
                <w:iCs/>
                <w:spacing w:val="5"/>
                <w:position w:val="2"/>
              </w:rPr>
              <w:t>Pall</w:t>
            </w:r>
            <w:r>
              <w:rPr>
                <w:i/>
                <w:iCs/>
                <w:spacing w:val="4"/>
                <w:position w:val="2"/>
              </w:rPr>
              <w:t>as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2" w:hRule="atLeast"/>
        </w:trPr>
        <w:tc>
          <w:tcPr>
            <w:tcW w:w="926" w:type="dxa"/>
            <w:vAlign w:val="top"/>
          </w:tcPr>
          <w:p>
            <w:pPr>
              <w:pStyle w:val="TableText"/>
              <w:ind w:left="359"/>
              <w:spacing w:before="100" w:line="195" w:lineRule="auto"/>
              <w:rPr/>
            </w:pPr>
            <w:r>
              <w:rPr>
                <w:spacing w:val="2"/>
              </w:rPr>
              <w:t>29</w:t>
            </w:r>
          </w:p>
        </w:tc>
        <w:tc>
          <w:tcPr>
            <w:tcW w:w="1729" w:type="dxa"/>
            <w:vAlign w:val="top"/>
          </w:tcPr>
          <w:p>
            <w:pPr>
              <w:ind w:left="449"/>
              <w:spacing w:before="64" w:line="228" w:lineRule="auto"/>
              <w:rPr>
                <w:rFonts w:ascii="SimSun" w:hAnsi="SimSun" w:eastAsia="SimSun" w:cs="SimSun"/>
                <w:sz w:val="20"/>
                <w:szCs w:val="20"/>
              </w:rPr>
            </w:pPr>
            <w:r>
              <w:rPr>
                <w:rFonts w:ascii="SimSun" w:hAnsi="SimSun" w:eastAsia="SimSun" w:cs="SimSun"/>
                <w:sz w:val="20"/>
                <w:szCs w:val="20"/>
                <w:spacing w:val="6"/>
              </w:rPr>
              <w:t>草原鼢鼠</w:t>
            </w:r>
          </w:p>
        </w:tc>
        <w:tc>
          <w:tcPr>
            <w:tcW w:w="4761" w:type="dxa"/>
            <w:vAlign w:val="top"/>
          </w:tcPr>
          <w:p>
            <w:pPr>
              <w:pStyle w:val="TableText"/>
              <w:ind w:left="1264"/>
              <w:spacing w:before="30" w:line="278" w:lineRule="exact"/>
              <w:rPr/>
            </w:pPr>
            <w:r>
              <w:rPr>
                <w:i/>
                <w:iCs/>
                <w:spacing w:val="4"/>
                <w:position w:val="4"/>
              </w:rPr>
              <w:t>Myospalax aspalax Pallas</w:t>
            </w:r>
          </w:p>
        </w:tc>
        <w:tc>
          <w:tcPr>
            <w:tcW w:w="1871" w:type="dxa"/>
            <w:vAlign w:val="top"/>
          </w:tcPr>
          <w:p>
            <w:pPr>
              <w:ind w:left="415"/>
              <w:spacing w:before="64" w:line="228" w:lineRule="auto"/>
              <w:rPr>
                <w:rFonts w:ascii="SimSun" w:hAnsi="SimSun" w:eastAsia="SimSun" w:cs="SimSun"/>
                <w:sz w:val="20"/>
                <w:szCs w:val="20"/>
              </w:rPr>
            </w:pPr>
            <w:r>
              <w:rPr>
                <w:rFonts w:ascii="SimSun" w:hAnsi="SimSun" w:eastAsia="SimSun" w:cs="SimSun"/>
                <w:sz w:val="20"/>
                <w:szCs w:val="20"/>
                <w:spacing w:val="7"/>
              </w:rPr>
              <w:t>草地、沙地</w:t>
            </w:r>
          </w:p>
        </w:tc>
      </w:tr>
      <w:tr>
        <w:trPr>
          <w:trHeight w:val="345" w:hRule="atLeast"/>
        </w:trPr>
        <w:tc>
          <w:tcPr>
            <w:tcW w:w="926" w:type="dxa"/>
            <w:vAlign w:val="top"/>
          </w:tcPr>
          <w:p>
            <w:pPr>
              <w:pStyle w:val="TableText"/>
              <w:ind w:left="363"/>
              <w:spacing w:before="104" w:line="195" w:lineRule="auto"/>
              <w:rPr/>
            </w:pPr>
            <w:r>
              <w:rPr/>
              <w:t>30</w:t>
            </w:r>
          </w:p>
        </w:tc>
        <w:tc>
          <w:tcPr>
            <w:tcW w:w="1729" w:type="dxa"/>
            <w:vAlign w:val="top"/>
          </w:tcPr>
          <w:p>
            <w:pPr>
              <w:ind w:left="446"/>
              <w:spacing w:before="66" w:line="228" w:lineRule="auto"/>
              <w:rPr>
                <w:rFonts w:ascii="SimSun" w:hAnsi="SimSun" w:eastAsia="SimSun" w:cs="SimSun"/>
                <w:sz w:val="20"/>
                <w:szCs w:val="20"/>
              </w:rPr>
            </w:pPr>
            <w:r>
              <w:rPr>
                <w:rFonts w:ascii="SimSun" w:hAnsi="SimSun" w:eastAsia="SimSun" w:cs="SimSun"/>
                <w:sz w:val="20"/>
                <w:szCs w:val="20"/>
                <w:spacing w:val="7"/>
              </w:rPr>
              <w:t>狭颅田鼠</w:t>
            </w:r>
          </w:p>
        </w:tc>
        <w:tc>
          <w:tcPr>
            <w:tcW w:w="4761" w:type="dxa"/>
            <w:vAlign w:val="top"/>
          </w:tcPr>
          <w:p>
            <w:pPr>
              <w:pStyle w:val="TableText"/>
              <w:ind w:left="1336"/>
              <w:spacing w:before="34" w:line="277" w:lineRule="exact"/>
              <w:rPr/>
            </w:pPr>
            <w:r>
              <w:rPr>
                <w:i/>
                <w:iCs/>
                <w:spacing w:val="4"/>
                <w:position w:val="4"/>
              </w:rPr>
              <w:t>Microtus</w:t>
            </w:r>
            <w:r>
              <w:rPr>
                <w:i/>
                <w:iCs/>
                <w:spacing w:val="-5"/>
                <w:position w:val="4"/>
              </w:rPr>
              <w:t xml:space="preserve"> </w:t>
            </w:r>
            <w:r>
              <w:rPr>
                <w:i/>
                <w:iCs/>
                <w:spacing w:val="4"/>
                <w:position w:val="4"/>
              </w:rPr>
              <w:t>gregalis Pallas</w:t>
            </w:r>
          </w:p>
        </w:tc>
        <w:tc>
          <w:tcPr>
            <w:tcW w:w="1871" w:type="dxa"/>
            <w:vAlign w:val="top"/>
          </w:tcPr>
          <w:p>
            <w:pPr>
              <w:rPr>
                <w:rFonts w:ascii="Arial"/>
                <w:sz w:val="21"/>
              </w:rPr>
            </w:pPr>
            <w:r/>
          </w:p>
        </w:tc>
      </w:tr>
      <w:tr>
        <w:trPr>
          <w:trHeight w:val="345" w:hRule="atLeast"/>
        </w:trPr>
        <w:tc>
          <w:tcPr>
            <w:tcW w:w="9287" w:type="dxa"/>
            <w:vAlign w:val="top"/>
            <w:gridSpan w:val="4"/>
          </w:tcPr>
          <w:p>
            <w:pPr>
              <w:pStyle w:val="TableText"/>
              <w:ind w:left="4081"/>
              <w:spacing w:before="66" w:line="228" w:lineRule="auto"/>
              <w:rPr>
                <w:rFonts w:ascii="SimSun" w:hAnsi="SimSun" w:eastAsia="SimSun" w:cs="SimSun"/>
              </w:rPr>
            </w:pPr>
            <w:r>
              <w:rPr>
                <w:rFonts w:ascii="SimSun" w:hAnsi="SimSun" w:eastAsia="SimSun" w:cs="SimSun"/>
                <w:spacing w:val="5"/>
              </w:rPr>
              <w:t>（</w:t>
            </w:r>
            <w:r>
              <w:rPr>
                <w:spacing w:val="5"/>
              </w:rPr>
              <w:t>3</w:t>
            </w:r>
            <w:r>
              <w:rPr>
                <w:rFonts w:ascii="SimSun" w:hAnsi="SimSun" w:eastAsia="SimSun" w:cs="SimSun"/>
                <w:spacing w:val="5"/>
              </w:rPr>
              <w:t>）食肉目</w:t>
            </w:r>
          </w:p>
        </w:tc>
      </w:tr>
      <w:tr>
        <w:trPr>
          <w:trHeight w:val="349" w:hRule="atLeast"/>
        </w:trPr>
        <w:tc>
          <w:tcPr>
            <w:tcW w:w="926" w:type="dxa"/>
            <w:vAlign w:val="top"/>
          </w:tcPr>
          <w:p>
            <w:pPr>
              <w:pStyle w:val="TableText"/>
              <w:ind w:left="363"/>
              <w:spacing w:before="102" w:line="195" w:lineRule="auto"/>
              <w:rPr/>
            </w:pPr>
            <w:r>
              <w:rPr>
                <w:spacing w:val="-1"/>
              </w:rPr>
              <w:t>31</w:t>
            </w:r>
          </w:p>
        </w:tc>
        <w:tc>
          <w:tcPr>
            <w:tcW w:w="1729" w:type="dxa"/>
            <w:vAlign w:val="top"/>
          </w:tcPr>
          <w:p>
            <w:pPr>
              <w:ind w:left="765"/>
              <w:spacing w:before="66" w:line="229" w:lineRule="auto"/>
              <w:rPr>
                <w:rFonts w:ascii="SimSun" w:hAnsi="SimSun" w:eastAsia="SimSun" w:cs="SimSun"/>
                <w:sz w:val="20"/>
                <w:szCs w:val="20"/>
              </w:rPr>
            </w:pPr>
            <w:r>
              <w:rPr>
                <w:rFonts w:ascii="SimSun" w:hAnsi="SimSun" w:eastAsia="SimSun" w:cs="SimSun"/>
                <w:sz w:val="20"/>
                <w:szCs w:val="20"/>
              </w:rPr>
              <w:t>狐</w:t>
            </w:r>
          </w:p>
        </w:tc>
        <w:tc>
          <w:tcPr>
            <w:tcW w:w="4761" w:type="dxa"/>
            <w:vAlign w:val="top"/>
          </w:tcPr>
          <w:p>
            <w:pPr>
              <w:pStyle w:val="TableText"/>
              <w:ind w:left="1422"/>
              <w:spacing w:before="32" w:line="278" w:lineRule="exact"/>
              <w:rPr/>
            </w:pPr>
            <w:r>
              <w:rPr>
                <w:i/>
                <w:iCs/>
                <w:spacing w:val="2"/>
                <w:position w:val="4"/>
              </w:rPr>
              <w:t>Vulpes vulpes Linnaeus</w:t>
            </w:r>
          </w:p>
        </w:tc>
        <w:tc>
          <w:tcPr>
            <w:tcW w:w="1871" w:type="dxa"/>
            <w:vAlign w:val="top"/>
          </w:tcPr>
          <w:p>
            <w:pPr>
              <w:ind w:left="415"/>
              <w:spacing w:before="66" w:line="228" w:lineRule="auto"/>
              <w:rPr>
                <w:rFonts w:ascii="SimSun" w:hAnsi="SimSun" w:eastAsia="SimSun" w:cs="SimSun"/>
                <w:sz w:val="20"/>
                <w:szCs w:val="20"/>
              </w:rPr>
            </w:pPr>
            <w:r>
              <w:rPr>
                <w:rFonts w:ascii="SimSun" w:hAnsi="SimSun" w:eastAsia="SimSun" w:cs="SimSun"/>
                <w:sz w:val="20"/>
                <w:szCs w:val="20"/>
                <w:spacing w:val="7"/>
              </w:rPr>
              <w:t>草地、沙地</w:t>
            </w:r>
          </w:p>
        </w:tc>
      </w:tr>
    </w:tbl>
    <w:p>
      <w:pPr>
        <w:pStyle w:val="BodyText"/>
        <w:spacing w:line="370" w:lineRule="auto"/>
        <w:rPr/>
      </w:pPr>
      <w:r/>
    </w:p>
    <w:p>
      <w:pPr>
        <w:ind w:left="596"/>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4.2.1.8 </w:t>
      </w:r>
      <w:r>
        <w:rPr>
          <w:rFonts w:ascii="SimHei" w:hAnsi="SimHei" w:eastAsia="SimHei" w:cs="SimHei"/>
          <w:sz w:val="24"/>
          <w:szCs w:val="24"/>
          <w:b/>
          <w:bCs/>
          <w:spacing w:val="-2"/>
        </w:rPr>
        <w:t>土壤侵蚀现状调查</w:t>
      </w:r>
    </w:p>
    <w:p>
      <w:pPr>
        <w:ind w:left="123" w:right="110" w:firstLine="481"/>
        <w:spacing w:before="162" w:line="338" w:lineRule="auto"/>
        <w:jc w:val="both"/>
        <w:rPr>
          <w:rFonts w:ascii="SimSun" w:hAnsi="SimSun" w:eastAsia="SimSun" w:cs="SimSun"/>
          <w:sz w:val="24"/>
          <w:szCs w:val="24"/>
        </w:rPr>
      </w:pPr>
      <w:r>
        <w:rPr>
          <w:rFonts w:ascii="SimSun" w:hAnsi="SimSun" w:eastAsia="SimSun" w:cs="SimSun"/>
          <w:sz w:val="24"/>
          <w:szCs w:val="24"/>
          <w:spacing w:val="-2"/>
        </w:rPr>
        <w:t>露天矿地处内蒙古锡林郭勒草原区，地势较平坦，所属土壤侵蚀类型区为内蒙古高</w:t>
      </w:r>
      <w:r>
        <w:rPr>
          <w:rFonts w:ascii="SimSun" w:hAnsi="SimSun" w:eastAsia="SimSun" w:cs="SimSun"/>
          <w:sz w:val="24"/>
          <w:szCs w:val="24"/>
          <w:spacing w:val="-2"/>
        </w:rPr>
        <w:t>原草原风蚀水蚀区，项目区土壤侵蚀特点是风蚀为主，水蚀微弱。评价区土壤侵蚀情况</w:t>
      </w:r>
      <w:r>
        <w:rPr>
          <w:rFonts w:ascii="SimSun" w:hAnsi="SimSun" w:eastAsia="SimSun" w:cs="SimSun"/>
          <w:sz w:val="24"/>
          <w:szCs w:val="24"/>
          <w:spacing w:val="-2"/>
        </w:rPr>
        <w:t>见表 </w:t>
      </w:r>
      <w:r>
        <w:rPr>
          <w:rFonts w:ascii="Times New Roman" w:hAnsi="Times New Roman" w:eastAsia="Times New Roman" w:cs="Times New Roman"/>
          <w:sz w:val="24"/>
          <w:szCs w:val="24"/>
          <w:spacing w:val="-2"/>
        </w:rPr>
        <w:t>4-2-23</w:t>
      </w:r>
      <w:r>
        <w:rPr>
          <w:rFonts w:ascii="SimSun" w:hAnsi="SimSun" w:eastAsia="SimSun" w:cs="SimSun"/>
          <w:sz w:val="24"/>
          <w:szCs w:val="24"/>
          <w:spacing w:val="-2"/>
        </w:rPr>
        <w:t>。</w:t>
      </w:r>
    </w:p>
    <w:p>
      <w:pPr>
        <w:ind w:left="121" w:right="110" w:firstLine="481"/>
        <w:spacing w:before="2" w:line="339" w:lineRule="auto"/>
        <w:jc w:val="both"/>
        <w:rPr>
          <w:rFonts w:ascii="SimSun" w:hAnsi="SimSun" w:eastAsia="SimSun" w:cs="SimSun"/>
          <w:sz w:val="24"/>
          <w:szCs w:val="24"/>
        </w:rPr>
      </w:pPr>
      <w:r>
        <w:rPr>
          <w:rFonts w:ascii="SimSun" w:hAnsi="SimSun" w:eastAsia="SimSun" w:cs="SimSun"/>
          <w:sz w:val="24"/>
          <w:szCs w:val="24"/>
          <w:spacing w:val="-2"/>
        </w:rPr>
        <w:t>项目评价区主要以微度侵蚀为主，面积为</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24.86km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w:t>
      </w:r>
      <w:r>
        <w:rPr>
          <w:rFonts w:ascii="SimSun" w:hAnsi="SimSun" w:eastAsia="SimSun" w:cs="SimSun"/>
          <w:sz w:val="24"/>
          <w:szCs w:val="24"/>
          <w:spacing w:val="-69"/>
        </w:rPr>
        <w:t xml:space="preserve"> </w:t>
      </w:r>
      <w:r>
        <w:rPr>
          <w:rFonts w:ascii="SimSun" w:hAnsi="SimSun" w:eastAsia="SimSun" w:cs="SimSun"/>
          <w:sz w:val="24"/>
          <w:szCs w:val="24"/>
          <w:spacing w:val="-2"/>
        </w:rPr>
        <w:t>占总面积的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46.55%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。矿区内</w:t>
      </w:r>
      <w:r>
        <w:rPr>
          <w:rFonts w:ascii="SimSun" w:hAnsi="SimSun" w:eastAsia="SimSun" w:cs="SimSun"/>
          <w:sz w:val="24"/>
          <w:szCs w:val="24"/>
          <w:spacing w:val="-2"/>
        </w:rPr>
        <w:t>由于有露天区开采，采掘场剥离岩土层，对原地貌剧烈破坏，使该区域土壤侵蚀强度明</w:t>
      </w:r>
      <w:r>
        <w:rPr>
          <w:rFonts w:ascii="SimSun" w:hAnsi="SimSun" w:eastAsia="SimSun" w:cs="SimSun"/>
          <w:sz w:val="24"/>
          <w:szCs w:val="24"/>
          <w:spacing w:val="-2"/>
        </w:rPr>
        <w:t>显增强，因此土壤侵蚀强度达到强度侵蚀。微度和轻度侵蚀区域主要为广泛分布在草甸</w:t>
      </w:r>
      <w:r>
        <w:rPr>
          <w:rFonts w:ascii="SimSun" w:hAnsi="SimSun" w:eastAsia="SimSun" w:cs="SimSun"/>
          <w:sz w:val="24"/>
          <w:szCs w:val="24"/>
          <w:spacing w:val="-2"/>
        </w:rPr>
        <w:t>草原和复垦后的人工牧草地上，而中度侵蚀区域为水域湿地，强烈侵蚀区域主要为采矿</w:t>
      </w:r>
      <w:r>
        <w:rPr>
          <w:rFonts w:ascii="SimSun" w:hAnsi="SimSun" w:eastAsia="SimSun" w:cs="SimSun"/>
          <w:sz w:val="24"/>
          <w:szCs w:val="24"/>
          <w:spacing w:val="-2"/>
        </w:rPr>
        <w:t>用地及沙地。</w:t>
      </w:r>
    </w:p>
    <w:p>
      <w:pPr>
        <w:ind w:left="3694"/>
        <w:spacing w:before="122" w:line="221" w:lineRule="auto"/>
        <w:rPr>
          <w:rFonts w:ascii="SimHei" w:hAnsi="SimHei" w:eastAsia="SimHei" w:cs="SimHei"/>
          <w:sz w:val="24"/>
          <w:szCs w:val="24"/>
        </w:rPr>
      </w:pPr>
      <w:r>
        <w:rPr>
          <w:rFonts w:ascii="SimHei" w:hAnsi="SimHei" w:eastAsia="SimHei" w:cs="SimHei"/>
          <w:sz w:val="24"/>
          <w:szCs w:val="24"/>
          <w:spacing w:val="-1"/>
        </w:rPr>
        <w:t>评价区内土壤侵蚀等级</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4-2-23</w:t>
      </w:r>
    </w:p>
    <w:tbl>
      <w:tblPr>
        <w:tblStyle w:val="TableNormal"/>
        <w:tblW w:w="9285"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91"/>
        <w:gridCol w:w="1880"/>
        <w:gridCol w:w="1873"/>
        <w:gridCol w:w="1881"/>
        <w:gridCol w:w="1660"/>
      </w:tblGrid>
      <w:tr>
        <w:trPr>
          <w:trHeight w:val="328" w:hRule="atLeast"/>
        </w:trPr>
        <w:tc>
          <w:tcPr>
            <w:tcW w:w="1991" w:type="dxa"/>
            <w:vAlign w:val="top"/>
            <w:vMerge w:val="restart"/>
            <w:tcBorders>
              <w:bottom w:val="nil"/>
            </w:tcBorders>
          </w:tcPr>
          <w:p>
            <w:pPr>
              <w:ind w:left="580"/>
              <w:spacing w:before="220" w:line="228" w:lineRule="auto"/>
              <w:rPr>
                <w:rFonts w:ascii="SimSun" w:hAnsi="SimSun" w:eastAsia="SimSun" w:cs="SimSun"/>
                <w:sz w:val="20"/>
                <w:szCs w:val="20"/>
              </w:rPr>
            </w:pPr>
            <w:r>
              <w:rPr>
                <w:rFonts w:ascii="SimSun" w:hAnsi="SimSun" w:eastAsia="SimSun" w:cs="SimSun"/>
                <w:sz w:val="20"/>
                <w:szCs w:val="20"/>
                <w:spacing w:val="6"/>
              </w:rPr>
              <w:t>侵蚀等级</w:t>
            </w:r>
          </w:p>
        </w:tc>
        <w:tc>
          <w:tcPr>
            <w:tcW w:w="3753" w:type="dxa"/>
            <w:vAlign w:val="top"/>
            <w:gridSpan w:val="2"/>
          </w:tcPr>
          <w:p>
            <w:pPr>
              <w:ind w:left="1563"/>
              <w:spacing w:before="55" w:line="226" w:lineRule="auto"/>
              <w:rPr>
                <w:rFonts w:ascii="SimSun" w:hAnsi="SimSun" w:eastAsia="SimSun" w:cs="SimSun"/>
                <w:sz w:val="20"/>
                <w:szCs w:val="20"/>
              </w:rPr>
            </w:pPr>
            <w:r>
              <w:rPr>
                <w:rFonts w:ascii="SimSun" w:hAnsi="SimSun" w:eastAsia="SimSun" w:cs="SimSun"/>
                <w:sz w:val="20"/>
                <w:szCs w:val="20"/>
                <w:spacing w:val="7"/>
              </w:rPr>
              <w:t>评价区</w:t>
            </w:r>
          </w:p>
        </w:tc>
        <w:tc>
          <w:tcPr>
            <w:tcW w:w="3541" w:type="dxa"/>
            <w:vAlign w:val="top"/>
            <w:gridSpan w:val="2"/>
          </w:tcPr>
          <w:p>
            <w:pPr>
              <w:ind w:left="1566"/>
              <w:spacing w:before="55" w:line="228" w:lineRule="auto"/>
              <w:rPr>
                <w:rFonts w:ascii="SimSun" w:hAnsi="SimSun" w:eastAsia="SimSun" w:cs="SimSun"/>
                <w:sz w:val="20"/>
                <w:szCs w:val="20"/>
              </w:rPr>
            </w:pPr>
            <w:r>
              <w:rPr>
                <w:rFonts w:ascii="SimSun" w:hAnsi="SimSun" w:eastAsia="SimSun" w:cs="SimSun"/>
                <w:sz w:val="20"/>
                <w:szCs w:val="20"/>
                <w:spacing w:val="5"/>
              </w:rPr>
              <w:t>矿区</w:t>
            </w:r>
          </w:p>
        </w:tc>
      </w:tr>
      <w:tr>
        <w:trPr>
          <w:trHeight w:val="325" w:hRule="atLeast"/>
        </w:trPr>
        <w:tc>
          <w:tcPr>
            <w:tcW w:w="1991" w:type="dxa"/>
            <w:vAlign w:val="top"/>
            <w:vMerge w:val="continue"/>
            <w:tcBorders>
              <w:top w:val="nil"/>
            </w:tcBorders>
          </w:tcPr>
          <w:p>
            <w:pPr>
              <w:rPr>
                <w:rFonts w:ascii="Arial"/>
                <w:sz w:val="21"/>
              </w:rPr>
            </w:pPr>
            <w:r/>
          </w:p>
        </w:tc>
        <w:tc>
          <w:tcPr>
            <w:tcW w:w="1880" w:type="dxa"/>
            <w:vAlign w:val="top"/>
          </w:tcPr>
          <w:p>
            <w:pPr>
              <w:pStyle w:val="TableText"/>
              <w:ind w:left="357"/>
              <w:spacing w:before="54" w:line="228" w:lineRule="auto"/>
              <w:rPr>
                <w:rFonts w:ascii="SimSun" w:hAnsi="SimSun" w:eastAsia="SimSun" w:cs="SimSun"/>
              </w:rPr>
            </w:pPr>
            <w:r>
              <w:rPr>
                <w:rFonts w:ascii="SimSun" w:hAnsi="SimSun" w:eastAsia="SimSun" w:cs="SimSun"/>
                <w:spacing w:val="6"/>
              </w:rPr>
              <w:t>面积（</w:t>
            </w:r>
            <w:r>
              <w:rPr/>
              <w:t>km</w:t>
            </w:r>
            <w:r>
              <w:rPr>
                <w:sz w:val="13"/>
                <w:szCs w:val="13"/>
                <w:spacing w:val="6"/>
                <w:position w:val="6"/>
              </w:rPr>
              <w:t>2</w:t>
            </w:r>
            <w:r>
              <w:rPr>
                <w:rFonts w:ascii="SimSun" w:hAnsi="SimSun" w:eastAsia="SimSun" w:cs="SimSun"/>
                <w:spacing w:val="6"/>
              </w:rPr>
              <w:t>）</w:t>
            </w:r>
          </w:p>
        </w:tc>
        <w:tc>
          <w:tcPr>
            <w:tcW w:w="1873" w:type="dxa"/>
            <w:vAlign w:val="top"/>
          </w:tcPr>
          <w:p>
            <w:pPr>
              <w:ind w:left="634"/>
              <w:spacing w:before="54" w:line="228" w:lineRule="auto"/>
              <w:rPr>
                <w:rFonts w:ascii="SimSun" w:hAnsi="SimSun" w:eastAsia="SimSun" w:cs="SimSun"/>
                <w:sz w:val="20"/>
                <w:szCs w:val="20"/>
              </w:rPr>
            </w:pPr>
            <w:r>
              <w:rPr>
                <w:rFonts w:ascii="SimSun" w:hAnsi="SimSun" w:eastAsia="SimSun" w:cs="SimSun"/>
                <w:sz w:val="20"/>
                <w:szCs w:val="20"/>
                <w:spacing w:val="4"/>
              </w:rPr>
              <w:t>百分比</w:t>
            </w:r>
          </w:p>
        </w:tc>
        <w:tc>
          <w:tcPr>
            <w:tcW w:w="1881" w:type="dxa"/>
            <w:vAlign w:val="top"/>
          </w:tcPr>
          <w:p>
            <w:pPr>
              <w:pStyle w:val="TableText"/>
              <w:ind w:left="360"/>
              <w:spacing w:before="54" w:line="228" w:lineRule="auto"/>
              <w:rPr>
                <w:rFonts w:ascii="SimSun" w:hAnsi="SimSun" w:eastAsia="SimSun" w:cs="SimSun"/>
              </w:rPr>
            </w:pPr>
            <w:r>
              <w:rPr>
                <w:rFonts w:ascii="SimSun" w:hAnsi="SimSun" w:eastAsia="SimSun" w:cs="SimSun"/>
                <w:spacing w:val="6"/>
              </w:rPr>
              <w:t>面积（</w:t>
            </w:r>
            <w:r>
              <w:rPr/>
              <w:t>km</w:t>
            </w:r>
            <w:r>
              <w:rPr>
                <w:sz w:val="13"/>
                <w:szCs w:val="13"/>
                <w:spacing w:val="6"/>
                <w:position w:val="6"/>
              </w:rPr>
              <w:t>2</w:t>
            </w:r>
            <w:r>
              <w:rPr>
                <w:rFonts w:ascii="SimSun" w:hAnsi="SimSun" w:eastAsia="SimSun" w:cs="SimSun"/>
                <w:spacing w:val="6"/>
              </w:rPr>
              <w:t>）</w:t>
            </w:r>
          </w:p>
        </w:tc>
        <w:tc>
          <w:tcPr>
            <w:tcW w:w="1660" w:type="dxa"/>
            <w:vAlign w:val="top"/>
          </w:tcPr>
          <w:p>
            <w:pPr>
              <w:ind w:left="528"/>
              <w:spacing w:before="54" w:line="228" w:lineRule="auto"/>
              <w:rPr>
                <w:rFonts w:ascii="SimSun" w:hAnsi="SimSun" w:eastAsia="SimSun" w:cs="SimSun"/>
                <w:sz w:val="20"/>
                <w:szCs w:val="20"/>
              </w:rPr>
            </w:pPr>
            <w:r>
              <w:rPr>
                <w:rFonts w:ascii="SimSun" w:hAnsi="SimSun" w:eastAsia="SimSun" w:cs="SimSun"/>
                <w:sz w:val="20"/>
                <w:szCs w:val="20"/>
                <w:spacing w:val="4"/>
              </w:rPr>
              <w:t>百分比</w:t>
            </w:r>
          </w:p>
        </w:tc>
      </w:tr>
      <w:tr>
        <w:trPr>
          <w:trHeight w:val="325" w:hRule="atLeast"/>
        </w:trPr>
        <w:tc>
          <w:tcPr>
            <w:tcW w:w="1991" w:type="dxa"/>
            <w:vAlign w:val="top"/>
          </w:tcPr>
          <w:p>
            <w:pPr>
              <w:ind w:left="579"/>
              <w:spacing w:before="54" w:line="228" w:lineRule="auto"/>
              <w:rPr>
                <w:rFonts w:ascii="SimSun" w:hAnsi="SimSun" w:eastAsia="SimSun" w:cs="SimSun"/>
                <w:sz w:val="20"/>
                <w:szCs w:val="20"/>
              </w:rPr>
            </w:pPr>
            <w:r>
              <w:rPr>
                <w:rFonts w:ascii="SimSun" w:hAnsi="SimSun" w:eastAsia="SimSun" w:cs="SimSun"/>
                <w:sz w:val="20"/>
                <w:szCs w:val="20"/>
                <w:spacing w:val="7"/>
              </w:rPr>
              <w:t>微度侵蚀</w:t>
            </w:r>
          </w:p>
        </w:tc>
        <w:tc>
          <w:tcPr>
            <w:tcW w:w="1880" w:type="dxa"/>
            <w:vAlign w:val="top"/>
          </w:tcPr>
          <w:p>
            <w:pPr>
              <w:pStyle w:val="TableText"/>
              <w:ind w:left="703"/>
              <w:spacing w:before="90" w:line="195" w:lineRule="auto"/>
              <w:rPr/>
            </w:pPr>
            <w:r>
              <w:rPr>
                <w:spacing w:val="3"/>
              </w:rPr>
              <w:t>24.86</w:t>
            </w:r>
          </w:p>
        </w:tc>
        <w:tc>
          <w:tcPr>
            <w:tcW w:w="1873" w:type="dxa"/>
            <w:vAlign w:val="top"/>
          </w:tcPr>
          <w:p>
            <w:pPr>
              <w:pStyle w:val="TableText"/>
              <w:ind w:left="612"/>
              <w:spacing w:before="90" w:line="195" w:lineRule="auto"/>
              <w:rPr/>
            </w:pPr>
            <w:r>
              <w:rPr>
                <w:spacing w:val="4"/>
              </w:rPr>
              <w:t>46.55%</w:t>
            </w:r>
          </w:p>
        </w:tc>
        <w:tc>
          <w:tcPr>
            <w:tcW w:w="1881" w:type="dxa"/>
            <w:vAlign w:val="top"/>
          </w:tcPr>
          <w:p>
            <w:pPr>
              <w:pStyle w:val="TableText"/>
              <w:ind w:left="759"/>
              <w:spacing w:before="90" w:line="195" w:lineRule="auto"/>
              <w:rPr/>
            </w:pPr>
            <w:r>
              <w:rPr>
                <w:spacing w:val="3"/>
              </w:rPr>
              <w:t>2.18</w:t>
            </w:r>
          </w:p>
        </w:tc>
        <w:tc>
          <w:tcPr>
            <w:tcW w:w="1660" w:type="dxa"/>
            <w:vAlign w:val="top"/>
          </w:tcPr>
          <w:p>
            <w:pPr>
              <w:pStyle w:val="TableText"/>
              <w:ind w:left="530"/>
              <w:spacing w:before="90" w:line="195" w:lineRule="auto"/>
              <w:rPr/>
            </w:pPr>
            <w:r>
              <w:rPr/>
              <w:t>17.62%</w:t>
            </w:r>
          </w:p>
        </w:tc>
      </w:tr>
      <w:tr>
        <w:trPr>
          <w:trHeight w:val="325" w:hRule="atLeast"/>
        </w:trPr>
        <w:tc>
          <w:tcPr>
            <w:tcW w:w="1991" w:type="dxa"/>
            <w:vAlign w:val="top"/>
          </w:tcPr>
          <w:p>
            <w:pPr>
              <w:ind w:left="579"/>
              <w:spacing w:before="55" w:line="228" w:lineRule="auto"/>
              <w:rPr>
                <w:rFonts w:ascii="SimSun" w:hAnsi="SimSun" w:eastAsia="SimSun" w:cs="SimSun"/>
                <w:sz w:val="20"/>
                <w:szCs w:val="20"/>
              </w:rPr>
            </w:pPr>
            <w:r>
              <w:rPr>
                <w:rFonts w:ascii="SimSun" w:hAnsi="SimSun" w:eastAsia="SimSun" w:cs="SimSun"/>
                <w:sz w:val="20"/>
                <w:szCs w:val="20"/>
                <w:spacing w:val="7"/>
              </w:rPr>
              <w:t>轻度侵蚀</w:t>
            </w:r>
          </w:p>
        </w:tc>
        <w:tc>
          <w:tcPr>
            <w:tcW w:w="1880" w:type="dxa"/>
            <w:vAlign w:val="top"/>
          </w:tcPr>
          <w:p>
            <w:pPr>
              <w:pStyle w:val="TableText"/>
              <w:ind w:left="723"/>
              <w:spacing w:before="91" w:line="195" w:lineRule="auto"/>
              <w:rPr/>
            </w:pPr>
            <w:r>
              <w:rPr>
                <w:spacing w:val="-1"/>
              </w:rPr>
              <w:t>17.21</w:t>
            </w:r>
          </w:p>
        </w:tc>
        <w:tc>
          <w:tcPr>
            <w:tcW w:w="1873" w:type="dxa"/>
            <w:vAlign w:val="top"/>
          </w:tcPr>
          <w:p>
            <w:pPr>
              <w:pStyle w:val="TableText"/>
              <w:ind w:left="618"/>
              <w:spacing w:before="91" w:line="195" w:lineRule="auto"/>
              <w:rPr/>
            </w:pPr>
            <w:r>
              <w:rPr>
                <w:spacing w:val="3"/>
              </w:rPr>
              <w:t>32.23%</w:t>
            </w:r>
          </w:p>
        </w:tc>
        <w:tc>
          <w:tcPr>
            <w:tcW w:w="1881" w:type="dxa"/>
            <w:vAlign w:val="top"/>
          </w:tcPr>
          <w:p>
            <w:pPr>
              <w:pStyle w:val="TableText"/>
              <w:ind w:left="763"/>
              <w:spacing w:before="91" w:line="195" w:lineRule="auto"/>
              <w:rPr/>
            </w:pPr>
            <w:r>
              <w:rPr>
                <w:spacing w:val="2"/>
              </w:rPr>
              <w:t>3.75</w:t>
            </w:r>
          </w:p>
        </w:tc>
        <w:tc>
          <w:tcPr>
            <w:tcW w:w="1660" w:type="dxa"/>
            <w:vAlign w:val="top"/>
          </w:tcPr>
          <w:p>
            <w:pPr>
              <w:pStyle w:val="TableText"/>
              <w:ind w:left="514"/>
              <w:spacing w:before="91" w:line="195" w:lineRule="auto"/>
              <w:rPr/>
            </w:pPr>
            <w:r>
              <w:rPr>
                <w:spacing w:val="3"/>
              </w:rPr>
              <w:t>30.33%</w:t>
            </w:r>
          </w:p>
        </w:tc>
      </w:tr>
      <w:tr>
        <w:trPr>
          <w:trHeight w:val="325" w:hRule="atLeast"/>
        </w:trPr>
        <w:tc>
          <w:tcPr>
            <w:tcW w:w="1991" w:type="dxa"/>
            <w:vAlign w:val="top"/>
          </w:tcPr>
          <w:p>
            <w:pPr>
              <w:ind w:left="598"/>
              <w:spacing w:before="57" w:line="228" w:lineRule="auto"/>
              <w:rPr>
                <w:rFonts w:ascii="SimSun" w:hAnsi="SimSun" w:eastAsia="SimSun" w:cs="SimSun"/>
                <w:sz w:val="20"/>
                <w:szCs w:val="20"/>
              </w:rPr>
            </w:pPr>
            <w:r>
              <w:rPr>
                <w:rFonts w:ascii="SimSun" w:hAnsi="SimSun" w:eastAsia="SimSun" w:cs="SimSun"/>
                <w:sz w:val="20"/>
                <w:szCs w:val="20"/>
                <w:spacing w:val="2"/>
              </w:rPr>
              <w:t>中度侵蚀</w:t>
            </w:r>
          </w:p>
        </w:tc>
        <w:tc>
          <w:tcPr>
            <w:tcW w:w="1880" w:type="dxa"/>
            <w:vAlign w:val="top"/>
          </w:tcPr>
          <w:p>
            <w:pPr>
              <w:pStyle w:val="TableText"/>
              <w:ind w:left="776"/>
              <w:spacing w:before="93" w:line="195" w:lineRule="auto"/>
              <w:rPr/>
            </w:pPr>
            <w:r>
              <w:rPr>
                <w:spacing w:val="-2"/>
              </w:rPr>
              <w:t>1.95</w:t>
            </w:r>
          </w:p>
        </w:tc>
        <w:tc>
          <w:tcPr>
            <w:tcW w:w="1873" w:type="dxa"/>
            <w:vAlign w:val="top"/>
          </w:tcPr>
          <w:p>
            <w:pPr>
              <w:pStyle w:val="TableText"/>
              <w:ind w:left="668"/>
              <w:spacing w:before="93" w:line="195" w:lineRule="auto"/>
              <w:rPr/>
            </w:pPr>
            <w:r>
              <w:rPr>
                <w:spacing w:val="4"/>
              </w:rPr>
              <w:t>3.65%</w:t>
            </w:r>
          </w:p>
        </w:tc>
        <w:tc>
          <w:tcPr>
            <w:tcW w:w="1881" w:type="dxa"/>
            <w:vAlign w:val="top"/>
          </w:tcPr>
          <w:p>
            <w:pPr>
              <w:pStyle w:val="TableText"/>
              <w:ind w:left="762"/>
              <w:spacing w:before="93" w:line="195" w:lineRule="auto"/>
              <w:rPr/>
            </w:pPr>
            <w:r>
              <w:rPr>
                <w:spacing w:val="2"/>
              </w:rPr>
              <w:t>0.74</w:t>
            </w:r>
          </w:p>
        </w:tc>
        <w:tc>
          <w:tcPr>
            <w:tcW w:w="1660" w:type="dxa"/>
            <w:vAlign w:val="top"/>
          </w:tcPr>
          <w:p>
            <w:pPr>
              <w:pStyle w:val="TableText"/>
              <w:ind w:left="562"/>
              <w:spacing w:before="93" w:line="195" w:lineRule="auto"/>
              <w:rPr/>
            </w:pPr>
            <w:r>
              <w:rPr>
                <w:spacing w:val="4"/>
              </w:rPr>
              <w:t>6.00%</w:t>
            </w:r>
          </w:p>
        </w:tc>
      </w:tr>
      <w:tr>
        <w:trPr>
          <w:trHeight w:val="326" w:hRule="atLeast"/>
        </w:trPr>
        <w:tc>
          <w:tcPr>
            <w:tcW w:w="1991" w:type="dxa"/>
            <w:vAlign w:val="top"/>
          </w:tcPr>
          <w:p>
            <w:pPr>
              <w:ind w:left="584"/>
              <w:spacing w:before="58" w:line="228" w:lineRule="auto"/>
              <w:rPr>
                <w:rFonts w:ascii="SimSun" w:hAnsi="SimSun" w:eastAsia="SimSun" w:cs="SimSun"/>
                <w:sz w:val="20"/>
                <w:szCs w:val="20"/>
              </w:rPr>
            </w:pPr>
            <w:r>
              <w:rPr>
                <w:rFonts w:ascii="SimSun" w:hAnsi="SimSun" w:eastAsia="SimSun" w:cs="SimSun"/>
                <w:sz w:val="20"/>
                <w:szCs w:val="20"/>
                <w:spacing w:val="6"/>
              </w:rPr>
              <w:t>强度侵蚀</w:t>
            </w:r>
          </w:p>
        </w:tc>
        <w:tc>
          <w:tcPr>
            <w:tcW w:w="1880" w:type="dxa"/>
            <w:vAlign w:val="top"/>
          </w:tcPr>
          <w:p>
            <w:pPr>
              <w:pStyle w:val="TableText"/>
              <w:ind w:left="760"/>
              <w:spacing w:before="94" w:line="195" w:lineRule="auto"/>
              <w:rPr/>
            </w:pPr>
            <w:r>
              <w:rPr>
                <w:spacing w:val="2"/>
              </w:rPr>
              <w:t>9.37</w:t>
            </w:r>
          </w:p>
        </w:tc>
        <w:tc>
          <w:tcPr>
            <w:tcW w:w="1873" w:type="dxa"/>
            <w:vAlign w:val="top"/>
          </w:tcPr>
          <w:p>
            <w:pPr>
              <w:pStyle w:val="TableText"/>
              <w:ind w:left="634"/>
              <w:spacing w:before="94" w:line="195" w:lineRule="auto"/>
              <w:rPr/>
            </w:pPr>
            <w:r>
              <w:rPr/>
              <w:t>17.54%</w:t>
            </w:r>
          </w:p>
        </w:tc>
        <w:tc>
          <w:tcPr>
            <w:tcW w:w="1881" w:type="dxa"/>
            <w:vAlign w:val="top"/>
          </w:tcPr>
          <w:p>
            <w:pPr>
              <w:pStyle w:val="TableText"/>
              <w:ind w:left="765"/>
              <w:spacing w:before="94" w:line="195" w:lineRule="auto"/>
              <w:rPr/>
            </w:pPr>
            <w:r>
              <w:rPr>
                <w:spacing w:val="2"/>
              </w:rPr>
              <w:t>5.69</w:t>
            </w:r>
          </w:p>
        </w:tc>
        <w:tc>
          <w:tcPr>
            <w:tcW w:w="1660" w:type="dxa"/>
            <w:vAlign w:val="top"/>
          </w:tcPr>
          <w:p>
            <w:pPr>
              <w:pStyle w:val="TableText"/>
              <w:ind w:left="509"/>
              <w:spacing w:before="94" w:line="195" w:lineRule="auto"/>
              <w:rPr/>
            </w:pPr>
            <w:r>
              <w:rPr>
                <w:spacing w:val="4"/>
              </w:rPr>
              <w:t>46.04%</w:t>
            </w:r>
          </w:p>
        </w:tc>
      </w:tr>
      <w:tr>
        <w:trPr>
          <w:trHeight w:val="326" w:hRule="atLeast"/>
        </w:trPr>
        <w:tc>
          <w:tcPr>
            <w:tcW w:w="1991" w:type="dxa"/>
            <w:vAlign w:val="top"/>
          </w:tcPr>
          <w:p>
            <w:pPr>
              <w:ind w:left="473"/>
              <w:spacing w:before="59" w:line="228" w:lineRule="auto"/>
              <w:rPr>
                <w:rFonts w:ascii="SimSun" w:hAnsi="SimSun" w:eastAsia="SimSun" w:cs="SimSun"/>
                <w:sz w:val="20"/>
                <w:szCs w:val="20"/>
              </w:rPr>
            </w:pPr>
            <w:r>
              <w:rPr>
                <w:rFonts w:ascii="SimSun" w:hAnsi="SimSun" w:eastAsia="SimSun" w:cs="SimSun"/>
                <w:sz w:val="20"/>
                <w:szCs w:val="20"/>
                <w:spacing w:val="7"/>
              </w:rPr>
              <w:t>极强度侵蚀</w:t>
            </w:r>
          </w:p>
        </w:tc>
        <w:tc>
          <w:tcPr>
            <w:tcW w:w="1880" w:type="dxa"/>
            <w:vAlign w:val="top"/>
          </w:tcPr>
          <w:p>
            <w:pPr>
              <w:pStyle w:val="TableText"/>
              <w:ind w:left="759"/>
              <w:spacing w:before="94" w:line="195" w:lineRule="auto"/>
              <w:rPr/>
            </w:pPr>
            <w:r>
              <w:rPr>
                <w:spacing w:val="2"/>
              </w:rPr>
              <w:t>0.01</w:t>
            </w:r>
          </w:p>
        </w:tc>
        <w:tc>
          <w:tcPr>
            <w:tcW w:w="1873" w:type="dxa"/>
            <w:vAlign w:val="top"/>
          </w:tcPr>
          <w:p>
            <w:pPr>
              <w:pStyle w:val="TableText"/>
              <w:ind w:left="667"/>
              <w:spacing w:before="94" w:line="195" w:lineRule="auto"/>
              <w:rPr/>
            </w:pPr>
            <w:r>
              <w:rPr>
                <w:spacing w:val="4"/>
              </w:rPr>
              <w:t>0.02%</w:t>
            </w:r>
          </w:p>
        </w:tc>
        <w:tc>
          <w:tcPr>
            <w:tcW w:w="1881" w:type="dxa"/>
            <w:vAlign w:val="top"/>
          </w:tcPr>
          <w:p>
            <w:pPr>
              <w:pStyle w:val="TableText"/>
              <w:ind w:left="762"/>
              <w:spacing w:before="94" w:line="195" w:lineRule="auto"/>
              <w:rPr/>
            </w:pPr>
            <w:r>
              <w:rPr>
                <w:spacing w:val="2"/>
              </w:rPr>
              <w:t>0.00</w:t>
            </w:r>
          </w:p>
        </w:tc>
        <w:tc>
          <w:tcPr>
            <w:tcW w:w="1660" w:type="dxa"/>
            <w:vAlign w:val="top"/>
          </w:tcPr>
          <w:p>
            <w:pPr>
              <w:pStyle w:val="TableText"/>
              <w:ind w:left="561"/>
              <w:spacing w:before="94" w:line="195" w:lineRule="auto"/>
              <w:rPr/>
            </w:pPr>
            <w:r>
              <w:rPr>
                <w:spacing w:val="4"/>
              </w:rPr>
              <w:t>0.01%</w:t>
            </w:r>
          </w:p>
        </w:tc>
      </w:tr>
      <w:tr>
        <w:trPr>
          <w:trHeight w:val="326" w:hRule="atLeast"/>
        </w:trPr>
        <w:tc>
          <w:tcPr>
            <w:tcW w:w="1991" w:type="dxa"/>
            <w:vAlign w:val="top"/>
          </w:tcPr>
          <w:p>
            <w:pPr>
              <w:ind w:left="793"/>
              <w:spacing w:before="58" w:line="229" w:lineRule="auto"/>
              <w:rPr>
                <w:rFonts w:ascii="SimSun" w:hAnsi="SimSun" w:eastAsia="SimSun" w:cs="SimSun"/>
                <w:sz w:val="20"/>
                <w:szCs w:val="20"/>
              </w:rPr>
            </w:pPr>
            <w:r>
              <w:rPr>
                <w:rFonts w:ascii="SimSun" w:hAnsi="SimSun" w:eastAsia="SimSun" w:cs="SimSun"/>
                <w:sz w:val="20"/>
                <w:szCs w:val="20"/>
                <w:spacing w:val="2"/>
              </w:rPr>
              <w:t>总计</w:t>
            </w:r>
          </w:p>
        </w:tc>
        <w:tc>
          <w:tcPr>
            <w:tcW w:w="1880" w:type="dxa"/>
            <w:vAlign w:val="top"/>
          </w:tcPr>
          <w:p>
            <w:pPr>
              <w:pStyle w:val="TableText"/>
              <w:ind w:left="709"/>
              <w:spacing w:before="94" w:line="195" w:lineRule="auto"/>
              <w:rPr/>
            </w:pPr>
            <w:r>
              <w:rPr>
                <w:spacing w:val="2"/>
              </w:rPr>
              <w:t>53.41</w:t>
            </w:r>
          </w:p>
        </w:tc>
        <w:tc>
          <w:tcPr>
            <w:tcW w:w="1873" w:type="dxa"/>
            <w:vAlign w:val="top"/>
          </w:tcPr>
          <w:p>
            <w:pPr>
              <w:pStyle w:val="TableText"/>
              <w:ind w:left="581"/>
              <w:spacing w:before="94" w:line="195" w:lineRule="auto"/>
              <w:rPr/>
            </w:pPr>
            <w:r>
              <w:rPr>
                <w:spacing w:val="1"/>
              </w:rPr>
              <w:t>100.00%</w:t>
            </w:r>
          </w:p>
        </w:tc>
        <w:tc>
          <w:tcPr>
            <w:tcW w:w="1881" w:type="dxa"/>
            <w:vAlign w:val="top"/>
          </w:tcPr>
          <w:p>
            <w:pPr>
              <w:pStyle w:val="TableText"/>
              <w:ind w:left="726"/>
              <w:spacing w:before="94" w:line="195" w:lineRule="auto"/>
              <w:rPr/>
            </w:pPr>
            <w:r>
              <w:rPr>
                <w:spacing w:val="-1"/>
              </w:rPr>
              <w:t>12.35</w:t>
            </w:r>
          </w:p>
        </w:tc>
        <w:tc>
          <w:tcPr>
            <w:tcW w:w="1660" w:type="dxa"/>
            <w:vAlign w:val="top"/>
          </w:tcPr>
          <w:p>
            <w:pPr>
              <w:pStyle w:val="TableText"/>
              <w:ind w:left="475"/>
              <w:spacing w:before="94" w:line="195" w:lineRule="auto"/>
              <w:rPr/>
            </w:pPr>
            <w:r>
              <w:rPr>
                <w:spacing w:val="1"/>
              </w:rPr>
              <w:t>100.00%</w:t>
            </w:r>
          </w:p>
        </w:tc>
      </w:tr>
    </w:tbl>
    <w:p>
      <w:pPr>
        <w:pStyle w:val="BodyText"/>
        <w:spacing w:line="255" w:lineRule="auto"/>
        <w:rPr/>
      </w:pPr>
      <w:r/>
    </w:p>
    <w:p>
      <w:pPr>
        <w:pStyle w:val="BodyText"/>
        <w:spacing w:line="256" w:lineRule="auto"/>
        <w:rPr/>
      </w:pPr>
      <w:r/>
    </w:p>
    <w:p>
      <w:pPr>
        <w:ind w:left="596"/>
        <w:spacing w:before="79"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4.2.1.9  </w:t>
      </w:r>
      <w:r>
        <w:rPr>
          <w:rFonts w:ascii="SimHei" w:hAnsi="SimHei" w:eastAsia="SimHei" w:cs="SimHei"/>
          <w:sz w:val="24"/>
          <w:szCs w:val="24"/>
          <w:b/>
          <w:bCs/>
          <w:spacing w:val="-2"/>
        </w:rPr>
        <w:t>生态系统现状调查</w:t>
      </w:r>
    </w:p>
    <w:p>
      <w:pPr>
        <w:ind w:right="21"/>
        <w:spacing w:before="159" w:line="218" w:lineRule="auto"/>
        <w:jc w:val="right"/>
        <w:rPr>
          <w:rFonts w:ascii="SimSun" w:hAnsi="SimSun" w:eastAsia="SimSun" w:cs="SimSun"/>
          <w:sz w:val="24"/>
          <w:szCs w:val="24"/>
        </w:rPr>
      </w:pPr>
      <w:r>
        <w:rPr>
          <w:rFonts w:ascii="SimSun" w:hAnsi="SimSun" w:eastAsia="SimSun" w:cs="SimSun"/>
          <w:sz w:val="24"/>
          <w:szCs w:val="24"/>
        </w:rPr>
        <w:t>根据遥感影像解译和实地调查，评价范围内生态系统现状统计数据详</w:t>
      </w:r>
      <w:r>
        <w:rPr>
          <w:rFonts w:ascii="SimSun" w:hAnsi="SimSun" w:eastAsia="SimSun" w:cs="SimSun"/>
          <w:sz w:val="24"/>
          <w:szCs w:val="24"/>
          <w:spacing w:val="-1"/>
        </w:rPr>
        <w:t>见表 </w:t>
      </w:r>
      <w:r>
        <w:rPr>
          <w:rFonts w:ascii="Times New Roman" w:hAnsi="Times New Roman" w:eastAsia="Times New Roman" w:cs="Times New Roman"/>
          <w:sz w:val="24"/>
          <w:szCs w:val="24"/>
          <w:spacing w:val="-1"/>
        </w:rPr>
        <w:t>4-2-24</w:t>
      </w:r>
      <w:r>
        <w:rPr>
          <w:rFonts w:ascii="SimSun" w:hAnsi="SimSun" w:eastAsia="SimSun" w:cs="SimSun"/>
          <w:sz w:val="24"/>
          <w:szCs w:val="24"/>
          <w:spacing w:val="-1"/>
        </w:rPr>
        <w:t>。</w:t>
      </w:r>
    </w:p>
    <w:p>
      <w:pPr>
        <w:ind w:left="114" w:right="43" w:firstLine="485"/>
        <w:spacing w:before="160" w:line="339" w:lineRule="auto"/>
        <w:rPr>
          <w:rFonts w:ascii="SimSun" w:hAnsi="SimSun" w:eastAsia="SimSun" w:cs="SimSun"/>
          <w:sz w:val="24"/>
          <w:szCs w:val="24"/>
        </w:rPr>
      </w:pPr>
      <w:r>
        <w:rPr>
          <w:rFonts w:ascii="SimSun" w:hAnsi="SimSun" w:eastAsia="SimSun" w:cs="SimSun"/>
          <w:sz w:val="24"/>
          <w:szCs w:val="24"/>
          <w:spacing w:val="-2"/>
        </w:rPr>
        <w:t>根据评价范围内生态系统类型现状调查结果表可知，评价范围内生态系统类型主要</w:t>
      </w:r>
      <w:r>
        <w:rPr>
          <w:rFonts w:ascii="SimSun" w:hAnsi="SimSun" w:eastAsia="SimSun" w:cs="SimSun"/>
          <w:sz w:val="24"/>
          <w:szCs w:val="24"/>
          <w:spacing w:val="-3"/>
        </w:rPr>
        <w:t>为草地生态系统，占地面积</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34.39km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12"/>
          <w:position w:val="8"/>
        </w:rPr>
        <w:t xml:space="preserve"> </w:t>
      </w:r>
      <w:r>
        <w:rPr>
          <w:rFonts w:ascii="SimSun" w:hAnsi="SimSun" w:eastAsia="SimSun" w:cs="SimSun"/>
          <w:sz w:val="24"/>
          <w:szCs w:val="24"/>
          <w:spacing w:val="-3"/>
        </w:rPr>
        <w:t>，占评价区面积的</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64.39%</w:t>
      </w:r>
      <w:r>
        <w:rPr>
          <w:rFonts w:ascii="SimSun" w:hAnsi="SimSun" w:eastAsia="SimSun" w:cs="SimSun"/>
          <w:sz w:val="24"/>
          <w:szCs w:val="24"/>
          <w:spacing w:val="-3"/>
        </w:rPr>
        <w:t>；其次为城镇生态系统，</w:t>
      </w:r>
      <w:r>
        <w:rPr>
          <w:rFonts w:ascii="SimSun" w:hAnsi="SimSun" w:eastAsia="SimSun" w:cs="SimSun"/>
          <w:sz w:val="24"/>
          <w:szCs w:val="24"/>
          <w:spacing w:val="-1"/>
        </w:rPr>
        <w:t>占地面积</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16.05km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w:t>
      </w:r>
      <w:r>
        <w:rPr>
          <w:rFonts w:ascii="SimSun" w:hAnsi="SimSun" w:eastAsia="SimSun" w:cs="SimSun"/>
          <w:sz w:val="24"/>
          <w:szCs w:val="24"/>
          <w:spacing w:val="-71"/>
        </w:rPr>
        <w:t xml:space="preserve"> </w:t>
      </w:r>
      <w:r>
        <w:rPr>
          <w:rFonts w:ascii="SimSun" w:hAnsi="SimSun" w:eastAsia="SimSun" w:cs="SimSun"/>
          <w:sz w:val="24"/>
          <w:szCs w:val="24"/>
          <w:spacing w:val="-1"/>
        </w:rPr>
        <w:t>占评价区面积的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30.06%</w:t>
      </w:r>
      <w:r>
        <w:rPr>
          <w:rFonts w:ascii="SimSun" w:hAnsi="SimSun" w:eastAsia="SimSun" w:cs="SimSun"/>
          <w:sz w:val="24"/>
          <w:szCs w:val="24"/>
          <w:spacing w:val="-1"/>
        </w:rPr>
        <w:t>；矿田范围内生态系统类型</w:t>
      </w:r>
      <w:r>
        <w:rPr>
          <w:rFonts w:ascii="SimSun" w:hAnsi="SimSun" w:eastAsia="SimSun" w:cs="SimSun"/>
          <w:sz w:val="24"/>
          <w:szCs w:val="24"/>
          <w:spacing w:val="-2"/>
        </w:rPr>
        <w:t>主要为城镇生</w:t>
      </w:r>
      <w:r>
        <w:rPr>
          <w:rFonts w:ascii="SimSun" w:hAnsi="SimSun" w:eastAsia="SimSun" w:cs="SimSun"/>
          <w:sz w:val="24"/>
          <w:szCs w:val="24"/>
          <w:spacing w:val="-1"/>
        </w:rPr>
        <w:t>态系统，</w:t>
      </w:r>
      <w:r>
        <w:rPr>
          <w:rFonts w:ascii="SimSun" w:hAnsi="SimSun" w:eastAsia="SimSun" w:cs="SimSun"/>
          <w:sz w:val="24"/>
          <w:szCs w:val="24"/>
          <w:spacing w:val="-56"/>
        </w:rPr>
        <w:t xml:space="preserve"> </w:t>
      </w:r>
      <w:r>
        <w:rPr>
          <w:rFonts w:ascii="SimSun" w:hAnsi="SimSun" w:eastAsia="SimSun" w:cs="SimSun"/>
          <w:sz w:val="24"/>
          <w:szCs w:val="24"/>
          <w:spacing w:val="-1"/>
        </w:rPr>
        <w:t>占地面积</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7.71km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w:t>
      </w:r>
      <w:r>
        <w:rPr>
          <w:rFonts w:ascii="SimSun" w:hAnsi="SimSun" w:eastAsia="SimSun" w:cs="SimSun"/>
          <w:sz w:val="24"/>
          <w:szCs w:val="24"/>
          <w:spacing w:val="-64"/>
        </w:rPr>
        <w:t xml:space="preserve"> </w:t>
      </w:r>
      <w:r>
        <w:rPr>
          <w:rFonts w:ascii="SimSun" w:hAnsi="SimSun" w:eastAsia="SimSun" w:cs="SimSun"/>
          <w:sz w:val="24"/>
          <w:szCs w:val="24"/>
          <w:spacing w:val="-1"/>
        </w:rPr>
        <w:t>占矿区面积的</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62.39%</w:t>
      </w:r>
      <w:r>
        <w:rPr>
          <w:rFonts w:ascii="SimSun" w:hAnsi="SimSun" w:eastAsia="SimSun" w:cs="SimSun"/>
          <w:sz w:val="24"/>
          <w:szCs w:val="24"/>
          <w:spacing w:val="-1"/>
        </w:rPr>
        <w:t>；其次为草地生态系统，</w:t>
      </w:r>
      <w:r>
        <w:rPr>
          <w:rFonts w:ascii="SimSun" w:hAnsi="SimSun" w:eastAsia="SimSun" w:cs="SimSun"/>
          <w:sz w:val="24"/>
          <w:szCs w:val="24"/>
          <w:spacing w:val="-66"/>
        </w:rPr>
        <w:t xml:space="preserve"> </w:t>
      </w:r>
      <w:r>
        <w:rPr>
          <w:rFonts w:ascii="SimSun" w:hAnsi="SimSun" w:eastAsia="SimSun" w:cs="SimSun"/>
          <w:sz w:val="24"/>
          <w:szCs w:val="24"/>
          <w:spacing w:val="-1"/>
        </w:rPr>
        <w:t>占地面积</w:t>
      </w:r>
      <w:r>
        <w:rPr>
          <w:rFonts w:ascii="Times New Roman" w:hAnsi="Times New Roman" w:eastAsia="Times New Roman" w:cs="Times New Roman"/>
          <w:sz w:val="24"/>
          <w:szCs w:val="24"/>
          <w:spacing w:val="-4"/>
        </w:rPr>
        <w:t>44.32km</w:t>
      </w:r>
      <w:r>
        <w:rPr>
          <w:rFonts w:ascii="Times New Roman" w:hAnsi="Times New Roman" w:eastAsia="Times New Roman" w:cs="Times New Roman"/>
          <w:sz w:val="15"/>
          <w:szCs w:val="15"/>
          <w:spacing w:val="-4"/>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4"/>
        </w:rPr>
        <w:t>，</w:t>
      </w:r>
      <w:r>
        <w:rPr>
          <w:rFonts w:ascii="SimSun" w:hAnsi="SimSun" w:eastAsia="SimSun" w:cs="SimSun"/>
          <w:sz w:val="24"/>
          <w:szCs w:val="24"/>
          <w:spacing w:val="-71"/>
        </w:rPr>
        <w:t xml:space="preserve"> </w:t>
      </w:r>
      <w:r>
        <w:rPr>
          <w:rFonts w:ascii="SimSun" w:hAnsi="SimSun" w:eastAsia="SimSun" w:cs="SimSun"/>
          <w:sz w:val="24"/>
          <w:szCs w:val="24"/>
          <w:spacing w:val="-4"/>
        </w:rPr>
        <w:t>占矿区面积的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34.97</w:t>
      </w:r>
      <w:r>
        <w:rPr>
          <w:rFonts w:ascii="Times New Roman" w:hAnsi="Times New Roman" w:eastAsia="Times New Roman" w:cs="Times New Roman"/>
          <w:sz w:val="24"/>
          <w:szCs w:val="24"/>
          <w:spacing w:val="-5"/>
        </w:rPr>
        <w:t>%</w:t>
      </w:r>
      <w:r>
        <w:rPr>
          <w:rFonts w:ascii="SimSun" w:hAnsi="SimSun" w:eastAsia="SimSun" w:cs="SimSun"/>
          <w:sz w:val="24"/>
          <w:szCs w:val="24"/>
          <w:spacing w:val="-5"/>
        </w:rPr>
        <w:t>。</w:t>
      </w:r>
    </w:p>
    <w:p>
      <w:pPr>
        <w:spacing w:line="339" w:lineRule="auto"/>
        <w:sectPr>
          <w:footerReference w:type="default" r:id="rId317"/>
          <w:pgSz w:w="11906" w:h="16838"/>
          <w:pgMar w:top="1170" w:right="1307" w:bottom="1080" w:left="1305" w:header="837" w:footer="918" w:gutter="0"/>
        </w:sectPr>
        <w:rPr>
          <w:rFonts w:ascii="SimSun" w:hAnsi="SimSun" w:eastAsia="SimSun" w:cs="SimSun"/>
          <w:sz w:val="24"/>
          <w:szCs w:val="24"/>
        </w:rPr>
      </w:pPr>
    </w:p>
    <w:p>
      <w:pPr>
        <w:pStyle w:val="BodyText"/>
        <w:spacing w:line="441" w:lineRule="auto"/>
        <w:rPr/>
      </w:pPr>
      <w:r/>
    </w:p>
    <w:p>
      <w:pPr>
        <w:ind w:left="3763"/>
        <w:spacing w:before="78" w:line="221" w:lineRule="auto"/>
        <w:rPr>
          <w:rFonts w:ascii="SimHei" w:hAnsi="SimHei" w:eastAsia="SimHei" w:cs="SimHei"/>
          <w:sz w:val="24"/>
          <w:szCs w:val="24"/>
        </w:rPr>
      </w:pPr>
      <w:r>
        <w:rPr>
          <w:rFonts w:ascii="SimHei" w:hAnsi="SimHei" w:eastAsia="SimHei" w:cs="SimHei"/>
          <w:sz w:val="24"/>
          <w:szCs w:val="24"/>
          <w:spacing w:val="-1"/>
        </w:rPr>
        <w:t>评价区内生态系统类型</w:t>
      </w:r>
    </w:p>
    <w:p>
      <w:pPr>
        <w:ind w:left="186"/>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4-2-24</w:t>
      </w:r>
    </w:p>
    <w:tbl>
      <w:tblPr>
        <w:tblStyle w:val="TableNormal"/>
        <w:tblW w:w="9285" w:type="dxa"/>
        <w:tblInd w:w="7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05"/>
        <w:gridCol w:w="1902"/>
        <w:gridCol w:w="1873"/>
        <w:gridCol w:w="1900"/>
        <w:gridCol w:w="1705"/>
      </w:tblGrid>
      <w:tr>
        <w:trPr>
          <w:trHeight w:val="328" w:hRule="atLeast"/>
        </w:trPr>
        <w:tc>
          <w:tcPr>
            <w:tcW w:w="1905" w:type="dxa"/>
            <w:vAlign w:val="top"/>
            <w:vMerge w:val="restart"/>
            <w:tcBorders>
              <w:bottom w:val="nil"/>
            </w:tcBorders>
          </w:tcPr>
          <w:p>
            <w:pPr>
              <w:ind w:left="326"/>
              <w:spacing w:before="220" w:line="228" w:lineRule="auto"/>
              <w:rPr>
                <w:rFonts w:ascii="SimSun" w:hAnsi="SimSun" w:eastAsia="SimSun" w:cs="SimSun"/>
                <w:sz w:val="20"/>
                <w:szCs w:val="20"/>
              </w:rPr>
            </w:pPr>
            <w:r>
              <w:rPr>
                <w:rFonts w:ascii="SimSun" w:hAnsi="SimSun" w:eastAsia="SimSun" w:cs="SimSun"/>
                <w:sz w:val="20"/>
                <w:szCs w:val="20"/>
                <w:b/>
                <w:bCs/>
                <w:spacing w:val="6"/>
              </w:rPr>
              <w:t>生态系统类型</w:t>
            </w:r>
          </w:p>
        </w:tc>
        <w:tc>
          <w:tcPr>
            <w:tcW w:w="3775" w:type="dxa"/>
            <w:vAlign w:val="top"/>
            <w:gridSpan w:val="2"/>
          </w:tcPr>
          <w:p>
            <w:pPr>
              <w:ind w:left="1574"/>
              <w:spacing w:before="55" w:line="226" w:lineRule="auto"/>
              <w:rPr>
                <w:rFonts w:ascii="SimSun" w:hAnsi="SimSun" w:eastAsia="SimSun" w:cs="SimSun"/>
                <w:sz w:val="20"/>
                <w:szCs w:val="20"/>
              </w:rPr>
            </w:pPr>
            <w:r>
              <w:rPr>
                <w:rFonts w:ascii="SimSun" w:hAnsi="SimSun" w:eastAsia="SimSun" w:cs="SimSun"/>
                <w:sz w:val="20"/>
                <w:szCs w:val="20"/>
                <w:b/>
                <w:bCs/>
                <w:spacing w:val="5"/>
              </w:rPr>
              <w:t>评价区</w:t>
            </w:r>
          </w:p>
        </w:tc>
        <w:tc>
          <w:tcPr>
            <w:tcW w:w="3605" w:type="dxa"/>
            <w:vAlign w:val="top"/>
            <w:gridSpan w:val="2"/>
          </w:tcPr>
          <w:p>
            <w:pPr>
              <w:ind w:left="1595"/>
              <w:spacing w:before="55" w:line="228" w:lineRule="auto"/>
              <w:rPr>
                <w:rFonts w:ascii="SimSun" w:hAnsi="SimSun" w:eastAsia="SimSun" w:cs="SimSun"/>
                <w:sz w:val="20"/>
                <w:szCs w:val="20"/>
              </w:rPr>
            </w:pPr>
            <w:r>
              <w:rPr>
                <w:rFonts w:ascii="SimSun" w:hAnsi="SimSun" w:eastAsia="SimSun" w:cs="SimSun"/>
                <w:sz w:val="20"/>
                <w:szCs w:val="20"/>
                <w:b/>
                <w:bCs/>
                <w:spacing w:val="3"/>
              </w:rPr>
              <w:t>煤矿</w:t>
            </w:r>
          </w:p>
        </w:tc>
      </w:tr>
      <w:tr>
        <w:trPr>
          <w:trHeight w:val="323" w:hRule="atLeast"/>
        </w:trPr>
        <w:tc>
          <w:tcPr>
            <w:tcW w:w="1905" w:type="dxa"/>
            <w:vAlign w:val="top"/>
            <w:vMerge w:val="continue"/>
            <w:tcBorders>
              <w:top w:val="nil"/>
            </w:tcBorders>
          </w:tcPr>
          <w:p>
            <w:pPr>
              <w:rPr>
                <w:rFonts w:ascii="Arial"/>
                <w:sz w:val="21"/>
              </w:rPr>
            </w:pPr>
            <w:r/>
          </w:p>
        </w:tc>
        <w:tc>
          <w:tcPr>
            <w:tcW w:w="1902" w:type="dxa"/>
            <w:vAlign w:val="top"/>
          </w:tcPr>
          <w:p>
            <w:pPr>
              <w:pStyle w:val="TableText"/>
              <w:ind w:left="354"/>
              <w:spacing w:before="54"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873" w:type="dxa"/>
            <w:vAlign w:val="top"/>
          </w:tcPr>
          <w:p>
            <w:pPr>
              <w:ind w:left="631"/>
              <w:spacing w:before="54" w:line="228" w:lineRule="auto"/>
              <w:rPr>
                <w:rFonts w:ascii="SimSun" w:hAnsi="SimSun" w:eastAsia="SimSun" w:cs="SimSun"/>
                <w:sz w:val="20"/>
                <w:szCs w:val="20"/>
              </w:rPr>
            </w:pPr>
            <w:r>
              <w:rPr>
                <w:rFonts w:ascii="SimSun" w:hAnsi="SimSun" w:eastAsia="SimSun" w:cs="SimSun"/>
                <w:sz w:val="20"/>
                <w:szCs w:val="20"/>
                <w:b/>
                <w:bCs/>
                <w:spacing w:val="2"/>
              </w:rPr>
              <w:t>百分比</w:t>
            </w:r>
          </w:p>
        </w:tc>
        <w:tc>
          <w:tcPr>
            <w:tcW w:w="1900" w:type="dxa"/>
            <w:vAlign w:val="top"/>
          </w:tcPr>
          <w:p>
            <w:pPr>
              <w:pStyle w:val="TableText"/>
              <w:ind w:left="355"/>
              <w:spacing w:before="54" w:line="228" w:lineRule="auto"/>
              <w:rPr>
                <w:rFonts w:ascii="SimSun" w:hAnsi="SimSun" w:eastAsia="SimSun" w:cs="SimSun"/>
              </w:rPr>
            </w:pPr>
            <w:r>
              <w:rPr>
                <w:rFonts w:ascii="SimSun" w:hAnsi="SimSun" w:eastAsia="SimSun" w:cs="SimSun"/>
                <w:b/>
                <w:bCs/>
                <w:spacing w:val="6"/>
              </w:rPr>
              <w:t>面积（</w:t>
            </w:r>
            <w:r>
              <w:rPr>
                <w:b/>
                <w:bCs/>
              </w:rPr>
              <w:t>km</w:t>
            </w:r>
            <w:r>
              <w:rPr>
                <w:sz w:val="13"/>
                <w:szCs w:val="13"/>
                <w:b/>
                <w:bCs/>
                <w:spacing w:val="6"/>
                <w:position w:val="6"/>
              </w:rPr>
              <w:t>2</w:t>
            </w:r>
            <w:r>
              <w:rPr>
                <w:rFonts w:ascii="SimSun" w:hAnsi="SimSun" w:eastAsia="SimSun" w:cs="SimSun"/>
                <w:b/>
                <w:bCs/>
                <w:spacing w:val="6"/>
              </w:rPr>
              <w:t>）</w:t>
            </w:r>
          </w:p>
        </w:tc>
        <w:tc>
          <w:tcPr>
            <w:tcW w:w="1705" w:type="dxa"/>
            <w:vAlign w:val="top"/>
          </w:tcPr>
          <w:p>
            <w:pPr>
              <w:ind w:left="549"/>
              <w:spacing w:before="54" w:line="228" w:lineRule="auto"/>
              <w:rPr>
                <w:rFonts w:ascii="SimSun" w:hAnsi="SimSun" w:eastAsia="SimSun" w:cs="SimSun"/>
                <w:sz w:val="20"/>
                <w:szCs w:val="20"/>
              </w:rPr>
            </w:pPr>
            <w:r>
              <w:rPr>
                <w:rFonts w:ascii="SimSun" w:hAnsi="SimSun" w:eastAsia="SimSun" w:cs="SimSun"/>
                <w:sz w:val="20"/>
                <w:szCs w:val="20"/>
                <w:b/>
                <w:bCs/>
                <w:spacing w:val="2"/>
              </w:rPr>
              <w:t>百分比</w:t>
            </w:r>
          </w:p>
        </w:tc>
      </w:tr>
      <w:tr>
        <w:trPr>
          <w:trHeight w:val="325" w:hRule="atLeast"/>
        </w:trPr>
        <w:tc>
          <w:tcPr>
            <w:tcW w:w="1905" w:type="dxa"/>
            <w:vAlign w:val="top"/>
          </w:tcPr>
          <w:p>
            <w:pPr>
              <w:ind w:left="327"/>
              <w:spacing w:before="56" w:line="228" w:lineRule="auto"/>
              <w:rPr>
                <w:rFonts w:ascii="SimSun" w:hAnsi="SimSun" w:eastAsia="SimSun" w:cs="SimSun"/>
                <w:sz w:val="20"/>
                <w:szCs w:val="20"/>
              </w:rPr>
            </w:pPr>
            <w:r>
              <w:rPr>
                <w:rFonts w:ascii="SimSun" w:hAnsi="SimSun" w:eastAsia="SimSun" w:cs="SimSun"/>
                <w:sz w:val="20"/>
                <w:szCs w:val="20"/>
                <w:spacing w:val="8"/>
              </w:rPr>
              <w:t>城镇生态系统</w:t>
            </w:r>
          </w:p>
        </w:tc>
        <w:tc>
          <w:tcPr>
            <w:tcW w:w="1902" w:type="dxa"/>
            <w:vAlign w:val="top"/>
          </w:tcPr>
          <w:p>
            <w:pPr>
              <w:pStyle w:val="TableText"/>
              <w:ind w:left="735"/>
              <w:spacing w:before="92" w:line="195" w:lineRule="auto"/>
              <w:rPr/>
            </w:pPr>
            <w:r>
              <w:rPr>
                <w:spacing w:val="-1"/>
              </w:rPr>
              <w:t>16.05</w:t>
            </w:r>
          </w:p>
        </w:tc>
        <w:tc>
          <w:tcPr>
            <w:tcW w:w="1873" w:type="dxa"/>
            <w:vAlign w:val="top"/>
          </w:tcPr>
          <w:p>
            <w:pPr>
              <w:pStyle w:val="TableText"/>
              <w:ind w:left="617"/>
              <w:spacing w:before="92" w:line="195" w:lineRule="auto"/>
              <w:rPr/>
            </w:pPr>
            <w:r>
              <w:rPr>
                <w:spacing w:val="3"/>
              </w:rPr>
              <w:t>30.06%</w:t>
            </w:r>
          </w:p>
        </w:tc>
        <w:tc>
          <w:tcPr>
            <w:tcW w:w="1900" w:type="dxa"/>
            <w:vAlign w:val="top"/>
          </w:tcPr>
          <w:p>
            <w:pPr>
              <w:pStyle w:val="TableText"/>
              <w:ind w:left="771"/>
              <w:spacing w:before="92" w:line="195" w:lineRule="auto"/>
              <w:rPr/>
            </w:pPr>
            <w:r>
              <w:rPr>
                <w:spacing w:val="2"/>
              </w:rPr>
              <w:t>7.71</w:t>
            </w:r>
          </w:p>
        </w:tc>
        <w:tc>
          <w:tcPr>
            <w:tcW w:w="1705" w:type="dxa"/>
            <w:vAlign w:val="top"/>
          </w:tcPr>
          <w:p>
            <w:pPr>
              <w:pStyle w:val="TableText"/>
              <w:ind w:left="535"/>
              <w:spacing w:before="92" w:line="195" w:lineRule="auto"/>
              <w:rPr/>
            </w:pPr>
            <w:r>
              <w:rPr>
                <w:spacing w:val="3"/>
              </w:rPr>
              <w:t>62.39%</w:t>
            </w:r>
          </w:p>
        </w:tc>
      </w:tr>
      <w:tr>
        <w:trPr>
          <w:trHeight w:val="326" w:hRule="atLeast"/>
        </w:trPr>
        <w:tc>
          <w:tcPr>
            <w:tcW w:w="1905" w:type="dxa"/>
            <w:vAlign w:val="top"/>
          </w:tcPr>
          <w:p>
            <w:pPr>
              <w:ind w:left="328"/>
              <w:spacing w:before="57" w:line="228" w:lineRule="auto"/>
              <w:rPr>
                <w:rFonts w:ascii="SimSun" w:hAnsi="SimSun" w:eastAsia="SimSun" w:cs="SimSun"/>
                <w:sz w:val="20"/>
                <w:szCs w:val="20"/>
              </w:rPr>
            </w:pPr>
            <w:r>
              <w:rPr>
                <w:rFonts w:ascii="SimSun" w:hAnsi="SimSun" w:eastAsia="SimSun" w:cs="SimSun"/>
                <w:sz w:val="20"/>
                <w:szCs w:val="20"/>
                <w:spacing w:val="7"/>
              </w:rPr>
              <w:t>草地生态系统</w:t>
            </w:r>
          </w:p>
        </w:tc>
        <w:tc>
          <w:tcPr>
            <w:tcW w:w="1902" w:type="dxa"/>
            <w:vAlign w:val="top"/>
          </w:tcPr>
          <w:p>
            <w:pPr>
              <w:pStyle w:val="TableText"/>
              <w:ind w:left="719"/>
              <w:spacing w:before="93" w:line="195" w:lineRule="auto"/>
              <w:rPr/>
            </w:pPr>
            <w:r>
              <w:rPr>
                <w:spacing w:val="2"/>
              </w:rPr>
              <w:t>34.39</w:t>
            </w:r>
          </w:p>
        </w:tc>
        <w:tc>
          <w:tcPr>
            <w:tcW w:w="1873" w:type="dxa"/>
            <w:vAlign w:val="top"/>
          </w:tcPr>
          <w:p>
            <w:pPr>
              <w:pStyle w:val="TableText"/>
              <w:ind w:left="617"/>
              <w:spacing w:before="93" w:line="195" w:lineRule="auto"/>
              <w:rPr/>
            </w:pPr>
            <w:r>
              <w:rPr>
                <w:spacing w:val="3"/>
              </w:rPr>
              <w:t>64.39%</w:t>
            </w:r>
          </w:p>
        </w:tc>
        <w:tc>
          <w:tcPr>
            <w:tcW w:w="1900" w:type="dxa"/>
            <w:vAlign w:val="top"/>
          </w:tcPr>
          <w:p>
            <w:pPr>
              <w:pStyle w:val="TableText"/>
              <w:ind w:left="767"/>
              <w:spacing w:before="93" w:line="195" w:lineRule="auto"/>
              <w:rPr/>
            </w:pPr>
            <w:r>
              <w:rPr>
                <w:spacing w:val="3"/>
              </w:rPr>
              <w:t>4.32</w:t>
            </w:r>
          </w:p>
        </w:tc>
        <w:tc>
          <w:tcPr>
            <w:tcW w:w="1705" w:type="dxa"/>
            <w:vAlign w:val="top"/>
          </w:tcPr>
          <w:p>
            <w:pPr>
              <w:pStyle w:val="TableText"/>
              <w:ind w:left="535"/>
              <w:spacing w:before="93" w:line="195" w:lineRule="auto"/>
              <w:rPr/>
            </w:pPr>
            <w:r>
              <w:rPr>
                <w:spacing w:val="3"/>
              </w:rPr>
              <w:t>34.97%</w:t>
            </w:r>
          </w:p>
        </w:tc>
      </w:tr>
      <w:tr>
        <w:trPr>
          <w:trHeight w:val="325" w:hRule="atLeast"/>
        </w:trPr>
        <w:tc>
          <w:tcPr>
            <w:tcW w:w="1905" w:type="dxa"/>
            <w:vAlign w:val="top"/>
          </w:tcPr>
          <w:p>
            <w:pPr>
              <w:ind w:left="327"/>
              <w:spacing w:before="58" w:line="229" w:lineRule="auto"/>
              <w:rPr>
                <w:rFonts w:ascii="SimSun" w:hAnsi="SimSun" w:eastAsia="SimSun" w:cs="SimSun"/>
                <w:sz w:val="20"/>
                <w:szCs w:val="20"/>
              </w:rPr>
            </w:pPr>
            <w:r>
              <w:rPr>
                <w:rFonts w:ascii="SimSun" w:hAnsi="SimSun" w:eastAsia="SimSun" w:cs="SimSun"/>
                <w:sz w:val="20"/>
                <w:szCs w:val="20"/>
                <w:spacing w:val="8"/>
              </w:rPr>
              <w:t>湿地生态系统</w:t>
            </w:r>
          </w:p>
        </w:tc>
        <w:tc>
          <w:tcPr>
            <w:tcW w:w="1902" w:type="dxa"/>
            <w:vAlign w:val="top"/>
          </w:tcPr>
          <w:p>
            <w:pPr>
              <w:pStyle w:val="TableText"/>
              <w:ind w:left="788"/>
              <w:spacing w:before="94" w:line="195" w:lineRule="auto"/>
              <w:rPr/>
            </w:pPr>
            <w:r>
              <w:rPr>
                <w:spacing w:val="-2"/>
              </w:rPr>
              <w:t>1.54</w:t>
            </w:r>
          </w:p>
        </w:tc>
        <w:tc>
          <w:tcPr>
            <w:tcW w:w="1873" w:type="dxa"/>
            <w:vAlign w:val="top"/>
          </w:tcPr>
          <w:p>
            <w:pPr>
              <w:pStyle w:val="TableText"/>
              <w:ind w:left="665"/>
              <w:spacing w:before="94" w:line="195" w:lineRule="auto"/>
              <w:rPr/>
            </w:pPr>
            <w:r>
              <w:rPr>
                <w:spacing w:val="4"/>
              </w:rPr>
              <w:t>2.89%</w:t>
            </w:r>
          </w:p>
        </w:tc>
        <w:tc>
          <w:tcPr>
            <w:tcW w:w="1900" w:type="dxa"/>
            <w:vAlign w:val="top"/>
          </w:tcPr>
          <w:p>
            <w:pPr>
              <w:pStyle w:val="TableText"/>
              <w:ind w:left="771"/>
              <w:spacing w:before="94" w:line="195" w:lineRule="auto"/>
              <w:rPr/>
            </w:pPr>
            <w:r>
              <w:rPr>
                <w:spacing w:val="2"/>
              </w:rPr>
              <w:t>0.27</w:t>
            </w:r>
          </w:p>
        </w:tc>
        <w:tc>
          <w:tcPr>
            <w:tcW w:w="1705" w:type="dxa"/>
            <w:vAlign w:val="top"/>
          </w:tcPr>
          <w:p>
            <w:pPr>
              <w:pStyle w:val="TableText"/>
              <w:ind w:left="584"/>
              <w:spacing w:before="94" w:line="195" w:lineRule="auto"/>
              <w:rPr/>
            </w:pPr>
            <w:r>
              <w:rPr>
                <w:spacing w:val="-1"/>
              </w:rPr>
              <w:t>2.</w:t>
            </w:r>
            <w:r>
              <w:rPr>
                <w:spacing w:val="-24"/>
              </w:rPr>
              <w:t xml:space="preserve"> </w:t>
            </w:r>
            <w:r>
              <w:rPr>
                <w:spacing w:val="-1"/>
              </w:rPr>
              <w:t>19%</w:t>
            </w:r>
          </w:p>
        </w:tc>
      </w:tr>
      <w:tr>
        <w:trPr>
          <w:trHeight w:val="326" w:hRule="atLeast"/>
        </w:trPr>
        <w:tc>
          <w:tcPr>
            <w:tcW w:w="1905" w:type="dxa"/>
            <w:vAlign w:val="top"/>
          </w:tcPr>
          <w:p>
            <w:pPr>
              <w:ind w:left="329"/>
              <w:spacing w:before="59" w:line="228" w:lineRule="auto"/>
              <w:rPr>
                <w:rFonts w:ascii="SimSun" w:hAnsi="SimSun" w:eastAsia="SimSun" w:cs="SimSun"/>
                <w:sz w:val="20"/>
                <w:szCs w:val="20"/>
              </w:rPr>
            </w:pPr>
            <w:r>
              <w:rPr>
                <w:rFonts w:ascii="SimSun" w:hAnsi="SimSun" w:eastAsia="SimSun" w:cs="SimSun"/>
                <w:sz w:val="20"/>
                <w:szCs w:val="20"/>
                <w:spacing w:val="7"/>
              </w:rPr>
              <w:t>荒漠生态系统</w:t>
            </w:r>
          </w:p>
        </w:tc>
        <w:tc>
          <w:tcPr>
            <w:tcW w:w="1902" w:type="dxa"/>
            <w:vAlign w:val="top"/>
          </w:tcPr>
          <w:p>
            <w:pPr>
              <w:pStyle w:val="TableText"/>
              <w:ind w:left="771"/>
              <w:spacing w:before="95" w:line="195" w:lineRule="auto"/>
              <w:rPr/>
            </w:pPr>
            <w:r>
              <w:rPr>
                <w:spacing w:val="2"/>
              </w:rPr>
              <w:t>0.31</w:t>
            </w:r>
          </w:p>
        </w:tc>
        <w:tc>
          <w:tcPr>
            <w:tcW w:w="1873" w:type="dxa"/>
            <w:vAlign w:val="top"/>
          </w:tcPr>
          <w:p>
            <w:pPr>
              <w:pStyle w:val="TableText"/>
              <w:ind w:left="669"/>
              <w:spacing w:before="95" w:line="195" w:lineRule="auto"/>
              <w:rPr/>
            </w:pPr>
            <w:r>
              <w:rPr>
                <w:spacing w:val="3"/>
              </w:rPr>
              <w:t>0.58%</w:t>
            </w:r>
          </w:p>
        </w:tc>
        <w:tc>
          <w:tcPr>
            <w:tcW w:w="1900" w:type="dxa"/>
            <w:vAlign w:val="top"/>
          </w:tcPr>
          <w:p>
            <w:pPr>
              <w:pStyle w:val="TableText"/>
              <w:ind w:left="771"/>
              <w:spacing w:before="95" w:line="195" w:lineRule="auto"/>
              <w:rPr/>
            </w:pPr>
            <w:r>
              <w:rPr>
                <w:spacing w:val="2"/>
              </w:rPr>
              <w:t>0.02</w:t>
            </w:r>
          </w:p>
        </w:tc>
        <w:tc>
          <w:tcPr>
            <w:tcW w:w="1705" w:type="dxa"/>
            <w:vAlign w:val="top"/>
          </w:tcPr>
          <w:p>
            <w:pPr>
              <w:pStyle w:val="TableText"/>
              <w:ind w:left="587"/>
              <w:spacing w:before="95" w:line="195" w:lineRule="auto"/>
              <w:rPr/>
            </w:pPr>
            <w:r>
              <w:rPr>
                <w:spacing w:val="-2"/>
              </w:rPr>
              <w:t>0.</w:t>
            </w:r>
            <w:r>
              <w:rPr>
                <w:spacing w:val="-22"/>
              </w:rPr>
              <w:t xml:space="preserve"> </w:t>
            </w:r>
            <w:r>
              <w:rPr>
                <w:spacing w:val="-2"/>
              </w:rPr>
              <w:t>19%</w:t>
            </w:r>
          </w:p>
        </w:tc>
      </w:tr>
      <w:tr>
        <w:trPr>
          <w:trHeight w:val="326" w:hRule="atLeast"/>
        </w:trPr>
        <w:tc>
          <w:tcPr>
            <w:tcW w:w="1905" w:type="dxa"/>
            <w:vAlign w:val="top"/>
          </w:tcPr>
          <w:p>
            <w:pPr>
              <w:ind w:left="329"/>
              <w:spacing w:before="56" w:line="228" w:lineRule="auto"/>
              <w:rPr>
                <w:rFonts w:ascii="SimSun" w:hAnsi="SimSun" w:eastAsia="SimSun" w:cs="SimSun"/>
                <w:sz w:val="20"/>
                <w:szCs w:val="20"/>
              </w:rPr>
            </w:pPr>
            <w:r>
              <w:rPr>
                <w:rFonts w:ascii="SimSun" w:hAnsi="SimSun" w:eastAsia="SimSun" w:cs="SimSun"/>
                <w:sz w:val="20"/>
                <w:szCs w:val="20"/>
                <w:spacing w:val="7"/>
              </w:rPr>
              <w:t>灌丛生态系统</w:t>
            </w:r>
          </w:p>
        </w:tc>
        <w:tc>
          <w:tcPr>
            <w:tcW w:w="1902" w:type="dxa"/>
            <w:vAlign w:val="top"/>
          </w:tcPr>
          <w:p>
            <w:pPr>
              <w:pStyle w:val="TableText"/>
              <w:ind w:left="771"/>
              <w:spacing w:before="93" w:line="195" w:lineRule="auto"/>
              <w:rPr/>
            </w:pPr>
            <w:r>
              <w:rPr>
                <w:spacing w:val="2"/>
              </w:rPr>
              <w:t>0.53</w:t>
            </w:r>
          </w:p>
        </w:tc>
        <w:tc>
          <w:tcPr>
            <w:tcW w:w="1873" w:type="dxa"/>
            <w:vAlign w:val="top"/>
          </w:tcPr>
          <w:p>
            <w:pPr>
              <w:pStyle w:val="TableText"/>
              <w:ind w:left="669"/>
              <w:spacing w:before="93" w:line="195" w:lineRule="auto"/>
              <w:rPr/>
            </w:pPr>
            <w:r>
              <w:rPr>
                <w:spacing w:val="3"/>
              </w:rPr>
              <w:t>0.99%</w:t>
            </w:r>
          </w:p>
        </w:tc>
        <w:tc>
          <w:tcPr>
            <w:tcW w:w="1900" w:type="dxa"/>
            <w:vAlign w:val="top"/>
          </w:tcPr>
          <w:p>
            <w:pPr>
              <w:pStyle w:val="TableText"/>
              <w:ind w:left="903"/>
              <w:spacing w:before="93" w:line="195" w:lineRule="auto"/>
              <w:rPr/>
            </w:pPr>
            <w:r>
              <w:rPr/>
              <w:t>0</w:t>
            </w:r>
          </w:p>
        </w:tc>
        <w:tc>
          <w:tcPr>
            <w:tcW w:w="1705" w:type="dxa"/>
            <w:vAlign w:val="top"/>
          </w:tcPr>
          <w:p>
            <w:pPr>
              <w:pStyle w:val="TableText"/>
              <w:ind w:left="805"/>
              <w:spacing w:before="93" w:line="195" w:lineRule="auto"/>
              <w:rPr/>
            </w:pPr>
            <w:r>
              <w:rPr/>
              <w:t>0</w:t>
            </w:r>
          </w:p>
        </w:tc>
      </w:tr>
      <w:tr>
        <w:trPr>
          <w:trHeight w:val="326" w:hRule="atLeast"/>
        </w:trPr>
        <w:tc>
          <w:tcPr>
            <w:tcW w:w="1905" w:type="dxa"/>
            <w:vAlign w:val="top"/>
          </w:tcPr>
          <w:p>
            <w:pPr>
              <w:ind w:left="327"/>
              <w:spacing w:before="57" w:line="228" w:lineRule="auto"/>
              <w:rPr>
                <w:rFonts w:ascii="SimSun" w:hAnsi="SimSun" w:eastAsia="SimSun" w:cs="SimSun"/>
                <w:sz w:val="20"/>
                <w:szCs w:val="20"/>
              </w:rPr>
            </w:pPr>
            <w:r>
              <w:rPr>
                <w:rFonts w:ascii="SimSun" w:hAnsi="SimSun" w:eastAsia="SimSun" w:cs="SimSun"/>
                <w:sz w:val="20"/>
                <w:szCs w:val="20"/>
                <w:spacing w:val="8"/>
              </w:rPr>
              <w:t>森林生态系统</w:t>
            </w:r>
          </w:p>
        </w:tc>
        <w:tc>
          <w:tcPr>
            <w:tcW w:w="1902" w:type="dxa"/>
            <w:vAlign w:val="top"/>
          </w:tcPr>
          <w:p>
            <w:pPr>
              <w:pStyle w:val="TableText"/>
              <w:ind w:left="771"/>
              <w:spacing w:before="93" w:line="195" w:lineRule="auto"/>
              <w:rPr/>
            </w:pPr>
            <w:r>
              <w:rPr>
                <w:spacing w:val="2"/>
              </w:rPr>
              <w:t>0.17</w:t>
            </w:r>
          </w:p>
        </w:tc>
        <w:tc>
          <w:tcPr>
            <w:tcW w:w="1873" w:type="dxa"/>
            <w:vAlign w:val="top"/>
          </w:tcPr>
          <w:p>
            <w:pPr>
              <w:pStyle w:val="TableText"/>
              <w:ind w:left="669"/>
              <w:spacing w:before="93" w:line="195" w:lineRule="auto"/>
              <w:rPr/>
            </w:pPr>
            <w:r>
              <w:rPr>
                <w:spacing w:val="3"/>
              </w:rPr>
              <w:t>0.32%</w:t>
            </w:r>
          </w:p>
        </w:tc>
        <w:tc>
          <w:tcPr>
            <w:tcW w:w="1900" w:type="dxa"/>
            <w:vAlign w:val="top"/>
          </w:tcPr>
          <w:p>
            <w:pPr>
              <w:pStyle w:val="TableText"/>
              <w:ind w:left="903"/>
              <w:spacing w:before="93" w:line="195" w:lineRule="auto"/>
              <w:rPr/>
            </w:pPr>
            <w:r>
              <w:rPr/>
              <w:t>0</w:t>
            </w:r>
          </w:p>
        </w:tc>
        <w:tc>
          <w:tcPr>
            <w:tcW w:w="1705" w:type="dxa"/>
            <w:vAlign w:val="top"/>
          </w:tcPr>
          <w:p>
            <w:pPr>
              <w:pStyle w:val="TableText"/>
              <w:ind w:left="805"/>
              <w:spacing w:before="93" w:line="195" w:lineRule="auto"/>
              <w:rPr/>
            </w:pPr>
            <w:r>
              <w:rPr/>
              <w:t>0</w:t>
            </w:r>
          </w:p>
        </w:tc>
      </w:tr>
      <w:tr>
        <w:trPr>
          <w:trHeight w:val="326" w:hRule="atLeast"/>
        </w:trPr>
        <w:tc>
          <w:tcPr>
            <w:tcW w:w="1905" w:type="dxa"/>
            <w:vAlign w:val="top"/>
          </w:tcPr>
          <w:p>
            <w:pPr>
              <w:ind w:left="747"/>
              <w:spacing w:before="58" w:line="228" w:lineRule="auto"/>
              <w:rPr>
                <w:rFonts w:ascii="SimSun" w:hAnsi="SimSun" w:eastAsia="SimSun" w:cs="SimSun"/>
                <w:sz w:val="20"/>
                <w:szCs w:val="20"/>
              </w:rPr>
            </w:pPr>
            <w:r>
              <w:rPr>
                <w:rFonts w:ascii="SimSun" w:hAnsi="SimSun" w:eastAsia="SimSun" w:cs="SimSun"/>
                <w:sz w:val="20"/>
                <w:szCs w:val="20"/>
                <w:spacing w:val="4"/>
              </w:rPr>
              <w:t>其他</w:t>
            </w:r>
          </w:p>
        </w:tc>
        <w:tc>
          <w:tcPr>
            <w:tcW w:w="1902" w:type="dxa"/>
            <w:vAlign w:val="top"/>
          </w:tcPr>
          <w:p>
            <w:pPr>
              <w:pStyle w:val="TableText"/>
              <w:ind w:left="771"/>
              <w:spacing w:before="93" w:line="195" w:lineRule="auto"/>
              <w:rPr/>
            </w:pPr>
            <w:r>
              <w:rPr>
                <w:spacing w:val="2"/>
              </w:rPr>
              <w:t>0.41</w:t>
            </w:r>
          </w:p>
        </w:tc>
        <w:tc>
          <w:tcPr>
            <w:tcW w:w="1873" w:type="dxa"/>
            <w:vAlign w:val="top"/>
          </w:tcPr>
          <w:p>
            <w:pPr>
              <w:pStyle w:val="TableText"/>
              <w:ind w:left="669"/>
              <w:spacing w:before="93" w:line="195" w:lineRule="auto"/>
              <w:rPr/>
            </w:pPr>
            <w:r>
              <w:rPr>
                <w:spacing w:val="3"/>
              </w:rPr>
              <w:t>0.77%</w:t>
            </w:r>
          </w:p>
        </w:tc>
        <w:tc>
          <w:tcPr>
            <w:tcW w:w="1900" w:type="dxa"/>
            <w:vAlign w:val="top"/>
          </w:tcPr>
          <w:p>
            <w:pPr>
              <w:pStyle w:val="TableText"/>
              <w:ind w:left="771"/>
              <w:spacing w:before="93" w:line="195" w:lineRule="auto"/>
              <w:rPr/>
            </w:pPr>
            <w:r>
              <w:rPr>
                <w:spacing w:val="2"/>
              </w:rPr>
              <w:t>0.03</w:t>
            </w:r>
          </w:p>
        </w:tc>
        <w:tc>
          <w:tcPr>
            <w:tcW w:w="1705" w:type="dxa"/>
            <w:vAlign w:val="top"/>
          </w:tcPr>
          <w:p>
            <w:pPr>
              <w:pStyle w:val="TableText"/>
              <w:ind w:left="587"/>
              <w:spacing w:before="93" w:line="195" w:lineRule="auto"/>
              <w:rPr/>
            </w:pPr>
            <w:r>
              <w:rPr>
                <w:spacing w:val="3"/>
              </w:rPr>
              <w:t>0.26%</w:t>
            </w:r>
          </w:p>
        </w:tc>
      </w:tr>
      <w:tr>
        <w:trPr>
          <w:trHeight w:val="328" w:hRule="atLeast"/>
        </w:trPr>
        <w:tc>
          <w:tcPr>
            <w:tcW w:w="1905" w:type="dxa"/>
            <w:vAlign w:val="top"/>
          </w:tcPr>
          <w:p>
            <w:pPr>
              <w:ind w:left="752"/>
              <w:spacing w:before="57" w:line="229" w:lineRule="auto"/>
              <w:rPr>
                <w:rFonts w:ascii="SimSun" w:hAnsi="SimSun" w:eastAsia="SimSun" w:cs="SimSun"/>
                <w:sz w:val="20"/>
                <w:szCs w:val="20"/>
              </w:rPr>
            </w:pPr>
            <w:r>
              <w:rPr>
                <w:rFonts w:ascii="SimSun" w:hAnsi="SimSun" w:eastAsia="SimSun" w:cs="SimSun"/>
                <w:sz w:val="20"/>
                <w:szCs w:val="20"/>
                <w:spacing w:val="2"/>
              </w:rPr>
              <w:t>总计</w:t>
            </w:r>
          </w:p>
        </w:tc>
        <w:tc>
          <w:tcPr>
            <w:tcW w:w="1902" w:type="dxa"/>
            <w:vAlign w:val="top"/>
          </w:tcPr>
          <w:p>
            <w:pPr>
              <w:pStyle w:val="TableText"/>
              <w:ind w:left="720"/>
              <w:spacing w:before="93" w:line="195" w:lineRule="auto"/>
              <w:rPr/>
            </w:pPr>
            <w:r>
              <w:rPr>
                <w:spacing w:val="2"/>
              </w:rPr>
              <w:t>53.41</w:t>
            </w:r>
          </w:p>
        </w:tc>
        <w:tc>
          <w:tcPr>
            <w:tcW w:w="1873" w:type="dxa"/>
            <w:vAlign w:val="top"/>
          </w:tcPr>
          <w:p>
            <w:pPr>
              <w:pStyle w:val="TableText"/>
              <w:ind w:left="580"/>
              <w:spacing w:before="93" w:line="195" w:lineRule="auto"/>
              <w:rPr/>
            </w:pPr>
            <w:r>
              <w:rPr>
                <w:spacing w:val="1"/>
              </w:rPr>
              <w:t>100.00%</w:t>
            </w:r>
          </w:p>
        </w:tc>
        <w:tc>
          <w:tcPr>
            <w:tcW w:w="1900" w:type="dxa"/>
            <w:vAlign w:val="top"/>
          </w:tcPr>
          <w:p>
            <w:pPr>
              <w:pStyle w:val="TableText"/>
              <w:ind w:left="735"/>
              <w:spacing w:before="93" w:line="195" w:lineRule="auto"/>
              <w:rPr/>
            </w:pPr>
            <w:r>
              <w:rPr>
                <w:spacing w:val="-1"/>
              </w:rPr>
              <w:t>12.35</w:t>
            </w:r>
          </w:p>
        </w:tc>
        <w:tc>
          <w:tcPr>
            <w:tcW w:w="1705" w:type="dxa"/>
            <w:vAlign w:val="top"/>
          </w:tcPr>
          <w:p>
            <w:pPr>
              <w:pStyle w:val="TableText"/>
              <w:ind w:left="498"/>
              <w:spacing w:before="93" w:line="195" w:lineRule="auto"/>
              <w:rPr/>
            </w:pPr>
            <w:r>
              <w:rPr>
                <w:spacing w:val="1"/>
              </w:rPr>
              <w:t>100.00%</w:t>
            </w:r>
          </w:p>
        </w:tc>
      </w:tr>
    </w:tbl>
    <w:p>
      <w:pPr>
        <w:pStyle w:val="BodyText"/>
        <w:spacing w:line="278" w:lineRule="auto"/>
        <w:rPr/>
      </w:pPr>
      <w:r/>
    </w:p>
    <w:p>
      <w:pPr>
        <w:pStyle w:val="BodyText"/>
        <w:spacing w:line="279" w:lineRule="auto"/>
        <w:rPr/>
      </w:pPr>
      <w:r/>
    </w:p>
    <w:p>
      <w:pPr>
        <w:ind w:left="185"/>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4.2.2  </w:t>
      </w:r>
      <w:r>
        <w:rPr>
          <w:rFonts w:ascii="SimHei" w:hAnsi="SimHei" w:eastAsia="SimHei" w:cs="SimHei"/>
          <w:sz w:val="28"/>
          <w:szCs w:val="28"/>
          <w:b/>
          <w:bCs/>
          <w:spacing w:val="-2"/>
        </w:rPr>
        <w:t>环境空气质量现状监测与评价</w:t>
      </w:r>
    </w:p>
    <w:p>
      <w:pPr>
        <w:ind w:left="184"/>
        <w:spacing w:before="201"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4.2.2.1  </w:t>
      </w:r>
      <w:r>
        <w:rPr>
          <w:rFonts w:ascii="SimHei" w:hAnsi="SimHei" w:eastAsia="SimHei" w:cs="SimHei"/>
          <w:sz w:val="24"/>
          <w:szCs w:val="24"/>
          <w:b/>
          <w:bCs/>
          <w:spacing w:val="-2"/>
        </w:rPr>
        <w:t>区域环境空气质量达标区判定</w:t>
      </w:r>
    </w:p>
    <w:p>
      <w:pPr>
        <w:ind w:left="189" w:right="112" w:firstLine="508"/>
        <w:spacing w:before="162" w:line="339" w:lineRule="auto"/>
        <w:jc w:val="both"/>
        <w:rPr>
          <w:rFonts w:ascii="SimSun" w:hAnsi="SimSun" w:eastAsia="SimSun" w:cs="SimSun"/>
          <w:sz w:val="24"/>
          <w:szCs w:val="24"/>
        </w:rPr>
      </w:pPr>
      <w:r>
        <w:rPr>
          <w:rFonts w:ascii="SimSun" w:hAnsi="SimSun" w:eastAsia="SimSun" w:cs="SimSun"/>
          <w:sz w:val="24"/>
          <w:szCs w:val="24"/>
          <w:spacing w:val="-2"/>
        </w:rPr>
        <w:t>内蒙古自治区生态环境厅</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月发布了《</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年内蒙古自治区生态环境状况</w:t>
      </w:r>
      <w:r>
        <w:rPr>
          <w:rFonts w:ascii="SimSun" w:hAnsi="SimSun" w:eastAsia="SimSun" w:cs="SimSun"/>
          <w:sz w:val="24"/>
          <w:szCs w:val="24"/>
          <w:spacing w:val="-3"/>
        </w:rPr>
        <w:t>公报》。根据该公报，</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年全区城市空气质量优良天数比例为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89.6%</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，扣除异常沙尘</w:t>
      </w:r>
      <w:r>
        <w:rPr>
          <w:rFonts w:ascii="SimSun" w:hAnsi="SimSun" w:eastAsia="SimSun" w:cs="SimSun"/>
          <w:sz w:val="24"/>
          <w:szCs w:val="24"/>
          <w:spacing w:val="-1"/>
        </w:rPr>
        <w:t>天气影响后，全区环境空气质量优良天数比例为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2"/>
        </w:rPr>
        <w:t>0.7%</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，项目所在的锡林郭勒盟环境空</w:t>
      </w:r>
      <w:r>
        <w:rPr>
          <w:rFonts w:ascii="SimSun" w:hAnsi="SimSun" w:eastAsia="SimSun" w:cs="SimSun"/>
          <w:sz w:val="24"/>
          <w:szCs w:val="24"/>
          <w:spacing w:val="-2"/>
        </w:rPr>
        <w:t>气质量优良天数比例为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97%</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。锡林郭勒盟环境空气质量均为达标区。</w:t>
      </w:r>
    </w:p>
    <w:p>
      <w:pPr>
        <w:ind w:left="184"/>
        <w:spacing w:before="25"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4.2.2.2  </w:t>
      </w:r>
      <w:r>
        <w:rPr>
          <w:rFonts w:ascii="SimHei" w:hAnsi="SimHei" w:eastAsia="SimHei" w:cs="SimHei"/>
          <w:sz w:val="24"/>
          <w:szCs w:val="24"/>
          <w:b/>
          <w:bCs/>
          <w:spacing w:val="-2"/>
        </w:rPr>
        <w:t>环境空气质量现状情况</w:t>
      </w:r>
    </w:p>
    <w:p>
      <w:pPr>
        <w:ind w:left="186" w:right="112" w:firstLine="511"/>
        <w:spacing w:before="162" w:line="338" w:lineRule="auto"/>
        <w:jc w:val="both"/>
        <w:rPr>
          <w:rFonts w:ascii="SimSun" w:hAnsi="SimSun" w:eastAsia="SimSun" w:cs="SimSun"/>
          <w:sz w:val="24"/>
          <w:szCs w:val="24"/>
        </w:rPr>
      </w:pPr>
      <w:r>
        <w:rPr>
          <w:rFonts w:ascii="SimSun" w:hAnsi="SimSun" w:eastAsia="SimSun" w:cs="SimSun"/>
          <w:sz w:val="24"/>
          <w:szCs w:val="24"/>
          <w:spacing w:val="-7"/>
        </w:rPr>
        <w:t>内蒙古泽铭技术检测有限公司于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2025 </w:t>
      </w:r>
      <w:r>
        <w:rPr>
          <w:rFonts w:ascii="SimSun" w:hAnsi="SimSun" w:eastAsia="SimSun" w:cs="SimSun"/>
          <w:sz w:val="24"/>
          <w:szCs w:val="24"/>
          <w:spacing w:val="-7"/>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27  </w:t>
      </w:r>
      <w:r>
        <w:rPr>
          <w:rFonts w:ascii="SimSun" w:hAnsi="SimSun" w:eastAsia="SimSun" w:cs="SimSun"/>
          <w:sz w:val="24"/>
          <w:szCs w:val="24"/>
          <w:spacing w:val="-7"/>
        </w:rPr>
        <w:t>日～</w:t>
      </w:r>
      <w:r>
        <w:rPr>
          <w:rFonts w:ascii="Times New Roman" w:hAnsi="Times New Roman" w:eastAsia="Times New Roman" w:cs="Times New Roman"/>
          <w:sz w:val="24"/>
          <w:szCs w:val="24"/>
          <w:spacing w:val="-7"/>
        </w:rPr>
        <w:t>2025 </w:t>
      </w:r>
      <w:r>
        <w:rPr>
          <w:rFonts w:ascii="SimSun" w:hAnsi="SimSun" w:eastAsia="SimSun" w:cs="SimSun"/>
          <w:sz w:val="24"/>
          <w:szCs w:val="24"/>
          <w:spacing w:val="-7"/>
        </w:rPr>
        <w:t>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7"/>
        </w:rPr>
        <w:t>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7"/>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  </w:t>
      </w:r>
      <w:r>
        <w:rPr>
          <w:rFonts w:ascii="SimSun" w:hAnsi="SimSun" w:eastAsia="SimSun" w:cs="SimSun"/>
          <w:sz w:val="24"/>
          <w:szCs w:val="24"/>
          <w:spacing w:val="-7"/>
        </w:rPr>
        <w:t>日，</w:t>
      </w:r>
      <w:r>
        <w:rPr>
          <w:rFonts w:ascii="SimSun" w:hAnsi="SimSun" w:eastAsia="SimSun" w:cs="SimSun"/>
          <w:sz w:val="24"/>
          <w:szCs w:val="24"/>
          <w:spacing w:val="-8"/>
        </w:rPr>
        <w:t>对项目区域</w:t>
      </w:r>
      <w:r>
        <w:rPr>
          <w:rFonts w:ascii="Times New Roman" w:hAnsi="Times New Roman" w:eastAsia="Times New Roman" w:cs="Times New Roman"/>
          <w:sz w:val="24"/>
          <w:szCs w:val="24"/>
          <w:spacing w:val="-2"/>
        </w:rPr>
        <w:t>TSP </w:t>
      </w:r>
      <w:r>
        <w:rPr>
          <w:rFonts w:ascii="SimSun" w:hAnsi="SimSun" w:eastAsia="SimSun" w:cs="SimSun"/>
          <w:sz w:val="24"/>
          <w:szCs w:val="24"/>
          <w:spacing w:val="-2"/>
        </w:rPr>
        <w:t>进行连续</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7 </w:t>
      </w:r>
      <w:r>
        <w:rPr>
          <w:rFonts w:ascii="SimSun" w:hAnsi="SimSun" w:eastAsia="SimSun" w:cs="SimSun"/>
          <w:sz w:val="24"/>
          <w:szCs w:val="24"/>
          <w:spacing w:val="-2"/>
        </w:rPr>
        <w:t>天的补充检测。监测点位见表</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4-2-25</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。监测结果见表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4-2-26</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。监测布点</w:t>
      </w:r>
      <w:r>
        <w:rPr>
          <w:rFonts w:ascii="SimSun" w:hAnsi="SimSun" w:eastAsia="SimSun" w:cs="SimSun"/>
          <w:sz w:val="24"/>
          <w:szCs w:val="24"/>
          <w:spacing w:val="1"/>
        </w:rPr>
        <w:t>见图</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4-2-4</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1"/>
        </w:rPr>
        <w:t>。监测报告为针对四号露天矿井工区</w:t>
      </w:r>
      <w:r>
        <w:rPr>
          <w:rFonts w:ascii="SimSun" w:hAnsi="SimSun" w:eastAsia="SimSun" w:cs="SimSun"/>
          <w:sz w:val="24"/>
          <w:szCs w:val="24"/>
        </w:rPr>
        <w:t>及露天区整体布点，本次评价引用部分</w:t>
      </w:r>
      <w:r>
        <w:rPr>
          <w:rFonts w:ascii="SimSun" w:hAnsi="SimSun" w:eastAsia="SimSun" w:cs="SimSun"/>
          <w:sz w:val="24"/>
          <w:szCs w:val="24"/>
          <w:spacing w:val="-2"/>
        </w:rPr>
        <w:t>监测布点数据。</w:t>
      </w:r>
    </w:p>
    <w:p>
      <w:pPr>
        <w:ind w:left="2676"/>
        <w:spacing w:before="1" w:line="219" w:lineRule="auto"/>
        <w:rPr>
          <w:rFonts w:ascii="SimSun" w:hAnsi="SimSun" w:eastAsia="SimSun" w:cs="SimSun"/>
          <w:sz w:val="24"/>
          <w:szCs w:val="24"/>
        </w:rPr>
      </w:pPr>
      <w:r>
        <w:rPr>
          <w:rFonts w:ascii="SimSun" w:hAnsi="SimSun" w:eastAsia="SimSun" w:cs="SimSun"/>
          <w:sz w:val="24"/>
          <w:szCs w:val="24"/>
          <w:b/>
          <w:bCs/>
          <w:spacing w:val="-3"/>
        </w:rPr>
        <w:t>环境空气质量监测点位、项目、频次一览表</w:t>
      </w:r>
    </w:p>
    <w:p>
      <w:pPr>
        <w:ind w:left="186"/>
        <w:spacing w:before="39" w:line="226" w:lineRule="auto"/>
        <w:rPr>
          <w:rFonts w:ascii="Times New Roman" w:hAnsi="Times New Roman" w:eastAsia="Times New Roman" w:cs="Times New Roman"/>
          <w:sz w:val="20"/>
          <w:szCs w:val="20"/>
        </w:rPr>
      </w:pPr>
      <w:r>
        <w:pict>
          <v:shape id="_x0000_s1202" style="position:absolute;margin-left:0.060001pt;margin-top:140.986pt;mso-position-vertical-relative:text;mso-position-horizontal-relative:text;width:0.15pt;height:52.1pt;z-index:261567488;" filled="false" strokecolor="#000000" strokeweight="0.12pt" coordsize="3,1041" coordorigin="0,0" path="m1,1l1,519m1,519l1,1040e">
            <v:stroke endcap="round" miterlimit="10"/>
          </v:shape>
        </w:pict>
      </w: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4-2-25</w:t>
      </w:r>
    </w:p>
    <w:tbl>
      <w:tblPr>
        <w:tblStyle w:val="TableNormal"/>
        <w:tblW w:w="9290" w:type="dxa"/>
        <w:tblInd w:w="70"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01"/>
        <w:gridCol w:w="828"/>
        <w:gridCol w:w="1621"/>
        <w:gridCol w:w="2367"/>
        <w:gridCol w:w="3073"/>
      </w:tblGrid>
      <w:tr>
        <w:trPr>
          <w:trHeight w:val="936" w:hRule="atLeast"/>
        </w:trPr>
        <w:tc>
          <w:tcPr>
            <w:tcW w:w="1401" w:type="dxa"/>
            <w:vAlign w:val="top"/>
          </w:tcPr>
          <w:p>
            <w:pPr>
              <w:spacing w:line="293" w:lineRule="auto"/>
              <w:rPr>
                <w:rFonts w:ascii="Arial"/>
                <w:sz w:val="21"/>
              </w:rPr>
            </w:pPr>
            <w:r/>
          </w:p>
          <w:p>
            <w:pPr>
              <w:ind w:left="390"/>
              <w:spacing w:before="65" w:line="229" w:lineRule="auto"/>
              <w:rPr>
                <w:rFonts w:ascii="SimSun" w:hAnsi="SimSun" w:eastAsia="SimSun" w:cs="SimSun"/>
                <w:sz w:val="20"/>
                <w:szCs w:val="20"/>
              </w:rPr>
            </w:pPr>
            <w:r>
              <w:rPr>
                <w:rFonts w:ascii="SimSun" w:hAnsi="SimSun" w:eastAsia="SimSun" w:cs="SimSun"/>
                <w:sz w:val="20"/>
                <w:szCs w:val="20"/>
                <w:spacing w:val="6"/>
              </w:rPr>
              <w:t>监测点</w:t>
            </w:r>
          </w:p>
        </w:tc>
        <w:tc>
          <w:tcPr>
            <w:tcW w:w="828" w:type="dxa"/>
            <w:vAlign w:val="top"/>
          </w:tcPr>
          <w:p>
            <w:pPr>
              <w:ind w:left="208"/>
              <w:spacing w:before="89" w:line="229" w:lineRule="auto"/>
              <w:rPr>
                <w:rFonts w:ascii="SimSun" w:hAnsi="SimSun" w:eastAsia="SimSun" w:cs="SimSun"/>
                <w:sz w:val="20"/>
                <w:szCs w:val="20"/>
              </w:rPr>
            </w:pPr>
            <w:r>
              <w:rPr>
                <w:rFonts w:ascii="SimSun" w:hAnsi="SimSun" w:eastAsia="SimSun" w:cs="SimSun"/>
                <w:sz w:val="20"/>
                <w:szCs w:val="20"/>
                <w:spacing w:val="4"/>
              </w:rPr>
              <w:t>监测</w:t>
            </w:r>
          </w:p>
          <w:p>
            <w:pPr>
              <w:ind w:left="317" w:right="205" w:hanging="99"/>
              <w:spacing w:before="24" w:line="252" w:lineRule="auto"/>
              <w:rPr>
                <w:rFonts w:ascii="SimSun" w:hAnsi="SimSun" w:eastAsia="SimSun" w:cs="SimSun"/>
                <w:sz w:val="20"/>
                <w:szCs w:val="20"/>
              </w:rPr>
            </w:pPr>
            <w:r>
              <w:rPr>
                <w:rFonts w:ascii="SimSun" w:hAnsi="SimSun" w:eastAsia="SimSun" w:cs="SimSun"/>
                <w:sz w:val="20"/>
                <w:szCs w:val="20"/>
                <w:spacing w:val="-1"/>
              </w:rPr>
              <w:t>点编</w:t>
            </w:r>
            <w:r>
              <w:rPr>
                <w:rFonts w:ascii="SimSun" w:hAnsi="SimSun" w:eastAsia="SimSun" w:cs="SimSun"/>
                <w:sz w:val="20"/>
                <w:szCs w:val="20"/>
              </w:rPr>
              <w:t>号</w:t>
            </w:r>
          </w:p>
        </w:tc>
        <w:tc>
          <w:tcPr>
            <w:tcW w:w="1621" w:type="dxa"/>
            <w:vAlign w:val="top"/>
          </w:tcPr>
          <w:p>
            <w:pPr>
              <w:spacing w:line="293" w:lineRule="auto"/>
              <w:rPr>
                <w:rFonts w:ascii="Arial"/>
                <w:sz w:val="21"/>
              </w:rPr>
            </w:pPr>
            <w:r/>
          </w:p>
          <w:p>
            <w:pPr>
              <w:ind w:left="393"/>
              <w:spacing w:before="65" w:line="228" w:lineRule="auto"/>
              <w:rPr>
                <w:rFonts w:ascii="SimSun" w:hAnsi="SimSun" w:eastAsia="SimSun" w:cs="SimSun"/>
                <w:sz w:val="20"/>
                <w:szCs w:val="20"/>
              </w:rPr>
            </w:pPr>
            <w:r>
              <w:rPr>
                <w:rFonts w:ascii="SimSun" w:hAnsi="SimSun" w:eastAsia="SimSun" w:cs="SimSun"/>
                <w:sz w:val="20"/>
                <w:szCs w:val="20"/>
                <w:spacing w:val="7"/>
              </w:rPr>
              <w:t>监测项目</w:t>
            </w:r>
          </w:p>
        </w:tc>
        <w:tc>
          <w:tcPr>
            <w:tcW w:w="2367" w:type="dxa"/>
            <w:vAlign w:val="top"/>
          </w:tcPr>
          <w:p>
            <w:pPr>
              <w:spacing w:line="293" w:lineRule="auto"/>
              <w:rPr>
                <w:rFonts w:ascii="Arial"/>
                <w:sz w:val="21"/>
              </w:rPr>
            </w:pPr>
            <w:r/>
          </w:p>
          <w:p>
            <w:pPr>
              <w:ind w:left="452"/>
              <w:spacing w:before="65" w:line="228" w:lineRule="auto"/>
              <w:rPr>
                <w:rFonts w:ascii="SimSun" w:hAnsi="SimSun" w:eastAsia="SimSun" w:cs="SimSun"/>
                <w:sz w:val="20"/>
                <w:szCs w:val="20"/>
              </w:rPr>
            </w:pPr>
            <w:r>
              <w:rPr>
                <w:rFonts w:ascii="SimSun" w:hAnsi="SimSun" w:eastAsia="SimSun" w:cs="SimSun"/>
                <w:sz w:val="20"/>
                <w:szCs w:val="20"/>
                <w:spacing w:val="8"/>
              </w:rPr>
              <w:t>监测时间与频次</w:t>
            </w:r>
          </w:p>
        </w:tc>
        <w:tc>
          <w:tcPr>
            <w:tcW w:w="3073" w:type="dxa"/>
            <w:vAlign w:val="top"/>
          </w:tcPr>
          <w:p>
            <w:pPr>
              <w:ind w:left="113"/>
              <w:spacing w:before="223" w:line="227" w:lineRule="auto"/>
              <w:rPr>
                <w:rFonts w:ascii="SimSun" w:hAnsi="SimSun" w:eastAsia="SimSun" w:cs="SimSun"/>
                <w:sz w:val="20"/>
                <w:szCs w:val="20"/>
              </w:rPr>
            </w:pPr>
            <w:r>
              <w:rPr>
                <w:rFonts w:ascii="SimSun" w:hAnsi="SimSun" w:eastAsia="SimSun" w:cs="SimSun"/>
                <w:sz w:val="20"/>
                <w:szCs w:val="20"/>
                <w:spacing w:val="3"/>
              </w:rPr>
              <w:t>监测要求和采样、分析方法和数</w:t>
            </w:r>
          </w:p>
          <w:p>
            <w:pPr>
              <w:ind w:left="1225"/>
              <w:spacing w:before="27" w:line="228" w:lineRule="auto"/>
              <w:rPr>
                <w:rFonts w:ascii="SimSun" w:hAnsi="SimSun" w:eastAsia="SimSun" w:cs="SimSun"/>
                <w:sz w:val="20"/>
                <w:szCs w:val="20"/>
              </w:rPr>
            </w:pPr>
            <w:r>
              <w:rPr>
                <w:rFonts w:ascii="SimSun" w:hAnsi="SimSun" w:eastAsia="SimSun" w:cs="SimSun"/>
                <w:sz w:val="20"/>
                <w:szCs w:val="20"/>
                <w:spacing w:val="7"/>
              </w:rPr>
              <w:t>据处理</w:t>
            </w:r>
          </w:p>
        </w:tc>
      </w:tr>
      <w:tr>
        <w:trPr>
          <w:trHeight w:val="984" w:hRule="atLeast"/>
        </w:trPr>
        <w:tc>
          <w:tcPr>
            <w:tcW w:w="1401" w:type="dxa"/>
            <w:vAlign w:val="top"/>
          </w:tcPr>
          <w:p>
            <w:pPr>
              <w:ind w:left="185"/>
              <w:spacing w:before="110" w:line="227" w:lineRule="auto"/>
              <w:rPr>
                <w:rFonts w:ascii="SimSun" w:hAnsi="SimSun" w:eastAsia="SimSun" w:cs="SimSun"/>
                <w:sz w:val="20"/>
                <w:szCs w:val="20"/>
              </w:rPr>
            </w:pPr>
            <w:r>
              <w:rPr>
                <w:rFonts w:ascii="SimSun" w:hAnsi="SimSun" w:eastAsia="SimSun" w:cs="SimSun"/>
                <w:sz w:val="20"/>
                <w:szCs w:val="20"/>
                <w:spacing w:val="7"/>
              </w:rPr>
              <w:t>露天区采场</w:t>
            </w:r>
          </w:p>
          <w:p>
            <w:pPr>
              <w:pStyle w:val="TableText"/>
              <w:ind w:left="184"/>
              <w:spacing w:before="28" w:line="228" w:lineRule="auto"/>
              <w:rPr/>
            </w:pPr>
            <w:r>
              <w:rPr>
                <w:rFonts w:ascii="SimSun" w:hAnsi="SimSun" w:eastAsia="SimSun" w:cs="SimSun"/>
                <w:spacing w:val="5"/>
              </w:rPr>
              <w:t>下风向</w:t>
            </w:r>
            <w:r>
              <w:rPr>
                <w:rFonts w:ascii="SimSun" w:hAnsi="SimSun" w:eastAsia="SimSun" w:cs="SimSun"/>
                <w:spacing w:val="-39"/>
              </w:rPr>
              <w:t xml:space="preserve"> </w:t>
            </w:r>
            <w:r>
              <w:rPr>
                <w:spacing w:val="5"/>
              </w:rPr>
              <w:t>3</w:t>
            </w:r>
            <w:r>
              <w:rPr/>
              <w:t>km</w:t>
            </w:r>
          </w:p>
          <w:p>
            <w:pPr>
              <w:ind w:left="290"/>
              <w:spacing w:before="24" w:line="228" w:lineRule="auto"/>
              <w:rPr>
                <w:rFonts w:ascii="SimSun" w:hAnsi="SimSun" w:eastAsia="SimSun" w:cs="SimSun"/>
                <w:sz w:val="20"/>
                <w:szCs w:val="20"/>
              </w:rPr>
            </w:pPr>
            <w:r>
              <w:rPr>
                <w:rFonts w:ascii="SimSun" w:hAnsi="SimSun" w:eastAsia="SimSun" w:cs="SimSun"/>
                <w:sz w:val="20"/>
                <w:szCs w:val="20"/>
                <w:spacing w:val="6"/>
              </w:rPr>
              <w:t>处居民点</w:t>
            </w:r>
          </w:p>
        </w:tc>
        <w:tc>
          <w:tcPr>
            <w:tcW w:w="828" w:type="dxa"/>
            <w:vAlign w:val="top"/>
          </w:tcPr>
          <w:p>
            <w:pPr>
              <w:spacing w:line="360" w:lineRule="auto"/>
              <w:rPr>
                <w:rFonts w:ascii="Arial"/>
                <w:sz w:val="21"/>
              </w:rPr>
            </w:pPr>
            <w:r/>
          </w:p>
          <w:p>
            <w:pPr>
              <w:pStyle w:val="TableText"/>
              <w:ind w:left="329"/>
              <w:spacing w:before="57" w:line="195" w:lineRule="auto"/>
              <w:rPr/>
            </w:pPr>
            <w:r>
              <w:rPr>
                <w:spacing w:val="-8"/>
              </w:rPr>
              <w:t>1#</w:t>
            </w:r>
          </w:p>
        </w:tc>
        <w:tc>
          <w:tcPr>
            <w:tcW w:w="1621" w:type="dxa"/>
            <w:vAlign w:val="top"/>
            <w:vMerge w:val="restart"/>
            <w:tcBorders>
              <w:bottom w:val="nil"/>
            </w:tcBorders>
          </w:tcPr>
          <w:p>
            <w:pPr>
              <w:spacing w:line="247" w:lineRule="auto"/>
              <w:rPr>
                <w:rFonts w:ascii="Arial"/>
                <w:sz w:val="21"/>
              </w:rPr>
            </w:pPr>
            <w:r/>
          </w:p>
          <w:p>
            <w:pPr>
              <w:spacing w:line="247" w:lineRule="auto"/>
              <w:rPr>
                <w:rFonts w:ascii="Arial"/>
                <w:sz w:val="21"/>
              </w:rPr>
            </w:pPr>
            <w:r/>
          </w:p>
          <w:p>
            <w:pPr>
              <w:pStyle w:val="TableText"/>
              <w:ind w:left="186"/>
              <w:spacing w:before="65" w:line="228" w:lineRule="auto"/>
              <w:rPr>
                <w:rFonts w:ascii="SimSun" w:hAnsi="SimSun" w:eastAsia="SimSun" w:cs="SimSun"/>
              </w:rPr>
            </w:pPr>
            <w:r>
              <w:rPr>
                <w:spacing w:val="-1"/>
              </w:rPr>
              <w:t>TSP  </w:t>
            </w:r>
            <w:r>
              <w:rPr>
                <w:rFonts w:ascii="SimSun" w:hAnsi="SimSun" w:eastAsia="SimSun" w:cs="SimSun"/>
                <w:spacing w:val="-1"/>
              </w:rPr>
              <w:t>日均浓度</w:t>
            </w:r>
          </w:p>
        </w:tc>
        <w:tc>
          <w:tcPr>
            <w:tcW w:w="2367" w:type="dxa"/>
            <w:vAlign w:val="top"/>
            <w:vMerge w:val="restart"/>
            <w:tcBorders>
              <w:bottom w:val="nil"/>
            </w:tcBorders>
          </w:tcPr>
          <w:p>
            <w:pPr>
              <w:spacing w:line="343" w:lineRule="auto"/>
              <w:rPr>
                <w:rFonts w:ascii="Arial"/>
                <w:sz w:val="21"/>
              </w:rPr>
            </w:pPr>
            <w:r/>
          </w:p>
          <w:p>
            <w:pPr>
              <w:pStyle w:val="TableText"/>
              <w:ind w:left="140"/>
              <w:spacing w:before="65" w:line="228" w:lineRule="auto"/>
              <w:rPr>
                <w:rFonts w:ascii="SimSun" w:hAnsi="SimSun" w:eastAsia="SimSun" w:cs="SimSun"/>
              </w:rPr>
            </w:pPr>
            <w:r>
              <w:rPr>
                <w:rFonts w:ascii="SimSun" w:hAnsi="SimSun" w:eastAsia="SimSun" w:cs="SimSun"/>
                <w:spacing w:val="5"/>
              </w:rPr>
              <w:t>连续监测</w:t>
            </w:r>
            <w:r>
              <w:rPr>
                <w:rFonts w:ascii="SimSun" w:hAnsi="SimSun" w:eastAsia="SimSun" w:cs="SimSun"/>
                <w:spacing w:val="-29"/>
              </w:rPr>
              <w:t xml:space="preserve"> </w:t>
            </w:r>
            <w:r>
              <w:rPr>
                <w:spacing w:val="5"/>
              </w:rPr>
              <w:t>7</w:t>
            </w:r>
            <w:r>
              <w:rPr>
                <w:spacing w:val="16"/>
                <w:w w:val="101"/>
              </w:rPr>
              <w:t xml:space="preserve"> </w:t>
            </w:r>
            <w:r>
              <w:rPr>
                <w:rFonts w:ascii="SimSun" w:hAnsi="SimSun" w:eastAsia="SimSun" w:cs="SimSun"/>
                <w:spacing w:val="5"/>
              </w:rPr>
              <w:t>天；</w:t>
            </w:r>
            <w:r>
              <w:rPr/>
              <w:t>TSP</w:t>
            </w:r>
            <w:r>
              <w:rPr>
                <w:spacing w:val="45"/>
                <w:w w:val="101"/>
              </w:rPr>
              <w:t xml:space="preserve"> </w:t>
            </w:r>
            <w:r>
              <w:rPr>
                <w:rFonts w:ascii="SimSun" w:hAnsi="SimSun" w:eastAsia="SimSun" w:cs="SimSun"/>
                <w:spacing w:val="5"/>
              </w:rPr>
              <w:t>日</w:t>
            </w:r>
          </w:p>
          <w:p>
            <w:pPr>
              <w:pStyle w:val="TableText"/>
              <w:ind w:left="113"/>
              <w:spacing w:before="23" w:line="228" w:lineRule="auto"/>
              <w:rPr/>
            </w:pPr>
            <w:r>
              <w:rPr>
                <w:rFonts w:ascii="SimSun" w:hAnsi="SimSun" w:eastAsia="SimSun" w:cs="SimSun"/>
                <w:spacing w:val="7"/>
              </w:rPr>
              <w:t>均浓度每天连续监测</w:t>
            </w:r>
            <w:r>
              <w:rPr>
                <w:rFonts w:ascii="SimSun" w:hAnsi="SimSun" w:eastAsia="SimSun" w:cs="SimSun"/>
                <w:spacing w:val="-36"/>
              </w:rPr>
              <w:t xml:space="preserve"> </w:t>
            </w:r>
            <w:r>
              <w:rPr>
                <w:spacing w:val="7"/>
              </w:rPr>
              <w:t>24</w:t>
            </w:r>
          </w:p>
          <w:p>
            <w:pPr>
              <w:ind w:left="871"/>
              <w:spacing w:before="26" w:line="228" w:lineRule="auto"/>
              <w:rPr>
                <w:rFonts w:ascii="SimSun" w:hAnsi="SimSun" w:eastAsia="SimSun" w:cs="SimSun"/>
                <w:sz w:val="20"/>
                <w:szCs w:val="20"/>
              </w:rPr>
            </w:pPr>
            <w:r>
              <w:rPr>
                <w:rFonts w:ascii="SimSun" w:hAnsi="SimSun" w:eastAsia="SimSun" w:cs="SimSun"/>
                <w:sz w:val="20"/>
                <w:szCs w:val="20"/>
                <w:spacing w:val="6"/>
              </w:rPr>
              <w:t>个小时</w:t>
            </w:r>
          </w:p>
        </w:tc>
        <w:tc>
          <w:tcPr>
            <w:tcW w:w="3073" w:type="dxa"/>
            <w:vAlign w:val="top"/>
            <w:vMerge w:val="restart"/>
            <w:tcBorders>
              <w:bottom w:val="nil"/>
            </w:tcBorders>
          </w:tcPr>
          <w:p>
            <w:pPr>
              <w:ind w:left="113"/>
              <w:spacing w:before="139" w:line="227" w:lineRule="auto"/>
              <w:rPr>
                <w:rFonts w:ascii="SimSun" w:hAnsi="SimSun" w:eastAsia="SimSun" w:cs="SimSun"/>
                <w:sz w:val="20"/>
                <w:szCs w:val="20"/>
              </w:rPr>
            </w:pPr>
            <w:r>
              <w:rPr>
                <w:rFonts w:ascii="SimSun" w:hAnsi="SimSun" w:eastAsia="SimSun" w:cs="SimSun"/>
                <w:sz w:val="20"/>
                <w:szCs w:val="20"/>
                <w:spacing w:val="3"/>
              </w:rPr>
              <w:t>监测要求和采样、分析方法按有</w:t>
            </w:r>
          </w:p>
          <w:p>
            <w:pPr>
              <w:ind w:left="180"/>
              <w:spacing w:before="24" w:line="228" w:lineRule="auto"/>
              <w:rPr>
                <w:rFonts w:ascii="SimSun" w:hAnsi="SimSun" w:eastAsia="SimSun" w:cs="SimSun"/>
                <w:sz w:val="20"/>
                <w:szCs w:val="20"/>
              </w:rPr>
            </w:pPr>
            <w:r>
              <w:rPr>
                <w:rFonts w:ascii="SimSun" w:hAnsi="SimSun" w:eastAsia="SimSun" w:cs="SimSun"/>
                <w:sz w:val="20"/>
                <w:szCs w:val="20"/>
                <w:spacing w:val="8"/>
              </w:rPr>
              <w:t>关标准和监测技术规范执行。</w:t>
            </w:r>
          </w:p>
          <w:p>
            <w:pPr>
              <w:ind w:left="387"/>
              <w:spacing w:before="24" w:line="228" w:lineRule="auto"/>
              <w:rPr>
                <w:rFonts w:ascii="SimSun" w:hAnsi="SimSun" w:eastAsia="SimSun" w:cs="SimSun"/>
                <w:sz w:val="20"/>
                <w:szCs w:val="20"/>
              </w:rPr>
            </w:pPr>
            <w:r>
              <w:rPr>
                <w:rFonts w:ascii="SimSun" w:hAnsi="SimSun" w:eastAsia="SimSun" w:cs="SimSun"/>
                <w:sz w:val="20"/>
                <w:szCs w:val="20"/>
                <w:spacing w:val="7"/>
              </w:rPr>
              <w:t>按《环境空气质量标准》</w:t>
            </w:r>
          </w:p>
          <w:p>
            <w:pPr>
              <w:pStyle w:val="TableText"/>
              <w:ind w:left="122"/>
              <w:spacing w:before="27" w:line="228" w:lineRule="auto"/>
              <w:rPr>
                <w:rFonts w:ascii="SimSun" w:hAnsi="SimSun" w:eastAsia="SimSun" w:cs="SimSun"/>
              </w:rPr>
            </w:pPr>
            <w:r>
              <w:rPr>
                <w:rFonts w:ascii="SimSun" w:hAnsi="SimSun" w:eastAsia="SimSun" w:cs="SimSun"/>
                <w:spacing w:val="5"/>
              </w:rPr>
              <w:t>（</w:t>
            </w:r>
            <w:r>
              <w:rPr/>
              <w:t>GB</w:t>
            </w:r>
            <w:r>
              <w:rPr>
                <w:spacing w:val="5"/>
              </w:rPr>
              <w:t>3095-2012</w:t>
            </w:r>
            <w:r>
              <w:rPr>
                <w:rFonts w:ascii="SimSun" w:hAnsi="SimSun" w:eastAsia="SimSun" w:cs="SimSun"/>
                <w:spacing w:val="5"/>
              </w:rPr>
              <w:t>）中的规定方法</w:t>
            </w:r>
          </w:p>
          <w:p>
            <w:pPr>
              <w:ind w:left="804"/>
              <w:spacing w:before="24" w:line="228" w:lineRule="auto"/>
              <w:rPr>
                <w:rFonts w:ascii="SimSun" w:hAnsi="SimSun" w:eastAsia="SimSun" w:cs="SimSun"/>
                <w:sz w:val="20"/>
                <w:szCs w:val="20"/>
              </w:rPr>
            </w:pPr>
            <w:r>
              <w:rPr>
                <w:rFonts w:ascii="SimSun" w:hAnsi="SimSun" w:eastAsia="SimSun" w:cs="SimSun"/>
                <w:sz w:val="20"/>
                <w:szCs w:val="20"/>
                <w:spacing w:val="7"/>
              </w:rPr>
              <w:t>进行监测分析。</w:t>
            </w:r>
          </w:p>
        </w:tc>
      </w:tr>
      <w:tr>
        <w:trPr>
          <w:trHeight w:val="596" w:hRule="atLeast"/>
        </w:trPr>
        <w:tc>
          <w:tcPr>
            <w:tcW w:w="1401" w:type="dxa"/>
            <w:vAlign w:val="top"/>
          </w:tcPr>
          <w:p>
            <w:pPr>
              <w:ind w:left="185"/>
              <w:spacing w:before="53" w:line="228" w:lineRule="auto"/>
              <w:rPr>
                <w:rFonts w:ascii="SimSun" w:hAnsi="SimSun" w:eastAsia="SimSun" w:cs="SimSun"/>
                <w:sz w:val="20"/>
                <w:szCs w:val="20"/>
              </w:rPr>
            </w:pPr>
            <w:r>
              <w:rPr>
                <w:rFonts w:ascii="SimSun" w:hAnsi="SimSun" w:eastAsia="SimSun" w:cs="SimSun"/>
                <w:sz w:val="20"/>
                <w:szCs w:val="20"/>
                <w:spacing w:val="7"/>
              </w:rPr>
              <w:t>露天区现有</w:t>
            </w:r>
          </w:p>
          <w:p>
            <w:pPr>
              <w:ind w:left="179"/>
              <w:spacing w:before="26" w:line="227" w:lineRule="auto"/>
              <w:rPr>
                <w:rFonts w:ascii="SimSun" w:hAnsi="SimSun" w:eastAsia="SimSun" w:cs="SimSun"/>
                <w:sz w:val="20"/>
                <w:szCs w:val="20"/>
              </w:rPr>
            </w:pPr>
            <w:r>
              <w:rPr>
                <w:rFonts w:ascii="SimSun" w:hAnsi="SimSun" w:eastAsia="SimSun" w:cs="SimSun"/>
                <w:sz w:val="20"/>
                <w:szCs w:val="20"/>
                <w:spacing w:val="8"/>
              </w:rPr>
              <w:t>采掘场东侧</w:t>
            </w:r>
          </w:p>
        </w:tc>
        <w:tc>
          <w:tcPr>
            <w:tcW w:w="828" w:type="dxa"/>
            <w:vAlign w:val="top"/>
          </w:tcPr>
          <w:p>
            <w:pPr>
              <w:pStyle w:val="TableText"/>
              <w:ind w:left="309"/>
              <w:spacing w:before="105" w:line="195" w:lineRule="auto"/>
              <w:rPr/>
            </w:pPr>
            <w:r>
              <w:rPr>
                <w:spacing w:val="2"/>
              </w:rPr>
              <w:t>2#</w:t>
            </w:r>
          </w:p>
        </w:tc>
        <w:tc>
          <w:tcPr>
            <w:tcW w:w="1621" w:type="dxa"/>
            <w:vAlign w:val="top"/>
            <w:vMerge w:val="continue"/>
            <w:tcBorders>
              <w:top w:val="nil"/>
            </w:tcBorders>
          </w:tcPr>
          <w:p>
            <w:pPr>
              <w:rPr>
                <w:rFonts w:ascii="Arial"/>
                <w:sz w:val="21"/>
              </w:rPr>
            </w:pPr>
            <w:r/>
          </w:p>
        </w:tc>
        <w:tc>
          <w:tcPr>
            <w:tcW w:w="2367" w:type="dxa"/>
            <w:vAlign w:val="top"/>
            <w:vMerge w:val="continue"/>
            <w:tcBorders>
              <w:top w:val="nil"/>
            </w:tcBorders>
          </w:tcPr>
          <w:p>
            <w:pPr>
              <w:rPr>
                <w:rFonts w:ascii="Arial"/>
                <w:sz w:val="21"/>
              </w:rPr>
            </w:pPr>
            <w:r/>
          </w:p>
        </w:tc>
        <w:tc>
          <w:tcPr>
            <w:tcW w:w="3073" w:type="dxa"/>
            <w:vAlign w:val="top"/>
            <w:vMerge w:val="continue"/>
            <w:tcBorders>
              <w:top w:val="nil"/>
            </w:tcBorders>
          </w:tcPr>
          <w:p>
            <w:pPr>
              <w:rPr>
                <w:rFonts w:ascii="Arial"/>
                <w:sz w:val="21"/>
              </w:rPr>
            </w:pPr>
            <w:r/>
          </w:p>
        </w:tc>
      </w:tr>
    </w:tbl>
    <w:p>
      <w:pPr>
        <w:pStyle w:val="BodyText"/>
        <w:rPr/>
      </w:pPr>
      <w:r/>
    </w:p>
    <w:p>
      <w:pPr>
        <w:sectPr>
          <w:headerReference w:type="default" r:id="rId318"/>
          <w:footerReference w:type="default" r:id="rId319"/>
          <w:pgSz w:w="11906" w:h="16838"/>
          <w:pgMar w:top="1170" w:right="1304" w:bottom="1080" w:left="1237" w:header="837" w:footer="918" w:gutter="0"/>
        </w:sectPr>
        <w:rPr/>
      </w:pPr>
    </w:p>
    <w:p>
      <w:pPr>
        <w:pStyle w:val="BodyText"/>
        <w:spacing w:line="377" w:lineRule="auto"/>
        <w:rPr/>
      </w:pPr>
      <w:r/>
    </w:p>
    <w:p>
      <w:pPr>
        <w:ind w:left="2399"/>
        <w:spacing w:before="78" w:line="219" w:lineRule="auto"/>
        <w:rPr>
          <w:rFonts w:ascii="SimSun" w:hAnsi="SimSun" w:eastAsia="SimSun" w:cs="SimSun"/>
          <w:sz w:val="24"/>
          <w:szCs w:val="24"/>
        </w:rPr>
      </w:pPr>
      <w:r>
        <w:rPr>
          <w:rFonts w:ascii="SimSun" w:hAnsi="SimSun" w:eastAsia="SimSun" w:cs="SimSun"/>
          <w:sz w:val="24"/>
          <w:szCs w:val="24"/>
          <w:b/>
          <w:bCs/>
          <w:spacing w:val="-3"/>
        </w:rPr>
        <w:t>环境空气质量现状监测结果一览表（日均值）</w:t>
      </w:r>
    </w:p>
    <w:p>
      <w:pPr>
        <w:ind w:left="33"/>
        <w:spacing w:before="259" w:line="229"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4-2-26</w:t>
      </w:r>
    </w:p>
    <w:p>
      <w:pPr>
        <w:spacing w:line="39" w:lineRule="exact"/>
        <w:rPr/>
      </w:pPr>
      <w:r/>
    </w:p>
    <w:tbl>
      <w:tblPr>
        <w:tblStyle w:val="TableNormal"/>
        <w:tblW w:w="911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25"/>
        <w:gridCol w:w="2171"/>
        <w:gridCol w:w="2106"/>
        <w:gridCol w:w="2115"/>
      </w:tblGrid>
      <w:tr>
        <w:trPr>
          <w:trHeight w:val="336" w:hRule="atLeast"/>
        </w:trPr>
        <w:tc>
          <w:tcPr>
            <w:tcW w:w="2725" w:type="dxa"/>
            <w:vAlign w:val="top"/>
            <w:vMerge w:val="restart"/>
            <w:tcBorders>
              <w:bottom w:val="nil"/>
            </w:tcBorders>
          </w:tcPr>
          <w:p>
            <w:pPr>
              <w:spacing w:line="338" w:lineRule="auto"/>
              <w:rPr>
                <w:rFonts w:ascii="Arial"/>
                <w:sz w:val="21"/>
              </w:rPr>
            </w:pPr>
            <w:r/>
          </w:p>
          <w:p>
            <w:pPr>
              <w:ind w:left="633"/>
              <w:spacing w:before="65" w:line="227" w:lineRule="auto"/>
              <w:rPr>
                <w:rFonts w:ascii="SimSun" w:hAnsi="SimSun" w:eastAsia="SimSun" w:cs="SimSun"/>
                <w:sz w:val="20"/>
                <w:szCs w:val="20"/>
              </w:rPr>
            </w:pPr>
            <w:r>
              <w:rPr>
                <w:rFonts w:ascii="SimSun" w:hAnsi="SimSun" w:eastAsia="SimSun" w:cs="SimSun"/>
                <w:sz w:val="20"/>
                <w:szCs w:val="20"/>
                <w:spacing w:val="8"/>
              </w:rPr>
              <w:t>采样地点及编号</w:t>
            </w:r>
          </w:p>
        </w:tc>
        <w:tc>
          <w:tcPr>
            <w:tcW w:w="2171" w:type="dxa"/>
            <w:vAlign w:val="top"/>
            <w:vMerge w:val="restart"/>
            <w:tcBorders>
              <w:bottom w:val="nil"/>
            </w:tcBorders>
          </w:tcPr>
          <w:p>
            <w:pPr>
              <w:spacing w:line="338" w:lineRule="auto"/>
              <w:rPr>
                <w:rFonts w:ascii="Arial"/>
                <w:sz w:val="21"/>
              </w:rPr>
            </w:pPr>
            <w:r/>
          </w:p>
          <w:p>
            <w:pPr>
              <w:ind w:left="670"/>
              <w:spacing w:before="65" w:line="227" w:lineRule="auto"/>
              <w:rPr>
                <w:rFonts w:ascii="SimSun" w:hAnsi="SimSun" w:eastAsia="SimSun" w:cs="SimSun"/>
                <w:sz w:val="20"/>
                <w:szCs w:val="20"/>
              </w:rPr>
            </w:pPr>
            <w:r>
              <w:rPr>
                <w:rFonts w:ascii="SimSun" w:hAnsi="SimSun" w:eastAsia="SimSun" w:cs="SimSun"/>
                <w:sz w:val="20"/>
                <w:szCs w:val="20"/>
                <w:spacing w:val="7"/>
              </w:rPr>
              <w:t>采样日期</w:t>
            </w:r>
          </w:p>
        </w:tc>
        <w:tc>
          <w:tcPr>
            <w:tcW w:w="2106" w:type="dxa"/>
            <w:vAlign w:val="top"/>
          </w:tcPr>
          <w:p>
            <w:pPr>
              <w:ind w:left="675"/>
              <w:spacing w:before="60" w:line="228" w:lineRule="auto"/>
              <w:rPr>
                <w:rFonts w:ascii="SimSun" w:hAnsi="SimSun" w:eastAsia="SimSun" w:cs="SimSun"/>
                <w:sz w:val="20"/>
                <w:szCs w:val="20"/>
              </w:rPr>
            </w:pPr>
            <w:r>
              <w:rPr>
                <w:rFonts w:ascii="SimSun" w:hAnsi="SimSun" w:eastAsia="SimSun" w:cs="SimSun"/>
                <w:sz w:val="20"/>
                <w:szCs w:val="20"/>
                <w:spacing w:val="-2"/>
              </w:rPr>
              <w:t>日均浓度</w:t>
            </w:r>
          </w:p>
        </w:tc>
        <w:tc>
          <w:tcPr>
            <w:tcW w:w="2115" w:type="dxa"/>
            <w:vAlign w:val="top"/>
          </w:tcPr>
          <w:p>
            <w:pPr>
              <w:pStyle w:val="TableText"/>
              <w:ind w:left="482"/>
              <w:spacing w:before="59" w:line="228" w:lineRule="auto"/>
              <w:rPr>
                <w:rFonts w:ascii="SimSun" w:hAnsi="SimSun" w:eastAsia="SimSun" w:cs="SimSun"/>
              </w:rPr>
            </w:pPr>
            <w:r>
              <w:rPr>
                <w:rFonts w:ascii="SimSun" w:hAnsi="SimSun" w:eastAsia="SimSun" w:cs="SimSun"/>
              </w:rPr>
              <w:t>占标率（</w:t>
            </w:r>
            <w:r>
              <w:rPr/>
              <w:t>%</w:t>
            </w:r>
            <w:r>
              <w:rPr>
                <w:rFonts w:ascii="SimSun" w:hAnsi="SimSun" w:eastAsia="SimSun" w:cs="SimSun"/>
              </w:rPr>
              <w:t>）</w:t>
            </w:r>
          </w:p>
        </w:tc>
      </w:tr>
      <w:tr>
        <w:trPr>
          <w:trHeight w:val="331" w:hRule="atLeast"/>
        </w:trPr>
        <w:tc>
          <w:tcPr>
            <w:tcW w:w="2725" w:type="dxa"/>
            <w:vAlign w:val="top"/>
            <w:vMerge w:val="continue"/>
            <w:tcBorders>
              <w:top w:val="nil"/>
              <w:bottom w:val="nil"/>
            </w:tcBorders>
          </w:tcPr>
          <w:p>
            <w:pPr>
              <w:rPr>
                <w:rFonts w:ascii="Arial"/>
                <w:sz w:val="21"/>
              </w:rPr>
            </w:pPr>
            <w:r/>
          </w:p>
        </w:tc>
        <w:tc>
          <w:tcPr>
            <w:tcW w:w="2171" w:type="dxa"/>
            <w:vAlign w:val="top"/>
            <w:vMerge w:val="continue"/>
            <w:tcBorders>
              <w:top w:val="nil"/>
              <w:bottom w:val="nil"/>
            </w:tcBorders>
          </w:tcPr>
          <w:p>
            <w:pPr>
              <w:rPr>
                <w:rFonts w:ascii="Arial"/>
                <w:sz w:val="21"/>
              </w:rPr>
            </w:pPr>
            <w:r/>
          </w:p>
        </w:tc>
        <w:tc>
          <w:tcPr>
            <w:tcW w:w="4221" w:type="dxa"/>
            <w:vAlign w:val="top"/>
            <w:gridSpan w:val="2"/>
          </w:tcPr>
          <w:p>
            <w:pPr>
              <w:pStyle w:val="TableText"/>
              <w:ind w:left="1930"/>
              <w:spacing w:before="91" w:line="195" w:lineRule="auto"/>
              <w:rPr/>
            </w:pPr>
            <w:r>
              <w:rPr>
                <w:spacing w:val="3"/>
              </w:rPr>
              <w:t>TSP</w:t>
            </w:r>
          </w:p>
        </w:tc>
      </w:tr>
      <w:tr>
        <w:trPr>
          <w:trHeight w:val="350" w:hRule="atLeast"/>
        </w:trPr>
        <w:tc>
          <w:tcPr>
            <w:tcW w:w="2725" w:type="dxa"/>
            <w:vAlign w:val="top"/>
            <w:vMerge w:val="continue"/>
            <w:tcBorders>
              <w:top w:val="nil"/>
            </w:tcBorders>
          </w:tcPr>
          <w:p>
            <w:pPr>
              <w:rPr>
                <w:rFonts w:ascii="Arial"/>
                <w:sz w:val="21"/>
              </w:rPr>
            </w:pPr>
            <w:r/>
          </w:p>
        </w:tc>
        <w:tc>
          <w:tcPr>
            <w:tcW w:w="2171" w:type="dxa"/>
            <w:vAlign w:val="top"/>
            <w:vMerge w:val="continue"/>
            <w:tcBorders>
              <w:top w:val="nil"/>
            </w:tcBorders>
          </w:tcPr>
          <w:p>
            <w:pPr>
              <w:rPr>
                <w:rFonts w:ascii="Arial"/>
                <w:sz w:val="21"/>
              </w:rPr>
            </w:pPr>
            <w:r/>
          </w:p>
        </w:tc>
        <w:tc>
          <w:tcPr>
            <w:tcW w:w="2106" w:type="dxa"/>
            <w:vAlign w:val="top"/>
          </w:tcPr>
          <w:p>
            <w:pPr>
              <w:pStyle w:val="TableText"/>
              <w:ind w:left="774"/>
              <w:spacing w:before="80" w:line="218" w:lineRule="auto"/>
              <w:rPr>
                <w:sz w:val="13"/>
                <w:szCs w:val="13"/>
              </w:rPr>
            </w:pPr>
            <w:r>
              <w:rPr/>
              <w:t>mg</w:t>
            </w:r>
            <w:r>
              <w:rPr>
                <w:spacing w:val="8"/>
              </w:rPr>
              <w:t>/m</w:t>
            </w:r>
            <w:r>
              <w:rPr>
                <w:sz w:val="13"/>
                <w:szCs w:val="13"/>
                <w:spacing w:val="8"/>
                <w:position w:val="6"/>
              </w:rPr>
              <w:t>3</w:t>
            </w:r>
          </w:p>
        </w:tc>
        <w:tc>
          <w:tcPr>
            <w:tcW w:w="2115" w:type="dxa"/>
            <w:vAlign w:val="top"/>
          </w:tcPr>
          <w:p>
            <w:pPr>
              <w:pStyle w:val="TableText"/>
              <w:ind w:left="1023"/>
              <w:spacing w:before="96" w:line="199" w:lineRule="auto"/>
              <w:rPr/>
            </w:pPr>
            <w:r>
              <w:rPr>
                <w:spacing w:val="2"/>
              </w:rPr>
              <w:t>/</w:t>
            </w:r>
          </w:p>
        </w:tc>
      </w:tr>
      <w:tr>
        <w:trPr>
          <w:trHeight w:val="333" w:hRule="atLeast"/>
        </w:trPr>
        <w:tc>
          <w:tcPr>
            <w:tcW w:w="2725" w:type="dxa"/>
            <w:vAlign w:val="top"/>
            <w:vMerge w:val="restart"/>
            <w:tcBorders>
              <w:bottom w:val="nil"/>
            </w:tcBorders>
          </w:tcPr>
          <w:p>
            <w:pPr>
              <w:spacing w:line="281" w:lineRule="auto"/>
              <w:rPr>
                <w:rFonts w:ascii="Arial"/>
                <w:sz w:val="21"/>
              </w:rPr>
            </w:pPr>
            <w:r/>
          </w:p>
          <w:p>
            <w:pPr>
              <w:spacing w:line="281" w:lineRule="auto"/>
              <w:rPr>
                <w:rFonts w:ascii="Arial"/>
                <w:sz w:val="21"/>
              </w:rPr>
            </w:pPr>
            <w:r/>
          </w:p>
          <w:p>
            <w:pPr>
              <w:spacing w:line="282" w:lineRule="auto"/>
              <w:rPr>
                <w:rFonts w:ascii="Arial"/>
                <w:sz w:val="21"/>
              </w:rPr>
            </w:pPr>
            <w:r/>
          </w:p>
          <w:p>
            <w:pPr>
              <w:pStyle w:val="TableText"/>
              <w:ind w:left="82"/>
              <w:spacing w:before="65" w:line="227" w:lineRule="auto"/>
              <w:rPr>
                <w:rFonts w:ascii="SimSun" w:hAnsi="SimSun" w:eastAsia="SimSun" w:cs="SimSun"/>
              </w:rPr>
            </w:pPr>
            <w:r>
              <w:rPr>
                <w:rFonts w:ascii="SimSun" w:hAnsi="SimSun" w:eastAsia="SimSun" w:cs="SimSun"/>
                <w:spacing w:val="7"/>
              </w:rPr>
              <w:t>露天区采场下风向</w:t>
            </w:r>
            <w:r>
              <w:rPr>
                <w:rFonts w:ascii="SimSun" w:hAnsi="SimSun" w:eastAsia="SimSun" w:cs="SimSun"/>
                <w:spacing w:val="-35"/>
              </w:rPr>
              <w:t xml:space="preserve"> </w:t>
            </w:r>
            <w:r>
              <w:rPr>
                <w:spacing w:val="7"/>
              </w:rPr>
              <w:t>3</w:t>
            </w:r>
            <w:r>
              <w:rPr/>
              <w:t>km</w:t>
            </w:r>
            <w:r>
              <w:rPr>
                <w:spacing w:val="16"/>
              </w:rPr>
              <w:t xml:space="preserve"> </w:t>
            </w:r>
            <w:r>
              <w:rPr>
                <w:rFonts w:ascii="SimSun" w:hAnsi="SimSun" w:eastAsia="SimSun" w:cs="SimSun"/>
                <w:spacing w:val="7"/>
              </w:rPr>
              <w:t>处居</w:t>
            </w:r>
          </w:p>
          <w:p>
            <w:pPr>
              <w:ind w:left="1178"/>
              <w:spacing w:before="80" w:line="229" w:lineRule="auto"/>
              <w:rPr>
                <w:rFonts w:ascii="SimSun" w:hAnsi="SimSun" w:eastAsia="SimSun" w:cs="SimSun"/>
                <w:sz w:val="20"/>
                <w:szCs w:val="20"/>
              </w:rPr>
            </w:pPr>
            <w:r>
              <w:rPr>
                <w:rFonts w:ascii="SimSun" w:hAnsi="SimSun" w:eastAsia="SimSun" w:cs="SimSun"/>
                <w:sz w:val="20"/>
                <w:szCs w:val="20"/>
                <w:spacing w:val="-6"/>
              </w:rPr>
              <w:t>民点</w:t>
            </w:r>
          </w:p>
        </w:tc>
        <w:tc>
          <w:tcPr>
            <w:tcW w:w="2171" w:type="dxa"/>
            <w:vAlign w:val="top"/>
          </w:tcPr>
          <w:p>
            <w:pPr>
              <w:pStyle w:val="TableText"/>
              <w:ind w:left="667"/>
              <w:spacing w:before="93" w:line="195" w:lineRule="auto"/>
              <w:rPr/>
            </w:pPr>
            <w:r>
              <w:rPr>
                <w:spacing w:val="4"/>
              </w:rPr>
              <w:t>2025.3.27</w:t>
            </w:r>
          </w:p>
        </w:tc>
        <w:tc>
          <w:tcPr>
            <w:tcW w:w="2106" w:type="dxa"/>
            <w:vAlign w:val="top"/>
          </w:tcPr>
          <w:p>
            <w:pPr>
              <w:pStyle w:val="TableText"/>
              <w:ind w:left="820"/>
              <w:spacing w:before="93" w:line="195" w:lineRule="auto"/>
              <w:rPr/>
            </w:pPr>
            <w:r>
              <w:rPr>
                <w:spacing w:val="3"/>
              </w:rPr>
              <w:t>0.099</w:t>
            </w:r>
          </w:p>
        </w:tc>
        <w:tc>
          <w:tcPr>
            <w:tcW w:w="2115" w:type="dxa"/>
            <w:vAlign w:val="top"/>
          </w:tcPr>
          <w:p>
            <w:pPr>
              <w:pStyle w:val="TableText"/>
              <w:ind w:left="868"/>
              <w:spacing w:before="93" w:line="195" w:lineRule="auto"/>
              <w:rPr/>
            </w:pPr>
            <w:r>
              <w:rPr>
                <w:spacing w:val="3"/>
              </w:rPr>
              <w:t>33%</w:t>
            </w:r>
          </w:p>
        </w:tc>
      </w:tr>
      <w:tr>
        <w:trPr>
          <w:trHeight w:val="335"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4" w:line="195" w:lineRule="auto"/>
              <w:rPr/>
            </w:pPr>
            <w:r>
              <w:rPr>
                <w:spacing w:val="4"/>
              </w:rPr>
              <w:t>2025.3.28</w:t>
            </w:r>
          </w:p>
        </w:tc>
        <w:tc>
          <w:tcPr>
            <w:tcW w:w="2106" w:type="dxa"/>
            <w:vAlign w:val="top"/>
          </w:tcPr>
          <w:p>
            <w:pPr>
              <w:pStyle w:val="TableText"/>
              <w:ind w:left="820"/>
              <w:spacing w:before="94" w:line="195" w:lineRule="auto"/>
              <w:rPr/>
            </w:pPr>
            <w:r>
              <w:rPr>
                <w:spacing w:val="3"/>
              </w:rPr>
              <w:t>0.107</w:t>
            </w:r>
          </w:p>
        </w:tc>
        <w:tc>
          <w:tcPr>
            <w:tcW w:w="2115" w:type="dxa"/>
            <w:vAlign w:val="top"/>
          </w:tcPr>
          <w:p>
            <w:pPr>
              <w:pStyle w:val="TableText"/>
              <w:ind w:left="868"/>
              <w:spacing w:before="94" w:line="195" w:lineRule="auto"/>
              <w:rPr/>
            </w:pPr>
            <w:r>
              <w:rPr>
                <w:spacing w:val="3"/>
              </w:rPr>
              <w:t>36%</w:t>
            </w:r>
          </w:p>
        </w:tc>
      </w:tr>
      <w:tr>
        <w:trPr>
          <w:trHeight w:val="335"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4" w:line="195" w:lineRule="auto"/>
              <w:rPr/>
            </w:pPr>
            <w:r>
              <w:rPr>
                <w:spacing w:val="4"/>
              </w:rPr>
              <w:t>2025.3.29</w:t>
            </w:r>
          </w:p>
        </w:tc>
        <w:tc>
          <w:tcPr>
            <w:tcW w:w="2106" w:type="dxa"/>
            <w:vAlign w:val="top"/>
          </w:tcPr>
          <w:p>
            <w:pPr>
              <w:pStyle w:val="TableText"/>
              <w:ind w:left="820"/>
              <w:spacing w:before="94" w:line="195" w:lineRule="auto"/>
              <w:rPr/>
            </w:pPr>
            <w:r>
              <w:rPr>
                <w:spacing w:val="3"/>
              </w:rPr>
              <w:t>0.107</w:t>
            </w:r>
          </w:p>
        </w:tc>
        <w:tc>
          <w:tcPr>
            <w:tcW w:w="2115" w:type="dxa"/>
            <w:vAlign w:val="top"/>
          </w:tcPr>
          <w:p>
            <w:pPr>
              <w:pStyle w:val="TableText"/>
              <w:ind w:left="868"/>
              <w:spacing w:before="94" w:line="195" w:lineRule="auto"/>
              <w:rPr/>
            </w:pPr>
            <w:r>
              <w:rPr>
                <w:spacing w:val="3"/>
              </w:rPr>
              <w:t>36%</w:t>
            </w:r>
          </w:p>
        </w:tc>
      </w:tr>
      <w:tr>
        <w:trPr>
          <w:trHeight w:val="333"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5" w:line="195" w:lineRule="auto"/>
              <w:rPr/>
            </w:pPr>
            <w:r>
              <w:rPr>
                <w:spacing w:val="4"/>
              </w:rPr>
              <w:t>2025.3.30</w:t>
            </w:r>
          </w:p>
        </w:tc>
        <w:tc>
          <w:tcPr>
            <w:tcW w:w="2106" w:type="dxa"/>
            <w:vAlign w:val="top"/>
          </w:tcPr>
          <w:p>
            <w:pPr>
              <w:pStyle w:val="TableText"/>
              <w:ind w:left="820"/>
              <w:spacing w:before="95" w:line="195" w:lineRule="auto"/>
              <w:rPr/>
            </w:pPr>
            <w:r>
              <w:rPr>
                <w:spacing w:val="3"/>
              </w:rPr>
              <w:t>0.100</w:t>
            </w:r>
          </w:p>
        </w:tc>
        <w:tc>
          <w:tcPr>
            <w:tcW w:w="2115" w:type="dxa"/>
            <w:vAlign w:val="top"/>
          </w:tcPr>
          <w:p>
            <w:pPr>
              <w:pStyle w:val="TableText"/>
              <w:ind w:left="868"/>
              <w:spacing w:before="95" w:line="195" w:lineRule="auto"/>
              <w:rPr/>
            </w:pPr>
            <w:r>
              <w:rPr>
                <w:spacing w:val="3"/>
              </w:rPr>
              <w:t>33%</w:t>
            </w:r>
          </w:p>
        </w:tc>
      </w:tr>
      <w:tr>
        <w:trPr>
          <w:trHeight w:val="335"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6" w:line="195" w:lineRule="auto"/>
              <w:rPr/>
            </w:pPr>
            <w:r>
              <w:rPr>
                <w:spacing w:val="4"/>
              </w:rPr>
              <w:t>2025.3.31</w:t>
            </w:r>
          </w:p>
        </w:tc>
        <w:tc>
          <w:tcPr>
            <w:tcW w:w="2106" w:type="dxa"/>
            <w:vAlign w:val="top"/>
          </w:tcPr>
          <w:p>
            <w:pPr>
              <w:pStyle w:val="TableText"/>
              <w:ind w:left="820"/>
              <w:spacing w:before="96" w:line="195" w:lineRule="auto"/>
              <w:rPr/>
            </w:pPr>
            <w:r>
              <w:rPr>
                <w:spacing w:val="3"/>
              </w:rPr>
              <w:t>0.096</w:t>
            </w:r>
          </w:p>
        </w:tc>
        <w:tc>
          <w:tcPr>
            <w:tcW w:w="2115" w:type="dxa"/>
            <w:vAlign w:val="top"/>
          </w:tcPr>
          <w:p>
            <w:pPr>
              <w:pStyle w:val="TableText"/>
              <w:ind w:left="868"/>
              <w:spacing w:before="96" w:line="195" w:lineRule="auto"/>
              <w:rPr/>
            </w:pPr>
            <w:r>
              <w:rPr>
                <w:spacing w:val="3"/>
              </w:rPr>
              <w:t>32%</w:t>
            </w:r>
          </w:p>
        </w:tc>
      </w:tr>
      <w:tr>
        <w:trPr>
          <w:trHeight w:val="335"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720"/>
              <w:spacing w:before="96" w:line="195" w:lineRule="auto"/>
              <w:rPr/>
            </w:pPr>
            <w:r>
              <w:rPr>
                <w:spacing w:val="3"/>
              </w:rPr>
              <w:t>2025.4.</w:t>
            </w:r>
            <w:r>
              <w:rPr>
                <w:spacing w:val="-24"/>
              </w:rPr>
              <w:t xml:space="preserve"> </w:t>
            </w:r>
            <w:r>
              <w:rPr>
                <w:spacing w:val="3"/>
              </w:rPr>
              <w:t>1</w:t>
            </w:r>
          </w:p>
        </w:tc>
        <w:tc>
          <w:tcPr>
            <w:tcW w:w="2106" w:type="dxa"/>
            <w:vAlign w:val="top"/>
          </w:tcPr>
          <w:p>
            <w:pPr>
              <w:pStyle w:val="TableText"/>
              <w:ind w:left="820"/>
              <w:spacing w:before="96" w:line="195" w:lineRule="auto"/>
              <w:rPr/>
            </w:pPr>
            <w:r>
              <w:rPr>
                <w:spacing w:val="3"/>
              </w:rPr>
              <w:t>0.109</w:t>
            </w:r>
          </w:p>
        </w:tc>
        <w:tc>
          <w:tcPr>
            <w:tcW w:w="2115" w:type="dxa"/>
            <w:vAlign w:val="top"/>
          </w:tcPr>
          <w:p>
            <w:pPr>
              <w:pStyle w:val="TableText"/>
              <w:ind w:left="868"/>
              <w:spacing w:before="96" w:line="195" w:lineRule="auto"/>
              <w:rPr/>
            </w:pPr>
            <w:r>
              <w:rPr>
                <w:spacing w:val="3"/>
              </w:rPr>
              <w:t>36%</w:t>
            </w:r>
          </w:p>
        </w:tc>
      </w:tr>
      <w:tr>
        <w:trPr>
          <w:trHeight w:val="333" w:hRule="atLeast"/>
        </w:trPr>
        <w:tc>
          <w:tcPr>
            <w:tcW w:w="2725" w:type="dxa"/>
            <w:vAlign w:val="top"/>
            <w:vMerge w:val="continue"/>
            <w:tcBorders>
              <w:top w:val="nil"/>
            </w:tcBorders>
          </w:tcPr>
          <w:p>
            <w:pPr>
              <w:rPr>
                <w:rFonts w:ascii="Arial"/>
                <w:sz w:val="21"/>
              </w:rPr>
            </w:pPr>
            <w:r/>
          </w:p>
        </w:tc>
        <w:tc>
          <w:tcPr>
            <w:tcW w:w="2171" w:type="dxa"/>
            <w:vAlign w:val="top"/>
          </w:tcPr>
          <w:p>
            <w:pPr>
              <w:pStyle w:val="TableText"/>
              <w:ind w:left="720"/>
              <w:spacing w:before="97" w:line="195" w:lineRule="auto"/>
              <w:rPr/>
            </w:pPr>
            <w:r>
              <w:rPr>
                <w:spacing w:val="3"/>
              </w:rPr>
              <w:t>2025.4.2</w:t>
            </w:r>
          </w:p>
        </w:tc>
        <w:tc>
          <w:tcPr>
            <w:tcW w:w="2106" w:type="dxa"/>
            <w:vAlign w:val="top"/>
          </w:tcPr>
          <w:p>
            <w:pPr>
              <w:pStyle w:val="TableText"/>
              <w:ind w:left="820"/>
              <w:spacing w:before="97" w:line="195" w:lineRule="auto"/>
              <w:rPr/>
            </w:pPr>
            <w:r>
              <w:rPr>
                <w:spacing w:val="3"/>
              </w:rPr>
              <w:t>0.099</w:t>
            </w:r>
          </w:p>
        </w:tc>
        <w:tc>
          <w:tcPr>
            <w:tcW w:w="2115" w:type="dxa"/>
            <w:vAlign w:val="top"/>
          </w:tcPr>
          <w:p>
            <w:pPr>
              <w:pStyle w:val="TableText"/>
              <w:ind w:left="868"/>
              <w:spacing w:before="97" w:line="195" w:lineRule="auto"/>
              <w:rPr/>
            </w:pPr>
            <w:r>
              <w:rPr>
                <w:spacing w:val="3"/>
              </w:rPr>
              <w:t>33%</w:t>
            </w:r>
          </w:p>
        </w:tc>
      </w:tr>
      <w:tr>
        <w:trPr>
          <w:trHeight w:val="331" w:hRule="atLeast"/>
        </w:trPr>
        <w:tc>
          <w:tcPr>
            <w:tcW w:w="2725" w:type="dxa"/>
            <w:vAlign w:val="top"/>
            <w:vMerge w:val="restart"/>
            <w:tcBorders>
              <w:bottom w:val="nil"/>
            </w:tcBorders>
          </w:tcPr>
          <w:p>
            <w:pPr>
              <w:spacing w:line="282" w:lineRule="auto"/>
              <w:rPr>
                <w:rFonts w:ascii="Arial"/>
                <w:sz w:val="21"/>
              </w:rPr>
            </w:pPr>
            <w:r/>
          </w:p>
          <w:p>
            <w:pPr>
              <w:spacing w:line="283" w:lineRule="auto"/>
              <w:rPr>
                <w:rFonts w:ascii="Arial"/>
                <w:sz w:val="21"/>
              </w:rPr>
            </w:pPr>
            <w:r/>
          </w:p>
          <w:p>
            <w:pPr>
              <w:spacing w:line="283" w:lineRule="auto"/>
              <w:rPr>
                <w:rFonts w:ascii="Arial"/>
                <w:sz w:val="21"/>
              </w:rPr>
            </w:pPr>
            <w:r/>
          </w:p>
          <w:p>
            <w:pPr>
              <w:ind w:left="322"/>
              <w:spacing w:before="65" w:line="227" w:lineRule="auto"/>
              <w:rPr>
                <w:rFonts w:ascii="SimSun" w:hAnsi="SimSun" w:eastAsia="SimSun" w:cs="SimSun"/>
                <w:sz w:val="20"/>
                <w:szCs w:val="20"/>
              </w:rPr>
            </w:pPr>
            <w:r>
              <w:rPr>
                <w:rFonts w:ascii="SimSun" w:hAnsi="SimSun" w:eastAsia="SimSun" w:cs="SimSun"/>
                <w:sz w:val="20"/>
                <w:szCs w:val="20"/>
                <w:spacing w:val="8"/>
              </w:rPr>
              <w:t>露天区现有采掘场东侧</w:t>
            </w:r>
          </w:p>
        </w:tc>
        <w:tc>
          <w:tcPr>
            <w:tcW w:w="2171" w:type="dxa"/>
            <w:vAlign w:val="top"/>
          </w:tcPr>
          <w:p>
            <w:pPr>
              <w:pStyle w:val="TableText"/>
              <w:ind w:left="667"/>
              <w:spacing w:before="98" w:line="195" w:lineRule="auto"/>
              <w:rPr/>
            </w:pPr>
            <w:r>
              <w:rPr>
                <w:spacing w:val="4"/>
              </w:rPr>
              <w:t>2025.3.27</w:t>
            </w:r>
          </w:p>
        </w:tc>
        <w:tc>
          <w:tcPr>
            <w:tcW w:w="2106" w:type="dxa"/>
            <w:vAlign w:val="top"/>
          </w:tcPr>
          <w:p>
            <w:pPr>
              <w:pStyle w:val="TableText"/>
              <w:ind w:left="820"/>
              <w:spacing w:before="98" w:line="195" w:lineRule="auto"/>
              <w:rPr/>
            </w:pPr>
            <w:r>
              <w:rPr>
                <w:spacing w:val="3"/>
              </w:rPr>
              <w:t>0.108</w:t>
            </w:r>
          </w:p>
        </w:tc>
        <w:tc>
          <w:tcPr>
            <w:tcW w:w="2115" w:type="dxa"/>
            <w:vAlign w:val="top"/>
          </w:tcPr>
          <w:p>
            <w:pPr>
              <w:pStyle w:val="TableText"/>
              <w:ind w:left="868"/>
              <w:spacing w:before="98" w:line="195" w:lineRule="auto"/>
              <w:rPr/>
            </w:pPr>
            <w:r>
              <w:rPr>
                <w:spacing w:val="3"/>
              </w:rPr>
              <w:t>36%</w:t>
            </w:r>
          </w:p>
        </w:tc>
      </w:tr>
      <w:tr>
        <w:trPr>
          <w:trHeight w:val="335"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8" w:line="195" w:lineRule="auto"/>
              <w:rPr/>
            </w:pPr>
            <w:r>
              <w:rPr>
                <w:spacing w:val="4"/>
              </w:rPr>
              <w:t>2025.3.28</w:t>
            </w:r>
          </w:p>
        </w:tc>
        <w:tc>
          <w:tcPr>
            <w:tcW w:w="2106" w:type="dxa"/>
            <w:vAlign w:val="top"/>
          </w:tcPr>
          <w:p>
            <w:pPr>
              <w:pStyle w:val="TableText"/>
              <w:ind w:left="820"/>
              <w:spacing w:before="98" w:line="195" w:lineRule="auto"/>
              <w:rPr/>
            </w:pPr>
            <w:r>
              <w:rPr>
                <w:spacing w:val="3"/>
              </w:rPr>
              <w:t>0.101</w:t>
            </w:r>
          </w:p>
        </w:tc>
        <w:tc>
          <w:tcPr>
            <w:tcW w:w="2115" w:type="dxa"/>
            <w:vAlign w:val="top"/>
          </w:tcPr>
          <w:p>
            <w:pPr>
              <w:pStyle w:val="TableText"/>
              <w:ind w:left="868"/>
              <w:spacing w:before="98" w:line="195" w:lineRule="auto"/>
              <w:rPr/>
            </w:pPr>
            <w:r>
              <w:rPr>
                <w:spacing w:val="3"/>
              </w:rPr>
              <w:t>34%</w:t>
            </w:r>
          </w:p>
        </w:tc>
      </w:tr>
      <w:tr>
        <w:trPr>
          <w:trHeight w:val="336"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8" w:line="195" w:lineRule="auto"/>
              <w:rPr/>
            </w:pPr>
            <w:r>
              <w:rPr>
                <w:spacing w:val="4"/>
              </w:rPr>
              <w:t>2025.3.29</w:t>
            </w:r>
          </w:p>
        </w:tc>
        <w:tc>
          <w:tcPr>
            <w:tcW w:w="2106" w:type="dxa"/>
            <w:vAlign w:val="top"/>
          </w:tcPr>
          <w:p>
            <w:pPr>
              <w:pStyle w:val="TableText"/>
              <w:ind w:left="820"/>
              <w:spacing w:before="98" w:line="195" w:lineRule="auto"/>
              <w:rPr/>
            </w:pPr>
            <w:r>
              <w:rPr>
                <w:spacing w:val="3"/>
              </w:rPr>
              <w:t>0.101</w:t>
            </w:r>
          </w:p>
        </w:tc>
        <w:tc>
          <w:tcPr>
            <w:tcW w:w="2115" w:type="dxa"/>
            <w:vAlign w:val="top"/>
          </w:tcPr>
          <w:p>
            <w:pPr>
              <w:pStyle w:val="TableText"/>
              <w:ind w:left="868"/>
              <w:spacing w:before="98" w:line="195" w:lineRule="auto"/>
              <w:rPr/>
            </w:pPr>
            <w:r>
              <w:rPr>
                <w:spacing w:val="3"/>
              </w:rPr>
              <w:t>34%</w:t>
            </w:r>
          </w:p>
        </w:tc>
      </w:tr>
      <w:tr>
        <w:trPr>
          <w:trHeight w:val="333"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8" w:line="195" w:lineRule="auto"/>
              <w:rPr/>
            </w:pPr>
            <w:r>
              <w:rPr>
                <w:spacing w:val="4"/>
              </w:rPr>
              <w:t>2025.3.30</w:t>
            </w:r>
          </w:p>
        </w:tc>
        <w:tc>
          <w:tcPr>
            <w:tcW w:w="2106" w:type="dxa"/>
            <w:vAlign w:val="top"/>
          </w:tcPr>
          <w:p>
            <w:pPr>
              <w:pStyle w:val="TableText"/>
              <w:ind w:left="820"/>
              <w:spacing w:before="98" w:line="195" w:lineRule="auto"/>
              <w:rPr/>
            </w:pPr>
            <w:r>
              <w:rPr>
                <w:spacing w:val="3"/>
              </w:rPr>
              <w:t>0.103</w:t>
            </w:r>
          </w:p>
        </w:tc>
        <w:tc>
          <w:tcPr>
            <w:tcW w:w="2115" w:type="dxa"/>
            <w:vAlign w:val="top"/>
          </w:tcPr>
          <w:p>
            <w:pPr>
              <w:pStyle w:val="TableText"/>
              <w:ind w:left="868"/>
              <w:spacing w:before="98" w:line="195" w:lineRule="auto"/>
              <w:rPr/>
            </w:pPr>
            <w:r>
              <w:rPr>
                <w:spacing w:val="3"/>
              </w:rPr>
              <w:t>34%</w:t>
            </w:r>
          </w:p>
        </w:tc>
      </w:tr>
      <w:tr>
        <w:trPr>
          <w:trHeight w:val="336"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667"/>
              <w:spacing w:before="99" w:line="195" w:lineRule="auto"/>
              <w:rPr/>
            </w:pPr>
            <w:r>
              <w:rPr>
                <w:spacing w:val="4"/>
              </w:rPr>
              <w:t>2025.3.31</w:t>
            </w:r>
          </w:p>
        </w:tc>
        <w:tc>
          <w:tcPr>
            <w:tcW w:w="2106" w:type="dxa"/>
            <w:vAlign w:val="top"/>
          </w:tcPr>
          <w:p>
            <w:pPr>
              <w:pStyle w:val="TableText"/>
              <w:ind w:left="820"/>
              <w:spacing w:before="99" w:line="195" w:lineRule="auto"/>
              <w:rPr/>
            </w:pPr>
            <w:r>
              <w:rPr>
                <w:spacing w:val="3"/>
              </w:rPr>
              <w:t>0.104</w:t>
            </w:r>
          </w:p>
        </w:tc>
        <w:tc>
          <w:tcPr>
            <w:tcW w:w="2115" w:type="dxa"/>
            <w:vAlign w:val="top"/>
          </w:tcPr>
          <w:p>
            <w:pPr>
              <w:pStyle w:val="TableText"/>
              <w:ind w:left="868"/>
              <w:spacing w:before="99" w:line="195" w:lineRule="auto"/>
              <w:rPr/>
            </w:pPr>
            <w:r>
              <w:rPr>
                <w:spacing w:val="3"/>
              </w:rPr>
              <w:t>35%</w:t>
            </w:r>
          </w:p>
        </w:tc>
      </w:tr>
      <w:tr>
        <w:trPr>
          <w:trHeight w:val="336" w:hRule="atLeast"/>
        </w:trPr>
        <w:tc>
          <w:tcPr>
            <w:tcW w:w="2725" w:type="dxa"/>
            <w:vAlign w:val="top"/>
            <w:vMerge w:val="continue"/>
            <w:tcBorders>
              <w:top w:val="nil"/>
              <w:bottom w:val="nil"/>
            </w:tcBorders>
          </w:tcPr>
          <w:p>
            <w:pPr>
              <w:rPr>
                <w:rFonts w:ascii="Arial"/>
                <w:sz w:val="21"/>
              </w:rPr>
            </w:pPr>
            <w:r/>
          </w:p>
        </w:tc>
        <w:tc>
          <w:tcPr>
            <w:tcW w:w="2171" w:type="dxa"/>
            <w:vAlign w:val="top"/>
          </w:tcPr>
          <w:p>
            <w:pPr>
              <w:pStyle w:val="TableText"/>
              <w:ind w:left="720"/>
              <w:spacing w:before="98" w:line="195" w:lineRule="auto"/>
              <w:rPr/>
            </w:pPr>
            <w:r>
              <w:rPr>
                <w:spacing w:val="3"/>
              </w:rPr>
              <w:t>2025.4.</w:t>
            </w:r>
            <w:r>
              <w:rPr>
                <w:spacing w:val="-24"/>
              </w:rPr>
              <w:t xml:space="preserve"> </w:t>
            </w:r>
            <w:r>
              <w:rPr>
                <w:spacing w:val="3"/>
              </w:rPr>
              <w:t>1</w:t>
            </w:r>
          </w:p>
        </w:tc>
        <w:tc>
          <w:tcPr>
            <w:tcW w:w="2106" w:type="dxa"/>
            <w:vAlign w:val="top"/>
          </w:tcPr>
          <w:p>
            <w:pPr>
              <w:pStyle w:val="TableText"/>
              <w:ind w:left="820"/>
              <w:spacing w:before="98" w:line="195" w:lineRule="auto"/>
              <w:rPr/>
            </w:pPr>
            <w:r>
              <w:rPr>
                <w:spacing w:val="3"/>
              </w:rPr>
              <w:t>0.097</w:t>
            </w:r>
          </w:p>
        </w:tc>
        <w:tc>
          <w:tcPr>
            <w:tcW w:w="2115" w:type="dxa"/>
            <w:vAlign w:val="top"/>
          </w:tcPr>
          <w:p>
            <w:pPr>
              <w:pStyle w:val="TableText"/>
              <w:ind w:left="868"/>
              <w:spacing w:before="98" w:line="195" w:lineRule="auto"/>
              <w:rPr/>
            </w:pPr>
            <w:r>
              <w:rPr>
                <w:spacing w:val="3"/>
              </w:rPr>
              <w:t>32%</w:t>
            </w:r>
          </w:p>
        </w:tc>
      </w:tr>
      <w:tr>
        <w:trPr>
          <w:trHeight w:val="333" w:hRule="atLeast"/>
        </w:trPr>
        <w:tc>
          <w:tcPr>
            <w:tcW w:w="2725" w:type="dxa"/>
            <w:vAlign w:val="top"/>
            <w:vMerge w:val="continue"/>
            <w:tcBorders>
              <w:top w:val="nil"/>
            </w:tcBorders>
          </w:tcPr>
          <w:p>
            <w:pPr>
              <w:rPr>
                <w:rFonts w:ascii="Arial"/>
                <w:sz w:val="21"/>
              </w:rPr>
            </w:pPr>
            <w:r/>
          </w:p>
        </w:tc>
        <w:tc>
          <w:tcPr>
            <w:tcW w:w="2171" w:type="dxa"/>
            <w:vAlign w:val="top"/>
          </w:tcPr>
          <w:p>
            <w:pPr>
              <w:pStyle w:val="TableText"/>
              <w:ind w:left="720"/>
              <w:spacing w:before="98" w:line="195" w:lineRule="auto"/>
              <w:rPr/>
            </w:pPr>
            <w:r>
              <w:rPr>
                <w:spacing w:val="3"/>
              </w:rPr>
              <w:t>2025.4.2</w:t>
            </w:r>
          </w:p>
        </w:tc>
        <w:tc>
          <w:tcPr>
            <w:tcW w:w="2106" w:type="dxa"/>
            <w:vAlign w:val="top"/>
          </w:tcPr>
          <w:p>
            <w:pPr>
              <w:pStyle w:val="TableText"/>
              <w:ind w:left="820"/>
              <w:spacing w:before="98" w:line="195" w:lineRule="auto"/>
              <w:rPr/>
            </w:pPr>
            <w:r>
              <w:rPr>
                <w:spacing w:val="3"/>
              </w:rPr>
              <w:t>0.108</w:t>
            </w:r>
          </w:p>
        </w:tc>
        <w:tc>
          <w:tcPr>
            <w:tcW w:w="2115" w:type="dxa"/>
            <w:vAlign w:val="top"/>
          </w:tcPr>
          <w:p>
            <w:pPr>
              <w:pStyle w:val="TableText"/>
              <w:ind w:left="868"/>
              <w:spacing w:before="98" w:line="195" w:lineRule="auto"/>
              <w:rPr/>
            </w:pPr>
            <w:r>
              <w:rPr>
                <w:spacing w:val="3"/>
              </w:rPr>
              <w:t>36%</w:t>
            </w:r>
          </w:p>
        </w:tc>
      </w:tr>
      <w:tr>
        <w:trPr>
          <w:trHeight w:val="789" w:hRule="atLeast"/>
        </w:trPr>
        <w:tc>
          <w:tcPr>
            <w:tcW w:w="4896" w:type="dxa"/>
            <w:vAlign w:val="top"/>
            <w:gridSpan w:val="2"/>
          </w:tcPr>
          <w:p>
            <w:pPr>
              <w:pStyle w:val="TableText"/>
              <w:ind w:left="178"/>
              <w:spacing w:before="289" w:line="228" w:lineRule="auto"/>
              <w:rPr>
                <w:rFonts w:ascii="SimSun" w:hAnsi="SimSun" w:eastAsia="SimSun" w:cs="SimSun"/>
              </w:rPr>
            </w:pPr>
            <w:r>
              <w:rPr>
                <w:rFonts w:ascii="SimSun" w:hAnsi="SimSun" w:eastAsia="SimSun" w:cs="SimSun"/>
                <w:spacing w:val="8"/>
              </w:rPr>
              <w:t>《环境空气质量标准》（</w:t>
            </w:r>
            <w:r>
              <w:rPr/>
              <w:t>GB</w:t>
            </w:r>
            <w:r>
              <w:rPr>
                <w:spacing w:val="8"/>
              </w:rPr>
              <w:t>3095-2012</w:t>
            </w:r>
            <w:r>
              <w:rPr>
                <w:rFonts w:ascii="SimSun" w:hAnsi="SimSun" w:eastAsia="SimSun" w:cs="SimSun"/>
                <w:spacing w:val="8"/>
              </w:rPr>
              <w:t>）二级标准</w:t>
            </w:r>
          </w:p>
        </w:tc>
        <w:tc>
          <w:tcPr>
            <w:tcW w:w="4221" w:type="dxa"/>
            <w:vAlign w:val="top"/>
            <w:gridSpan w:val="2"/>
          </w:tcPr>
          <w:p>
            <w:pPr>
              <w:spacing w:line="245" w:lineRule="auto"/>
              <w:rPr>
                <w:rFonts w:ascii="Arial"/>
                <w:sz w:val="21"/>
              </w:rPr>
            </w:pPr>
            <w:r/>
          </w:p>
          <w:p>
            <w:pPr>
              <w:pStyle w:val="TableText"/>
              <w:ind w:left="1704"/>
              <w:spacing w:before="58" w:line="218" w:lineRule="auto"/>
              <w:rPr>
                <w:sz w:val="13"/>
                <w:szCs w:val="13"/>
              </w:rPr>
            </w:pPr>
            <w:r>
              <w:rPr>
                <w:spacing w:val="4"/>
              </w:rPr>
              <w:t>0.3</w:t>
            </w:r>
            <w:r>
              <w:rPr/>
              <w:t>mg</w:t>
            </w:r>
            <w:r>
              <w:rPr>
                <w:spacing w:val="4"/>
              </w:rPr>
              <w:t>/m</w:t>
            </w:r>
            <w:r>
              <w:rPr>
                <w:sz w:val="13"/>
                <w:szCs w:val="13"/>
                <w:spacing w:val="4"/>
                <w:position w:val="6"/>
              </w:rPr>
              <w:t>3</w:t>
            </w:r>
          </w:p>
        </w:tc>
      </w:tr>
    </w:tbl>
    <w:p>
      <w:pPr>
        <w:ind w:left="39" w:firstLine="505"/>
        <w:spacing w:before="147" w:line="339" w:lineRule="auto"/>
        <w:jc w:val="both"/>
        <w:rPr>
          <w:rFonts w:ascii="SimSun" w:hAnsi="SimSun" w:eastAsia="SimSun" w:cs="SimSun"/>
          <w:sz w:val="24"/>
          <w:szCs w:val="24"/>
        </w:rPr>
      </w:pPr>
      <w:r>
        <w:rPr>
          <w:rFonts w:ascii="SimSun" w:hAnsi="SimSun" w:eastAsia="SimSun" w:cs="SimSun"/>
          <w:sz w:val="24"/>
          <w:szCs w:val="24"/>
          <w:spacing w:val="1"/>
        </w:rPr>
        <w:t>由上表可知，评价区内各监测点位</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57"/>
        </w:rPr>
        <w:t xml:space="preserve"> </w:t>
      </w:r>
      <w:r>
        <w:rPr>
          <w:rFonts w:ascii="SimSun" w:hAnsi="SimSun" w:eastAsia="SimSun" w:cs="SimSun"/>
          <w:sz w:val="24"/>
          <w:szCs w:val="24"/>
          <w:spacing w:val="1"/>
        </w:rPr>
        <w:t>日均浓度均能达到</w:t>
      </w:r>
      <w:r>
        <w:rPr>
          <w:rFonts w:ascii="SimSun" w:hAnsi="SimSun" w:eastAsia="SimSun" w:cs="SimSun"/>
          <w:sz w:val="24"/>
          <w:szCs w:val="24"/>
        </w:rPr>
        <w:t>《环境空气质量标准》 </w:t>
      </w:r>
      <w:r>
        <w:rPr>
          <w:rFonts w:ascii="SimSun" w:hAnsi="SimSun" w:eastAsia="SimSun" w:cs="SimSun"/>
          <w:sz w:val="24"/>
          <w:szCs w:val="24"/>
          <w:spacing w:val="-1"/>
        </w:rPr>
        <w:t>（</w:t>
      </w:r>
      <w:r>
        <w:rPr>
          <w:rFonts w:ascii="Times New Roman" w:hAnsi="Times New Roman" w:eastAsia="Times New Roman" w:cs="Times New Roman"/>
          <w:sz w:val="24"/>
          <w:szCs w:val="24"/>
          <w:spacing w:val="-1"/>
        </w:rPr>
        <w:t>GB3095-2012</w:t>
      </w:r>
      <w:r>
        <w:rPr>
          <w:rFonts w:ascii="SimSun" w:hAnsi="SimSun" w:eastAsia="SimSun" w:cs="SimSun"/>
          <w:sz w:val="24"/>
          <w:szCs w:val="24"/>
          <w:spacing w:val="-1"/>
        </w:rPr>
        <w:t>）二级标准要求，同时也能满足《环境空气质量</w:t>
      </w:r>
      <w:r>
        <w:rPr>
          <w:rFonts w:ascii="SimSun" w:hAnsi="SimSun" w:eastAsia="SimSun" w:cs="SimSun"/>
          <w:sz w:val="24"/>
          <w:szCs w:val="24"/>
          <w:spacing w:val="-2"/>
        </w:rPr>
        <w:t>标准》（</w:t>
      </w:r>
      <w:r>
        <w:rPr>
          <w:rFonts w:ascii="Times New Roman" w:hAnsi="Times New Roman" w:eastAsia="Times New Roman" w:cs="Times New Roman"/>
          <w:sz w:val="24"/>
          <w:szCs w:val="24"/>
          <w:spacing w:val="-2"/>
        </w:rPr>
        <w:t>GB3095-2026</w:t>
      </w:r>
      <w:r>
        <w:rPr>
          <w:rFonts w:ascii="SimSun" w:hAnsi="SimSun" w:eastAsia="SimSun" w:cs="SimSun"/>
          <w:sz w:val="24"/>
          <w:szCs w:val="24"/>
          <w:spacing w:val="-2"/>
        </w:rPr>
        <w:t>）</w:t>
      </w:r>
      <w:r>
        <w:rPr>
          <w:rFonts w:ascii="SimSun" w:hAnsi="SimSun" w:eastAsia="SimSun" w:cs="SimSun"/>
          <w:sz w:val="24"/>
          <w:szCs w:val="24"/>
          <w:spacing w:val="-1"/>
        </w:rPr>
        <w:t>二级标准要求，区域环境空气质量较好。</w:t>
      </w:r>
    </w:p>
    <w:p>
      <w:pPr>
        <w:ind w:left="513"/>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4.2.3  </w:t>
      </w:r>
      <w:r>
        <w:rPr>
          <w:rFonts w:ascii="SimHei" w:hAnsi="SimHei" w:eastAsia="SimHei" w:cs="SimHei"/>
          <w:sz w:val="28"/>
          <w:szCs w:val="28"/>
          <w:b/>
          <w:bCs/>
          <w:spacing w:val="-2"/>
        </w:rPr>
        <w:t>地表水环境质量现状监测与评价</w:t>
      </w:r>
    </w:p>
    <w:p>
      <w:pPr>
        <w:ind w:left="516"/>
        <w:spacing w:before="171" w:line="218" w:lineRule="auto"/>
        <w:rPr>
          <w:rFonts w:ascii="SimSun" w:hAnsi="SimSun" w:eastAsia="SimSun" w:cs="SimSun"/>
          <w:sz w:val="24"/>
          <w:szCs w:val="24"/>
        </w:rPr>
      </w:pPr>
      <w:r>
        <w:rPr>
          <w:rFonts w:ascii="SimSun" w:hAnsi="SimSun" w:eastAsia="SimSun" w:cs="SimSun"/>
          <w:sz w:val="24"/>
          <w:szCs w:val="24"/>
          <w:spacing w:val="-1"/>
        </w:rPr>
        <w:t>本次评价在新增露天开采区北侧（矿田下游）彦吉嘎河河道布设监测断面</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处。</w:t>
      </w:r>
    </w:p>
    <w:p>
      <w:pPr>
        <w:ind w:left="534"/>
        <w:spacing w:before="156" w:line="218"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、评价方法</w:t>
      </w:r>
    </w:p>
    <w:p>
      <w:pPr>
        <w:ind w:left="527"/>
        <w:spacing w:before="155"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）采用单项水质参数评价方法，即标准指数法。</w:t>
      </w:r>
    </w:p>
    <w:p>
      <w:pPr>
        <w:spacing w:line="108" w:lineRule="exact"/>
        <w:rPr/>
      </w:pPr>
      <w:r/>
    </w:p>
    <w:p>
      <w:pPr>
        <w:spacing w:line="108" w:lineRule="exact"/>
        <w:sectPr>
          <w:headerReference w:type="default" r:id="rId320"/>
          <w:footerReference w:type="default" r:id="rId321"/>
          <w:pgSz w:w="11906" w:h="16838"/>
          <w:pgMar w:top="1170" w:right="1313" w:bottom="1080" w:left="1389" w:header="837" w:footer="918" w:gutter="0"/>
          <w:cols w:equalWidth="0" w:num="1">
            <w:col w:w="9203" w:space="0"/>
          </w:cols>
        </w:sectPr>
        <w:rPr/>
      </w:pPr>
    </w:p>
    <w:p>
      <w:pPr>
        <w:ind w:left="510"/>
        <w:spacing w:before="51" w:line="210" w:lineRule="auto"/>
        <w:rPr>
          <w:rFonts w:ascii="SimSun" w:hAnsi="SimSun" w:eastAsia="SimSun" w:cs="SimSun"/>
          <w:sz w:val="24"/>
          <w:szCs w:val="24"/>
        </w:rPr>
      </w:pPr>
      <w:r>
        <w:rPr>
          <w:rFonts w:ascii="Times New Roman" w:hAnsi="Times New Roman" w:eastAsia="Times New Roman" w:cs="Times New Roman"/>
          <w:sz w:val="24"/>
          <w:szCs w:val="24"/>
          <w:spacing w:val="-1"/>
        </w:rPr>
        <w:t>pH </w:t>
      </w:r>
      <w:r>
        <w:rPr>
          <w:rFonts w:ascii="SimSun" w:hAnsi="SimSun" w:eastAsia="SimSun" w:cs="SimSun"/>
          <w:sz w:val="24"/>
          <w:szCs w:val="24"/>
          <w:spacing w:val="-1"/>
        </w:rPr>
        <w:t>标准指数公式：</w:t>
      </w:r>
    </w:p>
    <w:p>
      <w:pPr>
        <w:spacing w:before="70"/>
        <w:rPr/>
      </w:pPr>
      <w:r/>
    </w:p>
    <w:p>
      <w:pPr>
        <w:spacing w:before="70"/>
        <w:rPr/>
      </w:pPr>
      <w:r/>
    </w:p>
    <w:p>
      <w:pPr>
        <w:spacing w:before="69"/>
        <w:rPr/>
      </w:pPr>
      <w:r/>
    </w:p>
    <w:p>
      <w:pPr>
        <w:pStyle w:val="BodyText"/>
        <w:spacing w:line="14" w:lineRule="auto"/>
        <w:rPr>
          <w:sz w:val="2"/>
        </w:rPr>
      </w:pPr>
      <w:r>
        <w:rPr>
          <w:sz w:val="2"/>
          <w:szCs w:val="2"/>
        </w:rPr>
        <w:br w:type="column"/>
      </w:r>
    </w:p>
    <w:p>
      <w:pPr>
        <w:pStyle w:val="BodyText"/>
        <w:spacing w:line="340" w:lineRule="auto"/>
        <w:rPr/>
      </w:pPr>
      <w:r/>
    </w:p>
    <w:p>
      <w:pPr>
        <w:spacing w:line="797" w:lineRule="exact"/>
        <w:rPr/>
      </w:pPr>
      <w:r>
        <w:rPr>
          <w:position w:val="-15"/>
        </w:rPr>
        <w:drawing>
          <wp:inline distT="0" distB="0" distL="0" distR="0">
            <wp:extent cx="877823" cy="505967"/>
            <wp:effectExtent l="0" t="0" r="0" b="0"/>
            <wp:docPr id="254" name="IM 254"/>
            <wp:cNvGraphicFramePr/>
            <a:graphic>
              <a:graphicData uri="http://schemas.openxmlformats.org/drawingml/2006/picture">
                <pic:pic>
                  <pic:nvPicPr>
                    <pic:cNvPr id="254" name="IM 254"/>
                    <pic:cNvPicPr/>
                  </pic:nvPicPr>
                  <pic:blipFill>
                    <a:blip r:embed="rId322"/>
                    <a:stretch>
                      <a:fillRect/>
                    </a:stretch>
                  </pic:blipFill>
                  <pic:spPr>
                    <a:xfrm rot="0">
                      <a:off x="0" y="0"/>
                      <a:ext cx="877823" cy="505967"/>
                    </a:xfrm>
                    <a:prstGeom prst="rect">
                      <a:avLst/>
                    </a:prstGeom>
                  </pic:spPr>
                </pic:pic>
              </a:graphicData>
            </a:graphic>
          </wp:inline>
        </w:drawing>
      </w:r>
    </w:p>
    <w:p>
      <w:pPr>
        <w:pStyle w:val="BodyText"/>
        <w:spacing w:line="14" w:lineRule="auto"/>
        <w:rPr>
          <w:sz w:val="2"/>
        </w:rPr>
      </w:pPr>
      <w:r>
        <w:rPr>
          <w:sz w:val="2"/>
          <w:szCs w:val="2"/>
        </w:rPr>
        <w:br w:type="column"/>
      </w:r>
    </w:p>
    <w:p>
      <w:pPr>
        <w:pStyle w:val="BodyText"/>
        <w:spacing w:line="446" w:lineRule="auto"/>
        <w:rPr/>
      </w:pPr>
      <w:r/>
    </w:p>
    <w:p>
      <w:pPr>
        <w:spacing w:before="79" w:line="210" w:lineRule="auto"/>
        <w:rPr>
          <w:rFonts w:ascii="SimSun" w:hAnsi="SimSun" w:eastAsia="SimSun" w:cs="SimSun"/>
          <w:sz w:val="24"/>
          <w:szCs w:val="24"/>
        </w:rPr>
      </w:pPr>
      <w:r>
        <w:rPr>
          <w:rFonts w:ascii="SimSun" w:hAnsi="SimSun" w:eastAsia="SimSun" w:cs="SimSun"/>
          <w:sz w:val="24"/>
          <w:szCs w:val="24"/>
          <w:spacing w:val="-2"/>
        </w:rPr>
        <w:t>（当</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pHj</w:t>
      </w:r>
      <w:r>
        <w:rPr>
          <w:rFonts w:ascii="SimSun" w:hAnsi="SimSun" w:eastAsia="SimSun" w:cs="SimSun"/>
          <w:sz w:val="24"/>
          <w:szCs w:val="24"/>
          <w:spacing w:val="-2"/>
        </w:rPr>
        <w:t>≤</w:t>
      </w:r>
      <w:r>
        <w:rPr>
          <w:rFonts w:ascii="Times New Roman" w:hAnsi="Times New Roman" w:eastAsia="Times New Roman" w:cs="Times New Roman"/>
          <w:sz w:val="24"/>
          <w:szCs w:val="24"/>
          <w:spacing w:val="-2"/>
        </w:rPr>
        <w:t>7.0</w:t>
      </w:r>
      <w:r>
        <w:rPr>
          <w:rFonts w:ascii="SimSun" w:hAnsi="SimSun" w:eastAsia="SimSun" w:cs="SimSun"/>
          <w:sz w:val="24"/>
          <w:szCs w:val="24"/>
          <w:spacing w:val="-2"/>
        </w:rPr>
        <w:t>）</w:t>
      </w:r>
    </w:p>
    <w:p>
      <w:pPr>
        <w:spacing w:before="146" w:line="212" w:lineRule="auto"/>
        <w:rPr>
          <w:rFonts w:ascii="SimSun" w:hAnsi="SimSun" w:eastAsia="SimSun" w:cs="SimSun"/>
          <w:sz w:val="24"/>
          <w:szCs w:val="24"/>
        </w:rPr>
      </w:pPr>
      <w:r>
        <w:rPr>
          <w:rFonts w:ascii="SimSun" w:hAnsi="SimSun" w:eastAsia="SimSun" w:cs="SimSun"/>
          <w:sz w:val="24"/>
          <w:szCs w:val="24"/>
          <w:spacing w:val="-2"/>
        </w:rPr>
        <w:t>（当</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pHj</w:t>
      </w:r>
      <w:r>
        <w:rPr>
          <w:rFonts w:ascii="SimSun" w:hAnsi="SimSun" w:eastAsia="SimSun" w:cs="SimSun"/>
          <w:sz w:val="24"/>
          <w:szCs w:val="24"/>
          <w:spacing w:val="-2"/>
        </w:rPr>
        <w:t>＞</w:t>
      </w:r>
      <w:r>
        <w:rPr>
          <w:rFonts w:ascii="Times New Roman" w:hAnsi="Times New Roman" w:eastAsia="Times New Roman" w:cs="Times New Roman"/>
          <w:sz w:val="24"/>
          <w:szCs w:val="24"/>
          <w:spacing w:val="-2"/>
        </w:rPr>
        <w:t>7.0</w:t>
      </w:r>
      <w:r>
        <w:rPr>
          <w:rFonts w:ascii="SimSun" w:hAnsi="SimSun" w:eastAsia="SimSun" w:cs="SimSun"/>
          <w:sz w:val="24"/>
          <w:szCs w:val="24"/>
          <w:spacing w:val="-2"/>
        </w:rPr>
        <w:t>）</w:t>
      </w:r>
    </w:p>
    <w:p>
      <w:pPr>
        <w:spacing w:line="212" w:lineRule="auto"/>
        <w:sectPr>
          <w:type w:val="continuous"/>
          <w:pgSz w:w="11906" w:h="16838"/>
          <w:pgMar w:top="1170" w:right="1313" w:bottom="1080" w:left="1389" w:header="837" w:footer="918" w:gutter="0"/>
          <w:cols w:equalWidth="0" w:num="3">
            <w:col w:w="2745" w:space="100"/>
            <w:col w:w="1680" w:space="100"/>
            <w:col w:w="4579" w:space="0"/>
          </w:cols>
        </w:sectPr>
        <w:rPr>
          <w:rFonts w:ascii="SimSun" w:hAnsi="SimSun" w:eastAsia="SimSun" w:cs="SimSun"/>
          <w:sz w:val="24"/>
          <w:szCs w:val="24"/>
        </w:rPr>
      </w:pPr>
    </w:p>
    <w:p>
      <w:pPr>
        <w:ind w:left="40"/>
        <w:spacing w:before="133" w:line="211"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rPr>
        <w:t>SpH</w:t>
      </w:r>
      <w:r>
        <w:rPr>
          <w:rFonts w:ascii="Times New Roman" w:hAnsi="Times New Roman" w:eastAsia="Times New Roman" w:cs="Times New Roman"/>
          <w:sz w:val="15"/>
          <w:szCs w:val="15"/>
          <w:spacing w:val="1"/>
          <w:position w:val="-1"/>
        </w:rPr>
        <w:t>,j</w:t>
      </w:r>
      <w:r>
        <w:rPr>
          <w:rFonts w:ascii="SimSun" w:hAnsi="SimSun" w:eastAsia="SimSun" w:cs="SimSun"/>
          <w:sz w:val="24"/>
          <w:szCs w:val="24"/>
          <w:spacing w:val="1"/>
        </w:rPr>
        <w:t>——</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在第</w:t>
      </w:r>
      <w:r>
        <w:rPr>
          <w:rFonts w:ascii="Times New Roman" w:hAnsi="Times New Roman" w:eastAsia="Times New Roman" w:cs="Times New Roman"/>
          <w:sz w:val="24"/>
          <w:szCs w:val="24"/>
          <w:spacing w:val="1"/>
        </w:rPr>
        <w:t>j</w:t>
      </w:r>
      <w:r>
        <w:rPr>
          <w:rFonts w:ascii="Times New Roman" w:hAnsi="Times New Roman" w:eastAsia="Times New Roman" w:cs="Times New Roman"/>
          <w:sz w:val="24"/>
          <w:szCs w:val="24"/>
          <w:spacing w:val="27"/>
          <w:w w:val="101"/>
        </w:rPr>
        <w:t xml:space="preserve"> </w:t>
      </w:r>
      <w:r>
        <w:rPr>
          <w:rFonts w:ascii="SimSun" w:hAnsi="SimSun" w:eastAsia="SimSun" w:cs="SimSun"/>
          <w:sz w:val="24"/>
          <w:szCs w:val="24"/>
          <w:spacing w:val="1"/>
        </w:rPr>
        <w:t>点的标准污染指数；</w:t>
      </w:r>
    </w:p>
    <w:p>
      <w:pPr>
        <w:ind w:left="750"/>
        <w:spacing w:before="165" w:line="21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j</w:t>
      </w:r>
      <w:r>
        <w:rPr>
          <w:rFonts w:ascii="SimSun" w:hAnsi="SimSun" w:eastAsia="SimSun" w:cs="SimSun"/>
          <w:sz w:val="24"/>
          <w:szCs w:val="24"/>
          <w:spacing w:val="3"/>
        </w:rPr>
        <w:t>——</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在第</w:t>
      </w:r>
      <w:r>
        <w:rPr>
          <w:rFonts w:ascii="Times New Roman" w:hAnsi="Times New Roman" w:eastAsia="Times New Roman" w:cs="Times New Roman"/>
          <w:sz w:val="24"/>
          <w:szCs w:val="24"/>
          <w:spacing w:val="3"/>
        </w:rPr>
        <w:t>j</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3"/>
        </w:rPr>
        <w:t>点的实测值；</w:t>
      </w:r>
    </w:p>
    <w:p>
      <w:pPr>
        <w:ind w:left="750"/>
        <w:spacing w:before="163" w:line="212"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sd</w:t>
      </w:r>
      <w:r>
        <w:rPr>
          <w:rFonts w:ascii="SimSun" w:hAnsi="SimSun" w:eastAsia="SimSun" w:cs="SimSun"/>
          <w:sz w:val="24"/>
          <w:szCs w:val="24"/>
        </w:rPr>
        <w:t>——评价标准规定的</w:t>
      </w:r>
      <w:r>
        <w:rPr>
          <w:rFonts w:ascii="SimSun" w:hAnsi="SimSun" w:eastAsia="SimSun" w:cs="SimSun"/>
          <w:sz w:val="24"/>
          <w:szCs w:val="24"/>
          <w:spacing w:val="-59"/>
        </w:rPr>
        <w:t xml:space="preserve"> </w:t>
      </w:r>
      <w:r>
        <w:rPr>
          <w:rFonts w:ascii="Times New Roman" w:hAnsi="Times New Roman" w:eastAsia="Times New Roman" w:cs="Times New Roman"/>
          <w:sz w:val="24"/>
          <w:szCs w:val="24"/>
        </w:rPr>
        <w:t>pH </w:t>
      </w:r>
      <w:r>
        <w:rPr>
          <w:rFonts w:ascii="SimSun" w:hAnsi="SimSun" w:eastAsia="SimSun" w:cs="SimSun"/>
          <w:sz w:val="24"/>
          <w:szCs w:val="24"/>
        </w:rPr>
        <w:t>值下限；</w:t>
      </w:r>
    </w:p>
    <w:p>
      <w:pPr>
        <w:ind w:left="750"/>
        <w:spacing w:before="166" w:line="196" w:lineRule="auto"/>
        <w:rPr>
          <w:rFonts w:ascii="SimSun" w:hAnsi="SimSun" w:eastAsia="SimSun" w:cs="SimSun"/>
          <w:sz w:val="24"/>
          <w:szCs w:val="24"/>
        </w:rPr>
      </w:pPr>
      <w:r>
        <w:rPr>
          <w:rFonts w:ascii="Times New Roman" w:hAnsi="Times New Roman" w:eastAsia="Times New Roman" w:cs="Times New Roman"/>
          <w:sz w:val="24"/>
          <w:szCs w:val="24"/>
        </w:rPr>
        <w:t>pH</w:t>
      </w:r>
      <w:r>
        <w:rPr>
          <w:rFonts w:ascii="Times New Roman" w:hAnsi="Times New Roman" w:eastAsia="Times New Roman" w:cs="Times New Roman"/>
          <w:sz w:val="15"/>
          <w:szCs w:val="15"/>
          <w:position w:val="-1"/>
        </w:rPr>
        <w:t>su</w:t>
      </w:r>
      <w:r>
        <w:rPr>
          <w:rFonts w:ascii="SimSun" w:hAnsi="SimSun" w:eastAsia="SimSun" w:cs="SimSun"/>
          <w:sz w:val="24"/>
          <w:szCs w:val="24"/>
        </w:rPr>
        <w:t>——评价标准规定的</w:t>
      </w:r>
      <w:r>
        <w:rPr>
          <w:rFonts w:ascii="SimSun" w:hAnsi="SimSun" w:eastAsia="SimSun" w:cs="SimSun"/>
          <w:sz w:val="24"/>
          <w:szCs w:val="24"/>
          <w:spacing w:val="-59"/>
        </w:rPr>
        <w:t xml:space="preserve"> </w:t>
      </w:r>
      <w:r>
        <w:rPr>
          <w:rFonts w:ascii="Times New Roman" w:hAnsi="Times New Roman" w:eastAsia="Times New Roman" w:cs="Times New Roman"/>
          <w:sz w:val="24"/>
          <w:szCs w:val="24"/>
        </w:rPr>
        <w:t>pH </w:t>
      </w:r>
      <w:r>
        <w:rPr>
          <w:rFonts w:ascii="SimSun" w:hAnsi="SimSun" w:eastAsia="SimSun" w:cs="SimSun"/>
          <w:sz w:val="24"/>
          <w:szCs w:val="24"/>
        </w:rPr>
        <w:t>值上限；</w:t>
      </w:r>
    </w:p>
    <w:p>
      <w:pPr>
        <w:spacing w:line="196" w:lineRule="auto"/>
        <w:sectPr>
          <w:type w:val="continuous"/>
          <w:pgSz w:w="11906" w:h="16838"/>
          <w:pgMar w:top="1170" w:right="1313" w:bottom="1080" w:left="1389" w:header="837" w:footer="918" w:gutter="0"/>
          <w:cols w:equalWidth="0" w:num="1">
            <w:col w:w="9203" w:space="0"/>
          </w:cols>
        </w:sectPr>
        <w:rPr>
          <w:rFonts w:ascii="SimSun" w:hAnsi="SimSun" w:eastAsia="SimSun" w:cs="SimSun"/>
          <w:sz w:val="24"/>
          <w:szCs w:val="24"/>
        </w:rPr>
      </w:pPr>
    </w:p>
    <w:p>
      <w:pPr>
        <w:pStyle w:val="BodyText"/>
        <w:spacing w:line="312" w:lineRule="auto"/>
        <w:rPr/>
      </w:pPr>
      <w:r/>
    </w:p>
    <w:p>
      <w:pPr>
        <w:ind w:left="605"/>
        <w:spacing w:before="78" w:line="219" w:lineRule="auto"/>
        <w:rPr>
          <w:rFonts w:ascii="SimSun" w:hAnsi="SimSun" w:eastAsia="SimSun" w:cs="SimSun"/>
          <w:sz w:val="24"/>
          <w:szCs w:val="24"/>
        </w:rPr>
      </w:pPr>
      <w:r>
        <w:rPr>
          <w:rFonts w:ascii="SimSun" w:hAnsi="SimSun" w:eastAsia="SimSun" w:cs="SimSun"/>
          <w:sz w:val="24"/>
          <w:szCs w:val="24"/>
          <w:spacing w:val="-1"/>
        </w:rPr>
        <w:t>其他因子标准指数公式：</w:t>
      </w:r>
    </w:p>
    <w:p>
      <w:pPr>
        <w:ind w:left="4271"/>
        <w:spacing w:before="14" w:line="499" w:lineRule="exact"/>
        <w:rPr/>
      </w:pPr>
      <w:r>
        <w:rPr>
          <w:position w:val="-10"/>
        </w:rPr>
        <w:drawing>
          <wp:inline distT="0" distB="0" distL="0" distR="0">
            <wp:extent cx="469391" cy="316991"/>
            <wp:effectExtent l="0" t="0" r="0" b="0"/>
            <wp:docPr id="256" name="IM 256"/>
            <wp:cNvGraphicFramePr/>
            <a:graphic>
              <a:graphicData uri="http://schemas.openxmlformats.org/drawingml/2006/picture">
                <pic:pic>
                  <pic:nvPicPr>
                    <pic:cNvPr id="256" name="IM 256"/>
                    <pic:cNvPicPr/>
                  </pic:nvPicPr>
                  <pic:blipFill>
                    <a:blip r:embed="rId324"/>
                    <a:stretch>
                      <a:fillRect/>
                    </a:stretch>
                  </pic:blipFill>
                  <pic:spPr>
                    <a:xfrm rot="0">
                      <a:off x="0" y="0"/>
                      <a:ext cx="469391" cy="316991"/>
                    </a:xfrm>
                    <a:prstGeom prst="rect">
                      <a:avLst/>
                    </a:prstGeom>
                  </pic:spPr>
                </pic:pic>
              </a:graphicData>
            </a:graphic>
          </wp:inline>
        </w:drawing>
      </w:r>
    </w:p>
    <w:p>
      <w:pPr>
        <w:ind w:left="124"/>
        <w:spacing w:before="156" w:line="210"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Si,j</w:t>
      </w:r>
      <w:r>
        <w:rPr>
          <w:rFonts w:ascii="SimSun" w:hAnsi="SimSun" w:eastAsia="SimSun" w:cs="SimSun"/>
          <w:sz w:val="24"/>
          <w:szCs w:val="24"/>
        </w:rPr>
        <w:t>——污染物</w:t>
      </w:r>
      <w:r>
        <w:rPr>
          <w:rFonts w:ascii="SimSun" w:hAnsi="SimSun" w:eastAsia="SimSun" w:cs="SimSun"/>
          <w:sz w:val="24"/>
          <w:szCs w:val="24"/>
          <w:spacing w:val="-35"/>
        </w:rPr>
        <w:t xml:space="preserve"> </w:t>
      </w:r>
      <w:r>
        <w:rPr>
          <w:rFonts w:ascii="Times New Roman" w:hAnsi="Times New Roman" w:eastAsia="Times New Roman" w:cs="Times New Roman"/>
          <w:sz w:val="24"/>
          <w:szCs w:val="24"/>
        </w:rPr>
        <w:t>i </w:t>
      </w:r>
      <w:r>
        <w:rPr>
          <w:rFonts w:ascii="SimSun" w:hAnsi="SimSun" w:eastAsia="SimSun" w:cs="SimSun"/>
          <w:sz w:val="24"/>
          <w:szCs w:val="24"/>
        </w:rPr>
        <w:t>在第</w:t>
      </w:r>
      <w:r>
        <w:rPr>
          <w:rFonts w:ascii="Times New Roman" w:hAnsi="Times New Roman" w:eastAsia="Times New Roman" w:cs="Times New Roman"/>
          <w:sz w:val="24"/>
          <w:szCs w:val="24"/>
        </w:rPr>
        <w:t>j</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点的标准指数；</w:t>
      </w:r>
    </w:p>
    <w:p>
      <w:pPr>
        <w:ind w:left="843"/>
        <w:spacing w:before="166" w:line="210" w:lineRule="auto"/>
        <w:rPr>
          <w:rFonts w:ascii="SimSun" w:hAnsi="SimSun" w:eastAsia="SimSun" w:cs="SimSun"/>
          <w:sz w:val="24"/>
          <w:szCs w:val="24"/>
        </w:rPr>
      </w:pPr>
      <w:r>
        <w:rPr>
          <w:rFonts w:ascii="Times New Roman" w:hAnsi="Times New Roman" w:eastAsia="Times New Roman" w:cs="Times New Roman"/>
          <w:sz w:val="24"/>
          <w:szCs w:val="24"/>
        </w:rPr>
        <w:t>Ci</w:t>
      </w:r>
      <w:r>
        <w:rPr>
          <w:rFonts w:ascii="Times New Roman" w:hAnsi="Times New Roman" w:eastAsia="Times New Roman" w:cs="Times New Roman"/>
          <w:sz w:val="24"/>
          <w:szCs w:val="24"/>
          <w:spacing w:val="1"/>
        </w:rPr>
        <w:t>,j</w:t>
      </w:r>
      <w:r>
        <w:rPr>
          <w:rFonts w:ascii="SimSun" w:hAnsi="SimSun" w:eastAsia="SimSun" w:cs="SimSun"/>
          <w:sz w:val="24"/>
          <w:szCs w:val="24"/>
          <w:spacing w:val="1"/>
        </w:rPr>
        <w:t>——</w:t>
      </w:r>
      <w:r>
        <w:rPr>
          <w:rFonts w:ascii="Times New Roman" w:hAnsi="Times New Roman" w:eastAsia="Times New Roman" w:cs="Times New Roman"/>
          <w:sz w:val="24"/>
          <w:szCs w:val="24"/>
          <w:spacing w:val="1"/>
        </w:rPr>
        <w:t>i </w:t>
      </w:r>
      <w:r>
        <w:rPr>
          <w:rFonts w:ascii="SimSun" w:hAnsi="SimSun" w:eastAsia="SimSun" w:cs="SimSun"/>
          <w:sz w:val="24"/>
          <w:szCs w:val="24"/>
          <w:spacing w:val="1"/>
        </w:rPr>
        <w:t>污染物在第</w:t>
      </w:r>
      <w:r>
        <w:rPr>
          <w:rFonts w:ascii="Times New Roman" w:hAnsi="Times New Roman" w:eastAsia="Times New Roman" w:cs="Times New Roman"/>
          <w:sz w:val="24"/>
          <w:szCs w:val="24"/>
          <w:spacing w:val="1"/>
        </w:rPr>
        <w:t>j</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1"/>
        </w:rPr>
        <w:t>点的实测浓度（</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1"/>
        </w:rPr>
        <w:t>/L</w:t>
      </w:r>
      <w:r>
        <w:rPr>
          <w:rFonts w:ascii="SimSun" w:hAnsi="SimSun" w:eastAsia="SimSun" w:cs="SimSun"/>
          <w:sz w:val="24"/>
          <w:szCs w:val="24"/>
          <w:spacing w:val="2"/>
        </w:rPr>
        <w:t>）；</w:t>
      </w:r>
    </w:p>
    <w:p>
      <w:pPr>
        <w:ind w:left="843"/>
        <w:spacing w:before="166" w:line="212" w:lineRule="auto"/>
        <w:rPr>
          <w:rFonts w:ascii="SimSun" w:hAnsi="SimSun" w:eastAsia="SimSun" w:cs="SimSun"/>
          <w:sz w:val="24"/>
          <w:szCs w:val="24"/>
        </w:rPr>
      </w:pPr>
      <w:r>
        <w:rPr>
          <w:rFonts w:ascii="Times New Roman" w:hAnsi="Times New Roman" w:eastAsia="Times New Roman" w:cs="Times New Roman"/>
          <w:sz w:val="24"/>
          <w:szCs w:val="24"/>
          <w:spacing w:val="-1"/>
        </w:rPr>
        <w:t>Csi</w:t>
      </w:r>
      <w:r>
        <w:rPr>
          <w:rFonts w:ascii="SimSun" w:hAnsi="SimSun" w:eastAsia="SimSun" w:cs="SimSun"/>
          <w:sz w:val="24"/>
          <w:szCs w:val="24"/>
          <w:spacing w:val="-1"/>
        </w:rPr>
        <w:t>——</w:t>
      </w:r>
      <w:r>
        <w:rPr>
          <w:rFonts w:ascii="Times New Roman" w:hAnsi="Times New Roman" w:eastAsia="Times New Roman" w:cs="Times New Roman"/>
          <w:sz w:val="24"/>
          <w:szCs w:val="24"/>
          <w:spacing w:val="-1"/>
        </w:rPr>
        <w:t>i </w:t>
      </w:r>
      <w:r>
        <w:rPr>
          <w:rFonts w:ascii="SimSun" w:hAnsi="SimSun" w:eastAsia="SimSun" w:cs="SimSun"/>
          <w:sz w:val="24"/>
          <w:szCs w:val="24"/>
          <w:spacing w:val="-1"/>
        </w:rPr>
        <w:t>污染物评价标准限制（</w:t>
      </w:r>
      <w:r>
        <w:rPr>
          <w:rFonts w:ascii="Times New Roman" w:hAnsi="Times New Roman" w:eastAsia="Times New Roman" w:cs="Times New Roman"/>
          <w:sz w:val="24"/>
          <w:szCs w:val="24"/>
          <w:spacing w:val="-1"/>
        </w:rPr>
        <w:t>mg/L</w:t>
      </w:r>
      <w:r>
        <w:rPr>
          <w:rFonts w:ascii="SimSun" w:hAnsi="SimSun" w:eastAsia="SimSun" w:cs="SimSun"/>
          <w:sz w:val="24"/>
          <w:szCs w:val="24"/>
          <w:spacing w:val="-1"/>
        </w:rPr>
        <w:t>）。</w:t>
      </w:r>
    </w:p>
    <w:p>
      <w:pPr>
        <w:ind w:left="120" w:right="124" w:firstLine="486"/>
        <w:spacing w:before="165" w:line="338" w:lineRule="auto"/>
        <w:rPr>
          <w:rFonts w:ascii="SimSun" w:hAnsi="SimSun" w:eastAsia="SimSun" w:cs="SimSun"/>
          <w:sz w:val="24"/>
          <w:szCs w:val="24"/>
        </w:rPr>
      </w:pPr>
      <w:r>
        <w:rPr>
          <w:rFonts w:ascii="SimSun" w:hAnsi="SimSun" w:eastAsia="SimSun" w:cs="SimSun"/>
          <w:sz w:val="24"/>
          <w:szCs w:val="24"/>
          <w:spacing w:val="-1"/>
        </w:rPr>
        <w:t>水质参数的标准指数＞</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，表明该水质参数超</w:t>
      </w:r>
      <w:r>
        <w:rPr>
          <w:rFonts w:ascii="SimSun" w:hAnsi="SimSun" w:eastAsia="SimSun" w:cs="SimSun"/>
          <w:sz w:val="24"/>
          <w:szCs w:val="24"/>
          <w:spacing w:val="-2"/>
        </w:rPr>
        <w:t>过了规定的水质标准，已经不能满足</w:t>
      </w:r>
      <w:r>
        <w:rPr>
          <w:rFonts w:ascii="SimSun" w:hAnsi="SimSun" w:eastAsia="SimSun" w:cs="SimSun"/>
          <w:sz w:val="24"/>
          <w:szCs w:val="24"/>
          <w:spacing w:val="-2"/>
        </w:rPr>
        <w:t>规划功能要求。</w:t>
      </w:r>
    </w:p>
    <w:p>
      <w:pPr>
        <w:ind w:left="600"/>
        <w:spacing w:before="2" w:line="217"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、评价标准</w:t>
      </w:r>
    </w:p>
    <w:p>
      <w:pPr>
        <w:ind w:left="126" w:right="119" w:firstLine="478"/>
        <w:spacing w:before="158" w:line="338" w:lineRule="auto"/>
        <w:rPr>
          <w:rFonts w:ascii="SimSun" w:hAnsi="SimSun" w:eastAsia="SimSun" w:cs="SimSun"/>
          <w:sz w:val="24"/>
          <w:szCs w:val="24"/>
        </w:rPr>
      </w:pPr>
      <w:r>
        <w:rPr>
          <w:rFonts w:ascii="SimSun" w:hAnsi="SimSun" w:eastAsia="SimSun" w:cs="SimSun"/>
          <w:sz w:val="24"/>
          <w:szCs w:val="24"/>
          <w:spacing w:val="5"/>
        </w:rPr>
        <w:t>根据该河段水环境质量控制标准，以上各参数标准值取《地表水环</w:t>
      </w:r>
      <w:r>
        <w:rPr>
          <w:rFonts w:ascii="SimSun" w:hAnsi="SimSun" w:eastAsia="SimSun" w:cs="SimSun"/>
          <w:sz w:val="24"/>
          <w:szCs w:val="24"/>
          <w:spacing w:val="4"/>
        </w:rPr>
        <w:t>境质量标准》</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GB3838-2002</w:t>
      </w:r>
      <w:r>
        <w:rPr>
          <w:rFonts w:ascii="SimSun" w:hAnsi="SimSun" w:eastAsia="SimSun" w:cs="SimSun"/>
          <w:sz w:val="24"/>
          <w:szCs w:val="24"/>
          <w:spacing w:val="-1"/>
        </w:rPr>
        <w:t>）中Ⅲ类水体标准值。</w:t>
      </w:r>
    </w:p>
    <w:p>
      <w:pPr>
        <w:ind w:left="605"/>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、评价结果</w:t>
      </w:r>
    </w:p>
    <w:p>
      <w:pPr>
        <w:ind w:left="122" w:right="117" w:firstLine="483"/>
        <w:spacing w:before="158" w:line="338" w:lineRule="auto"/>
        <w:rPr>
          <w:rFonts w:ascii="SimSun" w:hAnsi="SimSun" w:eastAsia="SimSun" w:cs="SimSun"/>
          <w:sz w:val="24"/>
          <w:szCs w:val="24"/>
        </w:rPr>
      </w:pPr>
      <w:r>
        <w:rPr>
          <w:rFonts w:ascii="SimSun" w:hAnsi="SimSun" w:eastAsia="SimSun" w:cs="SimSun"/>
          <w:sz w:val="24"/>
          <w:szCs w:val="24"/>
        </w:rPr>
        <w:t>按照《地表水环境质量标准》（</w:t>
      </w:r>
      <w:r>
        <w:rPr>
          <w:rFonts w:ascii="Times New Roman" w:hAnsi="Times New Roman" w:eastAsia="Times New Roman" w:cs="Times New Roman"/>
          <w:sz w:val="24"/>
          <w:szCs w:val="24"/>
        </w:rPr>
        <w:t>GB3838-2002</w:t>
      </w:r>
      <w:r>
        <w:rPr>
          <w:rFonts w:ascii="SimSun" w:hAnsi="SimSun" w:eastAsia="SimSun" w:cs="SimSun"/>
          <w:sz w:val="24"/>
          <w:szCs w:val="24"/>
        </w:rPr>
        <w:t>）中Ⅲ类水体标准，各监测</w:t>
      </w:r>
      <w:r>
        <w:rPr>
          <w:rFonts w:ascii="SimSun" w:hAnsi="SimSun" w:eastAsia="SimSun" w:cs="SimSun"/>
          <w:sz w:val="24"/>
          <w:szCs w:val="24"/>
          <w:spacing w:val="-1"/>
        </w:rPr>
        <w:t>断面标准</w:t>
      </w:r>
      <w:r>
        <w:rPr>
          <w:rFonts w:ascii="SimSun" w:hAnsi="SimSun" w:eastAsia="SimSun" w:cs="SimSun"/>
          <w:sz w:val="24"/>
          <w:szCs w:val="24"/>
          <w:spacing w:val="-2"/>
        </w:rPr>
        <w:t>指数计算结果见表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4-2-27</w:t>
      </w:r>
      <w:r>
        <w:rPr>
          <w:rFonts w:ascii="SimSun" w:hAnsi="SimSun" w:eastAsia="SimSun" w:cs="SimSun"/>
          <w:sz w:val="24"/>
          <w:szCs w:val="24"/>
          <w:spacing w:val="-2"/>
        </w:rPr>
        <w:t>。</w:t>
      </w:r>
    </w:p>
    <w:p>
      <w:pPr>
        <w:ind w:left="120" w:right="112" w:firstLine="481"/>
        <w:spacing w:before="3" w:line="339" w:lineRule="auto"/>
        <w:jc w:val="both"/>
        <w:rPr>
          <w:rFonts w:ascii="SimSun" w:hAnsi="SimSun" w:eastAsia="SimSun" w:cs="SimSun"/>
          <w:sz w:val="24"/>
          <w:szCs w:val="24"/>
        </w:rPr>
      </w:pPr>
      <w:r>
        <w:rPr>
          <w:rFonts w:ascii="SimSun" w:hAnsi="SimSun" w:eastAsia="SimSun" w:cs="SimSun"/>
          <w:sz w:val="24"/>
          <w:szCs w:val="24"/>
          <w:spacing w:val="1"/>
        </w:rPr>
        <w:t>从评价结果看，除</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8"/>
          <w:position w:val="-1"/>
        </w:rPr>
        <w:t xml:space="preserve"> </w:t>
      </w:r>
      <w:r>
        <w:rPr>
          <w:rFonts w:ascii="SimSun" w:hAnsi="SimSun" w:eastAsia="SimSun" w:cs="SimSun"/>
          <w:sz w:val="24"/>
          <w:szCs w:val="24"/>
          <w:spacing w:val="1"/>
        </w:rPr>
        <w:t>高于《地表水环境质量</w:t>
      </w:r>
      <w:r>
        <w:rPr>
          <w:rFonts w:ascii="SimSun" w:hAnsi="SimSun" w:eastAsia="SimSun" w:cs="SimSun"/>
          <w:sz w:val="24"/>
          <w:szCs w:val="24"/>
        </w:rPr>
        <w:t>标准》（</w:t>
      </w:r>
      <w:r>
        <w:rPr>
          <w:rFonts w:ascii="Times New Roman" w:hAnsi="Times New Roman" w:eastAsia="Times New Roman" w:cs="Times New Roman"/>
          <w:sz w:val="24"/>
          <w:szCs w:val="24"/>
        </w:rPr>
        <w:t>GB3838-2002</w:t>
      </w:r>
      <w:r>
        <w:rPr>
          <w:rFonts w:ascii="SimSun" w:hAnsi="SimSun" w:eastAsia="SimSun" w:cs="SimSun"/>
          <w:sz w:val="24"/>
          <w:szCs w:val="24"/>
        </w:rPr>
        <w:t>）中Ⅲ类水</w:t>
      </w:r>
      <w:r>
        <w:rPr>
          <w:rFonts w:ascii="SimSun" w:hAnsi="SimSun" w:eastAsia="SimSun" w:cs="SimSun"/>
          <w:sz w:val="24"/>
          <w:szCs w:val="24"/>
          <w:spacing w:val="-2"/>
        </w:rPr>
        <w:t>质标准限制外，各断面水质均优于其水质标准。其原因主要是水流冲刷河道和人畜活动</w:t>
      </w:r>
      <w:r>
        <w:rPr>
          <w:rFonts w:ascii="SimSun" w:hAnsi="SimSun" w:eastAsia="SimSun" w:cs="SimSun"/>
          <w:sz w:val="24"/>
          <w:szCs w:val="24"/>
          <w:spacing w:val="-1"/>
        </w:rPr>
        <w:t>而造成。因此可以看出地表水水质较好，除</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BOD</w:t>
      </w:r>
      <w:r>
        <w:rPr>
          <w:rFonts w:ascii="Times New Roman" w:hAnsi="Times New Roman" w:eastAsia="Times New Roman" w:cs="Times New Roman"/>
          <w:sz w:val="15"/>
          <w:szCs w:val="15"/>
          <w:spacing w:val="-1"/>
          <w:position w:val="-1"/>
        </w:rPr>
        <w:t>5</w:t>
      </w:r>
      <w:r>
        <w:rPr>
          <w:rFonts w:ascii="Times New Roman" w:hAnsi="Times New Roman" w:eastAsia="Times New Roman" w:cs="Times New Roman"/>
          <w:sz w:val="15"/>
          <w:szCs w:val="15"/>
          <w:spacing w:val="16"/>
          <w:w w:val="101"/>
          <w:position w:val="-1"/>
        </w:rPr>
        <w:t xml:space="preserve"> </w:t>
      </w:r>
      <w:r>
        <w:rPr>
          <w:rFonts w:ascii="SimSun" w:hAnsi="SimSun" w:eastAsia="SimSun" w:cs="SimSun"/>
          <w:sz w:val="24"/>
          <w:szCs w:val="24"/>
          <w:spacing w:val="-1"/>
        </w:rPr>
        <w:t>外，其他监测因子均具有一定的环境</w:t>
      </w:r>
      <w:r>
        <w:rPr>
          <w:rFonts w:ascii="SimSun" w:hAnsi="SimSun" w:eastAsia="SimSun" w:cs="SimSun"/>
          <w:sz w:val="24"/>
          <w:szCs w:val="24"/>
          <w:spacing w:val="-4"/>
        </w:rPr>
        <w:t>容量。</w:t>
      </w:r>
    </w:p>
    <w:p>
      <w:pPr>
        <w:ind w:left="3574"/>
        <w:spacing w:before="122" w:line="222" w:lineRule="auto"/>
        <w:rPr>
          <w:rFonts w:ascii="SimHei" w:hAnsi="SimHei" w:eastAsia="SimHei" w:cs="SimHei"/>
          <w:sz w:val="24"/>
          <w:szCs w:val="24"/>
        </w:rPr>
      </w:pPr>
      <w:r>
        <w:rPr>
          <w:rFonts w:ascii="SimHei" w:hAnsi="SimHei" w:eastAsia="SimHei" w:cs="SimHei"/>
          <w:sz w:val="24"/>
          <w:szCs w:val="24"/>
          <w:b/>
          <w:bCs/>
          <w:spacing w:val="-4"/>
        </w:rPr>
        <w:t>地表水质量监测结果</w:t>
      </w:r>
    </w:p>
    <w:p>
      <w:pPr>
        <w:ind w:left="117"/>
        <w:spacing w:before="49" w:line="212" w:lineRule="auto"/>
        <w:rPr>
          <w:rFonts w:ascii="Times New Roman" w:hAnsi="Times New Roman" w:eastAsia="Times New Roman" w:cs="Times New Roman"/>
          <w:sz w:val="20"/>
          <w:szCs w:val="20"/>
        </w:rPr>
      </w:pPr>
      <w:r>
        <w:rPr>
          <w:rFonts w:ascii="SimSun" w:hAnsi="SimSun" w:eastAsia="SimSun" w:cs="SimSun"/>
          <w:sz w:val="20"/>
          <w:szCs w:val="20"/>
          <w:spacing w:val="5"/>
        </w:rPr>
        <w:t>表</w:t>
      </w:r>
      <w:r>
        <w:rPr>
          <w:rFonts w:ascii="SimSun" w:hAnsi="SimSun" w:eastAsia="SimSun" w:cs="SimSun"/>
          <w:sz w:val="20"/>
          <w:szCs w:val="20"/>
          <w:spacing w:val="-40"/>
        </w:rPr>
        <w:t xml:space="preserve"> </w:t>
      </w:r>
      <w:r>
        <w:rPr>
          <w:rFonts w:ascii="Times New Roman" w:hAnsi="Times New Roman" w:eastAsia="Times New Roman" w:cs="Times New Roman"/>
          <w:sz w:val="20"/>
          <w:szCs w:val="20"/>
          <w:spacing w:val="5"/>
        </w:rPr>
        <w:t>4-2-27</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5"/>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5"/>
        </w:rPr>
        <w:t>/L</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18"/>
        <w:gridCol w:w="1245"/>
        <w:gridCol w:w="1245"/>
        <w:gridCol w:w="1247"/>
        <w:gridCol w:w="955"/>
        <w:gridCol w:w="2480"/>
      </w:tblGrid>
      <w:tr>
        <w:trPr>
          <w:trHeight w:val="283" w:hRule="atLeast"/>
        </w:trPr>
        <w:tc>
          <w:tcPr>
            <w:tcW w:w="2118" w:type="dxa"/>
            <w:vAlign w:val="top"/>
          </w:tcPr>
          <w:p>
            <w:pPr>
              <w:ind w:left="642"/>
              <w:spacing w:before="35" w:line="219" w:lineRule="auto"/>
              <w:rPr>
                <w:rFonts w:ascii="SimSun" w:hAnsi="SimSun" w:eastAsia="SimSun" w:cs="SimSun"/>
                <w:sz w:val="20"/>
                <w:szCs w:val="20"/>
              </w:rPr>
            </w:pPr>
            <w:r>
              <w:rPr>
                <w:rFonts w:ascii="SimSun" w:hAnsi="SimSun" w:eastAsia="SimSun" w:cs="SimSun"/>
                <w:sz w:val="20"/>
                <w:szCs w:val="20"/>
                <w:spacing w:val="7"/>
              </w:rPr>
              <w:t>监测项目</w:t>
            </w:r>
          </w:p>
        </w:tc>
        <w:tc>
          <w:tcPr>
            <w:tcW w:w="4692" w:type="dxa"/>
            <w:vAlign w:val="top"/>
            <w:gridSpan w:val="4"/>
          </w:tcPr>
          <w:p>
            <w:pPr>
              <w:pStyle w:val="TableText"/>
              <w:ind w:left="616"/>
              <w:spacing w:before="35" w:line="219" w:lineRule="auto"/>
              <w:rPr>
                <w:rFonts w:ascii="SimSun" w:hAnsi="SimSun" w:eastAsia="SimSun" w:cs="SimSun"/>
              </w:rPr>
            </w:pPr>
            <w:r>
              <w:rPr>
                <w:rFonts w:ascii="SimSun" w:hAnsi="SimSun" w:eastAsia="SimSun" w:cs="SimSun"/>
                <w:spacing w:val="8"/>
              </w:rPr>
              <w:t>彦吉嘎河下游四号露天矿外约 </w:t>
            </w:r>
            <w:r>
              <w:rPr>
                <w:spacing w:val="8"/>
              </w:rPr>
              <w:t>1</w:t>
            </w:r>
            <w:r>
              <w:rPr/>
              <w:t>km</w:t>
            </w:r>
            <w:r>
              <w:rPr>
                <w:spacing w:val="28"/>
                <w:w w:val="101"/>
              </w:rPr>
              <w:t xml:space="preserve"> </w:t>
            </w:r>
            <w:r>
              <w:rPr>
                <w:rFonts w:ascii="SimSun" w:hAnsi="SimSun" w:eastAsia="SimSun" w:cs="SimSun"/>
                <w:spacing w:val="8"/>
              </w:rPr>
              <w:t>处</w:t>
            </w:r>
          </w:p>
        </w:tc>
        <w:tc>
          <w:tcPr>
            <w:tcW w:w="2480" w:type="dxa"/>
            <w:vAlign w:val="top"/>
            <w:vMerge w:val="restart"/>
            <w:tcBorders>
              <w:bottom w:val="nil"/>
            </w:tcBorders>
          </w:tcPr>
          <w:p>
            <w:pPr>
              <w:ind w:left="120"/>
              <w:spacing w:before="35" w:line="228" w:lineRule="auto"/>
              <w:rPr>
                <w:rFonts w:ascii="SimSun" w:hAnsi="SimSun" w:eastAsia="SimSun" w:cs="SimSun"/>
                <w:sz w:val="20"/>
                <w:szCs w:val="20"/>
              </w:rPr>
            </w:pPr>
            <w:r>
              <w:rPr>
                <w:rFonts w:ascii="SimSun" w:hAnsi="SimSun" w:eastAsia="SimSun" w:cs="SimSun"/>
                <w:sz w:val="20"/>
                <w:szCs w:val="20"/>
                <w:spacing w:val="7"/>
              </w:rPr>
              <w:t>《地表水环境质量标准》</w:t>
            </w:r>
          </w:p>
          <w:p>
            <w:pPr>
              <w:pStyle w:val="TableText"/>
              <w:ind w:left="441"/>
              <w:spacing w:before="25" w:line="229" w:lineRule="auto"/>
              <w:rPr>
                <w:rFonts w:ascii="SimSun" w:hAnsi="SimSun" w:eastAsia="SimSun" w:cs="SimSun"/>
              </w:rPr>
            </w:pPr>
            <w:r>
              <w:rPr>
                <w:rFonts w:ascii="SimSun" w:hAnsi="SimSun" w:eastAsia="SimSun" w:cs="SimSun"/>
                <w:spacing w:val="4"/>
              </w:rPr>
              <w:t>（</w:t>
            </w:r>
            <w:r>
              <w:rPr/>
              <w:t>GB</w:t>
            </w:r>
            <w:r>
              <w:rPr>
                <w:spacing w:val="4"/>
              </w:rPr>
              <w:t>3838-2002</w:t>
            </w:r>
            <w:r>
              <w:rPr>
                <w:rFonts w:ascii="SimSun" w:hAnsi="SimSun" w:eastAsia="SimSun" w:cs="SimSun"/>
                <w:spacing w:val="4"/>
              </w:rPr>
              <w:t>）</w:t>
            </w:r>
          </w:p>
        </w:tc>
      </w:tr>
      <w:tr>
        <w:trPr>
          <w:trHeight w:val="278" w:hRule="atLeast"/>
        </w:trPr>
        <w:tc>
          <w:tcPr>
            <w:tcW w:w="2118" w:type="dxa"/>
            <w:vAlign w:val="top"/>
          </w:tcPr>
          <w:p>
            <w:pPr>
              <w:ind w:left="642"/>
              <w:spacing w:before="28" w:line="221" w:lineRule="auto"/>
              <w:rPr>
                <w:rFonts w:ascii="SimSun" w:hAnsi="SimSun" w:eastAsia="SimSun" w:cs="SimSun"/>
                <w:sz w:val="20"/>
                <w:szCs w:val="20"/>
              </w:rPr>
            </w:pPr>
            <w:r>
              <w:rPr>
                <w:rFonts w:ascii="SimSun" w:hAnsi="SimSun" w:eastAsia="SimSun" w:cs="SimSun"/>
                <w:sz w:val="20"/>
                <w:szCs w:val="20"/>
                <w:spacing w:val="7"/>
              </w:rPr>
              <w:t>监测时间</w:t>
            </w:r>
          </w:p>
        </w:tc>
        <w:tc>
          <w:tcPr>
            <w:tcW w:w="1245" w:type="dxa"/>
            <w:vAlign w:val="top"/>
          </w:tcPr>
          <w:p>
            <w:pPr>
              <w:pStyle w:val="TableText"/>
              <w:ind w:left="204"/>
              <w:spacing w:before="64" w:line="195" w:lineRule="auto"/>
              <w:rPr/>
            </w:pPr>
            <w:r>
              <w:rPr>
                <w:spacing w:val="3"/>
              </w:rPr>
              <w:t>2025.3.27</w:t>
            </w:r>
          </w:p>
        </w:tc>
        <w:tc>
          <w:tcPr>
            <w:tcW w:w="1245" w:type="dxa"/>
            <w:vAlign w:val="top"/>
          </w:tcPr>
          <w:p>
            <w:pPr>
              <w:pStyle w:val="TableText"/>
              <w:ind w:left="202"/>
              <w:spacing w:before="64" w:line="195" w:lineRule="auto"/>
              <w:rPr/>
            </w:pPr>
            <w:r>
              <w:rPr>
                <w:spacing w:val="4"/>
              </w:rPr>
              <w:t>2025.3.28</w:t>
            </w:r>
          </w:p>
        </w:tc>
        <w:tc>
          <w:tcPr>
            <w:tcW w:w="1247" w:type="dxa"/>
            <w:vAlign w:val="top"/>
          </w:tcPr>
          <w:p>
            <w:pPr>
              <w:pStyle w:val="TableText"/>
              <w:ind w:left="205"/>
              <w:spacing w:before="64" w:line="195" w:lineRule="auto"/>
              <w:rPr/>
            </w:pPr>
            <w:r>
              <w:rPr>
                <w:spacing w:val="4"/>
              </w:rPr>
              <w:t>2025.3.29</w:t>
            </w:r>
          </w:p>
        </w:tc>
        <w:tc>
          <w:tcPr>
            <w:tcW w:w="955" w:type="dxa"/>
            <w:vAlign w:val="top"/>
          </w:tcPr>
          <w:p>
            <w:pPr>
              <w:ind w:left="168"/>
              <w:spacing w:before="28" w:line="221" w:lineRule="auto"/>
              <w:rPr>
                <w:rFonts w:ascii="SimSun" w:hAnsi="SimSun" w:eastAsia="SimSun" w:cs="SimSun"/>
                <w:sz w:val="20"/>
                <w:szCs w:val="20"/>
              </w:rPr>
            </w:pPr>
            <w:r>
              <w:rPr>
                <w:rFonts w:ascii="SimSun" w:hAnsi="SimSun" w:eastAsia="SimSun" w:cs="SimSun"/>
                <w:sz w:val="20"/>
                <w:szCs w:val="20"/>
                <w:spacing w:val="7"/>
              </w:rPr>
              <w:t>平均值</w:t>
            </w:r>
          </w:p>
        </w:tc>
        <w:tc>
          <w:tcPr>
            <w:tcW w:w="2480" w:type="dxa"/>
            <w:vAlign w:val="top"/>
            <w:vMerge w:val="continue"/>
            <w:tcBorders>
              <w:top w:val="nil"/>
            </w:tcBorders>
          </w:tcPr>
          <w:p>
            <w:pPr>
              <w:rPr>
                <w:rFonts w:ascii="Arial"/>
                <w:sz w:val="21"/>
              </w:rPr>
            </w:pPr>
            <w:r/>
          </w:p>
        </w:tc>
      </w:tr>
      <w:tr>
        <w:trPr>
          <w:trHeight w:val="244" w:hRule="atLeast"/>
        </w:trPr>
        <w:tc>
          <w:tcPr>
            <w:tcW w:w="2118" w:type="dxa"/>
            <w:vAlign w:val="top"/>
          </w:tcPr>
          <w:p>
            <w:pPr>
              <w:pStyle w:val="TableText"/>
              <w:ind w:left="928"/>
              <w:spacing w:before="51" w:line="190" w:lineRule="auto"/>
              <w:rPr/>
            </w:pPr>
            <w:r>
              <w:rPr>
                <w:spacing w:val="6"/>
              </w:rPr>
              <w:t>pH</w:t>
            </w:r>
          </w:p>
        </w:tc>
        <w:tc>
          <w:tcPr>
            <w:tcW w:w="1245" w:type="dxa"/>
            <w:vAlign w:val="top"/>
          </w:tcPr>
          <w:p>
            <w:pPr>
              <w:pStyle w:val="TableText"/>
              <w:ind w:left="495"/>
              <w:spacing w:before="49" w:line="193" w:lineRule="auto"/>
              <w:rPr/>
            </w:pPr>
            <w:r>
              <w:rPr>
                <w:spacing w:val="1"/>
              </w:rPr>
              <w:t>7.4</w:t>
            </w:r>
          </w:p>
        </w:tc>
        <w:tc>
          <w:tcPr>
            <w:tcW w:w="1245" w:type="dxa"/>
            <w:vAlign w:val="top"/>
          </w:tcPr>
          <w:p>
            <w:pPr>
              <w:pStyle w:val="TableText"/>
              <w:ind w:left="494"/>
              <w:spacing w:before="49" w:line="193" w:lineRule="auto"/>
              <w:rPr/>
            </w:pPr>
            <w:r>
              <w:rPr>
                <w:spacing w:val="2"/>
              </w:rPr>
              <w:t>7.2</w:t>
            </w:r>
          </w:p>
        </w:tc>
        <w:tc>
          <w:tcPr>
            <w:tcW w:w="1247" w:type="dxa"/>
            <w:vAlign w:val="top"/>
          </w:tcPr>
          <w:p>
            <w:pPr>
              <w:pStyle w:val="TableText"/>
              <w:ind w:left="497"/>
              <w:spacing w:before="49" w:line="193" w:lineRule="auto"/>
              <w:rPr/>
            </w:pPr>
            <w:r>
              <w:rPr>
                <w:spacing w:val="1"/>
              </w:rPr>
              <w:t>7.3</w:t>
            </w:r>
          </w:p>
        </w:tc>
        <w:tc>
          <w:tcPr>
            <w:tcW w:w="955" w:type="dxa"/>
            <w:vAlign w:val="top"/>
          </w:tcPr>
          <w:p>
            <w:pPr>
              <w:pStyle w:val="TableText"/>
              <w:ind w:left="298"/>
              <w:spacing w:before="49" w:line="193" w:lineRule="auto"/>
              <w:rPr/>
            </w:pPr>
            <w:r>
              <w:rPr>
                <w:spacing w:val="2"/>
              </w:rPr>
              <w:t>7.30</w:t>
            </w:r>
          </w:p>
        </w:tc>
        <w:tc>
          <w:tcPr>
            <w:tcW w:w="2480" w:type="dxa"/>
            <w:vAlign w:val="top"/>
          </w:tcPr>
          <w:p>
            <w:pPr>
              <w:pStyle w:val="TableText"/>
              <w:ind w:left="1104"/>
              <w:spacing w:before="49" w:line="193" w:lineRule="auto"/>
              <w:rPr/>
            </w:pPr>
            <w:r>
              <w:rPr/>
              <w:t>6-9</w:t>
            </w:r>
          </w:p>
        </w:tc>
      </w:tr>
      <w:tr>
        <w:trPr>
          <w:trHeight w:val="278" w:hRule="atLeast"/>
        </w:trPr>
        <w:tc>
          <w:tcPr>
            <w:tcW w:w="2118" w:type="dxa"/>
            <w:vAlign w:val="top"/>
          </w:tcPr>
          <w:p>
            <w:pPr>
              <w:ind w:left="539"/>
              <w:spacing w:before="31" w:line="218" w:lineRule="auto"/>
              <w:rPr>
                <w:rFonts w:ascii="SimSun" w:hAnsi="SimSun" w:eastAsia="SimSun" w:cs="SimSun"/>
                <w:sz w:val="20"/>
                <w:szCs w:val="20"/>
              </w:rPr>
            </w:pPr>
            <w:r>
              <w:rPr>
                <w:rFonts w:ascii="SimSun" w:hAnsi="SimSun" w:eastAsia="SimSun" w:cs="SimSun"/>
                <w:sz w:val="20"/>
                <w:szCs w:val="20"/>
                <w:spacing w:val="8"/>
              </w:rPr>
              <w:t>化学需氧量</w:t>
            </w:r>
          </w:p>
        </w:tc>
        <w:tc>
          <w:tcPr>
            <w:tcW w:w="1245" w:type="dxa"/>
            <w:vAlign w:val="top"/>
          </w:tcPr>
          <w:p>
            <w:pPr>
              <w:pStyle w:val="TableText"/>
              <w:ind w:left="518"/>
              <w:spacing w:before="68" w:line="195" w:lineRule="auto"/>
              <w:rPr/>
            </w:pPr>
            <w:r>
              <w:rPr>
                <w:spacing w:val="2"/>
              </w:rPr>
              <w:t>20</w:t>
            </w:r>
          </w:p>
        </w:tc>
        <w:tc>
          <w:tcPr>
            <w:tcW w:w="1245" w:type="dxa"/>
            <w:vAlign w:val="top"/>
          </w:tcPr>
          <w:p>
            <w:pPr>
              <w:pStyle w:val="TableText"/>
              <w:ind w:left="539"/>
              <w:spacing w:before="68" w:line="195" w:lineRule="auto"/>
              <w:rPr/>
            </w:pPr>
            <w:r>
              <w:rPr>
                <w:spacing w:val="-8"/>
              </w:rPr>
              <w:t>14</w:t>
            </w:r>
          </w:p>
        </w:tc>
        <w:tc>
          <w:tcPr>
            <w:tcW w:w="1247" w:type="dxa"/>
            <w:vAlign w:val="top"/>
          </w:tcPr>
          <w:p>
            <w:pPr>
              <w:pStyle w:val="TableText"/>
              <w:ind w:left="522"/>
              <w:spacing w:before="68" w:line="195" w:lineRule="auto"/>
              <w:rPr/>
            </w:pPr>
            <w:r>
              <w:rPr>
                <w:spacing w:val="2"/>
              </w:rPr>
              <w:t>23</w:t>
            </w:r>
          </w:p>
        </w:tc>
        <w:tc>
          <w:tcPr>
            <w:tcW w:w="955" w:type="dxa"/>
            <w:vAlign w:val="top"/>
          </w:tcPr>
          <w:p>
            <w:pPr>
              <w:pStyle w:val="TableText"/>
              <w:ind w:left="262"/>
              <w:spacing w:before="68" w:line="195" w:lineRule="auto"/>
              <w:rPr/>
            </w:pPr>
            <w:r>
              <w:rPr>
                <w:spacing w:val="-1"/>
              </w:rPr>
              <w:t>19.00</w:t>
            </w:r>
          </w:p>
        </w:tc>
        <w:tc>
          <w:tcPr>
            <w:tcW w:w="2480" w:type="dxa"/>
            <w:vAlign w:val="top"/>
          </w:tcPr>
          <w:p>
            <w:pPr>
              <w:pStyle w:val="TableText"/>
              <w:ind w:left="1073"/>
              <w:spacing w:before="51" w:line="195" w:lineRule="auto"/>
              <w:rPr/>
            </w:pPr>
            <w:r>
              <w:rPr>
                <w:spacing w:val="5"/>
              </w:rPr>
              <w:t>≤20</w:t>
            </w:r>
          </w:p>
        </w:tc>
      </w:tr>
      <w:tr>
        <w:trPr>
          <w:trHeight w:val="278" w:hRule="atLeast"/>
        </w:trPr>
        <w:tc>
          <w:tcPr>
            <w:tcW w:w="2118" w:type="dxa"/>
            <w:vAlign w:val="top"/>
          </w:tcPr>
          <w:p>
            <w:pPr>
              <w:ind w:left="332"/>
              <w:spacing w:before="29" w:line="220" w:lineRule="auto"/>
              <w:rPr>
                <w:rFonts w:ascii="SimSun" w:hAnsi="SimSun" w:eastAsia="SimSun" w:cs="SimSun"/>
                <w:sz w:val="20"/>
                <w:szCs w:val="20"/>
              </w:rPr>
            </w:pPr>
            <w:r>
              <w:rPr>
                <w:rFonts w:ascii="SimSun" w:hAnsi="SimSun" w:eastAsia="SimSun" w:cs="SimSun"/>
                <w:sz w:val="20"/>
                <w:szCs w:val="20"/>
                <w:spacing w:val="8"/>
              </w:rPr>
              <w:t>五日生化需氧量</w:t>
            </w:r>
          </w:p>
        </w:tc>
        <w:tc>
          <w:tcPr>
            <w:tcW w:w="1245" w:type="dxa"/>
            <w:vAlign w:val="top"/>
          </w:tcPr>
          <w:p>
            <w:pPr>
              <w:pStyle w:val="TableText"/>
              <w:ind w:left="491"/>
              <w:spacing w:before="65" w:line="195" w:lineRule="auto"/>
              <w:rPr/>
            </w:pPr>
            <w:r>
              <w:rPr>
                <w:spacing w:val="3"/>
              </w:rPr>
              <w:t>4.3</w:t>
            </w:r>
          </w:p>
        </w:tc>
        <w:tc>
          <w:tcPr>
            <w:tcW w:w="1245" w:type="dxa"/>
            <w:vAlign w:val="top"/>
          </w:tcPr>
          <w:p>
            <w:pPr>
              <w:pStyle w:val="TableText"/>
              <w:ind w:left="494"/>
              <w:spacing w:before="65" w:line="195" w:lineRule="auto"/>
              <w:rPr/>
            </w:pPr>
            <w:r>
              <w:rPr>
                <w:spacing w:val="2"/>
              </w:rPr>
              <w:t>3.3</w:t>
            </w:r>
          </w:p>
        </w:tc>
        <w:tc>
          <w:tcPr>
            <w:tcW w:w="1247" w:type="dxa"/>
            <w:vAlign w:val="top"/>
          </w:tcPr>
          <w:p>
            <w:pPr>
              <w:pStyle w:val="TableText"/>
              <w:ind w:left="499"/>
              <w:spacing w:before="68" w:line="192" w:lineRule="auto"/>
              <w:rPr/>
            </w:pPr>
            <w:r>
              <w:rPr/>
              <w:t>5.7</w:t>
            </w:r>
          </w:p>
        </w:tc>
        <w:tc>
          <w:tcPr>
            <w:tcW w:w="955" w:type="dxa"/>
            <w:vAlign w:val="top"/>
          </w:tcPr>
          <w:p>
            <w:pPr>
              <w:pStyle w:val="TableText"/>
              <w:ind w:left="296"/>
              <w:spacing w:before="65" w:line="195" w:lineRule="auto"/>
              <w:rPr/>
            </w:pPr>
            <w:r>
              <w:rPr>
                <w:b/>
                <w:bCs/>
                <w:spacing w:val="3"/>
              </w:rPr>
              <w:t>4.43</w:t>
            </w:r>
          </w:p>
        </w:tc>
        <w:tc>
          <w:tcPr>
            <w:tcW w:w="2480" w:type="dxa"/>
            <w:vAlign w:val="top"/>
          </w:tcPr>
          <w:p>
            <w:pPr>
              <w:pStyle w:val="TableText"/>
              <w:ind w:left="1129"/>
              <w:spacing w:before="52" w:line="195" w:lineRule="auto"/>
              <w:rPr/>
            </w:pPr>
            <w:r>
              <w:rPr>
                <w:spacing w:val="2"/>
              </w:rPr>
              <w:t>≤4</w:t>
            </w:r>
          </w:p>
        </w:tc>
      </w:tr>
      <w:tr>
        <w:trPr>
          <w:trHeight w:val="276" w:hRule="atLeast"/>
        </w:trPr>
        <w:tc>
          <w:tcPr>
            <w:tcW w:w="2118" w:type="dxa"/>
            <w:vAlign w:val="top"/>
          </w:tcPr>
          <w:p>
            <w:pPr>
              <w:ind w:left="855"/>
              <w:spacing w:before="29" w:line="218" w:lineRule="auto"/>
              <w:rPr>
                <w:rFonts w:ascii="SimSun" w:hAnsi="SimSun" w:eastAsia="SimSun" w:cs="SimSun"/>
                <w:sz w:val="20"/>
                <w:szCs w:val="20"/>
              </w:rPr>
            </w:pPr>
            <w:r>
              <w:rPr>
                <w:rFonts w:ascii="SimSun" w:hAnsi="SimSun" w:eastAsia="SimSun" w:cs="SimSun"/>
                <w:sz w:val="20"/>
                <w:szCs w:val="20"/>
                <w:spacing w:val="4"/>
              </w:rPr>
              <w:t>氨氮</w:t>
            </w:r>
          </w:p>
        </w:tc>
        <w:tc>
          <w:tcPr>
            <w:tcW w:w="1245" w:type="dxa"/>
            <w:vAlign w:val="top"/>
          </w:tcPr>
          <w:p>
            <w:pPr>
              <w:pStyle w:val="TableText"/>
              <w:ind w:left="390"/>
              <w:spacing w:before="66" w:line="195" w:lineRule="auto"/>
              <w:rPr/>
            </w:pPr>
            <w:r>
              <w:rPr>
                <w:spacing w:val="3"/>
              </w:rPr>
              <w:t>0.218</w:t>
            </w:r>
          </w:p>
        </w:tc>
        <w:tc>
          <w:tcPr>
            <w:tcW w:w="1245" w:type="dxa"/>
            <w:vAlign w:val="top"/>
          </w:tcPr>
          <w:p>
            <w:pPr>
              <w:pStyle w:val="TableText"/>
              <w:ind w:left="390"/>
              <w:spacing w:before="66" w:line="195" w:lineRule="auto"/>
              <w:rPr/>
            </w:pPr>
            <w:r>
              <w:rPr>
                <w:spacing w:val="3"/>
              </w:rPr>
              <w:t>0.184</w:t>
            </w:r>
          </w:p>
        </w:tc>
        <w:tc>
          <w:tcPr>
            <w:tcW w:w="1247" w:type="dxa"/>
            <w:vAlign w:val="top"/>
          </w:tcPr>
          <w:p>
            <w:pPr>
              <w:pStyle w:val="TableText"/>
              <w:ind w:left="393"/>
              <w:spacing w:before="66" w:line="195" w:lineRule="auto"/>
              <w:rPr/>
            </w:pPr>
            <w:r>
              <w:rPr>
                <w:spacing w:val="2"/>
              </w:rPr>
              <w:t>0.201</w:t>
            </w:r>
          </w:p>
        </w:tc>
        <w:tc>
          <w:tcPr>
            <w:tcW w:w="955" w:type="dxa"/>
            <w:vAlign w:val="top"/>
          </w:tcPr>
          <w:p>
            <w:pPr>
              <w:pStyle w:val="TableText"/>
              <w:ind w:left="298"/>
              <w:spacing w:before="66" w:line="195" w:lineRule="auto"/>
              <w:rPr/>
            </w:pPr>
            <w:r>
              <w:rPr>
                <w:spacing w:val="2"/>
              </w:rPr>
              <w:t>0.20</w:t>
            </w:r>
          </w:p>
        </w:tc>
        <w:tc>
          <w:tcPr>
            <w:tcW w:w="2480" w:type="dxa"/>
            <w:vAlign w:val="top"/>
          </w:tcPr>
          <w:p>
            <w:pPr>
              <w:pStyle w:val="TableText"/>
              <w:ind w:left="1049"/>
              <w:spacing w:before="49" w:line="195" w:lineRule="auto"/>
              <w:rPr/>
            </w:pPr>
            <w:r>
              <w:rPr>
                <w:spacing w:val="3"/>
              </w:rPr>
              <w:t>≤1.0</w:t>
            </w:r>
          </w:p>
        </w:tc>
      </w:tr>
      <w:tr>
        <w:trPr>
          <w:trHeight w:val="278" w:hRule="atLeast"/>
        </w:trPr>
        <w:tc>
          <w:tcPr>
            <w:tcW w:w="2118" w:type="dxa"/>
            <w:vAlign w:val="top"/>
          </w:tcPr>
          <w:p>
            <w:pPr>
              <w:ind w:left="959"/>
              <w:spacing w:before="29" w:line="220" w:lineRule="auto"/>
              <w:rPr>
                <w:rFonts w:ascii="SimSun" w:hAnsi="SimSun" w:eastAsia="SimSun" w:cs="SimSun"/>
                <w:sz w:val="20"/>
                <w:szCs w:val="20"/>
              </w:rPr>
            </w:pPr>
            <w:r>
              <w:rPr>
                <w:rFonts w:ascii="SimSun" w:hAnsi="SimSun" w:eastAsia="SimSun" w:cs="SimSun"/>
                <w:sz w:val="20"/>
                <w:szCs w:val="20"/>
              </w:rPr>
              <w:t>汞</w:t>
            </w:r>
          </w:p>
        </w:tc>
        <w:tc>
          <w:tcPr>
            <w:tcW w:w="1245" w:type="dxa"/>
            <w:vAlign w:val="top"/>
          </w:tcPr>
          <w:p>
            <w:pPr>
              <w:pStyle w:val="TableText"/>
              <w:ind w:left="378"/>
              <w:spacing w:before="65" w:line="195" w:lineRule="auto"/>
              <w:rPr/>
            </w:pPr>
            <w:r>
              <w:rPr>
                <w:spacing w:val="3"/>
              </w:rPr>
              <w:t>0.04L</w:t>
            </w:r>
          </w:p>
        </w:tc>
        <w:tc>
          <w:tcPr>
            <w:tcW w:w="1245" w:type="dxa"/>
            <w:vAlign w:val="top"/>
          </w:tcPr>
          <w:p>
            <w:pPr>
              <w:pStyle w:val="TableText"/>
              <w:ind w:left="378"/>
              <w:spacing w:before="65" w:line="195" w:lineRule="auto"/>
              <w:rPr/>
            </w:pPr>
            <w:r>
              <w:rPr>
                <w:spacing w:val="3"/>
              </w:rPr>
              <w:t>0.04L</w:t>
            </w:r>
          </w:p>
        </w:tc>
        <w:tc>
          <w:tcPr>
            <w:tcW w:w="1247" w:type="dxa"/>
            <w:vAlign w:val="top"/>
          </w:tcPr>
          <w:p>
            <w:pPr>
              <w:pStyle w:val="TableText"/>
              <w:ind w:left="381"/>
              <w:spacing w:before="65" w:line="195" w:lineRule="auto"/>
              <w:rPr/>
            </w:pPr>
            <w:r>
              <w:rPr>
                <w:spacing w:val="3"/>
              </w:rPr>
              <w:t>0.04L</w:t>
            </w:r>
          </w:p>
        </w:tc>
        <w:tc>
          <w:tcPr>
            <w:tcW w:w="955" w:type="dxa"/>
            <w:vAlign w:val="top"/>
          </w:tcPr>
          <w:p>
            <w:pPr>
              <w:pStyle w:val="TableText"/>
              <w:ind w:left="233"/>
              <w:spacing w:before="65" w:line="195" w:lineRule="auto"/>
              <w:rPr/>
            </w:pPr>
            <w:r>
              <w:rPr>
                <w:spacing w:val="3"/>
              </w:rPr>
              <w:t>0.04L</w:t>
            </w:r>
          </w:p>
        </w:tc>
        <w:tc>
          <w:tcPr>
            <w:tcW w:w="2480" w:type="dxa"/>
            <w:vAlign w:val="top"/>
          </w:tcPr>
          <w:p>
            <w:pPr>
              <w:pStyle w:val="TableText"/>
              <w:ind w:left="946"/>
              <w:spacing w:before="52" w:line="195" w:lineRule="auto"/>
              <w:rPr/>
            </w:pPr>
            <w:r>
              <w:rPr>
                <w:spacing w:val="4"/>
              </w:rPr>
              <w:t>≤0.001</w:t>
            </w:r>
          </w:p>
        </w:tc>
      </w:tr>
      <w:tr>
        <w:trPr>
          <w:trHeight w:val="278" w:hRule="atLeast"/>
        </w:trPr>
        <w:tc>
          <w:tcPr>
            <w:tcW w:w="2118" w:type="dxa"/>
            <w:vAlign w:val="top"/>
          </w:tcPr>
          <w:p>
            <w:pPr>
              <w:ind w:left="957"/>
              <w:spacing w:before="30" w:line="219" w:lineRule="auto"/>
              <w:rPr>
                <w:rFonts w:ascii="SimSun" w:hAnsi="SimSun" w:eastAsia="SimSun" w:cs="SimSun"/>
                <w:sz w:val="20"/>
                <w:szCs w:val="20"/>
              </w:rPr>
            </w:pPr>
            <w:r>
              <w:rPr>
                <w:rFonts w:ascii="SimSun" w:hAnsi="SimSun" w:eastAsia="SimSun" w:cs="SimSun"/>
                <w:sz w:val="20"/>
                <w:szCs w:val="20"/>
                <w:spacing w:val="1"/>
              </w:rPr>
              <w:t>砷</w:t>
            </w:r>
          </w:p>
        </w:tc>
        <w:tc>
          <w:tcPr>
            <w:tcW w:w="1245" w:type="dxa"/>
            <w:vAlign w:val="top"/>
          </w:tcPr>
          <w:p>
            <w:pPr>
              <w:pStyle w:val="TableText"/>
              <w:ind w:left="430"/>
              <w:spacing w:before="66" w:line="195" w:lineRule="auto"/>
              <w:rPr/>
            </w:pPr>
            <w:r>
              <w:rPr>
                <w:spacing w:val="2"/>
              </w:rPr>
              <w:t>0.3L</w:t>
            </w:r>
          </w:p>
        </w:tc>
        <w:tc>
          <w:tcPr>
            <w:tcW w:w="1245" w:type="dxa"/>
            <w:vAlign w:val="top"/>
          </w:tcPr>
          <w:p>
            <w:pPr>
              <w:pStyle w:val="TableText"/>
              <w:ind w:left="431"/>
              <w:spacing w:before="66" w:line="195" w:lineRule="auto"/>
              <w:rPr/>
            </w:pPr>
            <w:r>
              <w:rPr>
                <w:spacing w:val="2"/>
              </w:rPr>
              <w:t>0.3L</w:t>
            </w:r>
          </w:p>
        </w:tc>
        <w:tc>
          <w:tcPr>
            <w:tcW w:w="1247" w:type="dxa"/>
            <w:vAlign w:val="top"/>
          </w:tcPr>
          <w:p>
            <w:pPr>
              <w:pStyle w:val="TableText"/>
              <w:ind w:left="434"/>
              <w:spacing w:before="66" w:line="195" w:lineRule="auto"/>
              <w:rPr/>
            </w:pPr>
            <w:r>
              <w:rPr>
                <w:spacing w:val="2"/>
              </w:rPr>
              <w:t>0.3L</w:t>
            </w:r>
          </w:p>
        </w:tc>
        <w:tc>
          <w:tcPr>
            <w:tcW w:w="955" w:type="dxa"/>
            <w:vAlign w:val="top"/>
          </w:tcPr>
          <w:p>
            <w:pPr>
              <w:pStyle w:val="TableText"/>
              <w:ind w:left="289"/>
              <w:spacing w:before="66" w:line="195" w:lineRule="auto"/>
              <w:rPr/>
            </w:pPr>
            <w:r>
              <w:rPr>
                <w:spacing w:val="2"/>
              </w:rPr>
              <w:t>0.3L</w:t>
            </w:r>
          </w:p>
        </w:tc>
        <w:tc>
          <w:tcPr>
            <w:tcW w:w="2480" w:type="dxa"/>
            <w:vAlign w:val="top"/>
          </w:tcPr>
          <w:p>
            <w:pPr>
              <w:pStyle w:val="TableText"/>
              <w:ind w:left="997"/>
              <w:spacing w:before="52" w:line="195" w:lineRule="auto"/>
              <w:rPr/>
            </w:pPr>
            <w:r>
              <w:rPr>
                <w:spacing w:val="4"/>
              </w:rPr>
              <w:t>≤0.05</w:t>
            </w:r>
          </w:p>
        </w:tc>
      </w:tr>
      <w:tr>
        <w:trPr>
          <w:trHeight w:val="275" w:hRule="atLeast"/>
        </w:trPr>
        <w:tc>
          <w:tcPr>
            <w:tcW w:w="2118" w:type="dxa"/>
            <w:vAlign w:val="top"/>
          </w:tcPr>
          <w:p>
            <w:pPr>
              <w:ind w:left="751"/>
              <w:spacing w:before="27" w:line="219" w:lineRule="auto"/>
              <w:rPr>
                <w:rFonts w:ascii="SimSun" w:hAnsi="SimSun" w:eastAsia="SimSun" w:cs="SimSun"/>
                <w:sz w:val="20"/>
                <w:szCs w:val="20"/>
              </w:rPr>
            </w:pPr>
            <w:r>
              <w:rPr>
                <w:rFonts w:ascii="SimSun" w:hAnsi="SimSun" w:eastAsia="SimSun" w:cs="SimSun"/>
                <w:sz w:val="20"/>
                <w:szCs w:val="20"/>
                <w:spacing w:val="6"/>
              </w:rPr>
              <w:t>六价铬</w:t>
            </w:r>
          </w:p>
        </w:tc>
        <w:tc>
          <w:tcPr>
            <w:tcW w:w="1245" w:type="dxa"/>
            <w:vAlign w:val="top"/>
          </w:tcPr>
          <w:p>
            <w:pPr>
              <w:pStyle w:val="TableText"/>
              <w:ind w:left="322"/>
              <w:spacing w:before="63" w:line="195" w:lineRule="auto"/>
              <w:rPr/>
            </w:pPr>
            <w:r>
              <w:rPr>
                <w:spacing w:val="3"/>
              </w:rPr>
              <w:t>0.004L</w:t>
            </w:r>
          </w:p>
        </w:tc>
        <w:tc>
          <w:tcPr>
            <w:tcW w:w="1245" w:type="dxa"/>
            <w:vAlign w:val="top"/>
          </w:tcPr>
          <w:p>
            <w:pPr>
              <w:pStyle w:val="TableText"/>
              <w:ind w:left="325"/>
              <w:spacing w:before="63" w:line="195" w:lineRule="auto"/>
              <w:rPr/>
            </w:pPr>
            <w:r>
              <w:rPr>
                <w:spacing w:val="3"/>
              </w:rPr>
              <w:t>0.004L</w:t>
            </w:r>
          </w:p>
        </w:tc>
        <w:tc>
          <w:tcPr>
            <w:tcW w:w="1247" w:type="dxa"/>
            <w:vAlign w:val="top"/>
          </w:tcPr>
          <w:p>
            <w:pPr>
              <w:pStyle w:val="TableText"/>
              <w:ind w:left="328"/>
              <w:spacing w:before="63" w:line="195" w:lineRule="auto"/>
              <w:rPr/>
            </w:pPr>
            <w:r>
              <w:rPr>
                <w:spacing w:val="3"/>
              </w:rPr>
              <w:t>0.004L</w:t>
            </w:r>
          </w:p>
        </w:tc>
        <w:tc>
          <w:tcPr>
            <w:tcW w:w="955" w:type="dxa"/>
            <w:vAlign w:val="top"/>
          </w:tcPr>
          <w:p>
            <w:pPr>
              <w:pStyle w:val="TableText"/>
              <w:ind w:left="183"/>
              <w:spacing w:before="63" w:line="195" w:lineRule="auto"/>
              <w:rPr/>
            </w:pPr>
            <w:r>
              <w:rPr>
                <w:spacing w:val="3"/>
              </w:rPr>
              <w:t>0.004L</w:t>
            </w:r>
          </w:p>
        </w:tc>
        <w:tc>
          <w:tcPr>
            <w:tcW w:w="2480" w:type="dxa"/>
            <w:vAlign w:val="top"/>
          </w:tcPr>
          <w:p>
            <w:pPr>
              <w:pStyle w:val="TableText"/>
              <w:ind w:left="997"/>
              <w:spacing w:before="50" w:line="195" w:lineRule="auto"/>
              <w:rPr/>
            </w:pPr>
            <w:r>
              <w:rPr>
                <w:spacing w:val="4"/>
              </w:rPr>
              <w:t>≤0.05</w:t>
            </w:r>
          </w:p>
        </w:tc>
      </w:tr>
      <w:tr>
        <w:trPr>
          <w:trHeight w:val="278" w:hRule="atLeast"/>
        </w:trPr>
        <w:tc>
          <w:tcPr>
            <w:tcW w:w="2118" w:type="dxa"/>
            <w:vAlign w:val="top"/>
          </w:tcPr>
          <w:p>
            <w:pPr>
              <w:ind w:left="958"/>
              <w:spacing w:before="30" w:line="219" w:lineRule="auto"/>
              <w:rPr>
                <w:rFonts w:ascii="SimSun" w:hAnsi="SimSun" w:eastAsia="SimSun" w:cs="SimSun"/>
                <w:sz w:val="20"/>
                <w:szCs w:val="20"/>
              </w:rPr>
            </w:pPr>
            <w:r>
              <w:rPr>
                <w:rFonts w:ascii="SimSun" w:hAnsi="SimSun" w:eastAsia="SimSun" w:cs="SimSun"/>
                <w:sz w:val="20"/>
                <w:szCs w:val="20"/>
              </w:rPr>
              <w:t>铅</w:t>
            </w:r>
          </w:p>
        </w:tc>
        <w:tc>
          <w:tcPr>
            <w:tcW w:w="1245" w:type="dxa"/>
            <w:vAlign w:val="top"/>
          </w:tcPr>
          <w:p>
            <w:pPr>
              <w:pStyle w:val="TableText"/>
              <w:ind w:left="322"/>
              <w:spacing w:before="67" w:line="195" w:lineRule="auto"/>
              <w:rPr/>
            </w:pPr>
            <w:r>
              <w:rPr>
                <w:spacing w:val="3"/>
              </w:rPr>
              <w:t>0.010L</w:t>
            </w:r>
          </w:p>
        </w:tc>
        <w:tc>
          <w:tcPr>
            <w:tcW w:w="1245" w:type="dxa"/>
            <w:vAlign w:val="top"/>
          </w:tcPr>
          <w:p>
            <w:pPr>
              <w:pStyle w:val="TableText"/>
              <w:ind w:left="325"/>
              <w:spacing w:before="67" w:line="195" w:lineRule="auto"/>
              <w:rPr/>
            </w:pPr>
            <w:r>
              <w:rPr>
                <w:spacing w:val="3"/>
              </w:rPr>
              <w:t>0.010L</w:t>
            </w:r>
          </w:p>
        </w:tc>
        <w:tc>
          <w:tcPr>
            <w:tcW w:w="1247" w:type="dxa"/>
            <w:vAlign w:val="top"/>
          </w:tcPr>
          <w:p>
            <w:pPr>
              <w:pStyle w:val="TableText"/>
              <w:ind w:left="328"/>
              <w:spacing w:before="67" w:line="195" w:lineRule="auto"/>
              <w:rPr/>
            </w:pPr>
            <w:r>
              <w:rPr>
                <w:spacing w:val="3"/>
              </w:rPr>
              <w:t>0.010L</w:t>
            </w:r>
          </w:p>
        </w:tc>
        <w:tc>
          <w:tcPr>
            <w:tcW w:w="955" w:type="dxa"/>
            <w:vAlign w:val="top"/>
          </w:tcPr>
          <w:p>
            <w:pPr>
              <w:pStyle w:val="TableText"/>
              <w:ind w:left="183"/>
              <w:spacing w:before="67" w:line="195" w:lineRule="auto"/>
              <w:rPr/>
            </w:pPr>
            <w:r>
              <w:rPr>
                <w:spacing w:val="3"/>
              </w:rPr>
              <w:t>0.010L</w:t>
            </w:r>
          </w:p>
        </w:tc>
        <w:tc>
          <w:tcPr>
            <w:tcW w:w="2480" w:type="dxa"/>
            <w:vAlign w:val="top"/>
          </w:tcPr>
          <w:p>
            <w:pPr>
              <w:pStyle w:val="TableText"/>
              <w:ind w:left="997"/>
              <w:spacing w:before="53" w:line="195" w:lineRule="auto"/>
              <w:rPr/>
            </w:pPr>
            <w:r>
              <w:rPr>
                <w:spacing w:val="4"/>
              </w:rPr>
              <w:t>≤0.05</w:t>
            </w:r>
          </w:p>
        </w:tc>
      </w:tr>
      <w:tr>
        <w:trPr>
          <w:trHeight w:val="278" w:hRule="atLeast"/>
        </w:trPr>
        <w:tc>
          <w:tcPr>
            <w:tcW w:w="2118" w:type="dxa"/>
            <w:vAlign w:val="top"/>
          </w:tcPr>
          <w:p>
            <w:pPr>
              <w:ind w:left="956"/>
              <w:spacing w:before="31" w:line="218" w:lineRule="auto"/>
              <w:rPr>
                <w:rFonts w:ascii="SimSun" w:hAnsi="SimSun" w:eastAsia="SimSun" w:cs="SimSun"/>
                <w:sz w:val="20"/>
                <w:szCs w:val="20"/>
              </w:rPr>
            </w:pPr>
            <w:r>
              <w:rPr>
                <w:rFonts w:ascii="SimSun" w:hAnsi="SimSun" w:eastAsia="SimSun" w:cs="SimSun"/>
                <w:sz w:val="20"/>
                <w:szCs w:val="20"/>
                <w:spacing w:val="2"/>
              </w:rPr>
              <w:t>镉</w:t>
            </w:r>
          </w:p>
        </w:tc>
        <w:tc>
          <w:tcPr>
            <w:tcW w:w="1245" w:type="dxa"/>
            <w:vAlign w:val="top"/>
          </w:tcPr>
          <w:p>
            <w:pPr>
              <w:pStyle w:val="TableText"/>
              <w:ind w:left="322"/>
              <w:spacing w:before="67" w:line="195" w:lineRule="auto"/>
              <w:rPr/>
            </w:pPr>
            <w:r>
              <w:rPr>
                <w:spacing w:val="3"/>
              </w:rPr>
              <w:t>0.001L</w:t>
            </w:r>
          </w:p>
        </w:tc>
        <w:tc>
          <w:tcPr>
            <w:tcW w:w="1245" w:type="dxa"/>
            <w:vAlign w:val="top"/>
          </w:tcPr>
          <w:p>
            <w:pPr>
              <w:pStyle w:val="TableText"/>
              <w:ind w:left="325"/>
              <w:spacing w:before="67" w:line="195" w:lineRule="auto"/>
              <w:rPr/>
            </w:pPr>
            <w:r>
              <w:rPr>
                <w:spacing w:val="3"/>
              </w:rPr>
              <w:t>0.001L</w:t>
            </w:r>
          </w:p>
        </w:tc>
        <w:tc>
          <w:tcPr>
            <w:tcW w:w="1247" w:type="dxa"/>
            <w:vAlign w:val="top"/>
          </w:tcPr>
          <w:p>
            <w:pPr>
              <w:pStyle w:val="TableText"/>
              <w:ind w:left="328"/>
              <w:spacing w:before="67" w:line="195" w:lineRule="auto"/>
              <w:rPr/>
            </w:pPr>
            <w:r>
              <w:rPr>
                <w:spacing w:val="3"/>
              </w:rPr>
              <w:t>0.001L</w:t>
            </w:r>
          </w:p>
        </w:tc>
        <w:tc>
          <w:tcPr>
            <w:tcW w:w="955" w:type="dxa"/>
            <w:vAlign w:val="top"/>
          </w:tcPr>
          <w:p>
            <w:pPr>
              <w:pStyle w:val="TableText"/>
              <w:ind w:left="183"/>
              <w:spacing w:before="67" w:line="195" w:lineRule="auto"/>
              <w:rPr/>
            </w:pPr>
            <w:r>
              <w:rPr>
                <w:spacing w:val="3"/>
              </w:rPr>
              <w:t>0.001L</w:t>
            </w:r>
          </w:p>
        </w:tc>
        <w:tc>
          <w:tcPr>
            <w:tcW w:w="2480" w:type="dxa"/>
            <w:vAlign w:val="top"/>
          </w:tcPr>
          <w:p>
            <w:pPr>
              <w:pStyle w:val="TableText"/>
              <w:ind w:left="946"/>
              <w:spacing w:before="53" w:line="195" w:lineRule="auto"/>
              <w:rPr/>
            </w:pPr>
            <w:r>
              <w:rPr>
                <w:spacing w:val="4"/>
              </w:rPr>
              <w:t>≤0.005</w:t>
            </w:r>
          </w:p>
        </w:tc>
      </w:tr>
      <w:tr>
        <w:trPr>
          <w:trHeight w:val="276" w:hRule="atLeast"/>
        </w:trPr>
        <w:tc>
          <w:tcPr>
            <w:tcW w:w="2118" w:type="dxa"/>
            <w:vAlign w:val="top"/>
          </w:tcPr>
          <w:p>
            <w:pPr>
              <w:ind w:left="957"/>
              <w:spacing w:before="28" w:line="219" w:lineRule="auto"/>
              <w:rPr>
                <w:rFonts w:ascii="SimSun" w:hAnsi="SimSun" w:eastAsia="SimSun" w:cs="SimSun"/>
                <w:sz w:val="20"/>
                <w:szCs w:val="20"/>
              </w:rPr>
            </w:pPr>
            <w:r>
              <w:rPr>
                <w:rFonts w:ascii="SimSun" w:hAnsi="SimSun" w:eastAsia="SimSun" w:cs="SimSun"/>
                <w:sz w:val="20"/>
                <w:szCs w:val="20"/>
                <w:spacing w:val="1"/>
              </w:rPr>
              <w:t>锌</w:t>
            </w:r>
          </w:p>
        </w:tc>
        <w:tc>
          <w:tcPr>
            <w:tcW w:w="1245" w:type="dxa"/>
            <w:vAlign w:val="top"/>
          </w:tcPr>
          <w:p>
            <w:pPr>
              <w:pStyle w:val="TableText"/>
              <w:ind w:left="378"/>
              <w:spacing w:before="65" w:line="195" w:lineRule="auto"/>
              <w:rPr/>
            </w:pPr>
            <w:r>
              <w:rPr>
                <w:spacing w:val="3"/>
              </w:rPr>
              <w:t>0.05L</w:t>
            </w:r>
          </w:p>
        </w:tc>
        <w:tc>
          <w:tcPr>
            <w:tcW w:w="1245" w:type="dxa"/>
            <w:vAlign w:val="top"/>
          </w:tcPr>
          <w:p>
            <w:pPr>
              <w:pStyle w:val="TableText"/>
              <w:ind w:left="378"/>
              <w:spacing w:before="65" w:line="195" w:lineRule="auto"/>
              <w:rPr/>
            </w:pPr>
            <w:r>
              <w:rPr>
                <w:spacing w:val="3"/>
              </w:rPr>
              <w:t>0.05L</w:t>
            </w:r>
          </w:p>
        </w:tc>
        <w:tc>
          <w:tcPr>
            <w:tcW w:w="1247" w:type="dxa"/>
            <w:vAlign w:val="top"/>
          </w:tcPr>
          <w:p>
            <w:pPr>
              <w:pStyle w:val="TableText"/>
              <w:ind w:left="381"/>
              <w:spacing w:before="65" w:line="195" w:lineRule="auto"/>
              <w:rPr/>
            </w:pPr>
            <w:r>
              <w:rPr>
                <w:spacing w:val="3"/>
              </w:rPr>
              <w:t>0.05L</w:t>
            </w:r>
          </w:p>
        </w:tc>
        <w:tc>
          <w:tcPr>
            <w:tcW w:w="955" w:type="dxa"/>
            <w:vAlign w:val="top"/>
          </w:tcPr>
          <w:p>
            <w:pPr>
              <w:pStyle w:val="TableText"/>
              <w:ind w:left="233"/>
              <w:spacing w:before="65" w:line="195" w:lineRule="auto"/>
              <w:rPr/>
            </w:pPr>
            <w:r>
              <w:rPr>
                <w:spacing w:val="3"/>
              </w:rPr>
              <w:t>0.05L</w:t>
            </w:r>
          </w:p>
        </w:tc>
        <w:tc>
          <w:tcPr>
            <w:tcW w:w="2480" w:type="dxa"/>
            <w:vAlign w:val="top"/>
          </w:tcPr>
          <w:p>
            <w:pPr>
              <w:pStyle w:val="TableText"/>
              <w:ind w:left="1049"/>
              <w:spacing w:before="51" w:line="195" w:lineRule="auto"/>
              <w:rPr/>
            </w:pPr>
            <w:r>
              <w:rPr>
                <w:spacing w:val="3"/>
              </w:rPr>
              <w:t>≤1.0</w:t>
            </w:r>
          </w:p>
        </w:tc>
      </w:tr>
      <w:tr>
        <w:trPr>
          <w:trHeight w:val="278" w:hRule="atLeast"/>
        </w:trPr>
        <w:tc>
          <w:tcPr>
            <w:tcW w:w="2118" w:type="dxa"/>
            <w:vAlign w:val="top"/>
          </w:tcPr>
          <w:p>
            <w:pPr>
              <w:ind w:left="958"/>
              <w:spacing w:before="31" w:line="218" w:lineRule="auto"/>
              <w:rPr>
                <w:rFonts w:ascii="SimSun" w:hAnsi="SimSun" w:eastAsia="SimSun" w:cs="SimSun"/>
                <w:sz w:val="20"/>
                <w:szCs w:val="20"/>
              </w:rPr>
            </w:pPr>
            <w:r>
              <w:rPr>
                <w:rFonts w:ascii="SimSun" w:hAnsi="SimSun" w:eastAsia="SimSun" w:cs="SimSun"/>
                <w:sz w:val="20"/>
                <w:szCs w:val="20"/>
              </w:rPr>
              <w:t>铜</w:t>
            </w:r>
          </w:p>
        </w:tc>
        <w:tc>
          <w:tcPr>
            <w:tcW w:w="1245" w:type="dxa"/>
            <w:vAlign w:val="top"/>
          </w:tcPr>
          <w:p>
            <w:pPr>
              <w:pStyle w:val="TableText"/>
              <w:ind w:left="378"/>
              <w:spacing w:before="67" w:line="195" w:lineRule="auto"/>
              <w:rPr/>
            </w:pPr>
            <w:r>
              <w:rPr>
                <w:spacing w:val="3"/>
              </w:rPr>
              <w:t>0.05L</w:t>
            </w:r>
          </w:p>
        </w:tc>
        <w:tc>
          <w:tcPr>
            <w:tcW w:w="1245" w:type="dxa"/>
            <w:vAlign w:val="top"/>
          </w:tcPr>
          <w:p>
            <w:pPr>
              <w:pStyle w:val="TableText"/>
              <w:ind w:left="378"/>
              <w:spacing w:before="67" w:line="195" w:lineRule="auto"/>
              <w:rPr/>
            </w:pPr>
            <w:r>
              <w:rPr>
                <w:spacing w:val="3"/>
              </w:rPr>
              <w:t>0.05L</w:t>
            </w:r>
          </w:p>
        </w:tc>
        <w:tc>
          <w:tcPr>
            <w:tcW w:w="1247" w:type="dxa"/>
            <w:vAlign w:val="top"/>
          </w:tcPr>
          <w:p>
            <w:pPr>
              <w:pStyle w:val="TableText"/>
              <w:ind w:left="381"/>
              <w:spacing w:before="67" w:line="195" w:lineRule="auto"/>
              <w:rPr/>
            </w:pPr>
            <w:r>
              <w:rPr>
                <w:spacing w:val="3"/>
              </w:rPr>
              <w:t>0.05L</w:t>
            </w:r>
          </w:p>
        </w:tc>
        <w:tc>
          <w:tcPr>
            <w:tcW w:w="955" w:type="dxa"/>
            <w:vAlign w:val="top"/>
          </w:tcPr>
          <w:p>
            <w:pPr>
              <w:pStyle w:val="TableText"/>
              <w:ind w:left="233"/>
              <w:spacing w:before="67" w:line="195" w:lineRule="auto"/>
              <w:rPr/>
            </w:pPr>
            <w:r>
              <w:rPr>
                <w:spacing w:val="3"/>
              </w:rPr>
              <w:t>0.05L</w:t>
            </w:r>
          </w:p>
        </w:tc>
        <w:tc>
          <w:tcPr>
            <w:tcW w:w="2480" w:type="dxa"/>
            <w:vAlign w:val="top"/>
          </w:tcPr>
          <w:p>
            <w:pPr>
              <w:pStyle w:val="TableText"/>
              <w:ind w:left="1049"/>
              <w:spacing w:before="53" w:line="195" w:lineRule="auto"/>
              <w:rPr/>
            </w:pPr>
            <w:r>
              <w:rPr>
                <w:spacing w:val="3"/>
              </w:rPr>
              <w:t>≤1.0</w:t>
            </w:r>
          </w:p>
        </w:tc>
      </w:tr>
      <w:tr>
        <w:trPr>
          <w:trHeight w:val="278" w:hRule="atLeast"/>
        </w:trPr>
        <w:tc>
          <w:tcPr>
            <w:tcW w:w="2118" w:type="dxa"/>
            <w:vAlign w:val="top"/>
          </w:tcPr>
          <w:p>
            <w:pPr>
              <w:ind w:left="750"/>
              <w:spacing w:before="31" w:line="218" w:lineRule="auto"/>
              <w:rPr>
                <w:rFonts w:ascii="SimSun" w:hAnsi="SimSun" w:eastAsia="SimSun" w:cs="SimSun"/>
                <w:sz w:val="20"/>
                <w:szCs w:val="20"/>
              </w:rPr>
            </w:pPr>
            <w:r>
              <w:rPr>
                <w:rFonts w:ascii="SimSun" w:hAnsi="SimSun" w:eastAsia="SimSun" w:cs="SimSun"/>
                <w:sz w:val="20"/>
                <w:szCs w:val="20"/>
                <w:spacing w:val="6"/>
              </w:rPr>
              <w:t>石油类</w:t>
            </w:r>
          </w:p>
        </w:tc>
        <w:tc>
          <w:tcPr>
            <w:tcW w:w="1245" w:type="dxa"/>
            <w:vAlign w:val="top"/>
          </w:tcPr>
          <w:p>
            <w:pPr>
              <w:pStyle w:val="TableText"/>
              <w:ind w:left="378"/>
              <w:spacing w:before="67" w:line="195" w:lineRule="auto"/>
              <w:rPr/>
            </w:pPr>
            <w:r>
              <w:rPr>
                <w:spacing w:val="3"/>
              </w:rPr>
              <w:t>0.01L</w:t>
            </w:r>
          </w:p>
        </w:tc>
        <w:tc>
          <w:tcPr>
            <w:tcW w:w="1245" w:type="dxa"/>
            <w:vAlign w:val="top"/>
          </w:tcPr>
          <w:p>
            <w:pPr>
              <w:pStyle w:val="TableText"/>
              <w:ind w:left="378"/>
              <w:spacing w:before="67" w:line="195" w:lineRule="auto"/>
              <w:rPr/>
            </w:pPr>
            <w:r>
              <w:rPr>
                <w:spacing w:val="3"/>
              </w:rPr>
              <w:t>0.01L</w:t>
            </w:r>
          </w:p>
        </w:tc>
        <w:tc>
          <w:tcPr>
            <w:tcW w:w="1247" w:type="dxa"/>
            <w:vAlign w:val="top"/>
          </w:tcPr>
          <w:p>
            <w:pPr>
              <w:pStyle w:val="TableText"/>
              <w:ind w:left="381"/>
              <w:spacing w:before="67" w:line="195" w:lineRule="auto"/>
              <w:rPr/>
            </w:pPr>
            <w:r>
              <w:rPr>
                <w:spacing w:val="3"/>
              </w:rPr>
              <w:t>0.01L</w:t>
            </w:r>
          </w:p>
        </w:tc>
        <w:tc>
          <w:tcPr>
            <w:tcW w:w="955" w:type="dxa"/>
            <w:vAlign w:val="top"/>
          </w:tcPr>
          <w:p>
            <w:pPr>
              <w:pStyle w:val="TableText"/>
              <w:ind w:left="233"/>
              <w:spacing w:before="67" w:line="195" w:lineRule="auto"/>
              <w:rPr/>
            </w:pPr>
            <w:r>
              <w:rPr>
                <w:spacing w:val="3"/>
              </w:rPr>
              <w:t>0.01L</w:t>
            </w:r>
          </w:p>
        </w:tc>
        <w:tc>
          <w:tcPr>
            <w:tcW w:w="2480" w:type="dxa"/>
            <w:vAlign w:val="top"/>
          </w:tcPr>
          <w:p>
            <w:pPr>
              <w:pStyle w:val="TableText"/>
              <w:ind w:left="997"/>
              <w:spacing w:before="53" w:line="195" w:lineRule="auto"/>
              <w:rPr/>
            </w:pPr>
            <w:r>
              <w:rPr>
                <w:spacing w:val="4"/>
              </w:rPr>
              <w:t>≤0.05</w:t>
            </w:r>
          </w:p>
        </w:tc>
      </w:tr>
      <w:tr>
        <w:trPr>
          <w:trHeight w:val="275" w:hRule="atLeast"/>
        </w:trPr>
        <w:tc>
          <w:tcPr>
            <w:tcW w:w="2118" w:type="dxa"/>
            <w:vAlign w:val="top"/>
          </w:tcPr>
          <w:p>
            <w:pPr>
              <w:ind w:left="540"/>
              <w:spacing w:before="29" w:line="217" w:lineRule="auto"/>
              <w:rPr>
                <w:rFonts w:ascii="SimSun" w:hAnsi="SimSun" w:eastAsia="SimSun" w:cs="SimSun"/>
                <w:sz w:val="20"/>
                <w:szCs w:val="20"/>
              </w:rPr>
            </w:pPr>
            <w:r>
              <w:rPr>
                <w:rFonts w:ascii="SimSun" w:hAnsi="SimSun" w:eastAsia="SimSun" w:cs="SimSun"/>
                <w:sz w:val="20"/>
                <w:szCs w:val="20"/>
                <w:spacing w:val="7"/>
              </w:rPr>
              <w:t>粪大肠菌群</w:t>
            </w:r>
          </w:p>
        </w:tc>
        <w:tc>
          <w:tcPr>
            <w:tcW w:w="1245" w:type="dxa"/>
            <w:vAlign w:val="top"/>
          </w:tcPr>
          <w:p>
            <w:pPr>
              <w:pStyle w:val="TableText"/>
              <w:ind w:left="527"/>
              <w:spacing w:before="65" w:line="195" w:lineRule="auto"/>
              <w:rPr/>
            </w:pPr>
            <w:r>
              <w:rPr>
                <w:spacing w:val="-2"/>
              </w:rPr>
              <w:t>80</w:t>
            </w:r>
          </w:p>
        </w:tc>
        <w:tc>
          <w:tcPr>
            <w:tcW w:w="1245" w:type="dxa"/>
            <w:vAlign w:val="top"/>
          </w:tcPr>
          <w:p>
            <w:pPr>
              <w:pStyle w:val="TableText"/>
              <w:ind w:left="486"/>
              <w:spacing w:before="65" w:line="195" w:lineRule="auto"/>
              <w:rPr/>
            </w:pPr>
            <w:r>
              <w:rPr>
                <w:spacing w:val="-3"/>
              </w:rPr>
              <w:t>130</w:t>
            </w:r>
          </w:p>
        </w:tc>
        <w:tc>
          <w:tcPr>
            <w:tcW w:w="1247" w:type="dxa"/>
            <w:vAlign w:val="top"/>
          </w:tcPr>
          <w:p>
            <w:pPr>
              <w:pStyle w:val="TableText"/>
              <w:ind w:left="489"/>
              <w:spacing w:before="65" w:line="195" w:lineRule="auto"/>
              <w:rPr/>
            </w:pPr>
            <w:r>
              <w:rPr>
                <w:spacing w:val="-3"/>
              </w:rPr>
              <w:t>110</w:t>
            </w:r>
          </w:p>
        </w:tc>
        <w:tc>
          <w:tcPr>
            <w:tcW w:w="955" w:type="dxa"/>
            <w:vAlign w:val="top"/>
          </w:tcPr>
          <w:p>
            <w:pPr>
              <w:pStyle w:val="TableText"/>
              <w:ind w:left="212"/>
              <w:spacing w:before="65" w:line="195" w:lineRule="auto"/>
              <w:rPr/>
            </w:pPr>
            <w:r>
              <w:rPr/>
              <w:t>106.67</w:t>
            </w:r>
          </w:p>
        </w:tc>
        <w:tc>
          <w:tcPr>
            <w:tcW w:w="2480" w:type="dxa"/>
            <w:vAlign w:val="top"/>
          </w:tcPr>
          <w:p>
            <w:pPr>
              <w:pStyle w:val="TableText"/>
              <w:ind w:left="917"/>
              <w:spacing w:before="51" w:line="195" w:lineRule="auto"/>
              <w:rPr/>
            </w:pPr>
            <w:r>
              <w:rPr>
                <w:spacing w:val="4"/>
              </w:rPr>
              <w:t>≤10000</w:t>
            </w:r>
          </w:p>
        </w:tc>
      </w:tr>
      <w:tr>
        <w:trPr>
          <w:trHeight w:val="278" w:hRule="atLeast"/>
        </w:trPr>
        <w:tc>
          <w:tcPr>
            <w:tcW w:w="2118" w:type="dxa"/>
            <w:vAlign w:val="top"/>
          </w:tcPr>
          <w:p>
            <w:pPr>
              <w:ind w:left="750"/>
              <w:spacing w:before="32" w:line="217" w:lineRule="auto"/>
              <w:rPr>
                <w:rFonts w:ascii="SimSun" w:hAnsi="SimSun" w:eastAsia="SimSun" w:cs="SimSun"/>
                <w:sz w:val="20"/>
                <w:szCs w:val="20"/>
              </w:rPr>
            </w:pPr>
            <w:r>
              <w:rPr>
                <w:rFonts w:ascii="SimSun" w:hAnsi="SimSun" w:eastAsia="SimSun" w:cs="SimSun"/>
                <w:sz w:val="20"/>
                <w:szCs w:val="20"/>
                <w:spacing w:val="6"/>
              </w:rPr>
              <w:t>氟化物</w:t>
            </w:r>
          </w:p>
        </w:tc>
        <w:tc>
          <w:tcPr>
            <w:tcW w:w="1245" w:type="dxa"/>
            <w:vAlign w:val="top"/>
          </w:tcPr>
          <w:p>
            <w:pPr>
              <w:pStyle w:val="TableText"/>
              <w:ind w:left="442"/>
              <w:spacing w:before="68" w:line="195" w:lineRule="auto"/>
              <w:rPr/>
            </w:pPr>
            <w:r>
              <w:rPr>
                <w:spacing w:val="2"/>
              </w:rPr>
              <w:t>0.74</w:t>
            </w:r>
          </w:p>
        </w:tc>
        <w:tc>
          <w:tcPr>
            <w:tcW w:w="1245" w:type="dxa"/>
            <w:vAlign w:val="top"/>
          </w:tcPr>
          <w:p>
            <w:pPr>
              <w:pStyle w:val="TableText"/>
              <w:ind w:left="443"/>
              <w:spacing w:before="68" w:line="195" w:lineRule="auto"/>
              <w:rPr/>
            </w:pPr>
            <w:r>
              <w:rPr>
                <w:spacing w:val="2"/>
              </w:rPr>
              <w:t>0.77</w:t>
            </w:r>
          </w:p>
        </w:tc>
        <w:tc>
          <w:tcPr>
            <w:tcW w:w="1247" w:type="dxa"/>
            <w:vAlign w:val="top"/>
          </w:tcPr>
          <w:p>
            <w:pPr>
              <w:pStyle w:val="TableText"/>
              <w:ind w:left="446"/>
              <w:spacing w:before="68" w:line="195" w:lineRule="auto"/>
              <w:rPr/>
            </w:pPr>
            <w:r>
              <w:rPr>
                <w:spacing w:val="2"/>
              </w:rPr>
              <w:t>0.69</w:t>
            </w:r>
          </w:p>
        </w:tc>
        <w:tc>
          <w:tcPr>
            <w:tcW w:w="955" w:type="dxa"/>
            <w:vAlign w:val="top"/>
          </w:tcPr>
          <w:p>
            <w:pPr>
              <w:pStyle w:val="TableText"/>
              <w:ind w:left="298"/>
              <w:spacing w:before="68" w:line="195" w:lineRule="auto"/>
              <w:rPr/>
            </w:pPr>
            <w:r>
              <w:rPr>
                <w:spacing w:val="2"/>
              </w:rPr>
              <w:t>0.73</w:t>
            </w:r>
          </w:p>
        </w:tc>
        <w:tc>
          <w:tcPr>
            <w:tcW w:w="2480" w:type="dxa"/>
            <w:vAlign w:val="top"/>
          </w:tcPr>
          <w:p>
            <w:pPr>
              <w:pStyle w:val="TableText"/>
              <w:ind w:left="1049"/>
              <w:spacing w:before="54" w:line="195" w:lineRule="auto"/>
              <w:rPr/>
            </w:pPr>
            <w:r>
              <w:rPr>
                <w:spacing w:val="3"/>
              </w:rPr>
              <w:t>≤1.0</w:t>
            </w:r>
          </w:p>
        </w:tc>
      </w:tr>
      <w:tr>
        <w:trPr>
          <w:trHeight w:val="275" w:hRule="atLeast"/>
        </w:trPr>
        <w:tc>
          <w:tcPr>
            <w:tcW w:w="2118" w:type="dxa"/>
            <w:vAlign w:val="top"/>
          </w:tcPr>
          <w:p>
            <w:pPr>
              <w:ind w:left="440"/>
              <w:spacing w:before="33" w:line="214" w:lineRule="auto"/>
              <w:rPr>
                <w:rFonts w:ascii="SimSun" w:hAnsi="SimSun" w:eastAsia="SimSun" w:cs="SimSun"/>
                <w:sz w:val="20"/>
                <w:szCs w:val="20"/>
              </w:rPr>
            </w:pPr>
            <w:r>
              <w:rPr>
                <w:rFonts w:ascii="SimSun" w:hAnsi="SimSun" w:eastAsia="SimSun" w:cs="SimSun"/>
                <w:sz w:val="20"/>
                <w:szCs w:val="20"/>
                <w:spacing w:val="7"/>
              </w:rPr>
              <w:t>高锰酸盐指数</w:t>
            </w:r>
          </w:p>
        </w:tc>
        <w:tc>
          <w:tcPr>
            <w:tcW w:w="1245" w:type="dxa"/>
            <w:vAlign w:val="top"/>
          </w:tcPr>
          <w:p>
            <w:pPr>
              <w:pStyle w:val="TableText"/>
              <w:ind w:left="498"/>
              <w:spacing w:before="68" w:line="195" w:lineRule="auto"/>
              <w:rPr/>
            </w:pPr>
            <w:r>
              <w:rPr/>
              <w:t>5.6</w:t>
            </w:r>
          </w:p>
        </w:tc>
        <w:tc>
          <w:tcPr>
            <w:tcW w:w="1245" w:type="dxa"/>
            <w:vAlign w:val="top"/>
          </w:tcPr>
          <w:p>
            <w:pPr>
              <w:pStyle w:val="TableText"/>
              <w:ind w:left="496"/>
              <w:spacing w:before="71" w:line="192" w:lineRule="auto"/>
              <w:rPr/>
            </w:pPr>
            <w:r>
              <w:rPr>
                <w:spacing w:val="1"/>
              </w:rPr>
              <w:t>5.5</w:t>
            </w:r>
          </w:p>
        </w:tc>
        <w:tc>
          <w:tcPr>
            <w:tcW w:w="1247" w:type="dxa"/>
            <w:vAlign w:val="top"/>
          </w:tcPr>
          <w:p>
            <w:pPr>
              <w:pStyle w:val="TableText"/>
              <w:ind w:left="498"/>
              <w:spacing w:before="68" w:line="195" w:lineRule="auto"/>
              <w:rPr/>
            </w:pPr>
            <w:r>
              <w:rPr>
                <w:spacing w:val="1"/>
              </w:rPr>
              <w:t>6.6</w:t>
            </w:r>
          </w:p>
        </w:tc>
        <w:tc>
          <w:tcPr>
            <w:tcW w:w="955" w:type="dxa"/>
            <w:vAlign w:val="top"/>
          </w:tcPr>
          <w:p>
            <w:pPr>
              <w:pStyle w:val="TableText"/>
              <w:ind w:left="356"/>
              <w:spacing w:before="68" w:line="195" w:lineRule="auto"/>
              <w:rPr/>
            </w:pPr>
            <w:r>
              <w:rPr/>
              <w:t>5.9</w:t>
            </w:r>
          </w:p>
        </w:tc>
        <w:tc>
          <w:tcPr>
            <w:tcW w:w="2480" w:type="dxa"/>
            <w:vAlign w:val="top"/>
          </w:tcPr>
          <w:p>
            <w:pPr>
              <w:pStyle w:val="TableText"/>
              <w:ind w:left="1129"/>
              <w:spacing w:before="52" w:line="195" w:lineRule="auto"/>
              <w:rPr/>
            </w:pPr>
            <w:r>
              <w:rPr>
                <w:spacing w:val="2"/>
              </w:rPr>
              <w:t>≤6</w:t>
            </w:r>
          </w:p>
        </w:tc>
      </w:tr>
      <w:tr>
        <w:trPr>
          <w:trHeight w:val="278" w:hRule="atLeast"/>
        </w:trPr>
        <w:tc>
          <w:tcPr>
            <w:tcW w:w="2118" w:type="dxa"/>
            <w:vAlign w:val="top"/>
          </w:tcPr>
          <w:p>
            <w:pPr>
              <w:ind w:left="752"/>
              <w:spacing w:before="34" w:line="216" w:lineRule="auto"/>
              <w:rPr>
                <w:rFonts w:ascii="SimSun" w:hAnsi="SimSun" w:eastAsia="SimSun" w:cs="SimSun"/>
                <w:sz w:val="20"/>
                <w:szCs w:val="20"/>
              </w:rPr>
            </w:pPr>
            <w:r>
              <w:rPr>
                <w:rFonts w:ascii="SimSun" w:hAnsi="SimSun" w:eastAsia="SimSun" w:cs="SimSun"/>
                <w:sz w:val="20"/>
                <w:szCs w:val="20"/>
                <w:spacing w:val="6"/>
              </w:rPr>
              <w:t>溶解氧</w:t>
            </w:r>
          </w:p>
        </w:tc>
        <w:tc>
          <w:tcPr>
            <w:tcW w:w="1245" w:type="dxa"/>
            <w:vAlign w:val="top"/>
          </w:tcPr>
          <w:p>
            <w:pPr>
              <w:pStyle w:val="TableText"/>
              <w:ind w:left="445"/>
              <w:spacing w:before="69" w:line="195" w:lineRule="auto"/>
              <w:rPr/>
            </w:pPr>
            <w:r>
              <w:rPr>
                <w:spacing w:val="2"/>
              </w:rPr>
              <w:t>5.56</w:t>
            </w:r>
          </w:p>
        </w:tc>
        <w:tc>
          <w:tcPr>
            <w:tcW w:w="1245" w:type="dxa"/>
            <w:vAlign w:val="top"/>
          </w:tcPr>
          <w:p>
            <w:pPr>
              <w:pStyle w:val="TableText"/>
              <w:ind w:left="446"/>
              <w:spacing w:before="69" w:line="195" w:lineRule="auto"/>
              <w:rPr/>
            </w:pPr>
            <w:r>
              <w:rPr>
                <w:spacing w:val="2"/>
              </w:rPr>
              <w:t>5.34</w:t>
            </w:r>
          </w:p>
        </w:tc>
        <w:tc>
          <w:tcPr>
            <w:tcW w:w="1247" w:type="dxa"/>
            <w:vAlign w:val="top"/>
          </w:tcPr>
          <w:p>
            <w:pPr>
              <w:pStyle w:val="TableText"/>
              <w:ind w:left="449"/>
              <w:spacing w:before="69" w:line="195" w:lineRule="auto"/>
              <w:rPr/>
            </w:pPr>
            <w:r>
              <w:rPr>
                <w:spacing w:val="2"/>
              </w:rPr>
              <w:t>5.63</w:t>
            </w:r>
          </w:p>
        </w:tc>
        <w:tc>
          <w:tcPr>
            <w:tcW w:w="955" w:type="dxa"/>
            <w:vAlign w:val="top"/>
          </w:tcPr>
          <w:p>
            <w:pPr>
              <w:pStyle w:val="TableText"/>
              <w:ind w:left="301"/>
              <w:spacing w:before="69" w:line="195" w:lineRule="auto"/>
              <w:rPr/>
            </w:pPr>
            <w:r>
              <w:rPr>
                <w:spacing w:val="2"/>
              </w:rPr>
              <w:t>5.51</w:t>
            </w:r>
          </w:p>
        </w:tc>
        <w:tc>
          <w:tcPr>
            <w:tcW w:w="2480" w:type="dxa"/>
            <w:vAlign w:val="top"/>
          </w:tcPr>
          <w:p>
            <w:pPr>
              <w:pStyle w:val="TableText"/>
              <w:ind w:left="1129"/>
              <w:spacing w:before="58" w:line="192" w:lineRule="auto"/>
              <w:rPr/>
            </w:pPr>
            <w:r>
              <w:rPr>
                <w:spacing w:val="2"/>
              </w:rPr>
              <w:t>≥5</w:t>
            </w:r>
          </w:p>
        </w:tc>
      </w:tr>
      <w:tr>
        <w:trPr>
          <w:trHeight w:val="278" w:hRule="atLeast"/>
        </w:trPr>
        <w:tc>
          <w:tcPr>
            <w:tcW w:w="2118" w:type="dxa"/>
            <w:vAlign w:val="top"/>
          </w:tcPr>
          <w:p>
            <w:pPr>
              <w:ind w:left="748"/>
              <w:spacing w:before="34" w:line="216" w:lineRule="auto"/>
              <w:rPr>
                <w:rFonts w:ascii="SimSun" w:hAnsi="SimSun" w:eastAsia="SimSun" w:cs="SimSun"/>
                <w:sz w:val="20"/>
                <w:szCs w:val="20"/>
              </w:rPr>
            </w:pPr>
            <w:r>
              <w:rPr>
                <w:rFonts w:ascii="SimSun" w:hAnsi="SimSun" w:eastAsia="SimSun" w:cs="SimSun"/>
                <w:sz w:val="20"/>
                <w:szCs w:val="20"/>
                <w:spacing w:val="7"/>
              </w:rPr>
              <w:t>氰化物</w:t>
            </w:r>
          </w:p>
        </w:tc>
        <w:tc>
          <w:tcPr>
            <w:tcW w:w="1245" w:type="dxa"/>
            <w:vAlign w:val="top"/>
          </w:tcPr>
          <w:p>
            <w:pPr>
              <w:pStyle w:val="TableText"/>
              <w:ind w:left="322"/>
              <w:spacing w:before="69" w:line="195" w:lineRule="auto"/>
              <w:rPr/>
            </w:pPr>
            <w:r>
              <w:rPr>
                <w:spacing w:val="3"/>
              </w:rPr>
              <w:t>0.004L</w:t>
            </w:r>
          </w:p>
        </w:tc>
        <w:tc>
          <w:tcPr>
            <w:tcW w:w="1245" w:type="dxa"/>
            <w:vAlign w:val="top"/>
          </w:tcPr>
          <w:p>
            <w:pPr>
              <w:pStyle w:val="TableText"/>
              <w:ind w:left="325"/>
              <w:spacing w:before="69" w:line="195" w:lineRule="auto"/>
              <w:rPr/>
            </w:pPr>
            <w:r>
              <w:rPr>
                <w:spacing w:val="3"/>
              </w:rPr>
              <w:t>0.004L</w:t>
            </w:r>
          </w:p>
        </w:tc>
        <w:tc>
          <w:tcPr>
            <w:tcW w:w="1247" w:type="dxa"/>
            <w:vAlign w:val="top"/>
          </w:tcPr>
          <w:p>
            <w:pPr>
              <w:pStyle w:val="TableText"/>
              <w:ind w:left="328"/>
              <w:spacing w:before="69" w:line="195" w:lineRule="auto"/>
              <w:rPr/>
            </w:pPr>
            <w:r>
              <w:rPr>
                <w:spacing w:val="3"/>
              </w:rPr>
              <w:t>0.004L</w:t>
            </w:r>
          </w:p>
        </w:tc>
        <w:tc>
          <w:tcPr>
            <w:tcW w:w="955" w:type="dxa"/>
            <w:vAlign w:val="top"/>
          </w:tcPr>
          <w:p>
            <w:pPr>
              <w:pStyle w:val="TableText"/>
              <w:ind w:left="183"/>
              <w:spacing w:before="69" w:line="195" w:lineRule="auto"/>
              <w:rPr/>
            </w:pPr>
            <w:r>
              <w:rPr>
                <w:spacing w:val="3"/>
              </w:rPr>
              <w:t>0.004L</w:t>
            </w:r>
          </w:p>
        </w:tc>
        <w:tc>
          <w:tcPr>
            <w:tcW w:w="2480" w:type="dxa"/>
            <w:vAlign w:val="top"/>
          </w:tcPr>
          <w:p>
            <w:pPr>
              <w:pStyle w:val="TableText"/>
              <w:ind w:left="1049"/>
              <w:spacing w:before="55" w:line="195" w:lineRule="auto"/>
              <w:rPr/>
            </w:pPr>
            <w:r>
              <w:rPr>
                <w:spacing w:val="3"/>
              </w:rPr>
              <w:t>≤0.2</w:t>
            </w:r>
          </w:p>
        </w:tc>
      </w:tr>
      <w:tr>
        <w:trPr>
          <w:trHeight w:val="280" w:hRule="atLeast"/>
        </w:trPr>
        <w:tc>
          <w:tcPr>
            <w:tcW w:w="2118" w:type="dxa"/>
            <w:vAlign w:val="top"/>
          </w:tcPr>
          <w:p>
            <w:pPr>
              <w:ind w:left="748"/>
              <w:spacing w:before="33" w:line="218" w:lineRule="auto"/>
              <w:rPr>
                <w:rFonts w:ascii="SimSun" w:hAnsi="SimSun" w:eastAsia="SimSun" w:cs="SimSun"/>
                <w:sz w:val="20"/>
                <w:szCs w:val="20"/>
              </w:rPr>
            </w:pPr>
            <w:r>
              <w:rPr>
                <w:rFonts w:ascii="SimSun" w:hAnsi="SimSun" w:eastAsia="SimSun" w:cs="SimSun"/>
                <w:sz w:val="20"/>
                <w:szCs w:val="20"/>
                <w:spacing w:val="7"/>
              </w:rPr>
              <w:t>挥发酚</w:t>
            </w:r>
          </w:p>
        </w:tc>
        <w:tc>
          <w:tcPr>
            <w:tcW w:w="1245" w:type="dxa"/>
            <w:vAlign w:val="top"/>
          </w:tcPr>
          <w:p>
            <w:pPr>
              <w:pStyle w:val="TableText"/>
              <w:ind w:left="274"/>
              <w:spacing w:before="69" w:line="195" w:lineRule="auto"/>
              <w:rPr/>
            </w:pPr>
            <w:r>
              <w:rPr>
                <w:spacing w:val="3"/>
              </w:rPr>
              <w:t>0.0003L</w:t>
            </w:r>
          </w:p>
        </w:tc>
        <w:tc>
          <w:tcPr>
            <w:tcW w:w="1245" w:type="dxa"/>
            <w:vAlign w:val="top"/>
          </w:tcPr>
          <w:p>
            <w:pPr>
              <w:pStyle w:val="TableText"/>
              <w:ind w:left="275"/>
              <w:spacing w:before="69" w:line="195" w:lineRule="auto"/>
              <w:rPr/>
            </w:pPr>
            <w:r>
              <w:rPr>
                <w:spacing w:val="3"/>
              </w:rPr>
              <w:t>0.0003L</w:t>
            </w:r>
          </w:p>
        </w:tc>
        <w:tc>
          <w:tcPr>
            <w:tcW w:w="1247" w:type="dxa"/>
            <w:vAlign w:val="top"/>
          </w:tcPr>
          <w:p>
            <w:pPr>
              <w:pStyle w:val="TableText"/>
              <w:ind w:left="276"/>
              <w:spacing w:before="69" w:line="195" w:lineRule="auto"/>
              <w:rPr/>
            </w:pPr>
            <w:r>
              <w:rPr>
                <w:spacing w:val="3"/>
              </w:rPr>
              <w:t>0.0003L</w:t>
            </w:r>
          </w:p>
        </w:tc>
        <w:tc>
          <w:tcPr>
            <w:tcW w:w="955" w:type="dxa"/>
            <w:vAlign w:val="top"/>
          </w:tcPr>
          <w:p>
            <w:pPr>
              <w:pStyle w:val="TableText"/>
              <w:ind w:left="130"/>
              <w:spacing w:before="69" w:line="195" w:lineRule="auto"/>
              <w:rPr/>
            </w:pPr>
            <w:r>
              <w:rPr>
                <w:spacing w:val="3"/>
              </w:rPr>
              <w:t>0.0003L</w:t>
            </w:r>
          </w:p>
        </w:tc>
        <w:tc>
          <w:tcPr>
            <w:tcW w:w="2480" w:type="dxa"/>
            <w:vAlign w:val="top"/>
          </w:tcPr>
          <w:p>
            <w:pPr>
              <w:pStyle w:val="TableText"/>
              <w:ind w:left="946"/>
              <w:spacing w:before="53" w:line="195" w:lineRule="auto"/>
              <w:rPr/>
            </w:pPr>
            <w:r>
              <w:rPr>
                <w:spacing w:val="4"/>
              </w:rPr>
              <w:t>≤0.005</w:t>
            </w:r>
          </w:p>
        </w:tc>
      </w:tr>
    </w:tbl>
    <w:p>
      <w:pPr>
        <w:pStyle w:val="BodyText"/>
        <w:rPr/>
      </w:pPr>
      <w:r/>
    </w:p>
    <w:p>
      <w:pPr>
        <w:sectPr>
          <w:headerReference w:type="default" r:id="rId238"/>
          <w:footerReference w:type="default" r:id="rId323"/>
          <w:pgSz w:w="11906" w:h="16838"/>
          <w:pgMar w:top="1170" w:right="1304" w:bottom="1080" w:left="1305" w:header="837" w:footer="918"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18"/>
        <w:gridCol w:w="1245"/>
        <w:gridCol w:w="1245"/>
        <w:gridCol w:w="1247"/>
        <w:gridCol w:w="955"/>
        <w:gridCol w:w="2480"/>
      </w:tblGrid>
      <w:tr>
        <w:trPr>
          <w:trHeight w:val="282" w:hRule="atLeast"/>
        </w:trPr>
        <w:tc>
          <w:tcPr>
            <w:tcW w:w="2118" w:type="dxa"/>
            <w:vAlign w:val="top"/>
          </w:tcPr>
          <w:p>
            <w:pPr>
              <w:ind w:left="748"/>
              <w:spacing w:before="33" w:line="220" w:lineRule="auto"/>
              <w:rPr>
                <w:rFonts w:ascii="SimSun" w:hAnsi="SimSun" w:eastAsia="SimSun" w:cs="SimSun"/>
                <w:sz w:val="20"/>
                <w:szCs w:val="20"/>
              </w:rPr>
            </w:pPr>
            <w:r>
              <w:rPr>
                <w:rFonts w:ascii="SimSun" w:hAnsi="SimSun" w:eastAsia="SimSun" w:cs="SimSun"/>
                <w:sz w:val="20"/>
                <w:szCs w:val="20"/>
                <w:spacing w:val="7"/>
              </w:rPr>
              <w:t>硫化物</w:t>
            </w:r>
          </w:p>
        </w:tc>
        <w:tc>
          <w:tcPr>
            <w:tcW w:w="1245" w:type="dxa"/>
            <w:vAlign w:val="top"/>
          </w:tcPr>
          <w:p>
            <w:pPr>
              <w:pStyle w:val="TableText"/>
              <w:ind w:left="378"/>
              <w:spacing w:before="69" w:line="195" w:lineRule="auto"/>
              <w:rPr/>
            </w:pPr>
            <w:r>
              <w:rPr>
                <w:spacing w:val="3"/>
              </w:rPr>
              <w:t>0.01L</w:t>
            </w:r>
          </w:p>
        </w:tc>
        <w:tc>
          <w:tcPr>
            <w:tcW w:w="1245" w:type="dxa"/>
            <w:vAlign w:val="top"/>
          </w:tcPr>
          <w:p>
            <w:pPr>
              <w:pStyle w:val="TableText"/>
              <w:ind w:left="378"/>
              <w:spacing w:before="69" w:line="195" w:lineRule="auto"/>
              <w:rPr/>
            </w:pPr>
            <w:r>
              <w:rPr>
                <w:spacing w:val="3"/>
              </w:rPr>
              <w:t>0.01L</w:t>
            </w:r>
          </w:p>
        </w:tc>
        <w:tc>
          <w:tcPr>
            <w:tcW w:w="1247" w:type="dxa"/>
            <w:vAlign w:val="top"/>
          </w:tcPr>
          <w:p>
            <w:pPr>
              <w:pStyle w:val="TableText"/>
              <w:ind w:left="381"/>
              <w:spacing w:before="69" w:line="195" w:lineRule="auto"/>
              <w:rPr/>
            </w:pPr>
            <w:r>
              <w:rPr>
                <w:spacing w:val="3"/>
              </w:rPr>
              <w:t>0.01L</w:t>
            </w:r>
          </w:p>
        </w:tc>
        <w:tc>
          <w:tcPr>
            <w:tcW w:w="955" w:type="dxa"/>
            <w:vAlign w:val="top"/>
          </w:tcPr>
          <w:p>
            <w:pPr>
              <w:pStyle w:val="TableText"/>
              <w:ind w:left="233"/>
              <w:spacing w:before="69" w:line="195" w:lineRule="auto"/>
              <w:rPr/>
            </w:pPr>
            <w:r>
              <w:rPr>
                <w:spacing w:val="3"/>
              </w:rPr>
              <w:t>0.01L</w:t>
            </w:r>
          </w:p>
        </w:tc>
        <w:tc>
          <w:tcPr>
            <w:tcW w:w="2480" w:type="dxa"/>
            <w:vAlign w:val="top"/>
          </w:tcPr>
          <w:p>
            <w:pPr>
              <w:pStyle w:val="TableText"/>
              <w:ind w:left="1049"/>
              <w:spacing w:before="55" w:line="195" w:lineRule="auto"/>
              <w:rPr/>
            </w:pPr>
            <w:r>
              <w:rPr>
                <w:spacing w:val="3"/>
              </w:rPr>
              <w:t>≤0.2</w:t>
            </w:r>
          </w:p>
        </w:tc>
      </w:tr>
      <w:tr>
        <w:trPr>
          <w:trHeight w:val="277" w:hRule="atLeast"/>
        </w:trPr>
        <w:tc>
          <w:tcPr>
            <w:tcW w:w="2118" w:type="dxa"/>
            <w:vAlign w:val="top"/>
          </w:tcPr>
          <w:p>
            <w:pPr>
              <w:ind w:left="752"/>
              <w:spacing w:before="29" w:line="219" w:lineRule="auto"/>
              <w:rPr>
                <w:rFonts w:ascii="SimSun" w:hAnsi="SimSun" w:eastAsia="SimSun" w:cs="SimSun"/>
                <w:sz w:val="20"/>
                <w:szCs w:val="20"/>
              </w:rPr>
            </w:pPr>
            <w:r>
              <w:rPr>
                <w:rFonts w:ascii="SimSun" w:hAnsi="SimSun" w:eastAsia="SimSun" w:cs="SimSun"/>
                <w:sz w:val="20"/>
                <w:szCs w:val="20"/>
                <w:spacing w:val="6"/>
              </w:rPr>
              <w:t>悬浮物</w:t>
            </w:r>
          </w:p>
        </w:tc>
        <w:tc>
          <w:tcPr>
            <w:tcW w:w="1245" w:type="dxa"/>
            <w:vAlign w:val="top"/>
          </w:tcPr>
          <w:p>
            <w:pPr>
              <w:pStyle w:val="TableText"/>
              <w:ind w:left="539"/>
              <w:spacing w:before="66" w:line="195" w:lineRule="auto"/>
              <w:rPr/>
            </w:pPr>
            <w:r>
              <w:rPr>
                <w:spacing w:val="-8"/>
              </w:rPr>
              <w:t>14</w:t>
            </w:r>
          </w:p>
        </w:tc>
        <w:tc>
          <w:tcPr>
            <w:tcW w:w="1245" w:type="dxa"/>
            <w:vAlign w:val="top"/>
          </w:tcPr>
          <w:p>
            <w:pPr>
              <w:pStyle w:val="TableText"/>
              <w:ind w:left="539"/>
              <w:spacing w:before="65" w:line="195" w:lineRule="auto"/>
              <w:rPr/>
            </w:pPr>
            <w:r>
              <w:rPr>
                <w:spacing w:val="-8"/>
              </w:rPr>
              <w:t>16</w:t>
            </w:r>
          </w:p>
        </w:tc>
        <w:tc>
          <w:tcPr>
            <w:tcW w:w="1247" w:type="dxa"/>
            <w:vAlign w:val="top"/>
          </w:tcPr>
          <w:p>
            <w:pPr>
              <w:pStyle w:val="TableText"/>
              <w:ind w:left="542"/>
              <w:spacing w:before="65" w:line="195" w:lineRule="auto"/>
              <w:rPr/>
            </w:pPr>
            <w:r>
              <w:rPr>
                <w:spacing w:val="-8"/>
              </w:rPr>
              <w:t>17</w:t>
            </w:r>
          </w:p>
        </w:tc>
        <w:tc>
          <w:tcPr>
            <w:tcW w:w="955" w:type="dxa"/>
            <w:vAlign w:val="top"/>
          </w:tcPr>
          <w:p>
            <w:pPr>
              <w:pStyle w:val="TableText"/>
              <w:ind w:left="262"/>
              <w:spacing w:before="65" w:line="195" w:lineRule="auto"/>
              <w:rPr/>
            </w:pPr>
            <w:r>
              <w:rPr>
                <w:spacing w:val="-1"/>
              </w:rPr>
              <w:t>15.67</w:t>
            </w:r>
          </w:p>
        </w:tc>
        <w:tc>
          <w:tcPr>
            <w:tcW w:w="2480" w:type="dxa"/>
            <w:vAlign w:val="top"/>
          </w:tcPr>
          <w:p>
            <w:pPr>
              <w:pStyle w:val="TableText"/>
              <w:ind w:left="1208"/>
              <w:spacing w:before="47" w:line="199" w:lineRule="auto"/>
              <w:rPr/>
            </w:pPr>
            <w:r>
              <w:rPr>
                <w:spacing w:val="2"/>
              </w:rPr>
              <w:t>/</w:t>
            </w:r>
          </w:p>
        </w:tc>
      </w:tr>
      <w:tr>
        <w:trPr>
          <w:trHeight w:val="275" w:hRule="atLeast"/>
        </w:trPr>
        <w:tc>
          <w:tcPr>
            <w:tcW w:w="2118" w:type="dxa"/>
            <w:vAlign w:val="top"/>
          </w:tcPr>
          <w:p>
            <w:pPr>
              <w:ind w:left="748"/>
              <w:spacing w:before="28" w:line="218" w:lineRule="auto"/>
              <w:rPr>
                <w:rFonts w:ascii="SimSun" w:hAnsi="SimSun" w:eastAsia="SimSun" w:cs="SimSun"/>
                <w:sz w:val="20"/>
                <w:szCs w:val="20"/>
              </w:rPr>
            </w:pPr>
            <w:r>
              <w:rPr>
                <w:rFonts w:ascii="SimSun" w:hAnsi="SimSun" w:eastAsia="SimSun" w:cs="SimSun"/>
                <w:sz w:val="20"/>
                <w:szCs w:val="20"/>
                <w:spacing w:val="7"/>
              </w:rPr>
              <w:t>硫酸盐</w:t>
            </w:r>
          </w:p>
        </w:tc>
        <w:tc>
          <w:tcPr>
            <w:tcW w:w="1245" w:type="dxa"/>
            <w:vAlign w:val="top"/>
          </w:tcPr>
          <w:p>
            <w:pPr>
              <w:pStyle w:val="TableText"/>
              <w:ind w:left="483"/>
              <w:spacing w:before="64" w:line="195" w:lineRule="auto"/>
              <w:rPr/>
            </w:pPr>
            <w:r>
              <w:rPr>
                <w:spacing w:val="-3"/>
              </w:rPr>
              <w:t>120</w:t>
            </w:r>
          </w:p>
        </w:tc>
        <w:tc>
          <w:tcPr>
            <w:tcW w:w="1245" w:type="dxa"/>
            <w:vAlign w:val="top"/>
          </w:tcPr>
          <w:p>
            <w:pPr>
              <w:pStyle w:val="TableText"/>
              <w:ind w:left="486"/>
              <w:spacing w:before="64" w:line="195" w:lineRule="auto"/>
              <w:rPr/>
            </w:pPr>
            <w:r>
              <w:rPr>
                <w:spacing w:val="-3"/>
              </w:rPr>
              <w:t>118</w:t>
            </w:r>
          </w:p>
        </w:tc>
        <w:tc>
          <w:tcPr>
            <w:tcW w:w="1247" w:type="dxa"/>
            <w:vAlign w:val="top"/>
          </w:tcPr>
          <w:p>
            <w:pPr>
              <w:pStyle w:val="TableText"/>
              <w:ind w:left="489"/>
              <w:spacing w:before="64" w:line="195" w:lineRule="auto"/>
              <w:rPr/>
            </w:pPr>
            <w:r>
              <w:rPr>
                <w:spacing w:val="-3"/>
              </w:rPr>
              <w:t>125</w:t>
            </w:r>
          </w:p>
        </w:tc>
        <w:tc>
          <w:tcPr>
            <w:tcW w:w="955" w:type="dxa"/>
            <w:vAlign w:val="top"/>
          </w:tcPr>
          <w:p>
            <w:pPr>
              <w:pStyle w:val="TableText"/>
              <w:ind w:left="212"/>
              <w:spacing w:before="64" w:line="195" w:lineRule="auto"/>
              <w:rPr/>
            </w:pPr>
            <w:r>
              <w:rPr/>
              <w:t>121.00</w:t>
            </w:r>
          </w:p>
        </w:tc>
        <w:tc>
          <w:tcPr>
            <w:tcW w:w="2480" w:type="dxa"/>
            <w:vAlign w:val="top"/>
          </w:tcPr>
          <w:p>
            <w:pPr>
              <w:pStyle w:val="TableText"/>
              <w:ind w:left="1025"/>
              <w:spacing w:before="50" w:line="195" w:lineRule="auto"/>
              <w:rPr/>
            </w:pPr>
            <w:r>
              <w:rPr>
                <w:spacing w:val="4"/>
              </w:rPr>
              <w:t>≤250</w:t>
            </w:r>
          </w:p>
        </w:tc>
      </w:tr>
      <w:tr>
        <w:trPr>
          <w:trHeight w:val="277" w:hRule="atLeast"/>
        </w:trPr>
        <w:tc>
          <w:tcPr>
            <w:tcW w:w="2118" w:type="dxa"/>
            <w:vAlign w:val="top"/>
          </w:tcPr>
          <w:p>
            <w:pPr>
              <w:ind w:left="752"/>
              <w:spacing w:before="31" w:line="217" w:lineRule="auto"/>
              <w:rPr>
                <w:rFonts w:ascii="SimSun" w:hAnsi="SimSun" w:eastAsia="SimSun" w:cs="SimSun"/>
                <w:sz w:val="20"/>
                <w:szCs w:val="20"/>
              </w:rPr>
            </w:pPr>
            <w:r>
              <w:rPr>
                <w:rFonts w:ascii="SimSun" w:hAnsi="SimSun" w:eastAsia="SimSun" w:cs="SimSun"/>
                <w:sz w:val="20"/>
                <w:szCs w:val="20"/>
                <w:spacing w:val="5"/>
              </w:rPr>
              <w:t>氯化物</w:t>
            </w:r>
          </w:p>
        </w:tc>
        <w:tc>
          <w:tcPr>
            <w:tcW w:w="1245" w:type="dxa"/>
            <w:vAlign w:val="top"/>
          </w:tcPr>
          <w:p>
            <w:pPr>
              <w:pStyle w:val="TableText"/>
              <w:ind w:left="483"/>
              <w:spacing w:before="67" w:line="195" w:lineRule="auto"/>
              <w:rPr/>
            </w:pPr>
            <w:r>
              <w:rPr>
                <w:spacing w:val="-3"/>
              </w:rPr>
              <w:t>138</w:t>
            </w:r>
          </w:p>
        </w:tc>
        <w:tc>
          <w:tcPr>
            <w:tcW w:w="1245" w:type="dxa"/>
            <w:vAlign w:val="top"/>
          </w:tcPr>
          <w:p>
            <w:pPr>
              <w:pStyle w:val="TableText"/>
              <w:ind w:left="486"/>
              <w:spacing w:before="68" w:line="195" w:lineRule="auto"/>
              <w:rPr/>
            </w:pPr>
            <w:r>
              <w:rPr>
                <w:spacing w:val="-3"/>
              </w:rPr>
              <w:t>142</w:t>
            </w:r>
          </w:p>
        </w:tc>
        <w:tc>
          <w:tcPr>
            <w:tcW w:w="1247" w:type="dxa"/>
            <w:vAlign w:val="top"/>
          </w:tcPr>
          <w:p>
            <w:pPr>
              <w:pStyle w:val="TableText"/>
              <w:ind w:left="489"/>
              <w:spacing w:before="67" w:line="195" w:lineRule="auto"/>
              <w:rPr/>
            </w:pPr>
            <w:r>
              <w:rPr>
                <w:spacing w:val="-3"/>
              </w:rPr>
              <w:t>136</w:t>
            </w:r>
          </w:p>
        </w:tc>
        <w:tc>
          <w:tcPr>
            <w:tcW w:w="955" w:type="dxa"/>
            <w:vAlign w:val="top"/>
          </w:tcPr>
          <w:p>
            <w:pPr>
              <w:pStyle w:val="TableText"/>
              <w:ind w:left="212"/>
              <w:spacing w:before="67" w:line="195" w:lineRule="auto"/>
              <w:rPr/>
            </w:pPr>
            <w:r>
              <w:rPr/>
              <w:t>138.67</w:t>
            </w:r>
          </w:p>
        </w:tc>
        <w:tc>
          <w:tcPr>
            <w:tcW w:w="2480" w:type="dxa"/>
            <w:vAlign w:val="top"/>
          </w:tcPr>
          <w:p>
            <w:pPr>
              <w:pStyle w:val="TableText"/>
              <w:ind w:left="1025"/>
              <w:spacing w:before="54" w:line="195" w:lineRule="auto"/>
              <w:rPr/>
            </w:pPr>
            <w:r>
              <w:rPr>
                <w:spacing w:val="4"/>
              </w:rPr>
              <w:t>≤250</w:t>
            </w:r>
          </w:p>
        </w:tc>
      </w:tr>
      <w:tr>
        <w:trPr>
          <w:trHeight w:val="282" w:hRule="atLeast"/>
        </w:trPr>
        <w:tc>
          <w:tcPr>
            <w:tcW w:w="2118" w:type="dxa"/>
            <w:vAlign w:val="top"/>
          </w:tcPr>
          <w:p>
            <w:pPr>
              <w:ind w:left="643"/>
              <w:spacing w:before="33" w:line="220" w:lineRule="auto"/>
              <w:rPr>
                <w:rFonts w:ascii="SimSun" w:hAnsi="SimSun" w:eastAsia="SimSun" w:cs="SimSun"/>
                <w:sz w:val="20"/>
                <w:szCs w:val="20"/>
              </w:rPr>
            </w:pPr>
            <w:r>
              <w:rPr>
                <w:rFonts w:ascii="SimSun" w:hAnsi="SimSun" w:eastAsia="SimSun" w:cs="SimSun"/>
                <w:sz w:val="20"/>
                <w:szCs w:val="20"/>
                <w:spacing w:val="6"/>
              </w:rPr>
              <w:t>硝酸盐氮</w:t>
            </w:r>
          </w:p>
        </w:tc>
        <w:tc>
          <w:tcPr>
            <w:tcW w:w="1245" w:type="dxa"/>
            <w:vAlign w:val="top"/>
          </w:tcPr>
          <w:p>
            <w:pPr>
              <w:pStyle w:val="TableText"/>
              <w:ind w:left="459"/>
              <w:spacing w:before="69" w:line="195" w:lineRule="auto"/>
              <w:rPr/>
            </w:pPr>
            <w:r>
              <w:rPr>
                <w:spacing w:val="-2"/>
              </w:rPr>
              <w:t>1.91</w:t>
            </w:r>
          </w:p>
        </w:tc>
        <w:tc>
          <w:tcPr>
            <w:tcW w:w="1245" w:type="dxa"/>
            <w:vAlign w:val="top"/>
          </w:tcPr>
          <w:p>
            <w:pPr>
              <w:pStyle w:val="TableText"/>
              <w:ind w:left="460"/>
              <w:spacing w:before="69" w:line="195" w:lineRule="auto"/>
              <w:rPr/>
            </w:pPr>
            <w:r>
              <w:rPr>
                <w:spacing w:val="-2"/>
              </w:rPr>
              <w:t>1.89</w:t>
            </w:r>
          </w:p>
        </w:tc>
        <w:tc>
          <w:tcPr>
            <w:tcW w:w="1247" w:type="dxa"/>
            <w:vAlign w:val="top"/>
          </w:tcPr>
          <w:p>
            <w:pPr>
              <w:pStyle w:val="TableText"/>
              <w:ind w:left="463"/>
              <w:spacing w:before="69" w:line="195" w:lineRule="auto"/>
              <w:rPr/>
            </w:pPr>
            <w:r>
              <w:rPr>
                <w:spacing w:val="-2"/>
              </w:rPr>
              <w:t>1.86</w:t>
            </w:r>
          </w:p>
        </w:tc>
        <w:tc>
          <w:tcPr>
            <w:tcW w:w="955" w:type="dxa"/>
            <w:vAlign w:val="top"/>
          </w:tcPr>
          <w:p>
            <w:pPr>
              <w:pStyle w:val="TableText"/>
              <w:ind w:left="315"/>
              <w:spacing w:before="69" w:line="195" w:lineRule="auto"/>
              <w:rPr/>
            </w:pPr>
            <w:r>
              <w:rPr>
                <w:spacing w:val="-2"/>
              </w:rPr>
              <w:t>1.89</w:t>
            </w:r>
          </w:p>
        </w:tc>
        <w:tc>
          <w:tcPr>
            <w:tcW w:w="2480" w:type="dxa"/>
            <w:vAlign w:val="top"/>
          </w:tcPr>
          <w:p>
            <w:pPr>
              <w:pStyle w:val="TableText"/>
              <w:ind w:left="1073"/>
              <w:spacing w:before="55" w:line="195" w:lineRule="auto"/>
              <w:rPr/>
            </w:pPr>
            <w:r>
              <w:rPr>
                <w:spacing w:val="5"/>
              </w:rPr>
              <w:t>≤10</w:t>
            </w:r>
          </w:p>
        </w:tc>
      </w:tr>
    </w:tbl>
    <w:p>
      <w:pPr>
        <w:ind w:left="117"/>
        <w:spacing w:before="23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4.2.4  </w:t>
      </w:r>
      <w:r>
        <w:rPr>
          <w:rFonts w:ascii="SimHei" w:hAnsi="SimHei" w:eastAsia="SimHei" w:cs="SimHei"/>
          <w:sz w:val="28"/>
          <w:szCs w:val="28"/>
          <w:b/>
          <w:bCs/>
          <w:spacing w:val="-2"/>
        </w:rPr>
        <w:t>地下水环境质量现状监测与评价</w:t>
      </w:r>
    </w:p>
    <w:p>
      <w:pPr>
        <w:ind w:left="596"/>
        <w:spacing w:before="170" w:line="223" w:lineRule="auto"/>
        <w:rPr>
          <w:rFonts w:ascii="SimHei" w:hAnsi="SimHei" w:eastAsia="SimHei" w:cs="SimHei"/>
          <w:sz w:val="24"/>
          <w:szCs w:val="24"/>
        </w:rPr>
      </w:pPr>
      <w:r>
        <w:rPr>
          <w:rFonts w:ascii="Times New Roman" w:hAnsi="Times New Roman" w:eastAsia="Times New Roman" w:cs="Times New Roman"/>
          <w:sz w:val="24"/>
          <w:szCs w:val="24"/>
          <w:b/>
          <w:bCs/>
          <w:spacing w:val="-2"/>
        </w:rPr>
        <w:t>4.2.4.1  </w:t>
      </w:r>
      <w:r>
        <w:rPr>
          <w:rFonts w:ascii="SimHei" w:hAnsi="SimHei" w:eastAsia="SimHei" w:cs="SimHei"/>
          <w:sz w:val="24"/>
          <w:szCs w:val="24"/>
          <w:b/>
          <w:bCs/>
          <w:spacing w:val="-2"/>
        </w:rPr>
        <w:t>监测布点</w:t>
      </w:r>
    </w:p>
    <w:p>
      <w:pPr>
        <w:ind w:left="119" w:right="117" w:firstLine="480"/>
        <w:spacing w:before="148" w:line="339" w:lineRule="auto"/>
        <w:rPr>
          <w:rFonts w:ascii="SimSun" w:hAnsi="SimSun" w:eastAsia="SimSun" w:cs="SimSun"/>
          <w:sz w:val="24"/>
          <w:szCs w:val="24"/>
        </w:rPr>
      </w:pPr>
      <w:r>
        <w:rPr>
          <w:rFonts w:ascii="SimSun" w:hAnsi="SimSun" w:eastAsia="SimSun" w:cs="SimSun"/>
          <w:sz w:val="24"/>
          <w:szCs w:val="24"/>
          <w:spacing w:val="1"/>
        </w:rPr>
        <w:t>本次地下水监测共设置了</w:t>
      </w:r>
      <w:r>
        <w:rPr>
          <w:rFonts w:ascii="Times New Roman" w:hAnsi="Times New Roman" w:eastAsia="Times New Roman" w:cs="Times New Roman"/>
          <w:sz w:val="24"/>
          <w:szCs w:val="24"/>
          <w:spacing w:val="1"/>
        </w:rPr>
        <w:t>4 </w:t>
      </w:r>
      <w:r>
        <w:rPr>
          <w:rFonts w:ascii="SimSun" w:hAnsi="SimSun" w:eastAsia="SimSun" w:cs="SimSun"/>
          <w:sz w:val="24"/>
          <w:szCs w:val="24"/>
          <w:spacing w:val="1"/>
        </w:rPr>
        <w:t>个地下水水质监测点，</w:t>
      </w:r>
      <w:r>
        <w:rPr>
          <w:rFonts w:ascii="Times New Roman" w:hAnsi="Times New Roman" w:eastAsia="Times New Roman" w:cs="Times New Roman"/>
          <w:sz w:val="24"/>
          <w:szCs w:val="24"/>
          <w:spacing w:val="1"/>
        </w:rPr>
        <w:t>8 </w:t>
      </w:r>
      <w:r>
        <w:rPr>
          <w:rFonts w:ascii="SimSun" w:hAnsi="SimSun" w:eastAsia="SimSun" w:cs="SimSun"/>
          <w:sz w:val="24"/>
          <w:szCs w:val="24"/>
          <w:spacing w:val="1"/>
        </w:rPr>
        <w:t>个地下水水位监测点，监测点</w:t>
      </w:r>
      <w:r>
        <w:rPr>
          <w:rFonts w:ascii="SimSun" w:hAnsi="SimSun" w:eastAsia="SimSun" w:cs="SimSun"/>
          <w:sz w:val="24"/>
          <w:szCs w:val="24"/>
          <w:spacing w:val="-1"/>
        </w:rPr>
        <w:t>位信息表见表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4-2-28 </w:t>
      </w:r>
      <w:r>
        <w:rPr>
          <w:rFonts w:ascii="SimSun" w:hAnsi="SimSun" w:eastAsia="SimSun" w:cs="SimSun"/>
          <w:sz w:val="24"/>
          <w:szCs w:val="24"/>
          <w:spacing w:val="-1"/>
        </w:rPr>
        <w:t>与图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4-2-4</w:t>
      </w:r>
      <w:r>
        <w:rPr>
          <w:rFonts w:ascii="SimSun" w:hAnsi="SimSun" w:eastAsia="SimSun" w:cs="SimSun"/>
          <w:sz w:val="24"/>
          <w:szCs w:val="24"/>
          <w:spacing w:val="-1"/>
        </w:rPr>
        <w:t>。</w:t>
      </w:r>
    </w:p>
    <w:p>
      <w:pPr>
        <w:ind w:left="3450"/>
        <w:spacing w:before="1" w:line="219" w:lineRule="auto"/>
        <w:rPr>
          <w:rFonts w:ascii="SimSun" w:hAnsi="SimSun" w:eastAsia="SimSun" w:cs="SimSun"/>
          <w:sz w:val="24"/>
          <w:szCs w:val="24"/>
        </w:rPr>
      </w:pPr>
      <w:r>
        <w:rPr>
          <w:rFonts w:ascii="SimSun" w:hAnsi="SimSun" w:eastAsia="SimSun" w:cs="SimSun"/>
          <w:sz w:val="24"/>
          <w:szCs w:val="24"/>
          <w:b/>
          <w:bCs/>
          <w:spacing w:val="-3"/>
        </w:rPr>
        <w:t>地下水监测点位信息表</w:t>
      </w:r>
    </w:p>
    <w:p>
      <w:pPr>
        <w:ind w:left="117"/>
        <w:spacing w:before="243" w:line="229"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4-2-28</w:t>
      </w:r>
    </w:p>
    <w:p>
      <w:pPr>
        <w:spacing w:line="39"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9"/>
        <w:gridCol w:w="2814"/>
        <w:gridCol w:w="1307"/>
        <w:gridCol w:w="1307"/>
        <w:gridCol w:w="727"/>
        <w:gridCol w:w="871"/>
        <w:gridCol w:w="727"/>
        <w:gridCol w:w="868"/>
      </w:tblGrid>
      <w:tr>
        <w:trPr>
          <w:trHeight w:val="280" w:hRule="atLeast"/>
        </w:trPr>
        <w:tc>
          <w:tcPr>
            <w:tcW w:w="669" w:type="dxa"/>
            <w:vAlign w:val="top"/>
            <w:vMerge w:val="restart"/>
            <w:tcBorders>
              <w:bottom w:val="nil"/>
            </w:tcBorders>
          </w:tcPr>
          <w:p>
            <w:pPr>
              <w:ind w:left="141"/>
              <w:spacing w:before="36" w:line="229" w:lineRule="auto"/>
              <w:rPr>
                <w:rFonts w:ascii="SimSun" w:hAnsi="SimSun" w:eastAsia="SimSun" w:cs="SimSun"/>
                <w:sz w:val="20"/>
                <w:szCs w:val="20"/>
              </w:rPr>
            </w:pPr>
            <w:r>
              <w:rPr>
                <w:rFonts w:ascii="SimSun" w:hAnsi="SimSun" w:eastAsia="SimSun" w:cs="SimSun"/>
                <w:sz w:val="20"/>
                <w:szCs w:val="20"/>
                <w:spacing w:val="-1"/>
              </w:rPr>
              <w:t>点位</w:t>
            </w:r>
          </w:p>
          <w:p>
            <w:pPr>
              <w:ind w:left="132"/>
              <w:spacing w:before="25" w:line="224" w:lineRule="auto"/>
              <w:rPr>
                <w:rFonts w:ascii="SimSun" w:hAnsi="SimSun" w:eastAsia="SimSun" w:cs="SimSun"/>
                <w:sz w:val="20"/>
                <w:szCs w:val="20"/>
              </w:rPr>
            </w:pPr>
            <w:r>
              <w:rPr>
                <w:rFonts w:ascii="SimSun" w:hAnsi="SimSun" w:eastAsia="SimSun" w:cs="SimSun"/>
                <w:sz w:val="20"/>
                <w:szCs w:val="20"/>
                <w:spacing w:val="3"/>
              </w:rPr>
              <w:t>编号</w:t>
            </w:r>
          </w:p>
        </w:tc>
        <w:tc>
          <w:tcPr>
            <w:tcW w:w="2814" w:type="dxa"/>
            <w:vAlign w:val="top"/>
            <w:vMerge w:val="restart"/>
            <w:tcBorders>
              <w:bottom w:val="nil"/>
            </w:tcBorders>
          </w:tcPr>
          <w:p>
            <w:pPr>
              <w:ind w:left="1201"/>
              <w:spacing w:before="173" w:line="229" w:lineRule="auto"/>
              <w:rPr>
                <w:rFonts w:ascii="SimSun" w:hAnsi="SimSun" w:eastAsia="SimSun" w:cs="SimSun"/>
                <w:sz w:val="20"/>
                <w:szCs w:val="20"/>
              </w:rPr>
            </w:pPr>
            <w:r>
              <w:rPr>
                <w:rFonts w:ascii="SimSun" w:hAnsi="SimSun" w:eastAsia="SimSun" w:cs="SimSun"/>
                <w:sz w:val="20"/>
                <w:szCs w:val="20"/>
                <w:spacing w:val="4"/>
              </w:rPr>
              <w:t>位置</w:t>
            </w:r>
          </w:p>
        </w:tc>
        <w:tc>
          <w:tcPr>
            <w:tcW w:w="2614" w:type="dxa"/>
            <w:vAlign w:val="top"/>
            <w:gridSpan w:val="2"/>
          </w:tcPr>
          <w:p>
            <w:pPr>
              <w:ind w:left="1104"/>
              <w:spacing w:before="33" w:line="218" w:lineRule="auto"/>
              <w:rPr>
                <w:rFonts w:ascii="SimSun" w:hAnsi="SimSun" w:eastAsia="SimSun" w:cs="SimSun"/>
                <w:sz w:val="20"/>
                <w:szCs w:val="20"/>
              </w:rPr>
            </w:pPr>
            <w:r>
              <w:rPr>
                <w:rFonts w:ascii="SimSun" w:hAnsi="SimSun" w:eastAsia="SimSun" w:cs="SimSun"/>
                <w:sz w:val="20"/>
                <w:szCs w:val="20"/>
                <w:spacing w:val="4"/>
              </w:rPr>
              <w:t>坐标</w:t>
            </w:r>
          </w:p>
        </w:tc>
        <w:tc>
          <w:tcPr>
            <w:tcW w:w="727" w:type="dxa"/>
            <w:vAlign w:val="top"/>
            <w:vMerge w:val="restart"/>
            <w:tcBorders>
              <w:bottom w:val="nil"/>
            </w:tcBorders>
          </w:tcPr>
          <w:p>
            <w:pPr>
              <w:ind w:left="160"/>
              <w:spacing w:before="172" w:line="228" w:lineRule="auto"/>
              <w:rPr>
                <w:rFonts w:ascii="SimSun" w:hAnsi="SimSun" w:eastAsia="SimSun" w:cs="SimSun"/>
                <w:sz w:val="20"/>
                <w:szCs w:val="20"/>
              </w:rPr>
            </w:pPr>
            <w:r>
              <w:rPr>
                <w:rFonts w:ascii="SimSun" w:hAnsi="SimSun" w:eastAsia="SimSun" w:cs="SimSun"/>
                <w:sz w:val="20"/>
                <w:szCs w:val="20"/>
                <w:spacing w:val="4"/>
              </w:rPr>
              <w:t>层位</w:t>
            </w:r>
          </w:p>
        </w:tc>
        <w:tc>
          <w:tcPr>
            <w:tcW w:w="871" w:type="dxa"/>
            <w:vAlign w:val="top"/>
            <w:vMerge w:val="restart"/>
            <w:tcBorders>
              <w:bottom w:val="nil"/>
            </w:tcBorders>
          </w:tcPr>
          <w:p>
            <w:pPr>
              <w:pStyle w:val="TableText"/>
              <w:ind w:left="186" w:right="117" w:hanging="57"/>
              <w:spacing w:before="37" w:line="238" w:lineRule="auto"/>
              <w:rPr/>
            </w:pPr>
            <w:r>
              <w:rPr>
                <w:rFonts w:ascii="SimSun" w:hAnsi="SimSun" w:eastAsia="SimSun" w:cs="SimSun"/>
                <w:spacing w:val="6"/>
              </w:rPr>
              <w:t>水位埋</w:t>
            </w:r>
            <w:r>
              <w:rPr>
                <w:rFonts w:ascii="SimSun" w:hAnsi="SimSun" w:eastAsia="SimSun" w:cs="SimSun"/>
                <w:spacing w:val="2"/>
              </w:rPr>
              <w:t>深</w:t>
            </w:r>
            <w:r>
              <w:rPr>
                <w:spacing w:val="2"/>
              </w:rPr>
              <w:t>(m)</w:t>
            </w:r>
          </w:p>
        </w:tc>
        <w:tc>
          <w:tcPr>
            <w:tcW w:w="727" w:type="dxa"/>
            <w:vAlign w:val="top"/>
            <w:vMerge w:val="restart"/>
            <w:tcBorders>
              <w:bottom w:val="nil"/>
            </w:tcBorders>
          </w:tcPr>
          <w:p>
            <w:pPr>
              <w:pStyle w:val="TableText"/>
              <w:ind w:left="218" w:right="153" w:hanging="60"/>
              <w:spacing w:before="52" w:line="245" w:lineRule="auto"/>
              <w:rPr/>
            </w:pPr>
            <w:r>
              <w:rPr>
                <w:rFonts w:ascii="SimSun" w:hAnsi="SimSun" w:eastAsia="SimSun" w:cs="SimSun"/>
                <w:spacing w:val="4"/>
              </w:rPr>
              <w:t>井深</w:t>
            </w:r>
            <w:r>
              <w:rPr>
                <w:spacing w:val="1"/>
              </w:rPr>
              <w:t>(m)</w:t>
            </w:r>
          </w:p>
        </w:tc>
        <w:tc>
          <w:tcPr>
            <w:tcW w:w="868" w:type="dxa"/>
            <w:vAlign w:val="top"/>
            <w:vMerge w:val="restart"/>
            <w:tcBorders>
              <w:bottom w:val="nil"/>
            </w:tcBorders>
          </w:tcPr>
          <w:p>
            <w:pPr>
              <w:pStyle w:val="TableText"/>
              <w:ind w:left="188" w:right="117" w:hanging="63"/>
              <w:spacing w:before="37" w:line="238" w:lineRule="auto"/>
              <w:rPr/>
            </w:pPr>
            <w:r>
              <w:rPr>
                <w:rFonts w:ascii="SimSun" w:hAnsi="SimSun" w:eastAsia="SimSun" w:cs="SimSun"/>
                <w:spacing w:val="6"/>
              </w:rPr>
              <w:t>井口标</w:t>
            </w:r>
            <w:r>
              <w:rPr>
                <w:rFonts w:ascii="SimSun" w:hAnsi="SimSun" w:eastAsia="SimSun" w:cs="SimSun"/>
                <w:spacing w:val="2"/>
              </w:rPr>
              <w:t>高</w:t>
            </w:r>
            <w:r>
              <w:rPr>
                <w:spacing w:val="2"/>
              </w:rPr>
              <w:t>(m)</w:t>
            </w:r>
          </w:p>
        </w:tc>
      </w:tr>
      <w:tr>
        <w:trPr>
          <w:trHeight w:val="278" w:hRule="atLeast"/>
        </w:trPr>
        <w:tc>
          <w:tcPr>
            <w:tcW w:w="669" w:type="dxa"/>
            <w:vAlign w:val="top"/>
            <w:vMerge w:val="continue"/>
            <w:tcBorders>
              <w:top w:val="nil"/>
            </w:tcBorders>
          </w:tcPr>
          <w:p>
            <w:pPr>
              <w:rPr>
                <w:rFonts w:ascii="Arial"/>
                <w:sz w:val="21"/>
              </w:rPr>
            </w:pPr>
            <w:r/>
          </w:p>
        </w:tc>
        <w:tc>
          <w:tcPr>
            <w:tcW w:w="2814" w:type="dxa"/>
            <w:vAlign w:val="top"/>
            <w:vMerge w:val="continue"/>
            <w:tcBorders>
              <w:top w:val="nil"/>
            </w:tcBorders>
          </w:tcPr>
          <w:p>
            <w:pPr>
              <w:rPr>
                <w:rFonts w:ascii="Arial"/>
                <w:sz w:val="21"/>
              </w:rPr>
            </w:pPr>
            <w:r/>
          </w:p>
        </w:tc>
        <w:tc>
          <w:tcPr>
            <w:tcW w:w="1307" w:type="dxa"/>
            <w:vAlign w:val="top"/>
          </w:tcPr>
          <w:p>
            <w:pPr>
              <w:ind w:left="448"/>
              <w:spacing w:before="29" w:line="220" w:lineRule="auto"/>
              <w:rPr>
                <w:rFonts w:ascii="SimSun" w:hAnsi="SimSun" w:eastAsia="SimSun" w:cs="SimSun"/>
                <w:sz w:val="20"/>
                <w:szCs w:val="20"/>
              </w:rPr>
            </w:pPr>
            <w:r>
              <w:rPr>
                <w:rFonts w:ascii="SimSun" w:hAnsi="SimSun" w:eastAsia="SimSun" w:cs="SimSun"/>
                <w:sz w:val="20"/>
                <w:szCs w:val="20"/>
                <w:spacing w:val="3"/>
              </w:rPr>
              <w:t>经度</w:t>
            </w:r>
          </w:p>
        </w:tc>
        <w:tc>
          <w:tcPr>
            <w:tcW w:w="1307" w:type="dxa"/>
            <w:vAlign w:val="top"/>
          </w:tcPr>
          <w:p>
            <w:pPr>
              <w:ind w:left="448"/>
              <w:spacing w:before="29" w:line="220" w:lineRule="auto"/>
              <w:rPr>
                <w:rFonts w:ascii="SimSun" w:hAnsi="SimSun" w:eastAsia="SimSun" w:cs="SimSun"/>
                <w:sz w:val="20"/>
                <w:szCs w:val="20"/>
              </w:rPr>
            </w:pPr>
            <w:r>
              <w:rPr>
                <w:rFonts w:ascii="SimSun" w:hAnsi="SimSun" w:eastAsia="SimSun" w:cs="SimSun"/>
                <w:sz w:val="20"/>
                <w:szCs w:val="20"/>
                <w:spacing w:val="4"/>
              </w:rPr>
              <w:t>纬度</w:t>
            </w:r>
          </w:p>
        </w:tc>
        <w:tc>
          <w:tcPr>
            <w:tcW w:w="727" w:type="dxa"/>
            <w:vAlign w:val="top"/>
            <w:vMerge w:val="continue"/>
            <w:tcBorders>
              <w:top w:val="nil"/>
            </w:tcBorders>
          </w:tcPr>
          <w:p>
            <w:pPr>
              <w:rPr>
                <w:rFonts w:ascii="Arial"/>
                <w:sz w:val="21"/>
              </w:rPr>
            </w:pPr>
            <w:r/>
          </w:p>
        </w:tc>
        <w:tc>
          <w:tcPr>
            <w:tcW w:w="871" w:type="dxa"/>
            <w:vAlign w:val="top"/>
            <w:vMerge w:val="continue"/>
            <w:tcBorders>
              <w:top w:val="nil"/>
            </w:tcBorders>
          </w:tcPr>
          <w:p>
            <w:pPr>
              <w:rPr>
                <w:rFonts w:ascii="Arial"/>
                <w:sz w:val="21"/>
              </w:rPr>
            </w:pPr>
            <w:r/>
          </w:p>
        </w:tc>
        <w:tc>
          <w:tcPr>
            <w:tcW w:w="727" w:type="dxa"/>
            <w:vAlign w:val="top"/>
            <w:vMerge w:val="continue"/>
            <w:tcBorders>
              <w:top w:val="nil"/>
            </w:tcBorders>
          </w:tcPr>
          <w:p>
            <w:pPr>
              <w:rPr>
                <w:rFonts w:ascii="Arial"/>
                <w:sz w:val="21"/>
              </w:rPr>
            </w:pPr>
            <w:r/>
          </w:p>
        </w:tc>
        <w:tc>
          <w:tcPr>
            <w:tcW w:w="868" w:type="dxa"/>
            <w:vAlign w:val="top"/>
            <w:vMerge w:val="continue"/>
            <w:tcBorders>
              <w:top w:val="nil"/>
            </w:tcBorders>
          </w:tcPr>
          <w:p>
            <w:pPr>
              <w:rPr>
                <w:rFonts w:ascii="Arial"/>
                <w:sz w:val="21"/>
              </w:rPr>
            </w:pPr>
            <w:r/>
          </w:p>
        </w:tc>
      </w:tr>
      <w:tr>
        <w:trPr>
          <w:trHeight w:val="278" w:hRule="atLeast"/>
        </w:trPr>
        <w:tc>
          <w:tcPr>
            <w:tcW w:w="669" w:type="dxa"/>
            <w:vAlign w:val="top"/>
          </w:tcPr>
          <w:p>
            <w:pPr>
              <w:pStyle w:val="TableText"/>
              <w:ind w:left="204"/>
              <w:spacing w:before="65" w:line="195" w:lineRule="auto"/>
              <w:rPr/>
            </w:pPr>
            <w:r>
              <w:rPr>
                <w:spacing w:val="3"/>
              </w:rPr>
              <w:t>D1</w:t>
            </w:r>
          </w:p>
        </w:tc>
        <w:tc>
          <w:tcPr>
            <w:tcW w:w="2814" w:type="dxa"/>
            <w:vAlign w:val="top"/>
          </w:tcPr>
          <w:p>
            <w:pPr>
              <w:ind w:left="275"/>
              <w:spacing w:before="29" w:line="220" w:lineRule="auto"/>
              <w:rPr>
                <w:rFonts w:ascii="SimSun" w:hAnsi="SimSun" w:eastAsia="SimSun" w:cs="SimSun"/>
                <w:sz w:val="20"/>
                <w:szCs w:val="20"/>
              </w:rPr>
            </w:pPr>
            <w:r>
              <w:rPr>
                <w:rFonts w:ascii="SimSun" w:hAnsi="SimSun" w:eastAsia="SimSun" w:cs="SimSun"/>
                <w:sz w:val="20"/>
                <w:szCs w:val="20"/>
                <w:spacing w:val="7"/>
              </w:rPr>
              <w:t>四号露天矿总部南水源井</w:t>
            </w:r>
          </w:p>
        </w:tc>
        <w:tc>
          <w:tcPr>
            <w:tcW w:w="1307" w:type="dxa"/>
            <w:vAlign w:val="top"/>
          </w:tcPr>
          <w:p>
            <w:pPr>
              <w:pStyle w:val="TableText"/>
              <w:ind w:left="282"/>
              <w:spacing w:before="65" w:line="195" w:lineRule="auto"/>
              <w:rPr/>
            </w:pPr>
            <w:r>
              <w:rPr>
                <w:spacing w:val="1"/>
              </w:rPr>
              <w:t>118.6653</w:t>
            </w:r>
          </w:p>
        </w:tc>
        <w:tc>
          <w:tcPr>
            <w:tcW w:w="1307" w:type="dxa"/>
            <w:vAlign w:val="top"/>
          </w:tcPr>
          <w:p>
            <w:pPr>
              <w:pStyle w:val="TableText"/>
              <w:ind w:left="310"/>
              <w:spacing w:before="65" w:line="195" w:lineRule="auto"/>
              <w:rPr/>
            </w:pPr>
            <w:r>
              <w:rPr>
                <w:spacing w:val="4"/>
              </w:rPr>
              <w:t>44.9286</w:t>
            </w:r>
          </w:p>
        </w:tc>
        <w:tc>
          <w:tcPr>
            <w:tcW w:w="727" w:type="dxa"/>
            <w:vAlign w:val="top"/>
          </w:tcPr>
          <w:p>
            <w:pPr>
              <w:pStyle w:val="TableText"/>
              <w:ind w:left="291"/>
              <w:spacing w:before="65" w:line="197" w:lineRule="auto"/>
              <w:rPr/>
            </w:pPr>
            <w:r>
              <w:rPr/>
              <w:t>Q</w:t>
            </w:r>
          </w:p>
        </w:tc>
        <w:tc>
          <w:tcPr>
            <w:tcW w:w="871" w:type="dxa"/>
            <w:vAlign w:val="top"/>
          </w:tcPr>
          <w:p>
            <w:pPr>
              <w:pStyle w:val="TableText"/>
              <w:ind w:left="338"/>
              <w:spacing w:before="65" w:line="195" w:lineRule="auto"/>
              <w:rPr/>
            </w:pPr>
            <w:r>
              <w:rPr/>
              <w:t>31</w:t>
            </w:r>
          </w:p>
        </w:tc>
        <w:tc>
          <w:tcPr>
            <w:tcW w:w="727" w:type="dxa"/>
            <w:vAlign w:val="top"/>
          </w:tcPr>
          <w:p>
            <w:pPr>
              <w:pStyle w:val="TableText"/>
              <w:ind w:left="271"/>
              <w:spacing w:before="65" w:line="195" w:lineRule="auto"/>
              <w:rPr/>
            </w:pPr>
            <w:r>
              <w:rPr>
                <w:spacing w:val="-2"/>
              </w:rPr>
              <w:t>80</w:t>
            </w:r>
          </w:p>
        </w:tc>
        <w:tc>
          <w:tcPr>
            <w:tcW w:w="868" w:type="dxa"/>
            <w:vAlign w:val="top"/>
          </w:tcPr>
          <w:p>
            <w:pPr>
              <w:pStyle w:val="TableText"/>
              <w:ind w:left="244"/>
              <w:spacing w:before="65" w:line="195" w:lineRule="auto"/>
              <w:rPr/>
            </w:pPr>
            <w:r>
              <w:rPr>
                <w:spacing w:val="-1"/>
              </w:rPr>
              <w:t>1054</w:t>
            </w:r>
          </w:p>
        </w:tc>
      </w:tr>
      <w:tr>
        <w:trPr>
          <w:trHeight w:val="275" w:hRule="atLeast"/>
        </w:trPr>
        <w:tc>
          <w:tcPr>
            <w:tcW w:w="669" w:type="dxa"/>
            <w:vAlign w:val="top"/>
          </w:tcPr>
          <w:p>
            <w:pPr>
              <w:pStyle w:val="TableText"/>
              <w:ind w:left="204"/>
              <w:spacing w:before="63" w:line="195" w:lineRule="auto"/>
              <w:rPr/>
            </w:pPr>
            <w:r>
              <w:rPr>
                <w:spacing w:val="3"/>
              </w:rPr>
              <w:t>D2</w:t>
            </w:r>
          </w:p>
        </w:tc>
        <w:tc>
          <w:tcPr>
            <w:tcW w:w="2814" w:type="dxa"/>
            <w:vAlign w:val="top"/>
          </w:tcPr>
          <w:p>
            <w:pPr>
              <w:ind w:left="484"/>
              <w:spacing w:before="27" w:line="219" w:lineRule="auto"/>
              <w:rPr>
                <w:rFonts w:ascii="SimSun" w:hAnsi="SimSun" w:eastAsia="SimSun" w:cs="SimSun"/>
                <w:sz w:val="20"/>
                <w:szCs w:val="20"/>
              </w:rPr>
            </w:pPr>
            <w:r>
              <w:rPr>
                <w:rFonts w:ascii="SimSun" w:hAnsi="SimSun" w:eastAsia="SimSun" w:cs="SimSun"/>
                <w:sz w:val="20"/>
                <w:szCs w:val="20"/>
                <w:spacing w:val="6"/>
              </w:rPr>
              <w:t>四号露天矿加油站东</w:t>
            </w:r>
          </w:p>
        </w:tc>
        <w:tc>
          <w:tcPr>
            <w:tcW w:w="1307" w:type="dxa"/>
            <w:vAlign w:val="top"/>
          </w:tcPr>
          <w:p>
            <w:pPr>
              <w:pStyle w:val="TableText"/>
              <w:ind w:left="282"/>
              <w:spacing w:before="63" w:line="195" w:lineRule="auto"/>
              <w:rPr/>
            </w:pPr>
            <w:r>
              <w:rPr>
                <w:spacing w:val="1"/>
              </w:rPr>
              <w:t>118.6905</w:t>
            </w:r>
          </w:p>
        </w:tc>
        <w:tc>
          <w:tcPr>
            <w:tcW w:w="1307" w:type="dxa"/>
            <w:vAlign w:val="top"/>
          </w:tcPr>
          <w:p>
            <w:pPr>
              <w:pStyle w:val="TableText"/>
              <w:ind w:left="310"/>
              <w:spacing w:before="63" w:line="195" w:lineRule="auto"/>
              <w:rPr/>
            </w:pPr>
            <w:r>
              <w:rPr>
                <w:spacing w:val="4"/>
              </w:rPr>
              <w:t>44.9410</w:t>
            </w:r>
          </w:p>
        </w:tc>
        <w:tc>
          <w:tcPr>
            <w:tcW w:w="727" w:type="dxa"/>
            <w:vAlign w:val="top"/>
          </w:tcPr>
          <w:p>
            <w:pPr>
              <w:pStyle w:val="TableText"/>
              <w:ind w:left="291"/>
              <w:spacing w:before="63" w:line="197" w:lineRule="auto"/>
              <w:rPr/>
            </w:pPr>
            <w:r>
              <w:rPr/>
              <w:t>Q</w:t>
            </w:r>
          </w:p>
        </w:tc>
        <w:tc>
          <w:tcPr>
            <w:tcW w:w="871" w:type="dxa"/>
            <w:vAlign w:val="top"/>
          </w:tcPr>
          <w:p>
            <w:pPr>
              <w:pStyle w:val="TableText"/>
              <w:ind w:left="333"/>
              <w:spacing w:before="63" w:line="195" w:lineRule="auto"/>
              <w:rPr/>
            </w:pPr>
            <w:r>
              <w:rPr>
                <w:spacing w:val="3"/>
              </w:rPr>
              <w:t>40</w:t>
            </w:r>
          </w:p>
        </w:tc>
        <w:tc>
          <w:tcPr>
            <w:tcW w:w="727" w:type="dxa"/>
            <w:vAlign w:val="top"/>
          </w:tcPr>
          <w:p>
            <w:pPr>
              <w:pStyle w:val="TableText"/>
              <w:ind w:left="230"/>
              <w:spacing w:before="63" w:line="195" w:lineRule="auto"/>
              <w:rPr/>
            </w:pPr>
            <w:r>
              <w:rPr>
                <w:spacing w:val="-3"/>
              </w:rPr>
              <w:t>100</w:t>
            </w:r>
          </w:p>
        </w:tc>
        <w:tc>
          <w:tcPr>
            <w:tcW w:w="868" w:type="dxa"/>
            <w:vAlign w:val="top"/>
          </w:tcPr>
          <w:p>
            <w:pPr>
              <w:pStyle w:val="TableText"/>
              <w:ind w:left="244"/>
              <w:spacing w:before="63" w:line="195" w:lineRule="auto"/>
              <w:rPr/>
            </w:pPr>
            <w:r>
              <w:rPr>
                <w:spacing w:val="-1"/>
              </w:rPr>
              <w:t>1047</w:t>
            </w:r>
          </w:p>
        </w:tc>
      </w:tr>
      <w:tr>
        <w:trPr>
          <w:trHeight w:val="548" w:hRule="atLeast"/>
        </w:trPr>
        <w:tc>
          <w:tcPr>
            <w:tcW w:w="669" w:type="dxa"/>
            <w:vAlign w:val="top"/>
          </w:tcPr>
          <w:p>
            <w:pPr>
              <w:pStyle w:val="TableText"/>
              <w:ind w:left="204"/>
              <w:spacing w:before="203" w:line="195" w:lineRule="auto"/>
              <w:rPr/>
            </w:pPr>
            <w:r>
              <w:rPr>
                <w:spacing w:val="3"/>
              </w:rPr>
              <w:t>D3</w:t>
            </w:r>
          </w:p>
        </w:tc>
        <w:tc>
          <w:tcPr>
            <w:tcW w:w="2814" w:type="dxa"/>
            <w:vAlign w:val="top"/>
          </w:tcPr>
          <w:p>
            <w:pPr>
              <w:ind w:left="169"/>
              <w:spacing w:before="30" w:line="228" w:lineRule="auto"/>
              <w:rPr>
                <w:rFonts w:ascii="SimSun" w:hAnsi="SimSun" w:eastAsia="SimSun" w:cs="SimSun"/>
                <w:sz w:val="20"/>
                <w:szCs w:val="20"/>
              </w:rPr>
            </w:pPr>
            <w:r>
              <w:rPr>
                <w:rFonts w:ascii="SimSun" w:hAnsi="SimSun" w:eastAsia="SimSun" w:cs="SimSun"/>
                <w:sz w:val="20"/>
                <w:szCs w:val="20"/>
                <w:spacing w:val="7"/>
              </w:rPr>
              <w:t>四号露天矿内排土场西处水</w:t>
            </w:r>
          </w:p>
          <w:p>
            <w:pPr>
              <w:ind w:left="1200"/>
              <w:spacing w:before="26" w:line="216" w:lineRule="auto"/>
              <w:rPr>
                <w:rFonts w:ascii="SimSun" w:hAnsi="SimSun" w:eastAsia="SimSun" w:cs="SimSun"/>
                <w:sz w:val="20"/>
                <w:szCs w:val="20"/>
              </w:rPr>
            </w:pPr>
            <w:r>
              <w:rPr>
                <w:rFonts w:ascii="SimSun" w:hAnsi="SimSun" w:eastAsia="SimSun" w:cs="SimSun"/>
                <w:sz w:val="20"/>
                <w:szCs w:val="20"/>
                <w:spacing w:val="5"/>
              </w:rPr>
              <w:t>源井</w:t>
            </w:r>
          </w:p>
        </w:tc>
        <w:tc>
          <w:tcPr>
            <w:tcW w:w="1307" w:type="dxa"/>
            <w:vAlign w:val="top"/>
          </w:tcPr>
          <w:p>
            <w:pPr>
              <w:pStyle w:val="TableText"/>
              <w:ind w:left="282"/>
              <w:spacing w:before="203" w:line="195" w:lineRule="auto"/>
              <w:rPr/>
            </w:pPr>
            <w:r>
              <w:rPr>
                <w:spacing w:val="1"/>
              </w:rPr>
              <w:t>118.6644</w:t>
            </w:r>
          </w:p>
        </w:tc>
        <w:tc>
          <w:tcPr>
            <w:tcW w:w="1307" w:type="dxa"/>
            <w:vAlign w:val="top"/>
          </w:tcPr>
          <w:p>
            <w:pPr>
              <w:pStyle w:val="TableText"/>
              <w:ind w:left="310"/>
              <w:spacing w:before="203" w:line="195" w:lineRule="auto"/>
              <w:rPr/>
            </w:pPr>
            <w:r>
              <w:rPr>
                <w:spacing w:val="4"/>
              </w:rPr>
              <w:t>44.9590</w:t>
            </w:r>
          </w:p>
        </w:tc>
        <w:tc>
          <w:tcPr>
            <w:tcW w:w="727" w:type="dxa"/>
            <w:vAlign w:val="top"/>
          </w:tcPr>
          <w:p>
            <w:pPr>
              <w:pStyle w:val="TableText"/>
              <w:ind w:left="291"/>
              <w:spacing w:before="203" w:line="197" w:lineRule="auto"/>
              <w:rPr/>
            </w:pPr>
            <w:r>
              <w:rPr/>
              <w:t>Q</w:t>
            </w:r>
          </w:p>
        </w:tc>
        <w:tc>
          <w:tcPr>
            <w:tcW w:w="871" w:type="dxa"/>
            <w:vAlign w:val="top"/>
          </w:tcPr>
          <w:p>
            <w:pPr>
              <w:pStyle w:val="TableText"/>
              <w:ind w:left="338"/>
              <w:spacing w:before="203" w:line="195" w:lineRule="auto"/>
              <w:rPr/>
            </w:pPr>
            <w:r>
              <w:rPr/>
              <w:t>35</w:t>
            </w:r>
          </w:p>
        </w:tc>
        <w:tc>
          <w:tcPr>
            <w:tcW w:w="727" w:type="dxa"/>
            <w:vAlign w:val="top"/>
          </w:tcPr>
          <w:p>
            <w:pPr>
              <w:pStyle w:val="TableText"/>
              <w:ind w:left="267"/>
              <w:spacing w:before="203" w:line="195" w:lineRule="auto"/>
              <w:rPr/>
            </w:pPr>
            <w:r>
              <w:rPr/>
              <w:t>60</w:t>
            </w:r>
          </w:p>
        </w:tc>
        <w:tc>
          <w:tcPr>
            <w:tcW w:w="868" w:type="dxa"/>
            <w:vAlign w:val="top"/>
          </w:tcPr>
          <w:p>
            <w:pPr>
              <w:pStyle w:val="TableText"/>
              <w:ind w:left="244"/>
              <w:spacing w:before="203" w:line="195" w:lineRule="auto"/>
              <w:rPr/>
            </w:pPr>
            <w:r>
              <w:rPr>
                <w:spacing w:val="-1"/>
              </w:rPr>
              <w:t>1051</w:t>
            </w:r>
          </w:p>
        </w:tc>
      </w:tr>
      <w:tr>
        <w:trPr>
          <w:trHeight w:val="278" w:hRule="atLeast"/>
        </w:trPr>
        <w:tc>
          <w:tcPr>
            <w:tcW w:w="669" w:type="dxa"/>
            <w:vAlign w:val="top"/>
          </w:tcPr>
          <w:p>
            <w:pPr>
              <w:pStyle w:val="TableText"/>
              <w:ind w:left="204"/>
              <w:spacing w:before="68" w:line="195" w:lineRule="auto"/>
              <w:rPr/>
            </w:pPr>
            <w:r>
              <w:rPr>
                <w:spacing w:val="3"/>
              </w:rPr>
              <w:t>D4</w:t>
            </w:r>
          </w:p>
        </w:tc>
        <w:tc>
          <w:tcPr>
            <w:tcW w:w="2814" w:type="dxa"/>
            <w:vAlign w:val="top"/>
          </w:tcPr>
          <w:p>
            <w:pPr>
              <w:ind w:left="484"/>
              <w:spacing w:before="31" w:line="218" w:lineRule="auto"/>
              <w:rPr>
                <w:rFonts w:ascii="SimSun" w:hAnsi="SimSun" w:eastAsia="SimSun" w:cs="SimSun"/>
                <w:sz w:val="20"/>
                <w:szCs w:val="20"/>
              </w:rPr>
            </w:pPr>
            <w:r>
              <w:rPr>
                <w:rFonts w:ascii="SimSun" w:hAnsi="SimSun" w:eastAsia="SimSun" w:cs="SimSun"/>
                <w:sz w:val="20"/>
                <w:szCs w:val="20"/>
                <w:spacing w:val="6"/>
              </w:rPr>
              <w:t>四号露天矿南水源井</w:t>
            </w:r>
          </w:p>
        </w:tc>
        <w:tc>
          <w:tcPr>
            <w:tcW w:w="1307" w:type="dxa"/>
            <w:vAlign w:val="top"/>
          </w:tcPr>
          <w:p>
            <w:pPr>
              <w:pStyle w:val="TableText"/>
              <w:ind w:left="282"/>
              <w:spacing w:before="68" w:line="195" w:lineRule="auto"/>
              <w:rPr/>
            </w:pPr>
            <w:r>
              <w:rPr>
                <w:spacing w:val="1"/>
              </w:rPr>
              <w:t>118.6314</w:t>
            </w:r>
          </w:p>
        </w:tc>
        <w:tc>
          <w:tcPr>
            <w:tcW w:w="1307" w:type="dxa"/>
            <w:vAlign w:val="top"/>
          </w:tcPr>
          <w:p>
            <w:pPr>
              <w:pStyle w:val="TableText"/>
              <w:ind w:left="310"/>
              <w:spacing w:before="68" w:line="195" w:lineRule="auto"/>
              <w:rPr/>
            </w:pPr>
            <w:r>
              <w:rPr>
                <w:spacing w:val="4"/>
              </w:rPr>
              <w:t>44.9346</w:t>
            </w:r>
          </w:p>
        </w:tc>
        <w:tc>
          <w:tcPr>
            <w:tcW w:w="727" w:type="dxa"/>
            <w:vAlign w:val="top"/>
          </w:tcPr>
          <w:p>
            <w:pPr>
              <w:pStyle w:val="TableText"/>
              <w:ind w:left="291"/>
              <w:spacing w:before="67" w:line="197" w:lineRule="auto"/>
              <w:rPr/>
            </w:pPr>
            <w:r>
              <w:rPr/>
              <w:t>Q</w:t>
            </w:r>
          </w:p>
        </w:tc>
        <w:tc>
          <w:tcPr>
            <w:tcW w:w="871" w:type="dxa"/>
            <w:vAlign w:val="top"/>
          </w:tcPr>
          <w:p>
            <w:pPr>
              <w:pStyle w:val="TableText"/>
              <w:ind w:left="338"/>
              <w:spacing w:before="68" w:line="195" w:lineRule="auto"/>
              <w:rPr/>
            </w:pPr>
            <w:r>
              <w:rPr/>
              <w:t>34</w:t>
            </w:r>
          </w:p>
        </w:tc>
        <w:tc>
          <w:tcPr>
            <w:tcW w:w="727" w:type="dxa"/>
            <w:vAlign w:val="top"/>
          </w:tcPr>
          <w:p>
            <w:pPr>
              <w:pStyle w:val="TableText"/>
              <w:ind w:left="267"/>
              <w:spacing w:before="68" w:line="195" w:lineRule="auto"/>
              <w:rPr/>
            </w:pPr>
            <w:r>
              <w:rPr/>
              <w:t>60</w:t>
            </w:r>
          </w:p>
        </w:tc>
        <w:tc>
          <w:tcPr>
            <w:tcW w:w="868" w:type="dxa"/>
            <w:vAlign w:val="top"/>
          </w:tcPr>
          <w:p>
            <w:pPr>
              <w:pStyle w:val="TableText"/>
              <w:ind w:left="244"/>
              <w:spacing w:before="68" w:line="195" w:lineRule="auto"/>
              <w:rPr/>
            </w:pPr>
            <w:r>
              <w:rPr>
                <w:spacing w:val="-1"/>
              </w:rPr>
              <w:t>1050</w:t>
            </w:r>
          </w:p>
        </w:tc>
      </w:tr>
      <w:tr>
        <w:trPr>
          <w:trHeight w:val="548" w:hRule="atLeast"/>
        </w:trPr>
        <w:tc>
          <w:tcPr>
            <w:tcW w:w="669" w:type="dxa"/>
            <w:vAlign w:val="top"/>
          </w:tcPr>
          <w:p>
            <w:pPr>
              <w:pStyle w:val="TableText"/>
              <w:ind w:left="204"/>
              <w:spacing w:before="208" w:line="192" w:lineRule="auto"/>
              <w:rPr/>
            </w:pPr>
            <w:r>
              <w:rPr>
                <w:spacing w:val="3"/>
              </w:rPr>
              <w:t>D5</w:t>
            </w:r>
          </w:p>
        </w:tc>
        <w:tc>
          <w:tcPr>
            <w:tcW w:w="2814" w:type="dxa"/>
            <w:vAlign w:val="top"/>
          </w:tcPr>
          <w:p>
            <w:pPr>
              <w:ind w:left="169"/>
              <w:spacing w:before="32" w:line="228" w:lineRule="auto"/>
              <w:rPr>
                <w:rFonts w:ascii="SimSun" w:hAnsi="SimSun" w:eastAsia="SimSun" w:cs="SimSun"/>
                <w:sz w:val="20"/>
                <w:szCs w:val="20"/>
              </w:rPr>
            </w:pPr>
            <w:r>
              <w:rPr>
                <w:rFonts w:ascii="SimSun" w:hAnsi="SimSun" w:eastAsia="SimSun" w:cs="SimSun"/>
                <w:sz w:val="20"/>
                <w:szCs w:val="20"/>
                <w:spacing w:val="7"/>
              </w:rPr>
              <w:t>四号露天矿井工矿范围内水</w:t>
            </w:r>
          </w:p>
          <w:p>
            <w:pPr>
              <w:ind w:left="1200"/>
              <w:spacing w:before="24" w:line="216" w:lineRule="auto"/>
              <w:rPr>
                <w:rFonts w:ascii="SimSun" w:hAnsi="SimSun" w:eastAsia="SimSun" w:cs="SimSun"/>
                <w:sz w:val="20"/>
                <w:szCs w:val="20"/>
              </w:rPr>
            </w:pPr>
            <w:r>
              <w:rPr>
                <w:rFonts w:ascii="SimSun" w:hAnsi="SimSun" w:eastAsia="SimSun" w:cs="SimSun"/>
                <w:sz w:val="20"/>
                <w:szCs w:val="20"/>
                <w:spacing w:val="5"/>
              </w:rPr>
              <w:t>源井</w:t>
            </w:r>
          </w:p>
        </w:tc>
        <w:tc>
          <w:tcPr>
            <w:tcW w:w="1307" w:type="dxa"/>
            <w:vAlign w:val="top"/>
          </w:tcPr>
          <w:p>
            <w:pPr>
              <w:pStyle w:val="TableText"/>
              <w:ind w:left="282"/>
              <w:spacing w:before="205" w:line="195" w:lineRule="auto"/>
              <w:rPr/>
            </w:pPr>
            <w:r>
              <w:rPr>
                <w:spacing w:val="1"/>
              </w:rPr>
              <w:t>118.6366</w:t>
            </w:r>
          </w:p>
        </w:tc>
        <w:tc>
          <w:tcPr>
            <w:tcW w:w="1307" w:type="dxa"/>
            <w:vAlign w:val="top"/>
          </w:tcPr>
          <w:p>
            <w:pPr>
              <w:pStyle w:val="TableText"/>
              <w:ind w:left="310"/>
              <w:spacing w:before="205" w:line="195" w:lineRule="auto"/>
              <w:rPr/>
            </w:pPr>
            <w:r>
              <w:rPr>
                <w:spacing w:val="4"/>
              </w:rPr>
              <w:t>44.9747</w:t>
            </w:r>
          </w:p>
        </w:tc>
        <w:tc>
          <w:tcPr>
            <w:tcW w:w="727" w:type="dxa"/>
            <w:vAlign w:val="top"/>
          </w:tcPr>
          <w:p>
            <w:pPr>
              <w:pStyle w:val="TableText"/>
              <w:ind w:left="291"/>
              <w:spacing w:before="204" w:line="197" w:lineRule="auto"/>
              <w:rPr/>
            </w:pPr>
            <w:r>
              <w:rPr/>
              <w:t>Q</w:t>
            </w:r>
          </w:p>
        </w:tc>
        <w:tc>
          <w:tcPr>
            <w:tcW w:w="871" w:type="dxa"/>
            <w:vAlign w:val="top"/>
          </w:tcPr>
          <w:p>
            <w:pPr>
              <w:pStyle w:val="TableText"/>
              <w:ind w:left="338"/>
              <w:spacing w:before="205" w:line="195" w:lineRule="auto"/>
              <w:rPr/>
            </w:pPr>
            <w:r>
              <w:rPr/>
              <w:t>36</w:t>
            </w:r>
          </w:p>
        </w:tc>
        <w:tc>
          <w:tcPr>
            <w:tcW w:w="727" w:type="dxa"/>
            <w:vAlign w:val="top"/>
          </w:tcPr>
          <w:p>
            <w:pPr>
              <w:pStyle w:val="TableText"/>
              <w:ind w:left="271"/>
              <w:spacing w:before="205" w:line="195" w:lineRule="auto"/>
              <w:rPr/>
            </w:pPr>
            <w:r>
              <w:rPr>
                <w:spacing w:val="-2"/>
              </w:rPr>
              <w:t>80</w:t>
            </w:r>
          </w:p>
        </w:tc>
        <w:tc>
          <w:tcPr>
            <w:tcW w:w="868" w:type="dxa"/>
            <w:vAlign w:val="top"/>
          </w:tcPr>
          <w:p>
            <w:pPr>
              <w:pStyle w:val="TableText"/>
              <w:ind w:left="244"/>
              <w:spacing w:before="205" w:line="195" w:lineRule="auto"/>
              <w:rPr/>
            </w:pPr>
            <w:r>
              <w:rPr>
                <w:spacing w:val="-1"/>
              </w:rPr>
              <w:t>1053</w:t>
            </w:r>
          </w:p>
        </w:tc>
      </w:tr>
      <w:tr>
        <w:trPr>
          <w:trHeight w:val="278" w:hRule="atLeast"/>
        </w:trPr>
        <w:tc>
          <w:tcPr>
            <w:tcW w:w="669" w:type="dxa"/>
            <w:vAlign w:val="top"/>
          </w:tcPr>
          <w:p>
            <w:pPr>
              <w:pStyle w:val="TableText"/>
              <w:ind w:left="204"/>
              <w:spacing w:before="69" w:line="195" w:lineRule="auto"/>
              <w:rPr/>
            </w:pPr>
            <w:r>
              <w:rPr>
                <w:spacing w:val="3"/>
              </w:rPr>
              <w:t>D6</w:t>
            </w:r>
          </w:p>
        </w:tc>
        <w:tc>
          <w:tcPr>
            <w:tcW w:w="2814" w:type="dxa"/>
            <w:vAlign w:val="top"/>
          </w:tcPr>
          <w:p>
            <w:pPr>
              <w:ind w:left="275"/>
              <w:spacing w:before="33" w:line="216" w:lineRule="auto"/>
              <w:rPr>
                <w:rFonts w:ascii="SimSun" w:hAnsi="SimSun" w:eastAsia="SimSun" w:cs="SimSun"/>
                <w:sz w:val="20"/>
                <w:szCs w:val="20"/>
              </w:rPr>
            </w:pPr>
            <w:r>
              <w:rPr>
                <w:rFonts w:ascii="SimSun" w:hAnsi="SimSun" w:eastAsia="SimSun" w:cs="SimSun"/>
                <w:sz w:val="20"/>
                <w:szCs w:val="20"/>
                <w:spacing w:val="7"/>
              </w:rPr>
              <w:t>四号露天矿边界东水源井</w:t>
            </w:r>
          </w:p>
        </w:tc>
        <w:tc>
          <w:tcPr>
            <w:tcW w:w="1307" w:type="dxa"/>
            <w:vAlign w:val="top"/>
          </w:tcPr>
          <w:p>
            <w:pPr>
              <w:pStyle w:val="TableText"/>
              <w:ind w:left="282"/>
              <w:spacing w:before="69" w:line="195" w:lineRule="auto"/>
              <w:rPr/>
            </w:pPr>
            <w:r>
              <w:rPr>
                <w:spacing w:val="1"/>
              </w:rPr>
              <w:t>118.6825</w:t>
            </w:r>
          </w:p>
        </w:tc>
        <w:tc>
          <w:tcPr>
            <w:tcW w:w="1307" w:type="dxa"/>
            <w:vAlign w:val="top"/>
          </w:tcPr>
          <w:p>
            <w:pPr>
              <w:pStyle w:val="TableText"/>
              <w:ind w:left="310"/>
              <w:spacing w:before="69" w:line="195" w:lineRule="auto"/>
              <w:rPr/>
            </w:pPr>
            <w:r>
              <w:rPr>
                <w:spacing w:val="4"/>
              </w:rPr>
              <w:t>44.9808</w:t>
            </w:r>
          </w:p>
        </w:tc>
        <w:tc>
          <w:tcPr>
            <w:tcW w:w="727" w:type="dxa"/>
            <w:vAlign w:val="top"/>
          </w:tcPr>
          <w:p>
            <w:pPr>
              <w:pStyle w:val="TableText"/>
              <w:ind w:left="291"/>
              <w:spacing w:before="69" w:line="197" w:lineRule="auto"/>
              <w:rPr/>
            </w:pPr>
            <w:r>
              <w:rPr/>
              <w:t>Q</w:t>
            </w:r>
          </w:p>
        </w:tc>
        <w:tc>
          <w:tcPr>
            <w:tcW w:w="871" w:type="dxa"/>
            <w:vAlign w:val="top"/>
          </w:tcPr>
          <w:p>
            <w:pPr>
              <w:pStyle w:val="TableText"/>
              <w:ind w:left="334"/>
              <w:spacing w:before="69" w:line="195" w:lineRule="auto"/>
              <w:rPr/>
            </w:pPr>
            <w:r>
              <w:rPr>
                <w:spacing w:val="2"/>
              </w:rPr>
              <w:t>28</w:t>
            </w:r>
          </w:p>
        </w:tc>
        <w:tc>
          <w:tcPr>
            <w:tcW w:w="727" w:type="dxa"/>
            <w:vAlign w:val="top"/>
          </w:tcPr>
          <w:p>
            <w:pPr>
              <w:pStyle w:val="TableText"/>
              <w:ind w:left="271"/>
              <w:spacing w:before="69" w:line="195" w:lineRule="auto"/>
              <w:rPr/>
            </w:pPr>
            <w:r>
              <w:rPr>
                <w:spacing w:val="-2"/>
              </w:rPr>
              <w:t>80</w:t>
            </w:r>
          </w:p>
        </w:tc>
        <w:tc>
          <w:tcPr>
            <w:tcW w:w="868" w:type="dxa"/>
            <w:vAlign w:val="top"/>
          </w:tcPr>
          <w:p>
            <w:pPr>
              <w:pStyle w:val="TableText"/>
              <w:ind w:left="281"/>
              <w:spacing w:before="69" w:line="195" w:lineRule="auto"/>
              <w:rPr/>
            </w:pPr>
            <w:r>
              <w:rPr>
                <w:spacing w:val="2"/>
              </w:rPr>
              <w:t>977</w:t>
            </w:r>
          </w:p>
        </w:tc>
      </w:tr>
      <w:tr>
        <w:trPr>
          <w:trHeight w:val="278" w:hRule="atLeast"/>
        </w:trPr>
        <w:tc>
          <w:tcPr>
            <w:tcW w:w="669" w:type="dxa"/>
            <w:vAlign w:val="top"/>
          </w:tcPr>
          <w:p>
            <w:pPr>
              <w:pStyle w:val="TableText"/>
              <w:ind w:left="204"/>
              <w:spacing w:before="72" w:line="192" w:lineRule="auto"/>
              <w:rPr/>
            </w:pPr>
            <w:r>
              <w:rPr>
                <w:spacing w:val="3"/>
              </w:rPr>
              <w:t>D7</w:t>
            </w:r>
          </w:p>
        </w:tc>
        <w:tc>
          <w:tcPr>
            <w:tcW w:w="2814" w:type="dxa"/>
            <w:vAlign w:val="top"/>
          </w:tcPr>
          <w:p>
            <w:pPr>
              <w:ind w:left="275"/>
              <w:spacing w:before="33" w:line="216" w:lineRule="auto"/>
              <w:rPr>
                <w:rFonts w:ascii="SimSun" w:hAnsi="SimSun" w:eastAsia="SimSun" w:cs="SimSun"/>
                <w:sz w:val="20"/>
                <w:szCs w:val="20"/>
              </w:rPr>
            </w:pPr>
            <w:r>
              <w:rPr>
                <w:rFonts w:ascii="SimSun" w:hAnsi="SimSun" w:eastAsia="SimSun" w:cs="SimSun"/>
                <w:sz w:val="20"/>
                <w:szCs w:val="20"/>
                <w:spacing w:val="7"/>
              </w:rPr>
              <w:t>四号露天矿内北处水源井</w:t>
            </w:r>
          </w:p>
        </w:tc>
        <w:tc>
          <w:tcPr>
            <w:tcW w:w="1307" w:type="dxa"/>
            <w:vAlign w:val="top"/>
          </w:tcPr>
          <w:p>
            <w:pPr>
              <w:pStyle w:val="TableText"/>
              <w:ind w:left="282"/>
              <w:spacing w:before="69" w:line="195" w:lineRule="auto"/>
              <w:rPr/>
            </w:pPr>
            <w:r>
              <w:rPr>
                <w:spacing w:val="1"/>
              </w:rPr>
              <w:t>118.6768</w:t>
            </w:r>
          </w:p>
        </w:tc>
        <w:tc>
          <w:tcPr>
            <w:tcW w:w="1307" w:type="dxa"/>
            <w:vAlign w:val="top"/>
          </w:tcPr>
          <w:p>
            <w:pPr>
              <w:pStyle w:val="TableText"/>
              <w:ind w:left="310"/>
              <w:spacing w:before="69" w:line="195" w:lineRule="auto"/>
              <w:rPr/>
            </w:pPr>
            <w:r>
              <w:rPr>
                <w:spacing w:val="4"/>
              </w:rPr>
              <w:t>45.0017</w:t>
            </w:r>
          </w:p>
        </w:tc>
        <w:tc>
          <w:tcPr>
            <w:tcW w:w="727" w:type="dxa"/>
            <w:vAlign w:val="top"/>
          </w:tcPr>
          <w:p>
            <w:pPr>
              <w:pStyle w:val="TableText"/>
              <w:ind w:left="291"/>
              <w:spacing w:before="69" w:line="197" w:lineRule="auto"/>
              <w:rPr/>
            </w:pPr>
            <w:r>
              <w:rPr/>
              <w:t>Q</w:t>
            </w:r>
          </w:p>
        </w:tc>
        <w:tc>
          <w:tcPr>
            <w:tcW w:w="871" w:type="dxa"/>
            <w:vAlign w:val="top"/>
          </w:tcPr>
          <w:p>
            <w:pPr>
              <w:pStyle w:val="TableText"/>
              <w:ind w:left="334"/>
              <w:spacing w:before="69" w:line="195" w:lineRule="auto"/>
              <w:rPr/>
            </w:pPr>
            <w:r>
              <w:rPr>
                <w:spacing w:val="2"/>
              </w:rPr>
              <w:t>26</w:t>
            </w:r>
          </w:p>
        </w:tc>
        <w:tc>
          <w:tcPr>
            <w:tcW w:w="727" w:type="dxa"/>
            <w:vAlign w:val="top"/>
          </w:tcPr>
          <w:p>
            <w:pPr>
              <w:pStyle w:val="TableText"/>
              <w:ind w:left="209"/>
              <w:spacing w:before="69" w:line="195" w:lineRule="auto"/>
              <w:rPr/>
            </w:pPr>
            <w:r>
              <w:rPr>
                <w:spacing w:val="3"/>
              </w:rPr>
              <w:t>200</w:t>
            </w:r>
          </w:p>
        </w:tc>
        <w:tc>
          <w:tcPr>
            <w:tcW w:w="868" w:type="dxa"/>
            <w:vAlign w:val="top"/>
          </w:tcPr>
          <w:p>
            <w:pPr>
              <w:pStyle w:val="TableText"/>
              <w:ind w:left="281"/>
              <w:spacing w:before="69" w:line="195" w:lineRule="auto"/>
              <w:rPr/>
            </w:pPr>
            <w:r>
              <w:rPr>
                <w:spacing w:val="2"/>
              </w:rPr>
              <w:t>973</w:t>
            </w:r>
          </w:p>
        </w:tc>
      </w:tr>
      <w:tr>
        <w:trPr>
          <w:trHeight w:val="280" w:hRule="atLeast"/>
        </w:trPr>
        <w:tc>
          <w:tcPr>
            <w:tcW w:w="669" w:type="dxa"/>
            <w:vAlign w:val="top"/>
          </w:tcPr>
          <w:p>
            <w:pPr>
              <w:pStyle w:val="TableText"/>
              <w:ind w:left="204"/>
              <w:spacing w:before="67" w:line="195" w:lineRule="auto"/>
              <w:rPr/>
            </w:pPr>
            <w:r>
              <w:rPr>
                <w:spacing w:val="3"/>
              </w:rPr>
              <w:t>D8</w:t>
            </w:r>
          </w:p>
        </w:tc>
        <w:tc>
          <w:tcPr>
            <w:tcW w:w="2814" w:type="dxa"/>
            <w:vAlign w:val="top"/>
          </w:tcPr>
          <w:p>
            <w:pPr>
              <w:ind w:left="275"/>
              <w:spacing w:before="31" w:line="220" w:lineRule="auto"/>
              <w:rPr>
                <w:rFonts w:ascii="SimSun" w:hAnsi="SimSun" w:eastAsia="SimSun" w:cs="SimSun"/>
                <w:sz w:val="20"/>
                <w:szCs w:val="20"/>
              </w:rPr>
            </w:pPr>
            <w:r>
              <w:rPr>
                <w:rFonts w:ascii="SimSun" w:hAnsi="SimSun" w:eastAsia="SimSun" w:cs="SimSun"/>
                <w:sz w:val="20"/>
                <w:szCs w:val="20"/>
                <w:spacing w:val="7"/>
              </w:rPr>
              <w:t>四号露天矿外西处水源井</w:t>
            </w:r>
          </w:p>
        </w:tc>
        <w:tc>
          <w:tcPr>
            <w:tcW w:w="1307" w:type="dxa"/>
            <w:vAlign w:val="top"/>
          </w:tcPr>
          <w:p>
            <w:pPr>
              <w:pStyle w:val="TableText"/>
              <w:ind w:left="282"/>
              <w:spacing w:before="67" w:line="195" w:lineRule="auto"/>
              <w:rPr/>
            </w:pPr>
            <w:r>
              <w:rPr>
                <w:spacing w:val="1"/>
              </w:rPr>
              <w:t>118.6015</w:t>
            </w:r>
          </w:p>
        </w:tc>
        <w:tc>
          <w:tcPr>
            <w:tcW w:w="1307" w:type="dxa"/>
            <w:vAlign w:val="top"/>
          </w:tcPr>
          <w:p>
            <w:pPr>
              <w:pStyle w:val="TableText"/>
              <w:ind w:left="310"/>
              <w:spacing w:before="67" w:line="195" w:lineRule="auto"/>
              <w:rPr/>
            </w:pPr>
            <w:r>
              <w:rPr>
                <w:spacing w:val="4"/>
              </w:rPr>
              <w:t>44.9626</w:t>
            </w:r>
          </w:p>
        </w:tc>
        <w:tc>
          <w:tcPr>
            <w:tcW w:w="727" w:type="dxa"/>
            <w:vAlign w:val="top"/>
          </w:tcPr>
          <w:p>
            <w:pPr>
              <w:pStyle w:val="TableText"/>
              <w:ind w:left="291"/>
              <w:spacing w:before="67" w:line="197" w:lineRule="auto"/>
              <w:rPr/>
            </w:pPr>
            <w:r>
              <w:rPr/>
              <w:t>Q</w:t>
            </w:r>
          </w:p>
        </w:tc>
        <w:tc>
          <w:tcPr>
            <w:tcW w:w="871" w:type="dxa"/>
            <w:vAlign w:val="top"/>
          </w:tcPr>
          <w:p>
            <w:pPr>
              <w:pStyle w:val="TableText"/>
              <w:ind w:left="334"/>
              <w:spacing w:before="67" w:line="195" w:lineRule="auto"/>
              <w:rPr/>
            </w:pPr>
            <w:r>
              <w:rPr>
                <w:spacing w:val="2"/>
              </w:rPr>
              <w:t>23</w:t>
            </w:r>
          </w:p>
        </w:tc>
        <w:tc>
          <w:tcPr>
            <w:tcW w:w="727" w:type="dxa"/>
            <w:vAlign w:val="top"/>
          </w:tcPr>
          <w:p>
            <w:pPr>
              <w:pStyle w:val="TableText"/>
              <w:ind w:left="267"/>
              <w:spacing w:before="67" w:line="195" w:lineRule="auto"/>
              <w:rPr/>
            </w:pPr>
            <w:r>
              <w:rPr/>
              <w:t>65</w:t>
            </w:r>
          </w:p>
        </w:tc>
        <w:tc>
          <w:tcPr>
            <w:tcW w:w="868" w:type="dxa"/>
            <w:vAlign w:val="top"/>
          </w:tcPr>
          <w:p>
            <w:pPr>
              <w:pStyle w:val="TableText"/>
              <w:ind w:left="281"/>
              <w:spacing w:before="67" w:line="195" w:lineRule="auto"/>
              <w:rPr/>
            </w:pPr>
            <w:r>
              <w:rPr>
                <w:spacing w:val="2"/>
              </w:rPr>
              <w:t>970</w:t>
            </w:r>
          </w:p>
        </w:tc>
      </w:tr>
    </w:tbl>
    <w:p>
      <w:pPr>
        <w:pStyle w:val="BodyText"/>
        <w:spacing w:line="250" w:lineRule="auto"/>
        <w:rPr/>
      </w:pPr>
      <w:r/>
    </w:p>
    <w:p>
      <w:pPr>
        <w:pStyle w:val="BodyText"/>
        <w:spacing w:line="251" w:lineRule="auto"/>
        <w:rPr/>
      </w:pPr>
      <w:r/>
    </w:p>
    <w:p>
      <w:pPr>
        <w:ind w:left="596"/>
        <w:spacing w:before="7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4.2.4.2  </w:t>
      </w:r>
      <w:r>
        <w:rPr>
          <w:rFonts w:ascii="SimHei" w:hAnsi="SimHei" w:eastAsia="SimHei" w:cs="SimHei"/>
          <w:sz w:val="24"/>
          <w:szCs w:val="24"/>
          <w:b/>
          <w:bCs/>
          <w:spacing w:val="-2"/>
        </w:rPr>
        <w:t>监测项目</w:t>
      </w:r>
    </w:p>
    <w:p>
      <w:pPr>
        <w:ind w:left="119" w:right="112" w:firstLine="481"/>
        <w:spacing w:before="156" w:line="336" w:lineRule="auto"/>
        <w:rPr>
          <w:rFonts w:ascii="SimSun" w:hAnsi="SimSun" w:eastAsia="SimSun" w:cs="SimSun"/>
          <w:sz w:val="24"/>
          <w:szCs w:val="24"/>
        </w:rPr>
      </w:pPr>
      <w:r>
        <w:rPr>
          <w:rFonts w:ascii="SimSun" w:hAnsi="SimSun" w:eastAsia="SimSun" w:cs="SimSun"/>
          <w:sz w:val="24"/>
          <w:szCs w:val="24"/>
          <w:spacing w:val="-3"/>
        </w:rPr>
        <w:t>监测项目主要有：地下水基本离子（</w:t>
      </w:r>
      <w:r>
        <w:rPr>
          <w:rFonts w:ascii="Times New Roman" w:hAnsi="Times New Roman" w:eastAsia="Times New Roman" w:cs="Times New Roman"/>
          <w:sz w:val="24"/>
          <w:szCs w:val="24"/>
          <w:spacing w:val="-3"/>
        </w:rPr>
        <w:t>K</w:t>
      </w:r>
      <w:r>
        <w:rPr>
          <w:rFonts w:ascii="Times New Roman" w:hAnsi="Times New Roman" w:eastAsia="Times New Roman" w:cs="Times New Roman"/>
          <w:sz w:val="15"/>
          <w:szCs w:val="15"/>
          <w:spacing w:val="-3"/>
          <w:position w:val="7"/>
        </w:rPr>
        <w:t>+</w:t>
      </w:r>
      <w:r>
        <w:rPr>
          <w:rFonts w:ascii="Times New Roman" w:hAnsi="Times New Roman" w:eastAsia="Times New Roman" w:cs="Times New Roman"/>
          <w:sz w:val="15"/>
          <w:szCs w:val="15"/>
          <w:spacing w:val="6"/>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Na</w:t>
      </w:r>
      <w:r>
        <w:rPr>
          <w:rFonts w:ascii="Times New Roman" w:hAnsi="Times New Roman" w:eastAsia="Times New Roman" w:cs="Times New Roman"/>
          <w:sz w:val="15"/>
          <w:szCs w:val="15"/>
          <w:spacing w:val="-3"/>
          <w:position w:val="7"/>
        </w:rPr>
        <w:t>+</w:t>
      </w:r>
      <w:r>
        <w:rPr>
          <w:rFonts w:ascii="Times New Roman" w:hAnsi="Times New Roman" w:eastAsia="Times New Roman" w:cs="Times New Roman"/>
          <w:sz w:val="15"/>
          <w:szCs w:val="15"/>
          <w:spacing w:val="-11"/>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Ca</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Mg</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1"/>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Cl</w:t>
      </w:r>
      <w:r>
        <w:rPr>
          <w:rFonts w:ascii="Times New Roman" w:hAnsi="Times New Roman" w:eastAsia="Times New Roman" w:cs="Times New Roman"/>
          <w:sz w:val="15"/>
          <w:szCs w:val="15"/>
          <w:spacing w:val="-3"/>
          <w:position w:val="7"/>
        </w:rPr>
        <w:t>-</w:t>
      </w:r>
      <w:r>
        <w:rPr>
          <w:rFonts w:ascii="Times New Roman" w:hAnsi="Times New Roman" w:eastAsia="Times New Roman" w:cs="Times New Roman"/>
          <w:sz w:val="15"/>
          <w:szCs w:val="15"/>
          <w:spacing w:val="-12"/>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SO4</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1"/>
          <w:position w:val="7"/>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HCO</w:t>
      </w:r>
      <w:r>
        <w:rPr>
          <w:rFonts w:ascii="Times New Roman" w:hAnsi="Times New Roman" w:eastAsia="Times New Roman" w:cs="Times New Roman"/>
          <w:sz w:val="15"/>
          <w:szCs w:val="15"/>
          <w:spacing w:val="-3"/>
          <w:position w:val="-2"/>
        </w:rPr>
        <w:t>3</w:t>
      </w:r>
      <w:r>
        <w:rPr>
          <w:rFonts w:ascii="Times New Roman" w:hAnsi="Times New Roman" w:eastAsia="Times New Roman" w:cs="Times New Roman"/>
          <w:sz w:val="15"/>
          <w:szCs w:val="15"/>
          <w:spacing w:val="-3"/>
          <w:position w:val="7"/>
        </w:rPr>
        <w:t>-</w:t>
      </w:r>
      <w:r>
        <w:rPr>
          <w:rFonts w:ascii="Times New Roman" w:hAnsi="Times New Roman" w:eastAsia="Times New Roman" w:cs="Times New Roman"/>
          <w:sz w:val="15"/>
          <w:szCs w:val="15"/>
          <w:spacing w:val="-8"/>
          <w:position w:val="7"/>
        </w:rPr>
        <w:t xml:space="preserve"> </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rPr>
        <w:t>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15"/>
          <w:szCs w:val="15"/>
          <w:spacing w:val="1"/>
          <w:position w:val="1"/>
        </w:rPr>
        <w:t>2-</w:t>
      </w:r>
      <w:r>
        <w:rPr>
          <w:rFonts w:ascii="SimSun" w:hAnsi="SimSun" w:eastAsia="SimSun" w:cs="SimSun"/>
          <w:sz w:val="24"/>
          <w:szCs w:val="24"/>
          <w:spacing w:val="1"/>
          <w:position w:val="1"/>
        </w:rPr>
        <w:t>）</w:t>
      </w:r>
      <w:r>
        <w:rPr>
          <w:rFonts w:ascii="SimSun" w:hAnsi="SimSun" w:eastAsia="SimSun" w:cs="SimSun"/>
          <w:sz w:val="24"/>
          <w:szCs w:val="24"/>
          <w:spacing w:val="1"/>
        </w:rPr>
        <w:t>、</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、氨氮、硝酸盐氮、亚硝酸盐氮、挥发</w:t>
      </w:r>
      <w:r>
        <w:rPr>
          <w:rFonts w:ascii="SimSun" w:hAnsi="SimSun" w:eastAsia="SimSun" w:cs="SimSun"/>
          <w:sz w:val="24"/>
          <w:szCs w:val="24"/>
        </w:rPr>
        <w:t>酚、氰化物、砷、汞、六价铬、总</w:t>
      </w:r>
      <w:r>
        <w:rPr>
          <w:rFonts w:ascii="SimSun" w:hAnsi="SimSun" w:eastAsia="SimSun" w:cs="SimSun"/>
          <w:sz w:val="24"/>
          <w:szCs w:val="24"/>
          <w:spacing w:val="-2"/>
        </w:rPr>
        <w:t>硬度、铅、氟化物、镉、铁、锰、溶解性总固体、高猛酸盐指数、硫酸盐、氯化物、总</w:t>
      </w:r>
      <w:r>
        <w:rPr>
          <w:rFonts w:ascii="SimSun" w:hAnsi="SimSun" w:eastAsia="SimSun" w:cs="SimSun"/>
          <w:sz w:val="24"/>
          <w:szCs w:val="24"/>
          <w:spacing w:val="-1"/>
        </w:rPr>
        <w:t>大肠菌群、细菌总数共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29 </w:t>
      </w:r>
      <w:r>
        <w:rPr>
          <w:rFonts w:ascii="SimSun" w:hAnsi="SimSun" w:eastAsia="SimSun" w:cs="SimSun"/>
          <w:sz w:val="24"/>
          <w:szCs w:val="24"/>
          <w:spacing w:val="-1"/>
        </w:rPr>
        <w:t>项。</w:t>
      </w:r>
    </w:p>
    <w:p>
      <w:pPr>
        <w:ind w:left="596"/>
        <w:spacing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4.2.4.3 </w:t>
      </w:r>
      <w:r>
        <w:rPr>
          <w:rFonts w:ascii="SimHei" w:hAnsi="SimHei" w:eastAsia="SimHei" w:cs="SimHei"/>
          <w:sz w:val="24"/>
          <w:szCs w:val="24"/>
          <w:b/>
          <w:bCs/>
          <w:spacing w:val="-2"/>
        </w:rPr>
        <w:t>监测时间及频率</w:t>
      </w:r>
    </w:p>
    <w:p>
      <w:pPr>
        <w:ind w:left="600"/>
        <w:spacing w:before="150" w:line="219" w:lineRule="auto"/>
        <w:rPr>
          <w:rFonts w:ascii="SimSun" w:hAnsi="SimSun" w:eastAsia="SimSun" w:cs="SimSun"/>
          <w:sz w:val="24"/>
          <w:szCs w:val="24"/>
        </w:rPr>
      </w:pPr>
      <w:r>
        <w:rPr>
          <w:rFonts w:ascii="SimSun" w:hAnsi="SimSun" w:eastAsia="SimSun" w:cs="SimSun"/>
          <w:sz w:val="24"/>
          <w:szCs w:val="24"/>
          <w:spacing w:val="-5"/>
        </w:rPr>
        <w:t>本次监测时间为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27  </w:t>
      </w:r>
      <w:r>
        <w:rPr>
          <w:rFonts w:ascii="SimSun" w:hAnsi="SimSun" w:eastAsia="SimSun" w:cs="SimSun"/>
          <w:sz w:val="24"/>
          <w:szCs w:val="24"/>
          <w:spacing w:val="-5"/>
        </w:rPr>
        <w:t>日，每天每井取样</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次。</w:t>
      </w:r>
    </w:p>
    <w:p>
      <w:pPr>
        <w:ind w:left="596"/>
        <w:spacing w:before="157"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4.2.4.4 </w:t>
      </w:r>
      <w:r>
        <w:rPr>
          <w:rFonts w:ascii="SimHei" w:hAnsi="SimHei" w:eastAsia="SimHei" w:cs="SimHei"/>
          <w:sz w:val="24"/>
          <w:szCs w:val="24"/>
          <w:b/>
          <w:bCs/>
          <w:spacing w:val="-2"/>
        </w:rPr>
        <w:t>评价方法</w:t>
      </w:r>
    </w:p>
    <w:p>
      <w:pPr>
        <w:ind w:left="598"/>
        <w:spacing w:before="152" w:line="218" w:lineRule="auto"/>
        <w:rPr>
          <w:rFonts w:ascii="SimSun" w:hAnsi="SimSun" w:eastAsia="SimSun" w:cs="SimSun"/>
          <w:sz w:val="24"/>
          <w:szCs w:val="24"/>
        </w:rPr>
      </w:pPr>
      <w:r>
        <w:rPr>
          <w:rFonts w:ascii="SimSun" w:hAnsi="SimSun" w:eastAsia="SimSun" w:cs="SimSun"/>
          <w:sz w:val="24"/>
          <w:szCs w:val="24"/>
          <w:spacing w:val="-1"/>
        </w:rPr>
        <w:t>采用单项水质参数标准指数法进行评价，计算公式如下：</w:t>
      </w:r>
    </w:p>
    <w:p>
      <w:pPr>
        <w:ind w:left="598"/>
        <w:spacing w:before="156" w:line="217" w:lineRule="auto"/>
        <w:rPr>
          <w:rFonts w:ascii="SimSun" w:hAnsi="SimSun" w:eastAsia="SimSun" w:cs="SimSun"/>
          <w:sz w:val="24"/>
          <w:szCs w:val="24"/>
        </w:rPr>
      </w:pPr>
      <w:r>
        <w:rPr>
          <w:rFonts w:ascii="SimSun" w:hAnsi="SimSun" w:eastAsia="SimSun" w:cs="SimSun"/>
          <w:sz w:val="24"/>
          <w:szCs w:val="24"/>
          <w:spacing w:val="-1"/>
        </w:rPr>
        <w:t>①一般污染物的标准指数</w:t>
      </w:r>
    </w:p>
    <w:p>
      <w:pPr>
        <w:ind w:left="4702"/>
        <w:spacing w:before="114"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3"/>
          <w:position w:val="2"/>
        </w:rPr>
        <w:t>Si=Ci/Cs</w:t>
      </w:r>
    </w:p>
    <w:p>
      <w:pPr>
        <w:ind w:left="124"/>
        <w:spacing w:before="162"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S</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某污染物的标准指数；</w:t>
      </w:r>
    </w:p>
    <w:p>
      <w:pPr>
        <w:ind w:left="839"/>
        <w:spacing w:before="154" w:line="212"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rPr>
        <w:t>i</w:t>
      </w:r>
      <w:r>
        <w:rPr>
          <w:rFonts w:ascii="Times New Roman" w:hAnsi="Times New Roman" w:eastAsia="Times New Roman" w:cs="Times New Roman"/>
          <w:sz w:val="24"/>
          <w:szCs w:val="24"/>
          <w:spacing w:val="-1"/>
        </w:rPr>
        <w:t>—</w:t>
      </w:r>
      <w:r>
        <w:rPr>
          <w:rFonts w:ascii="SimSun" w:hAnsi="SimSun" w:eastAsia="SimSun" w:cs="SimSun"/>
          <w:sz w:val="24"/>
          <w:szCs w:val="24"/>
          <w:spacing w:val="-1"/>
        </w:rPr>
        <w:t>某污染物的实测平均浓度，</w:t>
      </w:r>
      <w:r>
        <w:rPr>
          <w:rFonts w:ascii="Times New Roman" w:hAnsi="Times New Roman" w:eastAsia="Times New Roman" w:cs="Times New Roman"/>
          <w:sz w:val="24"/>
          <w:szCs w:val="24"/>
          <w:spacing w:val="-1"/>
        </w:rPr>
        <w:t>mg/L</w:t>
      </w:r>
      <w:r>
        <w:rPr>
          <w:rFonts w:ascii="SimSun" w:hAnsi="SimSun" w:eastAsia="SimSun" w:cs="SimSun"/>
          <w:sz w:val="24"/>
          <w:szCs w:val="24"/>
          <w:spacing w:val="-1"/>
        </w:rPr>
        <w:t>；</w:t>
      </w:r>
    </w:p>
    <w:p>
      <w:pPr>
        <w:spacing w:line="212" w:lineRule="auto"/>
        <w:sectPr>
          <w:footerReference w:type="default" r:id="rId325"/>
          <w:pgSz w:w="11906" w:h="16838"/>
          <w:pgMar w:top="1170" w:right="1304" w:bottom="1080" w:left="1305" w:header="837" w:footer="918" w:gutter="0"/>
        </w:sectPr>
        <w:rPr>
          <w:rFonts w:ascii="SimSun" w:hAnsi="SimSun" w:eastAsia="SimSun" w:cs="SimSun"/>
          <w:sz w:val="24"/>
          <w:szCs w:val="24"/>
        </w:rPr>
      </w:pPr>
    </w:p>
    <w:p>
      <w:pPr>
        <w:pStyle w:val="BodyText"/>
        <w:spacing w:line="312" w:lineRule="auto"/>
        <w:rPr/>
      </w:pPr>
      <w:r/>
    </w:p>
    <w:p>
      <w:pPr>
        <w:ind w:left="839"/>
        <w:spacing w:before="78" w:line="212"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Times New Roman" w:hAnsi="Times New Roman" w:eastAsia="Times New Roman" w:cs="Times New Roman"/>
          <w:sz w:val="15"/>
          <w:szCs w:val="15"/>
          <w:spacing w:val="-1"/>
          <w:position w:val="-1"/>
        </w:rPr>
        <w:t>s</w:t>
      </w:r>
      <w:r>
        <w:rPr>
          <w:rFonts w:ascii="Times New Roman" w:hAnsi="Times New Roman" w:eastAsia="Times New Roman" w:cs="Times New Roman"/>
          <w:sz w:val="24"/>
          <w:szCs w:val="24"/>
          <w:spacing w:val="-1"/>
        </w:rPr>
        <w:t>—</w:t>
      </w:r>
      <w:r>
        <w:rPr>
          <w:rFonts w:ascii="SimSun" w:hAnsi="SimSun" w:eastAsia="SimSun" w:cs="SimSun"/>
          <w:sz w:val="24"/>
          <w:szCs w:val="24"/>
          <w:spacing w:val="-1"/>
        </w:rPr>
        <w:t>某污染物的评价标准，</w:t>
      </w:r>
      <w:r>
        <w:rPr>
          <w:rFonts w:ascii="Times New Roman" w:hAnsi="Times New Roman" w:eastAsia="Times New Roman" w:cs="Times New Roman"/>
          <w:sz w:val="24"/>
          <w:szCs w:val="24"/>
          <w:spacing w:val="-1"/>
        </w:rPr>
        <w:t>mg/L</w:t>
      </w:r>
      <w:r>
        <w:rPr>
          <w:rFonts w:ascii="SimSun" w:hAnsi="SimSun" w:eastAsia="SimSun" w:cs="SimSun"/>
          <w:sz w:val="24"/>
          <w:szCs w:val="24"/>
          <w:spacing w:val="-1"/>
        </w:rPr>
        <w:t>。</w:t>
      </w:r>
    </w:p>
    <w:p>
      <w:pPr>
        <w:ind w:left="837"/>
        <w:spacing w:before="166" w:line="210" w:lineRule="auto"/>
        <w:rPr>
          <w:rFonts w:ascii="SimSun" w:hAnsi="SimSun" w:eastAsia="SimSun" w:cs="SimSun"/>
          <w:sz w:val="24"/>
          <w:szCs w:val="24"/>
        </w:rPr>
      </w:pPr>
      <w:r>
        <w:rPr>
          <w:rFonts w:ascii="SimSun" w:hAnsi="SimSun" w:eastAsia="SimSun" w:cs="SimSun"/>
          <w:sz w:val="24"/>
          <w:szCs w:val="24"/>
          <w:spacing w:val="-5"/>
        </w:rPr>
        <w:t>②</w:t>
      </w:r>
      <w:r>
        <w:rPr>
          <w:rFonts w:ascii="Times New Roman" w:hAnsi="Times New Roman" w:eastAsia="Times New Roman" w:cs="Times New Roman"/>
          <w:sz w:val="24"/>
          <w:szCs w:val="24"/>
          <w:spacing w:val="-5"/>
        </w:rPr>
        <w:t>pH</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5"/>
        </w:rPr>
        <w:t>的标准指数</w:t>
      </w:r>
    </w:p>
    <w:p>
      <w:pPr>
        <w:ind w:left="2830"/>
        <w:spacing w:before="9"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
        </w:rPr>
        <w:t>S</w:t>
      </w:r>
      <w:r>
        <w:rPr>
          <w:rFonts w:ascii="Times New Roman" w:hAnsi="Times New Roman" w:eastAsia="Times New Roman" w:cs="Times New Roman"/>
          <w:sz w:val="15"/>
          <w:szCs w:val="15"/>
          <w:position w:val="3"/>
        </w:rPr>
        <w:t>pH</w:t>
      </w:r>
      <w:r>
        <w:rPr>
          <w:rFonts w:ascii="SimSun" w:hAnsi="SimSun" w:eastAsia="SimSun" w:cs="SimSun"/>
          <w:sz w:val="12"/>
          <w:szCs w:val="12"/>
          <w:position w:val="1"/>
        </w:rPr>
        <w:t>，</w:t>
      </w:r>
      <w:r>
        <w:rPr>
          <w:rFonts w:ascii="Times New Roman" w:hAnsi="Times New Roman" w:eastAsia="Times New Roman" w:cs="Times New Roman"/>
          <w:sz w:val="15"/>
          <w:szCs w:val="15"/>
          <w:position w:val="3"/>
        </w:rPr>
        <w:t>j</w:t>
      </w:r>
      <w:r>
        <w:rPr>
          <w:rFonts w:ascii="Times New Roman" w:hAnsi="Times New Roman" w:eastAsia="Times New Roman" w:cs="Times New Roman"/>
          <w:sz w:val="24"/>
          <w:szCs w:val="24"/>
          <w:position w:val="4"/>
        </w:rPr>
        <w:t>=(7.0-pH</w:t>
      </w:r>
      <w:r>
        <w:rPr>
          <w:rFonts w:ascii="Times New Roman" w:hAnsi="Times New Roman" w:eastAsia="Times New Roman" w:cs="Times New Roman"/>
          <w:sz w:val="15"/>
          <w:szCs w:val="15"/>
          <w:position w:val="3"/>
        </w:rPr>
        <w:t>j</w:t>
      </w:r>
      <w:r>
        <w:rPr>
          <w:rFonts w:ascii="Times New Roman" w:hAnsi="Times New Roman" w:eastAsia="Times New Roman" w:cs="Times New Roman"/>
          <w:sz w:val="24"/>
          <w:szCs w:val="24"/>
          <w:position w:val="4"/>
        </w:rPr>
        <w:t>)/(7.0-pH</w:t>
      </w:r>
      <w:r>
        <w:rPr>
          <w:rFonts w:ascii="Times New Roman" w:hAnsi="Times New Roman" w:eastAsia="Times New Roman" w:cs="Times New Roman"/>
          <w:sz w:val="15"/>
          <w:szCs w:val="15"/>
          <w:position w:val="3"/>
        </w:rPr>
        <w:t>sd</w:t>
      </w:r>
      <w:r>
        <w:rPr>
          <w:rFonts w:ascii="Times New Roman" w:hAnsi="Times New Roman" w:eastAsia="Times New Roman" w:cs="Times New Roman"/>
          <w:sz w:val="24"/>
          <w:szCs w:val="24"/>
          <w:position w:val="4"/>
        </w:rPr>
        <w:t>)</w:t>
      </w:r>
      <w:r>
        <w:rPr>
          <w:rFonts w:ascii="Times New Roman" w:hAnsi="Times New Roman" w:eastAsia="Times New Roman" w:cs="Times New Roman"/>
          <w:sz w:val="24"/>
          <w:szCs w:val="24"/>
          <w:spacing w:val="4"/>
          <w:position w:val="4"/>
        </w:rPr>
        <w:t xml:space="preserve">             </w:t>
      </w:r>
      <w:r>
        <w:rPr>
          <w:rFonts w:ascii="Times New Roman" w:hAnsi="Times New Roman" w:eastAsia="Times New Roman" w:cs="Times New Roman"/>
          <w:sz w:val="24"/>
          <w:szCs w:val="24"/>
          <w:position w:val="4"/>
        </w:rPr>
        <w:t>pH</w:t>
      </w:r>
      <w:r>
        <w:rPr>
          <w:rFonts w:ascii="Times New Roman" w:hAnsi="Times New Roman" w:eastAsia="Times New Roman" w:cs="Times New Roman"/>
          <w:sz w:val="15"/>
          <w:szCs w:val="15"/>
          <w:position w:val="3"/>
        </w:rPr>
        <w:t>j</w:t>
      </w:r>
      <w:r>
        <w:rPr>
          <w:rFonts w:ascii="Times New Roman" w:hAnsi="Times New Roman" w:eastAsia="Times New Roman" w:cs="Times New Roman"/>
          <w:sz w:val="24"/>
          <w:szCs w:val="24"/>
          <w:position w:val="4"/>
        </w:rPr>
        <w:t>≤7.0</w:t>
      </w:r>
    </w:p>
    <w:p>
      <w:pPr>
        <w:ind w:left="2866"/>
        <w:spacing w:before="145"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4"/>
        </w:rPr>
        <w:t>S</w:t>
      </w:r>
      <w:r>
        <w:rPr>
          <w:rFonts w:ascii="Times New Roman" w:hAnsi="Times New Roman" w:eastAsia="Times New Roman" w:cs="Times New Roman"/>
          <w:sz w:val="15"/>
          <w:szCs w:val="15"/>
          <w:position w:val="3"/>
        </w:rPr>
        <w:t>pH</w:t>
      </w:r>
      <w:r>
        <w:rPr>
          <w:rFonts w:ascii="SimSun" w:hAnsi="SimSun" w:eastAsia="SimSun" w:cs="SimSun"/>
          <w:sz w:val="12"/>
          <w:szCs w:val="12"/>
          <w:position w:val="1"/>
        </w:rPr>
        <w:t>，</w:t>
      </w:r>
      <w:r>
        <w:rPr>
          <w:rFonts w:ascii="Times New Roman" w:hAnsi="Times New Roman" w:eastAsia="Times New Roman" w:cs="Times New Roman"/>
          <w:sz w:val="15"/>
          <w:szCs w:val="15"/>
          <w:position w:val="3"/>
        </w:rPr>
        <w:t>j</w:t>
      </w:r>
      <w:r>
        <w:rPr>
          <w:rFonts w:ascii="Times New Roman" w:hAnsi="Times New Roman" w:eastAsia="Times New Roman" w:cs="Times New Roman"/>
          <w:sz w:val="24"/>
          <w:szCs w:val="24"/>
          <w:position w:val="4"/>
        </w:rPr>
        <w:t>=( pH</w:t>
      </w:r>
      <w:r>
        <w:rPr>
          <w:rFonts w:ascii="Times New Roman" w:hAnsi="Times New Roman" w:eastAsia="Times New Roman" w:cs="Times New Roman"/>
          <w:sz w:val="15"/>
          <w:szCs w:val="15"/>
          <w:position w:val="3"/>
        </w:rPr>
        <w:t>j</w:t>
      </w:r>
      <w:r>
        <w:rPr>
          <w:rFonts w:ascii="Times New Roman" w:hAnsi="Times New Roman" w:eastAsia="Times New Roman" w:cs="Times New Roman"/>
          <w:sz w:val="15"/>
          <w:szCs w:val="15"/>
          <w:spacing w:val="35"/>
          <w:position w:val="3"/>
        </w:rPr>
        <w:t xml:space="preserve"> </w:t>
      </w:r>
      <w:r>
        <w:rPr>
          <w:rFonts w:ascii="Times New Roman" w:hAnsi="Times New Roman" w:eastAsia="Times New Roman" w:cs="Times New Roman"/>
          <w:sz w:val="24"/>
          <w:szCs w:val="24"/>
          <w:position w:val="4"/>
        </w:rPr>
        <w:t>-7.0)/( pH</w:t>
      </w:r>
      <w:r>
        <w:rPr>
          <w:rFonts w:ascii="Times New Roman" w:hAnsi="Times New Roman" w:eastAsia="Times New Roman" w:cs="Times New Roman"/>
          <w:sz w:val="15"/>
          <w:szCs w:val="15"/>
          <w:position w:val="3"/>
        </w:rPr>
        <w:t>su</w:t>
      </w:r>
      <w:r>
        <w:rPr>
          <w:rFonts w:ascii="Times New Roman" w:hAnsi="Times New Roman" w:eastAsia="Times New Roman" w:cs="Times New Roman"/>
          <w:sz w:val="24"/>
          <w:szCs w:val="24"/>
          <w:position w:val="4"/>
        </w:rPr>
        <w:t>-7.0)</w:t>
      </w:r>
      <w:r>
        <w:rPr>
          <w:rFonts w:ascii="Times New Roman" w:hAnsi="Times New Roman" w:eastAsia="Times New Roman" w:cs="Times New Roman"/>
          <w:sz w:val="24"/>
          <w:szCs w:val="24"/>
          <w:spacing w:val="-1"/>
          <w:position w:val="4"/>
        </w:rPr>
        <w:t xml:space="preserve">        pH</w:t>
      </w:r>
      <w:r>
        <w:rPr>
          <w:rFonts w:ascii="Times New Roman" w:hAnsi="Times New Roman" w:eastAsia="Times New Roman" w:cs="Times New Roman"/>
          <w:sz w:val="15"/>
          <w:szCs w:val="15"/>
          <w:spacing w:val="-1"/>
          <w:position w:val="3"/>
        </w:rPr>
        <w:t>j</w:t>
      </w:r>
      <w:r>
        <w:rPr>
          <w:rFonts w:ascii="SimSun" w:hAnsi="SimSun" w:eastAsia="SimSun" w:cs="SimSun"/>
          <w:sz w:val="24"/>
          <w:szCs w:val="24"/>
          <w:spacing w:val="-1"/>
          <w:position w:val="4"/>
        </w:rPr>
        <w:t>＞</w:t>
      </w:r>
      <w:r>
        <w:rPr>
          <w:rFonts w:ascii="Times New Roman" w:hAnsi="Times New Roman" w:eastAsia="Times New Roman" w:cs="Times New Roman"/>
          <w:sz w:val="24"/>
          <w:szCs w:val="24"/>
          <w:spacing w:val="-1"/>
          <w:position w:val="4"/>
        </w:rPr>
        <w:t>7.0</w:t>
      </w:r>
    </w:p>
    <w:p>
      <w:pPr>
        <w:ind w:left="124"/>
        <w:spacing w:before="299" w:line="211" w:lineRule="auto"/>
        <w:rPr>
          <w:rFonts w:ascii="SimSun" w:hAnsi="SimSun" w:eastAsia="SimSun" w:cs="SimSun"/>
          <w:sz w:val="24"/>
          <w:szCs w:val="24"/>
        </w:rPr>
      </w:pPr>
      <w:r>
        <w:rPr>
          <w:rFonts w:ascii="SimSun" w:hAnsi="SimSun" w:eastAsia="SimSun" w:cs="SimSun"/>
          <w:sz w:val="24"/>
          <w:szCs w:val="24"/>
          <w:spacing w:val="-3"/>
        </w:rPr>
        <w:t>式中：</w:t>
      </w:r>
      <w:r>
        <w:rPr>
          <w:rFonts w:ascii="Times New Roman" w:hAnsi="Times New Roman" w:eastAsia="Times New Roman" w:cs="Times New Roman"/>
          <w:sz w:val="24"/>
          <w:szCs w:val="24"/>
          <w:spacing w:val="-3"/>
        </w:rPr>
        <w:t>S</w:t>
      </w:r>
      <w:r>
        <w:rPr>
          <w:rFonts w:ascii="Times New Roman" w:hAnsi="Times New Roman" w:eastAsia="Times New Roman" w:cs="Times New Roman"/>
          <w:sz w:val="15"/>
          <w:szCs w:val="15"/>
          <w:spacing w:val="-3"/>
          <w:position w:val="-1"/>
        </w:rPr>
        <w:t>pH</w:t>
      </w:r>
      <w:r>
        <w:rPr>
          <w:rFonts w:ascii="SimSun" w:hAnsi="SimSun" w:eastAsia="SimSun" w:cs="SimSun"/>
          <w:sz w:val="12"/>
          <w:szCs w:val="12"/>
          <w:spacing w:val="-3"/>
          <w:position w:val="-3"/>
        </w:rPr>
        <w:t>，</w:t>
      </w:r>
      <w:r>
        <w:rPr>
          <w:rFonts w:ascii="Times New Roman" w:hAnsi="Times New Roman" w:eastAsia="Times New Roman" w:cs="Times New Roman"/>
          <w:sz w:val="15"/>
          <w:szCs w:val="15"/>
          <w:spacing w:val="-3"/>
          <w:position w:val="-1"/>
        </w:rPr>
        <w:t>j</w:t>
      </w:r>
      <w:r>
        <w:rPr>
          <w:rFonts w:ascii="Times New Roman" w:hAnsi="Times New Roman" w:eastAsia="Times New Roman" w:cs="Times New Roman"/>
          <w:sz w:val="24"/>
          <w:szCs w:val="24"/>
          <w:spacing w:val="-3"/>
        </w:rPr>
        <w:t>—pH</w:t>
      </w:r>
      <w:r>
        <w:rPr>
          <w:rFonts w:ascii="Times New Roman" w:hAnsi="Times New Roman" w:eastAsia="Times New Roman" w:cs="Times New Roman"/>
          <w:sz w:val="24"/>
          <w:szCs w:val="24"/>
          <w:spacing w:val="44"/>
        </w:rPr>
        <w:t xml:space="preserve"> </w:t>
      </w:r>
      <w:r>
        <w:rPr>
          <w:rFonts w:ascii="SimSun" w:hAnsi="SimSun" w:eastAsia="SimSun" w:cs="SimSun"/>
          <w:sz w:val="24"/>
          <w:szCs w:val="24"/>
          <w:spacing w:val="-3"/>
        </w:rPr>
        <w:t>的标准指数；</w:t>
      </w:r>
    </w:p>
    <w:p>
      <w:pPr>
        <w:ind w:left="829"/>
        <w:spacing w:before="164" w:line="212" w:lineRule="auto"/>
        <w:rPr>
          <w:rFonts w:ascii="SimSun" w:hAnsi="SimSun" w:eastAsia="SimSun" w:cs="SimSun"/>
          <w:sz w:val="24"/>
          <w:szCs w:val="24"/>
        </w:rPr>
      </w:pPr>
      <w:r>
        <w:rPr>
          <w:rFonts w:ascii="Times New Roman" w:hAnsi="Times New Roman" w:eastAsia="Times New Roman" w:cs="Times New Roman"/>
          <w:sz w:val="24"/>
          <w:szCs w:val="24"/>
          <w:spacing w:val="-3"/>
        </w:rPr>
        <w:t>pH</w:t>
      </w:r>
      <w:r>
        <w:rPr>
          <w:rFonts w:ascii="Times New Roman" w:hAnsi="Times New Roman" w:eastAsia="Times New Roman" w:cs="Times New Roman"/>
          <w:sz w:val="15"/>
          <w:szCs w:val="15"/>
          <w:spacing w:val="-3"/>
          <w:position w:val="-1"/>
        </w:rPr>
        <w:t>j</w:t>
      </w:r>
      <w:r>
        <w:rPr>
          <w:rFonts w:ascii="Times New Roman" w:hAnsi="Times New Roman" w:eastAsia="Times New Roman" w:cs="Times New Roman"/>
          <w:sz w:val="24"/>
          <w:szCs w:val="24"/>
          <w:spacing w:val="-3"/>
        </w:rPr>
        <w:t>—pH</w:t>
      </w:r>
      <w:r>
        <w:rPr>
          <w:rFonts w:ascii="Times New Roman" w:hAnsi="Times New Roman" w:eastAsia="Times New Roman" w:cs="Times New Roman"/>
          <w:sz w:val="24"/>
          <w:szCs w:val="24"/>
          <w:spacing w:val="41"/>
        </w:rPr>
        <w:t xml:space="preserve"> </w:t>
      </w:r>
      <w:r>
        <w:rPr>
          <w:rFonts w:ascii="SimSun" w:hAnsi="SimSun" w:eastAsia="SimSun" w:cs="SimSun"/>
          <w:sz w:val="24"/>
          <w:szCs w:val="24"/>
          <w:spacing w:val="-3"/>
        </w:rPr>
        <w:t>的实测平均值；</w:t>
      </w:r>
    </w:p>
    <w:p>
      <w:pPr>
        <w:ind w:left="829"/>
        <w:spacing w:before="166" w:line="210" w:lineRule="auto"/>
        <w:rPr>
          <w:rFonts w:ascii="SimSun" w:hAnsi="SimSun" w:eastAsia="SimSun" w:cs="SimSun"/>
          <w:sz w:val="24"/>
          <w:szCs w:val="24"/>
        </w:rPr>
      </w:pPr>
      <w:r>
        <w:rPr>
          <w:rFonts w:ascii="Times New Roman" w:hAnsi="Times New Roman" w:eastAsia="Times New Roman" w:cs="Times New Roman"/>
          <w:sz w:val="24"/>
          <w:szCs w:val="24"/>
          <w:spacing w:val="-2"/>
        </w:rPr>
        <w:t>pH</w:t>
      </w:r>
      <w:r>
        <w:rPr>
          <w:rFonts w:ascii="Times New Roman" w:hAnsi="Times New Roman" w:eastAsia="Times New Roman" w:cs="Times New Roman"/>
          <w:sz w:val="15"/>
          <w:szCs w:val="15"/>
          <w:spacing w:val="-2"/>
          <w:position w:val="-1"/>
        </w:rPr>
        <w:t>sd</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的标准下限值；</w:t>
      </w:r>
    </w:p>
    <w:p>
      <w:pPr>
        <w:ind w:left="829"/>
        <w:spacing w:before="166" w:line="210" w:lineRule="auto"/>
        <w:rPr>
          <w:rFonts w:ascii="SimSun" w:hAnsi="SimSun" w:eastAsia="SimSun" w:cs="SimSun"/>
          <w:sz w:val="24"/>
          <w:szCs w:val="24"/>
        </w:rPr>
      </w:pPr>
      <w:r>
        <w:rPr>
          <w:rFonts w:ascii="Times New Roman" w:hAnsi="Times New Roman" w:eastAsia="Times New Roman" w:cs="Times New Roman"/>
          <w:sz w:val="24"/>
          <w:szCs w:val="24"/>
          <w:spacing w:val="-2"/>
        </w:rPr>
        <w:t>pH</w:t>
      </w:r>
      <w:r>
        <w:rPr>
          <w:rFonts w:ascii="Times New Roman" w:hAnsi="Times New Roman" w:eastAsia="Times New Roman" w:cs="Times New Roman"/>
          <w:sz w:val="15"/>
          <w:szCs w:val="15"/>
          <w:spacing w:val="-2"/>
          <w:position w:val="-1"/>
        </w:rPr>
        <w:t>su</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的标准上限值。</w:t>
      </w:r>
    </w:p>
    <w:p>
      <w:pPr>
        <w:ind w:left="123" w:right="112" w:firstLine="479"/>
        <w:spacing w:before="165" w:line="339" w:lineRule="auto"/>
        <w:rPr>
          <w:rFonts w:ascii="SimSun" w:hAnsi="SimSun" w:eastAsia="SimSun" w:cs="SimSun"/>
          <w:sz w:val="24"/>
          <w:szCs w:val="24"/>
        </w:rPr>
      </w:pPr>
      <w:r>
        <w:rPr>
          <w:rFonts w:ascii="SimSun" w:hAnsi="SimSun" w:eastAsia="SimSun" w:cs="SimSun"/>
          <w:sz w:val="24"/>
          <w:szCs w:val="24"/>
          <w:spacing w:val="-2"/>
        </w:rPr>
        <w:t>水质参数的标准指数大于</w:t>
      </w:r>
      <w:r>
        <w:rPr>
          <w:rFonts w:ascii="SimSun" w:hAnsi="SimSun" w:eastAsia="SimSun" w:cs="SimSun"/>
          <w:sz w:val="24"/>
          <w:szCs w:val="24"/>
          <w:spacing w:val="-21"/>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，表示该水质参数超过了规定的水质标准，已经不能满</w:t>
      </w:r>
      <w:r>
        <w:rPr>
          <w:rFonts w:ascii="SimSun" w:hAnsi="SimSun" w:eastAsia="SimSun" w:cs="SimSun"/>
          <w:sz w:val="24"/>
          <w:szCs w:val="24"/>
          <w:spacing w:val="-3"/>
        </w:rPr>
        <w:t>足使用要求。</w:t>
      </w:r>
    </w:p>
    <w:p>
      <w:pPr>
        <w:ind w:left="596"/>
        <w:spacing w:before="1"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4.2.4.5 </w:t>
      </w:r>
      <w:r>
        <w:rPr>
          <w:rFonts w:ascii="SimHei" w:hAnsi="SimHei" w:eastAsia="SimHei" w:cs="SimHei"/>
          <w:sz w:val="24"/>
          <w:szCs w:val="24"/>
          <w:b/>
          <w:bCs/>
          <w:spacing w:val="-2"/>
        </w:rPr>
        <w:t>计算结果及评价</w:t>
      </w:r>
    </w:p>
    <w:p>
      <w:pPr>
        <w:ind w:left="120" w:right="110" w:firstLine="479"/>
        <w:spacing w:before="153" w:line="338" w:lineRule="auto"/>
        <w:jc w:val="both"/>
        <w:rPr>
          <w:rFonts w:ascii="SimSun" w:hAnsi="SimSun" w:eastAsia="SimSun" w:cs="SimSun"/>
          <w:sz w:val="24"/>
          <w:szCs w:val="24"/>
        </w:rPr>
      </w:pPr>
      <w:r>
        <w:rPr>
          <w:rFonts w:ascii="SimSun" w:hAnsi="SimSun" w:eastAsia="SimSun" w:cs="SimSun"/>
          <w:sz w:val="24"/>
          <w:szCs w:val="24"/>
          <w:spacing w:val="1"/>
        </w:rPr>
        <w:t>根据地下水监测结果，区域地下水化学类型主要属于</w:t>
      </w:r>
      <w:r>
        <w:rPr>
          <w:rFonts w:ascii="SimSun" w:hAnsi="SimSun" w:eastAsia="SimSun" w:cs="SimSun"/>
          <w:sz w:val="24"/>
          <w:szCs w:val="24"/>
          <w:spacing w:val="-36"/>
        </w:rPr>
        <w:t xml:space="preserve"> </w:t>
      </w:r>
      <w:r>
        <w:rPr>
          <w:rFonts w:ascii="Times New Roman" w:hAnsi="Times New Roman" w:eastAsia="Times New Roman" w:cs="Times New Roman"/>
          <w:sz w:val="24"/>
          <w:szCs w:val="24"/>
        </w:rPr>
        <w:t>HCO</w:t>
      </w:r>
      <w:r>
        <w:rPr>
          <w:rFonts w:ascii="Times New Roman" w:hAnsi="Times New Roman" w:eastAsia="Times New Roman" w:cs="Times New Roman"/>
          <w:sz w:val="15"/>
          <w:szCs w:val="15"/>
          <w:spacing w:val="1"/>
          <w:position w:val="-1"/>
        </w:rPr>
        <w:t>3</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Cl</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Na</w:t>
      </w:r>
      <w:r>
        <w:rPr>
          <w:rFonts w:ascii="Times New Roman" w:hAnsi="Times New Roman" w:eastAsia="Times New Roman" w:cs="Times New Roman"/>
          <w:sz w:val="24"/>
          <w:szCs w:val="24"/>
          <w:spacing w:val="21"/>
          <w:w w:val="101"/>
        </w:rPr>
        <w:t xml:space="preserve"> </w:t>
      </w:r>
      <w:r>
        <w:rPr>
          <w:rFonts w:ascii="SimSun" w:hAnsi="SimSun" w:eastAsia="SimSun" w:cs="SimSun"/>
          <w:sz w:val="24"/>
          <w:szCs w:val="24"/>
          <w:spacing w:val="1"/>
        </w:rPr>
        <w:t>型水。对地</w:t>
      </w:r>
      <w:r>
        <w:rPr>
          <w:rFonts w:ascii="SimSun" w:hAnsi="SimSun" w:eastAsia="SimSun" w:cs="SimSun"/>
          <w:sz w:val="24"/>
          <w:szCs w:val="24"/>
          <w:spacing w:val="-2"/>
        </w:rPr>
        <w:t>下水各监测点水质采用《地下水质量标准》（</w:t>
      </w:r>
      <w:r>
        <w:rPr>
          <w:rFonts w:ascii="Times New Roman" w:hAnsi="Times New Roman" w:eastAsia="Times New Roman" w:cs="Times New Roman"/>
          <w:sz w:val="24"/>
          <w:szCs w:val="24"/>
          <w:spacing w:val="-2"/>
        </w:rPr>
        <w:t>GB/T14848-2017</w:t>
      </w:r>
      <w:r>
        <w:rPr>
          <w:rFonts w:ascii="SimSun" w:hAnsi="SimSun" w:eastAsia="SimSun" w:cs="SimSun"/>
          <w:sz w:val="24"/>
          <w:szCs w:val="24"/>
          <w:spacing w:val="-2"/>
        </w:rPr>
        <w:t>）</w:t>
      </w:r>
      <w:r>
        <w:rPr>
          <w:rFonts w:ascii="Times New Roman" w:hAnsi="Times New Roman" w:eastAsia="Times New Roman" w:cs="Times New Roman"/>
          <w:sz w:val="24"/>
          <w:szCs w:val="24"/>
          <w:spacing w:val="-2"/>
        </w:rPr>
        <w:t>Ⅲ</w:t>
      </w:r>
      <w:r>
        <w:rPr>
          <w:rFonts w:ascii="SimSun" w:hAnsi="SimSun" w:eastAsia="SimSun" w:cs="SimSun"/>
          <w:sz w:val="24"/>
          <w:szCs w:val="24"/>
          <w:spacing w:val="-2"/>
        </w:rPr>
        <w:t>类标准进行单项水质</w:t>
      </w:r>
      <w:r>
        <w:rPr>
          <w:rFonts w:ascii="SimSun" w:hAnsi="SimSun" w:eastAsia="SimSun" w:cs="SimSun"/>
          <w:sz w:val="24"/>
          <w:szCs w:val="24"/>
          <w:spacing w:val="1"/>
        </w:rPr>
        <w:t>参数指数评价，地下水监测结果如表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4-2-29</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与表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4-2-30 </w:t>
      </w:r>
      <w:r>
        <w:rPr>
          <w:rFonts w:ascii="SimSun" w:hAnsi="SimSun" w:eastAsia="SimSun" w:cs="SimSun"/>
          <w:sz w:val="24"/>
          <w:szCs w:val="24"/>
          <w:spacing w:val="1"/>
        </w:rPr>
        <w:t>所示，各监测点监测指标均符</w:t>
      </w:r>
      <w:r>
        <w:rPr>
          <w:rFonts w:ascii="SimSun" w:hAnsi="SimSun" w:eastAsia="SimSun" w:cs="SimSun"/>
          <w:sz w:val="24"/>
          <w:szCs w:val="24"/>
          <w:spacing w:val="-1"/>
        </w:rPr>
        <w:t>合《地下水质量标准》（</w:t>
      </w:r>
      <w:r>
        <w:rPr>
          <w:rFonts w:ascii="Times New Roman" w:hAnsi="Times New Roman" w:eastAsia="Times New Roman" w:cs="Times New Roman"/>
          <w:sz w:val="24"/>
          <w:szCs w:val="24"/>
          <w:spacing w:val="-1"/>
        </w:rPr>
        <w:t>GB/T</w:t>
      </w:r>
      <w:r>
        <w:rPr>
          <w:rFonts w:ascii="Times New Roman" w:hAnsi="Times New Roman" w:eastAsia="Times New Roman" w:cs="Times New Roman"/>
          <w:sz w:val="24"/>
          <w:szCs w:val="24"/>
          <w:spacing w:val="28"/>
          <w:w w:val="101"/>
        </w:rPr>
        <w:t xml:space="preserve"> </w:t>
      </w:r>
      <w:r>
        <w:rPr>
          <w:rFonts w:ascii="Times New Roman" w:hAnsi="Times New Roman" w:eastAsia="Times New Roman" w:cs="Times New Roman"/>
          <w:sz w:val="24"/>
          <w:szCs w:val="24"/>
          <w:spacing w:val="-1"/>
        </w:rPr>
        <w:t>14848-2017</w:t>
      </w:r>
      <w:r>
        <w:rPr>
          <w:rFonts w:ascii="SimSun" w:hAnsi="SimSun" w:eastAsia="SimSun" w:cs="SimSun"/>
          <w:sz w:val="24"/>
          <w:szCs w:val="24"/>
          <w:spacing w:val="-1"/>
        </w:rPr>
        <w:t>）</w:t>
      </w:r>
      <w:r>
        <w:rPr>
          <w:rFonts w:ascii="Times New Roman" w:hAnsi="Times New Roman" w:eastAsia="Times New Roman" w:cs="Times New Roman"/>
          <w:sz w:val="24"/>
          <w:szCs w:val="24"/>
          <w:spacing w:val="-1"/>
        </w:rPr>
        <w:t>Ⅲ</w:t>
      </w:r>
      <w:r>
        <w:rPr>
          <w:rFonts w:ascii="SimSun" w:hAnsi="SimSun" w:eastAsia="SimSun" w:cs="SimSun"/>
          <w:sz w:val="24"/>
          <w:szCs w:val="24"/>
          <w:spacing w:val="-1"/>
        </w:rPr>
        <w:t>类标准。区域地下水水</w:t>
      </w:r>
      <w:r>
        <w:rPr>
          <w:rFonts w:ascii="SimSun" w:hAnsi="SimSun" w:eastAsia="SimSun" w:cs="SimSun"/>
          <w:sz w:val="24"/>
          <w:szCs w:val="24"/>
          <w:spacing w:val="-2"/>
        </w:rPr>
        <w:t>质较好。</w:t>
      </w:r>
    </w:p>
    <w:p>
      <w:pPr>
        <w:ind w:left="3573"/>
        <w:spacing w:before="3" w:line="219" w:lineRule="auto"/>
        <w:rPr>
          <w:rFonts w:ascii="SimSun" w:hAnsi="SimSun" w:eastAsia="SimSun" w:cs="SimSun"/>
          <w:sz w:val="24"/>
          <w:szCs w:val="24"/>
        </w:rPr>
      </w:pPr>
      <w:r>
        <w:rPr>
          <w:rFonts w:ascii="SimSun" w:hAnsi="SimSun" w:eastAsia="SimSun" w:cs="SimSun"/>
          <w:sz w:val="24"/>
          <w:szCs w:val="24"/>
          <w:b/>
          <w:bCs/>
          <w:spacing w:val="-4"/>
        </w:rPr>
        <w:t>地下水化学类型分析</w:t>
      </w:r>
    </w:p>
    <w:p>
      <w:pPr>
        <w:ind w:left="117"/>
        <w:spacing w:before="178" w:line="229"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4-2-29</w:t>
      </w:r>
    </w:p>
    <w:p>
      <w:pPr>
        <w:spacing w:line="23" w:lineRule="exact"/>
        <w:rPr/>
      </w:pPr>
      <w:r/>
    </w:p>
    <w:tbl>
      <w:tblPr>
        <w:tblStyle w:val="TableNormal"/>
        <w:tblW w:w="920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5"/>
        <w:gridCol w:w="976"/>
        <w:gridCol w:w="837"/>
        <w:gridCol w:w="840"/>
        <w:gridCol w:w="837"/>
        <w:gridCol w:w="763"/>
        <w:gridCol w:w="911"/>
        <w:gridCol w:w="648"/>
        <w:gridCol w:w="708"/>
        <w:gridCol w:w="1981"/>
      </w:tblGrid>
      <w:tr>
        <w:trPr>
          <w:trHeight w:val="553" w:hRule="atLeast"/>
        </w:trPr>
        <w:tc>
          <w:tcPr>
            <w:tcW w:w="705" w:type="dxa"/>
            <w:vAlign w:val="top"/>
          </w:tcPr>
          <w:p>
            <w:pPr>
              <w:ind w:left="147"/>
              <w:spacing w:before="33" w:line="229" w:lineRule="auto"/>
              <w:rPr>
                <w:rFonts w:ascii="SimSun" w:hAnsi="SimSun" w:eastAsia="SimSun" w:cs="SimSun"/>
                <w:sz w:val="20"/>
                <w:szCs w:val="20"/>
              </w:rPr>
            </w:pPr>
            <w:r>
              <w:rPr>
                <w:rFonts w:ascii="SimSun" w:hAnsi="SimSun" w:eastAsia="SimSun" w:cs="SimSun"/>
                <w:sz w:val="20"/>
                <w:szCs w:val="20"/>
                <w:spacing w:val="4"/>
              </w:rPr>
              <w:t>监测</w:t>
            </w:r>
          </w:p>
          <w:p>
            <w:pPr>
              <w:ind w:left="157"/>
              <w:spacing w:before="25" w:line="217" w:lineRule="auto"/>
              <w:rPr>
                <w:rFonts w:ascii="SimSun" w:hAnsi="SimSun" w:eastAsia="SimSun" w:cs="SimSun"/>
                <w:sz w:val="20"/>
                <w:szCs w:val="20"/>
              </w:rPr>
            </w:pPr>
            <w:r>
              <w:rPr>
                <w:rFonts w:ascii="SimSun" w:hAnsi="SimSun" w:eastAsia="SimSun" w:cs="SimSun"/>
                <w:sz w:val="20"/>
                <w:szCs w:val="20"/>
                <w:spacing w:val="-1"/>
              </w:rPr>
              <w:t>点位</w:t>
            </w:r>
          </w:p>
        </w:tc>
        <w:tc>
          <w:tcPr>
            <w:tcW w:w="976" w:type="dxa"/>
            <w:vAlign w:val="top"/>
          </w:tcPr>
          <w:p>
            <w:pPr>
              <w:pStyle w:val="TableText"/>
              <w:ind w:left="371"/>
              <w:spacing w:before="197" w:line="204" w:lineRule="auto"/>
              <w:rPr>
                <w:sz w:val="13"/>
                <w:szCs w:val="13"/>
              </w:rPr>
            </w:pPr>
            <w:r>
              <w:rPr>
                <w:spacing w:val="2"/>
                <w:position w:val="-1"/>
              </w:rPr>
              <w:t>K</w:t>
            </w:r>
            <w:r>
              <w:rPr>
                <w:sz w:val="13"/>
                <w:szCs w:val="13"/>
                <w:spacing w:val="2"/>
                <w:position w:val="5"/>
              </w:rPr>
              <w:t>+</w:t>
            </w:r>
          </w:p>
        </w:tc>
        <w:tc>
          <w:tcPr>
            <w:tcW w:w="837" w:type="dxa"/>
            <w:vAlign w:val="top"/>
          </w:tcPr>
          <w:p>
            <w:pPr>
              <w:pStyle w:val="TableText"/>
              <w:ind w:left="250"/>
              <w:spacing w:before="197" w:line="204" w:lineRule="auto"/>
              <w:rPr>
                <w:sz w:val="13"/>
                <w:szCs w:val="13"/>
              </w:rPr>
            </w:pPr>
            <w:r>
              <w:rPr>
                <w:position w:val="-1"/>
              </w:rPr>
              <w:t>Na</w:t>
            </w:r>
            <w:r>
              <w:rPr>
                <w:sz w:val="13"/>
                <w:szCs w:val="13"/>
                <w:spacing w:val="17"/>
                <w:position w:val="5"/>
              </w:rPr>
              <w:t>+</w:t>
            </w:r>
          </w:p>
        </w:tc>
        <w:tc>
          <w:tcPr>
            <w:tcW w:w="840" w:type="dxa"/>
            <w:vAlign w:val="top"/>
          </w:tcPr>
          <w:p>
            <w:pPr>
              <w:pStyle w:val="TableText"/>
              <w:ind w:left="234"/>
              <w:spacing w:before="186" w:line="216" w:lineRule="auto"/>
              <w:rPr>
                <w:sz w:val="13"/>
                <w:szCs w:val="13"/>
              </w:rPr>
            </w:pPr>
            <w:r>
              <w:rPr>
                <w:position w:val="-2"/>
              </w:rPr>
              <w:t>Ca</w:t>
            </w:r>
            <w:r>
              <w:rPr>
                <w:sz w:val="13"/>
                <w:szCs w:val="13"/>
                <w:spacing w:val="5"/>
                <w:position w:val="4"/>
              </w:rPr>
              <w:t>2+</w:t>
            </w:r>
          </w:p>
        </w:tc>
        <w:tc>
          <w:tcPr>
            <w:tcW w:w="837" w:type="dxa"/>
            <w:vAlign w:val="top"/>
          </w:tcPr>
          <w:p>
            <w:pPr>
              <w:pStyle w:val="TableText"/>
              <w:ind w:left="199"/>
              <w:spacing w:before="186" w:line="218" w:lineRule="auto"/>
              <w:rPr>
                <w:sz w:val="13"/>
                <w:szCs w:val="13"/>
              </w:rPr>
            </w:pPr>
            <w:r>
              <w:rPr>
                <w:position w:val="-1"/>
              </w:rPr>
              <w:t>Mg</w:t>
            </w:r>
            <w:r>
              <w:rPr>
                <w:sz w:val="13"/>
                <w:szCs w:val="13"/>
                <w:spacing w:val="9"/>
                <w:position w:val="5"/>
              </w:rPr>
              <w:t>2+</w:t>
            </w:r>
          </w:p>
        </w:tc>
        <w:tc>
          <w:tcPr>
            <w:tcW w:w="763" w:type="dxa"/>
            <w:vAlign w:val="top"/>
          </w:tcPr>
          <w:p>
            <w:pPr>
              <w:pStyle w:val="TableText"/>
              <w:ind w:left="149"/>
              <w:spacing w:before="187" w:line="212" w:lineRule="auto"/>
              <w:rPr>
                <w:sz w:val="13"/>
                <w:szCs w:val="13"/>
              </w:rPr>
            </w:pPr>
            <w:r>
              <w:rPr/>
              <w:t>CO</w:t>
            </w:r>
            <w:r>
              <w:rPr>
                <w:sz w:val="13"/>
                <w:szCs w:val="13"/>
                <w:spacing w:val="5"/>
                <w:position w:val="-2"/>
              </w:rPr>
              <w:t>3</w:t>
            </w:r>
            <w:r>
              <w:rPr>
                <w:sz w:val="13"/>
                <w:szCs w:val="13"/>
                <w:spacing w:val="5"/>
                <w:position w:val="6"/>
              </w:rPr>
              <w:t>2-</w:t>
            </w:r>
          </w:p>
        </w:tc>
        <w:tc>
          <w:tcPr>
            <w:tcW w:w="911" w:type="dxa"/>
            <w:vAlign w:val="top"/>
          </w:tcPr>
          <w:p>
            <w:pPr>
              <w:pStyle w:val="TableText"/>
              <w:ind w:left="178"/>
              <w:spacing w:before="206" w:line="197" w:lineRule="auto"/>
              <w:rPr>
                <w:sz w:val="13"/>
                <w:szCs w:val="13"/>
              </w:rPr>
            </w:pPr>
            <w:r>
              <w:rPr/>
              <w:t>HCO</w:t>
            </w:r>
            <w:r>
              <w:rPr>
                <w:sz w:val="13"/>
                <w:szCs w:val="13"/>
                <w:spacing w:val="11"/>
                <w:position w:val="-1"/>
              </w:rPr>
              <w:t>3</w:t>
            </w:r>
            <w:r>
              <w:rPr>
                <w:sz w:val="13"/>
                <w:szCs w:val="13"/>
                <w:spacing w:val="11"/>
                <w:position w:val="7"/>
              </w:rPr>
              <w:t>-</w:t>
            </w:r>
          </w:p>
        </w:tc>
        <w:tc>
          <w:tcPr>
            <w:tcW w:w="648" w:type="dxa"/>
            <w:vAlign w:val="top"/>
          </w:tcPr>
          <w:p>
            <w:pPr>
              <w:pStyle w:val="TableText"/>
              <w:ind w:left="207"/>
              <w:spacing w:before="202" w:line="199" w:lineRule="auto"/>
              <w:rPr>
                <w:sz w:val="13"/>
                <w:szCs w:val="13"/>
              </w:rPr>
            </w:pPr>
            <w:r>
              <w:rPr/>
              <w:t>Cl</w:t>
            </w:r>
            <w:r>
              <w:rPr>
                <w:sz w:val="13"/>
                <w:szCs w:val="13"/>
                <w:spacing w:val="2"/>
                <w:position w:val="6"/>
              </w:rPr>
              <w:t>-</w:t>
            </w:r>
          </w:p>
        </w:tc>
        <w:tc>
          <w:tcPr>
            <w:tcW w:w="708" w:type="dxa"/>
            <w:vAlign w:val="top"/>
          </w:tcPr>
          <w:p>
            <w:pPr>
              <w:pStyle w:val="TableText"/>
              <w:ind w:left="141"/>
              <w:spacing w:before="186" w:line="213" w:lineRule="auto"/>
              <w:rPr>
                <w:sz w:val="13"/>
                <w:szCs w:val="13"/>
              </w:rPr>
            </w:pPr>
            <w:r>
              <w:rPr/>
              <w:t>SO</w:t>
            </w:r>
            <w:r>
              <w:rPr>
                <w:sz w:val="13"/>
                <w:szCs w:val="13"/>
                <w:spacing w:val="2"/>
                <w:position w:val="-2"/>
              </w:rPr>
              <w:t>4</w:t>
            </w:r>
            <w:r>
              <w:rPr>
                <w:sz w:val="13"/>
                <w:szCs w:val="13"/>
                <w:spacing w:val="2"/>
                <w:position w:val="6"/>
              </w:rPr>
              <w:t>2-</w:t>
            </w:r>
          </w:p>
        </w:tc>
        <w:tc>
          <w:tcPr>
            <w:tcW w:w="1981" w:type="dxa"/>
            <w:vAlign w:val="top"/>
          </w:tcPr>
          <w:p>
            <w:pPr>
              <w:ind w:left="261"/>
              <w:spacing w:before="167" w:line="228" w:lineRule="auto"/>
              <w:rPr>
                <w:rFonts w:ascii="SimSun" w:hAnsi="SimSun" w:eastAsia="SimSun" w:cs="SimSun"/>
                <w:sz w:val="20"/>
                <w:szCs w:val="20"/>
              </w:rPr>
            </w:pPr>
            <w:r>
              <w:rPr>
                <w:rFonts w:ascii="SimSun" w:hAnsi="SimSun" w:eastAsia="SimSun" w:cs="SimSun"/>
                <w:sz w:val="20"/>
                <w:szCs w:val="20"/>
                <w:spacing w:val="8"/>
              </w:rPr>
              <w:t>地下水化学类型</w:t>
            </w:r>
          </w:p>
        </w:tc>
      </w:tr>
      <w:tr>
        <w:trPr>
          <w:trHeight w:val="284" w:hRule="atLeast"/>
        </w:trPr>
        <w:tc>
          <w:tcPr>
            <w:tcW w:w="705" w:type="dxa"/>
            <w:vAlign w:val="top"/>
          </w:tcPr>
          <w:p>
            <w:pPr>
              <w:pStyle w:val="TableText"/>
              <w:ind w:left="224"/>
              <w:spacing w:before="71" w:line="195" w:lineRule="auto"/>
              <w:rPr/>
            </w:pPr>
            <w:r>
              <w:rPr>
                <w:spacing w:val="2"/>
              </w:rPr>
              <w:t>D1</w:t>
            </w:r>
          </w:p>
        </w:tc>
        <w:tc>
          <w:tcPr>
            <w:tcW w:w="976" w:type="dxa"/>
            <w:vAlign w:val="top"/>
          </w:tcPr>
          <w:p>
            <w:pPr>
              <w:pStyle w:val="TableText"/>
              <w:ind w:left="310"/>
              <w:spacing w:before="70" w:line="195" w:lineRule="auto"/>
              <w:rPr/>
            </w:pPr>
            <w:r>
              <w:rPr>
                <w:spacing w:val="1"/>
              </w:rPr>
              <w:t>8.64</w:t>
            </w:r>
          </w:p>
        </w:tc>
        <w:tc>
          <w:tcPr>
            <w:tcW w:w="837" w:type="dxa"/>
            <w:vAlign w:val="top"/>
          </w:tcPr>
          <w:p>
            <w:pPr>
              <w:pStyle w:val="TableText"/>
              <w:ind w:left="238"/>
              <w:spacing w:before="70" w:line="195" w:lineRule="auto"/>
              <w:rPr/>
            </w:pPr>
            <w:r>
              <w:rPr>
                <w:spacing w:val="2"/>
              </w:rPr>
              <w:t>64.6</w:t>
            </w:r>
          </w:p>
        </w:tc>
        <w:tc>
          <w:tcPr>
            <w:tcW w:w="840" w:type="dxa"/>
            <w:vAlign w:val="top"/>
          </w:tcPr>
          <w:p>
            <w:pPr>
              <w:pStyle w:val="TableText"/>
              <w:ind w:left="319"/>
              <w:spacing w:before="70" w:line="195" w:lineRule="auto"/>
              <w:rPr/>
            </w:pPr>
            <w:r>
              <w:rPr/>
              <w:t>39</w:t>
            </w:r>
          </w:p>
        </w:tc>
        <w:tc>
          <w:tcPr>
            <w:tcW w:w="837" w:type="dxa"/>
            <w:vAlign w:val="top"/>
          </w:tcPr>
          <w:p>
            <w:pPr>
              <w:pStyle w:val="TableText"/>
              <w:ind w:left="240"/>
              <w:spacing w:before="70" w:line="195" w:lineRule="auto"/>
              <w:rPr/>
            </w:pPr>
            <w:r>
              <w:rPr>
                <w:spacing w:val="2"/>
              </w:rPr>
              <w:t>37.2</w:t>
            </w:r>
          </w:p>
        </w:tc>
        <w:tc>
          <w:tcPr>
            <w:tcW w:w="763" w:type="dxa"/>
            <w:vAlign w:val="top"/>
          </w:tcPr>
          <w:p>
            <w:pPr>
              <w:pStyle w:val="TableText"/>
              <w:ind w:left="333"/>
              <w:spacing w:before="70" w:line="195" w:lineRule="auto"/>
              <w:rPr/>
            </w:pPr>
            <w:r>
              <w:rPr/>
              <w:t>0</w:t>
            </w:r>
          </w:p>
        </w:tc>
        <w:tc>
          <w:tcPr>
            <w:tcW w:w="911" w:type="dxa"/>
            <w:vAlign w:val="top"/>
          </w:tcPr>
          <w:p>
            <w:pPr>
              <w:pStyle w:val="TableText"/>
              <w:ind w:left="319"/>
              <w:spacing w:before="70" w:line="195" w:lineRule="auto"/>
              <w:rPr/>
            </w:pPr>
            <w:r>
              <w:rPr>
                <w:spacing w:val="-3"/>
              </w:rPr>
              <w:t>178</w:t>
            </w:r>
          </w:p>
        </w:tc>
        <w:tc>
          <w:tcPr>
            <w:tcW w:w="648" w:type="dxa"/>
            <w:vAlign w:val="top"/>
          </w:tcPr>
          <w:p>
            <w:pPr>
              <w:pStyle w:val="TableText"/>
              <w:ind w:left="193"/>
              <w:spacing w:before="70" w:line="195" w:lineRule="auto"/>
              <w:rPr/>
            </w:pPr>
            <w:r>
              <w:rPr>
                <w:spacing w:val="-6"/>
              </w:rPr>
              <w:t>119</w:t>
            </w:r>
          </w:p>
        </w:tc>
        <w:tc>
          <w:tcPr>
            <w:tcW w:w="708" w:type="dxa"/>
            <w:vAlign w:val="top"/>
          </w:tcPr>
          <w:p>
            <w:pPr>
              <w:pStyle w:val="TableText"/>
              <w:ind w:left="256"/>
              <w:spacing w:before="70" w:line="195" w:lineRule="auto"/>
              <w:rPr/>
            </w:pPr>
            <w:r>
              <w:rPr/>
              <w:t>93</w:t>
            </w:r>
          </w:p>
        </w:tc>
        <w:tc>
          <w:tcPr>
            <w:tcW w:w="1981" w:type="dxa"/>
            <w:vAlign w:val="top"/>
          </w:tcPr>
          <w:p>
            <w:pPr>
              <w:pStyle w:val="TableText"/>
              <w:ind w:left="267"/>
              <w:spacing w:before="67" w:line="201" w:lineRule="auto"/>
              <w:rPr/>
            </w:pPr>
            <w:r>
              <w:rPr/>
              <w:t>Cl</w:t>
            </w:r>
            <w:r>
              <w:rPr>
                <w:spacing w:val="14"/>
              </w:rPr>
              <w:t>·</w:t>
            </w:r>
            <w:r>
              <w:rPr/>
              <w:t>HCO</w:t>
            </w:r>
            <w:r>
              <w:rPr>
                <w:sz w:val="13"/>
                <w:szCs w:val="13"/>
                <w:spacing w:val="14"/>
              </w:rPr>
              <w:t>3</w:t>
            </w:r>
            <w:r>
              <w:rPr>
                <w:spacing w:val="14"/>
              </w:rPr>
              <w:t>-</w:t>
            </w:r>
            <w:r>
              <w:rPr/>
              <w:t>Mg</w:t>
            </w:r>
            <w:r>
              <w:rPr>
                <w:spacing w:val="14"/>
              </w:rPr>
              <w:t>·</w:t>
            </w:r>
            <w:r>
              <w:rPr/>
              <w:t>Na</w:t>
            </w:r>
          </w:p>
        </w:tc>
      </w:tr>
      <w:tr>
        <w:trPr>
          <w:trHeight w:val="284" w:hRule="atLeast"/>
        </w:trPr>
        <w:tc>
          <w:tcPr>
            <w:tcW w:w="705" w:type="dxa"/>
            <w:vAlign w:val="top"/>
          </w:tcPr>
          <w:p>
            <w:pPr>
              <w:pStyle w:val="TableText"/>
              <w:ind w:left="224"/>
              <w:spacing w:before="72" w:line="195" w:lineRule="auto"/>
              <w:rPr/>
            </w:pPr>
            <w:r>
              <w:rPr>
                <w:spacing w:val="2"/>
              </w:rPr>
              <w:t>D2</w:t>
            </w:r>
          </w:p>
        </w:tc>
        <w:tc>
          <w:tcPr>
            <w:tcW w:w="976" w:type="dxa"/>
            <w:vAlign w:val="top"/>
          </w:tcPr>
          <w:p>
            <w:pPr>
              <w:pStyle w:val="TableText"/>
              <w:ind w:left="306"/>
              <w:spacing w:before="72" w:line="195" w:lineRule="auto"/>
              <w:rPr/>
            </w:pPr>
            <w:r>
              <w:rPr>
                <w:spacing w:val="2"/>
              </w:rPr>
              <w:t>9.39</w:t>
            </w:r>
          </w:p>
        </w:tc>
        <w:tc>
          <w:tcPr>
            <w:tcW w:w="837" w:type="dxa"/>
            <w:vAlign w:val="top"/>
          </w:tcPr>
          <w:p>
            <w:pPr>
              <w:pStyle w:val="TableText"/>
              <w:ind w:left="236"/>
              <w:spacing w:before="72" w:line="195" w:lineRule="auto"/>
              <w:rPr/>
            </w:pPr>
            <w:r>
              <w:rPr>
                <w:spacing w:val="2"/>
              </w:rPr>
              <w:t>76.5</w:t>
            </w:r>
          </w:p>
        </w:tc>
        <w:tc>
          <w:tcPr>
            <w:tcW w:w="840" w:type="dxa"/>
            <w:vAlign w:val="top"/>
          </w:tcPr>
          <w:p>
            <w:pPr>
              <w:pStyle w:val="TableText"/>
              <w:ind w:left="235"/>
              <w:spacing w:before="72" w:line="195" w:lineRule="auto"/>
              <w:rPr/>
            </w:pPr>
            <w:r>
              <w:rPr>
                <w:spacing w:val="3"/>
              </w:rPr>
              <w:t>47.6</w:t>
            </w:r>
          </w:p>
        </w:tc>
        <w:tc>
          <w:tcPr>
            <w:tcW w:w="837" w:type="dxa"/>
            <w:vAlign w:val="top"/>
          </w:tcPr>
          <w:p>
            <w:pPr>
              <w:pStyle w:val="TableText"/>
              <w:ind w:left="235"/>
              <w:spacing w:before="72" w:line="195" w:lineRule="auto"/>
              <w:rPr/>
            </w:pPr>
            <w:r>
              <w:rPr>
                <w:spacing w:val="3"/>
              </w:rPr>
              <w:t>44.2</w:t>
            </w:r>
          </w:p>
        </w:tc>
        <w:tc>
          <w:tcPr>
            <w:tcW w:w="763" w:type="dxa"/>
            <w:vAlign w:val="top"/>
          </w:tcPr>
          <w:p>
            <w:pPr>
              <w:pStyle w:val="TableText"/>
              <w:ind w:left="333"/>
              <w:spacing w:before="72" w:line="195" w:lineRule="auto"/>
              <w:rPr/>
            </w:pPr>
            <w:r>
              <w:rPr/>
              <w:t>0</w:t>
            </w:r>
          </w:p>
        </w:tc>
        <w:tc>
          <w:tcPr>
            <w:tcW w:w="911" w:type="dxa"/>
            <w:vAlign w:val="top"/>
          </w:tcPr>
          <w:p>
            <w:pPr>
              <w:pStyle w:val="TableText"/>
              <w:ind w:left="299"/>
              <w:spacing w:before="72" w:line="195" w:lineRule="auto"/>
              <w:rPr/>
            </w:pPr>
            <w:r>
              <w:rPr>
                <w:spacing w:val="3"/>
              </w:rPr>
              <w:t>281</w:t>
            </w:r>
          </w:p>
        </w:tc>
        <w:tc>
          <w:tcPr>
            <w:tcW w:w="648" w:type="dxa"/>
            <w:vAlign w:val="top"/>
          </w:tcPr>
          <w:p>
            <w:pPr>
              <w:pStyle w:val="TableText"/>
              <w:ind w:left="193"/>
              <w:spacing w:before="72" w:line="195" w:lineRule="auto"/>
              <w:rPr/>
            </w:pPr>
            <w:r>
              <w:rPr>
                <w:spacing w:val="-6"/>
              </w:rPr>
              <w:t>116</w:t>
            </w:r>
          </w:p>
        </w:tc>
        <w:tc>
          <w:tcPr>
            <w:tcW w:w="708" w:type="dxa"/>
            <w:vAlign w:val="top"/>
          </w:tcPr>
          <w:p>
            <w:pPr>
              <w:pStyle w:val="TableText"/>
              <w:ind w:left="261"/>
              <w:spacing w:before="72" w:line="195" w:lineRule="auto"/>
              <w:rPr/>
            </w:pPr>
            <w:r>
              <w:rPr>
                <w:spacing w:val="-2"/>
              </w:rPr>
              <w:t>89</w:t>
            </w:r>
          </w:p>
        </w:tc>
        <w:tc>
          <w:tcPr>
            <w:tcW w:w="1981" w:type="dxa"/>
            <w:vAlign w:val="top"/>
          </w:tcPr>
          <w:p>
            <w:pPr>
              <w:pStyle w:val="TableText"/>
              <w:ind w:left="263"/>
              <w:spacing w:before="68" w:line="201" w:lineRule="auto"/>
              <w:rPr/>
            </w:pPr>
            <w:r>
              <w:rPr/>
              <w:t>HCO</w:t>
            </w:r>
            <w:r>
              <w:rPr>
                <w:sz w:val="13"/>
                <w:szCs w:val="13"/>
                <w:spacing w:val="15"/>
                <w:position w:val="-1"/>
              </w:rPr>
              <w:t>3</w:t>
            </w:r>
            <w:r>
              <w:rPr>
                <w:spacing w:val="15"/>
              </w:rPr>
              <w:t>·</w:t>
            </w:r>
            <w:r>
              <w:rPr/>
              <w:t>Cl</w:t>
            </w:r>
            <w:r>
              <w:rPr>
                <w:spacing w:val="15"/>
              </w:rPr>
              <w:t>-</w:t>
            </w:r>
            <w:r>
              <w:rPr/>
              <w:t>Mg</w:t>
            </w:r>
            <w:r>
              <w:rPr>
                <w:spacing w:val="15"/>
              </w:rPr>
              <w:t>·</w:t>
            </w:r>
            <w:r>
              <w:rPr/>
              <w:t>Na</w:t>
            </w:r>
          </w:p>
        </w:tc>
      </w:tr>
      <w:tr>
        <w:trPr>
          <w:trHeight w:val="285" w:hRule="atLeast"/>
        </w:trPr>
        <w:tc>
          <w:tcPr>
            <w:tcW w:w="705" w:type="dxa"/>
            <w:vAlign w:val="top"/>
          </w:tcPr>
          <w:p>
            <w:pPr>
              <w:pStyle w:val="TableText"/>
              <w:ind w:left="224"/>
              <w:spacing w:before="73" w:line="195" w:lineRule="auto"/>
              <w:rPr/>
            </w:pPr>
            <w:r>
              <w:rPr>
                <w:spacing w:val="2"/>
              </w:rPr>
              <w:t>D3</w:t>
            </w:r>
          </w:p>
        </w:tc>
        <w:tc>
          <w:tcPr>
            <w:tcW w:w="976" w:type="dxa"/>
            <w:vAlign w:val="top"/>
          </w:tcPr>
          <w:p>
            <w:pPr>
              <w:pStyle w:val="TableText"/>
              <w:ind w:left="305"/>
              <w:spacing w:before="73" w:line="195" w:lineRule="auto"/>
              <w:rPr/>
            </w:pPr>
            <w:r>
              <w:rPr>
                <w:spacing w:val="2"/>
              </w:rPr>
              <w:t>7.72</w:t>
            </w:r>
          </w:p>
        </w:tc>
        <w:tc>
          <w:tcPr>
            <w:tcW w:w="837" w:type="dxa"/>
            <w:vAlign w:val="top"/>
          </w:tcPr>
          <w:p>
            <w:pPr>
              <w:pStyle w:val="TableText"/>
              <w:ind w:left="241"/>
              <w:spacing w:before="73" w:line="195" w:lineRule="auto"/>
              <w:rPr/>
            </w:pPr>
            <w:r>
              <w:rPr>
                <w:spacing w:val="1"/>
              </w:rPr>
              <w:t>84.8</w:t>
            </w:r>
          </w:p>
        </w:tc>
        <w:tc>
          <w:tcPr>
            <w:tcW w:w="840" w:type="dxa"/>
            <w:vAlign w:val="top"/>
          </w:tcPr>
          <w:p>
            <w:pPr>
              <w:pStyle w:val="TableText"/>
              <w:ind w:left="235"/>
              <w:spacing w:before="73" w:line="195" w:lineRule="auto"/>
              <w:rPr/>
            </w:pPr>
            <w:r>
              <w:rPr>
                <w:spacing w:val="3"/>
              </w:rPr>
              <w:t>45.3</w:t>
            </w:r>
          </w:p>
        </w:tc>
        <w:tc>
          <w:tcPr>
            <w:tcW w:w="837" w:type="dxa"/>
            <w:vAlign w:val="top"/>
          </w:tcPr>
          <w:p>
            <w:pPr>
              <w:pStyle w:val="TableText"/>
              <w:ind w:left="235"/>
              <w:spacing w:before="73" w:line="195" w:lineRule="auto"/>
              <w:rPr/>
            </w:pPr>
            <w:r>
              <w:rPr>
                <w:spacing w:val="3"/>
              </w:rPr>
              <w:t>49.6</w:t>
            </w:r>
          </w:p>
        </w:tc>
        <w:tc>
          <w:tcPr>
            <w:tcW w:w="763" w:type="dxa"/>
            <w:vAlign w:val="top"/>
          </w:tcPr>
          <w:p>
            <w:pPr>
              <w:pStyle w:val="TableText"/>
              <w:ind w:left="333"/>
              <w:spacing w:before="73" w:line="195" w:lineRule="auto"/>
              <w:rPr/>
            </w:pPr>
            <w:r>
              <w:rPr/>
              <w:t>0</w:t>
            </w:r>
          </w:p>
        </w:tc>
        <w:tc>
          <w:tcPr>
            <w:tcW w:w="911" w:type="dxa"/>
            <w:vAlign w:val="top"/>
          </w:tcPr>
          <w:p>
            <w:pPr>
              <w:pStyle w:val="TableText"/>
              <w:ind w:left="303"/>
              <w:spacing w:before="73" w:line="195" w:lineRule="auto"/>
              <w:rPr/>
            </w:pPr>
            <w:r>
              <w:rPr>
                <w:spacing w:val="2"/>
              </w:rPr>
              <w:t>326</w:t>
            </w:r>
          </w:p>
        </w:tc>
        <w:tc>
          <w:tcPr>
            <w:tcW w:w="648" w:type="dxa"/>
            <w:vAlign w:val="top"/>
          </w:tcPr>
          <w:p>
            <w:pPr>
              <w:pStyle w:val="TableText"/>
              <w:ind w:left="193"/>
              <w:spacing w:before="73" w:line="195" w:lineRule="auto"/>
              <w:rPr/>
            </w:pPr>
            <w:r>
              <w:rPr>
                <w:spacing w:val="-6"/>
              </w:rPr>
              <w:t>115</w:t>
            </w:r>
          </w:p>
        </w:tc>
        <w:tc>
          <w:tcPr>
            <w:tcW w:w="708" w:type="dxa"/>
            <w:vAlign w:val="top"/>
          </w:tcPr>
          <w:p>
            <w:pPr>
              <w:pStyle w:val="TableText"/>
              <w:ind w:left="261"/>
              <w:spacing w:before="73" w:line="195" w:lineRule="auto"/>
              <w:rPr/>
            </w:pPr>
            <w:r>
              <w:rPr>
                <w:spacing w:val="-2"/>
              </w:rPr>
              <w:t>86</w:t>
            </w:r>
          </w:p>
        </w:tc>
        <w:tc>
          <w:tcPr>
            <w:tcW w:w="1981" w:type="dxa"/>
            <w:vAlign w:val="top"/>
          </w:tcPr>
          <w:p>
            <w:pPr>
              <w:pStyle w:val="TableText"/>
              <w:ind w:left="263"/>
              <w:spacing w:before="69" w:line="201" w:lineRule="auto"/>
              <w:rPr/>
            </w:pPr>
            <w:r>
              <w:rPr/>
              <w:t>HCO</w:t>
            </w:r>
            <w:r>
              <w:rPr>
                <w:sz w:val="13"/>
                <w:szCs w:val="13"/>
                <w:spacing w:val="15"/>
                <w:position w:val="-1"/>
              </w:rPr>
              <w:t>3</w:t>
            </w:r>
            <w:r>
              <w:rPr>
                <w:spacing w:val="15"/>
              </w:rPr>
              <w:t>·</w:t>
            </w:r>
            <w:r>
              <w:rPr/>
              <w:t>Cl</w:t>
            </w:r>
            <w:r>
              <w:rPr>
                <w:spacing w:val="15"/>
              </w:rPr>
              <w:t>-</w:t>
            </w:r>
            <w:r>
              <w:rPr/>
              <w:t>Mg</w:t>
            </w:r>
            <w:r>
              <w:rPr>
                <w:spacing w:val="15"/>
              </w:rPr>
              <w:t>·</w:t>
            </w:r>
            <w:r>
              <w:rPr/>
              <w:t>Na</w:t>
            </w:r>
          </w:p>
        </w:tc>
      </w:tr>
      <w:tr>
        <w:trPr>
          <w:trHeight w:val="289" w:hRule="atLeast"/>
        </w:trPr>
        <w:tc>
          <w:tcPr>
            <w:tcW w:w="705" w:type="dxa"/>
            <w:vAlign w:val="top"/>
          </w:tcPr>
          <w:p>
            <w:pPr>
              <w:pStyle w:val="TableText"/>
              <w:ind w:left="224"/>
              <w:spacing w:before="74" w:line="195" w:lineRule="auto"/>
              <w:rPr/>
            </w:pPr>
            <w:r>
              <w:rPr>
                <w:spacing w:val="2"/>
              </w:rPr>
              <w:t>D4</w:t>
            </w:r>
          </w:p>
        </w:tc>
        <w:tc>
          <w:tcPr>
            <w:tcW w:w="976" w:type="dxa"/>
            <w:vAlign w:val="top"/>
          </w:tcPr>
          <w:p>
            <w:pPr>
              <w:pStyle w:val="TableText"/>
              <w:ind w:left="306"/>
              <w:spacing w:before="74" w:line="195" w:lineRule="auto"/>
              <w:rPr/>
            </w:pPr>
            <w:r>
              <w:rPr>
                <w:spacing w:val="2"/>
              </w:rPr>
              <w:t>9.46</w:t>
            </w:r>
          </w:p>
        </w:tc>
        <w:tc>
          <w:tcPr>
            <w:tcW w:w="837" w:type="dxa"/>
            <w:vAlign w:val="top"/>
          </w:tcPr>
          <w:p>
            <w:pPr>
              <w:pStyle w:val="TableText"/>
              <w:ind w:left="321"/>
              <w:spacing w:before="74" w:line="195" w:lineRule="auto"/>
              <w:rPr/>
            </w:pPr>
            <w:r>
              <w:rPr>
                <w:spacing w:val="-2"/>
              </w:rPr>
              <w:t>83</w:t>
            </w:r>
          </w:p>
        </w:tc>
        <w:tc>
          <w:tcPr>
            <w:tcW w:w="840" w:type="dxa"/>
            <w:vAlign w:val="top"/>
          </w:tcPr>
          <w:p>
            <w:pPr>
              <w:pStyle w:val="TableText"/>
              <w:ind w:left="242"/>
              <w:spacing w:before="74" w:line="195" w:lineRule="auto"/>
              <w:rPr/>
            </w:pPr>
            <w:r>
              <w:rPr>
                <w:spacing w:val="2"/>
              </w:rPr>
              <w:t>53.2</w:t>
            </w:r>
          </w:p>
        </w:tc>
        <w:tc>
          <w:tcPr>
            <w:tcW w:w="837" w:type="dxa"/>
            <w:vAlign w:val="top"/>
          </w:tcPr>
          <w:p>
            <w:pPr>
              <w:pStyle w:val="TableText"/>
              <w:ind w:left="242"/>
              <w:spacing w:before="74" w:line="195" w:lineRule="auto"/>
              <w:rPr/>
            </w:pPr>
            <w:r>
              <w:rPr>
                <w:spacing w:val="2"/>
              </w:rPr>
              <w:t>53.9</w:t>
            </w:r>
          </w:p>
        </w:tc>
        <w:tc>
          <w:tcPr>
            <w:tcW w:w="763" w:type="dxa"/>
            <w:vAlign w:val="top"/>
          </w:tcPr>
          <w:p>
            <w:pPr>
              <w:pStyle w:val="TableText"/>
              <w:ind w:left="333"/>
              <w:spacing w:before="74" w:line="195" w:lineRule="auto"/>
              <w:rPr/>
            </w:pPr>
            <w:r>
              <w:rPr/>
              <w:t>0</w:t>
            </w:r>
          </w:p>
        </w:tc>
        <w:tc>
          <w:tcPr>
            <w:tcW w:w="911" w:type="dxa"/>
            <w:vAlign w:val="top"/>
          </w:tcPr>
          <w:p>
            <w:pPr>
              <w:pStyle w:val="TableText"/>
              <w:ind w:left="303"/>
              <w:spacing w:before="74" w:line="195" w:lineRule="auto"/>
              <w:rPr/>
            </w:pPr>
            <w:r>
              <w:rPr>
                <w:spacing w:val="2"/>
              </w:rPr>
              <w:t>357</w:t>
            </w:r>
          </w:p>
        </w:tc>
        <w:tc>
          <w:tcPr>
            <w:tcW w:w="648" w:type="dxa"/>
            <w:vAlign w:val="top"/>
          </w:tcPr>
          <w:p>
            <w:pPr>
              <w:pStyle w:val="TableText"/>
              <w:ind w:left="188"/>
              <w:spacing w:before="74" w:line="195" w:lineRule="auto"/>
              <w:rPr/>
            </w:pPr>
            <w:r>
              <w:rPr>
                <w:spacing w:val="-3"/>
              </w:rPr>
              <w:t>123</w:t>
            </w:r>
          </w:p>
        </w:tc>
        <w:tc>
          <w:tcPr>
            <w:tcW w:w="708" w:type="dxa"/>
            <w:vAlign w:val="top"/>
          </w:tcPr>
          <w:p>
            <w:pPr>
              <w:pStyle w:val="TableText"/>
              <w:ind w:left="261"/>
              <w:spacing w:before="74" w:line="195" w:lineRule="auto"/>
              <w:rPr/>
            </w:pPr>
            <w:r>
              <w:rPr>
                <w:spacing w:val="-2"/>
              </w:rPr>
              <w:t>82</w:t>
            </w:r>
          </w:p>
        </w:tc>
        <w:tc>
          <w:tcPr>
            <w:tcW w:w="1981" w:type="dxa"/>
            <w:vAlign w:val="top"/>
          </w:tcPr>
          <w:p>
            <w:pPr>
              <w:pStyle w:val="TableText"/>
              <w:ind w:left="263"/>
              <w:spacing w:before="70" w:line="201" w:lineRule="auto"/>
              <w:rPr/>
            </w:pPr>
            <w:r>
              <w:rPr/>
              <w:t>HCO</w:t>
            </w:r>
            <w:r>
              <w:rPr>
                <w:sz w:val="13"/>
                <w:szCs w:val="13"/>
                <w:spacing w:val="15"/>
                <w:position w:val="-1"/>
              </w:rPr>
              <w:t>3</w:t>
            </w:r>
            <w:r>
              <w:rPr>
                <w:spacing w:val="15"/>
              </w:rPr>
              <w:t>·</w:t>
            </w:r>
            <w:r>
              <w:rPr/>
              <w:t>Cl</w:t>
            </w:r>
            <w:r>
              <w:rPr>
                <w:spacing w:val="15"/>
              </w:rPr>
              <w:t>-</w:t>
            </w:r>
            <w:r>
              <w:rPr/>
              <w:t>Mg</w:t>
            </w:r>
            <w:r>
              <w:rPr>
                <w:spacing w:val="15"/>
              </w:rPr>
              <w:t>·</w:t>
            </w:r>
            <w:r>
              <w:rPr/>
              <w:t>Na</w:t>
            </w:r>
          </w:p>
        </w:tc>
      </w:tr>
    </w:tbl>
    <w:p>
      <w:pPr>
        <w:pStyle w:val="BodyText"/>
        <w:spacing w:line="251" w:lineRule="auto"/>
        <w:rPr/>
      </w:pPr>
      <w:r/>
    </w:p>
    <w:p>
      <w:pPr>
        <w:pStyle w:val="BodyText"/>
        <w:spacing w:line="251" w:lineRule="auto"/>
        <w:rPr/>
      </w:pPr>
      <w:r/>
    </w:p>
    <w:p>
      <w:pPr>
        <w:ind w:left="3573"/>
        <w:spacing w:before="78" w:line="219" w:lineRule="auto"/>
        <w:rPr>
          <w:rFonts w:ascii="SimSun" w:hAnsi="SimSun" w:eastAsia="SimSun" w:cs="SimSun"/>
          <w:sz w:val="24"/>
          <w:szCs w:val="24"/>
        </w:rPr>
      </w:pPr>
      <w:r>
        <w:rPr>
          <w:rFonts w:ascii="SimSun" w:hAnsi="SimSun" w:eastAsia="SimSun" w:cs="SimSun"/>
          <w:sz w:val="24"/>
          <w:szCs w:val="24"/>
          <w:b/>
          <w:bCs/>
          <w:spacing w:val="-4"/>
        </w:rPr>
        <w:t>地下水水质监测结果</w:t>
      </w:r>
    </w:p>
    <w:p>
      <w:pPr>
        <w:ind w:left="117"/>
        <w:spacing w:before="181" w:line="229"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4-2-30</w:t>
      </w:r>
    </w:p>
    <w:p>
      <w:pPr>
        <w:spacing w:line="23" w:lineRule="exact"/>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4"/>
        <w:gridCol w:w="1266"/>
        <w:gridCol w:w="1024"/>
        <w:gridCol w:w="1026"/>
        <w:gridCol w:w="1027"/>
        <w:gridCol w:w="1027"/>
        <w:gridCol w:w="3003"/>
      </w:tblGrid>
      <w:tr>
        <w:trPr>
          <w:trHeight w:val="469" w:hRule="atLeast"/>
        </w:trPr>
        <w:tc>
          <w:tcPr>
            <w:tcW w:w="914" w:type="dxa"/>
            <w:vAlign w:val="top"/>
            <w:vMerge w:val="restart"/>
            <w:tcBorders>
              <w:bottom w:val="nil"/>
            </w:tcBorders>
          </w:tcPr>
          <w:p>
            <w:pPr>
              <w:ind w:left="353" w:right="140" w:hanging="206"/>
              <w:spacing w:before="228" w:line="252" w:lineRule="auto"/>
              <w:rPr>
                <w:rFonts w:ascii="SimSun" w:hAnsi="SimSun" w:eastAsia="SimSun" w:cs="SimSun"/>
                <w:sz w:val="20"/>
                <w:szCs w:val="20"/>
              </w:rPr>
            </w:pPr>
            <w:r>
              <w:rPr>
                <w:rFonts w:ascii="SimSun" w:hAnsi="SimSun" w:eastAsia="SimSun" w:cs="SimSun"/>
                <w:sz w:val="20"/>
                <w:szCs w:val="20"/>
                <w:spacing w:val="6"/>
              </w:rPr>
              <w:t>监测指</w:t>
            </w:r>
            <w:r>
              <w:rPr>
                <w:rFonts w:ascii="SimSun" w:hAnsi="SimSun" w:eastAsia="SimSun" w:cs="SimSun"/>
                <w:sz w:val="20"/>
                <w:szCs w:val="20"/>
              </w:rPr>
              <w:t>标</w:t>
            </w:r>
          </w:p>
        </w:tc>
        <w:tc>
          <w:tcPr>
            <w:tcW w:w="1266" w:type="dxa"/>
            <w:vAlign w:val="top"/>
            <w:vMerge w:val="restart"/>
            <w:tcBorders>
              <w:bottom w:val="nil"/>
            </w:tcBorders>
          </w:tcPr>
          <w:p>
            <w:pPr>
              <w:spacing w:line="296" w:lineRule="auto"/>
              <w:rPr>
                <w:rFonts w:ascii="Arial"/>
                <w:sz w:val="21"/>
              </w:rPr>
            </w:pPr>
            <w:r/>
          </w:p>
          <w:p>
            <w:pPr>
              <w:ind w:left="425"/>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4104" w:type="dxa"/>
            <w:vAlign w:val="top"/>
            <w:gridSpan w:val="4"/>
          </w:tcPr>
          <w:p>
            <w:pPr>
              <w:ind w:left="1637"/>
              <w:spacing w:before="127" w:line="228" w:lineRule="auto"/>
              <w:rPr>
                <w:rFonts w:ascii="SimSun" w:hAnsi="SimSun" w:eastAsia="SimSun" w:cs="SimSun"/>
                <w:sz w:val="20"/>
                <w:szCs w:val="20"/>
              </w:rPr>
            </w:pPr>
            <w:r>
              <w:rPr>
                <w:rFonts w:ascii="SimSun" w:hAnsi="SimSun" w:eastAsia="SimSun" w:cs="SimSun"/>
                <w:sz w:val="20"/>
                <w:szCs w:val="20"/>
                <w:spacing w:val="7"/>
              </w:rPr>
              <w:t>监测结果</w:t>
            </w:r>
          </w:p>
        </w:tc>
        <w:tc>
          <w:tcPr>
            <w:tcW w:w="3003" w:type="dxa"/>
            <w:vAlign w:val="top"/>
          </w:tcPr>
          <w:p>
            <w:pPr>
              <w:pStyle w:val="TableText"/>
              <w:ind w:left="120"/>
              <w:spacing w:before="127" w:line="228" w:lineRule="auto"/>
              <w:rPr>
                <w:rFonts w:ascii="SimSun" w:hAnsi="SimSun" w:eastAsia="SimSun" w:cs="SimSun"/>
              </w:rPr>
            </w:pPr>
            <w:r>
              <w:rPr>
                <w:rFonts w:ascii="SimSun" w:hAnsi="SimSun" w:eastAsia="SimSun" w:cs="SimSun"/>
                <w:spacing w:val="8"/>
              </w:rPr>
              <w:t>《地下水质量标准》</w:t>
            </w:r>
            <w:r>
              <w:rPr/>
              <w:t>III</w:t>
            </w:r>
            <w:r>
              <w:rPr>
                <w:spacing w:val="8"/>
              </w:rPr>
              <w:t xml:space="preserve"> </w:t>
            </w:r>
            <w:r>
              <w:rPr>
                <w:rFonts w:ascii="SimSun" w:hAnsi="SimSun" w:eastAsia="SimSun" w:cs="SimSun"/>
                <w:spacing w:val="8"/>
              </w:rPr>
              <w:t>类标准</w:t>
            </w:r>
          </w:p>
        </w:tc>
      </w:tr>
      <w:tr>
        <w:trPr>
          <w:trHeight w:val="467" w:hRule="atLeast"/>
        </w:trPr>
        <w:tc>
          <w:tcPr>
            <w:tcW w:w="914" w:type="dxa"/>
            <w:vAlign w:val="top"/>
            <w:vMerge w:val="continue"/>
            <w:tcBorders>
              <w:top w:val="nil"/>
            </w:tcBorders>
          </w:tcPr>
          <w:p>
            <w:pPr>
              <w:rPr>
                <w:rFonts w:ascii="Arial"/>
                <w:sz w:val="21"/>
              </w:rPr>
            </w:pPr>
            <w:r/>
          </w:p>
        </w:tc>
        <w:tc>
          <w:tcPr>
            <w:tcW w:w="1266" w:type="dxa"/>
            <w:vAlign w:val="top"/>
            <w:vMerge w:val="continue"/>
            <w:tcBorders>
              <w:top w:val="nil"/>
            </w:tcBorders>
          </w:tcPr>
          <w:p>
            <w:pPr>
              <w:rPr>
                <w:rFonts w:ascii="Arial"/>
                <w:sz w:val="21"/>
              </w:rPr>
            </w:pPr>
            <w:r/>
          </w:p>
        </w:tc>
        <w:tc>
          <w:tcPr>
            <w:tcW w:w="1024" w:type="dxa"/>
            <w:vAlign w:val="top"/>
          </w:tcPr>
          <w:p>
            <w:pPr>
              <w:pStyle w:val="TableText"/>
              <w:ind w:left="384"/>
              <w:spacing w:before="162" w:line="195" w:lineRule="auto"/>
              <w:rPr/>
            </w:pPr>
            <w:r>
              <w:rPr>
                <w:spacing w:val="2"/>
              </w:rPr>
              <w:t>D1</w:t>
            </w:r>
          </w:p>
        </w:tc>
        <w:tc>
          <w:tcPr>
            <w:tcW w:w="1026" w:type="dxa"/>
            <w:vAlign w:val="top"/>
          </w:tcPr>
          <w:p>
            <w:pPr>
              <w:pStyle w:val="TableText"/>
              <w:ind w:left="384"/>
              <w:spacing w:before="162" w:line="195" w:lineRule="auto"/>
              <w:rPr/>
            </w:pPr>
            <w:r>
              <w:rPr>
                <w:spacing w:val="3"/>
              </w:rPr>
              <w:t>D2</w:t>
            </w:r>
          </w:p>
        </w:tc>
        <w:tc>
          <w:tcPr>
            <w:tcW w:w="1027" w:type="dxa"/>
            <w:vAlign w:val="top"/>
          </w:tcPr>
          <w:p>
            <w:pPr>
              <w:pStyle w:val="TableText"/>
              <w:ind w:left="388"/>
              <w:spacing w:before="162" w:line="195" w:lineRule="auto"/>
              <w:rPr/>
            </w:pPr>
            <w:r>
              <w:rPr>
                <w:spacing w:val="3"/>
              </w:rPr>
              <w:t>D3</w:t>
            </w:r>
          </w:p>
        </w:tc>
        <w:tc>
          <w:tcPr>
            <w:tcW w:w="1027" w:type="dxa"/>
            <w:vAlign w:val="top"/>
          </w:tcPr>
          <w:p>
            <w:pPr>
              <w:pStyle w:val="TableText"/>
              <w:ind w:left="388"/>
              <w:spacing w:before="162" w:line="195" w:lineRule="auto"/>
              <w:rPr/>
            </w:pPr>
            <w:r>
              <w:rPr>
                <w:spacing w:val="3"/>
              </w:rPr>
              <w:t>D4</w:t>
            </w:r>
          </w:p>
        </w:tc>
        <w:tc>
          <w:tcPr>
            <w:tcW w:w="3003" w:type="dxa"/>
            <w:vAlign w:val="top"/>
          </w:tcPr>
          <w:p>
            <w:pPr>
              <w:rPr>
                <w:rFonts w:ascii="Arial"/>
                <w:sz w:val="21"/>
              </w:rPr>
            </w:pPr>
            <w:r/>
          </w:p>
        </w:tc>
      </w:tr>
      <w:tr>
        <w:trPr>
          <w:trHeight w:val="278" w:hRule="atLeast"/>
        </w:trPr>
        <w:tc>
          <w:tcPr>
            <w:tcW w:w="914" w:type="dxa"/>
            <w:vAlign w:val="top"/>
          </w:tcPr>
          <w:p>
            <w:pPr>
              <w:pStyle w:val="TableText"/>
              <w:ind w:left="325"/>
              <w:spacing w:before="69" w:line="194" w:lineRule="auto"/>
              <w:rPr/>
            </w:pPr>
            <w:r>
              <w:rPr>
                <w:spacing w:val="6"/>
              </w:rPr>
              <w:t>pH</w:t>
            </w:r>
          </w:p>
        </w:tc>
        <w:tc>
          <w:tcPr>
            <w:tcW w:w="1266" w:type="dxa"/>
            <w:vAlign w:val="top"/>
          </w:tcPr>
          <w:p>
            <w:pPr>
              <w:ind w:left="322"/>
              <w:spacing w:before="30" w:line="219" w:lineRule="auto"/>
              <w:rPr>
                <w:rFonts w:ascii="SimSun" w:hAnsi="SimSun" w:eastAsia="SimSun" w:cs="SimSun"/>
                <w:sz w:val="20"/>
                <w:szCs w:val="20"/>
              </w:rPr>
            </w:pPr>
            <w:r>
              <w:rPr>
                <w:rFonts w:ascii="SimSun" w:hAnsi="SimSun" w:eastAsia="SimSun" w:cs="SimSun"/>
                <w:sz w:val="20"/>
                <w:szCs w:val="20"/>
                <w:spacing w:val="6"/>
              </w:rPr>
              <w:t>无量纲</w:t>
            </w:r>
          </w:p>
        </w:tc>
        <w:tc>
          <w:tcPr>
            <w:tcW w:w="1024" w:type="dxa"/>
            <w:vAlign w:val="top"/>
          </w:tcPr>
          <w:p>
            <w:pPr>
              <w:pStyle w:val="TableText"/>
              <w:ind w:left="385"/>
              <w:spacing w:before="66" w:line="195" w:lineRule="auto"/>
              <w:rPr/>
            </w:pPr>
            <w:r>
              <w:rPr>
                <w:spacing w:val="1"/>
              </w:rPr>
              <w:t>7.4</w:t>
            </w:r>
          </w:p>
        </w:tc>
        <w:tc>
          <w:tcPr>
            <w:tcW w:w="1026" w:type="dxa"/>
            <w:vAlign w:val="top"/>
          </w:tcPr>
          <w:p>
            <w:pPr>
              <w:pStyle w:val="TableText"/>
              <w:ind w:left="389"/>
              <w:spacing w:before="66" w:line="195" w:lineRule="auto"/>
              <w:rPr/>
            </w:pPr>
            <w:r>
              <w:rPr>
                <w:spacing w:val="1"/>
              </w:rPr>
              <w:t>7.2</w:t>
            </w:r>
          </w:p>
        </w:tc>
        <w:tc>
          <w:tcPr>
            <w:tcW w:w="1027" w:type="dxa"/>
            <w:vAlign w:val="top"/>
          </w:tcPr>
          <w:p>
            <w:pPr>
              <w:pStyle w:val="TableText"/>
              <w:ind w:left="387"/>
              <w:spacing w:before="66" w:line="195" w:lineRule="auto"/>
              <w:rPr/>
            </w:pPr>
            <w:r>
              <w:rPr/>
              <w:t>7.</w:t>
            </w:r>
            <w:r>
              <w:rPr>
                <w:spacing w:val="-25"/>
              </w:rPr>
              <w:t xml:space="preserve"> </w:t>
            </w:r>
            <w:r>
              <w:rPr/>
              <w:t>1</w:t>
            </w:r>
          </w:p>
        </w:tc>
        <w:tc>
          <w:tcPr>
            <w:tcW w:w="1027" w:type="dxa"/>
            <w:vAlign w:val="top"/>
          </w:tcPr>
          <w:p>
            <w:pPr>
              <w:pStyle w:val="TableText"/>
              <w:ind w:left="388"/>
              <w:spacing w:before="69" w:line="192" w:lineRule="auto"/>
              <w:rPr/>
            </w:pPr>
            <w:r>
              <w:rPr>
                <w:spacing w:val="1"/>
              </w:rPr>
              <w:t>7.5</w:t>
            </w:r>
          </w:p>
        </w:tc>
        <w:tc>
          <w:tcPr>
            <w:tcW w:w="3003" w:type="dxa"/>
            <w:vAlign w:val="top"/>
          </w:tcPr>
          <w:p>
            <w:pPr>
              <w:pStyle w:val="TableText"/>
              <w:ind w:left="1138"/>
              <w:spacing w:before="30" w:line="219" w:lineRule="auto"/>
              <w:rPr/>
            </w:pPr>
            <w:r>
              <w:rPr>
                <w:spacing w:val="3"/>
              </w:rPr>
              <w:t>6.5</w:t>
            </w:r>
            <w:r>
              <w:rPr>
                <w:rFonts w:ascii="SimSun" w:hAnsi="SimSun" w:eastAsia="SimSun" w:cs="SimSun"/>
                <w:spacing w:val="3"/>
              </w:rPr>
              <w:t>～</w:t>
            </w:r>
            <w:r>
              <w:rPr>
                <w:spacing w:val="3"/>
              </w:rPr>
              <w:t>8.5</w:t>
            </w:r>
          </w:p>
        </w:tc>
      </w:tr>
      <w:tr>
        <w:trPr>
          <w:trHeight w:val="278" w:hRule="atLeast"/>
        </w:trPr>
        <w:tc>
          <w:tcPr>
            <w:tcW w:w="914" w:type="dxa"/>
            <w:vAlign w:val="top"/>
          </w:tcPr>
          <w:p>
            <w:pPr>
              <w:ind w:left="252"/>
              <w:spacing w:before="30" w:line="219" w:lineRule="auto"/>
              <w:rPr>
                <w:rFonts w:ascii="SimSun" w:hAnsi="SimSun" w:eastAsia="SimSun" w:cs="SimSun"/>
                <w:sz w:val="20"/>
                <w:szCs w:val="20"/>
              </w:rPr>
            </w:pPr>
            <w:r>
              <w:rPr>
                <w:rFonts w:ascii="SimSun" w:hAnsi="SimSun" w:eastAsia="SimSun" w:cs="SimSun"/>
                <w:sz w:val="20"/>
                <w:szCs w:val="20"/>
                <w:spacing w:val="3"/>
              </w:rPr>
              <w:t>水温</w:t>
            </w:r>
          </w:p>
        </w:tc>
        <w:tc>
          <w:tcPr>
            <w:tcW w:w="1266" w:type="dxa"/>
            <w:vAlign w:val="top"/>
          </w:tcPr>
          <w:p>
            <w:pPr>
              <w:pStyle w:val="TableText"/>
              <w:ind w:left="531"/>
              <w:spacing w:before="67" w:line="195" w:lineRule="auto"/>
              <w:rPr/>
            </w:pPr>
            <w:r>
              <w:rPr/>
              <w:t>℃</w:t>
            </w:r>
          </w:p>
        </w:tc>
        <w:tc>
          <w:tcPr>
            <w:tcW w:w="1024" w:type="dxa"/>
            <w:vAlign w:val="top"/>
          </w:tcPr>
          <w:p>
            <w:pPr>
              <w:pStyle w:val="TableText"/>
              <w:ind w:left="382"/>
              <w:spacing w:before="67" w:line="195" w:lineRule="auto"/>
              <w:rPr/>
            </w:pPr>
            <w:r>
              <w:rPr>
                <w:spacing w:val="2"/>
              </w:rPr>
              <w:t>2.3</w:t>
            </w:r>
          </w:p>
        </w:tc>
        <w:tc>
          <w:tcPr>
            <w:tcW w:w="1026" w:type="dxa"/>
            <w:vAlign w:val="top"/>
          </w:tcPr>
          <w:p>
            <w:pPr>
              <w:pStyle w:val="TableText"/>
              <w:ind w:left="385"/>
              <w:spacing w:before="67" w:line="195" w:lineRule="auto"/>
              <w:rPr/>
            </w:pPr>
            <w:r>
              <w:rPr>
                <w:spacing w:val="2"/>
              </w:rPr>
              <w:t>2.6</w:t>
            </w:r>
          </w:p>
        </w:tc>
        <w:tc>
          <w:tcPr>
            <w:tcW w:w="1027" w:type="dxa"/>
            <w:vAlign w:val="top"/>
          </w:tcPr>
          <w:p>
            <w:pPr>
              <w:pStyle w:val="TableText"/>
              <w:ind w:left="467"/>
              <w:spacing w:before="67" w:line="195" w:lineRule="auto"/>
              <w:rPr/>
            </w:pPr>
            <w:r>
              <w:rPr/>
              <w:t>3</w:t>
            </w:r>
          </w:p>
        </w:tc>
        <w:tc>
          <w:tcPr>
            <w:tcW w:w="1027" w:type="dxa"/>
            <w:vAlign w:val="top"/>
          </w:tcPr>
          <w:p>
            <w:pPr>
              <w:pStyle w:val="TableText"/>
              <w:ind w:left="388"/>
              <w:spacing w:before="67" w:line="195" w:lineRule="auto"/>
              <w:rPr/>
            </w:pPr>
            <w:r>
              <w:rPr>
                <w:spacing w:val="1"/>
              </w:rPr>
              <w:t>3.2</w:t>
            </w:r>
          </w:p>
        </w:tc>
        <w:tc>
          <w:tcPr>
            <w:tcW w:w="3003" w:type="dxa"/>
            <w:vAlign w:val="top"/>
          </w:tcPr>
          <w:p>
            <w:pPr>
              <w:pStyle w:val="TableText"/>
              <w:ind w:left="1470"/>
              <w:spacing w:before="63" w:line="199" w:lineRule="auto"/>
              <w:rPr/>
            </w:pPr>
            <w:r>
              <w:rPr>
                <w:spacing w:val="2"/>
              </w:rPr>
              <w:t>/</w:t>
            </w:r>
          </w:p>
        </w:tc>
      </w:tr>
      <w:tr>
        <w:trPr>
          <w:trHeight w:val="275" w:hRule="atLeast"/>
        </w:trPr>
        <w:tc>
          <w:tcPr>
            <w:tcW w:w="914" w:type="dxa"/>
            <w:vAlign w:val="top"/>
          </w:tcPr>
          <w:p>
            <w:pPr>
              <w:ind w:left="250"/>
              <w:spacing w:before="31" w:line="216" w:lineRule="auto"/>
              <w:rPr>
                <w:rFonts w:ascii="SimSun" w:hAnsi="SimSun" w:eastAsia="SimSun" w:cs="SimSun"/>
                <w:sz w:val="20"/>
                <w:szCs w:val="20"/>
              </w:rPr>
            </w:pPr>
            <w:r>
              <w:rPr>
                <w:rFonts w:ascii="SimSun" w:hAnsi="SimSun" w:eastAsia="SimSun" w:cs="SimSun"/>
                <w:sz w:val="20"/>
                <w:szCs w:val="20"/>
                <w:spacing w:val="4"/>
              </w:rPr>
              <w:t>氨氮</w:t>
            </w:r>
          </w:p>
        </w:tc>
        <w:tc>
          <w:tcPr>
            <w:tcW w:w="1266" w:type="dxa"/>
            <w:vAlign w:val="top"/>
          </w:tcPr>
          <w:p>
            <w:pPr>
              <w:pStyle w:val="TableText"/>
              <w:ind w:left="402"/>
              <w:spacing w:before="63" w:line="201" w:lineRule="auto"/>
              <w:rPr/>
            </w:pPr>
            <w:r>
              <w:rPr/>
              <w:t>mg</w:t>
            </w:r>
            <w:r>
              <w:rPr>
                <w:spacing w:val="8"/>
              </w:rPr>
              <w:t>/L</w:t>
            </w:r>
          </w:p>
        </w:tc>
        <w:tc>
          <w:tcPr>
            <w:tcW w:w="1024" w:type="dxa"/>
            <w:vAlign w:val="top"/>
          </w:tcPr>
          <w:p>
            <w:pPr>
              <w:pStyle w:val="TableText"/>
              <w:ind w:left="284"/>
              <w:spacing w:before="67" w:line="195" w:lineRule="auto"/>
              <w:rPr/>
            </w:pPr>
            <w:r>
              <w:rPr>
                <w:spacing w:val="-4"/>
              </w:rPr>
              <w:t>0.</w:t>
            </w:r>
            <w:r>
              <w:rPr>
                <w:spacing w:val="-25"/>
              </w:rPr>
              <w:t xml:space="preserve"> </w:t>
            </w:r>
            <w:r>
              <w:rPr>
                <w:spacing w:val="-4"/>
              </w:rPr>
              <w:t>114</w:t>
            </w:r>
          </w:p>
        </w:tc>
        <w:tc>
          <w:tcPr>
            <w:tcW w:w="1026" w:type="dxa"/>
            <w:vAlign w:val="top"/>
          </w:tcPr>
          <w:p>
            <w:pPr>
              <w:pStyle w:val="TableText"/>
              <w:ind w:left="280"/>
              <w:spacing w:before="67" w:line="195" w:lineRule="auto"/>
              <w:rPr/>
            </w:pPr>
            <w:r>
              <w:rPr>
                <w:spacing w:val="3"/>
              </w:rPr>
              <w:t>0.081</w:t>
            </w:r>
          </w:p>
        </w:tc>
        <w:tc>
          <w:tcPr>
            <w:tcW w:w="1027" w:type="dxa"/>
            <w:vAlign w:val="top"/>
          </w:tcPr>
          <w:p>
            <w:pPr>
              <w:pStyle w:val="TableText"/>
              <w:ind w:left="284"/>
              <w:spacing w:before="67" w:line="195" w:lineRule="auto"/>
              <w:rPr/>
            </w:pPr>
            <w:r>
              <w:rPr>
                <w:spacing w:val="2"/>
              </w:rPr>
              <w:t>0.072</w:t>
            </w:r>
          </w:p>
        </w:tc>
        <w:tc>
          <w:tcPr>
            <w:tcW w:w="1027" w:type="dxa"/>
            <w:vAlign w:val="top"/>
          </w:tcPr>
          <w:p>
            <w:pPr>
              <w:pStyle w:val="TableText"/>
              <w:ind w:left="284"/>
              <w:spacing w:before="67" w:line="195" w:lineRule="auto"/>
              <w:rPr/>
            </w:pPr>
            <w:r>
              <w:rPr>
                <w:spacing w:val="2"/>
              </w:rPr>
              <w:t>0.109</w:t>
            </w:r>
          </w:p>
        </w:tc>
        <w:tc>
          <w:tcPr>
            <w:tcW w:w="3003" w:type="dxa"/>
            <w:vAlign w:val="top"/>
          </w:tcPr>
          <w:p>
            <w:pPr>
              <w:pStyle w:val="TableText"/>
              <w:ind w:left="1311"/>
              <w:spacing w:before="67" w:line="195" w:lineRule="auto"/>
              <w:rPr/>
            </w:pPr>
            <w:r>
              <w:rPr>
                <w:spacing w:val="3"/>
              </w:rPr>
              <w:t>≤0.5</w:t>
            </w:r>
          </w:p>
        </w:tc>
      </w:tr>
      <w:tr>
        <w:trPr>
          <w:trHeight w:val="549" w:hRule="atLeast"/>
        </w:trPr>
        <w:tc>
          <w:tcPr>
            <w:tcW w:w="914" w:type="dxa"/>
            <w:vAlign w:val="top"/>
          </w:tcPr>
          <w:p>
            <w:pPr>
              <w:ind w:left="351" w:right="140" w:hanging="203"/>
              <w:spacing w:before="31" w:line="234" w:lineRule="auto"/>
              <w:rPr>
                <w:rFonts w:ascii="SimSun" w:hAnsi="SimSun" w:eastAsia="SimSun" w:cs="SimSun"/>
                <w:sz w:val="20"/>
                <w:szCs w:val="20"/>
              </w:rPr>
            </w:pPr>
            <w:r>
              <w:rPr>
                <w:rFonts w:ascii="SimSun" w:hAnsi="SimSun" w:eastAsia="SimSun" w:cs="SimSun"/>
                <w:sz w:val="20"/>
                <w:szCs w:val="20"/>
                <w:spacing w:val="6"/>
              </w:rPr>
              <w:t>硝酸盐</w:t>
            </w:r>
            <w:r>
              <w:rPr>
                <w:rFonts w:ascii="SimSun" w:hAnsi="SimSun" w:eastAsia="SimSun" w:cs="SimSun"/>
                <w:sz w:val="20"/>
                <w:szCs w:val="20"/>
                <w:spacing w:val="2"/>
              </w:rPr>
              <w:t>氮</w:t>
            </w:r>
          </w:p>
        </w:tc>
        <w:tc>
          <w:tcPr>
            <w:tcW w:w="1266" w:type="dxa"/>
            <w:vAlign w:val="top"/>
          </w:tcPr>
          <w:p>
            <w:pPr>
              <w:pStyle w:val="TableText"/>
              <w:ind w:left="402"/>
              <w:spacing w:before="201" w:line="201" w:lineRule="auto"/>
              <w:rPr/>
            </w:pPr>
            <w:r>
              <w:rPr/>
              <w:t>mg</w:t>
            </w:r>
            <w:r>
              <w:rPr>
                <w:spacing w:val="8"/>
              </w:rPr>
              <w:t>/L</w:t>
            </w:r>
          </w:p>
        </w:tc>
        <w:tc>
          <w:tcPr>
            <w:tcW w:w="1024" w:type="dxa"/>
            <w:vAlign w:val="top"/>
          </w:tcPr>
          <w:p>
            <w:pPr>
              <w:pStyle w:val="TableText"/>
              <w:ind w:left="349"/>
              <w:spacing w:before="204" w:line="195" w:lineRule="auto"/>
              <w:rPr/>
            </w:pPr>
            <w:r>
              <w:rPr>
                <w:spacing w:val="-3"/>
              </w:rPr>
              <w:t>1.86</w:t>
            </w:r>
          </w:p>
        </w:tc>
        <w:tc>
          <w:tcPr>
            <w:tcW w:w="1026" w:type="dxa"/>
            <w:vAlign w:val="top"/>
          </w:tcPr>
          <w:p>
            <w:pPr>
              <w:pStyle w:val="TableText"/>
              <w:ind w:left="350"/>
              <w:spacing w:before="204" w:line="195" w:lineRule="auto"/>
              <w:rPr/>
            </w:pPr>
            <w:r>
              <w:rPr>
                <w:spacing w:val="-2"/>
              </w:rPr>
              <w:t>1.75</w:t>
            </w:r>
          </w:p>
        </w:tc>
        <w:tc>
          <w:tcPr>
            <w:tcW w:w="1027" w:type="dxa"/>
            <w:vAlign w:val="top"/>
          </w:tcPr>
          <w:p>
            <w:pPr>
              <w:pStyle w:val="TableText"/>
              <w:ind w:left="351"/>
              <w:spacing w:before="204" w:line="195" w:lineRule="auto"/>
              <w:rPr/>
            </w:pPr>
            <w:r>
              <w:rPr>
                <w:spacing w:val="-2"/>
              </w:rPr>
              <w:t>1.82</w:t>
            </w:r>
          </w:p>
        </w:tc>
        <w:tc>
          <w:tcPr>
            <w:tcW w:w="1027" w:type="dxa"/>
            <w:vAlign w:val="top"/>
          </w:tcPr>
          <w:p>
            <w:pPr>
              <w:pStyle w:val="TableText"/>
              <w:ind w:left="352"/>
              <w:spacing w:before="204" w:line="195" w:lineRule="auto"/>
              <w:rPr/>
            </w:pPr>
            <w:r>
              <w:rPr>
                <w:spacing w:val="-2"/>
              </w:rPr>
              <w:t>1.71</w:t>
            </w:r>
          </w:p>
        </w:tc>
        <w:tc>
          <w:tcPr>
            <w:tcW w:w="3003" w:type="dxa"/>
            <w:vAlign w:val="top"/>
          </w:tcPr>
          <w:p>
            <w:pPr>
              <w:pStyle w:val="TableText"/>
              <w:ind w:left="1335"/>
              <w:spacing w:before="205" w:line="195" w:lineRule="auto"/>
              <w:rPr/>
            </w:pPr>
            <w:r>
              <w:rPr>
                <w:spacing w:val="5"/>
              </w:rPr>
              <w:t>≤20</w:t>
            </w:r>
          </w:p>
        </w:tc>
      </w:tr>
      <w:tr>
        <w:trPr>
          <w:trHeight w:val="551" w:hRule="atLeast"/>
        </w:trPr>
        <w:tc>
          <w:tcPr>
            <w:tcW w:w="914" w:type="dxa"/>
            <w:vAlign w:val="top"/>
          </w:tcPr>
          <w:p>
            <w:pPr>
              <w:ind w:left="251" w:right="140" w:hanging="103"/>
              <w:spacing w:before="31" w:line="235" w:lineRule="auto"/>
              <w:rPr>
                <w:rFonts w:ascii="SimSun" w:hAnsi="SimSun" w:eastAsia="SimSun" w:cs="SimSun"/>
                <w:sz w:val="20"/>
                <w:szCs w:val="20"/>
              </w:rPr>
            </w:pPr>
            <w:r>
              <w:rPr>
                <w:rFonts w:ascii="SimSun" w:hAnsi="SimSun" w:eastAsia="SimSun" w:cs="SimSun"/>
                <w:sz w:val="20"/>
                <w:szCs w:val="20"/>
                <w:spacing w:val="6"/>
              </w:rPr>
              <w:t>亚硝酸</w:t>
            </w:r>
            <w:r>
              <w:rPr>
                <w:rFonts w:ascii="SimSun" w:hAnsi="SimSun" w:eastAsia="SimSun" w:cs="SimSun"/>
                <w:sz w:val="20"/>
                <w:szCs w:val="20"/>
                <w:spacing w:val="3"/>
              </w:rPr>
              <w:t>盐氮</w:t>
            </w:r>
          </w:p>
        </w:tc>
        <w:tc>
          <w:tcPr>
            <w:tcW w:w="1266" w:type="dxa"/>
            <w:vAlign w:val="top"/>
          </w:tcPr>
          <w:p>
            <w:pPr>
              <w:pStyle w:val="TableText"/>
              <w:ind w:left="402"/>
              <w:spacing w:before="201" w:line="201" w:lineRule="auto"/>
              <w:rPr/>
            </w:pPr>
            <w:r>
              <w:rPr/>
              <w:t>mg</w:t>
            </w:r>
            <w:r>
              <w:rPr>
                <w:spacing w:val="8"/>
              </w:rPr>
              <w:t>/L</w:t>
            </w:r>
          </w:p>
        </w:tc>
        <w:tc>
          <w:tcPr>
            <w:tcW w:w="1024" w:type="dxa"/>
            <w:vAlign w:val="top"/>
          </w:tcPr>
          <w:p>
            <w:pPr>
              <w:pStyle w:val="TableText"/>
              <w:ind w:left="212"/>
              <w:spacing w:before="205" w:line="195" w:lineRule="auto"/>
              <w:rPr/>
            </w:pPr>
            <w:r>
              <w:rPr>
                <w:spacing w:val="3"/>
              </w:rPr>
              <w:t>0.003L</w:t>
            </w:r>
          </w:p>
        </w:tc>
        <w:tc>
          <w:tcPr>
            <w:tcW w:w="1026" w:type="dxa"/>
            <w:vAlign w:val="top"/>
          </w:tcPr>
          <w:p>
            <w:pPr>
              <w:pStyle w:val="TableText"/>
              <w:ind w:left="218"/>
              <w:spacing w:before="205" w:line="195" w:lineRule="auto"/>
              <w:rPr/>
            </w:pPr>
            <w:r>
              <w:rPr>
                <w:spacing w:val="3"/>
              </w:rPr>
              <w:t>0.003L</w:t>
            </w:r>
          </w:p>
        </w:tc>
        <w:tc>
          <w:tcPr>
            <w:tcW w:w="1027" w:type="dxa"/>
            <w:vAlign w:val="top"/>
          </w:tcPr>
          <w:p>
            <w:pPr>
              <w:pStyle w:val="TableText"/>
              <w:ind w:left="219"/>
              <w:spacing w:before="205" w:line="195" w:lineRule="auto"/>
              <w:rPr/>
            </w:pPr>
            <w:r>
              <w:rPr>
                <w:spacing w:val="3"/>
              </w:rPr>
              <w:t>0.003L</w:t>
            </w:r>
          </w:p>
        </w:tc>
        <w:tc>
          <w:tcPr>
            <w:tcW w:w="1027" w:type="dxa"/>
            <w:vAlign w:val="top"/>
          </w:tcPr>
          <w:p>
            <w:pPr>
              <w:pStyle w:val="TableText"/>
              <w:ind w:left="219"/>
              <w:spacing w:before="205" w:line="195" w:lineRule="auto"/>
              <w:rPr/>
            </w:pPr>
            <w:r>
              <w:rPr>
                <w:spacing w:val="3"/>
              </w:rPr>
              <w:t>0.003L</w:t>
            </w:r>
          </w:p>
        </w:tc>
        <w:tc>
          <w:tcPr>
            <w:tcW w:w="3003" w:type="dxa"/>
            <w:vAlign w:val="top"/>
          </w:tcPr>
          <w:p>
            <w:pPr>
              <w:pStyle w:val="TableText"/>
              <w:ind w:left="1391"/>
              <w:spacing w:before="205" w:line="195" w:lineRule="auto"/>
              <w:rPr/>
            </w:pPr>
            <w:r>
              <w:rPr>
                <w:spacing w:val="2"/>
              </w:rPr>
              <w:t>≤1</w:t>
            </w:r>
          </w:p>
        </w:tc>
      </w:tr>
      <w:tr>
        <w:trPr>
          <w:trHeight w:val="275" w:hRule="atLeast"/>
        </w:trPr>
        <w:tc>
          <w:tcPr>
            <w:tcW w:w="914" w:type="dxa"/>
            <w:vAlign w:val="top"/>
          </w:tcPr>
          <w:p>
            <w:pPr>
              <w:ind w:left="146"/>
              <w:spacing w:before="31" w:line="216" w:lineRule="auto"/>
              <w:rPr>
                <w:rFonts w:ascii="SimSun" w:hAnsi="SimSun" w:eastAsia="SimSun" w:cs="SimSun"/>
                <w:sz w:val="20"/>
                <w:szCs w:val="20"/>
              </w:rPr>
            </w:pPr>
            <w:r>
              <w:rPr>
                <w:rFonts w:ascii="SimSun" w:hAnsi="SimSun" w:eastAsia="SimSun" w:cs="SimSun"/>
                <w:sz w:val="20"/>
                <w:szCs w:val="20"/>
                <w:spacing w:val="7"/>
              </w:rPr>
              <w:t>挥发酚</w:t>
            </w:r>
          </w:p>
        </w:tc>
        <w:tc>
          <w:tcPr>
            <w:tcW w:w="1266" w:type="dxa"/>
            <w:vAlign w:val="top"/>
          </w:tcPr>
          <w:p>
            <w:pPr>
              <w:pStyle w:val="TableText"/>
              <w:ind w:left="402"/>
              <w:spacing w:before="63" w:line="201" w:lineRule="auto"/>
              <w:rPr/>
            </w:pPr>
            <w:r>
              <w:rPr/>
              <w:t>mg</w:t>
            </w:r>
            <w:r>
              <w:rPr>
                <w:spacing w:val="8"/>
              </w:rPr>
              <w:t>/L</w:t>
            </w:r>
          </w:p>
        </w:tc>
        <w:tc>
          <w:tcPr>
            <w:tcW w:w="1024" w:type="dxa"/>
            <w:vAlign w:val="top"/>
          </w:tcPr>
          <w:p>
            <w:pPr>
              <w:pStyle w:val="TableText"/>
              <w:ind w:left="162"/>
              <w:spacing w:before="66" w:line="195" w:lineRule="auto"/>
              <w:rPr/>
            </w:pPr>
            <w:r>
              <w:rPr>
                <w:spacing w:val="3"/>
              </w:rPr>
              <w:t>0.0003L</w:t>
            </w:r>
          </w:p>
        </w:tc>
        <w:tc>
          <w:tcPr>
            <w:tcW w:w="1026" w:type="dxa"/>
            <w:vAlign w:val="top"/>
          </w:tcPr>
          <w:p>
            <w:pPr>
              <w:pStyle w:val="TableText"/>
              <w:ind w:left="165"/>
              <w:spacing w:before="66" w:line="195" w:lineRule="auto"/>
              <w:rPr/>
            </w:pPr>
            <w:r>
              <w:rPr>
                <w:spacing w:val="3"/>
              </w:rPr>
              <w:t>0.0003L</w:t>
            </w:r>
          </w:p>
        </w:tc>
        <w:tc>
          <w:tcPr>
            <w:tcW w:w="1027" w:type="dxa"/>
            <w:vAlign w:val="top"/>
          </w:tcPr>
          <w:p>
            <w:pPr>
              <w:pStyle w:val="TableText"/>
              <w:ind w:left="166"/>
              <w:spacing w:before="66" w:line="195" w:lineRule="auto"/>
              <w:rPr/>
            </w:pPr>
            <w:r>
              <w:rPr>
                <w:spacing w:val="3"/>
              </w:rPr>
              <w:t>0.0003L</w:t>
            </w:r>
          </w:p>
        </w:tc>
        <w:tc>
          <w:tcPr>
            <w:tcW w:w="1027" w:type="dxa"/>
            <w:vAlign w:val="top"/>
          </w:tcPr>
          <w:p>
            <w:pPr>
              <w:pStyle w:val="TableText"/>
              <w:ind w:left="167"/>
              <w:spacing w:before="66" w:line="195" w:lineRule="auto"/>
              <w:rPr/>
            </w:pPr>
            <w:r>
              <w:rPr>
                <w:spacing w:val="3"/>
              </w:rPr>
              <w:t>0.0003L</w:t>
            </w:r>
          </w:p>
        </w:tc>
        <w:tc>
          <w:tcPr>
            <w:tcW w:w="3003" w:type="dxa"/>
            <w:vAlign w:val="top"/>
          </w:tcPr>
          <w:p>
            <w:pPr>
              <w:pStyle w:val="TableText"/>
              <w:ind w:left="1203"/>
              <w:spacing w:before="67" w:line="195" w:lineRule="auto"/>
              <w:rPr/>
            </w:pPr>
            <w:r>
              <w:rPr>
                <w:spacing w:val="4"/>
              </w:rPr>
              <w:t>≤0.002</w:t>
            </w:r>
          </w:p>
        </w:tc>
      </w:tr>
      <w:tr>
        <w:trPr>
          <w:trHeight w:val="280" w:hRule="atLeast"/>
        </w:trPr>
        <w:tc>
          <w:tcPr>
            <w:tcW w:w="914" w:type="dxa"/>
            <w:vAlign w:val="top"/>
          </w:tcPr>
          <w:p>
            <w:pPr>
              <w:ind w:left="146"/>
              <w:spacing w:before="33" w:line="218" w:lineRule="auto"/>
              <w:rPr>
                <w:rFonts w:ascii="SimSun" w:hAnsi="SimSun" w:eastAsia="SimSun" w:cs="SimSun"/>
                <w:sz w:val="20"/>
                <w:szCs w:val="20"/>
              </w:rPr>
            </w:pPr>
            <w:r>
              <w:rPr>
                <w:rFonts w:ascii="SimSun" w:hAnsi="SimSun" w:eastAsia="SimSun" w:cs="SimSun"/>
                <w:sz w:val="20"/>
                <w:szCs w:val="20"/>
                <w:spacing w:val="7"/>
              </w:rPr>
              <w:t>氰化物</w:t>
            </w:r>
          </w:p>
        </w:tc>
        <w:tc>
          <w:tcPr>
            <w:tcW w:w="1266" w:type="dxa"/>
            <w:vAlign w:val="top"/>
          </w:tcPr>
          <w:p>
            <w:pPr>
              <w:pStyle w:val="TableText"/>
              <w:ind w:left="402"/>
              <w:spacing w:before="66" w:line="201" w:lineRule="auto"/>
              <w:rPr/>
            </w:pPr>
            <w:r>
              <w:rPr/>
              <w:t>mg</w:t>
            </w:r>
            <w:r>
              <w:rPr>
                <w:spacing w:val="8"/>
              </w:rPr>
              <w:t>/L</w:t>
            </w:r>
          </w:p>
        </w:tc>
        <w:tc>
          <w:tcPr>
            <w:tcW w:w="1024" w:type="dxa"/>
            <w:vAlign w:val="top"/>
          </w:tcPr>
          <w:p>
            <w:pPr>
              <w:pStyle w:val="TableText"/>
              <w:ind w:left="212"/>
              <w:spacing w:before="70" w:line="195" w:lineRule="auto"/>
              <w:rPr/>
            </w:pPr>
            <w:r>
              <w:rPr>
                <w:spacing w:val="3"/>
              </w:rPr>
              <w:t>0.002L</w:t>
            </w:r>
          </w:p>
        </w:tc>
        <w:tc>
          <w:tcPr>
            <w:tcW w:w="1026" w:type="dxa"/>
            <w:vAlign w:val="top"/>
          </w:tcPr>
          <w:p>
            <w:pPr>
              <w:pStyle w:val="TableText"/>
              <w:ind w:left="218"/>
              <w:spacing w:before="70" w:line="195" w:lineRule="auto"/>
              <w:rPr/>
            </w:pPr>
            <w:r>
              <w:rPr>
                <w:spacing w:val="3"/>
              </w:rPr>
              <w:t>0.002L</w:t>
            </w:r>
          </w:p>
        </w:tc>
        <w:tc>
          <w:tcPr>
            <w:tcW w:w="1027" w:type="dxa"/>
            <w:vAlign w:val="top"/>
          </w:tcPr>
          <w:p>
            <w:pPr>
              <w:pStyle w:val="TableText"/>
              <w:ind w:left="219"/>
              <w:spacing w:before="70" w:line="195" w:lineRule="auto"/>
              <w:rPr/>
            </w:pPr>
            <w:r>
              <w:rPr>
                <w:spacing w:val="3"/>
              </w:rPr>
              <w:t>0.002L</w:t>
            </w:r>
          </w:p>
        </w:tc>
        <w:tc>
          <w:tcPr>
            <w:tcW w:w="1027" w:type="dxa"/>
            <w:vAlign w:val="top"/>
          </w:tcPr>
          <w:p>
            <w:pPr>
              <w:pStyle w:val="TableText"/>
              <w:ind w:left="219"/>
              <w:spacing w:before="70" w:line="195" w:lineRule="auto"/>
              <w:rPr/>
            </w:pPr>
            <w:r>
              <w:rPr>
                <w:spacing w:val="3"/>
              </w:rPr>
              <w:t>0.002L</w:t>
            </w:r>
          </w:p>
        </w:tc>
        <w:tc>
          <w:tcPr>
            <w:tcW w:w="3003" w:type="dxa"/>
            <w:vAlign w:val="top"/>
          </w:tcPr>
          <w:p>
            <w:pPr>
              <w:pStyle w:val="TableText"/>
              <w:ind w:left="1259"/>
              <w:spacing w:before="70" w:line="195" w:lineRule="auto"/>
              <w:rPr/>
            </w:pPr>
            <w:r>
              <w:rPr>
                <w:spacing w:val="4"/>
              </w:rPr>
              <w:t>≤0.05</w:t>
            </w:r>
          </w:p>
        </w:tc>
      </w:tr>
    </w:tbl>
    <w:p>
      <w:pPr>
        <w:pStyle w:val="BodyText"/>
        <w:rPr/>
      </w:pPr>
      <w:r/>
    </w:p>
    <w:p>
      <w:pPr>
        <w:sectPr>
          <w:headerReference w:type="default" r:id="rId315"/>
          <w:footerReference w:type="default" r:id="rId326"/>
          <w:pgSz w:w="11906" w:h="16838"/>
          <w:pgMar w:top="1170" w:right="1307" w:bottom="1080" w:left="1305" w:header="837" w:footer="918" w:gutter="0"/>
        </w:sectPr>
        <w:rPr/>
      </w:pPr>
    </w:p>
    <w:p>
      <w:pPr>
        <w:spacing w:before="6"/>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14"/>
        <w:gridCol w:w="1266"/>
        <w:gridCol w:w="1024"/>
        <w:gridCol w:w="1026"/>
        <w:gridCol w:w="1027"/>
        <w:gridCol w:w="1027"/>
        <w:gridCol w:w="3003"/>
      </w:tblGrid>
      <w:tr>
        <w:trPr>
          <w:trHeight w:val="283" w:hRule="atLeast"/>
        </w:trPr>
        <w:tc>
          <w:tcPr>
            <w:tcW w:w="914" w:type="dxa"/>
            <w:vAlign w:val="top"/>
          </w:tcPr>
          <w:p>
            <w:pPr>
              <w:ind w:left="352"/>
              <w:spacing w:before="33" w:line="221" w:lineRule="auto"/>
              <w:rPr>
                <w:rFonts w:ascii="SimSun" w:hAnsi="SimSun" w:eastAsia="SimSun" w:cs="SimSun"/>
                <w:sz w:val="20"/>
                <w:szCs w:val="20"/>
              </w:rPr>
            </w:pPr>
            <w:r>
              <w:rPr>
                <w:rFonts w:ascii="SimSun" w:hAnsi="SimSun" w:eastAsia="SimSun" w:cs="SimSun"/>
                <w:sz w:val="20"/>
                <w:szCs w:val="20"/>
                <w:spacing w:val="1"/>
              </w:rPr>
              <w:t>砷</w:t>
            </w:r>
          </w:p>
        </w:tc>
        <w:tc>
          <w:tcPr>
            <w:tcW w:w="1266" w:type="dxa"/>
            <w:vAlign w:val="top"/>
          </w:tcPr>
          <w:p>
            <w:pPr>
              <w:pStyle w:val="TableText"/>
              <w:ind w:left="402"/>
              <w:spacing w:before="65" w:line="201" w:lineRule="auto"/>
              <w:rPr/>
            </w:pPr>
            <w:r>
              <w:rPr/>
              <w:t>mg</w:t>
            </w:r>
            <w:r>
              <w:rPr>
                <w:spacing w:val="8"/>
              </w:rPr>
              <w:t>/L</w:t>
            </w:r>
          </w:p>
        </w:tc>
        <w:tc>
          <w:tcPr>
            <w:tcW w:w="1024" w:type="dxa"/>
            <w:vAlign w:val="top"/>
          </w:tcPr>
          <w:p>
            <w:pPr>
              <w:pStyle w:val="TableText"/>
              <w:ind w:left="162"/>
              <w:spacing w:before="69" w:line="195" w:lineRule="auto"/>
              <w:rPr/>
            </w:pPr>
            <w:r>
              <w:rPr>
                <w:spacing w:val="3"/>
              </w:rPr>
              <w:t>0.0003L</w:t>
            </w:r>
          </w:p>
        </w:tc>
        <w:tc>
          <w:tcPr>
            <w:tcW w:w="1026" w:type="dxa"/>
            <w:vAlign w:val="top"/>
          </w:tcPr>
          <w:p>
            <w:pPr>
              <w:pStyle w:val="TableText"/>
              <w:ind w:left="165"/>
              <w:spacing w:before="69" w:line="195" w:lineRule="auto"/>
              <w:rPr/>
            </w:pPr>
            <w:r>
              <w:rPr>
                <w:spacing w:val="3"/>
              </w:rPr>
              <w:t>0.0003L</w:t>
            </w:r>
          </w:p>
        </w:tc>
        <w:tc>
          <w:tcPr>
            <w:tcW w:w="1027" w:type="dxa"/>
            <w:vAlign w:val="top"/>
          </w:tcPr>
          <w:p>
            <w:pPr>
              <w:pStyle w:val="TableText"/>
              <w:ind w:left="166"/>
              <w:spacing w:before="69" w:line="195" w:lineRule="auto"/>
              <w:rPr/>
            </w:pPr>
            <w:r>
              <w:rPr>
                <w:spacing w:val="3"/>
              </w:rPr>
              <w:t>0.0003L</w:t>
            </w:r>
          </w:p>
        </w:tc>
        <w:tc>
          <w:tcPr>
            <w:tcW w:w="1027" w:type="dxa"/>
            <w:vAlign w:val="top"/>
          </w:tcPr>
          <w:p>
            <w:pPr>
              <w:pStyle w:val="TableText"/>
              <w:ind w:left="167"/>
              <w:spacing w:before="69" w:line="195" w:lineRule="auto"/>
              <w:rPr/>
            </w:pPr>
            <w:r>
              <w:rPr>
                <w:spacing w:val="3"/>
              </w:rPr>
              <w:t>0.0003L</w:t>
            </w:r>
          </w:p>
        </w:tc>
        <w:tc>
          <w:tcPr>
            <w:tcW w:w="3003" w:type="dxa"/>
            <w:vAlign w:val="top"/>
          </w:tcPr>
          <w:p>
            <w:pPr>
              <w:pStyle w:val="TableText"/>
              <w:ind w:left="1259"/>
              <w:spacing w:before="70" w:line="195" w:lineRule="auto"/>
              <w:rPr/>
            </w:pPr>
            <w:r>
              <w:rPr>
                <w:spacing w:val="4"/>
              </w:rPr>
              <w:t>≤0.01</w:t>
            </w:r>
          </w:p>
        </w:tc>
      </w:tr>
      <w:tr>
        <w:trPr>
          <w:trHeight w:val="278" w:hRule="atLeast"/>
        </w:trPr>
        <w:tc>
          <w:tcPr>
            <w:tcW w:w="914" w:type="dxa"/>
            <w:vAlign w:val="top"/>
          </w:tcPr>
          <w:p>
            <w:pPr>
              <w:ind w:left="354"/>
              <w:spacing w:before="28" w:line="221" w:lineRule="auto"/>
              <w:rPr>
                <w:rFonts w:ascii="SimSun" w:hAnsi="SimSun" w:eastAsia="SimSun" w:cs="SimSun"/>
                <w:sz w:val="20"/>
                <w:szCs w:val="20"/>
              </w:rPr>
            </w:pPr>
            <w:r>
              <w:rPr>
                <w:rFonts w:ascii="SimSun" w:hAnsi="SimSun" w:eastAsia="SimSun" w:cs="SimSun"/>
                <w:sz w:val="20"/>
                <w:szCs w:val="20"/>
              </w:rPr>
              <w:t>汞</w:t>
            </w:r>
          </w:p>
        </w:tc>
        <w:tc>
          <w:tcPr>
            <w:tcW w:w="1266" w:type="dxa"/>
            <w:vAlign w:val="top"/>
          </w:tcPr>
          <w:p>
            <w:pPr>
              <w:pStyle w:val="TableText"/>
              <w:ind w:left="402"/>
              <w:spacing w:before="61" w:line="201" w:lineRule="auto"/>
              <w:rPr/>
            </w:pPr>
            <w:r>
              <w:rPr/>
              <w:t>mg</w:t>
            </w:r>
            <w:r>
              <w:rPr>
                <w:spacing w:val="8"/>
              </w:rPr>
              <w:t>/L</w:t>
            </w:r>
          </w:p>
        </w:tc>
        <w:tc>
          <w:tcPr>
            <w:tcW w:w="1024" w:type="dxa"/>
            <w:vAlign w:val="top"/>
          </w:tcPr>
          <w:p>
            <w:pPr>
              <w:pStyle w:val="TableText"/>
              <w:ind w:left="109"/>
              <w:spacing w:before="64" w:line="195" w:lineRule="auto"/>
              <w:rPr/>
            </w:pPr>
            <w:r>
              <w:rPr>
                <w:spacing w:val="3"/>
              </w:rPr>
              <w:t>0.00004L</w:t>
            </w:r>
          </w:p>
        </w:tc>
        <w:tc>
          <w:tcPr>
            <w:tcW w:w="1026" w:type="dxa"/>
            <w:vAlign w:val="top"/>
          </w:tcPr>
          <w:p>
            <w:pPr>
              <w:pStyle w:val="TableText"/>
              <w:ind w:left="112"/>
              <w:spacing w:before="64" w:line="195" w:lineRule="auto"/>
              <w:rPr/>
            </w:pPr>
            <w:r>
              <w:rPr>
                <w:spacing w:val="3"/>
              </w:rPr>
              <w:t>0.00004L</w:t>
            </w:r>
          </w:p>
        </w:tc>
        <w:tc>
          <w:tcPr>
            <w:tcW w:w="1027" w:type="dxa"/>
            <w:vAlign w:val="top"/>
          </w:tcPr>
          <w:p>
            <w:pPr>
              <w:pStyle w:val="TableText"/>
              <w:ind w:left="114"/>
              <w:spacing w:before="64" w:line="195" w:lineRule="auto"/>
              <w:rPr/>
            </w:pPr>
            <w:r>
              <w:rPr>
                <w:spacing w:val="3"/>
              </w:rPr>
              <w:t>0.00004L</w:t>
            </w:r>
          </w:p>
        </w:tc>
        <w:tc>
          <w:tcPr>
            <w:tcW w:w="1027" w:type="dxa"/>
            <w:vAlign w:val="top"/>
          </w:tcPr>
          <w:p>
            <w:pPr>
              <w:pStyle w:val="TableText"/>
              <w:ind w:left="111"/>
              <w:spacing w:before="64" w:line="195" w:lineRule="auto"/>
              <w:rPr/>
            </w:pPr>
            <w:r>
              <w:rPr>
                <w:spacing w:val="4"/>
              </w:rPr>
              <w:t>0.00004L</w:t>
            </w:r>
          </w:p>
        </w:tc>
        <w:tc>
          <w:tcPr>
            <w:tcW w:w="3003" w:type="dxa"/>
            <w:vAlign w:val="top"/>
          </w:tcPr>
          <w:p>
            <w:pPr>
              <w:pStyle w:val="TableText"/>
              <w:ind w:left="1203"/>
              <w:spacing w:before="65" w:line="195" w:lineRule="auto"/>
              <w:rPr/>
            </w:pPr>
            <w:r>
              <w:rPr>
                <w:spacing w:val="4"/>
              </w:rPr>
              <w:t>≤0.001</w:t>
            </w:r>
          </w:p>
        </w:tc>
      </w:tr>
      <w:tr>
        <w:trPr>
          <w:trHeight w:val="275" w:hRule="atLeast"/>
        </w:trPr>
        <w:tc>
          <w:tcPr>
            <w:tcW w:w="914" w:type="dxa"/>
            <w:vAlign w:val="top"/>
          </w:tcPr>
          <w:p>
            <w:pPr>
              <w:ind w:left="148"/>
              <w:spacing w:before="26" w:line="220" w:lineRule="auto"/>
              <w:rPr>
                <w:rFonts w:ascii="SimSun" w:hAnsi="SimSun" w:eastAsia="SimSun" w:cs="SimSun"/>
                <w:sz w:val="20"/>
                <w:szCs w:val="20"/>
              </w:rPr>
            </w:pPr>
            <w:r>
              <w:rPr>
                <w:rFonts w:ascii="SimSun" w:hAnsi="SimSun" w:eastAsia="SimSun" w:cs="SimSun"/>
                <w:sz w:val="20"/>
                <w:szCs w:val="20"/>
                <w:spacing w:val="6"/>
              </w:rPr>
              <w:t>六价铬</w:t>
            </w:r>
          </w:p>
        </w:tc>
        <w:tc>
          <w:tcPr>
            <w:tcW w:w="1266" w:type="dxa"/>
            <w:vAlign w:val="top"/>
          </w:tcPr>
          <w:p>
            <w:pPr>
              <w:pStyle w:val="TableText"/>
              <w:ind w:left="402"/>
              <w:spacing w:before="58" w:line="201" w:lineRule="auto"/>
              <w:rPr/>
            </w:pPr>
            <w:r>
              <w:rPr/>
              <w:t>mg</w:t>
            </w:r>
            <w:r>
              <w:rPr>
                <w:spacing w:val="8"/>
              </w:rPr>
              <w:t>/L</w:t>
            </w:r>
          </w:p>
        </w:tc>
        <w:tc>
          <w:tcPr>
            <w:tcW w:w="1024" w:type="dxa"/>
            <w:vAlign w:val="top"/>
          </w:tcPr>
          <w:p>
            <w:pPr>
              <w:pStyle w:val="TableText"/>
              <w:ind w:left="212"/>
              <w:spacing w:before="62" w:line="195" w:lineRule="auto"/>
              <w:rPr/>
            </w:pPr>
            <w:r>
              <w:rPr>
                <w:spacing w:val="3"/>
              </w:rPr>
              <w:t>0.004L</w:t>
            </w:r>
          </w:p>
        </w:tc>
        <w:tc>
          <w:tcPr>
            <w:tcW w:w="1026" w:type="dxa"/>
            <w:vAlign w:val="top"/>
          </w:tcPr>
          <w:p>
            <w:pPr>
              <w:pStyle w:val="TableText"/>
              <w:ind w:left="218"/>
              <w:spacing w:before="62" w:line="195" w:lineRule="auto"/>
              <w:rPr/>
            </w:pPr>
            <w:r>
              <w:rPr>
                <w:spacing w:val="3"/>
              </w:rPr>
              <w:t>0.004L</w:t>
            </w:r>
          </w:p>
        </w:tc>
        <w:tc>
          <w:tcPr>
            <w:tcW w:w="1027" w:type="dxa"/>
            <w:vAlign w:val="top"/>
          </w:tcPr>
          <w:p>
            <w:pPr>
              <w:pStyle w:val="TableText"/>
              <w:ind w:left="219"/>
              <w:spacing w:before="62" w:line="195" w:lineRule="auto"/>
              <w:rPr/>
            </w:pPr>
            <w:r>
              <w:rPr>
                <w:spacing w:val="3"/>
              </w:rPr>
              <w:t>0.004L</w:t>
            </w:r>
          </w:p>
        </w:tc>
        <w:tc>
          <w:tcPr>
            <w:tcW w:w="1027" w:type="dxa"/>
            <w:vAlign w:val="top"/>
          </w:tcPr>
          <w:p>
            <w:pPr>
              <w:pStyle w:val="TableText"/>
              <w:ind w:left="219"/>
              <w:spacing w:before="62" w:line="195" w:lineRule="auto"/>
              <w:rPr/>
            </w:pPr>
            <w:r>
              <w:rPr>
                <w:spacing w:val="3"/>
              </w:rPr>
              <w:t>0.004L</w:t>
            </w:r>
          </w:p>
        </w:tc>
        <w:tc>
          <w:tcPr>
            <w:tcW w:w="3003" w:type="dxa"/>
            <w:vAlign w:val="top"/>
          </w:tcPr>
          <w:p>
            <w:pPr>
              <w:pStyle w:val="TableText"/>
              <w:ind w:left="1259"/>
              <w:spacing w:before="63" w:line="195" w:lineRule="auto"/>
              <w:rPr/>
            </w:pPr>
            <w:r>
              <w:rPr>
                <w:spacing w:val="4"/>
              </w:rPr>
              <w:t>≤0.05</w:t>
            </w:r>
          </w:p>
        </w:tc>
      </w:tr>
      <w:tr>
        <w:trPr>
          <w:trHeight w:val="278" w:hRule="atLeast"/>
        </w:trPr>
        <w:tc>
          <w:tcPr>
            <w:tcW w:w="914" w:type="dxa"/>
            <w:vAlign w:val="top"/>
          </w:tcPr>
          <w:p>
            <w:pPr>
              <w:ind w:left="152"/>
              <w:spacing w:before="29" w:line="220" w:lineRule="auto"/>
              <w:rPr>
                <w:rFonts w:ascii="SimSun" w:hAnsi="SimSun" w:eastAsia="SimSun" w:cs="SimSun"/>
                <w:sz w:val="20"/>
                <w:szCs w:val="20"/>
              </w:rPr>
            </w:pPr>
            <w:r>
              <w:rPr>
                <w:rFonts w:ascii="SimSun" w:hAnsi="SimSun" w:eastAsia="SimSun" w:cs="SimSun"/>
                <w:sz w:val="20"/>
                <w:szCs w:val="20"/>
                <w:spacing w:val="5"/>
              </w:rPr>
              <w:t>总硬度</w:t>
            </w:r>
          </w:p>
        </w:tc>
        <w:tc>
          <w:tcPr>
            <w:tcW w:w="1266" w:type="dxa"/>
            <w:vAlign w:val="top"/>
          </w:tcPr>
          <w:p>
            <w:pPr>
              <w:pStyle w:val="TableText"/>
              <w:ind w:left="402"/>
              <w:spacing w:before="62" w:line="201" w:lineRule="auto"/>
              <w:rPr/>
            </w:pPr>
            <w:r>
              <w:rPr/>
              <w:t>mg</w:t>
            </w:r>
            <w:r>
              <w:rPr>
                <w:spacing w:val="8"/>
              </w:rPr>
              <w:t>/L</w:t>
            </w:r>
          </w:p>
        </w:tc>
        <w:tc>
          <w:tcPr>
            <w:tcW w:w="1024" w:type="dxa"/>
            <w:vAlign w:val="top"/>
          </w:tcPr>
          <w:p>
            <w:pPr>
              <w:pStyle w:val="TableText"/>
              <w:ind w:left="353"/>
              <w:spacing w:before="65" w:line="195" w:lineRule="auto"/>
              <w:rPr/>
            </w:pPr>
            <w:r>
              <w:rPr>
                <w:spacing w:val="4"/>
              </w:rPr>
              <w:t>263</w:t>
            </w:r>
          </w:p>
        </w:tc>
        <w:tc>
          <w:tcPr>
            <w:tcW w:w="1026" w:type="dxa"/>
            <w:vAlign w:val="top"/>
          </w:tcPr>
          <w:p>
            <w:pPr>
              <w:pStyle w:val="TableText"/>
              <w:ind w:left="363"/>
              <w:spacing w:before="65" w:line="195" w:lineRule="auto"/>
              <w:rPr/>
            </w:pPr>
            <w:r>
              <w:rPr>
                <w:spacing w:val="2"/>
              </w:rPr>
              <w:t>314</w:t>
            </w:r>
          </w:p>
        </w:tc>
        <w:tc>
          <w:tcPr>
            <w:tcW w:w="1027" w:type="dxa"/>
            <w:vAlign w:val="top"/>
          </w:tcPr>
          <w:p>
            <w:pPr>
              <w:pStyle w:val="TableText"/>
              <w:ind w:left="364"/>
              <w:spacing w:before="65" w:line="195" w:lineRule="auto"/>
              <w:rPr/>
            </w:pPr>
            <w:r>
              <w:rPr>
                <w:spacing w:val="2"/>
              </w:rPr>
              <w:t>333</w:t>
            </w:r>
          </w:p>
        </w:tc>
        <w:tc>
          <w:tcPr>
            <w:tcW w:w="1027" w:type="dxa"/>
            <w:vAlign w:val="top"/>
          </w:tcPr>
          <w:p>
            <w:pPr>
              <w:pStyle w:val="TableText"/>
              <w:ind w:left="364"/>
              <w:spacing w:before="65" w:line="195" w:lineRule="auto"/>
              <w:rPr/>
            </w:pPr>
            <w:r>
              <w:rPr>
                <w:spacing w:val="2"/>
              </w:rPr>
              <w:t>368</w:t>
            </w:r>
          </w:p>
        </w:tc>
        <w:tc>
          <w:tcPr>
            <w:tcW w:w="3003" w:type="dxa"/>
            <w:vAlign w:val="top"/>
          </w:tcPr>
          <w:p>
            <w:pPr>
              <w:pStyle w:val="TableText"/>
              <w:ind w:left="1285"/>
              <w:spacing w:before="66" w:line="195" w:lineRule="auto"/>
              <w:rPr/>
            </w:pPr>
            <w:r>
              <w:rPr>
                <w:spacing w:val="4"/>
              </w:rPr>
              <w:t>≤450</w:t>
            </w:r>
          </w:p>
        </w:tc>
      </w:tr>
      <w:tr>
        <w:trPr>
          <w:trHeight w:val="278" w:hRule="atLeast"/>
        </w:trPr>
        <w:tc>
          <w:tcPr>
            <w:tcW w:w="914" w:type="dxa"/>
            <w:vAlign w:val="top"/>
          </w:tcPr>
          <w:p>
            <w:pPr>
              <w:ind w:left="353"/>
              <w:spacing w:before="30" w:line="219" w:lineRule="auto"/>
              <w:rPr>
                <w:rFonts w:ascii="SimSun" w:hAnsi="SimSun" w:eastAsia="SimSun" w:cs="SimSun"/>
                <w:sz w:val="20"/>
                <w:szCs w:val="20"/>
              </w:rPr>
            </w:pPr>
            <w:r>
              <w:rPr>
                <w:rFonts w:ascii="SimSun" w:hAnsi="SimSun" w:eastAsia="SimSun" w:cs="SimSun"/>
                <w:sz w:val="20"/>
                <w:szCs w:val="20"/>
              </w:rPr>
              <w:t>铅</w:t>
            </w:r>
          </w:p>
        </w:tc>
        <w:tc>
          <w:tcPr>
            <w:tcW w:w="1266" w:type="dxa"/>
            <w:vAlign w:val="top"/>
          </w:tcPr>
          <w:p>
            <w:pPr>
              <w:pStyle w:val="TableText"/>
              <w:ind w:left="402"/>
              <w:spacing w:before="62" w:line="201" w:lineRule="auto"/>
              <w:rPr/>
            </w:pPr>
            <w:r>
              <w:rPr/>
              <w:t>mg</w:t>
            </w:r>
            <w:r>
              <w:rPr>
                <w:spacing w:val="8"/>
              </w:rPr>
              <w:t>/L</w:t>
            </w:r>
          </w:p>
        </w:tc>
        <w:tc>
          <w:tcPr>
            <w:tcW w:w="1024" w:type="dxa"/>
            <w:vAlign w:val="top"/>
          </w:tcPr>
          <w:p>
            <w:pPr>
              <w:pStyle w:val="TableText"/>
              <w:ind w:left="162"/>
              <w:spacing w:before="66" w:line="195" w:lineRule="auto"/>
              <w:rPr/>
            </w:pPr>
            <w:r>
              <w:rPr>
                <w:spacing w:val="3"/>
              </w:rPr>
              <w:t>0.0025L</w:t>
            </w:r>
          </w:p>
        </w:tc>
        <w:tc>
          <w:tcPr>
            <w:tcW w:w="1026" w:type="dxa"/>
            <w:vAlign w:val="top"/>
          </w:tcPr>
          <w:p>
            <w:pPr>
              <w:pStyle w:val="TableText"/>
              <w:ind w:left="165"/>
              <w:spacing w:before="51" w:line="195" w:lineRule="auto"/>
              <w:rPr/>
            </w:pPr>
            <w:r>
              <w:rPr>
                <w:spacing w:val="3"/>
              </w:rPr>
              <w:t>0.0025L</w:t>
            </w:r>
          </w:p>
        </w:tc>
        <w:tc>
          <w:tcPr>
            <w:tcW w:w="1027" w:type="dxa"/>
            <w:vAlign w:val="top"/>
          </w:tcPr>
          <w:p>
            <w:pPr>
              <w:pStyle w:val="TableText"/>
              <w:ind w:left="166"/>
              <w:spacing w:before="51" w:line="195" w:lineRule="auto"/>
              <w:rPr/>
            </w:pPr>
            <w:r>
              <w:rPr>
                <w:spacing w:val="3"/>
              </w:rPr>
              <w:t>0.0025L</w:t>
            </w:r>
          </w:p>
        </w:tc>
        <w:tc>
          <w:tcPr>
            <w:tcW w:w="1027" w:type="dxa"/>
            <w:vAlign w:val="top"/>
          </w:tcPr>
          <w:p>
            <w:pPr>
              <w:pStyle w:val="TableText"/>
              <w:ind w:left="167"/>
              <w:spacing w:before="51" w:line="195" w:lineRule="auto"/>
              <w:rPr/>
            </w:pPr>
            <w:r>
              <w:rPr>
                <w:spacing w:val="3"/>
              </w:rPr>
              <w:t>0.0025L</w:t>
            </w:r>
          </w:p>
        </w:tc>
        <w:tc>
          <w:tcPr>
            <w:tcW w:w="3003" w:type="dxa"/>
            <w:vAlign w:val="top"/>
          </w:tcPr>
          <w:p>
            <w:pPr>
              <w:pStyle w:val="TableText"/>
              <w:ind w:left="1259"/>
              <w:spacing w:before="66" w:line="195" w:lineRule="auto"/>
              <w:rPr/>
            </w:pPr>
            <w:r>
              <w:rPr>
                <w:spacing w:val="4"/>
              </w:rPr>
              <w:t>≤0.01</w:t>
            </w:r>
          </w:p>
        </w:tc>
      </w:tr>
      <w:tr>
        <w:trPr>
          <w:trHeight w:val="275" w:hRule="atLeast"/>
        </w:trPr>
        <w:tc>
          <w:tcPr>
            <w:tcW w:w="914" w:type="dxa"/>
            <w:vAlign w:val="top"/>
          </w:tcPr>
          <w:p>
            <w:pPr>
              <w:ind w:left="147"/>
              <w:spacing w:before="27" w:line="219" w:lineRule="auto"/>
              <w:rPr>
                <w:rFonts w:ascii="SimSun" w:hAnsi="SimSun" w:eastAsia="SimSun" w:cs="SimSun"/>
                <w:sz w:val="20"/>
                <w:szCs w:val="20"/>
              </w:rPr>
            </w:pPr>
            <w:r>
              <w:rPr>
                <w:rFonts w:ascii="SimSun" w:hAnsi="SimSun" w:eastAsia="SimSun" w:cs="SimSun"/>
                <w:sz w:val="20"/>
                <w:szCs w:val="20"/>
                <w:spacing w:val="6"/>
              </w:rPr>
              <w:t>氟化物</w:t>
            </w:r>
          </w:p>
        </w:tc>
        <w:tc>
          <w:tcPr>
            <w:tcW w:w="1266" w:type="dxa"/>
            <w:vAlign w:val="top"/>
          </w:tcPr>
          <w:p>
            <w:pPr>
              <w:pStyle w:val="TableText"/>
              <w:ind w:left="402"/>
              <w:spacing w:before="60" w:line="201" w:lineRule="auto"/>
              <w:rPr/>
            </w:pPr>
            <w:r>
              <w:rPr/>
              <w:t>mg</w:t>
            </w:r>
            <w:r>
              <w:rPr>
                <w:spacing w:val="8"/>
              </w:rPr>
              <w:t>/L</w:t>
            </w:r>
          </w:p>
        </w:tc>
        <w:tc>
          <w:tcPr>
            <w:tcW w:w="1024" w:type="dxa"/>
            <w:vAlign w:val="top"/>
          </w:tcPr>
          <w:p>
            <w:pPr>
              <w:pStyle w:val="TableText"/>
              <w:ind w:left="332"/>
              <w:spacing w:before="63" w:line="195" w:lineRule="auto"/>
              <w:rPr/>
            </w:pPr>
            <w:r>
              <w:rPr>
                <w:spacing w:val="2"/>
              </w:rPr>
              <w:t>0.61</w:t>
            </w:r>
          </w:p>
        </w:tc>
        <w:tc>
          <w:tcPr>
            <w:tcW w:w="1026" w:type="dxa"/>
            <w:vAlign w:val="top"/>
          </w:tcPr>
          <w:p>
            <w:pPr>
              <w:pStyle w:val="TableText"/>
              <w:ind w:left="333"/>
              <w:spacing w:before="63" w:line="195" w:lineRule="auto"/>
              <w:rPr/>
            </w:pPr>
            <w:r>
              <w:rPr>
                <w:spacing w:val="2"/>
              </w:rPr>
              <w:t>0.46</w:t>
            </w:r>
          </w:p>
        </w:tc>
        <w:tc>
          <w:tcPr>
            <w:tcW w:w="1027" w:type="dxa"/>
            <w:vAlign w:val="top"/>
          </w:tcPr>
          <w:p>
            <w:pPr>
              <w:pStyle w:val="TableText"/>
              <w:ind w:left="334"/>
              <w:spacing w:before="63" w:line="195" w:lineRule="auto"/>
              <w:rPr/>
            </w:pPr>
            <w:r>
              <w:rPr>
                <w:spacing w:val="2"/>
              </w:rPr>
              <w:t>0.57</w:t>
            </w:r>
          </w:p>
        </w:tc>
        <w:tc>
          <w:tcPr>
            <w:tcW w:w="1027" w:type="dxa"/>
            <w:vAlign w:val="top"/>
          </w:tcPr>
          <w:p>
            <w:pPr>
              <w:pStyle w:val="TableText"/>
              <w:ind w:left="335"/>
              <w:spacing w:before="63" w:line="195" w:lineRule="auto"/>
              <w:rPr/>
            </w:pPr>
            <w:r>
              <w:rPr>
                <w:spacing w:val="2"/>
              </w:rPr>
              <w:t>0.49</w:t>
            </w:r>
          </w:p>
        </w:tc>
        <w:tc>
          <w:tcPr>
            <w:tcW w:w="3003" w:type="dxa"/>
            <w:vAlign w:val="top"/>
          </w:tcPr>
          <w:p>
            <w:pPr>
              <w:pStyle w:val="TableText"/>
              <w:ind w:left="1391"/>
              <w:spacing w:before="64" w:line="195" w:lineRule="auto"/>
              <w:rPr/>
            </w:pPr>
            <w:r>
              <w:rPr>
                <w:spacing w:val="2"/>
              </w:rPr>
              <w:t>≤1</w:t>
            </w:r>
          </w:p>
        </w:tc>
      </w:tr>
      <w:tr>
        <w:trPr>
          <w:trHeight w:val="278" w:hRule="atLeast"/>
        </w:trPr>
        <w:tc>
          <w:tcPr>
            <w:tcW w:w="914" w:type="dxa"/>
            <w:vAlign w:val="top"/>
          </w:tcPr>
          <w:p>
            <w:pPr>
              <w:ind w:left="351"/>
              <w:spacing w:before="30" w:line="219" w:lineRule="auto"/>
              <w:rPr>
                <w:rFonts w:ascii="SimSun" w:hAnsi="SimSun" w:eastAsia="SimSun" w:cs="SimSun"/>
                <w:sz w:val="20"/>
                <w:szCs w:val="20"/>
              </w:rPr>
            </w:pPr>
            <w:r>
              <w:rPr>
                <w:rFonts w:ascii="SimSun" w:hAnsi="SimSun" w:eastAsia="SimSun" w:cs="SimSun"/>
                <w:sz w:val="20"/>
                <w:szCs w:val="20"/>
                <w:spacing w:val="2"/>
              </w:rPr>
              <w:t>镉</w:t>
            </w:r>
          </w:p>
        </w:tc>
        <w:tc>
          <w:tcPr>
            <w:tcW w:w="1266" w:type="dxa"/>
            <w:vAlign w:val="top"/>
          </w:tcPr>
          <w:p>
            <w:pPr>
              <w:pStyle w:val="TableText"/>
              <w:ind w:left="402"/>
              <w:spacing w:before="63" w:line="201" w:lineRule="auto"/>
              <w:rPr/>
            </w:pPr>
            <w:r>
              <w:rPr/>
              <w:t>mg</w:t>
            </w:r>
            <w:r>
              <w:rPr>
                <w:spacing w:val="8"/>
              </w:rPr>
              <w:t>/L</w:t>
            </w:r>
          </w:p>
        </w:tc>
        <w:tc>
          <w:tcPr>
            <w:tcW w:w="1024" w:type="dxa"/>
            <w:vAlign w:val="top"/>
          </w:tcPr>
          <w:p>
            <w:pPr>
              <w:pStyle w:val="TableText"/>
              <w:ind w:left="212"/>
              <w:spacing w:before="67" w:line="195" w:lineRule="auto"/>
              <w:rPr/>
            </w:pPr>
            <w:r>
              <w:rPr>
                <w:spacing w:val="3"/>
              </w:rPr>
              <w:t>0.001L</w:t>
            </w:r>
          </w:p>
        </w:tc>
        <w:tc>
          <w:tcPr>
            <w:tcW w:w="1026" w:type="dxa"/>
            <w:vAlign w:val="top"/>
          </w:tcPr>
          <w:p>
            <w:pPr>
              <w:pStyle w:val="TableText"/>
              <w:ind w:left="218"/>
              <w:spacing w:before="67" w:line="195" w:lineRule="auto"/>
              <w:rPr/>
            </w:pPr>
            <w:r>
              <w:rPr>
                <w:spacing w:val="3"/>
              </w:rPr>
              <w:t>0.001L</w:t>
            </w:r>
          </w:p>
        </w:tc>
        <w:tc>
          <w:tcPr>
            <w:tcW w:w="1027" w:type="dxa"/>
            <w:vAlign w:val="top"/>
          </w:tcPr>
          <w:p>
            <w:pPr>
              <w:pStyle w:val="TableText"/>
              <w:ind w:left="219"/>
              <w:spacing w:before="67" w:line="195" w:lineRule="auto"/>
              <w:rPr/>
            </w:pPr>
            <w:r>
              <w:rPr>
                <w:spacing w:val="3"/>
              </w:rPr>
              <w:t>0.001L</w:t>
            </w:r>
          </w:p>
        </w:tc>
        <w:tc>
          <w:tcPr>
            <w:tcW w:w="1027" w:type="dxa"/>
            <w:vAlign w:val="top"/>
          </w:tcPr>
          <w:p>
            <w:pPr>
              <w:pStyle w:val="TableText"/>
              <w:ind w:left="219"/>
              <w:spacing w:before="67" w:line="195" w:lineRule="auto"/>
              <w:rPr/>
            </w:pPr>
            <w:r>
              <w:rPr>
                <w:spacing w:val="3"/>
              </w:rPr>
              <w:t>0.001L</w:t>
            </w:r>
          </w:p>
        </w:tc>
        <w:tc>
          <w:tcPr>
            <w:tcW w:w="3003" w:type="dxa"/>
            <w:vAlign w:val="top"/>
          </w:tcPr>
          <w:p>
            <w:pPr>
              <w:pStyle w:val="TableText"/>
              <w:ind w:left="1203"/>
              <w:spacing w:before="67" w:line="195" w:lineRule="auto"/>
              <w:rPr/>
            </w:pPr>
            <w:r>
              <w:rPr>
                <w:spacing w:val="4"/>
              </w:rPr>
              <w:t>≤0.005</w:t>
            </w:r>
          </w:p>
        </w:tc>
      </w:tr>
      <w:tr>
        <w:trPr>
          <w:trHeight w:val="278" w:hRule="atLeast"/>
        </w:trPr>
        <w:tc>
          <w:tcPr>
            <w:tcW w:w="914" w:type="dxa"/>
            <w:vAlign w:val="top"/>
          </w:tcPr>
          <w:p>
            <w:pPr>
              <w:ind w:left="352"/>
              <w:spacing w:before="31" w:line="218" w:lineRule="auto"/>
              <w:rPr>
                <w:rFonts w:ascii="SimSun" w:hAnsi="SimSun" w:eastAsia="SimSun" w:cs="SimSun"/>
                <w:sz w:val="20"/>
                <w:szCs w:val="20"/>
              </w:rPr>
            </w:pPr>
            <w:r>
              <w:rPr>
                <w:rFonts w:ascii="SimSun" w:hAnsi="SimSun" w:eastAsia="SimSun" w:cs="SimSun"/>
                <w:sz w:val="20"/>
                <w:szCs w:val="20"/>
                <w:spacing w:val="1"/>
              </w:rPr>
              <w:t>铁</w:t>
            </w:r>
          </w:p>
        </w:tc>
        <w:tc>
          <w:tcPr>
            <w:tcW w:w="1266" w:type="dxa"/>
            <w:vAlign w:val="top"/>
          </w:tcPr>
          <w:p>
            <w:pPr>
              <w:pStyle w:val="TableText"/>
              <w:ind w:left="402"/>
              <w:spacing w:before="63" w:line="201" w:lineRule="auto"/>
              <w:rPr/>
            </w:pPr>
            <w:r>
              <w:rPr/>
              <w:t>mg</w:t>
            </w:r>
            <w:r>
              <w:rPr>
                <w:spacing w:val="8"/>
              </w:rPr>
              <w:t>/L</w:t>
            </w:r>
          </w:p>
        </w:tc>
        <w:tc>
          <w:tcPr>
            <w:tcW w:w="1024" w:type="dxa"/>
            <w:vAlign w:val="top"/>
          </w:tcPr>
          <w:p>
            <w:pPr>
              <w:pStyle w:val="TableText"/>
              <w:ind w:left="268"/>
              <w:spacing w:before="67" w:line="195" w:lineRule="auto"/>
              <w:rPr/>
            </w:pPr>
            <w:r>
              <w:rPr>
                <w:spacing w:val="3"/>
              </w:rPr>
              <w:t>0.03L</w:t>
            </w:r>
          </w:p>
        </w:tc>
        <w:tc>
          <w:tcPr>
            <w:tcW w:w="1026" w:type="dxa"/>
            <w:vAlign w:val="top"/>
          </w:tcPr>
          <w:p>
            <w:pPr>
              <w:pStyle w:val="TableText"/>
              <w:ind w:left="268"/>
              <w:spacing w:before="67" w:line="195" w:lineRule="auto"/>
              <w:rPr/>
            </w:pPr>
            <w:r>
              <w:rPr>
                <w:spacing w:val="3"/>
              </w:rPr>
              <w:t>0.03L</w:t>
            </w:r>
          </w:p>
        </w:tc>
        <w:tc>
          <w:tcPr>
            <w:tcW w:w="1027" w:type="dxa"/>
            <w:vAlign w:val="top"/>
          </w:tcPr>
          <w:p>
            <w:pPr>
              <w:pStyle w:val="TableText"/>
              <w:ind w:left="272"/>
              <w:spacing w:before="67" w:line="195" w:lineRule="auto"/>
              <w:rPr/>
            </w:pPr>
            <w:r>
              <w:rPr>
                <w:spacing w:val="2"/>
              </w:rPr>
              <w:t>0.03L</w:t>
            </w:r>
          </w:p>
        </w:tc>
        <w:tc>
          <w:tcPr>
            <w:tcW w:w="1027" w:type="dxa"/>
            <w:vAlign w:val="top"/>
          </w:tcPr>
          <w:p>
            <w:pPr>
              <w:pStyle w:val="TableText"/>
              <w:ind w:left="272"/>
              <w:spacing w:before="67" w:line="195" w:lineRule="auto"/>
              <w:rPr/>
            </w:pPr>
            <w:r>
              <w:rPr>
                <w:spacing w:val="2"/>
              </w:rPr>
              <w:t>0.03L</w:t>
            </w:r>
          </w:p>
        </w:tc>
        <w:tc>
          <w:tcPr>
            <w:tcW w:w="3003" w:type="dxa"/>
            <w:vAlign w:val="top"/>
          </w:tcPr>
          <w:p>
            <w:pPr>
              <w:pStyle w:val="TableText"/>
              <w:ind w:left="1311"/>
              <w:spacing w:before="67" w:line="195" w:lineRule="auto"/>
              <w:rPr/>
            </w:pPr>
            <w:r>
              <w:rPr>
                <w:spacing w:val="3"/>
              </w:rPr>
              <w:t>≤0.3</w:t>
            </w:r>
          </w:p>
        </w:tc>
      </w:tr>
      <w:tr>
        <w:trPr>
          <w:trHeight w:val="275" w:hRule="atLeast"/>
        </w:trPr>
        <w:tc>
          <w:tcPr>
            <w:tcW w:w="914" w:type="dxa"/>
            <w:vAlign w:val="top"/>
          </w:tcPr>
          <w:p>
            <w:pPr>
              <w:ind w:left="353"/>
              <w:spacing w:before="28" w:line="218" w:lineRule="auto"/>
              <w:rPr>
                <w:rFonts w:ascii="SimSun" w:hAnsi="SimSun" w:eastAsia="SimSun" w:cs="SimSun"/>
                <w:sz w:val="20"/>
                <w:szCs w:val="20"/>
              </w:rPr>
            </w:pPr>
            <w:r>
              <w:rPr>
                <w:rFonts w:ascii="SimSun" w:hAnsi="SimSun" w:eastAsia="SimSun" w:cs="SimSun"/>
                <w:sz w:val="20"/>
                <w:szCs w:val="20"/>
              </w:rPr>
              <w:t>锰</w:t>
            </w:r>
          </w:p>
        </w:tc>
        <w:tc>
          <w:tcPr>
            <w:tcW w:w="1266" w:type="dxa"/>
            <w:vAlign w:val="top"/>
          </w:tcPr>
          <w:p>
            <w:pPr>
              <w:pStyle w:val="TableText"/>
              <w:ind w:left="402"/>
              <w:spacing w:before="61" w:line="201" w:lineRule="auto"/>
              <w:rPr/>
            </w:pPr>
            <w:r>
              <w:rPr/>
              <w:t>mg</w:t>
            </w:r>
            <w:r>
              <w:rPr>
                <w:spacing w:val="8"/>
              </w:rPr>
              <w:t>/L</w:t>
            </w:r>
          </w:p>
        </w:tc>
        <w:tc>
          <w:tcPr>
            <w:tcW w:w="1024" w:type="dxa"/>
            <w:vAlign w:val="top"/>
          </w:tcPr>
          <w:p>
            <w:pPr>
              <w:pStyle w:val="TableText"/>
              <w:ind w:left="268"/>
              <w:spacing w:before="65" w:line="195" w:lineRule="auto"/>
              <w:rPr/>
            </w:pPr>
            <w:r>
              <w:rPr>
                <w:spacing w:val="3"/>
              </w:rPr>
              <w:t>0.01L</w:t>
            </w:r>
          </w:p>
        </w:tc>
        <w:tc>
          <w:tcPr>
            <w:tcW w:w="1026" w:type="dxa"/>
            <w:vAlign w:val="top"/>
          </w:tcPr>
          <w:p>
            <w:pPr>
              <w:pStyle w:val="TableText"/>
              <w:ind w:left="268"/>
              <w:spacing w:before="65" w:line="195" w:lineRule="auto"/>
              <w:rPr/>
            </w:pPr>
            <w:r>
              <w:rPr>
                <w:spacing w:val="3"/>
              </w:rPr>
              <w:t>0.01L</w:t>
            </w:r>
          </w:p>
        </w:tc>
        <w:tc>
          <w:tcPr>
            <w:tcW w:w="1027" w:type="dxa"/>
            <w:vAlign w:val="top"/>
          </w:tcPr>
          <w:p>
            <w:pPr>
              <w:pStyle w:val="TableText"/>
              <w:ind w:left="272"/>
              <w:spacing w:before="65" w:line="195" w:lineRule="auto"/>
              <w:rPr/>
            </w:pPr>
            <w:r>
              <w:rPr>
                <w:spacing w:val="2"/>
              </w:rPr>
              <w:t>0.01L</w:t>
            </w:r>
          </w:p>
        </w:tc>
        <w:tc>
          <w:tcPr>
            <w:tcW w:w="1027" w:type="dxa"/>
            <w:vAlign w:val="top"/>
          </w:tcPr>
          <w:p>
            <w:pPr>
              <w:pStyle w:val="TableText"/>
              <w:ind w:left="272"/>
              <w:spacing w:before="65" w:line="195" w:lineRule="auto"/>
              <w:rPr/>
            </w:pPr>
            <w:r>
              <w:rPr>
                <w:spacing w:val="2"/>
              </w:rPr>
              <w:t>0.01L</w:t>
            </w:r>
          </w:p>
        </w:tc>
        <w:tc>
          <w:tcPr>
            <w:tcW w:w="3003" w:type="dxa"/>
            <w:vAlign w:val="top"/>
          </w:tcPr>
          <w:p>
            <w:pPr>
              <w:pStyle w:val="TableText"/>
              <w:ind w:left="1311"/>
              <w:spacing w:before="65" w:line="195" w:lineRule="auto"/>
              <w:rPr/>
            </w:pPr>
            <w:r>
              <w:rPr>
                <w:spacing w:val="2"/>
              </w:rPr>
              <w:t>≤0.</w:t>
            </w:r>
            <w:r>
              <w:rPr>
                <w:spacing w:val="-24"/>
              </w:rPr>
              <w:t xml:space="preserve"> </w:t>
            </w:r>
            <w:r>
              <w:rPr>
                <w:spacing w:val="2"/>
              </w:rPr>
              <w:t>1</w:t>
            </w:r>
          </w:p>
        </w:tc>
      </w:tr>
      <w:tr>
        <w:trPr>
          <w:trHeight w:val="549" w:hRule="atLeast"/>
        </w:trPr>
        <w:tc>
          <w:tcPr>
            <w:tcW w:w="914" w:type="dxa"/>
            <w:vAlign w:val="top"/>
          </w:tcPr>
          <w:p>
            <w:pPr>
              <w:ind w:left="149"/>
              <w:spacing w:before="32" w:line="228" w:lineRule="auto"/>
              <w:rPr>
                <w:rFonts w:ascii="SimSun" w:hAnsi="SimSun" w:eastAsia="SimSun" w:cs="SimSun"/>
                <w:sz w:val="20"/>
                <w:szCs w:val="20"/>
              </w:rPr>
            </w:pPr>
            <w:r>
              <w:rPr>
                <w:rFonts w:ascii="SimSun" w:hAnsi="SimSun" w:eastAsia="SimSun" w:cs="SimSun"/>
                <w:sz w:val="20"/>
                <w:szCs w:val="20"/>
                <w:spacing w:val="6"/>
              </w:rPr>
              <w:t>溶解性</w:t>
            </w:r>
          </w:p>
          <w:p>
            <w:pPr>
              <w:ind w:left="152"/>
              <w:spacing w:before="26" w:line="215" w:lineRule="auto"/>
              <w:rPr>
                <w:rFonts w:ascii="SimSun" w:hAnsi="SimSun" w:eastAsia="SimSun" w:cs="SimSun"/>
                <w:sz w:val="20"/>
                <w:szCs w:val="20"/>
              </w:rPr>
            </w:pPr>
            <w:r>
              <w:rPr>
                <w:rFonts w:ascii="SimSun" w:hAnsi="SimSun" w:eastAsia="SimSun" w:cs="SimSun"/>
                <w:sz w:val="20"/>
                <w:szCs w:val="20"/>
                <w:spacing w:val="5"/>
              </w:rPr>
              <w:t>总固体</w:t>
            </w:r>
          </w:p>
        </w:tc>
        <w:tc>
          <w:tcPr>
            <w:tcW w:w="1266" w:type="dxa"/>
            <w:vAlign w:val="top"/>
          </w:tcPr>
          <w:p>
            <w:pPr>
              <w:pStyle w:val="TableText"/>
              <w:ind w:left="402"/>
              <w:spacing w:before="201" w:line="201" w:lineRule="auto"/>
              <w:rPr/>
            </w:pPr>
            <w:r>
              <w:rPr/>
              <w:t>mg</w:t>
            </w:r>
            <w:r>
              <w:rPr>
                <w:spacing w:val="8"/>
              </w:rPr>
              <w:t>/L</w:t>
            </w:r>
          </w:p>
        </w:tc>
        <w:tc>
          <w:tcPr>
            <w:tcW w:w="1024" w:type="dxa"/>
            <w:vAlign w:val="top"/>
          </w:tcPr>
          <w:p>
            <w:pPr>
              <w:pStyle w:val="TableText"/>
              <w:ind w:left="352"/>
              <w:spacing w:before="205" w:line="195" w:lineRule="auto"/>
              <w:rPr/>
            </w:pPr>
            <w:r>
              <w:rPr>
                <w:spacing w:val="4"/>
              </w:rPr>
              <w:t>482</w:t>
            </w:r>
          </w:p>
        </w:tc>
        <w:tc>
          <w:tcPr>
            <w:tcW w:w="1026" w:type="dxa"/>
            <w:vAlign w:val="top"/>
          </w:tcPr>
          <w:p>
            <w:pPr>
              <w:pStyle w:val="TableText"/>
              <w:ind w:left="365"/>
              <w:spacing w:before="205" w:line="195" w:lineRule="auto"/>
              <w:rPr/>
            </w:pPr>
            <w:r>
              <w:rPr>
                <w:spacing w:val="1"/>
              </w:rPr>
              <w:t>553</w:t>
            </w:r>
          </w:p>
        </w:tc>
        <w:tc>
          <w:tcPr>
            <w:tcW w:w="1027" w:type="dxa"/>
            <w:vAlign w:val="top"/>
          </w:tcPr>
          <w:p>
            <w:pPr>
              <w:pStyle w:val="TableText"/>
              <w:ind w:left="366"/>
              <w:spacing w:before="205" w:line="195" w:lineRule="auto"/>
              <w:rPr/>
            </w:pPr>
            <w:r>
              <w:rPr>
                <w:spacing w:val="1"/>
              </w:rPr>
              <w:t>581</w:t>
            </w:r>
          </w:p>
        </w:tc>
        <w:tc>
          <w:tcPr>
            <w:tcW w:w="1027" w:type="dxa"/>
            <w:vAlign w:val="top"/>
          </w:tcPr>
          <w:p>
            <w:pPr>
              <w:pStyle w:val="TableText"/>
              <w:ind w:left="365"/>
              <w:spacing w:before="205" w:line="195" w:lineRule="auto"/>
              <w:rPr/>
            </w:pPr>
            <w:r>
              <w:rPr>
                <w:spacing w:val="2"/>
              </w:rPr>
              <w:t>606</w:t>
            </w:r>
          </w:p>
        </w:tc>
        <w:tc>
          <w:tcPr>
            <w:tcW w:w="3003" w:type="dxa"/>
            <w:vAlign w:val="top"/>
          </w:tcPr>
          <w:p>
            <w:pPr>
              <w:pStyle w:val="TableText"/>
              <w:ind w:left="1232"/>
              <w:spacing w:before="205" w:line="195" w:lineRule="auto"/>
              <w:rPr/>
            </w:pPr>
            <w:r>
              <w:rPr>
                <w:spacing w:val="4"/>
              </w:rPr>
              <w:t>≤1000</w:t>
            </w:r>
          </w:p>
        </w:tc>
      </w:tr>
      <w:tr>
        <w:trPr>
          <w:trHeight w:val="549" w:hRule="atLeast"/>
        </w:trPr>
        <w:tc>
          <w:tcPr>
            <w:tcW w:w="914" w:type="dxa"/>
            <w:vAlign w:val="top"/>
          </w:tcPr>
          <w:p>
            <w:pPr>
              <w:ind w:left="152"/>
              <w:spacing w:before="32" w:line="228" w:lineRule="auto"/>
              <w:rPr>
                <w:rFonts w:ascii="SimSun" w:hAnsi="SimSun" w:eastAsia="SimSun" w:cs="SimSun"/>
                <w:sz w:val="20"/>
                <w:szCs w:val="20"/>
              </w:rPr>
            </w:pPr>
            <w:r>
              <w:rPr>
                <w:rFonts w:ascii="SimSun" w:hAnsi="SimSun" w:eastAsia="SimSun" w:cs="SimSun"/>
                <w:sz w:val="20"/>
                <w:szCs w:val="20"/>
                <w:spacing w:val="5"/>
              </w:rPr>
              <w:t>高锰酸</w:t>
            </w:r>
          </w:p>
          <w:p>
            <w:pPr>
              <w:ind w:left="148"/>
              <w:spacing w:before="24" w:line="217" w:lineRule="auto"/>
              <w:rPr>
                <w:rFonts w:ascii="SimSun" w:hAnsi="SimSun" w:eastAsia="SimSun" w:cs="SimSun"/>
                <w:sz w:val="20"/>
                <w:szCs w:val="20"/>
              </w:rPr>
            </w:pPr>
            <w:r>
              <w:rPr>
                <w:rFonts w:ascii="SimSun" w:hAnsi="SimSun" w:eastAsia="SimSun" w:cs="SimSun"/>
                <w:sz w:val="20"/>
                <w:szCs w:val="20"/>
                <w:spacing w:val="6"/>
              </w:rPr>
              <w:t>盐指数</w:t>
            </w:r>
          </w:p>
        </w:tc>
        <w:tc>
          <w:tcPr>
            <w:tcW w:w="1266" w:type="dxa"/>
            <w:vAlign w:val="top"/>
          </w:tcPr>
          <w:p>
            <w:pPr>
              <w:pStyle w:val="TableText"/>
              <w:ind w:left="402"/>
              <w:spacing w:before="201" w:line="201" w:lineRule="auto"/>
              <w:rPr/>
            </w:pPr>
            <w:r>
              <w:rPr/>
              <w:t>mg</w:t>
            </w:r>
            <w:r>
              <w:rPr>
                <w:spacing w:val="8"/>
              </w:rPr>
              <w:t>/L</w:t>
            </w:r>
          </w:p>
        </w:tc>
        <w:tc>
          <w:tcPr>
            <w:tcW w:w="1024" w:type="dxa"/>
            <w:vAlign w:val="top"/>
          </w:tcPr>
          <w:p>
            <w:pPr>
              <w:pStyle w:val="TableText"/>
              <w:ind w:left="481"/>
              <w:spacing w:before="205" w:line="195" w:lineRule="auto"/>
              <w:rPr/>
            </w:pPr>
            <w:r>
              <w:rPr/>
              <w:t>1</w:t>
            </w:r>
          </w:p>
        </w:tc>
        <w:tc>
          <w:tcPr>
            <w:tcW w:w="1026" w:type="dxa"/>
            <w:vAlign w:val="top"/>
          </w:tcPr>
          <w:p>
            <w:pPr>
              <w:pStyle w:val="TableText"/>
              <w:ind w:left="405"/>
              <w:spacing w:before="205" w:line="195" w:lineRule="auto"/>
              <w:rPr/>
            </w:pPr>
            <w:r>
              <w:rPr>
                <w:spacing w:val="-6"/>
              </w:rPr>
              <w:t>1.</w:t>
            </w:r>
            <w:r>
              <w:rPr>
                <w:spacing w:val="-25"/>
              </w:rPr>
              <w:t xml:space="preserve"> </w:t>
            </w:r>
            <w:r>
              <w:rPr>
                <w:spacing w:val="-6"/>
              </w:rPr>
              <w:t>1</w:t>
            </w:r>
          </w:p>
        </w:tc>
        <w:tc>
          <w:tcPr>
            <w:tcW w:w="1027" w:type="dxa"/>
            <w:vAlign w:val="top"/>
          </w:tcPr>
          <w:p>
            <w:pPr>
              <w:pStyle w:val="TableText"/>
              <w:ind w:left="404"/>
              <w:spacing w:before="205" w:line="195" w:lineRule="auto"/>
              <w:rPr/>
            </w:pPr>
            <w:r>
              <w:rPr>
                <w:spacing w:val="-4"/>
              </w:rPr>
              <w:t>1.2</w:t>
            </w:r>
          </w:p>
        </w:tc>
        <w:tc>
          <w:tcPr>
            <w:tcW w:w="1027" w:type="dxa"/>
            <w:vAlign w:val="top"/>
          </w:tcPr>
          <w:p>
            <w:pPr>
              <w:pStyle w:val="TableText"/>
              <w:ind w:left="387"/>
              <w:spacing w:before="205" w:line="195" w:lineRule="auto"/>
              <w:rPr/>
            </w:pPr>
            <w:r>
              <w:rPr>
                <w:spacing w:val="1"/>
              </w:rPr>
              <w:t>0.9</w:t>
            </w:r>
          </w:p>
        </w:tc>
        <w:tc>
          <w:tcPr>
            <w:tcW w:w="3003" w:type="dxa"/>
            <w:vAlign w:val="top"/>
          </w:tcPr>
          <w:p>
            <w:pPr>
              <w:pStyle w:val="TableText"/>
              <w:ind w:left="1391"/>
              <w:spacing w:before="206" w:line="195" w:lineRule="auto"/>
              <w:rPr/>
            </w:pPr>
            <w:r>
              <w:rPr>
                <w:spacing w:val="2"/>
              </w:rPr>
              <w:t>≤3</w:t>
            </w:r>
          </w:p>
        </w:tc>
      </w:tr>
      <w:tr>
        <w:trPr>
          <w:trHeight w:val="278" w:hRule="atLeast"/>
        </w:trPr>
        <w:tc>
          <w:tcPr>
            <w:tcW w:w="914" w:type="dxa"/>
            <w:vAlign w:val="top"/>
          </w:tcPr>
          <w:p>
            <w:pPr>
              <w:ind w:left="146"/>
              <w:spacing w:before="32" w:line="217" w:lineRule="auto"/>
              <w:rPr>
                <w:rFonts w:ascii="SimSun" w:hAnsi="SimSun" w:eastAsia="SimSun" w:cs="SimSun"/>
                <w:sz w:val="20"/>
                <w:szCs w:val="20"/>
              </w:rPr>
            </w:pPr>
            <w:r>
              <w:rPr>
                <w:rFonts w:ascii="SimSun" w:hAnsi="SimSun" w:eastAsia="SimSun" w:cs="SimSun"/>
                <w:sz w:val="20"/>
                <w:szCs w:val="20"/>
                <w:spacing w:val="7"/>
              </w:rPr>
              <w:t>硫酸盐</w:t>
            </w:r>
          </w:p>
        </w:tc>
        <w:tc>
          <w:tcPr>
            <w:tcW w:w="1266" w:type="dxa"/>
            <w:vAlign w:val="top"/>
          </w:tcPr>
          <w:p>
            <w:pPr>
              <w:pStyle w:val="TableText"/>
              <w:ind w:left="402"/>
              <w:spacing w:before="65" w:line="201" w:lineRule="auto"/>
              <w:rPr/>
            </w:pPr>
            <w:r>
              <w:rPr/>
              <w:t>mg</w:t>
            </w:r>
            <w:r>
              <w:rPr>
                <w:spacing w:val="8"/>
              </w:rPr>
              <w:t>/L</w:t>
            </w:r>
          </w:p>
        </w:tc>
        <w:tc>
          <w:tcPr>
            <w:tcW w:w="1024" w:type="dxa"/>
            <w:vAlign w:val="top"/>
          </w:tcPr>
          <w:p>
            <w:pPr>
              <w:pStyle w:val="TableText"/>
              <w:ind w:left="410"/>
              <w:spacing w:before="69" w:line="195" w:lineRule="auto"/>
              <w:rPr/>
            </w:pPr>
            <w:r>
              <w:rPr/>
              <w:t>93</w:t>
            </w:r>
          </w:p>
        </w:tc>
        <w:tc>
          <w:tcPr>
            <w:tcW w:w="1026" w:type="dxa"/>
            <w:vAlign w:val="top"/>
          </w:tcPr>
          <w:p>
            <w:pPr>
              <w:pStyle w:val="TableText"/>
              <w:ind w:left="418"/>
              <w:spacing w:before="69" w:line="195" w:lineRule="auto"/>
              <w:rPr/>
            </w:pPr>
            <w:r>
              <w:rPr>
                <w:spacing w:val="-2"/>
              </w:rPr>
              <w:t>89</w:t>
            </w:r>
          </w:p>
        </w:tc>
        <w:tc>
          <w:tcPr>
            <w:tcW w:w="1027" w:type="dxa"/>
            <w:vAlign w:val="top"/>
          </w:tcPr>
          <w:p>
            <w:pPr>
              <w:pStyle w:val="TableText"/>
              <w:ind w:left="419"/>
              <w:spacing w:before="69" w:line="195" w:lineRule="auto"/>
              <w:rPr/>
            </w:pPr>
            <w:r>
              <w:rPr>
                <w:spacing w:val="-2"/>
              </w:rPr>
              <w:t>86</w:t>
            </w:r>
          </w:p>
        </w:tc>
        <w:tc>
          <w:tcPr>
            <w:tcW w:w="1027" w:type="dxa"/>
            <w:vAlign w:val="top"/>
          </w:tcPr>
          <w:p>
            <w:pPr>
              <w:pStyle w:val="TableText"/>
              <w:ind w:left="417"/>
              <w:spacing w:before="69" w:line="195" w:lineRule="auto"/>
              <w:rPr/>
            </w:pPr>
            <w:r>
              <w:rPr>
                <w:spacing w:val="-1"/>
              </w:rPr>
              <w:t>82</w:t>
            </w:r>
          </w:p>
        </w:tc>
        <w:tc>
          <w:tcPr>
            <w:tcW w:w="3003" w:type="dxa"/>
            <w:vAlign w:val="top"/>
          </w:tcPr>
          <w:p>
            <w:pPr>
              <w:pStyle w:val="TableText"/>
              <w:ind w:left="1285"/>
              <w:spacing w:before="69" w:line="195" w:lineRule="auto"/>
              <w:rPr/>
            </w:pPr>
            <w:r>
              <w:rPr>
                <w:spacing w:val="4"/>
              </w:rPr>
              <w:t>≤250</w:t>
            </w:r>
          </w:p>
        </w:tc>
      </w:tr>
      <w:tr>
        <w:trPr>
          <w:trHeight w:val="278" w:hRule="atLeast"/>
        </w:trPr>
        <w:tc>
          <w:tcPr>
            <w:tcW w:w="914" w:type="dxa"/>
            <w:vAlign w:val="top"/>
          </w:tcPr>
          <w:p>
            <w:pPr>
              <w:ind w:left="150"/>
              <w:spacing w:before="34" w:line="216" w:lineRule="auto"/>
              <w:rPr>
                <w:rFonts w:ascii="SimSun" w:hAnsi="SimSun" w:eastAsia="SimSun" w:cs="SimSun"/>
                <w:sz w:val="20"/>
                <w:szCs w:val="20"/>
              </w:rPr>
            </w:pPr>
            <w:r>
              <w:rPr>
                <w:rFonts w:ascii="SimSun" w:hAnsi="SimSun" w:eastAsia="SimSun" w:cs="SimSun"/>
                <w:sz w:val="20"/>
                <w:szCs w:val="20"/>
                <w:spacing w:val="5"/>
              </w:rPr>
              <w:t>氯化物</w:t>
            </w:r>
          </w:p>
        </w:tc>
        <w:tc>
          <w:tcPr>
            <w:tcW w:w="1266" w:type="dxa"/>
            <w:vAlign w:val="top"/>
          </w:tcPr>
          <w:p>
            <w:pPr>
              <w:pStyle w:val="TableText"/>
              <w:ind w:left="402"/>
              <w:spacing w:before="65" w:line="201" w:lineRule="auto"/>
              <w:rPr/>
            </w:pPr>
            <w:r>
              <w:rPr/>
              <w:t>mg</w:t>
            </w:r>
            <w:r>
              <w:rPr>
                <w:spacing w:val="8"/>
              </w:rPr>
              <w:t>/L</w:t>
            </w:r>
          </w:p>
        </w:tc>
        <w:tc>
          <w:tcPr>
            <w:tcW w:w="1024" w:type="dxa"/>
            <w:vAlign w:val="top"/>
          </w:tcPr>
          <w:p>
            <w:pPr>
              <w:pStyle w:val="TableText"/>
              <w:ind w:left="378"/>
              <w:spacing w:before="69" w:line="195" w:lineRule="auto"/>
              <w:rPr/>
            </w:pPr>
            <w:r>
              <w:rPr>
                <w:spacing w:val="-6"/>
              </w:rPr>
              <w:t>119</w:t>
            </w:r>
          </w:p>
        </w:tc>
        <w:tc>
          <w:tcPr>
            <w:tcW w:w="1026" w:type="dxa"/>
            <w:vAlign w:val="top"/>
          </w:tcPr>
          <w:p>
            <w:pPr>
              <w:pStyle w:val="TableText"/>
              <w:ind w:left="381"/>
              <w:spacing w:before="69" w:line="195" w:lineRule="auto"/>
              <w:rPr/>
            </w:pPr>
            <w:r>
              <w:rPr>
                <w:spacing w:val="-6"/>
              </w:rPr>
              <w:t>116</w:t>
            </w:r>
          </w:p>
        </w:tc>
        <w:tc>
          <w:tcPr>
            <w:tcW w:w="1027" w:type="dxa"/>
            <w:vAlign w:val="top"/>
          </w:tcPr>
          <w:p>
            <w:pPr>
              <w:pStyle w:val="TableText"/>
              <w:ind w:left="383"/>
              <w:spacing w:before="69" w:line="195" w:lineRule="auto"/>
              <w:rPr/>
            </w:pPr>
            <w:r>
              <w:rPr>
                <w:spacing w:val="-6"/>
              </w:rPr>
              <w:t>115</w:t>
            </w:r>
          </w:p>
        </w:tc>
        <w:tc>
          <w:tcPr>
            <w:tcW w:w="1027" w:type="dxa"/>
            <w:vAlign w:val="top"/>
          </w:tcPr>
          <w:p>
            <w:pPr>
              <w:pStyle w:val="TableText"/>
              <w:ind w:left="380"/>
              <w:spacing w:before="69" w:line="195" w:lineRule="auto"/>
              <w:rPr/>
            </w:pPr>
            <w:r>
              <w:rPr>
                <w:spacing w:val="-3"/>
              </w:rPr>
              <w:t>123</w:t>
            </w:r>
          </w:p>
        </w:tc>
        <w:tc>
          <w:tcPr>
            <w:tcW w:w="3003" w:type="dxa"/>
            <w:vAlign w:val="top"/>
          </w:tcPr>
          <w:p>
            <w:pPr>
              <w:pStyle w:val="TableText"/>
              <w:ind w:left="1285"/>
              <w:spacing w:before="69" w:line="195" w:lineRule="auto"/>
              <w:rPr/>
            </w:pPr>
            <w:r>
              <w:rPr>
                <w:spacing w:val="4"/>
              </w:rPr>
              <w:t>≤250</w:t>
            </w:r>
          </w:p>
        </w:tc>
      </w:tr>
      <w:tr>
        <w:trPr>
          <w:trHeight w:val="549" w:hRule="atLeast"/>
        </w:trPr>
        <w:tc>
          <w:tcPr>
            <w:tcW w:w="914" w:type="dxa"/>
            <w:vAlign w:val="top"/>
          </w:tcPr>
          <w:p>
            <w:pPr>
              <w:ind w:left="253" w:right="140" w:hanging="101"/>
              <w:spacing w:before="34" w:line="233" w:lineRule="auto"/>
              <w:rPr>
                <w:rFonts w:ascii="SimSun" w:hAnsi="SimSun" w:eastAsia="SimSun" w:cs="SimSun"/>
                <w:sz w:val="20"/>
                <w:szCs w:val="20"/>
              </w:rPr>
            </w:pPr>
            <w:r>
              <w:rPr>
                <w:rFonts w:ascii="SimSun" w:hAnsi="SimSun" w:eastAsia="SimSun" w:cs="SimSun"/>
                <w:sz w:val="20"/>
                <w:szCs w:val="20"/>
                <w:spacing w:val="5"/>
              </w:rPr>
              <w:t>总大肠</w:t>
            </w:r>
            <w:r>
              <w:rPr>
                <w:rFonts w:ascii="SimSun" w:hAnsi="SimSun" w:eastAsia="SimSun" w:cs="SimSun"/>
                <w:sz w:val="20"/>
                <w:szCs w:val="20"/>
                <w:spacing w:val="2"/>
              </w:rPr>
              <w:t>菌群</w:t>
            </w:r>
          </w:p>
        </w:tc>
        <w:tc>
          <w:tcPr>
            <w:tcW w:w="1266" w:type="dxa"/>
            <w:vAlign w:val="top"/>
          </w:tcPr>
          <w:p>
            <w:pPr>
              <w:pStyle w:val="TableText"/>
              <w:ind w:left="106"/>
              <w:spacing w:before="200" w:line="199" w:lineRule="auto"/>
              <w:rPr/>
            </w:pPr>
            <w:r>
              <w:rPr/>
              <w:t>MPN</w:t>
            </w:r>
            <w:r>
              <w:rPr>
                <w:spacing w:val="11"/>
              </w:rPr>
              <w:t>/100</w:t>
            </w:r>
            <w:r>
              <w:rPr/>
              <w:t>ml</w:t>
            </w:r>
          </w:p>
        </w:tc>
        <w:tc>
          <w:tcPr>
            <w:tcW w:w="1024" w:type="dxa"/>
            <w:vAlign w:val="top"/>
          </w:tcPr>
          <w:p>
            <w:pPr>
              <w:pStyle w:val="TableText"/>
              <w:ind w:left="354"/>
              <w:spacing w:before="206" w:line="192" w:lineRule="auto"/>
              <w:rPr/>
            </w:pPr>
            <w:r>
              <w:rPr>
                <w:spacing w:val="6"/>
              </w:rPr>
              <w:t>ND</w:t>
            </w:r>
          </w:p>
        </w:tc>
        <w:tc>
          <w:tcPr>
            <w:tcW w:w="1026" w:type="dxa"/>
            <w:vAlign w:val="top"/>
          </w:tcPr>
          <w:p>
            <w:pPr>
              <w:pStyle w:val="TableText"/>
              <w:ind w:left="354"/>
              <w:spacing w:before="206" w:line="192" w:lineRule="auto"/>
              <w:rPr/>
            </w:pPr>
            <w:r>
              <w:rPr>
                <w:spacing w:val="7"/>
              </w:rPr>
              <w:t>ND</w:t>
            </w:r>
          </w:p>
        </w:tc>
        <w:tc>
          <w:tcPr>
            <w:tcW w:w="1027" w:type="dxa"/>
            <w:vAlign w:val="top"/>
          </w:tcPr>
          <w:p>
            <w:pPr>
              <w:pStyle w:val="TableText"/>
              <w:ind w:left="358"/>
              <w:spacing w:before="206" w:line="192" w:lineRule="auto"/>
              <w:rPr/>
            </w:pPr>
            <w:r>
              <w:rPr>
                <w:spacing w:val="7"/>
              </w:rPr>
              <w:t>ND</w:t>
            </w:r>
          </w:p>
        </w:tc>
        <w:tc>
          <w:tcPr>
            <w:tcW w:w="1027" w:type="dxa"/>
            <w:vAlign w:val="top"/>
          </w:tcPr>
          <w:p>
            <w:pPr>
              <w:pStyle w:val="TableText"/>
              <w:ind w:left="358"/>
              <w:spacing w:before="206" w:line="192" w:lineRule="auto"/>
              <w:rPr/>
            </w:pPr>
            <w:r>
              <w:rPr>
                <w:spacing w:val="7"/>
              </w:rPr>
              <w:t>ND</w:t>
            </w:r>
          </w:p>
        </w:tc>
        <w:tc>
          <w:tcPr>
            <w:tcW w:w="3003" w:type="dxa"/>
            <w:vAlign w:val="top"/>
          </w:tcPr>
          <w:p>
            <w:pPr>
              <w:pStyle w:val="TableText"/>
              <w:ind w:left="1391"/>
              <w:spacing w:before="204" w:line="195" w:lineRule="auto"/>
              <w:rPr/>
            </w:pPr>
            <w:r>
              <w:rPr>
                <w:spacing w:val="2"/>
              </w:rPr>
              <w:t>≤3</w:t>
            </w:r>
          </w:p>
        </w:tc>
      </w:tr>
      <w:tr>
        <w:trPr>
          <w:trHeight w:val="554" w:hRule="atLeast"/>
        </w:trPr>
        <w:tc>
          <w:tcPr>
            <w:tcW w:w="914" w:type="dxa"/>
            <w:vAlign w:val="top"/>
          </w:tcPr>
          <w:p>
            <w:pPr>
              <w:ind w:left="354" w:right="140" w:hanging="207"/>
              <w:spacing w:before="34" w:line="235" w:lineRule="auto"/>
              <w:rPr>
                <w:rFonts w:ascii="SimSun" w:hAnsi="SimSun" w:eastAsia="SimSun" w:cs="SimSun"/>
                <w:sz w:val="20"/>
                <w:szCs w:val="20"/>
              </w:rPr>
            </w:pPr>
            <w:r>
              <w:rPr>
                <w:rFonts w:ascii="SimSun" w:hAnsi="SimSun" w:eastAsia="SimSun" w:cs="SimSun"/>
                <w:sz w:val="20"/>
                <w:szCs w:val="20"/>
                <w:spacing w:val="6"/>
              </w:rPr>
              <w:t>细菌总</w:t>
            </w:r>
            <w:r>
              <w:rPr>
                <w:rFonts w:ascii="SimSun" w:hAnsi="SimSun" w:eastAsia="SimSun" w:cs="SimSun"/>
                <w:sz w:val="20"/>
                <w:szCs w:val="20"/>
              </w:rPr>
              <w:t>数</w:t>
            </w:r>
          </w:p>
        </w:tc>
        <w:tc>
          <w:tcPr>
            <w:tcW w:w="1266" w:type="dxa"/>
            <w:vAlign w:val="top"/>
          </w:tcPr>
          <w:p>
            <w:pPr>
              <w:pStyle w:val="TableText"/>
              <w:ind w:left="290"/>
              <w:spacing w:before="200" w:line="199" w:lineRule="auto"/>
              <w:rPr/>
            </w:pPr>
            <w:r>
              <w:rPr>
                <w:spacing w:val="3"/>
              </w:rPr>
              <w:t>CFU/ml</w:t>
            </w:r>
          </w:p>
        </w:tc>
        <w:tc>
          <w:tcPr>
            <w:tcW w:w="1024" w:type="dxa"/>
            <w:vAlign w:val="top"/>
          </w:tcPr>
          <w:p>
            <w:pPr>
              <w:pStyle w:val="TableText"/>
              <w:ind w:left="409"/>
              <w:spacing w:before="204" w:line="195" w:lineRule="auto"/>
              <w:rPr/>
            </w:pPr>
            <w:r>
              <w:rPr>
                <w:spacing w:val="1"/>
              </w:rPr>
              <w:t>78</w:t>
            </w:r>
          </w:p>
        </w:tc>
        <w:tc>
          <w:tcPr>
            <w:tcW w:w="1026" w:type="dxa"/>
            <w:vAlign w:val="top"/>
          </w:tcPr>
          <w:p>
            <w:pPr>
              <w:pStyle w:val="TableText"/>
              <w:ind w:left="418"/>
              <w:spacing w:before="204" w:line="195" w:lineRule="auto"/>
              <w:rPr/>
            </w:pPr>
            <w:r>
              <w:rPr>
                <w:spacing w:val="-2"/>
              </w:rPr>
              <w:t>82</w:t>
            </w:r>
          </w:p>
        </w:tc>
        <w:tc>
          <w:tcPr>
            <w:tcW w:w="1027" w:type="dxa"/>
            <w:vAlign w:val="top"/>
          </w:tcPr>
          <w:p>
            <w:pPr>
              <w:pStyle w:val="TableText"/>
              <w:ind w:left="414"/>
              <w:spacing w:before="207" w:line="192" w:lineRule="auto"/>
              <w:rPr/>
            </w:pPr>
            <w:r>
              <w:rPr>
                <w:spacing w:val="1"/>
              </w:rPr>
              <w:t>75</w:t>
            </w:r>
          </w:p>
        </w:tc>
        <w:tc>
          <w:tcPr>
            <w:tcW w:w="1027" w:type="dxa"/>
            <w:vAlign w:val="top"/>
          </w:tcPr>
          <w:p>
            <w:pPr>
              <w:pStyle w:val="TableText"/>
              <w:ind w:left="413"/>
              <w:spacing w:before="204" w:line="195" w:lineRule="auto"/>
              <w:rPr/>
            </w:pPr>
            <w:r>
              <w:rPr>
                <w:spacing w:val="1"/>
              </w:rPr>
              <w:t>68</w:t>
            </w:r>
          </w:p>
        </w:tc>
        <w:tc>
          <w:tcPr>
            <w:tcW w:w="3003" w:type="dxa"/>
            <w:vAlign w:val="top"/>
          </w:tcPr>
          <w:p>
            <w:pPr>
              <w:pStyle w:val="TableText"/>
              <w:ind w:left="1285"/>
              <w:spacing w:before="204" w:line="195" w:lineRule="auto"/>
              <w:rPr/>
            </w:pPr>
            <w:r>
              <w:rPr>
                <w:spacing w:val="4"/>
              </w:rPr>
              <w:t>≤100</w:t>
            </w:r>
          </w:p>
        </w:tc>
      </w:tr>
    </w:tbl>
    <w:p>
      <w:pPr>
        <w:pStyle w:val="BodyText"/>
        <w:spacing w:line="251" w:lineRule="auto"/>
        <w:rPr/>
      </w:pPr>
      <w:r/>
    </w:p>
    <w:p>
      <w:pPr>
        <w:pStyle w:val="BodyText"/>
        <w:spacing w:line="251" w:lineRule="auto"/>
        <w:rPr/>
      </w:pPr>
      <w:r/>
    </w:p>
    <w:p>
      <w:pPr>
        <w:ind w:left="3208"/>
        <w:spacing w:before="78" w:line="219" w:lineRule="auto"/>
        <w:rPr>
          <w:rFonts w:ascii="SimSun" w:hAnsi="SimSun" w:eastAsia="SimSun" w:cs="SimSun"/>
          <w:sz w:val="24"/>
          <w:szCs w:val="24"/>
        </w:rPr>
      </w:pPr>
      <w:r>
        <w:rPr>
          <w:rFonts w:ascii="SimSun" w:hAnsi="SimSun" w:eastAsia="SimSun" w:cs="SimSun"/>
          <w:sz w:val="24"/>
          <w:szCs w:val="24"/>
          <w:b/>
          <w:bCs/>
          <w:spacing w:val="-3"/>
        </w:rPr>
        <w:t>地下水水质标准指数计算结果表</w:t>
      </w:r>
    </w:p>
    <w:p>
      <w:pPr>
        <w:ind w:left="117"/>
        <w:spacing w:before="180" w:line="229"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4-2-31</w:t>
      </w:r>
    </w:p>
    <w:p>
      <w:pPr>
        <w:spacing w:line="22"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552"/>
        <w:gridCol w:w="1977"/>
        <w:gridCol w:w="1583"/>
        <w:gridCol w:w="1583"/>
        <w:gridCol w:w="1595"/>
      </w:tblGrid>
      <w:tr>
        <w:trPr>
          <w:trHeight w:val="283" w:hRule="atLeast"/>
        </w:trPr>
        <w:tc>
          <w:tcPr>
            <w:tcW w:w="2552" w:type="dxa"/>
            <w:vAlign w:val="top"/>
            <w:vMerge w:val="restart"/>
            <w:tcBorders>
              <w:bottom w:val="nil"/>
            </w:tcBorders>
          </w:tcPr>
          <w:p>
            <w:pPr>
              <w:ind w:left="863"/>
              <w:spacing w:before="159" w:line="228" w:lineRule="auto"/>
              <w:rPr>
                <w:rFonts w:ascii="SimSun" w:hAnsi="SimSun" w:eastAsia="SimSun" w:cs="SimSun"/>
                <w:sz w:val="20"/>
                <w:szCs w:val="20"/>
              </w:rPr>
            </w:pPr>
            <w:r>
              <w:rPr>
                <w:rFonts w:ascii="SimSun" w:hAnsi="SimSun" w:eastAsia="SimSun" w:cs="SimSun"/>
                <w:sz w:val="20"/>
                <w:szCs w:val="20"/>
                <w:spacing w:val="7"/>
              </w:rPr>
              <w:t>监测指标</w:t>
            </w:r>
          </w:p>
        </w:tc>
        <w:tc>
          <w:tcPr>
            <w:tcW w:w="6738" w:type="dxa"/>
            <w:vAlign w:val="top"/>
            <w:gridSpan w:val="4"/>
          </w:tcPr>
          <w:p>
            <w:pPr>
              <w:ind w:left="2948"/>
              <w:spacing w:before="33" w:line="221" w:lineRule="auto"/>
              <w:rPr>
                <w:rFonts w:ascii="SimSun" w:hAnsi="SimSun" w:eastAsia="SimSun" w:cs="SimSun"/>
                <w:sz w:val="20"/>
                <w:szCs w:val="20"/>
              </w:rPr>
            </w:pPr>
            <w:r>
              <w:rPr>
                <w:rFonts w:ascii="SimSun" w:hAnsi="SimSun" w:eastAsia="SimSun" w:cs="SimSun"/>
                <w:sz w:val="20"/>
                <w:szCs w:val="20"/>
                <w:spacing w:val="7"/>
              </w:rPr>
              <w:t>评价结果</w:t>
            </w:r>
          </w:p>
        </w:tc>
      </w:tr>
      <w:tr>
        <w:trPr>
          <w:trHeight w:val="244" w:hRule="atLeast"/>
        </w:trPr>
        <w:tc>
          <w:tcPr>
            <w:tcW w:w="2552" w:type="dxa"/>
            <w:vAlign w:val="top"/>
            <w:vMerge w:val="continue"/>
            <w:tcBorders>
              <w:top w:val="nil"/>
            </w:tcBorders>
          </w:tcPr>
          <w:p>
            <w:pPr>
              <w:rPr>
                <w:rFonts w:ascii="Arial"/>
                <w:sz w:val="21"/>
              </w:rPr>
            </w:pPr>
            <w:r/>
          </w:p>
        </w:tc>
        <w:tc>
          <w:tcPr>
            <w:tcW w:w="1977" w:type="dxa"/>
            <w:vAlign w:val="top"/>
          </w:tcPr>
          <w:p>
            <w:pPr>
              <w:pStyle w:val="TableText"/>
              <w:ind w:left="856"/>
              <w:spacing w:before="48" w:line="194" w:lineRule="auto"/>
              <w:rPr/>
            </w:pPr>
            <w:r>
              <w:rPr>
                <w:spacing w:val="3"/>
              </w:rPr>
              <w:t>D1</w:t>
            </w:r>
          </w:p>
        </w:tc>
        <w:tc>
          <w:tcPr>
            <w:tcW w:w="1583" w:type="dxa"/>
            <w:vAlign w:val="top"/>
          </w:tcPr>
          <w:p>
            <w:pPr>
              <w:pStyle w:val="TableText"/>
              <w:ind w:left="663"/>
              <w:spacing w:before="48" w:line="194" w:lineRule="auto"/>
              <w:rPr/>
            </w:pPr>
            <w:r>
              <w:rPr>
                <w:spacing w:val="2"/>
              </w:rPr>
              <w:t>D2</w:t>
            </w:r>
          </w:p>
        </w:tc>
        <w:tc>
          <w:tcPr>
            <w:tcW w:w="1583" w:type="dxa"/>
            <w:vAlign w:val="top"/>
          </w:tcPr>
          <w:p>
            <w:pPr>
              <w:pStyle w:val="TableText"/>
              <w:ind w:left="664"/>
              <w:spacing w:before="48" w:line="194" w:lineRule="auto"/>
              <w:rPr/>
            </w:pPr>
            <w:r>
              <w:rPr>
                <w:spacing w:val="2"/>
              </w:rPr>
              <w:t>D3</w:t>
            </w:r>
          </w:p>
        </w:tc>
        <w:tc>
          <w:tcPr>
            <w:tcW w:w="1595" w:type="dxa"/>
            <w:vAlign w:val="top"/>
          </w:tcPr>
          <w:p>
            <w:pPr>
              <w:pStyle w:val="TableText"/>
              <w:ind w:left="669"/>
              <w:spacing w:before="48" w:line="194" w:lineRule="auto"/>
              <w:rPr/>
            </w:pPr>
            <w:r>
              <w:rPr>
                <w:spacing w:val="3"/>
              </w:rPr>
              <w:t>D4</w:t>
            </w:r>
          </w:p>
        </w:tc>
      </w:tr>
      <w:tr>
        <w:trPr>
          <w:trHeight w:val="247" w:hRule="atLeast"/>
        </w:trPr>
        <w:tc>
          <w:tcPr>
            <w:tcW w:w="2552" w:type="dxa"/>
            <w:vAlign w:val="top"/>
          </w:tcPr>
          <w:p>
            <w:pPr>
              <w:pStyle w:val="TableText"/>
              <w:ind w:left="1144"/>
              <w:spacing w:before="53" w:line="191" w:lineRule="auto"/>
              <w:rPr/>
            </w:pPr>
            <w:r>
              <w:rPr>
                <w:spacing w:val="6"/>
              </w:rPr>
              <w:t>pH</w:t>
            </w:r>
          </w:p>
        </w:tc>
        <w:tc>
          <w:tcPr>
            <w:tcW w:w="1977" w:type="dxa"/>
            <w:vAlign w:val="top"/>
          </w:tcPr>
          <w:p>
            <w:pPr>
              <w:pStyle w:val="TableText"/>
              <w:ind w:left="752"/>
              <w:spacing w:before="51" w:line="194" w:lineRule="auto"/>
              <w:rPr/>
            </w:pPr>
            <w:r>
              <w:rPr>
                <w:spacing w:val="3"/>
              </w:rPr>
              <w:t>0.267</w:t>
            </w:r>
          </w:p>
        </w:tc>
        <w:tc>
          <w:tcPr>
            <w:tcW w:w="1583" w:type="dxa"/>
            <w:vAlign w:val="top"/>
          </w:tcPr>
          <w:p>
            <w:pPr>
              <w:pStyle w:val="TableText"/>
              <w:ind w:left="559"/>
              <w:spacing w:before="51" w:line="194" w:lineRule="auto"/>
              <w:rPr/>
            </w:pPr>
            <w:r>
              <w:rPr>
                <w:spacing w:val="3"/>
              </w:rPr>
              <w:t>0.133</w:t>
            </w:r>
          </w:p>
        </w:tc>
        <w:tc>
          <w:tcPr>
            <w:tcW w:w="1583" w:type="dxa"/>
            <w:vAlign w:val="top"/>
          </w:tcPr>
          <w:p>
            <w:pPr>
              <w:pStyle w:val="TableText"/>
              <w:ind w:left="560"/>
              <w:spacing w:before="51" w:line="194" w:lineRule="auto"/>
              <w:rPr/>
            </w:pPr>
            <w:r>
              <w:rPr>
                <w:spacing w:val="3"/>
              </w:rPr>
              <w:t>0.067</w:t>
            </w:r>
          </w:p>
        </w:tc>
        <w:tc>
          <w:tcPr>
            <w:tcW w:w="1595" w:type="dxa"/>
            <w:vAlign w:val="top"/>
          </w:tcPr>
          <w:p>
            <w:pPr>
              <w:pStyle w:val="TableText"/>
              <w:ind w:left="565"/>
              <w:spacing w:before="51" w:line="194" w:lineRule="auto"/>
              <w:rPr/>
            </w:pPr>
            <w:r>
              <w:rPr>
                <w:spacing w:val="2"/>
              </w:rPr>
              <w:t>0.333</w:t>
            </w:r>
          </w:p>
        </w:tc>
      </w:tr>
      <w:tr>
        <w:trPr>
          <w:trHeight w:val="278" w:hRule="atLeast"/>
        </w:trPr>
        <w:tc>
          <w:tcPr>
            <w:tcW w:w="2552" w:type="dxa"/>
            <w:vAlign w:val="top"/>
          </w:tcPr>
          <w:p>
            <w:pPr>
              <w:ind w:left="1073"/>
              <w:spacing w:before="29" w:line="220" w:lineRule="auto"/>
              <w:rPr>
                <w:rFonts w:ascii="SimSun" w:hAnsi="SimSun" w:eastAsia="SimSun" w:cs="SimSun"/>
                <w:sz w:val="20"/>
                <w:szCs w:val="20"/>
              </w:rPr>
            </w:pPr>
            <w:r>
              <w:rPr>
                <w:rFonts w:ascii="SimSun" w:hAnsi="SimSun" w:eastAsia="SimSun" w:cs="SimSun"/>
                <w:sz w:val="20"/>
                <w:szCs w:val="20"/>
                <w:spacing w:val="4"/>
              </w:rPr>
              <w:t>氨氮</w:t>
            </w:r>
          </w:p>
        </w:tc>
        <w:tc>
          <w:tcPr>
            <w:tcW w:w="1977" w:type="dxa"/>
            <w:vAlign w:val="top"/>
          </w:tcPr>
          <w:p>
            <w:pPr>
              <w:pStyle w:val="TableText"/>
              <w:ind w:left="752"/>
              <w:spacing w:before="65" w:line="195" w:lineRule="auto"/>
              <w:rPr/>
            </w:pPr>
            <w:r>
              <w:rPr>
                <w:spacing w:val="3"/>
              </w:rPr>
              <w:t>0.228</w:t>
            </w:r>
          </w:p>
        </w:tc>
        <w:tc>
          <w:tcPr>
            <w:tcW w:w="1583" w:type="dxa"/>
            <w:vAlign w:val="top"/>
          </w:tcPr>
          <w:p>
            <w:pPr>
              <w:pStyle w:val="TableText"/>
              <w:ind w:left="559"/>
              <w:spacing w:before="65" w:line="195" w:lineRule="auto"/>
              <w:rPr/>
            </w:pPr>
            <w:r>
              <w:rPr>
                <w:spacing w:val="3"/>
              </w:rPr>
              <w:t>0.162</w:t>
            </w:r>
          </w:p>
        </w:tc>
        <w:tc>
          <w:tcPr>
            <w:tcW w:w="1583" w:type="dxa"/>
            <w:vAlign w:val="top"/>
          </w:tcPr>
          <w:p>
            <w:pPr>
              <w:pStyle w:val="TableText"/>
              <w:ind w:left="560"/>
              <w:spacing w:before="65" w:line="195" w:lineRule="auto"/>
              <w:rPr/>
            </w:pPr>
            <w:r>
              <w:rPr>
                <w:spacing w:val="-2"/>
              </w:rPr>
              <w:t>0.</w:t>
            </w:r>
            <w:r>
              <w:rPr>
                <w:spacing w:val="-25"/>
              </w:rPr>
              <w:t xml:space="preserve"> </w:t>
            </w:r>
            <w:r>
              <w:rPr>
                <w:spacing w:val="-2"/>
              </w:rPr>
              <w:t>144</w:t>
            </w:r>
          </w:p>
        </w:tc>
        <w:tc>
          <w:tcPr>
            <w:tcW w:w="1595" w:type="dxa"/>
            <w:vAlign w:val="top"/>
          </w:tcPr>
          <w:p>
            <w:pPr>
              <w:pStyle w:val="TableText"/>
              <w:ind w:left="565"/>
              <w:spacing w:before="65" w:line="195" w:lineRule="auto"/>
              <w:rPr/>
            </w:pPr>
            <w:r>
              <w:rPr>
                <w:spacing w:val="2"/>
              </w:rPr>
              <w:t>0.218</w:t>
            </w:r>
          </w:p>
        </w:tc>
      </w:tr>
      <w:tr>
        <w:trPr>
          <w:trHeight w:val="278" w:hRule="atLeast"/>
        </w:trPr>
        <w:tc>
          <w:tcPr>
            <w:tcW w:w="2552" w:type="dxa"/>
            <w:vAlign w:val="top"/>
          </w:tcPr>
          <w:p>
            <w:pPr>
              <w:ind w:left="864"/>
              <w:spacing w:before="29" w:line="220" w:lineRule="auto"/>
              <w:rPr>
                <w:rFonts w:ascii="SimSun" w:hAnsi="SimSun" w:eastAsia="SimSun" w:cs="SimSun"/>
                <w:sz w:val="20"/>
                <w:szCs w:val="20"/>
              </w:rPr>
            </w:pPr>
            <w:r>
              <w:rPr>
                <w:rFonts w:ascii="SimSun" w:hAnsi="SimSun" w:eastAsia="SimSun" w:cs="SimSun"/>
                <w:sz w:val="20"/>
                <w:szCs w:val="20"/>
                <w:spacing w:val="6"/>
              </w:rPr>
              <w:t>硝酸盐氮</w:t>
            </w:r>
          </w:p>
        </w:tc>
        <w:tc>
          <w:tcPr>
            <w:tcW w:w="1977" w:type="dxa"/>
            <w:vAlign w:val="top"/>
          </w:tcPr>
          <w:p>
            <w:pPr>
              <w:pStyle w:val="TableText"/>
              <w:ind w:left="752"/>
              <w:spacing w:before="65" w:line="195" w:lineRule="auto"/>
              <w:rPr/>
            </w:pPr>
            <w:r>
              <w:rPr>
                <w:spacing w:val="3"/>
              </w:rPr>
              <w:t>0.093</w:t>
            </w:r>
          </w:p>
        </w:tc>
        <w:tc>
          <w:tcPr>
            <w:tcW w:w="1583" w:type="dxa"/>
            <w:vAlign w:val="top"/>
          </w:tcPr>
          <w:p>
            <w:pPr>
              <w:pStyle w:val="TableText"/>
              <w:ind w:left="559"/>
              <w:spacing w:before="65" w:line="195" w:lineRule="auto"/>
              <w:rPr/>
            </w:pPr>
            <w:r>
              <w:rPr>
                <w:spacing w:val="3"/>
              </w:rPr>
              <w:t>0.088</w:t>
            </w:r>
          </w:p>
        </w:tc>
        <w:tc>
          <w:tcPr>
            <w:tcW w:w="1583" w:type="dxa"/>
            <w:vAlign w:val="top"/>
          </w:tcPr>
          <w:p>
            <w:pPr>
              <w:pStyle w:val="TableText"/>
              <w:ind w:left="560"/>
              <w:spacing w:before="65" w:line="195" w:lineRule="auto"/>
              <w:rPr/>
            </w:pPr>
            <w:r>
              <w:rPr>
                <w:spacing w:val="3"/>
              </w:rPr>
              <w:t>0.091</w:t>
            </w:r>
          </w:p>
        </w:tc>
        <w:tc>
          <w:tcPr>
            <w:tcW w:w="1595" w:type="dxa"/>
            <w:vAlign w:val="top"/>
          </w:tcPr>
          <w:p>
            <w:pPr>
              <w:pStyle w:val="TableText"/>
              <w:ind w:left="565"/>
              <w:spacing w:before="65" w:line="195" w:lineRule="auto"/>
              <w:rPr/>
            </w:pPr>
            <w:r>
              <w:rPr>
                <w:spacing w:val="2"/>
              </w:rPr>
              <w:t>0.086</w:t>
            </w:r>
          </w:p>
        </w:tc>
      </w:tr>
      <w:tr>
        <w:trPr>
          <w:trHeight w:val="276" w:hRule="atLeast"/>
        </w:trPr>
        <w:tc>
          <w:tcPr>
            <w:tcW w:w="2552" w:type="dxa"/>
            <w:vAlign w:val="top"/>
          </w:tcPr>
          <w:p>
            <w:pPr>
              <w:ind w:left="758"/>
              <w:spacing w:before="27" w:line="220" w:lineRule="auto"/>
              <w:rPr>
                <w:rFonts w:ascii="SimSun" w:hAnsi="SimSun" w:eastAsia="SimSun" w:cs="SimSun"/>
                <w:sz w:val="20"/>
                <w:szCs w:val="20"/>
              </w:rPr>
            </w:pPr>
            <w:r>
              <w:rPr>
                <w:rFonts w:ascii="SimSun" w:hAnsi="SimSun" w:eastAsia="SimSun" w:cs="SimSun"/>
                <w:sz w:val="20"/>
                <w:szCs w:val="20"/>
                <w:spacing w:val="7"/>
              </w:rPr>
              <w:t>亚硝酸盐氮</w:t>
            </w:r>
          </w:p>
        </w:tc>
        <w:tc>
          <w:tcPr>
            <w:tcW w:w="1977" w:type="dxa"/>
            <w:vAlign w:val="top"/>
          </w:tcPr>
          <w:p>
            <w:pPr>
              <w:pStyle w:val="TableText"/>
              <w:ind w:left="752"/>
              <w:spacing w:before="63" w:line="195" w:lineRule="auto"/>
              <w:rPr/>
            </w:pPr>
            <w:r>
              <w:rPr>
                <w:spacing w:val="3"/>
              </w:rPr>
              <w:t>0.002</w:t>
            </w:r>
          </w:p>
        </w:tc>
        <w:tc>
          <w:tcPr>
            <w:tcW w:w="1583" w:type="dxa"/>
            <w:vAlign w:val="top"/>
          </w:tcPr>
          <w:p>
            <w:pPr>
              <w:pStyle w:val="TableText"/>
              <w:ind w:left="559"/>
              <w:spacing w:before="63" w:line="195" w:lineRule="auto"/>
              <w:rPr/>
            </w:pPr>
            <w:r>
              <w:rPr>
                <w:spacing w:val="3"/>
              </w:rPr>
              <w:t>0.002</w:t>
            </w:r>
          </w:p>
        </w:tc>
        <w:tc>
          <w:tcPr>
            <w:tcW w:w="1583" w:type="dxa"/>
            <w:vAlign w:val="top"/>
          </w:tcPr>
          <w:p>
            <w:pPr>
              <w:pStyle w:val="TableText"/>
              <w:ind w:left="560"/>
              <w:spacing w:before="63" w:line="195" w:lineRule="auto"/>
              <w:rPr/>
            </w:pPr>
            <w:r>
              <w:rPr>
                <w:spacing w:val="3"/>
              </w:rPr>
              <w:t>0.002</w:t>
            </w:r>
          </w:p>
        </w:tc>
        <w:tc>
          <w:tcPr>
            <w:tcW w:w="1595" w:type="dxa"/>
            <w:vAlign w:val="top"/>
          </w:tcPr>
          <w:p>
            <w:pPr>
              <w:pStyle w:val="TableText"/>
              <w:ind w:left="565"/>
              <w:spacing w:before="63" w:line="195" w:lineRule="auto"/>
              <w:rPr/>
            </w:pPr>
            <w:r>
              <w:rPr>
                <w:spacing w:val="2"/>
              </w:rPr>
              <w:t>0.002</w:t>
            </w:r>
          </w:p>
        </w:tc>
      </w:tr>
      <w:tr>
        <w:trPr>
          <w:trHeight w:val="278" w:hRule="atLeast"/>
        </w:trPr>
        <w:tc>
          <w:tcPr>
            <w:tcW w:w="2552" w:type="dxa"/>
            <w:vAlign w:val="top"/>
          </w:tcPr>
          <w:p>
            <w:pPr>
              <w:ind w:left="964"/>
              <w:spacing w:before="29" w:line="220" w:lineRule="auto"/>
              <w:rPr>
                <w:rFonts w:ascii="SimSun" w:hAnsi="SimSun" w:eastAsia="SimSun" w:cs="SimSun"/>
                <w:sz w:val="20"/>
                <w:szCs w:val="20"/>
              </w:rPr>
            </w:pPr>
            <w:r>
              <w:rPr>
                <w:rFonts w:ascii="SimSun" w:hAnsi="SimSun" w:eastAsia="SimSun" w:cs="SimSun"/>
                <w:sz w:val="20"/>
                <w:szCs w:val="20"/>
                <w:spacing w:val="7"/>
              </w:rPr>
              <w:t>挥发酚</w:t>
            </w:r>
          </w:p>
        </w:tc>
        <w:tc>
          <w:tcPr>
            <w:tcW w:w="1977" w:type="dxa"/>
            <w:vAlign w:val="top"/>
          </w:tcPr>
          <w:p>
            <w:pPr>
              <w:pStyle w:val="TableText"/>
              <w:ind w:left="752"/>
              <w:spacing w:before="65" w:line="195" w:lineRule="auto"/>
              <w:rPr/>
            </w:pPr>
            <w:r>
              <w:rPr>
                <w:spacing w:val="3"/>
              </w:rPr>
              <w:t>0.075</w:t>
            </w:r>
          </w:p>
        </w:tc>
        <w:tc>
          <w:tcPr>
            <w:tcW w:w="1583" w:type="dxa"/>
            <w:vAlign w:val="top"/>
          </w:tcPr>
          <w:p>
            <w:pPr>
              <w:pStyle w:val="TableText"/>
              <w:ind w:left="559"/>
              <w:spacing w:before="65" w:line="195" w:lineRule="auto"/>
              <w:rPr/>
            </w:pPr>
            <w:r>
              <w:rPr>
                <w:spacing w:val="3"/>
              </w:rPr>
              <w:t>0.075</w:t>
            </w:r>
          </w:p>
        </w:tc>
        <w:tc>
          <w:tcPr>
            <w:tcW w:w="1583" w:type="dxa"/>
            <w:vAlign w:val="top"/>
          </w:tcPr>
          <w:p>
            <w:pPr>
              <w:pStyle w:val="TableText"/>
              <w:ind w:left="560"/>
              <w:spacing w:before="65" w:line="195" w:lineRule="auto"/>
              <w:rPr/>
            </w:pPr>
            <w:r>
              <w:rPr>
                <w:spacing w:val="3"/>
              </w:rPr>
              <w:t>0.075</w:t>
            </w:r>
          </w:p>
        </w:tc>
        <w:tc>
          <w:tcPr>
            <w:tcW w:w="1595" w:type="dxa"/>
            <w:vAlign w:val="top"/>
          </w:tcPr>
          <w:p>
            <w:pPr>
              <w:pStyle w:val="TableText"/>
              <w:ind w:left="565"/>
              <w:spacing w:before="65" w:line="195" w:lineRule="auto"/>
              <w:rPr/>
            </w:pPr>
            <w:r>
              <w:rPr>
                <w:spacing w:val="2"/>
              </w:rPr>
              <w:t>0.075</w:t>
            </w:r>
          </w:p>
        </w:tc>
      </w:tr>
      <w:tr>
        <w:trPr>
          <w:trHeight w:val="278" w:hRule="atLeast"/>
        </w:trPr>
        <w:tc>
          <w:tcPr>
            <w:tcW w:w="2552" w:type="dxa"/>
            <w:vAlign w:val="top"/>
          </w:tcPr>
          <w:p>
            <w:pPr>
              <w:ind w:left="964"/>
              <w:spacing w:before="29" w:line="220" w:lineRule="auto"/>
              <w:rPr>
                <w:rFonts w:ascii="SimSun" w:hAnsi="SimSun" w:eastAsia="SimSun" w:cs="SimSun"/>
                <w:sz w:val="20"/>
                <w:szCs w:val="20"/>
              </w:rPr>
            </w:pPr>
            <w:r>
              <w:rPr>
                <w:rFonts w:ascii="SimSun" w:hAnsi="SimSun" w:eastAsia="SimSun" w:cs="SimSun"/>
                <w:sz w:val="20"/>
                <w:szCs w:val="20"/>
                <w:spacing w:val="7"/>
              </w:rPr>
              <w:t>氰化物</w:t>
            </w:r>
          </w:p>
        </w:tc>
        <w:tc>
          <w:tcPr>
            <w:tcW w:w="1977" w:type="dxa"/>
            <w:vAlign w:val="top"/>
          </w:tcPr>
          <w:p>
            <w:pPr>
              <w:pStyle w:val="TableText"/>
              <w:ind w:left="752"/>
              <w:spacing w:before="65" w:line="195" w:lineRule="auto"/>
              <w:rPr/>
            </w:pPr>
            <w:r>
              <w:rPr>
                <w:spacing w:val="3"/>
              </w:rPr>
              <w:t>0.020</w:t>
            </w:r>
          </w:p>
        </w:tc>
        <w:tc>
          <w:tcPr>
            <w:tcW w:w="1583" w:type="dxa"/>
            <w:vAlign w:val="top"/>
          </w:tcPr>
          <w:p>
            <w:pPr>
              <w:pStyle w:val="TableText"/>
              <w:ind w:left="559"/>
              <w:spacing w:before="65" w:line="195" w:lineRule="auto"/>
              <w:rPr/>
            </w:pPr>
            <w:r>
              <w:rPr>
                <w:spacing w:val="3"/>
              </w:rPr>
              <w:t>0.020</w:t>
            </w:r>
          </w:p>
        </w:tc>
        <w:tc>
          <w:tcPr>
            <w:tcW w:w="1583" w:type="dxa"/>
            <w:vAlign w:val="top"/>
          </w:tcPr>
          <w:p>
            <w:pPr>
              <w:pStyle w:val="TableText"/>
              <w:ind w:left="560"/>
              <w:spacing w:before="65" w:line="195" w:lineRule="auto"/>
              <w:rPr/>
            </w:pPr>
            <w:r>
              <w:rPr>
                <w:spacing w:val="3"/>
              </w:rPr>
              <w:t>0.020</w:t>
            </w:r>
          </w:p>
        </w:tc>
        <w:tc>
          <w:tcPr>
            <w:tcW w:w="1595" w:type="dxa"/>
            <w:vAlign w:val="top"/>
          </w:tcPr>
          <w:p>
            <w:pPr>
              <w:pStyle w:val="TableText"/>
              <w:ind w:left="565"/>
              <w:spacing w:before="65" w:line="195" w:lineRule="auto"/>
              <w:rPr/>
            </w:pPr>
            <w:r>
              <w:rPr>
                <w:spacing w:val="2"/>
              </w:rPr>
              <w:t>0.020</w:t>
            </w:r>
          </w:p>
        </w:tc>
      </w:tr>
      <w:tr>
        <w:trPr>
          <w:trHeight w:val="275" w:hRule="atLeast"/>
        </w:trPr>
        <w:tc>
          <w:tcPr>
            <w:tcW w:w="2552" w:type="dxa"/>
            <w:vAlign w:val="top"/>
          </w:tcPr>
          <w:p>
            <w:pPr>
              <w:ind w:left="1175"/>
              <w:spacing w:before="27" w:line="219" w:lineRule="auto"/>
              <w:rPr>
                <w:rFonts w:ascii="SimSun" w:hAnsi="SimSun" w:eastAsia="SimSun" w:cs="SimSun"/>
                <w:sz w:val="20"/>
                <w:szCs w:val="20"/>
              </w:rPr>
            </w:pPr>
            <w:r>
              <w:rPr>
                <w:rFonts w:ascii="SimSun" w:hAnsi="SimSun" w:eastAsia="SimSun" w:cs="SimSun"/>
                <w:sz w:val="20"/>
                <w:szCs w:val="20"/>
                <w:spacing w:val="1"/>
              </w:rPr>
              <w:t>砷</w:t>
            </w:r>
          </w:p>
        </w:tc>
        <w:tc>
          <w:tcPr>
            <w:tcW w:w="1977" w:type="dxa"/>
            <w:vAlign w:val="top"/>
          </w:tcPr>
          <w:p>
            <w:pPr>
              <w:pStyle w:val="TableText"/>
              <w:ind w:left="752"/>
              <w:spacing w:before="63" w:line="195" w:lineRule="auto"/>
              <w:rPr/>
            </w:pPr>
            <w:r>
              <w:rPr>
                <w:spacing w:val="3"/>
              </w:rPr>
              <w:t>0.015</w:t>
            </w:r>
          </w:p>
        </w:tc>
        <w:tc>
          <w:tcPr>
            <w:tcW w:w="1583" w:type="dxa"/>
            <w:vAlign w:val="top"/>
          </w:tcPr>
          <w:p>
            <w:pPr>
              <w:pStyle w:val="TableText"/>
              <w:ind w:left="559"/>
              <w:spacing w:before="63" w:line="195" w:lineRule="auto"/>
              <w:rPr/>
            </w:pPr>
            <w:r>
              <w:rPr>
                <w:spacing w:val="3"/>
              </w:rPr>
              <w:t>0.015</w:t>
            </w:r>
          </w:p>
        </w:tc>
        <w:tc>
          <w:tcPr>
            <w:tcW w:w="1583" w:type="dxa"/>
            <w:vAlign w:val="top"/>
          </w:tcPr>
          <w:p>
            <w:pPr>
              <w:pStyle w:val="TableText"/>
              <w:ind w:left="560"/>
              <w:spacing w:before="63" w:line="195" w:lineRule="auto"/>
              <w:rPr/>
            </w:pPr>
            <w:r>
              <w:rPr>
                <w:spacing w:val="3"/>
              </w:rPr>
              <w:t>0.015</w:t>
            </w:r>
          </w:p>
        </w:tc>
        <w:tc>
          <w:tcPr>
            <w:tcW w:w="1595" w:type="dxa"/>
            <w:vAlign w:val="top"/>
          </w:tcPr>
          <w:p>
            <w:pPr>
              <w:pStyle w:val="TableText"/>
              <w:ind w:left="565"/>
              <w:spacing w:before="63" w:line="195" w:lineRule="auto"/>
              <w:rPr/>
            </w:pPr>
            <w:r>
              <w:rPr>
                <w:spacing w:val="2"/>
              </w:rPr>
              <w:t>0.015</w:t>
            </w:r>
          </w:p>
        </w:tc>
      </w:tr>
      <w:tr>
        <w:trPr>
          <w:trHeight w:val="278" w:hRule="atLeast"/>
        </w:trPr>
        <w:tc>
          <w:tcPr>
            <w:tcW w:w="2552" w:type="dxa"/>
            <w:vAlign w:val="top"/>
          </w:tcPr>
          <w:p>
            <w:pPr>
              <w:ind w:left="1177"/>
              <w:spacing w:before="30" w:line="219" w:lineRule="auto"/>
              <w:rPr>
                <w:rFonts w:ascii="SimSun" w:hAnsi="SimSun" w:eastAsia="SimSun" w:cs="SimSun"/>
                <w:sz w:val="20"/>
                <w:szCs w:val="20"/>
              </w:rPr>
            </w:pPr>
            <w:r>
              <w:rPr>
                <w:rFonts w:ascii="SimSun" w:hAnsi="SimSun" w:eastAsia="SimSun" w:cs="SimSun"/>
                <w:sz w:val="20"/>
                <w:szCs w:val="20"/>
              </w:rPr>
              <w:t>汞</w:t>
            </w:r>
          </w:p>
        </w:tc>
        <w:tc>
          <w:tcPr>
            <w:tcW w:w="1977" w:type="dxa"/>
            <w:vAlign w:val="top"/>
          </w:tcPr>
          <w:p>
            <w:pPr>
              <w:pStyle w:val="TableText"/>
              <w:ind w:left="752"/>
              <w:spacing w:before="66" w:line="195" w:lineRule="auto"/>
              <w:rPr/>
            </w:pPr>
            <w:r>
              <w:rPr>
                <w:spacing w:val="3"/>
              </w:rPr>
              <w:t>0.020</w:t>
            </w:r>
          </w:p>
        </w:tc>
        <w:tc>
          <w:tcPr>
            <w:tcW w:w="1583" w:type="dxa"/>
            <w:vAlign w:val="top"/>
          </w:tcPr>
          <w:p>
            <w:pPr>
              <w:pStyle w:val="TableText"/>
              <w:ind w:left="559"/>
              <w:spacing w:before="66" w:line="195" w:lineRule="auto"/>
              <w:rPr/>
            </w:pPr>
            <w:r>
              <w:rPr>
                <w:spacing w:val="3"/>
              </w:rPr>
              <w:t>0.020</w:t>
            </w:r>
          </w:p>
        </w:tc>
        <w:tc>
          <w:tcPr>
            <w:tcW w:w="1583" w:type="dxa"/>
            <w:vAlign w:val="top"/>
          </w:tcPr>
          <w:p>
            <w:pPr>
              <w:pStyle w:val="TableText"/>
              <w:ind w:left="560"/>
              <w:spacing w:before="66" w:line="195" w:lineRule="auto"/>
              <w:rPr/>
            </w:pPr>
            <w:r>
              <w:rPr>
                <w:spacing w:val="3"/>
              </w:rPr>
              <w:t>0.020</w:t>
            </w:r>
          </w:p>
        </w:tc>
        <w:tc>
          <w:tcPr>
            <w:tcW w:w="1595" w:type="dxa"/>
            <w:vAlign w:val="top"/>
          </w:tcPr>
          <w:p>
            <w:pPr>
              <w:pStyle w:val="TableText"/>
              <w:ind w:left="565"/>
              <w:spacing w:before="66" w:line="195" w:lineRule="auto"/>
              <w:rPr/>
            </w:pPr>
            <w:r>
              <w:rPr>
                <w:spacing w:val="2"/>
              </w:rPr>
              <w:t>0.020</w:t>
            </w:r>
          </w:p>
        </w:tc>
      </w:tr>
      <w:tr>
        <w:trPr>
          <w:trHeight w:val="278" w:hRule="atLeast"/>
        </w:trPr>
        <w:tc>
          <w:tcPr>
            <w:tcW w:w="2552" w:type="dxa"/>
            <w:vAlign w:val="top"/>
          </w:tcPr>
          <w:p>
            <w:pPr>
              <w:ind w:left="967"/>
              <w:spacing w:before="30" w:line="219" w:lineRule="auto"/>
              <w:rPr>
                <w:rFonts w:ascii="SimSun" w:hAnsi="SimSun" w:eastAsia="SimSun" w:cs="SimSun"/>
                <w:sz w:val="20"/>
                <w:szCs w:val="20"/>
              </w:rPr>
            </w:pPr>
            <w:r>
              <w:rPr>
                <w:rFonts w:ascii="SimSun" w:hAnsi="SimSun" w:eastAsia="SimSun" w:cs="SimSun"/>
                <w:sz w:val="20"/>
                <w:szCs w:val="20"/>
                <w:spacing w:val="6"/>
              </w:rPr>
              <w:t>六价铬</w:t>
            </w:r>
          </w:p>
        </w:tc>
        <w:tc>
          <w:tcPr>
            <w:tcW w:w="1977" w:type="dxa"/>
            <w:vAlign w:val="top"/>
          </w:tcPr>
          <w:p>
            <w:pPr>
              <w:pStyle w:val="TableText"/>
              <w:ind w:left="752"/>
              <w:spacing w:before="67" w:line="195" w:lineRule="auto"/>
              <w:rPr/>
            </w:pPr>
            <w:r>
              <w:rPr>
                <w:spacing w:val="3"/>
              </w:rPr>
              <w:t>0.040</w:t>
            </w:r>
          </w:p>
        </w:tc>
        <w:tc>
          <w:tcPr>
            <w:tcW w:w="1583" w:type="dxa"/>
            <w:vAlign w:val="top"/>
          </w:tcPr>
          <w:p>
            <w:pPr>
              <w:pStyle w:val="TableText"/>
              <w:ind w:left="559"/>
              <w:spacing w:before="67" w:line="195" w:lineRule="auto"/>
              <w:rPr/>
            </w:pPr>
            <w:r>
              <w:rPr>
                <w:spacing w:val="3"/>
              </w:rPr>
              <w:t>0.040</w:t>
            </w:r>
          </w:p>
        </w:tc>
        <w:tc>
          <w:tcPr>
            <w:tcW w:w="1583" w:type="dxa"/>
            <w:vAlign w:val="top"/>
          </w:tcPr>
          <w:p>
            <w:pPr>
              <w:pStyle w:val="TableText"/>
              <w:ind w:left="560"/>
              <w:spacing w:before="67" w:line="195" w:lineRule="auto"/>
              <w:rPr/>
            </w:pPr>
            <w:r>
              <w:rPr>
                <w:spacing w:val="3"/>
              </w:rPr>
              <w:t>0.040</w:t>
            </w:r>
          </w:p>
        </w:tc>
        <w:tc>
          <w:tcPr>
            <w:tcW w:w="1595" w:type="dxa"/>
            <w:vAlign w:val="top"/>
          </w:tcPr>
          <w:p>
            <w:pPr>
              <w:pStyle w:val="TableText"/>
              <w:ind w:left="565"/>
              <w:spacing w:before="67" w:line="195" w:lineRule="auto"/>
              <w:rPr/>
            </w:pPr>
            <w:r>
              <w:rPr>
                <w:spacing w:val="2"/>
              </w:rPr>
              <w:t>0.040</w:t>
            </w:r>
          </w:p>
        </w:tc>
      </w:tr>
      <w:tr>
        <w:trPr>
          <w:trHeight w:val="276" w:hRule="atLeast"/>
        </w:trPr>
        <w:tc>
          <w:tcPr>
            <w:tcW w:w="2552" w:type="dxa"/>
            <w:vAlign w:val="top"/>
          </w:tcPr>
          <w:p>
            <w:pPr>
              <w:ind w:left="971"/>
              <w:spacing w:before="28" w:line="219" w:lineRule="auto"/>
              <w:rPr>
                <w:rFonts w:ascii="SimSun" w:hAnsi="SimSun" w:eastAsia="SimSun" w:cs="SimSun"/>
                <w:sz w:val="20"/>
                <w:szCs w:val="20"/>
              </w:rPr>
            </w:pPr>
            <w:r>
              <w:rPr>
                <w:rFonts w:ascii="SimSun" w:hAnsi="SimSun" w:eastAsia="SimSun" w:cs="SimSun"/>
                <w:sz w:val="20"/>
                <w:szCs w:val="20"/>
                <w:spacing w:val="5"/>
              </w:rPr>
              <w:t>总硬度</w:t>
            </w:r>
          </w:p>
        </w:tc>
        <w:tc>
          <w:tcPr>
            <w:tcW w:w="1977" w:type="dxa"/>
            <w:vAlign w:val="top"/>
          </w:tcPr>
          <w:p>
            <w:pPr>
              <w:pStyle w:val="TableText"/>
              <w:ind w:left="752"/>
              <w:spacing w:before="64" w:line="195" w:lineRule="auto"/>
              <w:rPr/>
            </w:pPr>
            <w:r>
              <w:rPr>
                <w:spacing w:val="3"/>
              </w:rPr>
              <w:t>0.584</w:t>
            </w:r>
          </w:p>
        </w:tc>
        <w:tc>
          <w:tcPr>
            <w:tcW w:w="1583" w:type="dxa"/>
            <w:vAlign w:val="top"/>
          </w:tcPr>
          <w:p>
            <w:pPr>
              <w:pStyle w:val="TableText"/>
              <w:ind w:left="559"/>
              <w:spacing w:before="64" w:line="195" w:lineRule="auto"/>
              <w:rPr/>
            </w:pPr>
            <w:r>
              <w:rPr>
                <w:spacing w:val="3"/>
              </w:rPr>
              <w:t>0.698</w:t>
            </w:r>
          </w:p>
        </w:tc>
        <w:tc>
          <w:tcPr>
            <w:tcW w:w="1583" w:type="dxa"/>
            <w:vAlign w:val="top"/>
          </w:tcPr>
          <w:p>
            <w:pPr>
              <w:pStyle w:val="TableText"/>
              <w:ind w:left="560"/>
              <w:spacing w:before="64" w:line="195" w:lineRule="auto"/>
              <w:rPr/>
            </w:pPr>
            <w:r>
              <w:rPr>
                <w:spacing w:val="3"/>
              </w:rPr>
              <w:t>0.740</w:t>
            </w:r>
          </w:p>
        </w:tc>
        <w:tc>
          <w:tcPr>
            <w:tcW w:w="1595" w:type="dxa"/>
            <w:vAlign w:val="top"/>
          </w:tcPr>
          <w:p>
            <w:pPr>
              <w:pStyle w:val="TableText"/>
              <w:ind w:left="565"/>
              <w:spacing w:before="64" w:line="195" w:lineRule="auto"/>
              <w:rPr/>
            </w:pPr>
            <w:r>
              <w:rPr>
                <w:spacing w:val="2"/>
              </w:rPr>
              <w:t>0.818</w:t>
            </w:r>
          </w:p>
        </w:tc>
      </w:tr>
      <w:tr>
        <w:trPr>
          <w:trHeight w:val="278" w:hRule="atLeast"/>
        </w:trPr>
        <w:tc>
          <w:tcPr>
            <w:tcW w:w="2552" w:type="dxa"/>
            <w:vAlign w:val="top"/>
          </w:tcPr>
          <w:p>
            <w:pPr>
              <w:ind w:left="1176"/>
              <w:spacing w:before="30" w:line="219" w:lineRule="auto"/>
              <w:rPr>
                <w:rFonts w:ascii="SimSun" w:hAnsi="SimSun" w:eastAsia="SimSun" w:cs="SimSun"/>
                <w:sz w:val="20"/>
                <w:szCs w:val="20"/>
              </w:rPr>
            </w:pPr>
            <w:r>
              <w:rPr>
                <w:rFonts w:ascii="SimSun" w:hAnsi="SimSun" w:eastAsia="SimSun" w:cs="SimSun"/>
                <w:sz w:val="20"/>
                <w:szCs w:val="20"/>
              </w:rPr>
              <w:t>铅</w:t>
            </w:r>
          </w:p>
        </w:tc>
        <w:tc>
          <w:tcPr>
            <w:tcW w:w="1977" w:type="dxa"/>
            <w:vAlign w:val="top"/>
          </w:tcPr>
          <w:p>
            <w:pPr>
              <w:pStyle w:val="TableText"/>
              <w:ind w:left="752"/>
              <w:spacing w:before="67" w:line="195" w:lineRule="auto"/>
              <w:rPr/>
            </w:pPr>
            <w:r>
              <w:rPr>
                <w:spacing w:val="3"/>
              </w:rPr>
              <w:t>0.125</w:t>
            </w:r>
          </w:p>
        </w:tc>
        <w:tc>
          <w:tcPr>
            <w:tcW w:w="1583" w:type="dxa"/>
            <w:vAlign w:val="top"/>
          </w:tcPr>
          <w:p>
            <w:pPr>
              <w:pStyle w:val="TableText"/>
              <w:ind w:left="559"/>
              <w:spacing w:before="67" w:line="195" w:lineRule="auto"/>
              <w:rPr/>
            </w:pPr>
            <w:r>
              <w:rPr>
                <w:spacing w:val="3"/>
              </w:rPr>
              <w:t>0.125</w:t>
            </w:r>
          </w:p>
        </w:tc>
        <w:tc>
          <w:tcPr>
            <w:tcW w:w="1583" w:type="dxa"/>
            <w:vAlign w:val="top"/>
          </w:tcPr>
          <w:p>
            <w:pPr>
              <w:pStyle w:val="TableText"/>
              <w:ind w:left="560"/>
              <w:spacing w:before="67" w:line="195" w:lineRule="auto"/>
              <w:rPr/>
            </w:pPr>
            <w:r>
              <w:rPr>
                <w:spacing w:val="3"/>
              </w:rPr>
              <w:t>0.125</w:t>
            </w:r>
          </w:p>
        </w:tc>
        <w:tc>
          <w:tcPr>
            <w:tcW w:w="1595" w:type="dxa"/>
            <w:vAlign w:val="top"/>
          </w:tcPr>
          <w:p>
            <w:pPr>
              <w:pStyle w:val="TableText"/>
              <w:ind w:left="565"/>
              <w:spacing w:before="67" w:line="195" w:lineRule="auto"/>
              <w:rPr/>
            </w:pPr>
            <w:r>
              <w:rPr>
                <w:spacing w:val="2"/>
              </w:rPr>
              <w:t>0.125</w:t>
            </w:r>
          </w:p>
        </w:tc>
      </w:tr>
      <w:tr>
        <w:trPr>
          <w:trHeight w:val="275" w:hRule="atLeast"/>
        </w:trPr>
        <w:tc>
          <w:tcPr>
            <w:tcW w:w="2552" w:type="dxa"/>
            <w:vAlign w:val="top"/>
          </w:tcPr>
          <w:p>
            <w:pPr>
              <w:ind w:left="966"/>
              <w:spacing w:before="31" w:line="216" w:lineRule="auto"/>
              <w:rPr>
                <w:rFonts w:ascii="SimSun" w:hAnsi="SimSun" w:eastAsia="SimSun" w:cs="SimSun"/>
                <w:sz w:val="20"/>
                <w:szCs w:val="20"/>
              </w:rPr>
            </w:pPr>
            <w:r>
              <w:rPr>
                <w:rFonts w:ascii="SimSun" w:hAnsi="SimSun" w:eastAsia="SimSun" w:cs="SimSun"/>
                <w:sz w:val="20"/>
                <w:szCs w:val="20"/>
                <w:spacing w:val="6"/>
              </w:rPr>
              <w:t>氟化物</w:t>
            </w:r>
          </w:p>
        </w:tc>
        <w:tc>
          <w:tcPr>
            <w:tcW w:w="1977" w:type="dxa"/>
            <w:vAlign w:val="top"/>
          </w:tcPr>
          <w:p>
            <w:pPr>
              <w:pStyle w:val="TableText"/>
              <w:ind w:left="752"/>
              <w:spacing w:before="67" w:line="195" w:lineRule="auto"/>
              <w:rPr/>
            </w:pPr>
            <w:r>
              <w:rPr>
                <w:spacing w:val="3"/>
              </w:rPr>
              <w:t>0.300</w:t>
            </w:r>
          </w:p>
        </w:tc>
        <w:tc>
          <w:tcPr>
            <w:tcW w:w="1583" w:type="dxa"/>
            <w:vAlign w:val="top"/>
          </w:tcPr>
          <w:p>
            <w:pPr>
              <w:pStyle w:val="TableText"/>
              <w:ind w:left="559"/>
              <w:spacing w:before="67" w:line="195" w:lineRule="auto"/>
              <w:rPr/>
            </w:pPr>
            <w:r>
              <w:rPr>
                <w:spacing w:val="3"/>
              </w:rPr>
              <w:t>0.300</w:t>
            </w:r>
          </w:p>
        </w:tc>
        <w:tc>
          <w:tcPr>
            <w:tcW w:w="1583" w:type="dxa"/>
            <w:vAlign w:val="top"/>
          </w:tcPr>
          <w:p>
            <w:pPr>
              <w:pStyle w:val="TableText"/>
              <w:ind w:left="560"/>
              <w:spacing w:before="67" w:line="195" w:lineRule="auto"/>
              <w:rPr/>
            </w:pPr>
            <w:r>
              <w:rPr>
                <w:spacing w:val="3"/>
              </w:rPr>
              <w:t>0.300</w:t>
            </w:r>
          </w:p>
        </w:tc>
        <w:tc>
          <w:tcPr>
            <w:tcW w:w="1595" w:type="dxa"/>
            <w:vAlign w:val="top"/>
          </w:tcPr>
          <w:p>
            <w:pPr>
              <w:pStyle w:val="TableText"/>
              <w:ind w:left="565"/>
              <w:spacing w:before="67" w:line="195" w:lineRule="auto"/>
              <w:rPr/>
            </w:pPr>
            <w:r>
              <w:rPr>
                <w:spacing w:val="2"/>
              </w:rPr>
              <w:t>0.300</w:t>
            </w:r>
          </w:p>
        </w:tc>
      </w:tr>
      <w:tr>
        <w:trPr>
          <w:trHeight w:val="278" w:hRule="atLeast"/>
        </w:trPr>
        <w:tc>
          <w:tcPr>
            <w:tcW w:w="2552" w:type="dxa"/>
            <w:vAlign w:val="top"/>
          </w:tcPr>
          <w:p>
            <w:pPr>
              <w:ind w:left="1175"/>
              <w:spacing w:before="31" w:line="218" w:lineRule="auto"/>
              <w:rPr>
                <w:rFonts w:ascii="SimSun" w:hAnsi="SimSun" w:eastAsia="SimSun" w:cs="SimSun"/>
                <w:sz w:val="20"/>
                <w:szCs w:val="20"/>
              </w:rPr>
            </w:pPr>
            <w:r>
              <w:rPr>
                <w:rFonts w:ascii="SimSun" w:hAnsi="SimSun" w:eastAsia="SimSun" w:cs="SimSun"/>
                <w:sz w:val="20"/>
                <w:szCs w:val="20"/>
                <w:spacing w:val="2"/>
              </w:rPr>
              <w:t>镉</w:t>
            </w:r>
          </w:p>
        </w:tc>
        <w:tc>
          <w:tcPr>
            <w:tcW w:w="1977" w:type="dxa"/>
            <w:vAlign w:val="top"/>
          </w:tcPr>
          <w:p>
            <w:pPr>
              <w:pStyle w:val="TableText"/>
              <w:ind w:left="752"/>
              <w:spacing w:before="68" w:line="195" w:lineRule="auto"/>
              <w:rPr/>
            </w:pPr>
            <w:r>
              <w:rPr>
                <w:spacing w:val="3"/>
              </w:rPr>
              <w:t>0.100</w:t>
            </w:r>
          </w:p>
        </w:tc>
        <w:tc>
          <w:tcPr>
            <w:tcW w:w="1583" w:type="dxa"/>
            <w:vAlign w:val="top"/>
          </w:tcPr>
          <w:p>
            <w:pPr>
              <w:pStyle w:val="TableText"/>
              <w:ind w:left="559"/>
              <w:spacing w:before="68" w:line="195" w:lineRule="auto"/>
              <w:rPr/>
            </w:pPr>
            <w:r>
              <w:rPr>
                <w:spacing w:val="3"/>
              </w:rPr>
              <w:t>0.100</w:t>
            </w:r>
          </w:p>
        </w:tc>
        <w:tc>
          <w:tcPr>
            <w:tcW w:w="1583" w:type="dxa"/>
            <w:vAlign w:val="top"/>
          </w:tcPr>
          <w:p>
            <w:pPr>
              <w:pStyle w:val="TableText"/>
              <w:ind w:left="560"/>
              <w:spacing w:before="68" w:line="195" w:lineRule="auto"/>
              <w:rPr/>
            </w:pPr>
            <w:r>
              <w:rPr>
                <w:spacing w:val="3"/>
              </w:rPr>
              <w:t>0.100</w:t>
            </w:r>
          </w:p>
        </w:tc>
        <w:tc>
          <w:tcPr>
            <w:tcW w:w="1595" w:type="dxa"/>
            <w:vAlign w:val="top"/>
          </w:tcPr>
          <w:p>
            <w:pPr>
              <w:pStyle w:val="TableText"/>
              <w:ind w:left="565"/>
              <w:spacing w:before="68" w:line="195" w:lineRule="auto"/>
              <w:rPr/>
            </w:pPr>
            <w:r>
              <w:rPr>
                <w:spacing w:val="2"/>
              </w:rPr>
              <w:t>0.100</w:t>
            </w:r>
          </w:p>
        </w:tc>
      </w:tr>
      <w:tr>
        <w:trPr>
          <w:trHeight w:val="275" w:hRule="atLeast"/>
        </w:trPr>
        <w:tc>
          <w:tcPr>
            <w:tcW w:w="2552" w:type="dxa"/>
            <w:vAlign w:val="top"/>
          </w:tcPr>
          <w:p>
            <w:pPr>
              <w:ind w:left="1175"/>
              <w:spacing w:before="32" w:line="215" w:lineRule="auto"/>
              <w:rPr>
                <w:rFonts w:ascii="SimSun" w:hAnsi="SimSun" w:eastAsia="SimSun" w:cs="SimSun"/>
                <w:sz w:val="20"/>
                <w:szCs w:val="20"/>
              </w:rPr>
            </w:pPr>
            <w:r>
              <w:rPr>
                <w:rFonts w:ascii="SimSun" w:hAnsi="SimSun" w:eastAsia="SimSun" w:cs="SimSun"/>
                <w:sz w:val="20"/>
                <w:szCs w:val="20"/>
                <w:spacing w:val="1"/>
              </w:rPr>
              <w:t>铁</w:t>
            </w:r>
          </w:p>
        </w:tc>
        <w:tc>
          <w:tcPr>
            <w:tcW w:w="1977" w:type="dxa"/>
            <w:vAlign w:val="top"/>
          </w:tcPr>
          <w:p>
            <w:pPr>
              <w:pStyle w:val="TableText"/>
              <w:ind w:left="752"/>
              <w:spacing w:before="68" w:line="195" w:lineRule="auto"/>
              <w:rPr/>
            </w:pPr>
            <w:r>
              <w:rPr>
                <w:spacing w:val="3"/>
              </w:rPr>
              <w:t>0.050</w:t>
            </w:r>
          </w:p>
        </w:tc>
        <w:tc>
          <w:tcPr>
            <w:tcW w:w="1583" w:type="dxa"/>
            <w:vAlign w:val="top"/>
          </w:tcPr>
          <w:p>
            <w:pPr>
              <w:pStyle w:val="TableText"/>
              <w:ind w:left="559"/>
              <w:spacing w:before="68" w:line="195" w:lineRule="auto"/>
              <w:rPr/>
            </w:pPr>
            <w:r>
              <w:rPr>
                <w:spacing w:val="3"/>
              </w:rPr>
              <w:t>0.050</w:t>
            </w:r>
          </w:p>
        </w:tc>
        <w:tc>
          <w:tcPr>
            <w:tcW w:w="1583" w:type="dxa"/>
            <w:vAlign w:val="top"/>
          </w:tcPr>
          <w:p>
            <w:pPr>
              <w:pStyle w:val="TableText"/>
              <w:ind w:left="560"/>
              <w:spacing w:before="68" w:line="195" w:lineRule="auto"/>
              <w:rPr/>
            </w:pPr>
            <w:r>
              <w:rPr>
                <w:spacing w:val="3"/>
              </w:rPr>
              <w:t>0.050</w:t>
            </w:r>
          </w:p>
        </w:tc>
        <w:tc>
          <w:tcPr>
            <w:tcW w:w="1595" w:type="dxa"/>
            <w:vAlign w:val="top"/>
          </w:tcPr>
          <w:p>
            <w:pPr>
              <w:pStyle w:val="TableText"/>
              <w:ind w:left="565"/>
              <w:spacing w:before="68" w:line="195" w:lineRule="auto"/>
              <w:rPr/>
            </w:pPr>
            <w:r>
              <w:rPr>
                <w:spacing w:val="2"/>
              </w:rPr>
              <w:t>0.050</w:t>
            </w:r>
          </w:p>
        </w:tc>
      </w:tr>
      <w:tr>
        <w:trPr>
          <w:trHeight w:val="278" w:hRule="atLeast"/>
        </w:trPr>
        <w:tc>
          <w:tcPr>
            <w:tcW w:w="2552" w:type="dxa"/>
            <w:vAlign w:val="top"/>
          </w:tcPr>
          <w:p>
            <w:pPr>
              <w:ind w:left="1176"/>
              <w:spacing w:before="36" w:line="214" w:lineRule="auto"/>
              <w:rPr>
                <w:rFonts w:ascii="SimSun" w:hAnsi="SimSun" w:eastAsia="SimSun" w:cs="SimSun"/>
                <w:sz w:val="20"/>
                <w:szCs w:val="20"/>
              </w:rPr>
            </w:pPr>
            <w:r>
              <w:rPr>
                <w:rFonts w:ascii="SimSun" w:hAnsi="SimSun" w:eastAsia="SimSun" w:cs="SimSun"/>
                <w:sz w:val="20"/>
                <w:szCs w:val="20"/>
              </w:rPr>
              <w:t>锰</w:t>
            </w:r>
          </w:p>
        </w:tc>
        <w:tc>
          <w:tcPr>
            <w:tcW w:w="1977" w:type="dxa"/>
            <w:vAlign w:val="top"/>
          </w:tcPr>
          <w:p>
            <w:pPr>
              <w:pStyle w:val="TableText"/>
              <w:ind w:left="752"/>
              <w:spacing w:before="71" w:line="195" w:lineRule="auto"/>
              <w:rPr/>
            </w:pPr>
            <w:r>
              <w:rPr>
                <w:spacing w:val="3"/>
              </w:rPr>
              <w:t>0.050</w:t>
            </w:r>
          </w:p>
        </w:tc>
        <w:tc>
          <w:tcPr>
            <w:tcW w:w="1583" w:type="dxa"/>
            <w:vAlign w:val="top"/>
          </w:tcPr>
          <w:p>
            <w:pPr>
              <w:pStyle w:val="TableText"/>
              <w:ind w:left="559"/>
              <w:spacing w:before="71" w:line="195" w:lineRule="auto"/>
              <w:rPr/>
            </w:pPr>
            <w:r>
              <w:rPr>
                <w:spacing w:val="3"/>
              </w:rPr>
              <w:t>0.050</w:t>
            </w:r>
          </w:p>
        </w:tc>
        <w:tc>
          <w:tcPr>
            <w:tcW w:w="1583" w:type="dxa"/>
            <w:vAlign w:val="top"/>
          </w:tcPr>
          <w:p>
            <w:pPr>
              <w:pStyle w:val="TableText"/>
              <w:ind w:left="560"/>
              <w:spacing w:before="71" w:line="195" w:lineRule="auto"/>
              <w:rPr/>
            </w:pPr>
            <w:r>
              <w:rPr>
                <w:spacing w:val="3"/>
              </w:rPr>
              <w:t>0.050</w:t>
            </w:r>
          </w:p>
        </w:tc>
        <w:tc>
          <w:tcPr>
            <w:tcW w:w="1595" w:type="dxa"/>
            <w:vAlign w:val="top"/>
          </w:tcPr>
          <w:p>
            <w:pPr>
              <w:pStyle w:val="TableText"/>
              <w:ind w:left="565"/>
              <w:spacing w:before="71" w:line="195" w:lineRule="auto"/>
              <w:rPr/>
            </w:pPr>
            <w:r>
              <w:rPr>
                <w:spacing w:val="2"/>
              </w:rPr>
              <w:t>0.050</w:t>
            </w:r>
          </w:p>
        </w:tc>
      </w:tr>
      <w:tr>
        <w:trPr>
          <w:trHeight w:val="278" w:hRule="atLeast"/>
        </w:trPr>
        <w:tc>
          <w:tcPr>
            <w:tcW w:w="2552" w:type="dxa"/>
            <w:vAlign w:val="top"/>
          </w:tcPr>
          <w:p>
            <w:pPr>
              <w:ind w:left="656"/>
              <w:spacing w:before="33" w:line="216" w:lineRule="auto"/>
              <w:rPr>
                <w:rFonts w:ascii="SimSun" w:hAnsi="SimSun" w:eastAsia="SimSun" w:cs="SimSun"/>
                <w:sz w:val="20"/>
                <w:szCs w:val="20"/>
              </w:rPr>
            </w:pPr>
            <w:r>
              <w:rPr>
                <w:rFonts w:ascii="SimSun" w:hAnsi="SimSun" w:eastAsia="SimSun" w:cs="SimSun"/>
                <w:sz w:val="20"/>
                <w:szCs w:val="20"/>
                <w:spacing w:val="7"/>
              </w:rPr>
              <w:t>溶解性总固体</w:t>
            </w:r>
          </w:p>
        </w:tc>
        <w:tc>
          <w:tcPr>
            <w:tcW w:w="1977" w:type="dxa"/>
            <w:vAlign w:val="top"/>
          </w:tcPr>
          <w:p>
            <w:pPr>
              <w:pStyle w:val="TableText"/>
              <w:ind w:left="752"/>
              <w:spacing w:before="69" w:line="195" w:lineRule="auto"/>
              <w:rPr/>
            </w:pPr>
            <w:r>
              <w:rPr>
                <w:spacing w:val="3"/>
              </w:rPr>
              <w:t>0.482</w:t>
            </w:r>
          </w:p>
        </w:tc>
        <w:tc>
          <w:tcPr>
            <w:tcW w:w="1583" w:type="dxa"/>
            <w:vAlign w:val="top"/>
          </w:tcPr>
          <w:p>
            <w:pPr>
              <w:pStyle w:val="TableText"/>
              <w:ind w:left="559"/>
              <w:spacing w:before="69" w:line="195" w:lineRule="auto"/>
              <w:rPr/>
            </w:pPr>
            <w:r>
              <w:rPr>
                <w:spacing w:val="3"/>
              </w:rPr>
              <w:t>0.482</w:t>
            </w:r>
          </w:p>
        </w:tc>
        <w:tc>
          <w:tcPr>
            <w:tcW w:w="1583" w:type="dxa"/>
            <w:vAlign w:val="top"/>
          </w:tcPr>
          <w:p>
            <w:pPr>
              <w:pStyle w:val="TableText"/>
              <w:ind w:left="560"/>
              <w:spacing w:before="69" w:line="195" w:lineRule="auto"/>
              <w:rPr/>
            </w:pPr>
            <w:r>
              <w:rPr>
                <w:spacing w:val="3"/>
              </w:rPr>
              <w:t>0.482</w:t>
            </w:r>
          </w:p>
        </w:tc>
        <w:tc>
          <w:tcPr>
            <w:tcW w:w="1595" w:type="dxa"/>
            <w:vAlign w:val="top"/>
          </w:tcPr>
          <w:p>
            <w:pPr>
              <w:pStyle w:val="TableText"/>
              <w:ind w:left="565"/>
              <w:spacing w:before="69" w:line="195" w:lineRule="auto"/>
              <w:rPr/>
            </w:pPr>
            <w:r>
              <w:rPr>
                <w:spacing w:val="2"/>
              </w:rPr>
              <w:t>0.482</w:t>
            </w:r>
          </w:p>
        </w:tc>
      </w:tr>
      <w:tr>
        <w:trPr>
          <w:trHeight w:val="275" w:hRule="atLeast"/>
        </w:trPr>
        <w:tc>
          <w:tcPr>
            <w:tcW w:w="2552" w:type="dxa"/>
            <w:vAlign w:val="top"/>
          </w:tcPr>
          <w:p>
            <w:pPr>
              <w:ind w:left="659"/>
              <w:spacing w:before="33" w:line="214" w:lineRule="auto"/>
              <w:rPr>
                <w:rFonts w:ascii="SimSun" w:hAnsi="SimSun" w:eastAsia="SimSun" w:cs="SimSun"/>
                <w:sz w:val="20"/>
                <w:szCs w:val="20"/>
              </w:rPr>
            </w:pPr>
            <w:r>
              <w:rPr>
                <w:rFonts w:ascii="SimSun" w:hAnsi="SimSun" w:eastAsia="SimSun" w:cs="SimSun"/>
                <w:sz w:val="20"/>
                <w:szCs w:val="20"/>
                <w:spacing w:val="7"/>
              </w:rPr>
              <w:t>高锰酸盐指数</w:t>
            </w:r>
          </w:p>
        </w:tc>
        <w:tc>
          <w:tcPr>
            <w:tcW w:w="1977" w:type="dxa"/>
            <w:vAlign w:val="top"/>
          </w:tcPr>
          <w:p>
            <w:pPr>
              <w:pStyle w:val="TableText"/>
              <w:ind w:left="752"/>
              <w:spacing w:before="69" w:line="195" w:lineRule="auto"/>
              <w:rPr/>
            </w:pPr>
            <w:r>
              <w:rPr>
                <w:spacing w:val="3"/>
              </w:rPr>
              <w:t>0.333</w:t>
            </w:r>
          </w:p>
        </w:tc>
        <w:tc>
          <w:tcPr>
            <w:tcW w:w="1583" w:type="dxa"/>
            <w:vAlign w:val="top"/>
          </w:tcPr>
          <w:p>
            <w:pPr>
              <w:pStyle w:val="TableText"/>
              <w:ind w:left="559"/>
              <w:spacing w:before="69" w:line="195" w:lineRule="auto"/>
              <w:rPr/>
            </w:pPr>
            <w:r>
              <w:rPr>
                <w:spacing w:val="3"/>
              </w:rPr>
              <w:t>0.367</w:t>
            </w:r>
          </w:p>
        </w:tc>
        <w:tc>
          <w:tcPr>
            <w:tcW w:w="1583" w:type="dxa"/>
            <w:vAlign w:val="top"/>
          </w:tcPr>
          <w:p>
            <w:pPr>
              <w:pStyle w:val="TableText"/>
              <w:ind w:left="560"/>
              <w:spacing w:before="69" w:line="195" w:lineRule="auto"/>
              <w:rPr/>
            </w:pPr>
            <w:r>
              <w:rPr>
                <w:spacing w:val="3"/>
              </w:rPr>
              <w:t>0.400</w:t>
            </w:r>
          </w:p>
        </w:tc>
        <w:tc>
          <w:tcPr>
            <w:tcW w:w="1595" w:type="dxa"/>
            <w:vAlign w:val="top"/>
          </w:tcPr>
          <w:p>
            <w:pPr>
              <w:pStyle w:val="TableText"/>
              <w:ind w:left="565"/>
              <w:spacing w:before="69" w:line="195" w:lineRule="auto"/>
              <w:rPr/>
            </w:pPr>
            <w:r>
              <w:rPr>
                <w:spacing w:val="2"/>
              </w:rPr>
              <w:t>0.300</w:t>
            </w:r>
          </w:p>
        </w:tc>
      </w:tr>
      <w:tr>
        <w:trPr>
          <w:trHeight w:val="278" w:hRule="atLeast"/>
        </w:trPr>
        <w:tc>
          <w:tcPr>
            <w:tcW w:w="2552" w:type="dxa"/>
            <w:vAlign w:val="top"/>
          </w:tcPr>
          <w:p>
            <w:pPr>
              <w:ind w:left="964"/>
              <w:spacing w:before="37" w:line="213" w:lineRule="auto"/>
              <w:rPr>
                <w:rFonts w:ascii="SimSun" w:hAnsi="SimSun" w:eastAsia="SimSun" w:cs="SimSun"/>
                <w:sz w:val="20"/>
                <w:szCs w:val="20"/>
              </w:rPr>
            </w:pPr>
            <w:r>
              <w:rPr>
                <w:rFonts w:ascii="SimSun" w:hAnsi="SimSun" w:eastAsia="SimSun" w:cs="SimSun"/>
                <w:sz w:val="20"/>
                <w:szCs w:val="20"/>
                <w:spacing w:val="7"/>
              </w:rPr>
              <w:t>硫酸盐</w:t>
            </w:r>
          </w:p>
        </w:tc>
        <w:tc>
          <w:tcPr>
            <w:tcW w:w="1977" w:type="dxa"/>
            <w:vAlign w:val="top"/>
          </w:tcPr>
          <w:p>
            <w:pPr>
              <w:pStyle w:val="TableText"/>
              <w:ind w:left="752"/>
              <w:spacing w:before="72" w:line="195" w:lineRule="auto"/>
              <w:rPr/>
            </w:pPr>
            <w:r>
              <w:rPr>
                <w:spacing w:val="3"/>
              </w:rPr>
              <w:t>0.372</w:t>
            </w:r>
          </w:p>
        </w:tc>
        <w:tc>
          <w:tcPr>
            <w:tcW w:w="1583" w:type="dxa"/>
            <w:vAlign w:val="top"/>
          </w:tcPr>
          <w:p>
            <w:pPr>
              <w:pStyle w:val="TableText"/>
              <w:ind w:left="559"/>
              <w:spacing w:before="72" w:line="195" w:lineRule="auto"/>
              <w:rPr/>
            </w:pPr>
            <w:r>
              <w:rPr>
                <w:spacing w:val="3"/>
              </w:rPr>
              <w:t>0.356</w:t>
            </w:r>
          </w:p>
        </w:tc>
        <w:tc>
          <w:tcPr>
            <w:tcW w:w="1583" w:type="dxa"/>
            <w:vAlign w:val="top"/>
          </w:tcPr>
          <w:p>
            <w:pPr>
              <w:pStyle w:val="TableText"/>
              <w:ind w:left="560"/>
              <w:spacing w:before="72" w:line="195" w:lineRule="auto"/>
              <w:rPr/>
            </w:pPr>
            <w:r>
              <w:rPr>
                <w:spacing w:val="3"/>
              </w:rPr>
              <w:t>0.344</w:t>
            </w:r>
          </w:p>
        </w:tc>
        <w:tc>
          <w:tcPr>
            <w:tcW w:w="1595" w:type="dxa"/>
            <w:vAlign w:val="top"/>
          </w:tcPr>
          <w:p>
            <w:pPr>
              <w:pStyle w:val="TableText"/>
              <w:ind w:left="565"/>
              <w:spacing w:before="72" w:line="195" w:lineRule="auto"/>
              <w:rPr/>
            </w:pPr>
            <w:r>
              <w:rPr>
                <w:spacing w:val="2"/>
              </w:rPr>
              <w:t>0.328</w:t>
            </w:r>
          </w:p>
        </w:tc>
      </w:tr>
      <w:tr>
        <w:trPr>
          <w:trHeight w:val="278" w:hRule="atLeast"/>
        </w:trPr>
        <w:tc>
          <w:tcPr>
            <w:tcW w:w="2552" w:type="dxa"/>
            <w:vAlign w:val="top"/>
          </w:tcPr>
          <w:p>
            <w:pPr>
              <w:ind w:left="968"/>
              <w:spacing w:before="35" w:line="215" w:lineRule="auto"/>
              <w:rPr>
                <w:rFonts w:ascii="SimSun" w:hAnsi="SimSun" w:eastAsia="SimSun" w:cs="SimSun"/>
                <w:sz w:val="20"/>
                <w:szCs w:val="20"/>
              </w:rPr>
            </w:pPr>
            <w:r>
              <w:rPr>
                <w:rFonts w:ascii="SimSun" w:hAnsi="SimSun" w:eastAsia="SimSun" w:cs="SimSun"/>
                <w:sz w:val="20"/>
                <w:szCs w:val="20"/>
                <w:spacing w:val="5"/>
              </w:rPr>
              <w:t>氯化物</w:t>
            </w:r>
          </w:p>
        </w:tc>
        <w:tc>
          <w:tcPr>
            <w:tcW w:w="1977" w:type="dxa"/>
            <w:vAlign w:val="top"/>
          </w:tcPr>
          <w:p>
            <w:pPr>
              <w:pStyle w:val="TableText"/>
              <w:ind w:left="752"/>
              <w:spacing w:before="70" w:line="195" w:lineRule="auto"/>
              <w:rPr/>
            </w:pPr>
            <w:r>
              <w:rPr>
                <w:spacing w:val="3"/>
              </w:rPr>
              <w:t>0.476</w:t>
            </w:r>
          </w:p>
        </w:tc>
        <w:tc>
          <w:tcPr>
            <w:tcW w:w="1583" w:type="dxa"/>
            <w:vAlign w:val="top"/>
          </w:tcPr>
          <w:p>
            <w:pPr>
              <w:pStyle w:val="TableText"/>
              <w:ind w:left="559"/>
              <w:spacing w:before="70" w:line="195" w:lineRule="auto"/>
              <w:rPr/>
            </w:pPr>
            <w:r>
              <w:rPr>
                <w:spacing w:val="3"/>
              </w:rPr>
              <w:t>0.464</w:t>
            </w:r>
          </w:p>
        </w:tc>
        <w:tc>
          <w:tcPr>
            <w:tcW w:w="1583" w:type="dxa"/>
            <w:vAlign w:val="top"/>
          </w:tcPr>
          <w:p>
            <w:pPr>
              <w:pStyle w:val="TableText"/>
              <w:ind w:left="560"/>
              <w:spacing w:before="70" w:line="195" w:lineRule="auto"/>
              <w:rPr/>
            </w:pPr>
            <w:r>
              <w:rPr>
                <w:spacing w:val="3"/>
              </w:rPr>
              <w:t>0.460</w:t>
            </w:r>
          </w:p>
        </w:tc>
        <w:tc>
          <w:tcPr>
            <w:tcW w:w="1595" w:type="dxa"/>
            <w:vAlign w:val="top"/>
          </w:tcPr>
          <w:p>
            <w:pPr>
              <w:pStyle w:val="TableText"/>
              <w:ind w:left="565"/>
              <w:spacing w:before="70" w:line="195" w:lineRule="auto"/>
              <w:rPr/>
            </w:pPr>
            <w:r>
              <w:rPr>
                <w:spacing w:val="2"/>
              </w:rPr>
              <w:t>0.492</w:t>
            </w:r>
          </w:p>
        </w:tc>
      </w:tr>
      <w:tr>
        <w:trPr>
          <w:trHeight w:val="276" w:hRule="atLeast"/>
        </w:trPr>
        <w:tc>
          <w:tcPr>
            <w:tcW w:w="2552" w:type="dxa"/>
            <w:vAlign w:val="top"/>
          </w:tcPr>
          <w:p>
            <w:pPr>
              <w:ind w:left="762"/>
              <w:spacing w:before="35" w:line="213" w:lineRule="auto"/>
              <w:rPr>
                <w:rFonts w:ascii="SimSun" w:hAnsi="SimSun" w:eastAsia="SimSun" w:cs="SimSun"/>
                <w:sz w:val="20"/>
                <w:szCs w:val="20"/>
              </w:rPr>
            </w:pPr>
            <w:r>
              <w:rPr>
                <w:rFonts w:ascii="SimSun" w:hAnsi="SimSun" w:eastAsia="SimSun" w:cs="SimSun"/>
                <w:sz w:val="20"/>
                <w:szCs w:val="20"/>
                <w:spacing w:val="7"/>
              </w:rPr>
              <w:t>总大肠菌群</w:t>
            </w:r>
          </w:p>
        </w:tc>
        <w:tc>
          <w:tcPr>
            <w:tcW w:w="1977" w:type="dxa"/>
            <w:vAlign w:val="top"/>
          </w:tcPr>
          <w:p>
            <w:pPr>
              <w:pStyle w:val="TableText"/>
              <w:ind w:left="752"/>
              <w:spacing w:before="70" w:line="195" w:lineRule="auto"/>
              <w:rPr/>
            </w:pPr>
            <w:r>
              <w:rPr>
                <w:spacing w:val="3"/>
              </w:rPr>
              <w:t>0.500</w:t>
            </w:r>
          </w:p>
        </w:tc>
        <w:tc>
          <w:tcPr>
            <w:tcW w:w="1583" w:type="dxa"/>
            <w:vAlign w:val="top"/>
          </w:tcPr>
          <w:p>
            <w:pPr>
              <w:pStyle w:val="TableText"/>
              <w:ind w:left="559"/>
              <w:spacing w:before="70" w:line="195" w:lineRule="auto"/>
              <w:rPr/>
            </w:pPr>
            <w:r>
              <w:rPr>
                <w:spacing w:val="3"/>
              </w:rPr>
              <w:t>0.500</w:t>
            </w:r>
          </w:p>
        </w:tc>
        <w:tc>
          <w:tcPr>
            <w:tcW w:w="1583" w:type="dxa"/>
            <w:vAlign w:val="top"/>
          </w:tcPr>
          <w:p>
            <w:pPr>
              <w:pStyle w:val="TableText"/>
              <w:ind w:left="560"/>
              <w:spacing w:before="70" w:line="195" w:lineRule="auto"/>
              <w:rPr/>
            </w:pPr>
            <w:r>
              <w:rPr>
                <w:spacing w:val="3"/>
              </w:rPr>
              <w:t>0.500</w:t>
            </w:r>
          </w:p>
        </w:tc>
        <w:tc>
          <w:tcPr>
            <w:tcW w:w="1595" w:type="dxa"/>
            <w:vAlign w:val="top"/>
          </w:tcPr>
          <w:p>
            <w:pPr>
              <w:pStyle w:val="TableText"/>
              <w:ind w:left="565"/>
              <w:spacing w:before="70" w:line="195" w:lineRule="auto"/>
              <w:rPr/>
            </w:pPr>
            <w:r>
              <w:rPr>
                <w:spacing w:val="2"/>
              </w:rPr>
              <w:t>0.500</w:t>
            </w:r>
          </w:p>
        </w:tc>
      </w:tr>
      <w:tr>
        <w:trPr>
          <w:trHeight w:val="283" w:hRule="atLeast"/>
        </w:trPr>
        <w:tc>
          <w:tcPr>
            <w:tcW w:w="2552" w:type="dxa"/>
            <w:vAlign w:val="top"/>
          </w:tcPr>
          <w:p>
            <w:pPr>
              <w:ind w:left="863"/>
              <w:spacing w:before="34" w:line="220" w:lineRule="auto"/>
              <w:rPr>
                <w:rFonts w:ascii="SimSun" w:hAnsi="SimSun" w:eastAsia="SimSun" w:cs="SimSun"/>
                <w:sz w:val="20"/>
                <w:szCs w:val="20"/>
              </w:rPr>
            </w:pPr>
            <w:r>
              <w:rPr>
                <w:rFonts w:ascii="SimSun" w:hAnsi="SimSun" w:eastAsia="SimSun" w:cs="SimSun"/>
                <w:sz w:val="20"/>
                <w:szCs w:val="20"/>
                <w:spacing w:val="7"/>
              </w:rPr>
              <w:t>细菌总数</w:t>
            </w:r>
          </w:p>
        </w:tc>
        <w:tc>
          <w:tcPr>
            <w:tcW w:w="1977" w:type="dxa"/>
            <w:vAlign w:val="top"/>
          </w:tcPr>
          <w:p>
            <w:pPr>
              <w:pStyle w:val="TableText"/>
              <w:ind w:left="752"/>
              <w:spacing w:before="70" w:line="195" w:lineRule="auto"/>
              <w:rPr/>
            </w:pPr>
            <w:r>
              <w:rPr>
                <w:spacing w:val="3"/>
              </w:rPr>
              <w:t>0.780</w:t>
            </w:r>
          </w:p>
        </w:tc>
        <w:tc>
          <w:tcPr>
            <w:tcW w:w="1583" w:type="dxa"/>
            <w:vAlign w:val="top"/>
          </w:tcPr>
          <w:p>
            <w:pPr>
              <w:pStyle w:val="TableText"/>
              <w:ind w:left="559"/>
              <w:spacing w:before="70" w:line="195" w:lineRule="auto"/>
              <w:rPr/>
            </w:pPr>
            <w:r>
              <w:rPr>
                <w:spacing w:val="3"/>
              </w:rPr>
              <w:t>0.820</w:t>
            </w:r>
          </w:p>
        </w:tc>
        <w:tc>
          <w:tcPr>
            <w:tcW w:w="1583" w:type="dxa"/>
            <w:vAlign w:val="top"/>
          </w:tcPr>
          <w:p>
            <w:pPr>
              <w:pStyle w:val="TableText"/>
              <w:ind w:left="560"/>
              <w:spacing w:before="70" w:line="195" w:lineRule="auto"/>
              <w:rPr/>
            </w:pPr>
            <w:r>
              <w:rPr>
                <w:spacing w:val="3"/>
              </w:rPr>
              <w:t>0.750</w:t>
            </w:r>
          </w:p>
        </w:tc>
        <w:tc>
          <w:tcPr>
            <w:tcW w:w="1595" w:type="dxa"/>
            <w:vAlign w:val="top"/>
          </w:tcPr>
          <w:p>
            <w:pPr>
              <w:pStyle w:val="TableText"/>
              <w:ind w:left="565"/>
              <w:spacing w:before="70" w:line="195" w:lineRule="auto"/>
              <w:rPr/>
            </w:pPr>
            <w:r>
              <w:rPr>
                <w:spacing w:val="2"/>
              </w:rPr>
              <w:t>0.680</w:t>
            </w:r>
          </w:p>
        </w:tc>
      </w:tr>
    </w:tbl>
    <w:p>
      <w:pPr>
        <w:ind w:left="117"/>
        <w:spacing w:before="23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4.2.5  </w:t>
      </w:r>
      <w:r>
        <w:rPr>
          <w:rFonts w:ascii="SimHei" w:hAnsi="SimHei" w:eastAsia="SimHei" w:cs="SimHei"/>
          <w:sz w:val="28"/>
          <w:szCs w:val="28"/>
          <w:b/>
          <w:bCs/>
          <w:spacing w:val="-2"/>
        </w:rPr>
        <w:t>声环境质量现状评价</w:t>
      </w:r>
    </w:p>
    <w:p>
      <w:pPr>
        <w:ind w:left="600"/>
        <w:spacing w:before="171" w:line="218" w:lineRule="auto"/>
        <w:rPr>
          <w:rFonts w:ascii="SimSun" w:hAnsi="SimSun" w:eastAsia="SimSun" w:cs="SimSun"/>
          <w:sz w:val="24"/>
          <w:szCs w:val="24"/>
        </w:rPr>
      </w:pPr>
      <w:r>
        <w:rPr>
          <w:rFonts w:ascii="SimSun" w:hAnsi="SimSun" w:eastAsia="SimSun" w:cs="SimSun"/>
          <w:sz w:val="24"/>
          <w:szCs w:val="24"/>
          <w:spacing w:val="-2"/>
        </w:rPr>
        <w:t>本次评价分别在采掘场和工业场地附近布设</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 </w:t>
      </w:r>
      <w:r>
        <w:rPr>
          <w:rFonts w:ascii="SimSun" w:hAnsi="SimSun" w:eastAsia="SimSun" w:cs="SimSun"/>
          <w:sz w:val="24"/>
          <w:szCs w:val="24"/>
          <w:spacing w:val="-2"/>
        </w:rPr>
        <w:t>个监测点，监测昼、夜间噪声。监测</w:t>
      </w:r>
    </w:p>
    <w:p>
      <w:pPr>
        <w:spacing w:line="218" w:lineRule="auto"/>
        <w:sectPr>
          <w:headerReference w:type="default" r:id="rId238"/>
          <w:footerReference w:type="default" r:id="rId327"/>
          <w:pgSz w:w="11906" w:h="16838"/>
          <w:pgMar w:top="1170" w:right="1304" w:bottom="1080" w:left="1305" w:header="837" w:footer="918" w:gutter="0"/>
        </w:sectPr>
        <w:rPr>
          <w:rFonts w:ascii="SimSun" w:hAnsi="SimSun" w:eastAsia="SimSun" w:cs="SimSun"/>
          <w:sz w:val="24"/>
          <w:szCs w:val="24"/>
        </w:rPr>
      </w:pPr>
    </w:p>
    <w:p>
      <w:pPr>
        <w:pStyle w:val="BodyText"/>
        <w:spacing w:line="311" w:lineRule="auto"/>
        <w:rPr/>
      </w:pPr>
      <w:r/>
    </w:p>
    <w:p>
      <w:pPr>
        <w:ind w:left="117"/>
        <w:spacing w:before="78" w:line="219" w:lineRule="auto"/>
        <w:rPr>
          <w:rFonts w:ascii="SimSun" w:hAnsi="SimSun" w:eastAsia="SimSun" w:cs="SimSun"/>
          <w:sz w:val="24"/>
          <w:szCs w:val="24"/>
        </w:rPr>
      </w:pPr>
      <w:r>
        <w:rPr>
          <w:rFonts w:ascii="SimSun" w:hAnsi="SimSun" w:eastAsia="SimSun" w:cs="SimSun"/>
          <w:sz w:val="24"/>
          <w:szCs w:val="24"/>
          <w:spacing w:val="-2"/>
        </w:rPr>
        <w:t>布点见表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4-2-32</w:t>
      </w:r>
      <w:r>
        <w:rPr>
          <w:rFonts w:ascii="SimSun" w:hAnsi="SimSun" w:eastAsia="SimSun" w:cs="SimSun"/>
          <w:sz w:val="24"/>
          <w:szCs w:val="24"/>
          <w:spacing w:val="-2"/>
        </w:rPr>
        <w:t>。</w:t>
      </w:r>
    </w:p>
    <w:p>
      <w:pPr>
        <w:pStyle w:val="BodyText"/>
        <w:spacing w:line="320" w:lineRule="auto"/>
        <w:rPr/>
      </w:pPr>
      <w:r/>
    </w:p>
    <w:p>
      <w:pPr>
        <w:pStyle w:val="BodyText"/>
        <w:spacing w:line="321" w:lineRule="auto"/>
        <w:rPr/>
      </w:pPr>
      <w:r/>
    </w:p>
    <w:p>
      <w:pPr>
        <w:ind w:left="3570"/>
        <w:spacing w:before="78" w:line="222" w:lineRule="auto"/>
        <w:rPr>
          <w:rFonts w:ascii="SimHei" w:hAnsi="SimHei" w:eastAsia="SimHei" w:cs="SimHei"/>
          <w:sz w:val="24"/>
          <w:szCs w:val="24"/>
        </w:rPr>
      </w:pPr>
      <w:r>
        <w:rPr>
          <w:rFonts w:ascii="SimHei" w:hAnsi="SimHei" w:eastAsia="SimHei" w:cs="SimHei"/>
          <w:sz w:val="24"/>
          <w:szCs w:val="24"/>
          <w:b/>
          <w:bCs/>
          <w:spacing w:val="-4"/>
        </w:rPr>
        <w:t>声环境现状监测布点</w:t>
      </w:r>
    </w:p>
    <w:p>
      <w:pPr>
        <w:ind w:left="115"/>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4-2-32</w:t>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16"/>
        <w:gridCol w:w="7469"/>
      </w:tblGrid>
      <w:tr>
        <w:trPr>
          <w:trHeight w:val="249" w:hRule="atLeast"/>
        </w:trPr>
        <w:tc>
          <w:tcPr>
            <w:tcW w:w="1816" w:type="dxa"/>
            <w:vAlign w:val="top"/>
          </w:tcPr>
          <w:p>
            <w:pPr>
              <w:ind w:left="703"/>
              <w:spacing w:before="16" w:line="205" w:lineRule="auto"/>
              <w:rPr>
                <w:rFonts w:ascii="SimSun" w:hAnsi="SimSun" w:eastAsia="SimSun" w:cs="SimSun"/>
                <w:sz w:val="20"/>
                <w:szCs w:val="20"/>
              </w:rPr>
            </w:pPr>
            <w:r>
              <w:rPr>
                <w:rFonts w:ascii="SimSun" w:hAnsi="SimSun" w:eastAsia="SimSun" w:cs="SimSun"/>
                <w:sz w:val="20"/>
                <w:szCs w:val="20"/>
                <w:spacing w:val="5"/>
              </w:rPr>
              <w:t>序号</w:t>
            </w:r>
          </w:p>
        </w:tc>
        <w:tc>
          <w:tcPr>
            <w:tcW w:w="7469" w:type="dxa"/>
            <w:vAlign w:val="top"/>
          </w:tcPr>
          <w:p>
            <w:pPr>
              <w:ind w:left="3319"/>
              <w:spacing w:before="16" w:line="205" w:lineRule="auto"/>
              <w:rPr>
                <w:rFonts w:ascii="SimSun" w:hAnsi="SimSun" w:eastAsia="SimSun" w:cs="SimSun"/>
                <w:sz w:val="20"/>
                <w:szCs w:val="20"/>
              </w:rPr>
            </w:pPr>
            <w:r>
              <w:rPr>
                <w:rFonts w:ascii="SimSun" w:hAnsi="SimSun" w:eastAsia="SimSun" w:cs="SimSun"/>
                <w:sz w:val="20"/>
                <w:szCs w:val="20"/>
                <w:spacing w:val="7"/>
              </w:rPr>
              <w:t>监测点位</w:t>
            </w:r>
          </w:p>
        </w:tc>
      </w:tr>
      <w:tr>
        <w:trPr>
          <w:trHeight w:val="247" w:hRule="atLeast"/>
        </w:trPr>
        <w:tc>
          <w:tcPr>
            <w:tcW w:w="1816" w:type="dxa"/>
            <w:vAlign w:val="top"/>
          </w:tcPr>
          <w:p>
            <w:pPr>
              <w:pStyle w:val="TableText"/>
              <w:ind w:left="807"/>
              <w:spacing w:before="48" w:line="195" w:lineRule="auto"/>
              <w:rPr/>
            </w:pPr>
            <w:r>
              <w:rPr>
                <w:spacing w:val="-4"/>
              </w:rPr>
              <w:t>S1</w:t>
            </w:r>
          </w:p>
        </w:tc>
        <w:tc>
          <w:tcPr>
            <w:tcW w:w="7469" w:type="dxa"/>
            <w:vAlign w:val="top"/>
          </w:tcPr>
          <w:p>
            <w:pPr>
              <w:pStyle w:val="TableText"/>
              <w:ind w:left="2710"/>
              <w:spacing w:before="12" w:line="207" w:lineRule="auto"/>
              <w:rPr>
                <w:rFonts w:ascii="SimSun" w:hAnsi="SimSun" w:eastAsia="SimSun" w:cs="SimSun"/>
              </w:rPr>
            </w:pPr>
            <w:r>
              <w:rPr>
                <w:rFonts w:ascii="SimSun" w:hAnsi="SimSun" w:eastAsia="SimSun" w:cs="SimSun"/>
                <w:spacing w:val="4"/>
              </w:rPr>
              <w:t>采掘场东侧边界</w:t>
            </w:r>
            <w:r>
              <w:rPr>
                <w:rFonts w:ascii="SimSun" w:hAnsi="SimSun" w:eastAsia="SimSun" w:cs="SimSun"/>
                <w:spacing w:val="-15"/>
              </w:rPr>
              <w:t xml:space="preserve"> </w:t>
            </w:r>
            <w:r>
              <w:rPr>
                <w:spacing w:val="4"/>
              </w:rPr>
              <w:t>1m</w:t>
            </w:r>
            <w:r>
              <w:rPr>
                <w:spacing w:val="16"/>
                <w:w w:val="101"/>
              </w:rPr>
              <w:t xml:space="preserve"> </w:t>
            </w:r>
            <w:r>
              <w:rPr>
                <w:rFonts w:ascii="SimSun" w:hAnsi="SimSun" w:eastAsia="SimSun" w:cs="SimSun"/>
                <w:spacing w:val="4"/>
              </w:rPr>
              <w:t>处</w:t>
            </w:r>
          </w:p>
        </w:tc>
      </w:tr>
      <w:tr>
        <w:trPr>
          <w:trHeight w:val="244" w:hRule="atLeast"/>
        </w:trPr>
        <w:tc>
          <w:tcPr>
            <w:tcW w:w="1816" w:type="dxa"/>
            <w:vAlign w:val="top"/>
          </w:tcPr>
          <w:p>
            <w:pPr>
              <w:pStyle w:val="TableText"/>
              <w:ind w:left="807"/>
              <w:spacing w:before="46" w:line="195" w:lineRule="auto"/>
              <w:rPr/>
            </w:pPr>
            <w:r>
              <w:rPr>
                <w:spacing w:val="-4"/>
              </w:rPr>
              <w:t>S2</w:t>
            </w:r>
          </w:p>
        </w:tc>
        <w:tc>
          <w:tcPr>
            <w:tcW w:w="7469" w:type="dxa"/>
            <w:vAlign w:val="top"/>
          </w:tcPr>
          <w:p>
            <w:pPr>
              <w:pStyle w:val="TableText"/>
              <w:ind w:left="2710"/>
              <w:spacing w:before="9" w:line="207" w:lineRule="auto"/>
              <w:rPr>
                <w:rFonts w:ascii="SimSun" w:hAnsi="SimSun" w:eastAsia="SimSun" w:cs="SimSun"/>
              </w:rPr>
            </w:pPr>
            <w:r>
              <w:rPr>
                <w:rFonts w:ascii="SimSun" w:hAnsi="SimSun" w:eastAsia="SimSun" w:cs="SimSun"/>
                <w:spacing w:val="4"/>
              </w:rPr>
              <w:t>采掘场南侧边界</w:t>
            </w:r>
            <w:r>
              <w:rPr>
                <w:rFonts w:ascii="SimSun" w:hAnsi="SimSun" w:eastAsia="SimSun" w:cs="SimSun"/>
                <w:spacing w:val="-15"/>
              </w:rPr>
              <w:t xml:space="preserve"> </w:t>
            </w:r>
            <w:r>
              <w:rPr>
                <w:spacing w:val="4"/>
              </w:rPr>
              <w:t>1m</w:t>
            </w:r>
            <w:r>
              <w:rPr>
                <w:spacing w:val="16"/>
                <w:w w:val="101"/>
              </w:rPr>
              <w:t xml:space="preserve"> </w:t>
            </w:r>
            <w:r>
              <w:rPr>
                <w:rFonts w:ascii="SimSun" w:hAnsi="SimSun" w:eastAsia="SimSun" w:cs="SimSun"/>
                <w:spacing w:val="4"/>
              </w:rPr>
              <w:t>处</w:t>
            </w:r>
          </w:p>
        </w:tc>
      </w:tr>
      <w:tr>
        <w:trPr>
          <w:trHeight w:val="244" w:hRule="atLeast"/>
        </w:trPr>
        <w:tc>
          <w:tcPr>
            <w:tcW w:w="1816" w:type="dxa"/>
            <w:vAlign w:val="top"/>
          </w:tcPr>
          <w:p>
            <w:pPr>
              <w:pStyle w:val="TableText"/>
              <w:ind w:left="807"/>
              <w:spacing w:before="46" w:line="195" w:lineRule="auto"/>
              <w:rPr/>
            </w:pPr>
            <w:r>
              <w:rPr>
                <w:spacing w:val="-4"/>
              </w:rPr>
              <w:t>S3</w:t>
            </w:r>
          </w:p>
        </w:tc>
        <w:tc>
          <w:tcPr>
            <w:tcW w:w="7469" w:type="dxa"/>
            <w:vAlign w:val="top"/>
          </w:tcPr>
          <w:p>
            <w:pPr>
              <w:pStyle w:val="TableText"/>
              <w:ind w:left="2710"/>
              <w:spacing w:before="10" w:line="206" w:lineRule="auto"/>
              <w:rPr>
                <w:rFonts w:ascii="SimSun" w:hAnsi="SimSun" w:eastAsia="SimSun" w:cs="SimSun"/>
              </w:rPr>
            </w:pPr>
            <w:r>
              <w:rPr>
                <w:rFonts w:ascii="SimSun" w:hAnsi="SimSun" w:eastAsia="SimSun" w:cs="SimSun"/>
                <w:spacing w:val="4"/>
              </w:rPr>
              <w:t>采掘场西侧边界</w:t>
            </w:r>
            <w:r>
              <w:rPr>
                <w:rFonts w:ascii="SimSun" w:hAnsi="SimSun" w:eastAsia="SimSun" w:cs="SimSun"/>
                <w:spacing w:val="-15"/>
              </w:rPr>
              <w:t xml:space="preserve"> </w:t>
            </w:r>
            <w:r>
              <w:rPr>
                <w:spacing w:val="4"/>
              </w:rPr>
              <w:t>1m</w:t>
            </w:r>
            <w:r>
              <w:rPr>
                <w:spacing w:val="16"/>
                <w:w w:val="101"/>
              </w:rPr>
              <w:t xml:space="preserve"> </w:t>
            </w:r>
            <w:r>
              <w:rPr>
                <w:rFonts w:ascii="SimSun" w:hAnsi="SimSun" w:eastAsia="SimSun" w:cs="SimSun"/>
                <w:spacing w:val="4"/>
              </w:rPr>
              <w:t>处</w:t>
            </w:r>
          </w:p>
        </w:tc>
      </w:tr>
      <w:tr>
        <w:trPr>
          <w:trHeight w:val="244" w:hRule="atLeast"/>
        </w:trPr>
        <w:tc>
          <w:tcPr>
            <w:tcW w:w="1816" w:type="dxa"/>
            <w:vAlign w:val="top"/>
          </w:tcPr>
          <w:p>
            <w:pPr>
              <w:pStyle w:val="TableText"/>
              <w:ind w:left="807"/>
              <w:spacing w:before="47" w:line="195" w:lineRule="auto"/>
              <w:rPr/>
            </w:pPr>
            <w:r>
              <w:rPr>
                <w:spacing w:val="-4"/>
              </w:rPr>
              <w:t>S4</w:t>
            </w:r>
          </w:p>
        </w:tc>
        <w:tc>
          <w:tcPr>
            <w:tcW w:w="7469" w:type="dxa"/>
            <w:vAlign w:val="top"/>
          </w:tcPr>
          <w:p>
            <w:pPr>
              <w:pStyle w:val="TableText"/>
              <w:ind w:left="2710"/>
              <w:spacing w:before="11" w:line="205" w:lineRule="auto"/>
              <w:rPr>
                <w:rFonts w:ascii="SimSun" w:hAnsi="SimSun" w:eastAsia="SimSun" w:cs="SimSun"/>
              </w:rPr>
            </w:pPr>
            <w:r>
              <w:rPr>
                <w:rFonts w:ascii="SimSun" w:hAnsi="SimSun" w:eastAsia="SimSun" w:cs="SimSun"/>
                <w:spacing w:val="4"/>
              </w:rPr>
              <w:t>采掘场北侧边界</w:t>
            </w:r>
            <w:r>
              <w:rPr>
                <w:rFonts w:ascii="SimSun" w:hAnsi="SimSun" w:eastAsia="SimSun" w:cs="SimSun"/>
                <w:spacing w:val="-15"/>
              </w:rPr>
              <w:t xml:space="preserve"> </w:t>
            </w:r>
            <w:r>
              <w:rPr>
                <w:spacing w:val="4"/>
              </w:rPr>
              <w:t>1m</w:t>
            </w:r>
            <w:r>
              <w:rPr>
                <w:spacing w:val="16"/>
                <w:w w:val="101"/>
              </w:rPr>
              <w:t xml:space="preserve"> </w:t>
            </w:r>
            <w:r>
              <w:rPr>
                <w:rFonts w:ascii="SimSun" w:hAnsi="SimSun" w:eastAsia="SimSun" w:cs="SimSun"/>
                <w:spacing w:val="4"/>
              </w:rPr>
              <w:t>处</w:t>
            </w:r>
          </w:p>
        </w:tc>
      </w:tr>
      <w:tr>
        <w:trPr>
          <w:trHeight w:val="244" w:hRule="atLeast"/>
        </w:trPr>
        <w:tc>
          <w:tcPr>
            <w:tcW w:w="1816" w:type="dxa"/>
            <w:vAlign w:val="top"/>
          </w:tcPr>
          <w:p>
            <w:pPr>
              <w:pStyle w:val="TableText"/>
              <w:ind w:left="807"/>
              <w:spacing w:before="48" w:line="194" w:lineRule="auto"/>
              <w:rPr/>
            </w:pPr>
            <w:r>
              <w:rPr>
                <w:spacing w:val="-4"/>
              </w:rPr>
              <w:t>S5</w:t>
            </w:r>
          </w:p>
        </w:tc>
        <w:tc>
          <w:tcPr>
            <w:tcW w:w="7469" w:type="dxa"/>
            <w:vAlign w:val="top"/>
          </w:tcPr>
          <w:p>
            <w:pPr>
              <w:pStyle w:val="TableText"/>
              <w:ind w:left="2605"/>
              <w:spacing w:before="11" w:line="205" w:lineRule="auto"/>
              <w:rPr>
                <w:rFonts w:ascii="SimSun" w:hAnsi="SimSun" w:eastAsia="SimSun" w:cs="SimSun"/>
              </w:rPr>
            </w:pPr>
            <w:r>
              <w:rPr>
                <w:rFonts w:ascii="SimSun" w:hAnsi="SimSun" w:eastAsia="SimSun" w:cs="SimSun"/>
                <w:spacing w:val="5"/>
              </w:rPr>
              <w:t>工业场地东侧边界</w:t>
            </w:r>
            <w:r>
              <w:rPr>
                <w:rFonts w:ascii="SimSun" w:hAnsi="SimSun" w:eastAsia="SimSun" w:cs="SimSun"/>
                <w:spacing w:val="-19"/>
              </w:rPr>
              <w:t xml:space="preserve"> </w:t>
            </w:r>
            <w:r>
              <w:rPr>
                <w:spacing w:val="5"/>
              </w:rPr>
              <w:t>1m</w:t>
            </w:r>
            <w:r>
              <w:rPr>
                <w:spacing w:val="15"/>
                <w:w w:val="101"/>
              </w:rPr>
              <w:t xml:space="preserve"> </w:t>
            </w:r>
            <w:r>
              <w:rPr>
                <w:rFonts w:ascii="SimSun" w:hAnsi="SimSun" w:eastAsia="SimSun" w:cs="SimSun"/>
                <w:spacing w:val="5"/>
              </w:rPr>
              <w:t>处</w:t>
            </w:r>
          </w:p>
        </w:tc>
      </w:tr>
      <w:tr>
        <w:trPr>
          <w:trHeight w:val="330" w:hRule="atLeast"/>
        </w:trPr>
        <w:tc>
          <w:tcPr>
            <w:tcW w:w="1816" w:type="dxa"/>
            <w:vAlign w:val="top"/>
          </w:tcPr>
          <w:p>
            <w:pPr>
              <w:pStyle w:val="TableText"/>
              <w:ind w:left="807"/>
              <w:spacing w:before="91" w:line="195" w:lineRule="auto"/>
              <w:rPr/>
            </w:pPr>
            <w:r>
              <w:rPr>
                <w:spacing w:val="-4"/>
              </w:rPr>
              <w:t>S6</w:t>
            </w:r>
          </w:p>
        </w:tc>
        <w:tc>
          <w:tcPr>
            <w:tcW w:w="7469" w:type="dxa"/>
            <w:vAlign w:val="top"/>
          </w:tcPr>
          <w:p>
            <w:pPr>
              <w:pStyle w:val="TableText"/>
              <w:ind w:left="2660"/>
              <w:spacing w:before="60" w:line="228" w:lineRule="auto"/>
              <w:rPr>
                <w:rFonts w:ascii="SimSun" w:hAnsi="SimSun" w:eastAsia="SimSun" w:cs="SimSun"/>
              </w:rPr>
            </w:pPr>
            <w:r>
              <w:rPr>
                <w:rFonts w:ascii="SimSun" w:hAnsi="SimSun" w:eastAsia="SimSun" w:cs="SimSun"/>
                <w:spacing w:val="8"/>
              </w:rPr>
              <w:t>工业场地南侧边界</w:t>
            </w:r>
            <w:r>
              <w:rPr>
                <w:spacing w:val="8"/>
              </w:rPr>
              <w:t>1m</w:t>
            </w:r>
            <w:r>
              <w:rPr>
                <w:rFonts w:ascii="SimSun" w:hAnsi="SimSun" w:eastAsia="SimSun" w:cs="SimSun"/>
                <w:spacing w:val="8"/>
              </w:rPr>
              <w:t>处</w:t>
            </w:r>
          </w:p>
        </w:tc>
      </w:tr>
      <w:tr>
        <w:trPr>
          <w:trHeight w:val="330" w:hRule="atLeast"/>
        </w:trPr>
        <w:tc>
          <w:tcPr>
            <w:tcW w:w="1816" w:type="dxa"/>
            <w:vAlign w:val="top"/>
          </w:tcPr>
          <w:p>
            <w:pPr>
              <w:pStyle w:val="TableText"/>
              <w:ind w:left="807"/>
              <w:spacing w:before="92" w:line="195" w:lineRule="auto"/>
              <w:rPr/>
            </w:pPr>
            <w:r>
              <w:rPr>
                <w:spacing w:val="-4"/>
              </w:rPr>
              <w:t>S7</w:t>
            </w:r>
          </w:p>
        </w:tc>
        <w:tc>
          <w:tcPr>
            <w:tcW w:w="7469" w:type="dxa"/>
            <w:vAlign w:val="top"/>
          </w:tcPr>
          <w:p>
            <w:pPr>
              <w:pStyle w:val="TableText"/>
              <w:ind w:left="2660"/>
              <w:spacing w:before="61" w:line="228" w:lineRule="auto"/>
              <w:rPr>
                <w:rFonts w:ascii="SimSun" w:hAnsi="SimSun" w:eastAsia="SimSun" w:cs="SimSun"/>
              </w:rPr>
            </w:pPr>
            <w:r>
              <w:rPr>
                <w:rFonts w:ascii="SimSun" w:hAnsi="SimSun" w:eastAsia="SimSun" w:cs="SimSun"/>
                <w:spacing w:val="8"/>
              </w:rPr>
              <w:t>工业场地西侧边界</w:t>
            </w:r>
            <w:r>
              <w:rPr>
                <w:spacing w:val="8"/>
              </w:rPr>
              <w:t>1m</w:t>
            </w:r>
            <w:r>
              <w:rPr>
                <w:rFonts w:ascii="SimSun" w:hAnsi="SimSun" w:eastAsia="SimSun" w:cs="SimSun"/>
                <w:spacing w:val="8"/>
              </w:rPr>
              <w:t>处</w:t>
            </w:r>
          </w:p>
        </w:tc>
      </w:tr>
      <w:tr>
        <w:trPr>
          <w:trHeight w:val="335" w:hRule="atLeast"/>
        </w:trPr>
        <w:tc>
          <w:tcPr>
            <w:tcW w:w="1816" w:type="dxa"/>
            <w:vAlign w:val="top"/>
          </w:tcPr>
          <w:p>
            <w:pPr>
              <w:pStyle w:val="TableText"/>
              <w:ind w:left="807"/>
              <w:spacing w:before="93" w:line="195" w:lineRule="auto"/>
              <w:rPr/>
            </w:pPr>
            <w:r>
              <w:rPr>
                <w:spacing w:val="-4"/>
              </w:rPr>
              <w:t>S8</w:t>
            </w:r>
          </w:p>
        </w:tc>
        <w:tc>
          <w:tcPr>
            <w:tcW w:w="7469" w:type="dxa"/>
            <w:vAlign w:val="top"/>
          </w:tcPr>
          <w:p>
            <w:pPr>
              <w:pStyle w:val="TableText"/>
              <w:ind w:left="2660"/>
              <w:spacing w:before="62" w:line="228" w:lineRule="auto"/>
              <w:rPr>
                <w:rFonts w:ascii="SimSun" w:hAnsi="SimSun" w:eastAsia="SimSun" w:cs="SimSun"/>
              </w:rPr>
            </w:pPr>
            <w:r>
              <w:rPr>
                <w:rFonts w:ascii="SimSun" w:hAnsi="SimSun" w:eastAsia="SimSun" w:cs="SimSun"/>
                <w:spacing w:val="8"/>
              </w:rPr>
              <w:t>工业场地北侧边界</w:t>
            </w:r>
            <w:r>
              <w:rPr>
                <w:spacing w:val="8"/>
              </w:rPr>
              <w:t>1m</w:t>
            </w:r>
            <w:r>
              <w:rPr>
                <w:rFonts w:ascii="SimSun" w:hAnsi="SimSun" w:eastAsia="SimSun" w:cs="SimSun"/>
                <w:spacing w:val="8"/>
              </w:rPr>
              <w:t>处</w:t>
            </w:r>
          </w:p>
        </w:tc>
      </w:tr>
    </w:tbl>
    <w:p>
      <w:pPr>
        <w:pStyle w:val="BodyText"/>
        <w:spacing w:line="252" w:lineRule="auto"/>
        <w:rPr/>
      </w:pPr>
      <w:r/>
    </w:p>
    <w:p>
      <w:pPr>
        <w:pStyle w:val="BodyText"/>
        <w:spacing w:line="253" w:lineRule="auto"/>
        <w:rPr/>
      </w:pPr>
      <w:r/>
    </w:p>
    <w:p>
      <w:pPr>
        <w:ind w:left="114"/>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4.2.5.1  </w:t>
      </w:r>
      <w:r>
        <w:rPr>
          <w:rFonts w:ascii="SimHei" w:hAnsi="SimHei" w:eastAsia="SimHei" w:cs="SimHei"/>
          <w:sz w:val="24"/>
          <w:szCs w:val="24"/>
          <w:b/>
          <w:bCs/>
          <w:spacing w:val="-2"/>
        </w:rPr>
        <w:t>监测时段及频率</w:t>
      </w:r>
    </w:p>
    <w:p>
      <w:pPr>
        <w:ind w:left="118" w:right="110" w:firstLine="474"/>
        <w:spacing w:before="149" w:line="339" w:lineRule="auto"/>
        <w:rPr>
          <w:rFonts w:ascii="SimSun" w:hAnsi="SimSun" w:eastAsia="SimSun" w:cs="SimSun"/>
          <w:sz w:val="24"/>
          <w:szCs w:val="24"/>
        </w:rPr>
      </w:pPr>
      <w:r>
        <w:rPr>
          <w:rFonts w:ascii="Times New Roman" w:hAnsi="Times New Roman" w:eastAsia="Times New Roman" w:cs="Times New Roman"/>
          <w:sz w:val="24"/>
          <w:szCs w:val="24"/>
          <w:spacing w:val="-7"/>
        </w:rPr>
        <w:t>2025 </w:t>
      </w:r>
      <w:r>
        <w:rPr>
          <w:rFonts w:ascii="SimSun" w:hAnsi="SimSun" w:eastAsia="SimSun" w:cs="SimSun"/>
          <w:sz w:val="24"/>
          <w:szCs w:val="24"/>
          <w:spacing w:val="-7"/>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7"/>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27  </w:t>
      </w:r>
      <w:r>
        <w:rPr>
          <w:rFonts w:ascii="SimSun" w:hAnsi="SimSun" w:eastAsia="SimSun" w:cs="SimSun"/>
          <w:sz w:val="24"/>
          <w:szCs w:val="24"/>
          <w:spacing w:val="-7"/>
        </w:rPr>
        <w:t>日和</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7"/>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28  </w:t>
      </w:r>
      <w:r>
        <w:rPr>
          <w:rFonts w:ascii="SimSun" w:hAnsi="SimSun" w:eastAsia="SimSun" w:cs="SimSun"/>
          <w:sz w:val="24"/>
          <w:szCs w:val="24"/>
          <w:spacing w:val="-7"/>
        </w:rPr>
        <w:t>日对声环境现状进行了监测。监测期为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8"/>
        </w:rPr>
        <w:t>天，昼夜各监</w:t>
      </w:r>
      <w:r>
        <w:rPr>
          <w:rFonts w:ascii="SimSun" w:hAnsi="SimSun" w:eastAsia="SimSun" w:cs="SimSun"/>
          <w:sz w:val="24"/>
          <w:szCs w:val="24"/>
          <w:spacing w:val="-3"/>
        </w:rPr>
        <w:t>测一次。</w:t>
      </w:r>
    </w:p>
    <w:p>
      <w:pPr>
        <w:ind w:left="114"/>
        <w:spacing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4.2.5.2  </w:t>
      </w:r>
      <w:r>
        <w:rPr>
          <w:rFonts w:ascii="SimHei" w:hAnsi="SimHei" w:eastAsia="SimHei" w:cs="SimHei"/>
          <w:sz w:val="24"/>
          <w:szCs w:val="24"/>
          <w:b/>
          <w:bCs/>
          <w:spacing w:val="-2"/>
        </w:rPr>
        <w:t>监测项目</w:t>
      </w:r>
    </w:p>
    <w:p>
      <w:pPr>
        <w:ind w:left="597"/>
        <w:spacing w:before="152" w:line="212" w:lineRule="auto"/>
        <w:rPr>
          <w:rFonts w:ascii="SimSun" w:hAnsi="SimSun" w:eastAsia="SimSun" w:cs="SimSun"/>
          <w:sz w:val="24"/>
          <w:szCs w:val="24"/>
        </w:rPr>
      </w:pPr>
      <w:r>
        <w:rPr>
          <w:rFonts w:ascii="SimSun" w:hAnsi="SimSun" w:eastAsia="SimSun" w:cs="SimSun"/>
          <w:sz w:val="24"/>
          <w:szCs w:val="24"/>
          <w:spacing w:val="-1"/>
        </w:rPr>
        <w:t>环境噪声等效连续</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LAeq</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、（昼间</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Ld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、夜间</w:t>
      </w:r>
      <w:r>
        <w:rPr>
          <w:rFonts w:ascii="Times New Roman" w:hAnsi="Times New Roman" w:eastAsia="Times New Roman" w:cs="Times New Roman"/>
          <w:sz w:val="24"/>
          <w:szCs w:val="24"/>
          <w:spacing w:val="-1"/>
        </w:rPr>
        <w:t>Ln</w:t>
      </w:r>
      <w:r>
        <w:rPr>
          <w:rFonts w:ascii="SimSun" w:hAnsi="SimSun" w:eastAsia="SimSun" w:cs="SimSun"/>
          <w:sz w:val="24"/>
          <w:szCs w:val="24"/>
          <w:spacing w:val="-1"/>
        </w:rPr>
        <w:t>）。</w:t>
      </w:r>
    </w:p>
    <w:p>
      <w:pPr>
        <w:ind w:left="114"/>
        <w:spacing w:before="165"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4.2.5.3  </w:t>
      </w:r>
      <w:r>
        <w:rPr>
          <w:rFonts w:ascii="SimHei" w:hAnsi="SimHei" w:eastAsia="SimHei" w:cs="SimHei"/>
          <w:sz w:val="24"/>
          <w:szCs w:val="24"/>
          <w:b/>
          <w:bCs/>
          <w:spacing w:val="-2"/>
        </w:rPr>
        <w:t>监测方法</w:t>
      </w:r>
    </w:p>
    <w:p>
      <w:pPr>
        <w:ind w:left="599"/>
        <w:spacing w:before="153" w:line="219" w:lineRule="auto"/>
        <w:rPr>
          <w:rFonts w:ascii="SimSun" w:hAnsi="SimSun" w:eastAsia="SimSun" w:cs="SimSun"/>
          <w:sz w:val="24"/>
          <w:szCs w:val="24"/>
        </w:rPr>
      </w:pPr>
      <w:r>
        <w:rPr>
          <w:rFonts w:ascii="SimSun" w:hAnsi="SimSun" w:eastAsia="SimSun" w:cs="SimSun"/>
          <w:sz w:val="24"/>
          <w:szCs w:val="24"/>
        </w:rPr>
        <w:t>按照《声环境质量标准》（</w:t>
      </w:r>
      <w:r>
        <w:rPr>
          <w:rFonts w:ascii="Times New Roman" w:hAnsi="Times New Roman" w:eastAsia="Times New Roman" w:cs="Times New Roman"/>
          <w:sz w:val="24"/>
          <w:szCs w:val="24"/>
        </w:rPr>
        <w:t>GB3096-200</w:t>
      </w:r>
      <w:r>
        <w:rPr>
          <w:rFonts w:ascii="Times New Roman" w:hAnsi="Times New Roman" w:eastAsia="Times New Roman" w:cs="Times New Roman"/>
          <w:sz w:val="24"/>
          <w:szCs w:val="24"/>
          <w:spacing w:val="-1"/>
        </w:rPr>
        <w:t>8</w:t>
      </w:r>
      <w:r>
        <w:rPr>
          <w:rFonts w:ascii="SimSun" w:hAnsi="SimSun" w:eastAsia="SimSun" w:cs="SimSun"/>
          <w:sz w:val="24"/>
          <w:szCs w:val="24"/>
          <w:spacing w:val="-1"/>
        </w:rPr>
        <w:t>）有关技术规定执行。</w:t>
      </w:r>
    </w:p>
    <w:p>
      <w:pPr>
        <w:ind w:left="114"/>
        <w:spacing w:before="154"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4.2.5.4  </w:t>
      </w:r>
      <w:r>
        <w:rPr>
          <w:rFonts w:ascii="SimHei" w:hAnsi="SimHei" w:eastAsia="SimHei" w:cs="SimHei"/>
          <w:sz w:val="24"/>
          <w:szCs w:val="24"/>
          <w:b/>
          <w:bCs/>
          <w:spacing w:val="-2"/>
        </w:rPr>
        <w:t>监测结果统计</w:t>
      </w:r>
    </w:p>
    <w:p>
      <w:pPr>
        <w:ind w:left="599"/>
        <w:spacing w:before="155" w:line="219" w:lineRule="auto"/>
        <w:rPr>
          <w:rFonts w:ascii="SimSun" w:hAnsi="SimSun" w:eastAsia="SimSun" w:cs="SimSun"/>
          <w:sz w:val="24"/>
          <w:szCs w:val="24"/>
        </w:rPr>
      </w:pPr>
      <w:r>
        <w:rPr>
          <w:rFonts w:ascii="SimSun" w:hAnsi="SimSun" w:eastAsia="SimSun" w:cs="SimSun"/>
          <w:sz w:val="24"/>
          <w:szCs w:val="24"/>
        </w:rPr>
        <w:t>按照《声环境质量标准》（</w:t>
      </w:r>
      <w:r>
        <w:rPr>
          <w:rFonts w:ascii="Times New Roman" w:hAnsi="Times New Roman" w:eastAsia="Times New Roman" w:cs="Times New Roman"/>
          <w:sz w:val="24"/>
          <w:szCs w:val="24"/>
        </w:rPr>
        <w:t>GB3096-200</w:t>
      </w:r>
      <w:r>
        <w:rPr>
          <w:rFonts w:ascii="Times New Roman" w:hAnsi="Times New Roman" w:eastAsia="Times New Roman" w:cs="Times New Roman"/>
          <w:sz w:val="24"/>
          <w:szCs w:val="24"/>
          <w:spacing w:val="-1"/>
        </w:rPr>
        <w:t>8</w:t>
      </w:r>
      <w:r>
        <w:rPr>
          <w:rFonts w:ascii="SimSun" w:hAnsi="SimSun" w:eastAsia="SimSun" w:cs="SimSun"/>
          <w:sz w:val="24"/>
          <w:szCs w:val="24"/>
          <w:spacing w:val="-1"/>
        </w:rPr>
        <w:t>）有关技术规定执行。</w:t>
      </w:r>
    </w:p>
    <w:p>
      <w:pPr>
        <w:ind w:left="602"/>
        <w:spacing w:before="154" w:line="219" w:lineRule="auto"/>
        <w:rPr>
          <w:rFonts w:ascii="SimSun" w:hAnsi="SimSun" w:eastAsia="SimSun" w:cs="SimSun"/>
          <w:sz w:val="24"/>
          <w:szCs w:val="24"/>
        </w:rPr>
      </w:pPr>
      <w:r>
        <w:rPr>
          <w:rFonts w:ascii="SimSun" w:hAnsi="SimSun" w:eastAsia="SimSun" w:cs="SimSun"/>
          <w:sz w:val="24"/>
          <w:szCs w:val="24"/>
          <w:spacing w:val="-1"/>
        </w:rPr>
        <w:t>声环境现状监测结果统计见表</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4-2-33</w:t>
      </w:r>
      <w:r>
        <w:rPr>
          <w:rFonts w:ascii="SimSun" w:hAnsi="SimSun" w:eastAsia="SimSun" w:cs="SimSun"/>
          <w:sz w:val="24"/>
          <w:szCs w:val="24"/>
          <w:spacing w:val="-1"/>
        </w:rPr>
        <w:t>。</w:t>
      </w:r>
    </w:p>
    <w:p>
      <w:pPr>
        <w:ind w:left="3695"/>
        <w:spacing w:before="284" w:line="221" w:lineRule="auto"/>
        <w:rPr>
          <w:rFonts w:ascii="SimHei" w:hAnsi="SimHei" w:eastAsia="SimHei" w:cs="SimHei"/>
          <w:sz w:val="24"/>
          <w:szCs w:val="24"/>
        </w:rPr>
      </w:pPr>
      <w:r>
        <w:rPr>
          <w:rFonts w:ascii="SimHei" w:hAnsi="SimHei" w:eastAsia="SimHei" w:cs="SimHei"/>
          <w:sz w:val="24"/>
          <w:szCs w:val="24"/>
          <w:b/>
          <w:bCs/>
          <w:spacing w:val="-4"/>
        </w:rPr>
        <w:t>噪声监测结果统计</w:t>
      </w:r>
    </w:p>
    <w:p>
      <w:pPr>
        <w:ind w:left="115"/>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4-2-33</w:t>
      </w:r>
    </w:p>
    <w:tbl>
      <w:tblPr>
        <w:tblStyle w:val="TableNormal"/>
        <w:tblW w:w="928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72"/>
        <w:gridCol w:w="3123"/>
        <w:gridCol w:w="1444"/>
        <w:gridCol w:w="1312"/>
        <w:gridCol w:w="1307"/>
        <w:gridCol w:w="1324"/>
      </w:tblGrid>
      <w:tr>
        <w:trPr>
          <w:trHeight w:val="335" w:hRule="atLeast"/>
        </w:trPr>
        <w:tc>
          <w:tcPr>
            <w:tcW w:w="3895" w:type="dxa"/>
            <w:vAlign w:val="top"/>
            <w:gridSpan w:val="2"/>
            <w:vMerge w:val="restart"/>
            <w:tcBorders>
              <w:bottom w:val="nil"/>
            </w:tcBorders>
          </w:tcPr>
          <w:p>
            <w:pPr>
              <w:spacing w:line="245" w:lineRule="auto"/>
              <w:rPr>
                <w:rFonts w:ascii="Arial"/>
                <w:sz w:val="21"/>
              </w:rPr>
            </w:pPr>
            <w:r/>
          </w:p>
          <w:p>
            <w:pPr>
              <w:spacing w:line="246" w:lineRule="auto"/>
              <w:rPr>
                <w:rFonts w:ascii="Arial"/>
                <w:sz w:val="21"/>
              </w:rPr>
            </w:pPr>
            <w:r/>
          </w:p>
          <w:p>
            <w:pPr>
              <w:ind w:left="1535"/>
              <w:spacing w:before="65" w:line="229" w:lineRule="auto"/>
              <w:rPr>
                <w:rFonts w:ascii="SimSun" w:hAnsi="SimSun" w:eastAsia="SimSun" w:cs="SimSun"/>
                <w:sz w:val="20"/>
                <w:szCs w:val="20"/>
              </w:rPr>
            </w:pPr>
            <w:r>
              <w:rPr>
                <w:rFonts w:ascii="SimSun" w:hAnsi="SimSun" w:eastAsia="SimSun" w:cs="SimSun"/>
                <w:sz w:val="20"/>
                <w:szCs w:val="20"/>
                <w:spacing w:val="7"/>
              </w:rPr>
              <w:t>监测点位</w:t>
            </w:r>
          </w:p>
        </w:tc>
        <w:tc>
          <w:tcPr>
            <w:tcW w:w="1444" w:type="dxa"/>
            <w:vAlign w:val="top"/>
          </w:tcPr>
          <w:p>
            <w:pPr>
              <w:ind w:left="516"/>
              <w:spacing w:before="59" w:line="231" w:lineRule="auto"/>
              <w:rPr>
                <w:rFonts w:ascii="SimSun" w:hAnsi="SimSun" w:eastAsia="SimSun" w:cs="SimSun"/>
                <w:sz w:val="20"/>
                <w:szCs w:val="20"/>
              </w:rPr>
            </w:pPr>
            <w:r>
              <w:rPr>
                <w:rFonts w:ascii="SimSun" w:hAnsi="SimSun" w:eastAsia="SimSun" w:cs="SimSun"/>
                <w:sz w:val="20"/>
                <w:szCs w:val="20"/>
                <w:spacing w:val="5"/>
              </w:rPr>
              <w:t>昼间</w:t>
            </w:r>
          </w:p>
        </w:tc>
        <w:tc>
          <w:tcPr>
            <w:tcW w:w="1312" w:type="dxa"/>
            <w:vAlign w:val="top"/>
          </w:tcPr>
          <w:p>
            <w:pPr>
              <w:ind w:left="456"/>
              <w:spacing w:before="59" w:line="228" w:lineRule="auto"/>
              <w:rPr>
                <w:rFonts w:ascii="SimSun" w:hAnsi="SimSun" w:eastAsia="SimSun" w:cs="SimSun"/>
                <w:sz w:val="20"/>
                <w:szCs w:val="20"/>
              </w:rPr>
            </w:pPr>
            <w:r>
              <w:rPr>
                <w:rFonts w:ascii="SimSun" w:hAnsi="SimSun" w:eastAsia="SimSun" w:cs="SimSun"/>
                <w:sz w:val="20"/>
                <w:szCs w:val="20"/>
                <w:spacing w:val="3"/>
              </w:rPr>
              <w:t>夜间</w:t>
            </w:r>
          </w:p>
        </w:tc>
        <w:tc>
          <w:tcPr>
            <w:tcW w:w="1307" w:type="dxa"/>
            <w:vAlign w:val="top"/>
          </w:tcPr>
          <w:p>
            <w:pPr>
              <w:ind w:left="450"/>
              <w:spacing w:before="59" w:line="231" w:lineRule="auto"/>
              <w:rPr>
                <w:rFonts w:ascii="SimSun" w:hAnsi="SimSun" w:eastAsia="SimSun" w:cs="SimSun"/>
                <w:sz w:val="20"/>
                <w:szCs w:val="20"/>
              </w:rPr>
            </w:pPr>
            <w:r>
              <w:rPr>
                <w:rFonts w:ascii="SimSun" w:hAnsi="SimSun" w:eastAsia="SimSun" w:cs="SimSun"/>
                <w:sz w:val="20"/>
                <w:szCs w:val="20"/>
                <w:spacing w:val="5"/>
              </w:rPr>
              <w:t>昼间</w:t>
            </w:r>
          </w:p>
        </w:tc>
        <w:tc>
          <w:tcPr>
            <w:tcW w:w="1324" w:type="dxa"/>
            <w:vAlign w:val="top"/>
          </w:tcPr>
          <w:p>
            <w:pPr>
              <w:ind w:left="460"/>
              <w:spacing w:before="59" w:line="228" w:lineRule="auto"/>
              <w:rPr>
                <w:rFonts w:ascii="SimSun" w:hAnsi="SimSun" w:eastAsia="SimSun" w:cs="SimSun"/>
                <w:sz w:val="20"/>
                <w:szCs w:val="20"/>
              </w:rPr>
            </w:pPr>
            <w:r>
              <w:rPr>
                <w:rFonts w:ascii="SimSun" w:hAnsi="SimSun" w:eastAsia="SimSun" w:cs="SimSun"/>
                <w:sz w:val="20"/>
                <w:szCs w:val="20"/>
                <w:spacing w:val="3"/>
              </w:rPr>
              <w:t>夜间</w:t>
            </w:r>
          </w:p>
        </w:tc>
      </w:tr>
      <w:tr>
        <w:trPr>
          <w:trHeight w:val="656" w:hRule="atLeast"/>
        </w:trPr>
        <w:tc>
          <w:tcPr>
            <w:tcW w:w="3895" w:type="dxa"/>
            <w:vAlign w:val="top"/>
            <w:gridSpan w:val="2"/>
            <w:vMerge w:val="continue"/>
            <w:tcBorders>
              <w:top w:val="nil"/>
              <w:bottom w:val="nil"/>
            </w:tcBorders>
          </w:tcPr>
          <w:p>
            <w:pPr>
              <w:rPr>
                <w:rFonts w:ascii="Arial"/>
                <w:sz w:val="21"/>
              </w:rPr>
            </w:pPr>
            <w:r/>
          </w:p>
        </w:tc>
        <w:tc>
          <w:tcPr>
            <w:tcW w:w="1444" w:type="dxa"/>
            <w:vAlign w:val="top"/>
          </w:tcPr>
          <w:p>
            <w:pPr>
              <w:pStyle w:val="TableText"/>
              <w:ind w:left="219" w:right="197" w:hanging="19"/>
              <w:spacing w:before="55" w:line="289" w:lineRule="auto"/>
              <w:rPr/>
            </w:pPr>
            <w:r>
              <w:rPr>
                <w:rFonts w:ascii="SimSun" w:hAnsi="SimSun" w:eastAsia="SimSun" w:cs="SimSun"/>
                <w:spacing w:val="8"/>
              </w:rPr>
              <w:t>测量结果值</w:t>
            </w:r>
            <w:r>
              <w:rPr/>
              <w:t>Leq</w:t>
            </w:r>
            <w:r>
              <w:rPr>
                <w:spacing w:val="8"/>
              </w:rPr>
              <w:t>(</w:t>
            </w:r>
            <w:r>
              <w:rPr/>
              <w:t>dB</w:t>
            </w:r>
            <w:r>
              <w:rPr>
                <w:spacing w:val="8"/>
              </w:rPr>
              <w:t>(A))</w:t>
            </w:r>
          </w:p>
        </w:tc>
        <w:tc>
          <w:tcPr>
            <w:tcW w:w="1312" w:type="dxa"/>
            <w:vAlign w:val="top"/>
          </w:tcPr>
          <w:p>
            <w:pPr>
              <w:pStyle w:val="TableText"/>
              <w:ind w:left="155" w:right="153" w:hanging="43"/>
              <w:spacing w:before="55" w:line="289" w:lineRule="auto"/>
              <w:rPr/>
            </w:pPr>
            <w:r>
              <w:rPr>
                <w:rFonts w:ascii="SimSun" w:hAnsi="SimSun" w:eastAsia="SimSun" w:cs="SimSun"/>
                <w:spacing w:val="8"/>
              </w:rPr>
              <w:t>测量结果值</w:t>
            </w:r>
            <w:r>
              <w:rPr/>
              <w:t>Leq</w:t>
            </w:r>
            <w:r>
              <w:rPr>
                <w:spacing w:val="8"/>
              </w:rPr>
              <w:t>(</w:t>
            </w:r>
            <w:r>
              <w:rPr/>
              <w:t>dB</w:t>
            </w:r>
            <w:r>
              <w:rPr>
                <w:spacing w:val="8"/>
              </w:rPr>
              <w:t>(A))</w:t>
            </w:r>
          </w:p>
        </w:tc>
        <w:tc>
          <w:tcPr>
            <w:tcW w:w="1307" w:type="dxa"/>
            <w:vAlign w:val="top"/>
          </w:tcPr>
          <w:p>
            <w:pPr>
              <w:pStyle w:val="TableText"/>
              <w:ind w:left="151" w:right="148" w:hanging="38"/>
              <w:spacing w:before="55" w:line="289" w:lineRule="auto"/>
              <w:rPr/>
            </w:pPr>
            <w:r>
              <w:rPr>
                <w:rFonts w:ascii="SimSun" w:hAnsi="SimSun" w:eastAsia="SimSun" w:cs="SimSun"/>
                <w:spacing w:val="8"/>
              </w:rPr>
              <w:t>测量结果值</w:t>
            </w:r>
            <w:r>
              <w:rPr/>
              <w:t>Leq</w:t>
            </w:r>
            <w:r>
              <w:rPr>
                <w:spacing w:val="8"/>
              </w:rPr>
              <w:t>(</w:t>
            </w:r>
            <w:r>
              <w:rPr/>
              <w:t>dB</w:t>
            </w:r>
            <w:r>
              <w:rPr>
                <w:spacing w:val="8"/>
              </w:rPr>
              <w:t>(A))</w:t>
            </w:r>
          </w:p>
        </w:tc>
        <w:tc>
          <w:tcPr>
            <w:tcW w:w="1324" w:type="dxa"/>
            <w:vAlign w:val="top"/>
          </w:tcPr>
          <w:p>
            <w:pPr>
              <w:pStyle w:val="TableText"/>
              <w:ind w:left="161" w:right="132" w:hanging="16"/>
              <w:spacing w:before="55" w:line="289" w:lineRule="auto"/>
              <w:rPr/>
            </w:pPr>
            <w:r>
              <w:rPr>
                <w:rFonts w:ascii="SimSun" w:hAnsi="SimSun" w:eastAsia="SimSun" w:cs="SimSun"/>
                <w:spacing w:val="8"/>
              </w:rPr>
              <w:t>测量结果值</w:t>
            </w:r>
            <w:r>
              <w:rPr/>
              <w:t>Leq</w:t>
            </w:r>
            <w:r>
              <w:rPr>
                <w:spacing w:val="8"/>
              </w:rPr>
              <w:t>(</w:t>
            </w:r>
            <w:r>
              <w:rPr/>
              <w:t>dB</w:t>
            </w:r>
            <w:r>
              <w:rPr>
                <w:spacing w:val="8"/>
              </w:rPr>
              <w:t>(A))</w:t>
            </w:r>
          </w:p>
        </w:tc>
      </w:tr>
      <w:tr>
        <w:trPr>
          <w:trHeight w:val="330" w:hRule="atLeast"/>
        </w:trPr>
        <w:tc>
          <w:tcPr>
            <w:tcW w:w="3895" w:type="dxa"/>
            <w:vAlign w:val="top"/>
            <w:gridSpan w:val="2"/>
            <w:vMerge w:val="continue"/>
            <w:tcBorders>
              <w:top w:val="nil"/>
            </w:tcBorders>
          </w:tcPr>
          <w:p>
            <w:pPr>
              <w:rPr>
                <w:rFonts w:ascii="Arial"/>
                <w:sz w:val="21"/>
              </w:rPr>
            </w:pPr>
            <w:r/>
          </w:p>
        </w:tc>
        <w:tc>
          <w:tcPr>
            <w:tcW w:w="2756" w:type="dxa"/>
            <w:vAlign w:val="top"/>
            <w:gridSpan w:val="2"/>
          </w:tcPr>
          <w:p>
            <w:pPr>
              <w:pStyle w:val="TableText"/>
              <w:ind w:left="959"/>
              <w:spacing w:before="93" w:line="195" w:lineRule="auto"/>
              <w:rPr/>
            </w:pPr>
            <w:r>
              <w:rPr>
                <w:spacing w:val="4"/>
              </w:rPr>
              <w:t>2025.3.27</w:t>
            </w:r>
          </w:p>
        </w:tc>
        <w:tc>
          <w:tcPr>
            <w:tcW w:w="2631" w:type="dxa"/>
            <w:vAlign w:val="top"/>
            <w:gridSpan w:val="2"/>
          </w:tcPr>
          <w:p>
            <w:pPr>
              <w:pStyle w:val="TableText"/>
              <w:ind w:left="896"/>
              <w:spacing w:before="93" w:line="195" w:lineRule="auto"/>
              <w:rPr/>
            </w:pPr>
            <w:r>
              <w:rPr>
                <w:spacing w:val="4"/>
              </w:rPr>
              <w:t>2025.3.28</w:t>
            </w:r>
          </w:p>
        </w:tc>
      </w:tr>
      <w:tr>
        <w:trPr>
          <w:trHeight w:val="331" w:hRule="atLeast"/>
        </w:trPr>
        <w:tc>
          <w:tcPr>
            <w:tcW w:w="772" w:type="dxa"/>
            <w:vAlign w:val="top"/>
            <w:vMerge w:val="restart"/>
            <w:tcBorders>
              <w:bottom w:val="nil"/>
            </w:tcBorders>
          </w:tcPr>
          <w:p>
            <w:pPr>
              <w:spacing w:line="332" w:lineRule="auto"/>
              <w:rPr>
                <w:rFonts w:ascii="Arial"/>
                <w:sz w:val="21"/>
              </w:rPr>
            </w:pPr>
            <w:r/>
          </w:p>
          <w:p>
            <w:pPr>
              <w:ind w:left="284" w:right="176" w:hanging="105"/>
              <w:spacing w:before="65" w:line="303" w:lineRule="auto"/>
              <w:rPr>
                <w:rFonts w:ascii="SimSun" w:hAnsi="SimSun" w:eastAsia="SimSun" w:cs="SimSun"/>
                <w:sz w:val="20"/>
                <w:szCs w:val="20"/>
              </w:rPr>
            </w:pPr>
            <w:r>
              <w:rPr>
                <w:rFonts w:ascii="SimSun" w:hAnsi="SimSun" w:eastAsia="SimSun" w:cs="SimSun"/>
                <w:sz w:val="20"/>
                <w:szCs w:val="20"/>
                <w:spacing w:val="5"/>
              </w:rPr>
              <w:t>采掘</w:t>
            </w:r>
            <w:r>
              <w:rPr>
                <w:rFonts w:ascii="SimSun" w:hAnsi="SimSun" w:eastAsia="SimSun" w:cs="SimSun"/>
                <w:sz w:val="20"/>
                <w:szCs w:val="20"/>
                <w:spacing w:val="1"/>
              </w:rPr>
              <w:t>场</w:t>
            </w:r>
          </w:p>
        </w:tc>
        <w:tc>
          <w:tcPr>
            <w:tcW w:w="3123" w:type="dxa"/>
            <w:vAlign w:val="top"/>
          </w:tcPr>
          <w:p>
            <w:pPr>
              <w:pStyle w:val="TableText"/>
              <w:ind w:left="858"/>
              <w:spacing w:before="58" w:line="228" w:lineRule="auto"/>
              <w:rPr>
                <w:rFonts w:ascii="SimSun" w:hAnsi="SimSun" w:eastAsia="SimSun" w:cs="SimSun"/>
              </w:rPr>
            </w:pPr>
            <w:r>
              <w:rPr>
                <w:rFonts w:ascii="SimSun" w:hAnsi="SimSun" w:eastAsia="SimSun" w:cs="SimSun"/>
                <w:spacing w:val="1"/>
              </w:rPr>
              <w:t>东侧边界</w:t>
            </w:r>
            <w:r>
              <w:rPr>
                <w:rFonts w:ascii="SimSun" w:hAnsi="SimSun" w:eastAsia="SimSun" w:cs="SimSun"/>
                <w:spacing w:val="-16"/>
              </w:rPr>
              <w:t xml:space="preserve"> </w:t>
            </w:r>
            <w:r>
              <w:rPr>
                <w:spacing w:val="1"/>
              </w:rPr>
              <w:t>1m</w:t>
            </w:r>
            <w:r>
              <w:rPr>
                <w:spacing w:val="16"/>
              </w:rPr>
              <w:t xml:space="preserve"> </w:t>
            </w:r>
            <w:r>
              <w:rPr>
                <w:rFonts w:ascii="SimSun" w:hAnsi="SimSun" w:eastAsia="SimSun" w:cs="SimSun"/>
                <w:spacing w:val="1"/>
              </w:rPr>
              <w:t>处</w:t>
            </w:r>
          </w:p>
        </w:tc>
        <w:tc>
          <w:tcPr>
            <w:tcW w:w="1444" w:type="dxa"/>
            <w:vAlign w:val="top"/>
          </w:tcPr>
          <w:p>
            <w:pPr>
              <w:pStyle w:val="TableText"/>
              <w:ind w:left="519"/>
              <w:spacing w:before="94" w:line="195" w:lineRule="auto"/>
              <w:rPr/>
            </w:pPr>
            <w:r>
              <w:rPr>
                <w:spacing w:val="2"/>
              </w:rPr>
              <w:t>46</w:t>
            </w:r>
            <w:r>
              <w:rPr>
                <w:spacing w:val="-23"/>
              </w:rPr>
              <w:t xml:space="preserve"> </w:t>
            </w:r>
            <w:r>
              <w:rPr>
                <w:spacing w:val="2"/>
              </w:rPr>
              <w:t>.9</w:t>
            </w:r>
          </w:p>
        </w:tc>
        <w:tc>
          <w:tcPr>
            <w:tcW w:w="1312" w:type="dxa"/>
            <w:vAlign w:val="top"/>
          </w:tcPr>
          <w:p>
            <w:pPr>
              <w:pStyle w:val="TableText"/>
              <w:ind w:left="452"/>
              <w:spacing w:before="94" w:line="195" w:lineRule="auto"/>
              <w:rPr/>
            </w:pPr>
            <w:r>
              <w:rPr>
                <w:spacing w:val="2"/>
              </w:rPr>
              <w:t>41</w:t>
            </w:r>
            <w:r>
              <w:rPr>
                <w:spacing w:val="-23"/>
              </w:rPr>
              <w:t xml:space="preserve"> </w:t>
            </w:r>
            <w:r>
              <w:rPr>
                <w:spacing w:val="2"/>
              </w:rPr>
              <w:t>.7</w:t>
            </w:r>
          </w:p>
        </w:tc>
        <w:tc>
          <w:tcPr>
            <w:tcW w:w="1307" w:type="dxa"/>
            <w:vAlign w:val="top"/>
          </w:tcPr>
          <w:p>
            <w:pPr>
              <w:pStyle w:val="TableText"/>
              <w:ind w:left="451"/>
              <w:spacing w:before="94" w:line="195" w:lineRule="auto"/>
              <w:rPr/>
            </w:pPr>
            <w:r>
              <w:rPr>
                <w:spacing w:val="2"/>
              </w:rPr>
              <w:t>47</w:t>
            </w:r>
            <w:r>
              <w:rPr>
                <w:spacing w:val="-23"/>
              </w:rPr>
              <w:t xml:space="preserve"> </w:t>
            </w:r>
            <w:r>
              <w:rPr>
                <w:spacing w:val="2"/>
              </w:rPr>
              <w:t>.5</w:t>
            </w:r>
          </w:p>
        </w:tc>
        <w:tc>
          <w:tcPr>
            <w:tcW w:w="1324" w:type="dxa"/>
            <w:vAlign w:val="top"/>
          </w:tcPr>
          <w:p>
            <w:pPr>
              <w:pStyle w:val="TableText"/>
              <w:ind w:left="464"/>
              <w:spacing w:before="94" w:line="195" w:lineRule="auto"/>
              <w:rPr/>
            </w:pPr>
            <w:r>
              <w:rPr>
                <w:spacing w:val="1"/>
              </w:rPr>
              <w:t>39</w:t>
            </w:r>
            <w:r>
              <w:rPr>
                <w:spacing w:val="-24"/>
              </w:rPr>
              <w:t xml:space="preserve"> </w:t>
            </w:r>
            <w:r>
              <w:rPr>
                <w:spacing w:val="1"/>
              </w:rPr>
              <w:t>.9</w:t>
            </w:r>
          </w:p>
        </w:tc>
      </w:tr>
      <w:tr>
        <w:trPr>
          <w:trHeight w:val="331" w:hRule="atLeast"/>
        </w:trPr>
        <w:tc>
          <w:tcPr>
            <w:tcW w:w="772" w:type="dxa"/>
            <w:vAlign w:val="top"/>
            <w:vMerge w:val="continue"/>
            <w:tcBorders>
              <w:top w:val="nil"/>
              <w:bottom w:val="nil"/>
            </w:tcBorders>
          </w:tcPr>
          <w:p>
            <w:pPr>
              <w:rPr>
                <w:rFonts w:ascii="Arial"/>
                <w:sz w:val="21"/>
              </w:rPr>
            </w:pPr>
            <w:r/>
          </w:p>
        </w:tc>
        <w:tc>
          <w:tcPr>
            <w:tcW w:w="3123" w:type="dxa"/>
            <w:vAlign w:val="top"/>
          </w:tcPr>
          <w:p>
            <w:pPr>
              <w:pStyle w:val="TableText"/>
              <w:ind w:left="853"/>
              <w:spacing w:before="58" w:line="228" w:lineRule="auto"/>
              <w:rPr>
                <w:rFonts w:ascii="SimSun" w:hAnsi="SimSun" w:eastAsia="SimSun" w:cs="SimSun"/>
              </w:rPr>
            </w:pPr>
            <w:r>
              <w:rPr>
                <w:rFonts w:ascii="SimSun" w:hAnsi="SimSun" w:eastAsia="SimSun" w:cs="SimSun"/>
                <w:spacing w:val="2"/>
              </w:rPr>
              <w:t>南侧边界</w:t>
            </w:r>
            <w:r>
              <w:rPr>
                <w:rFonts w:ascii="SimSun" w:hAnsi="SimSun" w:eastAsia="SimSun" w:cs="SimSun"/>
                <w:spacing w:val="-19"/>
              </w:rPr>
              <w:t xml:space="preserve"> </w:t>
            </w:r>
            <w:r>
              <w:rPr>
                <w:spacing w:val="2"/>
              </w:rPr>
              <w:t>1m</w:t>
            </w:r>
            <w:r>
              <w:rPr>
                <w:spacing w:val="16"/>
                <w:w w:val="101"/>
              </w:rPr>
              <w:t xml:space="preserve"> </w:t>
            </w:r>
            <w:r>
              <w:rPr>
                <w:rFonts w:ascii="SimSun" w:hAnsi="SimSun" w:eastAsia="SimSun" w:cs="SimSun"/>
                <w:spacing w:val="2"/>
              </w:rPr>
              <w:t>处</w:t>
            </w:r>
          </w:p>
        </w:tc>
        <w:tc>
          <w:tcPr>
            <w:tcW w:w="1444" w:type="dxa"/>
            <w:vAlign w:val="top"/>
          </w:tcPr>
          <w:p>
            <w:pPr>
              <w:pStyle w:val="TableText"/>
              <w:ind w:left="519"/>
              <w:spacing w:before="94" w:line="195" w:lineRule="auto"/>
              <w:rPr/>
            </w:pPr>
            <w:r>
              <w:rPr>
                <w:spacing w:val="2"/>
              </w:rPr>
              <w:t>46</w:t>
            </w:r>
            <w:r>
              <w:rPr>
                <w:spacing w:val="-23"/>
              </w:rPr>
              <w:t xml:space="preserve"> </w:t>
            </w:r>
            <w:r>
              <w:rPr>
                <w:spacing w:val="2"/>
              </w:rPr>
              <w:t>.7</w:t>
            </w:r>
          </w:p>
        </w:tc>
        <w:tc>
          <w:tcPr>
            <w:tcW w:w="1312" w:type="dxa"/>
            <w:vAlign w:val="top"/>
          </w:tcPr>
          <w:p>
            <w:pPr>
              <w:pStyle w:val="TableText"/>
              <w:ind w:left="452"/>
              <w:spacing w:before="94" w:line="195" w:lineRule="auto"/>
              <w:rPr/>
            </w:pPr>
            <w:r>
              <w:rPr>
                <w:spacing w:val="-1"/>
              </w:rPr>
              <w:t>40</w:t>
            </w:r>
            <w:r>
              <w:rPr>
                <w:spacing w:val="-23"/>
              </w:rPr>
              <w:t xml:space="preserve"> </w:t>
            </w:r>
            <w:r>
              <w:rPr>
                <w:spacing w:val="-1"/>
              </w:rPr>
              <w:t>.</w:t>
            </w:r>
            <w:r>
              <w:rPr>
                <w:spacing w:val="-18"/>
              </w:rPr>
              <w:t xml:space="preserve"> </w:t>
            </w:r>
            <w:r>
              <w:rPr>
                <w:spacing w:val="-1"/>
              </w:rPr>
              <w:t>1</w:t>
            </w:r>
          </w:p>
        </w:tc>
        <w:tc>
          <w:tcPr>
            <w:tcW w:w="1307" w:type="dxa"/>
            <w:vAlign w:val="top"/>
          </w:tcPr>
          <w:p>
            <w:pPr>
              <w:pStyle w:val="TableText"/>
              <w:ind w:left="451"/>
              <w:spacing w:before="94" w:line="195" w:lineRule="auto"/>
              <w:rPr/>
            </w:pPr>
            <w:r>
              <w:rPr>
                <w:spacing w:val="2"/>
              </w:rPr>
              <w:t>46</w:t>
            </w:r>
            <w:r>
              <w:rPr>
                <w:spacing w:val="-23"/>
              </w:rPr>
              <w:t xml:space="preserve"> </w:t>
            </w:r>
            <w:r>
              <w:rPr>
                <w:spacing w:val="2"/>
              </w:rPr>
              <w:t>.7</w:t>
            </w:r>
          </w:p>
        </w:tc>
        <w:tc>
          <w:tcPr>
            <w:tcW w:w="1324" w:type="dxa"/>
            <w:vAlign w:val="top"/>
          </w:tcPr>
          <w:p>
            <w:pPr>
              <w:pStyle w:val="TableText"/>
              <w:ind w:left="464"/>
              <w:spacing w:before="94" w:line="195" w:lineRule="auto"/>
              <w:rPr/>
            </w:pPr>
            <w:r>
              <w:rPr>
                <w:spacing w:val="1"/>
              </w:rPr>
              <w:t>39</w:t>
            </w:r>
            <w:r>
              <w:rPr>
                <w:spacing w:val="-24"/>
              </w:rPr>
              <w:t xml:space="preserve"> </w:t>
            </w:r>
            <w:r>
              <w:rPr>
                <w:spacing w:val="1"/>
              </w:rPr>
              <w:t>.8</w:t>
            </w:r>
          </w:p>
        </w:tc>
      </w:tr>
      <w:tr>
        <w:trPr>
          <w:trHeight w:val="331" w:hRule="atLeast"/>
        </w:trPr>
        <w:tc>
          <w:tcPr>
            <w:tcW w:w="772" w:type="dxa"/>
            <w:vAlign w:val="top"/>
            <w:vMerge w:val="continue"/>
            <w:tcBorders>
              <w:top w:val="nil"/>
              <w:bottom w:val="nil"/>
            </w:tcBorders>
          </w:tcPr>
          <w:p>
            <w:pPr>
              <w:rPr>
                <w:rFonts w:ascii="Arial"/>
                <w:sz w:val="21"/>
              </w:rPr>
            </w:pPr>
            <w:r/>
          </w:p>
        </w:tc>
        <w:tc>
          <w:tcPr>
            <w:tcW w:w="3123" w:type="dxa"/>
            <w:vAlign w:val="top"/>
          </w:tcPr>
          <w:p>
            <w:pPr>
              <w:pStyle w:val="TableText"/>
              <w:ind w:left="856"/>
              <w:spacing w:before="58" w:line="228" w:lineRule="auto"/>
              <w:rPr>
                <w:rFonts w:ascii="SimSun" w:hAnsi="SimSun" w:eastAsia="SimSun" w:cs="SimSun"/>
              </w:rPr>
            </w:pPr>
            <w:r>
              <w:rPr>
                <w:rFonts w:ascii="SimSun" w:hAnsi="SimSun" w:eastAsia="SimSun" w:cs="SimSun"/>
                <w:spacing w:val="1"/>
              </w:rPr>
              <w:t>西侧边界</w:t>
            </w:r>
            <w:r>
              <w:rPr>
                <w:rFonts w:ascii="SimSun" w:hAnsi="SimSun" w:eastAsia="SimSun" w:cs="SimSun"/>
                <w:spacing w:val="-14"/>
              </w:rPr>
              <w:t xml:space="preserve"> </w:t>
            </w:r>
            <w:r>
              <w:rPr>
                <w:spacing w:val="1"/>
              </w:rPr>
              <w:t>1m</w:t>
            </w:r>
            <w:r>
              <w:rPr>
                <w:spacing w:val="16"/>
              </w:rPr>
              <w:t xml:space="preserve"> </w:t>
            </w:r>
            <w:r>
              <w:rPr>
                <w:rFonts w:ascii="SimSun" w:hAnsi="SimSun" w:eastAsia="SimSun" w:cs="SimSun"/>
                <w:spacing w:val="1"/>
              </w:rPr>
              <w:t>处</w:t>
            </w:r>
          </w:p>
        </w:tc>
        <w:tc>
          <w:tcPr>
            <w:tcW w:w="1444" w:type="dxa"/>
            <w:vAlign w:val="top"/>
          </w:tcPr>
          <w:p>
            <w:pPr>
              <w:pStyle w:val="TableText"/>
              <w:ind w:left="519"/>
              <w:spacing w:before="94" w:line="195" w:lineRule="auto"/>
              <w:rPr/>
            </w:pPr>
            <w:r>
              <w:rPr>
                <w:spacing w:val="-1"/>
              </w:rPr>
              <w:t>48</w:t>
            </w:r>
            <w:r>
              <w:rPr>
                <w:spacing w:val="-25"/>
              </w:rPr>
              <w:t xml:space="preserve"> </w:t>
            </w:r>
            <w:r>
              <w:rPr>
                <w:spacing w:val="-1"/>
              </w:rPr>
              <w:t>.</w:t>
            </w:r>
            <w:r>
              <w:rPr>
                <w:spacing w:val="-16"/>
              </w:rPr>
              <w:t xml:space="preserve"> </w:t>
            </w:r>
            <w:r>
              <w:rPr>
                <w:spacing w:val="-1"/>
              </w:rPr>
              <w:t>1</w:t>
            </w:r>
          </w:p>
        </w:tc>
        <w:tc>
          <w:tcPr>
            <w:tcW w:w="1312" w:type="dxa"/>
            <w:vAlign w:val="top"/>
          </w:tcPr>
          <w:p>
            <w:pPr>
              <w:pStyle w:val="TableText"/>
              <w:ind w:left="452"/>
              <w:spacing w:before="94" w:line="195" w:lineRule="auto"/>
              <w:rPr/>
            </w:pPr>
            <w:r>
              <w:rPr>
                <w:spacing w:val="2"/>
              </w:rPr>
              <w:t>43</w:t>
            </w:r>
            <w:r>
              <w:rPr>
                <w:spacing w:val="-23"/>
              </w:rPr>
              <w:t xml:space="preserve"> </w:t>
            </w:r>
            <w:r>
              <w:rPr>
                <w:spacing w:val="2"/>
              </w:rPr>
              <w:t>.0</w:t>
            </w:r>
          </w:p>
        </w:tc>
        <w:tc>
          <w:tcPr>
            <w:tcW w:w="1307" w:type="dxa"/>
            <w:vAlign w:val="top"/>
          </w:tcPr>
          <w:p>
            <w:pPr>
              <w:pStyle w:val="TableText"/>
              <w:ind w:left="451"/>
              <w:spacing w:before="94" w:line="195" w:lineRule="auto"/>
              <w:rPr/>
            </w:pPr>
            <w:r>
              <w:rPr>
                <w:spacing w:val="2"/>
              </w:rPr>
              <w:t>46</w:t>
            </w:r>
            <w:r>
              <w:rPr>
                <w:spacing w:val="-23"/>
              </w:rPr>
              <w:t xml:space="preserve"> </w:t>
            </w:r>
            <w:r>
              <w:rPr>
                <w:spacing w:val="2"/>
              </w:rPr>
              <w:t>.7</w:t>
            </w:r>
          </w:p>
        </w:tc>
        <w:tc>
          <w:tcPr>
            <w:tcW w:w="1324" w:type="dxa"/>
            <w:vAlign w:val="top"/>
          </w:tcPr>
          <w:p>
            <w:pPr>
              <w:pStyle w:val="TableText"/>
              <w:ind w:left="459"/>
              <w:spacing w:before="94" w:line="195" w:lineRule="auto"/>
              <w:rPr/>
            </w:pPr>
            <w:r>
              <w:rPr>
                <w:spacing w:val="2"/>
              </w:rPr>
              <w:t>43</w:t>
            </w:r>
            <w:r>
              <w:rPr>
                <w:spacing w:val="-23"/>
              </w:rPr>
              <w:t xml:space="preserve"> </w:t>
            </w:r>
            <w:r>
              <w:rPr>
                <w:spacing w:val="2"/>
              </w:rPr>
              <w:t>.7</w:t>
            </w:r>
          </w:p>
        </w:tc>
      </w:tr>
      <w:tr>
        <w:trPr>
          <w:trHeight w:val="330" w:hRule="atLeast"/>
        </w:trPr>
        <w:tc>
          <w:tcPr>
            <w:tcW w:w="772" w:type="dxa"/>
            <w:vAlign w:val="top"/>
            <w:vMerge w:val="continue"/>
            <w:tcBorders>
              <w:top w:val="nil"/>
            </w:tcBorders>
          </w:tcPr>
          <w:p>
            <w:pPr>
              <w:rPr>
                <w:rFonts w:ascii="Arial"/>
                <w:sz w:val="21"/>
              </w:rPr>
            </w:pPr>
            <w:r/>
          </w:p>
        </w:tc>
        <w:tc>
          <w:tcPr>
            <w:tcW w:w="3123" w:type="dxa"/>
            <w:vAlign w:val="top"/>
          </w:tcPr>
          <w:p>
            <w:pPr>
              <w:pStyle w:val="TableText"/>
              <w:ind w:left="854"/>
              <w:spacing w:before="58" w:line="228" w:lineRule="auto"/>
              <w:rPr>
                <w:rFonts w:ascii="SimSun" w:hAnsi="SimSun" w:eastAsia="SimSun" w:cs="SimSun"/>
              </w:rPr>
            </w:pPr>
            <w:r>
              <w:rPr>
                <w:rFonts w:ascii="SimSun" w:hAnsi="SimSun" w:eastAsia="SimSun" w:cs="SimSun"/>
                <w:spacing w:val="2"/>
              </w:rPr>
              <w:t>北侧边界</w:t>
            </w:r>
            <w:r>
              <w:rPr>
                <w:rFonts w:ascii="SimSun" w:hAnsi="SimSun" w:eastAsia="SimSun" w:cs="SimSun"/>
                <w:spacing w:val="-19"/>
              </w:rPr>
              <w:t xml:space="preserve"> </w:t>
            </w:r>
            <w:r>
              <w:rPr>
                <w:spacing w:val="2"/>
              </w:rPr>
              <w:t>1m</w:t>
            </w:r>
            <w:r>
              <w:rPr>
                <w:spacing w:val="16"/>
              </w:rPr>
              <w:t xml:space="preserve"> </w:t>
            </w:r>
            <w:r>
              <w:rPr>
                <w:rFonts w:ascii="SimSun" w:hAnsi="SimSun" w:eastAsia="SimSun" w:cs="SimSun"/>
                <w:spacing w:val="2"/>
              </w:rPr>
              <w:t>处</w:t>
            </w:r>
          </w:p>
        </w:tc>
        <w:tc>
          <w:tcPr>
            <w:tcW w:w="1444" w:type="dxa"/>
            <w:vAlign w:val="top"/>
          </w:tcPr>
          <w:p>
            <w:pPr>
              <w:pStyle w:val="TableText"/>
              <w:ind w:left="519"/>
              <w:spacing w:before="94" w:line="195" w:lineRule="auto"/>
              <w:rPr/>
            </w:pPr>
            <w:r>
              <w:rPr>
                <w:spacing w:val="2"/>
              </w:rPr>
              <w:t>46</w:t>
            </w:r>
            <w:r>
              <w:rPr>
                <w:spacing w:val="-23"/>
              </w:rPr>
              <w:t xml:space="preserve"> </w:t>
            </w:r>
            <w:r>
              <w:rPr>
                <w:spacing w:val="2"/>
              </w:rPr>
              <w:t>.8</w:t>
            </w:r>
          </w:p>
        </w:tc>
        <w:tc>
          <w:tcPr>
            <w:tcW w:w="1312" w:type="dxa"/>
            <w:vAlign w:val="top"/>
          </w:tcPr>
          <w:p>
            <w:pPr>
              <w:pStyle w:val="TableText"/>
              <w:ind w:left="452"/>
              <w:spacing w:before="94" w:line="195" w:lineRule="auto"/>
              <w:rPr/>
            </w:pPr>
            <w:r>
              <w:rPr>
                <w:spacing w:val="2"/>
              </w:rPr>
              <w:t>42</w:t>
            </w:r>
            <w:r>
              <w:rPr>
                <w:spacing w:val="-23"/>
              </w:rPr>
              <w:t xml:space="preserve"> </w:t>
            </w:r>
            <w:r>
              <w:rPr>
                <w:spacing w:val="2"/>
              </w:rPr>
              <w:t>.0</w:t>
            </w:r>
          </w:p>
        </w:tc>
        <w:tc>
          <w:tcPr>
            <w:tcW w:w="1307" w:type="dxa"/>
            <w:vAlign w:val="top"/>
          </w:tcPr>
          <w:p>
            <w:pPr>
              <w:pStyle w:val="TableText"/>
              <w:ind w:left="451"/>
              <w:spacing w:before="94" w:line="195" w:lineRule="auto"/>
              <w:rPr/>
            </w:pPr>
            <w:r>
              <w:rPr>
                <w:spacing w:val="2"/>
              </w:rPr>
              <w:t>47</w:t>
            </w:r>
            <w:r>
              <w:rPr>
                <w:spacing w:val="-23"/>
              </w:rPr>
              <w:t xml:space="preserve"> </w:t>
            </w:r>
            <w:r>
              <w:rPr>
                <w:spacing w:val="2"/>
              </w:rPr>
              <w:t>.7</w:t>
            </w:r>
          </w:p>
        </w:tc>
        <w:tc>
          <w:tcPr>
            <w:tcW w:w="1324" w:type="dxa"/>
            <w:vAlign w:val="top"/>
          </w:tcPr>
          <w:p>
            <w:pPr>
              <w:pStyle w:val="TableText"/>
              <w:ind w:left="459"/>
              <w:spacing w:before="94" w:line="195" w:lineRule="auto"/>
              <w:rPr/>
            </w:pPr>
            <w:r>
              <w:rPr>
                <w:spacing w:val="2"/>
              </w:rPr>
              <w:t>40</w:t>
            </w:r>
            <w:r>
              <w:rPr>
                <w:spacing w:val="-23"/>
              </w:rPr>
              <w:t xml:space="preserve"> </w:t>
            </w:r>
            <w:r>
              <w:rPr>
                <w:spacing w:val="2"/>
              </w:rPr>
              <w:t>.8</w:t>
            </w:r>
          </w:p>
        </w:tc>
      </w:tr>
      <w:tr>
        <w:trPr>
          <w:trHeight w:val="330" w:hRule="atLeast"/>
        </w:trPr>
        <w:tc>
          <w:tcPr>
            <w:tcW w:w="772" w:type="dxa"/>
            <w:vAlign w:val="top"/>
            <w:vMerge w:val="restart"/>
            <w:tcBorders>
              <w:bottom w:val="nil"/>
            </w:tcBorders>
          </w:tcPr>
          <w:p>
            <w:pPr>
              <w:spacing w:line="333" w:lineRule="auto"/>
              <w:rPr>
                <w:rFonts w:ascii="Arial"/>
                <w:sz w:val="21"/>
              </w:rPr>
            </w:pPr>
            <w:r/>
          </w:p>
          <w:p>
            <w:pPr>
              <w:ind w:left="179" w:right="176" w:firstLine="3"/>
              <w:spacing w:before="65" w:line="303" w:lineRule="auto"/>
              <w:rPr>
                <w:rFonts w:ascii="SimSun" w:hAnsi="SimSun" w:eastAsia="SimSun" w:cs="SimSun"/>
                <w:sz w:val="20"/>
                <w:szCs w:val="20"/>
              </w:rPr>
            </w:pPr>
            <w:r>
              <w:rPr>
                <w:rFonts w:ascii="SimSun" w:hAnsi="SimSun" w:eastAsia="SimSun" w:cs="SimSun"/>
                <w:sz w:val="20"/>
                <w:szCs w:val="20"/>
                <w:spacing w:val="3"/>
              </w:rPr>
              <w:t>工业</w:t>
            </w:r>
            <w:r>
              <w:rPr>
                <w:rFonts w:ascii="SimSun" w:hAnsi="SimSun" w:eastAsia="SimSun" w:cs="SimSun"/>
                <w:sz w:val="20"/>
                <w:szCs w:val="20"/>
                <w:spacing w:val="5"/>
              </w:rPr>
              <w:t>场地</w:t>
            </w:r>
          </w:p>
        </w:tc>
        <w:tc>
          <w:tcPr>
            <w:tcW w:w="3123" w:type="dxa"/>
            <w:vAlign w:val="top"/>
          </w:tcPr>
          <w:p>
            <w:pPr>
              <w:pStyle w:val="TableText"/>
              <w:ind w:left="858"/>
              <w:spacing w:before="59" w:line="228" w:lineRule="auto"/>
              <w:rPr>
                <w:rFonts w:ascii="SimSun" w:hAnsi="SimSun" w:eastAsia="SimSun" w:cs="SimSun"/>
              </w:rPr>
            </w:pPr>
            <w:r>
              <w:rPr>
                <w:rFonts w:ascii="SimSun" w:hAnsi="SimSun" w:eastAsia="SimSun" w:cs="SimSun"/>
                <w:spacing w:val="1"/>
              </w:rPr>
              <w:t>东侧边界</w:t>
            </w:r>
            <w:r>
              <w:rPr>
                <w:rFonts w:ascii="SimSun" w:hAnsi="SimSun" w:eastAsia="SimSun" w:cs="SimSun"/>
                <w:spacing w:val="-16"/>
              </w:rPr>
              <w:t xml:space="preserve"> </w:t>
            </w:r>
            <w:r>
              <w:rPr>
                <w:spacing w:val="1"/>
              </w:rPr>
              <w:t>1m</w:t>
            </w:r>
            <w:r>
              <w:rPr>
                <w:spacing w:val="16"/>
              </w:rPr>
              <w:t xml:space="preserve"> </w:t>
            </w:r>
            <w:r>
              <w:rPr>
                <w:rFonts w:ascii="SimSun" w:hAnsi="SimSun" w:eastAsia="SimSun" w:cs="SimSun"/>
                <w:spacing w:val="1"/>
              </w:rPr>
              <w:t>处</w:t>
            </w:r>
          </w:p>
        </w:tc>
        <w:tc>
          <w:tcPr>
            <w:tcW w:w="1444" w:type="dxa"/>
            <w:vAlign w:val="top"/>
          </w:tcPr>
          <w:p>
            <w:pPr>
              <w:pStyle w:val="TableText"/>
              <w:ind w:left="519"/>
              <w:spacing w:before="95" w:line="195" w:lineRule="auto"/>
              <w:rPr/>
            </w:pPr>
            <w:r>
              <w:rPr>
                <w:spacing w:val="2"/>
              </w:rPr>
              <w:t>47</w:t>
            </w:r>
            <w:r>
              <w:rPr>
                <w:spacing w:val="-23"/>
              </w:rPr>
              <w:t xml:space="preserve"> </w:t>
            </w:r>
            <w:r>
              <w:rPr>
                <w:spacing w:val="2"/>
              </w:rPr>
              <w:t>.6</w:t>
            </w:r>
          </w:p>
        </w:tc>
        <w:tc>
          <w:tcPr>
            <w:tcW w:w="1312" w:type="dxa"/>
            <w:vAlign w:val="top"/>
          </w:tcPr>
          <w:p>
            <w:pPr>
              <w:pStyle w:val="TableText"/>
              <w:ind w:left="452"/>
              <w:spacing w:before="95" w:line="195" w:lineRule="auto"/>
              <w:rPr/>
            </w:pPr>
            <w:r>
              <w:rPr>
                <w:spacing w:val="2"/>
              </w:rPr>
              <w:t>41</w:t>
            </w:r>
            <w:r>
              <w:rPr>
                <w:spacing w:val="-23"/>
              </w:rPr>
              <w:t xml:space="preserve"> </w:t>
            </w:r>
            <w:r>
              <w:rPr>
                <w:spacing w:val="2"/>
              </w:rPr>
              <w:t>.5</w:t>
            </w:r>
          </w:p>
        </w:tc>
        <w:tc>
          <w:tcPr>
            <w:tcW w:w="1307" w:type="dxa"/>
            <w:vAlign w:val="top"/>
          </w:tcPr>
          <w:p>
            <w:pPr>
              <w:pStyle w:val="TableText"/>
              <w:ind w:left="451"/>
              <w:spacing w:before="95" w:line="195" w:lineRule="auto"/>
              <w:rPr/>
            </w:pPr>
            <w:r>
              <w:rPr>
                <w:spacing w:val="2"/>
              </w:rPr>
              <w:t>46</w:t>
            </w:r>
            <w:r>
              <w:rPr>
                <w:spacing w:val="-23"/>
              </w:rPr>
              <w:t xml:space="preserve"> </w:t>
            </w:r>
            <w:r>
              <w:rPr>
                <w:spacing w:val="2"/>
              </w:rPr>
              <w:t>.9</w:t>
            </w:r>
          </w:p>
        </w:tc>
        <w:tc>
          <w:tcPr>
            <w:tcW w:w="1324" w:type="dxa"/>
            <w:vAlign w:val="top"/>
          </w:tcPr>
          <w:p>
            <w:pPr>
              <w:pStyle w:val="TableText"/>
              <w:ind w:left="459"/>
              <w:spacing w:before="95" w:line="195" w:lineRule="auto"/>
              <w:rPr/>
            </w:pPr>
            <w:r>
              <w:rPr>
                <w:spacing w:val="2"/>
              </w:rPr>
              <w:t>42</w:t>
            </w:r>
            <w:r>
              <w:rPr>
                <w:spacing w:val="-23"/>
              </w:rPr>
              <w:t xml:space="preserve"> </w:t>
            </w:r>
            <w:r>
              <w:rPr>
                <w:spacing w:val="2"/>
              </w:rPr>
              <w:t>.6</w:t>
            </w:r>
          </w:p>
        </w:tc>
      </w:tr>
      <w:tr>
        <w:trPr>
          <w:trHeight w:val="331" w:hRule="atLeast"/>
        </w:trPr>
        <w:tc>
          <w:tcPr>
            <w:tcW w:w="772" w:type="dxa"/>
            <w:vAlign w:val="top"/>
            <w:vMerge w:val="continue"/>
            <w:tcBorders>
              <w:top w:val="nil"/>
              <w:bottom w:val="nil"/>
            </w:tcBorders>
          </w:tcPr>
          <w:p>
            <w:pPr>
              <w:rPr>
                <w:rFonts w:ascii="Arial"/>
                <w:sz w:val="21"/>
              </w:rPr>
            </w:pPr>
            <w:r/>
          </w:p>
        </w:tc>
        <w:tc>
          <w:tcPr>
            <w:tcW w:w="3123" w:type="dxa"/>
            <w:vAlign w:val="top"/>
          </w:tcPr>
          <w:p>
            <w:pPr>
              <w:pStyle w:val="TableText"/>
              <w:ind w:left="853"/>
              <w:spacing w:before="60" w:line="228" w:lineRule="auto"/>
              <w:rPr>
                <w:rFonts w:ascii="SimSun" w:hAnsi="SimSun" w:eastAsia="SimSun" w:cs="SimSun"/>
              </w:rPr>
            </w:pPr>
            <w:r>
              <w:rPr>
                <w:rFonts w:ascii="SimSun" w:hAnsi="SimSun" w:eastAsia="SimSun" w:cs="SimSun"/>
                <w:spacing w:val="2"/>
              </w:rPr>
              <w:t>南侧边界</w:t>
            </w:r>
            <w:r>
              <w:rPr>
                <w:rFonts w:ascii="SimSun" w:hAnsi="SimSun" w:eastAsia="SimSun" w:cs="SimSun"/>
                <w:spacing w:val="-19"/>
              </w:rPr>
              <w:t xml:space="preserve"> </w:t>
            </w:r>
            <w:r>
              <w:rPr>
                <w:spacing w:val="2"/>
              </w:rPr>
              <w:t>1m</w:t>
            </w:r>
            <w:r>
              <w:rPr>
                <w:spacing w:val="16"/>
                <w:w w:val="101"/>
              </w:rPr>
              <w:t xml:space="preserve"> </w:t>
            </w:r>
            <w:r>
              <w:rPr>
                <w:rFonts w:ascii="SimSun" w:hAnsi="SimSun" w:eastAsia="SimSun" w:cs="SimSun"/>
                <w:spacing w:val="2"/>
              </w:rPr>
              <w:t>处</w:t>
            </w:r>
          </w:p>
        </w:tc>
        <w:tc>
          <w:tcPr>
            <w:tcW w:w="1444" w:type="dxa"/>
            <w:vAlign w:val="top"/>
          </w:tcPr>
          <w:p>
            <w:pPr>
              <w:pStyle w:val="TableText"/>
              <w:ind w:left="519"/>
              <w:spacing w:before="96" w:line="195" w:lineRule="auto"/>
              <w:rPr/>
            </w:pPr>
            <w:r>
              <w:rPr>
                <w:spacing w:val="2"/>
              </w:rPr>
              <w:t>47</w:t>
            </w:r>
            <w:r>
              <w:rPr>
                <w:spacing w:val="-23"/>
              </w:rPr>
              <w:t xml:space="preserve"> </w:t>
            </w:r>
            <w:r>
              <w:rPr>
                <w:spacing w:val="2"/>
              </w:rPr>
              <w:t>.9</w:t>
            </w:r>
          </w:p>
        </w:tc>
        <w:tc>
          <w:tcPr>
            <w:tcW w:w="1312" w:type="dxa"/>
            <w:vAlign w:val="top"/>
          </w:tcPr>
          <w:p>
            <w:pPr>
              <w:pStyle w:val="TableText"/>
              <w:ind w:left="452"/>
              <w:spacing w:before="96" w:line="195" w:lineRule="auto"/>
              <w:rPr/>
            </w:pPr>
            <w:r>
              <w:rPr>
                <w:spacing w:val="2"/>
              </w:rPr>
              <w:t>41</w:t>
            </w:r>
            <w:r>
              <w:rPr>
                <w:spacing w:val="-23"/>
              </w:rPr>
              <w:t xml:space="preserve"> </w:t>
            </w:r>
            <w:r>
              <w:rPr>
                <w:spacing w:val="2"/>
              </w:rPr>
              <w:t>.0</w:t>
            </w:r>
          </w:p>
        </w:tc>
        <w:tc>
          <w:tcPr>
            <w:tcW w:w="1307" w:type="dxa"/>
            <w:vAlign w:val="top"/>
          </w:tcPr>
          <w:p>
            <w:pPr>
              <w:pStyle w:val="TableText"/>
              <w:ind w:left="451"/>
              <w:spacing w:before="96" w:line="195" w:lineRule="auto"/>
              <w:rPr/>
            </w:pPr>
            <w:r>
              <w:rPr>
                <w:spacing w:val="2"/>
              </w:rPr>
              <w:t>47</w:t>
            </w:r>
            <w:r>
              <w:rPr>
                <w:spacing w:val="-23"/>
              </w:rPr>
              <w:t xml:space="preserve"> </w:t>
            </w:r>
            <w:r>
              <w:rPr>
                <w:spacing w:val="2"/>
              </w:rPr>
              <w:t>.8</w:t>
            </w:r>
          </w:p>
        </w:tc>
        <w:tc>
          <w:tcPr>
            <w:tcW w:w="1324" w:type="dxa"/>
            <w:vAlign w:val="top"/>
          </w:tcPr>
          <w:p>
            <w:pPr>
              <w:pStyle w:val="TableText"/>
              <w:ind w:left="459"/>
              <w:spacing w:before="96" w:line="195" w:lineRule="auto"/>
              <w:rPr/>
            </w:pPr>
            <w:r>
              <w:rPr>
                <w:spacing w:val="2"/>
              </w:rPr>
              <w:t>42</w:t>
            </w:r>
            <w:r>
              <w:rPr>
                <w:spacing w:val="-23"/>
              </w:rPr>
              <w:t xml:space="preserve"> </w:t>
            </w:r>
            <w:r>
              <w:rPr>
                <w:spacing w:val="2"/>
              </w:rPr>
              <w:t>.9</w:t>
            </w:r>
          </w:p>
        </w:tc>
      </w:tr>
      <w:tr>
        <w:trPr>
          <w:trHeight w:val="331" w:hRule="atLeast"/>
        </w:trPr>
        <w:tc>
          <w:tcPr>
            <w:tcW w:w="772" w:type="dxa"/>
            <w:vAlign w:val="top"/>
            <w:vMerge w:val="continue"/>
            <w:tcBorders>
              <w:top w:val="nil"/>
              <w:bottom w:val="nil"/>
            </w:tcBorders>
          </w:tcPr>
          <w:p>
            <w:pPr>
              <w:rPr>
                <w:rFonts w:ascii="Arial"/>
                <w:sz w:val="21"/>
              </w:rPr>
            </w:pPr>
            <w:r/>
          </w:p>
        </w:tc>
        <w:tc>
          <w:tcPr>
            <w:tcW w:w="3123" w:type="dxa"/>
            <w:vAlign w:val="top"/>
          </w:tcPr>
          <w:p>
            <w:pPr>
              <w:pStyle w:val="TableText"/>
              <w:ind w:left="856"/>
              <w:spacing w:before="60" w:line="228" w:lineRule="auto"/>
              <w:rPr>
                <w:rFonts w:ascii="SimSun" w:hAnsi="SimSun" w:eastAsia="SimSun" w:cs="SimSun"/>
              </w:rPr>
            </w:pPr>
            <w:r>
              <w:rPr>
                <w:rFonts w:ascii="SimSun" w:hAnsi="SimSun" w:eastAsia="SimSun" w:cs="SimSun"/>
                <w:spacing w:val="1"/>
              </w:rPr>
              <w:t>西侧边界</w:t>
            </w:r>
            <w:r>
              <w:rPr>
                <w:rFonts w:ascii="SimSun" w:hAnsi="SimSun" w:eastAsia="SimSun" w:cs="SimSun"/>
                <w:spacing w:val="-14"/>
              </w:rPr>
              <w:t xml:space="preserve"> </w:t>
            </w:r>
            <w:r>
              <w:rPr>
                <w:spacing w:val="1"/>
              </w:rPr>
              <w:t>1m</w:t>
            </w:r>
            <w:r>
              <w:rPr>
                <w:spacing w:val="16"/>
              </w:rPr>
              <w:t xml:space="preserve"> </w:t>
            </w:r>
            <w:r>
              <w:rPr>
                <w:rFonts w:ascii="SimSun" w:hAnsi="SimSun" w:eastAsia="SimSun" w:cs="SimSun"/>
                <w:spacing w:val="1"/>
              </w:rPr>
              <w:t>处</w:t>
            </w:r>
          </w:p>
        </w:tc>
        <w:tc>
          <w:tcPr>
            <w:tcW w:w="1444" w:type="dxa"/>
            <w:vAlign w:val="top"/>
          </w:tcPr>
          <w:p>
            <w:pPr>
              <w:pStyle w:val="TableText"/>
              <w:ind w:left="519"/>
              <w:spacing w:before="96" w:line="195" w:lineRule="auto"/>
              <w:rPr/>
            </w:pPr>
            <w:r>
              <w:rPr>
                <w:spacing w:val="2"/>
              </w:rPr>
              <w:t>48</w:t>
            </w:r>
            <w:r>
              <w:rPr>
                <w:spacing w:val="-23"/>
              </w:rPr>
              <w:t xml:space="preserve"> </w:t>
            </w:r>
            <w:r>
              <w:rPr>
                <w:spacing w:val="2"/>
              </w:rPr>
              <w:t>.0</w:t>
            </w:r>
          </w:p>
        </w:tc>
        <w:tc>
          <w:tcPr>
            <w:tcW w:w="1312" w:type="dxa"/>
            <w:vAlign w:val="top"/>
          </w:tcPr>
          <w:p>
            <w:pPr>
              <w:pStyle w:val="TableText"/>
              <w:ind w:left="458"/>
              <w:spacing w:before="96" w:line="195" w:lineRule="auto"/>
              <w:rPr/>
            </w:pPr>
            <w:r>
              <w:rPr>
                <w:spacing w:val="1"/>
              </w:rPr>
              <w:t>39</w:t>
            </w:r>
            <w:r>
              <w:rPr>
                <w:spacing w:val="-24"/>
              </w:rPr>
              <w:t xml:space="preserve"> </w:t>
            </w:r>
            <w:r>
              <w:rPr>
                <w:spacing w:val="1"/>
              </w:rPr>
              <w:t>.5</w:t>
            </w:r>
          </w:p>
        </w:tc>
        <w:tc>
          <w:tcPr>
            <w:tcW w:w="1307" w:type="dxa"/>
            <w:vAlign w:val="top"/>
          </w:tcPr>
          <w:p>
            <w:pPr>
              <w:pStyle w:val="TableText"/>
              <w:ind w:left="451"/>
              <w:spacing w:before="96" w:line="195" w:lineRule="auto"/>
              <w:rPr/>
            </w:pPr>
            <w:r>
              <w:rPr>
                <w:spacing w:val="2"/>
              </w:rPr>
              <w:t>46</w:t>
            </w:r>
            <w:r>
              <w:rPr>
                <w:spacing w:val="-23"/>
              </w:rPr>
              <w:t xml:space="preserve"> </w:t>
            </w:r>
            <w:r>
              <w:rPr>
                <w:spacing w:val="2"/>
              </w:rPr>
              <w:t>.5</w:t>
            </w:r>
          </w:p>
        </w:tc>
        <w:tc>
          <w:tcPr>
            <w:tcW w:w="1324" w:type="dxa"/>
            <w:vAlign w:val="top"/>
          </w:tcPr>
          <w:p>
            <w:pPr>
              <w:pStyle w:val="TableText"/>
              <w:ind w:left="459"/>
              <w:spacing w:before="96" w:line="195" w:lineRule="auto"/>
              <w:rPr/>
            </w:pPr>
            <w:r>
              <w:rPr>
                <w:spacing w:val="2"/>
              </w:rPr>
              <w:t>43</w:t>
            </w:r>
            <w:r>
              <w:rPr>
                <w:spacing w:val="-23"/>
              </w:rPr>
              <w:t xml:space="preserve"> </w:t>
            </w:r>
            <w:r>
              <w:rPr>
                <w:spacing w:val="2"/>
              </w:rPr>
              <w:t>.6</w:t>
            </w:r>
          </w:p>
        </w:tc>
      </w:tr>
      <w:tr>
        <w:trPr>
          <w:trHeight w:val="333" w:hRule="atLeast"/>
        </w:trPr>
        <w:tc>
          <w:tcPr>
            <w:tcW w:w="772" w:type="dxa"/>
            <w:vAlign w:val="top"/>
            <w:vMerge w:val="continue"/>
            <w:tcBorders>
              <w:top w:val="nil"/>
            </w:tcBorders>
          </w:tcPr>
          <w:p>
            <w:pPr>
              <w:rPr>
                <w:rFonts w:ascii="Arial"/>
                <w:sz w:val="21"/>
              </w:rPr>
            </w:pPr>
            <w:r/>
          </w:p>
        </w:tc>
        <w:tc>
          <w:tcPr>
            <w:tcW w:w="3123" w:type="dxa"/>
            <w:vAlign w:val="top"/>
          </w:tcPr>
          <w:p>
            <w:pPr>
              <w:pStyle w:val="TableText"/>
              <w:ind w:left="854"/>
              <w:spacing w:before="60" w:line="228" w:lineRule="auto"/>
              <w:rPr>
                <w:rFonts w:ascii="SimSun" w:hAnsi="SimSun" w:eastAsia="SimSun" w:cs="SimSun"/>
              </w:rPr>
            </w:pPr>
            <w:r>
              <w:rPr>
                <w:rFonts w:ascii="SimSun" w:hAnsi="SimSun" w:eastAsia="SimSun" w:cs="SimSun"/>
                <w:spacing w:val="2"/>
              </w:rPr>
              <w:t>北侧边界</w:t>
            </w:r>
            <w:r>
              <w:rPr>
                <w:rFonts w:ascii="SimSun" w:hAnsi="SimSun" w:eastAsia="SimSun" w:cs="SimSun"/>
                <w:spacing w:val="-19"/>
              </w:rPr>
              <w:t xml:space="preserve"> </w:t>
            </w:r>
            <w:r>
              <w:rPr>
                <w:spacing w:val="2"/>
              </w:rPr>
              <w:t>1m</w:t>
            </w:r>
            <w:r>
              <w:rPr>
                <w:spacing w:val="16"/>
              </w:rPr>
              <w:t xml:space="preserve"> </w:t>
            </w:r>
            <w:r>
              <w:rPr>
                <w:rFonts w:ascii="SimSun" w:hAnsi="SimSun" w:eastAsia="SimSun" w:cs="SimSun"/>
                <w:spacing w:val="2"/>
              </w:rPr>
              <w:t>处</w:t>
            </w:r>
          </w:p>
        </w:tc>
        <w:tc>
          <w:tcPr>
            <w:tcW w:w="1444" w:type="dxa"/>
            <w:vAlign w:val="top"/>
          </w:tcPr>
          <w:p>
            <w:pPr>
              <w:pStyle w:val="TableText"/>
              <w:ind w:left="519"/>
              <w:spacing w:before="96" w:line="195" w:lineRule="auto"/>
              <w:rPr/>
            </w:pPr>
            <w:r>
              <w:rPr>
                <w:spacing w:val="2"/>
              </w:rPr>
              <w:t>48</w:t>
            </w:r>
            <w:r>
              <w:rPr>
                <w:spacing w:val="-23"/>
              </w:rPr>
              <w:t xml:space="preserve"> </w:t>
            </w:r>
            <w:r>
              <w:rPr>
                <w:spacing w:val="2"/>
              </w:rPr>
              <w:t>.6</w:t>
            </w:r>
          </w:p>
        </w:tc>
        <w:tc>
          <w:tcPr>
            <w:tcW w:w="1312" w:type="dxa"/>
            <w:vAlign w:val="top"/>
          </w:tcPr>
          <w:p>
            <w:pPr>
              <w:pStyle w:val="TableText"/>
              <w:ind w:left="452"/>
              <w:spacing w:before="96" w:line="195" w:lineRule="auto"/>
              <w:rPr/>
            </w:pPr>
            <w:r>
              <w:rPr>
                <w:spacing w:val="2"/>
              </w:rPr>
              <w:t>41</w:t>
            </w:r>
            <w:r>
              <w:rPr>
                <w:spacing w:val="-23"/>
              </w:rPr>
              <w:t xml:space="preserve"> </w:t>
            </w:r>
            <w:r>
              <w:rPr>
                <w:spacing w:val="2"/>
              </w:rPr>
              <w:t>.6</w:t>
            </w:r>
          </w:p>
        </w:tc>
        <w:tc>
          <w:tcPr>
            <w:tcW w:w="1307" w:type="dxa"/>
            <w:vAlign w:val="top"/>
          </w:tcPr>
          <w:p>
            <w:pPr>
              <w:pStyle w:val="TableText"/>
              <w:ind w:left="451"/>
              <w:spacing w:before="96" w:line="195" w:lineRule="auto"/>
              <w:rPr/>
            </w:pPr>
            <w:r>
              <w:rPr>
                <w:spacing w:val="-1"/>
              </w:rPr>
              <w:t>47</w:t>
            </w:r>
            <w:r>
              <w:rPr>
                <w:spacing w:val="-25"/>
              </w:rPr>
              <w:t xml:space="preserve"> </w:t>
            </w:r>
            <w:r>
              <w:rPr>
                <w:spacing w:val="-1"/>
              </w:rPr>
              <w:t>.</w:t>
            </w:r>
            <w:r>
              <w:rPr>
                <w:spacing w:val="-16"/>
              </w:rPr>
              <w:t xml:space="preserve"> </w:t>
            </w:r>
            <w:r>
              <w:rPr>
                <w:spacing w:val="-1"/>
              </w:rPr>
              <w:t>1</w:t>
            </w:r>
          </w:p>
        </w:tc>
        <w:tc>
          <w:tcPr>
            <w:tcW w:w="1324" w:type="dxa"/>
            <w:vAlign w:val="top"/>
          </w:tcPr>
          <w:p>
            <w:pPr>
              <w:pStyle w:val="TableText"/>
              <w:ind w:left="459"/>
              <w:spacing w:before="96" w:line="195" w:lineRule="auto"/>
              <w:rPr/>
            </w:pPr>
            <w:r>
              <w:rPr>
                <w:spacing w:val="2"/>
              </w:rPr>
              <w:t>41</w:t>
            </w:r>
            <w:r>
              <w:rPr>
                <w:spacing w:val="-23"/>
              </w:rPr>
              <w:t xml:space="preserve"> </w:t>
            </w:r>
            <w:r>
              <w:rPr>
                <w:spacing w:val="2"/>
              </w:rPr>
              <w:t>.8</w:t>
            </w:r>
          </w:p>
        </w:tc>
      </w:tr>
    </w:tbl>
    <w:p>
      <w:pPr>
        <w:pStyle w:val="BodyText"/>
        <w:rPr/>
      </w:pPr>
      <w:r/>
    </w:p>
    <w:p>
      <w:pPr>
        <w:sectPr>
          <w:headerReference w:type="default" r:id="rId328"/>
          <w:footerReference w:type="default" r:id="rId329"/>
          <w:pgSz w:w="11906" w:h="16838"/>
          <w:pgMar w:top="1170" w:right="1307" w:bottom="1080" w:left="1308" w:header="837" w:footer="918" w:gutter="0"/>
        </w:sectPr>
        <w:rPr/>
      </w:pPr>
    </w:p>
    <w:p>
      <w:pPr>
        <w:spacing w:before="6"/>
        <w:rPr/>
      </w:pPr>
      <w:r/>
    </w:p>
    <w:tbl>
      <w:tblPr>
        <w:tblStyle w:val="TableNormal"/>
        <w:tblW w:w="9282"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895"/>
        <w:gridCol w:w="1444"/>
        <w:gridCol w:w="1312"/>
        <w:gridCol w:w="1307"/>
        <w:gridCol w:w="1324"/>
      </w:tblGrid>
      <w:tr>
        <w:trPr>
          <w:trHeight w:val="660" w:hRule="atLeast"/>
        </w:trPr>
        <w:tc>
          <w:tcPr>
            <w:tcW w:w="3895" w:type="dxa"/>
            <w:vAlign w:val="top"/>
          </w:tcPr>
          <w:p>
            <w:pPr>
              <w:pStyle w:val="TableText"/>
              <w:ind w:left="589" w:right="134" w:hanging="468"/>
              <w:spacing w:before="62" w:line="271" w:lineRule="auto"/>
              <w:rPr>
                <w:rFonts w:ascii="SimSun" w:hAnsi="SimSun" w:eastAsia="SimSun" w:cs="SimSun"/>
              </w:rPr>
            </w:pPr>
            <w:r>
              <w:rPr>
                <w:rFonts w:ascii="SimSun" w:hAnsi="SimSun" w:eastAsia="SimSun" w:cs="SimSun"/>
                <w:spacing w:val="24"/>
              </w:rPr>
              <w:t>《工业企业厂界环境噪声排放标准</w:t>
            </w:r>
            <w:r>
              <w:rPr>
                <w:rFonts w:ascii="SimSun" w:hAnsi="SimSun" w:eastAsia="SimSun" w:cs="SimSun"/>
                <w:spacing w:val="-51"/>
              </w:rPr>
              <w:t xml:space="preserve"> </w:t>
            </w:r>
            <w:r>
              <w:rPr>
                <w:rFonts w:ascii="SimSun" w:hAnsi="SimSun" w:eastAsia="SimSun" w:cs="SimSun"/>
                <w:spacing w:val="24"/>
              </w:rPr>
              <w:t>》</w:t>
            </w:r>
            <w:r>
              <w:rPr>
                <w:rFonts w:ascii="SimSun" w:hAnsi="SimSun" w:eastAsia="SimSun" w:cs="SimSun"/>
              </w:rPr>
              <w:t xml:space="preserve"> </w:t>
            </w:r>
            <w:r>
              <w:rPr>
                <w:rFonts w:ascii="SimSun" w:hAnsi="SimSun" w:eastAsia="SimSun" w:cs="SimSun"/>
                <w:spacing w:val="14"/>
              </w:rPr>
              <w:t>（</w:t>
            </w:r>
            <w:r>
              <w:rPr/>
              <w:t>GB</w:t>
            </w:r>
            <w:r>
              <w:rPr>
                <w:spacing w:val="14"/>
              </w:rPr>
              <w:t>12348-2008</w:t>
            </w:r>
            <w:r>
              <w:rPr>
                <w:rFonts w:ascii="SimSun" w:hAnsi="SimSun" w:eastAsia="SimSun" w:cs="SimSun"/>
                <w:spacing w:val="14"/>
              </w:rPr>
              <w:t>）</w:t>
            </w:r>
            <w:r>
              <w:rPr>
                <w:rFonts w:ascii="SimSun" w:hAnsi="SimSun" w:eastAsia="SimSun" w:cs="SimSun"/>
                <w:spacing w:val="-40"/>
              </w:rPr>
              <w:t xml:space="preserve"> </w:t>
            </w:r>
            <w:r>
              <w:rPr>
                <w:spacing w:val="14"/>
              </w:rPr>
              <w:t>2</w:t>
            </w:r>
            <w:r>
              <w:rPr>
                <w:spacing w:val="29"/>
                <w:w w:val="101"/>
              </w:rPr>
              <w:t xml:space="preserve"> </w:t>
            </w:r>
            <w:r>
              <w:rPr>
                <w:rFonts w:ascii="SimSun" w:hAnsi="SimSun" w:eastAsia="SimSun" w:cs="SimSun"/>
                <w:spacing w:val="14"/>
              </w:rPr>
              <w:t>类标准</w:t>
            </w:r>
          </w:p>
        </w:tc>
        <w:tc>
          <w:tcPr>
            <w:tcW w:w="1444" w:type="dxa"/>
            <w:vAlign w:val="top"/>
          </w:tcPr>
          <w:p>
            <w:pPr>
              <w:pStyle w:val="TableText"/>
              <w:ind w:left="613"/>
              <w:spacing w:before="261" w:line="195" w:lineRule="auto"/>
              <w:rPr/>
            </w:pPr>
            <w:r>
              <w:rPr>
                <w:spacing w:val="1"/>
              </w:rPr>
              <w:t>60</w:t>
            </w:r>
          </w:p>
        </w:tc>
        <w:tc>
          <w:tcPr>
            <w:tcW w:w="1312" w:type="dxa"/>
            <w:vAlign w:val="top"/>
          </w:tcPr>
          <w:p>
            <w:pPr>
              <w:pStyle w:val="TableText"/>
              <w:ind w:left="546"/>
              <w:spacing w:before="261" w:line="195" w:lineRule="auto"/>
              <w:rPr/>
            </w:pPr>
            <w:r>
              <w:rPr>
                <w:spacing w:val="2"/>
              </w:rPr>
              <w:t>50</w:t>
            </w:r>
          </w:p>
        </w:tc>
        <w:tc>
          <w:tcPr>
            <w:tcW w:w="1307" w:type="dxa"/>
            <w:vAlign w:val="top"/>
          </w:tcPr>
          <w:p>
            <w:pPr>
              <w:pStyle w:val="TableText"/>
              <w:ind w:left="545"/>
              <w:spacing w:before="261" w:line="195" w:lineRule="auto"/>
              <w:rPr/>
            </w:pPr>
            <w:r>
              <w:rPr>
                <w:spacing w:val="1"/>
              </w:rPr>
              <w:t>60</w:t>
            </w:r>
          </w:p>
        </w:tc>
        <w:tc>
          <w:tcPr>
            <w:tcW w:w="1324" w:type="dxa"/>
            <w:vAlign w:val="top"/>
          </w:tcPr>
          <w:p>
            <w:pPr>
              <w:pStyle w:val="TableText"/>
              <w:ind w:left="555"/>
              <w:spacing w:before="261" w:line="195" w:lineRule="auto"/>
              <w:rPr/>
            </w:pPr>
            <w:r>
              <w:rPr>
                <w:spacing w:val="1"/>
              </w:rPr>
              <w:t>50</w:t>
            </w:r>
          </w:p>
        </w:tc>
      </w:tr>
      <w:tr>
        <w:trPr>
          <w:trHeight w:val="1312" w:hRule="atLeast"/>
        </w:trPr>
        <w:tc>
          <w:tcPr>
            <w:tcW w:w="3895" w:type="dxa"/>
            <w:vAlign w:val="top"/>
          </w:tcPr>
          <w:p>
            <w:pPr>
              <w:spacing w:line="479" w:lineRule="auto"/>
              <w:rPr>
                <w:rFonts w:ascii="Arial"/>
                <w:sz w:val="21"/>
              </w:rPr>
            </w:pPr>
            <w:r/>
          </w:p>
          <w:p>
            <w:pPr>
              <w:ind w:left="1726"/>
              <w:spacing w:before="65" w:line="229" w:lineRule="auto"/>
              <w:rPr>
                <w:rFonts w:ascii="SimSun" w:hAnsi="SimSun" w:eastAsia="SimSun" w:cs="SimSun"/>
                <w:sz w:val="20"/>
                <w:szCs w:val="20"/>
              </w:rPr>
            </w:pPr>
            <w:r>
              <w:rPr>
                <w:rFonts w:ascii="SimSun" w:hAnsi="SimSun" w:eastAsia="SimSun" w:cs="SimSun"/>
                <w:sz w:val="20"/>
                <w:szCs w:val="20"/>
                <w:spacing w:val="13"/>
              </w:rPr>
              <w:t>备注</w:t>
            </w:r>
          </w:p>
        </w:tc>
        <w:tc>
          <w:tcPr>
            <w:tcW w:w="5387" w:type="dxa"/>
            <w:vAlign w:val="top"/>
            <w:gridSpan w:val="4"/>
          </w:tcPr>
          <w:p>
            <w:pPr>
              <w:pStyle w:val="TableText"/>
              <w:ind w:left="160"/>
              <w:spacing w:before="59" w:line="228" w:lineRule="auto"/>
              <w:rPr>
                <w:rFonts w:ascii="SimSun" w:hAnsi="SimSun" w:eastAsia="SimSun" w:cs="SimSun"/>
              </w:rPr>
            </w:pPr>
            <w:r>
              <w:rPr>
                <w:spacing w:val="11"/>
              </w:rPr>
              <w:t>2025</w:t>
            </w:r>
            <w:r>
              <w:rPr>
                <w:spacing w:val="-16"/>
              </w:rPr>
              <w:t xml:space="preserve"> </w:t>
            </w:r>
            <w:r>
              <w:rPr>
                <w:spacing w:val="11"/>
              </w:rPr>
              <w:t>.3</w:t>
            </w:r>
            <w:r>
              <w:rPr>
                <w:spacing w:val="-24"/>
              </w:rPr>
              <w:t xml:space="preserve"> </w:t>
            </w:r>
            <w:r>
              <w:rPr>
                <w:spacing w:val="11"/>
              </w:rPr>
              <w:t>.27 </w:t>
            </w:r>
            <w:r>
              <w:rPr>
                <w:rFonts w:ascii="SimSun" w:hAnsi="SimSun" w:eastAsia="SimSun" w:cs="SimSun"/>
                <w:spacing w:val="11"/>
              </w:rPr>
              <w:t>：昼间天气晴</w:t>
            </w:r>
            <w:r>
              <w:rPr>
                <w:rFonts w:ascii="SimSun" w:hAnsi="SimSun" w:eastAsia="SimSun" w:cs="SimSun"/>
                <w:spacing w:val="-56"/>
              </w:rPr>
              <w:t xml:space="preserve"> </w:t>
            </w:r>
            <w:r>
              <w:rPr>
                <w:rFonts w:ascii="SimSun" w:hAnsi="SimSun" w:eastAsia="SimSun" w:cs="SimSun"/>
                <w:spacing w:val="11"/>
              </w:rPr>
              <w:t>、</w:t>
            </w:r>
            <w:r>
              <w:rPr>
                <w:rFonts w:ascii="SimSun" w:hAnsi="SimSun" w:eastAsia="SimSun" w:cs="SimSun"/>
                <w:spacing w:val="-60"/>
              </w:rPr>
              <w:t xml:space="preserve"> </w:t>
            </w:r>
            <w:r>
              <w:rPr>
                <w:rFonts w:ascii="SimSun" w:hAnsi="SimSun" w:eastAsia="SimSun" w:cs="SimSun"/>
                <w:spacing w:val="11"/>
              </w:rPr>
              <w:t>西北风</w:t>
            </w:r>
            <w:r>
              <w:rPr>
                <w:rFonts w:ascii="SimSun" w:hAnsi="SimSun" w:eastAsia="SimSun" w:cs="SimSun"/>
                <w:spacing w:val="-58"/>
              </w:rPr>
              <w:t xml:space="preserve"> </w:t>
            </w:r>
            <w:r>
              <w:rPr>
                <w:rFonts w:ascii="SimSun" w:hAnsi="SimSun" w:eastAsia="SimSun" w:cs="SimSun"/>
                <w:spacing w:val="11"/>
              </w:rPr>
              <w:t>、风速</w:t>
            </w:r>
            <w:r>
              <w:rPr>
                <w:rFonts w:ascii="SimSun" w:hAnsi="SimSun" w:eastAsia="SimSun" w:cs="SimSun"/>
                <w:spacing w:val="-14"/>
              </w:rPr>
              <w:t xml:space="preserve"> </w:t>
            </w:r>
            <w:r>
              <w:rPr>
                <w:spacing w:val="11"/>
              </w:rPr>
              <w:t>2.4m/s</w:t>
            </w:r>
            <w:r>
              <w:rPr>
                <w:spacing w:val="-10"/>
              </w:rPr>
              <w:t xml:space="preserve"> </w:t>
            </w:r>
            <w:r>
              <w:rPr>
                <w:rFonts w:ascii="SimSun" w:hAnsi="SimSun" w:eastAsia="SimSun" w:cs="SimSun"/>
                <w:spacing w:val="11"/>
              </w:rPr>
              <w:t>、夜</w:t>
            </w:r>
          </w:p>
          <w:p>
            <w:pPr>
              <w:pStyle w:val="TableText"/>
              <w:ind w:left="994"/>
              <w:spacing w:before="77" w:line="228" w:lineRule="auto"/>
              <w:rPr>
                <w:rFonts w:ascii="SimSun" w:hAnsi="SimSun" w:eastAsia="SimSun" w:cs="SimSun"/>
              </w:rPr>
            </w:pPr>
            <w:r>
              <w:rPr>
                <w:rFonts w:ascii="SimSun" w:hAnsi="SimSun" w:eastAsia="SimSun" w:cs="SimSun"/>
                <w:spacing w:val="10"/>
              </w:rPr>
              <w:t>间天气晴</w:t>
            </w:r>
            <w:r>
              <w:rPr>
                <w:rFonts w:ascii="SimSun" w:hAnsi="SimSun" w:eastAsia="SimSun" w:cs="SimSun"/>
                <w:spacing w:val="-46"/>
              </w:rPr>
              <w:t xml:space="preserve"> </w:t>
            </w:r>
            <w:r>
              <w:rPr>
                <w:rFonts w:ascii="SimSun" w:hAnsi="SimSun" w:eastAsia="SimSun" w:cs="SimSun"/>
                <w:spacing w:val="10"/>
              </w:rPr>
              <w:t>、</w:t>
            </w:r>
            <w:r>
              <w:rPr>
                <w:rFonts w:ascii="SimSun" w:hAnsi="SimSun" w:eastAsia="SimSun" w:cs="SimSun"/>
                <w:spacing w:val="-59"/>
              </w:rPr>
              <w:t xml:space="preserve"> </w:t>
            </w:r>
            <w:r>
              <w:rPr>
                <w:rFonts w:ascii="SimSun" w:hAnsi="SimSun" w:eastAsia="SimSun" w:cs="SimSun"/>
                <w:spacing w:val="10"/>
              </w:rPr>
              <w:t>西北风</w:t>
            </w:r>
            <w:r>
              <w:rPr>
                <w:rFonts w:ascii="SimSun" w:hAnsi="SimSun" w:eastAsia="SimSun" w:cs="SimSun"/>
                <w:spacing w:val="-53"/>
              </w:rPr>
              <w:t xml:space="preserve"> </w:t>
            </w:r>
            <w:r>
              <w:rPr>
                <w:rFonts w:ascii="SimSun" w:hAnsi="SimSun" w:eastAsia="SimSun" w:cs="SimSun"/>
                <w:spacing w:val="10"/>
              </w:rPr>
              <w:t>，风速 </w:t>
            </w:r>
            <w:r>
              <w:rPr>
                <w:spacing w:val="10"/>
              </w:rPr>
              <w:t>1.9m/s</w:t>
            </w:r>
            <w:r>
              <w:rPr>
                <w:rFonts w:ascii="SimSun" w:hAnsi="SimSun" w:eastAsia="SimSun" w:cs="SimSun"/>
                <w:spacing w:val="10"/>
              </w:rPr>
              <w:t>，</w:t>
            </w:r>
          </w:p>
          <w:p>
            <w:pPr>
              <w:pStyle w:val="TableText"/>
              <w:ind w:left="160"/>
              <w:spacing w:before="78" w:line="228" w:lineRule="auto"/>
              <w:rPr>
                <w:rFonts w:ascii="SimSun" w:hAnsi="SimSun" w:eastAsia="SimSun" w:cs="SimSun"/>
              </w:rPr>
            </w:pPr>
            <w:r>
              <w:rPr>
                <w:spacing w:val="11"/>
              </w:rPr>
              <w:t>2025</w:t>
            </w:r>
            <w:r>
              <w:rPr>
                <w:spacing w:val="-16"/>
              </w:rPr>
              <w:t xml:space="preserve"> </w:t>
            </w:r>
            <w:r>
              <w:rPr>
                <w:spacing w:val="11"/>
              </w:rPr>
              <w:t>.3</w:t>
            </w:r>
            <w:r>
              <w:rPr>
                <w:spacing w:val="-24"/>
              </w:rPr>
              <w:t xml:space="preserve"> </w:t>
            </w:r>
            <w:r>
              <w:rPr>
                <w:spacing w:val="11"/>
              </w:rPr>
              <w:t>.28 </w:t>
            </w:r>
            <w:r>
              <w:rPr>
                <w:rFonts w:ascii="SimSun" w:hAnsi="SimSun" w:eastAsia="SimSun" w:cs="SimSun"/>
                <w:spacing w:val="11"/>
              </w:rPr>
              <w:t>：昼间天气晴</w:t>
            </w:r>
            <w:r>
              <w:rPr>
                <w:rFonts w:ascii="SimSun" w:hAnsi="SimSun" w:eastAsia="SimSun" w:cs="SimSun"/>
                <w:spacing w:val="-56"/>
              </w:rPr>
              <w:t xml:space="preserve"> </w:t>
            </w:r>
            <w:r>
              <w:rPr>
                <w:rFonts w:ascii="SimSun" w:hAnsi="SimSun" w:eastAsia="SimSun" w:cs="SimSun"/>
                <w:spacing w:val="11"/>
              </w:rPr>
              <w:t>、</w:t>
            </w:r>
            <w:r>
              <w:rPr>
                <w:rFonts w:ascii="SimSun" w:hAnsi="SimSun" w:eastAsia="SimSun" w:cs="SimSun"/>
                <w:spacing w:val="-60"/>
              </w:rPr>
              <w:t xml:space="preserve"> </w:t>
            </w:r>
            <w:r>
              <w:rPr>
                <w:rFonts w:ascii="SimSun" w:hAnsi="SimSun" w:eastAsia="SimSun" w:cs="SimSun"/>
                <w:spacing w:val="11"/>
              </w:rPr>
              <w:t>西南风</w:t>
            </w:r>
            <w:r>
              <w:rPr>
                <w:rFonts w:ascii="SimSun" w:hAnsi="SimSun" w:eastAsia="SimSun" w:cs="SimSun"/>
                <w:spacing w:val="-58"/>
              </w:rPr>
              <w:t xml:space="preserve"> </w:t>
            </w:r>
            <w:r>
              <w:rPr>
                <w:rFonts w:ascii="SimSun" w:hAnsi="SimSun" w:eastAsia="SimSun" w:cs="SimSun"/>
                <w:spacing w:val="11"/>
              </w:rPr>
              <w:t>、风速</w:t>
            </w:r>
            <w:r>
              <w:rPr>
                <w:rFonts w:ascii="SimSun" w:hAnsi="SimSun" w:eastAsia="SimSun" w:cs="SimSun"/>
                <w:spacing w:val="-14"/>
              </w:rPr>
              <w:t xml:space="preserve"> </w:t>
            </w:r>
            <w:r>
              <w:rPr>
                <w:spacing w:val="11"/>
              </w:rPr>
              <w:t>2.3m/s</w:t>
            </w:r>
            <w:r>
              <w:rPr>
                <w:spacing w:val="-10"/>
              </w:rPr>
              <w:t xml:space="preserve"> </w:t>
            </w:r>
            <w:r>
              <w:rPr>
                <w:rFonts w:ascii="SimSun" w:hAnsi="SimSun" w:eastAsia="SimSun" w:cs="SimSun"/>
                <w:spacing w:val="11"/>
              </w:rPr>
              <w:t>、夜</w:t>
            </w:r>
          </w:p>
          <w:p>
            <w:pPr>
              <w:pStyle w:val="TableText"/>
              <w:ind w:left="994"/>
              <w:spacing w:before="80" w:line="228" w:lineRule="auto"/>
              <w:rPr>
                <w:rFonts w:ascii="SimSun" w:hAnsi="SimSun" w:eastAsia="SimSun" w:cs="SimSun"/>
              </w:rPr>
            </w:pPr>
            <w:r>
              <w:rPr>
                <w:rFonts w:ascii="SimSun" w:hAnsi="SimSun" w:eastAsia="SimSun" w:cs="SimSun"/>
                <w:spacing w:val="9"/>
              </w:rPr>
              <w:t>间天气晴</w:t>
            </w:r>
            <w:r>
              <w:rPr>
                <w:rFonts w:ascii="SimSun" w:hAnsi="SimSun" w:eastAsia="SimSun" w:cs="SimSun"/>
                <w:spacing w:val="-49"/>
              </w:rPr>
              <w:t xml:space="preserve"> </w:t>
            </w:r>
            <w:r>
              <w:rPr>
                <w:rFonts w:ascii="SimSun" w:hAnsi="SimSun" w:eastAsia="SimSun" w:cs="SimSun"/>
                <w:spacing w:val="9"/>
              </w:rPr>
              <w:t>、</w:t>
            </w:r>
            <w:r>
              <w:rPr>
                <w:rFonts w:ascii="SimSun" w:hAnsi="SimSun" w:eastAsia="SimSun" w:cs="SimSun"/>
                <w:spacing w:val="-60"/>
              </w:rPr>
              <w:t xml:space="preserve"> </w:t>
            </w:r>
            <w:r>
              <w:rPr>
                <w:rFonts w:ascii="SimSun" w:hAnsi="SimSun" w:eastAsia="SimSun" w:cs="SimSun"/>
                <w:spacing w:val="9"/>
              </w:rPr>
              <w:t>西南风</w:t>
            </w:r>
            <w:r>
              <w:rPr>
                <w:rFonts w:ascii="SimSun" w:hAnsi="SimSun" w:eastAsia="SimSun" w:cs="SimSun"/>
                <w:spacing w:val="-53"/>
              </w:rPr>
              <w:t xml:space="preserve"> </w:t>
            </w:r>
            <w:r>
              <w:rPr>
                <w:rFonts w:ascii="SimSun" w:hAnsi="SimSun" w:eastAsia="SimSun" w:cs="SimSun"/>
                <w:spacing w:val="9"/>
              </w:rPr>
              <w:t>，风速 </w:t>
            </w:r>
            <w:r>
              <w:rPr>
                <w:spacing w:val="9"/>
              </w:rPr>
              <w:t>1.</w:t>
            </w:r>
            <w:r>
              <w:rPr>
                <w:spacing w:val="-27"/>
              </w:rPr>
              <w:t xml:space="preserve"> </w:t>
            </w:r>
            <w:r>
              <w:rPr>
                <w:spacing w:val="9"/>
              </w:rPr>
              <w:t>8m/s</w:t>
            </w:r>
            <w:r>
              <w:rPr>
                <w:rFonts w:ascii="SimSun" w:hAnsi="SimSun" w:eastAsia="SimSun" w:cs="SimSun"/>
                <w:spacing w:val="9"/>
              </w:rPr>
              <w:t>。</w:t>
            </w:r>
          </w:p>
        </w:tc>
      </w:tr>
    </w:tbl>
    <w:p>
      <w:pPr>
        <w:ind w:left="116"/>
        <w:spacing w:before="143"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4.2.5.5  </w:t>
      </w:r>
      <w:r>
        <w:rPr>
          <w:rFonts w:ascii="SimHei" w:hAnsi="SimHei" w:eastAsia="SimHei" w:cs="SimHei"/>
          <w:sz w:val="24"/>
          <w:szCs w:val="24"/>
          <w:b/>
          <w:bCs/>
          <w:spacing w:val="-2"/>
        </w:rPr>
        <w:t>声环境质量评价</w:t>
      </w:r>
    </w:p>
    <w:p>
      <w:pPr>
        <w:ind w:left="120" w:right="46" w:firstLine="474"/>
        <w:spacing w:before="150" w:line="337" w:lineRule="auto"/>
        <w:jc w:val="both"/>
        <w:rPr>
          <w:rFonts w:ascii="SimSun" w:hAnsi="SimSun" w:eastAsia="SimSun" w:cs="SimSun"/>
          <w:sz w:val="24"/>
          <w:szCs w:val="24"/>
        </w:rPr>
      </w:pPr>
      <w:r>
        <w:rPr>
          <w:rFonts w:ascii="Times New Roman" w:hAnsi="Times New Roman" w:eastAsia="Times New Roman" w:cs="Times New Roman"/>
          <w:sz w:val="24"/>
          <w:szCs w:val="24"/>
          <w:spacing w:val="-3"/>
        </w:rPr>
        <w:t>2025 </w:t>
      </w:r>
      <w:r>
        <w:rPr>
          <w:rFonts w:ascii="SimSun" w:hAnsi="SimSun" w:eastAsia="SimSun" w:cs="SimSun"/>
          <w:sz w:val="24"/>
          <w:szCs w:val="24"/>
          <w:spacing w:val="-3"/>
        </w:rPr>
        <w:t>年</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月监测结果表明，各厂界各监测点噪声值昼间在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46.5~48.6dB</w:t>
      </w:r>
      <w:r>
        <w:rPr>
          <w:rFonts w:ascii="SimSun" w:hAnsi="SimSun" w:eastAsia="SimSun" w:cs="SimSun"/>
          <w:sz w:val="24"/>
          <w:szCs w:val="24"/>
          <w:spacing w:val="-3"/>
        </w:rPr>
        <w:t>（</w:t>
      </w:r>
      <w:r>
        <w:rPr>
          <w:rFonts w:ascii="Times New Roman" w:hAnsi="Times New Roman" w:eastAsia="Times New Roman" w:cs="Times New Roman"/>
          <w:sz w:val="24"/>
          <w:szCs w:val="24"/>
          <w:spacing w:val="-3"/>
        </w:rPr>
        <w:t>A</w:t>
      </w:r>
      <w:r>
        <w:rPr>
          <w:rFonts w:ascii="SimSun" w:hAnsi="SimSun" w:eastAsia="SimSun" w:cs="SimSun"/>
          <w:sz w:val="24"/>
          <w:szCs w:val="24"/>
          <w:spacing w:val="-3"/>
        </w:rPr>
        <w:t>）之间，</w:t>
      </w:r>
      <w:r>
        <w:rPr>
          <w:rFonts w:ascii="SimSun" w:hAnsi="SimSun" w:eastAsia="SimSun" w:cs="SimSun"/>
          <w:sz w:val="24"/>
          <w:szCs w:val="24"/>
          <w:spacing w:val="2"/>
        </w:rPr>
        <w:t>噪声值夜间在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39.5~43.7</w:t>
      </w:r>
      <w:r>
        <w:rPr>
          <w:rFonts w:ascii="Times New Roman" w:hAnsi="Times New Roman" w:eastAsia="Times New Roman" w:cs="Times New Roman"/>
          <w:sz w:val="24"/>
          <w:szCs w:val="24"/>
        </w:rPr>
        <w:t>dB</w:t>
      </w:r>
      <w:r>
        <w:rPr>
          <w:rFonts w:ascii="Times New Roman" w:hAnsi="Times New Roman" w:eastAsia="Times New Roman" w:cs="Times New Roman"/>
          <w:sz w:val="24"/>
          <w:szCs w:val="24"/>
          <w:spacing w:val="2"/>
        </w:rPr>
        <w:t>(A)</w:t>
      </w:r>
      <w:r>
        <w:rPr>
          <w:rFonts w:ascii="SimSun" w:hAnsi="SimSun" w:eastAsia="SimSun" w:cs="SimSun"/>
          <w:sz w:val="24"/>
          <w:szCs w:val="24"/>
          <w:spacing w:val="2"/>
        </w:rPr>
        <w:t>之间，满足《声环境</w:t>
      </w:r>
      <w:r>
        <w:rPr>
          <w:rFonts w:ascii="SimSun" w:hAnsi="SimSun" w:eastAsia="SimSun" w:cs="SimSun"/>
          <w:sz w:val="24"/>
          <w:szCs w:val="24"/>
          <w:spacing w:val="1"/>
        </w:rPr>
        <w:t>质量标准》（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3096-2008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1"/>
        </w:rPr>
        <w:t>类区</w:t>
      </w:r>
      <w:r>
        <w:rPr>
          <w:rFonts w:ascii="SimSun" w:hAnsi="SimSun" w:eastAsia="SimSun" w:cs="SimSun"/>
          <w:sz w:val="24"/>
          <w:szCs w:val="24"/>
          <w:spacing w:val="-1"/>
        </w:rPr>
        <w:t>标准要求，区域声环境质量较好。</w:t>
      </w:r>
    </w:p>
    <w:p>
      <w:pPr>
        <w:ind w:left="117"/>
        <w:spacing w:before="10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4.2.6  </w:t>
      </w:r>
      <w:r>
        <w:rPr>
          <w:rFonts w:ascii="SimHei" w:hAnsi="SimHei" w:eastAsia="SimHei" w:cs="SimHei"/>
          <w:sz w:val="28"/>
          <w:szCs w:val="28"/>
          <w:b/>
          <w:bCs/>
          <w:spacing w:val="-2"/>
        </w:rPr>
        <w:t>土壤环境质量现状监测与评价</w:t>
      </w:r>
    </w:p>
    <w:p>
      <w:pPr>
        <w:ind w:left="116"/>
        <w:spacing w:before="201"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4.2.6.1  </w:t>
      </w:r>
      <w:r>
        <w:rPr>
          <w:rFonts w:ascii="SimHei" w:hAnsi="SimHei" w:eastAsia="SimHei" w:cs="SimHei"/>
          <w:sz w:val="24"/>
          <w:szCs w:val="24"/>
          <w:b/>
          <w:bCs/>
          <w:spacing w:val="-2"/>
        </w:rPr>
        <w:t>土壤环境质量现状调查</w:t>
      </w:r>
    </w:p>
    <w:p>
      <w:pPr>
        <w:ind w:left="618"/>
        <w:spacing w:before="159"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SimSun" w:hAnsi="SimSun" w:eastAsia="SimSun" w:cs="SimSun"/>
          <w:sz w:val="24"/>
          <w:szCs w:val="24"/>
          <w:spacing w:val="-4"/>
        </w:rPr>
        <w:t>煤矿土壤类型</w:t>
      </w:r>
    </w:p>
    <w:p>
      <w:pPr>
        <w:ind w:left="119" w:right="112" w:firstLine="480"/>
        <w:spacing w:before="158" w:line="338" w:lineRule="auto"/>
        <w:rPr>
          <w:rFonts w:ascii="SimSun" w:hAnsi="SimSun" w:eastAsia="SimSun" w:cs="SimSun"/>
          <w:sz w:val="24"/>
          <w:szCs w:val="24"/>
        </w:rPr>
      </w:pPr>
      <w:r>
        <w:rPr>
          <w:rFonts w:ascii="SimSun" w:hAnsi="SimSun" w:eastAsia="SimSun" w:cs="SimSun"/>
          <w:sz w:val="24"/>
          <w:szCs w:val="24"/>
          <w:spacing w:val="-2"/>
        </w:rPr>
        <w:t>煤矿矿田范围内主要是草甸土、沼泽土和栗钙土。成土母质为冲积湖积物和坡积洪</w:t>
      </w:r>
      <w:r>
        <w:rPr>
          <w:rFonts w:ascii="SimSun" w:hAnsi="SimSun" w:eastAsia="SimSun" w:cs="SimSun"/>
          <w:sz w:val="24"/>
          <w:szCs w:val="24"/>
          <w:spacing w:val="1"/>
        </w:rPr>
        <w:t>积物。地下水位多</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米。</w:t>
      </w:r>
      <w:r>
        <w:rPr>
          <w:rFonts w:ascii="SimSun" w:hAnsi="SimSun" w:eastAsia="SimSun" w:cs="SimSun"/>
          <w:sz w:val="24"/>
          <w:szCs w:val="24"/>
          <w:spacing w:val="-71"/>
        </w:rPr>
        <w:t xml:space="preserve"> </w:t>
      </w:r>
      <w:r>
        <w:rPr>
          <w:rFonts w:ascii="SimSun" w:hAnsi="SimSun" w:eastAsia="SimSun" w:cs="SimSun"/>
          <w:sz w:val="24"/>
          <w:szCs w:val="24"/>
          <w:spacing w:val="1"/>
        </w:rPr>
        <w:t>自然植被以草甸草本植物为主。</w:t>
      </w:r>
      <w:r>
        <w:rPr>
          <w:rFonts w:ascii="SimSun" w:hAnsi="SimSun" w:eastAsia="SimSun" w:cs="SimSun"/>
          <w:sz w:val="24"/>
          <w:szCs w:val="24"/>
        </w:rPr>
        <w:t>由于植被茂盛，归还土壤</w:t>
      </w:r>
      <w:r>
        <w:rPr>
          <w:rFonts w:ascii="SimSun" w:hAnsi="SimSun" w:eastAsia="SimSun" w:cs="SimSun"/>
          <w:sz w:val="24"/>
          <w:szCs w:val="24"/>
          <w:spacing w:val="-1"/>
        </w:rPr>
        <w:t>的生物量较大，微生物分解活动较弱，土壤中腐殖质易积聚，厚度一般在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20-50 </w:t>
      </w:r>
      <w:r>
        <w:rPr>
          <w:rFonts w:ascii="SimSun" w:hAnsi="SimSun" w:eastAsia="SimSun" w:cs="SimSun"/>
          <w:sz w:val="24"/>
          <w:szCs w:val="24"/>
          <w:spacing w:val="-1"/>
        </w:rPr>
        <w:t>厘米左</w:t>
      </w:r>
      <w:r>
        <w:rPr>
          <w:rFonts w:ascii="SimSun" w:hAnsi="SimSun" w:eastAsia="SimSun" w:cs="SimSun"/>
          <w:sz w:val="24"/>
          <w:szCs w:val="24"/>
          <w:spacing w:val="-1"/>
        </w:rPr>
        <w:t>右，团粒或小团块状结构。</w:t>
      </w:r>
    </w:p>
    <w:p>
      <w:pPr>
        <w:ind w:left="595"/>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、煤矿土壤理化特性调查</w:t>
      </w:r>
    </w:p>
    <w:p>
      <w:pPr>
        <w:ind w:left="598"/>
        <w:spacing w:before="155" w:line="219" w:lineRule="auto"/>
        <w:rPr>
          <w:rFonts w:ascii="SimSun" w:hAnsi="SimSun" w:eastAsia="SimSun" w:cs="SimSun"/>
          <w:sz w:val="24"/>
          <w:szCs w:val="24"/>
        </w:rPr>
      </w:pPr>
      <w:r>
        <w:rPr>
          <w:rFonts w:ascii="SimSun" w:hAnsi="SimSun" w:eastAsia="SimSun" w:cs="SimSun"/>
          <w:sz w:val="24"/>
          <w:szCs w:val="24"/>
          <w:spacing w:val="-1"/>
        </w:rPr>
        <w:t>矿区土壤理化特性调查情况见表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4-2-34</w:t>
      </w:r>
      <w:r>
        <w:rPr>
          <w:rFonts w:ascii="SimSun" w:hAnsi="SimSun" w:eastAsia="SimSun" w:cs="SimSun"/>
          <w:sz w:val="24"/>
          <w:szCs w:val="24"/>
          <w:spacing w:val="-1"/>
        </w:rPr>
        <w:t>。</w:t>
      </w:r>
    </w:p>
    <w:p>
      <w:pPr>
        <w:ind w:left="3333"/>
        <w:spacing w:before="283" w:line="222" w:lineRule="auto"/>
        <w:rPr>
          <w:rFonts w:ascii="SimHei" w:hAnsi="SimHei" w:eastAsia="SimHei" w:cs="SimHei"/>
          <w:sz w:val="24"/>
          <w:szCs w:val="24"/>
        </w:rPr>
      </w:pPr>
      <w:r>
        <w:rPr>
          <w:rFonts w:ascii="SimHei" w:hAnsi="SimHei" w:eastAsia="SimHei" w:cs="SimHei"/>
          <w:sz w:val="24"/>
          <w:szCs w:val="24"/>
          <w:spacing w:val="-1"/>
        </w:rPr>
        <w:t>矿区土壤理化特性调查表</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97"/>
        <w:gridCol w:w="1888"/>
        <w:gridCol w:w="2178"/>
        <w:gridCol w:w="2468"/>
        <w:gridCol w:w="1159"/>
      </w:tblGrid>
      <w:tr>
        <w:trPr>
          <w:trHeight w:val="335" w:hRule="atLeast"/>
        </w:trPr>
        <w:tc>
          <w:tcPr>
            <w:tcW w:w="1597" w:type="dxa"/>
            <w:vAlign w:val="top"/>
          </w:tcPr>
          <w:p>
            <w:pPr>
              <w:ind w:left="604"/>
              <w:spacing w:before="60" w:line="229" w:lineRule="auto"/>
              <w:rPr>
                <w:rFonts w:ascii="SimSun" w:hAnsi="SimSun" w:eastAsia="SimSun" w:cs="SimSun"/>
                <w:sz w:val="20"/>
                <w:szCs w:val="20"/>
              </w:rPr>
            </w:pPr>
            <w:r>
              <w:rPr>
                <w:rFonts w:ascii="SimSun" w:hAnsi="SimSun" w:eastAsia="SimSun" w:cs="SimSun"/>
                <w:sz w:val="20"/>
                <w:szCs w:val="20"/>
                <w:spacing w:val="-1"/>
              </w:rPr>
              <w:t>点号</w:t>
            </w:r>
          </w:p>
        </w:tc>
        <w:tc>
          <w:tcPr>
            <w:tcW w:w="1888" w:type="dxa"/>
            <w:vAlign w:val="top"/>
          </w:tcPr>
          <w:p>
            <w:pPr>
              <w:pStyle w:val="TableText"/>
              <w:ind w:left="331"/>
              <w:spacing w:before="59" w:line="228" w:lineRule="auto"/>
              <w:rPr>
                <w:rFonts w:ascii="SimSun" w:hAnsi="SimSun" w:eastAsia="SimSun" w:cs="SimSun"/>
              </w:rPr>
            </w:pPr>
            <w:r>
              <w:rPr>
                <w:spacing w:val="4"/>
              </w:rPr>
              <w:t>T13</w:t>
            </w:r>
            <w:r>
              <w:rPr>
                <w:spacing w:val="19"/>
              </w:rPr>
              <w:t xml:space="preserve"> </w:t>
            </w:r>
            <w:r>
              <w:rPr>
                <w:rFonts w:ascii="SimSun" w:hAnsi="SimSun" w:eastAsia="SimSun" w:cs="SimSun"/>
                <w:spacing w:val="4"/>
              </w:rPr>
              <w:t>露天矿部</w:t>
            </w:r>
          </w:p>
        </w:tc>
        <w:tc>
          <w:tcPr>
            <w:tcW w:w="2178" w:type="dxa"/>
            <w:vAlign w:val="top"/>
          </w:tcPr>
          <w:p>
            <w:pPr>
              <w:pStyle w:val="TableText"/>
              <w:ind w:left="212"/>
              <w:spacing w:before="59" w:line="228" w:lineRule="auto"/>
              <w:rPr/>
            </w:pPr>
            <w:r>
              <w:rPr>
                <w:spacing w:val="5"/>
              </w:rPr>
              <w:t>T14 </w:t>
            </w:r>
            <w:r>
              <w:rPr>
                <w:rFonts w:ascii="SimSun" w:hAnsi="SimSun" w:eastAsia="SimSun" w:cs="SimSun"/>
                <w:spacing w:val="5"/>
              </w:rPr>
              <w:t>北矿界内</w:t>
            </w:r>
            <w:r>
              <w:rPr>
                <w:rFonts w:ascii="SimSun" w:hAnsi="SimSun" w:eastAsia="SimSun" w:cs="SimSun"/>
                <w:spacing w:val="-35"/>
              </w:rPr>
              <w:t xml:space="preserve"> </w:t>
            </w:r>
            <w:r>
              <w:rPr>
                <w:spacing w:val="5"/>
              </w:rPr>
              <w:t>200m</w:t>
            </w:r>
          </w:p>
        </w:tc>
        <w:tc>
          <w:tcPr>
            <w:tcW w:w="2468" w:type="dxa"/>
            <w:vAlign w:val="top"/>
          </w:tcPr>
          <w:p>
            <w:pPr>
              <w:pStyle w:val="TableText"/>
              <w:ind w:left="201"/>
              <w:spacing w:before="59" w:line="228" w:lineRule="auto"/>
              <w:rPr/>
            </w:pPr>
            <w:r>
              <w:rPr>
                <w:spacing w:val="4"/>
              </w:rPr>
              <w:t>T19</w:t>
            </w:r>
            <w:r>
              <w:rPr>
                <w:spacing w:val="18"/>
              </w:rPr>
              <w:t xml:space="preserve"> </w:t>
            </w:r>
            <w:r>
              <w:rPr>
                <w:rFonts w:ascii="SimSun" w:hAnsi="SimSun" w:eastAsia="SimSun" w:cs="SimSun"/>
                <w:spacing w:val="4"/>
              </w:rPr>
              <w:t>露天矿界西侧</w:t>
            </w:r>
            <w:r>
              <w:rPr>
                <w:rFonts w:ascii="SimSun" w:hAnsi="SimSun" w:eastAsia="SimSun" w:cs="SimSun"/>
                <w:spacing w:val="-23"/>
              </w:rPr>
              <w:t xml:space="preserve"> </w:t>
            </w:r>
            <w:r>
              <w:rPr>
                <w:spacing w:val="4"/>
              </w:rPr>
              <w:t>1</w:t>
            </w:r>
            <w:r>
              <w:rPr/>
              <w:t>km</w:t>
            </w:r>
          </w:p>
        </w:tc>
        <w:tc>
          <w:tcPr>
            <w:tcW w:w="1159" w:type="dxa"/>
            <w:vAlign w:val="top"/>
            <w:vMerge w:val="restart"/>
            <w:tcBorders>
              <w:bottom w:val="nil"/>
            </w:tcBorders>
          </w:tcPr>
          <w:p>
            <w:pPr>
              <w:spacing w:line="248" w:lineRule="auto"/>
              <w:rPr>
                <w:rFonts w:ascii="Arial"/>
                <w:sz w:val="21"/>
              </w:rPr>
            </w:pPr>
            <w:r/>
          </w:p>
          <w:p>
            <w:pPr>
              <w:spacing w:line="248" w:lineRule="auto"/>
              <w:rPr>
                <w:rFonts w:ascii="Arial"/>
                <w:sz w:val="21"/>
              </w:rPr>
            </w:pPr>
            <w:r/>
          </w:p>
          <w:p>
            <w:pPr>
              <w:ind w:left="377"/>
              <w:spacing w:before="65" w:line="228" w:lineRule="auto"/>
              <w:rPr>
                <w:rFonts w:ascii="SimSun" w:hAnsi="SimSun" w:eastAsia="SimSun" w:cs="SimSun"/>
                <w:sz w:val="20"/>
                <w:szCs w:val="20"/>
              </w:rPr>
            </w:pPr>
            <w:r>
              <w:rPr>
                <w:rFonts w:ascii="SimSun" w:hAnsi="SimSun" w:eastAsia="SimSun" w:cs="SimSun"/>
                <w:sz w:val="20"/>
                <w:szCs w:val="20"/>
                <w:spacing w:val="3"/>
              </w:rPr>
              <w:t>单位</w:t>
            </w:r>
          </w:p>
        </w:tc>
      </w:tr>
      <w:tr>
        <w:trPr>
          <w:trHeight w:val="330" w:hRule="atLeast"/>
        </w:trPr>
        <w:tc>
          <w:tcPr>
            <w:tcW w:w="1597" w:type="dxa"/>
            <w:vAlign w:val="top"/>
          </w:tcPr>
          <w:p>
            <w:pPr>
              <w:ind w:left="595"/>
              <w:spacing w:before="56" w:line="228" w:lineRule="auto"/>
              <w:rPr>
                <w:rFonts w:ascii="SimSun" w:hAnsi="SimSun" w:eastAsia="SimSun" w:cs="SimSun"/>
                <w:sz w:val="20"/>
                <w:szCs w:val="20"/>
              </w:rPr>
            </w:pPr>
            <w:r>
              <w:rPr>
                <w:rFonts w:ascii="SimSun" w:hAnsi="SimSun" w:eastAsia="SimSun" w:cs="SimSun"/>
                <w:sz w:val="20"/>
                <w:szCs w:val="20"/>
                <w:spacing w:val="3"/>
              </w:rPr>
              <w:t>经度</w:t>
            </w:r>
          </w:p>
        </w:tc>
        <w:tc>
          <w:tcPr>
            <w:tcW w:w="1888" w:type="dxa"/>
            <w:vAlign w:val="top"/>
          </w:tcPr>
          <w:p>
            <w:pPr>
              <w:pStyle w:val="TableText"/>
              <w:ind w:left="318"/>
              <w:spacing w:before="18" w:line="281" w:lineRule="exact"/>
              <w:rPr/>
            </w:pPr>
            <w:r>
              <w:rPr>
                <w:spacing w:val="4"/>
                <w:position w:val="2"/>
              </w:rPr>
              <w:t>44˚57′40.94″N</w:t>
            </w:r>
          </w:p>
        </w:tc>
        <w:tc>
          <w:tcPr>
            <w:tcW w:w="2178" w:type="dxa"/>
            <w:vAlign w:val="top"/>
          </w:tcPr>
          <w:p>
            <w:pPr>
              <w:pStyle w:val="TableText"/>
              <w:ind w:left="518"/>
              <w:spacing w:before="18" w:line="281" w:lineRule="exact"/>
              <w:rPr/>
            </w:pPr>
            <w:r>
              <w:rPr>
                <w:position w:val="2"/>
              </w:rPr>
              <w:t>45˚0</w:t>
            </w:r>
            <w:r>
              <w:rPr>
                <w:spacing w:val="-28"/>
                <w:position w:val="2"/>
              </w:rPr>
              <w:t xml:space="preserve"> </w:t>
            </w:r>
            <w:r>
              <w:rPr>
                <w:position w:val="2"/>
              </w:rPr>
              <w:t>′</w:t>
            </w:r>
            <w:r>
              <w:rPr>
                <w:spacing w:val="-25"/>
                <w:position w:val="2"/>
              </w:rPr>
              <w:t xml:space="preserve"> </w:t>
            </w:r>
            <w:r>
              <w:rPr>
                <w:position w:val="2"/>
              </w:rPr>
              <w:t>16.73″N</w:t>
            </w:r>
          </w:p>
        </w:tc>
        <w:tc>
          <w:tcPr>
            <w:tcW w:w="2468" w:type="dxa"/>
            <w:vAlign w:val="top"/>
          </w:tcPr>
          <w:p>
            <w:pPr>
              <w:pStyle w:val="TableText"/>
              <w:ind w:left="716"/>
              <w:spacing w:before="18" w:line="281" w:lineRule="exact"/>
              <w:rPr/>
            </w:pPr>
            <w:r>
              <w:rPr>
                <w:spacing w:val="4"/>
                <w:position w:val="2"/>
              </w:rPr>
              <w:t>44˚59′50.52″N</w:t>
            </w:r>
          </w:p>
        </w:tc>
        <w:tc>
          <w:tcPr>
            <w:tcW w:w="1159" w:type="dxa"/>
            <w:vAlign w:val="top"/>
            <w:vMerge w:val="continue"/>
            <w:tcBorders>
              <w:top w:val="nil"/>
              <w:bottom w:val="nil"/>
            </w:tcBorders>
          </w:tcPr>
          <w:p>
            <w:pPr>
              <w:rPr>
                <w:rFonts w:ascii="Arial"/>
                <w:sz w:val="21"/>
              </w:rPr>
            </w:pPr>
            <w:r/>
          </w:p>
        </w:tc>
      </w:tr>
      <w:tr>
        <w:trPr>
          <w:trHeight w:val="331" w:hRule="atLeast"/>
        </w:trPr>
        <w:tc>
          <w:tcPr>
            <w:tcW w:w="1597" w:type="dxa"/>
            <w:vAlign w:val="top"/>
          </w:tcPr>
          <w:p>
            <w:pPr>
              <w:ind w:left="594"/>
              <w:spacing w:before="57" w:line="228" w:lineRule="auto"/>
              <w:rPr>
                <w:rFonts w:ascii="SimSun" w:hAnsi="SimSun" w:eastAsia="SimSun" w:cs="SimSun"/>
                <w:sz w:val="20"/>
                <w:szCs w:val="20"/>
              </w:rPr>
            </w:pPr>
            <w:r>
              <w:rPr>
                <w:rFonts w:ascii="SimSun" w:hAnsi="SimSun" w:eastAsia="SimSun" w:cs="SimSun"/>
                <w:sz w:val="20"/>
                <w:szCs w:val="20"/>
                <w:spacing w:val="4"/>
              </w:rPr>
              <w:t>纬度</w:t>
            </w:r>
          </w:p>
        </w:tc>
        <w:tc>
          <w:tcPr>
            <w:tcW w:w="1888" w:type="dxa"/>
            <w:vAlign w:val="top"/>
          </w:tcPr>
          <w:p>
            <w:pPr>
              <w:pStyle w:val="TableText"/>
              <w:ind w:left="296"/>
              <w:spacing w:before="19" w:line="281" w:lineRule="exact"/>
              <w:rPr/>
            </w:pPr>
            <w:r>
              <w:rPr>
                <w:spacing w:val="2"/>
                <w:position w:val="2"/>
              </w:rPr>
              <w:t>118˚39′34.38″E</w:t>
            </w:r>
          </w:p>
        </w:tc>
        <w:tc>
          <w:tcPr>
            <w:tcW w:w="2178" w:type="dxa"/>
            <w:vAlign w:val="top"/>
          </w:tcPr>
          <w:p>
            <w:pPr>
              <w:pStyle w:val="TableText"/>
              <w:ind w:left="496"/>
              <w:spacing w:before="19" w:line="281" w:lineRule="exact"/>
              <w:rPr/>
            </w:pPr>
            <w:r>
              <w:rPr>
                <w:spacing w:val="2"/>
                <w:position w:val="2"/>
              </w:rPr>
              <w:t>118˚40′0.68″E</w:t>
            </w:r>
          </w:p>
        </w:tc>
        <w:tc>
          <w:tcPr>
            <w:tcW w:w="2468" w:type="dxa"/>
            <w:vAlign w:val="top"/>
          </w:tcPr>
          <w:p>
            <w:pPr>
              <w:pStyle w:val="TableText"/>
              <w:ind w:left="694"/>
              <w:spacing w:before="19" w:line="281" w:lineRule="exact"/>
              <w:rPr/>
            </w:pPr>
            <w:r>
              <w:rPr>
                <w:spacing w:val="2"/>
                <w:position w:val="2"/>
              </w:rPr>
              <w:t>118˚37′32.84″E</w:t>
            </w:r>
          </w:p>
        </w:tc>
        <w:tc>
          <w:tcPr>
            <w:tcW w:w="1159" w:type="dxa"/>
            <w:vAlign w:val="top"/>
            <w:vMerge w:val="continue"/>
            <w:tcBorders>
              <w:top w:val="nil"/>
              <w:bottom w:val="nil"/>
            </w:tcBorders>
          </w:tcPr>
          <w:p>
            <w:pPr>
              <w:rPr>
                <w:rFonts w:ascii="Arial"/>
                <w:sz w:val="21"/>
              </w:rPr>
            </w:pPr>
            <w:r/>
          </w:p>
        </w:tc>
      </w:tr>
      <w:tr>
        <w:trPr>
          <w:trHeight w:val="330" w:hRule="atLeast"/>
        </w:trPr>
        <w:tc>
          <w:tcPr>
            <w:tcW w:w="1597" w:type="dxa"/>
            <w:vAlign w:val="top"/>
          </w:tcPr>
          <w:p>
            <w:pPr>
              <w:ind w:left="593"/>
              <w:spacing w:before="56" w:line="228" w:lineRule="auto"/>
              <w:rPr>
                <w:rFonts w:ascii="SimSun" w:hAnsi="SimSun" w:eastAsia="SimSun" w:cs="SimSun"/>
                <w:sz w:val="20"/>
                <w:szCs w:val="20"/>
              </w:rPr>
            </w:pPr>
            <w:r>
              <w:rPr>
                <w:rFonts w:ascii="SimSun" w:hAnsi="SimSun" w:eastAsia="SimSun" w:cs="SimSun"/>
                <w:sz w:val="20"/>
                <w:szCs w:val="20"/>
                <w:spacing w:val="4"/>
              </w:rPr>
              <w:t>层次</w:t>
            </w:r>
          </w:p>
        </w:tc>
        <w:tc>
          <w:tcPr>
            <w:tcW w:w="6534" w:type="dxa"/>
            <w:vAlign w:val="top"/>
            <w:gridSpan w:val="3"/>
          </w:tcPr>
          <w:p>
            <w:pPr>
              <w:pStyle w:val="TableText"/>
              <w:ind w:left="2446"/>
              <w:spacing w:before="56" w:line="228"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1159" w:type="dxa"/>
            <w:vAlign w:val="top"/>
            <w:vMerge w:val="continue"/>
            <w:tcBorders>
              <w:top w:val="nil"/>
            </w:tcBorders>
          </w:tcPr>
          <w:p>
            <w:pPr>
              <w:rPr>
                <w:rFonts w:ascii="Arial"/>
                <w:sz w:val="21"/>
              </w:rPr>
            </w:pPr>
            <w:r/>
          </w:p>
        </w:tc>
      </w:tr>
      <w:tr>
        <w:trPr>
          <w:trHeight w:val="331" w:hRule="atLeast"/>
        </w:trPr>
        <w:tc>
          <w:tcPr>
            <w:tcW w:w="1597" w:type="dxa"/>
            <w:vAlign w:val="top"/>
          </w:tcPr>
          <w:p>
            <w:pPr>
              <w:ind w:left="592"/>
              <w:spacing w:before="58" w:line="229" w:lineRule="auto"/>
              <w:rPr>
                <w:rFonts w:ascii="SimSun" w:hAnsi="SimSun" w:eastAsia="SimSun" w:cs="SimSun"/>
                <w:sz w:val="20"/>
                <w:szCs w:val="20"/>
              </w:rPr>
            </w:pPr>
            <w:r>
              <w:rPr>
                <w:rFonts w:ascii="SimSun" w:hAnsi="SimSun" w:eastAsia="SimSun" w:cs="SimSun"/>
                <w:sz w:val="20"/>
                <w:szCs w:val="20"/>
                <w:spacing w:val="5"/>
              </w:rPr>
              <w:t>颜色</w:t>
            </w:r>
          </w:p>
        </w:tc>
        <w:tc>
          <w:tcPr>
            <w:tcW w:w="1888" w:type="dxa"/>
            <w:vAlign w:val="top"/>
          </w:tcPr>
          <w:p>
            <w:pPr>
              <w:ind w:left="739"/>
              <w:spacing w:before="57" w:line="228" w:lineRule="auto"/>
              <w:rPr>
                <w:rFonts w:ascii="SimSun" w:hAnsi="SimSun" w:eastAsia="SimSun" w:cs="SimSun"/>
                <w:sz w:val="20"/>
                <w:szCs w:val="20"/>
              </w:rPr>
            </w:pPr>
            <w:r>
              <w:rPr>
                <w:rFonts w:ascii="SimSun" w:hAnsi="SimSun" w:eastAsia="SimSun" w:cs="SimSun"/>
                <w:sz w:val="20"/>
                <w:szCs w:val="20"/>
                <w:spacing w:val="3"/>
              </w:rPr>
              <w:t>浅棕</w:t>
            </w:r>
          </w:p>
        </w:tc>
        <w:tc>
          <w:tcPr>
            <w:tcW w:w="2178" w:type="dxa"/>
            <w:vAlign w:val="top"/>
          </w:tcPr>
          <w:p>
            <w:pPr>
              <w:ind w:left="887"/>
              <w:spacing w:before="57" w:line="228" w:lineRule="auto"/>
              <w:rPr>
                <w:rFonts w:ascii="SimSun" w:hAnsi="SimSun" w:eastAsia="SimSun" w:cs="SimSun"/>
                <w:sz w:val="20"/>
                <w:szCs w:val="20"/>
              </w:rPr>
            </w:pPr>
            <w:r>
              <w:rPr>
                <w:rFonts w:ascii="SimSun" w:hAnsi="SimSun" w:eastAsia="SimSun" w:cs="SimSun"/>
                <w:sz w:val="20"/>
                <w:szCs w:val="20"/>
                <w:spacing w:val="3"/>
              </w:rPr>
              <w:t>浅棕</w:t>
            </w:r>
          </w:p>
        </w:tc>
        <w:tc>
          <w:tcPr>
            <w:tcW w:w="2468" w:type="dxa"/>
            <w:vAlign w:val="top"/>
          </w:tcPr>
          <w:p>
            <w:pPr>
              <w:ind w:left="1034"/>
              <w:spacing w:before="57" w:line="228" w:lineRule="auto"/>
              <w:rPr>
                <w:rFonts w:ascii="SimSun" w:hAnsi="SimSun" w:eastAsia="SimSun" w:cs="SimSun"/>
                <w:sz w:val="20"/>
                <w:szCs w:val="20"/>
              </w:rPr>
            </w:pPr>
            <w:r>
              <w:rPr>
                <w:rFonts w:ascii="SimSun" w:hAnsi="SimSun" w:eastAsia="SimSun" w:cs="SimSun"/>
                <w:sz w:val="20"/>
                <w:szCs w:val="20"/>
                <w:spacing w:val="3"/>
              </w:rPr>
              <w:t>浅棕</w:t>
            </w:r>
          </w:p>
        </w:tc>
        <w:tc>
          <w:tcPr>
            <w:tcW w:w="1159" w:type="dxa"/>
            <w:vAlign w:val="top"/>
          </w:tcPr>
          <w:p>
            <w:pPr>
              <w:ind w:left="497"/>
              <w:spacing w:before="58" w:line="263" w:lineRule="exact"/>
              <w:rPr>
                <w:rFonts w:ascii="SimSun" w:hAnsi="SimSun" w:eastAsia="SimSun" w:cs="SimSun"/>
                <w:sz w:val="20"/>
                <w:szCs w:val="20"/>
              </w:rPr>
            </w:pPr>
            <w:r>
              <w:rPr>
                <w:rFonts w:ascii="SimSun" w:hAnsi="SimSun" w:eastAsia="SimSun" w:cs="SimSun"/>
                <w:sz w:val="20"/>
                <w:szCs w:val="20"/>
                <w:spacing w:val="24"/>
                <w:w w:val="131"/>
                <w:position w:val="1"/>
              </w:rPr>
              <w:t>-</w:t>
            </w:r>
          </w:p>
        </w:tc>
      </w:tr>
      <w:tr>
        <w:trPr>
          <w:trHeight w:val="331" w:hRule="atLeast"/>
        </w:trPr>
        <w:tc>
          <w:tcPr>
            <w:tcW w:w="1597" w:type="dxa"/>
            <w:vAlign w:val="top"/>
          </w:tcPr>
          <w:p>
            <w:pPr>
              <w:ind w:left="598"/>
              <w:spacing w:before="58" w:line="228" w:lineRule="auto"/>
              <w:rPr>
                <w:rFonts w:ascii="SimSun" w:hAnsi="SimSun" w:eastAsia="SimSun" w:cs="SimSun"/>
                <w:sz w:val="20"/>
                <w:szCs w:val="20"/>
              </w:rPr>
            </w:pPr>
            <w:r>
              <w:rPr>
                <w:rFonts w:ascii="SimSun" w:hAnsi="SimSun" w:eastAsia="SimSun" w:cs="SimSun"/>
                <w:sz w:val="20"/>
                <w:szCs w:val="20"/>
                <w:spacing w:val="2"/>
              </w:rPr>
              <w:t>结构</w:t>
            </w:r>
          </w:p>
        </w:tc>
        <w:tc>
          <w:tcPr>
            <w:tcW w:w="1888" w:type="dxa"/>
            <w:vAlign w:val="top"/>
          </w:tcPr>
          <w:p>
            <w:pPr>
              <w:ind w:left="735"/>
              <w:spacing w:before="58" w:line="228" w:lineRule="auto"/>
              <w:rPr>
                <w:rFonts w:ascii="SimSun" w:hAnsi="SimSun" w:eastAsia="SimSun" w:cs="SimSun"/>
                <w:sz w:val="20"/>
                <w:szCs w:val="20"/>
              </w:rPr>
            </w:pPr>
            <w:r>
              <w:rPr>
                <w:rFonts w:ascii="SimSun" w:hAnsi="SimSun" w:eastAsia="SimSun" w:cs="SimSun"/>
                <w:sz w:val="20"/>
                <w:szCs w:val="20"/>
                <w:spacing w:val="5"/>
              </w:rPr>
              <w:t>颗粒</w:t>
            </w:r>
          </w:p>
        </w:tc>
        <w:tc>
          <w:tcPr>
            <w:tcW w:w="2178" w:type="dxa"/>
            <w:vAlign w:val="top"/>
          </w:tcPr>
          <w:p>
            <w:pPr>
              <w:ind w:left="882"/>
              <w:spacing w:before="58" w:line="228" w:lineRule="auto"/>
              <w:rPr>
                <w:rFonts w:ascii="SimSun" w:hAnsi="SimSun" w:eastAsia="SimSun" w:cs="SimSun"/>
                <w:sz w:val="20"/>
                <w:szCs w:val="20"/>
              </w:rPr>
            </w:pPr>
            <w:r>
              <w:rPr>
                <w:rFonts w:ascii="SimSun" w:hAnsi="SimSun" w:eastAsia="SimSun" w:cs="SimSun"/>
                <w:sz w:val="20"/>
                <w:szCs w:val="20"/>
                <w:spacing w:val="5"/>
              </w:rPr>
              <w:t>颗粒</w:t>
            </w:r>
          </w:p>
        </w:tc>
        <w:tc>
          <w:tcPr>
            <w:tcW w:w="2468" w:type="dxa"/>
            <w:vAlign w:val="top"/>
          </w:tcPr>
          <w:p>
            <w:pPr>
              <w:ind w:left="1030"/>
              <w:spacing w:before="58" w:line="228" w:lineRule="auto"/>
              <w:rPr>
                <w:rFonts w:ascii="SimSun" w:hAnsi="SimSun" w:eastAsia="SimSun" w:cs="SimSun"/>
                <w:sz w:val="20"/>
                <w:szCs w:val="20"/>
              </w:rPr>
            </w:pPr>
            <w:r>
              <w:rPr>
                <w:rFonts w:ascii="SimSun" w:hAnsi="SimSun" w:eastAsia="SimSun" w:cs="SimSun"/>
                <w:sz w:val="20"/>
                <w:szCs w:val="20"/>
                <w:spacing w:val="5"/>
              </w:rPr>
              <w:t>颗粒</w:t>
            </w:r>
          </w:p>
        </w:tc>
        <w:tc>
          <w:tcPr>
            <w:tcW w:w="1159" w:type="dxa"/>
            <w:vAlign w:val="top"/>
          </w:tcPr>
          <w:p>
            <w:pPr>
              <w:ind w:left="497"/>
              <w:spacing w:before="58" w:line="263" w:lineRule="exact"/>
              <w:rPr>
                <w:rFonts w:ascii="SimSun" w:hAnsi="SimSun" w:eastAsia="SimSun" w:cs="SimSun"/>
                <w:sz w:val="20"/>
                <w:szCs w:val="20"/>
              </w:rPr>
            </w:pPr>
            <w:r>
              <w:rPr>
                <w:rFonts w:ascii="SimSun" w:hAnsi="SimSun" w:eastAsia="SimSun" w:cs="SimSun"/>
                <w:sz w:val="20"/>
                <w:szCs w:val="20"/>
                <w:spacing w:val="24"/>
                <w:w w:val="131"/>
                <w:position w:val="1"/>
              </w:rPr>
              <w:t>-</w:t>
            </w:r>
          </w:p>
        </w:tc>
      </w:tr>
      <w:tr>
        <w:trPr>
          <w:trHeight w:val="330" w:hRule="atLeast"/>
        </w:trPr>
        <w:tc>
          <w:tcPr>
            <w:tcW w:w="1597" w:type="dxa"/>
            <w:vAlign w:val="top"/>
          </w:tcPr>
          <w:p>
            <w:pPr>
              <w:ind w:left="594"/>
              <w:spacing w:before="58" w:line="228" w:lineRule="auto"/>
              <w:rPr>
                <w:rFonts w:ascii="SimSun" w:hAnsi="SimSun" w:eastAsia="SimSun" w:cs="SimSun"/>
                <w:sz w:val="20"/>
                <w:szCs w:val="20"/>
              </w:rPr>
            </w:pPr>
            <w:r>
              <w:rPr>
                <w:rFonts w:ascii="SimSun" w:hAnsi="SimSun" w:eastAsia="SimSun" w:cs="SimSun"/>
                <w:sz w:val="20"/>
                <w:szCs w:val="20"/>
                <w:spacing w:val="4"/>
              </w:rPr>
              <w:t>质地</w:t>
            </w:r>
          </w:p>
        </w:tc>
        <w:tc>
          <w:tcPr>
            <w:tcW w:w="1888" w:type="dxa"/>
            <w:vAlign w:val="top"/>
          </w:tcPr>
          <w:p>
            <w:pPr>
              <w:ind w:left="635"/>
              <w:spacing w:before="58" w:line="229" w:lineRule="auto"/>
              <w:rPr>
                <w:rFonts w:ascii="SimSun" w:hAnsi="SimSun" w:eastAsia="SimSun" w:cs="SimSun"/>
                <w:sz w:val="20"/>
                <w:szCs w:val="20"/>
              </w:rPr>
            </w:pPr>
            <w:r>
              <w:rPr>
                <w:rFonts w:ascii="SimSun" w:hAnsi="SimSun" w:eastAsia="SimSun" w:cs="SimSun"/>
                <w:sz w:val="20"/>
                <w:szCs w:val="20"/>
                <w:spacing w:val="6"/>
              </w:rPr>
              <w:t>沙壤土</w:t>
            </w:r>
          </w:p>
        </w:tc>
        <w:tc>
          <w:tcPr>
            <w:tcW w:w="2178" w:type="dxa"/>
            <w:vAlign w:val="top"/>
          </w:tcPr>
          <w:p>
            <w:pPr>
              <w:ind w:left="781"/>
              <w:spacing w:before="57" w:line="228" w:lineRule="auto"/>
              <w:rPr>
                <w:rFonts w:ascii="SimSun" w:hAnsi="SimSun" w:eastAsia="SimSun" w:cs="SimSun"/>
                <w:sz w:val="20"/>
                <w:szCs w:val="20"/>
              </w:rPr>
            </w:pPr>
            <w:r>
              <w:rPr>
                <w:rFonts w:ascii="SimSun" w:hAnsi="SimSun" w:eastAsia="SimSun" w:cs="SimSun"/>
                <w:sz w:val="20"/>
                <w:szCs w:val="20"/>
                <w:spacing w:val="6"/>
              </w:rPr>
              <w:t>轻壤土</w:t>
            </w:r>
          </w:p>
        </w:tc>
        <w:tc>
          <w:tcPr>
            <w:tcW w:w="2468" w:type="dxa"/>
            <w:vAlign w:val="top"/>
          </w:tcPr>
          <w:p>
            <w:pPr>
              <w:ind w:left="926"/>
              <w:spacing w:before="57" w:line="228" w:lineRule="auto"/>
              <w:rPr>
                <w:rFonts w:ascii="SimSun" w:hAnsi="SimSun" w:eastAsia="SimSun" w:cs="SimSun"/>
                <w:sz w:val="20"/>
                <w:szCs w:val="20"/>
              </w:rPr>
            </w:pPr>
            <w:r>
              <w:rPr>
                <w:rFonts w:ascii="SimSun" w:hAnsi="SimSun" w:eastAsia="SimSun" w:cs="SimSun"/>
                <w:sz w:val="20"/>
                <w:szCs w:val="20"/>
                <w:spacing w:val="6"/>
              </w:rPr>
              <w:t>轻壤土</w:t>
            </w:r>
          </w:p>
        </w:tc>
        <w:tc>
          <w:tcPr>
            <w:tcW w:w="1159" w:type="dxa"/>
            <w:vAlign w:val="top"/>
          </w:tcPr>
          <w:p>
            <w:pPr>
              <w:ind w:left="497"/>
              <w:spacing w:before="57" w:line="242" w:lineRule="auto"/>
              <w:rPr>
                <w:rFonts w:ascii="SimSun" w:hAnsi="SimSun" w:eastAsia="SimSun" w:cs="SimSun"/>
                <w:sz w:val="20"/>
                <w:szCs w:val="20"/>
              </w:rPr>
            </w:pPr>
            <w:r>
              <w:rPr>
                <w:rFonts w:ascii="SimSun" w:hAnsi="SimSun" w:eastAsia="SimSun" w:cs="SimSun"/>
                <w:sz w:val="20"/>
                <w:szCs w:val="20"/>
                <w:spacing w:val="24"/>
                <w:w w:val="131"/>
              </w:rPr>
              <w:t>-</w:t>
            </w:r>
          </w:p>
        </w:tc>
      </w:tr>
      <w:tr>
        <w:trPr>
          <w:trHeight w:val="331" w:hRule="atLeast"/>
        </w:trPr>
        <w:tc>
          <w:tcPr>
            <w:tcW w:w="1597" w:type="dxa"/>
            <w:vAlign w:val="top"/>
          </w:tcPr>
          <w:p>
            <w:pPr>
              <w:ind w:left="383"/>
              <w:spacing w:before="58" w:line="228" w:lineRule="auto"/>
              <w:rPr>
                <w:rFonts w:ascii="SimSun" w:hAnsi="SimSun" w:eastAsia="SimSun" w:cs="SimSun"/>
                <w:sz w:val="20"/>
                <w:szCs w:val="20"/>
              </w:rPr>
            </w:pPr>
            <w:r>
              <w:rPr>
                <w:rFonts w:ascii="SimSun" w:hAnsi="SimSun" w:eastAsia="SimSun" w:cs="SimSun"/>
                <w:sz w:val="20"/>
                <w:szCs w:val="20"/>
                <w:spacing w:val="7"/>
              </w:rPr>
              <w:t>砂砾含量</w:t>
            </w:r>
          </w:p>
        </w:tc>
        <w:tc>
          <w:tcPr>
            <w:tcW w:w="1888" w:type="dxa"/>
            <w:vAlign w:val="top"/>
          </w:tcPr>
          <w:p>
            <w:pPr>
              <w:pStyle w:val="TableText"/>
              <w:ind w:left="840"/>
              <w:spacing w:before="95" w:line="195" w:lineRule="auto"/>
              <w:rPr/>
            </w:pPr>
            <w:r>
              <w:rPr>
                <w:spacing w:val="2"/>
              </w:rPr>
              <w:t>20</w:t>
            </w:r>
          </w:p>
        </w:tc>
        <w:tc>
          <w:tcPr>
            <w:tcW w:w="2178" w:type="dxa"/>
            <w:vAlign w:val="top"/>
          </w:tcPr>
          <w:p>
            <w:pPr>
              <w:pStyle w:val="TableText"/>
              <w:ind w:left="985"/>
              <w:spacing w:before="95" w:line="195" w:lineRule="auto"/>
              <w:rPr/>
            </w:pPr>
            <w:r>
              <w:rPr>
                <w:spacing w:val="2"/>
              </w:rPr>
              <w:t>25</w:t>
            </w:r>
          </w:p>
        </w:tc>
        <w:tc>
          <w:tcPr>
            <w:tcW w:w="2468" w:type="dxa"/>
            <w:vAlign w:val="top"/>
          </w:tcPr>
          <w:p>
            <w:pPr>
              <w:pStyle w:val="TableText"/>
              <w:ind w:left="1130"/>
              <w:spacing w:before="95" w:line="195" w:lineRule="auto"/>
              <w:rPr/>
            </w:pPr>
            <w:r>
              <w:rPr>
                <w:spacing w:val="2"/>
              </w:rPr>
              <w:t>21</w:t>
            </w:r>
          </w:p>
        </w:tc>
        <w:tc>
          <w:tcPr>
            <w:tcW w:w="1159" w:type="dxa"/>
            <w:vAlign w:val="top"/>
          </w:tcPr>
          <w:p>
            <w:pPr>
              <w:pStyle w:val="TableText"/>
              <w:ind w:left="496"/>
              <w:spacing w:before="95" w:line="195" w:lineRule="auto"/>
              <w:rPr/>
            </w:pPr>
            <w:r>
              <w:rPr/>
              <w:t>%</w:t>
            </w:r>
          </w:p>
        </w:tc>
      </w:tr>
      <w:tr>
        <w:trPr>
          <w:trHeight w:val="331" w:hRule="atLeast"/>
        </w:trPr>
        <w:tc>
          <w:tcPr>
            <w:tcW w:w="1597" w:type="dxa"/>
            <w:vAlign w:val="top"/>
          </w:tcPr>
          <w:p>
            <w:pPr>
              <w:ind w:left="385"/>
              <w:spacing w:before="58" w:line="228" w:lineRule="auto"/>
              <w:rPr>
                <w:rFonts w:ascii="SimSun" w:hAnsi="SimSun" w:eastAsia="SimSun" w:cs="SimSun"/>
                <w:sz w:val="20"/>
                <w:szCs w:val="20"/>
              </w:rPr>
            </w:pPr>
            <w:r>
              <w:rPr>
                <w:rFonts w:ascii="SimSun" w:hAnsi="SimSun" w:eastAsia="SimSun" w:cs="SimSun"/>
                <w:sz w:val="20"/>
                <w:szCs w:val="20"/>
                <w:spacing w:val="7"/>
              </w:rPr>
              <w:t>其他异物</w:t>
            </w:r>
          </w:p>
        </w:tc>
        <w:tc>
          <w:tcPr>
            <w:tcW w:w="1888" w:type="dxa"/>
            <w:vAlign w:val="top"/>
          </w:tcPr>
          <w:p>
            <w:pPr>
              <w:ind w:left="528"/>
              <w:spacing w:before="59" w:line="228" w:lineRule="auto"/>
              <w:rPr>
                <w:rFonts w:ascii="SimSun" w:hAnsi="SimSun" w:eastAsia="SimSun" w:cs="SimSun"/>
                <w:sz w:val="20"/>
                <w:szCs w:val="20"/>
              </w:rPr>
            </w:pPr>
            <w:r>
              <w:rPr>
                <w:rFonts w:ascii="SimSun" w:hAnsi="SimSun" w:eastAsia="SimSun" w:cs="SimSun"/>
                <w:sz w:val="20"/>
                <w:szCs w:val="20"/>
                <w:spacing w:val="7"/>
              </w:rPr>
              <w:t>少量根系</w:t>
            </w:r>
          </w:p>
        </w:tc>
        <w:tc>
          <w:tcPr>
            <w:tcW w:w="2178" w:type="dxa"/>
            <w:vAlign w:val="top"/>
          </w:tcPr>
          <w:p>
            <w:pPr>
              <w:ind w:left="673"/>
              <w:spacing w:before="59" w:line="228" w:lineRule="auto"/>
              <w:rPr>
                <w:rFonts w:ascii="SimSun" w:hAnsi="SimSun" w:eastAsia="SimSun" w:cs="SimSun"/>
                <w:sz w:val="20"/>
                <w:szCs w:val="20"/>
              </w:rPr>
            </w:pPr>
            <w:r>
              <w:rPr>
                <w:rFonts w:ascii="SimSun" w:hAnsi="SimSun" w:eastAsia="SimSun" w:cs="SimSun"/>
                <w:sz w:val="20"/>
                <w:szCs w:val="20"/>
                <w:spacing w:val="7"/>
              </w:rPr>
              <w:t>少量根系</w:t>
            </w:r>
          </w:p>
        </w:tc>
        <w:tc>
          <w:tcPr>
            <w:tcW w:w="2468" w:type="dxa"/>
            <w:vAlign w:val="top"/>
          </w:tcPr>
          <w:p>
            <w:pPr>
              <w:ind w:left="820"/>
              <w:spacing w:before="59" w:line="228" w:lineRule="auto"/>
              <w:rPr>
                <w:rFonts w:ascii="SimSun" w:hAnsi="SimSun" w:eastAsia="SimSun" w:cs="SimSun"/>
                <w:sz w:val="20"/>
                <w:szCs w:val="20"/>
              </w:rPr>
            </w:pPr>
            <w:r>
              <w:rPr>
                <w:rFonts w:ascii="SimSun" w:hAnsi="SimSun" w:eastAsia="SimSun" w:cs="SimSun"/>
                <w:sz w:val="20"/>
                <w:szCs w:val="20"/>
                <w:spacing w:val="7"/>
              </w:rPr>
              <w:t>少量根系</w:t>
            </w:r>
          </w:p>
        </w:tc>
        <w:tc>
          <w:tcPr>
            <w:tcW w:w="1159" w:type="dxa"/>
            <w:vAlign w:val="top"/>
          </w:tcPr>
          <w:p>
            <w:pPr>
              <w:ind w:left="497"/>
              <w:spacing w:before="58" w:line="242" w:lineRule="auto"/>
              <w:rPr>
                <w:rFonts w:ascii="SimSun" w:hAnsi="SimSun" w:eastAsia="SimSun" w:cs="SimSun"/>
                <w:sz w:val="20"/>
                <w:szCs w:val="20"/>
              </w:rPr>
            </w:pPr>
            <w:r>
              <w:rPr>
                <w:rFonts w:ascii="SimSun" w:hAnsi="SimSun" w:eastAsia="SimSun" w:cs="SimSun"/>
                <w:sz w:val="20"/>
                <w:szCs w:val="20"/>
                <w:spacing w:val="24"/>
                <w:w w:val="131"/>
              </w:rPr>
              <w:t>-</w:t>
            </w:r>
          </w:p>
        </w:tc>
      </w:tr>
      <w:tr>
        <w:trPr>
          <w:trHeight w:val="331" w:hRule="atLeast"/>
        </w:trPr>
        <w:tc>
          <w:tcPr>
            <w:tcW w:w="1597" w:type="dxa"/>
            <w:vAlign w:val="top"/>
          </w:tcPr>
          <w:p>
            <w:pPr>
              <w:ind w:left="594"/>
              <w:spacing w:before="58" w:line="228" w:lineRule="auto"/>
              <w:rPr>
                <w:rFonts w:ascii="SimSun" w:hAnsi="SimSun" w:eastAsia="SimSun" w:cs="SimSun"/>
                <w:sz w:val="20"/>
                <w:szCs w:val="20"/>
              </w:rPr>
            </w:pPr>
            <w:r>
              <w:rPr>
                <w:rFonts w:ascii="SimSun" w:hAnsi="SimSun" w:eastAsia="SimSun" w:cs="SimSun"/>
                <w:sz w:val="20"/>
                <w:szCs w:val="20"/>
                <w:spacing w:val="4"/>
              </w:rPr>
              <w:t>植被</w:t>
            </w:r>
          </w:p>
        </w:tc>
        <w:tc>
          <w:tcPr>
            <w:tcW w:w="1888" w:type="dxa"/>
            <w:vAlign w:val="top"/>
          </w:tcPr>
          <w:p>
            <w:pPr>
              <w:ind w:left="846"/>
              <w:spacing w:before="59" w:line="228" w:lineRule="auto"/>
              <w:rPr>
                <w:rFonts w:ascii="SimSun" w:hAnsi="SimSun" w:eastAsia="SimSun" w:cs="SimSun"/>
                <w:sz w:val="20"/>
                <w:szCs w:val="20"/>
              </w:rPr>
            </w:pPr>
            <w:r>
              <w:rPr>
                <w:rFonts w:ascii="SimSun" w:hAnsi="SimSun" w:eastAsia="SimSun" w:cs="SimSun"/>
                <w:sz w:val="20"/>
                <w:szCs w:val="20"/>
              </w:rPr>
              <w:t>无</w:t>
            </w:r>
          </w:p>
        </w:tc>
        <w:tc>
          <w:tcPr>
            <w:tcW w:w="2178" w:type="dxa"/>
            <w:vAlign w:val="top"/>
          </w:tcPr>
          <w:p>
            <w:pPr>
              <w:ind w:left="991"/>
              <w:spacing w:before="59" w:line="228" w:lineRule="auto"/>
              <w:rPr>
                <w:rFonts w:ascii="SimSun" w:hAnsi="SimSun" w:eastAsia="SimSun" w:cs="SimSun"/>
                <w:sz w:val="20"/>
                <w:szCs w:val="20"/>
              </w:rPr>
            </w:pPr>
            <w:r>
              <w:rPr>
                <w:rFonts w:ascii="SimSun" w:hAnsi="SimSun" w:eastAsia="SimSun" w:cs="SimSun"/>
                <w:sz w:val="20"/>
                <w:szCs w:val="20"/>
              </w:rPr>
              <w:t>无</w:t>
            </w:r>
          </w:p>
        </w:tc>
        <w:tc>
          <w:tcPr>
            <w:tcW w:w="2468" w:type="dxa"/>
            <w:vAlign w:val="top"/>
          </w:tcPr>
          <w:p>
            <w:pPr>
              <w:ind w:left="1136"/>
              <w:spacing w:before="59" w:line="228" w:lineRule="auto"/>
              <w:rPr>
                <w:rFonts w:ascii="SimSun" w:hAnsi="SimSun" w:eastAsia="SimSun" w:cs="SimSun"/>
                <w:sz w:val="20"/>
                <w:szCs w:val="20"/>
              </w:rPr>
            </w:pPr>
            <w:r>
              <w:rPr>
                <w:rFonts w:ascii="SimSun" w:hAnsi="SimSun" w:eastAsia="SimSun" w:cs="SimSun"/>
                <w:sz w:val="20"/>
                <w:szCs w:val="20"/>
              </w:rPr>
              <w:t>无</w:t>
            </w:r>
          </w:p>
        </w:tc>
        <w:tc>
          <w:tcPr>
            <w:tcW w:w="1159" w:type="dxa"/>
            <w:vAlign w:val="top"/>
          </w:tcPr>
          <w:p>
            <w:pPr>
              <w:ind w:left="497"/>
              <w:spacing w:before="58" w:line="242" w:lineRule="auto"/>
              <w:rPr>
                <w:rFonts w:ascii="SimSun" w:hAnsi="SimSun" w:eastAsia="SimSun" w:cs="SimSun"/>
                <w:sz w:val="20"/>
                <w:szCs w:val="20"/>
              </w:rPr>
            </w:pPr>
            <w:r>
              <w:rPr>
                <w:rFonts w:ascii="SimSun" w:hAnsi="SimSun" w:eastAsia="SimSun" w:cs="SimSun"/>
                <w:sz w:val="20"/>
                <w:szCs w:val="20"/>
                <w:spacing w:val="24"/>
                <w:w w:val="131"/>
              </w:rPr>
              <w:t>-</w:t>
            </w:r>
          </w:p>
        </w:tc>
      </w:tr>
      <w:tr>
        <w:trPr>
          <w:trHeight w:val="331" w:hRule="atLeast"/>
        </w:trPr>
        <w:tc>
          <w:tcPr>
            <w:tcW w:w="1597" w:type="dxa"/>
            <w:vAlign w:val="top"/>
          </w:tcPr>
          <w:p>
            <w:pPr>
              <w:pStyle w:val="TableText"/>
              <w:ind w:left="536"/>
              <w:spacing w:before="59" w:line="221" w:lineRule="auto"/>
              <w:rPr>
                <w:rFonts w:ascii="SimSun" w:hAnsi="SimSun" w:eastAsia="SimSun" w:cs="SimSun"/>
              </w:rPr>
            </w:pPr>
            <w:r>
              <w:rPr/>
              <w:t>pH</w:t>
            </w:r>
            <w:r>
              <w:rPr>
                <w:spacing w:val="8"/>
              </w:rPr>
              <w:t xml:space="preserve"> </w:t>
            </w:r>
            <w:r>
              <w:rPr>
                <w:rFonts w:ascii="SimSun" w:hAnsi="SimSun" w:eastAsia="SimSun" w:cs="SimSun"/>
                <w:spacing w:val="13"/>
              </w:rPr>
              <w:t>值</w:t>
            </w:r>
          </w:p>
        </w:tc>
        <w:tc>
          <w:tcPr>
            <w:tcW w:w="1888" w:type="dxa"/>
            <w:vAlign w:val="top"/>
          </w:tcPr>
          <w:p>
            <w:pPr>
              <w:pStyle w:val="TableText"/>
              <w:ind w:left="764"/>
              <w:spacing w:before="95" w:line="195" w:lineRule="auto"/>
              <w:rPr/>
            </w:pPr>
            <w:r>
              <w:rPr>
                <w:spacing w:val="2"/>
              </w:rPr>
              <w:t>7.78</w:t>
            </w:r>
          </w:p>
        </w:tc>
        <w:tc>
          <w:tcPr>
            <w:tcW w:w="2178" w:type="dxa"/>
            <w:vAlign w:val="top"/>
          </w:tcPr>
          <w:p>
            <w:pPr>
              <w:pStyle w:val="TableText"/>
              <w:ind w:left="909"/>
              <w:spacing w:before="95" w:line="195" w:lineRule="auto"/>
              <w:rPr/>
            </w:pPr>
            <w:r>
              <w:rPr>
                <w:spacing w:val="2"/>
              </w:rPr>
              <w:t>7.43</w:t>
            </w:r>
          </w:p>
        </w:tc>
        <w:tc>
          <w:tcPr>
            <w:tcW w:w="2468" w:type="dxa"/>
            <w:vAlign w:val="top"/>
          </w:tcPr>
          <w:p>
            <w:pPr>
              <w:pStyle w:val="TableText"/>
              <w:ind w:left="1059"/>
              <w:spacing w:before="95" w:line="195" w:lineRule="auto"/>
              <w:rPr/>
            </w:pPr>
            <w:r>
              <w:rPr>
                <w:spacing w:val="1"/>
              </w:rPr>
              <w:t>8.02</w:t>
            </w:r>
          </w:p>
        </w:tc>
        <w:tc>
          <w:tcPr>
            <w:tcW w:w="1159" w:type="dxa"/>
            <w:vAlign w:val="top"/>
          </w:tcPr>
          <w:p>
            <w:pPr>
              <w:ind w:left="271"/>
              <w:spacing w:before="59" w:line="228" w:lineRule="auto"/>
              <w:rPr>
                <w:rFonts w:ascii="SimSun" w:hAnsi="SimSun" w:eastAsia="SimSun" w:cs="SimSun"/>
                <w:sz w:val="20"/>
                <w:szCs w:val="20"/>
              </w:rPr>
            </w:pPr>
            <w:r>
              <w:rPr>
                <w:rFonts w:ascii="SimSun" w:hAnsi="SimSun" w:eastAsia="SimSun" w:cs="SimSun"/>
                <w:sz w:val="20"/>
                <w:szCs w:val="20"/>
                <w:spacing w:val="6"/>
              </w:rPr>
              <w:t>无量纲</w:t>
            </w:r>
          </w:p>
        </w:tc>
      </w:tr>
      <w:tr>
        <w:trPr>
          <w:trHeight w:val="330" w:hRule="atLeast"/>
        </w:trPr>
        <w:tc>
          <w:tcPr>
            <w:tcW w:w="1597" w:type="dxa"/>
            <w:vAlign w:val="top"/>
          </w:tcPr>
          <w:p>
            <w:pPr>
              <w:ind w:left="174"/>
              <w:spacing w:before="59" w:line="227" w:lineRule="auto"/>
              <w:rPr>
                <w:rFonts w:ascii="SimSun" w:hAnsi="SimSun" w:eastAsia="SimSun" w:cs="SimSun"/>
                <w:sz w:val="20"/>
                <w:szCs w:val="20"/>
              </w:rPr>
            </w:pPr>
            <w:r>
              <w:rPr>
                <w:rFonts w:ascii="SimSun" w:hAnsi="SimSun" w:eastAsia="SimSun" w:cs="SimSun"/>
                <w:sz w:val="20"/>
                <w:szCs w:val="20"/>
                <w:spacing w:val="8"/>
              </w:rPr>
              <w:t>氧化还原电位</w:t>
            </w:r>
          </w:p>
        </w:tc>
        <w:tc>
          <w:tcPr>
            <w:tcW w:w="1888" w:type="dxa"/>
            <w:vAlign w:val="top"/>
          </w:tcPr>
          <w:p>
            <w:pPr>
              <w:pStyle w:val="TableText"/>
              <w:ind w:left="791"/>
              <w:spacing w:before="95" w:line="195" w:lineRule="auto"/>
              <w:rPr/>
            </w:pPr>
            <w:r>
              <w:rPr>
                <w:spacing w:val="1"/>
              </w:rPr>
              <w:t>583</w:t>
            </w:r>
          </w:p>
        </w:tc>
        <w:tc>
          <w:tcPr>
            <w:tcW w:w="2178" w:type="dxa"/>
            <w:vAlign w:val="top"/>
          </w:tcPr>
          <w:p>
            <w:pPr>
              <w:pStyle w:val="TableText"/>
              <w:ind w:left="937"/>
              <w:spacing w:before="95" w:line="195" w:lineRule="auto"/>
              <w:rPr/>
            </w:pPr>
            <w:r>
              <w:rPr>
                <w:spacing w:val="2"/>
              </w:rPr>
              <w:t>613</w:t>
            </w:r>
          </w:p>
        </w:tc>
        <w:tc>
          <w:tcPr>
            <w:tcW w:w="2468" w:type="dxa"/>
            <w:vAlign w:val="top"/>
          </w:tcPr>
          <w:p>
            <w:pPr>
              <w:pStyle w:val="TableText"/>
              <w:ind w:left="1086"/>
              <w:spacing w:before="95" w:line="195" w:lineRule="auto"/>
              <w:rPr/>
            </w:pPr>
            <w:r>
              <w:rPr>
                <w:spacing w:val="1"/>
              </w:rPr>
              <w:t>572</w:t>
            </w:r>
          </w:p>
        </w:tc>
        <w:tc>
          <w:tcPr>
            <w:tcW w:w="1159" w:type="dxa"/>
            <w:vAlign w:val="top"/>
          </w:tcPr>
          <w:p>
            <w:pPr>
              <w:pStyle w:val="TableText"/>
              <w:ind w:left="421"/>
              <w:spacing w:before="97" w:line="192" w:lineRule="auto"/>
              <w:rPr/>
            </w:pPr>
            <w:r>
              <w:rPr>
                <w:spacing w:val="5"/>
              </w:rPr>
              <w:t>mV</w:t>
            </w:r>
          </w:p>
        </w:tc>
      </w:tr>
      <w:tr>
        <w:trPr>
          <w:trHeight w:val="331" w:hRule="atLeast"/>
        </w:trPr>
        <w:tc>
          <w:tcPr>
            <w:tcW w:w="1597" w:type="dxa"/>
            <w:vAlign w:val="top"/>
          </w:tcPr>
          <w:p>
            <w:pPr>
              <w:ind w:left="189"/>
              <w:spacing w:before="60" w:line="228" w:lineRule="auto"/>
              <w:rPr>
                <w:rFonts w:ascii="SimSun" w:hAnsi="SimSun" w:eastAsia="SimSun" w:cs="SimSun"/>
                <w:sz w:val="20"/>
                <w:szCs w:val="20"/>
              </w:rPr>
            </w:pPr>
            <w:r>
              <w:rPr>
                <w:rFonts w:ascii="SimSun" w:hAnsi="SimSun" w:eastAsia="SimSun" w:cs="SimSun"/>
                <w:sz w:val="20"/>
                <w:szCs w:val="20"/>
                <w:spacing w:val="5"/>
              </w:rPr>
              <w:t>阳离子交换量</w:t>
            </w:r>
          </w:p>
        </w:tc>
        <w:tc>
          <w:tcPr>
            <w:tcW w:w="1888" w:type="dxa"/>
            <w:vAlign w:val="top"/>
          </w:tcPr>
          <w:p>
            <w:pPr>
              <w:pStyle w:val="TableText"/>
              <w:ind w:left="860"/>
              <w:spacing w:before="96" w:line="195" w:lineRule="auto"/>
              <w:rPr/>
            </w:pPr>
            <w:r>
              <w:rPr>
                <w:spacing w:val="-8"/>
              </w:rPr>
              <w:t>19</w:t>
            </w:r>
          </w:p>
        </w:tc>
        <w:tc>
          <w:tcPr>
            <w:tcW w:w="2178" w:type="dxa"/>
            <w:vAlign w:val="top"/>
          </w:tcPr>
          <w:p>
            <w:pPr>
              <w:pStyle w:val="TableText"/>
              <w:ind w:left="926"/>
              <w:spacing w:before="96" w:line="195" w:lineRule="auto"/>
              <w:rPr/>
            </w:pPr>
            <w:r>
              <w:rPr>
                <w:spacing w:val="-2"/>
              </w:rPr>
              <w:t>17.2</w:t>
            </w:r>
          </w:p>
        </w:tc>
        <w:tc>
          <w:tcPr>
            <w:tcW w:w="2468" w:type="dxa"/>
            <w:vAlign w:val="top"/>
          </w:tcPr>
          <w:p>
            <w:pPr>
              <w:pStyle w:val="TableText"/>
              <w:ind w:left="1071"/>
              <w:spacing w:before="96" w:line="195" w:lineRule="auto"/>
              <w:rPr/>
            </w:pPr>
            <w:r>
              <w:rPr>
                <w:spacing w:val="-2"/>
              </w:rPr>
              <w:t>18.3</w:t>
            </w:r>
          </w:p>
        </w:tc>
        <w:tc>
          <w:tcPr>
            <w:tcW w:w="1159" w:type="dxa"/>
            <w:vAlign w:val="top"/>
          </w:tcPr>
          <w:p>
            <w:pPr>
              <w:pStyle w:val="TableText"/>
              <w:ind w:left="201"/>
              <w:spacing w:before="87" w:line="206" w:lineRule="auto"/>
              <w:rPr/>
            </w:pPr>
            <w:r>
              <w:rPr/>
              <w:t>cmol</w:t>
            </w:r>
            <w:r>
              <w:rPr>
                <w:sz w:val="13"/>
                <w:szCs w:val="13"/>
                <w:spacing w:val="13"/>
                <w:position w:val="6"/>
              </w:rPr>
              <w:t>+</w:t>
            </w:r>
            <w:r>
              <w:rPr>
                <w:spacing w:val="13"/>
              </w:rPr>
              <w:t>/</w:t>
            </w:r>
            <w:r>
              <w:rPr/>
              <w:t>kg</w:t>
            </w:r>
          </w:p>
        </w:tc>
      </w:tr>
      <w:tr>
        <w:trPr>
          <w:trHeight w:val="331" w:hRule="atLeast"/>
        </w:trPr>
        <w:tc>
          <w:tcPr>
            <w:tcW w:w="1597" w:type="dxa"/>
            <w:vAlign w:val="top"/>
          </w:tcPr>
          <w:p>
            <w:pPr>
              <w:ind w:left="491"/>
              <w:spacing w:before="59" w:line="228" w:lineRule="auto"/>
              <w:rPr>
                <w:rFonts w:ascii="SimSun" w:hAnsi="SimSun" w:eastAsia="SimSun" w:cs="SimSun"/>
                <w:sz w:val="20"/>
                <w:szCs w:val="20"/>
              </w:rPr>
            </w:pPr>
            <w:r>
              <w:rPr>
                <w:rFonts w:ascii="SimSun" w:hAnsi="SimSun" w:eastAsia="SimSun" w:cs="SimSun"/>
                <w:sz w:val="20"/>
                <w:szCs w:val="20"/>
                <w:spacing w:val="6"/>
              </w:rPr>
              <w:t>渗滤率</w:t>
            </w:r>
          </w:p>
        </w:tc>
        <w:tc>
          <w:tcPr>
            <w:tcW w:w="1888" w:type="dxa"/>
            <w:vAlign w:val="top"/>
          </w:tcPr>
          <w:p>
            <w:pPr>
              <w:pStyle w:val="TableText"/>
              <w:ind w:left="761"/>
              <w:spacing w:before="96" w:line="195" w:lineRule="auto"/>
              <w:rPr/>
            </w:pPr>
            <w:r>
              <w:rPr>
                <w:spacing w:val="3"/>
              </w:rPr>
              <w:t>2.28</w:t>
            </w:r>
          </w:p>
        </w:tc>
        <w:tc>
          <w:tcPr>
            <w:tcW w:w="2178" w:type="dxa"/>
            <w:vAlign w:val="top"/>
          </w:tcPr>
          <w:p>
            <w:pPr>
              <w:pStyle w:val="TableText"/>
              <w:ind w:left="906"/>
              <w:spacing w:before="96" w:line="195" w:lineRule="auto"/>
              <w:rPr/>
            </w:pPr>
            <w:r>
              <w:rPr>
                <w:spacing w:val="3"/>
              </w:rPr>
              <w:t>2.23</w:t>
            </w:r>
          </w:p>
        </w:tc>
        <w:tc>
          <w:tcPr>
            <w:tcW w:w="2468" w:type="dxa"/>
            <w:vAlign w:val="top"/>
          </w:tcPr>
          <w:p>
            <w:pPr>
              <w:pStyle w:val="TableText"/>
              <w:ind w:left="1051"/>
              <w:spacing w:before="96" w:line="195" w:lineRule="auto"/>
              <w:rPr/>
            </w:pPr>
            <w:r>
              <w:rPr>
                <w:spacing w:val="3"/>
              </w:rPr>
              <w:t>2.18</w:t>
            </w:r>
          </w:p>
        </w:tc>
        <w:tc>
          <w:tcPr>
            <w:tcW w:w="1159" w:type="dxa"/>
            <w:vAlign w:val="top"/>
          </w:tcPr>
          <w:p>
            <w:pPr>
              <w:pStyle w:val="TableText"/>
              <w:ind w:left="193"/>
              <w:spacing w:before="92" w:line="199" w:lineRule="auto"/>
              <w:rPr/>
            </w:pPr>
            <w:r>
              <w:rPr>
                <w:spacing w:val="5"/>
              </w:rPr>
              <w:t>mm/mim</w:t>
            </w:r>
          </w:p>
        </w:tc>
      </w:tr>
      <w:tr>
        <w:trPr>
          <w:trHeight w:val="331" w:hRule="atLeast"/>
        </w:trPr>
        <w:tc>
          <w:tcPr>
            <w:tcW w:w="1597" w:type="dxa"/>
            <w:vAlign w:val="top"/>
          </w:tcPr>
          <w:p>
            <w:pPr>
              <w:ind w:left="596"/>
              <w:spacing w:before="60" w:line="228" w:lineRule="auto"/>
              <w:rPr>
                <w:rFonts w:ascii="SimSun" w:hAnsi="SimSun" w:eastAsia="SimSun" w:cs="SimSun"/>
                <w:sz w:val="20"/>
                <w:szCs w:val="20"/>
              </w:rPr>
            </w:pPr>
            <w:r>
              <w:rPr>
                <w:rFonts w:ascii="SimSun" w:hAnsi="SimSun" w:eastAsia="SimSun" w:cs="SimSun"/>
                <w:sz w:val="20"/>
                <w:szCs w:val="20"/>
                <w:spacing w:val="3"/>
              </w:rPr>
              <w:t>容重</w:t>
            </w:r>
          </w:p>
        </w:tc>
        <w:tc>
          <w:tcPr>
            <w:tcW w:w="1888" w:type="dxa"/>
            <w:vAlign w:val="top"/>
          </w:tcPr>
          <w:p>
            <w:pPr>
              <w:pStyle w:val="TableText"/>
              <w:ind w:left="781"/>
              <w:spacing w:before="96" w:line="195" w:lineRule="auto"/>
              <w:rPr/>
            </w:pPr>
            <w:r>
              <w:rPr>
                <w:spacing w:val="-8"/>
              </w:rPr>
              <w:t>1.</w:t>
            </w:r>
            <w:r>
              <w:rPr>
                <w:spacing w:val="-25"/>
              </w:rPr>
              <w:t xml:space="preserve"> </w:t>
            </w:r>
            <w:r>
              <w:rPr>
                <w:spacing w:val="-8"/>
              </w:rPr>
              <w:t>14</w:t>
            </w:r>
          </w:p>
        </w:tc>
        <w:tc>
          <w:tcPr>
            <w:tcW w:w="2178" w:type="dxa"/>
            <w:vAlign w:val="top"/>
          </w:tcPr>
          <w:p>
            <w:pPr>
              <w:pStyle w:val="TableText"/>
              <w:ind w:left="926"/>
              <w:spacing w:before="96" w:line="195" w:lineRule="auto"/>
              <w:rPr/>
            </w:pPr>
            <w:r>
              <w:rPr>
                <w:spacing w:val="-8"/>
              </w:rPr>
              <w:t>1.</w:t>
            </w:r>
            <w:r>
              <w:rPr>
                <w:spacing w:val="-25"/>
              </w:rPr>
              <w:t xml:space="preserve"> </w:t>
            </w:r>
            <w:r>
              <w:rPr>
                <w:spacing w:val="-8"/>
              </w:rPr>
              <w:t>12</w:t>
            </w:r>
          </w:p>
        </w:tc>
        <w:tc>
          <w:tcPr>
            <w:tcW w:w="2468" w:type="dxa"/>
            <w:vAlign w:val="top"/>
          </w:tcPr>
          <w:p>
            <w:pPr>
              <w:pStyle w:val="TableText"/>
              <w:ind w:left="1071"/>
              <w:spacing w:before="96" w:line="195" w:lineRule="auto"/>
              <w:rPr/>
            </w:pPr>
            <w:r>
              <w:rPr>
                <w:spacing w:val="-2"/>
              </w:rPr>
              <w:t>1.15</w:t>
            </w:r>
          </w:p>
        </w:tc>
        <w:tc>
          <w:tcPr>
            <w:tcW w:w="1159" w:type="dxa"/>
            <w:vAlign w:val="top"/>
          </w:tcPr>
          <w:p>
            <w:pPr>
              <w:pStyle w:val="TableText"/>
              <w:ind w:left="337"/>
              <w:spacing w:before="75" w:line="218" w:lineRule="auto"/>
              <w:rPr>
                <w:sz w:val="13"/>
                <w:szCs w:val="13"/>
              </w:rPr>
            </w:pPr>
            <w:r>
              <w:rPr>
                <w:spacing w:val="5"/>
              </w:rPr>
              <w:t>g/</w:t>
            </w:r>
            <w:r>
              <w:rPr/>
              <w:t>cm</w:t>
            </w:r>
            <w:r>
              <w:rPr>
                <w:sz w:val="13"/>
                <w:szCs w:val="13"/>
                <w:spacing w:val="5"/>
                <w:position w:val="6"/>
              </w:rPr>
              <w:t>3</w:t>
            </w:r>
          </w:p>
        </w:tc>
      </w:tr>
      <w:tr>
        <w:trPr>
          <w:trHeight w:val="335" w:hRule="atLeast"/>
        </w:trPr>
        <w:tc>
          <w:tcPr>
            <w:tcW w:w="1597" w:type="dxa"/>
            <w:vAlign w:val="top"/>
          </w:tcPr>
          <w:p>
            <w:pPr>
              <w:ind w:left="390"/>
              <w:spacing w:before="60" w:line="228" w:lineRule="auto"/>
              <w:rPr>
                <w:rFonts w:ascii="SimSun" w:hAnsi="SimSun" w:eastAsia="SimSun" w:cs="SimSun"/>
                <w:sz w:val="20"/>
                <w:szCs w:val="20"/>
              </w:rPr>
            </w:pPr>
            <w:r>
              <w:rPr>
                <w:rFonts w:ascii="SimSun" w:hAnsi="SimSun" w:eastAsia="SimSun" w:cs="SimSun"/>
                <w:sz w:val="20"/>
                <w:szCs w:val="20"/>
                <w:spacing w:val="6"/>
              </w:rPr>
              <w:t>总孔隙度</w:t>
            </w:r>
          </w:p>
        </w:tc>
        <w:tc>
          <w:tcPr>
            <w:tcW w:w="1888" w:type="dxa"/>
            <w:vAlign w:val="top"/>
          </w:tcPr>
          <w:p>
            <w:pPr>
              <w:pStyle w:val="TableText"/>
              <w:ind w:left="765"/>
              <w:spacing w:before="96" w:line="195" w:lineRule="auto"/>
              <w:rPr/>
            </w:pPr>
            <w:r>
              <w:rPr>
                <w:spacing w:val="2"/>
              </w:rPr>
              <w:t>35.6</w:t>
            </w:r>
          </w:p>
        </w:tc>
        <w:tc>
          <w:tcPr>
            <w:tcW w:w="2178" w:type="dxa"/>
            <w:vAlign w:val="top"/>
          </w:tcPr>
          <w:p>
            <w:pPr>
              <w:pStyle w:val="TableText"/>
              <w:ind w:left="910"/>
              <w:spacing w:before="96" w:line="195" w:lineRule="auto"/>
              <w:rPr/>
            </w:pPr>
            <w:r>
              <w:rPr>
                <w:spacing w:val="2"/>
              </w:rPr>
              <w:t>36.0</w:t>
            </w:r>
          </w:p>
        </w:tc>
        <w:tc>
          <w:tcPr>
            <w:tcW w:w="2468" w:type="dxa"/>
            <w:vAlign w:val="top"/>
          </w:tcPr>
          <w:p>
            <w:pPr>
              <w:pStyle w:val="TableText"/>
              <w:ind w:left="1055"/>
              <w:spacing w:before="96" w:line="195" w:lineRule="auto"/>
              <w:rPr/>
            </w:pPr>
            <w:r>
              <w:rPr>
                <w:spacing w:val="2"/>
              </w:rPr>
              <w:t>35.3</w:t>
            </w:r>
          </w:p>
        </w:tc>
        <w:tc>
          <w:tcPr>
            <w:tcW w:w="1159" w:type="dxa"/>
            <w:vAlign w:val="top"/>
          </w:tcPr>
          <w:p>
            <w:pPr>
              <w:pStyle w:val="TableText"/>
              <w:ind w:left="496"/>
              <w:spacing w:before="96" w:line="195" w:lineRule="auto"/>
              <w:rPr/>
            </w:pPr>
            <w:r>
              <w:rPr/>
              <w:t>%</w:t>
            </w:r>
          </w:p>
        </w:tc>
      </w:tr>
    </w:tbl>
    <w:p>
      <w:pPr>
        <w:pStyle w:val="BodyText"/>
        <w:spacing w:line="164" w:lineRule="exact"/>
        <w:rPr>
          <w:sz w:val="14"/>
        </w:rPr>
      </w:pPr>
      <w:r/>
    </w:p>
    <w:p>
      <w:pPr>
        <w:spacing w:line="164" w:lineRule="exact"/>
        <w:sectPr>
          <w:headerReference w:type="default" r:id="rId238"/>
          <w:footerReference w:type="default" r:id="rId330"/>
          <w:pgSz w:w="11906" w:h="16838"/>
          <w:pgMar w:top="1170" w:right="1304" w:bottom="1080" w:left="1305" w:header="837" w:footer="918" w:gutter="0"/>
        </w:sectPr>
        <w:rPr>
          <w:sz w:val="14"/>
          <w:szCs w:val="14"/>
        </w:rPr>
      </w:pPr>
    </w:p>
    <w:p>
      <w:pPr>
        <w:pStyle w:val="BodyText"/>
        <w:spacing w:line="312" w:lineRule="auto"/>
        <w:rPr/>
      </w:pPr>
      <w:r/>
    </w:p>
    <w:p>
      <w:pPr>
        <w:ind w:left="497"/>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、矿区土壤盐化、酸化、碱化程度调查</w:t>
      </w:r>
    </w:p>
    <w:p>
      <w:pPr>
        <w:ind w:left="15" w:right="14" w:firstLine="480"/>
        <w:spacing w:before="153" w:line="340" w:lineRule="auto"/>
        <w:rPr>
          <w:rFonts w:ascii="SimSun" w:hAnsi="SimSun" w:eastAsia="SimSun" w:cs="SimSun"/>
          <w:sz w:val="24"/>
          <w:szCs w:val="24"/>
        </w:rPr>
      </w:pPr>
      <w:r>
        <w:rPr>
          <w:rFonts w:ascii="SimSun" w:hAnsi="SimSun" w:eastAsia="SimSun" w:cs="SimSun"/>
          <w:sz w:val="24"/>
          <w:szCs w:val="24"/>
          <w:spacing w:val="3"/>
        </w:rPr>
        <w:t>根据《环境影响评价技术导则 土壤环境（试行）</w:t>
      </w:r>
      <w:r>
        <w:rPr>
          <w:rFonts w:ascii="SimSun" w:hAnsi="SimSun" w:eastAsia="SimSun" w:cs="SimSun"/>
          <w:sz w:val="24"/>
          <w:szCs w:val="24"/>
          <w:spacing w:val="2"/>
        </w:rPr>
        <w:t>》（</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964-2018</w:t>
      </w:r>
      <w:r>
        <w:rPr>
          <w:rFonts w:ascii="SimSun" w:hAnsi="SimSun" w:eastAsia="SimSun" w:cs="SimSun"/>
          <w:sz w:val="24"/>
          <w:szCs w:val="24"/>
          <w:spacing w:val="2"/>
        </w:rPr>
        <w:t>）中附录表</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0"/>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1"/>
        </w:rPr>
        <w:t>和表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D.2 </w:t>
      </w:r>
      <w:r>
        <w:rPr>
          <w:rFonts w:ascii="SimSun" w:hAnsi="SimSun" w:eastAsia="SimSun" w:cs="SimSun"/>
          <w:sz w:val="24"/>
          <w:szCs w:val="24"/>
          <w:spacing w:val="-1"/>
        </w:rPr>
        <w:t>土壤盐化、酸化、碱化分级标准，对本次评</w:t>
      </w:r>
      <w:r>
        <w:rPr>
          <w:rFonts w:ascii="SimSun" w:hAnsi="SimSun" w:eastAsia="SimSun" w:cs="SimSun"/>
          <w:sz w:val="24"/>
          <w:szCs w:val="24"/>
          <w:spacing w:val="-2"/>
        </w:rPr>
        <w:t>价对矿区范围内周边土壤进行了采</w:t>
      </w:r>
      <w:r>
        <w:rPr>
          <w:rFonts w:ascii="SimSun" w:hAnsi="SimSun" w:eastAsia="SimSun" w:cs="SimSun"/>
          <w:sz w:val="24"/>
          <w:szCs w:val="24"/>
          <w:spacing w:val="-11"/>
        </w:rPr>
        <w:t>样调查，根据现状监测结果分析矿区土壤现状。土壤盐化、酸化、碱化分级标准见表</w:t>
      </w:r>
      <w:r>
        <w:rPr>
          <w:rFonts w:ascii="Times New Roman" w:hAnsi="Times New Roman" w:eastAsia="Times New Roman" w:cs="Times New Roman"/>
          <w:sz w:val="24"/>
          <w:szCs w:val="24"/>
          <w:spacing w:val="-11"/>
        </w:rPr>
        <w:t>4-2-35</w:t>
      </w:r>
      <w:r>
        <w:rPr>
          <w:rFonts w:ascii="SimSun" w:hAnsi="SimSun" w:eastAsia="SimSun" w:cs="SimSun"/>
          <w:sz w:val="24"/>
          <w:szCs w:val="24"/>
          <w:spacing w:val="-2"/>
        </w:rPr>
        <w:t>和表</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4-2-36</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。土壤现状监测结果及分析结果见表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4-2-37</w:t>
      </w:r>
      <w:r>
        <w:rPr>
          <w:rFonts w:ascii="SimSun" w:hAnsi="SimSun" w:eastAsia="SimSun" w:cs="SimSun"/>
          <w:sz w:val="24"/>
          <w:szCs w:val="24"/>
          <w:spacing w:val="-2"/>
        </w:rPr>
        <w:t>。</w:t>
      </w:r>
    </w:p>
    <w:p>
      <w:pPr>
        <w:ind w:left="3592"/>
        <w:spacing w:before="120" w:line="221" w:lineRule="auto"/>
        <w:rPr>
          <w:rFonts w:ascii="SimHei" w:hAnsi="SimHei" w:eastAsia="SimHei" w:cs="SimHei"/>
          <w:sz w:val="24"/>
          <w:szCs w:val="24"/>
        </w:rPr>
      </w:pPr>
      <w:r>
        <w:rPr>
          <w:rFonts w:ascii="SimHei" w:hAnsi="SimHei" w:eastAsia="SimHei" w:cs="SimHei"/>
          <w:sz w:val="24"/>
          <w:szCs w:val="24"/>
          <w:spacing w:val="-2"/>
        </w:rPr>
        <w:t>土壤盐化分级标准</w:t>
      </w:r>
    </w:p>
    <w:p>
      <w:pPr>
        <w:ind w:left="14"/>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4-2-35</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933"/>
        <w:gridCol w:w="3766"/>
        <w:gridCol w:w="3384"/>
      </w:tblGrid>
      <w:tr>
        <w:trPr>
          <w:trHeight w:val="282" w:hRule="atLeast"/>
        </w:trPr>
        <w:tc>
          <w:tcPr>
            <w:tcW w:w="1933" w:type="dxa"/>
            <w:vAlign w:val="top"/>
            <w:vMerge w:val="restart"/>
            <w:tcBorders>
              <w:bottom w:val="nil"/>
            </w:tcBorders>
          </w:tcPr>
          <w:p>
            <w:pPr>
              <w:ind w:left="764"/>
              <w:spacing w:before="175" w:line="228" w:lineRule="auto"/>
              <w:rPr>
                <w:rFonts w:ascii="SimSun" w:hAnsi="SimSun" w:eastAsia="SimSun" w:cs="SimSun"/>
                <w:sz w:val="20"/>
                <w:szCs w:val="20"/>
              </w:rPr>
            </w:pPr>
            <w:r>
              <w:rPr>
                <w:rFonts w:ascii="SimSun" w:hAnsi="SimSun" w:eastAsia="SimSun" w:cs="SimSun"/>
                <w:sz w:val="20"/>
                <w:szCs w:val="20"/>
                <w:spacing w:val="3"/>
              </w:rPr>
              <w:t>分级</w:t>
            </w:r>
          </w:p>
        </w:tc>
        <w:tc>
          <w:tcPr>
            <w:tcW w:w="7150" w:type="dxa"/>
            <w:vAlign w:val="top"/>
            <w:gridSpan w:val="2"/>
          </w:tcPr>
          <w:p>
            <w:pPr>
              <w:pStyle w:val="TableText"/>
              <w:ind w:left="2230"/>
              <w:spacing w:before="33" w:line="220" w:lineRule="auto"/>
              <w:rPr>
                <w:rFonts w:ascii="SimSun" w:hAnsi="SimSun" w:eastAsia="SimSun" w:cs="SimSun"/>
              </w:rPr>
            </w:pPr>
            <w:r>
              <w:rPr>
                <w:rFonts w:ascii="SimSun" w:hAnsi="SimSun" w:eastAsia="SimSun" w:cs="SimSun"/>
                <w:spacing w:val="8"/>
              </w:rPr>
              <w:t>土壤含盐量（</w:t>
            </w:r>
            <w:r>
              <w:rPr/>
              <w:t>SSC</w:t>
            </w:r>
            <w:r>
              <w:rPr>
                <w:rFonts w:ascii="SimSun" w:hAnsi="SimSun" w:eastAsia="SimSun" w:cs="SimSun"/>
                <w:spacing w:val="8"/>
              </w:rPr>
              <w:t>）</w:t>
            </w:r>
            <w:r>
              <w:rPr>
                <w:spacing w:val="8"/>
              </w:rPr>
              <w:t>/</w:t>
            </w:r>
            <w:r>
              <w:rPr>
                <w:rFonts w:ascii="SimSun" w:hAnsi="SimSun" w:eastAsia="SimSun" w:cs="SimSun"/>
                <w:spacing w:val="8"/>
              </w:rPr>
              <w:t>（</w:t>
            </w:r>
            <w:r>
              <w:rPr>
                <w:spacing w:val="8"/>
              </w:rPr>
              <w:t>g/</w:t>
            </w:r>
            <w:r>
              <w:rPr/>
              <w:t>kg</w:t>
            </w:r>
            <w:r>
              <w:rPr>
                <w:rFonts w:ascii="SimSun" w:hAnsi="SimSun" w:eastAsia="SimSun" w:cs="SimSun"/>
                <w:spacing w:val="8"/>
              </w:rPr>
              <w:t>）</w:t>
            </w:r>
          </w:p>
        </w:tc>
      </w:tr>
      <w:tr>
        <w:trPr>
          <w:trHeight w:val="278" w:hRule="atLeast"/>
        </w:trPr>
        <w:tc>
          <w:tcPr>
            <w:tcW w:w="1933" w:type="dxa"/>
            <w:vAlign w:val="top"/>
            <w:vMerge w:val="continue"/>
            <w:tcBorders>
              <w:top w:val="nil"/>
            </w:tcBorders>
          </w:tcPr>
          <w:p>
            <w:pPr>
              <w:rPr>
                <w:rFonts w:ascii="Arial"/>
                <w:sz w:val="21"/>
              </w:rPr>
            </w:pPr>
            <w:r/>
          </w:p>
        </w:tc>
        <w:tc>
          <w:tcPr>
            <w:tcW w:w="3766" w:type="dxa"/>
            <w:vAlign w:val="top"/>
          </w:tcPr>
          <w:p>
            <w:pPr>
              <w:ind w:left="627"/>
              <w:spacing w:before="29" w:line="220" w:lineRule="auto"/>
              <w:rPr>
                <w:rFonts w:ascii="SimSun" w:hAnsi="SimSun" w:eastAsia="SimSun" w:cs="SimSun"/>
                <w:sz w:val="20"/>
                <w:szCs w:val="20"/>
              </w:rPr>
            </w:pPr>
            <w:r>
              <w:rPr>
                <w:rFonts w:ascii="SimSun" w:hAnsi="SimSun" w:eastAsia="SimSun" w:cs="SimSun"/>
                <w:sz w:val="20"/>
                <w:szCs w:val="20"/>
                <w:spacing w:val="9"/>
              </w:rPr>
              <w:t>滨海、半湿润和半干旱地区</w:t>
            </w:r>
          </w:p>
        </w:tc>
        <w:tc>
          <w:tcPr>
            <w:tcW w:w="3384" w:type="dxa"/>
            <w:vAlign w:val="top"/>
          </w:tcPr>
          <w:p>
            <w:pPr>
              <w:ind w:left="538"/>
              <w:spacing w:before="29" w:line="220" w:lineRule="auto"/>
              <w:rPr>
                <w:rFonts w:ascii="SimSun" w:hAnsi="SimSun" w:eastAsia="SimSun" w:cs="SimSun"/>
                <w:sz w:val="20"/>
                <w:szCs w:val="20"/>
              </w:rPr>
            </w:pPr>
            <w:r>
              <w:rPr>
                <w:rFonts w:ascii="SimSun" w:hAnsi="SimSun" w:eastAsia="SimSun" w:cs="SimSun"/>
                <w:sz w:val="20"/>
                <w:szCs w:val="20"/>
                <w:spacing w:val="9"/>
              </w:rPr>
              <w:t>干旱、半荒漠和荒漠地区</w:t>
            </w:r>
          </w:p>
        </w:tc>
      </w:tr>
      <w:tr>
        <w:trPr>
          <w:trHeight w:val="275" w:hRule="atLeast"/>
        </w:trPr>
        <w:tc>
          <w:tcPr>
            <w:tcW w:w="1933" w:type="dxa"/>
            <w:vAlign w:val="top"/>
          </w:tcPr>
          <w:p>
            <w:pPr>
              <w:ind w:left="661"/>
              <w:spacing w:before="29" w:line="217" w:lineRule="auto"/>
              <w:rPr>
                <w:rFonts w:ascii="SimSun" w:hAnsi="SimSun" w:eastAsia="SimSun" w:cs="SimSun"/>
                <w:sz w:val="20"/>
                <w:szCs w:val="20"/>
              </w:rPr>
            </w:pPr>
            <w:r>
              <w:rPr>
                <w:rFonts w:ascii="SimSun" w:hAnsi="SimSun" w:eastAsia="SimSun" w:cs="SimSun"/>
                <w:sz w:val="20"/>
                <w:szCs w:val="20"/>
                <w:spacing w:val="5"/>
              </w:rPr>
              <w:t>未盐化</w:t>
            </w:r>
          </w:p>
        </w:tc>
        <w:tc>
          <w:tcPr>
            <w:tcW w:w="3766" w:type="dxa"/>
            <w:vAlign w:val="top"/>
          </w:tcPr>
          <w:p>
            <w:pPr>
              <w:pStyle w:val="TableText"/>
              <w:ind w:left="1593"/>
              <w:spacing w:before="66" w:line="195" w:lineRule="auto"/>
              <w:rPr/>
            </w:pPr>
            <w:r>
              <w:rPr/>
              <w:t>SSC</w:t>
            </w:r>
            <w:r>
              <w:rPr>
                <w:spacing w:val="7"/>
              </w:rPr>
              <w:t>&lt;1</w:t>
            </w:r>
          </w:p>
        </w:tc>
        <w:tc>
          <w:tcPr>
            <w:tcW w:w="3384" w:type="dxa"/>
            <w:vAlign w:val="top"/>
          </w:tcPr>
          <w:p>
            <w:pPr>
              <w:pStyle w:val="TableText"/>
              <w:ind w:left="1403"/>
              <w:spacing w:before="66" w:line="195" w:lineRule="auto"/>
              <w:rPr/>
            </w:pPr>
            <w:r>
              <w:rPr/>
              <w:t>SSC</w:t>
            </w:r>
            <w:r>
              <w:rPr>
                <w:spacing w:val="6"/>
              </w:rPr>
              <w:t>&lt;2</w:t>
            </w:r>
          </w:p>
        </w:tc>
      </w:tr>
      <w:tr>
        <w:trPr>
          <w:trHeight w:val="278" w:hRule="atLeast"/>
        </w:trPr>
        <w:tc>
          <w:tcPr>
            <w:tcW w:w="1933" w:type="dxa"/>
            <w:vAlign w:val="top"/>
          </w:tcPr>
          <w:p>
            <w:pPr>
              <w:ind w:left="551"/>
              <w:spacing w:before="30" w:line="219" w:lineRule="auto"/>
              <w:rPr>
                <w:rFonts w:ascii="SimSun" w:hAnsi="SimSun" w:eastAsia="SimSun" w:cs="SimSun"/>
                <w:sz w:val="20"/>
                <w:szCs w:val="20"/>
              </w:rPr>
            </w:pPr>
            <w:r>
              <w:rPr>
                <w:rFonts w:ascii="SimSun" w:hAnsi="SimSun" w:eastAsia="SimSun" w:cs="SimSun"/>
                <w:sz w:val="20"/>
                <w:szCs w:val="20"/>
                <w:spacing w:val="7"/>
              </w:rPr>
              <w:t>轻度盐化</w:t>
            </w:r>
          </w:p>
        </w:tc>
        <w:tc>
          <w:tcPr>
            <w:tcW w:w="3766" w:type="dxa"/>
            <w:vAlign w:val="top"/>
          </w:tcPr>
          <w:p>
            <w:pPr>
              <w:pStyle w:val="TableText"/>
              <w:ind w:left="1494"/>
              <w:spacing w:before="66" w:line="196" w:lineRule="auto"/>
              <w:rPr/>
            </w:pPr>
            <w:r>
              <w:rPr>
                <w:spacing w:val="3"/>
              </w:rPr>
              <w:t>1≤</w:t>
            </w:r>
            <w:r>
              <w:rPr/>
              <w:t>SSC</w:t>
            </w:r>
            <w:r>
              <w:rPr>
                <w:spacing w:val="3"/>
              </w:rPr>
              <w:t>&lt;2</w:t>
            </w:r>
          </w:p>
        </w:tc>
        <w:tc>
          <w:tcPr>
            <w:tcW w:w="3384" w:type="dxa"/>
            <w:vAlign w:val="top"/>
          </w:tcPr>
          <w:p>
            <w:pPr>
              <w:pStyle w:val="TableText"/>
              <w:ind w:left="1284"/>
              <w:spacing w:before="66" w:line="196" w:lineRule="auto"/>
              <w:rPr/>
            </w:pPr>
            <w:r>
              <w:rPr>
                <w:spacing w:val="8"/>
              </w:rPr>
              <w:t>2≤</w:t>
            </w:r>
            <w:r>
              <w:rPr/>
              <w:t>SSC</w:t>
            </w:r>
            <w:r>
              <w:rPr>
                <w:spacing w:val="8"/>
              </w:rPr>
              <w:t>&lt;3</w:t>
            </w:r>
          </w:p>
        </w:tc>
      </w:tr>
      <w:tr>
        <w:trPr>
          <w:trHeight w:val="277" w:hRule="atLeast"/>
        </w:trPr>
        <w:tc>
          <w:tcPr>
            <w:tcW w:w="1933" w:type="dxa"/>
            <w:vAlign w:val="top"/>
          </w:tcPr>
          <w:p>
            <w:pPr>
              <w:ind w:left="569"/>
              <w:spacing w:before="30" w:line="218" w:lineRule="auto"/>
              <w:rPr>
                <w:rFonts w:ascii="SimSun" w:hAnsi="SimSun" w:eastAsia="SimSun" w:cs="SimSun"/>
                <w:sz w:val="20"/>
                <w:szCs w:val="20"/>
              </w:rPr>
            </w:pPr>
            <w:r>
              <w:rPr>
                <w:rFonts w:ascii="SimSun" w:hAnsi="SimSun" w:eastAsia="SimSun" w:cs="SimSun"/>
                <w:sz w:val="20"/>
                <w:szCs w:val="20"/>
                <w:spacing w:val="2"/>
              </w:rPr>
              <w:t>中度盐化</w:t>
            </w:r>
          </w:p>
        </w:tc>
        <w:tc>
          <w:tcPr>
            <w:tcW w:w="3766" w:type="dxa"/>
            <w:vAlign w:val="top"/>
          </w:tcPr>
          <w:p>
            <w:pPr>
              <w:pStyle w:val="TableText"/>
              <w:ind w:left="1474"/>
              <w:spacing w:before="66" w:line="196" w:lineRule="auto"/>
              <w:rPr/>
            </w:pPr>
            <w:r>
              <w:rPr>
                <w:spacing w:val="8"/>
              </w:rPr>
              <w:t>2≤</w:t>
            </w:r>
            <w:r>
              <w:rPr/>
              <w:t>SSC</w:t>
            </w:r>
            <w:r>
              <w:rPr>
                <w:spacing w:val="8"/>
              </w:rPr>
              <w:t>&lt;4</w:t>
            </w:r>
          </w:p>
        </w:tc>
        <w:tc>
          <w:tcPr>
            <w:tcW w:w="3384" w:type="dxa"/>
            <w:vAlign w:val="top"/>
          </w:tcPr>
          <w:p>
            <w:pPr>
              <w:pStyle w:val="TableText"/>
              <w:ind w:left="1288"/>
              <w:spacing w:before="66" w:line="196" w:lineRule="auto"/>
              <w:rPr/>
            </w:pPr>
            <w:r>
              <w:rPr>
                <w:spacing w:val="6"/>
              </w:rPr>
              <w:t>3≤</w:t>
            </w:r>
            <w:r>
              <w:rPr/>
              <w:t>SSC</w:t>
            </w:r>
            <w:r>
              <w:rPr>
                <w:spacing w:val="6"/>
              </w:rPr>
              <w:t>&lt;5</w:t>
            </w:r>
          </w:p>
        </w:tc>
      </w:tr>
      <w:tr>
        <w:trPr>
          <w:trHeight w:val="275" w:hRule="atLeast"/>
        </w:trPr>
        <w:tc>
          <w:tcPr>
            <w:tcW w:w="1933" w:type="dxa"/>
            <w:vAlign w:val="top"/>
          </w:tcPr>
          <w:p>
            <w:pPr>
              <w:ind w:left="551"/>
              <w:spacing w:before="32" w:line="215" w:lineRule="auto"/>
              <w:rPr>
                <w:rFonts w:ascii="SimSun" w:hAnsi="SimSun" w:eastAsia="SimSun" w:cs="SimSun"/>
                <w:sz w:val="20"/>
                <w:szCs w:val="20"/>
              </w:rPr>
            </w:pPr>
            <w:r>
              <w:rPr>
                <w:rFonts w:ascii="SimSun" w:hAnsi="SimSun" w:eastAsia="SimSun" w:cs="SimSun"/>
                <w:sz w:val="20"/>
                <w:szCs w:val="20"/>
                <w:spacing w:val="7"/>
              </w:rPr>
              <w:t>重度盐化</w:t>
            </w:r>
          </w:p>
        </w:tc>
        <w:tc>
          <w:tcPr>
            <w:tcW w:w="3766" w:type="dxa"/>
            <w:vAlign w:val="top"/>
          </w:tcPr>
          <w:p>
            <w:pPr>
              <w:pStyle w:val="TableText"/>
              <w:ind w:left="1473"/>
              <w:spacing w:before="68" w:line="196" w:lineRule="auto"/>
              <w:rPr/>
            </w:pPr>
            <w:r>
              <w:rPr>
                <w:spacing w:val="8"/>
              </w:rPr>
              <w:t>4≤</w:t>
            </w:r>
            <w:r>
              <w:rPr/>
              <w:t>SSC</w:t>
            </w:r>
            <w:r>
              <w:rPr>
                <w:spacing w:val="8"/>
              </w:rPr>
              <w:t>&lt;6</w:t>
            </w:r>
          </w:p>
        </w:tc>
        <w:tc>
          <w:tcPr>
            <w:tcW w:w="3384" w:type="dxa"/>
            <w:vAlign w:val="top"/>
          </w:tcPr>
          <w:p>
            <w:pPr>
              <w:pStyle w:val="TableText"/>
              <w:ind w:left="1237"/>
              <w:spacing w:before="68" w:line="196" w:lineRule="auto"/>
              <w:rPr/>
            </w:pPr>
            <w:r>
              <w:rPr>
                <w:spacing w:val="6"/>
              </w:rPr>
              <w:t>5≤</w:t>
            </w:r>
            <w:r>
              <w:rPr/>
              <w:t>SSC</w:t>
            </w:r>
            <w:r>
              <w:rPr>
                <w:spacing w:val="6"/>
              </w:rPr>
              <w:t>&lt;10</w:t>
            </w:r>
          </w:p>
        </w:tc>
      </w:tr>
      <w:tr>
        <w:trPr>
          <w:trHeight w:val="282" w:hRule="atLeast"/>
        </w:trPr>
        <w:tc>
          <w:tcPr>
            <w:tcW w:w="1933" w:type="dxa"/>
            <w:vAlign w:val="top"/>
          </w:tcPr>
          <w:p>
            <w:pPr>
              <w:ind w:left="449"/>
              <w:spacing w:before="33" w:line="220" w:lineRule="auto"/>
              <w:rPr>
                <w:rFonts w:ascii="SimSun" w:hAnsi="SimSun" w:eastAsia="SimSun" w:cs="SimSun"/>
                <w:sz w:val="20"/>
                <w:szCs w:val="20"/>
              </w:rPr>
            </w:pPr>
            <w:r>
              <w:rPr>
                <w:rFonts w:ascii="SimSun" w:hAnsi="SimSun" w:eastAsia="SimSun" w:cs="SimSun"/>
                <w:sz w:val="20"/>
                <w:szCs w:val="20"/>
                <w:spacing w:val="7"/>
              </w:rPr>
              <w:t>极重度盐化</w:t>
            </w:r>
          </w:p>
        </w:tc>
        <w:tc>
          <w:tcPr>
            <w:tcW w:w="3766" w:type="dxa"/>
            <w:vAlign w:val="top"/>
          </w:tcPr>
          <w:p>
            <w:pPr>
              <w:pStyle w:val="TableText"/>
              <w:ind w:left="1595"/>
              <w:spacing w:before="68" w:line="196" w:lineRule="auto"/>
              <w:rPr/>
            </w:pPr>
            <w:r>
              <w:rPr/>
              <w:t>SSC</w:t>
            </w:r>
            <w:r>
              <w:rPr>
                <w:spacing w:val="6"/>
              </w:rPr>
              <w:t>≥6</w:t>
            </w:r>
          </w:p>
        </w:tc>
        <w:tc>
          <w:tcPr>
            <w:tcW w:w="3384" w:type="dxa"/>
            <w:vAlign w:val="top"/>
          </w:tcPr>
          <w:p>
            <w:pPr>
              <w:pStyle w:val="TableText"/>
              <w:ind w:left="1353"/>
              <w:spacing w:before="68" w:line="196" w:lineRule="auto"/>
              <w:rPr/>
            </w:pPr>
            <w:r>
              <w:rPr/>
              <w:t>SSC</w:t>
            </w:r>
            <w:r>
              <w:rPr>
                <w:spacing w:val="6"/>
              </w:rPr>
              <w:t>≥10</w:t>
            </w:r>
          </w:p>
        </w:tc>
      </w:tr>
    </w:tbl>
    <w:p>
      <w:pPr>
        <w:ind w:left="15"/>
        <w:spacing w:before="29" w:line="228" w:lineRule="auto"/>
        <w:rPr>
          <w:rFonts w:ascii="SimSun" w:hAnsi="SimSun" w:eastAsia="SimSun" w:cs="SimSun"/>
          <w:sz w:val="20"/>
          <w:szCs w:val="20"/>
        </w:rPr>
      </w:pPr>
      <w:r>
        <w:rPr>
          <w:rFonts w:ascii="SimSun" w:hAnsi="SimSun" w:eastAsia="SimSun" w:cs="SimSun"/>
          <w:sz w:val="20"/>
          <w:szCs w:val="20"/>
          <w:spacing w:val="9"/>
        </w:rPr>
        <w:t>注：根据区域自然背景状况适当调整</w:t>
      </w:r>
    </w:p>
    <w:p>
      <w:pPr>
        <w:pStyle w:val="BodyText"/>
        <w:spacing w:line="428" w:lineRule="auto"/>
        <w:rPr/>
      </w:pPr>
      <w:r/>
    </w:p>
    <w:p>
      <w:pPr>
        <w:ind w:left="3472"/>
        <w:spacing w:before="78" w:line="221" w:lineRule="auto"/>
        <w:rPr>
          <w:rFonts w:ascii="SimHei" w:hAnsi="SimHei" w:eastAsia="SimHei" w:cs="SimHei"/>
          <w:sz w:val="24"/>
          <w:szCs w:val="24"/>
        </w:rPr>
      </w:pPr>
      <w:r>
        <w:rPr>
          <w:rFonts w:ascii="SimHei" w:hAnsi="SimHei" w:eastAsia="SimHei" w:cs="SimHei"/>
          <w:sz w:val="24"/>
          <w:szCs w:val="24"/>
          <w:spacing w:val="-1"/>
        </w:rPr>
        <w:t>土壤酸化、碱化分级标准</w:t>
      </w:r>
    </w:p>
    <w:p>
      <w:pPr>
        <w:ind w:left="14"/>
        <w:spacing w:before="71"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4-2-36</w:t>
      </w:r>
    </w:p>
    <w:tbl>
      <w:tblPr>
        <w:tblStyle w:val="TableNormal"/>
        <w:tblW w:w="9083"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04"/>
        <w:gridCol w:w="4879"/>
      </w:tblGrid>
      <w:tr>
        <w:trPr>
          <w:trHeight w:val="280" w:hRule="atLeast"/>
        </w:trPr>
        <w:tc>
          <w:tcPr>
            <w:tcW w:w="4204" w:type="dxa"/>
            <w:vAlign w:val="top"/>
          </w:tcPr>
          <w:p>
            <w:pPr>
              <w:pStyle w:val="TableText"/>
              <w:ind w:left="1614"/>
              <w:spacing w:before="31" w:line="220" w:lineRule="auto"/>
              <w:rPr>
                <w:rFonts w:ascii="SimSun" w:hAnsi="SimSun" w:eastAsia="SimSun" w:cs="SimSun"/>
              </w:rPr>
            </w:pPr>
            <w:r>
              <w:rPr>
                <w:rFonts w:ascii="SimSun" w:hAnsi="SimSun" w:eastAsia="SimSun" w:cs="SimSun"/>
                <w:spacing w:val="8"/>
              </w:rPr>
              <w:t>土壤</w:t>
            </w:r>
            <w:r>
              <w:rPr>
                <w:rFonts w:ascii="SimSun" w:hAnsi="SimSun" w:eastAsia="SimSun" w:cs="SimSun"/>
                <w:spacing w:val="-51"/>
              </w:rPr>
              <w:t xml:space="preserve"> </w:t>
            </w:r>
            <w:r>
              <w:rPr/>
              <w:t>pH</w:t>
            </w:r>
            <w:r>
              <w:rPr>
                <w:spacing w:val="11"/>
              </w:rPr>
              <w:t xml:space="preserve"> </w:t>
            </w:r>
            <w:r>
              <w:rPr>
                <w:rFonts w:ascii="SimSun" w:hAnsi="SimSun" w:eastAsia="SimSun" w:cs="SimSun"/>
                <w:spacing w:val="8"/>
              </w:rPr>
              <w:t>值</w:t>
            </w:r>
          </w:p>
        </w:tc>
        <w:tc>
          <w:tcPr>
            <w:tcW w:w="4879" w:type="dxa"/>
            <w:vAlign w:val="top"/>
          </w:tcPr>
          <w:p>
            <w:pPr>
              <w:ind w:left="1499"/>
              <w:spacing w:before="31" w:line="220" w:lineRule="auto"/>
              <w:rPr>
                <w:rFonts w:ascii="SimSun" w:hAnsi="SimSun" w:eastAsia="SimSun" w:cs="SimSun"/>
                <w:sz w:val="20"/>
                <w:szCs w:val="20"/>
              </w:rPr>
            </w:pPr>
            <w:r>
              <w:rPr>
                <w:rFonts w:ascii="SimSun" w:hAnsi="SimSun" w:eastAsia="SimSun" w:cs="SimSun"/>
                <w:sz w:val="20"/>
                <w:szCs w:val="20"/>
                <w:spacing w:val="8"/>
              </w:rPr>
              <w:t>土壤酸化、碱化程度</w:t>
            </w:r>
          </w:p>
        </w:tc>
      </w:tr>
      <w:tr>
        <w:trPr>
          <w:trHeight w:val="277" w:hRule="atLeast"/>
        </w:trPr>
        <w:tc>
          <w:tcPr>
            <w:tcW w:w="4204" w:type="dxa"/>
            <w:vAlign w:val="top"/>
          </w:tcPr>
          <w:p>
            <w:pPr>
              <w:pStyle w:val="TableText"/>
              <w:ind w:left="1780"/>
              <w:spacing w:before="65" w:line="197" w:lineRule="auto"/>
              <w:rPr/>
            </w:pPr>
            <w:r>
              <w:rPr/>
              <w:t>pH</w:t>
            </w:r>
            <w:r>
              <w:rPr>
                <w:spacing w:val="8"/>
              </w:rPr>
              <w:t>&lt;3.5</w:t>
            </w:r>
          </w:p>
        </w:tc>
        <w:tc>
          <w:tcPr>
            <w:tcW w:w="4879" w:type="dxa"/>
            <w:vAlign w:val="top"/>
          </w:tcPr>
          <w:p>
            <w:pPr>
              <w:ind w:left="1921"/>
              <w:spacing w:before="29" w:line="219" w:lineRule="auto"/>
              <w:rPr>
                <w:rFonts w:ascii="SimSun" w:hAnsi="SimSun" w:eastAsia="SimSun" w:cs="SimSun"/>
                <w:sz w:val="20"/>
                <w:szCs w:val="20"/>
              </w:rPr>
            </w:pPr>
            <w:r>
              <w:rPr>
                <w:rFonts w:ascii="SimSun" w:hAnsi="SimSun" w:eastAsia="SimSun" w:cs="SimSun"/>
                <w:sz w:val="20"/>
                <w:szCs w:val="20"/>
                <w:spacing w:val="7"/>
              </w:rPr>
              <w:t>极重度酸化</w:t>
            </w:r>
          </w:p>
        </w:tc>
      </w:tr>
      <w:tr>
        <w:trPr>
          <w:trHeight w:val="278" w:hRule="atLeast"/>
        </w:trPr>
        <w:tc>
          <w:tcPr>
            <w:tcW w:w="4204" w:type="dxa"/>
            <w:vAlign w:val="top"/>
          </w:tcPr>
          <w:p>
            <w:pPr>
              <w:pStyle w:val="TableText"/>
              <w:ind w:left="1601"/>
              <w:spacing w:before="66" w:line="197" w:lineRule="auto"/>
              <w:rPr/>
            </w:pPr>
            <w:r>
              <w:rPr>
                <w:spacing w:val="4"/>
              </w:rPr>
              <w:t>3.5≤</w:t>
            </w:r>
            <w:r>
              <w:rPr/>
              <w:t>pH</w:t>
            </w:r>
            <w:r>
              <w:rPr>
                <w:spacing w:val="4"/>
              </w:rPr>
              <w:t>&lt;4.0</w:t>
            </w:r>
          </w:p>
        </w:tc>
        <w:tc>
          <w:tcPr>
            <w:tcW w:w="4879" w:type="dxa"/>
            <w:vAlign w:val="top"/>
          </w:tcPr>
          <w:p>
            <w:pPr>
              <w:ind w:left="2025"/>
              <w:spacing w:before="30" w:line="219" w:lineRule="auto"/>
              <w:rPr>
                <w:rFonts w:ascii="SimSun" w:hAnsi="SimSun" w:eastAsia="SimSun" w:cs="SimSun"/>
                <w:sz w:val="20"/>
                <w:szCs w:val="20"/>
              </w:rPr>
            </w:pPr>
            <w:r>
              <w:rPr>
                <w:rFonts w:ascii="SimSun" w:hAnsi="SimSun" w:eastAsia="SimSun" w:cs="SimSun"/>
                <w:sz w:val="20"/>
                <w:szCs w:val="20"/>
                <w:spacing w:val="7"/>
              </w:rPr>
              <w:t>重度酸化</w:t>
            </w:r>
          </w:p>
        </w:tc>
      </w:tr>
      <w:tr>
        <w:trPr>
          <w:trHeight w:val="275" w:hRule="atLeast"/>
        </w:trPr>
        <w:tc>
          <w:tcPr>
            <w:tcW w:w="4204" w:type="dxa"/>
            <w:vAlign w:val="top"/>
          </w:tcPr>
          <w:p>
            <w:pPr>
              <w:pStyle w:val="TableText"/>
              <w:ind w:left="1596"/>
              <w:spacing w:before="64" w:line="197" w:lineRule="auto"/>
              <w:rPr/>
            </w:pPr>
            <w:r>
              <w:rPr>
                <w:spacing w:val="5"/>
              </w:rPr>
              <w:t>4.0≤</w:t>
            </w:r>
            <w:r>
              <w:rPr/>
              <w:t>pH</w:t>
            </w:r>
            <w:r>
              <w:rPr>
                <w:spacing w:val="5"/>
              </w:rPr>
              <w:t>&lt;4.5</w:t>
            </w:r>
          </w:p>
        </w:tc>
        <w:tc>
          <w:tcPr>
            <w:tcW w:w="4879" w:type="dxa"/>
            <w:vAlign w:val="top"/>
          </w:tcPr>
          <w:p>
            <w:pPr>
              <w:ind w:left="2044"/>
              <w:spacing w:before="28" w:line="218" w:lineRule="auto"/>
              <w:rPr>
                <w:rFonts w:ascii="SimSun" w:hAnsi="SimSun" w:eastAsia="SimSun" w:cs="SimSun"/>
                <w:sz w:val="20"/>
                <w:szCs w:val="20"/>
              </w:rPr>
            </w:pPr>
            <w:r>
              <w:rPr>
                <w:rFonts w:ascii="SimSun" w:hAnsi="SimSun" w:eastAsia="SimSun" w:cs="SimSun"/>
                <w:sz w:val="20"/>
                <w:szCs w:val="20"/>
                <w:spacing w:val="2"/>
              </w:rPr>
              <w:t>中度酸化</w:t>
            </w:r>
          </w:p>
        </w:tc>
      </w:tr>
      <w:tr>
        <w:trPr>
          <w:trHeight w:val="278" w:hRule="atLeast"/>
        </w:trPr>
        <w:tc>
          <w:tcPr>
            <w:tcW w:w="4204" w:type="dxa"/>
            <w:vAlign w:val="top"/>
          </w:tcPr>
          <w:p>
            <w:pPr>
              <w:pStyle w:val="TableText"/>
              <w:ind w:left="1596"/>
              <w:spacing w:before="67" w:line="197" w:lineRule="auto"/>
              <w:rPr/>
            </w:pPr>
            <w:r>
              <w:rPr>
                <w:spacing w:val="5"/>
              </w:rPr>
              <w:t>4.5≤</w:t>
            </w:r>
            <w:r>
              <w:rPr/>
              <w:t>pH</w:t>
            </w:r>
            <w:r>
              <w:rPr>
                <w:spacing w:val="5"/>
              </w:rPr>
              <w:t>&lt;5.5</w:t>
            </w:r>
          </w:p>
        </w:tc>
        <w:tc>
          <w:tcPr>
            <w:tcW w:w="4879" w:type="dxa"/>
            <w:vAlign w:val="top"/>
          </w:tcPr>
          <w:p>
            <w:pPr>
              <w:ind w:left="2025"/>
              <w:spacing w:before="31" w:line="218" w:lineRule="auto"/>
              <w:rPr>
                <w:rFonts w:ascii="SimSun" w:hAnsi="SimSun" w:eastAsia="SimSun" w:cs="SimSun"/>
                <w:sz w:val="20"/>
                <w:szCs w:val="20"/>
              </w:rPr>
            </w:pPr>
            <w:r>
              <w:rPr>
                <w:rFonts w:ascii="SimSun" w:hAnsi="SimSun" w:eastAsia="SimSun" w:cs="SimSun"/>
                <w:sz w:val="20"/>
                <w:szCs w:val="20"/>
                <w:spacing w:val="7"/>
              </w:rPr>
              <w:t>轻度酸化</w:t>
            </w:r>
          </w:p>
        </w:tc>
      </w:tr>
      <w:tr>
        <w:trPr>
          <w:trHeight w:val="278" w:hRule="atLeast"/>
        </w:trPr>
        <w:tc>
          <w:tcPr>
            <w:tcW w:w="4204" w:type="dxa"/>
            <w:vAlign w:val="top"/>
          </w:tcPr>
          <w:p>
            <w:pPr>
              <w:pStyle w:val="TableText"/>
              <w:ind w:left="1603"/>
              <w:spacing w:before="67" w:line="197" w:lineRule="auto"/>
              <w:rPr/>
            </w:pPr>
            <w:r>
              <w:rPr>
                <w:spacing w:val="4"/>
              </w:rPr>
              <w:t>5.5≤</w:t>
            </w:r>
            <w:r>
              <w:rPr/>
              <w:t>pH</w:t>
            </w:r>
            <w:r>
              <w:rPr>
                <w:spacing w:val="4"/>
              </w:rPr>
              <w:t>&lt;8.5</w:t>
            </w:r>
          </w:p>
        </w:tc>
        <w:tc>
          <w:tcPr>
            <w:tcW w:w="4879" w:type="dxa"/>
            <w:vAlign w:val="top"/>
          </w:tcPr>
          <w:p>
            <w:pPr>
              <w:ind w:left="1815"/>
              <w:spacing w:before="31" w:line="218"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5" w:hRule="atLeast"/>
        </w:trPr>
        <w:tc>
          <w:tcPr>
            <w:tcW w:w="4204" w:type="dxa"/>
            <w:vAlign w:val="top"/>
          </w:tcPr>
          <w:p>
            <w:pPr>
              <w:pStyle w:val="TableText"/>
              <w:ind w:left="1606"/>
              <w:spacing w:before="65" w:line="197" w:lineRule="auto"/>
              <w:rPr/>
            </w:pPr>
            <w:r>
              <w:rPr>
                <w:spacing w:val="4"/>
              </w:rPr>
              <w:t>8.5≤</w:t>
            </w:r>
            <w:r>
              <w:rPr/>
              <w:t>pH</w:t>
            </w:r>
            <w:r>
              <w:rPr>
                <w:spacing w:val="4"/>
              </w:rPr>
              <w:t>&lt;9.0</w:t>
            </w:r>
          </w:p>
        </w:tc>
        <w:tc>
          <w:tcPr>
            <w:tcW w:w="4879" w:type="dxa"/>
            <w:vAlign w:val="top"/>
          </w:tcPr>
          <w:p>
            <w:pPr>
              <w:ind w:left="2025"/>
              <w:spacing w:before="29" w:line="217" w:lineRule="auto"/>
              <w:rPr>
                <w:rFonts w:ascii="SimSun" w:hAnsi="SimSun" w:eastAsia="SimSun" w:cs="SimSun"/>
                <w:sz w:val="20"/>
                <w:szCs w:val="20"/>
              </w:rPr>
            </w:pPr>
            <w:r>
              <w:rPr>
                <w:rFonts w:ascii="SimSun" w:hAnsi="SimSun" w:eastAsia="SimSun" w:cs="SimSun"/>
                <w:sz w:val="20"/>
                <w:szCs w:val="20"/>
                <w:spacing w:val="7"/>
              </w:rPr>
              <w:t>轻度碱化</w:t>
            </w:r>
          </w:p>
        </w:tc>
      </w:tr>
      <w:tr>
        <w:trPr>
          <w:trHeight w:val="278" w:hRule="atLeast"/>
        </w:trPr>
        <w:tc>
          <w:tcPr>
            <w:tcW w:w="4204" w:type="dxa"/>
            <w:vAlign w:val="top"/>
          </w:tcPr>
          <w:p>
            <w:pPr>
              <w:pStyle w:val="TableText"/>
              <w:ind w:left="1601"/>
              <w:spacing w:before="68" w:line="197" w:lineRule="auto"/>
              <w:rPr/>
            </w:pPr>
            <w:r>
              <w:rPr>
                <w:spacing w:val="4"/>
              </w:rPr>
              <w:t>9.0≤</w:t>
            </w:r>
            <w:r>
              <w:rPr/>
              <w:t>pH</w:t>
            </w:r>
            <w:r>
              <w:rPr>
                <w:spacing w:val="4"/>
              </w:rPr>
              <w:t>&lt;9.5</w:t>
            </w:r>
          </w:p>
        </w:tc>
        <w:tc>
          <w:tcPr>
            <w:tcW w:w="4879" w:type="dxa"/>
            <w:vAlign w:val="top"/>
          </w:tcPr>
          <w:p>
            <w:pPr>
              <w:ind w:left="2044"/>
              <w:spacing w:before="32" w:line="217" w:lineRule="auto"/>
              <w:rPr>
                <w:rFonts w:ascii="SimSun" w:hAnsi="SimSun" w:eastAsia="SimSun" w:cs="SimSun"/>
                <w:sz w:val="20"/>
                <w:szCs w:val="20"/>
              </w:rPr>
            </w:pPr>
            <w:r>
              <w:rPr>
                <w:rFonts w:ascii="SimSun" w:hAnsi="SimSun" w:eastAsia="SimSun" w:cs="SimSun"/>
                <w:sz w:val="20"/>
                <w:szCs w:val="20"/>
                <w:spacing w:val="2"/>
              </w:rPr>
              <w:t>中度碱化</w:t>
            </w:r>
          </w:p>
        </w:tc>
      </w:tr>
      <w:tr>
        <w:trPr>
          <w:trHeight w:val="275" w:hRule="atLeast"/>
        </w:trPr>
        <w:tc>
          <w:tcPr>
            <w:tcW w:w="4204" w:type="dxa"/>
            <w:vAlign w:val="top"/>
          </w:tcPr>
          <w:p>
            <w:pPr>
              <w:pStyle w:val="TableText"/>
              <w:ind w:left="1548"/>
              <w:spacing w:before="69" w:line="197" w:lineRule="auto"/>
              <w:rPr/>
            </w:pPr>
            <w:r>
              <w:rPr>
                <w:spacing w:val="4"/>
              </w:rPr>
              <w:t>9.5≤</w:t>
            </w:r>
            <w:r>
              <w:rPr/>
              <w:t>pH</w:t>
            </w:r>
            <w:r>
              <w:rPr>
                <w:spacing w:val="4"/>
              </w:rPr>
              <w:t>&lt;10.0</w:t>
            </w:r>
          </w:p>
        </w:tc>
        <w:tc>
          <w:tcPr>
            <w:tcW w:w="4879" w:type="dxa"/>
            <w:vAlign w:val="top"/>
          </w:tcPr>
          <w:p>
            <w:pPr>
              <w:ind w:left="2025"/>
              <w:spacing w:before="33" w:line="214" w:lineRule="auto"/>
              <w:rPr>
                <w:rFonts w:ascii="SimSun" w:hAnsi="SimSun" w:eastAsia="SimSun" w:cs="SimSun"/>
                <w:sz w:val="20"/>
                <w:szCs w:val="20"/>
              </w:rPr>
            </w:pPr>
            <w:r>
              <w:rPr>
                <w:rFonts w:ascii="SimSun" w:hAnsi="SimSun" w:eastAsia="SimSun" w:cs="SimSun"/>
                <w:sz w:val="20"/>
                <w:szCs w:val="20"/>
                <w:spacing w:val="7"/>
              </w:rPr>
              <w:t>重度碱化</w:t>
            </w:r>
          </w:p>
        </w:tc>
      </w:tr>
      <w:tr>
        <w:trPr>
          <w:trHeight w:val="282" w:hRule="atLeast"/>
        </w:trPr>
        <w:tc>
          <w:tcPr>
            <w:tcW w:w="4204" w:type="dxa"/>
            <w:vAlign w:val="top"/>
          </w:tcPr>
          <w:p>
            <w:pPr>
              <w:pStyle w:val="TableText"/>
              <w:ind w:left="1729"/>
              <w:spacing w:before="72" w:line="197" w:lineRule="auto"/>
              <w:rPr/>
            </w:pPr>
            <w:r>
              <w:rPr/>
              <w:t>pH</w:t>
            </w:r>
            <w:r>
              <w:rPr>
                <w:spacing w:val="7"/>
              </w:rPr>
              <w:t>≥10.0</w:t>
            </w:r>
          </w:p>
        </w:tc>
        <w:tc>
          <w:tcPr>
            <w:tcW w:w="4879" w:type="dxa"/>
            <w:vAlign w:val="top"/>
          </w:tcPr>
          <w:p>
            <w:pPr>
              <w:ind w:left="1921"/>
              <w:spacing w:before="36" w:line="217" w:lineRule="auto"/>
              <w:rPr>
                <w:rFonts w:ascii="SimSun" w:hAnsi="SimSun" w:eastAsia="SimSun" w:cs="SimSun"/>
                <w:sz w:val="20"/>
                <w:szCs w:val="20"/>
              </w:rPr>
            </w:pPr>
            <w:r>
              <w:rPr>
                <w:rFonts w:ascii="SimSun" w:hAnsi="SimSun" w:eastAsia="SimSun" w:cs="SimSun"/>
                <w:sz w:val="20"/>
                <w:szCs w:val="20"/>
                <w:spacing w:val="7"/>
              </w:rPr>
              <w:t>极重度碱化</w:t>
            </w:r>
          </w:p>
        </w:tc>
      </w:tr>
    </w:tbl>
    <w:p>
      <w:pPr>
        <w:ind w:left="3232" w:right="323" w:hanging="3217"/>
        <w:spacing w:before="28" w:line="366" w:lineRule="auto"/>
        <w:rPr>
          <w:rFonts w:ascii="SimHei" w:hAnsi="SimHei" w:eastAsia="SimHei" w:cs="SimHei"/>
          <w:sz w:val="24"/>
          <w:szCs w:val="24"/>
        </w:rPr>
      </w:pPr>
      <w:r>
        <w:rPr>
          <w:rFonts w:ascii="SimSun" w:hAnsi="SimSun" w:eastAsia="SimSun" w:cs="SimSun"/>
          <w:sz w:val="20"/>
          <w:szCs w:val="20"/>
          <w:spacing w:val="10"/>
        </w:rPr>
        <w:t>注：土壤酸化、碱化强度指受人为影响后呈现的土壤</w:t>
      </w:r>
      <w:r>
        <w:rPr>
          <w:rFonts w:ascii="SimSun" w:hAnsi="SimSun" w:eastAsia="SimSun" w:cs="SimSun"/>
          <w:sz w:val="20"/>
          <w:szCs w:val="20"/>
          <w:spacing w:val="-45"/>
        </w:rPr>
        <w:t xml:space="preserve"> </w:t>
      </w:r>
      <w:r>
        <w:rPr>
          <w:rFonts w:ascii="Times New Roman" w:hAnsi="Times New Roman" w:eastAsia="Times New Roman" w:cs="Times New Roman"/>
          <w:sz w:val="20"/>
          <w:szCs w:val="20"/>
        </w:rPr>
        <w:t>pH</w:t>
      </w:r>
      <w:r>
        <w:rPr>
          <w:rFonts w:ascii="Times New Roman" w:hAnsi="Times New Roman" w:eastAsia="Times New Roman" w:cs="Times New Roman"/>
          <w:sz w:val="20"/>
          <w:szCs w:val="20"/>
          <w:spacing w:val="10"/>
        </w:rPr>
        <w:t xml:space="preserve"> </w:t>
      </w:r>
      <w:r>
        <w:rPr>
          <w:rFonts w:ascii="SimSun" w:hAnsi="SimSun" w:eastAsia="SimSun" w:cs="SimSun"/>
          <w:sz w:val="20"/>
          <w:szCs w:val="20"/>
          <w:spacing w:val="10"/>
        </w:rPr>
        <w:t>值，可根据区域自然背景</w:t>
      </w:r>
      <w:r>
        <w:rPr>
          <w:rFonts w:ascii="SimSun" w:hAnsi="SimSun" w:eastAsia="SimSun" w:cs="SimSun"/>
          <w:sz w:val="20"/>
          <w:szCs w:val="20"/>
          <w:spacing w:val="9"/>
        </w:rPr>
        <w:t>状况适当调整</w:t>
      </w:r>
      <w:r>
        <w:rPr>
          <w:rFonts w:ascii="SimHei" w:hAnsi="SimHei" w:eastAsia="SimHei" w:cs="SimHei"/>
          <w:sz w:val="24"/>
          <w:szCs w:val="24"/>
          <w:spacing w:val="-1"/>
        </w:rPr>
        <w:t>土壤现状监测结果及分析结果</w:t>
      </w:r>
    </w:p>
    <w:p>
      <w:pPr>
        <w:ind w:left="14"/>
        <w:spacing w:line="225"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4-2-37</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123"/>
        <w:gridCol w:w="2216"/>
        <w:gridCol w:w="1094"/>
        <w:gridCol w:w="1137"/>
        <w:gridCol w:w="1513"/>
      </w:tblGrid>
      <w:tr>
        <w:trPr>
          <w:trHeight w:val="553" w:hRule="atLeast"/>
        </w:trPr>
        <w:tc>
          <w:tcPr>
            <w:tcW w:w="3123" w:type="dxa"/>
            <w:vAlign w:val="top"/>
          </w:tcPr>
          <w:p>
            <w:pPr>
              <w:ind w:left="1148"/>
              <w:spacing w:before="170" w:line="229" w:lineRule="auto"/>
              <w:rPr>
                <w:rFonts w:ascii="SimSun" w:hAnsi="SimSun" w:eastAsia="SimSun" w:cs="SimSun"/>
                <w:sz w:val="20"/>
                <w:szCs w:val="20"/>
              </w:rPr>
            </w:pPr>
            <w:r>
              <w:rPr>
                <w:rFonts w:ascii="SimSun" w:hAnsi="SimSun" w:eastAsia="SimSun" w:cs="SimSun"/>
                <w:sz w:val="20"/>
                <w:szCs w:val="20"/>
                <w:spacing w:val="7"/>
              </w:rPr>
              <w:t>监测点位</w:t>
            </w:r>
          </w:p>
        </w:tc>
        <w:tc>
          <w:tcPr>
            <w:tcW w:w="2216" w:type="dxa"/>
            <w:vAlign w:val="top"/>
          </w:tcPr>
          <w:p>
            <w:pPr>
              <w:pStyle w:val="TableText"/>
              <w:ind w:left="164"/>
              <w:spacing w:before="33" w:line="228" w:lineRule="auto"/>
              <w:rPr/>
            </w:pPr>
            <w:r>
              <w:rPr>
                <w:rFonts w:ascii="SimSun" w:hAnsi="SimSun" w:eastAsia="SimSun" w:cs="SimSun"/>
                <w:spacing w:val="9"/>
              </w:rPr>
              <w:t>土壤含盐量（</w:t>
            </w:r>
            <w:r>
              <w:rPr/>
              <w:t>SSC</w:t>
            </w:r>
            <w:r>
              <w:rPr>
                <w:rFonts w:ascii="SimSun" w:hAnsi="SimSun" w:eastAsia="SimSun" w:cs="SimSun"/>
                <w:spacing w:val="9"/>
              </w:rPr>
              <w:t>）</w:t>
            </w:r>
            <w:r>
              <w:rPr>
                <w:spacing w:val="9"/>
              </w:rPr>
              <w:t>/</w:t>
            </w:r>
          </w:p>
          <w:p>
            <w:pPr>
              <w:pStyle w:val="TableText"/>
              <w:ind w:left="725"/>
              <w:spacing w:before="27" w:line="217" w:lineRule="auto"/>
              <w:rPr>
                <w:rFonts w:ascii="SimSun" w:hAnsi="SimSun" w:eastAsia="SimSun" w:cs="SimSun"/>
              </w:rPr>
            </w:pPr>
            <w:r>
              <w:rPr>
                <w:rFonts w:ascii="SimSun" w:hAnsi="SimSun" w:eastAsia="SimSun" w:cs="SimSun"/>
                <w:spacing w:val="2"/>
              </w:rPr>
              <w:t>（</w:t>
            </w:r>
            <w:r>
              <w:rPr>
                <w:spacing w:val="2"/>
              </w:rPr>
              <w:t>g/</w:t>
            </w:r>
            <w:r>
              <w:rPr/>
              <w:t>kg</w:t>
            </w:r>
            <w:r>
              <w:rPr>
                <w:rFonts w:ascii="SimSun" w:hAnsi="SimSun" w:eastAsia="SimSun" w:cs="SimSun"/>
                <w:spacing w:val="2"/>
              </w:rPr>
              <w:t>）</w:t>
            </w:r>
          </w:p>
        </w:tc>
        <w:tc>
          <w:tcPr>
            <w:tcW w:w="1094" w:type="dxa"/>
            <w:vAlign w:val="top"/>
          </w:tcPr>
          <w:p>
            <w:pPr>
              <w:ind w:left="133"/>
              <w:spacing w:before="171" w:line="228" w:lineRule="auto"/>
              <w:rPr>
                <w:rFonts w:ascii="SimSun" w:hAnsi="SimSun" w:eastAsia="SimSun" w:cs="SimSun"/>
                <w:sz w:val="20"/>
                <w:szCs w:val="20"/>
              </w:rPr>
            </w:pPr>
            <w:r>
              <w:rPr>
                <w:rFonts w:ascii="SimSun" w:hAnsi="SimSun" w:eastAsia="SimSun" w:cs="SimSun"/>
                <w:sz w:val="20"/>
                <w:szCs w:val="20"/>
                <w:spacing w:val="6"/>
              </w:rPr>
              <w:t>分析结果</w:t>
            </w:r>
          </w:p>
        </w:tc>
        <w:tc>
          <w:tcPr>
            <w:tcW w:w="1137" w:type="dxa"/>
            <w:vAlign w:val="top"/>
          </w:tcPr>
          <w:p>
            <w:pPr>
              <w:pStyle w:val="TableText"/>
              <w:ind w:left="79"/>
              <w:spacing w:before="170" w:line="221" w:lineRule="auto"/>
              <w:rPr>
                <w:rFonts w:ascii="SimSun" w:hAnsi="SimSun" w:eastAsia="SimSun" w:cs="SimSun"/>
              </w:rPr>
            </w:pPr>
            <w:r>
              <w:rPr>
                <w:rFonts w:ascii="SimSun" w:hAnsi="SimSun" w:eastAsia="SimSun" w:cs="SimSun"/>
                <w:spacing w:val="8"/>
              </w:rPr>
              <w:t>土壤</w:t>
            </w:r>
            <w:r>
              <w:rPr>
                <w:rFonts w:ascii="SimSun" w:hAnsi="SimSun" w:eastAsia="SimSun" w:cs="SimSun"/>
                <w:spacing w:val="-48"/>
              </w:rPr>
              <w:t xml:space="preserve"> </w:t>
            </w:r>
            <w:r>
              <w:rPr/>
              <w:t>pH</w:t>
            </w:r>
            <w:r>
              <w:rPr>
                <w:spacing w:val="11"/>
              </w:rPr>
              <w:t xml:space="preserve"> </w:t>
            </w:r>
            <w:r>
              <w:rPr>
                <w:rFonts w:ascii="SimSun" w:hAnsi="SimSun" w:eastAsia="SimSun" w:cs="SimSun"/>
                <w:spacing w:val="8"/>
              </w:rPr>
              <w:t>值</w:t>
            </w:r>
          </w:p>
        </w:tc>
        <w:tc>
          <w:tcPr>
            <w:tcW w:w="1513" w:type="dxa"/>
            <w:vAlign w:val="top"/>
          </w:tcPr>
          <w:p>
            <w:pPr>
              <w:ind w:left="343"/>
              <w:spacing w:before="171" w:line="228" w:lineRule="auto"/>
              <w:rPr>
                <w:rFonts w:ascii="SimSun" w:hAnsi="SimSun" w:eastAsia="SimSun" w:cs="SimSun"/>
                <w:sz w:val="20"/>
                <w:szCs w:val="20"/>
              </w:rPr>
            </w:pPr>
            <w:r>
              <w:rPr>
                <w:rFonts w:ascii="SimSun" w:hAnsi="SimSun" w:eastAsia="SimSun" w:cs="SimSun"/>
                <w:sz w:val="20"/>
                <w:szCs w:val="20"/>
                <w:spacing w:val="6"/>
              </w:rPr>
              <w:t>分析结果</w:t>
            </w:r>
          </w:p>
        </w:tc>
      </w:tr>
      <w:tr>
        <w:trPr>
          <w:trHeight w:val="278" w:hRule="atLeast"/>
        </w:trPr>
        <w:tc>
          <w:tcPr>
            <w:tcW w:w="3123" w:type="dxa"/>
            <w:vAlign w:val="top"/>
          </w:tcPr>
          <w:p>
            <w:pPr>
              <w:pStyle w:val="TableText"/>
              <w:ind w:left="846"/>
              <w:spacing w:before="30" w:line="219" w:lineRule="auto"/>
              <w:rPr>
                <w:rFonts w:ascii="SimSun" w:hAnsi="SimSun" w:eastAsia="SimSun" w:cs="SimSun"/>
              </w:rPr>
            </w:pPr>
            <w:r>
              <w:rPr>
                <w:spacing w:val="6"/>
              </w:rPr>
              <w:t>T13 </w:t>
            </w:r>
            <w:r>
              <w:rPr>
                <w:rFonts w:ascii="SimSun" w:hAnsi="SimSun" w:eastAsia="SimSun" w:cs="SimSun"/>
                <w:spacing w:val="6"/>
              </w:rPr>
              <w:t>露天矿中部</w:t>
            </w:r>
          </w:p>
        </w:tc>
        <w:tc>
          <w:tcPr>
            <w:tcW w:w="2216" w:type="dxa"/>
            <w:vAlign w:val="top"/>
          </w:tcPr>
          <w:p>
            <w:pPr>
              <w:pStyle w:val="TableText"/>
              <w:ind w:left="945"/>
              <w:spacing w:before="51" w:line="195" w:lineRule="auto"/>
              <w:rPr/>
            </w:pPr>
            <w:r>
              <w:rPr>
                <w:spacing w:val="-2"/>
              </w:rPr>
              <w:t>1.78</w:t>
            </w:r>
          </w:p>
        </w:tc>
        <w:tc>
          <w:tcPr>
            <w:tcW w:w="1094" w:type="dxa"/>
            <w:vAlign w:val="top"/>
          </w:tcPr>
          <w:p>
            <w:pPr>
              <w:ind w:left="132"/>
              <w:spacing w:before="30" w:line="219"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0"/>
              <w:spacing w:before="51" w:line="195" w:lineRule="auto"/>
              <w:rPr/>
            </w:pPr>
            <w:r>
              <w:rPr>
                <w:spacing w:val="2"/>
              </w:rPr>
              <w:t>7.78</w:t>
            </w:r>
          </w:p>
        </w:tc>
        <w:tc>
          <w:tcPr>
            <w:tcW w:w="1513" w:type="dxa"/>
            <w:vAlign w:val="top"/>
          </w:tcPr>
          <w:p>
            <w:pPr>
              <w:ind w:left="134"/>
              <w:spacing w:before="30" w:line="219"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5" w:hRule="atLeast"/>
        </w:trPr>
        <w:tc>
          <w:tcPr>
            <w:tcW w:w="3123" w:type="dxa"/>
            <w:vAlign w:val="top"/>
          </w:tcPr>
          <w:p>
            <w:pPr>
              <w:pStyle w:val="TableText"/>
              <w:ind w:left="685"/>
              <w:spacing w:before="31" w:line="216" w:lineRule="auto"/>
              <w:rPr/>
            </w:pPr>
            <w:r>
              <w:rPr>
                <w:spacing w:val="5"/>
              </w:rPr>
              <w:t>T14 </w:t>
            </w:r>
            <w:r>
              <w:rPr>
                <w:rFonts w:ascii="SimSun" w:hAnsi="SimSun" w:eastAsia="SimSun" w:cs="SimSun"/>
                <w:spacing w:val="5"/>
              </w:rPr>
              <w:t>北矿界内</w:t>
            </w:r>
            <w:r>
              <w:rPr>
                <w:rFonts w:ascii="SimSun" w:hAnsi="SimSun" w:eastAsia="SimSun" w:cs="SimSun"/>
                <w:spacing w:val="-35"/>
              </w:rPr>
              <w:t xml:space="preserve"> </w:t>
            </w:r>
            <w:r>
              <w:rPr>
                <w:spacing w:val="5"/>
              </w:rPr>
              <w:t>200m</w:t>
            </w:r>
          </w:p>
        </w:tc>
        <w:tc>
          <w:tcPr>
            <w:tcW w:w="2216" w:type="dxa"/>
            <w:vAlign w:val="top"/>
          </w:tcPr>
          <w:p>
            <w:pPr>
              <w:pStyle w:val="TableText"/>
              <w:ind w:left="945"/>
              <w:spacing w:before="51" w:line="195" w:lineRule="auto"/>
              <w:rPr/>
            </w:pPr>
            <w:r>
              <w:rPr>
                <w:spacing w:val="-2"/>
              </w:rPr>
              <w:t>1.86</w:t>
            </w:r>
          </w:p>
        </w:tc>
        <w:tc>
          <w:tcPr>
            <w:tcW w:w="1094" w:type="dxa"/>
            <w:vAlign w:val="top"/>
          </w:tcPr>
          <w:p>
            <w:pPr>
              <w:ind w:left="132"/>
              <w:spacing w:before="31" w:line="216"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0"/>
              <w:spacing w:before="51" w:line="195" w:lineRule="auto"/>
              <w:rPr/>
            </w:pPr>
            <w:r>
              <w:rPr>
                <w:spacing w:val="2"/>
              </w:rPr>
              <w:t>7.43</w:t>
            </w:r>
          </w:p>
        </w:tc>
        <w:tc>
          <w:tcPr>
            <w:tcW w:w="1513" w:type="dxa"/>
            <w:vAlign w:val="top"/>
          </w:tcPr>
          <w:p>
            <w:pPr>
              <w:ind w:left="134"/>
              <w:spacing w:before="31" w:line="216"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8" w:hRule="atLeast"/>
        </w:trPr>
        <w:tc>
          <w:tcPr>
            <w:tcW w:w="3123" w:type="dxa"/>
            <w:vAlign w:val="top"/>
          </w:tcPr>
          <w:p>
            <w:pPr>
              <w:pStyle w:val="TableText"/>
              <w:ind w:left="104"/>
              <w:spacing w:before="33" w:line="216" w:lineRule="auto"/>
              <w:rPr/>
            </w:pPr>
            <w:r>
              <w:rPr>
                <w:spacing w:val="5"/>
              </w:rPr>
              <w:t>T15 </w:t>
            </w:r>
            <w:r>
              <w:rPr>
                <w:rFonts w:ascii="SimSun" w:hAnsi="SimSun" w:eastAsia="SimSun" w:cs="SimSun"/>
                <w:spacing w:val="5"/>
              </w:rPr>
              <w:t>井工矿风井场地北侧</w:t>
            </w:r>
            <w:r>
              <w:rPr>
                <w:rFonts w:ascii="SimSun" w:hAnsi="SimSun" w:eastAsia="SimSun" w:cs="SimSun"/>
                <w:spacing w:val="-8"/>
              </w:rPr>
              <w:t xml:space="preserve"> </w:t>
            </w:r>
            <w:r>
              <w:rPr>
                <w:spacing w:val="5"/>
              </w:rPr>
              <w:t>1000m</w:t>
            </w:r>
          </w:p>
        </w:tc>
        <w:tc>
          <w:tcPr>
            <w:tcW w:w="2216" w:type="dxa"/>
            <w:vAlign w:val="top"/>
          </w:tcPr>
          <w:p>
            <w:pPr>
              <w:pStyle w:val="TableText"/>
              <w:ind w:left="945"/>
              <w:spacing w:before="52" w:line="195" w:lineRule="auto"/>
              <w:rPr/>
            </w:pPr>
            <w:r>
              <w:rPr>
                <w:spacing w:val="-2"/>
              </w:rPr>
              <w:t>1.69</w:t>
            </w:r>
          </w:p>
        </w:tc>
        <w:tc>
          <w:tcPr>
            <w:tcW w:w="1094" w:type="dxa"/>
            <w:vAlign w:val="top"/>
          </w:tcPr>
          <w:p>
            <w:pPr>
              <w:ind w:left="132"/>
              <w:spacing w:before="33" w:line="216"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0"/>
              <w:spacing w:before="52" w:line="195" w:lineRule="auto"/>
              <w:rPr/>
            </w:pPr>
            <w:r>
              <w:rPr>
                <w:spacing w:val="2"/>
              </w:rPr>
              <w:t>7.69</w:t>
            </w:r>
          </w:p>
        </w:tc>
        <w:tc>
          <w:tcPr>
            <w:tcW w:w="1513" w:type="dxa"/>
            <w:vAlign w:val="top"/>
          </w:tcPr>
          <w:p>
            <w:pPr>
              <w:ind w:left="134"/>
              <w:spacing w:before="33" w:line="216"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7" w:hRule="atLeast"/>
        </w:trPr>
        <w:tc>
          <w:tcPr>
            <w:tcW w:w="3123" w:type="dxa"/>
            <w:vAlign w:val="top"/>
          </w:tcPr>
          <w:p>
            <w:pPr>
              <w:pStyle w:val="TableText"/>
              <w:ind w:left="529"/>
              <w:spacing w:before="31" w:line="217" w:lineRule="auto"/>
              <w:rPr>
                <w:rFonts w:ascii="SimSun" w:hAnsi="SimSun" w:eastAsia="SimSun" w:cs="SimSun"/>
              </w:rPr>
            </w:pPr>
            <w:r>
              <w:rPr>
                <w:spacing w:val="6"/>
              </w:rPr>
              <w:t>T16</w:t>
            </w:r>
            <w:r>
              <w:rPr>
                <w:spacing w:val="23"/>
                <w:w w:val="101"/>
              </w:rPr>
              <w:t xml:space="preserve"> </w:t>
            </w:r>
            <w:r>
              <w:rPr>
                <w:rFonts w:ascii="SimSun" w:hAnsi="SimSun" w:eastAsia="SimSun" w:cs="SimSun"/>
                <w:spacing w:val="6"/>
              </w:rPr>
              <w:t>露天矿内西边界处</w:t>
            </w:r>
          </w:p>
        </w:tc>
        <w:tc>
          <w:tcPr>
            <w:tcW w:w="2216" w:type="dxa"/>
            <w:vAlign w:val="top"/>
          </w:tcPr>
          <w:p>
            <w:pPr>
              <w:pStyle w:val="TableText"/>
              <w:ind w:left="945"/>
              <w:spacing w:before="52" w:line="195" w:lineRule="auto"/>
              <w:rPr/>
            </w:pPr>
            <w:r>
              <w:rPr>
                <w:spacing w:val="-2"/>
              </w:rPr>
              <w:t>1.84</w:t>
            </w:r>
          </w:p>
        </w:tc>
        <w:tc>
          <w:tcPr>
            <w:tcW w:w="1094" w:type="dxa"/>
            <w:vAlign w:val="top"/>
          </w:tcPr>
          <w:p>
            <w:pPr>
              <w:ind w:left="132"/>
              <w:spacing w:before="31" w:line="217"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440"/>
              <w:spacing w:before="52" w:line="195" w:lineRule="auto"/>
              <w:rPr/>
            </w:pPr>
            <w:r>
              <w:rPr>
                <w:spacing w:val="2"/>
              </w:rPr>
              <w:t>7.9</w:t>
            </w:r>
          </w:p>
        </w:tc>
        <w:tc>
          <w:tcPr>
            <w:tcW w:w="1513" w:type="dxa"/>
            <w:vAlign w:val="top"/>
          </w:tcPr>
          <w:p>
            <w:pPr>
              <w:ind w:left="134"/>
              <w:spacing w:before="31" w:line="217"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5" w:hRule="atLeast"/>
        </w:trPr>
        <w:tc>
          <w:tcPr>
            <w:tcW w:w="3123" w:type="dxa"/>
            <w:vAlign w:val="top"/>
          </w:tcPr>
          <w:p>
            <w:pPr>
              <w:pStyle w:val="TableText"/>
              <w:ind w:left="159"/>
              <w:spacing w:before="33" w:line="214" w:lineRule="auto"/>
              <w:rPr/>
            </w:pPr>
            <w:r>
              <w:rPr>
                <w:spacing w:val="6"/>
              </w:rPr>
              <w:t>T17 </w:t>
            </w:r>
            <w:r>
              <w:rPr>
                <w:rFonts w:ascii="SimSun" w:hAnsi="SimSun" w:eastAsia="SimSun" w:cs="SimSun"/>
                <w:spacing w:val="6"/>
              </w:rPr>
              <w:t>井工矿风井场地西南</w:t>
            </w:r>
            <w:r>
              <w:rPr>
                <w:rFonts w:ascii="SimSun" w:hAnsi="SimSun" w:eastAsia="SimSun" w:cs="SimSun"/>
                <w:spacing w:val="-26"/>
              </w:rPr>
              <w:t xml:space="preserve"> </w:t>
            </w:r>
            <w:r>
              <w:rPr>
                <w:spacing w:val="6"/>
              </w:rPr>
              <w:t>200m</w:t>
            </w:r>
          </w:p>
        </w:tc>
        <w:tc>
          <w:tcPr>
            <w:tcW w:w="2216" w:type="dxa"/>
            <w:vAlign w:val="top"/>
          </w:tcPr>
          <w:p>
            <w:pPr>
              <w:pStyle w:val="TableText"/>
              <w:ind w:left="945"/>
              <w:spacing w:before="54" w:line="195" w:lineRule="auto"/>
              <w:rPr/>
            </w:pPr>
            <w:r>
              <w:rPr>
                <w:spacing w:val="-2"/>
              </w:rPr>
              <w:t>1.64</w:t>
            </w:r>
          </w:p>
        </w:tc>
        <w:tc>
          <w:tcPr>
            <w:tcW w:w="1094" w:type="dxa"/>
            <w:vAlign w:val="top"/>
          </w:tcPr>
          <w:p>
            <w:pPr>
              <w:ind w:left="132"/>
              <w:spacing w:before="33" w:line="214"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0"/>
              <w:spacing w:before="54" w:line="195" w:lineRule="auto"/>
              <w:rPr/>
            </w:pPr>
            <w:r>
              <w:rPr>
                <w:spacing w:val="2"/>
              </w:rPr>
              <w:t>7.93</w:t>
            </w:r>
          </w:p>
        </w:tc>
        <w:tc>
          <w:tcPr>
            <w:tcW w:w="1513" w:type="dxa"/>
            <w:vAlign w:val="top"/>
          </w:tcPr>
          <w:p>
            <w:pPr>
              <w:ind w:left="134"/>
              <w:spacing w:before="33" w:line="214"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78" w:hRule="atLeast"/>
        </w:trPr>
        <w:tc>
          <w:tcPr>
            <w:tcW w:w="3123" w:type="dxa"/>
            <w:vAlign w:val="top"/>
          </w:tcPr>
          <w:p>
            <w:pPr>
              <w:pStyle w:val="TableText"/>
              <w:ind w:left="846"/>
              <w:spacing w:before="36" w:line="214" w:lineRule="auto"/>
              <w:rPr>
                <w:rFonts w:ascii="SimSun" w:hAnsi="SimSun" w:eastAsia="SimSun" w:cs="SimSun"/>
              </w:rPr>
            </w:pPr>
            <w:r>
              <w:rPr>
                <w:spacing w:val="6"/>
              </w:rPr>
              <w:t>T18 </w:t>
            </w:r>
            <w:r>
              <w:rPr>
                <w:rFonts w:ascii="SimSun" w:hAnsi="SimSun" w:eastAsia="SimSun" w:cs="SimSun"/>
                <w:spacing w:val="6"/>
              </w:rPr>
              <w:t>井工矿中部</w:t>
            </w:r>
          </w:p>
        </w:tc>
        <w:tc>
          <w:tcPr>
            <w:tcW w:w="2216" w:type="dxa"/>
            <w:vAlign w:val="top"/>
          </w:tcPr>
          <w:p>
            <w:pPr>
              <w:pStyle w:val="TableText"/>
              <w:ind w:left="945"/>
              <w:spacing w:before="54" w:line="195" w:lineRule="auto"/>
              <w:rPr/>
            </w:pPr>
            <w:r>
              <w:rPr>
                <w:spacing w:val="-2"/>
              </w:rPr>
              <w:t>1.68</w:t>
            </w:r>
          </w:p>
        </w:tc>
        <w:tc>
          <w:tcPr>
            <w:tcW w:w="1094" w:type="dxa"/>
            <w:vAlign w:val="top"/>
          </w:tcPr>
          <w:p>
            <w:pPr>
              <w:ind w:left="132"/>
              <w:spacing w:before="36" w:line="214"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5"/>
              <w:spacing w:before="54" w:line="195" w:lineRule="auto"/>
              <w:rPr/>
            </w:pPr>
            <w:r>
              <w:rPr>
                <w:spacing w:val="-5"/>
              </w:rPr>
              <w:t>8.</w:t>
            </w:r>
            <w:r>
              <w:rPr>
                <w:spacing w:val="-25"/>
              </w:rPr>
              <w:t xml:space="preserve"> </w:t>
            </w:r>
            <w:r>
              <w:rPr>
                <w:spacing w:val="-5"/>
              </w:rPr>
              <w:t>12</w:t>
            </w:r>
          </w:p>
        </w:tc>
        <w:tc>
          <w:tcPr>
            <w:tcW w:w="1513" w:type="dxa"/>
            <w:vAlign w:val="top"/>
          </w:tcPr>
          <w:p>
            <w:pPr>
              <w:ind w:left="134"/>
              <w:spacing w:before="36" w:line="214" w:lineRule="auto"/>
              <w:rPr>
                <w:rFonts w:ascii="SimSun" w:hAnsi="SimSun" w:eastAsia="SimSun" w:cs="SimSun"/>
                <w:sz w:val="20"/>
                <w:szCs w:val="20"/>
              </w:rPr>
            </w:pPr>
            <w:r>
              <w:rPr>
                <w:rFonts w:ascii="SimSun" w:hAnsi="SimSun" w:eastAsia="SimSun" w:cs="SimSun"/>
                <w:sz w:val="20"/>
                <w:szCs w:val="20"/>
                <w:spacing w:val="7"/>
              </w:rPr>
              <w:t>无酸化或碱化</w:t>
            </w:r>
          </w:p>
        </w:tc>
      </w:tr>
      <w:tr>
        <w:trPr>
          <w:trHeight w:val="282" w:hRule="atLeast"/>
        </w:trPr>
        <w:tc>
          <w:tcPr>
            <w:tcW w:w="3123" w:type="dxa"/>
            <w:vAlign w:val="top"/>
          </w:tcPr>
          <w:p>
            <w:pPr>
              <w:pStyle w:val="TableText"/>
              <w:ind w:left="524"/>
              <w:spacing w:before="33" w:line="220" w:lineRule="auto"/>
              <w:rPr/>
            </w:pPr>
            <w:r>
              <w:rPr>
                <w:spacing w:val="4"/>
              </w:rPr>
              <w:t>T19</w:t>
            </w:r>
            <w:r>
              <w:rPr>
                <w:spacing w:val="23"/>
              </w:rPr>
              <w:t xml:space="preserve"> </w:t>
            </w:r>
            <w:r>
              <w:rPr>
                <w:rFonts w:ascii="SimSun" w:hAnsi="SimSun" w:eastAsia="SimSun" w:cs="SimSun"/>
                <w:spacing w:val="4"/>
              </w:rPr>
              <w:t>露天矿界西侧</w:t>
            </w:r>
            <w:r>
              <w:rPr>
                <w:rFonts w:ascii="SimSun" w:hAnsi="SimSun" w:eastAsia="SimSun" w:cs="SimSun"/>
                <w:spacing w:val="-23"/>
              </w:rPr>
              <w:t xml:space="preserve"> </w:t>
            </w:r>
            <w:r>
              <w:rPr>
                <w:spacing w:val="4"/>
              </w:rPr>
              <w:t>1</w:t>
            </w:r>
            <w:r>
              <w:rPr/>
              <w:t>km</w:t>
            </w:r>
          </w:p>
        </w:tc>
        <w:tc>
          <w:tcPr>
            <w:tcW w:w="2216" w:type="dxa"/>
            <w:vAlign w:val="top"/>
          </w:tcPr>
          <w:p>
            <w:pPr>
              <w:pStyle w:val="TableText"/>
              <w:ind w:left="945"/>
              <w:spacing w:before="55" w:line="195" w:lineRule="auto"/>
              <w:rPr/>
            </w:pPr>
            <w:r>
              <w:rPr>
                <w:spacing w:val="-2"/>
              </w:rPr>
              <w:t>1.72</w:t>
            </w:r>
          </w:p>
        </w:tc>
        <w:tc>
          <w:tcPr>
            <w:tcW w:w="1094" w:type="dxa"/>
            <w:vAlign w:val="top"/>
          </w:tcPr>
          <w:p>
            <w:pPr>
              <w:ind w:left="132"/>
              <w:spacing w:before="33" w:line="220" w:lineRule="auto"/>
              <w:rPr>
                <w:rFonts w:ascii="SimSun" w:hAnsi="SimSun" w:eastAsia="SimSun" w:cs="SimSun"/>
                <w:sz w:val="20"/>
                <w:szCs w:val="20"/>
              </w:rPr>
            </w:pPr>
            <w:r>
              <w:rPr>
                <w:rFonts w:ascii="SimSun" w:hAnsi="SimSun" w:eastAsia="SimSun" w:cs="SimSun"/>
                <w:sz w:val="20"/>
                <w:szCs w:val="20"/>
                <w:spacing w:val="7"/>
              </w:rPr>
              <w:t>轻度盐化</w:t>
            </w:r>
          </w:p>
        </w:tc>
        <w:tc>
          <w:tcPr>
            <w:tcW w:w="1137" w:type="dxa"/>
            <w:vAlign w:val="top"/>
          </w:tcPr>
          <w:p>
            <w:pPr>
              <w:pStyle w:val="TableText"/>
              <w:ind w:left="395"/>
              <w:spacing w:before="55" w:line="195" w:lineRule="auto"/>
              <w:rPr/>
            </w:pPr>
            <w:r>
              <w:rPr>
                <w:spacing w:val="1"/>
              </w:rPr>
              <w:t>8.02</w:t>
            </w:r>
          </w:p>
        </w:tc>
        <w:tc>
          <w:tcPr>
            <w:tcW w:w="1513" w:type="dxa"/>
            <w:vAlign w:val="top"/>
          </w:tcPr>
          <w:p>
            <w:pPr>
              <w:ind w:left="134"/>
              <w:spacing w:before="33" w:line="220" w:lineRule="auto"/>
              <w:rPr>
                <w:rFonts w:ascii="SimSun" w:hAnsi="SimSun" w:eastAsia="SimSun" w:cs="SimSun"/>
                <w:sz w:val="20"/>
                <w:szCs w:val="20"/>
              </w:rPr>
            </w:pPr>
            <w:r>
              <w:rPr>
                <w:rFonts w:ascii="SimSun" w:hAnsi="SimSun" w:eastAsia="SimSun" w:cs="SimSun"/>
                <w:sz w:val="20"/>
                <w:szCs w:val="20"/>
                <w:spacing w:val="7"/>
              </w:rPr>
              <w:t>无酸化或碱化</w:t>
            </w:r>
          </w:p>
        </w:tc>
      </w:tr>
    </w:tbl>
    <w:p>
      <w:pPr>
        <w:pStyle w:val="BodyText"/>
        <w:spacing w:line="307" w:lineRule="auto"/>
        <w:rPr/>
      </w:pPr>
      <w:r/>
    </w:p>
    <w:p>
      <w:pPr>
        <w:ind w:left="17" w:right="14" w:firstLine="478"/>
        <w:spacing w:before="79" w:line="340" w:lineRule="auto"/>
        <w:rPr>
          <w:rFonts w:ascii="SimSun" w:hAnsi="SimSun" w:eastAsia="SimSun" w:cs="SimSun"/>
          <w:sz w:val="24"/>
          <w:szCs w:val="24"/>
        </w:rPr>
      </w:pPr>
      <w:r>
        <w:rPr>
          <w:rFonts w:ascii="SimSun" w:hAnsi="SimSun" w:eastAsia="SimSun" w:cs="SimSun"/>
          <w:sz w:val="24"/>
          <w:szCs w:val="24"/>
          <w:spacing w:val="-3"/>
        </w:rPr>
        <w:t>矿区地处半干旱地区，由表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4-3-37 </w:t>
      </w:r>
      <w:r>
        <w:rPr>
          <w:rFonts w:ascii="SimSun" w:hAnsi="SimSun" w:eastAsia="SimSun" w:cs="SimSun"/>
          <w:sz w:val="24"/>
          <w:szCs w:val="24"/>
          <w:spacing w:val="-3"/>
        </w:rPr>
        <w:t>可知，土壤监测点位的土壤表现为轻度盐化；酸</w:t>
      </w:r>
      <w:r>
        <w:rPr>
          <w:rFonts w:ascii="SimSun" w:hAnsi="SimSun" w:eastAsia="SimSun" w:cs="SimSun"/>
          <w:sz w:val="24"/>
          <w:szCs w:val="24"/>
          <w:spacing w:val="-1"/>
        </w:rPr>
        <w:t>化、碱化表现为无酸化或碱化</w:t>
      </w:r>
    </w:p>
    <w:p>
      <w:pPr>
        <w:spacing w:line="340" w:lineRule="auto"/>
        <w:sectPr>
          <w:headerReference w:type="default" r:id="rId331"/>
          <w:footerReference w:type="default" r:id="rId332"/>
          <w:pgSz w:w="11906" w:h="16838"/>
          <w:pgMar w:top="1170" w:right="1403" w:bottom="1080" w:left="1408" w:header="837" w:footer="918" w:gutter="0"/>
        </w:sectPr>
        <w:rPr>
          <w:rFonts w:ascii="SimSun" w:hAnsi="SimSun" w:eastAsia="SimSun" w:cs="SimSun"/>
          <w:sz w:val="24"/>
          <w:szCs w:val="24"/>
        </w:rPr>
      </w:pPr>
    </w:p>
    <w:p>
      <w:pPr>
        <w:pStyle w:val="BodyText"/>
        <w:spacing w:line="345" w:lineRule="auto"/>
        <w:rPr/>
      </w:pPr>
      <w:r/>
    </w:p>
    <w:p>
      <w:pPr>
        <w:ind w:left="118"/>
        <w:spacing w:before="7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4.2.6.2 </w:t>
      </w:r>
      <w:r>
        <w:rPr>
          <w:rFonts w:ascii="SimHei" w:hAnsi="SimHei" w:eastAsia="SimHei" w:cs="SimHei"/>
          <w:sz w:val="24"/>
          <w:szCs w:val="24"/>
          <w:b/>
          <w:bCs/>
          <w:spacing w:val="-2"/>
        </w:rPr>
        <w:t>土壤环境质量现状监测</w:t>
      </w:r>
    </w:p>
    <w:p>
      <w:pPr>
        <w:ind w:left="620"/>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5"/>
        </w:rPr>
        <w:t>、监测布点及监测项目</w:t>
      </w:r>
    </w:p>
    <w:p>
      <w:pPr>
        <w:ind w:left="601"/>
        <w:spacing w:before="157" w:line="217" w:lineRule="auto"/>
        <w:rPr>
          <w:rFonts w:ascii="SimSun" w:hAnsi="SimSun" w:eastAsia="SimSun" w:cs="SimSun"/>
          <w:sz w:val="24"/>
          <w:szCs w:val="24"/>
        </w:rPr>
      </w:pPr>
      <w:r>
        <w:rPr>
          <w:rFonts w:ascii="SimSun" w:hAnsi="SimSun" w:eastAsia="SimSun" w:cs="SimSun"/>
          <w:sz w:val="24"/>
          <w:szCs w:val="24"/>
          <w:spacing w:val="-1"/>
        </w:rPr>
        <w:t>①生态影响型土壤监测布点</w:t>
      </w:r>
    </w:p>
    <w:p>
      <w:pPr>
        <w:ind w:left="122" w:right="112" w:firstLine="480"/>
        <w:spacing w:before="155" w:line="340" w:lineRule="auto"/>
        <w:rPr>
          <w:rFonts w:ascii="SimSun" w:hAnsi="SimSun" w:eastAsia="SimSun" w:cs="SimSun"/>
          <w:sz w:val="24"/>
          <w:szCs w:val="24"/>
        </w:rPr>
      </w:pPr>
      <w:r>
        <w:rPr>
          <w:rFonts w:ascii="SimSun" w:hAnsi="SimSun" w:eastAsia="SimSun" w:cs="SimSun"/>
          <w:sz w:val="24"/>
          <w:szCs w:val="24"/>
        </w:rPr>
        <w:t>本项目共布设</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7 </w:t>
      </w:r>
      <w:r>
        <w:rPr>
          <w:rFonts w:ascii="SimSun" w:hAnsi="SimSun" w:eastAsia="SimSun" w:cs="SimSun"/>
          <w:sz w:val="24"/>
          <w:szCs w:val="24"/>
        </w:rPr>
        <w:t>个表层样点，其中</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6 </w:t>
      </w:r>
      <w:r>
        <w:rPr>
          <w:rFonts w:ascii="SimSun" w:hAnsi="SimSun" w:eastAsia="SimSun" w:cs="SimSun"/>
          <w:sz w:val="24"/>
          <w:szCs w:val="24"/>
        </w:rPr>
        <w:t>个矿</w:t>
      </w:r>
      <w:r>
        <w:rPr>
          <w:rFonts w:ascii="SimSun" w:hAnsi="SimSun" w:eastAsia="SimSun" w:cs="SimSun"/>
          <w:sz w:val="24"/>
          <w:szCs w:val="24"/>
          <w:spacing w:val="-1"/>
        </w:rPr>
        <w:t>区内表层样点、</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个矿区外表层样点，具</w:t>
      </w:r>
      <w:r>
        <w:rPr>
          <w:rFonts w:ascii="SimSun" w:hAnsi="SimSun" w:eastAsia="SimSun" w:cs="SimSun"/>
          <w:sz w:val="24"/>
          <w:szCs w:val="24"/>
          <w:spacing w:val="-1"/>
        </w:rPr>
        <w:t>体监测点位布设见表</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4-2-38 </w:t>
      </w:r>
      <w:r>
        <w:rPr>
          <w:rFonts w:ascii="SimSun" w:hAnsi="SimSun" w:eastAsia="SimSun" w:cs="SimSun"/>
          <w:sz w:val="24"/>
          <w:szCs w:val="24"/>
          <w:spacing w:val="-1"/>
        </w:rPr>
        <w:t>和图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4-3-8</w:t>
      </w:r>
      <w:r>
        <w:rPr>
          <w:rFonts w:ascii="SimSun" w:hAnsi="SimSun" w:eastAsia="SimSun" w:cs="SimSun"/>
          <w:sz w:val="24"/>
          <w:szCs w:val="24"/>
          <w:spacing w:val="-1"/>
        </w:rPr>
        <w:t>。</w:t>
      </w:r>
    </w:p>
    <w:p>
      <w:pPr>
        <w:ind w:left="3341"/>
        <w:spacing w:before="126" w:line="222" w:lineRule="auto"/>
        <w:rPr>
          <w:rFonts w:ascii="SimHei" w:hAnsi="SimHei" w:eastAsia="SimHei" w:cs="SimHei"/>
          <w:sz w:val="24"/>
          <w:szCs w:val="24"/>
        </w:rPr>
      </w:pPr>
      <w:r>
        <w:rPr>
          <w:rFonts w:ascii="SimHei" w:hAnsi="SimHei" w:eastAsia="SimHei" w:cs="SimHei"/>
          <w:sz w:val="24"/>
          <w:szCs w:val="24"/>
          <w:spacing w:val="-1"/>
        </w:rPr>
        <w:t>其他场地土壤监测布点一览表</w:t>
      </w:r>
    </w:p>
    <w:p>
      <w:pPr>
        <w:ind w:left="120"/>
        <w:spacing w:before="69"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4-2-38</w:t>
      </w:r>
    </w:p>
    <w:tbl>
      <w:tblPr>
        <w:tblStyle w:val="TableNormal"/>
        <w:tblW w:w="9083" w:type="dxa"/>
        <w:tblInd w:w="10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2"/>
        <w:gridCol w:w="4114"/>
        <w:gridCol w:w="1564"/>
        <w:gridCol w:w="993"/>
        <w:gridCol w:w="1700"/>
      </w:tblGrid>
      <w:tr>
        <w:trPr>
          <w:trHeight w:val="282" w:hRule="atLeast"/>
        </w:trPr>
        <w:tc>
          <w:tcPr>
            <w:tcW w:w="712" w:type="dxa"/>
            <w:vAlign w:val="top"/>
          </w:tcPr>
          <w:p>
            <w:pPr>
              <w:ind w:left="153"/>
              <w:spacing w:before="33" w:line="220" w:lineRule="auto"/>
              <w:rPr>
                <w:rFonts w:ascii="SimSun" w:hAnsi="SimSun" w:eastAsia="SimSun" w:cs="SimSun"/>
                <w:sz w:val="20"/>
                <w:szCs w:val="20"/>
              </w:rPr>
            </w:pPr>
            <w:r>
              <w:rPr>
                <w:rFonts w:ascii="SimSun" w:hAnsi="SimSun" w:eastAsia="SimSun" w:cs="SimSun"/>
                <w:sz w:val="20"/>
                <w:szCs w:val="20"/>
                <w:spacing w:val="3"/>
              </w:rPr>
              <w:t>编号</w:t>
            </w:r>
          </w:p>
        </w:tc>
        <w:tc>
          <w:tcPr>
            <w:tcW w:w="4114" w:type="dxa"/>
            <w:vAlign w:val="top"/>
          </w:tcPr>
          <w:p>
            <w:pPr>
              <w:ind w:left="1854"/>
              <w:spacing w:before="33" w:line="220" w:lineRule="auto"/>
              <w:rPr>
                <w:rFonts w:ascii="SimSun" w:hAnsi="SimSun" w:eastAsia="SimSun" w:cs="SimSun"/>
                <w:sz w:val="20"/>
                <w:szCs w:val="20"/>
              </w:rPr>
            </w:pPr>
            <w:r>
              <w:rPr>
                <w:rFonts w:ascii="SimSun" w:hAnsi="SimSun" w:eastAsia="SimSun" w:cs="SimSun"/>
                <w:sz w:val="20"/>
                <w:szCs w:val="20"/>
                <w:spacing w:val="3"/>
              </w:rPr>
              <w:t>名称</w:t>
            </w:r>
          </w:p>
        </w:tc>
        <w:tc>
          <w:tcPr>
            <w:tcW w:w="1564" w:type="dxa"/>
            <w:vAlign w:val="top"/>
          </w:tcPr>
          <w:p>
            <w:pPr>
              <w:ind w:left="261"/>
              <w:spacing w:before="33" w:line="220" w:lineRule="auto"/>
              <w:rPr>
                <w:rFonts w:ascii="SimSun" w:hAnsi="SimSun" w:eastAsia="SimSun" w:cs="SimSun"/>
                <w:sz w:val="20"/>
                <w:szCs w:val="20"/>
              </w:rPr>
            </w:pPr>
            <w:r>
              <w:rPr>
                <w:rFonts w:ascii="SimSun" w:hAnsi="SimSun" w:eastAsia="SimSun" w:cs="SimSun"/>
                <w:sz w:val="20"/>
                <w:szCs w:val="20"/>
                <w:spacing w:val="8"/>
              </w:rPr>
              <w:t>监测点类型</w:t>
            </w:r>
          </w:p>
        </w:tc>
        <w:tc>
          <w:tcPr>
            <w:tcW w:w="993" w:type="dxa"/>
            <w:vAlign w:val="top"/>
          </w:tcPr>
          <w:p>
            <w:pPr>
              <w:ind w:left="294"/>
              <w:spacing w:before="33" w:line="220" w:lineRule="auto"/>
              <w:rPr>
                <w:rFonts w:ascii="SimSun" w:hAnsi="SimSun" w:eastAsia="SimSun" w:cs="SimSun"/>
                <w:sz w:val="20"/>
                <w:szCs w:val="20"/>
              </w:rPr>
            </w:pPr>
            <w:r>
              <w:rPr>
                <w:rFonts w:ascii="SimSun" w:hAnsi="SimSun" w:eastAsia="SimSun" w:cs="SimSun"/>
                <w:sz w:val="20"/>
                <w:szCs w:val="20"/>
                <w:spacing w:val="3"/>
              </w:rPr>
              <w:t>备注</w:t>
            </w:r>
          </w:p>
        </w:tc>
        <w:tc>
          <w:tcPr>
            <w:tcW w:w="1700" w:type="dxa"/>
            <w:vAlign w:val="top"/>
          </w:tcPr>
          <w:p>
            <w:pPr>
              <w:ind w:left="435"/>
              <w:spacing w:before="33" w:line="220" w:lineRule="auto"/>
              <w:rPr>
                <w:rFonts w:ascii="SimSun" w:hAnsi="SimSun" w:eastAsia="SimSun" w:cs="SimSun"/>
                <w:sz w:val="20"/>
                <w:szCs w:val="20"/>
              </w:rPr>
            </w:pPr>
            <w:r>
              <w:rPr>
                <w:rFonts w:ascii="SimSun" w:hAnsi="SimSun" w:eastAsia="SimSun" w:cs="SimSun"/>
                <w:sz w:val="20"/>
                <w:szCs w:val="20"/>
                <w:spacing w:val="7"/>
              </w:rPr>
              <w:t>监测因子</w:t>
            </w:r>
          </w:p>
        </w:tc>
      </w:tr>
      <w:tr>
        <w:trPr>
          <w:trHeight w:val="275" w:hRule="atLeast"/>
        </w:trPr>
        <w:tc>
          <w:tcPr>
            <w:tcW w:w="712" w:type="dxa"/>
            <w:vAlign w:val="top"/>
          </w:tcPr>
          <w:p>
            <w:pPr>
              <w:pStyle w:val="TableText"/>
              <w:ind w:left="188"/>
              <w:spacing w:before="65" w:line="195" w:lineRule="auto"/>
              <w:rPr/>
            </w:pPr>
            <w:r>
              <w:rPr>
                <w:spacing w:val="2"/>
              </w:rPr>
              <w:t>T13</w:t>
            </w:r>
          </w:p>
        </w:tc>
        <w:tc>
          <w:tcPr>
            <w:tcW w:w="4114" w:type="dxa"/>
            <w:vAlign w:val="top"/>
          </w:tcPr>
          <w:p>
            <w:pPr>
              <w:ind w:left="1016"/>
              <w:spacing w:before="29" w:line="217" w:lineRule="auto"/>
              <w:rPr>
                <w:rFonts w:ascii="SimSun" w:hAnsi="SimSun" w:eastAsia="SimSun" w:cs="SimSun"/>
                <w:sz w:val="20"/>
                <w:szCs w:val="20"/>
              </w:rPr>
            </w:pPr>
            <w:r>
              <w:rPr>
                <w:rFonts w:ascii="SimSun" w:hAnsi="SimSun" w:eastAsia="SimSun" w:cs="SimSun"/>
                <w:sz w:val="20"/>
                <w:szCs w:val="20"/>
                <w:spacing w:val="7"/>
              </w:rPr>
              <w:t>露天矿中部（表层样）</w:t>
            </w:r>
          </w:p>
        </w:tc>
        <w:tc>
          <w:tcPr>
            <w:tcW w:w="1564" w:type="dxa"/>
            <w:vAlign w:val="top"/>
          </w:tcPr>
          <w:p>
            <w:pPr>
              <w:ind w:left="473"/>
              <w:spacing w:before="29" w:line="217"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restart"/>
            <w:tcBorders>
              <w:bottom w:val="nil"/>
            </w:tcBorders>
          </w:tcPr>
          <w:p>
            <w:pPr>
              <w:spacing w:line="334" w:lineRule="auto"/>
              <w:rPr>
                <w:rFonts w:ascii="Arial"/>
                <w:sz w:val="21"/>
              </w:rPr>
            </w:pPr>
            <w:r/>
          </w:p>
          <w:p>
            <w:pPr>
              <w:spacing w:line="335" w:lineRule="auto"/>
              <w:rPr>
                <w:rFonts w:ascii="Arial"/>
                <w:sz w:val="21"/>
              </w:rPr>
            </w:pPr>
            <w:r/>
          </w:p>
          <w:p>
            <w:pPr>
              <w:pStyle w:val="TableText"/>
              <w:ind w:left="111" w:right="74" w:hanging="31"/>
              <w:spacing w:before="65" w:line="262" w:lineRule="auto"/>
              <w:rPr/>
            </w:pPr>
            <w:r>
              <w:rPr>
                <w:rFonts w:ascii="SimSun" w:hAnsi="SimSun" w:eastAsia="SimSun" w:cs="SimSun"/>
                <w:spacing w:val="8"/>
              </w:rPr>
              <w:t>采样深度</w:t>
            </w:r>
            <w:r>
              <w:rPr>
                <w:spacing w:val="7"/>
              </w:rPr>
              <w:t>0</w:t>
            </w:r>
            <w:r>
              <w:rPr>
                <w:rFonts w:ascii="SimSun" w:hAnsi="SimSun" w:eastAsia="SimSun" w:cs="SimSun"/>
                <w:spacing w:val="7"/>
              </w:rPr>
              <w:t>～</w:t>
            </w:r>
            <w:r>
              <w:rPr>
                <w:spacing w:val="7"/>
              </w:rPr>
              <w:t>20</w:t>
            </w:r>
            <w:r>
              <w:rPr/>
              <w:t>cm</w:t>
            </w:r>
          </w:p>
        </w:tc>
        <w:tc>
          <w:tcPr>
            <w:tcW w:w="1700" w:type="dxa"/>
            <w:vAlign w:val="top"/>
            <w:vMerge w:val="restart"/>
            <w:tcBorders>
              <w:bottom w:val="nil"/>
            </w:tcBorders>
          </w:tcPr>
          <w:p>
            <w:pPr>
              <w:spacing w:line="399" w:lineRule="auto"/>
              <w:rPr>
                <w:rFonts w:ascii="Arial"/>
                <w:sz w:val="21"/>
              </w:rPr>
            </w:pPr>
            <w:r/>
          </w:p>
          <w:p>
            <w:pPr>
              <w:pStyle w:val="TableText"/>
              <w:spacing w:before="65" w:line="221" w:lineRule="auto"/>
              <w:jc w:val="right"/>
              <w:rPr>
                <w:rFonts w:ascii="SimSun" w:hAnsi="SimSun" w:eastAsia="SimSun" w:cs="SimSun"/>
              </w:rPr>
            </w:pPr>
            <w:r>
              <w:rPr/>
              <w:t>pH</w:t>
            </w:r>
            <w:r>
              <w:rPr>
                <w:spacing w:val="-28"/>
              </w:rPr>
              <w:t xml:space="preserve"> </w:t>
            </w:r>
            <w:r>
              <w:rPr>
                <w:rFonts w:ascii="SimSun" w:hAnsi="SimSun" w:eastAsia="SimSun" w:cs="SimSun"/>
                <w:spacing w:val="3"/>
              </w:rPr>
              <w:t>、镉、汞、砷、</w:t>
            </w:r>
          </w:p>
          <w:p>
            <w:pPr>
              <w:ind w:left="14"/>
              <w:spacing w:before="32" w:line="228" w:lineRule="auto"/>
              <w:rPr>
                <w:rFonts w:ascii="SimSun" w:hAnsi="SimSun" w:eastAsia="SimSun" w:cs="SimSun"/>
                <w:sz w:val="20"/>
                <w:szCs w:val="20"/>
              </w:rPr>
            </w:pPr>
            <w:r>
              <w:rPr>
                <w:rFonts w:ascii="SimSun" w:hAnsi="SimSun" w:eastAsia="SimSun" w:cs="SimSun"/>
                <w:sz w:val="20"/>
                <w:szCs w:val="20"/>
                <w:spacing w:val="7"/>
              </w:rPr>
              <w:t>铜、铅、铬、锌、</w:t>
            </w:r>
          </w:p>
          <w:p>
            <w:pPr>
              <w:ind w:left="13"/>
              <w:spacing w:before="26" w:line="226" w:lineRule="auto"/>
              <w:rPr>
                <w:rFonts w:ascii="SimSun" w:hAnsi="SimSun" w:eastAsia="SimSun" w:cs="SimSun"/>
                <w:sz w:val="20"/>
                <w:szCs w:val="20"/>
              </w:rPr>
            </w:pPr>
            <w:r>
              <w:rPr>
                <w:rFonts w:ascii="SimSun" w:hAnsi="SimSun" w:eastAsia="SimSun" w:cs="SimSun"/>
                <w:sz w:val="20"/>
                <w:szCs w:val="20"/>
                <w:spacing w:val="8"/>
              </w:rPr>
              <w:t>镍、六价铬、含盐</w:t>
            </w:r>
          </w:p>
          <w:p>
            <w:pPr>
              <w:pStyle w:val="TableText"/>
              <w:ind w:left="352"/>
              <w:spacing w:before="28" w:line="233" w:lineRule="auto"/>
              <w:rPr>
                <w:rFonts w:ascii="SimSun" w:hAnsi="SimSun" w:eastAsia="SimSun" w:cs="SimSun"/>
              </w:rPr>
            </w:pPr>
            <w:r>
              <w:rPr>
                <w:rFonts w:ascii="SimSun" w:hAnsi="SimSun" w:eastAsia="SimSun" w:cs="SimSun"/>
                <w:spacing w:val="9"/>
              </w:rPr>
              <w:t>量（</w:t>
            </w:r>
            <w:r>
              <w:rPr/>
              <w:t>SSC</w:t>
            </w:r>
            <w:r>
              <w:rPr>
                <w:rFonts w:ascii="SimSun" w:hAnsi="SimSun" w:eastAsia="SimSun" w:cs="SimSun"/>
                <w:spacing w:val="9"/>
              </w:rPr>
              <w:t>）</w:t>
            </w:r>
          </w:p>
        </w:tc>
      </w:tr>
      <w:tr>
        <w:trPr>
          <w:trHeight w:val="277" w:hRule="atLeast"/>
        </w:trPr>
        <w:tc>
          <w:tcPr>
            <w:tcW w:w="712" w:type="dxa"/>
            <w:vAlign w:val="top"/>
          </w:tcPr>
          <w:p>
            <w:pPr>
              <w:pStyle w:val="TableText"/>
              <w:ind w:left="188"/>
              <w:spacing w:before="69" w:line="195" w:lineRule="auto"/>
              <w:rPr/>
            </w:pPr>
            <w:r>
              <w:rPr>
                <w:spacing w:val="2"/>
              </w:rPr>
              <w:t>T14</w:t>
            </w:r>
          </w:p>
        </w:tc>
        <w:tc>
          <w:tcPr>
            <w:tcW w:w="4114" w:type="dxa"/>
            <w:vAlign w:val="top"/>
          </w:tcPr>
          <w:p>
            <w:pPr>
              <w:pStyle w:val="TableText"/>
              <w:ind w:left="854"/>
              <w:spacing w:before="32" w:line="216" w:lineRule="auto"/>
              <w:rPr>
                <w:rFonts w:ascii="SimSun" w:hAnsi="SimSun" w:eastAsia="SimSun" w:cs="SimSun"/>
              </w:rPr>
            </w:pPr>
            <w:r>
              <w:rPr>
                <w:rFonts w:ascii="SimSun" w:hAnsi="SimSun" w:eastAsia="SimSun" w:cs="SimSun"/>
                <w:spacing w:val="6"/>
              </w:rPr>
              <w:t>北矿界内</w:t>
            </w:r>
            <w:r>
              <w:rPr>
                <w:rFonts w:ascii="SimSun" w:hAnsi="SimSun" w:eastAsia="SimSun" w:cs="SimSun"/>
                <w:spacing w:val="-38"/>
              </w:rPr>
              <w:t xml:space="preserve"> </w:t>
            </w:r>
            <w:r>
              <w:rPr>
                <w:spacing w:val="6"/>
              </w:rPr>
              <w:t>200m</w:t>
            </w:r>
            <w:r>
              <w:rPr>
                <w:rFonts w:ascii="SimSun" w:hAnsi="SimSun" w:eastAsia="SimSun" w:cs="SimSun"/>
                <w:spacing w:val="6"/>
              </w:rPr>
              <w:t>（表层样）</w:t>
            </w:r>
          </w:p>
        </w:tc>
        <w:tc>
          <w:tcPr>
            <w:tcW w:w="1564" w:type="dxa"/>
            <w:vAlign w:val="top"/>
          </w:tcPr>
          <w:p>
            <w:pPr>
              <w:ind w:left="473"/>
              <w:spacing w:before="32" w:line="216"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bottom w:val="nil"/>
            </w:tcBorders>
          </w:tcPr>
          <w:p>
            <w:pPr>
              <w:rPr>
                <w:rFonts w:ascii="Arial"/>
                <w:sz w:val="21"/>
              </w:rPr>
            </w:pPr>
            <w:r/>
          </w:p>
        </w:tc>
        <w:tc>
          <w:tcPr>
            <w:tcW w:w="1700" w:type="dxa"/>
            <w:vAlign w:val="top"/>
            <w:vMerge w:val="continue"/>
            <w:tcBorders>
              <w:top w:val="nil"/>
              <w:bottom w:val="nil"/>
            </w:tcBorders>
          </w:tcPr>
          <w:p>
            <w:pPr>
              <w:rPr>
                <w:rFonts w:ascii="Arial"/>
                <w:sz w:val="21"/>
              </w:rPr>
            </w:pPr>
            <w:r/>
          </w:p>
        </w:tc>
      </w:tr>
      <w:tr>
        <w:trPr>
          <w:trHeight w:val="278" w:hRule="atLeast"/>
        </w:trPr>
        <w:tc>
          <w:tcPr>
            <w:tcW w:w="712" w:type="dxa"/>
            <w:vAlign w:val="top"/>
          </w:tcPr>
          <w:p>
            <w:pPr>
              <w:pStyle w:val="TableText"/>
              <w:ind w:left="188"/>
              <w:spacing w:before="67" w:line="195" w:lineRule="auto"/>
              <w:rPr/>
            </w:pPr>
            <w:r>
              <w:rPr>
                <w:spacing w:val="2"/>
              </w:rPr>
              <w:t>T15</w:t>
            </w:r>
          </w:p>
        </w:tc>
        <w:tc>
          <w:tcPr>
            <w:tcW w:w="4114" w:type="dxa"/>
            <w:vAlign w:val="top"/>
          </w:tcPr>
          <w:p>
            <w:pPr>
              <w:pStyle w:val="TableText"/>
              <w:ind w:left="270"/>
              <w:spacing w:before="31" w:line="218" w:lineRule="auto"/>
              <w:rPr>
                <w:rFonts w:ascii="SimSun" w:hAnsi="SimSun" w:eastAsia="SimSun" w:cs="SimSun"/>
              </w:rPr>
            </w:pPr>
            <w:r>
              <w:rPr>
                <w:rFonts w:ascii="SimSun" w:hAnsi="SimSun" w:eastAsia="SimSun" w:cs="SimSun"/>
                <w:spacing w:val="6"/>
              </w:rPr>
              <w:t>井工矿风井场地北侧</w:t>
            </w:r>
            <w:r>
              <w:rPr>
                <w:rFonts w:ascii="SimSun" w:hAnsi="SimSun" w:eastAsia="SimSun" w:cs="SimSun"/>
                <w:spacing w:val="-14"/>
              </w:rPr>
              <w:t xml:space="preserve"> </w:t>
            </w:r>
            <w:r>
              <w:rPr>
                <w:spacing w:val="6"/>
              </w:rPr>
              <w:t>1000m</w:t>
            </w:r>
            <w:r>
              <w:rPr>
                <w:rFonts w:ascii="SimSun" w:hAnsi="SimSun" w:eastAsia="SimSun" w:cs="SimSun"/>
                <w:spacing w:val="6"/>
              </w:rPr>
              <w:t>（表层样）</w:t>
            </w:r>
          </w:p>
        </w:tc>
        <w:tc>
          <w:tcPr>
            <w:tcW w:w="1564" w:type="dxa"/>
            <w:vAlign w:val="top"/>
          </w:tcPr>
          <w:p>
            <w:pPr>
              <w:ind w:left="473"/>
              <w:spacing w:before="31" w:line="218"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bottom w:val="nil"/>
            </w:tcBorders>
          </w:tcPr>
          <w:p>
            <w:pPr>
              <w:rPr>
                <w:rFonts w:ascii="Arial"/>
                <w:sz w:val="21"/>
              </w:rPr>
            </w:pPr>
            <w:r/>
          </w:p>
        </w:tc>
        <w:tc>
          <w:tcPr>
            <w:tcW w:w="1700" w:type="dxa"/>
            <w:vAlign w:val="top"/>
            <w:vMerge w:val="continue"/>
            <w:tcBorders>
              <w:top w:val="nil"/>
              <w:bottom w:val="nil"/>
            </w:tcBorders>
          </w:tcPr>
          <w:p>
            <w:pPr>
              <w:rPr>
                <w:rFonts w:ascii="Arial"/>
                <w:sz w:val="21"/>
              </w:rPr>
            </w:pPr>
            <w:r/>
          </w:p>
        </w:tc>
      </w:tr>
      <w:tr>
        <w:trPr>
          <w:trHeight w:val="275" w:hRule="atLeast"/>
        </w:trPr>
        <w:tc>
          <w:tcPr>
            <w:tcW w:w="712" w:type="dxa"/>
            <w:vAlign w:val="top"/>
          </w:tcPr>
          <w:p>
            <w:pPr>
              <w:pStyle w:val="TableText"/>
              <w:ind w:left="188"/>
              <w:spacing w:before="68" w:line="195" w:lineRule="auto"/>
              <w:rPr/>
            </w:pPr>
            <w:r>
              <w:rPr>
                <w:spacing w:val="2"/>
              </w:rPr>
              <w:t>T16</w:t>
            </w:r>
          </w:p>
        </w:tc>
        <w:tc>
          <w:tcPr>
            <w:tcW w:w="4114" w:type="dxa"/>
            <w:vAlign w:val="top"/>
          </w:tcPr>
          <w:p>
            <w:pPr>
              <w:ind w:left="803"/>
              <w:spacing w:before="32" w:line="215" w:lineRule="auto"/>
              <w:rPr>
                <w:rFonts w:ascii="SimSun" w:hAnsi="SimSun" w:eastAsia="SimSun" w:cs="SimSun"/>
                <w:sz w:val="20"/>
                <w:szCs w:val="20"/>
              </w:rPr>
            </w:pPr>
            <w:r>
              <w:rPr>
                <w:rFonts w:ascii="SimSun" w:hAnsi="SimSun" w:eastAsia="SimSun" w:cs="SimSun"/>
                <w:sz w:val="20"/>
                <w:szCs w:val="20"/>
                <w:spacing w:val="8"/>
              </w:rPr>
              <w:t>露天矿东侧边界（表层样）</w:t>
            </w:r>
          </w:p>
        </w:tc>
        <w:tc>
          <w:tcPr>
            <w:tcW w:w="1564" w:type="dxa"/>
            <w:vAlign w:val="top"/>
          </w:tcPr>
          <w:p>
            <w:pPr>
              <w:ind w:left="473"/>
              <w:spacing w:before="32" w:line="215"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bottom w:val="nil"/>
            </w:tcBorders>
          </w:tcPr>
          <w:p>
            <w:pPr>
              <w:rPr>
                <w:rFonts w:ascii="Arial"/>
                <w:sz w:val="21"/>
              </w:rPr>
            </w:pPr>
            <w:r/>
          </w:p>
        </w:tc>
        <w:tc>
          <w:tcPr>
            <w:tcW w:w="1700" w:type="dxa"/>
            <w:vAlign w:val="top"/>
            <w:vMerge w:val="continue"/>
            <w:tcBorders>
              <w:top w:val="nil"/>
              <w:bottom w:val="nil"/>
            </w:tcBorders>
          </w:tcPr>
          <w:p>
            <w:pPr>
              <w:rPr>
                <w:rFonts w:ascii="Arial"/>
                <w:sz w:val="21"/>
              </w:rPr>
            </w:pPr>
            <w:r/>
          </w:p>
        </w:tc>
      </w:tr>
      <w:tr>
        <w:trPr>
          <w:trHeight w:val="278" w:hRule="atLeast"/>
        </w:trPr>
        <w:tc>
          <w:tcPr>
            <w:tcW w:w="712" w:type="dxa"/>
            <w:vAlign w:val="top"/>
          </w:tcPr>
          <w:p>
            <w:pPr>
              <w:pStyle w:val="TableText"/>
              <w:ind w:left="188"/>
              <w:spacing w:before="68" w:line="195" w:lineRule="auto"/>
              <w:rPr/>
            </w:pPr>
            <w:r>
              <w:rPr>
                <w:spacing w:val="2"/>
              </w:rPr>
              <w:t>T17</w:t>
            </w:r>
          </w:p>
        </w:tc>
        <w:tc>
          <w:tcPr>
            <w:tcW w:w="4114" w:type="dxa"/>
            <w:vAlign w:val="top"/>
          </w:tcPr>
          <w:p>
            <w:pPr>
              <w:pStyle w:val="TableText"/>
              <w:ind w:left="325"/>
              <w:spacing w:before="32" w:line="217" w:lineRule="auto"/>
              <w:rPr>
                <w:rFonts w:ascii="SimSun" w:hAnsi="SimSun" w:eastAsia="SimSun" w:cs="SimSun"/>
              </w:rPr>
            </w:pPr>
            <w:r>
              <w:rPr>
                <w:rFonts w:ascii="SimSun" w:hAnsi="SimSun" w:eastAsia="SimSun" w:cs="SimSun"/>
                <w:spacing w:val="7"/>
              </w:rPr>
              <w:t>井工矿风井场地西南</w:t>
            </w:r>
            <w:r>
              <w:rPr>
                <w:rFonts w:ascii="SimSun" w:hAnsi="SimSun" w:eastAsia="SimSun" w:cs="SimSun"/>
                <w:spacing w:val="-32"/>
              </w:rPr>
              <w:t xml:space="preserve"> </w:t>
            </w:r>
            <w:r>
              <w:rPr>
                <w:spacing w:val="7"/>
              </w:rPr>
              <w:t>200m</w:t>
            </w:r>
            <w:r>
              <w:rPr>
                <w:rFonts w:ascii="SimSun" w:hAnsi="SimSun" w:eastAsia="SimSun" w:cs="SimSun"/>
                <w:spacing w:val="7"/>
              </w:rPr>
              <w:t>（表层样）</w:t>
            </w:r>
          </w:p>
        </w:tc>
        <w:tc>
          <w:tcPr>
            <w:tcW w:w="1564" w:type="dxa"/>
            <w:vAlign w:val="top"/>
          </w:tcPr>
          <w:p>
            <w:pPr>
              <w:ind w:left="473"/>
              <w:spacing w:before="32" w:line="217"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bottom w:val="nil"/>
            </w:tcBorders>
          </w:tcPr>
          <w:p>
            <w:pPr>
              <w:rPr>
                <w:rFonts w:ascii="Arial"/>
                <w:sz w:val="21"/>
              </w:rPr>
            </w:pPr>
            <w:r/>
          </w:p>
        </w:tc>
        <w:tc>
          <w:tcPr>
            <w:tcW w:w="1700" w:type="dxa"/>
            <w:vAlign w:val="top"/>
            <w:vMerge w:val="continue"/>
            <w:tcBorders>
              <w:top w:val="nil"/>
              <w:bottom w:val="nil"/>
            </w:tcBorders>
          </w:tcPr>
          <w:p>
            <w:pPr>
              <w:rPr>
                <w:rFonts w:ascii="Arial"/>
                <w:sz w:val="21"/>
              </w:rPr>
            </w:pPr>
            <w:r/>
          </w:p>
        </w:tc>
      </w:tr>
      <w:tr>
        <w:trPr>
          <w:trHeight w:val="278" w:hRule="atLeast"/>
        </w:trPr>
        <w:tc>
          <w:tcPr>
            <w:tcW w:w="712" w:type="dxa"/>
            <w:vAlign w:val="top"/>
          </w:tcPr>
          <w:p>
            <w:pPr>
              <w:pStyle w:val="TableText"/>
              <w:ind w:left="188"/>
              <w:spacing w:before="69" w:line="195" w:lineRule="auto"/>
              <w:rPr/>
            </w:pPr>
            <w:r>
              <w:rPr>
                <w:spacing w:val="2"/>
              </w:rPr>
              <w:t>T18</w:t>
            </w:r>
          </w:p>
        </w:tc>
        <w:tc>
          <w:tcPr>
            <w:tcW w:w="4114" w:type="dxa"/>
            <w:vAlign w:val="top"/>
          </w:tcPr>
          <w:p>
            <w:pPr>
              <w:ind w:left="1011"/>
              <w:spacing w:before="32" w:line="217" w:lineRule="auto"/>
              <w:rPr>
                <w:rFonts w:ascii="SimSun" w:hAnsi="SimSun" w:eastAsia="SimSun" w:cs="SimSun"/>
                <w:sz w:val="20"/>
                <w:szCs w:val="20"/>
              </w:rPr>
            </w:pPr>
            <w:r>
              <w:rPr>
                <w:rFonts w:ascii="SimSun" w:hAnsi="SimSun" w:eastAsia="SimSun" w:cs="SimSun"/>
                <w:sz w:val="20"/>
                <w:szCs w:val="20"/>
                <w:spacing w:val="8"/>
              </w:rPr>
              <w:t>井工矿中部（表层样）</w:t>
            </w:r>
          </w:p>
        </w:tc>
        <w:tc>
          <w:tcPr>
            <w:tcW w:w="1564" w:type="dxa"/>
            <w:vAlign w:val="top"/>
          </w:tcPr>
          <w:p>
            <w:pPr>
              <w:ind w:left="473"/>
              <w:spacing w:before="32" w:line="217"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bottom w:val="nil"/>
            </w:tcBorders>
          </w:tcPr>
          <w:p>
            <w:pPr>
              <w:rPr>
                <w:rFonts w:ascii="Arial"/>
                <w:sz w:val="21"/>
              </w:rPr>
            </w:pPr>
            <w:r/>
          </w:p>
        </w:tc>
        <w:tc>
          <w:tcPr>
            <w:tcW w:w="1700" w:type="dxa"/>
            <w:vAlign w:val="top"/>
            <w:vMerge w:val="continue"/>
            <w:tcBorders>
              <w:top w:val="nil"/>
              <w:bottom w:val="nil"/>
            </w:tcBorders>
          </w:tcPr>
          <w:p>
            <w:pPr>
              <w:rPr>
                <w:rFonts w:ascii="Arial"/>
                <w:sz w:val="21"/>
              </w:rPr>
            </w:pPr>
            <w:r/>
          </w:p>
        </w:tc>
      </w:tr>
      <w:tr>
        <w:trPr>
          <w:trHeight w:val="280" w:hRule="atLeast"/>
        </w:trPr>
        <w:tc>
          <w:tcPr>
            <w:tcW w:w="712" w:type="dxa"/>
            <w:vAlign w:val="top"/>
          </w:tcPr>
          <w:p>
            <w:pPr>
              <w:pStyle w:val="TableText"/>
              <w:ind w:left="188"/>
              <w:spacing w:before="66" w:line="195" w:lineRule="auto"/>
              <w:rPr/>
            </w:pPr>
            <w:r>
              <w:rPr>
                <w:spacing w:val="2"/>
              </w:rPr>
              <w:t>T19</w:t>
            </w:r>
          </w:p>
        </w:tc>
        <w:tc>
          <w:tcPr>
            <w:tcW w:w="4114" w:type="dxa"/>
            <w:vAlign w:val="top"/>
          </w:tcPr>
          <w:p>
            <w:pPr>
              <w:pStyle w:val="TableText"/>
              <w:ind w:left="695"/>
              <w:spacing w:before="30" w:line="221" w:lineRule="auto"/>
              <w:rPr>
                <w:rFonts w:ascii="SimSun" w:hAnsi="SimSun" w:eastAsia="SimSun" w:cs="SimSun"/>
              </w:rPr>
            </w:pPr>
            <w:r>
              <w:rPr>
                <w:rFonts w:ascii="SimSun" w:hAnsi="SimSun" w:eastAsia="SimSun" w:cs="SimSun"/>
                <w:spacing w:val="6"/>
              </w:rPr>
              <w:t>露天矿界西侧</w:t>
            </w:r>
            <w:r>
              <w:rPr>
                <w:rFonts w:ascii="SimSun" w:hAnsi="SimSun" w:eastAsia="SimSun" w:cs="SimSun"/>
                <w:spacing w:val="-17"/>
              </w:rPr>
              <w:t xml:space="preserve"> </w:t>
            </w:r>
            <w:r>
              <w:rPr>
                <w:spacing w:val="6"/>
              </w:rPr>
              <w:t>1</w:t>
            </w:r>
            <w:r>
              <w:rPr/>
              <w:t>km</w:t>
            </w:r>
            <w:r>
              <w:rPr>
                <w:rFonts w:ascii="SimSun" w:hAnsi="SimSun" w:eastAsia="SimSun" w:cs="SimSun"/>
                <w:spacing w:val="6"/>
              </w:rPr>
              <w:t>（表层样）</w:t>
            </w:r>
          </w:p>
        </w:tc>
        <w:tc>
          <w:tcPr>
            <w:tcW w:w="1564" w:type="dxa"/>
            <w:vAlign w:val="top"/>
          </w:tcPr>
          <w:p>
            <w:pPr>
              <w:ind w:left="473"/>
              <w:spacing w:before="30" w:line="221" w:lineRule="auto"/>
              <w:rPr>
                <w:rFonts w:ascii="SimSun" w:hAnsi="SimSun" w:eastAsia="SimSun" w:cs="SimSun"/>
                <w:sz w:val="20"/>
                <w:szCs w:val="20"/>
              </w:rPr>
            </w:pPr>
            <w:r>
              <w:rPr>
                <w:rFonts w:ascii="SimSun" w:hAnsi="SimSun" w:eastAsia="SimSun" w:cs="SimSun"/>
                <w:sz w:val="20"/>
                <w:szCs w:val="20"/>
                <w:spacing w:val="7"/>
              </w:rPr>
              <w:t>表层样</w:t>
            </w:r>
          </w:p>
        </w:tc>
        <w:tc>
          <w:tcPr>
            <w:tcW w:w="993" w:type="dxa"/>
            <w:vAlign w:val="top"/>
            <w:vMerge w:val="continue"/>
            <w:tcBorders>
              <w:top w:val="nil"/>
            </w:tcBorders>
          </w:tcPr>
          <w:p>
            <w:pPr>
              <w:rPr>
                <w:rFonts w:ascii="Arial"/>
                <w:sz w:val="21"/>
              </w:rPr>
            </w:pPr>
            <w:r/>
          </w:p>
        </w:tc>
        <w:tc>
          <w:tcPr>
            <w:tcW w:w="1700" w:type="dxa"/>
            <w:vAlign w:val="top"/>
            <w:vMerge w:val="continue"/>
            <w:tcBorders>
              <w:top w:val="nil"/>
            </w:tcBorders>
          </w:tcPr>
          <w:p>
            <w:pPr>
              <w:rPr>
                <w:rFonts w:ascii="Arial"/>
                <w:sz w:val="21"/>
              </w:rPr>
            </w:pPr>
            <w:r/>
          </w:p>
        </w:tc>
      </w:tr>
    </w:tbl>
    <w:p>
      <w:pPr>
        <w:pStyle w:val="BodyText"/>
        <w:spacing w:line="306" w:lineRule="auto"/>
        <w:rPr/>
      </w:pPr>
      <w:r/>
    </w:p>
    <w:p>
      <w:pPr>
        <w:ind w:left="671"/>
        <w:spacing w:before="78" w:line="219" w:lineRule="auto"/>
        <w:rPr>
          <w:rFonts w:ascii="SimSun" w:hAnsi="SimSun" w:eastAsia="SimSun" w:cs="SimSun"/>
          <w:sz w:val="24"/>
          <w:szCs w:val="24"/>
        </w:rPr>
      </w:pPr>
      <w:r>
        <w:pict>
          <v:shape id="_x0000_s1212" style="position:absolute;margin-left:29.7pt;margin-top:4.08056pt;mso-position-vertical-relative:text;mso-position-horizontal-relative:text;width:12.15pt;height:12.15pt;z-index:262986752;" filled="false" strokecolor="#000000" strokeweight="0.12pt" coordsize="242,242" coordorigin="0,0" path="m241,121c241,188,185,241,121,241c53,241,1,188,1,121c1,56,53,1,121,1c185,1,241,56,241,121e">
            <v:stroke endcap="round" miterlimit="10"/>
          </v:shape>
        </w:pict>
      </w:r>
      <w:r>
        <w:rPr>
          <w:rFonts w:ascii="SimSun" w:hAnsi="SimSun" w:eastAsia="SimSun" w:cs="SimSun"/>
          <w:sz w:val="19"/>
          <w:szCs w:val="19"/>
          <w:spacing w:val="-1"/>
        </w:rPr>
        <w:t>4  </w:t>
      </w:r>
      <w:r>
        <w:rPr>
          <w:rFonts w:ascii="SimSun" w:hAnsi="SimSun" w:eastAsia="SimSun" w:cs="SimSun"/>
          <w:sz w:val="24"/>
          <w:szCs w:val="24"/>
          <w:spacing w:val="-1"/>
        </w:rPr>
        <w:t>污染影响型土壤监测布点</w:t>
      </w:r>
    </w:p>
    <w:p>
      <w:pPr>
        <w:ind w:left="134" w:right="112" w:firstLine="468"/>
        <w:spacing w:before="156" w:line="341" w:lineRule="auto"/>
        <w:rPr>
          <w:rFonts w:ascii="SimSun" w:hAnsi="SimSun" w:eastAsia="SimSun" w:cs="SimSun"/>
          <w:sz w:val="24"/>
          <w:szCs w:val="24"/>
        </w:rPr>
      </w:pPr>
      <w:r>
        <w:rPr>
          <w:rFonts w:ascii="SimSun" w:hAnsi="SimSun" w:eastAsia="SimSun" w:cs="SimSun"/>
          <w:sz w:val="24"/>
          <w:szCs w:val="24"/>
          <w:spacing w:val="-2"/>
        </w:rPr>
        <w:t>本项目在综合场地（工业场地和水处理站）及内排土场各布设</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个样点，具体监测</w:t>
      </w:r>
      <w:r>
        <w:rPr>
          <w:rFonts w:ascii="SimSun" w:hAnsi="SimSun" w:eastAsia="SimSun" w:cs="SimSun"/>
          <w:sz w:val="24"/>
          <w:szCs w:val="24"/>
          <w:spacing w:val="-2"/>
        </w:rPr>
        <w:t>点位布设见表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4-2-39 </w:t>
      </w:r>
      <w:r>
        <w:rPr>
          <w:rFonts w:ascii="SimSun" w:hAnsi="SimSun" w:eastAsia="SimSun" w:cs="SimSun"/>
          <w:sz w:val="24"/>
          <w:szCs w:val="24"/>
          <w:spacing w:val="-2"/>
        </w:rPr>
        <w:t>和图</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4-3-8</w:t>
      </w:r>
      <w:r>
        <w:rPr>
          <w:rFonts w:ascii="SimSun" w:hAnsi="SimSun" w:eastAsia="SimSun" w:cs="SimSun"/>
          <w:sz w:val="24"/>
          <w:szCs w:val="24"/>
          <w:spacing w:val="-2"/>
        </w:rPr>
        <w:t>。</w:t>
      </w:r>
    </w:p>
    <w:p>
      <w:pPr>
        <w:ind w:left="3341"/>
        <w:spacing w:before="121" w:line="222" w:lineRule="auto"/>
        <w:rPr>
          <w:rFonts w:ascii="SimHei" w:hAnsi="SimHei" w:eastAsia="SimHei" w:cs="SimHei"/>
          <w:sz w:val="24"/>
          <w:szCs w:val="24"/>
        </w:rPr>
      </w:pPr>
      <w:r>
        <w:rPr>
          <w:rFonts w:ascii="SimHei" w:hAnsi="SimHei" w:eastAsia="SimHei" w:cs="SimHei"/>
          <w:sz w:val="24"/>
          <w:szCs w:val="24"/>
          <w:spacing w:val="-1"/>
        </w:rPr>
        <w:t>其他场地土壤监测布点一览表</w:t>
      </w:r>
    </w:p>
    <w:p>
      <w:pPr>
        <w:ind w:left="120"/>
        <w:spacing w:before="68"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4-2-39</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6"/>
        <w:gridCol w:w="583"/>
        <w:gridCol w:w="1595"/>
        <w:gridCol w:w="871"/>
        <w:gridCol w:w="4212"/>
        <w:gridCol w:w="1595"/>
      </w:tblGrid>
      <w:tr>
        <w:trPr>
          <w:trHeight w:val="554" w:hRule="atLeast"/>
        </w:trPr>
        <w:tc>
          <w:tcPr>
            <w:tcW w:w="436" w:type="dxa"/>
            <w:vAlign w:val="top"/>
            <w:textDirection w:val="tbRlV"/>
          </w:tcPr>
          <w:p>
            <w:pPr>
              <w:ind w:left="31"/>
              <w:spacing w:before="109" w:line="217" w:lineRule="auto"/>
              <w:rPr>
                <w:rFonts w:ascii="SimSun" w:hAnsi="SimSun" w:eastAsia="SimSun" w:cs="SimSun"/>
                <w:sz w:val="20"/>
                <w:szCs w:val="20"/>
              </w:rPr>
            </w:pPr>
            <w:r>
              <w:rPr>
                <w:rFonts w:ascii="SimSun" w:hAnsi="SimSun" w:eastAsia="SimSun" w:cs="SimSun"/>
                <w:sz w:val="20"/>
                <w:szCs w:val="20"/>
                <w:spacing w:val="8"/>
              </w:rPr>
              <w:t>场</w:t>
            </w:r>
            <w:r>
              <w:rPr>
                <w:rFonts w:ascii="SimSun" w:hAnsi="SimSun" w:eastAsia="SimSun" w:cs="SimSun"/>
                <w:sz w:val="20"/>
                <w:szCs w:val="20"/>
                <w:spacing w:val="-35"/>
              </w:rPr>
              <w:t xml:space="preserve"> </w:t>
            </w:r>
            <w:r>
              <w:rPr>
                <w:rFonts w:ascii="SimSun" w:hAnsi="SimSun" w:eastAsia="SimSun" w:cs="SimSun"/>
                <w:sz w:val="20"/>
                <w:szCs w:val="20"/>
                <w:spacing w:val="8"/>
              </w:rPr>
              <w:t>地</w:t>
            </w:r>
          </w:p>
        </w:tc>
        <w:tc>
          <w:tcPr>
            <w:tcW w:w="583" w:type="dxa"/>
            <w:vAlign w:val="top"/>
            <w:textDirection w:val="tbRlV"/>
          </w:tcPr>
          <w:p>
            <w:pPr>
              <w:ind w:left="31"/>
              <w:spacing w:before="188" w:line="214" w:lineRule="auto"/>
              <w:rPr>
                <w:rFonts w:ascii="SimSun" w:hAnsi="SimSun" w:eastAsia="SimSun" w:cs="SimSun"/>
                <w:sz w:val="20"/>
                <w:szCs w:val="20"/>
              </w:rPr>
            </w:pPr>
            <w:r>
              <w:rPr>
                <w:rFonts w:ascii="SimSun" w:hAnsi="SimSun" w:eastAsia="SimSun" w:cs="SimSun"/>
                <w:sz w:val="20"/>
                <w:szCs w:val="20"/>
                <w:spacing w:val="8"/>
              </w:rPr>
              <w:t>编</w:t>
            </w:r>
            <w:r>
              <w:rPr>
                <w:rFonts w:ascii="SimSun" w:hAnsi="SimSun" w:eastAsia="SimSun" w:cs="SimSun"/>
                <w:sz w:val="20"/>
                <w:szCs w:val="20"/>
                <w:spacing w:val="-35"/>
              </w:rPr>
              <w:t xml:space="preserve"> </w:t>
            </w:r>
            <w:r>
              <w:rPr>
                <w:rFonts w:ascii="SimSun" w:hAnsi="SimSun" w:eastAsia="SimSun" w:cs="SimSun"/>
                <w:sz w:val="20"/>
                <w:szCs w:val="20"/>
                <w:spacing w:val="8"/>
              </w:rPr>
              <w:t>号</w:t>
            </w:r>
          </w:p>
        </w:tc>
        <w:tc>
          <w:tcPr>
            <w:tcW w:w="1595" w:type="dxa"/>
            <w:vAlign w:val="top"/>
          </w:tcPr>
          <w:p>
            <w:pPr>
              <w:ind w:left="594"/>
              <w:spacing w:before="168" w:line="230" w:lineRule="auto"/>
              <w:rPr>
                <w:rFonts w:ascii="SimSun" w:hAnsi="SimSun" w:eastAsia="SimSun" w:cs="SimSun"/>
                <w:sz w:val="20"/>
                <w:szCs w:val="20"/>
              </w:rPr>
            </w:pPr>
            <w:r>
              <w:rPr>
                <w:rFonts w:ascii="SimSun" w:hAnsi="SimSun" w:eastAsia="SimSun" w:cs="SimSun"/>
                <w:sz w:val="20"/>
                <w:szCs w:val="20"/>
                <w:spacing w:val="3"/>
              </w:rPr>
              <w:t>名称</w:t>
            </w:r>
          </w:p>
        </w:tc>
        <w:tc>
          <w:tcPr>
            <w:tcW w:w="871" w:type="dxa"/>
            <w:vAlign w:val="top"/>
          </w:tcPr>
          <w:p>
            <w:pPr>
              <w:ind w:left="229" w:right="120" w:hanging="104"/>
              <w:spacing w:before="30" w:line="237" w:lineRule="auto"/>
              <w:rPr>
                <w:rFonts w:ascii="SimSun" w:hAnsi="SimSun" w:eastAsia="SimSun" w:cs="SimSun"/>
                <w:sz w:val="20"/>
                <w:szCs w:val="20"/>
              </w:rPr>
            </w:pPr>
            <w:r>
              <w:rPr>
                <w:rFonts w:ascii="SimSun" w:hAnsi="SimSun" w:eastAsia="SimSun" w:cs="SimSun"/>
                <w:sz w:val="20"/>
                <w:szCs w:val="20"/>
                <w:spacing w:val="6"/>
              </w:rPr>
              <w:t>监测点</w:t>
            </w:r>
            <w:r>
              <w:rPr>
                <w:rFonts w:ascii="SimSun" w:hAnsi="SimSun" w:eastAsia="SimSun" w:cs="SimSun"/>
                <w:sz w:val="20"/>
                <w:szCs w:val="20"/>
                <w:spacing w:val="4"/>
              </w:rPr>
              <w:t>类型</w:t>
            </w:r>
          </w:p>
        </w:tc>
        <w:tc>
          <w:tcPr>
            <w:tcW w:w="4212" w:type="dxa"/>
            <w:vAlign w:val="top"/>
          </w:tcPr>
          <w:p>
            <w:pPr>
              <w:ind w:left="1693"/>
              <w:spacing w:before="168" w:line="228" w:lineRule="auto"/>
              <w:rPr>
                <w:rFonts w:ascii="SimSun" w:hAnsi="SimSun" w:eastAsia="SimSun" w:cs="SimSun"/>
                <w:sz w:val="20"/>
                <w:szCs w:val="20"/>
              </w:rPr>
            </w:pPr>
            <w:r>
              <w:rPr>
                <w:rFonts w:ascii="SimSun" w:hAnsi="SimSun" w:eastAsia="SimSun" w:cs="SimSun"/>
                <w:sz w:val="20"/>
                <w:szCs w:val="20"/>
                <w:spacing w:val="7"/>
              </w:rPr>
              <w:t>监测因子</w:t>
            </w:r>
          </w:p>
        </w:tc>
        <w:tc>
          <w:tcPr>
            <w:tcW w:w="1595" w:type="dxa"/>
            <w:vAlign w:val="top"/>
          </w:tcPr>
          <w:p>
            <w:pPr>
              <w:ind w:left="382"/>
              <w:spacing w:before="167" w:line="228" w:lineRule="auto"/>
              <w:rPr>
                <w:rFonts w:ascii="SimSun" w:hAnsi="SimSun" w:eastAsia="SimSun" w:cs="SimSun"/>
                <w:sz w:val="20"/>
                <w:szCs w:val="20"/>
              </w:rPr>
            </w:pPr>
            <w:r>
              <w:rPr>
                <w:rFonts w:ascii="SimSun" w:hAnsi="SimSun" w:eastAsia="SimSun" w:cs="SimSun"/>
                <w:sz w:val="20"/>
                <w:szCs w:val="20"/>
                <w:spacing w:val="7"/>
              </w:rPr>
              <w:t>检测项目</w:t>
            </w:r>
          </w:p>
        </w:tc>
      </w:tr>
      <w:tr>
        <w:trPr>
          <w:trHeight w:val="820" w:hRule="atLeast"/>
        </w:trPr>
        <w:tc>
          <w:tcPr>
            <w:tcW w:w="436" w:type="dxa"/>
            <w:vAlign w:val="top"/>
            <w:vMerge w:val="restart"/>
            <w:textDirection w:val="tbRlV"/>
            <w:tcBorders>
              <w:bottom w:val="nil"/>
            </w:tcBorders>
          </w:tcPr>
          <w:p>
            <w:pPr>
              <w:ind w:left="1414"/>
              <w:spacing w:before="109" w:line="217" w:lineRule="auto"/>
              <w:rPr>
                <w:rFonts w:ascii="SimSun" w:hAnsi="SimSun" w:eastAsia="SimSun" w:cs="SimSun"/>
                <w:sz w:val="20"/>
                <w:szCs w:val="20"/>
              </w:rPr>
            </w:pPr>
            <w:r>
              <w:rPr>
                <w:rFonts w:ascii="SimSun" w:hAnsi="SimSun" w:eastAsia="SimSun" w:cs="SimSun"/>
                <w:sz w:val="20"/>
                <w:szCs w:val="20"/>
                <w:spacing w:val="8"/>
              </w:rPr>
              <w:t>综</w:t>
            </w:r>
            <w:r>
              <w:rPr>
                <w:rFonts w:ascii="SimSun" w:hAnsi="SimSun" w:eastAsia="SimSun" w:cs="SimSun"/>
                <w:sz w:val="20"/>
                <w:szCs w:val="20"/>
                <w:spacing w:val="-36"/>
              </w:rPr>
              <w:t xml:space="preserve"> </w:t>
            </w:r>
            <w:r>
              <w:rPr>
                <w:rFonts w:ascii="SimSun" w:hAnsi="SimSun" w:eastAsia="SimSun" w:cs="SimSun"/>
                <w:sz w:val="20"/>
                <w:szCs w:val="20"/>
                <w:spacing w:val="8"/>
              </w:rPr>
              <w:t>合</w:t>
            </w:r>
            <w:r>
              <w:rPr>
                <w:rFonts w:ascii="SimSun" w:hAnsi="SimSun" w:eastAsia="SimSun" w:cs="SimSun"/>
                <w:sz w:val="20"/>
                <w:szCs w:val="20"/>
                <w:spacing w:val="-35"/>
              </w:rPr>
              <w:t xml:space="preserve"> </w:t>
            </w:r>
            <w:r>
              <w:rPr>
                <w:rFonts w:ascii="SimSun" w:hAnsi="SimSun" w:eastAsia="SimSun" w:cs="SimSun"/>
                <w:sz w:val="20"/>
                <w:szCs w:val="20"/>
                <w:spacing w:val="8"/>
              </w:rPr>
              <w:t>场</w:t>
            </w:r>
            <w:r>
              <w:rPr>
                <w:rFonts w:ascii="SimSun" w:hAnsi="SimSun" w:eastAsia="SimSun" w:cs="SimSun"/>
                <w:sz w:val="20"/>
                <w:szCs w:val="20"/>
                <w:spacing w:val="-38"/>
              </w:rPr>
              <w:t xml:space="preserve"> </w:t>
            </w:r>
            <w:r>
              <w:rPr>
                <w:rFonts w:ascii="SimSun" w:hAnsi="SimSun" w:eastAsia="SimSun" w:cs="SimSun"/>
                <w:sz w:val="20"/>
                <w:szCs w:val="20"/>
                <w:spacing w:val="8"/>
              </w:rPr>
              <w:t>地</w:t>
            </w:r>
          </w:p>
        </w:tc>
        <w:tc>
          <w:tcPr>
            <w:tcW w:w="583" w:type="dxa"/>
            <w:vAlign w:val="top"/>
          </w:tcPr>
          <w:p>
            <w:pPr>
              <w:spacing w:line="277" w:lineRule="auto"/>
              <w:rPr>
                <w:rFonts w:ascii="Arial"/>
                <w:sz w:val="21"/>
              </w:rPr>
            </w:pPr>
            <w:r/>
          </w:p>
          <w:p>
            <w:pPr>
              <w:pStyle w:val="TableText"/>
              <w:ind w:left="177"/>
              <w:spacing w:before="57" w:line="195" w:lineRule="auto"/>
              <w:rPr/>
            </w:pPr>
            <w:r>
              <w:rPr/>
              <w:t>T1</w:t>
            </w:r>
          </w:p>
        </w:tc>
        <w:tc>
          <w:tcPr>
            <w:tcW w:w="1595" w:type="dxa"/>
            <w:vAlign w:val="top"/>
          </w:tcPr>
          <w:p>
            <w:pPr>
              <w:ind w:left="380" w:right="168" w:hanging="203"/>
              <w:spacing w:before="163" w:line="254" w:lineRule="auto"/>
              <w:rPr>
                <w:rFonts w:ascii="SimSun" w:hAnsi="SimSun" w:eastAsia="SimSun" w:cs="SimSun"/>
                <w:sz w:val="20"/>
                <w:szCs w:val="20"/>
              </w:rPr>
            </w:pPr>
            <w:r>
              <w:rPr>
                <w:rFonts w:ascii="SimSun" w:hAnsi="SimSun" w:eastAsia="SimSun" w:cs="SimSun"/>
                <w:sz w:val="20"/>
                <w:szCs w:val="20"/>
                <w:spacing w:val="7"/>
              </w:rPr>
              <w:t>露天矿工业场</w:t>
            </w:r>
            <w:r>
              <w:rPr>
                <w:rFonts w:ascii="SimSun" w:hAnsi="SimSun" w:eastAsia="SimSun" w:cs="SimSun"/>
                <w:sz w:val="20"/>
                <w:szCs w:val="20"/>
                <w:spacing w:val="7"/>
              </w:rPr>
              <w:t>地危废库</w:t>
            </w:r>
          </w:p>
        </w:tc>
        <w:tc>
          <w:tcPr>
            <w:tcW w:w="871" w:type="dxa"/>
            <w:vAlign w:val="top"/>
          </w:tcPr>
          <w:p>
            <w:pPr>
              <w:ind w:left="125"/>
              <w:spacing w:before="300" w:line="228"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tcPr>
          <w:p>
            <w:pPr>
              <w:ind w:left="118"/>
              <w:spacing w:before="29" w:line="228" w:lineRule="auto"/>
              <w:rPr>
                <w:rFonts w:ascii="SimSun" w:hAnsi="SimSun" w:eastAsia="SimSun" w:cs="SimSun"/>
                <w:sz w:val="20"/>
                <w:szCs w:val="20"/>
              </w:rPr>
            </w:pPr>
            <w:r>
              <w:rPr>
                <w:rFonts w:ascii="SimSun" w:hAnsi="SimSun" w:eastAsia="SimSun" w:cs="SimSun"/>
                <w:sz w:val="20"/>
                <w:szCs w:val="20"/>
                <w:spacing w:val="9"/>
              </w:rPr>
              <w:t>监测《土壤环境质量建设用地土壤污染风险</w:t>
            </w:r>
          </w:p>
          <w:p>
            <w:pPr>
              <w:pStyle w:val="TableText"/>
              <w:ind w:left="115"/>
              <w:spacing w:before="23" w:line="224" w:lineRule="auto"/>
              <w:rPr>
                <w:rFonts w:ascii="SimSun" w:hAnsi="SimSun" w:eastAsia="SimSun" w:cs="SimSun"/>
              </w:rPr>
            </w:pPr>
            <w:r>
              <w:rPr>
                <w:rFonts w:ascii="SimSun" w:hAnsi="SimSun" w:eastAsia="SimSun" w:cs="SimSun"/>
                <w:spacing w:val="4"/>
              </w:rPr>
              <w:t>管控标准（试行）》（</w:t>
            </w:r>
            <w:r>
              <w:rPr/>
              <w:t>GB</w:t>
            </w:r>
            <w:r>
              <w:rPr>
                <w:spacing w:val="4"/>
              </w:rPr>
              <w:t>/36600-2018</w:t>
            </w:r>
            <w:r>
              <w:rPr>
                <w:rFonts w:ascii="SimSun" w:hAnsi="SimSun" w:eastAsia="SimSun" w:cs="SimSun"/>
                <w:spacing w:val="4"/>
              </w:rPr>
              <w:t>）》中</w:t>
            </w:r>
          </w:p>
          <w:p>
            <w:pPr>
              <w:pStyle w:val="TableText"/>
              <w:ind w:left="274"/>
              <w:spacing w:before="28" w:line="220" w:lineRule="auto"/>
              <w:rPr/>
            </w:pPr>
            <w:r>
              <w:rPr>
                <w:spacing w:val="9"/>
              </w:rPr>
              <w:t>45 </w:t>
            </w:r>
            <w:r>
              <w:rPr>
                <w:rFonts w:ascii="SimSun" w:hAnsi="SimSun" w:eastAsia="SimSun" w:cs="SimSun"/>
                <w:spacing w:val="9"/>
              </w:rPr>
              <w:t>项基本项目，同时监测：石油类、</w:t>
            </w:r>
            <w:r>
              <w:rPr/>
              <w:t>pH</w:t>
            </w:r>
          </w:p>
        </w:tc>
        <w:tc>
          <w:tcPr>
            <w:tcW w:w="1595" w:type="dxa"/>
            <w:vAlign w:val="top"/>
            <w:vMerge w:val="restart"/>
            <w:tcBorders>
              <w:bottom w:val="nil"/>
            </w:tcBorders>
          </w:tcPr>
          <w:p>
            <w:pPr>
              <w:spacing w:line="328" w:lineRule="auto"/>
              <w:rPr>
                <w:rFonts w:ascii="Arial"/>
                <w:sz w:val="21"/>
              </w:rPr>
            </w:pPr>
            <w:r/>
          </w:p>
          <w:p>
            <w:pPr>
              <w:spacing w:line="328" w:lineRule="auto"/>
              <w:rPr>
                <w:rFonts w:ascii="Arial"/>
                <w:sz w:val="21"/>
              </w:rPr>
            </w:pPr>
            <w:r/>
          </w:p>
          <w:p>
            <w:pPr>
              <w:ind w:left="116"/>
              <w:spacing w:before="65" w:line="227" w:lineRule="auto"/>
              <w:rPr>
                <w:rFonts w:ascii="SimSun" w:hAnsi="SimSun" w:eastAsia="SimSun" w:cs="SimSun"/>
                <w:sz w:val="20"/>
                <w:szCs w:val="20"/>
              </w:rPr>
            </w:pPr>
            <w:r>
              <w:rPr>
                <w:rFonts w:ascii="SimSun" w:hAnsi="SimSun" w:eastAsia="SimSun" w:cs="SimSun"/>
                <w:sz w:val="20"/>
                <w:szCs w:val="20"/>
                <w:spacing w:val="-6"/>
              </w:rPr>
              <w:t>土壤的采集、保</w:t>
            </w:r>
          </w:p>
          <w:p>
            <w:pPr>
              <w:ind w:left="114"/>
              <w:spacing w:before="27" w:line="228" w:lineRule="auto"/>
              <w:rPr>
                <w:rFonts w:ascii="SimSun" w:hAnsi="SimSun" w:eastAsia="SimSun" w:cs="SimSun"/>
                <w:sz w:val="20"/>
                <w:szCs w:val="20"/>
              </w:rPr>
            </w:pPr>
            <w:r>
              <w:rPr>
                <w:rFonts w:ascii="SimSun" w:hAnsi="SimSun" w:eastAsia="SimSun" w:cs="SimSun"/>
                <w:sz w:val="20"/>
                <w:szCs w:val="20"/>
                <w:spacing w:val="-5"/>
              </w:rPr>
              <w:t>存及分析按《土</w:t>
            </w:r>
          </w:p>
          <w:p>
            <w:pPr>
              <w:ind w:left="170"/>
              <w:spacing w:before="24" w:line="228" w:lineRule="auto"/>
              <w:rPr>
                <w:rFonts w:ascii="SimSun" w:hAnsi="SimSun" w:eastAsia="SimSun" w:cs="SimSun"/>
                <w:sz w:val="20"/>
                <w:szCs w:val="20"/>
              </w:rPr>
            </w:pPr>
            <w:r>
              <w:rPr>
                <w:rFonts w:ascii="SimSun" w:hAnsi="SimSun" w:eastAsia="SimSun" w:cs="SimSun"/>
                <w:sz w:val="20"/>
                <w:szCs w:val="20"/>
                <w:spacing w:val="8"/>
              </w:rPr>
              <w:t>壤环境监测技</w:t>
            </w:r>
          </w:p>
          <w:p>
            <w:pPr>
              <w:ind w:left="383"/>
              <w:spacing w:before="25" w:line="228" w:lineRule="auto"/>
              <w:rPr>
                <w:rFonts w:ascii="SimSun" w:hAnsi="SimSun" w:eastAsia="SimSun" w:cs="SimSun"/>
                <w:sz w:val="20"/>
                <w:szCs w:val="20"/>
              </w:rPr>
            </w:pPr>
            <w:r>
              <w:rPr>
                <w:rFonts w:ascii="SimSun" w:hAnsi="SimSun" w:eastAsia="SimSun" w:cs="SimSun"/>
                <w:sz w:val="20"/>
                <w:szCs w:val="20"/>
                <w:spacing w:val="4"/>
              </w:rPr>
              <w:t>术规范》</w:t>
            </w:r>
          </w:p>
          <w:p>
            <w:pPr>
              <w:pStyle w:val="TableText"/>
              <w:ind w:left="145"/>
              <w:spacing w:before="26" w:line="241" w:lineRule="auto"/>
              <w:rPr/>
            </w:pPr>
            <w:r>
              <w:rPr>
                <w:rFonts w:ascii="SimSun" w:hAnsi="SimSun" w:eastAsia="SimSun" w:cs="SimSun"/>
                <w:spacing w:val="4"/>
              </w:rPr>
              <w:t>（</w:t>
            </w:r>
            <w:r>
              <w:rPr/>
              <w:t>HJ</w:t>
            </w:r>
            <w:r>
              <w:rPr>
                <w:spacing w:val="4"/>
              </w:rPr>
              <w:t>/T166-200</w:t>
            </w:r>
          </w:p>
          <w:p>
            <w:pPr>
              <w:pStyle w:val="TableText"/>
              <w:ind w:left="115"/>
              <w:spacing w:before="11" w:line="229" w:lineRule="auto"/>
              <w:rPr>
                <w:rFonts w:ascii="SimSun" w:hAnsi="SimSun" w:eastAsia="SimSun" w:cs="SimSun"/>
              </w:rPr>
            </w:pPr>
            <w:r>
              <w:rPr>
                <w:spacing w:val="8"/>
              </w:rPr>
              <w:t>4</w:t>
            </w:r>
            <w:r>
              <w:rPr>
                <w:rFonts w:ascii="SimSun" w:hAnsi="SimSun" w:eastAsia="SimSun" w:cs="SimSun"/>
                <w:spacing w:val="8"/>
              </w:rPr>
              <w:t>）、《土壤环</w:t>
            </w:r>
          </w:p>
          <w:p>
            <w:pPr>
              <w:ind w:left="121"/>
              <w:spacing w:before="26" w:line="228" w:lineRule="auto"/>
              <w:rPr>
                <w:rFonts w:ascii="SimSun" w:hAnsi="SimSun" w:eastAsia="SimSun" w:cs="SimSun"/>
                <w:sz w:val="20"/>
                <w:szCs w:val="20"/>
              </w:rPr>
            </w:pPr>
            <w:r>
              <w:rPr>
                <w:rFonts w:ascii="SimSun" w:hAnsi="SimSun" w:eastAsia="SimSun" w:cs="SimSun"/>
                <w:sz w:val="20"/>
                <w:szCs w:val="20"/>
                <w:spacing w:val="6"/>
              </w:rPr>
              <w:t>境质量</w:t>
            </w:r>
            <w:r>
              <w:rPr>
                <w:rFonts w:ascii="SimSun" w:hAnsi="SimSun" w:eastAsia="SimSun" w:cs="SimSun"/>
                <w:sz w:val="20"/>
                <w:szCs w:val="20"/>
                <w:spacing w:val="17"/>
              </w:rPr>
              <w:t xml:space="preserve"> </w:t>
            </w:r>
            <w:r>
              <w:rPr>
                <w:rFonts w:ascii="SimSun" w:hAnsi="SimSun" w:eastAsia="SimSun" w:cs="SimSun"/>
                <w:sz w:val="20"/>
                <w:szCs w:val="20"/>
                <w:spacing w:val="6"/>
              </w:rPr>
              <w:t>建设用</w:t>
            </w:r>
          </w:p>
          <w:p>
            <w:pPr>
              <w:ind w:left="170"/>
              <w:spacing w:before="24" w:line="228" w:lineRule="auto"/>
              <w:rPr>
                <w:rFonts w:ascii="SimSun" w:hAnsi="SimSun" w:eastAsia="SimSun" w:cs="SimSun"/>
                <w:sz w:val="20"/>
                <w:szCs w:val="20"/>
              </w:rPr>
            </w:pPr>
            <w:r>
              <w:rPr>
                <w:rFonts w:ascii="SimSun" w:hAnsi="SimSun" w:eastAsia="SimSun" w:cs="SimSun"/>
                <w:sz w:val="20"/>
                <w:szCs w:val="20"/>
                <w:spacing w:val="8"/>
              </w:rPr>
              <w:t>地土壤污染风</w:t>
            </w:r>
          </w:p>
          <w:p>
            <w:pPr>
              <w:ind w:left="127"/>
              <w:spacing w:before="24" w:line="224" w:lineRule="auto"/>
              <w:rPr>
                <w:rFonts w:ascii="SimSun" w:hAnsi="SimSun" w:eastAsia="SimSun" w:cs="SimSun"/>
                <w:sz w:val="20"/>
                <w:szCs w:val="20"/>
              </w:rPr>
            </w:pPr>
            <w:r>
              <w:rPr>
                <w:rFonts w:ascii="SimSun" w:hAnsi="SimSun" w:eastAsia="SimSun" w:cs="SimSun"/>
                <w:sz w:val="20"/>
                <w:szCs w:val="20"/>
                <w:spacing w:val="-7"/>
              </w:rPr>
              <w:t>险管控标准（试</w:t>
            </w:r>
          </w:p>
          <w:p>
            <w:pPr>
              <w:pStyle w:val="TableText"/>
              <w:ind w:left="239"/>
              <w:spacing w:before="31" w:line="228" w:lineRule="auto"/>
              <w:rPr/>
            </w:pPr>
            <w:r>
              <w:rPr>
                <w:rFonts w:ascii="SimSun" w:hAnsi="SimSun" w:eastAsia="SimSun" w:cs="SimSun"/>
                <w:spacing w:val="10"/>
              </w:rPr>
              <w:t>行）》（</w:t>
            </w:r>
            <w:r>
              <w:rPr/>
              <w:t>GB</w:t>
            </w:r>
          </w:p>
          <w:p>
            <w:pPr>
              <w:pStyle w:val="TableText"/>
              <w:ind w:left="116"/>
              <w:spacing w:before="23" w:line="231" w:lineRule="auto"/>
              <w:rPr>
                <w:rFonts w:ascii="SimSun" w:hAnsi="SimSun" w:eastAsia="SimSun" w:cs="SimSun"/>
              </w:rPr>
            </w:pPr>
            <w:r>
              <w:rPr>
                <w:spacing w:val="-1"/>
              </w:rPr>
              <w:t>36600-2018</w:t>
            </w:r>
            <w:r>
              <w:rPr>
                <w:rFonts w:ascii="SimSun" w:hAnsi="SimSun" w:eastAsia="SimSun" w:cs="SimSun"/>
                <w:spacing w:val="-1"/>
              </w:rPr>
              <w:t>）和</w:t>
            </w:r>
          </w:p>
          <w:p>
            <w:pPr>
              <w:ind w:left="176"/>
              <w:spacing w:before="25" w:line="228" w:lineRule="auto"/>
              <w:rPr>
                <w:rFonts w:ascii="SimSun" w:hAnsi="SimSun" w:eastAsia="SimSun" w:cs="SimSun"/>
                <w:sz w:val="20"/>
                <w:szCs w:val="20"/>
              </w:rPr>
            </w:pPr>
            <w:r>
              <w:rPr>
                <w:rFonts w:ascii="SimSun" w:hAnsi="SimSun" w:eastAsia="SimSun" w:cs="SimSun"/>
                <w:sz w:val="20"/>
                <w:szCs w:val="20"/>
                <w:spacing w:val="7"/>
              </w:rPr>
              <w:t>《土壤环境质</w:t>
            </w:r>
          </w:p>
          <w:p>
            <w:pPr>
              <w:ind w:left="120"/>
              <w:spacing w:before="24" w:line="229" w:lineRule="auto"/>
              <w:rPr>
                <w:rFonts w:ascii="SimSun" w:hAnsi="SimSun" w:eastAsia="SimSun" w:cs="SimSun"/>
                <w:sz w:val="20"/>
                <w:szCs w:val="20"/>
              </w:rPr>
            </w:pPr>
            <w:r>
              <w:rPr>
                <w:rFonts w:ascii="SimSun" w:hAnsi="SimSun" w:eastAsia="SimSun" w:cs="SimSun"/>
                <w:sz w:val="20"/>
                <w:szCs w:val="20"/>
                <w:spacing w:val="7"/>
              </w:rPr>
              <w:t>量 农用地土壤</w:t>
            </w:r>
          </w:p>
          <w:p>
            <w:pPr>
              <w:ind w:left="172"/>
              <w:spacing w:before="25" w:line="228" w:lineRule="auto"/>
              <w:rPr>
                <w:rFonts w:ascii="SimSun" w:hAnsi="SimSun" w:eastAsia="SimSun" w:cs="SimSun"/>
                <w:sz w:val="20"/>
                <w:szCs w:val="20"/>
              </w:rPr>
            </w:pPr>
            <w:r>
              <w:rPr>
                <w:rFonts w:ascii="SimSun" w:hAnsi="SimSun" w:eastAsia="SimSun" w:cs="SimSun"/>
                <w:sz w:val="20"/>
                <w:szCs w:val="20"/>
                <w:spacing w:val="7"/>
              </w:rPr>
              <w:t>污染风险管控</w:t>
            </w:r>
          </w:p>
          <w:p>
            <w:pPr>
              <w:ind w:right="2"/>
              <w:spacing w:before="24" w:line="224" w:lineRule="auto"/>
              <w:jc w:val="right"/>
              <w:rPr>
                <w:rFonts w:ascii="SimSun" w:hAnsi="SimSun" w:eastAsia="SimSun" w:cs="SimSun"/>
                <w:sz w:val="20"/>
                <w:szCs w:val="20"/>
              </w:rPr>
            </w:pPr>
            <w:r>
              <w:rPr>
                <w:rFonts w:ascii="SimSun" w:hAnsi="SimSun" w:eastAsia="SimSun" w:cs="SimSun"/>
                <w:sz w:val="20"/>
                <w:szCs w:val="20"/>
                <w:spacing w:val="10"/>
              </w:rPr>
              <w:t>标准（试行）》</w:t>
            </w:r>
          </w:p>
          <w:p>
            <w:pPr>
              <w:pStyle w:val="TableText"/>
              <w:ind w:left="562"/>
              <w:spacing w:before="31" w:line="241" w:lineRule="auto"/>
              <w:rPr/>
            </w:pPr>
            <w:r>
              <w:rPr>
                <w:rFonts w:ascii="SimSun" w:hAnsi="SimSun" w:eastAsia="SimSun" w:cs="SimSun"/>
              </w:rPr>
              <w:t>（</w:t>
            </w:r>
            <w:r>
              <w:rPr/>
              <w:t>GB</w:t>
            </w:r>
          </w:p>
          <w:p>
            <w:pPr>
              <w:pStyle w:val="TableText"/>
              <w:ind w:left="702" w:right="109" w:hanging="570"/>
              <w:spacing w:before="11" w:line="254" w:lineRule="auto"/>
              <w:rPr>
                <w:rFonts w:ascii="SimSun" w:hAnsi="SimSun" w:eastAsia="SimSun" w:cs="SimSun"/>
              </w:rPr>
            </w:pPr>
            <w:r>
              <w:rPr>
                <w:spacing w:val="-2"/>
              </w:rPr>
              <w:t>15618-2018</w:t>
            </w:r>
            <w:r>
              <w:rPr>
                <w:rFonts w:ascii="SimSun" w:hAnsi="SimSun" w:eastAsia="SimSun" w:cs="SimSun"/>
                <w:spacing w:val="-2"/>
              </w:rPr>
              <w:t>）进</w:t>
            </w:r>
            <w:r>
              <w:rPr>
                <w:rFonts w:ascii="SimSun" w:hAnsi="SimSun" w:eastAsia="SimSun" w:cs="SimSun"/>
              </w:rPr>
              <w:t>行</w:t>
            </w:r>
          </w:p>
        </w:tc>
      </w:tr>
      <w:tr>
        <w:trPr>
          <w:trHeight w:val="549" w:hRule="atLeast"/>
        </w:trPr>
        <w:tc>
          <w:tcPr>
            <w:tcW w:w="436" w:type="dxa"/>
            <w:vAlign w:val="top"/>
            <w:vMerge w:val="continue"/>
            <w:textDirection w:val="tbRlV"/>
            <w:tcBorders>
              <w:top w:val="nil"/>
              <w:bottom w:val="nil"/>
            </w:tcBorders>
          </w:tcPr>
          <w:p>
            <w:pPr>
              <w:rPr>
                <w:rFonts w:ascii="Arial"/>
                <w:sz w:val="21"/>
              </w:rPr>
            </w:pPr>
            <w:r/>
          </w:p>
        </w:tc>
        <w:tc>
          <w:tcPr>
            <w:tcW w:w="583" w:type="dxa"/>
            <w:vAlign w:val="top"/>
          </w:tcPr>
          <w:p>
            <w:pPr>
              <w:pStyle w:val="TableText"/>
              <w:ind w:left="177"/>
              <w:spacing w:before="202" w:line="195" w:lineRule="auto"/>
              <w:rPr/>
            </w:pPr>
            <w:r>
              <w:rPr/>
              <w:t>T2</w:t>
            </w:r>
          </w:p>
        </w:tc>
        <w:tc>
          <w:tcPr>
            <w:tcW w:w="1595" w:type="dxa"/>
            <w:vAlign w:val="top"/>
          </w:tcPr>
          <w:p>
            <w:pPr>
              <w:ind w:left="380" w:right="168" w:hanging="203"/>
              <w:spacing w:before="29" w:line="235" w:lineRule="auto"/>
              <w:rPr>
                <w:rFonts w:ascii="SimSun" w:hAnsi="SimSun" w:eastAsia="SimSun" w:cs="SimSun"/>
                <w:sz w:val="20"/>
                <w:szCs w:val="20"/>
              </w:rPr>
            </w:pPr>
            <w:r>
              <w:rPr>
                <w:rFonts w:ascii="SimSun" w:hAnsi="SimSun" w:eastAsia="SimSun" w:cs="SimSun"/>
                <w:sz w:val="20"/>
                <w:szCs w:val="20"/>
                <w:spacing w:val="7"/>
              </w:rPr>
              <w:t>露天矿工业场</w:t>
            </w:r>
            <w:r>
              <w:rPr>
                <w:rFonts w:ascii="SimSun" w:hAnsi="SimSun" w:eastAsia="SimSun" w:cs="SimSun"/>
                <w:sz w:val="20"/>
                <w:szCs w:val="20"/>
                <w:spacing w:val="7"/>
              </w:rPr>
              <w:t>地油脂库</w:t>
            </w:r>
          </w:p>
        </w:tc>
        <w:tc>
          <w:tcPr>
            <w:tcW w:w="871" w:type="dxa"/>
            <w:vAlign w:val="top"/>
          </w:tcPr>
          <w:p>
            <w:pPr>
              <w:ind w:left="125"/>
              <w:spacing w:before="163" w:line="228"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tcPr>
          <w:p>
            <w:pPr>
              <w:pStyle w:val="TableText"/>
              <w:ind w:left="1040"/>
              <w:spacing w:before="164" w:line="221" w:lineRule="auto"/>
              <w:rPr/>
            </w:pPr>
            <w:r>
              <w:rPr>
                <w:rFonts w:ascii="SimSun" w:hAnsi="SimSun" w:eastAsia="SimSun" w:cs="SimSun"/>
                <w:spacing w:val="10"/>
              </w:rPr>
              <w:t>监测因子：石油类、</w:t>
            </w:r>
            <w:r>
              <w:rPr/>
              <w:t>pH</w:t>
            </w:r>
          </w:p>
        </w:tc>
        <w:tc>
          <w:tcPr>
            <w:tcW w:w="1595" w:type="dxa"/>
            <w:vAlign w:val="top"/>
            <w:vMerge w:val="continue"/>
            <w:tcBorders>
              <w:top w:val="nil"/>
              <w:bottom w:val="nil"/>
            </w:tcBorders>
          </w:tcPr>
          <w:p>
            <w:pPr>
              <w:rPr>
                <w:rFonts w:ascii="Arial"/>
                <w:sz w:val="21"/>
              </w:rPr>
            </w:pPr>
            <w:r/>
          </w:p>
        </w:tc>
      </w:tr>
      <w:tr>
        <w:trPr>
          <w:trHeight w:val="549" w:hRule="atLeast"/>
        </w:trPr>
        <w:tc>
          <w:tcPr>
            <w:tcW w:w="436" w:type="dxa"/>
            <w:vAlign w:val="top"/>
            <w:vMerge w:val="continue"/>
            <w:textDirection w:val="tbRlV"/>
            <w:tcBorders>
              <w:top w:val="nil"/>
              <w:bottom w:val="nil"/>
            </w:tcBorders>
          </w:tcPr>
          <w:p>
            <w:pPr>
              <w:rPr>
                <w:rFonts w:ascii="Arial"/>
                <w:sz w:val="21"/>
              </w:rPr>
            </w:pPr>
            <w:r/>
          </w:p>
        </w:tc>
        <w:tc>
          <w:tcPr>
            <w:tcW w:w="583" w:type="dxa"/>
            <w:vAlign w:val="top"/>
          </w:tcPr>
          <w:p>
            <w:pPr>
              <w:pStyle w:val="TableText"/>
              <w:ind w:left="177"/>
              <w:spacing w:before="202" w:line="195" w:lineRule="auto"/>
              <w:rPr/>
            </w:pPr>
            <w:r>
              <w:rPr/>
              <w:t>T3</w:t>
            </w:r>
          </w:p>
        </w:tc>
        <w:tc>
          <w:tcPr>
            <w:tcW w:w="1595" w:type="dxa"/>
            <w:vAlign w:val="top"/>
          </w:tcPr>
          <w:p>
            <w:pPr>
              <w:ind w:left="277" w:right="168" w:hanging="105"/>
              <w:spacing w:before="29" w:line="235" w:lineRule="auto"/>
              <w:rPr>
                <w:rFonts w:ascii="SimSun" w:hAnsi="SimSun" w:eastAsia="SimSun" w:cs="SimSun"/>
                <w:sz w:val="20"/>
                <w:szCs w:val="20"/>
              </w:rPr>
            </w:pPr>
            <w:r>
              <w:rPr>
                <w:rFonts w:ascii="SimSun" w:hAnsi="SimSun" w:eastAsia="SimSun" w:cs="SimSun"/>
                <w:sz w:val="20"/>
                <w:szCs w:val="20"/>
                <w:spacing w:val="8"/>
              </w:rPr>
              <w:t>井工矿工业场</w:t>
            </w:r>
            <w:r>
              <w:rPr>
                <w:rFonts w:ascii="SimSun" w:hAnsi="SimSun" w:eastAsia="SimSun" w:cs="SimSun"/>
                <w:sz w:val="20"/>
                <w:szCs w:val="20"/>
                <w:spacing w:val="8"/>
              </w:rPr>
              <w:t>地机修车间</w:t>
            </w:r>
          </w:p>
        </w:tc>
        <w:tc>
          <w:tcPr>
            <w:tcW w:w="871" w:type="dxa"/>
            <w:vAlign w:val="top"/>
          </w:tcPr>
          <w:p>
            <w:pPr>
              <w:ind w:left="125"/>
              <w:spacing w:before="166" w:line="228"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vMerge w:val="restart"/>
            <w:tcBorders>
              <w:bottom w:val="nil"/>
            </w:tcBorders>
          </w:tcPr>
          <w:p>
            <w:pPr>
              <w:ind w:left="118"/>
              <w:spacing w:before="35" w:line="228" w:lineRule="auto"/>
              <w:rPr>
                <w:rFonts w:ascii="SimSun" w:hAnsi="SimSun" w:eastAsia="SimSun" w:cs="SimSun"/>
                <w:sz w:val="20"/>
                <w:szCs w:val="20"/>
              </w:rPr>
            </w:pPr>
            <w:r>
              <w:rPr>
                <w:rFonts w:ascii="SimSun" w:hAnsi="SimSun" w:eastAsia="SimSun" w:cs="SimSun"/>
                <w:sz w:val="20"/>
                <w:szCs w:val="20"/>
                <w:spacing w:val="9"/>
              </w:rPr>
              <w:t>监测《土壤环境质量建设用地土壤污染风险</w:t>
            </w:r>
          </w:p>
          <w:p>
            <w:pPr>
              <w:pStyle w:val="TableText"/>
              <w:ind w:left="115"/>
              <w:spacing w:before="23" w:line="224" w:lineRule="auto"/>
              <w:rPr>
                <w:rFonts w:ascii="SimSun" w:hAnsi="SimSun" w:eastAsia="SimSun" w:cs="SimSun"/>
              </w:rPr>
            </w:pPr>
            <w:r>
              <w:rPr>
                <w:rFonts w:ascii="SimSun" w:hAnsi="SimSun" w:eastAsia="SimSun" w:cs="SimSun"/>
                <w:spacing w:val="4"/>
              </w:rPr>
              <w:t>管控标准（试行）》（</w:t>
            </w:r>
            <w:r>
              <w:rPr/>
              <w:t>GB</w:t>
            </w:r>
            <w:r>
              <w:rPr>
                <w:spacing w:val="4"/>
              </w:rPr>
              <w:t>/36600-2018</w:t>
            </w:r>
            <w:r>
              <w:rPr>
                <w:rFonts w:ascii="SimSun" w:hAnsi="SimSun" w:eastAsia="SimSun" w:cs="SimSun"/>
                <w:spacing w:val="4"/>
              </w:rPr>
              <w:t>）》中</w:t>
            </w:r>
          </w:p>
          <w:p>
            <w:pPr>
              <w:pStyle w:val="TableText"/>
              <w:ind w:left="274"/>
              <w:spacing w:before="30" w:line="221" w:lineRule="auto"/>
              <w:rPr/>
            </w:pPr>
            <w:r>
              <w:rPr>
                <w:spacing w:val="9"/>
              </w:rPr>
              <w:t>45 </w:t>
            </w:r>
            <w:r>
              <w:rPr>
                <w:rFonts w:ascii="SimSun" w:hAnsi="SimSun" w:eastAsia="SimSun" w:cs="SimSun"/>
                <w:spacing w:val="9"/>
              </w:rPr>
              <w:t>项基本项目，同时监测：石油类、</w:t>
            </w:r>
            <w:r>
              <w:rPr/>
              <w:t>pH</w:t>
            </w:r>
          </w:p>
        </w:tc>
        <w:tc>
          <w:tcPr>
            <w:tcW w:w="1595" w:type="dxa"/>
            <w:vAlign w:val="top"/>
            <w:vMerge w:val="continue"/>
            <w:tcBorders>
              <w:top w:val="nil"/>
              <w:bottom w:val="nil"/>
            </w:tcBorders>
          </w:tcPr>
          <w:p>
            <w:pPr>
              <w:rPr>
                <w:rFonts w:ascii="Arial"/>
                <w:sz w:val="21"/>
              </w:rPr>
            </w:pPr>
            <w:r/>
          </w:p>
        </w:tc>
      </w:tr>
      <w:tr>
        <w:trPr>
          <w:trHeight w:val="278" w:hRule="atLeast"/>
        </w:trPr>
        <w:tc>
          <w:tcPr>
            <w:tcW w:w="436" w:type="dxa"/>
            <w:vAlign w:val="top"/>
            <w:vMerge w:val="continue"/>
            <w:textDirection w:val="tbRlV"/>
            <w:tcBorders>
              <w:top w:val="nil"/>
              <w:bottom w:val="nil"/>
            </w:tcBorders>
          </w:tcPr>
          <w:p>
            <w:pPr>
              <w:rPr>
                <w:rFonts w:ascii="Arial"/>
                <w:sz w:val="21"/>
              </w:rPr>
            </w:pPr>
            <w:r/>
          </w:p>
        </w:tc>
        <w:tc>
          <w:tcPr>
            <w:tcW w:w="583" w:type="dxa"/>
            <w:vAlign w:val="top"/>
          </w:tcPr>
          <w:p>
            <w:pPr>
              <w:pStyle w:val="TableText"/>
              <w:ind w:left="177"/>
              <w:spacing w:before="69" w:line="195" w:lineRule="auto"/>
              <w:rPr/>
            </w:pPr>
            <w:r>
              <w:rPr/>
              <w:t>T4</w:t>
            </w:r>
          </w:p>
        </w:tc>
        <w:tc>
          <w:tcPr>
            <w:tcW w:w="1595" w:type="dxa"/>
            <w:vAlign w:val="top"/>
          </w:tcPr>
          <w:p>
            <w:pPr>
              <w:ind w:left="383"/>
              <w:spacing w:before="32" w:line="217" w:lineRule="auto"/>
              <w:rPr>
                <w:rFonts w:ascii="SimSun" w:hAnsi="SimSun" w:eastAsia="SimSun" w:cs="SimSun"/>
                <w:sz w:val="20"/>
                <w:szCs w:val="20"/>
              </w:rPr>
            </w:pPr>
            <w:r>
              <w:rPr>
                <w:rFonts w:ascii="SimSun" w:hAnsi="SimSun" w:eastAsia="SimSun" w:cs="SimSun"/>
                <w:sz w:val="20"/>
                <w:szCs w:val="20"/>
                <w:spacing w:val="6"/>
              </w:rPr>
              <w:t>水处理站</w:t>
            </w:r>
          </w:p>
        </w:tc>
        <w:tc>
          <w:tcPr>
            <w:tcW w:w="871" w:type="dxa"/>
            <w:vAlign w:val="top"/>
          </w:tcPr>
          <w:p>
            <w:pPr>
              <w:ind w:left="124"/>
              <w:spacing w:before="32" w:line="217"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vMerge w:val="continue"/>
            <w:tcBorders>
              <w:top w:val="nil"/>
            </w:tcBorders>
          </w:tcPr>
          <w:p>
            <w:pPr>
              <w:rPr>
                <w:rFonts w:ascii="Arial"/>
                <w:sz w:val="21"/>
              </w:rPr>
            </w:pPr>
            <w:r/>
          </w:p>
        </w:tc>
        <w:tc>
          <w:tcPr>
            <w:tcW w:w="1595" w:type="dxa"/>
            <w:vAlign w:val="top"/>
            <w:vMerge w:val="continue"/>
            <w:tcBorders>
              <w:top w:val="nil"/>
              <w:bottom w:val="nil"/>
            </w:tcBorders>
          </w:tcPr>
          <w:p>
            <w:pPr>
              <w:rPr>
                <w:rFonts w:ascii="Arial"/>
                <w:sz w:val="21"/>
              </w:rPr>
            </w:pPr>
            <w:r/>
          </w:p>
        </w:tc>
      </w:tr>
      <w:tr>
        <w:trPr>
          <w:trHeight w:val="822" w:hRule="atLeast"/>
        </w:trPr>
        <w:tc>
          <w:tcPr>
            <w:tcW w:w="436" w:type="dxa"/>
            <w:vAlign w:val="top"/>
            <w:vMerge w:val="continue"/>
            <w:textDirection w:val="tbRlV"/>
            <w:tcBorders>
              <w:top w:val="nil"/>
              <w:bottom w:val="nil"/>
            </w:tcBorders>
          </w:tcPr>
          <w:p>
            <w:pPr>
              <w:rPr>
                <w:rFonts w:ascii="Arial"/>
                <w:sz w:val="21"/>
              </w:rPr>
            </w:pPr>
            <w:r/>
          </w:p>
        </w:tc>
        <w:tc>
          <w:tcPr>
            <w:tcW w:w="583" w:type="dxa"/>
            <w:vAlign w:val="top"/>
          </w:tcPr>
          <w:p>
            <w:pPr>
              <w:spacing w:line="281" w:lineRule="auto"/>
              <w:rPr>
                <w:rFonts w:ascii="Arial"/>
                <w:sz w:val="21"/>
              </w:rPr>
            </w:pPr>
            <w:r/>
          </w:p>
          <w:p>
            <w:pPr>
              <w:pStyle w:val="TableText"/>
              <w:ind w:left="177"/>
              <w:spacing w:before="58" w:line="192" w:lineRule="auto"/>
              <w:rPr/>
            </w:pPr>
            <w:r>
              <w:rPr/>
              <w:t>T5</w:t>
            </w:r>
          </w:p>
        </w:tc>
        <w:tc>
          <w:tcPr>
            <w:tcW w:w="1595" w:type="dxa"/>
            <w:vAlign w:val="top"/>
          </w:tcPr>
          <w:p>
            <w:pPr>
              <w:pStyle w:val="TableText"/>
              <w:ind w:left="219" w:right="168" w:hanging="42"/>
              <w:spacing w:before="31"/>
              <w:jc w:val="both"/>
              <w:rPr>
                <w:rFonts w:ascii="SimSun" w:hAnsi="SimSun" w:eastAsia="SimSun" w:cs="SimSun"/>
              </w:rPr>
            </w:pPr>
            <w:r>
              <w:rPr>
                <w:rFonts w:ascii="SimSun" w:hAnsi="SimSun" w:eastAsia="SimSun" w:cs="SimSun"/>
                <w:spacing w:val="7"/>
              </w:rPr>
              <w:t>露天矿工业场</w:t>
            </w:r>
            <w:r>
              <w:rPr>
                <w:rFonts w:ascii="SimSun" w:hAnsi="SimSun" w:eastAsia="SimSun" w:cs="SimSun"/>
                <w:spacing w:val="2"/>
              </w:rPr>
              <w:t>地西南</w:t>
            </w:r>
            <w:r>
              <w:rPr>
                <w:rFonts w:ascii="SimSun" w:hAnsi="SimSun" w:eastAsia="SimSun" w:cs="SimSun"/>
                <w:spacing w:val="-18"/>
              </w:rPr>
              <w:t xml:space="preserve"> </w:t>
            </w:r>
            <w:r>
              <w:rPr>
                <w:spacing w:val="2"/>
              </w:rPr>
              <w:t>150m</w:t>
            </w:r>
            <w:r>
              <w:rPr/>
              <w:t xml:space="preserve"> </w:t>
            </w:r>
            <w:r>
              <w:rPr>
                <w:rFonts w:ascii="SimSun" w:hAnsi="SimSun" w:eastAsia="SimSun" w:cs="SimSun"/>
                <w:spacing w:val="17"/>
              </w:rPr>
              <w:t>（表层样）</w:t>
            </w:r>
          </w:p>
        </w:tc>
        <w:tc>
          <w:tcPr>
            <w:tcW w:w="871" w:type="dxa"/>
            <w:vAlign w:val="top"/>
          </w:tcPr>
          <w:p>
            <w:pPr>
              <w:ind w:left="124"/>
              <w:spacing w:before="301" w:line="227"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vMerge w:val="restart"/>
            <w:tcBorders>
              <w:bottom w:val="nil"/>
            </w:tcBorders>
          </w:tcPr>
          <w:p>
            <w:pPr>
              <w:spacing w:line="324" w:lineRule="auto"/>
              <w:rPr>
                <w:rFonts w:ascii="Arial"/>
                <w:sz w:val="21"/>
              </w:rPr>
            </w:pPr>
            <w:r/>
          </w:p>
          <w:p>
            <w:pPr>
              <w:spacing w:line="324" w:lineRule="auto"/>
              <w:rPr>
                <w:rFonts w:ascii="Arial"/>
                <w:sz w:val="21"/>
              </w:rPr>
            </w:pPr>
            <w:r/>
          </w:p>
          <w:p>
            <w:pPr>
              <w:pStyle w:val="TableText"/>
              <w:ind w:left="1040"/>
              <w:spacing w:before="65" w:line="221" w:lineRule="auto"/>
              <w:rPr/>
            </w:pPr>
            <w:r>
              <w:rPr>
                <w:rFonts w:ascii="SimSun" w:hAnsi="SimSun" w:eastAsia="SimSun" w:cs="SimSun"/>
                <w:spacing w:val="10"/>
              </w:rPr>
              <w:t>监测因子：石油类、</w:t>
            </w:r>
            <w:r>
              <w:rPr/>
              <w:t>pH</w:t>
            </w:r>
          </w:p>
        </w:tc>
        <w:tc>
          <w:tcPr>
            <w:tcW w:w="1595" w:type="dxa"/>
            <w:vAlign w:val="top"/>
            <w:vMerge w:val="continue"/>
            <w:tcBorders>
              <w:top w:val="nil"/>
              <w:bottom w:val="nil"/>
            </w:tcBorders>
          </w:tcPr>
          <w:p>
            <w:pPr>
              <w:rPr>
                <w:rFonts w:ascii="Arial"/>
                <w:sz w:val="21"/>
              </w:rPr>
            </w:pPr>
            <w:r/>
          </w:p>
        </w:tc>
      </w:tr>
      <w:tr>
        <w:trPr>
          <w:trHeight w:val="820" w:hRule="atLeast"/>
        </w:trPr>
        <w:tc>
          <w:tcPr>
            <w:tcW w:w="436" w:type="dxa"/>
            <w:vAlign w:val="top"/>
            <w:vMerge w:val="continue"/>
            <w:textDirection w:val="tbRlV"/>
            <w:tcBorders>
              <w:top w:val="nil"/>
            </w:tcBorders>
          </w:tcPr>
          <w:p>
            <w:pPr>
              <w:rPr>
                <w:rFonts w:ascii="Arial"/>
                <w:sz w:val="21"/>
              </w:rPr>
            </w:pPr>
            <w:r/>
          </w:p>
        </w:tc>
        <w:tc>
          <w:tcPr>
            <w:tcW w:w="583" w:type="dxa"/>
            <w:vAlign w:val="top"/>
          </w:tcPr>
          <w:p>
            <w:pPr>
              <w:spacing w:line="279" w:lineRule="auto"/>
              <w:rPr>
                <w:rFonts w:ascii="Arial"/>
                <w:sz w:val="21"/>
              </w:rPr>
            </w:pPr>
            <w:r/>
          </w:p>
          <w:p>
            <w:pPr>
              <w:pStyle w:val="TableText"/>
              <w:ind w:left="177"/>
              <w:spacing w:before="58" w:line="195" w:lineRule="auto"/>
              <w:rPr/>
            </w:pPr>
            <w:r>
              <w:rPr/>
              <w:t>T6</w:t>
            </w:r>
          </w:p>
        </w:tc>
        <w:tc>
          <w:tcPr>
            <w:tcW w:w="1595" w:type="dxa"/>
            <w:vAlign w:val="top"/>
          </w:tcPr>
          <w:p>
            <w:pPr>
              <w:pStyle w:val="TableText"/>
              <w:ind w:left="172" w:right="168" w:firstLine="5"/>
              <w:spacing w:before="33" w:line="239" w:lineRule="auto"/>
              <w:jc w:val="both"/>
              <w:rPr>
                <w:rFonts w:ascii="SimSun" w:hAnsi="SimSun" w:eastAsia="SimSun" w:cs="SimSun"/>
              </w:rPr>
            </w:pPr>
            <w:r>
              <w:rPr>
                <w:rFonts w:ascii="SimSun" w:hAnsi="SimSun" w:eastAsia="SimSun" w:cs="SimSun"/>
                <w:spacing w:val="7"/>
              </w:rPr>
              <w:t>露天矿工业场</w:t>
            </w:r>
            <w:r>
              <w:rPr>
                <w:rFonts w:ascii="SimSun" w:hAnsi="SimSun" w:eastAsia="SimSun" w:cs="SimSun"/>
                <w:spacing w:val="8"/>
              </w:rPr>
              <w:t>地外东北方向</w:t>
            </w:r>
            <w:r>
              <w:rPr>
                <w:spacing w:val="11"/>
              </w:rPr>
              <w:t>100m </w:t>
            </w:r>
            <w:r>
              <w:rPr>
                <w:rFonts w:ascii="SimSun" w:hAnsi="SimSun" w:eastAsia="SimSun" w:cs="SimSun"/>
                <w:spacing w:val="11"/>
              </w:rPr>
              <w:t>牧草地</w:t>
            </w:r>
          </w:p>
        </w:tc>
        <w:tc>
          <w:tcPr>
            <w:tcW w:w="871" w:type="dxa"/>
            <w:vAlign w:val="top"/>
          </w:tcPr>
          <w:p>
            <w:pPr>
              <w:ind w:left="124"/>
              <w:spacing w:before="302" w:line="227"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vMerge w:val="continue"/>
            <w:tcBorders>
              <w:top w:val="nil"/>
            </w:tcBorders>
          </w:tcPr>
          <w:p>
            <w:pPr>
              <w:rPr>
                <w:rFonts w:ascii="Arial"/>
                <w:sz w:val="21"/>
              </w:rPr>
            </w:pPr>
            <w:r/>
          </w:p>
        </w:tc>
        <w:tc>
          <w:tcPr>
            <w:tcW w:w="1595" w:type="dxa"/>
            <w:vAlign w:val="top"/>
            <w:vMerge w:val="continue"/>
            <w:tcBorders>
              <w:top w:val="nil"/>
              <w:bottom w:val="nil"/>
            </w:tcBorders>
          </w:tcPr>
          <w:p>
            <w:pPr>
              <w:rPr>
                <w:rFonts w:ascii="Arial"/>
                <w:sz w:val="21"/>
              </w:rPr>
            </w:pPr>
            <w:r/>
          </w:p>
        </w:tc>
      </w:tr>
      <w:tr>
        <w:trPr>
          <w:trHeight w:val="822" w:hRule="atLeast"/>
        </w:trPr>
        <w:tc>
          <w:tcPr>
            <w:tcW w:w="436" w:type="dxa"/>
            <w:vAlign w:val="top"/>
            <w:vMerge w:val="restart"/>
            <w:tcBorders>
              <w:bottom w:val="nil"/>
            </w:tcBorders>
          </w:tcPr>
          <w:p>
            <w:pPr>
              <w:ind w:left="146"/>
              <w:spacing w:before="68" w:line="228" w:lineRule="auto"/>
              <w:rPr>
                <w:rFonts w:ascii="SimSun" w:hAnsi="SimSun" w:eastAsia="SimSun" w:cs="SimSun"/>
                <w:sz w:val="20"/>
                <w:szCs w:val="20"/>
              </w:rPr>
            </w:pPr>
            <w:r>
              <w:rPr>
                <w:rFonts w:ascii="SimSun" w:hAnsi="SimSun" w:eastAsia="SimSun" w:cs="SimSun"/>
                <w:sz w:val="20"/>
                <w:szCs w:val="20"/>
              </w:rPr>
              <w:t>内</w:t>
            </w:r>
          </w:p>
          <w:p>
            <w:pPr>
              <w:ind w:left="120"/>
              <w:spacing w:before="24" w:line="230" w:lineRule="auto"/>
              <w:rPr>
                <w:rFonts w:ascii="SimSun" w:hAnsi="SimSun" w:eastAsia="SimSun" w:cs="SimSun"/>
                <w:sz w:val="20"/>
                <w:szCs w:val="20"/>
              </w:rPr>
            </w:pPr>
            <w:r>
              <w:rPr>
                <w:rFonts w:ascii="SimSun" w:hAnsi="SimSun" w:eastAsia="SimSun" w:cs="SimSun"/>
                <w:sz w:val="20"/>
                <w:szCs w:val="20"/>
              </w:rPr>
              <w:t>排</w:t>
            </w:r>
          </w:p>
          <w:p>
            <w:pPr>
              <w:ind w:left="121"/>
              <w:spacing w:before="24" w:line="266" w:lineRule="exact"/>
              <w:rPr>
                <w:rFonts w:ascii="SimSun" w:hAnsi="SimSun" w:eastAsia="SimSun" w:cs="SimSun"/>
                <w:sz w:val="20"/>
                <w:szCs w:val="20"/>
              </w:rPr>
            </w:pPr>
            <w:r>
              <w:rPr>
                <w:rFonts w:ascii="SimSun" w:hAnsi="SimSun" w:eastAsia="SimSun" w:cs="SimSun"/>
                <w:sz w:val="20"/>
                <w:szCs w:val="20"/>
              </w:rPr>
              <w:t>土</w:t>
            </w:r>
          </w:p>
          <w:p>
            <w:pPr>
              <w:ind w:left="119"/>
              <w:spacing w:before="5" w:line="228" w:lineRule="auto"/>
              <w:rPr>
                <w:rFonts w:ascii="SimSun" w:hAnsi="SimSun" w:eastAsia="SimSun" w:cs="SimSun"/>
                <w:sz w:val="20"/>
                <w:szCs w:val="20"/>
              </w:rPr>
            </w:pPr>
            <w:r>
              <w:rPr>
                <w:rFonts w:ascii="SimSun" w:hAnsi="SimSun" w:eastAsia="SimSun" w:cs="SimSun"/>
                <w:sz w:val="20"/>
                <w:szCs w:val="20"/>
                <w:spacing w:val="1"/>
              </w:rPr>
              <w:t>场</w:t>
            </w:r>
          </w:p>
          <w:p>
            <w:pPr>
              <w:pStyle w:val="TableText"/>
              <w:ind w:left="187"/>
              <w:spacing w:before="41" w:line="199" w:lineRule="auto"/>
              <w:rPr/>
            </w:pPr>
            <w:r>
              <w:rPr>
                <w:spacing w:val="2"/>
              </w:rPr>
              <w:t>/</w:t>
            </w:r>
          </w:p>
          <w:p>
            <w:pPr>
              <w:ind w:left="119"/>
              <w:spacing w:before="34" w:line="227" w:lineRule="auto"/>
              <w:rPr>
                <w:rFonts w:ascii="SimSun" w:hAnsi="SimSun" w:eastAsia="SimSun" w:cs="SimSun"/>
                <w:sz w:val="20"/>
                <w:szCs w:val="20"/>
              </w:rPr>
            </w:pPr>
            <w:r>
              <w:rPr>
                <w:rFonts w:ascii="SimSun" w:hAnsi="SimSun" w:eastAsia="SimSun" w:cs="SimSun"/>
                <w:sz w:val="20"/>
                <w:szCs w:val="20"/>
                <w:spacing w:val="1"/>
              </w:rPr>
              <w:t>采</w:t>
            </w:r>
          </w:p>
          <w:p>
            <w:pPr>
              <w:ind w:left="119"/>
              <w:spacing w:before="27" w:line="232" w:lineRule="auto"/>
              <w:rPr>
                <w:rFonts w:ascii="SimSun" w:hAnsi="SimSun" w:eastAsia="SimSun" w:cs="SimSun"/>
                <w:sz w:val="20"/>
                <w:szCs w:val="20"/>
              </w:rPr>
            </w:pPr>
            <w:r>
              <w:rPr>
                <w:rFonts w:ascii="SimSun" w:hAnsi="SimSun" w:eastAsia="SimSun" w:cs="SimSun"/>
                <w:sz w:val="20"/>
                <w:szCs w:val="20"/>
                <w:spacing w:val="1"/>
              </w:rPr>
              <w:t>掘</w:t>
            </w:r>
          </w:p>
        </w:tc>
        <w:tc>
          <w:tcPr>
            <w:tcW w:w="583" w:type="dxa"/>
            <w:vAlign w:val="top"/>
          </w:tcPr>
          <w:p>
            <w:pPr>
              <w:spacing w:line="285" w:lineRule="auto"/>
              <w:rPr>
                <w:rFonts w:ascii="Arial"/>
                <w:sz w:val="21"/>
              </w:rPr>
            </w:pPr>
            <w:r/>
          </w:p>
          <w:p>
            <w:pPr>
              <w:pStyle w:val="TableText"/>
              <w:ind w:left="177"/>
              <w:spacing w:before="58" w:line="192" w:lineRule="auto"/>
              <w:rPr/>
            </w:pPr>
            <w:r>
              <w:rPr/>
              <w:t>T7</w:t>
            </w:r>
          </w:p>
        </w:tc>
        <w:tc>
          <w:tcPr>
            <w:tcW w:w="1595" w:type="dxa"/>
            <w:vAlign w:val="top"/>
          </w:tcPr>
          <w:p>
            <w:pPr>
              <w:spacing w:line="282" w:lineRule="auto"/>
              <w:rPr>
                <w:rFonts w:ascii="Arial"/>
                <w:sz w:val="21"/>
              </w:rPr>
            </w:pPr>
            <w:r/>
          </w:p>
          <w:p>
            <w:pPr>
              <w:pStyle w:val="TableText"/>
              <w:ind w:left="693"/>
              <w:spacing w:before="58" w:line="195" w:lineRule="auto"/>
              <w:rPr/>
            </w:pPr>
            <w:r>
              <w:rPr>
                <w:spacing w:val="3"/>
              </w:rPr>
              <w:t>#7</w:t>
            </w:r>
          </w:p>
        </w:tc>
        <w:tc>
          <w:tcPr>
            <w:tcW w:w="871" w:type="dxa"/>
            <w:vAlign w:val="top"/>
          </w:tcPr>
          <w:p>
            <w:pPr>
              <w:ind w:left="125"/>
              <w:spacing w:before="305" w:line="228"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tcPr>
          <w:p>
            <w:pPr>
              <w:pStyle w:val="TableText"/>
              <w:ind w:left="115" w:right="103" w:firstLine="3"/>
              <w:spacing w:before="33" w:line="251" w:lineRule="auto"/>
              <w:rPr>
                <w:rFonts w:ascii="SimSun" w:hAnsi="SimSun" w:eastAsia="SimSun" w:cs="SimSun"/>
              </w:rPr>
            </w:pPr>
            <w:r>
              <w:rPr>
                <w:rFonts w:ascii="SimSun" w:hAnsi="SimSun" w:eastAsia="SimSun" w:cs="SimSun"/>
                <w:spacing w:val="9"/>
              </w:rPr>
              <w:t>监测《土壤环境质量建设用地土壤污染风险</w:t>
            </w:r>
            <w:r>
              <w:rPr>
                <w:rFonts w:ascii="SimSun" w:hAnsi="SimSun" w:eastAsia="SimSun" w:cs="SimSun"/>
                <w:spacing w:val="3"/>
              </w:rPr>
              <w:t>管控标准（试行）》（</w:t>
            </w:r>
            <w:r>
              <w:rPr/>
              <w:t>GB</w:t>
            </w:r>
            <w:r>
              <w:rPr>
                <w:spacing w:val="3"/>
              </w:rPr>
              <w:t>/36600-2018</w:t>
            </w:r>
            <w:r>
              <w:rPr>
                <w:rFonts w:ascii="SimSun" w:hAnsi="SimSun" w:eastAsia="SimSun" w:cs="SimSun"/>
                <w:spacing w:val="3"/>
              </w:rPr>
              <w:t>）》中</w:t>
            </w:r>
          </w:p>
          <w:p>
            <w:pPr>
              <w:pStyle w:val="TableText"/>
              <w:ind w:left="1190"/>
              <w:spacing w:line="216" w:lineRule="auto"/>
              <w:rPr/>
            </w:pPr>
            <w:r>
              <w:rPr>
                <w:spacing w:val="8"/>
              </w:rPr>
              <w:t>45 </w:t>
            </w:r>
            <w:r>
              <w:rPr>
                <w:rFonts w:ascii="SimSun" w:hAnsi="SimSun" w:eastAsia="SimSun" w:cs="SimSun"/>
                <w:spacing w:val="8"/>
              </w:rPr>
              <w:t>项基本项目及</w:t>
            </w:r>
            <w:r>
              <w:rPr>
                <w:rFonts w:ascii="SimSun" w:hAnsi="SimSun" w:eastAsia="SimSun" w:cs="SimSun"/>
                <w:spacing w:val="-38"/>
              </w:rPr>
              <w:t xml:space="preserve"> </w:t>
            </w:r>
            <w:r>
              <w:rPr/>
              <w:t>pH</w:t>
            </w:r>
          </w:p>
        </w:tc>
        <w:tc>
          <w:tcPr>
            <w:tcW w:w="1595" w:type="dxa"/>
            <w:vAlign w:val="top"/>
            <w:vMerge w:val="continue"/>
            <w:tcBorders>
              <w:top w:val="nil"/>
              <w:bottom w:val="nil"/>
            </w:tcBorders>
          </w:tcPr>
          <w:p>
            <w:pPr>
              <w:rPr>
                <w:rFonts w:ascii="Arial"/>
                <w:sz w:val="21"/>
              </w:rPr>
            </w:pPr>
            <w:r/>
          </w:p>
        </w:tc>
      </w:tr>
      <w:tr>
        <w:trPr>
          <w:trHeight w:val="278" w:hRule="atLeast"/>
        </w:trPr>
        <w:tc>
          <w:tcPr>
            <w:tcW w:w="436" w:type="dxa"/>
            <w:vAlign w:val="top"/>
            <w:vMerge w:val="continue"/>
            <w:tcBorders>
              <w:top w:val="nil"/>
              <w:bottom w:val="nil"/>
            </w:tcBorders>
          </w:tcPr>
          <w:p>
            <w:pPr>
              <w:rPr>
                <w:rFonts w:ascii="Arial"/>
                <w:sz w:val="21"/>
              </w:rPr>
            </w:pPr>
            <w:r/>
          </w:p>
        </w:tc>
        <w:tc>
          <w:tcPr>
            <w:tcW w:w="583" w:type="dxa"/>
            <w:vAlign w:val="top"/>
          </w:tcPr>
          <w:p>
            <w:pPr>
              <w:pStyle w:val="TableText"/>
              <w:ind w:left="177"/>
              <w:spacing w:before="69" w:line="195" w:lineRule="auto"/>
              <w:rPr/>
            </w:pPr>
            <w:r>
              <w:rPr/>
              <w:t>T8</w:t>
            </w:r>
          </w:p>
        </w:tc>
        <w:tc>
          <w:tcPr>
            <w:tcW w:w="1595" w:type="dxa"/>
            <w:vAlign w:val="top"/>
          </w:tcPr>
          <w:p>
            <w:pPr>
              <w:pStyle w:val="TableText"/>
              <w:ind w:left="693"/>
              <w:spacing w:before="69" w:line="195" w:lineRule="auto"/>
              <w:rPr/>
            </w:pPr>
            <w:r>
              <w:rPr>
                <w:spacing w:val="3"/>
              </w:rPr>
              <w:t>#8</w:t>
            </w:r>
          </w:p>
        </w:tc>
        <w:tc>
          <w:tcPr>
            <w:tcW w:w="871" w:type="dxa"/>
            <w:vAlign w:val="top"/>
          </w:tcPr>
          <w:p>
            <w:pPr>
              <w:ind w:left="125"/>
              <w:spacing w:before="34" w:line="216"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vMerge w:val="restart"/>
            <w:tcBorders>
              <w:bottom w:val="nil"/>
            </w:tcBorders>
          </w:tcPr>
          <w:p>
            <w:pPr>
              <w:spacing w:line="388" w:lineRule="auto"/>
              <w:rPr>
                <w:rFonts w:ascii="Arial"/>
                <w:sz w:val="21"/>
              </w:rPr>
            </w:pPr>
            <w:r/>
          </w:p>
          <w:p>
            <w:pPr>
              <w:pStyle w:val="TableText"/>
              <w:ind w:left="191"/>
              <w:spacing w:before="65" w:line="221" w:lineRule="auto"/>
              <w:rPr>
                <w:rFonts w:ascii="SimSun" w:hAnsi="SimSun" w:eastAsia="SimSun" w:cs="SimSun"/>
              </w:rPr>
            </w:pPr>
            <w:r>
              <w:rPr/>
              <w:t>pH</w:t>
            </w:r>
            <w:r>
              <w:rPr>
                <w:spacing w:val="-19"/>
              </w:rPr>
              <w:t xml:space="preserve"> </w:t>
            </w:r>
            <w:r>
              <w:rPr>
                <w:rFonts w:ascii="SimSun" w:hAnsi="SimSun" w:eastAsia="SimSun" w:cs="SimSun"/>
                <w:spacing w:val="8"/>
              </w:rPr>
              <w:t>、镉、汞、砷、铜、铅、铬、锌、镍、</w:t>
            </w:r>
          </w:p>
        </w:tc>
        <w:tc>
          <w:tcPr>
            <w:tcW w:w="1595" w:type="dxa"/>
            <w:vAlign w:val="top"/>
            <w:vMerge w:val="continue"/>
            <w:tcBorders>
              <w:top w:val="nil"/>
              <w:bottom w:val="nil"/>
            </w:tcBorders>
          </w:tcPr>
          <w:p>
            <w:pPr>
              <w:rPr>
                <w:rFonts w:ascii="Arial"/>
                <w:sz w:val="21"/>
              </w:rPr>
            </w:pPr>
            <w:r/>
          </w:p>
        </w:tc>
      </w:tr>
      <w:tr>
        <w:trPr>
          <w:trHeight w:val="276" w:hRule="atLeast"/>
        </w:trPr>
        <w:tc>
          <w:tcPr>
            <w:tcW w:w="436" w:type="dxa"/>
            <w:vAlign w:val="top"/>
            <w:vMerge w:val="continue"/>
            <w:tcBorders>
              <w:top w:val="nil"/>
              <w:bottom w:val="nil"/>
            </w:tcBorders>
          </w:tcPr>
          <w:p>
            <w:pPr>
              <w:rPr>
                <w:rFonts w:ascii="Arial"/>
                <w:sz w:val="21"/>
              </w:rPr>
            </w:pPr>
            <w:r/>
          </w:p>
        </w:tc>
        <w:tc>
          <w:tcPr>
            <w:tcW w:w="583" w:type="dxa"/>
            <w:vAlign w:val="top"/>
          </w:tcPr>
          <w:p>
            <w:pPr>
              <w:pStyle w:val="TableText"/>
              <w:ind w:left="177"/>
              <w:spacing w:before="67" w:line="195" w:lineRule="auto"/>
              <w:rPr/>
            </w:pPr>
            <w:r>
              <w:rPr/>
              <w:t>T9</w:t>
            </w:r>
          </w:p>
        </w:tc>
        <w:tc>
          <w:tcPr>
            <w:tcW w:w="1595" w:type="dxa"/>
            <w:vAlign w:val="top"/>
          </w:tcPr>
          <w:p>
            <w:pPr>
              <w:pStyle w:val="TableText"/>
              <w:ind w:left="693"/>
              <w:spacing w:before="67" w:line="195" w:lineRule="auto"/>
              <w:rPr/>
            </w:pPr>
            <w:r>
              <w:rPr>
                <w:spacing w:val="3"/>
              </w:rPr>
              <w:t>#9</w:t>
            </w:r>
          </w:p>
        </w:tc>
        <w:tc>
          <w:tcPr>
            <w:tcW w:w="871" w:type="dxa"/>
            <w:vAlign w:val="top"/>
          </w:tcPr>
          <w:p>
            <w:pPr>
              <w:ind w:left="125"/>
              <w:spacing w:before="30" w:line="217" w:lineRule="auto"/>
              <w:rPr>
                <w:rFonts w:ascii="SimSun" w:hAnsi="SimSun" w:eastAsia="SimSun" w:cs="SimSun"/>
                <w:sz w:val="20"/>
                <w:szCs w:val="20"/>
              </w:rPr>
            </w:pPr>
            <w:r>
              <w:rPr>
                <w:rFonts w:ascii="SimSun" w:hAnsi="SimSun" w:eastAsia="SimSun" w:cs="SimSun"/>
                <w:sz w:val="20"/>
                <w:szCs w:val="20"/>
                <w:spacing w:val="6"/>
              </w:rPr>
              <w:t>柱状样</w:t>
            </w:r>
          </w:p>
        </w:tc>
        <w:tc>
          <w:tcPr>
            <w:tcW w:w="4212" w:type="dxa"/>
            <w:vAlign w:val="top"/>
            <w:vMerge w:val="continue"/>
            <w:tcBorders>
              <w:top w:val="nil"/>
              <w:bottom w:val="nil"/>
            </w:tcBorders>
          </w:tcPr>
          <w:p>
            <w:pPr>
              <w:rPr>
                <w:rFonts w:ascii="Arial"/>
                <w:sz w:val="21"/>
              </w:rPr>
            </w:pPr>
            <w:r/>
          </w:p>
        </w:tc>
        <w:tc>
          <w:tcPr>
            <w:tcW w:w="1595" w:type="dxa"/>
            <w:vAlign w:val="top"/>
            <w:vMerge w:val="continue"/>
            <w:tcBorders>
              <w:top w:val="nil"/>
              <w:bottom w:val="nil"/>
            </w:tcBorders>
          </w:tcPr>
          <w:p>
            <w:pPr>
              <w:rPr>
                <w:rFonts w:ascii="Arial"/>
                <w:sz w:val="21"/>
              </w:rPr>
            </w:pPr>
            <w:r/>
          </w:p>
        </w:tc>
      </w:tr>
      <w:tr>
        <w:trPr>
          <w:trHeight w:val="278" w:hRule="atLeast"/>
        </w:trPr>
        <w:tc>
          <w:tcPr>
            <w:tcW w:w="436" w:type="dxa"/>
            <w:vAlign w:val="top"/>
            <w:vMerge w:val="continue"/>
            <w:tcBorders>
              <w:top w:val="nil"/>
              <w:bottom w:val="nil"/>
            </w:tcBorders>
          </w:tcPr>
          <w:p>
            <w:pPr>
              <w:rPr>
                <w:rFonts w:ascii="Arial"/>
                <w:sz w:val="21"/>
              </w:rPr>
            </w:pPr>
            <w:r/>
          </w:p>
        </w:tc>
        <w:tc>
          <w:tcPr>
            <w:tcW w:w="583" w:type="dxa"/>
            <w:vAlign w:val="top"/>
          </w:tcPr>
          <w:p>
            <w:pPr>
              <w:pStyle w:val="TableText"/>
              <w:ind w:left="122"/>
              <w:spacing w:before="69" w:line="195" w:lineRule="auto"/>
              <w:rPr/>
            </w:pPr>
            <w:r>
              <w:rPr>
                <w:spacing w:val="2"/>
              </w:rPr>
              <w:t>T10</w:t>
            </w:r>
          </w:p>
        </w:tc>
        <w:tc>
          <w:tcPr>
            <w:tcW w:w="1595" w:type="dxa"/>
            <w:vAlign w:val="top"/>
          </w:tcPr>
          <w:p>
            <w:pPr>
              <w:pStyle w:val="TableText"/>
              <w:ind w:left="640"/>
              <w:spacing w:before="69" w:line="195" w:lineRule="auto"/>
              <w:rPr/>
            </w:pPr>
            <w:r>
              <w:rPr>
                <w:spacing w:val="3"/>
              </w:rPr>
              <w:t>#10</w:t>
            </w:r>
          </w:p>
        </w:tc>
        <w:tc>
          <w:tcPr>
            <w:tcW w:w="871" w:type="dxa"/>
            <w:vAlign w:val="top"/>
          </w:tcPr>
          <w:p>
            <w:pPr>
              <w:ind w:left="124"/>
              <w:spacing w:before="34" w:line="216"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vMerge w:val="continue"/>
            <w:tcBorders>
              <w:top w:val="nil"/>
              <w:bottom w:val="nil"/>
            </w:tcBorders>
          </w:tcPr>
          <w:p>
            <w:pPr>
              <w:rPr>
                <w:rFonts w:ascii="Arial"/>
                <w:sz w:val="21"/>
              </w:rPr>
            </w:pPr>
            <w:r/>
          </w:p>
        </w:tc>
        <w:tc>
          <w:tcPr>
            <w:tcW w:w="1595" w:type="dxa"/>
            <w:vAlign w:val="top"/>
            <w:vMerge w:val="continue"/>
            <w:tcBorders>
              <w:top w:val="nil"/>
              <w:bottom w:val="nil"/>
            </w:tcBorders>
          </w:tcPr>
          <w:p>
            <w:pPr>
              <w:rPr>
                <w:rFonts w:ascii="Arial"/>
                <w:sz w:val="21"/>
              </w:rPr>
            </w:pPr>
            <w:r/>
          </w:p>
        </w:tc>
      </w:tr>
      <w:tr>
        <w:trPr>
          <w:trHeight w:val="280" w:hRule="atLeast"/>
        </w:trPr>
        <w:tc>
          <w:tcPr>
            <w:tcW w:w="436" w:type="dxa"/>
            <w:vAlign w:val="top"/>
            <w:vMerge w:val="continue"/>
            <w:tcBorders>
              <w:top w:val="nil"/>
            </w:tcBorders>
          </w:tcPr>
          <w:p>
            <w:pPr>
              <w:rPr>
                <w:rFonts w:ascii="Arial"/>
                <w:sz w:val="21"/>
              </w:rPr>
            </w:pPr>
            <w:r/>
          </w:p>
        </w:tc>
        <w:tc>
          <w:tcPr>
            <w:tcW w:w="583" w:type="dxa"/>
            <w:vAlign w:val="top"/>
          </w:tcPr>
          <w:p>
            <w:pPr>
              <w:pStyle w:val="TableText"/>
              <w:ind w:left="126"/>
              <w:spacing w:before="69" w:line="195" w:lineRule="auto"/>
              <w:rPr/>
            </w:pPr>
            <w:r>
              <w:rPr>
                <w:spacing w:val="1"/>
              </w:rPr>
              <w:t>T11</w:t>
            </w:r>
          </w:p>
        </w:tc>
        <w:tc>
          <w:tcPr>
            <w:tcW w:w="1595" w:type="dxa"/>
            <w:vAlign w:val="top"/>
          </w:tcPr>
          <w:p>
            <w:pPr>
              <w:pStyle w:val="TableText"/>
              <w:ind w:left="640"/>
              <w:spacing w:before="69" w:line="195" w:lineRule="auto"/>
              <w:rPr/>
            </w:pPr>
            <w:r>
              <w:rPr>
                <w:spacing w:val="3"/>
              </w:rPr>
              <w:t>#11</w:t>
            </w:r>
          </w:p>
        </w:tc>
        <w:tc>
          <w:tcPr>
            <w:tcW w:w="871" w:type="dxa"/>
            <w:vAlign w:val="top"/>
          </w:tcPr>
          <w:p>
            <w:pPr>
              <w:ind w:left="124"/>
              <w:spacing w:before="33" w:line="218"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vMerge w:val="continue"/>
            <w:tcBorders>
              <w:top w:val="nil"/>
            </w:tcBorders>
          </w:tcPr>
          <w:p>
            <w:pPr>
              <w:rPr>
                <w:rFonts w:ascii="Arial"/>
                <w:sz w:val="21"/>
              </w:rPr>
            </w:pPr>
            <w:r/>
          </w:p>
        </w:tc>
        <w:tc>
          <w:tcPr>
            <w:tcW w:w="1595" w:type="dxa"/>
            <w:vAlign w:val="top"/>
            <w:vMerge w:val="continue"/>
            <w:tcBorders>
              <w:top w:val="nil"/>
            </w:tcBorders>
          </w:tcPr>
          <w:p>
            <w:pPr>
              <w:rPr>
                <w:rFonts w:ascii="Arial"/>
                <w:sz w:val="21"/>
              </w:rPr>
            </w:pPr>
            <w:r/>
          </w:p>
        </w:tc>
      </w:tr>
    </w:tbl>
    <w:p>
      <w:pPr>
        <w:pStyle w:val="BodyText"/>
        <w:spacing w:line="121" w:lineRule="exact"/>
        <w:rPr>
          <w:sz w:val="10"/>
        </w:rPr>
      </w:pPr>
      <w:r/>
    </w:p>
    <w:p>
      <w:pPr>
        <w:spacing w:line="121" w:lineRule="exact"/>
        <w:sectPr>
          <w:headerReference w:type="default" r:id="rId333"/>
          <w:footerReference w:type="default" r:id="rId334"/>
          <w:pgSz w:w="11906" w:h="16838"/>
          <w:pgMar w:top="1170" w:right="1304" w:bottom="1080" w:left="1303" w:header="837" w:footer="918" w:gutter="0"/>
        </w:sectPr>
        <w:rPr>
          <w:sz w:val="10"/>
          <w:szCs w:val="10"/>
        </w:rPr>
      </w:pPr>
    </w:p>
    <w:p>
      <w:pPr>
        <w:spacing w:before="6"/>
        <w:rPr/>
      </w:pPr>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36"/>
        <w:gridCol w:w="583"/>
        <w:gridCol w:w="1595"/>
        <w:gridCol w:w="871"/>
        <w:gridCol w:w="4212"/>
        <w:gridCol w:w="1595"/>
      </w:tblGrid>
      <w:tr>
        <w:trPr>
          <w:trHeight w:val="282" w:hRule="atLeast"/>
        </w:trPr>
        <w:tc>
          <w:tcPr>
            <w:tcW w:w="436" w:type="dxa"/>
            <w:vAlign w:val="top"/>
          </w:tcPr>
          <w:p>
            <w:pPr>
              <w:ind w:left="119"/>
              <w:spacing w:before="33" w:line="220" w:lineRule="auto"/>
              <w:rPr>
                <w:rFonts w:ascii="SimSun" w:hAnsi="SimSun" w:eastAsia="SimSun" w:cs="SimSun"/>
                <w:sz w:val="20"/>
                <w:szCs w:val="20"/>
              </w:rPr>
            </w:pPr>
            <w:r>
              <w:rPr>
                <w:rFonts w:ascii="SimSun" w:hAnsi="SimSun" w:eastAsia="SimSun" w:cs="SimSun"/>
                <w:sz w:val="20"/>
                <w:szCs w:val="20"/>
                <w:spacing w:val="1"/>
              </w:rPr>
              <w:t>场</w:t>
            </w:r>
          </w:p>
        </w:tc>
        <w:tc>
          <w:tcPr>
            <w:tcW w:w="583" w:type="dxa"/>
            <w:vAlign w:val="top"/>
          </w:tcPr>
          <w:p>
            <w:pPr>
              <w:pStyle w:val="TableText"/>
              <w:ind w:left="122"/>
              <w:spacing w:before="69" w:line="195" w:lineRule="auto"/>
              <w:rPr/>
            </w:pPr>
            <w:r>
              <w:rPr>
                <w:spacing w:val="2"/>
              </w:rPr>
              <w:t>T12</w:t>
            </w:r>
          </w:p>
        </w:tc>
        <w:tc>
          <w:tcPr>
            <w:tcW w:w="1595" w:type="dxa"/>
            <w:vAlign w:val="top"/>
          </w:tcPr>
          <w:p>
            <w:pPr>
              <w:pStyle w:val="TableText"/>
              <w:ind w:left="640"/>
              <w:spacing w:before="69" w:line="195" w:lineRule="auto"/>
              <w:rPr/>
            </w:pPr>
            <w:r>
              <w:rPr>
                <w:spacing w:val="3"/>
              </w:rPr>
              <w:t>#12</w:t>
            </w:r>
          </w:p>
        </w:tc>
        <w:tc>
          <w:tcPr>
            <w:tcW w:w="871" w:type="dxa"/>
            <w:vAlign w:val="top"/>
          </w:tcPr>
          <w:p>
            <w:pPr>
              <w:ind w:left="124"/>
              <w:spacing w:before="33" w:line="220" w:lineRule="auto"/>
              <w:rPr>
                <w:rFonts w:ascii="SimSun" w:hAnsi="SimSun" w:eastAsia="SimSun" w:cs="SimSun"/>
                <w:sz w:val="20"/>
                <w:szCs w:val="20"/>
              </w:rPr>
            </w:pPr>
            <w:r>
              <w:rPr>
                <w:rFonts w:ascii="SimSun" w:hAnsi="SimSun" w:eastAsia="SimSun" w:cs="SimSun"/>
                <w:sz w:val="20"/>
                <w:szCs w:val="20"/>
                <w:spacing w:val="7"/>
              </w:rPr>
              <w:t>表层样</w:t>
            </w:r>
          </w:p>
        </w:tc>
        <w:tc>
          <w:tcPr>
            <w:tcW w:w="4212" w:type="dxa"/>
            <w:vAlign w:val="top"/>
          </w:tcPr>
          <w:p>
            <w:pPr>
              <w:rPr>
                <w:rFonts w:ascii="Arial"/>
                <w:sz w:val="21"/>
              </w:rPr>
            </w:pPr>
            <w:r/>
          </w:p>
        </w:tc>
        <w:tc>
          <w:tcPr>
            <w:tcW w:w="1595" w:type="dxa"/>
            <w:vAlign w:val="top"/>
          </w:tcPr>
          <w:p>
            <w:pPr>
              <w:rPr>
                <w:rFonts w:ascii="Arial"/>
                <w:sz w:val="21"/>
              </w:rPr>
            </w:pPr>
            <w:r/>
          </w:p>
        </w:tc>
      </w:tr>
    </w:tbl>
    <w:p>
      <w:pPr>
        <w:ind w:left="597"/>
        <w:spacing w:before="144" w:line="219" w:lineRule="auto"/>
        <w:rPr>
          <w:rFonts w:ascii="SimSun" w:hAnsi="SimSun" w:eastAsia="SimSun" w:cs="SimSun"/>
          <w:sz w:val="24"/>
          <w:szCs w:val="24"/>
        </w:rPr>
      </w:pPr>
      <w:bookmarkStart w:name="bookmark92" w:id="46"/>
      <w:bookmarkEnd w:id="46"/>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、监测时间与频次</w:t>
      </w:r>
    </w:p>
    <w:p>
      <w:pPr>
        <w:ind w:left="601"/>
        <w:spacing w:before="153" w:line="219" w:lineRule="auto"/>
        <w:rPr>
          <w:rFonts w:ascii="SimSun" w:hAnsi="SimSun" w:eastAsia="SimSun" w:cs="SimSun"/>
          <w:sz w:val="24"/>
          <w:szCs w:val="24"/>
        </w:rPr>
      </w:pPr>
      <w:r>
        <w:rPr>
          <w:rFonts w:ascii="SimSun" w:hAnsi="SimSun" w:eastAsia="SimSun" w:cs="SimSun"/>
          <w:sz w:val="24"/>
          <w:szCs w:val="24"/>
          <w:spacing w:val="-6"/>
        </w:rPr>
        <w:t>采样时间为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2025 </w:t>
      </w:r>
      <w:r>
        <w:rPr>
          <w:rFonts w:ascii="SimSun" w:hAnsi="SimSun" w:eastAsia="SimSun" w:cs="SimSun"/>
          <w:sz w:val="24"/>
          <w:szCs w:val="24"/>
          <w:spacing w:val="-6"/>
        </w:rPr>
        <w:t>年</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27  </w:t>
      </w:r>
      <w:r>
        <w:rPr>
          <w:rFonts w:ascii="SimSun" w:hAnsi="SimSun" w:eastAsia="SimSun" w:cs="SimSun"/>
          <w:sz w:val="24"/>
          <w:szCs w:val="24"/>
          <w:spacing w:val="-6"/>
        </w:rPr>
        <w:t>日，监测</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6"/>
        </w:rPr>
        <w:t>天，每天</w:t>
      </w:r>
      <w:r>
        <w:rPr>
          <w:rFonts w:ascii="SimSun" w:hAnsi="SimSun" w:eastAsia="SimSun" w:cs="SimSun"/>
          <w:sz w:val="24"/>
          <w:szCs w:val="24"/>
          <w:spacing w:val="-7"/>
        </w:rPr>
        <w:t>采样</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7"/>
        </w:rPr>
        <w:t>次。</w:t>
      </w:r>
    </w:p>
    <w:p>
      <w:pPr>
        <w:ind w:left="602"/>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、土壤现状检测结果</w:t>
      </w:r>
    </w:p>
    <w:p>
      <w:pPr>
        <w:ind w:left="601"/>
        <w:spacing w:before="155" w:line="217" w:lineRule="auto"/>
        <w:rPr>
          <w:rFonts w:ascii="SimSun" w:hAnsi="SimSun" w:eastAsia="SimSun" w:cs="SimSun"/>
          <w:sz w:val="24"/>
          <w:szCs w:val="24"/>
        </w:rPr>
      </w:pPr>
      <w:r>
        <w:rPr>
          <w:rFonts w:ascii="SimSun" w:hAnsi="SimSun" w:eastAsia="SimSun" w:cs="SimSun"/>
          <w:sz w:val="24"/>
          <w:szCs w:val="24"/>
          <w:spacing w:val="-1"/>
        </w:rPr>
        <w:t>① 生态影响型土壤监测结果</w:t>
      </w:r>
    </w:p>
    <w:p>
      <w:pPr>
        <w:ind w:left="604"/>
        <w:spacing w:before="157" w:line="219" w:lineRule="auto"/>
        <w:rPr>
          <w:rFonts w:ascii="SimSun" w:hAnsi="SimSun" w:eastAsia="SimSun" w:cs="SimSun"/>
          <w:sz w:val="24"/>
          <w:szCs w:val="24"/>
        </w:rPr>
      </w:pPr>
      <w:r>
        <w:rPr>
          <w:rFonts w:ascii="SimSun" w:hAnsi="SimSun" w:eastAsia="SimSun" w:cs="SimSun"/>
          <w:sz w:val="24"/>
          <w:szCs w:val="24"/>
          <w:spacing w:val="-1"/>
        </w:rPr>
        <w:t>生态影响型土壤监测结果具体见表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4-2-40</w:t>
      </w:r>
      <w:r>
        <w:rPr>
          <w:rFonts w:ascii="SimSun" w:hAnsi="SimSun" w:eastAsia="SimSun" w:cs="SimSun"/>
          <w:sz w:val="24"/>
          <w:szCs w:val="24"/>
          <w:spacing w:val="-1"/>
        </w:rPr>
        <w:t>。</w:t>
      </w:r>
    </w:p>
    <w:p>
      <w:pPr>
        <w:ind w:left="2856"/>
        <w:spacing w:before="283" w:line="222" w:lineRule="auto"/>
        <w:rPr>
          <w:rFonts w:ascii="SimHei" w:hAnsi="SimHei" w:eastAsia="SimHei" w:cs="SimHei"/>
          <w:sz w:val="24"/>
          <w:szCs w:val="24"/>
        </w:rPr>
      </w:pPr>
      <w:r>
        <w:rPr>
          <w:rFonts w:ascii="SimHei" w:hAnsi="SimHei" w:eastAsia="SimHei" w:cs="SimHei"/>
          <w:sz w:val="24"/>
          <w:szCs w:val="24"/>
          <w:spacing w:val="-1"/>
        </w:rPr>
        <w:t>生态影响型土壤监测与评价结果一览表</w:t>
      </w:r>
    </w:p>
    <w:p>
      <w:pPr>
        <w:ind w:left="120"/>
        <w:spacing w:before="70" w:line="221" w:lineRule="auto"/>
        <w:rPr>
          <w:rFonts w:ascii="Times New Roman" w:hAnsi="Times New Roman" w:eastAsia="Times New Roman" w:cs="Times New Roman"/>
          <w:sz w:val="20"/>
          <w:szCs w:val="20"/>
        </w:rPr>
      </w:pPr>
      <w:r>
        <w:rPr>
          <w:rFonts w:ascii="SimSun" w:hAnsi="SimSun" w:eastAsia="SimSun" w:cs="SimSun"/>
          <w:sz w:val="20"/>
          <w:szCs w:val="20"/>
          <w:spacing w:val="6"/>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6"/>
        </w:rPr>
        <w:t>4-2-40</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6"/>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6"/>
        </w:rPr>
        <w:t>/</w:t>
      </w:r>
      <w:r>
        <w:rPr>
          <w:rFonts w:ascii="Times New Roman" w:hAnsi="Times New Roman" w:eastAsia="Times New Roman" w:cs="Times New Roman"/>
          <w:sz w:val="20"/>
          <w:szCs w:val="20"/>
        </w:rPr>
        <w:t>kg</w:t>
      </w:r>
    </w:p>
    <w:p>
      <w:pPr>
        <w:spacing w:line="28" w:lineRule="auto"/>
        <w:rPr>
          <w:rFonts w:ascii="Arial"/>
          <w:sz w:val="2"/>
        </w:rPr>
      </w:pPr>
      <w:r>
        <w:rPr>
          <w:rFonts w:ascii="Arial"/>
          <w:sz w:val="2"/>
        </w:rPr>
      </w:r>
    </w:p>
    <w:tbl>
      <w:tblPr>
        <w:tblStyle w:val="TableNormal"/>
        <w:tblW w:w="8920" w:type="dxa"/>
        <w:tblInd w:w="189"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84"/>
        <w:gridCol w:w="885"/>
        <w:gridCol w:w="887"/>
        <w:gridCol w:w="885"/>
        <w:gridCol w:w="887"/>
        <w:gridCol w:w="885"/>
        <w:gridCol w:w="888"/>
        <w:gridCol w:w="888"/>
        <w:gridCol w:w="825"/>
        <w:gridCol w:w="806"/>
      </w:tblGrid>
      <w:tr>
        <w:trPr>
          <w:trHeight w:val="283" w:hRule="atLeast"/>
        </w:trPr>
        <w:tc>
          <w:tcPr>
            <w:tcW w:w="1084"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125"/>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6205" w:type="dxa"/>
            <w:vAlign w:val="top"/>
            <w:gridSpan w:val="7"/>
          </w:tcPr>
          <w:p>
            <w:pPr>
              <w:ind w:left="2687"/>
              <w:spacing w:before="33" w:line="221" w:lineRule="auto"/>
              <w:rPr>
                <w:rFonts w:ascii="SimSun" w:hAnsi="SimSun" w:eastAsia="SimSun" w:cs="SimSun"/>
                <w:sz w:val="20"/>
                <w:szCs w:val="20"/>
              </w:rPr>
            </w:pPr>
            <w:r>
              <w:rPr>
                <w:rFonts w:ascii="SimSun" w:hAnsi="SimSun" w:eastAsia="SimSun" w:cs="SimSun"/>
                <w:sz w:val="20"/>
                <w:szCs w:val="20"/>
                <w:spacing w:val="6"/>
              </w:rPr>
              <w:t>分析结果</w:t>
            </w:r>
          </w:p>
        </w:tc>
        <w:tc>
          <w:tcPr>
            <w:tcW w:w="825"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223"/>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806" w:type="dxa"/>
            <w:vAlign w:val="top"/>
            <w:vMerge w:val="restart"/>
            <w:tcBorders>
              <w:bottom w:val="nil"/>
            </w:tcBorders>
          </w:tcPr>
          <w:p>
            <w:pPr>
              <w:spacing w:line="319" w:lineRule="auto"/>
              <w:rPr>
                <w:rFonts w:ascii="Arial"/>
                <w:sz w:val="21"/>
              </w:rPr>
            </w:pPr>
            <w:r/>
          </w:p>
          <w:p>
            <w:pPr>
              <w:spacing w:line="320" w:lineRule="auto"/>
              <w:rPr>
                <w:rFonts w:ascii="Arial"/>
                <w:sz w:val="21"/>
              </w:rPr>
            </w:pPr>
            <w:r/>
          </w:p>
          <w:p>
            <w:pPr>
              <w:ind w:left="197" w:right="193" w:firstLine="4"/>
              <w:spacing w:before="65" w:line="254" w:lineRule="auto"/>
              <w:rPr>
                <w:rFonts w:ascii="SimSun" w:hAnsi="SimSun" w:eastAsia="SimSun" w:cs="SimSun"/>
                <w:sz w:val="20"/>
                <w:szCs w:val="20"/>
              </w:rPr>
            </w:pPr>
            <w:r>
              <w:rPr>
                <w:rFonts w:ascii="SimSun" w:hAnsi="SimSun" w:eastAsia="SimSun" w:cs="SimSun"/>
                <w:sz w:val="20"/>
                <w:szCs w:val="20"/>
                <w:spacing w:val="3"/>
              </w:rPr>
              <w:t>是否</w:t>
            </w:r>
            <w:r>
              <w:rPr>
                <w:rFonts w:ascii="SimSun" w:hAnsi="SimSun" w:eastAsia="SimSun" w:cs="SimSun"/>
                <w:sz w:val="20"/>
                <w:szCs w:val="20"/>
                <w:spacing w:val="5"/>
              </w:rPr>
              <w:t>达标</w:t>
            </w:r>
          </w:p>
        </w:tc>
      </w:tr>
      <w:tr>
        <w:trPr>
          <w:trHeight w:val="275" w:hRule="atLeast"/>
        </w:trPr>
        <w:tc>
          <w:tcPr>
            <w:tcW w:w="1084" w:type="dxa"/>
            <w:vAlign w:val="top"/>
            <w:vMerge w:val="continue"/>
            <w:tcBorders>
              <w:top w:val="nil"/>
              <w:bottom w:val="nil"/>
            </w:tcBorders>
          </w:tcPr>
          <w:p>
            <w:pPr>
              <w:rPr>
                <w:rFonts w:ascii="Arial"/>
                <w:sz w:val="21"/>
              </w:rPr>
            </w:pPr>
            <w:r/>
          </w:p>
        </w:tc>
        <w:tc>
          <w:tcPr>
            <w:tcW w:w="6205" w:type="dxa"/>
            <w:vAlign w:val="top"/>
            <w:gridSpan w:val="7"/>
          </w:tcPr>
          <w:p>
            <w:pPr>
              <w:pStyle w:val="TableText"/>
              <w:ind w:left="2280"/>
              <w:spacing w:before="28" w:line="218"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825" w:type="dxa"/>
            <w:vAlign w:val="top"/>
            <w:vMerge w:val="continue"/>
            <w:tcBorders>
              <w:top w:val="nil"/>
              <w:bottom w:val="nil"/>
            </w:tcBorders>
          </w:tcPr>
          <w:p>
            <w:pPr>
              <w:rPr>
                <w:rFonts w:ascii="Arial"/>
                <w:sz w:val="21"/>
              </w:rPr>
            </w:pPr>
            <w:r/>
          </w:p>
        </w:tc>
        <w:tc>
          <w:tcPr>
            <w:tcW w:w="806" w:type="dxa"/>
            <w:vAlign w:val="top"/>
            <w:vMerge w:val="continue"/>
            <w:tcBorders>
              <w:top w:val="nil"/>
              <w:bottom w:val="nil"/>
            </w:tcBorders>
          </w:tcPr>
          <w:p>
            <w:pPr>
              <w:rPr>
                <w:rFonts w:ascii="Arial"/>
                <w:sz w:val="21"/>
              </w:rPr>
            </w:pPr>
            <w:r/>
          </w:p>
        </w:tc>
      </w:tr>
      <w:tr>
        <w:trPr>
          <w:trHeight w:val="1335" w:hRule="atLeast"/>
        </w:trPr>
        <w:tc>
          <w:tcPr>
            <w:tcW w:w="1084" w:type="dxa"/>
            <w:vAlign w:val="top"/>
            <w:vMerge w:val="continue"/>
            <w:tcBorders>
              <w:top w:val="nil"/>
            </w:tcBorders>
          </w:tcPr>
          <w:p>
            <w:pPr>
              <w:rPr>
                <w:rFonts w:ascii="Arial"/>
                <w:sz w:val="21"/>
              </w:rPr>
            </w:pPr>
            <w:r/>
          </w:p>
        </w:tc>
        <w:tc>
          <w:tcPr>
            <w:tcW w:w="885" w:type="dxa"/>
            <w:vAlign w:val="top"/>
          </w:tcPr>
          <w:p>
            <w:pPr>
              <w:pStyle w:val="TableText"/>
              <w:ind w:left="143"/>
              <w:spacing w:before="287" w:line="228" w:lineRule="auto"/>
              <w:rPr>
                <w:rFonts w:ascii="SimSun" w:hAnsi="SimSun" w:eastAsia="SimSun" w:cs="SimSun"/>
              </w:rPr>
            </w:pPr>
            <w:r>
              <w:rPr>
                <w:spacing w:val="2"/>
              </w:rPr>
              <w:t>T13</w:t>
            </w:r>
            <w:r>
              <w:rPr>
                <w:spacing w:val="17"/>
              </w:rPr>
              <w:t xml:space="preserve"> </w:t>
            </w:r>
            <w:r>
              <w:rPr>
                <w:rFonts w:ascii="SimSun" w:hAnsi="SimSun" w:eastAsia="SimSun" w:cs="SimSun"/>
                <w:spacing w:val="2"/>
              </w:rPr>
              <w:t>露</w:t>
            </w:r>
          </w:p>
          <w:p>
            <w:pPr>
              <w:ind w:left="132"/>
              <w:spacing w:before="25" w:line="228" w:lineRule="auto"/>
              <w:rPr>
                <w:rFonts w:ascii="SimSun" w:hAnsi="SimSun" w:eastAsia="SimSun" w:cs="SimSun"/>
                <w:sz w:val="20"/>
                <w:szCs w:val="20"/>
              </w:rPr>
            </w:pPr>
            <w:r>
              <w:rPr>
                <w:rFonts w:ascii="SimSun" w:hAnsi="SimSun" w:eastAsia="SimSun" w:cs="SimSun"/>
                <w:sz w:val="20"/>
                <w:szCs w:val="20"/>
                <w:spacing w:val="5"/>
              </w:rPr>
              <w:t>天矿中</w:t>
            </w:r>
          </w:p>
          <w:p>
            <w:pPr>
              <w:ind w:left="342"/>
              <w:spacing w:before="24" w:line="228" w:lineRule="auto"/>
              <w:rPr>
                <w:rFonts w:ascii="SimSun" w:hAnsi="SimSun" w:eastAsia="SimSun" w:cs="SimSun"/>
                <w:sz w:val="20"/>
                <w:szCs w:val="20"/>
              </w:rPr>
            </w:pPr>
            <w:r>
              <w:rPr>
                <w:rFonts w:ascii="SimSun" w:hAnsi="SimSun" w:eastAsia="SimSun" w:cs="SimSun"/>
                <w:sz w:val="20"/>
                <w:szCs w:val="20"/>
              </w:rPr>
              <w:t>部</w:t>
            </w:r>
          </w:p>
        </w:tc>
        <w:tc>
          <w:tcPr>
            <w:tcW w:w="887" w:type="dxa"/>
            <w:vAlign w:val="top"/>
          </w:tcPr>
          <w:p>
            <w:pPr>
              <w:pStyle w:val="TableText"/>
              <w:ind w:left="111" w:right="143" w:firstLine="34"/>
              <w:spacing w:before="302" w:line="254" w:lineRule="auto"/>
              <w:jc w:val="both"/>
              <w:rPr/>
            </w:pPr>
            <w:r>
              <w:rPr>
                <w:spacing w:val="1"/>
              </w:rPr>
              <w:t>T14</w:t>
            </w:r>
            <w:r>
              <w:rPr>
                <w:spacing w:val="14"/>
              </w:rPr>
              <w:t xml:space="preserve"> </w:t>
            </w:r>
            <w:r>
              <w:rPr>
                <w:rFonts w:ascii="SimSun" w:hAnsi="SimSun" w:eastAsia="SimSun" w:cs="SimSun"/>
                <w:spacing w:val="1"/>
              </w:rPr>
              <w:t>北</w:t>
            </w:r>
            <w:r>
              <w:rPr>
                <w:rFonts w:ascii="SimSun" w:hAnsi="SimSun" w:eastAsia="SimSun" w:cs="SimSun"/>
                <w:spacing w:val="7"/>
              </w:rPr>
              <w:t>矿界内</w:t>
            </w:r>
            <w:r>
              <w:rPr>
                <w:spacing w:val="28"/>
              </w:rPr>
              <w:t>200m</w:t>
            </w:r>
          </w:p>
        </w:tc>
        <w:tc>
          <w:tcPr>
            <w:tcW w:w="885" w:type="dxa"/>
            <w:vAlign w:val="top"/>
          </w:tcPr>
          <w:p>
            <w:pPr>
              <w:pStyle w:val="TableText"/>
              <w:ind w:left="135" w:right="126" w:firstLine="7"/>
              <w:spacing w:before="33" w:line="250" w:lineRule="auto"/>
              <w:rPr>
                <w:rFonts w:ascii="SimSun" w:hAnsi="SimSun" w:eastAsia="SimSun" w:cs="SimSun"/>
              </w:rPr>
            </w:pPr>
            <w:r>
              <w:rPr>
                <w:spacing w:val="2"/>
              </w:rPr>
              <w:t>T15</w:t>
            </w:r>
            <w:r>
              <w:rPr>
                <w:spacing w:val="15"/>
              </w:rPr>
              <w:t xml:space="preserve"> </w:t>
            </w:r>
            <w:r>
              <w:rPr>
                <w:rFonts w:ascii="SimSun" w:hAnsi="SimSun" w:eastAsia="SimSun" w:cs="SimSun"/>
                <w:spacing w:val="2"/>
              </w:rPr>
              <w:t>井</w:t>
            </w:r>
            <w:r>
              <w:rPr>
                <w:rFonts w:ascii="SimSun" w:hAnsi="SimSun" w:eastAsia="SimSun" w:cs="SimSun"/>
                <w:spacing w:val="6"/>
              </w:rPr>
              <w:t>工矿风</w:t>
            </w:r>
          </w:p>
          <w:p>
            <w:pPr>
              <w:ind w:left="132"/>
              <w:spacing w:line="228" w:lineRule="auto"/>
              <w:rPr>
                <w:rFonts w:ascii="SimSun" w:hAnsi="SimSun" w:eastAsia="SimSun" w:cs="SimSun"/>
                <w:sz w:val="20"/>
                <w:szCs w:val="20"/>
              </w:rPr>
            </w:pPr>
            <w:r>
              <w:rPr>
                <w:rFonts w:ascii="SimSun" w:hAnsi="SimSun" w:eastAsia="SimSun" w:cs="SimSun"/>
                <w:sz w:val="20"/>
                <w:szCs w:val="20"/>
                <w:spacing w:val="6"/>
              </w:rPr>
              <w:t>井场地</w:t>
            </w:r>
          </w:p>
          <w:p>
            <w:pPr>
              <w:ind w:left="241"/>
              <w:spacing w:before="25" w:line="228" w:lineRule="auto"/>
              <w:rPr>
                <w:rFonts w:ascii="SimSun" w:hAnsi="SimSun" w:eastAsia="SimSun" w:cs="SimSun"/>
                <w:sz w:val="20"/>
                <w:szCs w:val="20"/>
              </w:rPr>
            </w:pPr>
            <w:r>
              <w:rPr>
                <w:rFonts w:ascii="SimSun" w:hAnsi="SimSun" w:eastAsia="SimSun" w:cs="SimSun"/>
                <w:sz w:val="20"/>
                <w:szCs w:val="20"/>
                <w:spacing w:val="1"/>
              </w:rPr>
              <w:t>北侧</w:t>
            </w:r>
          </w:p>
          <w:p>
            <w:pPr>
              <w:pStyle w:val="TableText"/>
              <w:ind w:left="173"/>
              <w:spacing w:before="46" w:line="192" w:lineRule="auto"/>
              <w:rPr/>
            </w:pPr>
            <w:r>
              <w:rPr/>
              <w:t>1000m</w:t>
            </w:r>
          </w:p>
        </w:tc>
        <w:tc>
          <w:tcPr>
            <w:tcW w:w="887" w:type="dxa"/>
            <w:vAlign w:val="top"/>
          </w:tcPr>
          <w:p>
            <w:pPr>
              <w:pStyle w:val="TableText"/>
              <w:ind w:left="139" w:right="125" w:firstLine="5"/>
              <w:spacing w:before="153" w:line="250" w:lineRule="auto"/>
              <w:rPr>
                <w:rFonts w:ascii="SimSun" w:hAnsi="SimSun" w:eastAsia="SimSun" w:cs="SimSun"/>
              </w:rPr>
            </w:pPr>
            <w:r>
              <w:rPr>
                <w:spacing w:val="1"/>
              </w:rPr>
              <w:t>T16</w:t>
            </w:r>
            <w:r>
              <w:rPr>
                <w:spacing w:val="17"/>
              </w:rPr>
              <w:t xml:space="preserve"> </w:t>
            </w:r>
            <w:r>
              <w:rPr>
                <w:rFonts w:ascii="SimSun" w:hAnsi="SimSun" w:eastAsia="SimSun" w:cs="SimSun"/>
                <w:spacing w:val="1"/>
              </w:rPr>
              <w:t>露</w:t>
            </w:r>
            <w:r>
              <w:rPr>
                <w:rFonts w:ascii="SimSun" w:hAnsi="SimSun" w:eastAsia="SimSun" w:cs="SimSun"/>
                <w:spacing w:val="5"/>
              </w:rPr>
              <w:t>天矿内</w:t>
            </w:r>
          </w:p>
          <w:p>
            <w:pPr>
              <w:ind w:left="347" w:right="125" w:hanging="207"/>
              <w:spacing w:line="256" w:lineRule="auto"/>
              <w:rPr>
                <w:rFonts w:ascii="SimSun" w:hAnsi="SimSun" w:eastAsia="SimSun" w:cs="SimSun"/>
                <w:sz w:val="20"/>
                <w:szCs w:val="20"/>
              </w:rPr>
            </w:pPr>
            <w:r>
              <w:rPr>
                <w:rFonts w:ascii="SimSun" w:hAnsi="SimSun" w:eastAsia="SimSun" w:cs="SimSun"/>
                <w:sz w:val="20"/>
                <w:szCs w:val="20"/>
                <w:spacing w:val="5"/>
              </w:rPr>
              <w:t>西边界</w:t>
            </w:r>
            <w:r>
              <w:rPr>
                <w:rFonts w:ascii="SimSun" w:hAnsi="SimSun" w:eastAsia="SimSun" w:cs="SimSun"/>
                <w:sz w:val="20"/>
                <w:szCs w:val="20"/>
              </w:rPr>
              <w:t>处</w:t>
            </w:r>
          </w:p>
        </w:tc>
        <w:tc>
          <w:tcPr>
            <w:tcW w:w="885" w:type="dxa"/>
            <w:vAlign w:val="top"/>
          </w:tcPr>
          <w:p>
            <w:pPr>
              <w:pStyle w:val="TableText"/>
              <w:ind w:left="136" w:right="124" w:firstLine="10"/>
              <w:spacing w:before="33" w:line="250" w:lineRule="auto"/>
              <w:rPr>
                <w:rFonts w:ascii="SimSun" w:hAnsi="SimSun" w:eastAsia="SimSun" w:cs="SimSun"/>
              </w:rPr>
            </w:pPr>
            <w:r>
              <w:rPr>
                <w:spacing w:val="2"/>
              </w:rPr>
              <w:t>T17</w:t>
            </w:r>
            <w:r>
              <w:rPr>
                <w:spacing w:val="12"/>
                <w:w w:val="101"/>
              </w:rPr>
              <w:t xml:space="preserve"> </w:t>
            </w:r>
            <w:r>
              <w:rPr>
                <w:rFonts w:ascii="SimSun" w:hAnsi="SimSun" w:eastAsia="SimSun" w:cs="SimSun"/>
                <w:spacing w:val="2"/>
              </w:rPr>
              <w:t>井</w:t>
            </w:r>
            <w:r>
              <w:rPr>
                <w:rFonts w:ascii="SimSun" w:hAnsi="SimSun" w:eastAsia="SimSun" w:cs="SimSun"/>
                <w:spacing w:val="6"/>
              </w:rPr>
              <w:t>工矿风</w:t>
            </w:r>
          </w:p>
          <w:p>
            <w:pPr>
              <w:ind w:left="134"/>
              <w:spacing w:line="228" w:lineRule="auto"/>
              <w:rPr>
                <w:rFonts w:ascii="SimSun" w:hAnsi="SimSun" w:eastAsia="SimSun" w:cs="SimSun"/>
                <w:sz w:val="20"/>
                <w:szCs w:val="20"/>
              </w:rPr>
            </w:pPr>
            <w:r>
              <w:rPr>
                <w:rFonts w:ascii="SimSun" w:hAnsi="SimSun" w:eastAsia="SimSun" w:cs="SimSun"/>
                <w:sz w:val="20"/>
                <w:szCs w:val="20"/>
                <w:spacing w:val="6"/>
              </w:rPr>
              <w:t>井场地</w:t>
            </w:r>
          </w:p>
          <w:p>
            <w:pPr>
              <w:ind w:left="244"/>
              <w:spacing w:before="25" w:line="230" w:lineRule="auto"/>
              <w:rPr>
                <w:rFonts w:ascii="SimSun" w:hAnsi="SimSun" w:eastAsia="SimSun" w:cs="SimSun"/>
                <w:sz w:val="20"/>
                <w:szCs w:val="20"/>
              </w:rPr>
            </w:pPr>
            <w:r>
              <w:rPr>
                <w:rFonts w:ascii="SimSun" w:hAnsi="SimSun" w:eastAsia="SimSun" w:cs="SimSun"/>
                <w:sz w:val="20"/>
                <w:szCs w:val="20"/>
                <w:spacing w:val="2"/>
              </w:rPr>
              <w:t>西南</w:t>
            </w:r>
          </w:p>
          <w:p>
            <w:pPr>
              <w:pStyle w:val="TableText"/>
              <w:ind w:left="204"/>
              <w:spacing w:before="43" w:line="192" w:lineRule="auto"/>
              <w:rPr/>
            </w:pPr>
            <w:r>
              <w:rPr>
                <w:spacing w:val="5"/>
              </w:rPr>
              <w:t>200m</w:t>
            </w:r>
          </w:p>
        </w:tc>
        <w:tc>
          <w:tcPr>
            <w:tcW w:w="888" w:type="dxa"/>
            <w:vAlign w:val="top"/>
          </w:tcPr>
          <w:p>
            <w:pPr>
              <w:pStyle w:val="TableText"/>
              <w:ind w:left="149"/>
              <w:spacing w:before="287" w:line="228" w:lineRule="auto"/>
              <w:rPr>
                <w:rFonts w:ascii="SimSun" w:hAnsi="SimSun" w:eastAsia="SimSun" w:cs="SimSun"/>
              </w:rPr>
            </w:pPr>
            <w:r>
              <w:rPr>
                <w:spacing w:val="2"/>
              </w:rPr>
              <w:t>T18</w:t>
            </w:r>
            <w:r>
              <w:rPr>
                <w:spacing w:val="10"/>
              </w:rPr>
              <w:t xml:space="preserve"> </w:t>
            </w:r>
            <w:r>
              <w:rPr>
                <w:rFonts w:ascii="SimSun" w:hAnsi="SimSun" w:eastAsia="SimSun" w:cs="SimSun"/>
                <w:spacing w:val="2"/>
              </w:rPr>
              <w:t>井</w:t>
            </w:r>
          </w:p>
          <w:p>
            <w:pPr>
              <w:ind w:left="139"/>
              <w:spacing w:before="25" w:line="228" w:lineRule="auto"/>
              <w:rPr>
                <w:rFonts w:ascii="SimSun" w:hAnsi="SimSun" w:eastAsia="SimSun" w:cs="SimSun"/>
                <w:sz w:val="20"/>
                <w:szCs w:val="20"/>
              </w:rPr>
            </w:pPr>
            <w:r>
              <w:rPr>
                <w:rFonts w:ascii="SimSun" w:hAnsi="SimSun" w:eastAsia="SimSun" w:cs="SimSun"/>
                <w:sz w:val="20"/>
                <w:szCs w:val="20"/>
                <w:spacing w:val="6"/>
              </w:rPr>
              <w:t>工矿中</w:t>
            </w:r>
          </w:p>
          <w:p>
            <w:pPr>
              <w:ind w:left="346"/>
              <w:spacing w:before="24" w:line="228" w:lineRule="auto"/>
              <w:rPr>
                <w:rFonts w:ascii="SimSun" w:hAnsi="SimSun" w:eastAsia="SimSun" w:cs="SimSun"/>
                <w:sz w:val="20"/>
                <w:szCs w:val="20"/>
              </w:rPr>
            </w:pPr>
            <w:r>
              <w:rPr>
                <w:rFonts w:ascii="SimSun" w:hAnsi="SimSun" w:eastAsia="SimSun" w:cs="SimSun"/>
                <w:sz w:val="20"/>
                <w:szCs w:val="20"/>
              </w:rPr>
              <w:t>部</w:t>
            </w:r>
          </w:p>
        </w:tc>
        <w:tc>
          <w:tcPr>
            <w:tcW w:w="888" w:type="dxa"/>
            <w:vAlign w:val="top"/>
          </w:tcPr>
          <w:p>
            <w:pPr>
              <w:pStyle w:val="TableText"/>
              <w:ind w:left="149"/>
              <w:spacing w:before="167" w:line="228" w:lineRule="auto"/>
              <w:rPr>
                <w:rFonts w:ascii="SimSun" w:hAnsi="SimSun" w:eastAsia="SimSun" w:cs="SimSun"/>
              </w:rPr>
            </w:pPr>
            <w:r>
              <w:rPr>
                <w:spacing w:val="2"/>
              </w:rPr>
              <w:t>T19</w:t>
            </w:r>
            <w:r>
              <w:rPr>
                <w:spacing w:val="14"/>
                <w:w w:val="101"/>
              </w:rPr>
              <w:t xml:space="preserve"> </w:t>
            </w:r>
            <w:r>
              <w:rPr>
                <w:rFonts w:ascii="SimSun" w:hAnsi="SimSun" w:eastAsia="SimSun" w:cs="SimSun"/>
                <w:spacing w:val="2"/>
              </w:rPr>
              <w:t>露</w:t>
            </w:r>
          </w:p>
          <w:p>
            <w:pPr>
              <w:ind w:left="141"/>
              <w:spacing w:before="23" w:line="228" w:lineRule="auto"/>
              <w:rPr>
                <w:rFonts w:ascii="SimSun" w:hAnsi="SimSun" w:eastAsia="SimSun" w:cs="SimSun"/>
                <w:sz w:val="20"/>
                <w:szCs w:val="20"/>
              </w:rPr>
            </w:pPr>
            <w:r>
              <w:rPr>
                <w:rFonts w:ascii="SimSun" w:hAnsi="SimSun" w:eastAsia="SimSun" w:cs="SimSun"/>
                <w:sz w:val="20"/>
                <w:szCs w:val="20"/>
                <w:spacing w:val="5"/>
              </w:rPr>
              <w:t>天矿界</w:t>
            </w:r>
          </w:p>
          <w:p>
            <w:pPr>
              <w:ind w:left="245"/>
              <w:spacing w:before="24" w:line="228" w:lineRule="auto"/>
              <w:rPr>
                <w:rFonts w:ascii="SimSun" w:hAnsi="SimSun" w:eastAsia="SimSun" w:cs="SimSun"/>
                <w:sz w:val="20"/>
                <w:szCs w:val="20"/>
              </w:rPr>
            </w:pPr>
            <w:r>
              <w:rPr>
                <w:rFonts w:ascii="SimSun" w:hAnsi="SimSun" w:eastAsia="SimSun" w:cs="SimSun"/>
                <w:sz w:val="20"/>
                <w:szCs w:val="20"/>
                <w:spacing w:val="3"/>
              </w:rPr>
              <w:t>西侧</w:t>
            </w:r>
          </w:p>
          <w:p>
            <w:pPr>
              <w:pStyle w:val="TableText"/>
              <w:ind w:left="280"/>
              <w:spacing w:before="44" w:line="199" w:lineRule="auto"/>
              <w:rPr/>
            </w:pPr>
            <w:r>
              <w:rPr>
                <w:spacing w:val="-3"/>
              </w:rPr>
              <w:t>1km</w:t>
            </w:r>
          </w:p>
        </w:tc>
        <w:tc>
          <w:tcPr>
            <w:tcW w:w="825" w:type="dxa"/>
            <w:vAlign w:val="top"/>
            <w:vMerge w:val="continue"/>
            <w:tcBorders>
              <w:top w:val="nil"/>
            </w:tcBorders>
          </w:tcPr>
          <w:p>
            <w:pPr>
              <w:rPr>
                <w:rFonts w:ascii="Arial"/>
                <w:sz w:val="21"/>
              </w:rPr>
            </w:pPr>
            <w:r/>
          </w:p>
        </w:tc>
        <w:tc>
          <w:tcPr>
            <w:tcW w:w="806" w:type="dxa"/>
            <w:vAlign w:val="top"/>
            <w:vMerge w:val="continue"/>
            <w:tcBorders>
              <w:top w:val="nil"/>
            </w:tcBorders>
          </w:tcPr>
          <w:p>
            <w:pPr>
              <w:rPr>
                <w:rFonts w:ascii="Arial"/>
                <w:sz w:val="21"/>
              </w:rPr>
            </w:pPr>
            <w:r/>
          </w:p>
        </w:tc>
      </w:tr>
      <w:tr>
        <w:trPr>
          <w:trHeight w:val="278" w:hRule="atLeast"/>
        </w:trPr>
        <w:tc>
          <w:tcPr>
            <w:tcW w:w="1084" w:type="dxa"/>
            <w:vAlign w:val="top"/>
          </w:tcPr>
          <w:p>
            <w:pPr>
              <w:ind w:left="342"/>
              <w:spacing w:before="31" w:line="218" w:lineRule="auto"/>
              <w:rPr>
                <w:rFonts w:ascii="SimSun" w:hAnsi="SimSun" w:eastAsia="SimSun" w:cs="SimSun"/>
                <w:sz w:val="20"/>
                <w:szCs w:val="20"/>
              </w:rPr>
            </w:pPr>
            <w:r>
              <w:rPr>
                <w:rFonts w:ascii="SimSun" w:hAnsi="SimSun" w:eastAsia="SimSun" w:cs="SimSun"/>
                <w:sz w:val="20"/>
                <w:szCs w:val="20"/>
                <w:spacing w:val="2"/>
              </w:rPr>
              <w:t>总砷</w:t>
            </w:r>
          </w:p>
        </w:tc>
        <w:tc>
          <w:tcPr>
            <w:tcW w:w="885" w:type="dxa"/>
            <w:vAlign w:val="top"/>
          </w:tcPr>
          <w:p>
            <w:pPr>
              <w:pStyle w:val="TableText"/>
              <w:ind w:left="261"/>
              <w:spacing w:before="67" w:line="195" w:lineRule="auto"/>
              <w:rPr/>
            </w:pPr>
            <w:r>
              <w:rPr>
                <w:spacing w:val="2"/>
              </w:rPr>
              <w:t>3.50</w:t>
            </w:r>
          </w:p>
        </w:tc>
        <w:tc>
          <w:tcPr>
            <w:tcW w:w="887" w:type="dxa"/>
            <w:vAlign w:val="top"/>
          </w:tcPr>
          <w:p>
            <w:pPr>
              <w:pStyle w:val="TableText"/>
              <w:ind w:left="264"/>
              <w:spacing w:before="67" w:line="195" w:lineRule="auto"/>
              <w:rPr/>
            </w:pPr>
            <w:r>
              <w:rPr>
                <w:spacing w:val="2"/>
              </w:rPr>
              <w:t>3.78</w:t>
            </w:r>
          </w:p>
        </w:tc>
        <w:tc>
          <w:tcPr>
            <w:tcW w:w="885" w:type="dxa"/>
            <w:vAlign w:val="top"/>
          </w:tcPr>
          <w:p>
            <w:pPr>
              <w:pStyle w:val="TableText"/>
              <w:ind w:left="265"/>
              <w:spacing w:before="67" w:line="195" w:lineRule="auto"/>
              <w:rPr/>
            </w:pPr>
            <w:r>
              <w:rPr>
                <w:spacing w:val="1"/>
              </w:rPr>
              <w:t>3.70</w:t>
            </w:r>
          </w:p>
        </w:tc>
        <w:tc>
          <w:tcPr>
            <w:tcW w:w="887" w:type="dxa"/>
            <w:vAlign w:val="top"/>
          </w:tcPr>
          <w:p>
            <w:pPr>
              <w:pStyle w:val="TableText"/>
              <w:ind w:left="265"/>
              <w:spacing w:before="67" w:line="195" w:lineRule="auto"/>
              <w:rPr/>
            </w:pPr>
            <w:r>
              <w:rPr>
                <w:spacing w:val="2"/>
              </w:rPr>
              <w:t>3.23</w:t>
            </w:r>
          </w:p>
        </w:tc>
        <w:tc>
          <w:tcPr>
            <w:tcW w:w="885" w:type="dxa"/>
            <w:vAlign w:val="top"/>
          </w:tcPr>
          <w:p>
            <w:pPr>
              <w:pStyle w:val="TableText"/>
              <w:ind w:left="266"/>
              <w:spacing w:before="67" w:line="195" w:lineRule="auto"/>
              <w:rPr/>
            </w:pPr>
            <w:r>
              <w:rPr>
                <w:spacing w:val="2"/>
              </w:rPr>
              <w:t>3.54</w:t>
            </w:r>
          </w:p>
        </w:tc>
        <w:tc>
          <w:tcPr>
            <w:tcW w:w="888" w:type="dxa"/>
            <w:vAlign w:val="top"/>
          </w:tcPr>
          <w:p>
            <w:pPr>
              <w:pStyle w:val="TableText"/>
              <w:ind w:left="267"/>
              <w:spacing w:before="67" w:line="195" w:lineRule="auto"/>
              <w:rPr/>
            </w:pPr>
            <w:r>
              <w:rPr>
                <w:spacing w:val="2"/>
              </w:rPr>
              <w:t>3.49</w:t>
            </w:r>
          </w:p>
        </w:tc>
        <w:tc>
          <w:tcPr>
            <w:tcW w:w="888" w:type="dxa"/>
            <w:vAlign w:val="top"/>
          </w:tcPr>
          <w:p>
            <w:pPr>
              <w:pStyle w:val="TableText"/>
              <w:ind w:left="262"/>
              <w:spacing w:before="67" w:line="195" w:lineRule="auto"/>
              <w:rPr/>
            </w:pPr>
            <w:r>
              <w:rPr>
                <w:spacing w:val="3"/>
              </w:rPr>
              <w:t>4.60</w:t>
            </w:r>
          </w:p>
        </w:tc>
        <w:tc>
          <w:tcPr>
            <w:tcW w:w="825" w:type="dxa"/>
            <w:vAlign w:val="top"/>
          </w:tcPr>
          <w:p>
            <w:pPr>
              <w:pStyle w:val="TableText"/>
              <w:ind w:left="311"/>
              <w:spacing w:before="67" w:line="195" w:lineRule="auto"/>
              <w:rPr/>
            </w:pPr>
            <w:r>
              <w:rPr>
                <w:spacing w:val="2"/>
              </w:rPr>
              <w:t>25</w:t>
            </w:r>
          </w:p>
        </w:tc>
        <w:tc>
          <w:tcPr>
            <w:tcW w:w="806" w:type="dxa"/>
            <w:vAlign w:val="top"/>
          </w:tcPr>
          <w:p>
            <w:pPr>
              <w:ind w:left="197"/>
              <w:spacing w:before="31" w:line="21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084" w:type="dxa"/>
            <w:vAlign w:val="top"/>
          </w:tcPr>
          <w:p>
            <w:pPr>
              <w:ind w:left="440"/>
              <w:spacing w:before="31" w:line="218" w:lineRule="auto"/>
              <w:rPr>
                <w:rFonts w:ascii="SimSun" w:hAnsi="SimSun" w:eastAsia="SimSun" w:cs="SimSun"/>
                <w:sz w:val="20"/>
                <w:szCs w:val="20"/>
              </w:rPr>
            </w:pPr>
            <w:r>
              <w:rPr>
                <w:rFonts w:ascii="SimSun" w:hAnsi="SimSun" w:eastAsia="SimSun" w:cs="SimSun"/>
                <w:sz w:val="20"/>
                <w:szCs w:val="20"/>
                <w:spacing w:val="2"/>
              </w:rPr>
              <w:t>镉</w:t>
            </w:r>
          </w:p>
        </w:tc>
        <w:tc>
          <w:tcPr>
            <w:tcW w:w="885" w:type="dxa"/>
            <w:vAlign w:val="top"/>
          </w:tcPr>
          <w:p>
            <w:pPr>
              <w:pStyle w:val="TableText"/>
              <w:ind w:left="260"/>
              <w:spacing w:before="67" w:line="195" w:lineRule="auto"/>
              <w:rPr/>
            </w:pPr>
            <w:r>
              <w:rPr>
                <w:spacing w:val="2"/>
              </w:rPr>
              <w:t>0.21</w:t>
            </w:r>
          </w:p>
        </w:tc>
        <w:tc>
          <w:tcPr>
            <w:tcW w:w="887" w:type="dxa"/>
            <w:vAlign w:val="top"/>
          </w:tcPr>
          <w:p>
            <w:pPr>
              <w:pStyle w:val="TableText"/>
              <w:ind w:left="263"/>
              <w:spacing w:before="67" w:line="195" w:lineRule="auto"/>
              <w:rPr/>
            </w:pPr>
            <w:r>
              <w:rPr>
                <w:spacing w:val="2"/>
              </w:rPr>
              <w:t>0.19</w:t>
            </w:r>
          </w:p>
        </w:tc>
        <w:tc>
          <w:tcPr>
            <w:tcW w:w="885" w:type="dxa"/>
            <w:vAlign w:val="top"/>
          </w:tcPr>
          <w:p>
            <w:pPr>
              <w:pStyle w:val="TableText"/>
              <w:ind w:left="264"/>
              <w:spacing w:before="67" w:line="195" w:lineRule="auto"/>
              <w:rPr/>
            </w:pPr>
            <w:r>
              <w:rPr>
                <w:spacing w:val="2"/>
              </w:rPr>
              <w:t>0.25</w:t>
            </w:r>
          </w:p>
        </w:tc>
        <w:tc>
          <w:tcPr>
            <w:tcW w:w="887" w:type="dxa"/>
            <w:vAlign w:val="top"/>
          </w:tcPr>
          <w:p>
            <w:pPr>
              <w:pStyle w:val="TableText"/>
              <w:ind w:left="264"/>
              <w:spacing w:before="67" w:line="195" w:lineRule="auto"/>
              <w:rPr/>
            </w:pPr>
            <w:r>
              <w:rPr>
                <w:spacing w:val="-4"/>
              </w:rPr>
              <w:t>0.</w:t>
            </w:r>
            <w:r>
              <w:rPr>
                <w:spacing w:val="-25"/>
              </w:rPr>
              <w:t xml:space="preserve"> </w:t>
            </w:r>
            <w:r>
              <w:rPr>
                <w:spacing w:val="-4"/>
              </w:rPr>
              <w:t>14</w:t>
            </w:r>
          </w:p>
        </w:tc>
        <w:tc>
          <w:tcPr>
            <w:tcW w:w="885" w:type="dxa"/>
            <w:vAlign w:val="top"/>
          </w:tcPr>
          <w:p>
            <w:pPr>
              <w:pStyle w:val="TableText"/>
              <w:ind w:left="265"/>
              <w:spacing w:before="67" w:line="195" w:lineRule="auto"/>
              <w:rPr/>
            </w:pPr>
            <w:r>
              <w:rPr>
                <w:spacing w:val="2"/>
              </w:rPr>
              <w:t>0.22</w:t>
            </w:r>
          </w:p>
        </w:tc>
        <w:tc>
          <w:tcPr>
            <w:tcW w:w="888" w:type="dxa"/>
            <w:vAlign w:val="top"/>
          </w:tcPr>
          <w:p>
            <w:pPr>
              <w:pStyle w:val="TableText"/>
              <w:ind w:left="266"/>
              <w:spacing w:before="67" w:line="195" w:lineRule="auto"/>
              <w:rPr/>
            </w:pPr>
            <w:r>
              <w:rPr>
                <w:spacing w:val="2"/>
              </w:rPr>
              <w:t>0.17</w:t>
            </w:r>
          </w:p>
        </w:tc>
        <w:tc>
          <w:tcPr>
            <w:tcW w:w="888" w:type="dxa"/>
            <w:vAlign w:val="top"/>
          </w:tcPr>
          <w:p>
            <w:pPr>
              <w:pStyle w:val="TableText"/>
              <w:ind w:left="266"/>
              <w:spacing w:before="67" w:line="195" w:lineRule="auto"/>
              <w:rPr/>
            </w:pPr>
            <w:r>
              <w:rPr>
                <w:spacing w:val="2"/>
              </w:rPr>
              <w:t>0.19</w:t>
            </w:r>
          </w:p>
        </w:tc>
        <w:tc>
          <w:tcPr>
            <w:tcW w:w="825" w:type="dxa"/>
            <w:vAlign w:val="top"/>
          </w:tcPr>
          <w:p>
            <w:pPr>
              <w:pStyle w:val="TableText"/>
              <w:ind w:left="287"/>
              <w:spacing w:before="67" w:line="195" w:lineRule="auto"/>
              <w:rPr/>
            </w:pPr>
            <w:r>
              <w:rPr>
                <w:spacing w:val="1"/>
              </w:rPr>
              <w:t>0.6</w:t>
            </w:r>
          </w:p>
        </w:tc>
        <w:tc>
          <w:tcPr>
            <w:tcW w:w="806" w:type="dxa"/>
            <w:vAlign w:val="top"/>
          </w:tcPr>
          <w:p>
            <w:pPr>
              <w:ind w:left="197"/>
              <w:spacing w:before="31" w:line="218" w:lineRule="auto"/>
              <w:rPr>
                <w:rFonts w:ascii="SimSun" w:hAnsi="SimSun" w:eastAsia="SimSun" w:cs="SimSun"/>
                <w:sz w:val="20"/>
                <w:szCs w:val="20"/>
              </w:rPr>
            </w:pPr>
            <w:r>
              <w:rPr>
                <w:rFonts w:ascii="SimSun" w:hAnsi="SimSun" w:eastAsia="SimSun" w:cs="SimSun"/>
                <w:sz w:val="20"/>
                <w:szCs w:val="20"/>
                <w:spacing w:val="5"/>
              </w:rPr>
              <w:t>达标</w:t>
            </w:r>
          </w:p>
        </w:tc>
      </w:tr>
      <w:tr>
        <w:trPr>
          <w:trHeight w:val="275" w:hRule="atLeast"/>
        </w:trPr>
        <w:tc>
          <w:tcPr>
            <w:tcW w:w="1084" w:type="dxa"/>
            <w:vAlign w:val="top"/>
          </w:tcPr>
          <w:p>
            <w:pPr>
              <w:ind w:left="442"/>
              <w:spacing w:before="29" w:line="217" w:lineRule="auto"/>
              <w:rPr>
                <w:rFonts w:ascii="SimSun" w:hAnsi="SimSun" w:eastAsia="SimSun" w:cs="SimSun"/>
                <w:sz w:val="20"/>
                <w:szCs w:val="20"/>
              </w:rPr>
            </w:pPr>
            <w:r>
              <w:rPr>
                <w:rFonts w:ascii="SimSun" w:hAnsi="SimSun" w:eastAsia="SimSun" w:cs="SimSun"/>
                <w:sz w:val="20"/>
                <w:szCs w:val="20"/>
              </w:rPr>
              <w:t>铜</w:t>
            </w:r>
          </w:p>
        </w:tc>
        <w:tc>
          <w:tcPr>
            <w:tcW w:w="885" w:type="dxa"/>
            <w:vAlign w:val="top"/>
          </w:tcPr>
          <w:p>
            <w:pPr>
              <w:pStyle w:val="TableText"/>
              <w:ind w:left="340"/>
              <w:spacing w:before="65" w:line="195" w:lineRule="auto"/>
              <w:rPr/>
            </w:pPr>
            <w:r>
              <w:rPr/>
              <w:t>36</w:t>
            </w:r>
          </w:p>
        </w:tc>
        <w:tc>
          <w:tcPr>
            <w:tcW w:w="887" w:type="dxa"/>
            <w:vAlign w:val="top"/>
          </w:tcPr>
          <w:p>
            <w:pPr>
              <w:pStyle w:val="TableText"/>
              <w:ind w:left="343"/>
              <w:spacing w:before="65" w:line="195" w:lineRule="auto"/>
              <w:rPr/>
            </w:pPr>
            <w:r>
              <w:rPr/>
              <w:t>31</w:t>
            </w:r>
          </w:p>
        </w:tc>
        <w:tc>
          <w:tcPr>
            <w:tcW w:w="885" w:type="dxa"/>
            <w:vAlign w:val="top"/>
          </w:tcPr>
          <w:p>
            <w:pPr>
              <w:pStyle w:val="TableText"/>
              <w:ind w:left="341"/>
              <w:spacing w:before="65" w:line="195" w:lineRule="auto"/>
              <w:rPr/>
            </w:pPr>
            <w:r>
              <w:rPr/>
              <w:t>39</w:t>
            </w:r>
          </w:p>
        </w:tc>
        <w:tc>
          <w:tcPr>
            <w:tcW w:w="887" w:type="dxa"/>
            <w:vAlign w:val="top"/>
          </w:tcPr>
          <w:p>
            <w:pPr>
              <w:pStyle w:val="TableText"/>
              <w:ind w:left="344"/>
              <w:spacing w:before="65" w:line="195" w:lineRule="auto"/>
              <w:rPr/>
            </w:pPr>
            <w:r>
              <w:rPr/>
              <w:t>32</w:t>
            </w:r>
          </w:p>
        </w:tc>
        <w:tc>
          <w:tcPr>
            <w:tcW w:w="885" w:type="dxa"/>
            <w:vAlign w:val="top"/>
          </w:tcPr>
          <w:p>
            <w:pPr>
              <w:pStyle w:val="TableText"/>
              <w:ind w:left="345"/>
              <w:spacing w:before="65" w:line="195" w:lineRule="auto"/>
              <w:rPr/>
            </w:pPr>
            <w:r>
              <w:rPr/>
              <w:t>32</w:t>
            </w:r>
          </w:p>
        </w:tc>
        <w:tc>
          <w:tcPr>
            <w:tcW w:w="888" w:type="dxa"/>
            <w:vAlign w:val="top"/>
          </w:tcPr>
          <w:p>
            <w:pPr>
              <w:pStyle w:val="TableText"/>
              <w:ind w:left="339"/>
              <w:spacing w:before="65" w:line="195" w:lineRule="auto"/>
              <w:rPr/>
            </w:pPr>
            <w:r>
              <w:rPr>
                <w:spacing w:val="4"/>
              </w:rPr>
              <w:t>29</w:t>
            </w:r>
          </w:p>
        </w:tc>
        <w:tc>
          <w:tcPr>
            <w:tcW w:w="888" w:type="dxa"/>
            <w:vAlign w:val="top"/>
          </w:tcPr>
          <w:p>
            <w:pPr>
              <w:pStyle w:val="TableText"/>
              <w:ind w:left="344"/>
              <w:spacing w:before="65" w:line="195" w:lineRule="auto"/>
              <w:rPr/>
            </w:pPr>
            <w:r>
              <w:rPr>
                <w:spacing w:val="1"/>
              </w:rPr>
              <w:t>35</w:t>
            </w:r>
          </w:p>
        </w:tc>
        <w:tc>
          <w:tcPr>
            <w:tcW w:w="825" w:type="dxa"/>
            <w:vAlign w:val="top"/>
          </w:tcPr>
          <w:p>
            <w:pPr>
              <w:pStyle w:val="TableText"/>
              <w:ind w:left="276"/>
              <w:spacing w:before="65" w:line="195" w:lineRule="auto"/>
              <w:rPr/>
            </w:pPr>
            <w:r>
              <w:rPr>
                <w:spacing w:val="-3"/>
              </w:rPr>
              <w:t>100</w:t>
            </w:r>
          </w:p>
        </w:tc>
        <w:tc>
          <w:tcPr>
            <w:tcW w:w="806" w:type="dxa"/>
            <w:vAlign w:val="top"/>
          </w:tcPr>
          <w:p>
            <w:pPr>
              <w:ind w:left="197"/>
              <w:spacing w:before="29" w:line="217"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084" w:type="dxa"/>
            <w:vAlign w:val="top"/>
          </w:tcPr>
          <w:p>
            <w:pPr>
              <w:ind w:left="442"/>
              <w:spacing w:before="32" w:line="217" w:lineRule="auto"/>
              <w:rPr>
                <w:rFonts w:ascii="SimSun" w:hAnsi="SimSun" w:eastAsia="SimSun" w:cs="SimSun"/>
                <w:sz w:val="20"/>
                <w:szCs w:val="20"/>
              </w:rPr>
            </w:pPr>
            <w:r>
              <w:rPr>
                <w:rFonts w:ascii="SimSun" w:hAnsi="SimSun" w:eastAsia="SimSun" w:cs="SimSun"/>
                <w:sz w:val="20"/>
                <w:szCs w:val="20"/>
              </w:rPr>
              <w:t>铅</w:t>
            </w:r>
          </w:p>
        </w:tc>
        <w:tc>
          <w:tcPr>
            <w:tcW w:w="885" w:type="dxa"/>
            <w:vAlign w:val="top"/>
          </w:tcPr>
          <w:p>
            <w:pPr>
              <w:pStyle w:val="TableText"/>
              <w:ind w:left="336"/>
              <w:spacing w:before="68" w:line="195" w:lineRule="auto"/>
              <w:rPr/>
            </w:pPr>
            <w:r>
              <w:rPr>
                <w:spacing w:val="2"/>
              </w:rPr>
              <w:t>25</w:t>
            </w:r>
          </w:p>
        </w:tc>
        <w:tc>
          <w:tcPr>
            <w:tcW w:w="887" w:type="dxa"/>
            <w:vAlign w:val="top"/>
          </w:tcPr>
          <w:p>
            <w:pPr>
              <w:pStyle w:val="TableText"/>
              <w:ind w:left="339"/>
              <w:spacing w:before="68" w:line="195" w:lineRule="auto"/>
              <w:rPr/>
            </w:pPr>
            <w:r>
              <w:rPr>
                <w:spacing w:val="2"/>
              </w:rPr>
              <w:t>21</w:t>
            </w:r>
          </w:p>
        </w:tc>
        <w:tc>
          <w:tcPr>
            <w:tcW w:w="885" w:type="dxa"/>
            <w:vAlign w:val="top"/>
          </w:tcPr>
          <w:p>
            <w:pPr>
              <w:pStyle w:val="TableText"/>
              <w:ind w:left="337"/>
              <w:spacing w:before="68" w:line="195" w:lineRule="auto"/>
              <w:rPr/>
            </w:pPr>
            <w:r>
              <w:rPr>
                <w:spacing w:val="2"/>
              </w:rPr>
              <w:t>24</w:t>
            </w:r>
          </w:p>
        </w:tc>
        <w:tc>
          <w:tcPr>
            <w:tcW w:w="887" w:type="dxa"/>
            <w:vAlign w:val="top"/>
          </w:tcPr>
          <w:p>
            <w:pPr>
              <w:pStyle w:val="TableText"/>
              <w:ind w:left="340"/>
              <w:spacing w:before="68" w:line="195" w:lineRule="auto"/>
              <w:rPr/>
            </w:pPr>
            <w:r>
              <w:rPr>
                <w:spacing w:val="2"/>
              </w:rPr>
              <w:t>28</w:t>
            </w:r>
          </w:p>
        </w:tc>
        <w:tc>
          <w:tcPr>
            <w:tcW w:w="885" w:type="dxa"/>
            <w:vAlign w:val="top"/>
          </w:tcPr>
          <w:p>
            <w:pPr>
              <w:pStyle w:val="TableText"/>
              <w:ind w:left="341"/>
              <w:spacing w:before="68" w:line="195" w:lineRule="auto"/>
              <w:rPr/>
            </w:pPr>
            <w:r>
              <w:rPr>
                <w:spacing w:val="2"/>
              </w:rPr>
              <w:t>22</w:t>
            </w:r>
          </w:p>
        </w:tc>
        <w:tc>
          <w:tcPr>
            <w:tcW w:w="888" w:type="dxa"/>
            <w:vAlign w:val="top"/>
          </w:tcPr>
          <w:p>
            <w:pPr>
              <w:pStyle w:val="TableText"/>
              <w:ind w:left="339"/>
              <w:spacing w:before="68" w:line="195" w:lineRule="auto"/>
              <w:rPr/>
            </w:pPr>
            <w:r>
              <w:rPr>
                <w:spacing w:val="4"/>
              </w:rPr>
              <w:t>21</w:t>
            </w:r>
          </w:p>
        </w:tc>
        <w:tc>
          <w:tcPr>
            <w:tcW w:w="888" w:type="dxa"/>
            <w:vAlign w:val="top"/>
          </w:tcPr>
          <w:p>
            <w:pPr>
              <w:pStyle w:val="TableText"/>
              <w:ind w:left="339"/>
              <w:spacing w:before="68" w:line="195" w:lineRule="auto"/>
              <w:rPr/>
            </w:pPr>
            <w:r>
              <w:rPr>
                <w:spacing w:val="4"/>
              </w:rPr>
              <w:t>24</w:t>
            </w:r>
          </w:p>
        </w:tc>
        <w:tc>
          <w:tcPr>
            <w:tcW w:w="825" w:type="dxa"/>
            <w:vAlign w:val="top"/>
          </w:tcPr>
          <w:p>
            <w:pPr>
              <w:pStyle w:val="TableText"/>
              <w:ind w:left="276"/>
              <w:spacing w:before="68" w:line="195" w:lineRule="auto"/>
              <w:rPr/>
            </w:pPr>
            <w:r>
              <w:rPr>
                <w:spacing w:val="-3"/>
              </w:rPr>
              <w:t>170</w:t>
            </w:r>
          </w:p>
        </w:tc>
        <w:tc>
          <w:tcPr>
            <w:tcW w:w="806" w:type="dxa"/>
            <w:vAlign w:val="top"/>
          </w:tcPr>
          <w:p>
            <w:pPr>
              <w:ind w:left="197"/>
              <w:spacing w:before="32" w:line="217" w:lineRule="auto"/>
              <w:rPr>
                <w:rFonts w:ascii="SimSun" w:hAnsi="SimSun" w:eastAsia="SimSun" w:cs="SimSun"/>
                <w:sz w:val="20"/>
                <w:szCs w:val="20"/>
              </w:rPr>
            </w:pPr>
            <w:r>
              <w:rPr>
                <w:rFonts w:ascii="SimSun" w:hAnsi="SimSun" w:eastAsia="SimSun" w:cs="SimSun"/>
                <w:sz w:val="20"/>
                <w:szCs w:val="20"/>
                <w:spacing w:val="5"/>
              </w:rPr>
              <w:t>达标</w:t>
            </w:r>
          </w:p>
        </w:tc>
      </w:tr>
      <w:tr>
        <w:trPr>
          <w:trHeight w:val="276" w:hRule="atLeast"/>
        </w:trPr>
        <w:tc>
          <w:tcPr>
            <w:tcW w:w="1084" w:type="dxa"/>
            <w:vAlign w:val="top"/>
          </w:tcPr>
          <w:p>
            <w:pPr>
              <w:ind w:left="441"/>
              <w:spacing w:before="33" w:line="215" w:lineRule="auto"/>
              <w:rPr>
                <w:rFonts w:ascii="SimSun" w:hAnsi="SimSun" w:eastAsia="SimSun" w:cs="SimSun"/>
                <w:sz w:val="20"/>
                <w:szCs w:val="20"/>
              </w:rPr>
            </w:pPr>
            <w:r>
              <w:rPr>
                <w:rFonts w:ascii="SimSun" w:hAnsi="SimSun" w:eastAsia="SimSun" w:cs="SimSun"/>
                <w:sz w:val="20"/>
                <w:szCs w:val="20"/>
                <w:spacing w:val="1"/>
              </w:rPr>
              <w:t>镍</w:t>
            </w:r>
          </w:p>
        </w:tc>
        <w:tc>
          <w:tcPr>
            <w:tcW w:w="885" w:type="dxa"/>
            <w:vAlign w:val="top"/>
          </w:tcPr>
          <w:p>
            <w:pPr>
              <w:pStyle w:val="TableText"/>
              <w:ind w:left="336"/>
              <w:spacing w:before="68" w:line="195" w:lineRule="auto"/>
              <w:rPr/>
            </w:pPr>
            <w:r>
              <w:rPr>
                <w:spacing w:val="2"/>
              </w:rPr>
              <w:t>23</w:t>
            </w:r>
          </w:p>
        </w:tc>
        <w:tc>
          <w:tcPr>
            <w:tcW w:w="887" w:type="dxa"/>
            <w:vAlign w:val="top"/>
          </w:tcPr>
          <w:p>
            <w:pPr>
              <w:pStyle w:val="TableText"/>
              <w:ind w:left="339"/>
              <w:spacing w:before="68" w:line="195" w:lineRule="auto"/>
              <w:rPr/>
            </w:pPr>
            <w:r>
              <w:rPr>
                <w:spacing w:val="2"/>
              </w:rPr>
              <w:t>27</w:t>
            </w:r>
          </w:p>
        </w:tc>
        <w:tc>
          <w:tcPr>
            <w:tcW w:w="885" w:type="dxa"/>
            <w:vAlign w:val="top"/>
          </w:tcPr>
          <w:p>
            <w:pPr>
              <w:pStyle w:val="TableText"/>
              <w:ind w:left="337"/>
              <w:spacing w:before="68" w:line="195" w:lineRule="auto"/>
              <w:rPr/>
            </w:pPr>
            <w:r>
              <w:rPr>
                <w:spacing w:val="2"/>
              </w:rPr>
              <w:t>26</w:t>
            </w:r>
          </w:p>
        </w:tc>
        <w:tc>
          <w:tcPr>
            <w:tcW w:w="887" w:type="dxa"/>
            <w:vAlign w:val="top"/>
          </w:tcPr>
          <w:p>
            <w:pPr>
              <w:pStyle w:val="TableText"/>
              <w:ind w:left="344"/>
              <w:spacing w:before="68" w:line="195" w:lineRule="auto"/>
              <w:rPr/>
            </w:pPr>
            <w:r>
              <w:rPr/>
              <w:t>31</w:t>
            </w:r>
          </w:p>
        </w:tc>
        <w:tc>
          <w:tcPr>
            <w:tcW w:w="885" w:type="dxa"/>
            <w:vAlign w:val="top"/>
          </w:tcPr>
          <w:p>
            <w:pPr>
              <w:pStyle w:val="TableText"/>
              <w:ind w:left="341"/>
              <w:spacing w:before="68" w:line="195" w:lineRule="auto"/>
              <w:rPr/>
            </w:pPr>
            <w:r>
              <w:rPr>
                <w:spacing w:val="2"/>
              </w:rPr>
              <w:t>29</w:t>
            </w:r>
          </w:p>
        </w:tc>
        <w:tc>
          <w:tcPr>
            <w:tcW w:w="888" w:type="dxa"/>
            <w:vAlign w:val="top"/>
          </w:tcPr>
          <w:p>
            <w:pPr>
              <w:pStyle w:val="TableText"/>
              <w:ind w:left="344"/>
              <w:spacing w:before="68" w:line="195" w:lineRule="auto"/>
              <w:rPr/>
            </w:pPr>
            <w:r>
              <w:rPr>
                <w:spacing w:val="1"/>
              </w:rPr>
              <w:t>31</w:t>
            </w:r>
          </w:p>
        </w:tc>
        <w:tc>
          <w:tcPr>
            <w:tcW w:w="888" w:type="dxa"/>
            <w:vAlign w:val="top"/>
          </w:tcPr>
          <w:p>
            <w:pPr>
              <w:pStyle w:val="TableText"/>
              <w:ind w:left="339"/>
              <w:spacing w:before="68" w:line="195" w:lineRule="auto"/>
              <w:rPr/>
            </w:pPr>
            <w:r>
              <w:rPr>
                <w:spacing w:val="4"/>
              </w:rPr>
              <w:t>27</w:t>
            </w:r>
          </w:p>
        </w:tc>
        <w:tc>
          <w:tcPr>
            <w:tcW w:w="825" w:type="dxa"/>
            <w:vAlign w:val="top"/>
          </w:tcPr>
          <w:p>
            <w:pPr>
              <w:pStyle w:val="TableText"/>
              <w:ind w:left="276"/>
              <w:spacing w:before="68" w:line="195" w:lineRule="auto"/>
              <w:rPr/>
            </w:pPr>
            <w:r>
              <w:rPr>
                <w:spacing w:val="-3"/>
              </w:rPr>
              <w:t>190</w:t>
            </w:r>
          </w:p>
        </w:tc>
        <w:tc>
          <w:tcPr>
            <w:tcW w:w="806" w:type="dxa"/>
            <w:vAlign w:val="top"/>
          </w:tcPr>
          <w:p>
            <w:pPr>
              <w:ind w:left="197"/>
              <w:spacing w:before="33" w:line="215"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084" w:type="dxa"/>
            <w:vAlign w:val="top"/>
          </w:tcPr>
          <w:p>
            <w:pPr>
              <w:ind w:left="342"/>
              <w:spacing w:before="32" w:line="217" w:lineRule="auto"/>
              <w:rPr>
                <w:rFonts w:ascii="SimSun" w:hAnsi="SimSun" w:eastAsia="SimSun" w:cs="SimSun"/>
                <w:sz w:val="20"/>
                <w:szCs w:val="20"/>
              </w:rPr>
            </w:pPr>
            <w:r>
              <w:rPr>
                <w:rFonts w:ascii="SimSun" w:hAnsi="SimSun" w:eastAsia="SimSun" w:cs="SimSun"/>
                <w:sz w:val="20"/>
                <w:szCs w:val="20"/>
                <w:spacing w:val="2"/>
              </w:rPr>
              <w:t>总汞</w:t>
            </w:r>
          </w:p>
        </w:tc>
        <w:tc>
          <w:tcPr>
            <w:tcW w:w="885" w:type="dxa"/>
            <w:vAlign w:val="top"/>
          </w:tcPr>
          <w:p>
            <w:pPr>
              <w:pStyle w:val="TableText"/>
              <w:ind w:left="156"/>
              <w:spacing w:before="68" w:line="195" w:lineRule="auto"/>
              <w:rPr/>
            </w:pPr>
            <w:r>
              <w:rPr>
                <w:spacing w:val="3"/>
              </w:rPr>
              <w:t>0.0482</w:t>
            </w:r>
          </w:p>
        </w:tc>
        <w:tc>
          <w:tcPr>
            <w:tcW w:w="887" w:type="dxa"/>
            <w:vAlign w:val="top"/>
          </w:tcPr>
          <w:p>
            <w:pPr>
              <w:pStyle w:val="TableText"/>
              <w:ind w:left="155"/>
              <w:spacing w:before="68" w:line="195" w:lineRule="auto"/>
              <w:rPr/>
            </w:pPr>
            <w:r>
              <w:rPr>
                <w:spacing w:val="3"/>
              </w:rPr>
              <w:t>0.0481</w:t>
            </w:r>
          </w:p>
        </w:tc>
        <w:tc>
          <w:tcPr>
            <w:tcW w:w="885" w:type="dxa"/>
            <w:vAlign w:val="top"/>
          </w:tcPr>
          <w:p>
            <w:pPr>
              <w:pStyle w:val="TableText"/>
              <w:ind w:left="156"/>
              <w:spacing w:before="68" w:line="195" w:lineRule="auto"/>
              <w:rPr/>
            </w:pPr>
            <w:r>
              <w:rPr>
                <w:spacing w:val="3"/>
              </w:rPr>
              <w:t>0.0496</w:t>
            </w:r>
          </w:p>
        </w:tc>
        <w:tc>
          <w:tcPr>
            <w:tcW w:w="887" w:type="dxa"/>
            <w:vAlign w:val="top"/>
          </w:tcPr>
          <w:p>
            <w:pPr>
              <w:pStyle w:val="TableText"/>
              <w:ind w:left="159"/>
              <w:spacing w:before="68" w:line="195" w:lineRule="auto"/>
              <w:rPr/>
            </w:pPr>
            <w:r>
              <w:rPr>
                <w:spacing w:val="3"/>
              </w:rPr>
              <w:t>0.0450</w:t>
            </w:r>
          </w:p>
        </w:tc>
        <w:tc>
          <w:tcPr>
            <w:tcW w:w="885" w:type="dxa"/>
            <w:vAlign w:val="top"/>
          </w:tcPr>
          <w:p>
            <w:pPr>
              <w:pStyle w:val="TableText"/>
              <w:ind w:left="160"/>
              <w:spacing w:before="68" w:line="195" w:lineRule="auto"/>
              <w:rPr/>
            </w:pPr>
            <w:r>
              <w:rPr>
                <w:spacing w:val="3"/>
              </w:rPr>
              <w:t>0.0447</w:t>
            </w:r>
          </w:p>
        </w:tc>
        <w:tc>
          <w:tcPr>
            <w:tcW w:w="888" w:type="dxa"/>
            <w:vAlign w:val="top"/>
          </w:tcPr>
          <w:p>
            <w:pPr>
              <w:pStyle w:val="TableText"/>
              <w:ind w:left="163"/>
              <w:spacing w:before="68" w:line="195" w:lineRule="auto"/>
              <w:rPr/>
            </w:pPr>
            <w:r>
              <w:rPr>
                <w:spacing w:val="3"/>
              </w:rPr>
              <w:t>0.0446</w:t>
            </w:r>
          </w:p>
        </w:tc>
        <w:tc>
          <w:tcPr>
            <w:tcW w:w="888" w:type="dxa"/>
            <w:vAlign w:val="top"/>
          </w:tcPr>
          <w:p>
            <w:pPr>
              <w:pStyle w:val="TableText"/>
              <w:ind w:left="163"/>
              <w:spacing w:before="68" w:line="195" w:lineRule="auto"/>
              <w:rPr/>
            </w:pPr>
            <w:r>
              <w:rPr>
                <w:spacing w:val="3"/>
              </w:rPr>
              <w:t>0.0577</w:t>
            </w:r>
          </w:p>
        </w:tc>
        <w:tc>
          <w:tcPr>
            <w:tcW w:w="825" w:type="dxa"/>
            <w:vAlign w:val="top"/>
          </w:tcPr>
          <w:p>
            <w:pPr>
              <w:pStyle w:val="TableText"/>
              <w:ind w:left="288"/>
              <w:spacing w:before="68" w:line="195" w:lineRule="auto"/>
              <w:rPr/>
            </w:pPr>
            <w:r>
              <w:rPr>
                <w:spacing w:val="1"/>
              </w:rPr>
              <w:t>3.4</w:t>
            </w:r>
          </w:p>
        </w:tc>
        <w:tc>
          <w:tcPr>
            <w:tcW w:w="806" w:type="dxa"/>
            <w:vAlign w:val="top"/>
          </w:tcPr>
          <w:p>
            <w:pPr>
              <w:ind w:left="197"/>
              <w:spacing w:before="32" w:line="217"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084" w:type="dxa"/>
            <w:vAlign w:val="top"/>
          </w:tcPr>
          <w:p>
            <w:pPr>
              <w:ind w:left="441"/>
              <w:spacing w:before="32" w:line="217" w:lineRule="auto"/>
              <w:rPr>
                <w:rFonts w:ascii="SimSun" w:hAnsi="SimSun" w:eastAsia="SimSun" w:cs="SimSun"/>
                <w:sz w:val="20"/>
                <w:szCs w:val="20"/>
              </w:rPr>
            </w:pPr>
            <w:r>
              <w:rPr>
                <w:rFonts w:ascii="SimSun" w:hAnsi="SimSun" w:eastAsia="SimSun" w:cs="SimSun"/>
                <w:sz w:val="20"/>
                <w:szCs w:val="20"/>
                <w:spacing w:val="1"/>
              </w:rPr>
              <w:t>锌</w:t>
            </w:r>
          </w:p>
        </w:tc>
        <w:tc>
          <w:tcPr>
            <w:tcW w:w="885" w:type="dxa"/>
            <w:vAlign w:val="top"/>
          </w:tcPr>
          <w:p>
            <w:pPr>
              <w:pStyle w:val="TableText"/>
              <w:ind w:left="340"/>
              <w:spacing w:before="68" w:line="195" w:lineRule="auto"/>
              <w:rPr/>
            </w:pPr>
            <w:r>
              <w:rPr/>
              <w:t>30</w:t>
            </w:r>
          </w:p>
        </w:tc>
        <w:tc>
          <w:tcPr>
            <w:tcW w:w="887" w:type="dxa"/>
            <w:vAlign w:val="top"/>
          </w:tcPr>
          <w:p>
            <w:pPr>
              <w:pStyle w:val="TableText"/>
              <w:ind w:left="343"/>
              <w:spacing w:before="68" w:line="195" w:lineRule="auto"/>
              <w:rPr/>
            </w:pPr>
            <w:r>
              <w:rPr/>
              <w:t>31</w:t>
            </w:r>
          </w:p>
        </w:tc>
        <w:tc>
          <w:tcPr>
            <w:tcW w:w="885" w:type="dxa"/>
            <w:vAlign w:val="top"/>
          </w:tcPr>
          <w:p>
            <w:pPr>
              <w:pStyle w:val="TableText"/>
              <w:ind w:left="341"/>
              <w:spacing w:before="68" w:line="195" w:lineRule="auto"/>
              <w:rPr/>
            </w:pPr>
            <w:r>
              <w:rPr/>
              <w:t>30</w:t>
            </w:r>
          </w:p>
        </w:tc>
        <w:tc>
          <w:tcPr>
            <w:tcW w:w="887" w:type="dxa"/>
            <w:vAlign w:val="top"/>
          </w:tcPr>
          <w:p>
            <w:pPr>
              <w:pStyle w:val="TableText"/>
              <w:ind w:left="340"/>
              <w:spacing w:before="68" w:line="195" w:lineRule="auto"/>
              <w:rPr/>
            </w:pPr>
            <w:r>
              <w:rPr>
                <w:spacing w:val="2"/>
              </w:rPr>
              <w:t>26</w:t>
            </w:r>
          </w:p>
        </w:tc>
        <w:tc>
          <w:tcPr>
            <w:tcW w:w="885" w:type="dxa"/>
            <w:vAlign w:val="top"/>
          </w:tcPr>
          <w:p>
            <w:pPr>
              <w:pStyle w:val="TableText"/>
              <w:ind w:left="341"/>
              <w:spacing w:before="68" w:line="195" w:lineRule="auto"/>
              <w:rPr/>
            </w:pPr>
            <w:r>
              <w:rPr>
                <w:spacing w:val="2"/>
              </w:rPr>
              <w:t>29</w:t>
            </w:r>
          </w:p>
        </w:tc>
        <w:tc>
          <w:tcPr>
            <w:tcW w:w="888" w:type="dxa"/>
            <w:vAlign w:val="top"/>
          </w:tcPr>
          <w:p>
            <w:pPr>
              <w:pStyle w:val="TableText"/>
              <w:ind w:left="339"/>
              <w:spacing w:before="68" w:line="195" w:lineRule="auto"/>
              <w:rPr/>
            </w:pPr>
            <w:r>
              <w:rPr>
                <w:spacing w:val="4"/>
              </w:rPr>
              <w:t>25</w:t>
            </w:r>
          </w:p>
        </w:tc>
        <w:tc>
          <w:tcPr>
            <w:tcW w:w="888" w:type="dxa"/>
            <w:vAlign w:val="top"/>
          </w:tcPr>
          <w:p>
            <w:pPr>
              <w:pStyle w:val="TableText"/>
              <w:ind w:left="339"/>
              <w:spacing w:before="68" w:line="195" w:lineRule="auto"/>
              <w:rPr/>
            </w:pPr>
            <w:r>
              <w:rPr>
                <w:spacing w:val="4"/>
              </w:rPr>
              <w:t>28</w:t>
            </w:r>
          </w:p>
        </w:tc>
        <w:tc>
          <w:tcPr>
            <w:tcW w:w="825" w:type="dxa"/>
            <w:vAlign w:val="top"/>
          </w:tcPr>
          <w:p>
            <w:pPr>
              <w:pStyle w:val="TableText"/>
              <w:ind w:left="260"/>
              <w:spacing w:before="68" w:line="195" w:lineRule="auto"/>
              <w:rPr/>
            </w:pPr>
            <w:r>
              <w:rPr>
                <w:spacing w:val="3"/>
              </w:rPr>
              <w:t>300</w:t>
            </w:r>
          </w:p>
        </w:tc>
        <w:tc>
          <w:tcPr>
            <w:tcW w:w="806" w:type="dxa"/>
            <w:vAlign w:val="top"/>
          </w:tcPr>
          <w:p>
            <w:pPr>
              <w:ind w:left="197"/>
              <w:spacing w:before="32" w:line="217" w:lineRule="auto"/>
              <w:rPr>
                <w:rFonts w:ascii="SimSun" w:hAnsi="SimSun" w:eastAsia="SimSun" w:cs="SimSun"/>
                <w:sz w:val="20"/>
                <w:szCs w:val="20"/>
              </w:rPr>
            </w:pPr>
            <w:r>
              <w:rPr>
                <w:rFonts w:ascii="SimSun" w:hAnsi="SimSun" w:eastAsia="SimSun" w:cs="SimSun"/>
                <w:sz w:val="20"/>
                <w:szCs w:val="20"/>
                <w:spacing w:val="5"/>
              </w:rPr>
              <w:t>达标</w:t>
            </w:r>
          </w:p>
        </w:tc>
      </w:tr>
      <w:tr>
        <w:trPr>
          <w:trHeight w:val="275" w:hRule="atLeast"/>
        </w:trPr>
        <w:tc>
          <w:tcPr>
            <w:tcW w:w="1084" w:type="dxa"/>
            <w:vAlign w:val="top"/>
          </w:tcPr>
          <w:p>
            <w:pPr>
              <w:ind w:left="441"/>
              <w:spacing w:before="33" w:line="214" w:lineRule="auto"/>
              <w:rPr>
                <w:rFonts w:ascii="SimSun" w:hAnsi="SimSun" w:eastAsia="SimSun" w:cs="SimSun"/>
                <w:sz w:val="20"/>
                <w:szCs w:val="20"/>
              </w:rPr>
            </w:pPr>
            <w:r>
              <w:rPr>
                <w:rFonts w:ascii="SimSun" w:hAnsi="SimSun" w:eastAsia="SimSun" w:cs="SimSun"/>
                <w:sz w:val="20"/>
                <w:szCs w:val="20"/>
                <w:spacing w:val="1"/>
              </w:rPr>
              <w:t>铬</w:t>
            </w:r>
          </w:p>
        </w:tc>
        <w:tc>
          <w:tcPr>
            <w:tcW w:w="885" w:type="dxa"/>
            <w:vAlign w:val="top"/>
          </w:tcPr>
          <w:p>
            <w:pPr>
              <w:pStyle w:val="TableText"/>
              <w:ind w:left="336"/>
              <w:spacing w:before="68" w:line="195" w:lineRule="auto"/>
              <w:rPr/>
            </w:pPr>
            <w:r>
              <w:rPr>
                <w:spacing w:val="2"/>
              </w:rPr>
              <w:t>26</w:t>
            </w:r>
          </w:p>
        </w:tc>
        <w:tc>
          <w:tcPr>
            <w:tcW w:w="887" w:type="dxa"/>
            <w:vAlign w:val="top"/>
          </w:tcPr>
          <w:p>
            <w:pPr>
              <w:pStyle w:val="TableText"/>
              <w:ind w:left="339"/>
              <w:spacing w:before="69" w:line="195" w:lineRule="auto"/>
              <w:rPr/>
            </w:pPr>
            <w:r>
              <w:rPr>
                <w:spacing w:val="2"/>
              </w:rPr>
              <w:t>24</w:t>
            </w:r>
          </w:p>
        </w:tc>
        <w:tc>
          <w:tcPr>
            <w:tcW w:w="885" w:type="dxa"/>
            <w:vAlign w:val="top"/>
          </w:tcPr>
          <w:p>
            <w:pPr>
              <w:pStyle w:val="TableText"/>
              <w:ind w:left="337"/>
              <w:spacing w:before="68" w:line="195" w:lineRule="auto"/>
              <w:rPr/>
            </w:pPr>
            <w:r>
              <w:rPr>
                <w:spacing w:val="2"/>
              </w:rPr>
              <w:t>23</w:t>
            </w:r>
          </w:p>
        </w:tc>
        <w:tc>
          <w:tcPr>
            <w:tcW w:w="887" w:type="dxa"/>
            <w:vAlign w:val="top"/>
          </w:tcPr>
          <w:p>
            <w:pPr>
              <w:pStyle w:val="TableText"/>
              <w:ind w:left="340"/>
              <w:spacing w:before="68" w:line="195" w:lineRule="auto"/>
              <w:rPr/>
            </w:pPr>
            <w:r>
              <w:rPr>
                <w:spacing w:val="2"/>
              </w:rPr>
              <w:t>28</w:t>
            </w:r>
          </w:p>
        </w:tc>
        <w:tc>
          <w:tcPr>
            <w:tcW w:w="885" w:type="dxa"/>
            <w:vAlign w:val="top"/>
          </w:tcPr>
          <w:p>
            <w:pPr>
              <w:pStyle w:val="TableText"/>
              <w:ind w:left="345"/>
              <w:spacing w:before="68" w:line="195" w:lineRule="auto"/>
              <w:rPr/>
            </w:pPr>
            <w:r>
              <w:rPr/>
              <w:t>34</w:t>
            </w:r>
          </w:p>
        </w:tc>
        <w:tc>
          <w:tcPr>
            <w:tcW w:w="888" w:type="dxa"/>
            <w:vAlign w:val="top"/>
          </w:tcPr>
          <w:p>
            <w:pPr>
              <w:pStyle w:val="TableText"/>
              <w:ind w:left="339"/>
              <w:spacing w:before="68" w:line="195" w:lineRule="auto"/>
              <w:rPr/>
            </w:pPr>
            <w:r>
              <w:rPr>
                <w:spacing w:val="4"/>
              </w:rPr>
              <w:t>20</w:t>
            </w:r>
          </w:p>
        </w:tc>
        <w:tc>
          <w:tcPr>
            <w:tcW w:w="888" w:type="dxa"/>
            <w:vAlign w:val="top"/>
          </w:tcPr>
          <w:p>
            <w:pPr>
              <w:pStyle w:val="TableText"/>
              <w:ind w:left="339"/>
              <w:spacing w:before="68" w:line="195" w:lineRule="auto"/>
              <w:rPr/>
            </w:pPr>
            <w:r>
              <w:rPr>
                <w:spacing w:val="4"/>
              </w:rPr>
              <w:t>23</w:t>
            </w:r>
          </w:p>
        </w:tc>
        <w:tc>
          <w:tcPr>
            <w:tcW w:w="825" w:type="dxa"/>
            <w:vAlign w:val="top"/>
          </w:tcPr>
          <w:p>
            <w:pPr>
              <w:pStyle w:val="TableText"/>
              <w:ind w:left="255"/>
              <w:spacing w:before="68" w:line="195" w:lineRule="auto"/>
              <w:rPr/>
            </w:pPr>
            <w:r>
              <w:rPr>
                <w:spacing w:val="4"/>
              </w:rPr>
              <w:t>250</w:t>
            </w:r>
          </w:p>
        </w:tc>
        <w:tc>
          <w:tcPr>
            <w:tcW w:w="806" w:type="dxa"/>
            <w:vAlign w:val="top"/>
          </w:tcPr>
          <w:p>
            <w:pPr>
              <w:ind w:left="197"/>
              <w:spacing w:before="33" w:line="214"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084" w:type="dxa"/>
            <w:vAlign w:val="top"/>
          </w:tcPr>
          <w:p>
            <w:pPr>
              <w:ind w:left="230"/>
              <w:spacing w:before="33" w:line="216" w:lineRule="auto"/>
              <w:rPr>
                <w:rFonts w:ascii="SimSun" w:hAnsi="SimSun" w:eastAsia="SimSun" w:cs="SimSun"/>
                <w:sz w:val="20"/>
                <w:szCs w:val="20"/>
              </w:rPr>
            </w:pPr>
            <w:r>
              <w:rPr>
                <w:rFonts w:ascii="SimSun" w:hAnsi="SimSun" w:eastAsia="SimSun" w:cs="SimSun"/>
                <w:sz w:val="20"/>
                <w:szCs w:val="20"/>
                <w:spacing w:val="6"/>
              </w:rPr>
              <w:t>六价铬</w:t>
            </w:r>
          </w:p>
        </w:tc>
        <w:tc>
          <w:tcPr>
            <w:tcW w:w="885" w:type="dxa"/>
            <w:vAlign w:val="top"/>
          </w:tcPr>
          <w:p>
            <w:pPr>
              <w:pStyle w:val="TableText"/>
              <w:ind w:left="248"/>
              <w:spacing w:before="69" w:line="195" w:lineRule="auto"/>
              <w:rPr/>
            </w:pPr>
            <w:r>
              <w:rPr>
                <w:spacing w:val="3"/>
              </w:rPr>
              <w:t>0.5L</w:t>
            </w:r>
          </w:p>
        </w:tc>
        <w:tc>
          <w:tcPr>
            <w:tcW w:w="887" w:type="dxa"/>
            <w:vAlign w:val="top"/>
          </w:tcPr>
          <w:p>
            <w:pPr>
              <w:pStyle w:val="TableText"/>
              <w:ind w:left="251"/>
              <w:spacing w:before="69" w:line="195" w:lineRule="auto"/>
              <w:rPr/>
            </w:pPr>
            <w:r>
              <w:rPr>
                <w:spacing w:val="2"/>
              </w:rPr>
              <w:t>0.5L</w:t>
            </w:r>
          </w:p>
        </w:tc>
        <w:tc>
          <w:tcPr>
            <w:tcW w:w="885" w:type="dxa"/>
            <w:vAlign w:val="top"/>
          </w:tcPr>
          <w:p>
            <w:pPr>
              <w:pStyle w:val="TableText"/>
              <w:ind w:left="252"/>
              <w:spacing w:before="69" w:line="195" w:lineRule="auto"/>
              <w:rPr/>
            </w:pPr>
            <w:r>
              <w:rPr>
                <w:spacing w:val="2"/>
              </w:rPr>
              <w:t>0.5L</w:t>
            </w:r>
          </w:p>
        </w:tc>
        <w:tc>
          <w:tcPr>
            <w:tcW w:w="887" w:type="dxa"/>
            <w:vAlign w:val="top"/>
          </w:tcPr>
          <w:p>
            <w:pPr>
              <w:pStyle w:val="TableText"/>
              <w:ind w:left="255"/>
              <w:spacing w:before="69" w:line="195" w:lineRule="auto"/>
              <w:rPr/>
            </w:pPr>
            <w:r>
              <w:rPr>
                <w:spacing w:val="2"/>
              </w:rPr>
              <w:t>0.5L</w:t>
            </w:r>
          </w:p>
        </w:tc>
        <w:tc>
          <w:tcPr>
            <w:tcW w:w="885" w:type="dxa"/>
            <w:vAlign w:val="top"/>
          </w:tcPr>
          <w:p>
            <w:pPr>
              <w:pStyle w:val="TableText"/>
              <w:ind w:left="253"/>
              <w:spacing w:before="69" w:line="195" w:lineRule="auto"/>
              <w:rPr/>
            </w:pPr>
            <w:r>
              <w:rPr>
                <w:spacing w:val="2"/>
              </w:rPr>
              <w:t>0.5L</w:t>
            </w:r>
          </w:p>
        </w:tc>
        <w:tc>
          <w:tcPr>
            <w:tcW w:w="888" w:type="dxa"/>
            <w:vAlign w:val="top"/>
          </w:tcPr>
          <w:p>
            <w:pPr>
              <w:pStyle w:val="TableText"/>
              <w:ind w:left="256"/>
              <w:spacing w:before="69" w:line="195" w:lineRule="auto"/>
              <w:rPr/>
            </w:pPr>
            <w:r>
              <w:rPr>
                <w:spacing w:val="2"/>
              </w:rPr>
              <w:t>0.5L</w:t>
            </w:r>
          </w:p>
        </w:tc>
        <w:tc>
          <w:tcPr>
            <w:tcW w:w="888" w:type="dxa"/>
            <w:vAlign w:val="top"/>
          </w:tcPr>
          <w:p>
            <w:pPr>
              <w:pStyle w:val="TableText"/>
              <w:ind w:left="254"/>
              <w:spacing w:before="69" w:line="195" w:lineRule="auto"/>
              <w:rPr/>
            </w:pPr>
            <w:r>
              <w:rPr>
                <w:spacing w:val="2"/>
              </w:rPr>
              <w:t>0.5L</w:t>
            </w:r>
          </w:p>
        </w:tc>
        <w:tc>
          <w:tcPr>
            <w:tcW w:w="825" w:type="dxa"/>
            <w:vAlign w:val="top"/>
          </w:tcPr>
          <w:p>
            <w:pPr>
              <w:pStyle w:val="TableText"/>
              <w:ind w:left="384"/>
              <w:spacing w:before="158" w:line="96" w:lineRule="exact"/>
              <w:rPr/>
            </w:pPr>
            <w:r>
              <w:rPr>
                <w:position w:val="-2"/>
              </w:rPr>
              <w:t>-</w:t>
            </w:r>
          </w:p>
        </w:tc>
        <w:tc>
          <w:tcPr>
            <w:tcW w:w="806" w:type="dxa"/>
            <w:vAlign w:val="top"/>
          </w:tcPr>
          <w:p>
            <w:pPr>
              <w:ind w:left="197"/>
              <w:spacing w:before="33" w:line="216" w:lineRule="auto"/>
              <w:rPr>
                <w:rFonts w:ascii="SimSun" w:hAnsi="SimSun" w:eastAsia="SimSun" w:cs="SimSun"/>
                <w:sz w:val="20"/>
                <w:szCs w:val="20"/>
              </w:rPr>
            </w:pPr>
            <w:r>
              <w:rPr>
                <w:rFonts w:ascii="SimSun" w:hAnsi="SimSun" w:eastAsia="SimSun" w:cs="SimSun"/>
                <w:sz w:val="20"/>
                <w:szCs w:val="20"/>
                <w:spacing w:val="5"/>
              </w:rPr>
              <w:t>达标</w:t>
            </w:r>
          </w:p>
        </w:tc>
      </w:tr>
      <w:tr>
        <w:trPr>
          <w:trHeight w:val="825" w:hRule="atLeast"/>
        </w:trPr>
        <w:tc>
          <w:tcPr>
            <w:tcW w:w="8920" w:type="dxa"/>
            <w:vAlign w:val="top"/>
            <w:gridSpan w:val="10"/>
          </w:tcPr>
          <w:p>
            <w:pPr>
              <w:pStyle w:val="TableText"/>
              <w:ind w:left="129"/>
              <w:spacing w:before="33" w:line="228" w:lineRule="auto"/>
              <w:rPr>
                <w:rFonts w:ascii="SimSun" w:hAnsi="SimSun" w:eastAsia="SimSun" w:cs="SimSun"/>
              </w:rPr>
            </w:pPr>
            <w:r>
              <w:rPr>
                <w:spacing w:val="7"/>
              </w:rPr>
              <w:t>1.</w:t>
            </w:r>
            <w:r>
              <w:rPr>
                <w:rFonts w:ascii="SimSun" w:hAnsi="SimSun" w:eastAsia="SimSun" w:cs="SimSun"/>
                <w:spacing w:val="7"/>
              </w:rPr>
              <w:t>检测结果参照执行《土壤环境质量 农用地土壤污染风险管控标准（试行）》</w:t>
            </w:r>
            <w:r>
              <w:rPr/>
              <w:t>GB</w:t>
            </w:r>
            <w:r>
              <w:rPr>
                <w:spacing w:val="7"/>
              </w:rPr>
              <w:t>15618-</w:t>
            </w:r>
            <w:r>
              <w:rPr>
                <w:spacing w:val="6"/>
              </w:rPr>
              <w:t>2018 </w:t>
            </w:r>
            <w:r>
              <w:rPr>
                <w:rFonts w:ascii="SimSun" w:hAnsi="SimSun" w:eastAsia="SimSun" w:cs="SimSun"/>
                <w:spacing w:val="6"/>
              </w:rPr>
              <w:t>表</w:t>
            </w:r>
          </w:p>
          <w:p>
            <w:pPr>
              <w:pStyle w:val="TableText"/>
              <w:ind w:left="129"/>
              <w:spacing w:before="24" w:line="228" w:lineRule="auto"/>
              <w:rPr>
                <w:rFonts w:ascii="SimSun" w:hAnsi="SimSun" w:eastAsia="SimSun" w:cs="SimSun"/>
              </w:rPr>
            </w:pPr>
            <w:r>
              <w:rPr>
                <w:spacing w:val="6"/>
              </w:rPr>
              <w:t>1 </w:t>
            </w:r>
            <w:r>
              <w:rPr>
                <w:rFonts w:ascii="SimSun" w:hAnsi="SimSun" w:eastAsia="SimSun" w:cs="SimSun"/>
                <w:spacing w:val="6"/>
              </w:rPr>
              <w:t>农用地土壤污染风险筛选值；</w:t>
            </w:r>
          </w:p>
          <w:p>
            <w:pPr>
              <w:pStyle w:val="TableText"/>
              <w:ind w:left="109"/>
              <w:spacing w:before="26" w:line="218" w:lineRule="auto"/>
              <w:rPr>
                <w:rFonts w:ascii="SimSun" w:hAnsi="SimSun" w:eastAsia="SimSun" w:cs="SimSun"/>
              </w:rPr>
            </w:pPr>
            <w:r>
              <w:rPr>
                <w:spacing w:val="7"/>
              </w:rPr>
              <w:t>2.“L”</w:t>
            </w:r>
            <w:r>
              <w:rPr>
                <w:rFonts w:ascii="SimSun" w:hAnsi="SimSun" w:eastAsia="SimSun" w:cs="SimSun"/>
                <w:spacing w:val="7"/>
              </w:rPr>
              <w:t>表示低于方法检出限。</w:t>
            </w:r>
          </w:p>
        </w:tc>
      </w:tr>
    </w:tbl>
    <w:p>
      <w:pPr>
        <w:ind w:left="600"/>
        <w:spacing w:before="146" w:line="217" w:lineRule="auto"/>
        <w:rPr>
          <w:rFonts w:ascii="SimSun" w:hAnsi="SimSun" w:eastAsia="SimSun" w:cs="SimSun"/>
          <w:sz w:val="24"/>
          <w:szCs w:val="24"/>
        </w:rPr>
      </w:pPr>
      <w:r>
        <w:rPr>
          <w:rFonts w:ascii="SimSun" w:hAnsi="SimSun" w:eastAsia="SimSun" w:cs="SimSun"/>
          <w:sz w:val="24"/>
          <w:szCs w:val="24"/>
          <w:spacing w:val="-1"/>
        </w:rPr>
        <w:t>② 污染影响型土壤监测结果</w:t>
      </w:r>
    </w:p>
    <w:p>
      <w:pPr>
        <w:ind w:left="604"/>
        <w:spacing w:before="158" w:line="219" w:lineRule="auto"/>
        <w:rPr>
          <w:rFonts w:ascii="SimSun" w:hAnsi="SimSun" w:eastAsia="SimSun" w:cs="SimSun"/>
          <w:sz w:val="24"/>
          <w:szCs w:val="24"/>
        </w:rPr>
      </w:pPr>
      <w:r>
        <w:rPr>
          <w:rFonts w:ascii="SimSun" w:hAnsi="SimSun" w:eastAsia="SimSun" w:cs="SimSun"/>
          <w:sz w:val="24"/>
          <w:szCs w:val="24"/>
          <w:spacing w:val="-1"/>
        </w:rPr>
        <w:t>污染影响型土壤监测结果具体见表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4-2-41~44</w:t>
      </w:r>
      <w:r>
        <w:rPr>
          <w:rFonts w:ascii="SimSun" w:hAnsi="SimSun" w:eastAsia="SimSun" w:cs="SimSun"/>
          <w:sz w:val="24"/>
          <w:szCs w:val="24"/>
          <w:spacing w:val="-1"/>
        </w:rPr>
        <w:t>。</w:t>
      </w:r>
    </w:p>
    <w:p>
      <w:pPr>
        <w:ind w:left="2982"/>
        <w:spacing w:before="283"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20"/>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4-2-41</w:t>
      </w:r>
    </w:p>
    <w:tbl>
      <w:tblPr>
        <w:tblStyle w:val="TableNormal"/>
        <w:tblW w:w="9290"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78"/>
        <w:gridCol w:w="1454"/>
        <w:gridCol w:w="1595"/>
        <w:gridCol w:w="1453"/>
        <w:gridCol w:w="770"/>
        <w:gridCol w:w="919"/>
        <w:gridCol w:w="921"/>
      </w:tblGrid>
      <w:tr>
        <w:trPr>
          <w:trHeight w:val="282" w:hRule="atLeast"/>
        </w:trPr>
        <w:tc>
          <w:tcPr>
            <w:tcW w:w="2178" w:type="dxa"/>
            <w:vAlign w:val="top"/>
            <w:vMerge w:val="restart"/>
            <w:tcBorders>
              <w:bottom w:val="nil"/>
            </w:tcBorders>
          </w:tcPr>
          <w:p>
            <w:pPr>
              <w:spacing w:line="383" w:lineRule="auto"/>
              <w:rPr>
                <w:rFonts w:ascii="Arial"/>
                <w:sz w:val="21"/>
              </w:rPr>
            </w:pPr>
            <w:r/>
          </w:p>
          <w:p>
            <w:pPr>
              <w:ind w:left="675"/>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502" w:type="dxa"/>
            <w:vAlign w:val="top"/>
            <w:gridSpan w:val="3"/>
          </w:tcPr>
          <w:p>
            <w:pPr>
              <w:ind w:left="1838"/>
              <w:spacing w:before="33" w:line="220" w:lineRule="auto"/>
              <w:rPr>
                <w:rFonts w:ascii="SimSun" w:hAnsi="SimSun" w:eastAsia="SimSun" w:cs="SimSun"/>
                <w:sz w:val="20"/>
                <w:szCs w:val="20"/>
              </w:rPr>
            </w:pPr>
            <w:r>
              <w:rPr>
                <w:rFonts w:ascii="SimSun" w:hAnsi="SimSun" w:eastAsia="SimSun" w:cs="SimSun"/>
                <w:sz w:val="20"/>
                <w:szCs w:val="20"/>
                <w:spacing w:val="6"/>
              </w:rPr>
              <w:t>分析结果</w:t>
            </w:r>
          </w:p>
        </w:tc>
        <w:tc>
          <w:tcPr>
            <w:tcW w:w="770" w:type="dxa"/>
            <w:vAlign w:val="top"/>
            <w:vMerge w:val="restart"/>
            <w:tcBorders>
              <w:bottom w:val="nil"/>
            </w:tcBorders>
          </w:tcPr>
          <w:p>
            <w:pPr>
              <w:spacing w:line="383" w:lineRule="auto"/>
              <w:rPr>
                <w:rFonts w:ascii="Arial"/>
                <w:sz w:val="21"/>
              </w:rPr>
            </w:pPr>
            <w:r/>
          </w:p>
          <w:p>
            <w:pPr>
              <w:ind w:left="196"/>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84"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spacing w:line="248" w:lineRule="auto"/>
              <w:rPr>
                <w:rFonts w:ascii="Arial"/>
                <w:sz w:val="21"/>
              </w:rPr>
            </w:pPr>
            <w:r/>
          </w:p>
          <w:p>
            <w:pPr>
              <w:ind w:left="251" w:right="253" w:firstLine="4"/>
              <w:spacing w:before="65" w:line="254" w:lineRule="auto"/>
              <w:rPr>
                <w:rFonts w:ascii="SimSun" w:hAnsi="SimSun" w:eastAsia="SimSun" w:cs="SimSun"/>
                <w:sz w:val="20"/>
                <w:szCs w:val="20"/>
              </w:rPr>
            </w:pPr>
            <w:r>
              <w:rPr>
                <w:rFonts w:ascii="SimSun" w:hAnsi="SimSun" w:eastAsia="SimSun" w:cs="SimSun"/>
                <w:sz w:val="20"/>
                <w:szCs w:val="20"/>
                <w:spacing w:val="3"/>
              </w:rPr>
              <w:t>是否</w:t>
            </w:r>
            <w:r>
              <w:rPr>
                <w:rFonts w:ascii="SimSun" w:hAnsi="SimSun" w:eastAsia="SimSun" w:cs="SimSun"/>
                <w:sz w:val="20"/>
                <w:szCs w:val="20"/>
                <w:spacing w:val="5"/>
              </w:rPr>
              <w:t>达标</w:t>
            </w:r>
          </w:p>
        </w:tc>
      </w:tr>
      <w:tr>
        <w:trPr>
          <w:trHeight w:val="275" w:hRule="atLeast"/>
        </w:trPr>
        <w:tc>
          <w:tcPr>
            <w:tcW w:w="2178" w:type="dxa"/>
            <w:vAlign w:val="top"/>
            <w:vMerge w:val="continue"/>
            <w:tcBorders>
              <w:top w:val="nil"/>
              <w:bottom w:val="nil"/>
            </w:tcBorders>
          </w:tcPr>
          <w:p>
            <w:pPr>
              <w:rPr>
                <w:rFonts w:ascii="Arial"/>
                <w:sz w:val="21"/>
              </w:rPr>
            </w:pPr>
            <w:r/>
          </w:p>
        </w:tc>
        <w:tc>
          <w:tcPr>
            <w:tcW w:w="4502" w:type="dxa"/>
            <w:vAlign w:val="top"/>
            <w:gridSpan w:val="3"/>
          </w:tcPr>
          <w:p>
            <w:pPr>
              <w:pStyle w:val="TableText"/>
              <w:ind w:left="1060"/>
              <w:spacing w:before="29" w:line="217" w:lineRule="auto"/>
              <w:rPr>
                <w:rFonts w:ascii="SimSun" w:hAnsi="SimSun" w:eastAsia="SimSun" w:cs="SimSun"/>
              </w:rPr>
            </w:pPr>
            <w:r>
              <w:rPr>
                <w:spacing w:val="7"/>
              </w:rPr>
              <w:t>T1</w:t>
            </w:r>
            <w:r>
              <w:rPr>
                <w:spacing w:val="19"/>
                <w:w w:val="101"/>
              </w:rPr>
              <w:t xml:space="preserve"> </w:t>
            </w:r>
            <w:r>
              <w:rPr>
                <w:rFonts w:ascii="SimSun" w:hAnsi="SimSun" w:eastAsia="SimSun" w:cs="SimSun"/>
                <w:spacing w:val="7"/>
              </w:rPr>
              <w:t>露天矿工业场地危废库</w:t>
            </w:r>
          </w:p>
        </w:tc>
        <w:tc>
          <w:tcPr>
            <w:tcW w:w="770"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9" w:hRule="atLeast"/>
        </w:trPr>
        <w:tc>
          <w:tcPr>
            <w:tcW w:w="2178" w:type="dxa"/>
            <w:vAlign w:val="top"/>
            <w:vMerge w:val="continue"/>
            <w:tcBorders>
              <w:top w:val="nil"/>
            </w:tcBorders>
          </w:tcPr>
          <w:p>
            <w:pPr>
              <w:rPr>
                <w:rFonts w:ascii="Arial"/>
                <w:sz w:val="21"/>
              </w:rPr>
            </w:pPr>
            <w:r/>
          </w:p>
        </w:tc>
        <w:tc>
          <w:tcPr>
            <w:tcW w:w="1454" w:type="dxa"/>
            <w:vAlign w:val="top"/>
          </w:tcPr>
          <w:p>
            <w:pPr>
              <w:pStyle w:val="TableText"/>
              <w:ind w:left="230" w:right="234" w:firstLine="185"/>
              <w:spacing w:before="29" w:line="235"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95" w:type="dxa"/>
            <w:vAlign w:val="top"/>
          </w:tcPr>
          <w:p>
            <w:pPr>
              <w:pStyle w:val="TableText"/>
              <w:ind w:left="223" w:right="226" w:firstLine="283"/>
              <w:spacing w:before="29" w:line="235"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453" w:type="dxa"/>
            <w:vAlign w:val="top"/>
          </w:tcPr>
          <w:p>
            <w:pPr>
              <w:pStyle w:val="TableText"/>
              <w:ind w:left="152" w:right="153" w:firstLine="265"/>
              <w:spacing w:before="29" w:line="235"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770"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8" w:hRule="atLeast"/>
        </w:trPr>
        <w:tc>
          <w:tcPr>
            <w:tcW w:w="2178" w:type="dxa"/>
            <w:vAlign w:val="top"/>
          </w:tcPr>
          <w:p>
            <w:pPr>
              <w:pStyle w:val="TableText"/>
              <w:ind w:left="943"/>
              <w:spacing w:before="30" w:line="219" w:lineRule="auto"/>
              <w:rPr>
                <w:rFonts w:ascii="SimSun" w:hAnsi="SimSun" w:eastAsia="SimSun" w:cs="SimSun"/>
              </w:rPr>
            </w:pPr>
            <w:r>
              <w:rPr>
                <w:spacing w:val="-1"/>
              </w:rPr>
              <w:t>*</w:t>
            </w:r>
            <w:r>
              <w:rPr>
                <w:rFonts w:ascii="SimSun" w:hAnsi="SimSun" w:eastAsia="SimSun" w:cs="SimSun"/>
                <w:spacing w:val="-1"/>
              </w:rPr>
              <w:t>砷</w:t>
            </w:r>
          </w:p>
        </w:tc>
        <w:tc>
          <w:tcPr>
            <w:tcW w:w="1454" w:type="dxa"/>
            <w:vAlign w:val="top"/>
          </w:tcPr>
          <w:p>
            <w:pPr>
              <w:pStyle w:val="TableText"/>
              <w:ind w:left="547"/>
              <w:spacing w:before="67" w:line="195" w:lineRule="auto"/>
              <w:rPr/>
            </w:pPr>
            <w:r>
              <w:rPr>
                <w:spacing w:val="2"/>
              </w:rPr>
              <w:t>6.10</w:t>
            </w:r>
          </w:p>
        </w:tc>
        <w:tc>
          <w:tcPr>
            <w:tcW w:w="1595" w:type="dxa"/>
            <w:vAlign w:val="top"/>
          </w:tcPr>
          <w:p>
            <w:pPr>
              <w:pStyle w:val="TableText"/>
              <w:ind w:left="618"/>
              <w:spacing w:before="67" w:line="195" w:lineRule="auto"/>
              <w:rPr/>
            </w:pPr>
            <w:r>
              <w:rPr>
                <w:spacing w:val="2"/>
              </w:rPr>
              <w:t>7.64</w:t>
            </w:r>
          </w:p>
        </w:tc>
        <w:tc>
          <w:tcPr>
            <w:tcW w:w="1453" w:type="dxa"/>
            <w:vAlign w:val="top"/>
          </w:tcPr>
          <w:p>
            <w:pPr>
              <w:pStyle w:val="TableText"/>
              <w:ind w:left="550"/>
              <w:spacing w:before="67" w:line="195" w:lineRule="auto"/>
              <w:rPr/>
            </w:pPr>
            <w:r>
              <w:rPr>
                <w:spacing w:val="2"/>
              </w:rPr>
              <w:t>7.05</w:t>
            </w:r>
          </w:p>
        </w:tc>
        <w:tc>
          <w:tcPr>
            <w:tcW w:w="770" w:type="dxa"/>
            <w:vAlign w:val="top"/>
          </w:tcPr>
          <w:p>
            <w:pPr>
              <w:pStyle w:val="TableText"/>
              <w:ind w:left="286"/>
              <w:spacing w:before="67" w:line="195" w:lineRule="auto"/>
              <w:rPr/>
            </w:pPr>
            <w:r>
              <w:rPr/>
              <w:t>60</w:t>
            </w:r>
          </w:p>
        </w:tc>
        <w:tc>
          <w:tcPr>
            <w:tcW w:w="919" w:type="dxa"/>
            <w:vAlign w:val="top"/>
          </w:tcPr>
          <w:p>
            <w:pPr>
              <w:pStyle w:val="TableText"/>
              <w:ind w:left="190"/>
              <w:spacing w:before="63" w:line="201" w:lineRule="auto"/>
              <w:rPr/>
            </w:pPr>
            <w:r>
              <w:rPr>
                <w:spacing w:val="4"/>
              </w:rPr>
              <w:t>mg/kg</w:t>
            </w:r>
          </w:p>
        </w:tc>
        <w:tc>
          <w:tcPr>
            <w:tcW w:w="921" w:type="dxa"/>
            <w:vAlign w:val="top"/>
            <w:vMerge w:val="restart"/>
            <w:tcBorders>
              <w:bottom w:val="nil"/>
            </w:tcBorders>
          </w:tcPr>
          <w:p>
            <w:pPr>
              <w:spacing w:line="272" w:lineRule="auto"/>
              <w:rPr>
                <w:rFonts w:ascii="Arial"/>
                <w:sz w:val="21"/>
              </w:rPr>
            </w:pPr>
            <w:r/>
          </w:p>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ind w:left="251"/>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2178" w:type="dxa"/>
            <w:vAlign w:val="top"/>
          </w:tcPr>
          <w:p>
            <w:pPr>
              <w:pStyle w:val="TableText"/>
              <w:ind w:left="943"/>
              <w:spacing w:before="31" w:line="218" w:lineRule="auto"/>
              <w:rPr>
                <w:rFonts w:ascii="SimSun" w:hAnsi="SimSun" w:eastAsia="SimSun" w:cs="SimSun"/>
              </w:rPr>
            </w:pPr>
            <w:r>
              <w:rPr>
                <w:spacing w:val="-1"/>
              </w:rPr>
              <w:t>*</w:t>
            </w:r>
            <w:r>
              <w:rPr>
                <w:rFonts w:ascii="SimSun" w:hAnsi="SimSun" w:eastAsia="SimSun" w:cs="SimSun"/>
                <w:spacing w:val="-1"/>
              </w:rPr>
              <w:t>镉</w:t>
            </w:r>
          </w:p>
        </w:tc>
        <w:tc>
          <w:tcPr>
            <w:tcW w:w="1454" w:type="dxa"/>
            <w:vAlign w:val="top"/>
          </w:tcPr>
          <w:p>
            <w:pPr>
              <w:pStyle w:val="TableText"/>
              <w:ind w:left="546"/>
              <w:spacing w:before="67" w:line="195" w:lineRule="auto"/>
              <w:rPr/>
            </w:pPr>
            <w:r>
              <w:rPr>
                <w:spacing w:val="2"/>
              </w:rPr>
              <w:t>0.16</w:t>
            </w:r>
          </w:p>
        </w:tc>
        <w:tc>
          <w:tcPr>
            <w:tcW w:w="1595" w:type="dxa"/>
            <w:vAlign w:val="top"/>
          </w:tcPr>
          <w:p>
            <w:pPr>
              <w:pStyle w:val="TableText"/>
              <w:ind w:left="618"/>
              <w:spacing w:before="67" w:line="195" w:lineRule="auto"/>
              <w:rPr/>
            </w:pPr>
            <w:r>
              <w:rPr>
                <w:spacing w:val="2"/>
              </w:rPr>
              <w:t>0.13</w:t>
            </w:r>
          </w:p>
        </w:tc>
        <w:tc>
          <w:tcPr>
            <w:tcW w:w="1453" w:type="dxa"/>
            <w:vAlign w:val="top"/>
          </w:tcPr>
          <w:p>
            <w:pPr>
              <w:pStyle w:val="TableText"/>
              <w:ind w:left="549"/>
              <w:spacing w:before="67" w:line="195" w:lineRule="auto"/>
              <w:rPr/>
            </w:pPr>
            <w:r>
              <w:rPr>
                <w:spacing w:val="-5"/>
              </w:rPr>
              <w:t>0.</w:t>
            </w:r>
            <w:r>
              <w:rPr>
                <w:spacing w:val="-23"/>
              </w:rPr>
              <w:t xml:space="preserve"> </w:t>
            </w:r>
            <w:r>
              <w:rPr>
                <w:spacing w:val="-5"/>
              </w:rPr>
              <w:t>12</w:t>
            </w:r>
          </w:p>
        </w:tc>
        <w:tc>
          <w:tcPr>
            <w:tcW w:w="770" w:type="dxa"/>
            <w:vAlign w:val="top"/>
          </w:tcPr>
          <w:p>
            <w:pPr>
              <w:pStyle w:val="TableText"/>
              <w:ind w:left="286"/>
              <w:spacing w:before="67" w:line="195" w:lineRule="auto"/>
              <w:rPr/>
            </w:pPr>
            <w:r>
              <w:rPr/>
              <w:t>65</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78" w:type="dxa"/>
            <w:vAlign w:val="top"/>
          </w:tcPr>
          <w:p>
            <w:pPr>
              <w:pStyle w:val="TableText"/>
              <w:ind w:left="732"/>
              <w:spacing w:before="28" w:line="218" w:lineRule="auto"/>
              <w:rPr>
                <w:rFonts w:ascii="SimSun" w:hAnsi="SimSun" w:eastAsia="SimSun" w:cs="SimSun"/>
              </w:rPr>
            </w:pPr>
            <w:r>
              <w:rPr>
                <w:spacing w:val="5"/>
              </w:rPr>
              <w:t>*</w:t>
            </w:r>
            <w:r>
              <w:rPr>
                <w:rFonts w:ascii="SimSun" w:hAnsi="SimSun" w:eastAsia="SimSun" w:cs="SimSun"/>
                <w:spacing w:val="5"/>
              </w:rPr>
              <w:t>六价铬</w:t>
            </w:r>
          </w:p>
        </w:tc>
        <w:tc>
          <w:tcPr>
            <w:tcW w:w="1454" w:type="dxa"/>
            <w:vAlign w:val="top"/>
          </w:tcPr>
          <w:p>
            <w:pPr>
              <w:pStyle w:val="TableText"/>
              <w:ind w:left="535"/>
              <w:spacing w:before="65" w:line="195" w:lineRule="auto"/>
              <w:rPr/>
            </w:pPr>
            <w:r>
              <w:rPr>
                <w:spacing w:val="3"/>
              </w:rPr>
              <w:t>&lt;0.5</w:t>
            </w:r>
          </w:p>
        </w:tc>
        <w:tc>
          <w:tcPr>
            <w:tcW w:w="1595" w:type="dxa"/>
            <w:vAlign w:val="top"/>
          </w:tcPr>
          <w:p>
            <w:pPr>
              <w:pStyle w:val="TableText"/>
              <w:ind w:left="605"/>
              <w:spacing w:before="65" w:line="195" w:lineRule="auto"/>
              <w:rPr/>
            </w:pPr>
            <w:r>
              <w:rPr>
                <w:spacing w:val="4"/>
              </w:rPr>
              <w:t>&lt;0.5</w:t>
            </w:r>
          </w:p>
        </w:tc>
        <w:tc>
          <w:tcPr>
            <w:tcW w:w="1453" w:type="dxa"/>
            <w:vAlign w:val="top"/>
          </w:tcPr>
          <w:p>
            <w:pPr>
              <w:pStyle w:val="TableText"/>
              <w:ind w:left="538"/>
              <w:spacing w:before="65" w:line="195" w:lineRule="auto"/>
              <w:rPr/>
            </w:pPr>
            <w:r>
              <w:rPr>
                <w:spacing w:val="3"/>
              </w:rPr>
              <w:t>&lt;0.5</w:t>
            </w:r>
          </w:p>
        </w:tc>
        <w:tc>
          <w:tcPr>
            <w:tcW w:w="770" w:type="dxa"/>
            <w:vAlign w:val="top"/>
          </w:tcPr>
          <w:p>
            <w:pPr>
              <w:pStyle w:val="TableText"/>
              <w:ind w:left="263"/>
              <w:spacing w:before="68" w:line="192" w:lineRule="auto"/>
              <w:rPr/>
            </w:pPr>
            <w:r>
              <w:rPr/>
              <w:t>5.7</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2" w:line="217" w:lineRule="auto"/>
              <w:rPr>
                <w:rFonts w:ascii="SimSun" w:hAnsi="SimSun" w:eastAsia="SimSun" w:cs="SimSun"/>
              </w:rPr>
            </w:pPr>
            <w:r>
              <w:rPr>
                <w:spacing w:val="-1"/>
              </w:rPr>
              <w:t>*</w:t>
            </w:r>
            <w:r>
              <w:rPr>
                <w:rFonts w:ascii="SimSun" w:hAnsi="SimSun" w:eastAsia="SimSun" w:cs="SimSun"/>
                <w:spacing w:val="-1"/>
              </w:rPr>
              <w:t>铜</w:t>
            </w:r>
          </w:p>
        </w:tc>
        <w:tc>
          <w:tcPr>
            <w:tcW w:w="1454" w:type="dxa"/>
            <w:vAlign w:val="top"/>
          </w:tcPr>
          <w:p>
            <w:pPr>
              <w:pStyle w:val="TableText"/>
              <w:ind w:left="619"/>
              <w:spacing w:before="68" w:line="195" w:lineRule="auto"/>
              <w:rPr/>
            </w:pPr>
            <w:r>
              <w:rPr>
                <w:spacing w:val="4"/>
              </w:rPr>
              <w:t>23</w:t>
            </w:r>
          </w:p>
        </w:tc>
        <w:tc>
          <w:tcPr>
            <w:tcW w:w="1595" w:type="dxa"/>
            <w:vAlign w:val="top"/>
          </w:tcPr>
          <w:p>
            <w:pPr>
              <w:pStyle w:val="TableText"/>
              <w:ind w:left="714"/>
              <w:spacing w:before="68" w:line="195" w:lineRule="auto"/>
              <w:rPr/>
            </w:pPr>
            <w:r>
              <w:rPr>
                <w:spacing w:val="-8"/>
              </w:rPr>
              <w:t>16</w:t>
            </w:r>
          </w:p>
        </w:tc>
        <w:tc>
          <w:tcPr>
            <w:tcW w:w="1453" w:type="dxa"/>
            <w:vAlign w:val="top"/>
          </w:tcPr>
          <w:p>
            <w:pPr>
              <w:pStyle w:val="TableText"/>
              <w:ind w:left="643"/>
              <w:spacing w:before="68" w:line="195" w:lineRule="auto"/>
              <w:rPr/>
            </w:pPr>
            <w:r>
              <w:rPr>
                <w:spacing w:val="-8"/>
              </w:rPr>
              <w:t>17</w:t>
            </w:r>
          </w:p>
        </w:tc>
        <w:tc>
          <w:tcPr>
            <w:tcW w:w="770" w:type="dxa"/>
            <w:vAlign w:val="top"/>
          </w:tcPr>
          <w:p>
            <w:pPr>
              <w:pStyle w:val="TableText"/>
              <w:ind w:left="145"/>
              <w:spacing w:before="68" w:line="195" w:lineRule="auto"/>
              <w:rPr/>
            </w:pPr>
            <w:r>
              <w:rPr/>
              <w:t>18000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2" w:line="217" w:lineRule="auto"/>
              <w:rPr>
                <w:rFonts w:ascii="SimSun" w:hAnsi="SimSun" w:eastAsia="SimSun" w:cs="SimSun"/>
              </w:rPr>
            </w:pPr>
            <w:r>
              <w:rPr>
                <w:spacing w:val="-1"/>
              </w:rPr>
              <w:t>*</w:t>
            </w:r>
            <w:r>
              <w:rPr>
                <w:rFonts w:ascii="SimSun" w:hAnsi="SimSun" w:eastAsia="SimSun" w:cs="SimSun"/>
                <w:spacing w:val="-1"/>
              </w:rPr>
              <w:t>铅</w:t>
            </w:r>
          </w:p>
        </w:tc>
        <w:tc>
          <w:tcPr>
            <w:tcW w:w="1454" w:type="dxa"/>
            <w:vAlign w:val="top"/>
          </w:tcPr>
          <w:p>
            <w:pPr>
              <w:pStyle w:val="TableText"/>
              <w:ind w:left="619"/>
              <w:spacing w:before="68" w:line="195" w:lineRule="auto"/>
              <w:rPr/>
            </w:pPr>
            <w:r>
              <w:rPr>
                <w:spacing w:val="4"/>
              </w:rPr>
              <w:t>27</w:t>
            </w:r>
          </w:p>
        </w:tc>
        <w:tc>
          <w:tcPr>
            <w:tcW w:w="1595" w:type="dxa"/>
            <w:vAlign w:val="top"/>
          </w:tcPr>
          <w:p>
            <w:pPr>
              <w:pStyle w:val="TableText"/>
              <w:ind w:left="694"/>
              <w:spacing w:before="68" w:line="195" w:lineRule="auto"/>
              <w:rPr/>
            </w:pPr>
            <w:r>
              <w:rPr>
                <w:spacing w:val="2"/>
              </w:rPr>
              <w:t>25</w:t>
            </w:r>
          </w:p>
        </w:tc>
        <w:tc>
          <w:tcPr>
            <w:tcW w:w="1453" w:type="dxa"/>
            <w:vAlign w:val="top"/>
          </w:tcPr>
          <w:p>
            <w:pPr>
              <w:pStyle w:val="TableText"/>
              <w:ind w:left="622"/>
              <w:spacing w:before="68" w:line="195" w:lineRule="auto"/>
              <w:rPr/>
            </w:pPr>
            <w:r>
              <w:rPr>
                <w:spacing w:val="3"/>
              </w:rPr>
              <w:t>40</w:t>
            </w:r>
          </w:p>
        </w:tc>
        <w:tc>
          <w:tcPr>
            <w:tcW w:w="770" w:type="dxa"/>
            <w:vAlign w:val="top"/>
          </w:tcPr>
          <w:p>
            <w:pPr>
              <w:pStyle w:val="TableText"/>
              <w:ind w:left="239"/>
              <w:spacing w:before="68" w:line="195" w:lineRule="auto"/>
              <w:rPr/>
            </w:pPr>
            <w:r>
              <w:rPr/>
              <w:t>800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78" w:type="dxa"/>
            <w:vAlign w:val="top"/>
          </w:tcPr>
          <w:p>
            <w:pPr>
              <w:pStyle w:val="TableText"/>
              <w:ind w:left="943"/>
              <w:spacing w:before="31" w:line="216" w:lineRule="auto"/>
              <w:rPr>
                <w:rFonts w:ascii="SimSun" w:hAnsi="SimSun" w:eastAsia="SimSun" w:cs="SimSun"/>
              </w:rPr>
            </w:pPr>
            <w:r>
              <w:rPr>
                <w:spacing w:val="-1"/>
              </w:rPr>
              <w:t>*</w:t>
            </w:r>
            <w:r>
              <w:rPr>
                <w:rFonts w:ascii="SimSun" w:hAnsi="SimSun" w:eastAsia="SimSun" w:cs="SimSun"/>
                <w:spacing w:val="-1"/>
              </w:rPr>
              <w:t>镍</w:t>
            </w:r>
          </w:p>
        </w:tc>
        <w:tc>
          <w:tcPr>
            <w:tcW w:w="1454" w:type="dxa"/>
            <w:vAlign w:val="top"/>
          </w:tcPr>
          <w:p>
            <w:pPr>
              <w:pStyle w:val="TableText"/>
              <w:ind w:left="625"/>
              <w:spacing w:before="66" w:line="195" w:lineRule="auto"/>
              <w:rPr/>
            </w:pPr>
            <w:r>
              <w:rPr>
                <w:spacing w:val="1"/>
              </w:rPr>
              <w:t>53</w:t>
            </w:r>
          </w:p>
        </w:tc>
        <w:tc>
          <w:tcPr>
            <w:tcW w:w="1595" w:type="dxa"/>
            <w:vAlign w:val="top"/>
          </w:tcPr>
          <w:p>
            <w:pPr>
              <w:pStyle w:val="TableText"/>
              <w:ind w:left="700"/>
              <w:spacing w:before="66" w:line="195" w:lineRule="auto"/>
              <w:rPr/>
            </w:pPr>
            <w:r>
              <w:rPr/>
              <w:t>54</w:t>
            </w:r>
          </w:p>
        </w:tc>
        <w:tc>
          <w:tcPr>
            <w:tcW w:w="1453" w:type="dxa"/>
            <w:vAlign w:val="top"/>
          </w:tcPr>
          <w:p>
            <w:pPr>
              <w:pStyle w:val="TableText"/>
              <w:ind w:left="627"/>
              <w:spacing w:before="66" w:line="195" w:lineRule="auto"/>
              <w:rPr/>
            </w:pPr>
            <w:r>
              <w:rPr/>
              <w:t>39</w:t>
            </w:r>
          </w:p>
        </w:tc>
        <w:tc>
          <w:tcPr>
            <w:tcW w:w="770" w:type="dxa"/>
            <w:vAlign w:val="top"/>
          </w:tcPr>
          <w:p>
            <w:pPr>
              <w:pStyle w:val="TableText"/>
              <w:ind w:left="235"/>
              <w:spacing w:before="66" w:line="195" w:lineRule="auto"/>
              <w:rPr/>
            </w:pPr>
            <w:r>
              <w:rPr>
                <w:spacing w:val="2"/>
              </w:rPr>
              <w:t>900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4" w:line="216" w:lineRule="auto"/>
              <w:rPr>
                <w:rFonts w:ascii="SimSun" w:hAnsi="SimSun" w:eastAsia="SimSun" w:cs="SimSun"/>
              </w:rPr>
            </w:pPr>
            <w:r>
              <w:rPr>
                <w:spacing w:val="-1"/>
              </w:rPr>
              <w:t>*</w:t>
            </w:r>
            <w:r>
              <w:rPr>
                <w:rFonts w:ascii="SimSun" w:hAnsi="SimSun" w:eastAsia="SimSun" w:cs="SimSun"/>
                <w:spacing w:val="-1"/>
              </w:rPr>
              <w:t>汞</w:t>
            </w:r>
          </w:p>
        </w:tc>
        <w:tc>
          <w:tcPr>
            <w:tcW w:w="1454" w:type="dxa"/>
            <w:vAlign w:val="top"/>
          </w:tcPr>
          <w:p>
            <w:pPr>
              <w:pStyle w:val="TableText"/>
              <w:ind w:left="490"/>
              <w:spacing w:before="69" w:line="195" w:lineRule="auto"/>
              <w:rPr/>
            </w:pPr>
            <w:r>
              <w:rPr>
                <w:spacing w:val="3"/>
              </w:rPr>
              <w:t>0.089</w:t>
            </w:r>
          </w:p>
        </w:tc>
        <w:tc>
          <w:tcPr>
            <w:tcW w:w="1595" w:type="dxa"/>
            <w:vAlign w:val="top"/>
          </w:tcPr>
          <w:p>
            <w:pPr>
              <w:pStyle w:val="TableText"/>
              <w:ind w:left="565"/>
              <w:spacing w:before="69" w:line="195" w:lineRule="auto"/>
              <w:rPr/>
            </w:pPr>
            <w:r>
              <w:rPr>
                <w:spacing w:val="3"/>
              </w:rPr>
              <w:t>0.080</w:t>
            </w:r>
          </w:p>
        </w:tc>
        <w:tc>
          <w:tcPr>
            <w:tcW w:w="1453" w:type="dxa"/>
            <w:vAlign w:val="top"/>
          </w:tcPr>
          <w:p>
            <w:pPr>
              <w:pStyle w:val="TableText"/>
              <w:ind w:left="494"/>
              <w:spacing w:before="69" w:line="195" w:lineRule="auto"/>
              <w:rPr/>
            </w:pPr>
            <w:r>
              <w:rPr>
                <w:spacing w:val="3"/>
              </w:rPr>
              <w:t>0.024</w:t>
            </w:r>
          </w:p>
        </w:tc>
        <w:tc>
          <w:tcPr>
            <w:tcW w:w="770" w:type="dxa"/>
            <w:vAlign w:val="top"/>
          </w:tcPr>
          <w:p>
            <w:pPr>
              <w:pStyle w:val="TableText"/>
              <w:ind w:left="285"/>
              <w:spacing w:before="69" w:line="195" w:lineRule="auto"/>
              <w:rPr/>
            </w:pPr>
            <w:r>
              <w:rPr/>
              <w:t>38</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29"/>
              <w:spacing w:before="34" w:line="216" w:lineRule="auto"/>
              <w:rPr>
                <w:rFonts w:ascii="SimSun" w:hAnsi="SimSun" w:eastAsia="SimSun" w:cs="SimSun"/>
              </w:rPr>
            </w:pPr>
            <w:r>
              <w:rPr>
                <w:spacing w:val="5"/>
              </w:rPr>
              <w:t>*</w:t>
            </w:r>
            <w:r>
              <w:rPr>
                <w:rFonts w:ascii="SimSun" w:hAnsi="SimSun" w:eastAsia="SimSun" w:cs="SimSun"/>
                <w:spacing w:val="5"/>
              </w:rPr>
              <w:t>四氯化碳</w:t>
            </w:r>
          </w:p>
        </w:tc>
        <w:tc>
          <w:tcPr>
            <w:tcW w:w="1454" w:type="dxa"/>
            <w:vAlign w:val="top"/>
          </w:tcPr>
          <w:p>
            <w:pPr>
              <w:pStyle w:val="TableText"/>
              <w:ind w:left="314"/>
              <w:spacing w:before="49" w:line="216" w:lineRule="auto"/>
              <w:rPr>
                <w:sz w:val="13"/>
                <w:szCs w:val="13"/>
              </w:rPr>
            </w:pPr>
            <w:r>
              <w:rPr>
                <w:spacing w:val="3"/>
              </w:rPr>
              <w:t>&lt;1.3×10</w:t>
            </w:r>
            <w:r>
              <w:rPr>
                <w:sz w:val="13"/>
                <w:szCs w:val="13"/>
                <w:spacing w:val="3"/>
                <w:position w:val="6"/>
              </w:rPr>
              <w:t>-3</w:t>
            </w:r>
          </w:p>
        </w:tc>
        <w:tc>
          <w:tcPr>
            <w:tcW w:w="1595" w:type="dxa"/>
            <w:vAlign w:val="top"/>
          </w:tcPr>
          <w:p>
            <w:pPr>
              <w:pStyle w:val="TableText"/>
              <w:ind w:left="386"/>
              <w:spacing w:before="49" w:line="216" w:lineRule="auto"/>
              <w:rPr>
                <w:sz w:val="13"/>
                <w:szCs w:val="13"/>
              </w:rPr>
            </w:pPr>
            <w:r>
              <w:rPr>
                <w:spacing w:val="3"/>
              </w:rPr>
              <w:t>&lt;1.3×10</w:t>
            </w:r>
            <w:r>
              <w:rPr>
                <w:sz w:val="13"/>
                <w:szCs w:val="13"/>
                <w:spacing w:val="3"/>
                <w:position w:val="6"/>
              </w:rPr>
              <w:t>-3</w:t>
            </w:r>
          </w:p>
        </w:tc>
        <w:tc>
          <w:tcPr>
            <w:tcW w:w="1453" w:type="dxa"/>
            <w:vAlign w:val="top"/>
          </w:tcPr>
          <w:p>
            <w:pPr>
              <w:pStyle w:val="TableText"/>
              <w:ind w:left="318"/>
              <w:spacing w:before="49" w:line="216" w:lineRule="auto"/>
              <w:rPr>
                <w:sz w:val="13"/>
                <w:szCs w:val="13"/>
              </w:rPr>
            </w:pPr>
            <w:r>
              <w:rPr>
                <w:spacing w:val="3"/>
              </w:rPr>
              <w:t>&lt;1.3×10</w:t>
            </w:r>
            <w:r>
              <w:rPr>
                <w:sz w:val="13"/>
                <w:szCs w:val="13"/>
                <w:spacing w:val="3"/>
                <w:position w:val="6"/>
              </w:rPr>
              <w:t>-3</w:t>
            </w:r>
          </w:p>
        </w:tc>
        <w:tc>
          <w:tcPr>
            <w:tcW w:w="770" w:type="dxa"/>
            <w:vAlign w:val="top"/>
          </w:tcPr>
          <w:p>
            <w:pPr>
              <w:pStyle w:val="TableText"/>
              <w:ind w:left="257"/>
              <w:spacing w:before="69" w:line="195" w:lineRule="auto"/>
              <w:rPr/>
            </w:pPr>
            <w:r>
              <w:rPr>
                <w:spacing w:val="2"/>
              </w:rPr>
              <w:t>2.8</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840"/>
              <w:spacing w:before="31" w:line="218" w:lineRule="auto"/>
              <w:rPr>
                <w:rFonts w:ascii="SimSun" w:hAnsi="SimSun" w:eastAsia="SimSun" w:cs="SimSun"/>
              </w:rPr>
            </w:pPr>
            <w:r>
              <w:rPr>
                <w:spacing w:val="2"/>
              </w:rPr>
              <w:t>*</w:t>
            </w:r>
            <w:r>
              <w:rPr>
                <w:rFonts w:ascii="SimSun" w:hAnsi="SimSun" w:eastAsia="SimSun" w:cs="SimSun"/>
                <w:spacing w:val="2"/>
              </w:rPr>
              <w:t>氯仿</w:t>
            </w:r>
          </w:p>
        </w:tc>
        <w:tc>
          <w:tcPr>
            <w:tcW w:w="1454" w:type="dxa"/>
            <w:vAlign w:val="top"/>
          </w:tcPr>
          <w:p>
            <w:pPr>
              <w:pStyle w:val="TableText"/>
              <w:ind w:left="314"/>
              <w:spacing w:before="50" w:line="213"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595" w:type="dxa"/>
            <w:vAlign w:val="top"/>
          </w:tcPr>
          <w:p>
            <w:pPr>
              <w:pStyle w:val="TableText"/>
              <w:ind w:left="386"/>
              <w:spacing w:before="50" w:line="213"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453" w:type="dxa"/>
            <w:vAlign w:val="top"/>
          </w:tcPr>
          <w:p>
            <w:pPr>
              <w:pStyle w:val="TableText"/>
              <w:ind w:left="318"/>
              <w:spacing w:before="50" w:line="213" w:lineRule="auto"/>
              <w:rPr>
                <w:sz w:val="13"/>
                <w:szCs w:val="13"/>
              </w:rPr>
            </w:pPr>
            <w:r>
              <w:rPr/>
              <w:t>&lt;1.</w:t>
            </w:r>
            <w:r>
              <w:rPr>
                <w:spacing w:val="-19"/>
              </w:rPr>
              <w:t xml:space="preserve"> </w:t>
            </w:r>
            <w:r>
              <w:rPr/>
              <w:t>1×10</w:t>
            </w:r>
            <w:r>
              <w:rPr>
                <w:sz w:val="13"/>
                <w:szCs w:val="13"/>
                <w:position w:val="6"/>
              </w:rPr>
              <w:t>-3</w:t>
            </w:r>
          </w:p>
        </w:tc>
        <w:tc>
          <w:tcPr>
            <w:tcW w:w="770" w:type="dxa"/>
            <w:vAlign w:val="top"/>
          </w:tcPr>
          <w:p>
            <w:pPr>
              <w:pStyle w:val="TableText"/>
              <w:ind w:left="260"/>
              <w:spacing w:before="67" w:line="195" w:lineRule="auto"/>
              <w:rPr/>
            </w:pPr>
            <w:r>
              <w:rPr>
                <w:spacing w:val="1"/>
              </w:rPr>
              <w:t>0.9</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tcBorders>
          </w:tcPr>
          <w:p>
            <w:pPr>
              <w:rPr>
                <w:rFonts w:ascii="Arial"/>
                <w:sz w:val="21"/>
              </w:rPr>
            </w:pPr>
            <w:r/>
          </w:p>
        </w:tc>
      </w:tr>
    </w:tbl>
    <w:p>
      <w:pPr>
        <w:pStyle w:val="BodyText"/>
        <w:rPr/>
      </w:pPr>
      <w:r/>
    </w:p>
    <w:p>
      <w:pPr>
        <w:sectPr>
          <w:footerReference w:type="default" r:id="rId335"/>
          <w:pgSz w:w="11906" w:h="16838"/>
          <w:pgMar w:top="1170" w:right="1304" w:bottom="1080" w:left="1303" w:header="837" w:footer="918"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78"/>
        <w:gridCol w:w="1454"/>
        <w:gridCol w:w="1595"/>
        <w:gridCol w:w="1453"/>
        <w:gridCol w:w="770"/>
        <w:gridCol w:w="919"/>
        <w:gridCol w:w="921"/>
      </w:tblGrid>
      <w:tr>
        <w:trPr>
          <w:trHeight w:val="283" w:hRule="atLeast"/>
        </w:trPr>
        <w:tc>
          <w:tcPr>
            <w:tcW w:w="2178" w:type="dxa"/>
            <w:vAlign w:val="top"/>
            <w:vMerge w:val="restart"/>
            <w:tcBorders>
              <w:bottom w:val="nil"/>
            </w:tcBorders>
          </w:tcPr>
          <w:p>
            <w:pPr>
              <w:spacing w:line="386" w:lineRule="auto"/>
              <w:rPr>
                <w:rFonts w:ascii="Arial"/>
                <w:sz w:val="21"/>
              </w:rPr>
            </w:pPr>
            <w:r/>
          </w:p>
          <w:p>
            <w:pPr>
              <w:ind w:left="675"/>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502" w:type="dxa"/>
            <w:vAlign w:val="top"/>
            <w:gridSpan w:val="3"/>
          </w:tcPr>
          <w:p>
            <w:pPr>
              <w:ind w:left="1838"/>
              <w:spacing w:before="33" w:line="221" w:lineRule="auto"/>
              <w:rPr>
                <w:rFonts w:ascii="SimSun" w:hAnsi="SimSun" w:eastAsia="SimSun" w:cs="SimSun"/>
                <w:sz w:val="20"/>
                <w:szCs w:val="20"/>
              </w:rPr>
            </w:pPr>
            <w:r>
              <w:rPr>
                <w:rFonts w:ascii="SimSun" w:hAnsi="SimSun" w:eastAsia="SimSun" w:cs="SimSun"/>
                <w:sz w:val="20"/>
                <w:szCs w:val="20"/>
                <w:spacing w:val="6"/>
              </w:rPr>
              <w:t>分析结果</w:t>
            </w:r>
          </w:p>
        </w:tc>
        <w:tc>
          <w:tcPr>
            <w:tcW w:w="770" w:type="dxa"/>
            <w:vAlign w:val="top"/>
            <w:vMerge w:val="restart"/>
            <w:tcBorders>
              <w:bottom w:val="nil"/>
            </w:tcBorders>
          </w:tcPr>
          <w:p>
            <w:pPr>
              <w:spacing w:line="386" w:lineRule="auto"/>
              <w:rPr>
                <w:rFonts w:ascii="Arial"/>
                <w:sz w:val="21"/>
              </w:rPr>
            </w:pPr>
            <w:r/>
          </w:p>
          <w:p>
            <w:pPr>
              <w:ind w:left="196"/>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86"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spacing w:line="250" w:lineRule="auto"/>
              <w:rPr>
                <w:rFonts w:ascii="Arial"/>
                <w:sz w:val="21"/>
              </w:rPr>
            </w:pPr>
            <w:r/>
          </w:p>
          <w:p>
            <w:pPr>
              <w:ind w:left="251" w:right="253" w:firstLine="4"/>
              <w:spacing w:before="65" w:line="252" w:lineRule="auto"/>
              <w:rPr>
                <w:rFonts w:ascii="SimSun" w:hAnsi="SimSun" w:eastAsia="SimSun" w:cs="SimSun"/>
                <w:sz w:val="20"/>
                <w:szCs w:val="20"/>
              </w:rPr>
            </w:pPr>
            <w:r>
              <w:rPr>
                <w:rFonts w:ascii="SimSun" w:hAnsi="SimSun" w:eastAsia="SimSun" w:cs="SimSun"/>
                <w:sz w:val="20"/>
                <w:szCs w:val="20"/>
                <w:spacing w:val="3"/>
              </w:rPr>
              <w:t>是否</w:t>
            </w:r>
            <w:r>
              <w:rPr>
                <w:rFonts w:ascii="SimSun" w:hAnsi="SimSun" w:eastAsia="SimSun" w:cs="SimSun"/>
                <w:sz w:val="20"/>
                <w:szCs w:val="20"/>
                <w:spacing w:val="5"/>
              </w:rPr>
              <w:t>达标</w:t>
            </w:r>
          </w:p>
        </w:tc>
      </w:tr>
      <w:tr>
        <w:trPr>
          <w:trHeight w:val="278" w:hRule="atLeast"/>
        </w:trPr>
        <w:tc>
          <w:tcPr>
            <w:tcW w:w="2178" w:type="dxa"/>
            <w:vAlign w:val="top"/>
            <w:vMerge w:val="continue"/>
            <w:tcBorders>
              <w:top w:val="nil"/>
              <w:bottom w:val="nil"/>
            </w:tcBorders>
          </w:tcPr>
          <w:p>
            <w:pPr>
              <w:rPr>
                <w:rFonts w:ascii="Arial"/>
                <w:sz w:val="21"/>
              </w:rPr>
            </w:pPr>
            <w:r/>
          </w:p>
        </w:tc>
        <w:tc>
          <w:tcPr>
            <w:tcW w:w="4502" w:type="dxa"/>
            <w:vAlign w:val="top"/>
            <w:gridSpan w:val="3"/>
          </w:tcPr>
          <w:p>
            <w:pPr>
              <w:pStyle w:val="TableText"/>
              <w:ind w:left="1060"/>
              <w:spacing w:before="28" w:line="221" w:lineRule="auto"/>
              <w:rPr>
                <w:rFonts w:ascii="SimSun" w:hAnsi="SimSun" w:eastAsia="SimSun" w:cs="SimSun"/>
              </w:rPr>
            </w:pPr>
            <w:r>
              <w:rPr>
                <w:spacing w:val="7"/>
              </w:rPr>
              <w:t>T1</w:t>
            </w:r>
            <w:r>
              <w:rPr>
                <w:spacing w:val="19"/>
                <w:w w:val="101"/>
              </w:rPr>
              <w:t xml:space="preserve"> </w:t>
            </w:r>
            <w:r>
              <w:rPr>
                <w:rFonts w:ascii="SimSun" w:hAnsi="SimSun" w:eastAsia="SimSun" w:cs="SimSun"/>
                <w:spacing w:val="7"/>
              </w:rPr>
              <w:t>露天矿工业场地危废库</w:t>
            </w:r>
          </w:p>
        </w:tc>
        <w:tc>
          <w:tcPr>
            <w:tcW w:w="770"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9" w:hRule="atLeast"/>
        </w:trPr>
        <w:tc>
          <w:tcPr>
            <w:tcW w:w="2178" w:type="dxa"/>
            <w:vAlign w:val="top"/>
            <w:vMerge w:val="continue"/>
            <w:tcBorders>
              <w:top w:val="nil"/>
            </w:tcBorders>
          </w:tcPr>
          <w:p>
            <w:pPr>
              <w:rPr>
                <w:rFonts w:ascii="Arial"/>
                <w:sz w:val="21"/>
              </w:rPr>
            </w:pPr>
            <w:r/>
          </w:p>
        </w:tc>
        <w:tc>
          <w:tcPr>
            <w:tcW w:w="1454" w:type="dxa"/>
            <w:vAlign w:val="top"/>
          </w:tcPr>
          <w:p>
            <w:pPr>
              <w:pStyle w:val="TableText"/>
              <w:ind w:left="230" w:right="234" w:firstLine="185"/>
              <w:spacing w:before="27" w:line="236"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95" w:type="dxa"/>
            <w:vAlign w:val="top"/>
          </w:tcPr>
          <w:p>
            <w:pPr>
              <w:pStyle w:val="TableText"/>
              <w:ind w:left="223" w:right="226" w:firstLine="283"/>
              <w:spacing w:before="27" w:line="236"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453" w:type="dxa"/>
            <w:vAlign w:val="top"/>
          </w:tcPr>
          <w:p>
            <w:pPr>
              <w:pStyle w:val="TableText"/>
              <w:ind w:left="152" w:right="153" w:firstLine="265"/>
              <w:spacing w:before="27" w:line="236"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770"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6" w:hRule="atLeast"/>
        </w:trPr>
        <w:tc>
          <w:tcPr>
            <w:tcW w:w="2178" w:type="dxa"/>
            <w:vAlign w:val="top"/>
          </w:tcPr>
          <w:p>
            <w:pPr>
              <w:pStyle w:val="TableText"/>
              <w:ind w:left="732"/>
              <w:spacing w:before="29" w:line="218" w:lineRule="auto"/>
              <w:rPr>
                <w:rFonts w:ascii="SimSun" w:hAnsi="SimSun" w:eastAsia="SimSun" w:cs="SimSun"/>
              </w:rPr>
            </w:pPr>
            <w:r>
              <w:rPr>
                <w:spacing w:val="5"/>
              </w:rPr>
              <w:t>*</w:t>
            </w:r>
            <w:r>
              <w:rPr>
                <w:rFonts w:ascii="SimSun" w:hAnsi="SimSun" w:eastAsia="SimSun" w:cs="SimSun"/>
                <w:spacing w:val="5"/>
              </w:rPr>
              <w:t>氯甲烷</w:t>
            </w:r>
          </w:p>
        </w:tc>
        <w:tc>
          <w:tcPr>
            <w:tcW w:w="1454" w:type="dxa"/>
            <w:vAlign w:val="top"/>
          </w:tcPr>
          <w:p>
            <w:pPr>
              <w:pStyle w:val="TableText"/>
              <w:ind w:left="314"/>
              <w:spacing w:before="45" w:line="216" w:lineRule="auto"/>
              <w:rPr>
                <w:sz w:val="13"/>
                <w:szCs w:val="13"/>
              </w:rPr>
            </w:pPr>
            <w:r>
              <w:rPr>
                <w:spacing w:val="3"/>
              </w:rPr>
              <w:t>&lt;1.0×10</w:t>
            </w:r>
            <w:r>
              <w:rPr>
                <w:sz w:val="13"/>
                <w:szCs w:val="13"/>
                <w:spacing w:val="3"/>
                <w:position w:val="6"/>
              </w:rPr>
              <w:t>-3</w:t>
            </w:r>
          </w:p>
        </w:tc>
        <w:tc>
          <w:tcPr>
            <w:tcW w:w="1595" w:type="dxa"/>
            <w:vAlign w:val="top"/>
          </w:tcPr>
          <w:p>
            <w:pPr>
              <w:pStyle w:val="TableText"/>
              <w:ind w:left="386"/>
              <w:spacing w:before="45" w:line="216" w:lineRule="auto"/>
              <w:rPr>
                <w:sz w:val="13"/>
                <w:szCs w:val="13"/>
              </w:rPr>
            </w:pPr>
            <w:r>
              <w:rPr>
                <w:spacing w:val="3"/>
              </w:rPr>
              <w:t>&lt;1.0×10</w:t>
            </w:r>
            <w:r>
              <w:rPr>
                <w:sz w:val="13"/>
                <w:szCs w:val="13"/>
                <w:spacing w:val="3"/>
                <w:position w:val="6"/>
              </w:rPr>
              <w:t>-3</w:t>
            </w:r>
          </w:p>
        </w:tc>
        <w:tc>
          <w:tcPr>
            <w:tcW w:w="1453" w:type="dxa"/>
            <w:vAlign w:val="top"/>
          </w:tcPr>
          <w:p>
            <w:pPr>
              <w:pStyle w:val="TableText"/>
              <w:ind w:left="318"/>
              <w:spacing w:before="45" w:line="216" w:lineRule="auto"/>
              <w:rPr>
                <w:sz w:val="13"/>
                <w:szCs w:val="13"/>
              </w:rPr>
            </w:pPr>
            <w:r>
              <w:rPr>
                <w:spacing w:val="3"/>
              </w:rPr>
              <w:t>&lt;1.0×10</w:t>
            </w:r>
            <w:r>
              <w:rPr>
                <w:sz w:val="13"/>
                <w:szCs w:val="13"/>
                <w:spacing w:val="3"/>
                <w:position w:val="6"/>
              </w:rPr>
              <w:t>-3</w:t>
            </w:r>
          </w:p>
        </w:tc>
        <w:tc>
          <w:tcPr>
            <w:tcW w:w="770" w:type="dxa"/>
            <w:vAlign w:val="top"/>
          </w:tcPr>
          <w:p>
            <w:pPr>
              <w:pStyle w:val="TableText"/>
              <w:ind w:left="285"/>
              <w:spacing w:before="65" w:line="195" w:lineRule="auto"/>
              <w:rPr/>
            </w:pPr>
            <w:r>
              <w:rPr/>
              <w:t>37</w:t>
            </w:r>
          </w:p>
        </w:tc>
        <w:tc>
          <w:tcPr>
            <w:tcW w:w="919" w:type="dxa"/>
            <w:vAlign w:val="top"/>
          </w:tcPr>
          <w:p>
            <w:pPr>
              <w:pStyle w:val="TableText"/>
              <w:ind w:left="190"/>
              <w:spacing w:before="61" w:line="201" w:lineRule="auto"/>
              <w:rPr/>
            </w:pPr>
            <w:r>
              <w:rPr>
                <w:spacing w:val="4"/>
              </w:rPr>
              <w:t>mg/kg</w:t>
            </w:r>
          </w:p>
        </w:tc>
        <w:tc>
          <w:tcPr>
            <w:tcW w:w="921" w:type="dxa"/>
            <w:vAlign w:val="top"/>
            <w:vMerge w:val="restart"/>
            <w:tcBorders>
              <w:bottom w:val="nil"/>
            </w:tcBorders>
          </w:tcPr>
          <w:p>
            <w:pPr>
              <w:rPr>
                <w:rFonts w:ascii="Arial"/>
                <w:sz w:val="21"/>
              </w:rPr>
            </w:pPr>
            <w:r/>
          </w:p>
        </w:tc>
      </w:tr>
      <w:tr>
        <w:trPr>
          <w:trHeight w:val="278" w:hRule="atLeast"/>
        </w:trPr>
        <w:tc>
          <w:tcPr>
            <w:tcW w:w="2178" w:type="dxa"/>
            <w:vAlign w:val="top"/>
          </w:tcPr>
          <w:p>
            <w:pPr>
              <w:pStyle w:val="TableText"/>
              <w:ind w:left="463"/>
              <w:spacing w:before="29" w:line="220" w:lineRule="auto"/>
              <w:rPr>
                <w:rFonts w:ascii="SimSun" w:hAnsi="SimSun" w:eastAsia="SimSun" w:cs="SimSun"/>
              </w:rPr>
            </w:pPr>
            <w:r>
              <w:rPr>
                <w:spacing w:val="2"/>
              </w:rPr>
              <w:t>*1,</w:t>
            </w:r>
            <w:r>
              <w:rPr>
                <w:spacing w:val="-25"/>
              </w:rPr>
              <w:t xml:space="preserve"> </w:t>
            </w:r>
            <w:r>
              <w:rPr>
                <w:spacing w:val="2"/>
              </w:rPr>
              <w:t>1-</w:t>
            </w:r>
            <w:r>
              <w:rPr>
                <w:rFonts w:ascii="SimSun" w:hAnsi="SimSun" w:eastAsia="SimSun" w:cs="SimSun"/>
                <w:spacing w:val="2"/>
              </w:rPr>
              <w:t>二氯乙烷</w:t>
            </w:r>
          </w:p>
        </w:tc>
        <w:tc>
          <w:tcPr>
            <w:tcW w:w="1454" w:type="dxa"/>
            <w:vAlign w:val="top"/>
          </w:tcPr>
          <w:p>
            <w:pPr>
              <w:pStyle w:val="TableText"/>
              <w:ind w:left="314"/>
              <w:spacing w:before="45"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5"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5"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338"/>
              <w:spacing w:before="65" w:line="195" w:lineRule="auto"/>
              <w:rPr/>
            </w:pPr>
            <w:r>
              <w:rPr/>
              <w:t>9</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463"/>
              <w:spacing w:before="29" w:line="218" w:lineRule="auto"/>
              <w:rPr>
                <w:rFonts w:ascii="SimSun" w:hAnsi="SimSun" w:eastAsia="SimSun" w:cs="SimSun"/>
              </w:rPr>
            </w:pPr>
            <w:r>
              <w:rPr>
                <w:spacing w:val="4"/>
              </w:rPr>
              <w:t>*1,2-</w:t>
            </w:r>
            <w:r>
              <w:rPr>
                <w:rFonts w:ascii="SimSun" w:hAnsi="SimSun" w:eastAsia="SimSun" w:cs="SimSun"/>
                <w:spacing w:val="4"/>
              </w:rPr>
              <w:t>二氯乙烷</w:t>
            </w:r>
          </w:p>
        </w:tc>
        <w:tc>
          <w:tcPr>
            <w:tcW w:w="1454" w:type="dxa"/>
            <w:vAlign w:val="top"/>
          </w:tcPr>
          <w:p>
            <w:pPr>
              <w:pStyle w:val="TableText"/>
              <w:ind w:left="314"/>
              <w:spacing w:before="45" w:line="216" w:lineRule="auto"/>
              <w:rPr>
                <w:sz w:val="13"/>
                <w:szCs w:val="13"/>
              </w:rPr>
            </w:pPr>
            <w:r>
              <w:rPr>
                <w:spacing w:val="3"/>
              </w:rPr>
              <w:t>&lt;1.3×10</w:t>
            </w:r>
            <w:r>
              <w:rPr>
                <w:sz w:val="13"/>
                <w:szCs w:val="13"/>
                <w:spacing w:val="3"/>
                <w:position w:val="6"/>
              </w:rPr>
              <w:t>-3</w:t>
            </w:r>
          </w:p>
        </w:tc>
        <w:tc>
          <w:tcPr>
            <w:tcW w:w="1595" w:type="dxa"/>
            <w:vAlign w:val="top"/>
          </w:tcPr>
          <w:p>
            <w:pPr>
              <w:pStyle w:val="TableText"/>
              <w:ind w:left="386"/>
              <w:spacing w:before="45" w:line="216" w:lineRule="auto"/>
              <w:rPr>
                <w:sz w:val="13"/>
                <w:szCs w:val="13"/>
              </w:rPr>
            </w:pPr>
            <w:r>
              <w:rPr>
                <w:spacing w:val="3"/>
              </w:rPr>
              <w:t>&lt;1.3×10</w:t>
            </w:r>
            <w:r>
              <w:rPr>
                <w:sz w:val="13"/>
                <w:szCs w:val="13"/>
                <w:spacing w:val="3"/>
                <w:position w:val="6"/>
              </w:rPr>
              <w:t>-3</w:t>
            </w:r>
          </w:p>
        </w:tc>
        <w:tc>
          <w:tcPr>
            <w:tcW w:w="1453" w:type="dxa"/>
            <w:vAlign w:val="top"/>
          </w:tcPr>
          <w:p>
            <w:pPr>
              <w:pStyle w:val="TableText"/>
              <w:ind w:left="318"/>
              <w:spacing w:before="45" w:line="216" w:lineRule="auto"/>
              <w:rPr>
                <w:sz w:val="13"/>
                <w:szCs w:val="13"/>
              </w:rPr>
            </w:pPr>
            <w:r>
              <w:rPr>
                <w:spacing w:val="3"/>
              </w:rPr>
              <w:t>&lt;1.3×10</w:t>
            </w:r>
            <w:r>
              <w:rPr>
                <w:sz w:val="13"/>
                <w:szCs w:val="13"/>
                <w:spacing w:val="3"/>
                <w:position w:val="6"/>
              </w:rPr>
              <w:t>-3</w:t>
            </w:r>
          </w:p>
        </w:tc>
        <w:tc>
          <w:tcPr>
            <w:tcW w:w="770" w:type="dxa"/>
            <w:vAlign w:val="top"/>
          </w:tcPr>
          <w:p>
            <w:pPr>
              <w:pStyle w:val="TableText"/>
              <w:ind w:left="340"/>
              <w:spacing w:before="68" w:line="192" w:lineRule="auto"/>
              <w:rPr/>
            </w:pPr>
            <w:r>
              <w:rPr/>
              <w:t>5</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468"/>
              <w:spacing w:before="31" w:line="218" w:lineRule="auto"/>
              <w:rPr>
                <w:rFonts w:ascii="SimSun" w:hAnsi="SimSun" w:eastAsia="SimSun" w:cs="SimSun"/>
              </w:rPr>
            </w:pPr>
            <w:r>
              <w:rPr/>
              <w:t>*1,</w:t>
            </w:r>
            <w:r>
              <w:rPr>
                <w:spacing w:val="-22"/>
              </w:rPr>
              <w:t xml:space="preserve"> </w:t>
            </w:r>
            <w:r>
              <w:rPr/>
              <w:t>1</w:t>
            </w:r>
            <w:r>
              <w:rPr>
                <w:spacing w:val="13"/>
                <w:w w:val="101"/>
              </w:rPr>
              <w:t xml:space="preserve"> </w:t>
            </w:r>
            <w:r>
              <w:rPr>
                <w:rFonts w:ascii="SimSun" w:hAnsi="SimSun" w:eastAsia="SimSun" w:cs="SimSun"/>
              </w:rPr>
              <w:t>二氯乙烯</w:t>
            </w:r>
          </w:p>
        </w:tc>
        <w:tc>
          <w:tcPr>
            <w:tcW w:w="1454" w:type="dxa"/>
            <w:vAlign w:val="top"/>
          </w:tcPr>
          <w:p>
            <w:pPr>
              <w:pStyle w:val="TableText"/>
              <w:ind w:left="314"/>
              <w:spacing w:before="47" w:line="216" w:lineRule="auto"/>
              <w:rPr>
                <w:sz w:val="13"/>
                <w:szCs w:val="13"/>
              </w:rPr>
            </w:pPr>
            <w:r>
              <w:rPr>
                <w:spacing w:val="3"/>
              </w:rPr>
              <w:t>&lt;1.0×10</w:t>
            </w:r>
            <w:r>
              <w:rPr>
                <w:sz w:val="13"/>
                <w:szCs w:val="13"/>
                <w:spacing w:val="3"/>
                <w:position w:val="6"/>
              </w:rPr>
              <w:t>-3</w:t>
            </w:r>
          </w:p>
        </w:tc>
        <w:tc>
          <w:tcPr>
            <w:tcW w:w="1595" w:type="dxa"/>
            <w:vAlign w:val="top"/>
          </w:tcPr>
          <w:p>
            <w:pPr>
              <w:pStyle w:val="TableText"/>
              <w:ind w:left="386"/>
              <w:spacing w:before="47" w:line="216" w:lineRule="auto"/>
              <w:rPr>
                <w:sz w:val="13"/>
                <w:szCs w:val="13"/>
              </w:rPr>
            </w:pPr>
            <w:r>
              <w:rPr>
                <w:spacing w:val="3"/>
              </w:rPr>
              <w:t>&lt;1.0×10</w:t>
            </w:r>
            <w:r>
              <w:rPr>
                <w:sz w:val="13"/>
                <w:szCs w:val="13"/>
                <w:spacing w:val="3"/>
                <w:position w:val="6"/>
              </w:rPr>
              <w:t>-3</w:t>
            </w:r>
          </w:p>
        </w:tc>
        <w:tc>
          <w:tcPr>
            <w:tcW w:w="1453" w:type="dxa"/>
            <w:vAlign w:val="top"/>
          </w:tcPr>
          <w:p>
            <w:pPr>
              <w:pStyle w:val="TableText"/>
              <w:ind w:left="318"/>
              <w:spacing w:before="47" w:line="216" w:lineRule="auto"/>
              <w:rPr>
                <w:sz w:val="13"/>
                <w:szCs w:val="13"/>
              </w:rPr>
            </w:pPr>
            <w:r>
              <w:rPr>
                <w:spacing w:val="3"/>
              </w:rPr>
              <w:t>&lt;1.0×10</w:t>
            </w:r>
            <w:r>
              <w:rPr>
                <w:sz w:val="13"/>
                <w:szCs w:val="13"/>
                <w:spacing w:val="3"/>
                <w:position w:val="6"/>
              </w:rPr>
              <w:t>-3</w:t>
            </w:r>
          </w:p>
        </w:tc>
        <w:tc>
          <w:tcPr>
            <w:tcW w:w="770" w:type="dxa"/>
            <w:vAlign w:val="top"/>
          </w:tcPr>
          <w:p>
            <w:pPr>
              <w:pStyle w:val="TableText"/>
              <w:ind w:left="286"/>
              <w:spacing w:before="67" w:line="195" w:lineRule="auto"/>
              <w:rPr/>
            </w:pPr>
            <w:r>
              <w:rPr/>
              <w:t>66</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341"/>
              <w:spacing w:before="29" w:line="220" w:lineRule="auto"/>
              <w:rPr>
                <w:rFonts w:ascii="SimSun" w:hAnsi="SimSun" w:eastAsia="SimSun" w:cs="SimSun"/>
              </w:rPr>
            </w:pPr>
            <w:r>
              <w:rPr>
                <w:spacing w:val="2"/>
              </w:rPr>
              <w:t>*</w:t>
            </w:r>
            <w:r>
              <w:rPr>
                <w:rFonts w:ascii="SimSun" w:hAnsi="SimSun" w:eastAsia="SimSun" w:cs="SimSun"/>
                <w:spacing w:val="2"/>
              </w:rPr>
              <w:t>顺</w:t>
            </w:r>
            <w:r>
              <w:rPr>
                <w:rFonts w:ascii="SimSun" w:hAnsi="SimSun" w:eastAsia="SimSun" w:cs="SimSun"/>
                <w:spacing w:val="-19"/>
              </w:rPr>
              <w:t xml:space="preserve"> </w:t>
            </w:r>
            <w:r>
              <w:rPr>
                <w:spacing w:val="2"/>
              </w:rPr>
              <w:t>1,2 </w:t>
            </w:r>
            <w:r>
              <w:rPr>
                <w:rFonts w:ascii="SimSun" w:hAnsi="SimSun" w:eastAsia="SimSun" w:cs="SimSun"/>
                <w:spacing w:val="2"/>
              </w:rPr>
              <w:t>二氯乙烯</w:t>
            </w:r>
          </w:p>
        </w:tc>
        <w:tc>
          <w:tcPr>
            <w:tcW w:w="1454" w:type="dxa"/>
            <w:vAlign w:val="top"/>
          </w:tcPr>
          <w:p>
            <w:pPr>
              <w:pStyle w:val="TableText"/>
              <w:ind w:left="314"/>
              <w:spacing w:before="45" w:line="216" w:lineRule="auto"/>
              <w:rPr>
                <w:sz w:val="13"/>
                <w:szCs w:val="13"/>
              </w:rPr>
            </w:pPr>
            <w:r>
              <w:rPr>
                <w:spacing w:val="3"/>
              </w:rPr>
              <w:t>&lt;1.3×10</w:t>
            </w:r>
            <w:r>
              <w:rPr>
                <w:sz w:val="13"/>
                <w:szCs w:val="13"/>
                <w:spacing w:val="3"/>
                <w:position w:val="6"/>
              </w:rPr>
              <w:t>-3</w:t>
            </w:r>
          </w:p>
        </w:tc>
        <w:tc>
          <w:tcPr>
            <w:tcW w:w="1595" w:type="dxa"/>
            <w:vAlign w:val="top"/>
          </w:tcPr>
          <w:p>
            <w:pPr>
              <w:pStyle w:val="TableText"/>
              <w:ind w:left="386"/>
              <w:spacing w:before="45" w:line="216" w:lineRule="auto"/>
              <w:rPr>
                <w:sz w:val="13"/>
                <w:szCs w:val="13"/>
              </w:rPr>
            </w:pPr>
            <w:r>
              <w:rPr>
                <w:spacing w:val="3"/>
              </w:rPr>
              <w:t>&lt;1.3×10</w:t>
            </w:r>
            <w:r>
              <w:rPr>
                <w:sz w:val="13"/>
                <w:szCs w:val="13"/>
                <w:spacing w:val="3"/>
                <w:position w:val="6"/>
              </w:rPr>
              <w:t>-3</w:t>
            </w:r>
          </w:p>
        </w:tc>
        <w:tc>
          <w:tcPr>
            <w:tcW w:w="1453" w:type="dxa"/>
            <w:vAlign w:val="top"/>
          </w:tcPr>
          <w:p>
            <w:pPr>
              <w:pStyle w:val="TableText"/>
              <w:ind w:left="318"/>
              <w:spacing w:before="45" w:line="216" w:lineRule="auto"/>
              <w:rPr>
                <w:sz w:val="13"/>
                <w:szCs w:val="13"/>
              </w:rPr>
            </w:pPr>
            <w:r>
              <w:rPr>
                <w:spacing w:val="3"/>
              </w:rPr>
              <w:t>&lt;1.3×10</w:t>
            </w:r>
            <w:r>
              <w:rPr>
                <w:sz w:val="13"/>
                <w:szCs w:val="13"/>
                <w:spacing w:val="3"/>
                <w:position w:val="6"/>
              </w:rPr>
              <w:t>-3</w:t>
            </w:r>
          </w:p>
        </w:tc>
        <w:tc>
          <w:tcPr>
            <w:tcW w:w="770" w:type="dxa"/>
            <w:vAlign w:val="top"/>
          </w:tcPr>
          <w:p>
            <w:pPr>
              <w:pStyle w:val="TableText"/>
              <w:ind w:left="237"/>
              <w:spacing w:before="65" w:line="195" w:lineRule="auto"/>
              <w:rPr/>
            </w:pPr>
            <w:r>
              <w:rPr>
                <w:spacing w:val="1"/>
              </w:rPr>
              <w:t>596</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78" w:type="dxa"/>
            <w:vAlign w:val="top"/>
          </w:tcPr>
          <w:p>
            <w:pPr>
              <w:pStyle w:val="TableText"/>
              <w:ind w:left="341"/>
              <w:spacing w:before="29" w:line="217" w:lineRule="auto"/>
              <w:rPr>
                <w:rFonts w:ascii="SimSun" w:hAnsi="SimSun" w:eastAsia="SimSun" w:cs="SimSun"/>
              </w:rPr>
            </w:pPr>
            <w:r>
              <w:rPr>
                <w:spacing w:val="2"/>
              </w:rPr>
              <w:t>*</w:t>
            </w:r>
            <w:r>
              <w:rPr>
                <w:rFonts w:ascii="SimSun" w:hAnsi="SimSun" w:eastAsia="SimSun" w:cs="SimSun"/>
                <w:spacing w:val="2"/>
              </w:rPr>
              <w:t>反</w:t>
            </w:r>
            <w:r>
              <w:rPr>
                <w:rFonts w:ascii="SimSun" w:hAnsi="SimSun" w:eastAsia="SimSun" w:cs="SimSun"/>
                <w:spacing w:val="-19"/>
              </w:rPr>
              <w:t xml:space="preserve"> </w:t>
            </w:r>
            <w:r>
              <w:rPr>
                <w:spacing w:val="2"/>
              </w:rPr>
              <w:t>1,2 </w:t>
            </w:r>
            <w:r>
              <w:rPr>
                <w:rFonts w:ascii="SimSun" w:hAnsi="SimSun" w:eastAsia="SimSun" w:cs="SimSun"/>
                <w:spacing w:val="2"/>
              </w:rPr>
              <w:t>二氯乙烯</w:t>
            </w:r>
          </w:p>
        </w:tc>
        <w:tc>
          <w:tcPr>
            <w:tcW w:w="1454" w:type="dxa"/>
            <w:vAlign w:val="top"/>
          </w:tcPr>
          <w:p>
            <w:pPr>
              <w:pStyle w:val="TableText"/>
              <w:ind w:left="314"/>
              <w:spacing w:before="45" w:line="216" w:lineRule="auto"/>
              <w:rPr>
                <w:sz w:val="13"/>
                <w:szCs w:val="13"/>
              </w:rPr>
            </w:pPr>
            <w:r>
              <w:rPr>
                <w:spacing w:val="3"/>
              </w:rPr>
              <w:t>&lt;1.4×10</w:t>
            </w:r>
            <w:r>
              <w:rPr>
                <w:sz w:val="13"/>
                <w:szCs w:val="13"/>
                <w:spacing w:val="3"/>
                <w:position w:val="6"/>
              </w:rPr>
              <w:t>-3</w:t>
            </w:r>
          </w:p>
        </w:tc>
        <w:tc>
          <w:tcPr>
            <w:tcW w:w="1595" w:type="dxa"/>
            <w:vAlign w:val="top"/>
          </w:tcPr>
          <w:p>
            <w:pPr>
              <w:pStyle w:val="TableText"/>
              <w:ind w:left="386"/>
              <w:spacing w:before="45" w:line="216" w:lineRule="auto"/>
              <w:rPr>
                <w:sz w:val="13"/>
                <w:szCs w:val="13"/>
              </w:rPr>
            </w:pPr>
            <w:r>
              <w:rPr>
                <w:spacing w:val="3"/>
              </w:rPr>
              <w:t>&lt;1.4×10</w:t>
            </w:r>
            <w:r>
              <w:rPr>
                <w:sz w:val="13"/>
                <w:szCs w:val="13"/>
                <w:spacing w:val="3"/>
                <w:position w:val="6"/>
              </w:rPr>
              <w:t>-3</w:t>
            </w:r>
          </w:p>
        </w:tc>
        <w:tc>
          <w:tcPr>
            <w:tcW w:w="1453" w:type="dxa"/>
            <w:vAlign w:val="top"/>
          </w:tcPr>
          <w:p>
            <w:pPr>
              <w:pStyle w:val="TableText"/>
              <w:ind w:left="318"/>
              <w:spacing w:before="45" w:line="216" w:lineRule="auto"/>
              <w:rPr>
                <w:sz w:val="13"/>
                <w:szCs w:val="13"/>
              </w:rPr>
            </w:pPr>
            <w:r>
              <w:rPr>
                <w:spacing w:val="3"/>
              </w:rPr>
              <w:t>&lt;1.4×10</w:t>
            </w:r>
            <w:r>
              <w:rPr>
                <w:sz w:val="13"/>
                <w:szCs w:val="13"/>
                <w:spacing w:val="3"/>
                <w:position w:val="6"/>
              </w:rPr>
              <w:t>-3</w:t>
            </w:r>
          </w:p>
        </w:tc>
        <w:tc>
          <w:tcPr>
            <w:tcW w:w="770" w:type="dxa"/>
            <w:vAlign w:val="top"/>
          </w:tcPr>
          <w:p>
            <w:pPr>
              <w:pStyle w:val="TableText"/>
              <w:ind w:left="287"/>
              <w:spacing w:before="65" w:line="195" w:lineRule="auto"/>
              <w:rPr/>
            </w:pPr>
            <w:r>
              <w:rPr/>
              <w:t>54</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29"/>
              <w:spacing w:before="32" w:line="217" w:lineRule="auto"/>
              <w:rPr>
                <w:rFonts w:ascii="SimSun" w:hAnsi="SimSun" w:eastAsia="SimSun" w:cs="SimSun"/>
              </w:rPr>
            </w:pPr>
            <w:r>
              <w:rPr>
                <w:spacing w:val="5"/>
              </w:rPr>
              <w:t>*</w:t>
            </w:r>
            <w:r>
              <w:rPr>
                <w:rFonts w:ascii="SimSun" w:hAnsi="SimSun" w:eastAsia="SimSun" w:cs="SimSun"/>
                <w:spacing w:val="5"/>
              </w:rPr>
              <w:t>二氯甲烷</w:t>
            </w:r>
          </w:p>
        </w:tc>
        <w:tc>
          <w:tcPr>
            <w:tcW w:w="1454" w:type="dxa"/>
            <w:vAlign w:val="top"/>
          </w:tcPr>
          <w:p>
            <w:pPr>
              <w:pStyle w:val="TableText"/>
              <w:ind w:left="314"/>
              <w:spacing w:before="48" w:line="216" w:lineRule="auto"/>
              <w:rPr>
                <w:sz w:val="13"/>
                <w:szCs w:val="13"/>
              </w:rPr>
            </w:pPr>
            <w:r>
              <w:rPr>
                <w:spacing w:val="3"/>
              </w:rPr>
              <w:t>&lt;1.5×10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&lt;1.5×10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&lt;1.5×10</w:t>
            </w:r>
            <w:r>
              <w:rPr>
                <w:sz w:val="13"/>
                <w:szCs w:val="13"/>
                <w:spacing w:val="3"/>
                <w:position w:val="6"/>
              </w:rPr>
              <w:t>-3</w:t>
            </w:r>
          </w:p>
        </w:tc>
        <w:tc>
          <w:tcPr>
            <w:tcW w:w="770" w:type="dxa"/>
            <w:vAlign w:val="top"/>
          </w:tcPr>
          <w:p>
            <w:pPr>
              <w:pStyle w:val="TableText"/>
              <w:ind w:left="235"/>
              <w:spacing w:before="68" w:line="195" w:lineRule="auto"/>
              <w:rPr/>
            </w:pPr>
            <w:r>
              <w:rPr>
                <w:spacing w:val="2"/>
              </w:rPr>
              <w:t>616</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463"/>
              <w:spacing w:before="30" w:line="219" w:lineRule="auto"/>
              <w:rPr>
                <w:rFonts w:ascii="SimSun" w:hAnsi="SimSun" w:eastAsia="SimSun" w:cs="SimSun"/>
              </w:rPr>
            </w:pPr>
            <w:r>
              <w:rPr>
                <w:spacing w:val="4"/>
              </w:rPr>
              <w:t>*1,2-</w:t>
            </w:r>
            <w:r>
              <w:rPr>
                <w:rFonts w:ascii="SimSun" w:hAnsi="SimSun" w:eastAsia="SimSun" w:cs="SimSun"/>
                <w:spacing w:val="4"/>
              </w:rPr>
              <w:t>二氯丙烷</w:t>
            </w:r>
          </w:p>
        </w:tc>
        <w:tc>
          <w:tcPr>
            <w:tcW w:w="1454" w:type="dxa"/>
            <w:vAlign w:val="top"/>
          </w:tcPr>
          <w:p>
            <w:pPr>
              <w:pStyle w:val="TableText"/>
              <w:ind w:left="314"/>
              <w:spacing w:before="46" w:line="216"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595" w:type="dxa"/>
            <w:vAlign w:val="top"/>
          </w:tcPr>
          <w:p>
            <w:pPr>
              <w:pStyle w:val="TableText"/>
              <w:ind w:left="386"/>
              <w:spacing w:before="46" w:line="216"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453" w:type="dxa"/>
            <w:vAlign w:val="top"/>
          </w:tcPr>
          <w:p>
            <w:pPr>
              <w:pStyle w:val="TableText"/>
              <w:ind w:left="318"/>
              <w:spacing w:before="46" w:line="216" w:lineRule="auto"/>
              <w:rPr>
                <w:sz w:val="13"/>
                <w:szCs w:val="13"/>
              </w:rPr>
            </w:pPr>
            <w:r>
              <w:rPr/>
              <w:t>&lt;1.</w:t>
            </w:r>
            <w:r>
              <w:rPr>
                <w:spacing w:val="-19"/>
              </w:rPr>
              <w:t xml:space="preserve"> </w:t>
            </w:r>
            <w:r>
              <w:rPr/>
              <w:t>1×10</w:t>
            </w:r>
            <w:r>
              <w:rPr>
                <w:sz w:val="13"/>
                <w:szCs w:val="13"/>
                <w:position w:val="6"/>
              </w:rPr>
              <w:t>-3</w:t>
            </w:r>
          </w:p>
        </w:tc>
        <w:tc>
          <w:tcPr>
            <w:tcW w:w="770" w:type="dxa"/>
            <w:vAlign w:val="top"/>
          </w:tcPr>
          <w:p>
            <w:pPr>
              <w:pStyle w:val="TableText"/>
              <w:ind w:left="340"/>
              <w:spacing w:before="69" w:line="192" w:lineRule="auto"/>
              <w:rPr/>
            </w:pPr>
            <w:r>
              <w:rPr/>
              <w:t>5</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78" w:type="dxa"/>
            <w:vAlign w:val="top"/>
          </w:tcPr>
          <w:p>
            <w:pPr>
              <w:pStyle w:val="TableText"/>
              <w:ind w:left="305"/>
              <w:spacing w:before="31" w:line="216" w:lineRule="auto"/>
              <w:rPr>
                <w:rFonts w:ascii="SimSun" w:hAnsi="SimSun" w:eastAsia="SimSun" w:cs="SimSun"/>
              </w:rPr>
            </w:pPr>
            <w:r>
              <w:rPr/>
              <w:t>*1,</w:t>
            </w:r>
            <w:r>
              <w:rPr>
                <w:spacing w:val="-19"/>
              </w:rPr>
              <w:t xml:space="preserve"> </w:t>
            </w:r>
            <w:r>
              <w:rPr/>
              <w:t>1,</w:t>
            </w:r>
            <w:r>
              <w:rPr>
                <w:spacing w:val="-25"/>
              </w:rPr>
              <w:t xml:space="preserve"> </w:t>
            </w:r>
            <w:r>
              <w:rPr/>
              <w:t>1,2-</w:t>
            </w:r>
            <w:r>
              <w:rPr>
                <w:rFonts w:ascii="SimSun" w:hAnsi="SimSun" w:eastAsia="SimSun" w:cs="SimSun"/>
              </w:rPr>
              <w:t>四氯乙烷</w:t>
            </w:r>
          </w:p>
        </w:tc>
        <w:tc>
          <w:tcPr>
            <w:tcW w:w="1454" w:type="dxa"/>
            <w:vAlign w:val="top"/>
          </w:tcPr>
          <w:p>
            <w:pPr>
              <w:pStyle w:val="TableText"/>
              <w:ind w:left="314"/>
              <w:spacing w:before="46"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6"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6"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301"/>
              <w:spacing w:before="66" w:line="195" w:lineRule="auto"/>
              <w:rPr/>
            </w:pPr>
            <w:r>
              <w:rPr>
                <w:spacing w:val="-8"/>
              </w:rPr>
              <w:t>10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305"/>
              <w:spacing w:before="31" w:line="218" w:lineRule="auto"/>
              <w:rPr>
                <w:rFonts w:ascii="SimSun" w:hAnsi="SimSun" w:eastAsia="SimSun" w:cs="SimSun"/>
              </w:rPr>
            </w:pPr>
            <w:r>
              <w:rPr>
                <w:spacing w:val="2"/>
              </w:rPr>
              <w:t>*1,</w:t>
            </w:r>
            <w:r>
              <w:rPr>
                <w:spacing w:val="-20"/>
              </w:rPr>
              <w:t xml:space="preserve"> </w:t>
            </w:r>
            <w:r>
              <w:rPr>
                <w:spacing w:val="2"/>
              </w:rPr>
              <w:t>1,2,2-</w:t>
            </w:r>
            <w:r>
              <w:rPr>
                <w:rFonts w:ascii="SimSun" w:hAnsi="SimSun" w:eastAsia="SimSun" w:cs="SimSun"/>
                <w:spacing w:val="2"/>
              </w:rPr>
              <w:t>四氯乙烷</w:t>
            </w:r>
          </w:p>
        </w:tc>
        <w:tc>
          <w:tcPr>
            <w:tcW w:w="1454" w:type="dxa"/>
            <w:vAlign w:val="top"/>
          </w:tcPr>
          <w:p>
            <w:pPr>
              <w:pStyle w:val="TableText"/>
              <w:ind w:left="314"/>
              <w:spacing w:before="50" w:line="213"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50" w:line="213"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50" w:line="213" w:lineRule="auto"/>
              <w:rPr>
                <w:sz w:val="13"/>
                <w:szCs w:val="13"/>
              </w:rPr>
            </w:pPr>
            <w:r>
              <w:rPr>
                <w:spacing w:val="3"/>
              </w:rPr>
              <w:t>&lt;1.2×10</w:t>
            </w:r>
            <w:r>
              <w:rPr>
                <w:sz w:val="13"/>
                <w:szCs w:val="13"/>
                <w:spacing w:val="3"/>
                <w:position w:val="6"/>
              </w:rPr>
              <w:t>-3</w:t>
            </w:r>
          </w:p>
        </w:tc>
        <w:tc>
          <w:tcPr>
            <w:tcW w:w="770" w:type="dxa"/>
            <w:vAlign w:val="top"/>
          </w:tcPr>
          <w:p>
            <w:pPr>
              <w:pStyle w:val="TableText"/>
              <w:ind w:left="262"/>
              <w:spacing w:before="67" w:line="195" w:lineRule="auto"/>
              <w:rPr/>
            </w:pPr>
            <w:r>
              <w:rPr>
                <w:spacing w:val="1"/>
              </w:rPr>
              <w:t>6.8</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29"/>
              <w:spacing w:before="31" w:line="218" w:lineRule="auto"/>
              <w:rPr>
                <w:rFonts w:ascii="SimSun" w:hAnsi="SimSun" w:eastAsia="SimSun" w:cs="SimSun"/>
              </w:rPr>
            </w:pPr>
            <w:r>
              <w:rPr>
                <w:spacing w:val="5"/>
              </w:rPr>
              <w:t>*</w:t>
            </w:r>
            <w:r>
              <w:rPr>
                <w:rFonts w:ascii="SimSun" w:hAnsi="SimSun" w:eastAsia="SimSun" w:cs="SimSun"/>
                <w:spacing w:val="5"/>
              </w:rPr>
              <w:t>四氯乙烯</w:t>
            </w:r>
          </w:p>
        </w:tc>
        <w:tc>
          <w:tcPr>
            <w:tcW w:w="1454" w:type="dxa"/>
            <w:vAlign w:val="top"/>
          </w:tcPr>
          <w:p>
            <w:pPr>
              <w:pStyle w:val="TableText"/>
              <w:ind w:left="314"/>
              <w:spacing w:before="47" w:line="216" w:lineRule="auto"/>
              <w:rPr>
                <w:sz w:val="13"/>
                <w:szCs w:val="13"/>
              </w:rPr>
            </w:pPr>
            <w:r>
              <w:rPr>
                <w:spacing w:val="3"/>
              </w:rPr>
              <w:t>&lt;1.4×10</w:t>
            </w:r>
            <w:r>
              <w:rPr>
                <w:sz w:val="13"/>
                <w:szCs w:val="13"/>
                <w:spacing w:val="3"/>
                <w:position w:val="6"/>
              </w:rPr>
              <w:t>-3</w:t>
            </w:r>
          </w:p>
        </w:tc>
        <w:tc>
          <w:tcPr>
            <w:tcW w:w="1595" w:type="dxa"/>
            <w:vAlign w:val="top"/>
          </w:tcPr>
          <w:p>
            <w:pPr>
              <w:pStyle w:val="TableText"/>
              <w:ind w:left="386"/>
              <w:spacing w:before="47" w:line="216" w:lineRule="auto"/>
              <w:rPr>
                <w:sz w:val="13"/>
                <w:szCs w:val="13"/>
              </w:rPr>
            </w:pPr>
            <w:r>
              <w:rPr>
                <w:spacing w:val="3"/>
              </w:rPr>
              <w:t>&lt;1.4×10</w:t>
            </w:r>
            <w:r>
              <w:rPr>
                <w:sz w:val="13"/>
                <w:szCs w:val="13"/>
                <w:spacing w:val="3"/>
                <w:position w:val="6"/>
              </w:rPr>
              <w:t>-3</w:t>
            </w:r>
          </w:p>
        </w:tc>
        <w:tc>
          <w:tcPr>
            <w:tcW w:w="1453" w:type="dxa"/>
            <w:vAlign w:val="top"/>
          </w:tcPr>
          <w:p>
            <w:pPr>
              <w:pStyle w:val="TableText"/>
              <w:ind w:left="318"/>
              <w:spacing w:before="47" w:line="216" w:lineRule="auto"/>
              <w:rPr>
                <w:sz w:val="13"/>
                <w:szCs w:val="13"/>
              </w:rPr>
            </w:pPr>
            <w:r>
              <w:rPr>
                <w:spacing w:val="3"/>
              </w:rPr>
              <w:t>&lt;1.4×10</w:t>
            </w:r>
            <w:r>
              <w:rPr>
                <w:sz w:val="13"/>
                <w:szCs w:val="13"/>
                <w:spacing w:val="3"/>
                <w:position w:val="6"/>
              </w:rPr>
              <w:t>-3</w:t>
            </w:r>
          </w:p>
        </w:tc>
        <w:tc>
          <w:tcPr>
            <w:tcW w:w="770" w:type="dxa"/>
            <w:vAlign w:val="top"/>
          </w:tcPr>
          <w:p>
            <w:pPr>
              <w:pStyle w:val="TableText"/>
              <w:ind w:left="287"/>
              <w:spacing w:before="67" w:line="195" w:lineRule="auto"/>
              <w:rPr/>
            </w:pPr>
            <w:r>
              <w:rPr/>
              <w:t>53</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384"/>
              <w:spacing w:before="31" w:line="218" w:lineRule="auto"/>
              <w:rPr>
                <w:rFonts w:ascii="SimSun" w:hAnsi="SimSun" w:eastAsia="SimSun" w:cs="SimSun"/>
              </w:rPr>
            </w:pPr>
            <w:r>
              <w:rPr>
                <w:spacing w:val="-1"/>
              </w:rPr>
              <w:t>*1,</w:t>
            </w:r>
            <w:r>
              <w:rPr>
                <w:spacing w:val="-16"/>
              </w:rPr>
              <w:t xml:space="preserve"> </w:t>
            </w:r>
            <w:r>
              <w:rPr>
                <w:spacing w:val="-1"/>
              </w:rPr>
              <w:t>1,</w:t>
            </w:r>
            <w:r>
              <w:rPr>
                <w:spacing w:val="-25"/>
              </w:rPr>
              <w:t xml:space="preserve"> </w:t>
            </w:r>
            <w:r>
              <w:rPr>
                <w:spacing w:val="-1"/>
              </w:rPr>
              <w:t>1-</w:t>
            </w:r>
            <w:r>
              <w:rPr>
                <w:rFonts w:ascii="SimSun" w:hAnsi="SimSun" w:eastAsia="SimSun" w:cs="SimSun"/>
                <w:spacing w:val="-1"/>
              </w:rPr>
              <w:t>三氯乙烷</w:t>
            </w:r>
          </w:p>
        </w:tc>
        <w:tc>
          <w:tcPr>
            <w:tcW w:w="1454" w:type="dxa"/>
            <w:vAlign w:val="top"/>
          </w:tcPr>
          <w:p>
            <w:pPr>
              <w:pStyle w:val="TableText"/>
              <w:ind w:left="314"/>
              <w:spacing w:before="48" w:line="216" w:lineRule="auto"/>
              <w:rPr>
                <w:sz w:val="13"/>
                <w:szCs w:val="13"/>
              </w:rPr>
            </w:pPr>
            <w:r>
              <w:rPr>
                <w:spacing w:val="3"/>
              </w:rPr>
              <w:t>&lt;1.3×10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&lt;1.3×10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&lt;1.3×10</w:t>
            </w:r>
            <w:r>
              <w:rPr>
                <w:sz w:val="13"/>
                <w:szCs w:val="13"/>
                <w:spacing w:val="3"/>
                <w:position w:val="6"/>
              </w:rPr>
              <w:t>-3</w:t>
            </w:r>
          </w:p>
        </w:tc>
        <w:tc>
          <w:tcPr>
            <w:tcW w:w="770" w:type="dxa"/>
            <w:vAlign w:val="top"/>
          </w:tcPr>
          <w:p>
            <w:pPr>
              <w:pStyle w:val="TableText"/>
              <w:ind w:left="239"/>
              <w:spacing w:before="68" w:line="195" w:lineRule="auto"/>
              <w:rPr/>
            </w:pPr>
            <w:r>
              <w:rPr/>
              <w:t>840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384"/>
              <w:spacing w:before="29" w:line="218" w:lineRule="auto"/>
              <w:rPr>
                <w:rFonts w:ascii="SimSun" w:hAnsi="SimSun" w:eastAsia="SimSun" w:cs="SimSun"/>
              </w:rPr>
            </w:pPr>
            <w:r>
              <w:rPr>
                <w:spacing w:val="2"/>
              </w:rPr>
              <w:t>*1,</w:t>
            </w:r>
            <w:r>
              <w:rPr>
                <w:spacing w:val="-24"/>
              </w:rPr>
              <w:t xml:space="preserve"> </w:t>
            </w:r>
            <w:r>
              <w:rPr>
                <w:spacing w:val="2"/>
              </w:rPr>
              <w:t>1,2-</w:t>
            </w:r>
            <w:r>
              <w:rPr>
                <w:rFonts w:ascii="SimSun" w:hAnsi="SimSun" w:eastAsia="SimSun" w:cs="SimSun"/>
                <w:spacing w:val="2"/>
              </w:rPr>
              <w:t>三氯乙烷</w:t>
            </w:r>
          </w:p>
        </w:tc>
        <w:tc>
          <w:tcPr>
            <w:tcW w:w="1454" w:type="dxa"/>
            <w:vAlign w:val="top"/>
          </w:tcPr>
          <w:p>
            <w:pPr>
              <w:pStyle w:val="TableText"/>
              <w:ind w:left="314"/>
              <w:spacing w:before="48" w:line="213"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8" w:line="213"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8" w:line="213" w:lineRule="auto"/>
              <w:rPr>
                <w:sz w:val="13"/>
                <w:szCs w:val="13"/>
              </w:rPr>
            </w:pPr>
            <w:r>
              <w:rPr>
                <w:spacing w:val="3"/>
              </w:rPr>
              <w:t>&lt;1.2×10</w:t>
            </w:r>
            <w:r>
              <w:rPr>
                <w:sz w:val="13"/>
                <w:szCs w:val="13"/>
                <w:spacing w:val="3"/>
                <w:position w:val="6"/>
              </w:rPr>
              <w:t>-3</w:t>
            </w:r>
          </w:p>
        </w:tc>
        <w:tc>
          <w:tcPr>
            <w:tcW w:w="770" w:type="dxa"/>
            <w:vAlign w:val="top"/>
          </w:tcPr>
          <w:p>
            <w:pPr>
              <w:pStyle w:val="TableText"/>
              <w:ind w:left="257"/>
              <w:spacing w:before="65" w:line="195" w:lineRule="auto"/>
              <w:rPr/>
            </w:pPr>
            <w:r>
              <w:rPr>
                <w:spacing w:val="2"/>
              </w:rPr>
              <w:t>2.8</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29"/>
              <w:spacing w:before="31" w:line="218" w:lineRule="auto"/>
              <w:rPr>
                <w:rFonts w:ascii="SimSun" w:hAnsi="SimSun" w:eastAsia="SimSun" w:cs="SimSun"/>
              </w:rPr>
            </w:pPr>
            <w:r>
              <w:rPr>
                <w:spacing w:val="5"/>
              </w:rPr>
              <w:t>*</w:t>
            </w:r>
            <w:r>
              <w:rPr>
                <w:rFonts w:ascii="SimSun" w:hAnsi="SimSun" w:eastAsia="SimSun" w:cs="SimSun"/>
                <w:spacing w:val="5"/>
              </w:rPr>
              <w:t>三氯乙烯</w:t>
            </w:r>
          </w:p>
        </w:tc>
        <w:tc>
          <w:tcPr>
            <w:tcW w:w="1454" w:type="dxa"/>
            <w:vAlign w:val="top"/>
          </w:tcPr>
          <w:p>
            <w:pPr>
              <w:pStyle w:val="TableText"/>
              <w:ind w:left="314"/>
              <w:spacing w:before="48"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57"/>
              <w:spacing w:before="68" w:line="195" w:lineRule="auto"/>
              <w:rPr/>
            </w:pPr>
            <w:r>
              <w:rPr>
                <w:spacing w:val="2"/>
              </w:rPr>
              <w:t>2.8</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384"/>
              <w:spacing w:before="32" w:line="217" w:lineRule="auto"/>
              <w:rPr>
                <w:rFonts w:ascii="SimSun" w:hAnsi="SimSun" w:eastAsia="SimSun" w:cs="SimSun"/>
              </w:rPr>
            </w:pPr>
            <w:r>
              <w:rPr>
                <w:spacing w:val="4"/>
              </w:rPr>
              <w:t>*1,2,3-</w:t>
            </w:r>
            <w:r>
              <w:rPr>
                <w:rFonts w:ascii="SimSun" w:hAnsi="SimSun" w:eastAsia="SimSun" w:cs="SimSun"/>
                <w:spacing w:val="4"/>
              </w:rPr>
              <w:t>三氯丙烷</w:t>
            </w:r>
          </w:p>
        </w:tc>
        <w:tc>
          <w:tcPr>
            <w:tcW w:w="1454" w:type="dxa"/>
            <w:vAlign w:val="top"/>
          </w:tcPr>
          <w:p>
            <w:pPr>
              <w:pStyle w:val="TableText"/>
              <w:ind w:left="314"/>
              <w:spacing w:before="48"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60"/>
              <w:spacing w:before="68" w:line="195" w:lineRule="auto"/>
              <w:rPr/>
            </w:pPr>
            <w:r>
              <w:rPr>
                <w:spacing w:val="1"/>
              </w:rPr>
              <w:t>0.5</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732"/>
              <w:spacing w:before="29" w:line="218" w:lineRule="auto"/>
              <w:rPr>
                <w:rFonts w:ascii="SimSun" w:hAnsi="SimSun" w:eastAsia="SimSun" w:cs="SimSun"/>
              </w:rPr>
            </w:pPr>
            <w:r>
              <w:rPr>
                <w:spacing w:val="5"/>
              </w:rPr>
              <w:t>*</w:t>
            </w:r>
            <w:r>
              <w:rPr>
                <w:rFonts w:ascii="SimSun" w:hAnsi="SimSun" w:eastAsia="SimSun" w:cs="SimSun"/>
                <w:spacing w:val="5"/>
              </w:rPr>
              <w:t>氯乙烯</w:t>
            </w:r>
          </w:p>
        </w:tc>
        <w:tc>
          <w:tcPr>
            <w:tcW w:w="1454" w:type="dxa"/>
            <w:vAlign w:val="top"/>
          </w:tcPr>
          <w:p>
            <w:pPr>
              <w:pStyle w:val="TableText"/>
              <w:ind w:left="314"/>
              <w:spacing w:before="48" w:line="213" w:lineRule="auto"/>
              <w:rPr>
                <w:sz w:val="13"/>
                <w:szCs w:val="13"/>
              </w:rPr>
            </w:pPr>
            <w:r>
              <w:rPr>
                <w:spacing w:val="3"/>
              </w:rPr>
              <w:t>&lt;1.0×10</w:t>
            </w:r>
            <w:r>
              <w:rPr>
                <w:sz w:val="13"/>
                <w:szCs w:val="13"/>
                <w:spacing w:val="3"/>
                <w:position w:val="6"/>
              </w:rPr>
              <w:t>-3</w:t>
            </w:r>
          </w:p>
        </w:tc>
        <w:tc>
          <w:tcPr>
            <w:tcW w:w="1595" w:type="dxa"/>
            <w:vAlign w:val="top"/>
          </w:tcPr>
          <w:p>
            <w:pPr>
              <w:pStyle w:val="TableText"/>
              <w:ind w:left="386"/>
              <w:spacing w:before="48" w:line="213" w:lineRule="auto"/>
              <w:rPr>
                <w:sz w:val="13"/>
                <w:szCs w:val="13"/>
              </w:rPr>
            </w:pPr>
            <w:r>
              <w:rPr>
                <w:spacing w:val="3"/>
              </w:rPr>
              <w:t>&lt;1.0×10</w:t>
            </w:r>
            <w:r>
              <w:rPr>
                <w:sz w:val="13"/>
                <w:szCs w:val="13"/>
                <w:spacing w:val="3"/>
                <w:position w:val="6"/>
              </w:rPr>
              <w:t>-3</w:t>
            </w:r>
          </w:p>
        </w:tc>
        <w:tc>
          <w:tcPr>
            <w:tcW w:w="1453" w:type="dxa"/>
            <w:vAlign w:val="top"/>
          </w:tcPr>
          <w:p>
            <w:pPr>
              <w:pStyle w:val="TableText"/>
              <w:ind w:left="318"/>
              <w:spacing w:before="48" w:line="213" w:lineRule="auto"/>
              <w:rPr>
                <w:sz w:val="13"/>
                <w:szCs w:val="13"/>
              </w:rPr>
            </w:pPr>
            <w:r>
              <w:rPr>
                <w:spacing w:val="3"/>
              </w:rPr>
              <w:t>&lt;1.0×10</w:t>
            </w:r>
            <w:r>
              <w:rPr>
                <w:sz w:val="13"/>
                <w:szCs w:val="13"/>
                <w:spacing w:val="3"/>
                <w:position w:val="6"/>
              </w:rPr>
              <w:t>-3</w:t>
            </w:r>
          </w:p>
        </w:tc>
        <w:tc>
          <w:tcPr>
            <w:tcW w:w="770" w:type="dxa"/>
            <w:vAlign w:val="top"/>
          </w:tcPr>
          <w:p>
            <w:pPr>
              <w:pStyle w:val="TableText"/>
              <w:ind w:left="205"/>
              <w:spacing w:before="66" w:line="195" w:lineRule="auto"/>
              <w:rPr/>
            </w:pPr>
            <w:r>
              <w:rPr>
                <w:spacing w:val="2"/>
              </w:rPr>
              <w:t>0.43</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2" w:line="217" w:lineRule="auto"/>
              <w:rPr>
                <w:rFonts w:ascii="SimSun" w:hAnsi="SimSun" w:eastAsia="SimSun" w:cs="SimSun"/>
              </w:rPr>
            </w:pPr>
            <w:r>
              <w:rPr>
                <w:spacing w:val="-1"/>
              </w:rPr>
              <w:t>*</w:t>
            </w:r>
            <w:r>
              <w:rPr>
                <w:rFonts w:ascii="SimSun" w:hAnsi="SimSun" w:eastAsia="SimSun" w:cs="SimSun"/>
                <w:spacing w:val="-1"/>
              </w:rPr>
              <w:t>苯</w:t>
            </w:r>
          </w:p>
        </w:tc>
        <w:tc>
          <w:tcPr>
            <w:tcW w:w="1454" w:type="dxa"/>
            <w:vAlign w:val="top"/>
          </w:tcPr>
          <w:p>
            <w:pPr>
              <w:pStyle w:val="TableText"/>
              <w:ind w:left="314"/>
              <w:spacing w:before="48" w:line="216" w:lineRule="auto"/>
              <w:rPr>
                <w:sz w:val="13"/>
                <w:szCs w:val="13"/>
              </w:rPr>
            </w:pPr>
            <w:r>
              <w:rPr>
                <w:spacing w:val="3"/>
              </w:rPr>
              <w:t>&lt;1.9×10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&lt;1.9×10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&lt;1.9×10</w:t>
            </w:r>
            <w:r>
              <w:rPr>
                <w:sz w:val="13"/>
                <w:szCs w:val="13"/>
                <w:spacing w:val="3"/>
                <w:position w:val="6"/>
              </w:rPr>
              <w:t>-3</w:t>
            </w:r>
          </w:p>
        </w:tc>
        <w:tc>
          <w:tcPr>
            <w:tcW w:w="770" w:type="dxa"/>
            <w:vAlign w:val="top"/>
          </w:tcPr>
          <w:p>
            <w:pPr>
              <w:pStyle w:val="TableText"/>
              <w:ind w:left="333"/>
              <w:spacing w:before="68" w:line="195" w:lineRule="auto"/>
              <w:rPr/>
            </w:pPr>
            <w:r>
              <w:rPr>
                <w:spacing w:val="1"/>
              </w:rPr>
              <w:t>4</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840"/>
              <w:spacing w:before="33" w:line="215" w:lineRule="auto"/>
              <w:rPr>
                <w:rFonts w:ascii="SimSun" w:hAnsi="SimSun" w:eastAsia="SimSun" w:cs="SimSun"/>
              </w:rPr>
            </w:pPr>
            <w:r>
              <w:rPr>
                <w:spacing w:val="2"/>
              </w:rPr>
              <w:t>*</w:t>
            </w:r>
            <w:r>
              <w:rPr>
                <w:rFonts w:ascii="SimSun" w:hAnsi="SimSun" w:eastAsia="SimSun" w:cs="SimSun"/>
                <w:spacing w:val="2"/>
              </w:rPr>
              <w:t>氯苯</w:t>
            </w:r>
          </w:p>
        </w:tc>
        <w:tc>
          <w:tcPr>
            <w:tcW w:w="1454" w:type="dxa"/>
            <w:vAlign w:val="top"/>
          </w:tcPr>
          <w:p>
            <w:pPr>
              <w:pStyle w:val="TableText"/>
              <w:ind w:left="314"/>
              <w:spacing w:before="48"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31"/>
              <w:spacing w:before="68" w:line="195" w:lineRule="auto"/>
              <w:rPr/>
            </w:pPr>
            <w:r>
              <w:rPr>
                <w:spacing w:val="3"/>
              </w:rPr>
              <w:t>270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569"/>
              <w:spacing w:before="32" w:line="217" w:lineRule="auto"/>
              <w:rPr>
                <w:rFonts w:ascii="SimSun" w:hAnsi="SimSun" w:eastAsia="SimSun" w:cs="SimSun"/>
              </w:rPr>
            </w:pPr>
            <w:r>
              <w:rPr>
                <w:spacing w:val="4"/>
              </w:rPr>
              <w:t>*1,2-</w:t>
            </w:r>
            <w:r>
              <w:rPr>
                <w:rFonts w:ascii="SimSun" w:hAnsi="SimSun" w:eastAsia="SimSun" w:cs="SimSun"/>
                <w:spacing w:val="4"/>
              </w:rPr>
              <w:t>二氯苯</w:t>
            </w:r>
          </w:p>
        </w:tc>
        <w:tc>
          <w:tcPr>
            <w:tcW w:w="1454" w:type="dxa"/>
            <w:vAlign w:val="top"/>
          </w:tcPr>
          <w:p>
            <w:pPr>
              <w:pStyle w:val="TableText"/>
              <w:ind w:left="314"/>
              <w:spacing w:before="48" w:line="216" w:lineRule="auto"/>
              <w:rPr>
                <w:sz w:val="13"/>
                <w:szCs w:val="13"/>
              </w:rPr>
            </w:pPr>
            <w:r>
              <w:rPr>
                <w:spacing w:val="3"/>
              </w:rPr>
              <w:t>&lt;1.5×10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&lt;1.5×10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&lt;1.5×10</w:t>
            </w:r>
            <w:r>
              <w:rPr>
                <w:sz w:val="13"/>
                <w:szCs w:val="13"/>
                <w:spacing w:val="3"/>
                <w:position w:val="6"/>
              </w:rPr>
              <w:t>-3</w:t>
            </w:r>
          </w:p>
        </w:tc>
        <w:tc>
          <w:tcPr>
            <w:tcW w:w="770" w:type="dxa"/>
            <w:vAlign w:val="top"/>
          </w:tcPr>
          <w:p>
            <w:pPr>
              <w:pStyle w:val="TableText"/>
              <w:ind w:left="237"/>
              <w:spacing w:before="68" w:line="195" w:lineRule="auto"/>
              <w:rPr/>
            </w:pPr>
            <w:r>
              <w:rPr>
                <w:spacing w:val="1"/>
              </w:rPr>
              <w:t>560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569"/>
              <w:spacing w:before="33" w:line="215" w:lineRule="auto"/>
              <w:rPr>
                <w:rFonts w:ascii="SimSun" w:hAnsi="SimSun" w:eastAsia="SimSun" w:cs="SimSun"/>
              </w:rPr>
            </w:pPr>
            <w:r>
              <w:rPr>
                <w:spacing w:val="4"/>
              </w:rPr>
              <w:t>*1,4-</w:t>
            </w:r>
            <w:r>
              <w:rPr>
                <w:rFonts w:ascii="SimSun" w:hAnsi="SimSun" w:eastAsia="SimSun" w:cs="SimSun"/>
                <w:spacing w:val="4"/>
              </w:rPr>
              <w:t>二氯苯</w:t>
            </w:r>
          </w:p>
        </w:tc>
        <w:tc>
          <w:tcPr>
            <w:tcW w:w="1454" w:type="dxa"/>
            <w:vAlign w:val="top"/>
          </w:tcPr>
          <w:p>
            <w:pPr>
              <w:pStyle w:val="TableText"/>
              <w:ind w:left="314"/>
              <w:spacing w:before="48" w:line="216" w:lineRule="auto"/>
              <w:rPr>
                <w:sz w:val="13"/>
                <w:szCs w:val="13"/>
              </w:rPr>
            </w:pPr>
            <w:r>
              <w:rPr>
                <w:spacing w:val="3"/>
              </w:rPr>
              <w:t>&lt;1.5×10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&lt;1.5×10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&lt;1.5×10</w:t>
            </w:r>
            <w:r>
              <w:rPr>
                <w:sz w:val="13"/>
                <w:szCs w:val="13"/>
                <w:spacing w:val="3"/>
                <w:position w:val="6"/>
              </w:rPr>
              <w:t>-3</w:t>
            </w:r>
          </w:p>
        </w:tc>
        <w:tc>
          <w:tcPr>
            <w:tcW w:w="770" w:type="dxa"/>
            <w:vAlign w:val="top"/>
          </w:tcPr>
          <w:p>
            <w:pPr>
              <w:pStyle w:val="TableText"/>
              <w:ind w:left="281"/>
              <w:spacing w:before="68" w:line="195" w:lineRule="auto"/>
              <w:rPr/>
            </w:pPr>
            <w:r>
              <w:rPr>
                <w:spacing w:val="2"/>
              </w:rPr>
              <w:t>20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840"/>
              <w:spacing w:before="35" w:line="215" w:lineRule="auto"/>
              <w:rPr>
                <w:rFonts w:ascii="SimSun" w:hAnsi="SimSun" w:eastAsia="SimSun" w:cs="SimSun"/>
              </w:rPr>
            </w:pPr>
            <w:r>
              <w:rPr>
                <w:spacing w:val="2"/>
              </w:rPr>
              <w:t>*</w:t>
            </w:r>
            <w:r>
              <w:rPr>
                <w:rFonts w:ascii="SimSun" w:hAnsi="SimSun" w:eastAsia="SimSun" w:cs="SimSun"/>
                <w:spacing w:val="2"/>
              </w:rPr>
              <w:t>乙苯</w:t>
            </w:r>
          </w:p>
        </w:tc>
        <w:tc>
          <w:tcPr>
            <w:tcW w:w="1454" w:type="dxa"/>
            <w:vAlign w:val="top"/>
          </w:tcPr>
          <w:p>
            <w:pPr>
              <w:pStyle w:val="TableText"/>
              <w:ind w:left="314"/>
              <w:spacing w:before="50"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50"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50"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81"/>
              <w:spacing w:before="70" w:line="195" w:lineRule="auto"/>
              <w:rPr/>
            </w:pPr>
            <w:r>
              <w:rPr>
                <w:spacing w:val="2"/>
              </w:rPr>
              <w:t>28</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732"/>
              <w:spacing w:before="32" w:line="217" w:lineRule="auto"/>
              <w:rPr>
                <w:rFonts w:ascii="SimSun" w:hAnsi="SimSun" w:eastAsia="SimSun" w:cs="SimSun"/>
              </w:rPr>
            </w:pPr>
            <w:r>
              <w:rPr>
                <w:spacing w:val="5"/>
              </w:rPr>
              <w:t>*</w:t>
            </w:r>
            <w:r>
              <w:rPr>
                <w:rFonts w:ascii="SimSun" w:hAnsi="SimSun" w:eastAsia="SimSun" w:cs="SimSun"/>
                <w:spacing w:val="5"/>
              </w:rPr>
              <w:t>苯乙烯</w:t>
            </w:r>
          </w:p>
        </w:tc>
        <w:tc>
          <w:tcPr>
            <w:tcW w:w="1454" w:type="dxa"/>
            <w:vAlign w:val="top"/>
          </w:tcPr>
          <w:p>
            <w:pPr>
              <w:pStyle w:val="TableText"/>
              <w:ind w:left="314"/>
              <w:spacing w:before="48" w:line="216"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595" w:type="dxa"/>
            <w:vAlign w:val="top"/>
          </w:tcPr>
          <w:p>
            <w:pPr>
              <w:pStyle w:val="TableText"/>
              <w:ind w:left="386"/>
              <w:spacing w:before="48" w:line="216" w:lineRule="auto"/>
              <w:rPr>
                <w:sz w:val="13"/>
                <w:szCs w:val="13"/>
              </w:rPr>
            </w:pPr>
            <w:r>
              <w:rPr>
                <w:spacing w:val="1"/>
              </w:rPr>
              <w:t>&lt;1.</w:t>
            </w:r>
            <w:r>
              <w:rPr>
                <w:spacing w:val="-25"/>
              </w:rPr>
              <w:t xml:space="preserve"> </w:t>
            </w:r>
            <w:r>
              <w:rPr>
                <w:spacing w:val="1"/>
              </w:rPr>
              <w:t>1×10</w:t>
            </w:r>
            <w:r>
              <w:rPr>
                <w:sz w:val="13"/>
                <w:szCs w:val="13"/>
                <w:spacing w:val="1"/>
                <w:position w:val="6"/>
              </w:rPr>
              <w:t>-3</w:t>
            </w:r>
          </w:p>
        </w:tc>
        <w:tc>
          <w:tcPr>
            <w:tcW w:w="1453" w:type="dxa"/>
            <w:vAlign w:val="top"/>
          </w:tcPr>
          <w:p>
            <w:pPr>
              <w:pStyle w:val="TableText"/>
              <w:ind w:left="318"/>
              <w:spacing w:before="48" w:line="216" w:lineRule="auto"/>
              <w:rPr>
                <w:sz w:val="13"/>
                <w:szCs w:val="13"/>
              </w:rPr>
            </w:pPr>
            <w:r>
              <w:rPr/>
              <w:t>&lt;1.</w:t>
            </w:r>
            <w:r>
              <w:rPr>
                <w:spacing w:val="-19"/>
              </w:rPr>
              <w:t xml:space="preserve"> </w:t>
            </w:r>
            <w:r>
              <w:rPr/>
              <w:t>1×10</w:t>
            </w:r>
            <w:r>
              <w:rPr>
                <w:sz w:val="13"/>
                <w:szCs w:val="13"/>
                <w:position w:val="6"/>
              </w:rPr>
              <w:t>-3</w:t>
            </w:r>
          </w:p>
        </w:tc>
        <w:tc>
          <w:tcPr>
            <w:tcW w:w="770" w:type="dxa"/>
            <w:vAlign w:val="top"/>
          </w:tcPr>
          <w:p>
            <w:pPr>
              <w:pStyle w:val="TableText"/>
              <w:ind w:left="198"/>
              <w:spacing w:before="68" w:line="195" w:lineRule="auto"/>
              <w:rPr/>
            </w:pPr>
            <w:r>
              <w:rPr>
                <w:spacing w:val="-2"/>
              </w:rPr>
              <w:t>1290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840"/>
              <w:spacing w:before="33" w:line="215" w:lineRule="auto"/>
              <w:rPr>
                <w:rFonts w:ascii="SimSun" w:hAnsi="SimSun" w:eastAsia="SimSun" w:cs="SimSun"/>
              </w:rPr>
            </w:pPr>
            <w:r>
              <w:rPr>
                <w:spacing w:val="2"/>
              </w:rPr>
              <w:t>*</w:t>
            </w:r>
            <w:r>
              <w:rPr>
                <w:rFonts w:ascii="SimSun" w:hAnsi="SimSun" w:eastAsia="SimSun" w:cs="SimSun"/>
                <w:spacing w:val="2"/>
              </w:rPr>
              <w:t>甲苯</w:t>
            </w:r>
          </w:p>
        </w:tc>
        <w:tc>
          <w:tcPr>
            <w:tcW w:w="1454" w:type="dxa"/>
            <w:vAlign w:val="top"/>
          </w:tcPr>
          <w:p>
            <w:pPr>
              <w:pStyle w:val="TableText"/>
              <w:ind w:left="314"/>
              <w:spacing w:before="48" w:line="216" w:lineRule="auto"/>
              <w:rPr>
                <w:sz w:val="13"/>
                <w:szCs w:val="13"/>
              </w:rPr>
            </w:pPr>
            <w:r>
              <w:rPr>
                <w:spacing w:val="3"/>
              </w:rPr>
              <w:t>&lt;1.3×10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&lt;1.3×10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&lt;1.3×10</w:t>
            </w:r>
            <w:r>
              <w:rPr>
                <w:sz w:val="13"/>
                <w:szCs w:val="13"/>
                <w:spacing w:val="3"/>
                <w:position w:val="6"/>
              </w:rPr>
              <w:t>-3</w:t>
            </w:r>
          </w:p>
        </w:tc>
        <w:tc>
          <w:tcPr>
            <w:tcW w:w="770" w:type="dxa"/>
            <w:vAlign w:val="top"/>
          </w:tcPr>
          <w:p>
            <w:pPr>
              <w:pStyle w:val="TableText"/>
              <w:ind w:left="198"/>
              <w:spacing w:before="68" w:line="195" w:lineRule="auto"/>
              <w:rPr/>
            </w:pPr>
            <w:r>
              <w:rPr>
                <w:spacing w:val="-2"/>
              </w:rPr>
              <w:t>1200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149"/>
              <w:spacing w:before="35" w:line="215" w:lineRule="auto"/>
              <w:rPr>
                <w:rFonts w:ascii="SimSun" w:hAnsi="SimSun" w:eastAsia="SimSun" w:cs="SimSun"/>
              </w:rPr>
            </w:pPr>
            <w:r>
              <w:rPr>
                <w:spacing w:val="7"/>
              </w:rPr>
              <w:t>*</w:t>
            </w:r>
            <w:r>
              <w:rPr>
                <w:rFonts w:ascii="SimSun" w:hAnsi="SimSun" w:eastAsia="SimSun" w:cs="SimSun"/>
                <w:spacing w:val="7"/>
              </w:rPr>
              <w:t>间二甲苯</w:t>
            </w:r>
            <w:r>
              <w:rPr>
                <w:spacing w:val="7"/>
              </w:rPr>
              <w:t>+</w:t>
            </w:r>
            <w:r>
              <w:rPr>
                <w:rFonts w:ascii="SimSun" w:hAnsi="SimSun" w:eastAsia="SimSun" w:cs="SimSun"/>
                <w:spacing w:val="7"/>
              </w:rPr>
              <w:t>对二甲苯</w:t>
            </w:r>
          </w:p>
        </w:tc>
        <w:tc>
          <w:tcPr>
            <w:tcW w:w="1454" w:type="dxa"/>
            <w:vAlign w:val="top"/>
          </w:tcPr>
          <w:p>
            <w:pPr>
              <w:pStyle w:val="TableText"/>
              <w:ind w:left="314"/>
              <w:spacing w:before="50"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50"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50"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37"/>
              <w:spacing w:before="70" w:line="195" w:lineRule="auto"/>
              <w:rPr/>
            </w:pPr>
            <w:r>
              <w:rPr>
                <w:spacing w:val="1"/>
              </w:rPr>
              <w:t>570</w:t>
            </w:r>
          </w:p>
        </w:tc>
        <w:tc>
          <w:tcPr>
            <w:tcW w:w="919" w:type="dxa"/>
            <w:vAlign w:val="top"/>
          </w:tcPr>
          <w:p>
            <w:pPr>
              <w:pStyle w:val="TableText"/>
              <w:ind w:left="190"/>
              <w:spacing w:before="67"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29"/>
              <w:spacing w:before="32" w:line="217" w:lineRule="auto"/>
              <w:rPr>
                <w:rFonts w:ascii="SimSun" w:hAnsi="SimSun" w:eastAsia="SimSun" w:cs="SimSun"/>
              </w:rPr>
            </w:pPr>
            <w:r>
              <w:rPr>
                <w:spacing w:val="5"/>
              </w:rPr>
              <w:t>*</w:t>
            </w:r>
            <w:r>
              <w:rPr>
                <w:rFonts w:ascii="SimSun" w:hAnsi="SimSun" w:eastAsia="SimSun" w:cs="SimSun"/>
                <w:spacing w:val="5"/>
              </w:rPr>
              <w:t>邻二甲苯</w:t>
            </w:r>
          </w:p>
        </w:tc>
        <w:tc>
          <w:tcPr>
            <w:tcW w:w="1454" w:type="dxa"/>
            <w:vAlign w:val="top"/>
          </w:tcPr>
          <w:p>
            <w:pPr>
              <w:pStyle w:val="TableText"/>
              <w:ind w:left="314"/>
              <w:spacing w:before="48" w:line="216" w:lineRule="auto"/>
              <w:rPr>
                <w:sz w:val="13"/>
                <w:szCs w:val="13"/>
              </w:rPr>
            </w:pPr>
            <w:r>
              <w:rPr>
                <w:spacing w:val="3"/>
              </w:rPr>
              <w:t>&lt;1.2×10</w:t>
            </w:r>
            <w:r>
              <w:rPr>
                <w:sz w:val="13"/>
                <w:szCs w:val="13"/>
                <w:spacing w:val="3"/>
                <w:position w:val="6"/>
              </w:rPr>
              <w:t>-3</w:t>
            </w:r>
          </w:p>
        </w:tc>
        <w:tc>
          <w:tcPr>
            <w:tcW w:w="1595" w:type="dxa"/>
            <w:vAlign w:val="top"/>
          </w:tcPr>
          <w:p>
            <w:pPr>
              <w:pStyle w:val="TableText"/>
              <w:ind w:left="386"/>
              <w:spacing w:before="48" w:line="216" w:lineRule="auto"/>
              <w:rPr>
                <w:sz w:val="13"/>
                <w:szCs w:val="13"/>
              </w:rPr>
            </w:pPr>
            <w:r>
              <w:rPr>
                <w:spacing w:val="3"/>
              </w:rPr>
              <w:t>&lt;1.2×10</w:t>
            </w:r>
            <w:r>
              <w:rPr>
                <w:sz w:val="13"/>
                <w:szCs w:val="13"/>
                <w:spacing w:val="3"/>
                <w:position w:val="6"/>
              </w:rPr>
              <w:t>-3</w:t>
            </w:r>
          </w:p>
        </w:tc>
        <w:tc>
          <w:tcPr>
            <w:tcW w:w="1453" w:type="dxa"/>
            <w:vAlign w:val="top"/>
          </w:tcPr>
          <w:p>
            <w:pPr>
              <w:pStyle w:val="TableText"/>
              <w:ind w:left="318"/>
              <w:spacing w:before="48" w:line="216" w:lineRule="auto"/>
              <w:rPr>
                <w:sz w:val="13"/>
                <w:szCs w:val="13"/>
              </w:rPr>
            </w:pPr>
            <w:r>
              <w:rPr>
                <w:spacing w:val="3"/>
              </w:rPr>
              <w:t>&lt;1.2×10</w:t>
            </w:r>
            <w:r>
              <w:rPr>
                <w:sz w:val="13"/>
                <w:szCs w:val="13"/>
                <w:spacing w:val="3"/>
                <w:position w:val="6"/>
              </w:rPr>
              <w:t>-3</w:t>
            </w:r>
          </w:p>
        </w:tc>
        <w:tc>
          <w:tcPr>
            <w:tcW w:w="770" w:type="dxa"/>
            <w:vAlign w:val="top"/>
          </w:tcPr>
          <w:p>
            <w:pPr>
              <w:pStyle w:val="TableText"/>
              <w:ind w:left="235"/>
              <w:spacing w:before="68" w:line="195" w:lineRule="auto"/>
              <w:rPr/>
            </w:pPr>
            <w:r>
              <w:rPr>
                <w:spacing w:val="2"/>
              </w:rPr>
              <w:t>640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732"/>
              <w:spacing w:before="33" w:line="215" w:lineRule="auto"/>
              <w:rPr>
                <w:rFonts w:ascii="SimSun" w:hAnsi="SimSun" w:eastAsia="SimSun" w:cs="SimSun"/>
              </w:rPr>
            </w:pPr>
            <w:r>
              <w:rPr>
                <w:spacing w:val="5"/>
              </w:rPr>
              <w:t>*</w:t>
            </w:r>
            <w:r>
              <w:rPr>
                <w:rFonts w:ascii="SimSun" w:hAnsi="SimSun" w:eastAsia="SimSun" w:cs="SimSun"/>
                <w:spacing w:val="5"/>
              </w:rPr>
              <w:t>硝基苯</w:t>
            </w:r>
          </w:p>
        </w:tc>
        <w:tc>
          <w:tcPr>
            <w:tcW w:w="1454" w:type="dxa"/>
            <w:vAlign w:val="top"/>
          </w:tcPr>
          <w:p>
            <w:pPr>
              <w:pStyle w:val="TableText"/>
              <w:ind w:left="484"/>
              <w:spacing w:before="68" w:line="195" w:lineRule="auto"/>
              <w:rPr/>
            </w:pPr>
            <w:r>
              <w:rPr>
                <w:spacing w:val="3"/>
              </w:rPr>
              <w:t>&lt;0.09</w:t>
            </w:r>
          </w:p>
        </w:tc>
        <w:tc>
          <w:tcPr>
            <w:tcW w:w="1595" w:type="dxa"/>
            <w:vAlign w:val="top"/>
          </w:tcPr>
          <w:p>
            <w:pPr>
              <w:pStyle w:val="TableText"/>
              <w:ind w:left="554"/>
              <w:spacing w:before="68" w:line="195" w:lineRule="auto"/>
              <w:rPr/>
            </w:pPr>
            <w:r>
              <w:rPr>
                <w:spacing w:val="3"/>
              </w:rPr>
              <w:t>&lt;0.09</w:t>
            </w:r>
          </w:p>
        </w:tc>
        <w:tc>
          <w:tcPr>
            <w:tcW w:w="1453" w:type="dxa"/>
            <w:vAlign w:val="top"/>
          </w:tcPr>
          <w:p>
            <w:pPr>
              <w:pStyle w:val="TableText"/>
              <w:ind w:left="486"/>
              <w:spacing w:before="68" w:line="195" w:lineRule="auto"/>
              <w:rPr/>
            </w:pPr>
            <w:r>
              <w:rPr>
                <w:spacing w:val="3"/>
              </w:rPr>
              <w:t>&lt;0.09</w:t>
            </w:r>
          </w:p>
        </w:tc>
        <w:tc>
          <w:tcPr>
            <w:tcW w:w="770" w:type="dxa"/>
            <w:vAlign w:val="top"/>
          </w:tcPr>
          <w:p>
            <w:pPr>
              <w:pStyle w:val="TableText"/>
              <w:ind w:left="285"/>
              <w:spacing w:before="68" w:line="195" w:lineRule="auto"/>
              <w:rPr/>
            </w:pPr>
            <w:r>
              <w:rPr>
                <w:spacing w:val="1"/>
              </w:rPr>
              <w:t>76</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840"/>
              <w:spacing w:before="32" w:line="217" w:lineRule="auto"/>
              <w:rPr>
                <w:rFonts w:ascii="SimSun" w:hAnsi="SimSun" w:eastAsia="SimSun" w:cs="SimSun"/>
              </w:rPr>
            </w:pPr>
            <w:r>
              <w:rPr>
                <w:spacing w:val="2"/>
              </w:rPr>
              <w:t>*</w:t>
            </w:r>
            <w:r>
              <w:rPr>
                <w:rFonts w:ascii="SimSun" w:hAnsi="SimSun" w:eastAsia="SimSun" w:cs="SimSun"/>
                <w:spacing w:val="2"/>
              </w:rPr>
              <w:t>苯胺</w:t>
            </w:r>
          </w:p>
        </w:tc>
        <w:tc>
          <w:tcPr>
            <w:tcW w:w="1454" w:type="dxa"/>
            <w:vAlign w:val="top"/>
          </w:tcPr>
          <w:p>
            <w:pPr>
              <w:pStyle w:val="TableText"/>
              <w:ind w:left="484"/>
              <w:spacing w:before="68" w:line="195" w:lineRule="auto"/>
              <w:rPr/>
            </w:pPr>
            <w:r>
              <w:rPr>
                <w:spacing w:val="3"/>
              </w:rPr>
              <w:t>&lt;0.08</w:t>
            </w:r>
          </w:p>
        </w:tc>
        <w:tc>
          <w:tcPr>
            <w:tcW w:w="1595" w:type="dxa"/>
            <w:vAlign w:val="top"/>
          </w:tcPr>
          <w:p>
            <w:pPr>
              <w:pStyle w:val="TableText"/>
              <w:ind w:left="554"/>
              <w:spacing w:before="68" w:line="195" w:lineRule="auto"/>
              <w:rPr/>
            </w:pPr>
            <w:r>
              <w:rPr>
                <w:spacing w:val="3"/>
              </w:rPr>
              <w:t>&lt;0.08</w:t>
            </w:r>
          </w:p>
        </w:tc>
        <w:tc>
          <w:tcPr>
            <w:tcW w:w="1453" w:type="dxa"/>
            <w:vAlign w:val="top"/>
          </w:tcPr>
          <w:p>
            <w:pPr>
              <w:pStyle w:val="TableText"/>
              <w:ind w:left="486"/>
              <w:spacing w:before="68" w:line="195" w:lineRule="auto"/>
              <w:rPr/>
            </w:pPr>
            <w:r>
              <w:rPr>
                <w:spacing w:val="3"/>
              </w:rPr>
              <w:t>&lt;0.08</w:t>
            </w:r>
          </w:p>
        </w:tc>
        <w:tc>
          <w:tcPr>
            <w:tcW w:w="770" w:type="dxa"/>
            <w:vAlign w:val="top"/>
          </w:tcPr>
          <w:p>
            <w:pPr>
              <w:pStyle w:val="TableText"/>
              <w:ind w:left="231"/>
              <w:spacing w:before="68" w:line="195" w:lineRule="auto"/>
              <w:rPr/>
            </w:pPr>
            <w:r>
              <w:rPr>
                <w:spacing w:val="3"/>
              </w:rPr>
              <w:t>260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751"/>
              <w:spacing w:before="32" w:line="217" w:lineRule="auto"/>
              <w:rPr>
                <w:rFonts w:ascii="SimSun" w:hAnsi="SimSun" w:eastAsia="SimSun" w:cs="SimSun"/>
              </w:rPr>
            </w:pPr>
            <w:r>
              <w:rPr>
                <w:spacing w:val="2"/>
              </w:rPr>
              <w:t>*2-</w:t>
            </w:r>
            <w:r>
              <w:rPr>
                <w:rFonts w:ascii="SimSun" w:hAnsi="SimSun" w:eastAsia="SimSun" w:cs="SimSun"/>
                <w:spacing w:val="2"/>
              </w:rPr>
              <w:t>氯酚</w:t>
            </w:r>
          </w:p>
        </w:tc>
        <w:tc>
          <w:tcPr>
            <w:tcW w:w="1454" w:type="dxa"/>
            <w:vAlign w:val="top"/>
          </w:tcPr>
          <w:p>
            <w:pPr>
              <w:pStyle w:val="TableText"/>
              <w:ind w:left="484"/>
              <w:spacing w:before="68" w:line="195" w:lineRule="auto"/>
              <w:rPr/>
            </w:pPr>
            <w:r>
              <w:rPr>
                <w:spacing w:val="3"/>
              </w:rPr>
              <w:t>&lt;0.06</w:t>
            </w:r>
          </w:p>
        </w:tc>
        <w:tc>
          <w:tcPr>
            <w:tcW w:w="1595" w:type="dxa"/>
            <w:vAlign w:val="top"/>
          </w:tcPr>
          <w:p>
            <w:pPr>
              <w:pStyle w:val="TableText"/>
              <w:ind w:left="554"/>
              <w:spacing w:before="68" w:line="195" w:lineRule="auto"/>
              <w:rPr/>
            </w:pPr>
            <w:r>
              <w:rPr>
                <w:spacing w:val="3"/>
              </w:rPr>
              <w:t>&lt;0.06</w:t>
            </w:r>
          </w:p>
        </w:tc>
        <w:tc>
          <w:tcPr>
            <w:tcW w:w="1453" w:type="dxa"/>
            <w:vAlign w:val="top"/>
          </w:tcPr>
          <w:p>
            <w:pPr>
              <w:pStyle w:val="TableText"/>
              <w:ind w:left="486"/>
              <w:spacing w:before="68" w:line="195" w:lineRule="auto"/>
              <w:rPr/>
            </w:pPr>
            <w:r>
              <w:rPr>
                <w:spacing w:val="3"/>
              </w:rPr>
              <w:t>&lt;0.06</w:t>
            </w:r>
          </w:p>
        </w:tc>
        <w:tc>
          <w:tcPr>
            <w:tcW w:w="770" w:type="dxa"/>
            <w:vAlign w:val="top"/>
          </w:tcPr>
          <w:p>
            <w:pPr>
              <w:pStyle w:val="TableText"/>
              <w:ind w:left="178"/>
              <w:spacing w:before="68" w:line="195" w:lineRule="auto"/>
              <w:rPr/>
            </w:pPr>
            <w:r>
              <w:rPr>
                <w:spacing w:val="3"/>
              </w:rPr>
              <w:t>2256</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617"/>
              <w:spacing w:before="33" w:line="215"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蒽</w:t>
            </w:r>
          </w:p>
        </w:tc>
        <w:tc>
          <w:tcPr>
            <w:tcW w:w="1454" w:type="dxa"/>
            <w:vAlign w:val="top"/>
          </w:tcPr>
          <w:p>
            <w:pPr>
              <w:pStyle w:val="TableText"/>
              <w:ind w:left="535"/>
              <w:spacing w:before="69"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9"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9" w:line="195" w:lineRule="auto"/>
              <w:rPr/>
            </w:pPr>
            <w:r>
              <w:rPr>
                <w:spacing w:val="2"/>
              </w:rPr>
              <w:t>&lt;0.</w:t>
            </w:r>
            <w:r>
              <w:rPr>
                <w:spacing w:val="-25"/>
              </w:rPr>
              <w:t xml:space="preserve"> </w:t>
            </w:r>
            <w:r>
              <w:rPr>
                <w:spacing w:val="2"/>
              </w:rPr>
              <w:t>1</w:t>
            </w:r>
          </w:p>
        </w:tc>
        <w:tc>
          <w:tcPr>
            <w:tcW w:w="770" w:type="dxa"/>
            <w:vAlign w:val="top"/>
          </w:tcPr>
          <w:p>
            <w:pPr>
              <w:pStyle w:val="TableText"/>
              <w:ind w:left="301"/>
              <w:spacing w:before="69" w:line="195" w:lineRule="auto"/>
              <w:rPr/>
            </w:pPr>
            <w:r>
              <w:rPr>
                <w:spacing w:val="-8"/>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617"/>
              <w:spacing w:before="32" w:line="217"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芘</w:t>
            </w:r>
          </w:p>
        </w:tc>
        <w:tc>
          <w:tcPr>
            <w:tcW w:w="1454" w:type="dxa"/>
            <w:vAlign w:val="top"/>
          </w:tcPr>
          <w:p>
            <w:pPr>
              <w:pStyle w:val="TableText"/>
              <w:ind w:left="535"/>
              <w:spacing w:before="68"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8"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8" w:line="195" w:lineRule="auto"/>
              <w:rPr/>
            </w:pPr>
            <w:r>
              <w:rPr>
                <w:spacing w:val="2"/>
              </w:rPr>
              <w:t>&lt;0.</w:t>
            </w:r>
            <w:r>
              <w:rPr>
                <w:spacing w:val="-25"/>
              </w:rPr>
              <w:t xml:space="preserve"> </w:t>
            </w:r>
            <w:r>
              <w:rPr>
                <w:spacing w:val="2"/>
              </w:rPr>
              <w:t>1</w:t>
            </w:r>
          </w:p>
        </w:tc>
        <w:tc>
          <w:tcPr>
            <w:tcW w:w="770" w:type="dxa"/>
            <w:vAlign w:val="top"/>
          </w:tcPr>
          <w:p>
            <w:pPr>
              <w:pStyle w:val="TableText"/>
              <w:ind w:left="277"/>
              <w:spacing w:before="68" w:line="195" w:lineRule="auto"/>
              <w:rPr/>
            </w:pPr>
            <w:r>
              <w:rPr>
                <w:spacing w:val="-4"/>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504"/>
              <w:spacing w:before="32" w:line="217" w:lineRule="auto"/>
              <w:rPr>
                <w:rFonts w:ascii="SimSun" w:hAnsi="SimSun" w:eastAsia="SimSun" w:cs="SimSun"/>
              </w:rPr>
            </w:pPr>
            <w:r>
              <w:rPr>
                <w:spacing w:val="4"/>
              </w:rPr>
              <w:t>*</w:t>
            </w:r>
            <w:r>
              <w:rPr>
                <w:rFonts w:ascii="SimSun" w:hAnsi="SimSun" w:eastAsia="SimSun" w:cs="SimSun"/>
                <w:spacing w:val="4"/>
              </w:rPr>
              <w:t>苯并</w:t>
            </w:r>
            <w:r>
              <w:rPr>
                <w:spacing w:val="4"/>
              </w:rPr>
              <w:t>[b]</w:t>
            </w:r>
            <w:r>
              <w:rPr>
                <w:rFonts w:ascii="SimSun" w:hAnsi="SimSun" w:eastAsia="SimSun" w:cs="SimSun"/>
                <w:spacing w:val="4"/>
              </w:rPr>
              <w:t>荧蒽</w:t>
            </w:r>
          </w:p>
        </w:tc>
        <w:tc>
          <w:tcPr>
            <w:tcW w:w="1454" w:type="dxa"/>
            <w:vAlign w:val="top"/>
          </w:tcPr>
          <w:p>
            <w:pPr>
              <w:pStyle w:val="TableText"/>
              <w:ind w:left="535"/>
              <w:spacing w:before="69" w:line="195" w:lineRule="auto"/>
              <w:rPr/>
            </w:pPr>
            <w:r>
              <w:rPr>
                <w:spacing w:val="3"/>
              </w:rPr>
              <w:t>&lt;0.2</w:t>
            </w:r>
          </w:p>
        </w:tc>
        <w:tc>
          <w:tcPr>
            <w:tcW w:w="1595" w:type="dxa"/>
            <w:vAlign w:val="top"/>
          </w:tcPr>
          <w:p>
            <w:pPr>
              <w:pStyle w:val="TableText"/>
              <w:ind w:left="605"/>
              <w:spacing w:before="69" w:line="195" w:lineRule="auto"/>
              <w:rPr/>
            </w:pPr>
            <w:r>
              <w:rPr>
                <w:spacing w:val="4"/>
              </w:rPr>
              <w:t>&lt;0.2</w:t>
            </w:r>
          </w:p>
        </w:tc>
        <w:tc>
          <w:tcPr>
            <w:tcW w:w="1453" w:type="dxa"/>
            <w:vAlign w:val="top"/>
          </w:tcPr>
          <w:p>
            <w:pPr>
              <w:pStyle w:val="TableText"/>
              <w:ind w:left="538"/>
              <w:spacing w:before="69" w:line="195" w:lineRule="auto"/>
              <w:rPr/>
            </w:pPr>
            <w:r>
              <w:rPr>
                <w:spacing w:val="3"/>
              </w:rPr>
              <w:t>&lt;0.2</w:t>
            </w:r>
          </w:p>
        </w:tc>
        <w:tc>
          <w:tcPr>
            <w:tcW w:w="770" w:type="dxa"/>
            <w:vAlign w:val="top"/>
          </w:tcPr>
          <w:p>
            <w:pPr>
              <w:pStyle w:val="TableText"/>
              <w:ind w:left="301"/>
              <w:spacing w:before="69" w:line="195" w:lineRule="auto"/>
              <w:rPr/>
            </w:pPr>
            <w:r>
              <w:rPr>
                <w:spacing w:val="-8"/>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504"/>
              <w:spacing w:before="33" w:line="215" w:lineRule="auto"/>
              <w:rPr>
                <w:rFonts w:ascii="SimSun" w:hAnsi="SimSun" w:eastAsia="SimSun" w:cs="SimSun"/>
              </w:rPr>
            </w:pPr>
            <w:r>
              <w:rPr>
                <w:spacing w:val="4"/>
              </w:rPr>
              <w:t>*</w:t>
            </w:r>
            <w:r>
              <w:rPr>
                <w:rFonts w:ascii="SimSun" w:hAnsi="SimSun" w:eastAsia="SimSun" w:cs="SimSun"/>
                <w:spacing w:val="4"/>
              </w:rPr>
              <w:t>苯并</w:t>
            </w:r>
            <w:r>
              <w:rPr>
                <w:spacing w:val="4"/>
              </w:rPr>
              <w:t>[k]</w:t>
            </w:r>
            <w:r>
              <w:rPr>
                <w:rFonts w:ascii="SimSun" w:hAnsi="SimSun" w:eastAsia="SimSun" w:cs="SimSun"/>
                <w:spacing w:val="4"/>
              </w:rPr>
              <w:t>荧蒽</w:t>
            </w:r>
          </w:p>
        </w:tc>
        <w:tc>
          <w:tcPr>
            <w:tcW w:w="1454" w:type="dxa"/>
            <w:vAlign w:val="top"/>
          </w:tcPr>
          <w:p>
            <w:pPr>
              <w:pStyle w:val="TableText"/>
              <w:ind w:left="535"/>
              <w:spacing w:before="69"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9"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9" w:line="195" w:lineRule="auto"/>
              <w:rPr/>
            </w:pPr>
            <w:r>
              <w:rPr>
                <w:spacing w:val="2"/>
              </w:rPr>
              <w:t>&lt;0.</w:t>
            </w:r>
            <w:r>
              <w:rPr>
                <w:spacing w:val="-25"/>
              </w:rPr>
              <w:t xml:space="preserve"> </w:t>
            </w:r>
            <w:r>
              <w:rPr>
                <w:spacing w:val="2"/>
              </w:rPr>
              <w:t>1</w:t>
            </w:r>
          </w:p>
        </w:tc>
        <w:tc>
          <w:tcPr>
            <w:tcW w:w="770" w:type="dxa"/>
            <w:vAlign w:val="top"/>
          </w:tcPr>
          <w:p>
            <w:pPr>
              <w:pStyle w:val="TableText"/>
              <w:ind w:left="251"/>
              <w:spacing w:before="69" w:line="195" w:lineRule="auto"/>
              <w:rPr/>
            </w:pPr>
            <w:r>
              <w:rPr>
                <w:spacing w:val="-3"/>
              </w:rPr>
              <w:t>151</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2" w:line="217" w:lineRule="auto"/>
              <w:rPr>
                <w:rFonts w:ascii="SimSun" w:hAnsi="SimSun" w:eastAsia="SimSun" w:cs="SimSun"/>
              </w:rPr>
            </w:pPr>
            <w:r>
              <w:rPr>
                <w:spacing w:val="-1"/>
              </w:rPr>
              <w:t>*</w:t>
            </w:r>
            <w:r>
              <w:rPr>
                <w:rFonts w:ascii="SimSun" w:hAnsi="SimSun" w:eastAsia="SimSun" w:cs="SimSun"/>
                <w:spacing w:val="-1"/>
              </w:rPr>
              <w:t>䓛</w:t>
            </w:r>
          </w:p>
        </w:tc>
        <w:tc>
          <w:tcPr>
            <w:tcW w:w="1454" w:type="dxa"/>
            <w:vAlign w:val="top"/>
          </w:tcPr>
          <w:p>
            <w:pPr>
              <w:pStyle w:val="TableText"/>
              <w:ind w:left="535"/>
              <w:spacing w:before="69"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9"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9" w:line="195" w:lineRule="auto"/>
              <w:rPr/>
            </w:pPr>
            <w:r>
              <w:rPr>
                <w:spacing w:val="2"/>
              </w:rPr>
              <w:t>&lt;0.</w:t>
            </w:r>
            <w:r>
              <w:rPr>
                <w:spacing w:val="-25"/>
              </w:rPr>
              <w:t xml:space="preserve"> </w:t>
            </w:r>
            <w:r>
              <w:rPr>
                <w:spacing w:val="2"/>
              </w:rPr>
              <w:t>1</w:t>
            </w:r>
          </w:p>
        </w:tc>
        <w:tc>
          <w:tcPr>
            <w:tcW w:w="770" w:type="dxa"/>
            <w:vAlign w:val="top"/>
          </w:tcPr>
          <w:p>
            <w:pPr>
              <w:pStyle w:val="TableText"/>
              <w:ind w:left="198"/>
              <w:spacing w:before="69" w:line="195" w:lineRule="auto"/>
              <w:rPr/>
            </w:pPr>
            <w:r>
              <w:rPr>
                <w:spacing w:val="-2"/>
              </w:rPr>
              <w:t>1293</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432"/>
              <w:spacing w:before="33" w:line="216" w:lineRule="auto"/>
              <w:rPr>
                <w:rFonts w:ascii="SimSun" w:hAnsi="SimSun" w:eastAsia="SimSun" w:cs="SimSun"/>
              </w:rPr>
            </w:pPr>
            <w:r>
              <w:rPr>
                <w:spacing w:val="4"/>
              </w:rPr>
              <w:t>*</w:t>
            </w:r>
            <w:r>
              <w:rPr>
                <w:rFonts w:ascii="SimSun" w:hAnsi="SimSun" w:eastAsia="SimSun" w:cs="SimSun"/>
                <w:spacing w:val="4"/>
              </w:rPr>
              <w:t>二苯并</w:t>
            </w:r>
            <w:r>
              <w:rPr>
                <w:spacing w:val="4"/>
              </w:rPr>
              <w:t>[a,h]</w:t>
            </w:r>
            <w:r>
              <w:rPr>
                <w:rFonts w:ascii="SimSun" w:hAnsi="SimSun" w:eastAsia="SimSun" w:cs="SimSun"/>
                <w:spacing w:val="4"/>
              </w:rPr>
              <w:t>蒽</w:t>
            </w:r>
          </w:p>
        </w:tc>
        <w:tc>
          <w:tcPr>
            <w:tcW w:w="1454" w:type="dxa"/>
            <w:vAlign w:val="top"/>
          </w:tcPr>
          <w:p>
            <w:pPr>
              <w:pStyle w:val="TableText"/>
              <w:ind w:left="535"/>
              <w:spacing w:before="69"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9"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9" w:line="195" w:lineRule="auto"/>
              <w:rPr/>
            </w:pPr>
            <w:r>
              <w:rPr>
                <w:spacing w:val="2"/>
              </w:rPr>
              <w:t>&lt;0.</w:t>
            </w:r>
            <w:r>
              <w:rPr>
                <w:spacing w:val="-25"/>
              </w:rPr>
              <w:t xml:space="preserve"> </w:t>
            </w:r>
            <w:r>
              <w:rPr>
                <w:spacing w:val="2"/>
              </w:rPr>
              <w:t>1</w:t>
            </w:r>
          </w:p>
        </w:tc>
        <w:tc>
          <w:tcPr>
            <w:tcW w:w="770" w:type="dxa"/>
            <w:vAlign w:val="top"/>
          </w:tcPr>
          <w:p>
            <w:pPr>
              <w:pStyle w:val="TableText"/>
              <w:ind w:left="277"/>
              <w:spacing w:before="69" w:line="195" w:lineRule="auto"/>
              <w:rPr/>
            </w:pPr>
            <w:r>
              <w:rPr>
                <w:spacing w:val="-4"/>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319"/>
              <w:spacing w:before="34" w:line="214" w:lineRule="auto"/>
              <w:rPr>
                <w:rFonts w:ascii="SimSun" w:hAnsi="SimSun" w:eastAsia="SimSun" w:cs="SimSun"/>
              </w:rPr>
            </w:pPr>
            <w:r>
              <w:rPr>
                <w:spacing w:val="4"/>
              </w:rPr>
              <w:t>*</w:t>
            </w:r>
            <w:r>
              <w:rPr>
                <w:rFonts w:ascii="SimSun" w:hAnsi="SimSun" w:eastAsia="SimSun" w:cs="SimSun"/>
                <w:spacing w:val="4"/>
              </w:rPr>
              <w:t>茚并</w:t>
            </w:r>
            <w:r>
              <w:rPr>
                <w:spacing w:val="4"/>
              </w:rPr>
              <w:t>[1,2,3-</w:t>
            </w:r>
            <w:r>
              <w:rPr/>
              <w:t>cd</w:t>
            </w:r>
            <w:r>
              <w:rPr>
                <w:spacing w:val="4"/>
              </w:rPr>
              <w:t>]</w:t>
            </w:r>
            <w:r>
              <w:rPr>
                <w:rFonts w:ascii="SimSun" w:hAnsi="SimSun" w:eastAsia="SimSun" w:cs="SimSun"/>
                <w:spacing w:val="4"/>
              </w:rPr>
              <w:t>芘</w:t>
            </w:r>
          </w:p>
        </w:tc>
        <w:tc>
          <w:tcPr>
            <w:tcW w:w="1454" w:type="dxa"/>
            <w:vAlign w:val="top"/>
          </w:tcPr>
          <w:p>
            <w:pPr>
              <w:pStyle w:val="TableText"/>
              <w:ind w:left="535"/>
              <w:spacing w:before="69" w:line="195" w:lineRule="auto"/>
              <w:rPr/>
            </w:pPr>
            <w:r>
              <w:rPr>
                <w:spacing w:val="2"/>
              </w:rPr>
              <w:t>&lt;0.</w:t>
            </w:r>
            <w:r>
              <w:rPr>
                <w:spacing w:val="-25"/>
              </w:rPr>
              <w:t xml:space="preserve"> </w:t>
            </w:r>
            <w:r>
              <w:rPr>
                <w:spacing w:val="2"/>
              </w:rPr>
              <w:t>1</w:t>
            </w:r>
          </w:p>
        </w:tc>
        <w:tc>
          <w:tcPr>
            <w:tcW w:w="1595" w:type="dxa"/>
            <w:vAlign w:val="top"/>
          </w:tcPr>
          <w:p>
            <w:pPr>
              <w:pStyle w:val="TableText"/>
              <w:ind w:left="605"/>
              <w:spacing w:before="69" w:line="195" w:lineRule="auto"/>
              <w:rPr/>
            </w:pPr>
            <w:r>
              <w:rPr>
                <w:spacing w:val="2"/>
              </w:rPr>
              <w:t>&lt;0.</w:t>
            </w:r>
            <w:r>
              <w:rPr>
                <w:spacing w:val="-23"/>
              </w:rPr>
              <w:t xml:space="preserve"> </w:t>
            </w:r>
            <w:r>
              <w:rPr>
                <w:spacing w:val="2"/>
              </w:rPr>
              <w:t>1</w:t>
            </w:r>
          </w:p>
        </w:tc>
        <w:tc>
          <w:tcPr>
            <w:tcW w:w="1453" w:type="dxa"/>
            <w:vAlign w:val="top"/>
          </w:tcPr>
          <w:p>
            <w:pPr>
              <w:pStyle w:val="TableText"/>
              <w:ind w:left="538"/>
              <w:spacing w:before="69" w:line="195" w:lineRule="auto"/>
              <w:rPr/>
            </w:pPr>
            <w:r>
              <w:rPr>
                <w:spacing w:val="2"/>
              </w:rPr>
              <w:t>&lt;0.</w:t>
            </w:r>
            <w:r>
              <w:rPr>
                <w:spacing w:val="-25"/>
              </w:rPr>
              <w:t xml:space="preserve"> </w:t>
            </w:r>
            <w:r>
              <w:rPr>
                <w:spacing w:val="2"/>
              </w:rPr>
              <w:t>1</w:t>
            </w:r>
          </w:p>
        </w:tc>
        <w:tc>
          <w:tcPr>
            <w:tcW w:w="770" w:type="dxa"/>
            <w:vAlign w:val="top"/>
          </w:tcPr>
          <w:p>
            <w:pPr>
              <w:pStyle w:val="TableText"/>
              <w:ind w:left="301"/>
              <w:spacing w:before="69" w:line="195" w:lineRule="auto"/>
              <w:rPr/>
            </w:pPr>
            <w:r>
              <w:rPr>
                <w:spacing w:val="-8"/>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78" w:type="dxa"/>
            <w:vAlign w:val="top"/>
          </w:tcPr>
          <w:p>
            <w:pPr>
              <w:pStyle w:val="TableText"/>
              <w:ind w:left="943"/>
              <w:spacing w:before="33" w:line="216" w:lineRule="auto"/>
              <w:rPr>
                <w:rFonts w:ascii="SimSun" w:hAnsi="SimSun" w:eastAsia="SimSun" w:cs="SimSun"/>
              </w:rPr>
            </w:pPr>
            <w:r>
              <w:rPr>
                <w:spacing w:val="-1"/>
              </w:rPr>
              <w:t>*</w:t>
            </w:r>
            <w:r>
              <w:rPr>
                <w:rFonts w:ascii="SimSun" w:hAnsi="SimSun" w:eastAsia="SimSun" w:cs="SimSun"/>
                <w:spacing w:val="-1"/>
              </w:rPr>
              <w:t>萘</w:t>
            </w:r>
          </w:p>
        </w:tc>
        <w:tc>
          <w:tcPr>
            <w:tcW w:w="1454" w:type="dxa"/>
            <w:vAlign w:val="top"/>
          </w:tcPr>
          <w:p>
            <w:pPr>
              <w:pStyle w:val="TableText"/>
              <w:ind w:left="484"/>
              <w:spacing w:before="69" w:line="195" w:lineRule="auto"/>
              <w:rPr/>
            </w:pPr>
            <w:r>
              <w:rPr>
                <w:spacing w:val="3"/>
              </w:rPr>
              <w:t>&lt;0.09</w:t>
            </w:r>
          </w:p>
        </w:tc>
        <w:tc>
          <w:tcPr>
            <w:tcW w:w="1595" w:type="dxa"/>
            <w:vAlign w:val="top"/>
          </w:tcPr>
          <w:p>
            <w:pPr>
              <w:pStyle w:val="TableText"/>
              <w:ind w:left="554"/>
              <w:spacing w:before="69" w:line="195" w:lineRule="auto"/>
              <w:rPr/>
            </w:pPr>
            <w:r>
              <w:rPr>
                <w:spacing w:val="3"/>
              </w:rPr>
              <w:t>&lt;0.09</w:t>
            </w:r>
          </w:p>
        </w:tc>
        <w:tc>
          <w:tcPr>
            <w:tcW w:w="1453" w:type="dxa"/>
            <w:vAlign w:val="top"/>
          </w:tcPr>
          <w:p>
            <w:pPr>
              <w:pStyle w:val="TableText"/>
              <w:ind w:left="486"/>
              <w:spacing w:before="69" w:line="195" w:lineRule="auto"/>
              <w:rPr/>
            </w:pPr>
            <w:r>
              <w:rPr>
                <w:spacing w:val="3"/>
              </w:rPr>
              <w:t>&lt;0.09</w:t>
            </w:r>
          </w:p>
        </w:tc>
        <w:tc>
          <w:tcPr>
            <w:tcW w:w="770" w:type="dxa"/>
            <w:vAlign w:val="top"/>
          </w:tcPr>
          <w:p>
            <w:pPr>
              <w:pStyle w:val="TableText"/>
              <w:ind w:left="285"/>
              <w:spacing w:before="69" w:line="195" w:lineRule="auto"/>
              <w:rPr/>
            </w:pPr>
            <w:r>
              <w:rPr>
                <w:spacing w:val="1"/>
              </w:rPr>
              <w:t>70</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78" w:type="dxa"/>
            <w:vAlign w:val="top"/>
          </w:tcPr>
          <w:p>
            <w:pPr>
              <w:pStyle w:val="TableText"/>
              <w:ind w:left="732"/>
              <w:spacing w:before="34" w:line="214" w:lineRule="auto"/>
              <w:rPr>
                <w:rFonts w:ascii="SimSun" w:hAnsi="SimSun" w:eastAsia="SimSun" w:cs="SimSun"/>
              </w:rPr>
            </w:pPr>
            <w:r>
              <w:rPr>
                <w:spacing w:val="5"/>
              </w:rPr>
              <w:t>*</w:t>
            </w:r>
            <w:r>
              <w:rPr>
                <w:rFonts w:ascii="SimSun" w:hAnsi="SimSun" w:eastAsia="SimSun" w:cs="SimSun"/>
                <w:spacing w:val="5"/>
              </w:rPr>
              <w:t>石油烃</w:t>
            </w:r>
          </w:p>
        </w:tc>
        <w:tc>
          <w:tcPr>
            <w:tcW w:w="1454" w:type="dxa"/>
            <w:vAlign w:val="top"/>
          </w:tcPr>
          <w:p>
            <w:pPr>
              <w:pStyle w:val="TableText"/>
              <w:ind w:left="639"/>
              <w:spacing w:before="52" w:line="195" w:lineRule="auto"/>
              <w:rPr/>
            </w:pPr>
            <w:r>
              <w:rPr>
                <w:spacing w:val="-6"/>
              </w:rPr>
              <w:t>15</w:t>
            </w:r>
          </w:p>
        </w:tc>
        <w:tc>
          <w:tcPr>
            <w:tcW w:w="1595" w:type="dxa"/>
            <w:vAlign w:val="top"/>
          </w:tcPr>
          <w:p>
            <w:pPr>
              <w:pStyle w:val="TableText"/>
              <w:ind w:left="714"/>
              <w:spacing w:before="52" w:line="195" w:lineRule="auto"/>
              <w:rPr/>
            </w:pPr>
            <w:r>
              <w:rPr>
                <w:spacing w:val="-8"/>
              </w:rPr>
              <w:t>14</w:t>
            </w:r>
          </w:p>
        </w:tc>
        <w:tc>
          <w:tcPr>
            <w:tcW w:w="1453" w:type="dxa"/>
            <w:vAlign w:val="top"/>
          </w:tcPr>
          <w:p>
            <w:pPr>
              <w:pStyle w:val="TableText"/>
              <w:ind w:left="643"/>
              <w:spacing w:before="52" w:line="195" w:lineRule="auto"/>
              <w:rPr/>
            </w:pPr>
            <w:r>
              <w:rPr>
                <w:spacing w:val="-8"/>
              </w:rPr>
              <w:t>16</w:t>
            </w:r>
          </w:p>
        </w:tc>
        <w:tc>
          <w:tcPr>
            <w:tcW w:w="770" w:type="dxa"/>
            <w:vAlign w:val="top"/>
          </w:tcPr>
          <w:p>
            <w:pPr>
              <w:pStyle w:val="TableText"/>
              <w:ind w:left="177"/>
              <w:spacing w:before="52" w:line="195" w:lineRule="auto"/>
              <w:rPr/>
            </w:pPr>
            <w:r>
              <w:rPr>
                <w:spacing w:val="3"/>
              </w:rPr>
              <w:t>4500</w:t>
            </w:r>
          </w:p>
        </w:tc>
        <w:tc>
          <w:tcPr>
            <w:tcW w:w="919" w:type="dxa"/>
            <w:vAlign w:val="top"/>
          </w:tcPr>
          <w:p>
            <w:pPr>
              <w:pStyle w:val="TableText"/>
              <w:ind w:left="190"/>
              <w:spacing w:before="48" w:line="201" w:lineRule="auto"/>
              <w:rPr/>
            </w:pPr>
            <w:r>
              <w:rPr>
                <w:spacing w:val="4"/>
              </w:rPr>
              <w:t>mg/kg</w:t>
            </w:r>
          </w:p>
        </w:tc>
        <w:tc>
          <w:tcPr>
            <w:tcW w:w="921" w:type="dxa"/>
            <w:vAlign w:val="top"/>
            <w:vMerge w:val="continue"/>
            <w:tcBorders>
              <w:top w:val="nil"/>
            </w:tcBorders>
          </w:tcPr>
          <w:p>
            <w:pPr>
              <w:rPr>
                <w:rFonts w:ascii="Arial"/>
                <w:sz w:val="21"/>
              </w:rPr>
            </w:pPr>
            <w:r/>
          </w:p>
        </w:tc>
      </w:tr>
      <w:tr>
        <w:trPr>
          <w:trHeight w:val="278" w:hRule="atLeast"/>
        </w:trPr>
        <w:tc>
          <w:tcPr>
            <w:tcW w:w="2178" w:type="dxa"/>
            <w:vAlign w:val="top"/>
          </w:tcPr>
          <w:p>
            <w:pPr>
              <w:pStyle w:val="TableText"/>
              <w:ind w:left="789"/>
              <w:spacing w:before="36" w:line="214" w:lineRule="auto"/>
              <w:rPr>
                <w:rFonts w:ascii="SimSun" w:hAnsi="SimSun" w:eastAsia="SimSun" w:cs="SimSun"/>
              </w:rPr>
            </w:pPr>
            <w:r>
              <w:rPr/>
              <w:t>*pH</w:t>
            </w:r>
            <w:r>
              <w:rPr>
                <w:spacing w:val="9"/>
              </w:rPr>
              <w:t xml:space="preserve"> </w:t>
            </w:r>
            <w:r>
              <w:rPr>
                <w:rFonts w:ascii="SimSun" w:hAnsi="SimSun" w:eastAsia="SimSun" w:cs="SimSun"/>
              </w:rPr>
              <w:t>值</w:t>
            </w:r>
          </w:p>
        </w:tc>
        <w:tc>
          <w:tcPr>
            <w:tcW w:w="1454" w:type="dxa"/>
            <w:vAlign w:val="top"/>
          </w:tcPr>
          <w:p>
            <w:pPr>
              <w:pStyle w:val="TableText"/>
              <w:ind w:left="551"/>
              <w:spacing w:before="71" w:line="195" w:lineRule="auto"/>
              <w:rPr/>
            </w:pPr>
            <w:r>
              <w:rPr>
                <w:spacing w:val="1"/>
              </w:rPr>
              <w:t>8.20</w:t>
            </w:r>
          </w:p>
        </w:tc>
        <w:tc>
          <w:tcPr>
            <w:tcW w:w="1595" w:type="dxa"/>
            <w:vAlign w:val="top"/>
          </w:tcPr>
          <w:p>
            <w:pPr>
              <w:pStyle w:val="TableText"/>
              <w:ind w:left="623"/>
              <w:spacing w:before="71" w:line="195" w:lineRule="auto"/>
              <w:rPr/>
            </w:pPr>
            <w:r>
              <w:rPr>
                <w:spacing w:val="1"/>
              </w:rPr>
              <w:t>8.31</w:t>
            </w:r>
          </w:p>
        </w:tc>
        <w:tc>
          <w:tcPr>
            <w:tcW w:w="1453" w:type="dxa"/>
            <w:vAlign w:val="top"/>
          </w:tcPr>
          <w:p>
            <w:pPr>
              <w:pStyle w:val="TableText"/>
              <w:ind w:left="555"/>
              <w:spacing w:before="71" w:line="195" w:lineRule="auto"/>
              <w:rPr/>
            </w:pPr>
            <w:r>
              <w:rPr/>
              <w:t>8.26</w:t>
            </w:r>
          </w:p>
        </w:tc>
        <w:tc>
          <w:tcPr>
            <w:tcW w:w="770" w:type="dxa"/>
            <w:vAlign w:val="top"/>
          </w:tcPr>
          <w:p>
            <w:pPr>
              <w:ind w:left="304"/>
              <w:spacing w:before="36" w:line="214" w:lineRule="auto"/>
              <w:rPr>
                <w:rFonts w:ascii="SimSun" w:hAnsi="SimSun" w:eastAsia="SimSun" w:cs="SimSun"/>
                <w:sz w:val="20"/>
                <w:szCs w:val="20"/>
              </w:rPr>
            </w:pPr>
            <w:r>
              <w:rPr>
                <w:rFonts w:ascii="SimSun" w:hAnsi="SimSun" w:eastAsia="SimSun" w:cs="SimSun"/>
                <w:sz w:val="20"/>
                <w:szCs w:val="20"/>
                <w:spacing w:val="24"/>
                <w:w w:val="131"/>
              </w:rPr>
              <w:t>-</w:t>
            </w:r>
          </w:p>
        </w:tc>
        <w:tc>
          <w:tcPr>
            <w:tcW w:w="919" w:type="dxa"/>
            <w:vAlign w:val="top"/>
          </w:tcPr>
          <w:p>
            <w:pPr>
              <w:ind w:left="153"/>
              <w:spacing w:before="36" w:line="214" w:lineRule="auto"/>
              <w:rPr>
                <w:rFonts w:ascii="SimSun" w:hAnsi="SimSun" w:eastAsia="SimSun" w:cs="SimSun"/>
                <w:sz w:val="20"/>
                <w:szCs w:val="20"/>
              </w:rPr>
            </w:pPr>
            <w:r>
              <w:rPr>
                <w:rFonts w:ascii="SimSun" w:hAnsi="SimSun" w:eastAsia="SimSun" w:cs="SimSun"/>
                <w:sz w:val="20"/>
                <w:szCs w:val="20"/>
                <w:spacing w:val="6"/>
              </w:rPr>
              <w:t>无量纲</w:t>
            </w:r>
          </w:p>
        </w:tc>
        <w:tc>
          <w:tcPr>
            <w:tcW w:w="921" w:type="dxa"/>
            <w:vAlign w:val="top"/>
          </w:tcPr>
          <w:p>
            <w:pPr>
              <w:rPr>
                <w:rFonts w:ascii="Arial"/>
                <w:sz w:val="21"/>
              </w:rPr>
            </w:pPr>
            <w:r/>
          </w:p>
        </w:tc>
      </w:tr>
      <w:tr>
        <w:trPr>
          <w:trHeight w:val="1643" w:hRule="atLeast"/>
        </w:trPr>
        <w:tc>
          <w:tcPr>
            <w:tcW w:w="9290" w:type="dxa"/>
            <w:vAlign w:val="top"/>
            <w:gridSpan w:val="7"/>
          </w:tcPr>
          <w:p>
            <w:pPr>
              <w:ind w:left="116"/>
              <w:spacing w:before="33"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12" w:firstLine="12"/>
              <w:spacing w:before="23"/>
              <w:rPr>
                <w:rFonts w:ascii="SimSun" w:hAnsi="SimSun" w:eastAsia="SimSun" w:cs="SimSun"/>
              </w:rPr>
            </w:pPr>
            <w:r>
              <w:rPr>
                <w:spacing w:val="10"/>
              </w:rPr>
              <w:t>1.</w:t>
            </w:r>
            <w:r>
              <w:rPr>
                <w:rFonts w:ascii="SimSun" w:hAnsi="SimSun" w:eastAsia="SimSun" w:cs="SimSun"/>
                <w:spacing w:val="10"/>
              </w:rPr>
              <w:t>检测结果参照执行《土壤环境质量 建设用地土壤污染风险管控标准》</w:t>
            </w:r>
            <w:r>
              <w:rPr/>
              <w:t>GB</w:t>
            </w:r>
            <w:r>
              <w:rPr>
                <w:spacing w:val="10"/>
              </w:rPr>
              <w:t>366</w:t>
            </w:r>
            <w:r>
              <w:rPr>
                <w:spacing w:val="9"/>
              </w:rPr>
              <w:t>00-2018</w:t>
            </w:r>
            <w:r>
              <w:rPr>
                <w:spacing w:val="29"/>
                <w:w w:val="101"/>
              </w:rPr>
              <w:t xml:space="preserve"> </w:t>
            </w:r>
            <w:r>
              <w:rPr>
                <w:rFonts w:ascii="SimSun" w:hAnsi="SimSun" w:eastAsia="SimSun" w:cs="SimSun"/>
                <w:spacing w:val="9"/>
              </w:rPr>
              <w:t>中筛选值第</w:t>
            </w:r>
            <w:r>
              <w:rPr>
                <w:rFonts w:ascii="SimSun" w:hAnsi="SimSun" w:eastAsia="SimSun" w:cs="SimSun"/>
                <w:spacing w:val="5"/>
              </w:rPr>
              <w:t>二类用地；</w:t>
            </w:r>
          </w:p>
          <w:p>
            <w:pPr>
              <w:pStyle w:val="TableText"/>
              <w:ind w:left="109"/>
              <w:spacing w:before="26" w:line="228" w:lineRule="auto"/>
              <w:rPr>
                <w:rFonts w:ascii="SimSun" w:hAnsi="SimSun" w:eastAsia="SimSun" w:cs="SimSun"/>
              </w:rPr>
            </w:pPr>
            <w:r>
              <w:rPr>
                <w:spacing w:val="7"/>
              </w:rPr>
              <w:t>2.“</w:t>
            </w:r>
            <w:r>
              <w:rPr>
                <w:rFonts w:ascii="SimSun" w:hAnsi="SimSun" w:eastAsia="SimSun" w:cs="SimSun"/>
                <w:spacing w:val="7"/>
              </w:rPr>
              <w:t>＜</w:t>
            </w:r>
            <w:r>
              <w:rPr>
                <w:spacing w:val="7"/>
              </w:rPr>
              <w:t>”</w:t>
            </w:r>
            <w:r>
              <w:rPr>
                <w:rFonts w:ascii="SimSun" w:hAnsi="SimSun" w:eastAsia="SimSun" w:cs="SimSun"/>
                <w:spacing w:val="7"/>
              </w:rPr>
              <w:t>表示低于方法检出限；</w:t>
            </w:r>
          </w:p>
          <w:p>
            <w:pPr>
              <w:pStyle w:val="TableText"/>
              <w:ind w:left="109" w:right="157" w:firstLine="4"/>
              <w:spacing w:before="24" w:line="235" w:lineRule="auto"/>
              <w:rPr>
                <w:rFonts w:ascii="SimSun" w:hAnsi="SimSun" w:eastAsia="SimSun" w:cs="SimSun"/>
              </w:rPr>
            </w:pPr>
            <w:r>
              <w:rPr>
                <w:spacing w:val="18"/>
              </w:rPr>
              <w:t>3.“*”</w:t>
            </w:r>
            <w:r>
              <w:rPr>
                <w:rFonts w:ascii="SimSun" w:hAnsi="SimSun" w:eastAsia="SimSun" w:cs="SimSun"/>
                <w:spacing w:val="18"/>
              </w:rPr>
              <w:t>项目为本公司未取得资质认定能力由北京华成星科检测有限公司分包检</w:t>
            </w:r>
            <w:r>
              <w:rPr>
                <w:rFonts w:ascii="SimSun" w:hAnsi="SimSun" w:eastAsia="SimSun" w:cs="SimSun"/>
                <w:spacing w:val="17"/>
              </w:rPr>
              <w:t>测，证书编号为：</w:t>
            </w:r>
            <w:r>
              <w:rPr>
                <w:rFonts w:ascii="SimSun" w:hAnsi="SimSun" w:eastAsia="SimSun" w:cs="SimSun"/>
              </w:rPr>
              <w:t xml:space="preserve"> </w:t>
            </w:r>
            <w:r>
              <w:rPr>
                <w:spacing w:val="3"/>
              </w:rPr>
              <w:t>210112051074</w:t>
            </w:r>
            <w:r>
              <w:rPr>
                <w:rFonts w:ascii="SimSun" w:hAnsi="SimSun" w:eastAsia="SimSun" w:cs="SimSun"/>
                <w:spacing w:val="3"/>
              </w:rPr>
              <w:t>。</w:t>
            </w:r>
          </w:p>
        </w:tc>
      </w:tr>
    </w:tbl>
    <w:p>
      <w:pPr>
        <w:pStyle w:val="BodyText"/>
        <w:rPr/>
      </w:pPr>
      <w:r/>
    </w:p>
    <w:p>
      <w:pPr>
        <w:sectPr>
          <w:headerReference w:type="default" r:id="rId238"/>
          <w:footerReference w:type="default" r:id="rId336"/>
          <w:pgSz w:w="11906" w:h="16838"/>
          <w:pgMar w:top="1170" w:right="1304" w:bottom="1080" w:left="1305" w:header="837" w:footer="918" w:gutter="0"/>
        </w:sectPr>
        <w:rPr/>
      </w:pPr>
    </w:p>
    <w:p>
      <w:pPr>
        <w:pStyle w:val="BodyText"/>
        <w:spacing w:line="440" w:lineRule="auto"/>
        <w:rPr/>
      </w:pPr>
      <w:r/>
    </w:p>
    <w:p>
      <w:pPr>
        <w:ind w:left="2980"/>
        <w:spacing w:before="78"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4-2-42</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32"/>
        <w:gridCol w:w="1384"/>
        <w:gridCol w:w="1566"/>
        <w:gridCol w:w="1573"/>
        <w:gridCol w:w="895"/>
        <w:gridCol w:w="919"/>
        <w:gridCol w:w="921"/>
      </w:tblGrid>
      <w:tr>
        <w:trPr>
          <w:trHeight w:val="283" w:hRule="atLeast"/>
        </w:trPr>
        <w:tc>
          <w:tcPr>
            <w:tcW w:w="2032" w:type="dxa"/>
            <w:vAlign w:val="top"/>
            <w:vMerge w:val="restart"/>
            <w:tcBorders>
              <w:bottom w:val="nil"/>
            </w:tcBorders>
          </w:tcPr>
          <w:p>
            <w:pPr>
              <w:spacing w:line="383" w:lineRule="auto"/>
              <w:rPr>
                <w:rFonts w:ascii="Arial"/>
                <w:sz w:val="21"/>
              </w:rPr>
            </w:pPr>
            <w:r/>
          </w:p>
          <w:p>
            <w:pPr>
              <w:ind w:left="600"/>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523" w:type="dxa"/>
            <w:vAlign w:val="top"/>
            <w:gridSpan w:val="3"/>
          </w:tcPr>
          <w:p>
            <w:pPr>
              <w:ind w:left="1849"/>
              <w:spacing w:before="33" w:line="221"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383" w:lineRule="auto"/>
              <w:rPr>
                <w:rFonts w:ascii="Arial"/>
                <w:sz w:val="21"/>
              </w:rPr>
            </w:pPr>
            <w:r/>
          </w:p>
          <w:p>
            <w:pPr>
              <w:ind w:left="257"/>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84"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spacing w:line="248" w:lineRule="auto"/>
              <w:rPr>
                <w:rFonts w:ascii="Arial"/>
                <w:sz w:val="21"/>
              </w:rPr>
            </w:pPr>
            <w:r/>
          </w:p>
          <w:p>
            <w:pPr>
              <w:ind w:left="360" w:right="145" w:hanging="208"/>
              <w:spacing w:before="65" w:line="254"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6" w:hRule="atLeast"/>
        </w:trPr>
        <w:tc>
          <w:tcPr>
            <w:tcW w:w="2032" w:type="dxa"/>
            <w:vAlign w:val="top"/>
            <w:vMerge w:val="continue"/>
            <w:tcBorders>
              <w:top w:val="nil"/>
              <w:bottom w:val="nil"/>
            </w:tcBorders>
          </w:tcPr>
          <w:p>
            <w:pPr>
              <w:rPr>
                <w:rFonts w:ascii="Arial"/>
                <w:sz w:val="21"/>
              </w:rPr>
            </w:pPr>
            <w:r/>
          </w:p>
        </w:tc>
        <w:tc>
          <w:tcPr>
            <w:tcW w:w="4523" w:type="dxa"/>
            <w:vAlign w:val="top"/>
            <w:gridSpan w:val="3"/>
          </w:tcPr>
          <w:p>
            <w:pPr>
              <w:pStyle w:val="TableText"/>
              <w:ind w:left="966"/>
              <w:spacing w:before="26" w:line="221" w:lineRule="auto"/>
              <w:rPr>
                <w:rFonts w:ascii="SimSun" w:hAnsi="SimSun" w:eastAsia="SimSun" w:cs="SimSun"/>
              </w:rPr>
            </w:pPr>
            <w:r>
              <w:rPr>
                <w:spacing w:val="8"/>
              </w:rPr>
              <w:t>T3 </w:t>
            </w:r>
            <w:r>
              <w:rPr>
                <w:rFonts w:ascii="SimSun" w:hAnsi="SimSun" w:eastAsia="SimSun" w:cs="SimSun"/>
                <w:spacing w:val="8"/>
              </w:rPr>
              <w:t>井工矿工业场地机修车间</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9" w:hRule="atLeast"/>
        </w:trPr>
        <w:tc>
          <w:tcPr>
            <w:tcW w:w="2032" w:type="dxa"/>
            <w:vAlign w:val="top"/>
            <w:vMerge w:val="continue"/>
            <w:tcBorders>
              <w:top w:val="nil"/>
            </w:tcBorders>
          </w:tcPr>
          <w:p>
            <w:pPr>
              <w:rPr>
                <w:rFonts w:ascii="Arial"/>
                <w:sz w:val="21"/>
              </w:rPr>
            </w:pPr>
            <w:r/>
          </w:p>
        </w:tc>
        <w:tc>
          <w:tcPr>
            <w:tcW w:w="1384" w:type="dxa"/>
            <w:vAlign w:val="top"/>
          </w:tcPr>
          <w:p>
            <w:pPr>
              <w:pStyle w:val="TableText"/>
              <w:ind w:left="196" w:right="201" w:firstLine="183"/>
              <w:spacing w:before="29" w:line="235"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66" w:type="dxa"/>
            <w:vAlign w:val="top"/>
          </w:tcPr>
          <w:p>
            <w:pPr>
              <w:pStyle w:val="TableText"/>
              <w:ind w:left="209" w:right="212" w:firstLine="283"/>
              <w:spacing w:before="29" w:line="235"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73" w:type="dxa"/>
            <w:vAlign w:val="top"/>
          </w:tcPr>
          <w:p>
            <w:pPr>
              <w:pStyle w:val="TableText"/>
              <w:ind w:left="212" w:right="213" w:firstLine="263"/>
              <w:spacing w:before="29" w:line="235"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8" w:hRule="atLeast"/>
        </w:trPr>
        <w:tc>
          <w:tcPr>
            <w:tcW w:w="2032" w:type="dxa"/>
            <w:vAlign w:val="top"/>
          </w:tcPr>
          <w:p>
            <w:pPr>
              <w:pStyle w:val="TableText"/>
              <w:ind w:left="871"/>
              <w:spacing w:before="29" w:line="220" w:lineRule="auto"/>
              <w:rPr>
                <w:rFonts w:ascii="SimSun" w:hAnsi="SimSun" w:eastAsia="SimSun" w:cs="SimSun"/>
              </w:rPr>
            </w:pPr>
            <w:r>
              <w:rPr>
                <w:spacing w:val="-1"/>
              </w:rPr>
              <w:t>*</w:t>
            </w:r>
            <w:r>
              <w:rPr>
                <w:rFonts w:ascii="SimSun" w:hAnsi="SimSun" w:eastAsia="SimSun" w:cs="SimSun"/>
                <w:spacing w:val="-1"/>
              </w:rPr>
              <w:t>砷</w:t>
            </w:r>
          </w:p>
        </w:tc>
        <w:tc>
          <w:tcPr>
            <w:tcW w:w="1384" w:type="dxa"/>
            <w:vAlign w:val="top"/>
          </w:tcPr>
          <w:p>
            <w:pPr>
              <w:pStyle w:val="TableText"/>
              <w:ind w:left="512"/>
              <w:spacing w:before="65" w:line="195" w:lineRule="auto"/>
              <w:rPr/>
            </w:pPr>
            <w:r>
              <w:rPr>
                <w:spacing w:val="2"/>
              </w:rPr>
              <w:t>7.34</w:t>
            </w:r>
          </w:p>
        </w:tc>
        <w:tc>
          <w:tcPr>
            <w:tcW w:w="1566" w:type="dxa"/>
            <w:vAlign w:val="top"/>
          </w:tcPr>
          <w:p>
            <w:pPr>
              <w:pStyle w:val="TableText"/>
              <w:ind w:left="603"/>
              <w:spacing w:before="65" w:line="195" w:lineRule="auto"/>
              <w:rPr/>
            </w:pPr>
            <w:r>
              <w:rPr>
                <w:spacing w:val="2"/>
              </w:rPr>
              <w:t>6.44</w:t>
            </w:r>
          </w:p>
        </w:tc>
        <w:tc>
          <w:tcPr>
            <w:tcW w:w="1573" w:type="dxa"/>
            <w:vAlign w:val="top"/>
          </w:tcPr>
          <w:p>
            <w:pPr>
              <w:pStyle w:val="TableText"/>
              <w:ind w:left="612"/>
              <w:spacing w:before="65" w:line="195" w:lineRule="auto"/>
              <w:rPr/>
            </w:pPr>
            <w:r>
              <w:rPr>
                <w:spacing w:val="1"/>
              </w:rPr>
              <w:t>8.41</w:t>
            </w:r>
          </w:p>
        </w:tc>
        <w:tc>
          <w:tcPr>
            <w:tcW w:w="895" w:type="dxa"/>
            <w:vAlign w:val="top"/>
          </w:tcPr>
          <w:p>
            <w:pPr>
              <w:pStyle w:val="TableText"/>
              <w:ind w:left="351"/>
              <w:spacing w:before="65" w:line="195" w:lineRule="auto"/>
              <w:rPr/>
            </w:pPr>
            <w:r>
              <w:rPr/>
              <w:t>60</w:t>
            </w:r>
          </w:p>
        </w:tc>
        <w:tc>
          <w:tcPr>
            <w:tcW w:w="919" w:type="dxa"/>
            <w:vAlign w:val="top"/>
          </w:tcPr>
          <w:p>
            <w:pPr>
              <w:pStyle w:val="TableText"/>
              <w:ind w:left="190"/>
              <w:spacing w:before="61" w:line="201" w:lineRule="auto"/>
              <w:rPr/>
            </w:pPr>
            <w:r>
              <w:rPr>
                <w:spacing w:val="4"/>
              </w:rPr>
              <w:t>mg/kg</w:t>
            </w:r>
          </w:p>
        </w:tc>
        <w:tc>
          <w:tcPr>
            <w:tcW w:w="921"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251"/>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5" w:hRule="atLeast"/>
        </w:trPr>
        <w:tc>
          <w:tcPr>
            <w:tcW w:w="2032" w:type="dxa"/>
            <w:vAlign w:val="top"/>
          </w:tcPr>
          <w:p>
            <w:pPr>
              <w:pStyle w:val="TableText"/>
              <w:ind w:left="871"/>
              <w:spacing w:before="29" w:line="217" w:lineRule="auto"/>
              <w:rPr>
                <w:rFonts w:ascii="SimSun" w:hAnsi="SimSun" w:eastAsia="SimSun" w:cs="SimSun"/>
              </w:rPr>
            </w:pPr>
            <w:r>
              <w:rPr>
                <w:spacing w:val="-1"/>
              </w:rPr>
              <w:t>*</w:t>
            </w:r>
            <w:r>
              <w:rPr>
                <w:rFonts w:ascii="SimSun" w:hAnsi="SimSun" w:eastAsia="SimSun" w:cs="SimSun"/>
                <w:spacing w:val="-1"/>
              </w:rPr>
              <w:t>镉</w:t>
            </w:r>
          </w:p>
        </w:tc>
        <w:tc>
          <w:tcPr>
            <w:tcW w:w="1384" w:type="dxa"/>
            <w:vAlign w:val="top"/>
          </w:tcPr>
          <w:p>
            <w:pPr>
              <w:pStyle w:val="TableText"/>
              <w:ind w:left="512"/>
              <w:spacing w:before="65" w:line="195" w:lineRule="auto"/>
              <w:rPr/>
            </w:pPr>
            <w:r>
              <w:rPr>
                <w:spacing w:val="2"/>
              </w:rPr>
              <w:t>0.19</w:t>
            </w:r>
          </w:p>
        </w:tc>
        <w:tc>
          <w:tcPr>
            <w:tcW w:w="1566" w:type="dxa"/>
            <w:vAlign w:val="top"/>
          </w:tcPr>
          <w:p>
            <w:pPr>
              <w:pStyle w:val="TableText"/>
              <w:ind w:left="601"/>
              <w:spacing w:before="65" w:line="195" w:lineRule="auto"/>
              <w:rPr/>
            </w:pPr>
            <w:r>
              <w:rPr>
                <w:spacing w:val="2"/>
              </w:rPr>
              <w:t>0.15</w:t>
            </w:r>
          </w:p>
        </w:tc>
        <w:tc>
          <w:tcPr>
            <w:tcW w:w="1573" w:type="dxa"/>
            <w:vAlign w:val="top"/>
          </w:tcPr>
          <w:p>
            <w:pPr>
              <w:pStyle w:val="TableText"/>
              <w:ind w:left="607"/>
              <w:spacing w:before="65" w:line="195" w:lineRule="auto"/>
              <w:rPr/>
            </w:pPr>
            <w:r>
              <w:rPr>
                <w:spacing w:val="-4"/>
              </w:rPr>
              <w:t>0.</w:t>
            </w:r>
            <w:r>
              <w:rPr>
                <w:spacing w:val="-25"/>
              </w:rPr>
              <w:t xml:space="preserve"> </w:t>
            </w:r>
            <w:r>
              <w:rPr>
                <w:spacing w:val="-4"/>
              </w:rPr>
              <w:t>14</w:t>
            </w:r>
          </w:p>
        </w:tc>
        <w:tc>
          <w:tcPr>
            <w:tcW w:w="895" w:type="dxa"/>
            <w:vAlign w:val="top"/>
          </w:tcPr>
          <w:p>
            <w:pPr>
              <w:pStyle w:val="TableText"/>
              <w:ind w:left="351"/>
              <w:spacing w:before="65" w:line="195" w:lineRule="auto"/>
              <w:rPr/>
            </w:pPr>
            <w:r>
              <w:rPr/>
              <w:t>65</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660"/>
              <w:spacing w:before="30" w:line="219" w:lineRule="auto"/>
              <w:rPr>
                <w:rFonts w:ascii="SimSun" w:hAnsi="SimSun" w:eastAsia="SimSun" w:cs="SimSun"/>
              </w:rPr>
            </w:pPr>
            <w:r>
              <w:rPr>
                <w:spacing w:val="4"/>
              </w:rPr>
              <w:t>*</w:t>
            </w:r>
            <w:r>
              <w:rPr>
                <w:rFonts w:ascii="SimSun" w:hAnsi="SimSun" w:eastAsia="SimSun" w:cs="SimSun"/>
                <w:spacing w:val="4"/>
              </w:rPr>
              <w:t>六价铬</w:t>
            </w:r>
          </w:p>
        </w:tc>
        <w:tc>
          <w:tcPr>
            <w:tcW w:w="1384" w:type="dxa"/>
            <w:vAlign w:val="top"/>
          </w:tcPr>
          <w:p>
            <w:pPr>
              <w:pStyle w:val="TableText"/>
              <w:ind w:left="501"/>
              <w:spacing w:before="66" w:line="195" w:lineRule="auto"/>
              <w:rPr/>
            </w:pPr>
            <w:r>
              <w:rPr>
                <w:spacing w:val="3"/>
              </w:rPr>
              <w:t>&lt;0.5</w:t>
            </w:r>
          </w:p>
        </w:tc>
        <w:tc>
          <w:tcPr>
            <w:tcW w:w="1566" w:type="dxa"/>
            <w:vAlign w:val="top"/>
          </w:tcPr>
          <w:p>
            <w:pPr>
              <w:pStyle w:val="TableText"/>
              <w:ind w:left="593"/>
              <w:spacing w:before="66" w:line="195" w:lineRule="auto"/>
              <w:rPr/>
            </w:pPr>
            <w:r>
              <w:rPr>
                <w:spacing w:val="3"/>
              </w:rPr>
              <w:t>&lt;0.5</w:t>
            </w:r>
          </w:p>
        </w:tc>
        <w:tc>
          <w:tcPr>
            <w:tcW w:w="1573" w:type="dxa"/>
            <w:vAlign w:val="top"/>
          </w:tcPr>
          <w:p>
            <w:pPr>
              <w:pStyle w:val="TableText"/>
              <w:ind w:left="599"/>
              <w:spacing w:before="66" w:line="195" w:lineRule="auto"/>
              <w:rPr/>
            </w:pPr>
            <w:r>
              <w:rPr>
                <w:spacing w:val="3"/>
              </w:rPr>
              <w:t>&lt;0.5</w:t>
            </w:r>
          </w:p>
        </w:tc>
        <w:tc>
          <w:tcPr>
            <w:tcW w:w="895" w:type="dxa"/>
            <w:vAlign w:val="top"/>
          </w:tcPr>
          <w:p>
            <w:pPr>
              <w:pStyle w:val="TableText"/>
              <w:ind w:left="323"/>
              <w:spacing w:before="69" w:line="192" w:lineRule="auto"/>
              <w:rPr/>
            </w:pPr>
            <w:r>
              <w:rPr/>
              <w:t>5.7</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871"/>
              <w:spacing w:before="30" w:line="219" w:lineRule="auto"/>
              <w:rPr>
                <w:rFonts w:ascii="SimSun" w:hAnsi="SimSun" w:eastAsia="SimSun" w:cs="SimSun"/>
              </w:rPr>
            </w:pPr>
            <w:r>
              <w:rPr>
                <w:spacing w:val="-1"/>
              </w:rPr>
              <w:t>*</w:t>
            </w:r>
            <w:r>
              <w:rPr>
                <w:rFonts w:ascii="SimSun" w:hAnsi="SimSun" w:eastAsia="SimSun" w:cs="SimSun"/>
                <w:spacing w:val="-1"/>
              </w:rPr>
              <w:t>铜</w:t>
            </w:r>
          </w:p>
        </w:tc>
        <w:tc>
          <w:tcPr>
            <w:tcW w:w="1384" w:type="dxa"/>
            <w:vAlign w:val="top"/>
          </w:tcPr>
          <w:p>
            <w:pPr>
              <w:pStyle w:val="TableText"/>
              <w:ind w:left="585"/>
              <w:spacing w:before="66" w:line="195" w:lineRule="auto"/>
              <w:rPr/>
            </w:pPr>
            <w:r>
              <w:rPr>
                <w:spacing w:val="4"/>
              </w:rPr>
              <w:t>21</w:t>
            </w:r>
          </w:p>
        </w:tc>
        <w:tc>
          <w:tcPr>
            <w:tcW w:w="1566" w:type="dxa"/>
            <w:vAlign w:val="top"/>
          </w:tcPr>
          <w:p>
            <w:pPr>
              <w:pStyle w:val="TableText"/>
              <w:ind w:left="697"/>
              <w:spacing w:before="66" w:line="195" w:lineRule="auto"/>
              <w:rPr/>
            </w:pPr>
            <w:r>
              <w:rPr>
                <w:spacing w:val="-8"/>
              </w:rPr>
              <w:t>12</w:t>
            </w:r>
          </w:p>
        </w:tc>
        <w:tc>
          <w:tcPr>
            <w:tcW w:w="1573" w:type="dxa"/>
            <w:vAlign w:val="top"/>
          </w:tcPr>
          <w:p>
            <w:pPr>
              <w:pStyle w:val="TableText"/>
              <w:ind w:left="703"/>
              <w:spacing w:before="66" w:line="195" w:lineRule="auto"/>
              <w:rPr/>
            </w:pPr>
            <w:r>
              <w:rPr>
                <w:spacing w:val="-8"/>
              </w:rPr>
              <w:t>16</w:t>
            </w:r>
          </w:p>
        </w:tc>
        <w:tc>
          <w:tcPr>
            <w:tcW w:w="895" w:type="dxa"/>
            <w:vAlign w:val="top"/>
          </w:tcPr>
          <w:p>
            <w:pPr>
              <w:pStyle w:val="TableText"/>
              <w:ind w:left="208"/>
              <w:spacing w:before="66" w:line="195" w:lineRule="auto"/>
              <w:rPr/>
            </w:pPr>
            <w:r>
              <w:rPr/>
              <w:t>18000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032" w:type="dxa"/>
            <w:vAlign w:val="top"/>
          </w:tcPr>
          <w:p>
            <w:pPr>
              <w:pStyle w:val="TableText"/>
              <w:ind w:left="871"/>
              <w:spacing w:before="31" w:line="216" w:lineRule="auto"/>
              <w:rPr>
                <w:rFonts w:ascii="SimSun" w:hAnsi="SimSun" w:eastAsia="SimSun" w:cs="SimSun"/>
              </w:rPr>
            </w:pPr>
            <w:r>
              <w:rPr>
                <w:spacing w:val="-1"/>
              </w:rPr>
              <w:t>*</w:t>
            </w:r>
            <w:r>
              <w:rPr>
                <w:rFonts w:ascii="SimSun" w:hAnsi="SimSun" w:eastAsia="SimSun" w:cs="SimSun"/>
                <w:spacing w:val="-1"/>
              </w:rPr>
              <w:t>铅</w:t>
            </w:r>
          </w:p>
        </w:tc>
        <w:tc>
          <w:tcPr>
            <w:tcW w:w="1384" w:type="dxa"/>
            <w:vAlign w:val="top"/>
          </w:tcPr>
          <w:p>
            <w:pPr>
              <w:pStyle w:val="TableText"/>
              <w:ind w:left="589"/>
              <w:spacing w:before="66" w:line="195" w:lineRule="auto"/>
              <w:rPr/>
            </w:pPr>
            <w:r>
              <w:rPr>
                <w:spacing w:val="1"/>
              </w:rPr>
              <w:t>32</w:t>
            </w:r>
          </w:p>
        </w:tc>
        <w:tc>
          <w:tcPr>
            <w:tcW w:w="1566" w:type="dxa"/>
            <w:vAlign w:val="top"/>
          </w:tcPr>
          <w:p>
            <w:pPr>
              <w:pStyle w:val="TableText"/>
              <w:ind w:left="681"/>
              <w:spacing w:before="66" w:line="195" w:lineRule="auto"/>
              <w:rPr/>
            </w:pPr>
            <w:r>
              <w:rPr/>
              <w:t>32</w:t>
            </w:r>
          </w:p>
        </w:tc>
        <w:tc>
          <w:tcPr>
            <w:tcW w:w="1573" w:type="dxa"/>
            <w:vAlign w:val="top"/>
          </w:tcPr>
          <w:p>
            <w:pPr>
              <w:pStyle w:val="TableText"/>
              <w:ind w:left="687"/>
              <w:spacing w:before="66" w:line="195" w:lineRule="auto"/>
              <w:rPr/>
            </w:pPr>
            <w:r>
              <w:rPr/>
              <w:t>32</w:t>
            </w:r>
          </w:p>
        </w:tc>
        <w:tc>
          <w:tcPr>
            <w:tcW w:w="895" w:type="dxa"/>
            <w:vAlign w:val="top"/>
          </w:tcPr>
          <w:p>
            <w:pPr>
              <w:pStyle w:val="TableText"/>
              <w:ind w:left="299"/>
              <w:spacing w:before="66" w:line="195" w:lineRule="auto"/>
              <w:rPr/>
            </w:pPr>
            <w:r>
              <w:rPr/>
              <w:t>800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871"/>
              <w:spacing w:before="31" w:line="218" w:lineRule="auto"/>
              <w:rPr>
                <w:rFonts w:ascii="SimSun" w:hAnsi="SimSun" w:eastAsia="SimSun" w:cs="SimSun"/>
              </w:rPr>
            </w:pPr>
            <w:r>
              <w:rPr>
                <w:spacing w:val="-1"/>
              </w:rPr>
              <w:t>*</w:t>
            </w:r>
            <w:r>
              <w:rPr>
                <w:rFonts w:ascii="SimSun" w:hAnsi="SimSun" w:eastAsia="SimSun" w:cs="SimSun"/>
                <w:spacing w:val="-1"/>
              </w:rPr>
              <w:t>镍</w:t>
            </w:r>
          </w:p>
        </w:tc>
        <w:tc>
          <w:tcPr>
            <w:tcW w:w="1384" w:type="dxa"/>
            <w:vAlign w:val="top"/>
          </w:tcPr>
          <w:p>
            <w:pPr>
              <w:pStyle w:val="TableText"/>
              <w:ind w:left="589"/>
              <w:spacing w:before="67" w:line="195" w:lineRule="auto"/>
              <w:rPr/>
            </w:pPr>
            <w:r>
              <w:rPr>
                <w:spacing w:val="1"/>
              </w:rPr>
              <w:t>37</w:t>
            </w:r>
          </w:p>
        </w:tc>
        <w:tc>
          <w:tcPr>
            <w:tcW w:w="1566" w:type="dxa"/>
            <w:vAlign w:val="top"/>
          </w:tcPr>
          <w:p>
            <w:pPr>
              <w:pStyle w:val="TableText"/>
              <w:ind w:left="676"/>
              <w:spacing w:before="67" w:line="195" w:lineRule="auto"/>
              <w:rPr/>
            </w:pPr>
            <w:r>
              <w:rPr>
                <w:spacing w:val="3"/>
              </w:rPr>
              <w:t>48</w:t>
            </w:r>
          </w:p>
        </w:tc>
        <w:tc>
          <w:tcPr>
            <w:tcW w:w="1573" w:type="dxa"/>
            <w:vAlign w:val="top"/>
          </w:tcPr>
          <w:p>
            <w:pPr>
              <w:pStyle w:val="TableText"/>
              <w:ind w:left="682"/>
              <w:spacing w:before="67" w:line="195" w:lineRule="auto"/>
              <w:rPr/>
            </w:pPr>
            <w:r>
              <w:rPr>
                <w:spacing w:val="3"/>
              </w:rPr>
              <w:t>43</w:t>
            </w:r>
          </w:p>
        </w:tc>
        <w:tc>
          <w:tcPr>
            <w:tcW w:w="895" w:type="dxa"/>
            <w:vAlign w:val="top"/>
          </w:tcPr>
          <w:p>
            <w:pPr>
              <w:pStyle w:val="TableText"/>
              <w:ind w:left="295"/>
              <w:spacing w:before="67" w:line="195" w:lineRule="auto"/>
              <w:rPr/>
            </w:pPr>
            <w:r>
              <w:rPr>
                <w:spacing w:val="2"/>
              </w:rPr>
              <w:t>900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871"/>
              <w:spacing w:before="31" w:line="218" w:lineRule="auto"/>
              <w:rPr>
                <w:rFonts w:ascii="SimSun" w:hAnsi="SimSun" w:eastAsia="SimSun" w:cs="SimSun"/>
              </w:rPr>
            </w:pPr>
            <w:r>
              <w:rPr>
                <w:spacing w:val="-1"/>
              </w:rPr>
              <w:t>*</w:t>
            </w:r>
            <w:r>
              <w:rPr>
                <w:rFonts w:ascii="SimSun" w:hAnsi="SimSun" w:eastAsia="SimSun" w:cs="SimSun"/>
                <w:spacing w:val="-1"/>
              </w:rPr>
              <w:t>汞</w:t>
            </w:r>
          </w:p>
        </w:tc>
        <w:tc>
          <w:tcPr>
            <w:tcW w:w="1384" w:type="dxa"/>
            <w:vAlign w:val="top"/>
          </w:tcPr>
          <w:p>
            <w:pPr>
              <w:pStyle w:val="TableText"/>
              <w:ind w:left="456"/>
              <w:spacing w:before="67" w:line="195" w:lineRule="auto"/>
              <w:rPr/>
            </w:pPr>
            <w:r>
              <w:rPr>
                <w:spacing w:val="3"/>
              </w:rPr>
              <w:t>0.057</w:t>
            </w:r>
          </w:p>
        </w:tc>
        <w:tc>
          <w:tcPr>
            <w:tcW w:w="1566" w:type="dxa"/>
            <w:vAlign w:val="top"/>
          </w:tcPr>
          <w:p>
            <w:pPr>
              <w:pStyle w:val="TableText"/>
              <w:ind w:left="548"/>
              <w:spacing w:before="67" w:line="195" w:lineRule="auto"/>
              <w:rPr/>
            </w:pPr>
            <w:r>
              <w:rPr>
                <w:spacing w:val="3"/>
              </w:rPr>
              <w:t>0.082</w:t>
            </w:r>
          </w:p>
        </w:tc>
        <w:tc>
          <w:tcPr>
            <w:tcW w:w="1573" w:type="dxa"/>
            <w:vAlign w:val="top"/>
          </w:tcPr>
          <w:p>
            <w:pPr>
              <w:pStyle w:val="TableText"/>
              <w:ind w:left="554"/>
              <w:spacing w:before="67" w:line="195" w:lineRule="auto"/>
              <w:rPr/>
            </w:pPr>
            <w:r>
              <w:rPr>
                <w:spacing w:val="3"/>
              </w:rPr>
              <w:t>0.026</w:t>
            </w:r>
          </w:p>
        </w:tc>
        <w:tc>
          <w:tcPr>
            <w:tcW w:w="895" w:type="dxa"/>
            <w:vAlign w:val="top"/>
          </w:tcPr>
          <w:p>
            <w:pPr>
              <w:pStyle w:val="TableText"/>
              <w:ind w:left="350"/>
              <w:spacing w:before="67" w:line="195" w:lineRule="auto"/>
              <w:rPr/>
            </w:pPr>
            <w:r>
              <w:rPr/>
              <w:t>38</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557"/>
              <w:spacing w:before="31" w:line="216" w:lineRule="auto"/>
              <w:rPr>
                <w:rFonts w:ascii="SimSun" w:hAnsi="SimSun" w:eastAsia="SimSun" w:cs="SimSun"/>
              </w:rPr>
            </w:pPr>
            <w:r>
              <w:rPr>
                <w:spacing w:val="5"/>
              </w:rPr>
              <w:t>*</w:t>
            </w:r>
            <w:r>
              <w:rPr>
                <w:rFonts w:ascii="SimSun" w:hAnsi="SimSun" w:eastAsia="SimSun" w:cs="SimSun"/>
                <w:spacing w:val="5"/>
              </w:rPr>
              <w:t>四氯化碳</w:t>
            </w:r>
          </w:p>
        </w:tc>
        <w:tc>
          <w:tcPr>
            <w:tcW w:w="1384" w:type="dxa"/>
            <w:vAlign w:val="top"/>
          </w:tcPr>
          <w:p>
            <w:pPr>
              <w:pStyle w:val="TableText"/>
              <w:ind w:left="280"/>
              <w:spacing w:before="47"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317"/>
              <w:spacing w:before="67" w:line="195" w:lineRule="auto"/>
              <w:rPr/>
            </w:pPr>
            <w:r>
              <w:rPr>
                <w:spacing w:val="2"/>
              </w:rPr>
              <w:t>2.8</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765"/>
              <w:spacing w:before="31" w:line="218" w:lineRule="auto"/>
              <w:rPr>
                <w:rFonts w:ascii="SimSun" w:hAnsi="SimSun" w:eastAsia="SimSun" w:cs="SimSun"/>
              </w:rPr>
            </w:pPr>
            <w:r>
              <w:rPr>
                <w:spacing w:val="2"/>
              </w:rPr>
              <w:t>*</w:t>
            </w:r>
            <w:r>
              <w:rPr>
                <w:rFonts w:ascii="SimSun" w:hAnsi="SimSun" w:eastAsia="SimSun" w:cs="SimSun"/>
                <w:spacing w:val="2"/>
              </w:rPr>
              <w:t>氯仿</w:t>
            </w:r>
          </w:p>
        </w:tc>
        <w:tc>
          <w:tcPr>
            <w:tcW w:w="1384" w:type="dxa"/>
            <w:vAlign w:val="top"/>
          </w:tcPr>
          <w:p>
            <w:pPr>
              <w:pStyle w:val="TableText"/>
              <w:ind w:left="280"/>
              <w:spacing w:before="50" w:line="213"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50" w:line="213"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50" w:line="213"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321"/>
              <w:spacing w:before="67" w:line="195" w:lineRule="auto"/>
              <w:rPr/>
            </w:pPr>
            <w:r>
              <w:rPr>
                <w:spacing w:val="1"/>
              </w:rPr>
              <w:t>0.9</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660"/>
              <w:spacing w:before="31" w:line="218" w:lineRule="auto"/>
              <w:rPr>
                <w:rFonts w:ascii="SimSun" w:hAnsi="SimSun" w:eastAsia="SimSun" w:cs="SimSun"/>
              </w:rPr>
            </w:pPr>
            <w:r>
              <w:rPr>
                <w:spacing w:val="4"/>
              </w:rPr>
              <w:t>*</w:t>
            </w:r>
            <w:r>
              <w:rPr>
                <w:rFonts w:ascii="SimSun" w:hAnsi="SimSun" w:eastAsia="SimSun" w:cs="SimSun"/>
                <w:spacing w:val="4"/>
              </w:rPr>
              <w:t>氯甲烷</w:t>
            </w:r>
          </w:p>
        </w:tc>
        <w:tc>
          <w:tcPr>
            <w:tcW w:w="1384" w:type="dxa"/>
            <w:vAlign w:val="top"/>
          </w:tcPr>
          <w:p>
            <w:pPr>
              <w:pStyle w:val="TableText"/>
              <w:ind w:left="280"/>
              <w:spacing w:before="47" w:line="216"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0"/>
              <w:spacing w:before="67" w:line="195" w:lineRule="auto"/>
              <w:rPr/>
            </w:pPr>
            <w:r>
              <w:rPr/>
              <w:t>37</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389"/>
              <w:spacing w:before="31" w:line="216" w:lineRule="auto"/>
              <w:rPr>
                <w:rFonts w:ascii="SimSun" w:hAnsi="SimSun" w:eastAsia="SimSun" w:cs="SimSun"/>
              </w:rPr>
            </w:pPr>
            <w:r>
              <w:rPr>
                <w:spacing w:val="2"/>
              </w:rPr>
              <w:t>*1,</w:t>
            </w:r>
            <w:r>
              <w:rPr>
                <w:spacing w:val="-24"/>
              </w:rPr>
              <w:t xml:space="preserve"> </w:t>
            </w:r>
            <w:r>
              <w:rPr>
                <w:spacing w:val="2"/>
              </w:rPr>
              <w:t>1-</w:t>
            </w:r>
            <w:r>
              <w:rPr>
                <w:rFonts w:ascii="SimSun" w:hAnsi="SimSun" w:eastAsia="SimSun" w:cs="SimSun"/>
                <w:spacing w:val="2"/>
              </w:rPr>
              <w:t>二氯乙烷</w:t>
            </w:r>
          </w:p>
        </w:tc>
        <w:tc>
          <w:tcPr>
            <w:tcW w:w="1384" w:type="dxa"/>
            <w:vAlign w:val="top"/>
          </w:tcPr>
          <w:p>
            <w:pPr>
              <w:pStyle w:val="TableText"/>
              <w:ind w:left="280"/>
              <w:spacing w:before="47"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98"/>
              <w:spacing w:before="67" w:line="195" w:lineRule="auto"/>
              <w:rPr/>
            </w:pPr>
            <w:r>
              <w:rPr/>
              <w:t>9</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389"/>
              <w:spacing w:before="31" w:line="218" w:lineRule="auto"/>
              <w:rPr>
                <w:rFonts w:ascii="SimSun" w:hAnsi="SimSun" w:eastAsia="SimSun" w:cs="SimSun"/>
              </w:rPr>
            </w:pPr>
            <w:r>
              <w:rPr>
                <w:spacing w:val="5"/>
              </w:rPr>
              <w:t>*1,2-</w:t>
            </w:r>
            <w:r>
              <w:rPr>
                <w:rFonts w:ascii="SimSun" w:hAnsi="SimSun" w:eastAsia="SimSun" w:cs="SimSun"/>
                <w:spacing w:val="5"/>
              </w:rPr>
              <w:t>二氯乙烷</w:t>
            </w:r>
          </w:p>
        </w:tc>
        <w:tc>
          <w:tcPr>
            <w:tcW w:w="1384" w:type="dxa"/>
            <w:vAlign w:val="top"/>
          </w:tcPr>
          <w:p>
            <w:pPr>
              <w:pStyle w:val="TableText"/>
              <w:ind w:left="280"/>
              <w:spacing w:before="47"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400"/>
              <w:spacing w:before="70" w:line="192" w:lineRule="auto"/>
              <w:rPr/>
            </w:pPr>
            <w:r>
              <w:rPr/>
              <w:t>5</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396"/>
              <w:spacing w:before="31" w:line="216" w:lineRule="auto"/>
              <w:rPr>
                <w:rFonts w:ascii="SimSun" w:hAnsi="SimSun" w:eastAsia="SimSun" w:cs="SimSun"/>
              </w:rPr>
            </w:pPr>
            <w:r>
              <w:rPr/>
              <w:t>*1,</w:t>
            </w:r>
            <w:r>
              <w:rPr>
                <w:spacing w:val="-22"/>
              </w:rPr>
              <w:t xml:space="preserve"> </w:t>
            </w:r>
            <w:r>
              <w:rPr/>
              <w:t>1</w:t>
            </w:r>
            <w:r>
              <w:rPr>
                <w:spacing w:val="13"/>
                <w:w w:val="101"/>
              </w:rPr>
              <w:t xml:space="preserve"> </w:t>
            </w:r>
            <w:r>
              <w:rPr>
                <w:rFonts w:ascii="SimSun" w:hAnsi="SimSun" w:eastAsia="SimSun" w:cs="SimSun"/>
              </w:rPr>
              <w:t>二氯乙烯</w:t>
            </w:r>
          </w:p>
        </w:tc>
        <w:tc>
          <w:tcPr>
            <w:tcW w:w="1384" w:type="dxa"/>
            <w:vAlign w:val="top"/>
          </w:tcPr>
          <w:p>
            <w:pPr>
              <w:pStyle w:val="TableText"/>
              <w:ind w:left="280"/>
              <w:spacing w:before="47" w:line="216"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1"/>
              <w:spacing w:before="67" w:line="195" w:lineRule="auto"/>
              <w:rPr/>
            </w:pPr>
            <w:r>
              <w:rPr/>
              <w:t>66</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264"/>
              <w:spacing w:before="33" w:line="216" w:lineRule="auto"/>
              <w:rPr>
                <w:rFonts w:ascii="SimSun" w:hAnsi="SimSun" w:eastAsia="SimSun" w:cs="SimSun"/>
              </w:rPr>
            </w:pPr>
            <w:r>
              <w:rPr>
                <w:spacing w:val="2"/>
              </w:rPr>
              <w:t>*</w:t>
            </w:r>
            <w:r>
              <w:rPr>
                <w:rFonts w:ascii="SimSun" w:hAnsi="SimSun" w:eastAsia="SimSun" w:cs="SimSun"/>
                <w:spacing w:val="2"/>
              </w:rPr>
              <w:t>顺</w:t>
            </w:r>
            <w:r>
              <w:rPr>
                <w:rFonts w:ascii="SimSun" w:hAnsi="SimSun" w:eastAsia="SimSun" w:cs="SimSun"/>
                <w:spacing w:val="-15"/>
              </w:rPr>
              <w:t xml:space="preserve"> </w:t>
            </w:r>
            <w:r>
              <w:rPr>
                <w:spacing w:val="2"/>
              </w:rPr>
              <w:t>1,2 </w:t>
            </w:r>
            <w:r>
              <w:rPr>
                <w:rFonts w:ascii="SimSun" w:hAnsi="SimSun" w:eastAsia="SimSun" w:cs="SimSun"/>
                <w:spacing w:val="2"/>
              </w:rPr>
              <w:t>二氯乙烯</w:t>
            </w:r>
          </w:p>
        </w:tc>
        <w:tc>
          <w:tcPr>
            <w:tcW w:w="1384" w:type="dxa"/>
            <w:vAlign w:val="top"/>
          </w:tcPr>
          <w:p>
            <w:pPr>
              <w:pStyle w:val="TableText"/>
              <w:ind w:left="280"/>
              <w:spacing w:before="50"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50"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50"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97"/>
              <w:spacing w:before="70" w:line="195" w:lineRule="auto"/>
              <w:rPr/>
            </w:pPr>
            <w:r>
              <w:rPr>
                <w:spacing w:val="1"/>
              </w:rPr>
              <w:t>596</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264"/>
              <w:spacing w:before="31" w:line="218" w:lineRule="auto"/>
              <w:rPr>
                <w:rFonts w:ascii="SimSun" w:hAnsi="SimSun" w:eastAsia="SimSun" w:cs="SimSun"/>
              </w:rPr>
            </w:pPr>
            <w:r>
              <w:rPr>
                <w:spacing w:val="2"/>
              </w:rPr>
              <w:t>*</w:t>
            </w:r>
            <w:r>
              <w:rPr>
                <w:rFonts w:ascii="SimSun" w:hAnsi="SimSun" w:eastAsia="SimSun" w:cs="SimSun"/>
                <w:spacing w:val="2"/>
              </w:rPr>
              <w:t>反</w:t>
            </w:r>
            <w:r>
              <w:rPr>
                <w:rFonts w:ascii="SimSun" w:hAnsi="SimSun" w:eastAsia="SimSun" w:cs="SimSun"/>
                <w:spacing w:val="-15"/>
              </w:rPr>
              <w:t xml:space="preserve"> </w:t>
            </w:r>
            <w:r>
              <w:rPr>
                <w:spacing w:val="2"/>
              </w:rPr>
              <w:t>1,2 </w:t>
            </w:r>
            <w:r>
              <w:rPr>
                <w:rFonts w:ascii="SimSun" w:hAnsi="SimSun" w:eastAsia="SimSun" w:cs="SimSun"/>
                <w:spacing w:val="2"/>
              </w:rPr>
              <w:t>二氯乙烯</w:t>
            </w:r>
          </w:p>
        </w:tc>
        <w:tc>
          <w:tcPr>
            <w:tcW w:w="1384" w:type="dxa"/>
            <w:vAlign w:val="top"/>
          </w:tcPr>
          <w:p>
            <w:pPr>
              <w:pStyle w:val="TableText"/>
              <w:ind w:left="280"/>
              <w:spacing w:before="47" w:line="216" w:lineRule="auto"/>
              <w:rPr>
                <w:sz w:val="13"/>
                <w:szCs w:val="13"/>
              </w:rPr>
            </w:pPr>
            <w:r>
              <w:rPr>
                <w:spacing w:val="3"/>
              </w:rPr>
              <w:t>&lt;1.4×10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&lt;1.4×10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7" w:line="195" w:lineRule="auto"/>
              <w:rPr/>
            </w:pPr>
            <w:r>
              <w:rPr/>
              <w:t>54</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557"/>
              <w:spacing w:before="31" w:line="216" w:lineRule="auto"/>
              <w:rPr>
                <w:rFonts w:ascii="SimSun" w:hAnsi="SimSun" w:eastAsia="SimSun" w:cs="SimSun"/>
              </w:rPr>
            </w:pPr>
            <w:r>
              <w:rPr>
                <w:spacing w:val="5"/>
              </w:rPr>
              <w:t>*</w:t>
            </w:r>
            <w:r>
              <w:rPr>
                <w:rFonts w:ascii="SimSun" w:hAnsi="SimSun" w:eastAsia="SimSun" w:cs="SimSun"/>
                <w:spacing w:val="5"/>
              </w:rPr>
              <w:t>二氯甲烷</w:t>
            </w:r>
          </w:p>
        </w:tc>
        <w:tc>
          <w:tcPr>
            <w:tcW w:w="1384" w:type="dxa"/>
            <w:vAlign w:val="top"/>
          </w:tcPr>
          <w:p>
            <w:pPr>
              <w:pStyle w:val="TableText"/>
              <w:ind w:left="280"/>
              <w:spacing w:before="48"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6"/>
              <w:spacing w:before="68" w:line="195" w:lineRule="auto"/>
              <w:rPr/>
            </w:pPr>
            <w:r>
              <w:rPr>
                <w:spacing w:val="2"/>
              </w:rPr>
              <w:t>616</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389"/>
              <w:spacing w:before="33" w:line="216" w:lineRule="auto"/>
              <w:rPr>
                <w:rFonts w:ascii="SimSun" w:hAnsi="SimSun" w:eastAsia="SimSun" w:cs="SimSun"/>
              </w:rPr>
            </w:pPr>
            <w:r>
              <w:rPr>
                <w:spacing w:val="5"/>
              </w:rPr>
              <w:t>*1,2-</w:t>
            </w:r>
            <w:r>
              <w:rPr>
                <w:rFonts w:ascii="SimSun" w:hAnsi="SimSun" w:eastAsia="SimSun" w:cs="SimSun"/>
                <w:spacing w:val="5"/>
              </w:rPr>
              <w:t>二氯丙烷</w:t>
            </w:r>
          </w:p>
        </w:tc>
        <w:tc>
          <w:tcPr>
            <w:tcW w:w="1384" w:type="dxa"/>
            <w:vAlign w:val="top"/>
          </w:tcPr>
          <w:p>
            <w:pPr>
              <w:pStyle w:val="TableText"/>
              <w:ind w:left="280"/>
              <w:spacing w:before="50" w:line="216"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50" w:line="216"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50"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400"/>
              <w:spacing w:before="73" w:line="192" w:lineRule="auto"/>
              <w:rPr/>
            </w:pPr>
            <w:r>
              <w:rPr/>
              <w:t>5</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233"/>
              <w:spacing w:before="31" w:line="218" w:lineRule="auto"/>
              <w:rPr>
                <w:rFonts w:ascii="SimSun" w:hAnsi="SimSun" w:eastAsia="SimSun" w:cs="SimSun"/>
              </w:rPr>
            </w:pPr>
            <w:r>
              <w:rPr/>
              <w:t>*1,</w:t>
            </w:r>
            <w:r>
              <w:rPr>
                <w:spacing w:val="-19"/>
              </w:rPr>
              <w:t xml:space="preserve"> </w:t>
            </w:r>
            <w:r>
              <w:rPr/>
              <w:t>1,</w:t>
            </w:r>
            <w:r>
              <w:rPr>
                <w:spacing w:val="-25"/>
              </w:rPr>
              <w:t xml:space="preserve"> </w:t>
            </w:r>
            <w:r>
              <w:rPr/>
              <w:t>1,2-</w:t>
            </w:r>
            <w:r>
              <w:rPr>
                <w:rFonts w:ascii="SimSun" w:hAnsi="SimSun" w:eastAsia="SimSun" w:cs="SimSun"/>
              </w:rPr>
              <w:t>四氯乙烷</w:t>
            </w:r>
          </w:p>
        </w:tc>
        <w:tc>
          <w:tcPr>
            <w:tcW w:w="1384" w:type="dxa"/>
            <w:vAlign w:val="top"/>
          </w:tcPr>
          <w:p>
            <w:pPr>
              <w:pStyle w:val="TableText"/>
              <w:ind w:left="280"/>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66"/>
              <w:spacing w:before="68" w:line="195" w:lineRule="auto"/>
              <w:rPr/>
            </w:pPr>
            <w:r>
              <w:rPr>
                <w:spacing w:val="-8"/>
              </w:rPr>
              <w:t>10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233"/>
              <w:spacing w:before="31" w:line="216" w:lineRule="auto"/>
              <w:rPr>
                <w:rFonts w:ascii="SimSun" w:hAnsi="SimSun" w:eastAsia="SimSun" w:cs="SimSun"/>
              </w:rPr>
            </w:pPr>
            <w:r>
              <w:rPr>
                <w:spacing w:val="2"/>
              </w:rPr>
              <w:t>*1,</w:t>
            </w:r>
            <w:r>
              <w:rPr>
                <w:spacing w:val="-20"/>
              </w:rPr>
              <w:t xml:space="preserve"> </w:t>
            </w:r>
            <w:r>
              <w:rPr>
                <w:spacing w:val="2"/>
              </w:rPr>
              <w:t>1,2,2-</w:t>
            </w:r>
            <w:r>
              <w:rPr>
                <w:rFonts w:ascii="SimSun" w:hAnsi="SimSun" w:eastAsia="SimSun" w:cs="SimSun"/>
                <w:spacing w:val="2"/>
              </w:rPr>
              <w:t>四氯乙烷</w:t>
            </w:r>
          </w:p>
        </w:tc>
        <w:tc>
          <w:tcPr>
            <w:tcW w:w="1384" w:type="dxa"/>
            <w:vAlign w:val="top"/>
          </w:tcPr>
          <w:p>
            <w:pPr>
              <w:pStyle w:val="TableText"/>
              <w:ind w:left="280"/>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22"/>
              <w:spacing w:before="68" w:line="195" w:lineRule="auto"/>
              <w:rPr/>
            </w:pPr>
            <w:r>
              <w:rPr>
                <w:spacing w:val="1"/>
              </w:rPr>
              <w:t>6.8</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557"/>
              <w:spacing w:before="31" w:line="218" w:lineRule="auto"/>
              <w:rPr>
                <w:rFonts w:ascii="SimSun" w:hAnsi="SimSun" w:eastAsia="SimSun" w:cs="SimSun"/>
              </w:rPr>
            </w:pPr>
            <w:r>
              <w:rPr>
                <w:spacing w:val="5"/>
              </w:rPr>
              <w:t>*</w:t>
            </w:r>
            <w:r>
              <w:rPr>
                <w:rFonts w:ascii="SimSun" w:hAnsi="SimSun" w:eastAsia="SimSun" w:cs="SimSun"/>
                <w:spacing w:val="5"/>
              </w:rPr>
              <w:t>四氯乙烯</w:t>
            </w:r>
          </w:p>
        </w:tc>
        <w:tc>
          <w:tcPr>
            <w:tcW w:w="1384" w:type="dxa"/>
            <w:vAlign w:val="top"/>
          </w:tcPr>
          <w:p>
            <w:pPr>
              <w:pStyle w:val="TableText"/>
              <w:ind w:left="280"/>
              <w:spacing w:before="50" w:line="213" w:lineRule="auto"/>
              <w:rPr>
                <w:sz w:val="13"/>
                <w:szCs w:val="13"/>
              </w:rPr>
            </w:pPr>
            <w:r>
              <w:rPr>
                <w:spacing w:val="3"/>
              </w:rPr>
              <w:t>&lt;1.4×10</w:t>
            </w:r>
            <w:r>
              <w:rPr>
                <w:sz w:val="13"/>
                <w:szCs w:val="13"/>
                <w:spacing w:val="3"/>
                <w:position w:val="6"/>
              </w:rPr>
              <w:t>-3</w:t>
            </w:r>
          </w:p>
        </w:tc>
        <w:tc>
          <w:tcPr>
            <w:tcW w:w="1566" w:type="dxa"/>
            <w:vAlign w:val="top"/>
          </w:tcPr>
          <w:p>
            <w:pPr>
              <w:pStyle w:val="TableText"/>
              <w:ind w:left="372"/>
              <w:spacing w:before="50" w:line="213" w:lineRule="auto"/>
              <w:rPr>
                <w:sz w:val="13"/>
                <w:szCs w:val="13"/>
              </w:rPr>
            </w:pPr>
            <w:r>
              <w:rPr>
                <w:spacing w:val="3"/>
              </w:rPr>
              <w:t>&lt;1.4×10</w:t>
            </w:r>
            <w:r>
              <w:rPr>
                <w:sz w:val="13"/>
                <w:szCs w:val="13"/>
                <w:spacing w:val="3"/>
                <w:position w:val="6"/>
              </w:rPr>
              <w:t>-3</w:t>
            </w:r>
          </w:p>
        </w:tc>
        <w:tc>
          <w:tcPr>
            <w:tcW w:w="1573" w:type="dxa"/>
            <w:vAlign w:val="top"/>
          </w:tcPr>
          <w:p>
            <w:pPr>
              <w:pStyle w:val="TableText"/>
              <w:ind w:left="375"/>
              <w:spacing w:before="50" w:line="213"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8" w:line="195" w:lineRule="auto"/>
              <w:rPr/>
            </w:pPr>
            <w:r>
              <w:rPr/>
              <w:t>53</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312"/>
              <w:spacing w:before="32" w:line="217" w:lineRule="auto"/>
              <w:rPr>
                <w:rFonts w:ascii="SimSun" w:hAnsi="SimSun" w:eastAsia="SimSun" w:cs="SimSun"/>
              </w:rPr>
            </w:pPr>
            <w:r>
              <w:rPr>
                <w:spacing w:val="-1"/>
              </w:rPr>
              <w:t>*1,</w:t>
            </w:r>
            <w:r>
              <w:rPr>
                <w:spacing w:val="-16"/>
              </w:rPr>
              <w:t xml:space="preserve"> </w:t>
            </w:r>
            <w:r>
              <w:rPr>
                <w:spacing w:val="-1"/>
              </w:rPr>
              <w:t>1,</w:t>
            </w:r>
            <w:r>
              <w:rPr>
                <w:spacing w:val="-25"/>
              </w:rPr>
              <w:t xml:space="preserve"> </w:t>
            </w:r>
            <w:r>
              <w:rPr>
                <w:spacing w:val="-1"/>
              </w:rPr>
              <w:t>1-</w:t>
            </w:r>
            <w:r>
              <w:rPr>
                <w:rFonts w:ascii="SimSun" w:hAnsi="SimSun" w:eastAsia="SimSun" w:cs="SimSun"/>
                <w:spacing w:val="-1"/>
              </w:rPr>
              <w:t>三氯乙烷</w:t>
            </w:r>
          </w:p>
        </w:tc>
        <w:tc>
          <w:tcPr>
            <w:tcW w:w="1384" w:type="dxa"/>
            <w:vAlign w:val="top"/>
          </w:tcPr>
          <w:p>
            <w:pPr>
              <w:pStyle w:val="TableText"/>
              <w:ind w:left="280"/>
              <w:spacing w:before="48"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99"/>
              <w:spacing w:before="68" w:line="195" w:lineRule="auto"/>
              <w:rPr/>
            </w:pPr>
            <w:r>
              <w:rPr/>
              <w:t>840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312"/>
              <w:spacing w:before="29" w:line="218" w:lineRule="auto"/>
              <w:rPr>
                <w:rFonts w:ascii="SimSun" w:hAnsi="SimSun" w:eastAsia="SimSun" w:cs="SimSun"/>
              </w:rPr>
            </w:pPr>
            <w:r>
              <w:rPr>
                <w:spacing w:val="2"/>
              </w:rPr>
              <w:t>*1,</w:t>
            </w:r>
            <w:r>
              <w:rPr>
                <w:spacing w:val="-24"/>
              </w:rPr>
              <w:t xml:space="preserve"> </w:t>
            </w:r>
            <w:r>
              <w:rPr>
                <w:spacing w:val="2"/>
              </w:rPr>
              <w:t>1,2-</w:t>
            </w:r>
            <w:r>
              <w:rPr>
                <w:rFonts w:ascii="SimSun" w:hAnsi="SimSun" w:eastAsia="SimSun" w:cs="SimSun"/>
                <w:spacing w:val="2"/>
              </w:rPr>
              <w:t>三氯乙烷</w:t>
            </w:r>
          </w:p>
        </w:tc>
        <w:tc>
          <w:tcPr>
            <w:tcW w:w="1384" w:type="dxa"/>
            <w:vAlign w:val="top"/>
          </w:tcPr>
          <w:p>
            <w:pPr>
              <w:pStyle w:val="TableText"/>
              <w:ind w:left="280"/>
              <w:spacing w:before="48"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6" w:line="195" w:lineRule="auto"/>
              <w:rPr/>
            </w:pPr>
            <w:r>
              <w:rPr>
                <w:spacing w:val="2"/>
              </w:rPr>
              <w:t>2.8</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557"/>
              <w:spacing w:before="32" w:line="217" w:lineRule="auto"/>
              <w:rPr>
                <w:rFonts w:ascii="SimSun" w:hAnsi="SimSun" w:eastAsia="SimSun" w:cs="SimSun"/>
              </w:rPr>
            </w:pPr>
            <w:r>
              <w:rPr>
                <w:spacing w:val="5"/>
              </w:rPr>
              <w:t>*</w:t>
            </w:r>
            <w:r>
              <w:rPr>
                <w:rFonts w:ascii="SimSun" w:hAnsi="SimSun" w:eastAsia="SimSun" w:cs="SimSun"/>
                <w:spacing w:val="5"/>
              </w:rPr>
              <w:t>三氯乙烯</w:t>
            </w:r>
          </w:p>
        </w:tc>
        <w:tc>
          <w:tcPr>
            <w:tcW w:w="1384" w:type="dxa"/>
            <w:vAlign w:val="top"/>
          </w:tcPr>
          <w:p>
            <w:pPr>
              <w:pStyle w:val="TableText"/>
              <w:ind w:left="280"/>
              <w:spacing w:before="51"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51"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51"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8" w:line="195" w:lineRule="auto"/>
              <w:rPr/>
            </w:pPr>
            <w:r>
              <w:rPr>
                <w:spacing w:val="2"/>
              </w:rPr>
              <w:t>2.8</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312"/>
              <w:spacing w:before="32" w:line="217" w:lineRule="auto"/>
              <w:rPr>
                <w:rFonts w:ascii="SimSun" w:hAnsi="SimSun" w:eastAsia="SimSun" w:cs="SimSun"/>
              </w:rPr>
            </w:pPr>
            <w:r>
              <w:rPr>
                <w:spacing w:val="4"/>
              </w:rPr>
              <w:t>*1,2,3-</w:t>
            </w:r>
            <w:r>
              <w:rPr>
                <w:rFonts w:ascii="SimSun" w:hAnsi="SimSun" w:eastAsia="SimSun" w:cs="SimSun"/>
                <w:spacing w:val="4"/>
              </w:rPr>
              <w:t>三氯丙烷</w:t>
            </w:r>
          </w:p>
        </w:tc>
        <w:tc>
          <w:tcPr>
            <w:tcW w:w="1384" w:type="dxa"/>
            <w:vAlign w:val="top"/>
          </w:tcPr>
          <w:p>
            <w:pPr>
              <w:pStyle w:val="TableText"/>
              <w:ind w:left="280"/>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21"/>
              <w:spacing w:before="68" w:line="195" w:lineRule="auto"/>
              <w:rPr/>
            </w:pPr>
            <w:r>
              <w:rPr>
                <w:spacing w:val="1"/>
              </w:rPr>
              <w:t>0.5</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660"/>
              <w:spacing w:before="30" w:line="217" w:lineRule="auto"/>
              <w:rPr>
                <w:rFonts w:ascii="SimSun" w:hAnsi="SimSun" w:eastAsia="SimSun" w:cs="SimSun"/>
              </w:rPr>
            </w:pPr>
            <w:r>
              <w:rPr>
                <w:spacing w:val="4"/>
              </w:rPr>
              <w:t>*</w:t>
            </w:r>
            <w:r>
              <w:rPr>
                <w:rFonts w:ascii="SimSun" w:hAnsi="SimSun" w:eastAsia="SimSun" w:cs="SimSun"/>
                <w:spacing w:val="4"/>
              </w:rPr>
              <w:t>氯乙烯</w:t>
            </w:r>
          </w:p>
        </w:tc>
        <w:tc>
          <w:tcPr>
            <w:tcW w:w="1384" w:type="dxa"/>
            <w:vAlign w:val="top"/>
          </w:tcPr>
          <w:p>
            <w:pPr>
              <w:pStyle w:val="TableText"/>
              <w:ind w:left="280"/>
              <w:spacing w:before="49" w:line="213"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9" w:line="213"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9" w:line="213" w:lineRule="auto"/>
              <w:rPr>
                <w:sz w:val="13"/>
                <w:szCs w:val="13"/>
              </w:rPr>
            </w:pPr>
            <w:r>
              <w:rPr>
                <w:spacing w:val="3"/>
              </w:rPr>
              <w:t>&lt;1.0×10</w:t>
            </w:r>
            <w:r>
              <w:rPr>
                <w:sz w:val="13"/>
                <w:szCs w:val="13"/>
                <w:spacing w:val="3"/>
                <w:position w:val="6"/>
              </w:rPr>
              <w:t>-3</w:t>
            </w:r>
          </w:p>
        </w:tc>
        <w:tc>
          <w:tcPr>
            <w:tcW w:w="895" w:type="dxa"/>
            <w:vAlign w:val="top"/>
          </w:tcPr>
          <w:p>
            <w:pPr>
              <w:pStyle w:val="TableText"/>
              <w:ind w:left="270"/>
              <w:spacing w:before="66" w:line="195" w:lineRule="auto"/>
              <w:rPr/>
            </w:pPr>
            <w:r>
              <w:rPr>
                <w:spacing w:val="2"/>
              </w:rPr>
              <w:t>0.43</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871"/>
              <w:spacing w:before="32" w:line="217" w:lineRule="auto"/>
              <w:rPr>
                <w:rFonts w:ascii="SimSun" w:hAnsi="SimSun" w:eastAsia="SimSun" w:cs="SimSun"/>
              </w:rPr>
            </w:pPr>
            <w:r>
              <w:rPr>
                <w:spacing w:val="-1"/>
              </w:rPr>
              <w:t>*</w:t>
            </w:r>
            <w:r>
              <w:rPr>
                <w:rFonts w:ascii="SimSun" w:hAnsi="SimSun" w:eastAsia="SimSun" w:cs="SimSun"/>
                <w:spacing w:val="-1"/>
              </w:rPr>
              <w:t>苯</w:t>
            </w:r>
          </w:p>
        </w:tc>
        <w:tc>
          <w:tcPr>
            <w:tcW w:w="1384" w:type="dxa"/>
            <w:vAlign w:val="top"/>
          </w:tcPr>
          <w:p>
            <w:pPr>
              <w:pStyle w:val="TableText"/>
              <w:ind w:left="280"/>
              <w:spacing w:before="51" w:line="213" w:lineRule="auto"/>
              <w:rPr>
                <w:sz w:val="13"/>
                <w:szCs w:val="13"/>
              </w:rPr>
            </w:pPr>
            <w:r>
              <w:rPr>
                <w:spacing w:val="3"/>
              </w:rPr>
              <w:t>&lt;1.9×10</w:t>
            </w:r>
            <w:r>
              <w:rPr>
                <w:sz w:val="13"/>
                <w:szCs w:val="13"/>
                <w:spacing w:val="3"/>
                <w:position w:val="6"/>
              </w:rPr>
              <w:t>-3</w:t>
            </w:r>
          </w:p>
        </w:tc>
        <w:tc>
          <w:tcPr>
            <w:tcW w:w="1566" w:type="dxa"/>
            <w:vAlign w:val="top"/>
          </w:tcPr>
          <w:p>
            <w:pPr>
              <w:pStyle w:val="TableText"/>
              <w:ind w:left="372"/>
              <w:spacing w:before="51" w:line="213" w:lineRule="auto"/>
              <w:rPr>
                <w:sz w:val="13"/>
                <w:szCs w:val="13"/>
              </w:rPr>
            </w:pPr>
            <w:r>
              <w:rPr>
                <w:spacing w:val="3"/>
              </w:rPr>
              <w:t>&lt;1.9×10</w:t>
            </w:r>
            <w:r>
              <w:rPr>
                <w:sz w:val="13"/>
                <w:szCs w:val="13"/>
                <w:spacing w:val="3"/>
                <w:position w:val="6"/>
              </w:rPr>
              <w:t>-3</w:t>
            </w:r>
          </w:p>
        </w:tc>
        <w:tc>
          <w:tcPr>
            <w:tcW w:w="1573" w:type="dxa"/>
            <w:vAlign w:val="top"/>
          </w:tcPr>
          <w:p>
            <w:pPr>
              <w:pStyle w:val="TableText"/>
              <w:ind w:left="375"/>
              <w:spacing w:before="51" w:line="213" w:lineRule="auto"/>
              <w:rPr>
                <w:sz w:val="13"/>
                <w:szCs w:val="13"/>
              </w:rPr>
            </w:pPr>
            <w:r>
              <w:rPr>
                <w:spacing w:val="3"/>
              </w:rPr>
              <w:t>&lt;1.9×10</w:t>
            </w:r>
            <w:r>
              <w:rPr>
                <w:sz w:val="13"/>
                <w:szCs w:val="13"/>
                <w:spacing w:val="3"/>
                <w:position w:val="6"/>
              </w:rPr>
              <w:t>-3</w:t>
            </w:r>
          </w:p>
        </w:tc>
        <w:tc>
          <w:tcPr>
            <w:tcW w:w="895" w:type="dxa"/>
            <w:vAlign w:val="top"/>
          </w:tcPr>
          <w:p>
            <w:pPr>
              <w:pStyle w:val="TableText"/>
              <w:ind w:left="393"/>
              <w:spacing w:before="68" w:line="195" w:lineRule="auto"/>
              <w:rPr/>
            </w:pPr>
            <w:r>
              <w:rPr>
                <w:spacing w:val="1"/>
              </w:rPr>
              <w:t>4</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765"/>
              <w:spacing w:before="32" w:line="217" w:lineRule="auto"/>
              <w:rPr>
                <w:rFonts w:ascii="SimSun" w:hAnsi="SimSun" w:eastAsia="SimSun" w:cs="SimSun"/>
              </w:rPr>
            </w:pPr>
            <w:r>
              <w:rPr>
                <w:spacing w:val="2"/>
              </w:rPr>
              <w:t>*</w:t>
            </w:r>
            <w:r>
              <w:rPr>
                <w:rFonts w:ascii="SimSun" w:hAnsi="SimSun" w:eastAsia="SimSun" w:cs="SimSun"/>
                <w:spacing w:val="2"/>
              </w:rPr>
              <w:t>氯苯</w:t>
            </w:r>
          </w:p>
        </w:tc>
        <w:tc>
          <w:tcPr>
            <w:tcW w:w="1384" w:type="dxa"/>
            <w:vAlign w:val="top"/>
          </w:tcPr>
          <w:p>
            <w:pPr>
              <w:pStyle w:val="TableText"/>
              <w:ind w:left="280"/>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1"/>
              <w:spacing w:before="68" w:line="195" w:lineRule="auto"/>
              <w:rPr/>
            </w:pPr>
            <w:r>
              <w:rPr>
                <w:spacing w:val="3"/>
              </w:rPr>
              <w:t>270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492"/>
              <w:spacing w:before="33" w:line="215" w:lineRule="auto"/>
              <w:rPr>
                <w:rFonts w:ascii="SimSun" w:hAnsi="SimSun" w:eastAsia="SimSun" w:cs="SimSun"/>
              </w:rPr>
            </w:pPr>
            <w:r>
              <w:rPr>
                <w:spacing w:val="4"/>
              </w:rPr>
              <w:t>*1,2-</w:t>
            </w:r>
            <w:r>
              <w:rPr>
                <w:rFonts w:ascii="SimSun" w:hAnsi="SimSun" w:eastAsia="SimSun" w:cs="SimSun"/>
                <w:spacing w:val="4"/>
              </w:rPr>
              <w:t>二氯苯</w:t>
            </w:r>
          </w:p>
        </w:tc>
        <w:tc>
          <w:tcPr>
            <w:tcW w:w="1384" w:type="dxa"/>
            <w:vAlign w:val="top"/>
          </w:tcPr>
          <w:p>
            <w:pPr>
              <w:pStyle w:val="TableText"/>
              <w:ind w:left="280"/>
              <w:spacing w:before="48"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7"/>
              <w:spacing w:before="68" w:line="195" w:lineRule="auto"/>
              <w:rPr/>
            </w:pPr>
            <w:r>
              <w:rPr>
                <w:spacing w:val="1"/>
              </w:rPr>
              <w:t>560</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492"/>
              <w:spacing w:before="32" w:line="217" w:lineRule="auto"/>
              <w:rPr>
                <w:rFonts w:ascii="SimSun" w:hAnsi="SimSun" w:eastAsia="SimSun" w:cs="SimSun"/>
              </w:rPr>
            </w:pPr>
            <w:r>
              <w:rPr>
                <w:spacing w:val="4"/>
              </w:rPr>
              <w:t>*1,4-</w:t>
            </w:r>
            <w:r>
              <w:rPr>
                <w:rFonts w:ascii="SimSun" w:hAnsi="SimSun" w:eastAsia="SimSun" w:cs="SimSun"/>
                <w:spacing w:val="4"/>
              </w:rPr>
              <w:t>二氯苯</w:t>
            </w:r>
          </w:p>
        </w:tc>
        <w:tc>
          <w:tcPr>
            <w:tcW w:w="1384" w:type="dxa"/>
            <w:vAlign w:val="top"/>
          </w:tcPr>
          <w:p>
            <w:pPr>
              <w:pStyle w:val="TableText"/>
              <w:ind w:left="280"/>
              <w:spacing w:before="48"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346"/>
              <w:spacing w:before="68" w:line="195" w:lineRule="auto"/>
              <w:rPr/>
            </w:pPr>
            <w:r>
              <w:rPr>
                <w:spacing w:val="2"/>
              </w:rPr>
              <w:t>20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765"/>
              <w:spacing w:before="33" w:line="215" w:lineRule="auto"/>
              <w:rPr>
                <w:rFonts w:ascii="SimSun" w:hAnsi="SimSun" w:eastAsia="SimSun" w:cs="SimSun"/>
              </w:rPr>
            </w:pPr>
            <w:r>
              <w:rPr>
                <w:spacing w:val="2"/>
              </w:rPr>
              <w:t>*</w:t>
            </w:r>
            <w:r>
              <w:rPr>
                <w:rFonts w:ascii="SimSun" w:hAnsi="SimSun" w:eastAsia="SimSun" w:cs="SimSun"/>
                <w:spacing w:val="2"/>
              </w:rPr>
              <w:t>乙苯</w:t>
            </w:r>
          </w:p>
        </w:tc>
        <w:tc>
          <w:tcPr>
            <w:tcW w:w="1384" w:type="dxa"/>
            <w:vAlign w:val="top"/>
          </w:tcPr>
          <w:p>
            <w:pPr>
              <w:pStyle w:val="TableText"/>
              <w:ind w:left="280"/>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46"/>
              <w:spacing w:before="68" w:line="195" w:lineRule="auto"/>
              <w:rPr/>
            </w:pPr>
            <w:r>
              <w:rPr>
                <w:spacing w:val="2"/>
              </w:rPr>
              <w:t>28</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660"/>
              <w:spacing w:before="35" w:line="215" w:lineRule="auto"/>
              <w:rPr>
                <w:rFonts w:ascii="SimSun" w:hAnsi="SimSun" w:eastAsia="SimSun" w:cs="SimSun"/>
              </w:rPr>
            </w:pPr>
            <w:r>
              <w:rPr>
                <w:spacing w:val="4"/>
              </w:rPr>
              <w:t>*</w:t>
            </w:r>
            <w:r>
              <w:rPr>
                <w:rFonts w:ascii="SimSun" w:hAnsi="SimSun" w:eastAsia="SimSun" w:cs="SimSun"/>
                <w:spacing w:val="4"/>
              </w:rPr>
              <w:t>苯乙烯</w:t>
            </w:r>
          </w:p>
        </w:tc>
        <w:tc>
          <w:tcPr>
            <w:tcW w:w="1384" w:type="dxa"/>
            <w:vAlign w:val="top"/>
          </w:tcPr>
          <w:p>
            <w:pPr>
              <w:pStyle w:val="TableText"/>
              <w:ind w:left="280"/>
              <w:spacing w:before="51" w:line="216"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51" w:line="216"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51"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258"/>
              <w:spacing w:before="71" w:line="195" w:lineRule="auto"/>
              <w:rPr/>
            </w:pPr>
            <w:r>
              <w:rPr>
                <w:spacing w:val="-1"/>
              </w:rPr>
              <w:t>1290</w:t>
            </w:r>
          </w:p>
        </w:tc>
        <w:tc>
          <w:tcPr>
            <w:tcW w:w="919" w:type="dxa"/>
            <w:vAlign w:val="top"/>
          </w:tcPr>
          <w:p>
            <w:pPr>
              <w:pStyle w:val="TableText"/>
              <w:ind w:left="190"/>
              <w:spacing w:before="67"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765"/>
              <w:spacing w:before="32" w:line="217" w:lineRule="auto"/>
              <w:rPr>
                <w:rFonts w:ascii="SimSun" w:hAnsi="SimSun" w:eastAsia="SimSun" w:cs="SimSun"/>
              </w:rPr>
            </w:pPr>
            <w:r>
              <w:rPr>
                <w:spacing w:val="2"/>
              </w:rPr>
              <w:t>*</w:t>
            </w:r>
            <w:r>
              <w:rPr>
                <w:rFonts w:ascii="SimSun" w:hAnsi="SimSun" w:eastAsia="SimSun" w:cs="SimSun"/>
                <w:spacing w:val="2"/>
              </w:rPr>
              <w:t>甲苯</w:t>
            </w:r>
          </w:p>
        </w:tc>
        <w:tc>
          <w:tcPr>
            <w:tcW w:w="1384" w:type="dxa"/>
            <w:vAlign w:val="top"/>
          </w:tcPr>
          <w:p>
            <w:pPr>
              <w:pStyle w:val="TableText"/>
              <w:ind w:left="280"/>
              <w:spacing w:before="48"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58"/>
              <w:spacing w:before="68" w:line="195" w:lineRule="auto"/>
              <w:rPr/>
            </w:pPr>
            <w:r>
              <w:rPr>
                <w:spacing w:val="-1"/>
              </w:rPr>
              <w:t>1200</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549" w:hRule="atLeast"/>
        </w:trPr>
        <w:tc>
          <w:tcPr>
            <w:tcW w:w="2032" w:type="dxa"/>
            <w:vAlign w:val="top"/>
          </w:tcPr>
          <w:p>
            <w:pPr>
              <w:pStyle w:val="TableText"/>
              <w:ind w:left="180"/>
              <w:spacing w:before="33" w:line="227" w:lineRule="auto"/>
              <w:rPr>
                <w:rFonts w:ascii="SimSun" w:hAnsi="SimSun" w:eastAsia="SimSun" w:cs="SimSun"/>
              </w:rPr>
            </w:pPr>
            <w:r>
              <w:rPr>
                <w:spacing w:val="7"/>
              </w:rPr>
              <w:t>*</w:t>
            </w:r>
            <w:r>
              <w:rPr>
                <w:rFonts w:ascii="SimSun" w:hAnsi="SimSun" w:eastAsia="SimSun" w:cs="SimSun"/>
                <w:spacing w:val="7"/>
              </w:rPr>
              <w:t>间二甲苯</w:t>
            </w:r>
            <w:r>
              <w:rPr>
                <w:spacing w:val="7"/>
              </w:rPr>
              <w:t>+</w:t>
            </w:r>
            <w:r>
              <w:rPr>
                <w:rFonts w:ascii="SimSun" w:hAnsi="SimSun" w:eastAsia="SimSun" w:cs="SimSun"/>
                <w:spacing w:val="7"/>
              </w:rPr>
              <w:t>对二甲</w:t>
            </w:r>
          </w:p>
          <w:p>
            <w:pPr>
              <w:ind w:left="920"/>
              <w:spacing w:before="25" w:line="216" w:lineRule="auto"/>
              <w:rPr>
                <w:rFonts w:ascii="SimSun" w:hAnsi="SimSun" w:eastAsia="SimSun" w:cs="SimSun"/>
                <w:sz w:val="20"/>
                <w:szCs w:val="20"/>
              </w:rPr>
            </w:pPr>
            <w:r>
              <w:rPr>
                <w:rFonts w:ascii="SimSun" w:hAnsi="SimSun" w:eastAsia="SimSun" w:cs="SimSun"/>
                <w:sz w:val="20"/>
                <w:szCs w:val="20"/>
              </w:rPr>
              <w:t>苯</w:t>
            </w:r>
          </w:p>
        </w:tc>
        <w:tc>
          <w:tcPr>
            <w:tcW w:w="1384" w:type="dxa"/>
            <w:vAlign w:val="top"/>
          </w:tcPr>
          <w:p>
            <w:pPr>
              <w:pStyle w:val="TableText"/>
              <w:ind w:left="280"/>
              <w:spacing w:before="186"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186"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186"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297"/>
              <w:spacing w:before="203" w:line="195" w:lineRule="auto"/>
              <w:rPr/>
            </w:pPr>
            <w:r>
              <w:rPr>
                <w:spacing w:val="1"/>
              </w:rPr>
              <w:t>570</w:t>
            </w:r>
          </w:p>
        </w:tc>
        <w:tc>
          <w:tcPr>
            <w:tcW w:w="919" w:type="dxa"/>
            <w:vAlign w:val="top"/>
          </w:tcPr>
          <w:p>
            <w:pPr>
              <w:pStyle w:val="TableText"/>
              <w:ind w:left="190"/>
              <w:spacing w:before="199"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557"/>
              <w:spacing w:before="33" w:line="216" w:lineRule="auto"/>
              <w:rPr>
                <w:rFonts w:ascii="SimSun" w:hAnsi="SimSun" w:eastAsia="SimSun" w:cs="SimSun"/>
              </w:rPr>
            </w:pPr>
            <w:r>
              <w:rPr>
                <w:spacing w:val="5"/>
              </w:rPr>
              <w:t>*</w:t>
            </w:r>
            <w:r>
              <w:rPr>
                <w:rFonts w:ascii="SimSun" w:hAnsi="SimSun" w:eastAsia="SimSun" w:cs="SimSun"/>
                <w:spacing w:val="5"/>
              </w:rPr>
              <w:t>邻二甲苯</w:t>
            </w:r>
          </w:p>
        </w:tc>
        <w:tc>
          <w:tcPr>
            <w:tcW w:w="1384" w:type="dxa"/>
            <w:vAlign w:val="top"/>
          </w:tcPr>
          <w:p>
            <w:pPr>
              <w:pStyle w:val="TableText"/>
              <w:ind w:left="280"/>
              <w:spacing w:before="49"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9"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9"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6"/>
              <w:spacing w:before="69" w:line="195" w:lineRule="auto"/>
              <w:rPr/>
            </w:pPr>
            <w:r>
              <w:rPr>
                <w:spacing w:val="2"/>
              </w:rPr>
              <w:t>640</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660"/>
              <w:spacing w:before="32" w:line="216" w:lineRule="auto"/>
              <w:rPr>
                <w:rFonts w:ascii="SimSun" w:hAnsi="SimSun" w:eastAsia="SimSun" w:cs="SimSun"/>
              </w:rPr>
            </w:pPr>
            <w:r>
              <w:rPr>
                <w:spacing w:val="4"/>
              </w:rPr>
              <w:t>*</w:t>
            </w:r>
            <w:r>
              <w:rPr>
                <w:rFonts w:ascii="SimSun" w:hAnsi="SimSun" w:eastAsia="SimSun" w:cs="SimSun"/>
                <w:spacing w:val="4"/>
              </w:rPr>
              <w:t>硝基苯</w:t>
            </w:r>
          </w:p>
        </w:tc>
        <w:tc>
          <w:tcPr>
            <w:tcW w:w="1384" w:type="dxa"/>
            <w:vAlign w:val="top"/>
          </w:tcPr>
          <w:p>
            <w:pPr>
              <w:pStyle w:val="TableText"/>
              <w:ind w:left="448"/>
              <w:spacing w:before="67" w:line="195" w:lineRule="auto"/>
              <w:rPr/>
            </w:pPr>
            <w:r>
              <w:rPr>
                <w:spacing w:val="3"/>
              </w:rPr>
              <w:t>&lt;0.09</w:t>
            </w:r>
          </w:p>
        </w:tc>
        <w:tc>
          <w:tcPr>
            <w:tcW w:w="1566" w:type="dxa"/>
            <w:vAlign w:val="top"/>
          </w:tcPr>
          <w:p>
            <w:pPr>
              <w:pStyle w:val="TableText"/>
              <w:ind w:left="540"/>
              <w:spacing w:before="67" w:line="195" w:lineRule="auto"/>
              <w:rPr/>
            </w:pPr>
            <w:r>
              <w:rPr>
                <w:spacing w:val="3"/>
              </w:rPr>
              <w:t>&lt;0.09</w:t>
            </w:r>
          </w:p>
        </w:tc>
        <w:tc>
          <w:tcPr>
            <w:tcW w:w="1573" w:type="dxa"/>
            <w:vAlign w:val="top"/>
          </w:tcPr>
          <w:p>
            <w:pPr>
              <w:pStyle w:val="TableText"/>
              <w:ind w:left="543"/>
              <w:spacing w:before="67" w:line="195" w:lineRule="auto"/>
              <w:rPr/>
            </w:pPr>
            <w:r>
              <w:rPr>
                <w:spacing w:val="3"/>
              </w:rPr>
              <w:t>&lt;0.09</w:t>
            </w:r>
          </w:p>
        </w:tc>
        <w:tc>
          <w:tcPr>
            <w:tcW w:w="895" w:type="dxa"/>
            <w:vAlign w:val="top"/>
          </w:tcPr>
          <w:p>
            <w:pPr>
              <w:pStyle w:val="TableText"/>
              <w:ind w:left="350"/>
              <w:spacing w:before="67" w:line="195" w:lineRule="auto"/>
              <w:rPr/>
            </w:pPr>
            <w:r>
              <w:rPr>
                <w:spacing w:val="1"/>
              </w:rPr>
              <w:t>76</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765"/>
              <w:spacing w:before="33" w:line="216" w:lineRule="auto"/>
              <w:rPr>
                <w:rFonts w:ascii="SimSun" w:hAnsi="SimSun" w:eastAsia="SimSun" w:cs="SimSun"/>
              </w:rPr>
            </w:pPr>
            <w:r>
              <w:rPr>
                <w:spacing w:val="2"/>
              </w:rPr>
              <w:t>*</w:t>
            </w:r>
            <w:r>
              <w:rPr>
                <w:rFonts w:ascii="SimSun" w:hAnsi="SimSun" w:eastAsia="SimSun" w:cs="SimSun"/>
                <w:spacing w:val="2"/>
              </w:rPr>
              <w:t>苯胺</w:t>
            </w:r>
          </w:p>
        </w:tc>
        <w:tc>
          <w:tcPr>
            <w:tcW w:w="1384" w:type="dxa"/>
            <w:vAlign w:val="top"/>
          </w:tcPr>
          <w:p>
            <w:pPr>
              <w:pStyle w:val="TableText"/>
              <w:ind w:left="448"/>
              <w:spacing w:before="69" w:line="195" w:lineRule="auto"/>
              <w:rPr/>
            </w:pPr>
            <w:r>
              <w:rPr>
                <w:spacing w:val="3"/>
              </w:rPr>
              <w:t>&lt;0.08</w:t>
            </w:r>
          </w:p>
        </w:tc>
        <w:tc>
          <w:tcPr>
            <w:tcW w:w="1566" w:type="dxa"/>
            <w:vAlign w:val="top"/>
          </w:tcPr>
          <w:p>
            <w:pPr>
              <w:pStyle w:val="TableText"/>
              <w:ind w:left="540"/>
              <w:spacing w:before="69" w:line="195" w:lineRule="auto"/>
              <w:rPr/>
            </w:pPr>
            <w:r>
              <w:rPr>
                <w:spacing w:val="3"/>
              </w:rPr>
              <w:t>&lt;0.08</w:t>
            </w:r>
          </w:p>
        </w:tc>
        <w:tc>
          <w:tcPr>
            <w:tcW w:w="1573" w:type="dxa"/>
            <w:vAlign w:val="top"/>
          </w:tcPr>
          <w:p>
            <w:pPr>
              <w:pStyle w:val="TableText"/>
              <w:ind w:left="543"/>
              <w:spacing w:before="69" w:line="195" w:lineRule="auto"/>
              <w:rPr/>
            </w:pPr>
            <w:r>
              <w:rPr>
                <w:spacing w:val="3"/>
              </w:rPr>
              <w:t>&lt;0.08</w:t>
            </w:r>
          </w:p>
        </w:tc>
        <w:tc>
          <w:tcPr>
            <w:tcW w:w="895" w:type="dxa"/>
            <w:vAlign w:val="top"/>
          </w:tcPr>
          <w:p>
            <w:pPr>
              <w:pStyle w:val="TableText"/>
              <w:ind w:left="291"/>
              <w:spacing w:before="69" w:line="195" w:lineRule="auto"/>
              <w:rPr/>
            </w:pPr>
            <w:r>
              <w:rPr>
                <w:spacing w:val="3"/>
              </w:rPr>
              <w:t>260</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677"/>
              <w:spacing w:before="33" w:line="216" w:lineRule="auto"/>
              <w:rPr>
                <w:rFonts w:ascii="SimSun" w:hAnsi="SimSun" w:eastAsia="SimSun" w:cs="SimSun"/>
              </w:rPr>
            </w:pPr>
            <w:r>
              <w:rPr>
                <w:spacing w:val="3"/>
              </w:rPr>
              <w:t>*2-</w:t>
            </w:r>
            <w:r>
              <w:rPr>
                <w:rFonts w:ascii="SimSun" w:hAnsi="SimSun" w:eastAsia="SimSun" w:cs="SimSun"/>
                <w:spacing w:val="3"/>
              </w:rPr>
              <w:t>氯酚</w:t>
            </w:r>
          </w:p>
        </w:tc>
        <w:tc>
          <w:tcPr>
            <w:tcW w:w="1384" w:type="dxa"/>
            <w:vAlign w:val="top"/>
          </w:tcPr>
          <w:p>
            <w:pPr>
              <w:pStyle w:val="TableText"/>
              <w:ind w:left="448"/>
              <w:spacing w:before="69" w:line="195" w:lineRule="auto"/>
              <w:rPr/>
            </w:pPr>
            <w:r>
              <w:rPr>
                <w:spacing w:val="3"/>
              </w:rPr>
              <w:t>&lt;0.06</w:t>
            </w:r>
          </w:p>
        </w:tc>
        <w:tc>
          <w:tcPr>
            <w:tcW w:w="1566" w:type="dxa"/>
            <w:vAlign w:val="top"/>
          </w:tcPr>
          <w:p>
            <w:pPr>
              <w:pStyle w:val="TableText"/>
              <w:ind w:left="540"/>
              <w:spacing w:before="69" w:line="195" w:lineRule="auto"/>
              <w:rPr/>
            </w:pPr>
            <w:r>
              <w:rPr>
                <w:spacing w:val="3"/>
              </w:rPr>
              <w:t>&lt;0.06</w:t>
            </w:r>
          </w:p>
        </w:tc>
        <w:tc>
          <w:tcPr>
            <w:tcW w:w="1573" w:type="dxa"/>
            <w:vAlign w:val="top"/>
          </w:tcPr>
          <w:p>
            <w:pPr>
              <w:pStyle w:val="TableText"/>
              <w:ind w:left="543"/>
              <w:spacing w:before="69" w:line="195" w:lineRule="auto"/>
              <w:rPr/>
            </w:pPr>
            <w:r>
              <w:rPr>
                <w:spacing w:val="3"/>
              </w:rPr>
              <w:t>&lt;0.06</w:t>
            </w:r>
          </w:p>
        </w:tc>
        <w:tc>
          <w:tcPr>
            <w:tcW w:w="895" w:type="dxa"/>
            <w:vAlign w:val="top"/>
          </w:tcPr>
          <w:p>
            <w:pPr>
              <w:pStyle w:val="TableText"/>
              <w:ind w:left="238"/>
              <w:spacing w:before="69" w:line="195" w:lineRule="auto"/>
              <w:rPr/>
            </w:pPr>
            <w:r>
              <w:rPr>
                <w:spacing w:val="4"/>
              </w:rPr>
              <w:t>2256</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545"/>
              <w:spacing w:before="32" w:line="216"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蒽</w:t>
            </w:r>
          </w:p>
        </w:tc>
        <w:tc>
          <w:tcPr>
            <w:tcW w:w="1384" w:type="dxa"/>
            <w:vAlign w:val="top"/>
          </w:tcPr>
          <w:p>
            <w:pPr>
              <w:pStyle w:val="TableText"/>
              <w:ind w:left="501"/>
              <w:spacing w:before="67"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7"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7"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7" w:line="195" w:lineRule="auto"/>
              <w:rPr/>
            </w:pPr>
            <w:r>
              <w:rPr>
                <w:spacing w:val="-8"/>
              </w:rPr>
              <w:t>15</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545"/>
              <w:spacing w:before="34" w:line="216"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芘</w:t>
            </w:r>
          </w:p>
        </w:tc>
        <w:tc>
          <w:tcPr>
            <w:tcW w:w="1384" w:type="dxa"/>
            <w:vAlign w:val="top"/>
          </w:tcPr>
          <w:p>
            <w:pPr>
              <w:pStyle w:val="TableText"/>
              <w:ind w:left="501"/>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38"/>
              <w:spacing w:before="69" w:line="195" w:lineRule="auto"/>
              <w:rPr/>
            </w:pPr>
            <w:r>
              <w:rPr>
                <w:spacing w:val="-4"/>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032" w:type="dxa"/>
            <w:vAlign w:val="top"/>
          </w:tcPr>
          <w:p>
            <w:pPr>
              <w:pStyle w:val="TableText"/>
              <w:ind w:left="432"/>
              <w:spacing w:before="34" w:line="214" w:lineRule="auto"/>
              <w:rPr>
                <w:rFonts w:ascii="SimSun" w:hAnsi="SimSun" w:eastAsia="SimSun" w:cs="SimSun"/>
              </w:rPr>
            </w:pPr>
            <w:r>
              <w:rPr>
                <w:spacing w:val="4"/>
              </w:rPr>
              <w:t>*</w:t>
            </w:r>
            <w:r>
              <w:rPr>
                <w:rFonts w:ascii="SimSun" w:hAnsi="SimSun" w:eastAsia="SimSun" w:cs="SimSun"/>
                <w:spacing w:val="4"/>
              </w:rPr>
              <w:t>苯并</w:t>
            </w:r>
            <w:r>
              <w:rPr>
                <w:spacing w:val="4"/>
              </w:rPr>
              <w:t>[b]</w:t>
            </w:r>
            <w:r>
              <w:rPr>
                <w:rFonts w:ascii="SimSun" w:hAnsi="SimSun" w:eastAsia="SimSun" w:cs="SimSun"/>
                <w:spacing w:val="4"/>
              </w:rPr>
              <w:t>荧蒽</w:t>
            </w:r>
          </w:p>
        </w:tc>
        <w:tc>
          <w:tcPr>
            <w:tcW w:w="1384" w:type="dxa"/>
            <w:vAlign w:val="top"/>
          </w:tcPr>
          <w:p>
            <w:pPr>
              <w:pStyle w:val="TableText"/>
              <w:ind w:left="501"/>
              <w:spacing w:before="69" w:line="195" w:lineRule="auto"/>
              <w:rPr/>
            </w:pPr>
            <w:r>
              <w:rPr>
                <w:spacing w:val="3"/>
              </w:rPr>
              <w:t>&lt;0.2</w:t>
            </w:r>
          </w:p>
        </w:tc>
        <w:tc>
          <w:tcPr>
            <w:tcW w:w="1566" w:type="dxa"/>
            <w:vAlign w:val="top"/>
          </w:tcPr>
          <w:p>
            <w:pPr>
              <w:pStyle w:val="TableText"/>
              <w:ind w:left="593"/>
              <w:spacing w:before="69" w:line="195" w:lineRule="auto"/>
              <w:rPr/>
            </w:pPr>
            <w:r>
              <w:rPr>
                <w:spacing w:val="3"/>
              </w:rPr>
              <w:t>&lt;0.2</w:t>
            </w:r>
          </w:p>
        </w:tc>
        <w:tc>
          <w:tcPr>
            <w:tcW w:w="1573" w:type="dxa"/>
            <w:vAlign w:val="top"/>
          </w:tcPr>
          <w:p>
            <w:pPr>
              <w:pStyle w:val="TableText"/>
              <w:ind w:left="599"/>
              <w:spacing w:before="69" w:line="195" w:lineRule="auto"/>
              <w:rPr/>
            </w:pPr>
            <w:r>
              <w:rPr>
                <w:spacing w:val="3"/>
              </w:rPr>
              <w:t>&lt;0.2</w:t>
            </w:r>
          </w:p>
        </w:tc>
        <w:tc>
          <w:tcPr>
            <w:tcW w:w="895" w:type="dxa"/>
            <w:vAlign w:val="top"/>
          </w:tcPr>
          <w:p>
            <w:pPr>
              <w:pStyle w:val="TableText"/>
              <w:ind w:left="366"/>
              <w:spacing w:before="69" w:line="195" w:lineRule="auto"/>
              <w:rPr/>
            </w:pPr>
            <w:r>
              <w:rPr>
                <w:spacing w:val="-8"/>
              </w:rPr>
              <w:t>15</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432"/>
              <w:spacing w:before="34" w:line="216" w:lineRule="auto"/>
              <w:rPr>
                <w:rFonts w:ascii="SimSun" w:hAnsi="SimSun" w:eastAsia="SimSun" w:cs="SimSun"/>
              </w:rPr>
            </w:pPr>
            <w:r>
              <w:rPr>
                <w:spacing w:val="4"/>
              </w:rPr>
              <w:t>*</w:t>
            </w:r>
            <w:r>
              <w:rPr>
                <w:rFonts w:ascii="SimSun" w:hAnsi="SimSun" w:eastAsia="SimSun" w:cs="SimSun"/>
                <w:spacing w:val="4"/>
              </w:rPr>
              <w:t>苯并</w:t>
            </w:r>
            <w:r>
              <w:rPr>
                <w:spacing w:val="4"/>
              </w:rPr>
              <w:t>[k]</w:t>
            </w:r>
            <w:r>
              <w:rPr>
                <w:rFonts w:ascii="SimSun" w:hAnsi="SimSun" w:eastAsia="SimSun" w:cs="SimSun"/>
                <w:spacing w:val="4"/>
              </w:rPr>
              <w:t>荧蒽</w:t>
            </w:r>
          </w:p>
        </w:tc>
        <w:tc>
          <w:tcPr>
            <w:tcW w:w="1384" w:type="dxa"/>
            <w:vAlign w:val="top"/>
          </w:tcPr>
          <w:p>
            <w:pPr>
              <w:pStyle w:val="TableText"/>
              <w:ind w:left="501"/>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11"/>
              <w:spacing w:before="69" w:line="195" w:lineRule="auto"/>
              <w:rPr/>
            </w:pPr>
            <w:r>
              <w:rPr>
                <w:spacing w:val="-3"/>
              </w:rPr>
              <w:t>151</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80" w:hRule="atLeast"/>
        </w:trPr>
        <w:tc>
          <w:tcPr>
            <w:tcW w:w="2032" w:type="dxa"/>
            <w:vAlign w:val="top"/>
          </w:tcPr>
          <w:p>
            <w:pPr>
              <w:pStyle w:val="TableText"/>
              <w:ind w:left="871"/>
              <w:spacing w:before="33" w:line="218" w:lineRule="auto"/>
              <w:rPr>
                <w:rFonts w:ascii="SimSun" w:hAnsi="SimSun" w:eastAsia="SimSun" w:cs="SimSun"/>
              </w:rPr>
            </w:pPr>
            <w:r>
              <w:rPr>
                <w:spacing w:val="-1"/>
              </w:rPr>
              <w:t>*</w:t>
            </w:r>
            <w:r>
              <w:rPr>
                <w:rFonts w:ascii="SimSun" w:hAnsi="SimSun" w:eastAsia="SimSun" w:cs="SimSun"/>
                <w:spacing w:val="-1"/>
              </w:rPr>
              <w:t>䓛</w:t>
            </w:r>
          </w:p>
        </w:tc>
        <w:tc>
          <w:tcPr>
            <w:tcW w:w="1384" w:type="dxa"/>
            <w:vAlign w:val="top"/>
          </w:tcPr>
          <w:p>
            <w:pPr>
              <w:pStyle w:val="TableText"/>
              <w:ind w:left="501"/>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258"/>
              <w:spacing w:before="69" w:line="195" w:lineRule="auto"/>
              <w:rPr/>
            </w:pPr>
            <w:r>
              <w:rPr>
                <w:spacing w:val="-1"/>
              </w:rPr>
              <w:t>1293</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tcBorders>
          </w:tcPr>
          <w:p>
            <w:pPr>
              <w:rPr>
                <w:rFonts w:ascii="Arial"/>
                <w:sz w:val="21"/>
              </w:rPr>
            </w:pPr>
            <w:r/>
          </w:p>
        </w:tc>
      </w:tr>
    </w:tbl>
    <w:p>
      <w:pPr>
        <w:pStyle w:val="BodyText"/>
        <w:spacing w:line="197" w:lineRule="exact"/>
        <w:rPr>
          <w:sz w:val="17"/>
        </w:rPr>
      </w:pPr>
      <w:r/>
    </w:p>
    <w:p>
      <w:pPr>
        <w:spacing w:line="197" w:lineRule="exact"/>
        <w:sectPr>
          <w:footerReference w:type="default" r:id="rId337"/>
          <w:pgSz w:w="11906" w:h="16838"/>
          <w:pgMar w:top="1170" w:right="1304" w:bottom="1080" w:left="1305" w:header="837" w:footer="918" w:gutter="0"/>
        </w:sectPr>
        <w:rPr>
          <w:sz w:val="17"/>
          <w:szCs w:val="17"/>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32"/>
        <w:gridCol w:w="1384"/>
        <w:gridCol w:w="1566"/>
        <w:gridCol w:w="1573"/>
        <w:gridCol w:w="895"/>
        <w:gridCol w:w="919"/>
        <w:gridCol w:w="921"/>
      </w:tblGrid>
      <w:tr>
        <w:trPr>
          <w:trHeight w:val="282" w:hRule="atLeast"/>
        </w:trPr>
        <w:tc>
          <w:tcPr>
            <w:tcW w:w="2032" w:type="dxa"/>
            <w:vAlign w:val="top"/>
            <w:vMerge w:val="restart"/>
            <w:tcBorders>
              <w:bottom w:val="nil"/>
            </w:tcBorders>
          </w:tcPr>
          <w:p>
            <w:pPr>
              <w:spacing w:line="386" w:lineRule="auto"/>
              <w:rPr>
                <w:rFonts w:ascii="Arial"/>
                <w:sz w:val="21"/>
              </w:rPr>
            </w:pPr>
            <w:r/>
          </w:p>
          <w:p>
            <w:pPr>
              <w:ind w:left="600"/>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523" w:type="dxa"/>
            <w:vAlign w:val="top"/>
            <w:gridSpan w:val="3"/>
          </w:tcPr>
          <w:p>
            <w:pPr>
              <w:ind w:left="1849"/>
              <w:spacing w:before="33" w:line="220"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386" w:lineRule="auto"/>
              <w:rPr>
                <w:rFonts w:ascii="Arial"/>
                <w:sz w:val="21"/>
              </w:rPr>
            </w:pPr>
            <w:r/>
          </w:p>
          <w:p>
            <w:pPr>
              <w:ind w:left="257"/>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86"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spacing w:line="250" w:lineRule="auto"/>
              <w:rPr>
                <w:rFonts w:ascii="Arial"/>
                <w:sz w:val="21"/>
              </w:rPr>
            </w:pPr>
            <w:r/>
          </w:p>
          <w:p>
            <w:pPr>
              <w:ind w:left="360" w:right="145" w:hanging="208"/>
              <w:spacing w:before="65" w:line="252"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8" w:hRule="atLeast"/>
        </w:trPr>
        <w:tc>
          <w:tcPr>
            <w:tcW w:w="2032" w:type="dxa"/>
            <w:vAlign w:val="top"/>
            <w:vMerge w:val="continue"/>
            <w:tcBorders>
              <w:top w:val="nil"/>
              <w:bottom w:val="nil"/>
            </w:tcBorders>
          </w:tcPr>
          <w:p>
            <w:pPr>
              <w:rPr>
                <w:rFonts w:ascii="Arial"/>
                <w:sz w:val="21"/>
              </w:rPr>
            </w:pPr>
            <w:r/>
          </w:p>
        </w:tc>
        <w:tc>
          <w:tcPr>
            <w:tcW w:w="4523" w:type="dxa"/>
            <w:vAlign w:val="top"/>
            <w:gridSpan w:val="3"/>
          </w:tcPr>
          <w:p>
            <w:pPr>
              <w:pStyle w:val="TableText"/>
              <w:ind w:left="966"/>
              <w:spacing w:before="29" w:line="220" w:lineRule="auto"/>
              <w:rPr>
                <w:rFonts w:ascii="SimSun" w:hAnsi="SimSun" w:eastAsia="SimSun" w:cs="SimSun"/>
              </w:rPr>
            </w:pPr>
            <w:r>
              <w:rPr>
                <w:spacing w:val="8"/>
              </w:rPr>
              <w:t>T3 </w:t>
            </w:r>
            <w:r>
              <w:rPr>
                <w:rFonts w:ascii="SimSun" w:hAnsi="SimSun" w:eastAsia="SimSun" w:cs="SimSun"/>
                <w:spacing w:val="8"/>
              </w:rPr>
              <w:t>井工矿工业场地机修车间</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9" w:hRule="atLeast"/>
        </w:trPr>
        <w:tc>
          <w:tcPr>
            <w:tcW w:w="2032" w:type="dxa"/>
            <w:vAlign w:val="top"/>
            <w:vMerge w:val="continue"/>
            <w:tcBorders>
              <w:top w:val="nil"/>
            </w:tcBorders>
          </w:tcPr>
          <w:p>
            <w:pPr>
              <w:rPr>
                <w:rFonts w:ascii="Arial"/>
                <w:sz w:val="21"/>
              </w:rPr>
            </w:pPr>
            <w:r/>
          </w:p>
        </w:tc>
        <w:tc>
          <w:tcPr>
            <w:tcW w:w="1384" w:type="dxa"/>
            <w:vAlign w:val="top"/>
          </w:tcPr>
          <w:p>
            <w:pPr>
              <w:pStyle w:val="TableText"/>
              <w:ind w:left="196" w:right="201" w:firstLine="183"/>
              <w:spacing w:before="27" w:line="236"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66" w:type="dxa"/>
            <w:vAlign w:val="top"/>
          </w:tcPr>
          <w:p>
            <w:pPr>
              <w:pStyle w:val="TableText"/>
              <w:ind w:left="209" w:right="212" w:firstLine="283"/>
              <w:spacing w:before="27" w:line="236"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73" w:type="dxa"/>
            <w:vAlign w:val="top"/>
          </w:tcPr>
          <w:p>
            <w:pPr>
              <w:pStyle w:val="TableText"/>
              <w:ind w:left="212" w:right="213" w:firstLine="263"/>
              <w:spacing w:before="27" w:line="236"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5" w:hRule="atLeast"/>
        </w:trPr>
        <w:tc>
          <w:tcPr>
            <w:tcW w:w="2032" w:type="dxa"/>
            <w:vAlign w:val="top"/>
          </w:tcPr>
          <w:p>
            <w:pPr>
              <w:pStyle w:val="TableText"/>
              <w:ind w:left="360"/>
              <w:spacing w:before="31" w:line="216" w:lineRule="auto"/>
              <w:rPr>
                <w:rFonts w:ascii="SimSun" w:hAnsi="SimSun" w:eastAsia="SimSun" w:cs="SimSun"/>
              </w:rPr>
            </w:pPr>
            <w:r>
              <w:rPr>
                <w:spacing w:val="4"/>
              </w:rPr>
              <w:t>*</w:t>
            </w:r>
            <w:r>
              <w:rPr>
                <w:rFonts w:ascii="SimSun" w:hAnsi="SimSun" w:eastAsia="SimSun" w:cs="SimSun"/>
                <w:spacing w:val="4"/>
              </w:rPr>
              <w:t>二苯并</w:t>
            </w:r>
            <w:r>
              <w:rPr>
                <w:spacing w:val="4"/>
              </w:rPr>
              <w:t>[a,h]</w:t>
            </w:r>
            <w:r>
              <w:rPr>
                <w:rFonts w:ascii="SimSun" w:hAnsi="SimSun" w:eastAsia="SimSun" w:cs="SimSun"/>
                <w:spacing w:val="4"/>
              </w:rPr>
              <w:t>蒽</w:t>
            </w:r>
          </w:p>
        </w:tc>
        <w:tc>
          <w:tcPr>
            <w:tcW w:w="1384" w:type="dxa"/>
            <w:vAlign w:val="top"/>
          </w:tcPr>
          <w:p>
            <w:pPr>
              <w:pStyle w:val="TableText"/>
              <w:ind w:left="501"/>
              <w:spacing w:before="66"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6"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338"/>
              <w:spacing w:before="66" w:line="195" w:lineRule="auto"/>
              <w:rPr/>
            </w:pPr>
            <w:r>
              <w:rPr>
                <w:spacing w:val="-4"/>
              </w:rPr>
              <w:t>1.5</w:t>
            </w:r>
          </w:p>
        </w:tc>
        <w:tc>
          <w:tcPr>
            <w:tcW w:w="919" w:type="dxa"/>
            <w:vAlign w:val="top"/>
          </w:tcPr>
          <w:p>
            <w:pPr>
              <w:pStyle w:val="TableText"/>
              <w:ind w:left="190"/>
              <w:spacing w:before="62" w:line="201" w:lineRule="auto"/>
              <w:rPr/>
            </w:pPr>
            <w:r>
              <w:rPr>
                <w:spacing w:val="4"/>
              </w:rPr>
              <w:t>mg/kg</w:t>
            </w:r>
          </w:p>
        </w:tc>
        <w:tc>
          <w:tcPr>
            <w:tcW w:w="921" w:type="dxa"/>
            <w:vAlign w:val="top"/>
            <w:vMerge w:val="restart"/>
            <w:tcBorders>
              <w:bottom w:val="nil"/>
            </w:tcBorders>
          </w:tcPr>
          <w:p>
            <w:pPr>
              <w:rPr>
                <w:rFonts w:ascii="Arial"/>
                <w:sz w:val="21"/>
              </w:rPr>
            </w:pPr>
            <w:r/>
          </w:p>
        </w:tc>
      </w:tr>
      <w:tr>
        <w:trPr>
          <w:trHeight w:val="278" w:hRule="atLeast"/>
        </w:trPr>
        <w:tc>
          <w:tcPr>
            <w:tcW w:w="2032" w:type="dxa"/>
            <w:vAlign w:val="top"/>
          </w:tcPr>
          <w:p>
            <w:pPr>
              <w:pStyle w:val="TableText"/>
              <w:ind w:left="247"/>
              <w:spacing w:before="31" w:line="218" w:lineRule="auto"/>
              <w:rPr>
                <w:rFonts w:ascii="SimSun" w:hAnsi="SimSun" w:eastAsia="SimSun" w:cs="SimSun"/>
              </w:rPr>
            </w:pPr>
            <w:r>
              <w:rPr>
                <w:spacing w:val="4"/>
              </w:rPr>
              <w:t>*</w:t>
            </w:r>
            <w:r>
              <w:rPr>
                <w:rFonts w:ascii="SimSun" w:hAnsi="SimSun" w:eastAsia="SimSun" w:cs="SimSun"/>
                <w:spacing w:val="4"/>
              </w:rPr>
              <w:t>茚并</w:t>
            </w:r>
            <w:r>
              <w:rPr>
                <w:spacing w:val="4"/>
              </w:rPr>
              <w:t>[1,2,3-</w:t>
            </w:r>
            <w:r>
              <w:rPr/>
              <w:t>cd</w:t>
            </w:r>
            <w:r>
              <w:rPr>
                <w:spacing w:val="4"/>
              </w:rPr>
              <w:t>]</w:t>
            </w:r>
            <w:r>
              <w:rPr>
                <w:rFonts w:ascii="SimSun" w:hAnsi="SimSun" w:eastAsia="SimSun" w:cs="SimSun"/>
                <w:spacing w:val="4"/>
              </w:rPr>
              <w:t>芘</w:t>
            </w:r>
          </w:p>
        </w:tc>
        <w:tc>
          <w:tcPr>
            <w:tcW w:w="1384" w:type="dxa"/>
            <w:vAlign w:val="top"/>
          </w:tcPr>
          <w:p>
            <w:pPr>
              <w:pStyle w:val="TableText"/>
              <w:ind w:left="501"/>
              <w:spacing w:before="67"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7"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7"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7" w:line="195" w:lineRule="auto"/>
              <w:rPr/>
            </w:pPr>
            <w:r>
              <w:rPr>
                <w:spacing w:val="-8"/>
              </w:rPr>
              <w:t>15</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032" w:type="dxa"/>
            <w:vAlign w:val="top"/>
          </w:tcPr>
          <w:p>
            <w:pPr>
              <w:pStyle w:val="TableText"/>
              <w:ind w:left="871"/>
              <w:spacing w:before="32" w:line="215" w:lineRule="auto"/>
              <w:rPr>
                <w:rFonts w:ascii="SimSun" w:hAnsi="SimSun" w:eastAsia="SimSun" w:cs="SimSun"/>
              </w:rPr>
            </w:pPr>
            <w:r>
              <w:rPr>
                <w:spacing w:val="-1"/>
              </w:rPr>
              <w:t>*</w:t>
            </w:r>
            <w:r>
              <w:rPr>
                <w:rFonts w:ascii="SimSun" w:hAnsi="SimSun" w:eastAsia="SimSun" w:cs="SimSun"/>
                <w:spacing w:val="-1"/>
              </w:rPr>
              <w:t>萘</w:t>
            </w:r>
          </w:p>
        </w:tc>
        <w:tc>
          <w:tcPr>
            <w:tcW w:w="1384" w:type="dxa"/>
            <w:vAlign w:val="top"/>
          </w:tcPr>
          <w:p>
            <w:pPr>
              <w:pStyle w:val="TableText"/>
              <w:ind w:left="448"/>
              <w:spacing w:before="67" w:line="195" w:lineRule="auto"/>
              <w:rPr/>
            </w:pPr>
            <w:r>
              <w:rPr>
                <w:spacing w:val="3"/>
              </w:rPr>
              <w:t>&lt;0.09</w:t>
            </w:r>
          </w:p>
        </w:tc>
        <w:tc>
          <w:tcPr>
            <w:tcW w:w="1566" w:type="dxa"/>
            <w:vAlign w:val="top"/>
          </w:tcPr>
          <w:p>
            <w:pPr>
              <w:pStyle w:val="TableText"/>
              <w:ind w:left="540"/>
              <w:spacing w:before="67" w:line="195" w:lineRule="auto"/>
              <w:rPr/>
            </w:pPr>
            <w:r>
              <w:rPr>
                <w:spacing w:val="3"/>
              </w:rPr>
              <w:t>&lt;0.09</w:t>
            </w:r>
          </w:p>
        </w:tc>
        <w:tc>
          <w:tcPr>
            <w:tcW w:w="1573" w:type="dxa"/>
            <w:vAlign w:val="top"/>
          </w:tcPr>
          <w:p>
            <w:pPr>
              <w:pStyle w:val="TableText"/>
              <w:ind w:left="543"/>
              <w:spacing w:before="67" w:line="195" w:lineRule="auto"/>
              <w:rPr/>
            </w:pPr>
            <w:r>
              <w:rPr>
                <w:spacing w:val="3"/>
              </w:rPr>
              <w:t>&lt;0.09</w:t>
            </w:r>
          </w:p>
        </w:tc>
        <w:tc>
          <w:tcPr>
            <w:tcW w:w="895" w:type="dxa"/>
            <w:vAlign w:val="top"/>
          </w:tcPr>
          <w:p>
            <w:pPr>
              <w:pStyle w:val="TableText"/>
              <w:ind w:left="350"/>
              <w:spacing w:before="67" w:line="195" w:lineRule="auto"/>
              <w:rPr/>
            </w:pPr>
            <w:r>
              <w:rPr>
                <w:spacing w:val="1"/>
              </w:rPr>
              <w:t>70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032" w:type="dxa"/>
            <w:vAlign w:val="top"/>
          </w:tcPr>
          <w:p>
            <w:pPr>
              <w:pStyle w:val="TableText"/>
              <w:ind w:left="660"/>
              <w:spacing w:before="35" w:line="215" w:lineRule="auto"/>
              <w:rPr>
                <w:rFonts w:ascii="SimSun" w:hAnsi="SimSun" w:eastAsia="SimSun" w:cs="SimSun"/>
              </w:rPr>
            </w:pPr>
            <w:r>
              <w:rPr>
                <w:spacing w:val="4"/>
              </w:rPr>
              <w:t>*</w:t>
            </w:r>
            <w:r>
              <w:rPr>
                <w:rFonts w:ascii="SimSun" w:hAnsi="SimSun" w:eastAsia="SimSun" w:cs="SimSun"/>
                <w:spacing w:val="4"/>
              </w:rPr>
              <w:t>石油烃</w:t>
            </w:r>
          </w:p>
        </w:tc>
        <w:tc>
          <w:tcPr>
            <w:tcW w:w="1384" w:type="dxa"/>
            <w:vAlign w:val="top"/>
          </w:tcPr>
          <w:p>
            <w:pPr>
              <w:pStyle w:val="TableText"/>
              <w:ind w:left="646"/>
              <w:spacing w:before="70" w:line="195" w:lineRule="auto"/>
              <w:rPr/>
            </w:pPr>
            <w:r>
              <w:rPr/>
              <w:t>8</w:t>
            </w:r>
          </w:p>
        </w:tc>
        <w:tc>
          <w:tcPr>
            <w:tcW w:w="1566" w:type="dxa"/>
            <w:vAlign w:val="top"/>
          </w:tcPr>
          <w:p>
            <w:pPr>
              <w:pStyle w:val="TableText"/>
              <w:ind w:left="697"/>
              <w:spacing w:before="70" w:line="195" w:lineRule="auto"/>
              <w:rPr/>
            </w:pPr>
            <w:r>
              <w:rPr>
                <w:spacing w:val="-8"/>
              </w:rPr>
              <w:t>10</w:t>
            </w:r>
          </w:p>
        </w:tc>
        <w:tc>
          <w:tcPr>
            <w:tcW w:w="1573" w:type="dxa"/>
            <w:vAlign w:val="top"/>
          </w:tcPr>
          <w:p>
            <w:pPr>
              <w:pStyle w:val="TableText"/>
              <w:ind w:left="703"/>
              <w:spacing w:before="70" w:line="195" w:lineRule="auto"/>
              <w:rPr/>
            </w:pPr>
            <w:r>
              <w:rPr>
                <w:spacing w:val="-8"/>
              </w:rPr>
              <w:t>15</w:t>
            </w:r>
          </w:p>
        </w:tc>
        <w:tc>
          <w:tcPr>
            <w:tcW w:w="895" w:type="dxa"/>
            <w:vAlign w:val="top"/>
          </w:tcPr>
          <w:p>
            <w:pPr>
              <w:pStyle w:val="TableText"/>
              <w:ind w:left="237"/>
              <w:spacing w:before="70" w:line="195" w:lineRule="auto"/>
              <w:rPr/>
            </w:pPr>
            <w:r>
              <w:rPr>
                <w:spacing w:val="5"/>
              </w:rPr>
              <w:t>4500</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tcBorders>
          </w:tcPr>
          <w:p>
            <w:pPr>
              <w:rPr>
                <w:rFonts w:ascii="Arial"/>
                <w:sz w:val="21"/>
              </w:rPr>
            </w:pPr>
            <w:r/>
          </w:p>
        </w:tc>
      </w:tr>
      <w:tr>
        <w:trPr>
          <w:trHeight w:val="278" w:hRule="atLeast"/>
        </w:trPr>
        <w:tc>
          <w:tcPr>
            <w:tcW w:w="2032" w:type="dxa"/>
            <w:vAlign w:val="top"/>
          </w:tcPr>
          <w:p>
            <w:pPr>
              <w:pStyle w:val="TableText"/>
              <w:ind w:left="715"/>
              <w:spacing w:before="32" w:line="217" w:lineRule="auto"/>
              <w:rPr>
                <w:rFonts w:ascii="SimSun" w:hAnsi="SimSun" w:eastAsia="SimSun" w:cs="SimSun"/>
              </w:rPr>
            </w:pPr>
            <w:r>
              <w:rPr/>
              <w:t>*pH</w:t>
            </w:r>
            <w:r>
              <w:rPr>
                <w:spacing w:val="11"/>
              </w:rPr>
              <w:t xml:space="preserve"> </w:t>
            </w:r>
            <w:r>
              <w:rPr>
                <w:rFonts w:ascii="SimSun" w:hAnsi="SimSun" w:eastAsia="SimSun" w:cs="SimSun"/>
              </w:rPr>
              <w:t>值</w:t>
            </w:r>
          </w:p>
        </w:tc>
        <w:tc>
          <w:tcPr>
            <w:tcW w:w="1384" w:type="dxa"/>
            <w:vAlign w:val="top"/>
          </w:tcPr>
          <w:p>
            <w:pPr>
              <w:pStyle w:val="TableText"/>
              <w:ind w:left="517"/>
              <w:spacing w:before="68" w:line="195" w:lineRule="auto"/>
              <w:rPr/>
            </w:pPr>
            <w:r>
              <w:rPr>
                <w:spacing w:val="1"/>
              </w:rPr>
              <w:t>8.46</w:t>
            </w:r>
          </w:p>
        </w:tc>
        <w:tc>
          <w:tcPr>
            <w:tcW w:w="1566" w:type="dxa"/>
            <w:vAlign w:val="top"/>
          </w:tcPr>
          <w:p>
            <w:pPr>
              <w:pStyle w:val="TableText"/>
              <w:ind w:left="606"/>
              <w:spacing w:before="68" w:line="195" w:lineRule="auto"/>
              <w:rPr/>
            </w:pPr>
            <w:r>
              <w:rPr>
                <w:spacing w:val="1"/>
              </w:rPr>
              <w:t>8.36</w:t>
            </w:r>
          </w:p>
        </w:tc>
        <w:tc>
          <w:tcPr>
            <w:tcW w:w="1573" w:type="dxa"/>
            <w:vAlign w:val="top"/>
          </w:tcPr>
          <w:p>
            <w:pPr>
              <w:pStyle w:val="TableText"/>
              <w:ind w:left="612"/>
              <w:spacing w:before="68" w:line="195" w:lineRule="auto"/>
              <w:rPr/>
            </w:pPr>
            <w:r>
              <w:rPr>
                <w:spacing w:val="1"/>
              </w:rPr>
              <w:t>8.45</w:t>
            </w:r>
          </w:p>
        </w:tc>
        <w:tc>
          <w:tcPr>
            <w:tcW w:w="895" w:type="dxa"/>
            <w:vAlign w:val="top"/>
          </w:tcPr>
          <w:p>
            <w:pPr>
              <w:ind w:left="369"/>
              <w:spacing w:before="32" w:line="217" w:lineRule="auto"/>
              <w:rPr>
                <w:rFonts w:ascii="SimSun" w:hAnsi="SimSun" w:eastAsia="SimSun" w:cs="SimSun"/>
                <w:sz w:val="20"/>
                <w:szCs w:val="20"/>
              </w:rPr>
            </w:pPr>
            <w:r>
              <w:rPr>
                <w:rFonts w:ascii="SimSun" w:hAnsi="SimSun" w:eastAsia="SimSun" w:cs="SimSun"/>
                <w:sz w:val="20"/>
                <w:szCs w:val="20"/>
                <w:spacing w:val="24"/>
                <w:w w:val="131"/>
              </w:rPr>
              <w:t>-</w:t>
            </w:r>
          </w:p>
        </w:tc>
        <w:tc>
          <w:tcPr>
            <w:tcW w:w="919" w:type="dxa"/>
            <w:vAlign w:val="top"/>
          </w:tcPr>
          <w:p>
            <w:pPr>
              <w:ind w:left="153"/>
              <w:spacing w:before="32" w:line="217" w:lineRule="auto"/>
              <w:rPr>
                <w:rFonts w:ascii="SimSun" w:hAnsi="SimSun" w:eastAsia="SimSun" w:cs="SimSun"/>
                <w:sz w:val="20"/>
                <w:szCs w:val="20"/>
              </w:rPr>
            </w:pPr>
            <w:r>
              <w:rPr>
                <w:rFonts w:ascii="SimSun" w:hAnsi="SimSun" w:eastAsia="SimSun" w:cs="SimSun"/>
                <w:sz w:val="20"/>
                <w:szCs w:val="20"/>
                <w:spacing w:val="6"/>
              </w:rPr>
              <w:t>无量纲</w:t>
            </w:r>
          </w:p>
        </w:tc>
        <w:tc>
          <w:tcPr>
            <w:tcW w:w="921" w:type="dxa"/>
            <w:vAlign w:val="top"/>
          </w:tcPr>
          <w:p>
            <w:pPr>
              <w:rPr>
                <w:rFonts w:ascii="Arial"/>
                <w:sz w:val="21"/>
              </w:rPr>
            </w:pPr>
            <w:r/>
          </w:p>
        </w:tc>
      </w:tr>
      <w:tr>
        <w:trPr>
          <w:trHeight w:val="1642" w:hRule="atLeast"/>
        </w:trPr>
        <w:tc>
          <w:tcPr>
            <w:tcW w:w="9290" w:type="dxa"/>
            <w:vAlign w:val="top"/>
            <w:gridSpan w:val="7"/>
          </w:tcPr>
          <w:p>
            <w:pPr>
              <w:ind w:left="116"/>
              <w:spacing w:before="32"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12" w:firstLine="12"/>
              <w:spacing w:before="23"/>
              <w:rPr>
                <w:rFonts w:ascii="SimSun" w:hAnsi="SimSun" w:eastAsia="SimSun" w:cs="SimSun"/>
              </w:rPr>
            </w:pPr>
            <w:r>
              <w:rPr>
                <w:spacing w:val="10"/>
              </w:rPr>
              <w:t>1.</w:t>
            </w:r>
            <w:r>
              <w:rPr>
                <w:rFonts w:ascii="SimSun" w:hAnsi="SimSun" w:eastAsia="SimSun" w:cs="SimSun"/>
                <w:spacing w:val="10"/>
              </w:rPr>
              <w:t>检测结果参照执行《土壤环境质量 建设用地土壤污染风险管控标准》</w:t>
            </w:r>
            <w:r>
              <w:rPr/>
              <w:t>GB</w:t>
            </w:r>
            <w:r>
              <w:rPr>
                <w:spacing w:val="10"/>
              </w:rPr>
              <w:t>366</w:t>
            </w:r>
            <w:r>
              <w:rPr>
                <w:spacing w:val="9"/>
              </w:rPr>
              <w:t>00-2018</w:t>
            </w:r>
            <w:r>
              <w:rPr>
                <w:spacing w:val="29"/>
                <w:w w:val="101"/>
              </w:rPr>
              <w:t xml:space="preserve"> </w:t>
            </w:r>
            <w:r>
              <w:rPr>
                <w:rFonts w:ascii="SimSun" w:hAnsi="SimSun" w:eastAsia="SimSun" w:cs="SimSun"/>
                <w:spacing w:val="9"/>
              </w:rPr>
              <w:t>中筛选值第</w:t>
            </w:r>
            <w:r>
              <w:rPr>
                <w:rFonts w:ascii="SimSun" w:hAnsi="SimSun" w:eastAsia="SimSun" w:cs="SimSun"/>
                <w:spacing w:val="5"/>
              </w:rPr>
              <w:t>二类用地；</w:t>
            </w:r>
          </w:p>
          <w:p>
            <w:pPr>
              <w:pStyle w:val="TableText"/>
              <w:ind w:left="109"/>
              <w:spacing w:before="24" w:line="228" w:lineRule="auto"/>
              <w:rPr>
                <w:rFonts w:ascii="SimSun" w:hAnsi="SimSun" w:eastAsia="SimSun" w:cs="SimSun"/>
              </w:rPr>
            </w:pPr>
            <w:r>
              <w:rPr>
                <w:spacing w:val="7"/>
              </w:rPr>
              <w:t>2.“</w:t>
            </w:r>
            <w:r>
              <w:rPr>
                <w:rFonts w:ascii="SimSun" w:hAnsi="SimSun" w:eastAsia="SimSun" w:cs="SimSun"/>
                <w:spacing w:val="7"/>
              </w:rPr>
              <w:t>＜</w:t>
            </w:r>
            <w:r>
              <w:rPr>
                <w:spacing w:val="7"/>
              </w:rPr>
              <w:t>”</w:t>
            </w:r>
            <w:r>
              <w:rPr>
                <w:rFonts w:ascii="SimSun" w:hAnsi="SimSun" w:eastAsia="SimSun" w:cs="SimSun"/>
                <w:spacing w:val="7"/>
              </w:rPr>
              <w:t>表示低于方法检出限；</w:t>
            </w:r>
          </w:p>
          <w:p>
            <w:pPr>
              <w:pStyle w:val="TableText"/>
              <w:ind w:left="109" w:right="157" w:firstLine="4"/>
              <w:spacing w:before="26" w:line="235" w:lineRule="auto"/>
              <w:rPr>
                <w:rFonts w:ascii="SimSun" w:hAnsi="SimSun" w:eastAsia="SimSun" w:cs="SimSun"/>
              </w:rPr>
            </w:pPr>
            <w:r>
              <w:rPr>
                <w:spacing w:val="18"/>
              </w:rPr>
              <w:t>3.“*”</w:t>
            </w:r>
            <w:r>
              <w:rPr>
                <w:rFonts w:ascii="SimSun" w:hAnsi="SimSun" w:eastAsia="SimSun" w:cs="SimSun"/>
                <w:spacing w:val="18"/>
              </w:rPr>
              <w:t>项目为本公司未取得资质认定能力由北京华成星科检测有限公司分包检</w:t>
            </w:r>
            <w:r>
              <w:rPr>
                <w:rFonts w:ascii="SimSun" w:hAnsi="SimSun" w:eastAsia="SimSun" w:cs="SimSun"/>
                <w:spacing w:val="17"/>
              </w:rPr>
              <w:t>测，证书编号为：</w:t>
            </w:r>
            <w:r>
              <w:rPr>
                <w:rFonts w:ascii="SimSun" w:hAnsi="SimSun" w:eastAsia="SimSun" w:cs="SimSun"/>
              </w:rPr>
              <w:t xml:space="preserve"> </w:t>
            </w:r>
            <w:r>
              <w:rPr>
                <w:spacing w:val="3"/>
              </w:rPr>
              <w:t>210112051074</w:t>
            </w:r>
            <w:r>
              <w:rPr>
                <w:rFonts w:ascii="SimSun" w:hAnsi="SimSun" w:eastAsia="SimSun" w:cs="SimSun"/>
                <w:spacing w:val="3"/>
              </w:rPr>
              <w:t>。</w:t>
            </w:r>
          </w:p>
        </w:tc>
      </w:tr>
    </w:tbl>
    <w:p>
      <w:pPr>
        <w:ind w:left="2980"/>
        <w:spacing w:before="273"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4-2-43</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2"/>
        <w:gridCol w:w="4231"/>
        <w:gridCol w:w="895"/>
        <w:gridCol w:w="919"/>
        <w:gridCol w:w="923"/>
      </w:tblGrid>
      <w:tr>
        <w:trPr>
          <w:trHeight w:val="280" w:hRule="atLeast"/>
        </w:trPr>
        <w:tc>
          <w:tcPr>
            <w:tcW w:w="2322" w:type="dxa"/>
            <w:vAlign w:val="top"/>
            <w:vMerge w:val="restart"/>
            <w:tcBorders>
              <w:bottom w:val="nil"/>
            </w:tcBorders>
          </w:tcPr>
          <w:p>
            <w:pPr>
              <w:spacing w:line="247" w:lineRule="auto"/>
              <w:rPr>
                <w:rFonts w:ascii="Arial"/>
                <w:sz w:val="21"/>
              </w:rPr>
            </w:pPr>
            <w:r/>
          </w:p>
          <w:p>
            <w:pPr>
              <w:ind w:left="747"/>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231" w:type="dxa"/>
            <w:vAlign w:val="top"/>
          </w:tcPr>
          <w:p>
            <w:pPr>
              <w:ind w:left="1703"/>
              <w:spacing w:before="33" w:line="218"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247" w:lineRule="auto"/>
              <w:rPr>
                <w:rFonts w:ascii="Arial"/>
                <w:sz w:val="21"/>
              </w:rPr>
            </w:pPr>
            <w:r/>
          </w:p>
          <w:p>
            <w:pPr>
              <w:ind w:left="259"/>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248"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3" w:type="dxa"/>
            <w:vAlign w:val="top"/>
            <w:vMerge w:val="restart"/>
            <w:tcBorders>
              <w:bottom w:val="nil"/>
            </w:tcBorders>
          </w:tcPr>
          <w:p>
            <w:pPr>
              <w:ind w:left="360" w:right="145" w:hanging="206"/>
              <w:spacing w:before="178" w:line="254"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8" w:hRule="atLeast"/>
        </w:trPr>
        <w:tc>
          <w:tcPr>
            <w:tcW w:w="2322" w:type="dxa"/>
            <w:vAlign w:val="top"/>
            <w:vMerge w:val="continue"/>
            <w:tcBorders>
              <w:top w:val="nil"/>
              <w:bottom w:val="nil"/>
            </w:tcBorders>
          </w:tcPr>
          <w:p>
            <w:pPr>
              <w:rPr>
                <w:rFonts w:ascii="Arial"/>
                <w:sz w:val="21"/>
              </w:rPr>
            </w:pPr>
            <w:r/>
          </w:p>
        </w:tc>
        <w:tc>
          <w:tcPr>
            <w:tcW w:w="4231" w:type="dxa"/>
            <w:vAlign w:val="top"/>
          </w:tcPr>
          <w:p>
            <w:pPr>
              <w:pStyle w:val="TableText"/>
              <w:ind w:left="1557"/>
              <w:spacing w:before="29" w:line="220" w:lineRule="auto"/>
              <w:rPr>
                <w:rFonts w:ascii="SimSun" w:hAnsi="SimSun" w:eastAsia="SimSun" w:cs="SimSun"/>
              </w:rPr>
            </w:pPr>
            <w:r>
              <w:rPr>
                <w:spacing w:val="5"/>
              </w:rPr>
              <w:t>T4</w:t>
            </w:r>
            <w:r>
              <w:rPr>
                <w:spacing w:val="12"/>
              </w:rPr>
              <w:t xml:space="preserve"> </w:t>
            </w:r>
            <w:r>
              <w:rPr>
                <w:rFonts w:ascii="SimSun" w:hAnsi="SimSun" w:eastAsia="SimSun" w:cs="SimSun"/>
                <w:spacing w:val="5"/>
              </w:rPr>
              <w:t>水处理站</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vMerge w:val="continue"/>
            <w:tcBorders>
              <w:top w:val="nil"/>
            </w:tcBorders>
          </w:tcPr>
          <w:p>
            <w:pPr>
              <w:rPr>
                <w:rFonts w:ascii="Arial"/>
                <w:sz w:val="21"/>
              </w:rPr>
            </w:pPr>
            <w:r/>
          </w:p>
        </w:tc>
        <w:tc>
          <w:tcPr>
            <w:tcW w:w="4231" w:type="dxa"/>
            <w:vAlign w:val="top"/>
          </w:tcPr>
          <w:p>
            <w:pPr>
              <w:pStyle w:val="TableText"/>
              <w:ind w:left="1294"/>
              <w:spacing w:before="29" w:line="220"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3" w:type="dxa"/>
            <w:vAlign w:val="top"/>
            <w:vMerge w:val="continue"/>
            <w:tcBorders>
              <w:top w:val="nil"/>
            </w:tcBorders>
          </w:tcPr>
          <w:p>
            <w:pPr>
              <w:rPr>
                <w:rFonts w:ascii="Arial"/>
                <w:sz w:val="21"/>
              </w:rPr>
            </w:pPr>
            <w:r/>
          </w:p>
        </w:tc>
      </w:tr>
      <w:tr>
        <w:trPr>
          <w:trHeight w:val="276" w:hRule="atLeast"/>
        </w:trPr>
        <w:tc>
          <w:tcPr>
            <w:tcW w:w="2322" w:type="dxa"/>
            <w:vAlign w:val="top"/>
          </w:tcPr>
          <w:p>
            <w:pPr>
              <w:pStyle w:val="TableText"/>
              <w:ind w:left="1015"/>
              <w:spacing w:before="27" w:line="220" w:lineRule="auto"/>
              <w:rPr>
                <w:rFonts w:ascii="SimSun" w:hAnsi="SimSun" w:eastAsia="SimSun" w:cs="SimSun"/>
              </w:rPr>
            </w:pPr>
            <w:r>
              <w:rPr>
                <w:spacing w:val="-1"/>
              </w:rPr>
              <w:t>*</w:t>
            </w:r>
            <w:r>
              <w:rPr>
                <w:rFonts w:ascii="SimSun" w:hAnsi="SimSun" w:eastAsia="SimSun" w:cs="SimSun"/>
                <w:spacing w:val="-1"/>
              </w:rPr>
              <w:t>砷</w:t>
            </w:r>
          </w:p>
        </w:tc>
        <w:tc>
          <w:tcPr>
            <w:tcW w:w="4231" w:type="dxa"/>
            <w:vAlign w:val="top"/>
          </w:tcPr>
          <w:p>
            <w:pPr>
              <w:pStyle w:val="TableText"/>
              <w:ind w:left="1935"/>
              <w:spacing w:before="63" w:line="195" w:lineRule="auto"/>
              <w:rPr/>
            </w:pPr>
            <w:r>
              <w:rPr>
                <w:spacing w:val="2"/>
              </w:rPr>
              <w:t>7.44</w:t>
            </w:r>
          </w:p>
        </w:tc>
        <w:tc>
          <w:tcPr>
            <w:tcW w:w="895" w:type="dxa"/>
            <w:vAlign w:val="top"/>
          </w:tcPr>
          <w:p>
            <w:pPr>
              <w:pStyle w:val="TableText"/>
              <w:ind w:left="350"/>
              <w:spacing w:before="63" w:line="195" w:lineRule="auto"/>
              <w:rPr/>
            </w:pPr>
            <w:r>
              <w:rPr/>
              <w:t>60</w:t>
            </w:r>
          </w:p>
        </w:tc>
        <w:tc>
          <w:tcPr>
            <w:tcW w:w="919" w:type="dxa"/>
            <w:vAlign w:val="top"/>
          </w:tcPr>
          <w:p>
            <w:pPr>
              <w:pStyle w:val="TableText"/>
              <w:ind w:left="190"/>
              <w:spacing w:before="59" w:line="201" w:lineRule="auto"/>
              <w:rPr/>
            </w:pPr>
            <w:r>
              <w:rPr>
                <w:spacing w:val="3"/>
              </w:rPr>
              <w:t>mg/kg</w:t>
            </w:r>
          </w:p>
        </w:tc>
        <w:tc>
          <w:tcPr>
            <w:tcW w:w="923"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253"/>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2322" w:type="dxa"/>
            <w:vAlign w:val="top"/>
          </w:tcPr>
          <w:p>
            <w:pPr>
              <w:pStyle w:val="TableText"/>
              <w:ind w:left="1015"/>
              <w:spacing w:before="29" w:line="220" w:lineRule="auto"/>
              <w:rPr>
                <w:rFonts w:ascii="SimSun" w:hAnsi="SimSun" w:eastAsia="SimSun" w:cs="SimSun"/>
              </w:rPr>
            </w:pPr>
            <w:r>
              <w:rPr>
                <w:spacing w:val="-1"/>
              </w:rPr>
              <w:t>*</w:t>
            </w:r>
            <w:r>
              <w:rPr>
                <w:rFonts w:ascii="SimSun" w:hAnsi="SimSun" w:eastAsia="SimSun" w:cs="SimSun"/>
                <w:spacing w:val="-1"/>
              </w:rPr>
              <w:t>镉</w:t>
            </w:r>
          </w:p>
        </w:tc>
        <w:tc>
          <w:tcPr>
            <w:tcW w:w="4231" w:type="dxa"/>
            <w:vAlign w:val="top"/>
          </w:tcPr>
          <w:p>
            <w:pPr>
              <w:pStyle w:val="TableText"/>
              <w:ind w:left="1935"/>
              <w:spacing w:before="65" w:line="195" w:lineRule="auto"/>
              <w:rPr/>
            </w:pPr>
            <w:r>
              <w:rPr>
                <w:spacing w:val="2"/>
              </w:rPr>
              <w:t>0.17</w:t>
            </w:r>
          </w:p>
        </w:tc>
        <w:tc>
          <w:tcPr>
            <w:tcW w:w="895" w:type="dxa"/>
            <w:vAlign w:val="top"/>
          </w:tcPr>
          <w:p>
            <w:pPr>
              <w:pStyle w:val="TableText"/>
              <w:ind w:left="350"/>
              <w:spacing w:before="65" w:line="195" w:lineRule="auto"/>
              <w:rPr/>
            </w:pPr>
            <w:r>
              <w:rPr/>
              <w:t>65</w:t>
            </w:r>
          </w:p>
        </w:tc>
        <w:tc>
          <w:tcPr>
            <w:tcW w:w="919" w:type="dxa"/>
            <w:vAlign w:val="top"/>
          </w:tcPr>
          <w:p>
            <w:pPr>
              <w:pStyle w:val="TableText"/>
              <w:ind w:left="190"/>
              <w:spacing w:before="61"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804"/>
              <w:spacing w:before="29" w:line="220" w:lineRule="auto"/>
              <w:rPr>
                <w:rFonts w:ascii="SimSun" w:hAnsi="SimSun" w:eastAsia="SimSun" w:cs="SimSun"/>
              </w:rPr>
            </w:pPr>
            <w:r>
              <w:rPr>
                <w:spacing w:val="5"/>
              </w:rPr>
              <w:t>*</w:t>
            </w:r>
            <w:r>
              <w:rPr>
                <w:rFonts w:ascii="SimSun" w:hAnsi="SimSun" w:eastAsia="SimSun" w:cs="SimSun"/>
                <w:spacing w:val="5"/>
              </w:rPr>
              <w:t>六价铬</w:t>
            </w:r>
          </w:p>
        </w:tc>
        <w:tc>
          <w:tcPr>
            <w:tcW w:w="4231" w:type="dxa"/>
            <w:vAlign w:val="top"/>
          </w:tcPr>
          <w:p>
            <w:pPr>
              <w:pStyle w:val="TableText"/>
              <w:ind w:left="1927"/>
              <w:spacing w:before="65" w:line="195" w:lineRule="auto"/>
              <w:rPr/>
            </w:pPr>
            <w:r>
              <w:rPr>
                <w:spacing w:val="3"/>
              </w:rPr>
              <w:t>&lt;0.5</w:t>
            </w:r>
          </w:p>
        </w:tc>
        <w:tc>
          <w:tcPr>
            <w:tcW w:w="895" w:type="dxa"/>
            <w:vAlign w:val="top"/>
          </w:tcPr>
          <w:p>
            <w:pPr>
              <w:pStyle w:val="TableText"/>
              <w:ind w:left="323"/>
              <w:spacing w:before="68" w:line="192" w:lineRule="auto"/>
              <w:rPr/>
            </w:pPr>
            <w:r>
              <w:rPr/>
              <w:t>5.7</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1015"/>
              <w:spacing w:before="27" w:line="219" w:lineRule="auto"/>
              <w:rPr>
                <w:rFonts w:ascii="SimSun" w:hAnsi="SimSun" w:eastAsia="SimSun" w:cs="SimSun"/>
              </w:rPr>
            </w:pPr>
            <w:r>
              <w:rPr>
                <w:spacing w:val="-1"/>
              </w:rPr>
              <w:t>*</w:t>
            </w:r>
            <w:r>
              <w:rPr>
                <w:rFonts w:ascii="SimSun" w:hAnsi="SimSun" w:eastAsia="SimSun" w:cs="SimSun"/>
                <w:spacing w:val="-1"/>
              </w:rPr>
              <w:t>铜</w:t>
            </w:r>
          </w:p>
        </w:tc>
        <w:tc>
          <w:tcPr>
            <w:tcW w:w="4231" w:type="dxa"/>
            <w:vAlign w:val="top"/>
          </w:tcPr>
          <w:p>
            <w:pPr>
              <w:pStyle w:val="TableText"/>
              <w:ind w:left="2031"/>
              <w:spacing w:before="63" w:line="195" w:lineRule="auto"/>
              <w:rPr/>
            </w:pPr>
            <w:r>
              <w:rPr>
                <w:spacing w:val="-8"/>
              </w:rPr>
              <w:t>18</w:t>
            </w:r>
          </w:p>
        </w:tc>
        <w:tc>
          <w:tcPr>
            <w:tcW w:w="895" w:type="dxa"/>
            <w:vAlign w:val="top"/>
          </w:tcPr>
          <w:p>
            <w:pPr>
              <w:pStyle w:val="TableText"/>
              <w:ind w:left="208"/>
              <w:spacing w:before="63" w:line="195" w:lineRule="auto"/>
              <w:rPr/>
            </w:pPr>
            <w:r>
              <w:rPr/>
              <w:t>18000</w:t>
            </w:r>
          </w:p>
        </w:tc>
        <w:tc>
          <w:tcPr>
            <w:tcW w:w="919" w:type="dxa"/>
            <w:vAlign w:val="top"/>
          </w:tcPr>
          <w:p>
            <w:pPr>
              <w:pStyle w:val="TableText"/>
              <w:ind w:left="190"/>
              <w:spacing w:before="59"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1015"/>
              <w:spacing w:before="30" w:line="219" w:lineRule="auto"/>
              <w:rPr>
                <w:rFonts w:ascii="SimSun" w:hAnsi="SimSun" w:eastAsia="SimSun" w:cs="SimSun"/>
              </w:rPr>
            </w:pPr>
            <w:r>
              <w:rPr>
                <w:spacing w:val="-1"/>
              </w:rPr>
              <w:t>*</w:t>
            </w:r>
            <w:r>
              <w:rPr>
                <w:rFonts w:ascii="SimSun" w:hAnsi="SimSun" w:eastAsia="SimSun" w:cs="SimSun"/>
                <w:spacing w:val="-1"/>
              </w:rPr>
              <w:t>铅</w:t>
            </w:r>
          </w:p>
        </w:tc>
        <w:tc>
          <w:tcPr>
            <w:tcW w:w="4231" w:type="dxa"/>
            <w:vAlign w:val="top"/>
          </w:tcPr>
          <w:p>
            <w:pPr>
              <w:pStyle w:val="TableText"/>
              <w:ind w:left="2010"/>
              <w:spacing w:before="66" w:line="195" w:lineRule="auto"/>
              <w:rPr/>
            </w:pPr>
            <w:r>
              <w:rPr>
                <w:spacing w:val="3"/>
              </w:rPr>
              <w:t>40</w:t>
            </w:r>
          </w:p>
        </w:tc>
        <w:tc>
          <w:tcPr>
            <w:tcW w:w="895" w:type="dxa"/>
            <w:vAlign w:val="top"/>
          </w:tcPr>
          <w:p>
            <w:pPr>
              <w:pStyle w:val="TableText"/>
              <w:ind w:left="301"/>
              <w:spacing w:before="66" w:line="195" w:lineRule="auto"/>
              <w:rPr/>
            </w:pPr>
            <w:r>
              <w:rPr/>
              <w:t>800</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1015"/>
              <w:spacing w:before="30" w:line="219" w:lineRule="auto"/>
              <w:rPr>
                <w:rFonts w:ascii="SimSun" w:hAnsi="SimSun" w:eastAsia="SimSun" w:cs="SimSun"/>
              </w:rPr>
            </w:pPr>
            <w:r>
              <w:rPr>
                <w:spacing w:val="-1"/>
              </w:rPr>
              <w:t>*</w:t>
            </w:r>
            <w:r>
              <w:rPr>
                <w:rFonts w:ascii="SimSun" w:hAnsi="SimSun" w:eastAsia="SimSun" w:cs="SimSun"/>
                <w:spacing w:val="-1"/>
              </w:rPr>
              <w:t>镍</w:t>
            </w:r>
          </w:p>
        </w:tc>
        <w:tc>
          <w:tcPr>
            <w:tcW w:w="4231" w:type="dxa"/>
            <w:vAlign w:val="top"/>
          </w:tcPr>
          <w:p>
            <w:pPr>
              <w:pStyle w:val="TableText"/>
              <w:ind w:left="2017"/>
              <w:spacing w:before="67" w:line="195" w:lineRule="auto"/>
              <w:rPr/>
            </w:pPr>
            <w:r>
              <w:rPr/>
              <w:t>52</w:t>
            </w:r>
          </w:p>
        </w:tc>
        <w:tc>
          <w:tcPr>
            <w:tcW w:w="895" w:type="dxa"/>
            <w:vAlign w:val="top"/>
          </w:tcPr>
          <w:p>
            <w:pPr>
              <w:pStyle w:val="TableText"/>
              <w:ind w:left="297"/>
              <w:spacing w:before="67" w:line="195" w:lineRule="auto"/>
              <w:rPr/>
            </w:pPr>
            <w:r>
              <w:rPr>
                <w:spacing w:val="2"/>
              </w:rPr>
              <w:t>900</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1015"/>
              <w:spacing w:before="28" w:line="219" w:lineRule="auto"/>
              <w:rPr>
                <w:rFonts w:ascii="SimSun" w:hAnsi="SimSun" w:eastAsia="SimSun" w:cs="SimSun"/>
              </w:rPr>
            </w:pPr>
            <w:r>
              <w:rPr>
                <w:spacing w:val="-1"/>
              </w:rPr>
              <w:t>*</w:t>
            </w:r>
            <w:r>
              <w:rPr>
                <w:rFonts w:ascii="SimSun" w:hAnsi="SimSun" w:eastAsia="SimSun" w:cs="SimSun"/>
                <w:spacing w:val="-1"/>
              </w:rPr>
              <w:t>汞</w:t>
            </w:r>
          </w:p>
        </w:tc>
        <w:tc>
          <w:tcPr>
            <w:tcW w:w="4231" w:type="dxa"/>
            <w:vAlign w:val="top"/>
          </w:tcPr>
          <w:p>
            <w:pPr>
              <w:pStyle w:val="TableText"/>
              <w:ind w:left="1882"/>
              <w:spacing w:before="64" w:line="195" w:lineRule="auto"/>
              <w:rPr/>
            </w:pPr>
            <w:r>
              <w:rPr>
                <w:spacing w:val="3"/>
              </w:rPr>
              <w:t>0.063</w:t>
            </w:r>
          </w:p>
        </w:tc>
        <w:tc>
          <w:tcPr>
            <w:tcW w:w="895" w:type="dxa"/>
            <w:vAlign w:val="top"/>
          </w:tcPr>
          <w:p>
            <w:pPr>
              <w:pStyle w:val="TableText"/>
              <w:ind w:left="350"/>
              <w:spacing w:before="64" w:line="195" w:lineRule="auto"/>
              <w:rPr/>
            </w:pPr>
            <w:r>
              <w:rPr/>
              <w:t>38</w:t>
            </w:r>
          </w:p>
        </w:tc>
        <w:tc>
          <w:tcPr>
            <w:tcW w:w="919" w:type="dxa"/>
            <w:vAlign w:val="top"/>
          </w:tcPr>
          <w:p>
            <w:pPr>
              <w:pStyle w:val="TableText"/>
              <w:ind w:left="190"/>
              <w:spacing w:before="61"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701"/>
              <w:spacing w:before="30" w:line="219" w:lineRule="auto"/>
              <w:rPr>
                <w:rFonts w:ascii="SimSun" w:hAnsi="SimSun" w:eastAsia="SimSun" w:cs="SimSun"/>
              </w:rPr>
            </w:pPr>
            <w:r>
              <w:rPr>
                <w:spacing w:val="5"/>
              </w:rPr>
              <w:t>*</w:t>
            </w:r>
            <w:r>
              <w:rPr>
                <w:rFonts w:ascii="SimSun" w:hAnsi="SimSun" w:eastAsia="SimSun" w:cs="SimSun"/>
                <w:spacing w:val="5"/>
              </w:rPr>
              <w:t>四氯化碳</w:t>
            </w:r>
          </w:p>
        </w:tc>
        <w:tc>
          <w:tcPr>
            <w:tcW w:w="4231" w:type="dxa"/>
            <w:vAlign w:val="top"/>
          </w:tcPr>
          <w:p>
            <w:pPr>
              <w:pStyle w:val="TableText"/>
              <w:ind w:left="1703"/>
              <w:spacing w:before="47"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317"/>
              <w:spacing w:before="67" w:line="195" w:lineRule="auto"/>
              <w:rPr/>
            </w:pPr>
            <w:r>
              <w:rPr>
                <w:spacing w:val="2"/>
              </w:rPr>
              <w:t>2.8</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912"/>
              <w:spacing w:before="31" w:line="216" w:lineRule="auto"/>
              <w:rPr>
                <w:rFonts w:ascii="SimSun" w:hAnsi="SimSun" w:eastAsia="SimSun" w:cs="SimSun"/>
              </w:rPr>
            </w:pPr>
            <w:r>
              <w:rPr>
                <w:spacing w:val="2"/>
              </w:rPr>
              <w:t>*</w:t>
            </w:r>
            <w:r>
              <w:rPr>
                <w:rFonts w:ascii="SimSun" w:hAnsi="SimSun" w:eastAsia="SimSun" w:cs="SimSun"/>
                <w:spacing w:val="2"/>
              </w:rPr>
              <w:t>氯仿</w:t>
            </w:r>
          </w:p>
        </w:tc>
        <w:tc>
          <w:tcPr>
            <w:tcW w:w="4231" w:type="dxa"/>
            <w:vAlign w:val="top"/>
          </w:tcPr>
          <w:p>
            <w:pPr>
              <w:pStyle w:val="TableText"/>
              <w:ind w:left="1703"/>
              <w:spacing w:before="47"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320"/>
              <w:spacing w:before="67" w:line="195" w:lineRule="auto"/>
              <w:rPr/>
            </w:pPr>
            <w:r>
              <w:rPr>
                <w:spacing w:val="1"/>
              </w:rPr>
              <w:t>0.9</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804"/>
              <w:spacing w:before="30" w:line="219" w:lineRule="auto"/>
              <w:rPr>
                <w:rFonts w:ascii="SimSun" w:hAnsi="SimSun" w:eastAsia="SimSun" w:cs="SimSun"/>
              </w:rPr>
            </w:pPr>
            <w:r>
              <w:rPr>
                <w:spacing w:val="5"/>
              </w:rPr>
              <w:t>*</w:t>
            </w:r>
            <w:r>
              <w:rPr>
                <w:rFonts w:ascii="SimSun" w:hAnsi="SimSun" w:eastAsia="SimSun" w:cs="SimSun"/>
                <w:spacing w:val="5"/>
              </w:rPr>
              <w:t>氯甲烷</w:t>
            </w:r>
          </w:p>
        </w:tc>
        <w:tc>
          <w:tcPr>
            <w:tcW w:w="4231" w:type="dxa"/>
            <w:vAlign w:val="top"/>
          </w:tcPr>
          <w:p>
            <w:pPr>
              <w:pStyle w:val="TableText"/>
              <w:ind w:left="1703"/>
              <w:spacing w:before="47"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0"/>
              <w:spacing w:before="67" w:line="195" w:lineRule="auto"/>
              <w:rPr/>
            </w:pPr>
            <w:r>
              <w:rPr/>
              <w:t>37</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535"/>
              <w:spacing w:before="31" w:line="216" w:lineRule="auto"/>
              <w:rPr>
                <w:rFonts w:ascii="SimSun" w:hAnsi="SimSun" w:eastAsia="SimSun" w:cs="SimSun"/>
              </w:rPr>
            </w:pPr>
            <w:r>
              <w:rPr>
                <w:spacing w:val="2"/>
              </w:rPr>
              <w:t>*1,</w:t>
            </w:r>
            <w:r>
              <w:rPr>
                <w:spacing w:val="-25"/>
              </w:rPr>
              <w:t xml:space="preserve"> </w:t>
            </w:r>
            <w:r>
              <w:rPr>
                <w:spacing w:val="2"/>
              </w:rPr>
              <w:t>1-</w:t>
            </w:r>
            <w:r>
              <w:rPr>
                <w:rFonts w:ascii="SimSun" w:hAnsi="SimSun" w:eastAsia="SimSun" w:cs="SimSun"/>
                <w:spacing w:val="2"/>
              </w:rPr>
              <w:t>二氯乙烷</w:t>
            </w:r>
          </w:p>
        </w:tc>
        <w:tc>
          <w:tcPr>
            <w:tcW w:w="4231" w:type="dxa"/>
            <w:vAlign w:val="top"/>
          </w:tcPr>
          <w:p>
            <w:pPr>
              <w:pStyle w:val="TableText"/>
              <w:ind w:left="1703"/>
              <w:spacing w:before="47"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400"/>
              <w:spacing w:before="67" w:line="195" w:lineRule="auto"/>
              <w:rPr/>
            </w:pPr>
            <w:r>
              <w:rPr/>
              <w:t>9</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535"/>
              <w:spacing w:before="33" w:line="216" w:lineRule="auto"/>
              <w:rPr>
                <w:rFonts w:ascii="SimSun" w:hAnsi="SimSun" w:eastAsia="SimSun" w:cs="SimSun"/>
              </w:rPr>
            </w:pPr>
            <w:r>
              <w:rPr>
                <w:spacing w:val="4"/>
              </w:rPr>
              <w:t>*1,2-</w:t>
            </w:r>
            <w:r>
              <w:rPr>
                <w:rFonts w:ascii="SimSun" w:hAnsi="SimSun" w:eastAsia="SimSun" w:cs="SimSun"/>
                <w:spacing w:val="4"/>
              </w:rPr>
              <w:t>二氯乙烷</w:t>
            </w:r>
          </w:p>
        </w:tc>
        <w:tc>
          <w:tcPr>
            <w:tcW w:w="4231" w:type="dxa"/>
            <w:vAlign w:val="top"/>
          </w:tcPr>
          <w:p>
            <w:pPr>
              <w:pStyle w:val="TableText"/>
              <w:ind w:left="1703"/>
              <w:spacing w:before="49"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402"/>
              <w:spacing w:before="72" w:line="192" w:lineRule="auto"/>
              <w:rPr/>
            </w:pPr>
            <w:r>
              <w:rPr/>
              <w:t>5</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540"/>
              <w:spacing w:before="31" w:line="218" w:lineRule="auto"/>
              <w:rPr>
                <w:rFonts w:ascii="SimSun" w:hAnsi="SimSun" w:eastAsia="SimSun" w:cs="SimSun"/>
              </w:rPr>
            </w:pPr>
            <w:r>
              <w:rPr/>
              <w:t>*1,</w:t>
            </w:r>
            <w:r>
              <w:rPr>
                <w:spacing w:val="-22"/>
              </w:rPr>
              <w:t xml:space="preserve"> </w:t>
            </w:r>
            <w:r>
              <w:rPr/>
              <w:t>1</w:t>
            </w:r>
            <w:r>
              <w:rPr>
                <w:spacing w:val="13"/>
                <w:w w:val="101"/>
              </w:rPr>
              <w:t xml:space="preserve"> </w:t>
            </w:r>
            <w:r>
              <w:rPr>
                <w:rFonts w:ascii="SimSun" w:hAnsi="SimSun" w:eastAsia="SimSun" w:cs="SimSun"/>
              </w:rPr>
              <w:t>二氯乙烯</w:t>
            </w:r>
          </w:p>
        </w:tc>
        <w:tc>
          <w:tcPr>
            <w:tcW w:w="4231" w:type="dxa"/>
            <w:vAlign w:val="top"/>
          </w:tcPr>
          <w:p>
            <w:pPr>
              <w:pStyle w:val="TableText"/>
              <w:ind w:left="1703"/>
              <w:spacing w:before="47"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0"/>
              <w:spacing w:before="67" w:line="195" w:lineRule="auto"/>
              <w:rPr/>
            </w:pPr>
            <w:r>
              <w:rPr/>
              <w:t>66</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413"/>
              <w:spacing w:before="31" w:line="216" w:lineRule="auto"/>
              <w:rPr>
                <w:rFonts w:ascii="SimSun" w:hAnsi="SimSun" w:eastAsia="SimSun" w:cs="SimSun"/>
              </w:rPr>
            </w:pPr>
            <w:r>
              <w:rPr>
                <w:spacing w:val="2"/>
              </w:rPr>
              <w:t>*</w:t>
            </w:r>
            <w:r>
              <w:rPr>
                <w:rFonts w:ascii="SimSun" w:hAnsi="SimSun" w:eastAsia="SimSun" w:cs="SimSun"/>
                <w:spacing w:val="2"/>
              </w:rPr>
              <w:t>顺</w:t>
            </w:r>
            <w:r>
              <w:rPr>
                <w:rFonts w:ascii="SimSun" w:hAnsi="SimSun" w:eastAsia="SimSun" w:cs="SimSun"/>
                <w:spacing w:val="-19"/>
              </w:rPr>
              <w:t xml:space="preserve"> </w:t>
            </w:r>
            <w:r>
              <w:rPr>
                <w:spacing w:val="2"/>
              </w:rPr>
              <w:t>1,2 </w:t>
            </w:r>
            <w:r>
              <w:rPr>
                <w:rFonts w:ascii="SimSun" w:hAnsi="SimSun" w:eastAsia="SimSun" w:cs="SimSun"/>
                <w:spacing w:val="2"/>
              </w:rPr>
              <w:t>二氯乙烯</w:t>
            </w:r>
          </w:p>
        </w:tc>
        <w:tc>
          <w:tcPr>
            <w:tcW w:w="4231" w:type="dxa"/>
            <w:vAlign w:val="top"/>
          </w:tcPr>
          <w:p>
            <w:pPr>
              <w:pStyle w:val="TableText"/>
              <w:ind w:left="1703"/>
              <w:spacing w:before="47"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99"/>
              <w:spacing w:before="67" w:line="195" w:lineRule="auto"/>
              <w:rPr/>
            </w:pPr>
            <w:r>
              <w:rPr>
                <w:spacing w:val="1"/>
              </w:rPr>
              <w:t>596</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413"/>
              <w:spacing w:before="33" w:line="216" w:lineRule="auto"/>
              <w:rPr>
                <w:rFonts w:ascii="SimSun" w:hAnsi="SimSun" w:eastAsia="SimSun" w:cs="SimSun"/>
              </w:rPr>
            </w:pPr>
            <w:r>
              <w:rPr>
                <w:spacing w:val="2"/>
              </w:rPr>
              <w:t>*</w:t>
            </w:r>
            <w:r>
              <w:rPr>
                <w:rFonts w:ascii="SimSun" w:hAnsi="SimSun" w:eastAsia="SimSun" w:cs="SimSun"/>
                <w:spacing w:val="2"/>
              </w:rPr>
              <w:t>反</w:t>
            </w:r>
            <w:r>
              <w:rPr>
                <w:rFonts w:ascii="SimSun" w:hAnsi="SimSun" w:eastAsia="SimSun" w:cs="SimSun"/>
                <w:spacing w:val="-19"/>
              </w:rPr>
              <w:t xml:space="preserve"> </w:t>
            </w:r>
            <w:r>
              <w:rPr>
                <w:spacing w:val="2"/>
              </w:rPr>
              <w:t>1,2 </w:t>
            </w:r>
            <w:r>
              <w:rPr>
                <w:rFonts w:ascii="SimSun" w:hAnsi="SimSun" w:eastAsia="SimSun" w:cs="SimSun"/>
                <w:spacing w:val="2"/>
              </w:rPr>
              <w:t>二氯乙烯</w:t>
            </w:r>
          </w:p>
        </w:tc>
        <w:tc>
          <w:tcPr>
            <w:tcW w:w="4231" w:type="dxa"/>
            <w:vAlign w:val="top"/>
          </w:tcPr>
          <w:p>
            <w:pPr>
              <w:pStyle w:val="TableText"/>
              <w:ind w:left="1703"/>
              <w:spacing w:before="49" w:line="216"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9" w:line="195" w:lineRule="auto"/>
              <w:rPr/>
            </w:pPr>
            <w:r>
              <w:rPr/>
              <w:t>54</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701"/>
              <w:spacing w:before="31" w:line="218" w:lineRule="auto"/>
              <w:rPr>
                <w:rFonts w:ascii="SimSun" w:hAnsi="SimSun" w:eastAsia="SimSun" w:cs="SimSun"/>
              </w:rPr>
            </w:pPr>
            <w:r>
              <w:rPr>
                <w:spacing w:val="5"/>
              </w:rPr>
              <w:t>*</w:t>
            </w:r>
            <w:r>
              <w:rPr>
                <w:rFonts w:ascii="SimSun" w:hAnsi="SimSun" w:eastAsia="SimSun" w:cs="SimSun"/>
                <w:spacing w:val="5"/>
              </w:rPr>
              <w:t>二氯甲烷</w:t>
            </w:r>
          </w:p>
        </w:tc>
        <w:tc>
          <w:tcPr>
            <w:tcW w:w="4231" w:type="dxa"/>
            <w:vAlign w:val="top"/>
          </w:tcPr>
          <w:p>
            <w:pPr>
              <w:pStyle w:val="TableText"/>
              <w:ind w:left="1703"/>
              <w:spacing w:before="47"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8"/>
              <w:spacing w:before="67" w:line="195" w:lineRule="auto"/>
              <w:rPr/>
            </w:pPr>
            <w:r>
              <w:rPr>
                <w:spacing w:val="2"/>
              </w:rPr>
              <w:t>616</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535"/>
              <w:spacing w:before="32" w:line="216" w:lineRule="auto"/>
              <w:rPr>
                <w:rFonts w:ascii="SimSun" w:hAnsi="SimSun" w:eastAsia="SimSun" w:cs="SimSun"/>
              </w:rPr>
            </w:pPr>
            <w:r>
              <w:rPr>
                <w:spacing w:val="4"/>
              </w:rPr>
              <w:t>*1,2-</w:t>
            </w:r>
            <w:r>
              <w:rPr>
                <w:rFonts w:ascii="SimSun" w:hAnsi="SimSun" w:eastAsia="SimSun" w:cs="SimSun"/>
                <w:spacing w:val="4"/>
              </w:rPr>
              <w:t>二氯丙烷</w:t>
            </w:r>
          </w:p>
        </w:tc>
        <w:tc>
          <w:tcPr>
            <w:tcW w:w="4231" w:type="dxa"/>
            <w:vAlign w:val="top"/>
          </w:tcPr>
          <w:p>
            <w:pPr>
              <w:pStyle w:val="TableText"/>
              <w:ind w:left="1703"/>
              <w:spacing w:before="47"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402"/>
              <w:spacing w:before="70" w:line="192" w:lineRule="auto"/>
              <w:rPr/>
            </w:pPr>
            <w:r>
              <w:rPr/>
              <w:t>5</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377"/>
              <w:spacing w:before="31" w:line="218" w:lineRule="auto"/>
              <w:rPr>
                <w:rFonts w:ascii="SimSun" w:hAnsi="SimSun" w:eastAsia="SimSun" w:cs="SimSun"/>
              </w:rPr>
            </w:pPr>
            <w:r>
              <w:rPr/>
              <w:t>*1,</w:t>
            </w:r>
            <w:r>
              <w:rPr>
                <w:spacing w:val="-19"/>
              </w:rPr>
              <w:t xml:space="preserve"> </w:t>
            </w:r>
            <w:r>
              <w:rPr/>
              <w:t>1,</w:t>
            </w:r>
            <w:r>
              <w:rPr>
                <w:spacing w:val="-25"/>
              </w:rPr>
              <w:t xml:space="preserve"> </w:t>
            </w:r>
            <w:r>
              <w:rPr/>
              <w:t>1,2-</w:t>
            </w:r>
            <w:r>
              <w:rPr>
                <w:rFonts w:ascii="SimSun" w:hAnsi="SimSun" w:eastAsia="SimSun" w:cs="SimSun"/>
              </w:rPr>
              <w:t>四氯乙烷</w:t>
            </w:r>
          </w:p>
        </w:tc>
        <w:tc>
          <w:tcPr>
            <w:tcW w:w="4231" w:type="dxa"/>
            <w:vAlign w:val="top"/>
          </w:tcPr>
          <w:p>
            <w:pPr>
              <w:pStyle w:val="TableText"/>
              <w:ind w:left="1703"/>
              <w:spacing w:before="50"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66"/>
              <w:spacing w:before="67" w:line="195" w:lineRule="auto"/>
              <w:rPr/>
            </w:pPr>
            <w:r>
              <w:rPr>
                <w:spacing w:val="-8"/>
              </w:rPr>
              <w:t>10</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377"/>
              <w:spacing w:before="31" w:line="218" w:lineRule="auto"/>
              <w:rPr>
                <w:rFonts w:ascii="SimSun" w:hAnsi="SimSun" w:eastAsia="SimSun" w:cs="SimSun"/>
              </w:rPr>
            </w:pPr>
            <w:r>
              <w:rPr>
                <w:spacing w:val="2"/>
              </w:rPr>
              <w:t>*1,</w:t>
            </w:r>
            <w:r>
              <w:rPr>
                <w:spacing w:val="-20"/>
              </w:rPr>
              <w:t xml:space="preserve"> </w:t>
            </w:r>
            <w:r>
              <w:rPr>
                <w:spacing w:val="2"/>
              </w:rPr>
              <w:t>1,2,2-</w:t>
            </w:r>
            <w:r>
              <w:rPr>
                <w:rFonts w:ascii="SimSun" w:hAnsi="SimSun" w:eastAsia="SimSun" w:cs="SimSun"/>
                <w:spacing w:val="2"/>
              </w:rPr>
              <w:t>四氯乙烷</w:t>
            </w:r>
          </w:p>
        </w:tc>
        <w:tc>
          <w:tcPr>
            <w:tcW w:w="4231" w:type="dxa"/>
            <w:vAlign w:val="top"/>
          </w:tcPr>
          <w:p>
            <w:pPr>
              <w:pStyle w:val="TableText"/>
              <w:ind w:left="1703"/>
              <w:spacing w:before="47"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22"/>
              <w:spacing w:before="67" w:line="195" w:lineRule="auto"/>
              <w:rPr/>
            </w:pPr>
            <w:r>
              <w:rPr>
                <w:spacing w:val="1"/>
              </w:rPr>
              <w:t>6.8</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701"/>
              <w:spacing w:before="32" w:line="215" w:lineRule="auto"/>
              <w:rPr>
                <w:rFonts w:ascii="SimSun" w:hAnsi="SimSun" w:eastAsia="SimSun" w:cs="SimSun"/>
              </w:rPr>
            </w:pPr>
            <w:r>
              <w:rPr>
                <w:spacing w:val="5"/>
              </w:rPr>
              <w:t>*</w:t>
            </w:r>
            <w:r>
              <w:rPr>
                <w:rFonts w:ascii="SimSun" w:hAnsi="SimSun" w:eastAsia="SimSun" w:cs="SimSun"/>
                <w:spacing w:val="5"/>
              </w:rPr>
              <w:t>四氯乙烯</w:t>
            </w:r>
          </w:p>
        </w:tc>
        <w:tc>
          <w:tcPr>
            <w:tcW w:w="4231" w:type="dxa"/>
            <w:vAlign w:val="top"/>
          </w:tcPr>
          <w:p>
            <w:pPr>
              <w:pStyle w:val="TableText"/>
              <w:ind w:left="1703"/>
              <w:spacing w:before="47" w:line="216"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7" w:line="195" w:lineRule="auto"/>
              <w:rPr/>
            </w:pPr>
            <w:r>
              <w:rPr/>
              <w:t>53</w:t>
            </w:r>
          </w:p>
        </w:tc>
        <w:tc>
          <w:tcPr>
            <w:tcW w:w="919" w:type="dxa"/>
            <w:vAlign w:val="top"/>
          </w:tcPr>
          <w:p>
            <w:pPr>
              <w:pStyle w:val="TableText"/>
              <w:ind w:left="190"/>
              <w:spacing w:before="64"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456"/>
              <w:spacing w:before="32" w:line="217" w:lineRule="auto"/>
              <w:rPr>
                <w:rFonts w:ascii="SimSun" w:hAnsi="SimSun" w:eastAsia="SimSun" w:cs="SimSun"/>
              </w:rPr>
            </w:pPr>
            <w:r>
              <w:rPr>
                <w:spacing w:val="-1"/>
              </w:rPr>
              <w:t>*1,</w:t>
            </w:r>
            <w:r>
              <w:rPr>
                <w:spacing w:val="-16"/>
              </w:rPr>
              <w:t xml:space="preserve"> </w:t>
            </w:r>
            <w:r>
              <w:rPr>
                <w:spacing w:val="-1"/>
              </w:rPr>
              <w:t>1,</w:t>
            </w:r>
            <w:r>
              <w:rPr>
                <w:spacing w:val="-25"/>
              </w:rPr>
              <w:t xml:space="preserve"> </w:t>
            </w:r>
            <w:r>
              <w:rPr>
                <w:spacing w:val="-1"/>
              </w:rPr>
              <w:t>1-</w:t>
            </w:r>
            <w:r>
              <w:rPr>
                <w:rFonts w:ascii="SimSun" w:hAnsi="SimSun" w:eastAsia="SimSun" w:cs="SimSun"/>
                <w:spacing w:val="-1"/>
              </w:rPr>
              <w:t>三氯乙烷</w:t>
            </w:r>
          </w:p>
        </w:tc>
        <w:tc>
          <w:tcPr>
            <w:tcW w:w="4231" w:type="dxa"/>
            <w:vAlign w:val="top"/>
          </w:tcPr>
          <w:p>
            <w:pPr>
              <w:pStyle w:val="TableText"/>
              <w:ind w:left="1703"/>
              <w:spacing w:before="51" w:line="213" w:lineRule="auto"/>
              <w:rPr>
                <w:sz w:val="13"/>
                <w:szCs w:val="13"/>
              </w:rPr>
            </w:pPr>
            <w:r>
              <w:rPr>
                <w:spacing w:val="3"/>
              </w:rPr>
              <w:t>&lt;1.3×10</w:t>
            </w:r>
            <w:r>
              <w:rPr>
                <w:sz w:val="13"/>
                <w:szCs w:val="13"/>
                <w:spacing w:val="3"/>
                <w:position w:val="6"/>
              </w:rPr>
              <w:t>-3</w:t>
            </w:r>
          </w:p>
        </w:tc>
        <w:tc>
          <w:tcPr>
            <w:tcW w:w="895" w:type="dxa"/>
            <w:vAlign w:val="top"/>
          </w:tcPr>
          <w:p>
            <w:pPr>
              <w:pStyle w:val="TableText"/>
              <w:ind w:left="301"/>
              <w:spacing w:before="68" w:line="195" w:lineRule="auto"/>
              <w:rPr/>
            </w:pPr>
            <w:r>
              <w:rPr/>
              <w:t>840</w:t>
            </w:r>
          </w:p>
        </w:tc>
        <w:tc>
          <w:tcPr>
            <w:tcW w:w="919" w:type="dxa"/>
            <w:vAlign w:val="top"/>
          </w:tcPr>
          <w:p>
            <w:pPr>
              <w:pStyle w:val="TableText"/>
              <w:ind w:left="190"/>
              <w:spacing w:before="64"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456"/>
              <w:spacing w:before="32" w:line="217" w:lineRule="auto"/>
              <w:rPr>
                <w:rFonts w:ascii="SimSun" w:hAnsi="SimSun" w:eastAsia="SimSun" w:cs="SimSun"/>
              </w:rPr>
            </w:pPr>
            <w:r>
              <w:rPr>
                <w:spacing w:val="2"/>
              </w:rPr>
              <w:t>*1,</w:t>
            </w:r>
            <w:r>
              <w:rPr>
                <w:spacing w:val="-24"/>
              </w:rPr>
              <w:t xml:space="preserve"> </w:t>
            </w:r>
            <w:r>
              <w:rPr>
                <w:spacing w:val="2"/>
              </w:rPr>
              <w:t>1,2-</w:t>
            </w:r>
            <w:r>
              <w:rPr>
                <w:rFonts w:ascii="SimSun" w:hAnsi="SimSun" w:eastAsia="SimSun" w:cs="SimSun"/>
                <w:spacing w:val="2"/>
              </w:rPr>
              <w:t>三氯乙烷</w:t>
            </w:r>
          </w:p>
        </w:tc>
        <w:tc>
          <w:tcPr>
            <w:tcW w:w="4231" w:type="dxa"/>
            <w:vAlign w:val="top"/>
          </w:tcPr>
          <w:p>
            <w:pPr>
              <w:pStyle w:val="TableText"/>
              <w:ind w:left="1703"/>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8" w:line="195" w:lineRule="auto"/>
              <w:rPr/>
            </w:pPr>
            <w:r>
              <w:rPr>
                <w:spacing w:val="2"/>
              </w:rPr>
              <w:t>2.8</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701"/>
              <w:spacing w:before="33" w:line="215" w:lineRule="auto"/>
              <w:rPr>
                <w:rFonts w:ascii="SimSun" w:hAnsi="SimSun" w:eastAsia="SimSun" w:cs="SimSun"/>
              </w:rPr>
            </w:pPr>
            <w:r>
              <w:rPr>
                <w:spacing w:val="5"/>
              </w:rPr>
              <w:t>*</w:t>
            </w:r>
            <w:r>
              <w:rPr>
                <w:rFonts w:ascii="SimSun" w:hAnsi="SimSun" w:eastAsia="SimSun" w:cs="SimSun"/>
                <w:spacing w:val="5"/>
              </w:rPr>
              <w:t>三氯乙烯</w:t>
            </w:r>
          </w:p>
        </w:tc>
        <w:tc>
          <w:tcPr>
            <w:tcW w:w="4231" w:type="dxa"/>
            <w:vAlign w:val="top"/>
          </w:tcPr>
          <w:p>
            <w:pPr>
              <w:pStyle w:val="TableText"/>
              <w:ind w:left="1703"/>
              <w:spacing w:before="49"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9" w:line="195" w:lineRule="auto"/>
              <w:rPr/>
            </w:pPr>
            <w:r>
              <w:rPr>
                <w:spacing w:val="2"/>
              </w:rPr>
              <w:t>2.8</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456"/>
              <w:spacing w:before="32" w:line="217" w:lineRule="auto"/>
              <w:rPr>
                <w:rFonts w:ascii="SimSun" w:hAnsi="SimSun" w:eastAsia="SimSun" w:cs="SimSun"/>
              </w:rPr>
            </w:pPr>
            <w:r>
              <w:rPr>
                <w:spacing w:val="4"/>
              </w:rPr>
              <w:t>*1,2,3-</w:t>
            </w:r>
            <w:r>
              <w:rPr>
                <w:rFonts w:ascii="SimSun" w:hAnsi="SimSun" w:eastAsia="SimSun" w:cs="SimSun"/>
                <w:spacing w:val="4"/>
              </w:rPr>
              <w:t>三氯丙烷</w:t>
            </w:r>
          </w:p>
        </w:tc>
        <w:tc>
          <w:tcPr>
            <w:tcW w:w="4231" w:type="dxa"/>
            <w:vAlign w:val="top"/>
          </w:tcPr>
          <w:p>
            <w:pPr>
              <w:pStyle w:val="TableText"/>
              <w:ind w:left="1703"/>
              <w:spacing w:before="51"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20"/>
              <w:spacing w:before="68" w:line="195" w:lineRule="auto"/>
              <w:rPr/>
            </w:pPr>
            <w:r>
              <w:rPr>
                <w:spacing w:val="1"/>
              </w:rPr>
              <w:t>0.5</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804"/>
              <w:spacing w:before="32" w:line="217" w:lineRule="auto"/>
              <w:rPr>
                <w:rFonts w:ascii="SimSun" w:hAnsi="SimSun" w:eastAsia="SimSun" w:cs="SimSun"/>
              </w:rPr>
            </w:pPr>
            <w:r>
              <w:rPr>
                <w:spacing w:val="5"/>
              </w:rPr>
              <w:t>*</w:t>
            </w:r>
            <w:r>
              <w:rPr>
                <w:rFonts w:ascii="SimSun" w:hAnsi="SimSun" w:eastAsia="SimSun" w:cs="SimSun"/>
                <w:spacing w:val="5"/>
              </w:rPr>
              <w:t>氯乙烯</w:t>
            </w:r>
          </w:p>
        </w:tc>
        <w:tc>
          <w:tcPr>
            <w:tcW w:w="4231" w:type="dxa"/>
            <w:vAlign w:val="top"/>
          </w:tcPr>
          <w:p>
            <w:pPr>
              <w:pStyle w:val="TableText"/>
              <w:ind w:left="1703"/>
              <w:spacing w:before="49"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267"/>
              <w:spacing w:before="69" w:line="195" w:lineRule="auto"/>
              <w:rPr/>
            </w:pPr>
            <w:r>
              <w:rPr>
                <w:spacing w:val="3"/>
              </w:rPr>
              <w:t>0.43</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1015"/>
              <w:spacing w:before="33" w:line="214" w:lineRule="auto"/>
              <w:rPr>
                <w:rFonts w:ascii="SimSun" w:hAnsi="SimSun" w:eastAsia="SimSun" w:cs="SimSun"/>
              </w:rPr>
            </w:pPr>
            <w:r>
              <w:rPr>
                <w:spacing w:val="-1"/>
              </w:rPr>
              <w:t>*</w:t>
            </w:r>
            <w:r>
              <w:rPr>
                <w:rFonts w:ascii="SimSun" w:hAnsi="SimSun" w:eastAsia="SimSun" w:cs="SimSun"/>
                <w:spacing w:val="-1"/>
              </w:rPr>
              <w:t>苯</w:t>
            </w:r>
          </w:p>
        </w:tc>
        <w:tc>
          <w:tcPr>
            <w:tcW w:w="4231" w:type="dxa"/>
            <w:vAlign w:val="top"/>
          </w:tcPr>
          <w:p>
            <w:pPr>
              <w:pStyle w:val="TableText"/>
              <w:ind w:left="1703"/>
              <w:spacing w:before="49" w:line="216" w:lineRule="auto"/>
              <w:rPr>
                <w:sz w:val="13"/>
                <w:szCs w:val="13"/>
              </w:rPr>
            </w:pPr>
            <w:r>
              <w:rPr>
                <w:spacing w:val="3"/>
              </w:rPr>
              <w:t>&lt;1.9×10</w:t>
            </w:r>
            <w:r>
              <w:rPr>
                <w:sz w:val="13"/>
                <w:szCs w:val="13"/>
                <w:spacing w:val="3"/>
                <w:position w:val="6"/>
              </w:rPr>
              <w:t>-3</w:t>
            </w:r>
          </w:p>
        </w:tc>
        <w:tc>
          <w:tcPr>
            <w:tcW w:w="895" w:type="dxa"/>
            <w:vAlign w:val="top"/>
          </w:tcPr>
          <w:p>
            <w:pPr>
              <w:pStyle w:val="TableText"/>
              <w:ind w:left="395"/>
              <w:spacing w:before="69" w:line="195" w:lineRule="auto"/>
              <w:rPr/>
            </w:pPr>
            <w:r>
              <w:rPr>
                <w:spacing w:val="1"/>
              </w:rPr>
              <w:t>4</w:t>
            </w:r>
          </w:p>
        </w:tc>
        <w:tc>
          <w:tcPr>
            <w:tcW w:w="919" w:type="dxa"/>
            <w:vAlign w:val="top"/>
          </w:tcPr>
          <w:p>
            <w:pPr>
              <w:pStyle w:val="TableText"/>
              <w:ind w:left="190"/>
              <w:spacing w:before="65"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912"/>
              <w:spacing w:before="34" w:line="216" w:lineRule="auto"/>
              <w:rPr>
                <w:rFonts w:ascii="SimSun" w:hAnsi="SimSun" w:eastAsia="SimSun" w:cs="SimSun"/>
              </w:rPr>
            </w:pPr>
            <w:r>
              <w:rPr>
                <w:spacing w:val="2"/>
              </w:rPr>
              <w:t>*</w:t>
            </w:r>
            <w:r>
              <w:rPr>
                <w:rFonts w:ascii="SimSun" w:hAnsi="SimSun" w:eastAsia="SimSun" w:cs="SimSun"/>
                <w:spacing w:val="2"/>
              </w:rPr>
              <w:t>氯苯</w:t>
            </w:r>
          </w:p>
        </w:tc>
        <w:tc>
          <w:tcPr>
            <w:tcW w:w="4231" w:type="dxa"/>
            <w:vAlign w:val="top"/>
          </w:tcPr>
          <w:p>
            <w:pPr>
              <w:pStyle w:val="TableText"/>
              <w:ind w:left="1703"/>
              <w:spacing w:before="50"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3"/>
              <w:spacing w:before="70" w:line="195" w:lineRule="auto"/>
              <w:rPr/>
            </w:pPr>
            <w:r>
              <w:rPr>
                <w:spacing w:val="3"/>
              </w:rPr>
              <w:t>270</w:t>
            </w:r>
          </w:p>
        </w:tc>
        <w:tc>
          <w:tcPr>
            <w:tcW w:w="919" w:type="dxa"/>
            <w:vAlign w:val="top"/>
          </w:tcPr>
          <w:p>
            <w:pPr>
              <w:pStyle w:val="TableText"/>
              <w:ind w:left="190"/>
              <w:spacing w:before="66"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641"/>
              <w:spacing w:before="34" w:line="214" w:lineRule="auto"/>
              <w:rPr>
                <w:rFonts w:ascii="SimSun" w:hAnsi="SimSun" w:eastAsia="SimSun" w:cs="SimSun"/>
              </w:rPr>
            </w:pPr>
            <w:r>
              <w:rPr>
                <w:spacing w:val="4"/>
              </w:rPr>
              <w:t>*1,2-</w:t>
            </w:r>
            <w:r>
              <w:rPr>
                <w:rFonts w:ascii="SimSun" w:hAnsi="SimSun" w:eastAsia="SimSun" w:cs="SimSun"/>
                <w:spacing w:val="4"/>
              </w:rPr>
              <w:t>二氯苯</w:t>
            </w:r>
          </w:p>
        </w:tc>
        <w:tc>
          <w:tcPr>
            <w:tcW w:w="4231" w:type="dxa"/>
            <w:vAlign w:val="top"/>
          </w:tcPr>
          <w:p>
            <w:pPr>
              <w:pStyle w:val="TableText"/>
              <w:ind w:left="1703"/>
              <w:spacing w:before="50"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9"/>
              <w:spacing w:before="70" w:line="195" w:lineRule="auto"/>
              <w:rPr/>
            </w:pPr>
            <w:r>
              <w:rPr>
                <w:spacing w:val="1"/>
              </w:rPr>
              <w:t>560</w:t>
            </w:r>
          </w:p>
        </w:tc>
        <w:tc>
          <w:tcPr>
            <w:tcW w:w="919" w:type="dxa"/>
            <w:vAlign w:val="top"/>
          </w:tcPr>
          <w:p>
            <w:pPr>
              <w:pStyle w:val="TableText"/>
              <w:ind w:left="190"/>
              <w:spacing w:before="66"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83" w:hRule="atLeast"/>
        </w:trPr>
        <w:tc>
          <w:tcPr>
            <w:tcW w:w="2322" w:type="dxa"/>
            <w:vAlign w:val="top"/>
          </w:tcPr>
          <w:p>
            <w:pPr>
              <w:pStyle w:val="TableText"/>
              <w:ind w:left="641"/>
              <w:spacing w:before="36" w:line="218" w:lineRule="auto"/>
              <w:rPr>
                <w:rFonts w:ascii="SimSun" w:hAnsi="SimSun" w:eastAsia="SimSun" w:cs="SimSun"/>
              </w:rPr>
            </w:pPr>
            <w:r>
              <w:rPr>
                <w:spacing w:val="4"/>
              </w:rPr>
              <w:t>*1,4-</w:t>
            </w:r>
            <w:r>
              <w:rPr>
                <w:rFonts w:ascii="SimSun" w:hAnsi="SimSun" w:eastAsia="SimSun" w:cs="SimSun"/>
                <w:spacing w:val="4"/>
              </w:rPr>
              <w:t>二氯苯</w:t>
            </w:r>
          </w:p>
        </w:tc>
        <w:tc>
          <w:tcPr>
            <w:tcW w:w="4231" w:type="dxa"/>
            <w:vAlign w:val="top"/>
          </w:tcPr>
          <w:p>
            <w:pPr>
              <w:pStyle w:val="TableText"/>
              <w:ind w:left="1703"/>
              <w:spacing w:before="52"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346"/>
              <w:spacing w:before="72" w:line="195" w:lineRule="auto"/>
              <w:rPr/>
            </w:pPr>
            <w:r>
              <w:rPr>
                <w:spacing w:val="2"/>
              </w:rPr>
              <w:t>20</w:t>
            </w:r>
          </w:p>
        </w:tc>
        <w:tc>
          <w:tcPr>
            <w:tcW w:w="919" w:type="dxa"/>
            <w:vAlign w:val="top"/>
          </w:tcPr>
          <w:p>
            <w:pPr>
              <w:pStyle w:val="TableText"/>
              <w:ind w:left="190"/>
              <w:spacing w:before="68" w:line="201" w:lineRule="auto"/>
              <w:rPr/>
            </w:pPr>
            <w:r>
              <w:rPr>
                <w:spacing w:val="3"/>
              </w:rPr>
              <w:t>mg/kg</w:t>
            </w:r>
          </w:p>
        </w:tc>
        <w:tc>
          <w:tcPr>
            <w:tcW w:w="923" w:type="dxa"/>
            <w:vAlign w:val="top"/>
            <w:vMerge w:val="continue"/>
            <w:tcBorders>
              <w:top w:val="nil"/>
            </w:tcBorders>
          </w:tcPr>
          <w:p>
            <w:pPr>
              <w:rPr>
                <w:rFonts w:ascii="Arial"/>
                <w:sz w:val="21"/>
              </w:rPr>
            </w:pPr>
            <w:r/>
          </w:p>
        </w:tc>
      </w:tr>
    </w:tbl>
    <w:p>
      <w:pPr>
        <w:pStyle w:val="BodyText"/>
        <w:spacing w:line="226" w:lineRule="exact"/>
        <w:rPr>
          <w:sz w:val="19"/>
        </w:rPr>
      </w:pPr>
      <w:r/>
    </w:p>
    <w:p>
      <w:pPr>
        <w:spacing w:line="226" w:lineRule="exact"/>
        <w:sectPr>
          <w:footerReference w:type="default" r:id="rId338"/>
          <w:pgSz w:w="11906" w:h="16838"/>
          <w:pgMar w:top="1170" w:right="1304" w:bottom="1080" w:left="1305" w:header="837" w:footer="918" w:gutter="0"/>
        </w:sectPr>
        <w:rPr>
          <w:sz w:val="19"/>
          <w:szCs w:val="19"/>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2"/>
        <w:gridCol w:w="4231"/>
        <w:gridCol w:w="895"/>
        <w:gridCol w:w="919"/>
        <w:gridCol w:w="923"/>
      </w:tblGrid>
      <w:tr>
        <w:trPr>
          <w:trHeight w:val="283" w:hRule="atLeast"/>
        </w:trPr>
        <w:tc>
          <w:tcPr>
            <w:tcW w:w="2322" w:type="dxa"/>
            <w:vAlign w:val="top"/>
            <w:vMerge w:val="restart"/>
            <w:tcBorders>
              <w:bottom w:val="nil"/>
            </w:tcBorders>
          </w:tcPr>
          <w:p>
            <w:pPr>
              <w:spacing w:line="250" w:lineRule="auto"/>
              <w:rPr>
                <w:rFonts w:ascii="Arial"/>
                <w:sz w:val="21"/>
              </w:rPr>
            </w:pPr>
            <w:r/>
          </w:p>
          <w:p>
            <w:pPr>
              <w:ind w:left="747"/>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231" w:type="dxa"/>
            <w:vAlign w:val="top"/>
          </w:tcPr>
          <w:p>
            <w:pPr>
              <w:ind w:left="1703"/>
              <w:spacing w:before="33" w:line="221"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250" w:lineRule="auto"/>
              <w:rPr>
                <w:rFonts w:ascii="Arial"/>
                <w:sz w:val="21"/>
              </w:rPr>
            </w:pPr>
            <w:r/>
          </w:p>
          <w:p>
            <w:pPr>
              <w:ind w:left="259"/>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250"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3" w:type="dxa"/>
            <w:vAlign w:val="top"/>
            <w:vMerge w:val="restart"/>
            <w:tcBorders>
              <w:bottom w:val="nil"/>
            </w:tcBorders>
          </w:tcPr>
          <w:p>
            <w:pPr>
              <w:ind w:left="360" w:right="145" w:hanging="206"/>
              <w:spacing w:before="180" w:line="254"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8" w:hRule="atLeast"/>
        </w:trPr>
        <w:tc>
          <w:tcPr>
            <w:tcW w:w="2322" w:type="dxa"/>
            <w:vAlign w:val="top"/>
            <w:vMerge w:val="continue"/>
            <w:tcBorders>
              <w:top w:val="nil"/>
              <w:bottom w:val="nil"/>
            </w:tcBorders>
          </w:tcPr>
          <w:p>
            <w:pPr>
              <w:rPr>
                <w:rFonts w:ascii="Arial"/>
                <w:sz w:val="21"/>
              </w:rPr>
            </w:pPr>
            <w:r/>
          </w:p>
        </w:tc>
        <w:tc>
          <w:tcPr>
            <w:tcW w:w="4231" w:type="dxa"/>
            <w:vAlign w:val="top"/>
          </w:tcPr>
          <w:p>
            <w:pPr>
              <w:pStyle w:val="TableText"/>
              <w:ind w:left="1557"/>
              <w:spacing w:before="28" w:line="221" w:lineRule="auto"/>
              <w:rPr>
                <w:rFonts w:ascii="SimSun" w:hAnsi="SimSun" w:eastAsia="SimSun" w:cs="SimSun"/>
              </w:rPr>
            </w:pPr>
            <w:r>
              <w:rPr>
                <w:spacing w:val="5"/>
              </w:rPr>
              <w:t>T4</w:t>
            </w:r>
            <w:r>
              <w:rPr>
                <w:spacing w:val="12"/>
              </w:rPr>
              <w:t xml:space="preserve"> </w:t>
            </w:r>
            <w:r>
              <w:rPr>
                <w:rFonts w:ascii="SimSun" w:hAnsi="SimSun" w:eastAsia="SimSun" w:cs="SimSun"/>
                <w:spacing w:val="5"/>
              </w:rPr>
              <w:t>水处理站</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vMerge w:val="continue"/>
            <w:tcBorders>
              <w:top w:val="nil"/>
            </w:tcBorders>
          </w:tcPr>
          <w:p>
            <w:pPr>
              <w:rPr>
                <w:rFonts w:ascii="Arial"/>
                <w:sz w:val="21"/>
              </w:rPr>
            </w:pPr>
            <w:r/>
          </w:p>
        </w:tc>
        <w:tc>
          <w:tcPr>
            <w:tcW w:w="4231" w:type="dxa"/>
            <w:vAlign w:val="top"/>
          </w:tcPr>
          <w:p>
            <w:pPr>
              <w:pStyle w:val="TableText"/>
              <w:ind w:left="1294"/>
              <w:spacing w:before="26" w:line="221"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3" w:type="dxa"/>
            <w:vAlign w:val="top"/>
            <w:vMerge w:val="continue"/>
            <w:tcBorders>
              <w:top w:val="nil"/>
            </w:tcBorders>
          </w:tcPr>
          <w:p>
            <w:pPr>
              <w:rPr>
                <w:rFonts w:ascii="Arial"/>
                <w:sz w:val="21"/>
              </w:rPr>
            </w:pPr>
            <w:r/>
          </w:p>
        </w:tc>
      </w:tr>
      <w:tr>
        <w:trPr>
          <w:trHeight w:val="278" w:hRule="atLeast"/>
        </w:trPr>
        <w:tc>
          <w:tcPr>
            <w:tcW w:w="2322" w:type="dxa"/>
            <w:vAlign w:val="top"/>
          </w:tcPr>
          <w:p>
            <w:pPr>
              <w:pStyle w:val="TableText"/>
              <w:ind w:left="912"/>
              <w:spacing w:before="28" w:line="221" w:lineRule="auto"/>
              <w:rPr>
                <w:rFonts w:ascii="SimSun" w:hAnsi="SimSun" w:eastAsia="SimSun" w:cs="SimSun"/>
              </w:rPr>
            </w:pPr>
            <w:r>
              <w:rPr>
                <w:spacing w:val="2"/>
              </w:rPr>
              <w:t>*</w:t>
            </w:r>
            <w:r>
              <w:rPr>
                <w:rFonts w:ascii="SimSun" w:hAnsi="SimSun" w:eastAsia="SimSun" w:cs="SimSun"/>
                <w:spacing w:val="2"/>
              </w:rPr>
              <w:t>乙苯</w:t>
            </w:r>
          </w:p>
        </w:tc>
        <w:tc>
          <w:tcPr>
            <w:tcW w:w="4231" w:type="dxa"/>
            <w:vAlign w:val="top"/>
          </w:tcPr>
          <w:p>
            <w:pPr>
              <w:pStyle w:val="TableText"/>
              <w:ind w:left="1703"/>
              <w:spacing w:before="47"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46"/>
              <w:spacing w:before="64" w:line="195" w:lineRule="auto"/>
              <w:rPr/>
            </w:pPr>
            <w:r>
              <w:rPr>
                <w:spacing w:val="2"/>
              </w:rPr>
              <w:t>28</w:t>
            </w:r>
          </w:p>
        </w:tc>
        <w:tc>
          <w:tcPr>
            <w:tcW w:w="919" w:type="dxa"/>
            <w:vAlign w:val="top"/>
          </w:tcPr>
          <w:p>
            <w:pPr>
              <w:pStyle w:val="TableText"/>
              <w:ind w:left="190"/>
              <w:spacing w:before="61" w:line="201" w:lineRule="auto"/>
              <w:rPr/>
            </w:pPr>
            <w:r>
              <w:rPr>
                <w:spacing w:val="3"/>
              </w:rPr>
              <w:t>mg/kg</w:t>
            </w:r>
          </w:p>
        </w:tc>
        <w:tc>
          <w:tcPr>
            <w:tcW w:w="923" w:type="dxa"/>
            <w:vAlign w:val="top"/>
            <w:vMerge w:val="restart"/>
            <w:tcBorders>
              <w:bottom w:val="nil"/>
            </w:tcBorders>
          </w:tcPr>
          <w:p>
            <w:pPr>
              <w:rPr>
                <w:rFonts w:ascii="Arial"/>
                <w:sz w:val="21"/>
              </w:rPr>
            </w:pPr>
            <w:r/>
          </w:p>
        </w:tc>
      </w:tr>
      <w:tr>
        <w:trPr>
          <w:trHeight w:val="278" w:hRule="atLeast"/>
        </w:trPr>
        <w:tc>
          <w:tcPr>
            <w:tcW w:w="2322" w:type="dxa"/>
            <w:vAlign w:val="top"/>
          </w:tcPr>
          <w:p>
            <w:pPr>
              <w:pStyle w:val="TableText"/>
              <w:ind w:left="804"/>
              <w:spacing w:before="29" w:line="220" w:lineRule="auto"/>
              <w:rPr>
                <w:rFonts w:ascii="SimSun" w:hAnsi="SimSun" w:eastAsia="SimSun" w:cs="SimSun"/>
              </w:rPr>
            </w:pPr>
            <w:r>
              <w:rPr>
                <w:spacing w:val="5"/>
              </w:rPr>
              <w:t>*</w:t>
            </w:r>
            <w:r>
              <w:rPr>
                <w:rFonts w:ascii="SimSun" w:hAnsi="SimSun" w:eastAsia="SimSun" w:cs="SimSun"/>
                <w:spacing w:val="5"/>
              </w:rPr>
              <w:t>苯乙烯</w:t>
            </w:r>
          </w:p>
        </w:tc>
        <w:tc>
          <w:tcPr>
            <w:tcW w:w="4231" w:type="dxa"/>
            <w:vAlign w:val="top"/>
          </w:tcPr>
          <w:p>
            <w:pPr>
              <w:pStyle w:val="TableText"/>
              <w:ind w:left="1703"/>
              <w:spacing w:before="45"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260"/>
              <w:spacing w:before="65" w:line="195" w:lineRule="auto"/>
              <w:rPr/>
            </w:pPr>
            <w:r>
              <w:rPr>
                <w:spacing w:val="-1"/>
              </w:rPr>
              <w:t>1290</w:t>
            </w:r>
          </w:p>
        </w:tc>
        <w:tc>
          <w:tcPr>
            <w:tcW w:w="919" w:type="dxa"/>
            <w:vAlign w:val="top"/>
          </w:tcPr>
          <w:p>
            <w:pPr>
              <w:pStyle w:val="TableText"/>
              <w:ind w:left="190"/>
              <w:spacing w:before="61"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912"/>
              <w:spacing w:before="26" w:line="220" w:lineRule="auto"/>
              <w:rPr>
                <w:rFonts w:ascii="SimSun" w:hAnsi="SimSun" w:eastAsia="SimSun" w:cs="SimSun"/>
              </w:rPr>
            </w:pPr>
            <w:r>
              <w:rPr>
                <w:spacing w:val="2"/>
              </w:rPr>
              <w:t>*</w:t>
            </w:r>
            <w:r>
              <w:rPr>
                <w:rFonts w:ascii="SimSun" w:hAnsi="SimSun" w:eastAsia="SimSun" w:cs="SimSun"/>
                <w:spacing w:val="2"/>
              </w:rPr>
              <w:t>甲苯</w:t>
            </w:r>
          </w:p>
        </w:tc>
        <w:tc>
          <w:tcPr>
            <w:tcW w:w="4231" w:type="dxa"/>
            <w:vAlign w:val="top"/>
          </w:tcPr>
          <w:p>
            <w:pPr>
              <w:pStyle w:val="TableText"/>
              <w:ind w:left="1703"/>
              <w:spacing w:before="45" w:line="213" w:lineRule="auto"/>
              <w:rPr>
                <w:sz w:val="13"/>
                <w:szCs w:val="13"/>
              </w:rPr>
            </w:pPr>
            <w:r>
              <w:rPr>
                <w:spacing w:val="3"/>
              </w:rPr>
              <w:t>&lt;1.3×10</w:t>
            </w:r>
            <w:r>
              <w:rPr>
                <w:sz w:val="13"/>
                <w:szCs w:val="13"/>
                <w:spacing w:val="3"/>
                <w:position w:val="6"/>
              </w:rPr>
              <w:t>-3</w:t>
            </w:r>
          </w:p>
        </w:tc>
        <w:tc>
          <w:tcPr>
            <w:tcW w:w="895" w:type="dxa"/>
            <w:vAlign w:val="top"/>
          </w:tcPr>
          <w:p>
            <w:pPr>
              <w:pStyle w:val="TableText"/>
              <w:ind w:left="260"/>
              <w:spacing w:before="62" w:line="195" w:lineRule="auto"/>
              <w:rPr/>
            </w:pPr>
            <w:r>
              <w:rPr>
                <w:spacing w:val="-1"/>
              </w:rPr>
              <w:t>1200</w:t>
            </w:r>
          </w:p>
        </w:tc>
        <w:tc>
          <w:tcPr>
            <w:tcW w:w="919" w:type="dxa"/>
            <w:vAlign w:val="top"/>
          </w:tcPr>
          <w:p>
            <w:pPr>
              <w:pStyle w:val="TableText"/>
              <w:ind w:left="190"/>
              <w:spacing w:before="59"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221"/>
              <w:spacing w:before="30" w:line="219" w:lineRule="auto"/>
              <w:rPr>
                <w:rFonts w:ascii="SimSun" w:hAnsi="SimSun" w:eastAsia="SimSun" w:cs="SimSun"/>
              </w:rPr>
            </w:pPr>
            <w:r>
              <w:rPr>
                <w:spacing w:val="7"/>
              </w:rPr>
              <w:t>*</w:t>
            </w:r>
            <w:r>
              <w:rPr>
                <w:rFonts w:ascii="SimSun" w:hAnsi="SimSun" w:eastAsia="SimSun" w:cs="SimSun"/>
                <w:spacing w:val="7"/>
              </w:rPr>
              <w:t>间二甲苯</w:t>
            </w:r>
            <w:r>
              <w:rPr>
                <w:spacing w:val="7"/>
              </w:rPr>
              <w:t>+</w:t>
            </w:r>
            <w:r>
              <w:rPr>
                <w:rFonts w:ascii="SimSun" w:hAnsi="SimSun" w:eastAsia="SimSun" w:cs="SimSun"/>
                <w:spacing w:val="7"/>
              </w:rPr>
              <w:t>对二甲苯</w:t>
            </w:r>
          </w:p>
        </w:tc>
        <w:tc>
          <w:tcPr>
            <w:tcW w:w="4231" w:type="dxa"/>
            <w:vAlign w:val="top"/>
          </w:tcPr>
          <w:p>
            <w:pPr>
              <w:pStyle w:val="TableText"/>
              <w:ind w:left="1703"/>
              <w:spacing w:before="48"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299"/>
              <w:spacing w:before="66" w:line="195" w:lineRule="auto"/>
              <w:rPr/>
            </w:pPr>
            <w:r>
              <w:rPr>
                <w:spacing w:val="1"/>
              </w:rPr>
              <w:t>570</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701"/>
              <w:spacing w:before="30" w:line="219" w:lineRule="auto"/>
              <w:rPr>
                <w:rFonts w:ascii="SimSun" w:hAnsi="SimSun" w:eastAsia="SimSun" w:cs="SimSun"/>
              </w:rPr>
            </w:pPr>
            <w:r>
              <w:rPr>
                <w:spacing w:val="5"/>
              </w:rPr>
              <w:t>*</w:t>
            </w:r>
            <w:r>
              <w:rPr>
                <w:rFonts w:ascii="SimSun" w:hAnsi="SimSun" w:eastAsia="SimSun" w:cs="SimSun"/>
                <w:spacing w:val="5"/>
              </w:rPr>
              <w:t>邻二甲苯</w:t>
            </w:r>
          </w:p>
        </w:tc>
        <w:tc>
          <w:tcPr>
            <w:tcW w:w="4231" w:type="dxa"/>
            <w:vAlign w:val="top"/>
          </w:tcPr>
          <w:p>
            <w:pPr>
              <w:pStyle w:val="TableText"/>
              <w:ind w:left="1703"/>
              <w:spacing w:before="46"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8"/>
              <w:spacing w:before="66" w:line="195" w:lineRule="auto"/>
              <w:rPr/>
            </w:pPr>
            <w:r>
              <w:rPr>
                <w:spacing w:val="2"/>
              </w:rPr>
              <w:t>640</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804"/>
              <w:spacing w:before="28" w:line="219" w:lineRule="auto"/>
              <w:rPr>
                <w:rFonts w:ascii="SimSun" w:hAnsi="SimSun" w:eastAsia="SimSun" w:cs="SimSun"/>
              </w:rPr>
            </w:pPr>
            <w:r>
              <w:rPr>
                <w:spacing w:val="5"/>
              </w:rPr>
              <w:t>*</w:t>
            </w:r>
            <w:r>
              <w:rPr>
                <w:rFonts w:ascii="SimSun" w:hAnsi="SimSun" w:eastAsia="SimSun" w:cs="SimSun"/>
                <w:spacing w:val="5"/>
              </w:rPr>
              <w:t>硝基苯</w:t>
            </w:r>
          </w:p>
        </w:tc>
        <w:tc>
          <w:tcPr>
            <w:tcW w:w="4231" w:type="dxa"/>
            <w:vAlign w:val="top"/>
          </w:tcPr>
          <w:p>
            <w:pPr>
              <w:pStyle w:val="TableText"/>
              <w:ind w:left="1874"/>
              <w:spacing w:before="64" w:line="195" w:lineRule="auto"/>
              <w:rPr/>
            </w:pPr>
            <w:r>
              <w:rPr>
                <w:spacing w:val="3"/>
              </w:rPr>
              <w:t>&lt;0.09</w:t>
            </w:r>
          </w:p>
        </w:tc>
        <w:tc>
          <w:tcPr>
            <w:tcW w:w="895" w:type="dxa"/>
            <w:vAlign w:val="top"/>
          </w:tcPr>
          <w:p>
            <w:pPr>
              <w:pStyle w:val="TableText"/>
              <w:ind w:left="349"/>
              <w:spacing w:before="64" w:line="195" w:lineRule="auto"/>
              <w:rPr/>
            </w:pPr>
            <w:r>
              <w:rPr>
                <w:spacing w:val="1"/>
              </w:rPr>
              <w:t>76</w:t>
            </w:r>
          </w:p>
        </w:tc>
        <w:tc>
          <w:tcPr>
            <w:tcW w:w="919" w:type="dxa"/>
            <w:vAlign w:val="top"/>
          </w:tcPr>
          <w:p>
            <w:pPr>
              <w:pStyle w:val="TableText"/>
              <w:ind w:left="190"/>
              <w:spacing w:before="60"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912"/>
              <w:spacing w:before="30" w:line="219" w:lineRule="auto"/>
              <w:rPr>
                <w:rFonts w:ascii="SimSun" w:hAnsi="SimSun" w:eastAsia="SimSun" w:cs="SimSun"/>
              </w:rPr>
            </w:pPr>
            <w:r>
              <w:rPr>
                <w:spacing w:val="2"/>
              </w:rPr>
              <w:t>*</w:t>
            </w:r>
            <w:r>
              <w:rPr>
                <w:rFonts w:ascii="SimSun" w:hAnsi="SimSun" w:eastAsia="SimSun" w:cs="SimSun"/>
                <w:spacing w:val="2"/>
              </w:rPr>
              <w:t>苯胺</w:t>
            </w:r>
          </w:p>
        </w:tc>
        <w:tc>
          <w:tcPr>
            <w:tcW w:w="4231" w:type="dxa"/>
            <w:vAlign w:val="top"/>
          </w:tcPr>
          <w:p>
            <w:pPr>
              <w:pStyle w:val="TableText"/>
              <w:ind w:left="1874"/>
              <w:spacing w:before="66" w:line="195" w:lineRule="auto"/>
              <w:rPr/>
            </w:pPr>
            <w:r>
              <w:rPr>
                <w:spacing w:val="3"/>
              </w:rPr>
              <w:t>&lt;0.08</w:t>
            </w:r>
          </w:p>
        </w:tc>
        <w:tc>
          <w:tcPr>
            <w:tcW w:w="895" w:type="dxa"/>
            <w:vAlign w:val="top"/>
          </w:tcPr>
          <w:p>
            <w:pPr>
              <w:pStyle w:val="TableText"/>
              <w:ind w:left="293"/>
              <w:spacing w:before="66" w:line="195" w:lineRule="auto"/>
              <w:rPr/>
            </w:pPr>
            <w:r>
              <w:rPr>
                <w:spacing w:val="3"/>
              </w:rPr>
              <w:t>260</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823"/>
              <w:spacing w:before="30" w:line="217" w:lineRule="auto"/>
              <w:rPr>
                <w:rFonts w:ascii="SimSun" w:hAnsi="SimSun" w:eastAsia="SimSun" w:cs="SimSun"/>
              </w:rPr>
            </w:pPr>
            <w:r>
              <w:rPr>
                <w:spacing w:val="2"/>
              </w:rPr>
              <w:t>*2-</w:t>
            </w:r>
            <w:r>
              <w:rPr>
                <w:rFonts w:ascii="SimSun" w:hAnsi="SimSun" w:eastAsia="SimSun" w:cs="SimSun"/>
                <w:spacing w:val="2"/>
              </w:rPr>
              <w:t>氯酚</w:t>
            </w:r>
          </w:p>
        </w:tc>
        <w:tc>
          <w:tcPr>
            <w:tcW w:w="4231" w:type="dxa"/>
            <w:vAlign w:val="top"/>
          </w:tcPr>
          <w:p>
            <w:pPr>
              <w:pStyle w:val="TableText"/>
              <w:ind w:left="1874"/>
              <w:spacing w:before="66" w:line="195" w:lineRule="auto"/>
              <w:rPr/>
            </w:pPr>
            <w:r>
              <w:rPr>
                <w:spacing w:val="3"/>
              </w:rPr>
              <w:t>&lt;0.06</w:t>
            </w:r>
          </w:p>
        </w:tc>
        <w:tc>
          <w:tcPr>
            <w:tcW w:w="895" w:type="dxa"/>
            <w:vAlign w:val="top"/>
          </w:tcPr>
          <w:p>
            <w:pPr>
              <w:pStyle w:val="TableText"/>
              <w:ind w:left="240"/>
              <w:spacing w:before="66" w:line="195" w:lineRule="auto"/>
              <w:rPr/>
            </w:pPr>
            <w:r>
              <w:rPr>
                <w:spacing w:val="4"/>
              </w:rPr>
              <w:t>2256</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689"/>
              <w:spacing w:before="30" w:line="219"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蒽</w:t>
            </w:r>
          </w:p>
        </w:tc>
        <w:tc>
          <w:tcPr>
            <w:tcW w:w="4231" w:type="dxa"/>
            <w:vAlign w:val="top"/>
          </w:tcPr>
          <w:p>
            <w:pPr>
              <w:pStyle w:val="TableText"/>
              <w:ind w:left="1927"/>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6" w:line="195" w:lineRule="auto"/>
              <w:rPr/>
            </w:pPr>
            <w:r>
              <w:rPr>
                <w:spacing w:val="-8"/>
              </w:rPr>
              <w:t>15</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6" w:hRule="atLeast"/>
        </w:trPr>
        <w:tc>
          <w:tcPr>
            <w:tcW w:w="2322" w:type="dxa"/>
            <w:vAlign w:val="top"/>
          </w:tcPr>
          <w:p>
            <w:pPr>
              <w:pStyle w:val="TableText"/>
              <w:ind w:left="689"/>
              <w:spacing w:before="30" w:line="217"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芘</w:t>
            </w:r>
          </w:p>
        </w:tc>
        <w:tc>
          <w:tcPr>
            <w:tcW w:w="4231" w:type="dxa"/>
            <w:vAlign w:val="top"/>
          </w:tcPr>
          <w:p>
            <w:pPr>
              <w:pStyle w:val="TableText"/>
              <w:ind w:left="1927"/>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337"/>
              <w:spacing w:before="66" w:line="195" w:lineRule="auto"/>
              <w:rPr/>
            </w:pPr>
            <w:r>
              <w:rPr>
                <w:spacing w:val="-4"/>
              </w:rPr>
              <w:t>1.5</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576"/>
              <w:spacing w:before="32" w:line="217" w:lineRule="auto"/>
              <w:rPr>
                <w:rFonts w:ascii="SimSun" w:hAnsi="SimSun" w:eastAsia="SimSun" w:cs="SimSun"/>
              </w:rPr>
            </w:pPr>
            <w:r>
              <w:rPr>
                <w:spacing w:val="4"/>
              </w:rPr>
              <w:t>*</w:t>
            </w:r>
            <w:r>
              <w:rPr>
                <w:rFonts w:ascii="SimSun" w:hAnsi="SimSun" w:eastAsia="SimSun" w:cs="SimSun"/>
                <w:spacing w:val="4"/>
              </w:rPr>
              <w:t>苯并</w:t>
            </w:r>
            <w:r>
              <w:rPr>
                <w:spacing w:val="4"/>
              </w:rPr>
              <w:t>[b]</w:t>
            </w:r>
            <w:r>
              <w:rPr>
                <w:rFonts w:ascii="SimSun" w:hAnsi="SimSun" w:eastAsia="SimSun" w:cs="SimSun"/>
                <w:spacing w:val="4"/>
              </w:rPr>
              <w:t>荧蒽</w:t>
            </w:r>
          </w:p>
        </w:tc>
        <w:tc>
          <w:tcPr>
            <w:tcW w:w="4231" w:type="dxa"/>
            <w:vAlign w:val="top"/>
          </w:tcPr>
          <w:p>
            <w:pPr>
              <w:pStyle w:val="TableText"/>
              <w:ind w:left="1927"/>
              <w:spacing w:before="68" w:line="195" w:lineRule="auto"/>
              <w:rPr/>
            </w:pPr>
            <w:r>
              <w:rPr>
                <w:spacing w:val="3"/>
              </w:rPr>
              <w:t>&lt;0.2</w:t>
            </w:r>
          </w:p>
        </w:tc>
        <w:tc>
          <w:tcPr>
            <w:tcW w:w="895" w:type="dxa"/>
            <w:vAlign w:val="top"/>
          </w:tcPr>
          <w:p>
            <w:pPr>
              <w:pStyle w:val="TableText"/>
              <w:ind w:left="366"/>
              <w:spacing w:before="68" w:line="195" w:lineRule="auto"/>
              <w:rPr/>
            </w:pPr>
            <w:r>
              <w:rPr>
                <w:spacing w:val="-8"/>
              </w:rPr>
              <w:t>15</w:t>
            </w:r>
          </w:p>
        </w:tc>
        <w:tc>
          <w:tcPr>
            <w:tcW w:w="919" w:type="dxa"/>
            <w:vAlign w:val="top"/>
          </w:tcPr>
          <w:p>
            <w:pPr>
              <w:pStyle w:val="TableText"/>
              <w:ind w:left="190"/>
              <w:spacing w:before="64"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576"/>
              <w:spacing w:before="30" w:line="219" w:lineRule="auto"/>
              <w:rPr>
                <w:rFonts w:ascii="SimSun" w:hAnsi="SimSun" w:eastAsia="SimSun" w:cs="SimSun"/>
              </w:rPr>
            </w:pPr>
            <w:r>
              <w:rPr>
                <w:spacing w:val="4"/>
              </w:rPr>
              <w:t>*</w:t>
            </w:r>
            <w:r>
              <w:rPr>
                <w:rFonts w:ascii="SimSun" w:hAnsi="SimSun" w:eastAsia="SimSun" w:cs="SimSun"/>
                <w:spacing w:val="4"/>
              </w:rPr>
              <w:t>苯并</w:t>
            </w:r>
            <w:r>
              <w:rPr>
                <w:spacing w:val="4"/>
              </w:rPr>
              <w:t>[k]</w:t>
            </w:r>
            <w:r>
              <w:rPr>
                <w:rFonts w:ascii="SimSun" w:hAnsi="SimSun" w:eastAsia="SimSun" w:cs="SimSun"/>
                <w:spacing w:val="4"/>
              </w:rPr>
              <w:t>荧蒽</w:t>
            </w:r>
          </w:p>
        </w:tc>
        <w:tc>
          <w:tcPr>
            <w:tcW w:w="4231" w:type="dxa"/>
            <w:vAlign w:val="top"/>
          </w:tcPr>
          <w:p>
            <w:pPr>
              <w:pStyle w:val="TableText"/>
              <w:ind w:left="1927"/>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313"/>
              <w:spacing w:before="66" w:line="195" w:lineRule="auto"/>
              <w:rPr/>
            </w:pPr>
            <w:r>
              <w:rPr>
                <w:spacing w:val="-3"/>
              </w:rPr>
              <w:t>151</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1015"/>
              <w:spacing w:before="30" w:line="219" w:lineRule="auto"/>
              <w:rPr>
                <w:rFonts w:ascii="SimSun" w:hAnsi="SimSun" w:eastAsia="SimSun" w:cs="SimSun"/>
              </w:rPr>
            </w:pPr>
            <w:r>
              <w:rPr>
                <w:spacing w:val="-1"/>
              </w:rPr>
              <w:t>*</w:t>
            </w:r>
            <w:r>
              <w:rPr>
                <w:rFonts w:ascii="SimSun" w:hAnsi="SimSun" w:eastAsia="SimSun" w:cs="SimSun"/>
                <w:spacing w:val="-1"/>
              </w:rPr>
              <w:t>䓛</w:t>
            </w:r>
          </w:p>
        </w:tc>
        <w:tc>
          <w:tcPr>
            <w:tcW w:w="4231" w:type="dxa"/>
            <w:vAlign w:val="top"/>
          </w:tcPr>
          <w:p>
            <w:pPr>
              <w:pStyle w:val="TableText"/>
              <w:ind w:left="1927"/>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260"/>
              <w:spacing w:before="66" w:line="195" w:lineRule="auto"/>
              <w:rPr/>
            </w:pPr>
            <w:r>
              <w:rPr>
                <w:spacing w:val="-1"/>
              </w:rPr>
              <w:t>1293</w:t>
            </w:r>
          </w:p>
        </w:tc>
        <w:tc>
          <w:tcPr>
            <w:tcW w:w="919" w:type="dxa"/>
            <w:vAlign w:val="top"/>
          </w:tcPr>
          <w:p>
            <w:pPr>
              <w:pStyle w:val="TableText"/>
              <w:ind w:left="190"/>
              <w:spacing w:before="62"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504"/>
              <w:spacing w:before="31" w:line="216" w:lineRule="auto"/>
              <w:rPr>
                <w:rFonts w:ascii="SimSun" w:hAnsi="SimSun" w:eastAsia="SimSun" w:cs="SimSun"/>
              </w:rPr>
            </w:pPr>
            <w:r>
              <w:rPr>
                <w:spacing w:val="4"/>
              </w:rPr>
              <w:t>*</w:t>
            </w:r>
            <w:r>
              <w:rPr>
                <w:rFonts w:ascii="SimSun" w:hAnsi="SimSun" w:eastAsia="SimSun" w:cs="SimSun"/>
                <w:spacing w:val="4"/>
              </w:rPr>
              <w:t>二苯并</w:t>
            </w:r>
            <w:r>
              <w:rPr>
                <w:spacing w:val="4"/>
              </w:rPr>
              <w:t>[a,h]</w:t>
            </w:r>
            <w:r>
              <w:rPr>
                <w:rFonts w:ascii="SimSun" w:hAnsi="SimSun" w:eastAsia="SimSun" w:cs="SimSun"/>
                <w:spacing w:val="4"/>
              </w:rPr>
              <w:t>蒽</w:t>
            </w:r>
          </w:p>
        </w:tc>
        <w:tc>
          <w:tcPr>
            <w:tcW w:w="4231" w:type="dxa"/>
            <w:vAlign w:val="top"/>
          </w:tcPr>
          <w:p>
            <w:pPr>
              <w:pStyle w:val="TableText"/>
              <w:ind w:left="1927"/>
              <w:spacing w:before="66" w:line="195" w:lineRule="auto"/>
              <w:rPr/>
            </w:pPr>
            <w:r>
              <w:rPr>
                <w:spacing w:val="2"/>
              </w:rPr>
              <w:t>&lt;0.</w:t>
            </w:r>
            <w:r>
              <w:rPr>
                <w:spacing w:val="-25"/>
              </w:rPr>
              <w:t xml:space="preserve"> </w:t>
            </w:r>
            <w:r>
              <w:rPr>
                <w:spacing w:val="2"/>
              </w:rPr>
              <w:t>1</w:t>
            </w:r>
          </w:p>
        </w:tc>
        <w:tc>
          <w:tcPr>
            <w:tcW w:w="895" w:type="dxa"/>
            <w:vAlign w:val="top"/>
          </w:tcPr>
          <w:p>
            <w:pPr>
              <w:pStyle w:val="TableText"/>
              <w:ind w:left="337"/>
              <w:spacing w:before="66" w:line="195" w:lineRule="auto"/>
              <w:rPr/>
            </w:pPr>
            <w:r>
              <w:rPr>
                <w:spacing w:val="-4"/>
              </w:rPr>
              <w:t>1.5</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391"/>
              <w:spacing w:before="31" w:line="218" w:lineRule="auto"/>
              <w:rPr>
                <w:rFonts w:ascii="SimSun" w:hAnsi="SimSun" w:eastAsia="SimSun" w:cs="SimSun"/>
              </w:rPr>
            </w:pPr>
            <w:r>
              <w:rPr>
                <w:spacing w:val="4"/>
              </w:rPr>
              <w:t>*</w:t>
            </w:r>
            <w:r>
              <w:rPr>
                <w:rFonts w:ascii="SimSun" w:hAnsi="SimSun" w:eastAsia="SimSun" w:cs="SimSun"/>
                <w:spacing w:val="4"/>
              </w:rPr>
              <w:t>茚并</w:t>
            </w:r>
            <w:r>
              <w:rPr>
                <w:spacing w:val="4"/>
              </w:rPr>
              <w:t>[1,2,3-</w:t>
            </w:r>
            <w:r>
              <w:rPr/>
              <w:t>cd</w:t>
            </w:r>
            <w:r>
              <w:rPr>
                <w:spacing w:val="4"/>
              </w:rPr>
              <w:t>]</w:t>
            </w:r>
            <w:r>
              <w:rPr>
                <w:rFonts w:ascii="SimSun" w:hAnsi="SimSun" w:eastAsia="SimSun" w:cs="SimSun"/>
                <w:spacing w:val="4"/>
              </w:rPr>
              <w:t>芘</w:t>
            </w:r>
          </w:p>
        </w:tc>
        <w:tc>
          <w:tcPr>
            <w:tcW w:w="4231" w:type="dxa"/>
            <w:vAlign w:val="top"/>
          </w:tcPr>
          <w:p>
            <w:pPr>
              <w:pStyle w:val="TableText"/>
              <w:ind w:left="1927"/>
              <w:spacing w:before="67"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7" w:line="195" w:lineRule="auto"/>
              <w:rPr/>
            </w:pPr>
            <w:r>
              <w:rPr>
                <w:spacing w:val="-8"/>
              </w:rPr>
              <w:t>15</w:t>
            </w:r>
          </w:p>
        </w:tc>
        <w:tc>
          <w:tcPr>
            <w:tcW w:w="919" w:type="dxa"/>
            <w:vAlign w:val="top"/>
          </w:tcPr>
          <w:p>
            <w:pPr>
              <w:pStyle w:val="TableText"/>
              <w:ind w:left="190"/>
              <w:spacing w:before="63"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8" w:hRule="atLeast"/>
        </w:trPr>
        <w:tc>
          <w:tcPr>
            <w:tcW w:w="2322" w:type="dxa"/>
            <w:vAlign w:val="top"/>
          </w:tcPr>
          <w:p>
            <w:pPr>
              <w:pStyle w:val="TableText"/>
              <w:ind w:left="1015"/>
              <w:spacing w:before="31" w:line="218" w:lineRule="auto"/>
              <w:rPr>
                <w:rFonts w:ascii="SimSun" w:hAnsi="SimSun" w:eastAsia="SimSun" w:cs="SimSun"/>
              </w:rPr>
            </w:pPr>
            <w:r>
              <w:rPr>
                <w:spacing w:val="-1"/>
              </w:rPr>
              <w:t>*</w:t>
            </w:r>
            <w:r>
              <w:rPr>
                <w:rFonts w:ascii="SimSun" w:hAnsi="SimSun" w:eastAsia="SimSun" w:cs="SimSun"/>
                <w:spacing w:val="-1"/>
              </w:rPr>
              <w:t>萘</w:t>
            </w:r>
          </w:p>
        </w:tc>
        <w:tc>
          <w:tcPr>
            <w:tcW w:w="4231" w:type="dxa"/>
            <w:vAlign w:val="top"/>
          </w:tcPr>
          <w:p>
            <w:pPr>
              <w:pStyle w:val="TableText"/>
              <w:ind w:left="1874"/>
              <w:spacing w:before="67" w:line="195" w:lineRule="auto"/>
              <w:rPr/>
            </w:pPr>
            <w:r>
              <w:rPr>
                <w:spacing w:val="3"/>
              </w:rPr>
              <w:t>&lt;0.09</w:t>
            </w:r>
          </w:p>
        </w:tc>
        <w:tc>
          <w:tcPr>
            <w:tcW w:w="895" w:type="dxa"/>
            <w:vAlign w:val="top"/>
          </w:tcPr>
          <w:p>
            <w:pPr>
              <w:pStyle w:val="TableText"/>
              <w:ind w:left="349"/>
              <w:spacing w:before="67" w:line="195" w:lineRule="auto"/>
              <w:rPr/>
            </w:pPr>
            <w:r>
              <w:rPr>
                <w:spacing w:val="1"/>
              </w:rPr>
              <w:t>70</w:t>
            </w:r>
          </w:p>
        </w:tc>
        <w:tc>
          <w:tcPr>
            <w:tcW w:w="919" w:type="dxa"/>
            <w:vAlign w:val="top"/>
          </w:tcPr>
          <w:p>
            <w:pPr>
              <w:pStyle w:val="TableText"/>
              <w:ind w:left="190"/>
              <w:spacing w:before="64" w:line="201" w:lineRule="auto"/>
              <w:rPr/>
            </w:pPr>
            <w:r>
              <w:rPr>
                <w:spacing w:val="3"/>
              </w:rPr>
              <w:t>mg/kg</w:t>
            </w:r>
          </w:p>
        </w:tc>
        <w:tc>
          <w:tcPr>
            <w:tcW w:w="923" w:type="dxa"/>
            <w:vAlign w:val="top"/>
            <w:vMerge w:val="continue"/>
            <w:tcBorders>
              <w:top w:val="nil"/>
              <w:bottom w:val="nil"/>
            </w:tcBorders>
          </w:tcPr>
          <w:p>
            <w:pPr>
              <w:rPr>
                <w:rFonts w:ascii="Arial"/>
                <w:sz w:val="21"/>
              </w:rPr>
            </w:pPr>
            <w:r/>
          </w:p>
        </w:tc>
      </w:tr>
      <w:tr>
        <w:trPr>
          <w:trHeight w:val="275" w:hRule="atLeast"/>
        </w:trPr>
        <w:tc>
          <w:tcPr>
            <w:tcW w:w="2322" w:type="dxa"/>
            <w:vAlign w:val="top"/>
          </w:tcPr>
          <w:p>
            <w:pPr>
              <w:pStyle w:val="TableText"/>
              <w:ind w:left="804"/>
              <w:spacing w:before="29" w:line="217" w:lineRule="auto"/>
              <w:rPr>
                <w:rFonts w:ascii="SimSun" w:hAnsi="SimSun" w:eastAsia="SimSun" w:cs="SimSun"/>
              </w:rPr>
            </w:pPr>
            <w:r>
              <w:rPr>
                <w:spacing w:val="5"/>
              </w:rPr>
              <w:t>*</w:t>
            </w:r>
            <w:r>
              <w:rPr>
                <w:rFonts w:ascii="SimSun" w:hAnsi="SimSun" w:eastAsia="SimSun" w:cs="SimSun"/>
                <w:spacing w:val="5"/>
              </w:rPr>
              <w:t>石油烃</w:t>
            </w:r>
          </w:p>
        </w:tc>
        <w:tc>
          <w:tcPr>
            <w:tcW w:w="4231" w:type="dxa"/>
            <w:vAlign w:val="top"/>
          </w:tcPr>
          <w:p>
            <w:pPr>
              <w:pStyle w:val="TableText"/>
              <w:ind w:left="2036"/>
              <w:spacing w:before="65" w:line="195" w:lineRule="auto"/>
              <w:rPr/>
            </w:pPr>
            <w:r>
              <w:rPr>
                <w:spacing w:val="-10"/>
              </w:rPr>
              <w:t>11</w:t>
            </w:r>
          </w:p>
        </w:tc>
        <w:tc>
          <w:tcPr>
            <w:tcW w:w="895" w:type="dxa"/>
            <w:vAlign w:val="top"/>
          </w:tcPr>
          <w:p>
            <w:pPr>
              <w:pStyle w:val="TableText"/>
              <w:ind w:left="239"/>
              <w:spacing w:before="65" w:line="195" w:lineRule="auto"/>
              <w:rPr/>
            </w:pPr>
            <w:r>
              <w:rPr>
                <w:spacing w:val="4"/>
              </w:rPr>
              <w:t>4500</w:t>
            </w:r>
          </w:p>
        </w:tc>
        <w:tc>
          <w:tcPr>
            <w:tcW w:w="919" w:type="dxa"/>
            <w:vAlign w:val="top"/>
          </w:tcPr>
          <w:p>
            <w:pPr>
              <w:pStyle w:val="TableText"/>
              <w:ind w:left="190"/>
              <w:spacing w:before="61" w:line="201" w:lineRule="auto"/>
              <w:rPr/>
            </w:pPr>
            <w:r>
              <w:rPr>
                <w:spacing w:val="3"/>
              </w:rPr>
              <w:t>mg/kg</w:t>
            </w:r>
          </w:p>
        </w:tc>
        <w:tc>
          <w:tcPr>
            <w:tcW w:w="923" w:type="dxa"/>
            <w:vAlign w:val="top"/>
            <w:vMerge w:val="continue"/>
            <w:tcBorders>
              <w:top w:val="nil"/>
            </w:tcBorders>
          </w:tcPr>
          <w:p>
            <w:pPr>
              <w:rPr>
                <w:rFonts w:ascii="Arial"/>
                <w:sz w:val="21"/>
              </w:rPr>
            </w:pPr>
            <w:r/>
          </w:p>
        </w:tc>
      </w:tr>
      <w:tr>
        <w:trPr>
          <w:trHeight w:val="278" w:hRule="atLeast"/>
        </w:trPr>
        <w:tc>
          <w:tcPr>
            <w:tcW w:w="2322" w:type="dxa"/>
            <w:vAlign w:val="top"/>
          </w:tcPr>
          <w:p>
            <w:pPr>
              <w:pStyle w:val="TableText"/>
              <w:ind w:left="861"/>
              <w:spacing w:before="32" w:line="217" w:lineRule="auto"/>
              <w:rPr>
                <w:rFonts w:ascii="SimSun" w:hAnsi="SimSun" w:eastAsia="SimSun" w:cs="SimSun"/>
              </w:rPr>
            </w:pPr>
            <w:r>
              <w:rPr/>
              <w:t>*pH</w:t>
            </w:r>
            <w:r>
              <w:rPr>
                <w:spacing w:val="9"/>
              </w:rPr>
              <w:t xml:space="preserve"> </w:t>
            </w:r>
            <w:r>
              <w:rPr>
                <w:rFonts w:ascii="SimSun" w:hAnsi="SimSun" w:eastAsia="SimSun" w:cs="SimSun"/>
              </w:rPr>
              <w:t>值</w:t>
            </w:r>
          </w:p>
        </w:tc>
        <w:tc>
          <w:tcPr>
            <w:tcW w:w="4231" w:type="dxa"/>
            <w:vAlign w:val="top"/>
          </w:tcPr>
          <w:p>
            <w:pPr>
              <w:pStyle w:val="TableText"/>
              <w:ind w:left="1940"/>
              <w:spacing w:before="68" w:line="195" w:lineRule="auto"/>
              <w:rPr/>
            </w:pPr>
            <w:r>
              <w:rPr>
                <w:spacing w:val="1"/>
              </w:rPr>
              <w:t>8.31</w:t>
            </w:r>
          </w:p>
        </w:tc>
        <w:tc>
          <w:tcPr>
            <w:tcW w:w="895" w:type="dxa"/>
            <w:vAlign w:val="top"/>
          </w:tcPr>
          <w:p>
            <w:pPr>
              <w:ind w:left="368"/>
              <w:spacing w:before="32" w:line="217" w:lineRule="auto"/>
              <w:rPr>
                <w:rFonts w:ascii="SimSun" w:hAnsi="SimSun" w:eastAsia="SimSun" w:cs="SimSun"/>
                <w:sz w:val="20"/>
                <w:szCs w:val="20"/>
              </w:rPr>
            </w:pPr>
            <w:r>
              <w:rPr>
                <w:rFonts w:ascii="SimSun" w:hAnsi="SimSun" w:eastAsia="SimSun" w:cs="SimSun"/>
                <w:sz w:val="20"/>
                <w:szCs w:val="20"/>
                <w:spacing w:val="24"/>
                <w:w w:val="131"/>
              </w:rPr>
              <w:t>-</w:t>
            </w:r>
          </w:p>
        </w:tc>
        <w:tc>
          <w:tcPr>
            <w:tcW w:w="919" w:type="dxa"/>
            <w:vAlign w:val="top"/>
          </w:tcPr>
          <w:p>
            <w:pPr>
              <w:ind w:left="152"/>
              <w:spacing w:before="32" w:line="217" w:lineRule="auto"/>
              <w:rPr>
                <w:rFonts w:ascii="SimSun" w:hAnsi="SimSun" w:eastAsia="SimSun" w:cs="SimSun"/>
                <w:sz w:val="20"/>
                <w:szCs w:val="20"/>
              </w:rPr>
            </w:pPr>
            <w:r>
              <w:rPr>
                <w:rFonts w:ascii="SimSun" w:hAnsi="SimSun" w:eastAsia="SimSun" w:cs="SimSun"/>
                <w:sz w:val="20"/>
                <w:szCs w:val="20"/>
                <w:spacing w:val="6"/>
              </w:rPr>
              <w:t>无量纲</w:t>
            </w:r>
          </w:p>
        </w:tc>
        <w:tc>
          <w:tcPr>
            <w:tcW w:w="923" w:type="dxa"/>
            <w:vAlign w:val="top"/>
          </w:tcPr>
          <w:p>
            <w:pPr>
              <w:rPr>
                <w:rFonts w:ascii="Arial"/>
                <w:sz w:val="21"/>
              </w:rPr>
            </w:pPr>
            <w:r/>
          </w:p>
        </w:tc>
      </w:tr>
      <w:tr>
        <w:trPr>
          <w:trHeight w:val="1643" w:hRule="atLeast"/>
        </w:trPr>
        <w:tc>
          <w:tcPr>
            <w:tcW w:w="9290" w:type="dxa"/>
            <w:vAlign w:val="top"/>
            <w:gridSpan w:val="5"/>
          </w:tcPr>
          <w:p>
            <w:pPr>
              <w:ind w:left="116"/>
              <w:spacing w:before="33"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12" w:firstLine="12"/>
              <w:spacing w:before="23"/>
              <w:rPr>
                <w:rFonts w:ascii="SimSun" w:hAnsi="SimSun" w:eastAsia="SimSun" w:cs="SimSun"/>
              </w:rPr>
            </w:pPr>
            <w:r>
              <w:rPr>
                <w:spacing w:val="10"/>
              </w:rPr>
              <w:t>1.</w:t>
            </w:r>
            <w:r>
              <w:rPr>
                <w:rFonts w:ascii="SimSun" w:hAnsi="SimSun" w:eastAsia="SimSun" w:cs="SimSun"/>
                <w:spacing w:val="10"/>
              </w:rPr>
              <w:t>检测结果参照执行《土壤环境质量 建设用地土壤污染风险管控标准》</w:t>
            </w:r>
            <w:r>
              <w:rPr/>
              <w:t>GB</w:t>
            </w:r>
            <w:r>
              <w:rPr>
                <w:spacing w:val="10"/>
              </w:rPr>
              <w:t>366</w:t>
            </w:r>
            <w:r>
              <w:rPr>
                <w:spacing w:val="9"/>
              </w:rPr>
              <w:t>00-2018</w:t>
            </w:r>
            <w:r>
              <w:rPr>
                <w:spacing w:val="29"/>
                <w:w w:val="101"/>
              </w:rPr>
              <w:t xml:space="preserve"> </w:t>
            </w:r>
            <w:r>
              <w:rPr>
                <w:rFonts w:ascii="SimSun" w:hAnsi="SimSun" w:eastAsia="SimSun" w:cs="SimSun"/>
                <w:spacing w:val="9"/>
              </w:rPr>
              <w:t>中筛选值第</w:t>
            </w:r>
            <w:r>
              <w:rPr>
                <w:rFonts w:ascii="SimSun" w:hAnsi="SimSun" w:eastAsia="SimSun" w:cs="SimSun"/>
                <w:spacing w:val="5"/>
              </w:rPr>
              <w:t>二类用地；</w:t>
            </w:r>
          </w:p>
          <w:p>
            <w:pPr>
              <w:pStyle w:val="TableText"/>
              <w:ind w:left="109"/>
              <w:spacing w:before="24" w:line="228" w:lineRule="auto"/>
              <w:rPr>
                <w:rFonts w:ascii="SimSun" w:hAnsi="SimSun" w:eastAsia="SimSun" w:cs="SimSun"/>
              </w:rPr>
            </w:pPr>
            <w:r>
              <w:rPr>
                <w:spacing w:val="7"/>
              </w:rPr>
              <w:t>2.“</w:t>
            </w:r>
            <w:r>
              <w:rPr>
                <w:rFonts w:ascii="SimSun" w:hAnsi="SimSun" w:eastAsia="SimSun" w:cs="SimSun"/>
                <w:spacing w:val="7"/>
              </w:rPr>
              <w:t>＜</w:t>
            </w:r>
            <w:r>
              <w:rPr>
                <w:spacing w:val="7"/>
              </w:rPr>
              <w:t>”</w:t>
            </w:r>
            <w:r>
              <w:rPr>
                <w:rFonts w:ascii="SimSun" w:hAnsi="SimSun" w:eastAsia="SimSun" w:cs="SimSun"/>
                <w:spacing w:val="7"/>
              </w:rPr>
              <w:t>表示低于方法检出限；</w:t>
            </w:r>
          </w:p>
          <w:p>
            <w:pPr>
              <w:pStyle w:val="TableText"/>
              <w:ind w:left="109" w:right="157" w:firstLine="4"/>
              <w:spacing w:before="26" w:line="235" w:lineRule="auto"/>
              <w:rPr>
                <w:rFonts w:ascii="SimSun" w:hAnsi="SimSun" w:eastAsia="SimSun" w:cs="SimSun"/>
              </w:rPr>
            </w:pPr>
            <w:r>
              <w:rPr>
                <w:spacing w:val="18"/>
              </w:rPr>
              <w:t>3.“*”</w:t>
            </w:r>
            <w:r>
              <w:rPr>
                <w:rFonts w:ascii="SimSun" w:hAnsi="SimSun" w:eastAsia="SimSun" w:cs="SimSun"/>
                <w:spacing w:val="18"/>
              </w:rPr>
              <w:t>项目为本公司未取得资质认定能力由北京华成星科检测有限公司分包检</w:t>
            </w:r>
            <w:r>
              <w:rPr>
                <w:rFonts w:ascii="SimSun" w:hAnsi="SimSun" w:eastAsia="SimSun" w:cs="SimSun"/>
                <w:spacing w:val="17"/>
              </w:rPr>
              <w:t>测，证书编号为：</w:t>
            </w:r>
            <w:r>
              <w:rPr>
                <w:rFonts w:ascii="SimSun" w:hAnsi="SimSun" w:eastAsia="SimSun" w:cs="SimSun"/>
              </w:rPr>
              <w:t xml:space="preserve"> </w:t>
            </w:r>
            <w:r>
              <w:rPr>
                <w:spacing w:val="3"/>
              </w:rPr>
              <w:t>210112051074</w:t>
            </w:r>
            <w:r>
              <w:rPr>
                <w:rFonts w:ascii="SimSun" w:hAnsi="SimSun" w:eastAsia="SimSun" w:cs="SimSun"/>
                <w:spacing w:val="3"/>
              </w:rPr>
              <w:t>。</w:t>
            </w:r>
          </w:p>
        </w:tc>
      </w:tr>
    </w:tbl>
    <w:p>
      <w:pPr>
        <w:ind w:left="2980"/>
        <w:spacing w:before="270"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17"/>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04"/>
        <w:gridCol w:w="1312"/>
        <w:gridCol w:w="1566"/>
        <w:gridCol w:w="1573"/>
        <w:gridCol w:w="895"/>
        <w:gridCol w:w="919"/>
        <w:gridCol w:w="921"/>
      </w:tblGrid>
      <w:tr>
        <w:trPr>
          <w:trHeight w:val="280" w:hRule="atLeast"/>
        </w:trPr>
        <w:tc>
          <w:tcPr>
            <w:tcW w:w="2104" w:type="dxa"/>
            <w:vAlign w:val="top"/>
            <w:vMerge w:val="restart"/>
            <w:tcBorders>
              <w:bottom w:val="nil"/>
            </w:tcBorders>
          </w:tcPr>
          <w:p>
            <w:pPr>
              <w:spacing w:line="367" w:lineRule="auto"/>
              <w:rPr>
                <w:rFonts w:ascii="Arial"/>
                <w:sz w:val="21"/>
              </w:rPr>
            </w:pPr>
            <w:r/>
          </w:p>
          <w:p>
            <w:pPr>
              <w:ind w:left="636"/>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451" w:type="dxa"/>
            <w:vAlign w:val="top"/>
            <w:gridSpan w:val="3"/>
          </w:tcPr>
          <w:p>
            <w:pPr>
              <w:ind w:left="1813"/>
              <w:spacing w:before="31" w:line="220"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367" w:lineRule="auto"/>
              <w:rPr>
                <w:rFonts w:ascii="Arial"/>
                <w:sz w:val="21"/>
              </w:rPr>
            </w:pPr>
            <w:r/>
          </w:p>
          <w:p>
            <w:pPr>
              <w:ind w:left="257"/>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67"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ind w:left="360" w:right="145" w:hanging="208"/>
              <w:spacing w:before="298" w:line="254"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47" w:hRule="atLeast"/>
        </w:trPr>
        <w:tc>
          <w:tcPr>
            <w:tcW w:w="2104" w:type="dxa"/>
            <w:vAlign w:val="top"/>
            <w:vMerge w:val="continue"/>
            <w:tcBorders>
              <w:top w:val="nil"/>
              <w:bottom w:val="nil"/>
            </w:tcBorders>
          </w:tcPr>
          <w:p>
            <w:pPr>
              <w:rPr>
                <w:rFonts w:ascii="Arial"/>
                <w:sz w:val="21"/>
              </w:rPr>
            </w:pPr>
            <w:r/>
          </w:p>
        </w:tc>
        <w:tc>
          <w:tcPr>
            <w:tcW w:w="4451" w:type="dxa"/>
            <w:vAlign w:val="top"/>
            <w:gridSpan w:val="3"/>
          </w:tcPr>
          <w:p>
            <w:pPr>
              <w:pStyle w:val="TableText"/>
              <w:ind w:left="2111"/>
              <w:spacing w:before="53" w:line="191" w:lineRule="auto"/>
              <w:rPr/>
            </w:pPr>
            <w:r>
              <w:rPr>
                <w:spacing w:val="1"/>
              </w:rPr>
              <w:t>T7</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9" w:hRule="atLeast"/>
        </w:trPr>
        <w:tc>
          <w:tcPr>
            <w:tcW w:w="2104" w:type="dxa"/>
            <w:vAlign w:val="top"/>
            <w:vMerge w:val="continue"/>
            <w:tcBorders>
              <w:top w:val="nil"/>
            </w:tcBorders>
          </w:tcPr>
          <w:p>
            <w:pPr>
              <w:rPr>
                <w:rFonts w:ascii="Arial"/>
                <w:sz w:val="21"/>
              </w:rPr>
            </w:pPr>
            <w:r/>
          </w:p>
        </w:tc>
        <w:tc>
          <w:tcPr>
            <w:tcW w:w="1312" w:type="dxa"/>
            <w:vAlign w:val="top"/>
          </w:tcPr>
          <w:p>
            <w:pPr>
              <w:pStyle w:val="TableText"/>
              <w:ind w:left="160" w:right="165" w:firstLine="183"/>
              <w:spacing w:before="29" w:line="235"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66" w:type="dxa"/>
            <w:vAlign w:val="top"/>
          </w:tcPr>
          <w:p>
            <w:pPr>
              <w:pStyle w:val="TableText"/>
              <w:ind w:left="209" w:right="212" w:firstLine="283"/>
              <w:spacing w:before="29" w:line="235"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73" w:type="dxa"/>
            <w:vAlign w:val="top"/>
          </w:tcPr>
          <w:p>
            <w:pPr>
              <w:pStyle w:val="TableText"/>
              <w:ind w:left="212" w:right="213" w:firstLine="263"/>
              <w:spacing w:before="29" w:line="235"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5" w:hRule="atLeast"/>
        </w:trPr>
        <w:tc>
          <w:tcPr>
            <w:tcW w:w="2104" w:type="dxa"/>
            <w:vAlign w:val="top"/>
          </w:tcPr>
          <w:p>
            <w:pPr>
              <w:pStyle w:val="TableText"/>
              <w:ind w:left="905"/>
              <w:spacing w:before="29" w:line="217" w:lineRule="auto"/>
              <w:rPr>
                <w:rFonts w:ascii="SimSun" w:hAnsi="SimSun" w:eastAsia="SimSun" w:cs="SimSun"/>
              </w:rPr>
            </w:pPr>
            <w:r>
              <w:rPr>
                <w:spacing w:val="-2"/>
              </w:rPr>
              <w:t>*</w:t>
            </w:r>
            <w:r>
              <w:rPr>
                <w:rFonts w:ascii="SimSun" w:hAnsi="SimSun" w:eastAsia="SimSun" w:cs="SimSun"/>
                <w:spacing w:val="-2"/>
              </w:rPr>
              <w:t>砷</w:t>
            </w:r>
          </w:p>
        </w:tc>
        <w:tc>
          <w:tcPr>
            <w:tcW w:w="1312" w:type="dxa"/>
            <w:vAlign w:val="top"/>
          </w:tcPr>
          <w:p>
            <w:pPr>
              <w:pStyle w:val="TableText"/>
              <w:ind w:left="474"/>
              <w:spacing w:before="65" w:line="195" w:lineRule="auto"/>
              <w:rPr/>
            </w:pPr>
            <w:r>
              <w:rPr>
                <w:spacing w:val="2"/>
              </w:rPr>
              <w:t>9.89</w:t>
            </w:r>
          </w:p>
        </w:tc>
        <w:tc>
          <w:tcPr>
            <w:tcW w:w="1566" w:type="dxa"/>
            <w:vAlign w:val="top"/>
          </w:tcPr>
          <w:p>
            <w:pPr>
              <w:pStyle w:val="TableText"/>
              <w:ind w:left="606"/>
              <w:spacing w:before="65" w:line="195" w:lineRule="auto"/>
              <w:rPr/>
            </w:pPr>
            <w:r>
              <w:rPr>
                <w:spacing w:val="1"/>
              </w:rPr>
              <w:t>8.46</w:t>
            </w:r>
          </w:p>
        </w:tc>
        <w:tc>
          <w:tcPr>
            <w:tcW w:w="1573" w:type="dxa"/>
            <w:vAlign w:val="top"/>
          </w:tcPr>
          <w:p>
            <w:pPr>
              <w:pStyle w:val="TableText"/>
              <w:ind w:left="607"/>
              <w:spacing w:before="65" w:line="195" w:lineRule="auto"/>
              <w:rPr/>
            </w:pPr>
            <w:r>
              <w:rPr>
                <w:spacing w:val="2"/>
              </w:rPr>
              <w:t>7.37</w:t>
            </w:r>
          </w:p>
        </w:tc>
        <w:tc>
          <w:tcPr>
            <w:tcW w:w="895" w:type="dxa"/>
            <w:vAlign w:val="top"/>
          </w:tcPr>
          <w:p>
            <w:pPr>
              <w:pStyle w:val="TableText"/>
              <w:ind w:left="351"/>
              <w:spacing w:before="65" w:line="195" w:lineRule="auto"/>
              <w:rPr/>
            </w:pPr>
            <w:r>
              <w:rPr/>
              <w:t>60</w:t>
            </w:r>
          </w:p>
        </w:tc>
        <w:tc>
          <w:tcPr>
            <w:tcW w:w="919" w:type="dxa"/>
            <w:vAlign w:val="top"/>
          </w:tcPr>
          <w:p>
            <w:pPr>
              <w:pStyle w:val="TableText"/>
              <w:ind w:left="190"/>
              <w:spacing w:before="62" w:line="201" w:lineRule="auto"/>
              <w:rPr/>
            </w:pPr>
            <w:r>
              <w:rPr>
                <w:spacing w:val="4"/>
              </w:rPr>
              <w:t>mg/kg</w:t>
            </w:r>
          </w:p>
        </w:tc>
        <w:tc>
          <w:tcPr>
            <w:tcW w:w="921"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spacing w:line="259" w:lineRule="auto"/>
              <w:rPr>
                <w:rFonts w:ascii="Arial"/>
                <w:sz w:val="21"/>
              </w:rPr>
            </w:pPr>
            <w:r/>
          </w:p>
          <w:p>
            <w:pPr>
              <w:ind w:left="251"/>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2104" w:type="dxa"/>
            <w:vAlign w:val="top"/>
          </w:tcPr>
          <w:p>
            <w:pPr>
              <w:pStyle w:val="TableText"/>
              <w:ind w:left="905"/>
              <w:spacing w:before="32" w:line="217" w:lineRule="auto"/>
              <w:rPr>
                <w:rFonts w:ascii="SimSun" w:hAnsi="SimSun" w:eastAsia="SimSun" w:cs="SimSun"/>
              </w:rPr>
            </w:pPr>
            <w:r>
              <w:rPr>
                <w:spacing w:val="-2"/>
              </w:rPr>
              <w:t>*</w:t>
            </w:r>
            <w:r>
              <w:rPr>
                <w:rFonts w:ascii="SimSun" w:hAnsi="SimSun" w:eastAsia="SimSun" w:cs="SimSun"/>
                <w:spacing w:val="-2"/>
              </w:rPr>
              <w:t>镉</w:t>
            </w:r>
          </w:p>
        </w:tc>
        <w:tc>
          <w:tcPr>
            <w:tcW w:w="1312" w:type="dxa"/>
            <w:vAlign w:val="top"/>
          </w:tcPr>
          <w:p>
            <w:pPr>
              <w:pStyle w:val="TableText"/>
              <w:ind w:left="473"/>
              <w:spacing w:before="69" w:line="195" w:lineRule="auto"/>
              <w:rPr/>
            </w:pPr>
            <w:r>
              <w:rPr>
                <w:spacing w:val="2"/>
              </w:rPr>
              <w:t>0.13</w:t>
            </w:r>
          </w:p>
        </w:tc>
        <w:tc>
          <w:tcPr>
            <w:tcW w:w="1566" w:type="dxa"/>
            <w:vAlign w:val="top"/>
          </w:tcPr>
          <w:p>
            <w:pPr>
              <w:pStyle w:val="TableText"/>
              <w:ind w:left="601"/>
              <w:spacing w:before="69" w:line="195" w:lineRule="auto"/>
              <w:rPr/>
            </w:pPr>
            <w:r>
              <w:rPr>
                <w:spacing w:val="2"/>
              </w:rPr>
              <w:t>0.18</w:t>
            </w:r>
          </w:p>
        </w:tc>
        <w:tc>
          <w:tcPr>
            <w:tcW w:w="1573" w:type="dxa"/>
            <w:vAlign w:val="top"/>
          </w:tcPr>
          <w:p>
            <w:pPr>
              <w:pStyle w:val="TableText"/>
              <w:ind w:left="607"/>
              <w:spacing w:before="69" w:line="195" w:lineRule="auto"/>
              <w:rPr/>
            </w:pPr>
            <w:r>
              <w:rPr>
                <w:spacing w:val="-4"/>
              </w:rPr>
              <w:t>0.</w:t>
            </w:r>
            <w:r>
              <w:rPr>
                <w:spacing w:val="-25"/>
              </w:rPr>
              <w:t xml:space="preserve"> </w:t>
            </w:r>
            <w:r>
              <w:rPr>
                <w:spacing w:val="-4"/>
              </w:rPr>
              <w:t>12</w:t>
            </w:r>
          </w:p>
        </w:tc>
        <w:tc>
          <w:tcPr>
            <w:tcW w:w="895" w:type="dxa"/>
            <w:vAlign w:val="top"/>
          </w:tcPr>
          <w:p>
            <w:pPr>
              <w:pStyle w:val="TableText"/>
              <w:ind w:left="351"/>
              <w:spacing w:before="69" w:line="195" w:lineRule="auto"/>
              <w:rPr/>
            </w:pPr>
            <w:r>
              <w:rPr/>
              <w:t>65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696"/>
              <w:spacing w:before="30" w:line="219" w:lineRule="auto"/>
              <w:rPr>
                <w:rFonts w:ascii="SimSun" w:hAnsi="SimSun" w:eastAsia="SimSun" w:cs="SimSun"/>
              </w:rPr>
            </w:pPr>
            <w:r>
              <w:rPr>
                <w:spacing w:val="4"/>
              </w:rPr>
              <w:t>*</w:t>
            </w:r>
            <w:r>
              <w:rPr>
                <w:rFonts w:ascii="SimSun" w:hAnsi="SimSun" w:eastAsia="SimSun" w:cs="SimSun"/>
                <w:spacing w:val="4"/>
              </w:rPr>
              <w:t>六价铬</w:t>
            </w:r>
          </w:p>
        </w:tc>
        <w:tc>
          <w:tcPr>
            <w:tcW w:w="1312" w:type="dxa"/>
            <w:vAlign w:val="top"/>
          </w:tcPr>
          <w:p>
            <w:pPr>
              <w:pStyle w:val="TableText"/>
              <w:ind w:left="465"/>
              <w:spacing w:before="66" w:line="195" w:lineRule="auto"/>
              <w:rPr/>
            </w:pPr>
            <w:r>
              <w:rPr>
                <w:spacing w:val="3"/>
              </w:rPr>
              <w:t>&lt;0.5</w:t>
            </w:r>
          </w:p>
        </w:tc>
        <w:tc>
          <w:tcPr>
            <w:tcW w:w="1566" w:type="dxa"/>
            <w:vAlign w:val="top"/>
          </w:tcPr>
          <w:p>
            <w:pPr>
              <w:pStyle w:val="TableText"/>
              <w:ind w:left="593"/>
              <w:spacing w:before="66" w:line="195" w:lineRule="auto"/>
              <w:rPr/>
            </w:pPr>
            <w:r>
              <w:rPr>
                <w:spacing w:val="3"/>
              </w:rPr>
              <w:t>&lt;0.5</w:t>
            </w:r>
          </w:p>
        </w:tc>
        <w:tc>
          <w:tcPr>
            <w:tcW w:w="1573" w:type="dxa"/>
            <w:vAlign w:val="top"/>
          </w:tcPr>
          <w:p>
            <w:pPr>
              <w:pStyle w:val="TableText"/>
              <w:ind w:left="599"/>
              <w:spacing w:before="66" w:line="195" w:lineRule="auto"/>
              <w:rPr/>
            </w:pPr>
            <w:r>
              <w:rPr>
                <w:spacing w:val="3"/>
              </w:rPr>
              <w:t>&lt;0.5</w:t>
            </w:r>
          </w:p>
        </w:tc>
        <w:tc>
          <w:tcPr>
            <w:tcW w:w="895" w:type="dxa"/>
            <w:vAlign w:val="top"/>
          </w:tcPr>
          <w:p>
            <w:pPr>
              <w:pStyle w:val="TableText"/>
              <w:ind w:left="323"/>
              <w:spacing w:before="69" w:line="192" w:lineRule="auto"/>
              <w:rPr/>
            </w:pPr>
            <w:r>
              <w:rPr/>
              <w:t>5.7</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905"/>
              <w:spacing w:before="30" w:line="219" w:lineRule="auto"/>
              <w:rPr>
                <w:rFonts w:ascii="SimSun" w:hAnsi="SimSun" w:eastAsia="SimSun" w:cs="SimSun"/>
              </w:rPr>
            </w:pPr>
            <w:r>
              <w:rPr>
                <w:spacing w:val="-2"/>
              </w:rPr>
              <w:t>*</w:t>
            </w:r>
            <w:r>
              <w:rPr>
                <w:rFonts w:ascii="SimSun" w:hAnsi="SimSun" w:eastAsia="SimSun" w:cs="SimSun"/>
                <w:spacing w:val="-2"/>
              </w:rPr>
              <w:t>铜</w:t>
            </w:r>
          </w:p>
        </w:tc>
        <w:tc>
          <w:tcPr>
            <w:tcW w:w="1312" w:type="dxa"/>
            <w:vAlign w:val="top"/>
          </w:tcPr>
          <w:p>
            <w:pPr>
              <w:pStyle w:val="TableText"/>
              <w:ind w:left="549"/>
              <w:spacing w:before="67" w:line="195" w:lineRule="auto"/>
              <w:rPr/>
            </w:pPr>
            <w:r>
              <w:rPr>
                <w:spacing w:val="2"/>
              </w:rPr>
              <w:t>24</w:t>
            </w:r>
          </w:p>
        </w:tc>
        <w:tc>
          <w:tcPr>
            <w:tcW w:w="1566" w:type="dxa"/>
            <w:vAlign w:val="top"/>
          </w:tcPr>
          <w:p>
            <w:pPr>
              <w:pStyle w:val="TableText"/>
              <w:ind w:left="697"/>
              <w:spacing w:before="67" w:line="195" w:lineRule="auto"/>
              <w:rPr/>
            </w:pPr>
            <w:r>
              <w:rPr>
                <w:spacing w:val="-8"/>
              </w:rPr>
              <w:t>13</w:t>
            </w:r>
          </w:p>
        </w:tc>
        <w:tc>
          <w:tcPr>
            <w:tcW w:w="1573" w:type="dxa"/>
            <w:vAlign w:val="top"/>
          </w:tcPr>
          <w:p>
            <w:pPr>
              <w:pStyle w:val="TableText"/>
              <w:ind w:left="683"/>
              <w:spacing w:before="67" w:line="195" w:lineRule="auto"/>
              <w:rPr/>
            </w:pPr>
            <w:r>
              <w:rPr>
                <w:spacing w:val="2"/>
              </w:rPr>
              <w:t>24</w:t>
            </w:r>
          </w:p>
        </w:tc>
        <w:tc>
          <w:tcPr>
            <w:tcW w:w="895" w:type="dxa"/>
            <w:vAlign w:val="top"/>
          </w:tcPr>
          <w:p>
            <w:pPr>
              <w:pStyle w:val="TableText"/>
              <w:ind w:left="208"/>
              <w:spacing w:before="67" w:line="195" w:lineRule="auto"/>
              <w:rPr/>
            </w:pPr>
            <w:r>
              <w:rPr/>
              <w:t>18000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905"/>
              <w:spacing w:before="32" w:line="216" w:lineRule="auto"/>
              <w:rPr>
                <w:rFonts w:ascii="SimSun" w:hAnsi="SimSun" w:eastAsia="SimSun" w:cs="SimSun"/>
              </w:rPr>
            </w:pPr>
            <w:r>
              <w:rPr>
                <w:spacing w:val="-2"/>
              </w:rPr>
              <w:t>*</w:t>
            </w:r>
            <w:r>
              <w:rPr>
                <w:rFonts w:ascii="SimSun" w:hAnsi="SimSun" w:eastAsia="SimSun" w:cs="SimSun"/>
                <w:spacing w:val="-2"/>
              </w:rPr>
              <w:t>铅</w:t>
            </w:r>
          </w:p>
        </w:tc>
        <w:tc>
          <w:tcPr>
            <w:tcW w:w="1312" w:type="dxa"/>
            <w:vAlign w:val="top"/>
          </w:tcPr>
          <w:p>
            <w:pPr>
              <w:pStyle w:val="TableText"/>
              <w:ind w:left="549"/>
              <w:spacing w:before="67" w:line="195" w:lineRule="auto"/>
              <w:rPr/>
            </w:pPr>
            <w:r>
              <w:rPr>
                <w:spacing w:val="2"/>
              </w:rPr>
              <w:t>23</w:t>
            </w:r>
          </w:p>
        </w:tc>
        <w:tc>
          <w:tcPr>
            <w:tcW w:w="1566" w:type="dxa"/>
            <w:vAlign w:val="top"/>
          </w:tcPr>
          <w:p>
            <w:pPr>
              <w:pStyle w:val="TableText"/>
              <w:ind w:left="681"/>
              <w:spacing w:before="67" w:line="195" w:lineRule="auto"/>
              <w:rPr/>
            </w:pPr>
            <w:r>
              <w:rPr/>
              <w:t>30</w:t>
            </w:r>
          </w:p>
        </w:tc>
        <w:tc>
          <w:tcPr>
            <w:tcW w:w="1573" w:type="dxa"/>
            <w:vAlign w:val="top"/>
          </w:tcPr>
          <w:p>
            <w:pPr>
              <w:pStyle w:val="TableText"/>
              <w:ind w:left="683"/>
              <w:spacing w:before="67" w:line="195" w:lineRule="auto"/>
              <w:rPr/>
            </w:pPr>
            <w:r>
              <w:rPr>
                <w:spacing w:val="2"/>
              </w:rPr>
              <w:t>25</w:t>
            </w:r>
          </w:p>
        </w:tc>
        <w:tc>
          <w:tcPr>
            <w:tcW w:w="895" w:type="dxa"/>
            <w:vAlign w:val="top"/>
          </w:tcPr>
          <w:p>
            <w:pPr>
              <w:pStyle w:val="TableText"/>
              <w:ind w:left="299"/>
              <w:spacing w:before="67" w:line="195" w:lineRule="auto"/>
              <w:rPr/>
            </w:pPr>
            <w:r>
              <w:rPr/>
              <w:t>800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905"/>
              <w:spacing w:before="30" w:line="219" w:lineRule="auto"/>
              <w:rPr>
                <w:rFonts w:ascii="SimSun" w:hAnsi="SimSun" w:eastAsia="SimSun" w:cs="SimSun"/>
              </w:rPr>
            </w:pPr>
            <w:r>
              <w:rPr>
                <w:spacing w:val="-2"/>
              </w:rPr>
              <w:t>*</w:t>
            </w:r>
            <w:r>
              <w:rPr>
                <w:rFonts w:ascii="SimSun" w:hAnsi="SimSun" w:eastAsia="SimSun" w:cs="SimSun"/>
                <w:spacing w:val="-2"/>
              </w:rPr>
              <w:t>镍</w:t>
            </w:r>
          </w:p>
        </w:tc>
        <w:tc>
          <w:tcPr>
            <w:tcW w:w="1312" w:type="dxa"/>
            <w:vAlign w:val="top"/>
          </w:tcPr>
          <w:p>
            <w:pPr>
              <w:pStyle w:val="TableText"/>
              <w:ind w:left="555"/>
              <w:spacing w:before="67" w:line="195" w:lineRule="auto"/>
              <w:rPr/>
            </w:pPr>
            <w:r>
              <w:rPr/>
              <w:t>54</w:t>
            </w:r>
          </w:p>
        </w:tc>
        <w:tc>
          <w:tcPr>
            <w:tcW w:w="1566" w:type="dxa"/>
            <w:vAlign w:val="top"/>
          </w:tcPr>
          <w:p>
            <w:pPr>
              <w:pStyle w:val="TableText"/>
              <w:ind w:left="676"/>
              <w:spacing w:before="67" w:line="195" w:lineRule="auto"/>
              <w:rPr/>
            </w:pPr>
            <w:r>
              <w:rPr>
                <w:spacing w:val="3"/>
              </w:rPr>
              <w:t>41</w:t>
            </w:r>
          </w:p>
        </w:tc>
        <w:tc>
          <w:tcPr>
            <w:tcW w:w="1573" w:type="dxa"/>
            <w:vAlign w:val="top"/>
          </w:tcPr>
          <w:p>
            <w:pPr>
              <w:pStyle w:val="TableText"/>
              <w:ind w:left="682"/>
              <w:spacing w:before="67" w:line="195" w:lineRule="auto"/>
              <w:rPr/>
            </w:pPr>
            <w:r>
              <w:rPr>
                <w:spacing w:val="3"/>
              </w:rPr>
              <w:t>47</w:t>
            </w:r>
          </w:p>
        </w:tc>
        <w:tc>
          <w:tcPr>
            <w:tcW w:w="895" w:type="dxa"/>
            <w:vAlign w:val="top"/>
          </w:tcPr>
          <w:p>
            <w:pPr>
              <w:pStyle w:val="TableText"/>
              <w:ind w:left="295"/>
              <w:spacing w:before="67" w:line="195" w:lineRule="auto"/>
              <w:rPr/>
            </w:pPr>
            <w:r>
              <w:rPr>
                <w:spacing w:val="2"/>
              </w:rPr>
              <w:t>900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905"/>
              <w:spacing w:before="31" w:line="218" w:lineRule="auto"/>
              <w:rPr>
                <w:rFonts w:ascii="SimSun" w:hAnsi="SimSun" w:eastAsia="SimSun" w:cs="SimSun"/>
              </w:rPr>
            </w:pPr>
            <w:r>
              <w:rPr>
                <w:spacing w:val="-2"/>
              </w:rPr>
              <w:t>*</w:t>
            </w:r>
            <w:r>
              <w:rPr>
                <w:rFonts w:ascii="SimSun" w:hAnsi="SimSun" w:eastAsia="SimSun" w:cs="SimSun"/>
                <w:spacing w:val="-2"/>
              </w:rPr>
              <w:t>汞</w:t>
            </w:r>
          </w:p>
        </w:tc>
        <w:tc>
          <w:tcPr>
            <w:tcW w:w="1312" w:type="dxa"/>
            <w:vAlign w:val="top"/>
          </w:tcPr>
          <w:p>
            <w:pPr>
              <w:pStyle w:val="TableText"/>
              <w:ind w:left="420"/>
              <w:spacing w:before="67" w:line="195" w:lineRule="auto"/>
              <w:rPr/>
            </w:pPr>
            <w:r>
              <w:rPr>
                <w:spacing w:val="3"/>
              </w:rPr>
              <w:t>0.052</w:t>
            </w:r>
          </w:p>
        </w:tc>
        <w:tc>
          <w:tcPr>
            <w:tcW w:w="1566" w:type="dxa"/>
            <w:vAlign w:val="top"/>
          </w:tcPr>
          <w:p>
            <w:pPr>
              <w:pStyle w:val="TableText"/>
              <w:ind w:left="548"/>
              <w:spacing w:before="67" w:line="195" w:lineRule="auto"/>
              <w:rPr/>
            </w:pPr>
            <w:r>
              <w:rPr>
                <w:spacing w:val="3"/>
              </w:rPr>
              <w:t>0.062</w:t>
            </w:r>
          </w:p>
        </w:tc>
        <w:tc>
          <w:tcPr>
            <w:tcW w:w="1573" w:type="dxa"/>
            <w:vAlign w:val="top"/>
          </w:tcPr>
          <w:p>
            <w:pPr>
              <w:pStyle w:val="TableText"/>
              <w:ind w:left="554"/>
              <w:spacing w:before="67" w:line="195" w:lineRule="auto"/>
              <w:rPr/>
            </w:pPr>
            <w:r>
              <w:rPr>
                <w:spacing w:val="3"/>
              </w:rPr>
              <w:t>0.060</w:t>
            </w:r>
          </w:p>
        </w:tc>
        <w:tc>
          <w:tcPr>
            <w:tcW w:w="895" w:type="dxa"/>
            <w:vAlign w:val="top"/>
          </w:tcPr>
          <w:p>
            <w:pPr>
              <w:pStyle w:val="TableText"/>
              <w:ind w:left="350"/>
              <w:spacing w:before="67" w:line="195" w:lineRule="auto"/>
              <w:rPr/>
            </w:pPr>
            <w:r>
              <w:rPr/>
              <w:t>38</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04" w:type="dxa"/>
            <w:vAlign w:val="top"/>
          </w:tcPr>
          <w:p>
            <w:pPr>
              <w:pStyle w:val="TableText"/>
              <w:ind w:left="588"/>
              <w:spacing w:before="28" w:line="218" w:lineRule="auto"/>
              <w:rPr>
                <w:rFonts w:ascii="SimSun" w:hAnsi="SimSun" w:eastAsia="SimSun" w:cs="SimSun"/>
              </w:rPr>
            </w:pPr>
            <w:r>
              <w:rPr>
                <w:spacing w:val="6"/>
              </w:rPr>
              <w:t>*</w:t>
            </w:r>
            <w:r>
              <w:rPr>
                <w:rFonts w:ascii="SimSun" w:hAnsi="SimSun" w:eastAsia="SimSun" w:cs="SimSun"/>
                <w:spacing w:val="6"/>
              </w:rPr>
              <w:t>四氯化碳</w:t>
            </w:r>
          </w:p>
        </w:tc>
        <w:tc>
          <w:tcPr>
            <w:tcW w:w="1312" w:type="dxa"/>
            <w:vAlign w:val="top"/>
          </w:tcPr>
          <w:p>
            <w:pPr>
              <w:pStyle w:val="TableText"/>
              <w:ind w:left="244"/>
              <w:spacing w:before="47" w:line="213"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7" w:line="213"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7" w:line="213" w:lineRule="auto"/>
              <w:rPr>
                <w:sz w:val="13"/>
                <w:szCs w:val="13"/>
              </w:rPr>
            </w:pPr>
            <w:r>
              <w:rPr>
                <w:spacing w:val="3"/>
              </w:rPr>
              <w:t>&lt;1.3×10</w:t>
            </w:r>
            <w:r>
              <w:rPr>
                <w:sz w:val="13"/>
                <w:szCs w:val="13"/>
                <w:spacing w:val="3"/>
                <w:position w:val="6"/>
              </w:rPr>
              <w:t>-3</w:t>
            </w:r>
          </w:p>
        </w:tc>
        <w:tc>
          <w:tcPr>
            <w:tcW w:w="895" w:type="dxa"/>
            <w:vAlign w:val="top"/>
          </w:tcPr>
          <w:p>
            <w:pPr>
              <w:pStyle w:val="TableText"/>
              <w:ind w:left="317"/>
              <w:spacing w:before="65" w:line="195" w:lineRule="auto"/>
              <w:rPr/>
            </w:pPr>
            <w:r>
              <w:rPr>
                <w:spacing w:val="2"/>
              </w:rPr>
              <w:t>2.8</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801"/>
              <w:spacing w:before="32" w:line="217" w:lineRule="auto"/>
              <w:rPr>
                <w:rFonts w:ascii="SimSun" w:hAnsi="SimSun" w:eastAsia="SimSun" w:cs="SimSun"/>
              </w:rPr>
            </w:pPr>
            <w:r>
              <w:rPr>
                <w:spacing w:val="2"/>
              </w:rPr>
              <w:t>*</w:t>
            </w:r>
            <w:r>
              <w:rPr>
                <w:rFonts w:ascii="SimSun" w:hAnsi="SimSun" w:eastAsia="SimSun" w:cs="SimSun"/>
                <w:spacing w:val="2"/>
              </w:rPr>
              <w:t>氯仿</w:t>
            </w:r>
          </w:p>
        </w:tc>
        <w:tc>
          <w:tcPr>
            <w:tcW w:w="1312" w:type="dxa"/>
            <w:vAlign w:val="top"/>
          </w:tcPr>
          <w:p>
            <w:pPr>
              <w:pStyle w:val="TableText"/>
              <w:ind w:left="244"/>
              <w:spacing w:before="48" w:line="216"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48" w:line="216"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48"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321"/>
              <w:spacing w:before="68" w:line="195" w:lineRule="auto"/>
              <w:rPr/>
            </w:pPr>
            <w:r>
              <w:rPr>
                <w:spacing w:val="1"/>
              </w:rPr>
              <w:t>0.9</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696"/>
              <w:spacing w:before="32" w:line="217" w:lineRule="auto"/>
              <w:rPr>
                <w:rFonts w:ascii="SimSun" w:hAnsi="SimSun" w:eastAsia="SimSun" w:cs="SimSun"/>
              </w:rPr>
            </w:pPr>
            <w:r>
              <w:rPr>
                <w:spacing w:val="4"/>
              </w:rPr>
              <w:t>*</w:t>
            </w:r>
            <w:r>
              <w:rPr>
                <w:rFonts w:ascii="SimSun" w:hAnsi="SimSun" w:eastAsia="SimSun" w:cs="SimSun"/>
                <w:spacing w:val="4"/>
              </w:rPr>
              <w:t>氯甲烷</w:t>
            </w:r>
          </w:p>
        </w:tc>
        <w:tc>
          <w:tcPr>
            <w:tcW w:w="1312" w:type="dxa"/>
            <w:vAlign w:val="top"/>
          </w:tcPr>
          <w:p>
            <w:pPr>
              <w:pStyle w:val="TableText"/>
              <w:ind w:left="244"/>
              <w:spacing w:before="48" w:line="216"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0"/>
              <w:spacing w:before="68" w:line="195" w:lineRule="auto"/>
              <w:rPr/>
            </w:pPr>
            <w:r>
              <w:rPr/>
              <w:t>37</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425"/>
              <w:spacing w:before="30" w:line="217" w:lineRule="auto"/>
              <w:rPr>
                <w:rFonts w:ascii="SimSun" w:hAnsi="SimSun" w:eastAsia="SimSun" w:cs="SimSun"/>
              </w:rPr>
            </w:pPr>
            <w:r>
              <w:rPr>
                <w:spacing w:val="2"/>
              </w:rPr>
              <w:t>*1,</w:t>
            </w:r>
            <w:r>
              <w:rPr>
                <w:spacing w:val="-25"/>
              </w:rPr>
              <w:t xml:space="preserve"> </w:t>
            </w:r>
            <w:r>
              <w:rPr>
                <w:spacing w:val="2"/>
              </w:rPr>
              <w:t>1-</w:t>
            </w:r>
            <w:r>
              <w:rPr>
                <w:rFonts w:ascii="SimSun" w:hAnsi="SimSun" w:eastAsia="SimSun" w:cs="SimSun"/>
                <w:spacing w:val="2"/>
              </w:rPr>
              <w:t>二氯乙烷</w:t>
            </w:r>
          </w:p>
        </w:tc>
        <w:tc>
          <w:tcPr>
            <w:tcW w:w="1312" w:type="dxa"/>
            <w:vAlign w:val="top"/>
          </w:tcPr>
          <w:p>
            <w:pPr>
              <w:pStyle w:val="TableText"/>
              <w:ind w:left="244"/>
              <w:spacing w:before="49"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9"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9"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98"/>
              <w:spacing w:before="66" w:line="195" w:lineRule="auto"/>
              <w:rPr/>
            </w:pPr>
            <w:r>
              <w:rPr/>
              <w:t>9</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425"/>
              <w:spacing w:before="32" w:line="217" w:lineRule="auto"/>
              <w:rPr>
                <w:rFonts w:ascii="SimSun" w:hAnsi="SimSun" w:eastAsia="SimSun" w:cs="SimSun"/>
              </w:rPr>
            </w:pPr>
            <w:r>
              <w:rPr>
                <w:spacing w:val="4"/>
              </w:rPr>
              <w:t>*1,2-</w:t>
            </w:r>
            <w:r>
              <w:rPr>
                <w:rFonts w:ascii="SimSun" w:hAnsi="SimSun" w:eastAsia="SimSun" w:cs="SimSun"/>
                <w:spacing w:val="4"/>
              </w:rPr>
              <w:t>二氯乙烷</w:t>
            </w:r>
          </w:p>
        </w:tc>
        <w:tc>
          <w:tcPr>
            <w:tcW w:w="1312" w:type="dxa"/>
            <w:vAlign w:val="top"/>
          </w:tcPr>
          <w:p>
            <w:pPr>
              <w:pStyle w:val="TableText"/>
              <w:ind w:left="244"/>
              <w:spacing w:before="48"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400"/>
              <w:spacing w:before="71" w:line="192" w:lineRule="auto"/>
              <w:rPr/>
            </w:pPr>
            <w:r>
              <w:rPr/>
              <w:t>5</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432"/>
              <w:spacing w:before="32" w:line="217" w:lineRule="auto"/>
              <w:rPr>
                <w:rFonts w:ascii="SimSun" w:hAnsi="SimSun" w:eastAsia="SimSun" w:cs="SimSun"/>
              </w:rPr>
            </w:pPr>
            <w:r>
              <w:rPr/>
              <w:t>*1,</w:t>
            </w:r>
            <w:r>
              <w:rPr>
                <w:spacing w:val="-22"/>
              </w:rPr>
              <w:t xml:space="preserve"> </w:t>
            </w:r>
            <w:r>
              <w:rPr/>
              <w:t>1</w:t>
            </w:r>
            <w:r>
              <w:rPr>
                <w:spacing w:val="13"/>
                <w:w w:val="101"/>
              </w:rPr>
              <w:t xml:space="preserve"> </w:t>
            </w:r>
            <w:r>
              <w:rPr>
                <w:rFonts w:ascii="SimSun" w:hAnsi="SimSun" w:eastAsia="SimSun" w:cs="SimSun"/>
              </w:rPr>
              <w:t>二氯乙烯</w:t>
            </w:r>
          </w:p>
        </w:tc>
        <w:tc>
          <w:tcPr>
            <w:tcW w:w="1312" w:type="dxa"/>
            <w:vAlign w:val="top"/>
          </w:tcPr>
          <w:p>
            <w:pPr>
              <w:pStyle w:val="TableText"/>
              <w:ind w:left="244"/>
              <w:spacing w:before="48" w:line="216"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&lt;1.0×10</w:t>
            </w:r>
            <w:r>
              <w:rPr>
                <w:sz w:val="13"/>
                <w:szCs w:val="13"/>
                <w:spacing w:val="3"/>
                <w:position w:val="6"/>
              </w:rPr>
              <w:t>-3</w:t>
            </w:r>
          </w:p>
        </w:tc>
        <w:tc>
          <w:tcPr>
            <w:tcW w:w="895" w:type="dxa"/>
            <w:vAlign w:val="top"/>
          </w:tcPr>
          <w:p>
            <w:pPr>
              <w:pStyle w:val="TableText"/>
              <w:ind w:left="351"/>
              <w:spacing w:before="68" w:line="195" w:lineRule="auto"/>
              <w:rPr/>
            </w:pPr>
            <w:r>
              <w:rPr/>
              <w:t>66</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04" w:type="dxa"/>
            <w:vAlign w:val="top"/>
          </w:tcPr>
          <w:p>
            <w:pPr>
              <w:pStyle w:val="TableText"/>
              <w:ind w:left="300"/>
              <w:spacing w:before="31" w:line="216" w:lineRule="auto"/>
              <w:rPr>
                <w:rFonts w:ascii="SimSun" w:hAnsi="SimSun" w:eastAsia="SimSun" w:cs="SimSun"/>
              </w:rPr>
            </w:pPr>
            <w:r>
              <w:rPr>
                <w:spacing w:val="2"/>
              </w:rPr>
              <w:t>*</w:t>
            </w:r>
            <w:r>
              <w:rPr>
                <w:rFonts w:ascii="SimSun" w:hAnsi="SimSun" w:eastAsia="SimSun" w:cs="SimSun"/>
                <w:spacing w:val="2"/>
              </w:rPr>
              <w:t>顺</w:t>
            </w:r>
            <w:r>
              <w:rPr>
                <w:rFonts w:ascii="SimSun" w:hAnsi="SimSun" w:eastAsia="SimSun" w:cs="SimSun"/>
                <w:spacing w:val="-15"/>
              </w:rPr>
              <w:t xml:space="preserve"> </w:t>
            </w:r>
            <w:r>
              <w:rPr>
                <w:spacing w:val="2"/>
              </w:rPr>
              <w:t>1,2 </w:t>
            </w:r>
            <w:r>
              <w:rPr>
                <w:rFonts w:ascii="SimSun" w:hAnsi="SimSun" w:eastAsia="SimSun" w:cs="SimSun"/>
                <w:spacing w:val="2"/>
              </w:rPr>
              <w:t>二氯乙烯</w:t>
            </w:r>
          </w:p>
        </w:tc>
        <w:tc>
          <w:tcPr>
            <w:tcW w:w="1312" w:type="dxa"/>
            <w:vAlign w:val="top"/>
          </w:tcPr>
          <w:p>
            <w:pPr>
              <w:pStyle w:val="TableText"/>
              <w:ind w:left="244"/>
              <w:spacing w:before="49" w:line="213"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9" w:line="213"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9" w:line="213" w:lineRule="auto"/>
              <w:rPr>
                <w:sz w:val="13"/>
                <w:szCs w:val="13"/>
              </w:rPr>
            </w:pPr>
            <w:r>
              <w:rPr>
                <w:spacing w:val="3"/>
              </w:rPr>
              <w:t>&lt;1.3×10</w:t>
            </w:r>
            <w:r>
              <w:rPr>
                <w:sz w:val="13"/>
                <w:szCs w:val="13"/>
                <w:spacing w:val="3"/>
                <w:position w:val="6"/>
              </w:rPr>
              <w:t>-3</w:t>
            </w:r>
          </w:p>
        </w:tc>
        <w:tc>
          <w:tcPr>
            <w:tcW w:w="895" w:type="dxa"/>
            <w:vAlign w:val="top"/>
          </w:tcPr>
          <w:p>
            <w:pPr>
              <w:pStyle w:val="TableText"/>
              <w:ind w:left="297"/>
              <w:spacing w:before="66" w:line="195" w:lineRule="auto"/>
              <w:rPr/>
            </w:pPr>
            <w:r>
              <w:rPr>
                <w:spacing w:val="1"/>
              </w:rPr>
              <w:t>596</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300"/>
              <w:spacing w:before="34" w:line="216" w:lineRule="auto"/>
              <w:rPr>
                <w:rFonts w:ascii="SimSun" w:hAnsi="SimSun" w:eastAsia="SimSun" w:cs="SimSun"/>
              </w:rPr>
            </w:pPr>
            <w:r>
              <w:rPr>
                <w:spacing w:val="2"/>
              </w:rPr>
              <w:t>*</w:t>
            </w:r>
            <w:r>
              <w:rPr>
                <w:rFonts w:ascii="SimSun" w:hAnsi="SimSun" w:eastAsia="SimSun" w:cs="SimSun"/>
                <w:spacing w:val="2"/>
              </w:rPr>
              <w:t>反</w:t>
            </w:r>
            <w:r>
              <w:rPr>
                <w:rFonts w:ascii="SimSun" w:hAnsi="SimSun" w:eastAsia="SimSun" w:cs="SimSun"/>
                <w:spacing w:val="-15"/>
              </w:rPr>
              <w:t xml:space="preserve"> </w:t>
            </w:r>
            <w:r>
              <w:rPr>
                <w:spacing w:val="2"/>
              </w:rPr>
              <w:t>1,2 </w:t>
            </w:r>
            <w:r>
              <w:rPr>
                <w:rFonts w:ascii="SimSun" w:hAnsi="SimSun" w:eastAsia="SimSun" w:cs="SimSun"/>
                <w:spacing w:val="2"/>
              </w:rPr>
              <w:t>二氯乙烯</w:t>
            </w:r>
          </w:p>
        </w:tc>
        <w:tc>
          <w:tcPr>
            <w:tcW w:w="1312" w:type="dxa"/>
            <w:vAlign w:val="top"/>
          </w:tcPr>
          <w:p>
            <w:pPr>
              <w:pStyle w:val="TableText"/>
              <w:ind w:left="244"/>
              <w:spacing w:before="49" w:line="216" w:lineRule="auto"/>
              <w:rPr>
                <w:sz w:val="13"/>
                <w:szCs w:val="13"/>
              </w:rPr>
            </w:pPr>
            <w:r>
              <w:rPr>
                <w:spacing w:val="3"/>
              </w:rPr>
              <w:t>&lt;1.4×10</w:t>
            </w:r>
            <w:r>
              <w:rPr>
                <w:sz w:val="13"/>
                <w:szCs w:val="13"/>
                <w:spacing w:val="3"/>
                <w:position w:val="6"/>
              </w:rPr>
              <w:t>-3</w:t>
            </w:r>
          </w:p>
        </w:tc>
        <w:tc>
          <w:tcPr>
            <w:tcW w:w="1566" w:type="dxa"/>
            <w:vAlign w:val="top"/>
          </w:tcPr>
          <w:p>
            <w:pPr>
              <w:pStyle w:val="TableText"/>
              <w:ind w:left="372"/>
              <w:spacing w:before="49" w:line="216" w:lineRule="auto"/>
              <w:rPr>
                <w:sz w:val="13"/>
                <w:szCs w:val="13"/>
              </w:rPr>
            </w:pPr>
            <w:r>
              <w:rPr>
                <w:spacing w:val="3"/>
              </w:rPr>
              <w:t>&lt;1.4×10</w:t>
            </w:r>
            <w:r>
              <w:rPr>
                <w:sz w:val="13"/>
                <w:szCs w:val="13"/>
                <w:spacing w:val="3"/>
                <w:position w:val="6"/>
              </w:rPr>
              <w:t>-3</w:t>
            </w:r>
          </w:p>
        </w:tc>
        <w:tc>
          <w:tcPr>
            <w:tcW w:w="1573" w:type="dxa"/>
            <w:vAlign w:val="top"/>
          </w:tcPr>
          <w:p>
            <w:pPr>
              <w:pStyle w:val="TableText"/>
              <w:ind w:left="375"/>
              <w:spacing w:before="49" w:line="216"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9" w:line="195" w:lineRule="auto"/>
              <w:rPr/>
            </w:pPr>
            <w:r>
              <w:rPr/>
              <w:t>54</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80" w:hRule="atLeast"/>
        </w:trPr>
        <w:tc>
          <w:tcPr>
            <w:tcW w:w="2104" w:type="dxa"/>
            <w:vAlign w:val="top"/>
          </w:tcPr>
          <w:p>
            <w:pPr>
              <w:pStyle w:val="TableText"/>
              <w:ind w:left="588"/>
              <w:spacing w:before="33" w:line="218" w:lineRule="auto"/>
              <w:rPr>
                <w:rFonts w:ascii="SimSun" w:hAnsi="SimSun" w:eastAsia="SimSun" w:cs="SimSun"/>
              </w:rPr>
            </w:pPr>
            <w:r>
              <w:rPr>
                <w:spacing w:val="6"/>
              </w:rPr>
              <w:t>*</w:t>
            </w:r>
            <w:r>
              <w:rPr>
                <w:rFonts w:ascii="SimSun" w:hAnsi="SimSun" w:eastAsia="SimSun" w:cs="SimSun"/>
                <w:spacing w:val="6"/>
              </w:rPr>
              <w:t>二氯甲烷</w:t>
            </w:r>
          </w:p>
        </w:tc>
        <w:tc>
          <w:tcPr>
            <w:tcW w:w="1312" w:type="dxa"/>
            <w:vAlign w:val="top"/>
          </w:tcPr>
          <w:p>
            <w:pPr>
              <w:pStyle w:val="TableText"/>
              <w:ind w:left="244"/>
              <w:spacing w:before="49"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9"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9"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6"/>
              <w:spacing w:before="69" w:line="195" w:lineRule="auto"/>
              <w:rPr/>
            </w:pPr>
            <w:r>
              <w:rPr>
                <w:spacing w:val="2"/>
              </w:rPr>
              <w:t>616</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tcBorders>
          </w:tcPr>
          <w:p>
            <w:pPr>
              <w:rPr>
                <w:rFonts w:ascii="Arial"/>
                <w:sz w:val="21"/>
              </w:rPr>
            </w:pPr>
            <w:r/>
          </w:p>
        </w:tc>
      </w:tr>
    </w:tbl>
    <w:p>
      <w:pPr>
        <w:pStyle w:val="BodyText"/>
        <w:rPr/>
      </w:pPr>
      <w:r/>
    </w:p>
    <w:p>
      <w:pPr>
        <w:sectPr>
          <w:footerReference w:type="default" r:id="rId339"/>
          <w:pgSz w:w="11906" w:h="16838"/>
          <w:pgMar w:top="1170" w:right="1304" w:bottom="1080" w:left="1305" w:header="837" w:footer="918"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104"/>
        <w:gridCol w:w="1312"/>
        <w:gridCol w:w="1566"/>
        <w:gridCol w:w="1573"/>
        <w:gridCol w:w="895"/>
        <w:gridCol w:w="919"/>
        <w:gridCol w:w="921"/>
      </w:tblGrid>
      <w:tr>
        <w:trPr>
          <w:trHeight w:val="283" w:hRule="atLeast"/>
        </w:trPr>
        <w:tc>
          <w:tcPr>
            <w:tcW w:w="2104" w:type="dxa"/>
            <w:vAlign w:val="top"/>
          </w:tcPr>
          <w:p>
            <w:pPr>
              <w:pStyle w:val="TableText"/>
              <w:ind w:left="425"/>
              <w:spacing w:before="33" w:line="221" w:lineRule="auto"/>
              <w:rPr>
                <w:rFonts w:ascii="SimSun" w:hAnsi="SimSun" w:eastAsia="SimSun" w:cs="SimSun"/>
              </w:rPr>
            </w:pPr>
            <w:r>
              <w:rPr>
                <w:spacing w:val="4"/>
              </w:rPr>
              <w:t>*1,2-</w:t>
            </w:r>
            <w:r>
              <w:rPr>
                <w:rFonts w:ascii="SimSun" w:hAnsi="SimSun" w:eastAsia="SimSun" w:cs="SimSun"/>
                <w:spacing w:val="4"/>
              </w:rPr>
              <w:t>二氯丙烷</w:t>
            </w:r>
          </w:p>
        </w:tc>
        <w:tc>
          <w:tcPr>
            <w:tcW w:w="1312" w:type="dxa"/>
            <w:vAlign w:val="top"/>
          </w:tcPr>
          <w:p>
            <w:pPr>
              <w:pStyle w:val="TableText"/>
              <w:ind w:left="244"/>
              <w:spacing w:before="52" w:line="213"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52" w:line="213"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52" w:line="213"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400"/>
              <w:spacing w:before="72" w:line="192" w:lineRule="auto"/>
              <w:rPr/>
            </w:pPr>
            <w:r>
              <w:rPr/>
              <w:t>5</w:t>
            </w:r>
          </w:p>
        </w:tc>
        <w:tc>
          <w:tcPr>
            <w:tcW w:w="919" w:type="dxa"/>
            <w:vAlign w:val="top"/>
          </w:tcPr>
          <w:p>
            <w:pPr>
              <w:pStyle w:val="TableText"/>
              <w:ind w:left="190"/>
              <w:spacing w:before="65" w:line="201" w:lineRule="auto"/>
              <w:rPr/>
            </w:pPr>
            <w:r>
              <w:rPr>
                <w:spacing w:val="4"/>
              </w:rPr>
              <w:t>mg/kg</w:t>
            </w:r>
          </w:p>
        </w:tc>
        <w:tc>
          <w:tcPr>
            <w:tcW w:w="921" w:type="dxa"/>
            <w:vAlign w:val="top"/>
            <w:vMerge w:val="restart"/>
            <w:tcBorders>
              <w:bottom w:val="nil"/>
            </w:tcBorders>
          </w:tcPr>
          <w:p>
            <w:pPr>
              <w:rPr>
                <w:rFonts w:ascii="Arial"/>
                <w:sz w:val="21"/>
              </w:rPr>
            </w:pPr>
            <w:r/>
          </w:p>
        </w:tc>
      </w:tr>
      <w:tr>
        <w:trPr>
          <w:trHeight w:val="278" w:hRule="atLeast"/>
        </w:trPr>
        <w:tc>
          <w:tcPr>
            <w:tcW w:w="2104" w:type="dxa"/>
            <w:vAlign w:val="top"/>
          </w:tcPr>
          <w:p>
            <w:pPr>
              <w:pStyle w:val="TableText"/>
              <w:ind w:left="269"/>
              <w:spacing w:before="28" w:line="221" w:lineRule="auto"/>
              <w:rPr>
                <w:rFonts w:ascii="SimSun" w:hAnsi="SimSun" w:eastAsia="SimSun" w:cs="SimSun"/>
              </w:rPr>
            </w:pPr>
            <w:r>
              <w:rPr/>
              <w:t>*1,</w:t>
            </w:r>
            <w:r>
              <w:rPr>
                <w:spacing w:val="-19"/>
              </w:rPr>
              <w:t xml:space="preserve"> </w:t>
            </w:r>
            <w:r>
              <w:rPr/>
              <w:t>1,</w:t>
            </w:r>
            <w:r>
              <w:rPr>
                <w:spacing w:val="-25"/>
              </w:rPr>
              <w:t xml:space="preserve"> </w:t>
            </w:r>
            <w:r>
              <w:rPr/>
              <w:t>1,2-</w:t>
            </w:r>
            <w:r>
              <w:rPr>
                <w:rFonts w:ascii="SimSun" w:hAnsi="SimSun" w:eastAsia="SimSun" w:cs="SimSun"/>
              </w:rPr>
              <w:t>四氯乙烷</w:t>
            </w:r>
          </w:p>
        </w:tc>
        <w:tc>
          <w:tcPr>
            <w:tcW w:w="1312" w:type="dxa"/>
            <w:vAlign w:val="top"/>
          </w:tcPr>
          <w:p>
            <w:pPr>
              <w:pStyle w:val="TableText"/>
              <w:ind w:left="244"/>
              <w:spacing w:before="44"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4"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4"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66"/>
              <w:spacing w:before="64" w:line="195" w:lineRule="auto"/>
              <w:rPr/>
            </w:pPr>
            <w:r>
              <w:rPr>
                <w:spacing w:val="-8"/>
              </w:rPr>
              <w:t>10</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269"/>
              <w:spacing w:before="26" w:line="221" w:lineRule="auto"/>
              <w:rPr>
                <w:rFonts w:ascii="SimSun" w:hAnsi="SimSun" w:eastAsia="SimSun" w:cs="SimSun"/>
              </w:rPr>
            </w:pPr>
            <w:r>
              <w:rPr>
                <w:spacing w:val="2"/>
              </w:rPr>
              <w:t>*1,</w:t>
            </w:r>
            <w:r>
              <w:rPr>
                <w:spacing w:val="-20"/>
              </w:rPr>
              <w:t xml:space="preserve"> </w:t>
            </w:r>
            <w:r>
              <w:rPr>
                <w:spacing w:val="2"/>
              </w:rPr>
              <w:t>1,2,2-</w:t>
            </w:r>
            <w:r>
              <w:rPr>
                <w:rFonts w:ascii="SimSun" w:hAnsi="SimSun" w:eastAsia="SimSun" w:cs="SimSun"/>
                <w:spacing w:val="2"/>
              </w:rPr>
              <w:t>四氯乙烷</w:t>
            </w:r>
          </w:p>
        </w:tc>
        <w:tc>
          <w:tcPr>
            <w:tcW w:w="1312" w:type="dxa"/>
            <w:vAlign w:val="top"/>
          </w:tcPr>
          <w:p>
            <w:pPr>
              <w:pStyle w:val="TableText"/>
              <w:ind w:left="244"/>
              <w:spacing w:before="45"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5"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5"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22"/>
              <w:spacing w:before="62" w:line="195" w:lineRule="auto"/>
              <w:rPr/>
            </w:pPr>
            <w:r>
              <w:rPr>
                <w:spacing w:val="1"/>
              </w:rPr>
              <w:t>6.8</w:t>
            </w:r>
          </w:p>
        </w:tc>
        <w:tc>
          <w:tcPr>
            <w:tcW w:w="919" w:type="dxa"/>
            <w:vAlign w:val="top"/>
          </w:tcPr>
          <w:p>
            <w:pPr>
              <w:pStyle w:val="TableText"/>
              <w:ind w:left="190"/>
              <w:spacing w:before="58"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588"/>
              <w:spacing w:before="28" w:line="221" w:lineRule="auto"/>
              <w:rPr>
                <w:rFonts w:ascii="SimSun" w:hAnsi="SimSun" w:eastAsia="SimSun" w:cs="SimSun"/>
              </w:rPr>
            </w:pPr>
            <w:r>
              <w:rPr>
                <w:spacing w:val="6"/>
              </w:rPr>
              <w:t>*</w:t>
            </w:r>
            <w:r>
              <w:rPr>
                <w:rFonts w:ascii="SimSun" w:hAnsi="SimSun" w:eastAsia="SimSun" w:cs="SimSun"/>
                <w:spacing w:val="6"/>
              </w:rPr>
              <w:t>四氯乙烯</w:t>
            </w:r>
          </w:p>
        </w:tc>
        <w:tc>
          <w:tcPr>
            <w:tcW w:w="1312" w:type="dxa"/>
            <w:vAlign w:val="top"/>
          </w:tcPr>
          <w:p>
            <w:pPr>
              <w:pStyle w:val="TableText"/>
              <w:ind w:left="244"/>
              <w:spacing w:before="47" w:line="213" w:lineRule="auto"/>
              <w:rPr>
                <w:sz w:val="13"/>
                <w:szCs w:val="13"/>
              </w:rPr>
            </w:pPr>
            <w:r>
              <w:rPr>
                <w:spacing w:val="3"/>
              </w:rPr>
              <w:t>&lt;1.4×10</w:t>
            </w:r>
            <w:r>
              <w:rPr>
                <w:sz w:val="13"/>
                <w:szCs w:val="13"/>
                <w:spacing w:val="3"/>
                <w:position w:val="6"/>
              </w:rPr>
              <w:t>-3</w:t>
            </w:r>
          </w:p>
        </w:tc>
        <w:tc>
          <w:tcPr>
            <w:tcW w:w="1566" w:type="dxa"/>
            <w:vAlign w:val="top"/>
          </w:tcPr>
          <w:p>
            <w:pPr>
              <w:pStyle w:val="TableText"/>
              <w:ind w:left="372"/>
              <w:spacing w:before="47" w:line="213" w:lineRule="auto"/>
              <w:rPr>
                <w:sz w:val="13"/>
                <w:szCs w:val="13"/>
              </w:rPr>
            </w:pPr>
            <w:r>
              <w:rPr>
                <w:spacing w:val="3"/>
              </w:rPr>
              <w:t>&lt;1.4×10</w:t>
            </w:r>
            <w:r>
              <w:rPr>
                <w:sz w:val="13"/>
                <w:szCs w:val="13"/>
                <w:spacing w:val="3"/>
                <w:position w:val="6"/>
              </w:rPr>
              <w:t>-3</w:t>
            </w:r>
          </w:p>
        </w:tc>
        <w:tc>
          <w:tcPr>
            <w:tcW w:w="1573" w:type="dxa"/>
            <w:vAlign w:val="top"/>
          </w:tcPr>
          <w:p>
            <w:pPr>
              <w:pStyle w:val="TableText"/>
              <w:ind w:left="375"/>
              <w:spacing w:before="47" w:line="213" w:lineRule="auto"/>
              <w:rPr>
                <w:sz w:val="13"/>
                <w:szCs w:val="13"/>
              </w:rPr>
            </w:pPr>
            <w:r>
              <w:rPr>
                <w:spacing w:val="3"/>
              </w:rPr>
              <w:t>&lt;1.4×10</w:t>
            </w:r>
            <w:r>
              <w:rPr>
                <w:sz w:val="13"/>
                <w:szCs w:val="13"/>
                <w:spacing w:val="3"/>
                <w:position w:val="6"/>
              </w:rPr>
              <w:t>-3</w:t>
            </w:r>
          </w:p>
        </w:tc>
        <w:tc>
          <w:tcPr>
            <w:tcW w:w="895" w:type="dxa"/>
            <w:vAlign w:val="top"/>
          </w:tcPr>
          <w:p>
            <w:pPr>
              <w:pStyle w:val="TableText"/>
              <w:ind w:left="352"/>
              <w:spacing w:before="64" w:line="195" w:lineRule="auto"/>
              <w:rPr/>
            </w:pPr>
            <w:r>
              <w:rPr/>
              <w:t>53</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345"/>
              <w:spacing w:before="29" w:line="220" w:lineRule="auto"/>
              <w:rPr>
                <w:rFonts w:ascii="SimSun" w:hAnsi="SimSun" w:eastAsia="SimSun" w:cs="SimSun"/>
              </w:rPr>
            </w:pPr>
            <w:r>
              <w:rPr/>
              <w:t>*1,</w:t>
            </w:r>
            <w:r>
              <w:rPr>
                <w:spacing w:val="-25"/>
              </w:rPr>
              <w:t xml:space="preserve"> </w:t>
            </w:r>
            <w:r>
              <w:rPr/>
              <w:t>1,</w:t>
            </w:r>
            <w:r>
              <w:rPr>
                <w:spacing w:val="-25"/>
              </w:rPr>
              <w:t xml:space="preserve"> </w:t>
            </w:r>
            <w:r>
              <w:rPr/>
              <w:t>1-</w:t>
            </w:r>
            <w:r>
              <w:rPr>
                <w:rFonts w:ascii="SimSun" w:hAnsi="SimSun" w:eastAsia="SimSun" w:cs="SimSun"/>
              </w:rPr>
              <w:t>三氯乙烷</w:t>
            </w:r>
          </w:p>
        </w:tc>
        <w:tc>
          <w:tcPr>
            <w:tcW w:w="1312" w:type="dxa"/>
            <w:vAlign w:val="top"/>
          </w:tcPr>
          <w:p>
            <w:pPr>
              <w:pStyle w:val="TableText"/>
              <w:ind w:left="244"/>
              <w:spacing w:before="45"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5"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5"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99"/>
              <w:spacing w:before="65" w:line="195" w:lineRule="auto"/>
              <w:rPr/>
            </w:pPr>
            <w:r>
              <w:rPr/>
              <w:t>840</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04" w:type="dxa"/>
            <w:vAlign w:val="top"/>
          </w:tcPr>
          <w:p>
            <w:pPr>
              <w:pStyle w:val="TableText"/>
              <w:ind w:left="345"/>
              <w:spacing w:before="26" w:line="220" w:lineRule="auto"/>
              <w:rPr>
                <w:rFonts w:ascii="SimSun" w:hAnsi="SimSun" w:eastAsia="SimSun" w:cs="SimSun"/>
              </w:rPr>
            </w:pPr>
            <w:r>
              <w:rPr>
                <w:spacing w:val="2"/>
              </w:rPr>
              <w:t>*1,</w:t>
            </w:r>
            <w:r>
              <w:rPr>
                <w:spacing w:val="-22"/>
              </w:rPr>
              <w:t xml:space="preserve"> </w:t>
            </w:r>
            <w:r>
              <w:rPr>
                <w:spacing w:val="2"/>
              </w:rPr>
              <w:t>1,2-</w:t>
            </w:r>
            <w:r>
              <w:rPr>
                <w:rFonts w:ascii="SimSun" w:hAnsi="SimSun" w:eastAsia="SimSun" w:cs="SimSun"/>
                <w:spacing w:val="2"/>
              </w:rPr>
              <w:t>三氯乙烷</w:t>
            </w:r>
          </w:p>
        </w:tc>
        <w:tc>
          <w:tcPr>
            <w:tcW w:w="1312" w:type="dxa"/>
            <w:vAlign w:val="top"/>
          </w:tcPr>
          <w:p>
            <w:pPr>
              <w:pStyle w:val="TableText"/>
              <w:ind w:left="244"/>
              <w:spacing w:before="45"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5"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5"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2" w:line="195" w:lineRule="auto"/>
              <w:rPr/>
            </w:pPr>
            <w:r>
              <w:rPr>
                <w:spacing w:val="2"/>
              </w:rPr>
              <w:t>2.8</w:t>
            </w:r>
          </w:p>
        </w:tc>
        <w:tc>
          <w:tcPr>
            <w:tcW w:w="919" w:type="dxa"/>
            <w:vAlign w:val="top"/>
          </w:tcPr>
          <w:p>
            <w:pPr>
              <w:pStyle w:val="TableText"/>
              <w:ind w:left="190"/>
              <w:spacing w:before="59"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588"/>
              <w:spacing w:before="30" w:line="219" w:lineRule="auto"/>
              <w:rPr>
                <w:rFonts w:ascii="SimSun" w:hAnsi="SimSun" w:eastAsia="SimSun" w:cs="SimSun"/>
              </w:rPr>
            </w:pPr>
            <w:r>
              <w:rPr>
                <w:spacing w:val="6"/>
              </w:rPr>
              <w:t>*</w:t>
            </w:r>
            <w:r>
              <w:rPr>
                <w:rFonts w:ascii="SimSun" w:hAnsi="SimSun" w:eastAsia="SimSun" w:cs="SimSun"/>
                <w:spacing w:val="6"/>
              </w:rPr>
              <w:t>三氯乙烯</w:t>
            </w:r>
          </w:p>
        </w:tc>
        <w:tc>
          <w:tcPr>
            <w:tcW w:w="1312" w:type="dxa"/>
            <w:vAlign w:val="top"/>
          </w:tcPr>
          <w:p>
            <w:pPr>
              <w:pStyle w:val="TableText"/>
              <w:ind w:left="244"/>
              <w:spacing w:before="48" w:line="213"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3"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3" w:lineRule="auto"/>
              <w:rPr>
                <w:sz w:val="13"/>
                <w:szCs w:val="13"/>
              </w:rPr>
            </w:pPr>
            <w:r>
              <w:rPr>
                <w:spacing w:val="3"/>
              </w:rPr>
              <w:t>&lt;1.2×10</w:t>
            </w:r>
            <w:r>
              <w:rPr>
                <w:sz w:val="13"/>
                <w:szCs w:val="13"/>
                <w:spacing w:val="3"/>
                <w:position w:val="6"/>
              </w:rPr>
              <w:t>-3</w:t>
            </w:r>
          </w:p>
        </w:tc>
        <w:tc>
          <w:tcPr>
            <w:tcW w:w="895" w:type="dxa"/>
            <w:vAlign w:val="top"/>
          </w:tcPr>
          <w:p>
            <w:pPr>
              <w:pStyle w:val="TableText"/>
              <w:ind w:left="317"/>
              <w:spacing w:before="66" w:line="195" w:lineRule="auto"/>
              <w:rPr/>
            </w:pPr>
            <w:r>
              <w:rPr>
                <w:spacing w:val="2"/>
              </w:rPr>
              <w:t>2.8</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345"/>
              <w:spacing w:before="30" w:line="219" w:lineRule="auto"/>
              <w:rPr>
                <w:rFonts w:ascii="SimSun" w:hAnsi="SimSun" w:eastAsia="SimSun" w:cs="SimSun"/>
              </w:rPr>
            </w:pPr>
            <w:r>
              <w:rPr>
                <w:spacing w:val="4"/>
              </w:rPr>
              <w:t>*1,2,3-</w:t>
            </w:r>
            <w:r>
              <w:rPr>
                <w:rFonts w:ascii="SimSun" w:hAnsi="SimSun" w:eastAsia="SimSun" w:cs="SimSun"/>
                <w:spacing w:val="4"/>
              </w:rPr>
              <w:t>三氯丙烷</w:t>
            </w:r>
          </w:p>
        </w:tc>
        <w:tc>
          <w:tcPr>
            <w:tcW w:w="1312" w:type="dxa"/>
            <w:vAlign w:val="top"/>
          </w:tcPr>
          <w:p>
            <w:pPr>
              <w:pStyle w:val="TableText"/>
              <w:ind w:left="244"/>
              <w:spacing w:before="46"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21"/>
              <w:spacing w:before="66" w:line="195" w:lineRule="auto"/>
              <w:rPr/>
            </w:pPr>
            <w:r>
              <w:rPr>
                <w:spacing w:val="1"/>
              </w:rPr>
              <w:t>0.5</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696"/>
              <w:spacing w:before="28" w:line="219" w:lineRule="auto"/>
              <w:rPr>
                <w:rFonts w:ascii="SimSun" w:hAnsi="SimSun" w:eastAsia="SimSun" w:cs="SimSun"/>
              </w:rPr>
            </w:pPr>
            <w:r>
              <w:rPr>
                <w:spacing w:val="4"/>
              </w:rPr>
              <w:t>*</w:t>
            </w:r>
            <w:r>
              <w:rPr>
                <w:rFonts w:ascii="SimSun" w:hAnsi="SimSun" w:eastAsia="SimSun" w:cs="SimSun"/>
                <w:spacing w:val="4"/>
              </w:rPr>
              <w:t>氯乙烯</w:t>
            </w:r>
          </w:p>
        </w:tc>
        <w:tc>
          <w:tcPr>
            <w:tcW w:w="1312" w:type="dxa"/>
            <w:vAlign w:val="top"/>
          </w:tcPr>
          <w:p>
            <w:pPr>
              <w:pStyle w:val="TableText"/>
              <w:ind w:left="244"/>
              <w:spacing w:before="46" w:line="213" w:lineRule="auto"/>
              <w:rPr>
                <w:sz w:val="13"/>
                <w:szCs w:val="13"/>
              </w:rPr>
            </w:pPr>
            <w:r>
              <w:rPr>
                <w:spacing w:val="3"/>
              </w:rPr>
              <w:t>&lt;1.0×10</w:t>
            </w:r>
            <w:r>
              <w:rPr>
                <w:sz w:val="13"/>
                <w:szCs w:val="13"/>
                <w:spacing w:val="3"/>
                <w:position w:val="6"/>
              </w:rPr>
              <w:t>-3</w:t>
            </w:r>
          </w:p>
        </w:tc>
        <w:tc>
          <w:tcPr>
            <w:tcW w:w="1566" w:type="dxa"/>
            <w:vAlign w:val="top"/>
          </w:tcPr>
          <w:p>
            <w:pPr>
              <w:pStyle w:val="TableText"/>
              <w:ind w:left="372"/>
              <w:spacing w:before="46" w:line="213" w:lineRule="auto"/>
              <w:rPr>
                <w:sz w:val="13"/>
                <w:szCs w:val="13"/>
              </w:rPr>
            </w:pPr>
            <w:r>
              <w:rPr>
                <w:spacing w:val="3"/>
              </w:rPr>
              <w:t>&lt;1.0×10</w:t>
            </w:r>
            <w:r>
              <w:rPr>
                <w:sz w:val="13"/>
                <w:szCs w:val="13"/>
                <w:spacing w:val="3"/>
                <w:position w:val="6"/>
              </w:rPr>
              <w:t>-3</w:t>
            </w:r>
          </w:p>
        </w:tc>
        <w:tc>
          <w:tcPr>
            <w:tcW w:w="1573" w:type="dxa"/>
            <w:vAlign w:val="top"/>
          </w:tcPr>
          <w:p>
            <w:pPr>
              <w:pStyle w:val="TableText"/>
              <w:ind w:left="375"/>
              <w:spacing w:before="46" w:line="213" w:lineRule="auto"/>
              <w:rPr>
                <w:sz w:val="13"/>
                <w:szCs w:val="13"/>
              </w:rPr>
            </w:pPr>
            <w:r>
              <w:rPr>
                <w:spacing w:val="3"/>
              </w:rPr>
              <w:t>&lt;1.0×10</w:t>
            </w:r>
            <w:r>
              <w:rPr>
                <w:sz w:val="13"/>
                <w:szCs w:val="13"/>
                <w:spacing w:val="3"/>
                <w:position w:val="6"/>
              </w:rPr>
              <w:t>-3</w:t>
            </w:r>
          </w:p>
        </w:tc>
        <w:tc>
          <w:tcPr>
            <w:tcW w:w="895" w:type="dxa"/>
            <w:vAlign w:val="top"/>
          </w:tcPr>
          <w:p>
            <w:pPr>
              <w:pStyle w:val="TableText"/>
              <w:ind w:left="270"/>
              <w:spacing w:before="64" w:line="195" w:lineRule="auto"/>
              <w:rPr/>
            </w:pPr>
            <w:r>
              <w:rPr>
                <w:spacing w:val="2"/>
              </w:rPr>
              <w:t>0.43</w:t>
            </w:r>
          </w:p>
        </w:tc>
        <w:tc>
          <w:tcPr>
            <w:tcW w:w="919" w:type="dxa"/>
            <w:vAlign w:val="top"/>
          </w:tcPr>
          <w:p>
            <w:pPr>
              <w:pStyle w:val="TableText"/>
              <w:ind w:left="190"/>
              <w:spacing w:before="60"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905"/>
              <w:spacing w:before="30" w:line="219" w:lineRule="auto"/>
              <w:rPr>
                <w:rFonts w:ascii="SimSun" w:hAnsi="SimSun" w:eastAsia="SimSun" w:cs="SimSun"/>
              </w:rPr>
            </w:pPr>
            <w:r>
              <w:rPr>
                <w:spacing w:val="-2"/>
              </w:rPr>
              <w:t>*</w:t>
            </w:r>
            <w:r>
              <w:rPr>
                <w:rFonts w:ascii="SimSun" w:hAnsi="SimSun" w:eastAsia="SimSun" w:cs="SimSun"/>
                <w:spacing w:val="-2"/>
              </w:rPr>
              <w:t>苯</w:t>
            </w:r>
          </w:p>
        </w:tc>
        <w:tc>
          <w:tcPr>
            <w:tcW w:w="1312" w:type="dxa"/>
            <w:vAlign w:val="top"/>
          </w:tcPr>
          <w:p>
            <w:pPr>
              <w:pStyle w:val="TableText"/>
              <w:ind w:left="244"/>
              <w:spacing w:before="46" w:line="216" w:lineRule="auto"/>
              <w:rPr>
                <w:sz w:val="13"/>
                <w:szCs w:val="13"/>
              </w:rPr>
            </w:pPr>
            <w:r>
              <w:rPr>
                <w:spacing w:val="3"/>
              </w:rPr>
              <w:t>&lt;1.9×10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&lt;1.9×10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&lt;1.9×10</w:t>
            </w:r>
            <w:r>
              <w:rPr>
                <w:sz w:val="13"/>
                <w:szCs w:val="13"/>
                <w:spacing w:val="3"/>
                <w:position w:val="6"/>
              </w:rPr>
              <w:t>-3</w:t>
            </w:r>
          </w:p>
        </w:tc>
        <w:tc>
          <w:tcPr>
            <w:tcW w:w="895" w:type="dxa"/>
            <w:vAlign w:val="top"/>
          </w:tcPr>
          <w:p>
            <w:pPr>
              <w:pStyle w:val="TableText"/>
              <w:ind w:left="393"/>
              <w:spacing w:before="66" w:line="195" w:lineRule="auto"/>
              <w:rPr/>
            </w:pPr>
            <w:r>
              <w:rPr>
                <w:spacing w:val="1"/>
              </w:rPr>
              <w:t>4</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801"/>
              <w:spacing w:before="30" w:line="217" w:lineRule="auto"/>
              <w:rPr>
                <w:rFonts w:ascii="SimSun" w:hAnsi="SimSun" w:eastAsia="SimSun" w:cs="SimSun"/>
              </w:rPr>
            </w:pPr>
            <w:r>
              <w:rPr>
                <w:spacing w:val="2"/>
              </w:rPr>
              <w:t>*</w:t>
            </w:r>
            <w:r>
              <w:rPr>
                <w:rFonts w:ascii="SimSun" w:hAnsi="SimSun" w:eastAsia="SimSun" w:cs="SimSun"/>
                <w:spacing w:val="2"/>
              </w:rPr>
              <w:t>氯苯</w:t>
            </w:r>
          </w:p>
        </w:tc>
        <w:tc>
          <w:tcPr>
            <w:tcW w:w="1312" w:type="dxa"/>
            <w:vAlign w:val="top"/>
          </w:tcPr>
          <w:p>
            <w:pPr>
              <w:pStyle w:val="TableText"/>
              <w:ind w:left="244"/>
              <w:spacing w:before="46"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1"/>
              <w:spacing w:before="66" w:line="195" w:lineRule="auto"/>
              <w:rPr/>
            </w:pPr>
            <w:r>
              <w:rPr>
                <w:spacing w:val="3"/>
              </w:rPr>
              <w:t>270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528"/>
              <w:spacing w:before="30" w:line="219" w:lineRule="auto"/>
              <w:rPr>
                <w:rFonts w:ascii="SimSun" w:hAnsi="SimSun" w:eastAsia="SimSun" w:cs="SimSun"/>
              </w:rPr>
            </w:pPr>
            <w:r>
              <w:rPr>
                <w:spacing w:val="4"/>
              </w:rPr>
              <w:t>*1,2-</w:t>
            </w:r>
            <w:r>
              <w:rPr>
                <w:rFonts w:ascii="SimSun" w:hAnsi="SimSun" w:eastAsia="SimSun" w:cs="SimSun"/>
                <w:spacing w:val="4"/>
              </w:rPr>
              <w:t>二氯苯</w:t>
            </w:r>
          </w:p>
        </w:tc>
        <w:tc>
          <w:tcPr>
            <w:tcW w:w="1312" w:type="dxa"/>
            <w:vAlign w:val="top"/>
          </w:tcPr>
          <w:p>
            <w:pPr>
              <w:pStyle w:val="TableText"/>
              <w:ind w:left="244"/>
              <w:spacing w:before="46"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297"/>
              <w:spacing w:before="66" w:line="195" w:lineRule="auto"/>
              <w:rPr/>
            </w:pPr>
            <w:r>
              <w:rPr>
                <w:spacing w:val="1"/>
              </w:rPr>
              <w:t>560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528"/>
              <w:spacing w:before="30" w:line="217" w:lineRule="auto"/>
              <w:rPr>
                <w:rFonts w:ascii="SimSun" w:hAnsi="SimSun" w:eastAsia="SimSun" w:cs="SimSun"/>
              </w:rPr>
            </w:pPr>
            <w:r>
              <w:rPr>
                <w:spacing w:val="4"/>
              </w:rPr>
              <w:t>*1,4-</w:t>
            </w:r>
            <w:r>
              <w:rPr>
                <w:rFonts w:ascii="SimSun" w:hAnsi="SimSun" w:eastAsia="SimSun" w:cs="SimSun"/>
                <w:spacing w:val="4"/>
              </w:rPr>
              <w:t>二氯苯</w:t>
            </w:r>
          </w:p>
        </w:tc>
        <w:tc>
          <w:tcPr>
            <w:tcW w:w="1312" w:type="dxa"/>
            <w:vAlign w:val="top"/>
          </w:tcPr>
          <w:p>
            <w:pPr>
              <w:pStyle w:val="TableText"/>
              <w:ind w:left="244"/>
              <w:spacing w:before="46" w:line="216" w:lineRule="auto"/>
              <w:rPr>
                <w:sz w:val="13"/>
                <w:szCs w:val="13"/>
              </w:rPr>
            </w:pPr>
            <w:r>
              <w:rPr>
                <w:spacing w:val="3"/>
              </w:rPr>
              <w:t>&lt;1.5×10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&lt;1.5×10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&lt;1.5×10</w:t>
            </w:r>
            <w:r>
              <w:rPr>
                <w:sz w:val="13"/>
                <w:szCs w:val="13"/>
                <w:spacing w:val="3"/>
                <w:position w:val="6"/>
              </w:rPr>
              <w:t>-3</w:t>
            </w:r>
          </w:p>
        </w:tc>
        <w:tc>
          <w:tcPr>
            <w:tcW w:w="895" w:type="dxa"/>
            <w:vAlign w:val="top"/>
          </w:tcPr>
          <w:p>
            <w:pPr>
              <w:pStyle w:val="TableText"/>
              <w:ind w:left="346"/>
              <w:spacing w:before="66" w:line="195" w:lineRule="auto"/>
              <w:rPr/>
            </w:pPr>
            <w:r>
              <w:rPr>
                <w:spacing w:val="2"/>
              </w:rPr>
              <w:t>20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801"/>
              <w:spacing w:before="32" w:line="217" w:lineRule="auto"/>
              <w:rPr>
                <w:rFonts w:ascii="SimSun" w:hAnsi="SimSun" w:eastAsia="SimSun" w:cs="SimSun"/>
              </w:rPr>
            </w:pPr>
            <w:r>
              <w:rPr>
                <w:spacing w:val="2"/>
              </w:rPr>
              <w:t>*</w:t>
            </w:r>
            <w:r>
              <w:rPr>
                <w:rFonts w:ascii="SimSun" w:hAnsi="SimSun" w:eastAsia="SimSun" w:cs="SimSun"/>
                <w:spacing w:val="2"/>
              </w:rPr>
              <w:t>乙苯</w:t>
            </w:r>
          </w:p>
        </w:tc>
        <w:tc>
          <w:tcPr>
            <w:tcW w:w="1312" w:type="dxa"/>
            <w:vAlign w:val="top"/>
          </w:tcPr>
          <w:p>
            <w:pPr>
              <w:pStyle w:val="TableText"/>
              <w:ind w:left="244"/>
              <w:spacing w:before="48"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8"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8"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346"/>
              <w:spacing w:before="68" w:line="195" w:lineRule="auto"/>
              <w:rPr/>
            </w:pPr>
            <w:r>
              <w:rPr>
                <w:spacing w:val="2"/>
              </w:rPr>
              <w:t>28</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696"/>
              <w:spacing w:before="30" w:line="219" w:lineRule="auto"/>
              <w:rPr>
                <w:rFonts w:ascii="SimSun" w:hAnsi="SimSun" w:eastAsia="SimSun" w:cs="SimSun"/>
              </w:rPr>
            </w:pPr>
            <w:r>
              <w:rPr>
                <w:spacing w:val="4"/>
              </w:rPr>
              <w:t>*</w:t>
            </w:r>
            <w:r>
              <w:rPr>
                <w:rFonts w:ascii="SimSun" w:hAnsi="SimSun" w:eastAsia="SimSun" w:cs="SimSun"/>
                <w:spacing w:val="4"/>
              </w:rPr>
              <w:t>苯乙烯</w:t>
            </w:r>
          </w:p>
        </w:tc>
        <w:tc>
          <w:tcPr>
            <w:tcW w:w="1312" w:type="dxa"/>
            <w:vAlign w:val="top"/>
          </w:tcPr>
          <w:p>
            <w:pPr>
              <w:pStyle w:val="TableText"/>
              <w:ind w:left="244"/>
              <w:spacing w:before="46" w:line="216" w:lineRule="auto"/>
              <w:rPr>
                <w:sz w:val="13"/>
                <w:szCs w:val="13"/>
              </w:rPr>
            </w:pPr>
            <w:r>
              <w:rPr/>
              <w:t>&lt;1.</w:t>
            </w:r>
            <w:r>
              <w:rPr>
                <w:spacing w:val="-21"/>
              </w:rPr>
              <w:t xml:space="preserve"> </w:t>
            </w:r>
            <w:r>
              <w:rPr/>
              <w:t>1×10</w:t>
            </w:r>
            <w:r>
              <w:rPr>
                <w:sz w:val="13"/>
                <w:szCs w:val="13"/>
                <w:position w:val="6"/>
              </w:rPr>
              <w:t>-3</w:t>
            </w:r>
          </w:p>
        </w:tc>
        <w:tc>
          <w:tcPr>
            <w:tcW w:w="1566" w:type="dxa"/>
            <w:vAlign w:val="top"/>
          </w:tcPr>
          <w:p>
            <w:pPr>
              <w:pStyle w:val="TableText"/>
              <w:ind w:left="372"/>
              <w:spacing w:before="46" w:line="216" w:lineRule="auto"/>
              <w:rPr>
                <w:sz w:val="13"/>
                <w:szCs w:val="13"/>
              </w:rPr>
            </w:pPr>
            <w:r>
              <w:rPr/>
              <w:t>&lt;1.</w:t>
            </w:r>
            <w:r>
              <w:rPr>
                <w:spacing w:val="-21"/>
              </w:rPr>
              <w:t xml:space="preserve"> </w:t>
            </w:r>
            <w:r>
              <w:rPr/>
              <w:t>1×10</w:t>
            </w:r>
            <w:r>
              <w:rPr>
                <w:sz w:val="13"/>
                <w:szCs w:val="13"/>
                <w:position w:val="6"/>
              </w:rPr>
              <w:t>-3</w:t>
            </w:r>
          </w:p>
        </w:tc>
        <w:tc>
          <w:tcPr>
            <w:tcW w:w="1573" w:type="dxa"/>
            <w:vAlign w:val="top"/>
          </w:tcPr>
          <w:p>
            <w:pPr>
              <w:pStyle w:val="TableText"/>
              <w:ind w:left="375"/>
              <w:spacing w:before="46" w:line="216" w:lineRule="auto"/>
              <w:rPr>
                <w:sz w:val="13"/>
                <w:szCs w:val="13"/>
              </w:rPr>
            </w:pPr>
            <w:r>
              <w:rPr/>
              <w:t>&lt;1.</w:t>
            </w:r>
            <w:r>
              <w:rPr>
                <w:spacing w:val="-18"/>
              </w:rPr>
              <w:t xml:space="preserve"> </w:t>
            </w:r>
            <w:r>
              <w:rPr/>
              <w:t>1×10</w:t>
            </w:r>
            <w:r>
              <w:rPr>
                <w:sz w:val="13"/>
                <w:szCs w:val="13"/>
                <w:position w:val="6"/>
              </w:rPr>
              <w:t>-3</w:t>
            </w:r>
          </w:p>
        </w:tc>
        <w:tc>
          <w:tcPr>
            <w:tcW w:w="895" w:type="dxa"/>
            <w:vAlign w:val="top"/>
          </w:tcPr>
          <w:p>
            <w:pPr>
              <w:pStyle w:val="TableText"/>
              <w:ind w:left="258"/>
              <w:spacing w:before="66" w:line="195" w:lineRule="auto"/>
              <w:rPr/>
            </w:pPr>
            <w:r>
              <w:rPr>
                <w:spacing w:val="-1"/>
              </w:rPr>
              <w:t>1290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801"/>
              <w:spacing w:before="30" w:line="219" w:lineRule="auto"/>
              <w:rPr>
                <w:rFonts w:ascii="SimSun" w:hAnsi="SimSun" w:eastAsia="SimSun" w:cs="SimSun"/>
              </w:rPr>
            </w:pPr>
            <w:r>
              <w:rPr>
                <w:spacing w:val="2"/>
              </w:rPr>
              <w:t>*</w:t>
            </w:r>
            <w:r>
              <w:rPr>
                <w:rFonts w:ascii="SimSun" w:hAnsi="SimSun" w:eastAsia="SimSun" w:cs="SimSun"/>
                <w:spacing w:val="2"/>
              </w:rPr>
              <w:t>甲苯</w:t>
            </w:r>
          </w:p>
        </w:tc>
        <w:tc>
          <w:tcPr>
            <w:tcW w:w="1312" w:type="dxa"/>
            <w:vAlign w:val="top"/>
          </w:tcPr>
          <w:p>
            <w:pPr>
              <w:pStyle w:val="TableText"/>
              <w:ind w:left="244"/>
              <w:spacing w:before="46" w:line="216" w:lineRule="auto"/>
              <w:rPr>
                <w:sz w:val="13"/>
                <w:szCs w:val="13"/>
              </w:rPr>
            </w:pPr>
            <w:r>
              <w:rPr>
                <w:spacing w:val="3"/>
              </w:rPr>
              <w:t>&lt;1.3×10</w:t>
            </w:r>
            <w:r>
              <w:rPr>
                <w:sz w:val="13"/>
                <w:szCs w:val="13"/>
                <w:spacing w:val="3"/>
                <w:position w:val="6"/>
              </w:rPr>
              <w:t>-3</w:t>
            </w:r>
          </w:p>
        </w:tc>
        <w:tc>
          <w:tcPr>
            <w:tcW w:w="1566" w:type="dxa"/>
            <w:vAlign w:val="top"/>
          </w:tcPr>
          <w:p>
            <w:pPr>
              <w:pStyle w:val="TableText"/>
              <w:ind w:left="372"/>
              <w:spacing w:before="46" w:line="216" w:lineRule="auto"/>
              <w:rPr>
                <w:sz w:val="13"/>
                <w:szCs w:val="13"/>
              </w:rPr>
            </w:pPr>
            <w:r>
              <w:rPr>
                <w:spacing w:val="3"/>
              </w:rPr>
              <w:t>&lt;1.3×10</w:t>
            </w:r>
            <w:r>
              <w:rPr>
                <w:sz w:val="13"/>
                <w:szCs w:val="13"/>
                <w:spacing w:val="3"/>
                <w:position w:val="6"/>
              </w:rPr>
              <w:t>-3</w:t>
            </w:r>
          </w:p>
        </w:tc>
        <w:tc>
          <w:tcPr>
            <w:tcW w:w="1573" w:type="dxa"/>
            <w:vAlign w:val="top"/>
          </w:tcPr>
          <w:p>
            <w:pPr>
              <w:pStyle w:val="TableText"/>
              <w:ind w:left="375"/>
              <w:spacing w:before="46" w:line="216" w:lineRule="auto"/>
              <w:rPr>
                <w:sz w:val="13"/>
                <w:szCs w:val="13"/>
              </w:rPr>
            </w:pPr>
            <w:r>
              <w:rPr>
                <w:spacing w:val="3"/>
              </w:rPr>
              <w:t>&lt;1.3×10</w:t>
            </w:r>
            <w:r>
              <w:rPr>
                <w:sz w:val="13"/>
                <w:szCs w:val="13"/>
                <w:spacing w:val="3"/>
                <w:position w:val="6"/>
              </w:rPr>
              <w:t>-3</w:t>
            </w:r>
          </w:p>
        </w:tc>
        <w:tc>
          <w:tcPr>
            <w:tcW w:w="895" w:type="dxa"/>
            <w:vAlign w:val="top"/>
          </w:tcPr>
          <w:p>
            <w:pPr>
              <w:pStyle w:val="TableText"/>
              <w:ind w:left="258"/>
              <w:spacing w:before="66" w:line="195" w:lineRule="auto"/>
              <w:rPr/>
            </w:pPr>
            <w:r>
              <w:rPr>
                <w:spacing w:val="-1"/>
              </w:rPr>
              <w:t>1200</w:t>
            </w:r>
          </w:p>
        </w:tc>
        <w:tc>
          <w:tcPr>
            <w:tcW w:w="919" w:type="dxa"/>
            <w:vAlign w:val="top"/>
          </w:tcPr>
          <w:p>
            <w:pPr>
              <w:pStyle w:val="TableText"/>
              <w:ind w:left="190"/>
              <w:spacing w:before="62"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549" w:hRule="atLeast"/>
        </w:trPr>
        <w:tc>
          <w:tcPr>
            <w:tcW w:w="2104" w:type="dxa"/>
            <w:vAlign w:val="top"/>
          </w:tcPr>
          <w:p>
            <w:pPr>
              <w:pStyle w:val="TableText"/>
              <w:ind w:left="216"/>
              <w:spacing w:before="30" w:line="227" w:lineRule="auto"/>
              <w:rPr>
                <w:rFonts w:ascii="SimSun" w:hAnsi="SimSun" w:eastAsia="SimSun" w:cs="SimSun"/>
              </w:rPr>
            </w:pPr>
            <w:r>
              <w:rPr>
                <w:spacing w:val="7"/>
              </w:rPr>
              <w:t>*</w:t>
            </w:r>
            <w:r>
              <w:rPr>
                <w:rFonts w:ascii="SimSun" w:hAnsi="SimSun" w:eastAsia="SimSun" w:cs="SimSun"/>
                <w:spacing w:val="7"/>
              </w:rPr>
              <w:t>间二甲苯</w:t>
            </w:r>
            <w:r>
              <w:rPr>
                <w:spacing w:val="7"/>
              </w:rPr>
              <w:t>+</w:t>
            </w:r>
            <w:r>
              <w:rPr>
                <w:rFonts w:ascii="SimSun" w:hAnsi="SimSun" w:eastAsia="SimSun" w:cs="SimSun"/>
                <w:spacing w:val="7"/>
              </w:rPr>
              <w:t>对二甲</w:t>
            </w:r>
          </w:p>
          <w:p>
            <w:pPr>
              <w:ind w:left="956"/>
              <w:spacing w:before="24" w:line="219" w:lineRule="auto"/>
              <w:rPr>
                <w:rFonts w:ascii="SimSun" w:hAnsi="SimSun" w:eastAsia="SimSun" w:cs="SimSun"/>
                <w:sz w:val="20"/>
                <w:szCs w:val="20"/>
              </w:rPr>
            </w:pPr>
            <w:r>
              <w:rPr>
                <w:rFonts w:ascii="SimSun" w:hAnsi="SimSun" w:eastAsia="SimSun" w:cs="SimSun"/>
                <w:sz w:val="20"/>
                <w:szCs w:val="20"/>
              </w:rPr>
              <w:t>苯</w:t>
            </w:r>
          </w:p>
        </w:tc>
        <w:tc>
          <w:tcPr>
            <w:tcW w:w="1312" w:type="dxa"/>
            <w:vAlign w:val="top"/>
          </w:tcPr>
          <w:p>
            <w:pPr>
              <w:pStyle w:val="TableText"/>
              <w:ind w:left="244"/>
              <w:spacing w:before="181"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181"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181"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7"/>
              <w:spacing w:before="201" w:line="195" w:lineRule="auto"/>
              <w:rPr/>
            </w:pPr>
            <w:r>
              <w:rPr>
                <w:spacing w:val="1"/>
              </w:rPr>
              <w:t>570</w:t>
            </w:r>
          </w:p>
        </w:tc>
        <w:tc>
          <w:tcPr>
            <w:tcW w:w="919" w:type="dxa"/>
            <w:vAlign w:val="top"/>
          </w:tcPr>
          <w:p>
            <w:pPr>
              <w:pStyle w:val="TableText"/>
              <w:ind w:left="190"/>
              <w:spacing w:before="197"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588"/>
              <w:spacing w:before="31" w:line="218" w:lineRule="auto"/>
              <w:rPr>
                <w:rFonts w:ascii="SimSun" w:hAnsi="SimSun" w:eastAsia="SimSun" w:cs="SimSun"/>
              </w:rPr>
            </w:pPr>
            <w:r>
              <w:rPr>
                <w:spacing w:val="6"/>
              </w:rPr>
              <w:t>*</w:t>
            </w:r>
            <w:r>
              <w:rPr>
                <w:rFonts w:ascii="SimSun" w:hAnsi="SimSun" w:eastAsia="SimSun" w:cs="SimSun"/>
                <w:spacing w:val="6"/>
              </w:rPr>
              <w:t>邻二甲苯</w:t>
            </w:r>
          </w:p>
        </w:tc>
        <w:tc>
          <w:tcPr>
            <w:tcW w:w="1312" w:type="dxa"/>
            <w:vAlign w:val="top"/>
          </w:tcPr>
          <w:p>
            <w:pPr>
              <w:pStyle w:val="TableText"/>
              <w:ind w:left="244"/>
              <w:spacing w:before="47" w:line="216" w:lineRule="auto"/>
              <w:rPr>
                <w:sz w:val="13"/>
                <w:szCs w:val="13"/>
              </w:rPr>
            </w:pPr>
            <w:r>
              <w:rPr>
                <w:spacing w:val="3"/>
              </w:rPr>
              <w:t>&lt;1.2×10</w:t>
            </w:r>
            <w:r>
              <w:rPr>
                <w:sz w:val="13"/>
                <w:szCs w:val="13"/>
                <w:spacing w:val="3"/>
                <w:position w:val="6"/>
              </w:rPr>
              <w:t>-3</w:t>
            </w:r>
          </w:p>
        </w:tc>
        <w:tc>
          <w:tcPr>
            <w:tcW w:w="1566" w:type="dxa"/>
            <w:vAlign w:val="top"/>
          </w:tcPr>
          <w:p>
            <w:pPr>
              <w:pStyle w:val="TableText"/>
              <w:ind w:left="372"/>
              <w:spacing w:before="47" w:line="216" w:lineRule="auto"/>
              <w:rPr>
                <w:sz w:val="13"/>
                <w:szCs w:val="13"/>
              </w:rPr>
            </w:pPr>
            <w:r>
              <w:rPr>
                <w:spacing w:val="3"/>
              </w:rPr>
              <w:t>&lt;1.2×10</w:t>
            </w:r>
            <w:r>
              <w:rPr>
                <w:sz w:val="13"/>
                <w:szCs w:val="13"/>
                <w:spacing w:val="3"/>
                <w:position w:val="6"/>
              </w:rPr>
              <w:t>-3</w:t>
            </w:r>
          </w:p>
        </w:tc>
        <w:tc>
          <w:tcPr>
            <w:tcW w:w="1573" w:type="dxa"/>
            <w:vAlign w:val="top"/>
          </w:tcPr>
          <w:p>
            <w:pPr>
              <w:pStyle w:val="TableText"/>
              <w:ind w:left="375"/>
              <w:spacing w:before="47" w:line="216" w:lineRule="auto"/>
              <w:rPr>
                <w:sz w:val="13"/>
                <w:szCs w:val="13"/>
              </w:rPr>
            </w:pPr>
            <w:r>
              <w:rPr>
                <w:spacing w:val="3"/>
              </w:rPr>
              <w:t>&lt;1.2×10</w:t>
            </w:r>
            <w:r>
              <w:rPr>
                <w:sz w:val="13"/>
                <w:szCs w:val="13"/>
                <w:spacing w:val="3"/>
                <w:position w:val="6"/>
              </w:rPr>
              <w:t>-3</w:t>
            </w:r>
          </w:p>
        </w:tc>
        <w:tc>
          <w:tcPr>
            <w:tcW w:w="895" w:type="dxa"/>
            <w:vAlign w:val="top"/>
          </w:tcPr>
          <w:p>
            <w:pPr>
              <w:pStyle w:val="TableText"/>
              <w:ind w:left="296"/>
              <w:spacing w:before="67" w:line="195" w:lineRule="auto"/>
              <w:rPr/>
            </w:pPr>
            <w:r>
              <w:rPr>
                <w:spacing w:val="2"/>
              </w:rPr>
              <w:t>640</w:t>
            </w:r>
          </w:p>
        </w:tc>
        <w:tc>
          <w:tcPr>
            <w:tcW w:w="919" w:type="dxa"/>
            <w:vAlign w:val="top"/>
          </w:tcPr>
          <w:p>
            <w:pPr>
              <w:pStyle w:val="TableText"/>
              <w:ind w:left="190"/>
              <w:spacing w:before="63"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04" w:type="dxa"/>
            <w:vAlign w:val="top"/>
          </w:tcPr>
          <w:p>
            <w:pPr>
              <w:pStyle w:val="TableText"/>
              <w:ind w:left="696"/>
              <w:spacing w:before="28" w:line="218" w:lineRule="auto"/>
              <w:rPr>
                <w:rFonts w:ascii="SimSun" w:hAnsi="SimSun" w:eastAsia="SimSun" w:cs="SimSun"/>
              </w:rPr>
            </w:pPr>
            <w:r>
              <w:rPr>
                <w:spacing w:val="4"/>
              </w:rPr>
              <w:t>*</w:t>
            </w:r>
            <w:r>
              <w:rPr>
                <w:rFonts w:ascii="SimSun" w:hAnsi="SimSun" w:eastAsia="SimSun" w:cs="SimSun"/>
                <w:spacing w:val="4"/>
              </w:rPr>
              <w:t>硝基苯</w:t>
            </w:r>
          </w:p>
        </w:tc>
        <w:tc>
          <w:tcPr>
            <w:tcW w:w="1312" w:type="dxa"/>
            <w:vAlign w:val="top"/>
          </w:tcPr>
          <w:p>
            <w:pPr>
              <w:pStyle w:val="TableText"/>
              <w:ind w:left="412"/>
              <w:spacing w:before="65" w:line="195" w:lineRule="auto"/>
              <w:rPr/>
            </w:pPr>
            <w:r>
              <w:rPr>
                <w:spacing w:val="3"/>
              </w:rPr>
              <w:t>&lt;0.09</w:t>
            </w:r>
          </w:p>
        </w:tc>
        <w:tc>
          <w:tcPr>
            <w:tcW w:w="1566" w:type="dxa"/>
            <w:vAlign w:val="top"/>
          </w:tcPr>
          <w:p>
            <w:pPr>
              <w:pStyle w:val="TableText"/>
              <w:ind w:left="540"/>
              <w:spacing w:before="65" w:line="195" w:lineRule="auto"/>
              <w:rPr/>
            </w:pPr>
            <w:r>
              <w:rPr>
                <w:spacing w:val="3"/>
              </w:rPr>
              <w:t>&lt;0.09</w:t>
            </w:r>
          </w:p>
        </w:tc>
        <w:tc>
          <w:tcPr>
            <w:tcW w:w="1573" w:type="dxa"/>
            <w:vAlign w:val="top"/>
          </w:tcPr>
          <w:p>
            <w:pPr>
              <w:pStyle w:val="TableText"/>
              <w:ind w:left="543"/>
              <w:spacing w:before="65" w:line="195" w:lineRule="auto"/>
              <w:rPr/>
            </w:pPr>
            <w:r>
              <w:rPr>
                <w:spacing w:val="3"/>
              </w:rPr>
              <w:t>&lt;0.09</w:t>
            </w:r>
          </w:p>
        </w:tc>
        <w:tc>
          <w:tcPr>
            <w:tcW w:w="895" w:type="dxa"/>
            <w:vAlign w:val="top"/>
          </w:tcPr>
          <w:p>
            <w:pPr>
              <w:pStyle w:val="TableText"/>
              <w:ind w:left="350"/>
              <w:spacing w:before="65" w:line="195" w:lineRule="auto"/>
              <w:rPr/>
            </w:pPr>
            <w:r>
              <w:rPr>
                <w:spacing w:val="1"/>
              </w:rPr>
              <w:t>76</w:t>
            </w:r>
          </w:p>
        </w:tc>
        <w:tc>
          <w:tcPr>
            <w:tcW w:w="919" w:type="dxa"/>
            <w:vAlign w:val="top"/>
          </w:tcPr>
          <w:p>
            <w:pPr>
              <w:pStyle w:val="TableText"/>
              <w:ind w:left="190"/>
              <w:spacing w:before="61"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801"/>
              <w:spacing w:before="32" w:line="217" w:lineRule="auto"/>
              <w:rPr>
                <w:rFonts w:ascii="SimSun" w:hAnsi="SimSun" w:eastAsia="SimSun" w:cs="SimSun"/>
              </w:rPr>
            </w:pPr>
            <w:r>
              <w:rPr>
                <w:spacing w:val="2"/>
              </w:rPr>
              <w:t>*</w:t>
            </w:r>
            <w:r>
              <w:rPr>
                <w:rFonts w:ascii="SimSun" w:hAnsi="SimSun" w:eastAsia="SimSun" w:cs="SimSun"/>
                <w:spacing w:val="2"/>
              </w:rPr>
              <w:t>苯胺</w:t>
            </w:r>
          </w:p>
        </w:tc>
        <w:tc>
          <w:tcPr>
            <w:tcW w:w="1312" w:type="dxa"/>
            <w:vAlign w:val="top"/>
          </w:tcPr>
          <w:p>
            <w:pPr>
              <w:pStyle w:val="TableText"/>
              <w:ind w:left="412"/>
              <w:spacing w:before="68" w:line="195" w:lineRule="auto"/>
              <w:rPr/>
            </w:pPr>
            <w:r>
              <w:rPr>
                <w:spacing w:val="3"/>
              </w:rPr>
              <w:t>&lt;0.08</w:t>
            </w:r>
          </w:p>
        </w:tc>
        <w:tc>
          <w:tcPr>
            <w:tcW w:w="1566" w:type="dxa"/>
            <w:vAlign w:val="top"/>
          </w:tcPr>
          <w:p>
            <w:pPr>
              <w:pStyle w:val="TableText"/>
              <w:ind w:left="540"/>
              <w:spacing w:before="68" w:line="195" w:lineRule="auto"/>
              <w:rPr/>
            </w:pPr>
            <w:r>
              <w:rPr>
                <w:spacing w:val="3"/>
              </w:rPr>
              <w:t>&lt;0.08</w:t>
            </w:r>
          </w:p>
        </w:tc>
        <w:tc>
          <w:tcPr>
            <w:tcW w:w="1573" w:type="dxa"/>
            <w:vAlign w:val="top"/>
          </w:tcPr>
          <w:p>
            <w:pPr>
              <w:pStyle w:val="TableText"/>
              <w:ind w:left="543"/>
              <w:spacing w:before="68" w:line="195" w:lineRule="auto"/>
              <w:rPr/>
            </w:pPr>
            <w:r>
              <w:rPr>
                <w:spacing w:val="3"/>
              </w:rPr>
              <w:t>&lt;0.08</w:t>
            </w:r>
          </w:p>
        </w:tc>
        <w:tc>
          <w:tcPr>
            <w:tcW w:w="895" w:type="dxa"/>
            <w:vAlign w:val="top"/>
          </w:tcPr>
          <w:p>
            <w:pPr>
              <w:pStyle w:val="TableText"/>
              <w:ind w:left="291"/>
              <w:spacing w:before="68" w:line="195" w:lineRule="auto"/>
              <w:rPr/>
            </w:pPr>
            <w:r>
              <w:rPr>
                <w:spacing w:val="3"/>
              </w:rPr>
              <w:t>260</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5" w:hRule="atLeast"/>
        </w:trPr>
        <w:tc>
          <w:tcPr>
            <w:tcW w:w="2104" w:type="dxa"/>
            <w:vAlign w:val="top"/>
          </w:tcPr>
          <w:p>
            <w:pPr>
              <w:pStyle w:val="TableText"/>
              <w:ind w:left="713"/>
              <w:spacing w:before="33" w:line="214" w:lineRule="auto"/>
              <w:rPr>
                <w:rFonts w:ascii="SimSun" w:hAnsi="SimSun" w:eastAsia="SimSun" w:cs="SimSun"/>
              </w:rPr>
            </w:pPr>
            <w:r>
              <w:rPr>
                <w:spacing w:val="3"/>
              </w:rPr>
              <w:t>*2-</w:t>
            </w:r>
            <w:r>
              <w:rPr>
                <w:rFonts w:ascii="SimSun" w:hAnsi="SimSun" w:eastAsia="SimSun" w:cs="SimSun"/>
                <w:spacing w:val="3"/>
              </w:rPr>
              <w:t>氯酚</w:t>
            </w:r>
          </w:p>
        </w:tc>
        <w:tc>
          <w:tcPr>
            <w:tcW w:w="1312" w:type="dxa"/>
            <w:vAlign w:val="top"/>
          </w:tcPr>
          <w:p>
            <w:pPr>
              <w:pStyle w:val="TableText"/>
              <w:ind w:left="412"/>
              <w:spacing w:before="68" w:line="195" w:lineRule="auto"/>
              <w:rPr/>
            </w:pPr>
            <w:r>
              <w:rPr>
                <w:spacing w:val="3"/>
              </w:rPr>
              <w:t>&lt;0.06</w:t>
            </w:r>
          </w:p>
        </w:tc>
        <w:tc>
          <w:tcPr>
            <w:tcW w:w="1566" w:type="dxa"/>
            <w:vAlign w:val="top"/>
          </w:tcPr>
          <w:p>
            <w:pPr>
              <w:pStyle w:val="TableText"/>
              <w:ind w:left="540"/>
              <w:spacing w:before="68" w:line="195" w:lineRule="auto"/>
              <w:rPr/>
            </w:pPr>
            <w:r>
              <w:rPr>
                <w:spacing w:val="3"/>
              </w:rPr>
              <w:t>&lt;0.06</w:t>
            </w:r>
          </w:p>
        </w:tc>
        <w:tc>
          <w:tcPr>
            <w:tcW w:w="1573" w:type="dxa"/>
            <w:vAlign w:val="top"/>
          </w:tcPr>
          <w:p>
            <w:pPr>
              <w:pStyle w:val="TableText"/>
              <w:ind w:left="543"/>
              <w:spacing w:before="68" w:line="195" w:lineRule="auto"/>
              <w:rPr/>
            </w:pPr>
            <w:r>
              <w:rPr>
                <w:spacing w:val="3"/>
              </w:rPr>
              <w:t>&lt;0.06</w:t>
            </w:r>
          </w:p>
        </w:tc>
        <w:tc>
          <w:tcPr>
            <w:tcW w:w="895" w:type="dxa"/>
            <w:vAlign w:val="top"/>
          </w:tcPr>
          <w:p>
            <w:pPr>
              <w:pStyle w:val="TableText"/>
              <w:ind w:left="238"/>
              <w:spacing w:before="68" w:line="195" w:lineRule="auto"/>
              <w:rPr/>
            </w:pPr>
            <w:r>
              <w:rPr>
                <w:spacing w:val="4"/>
              </w:rPr>
              <w:t>2256</w:t>
            </w:r>
          </w:p>
        </w:tc>
        <w:tc>
          <w:tcPr>
            <w:tcW w:w="919" w:type="dxa"/>
            <w:vAlign w:val="top"/>
          </w:tcPr>
          <w:p>
            <w:pPr>
              <w:pStyle w:val="TableText"/>
              <w:ind w:left="190"/>
              <w:spacing w:before="64"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581"/>
              <w:spacing w:before="33" w:line="216"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蒽</w:t>
            </w:r>
          </w:p>
        </w:tc>
        <w:tc>
          <w:tcPr>
            <w:tcW w:w="1312" w:type="dxa"/>
            <w:vAlign w:val="top"/>
          </w:tcPr>
          <w:p>
            <w:pPr>
              <w:pStyle w:val="TableText"/>
              <w:ind w:left="465"/>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9" w:line="195" w:lineRule="auto"/>
              <w:rPr/>
            </w:pPr>
            <w:r>
              <w:rPr>
                <w:spacing w:val="-8"/>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581"/>
              <w:spacing w:before="34" w:line="214" w:lineRule="auto"/>
              <w:rPr>
                <w:rFonts w:ascii="SimSun" w:hAnsi="SimSun" w:eastAsia="SimSun" w:cs="SimSun"/>
              </w:rPr>
            </w:pPr>
            <w:r>
              <w:rPr>
                <w:spacing w:val="4"/>
              </w:rPr>
              <w:t>*</w:t>
            </w:r>
            <w:r>
              <w:rPr>
                <w:rFonts w:ascii="SimSun" w:hAnsi="SimSun" w:eastAsia="SimSun" w:cs="SimSun"/>
                <w:spacing w:val="4"/>
              </w:rPr>
              <w:t>苯并</w:t>
            </w:r>
            <w:r>
              <w:rPr>
                <w:spacing w:val="4"/>
              </w:rPr>
              <w:t>[a]</w:t>
            </w:r>
            <w:r>
              <w:rPr>
                <w:rFonts w:ascii="SimSun" w:hAnsi="SimSun" w:eastAsia="SimSun" w:cs="SimSun"/>
                <w:spacing w:val="4"/>
              </w:rPr>
              <w:t>芘</w:t>
            </w:r>
          </w:p>
        </w:tc>
        <w:tc>
          <w:tcPr>
            <w:tcW w:w="1312" w:type="dxa"/>
            <w:vAlign w:val="top"/>
          </w:tcPr>
          <w:p>
            <w:pPr>
              <w:pStyle w:val="TableText"/>
              <w:ind w:left="465"/>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38"/>
              <w:spacing w:before="69" w:line="195" w:lineRule="auto"/>
              <w:rPr/>
            </w:pPr>
            <w:r>
              <w:rPr>
                <w:spacing w:val="-4"/>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468"/>
              <w:spacing w:before="36" w:line="214" w:lineRule="auto"/>
              <w:rPr>
                <w:rFonts w:ascii="SimSun" w:hAnsi="SimSun" w:eastAsia="SimSun" w:cs="SimSun"/>
              </w:rPr>
            </w:pPr>
            <w:r>
              <w:rPr>
                <w:spacing w:val="4"/>
              </w:rPr>
              <w:t>*</w:t>
            </w:r>
            <w:r>
              <w:rPr>
                <w:rFonts w:ascii="SimSun" w:hAnsi="SimSun" w:eastAsia="SimSun" w:cs="SimSun"/>
                <w:spacing w:val="4"/>
              </w:rPr>
              <w:t>苯并</w:t>
            </w:r>
            <w:r>
              <w:rPr>
                <w:spacing w:val="4"/>
              </w:rPr>
              <w:t>[b]</w:t>
            </w:r>
            <w:r>
              <w:rPr>
                <w:rFonts w:ascii="SimSun" w:hAnsi="SimSun" w:eastAsia="SimSun" w:cs="SimSun"/>
                <w:spacing w:val="4"/>
              </w:rPr>
              <w:t>荧蒽</w:t>
            </w:r>
          </w:p>
        </w:tc>
        <w:tc>
          <w:tcPr>
            <w:tcW w:w="1312" w:type="dxa"/>
            <w:vAlign w:val="top"/>
          </w:tcPr>
          <w:p>
            <w:pPr>
              <w:pStyle w:val="TableText"/>
              <w:ind w:left="465"/>
              <w:spacing w:before="71" w:line="195" w:lineRule="auto"/>
              <w:rPr/>
            </w:pPr>
            <w:r>
              <w:rPr>
                <w:spacing w:val="3"/>
              </w:rPr>
              <w:t>&lt;0.2</w:t>
            </w:r>
          </w:p>
        </w:tc>
        <w:tc>
          <w:tcPr>
            <w:tcW w:w="1566" w:type="dxa"/>
            <w:vAlign w:val="top"/>
          </w:tcPr>
          <w:p>
            <w:pPr>
              <w:pStyle w:val="TableText"/>
              <w:ind w:left="593"/>
              <w:spacing w:before="71" w:line="195" w:lineRule="auto"/>
              <w:rPr/>
            </w:pPr>
            <w:r>
              <w:rPr>
                <w:spacing w:val="3"/>
              </w:rPr>
              <w:t>&lt;0.2</w:t>
            </w:r>
          </w:p>
        </w:tc>
        <w:tc>
          <w:tcPr>
            <w:tcW w:w="1573" w:type="dxa"/>
            <w:vAlign w:val="top"/>
          </w:tcPr>
          <w:p>
            <w:pPr>
              <w:pStyle w:val="TableText"/>
              <w:ind w:left="599"/>
              <w:spacing w:before="71" w:line="195" w:lineRule="auto"/>
              <w:rPr/>
            </w:pPr>
            <w:r>
              <w:rPr>
                <w:spacing w:val="3"/>
              </w:rPr>
              <w:t>&lt;0.2</w:t>
            </w:r>
          </w:p>
        </w:tc>
        <w:tc>
          <w:tcPr>
            <w:tcW w:w="895" w:type="dxa"/>
            <w:vAlign w:val="top"/>
          </w:tcPr>
          <w:p>
            <w:pPr>
              <w:pStyle w:val="TableText"/>
              <w:ind w:left="366"/>
              <w:spacing w:before="71" w:line="195" w:lineRule="auto"/>
              <w:rPr/>
            </w:pPr>
            <w:r>
              <w:rPr>
                <w:spacing w:val="-8"/>
              </w:rPr>
              <w:t>15</w:t>
            </w:r>
          </w:p>
        </w:tc>
        <w:tc>
          <w:tcPr>
            <w:tcW w:w="919" w:type="dxa"/>
            <w:vAlign w:val="top"/>
          </w:tcPr>
          <w:p>
            <w:pPr>
              <w:pStyle w:val="TableText"/>
              <w:ind w:left="190"/>
              <w:spacing w:before="67"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468"/>
              <w:spacing w:before="33" w:line="216" w:lineRule="auto"/>
              <w:rPr>
                <w:rFonts w:ascii="SimSun" w:hAnsi="SimSun" w:eastAsia="SimSun" w:cs="SimSun"/>
              </w:rPr>
            </w:pPr>
            <w:r>
              <w:rPr>
                <w:spacing w:val="4"/>
              </w:rPr>
              <w:t>*</w:t>
            </w:r>
            <w:r>
              <w:rPr>
                <w:rFonts w:ascii="SimSun" w:hAnsi="SimSun" w:eastAsia="SimSun" w:cs="SimSun"/>
                <w:spacing w:val="4"/>
              </w:rPr>
              <w:t>苯并</w:t>
            </w:r>
            <w:r>
              <w:rPr>
                <w:spacing w:val="4"/>
              </w:rPr>
              <w:t>[k]</w:t>
            </w:r>
            <w:r>
              <w:rPr>
                <w:rFonts w:ascii="SimSun" w:hAnsi="SimSun" w:eastAsia="SimSun" w:cs="SimSun"/>
                <w:spacing w:val="4"/>
              </w:rPr>
              <w:t>荧蒽</w:t>
            </w:r>
          </w:p>
        </w:tc>
        <w:tc>
          <w:tcPr>
            <w:tcW w:w="1312" w:type="dxa"/>
            <w:vAlign w:val="top"/>
          </w:tcPr>
          <w:p>
            <w:pPr>
              <w:pStyle w:val="TableText"/>
              <w:ind w:left="465"/>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11"/>
              <w:spacing w:before="69" w:line="195" w:lineRule="auto"/>
              <w:rPr/>
            </w:pPr>
            <w:r>
              <w:rPr>
                <w:spacing w:val="-3"/>
              </w:rPr>
              <w:t>151</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905"/>
              <w:spacing w:before="34" w:line="214" w:lineRule="auto"/>
              <w:rPr>
                <w:rFonts w:ascii="SimSun" w:hAnsi="SimSun" w:eastAsia="SimSun" w:cs="SimSun"/>
              </w:rPr>
            </w:pPr>
            <w:r>
              <w:rPr>
                <w:spacing w:val="-2"/>
              </w:rPr>
              <w:t>*</w:t>
            </w:r>
            <w:r>
              <w:rPr>
                <w:rFonts w:ascii="SimSun" w:hAnsi="SimSun" w:eastAsia="SimSun" w:cs="SimSun"/>
                <w:spacing w:val="-2"/>
              </w:rPr>
              <w:t>䓛</w:t>
            </w:r>
          </w:p>
        </w:tc>
        <w:tc>
          <w:tcPr>
            <w:tcW w:w="1312" w:type="dxa"/>
            <w:vAlign w:val="top"/>
          </w:tcPr>
          <w:p>
            <w:pPr>
              <w:pStyle w:val="TableText"/>
              <w:ind w:left="465"/>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258"/>
              <w:spacing w:before="69" w:line="195" w:lineRule="auto"/>
              <w:rPr/>
            </w:pPr>
            <w:r>
              <w:rPr>
                <w:spacing w:val="-1"/>
              </w:rPr>
              <w:t>1293</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396"/>
              <w:spacing w:before="36" w:line="214" w:lineRule="auto"/>
              <w:rPr>
                <w:rFonts w:ascii="SimSun" w:hAnsi="SimSun" w:eastAsia="SimSun" w:cs="SimSun"/>
              </w:rPr>
            </w:pPr>
            <w:r>
              <w:rPr>
                <w:spacing w:val="4"/>
              </w:rPr>
              <w:t>*</w:t>
            </w:r>
            <w:r>
              <w:rPr>
                <w:rFonts w:ascii="SimSun" w:hAnsi="SimSun" w:eastAsia="SimSun" w:cs="SimSun"/>
                <w:spacing w:val="4"/>
              </w:rPr>
              <w:t>二苯并</w:t>
            </w:r>
            <w:r>
              <w:rPr>
                <w:spacing w:val="4"/>
              </w:rPr>
              <w:t>[a,h]</w:t>
            </w:r>
            <w:r>
              <w:rPr>
                <w:rFonts w:ascii="SimSun" w:hAnsi="SimSun" w:eastAsia="SimSun" w:cs="SimSun"/>
                <w:spacing w:val="4"/>
              </w:rPr>
              <w:t>蒽</w:t>
            </w:r>
          </w:p>
        </w:tc>
        <w:tc>
          <w:tcPr>
            <w:tcW w:w="1312" w:type="dxa"/>
            <w:vAlign w:val="top"/>
          </w:tcPr>
          <w:p>
            <w:pPr>
              <w:pStyle w:val="TableText"/>
              <w:ind w:left="465"/>
              <w:spacing w:before="71"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71"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71" w:line="195" w:lineRule="auto"/>
              <w:rPr/>
            </w:pPr>
            <w:r>
              <w:rPr>
                <w:spacing w:val="2"/>
              </w:rPr>
              <w:t>&lt;0.</w:t>
            </w:r>
            <w:r>
              <w:rPr>
                <w:spacing w:val="-25"/>
              </w:rPr>
              <w:t xml:space="preserve"> </w:t>
            </w:r>
            <w:r>
              <w:rPr>
                <w:spacing w:val="2"/>
              </w:rPr>
              <w:t>1</w:t>
            </w:r>
          </w:p>
        </w:tc>
        <w:tc>
          <w:tcPr>
            <w:tcW w:w="895" w:type="dxa"/>
            <w:vAlign w:val="top"/>
          </w:tcPr>
          <w:p>
            <w:pPr>
              <w:pStyle w:val="TableText"/>
              <w:ind w:left="338"/>
              <w:spacing w:before="71" w:line="195" w:lineRule="auto"/>
              <w:rPr/>
            </w:pPr>
            <w:r>
              <w:rPr>
                <w:spacing w:val="-4"/>
              </w:rPr>
              <w:t>1.5</w:t>
            </w:r>
          </w:p>
        </w:tc>
        <w:tc>
          <w:tcPr>
            <w:tcW w:w="919" w:type="dxa"/>
            <w:vAlign w:val="top"/>
          </w:tcPr>
          <w:p>
            <w:pPr>
              <w:pStyle w:val="TableText"/>
              <w:ind w:left="190"/>
              <w:spacing w:before="68"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8" w:hRule="atLeast"/>
        </w:trPr>
        <w:tc>
          <w:tcPr>
            <w:tcW w:w="2104" w:type="dxa"/>
            <w:vAlign w:val="top"/>
          </w:tcPr>
          <w:p>
            <w:pPr>
              <w:pStyle w:val="TableText"/>
              <w:ind w:left="281"/>
              <w:spacing w:before="33" w:line="216" w:lineRule="auto"/>
              <w:rPr>
                <w:rFonts w:ascii="SimSun" w:hAnsi="SimSun" w:eastAsia="SimSun" w:cs="SimSun"/>
              </w:rPr>
            </w:pPr>
            <w:r>
              <w:rPr>
                <w:spacing w:val="4"/>
              </w:rPr>
              <w:t>*</w:t>
            </w:r>
            <w:r>
              <w:rPr>
                <w:rFonts w:ascii="SimSun" w:hAnsi="SimSun" w:eastAsia="SimSun" w:cs="SimSun"/>
                <w:spacing w:val="4"/>
              </w:rPr>
              <w:t>茚并</w:t>
            </w:r>
            <w:r>
              <w:rPr>
                <w:spacing w:val="4"/>
              </w:rPr>
              <w:t>[1,2,3-</w:t>
            </w:r>
            <w:r>
              <w:rPr/>
              <w:t>cd</w:t>
            </w:r>
            <w:r>
              <w:rPr>
                <w:spacing w:val="4"/>
              </w:rPr>
              <w:t>]</w:t>
            </w:r>
            <w:r>
              <w:rPr>
                <w:rFonts w:ascii="SimSun" w:hAnsi="SimSun" w:eastAsia="SimSun" w:cs="SimSun"/>
                <w:spacing w:val="4"/>
              </w:rPr>
              <w:t>芘</w:t>
            </w:r>
          </w:p>
        </w:tc>
        <w:tc>
          <w:tcPr>
            <w:tcW w:w="1312" w:type="dxa"/>
            <w:vAlign w:val="top"/>
          </w:tcPr>
          <w:p>
            <w:pPr>
              <w:pStyle w:val="TableText"/>
              <w:ind w:left="465"/>
              <w:spacing w:before="69" w:line="195" w:lineRule="auto"/>
              <w:rPr/>
            </w:pPr>
            <w:r>
              <w:rPr>
                <w:spacing w:val="2"/>
              </w:rPr>
              <w:t>&lt;0.</w:t>
            </w:r>
            <w:r>
              <w:rPr>
                <w:spacing w:val="-25"/>
              </w:rPr>
              <w:t xml:space="preserve"> </w:t>
            </w:r>
            <w:r>
              <w:rPr>
                <w:spacing w:val="2"/>
              </w:rPr>
              <w:t>1</w:t>
            </w:r>
          </w:p>
        </w:tc>
        <w:tc>
          <w:tcPr>
            <w:tcW w:w="1566" w:type="dxa"/>
            <w:vAlign w:val="top"/>
          </w:tcPr>
          <w:p>
            <w:pPr>
              <w:pStyle w:val="TableText"/>
              <w:ind w:left="593"/>
              <w:spacing w:before="69" w:line="195" w:lineRule="auto"/>
              <w:rPr/>
            </w:pPr>
            <w:r>
              <w:rPr>
                <w:spacing w:val="2"/>
              </w:rPr>
              <w:t>&lt;0.</w:t>
            </w:r>
            <w:r>
              <w:rPr>
                <w:spacing w:val="-25"/>
              </w:rPr>
              <w:t xml:space="preserve"> </w:t>
            </w:r>
            <w:r>
              <w:rPr>
                <w:spacing w:val="2"/>
              </w:rPr>
              <w:t>1</w:t>
            </w:r>
          </w:p>
        </w:tc>
        <w:tc>
          <w:tcPr>
            <w:tcW w:w="1573" w:type="dxa"/>
            <w:vAlign w:val="top"/>
          </w:tcPr>
          <w:p>
            <w:pPr>
              <w:pStyle w:val="TableText"/>
              <w:ind w:left="599"/>
              <w:spacing w:before="69" w:line="195" w:lineRule="auto"/>
              <w:rPr/>
            </w:pPr>
            <w:r>
              <w:rPr>
                <w:spacing w:val="2"/>
              </w:rPr>
              <w:t>&lt;0.</w:t>
            </w:r>
            <w:r>
              <w:rPr>
                <w:spacing w:val="-25"/>
              </w:rPr>
              <w:t xml:space="preserve"> </w:t>
            </w:r>
            <w:r>
              <w:rPr>
                <w:spacing w:val="2"/>
              </w:rPr>
              <w:t>1</w:t>
            </w:r>
          </w:p>
        </w:tc>
        <w:tc>
          <w:tcPr>
            <w:tcW w:w="895" w:type="dxa"/>
            <w:vAlign w:val="top"/>
          </w:tcPr>
          <w:p>
            <w:pPr>
              <w:pStyle w:val="TableText"/>
              <w:ind w:left="366"/>
              <w:spacing w:before="69" w:line="195" w:lineRule="auto"/>
              <w:rPr/>
            </w:pPr>
            <w:r>
              <w:rPr>
                <w:spacing w:val="-8"/>
              </w:rPr>
              <w:t>15</w:t>
            </w:r>
          </w:p>
        </w:tc>
        <w:tc>
          <w:tcPr>
            <w:tcW w:w="919" w:type="dxa"/>
            <w:vAlign w:val="top"/>
          </w:tcPr>
          <w:p>
            <w:pPr>
              <w:pStyle w:val="TableText"/>
              <w:ind w:left="190"/>
              <w:spacing w:before="65" w:line="201" w:lineRule="auto"/>
              <w:rPr/>
            </w:pPr>
            <w:r>
              <w:rPr>
                <w:spacing w:val="4"/>
              </w:rPr>
              <w:t>mg/kg</w:t>
            </w:r>
          </w:p>
        </w:tc>
        <w:tc>
          <w:tcPr>
            <w:tcW w:w="921" w:type="dxa"/>
            <w:vAlign w:val="top"/>
            <w:vMerge w:val="continue"/>
            <w:tcBorders>
              <w:top w:val="nil"/>
              <w:bottom w:val="nil"/>
            </w:tcBorders>
          </w:tcPr>
          <w:p>
            <w:pPr>
              <w:rPr>
                <w:rFonts w:ascii="Arial"/>
                <w:sz w:val="21"/>
              </w:rPr>
            </w:pPr>
            <w:r/>
          </w:p>
        </w:tc>
      </w:tr>
      <w:tr>
        <w:trPr>
          <w:trHeight w:val="276" w:hRule="atLeast"/>
        </w:trPr>
        <w:tc>
          <w:tcPr>
            <w:tcW w:w="2104" w:type="dxa"/>
            <w:vAlign w:val="top"/>
          </w:tcPr>
          <w:p>
            <w:pPr>
              <w:pStyle w:val="TableText"/>
              <w:ind w:left="905"/>
              <w:spacing w:before="34" w:line="214" w:lineRule="auto"/>
              <w:rPr>
                <w:rFonts w:ascii="SimSun" w:hAnsi="SimSun" w:eastAsia="SimSun" w:cs="SimSun"/>
              </w:rPr>
            </w:pPr>
            <w:r>
              <w:rPr>
                <w:spacing w:val="-2"/>
              </w:rPr>
              <w:t>*</w:t>
            </w:r>
            <w:r>
              <w:rPr>
                <w:rFonts w:ascii="SimSun" w:hAnsi="SimSun" w:eastAsia="SimSun" w:cs="SimSun"/>
                <w:spacing w:val="-2"/>
              </w:rPr>
              <w:t>萘</w:t>
            </w:r>
          </w:p>
        </w:tc>
        <w:tc>
          <w:tcPr>
            <w:tcW w:w="1312" w:type="dxa"/>
            <w:vAlign w:val="top"/>
          </w:tcPr>
          <w:p>
            <w:pPr>
              <w:pStyle w:val="TableText"/>
              <w:ind w:left="412"/>
              <w:spacing w:before="69" w:line="195" w:lineRule="auto"/>
              <w:rPr/>
            </w:pPr>
            <w:r>
              <w:rPr>
                <w:spacing w:val="3"/>
              </w:rPr>
              <w:t>&lt;0.09</w:t>
            </w:r>
          </w:p>
        </w:tc>
        <w:tc>
          <w:tcPr>
            <w:tcW w:w="1566" w:type="dxa"/>
            <w:vAlign w:val="top"/>
          </w:tcPr>
          <w:p>
            <w:pPr>
              <w:pStyle w:val="TableText"/>
              <w:ind w:left="540"/>
              <w:spacing w:before="69" w:line="195" w:lineRule="auto"/>
              <w:rPr/>
            </w:pPr>
            <w:r>
              <w:rPr>
                <w:spacing w:val="3"/>
              </w:rPr>
              <w:t>&lt;0.09</w:t>
            </w:r>
          </w:p>
        </w:tc>
        <w:tc>
          <w:tcPr>
            <w:tcW w:w="1573" w:type="dxa"/>
            <w:vAlign w:val="top"/>
          </w:tcPr>
          <w:p>
            <w:pPr>
              <w:pStyle w:val="TableText"/>
              <w:ind w:left="543"/>
              <w:spacing w:before="69" w:line="195" w:lineRule="auto"/>
              <w:rPr/>
            </w:pPr>
            <w:r>
              <w:rPr>
                <w:spacing w:val="3"/>
              </w:rPr>
              <w:t>&lt;0.09</w:t>
            </w:r>
          </w:p>
        </w:tc>
        <w:tc>
          <w:tcPr>
            <w:tcW w:w="895" w:type="dxa"/>
            <w:vAlign w:val="top"/>
          </w:tcPr>
          <w:p>
            <w:pPr>
              <w:pStyle w:val="TableText"/>
              <w:ind w:left="350"/>
              <w:spacing w:before="69" w:line="195" w:lineRule="auto"/>
              <w:rPr/>
            </w:pPr>
            <w:r>
              <w:rPr>
                <w:spacing w:val="1"/>
              </w:rPr>
              <w:t>70</w:t>
            </w:r>
          </w:p>
        </w:tc>
        <w:tc>
          <w:tcPr>
            <w:tcW w:w="919" w:type="dxa"/>
            <w:vAlign w:val="top"/>
          </w:tcPr>
          <w:p>
            <w:pPr>
              <w:pStyle w:val="TableText"/>
              <w:ind w:left="190"/>
              <w:spacing w:before="66" w:line="201" w:lineRule="auto"/>
              <w:rPr/>
            </w:pPr>
            <w:r>
              <w:rPr>
                <w:spacing w:val="4"/>
              </w:rPr>
              <w:t>mg/kg</w:t>
            </w:r>
          </w:p>
        </w:tc>
        <w:tc>
          <w:tcPr>
            <w:tcW w:w="921" w:type="dxa"/>
            <w:vAlign w:val="top"/>
            <w:vMerge w:val="continue"/>
            <w:tcBorders>
              <w:top w:val="nil"/>
            </w:tcBorders>
          </w:tcPr>
          <w:p>
            <w:pPr>
              <w:rPr>
                <w:rFonts w:ascii="Arial"/>
                <w:sz w:val="21"/>
              </w:rPr>
            </w:pPr>
            <w:r/>
          </w:p>
        </w:tc>
      </w:tr>
      <w:tr>
        <w:trPr>
          <w:trHeight w:val="278" w:hRule="atLeast"/>
        </w:trPr>
        <w:tc>
          <w:tcPr>
            <w:tcW w:w="2104" w:type="dxa"/>
            <w:vAlign w:val="top"/>
          </w:tcPr>
          <w:p>
            <w:pPr>
              <w:pStyle w:val="TableText"/>
              <w:ind w:left="751"/>
              <w:spacing w:before="33" w:line="216" w:lineRule="auto"/>
              <w:rPr>
                <w:rFonts w:ascii="SimSun" w:hAnsi="SimSun" w:eastAsia="SimSun" w:cs="SimSun"/>
              </w:rPr>
            </w:pPr>
            <w:r>
              <w:rPr/>
              <w:t>*pH</w:t>
            </w:r>
            <w:r>
              <w:rPr>
                <w:spacing w:val="11"/>
              </w:rPr>
              <w:t xml:space="preserve"> </w:t>
            </w:r>
            <w:r>
              <w:rPr>
                <w:rFonts w:ascii="SimSun" w:hAnsi="SimSun" w:eastAsia="SimSun" w:cs="SimSun"/>
              </w:rPr>
              <w:t>值</w:t>
            </w:r>
          </w:p>
        </w:tc>
        <w:tc>
          <w:tcPr>
            <w:tcW w:w="1312" w:type="dxa"/>
            <w:vAlign w:val="top"/>
          </w:tcPr>
          <w:p>
            <w:pPr>
              <w:pStyle w:val="TableText"/>
              <w:ind w:left="478"/>
              <w:spacing w:before="69" w:line="195" w:lineRule="auto"/>
              <w:rPr/>
            </w:pPr>
            <w:r>
              <w:rPr>
                <w:spacing w:val="1"/>
              </w:rPr>
              <w:t>8.43</w:t>
            </w:r>
          </w:p>
        </w:tc>
        <w:tc>
          <w:tcPr>
            <w:tcW w:w="1566" w:type="dxa"/>
            <w:vAlign w:val="top"/>
          </w:tcPr>
          <w:p>
            <w:pPr>
              <w:pStyle w:val="TableText"/>
              <w:ind w:left="606"/>
              <w:spacing w:before="69" w:line="195" w:lineRule="auto"/>
              <w:rPr/>
            </w:pPr>
            <w:r>
              <w:rPr>
                <w:spacing w:val="1"/>
              </w:rPr>
              <w:t>8.16</w:t>
            </w:r>
          </w:p>
        </w:tc>
        <w:tc>
          <w:tcPr>
            <w:tcW w:w="1573" w:type="dxa"/>
            <w:vAlign w:val="top"/>
          </w:tcPr>
          <w:p>
            <w:pPr>
              <w:pStyle w:val="TableText"/>
              <w:ind w:left="612"/>
              <w:spacing w:before="69" w:line="195" w:lineRule="auto"/>
              <w:rPr/>
            </w:pPr>
            <w:r>
              <w:rPr>
                <w:spacing w:val="1"/>
              </w:rPr>
              <w:t>8.16</w:t>
            </w:r>
          </w:p>
        </w:tc>
        <w:tc>
          <w:tcPr>
            <w:tcW w:w="895" w:type="dxa"/>
            <w:vAlign w:val="top"/>
          </w:tcPr>
          <w:p>
            <w:pPr>
              <w:ind w:left="369"/>
              <w:spacing w:before="33" w:line="216" w:lineRule="auto"/>
              <w:rPr>
                <w:rFonts w:ascii="SimSun" w:hAnsi="SimSun" w:eastAsia="SimSun" w:cs="SimSun"/>
                <w:sz w:val="20"/>
                <w:szCs w:val="20"/>
              </w:rPr>
            </w:pPr>
            <w:r>
              <w:rPr>
                <w:rFonts w:ascii="SimSun" w:hAnsi="SimSun" w:eastAsia="SimSun" w:cs="SimSun"/>
                <w:sz w:val="20"/>
                <w:szCs w:val="20"/>
                <w:spacing w:val="24"/>
                <w:w w:val="131"/>
              </w:rPr>
              <w:t>-</w:t>
            </w:r>
          </w:p>
        </w:tc>
        <w:tc>
          <w:tcPr>
            <w:tcW w:w="919" w:type="dxa"/>
            <w:vAlign w:val="top"/>
          </w:tcPr>
          <w:p>
            <w:pPr>
              <w:ind w:left="153"/>
              <w:spacing w:before="33" w:line="216" w:lineRule="auto"/>
              <w:rPr>
                <w:rFonts w:ascii="SimSun" w:hAnsi="SimSun" w:eastAsia="SimSun" w:cs="SimSun"/>
                <w:sz w:val="20"/>
                <w:szCs w:val="20"/>
              </w:rPr>
            </w:pPr>
            <w:r>
              <w:rPr>
                <w:rFonts w:ascii="SimSun" w:hAnsi="SimSun" w:eastAsia="SimSun" w:cs="SimSun"/>
                <w:sz w:val="20"/>
                <w:szCs w:val="20"/>
                <w:spacing w:val="6"/>
              </w:rPr>
              <w:t>无量纲</w:t>
            </w:r>
          </w:p>
        </w:tc>
        <w:tc>
          <w:tcPr>
            <w:tcW w:w="921" w:type="dxa"/>
            <w:vAlign w:val="top"/>
          </w:tcPr>
          <w:p>
            <w:pPr>
              <w:rPr>
                <w:rFonts w:ascii="Arial"/>
                <w:sz w:val="21"/>
              </w:rPr>
            </w:pPr>
            <w:r/>
          </w:p>
        </w:tc>
      </w:tr>
      <w:tr>
        <w:trPr>
          <w:trHeight w:val="1643" w:hRule="atLeast"/>
        </w:trPr>
        <w:tc>
          <w:tcPr>
            <w:tcW w:w="9290" w:type="dxa"/>
            <w:vAlign w:val="top"/>
            <w:gridSpan w:val="7"/>
          </w:tcPr>
          <w:p>
            <w:pPr>
              <w:ind w:left="116"/>
              <w:spacing w:before="34"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12" w:firstLine="12"/>
              <w:spacing w:before="23"/>
              <w:rPr>
                <w:rFonts w:ascii="SimSun" w:hAnsi="SimSun" w:eastAsia="SimSun" w:cs="SimSun"/>
              </w:rPr>
            </w:pPr>
            <w:r>
              <w:rPr>
                <w:spacing w:val="10"/>
              </w:rPr>
              <w:t>1.</w:t>
            </w:r>
            <w:r>
              <w:rPr>
                <w:rFonts w:ascii="SimSun" w:hAnsi="SimSun" w:eastAsia="SimSun" w:cs="SimSun"/>
                <w:spacing w:val="10"/>
              </w:rPr>
              <w:t>检测结果参照执行《土壤环境质量 建设用地土壤污染风险管控标准》</w:t>
            </w:r>
            <w:r>
              <w:rPr/>
              <w:t>GB</w:t>
            </w:r>
            <w:r>
              <w:rPr>
                <w:spacing w:val="10"/>
              </w:rPr>
              <w:t>366</w:t>
            </w:r>
            <w:r>
              <w:rPr>
                <w:spacing w:val="9"/>
              </w:rPr>
              <w:t>00-2018</w:t>
            </w:r>
            <w:r>
              <w:rPr>
                <w:spacing w:val="29"/>
                <w:w w:val="101"/>
              </w:rPr>
              <w:t xml:space="preserve"> </w:t>
            </w:r>
            <w:r>
              <w:rPr>
                <w:rFonts w:ascii="SimSun" w:hAnsi="SimSun" w:eastAsia="SimSun" w:cs="SimSun"/>
                <w:spacing w:val="9"/>
              </w:rPr>
              <w:t>中筛选值第</w:t>
            </w:r>
            <w:r>
              <w:rPr>
                <w:rFonts w:ascii="SimSun" w:hAnsi="SimSun" w:eastAsia="SimSun" w:cs="SimSun"/>
                <w:spacing w:val="5"/>
              </w:rPr>
              <w:t>二类用地；</w:t>
            </w:r>
          </w:p>
          <w:p>
            <w:pPr>
              <w:pStyle w:val="TableText"/>
              <w:ind w:left="109"/>
              <w:spacing w:before="24" w:line="228" w:lineRule="auto"/>
              <w:rPr>
                <w:rFonts w:ascii="SimSun" w:hAnsi="SimSun" w:eastAsia="SimSun" w:cs="SimSun"/>
              </w:rPr>
            </w:pPr>
            <w:r>
              <w:rPr>
                <w:spacing w:val="7"/>
              </w:rPr>
              <w:t>2.“</w:t>
            </w:r>
            <w:r>
              <w:rPr>
                <w:rFonts w:ascii="SimSun" w:hAnsi="SimSun" w:eastAsia="SimSun" w:cs="SimSun"/>
                <w:spacing w:val="7"/>
              </w:rPr>
              <w:t>＜</w:t>
            </w:r>
            <w:r>
              <w:rPr>
                <w:spacing w:val="7"/>
              </w:rPr>
              <w:t>”</w:t>
            </w:r>
            <w:r>
              <w:rPr>
                <w:rFonts w:ascii="SimSun" w:hAnsi="SimSun" w:eastAsia="SimSun" w:cs="SimSun"/>
                <w:spacing w:val="7"/>
              </w:rPr>
              <w:t>表示低于方法检出限；</w:t>
            </w:r>
          </w:p>
          <w:p>
            <w:pPr>
              <w:pStyle w:val="TableText"/>
              <w:ind w:left="109" w:right="594" w:firstLine="4"/>
              <w:spacing w:before="26" w:line="235" w:lineRule="auto"/>
              <w:rPr>
                <w:rFonts w:ascii="SimSun" w:hAnsi="SimSun" w:eastAsia="SimSun" w:cs="SimSun"/>
              </w:rPr>
            </w:pPr>
            <w:r>
              <w:rPr>
                <w:spacing w:val="8"/>
              </w:rPr>
              <w:t>3.“*”</w:t>
            </w:r>
            <w:r>
              <w:rPr>
                <w:rFonts w:ascii="SimSun" w:hAnsi="SimSun" w:eastAsia="SimSun" w:cs="SimSun"/>
                <w:spacing w:val="8"/>
              </w:rPr>
              <w:t>项目为本公司未取得资质认定能力由北京华成星科检测有限公司分包检测，证书</w:t>
            </w:r>
            <w:r>
              <w:rPr>
                <w:rFonts w:ascii="SimSun" w:hAnsi="SimSun" w:eastAsia="SimSun" w:cs="SimSun"/>
                <w:spacing w:val="7"/>
              </w:rPr>
              <w:t>编号为：</w:t>
            </w:r>
            <w:r>
              <w:rPr>
                <w:rFonts w:ascii="SimSun" w:hAnsi="SimSun" w:eastAsia="SimSun" w:cs="SimSun"/>
              </w:rPr>
              <w:t xml:space="preserve"> </w:t>
            </w:r>
            <w:r>
              <w:rPr>
                <w:spacing w:val="3"/>
              </w:rPr>
              <w:t>210112051074</w:t>
            </w:r>
            <w:r>
              <w:rPr>
                <w:rFonts w:ascii="SimSun" w:hAnsi="SimSun" w:eastAsia="SimSun" w:cs="SimSun"/>
                <w:spacing w:val="3"/>
              </w:rPr>
              <w:t>。</w:t>
            </w:r>
          </w:p>
        </w:tc>
      </w:tr>
    </w:tbl>
    <w:p>
      <w:pPr>
        <w:ind w:left="2980"/>
        <w:spacing w:before="270"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17"/>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4-2-45</w:t>
      </w:r>
    </w:p>
    <w:tbl>
      <w:tblPr>
        <w:tblStyle w:val="TableNormal"/>
        <w:tblW w:w="9208" w:type="dxa"/>
        <w:tblInd w:w="4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37"/>
        <w:gridCol w:w="1552"/>
        <w:gridCol w:w="1552"/>
        <w:gridCol w:w="1559"/>
        <w:gridCol w:w="885"/>
        <w:gridCol w:w="895"/>
        <w:gridCol w:w="928"/>
      </w:tblGrid>
      <w:tr>
        <w:trPr>
          <w:trHeight w:val="280" w:hRule="atLeast"/>
        </w:trPr>
        <w:tc>
          <w:tcPr>
            <w:tcW w:w="1837" w:type="dxa"/>
            <w:vAlign w:val="top"/>
            <w:vMerge w:val="restart"/>
            <w:tcBorders>
              <w:bottom w:val="nil"/>
            </w:tcBorders>
          </w:tcPr>
          <w:p>
            <w:pPr>
              <w:spacing w:line="383" w:lineRule="auto"/>
              <w:rPr>
                <w:rFonts w:ascii="Arial"/>
                <w:sz w:val="21"/>
              </w:rPr>
            </w:pPr>
            <w:r/>
          </w:p>
          <w:p>
            <w:pPr>
              <w:ind w:left="504"/>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663" w:type="dxa"/>
            <w:vAlign w:val="top"/>
            <w:gridSpan w:val="3"/>
          </w:tcPr>
          <w:p>
            <w:pPr>
              <w:ind w:left="1919"/>
              <w:spacing w:before="33" w:line="218" w:lineRule="auto"/>
              <w:rPr>
                <w:rFonts w:ascii="SimSun" w:hAnsi="SimSun" w:eastAsia="SimSun" w:cs="SimSun"/>
                <w:sz w:val="20"/>
                <w:szCs w:val="20"/>
              </w:rPr>
            </w:pPr>
            <w:r>
              <w:rPr>
                <w:rFonts w:ascii="SimSun" w:hAnsi="SimSun" w:eastAsia="SimSun" w:cs="SimSun"/>
                <w:sz w:val="20"/>
                <w:szCs w:val="20"/>
                <w:spacing w:val="6"/>
              </w:rPr>
              <w:t>分析结果</w:t>
            </w:r>
          </w:p>
        </w:tc>
        <w:tc>
          <w:tcPr>
            <w:tcW w:w="885" w:type="dxa"/>
            <w:vAlign w:val="top"/>
            <w:vMerge w:val="restart"/>
            <w:tcBorders>
              <w:bottom w:val="nil"/>
            </w:tcBorders>
          </w:tcPr>
          <w:p>
            <w:pPr>
              <w:spacing w:line="383" w:lineRule="auto"/>
              <w:rPr>
                <w:rFonts w:ascii="Arial"/>
                <w:sz w:val="21"/>
              </w:rPr>
            </w:pPr>
            <w:r/>
          </w:p>
          <w:p>
            <w:pPr>
              <w:ind w:left="254"/>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895" w:type="dxa"/>
            <w:vAlign w:val="top"/>
            <w:vMerge w:val="restart"/>
            <w:tcBorders>
              <w:bottom w:val="nil"/>
            </w:tcBorders>
          </w:tcPr>
          <w:p>
            <w:pPr>
              <w:spacing w:line="384" w:lineRule="auto"/>
              <w:rPr>
                <w:rFonts w:ascii="Arial"/>
                <w:sz w:val="21"/>
              </w:rPr>
            </w:pPr>
            <w:r/>
          </w:p>
          <w:p>
            <w:pPr>
              <w:ind w:left="247"/>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8" w:type="dxa"/>
            <w:vAlign w:val="top"/>
            <w:vMerge w:val="restart"/>
            <w:tcBorders>
              <w:bottom w:val="nil"/>
            </w:tcBorders>
          </w:tcPr>
          <w:p>
            <w:pPr>
              <w:ind w:left="116" w:right="109" w:firstLine="2"/>
              <w:spacing w:before="34" w:line="252" w:lineRule="auto"/>
              <w:rPr>
                <w:rFonts w:ascii="SimSun" w:hAnsi="SimSun" w:eastAsia="SimSun" w:cs="SimSun"/>
                <w:sz w:val="20"/>
                <w:szCs w:val="20"/>
              </w:rPr>
            </w:pPr>
            <w:r>
              <w:rPr>
                <w:rFonts w:ascii="SimSun" w:hAnsi="SimSun" w:eastAsia="SimSun" w:cs="SimSun"/>
                <w:sz w:val="20"/>
                <w:szCs w:val="20"/>
                <w:spacing w:val="31"/>
              </w:rPr>
              <w:t>是否达</w:t>
            </w:r>
            <w:r>
              <w:rPr>
                <w:rFonts w:ascii="SimSun" w:hAnsi="SimSun" w:eastAsia="SimSun" w:cs="SimSun"/>
                <w:sz w:val="20"/>
                <w:szCs w:val="20"/>
              </w:rPr>
              <w:t>标</w:t>
            </w:r>
          </w:p>
        </w:tc>
      </w:tr>
      <w:tr>
        <w:trPr>
          <w:trHeight w:val="278" w:hRule="atLeast"/>
        </w:trPr>
        <w:tc>
          <w:tcPr>
            <w:tcW w:w="1837" w:type="dxa"/>
            <w:vAlign w:val="top"/>
            <w:vMerge w:val="continue"/>
            <w:tcBorders>
              <w:top w:val="nil"/>
              <w:bottom w:val="nil"/>
            </w:tcBorders>
          </w:tcPr>
          <w:p>
            <w:pPr>
              <w:rPr>
                <w:rFonts w:ascii="Arial"/>
                <w:sz w:val="21"/>
              </w:rPr>
            </w:pPr>
            <w:r/>
          </w:p>
        </w:tc>
        <w:tc>
          <w:tcPr>
            <w:tcW w:w="4663" w:type="dxa"/>
            <w:vAlign w:val="top"/>
            <w:gridSpan w:val="3"/>
          </w:tcPr>
          <w:p>
            <w:pPr>
              <w:pStyle w:val="TableText"/>
              <w:ind w:left="1142"/>
              <w:spacing w:before="29" w:line="220" w:lineRule="auto"/>
              <w:rPr>
                <w:rFonts w:ascii="SimSun" w:hAnsi="SimSun" w:eastAsia="SimSun" w:cs="SimSun"/>
              </w:rPr>
            </w:pPr>
            <w:r>
              <w:rPr>
                <w:spacing w:val="7"/>
              </w:rPr>
              <w:t>T2 </w:t>
            </w:r>
            <w:r>
              <w:rPr>
                <w:rFonts w:ascii="SimSun" w:hAnsi="SimSun" w:eastAsia="SimSun" w:cs="SimSun"/>
                <w:spacing w:val="7"/>
              </w:rPr>
              <w:t>露天矿工业场地油脂库</w:t>
            </w:r>
          </w:p>
        </w:tc>
        <w:tc>
          <w:tcPr>
            <w:tcW w:w="885" w:type="dxa"/>
            <w:vAlign w:val="top"/>
            <w:vMerge w:val="continue"/>
            <w:tcBorders>
              <w:top w:val="nil"/>
              <w:bottom w:val="nil"/>
            </w:tcBorders>
          </w:tcPr>
          <w:p>
            <w:pPr>
              <w:rPr>
                <w:rFonts w:ascii="Arial"/>
                <w:sz w:val="21"/>
              </w:rPr>
            </w:pPr>
            <w:r/>
          </w:p>
        </w:tc>
        <w:tc>
          <w:tcPr>
            <w:tcW w:w="895" w:type="dxa"/>
            <w:vAlign w:val="top"/>
            <w:vMerge w:val="continue"/>
            <w:tcBorders>
              <w:top w:val="nil"/>
              <w:bottom w:val="nil"/>
            </w:tcBorders>
          </w:tcPr>
          <w:p>
            <w:pPr>
              <w:rPr>
                <w:rFonts w:ascii="Arial"/>
                <w:sz w:val="21"/>
              </w:rPr>
            </w:pPr>
            <w:r/>
          </w:p>
        </w:tc>
        <w:tc>
          <w:tcPr>
            <w:tcW w:w="928" w:type="dxa"/>
            <w:vAlign w:val="top"/>
            <w:vMerge w:val="continue"/>
            <w:tcBorders>
              <w:top w:val="nil"/>
              <w:bottom w:val="nil"/>
            </w:tcBorders>
          </w:tcPr>
          <w:p>
            <w:pPr>
              <w:rPr>
                <w:rFonts w:ascii="Arial"/>
                <w:sz w:val="21"/>
              </w:rPr>
            </w:pPr>
            <w:r/>
          </w:p>
        </w:tc>
      </w:tr>
      <w:tr>
        <w:trPr>
          <w:trHeight w:val="548" w:hRule="atLeast"/>
        </w:trPr>
        <w:tc>
          <w:tcPr>
            <w:tcW w:w="1837" w:type="dxa"/>
            <w:vAlign w:val="top"/>
            <w:vMerge w:val="continue"/>
            <w:tcBorders>
              <w:top w:val="nil"/>
            </w:tcBorders>
          </w:tcPr>
          <w:p>
            <w:pPr>
              <w:rPr>
                <w:rFonts w:ascii="Arial"/>
                <w:sz w:val="21"/>
              </w:rPr>
            </w:pPr>
            <w:r/>
          </w:p>
        </w:tc>
        <w:tc>
          <w:tcPr>
            <w:tcW w:w="1552" w:type="dxa"/>
            <w:vAlign w:val="top"/>
          </w:tcPr>
          <w:p>
            <w:pPr>
              <w:pStyle w:val="TableText"/>
              <w:ind w:left="278" w:right="284" w:firstLine="185"/>
              <w:spacing w:before="28" w:line="235" w:lineRule="auto"/>
              <w:rPr>
                <w:rFonts w:ascii="SimSun" w:hAnsi="SimSun" w:eastAsia="SimSun" w:cs="SimSun"/>
              </w:rPr>
            </w:pPr>
            <w:r>
              <w:rPr>
                <w:rFonts w:ascii="SimSun" w:hAnsi="SimSun" w:eastAsia="SimSun" w:cs="SimSun"/>
                <w:spacing w:val="7"/>
              </w:rPr>
              <w:t>表层样</w:t>
            </w:r>
            <w:r>
              <w:rPr>
                <w:rFonts w:ascii="SimSun" w:hAnsi="SimSun" w:eastAsia="SimSun" w:cs="SimSun"/>
                <w:spacing w:val="1"/>
              </w:rPr>
              <w:t>（</w:t>
            </w:r>
            <w:r>
              <w:rPr>
                <w:spacing w:val="1"/>
              </w:rPr>
              <w:t>0-0.5m</w:t>
            </w:r>
            <w:r>
              <w:rPr>
                <w:rFonts w:ascii="SimSun" w:hAnsi="SimSun" w:eastAsia="SimSun" w:cs="SimSun"/>
                <w:spacing w:val="1"/>
              </w:rPr>
              <w:t>）</w:t>
            </w:r>
          </w:p>
        </w:tc>
        <w:tc>
          <w:tcPr>
            <w:tcW w:w="1552" w:type="dxa"/>
            <w:vAlign w:val="top"/>
          </w:tcPr>
          <w:p>
            <w:pPr>
              <w:pStyle w:val="TableText"/>
              <w:ind w:left="202" w:right="204" w:firstLine="280"/>
              <w:spacing w:before="28" w:line="235"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59" w:type="dxa"/>
            <w:vAlign w:val="top"/>
          </w:tcPr>
          <w:p>
            <w:pPr>
              <w:pStyle w:val="TableText"/>
              <w:ind w:left="205" w:right="206" w:firstLine="265"/>
              <w:spacing w:before="28" w:line="235"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885" w:type="dxa"/>
            <w:vAlign w:val="top"/>
            <w:vMerge w:val="continue"/>
            <w:tcBorders>
              <w:top w:val="nil"/>
            </w:tcBorders>
          </w:tcPr>
          <w:p>
            <w:pPr>
              <w:rPr>
                <w:rFonts w:ascii="Arial"/>
                <w:sz w:val="21"/>
              </w:rPr>
            </w:pPr>
            <w:r/>
          </w:p>
        </w:tc>
        <w:tc>
          <w:tcPr>
            <w:tcW w:w="895" w:type="dxa"/>
            <w:vAlign w:val="top"/>
            <w:vMerge w:val="continue"/>
            <w:tcBorders>
              <w:top w:val="nil"/>
            </w:tcBorders>
          </w:tcPr>
          <w:p>
            <w:pPr>
              <w:rPr>
                <w:rFonts w:ascii="Arial"/>
                <w:sz w:val="21"/>
              </w:rPr>
            </w:pPr>
            <w:r/>
          </w:p>
        </w:tc>
        <w:tc>
          <w:tcPr>
            <w:tcW w:w="928" w:type="dxa"/>
            <w:vAlign w:val="top"/>
            <w:vMerge w:val="continue"/>
            <w:tcBorders>
              <w:top w:val="nil"/>
            </w:tcBorders>
          </w:tcPr>
          <w:p>
            <w:pPr>
              <w:rPr>
                <w:rFonts w:ascii="Arial"/>
                <w:sz w:val="21"/>
              </w:rPr>
            </w:pPr>
            <w:r/>
          </w:p>
        </w:tc>
      </w:tr>
      <w:tr>
        <w:trPr>
          <w:trHeight w:val="278" w:hRule="atLeast"/>
        </w:trPr>
        <w:tc>
          <w:tcPr>
            <w:tcW w:w="1837" w:type="dxa"/>
            <w:vAlign w:val="top"/>
          </w:tcPr>
          <w:p>
            <w:pPr>
              <w:pStyle w:val="TableText"/>
              <w:ind w:left="656"/>
              <w:spacing w:before="30" w:line="219" w:lineRule="auto"/>
              <w:rPr>
                <w:rFonts w:ascii="SimSun" w:hAnsi="SimSun" w:eastAsia="SimSun" w:cs="SimSun"/>
              </w:rPr>
            </w:pPr>
            <w:r>
              <w:rPr/>
              <w:t>pH</w:t>
            </w:r>
            <w:r>
              <w:rPr>
                <w:spacing w:val="8"/>
              </w:rPr>
              <w:t xml:space="preserve"> </w:t>
            </w:r>
            <w:r>
              <w:rPr>
                <w:rFonts w:ascii="SimSun" w:hAnsi="SimSun" w:eastAsia="SimSun" w:cs="SimSun"/>
                <w:spacing w:val="13"/>
              </w:rPr>
              <w:t>值</w:t>
            </w:r>
          </w:p>
        </w:tc>
        <w:tc>
          <w:tcPr>
            <w:tcW w:w="1552" w:type="dxa"/>
            <w:vAlign w:val="top"/>
          </w:tcPr>
          <w:p>
            <w:pPr>
              <w:pStyle w:val="TableText"/>
              <w:ind w:left="599"/>
              <w:spacing w:before="67" w:line="195" w:lineRule="auto"/>
              <w:rPr/>
            </w:pPr>
            <w:r>
              <w:rPr>
                <w:spacing w:val="1"/>
              </w:rPr>
              <w:t>8.16</w:t>
            </w:r>
          </w:p>
        </w:tc>
        <w:tc>
          <w:tcPr>
            <w:tcW w:w="1552" w:type="dxa"/>
            <w:vAlign w:val="top"/>
          </w:tcPr>
          <w:p>
            <w:pPr>
              <w:pStyle w:val="TableText"/>
              <w:ind w:left="600"/>
              <w:spacing w:before="67" w:line="195" w:lineRule="auto"/>
              <w:rPr/>
            </w:pPr>
            <w:r>
              <w:rPr>
                <w:spacing w:val="1"/>
              </w:rPr>
              <w:t>8.22</w:t>
            </w:r>
          </w:p>
        </w:tc>
        <w:tc>
          <w:tcPr>
            <w:tcW w:w="1559" w:type="dxa"/>
            <w:vAlign w:val="top"/>
          </w:tcPr>
          <w:p>
            <w:pPr>
              <w:pStyle w:val="TableText"/>
              <w:ind w:left="605"/>
              <w:spacing w:before="67" w:line="195" w:lineRule="auto"/>
              <w:rPr/>
            </w:pPr>
            <w:r>
              <w:rPr>
                <w:spacing w:val="1"/>
              </w:rPr>
              <w:t>8.32</w:t>
            </w:r>
          </w:p>
        </w:tc>
        <w:tc>
          <w:tcPr>
            <w:tcW w:w="885" w:type="dxa"/>
            <w:vAlign w:val="top"/>
          </w:tcPr>
          <w:p>
            <w:pPr>
              <w:ind w:left="364"/>
              <w:spacing w:before="30" w:line="219" w:lineRule="auto"/>
              <w:rPr>
                <w:rFonts w:ascii="SimSun" w:hAnsi="SimSun" w:eastAsia="SimSun" w:cs="SimSun"/>
                <w:sz w:val="20"/>
                <w:szCs w:val="20"/>
              </w:rPr>
            </w:pPr>
            <w:r>
              <w:rPr>
                <w:rFonts w:ascii="SimSun" w:hAnsi="SimSun" w:eastAsia="SimSun" w:cs="SimSun"/>
                <w:sz w:val="20"/>
                <w:szCs w:val="20"/>
                <w:spacing w:val="24"/>
                <w:w w:val="131"/>
              </w:rPr>
              <w:t>-</w:t>
            </w:r>
          </w:p>
        </w:tc>
        <w:tc>
          <w:tcPr>
            <w:tcW w:w="895" w:type="dxa"/>
            <w:vAlign w:val="top"/>
          </w:tcPr>
          <w:p>
            <w:pPr>
              <w:ind w:left="141"/>
              <w:spacing w:before="30" w:line="219" w:lineRule="auto"/>
              <w:rPr>
                <w:rFonts w:ascii="SimSun" w:hAnsi="SimSun" w:eastAsia="SimSun" w:cs="SimSun"/>
                <w:sz w:val="20"/>
                <w:szCs w:val="20"/>
              </w:rPr>
            </w:pPr>
            <w:r>
              <w:rPr>
                <w:rFonts w:ascii="SimSun" w:hAnsi="SimSun" w:eastAsia="SimSun" w:cs="SimSun"/>
                <w:sz w:val="20"/>
                <w:szCs w:val="20"/>
                <w:spacing w:val="6"/>
              </w:rPr>
              <w:t>无量纲</w:t>
            </w:r>
          </w:p>
        </w:tc>
        <w:tc>
          <w:tcPr>
            <w:tcW w:w="928" w:type="dxa"/>
            <w:vAlign w:val="top"/>
          </w:tcPr>
          <w:p>
            <w:pPr>
              <w:rPr>
                <w:rFonts w:ascii="Arial"/>
                <w:sz w:val="21"/>
              </w:rPr>
            </w:pPr>
            <w:r/>
          </w:p>
        </w:tc>
      </w:tr>
      <w:tr>
        <w:trPr>
          <w:trHeight w:val="275" w:hRule="atLeast"/>
        </w:trPr>
        <w:tc>
          <w:tcPr>
            <w:tcW w:w="1837" w:type="dxa"/>
            <w:vAlign w:val="top"/>
          </w:tcPr>
          <w:p>
            <w:pPr>
              <w:pStyle w:val="TableText"/>
              <w:ind w:left="564"/>
              <w:spacing w:before="31" w:line="216" w:lineRule="auto"/>
              <w:rPr>
                <w:rFonts w:ascii="SimSun" w:hAnsi="SimSun" w:eastAsia="SimSun" w:cs="SimSun"/>
              </w:rPr>
            </w:pPr>
            <w:r>
              <w:rPr>
                <w:spacing w:val="4"/>
              </w:rPr>
              <w:t>*</w:t>
            </w:r>
            <w:r>
              <w:rPr>
                <w:rFonts w:ascii="SimSun" w:hAnsi="SimSun" w:eastAsia="SimSun" w:cs="SimSun"/>
                <w:spacing w:val="4"/>
              </w:rPr>
              <w:t>石油烃</w:t>
            </w:r>
          </w:p>
        </w:tc>
        <w:tc>
          <w:tcPr>
            <w:tcW w:w="1552" w:type="dxa"/>
            <w:vAlign w:val="top"/>
          </w:tcPr>
          <w:p>
            <w:pPr>
              <w:pStyle w:val="TableText"/>
              <w:ind w:left="688"/>
              <w:spacing w:before="67" w:line="195" w:lineRule="auto"/>
              <w:rPr/>
            </w:pPr>
            <w:r>
              <w:rPr>
                <w:spacing w:val="-6"/>
              </w:rPr>
              <w:t>14</w:t>
            </w:r>
          </w:p>
        </w:tc>
        <w:tc>
          <w:tcPr>
            <w:tcW w:w="1552" w:type="dxa"/>
            <w:vAlign w:val="top"/>
          </w:tcPr>
          <w:p>
            <w:pPr>
              <w:pStyle w:val="TableText"/>
              <w:ind w:left="727"/>
              <w:spacing w:before="67" w:line="195" w:lineRule="auto"/>
              <w:rPr/>
            </w:pPr>
            <w:r>
              <w:rPr/>
              <w:t>9</w:t>
            </w:r>
          </w:p>
        </w:tc>
        <w:tc>
          <w:tcPr>
            <w:tcW w:w="1559" w:type="dxa"/>
            <w:vAlign w:val="top"/>
          </w:tcPr>
          <w:p>
            <w:pPr>
              <w:pStyle w:val="TableText"/>
              <w:ind w:left="696"/>
              <w:spacing w:before="67" w:line="195" w:lineRule="auto"/>
              <w:rPr/>
            </w:pPr>
            <w:r>
              <w:rPr>
                <w:spacing w:val="-8"/>
              </w:rPr>
              <w:t>18</w:t>
            </w:r>
          </w:p>
        </w:tc>
        <w:tc>
          <w:tcPr>
            <w:tcW w:w="885" w:type="dxa"/>
            <w:vAlign w:val="top"/>
          </w:tcPr>
          <w:p>
            <w:pPr>
              <w:pStyle w:val="TableText"/>
              <w:ind w:left="235"/>
              <w:spacing w:before="67" w:line="195" w:lineRule="auto"/>
              <w:rPr/>
            </w:pPr>
            <w:r>
              <w:rPr>
                <w:spacing w:val="4"/>
              </w:rPr>
              <w:t>4500</w:t>
            </w:r>
          </w:p>
        </w:tc>
        <w:tc>
          <w:tcPr>
            <w:tcW w:w="895" w:type="dxa"/>
            <w:vAlign w:val="top"/>
          </w:tcPr>
          <w:p>
            <w:pPr>
              <w:pStyle w:val="TableText"/>
              <w:ind w:left="181"/>
              <w:spacing w:before="63" w:line="201" w:lineRule="auto"/>
              <w:rPr/>
            </w:pPr>
            <w:r>
              <w:rPr>
                <w:spacing w:val="4"/>
              </w:rPr>
              <w:t>mg/kg</w:t>
            </w:r>
          </w:p>
        </w:tc>
        <w:tc>
          <w:tcPr>
            <w:tcW w:w="928" w:type="dxa"/>
            <w:vAlign w:val="top"/>
          </w:tcPr>
          <w:p>
            <w:pPr>
              <w:ind w:left="256"/>
              <w:spacing w:before="31" w:line="216" w:lineRule="auto"/>
              <w:rPr>
                <w:rFonts w:ascii="SimSun" w:hAnsi="SimSun" w:eastAsia="SimSun" w:cs="SimSun"/>
                <w:sz w:val="20"/>
                <w:szCs w:val="20"/>
              </w:rPr>
            </w:pPr>
            <w:r>
              <w:rPr>
                <w:rFonts w:ascii="SimSun" w:hAnsi="SimSun" w:eastAsia="SimSun" w:cs="SimSun"/>
                <w:sz w:val="20"/>
                <w:szCs w:val="20"/>
                <w:spacing w:val="5"/>
              </w:rPr>
              <w:t>达标</w:t>
            </w:r>
          </w:p>
        </w:tc>
      </w:tr>
      <w:tr>
        <w:trPr>
          <w:trHeight w:val="1106" w:hRule="atLeast"/>
        </w:trPr>
        <w:tc>
          <w:tcPr>
            <w:tcW w:w="9208" w:type="dxa"/>
            <w:vAlign w:val="top"/>
            <w:gridSpan w:val="7"/>
          </w:tcPr>
          <w:p>
            <w:pPr>
              <w:ind w:left="118"/>
              <w:spacing w:before="34"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9" w:right="123" w:firstLine="12"/>
              <w:spacing w:before="23" w:line="239" w:lineRule="auto"/>
              <w:rPr>
                <w:rFonts w:ascii="SimSun" w:hAnsi="SimSun" w:eastAsia="SimSun" w:cs="SimSun"/>
              </w:rPr>
            </w:pPr>
            <w:r>
              <w:rPr>
                <w:spacing w:val="8"/>
              </w:rPr>
              <w:t>1.</w:t>
            </w:r>
            <w:r>
              <w:rPr>
                <w:rFonts w:ascii="SimSun" w:hAnsi="SimSun" w:eastAsia="SimSun" w:cs="SimSun"/>
                <w:spacing w:val="8"/>
              </w:rPr>
              <w:t>检测结果参照执行《土壤环境质量 建设用地土壤污染风险管控标准》</w:t>
            </w:r>
            <w:r>
              <w:rPr/>
              <w:t>GB</w:t>
            </w:r>
            <w:r>
              <w:rPr>
                <w:spacing w:val="8"/>
              </w:rPr>
              <w:t>366</w:t>
            </w:r>
            <w:r>
              <w:rPr>
                <w:spacing w:val="7"/>
              </w:rPr>
              <w:t>00-2018</w:t>
            </w:r>
            <w:r>
              <w:rPr>
                <w:spacing w:val="29"/>
                <w:w w:val="101"/>
              </w:rPr>
              <w:t xml:space="preserve"> </w:t>
            </w:r>
            <w:r>
              <w:rPr>
                <w:rFonts w:ascii="SimSun" w:hAnsi="SimSun" w:eastAsia="SimSun" w:cs="SimSun"/>
                <w:spacing w:val="7"/>
              </w:rPr>
              <w:t>中筛选值第</w:t>
            </w:r>
            <w:r>
              <w:rPr>
                <w:rFonts w:ascii="SimSun" w:hAnsi="SimSun" w:eastAsia="SimSun" w:cs="SimSun"/>
                <w:spacing w:val="5"/>
              </w:rPr>
              <w:t>二类用地；</w:t>
            </w:r>
          </w:p>
          <w:p>
            <w:pPr>
              <w:pStyle w:val="TableText"/>
              <w:ind w:left="112"/>
              <w:spacing w:before="27" w:line="226" w:lineRule="auto"/>
              <w:rPr>
                <w:rFonts w:ascii="SimSun" w:hAnsi="SimSun" w:eastAsia="SimSun" w:cs="SimSun"/>
              </w:rPr>
            </w:pPr>
            <w:r>
              <w:rPr>
                <w:spacing w:val="9"/>
              </w:rPr>
              <w:t>2.“*”</w:t>
            </w:r>
            <w:r>
              <w:rPr>
                <w:rFonts w:ascii="SimSun" w:hAnsi="SimSun" w:eastAsia="SimSun" w:cs="SimSun"/>
                <w:spacing w:val="9"/>
              </w:rPr>
              <w:t>项目为本公司未取得资质认定能力由北京华成星科检测有限公司分包检测，证书编</w:t>
            </w:r>
            <w:r>
              <w:rPr>
                <w:rFonts w:ascii="SimSun" w:hAnsi="SimSun" w:eastAsia="SimSun" w:cs="SimSun"/>
                <w:spacing w:val="8"/>
              </w:rPr>
              <w:t>号为：</w:t>
            </w:r>
          </w:p>
        </w:tc>
      </w:tr>
    </w:tbl>
    <w:p>
      <w:pPr>
        <w:pStyle w:val="BodyText"/>
        <w:rPr/>
      </w:pPr>
      <w:r/>
    </w:p>
    <w:p>
      <w:pPr>
        <w:sectPr>
          <w:footerReference w:type="default" r:id="rId340"/>
          <w:pgSz w:w="11906" w:h="16838"/>
          <w:pgMar w:top="1170" w:right="1304" w:bottom="1080" w:left="1305" w:header="837" w:footer="918" w:gutter="0"/>
        </w:sectPr>
        <w:rPr/>
      </w:pPr>
    </w:p>
    <w:p>
      <w:pPr>
        <w:spacing w:before="6"/>
        <w:rPr/>
      </w:pPr>
      <w:r/>
    </w:p>
    <w:tbl>
      <w:tblPr>
        <w:tblStyle w:val="TableNormal"/>
        <w:tblW w:w="9208" w:type="dxa"/>
        <w:tblInd w:w="45" w:type="dxa"/>
        <w:tblLayout w:type="fixed"/>
        <w:tblBorders>
          <w:left w:val="single" w:color="000000" w:sz="2" w:space="0"/>
          <w:bottom w:val="single" w:color="000000" w:sz="2" w:space="0"/>
          <w:right w:val="single" w:color="000000" w:sz="2" w:space="0"/>
          <w:top w:val="single" w:color="000000" w:sz="2" w:space="0"/>
        </w:tblBorders>
      </w:tblPr>
      <w:tblGrid>
        <w:gridCol w:w="9208"/>
      </w:tblGrid>
      <w:tr>
        <w:trPr>
          <w:trHeight w:val="282" w:hRule="atLeast"/>
        </w:trPr>
        <w:tc>
          <w:tcPr>
            <w:tcW w:w="9208" w:type="dxa"/>
            <w:vAlign w:val="top"/>
          </w:tcPr>
          <w:p>
            <w:pPr>
              <w:pStyle w:val="TableText"/>
              <w:ind w:left="112"/>
              <w:spacing w:before="70" w:line="186" w:lineRule="auto"/>
              <w:rPr>
                <w:rFonts w:ascii="SimSun" w:hAnsi="SimSun" w:eastAsia="SimSun" w:cs="SimSun"/>
              </w:rPr>
            </w:pPr>
            <w:r>
              <w:rPr>
                <w:spacing w:val="4"/>
              </w:rPr>
              <w:t>210112051074</w:t>
            </w:r>
            <w:r>
              <w:rPr>
                <w:rFonts w:ascii="SimSun" w:hAnsi="SimSun" w:eastAsia="SimSun" w:cs="SimSun"/>
                <w:spacing w:val="4"/>
              </w:rPr>
              <w:t>。</w:t>
            </w:r>
          </w:p>
        </w:tc>
      </w:tr>
    </w:tbl>
    <w:p>
      <w:pPr>
        <w:ind w:left="2982"/>
        <w:spacing w:before="270"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20"/>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4-2-46</w:t>
      </w:r>
    </w:p>
    <w:tbl>
      <w:tblPr>
        <w:tblStyle w:val="TableNormal"/>
        <w:tblW w:w="9290"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47"/>
        <w:gridCol w:w="2353"/>
        <w:gridCol w:w="2355"/>
        <w:gridCol w:w="895"/>
        <w:gridCol w:w="919"/>
        <w:gridCol w:w="921"/>
      </w:tblGrid>
      <w:tr>
        <w:trPr>
          <w:trHeight w:val="280" w:hRule="atLeast"/>
        </w:trPr>
        <w:tc>
          <w:tcPr>
            <w:tcW w:w="1847" w:type="dxa"/>
            <w:vAlign w:val="top"/>
            <w:vMerge w:val="restart"/>
            <w:tcBorders>
              <w:bottom w:val="nil"/>
            </w:tcBorders>
          </w:tcPr>
          <w:p>
            <w:pPr>
              <w:spacing w:line="383" w:lineRule="auto"/>
              <w:rPr>
                <w:rFonts w:ascii="Arial"/>
                <w:sz w:val="21"/>
              </w:rPr>
            </w:pPr>
            <w:r/>
          </w:p>
          <w:p>
            <w:pPr>
              <w:ind w:left="509"/>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708" w:type="dxa"/>
            <w:vAlign w:val="top"/>
            <w:gridSpan w:val="2"/>
          </w:tcPr>
          <w:p>
            <w:pPr>
              <w:ind w:left="1941"/>
              <w:spacing w:before="31" w:line="220" w:lineRule="auto"/>
              <w:rPr>
                <w:rFonts w:ascii="SimSun" w:hAnsi="SimSun" w:eastAsia="SimSun" w:cs="SimSun"/>
                <w:sz w:val="20"/>
                <w:szCs w:val="20"/>
              </w:rPr>
            </w:pPr>
            <w:r>
              <w:rPr>
                <w:rFonts w:ascii="SimSun" w:hAnsi="SimSun" w:eastAsia="SimSun" w:cs="SimSun"/>
                <w:sz w:val="20"/>
                <w:szCs w:val="20"/>
                <w:spacing w:val="6"/>
              </w:rPr>
              <w:t>分析结果</w:t>
            </w:r>
          </w:p>
        </w:tc>
        <w:tc>
          <w:tcPr>
            <w:tcW w:w="895" w:type="dxa"/>
            <w:vAlign w:val="top"/>
            <w:vMerge w:val="restart"/>
            <w:tcBorders>
              <w:bottom w:val="nil"/>
            </w:tcBorders>
          </w:tcPr>
          <w:p>
            <w:pPr>
              <w:spacing w:line="383" w:lineRule="auto"/>
              <w:rPr>
                <w:rFonts w:ascii="Arial"/>
                <w:sz w:val="21"/>
              </w:rPr>
            </w:pPr>
            <w:r/>
          </w:p>
          <w:p>
            <w:pPr>
              <w:ind w:left="257"/>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19" w:type="dxa"/>
            <w:vAlign w:val="top"/>
            <w:vMerge w:val="restart"/>
            <w:tcBorders>
              <w:bottom w:val="nil"/>
            </w:tcBorders>
          </w:tcPr>
          <w:p>
            <w:pPr>
              <w:spacing w:line="384" w:lineRule="auto"/>
              <w:rPr>
                <w:rFonts w:ascii="Arial"/>
                <w:sz w:val="21"/>
              </w:rPr>
            </w:pPr>
            <w:r/>
          </w:p>
          <w:p>
            <w:pPr>
              <w:ind w:left="256"/>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21" w:type="dxa"/>
            <w:vAlign w:val="top"/>
            <w:vMerge w:val="restart"/>
            <w:tcBorders>
              <w:bottom w:val="nil"/>
            </w:tcBorders>
          </w:tcPr>
          <w:p>
            <w:pPr>
              <w:spacing w:line="248" w:lineRule="auto"/>
              <w:rPr>
                <w:rFonts w:ascii="Arial"/>
                <w:sz w:val="21"/>
              </w:rPr>
            </w:pPr>
            <w:r/>
          </w:p>
          <w:p>
            <w:pPr>
              <w:ind w:left="360" w:right="145" w:hanging="208"/>
              <w:spacing w:before="65" w:line="252"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8" w:hRule="atLeast"/>
        </w:trPr>
        <w:tc>
          <w:tcPr>
            <w:tcW w:w="1847" w:type="dxa"/>
            <w:vAlign w:val="top"/>
            <w:vMerge w:val="continue"/>
            <w:tcBorders>
              <w:top w:val="nil"/>
              <w:bottom w:val="nil"/>
            </w:tcBorders>
          </w:tcPr>
          <w:p>
            <w:pPr>
              <w:rPr>
                <w:rFonts w:ascii="Arial"/>
                <w:sz w:val="21"/>
              </w:rPr>
            </w:pPr>
            <w:r/>
          </w:p>
        </w:tc>
        <w:tc>
          <w:tcPr>
            <w:tcW w:w="4708" w:type="dxa"/>
            <w:vAlign w:val="top"/>
            <w:gridSpan w:val="2"/>
          </w:tcPr>
          <w:p>
            <w:pPr>
              <w:pStyle w:val="TableText"/>
              <w:ind w:left="1534"/>
              <w:spacing w:before="29" w:line="220"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895" w:type="dxa"/>
            <w:vAlign w:val="top"/>
            <w:vMerge w:val="continue"/>
            <w:tcBorders>
              <w:top w:val="nil"/>
              <w:bottom w:val="nil"/>
            </w:tcBorders>
          </w:tcPr>
          <w:p>
            <w:pPr>
              <w:rPr>
                <w:rFonts w:ascii="Arial"/>
                <w:sz w:val="21"/>
              </w:rPr>
            </w:pPr>
            <w:r/>
          </w:p>
        </w:tc>
        <w:tc>
          <w:tcPr>
            <w:tcW w:w="919" w:type="dxa"/>
            <w:vAlign w:val="top"/>
            <w:vMerge w:val="continue"/>
            <w:tcBorders>
              <w:top w:val="nil"/>
              <w:bottom w:val="nil"/>
            </w:tcBorders>
          </w:tcPr>
          <w:p>
            <w:pPr>
              <w:rPr>
                <w:rFonts w:ascii="Arial"/>
                <w:sz w:val="21"/>
              </w:rPr>
            </w:pPr>
            <w:r/>
          </w:p>
        </w:tc>
        <w:tc>
          <w:tcPr>
            <w:tcW w:w="921" w:type="dxa"/>
            <w:vAlign w:val="top"/>
            <w:vMerge w:val="continue"/>
            <w:tcBorders>
              <w:top w:val="nil"/>
              <w:bottom w:val="nil"/>
            </w:tcBorders>
          </w:tcPr>
          <w:p>
            <w:pPr>
              <w:rPr>
                <w:rFonts w:ascii="Arial"/>
                <w:sz w:val="21"/>
              </w:rPr>
            </w:pPr>
            <w:r/>
          </w:p>
        </w:tc>
      </w:tr>
      <w:tr>
        <w:trPr>
          <w:trHeight w:val="548" w:hRule="atLeast"/>
        </w:trPr>
        <w:tc>
          <w:tcPr>
            <w:tcW w:w="1847" w:type="dxa"/>
            <w:vAlign w:val="top"/>
            <w:vMerge w:val="continue"/>
            <w:tcBorders>
              <w:top w:val="nil"/>
            </w:tcBorders>
          </w:tcPr>
          <w:p>
            <w:pPr>
              <w:rPr>
                <w:rFonts w:ascii="Arial"/>
                <w:sz w:val="21"/>
              </w:rPr>
            </w:pPr>
            <w:r/>
          </w:p>
        </w:tc>
        <w:tc>
          <w:tcPr>
            <w:tcW w:w="2353" w:type="dxa"/>
            <w:vAlign w:val="top"/>
          </w:tcPr>
          <w:p>
            <w:pPr>
              <w:pStyle w:val="TableText"/>
              <w:ind w:left="812" w:right="194" w:hanging="616"/>
              <w:spacing w:before="28" w:line="235" w:lineRule="auto"/>
              <w:rPr/>
            </w:pPr>
            <w:r>
              <w:rPr>
                <w:spacing w:val="6"/>
              </w:rPr>
              <w:t>T5</w:t>
            </w:r>
            <w:r>
              <w:rPr>
                <w:spacing w:val="23"/>
                <w:w w:val="101"/>
              </w:rPr>
              <w:t xml:space="preserve"> </w:t>
            </w:r>
            <w:r>
              <w:rPr>
                <w:rFonts w:ascii="SimSun" w:hAnsi="SimSun" w:eastAsia="SimSun" w:cs="SimSun"/>
                <w:spacing w:val="6"/>
              </w:rPr>
              <w:t>露天矿工业场地西</w:t>
            </w:r>
            <w:r>
              <w:rPr>
                <w:rFonts w:ascii="SimSun" w:hAnsi="SimSun" w:eastAsia="SimSun" w:cs="SimSun"/>
                <w:spacing w:val="-1"/>
              </w:rPr>
              <w:t>南</w:t>
            </w:r>
            <w:r>
              <w:rPr>
                <w:rFonts w:ascii="SimSun" w:hAnsi="SimSun" w:eastAsia="SimSun" w:cs="SimSun"/>
                <w:spacing w:val="-21"/>
              </w:rPr>
              <w:t xml:space="preserve"> </w:t>
            </w:r>
            <w:r>
              <w:rPr>
                <w:spacing w:val="-1"/>
              </w:rPr>
              <w:t>150m</w:t>
            </w:r>
          </w:p>
        </w:tc>
        <w:tc>
          <w:tcPr>
            <w:tcW w:w="2355" w:type="dxa"/>
            <w:vAlign w:val="top"/>
          </w:tcPr>
          <w:p>
            <w:pPr>
              <w:pStyle w:val="TableText"/>
              <w:ind w:left="164" w:right="151" w:firstLine="36"/>
              <w:spacing w:before="28" w:line="235" w:lineRule="auto"/>
              <w:rPr>
                <w:rFonts w:ascii="SimSun" w:hAnsi="SimSun" w:eastAsia="SimSun" w:cs="SimSun"/>
              </w:rPr>
            </w:pPr>
            <w:r>
              <w:rPr>
                <w:spacing w:val="7"/>
              </w:rPr>
              <w:t>T6 </w:t>
            </w:r>
            <w:r>
              <w:rPr>
                <w:rFonts w:ascii="SimSun" w:hAnsi="SimSun" w:eastAsia="SimSun" w:cs="SimSun"/>
                <w:spacing w:val="7"/>
              </w:rPr>
              <w:t>露天矿工业场地外</w:t>
            </w:r>
            <w:r>
              <w:rPr>
                <w:rFonts w:ascii="SimSun" w:hAnsi="SimSun" w:eastAsia="SimSun" w:cs="SimSun"/>
                <w:spacing w:val="4"/>
              </w:rPr>
              <w:t>东北方向</w:t>
            </w:r>
            <w:r>
              <w:rPr>
                <w:rFonts w:ascii="SimSun" w:hAnsi="SimSun" w:eastAsia="SimSun" w:cs="SimSun"/>
                <w:spacing w:val="-21"/>
              </w:rPr>
              <w:t xml:space="preserve"> </w:t>
            </w:r>
            <w:r>
              <w:rPr>
                <w:spacing w:val="4"/>
              </w:rPr>
              <w:t>100m </w:t>
            </w:r>
            <w:r>
              <w:rPr>
                <w:rFonts w:ascii="SimSun" w:hAnsi="SimSun" w:eastAsia="SimSun" w:cs="SimSun"/>
                <w:spacing w:val="4"/>
              </w:rPr>
              <w:t>牧草地</w:t>
            </w:r>
          </w:p>
        </w:tc>
        <w:tc>
          <w:tcPr>
            <w:tcW w:w="895" w:type="dxa"/>
            <w:vAlign w:val="top"/>
            <w:vMerge w:val="continue"/>
            <w:tcBorders>
              <w:top w:val="nil"/>
            </w:tcBorders>
          </w:tcPr>
          <w:p>
            <w:pPr>
              <w:rPr>
                <w:rFonts w:ascii="Arial"/>
                <w:sz w:val="21"/>
              </w:rPr>
            </w:pPr>
            <w:r/>
          </w:p>
        </w:tc>
        <w:tc>
          <w:tcPr>
            <w:tcW w:w="919" w:type="dxa"/>
            <w:vAlign w:val="top"/>
            <w:vMerge w:val="continue"/>
            <w:tcBorders>
              <w:top w:val="nil"/>
            </w:tcBorders>
          </w:tcPr>
          <w:p>
            <w:pPr>
              <w:rPr>
                <w:rFonts w:ascii="Arial"/>
                <w:sz w:val="21"/>
              </w:rPr>
            </w:pPr>
            <w:r/>
          </w:p>
        </w:tc>
        <w:tc>
          <w:tcPr>
            <w:tcW w:w="921" w:type="dxa"/>
            <w:vAlign w:val="top"/>
            <w:vMerge w:val="continue"/>
            <w:tcBorders>
              <w:top w:val="nil"/>
            </w:tcBorders>
          </w:tcPr>
          <w:p>
            <w:pPr>
              <w:rPr>
                <w:rFonts w:ascii="Arial"/>
                <w:sz w:val="21"/>
              </w:rPr>
            </w:pPr>
            <w:r/>
          </w:p>
        </w:tc>
      </w:tr>
      <w:tr>
        <w:trPr>
          <w:trHeight w:val="275" w:hRule="atLeast"/>
        </w:trPr>
        <w:tc>
          <w:tcPr>
            <w:tcW w:w="1847" w:type="dxa"/>
            <w:vAlign w:val="top"/>
          </w:tcPr>
          <w:p>
            <w:pPr>
              <w:pStyle w:val="TableText"/>
              <w:ind w:left="661"/>
              <w:spacing w:before="31" w:line="216" w:lineRule="auto"/>
              <w:rPr>
                <w:rFonts w:ascii="SimSun" w:hAnsi="SimSun" w:eastAsia="SimSun" w:cs="SimSun"/>
              </w:rPr>
            </w:pPr>
            <w:r>
              <w:rPr/>
              <w:t>pH</w:t>
            </w:r>
            <w:r>
              <w:rPr>
                <w:spacing w:val="8"/>
              </w:rPr>
              <w:t xml:space="preserve"> </w:t>
            </w:r>
            <w:r>
              <w:rPr>
                <w:rFonts w:ascii="SimSun" w:hAnsi="SimSun" w:eastAsia="SimSun" w:cs="SimSun"/>
                <w:spacing w:val="13"/>
              </w:rPr>
              <w:t>值</w:t>
            </w:r>
          </w:p>
        </w:tc>
        <w:tc>
          <w:tcPr>
            <w:tcW w:w="2353" w:type="dxa"/>
            <w:vAlign w:val="top"/>
          </w:tcPr>
          <w:p>
            <w:pPr>
              <w:pStyle w:val="TableText"/>
              <w:ind w:left="1002"/>
              <w:spacing w:before="67" w:line="195" w:lineRule="auto"/>
              <w:rPr/>
            </w:pPr>
            <w:r>
              <w:rPr>
                <w:spacing w:val="1"/>
              </w:rPr>
              <w:t>8.38</w:t>
            </w:r>
          </w:p>
        </w:tc>
        <w:tc>
          <w:tcPr>
            <w:tcW w:w="2355" w:type="dxa"/>
            <w:vAlign w:val="top"/>
          </w:tcPr>
          <w:p>
            <w:pPr>
              <w:pStyle w:val="TableText"/>
              <w:ind w:left="1001"/>
              <w:spacing w:before="67" w:line="195" w:lineRule="auto"/>
              <w:rPr/>
            </w:pPr>
            <w:r>
              <w:rPr>
                <w:spacing w:val="2"/>
              </w:rPr>
              <w:t>7.86</w:t>
            </w:r>
          </w:p>
        </w:tc>
        <w:tc>
          <w:tcPr>
            <w:tcW w:w="895" w:type="dxa"/>
            <w:vAlign w:val="top"/>
          </w:tcPr>
          <w:p>
            <w:pPr>
              <w:ind w:left="369"/>
              <w:spacing w:before="31" w:line="216" w:lineRule="auto"/>
              <w:rPr>
                <w:rFonts w:ascii="SimSun" w:hAnsi="SimSun" w:eastAsia="SimSun" w:cs="SimSun"/>
                <w:sz w:val="20"/>
                <w:szCs w:val="20"/>
              </w:rPr>
            </w:pPr>
            <w:r>
              <w:rPr>
                <w:rFonts w:ascii="SimSun" w:hAnsi="SimSun" w:eastAsia="SimSun" w:cs="SimSun"/>
                <w:sz w:val="20"/>
                <w:szCs w:val="20"/>
                <w:spacing w:val="24"/>
                <w:w w:val="131"/>
              </w:rPr>
              <w:t>-</w:t>
            </w:r>
          </w:p>
        </w:tc>
        <w:tc>
          <w:tcPr>
            <w:tcW w:w="919" w:type="dxa"/>
            <w:vAlign w:val="top"/>
          </w:tcPr>
          <w:p>
            <w:pPr>
              <w:ind w:left="153"/>
              <w:spacing w:before="31" w:line="216" w:lineRule="auto"/>
              <w:rPr>
                <w:rFonts w:ascii="SimSun" w:hAnsi="SimSun" w:eastAsia="SimSun" w:cs="SimSun"/>
                <w:sz w:val="20"/>
                <w:szCs w:val="20"/>
              </w:rPr>
            </w:pPr>
            <w:r>
              <w:rPr>
                <w:rFonts w:ascii="SimSun" w:hAnsi="SimSun" w:eastAsia="SimSun" w:cs="SimSun"/>
                <w:sz w:val="20"/>
                <w:szCs w:val="20"/>
                <w:spacing w:val="6"/>
              </w:rPr>
              <w:t>无量纲</w:t>
            </w:r>
          </w:p>
        </w:tc>
        <w:tc>
          <w:tcPr>
            <w:tcW w:w="921" w:type="dxa"/>
            <w:vAlign w:val="top"/>
          </w:tcPr>
          <w:p>
            <w:pPr>
              <w:rPr>
                <w:rFonts w:ascii="Arial"/>
                <w:sz w:val="21"/>
              </w:rPr>
            </w:pPr>
            <w:r/>
          </w:p>
        </w:tc>
      </w:tr>
      <w:tr>
        <w:trPr>
          <w:trHeight w:val="278" w:hRule="atLeast"/>
        </w:trPr>
        <w:tc>
          <w:tcPr>
            <w:tcW w:w="1847" w:type="dxa"/>
            <w:vAlign w:val="top"/>
          </w:tcPr>
          <w:p>
            <w:pPr>
              <w:pStyle w:val="TableText"/>
              <w:ind w:left="569"/>
              <w:spacing w:before="34" w:line="216" w:lineRule="auto"/>
              <w:rPr>
                <w:rFonts w:ascii="SimSun" w:hAnsi="SimSun" w:eastAsia="SimSun" w:cs="SimSun"/>
              </w:rPr>
            </w:pPr>
            <w:r>
              <w:rPr>
                <w:spacing w:val="4"/>
              </w:rPr>
              <w:t>*</w:t>
            </w:r>
            <w:r>
              <w:rPr>
                <w:rFonts w:ascii="SimSun" w:hAnsi="SimSun" w:eastAsia="SimSun" w:cs="SimSun"/>
                <w:spacing w:val="4"/>
              </w:rPr>
              <w:t>石油烃</w:t>
            </w:r>
          </w:p>
        </w:tc>
        <w:tc>
          <w:tcPr>
            <w:tcW w:w="2353" w:type="dxa"/>
            <w:vAlign w:val="top"/>
          </w:tcPr>
          <w:p>
            <w:pPr>
              <w:pStyle w:val="TableText"/>
              <w:ind w:left="1090"/>
              <w:spacing w:before="70" w:line="195" w:lineRule="auto"/>
              <w:rPr/>
            </w:pPr>
            <w:r>
              <w:rPr>
                <w:spacing w:val="-6"/>
              </w:rPr>
              <w:t>16</w:t>
            </w:r>
          </w:p>
        </w:tc>
        <w:tc>
          <w:tcPr>
            <w:tcW w:w="2355" w:type="dxa"/>
            <w:vAlign w:val="top"/>
          </w:tcPr>
          <w:p>
            <w:pPr>
              <w:pStyle w:val="TableText"/>
              <w:ind w:left="1094"/>
              <w:spacing w:before="70" w:line="195" w:lineRule="auto"/>
              <w:rPr/>
            </w:pPr>
            <w:r>
              <w:rPr>
                <w:spacing w:val="-8"/>
              </w:rPr>
              <w:t>18</w:t>
            </w:r>
          </w:p>
        </w:tc>
        <w:tc>
          <w:tcPr>
            <w:tcW w:w="895" w:type="dxa"/>
            <w:vAlign w:val="top"/>
          </w:tcPr>
          <w:p>
            <w:pPr>
              <w:pStyle w:val="TableText"/>
              <w:ind w:left="237"/>
              <w:spacing w:before="70" w:line="195" w:lineRule="auto"/>
              <w:rPr/>
            </w:pPr>
            <w:r>
              <w:rPr>
                <w:spacing w:val="5"/>
              </w:rPr>
              <w:t>4500</w:t>
            </w:r>
          </w:p>
        </w:tc>
        <w:tc>
          <w:tcPr>
            <w:tcW w:w="919" w:type="dxa"/>
            <w:vAlign w:val="top"/>
          </w:tcPr>
          <w:p>
            <w:pPr>
              <w:pStyle w:val="TableText"/>
              <w:ind w:left="190"/>
              <w:spacing w:before="66" w:line="201" w:lineRule="auto"/>
              <w:rPr/>
            </w:pPr>
            <w:r>
              <w:rPr>
                <w:spacing w:val="4"/>
              </w:rPr>
              <w:t>mg/kg</w:t>
            </w:r>
          </w:p>
        </w:tc>
        <w:tc>
          <w:tcPr>
            <w:tcW w:w="921" w:type="dxa"/>
            <w:vAlign w:val="top"/>
          </w:tcPr>
          <w:p>
            <w:pPr>
              <w:ind w:left="251"/>
              <w:spacing w:before="34" w:line="216" w:lineRule="auto"/>
              <w:rPr>
                <w:rFonts w:ascii="SimSun" w:hAnsi="SimSun" w:eastAsia="SimSun" w:cs="SimSun"/>
                <w:sz w:val="20"/>
                <w:szCs w:val="20"/>
              </w:rPr>
            </w:pPr>
            <w:r>
              <w:rPr>
                <w:rFonts w:ascii="SimSun" w:hAnsi="SimSun" w:eastAsia="SimSun" w:cs="SimSun"/>
                <w:sz w:val="20"/>
                <w:szCs w:val="20"/>
                <w:spacing w:val="5"/>
              </w:rPr>
              <w:t>达标</w:t>
            </w:r>
          </w:p>
        </w:tc>
      </w:tr>
      <w:tr>
        <w:trPr>
          <w:trHeight w:val="1370" w:hRule="atLeast"/>
        </w:trPr>
        <w:tc>
          <w:tcPr>
            <w:tcW w:w="9290" w:type="dxa"/>
            <w:vAlign w:val="top"/>
            <w:gridSpan w:val="6"/>
          </w:tcPr>
          <w:p>
            <w:pPr>
              <w:ind w:left="116"/>
              <w:spacing w:before="32"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210" w:firstLine="12"/>
              <w:spacing w:before="23"/>
              <w:rPr>
                <w:rFonts w:ascii="SimSun" w:hAnsi="SimSun" w:eastAsia="SimSun" w:cs="SimSun"/>
              </w:rPr>
            </w:pPr>
            <w:r>
              <w:rPr>
                <w:spacing w:val="8"/>
              </w:rPr>
              <w:t>1.</w:t>
            </w:r>
            <w:r>
              <w:rPr>
                <w:rFonts w:ascii="SimSun" w:hAnsi="SimSun" w:eastAsia="SimSun" w:cs="SimSun"/>
                <w:spacing w:val="8"/>
              </w:rPr>
              <w:t>检测结果参照执行《土壤环境质量 建设用地土壤污染风险管控标准》</w:t>
            </w:r>
            <w:r>
              <w:rPr/>
              <w:t>GB</w:t>
            </w:r>
            <w:r>
              <w:rPr>
                <w:spacing w:val="8"/>
              </w:rPr>
              <w:t>36600</w:t>
            </w:r>
            <w:r>
              <w:rPr>
                <w:spacing w:val="7"/>
              </w:rPr>
              <w:t>-2018</w:t>
            </w:r>
            <w:r>
              <w:rPr>
                <w:spacing w:val="25"/>
              </w:rPr>
              <w:t xml:space="preserve"> </w:t>
            </w:r>
            <w:r>
              <w:rPr>
                <w:rFonts w:ascii="SimSun" w:hAnsi="SimSun" w:eastAsia="SimSun" w:cs="SimSun"/>
                <w:spacing w:val="7"/>
              </w:rPr>
              <w:t>中筛选值第</w:t>
            </w:r>
            <w:r>
              <w:rPr>
                <w:rFonts w:ascii="SimSun" w:hAnsi="SimSun" w:eastAsia="SimSun" w:cs="SimSun"/>
                <w:spacing w:val="5"/>
              </w:rPr>
              <w:t>二类用地；</w:t>
            </w:r>
          </w:p>
          <w:p>
            <w:pPr>
              <w:pStyle w:val="TableText"/>
              <w:ind w:left="109" w:right="594"/>
              <w:spacing w:before="26" w:line="235" w:lineRule="auto"/>
              <w:rPr>
                <w:rFonts w:ascii="SimSun" w:hAnsi="SimSun" w:eastAsia="SimSun" w:cs="SimSun"/>
              </w:rPr>
            </w:pPr>
            <w:r>
              <w:rPr>
                <w:spacing w:val="8"/>
              </w:rPr>
              <w:t>2.“*”</w:t>
            </w:r>
            <w:r>
              <w:rPr>
                <w:rFonts w:ascii="SimSun" w:hAnsi="SimSun" w:eastAsia="SimSun" w:cs="SimSun"/>
                <w:spacing w:val="8"/>
              </w:rPr>
              <w:t>项目为本公司未取得资质认定能力由北京华成星科检测有限公司分包检测，证书编号为：</w:t>
            </w:r>
            <w:r>
              <w:rPr>
                <w:rFonts w:ascii="SimSun" w:hAnsi="SimSun" w:eastAsia="SimSun" w:cs="SimSun"/>
              </w:rPr>
              <w:t xml:space="preserve"> </w:t>
            </w:r>
            <w:r>
              <w:rPr>
                <w:spacing w:val="3"/>
              </w:rPr>
              <w:t>210112051074</w:t>
            </w:r>
            <w:r>
              <w:rPr>
                <w:rFonts w:ascii="SimSun" w:hAnsi="SimSun" w:eastAsia="SimSun" w:cs="SimSun"/>
                <w:spacing w:val="3"/>
              </w:rPr>
              <w:t>。</w:t>
            </w:r>
          </w:p>
        </w:tc>
      </w:tr>
    </w:tbl>
    <w:p>
      <w:pPr>
        <w:ind w:left="2982"/>
        <w:spacing w:before="270"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20"/>
        <w:spacing w:before="69"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4-2-47</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3"/>
        <w:gridCol w:w="1595"/>
        <w:gridCol w:w="1593"/>
        <w:gridCol w:w="1595"/>
        <w:gridCol w:w="986"/>
        <w:gridCol w:w="974"/>
        <w:gridCol w:w="976"/>
      </w:tblGrid>
      <w:tr>
        <w:trPr>
          <w:trHeight w:val="280" w:hRule="atLeast"/>
        </w:trPr>
        <w:tc>
          <w:tcPr>
            <w:tcW w:w="1573" w:type="dxa"/>
            <w:vAlign w:val="top"/>
            <w:vMerge w:val="restart"/>
            <w:tcBorders>
              <w:bottom w:val="nil"/>
            </w:tcBorders>
          </w:tcPr>
          <w:p>
            <w:pPr>
              <w:spacing w:line="367" w:lineRule="auto"/>
              <w:rPr>
                <w:rFonts w:ascii="Arial"/>
                <w:sz w:val="21"/>
              </w:rPr>
            </w:pPr>
            <w:r/>
          </w:p>
          <w:p>
            <w:pPr>
              <w:ind w:left="372"/>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783" w:type="dxa"/>
            <w:vAlign w:val="top"/>
            <w:gridSpan w:val="3"/>
          </w:tcPr>
          <w:p>
            <w:pPr>
              <w:ind w:left="1977"/>
              <w:spacing w:before="31" w:line="220" w:lineRule="auto"/>
              <w:rPr>
                <w:rFonts w:ascii="SimSun" w:hAnsi="SimSun" w:eastAsia="SimSun" w:cs="SimSun"/>
                <w:sz w:val="20"/>
                <w:szCs w:val="20"/>
              </w:rPr>
            </w:pPr>
            <w:r>
              <w:rPr>
                <w:rFonts w:ascii="SimSun" w:hAnsi="SimSun" w:eastAsia="SimSun" w:cs="SimSun"/>
                <w:sz w:val="20"/>
                <w:szCs w:val="20"/>
                <w:spacing w:val="6"/>
              </w:rPr>
              <w:t>分析结果</w:t>
            </w:r>
          </w:p>
        </w:tc>
        <w:tc>
          <w:tcPr>
            <w:tcW w:w="986" w:type="dxa"/>
            <w:vAlign w:val="top"/>
            <w:vMerge w:val="restart"/>
            <w:tcBorders>
              <w:bottom w:val="nil"/>
            </w:tcBorders>
          </w:tcPr>
          <w:p>
            <w:pPr>
              <w:spacing w:line="367" w:lineRule="auto"/>
              <w:rPr>
                <w:rFonts w:ascii="Arial"/>
                <w:sz w:val="21"/>
              </w:rPr>
            </w:pPr>
            <w:r/>
          </w:p>
          <w:p>
            <w:pPr>
              <w:ind w:left="302"/>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74" w:type="dxa"/>
            <w:vAlign w:val="top"/>
            <w:vMerge w:val="restart"/>
            <w:tcBorders>
              <w:bottom w:val="nil"/>
            </w:tcBorders>
          </w:tcPr>
          <w:p>
            <w:pPr>
              <w:spacing w:line="367" w:lineRule="auto"/>
              <w:rPr>
                <w:rFonts w:ascii="Arial"/>
                <w:sz w:val="21"/>
              </w:rPr>
            </w:pPr>
            <w:r/>
          </w:p>
          <w:p>
            <w:pPr>
              <w:ind w:left="285"/>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76" w:type="dxa"/>
            <w:vAlign w:val="top"/>
            <w:vMerge w:val="restart"/>
            <w:tcBorders>
              <w:bottom w:val="nil"/>
            </w:tcBorders>
          </w:tcPr>
          <w:p>
            <w:pPr>
              <w:ind w:left="387" w:right="174" w:hanging="208"/>
              <w:spacing w:before="298" w:line="252"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47" w:hRule="atLeast"/>
        </w:trPr>
        <w:tc>
          <w:tcPr>
            <w:tcW w:w="1573" w:type="dxa"/>
            <w:vAlign w:val="top"/>
            <w:vMerge w:val="continue"/>
            <w:tcBorders>
              <w:top w:val="nil"/>
              <w:bottom w:val="nil"/>
            </w:tcBorders>
          </w:tcPr>
          <w:p>
            <w:pPr>
              <w:rPr>
                <w:rFonts w:ascii="Arial"/>
                <w:sz w:val="21"/>
              </w:rPr>
            </w:pPr>
            <w:r/>
          </w:p>
        </w:tc>
        <w:tc>
          <w:tcPr>
            <w:tcW w:w="4783" w:type="dxa"/>
            <w:vAlign w:val="top"/>
            <w:gridSpan w:val="3"/>
          </w:tcPr>
          <w:p>
            <w:pPr>
              <w:pStyle w:val="TableText"/>
              <w:ind w:left="2277"/>
              <w:spacing w:before="51" w:line="194" w:lineRule="auto"/>
              <w:rPr/>
            </w:pPr>
            <w:r>
              <w:rPr>
                <w:spacing w:val="1"/>
              </w:rPr>
              <w:t>T8</w:t>
            </w:r>
          </w:p>
        </w:tc>
        <w:tc>
          <w:tcPr>
            <w:tcW w:w="986" w:type="dxa"/>
            <w:vAlign w:val="top"/>
            <w:vMerge w:val="continue"/>
            <w:tcBorders>
              <w:top w:val="nil"/>
              <w:bottom w:val="nil"/>
            </w:tcBorders>
          </w:tcPr>
          <w:p>
            <w:pPr>
              <w:rPr>
                <w:rFonts w:ascii="Arial"/>
                <w:sz w:val="21"/>
              </w:rPr>
            </w:pPr>
            <w:r/>
          </w:p>
        </w:tc>
        <w:tc>
          <w:tcPr>
            <w:tcW w:w="974" w:type="dxa"/>
            <w:vAlign w:val="top"/>
            <w:vMerge w:val="continue"/>
            <w:tcBorders>
              <w:top w:val="nil"/>
              <w:bottom w:val="nil"/>
            </w:tcBorders>
          </w:tcPr>
          <w:p>
            <w:pPr>
              <w:rPr>
                <w:rFonts w:ascii="Arial"/>
                <w:sz w:val="21"/>
              </w:rPr>
            </w:pPr>
            <w:r/>
          </w:p>
        </w:tc>
        <w:tc>
          <w:tcPr>
            <w:tcW w:w="976" w:type="dxa"/>
            <w:vAlign w:val="top"/>
            <w:vMerge w:val="continue"/>
            <w:tcBorders>
              <w:top w:val="nil"/>
              <w:bottom w:val="nil"/>
            </w:tcBorders>
          </w:tcPr>
          <w:p>
            <w:pPr>
              <w:rPr>
                <w:rFonts w:ascii="Arial"/>
                <w:sz w:val="21"/>
              </w:rPr>
            </w:pPr>
            <w:r/>
          </w:p>
        </w:tc>
      </w:tr>
      <w:tr>
        <w:trPr>
          <w:trHeight w:val="549" w:hRule="atLeast"/>
        </w:trPr>
        <w:tc>
          <w:tcPr>
            <w:tcW w:w="1573" w:type="dxa"/>
            <w:vAlign w:val="top"/>
            <w:vMerge w:val="continue"/>
            <w:tcBorders>
              <w:top w:val="nil"/>
            </w:tcBorders>
          </w:tcPr>
          <w:p>
            <w:pPr>
              <w:rPr>
                <w:rFonts w:ascii="Arial"/>
                <w:sz w:val="21"/>
              </w:rPr>
            </w:pPr>
            <w:r/>
          </w:p>
        </w:tc>
        <w:tc>
          <w:tcPr>
            <w:tcW w:w="1595" w:type="dxa"/>
            <w:vAlign w:val="top"/>
          </w:tcPr>
          <w:p>
            <w:pPr>
              <w:pStyle w:val="TableText"/>
              <w:ind w:left="302" w:right="308" w:firstLine="183"/>
              <w:spacing w:before="29" w:line="235" w:lineRule="auto"/>
              <w:rPr>
                <w:rFonts w:ascii="SimSun" w:hAnsi="SimSun" w:eastAsia="SimSun" w:cs="SimSun"/>
              </w:rPr>
            </w:pPr>
            <w:r>
              <w:rPr>
                <w:rFonts w:ascii="SimSun" w:hAnsi="SimSun" w:eastAsia="SimSun" w:cs="SimSun"/>
                <w:spacing w:val="7"/>
              </w:rPr>
              <w:t>表层样</w:t>
            </w:r>
            <w:r>
              <w:rPr>
                <w:rFonts w:ascii="SimSun" w:hAnsi="SimSun" w:eastAsia="SimSun" w:cs="SimSun"/>
              </w:rPr>
              <w:t>（</w:t>
            </w:r>
            <w:r>
              <w:rPr/>
              <w:t>0-0.5m</w:t>
            </w:r>
            <w:r>
              <w:rPr>
                <w:rFonts w:ascii="SimSun" w:hAnsi="SimSun" w:eastAsia="SimSun" w:cs="SimSun"/>
              </w:rPr>
              <w:t>）</w:t>
            </w:r>
          </w:p>
        </w:tc>
        <w:tc>
          <w:tcPr>
            <w:tcW w:w="1593" w:type="dxa"/>
            <w:vAlign w:val="top"/>
          </w:tcPr>
          <w:p>
            <w:pPr>
              <w:pStyle w:val="TableText"/>
              <w:ind w:left="222" w:right="223" w:firstLine="285"/>
              <w:spacing w:before="29" w:line="235"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95" w:type="dxa"/>
            <w:vAlign w:val="top"/>
          </w:tcPr>
          <w:p>
            <w:pPr>
              <w:pStyle w:val="TableText"/>
              <w:ind w:left="225" w:right="225" w:firstLine="263"/>
              <w:spacing w:before="29" w:line="235"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986" w:type="dxa"/>
            <w:vAlign w:val="top"/>
            <w:vMerge w:val="continue"/>
            <w:tcBorders>
              <w:top w:val="nil"/>
            </w:tcBorders>
          </w:tcPr>
          <w:p>
            <w:pPr>
              <w:rPr>
                <w:rFonts w:ascii="Arial"/>
                <w:sz w:val="21"/>
              </w:rPr>
            </w:pPr>
            <w:r/>
          </w:p>
        </w:tc>
        <w:tc>
          <w:tcPr>
            <w:tcW w:w="974" w:type="dxa"/>
            <w:vAlign w:val="top"/>
            <w:vMerge w:val="continue"/>
            <w:tcBorders>
              <w:top w:val="nil"/>
            </w:tcBorders>
          </w:tcPr>
          <w:p>
            <w:pPr>
              <w:rPr>
                <w:rFonts w:ascii="Arial"/>
                <w:sz w:val="21"/>
              </w:rPr>
            </w:pPr>
            <w:r/>
          </w:p>
        </w:tc>
        <w:tc>
          <w:tcPr>
            <w:tcW w:w="976" w:type="dxa"/>
            <w:vAlign w:val="top"/>
            <w:vMerge w:val="continue"/>
            <w:tcBorders>
              <w:top w:val="nil"/>
            </w:tcBorders>
          </w:tcPr>
          <w:p>
            <w:pPr>
              <w:rPr>
                <w:rFonts w:ascii="Arial"/>
                <w:sz w:val="21"/>
              </w:rPr>
            </w:pPr>
            <w:r/>
          </w:p>
        </w:tc>
      </w:tr>
      <w:tr>
        <w:trPr>
          <w:trHeight w:val="278" w:hRule="atLeast"/>
        </w:trPr>
        <w:tc>
          <w:tcPr>
            <w:tcW w:w="1573" w:type="dxa"/>
            <w:vAlign w:val="top"/>
          </w:tcPr>
          <w:p>
            <w:pPr>
              <w:ind w:left="589"/>
              <w:spacing w:before="29" w:line="220" w:lineRule="auto"/>
              <w:rPr>
                <w:rFonts w:ascii="SimSun" w:hAnsi="SimSun" w:eastAsia="SimSun" w:cs="SimSun"/>
                <w:sz w:val="20"/>
                <w:szCs w:val="20"/>
              </w:rPr>
            </w:pPr>
            <w:r>
              <w:rPr>
                <w:rFonts w:ascii="SimSun" w:hAnsi="SimSun" w:eastAsia="SimSun" w:cs="SimSun"/>
                <w:sz w:val="20"/>
                <w:szCs w:val="20"/>
                <w:spacing w:val="2"/>
              </w:rPr>
              <w:t>总砷</w:t>
            </w:r>
          </w:p>
        </w:tc>
        <w:tc>
          <w:tcPr>
            <w:tcW w:w="1595" w:type="dxa"/>
            <w:vAlign w:val="top"/>
          </w:tcPr>
          <w:p>
            <w:pPr>
              <w:pStyle w:val="TableText"/>
              <w:ind w:left="614"/>
              <w:spacing w:before="65" w:line="195" w:lineRule="auto"/>
              <w:rPr/>
            </w:pPr>
            <w:r>
              <w:rPr>
                <w:spacing w:val="3"/>
              </w:rPr>
              <w:t>4.73</w:t>
            </w:r>
          </w:p>
        </w:tc>
        <w:tc>
          <w:tcPr>
            <w:tcW w:w="1593" w:type="dxa"/>
            <w:vAlign w:val="top"/>
          </w:tcPr>
          <w:p>
            <w:pPr>
              <w:pStyle w:val="TableText"/>
              <w:ind w:left="613"/>
              <w:spacing w:before="65" w:line="195" w:lineRule="auto"/>
              <w:rPr/>
            </w:pPr>
            <w:r>
              <w:rPr>
                <w:spacing w:val="3"/>
              </w:rPr>
              <w:t>2.87</w:t>
            </w:r>
          </w:p>
        </w:tc>
        <w:tc>
          <w:tcPr>
            <w:tcW w:w="1595" w:type="dxa"/>
            <w:vAlign w:val="top"/>
          </w:tcPr>
          <w:p>
            <w:pPr>
              <w:pStyle w:val="TableText"/>
              <w:ind w:left="616"/>
              <w:spacing w:before="65" w:line="195" w:lineRule="auto"/>
              <w:rPr/>
            </w:pPr>
            <w:r>
              <w:rPr>
                <w:spacing w:val="3"/>
              </w:rPr>
              <w:t>2.74</w:t>
            </w:r>
          </w:p>
        </w:tc>
        <w:tc>
          <w:tcPr>
            <w:tcW w:w="986" w:type="dxa"/>
            <w:vAlign w:val="top"/>
          </w:tcPr>
          <w:p>
            <w:pPr>
              <w:pStyle w:val="TableText"/>
              <w:ind w:left="392"/>
              <w:spacing w:before="65" w:line="195" w:lineRule="auto"/>
              <w:rPr/>
            </w:pPr>
            <w:r>
              <w:rPr>
                <w:spacing w:val="2"/>
              </w:rPr>
              <w:t>25</w:t>
            </w:r>
          </w:p>
        </w:tc>
        <w:tc>
          <w:tcPr>
            <w:tcW w:w="974" w:type="dxa"/>
            <w:vAlign w:val="top"/>
          </w:tcPr>
          <w:p>
            <w:pPr>
              <w:pStyle w:val="TableText"/>
              <w:ind w:left="219"/>
              <w:spacing w:before="62" w:line="201" w:lineRule="auto"/>
              <w:rPr/>
            </w:pPr>
            <w:r>
              <w:rPr>
                <w:spacing w:val="3"/>
              </w:rPr>
              <w:t>mg/kg</w:t>
            </w:r>
          </w:p>
        </w:tc>
        <w:tc>
          <w:tcPr>
            <w:tcW w:w="976" w:type="dxa"/>
            <w:vAlign w:val="top"/>
            <w:vMerge w:val="restart"/>
            <w:tcBorders>
              <w:bottom w:val="nil"/>
            </w:tcBorders>
          </w:tcPr>
          <w:p>
            <w:pPr>
              <w:spacing w:line="315" w:lineRule="auto"/>
              <w:rPr>
                <w:rFonts w:ascii="Arial"/>
                <w:sz w:val="21"/>
              </w:rPr>
            </w:pPr>
            <w:r/>
          </w:p>
          <w:p>
            <w:pPr>
              <w:spacing w:line="315" w:lineRule="auto"/>
              <w:rPr>
                <w:rFonts w:ascii="Arial"/>
                <w:sz w:val="21"/>
              </w:rPr>
            </w:pPr>
            <w:r/>
          </w:p>
          <w:p>
            <w:pPr>
              <w:spacing w:line="316" w:lineRule="auto"/>
              <w:rPr>
                <w:rFonts w:ascii="Arial"/>
                <w:sz w:val="21"/>
              </w:rPr>
            </w:pPr>
            <w:r/>
          </w:p>
          <w:p>
            <w:pPr>
              <w:ind w:left="283"/>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5" w:hRule="atLeast"/>
        </w:trPr>
        <w:tc>
          <w:tcPr>
            <w:tcW w:w="1573" w:type="dxa"/>
            <w:vAlign w:val="top"/>
          </w:tcPr>
          <w:p>
            <w:pPr>
              <w:ind w:left="685"/>
              <w:spacing w:before="29" w:line="217" w:lineRule="auto"/>
              <w:rPr>
                <w:rFonts w:ascii="SimSun" w:hAnsi="SimSun" w:eastAsia="SimSun" w:cs="SimSun"/>
                <w:sz w:val="20"/>
                <w:szCs w:val="20"/>
              </w:rPr>
            </w:pPr>
            <w:r>
              <w:rPr>
                <w:rFonts w:ascii="SimSun" w:hAnsi="SimSun" w:eastAsia="SimSun" w:cs="SimSun"/>
                <w:sz w:val="20"/>
                <w:szCs w:val="20"/>
                <w:spacing w:val="2"/>
              </w:rPr>
              <w:t>镉</w:t>
            </w:r>
          </w:p>
        </w:tc>
        <w:tc>
          <w:tcPr>
            <w:tcW w:w="1595" w:type="dxa"/>
            <w:vAlign w:val="top"/>
          </w:tcPr>
          <w:p>
            <w:pPr>
              <w:pStyle w:val="TableText"/>
              <w:ind w:left="618"/>
              <w:spacing w:before="66" w:line="195" w:lineRule="auto"/>
              <w:rPr/>
            </w:pPr>
            <w:r>
              <w:rPr>
                <w:spacing w:val="2"/>
              </w:rPr>
              <w:t>0.15</w:t>
            </w:r>
          </w:p>
        </w:tc>
        <w:tc>
          <w:tcPr>
            <w:tcW w:w="1593" w:type="dxa"/>
            <w:vAlign w:val="top"/>
          </w:tcPr>
          <w:p>
            <w:pPr>
              <w:pStyle w:val="TableText"/>
              <w:ind w:left="616"/>
              <w:spacing w:before="66" w:line="195" w:lineRule="auto"/>
              <w:rPr/>
            </w:pPr>
            <w:r>
              <w:rPr>
                <w:spacing w:val="2"/>
              </w:rPr>
              <w:t>0.13</w:t>
            </w:r>
          </w:p>
        </w:tc>
        <w:tc>
          <w:tcPr>
            <w:tcW w:w="1595" w:type="dxa"/>
            <w:vAlign w:val="top"/>
          </w:tcPr>
          <w:p>
            <w:pPr>
              <w:pStyle w:val="TableText"/>
              <w:ind w:left="619"/>
              <w:spacing w:before="66" w:line="195" w:lineRule="auto"/>
              <w:rPr/>
            </w:pPr>
            <w:r>
              <w:rPr>
                <w:spacing w:val="2"/>
              </w:rPr>
              <w:t>0.16</w:t>
            </w:r>
          </w:p>
        </w:tc>
        <w:tc>
          <w:tcPr>
            <w:tcW w:w="986" w:type="dxa"/>
            <w:vAlign w:val="top"/>
          </w:tcPr>
          <w:p>
            <w:pPr>
              <w:pStyle w:val="TableText"/>
              <w:ind w:left="368"/>
              <w:spacing w:before="66" w:line="195" w:lineRule="auto"/>
              <w:rPr/>
            </w:pPr>
            <w:r>
              <w:rPr>
                <w:spacing w:val="1"/>
              </w:rPr>
              <w:t>0.6</w:t>
            </w:r>
          </w:p>
        </w:tc>
        <w:tc>
          <w:tcPr>
            <w:tcW w:w="974" w:type="dxa"/>
            <w:vAlign w:val="top"/>
          </w:tcPr>
          <w:p>
            <w:pPr>
              <w:pStyle w:val="TableText"/>
              <w:ind w:left="219"/>
              <w:spacing w:before="62"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7"/>
              <w:spacing w:before="30" w:line="219" w:lineRule="auto"/>
              <w:rPr>
                <w:rFonts w:ascii="SimSun" w:hAnsi="SimSun" w:eastAsia="SimSun" w:cs="SimSun"/>
                <w:sz w:val="20"/>
                <w:szCs w:val="20"/>
              </w:rPr>
            </w:pPr>
            <w:r>
              <w:rPr>
                <w:rFonts w:ascii="SimSun" w:hAnsi="SimSun" w:eastAsia="SimSun" w:cs="SimSun"/>
                <w:sz w:val="20"/>
                <w:szCs w:val="20"/>
              </w:rPr>
              <w:t>铜</w:t>
            </w:r>
          </w:p>
        </w:tc>
        <w:tc>
          <w:tcPr>
            <w:tcW w:w="1595" w:type="dxa"/>
            <w:vAlign w:val="top"/>
          </w:tcPr>
          <w:p>
            <w:pPr>
              <w:pStyle w:val="TableText"/>
              <w:ind w:left="696"/>
              <w:spacing w:before="66" w:line="195" w:lineRule="auto"/>
              <w:rPr/>
            </w:pPr>
            <w:r>
              <w:rPr/>
              <w:t>33</w:t>
            </w:r>
          </w:p>
        </w:tc>
        <w:tc>
          <w:tcPr>
            <w:tcW w:w="1593" w:type="dxa"/>
            <w:vAlign w:val="top"/>
          </w:tcPr>
          <w:p>
            <w:pPr>
              <w:pStyle w:val="TableText"/>
              <w:ind w:left="697"/>
              <w:spacing w:before="66" w:line="195" w:lineRule="auto"/>
              <w:rPr/>
            </w:pPr>
            <w:r>
              <w:rPr/>
              <w:t>32</w:t>
            </w:r>
          </w:p>
        </w:tc>
        <w:tc>
          <w:tcPr>
            <w:tcW w:w="1595" w:type="dxa"/>
            <w:vAlign w:val="top"/>
          </w:tcPr>
          <w:p>
            <w:pPr>
              <w:pStyle w:val="TableText"/>
              <w:ind w:left="700"/>
              <w:spacing w:before="66" w:line="195" w:lineRule="auto"/>
              <w:rPr/>
            </w:pPr>
            <w:r>
              <w:rPr/>
              <w:t>38</w:t>
            </w:r>
          </w:p>
        </w:tc>
        <w:tc>
          <w:tcPr>
            <w:tcW w:w="986" w:type="dxa"/>
            <w:vAlign w:val="top"/>
          </w:tcPr>
          <w:p>
            <w:pPr>
              <w:pStyle w:val="TableText"/>
              <w:ind w:left="359"/>
              <w:spacing w:before="66" w:line="195" w:lineRule="auto"/>
              <w:rPr/>
            </w:pPr>
            <w:r>
              <w:rPr>
                <w:spacing w:val="-3"/>
              </w:rPr>
              <w:t>100</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7"/>
              <w:spacing w:before="30" w:line="219" w:lineRule="auto"/>
              <w:rPr>
                <w:rFonts w:ascii="SimSun" w:hAnsi="SimSun" w:eastAsia="SimSun" w:cs="SimSun"/>
                <w:sz w:val="20"/>
                <w:szCs w:val="20"/>
              </w:rPr>
            </w:pPr>
            <w:r>
              <w:rPr>
                <w:rFonts w:ascii="SimSun" w:hAnsi="SimSun" w:eastAsia="SimSun" w:cs="SimSun"/>
                <w:sz w:val="20"/>
                <w:szCs w:val="20"/>
              </w:rPr>
              <w:t>铅</w:t>
            </w:r>
          </w:p>
        </w:tc>
        <w:tc>
          <w:tcPr>
            <w:tcW w:w="1595" w:type="dxa"/>
            <w:vAlign w:val="top"/>
          </w:tcPr>
          <w:p>
            <w:pPr>
              <w:pStyle w:val="TableText"/>
              <w:ind w:left="691"/>
              <w:spacing w:before="67" w:line="195" w:lineRule="auto"/>
              <w:rPr/>
            </w:pPr>
            <w:r>
              <w:rPr>
                <w:spacing w:val="2"/>
              </w:rPr>
              <w:t>26</w:t>
            </w:r>
          </w:p>
        </w:tc>
        <w:tc>
          <w:tcPr>
            <w:tcW w:w="1593" w:type="dxa"/>
            <w:vAlign w:val="top"/>
          </w:tcPr>
          <w:p>
            <w:pPr>
              <w:pStyle w:val="TableText"/>
              <w:ind w:left="692"/>
              <w:spacing w:before="67" w:line="195" w:lineRule="auto"/>
              <w:rPr/>
            </w:pPr>
            <w:r>
              <w:rPr>
                <w:spacing w:val="2"/>
              </w:rPr>
              <w:t>21</w:t>
            </w:r>
          </w:p>
        </w:tc>
        <w:tc>
          <w:tcPr>
            <w:tcW w:w="1595" w:type="dxa"/>
            <w:vAlign w:val="top"/>
          </w:tcPr>
          <w:p>
            <w:pPr>
              <w:pStyle w:val="TableText"/>
              <w:ind w:left="695"/>
              <w:spacing w:before="67" w:line="195" w:lineRule="auto"/>
              <w:rPr/>
            </w:pPr>
            <w:r>
              <w:rPr>
                <w:spacing w:val="2"/>
              </w:rPr>
              <w:t>20</w:t>
            </w:r>
          </w:p>
        </w:tc>
        <w:tc>
          <w:tcPr>
            <w:tcW w:w="986" w:type="dxa"/>
            <w:vAlign w:val="top"/>
          </w:tcPr>
          <w:p>
            <w:pPr>
              <w:pStyle w:val="TableText"/>
              <w:ind w:left="359"/>
              <w:spacing w:before="67" w:line="195" w:lineRule="auto"/>
              <w:rPr/>
            </w:pPr>
            <w:r>
              <w:rPr>
                <w:spacing w:val="-3"/>
              </w:rPr>
              <w:t>170</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6" w:hRule="atLeast"/>
        </w:trPr>
        <w:tc>
          <w:tcPr>
            <w:tcW w:w="1573" w:type="dxa"/>
            <w:vAlign w:val="top"/>
          </w:tcPr>
          <w:p>
            <w:pPr>
              <w:ind w:left="686"/>
              <w:spacing w:before="28" w:line="219" w:lineRule="auto"/>
              <w:rPr>
                <w:rFonts w:ascii="SimSun" w:hAnsi="SimSun" w:eastAsia="SimSun" w:cs="SimSun"/>
                <w:sz w:val="20"/>
                <w:szCs w:val="20"/>
              </w:rPr>
            </w:pPr>
            <w:r>
              <w:rPr>
                <w:rFonts w:ascii="SimSun" w:hAnsi="SimSun" w:eastAsia="SimSun" w:cs="SimSun"/>
                <w:sz w:val="20"/>
                <w:szCs w:val="20"/>
                <w:spacing w:val="1"/>
              </w:rPr>
              <w:t>镍</w:t>
            </w:r>
          </w:p>
        </w:tc>
        <w:tc>
          <w:tcPr>
            <w:tcW w:w="1595" w:type="dxa"/>
            <w:vAlign w:val="top"/>
          </w:tcPr>
          <w:p>
            <w:pPr>
              <w:pStyle w:val="TableText"/>
              <w:ind w:left="691"/>
              <w:spacing w:before="64" w:line="195" w:lineRule="auto"/>
              <w:rPr/>
            </w:pPr>
            <w:r>
              <w:rPr>
                <w:spacing w:val="2"/>
              </w:rPr>
              <w:t>26</w:t>
            </w:r>
          </w:p>
        </w:tc>
        <w:tc>
          <w:tcPr>
            <w:tcW w:w="1593" w:type="dxa"/>
            <w:vAlign w:val="top"/>
          </w:tcPr>
          <w:p>
            <w:pPr>
              <w:pStyle w:val="TableText"/>
              <w:ind w:left="692"/>
              <w:spacing w:before="64" w:line="195" w:lineRule="auto"/>
              <w:rPr/>
            </w:pPr>
            <w:r>
              <w:rPr>
                <w:spacing w:val="2"/>
              </w:rPr>
              <w:t>23</w:t>
            </w:r>
          </w:p>
        </w:tc>
        <w:tc>
          <w:tcPr>
            <w:tcW w:w="1595" w:type="dxa"/>
            <w:vAlign w:val="top"/>
          </w:tcPr>
          <w:p>
            <w:pPr>
              <w:pStyle w:val="TableText"/>
              <w:ind w:left="695"/>
              <w:spacing w:before="64" w:line="195" w:lineRule="auto"/>
              <w:rPr/>
            </w:pPr>
            <w:r>
              <w:rPr>
                <w:spacing w:val="2"/>
              </w:rPr>
              <w:t>25</w:t>
            </w:r>
          </w:p>
        </w:tc>
        <w:tc>
          <w:tcPr>
            <w:tcW w:w="986" w:type="dxa"/>
            <w:vAlign w:val="top"/>
          </w:tcPr>
          <w:p>
            <w:pPr>
              <w:pStyle w:val="TableText"/>
              <w:ind w:left="359"/>
              <w:spacing w:before="64" w:line="195" w:lineRule="auto"/>
              <w:rPr/>
            </w:pPr>
            <w:r>
              <w:rPr>
                <w:spacing w:val="-3"/>
              </w:rPr>
              <w:t>190</w:t>
            </w:r>
          </w:p>
        </w:tc>
        <w:tc>
          <w:tcPr>
            <w:tcW w:w="974" w:type="dxa"/>
            <w:vAlign w:val="top"/>
          </w:tcPr>
          <w:p>
            <w:pPr>
              <w:pStyle w:val="TableText"/>
              <w:ind w:left="219"/>
              <w:spacing w:before="61"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589"/>
              <w:spacing w:before="30" w:line="219" w:lineRule="auto"/>
              <w:rPr>
                <w:rFonts w:ascii="SimSun" w:hAnsi="SimSun" w:eastAsia="SimSun" w:cs="SimSun"/>
                <w:sz w:val="20"/>
                <w:szCs w:val="20"/>
              </w:rPr>
            </w:pPr>
            <w:r>
              <w:rPr>
                <w:rFonts w:ascii="SimSun" w:hAnsi="SimSun" w:eastAsia="SimSun" w:cs="SimSun"/>
                <w:sz w:val="20"/>
                <w:szCs w:val="20"/>
                <w:spacing w:val="2"/>
              </w:rPr>
              <w:t>总汞</w:t>
            </w:r>
          </w:p>
        </w:tc>
        <w:tc>
          <w:tcPr>
            <w:tcW w:w="1595" w:type="dxa"/>
            <w:vAlign w:val="top"/>
          </w:tcPr>
          <w:p>
            <w:pPr>
              <w:pStyle w:val="TableText"/>
              <w:ind w:left="510"/>
              <w:spacing w:before="67" w:line="195" w:lineRule="auto"/>
              <w:rPr/>
            </w:pPr>
            <w:r>
              <w:rPr>
                <w:spacing w:val="3"/>
              </w:rPr>
              <w:t>0.0576</w:t>
            </w:r>
          </w:p>
        </w:tc>
        <w:tc>
          <w:tcPr>
            <w:tcW w:w="1593" w:type="dxa"/>
            <w:vAlign w:val="top"/>
          </w:tcPr>
          <w:p>
            <w:pPr>
              <w:pStyle w:val="TableText"/>
              <w:ind w:left="511"/>
              <w:spacing w:before="67" w:line="195" w:lineRule="auto"/>
              <w:rPr/>
            </w:pPr>
            <w:r>
              <w:rPr>
                <w:spacing w:val="3"/>
              </w:rPr>
              <w:t>0.0542</w:t>
            </w:r>
          </w:p>
        </w:tc>
        <w:tc>
          <w:tcPr>
            <w:tcW w:w="1595" w:type="dxa"/>
            <w:vAlign w:val="top"/>
          </w:tcPr>
          <w:p>
            <w:pPr>
              <w:pStyle w:val="TableText"/>
              <w:ind w:left="514"/>
              <w:spacing w:before="67" w:line="195" w:lineRule="auto"/>
              <w:rPr/>
            </w:pPr>
            <w:r>
              <w:rPr>
                <w:spacing w:val="3"/>
              </w:rPr>
              <w:t>0.0512</w:t>
            </w:r>
          </w:p>
        </w:tc>
        <w:tc>
          <w:tcPr>
            <w:tcW w:w="986" w:type="dxa"/>
            <w:vAlign w:val="top"/>
          </w:tcPr>
          <w:p>
            <w:pPr>
              <w:pStyle w:val="TableText"/>
              <w:ind w:left="369"/>
              <w:spacing w:before="67" w:line="195" w:lineRule="auto"/>
              <w:rPr/>
            </w:pPr>
            <w:r>
              <w:rPr>
                <w:spacing w:val="1"/>
              </w:rPr>
              <w:t>3.4</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1" w:line="218" w:lineRule="auto"/>
              <w:rPr>
                <w:rFonts w:ascii="SimSun" w:hAnsi="SimSun" w:eastAsia="SimSun" w:cs="SimSun"/>
                <w:sz w:val="20"/>
                <w:szCs w:val="20"/>
              </w:rPr>
            </w:pPr>
            <w:r>
              <w:rPr>
                <w:rFonts w:ascii="SimSun" w:hAnsi="SimSun" w:eastAsia="SimSun" w:cs="SimSun"/>
                <w:sz w:val="20"/>
                <w:szCs w:val="20"/>
                <w:spacing w:val="1"/>
              </w:rPr>
              <w:t>锌</w:t>
            </w:r>
          </w:p>
        </w:tc>
        <w:tc>
          <w:tcPr>
            <w:tcW w:w="1595" w:type="dxa"/>
            <w:vAlign w:val="top"/>
          </w:tcPr>
          <w:p>
            <w:pPr>
              <w:pStyle w:val="TableText"/>
              <w:ind w:left="696"/>
              <w:spacing w:before="67" w:line="195" w:lineRule="auto"/>
              <w:rPr/>
            </w:pPr>
            <w:r>
              <w:rPr/>
              <w:t>31</w:t>
            </w:r>
          </w:p>
        </w:tc>
        <w:tc>
          <w:tcPr>
            <w:tcW w:w="1593" w:type="dxa"/>
            <w:vAlign w:val="top"/>
          </w:tcPr>
          <w:p>
            <w:pPr>
              <w:pStyle w:val="TableText"/>
              <w:ind w:left="697"/>
              <w:spacing w:before="67" w:line="195" w:lineRule="auto"/>
              <w:rPr/>
            </w:pPr>
            <w:r>
              <w:rPr/>
              <w:t>34</w:t>
            </w:r>
          </w:p>
        </w:tc>
        <w:tc>
          <w:tcPr>
            <w:tcW w:w="1595" w:type="dxa"/>
            <w:vAlign w:val="top"/>
          </w:tcPr>
          <w:p>
            <w:pPr>
              <w:pStyle w:val="TableText"/>
              <w:ind w:left="700"/>
              <w:spacing w:before="67" w:line="195" w:lineRule="auto"/>
              <w:rPr/>
            </w:pPr>
            <w:r>
              <w:rPr/>
              <w:t>33</w:t>
            </w:r>
          </w:p>
        </w:tc>
        <w:tc>
          <w:tcPr>
            <w:tcW w:w="986" w:type="dxa"/>
            <w:vAlign w:val="top"/>
          </w:tcPr>
          <w:p>
            <w:pPr>
              <w:pStyle w:val="TableText"/>
              <w:ind w:left="343"/>
              <w:spacing w:before="67" w:line="195" w:lineRule="auto"/>
              <w:rPr/>
            </w:pPr>
            <w:r>
              <w:rPr>
                <w:spacing w:val="2"/>
              </w:rPr>
              <w:t>300</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5" w:hRule="atLeast"/>
        </w:trPr>
        <w:tc>
          <w:tcPr>
            <w:tcW w:w="1573" w:type="dxa"/>
            <w:vAlign w:val="top"/>
          </w:tcPr>
          <w:p>
            <w:pPr>
              <w:ind w:left="686"/>
              <w:spacing w:before="28" w:line="218" w:lineRule="auto"/>
              <w:rPr>
                <w:rFonts w:ascii="SimSun" w:hAnsi="SimSun" w:eastAsia="SimSun" w:cs="SimSun"/>
                <w:sz w:val="20"/>
                <w:szCs w:val="20"/>
              </w:rPr>
            </w:pPr>
            <w:r>
              <w:rPr>
                <w:rFonts w:ascii="SimSun" w:hAnsi="SimSun" w:eastAsia="SimSun" w:cs="SimSun"/>
                <w:sz w:val="20"/>
                <w:szCs w:val="20"/>
                <w:spacing w:val="1"/>
              </w:rPr>
              <w:t>铬</w:t>
            </w:r>
          </w:p>
        </w:tc>
        <w:tc>
          <w:tcPr>
            <w:tcW w:w="1595" w:type="dxa"/>
            <w:vAlign w:val="top"/>
          </w:tcPr>
          <w:p>
            <w:pPr>
              <w:pStyle w:val="TableText"/>
              <w:ind w:left="691"/>
              <w:spacing w:before="65" w:line="195" w:lineRule="auto"/>
              <w:rPr/>
            </w:pPr>
            <w:r>
              <w:rPr>
                <w:spacing w:val="2"/>
              </w:rPr>
              <w:t>21</w:t>
            </w:r>
          </w:p>
        </w:tc>
        <w:tc>
          <w:tcPr>
            <w:tcW w:w="1593" w:type="dxa"/>
            <w:vAlign w:val="top"/>
          </w:tcPr>
          <w:p>
            <w:pPr>
              <w:pStyle w:val="TableText"/>
              <w:ind w:left="692"/>
              <w:spacing w:before="65" w:line="195" w:lineRule="auto"/>
              <w:rPr/>
            </w:pPr>
            <w:r>
              <w:rPr>
                <w:spacing w:val="2"/>
              </w:rPr>
              <w:t>23</w:t>
            </w:r>
          </w:p>
        </w:tc>
        <w:tc>
          <w:tcPr>
            <w:tcW w:w="1595" w:type="dxa"/>
            <w:vAlign w:val="top"/>
          </w:tcPr>
          <w:p>
            <w:pPr>
              <w:pStyle w:val="TableText"/>
              <w:ind w:left="695"/>
              <w:spacing w:before="65" w:line="195" w:lineRule="auto"/>
              <w:rPr/>
            </w:pPr>
            <w:r>
              <w:rPr>
                <w:spacing w:val="2"/>
              </w:rPr>
              <w:t>22</w:t>
            </w:r>
          </w:p>
        </w:tc>
        <w:tc>
          <w:tcPr>
            <w:tcW w:w="986" w:type="dxa"/>
            <w:vAlign w:val="top"/>
          </w:tcPr>
          <w:p>
            <w:pPr>
              <w:pStyle w:val="TableText"/>
              <w:ind w:left="339"/>
              <w:spacing w:before="65" w:line="195" w:lineRule="auto"/>
              <w:rPr/>
            </w:pPr>
            <w:r>
              <w:rPr>
                <w:spacing w:val="3"/>
              </w:rPr>
              <w:t>250</w:t>
            </w:r>
          </w:p>
        </w:tc>
        <w:tc>
          <w:tcPr>
            <w:tcW w:w="974" w:type="dxa"/>
            <w:vAlign w:val="top"/>
          </w:tcPr>
          <w:p>
            <w:pPr>
              <w:pStyle w:val="TableText"/>
              <w:ind w:left="219"/>
              <w:spacing w:before="61" w:line="201" w:lineRule="auto"/>
              <w:rPr/>
            </w:pPr>
            <w:r>
              <w:rPr>
                <w:spacing w:val="3"/>
              </w:rPr>
              <w:t>mg/kg</w:t>
            </w:r>
          </w:p>
        </w:tc>
        <w:tc>
          <w:tcPr>
            <w:tcW w:w="976" w:type="dxa"/>
            <w:vAlign w:val="top"/>
            <w:vMerge w:val="continue"/>
            <w:tcBorders>
              <w:top w:val="nil"/>
            </w:tcBorders>
          </w:tcPr>
          <w:p>
            <w:pPr>
              <w:rPr>
                <w:rFonts w:ascii="Arial"/>
                <w:sz w:val="21"/>
              </w:rPr>
            </w:pPr>
            <w:r/>
          </w:p>
        </w:tc>
      </w:tr>
      <w:tr>
        <w:trPr>
          <w:trHeight w:val="278" w:hRule="atLeast"/>
        </w:trPr>
        <w:tc>
          <w:tcPr>
            <w:tcW w:w="1573" w:type="dxa"/>
            <w:vAlign w:val="top"/>
          </w:tcPr>
          <w:p>
            <w:pPr>
              <w:pStyle w:val="TableText"/>
              <w:ind w:left="524"/>
              <w:spacing w:before="32" w:line="217" w:lineRule="auto"/>
              <w:rPr>
                <w:rFonts w:ascii="SimSun" w:hAnsi="SimSun" w:eastAsia="SimSun" w:cs="SimSun"/>
              </w:rPr>
            </w:pPr>
            <w:r>
              <w:rPr/>
              <w:t>pH</w:t>
            </w:r>
            <w:r>
              <w:rPr>
                <w:spacing w:val="11"/>
              </w:rPr>
              <w:t xml:space="preserve"> </w:t>
            </w:r>
            <w:r>
              <w:rPr>
                <w:rFonts w:ascii="SimSun" w:hAnsi="SimSun" w:eastAsia="SimSun" w:cs="SimSun"/>
                <w:spacing w:val="13"/>
              </w:rPr>
              <w:t>值</w:t>
            </w:r>
          </w:p>
        </w:tc>
        <w:tc>
          <w:tcPr>
            <w:tcW w:w="1595" w:type="dxa"/>
            <w:vAlign w:val="top"/>
          </w:tcPr>
          <w:p>
            <w:pPr>
              <w:pStyle w:val="TableText"/>
              <w:ind w:left="623"/>
              <w:spacing w:before="68" w:line="195" w:lineRule="auto"/>
              <w:rPr/>
            </w:pPr>
            <w:r>
              <w:rPr>
                <w:spacing w:val="-6"/>
              </w:rPr>
              <w:t>8.</w:t>
            </w:r>
            <w:r>
              <w:rPr>
                <w:spacing w:val="-24"/>
              </w:rPr>
              <w:t xml:space="preserve"> </w:t>
            </w:r>
            <w:r>
              <w:rPr>
                <w:spacing w:val="-6"/>
              </w:rPr>
              <w:t>14</w:t>
            </w:r>
          </w:p>
        </w:tc>
        <w:tc>
          <w:tcPr>
            <w:tcW w:w="1593" w:type="dxa"/>
            <w:vAlign w:val="top"/>
          </w:tcPr>
          <w:p>
            <w:pPr>
              <w:pStyle w:val="TableText"/>
              <w:ind w:left="622"/>
              <w:spacing w:before="68" w:line="195" w:lineRule="auto"/>
              <w:rPr/>
            </w:pPr>
            <w:r>
              <w:rPr>
                <w:spacing w:val="1"/>
              </w:rPr>
              <w:t>8.58</w:t>
            </w:r>
          </w:p>
        </w:tc>
        <w:tc>
          <w:tcPr>
            <w:tcW w:w="1595" w:type="dxa"/>
            <w:vAlign w:val="top"/>
          </w:tcPr>
          <w:p>
            <w:pPr>
              <w:pStyle w:val="TableText"/>
              <w:ind w:left="625"/>
              <w:spacing w:before="68" w:line="195" w:lineRule="auto"/>
              <w:rPr/>
            </w:pPr>
            <w:r>
              <w:rPr>
                <w:spacing w:val="1"/>
              </w:rPr>
              <w:t>8.26</w:t>
            </w:r>
          </w:p>
        </w:tc>
        <w:tc>
          <w:tcPr>
            <w:tcW w:w="986" w:type="dxa"/>
            <w:vAlign w:val="top"/>
          </w:tcPr>
          <w:p>
            <w:pPr>
              <w:pStyle w:val="TableText"/>
              <w:ind w:left="465"/>
              <w:spacing w:before="156" w:line="97" w:lineRule="exact"/>
              <w:rPr/>
            </w:pPr>
            <w:r>
              <w:rPr>
                <w:position w:val="-2"/>
              </w:rPr>
              <w:t>-</w:t>
            </w:r>
          </w:p>
        </w:tc>
        <w:tc>
          <w:tcPr>
            <w:tcW w:w="974" w:type="dxa"/>
            <w:vAlign w:val="top"/>
          </w:tcPr>
          <w:p>
            <w:pPr>
              <w:ind w:left="179"/>
              <w:spacing w:before="32" w:line="217" w:lineRule="auto"/>
              <w:rPr>
                <w:rFonts w:ascii="SimSun" w:hAnsi="SimSun" w:eastAsia="SimSun" w:cs="SimSun"/>
                <w:sz w:val="20"/>
                <w:szCs w:val="20"/>
              </w:rPr>
            </w:pPr>
            <w:r>
              <w:rPr>
                <w:rFonts w:ascii="SimSun" w:hAnsi="SimSun" w:eastAsia="SimSun" w:cs="SimSun"/>
                <w:sz w:val="20"/>
                <w:szCs w:val="20"/>
                <w:spacing w:val="6"/>
              </w:rPr>
              <w:t>无量纲</w:t>
            </w:r>
          </w:p>
        </w:tc>
        <w:tc>
          <w:tcPr>
            <w:tcW w:w="976" w:type="dxa"/>
            <w:vAlign w:val="top"/>
          </w:tcPr>
          <w:p>
            <w:pPr>
              <w:rPr>
                <w:rFonts w:ascii="Arial"/>
                <w:sz w:val="21"/>
              </w:rPr>
            </w:pPr>
            <w:r/>
          </w:p>
        </w:tc>
      </w:tr>
      <w:tr>
        <w:trPr>
          <w:trHeight w:val="824" w:hRule="atLeast"/>
        </w:trPr>
        <w:tc>
          <w:tcPr>
            <w:tcW w:w="9292" w:type="dxa"/>
            <w:vAlign w:val="top"/>
            <w:gridSpan w:val="7"/>
          </w:tcPr>
          <w:p>
            <w:pPr>
              <w:ind w:left="118"/>
              <w:spacing w:before="32"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55" w:hanging="1"/>
              <w:spacing w:before="23" w:line="235" w:lineRule="auto"/>
              <w:rPr>
                <w:rFonts w:ascii="SimSun" w:hAnsi="SimSun" w:eastAsia="SimSun" w:cs="SimSun"/>
              </w:rPr>
            </w:pPr>
            <w:r>
              <w:rPr>
                <w:rFonts w:ascii="SimSun" w:hAnsi="SimSun" w:eastAsia="SimSun" w:cs="SimSun"/>
                <w:spacing w:val="8"/>
              </w:rPr>
              <w:t>检测结果参照执行《土壤环境质量 农用地土壤污染风险管控标准（试行）》</w:t>
            </w:r>
            <w:r>
              <w:rPr/>
              <w:t>GB</w:t>
            </w:r>
            <w:r>
              <w:rPr>
                <w:spacing w:val="8"/>
              </w:rPr>
              <w:t>15618-2018 </w:t>
            </w:r>
            <w:r>
              <w:rPr>
                <w:rFonts w:ascii="SimSun" w:hAnsi="SimSun" w:eastAsia="SimSun" w:cs="SimSun"/>
                <w:spacing w:val="8"/>
              </w:rPr>
              <w:t>表</w:t>
            </w:r>
            <w:r>
              <w:rPr>
                <w:rFonts w:ascii="SimSun" w:hAnsi="SimSun" w:eastAsia="SimSun" w:cs="SimSun"/>
                <w:spacing w:val="-22"/>
              </w:rPr>
              <w:t xml:space="preserve"> </w:t>
            </w:r>
            <w:r>
              <w:rPr>
                <w:spacing w:val="8"/>
              </w:rPr>
              <w:t>1 </w:t>
            </w:r>
            <w:r>
              <w:rPr>
                <w:rFonts w:ascii="SimSun" w:hAnsi="SimSun" w:eastAsia="SimSun" w:cs="SimSun"/>
                <w:spacing w:val="8"/>
              </w:rPr>
              <w:t>农</w:t>
            </w:r>
            <w:r>
              <w:rPr>
                <w:rFonts w:ascii="SimSun" w:hAnsi="SimSun" w:eastAsia="SimSun" w:cs="SimSun"/>
                <w:spacing w:val="8"/>
              </w:rPr>
              <w:t>用地土壤污染风险筛选值。</w:t>
            </w:r>
          </w:p>
        </w:tc>
      </w:tr>
    </w:tbl>
    <w:p>
      <w:pPr>
        <w:ind w:left="2982"/>
        <w:spacing w:before="274"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20"/>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4-2-48</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3"/>
        <w:gridCol w:w="1595"/>
        <w:gridCol w:w="1593"/>
        <w:gridCol w:w="1595"/>
        <w:gridCol w:w="986"/>
        <w:gridCol w:w="974"/>
        <w:gridCol w:w="976"/>
      </w:tblGrid>
      <w:tr>
        <w:trPr>
          <w:trHeight w:val="282" w:hRule="atLeast"/>
        </w:trPr>
        <w:tc>
          <w:tcPr>
            <w:tcW w:w="1573" w:type="dxa"/>
            <w:vAlign w:val="top"/>
            <w:vMerge w:val="restart"/>
            <w:tcBorders>
              <w:bottom w:val="nil"/>
            </w:tcBorders>
          </w:tcPr>
          <w:p>
            <w:pPr>
              <w:spacing w:line="367" w:lineRule="auto"/>
              <w:rPr>
                <w:rFonts w:ascii="Arial"/>
                <w:sz w:val="21"/>
              </w:rPr>
            </w:pPr>
            <w:r/>
          </w:p>
          <w:p>
            <w:pPr>
              <w:ind w:left="372"/>
              <w:spacing w:before="65"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783" w:type="dxa"/>
            <w:vAlign w:val="top"/>
            <w:gridSpan w:val="3"/>
          </w:tcPr>
          <w:p>
            <w:pPr>
              <w:ind w:left="1977"/>
              <w:spacing w:before="33" w:line="220" w:lineRule="auto"/>
              <w:rPr>
                <w:rFonts w:ascii="SimSun" w:hAnsi="SimSun" w:eastAsia="SimSun" w:cs="SimSun"/>
                <w:sz w:val="20"/>
                <w:szCs w:val="20"/>
              </w:rPr>
            </w:pPr>
            <w:r>
              <w:rPr>
                <w:rFonts w:ascii="SimSun" w:hAnsi="SimSun" w:eastAsia="SimSun" w:cs="SimSun"/>
                <w:sz w:val="20"/>
                <w:szCs w:val="20"/>
                <w:spacing w:val="6"/>
              </w:rPr>
              <w:t>分析结果</w:t>
            </w:r>
          </w:p>
        </w:tc>
        <w:tc>
          <w:tcPr>
            <w:tcW w:w="986" w:type="dxa"/>
            <w:vAlign w:val="top"/>
            <w:vMerge w:val="restart"/>
            <w:tcBorders>
              <w:bottom w:val="nil"/>
            </w:tcBorders>
          </w:tcPr>
          <w:p>
            <w:pPr>
              <w:spacing w:line="367" w:lineRule="auto"/>
              <w:rPr>
                <w:rFonts w:ascii="Arial"/>
                <w:sz w:val="21"/>
              </w:rPr>
            </w:pPr>
            <w:r/>
          </w:p>
          <w:p>
            <w:pPr>
              <w:ind w:left="302"/>
              <w:spacing w:before="65" w:line="228" w:lineRule="auto"/>
              <w:rPr>
                <w:rFonts w:ascii="SimSun" w:hAnsi="SimSun" w:eastAsia="SimSun" w:cs="SimSun"/>
                <w:sz w:val="20"/>
                <w:szCs w:val="20"/>
              </w:rPr>
            </w:pPr>
            <w:r>
              <w:rPr>
                <w:rFonts w:ascii="SimSun" w:hAnsi="SimSun" w:eastAsia="SimSun" w:cs="SimSun"/>
                <w:sz w:val="20"/>
                <w:szCs w:val="20"/>
                <w:spacing w:val="-3"/>
              </w:rPr>
              <w:t>限值</w:t>
            </w:r>
          </w:p>
        </w:tc>
        <w:tc>
          <w:tcPr>
            <w:tcW w:w="974" w:type="dxa"/>
            <w:vAlign w:val="top"/>
            <w:vMerge w:val="restart"/>
            <w:tcBorders>
              <w:bottom w:val="nil"/>
            </w:tcBorders>
          </w:tcPr>
          <w:p>
            <w:pPr>
              <w:spacing w:line="367" w:lineRule="auto"/>
              <w:rPr>
                <w:rFonts w:ascii="Arial"/>
                <w:sz w:val="21"/>
              </w:rPr>
            </w:pPr>
            <w:r/>
          </w:p>
          <w:p>
            <w:pPr>
              <w:ind w:left="285"/>
              <w:spacing w:before="65" w:line="228" w:lineRule="auto"/>
              <w:rPr>
                <w:rFonts w:ascii="SimSun" w:hAnsi="SimSun" w:eastAsia="SimSun" w:cs="SimSun"/>
                <w:sz w:val="20"/>
                <w:szCs w:val="20"/>
              </w:rPr>
            </w:pPr>
            <w:r>
              <w:rPr>
                <w:rFonts w:ascii="SimSun" w:hAnsi="SimSun" w:eastAsia="SimSun" w:cs="SimSun"/>
                <w:sz w:val="20"/>
                <w:szCs w:val="20"/>
                <w:spacing w:val="3"/>
              </w:rPr>
              <w:t>单位</w:t>
            </w:r>
          </w:p>
        </w:tc>
        <w:tc>
          <w:tcPr>
            <w:tcW w:w="976" w:type="dxa"/>
            <w:vAlign w:val="top"/>
            <w:vMerge w:val="restart"/>
            <w:tcBorders>
              <w:bottom w:val="nil"/>
            </w:tcBorders>
          </w:tcPr>
          <w:p>
            <w:pPr>
              <w:ind w:left="387" w:right="174" w:hanging="208"/>
              <w:spacing w:before="300" w:line="252"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46" w:hRule="atLeast"/>
        </w:trPr>
        <w:tc>
          <w:tcPr>
            <w:tcW w:w="1573" w:type="dxa"/>
            <w:vAlign w:val="top"/>
            <w:vMerge w:val="continue"/>
            <w:tcBorders>
              <w:top w:val="nil"/>
              <w:bottom w:val="nil"/>
            </w:tcBorders>
          </w:tcPr>
          <w:p>
            <w:pPr>
              <w:rPr>
                <w:rFonts w:ascii="Arial"/>
                <w:sz w:val="21"/>
              </w:rPr>
            </w:pPr>
            <w:r/>
          </w:p>
        </w:tc>
        <w:tc>
          <w:tcPr>
            <w:tcW w:w="4783" w:type="dxa"/>
            <w:vAlign w:val="top"/>
            <w:gridSpan w:val="3"/>
          </w:tcPr>
          <w:p>
            <w:pPr>
              <w:pStyle w:val="TableText"/>
              <w:ind w:left="2277"/>
              <w:spacing w:before="52" w:line="192" w:lineRule="auto"/>
              <w:rPr/>
            </w:pPr>
            <w:r>
              <w:rPr>
                <w:spacing w:val="1"/>
              </w:rPr>
              <w:t>T9</w:t>
            </w:r>
          </w:p>
        </w:tc>
        <w:tc>
          <w:tcPr>
            <w:tcW w:w="986" w:type="dxa"/>
            <w:vAlign w:val="top"/>
            <w:vMerge w:val="continue"/>
            <w:tcBorders>
              <w:top w:val="nil"/>
              <w:bottom w:val="nil"/>
            </w:tcBorders>
          </w:tcPr>
          <w:p>
            <w:pPr>
              <w:rPr>
                <w:rFonts w:ascii="Arial"/>
                <w:sz w:val="21"/>
              </w:rPr>
            </w:pPr>
            <w:r/>
          </w:p>
        </w:tc>
        <w:tc>
          <w:tcPr>
            <w:tcW w:w="974" w:type="dxa"/>
            <w:vAlign w:val="top"/>
            <w:vMerge w:val="continue"/>
            <w:tcBorders>
              <w:top w:val="nil"/>
              <w:bottom w:val="nil"/>
            </w:tcBorders>
          </w:tcPr>
          <w:p>
            <w:pPr>
              <w:rPr>
                <w:rFonts w:ascii="Arial"/>
                <w:sz w:val="21"/>
              </w:rPr>
            </w:pPr>
            <w:r/>
          </w:p>
        </w:tc>
        <w:tc>
          <w:tcPr>
            <w:tcW w:w="976" w:type="dxa"/>
            <w:vAlign w:val="top"/>
            <w:vMerge w:val="continue"/>
            <w:tcBorders>
              <w:top w:val="nil"/>
              <w:bottom w:val="nil"/>
            </w:tcBorders>
          </w:tcPr>
          <w:p>
            <w:pPr>
              <w:rPr>
                <w:rFonts w:ascii="Arial"/>
                <w:sz w:val="21"/>
              </w:rPr>
            </w:pPr>
            <w:r/>
          </w:p>
        </w:tc>
      </w:tr>
      <w:tr>
        <w:trPr>
          <w:trHeight w:val="546" w:hRule="atLeast"/>
        </w:trPr>
        <w:tc>
          <w:tcPr>
            <w:tcW w:w="1573" w:type="dxa"/>
            <w:vAlign w:val="top"/>
            <w:vMerge w:val="continue"/>
            <w:tcBorders>
              <w:top w:val="nil"/>
            </w:tcBorders>
          </w:tcPr>
          <w:p>
            <w:pPr>
              <w:rPr>
                <w:rFonts w:ascii="Arial"/>
                <w:sz w:val="21"/>
              </w:rPr>
            </w:pPr>
            <w:r/>
          </w:p>
        </w:tc>
        <w:tc>
          <w:tcPr>
            <w:tcW w:w="1595" w:type="dxa"/>
            <w:vAlign w:val="top"/>
          </w:tcPr>
          <w:p>
            <w:pPr>
              <w:pStyle w:val="TableText"/>
              <w:ind w:left="302" w:right="308" w:firstLine="183"/>
              <w:spacing w:before="29" w:line="234" w:lineRule="auto"/>
              <w:rPr>
                <w:rFonts w:ascii="SimSun" w:hAnsi="SimSun" w:eastAsia="SimSun" w:cs="SimSun"/>
              </w:rPr>
            </w:pPr>
            <w:r>
              <w:rPr>
                <w:rFonts w:ascii="SimSun" w:hAnsi="SimSun" w:eastAsia="SimSun" w:cs="SimSun"/>
                <w:spacing w:val="7"/>
              </w:rPr>
              <w:t>表层样</w:t>
            </w:r>
            <w:r>
              <w:rPr>
                <w:rFonts w:ascii="SimSun" w:hAnsi="SimSun" w:eastAsia="SimSun" w:cs="SimSun"/>
              </w:rPr>
              <w:t>（</w:t>
            </w:r>
            <w:r>
              <w:rPr/>
              <w:t>0-0.5m</w:t>
            </w:r>
            <w:r>
              <w:rPr>
                <w:rFonts w:ascii="SimSun" w:hAnsi="SimSun" w:eastAsia="SimSun" w:cs="SimSun"/>
              </w:rPr>
              <w:t>）</w:t>
            </w:r>
          </w:p>
        </w:tc>
        <w:tc>
          <w:tcPr>
            <w:tcW w:w="1593" w:type="dxa"/>
            <w:vAlign w:val="top"/>
          </w:tcPr>
          <w:p>
            <w:pPr>
              <w:pStyle w:val="TableText"/>
              <w:ind w:left="222" w:right="223" w:firstLine="285"/>
              <w:spacing w:before="29" w:line="234" w:lineRule="auto"/>
              <w:rPr>
                <w:rFonts w:ascii="SimSun" w:hAnsi="SimSun" w:eastAsia="SimSun" w:cs="SimSun"/>
              </w:rPr>
            </w:pPr>
            <w:r>
              <w:rPr>
                <w:rFonts w:ascii="SimSun" w:hAnsi="SimSun" w:eastAsia="SimSun" w:cs="SimSun"/>
              </w:rPr>
              <w:t>中层样 </w:t>
            </w:r>
            <w:r>
              <w:rPr>
                <w:rFonts w:ascii="SimSun" w:hAnsi="SimSun" w:eastAsia="SimSun" w:cs="SimSun"/>
                <w:spacing w:val="1"/>
              </w:rPr>
              <w:t>（</w:t>
            </w:r>
            <w:r>
              <w:rPr>
                <w:spacing w:val="1"/>
              </w:rPr>
              <w:t>0.5-1.5m</w:t>
            </w:r>
            <w:r>
              <w:rPr>
                <w:rFonts w:ascii="SimSun" w:hAnsi="SimSun" w:eastAsia="SimSun" w:cs="SimSun"/>
                <w:spacing w:val="1"/>
              </w:rPr>
              <w:t>）</w:t>
            </w:r>
          </w:p>
        </w:tc>
        <w:tc>
          <w:tcPr>
            <w:tcW w:w="1595" w:type="dxa"/>
            <w:vAlign w:val="top"/>
          </w:tcPr>
          <w:p>
            <w:pPr>
              <w:pStyle w:val="TableText"/>
              <w:ind w:left="225" w:right="225" w:firstLine="263"/>
              <w:spacing w:before="29" w:line="234" w:lineRule="auto"/>
              <w:rPr>
                <w:rFonts w:ascii="SimSun" w:hAnsi="SimSun" w:eastAsia="SimSun" w:cs="SimSun"/>
              </w:rPr>
            </w:pPr>
            <w:r>
              <w:rPr>
                <w:rFonts w:ascii="SimSun" w:hAnsi="SimSun" w:eastAsia="SimSun" w:cs="SimSun"/>
                <w:spacing w:val="6"/>
              </w:rPr>
              <w:t>深层样</w:t>
            </w:r>
            <w:r>
              <w:rPr>
                <w:rFonts w:ascii="SimSun" w:hAnsi="SimSun" w:eastAsia="SimSun" w:cs="SimSun"/>
              </w:rPr>
              <w:t xml:space="preserve"> </w:t>
            </w:r>
            <w:r>
              <w:rPr>
                <w:rFonts w:ascii="SimSun" w:hAnsi="SimSun" w:eastAsia="SimSun" w:cs="SimSun"/>
                <w:spacing w:val="1"/>
              </w:rPr>
              <w:t>（</w:t>
            </w:r>
            <w:r>
              <w:rPr>
                <w:spacing w:val="1"/>
              </w:rPr>
              <w:t>1.5-3.0m</w:t>
            </w:r>
            <w:r>
              <w:rPr>
                <w:rFonts w:ascii="SimSun" w:hAnsi="SimSun" w:eastAsia="SimSun" w:cs="SimSun"/>
                <w:spacing w:val="1"/>
              </w:rPr>
              <w:t>）</w:t>
            </w:r>
          </w:p>
        </w:tc>
        <w:tc>
          <w:tcPr>
            <w:tcW w:w="986" w:type="dxa"/>
            <w:vAlign w:val="top"/>
            <w:vMerge w:val="continue"/>
            <w:tcBorders>
              <w:top w:val="nil"/>
            </w:tcBorders>
          </w:tcPr>
          <w:p>
            <w:pPr>
              <w:rPr>
                <w:rFonts w:ascii="Arial"/>
                <w:sz w:val="21"/>
              </w:rPr>
            </w:pPr>
            <w:r/>
          </w:p>
        </w:tc>
        <w:tc>
          <w:tcPr>
            <w:tcW w:w="974" w:type="dxa"/>
            <w:vAlign w:val="top"/>
            <w:vMerge w:val="continue"/>
            <w:tcBorders>
              <w:top w:val="nil"/>
            </w:tcBorders>
          </w:tcPr>
          <w:p>
            <w:pPr>
              <w:rPr>
                <w:rFonts w:ascii="Arial"/>
                <w:sz w:val="21"/>
              </w:rPr>
            </w:pPr>
            <w:r/>
          </w:p>
        </w:tc>
        <w:tc>
          <w:tcPr>
            <w:tcW w:w="976" w:type="dxa"/>
            <w:vAlign w:val="top"/>
            <w:vMerge w:val="continue"/>
            <w:tcBorders>
              <w:top w:val="nil"/>
            </w:tcBorders>
          </w:tcPr>
          <w:p>
            <w:pPr>
              <w:rPr>
                <w:rFonts w:ascii="Arial"/>
                <w:sz w:val="21"/>
              </w:rPr>
            </w:pPr>
            <w:r/>
          </w:p>
        </w:tc>
      </w:tr>
      <w:tr>
        <w:trPr>
          <w:trHeight w:val="278" w:hRule="atLeast"/>
        </w:trPr>
        <w:tc>
          <w:tcPr>
            <w:tcW w:w="1573" w:type="dxa"/>
            <w:vAlign w:val="top"/>
          </w:tcPr>
          <w:p>
            <w:pPr>
              <w:ind w:left="589"/>
              <w:spacing w:before="33" w:line="216" w:lineRule="auto"/>
              <w:rPr>
                <w:rFonts w:ascii="SimSun" w:hAnsi="SimSun" w:eastAsia="SimSun" w:cs="SimSun"/>
                <w:sz w:val="20"/>
                <w:szCs w:val="20"/>
              </w:rPr>
            </w:pPr>
            <w:r>
              <w:rPr>
                <w:rFonts w:ascii="SimSun" w:hAnsi="SimSun" w:eastAsia="SimSun" w:cs="SimSun"/>
                <w:sz w:val="20"/>
                <w:szCs w:val="20"/>
                <w:spacing w:val="2"/>
              </w:rPr>
              <w:t>总砷</w:t>
            </w:r>
          </w:p>
        </w:tc>
        <w:tc>
          <w:tcPr>
            <w:tcW w:w="1595" w:type="dxa"/>
            <w:vAlign w:val="top"/>
          </w:tcPr>
          <w:p>
            <w:pPr>
              <w:pStyle w:val="TableText"/>
              <w:ind w:left="619"/>
              <w:spacing w:before="70" w:line="195" w:lineRule="auto"/>
              <w:rPr/>
            </w:pPr>
            <w:r>
              <w:rPr>
                <w:spacing w:val="1"/>
              </w:rPr>
              <w:t>3.93</w:t>
            </w:r>
          </w:p>
        </w:tc>
        <w:tc>
          <w:tcPr>
            <w:tcW w:w="1593" w:type="dxa"/>
            <w:vAlign w:val="top"/>
          </w:tcPr>
          <w:p>
            <w:pPr>
              <w:pStyle w:val="TableText"/>
              <w:ind w:left="617"/>
              <w:spacing w:before="70" w:line="195" w:lineRule="auto"/>
              <w:rPr/>
            </w:pPr>
            <w:r>
              <w:rPr>
                <w:spacing w:val="2"/>
              </w:rPr>
              <w:t>3.67</w:t>
            </w:r>
          </w:p>
        </w:tc>
        <w:tc>
          <w:tcPr>
            <w:tcW w:w="1595" w:type="dxa"/>
            <w:vAlign w:val="top"/>
          </w:tcPr>
          <w:p>
            <w:pPr>
              <w:pStyle w:val="TableText"/>
              <w:ind w:left="620"/>
              <w:spacing w:before="70" w:line="195" w:lineRule="auto"/>
              <w:rPr/>
            </w:pPr>
            <w:r>
              <w:rPr>
                <w:spacing w:val="2"/>
              </w:rPr>
              <w:t>3.47</w:t>
            </w:r>
          </w:p>
        </w:tc>
        <w:tc>
          <w:tcPr>
            <w:tcW w:w="986" w:type="dxa"/>
            <w:vAlign w:val="top"/>
          </w:tcPr>
          <w:p>
            <w:pPr>
              <w:pStyle w:val="TableText"/>
              <w:ind w:left="392"/>
              <w:spacing w:before="70" w:line="195" w:lineRule="auto"/>
              <w:rPr/>
            </w:pPr>
            <w:r>
              <w:rPr>
                <w:spacing w:val="2"/>
              </w:rPr>
              <w:t>25</w:t>
            </w:r>
          </w:p>
        </w:tc>
        <w:tc>
          <w:tcPr>
            <w:tcW w:w="974" w:type="dxa"/>
            <w:vAlign w:val="top"/>
          </w:tcPr>
          <w:p>
            <w:pPr>
              <w:pStyle w:val="TableText"/>
              <w:ind w:left="219"/>
              <w:spacing w:before="66" w:line="201" w:lineRule="auto"/>
              <w:rPr/>
            </w:pPr>
            <w:r>
              <w:rPr>
                <w:spacing w:val="3"/>
              </w:rPr>
              <w:t>mg/kg</w:t>
            </w:r>
          </w:p>
        </w:tc>
        <w:tc>
          <w:tcPr>
            <w:tcW w:w="976" w:type="dxa"/>
            <w:vAlign w:val="top"/>
            <w:vMerge w:val="restart"/>
            <w:tcBorders>
              <w:bottom w:val="nil"/>
            </w:tcBorders>
          </w:tcPr>
          <w:p>
            <w:pPr>
              <w:spacing w:line="316" w:lineRule="auto"/>
              <w:rPr>
                <w:rFonts w:ascii="Arial"/>
                <w:sz w:val="21"/>
              </w:rPr>
            </w:pPr>
            <w:r/>
          </w:p>
          <w:p>
            <w:pPr>
              <w:spacing w:line="317" w:lineRule="auto"/>
              <w:rPr>
                <w:rFonts w:ascii="Arial"/>
                <w:sz w:val="21"/>
              </w:rPr>
            </w:pPr>
            <w:r/>
          </w:p>
          <w:p>
            <w:pPr>
              <w:spacing w:line="317" w:lineRule="auto"/>
              <w:rPr>
                <w:rFonts w:ascii="Arial"/>
                <w:sz w:val="21"/>
              </w:rPr>
            </w:pPr>
            <w:r/>
          </w:p>
          <w:p>
            <w:pPr>
              <w:ind w:left="283"/>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573" w:type="dxa"/>
            <w:vAlign w:val="top"/>
          </w:tcPr>
          <w:p>
            <w:pPr>
              <w:ind w:left="685"/>
              <w:spacing w:before="31" w:line="218" w:lineRule="auto"/>
              <w:rPr>
                <w:rFonts w:ascii="SimSun" w:hAnsi="SimSun" w:eastAsia="SimSun" w:cs="SimSun"/>
                <w:sz w:val="20"/>
                <w:szCs w:val="20"/>
              </w:rPr>
            </w:pPr>
            <w:r>
              <w:rPr>
                <w:rFonts w:ascii="SimSun" w:hAnsi="SimSun" w:eastAsia="SimSun" w:cs="SimSun"/>
                <w:sz w:val="20"/>
                <w:szCs w:val="20"/>
                <w:spacing w:val="2"/>
              </w:rPr>
              <w:t>镉</w:t>
            </w:r>
          </w:p>
        </w:tc>
        <w:tc>
          <w:tcPr>
            <w:tcW w:w="1595" w:type="dxa"/>
            <w:vAlign w:val="top"/>
          </w:tcPr>
          <w:p>
            <w:pPr>
              <w:pStyle w:val="TableText"/>
              <w:ind w:left="618"/>
              <w:spacing w:before="68" w:line="195" w:lineRule="auto"/>
              <w:rPr/>
            </w:pPr>
            <w:r>
              <w:rPr>
                <w:spacing w:val="2"/>
              </w:rPr>
              <w:t>0.18</w:t>
            </w:r>
          </w:p>
        </w:tc>
        <w:tc>
          <w:tcPr>
            <w:tcW w:w="1593" w:type="dxa"/>
            <w:vAlign w:val="top"/>
          </w:tcPr>
          <w:p>
            <w:pPr>
              <w:pStyle w:val="TableText"/>
              <w:ind w:left="616"/>
              <w:spacing w:before="68" w:line="195" w:lineRule="auto"/>
              <w:rPr/>
            </w:pPr>
            <w:r>
              <w:rPr>
                <w:spacing w:val="2"/>
              </w:rPr>
              <w:t>0.21</w:t>
            </w:r>
          </w:p>
        </w:tc>
        <w:tc>
          <w:tcPr>
            <w:tcW w:w="1595" w:type="dxa"/>
            <w:vAlign w:val="top"/>
          </w:tcPr>
          <w:p>
            <w:pPr>
              <w:pStyle w:val="TableText"/>
              <w:ind w:left="619"/>
              <w:spacing w:before="68" w:line="195" w:lineRule="auto"/>
              <w:rPr/>
            </w:pPr>
            <w:r>
              <w:rPr>
                <w:spacing w:val="2"/>
              </w:rPr>
              <w:t>0.20</w:t>
            </w:r>
          </w:p>
        </w:tc>
        <w:tc>
          <w:tcPr>
            <w:tcW w:w="986" w:type="dxa"/>
            <w:vAlign w:val="top"/>
          </w:tcPr>
          <w:p>
            <w:pPr>
              <w:pStyle w:val="TableText"/>
              <w:ind w:left="368"/>
              <w:spacing w:before="68" w:line="195" w:lineRule="auto"/>
              <w:rPr/>
            </w:pPr>
            <w:r>
              <w:rPr>
                <w:spacing w:val="1"/>
              </w:rPr>
              <w:t>0.6</w:t>
            </w:r>
          </w:p>
        </w:tc>
        <w:tc>
          <w:tcPr>
            <w:tcW w:w="974" w:type="dxa"/>
            <w:vAlign w:val="top"/>
          </w:tcPr>
          <w:p>
            <w:pPr>
              <w:pStyle w:val="TableText"/>
              <w:ind w:left="219"/>
              <w:spacing w:before="64"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5" w:hRule="atLeast"/>
        </w:trPr>
        <w:tc>
          <w:tcPr>
            <w:tcW w:w="1573" w:type="dxa"/>
            <w:vAlign w:val="top"/>
          </w:tcPr>
          <w:p>
            <w:pPr>
              <w:ind w:left="687"/>
              <w:spacing w:before="32" w:line="215" w:lineRule="auto"/>
              <w:rPr>
                <w:rFonts w:ascii="SimSun" w:hAnsi="SimSun" w:eastAsia="SimSun" w:cs="SimSun"/>
                <w:sz w:val="20"/>
                <w:szCs w:val="20"/>
              </w:rPr>
            </w:pPr>
            <w:r>
              <w:rPr>
                <w:rFonts w:ascii="SimSun" w:hAnsi="SimSun" w:eastAsia="SimSun" w:cs="SimSun"/>
                <w:sz w:val="20"/>
                <w:szCs w:val="20"/>
              </w:rPr>
              <w:t>铜</w:t>
            </w:r>
          </w:p>
        </w:tc>
        <w:tc>
          <w:tcPr>
            <w:tcW w:w="1595" w:type="dxa"/>
            <w:vAlign w:val="top"/>
          </w:tcPr>
          <w:p>
            <w:pPr>
              <w:pStyle w:val="TableText"/>
              <w:ind w:left="696"/>
              <w:spacing w:before="68" w:line="195" w:lineRule="auto"/>
              <w:rPr/>
            </w:pPr>
            <w:r>
              <w:rPr/>
              <w:t>35</w:t>
            </w:r>
          </w:p>
        </w:tc>
        <w:tc>
          <w:tcPr>
            <w:tcW w:w="1593" w:type="dxa"/>
            <w:vAlign w:val="top"/>
          </w:tcPr>
          <w:p>
            <w:pPr>
              <w:pStyle w:val="TableText"/>
              <w:ind w:left="691"/>
              <w:spacing w:before="68" w:line="195" w:lineRule="auto"/>
              <w:rPr/>
            </w:pPr>
            <w:r>
              <w:rPr>
                <w:spacing w:val="3"/>
              </w:rPr>
              <w:t>40</w:t>
            </w:r>
          </w:p>
        </w:tc>
        <w:tc>
          <w:tcPr>
            <w:tcW w:w="1595" w:type="dxa"/>
            <w:vAlign w:val="top"/>
          </w:tcPr>
          <w:p>
            <w:pPr>
              <w:pStyle w:val="TableText"/>
              <w:ind w:left="700"/>
              <w:spacing w:before="68" w:line="195" w:lineRule="auto"/>
              <w:rPr/>
            </w:pPr>
            <w:r>
              <w:rPr/>
              <w:t>31</w:t>
            </w:r>
          </w:p>
        </w:tc>
        <w:tc>
          <w:tcPr>
            <w:tcW w:w="986" w:type="dxa"/>
            <w:vAlign w:val="top"/>
          </w:tcPr>
          <w:p>
            <w:pPr>
              <w:pStyle w:val="TableText"/>
              <w:ind w:left="359"/>
              <w:spacing w:before="68" w:line="195" w:lineRule="auto"/>
              <w:rPr/>
            </w:pPr>
            <w:r>
              <w:rPr>
                <w:spacing w:val="-3"/>
              </w:rPr>
              <w:t>100</w:t>
            </w:r>
          </w:p>
        </w:tc>
        <w:tc>
          <w:tcPr>
            <w:tcW w:w="974" w:type="dxa"/>
            <w:vAlign w:val="top"/>
          </w:tcPr>
          <w:p>
            <w:pPr>
              <w:pStyle w:val="TableText"/>
              <w:ind w:left="219"/>
              <w:spacing w:before="64"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7"/>
              <w:spacing w:before="36" w:line="214" w:lineRule="auto"/>
              <w:rPr>
                <w:rFonts w:ascii="SimSun" w:hAnsi="SimSun" w:eastAsia="SimSun" w:cs="SimSun"/>
                <w:sz w:val="20"/>
                <w:szCs w:val="20"/>
              </w:rPr>
            </w:pPr>
            <w:r>
              <w:rPr>
                <w:rFonts w:ascii="SimSun" w:hAnsi="SimSun" w:eastAsia="SimSun" w:cs="SimSun"/>
                <w:sz w:val="20"/>
                <w:szCs w:val="20"/>
              </w:rPr>
              <w:t>铅</w:t>
            </w:r>
          </w:p>
        </w:tc>
        <w:tc>
          <w:tcPr>
            <w:tcW w:w="1595" w:type="dxa"/>
            <w:vAlign w:val="top"/>
          </w:tcPr>
          <w:p>
            <w:pPr>
              <w:pStyle w:val="TableText"/>
              <w:ind w:left="691"/>
              <w:spacing w:before="71" w:line="195" w:lineRule="auto"/>
              <w:rPr/>
            </w:pPr>
            <w:r>
              <w:rPr>
                <w:spacing w:val="2"/>
              </w:rPr>
              <w:t>22</w:t>
            </w:r>
          </w:p>
        </w:tc>
        <w:tc>
          <w:tcPr>
            <w:tcW w:w="1593" w:type="dxa"/>
            <w:vAlign w:val="top"/>
          </w:tcPr>
          <w:p>
            <w:pPr>
              <w:pStyle w:val="TableText"/>
              <w:ind w:left="697"/>
              <w:spacing w:before="71" w:line="195" w:lineRule="auto"/>
              <w:rPr/>
            </w:pPr>
            <w:r>
              <w:rPr/>
              <w:t>31</w:t>
            </w:r>
          </w:p>
        </w:tc>
        <w:tc>
          <w:tcPr>
            <w:tcW w:w="1595" w:type="dxa"/>
            <w:vAlign w:val="top"/>
          </w:tcPr>
          <w:p>
            <w:pPr>
              <w:pStyle w:val="TableText"/>
              <w:ind w:left="695"/>
              <w:spacing w:before="71" w:line="195" w:lineRule="auto"/>
              <w:rPr/>
            </w:pPr>
            <w:r>
              <w:rPr>
                <w:spacing w:val="2"/>
              </w:rPr>
              <w:t>25</w:t>
            </w:r>
          </w:p>
        </w:tc>
        <w:tc>
          <w:tcPr>
            <w:tcW w:w="986" w:type="dxa"/>
            <w:vAlign w:val="top"/>
          </w:tcPr>
          <w:p>
            <w:pPr>
              <w:pStyle w:val="TableText"/>
              <w:ind w:left="359"/>
              <w:spacing w:before="71" w:line="195" w:lineRule="auto"/>
              <w:rPr/>
            </w:pPr>
            <w:r>
              <w:rPr>
                <w:spacing w:val="-3"/>
              </w:rPr>
              <w:t>170</w:t>
            </w:r>
          </w:p>
        </w:tc>
        <w:tc>
          <w:tcPr>
            <w:tcW w:w="974" w:type="dxa"/>
            <w:vAlign w:val="top"/>
          </w:tcPr>
          <w:p>
            <w:pPr>
              <w:pStyle w:val="TableText"/>
              <w:ind w:left="219"/>
              <w:spacing w:before="67"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4" w:line="216" w:lineRule="auto"/>
              <w:rPr>
                <w:rFonts w:ascii="SimSun" w:hAnsi="SimSun" w:eastAsia="SimSun" w:cs="SimSun"/>
                <w:sz w:val="20"/>
                <w:szCs w:val="20"/>
              </w:rPr>
            </w:pPr>
            <w:r>
              <w:rPr>
                <w:rFonts w:ascii="SimSun" w:hAnsi="SimSun" w:eastAsia="SimSun" w:cs="SimSun"/>
                <w:sz w:val="20"/>
                <w:szCs w:val="20"/>
                <w:spacing w:val="1"/>
              </w:rPr>
              <w:t>镍</w:t>
            </w:r>
          </w:p>
        </w:tc>
        <w:tc>
          <w:tcPr>
            <w:tcW w:w="1595" w:type="dxa"/>
            <w:vAlign w:val="top"/>
          </w:tcPr>
          <w:p>
            <w:pPr>
              <w:pStyle w:val="TableText"/>
              <w:ind w:left="691"/>
              <w:spacing w:before="69" w:line="195" w:lineRule="auto"/>
              <w:rPr/>
            </w:pPr>
            <w:r>
              <w:rPr>
                <w:spacing w:val="2"/>
              </w:rPr>
              <w:t>27</w:t>
            </w:r>
          </w:p>
        </w:tc>
        <w:tc>
          <w:tcPr>
            <w:tcW w:w="1593" w:type="dxa"/>
            <w:vAlign w:val="top"/>
          </w:tcPr>
          <w:p>
            <w:pPr>
              <w:pStyle w:val="TableText"/>
              <w:ind w:left="692"/>
              <w:spacing w:before="69" w:line="195" w:lineRule="auto"/>
              <w:rPr/>
            </w:pPr>
            <w:r>
              <w:rPr>
                <w:spacing w:val="2"/>
              </w:rPr>
              <w:t>29</w:t>
            </w:r>
          </w:p>
        </w:tc>
        <w:tc>
          <w:tcPr>
            <w:tcW w:w="1595" w:type="dxa"/>
            <w:vAlign w:val="top"/>
          </w:tcPr>
          <w:p>
            <w:pPr>
              <w:pStyle w:val="TableText"/>
              <w:ind w:left="695"/>
              <w:spacing w:before="69" w:line="195" w:lineRule="auto"/>
              <w:rPr/>
            </w:pPr>
            <w:r>
              <w:rPr>
                <w:spacing w:val="2"/>
              </w:rPr>
              <w:t>21</w:t>
            </w:r>
          </w:p>
        </w:tc>
        <w:tc>
          <w:tcPr>
            <w:tcW w:w="986" w:type="dxa"/>
            <w:vAlign w:val="top"/>
          </w:tcPr>
          <w:p>
            <w:pPr>
              <w:pStyle w:val="TableText"/>
              <w:ind w:left="359"/>
              <w:spacing w:before="69" w:line="195" w:lineRule="auto"/>
              <w:rPr/>
            </w:pPr>
            <w:r>
              <w:rPr>
                <w:spacing w:val="-3"/>
              </w:rPr>
              <w:t>190</w:t>
            </w:r>
          </w:p>
        </w:tc>
        <w:tc>
          <w:tcPr>
            <w:tcW w:w="974" w:type="dxa"/>
            <w:vAlign w:val="top"/>
          </w:tcPr>
          <w:p>
            <w:pPr>
              <w:pStyle w:val="TableText"/>
              <w:ind w:left="219"/>
              <w:spacing w:before="65"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5" w:hRule="atLeast"/>
        </w:trPr>
        <w:tc>
          <w:tcPr>
            <w:tcW w:w="1573" w:type="dxa"/>
            <w:vAlign w:val="top"/>
          </w:tcPr>
          <w:p>
            <w:pPr>
              <w:ind w:left="589"/>
              <w:spacing w:before="33" w:line="214" w:lineRule="auto"/>
              <w:rPr>
                <w:rFonts w:ascii="SimSun" w:hAnsi="SimSun" w:eastAsia="SimSun" w:cs="SimSun"/>
                <w:sz w:val="20"/>
                <w:szCs w:val="20"/>
              </w:rPr>
            </w:pPr>
            <w:r>
              <w:rPr>
                <w:rFonts w:ascii="SimSun" w:hAnsi="SimSun" w:eastAsia="SimSun" w:cs="SimSun"/>
                <w:sz w:val="20"/>
                <w:szCs w:val="20"/>
                <w:spacing w:val="2"/>
              </w:rPr>
              <w:t>总汞</w:t>
            </w:r>
          </w:p>
        </w:tc>
        <w:tc>
          <w:tcPr>
            <w:tcW w:w="1595" w:type="dxa"/>
            <w:vAlign w:val="top"/>
          </w:tcPr>
          <w:p>
            <w:pPr>
              <w:pStyle w:val="TableText"/>
              <w:ind w:left="510"/>
              <w:spacing w:before="69" w:line="195" w:lineRule="auto"/>
              <w:rPr/>
            </w:pPr>
            <w:r>
              <w:rPr>
                <w:spacing w:val="3"/>
              </w:rPr>
              <w:t>0.0662</w:t>
            </w:r>
          </w:p>
        </w:tc>
        <w:tc>
          <w:tcPr>
            <w:tcW w:w="1593" w:type="dxa"/>
            <w:vAlign w:val="top"/>
          </w:tcPr>
          <w:p>
            <w:pPr>
              <w:pStyle w:val="TableText"/>
              <w:ind w:left="511"/>
              <w:spacing w:before="69" w:line="195" w:lineRule="auto"/>
              <w:rPr/>
            </w:pPr>
            <w:r>
              <w:rPr>
                <w:spacing w:val="3"/>
              </w:rPr>
              <w:t>0.0607</w:t>
            </w:r>
          </w:p>
        </w:tc>
        <w:tc>
          <w:tcPr>
            <w:tcW w:w="1595" w:type="dxa"/>
            <w:vAlign w:val="top"/>
          </w:tcPr>
          <w:p>
            <w:pPr>
              <w:pStyle w:val="TableText"/>
              <w:ind w:left="514"/>
              <w:spacing w:before="69" w:line="195" w:lineRule="auto"/>
              <w:rPr/>
            </w:pPr>
            <w:r>
              <w:rPr>
                <w:spacing w:val="3"/>
              </w:rPr>
              <w:t>0.0565</w:t>
            </w:r>
          </w:p>
        </w:tc>
        <w:tc>
          <w:tcPr>
            <w:tcW w:w="986" w:type="dxa"/>
            <w:vAlign w:val="top"/>
          </w:tcPr>
          <w:p>
            <w:pPr>
              <w:pStyle w:val="TableText"/>
              <w:ind w:left="369"/>
              <w:spacing w:before="69" w:line="195" w:lineRule="auto"/>
              <w:rPr/>
            </w:pPr>
            <w:r>
              <w:rPr>
                <w:spacing w:val="1"/>
              </w:rPr>
              <w:t>3.4</w:t>
            </w:r>
          </w:p>
        </w:tc>
        <w:tc>
          <w:tcPr>
            <w:tcW w:w="974" w:type="dxa"/>
            <w:vAlign w:val="top"/>
          </w:tcPr>
          <w:p>
            <w:pPr>
              <w:pStyle w:val="TableText"/>
              <w:ind w:left="219"/>
              <w:spacing w:before="65"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4" w:line="216" w:lineRule="auto"/>
              <w:rPr>
                <w:rFonts w:ascii="SimSun" w:hAnsi="SimSun" w:eastAsia="SimSun" w:cs="SimSun"/>
                <w:sz w:val="20"/>
                <w:szCs w:val="20"/>
              </w:rPr>
            </w:pPr>
            <w:r>
              <w:rPr>
                <w:rFonts w:ascii="SimSun" w:hAnsi="SimSun" w:eastAsia="SimSun" w:cs="SimSun"/>
                <w:sz w:val="20"/>
                <w:szCs w:val="20"/>
                <w:spacing w:val="1"/>
              </w:rPr>
              <w:t>锌</w:t>
            </w:r>
          </w:p>
        </w:tc>
        <w:tc>
          <w:tcPr>
            <w:tcW w:w="1595" w:type="dxa"/>
            <w:vAlign w:val="top"/>
          </w:tcPr>
          <w:p>
            <w:pPr>
              <w:pStyle w:val="TableText"/>
              <w:ind w:left="691"/>
              <w:spacing w:before="70" w:line="195" w:lineRule="auto"/>
              <w:rPr/>
            </w:pPr>
            <w:r>
              <w:rPr>
                <w:spacing w:val="2"/>
              </w:rPr>
              <w:t>29</w:t>
            </w:r>
          </w:p>
        </w:tc>
        <w:tc>
          <w:tcPr>
            <w:tcW w:w="1593" w:type="dxa"/>
            <w:vAlign w:val="top"/>
          </w:tcPr>
          <w:p>
            <w:pPr>
              <w:pStyle w:val="TableText"/>
              <w:ind w:left="697"/>
              <w:spacing w:before="70" w:line="195" w:lineRule="auto"/>
              <w:rPr/>
            </w:pPr>
            <w:r>
              <w:rPr/>
              <w:t>31</w:t>
            </w:r>
          </w:p>
        </w:tc>
        <w:tc>
          <w:tcPr>
            <w:tcW w:w="1595" w:type="dxa"/>
            <w:vAlign w:val="top"/>
          </w:tcPr>
          <w:p>
            <w:pPr>
              <w:pStyle w:val="TableText"/>
              <w:ind w:left="695"/>
              <w:spacing w:before="70" w:line="195" w:lineRule="auto"/>
              <w:rPr/>
            </w:pPr>
            <w:r>
              <w:rPr>
                <w:spacing w:val="2"/>
              </w:rPr>
              <w:t>28</w:t>
            </w:r>
          </w:p>
        </w:tc>
        <w:tc>
          <w:tcPr>
            <w:tcW w:w="986" w:type="dxa"/>
            <w:vAlign w:val="top"/>
          </w:tcPr>
          <w:p>
            <w:pPr>
              <w:pStyle w:val="TableText"/>
              <w:ind w:left="343"/>
              <w:spacing w:before="70" w:line="195" w:lineRule="auto"/>
              <w:rPr/>
            </w:pPr>
            <w:r>
              <w:rPr>
                <w:spacing w:val="2"/>
              </w:rPr>
              <w:t>300</w:t>
            </w:r>
          </w:p>
        </w:tc>
        <w:tc>
          <w:tcPr>
            <w:tcW w:w="974" w:type="dxa"/>
            <w:vAlign w:val="top"/>
          </w:tcPr>
          <w:p>
            <w:pPr>
              <w:pStyle w:val="TableText"/>
              <w:ind w:left="219"/>
              <w:spacing w:before="66"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5" w:line="215" w:lineRule="auto"/>
              <w:rPr>
                <w:rFonts w:ascii="SimSun" w:hAnsi="SimSun" w:eastAsia="SimSun" w:cs="SimSun"/>
                <w:sz w:val="20"/>
                <w:szCs w:val="20"/>
              </w:rPr>
            </w:pPr>
            <w:r>
              <w:rPr>
                <w:rFonts w:ascii="SimSun" w:hAnsi="SimSun" w:eastAsia="SimSun" w:cs="SimSun"/>
                <w:sz w:val="20"/>
                <w:szCs w:val="20"/>
                <w:spacing w:val="1"/>
              </w:rPr>
              <w:t>铬</w:t>
            </w:r>
          </w:p>
        </w:tc>
        <w:tc>
          <w:tcPr>
            <w:tcW w:w="1595" w:type="dxa"/>
            <w:vAlign w:val="top"/>
          </w:tcPr>
          <w:p>
            <w:pPr>
              <w:pStyle w:val="TableText"/>
              <w:ind w:left="696"/>
              <w:spacing w:before="70" w:line="195" w:lineRule="auto"/>
              <w:rPr/>
            </w:pPr>
            <w:r>
              <w:rPr/>
              <w:t>32</w:t>
            </w:r>
          </w:p>
        </w:tc>
        <w:tc>
          <w:tcPr>
            <w:tcW w:w="1593" w:type="dxa"/>
            <w:vAlign w:val="top"/>
          </w:tcPr>
          <w:p>
            <w:pPr>
              <w:pStyle w:val="TableText"/>
              <w:ind w:left="692"/>
              <w:spacing w:before="70" w:line="195" w:lineRule="auto"/>
              <w:rPr/>
            </w:pPr>
            <w:r>
              <w:rPr>
                <w:spacing w:val="2"/>
              </w:rPr>
              <w:t>23</w:t>
            </w:r>
          </w:p>
        </w:tc>
        <w:tc>
          <w:tcPr>
            <w:tcW w:w="1595" w:type="dxa"/>
            <w:vAlign w:val="top"/>
          </w:tcPr>
          <w:p>
            <w:pPr>
              <w:pStyle w:val="TableText"/>
              <w:ind w:left="695"/>
              <w:spacing w:before="70" w:line="195" w:lineRule="auto"/>
              <w:rPr/>
            </w:pPr>
            <w:r>
              <w:rPr>
                <w:spacing w:val="2"/>
              </w:rPr>
              <w:t>26</w:t>
            </w:r>
          </w:p>
        </w:tc>
        <w:tc>
          <w:tcPr>
            <w:tcW w:w="986" w:type="dxa"/>
            <w:vAlign w:val="top"/>
          </w:tcPr>
          <w:p>
            <w:pPr>
              <w:pStyle w:val="TableText"/>
              <w:ind w:left="339"/>
              <w:spacing w:before="70" w:line="195" w:lineRule="auto"/>
              <w:rPr/>
            </w:pPr>
            <w:r>
              <w:rPr>
                <w:spacing w:val="3"/>
              </w:rPr>
              <w:t>250</w:t>
            </w:r>
          </w:p>
        </w:tc>
        <w:tc>
          <w:tcPr>
            <w:tcW w:w="974" w:type="dxa"/>
            <w:vAlign w:val="top"/>
          </w:tcPr>
          <w:p>
            <w:pPr>
              <w:pStyle w:val="TableText"/>
              <w:ind w:left="219"/>
              <w:spacing w:before="66" w:line="201" w:lineRule="auto"/>
              <w:rPr/>
            </w:pPr>
            <w:r>
              <w:rPr>
                <w:spacing w:val="3"/>
              </w:rPr>
              <w:t>mg/kg</w:t>
            </w:r>
          </w:p>
        </w:tc>
        <w:tc>
          <w:tcPr>
            <w:tcW w:w="976" w:type="dxa"/>
            <w:vAlign w:val="top"/>
            <w:vMerge w:val="continue"/>
            <w:tcBorders>
              <w:top w:val="nil"/>
            </w:tcBorders>
          </w:tcPr>
          <w:p>
            <w:pPr>
              <w:rPr>
                <w:rFonts w:ascii="Arial"/>
                <w:sz w:val="21"/>
              </w:rPr>
            </w:pPr>
            <w:r/>
          </w:p>
        </w:tc>
      </w:tr>
      <w:tr>
        <w:trPr>
          <w:trHeight w:val="278" w:hRule="atLeast"/>
        </w:trPr>
        <w:tc>
          <w:tcPr>
            <w:tcW w:w="1573" w:type="dxa"/>
            <w:vAlign w:val="top"/>
          </w:tcPr>
          <w:p>
            <w:pPr>
              <w:pStyle w:val="TableText"/>
              <w:ind w:left="524"/>
              <w:spacing w:before="35" w:line="215" w:lineRule="auto"/>
              <w:rPr>
                <w:rFonts w:ascii="SimSun" w:hAnsi="SimSun" w:eastAsia="SimSun" w:cs="SimSun"/>
              </w:rPr>
            </w:pPr>
            <w:r>
              <w:rPr/>
              <w:t>pH</w:t>
            </w:r>
            <w:r>
              <w:rPr>
                <w:spacing w:val="11"/>
              </w:rPr>
              <w:t xml:space="preserve"> </w:t>
            </w:r>
            <w:r>
              <w:rPr>
                <w:rFonts w:ascii="SimSun" w:hAnsi="SimSun" w:eastAsia="SimSun" w:cs="SimSun"/>
                <w:spacing w:val="13"/>
              </w:rPr>
              <w:t>值</w:t>
            </w:r>
          </w:p>
        </w:tc>
        <w:tc>
          <w:tcPr>
            <w:tcW w:w="1595" w:type="dxa"/>
            <w:vAlign w:val="top"/>
          </w:tcPr>
          <w:p>
            <w:pPr>
              <w:pStyle w:val="TableText"/>
              <w:ind w:left="623"/>
              <w:spacing w:before="70" w:line="195" w:lineRule="auto"/>
              <w:rPr/>
            </w:pPr>
            <w:r>
              <w:rPr/>
              <w:t>8.44</w:t>
            </w:r>
          </w:p>
        </w:tc>
        <w:tc>
          <w:tcPr>
            <w:tcW w:w="1593" w:type="dxa"/>
            <w:vAlign w:val="top"/>
          </w:tcPr>
          <w:p>
            <w:pPr>
              <w:pStyle w:val="TableText"/>
              <w:ind w:left="622"/>
              <w:spacing w:before="70" w:line="195" w:lineRule="auto"/>
              <w:rPr/>
            </w:pPr>
            <w:r>
              <w:rPr>
                <w:spacing w:val="1"/>
              </w:rPr>
              <w:t>8.24</w:t>
            </w:r>
          </w:p>
        </w:tc>
        <w:tc>
          <w:tcPr>
            <w:tcW w:w="1595" w:type="dxa"/>
            <w:vAlign w:val="top"/>
          </w:tcPr>
          <w:p>
            <w:pPr>
              <w:pStyle w:val="TableText"/>
              <w:ind w:left="625"/>
              <w:spacing w:before="70" w:line="195" w:lineRule="auto"/>
              <w:rPr/>
            </w:pPr>
            <w:r>
              <w:rPr>
                <w:spacing w:val="-5"/>
              </w:rPr>
              <w:t>8.</w:t>
            </w:r>
            <w:r>
              <w:rPr>
                <w:spacing w:val="-25"/>
              </w:rPr>
              <w:t xml:space="preserve"> </w:t>
            </w:r>
            <w:r>
              <w:rPr>
                <w:spacing w:val="-5"/>
              </w:rPr>
              <w:t>12</w:t>
            </w:r>
          </w:p>
        </w:tc>
        <w:tc>
          <w:tcPr>
            <w:tcW w:w="986" w:type="dxa"/>
            <w:vAlign w:val="top"/>
          </w:tcPr>
          <w:p>
            <w:pPr>
              <w:pStyle w:val="TableText"/>
              <w:ind w:left="465"/>
              <w:spacing w:before="159" w:line="96" w:lineRule="exact"/>
              <w:rPr/>
            </w:pPr>
            <w:r>
              <w:rPr>
                <w:position w:val="-2"/>
              </w:rPr>
              <w:t>-</w:t>
            </w:r>
          </w:p>
        </w:tc>
        <w:tc>
          <w:tcPr>
            <w:tcW w:w="974" w:type="dxa"/>
            <w:vAlign w:val="top"/>
          </w:tcPr>
          <w:p>
            <w:pPr>
              <w:ind w:left="179"/>
              <w:spacing w:before="35" w:line="215" w:lineRule="auto"/>
              <w:rPr>
                <w:rFonts w:ascii="SimSun" w:hAnsi="SimSun" w:eastAsia="SimSun" w:cs="SimSun"/>
                <w:sz w:val="20"/>
                <w:szCs w:val="20"/>
              </w:rPr>
            </w:pPr>
            <w:r>
              <w:rPr>
                <w:rFonts w:ascii="SimSun" w:hAnsi="SimSun" w:eastAsia="SimSun" w:cs="SimSun"/>
                <w:sz w:val="20"/>
                <w:szCs w:val="20"/>
                <w:spacing w:val="6"/>
              </w:rPr>
              <w:t>无量纲</w:t>
            </w:r>
          </w:p>
        </w:tc>
        <w:tc>
          <w:tcPr>
            <w:tcW w:w="976" w:type="dxa"/>
            <w:vAlign w:val="top"/>
          </w:tcPr>
          <w:p>
            <w:pPr>
              <w:rPr>
                <w:rFonts w:ascii="Arial"/>
                <w:sz w:val="21"/>
              </w:rPr>
            </w:pPr>
            <w:r/>
          </w:p>
        </w:tc>
      </w:tr>
    </w:tbl>
    <w:p>
      <w:pPr>
        <w:pStyle w:val="BodyText"/>
        <w:rPr/>
      </w:pPr>
      <w:r/>
    </w:p>
    <w:p>
      <w:pPr>
        <w:sectPr>
          <w:headerReference w:type="default" r:id="rId333"/>
          <w:footerReference w:type="default" r:id="rId341"/>
          <w:pgSz w:w="11906" w:h="16838"/>
          <w:pgMar w:top="1170" w:right="1304" w:bottom="1080" w:left="1303" w:header="837" w:footer="918" w:gutter="0"/>
        </w:sectPr>
        <w:rPr/>
      </w:pPr>
    </w:p>
    <w:p>
      <w:pPr>
        <w:spacing w:before="6"/>
        <w:rPr/>
      </w:pPr>
      <w:r/>
    </w:p>
    <w:tbl>
      <w:tblPr>
        <w:tblStyle w:val="TableNormal"/>
        <w:tblW w:w="9292" w:type="dxa"/>
        <w:tblInd w:w="2" w:type="dxa"/>
        <w:tblLayout w:type="fixed"/>
        <w:tblBorders>
          <w:left w:val="single" w:color="000000" w:sz="2" w:space="0"/>
          <w:bottom w:val="single" w:color="000000" w:sz="2" w:space="0"/>
          <w:right w:val="single" w:color="000000" w:sz="2" w:space="0"/>
          <w:top w:val="single" w:color="000000" w:sz="2" w:space="0"/>
        </w:tblBorders>
      </w:tblPr>
      <w:tblGrid>
        <w:gridCol w:w="9292"/>
      </w:tblGrid>
      <w:tr>
        <w:trPr>
          <w:trHeight w:val="827" w:hRule="atLeast"/>
        </w:trPr>
        <w:tc>
          <w:tcPr>
            <w:tcW w:w="9292" w:type="dxa"/>
            <w:vAlign w:val="top"/>
          </w:tcPr>
          <w:p>
            <w:pPr>
              <w:ind w:left="118"/>
              <w:spacing w:before="33"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55" w:hanging="1"/>
              <w:spacing w:before="25" w:line="235" w:lineRule="auto"/>
              <w:rPr>
                <w:rFonts w:ascii="SimSun" w:hAnsi="SimSun" w:eastAsia="SimSun" w:cs="SimSun"/>
              </w:rPr>
            </w:pPr>
            <w:r>
              <w:rPr>
                <w:rFonts w:ascii="SimSun" w:hAnsi="SimSun" w:eastAsia="SimSun" w:cs="SimSun"/>
                <w:spacing w:val="8"/>
              </w:rPr>
              <w:t>检测结果参照执行《土壤环境质量 农用地土壤污染风险管控标准（试行）》</w:t>
            </w:r>
            <w:r>
              <w:rPr/>
              <w:t>GB</w:t>
            </w:r>
            <w:r>
              <w:rPr>
                <w:spacing w:val="8"/>
              </w:rPr>
              <w:t>15618-2018 </w:t>
            </w:r>
            <w:r>
              <w:rPr>
                <w:rFonts w:ascii="SimSun" w:hAnsi="SimSun" w:eastAsia="SimSun" w:cs="SimSun"/>
                <w:spacing w:val="8"/>
              </w:rPr>
              <w:t>表</w:t>
            </w:r>
            <w:r>
              <w:rPr>
                <w:rFonts w:ascii="SimSun" w:hAnsi="SimSun" w:eastAsia="SimSun" w:cs="SimSun"/>
                <w:spacing w:val="-22"/>
              </w:rPr>
              <w:t xml:space="preserve"> </w:t>
            </w:r>
            <w:r>
              <w:rPr>
                <w:spacing w:val="8"/>
              </w:rPr>
              <w:t>1 </w:t>
            </w:r>
            <w:r>
              <w:rPr>
                <w:rFonts w:ascii="SimSun" w:hAnsi="SimSun" w:eastAsia="SimSun" w:cs="SimSun"/>
                <w:spacing w:val="8"/>
              </w:rPr>
              <w:t>农</w:t>
            </w:r>
            <w:r>
              <w:rPr>
                <w:rFonts w:ascii="SimSun" w:hAnsi="SimSun" w:eastAsia="SimSun" w:cs="SimSun"/>
                <w:spacing w:val="8"/>
              </w:rPr>
              <w:t>用地土壤污染风险筛选值。</w:t>
            </w:r>
          </w:p>
        </w:tc>
      </w:tr>
    </w:tbl>
    <w:p>
      <w:pPr>
        <w:ind w:left="2982"/>
        <w:spacing w:before="273" w:line="222" w:lineRule="auto"/>
        <w:rPr>
          <w:rFonts w:ascii="SimHei" w:hAnsi="SimHei" w:eastAsia="SimHei" w:cs="SimHei"/>
          <w:sz w:val="24"/>
          <w:szCs w:val="24"/>
        </w:rPr>
      </w:pPr>
      <w:r>
        <w:rPr>
          <w:rFonts w:ascii="SimHei" w:hAnsi="SimHei" w:eastAsia="SimHei" w:cs="SimHei"/>
          <w:sz w:val="24"/>
          <w:szCs w:val="24"/>
          <w:spacing w:val="-2"/>
        </w:rPr>
        <w:t>污染影响型土壤监测与评价结果</w:t>
      </w:r>
    </w:p>
    <w:p>
      <w:pPr>
        <w:ind w:left="120"/>
        <w:spacing w:before="67" w:line="223" w:lineRule="auto"/>
        <w:rPr>
          <w:rFonts w:ascii="Times New Roman" w:hAnsi="Times New Roman" w:eastAsia="Times New Roman" w:cs="Times New Roman"/>
          <w:sz w:val="20"/>
          <w:szCs w:val="20"/>
        </w:rPr>
      </w:pPr>
      <w:r>
        <w:rPr>
          <w:rFonts w:ascii="SimSun" w:hAnsi="SimSun" w:eastAsia="SimSun" w:cs="SimSun"/>
          <w:sz w:val="20"/>
          <w:szCs w:val="20"/>
          <w:spacing w:val="3"/>
        </w:rPr>
        <w:t>表</w:t>
      </w:r>
      <w:r>
        <w:rPr>
          <w:rFonts w:ascii="SimSun" w:hAnsi="SimSun" w:eastAsia="SimSun" w:cs="SimSun"/>
          <w:sz w:val="20"/>
          <w:szCs w:val="20"/>
          <w:spacing w:val="-39"/>
        </w:rPr>
        <w:t xml:space="preserve"> </w:t>
      </w:r>
      <w:r>
        <w:rPr>
          <w:rFonts w:ascii="Times New Roman" w:hAnsi="Times New Roman" w:eastAsia="Times New Roman" w:cs="Times New Roman"/>
          <w:sz w:val="20"/>
          <w:szCs w:val="20"/>
          <w:spacing w:val="3"/>
        </w:rPr>
        <w:t>4-2-49</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73"/>
        <w:gridCol w:w="1595"/>
        <w:gridCol w:w="1593"/>
        <w:gridCol w:w="1595"/>
        <w:gridCol w:w="986"/>
        <w:gridCol w:w="974"/>
        <w:gridCol w:w="976"/>
      </w:tblGrid>
      <w:tr>
        <w:trPr>
          <w:trHeight w:val="283" w:hRule="atLeast"/>
        </w:trPr>
        <w:tc>
          <w:tcPr>
            <w:tcW w:w="1573" w:type="dxa"/>
            <w:vAlign w:val="top"/>
            <w:vMerge w:val="restart"/>
            <w:tcBorders>
              <w:bottom w:val="nil"/>
            </w:tcBorders>
          </w:tcPr>
          <w:p>
            <w:pPr>
              <w:ind w:left="372"/>
              <w:spacing w:before="299" w:line="228" w:lineRule="auto"/>
              <w:rPr>
                <w:rFonts w:ascii="SimSun" w:hAnsi="SimSun" w:eastAsia="SimSun" w:cs="SimSun"/>
                <w:sz w:val="20"/>
                <w:szCs w:val="20"/>
              </w:rPr>
            </w:pPr>
            <w:r>
              <w:rPr>
                <w:rFonts w:ascii="SimSun" w:hAnsi="SimSun" w:eastAsia="SimSun" w:cs="SimSun"/>
                <w:sz w:val="20"/>
                <w:szCs w:val="20"/>
                <w:spacing w:val="7"/>
              </w:rPr>
              <w:t>检测项目</w:t>
            </w:r>
          </w:p>
        </w:tc>
        <w:tc>
          <w:tcPr>
            <w:tcW w:w="4783" w:type="dxa"/>
            <w:vAlign w:val="top"/>
            <w:gridSpan w:val="3"/>
          </w:tcPr>
          <w:p>
            <w:pPr>
              <w:ind w:left="1977"/>
              <w:spacing w:before="35" w:line="219" w:lineRule="auto"/>
              <w:rPr>
                <w:rFonts w:ascii="SimSun" w:hAnsi="SimSun" w:eastAsia="SimSun" w:cs="SimSun"/>
                <w:sz w:val="20"/>
                <w:szCs w:val="20"/>
              </w:rPr>
            </w:pPr>
            <w:r>
              <w:rPr>
                <w:rFonts w:ascii="SimSun" w:hAnsi="SimSun" w:eastAsia="SimSun" w:cs="SimSun"/>
                <w:sz w:val="20"/>
                <w:szCs w:val="20"/>
                <w:spacing w:val="6"/>
              </w:rPr>
              <w:t>分析结果</w:t>
            </w:r>
          </w:p>
        </w:tc>
        <w:tc>
          <w:tcPr>
            <w:tcW w:w="986" w:type="dxa"/>
            <w:vAlign w:val="top"/>
            <w:vMerge w:val="restart"/>
            <w:tcBorders>
              <w:bottom w:val="nil"/>
            </w:tcBorders>
          </w:tcPr>
          <w:p>
            <w:pPr>
              <w:ind w:left="302"/>
              <w:spacing w:before="299" w:line="228" w:lineRule="auto"/>
              <w:rPr>
                <w:rFonts w:ascii="SimSun" w:hAnsi="SimSun" w:eastAsia="SimSun" w:cs="SimSun"/>
                <w:sz w:val="20"/>
                <w:szCs w:val="20"/>
              </w:rPr>
            </w:pPr>
            <w:r>
              <w:rPr>
                <w:rFonts w:ascii="SimSun" w:hAnsi="SimSun" w:eastAsia="SimSun" w:cs="SimSun"/>
                <w:sz w:val="20"/>
                <w:szCs w:val="20"/>
                <w:spacing w:val="-3"/>
              </w:rPr>
              <w:t>限值</w:t>
            </w:r>
          </w:p>
        </w:tc>
        <w:tc>
          <w:tcPr>
            <w:tcW w:w="974" w:type="dxa"/>
            <w:vAlign w:val="top"/>
            <w:vMerge w:val="restart"/>
            <w:tcBorders>
              <w:bottom w:val="nil"/>
            </w:tcBorders>
          </w:tcPr>
          <w:p>
            <w:pPr>
              <w:ind w:left="285"/>
              <w:spacing w:before="300" w:line="228" w:lineRule="auto"/>
              <w:rPr>
                <w:rFonts w:ascii="SimSun" w:hAnsi="SimSun" w:eastAsia="SimSun" w:cs="SimSun"/>
                <w:sz w:val="20"/>
                <w:szCs w:val="20"/>
              </w:rPr>
            </w:pPr>
            <w:r>
              <w:rPr>
                <w:rFonts w:ascii="SimSun" w:hAnsi="SimSun" w:eastAsia="SimSun" w:cs="SimSun"/>
                <w:sz w:val="20"/>
                <w:szCs w:val="20"/>
                <w:spacing w:val="3"/>
              </w:rPr>
              <w:t>单位</w:t>
            </w:r>
          </w:p>
        </w:tc>
        <w:tc>
          <w:tcPr>
            <w:tcW w:w="976" w:type="dxa"/>
            <w:vAlign w:val="top"/>
            <w:vMerge w:val="restart"/>
            <w:tcBorders>
              <w:bottom w:val="nil"/>
            </w:tcBorders>
          </w:tcPr>
          <w:p>
            <w:pPr>
              <w:ind w:left="387" w:right="174" w:hanging="208"/>
              <w:spacing w:before="166" w:line="252" w:lineRule="auto"/>
              <w:rPr>
                <w:rFonts w:ascii="SimSun" w:hAnsi="SimSun" w:eastAsia="SimSun" w:cs="SimSun"/>
                <w:sz w:val="20"/>
                <w:szCs w:val="20"/>
              </w:rPr>
            </w:pPr>
            <w:r>
              <w:rPr>
                <w:rFonts w:ascii="SimSun" w:hAnsi="SimSun" w:eastAsia="SimSun" w:cs="SimSun"/>
                <w:sz w:val="20"/>
                <w:szCs w:val="20"/>
                <w:spacing w:val="5"/>
              </w:rPr>
              <w:t>是否达</w:t>
            </w:r>
            <w:r>
              <w:rPr>
                <w:rFonts w:ascii="SimSun" w:hAnsi="SimSun" w:eastAsia="SimSun" w:cs="SimSun"/>
                <w:sz w:val="20"/>
                <w:szCs w:val="20"/>
              </w:rPr>
              <w:t>标</w:t>
            </w:r>
          </w:p>
        </w:tc>
      </w:tr>
      <w:tr>
        <w:trPr>
          <w:trHeight w:val="278" w:hRule="atLeast"/>
        </w:trPr>
        <w:tc>
          <w:tcPr>
            <w:tcW w:w="1573" w:type="dxa"/>
            <w:vAlign w:val="top"/>
            <w:vMerge w:val="continue"/>
            <w:tcBorders>
              <w:top w:val="nil"/>
              <w:bottom w:val="nil"/>
            </w:tcBorders>
          </w:tcPr>
          <w:p>
            <w:pPr>
              <w:rPr>
                <w:rFonts w:ascii="Arial"/>
                <w:sz w:val="21"/>
              </w:rPr>
            </w:pPr>
            <w:r/>
          </w:p>
        </w:tc>
        <w:tc>
          <w:tcPr>
            <w:tcW w:w="4783" w:type="dxa"/>
            <w:vAlign w:val="top"/>
            <w:gridSpan w:val="3"/>
          </w:tcPr>
          <w:p>
            <w:pPr>
              <w:pStyle w:val="TableText"/>
              <w:ind w:left="1570"/>
              <w:spacing w:before="28" w:line="221" w:lineRule="auto"/>
              <w:rPr>
                <w:rFonts w:ascii="SimSun" w:hAnsi="SimSun" w:eastAsia="SimSun" w:cs="SimSun"/>
              </w:rPr>
            </w:pPr>
            <w:r>
              <w:rPr>
                <w:rFonts w:ascii="SimSun" w:hAnsi="SimSun" w:eastAsia="SimSun" w:cs="SimSun"/>
                <w:spacing w:val="5"/>
              </w:rPr>
              <w:t>表层样（</w:t>
            </w:r>
            <w:r>
              <w:rPr>
                <w:spacing w:val="5"/>
              </w:rPr>
              <w:t>0-0.2m</w:t>
            </w:r>
            <w:r>
              <w:rPr>
                <w:rFonts w:ascii="SimSun" w:hAnsi="SimSun" w:eastAsia="SimSun" w:cs="SimSun"/>
                <w:spacing w:val="5"/>
              </w:rPr>
              <w:t>）</w:t>
            </w:r>
          </w:p>
        </w:tc>
        <w:tc>
          <w:tcPr>
            <w:tcW w:w="986" w:type="dxa"/>
            <w:vAlign w:val="top"/>
            <w:vMerge w:val="continue"/>
            <w:tcBorders>
              <w:top w:val="nil"/>
              <w:bottom w:val="nil"/>
            </w:tcBorders>
          </w:tcPr>
          <w:p>
            <w:pPr>
              <w:rPr>
                <w:rFonts w:ascii="Arial"/>
                <w:sz w:val="21"/>
              </w:rPr>
            </w:pPr>
            <w:r/>
          </w:p>
        </w:tc>
        <w:tc>
          <w:tcPr>
            <w:tcW w:w="974" w:type="dxa"/>
            <w:vAlign w:val="top"/>
            <w:vMerge w:val="continue"/>
            <w:tcBorders>
              <w:top w:val="nil"/>
              <w:bottom w:val="nil"/>
            </w:tcBorders>
          </w:tcPr>
          <w:p>
            <w:pPr>
              <w:rPr>
                <w:rFonts w:ascii="Arial"/>
                <w:sz w:val="21"/>
              </w:rPr>
            </w:pPr>
            <w:r/>
          </w:p>
        </w:tc>
        <w:tc>
          <w:tcPr>
            <w:tcW w:w="976" w:type="dxa"/>
            <w:vAlign w:val="top"/>
            <w:vMerge w:val="continue"/>
            <w:tcBorders>
              <w:top w:val="nil"/>
              <w:bottom w:val="nil"/>
            </w:tcBorders>
          </w:tcPr>
          <w:p>
            <w:pPr>
              <w:rPr>
                <w:rFonts w:ascii="Arial"/>
                <w:sz w:val="21"/>
              </w:rPr>
            </w:pPr>
            <w:r/>
          </w:p>
        </w:tc>
      </w:tr>
      <w:tr>
        <w:trPr>
          <w:trHeight w:val="247" w:hRule="atLeast"/>
        </w:trPr>
        <w:tc>
          <w:tcPr>
            <w:tcW w:w="1573" w:type="dxa"/>
            <w:vAlign w:val="top"/>
            <w:vMerge w:val="continue"/>
            <w:tcBorders>
              <w:top w:val="nil"/>
            </w:tcBorders>
          </w:tcPr>
          <w:p>
            <w:pPr>
              <w:rPr>
                <w:rFonts w:ascii="Arial"/>
                <w:sz w:val="21"/>
              </w:rPr>
            </w:pPr>
            <w:r/>
          </w:p>
        </w:tc>
        <w:tc>
          <w:tcPr>
            <w:tcW w:w="1595" w:type="dxa"/>
            <w:vAlign w:val="top"/>
          </w:tcPr>
          <w:p>
            <w:pPr>
              <w:pStyle w:val="TableText"/>
              <w:ind w:left="629"/>
              <w:spacing w:before="51" w:line="194" w:lineRule="auto"/>
              <w:rPr/>
            </w:pPr>
            <w:r>
              <w:rPr>
                <w:spacing w:val="2"/>
              </w:rPr>
              <w:t>T10</w:t>
            </w:r>
          </w:p>
        </w:tc>
        <w:tc>
          <w:tcPr>
            <w:tcW w:w="1593" w:type="dxa"/>
            <w:vAlign w:val="top"/>
          </w:tcPr>
          <w:p>
            <w:pPr>
              <w:pStyle w:val="TableText"/>
              <w:ind w:left="634"/>
              <w:spacing w:before="51" w:line="194" w:lineRule="auto"/>
              <w:rPr/>
            </w:pPr>
            <w:r>
              <w:rPr>
                <w:spacing w:val="1"/>
              </w:rPr>
              <w:t>T11</w:t>
            </w:r>
          </w:p>
        </w:tc>
        <w:tc>
          <w:tcPr>
            <w:tcW w:w="1595" w:type="dxa"/>
            <w:vAlign w:val="top"/>
          </w:tcPr>
          <w:p>
            <w:pPr>
              <w:pStyle w:val="TableText"/>
              <w:ind w:left="633"/>
              <w:spacing w:before="51" w:line="194" w:lineRule="auto"/>
              <w:rPr/>
            </w:pPr>
            <w:r>
              <w:rPr>
                <w:spacing w:val="2"/>
              </w:rPr>
              <w:t>T12</w:t>
            </w:r>
          </w:p>
        </w:tc>
        <w:tc>
          <w:tcPr>
            <w:tcW w:w="986" w:type="dxa"/>
            <w:vAlign w:val="top"/>
            <w:vMerge w:val="continue"/>
            <w:tcBorders>
              <w:top w:val="nil"/>
            </w:tcBorders>
          </w:tcPr>
          <w:p>
            <w:pPr>
              <w:rPr>
                <w:rFonts w:ascii="Arial"/>
                <w:sz w:val="21"/>
              </w:rPr>
            </w:pPr>
            <w:r/>
          </w:p>
        </w:tc>
        <w:tc>
          <w:tcPr>
            <w:tcW w:w="974" w:type="dxa"/>
            <w:vAlign w:val="top"/>
            <w:vMerge w:val="continue"/>
            <w:tcBorders>
              <w:top w:val="nil"/>
            </w:tcBorders>
          </w:tcPr>
          <w:p>
            <w:pPr>
              <w:rPr>
                <w:rFonts w:ascii="Arial"/>
                <w:sz w:val="21"/>
              </w:rPr>
            </w:pPr>
            <w:r/>
          </w:p>
        </w:tc>
        <w:tc>
          <w:tcPr>
            <w:tcW w:w="976" w:type="dxa"/>
            <w:vAlign w:val="top"/>
            <w:vMerge w:val="continue"/>
            <w:tcBorders>
              <w:top w:val="nil"/>
            </w:tcBorders>
          </w:tcPr>
          <w:p>
            <w:pPr>
              <w:rPr>
                <w:rFonts w:ascii="Arial"/>
                <w:sz w:val="21"/>
              </w:rPr>
            </w:pPr>
            <w:r/>
          </w:p>
        </w:tc>
      </w:tr>
      <w:tr>
        <w:trPr>
          <w:trHeight w:val="275" w:hRule="atLeast"/>
        </w:trPr>
        <w:tc>
          <w:tcPr>
            <w:tcW w:w="1573" w:type="dxa"/>
            <w:vAlign w:val="top"/>
          </w:tcPr>
          <w:p>
            <w:pPr>
              <w:ind w:left="589"/>
              <w:spacing w:before="28" w:line="218" w:lineRule="auto"/>
              <w:rPr>
                <w:rFonts w:ascii="SimSun" w:hAnsi="SimSun" w:eastAsia="SimSun" w:cs="SimSun"/>
                <w:sz w:val="20"/>
                <w:szCs w:val="20"/>
              </w:rPr>
            </w:pPr>
            <w:r>
              <w:rPr>
                <w:rFonts w:ascii="SimSun" w:hAnsi="SimSun" w:eastAsia="SimSun" w:cs="SimSun"/>
                <w:sz w:val="20"/>
                <w:szCs w:val="20"/>
                <w:spacing w:val="2"/>
              </w:rPr>
              <w:t>总砷</w:t>
            </w:r>
          </w:p>
        </w:tc>
        <w:tc>
          <w:tcPr>
            <w:tcW w:w="1595" w:type="dxa"/>
            <w:vAlign w:val="top"/>
          </w:tcPr>
          <w:p>
            <w:pPr>
              <w:pStyle w:val="TableText"/>
              <w:ind w:left="619"/>
              <w:spacing w:before="65" w:line="195" w:lineRule="auto"/>
              <w:rPr/>
            </w:pPr>
            <w:r>
              <w:rPr>
                <w:spacing w:val="1"/>
              </w:rPr>
              <w:t>3.23</w:t>
            </w:r>
          </w:p>
        </w:tc>
        <w:tc>
          <w:tcPr>
            <w:tcW w:w="1593" w:type="dxa"/>
            <w:vAlign w:val="top"/>
          </w:tcPr>
          <w:p>
            <w:pPr>
              <w:pStyle w:val="TableText"/>
              <w:ind w:left="617"/>
              <w:spacing w:before="65" w:line="195" w:lineRule="auto"/>
              <w:rPr/>
            </w:pPr>
            <w:r>
              <w:rPr>
                <w:spacing w:val="2"/>
              </w:rPr>
              <w:t>3.32</w:t>
            </w:r>
          </w:p>
        </w:tc>
        <w:tc>
          <w:tcPr>
            <w:tcW w:w="1595" w:type="dxa"/>
            <w:vAlign w:val="top"/>
          </w:tcPr>
          <w:p>
            <w:pPr>
              <w:pStyle w:val="TableText"/>
              <w:ind w:left="620"/>
              <w:spacing w:before="65" w:line="195" w:lineRule="auto"/>
              <w:rPr/>
            </w:pPr>
            <w:r>
              <w:rPr>
                <w:spacing w:val="2"/>
              </w:rPr>
              <w:t>3.60</w:t>
            </w:r>
          </w:p>
        </w:tc>
        <w:tc>
          <w:tcPr>
            <w:tcW w:w="986" w:type="dxa"/>
            <w:vAlign w:val="top"/>
          </w:tcPr>
          <w:p>
            <w:pPr>
              <w:pStyle w:val="TableText"/>
              <w:ind w:left="392"/>
              <w:spacing w:before="65" w:line="195" w:lineRule="auto"/>
              <w:rPr/>
            </w:pPr>
            <w:r>
              <w:rPr>
                <w:spacing w:val="2"/>
              </w:rPr>
              <w:t>25</w:t>
            </w:r>
          </w:p>
        </w:tc>
        <w:tc>
          <w:tcPr>
            <w:tcW w:w="974" w:type="dxa"/>
            <w:vAlign w:val="top"/>
          </w:tcPr>
          <w:p>
            <w:pPr>
              <w:pStyle w:val="TableText"/>
              <w:ind w:left="219"/>
              <w:spacing w:before="61" w:line="201" w:lineRule="auto"/>
              <w:rPr/>
            </w:pPr>
            <w:r>
              <w:rPr>
                <w:spacing w:val="3"/>
              </w:rPr>
              <w:t>mg/kg</w:t>
            </w:r>
          </w:p>
        </w:tc>
        <w:tc>
          <w:tcPr>
            <w:tcW w:w="976" w:type="dxa"/>
            <w:vAlign w:val="top"/>
            <w:vMerge w:val="restart"/>
            <w:tcBorders>
              <w:bottom w:val="nil"/>
            </w:tcBorders>
          </w:tcPr>
          <w:p>
            <w:pPr>
              <w:spacing w:line="315" w:lineRule="auto"/>
              <w:rPr>
                <w:rFonts w:ascii="Arial"/>
                <w:sz w:val="21"/>
              </w:rPr>
            </w:pPr>
            <w:r/>
          </w:p>
          <w:p>
            <w:pPr>
              <w:spacing w:line="315" w:lineRule="auto"/>
              <w:rPr>
                <w:rFonts w:ascii="Arial"/>
                <w:sz w:val="21"/>
              </w:rPr>
            </w:pPr>
            <w:r/>
          </w:p>
          <w:p>
            <w:pPr>
              <w:spacing w:line="315" w:lineRule="auto"/>
              <w:rPr>
                <w:rFonts w:ascii="Arial"/>
                <w:sz w:val="21"/>
              </w:rPr>
            </w:pPr>
            <w:r/>
          </w:p>
          <w:p>
            <w:pPr>
              <w:ind w:left="283"/>
              <w:spacing w:before="65" w:line="228" w:lineRule="auto"/>
              <w:rPr>
                <w:rFonts w:ascii="SimSun" w:hAnsi="SimSun" w:eastAsia="SimSun" w:cs="SimSun"/>
                <w:sz w:val="20"/>
                <w:szCs w:val="20"/>
              </w:rPr>
            </w:pPr>
            <w:r>
              <w:rPr>
                <w:rFonts w:ascii="SimSun" w:hAnsi="SimSun" w:eastAsia="SimSun" w:cs="SimSun"/>
                <w:sz w:val="20"/>
                <w:szCs w:val="20"/>
                <w:spacing w:val="5"/>
              </w:rPr>
              <w:t>达标</w:t>
            </w:r>
          </w:p>
        </w:tc>
      </w:tr>
      <w:tr>
        <w:trPr>
          <w:trHeight w:val="278" w:hRule="atLeast"/>
        </w:trPr>
        <w:tc>
          <w:tcPr>
            <w:tcW w:w="1573" w:type="dxa"/>
            <w:vAlign w:val="top"/>
          </w:tcPr>
          <w:p>
            <w:pPr>
              <w:ind w:left="685"/>
              <w:spacing w:before="29" w:line="220" w:lineRule="auto"/>
              <w:rPr>
                <w:rFonts w:ascii="SimSun" w:hAnsi="SimSun" w:eastAsia="SimSun" w:cs="SimSun"/>
                <w:sz w:val="20"/>
                <w:szCs w:val="20"/>
              </w:rPr>
            </w:pPr>
            <w:r>
              <w:rPr>
                <w:rFonts w:ascii="SimSun" w:hAnsi="SimSun" w:eastAsia="SimSun" w:cs="SimSun"/>
                <w:sz w:val="20"/>
                <w:szCs w:val="20"/>
                <w:spacing w:val="2"/>
              </w:rPr>
              <w:t>镉</w:t>
            </w:r>
          </w:p>
        </w:tc>
        <w:tc>
          <w:tcPr>
            <w:tcW w:w="1595" w:type="dxa"/>
            <w:vAlign w:val="top"/>
          </w:tcPr>
          <w:p>
            <w:pPr>
              <w:pStyle w:val="TableText"/>
              <w:ind w:left="618"/>
              <w:spacing w:before="65" w:line="195" w:lineRule="auto"/>
              <w:rPr/>
            </w:pPr>
            <w:r>
              <w:rPr>
                <w:spacing w:val="2"/>
              </w:rPr>
              <w:t>0.17</w:t>
            </w:r>
          </w:p>
        </w:tc>
        <w:tc>
          <w:tcPr>
            <w:tcW w:w="1593" w:type="dxa"/>
            <w:vAlign w:val="top"/>
          </w:tcPr>
          <w:p>
            <w:pPr>
              <w:pStyle w:val="TableText"/>
              <w:ind w:left="616"/>
              <w:spacing w:before="65" w:line="195" w:lineRule="auto"/>
              <w:rPr/>
            </w:pPr>
            <w:r>
              <w:rPr>
                <w:spacing w:val="2"/>
              </w:rPr>
              <w:t>0.19</w:t>
            </w:r>
          </w:p>
        </w:tc>
        <w:tc>
          <w:tcPr>
            <w:tcW w:w="1595" w:type="dxa"/>
            <w:vAlign w:val="top"/>
          </w:tcPr>
          <w:p>
            <w:pPr>
              <w:pStyle w:val="TableText"/>
              <w:ind w:left="619"/>
              <w:spacing w:before="65" w:line="195" w:lineRule="auto"/>
              <w:rPr/>
            </w:pPr>
            <w:r>
              <w:rPr>
                <w:spacing w:val="2"/>
              </w:rPr>
              <w:t>0.23</w:t>
            </w:r>
          </w:p>
        </w:tc>
        <w:tc>
          <w:tcPr>
            <w:tcW w:w="986" w:type="dxa"/>
            <w:vAlign w:val="top"/>
          </w:tcPr>
          <w:p>
            <w:pPr>
              <w:pStyle w:val="TableText"/>
              <w:ind w:left="368"/>
              <w:spacing w:before="65" w:line="195" w:lineRule="auto"/>
              <w:rPr/>
            </w:pPr>
            <w:r>
              <w:rPr>
                <w:spacing w:val="1"/>
              </w:rPr>
              <w:t>0.6</w:t>
            </w:r>
          </w:p>
        </w:tc>
        <w:tc>
          <w:tcPr>
            <w:tcW w:w="974" w:type="dxa"/>
            <w:vAlign w:val="top"/>
          </w:tcPr>
          <w:p>
            <w:pPr>
              <w:pStyle w:val="TableText"/>
              <w:ind w:left="219"/>
              <w:spacing w:before="62"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7"/>
              <w:spacing w:before="30" w:line="219" w:lineRule="auto"/>
              <w:rPr>
                <w:rFonts w:ascii="SimSun" w:hAnsi="SimSun" w:eastAsia="SimSun" w:cs="SimSun"/>
                <w:sz w:val="20"/>
                <w:szCs w:val="20"/>
              </w:rPr>
            </w:pPr>
            <w:r>
              <w:rPr>
                <w:rFonts w:ascii="SimSun" w:hAnsi="SimSun" w:eastAsia="SimSun" w:cs="SimSun"/>
                <w:sz w:val="20"/>
                <w:szCs w:val="20"/>
              </w:rPr>
              <w:t>铜</w:t>
            </w:r>
          </w:p>
        </w:tc>
        <w:tc>
          <w:tcPr>
            <w:tcW w:w="1595" w:type="dxa"/>
            <w:vAlign w:val="top"/>
          </w:tcPr>
          <w:p>
            <w:pPr>
              <w:pStyle w:val="TableText"/>
              <w:ind w:left="696"/>
              <w:spacing w:before="66" w:line="195" w:lineRule="auto"/>
              <w:rPr/>
            </w:pPr>
            <w:r>
              <w:rPr/>
              <w:t>36</w:t>
            </w:r>
          </w:p>
        </w:tc>
        <w:tc>
          <w:tcPr>
            <w:tcW w:w="1593" w:type="dxa"/>
            <w:vAlign w:val="top"/>
          </w:tcPr>
          <w:p>
            <w:pPr>
              <w:pStyle w:val="TableText"/>
              <w:ind w:left="697"/>
              <w:spacing w:before="66" w:line="195" w:lineRule="auto"/>
              <w:rPr/>
            </w:pPr>
            <w:r>
              <w:rPr/>
              <w:t>34</w:t>
            </w:r>
          </w:p>
        </w:tc>
        <w:tc>
          <w:tcPr>
            <w:tcW w:w="1595" w:type="dxa"/>
            <w:vAlign w:val="top"/>
          </w:tcPr>
          <w:p>
            <w:pPr>
              <w:pStyle w:val="TableText"/>
              <w:ind w:left="700"/>
              <w:spacing w:before="66" w:line="195" w:lineRule="auto"/>
              <w:rPr/>
            </w:pPr>
            <w:r>
              <w:rPr/>
              <w:t>33</w:t>
            </w:r>
          </w:p>
        </w:tc>
        <w:tc>
          <w:tcPr>
            <w:tcW w:w="986" w:type="dxa"/>
            <w:vAlign w:val="top"/>
          </w:tcPr>
          <w:p>
            <w:pPr>
              <w:pStyle w:val="TableText"/>
              <w:ind w:left="359"/>
              <w:spacing w:before="66" w:line="195" w:lineRule="auto"/>
              <w:rPr/>
            </w:pPr>
            <w:r>
              <w:rPr>
                <w:spacing w:val="-3"/>
              </w:rPr>
              <w:t>100</w:t>
            </w:r>
          </w:p>
        </w:tc>
        <w:tc>
          <w:tcPr>
            <w:tcW w:w="974" w:type="dxa"/>
            <w:vAlign w:val="top"/>
          </w:tcPr>
          <w:p>
            <w:pPr>
              <w:pStyle w:val="TableText"/>
              <w:ind w:left="219"/>
              <w:spacing w:before="62"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5" w:hRule="atLeast"/>
        </w:trPr>
        <w:tc>
          <w:tcPr>
            <w:tcW w:w="1573" w:type="dxa"/>
            <w:vAlign w:val="top"/>
          </w:tcPr>
          <w:p>
            <w:pPr>
              <w:ind w:left="687"/>
              <w:spacing w:before="27" w:line="219" w:lineRule="auto"/>
              <w:rPr>
                <w:rFonts w:ascii="SimSun" w:hAnsi="SimSun" w:eastAsia="SimSun" w:cs="SimSun"/>
                <w:sz w:val="20"/>
                <w:szCs w:val="20"/>
              </w:rPr>
            </w:pPr>
            <w:r>
              <w:rPr>
                <w:rFonts w:ascii="SimSun" w:hAnsi="SimSun" w:eastAsia="SimSun" w:cs="SimSun"/>
                <w:sz w:val="20"/>
                <w:szCs w:val="20"/>
              </w:rPr>
              <w:t>铅</w:t>
            </w:r>
          </w:p>
        </w:tc>
        <w:tc>
          <w:tcPr>
            <w:tcW w:w="1595" w:type="dxa"/>
            <w:vAlign w:val="top"/>
          </w:tcPr>
          <w:p>
            <w:pPr>
              <w:pStyle w:val="TableText"/>
              <w:ind w:left="696"/>
              <w:spacing w:before="63" w:line="195" w:lineRule="auto"/>
              <w:rPr/>
            </w:pPr>
            <w:r>
              <w:rPr/>
              <w:t>30</w:t>
            </w:r>
          </w:p>
        </w:tc>
        <w:tc>
          <w:tcPr>
            <w:tcW w:w="1593" w:type="dxa"/>
            <w:vAlign w:val="top"/>
          </w:tcPr>
          <w:p>
            <w:pPr>
              <w:pStyle w:val="TableText"/>
              <w:ind w:left="692"/>
              <w:spacing w:before="63" w:line="195" w:lineRule="auto"/>
              <w:rPr/>
            </w:pPr>
            <w:r>
              <w:rPr>
                <w:spacing w:val="2"/>
              </w:rPr>
              <w:t>23</w:t>
            </w:r>
          </w:p>
        </w:tc>
        <w:tc>
          <w:tcPr>
            <w:tcW w:w="1595" w:type="dxa"/>
            <w:vAlign w:val="top"/>
          </w:tcPr>
          <w:p>
            <w:pPr>
              <w:pStyle w:val="TableText"/>
              <w:ind w:left="695"/>
              <w:spacing w:before="64" w:line="195" w:lineRule="auto"/>
              <w:rPr/>
            </w:pPr>
            <w:r>
              <w:rPr>
                <w:spacing w:val="2"/>
              </w:rPr>
              <w:t>22</w:t>
            </w:r>
          </w:p>
        </w:tc>
        <w:tc>
          <w:tcPr>
            <w:tcW w:w="986" w:type="dxa"/>
            <w:vAlign w:val="top"/>
          </w:tcPr>
          <w:p>
            <w:pPr>
              <w:pStyle w:val="TableText"/>
              <w:ind w:left="359"/>
              <w:spacing w:before="63" w:line="195" w:lineRule="auto"/>
              <w:rPr/>
            </w:pPr>
            <w:r>
              <w:rPr>
                <w:spacing w:val="-3"/>
              </w:rPr>
              <w:t>170</w:t>
            </w:r>
          </w:p>
        </w:tc>
        <w:tc>
          <w:tcPr>
            <w:tcW w:w="974" w:type="dxa"/>
            <w:vAlign w:val="top"/>
          </w:tcPr>
          <w:p>
            <w:pPr>
              <w:pStyle w:val="TableText"/>
              <w:ind w:left="219"/>
              <w:spacing w:before="60"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0" w:line="219" w:lineRule="auto"/>
              <w:rPr>
                <w:rFonts w:ascii="SimSun" w:hAnsi="SimSun" w:eastAsia="SimSun" w:cs="SimSun"/>
                <w:sz w:val="20"/>
                <w:szCs w:val="20"/>
              </w:rPr>
            </w:pPr>
            <w:r>
              <w:rPr>
                <w:rFonts w:ascii="SimSun" w:hAnsi="SimSun" w:eastAsia="SimSun" w:cs="SimSun"/>
                <w:sz w:val="20"/>
                <w:szCs w:val="20"/>
                <w:spacing w:val="1"/>
              </w:rPr>
              <w:t>镍</w:t>
            </w:r>
          </w:p>
        </w:tc>
        <w:tc>
          <w:tcPr>
            <w:tcW w:w="1595" w:type="dxa"/>
            <w:vAlign w:val="top"/>
          </w:tcPr>
          <w:p>
            <w:pPr>
              <w:pStyle w:val="TableText"/>
              <w:ind w:left="691"/>
              <w:spacing w:before="67" w:line="195" w:lineRule="auto"/>
              <w:rPr/>
            </w:pPr>
            <w:r>
              <w:rPr>
                <w:spacing w:val="2"/>
              </w:rPr>
              <w:t>27</w:t>
            </w:r>
          </w:p>
        </w:tc>
        <w:tc>
          <w:tcPr>
            <w:tcW w:w="1593" w:type="dxa"/>
            <w:vAlign w:val="top"/>
          </w:tcPr>
          <w:p>
            <w:pPr>
              <w:pStyle w:val="TableText"/>
              <w:ind w:left="697"/>
              <w:spacing w:before="67" w:line="195" w:lineRule="auto"/>
              <w:rPr/>
            </w:pPr>
            <w:r>
              <w:rPr/>
              <w:t>33</w:t>
            </w:r>
          </w:p>
        </w:tc>
        <w:tc>
          <w:tcPr>
            <w:tcW w:w="1595" w:type="dxa"/>
            <w:vAlign w:val="top"/>
          </w:tcPr>
          <w:p>
            <w:pPr>
              <w:pStyle w:val="TableText"/>
              <w:ind w:left="695"/>
              <w:spacing w:before="67" w:line="195" w:lineRule="auto"/>
              <w:rPr/>
            </w:pPr>
            <w:r>
              <w:rPr>
                <w:spacing w:val="2"/>
              </w:rPr>
              <w:t>29</w:t>
            </w:r>
          </w:p>
        </w:tc>
        <w:tc>
          <w:tcPr>
            <w:tcW w:w="986" w:type="dxa"/>
            <w:vAlign w:val="top"/>
          </w:tcPr>
          <w:p>
            <w:pPr>
              <w:pStyle w:val="TableText"/>
              <w:ind w:left="359"/>
              <w:spacing w:before="67" w:line="195" w:lineRule="auto"/>
              <w:rPr/>
            </w:pPr>
            <w:r>
              <w:rPr>
                <w:spacing w:val="-3"/>
              </w:rPr>
              <w:t>190</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589"/>
              <w:spacing w:before="31" w:line="218" w:lineRule="auto"/>
              <w:rPr>
                <w:rFonts w:ascii="SimSun" w:hAnsi="SimSun" w:eastAsia="SimSun" w:cs="SimSun"/>
                <w:sz w:val="20"/>
                <w:szCs w:val="20"/>
              </w:rPr>
            </w:pPr>
            <w:r>
              <w:rPr>
                <w:rFonts w:ascii="SimSun" w:hAnsi="SimSun" w:eastAsia="SimSun" w:cs="SimSun"/>
                <w:sz w:val="20"/>
                <w:szCs w:val="20"/>
                <w:spacing w:val="2"/>
              </w:rPr>
              <w:t>总汞</w:t>
            </w:r>
          </w:p>
        </w:tc>
        <w:tc>
          <w:tcPr>
            <w:tcW w:w="1595" w:type="dxa"/>
            <w:vAlign w:val="top"/>
          </w:tcPr>
          <w:p>
            <w:pPr>
              <w:pStyle w:val="TableText"/>
              <w:ind w:left="510"/>
              <w:spacing w:before="67" w:line="195" w:lineRule="auto"/>
              <w:rPr/>
            </w:pPr>
            <w:r>
              <w:rPr>
                <w:spacing w:val="3"/>
              </w:rPr>
              <w:t>0.0512</w:t>
            </w:r>
          </w:p>
        </w:tc>
        <w:tc>
          <w:tcPr>
            <w:tcW w:w="1593" w:type="dxa"/>
            <w:vAlign w:val="top"/>
          </w:tcPr>
          <w:p>
            <w:pPr>
              <w:pStyle w:val="TableText"/>
              <w:ind w:left="511"/>
              <w:spacing w:before="67" w:line="195" w:lineRule="auto"/>
              <w:rPr/>
            </w:pPr>
            <w:r>
              <w:rPr>
                <w:spacing w:val="3"/>
              </w:rPr>
              <w:t>0.0516</w:t>
            </w:r>
          </w:p>
        </w:tc>
        <w:tc>
          <w:tcPr>
            <w:tcW w:w="1595" w:type="dxa"/>
            <w:vAlign w:val="top"/>
          </w:tcPr>
          <w:p>
            <w:pPr>
              <w:pStyle w:val="TableText"/>
              <w:ind w:left="514"/>
              <w:spacing w:before="67" w:line="195" w:lineRule="auto"/>
              <w:rPr/>
            </w:pPr>
            <w:r>
              <w:rPr>
                <w:spacing w:val="3"/>
              </w:rPr>
              <w:t>0.0499</w:t>
            </w:r>
          </w:p>
        </w:tc>
        <w:tc>
          <w:tcPr>
            <w:tcW w:w="986" w:type="dxa"/>
            <w:vAlign w:val="top"/>
          </w:tcPr>
          <w:p>
            <w:pPr>
              <w:pStyle w:val="TableText"/>
              <w:ind w:left="369"/>
              <w:spacing w:before="67" w:line="195" w:lineRule="auto"/>
              <w:rPr/>
            </w:pPr>
            <w:r>
              <w:rPr>
                <w:spacing w:val="1"/>
              </w:rPr>
              <w:t>3.4</w:t>
            </w:r>
          </w:p>
        </w:tc>
        <w:tc>
          <w:tcPr>
            <w:tcW w:w="974" w:type="dxa"/>
            <w:vAlign w:val="top"/>
          </w:tcPr>
          <w:p>
            <w:pPr>
              <w:pStyle w:val="TableText"/>
              <w:ind w:left="219"/>
              <w:spacing w:before="63"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5" w:hRule="atLeast"/>
        </w:trPr>
        <w:tc>
          <w:tcPr>
            <w:tcW w:w="1573" w:type="dxa"/>
            <w:vAlign w:val="top"/>
          </w:tcPr>
          <w:p>
            <w:pPr>
              <w:ind w:left="686"/>
              <w:spacing w:before="28" w:line="218" w:lineRule="auto"/>
              <w:rPr>
                <w:rFonts w:ascii="SimSun" w:hAnsi="SimSun" w:eastAsia="SimSun" w:cs="SimSun"/>
                <w:sz w:val="20"/>
                <w:szCs w:val="20"/>
              </w:rPr>
            </w:pPr>
            <w:r>
              <w:rPr>
                <w:rFonts w:ascii="SimSun" w:hAnsi="SimSun" w:eastAsia="SimSun" w:cs="SimSun"/>
                <w:sz w:val="20"/>
                <w:szCs w:val="20"/>
                <w:spacing w:val="1"/>
              </w:rPr>
              <w:t>锌</w:t>
            </w:r>
          </w:p>
        </w:tc>
        <w:tc>
          <w:tcPr>
            <w:tcW w:w="1595" w:type="dxa"/>
            <w:vAlign w:val="top"/>
          </w:tcPr>
          <w:p>
            <w:pPr>
              <w:pStyle w:val="TableText"/>
              <w:ind w:left="691"/>
              <w:spacing w:before="65" w:line="195" w:lineRule="auto"/>
              <w:rPr/>
            </w:pPr>
            <w:r>
              <w:rPr>
                <w:spacing w:val="2"/>
              </w:rPr>
              <w:t>26</w:t>
            </w:r>
          </w:p>
        </w:tc>
        <w:tc>
          <w:tcPr>
            <w:tcW w:w="1593" w:type="dxa"/>
            <w:vAlign w:val="top"/>
          </w:tcPr>
          <w:p>
            <w:pPr>
              <w:pStyle w:val="TableText"/>
              <w:ind w:left="692"/>
              <w:spacing w:before="65" w:line="195" w:lineRule="auto"/>
              <w:rPr/>
            </w:pPr>
            <w:r>
              <w:rPr>
                <w:spacing w:val="2"/>
              </w:rPr>
              <w:t>29</w:t>
            </w:r>
          </w:p>
        </w:tc>
        <w:tc>
          <w:tcPr>
            <w:tcW w:w="1595" w:type="dxa"/>
            <w:vAlign w:val="top"/>
          </w:tcPr>
          <w:p>
            <w:pPr>
              <w:pStyle w:val="TableText"/>
              <w:ind w:left="695"/>
              <w:spacing w:before="65" w:line="195" w:lineRule="auto"/>
              <w:rPr/>
            </w:pPr>
            <w:r>
              <w:rPr>
                <w:spacing w:val="2"/>
              </w:rPr>
              <w:t>28</w:t>
            </w:r>
          </w:p>
        </w:tc>
        <w:tc>
          <w:tcPr>
            <w:tcW w:w="986" w:type="dxa"/>
            <w:vAlign w:val="top"/>
          </w:tcPr>
          <w:p>
            <w:pPr>
              <w:pStyle w:val="TableText"/>
              <w:ind w:left="343"/>
              <w:spacing w:before="65" w:line="195" w:lineRule="auto"/>
              <w:rPr/>
            </w:pPr>
            <w:r>
              <w:rPr>
                <w:spacing w:val="2"/>
              </w:rPr>
              <w:t>300</w:t>
            </w:r>
          </w:p>
        </w:tc>
        <w:tc>
          <w:tcPr>
            <w:tcW w:w="974" w:type="dxa"/>
            <w:vAlign w:val="top"/>
          </w:tcPr>
          <w:p>
            <w:pPr>
              <w:pStyle w:val="TableText"/>
              <w:ind w:left="219"/>
              <w:spacing w:before="61" w:line="201" w:lineRule="auto"/>
              <w:rPr/>
            </w:pPr>
            <w:r>
              <w:rPr>
                <w:spacing w:val="3"/>
              </w:rPr>
              <w:t>mg/kg</w:t>
            </w:r>
          </w:p>
        </w:tc>
        <w:tc>
          <w:tcPr>
            <w:tcW w:w="976" w:type="dxa"/>
            <w:vAlign w:val="top"/>
            <w:vMerge w:val="continue"/>
            <w:tcBorders>
              <w:top w:val="nil"/>
              <w:bottom w:val="nil"/>
            </w:tcBorders>
          </w:tcPr>
          <w:p>
            <w:pPr>
              <w:rPr>
                <w:rFonts w:ascii="Arial"/>
                <w:sz w:val="21"/>
              </w:rPr>
            </w:pPr>
            <w:r/>
          </w:p>
        </w:tc>
      </w:tr>
      <w:tr>
        <w:trPr>
          <w:trHeight w:val="278" w:hRule="atLeast"/>
        </w:trPr>
        <w:tc>
          <w:tcPr>
            <w:tcW w:w="1573" w:type="dxa"/>
            <w:vAlign w:val="top"/>
          </w:tcPr>
          <w:p>
            <w:pPr>
              <w:ind w:left="686"/>
              <w:spacing w:before="32" w:line="217" w:lineRule="auto"/>
              <w:rPr>
                <w:rFonts w:ascii="SimSun" w:hAnsi="SimSun" w:eastAsia="SimSun" w:cs="SimSun"/>
                <w:sz w:val="20"/>
                <w:szCs w:val="20"/>
              </w:rPr>
            </w:pPr>
            <w:r>
              <w:rPr>
                <w:rFonts w:ascii="SimSun" w:hAnsi="SimSun" w:eastAsia="SimSun" w:cs="SimSun"/>
                <w:sz w:val="20"/>
                <w:szCs w:val="20"/>
                <w:spacing w:val="1"/>
              </w:rPr>
              <w:t>铬</w:t>
            </w:r>
          </w:p>
        </w:tc>
        <w:tc>
          <w:tcPr>
            <w:tcW w:w="1595" w:type="dxa"/>
            <w:vAlign w:val="top"/>
          </w:tcPr>
          <w:p>
            <w:pPr>
              <w:pStyle w:val="TableText"/>
              <w:ind w:left="691"/>
              <w:spacing w:before="68" w:line="195" w:lineRule="auto"/>
              <w:rPr/>
            </w:pPr>
            <w:r>
              <w:rPr>
                <w:spacing w:val="2"/>
              </w:rPr>
              <w:t>21</w:t>
            </w:r>
          </w:p>
        </w:tc>
        <w:tc>
          <w:tcPr>
            <w:tcW w:w="1593" w:type="dxa"/>
            <w:vAlign w:val="top"/>
          </w:tcPr>
          <w:p>
            <w:pPr>
              <w:pStyle w:val="TableText"/>
              <w:ind w:left="692"/>
              <w:spacing w:before="68" w:line="195" w:lineRule="auto"/>
              <w:rPr/>
            </w:pPr>
            <w:r>
              <w:rPr>
                <w:spacing w:val="2"/>
              </w:rPr>
              <w:t>24</w:t>
            </w:r>
          </w:p>
        </w:tc>
        <w:tc>
          <w:tcPr>
            <w:tcW w:w="1595" w:type="dxa"/>
            <w:vAlign w:val="top"/>
          </w:tcPr>
          <w:p>
            <w:pPr>
              <w:pStyle w:val="TableText"/>
              <w:ind w:left="700"/>
              <w:spacing w:before="68" w:line="195" w:lineRule="auto"/>
              <w:rPr/>
            </w:pPr>
            <w:r>
              <w:rPr/>
              <w:t>32</w:t>
            </w:r>
          </w:p>
        </w:tc>
        <w:tc>
          <w:tcPr>
            <w:tcW w:w="986" w:type="dxa"/>
            <w:vAlign w:val="top"/>
          </w:tcPr>
          <w:p>
            <w:pPr>
              <w:pStyle w:val="TableText"/>
              <w:ind w:left="339"/>
              <w:spacing w:before="68" w:line="195" w:lineRule="auto"/>
              <w:rPr/>
            </w:pPr>
            <w:r>
              <w:rPr>
                <w:spacing w:val="3"/>
              </w:rPr>
              <w:t>250</w:t>
            </w:r>
          </w:p>
        </w:tc>
        <w:tc>
          <w:tcPr>
            <w:tcW w:w="974" w:type="dxa"/>
            <w:vAlign w:val="top"/>
          </w:tcPr>
          <w:p>
            <w:pPr>
              <w:pStyle w:val="TableText"/>
              <w:ind w:left="219"/>
              <w:spacing w:before="64" w:line="201" w:lineRule="auto"/>
              <w:rPr/>
            </w:pPr>
            <w:r>
              <w:rPr>
                <w:spacing w:val="3"/>
              </w:rPr>
              <w:t>mg/kg</w:t>
            </w:r>
          </w:p>
        </w:tc>
        <w:tc>
          <w:tcPr>
            <w:tcW w:w="976" w:type="dxa"/>
            <w:vAlign w:val="top"/>
            <w:vMerge w:val="continue"/>
            <w:tcBorders>
              <w:top w:val="nil"/>
            </w:tcBorders>
          </w:tcPr>
          <w:p>
            <w:pPr>
              <w:rPr>
                <w:rFonts w:ascii="Arial"/>
                <w:sz w:val="21"/>
              </w:rPr>
            </w:pPr>
            <w:r/>
          </w:p>
        </w:tc>
      </w:tr>
      <w:tr>
        <w:trPr>
          <w:trHeight w:val="278" w:hRule="atLeast"/>
        </w:trPr>
        <w:tc>
          <w:tcPr>
            <w:tcW w:w="1573" w:type="dxa"/>
            <w:vAlign w:val="top"/>
          </w:tcPr>
          <w:p>
            <w:pPr>
              <w:pStyle w:val="TableText"/>
              <w:ind w:left="524"/>
              <w:spacing w:before="32" w:line="217" w:lineRule="auto"/>
              <w:rPr>
                <w:rFonts w:ascii="SimSun" w:hAnsi="SimSun" w:eastAsia="SimSun" w:cs="SimSun"/>
              </w:rPr>
            </w:pPr>
            <w:r>
              <w:rPr/>
              <w:t>pH</w:t>
            </w:r>
            <w:r>
              <w:rPr>
                <w:spacing w:val="11"/>
              </w:rPr>
              <w:t xml:space="preserve"> </w:t>
            </w:r>
            <w:r>
              <w:rPr>
                <w:rFonts w:ascii="SimSun" w:hAnsi="SimSun" w:eastAsia="SimSun" w:cs="SimSun"/>
                <w:spacing w:val="13"/>
              </w:rPr>
              <w:t>值</w:t>
            </w:r>
          </w:p>
        </w:tc>
        <w:tc>
          <w:tcPr>
            <w:tcW w:w="1595" w:type="dxa"/>
            <w:vAlign w:val="top"/>
          </w:tcPr>
          <w:p>
            <w:pPr>
              <w:pStyle w:val="TableText"/>
              <w:ind w:left="623"/>
              <w:spacing w:before="68" w:line="195" w:lineRule="auto"/>
              <w:rPr/>
            </w:pPr>
            <w:r>
              <w:rPr/>
              <w:t>8.02</w:t>
            </w:r>
          </w:p>
        </w:tc>
        <w:tc>
          <w:tcPr>
            <w:tcW w:w="1593" w:type="dxa"/>
            <w:vAlign w:val="top"/>
          </w:tcPr>
          <w:p>
            <w:pPr>
              <w:pStyle w:val="TableText"/>
              <w:ind w:left="622"/>
              <w:spacing w:before="68" w:line="195" w:lineRule="auto"/>
              <w:rPr/>
            </w:pPr>
            <w:r>
              <w:rPr>
                <w:spacing w:val="1"/>
              </w:rPr>
              <w:t>8.20</w:t>
            </w:r>
          </w:p>
        </w:tc>
        <w:tc>
          <w:tcPr>
            <w:tcW w:w="1595" w:type="dxa"/>
            <w:vAlign w:val="top"/>
          </w:tcPr>
          <w:p>
            <w:pPr>
              <w:pStyle w:val="TableText"/>
              <w:ind w:left="620"/>
              <w:spacing w:before="71" w:line="192" w:lineRule="auto"/>
              <w:rPr/>
            </w:pPr>
            <w:r>
              <w:rPr>
                <w:spacing w:val="2"/>
              </w:rPr>
              <w:t>7.57</w:t>
            </w:r>
          </w:p>
        </w:tc>
        <w:tc>
          <w:tcPr>
            <w:tcW w:w="986" w:type="dxa"/>
            <w:vAlign w:val="top"/>
          </w:tcPr>
          <w:p>
            <w:pPr>
              <w:pStyle w:val="TableText"/>
              <w:ind w:left="465"/>
              <w:spacing w:before="156" w:line="97" w:lineRule="exact"/>
              <w:rPr/>
            </w:pPr>
            <w:r>
              <w:rPr>
                <w:position w:val="-2"/>
              </w:rPr>
              <w:t>-</w:t>
            </w:r>
          </w:p>
        </w:tc>
        <w:tc>
          <w:tcPr>
            <w:tcW w:w="974" w:type="dxa"/>
            <w:vAlign w:val="top"/>
          </w:tcPr>
          <w:p>
            <w:pPr>
              <w:ind w:left="179"/>
              <w:spacing w:before="32" w:line="217" w:lineRule="auto"/>
              <w:rPr>
                <w:rFonts w:ascii="SimSun" w:hAnsi="SimSun" w:eastAsia="SimSun" w:cs="SimSun"/>
                <w:sz w:val="20"/>
                <w:szCs w:val="20"/>
              </w:rPr>
            </w:pPr>
            <w:r>
              <w:rPr>
                <w:rFonts w:ascii="SimSun" w:hAnsi="SimSun" w:eastAsia="SimSun" w:cs="SimSun"/>
                <w:sz w:val="20"/>
                <w:szCs w:val="20"/>
                <w:spacing w:val="6"/>
              </w:rPr>
              <w:t>无量纲</w:t>
            </w:r>
          </w:p>
        </w:tc>
        <w:tc>
          <w:tcPr>
            <w:tcW w:w="976" w:type="dxa"/>
            <w:vAlign w:val="top"/>
          </w:tcPr>
          <w:p>
            <w:pPr>
              <w:rPr>
                <w:rFonts w:ascii="Arial"/>
                <w:sz w:val="21"/>
              </w:rPr>
            </w:pPr>
            <w:r/>
          </w:p>
        </w:tc>
      </w:tr>
      <w:tr>
        <w:trPr>
          <w:trHeight w:val="824" w:hRule="atLeast"/>
        </w:trPr>
        <w:tc>
          <w:tcPr>
            <w:tcW w:w="9292" w:type="dxa"/>
            <w:vAlign w:val="top"/>
            <w:gridSpan w:val="7"/>
          </w:tcPr>
          <w:p>
            <w:pPr>
              <w:ind w:left="118"/>
              <w:spacing w:before="30" w:line="229" w:lineRule="auto"/>
              <w:rPr>
                <w:rFonts w:ascii="SimSun" w:hAnsi="SimSun" w:eastAsia="SimSun" w:cs="SimSun"/>
                <w:sz w:val="20"/>
                <w:szCs w:val="20"/>
              </w:rPr>
            </w:pPr>
            <w:r>
              <w:rPr>
                <w:rFonts w:ascii="SimSun" w:hAnsi="SimSun" w:eastAsia="SimSun" w:cs="SimSun"/>
                <w:sz w:val="20"/>
                <w:szCs w:val="20"/>
                <w:spacing w:val="2"/>
              </w:rPr>
              <w:t>备注：</w:t>
            </w:r>
          </w:p>
          <w:p>
            <w:pPr>
              <w:pStyle w:val="TableText"/>
              <w:ind w:left="116" w:right="109" w:hanging="1"/>
              <w:spacing w:before="26" w:line="235" w:lineRule="auto"/>
              <w:rPr>
                <w:rFonts w:ascii="SimSun" w:hAnsi="SimSun" w:eastAsia="SimSun" w:cs="SimSun"/>
              </w:rPr>
            </w:pPr>
            <w:r>
              <w:rPr>
                <w:rFonts w:ascii="SimSun" w:hAnsi="SimSun" w:eastAsia="SimSun" w:cs="SimSun"/>
                <w:spacing w:val="9"/>
              </w:rPr>
              <w:t>检测结果参照执行《土壤环境质量 农用地土壤污染风险管控标准（试行）》</w:t>
            </w:r>
            <w:r>
              <w:rPr/>
              <w:t>GB</w:t>
            </w:r>
            <w:r>
              <w:rPr>
                <w:spacing w:val="9"/>
              </w:rPr>
              <w:t>15618-2018</w:t>
            </w:r>
            <w:r>
              <w:rPr>
                <w:spacing w:val="8"/>
              </w:rPr>
              <w:t xml:space="preserve"> </w:t>
            </w:r>
            <w:r>
              <w:rPr>
                <w:rFonts w:ascii="SimSun" w:hAnsi="SimSun" w:eastAsia="SimSun" w:cs="SimSun"/>
                <w:spacing w:val="8"/>
              </w:rPr>
              <w:t>表</w:t>
            </w:r>
            <w:r>
              <w:rPr>
                <w:rFonts w:ascii="SimSun" w:hAnsi="SimSun" w:eastAsia="SimSun" w:cs="SimSun"/>
                <w:spacing w:val="-20"/>
              </w:rPr>
              <w:t xml:space="preserve"> </w:t>
            </w:r>
            <w:r>
              <w:rPr>
                <w:spacing w:val="8"/>
              </w:rPr>
              <w:t>1 </w:t>
            </w:r>
            <w:r>
              <w:rPr>
                <w:rFonts w:ascii="SimSun" w:hAnsi="SimSun" w:eastAsia="SimSun" w:cs="SimSun"/>
                <w:spacing w:val="8"/>
              </w:rPr>
              <w:t>农</w:t>
            </w:r>
            <w:r>
              <w:rPr>
                <w:rFonts w:ascii="SimSun" w:hAnsi="SimSun" w:eastAsia="SimSun" w:cs="SimSun"/>
                <w:spacing w:val="8"/>
              </w:rPr>
              <w:t>用地土壤污染风险筛选值。</w:t>
            </w:r>
          </w:p>
        </w:tc>
      </w:tr>
    </w:tbl>
    <w:p>
      <w:pPr>
        <w:ind w:left="598"/>
        <w:spacing w:before="174"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4.2.6.3  </w:t>
      </w:r>
      <w:r>
        <w:rPr>
          <w:rFonts w:ascii="SimHei" w:hAnsi="SimHei" w:eastAsia="SimHei" w:cs="SimHei"/>
          <w:sz w:val="24"/>
          <w:szCs w:val="24"/>
          <w:b/>
          <w:bCs/>
          <w:spacing w:val="-2"/>
        </w:rPr>
        <w:t>土壤环境质量现状评价</w:t>
      </w:r>
    </w:p>
    <w:p>
      <w:pPr>
        <w:ind w:left="124" w:right="112" w:firstLine="507"/>
        <w:spacing w:before="162" w:line="338" w:lineRule="auto"/>
        <w:jc w:val="both"/>
        <w:rPr>
          <w:rFonts w:ascii="SimSun" w:hAnsi="SimSun" w:eastAsia="SimSun" w:cs="SimSun"/>
          <w:sz w:val="24"/>
          <w:szCs w:val="24"/>
        </w:rPr>
      </w:pPr>
      <w:r>
        <w:rPr>
          <w:rFonts w:ascii="SimSun" w:hAnsi="SimSun" w:eastAsia="SimSun" w:cs="SimSun"/>
          <w:sz w:val="24"/>
          <w:szCs w:val="24"/>
          <w:spacing w:val="-2"/>
        </w:rPr>
        <w:t>由生态影响型土壤环境质量现状调查结果和检</w:t>
      </w:r>
      <w:r>
        <w:rPr>
          <w:rFonts w:ascii="SimSun" w:hAnsi="SimSun" w:eastAsia="SimSun" w:cs="SimSun"/>
          <w:sz w:val="24"/>
          <w:szCs w:val="24"/>
          <w:spacing w:val="-3"/>
        </w:rPr>
        <w:t>测结果可知，土壤监测点位的土壤表</w:t>
      </w:r>
      <w:r>
        <w:rPr>
          <w:rFonts w:ascii="SimSun" w:hAnsi="SimSun" w:eastAsia="SimSun" w:cs="SimSun"/>
          <w:sz w:val="24"/>
          <w:szCs w:val="24"/>
          <w:spacing w:val="-2"/>
        </w:rPr>
        <w:t>现为轻度盐化；酸化、碱化表现为无酸化或碱化。</w:t>
      </w:r>
      <w:r>
        <w:rPr>
          <w:rFonts w:ascii="Times New Roman" w:hAnsi="Times New Roman" w:eastAsia="Times New Roman" w:cs="Times New Roman"/>
          <w:sz w:val="24"/>
          <w:szCs w:val="24"/>
          <w:spacing w:val="-2"/>
        </w:rPr>
        <w:t>T13~T19</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监测点位的各检测项目均满</w:t>
      </w:r>
      <w:r>
        <w:rPr>
          <w:rFonts w:ascii="SimSun" w:hAnsi="SimSun" w:eastAsia="SimSun" w:cs="SimSun"/>
          <w:sz w:val="24"/>
          <w:szCs w:val="24"/>
        </w:rPr>
        <w:t>足《土壤环境质量 农用地土壤污染风险管控标准（试行）》（</w:t>
      </w:r>
      <w:r>
        <w:rPr>
          <w:rFonts w:ascii="Times New Roman" w:hAnsi="Times New Roman" w:eastAsia="Times New Roman" w:cs="Times New Roman"/>
          <w:sz w:val="24"/>
          <w:szCs w:val="24"/>
        </w:rPr>
        <w:t>GB15618-2018</w:t>
      </w:r>
      <w:r>
        <w:rPr>
          <w:rFonts w:ascii="SimSun" w:hAnsi="SimSun" w:eastAsia="SimSun" w:cs="SimSun"/>
          <w:sz w:val="24"/>
          <w:szCs w:val="24"/>
        </w:rPr>
        <w:t>）标准要</w:t>
      </w:r>
      <w:r>
        <w:rPr>
          <w:rFonts w:ascii="SimSun" w:hAnsi="SimSun" w:eastAsia="SimSun" w:cs="SimSun"/>
          <w:sz w:val="24"/>
          <w:szCs w:val="24"/>
          <w:spacing w:val="-6"/>
        </w:rPr>
        <w:t>求。</w:t>
      </w:r>
    </w:p>
    <w:p>
      <w:pPr>
        <w:ind w:left="122" w:right="112" w:firstLine="456"/>
        <w:spacing w:before="6" w:line="339" w:lineRule="auto"/>
        <w:jc w:val="both"/>
        <w:rPr>
          <w:rFonts w:ascii="SimSun" w:hAnsi="SimSun" w:eastAsia="SimSun" w:cs="SimSun"/>
          <w:sz w:val="24"/>
          <w:szCs w:val="24"/>
        </w:rPr>
      </w:pPr>
      <w:r>
        <w:rPr>
          <w:rFonts w:ascii="SimSun" w:hAnsi="SimSun" w:eastAsia="SimSun" w:cs="SimSun"/>
          <w:sz w:val="24"/>
          <w:szCs w:val="24"/>
          <w:spacing w:val="-1"/>
        </w:rPr>
        <w:t>由污染影响型土壤环境质量现状检测结果可知</w:t>
      </w:r>
      <w:r>
        <w:rPr>
          <w:rFonts w:ascii="SimSun" w:hAnsi="SimSun" w:eastAsia="SimSun" w:cs="SimSun"/>
          <w:sz w:val="24"/>
          <w:szCs w:val="24"/>
          <w:spacing w:val="-2"/>
        </w:rPr>
        <w:t>，</w:t>
      </w:r>
      <w:r>
        <w:rPr>
          <w:rFonts w:ascii="Times New Roman" w:hAnsi="Times New Roman" w:eastAsia="Times New Roman" w:cs="Times New Roman"/>
          <w:sz w:val="24"/>
          <w:szCs w:val="24"/>
          <w:spacing w:val="-2"/>
        </w:rPr>
        <w:t>T1~T4  </w:t>
      </w:r>
      <w:r>
        <w:rPr>
          <w:rFonts w:ascii="SimSun" w:hAnsi="SimSun" w:eastAsia="SimSun" w:cs="SimSun"/>
          <w:sz w:val="24"/>
          <w:szCs w:val="24"/>
          <w:spacing w:val="-2"/>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T7~T12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和监测点位的各</w:t>
      </w:r>
      <w:r>
        <w:rPr>
          <w:rFonts w:ascii="SimSun" w:hAnsi="SimSun" w:eastAsia="SimSun" w:cs="SimSun"/>
          <w:sz w:val="24"/>
          <w:szCs w:val="24"/>
          <w:spacing w:val="13"/>
        </w:rPr>
        <w:t>检测项目均满足《土壤环境质量标准</w:t>
      </w:r>
      <w:r>
        <w:rPr>
          <w:rFonts w:ascii="SimSun" w:hAnsi="SimSun" w:eastAsia="SimSun" w:cs="SimSun"/>
          <w:sz w:val="24"/>
          <w:szCs w:val="24"/>
          <w:spacing w:val="45"/>
        </w:rPr>
        <w:t xml:space="preserve"> </w:t>
      </w:r>
      <w:r>
        <w:rPr>
          <w:rFonts w:ascii="SimSun" w:hAnsi="SimSun" w:eastAsia="SimSun" w:cs="SimSun"/>
          <w:sz w:val="24"/>
          <w:szCs w:val="24"/>
          <w:spacing w:val="13"/>
        </w:rPr>
        <w:t>建设用地土壤</w:t>
      </w:r>
      <w:r>
        <w:rPr>
          <w:rFonts w:ascii="SimSun" w:hAnsi="SimSun" w:eastAsia="SimSun" w:cs="SimSun"/>
          <w:sz w:val="24"/>
          <w:szCs w:val="24"/>
          <w:spacing w:val="12"/>
        </w:rPr>
        <w:t>污染风险管控标准（试行）</w:t>
      </w:r>
      <w:r>
        <w:rPr>
          <w:rFonts w:ascii="SimSun" w:hAnsi="SimSun" w:eastAsia="SimSun" w:cs="SimSun"/>
          <w:sz w:val="24"/>
          <w:szCs w:val="24"/>
          <w:spacing w:val="-66"/>
        </w:rPr>
        <w:t xml:space="preserve"> </w:t>
      </w:r>
      <w:r>
        <w:rPr>
          <w:rFonts w:ascii="SimSun" w:hAnsi="SimSun" w:eastAsia="SimSun" w:cs="SimSun"/>
          <w:sz w:val="24"/>
          <w:szCs w:val="24"/>
          <w:spacing w:val="12"/>
        </w:rPr>
        <w:t>》</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GB36600-2018</w:t>
      </w:r>
      <w:r>
        <w:rPr>
          <w:rFonts w:ascii="SimSun" w:hAnsi="SimSun" w:eastAsia="SimSun" w:cs="SimSun"/>
          <w:sz w:val="24"/>
          <w:szCs w:val="24"/>
          <w:spacing w:val="-3"/>
        </w:rPr>
        <w:t>）第二类建设用地筛选值标准要求；</w:t>
      </w:r>
      <w:r>
        <w:rPr>
          <w:rFonts w:ascii="Times New Roman" w:hAnsi="Times New Roman" w:eastAsia="Times New Roman" w:cs="Times New Roman"/>
          <w:sz w:val="24"/>
          <w:szCs w:val="24"/>
          <w:spacing w:val="-3"/>
        </w:rPr>
        <w:t>T5~T6</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监测点位的各检测项目均满</w:t>
      </w:r>
      <w:r>
        <w:rPr>
          <w:rFonts w:ascii="SimSun" w:hAnsi="SimSun" w:eastAsia="SimSun" w:cs="SimSun"/>
          <w:sz w:val="24"/>
          <w:szCs w:val="24"/>
        </w:rPr>
        <w:t>足《土壤环境质量 农用地土壤污染风险管控标准（试行）》（</w:t>
      </w:r>
      <w:r>
        <w:rPr>
          <w:rFonts w:ascii="Times New Roman" w:hAnsi="Times New Roman" w:eastAsia="Times New Roman" w:cs="Times New Roman"/>
          <w:sz w:val="24"/>
          <w:szCs w:val="24"/>
        </w:rPr>
        <w:t>GB15618-2018</w:t>
      </w:r>
      <w:r>
        <w:rPr>
          <w:rFonts w:ascii="SimSun" w:hAnsi="SimSun" w:eastAsia="SimSun" w:cs="SimSun"/>
          <w:sz w:val="24"/>
          <w:szCs w:val="24"/>
        </w:rPr>
        <w:t>）标准要</w:t>
      </w:r>
      <w:r>
        <w:rPr>
          <w:rFonts w:ascii="SimSun" w:hAnsi="SimSun" w:eastAsia="SimSun" w:cs="SimSun"/>
          <w:sz w:val="24"/>
          <w:szCs w:val="24"/>
          <w:spacing w:val="-5"/>
        </w:rPr>
        <w:t>求。</w:t>
      </w:r>
    </w:p>
    <w:p>
      <w:pPr>
        <w:spacing w:line="339" w:lineRule="auto"/>
        <w:sectPr>
          <w:footerReference w:type="default" r:id="rId342"/>
          <w:pgSz w:w="11906" w:h="16838"/>
          <w:pgMar w:top="1170" w:right="1304" w:bottom="1080" w:left="1303" w:header="837" w:footer="918" w:gutter="0"/>
        </w:sectPr>
        <w:rPr>
          <w:rFonts w:ascii="SimSun" w:hAnsi="SimSun" w:eastAsia="SimSun" w:cs="SimSun"/>
          <w:sz w:val="24"/>
          <w:szCs w:val="24"/>
        </w:rPr>
      </w:pPr>
    </w:p>
    <w:p>
      <w:pPr>
        <w:pStyle w:val="BodyText"/>
        <w:spacing w:line="267" w:lineRule="auto"/>
        <w:rPr/>
      </w:pPr>
      <w:r/>
    </w:p>
    <w:p>
      <w:pPr>
        <w:pStyle w:val="BodyText"/>
        <w:spacing w:line="268" w:lineRule="auto"/>
        <w:rPr/>
      </w:pPr>
      <w:r/>
    </w:p>
    <w:p>
      <w:pPr>
        <w:ind w:left="2798"/>
        <w:spacing w:before="117" w:line="222" w:lineRule="auto"/>
        <w:outlineLvl w:val="0"/>
        <w:rPr>
          <w:rFonts w:ascii="SimHei" w:hAnsi="SimHei" w:eastAsia="SimHei" w:cs="SimHei"/>
          <w:sz w:val="36"/>
          <w:szCs w:val="36"/>
        </w:rPr>
      </w:pPr>
      <w:bookmarkStart w:name="bookmark27" w:id="47"/>
      <w:bookmarkEnd w:id="47"/>
      <w:r>
        <w:rPr>
          <w:rFonts w:ascii="Times New Roman" w:hAnsi="Times New Roman" w:eastAsia="Times New Roman" w:cs="Times New Roman"/>
          <w:sz w:val="36"/>
          <w:szCs w:val="36"/>
          <w:spacing w:val="-2"/>
        </w:rPr>
        <w:t>5 </w:t>
      </w:r>
      <w:r>
        <w:rPr>
          <w:rFonts w:ascii="SimHei" w:hAnsi="SimHei" w:eastAsia="SimHei" w:cs="SimHei"/>
          <w:sz w:val="36"/>
          <w:szCs w:val="36"/>
          <w:spacing w:val="-2"/>
        </w:rPr>
        <w:t>环境影响预测与评价</w:t>
      </w:r>
    </w:p>
    <w:p>
      <w:pPr>
        <w:pStyle w:val="BodyText"/>
        <w:spacing w:line="459" w:lineRule="auto"/>
        <w:rPr/>
      </w:pPr>
      <w:r/>
    </w:p>
    <w:p>
      <w:pPr>
        <w:ind w:left="10"/>
        <w:spacing w:before="97" w:line="222" w:lineRule="auto"/>
        <w:outlineLvl w:val="1"/>
        <w:rPr>
          <w:rFonts w:ascii="SimHei" w:hAnsi="SimHei" w:eastAsia="SimHei" w:cs="SimHei"/>
          <w:sz w:val="30"/>
          <w:szCs w:val="30"/>
        </w:rPr>
      </w:pPr>
      <w:bookmarkStart w:name="bookmark93" w:id="48"/>
      <w:bookmarkEnd w:id="48"/>
      <w:bookmarkStart w:name="bookmark28" w:id="49"/>
      <w:bookmarkEnd w:id="49"/>
      <w:r>
        <w:rPr>
          <w:rFonts w:ascii="Times New Roman" w:hAnsi="Times New Roman" w:eastAsia="Times New Roman" w:cs="Times New Roman"/>
          <w:sz w:val="30"/>
          <w:szCs w:val="30"/>
          <w:b/>
          <w:bCs/>
          <w:spacing w:val="-2"/>
        </w:rPr>
        <w:t>5.1    </w:t>
      </w:r>
      <w:r>
        <w:rPr>
          <w:rFonts w:ascii="SimHei" w:hAnsi="SimHei" w:eastAsia="SimHei" w:cs="SimHei"/>
          <w:sz w:val="30"/>
          <w:szCs w:val="30"/>
          <w:b/>
          <w:bCs/>
          <w:spacing w:val="-2"/>
        </w:rPr>
        <w:t>生态环境影响分析</w:t>
      </w:r>
    </w:p>
    <w:p>
      <w:pPr>
        <w:ind w:left="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5.1.1 </w:t>
      </w:r>
      <w:r>
        <w:rPr>
          <w:rFonts w:ascii="SimHei" w:hAnsi="SimHei" w:eastAsia="SimHei" w:cs="SimHei"/>
          <w:sz w:val="28"/>
          <w:szCs w:val="28"/>
          <w:b/>
          <w:bCs/>
          <w:spacing w:val="-2"/>
        </w:rPr>
        <w:t>建设期生态影响分析与保护措施</w:t>
      </w:r>
    </w:p>
    <w:p>
      <w:pPr>
        <w:ind w:left="7" w:right="66" w:firstLine="482"/>
        <w:spacing w:before="168" w:line="341" w:lineRule="auto"/>
        <w:rPr>
          <w:rFonts w:ascii="SimSun" w:hAnsi="SimSun" w:eastAsia="SimSun" w:cs="SimSun"/>
          <w:sz w:val="24"/>
          <w:szCs w:val="24"/>
        </w:rPr>
      </w:pPr>
      <w:r>
        <w:rPr>
          <w:rFonts w:ascii="SimSun" w:hAnsi="SimSun" w:eastAsia="SimSun" w:cs="SimSun"/>
          <w:sz w:val="24"/>
          <w:szCs w:val="24"/>
          <w:spacing w:val="-2"/>
        </w:rPr>
        <w:t>本项目本次无新增工程占地，本项目基本不涉及建设期工程，本次主要针对运营期</w:t>
      </w:r>
      <w:r>
        <w:rPr>
          <w:rFonts w:ascii="SimSun" w:hAnsi="SimSun" w:eastAsia="SimSun" w:cs="SimSun"/>
          <w:sz w:val="24"/>
          <w:szCs w:val="24"/>
          <w:spacing w:val="-1"/>
        </w:rPr>
        <w:t>进行生态环境影响评价。</w:t>
      </w:r>
    </w:p>
    <w:p>
      <w:pPr>
        <w:ind w:left="9"/>
        <w:spacing w:before="8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5.1.2 </w:t>
      </w:r>
      <w:r>
        <w:rPr>
          <w:rFonts w:ascii="SimHei" w:hAnsi="SimHei" w:eastAsia="SimHei" w:cs="SimHei"/>
          <w:sz w:val="28"/>
          <w:szCs w:val="28"/>
          <w:b/>
          <w:bCs/>
          <w:spacing w:val="-2"/>
        </w:rPr>
        <w:t>运营期环境影响分析</w:t>
      </w:r>
    </w:p>
    <w:p>
      <w:pPr>
        <w:ind w:left="8"/>
        <w:spacing w:before="202" w:line="222" w:lineRule="auto"/>
        <w:rPr>
          <w:rFonts w:ascii="SimHei" w:hAnsi="SimHei" w:eastAsia="SimHei" w:cs="SimHei"/>
          <w:sz w:val="24"/>
          <w:szCs w:val="24"/>
        </w:rPr>
      </w:pPr>
      <w:r>
        <w:rPr>
          <w:rFonts w:ascii="Times New Roman" w:hAnsi="Times New Roman" w:eastAsia="Times New Roman" w:cs="Times New Roman"/>
          <w:sz w:val="24"/>
          <w:szCs w:val="24"/>
          <w:b/>
          <w:bCs/>
          <w:spacing w:val="-3"/>
        </w:rPr>
        <w:t>5.1.2.1</w:t>
      </w:r>
      <w:r>
        <w:rPr>
          <w:rFonts w:ascii="Times New Roman" w:hAnsi="Times New Roman" w:eastAsia="Times New Roman" w:cs="Times New Roman"/>
          <w:sz w:val="24"/>
          <w:szCs w:val="24"/>
          <w:b/>
          <w:bCs/>
          <w:spacing w:val="24"/>
        </w:rPr>
        <w:t xml:space="preserve"> </w:t>
      </w:r>
      <w:r>
        <w:rPr>
          <w:rFonts w:ascii="SimHei" w:hAnsi="SimHei" w:eastAsia="SimHei" w:cs="SimHei"/>
          <w:sz w:val="24"/>
          <w:szCs w:val="24"/>
          <w:b/>
          <w:bCs/>
          <w:spacing w:val="-3"/>
        </w:rPr>
        <w:t>露天区采矿剥离影响分析</w:t>
      </w:r>
    </w:p>
    <w:p>
      <w:pPr>
        <w:ind w:left="5" w:right="66" w:firstLine="484"/>
        <w:spacing w:before="160" w:line="339" w:lineRule="auto"/>
        <w:rPr>
          <w:rFonts w:ascii="SimSun" w:hAnsi="SimSun" w:eastAsia="SimSun" w:cs="SimSun"/>
          <w:sz w:val="24"/>
          <w:szCs w:val="24"/>
        </w:rPr>
      </w:pPr>
      <w:r>
        <w:rPr>
          <w:rFonts w:ascii="SimSun" w:hAnsi="SimSun" w:eastAsia="SimSun" w:cs="SimSun"/>
          <w:sz w:val="24"/>
          <w:szCs w:val="24"/>
          <w:spacing w:val="12"/>
        </w:rPr>
        <w:t>根据矿山开采设计和预测分析，当露天区全部开采完毕，最终露天采坑面积为</w:t>
      </w:r>
      <w:r>
        <w:rPr>
          <w:rFonts w:ascii="Times New Roman" w:hAnsi="Times New Roman" w:eastAsia="Times New Roman" w:cs="Times New Roman"/>
          <w:sz w:val="24"/>
          <w:szCs w:val="24"/>
          <w:spacing w:val="-1"/>
        </w:rPr>
        <w:t>242.51hm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，内排土场面积为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473.6</w:t>
      </w:r>
      <w:r>
        <w:rPr>
          <w:rFonts w:ascii="Times New Roman" w:hAnsi="Times New Roman" w:eastAsia="Times New Roman" w:cs="Times New Roman"/>
          <w:sz w:val="24"/>
          <w:szCs w:val="24"/>
          <w:spacing w:val="-2"/>
        </w:rPr>
        <w:t>3hm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9" w:right="66" w:firstLine="480"/>
        <w:spacing w:before="2" w:line="338" w:lineRule="auto"/>
        <w:jc w:val="both"/>
        <w:rPr>
          <w:rFonts w:ascii="SimSun" w:hAnsi="SimSun" w:eastAsia="SimSun" w:cs="SimSun"/>
          <w:sz w:val="24"/>
          <w:szCs w:val="24"/>
        </w:rPr>
      </w:pPr>
      <w:r>
        <w:rPr>
          <w:rFonts w:ascii="SimSun" w:hAnsi="SimSun" w:eastAsia="SimSun" w:cs="SimSun"/>
          <w:sz w:val="24"/>
          <w:szCs w:val="24"/>
          <w:spacing w:val="-2"/>
        </w:rPr>
        <w:t>本矿为露天开采，开采过程中表土剥离会对土地资源产生直接破坏，具体表现为露</w:t>
      </w:r>
      <w:r>
        <w:rPr>
          <w:rFonts w:ascii="SimSun" w:hAnsi="SimSun" w:eastAsia="SimSun" w:cs="SimSun"/>
          <w:sz w:val="24"/>
          <w:szCs w:val="24"/>
          <w:spacing w:val="-2"/>
        </w:rPr>
        <w:t>天采场的直接挖损。挖损是对原地表形态、地质层组、生物种群的直接破坏，致使原土</w:t>
      </w:r>
      <w:r>
        <w:rPr>
          <w:rFonts w:ascii="SimSun" w:hAnsi="SimSun" w:eastAsia="SimSun" w:cs="SimSun"/>
          <w:sz w:val="24"/>
          <w:szCs w:val="24"/>
          <w:spacing w:val="-2"/>
        </w:rPr>
        <w:t>地不复存在，使区域内的土地资源、植被覆盖度、地形地貌、土壤保水保肥能力等生态</w:t>
      </w:r>
      <w:r>
        <w:rPr>
          <w:rFonts w:ascii="SimSun" w:hAnsi="SimSun" w:eastAsia="SimSun" w:cs="SimSun"/>
          <w:sz w:val="24"/>
          <w:szCs w:val="24"/>
          <w:spacing w:val="-1"/>
        </w:rPr>
        <w:t>因子发生相应的变化。</w:t>
      </w:r>
    </w:p>
    <w:p>
      <w:pPr>
        <w:ind w:left="9" w:right="66" w:firstLine="480"/>
        <w:spacing w:before="1" w:line="339" w:lineRule="auto"/>
        <w:jc w:val="both"/>
        <w:rPr>
          <w:rFonts w:ascii="SimSun" w:hAnsi="SimSun" w:eastAsia="SimSun" w:cs="SimSun"/>
          <w:sz w:val="24"/>
          <w:szCs w:val="24"/>
        </w:rPr>
      </w:pPr>
      <w:r>
        <w:rPr>
          <w:rFonts w:ascii="SimSun" w:hAnsi="SimSun" w:eastAsia="SimSun" w:cs="SimSun"/>
          <w:sz w:val="24"/>
          <w:szCs w:val="24"/>
          <w:spacing w:val="-2"/>
        </w:rPr>
        <w:t>地表剥离将引起矿区一定范围内土壤质地结构的改变，加大土壤的导水性，使土壤</w:t>
      </w:r>
      <w:r>
        <w:rPr>
          <w:rFonts w:ascii="SimSun" w:hAnsi="SimSun" w:eastAsia="SimSun" w:cs="SimSun"/>
          <w:sz w:val="24"/>
          <w:szCs w:val="24"/>
          <w:spacing w:val="-2"/>
        </w:rPr>
        <w:t>水分和养分大大流失，从而降低土壤肥力，直接影响上覆下垫面中的植被，对植被生长</w:t>
      </w:r>
      <w:r>
        <w:rPr>
          <w:rFonts w:ascii="SimSun" w:hAnsi="SimSun" w:eastAsia="SimSun" w:cs="SimSun"/>
          <w:sz w:val="24"/>
          <w:szCs w:val="24"/>
          <w:spacing w:val="-2"/>
        </w:rPr>
        <w:t>构成威胁，使得矿区土地及其临近地区的生物生存条件遭到破坏，生物量减少，生态系</w:t>
      </w:r>
      <w:r>
        <w:rPr>
          <w:rFonts w:ascii="SimSun" w:hAnsi="SimSun" w:eastAsia="SimSun" w:cs="SimSun"/>
          <w:sz w:val="24"/>
          <w:szCs w:val="24"/>
          <w:spacing w:val="-2"/>
        </w:rPr>
        <w:t>统结构受损，功能及稳定性下降，进而引发矿区水土流失和加大土地沙漠化程度。对作</w:t>
      </w:r>
      <w:r>
        <w:rPr>
          <w:rFonts w:ascii="SimSun" w:hAnsi="SimSun" w:eastAsia="SimSun" w:cs="SimSun"/>
          <w:sz w:val="24"/>
          <w:szCs w:val="24"/>
          <w:spacing w:val="-2"/>
        </w:rPr>
        <w:t>为景观载体的土地资源的直观、大量的破坏，也将不可避免地导致矿区原生态系统景观</w:t>
      </w:r>
      <w:r>
        <w:rPr>
          <w:rFonts w:ascii="SimSun" w:hAnsi="SimSun" w:eastAsia="SimSun" w:cs="SimSun"/>
          <w:sz w:val="24"/>
          <w:szCs w:val="24"/>
          <w:spacing w:val="-1"/>
        </w:rPr>
        <w:t>产生改变，如矿区地形地貌大面积破坏，植被退化或消失等。</w:t>
      </w:r>
    </w:p>
    <w:p>
      <w:pPr>
        <w:ind w:left="8"/>
        <w:spacing w:before="25"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5.1.2.2 </w:t>
      </w:r>
      <w:r>
        <w:rPr>
          <w:rFonts w:ascii="SimHei" w:hAnsi="SimHei" w:eastAsia="SimHei" w:cs="SimHei"/>
          <w:sz w:val="24"/>
          <w:szCs w:val="24"/>
          <w:b/>
          <w:bCs/>
          <w:spacing w:val="-2"/>
        </w:rPr>
        <w:t>煤矿开采对地面设施影响分析</w:t>
      </w:r>
    </w:p>
    <w:p>
      <w:pPr>
        <w:ind w:left="508"/>
        <w:spacing w:before="160"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、煤矿开采对牧民的影响</w:t>
      </w:r>
    </w:p>
    <w:p>
      <w:pPr>
        <w:ind w:left="13" w:right="66" w:firstLine="476"/>
        <w:spacing w:before="155" w:line="339" w:lineRule="auto"/>
        <w:rPr>
          <w:rFonts w:ascii="SimSun" w:hAnsi="SimSun" w:eastAsia="SimSun" w:cs="SimSun"/>
          <w:sz w:val="24"/>
          <w:szCs w:val="24"/>
        </w:rPr>
      </w:pPr>
      <w:r>
        <w:rPr>
          <w:rFonts w:ascii="SimSun" w:hAnsi="SimSun" w:eastAsia="SimSun" w:cs="SimSun"/>
          <w:sz w:val="24"/>
          <w:szCs w:val="24"/>
          <w:spacing w:val="-2"/>
        </w:rPr>
        <w:t>根据煤矿提供的资料、现场调查及卫星遥感图像，目前露天区新增可开采范围内未</w:t>
      </w:r>
      <w:r>
        <w:rPr>
          <w:rFonts w:ascii="SimSun" w:hAnsi="SimSun" w:eastAsia="SimSun" w:cs="SimSun"/>
          <w:sz w:val="24"/>
          <w:szCs w:val="24"/>
          <w:spacing w:val="-1"/>
        </w:rPr>
        <w:t>发现牧民点，煤矿开采不会对牧民造成影响。</w:t>
      </w:r>
    </w:p>
    <w:p>
      <w:pPr>
        <w:ind w:left="485"/>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、煤矿开采对输电线路的影响</w:t>
      </w:r>
    </w:p>
    <w:p>
      <w:pPr>
        <w:ind w:left="8" w:firstLine="503"/>
        <w:spacing w:before="156" w:line="338" w:lineRule="auto"/>
        <w:rPr>
          <w:rFonts w:ascii="SimSun" w:hAnsi="SimSun" w:eastAsia="SimSun" w:cs="SimSun"/>
          <w:sz w:val="24"/>
          <w:szCs w:val="24"/>
        </w:rPr>
      </w:pPr>
      <w:r>
        <w:rPr>
          <w:rFonts w:ascii="SimSun" w:hAnsi="SimSun" w:eastAsia="SimSun" w:cs="SimSun"/>
          <w:sz w:val="24"/>
          <w:szCs w:val="24"/>
          <w:spacing w:val="-6"/>
        </w:rPr>
        <w:t>四号露天矿采用双回路</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6"/>
        </w:rPr>
        <w:t>110kV</w:t>
      </w:r>
      <w:r>
        <w:rPr>
          <w:rFonts w:ascii="Times New Roman" w:hAnsi="Times New Roman" w:eastAsia="Times New Roman" w:cs="Times New Roman"/>
          <w:sz w:val="24"/>
          <w:szCs w:val="24"/>
          <w:spacing w:val="37"/>
        </w:rPr>
        <w:t xml:space="preserve"> </w:t>
      </w:r>
      <w:r>
        <w:rPr>
          <w:rFonts w:ascii="SimSun" w:hAnsi="SimSun" w:eastAsia="SimSun" w:cs="SimSun"/>
          <w:sz w:val="24"/>
          <w:szCs w:val="24"/>
          <w:spacing w:val="-6"/>
        </w:rPr>
        <w:t>电源供电，引</w:t>
      </w:r>
      <w:r>
        <w:rPr>
          <w:rFonts w:ascii="SimSun" w:hAnsi="SimSun" w:eastAsia="SimSun" w:cs="SimSun"/>
          <w:sz w:val="24"/>
          <w:szCs w:val="24"/>
          <w:spacing w:val="-72"/>
        </w:rPr>
        <w:t xml:space="preserve"> </w:t>
      </w:r>
      <w:r>
        <w:rPr>
          <w:rFonts w:ascii="SimSun" w:hAnsi="SimSun" w:eastAsia="SimSun" w:cs="SimSun"/>
          <w:sz w:val="24"/>
          <w:szCs w:val="24"/>
          <w:spacing w:val="-6"/>
        </w:rPr>
        <w:t>自高力罕</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220kV </w:t>
      </w:r>
      <w:r>
        <w:rPr>
          <w:rFonts w:ascii="SimSun" w:hAnsi="SimSun" w:eastAsia="SimSun" w:cs="SimSun"/>
          <w:sz w:val="24"/>
          <w:szCs w:val="24"/>
          <w:spacing w:val="-6"/>
        </w:rPr>
        <w:t>变电站的不同母线段，</w:t>
      </w:r>
      <w:r>
        <w:rPr>
          <w:rFonts w:ascii="SimSun" w:hAnsi="SimSun" w:eastAsia="SimSun" w:cs="SimSun"/>
          <w:sz w:val="24"/>
          <w:szCs w:val="24"/>
          <w:spacing w:val="-1"/>
        </w:rPr>
        <w:t>距离高力罕</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220kV </w:t>
      </w:r>
      <w:r>
        <w:rPr>
          <w:rFonts w:ascii="SimSun" w:hAnsi="SimSun" w:eastAsia="SimSun" w:cs="SimSun"/>
          <w:sz w:val="24"/>
          <w:szCs w:val="24"/>
          <w:spacing w:val="-1"/>
        </w:rPr>
        <w:t>变电站最近约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24.</w:t>
      </w:r>
      <w:r>
        <w:rPr>
          <w:rFonts w:ascii="Times New Roman" w:hAnsi="Times New Roman" w:eastAsia="Times New Roman" w:cs="Times New Roman"/>
          <w:sz w:val="24"/>
          <w:szCs w:val="24"/>
          <w:spacing w:val="-2"/>
        </w:rPr>
        <w:t>77km</w:t>
      </w:r>
      <w:r>
        <w:rPr>
          <w:rFonts w:ascii="SimSun" w:hAnsi="SimSun" w:eastAsia="SimSun" w:cs="SimSun"/>
          <w:sz w:val="24"/>
          <w:szCs w:val="24"/>
          <w:spacing w:val="-2"/>
        </w:rPr>
        <w:t>。现有变电站及输电线路不在露天矿采区及排</w:t>
      </w:r>
      <w:r>
        <w:rPr>
          <w:rFonts w:ascii="SimSun" w:hAnsi="SimSun" w:eastAsia="SimSun" w:cs="SimSun"/>
          <w:sz w:val="24"/>
          <w:szCs w:val="24"/>
          <w:spacing w:val="-1"/>
        </w:rPr>
        <w:t>土场范围，露天矿开采不会影响现有输电线路。</w:t>
      </w:r>
    </w:p>
    <w:p>
      <w:pPr>
        <w:ind w:left="489"/>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、煤矿开采对河流河道的影响</w:t>
      </w:r>
    </w:p>
    <w:p>
      <w:pPr>
        <w:spacing w:line="218" w:lineRule="auto"/>
        <w:sectPr>
          <w:headerReference w:type="default" r:id="rId343"/>
          <w:footerReference w:type="default" r:id="rId344"/>
          <w:pgSz w:w="11906" w:h="16838"/>
          <w:pgMar w:top="1194" w:right="1351" w:bottom="1272" w:left="1416" w:header="861" w:footer="1110" w:gutter="0"/>
        </w:sectPr>
        <w:rPr>
          <w:rFonts w:ascii="SimSun" w:hAnsi="SimSun" w:eastAsia="SimSun" w:cs="SimSun"/>
          <w:sz w:val="24"/>
          <w:szCs w:val="24"/>
        </w:rPr>
      </w:pPr>
    </w:p>
    <w:p>
      <w:pPr>
        <w:pStyle w:val="BodyText"/>
        <w:spacing w:line="316" w:lineRule="auto"/>
        <w:rPr/>
      </w:pPr>
      <w:r/>
    </w:p>
    <w:p>
      <w:pPr>
        <w:ind w:left="8" w:right="110" w:firstLine="480"/>
        <w:spacing w:before="78" w:line="338" w:lineRule="auto"/>
        <w:rPr>
          <w:rFonts w:ascii="SimSun" w:hAnsi="SimSun" w:eastAsia="SimSun" w:cs="SimSun"/>
          <w:sz w:val="24"/>
          <w:szCs w:val="24"/>
        </w:rPr>
      </w:pPr>
      <w:r>
        <w:rPr>
          <w:rFonts w:ascii="SimSun" w:hAnsi="SimSun" w:eastAsia="SimSun" w:cs="SimSun"/>
          <w:sz w:val="24"/>
          <w:szCs w:val="24"/>
          <w:spacing w:val="-2"/>
        </w:rPr>
        <w:t>彦吉嘎河流向为南北向，紧贴煤矿边界，属西乌旗境内较大河流，为确保安全，白</w:t>
      </w:r>
      <w:r>
        <w:rPr>
          <w:rFonts w:ascii="SimSun" w:hAnsi="SimSun" w:eastAsia="SimSun" w:cs="SimSun"/>
          <w:sz w:val="24"/>
          <w:szCs w:val="24"/>
          <w:spacing w:val="1"/>
        </w:rPr>
        <w:t>音华海州露天煤矿有限公司于</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2006 </w:t>
      </w:r>
      <w:r>
        <w:rPr>
          <w:rFonts w:ascii="SimSun" w:hAnsi="SimSun" w:eastAsia="SimSun" w:cs="SimSun"/>
          <w:sz w:val="24"/>
          <w:szCs w:val="24"/>
          <w:spacing w:val="1"/>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月</w:t>
      </w:r>
      <w:r>
        <w:rPr>
          <w:rFonts w:ascii="SimSun" w:hAnsi="SimSun" w:eastAsia="SimSun" w:cs="SimSun"/>
          <w:sz w:val="24"/>
          <w:szCs w:val="24"/>
        </w:rPr>
        <w:t>，报送了《彦吉嘎河改道设计简要说明》。</w:t>
      </w:r>
      <w:r>
        <w:rPr>
          <w:rFonts w:ascii="SimSun" w:hAnsi="SimSun" w:eastAsia="SimSun" w:cs="SimSun"/>
          <w:sz w:val="24"/>
          <w:szCs w:val="24"/>
        </w:rPr>
        <w:t>锡林郭勒盟水利局以锡水发［</w:t>
      </w:r>
      <w:r>
        <w:rPr>
          <w:rFonts w:ascii="Times New Roman" w:hAnsi="Times New Roman" w:eastAsia="Times New Roman" w:cs="Times New Roman"/>
          <w:sz w:val="24"/>
          <w:szCs w:val="24"/>
        </w:rPr>
        <w:t>2006</w:t>
      </w:r>
      <w:r>
        <w:rPr>
          <w:rFonts w:ascii="SimSun" w:hAnsi="SimSun" w:eastAsia="SimSun" w:cs="SimSun"/>
          <w:sz w:val="24"/>
          <w:szCs w:val="24"/>
        </w:rPr>
        <w:t>］</w:t>
      </w:r>
      <w:r>
        <w:rPr>
          <w:rFonts w:ascii="Times New Roman" w:hAnsi="Times New Roman" w:eastAsia="Times New Roman" w:cs="Times New Roman"/>
          <w:sz w:val="24"/>
          <w:szCs w:val="24"/>
        </w:rPr>
        <w:t>226</w:t>
      </w:r>
      <w:r>
        <w:rPr>
          <w:rFonts w:ascii="Times New Roman" w:hAnsi="Times New Roman" w:eastAsia="Times New Roman" w:cs="Times New Roman"/>
          <w:sz w:val="24"/>
          <w:szCs w:val="24"/>
          <w:spacing w:val="15"/>
        </w:rPr>
        <w:t xml:space="preserve"> </w:t>
      </w:r>
      <w:r>
        <w:rPr>
          <w:rFonts w:ascii="SimSun" w:hAnsi="SimSun" w:eastAsia="SimSun" w:cs="SimSun"/>
          <w:sz w:val="24"/>
          <w:szCs w:val="24"/>
        </w:rPr>
        <w:t>号文予以批</w:t>
      </w:r>
      <w:r>
        <w:rPr>
          <w:rFonts w:ascii="SimSun" w:hAnsi="SimSun" w:eastAsia="SimSun" w:cs="SimSun"/>
          <w:sz w:val="24"/>
          <w:szCs w:val="24"/>
          <w:spacing w:val="-1"/>
        </w:rPr>
        <w:t>复。根据盟水利局的批复精神，海</w:t>
      </w:r>
      <w:r>
        <w:rPr>
          <w:rFonts w:ascii="SimSun" w:hAnsi="SimSun" w:eastAsia="SimSun" w:cs="SimSun"/>
          <w:sz w:val="24"/>
          <w:szCs w:val="24"/>
          <w:spacing w:val="-3"/>
        </w:rPr>
        <w:t>州矿委托锡盟水利勘测设计队，进行该项工程的初步设计工作，从</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2006 </w:t>
      </w:r>
      <w:r>
        <w:rPr>
          <w:rFonts w:ascii="SimSun" w:hAnsi="SimSun" w:eastAsia="SimSun" w:cs="SimSun"/>
          <w:sz w:val="24"/>
          <w:szCs w:val="24"/>
          <w:spacing w:val="-3"/>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月开始对</w:t>
      </w:r>
      <w:r>
        <w:rPr>
          <w:rFonts w:ascii="SimSun" w:hAnsi="SimSun" w:eastAsia="SimSun" w:cs="SimSun"/>
          <w:sz w:val="24"/>
          <w:szCs w:val="24"/>
          <w:spacing w:val="-2"/>
        </w:rPr>
        <w:t>煤矿内的彦吉嘎河河道全面改道并于</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2007 </w:t>
      </w:r>
      <w:r>
        <w:rPr>
          <w:rFonts w:ascii="SimSun" w:hAnsi="SimSun" w:eastAsia="SimSun" w:cs="SimSun"/>
          <w:sz w:val="24"/>
          <w:szCs w:val="24"/>
          <w:spacing w:val="-2"/>
        </w:rPr>
        <w:t>年</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2"/>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  </w:t>
      </w:r>
      <w:r>
        <w:rPr>
          <w:rFonts w:ascii="SimSun" w:hAnsi="SimSun" w:eastAsia="SimSun" w:cs="SimSun"/>
          <w:sz w:val="24"/>
          <w:szCs w:val="24"/>
          <w:spacing w:val="-2"/>
        </w:rPr>
        <w:t>日对该工程进行了验收，在煤矿</w:t>
      </w:r>
      <w:r>
        <w:rPr>
          <w:rFonts w:ascii="SimSun" w:hAnsi="SimSun" w:eastAsia="SimSun" w:cs="SimSun"/>
          <w:sz w:val="24"/>
          <w:szCs w:val="24"/>
        </w:rPr>
        <w:t>东部开挖建设新河道，使原在煤矿内通过的</w:t>
      </w:r>
      <w:r>
        <w:rPr>
          <w:rFonts w:ascii="SimSun" w:hAnsi="SimSun" w:eastAsia="SimSun" w:cs="SimSun"/>
          <w:sz w:val="24"/>
          <w:szCs w:val="24"/>
          <w:spacing w:val="-1"/>
        </w:rPr>
        <w:t>河道改流绕过煤矿界。</w:t>
      </w:r>
    </w:p>
    <w:p>
      <w:pPr>
        <w:ind w:left="8" w:right="30" w:firstLine="481"/>
        <w:spacing w:before="4" w:line="338" w:lineRule="auto"/>
        <w:jc w:val="both"/>
        <w:rPr>
          <w:rFonts w:ascii="SimSun" w:hAnsi="SimSun" w:eastAsia="SimSun" w:cs="SimSun"/>
          <w:sz w:val="24"/>
          <w:szCs w:val="24"/>
        </w:rPr>
      </w:pPr>
      <w:r>
        <w:rPr>
          <w:rFonts w:ascii="SimSun" w:hAnsi="SimSun" w:eastAsia="SimSun" w:cs="SimSun"/>
          <w:sz w:val="24"/>
          <w:szCs w:val="24"/>
          <w:spacing w:val="-2"/>
        </w:rPr>
        <w:t>本次四号露天矿改建后，彦吉嘎河现有河道与露天矿新增开采范围有重叠，长度约</w:t>
      </w:r>
      <w:r>
        <w:rPr>
          <w:rFonts w:ascii="SimSun" w:hAnsi="SimSun" w:eastAsia="SimSun" w:cs="SimSun"/>
          <w:sz w:val="24"/>
          <w:szCs w:val="24"/>
        </w:rPr>
        <w:t>为</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876m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，露天矿采掘场会破坏现有彦吉嘎河河道，依据辽宁省地质勘查院有限</w:t>
      </w:r>
      <w:r>
        <w:rPr>
          <w:rFonts w:ascii="SimSun" w:hAnsi="SimSun" w:eastAsia="SimSun" w:cs="SimSun"/>
          <w:sz w:val="24"/>
          <w:szCs w:val="24"/>
          <w:spacing w:val="-1"/>
        </w:rPr>
        <w:t>责任公</w:t>
      </w:r>
      <w:r>
        <w:rPr>
          <w:rFonts w:ascii="SimSun" w:hAnsi="SimSun" w:eastAsia="SimSun" w:cs="SimSun"/>
          <w:sz w:val="24"/>
          <w:szCs w:val="24"/>
          <w:spacing w:val="1"/>
        </w:rPr>
        <w:t>司</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年编制的《内蒙古白音华海州露天煤矿有限公司露天矿北帮到界边帮与彦吉嘎</w:t>
      </w:r>
      <w:r>
        <w:rPr>
          <w:rFonts w:ascii="SimSun" w:hAnsi="SimSun" w:eastAsia="SimSun" w:cs="SimSun"/>
          <w:sz w:val="24"/>
          <w:szCs w:val="24"/>
          <w:spacing w:val="-2"/>
        </w:rPr>
        <w:t>河安全距离论证报告》（以下简称安全距离论证报告</w:t>
      </w:r>
      <w:r>
        <w:rPr>
          <w:rFonts w:ascii="SimSun" w:hAnsi="SimSun" w:eastAsia="SimSun" w:cs="SimSun"/>
          <w:sz w:val="24"/>
          <w:szCs w:val="24"/>
          <w:spacing w:val="7"/>
        </w:rPr>
        <w:t>），</w:t>
      </w:r>
      <w:r>
        <w:rPr>
          <w:rFonts w:ascii="SimSun" w:hAnsi="SimSun" w:eastAsia="SimSun" w:cs="SimSun"/>
          <w:sz w:val="24"/>
          <w:szCs w:val="24"/>
          <w:spacing w:val="-2"/>
        </w:rPr>
        <w:t>以与彦吉嘎河改河河道外侧留</w:t>
      </w:r>
      <w:r>
        <w:rPr>
          <w:rFonts w:ascii="SimSun" w:hAnsi="SimSun" w:eastAsia="SimSun" w:cs="SimSun"/>
          <w:sz w:val="24"/>
          <w:szCs w:val="24"/>
          <w:spacing w:val="-4"/>
        </w:rPr>
        <w:t>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80m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安全距离作为地表境界。报告书中针对内蒙古白音华海州露天煤矿有限公司露天</w:t>
      </w:r>
      <w:r>
        <w:rPr>
          <w:rFonts w:ascii="SimSun" w:hAnsi="SimSun" w:eastAsia="SimSun" w:cs="SimSun"/>
          <w:sz w:val="24"/>
          <w:szCs w:val="24"/>
          <w:spacing w:val="-2"/>
        </w:rPr>
        <w:t>矿北帮到界边帮与彦吉嘎河的安全距离，首先通过现场调研、岩土体物理力学实验、建</w:t>
      </w:r>
      <w:r>
        <w:rPr>
          <w:rFonts w:ascii="SimSun" w:hAnsi="SimSun" w:eastAsia="SimSun" w:cs="SimSun"/>
          <w:sz w:val="24"/>
          <w:szCs w:val="24"/>
          <w:spacing w:val="-3"/>
        </w:rPr>
        <w:t>立了三维边坡地质模型等手段</w:t>
      </w:r>
      <w:r>
        <w:rPr>
          <w:rFonts w:ascii="Times New Roman" w:hAnsi="Times New Roman" w:eastAsia="Times New Roman" w:cs="Times New Roman"/>
          <w:sz w:val="24"/>
          <w:szCs w:val="24"/>
          <w:spacing w:val="-3"/>
        </w:rPr>
        <w:t>,</w:t>
      </w:r>
      <w:r>
        <w:rPr>
          <w:rFonts w:ascii="SimSun" w:hAnsi="SimSun" w:eastAsia="SimSun" w:cs="SimSun"/>
          <w:sz w:val="24"/>
          <w:szCs w:val="24"/>
          <w:spacing w:val="-3"/>
        </w:rPr>
        <w:t>获取了边坡岩土体的相关参数，在此基础上设计了两个边</w:t>
      </w:r>
      <w:r>
        <w:rPr>
          <w:rFonts w:ascii="SimSun" w:hAnsi="SimSun" w:eastAsia="SimSun" w:cs="SimSun"/>
          <w:sz w:val="24"/>
          <w:szCs w:val="24"/>
          <w:spacing w:val="-3"/>
        </w:rPr>
        <w:t>坡方案</w:t>
      </w:r>
      <w:r>
        <w:rPr>
          <w:rFonts w:ascii="Times New Roman" w:hAnsi="Times New Roman" w:eastAsia="Times New Roman" w:cs="Times New Roman"/>
          <w:sz w:val="24"/>
          <w:szCs w:val="24"/>
          <w:spacing w:val="-3"/>
        </w:rPr>
        <w:t>:</w:t>
      </w:r>
      <w:r>
        <w:rPr>
          <w:rFonts w:ascii="SimSun" w:hAnsi="SimSun" w:eastAsia="SimSun" w:cs="SimSun"/>
          <w:sz w:val="24"/>
          <w:szCs w:val="24"/>
          <w:spacing w:val="-3"/>
        </w:rPr>
        <w:t>到界边坡方案和贴河道边坡方案，综合考虑保护河道、确保采</w:t>
      </w:r>
      <w:r>
        <w:rPr>
          <w:rFonts w:ascii="SimSun" w:hAnsi="SimSun" w:eastAsia="SimSun" w:cs="SimSun"/>
          <w:sz w:val="24"/>
          <w:szCs w:val="24"/>
          <w:spacing w:val="-4"/>
        </w:rPr>
        <w:t>场边坡的稳定与安</w:t>
      </w:r>
      <w:r>
        <w:rPr>
          <w:rFonts w:ascii="SimSun" w:hAnsi="SimSun" w:eastAsia="SimSun" w:cs="SimSun"/>
          <w:sz w:val="24"/>
          <w:szCs w:val="24"/>
          <w:spacing w:val="-2"/>
        </w:rPr>
        <w:t>全和采矿权开采范围等因素并根据不同边坡角的稳定性以及水对边坡稳定性的影响，确</w:t>
      </w:r>
      <w:r>
        <w:rPr>
          <w:rFonts w:ascii="SimSun" w:hAnsi="SimSun" w:eastAsia="SimSun" w:cs="SimSun"/>
          <w:sz w:val="24"/>
          <w:szCs w:val="24"/>
          <w:spacing w:val="-3"/>
        </w:rPr>
        <w:t>定了白音华海州露天矿北帮到界边帮与底吉嘎河的安全距离约为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80m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，边坡角</w:t>
      </w:r>
      <w:r>
        <w:rPr>
          <w:rFonts w:ascii="SimSun" w:hAnsi="SimSun" w:eastAsia="SimSun" w:cs="SimSun"/>
          <w:sz w:val="24"/>
          <w:szCs w:val="24"/>
          <w:spacing w:val="-4"/>
        </w:rPr>
        <w:t>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w:t>
      </w:r>
      <w:r>
        <w:rPr>
          <w:rFonts w:ascii="SimSun" w:hAnsi="SimSun" w:eastAsia="SimSun" w:cs="SimSun"/>
          <w:sz w:val="24"/>
          <w:szCs w:val="24"/>
        </w:rPr>
        <w:t>随后，通过数值模拟对设计的安全距离进行了验证，确</w:t>
      </w:r>
      <w:r>
        <w:rPr>
          <w:rFonts w:ascii="SimSun" w:hAnsi="SimSun" w:eastAsia="SimSun" w:cs="SimSun"/>
          <w:sz w:val="24"/>
          <w:szCs w:val="24"/>
          <w:spacing w:val="-1"/>
        </w:rPr>
        <w:t>保其合理性和可靠性。</w:t>
      </w:r>
    </w:p>
    <w:p>
      <w:pPr>
        <w:ind w:left="15" w:firstLine="474"/>
        <w:spacing w:before="1" w:line="338" w:lineRule="auto"/>
        <w:jc w:val="both"/>
        <w:rPr>
          <w:rFonts w:ascii="SimSun" w:hAnsi="SimSun" w:eastAsia="SimSun" w:cs="SimSun"/>
          <w:sz w:val="24"/>
          <w:szCs w:val="24"/>
        </w:rPr>
      </w:pPr>
      <w:r>
        <w:rPr>
          <w:rFonts w:ascii="SimSun" w:hAnsi="SimSun" w:eastAsia="SimSun" w:cs="SimSun"/>
          <w:sz w:val="24"/>
          <w:szCs w:val="24"/>
          <w:spacing w:val="-5"/>
        </w:rPr>
        <w:t>根据《内蒙古自治区西乌珠穆沁旗白音华矿区总体规划（修编）环境影响补充</w:t>
      </w:r>
      <w:r>
        <w:rPr>
          <w:rFonts w:ascii="SimSun" w:hAnsi="SimSun" w:eastAsia="SimSun" w:cs="SimSun"/>
          <w:sz w:val="24"/>
          <w:szCs w:val="24"/>
          <w:spacing w:val="-6"/>
        </w:rPr>
        <w:t>报告》</w:t>
      </w:r>
      <w:r>
        <w:rPr>
          <w:rFonts w:ascii="SimSun" w:hAnsi="SimSun" w:eastAsia="SimSun" w:cs="SimSun"/>
          <w:sz w:val="24"/>
          <w:szCs w:val="24"/>
        </w:rPr>
        <w:t xml:space="preserve"> </w:t>
      </w:r>
      <w:r>
        <w:rPr>
          <w:rFonts w:ascii="SimSun" w:hAnsi="SimSun" w:eastAsia="SimSun" w:cs="SimSun"/>
          <w:sz w:val="24"/>
          <w:szCs w:val="24"/>
          <w:spacing w:val="-2"/>
        </w:rPr>
        <w:t>（以下简称总规环评补充报告）的相关保护要求，规划调整后四号露天矿露天区对彦吉</w:t>
      </w:r>
      <w:r>
        <w:rPr>
          <w:rFonts w:ascii="SimSun" w:hAnsi="SimSun" w:eastAsia="SimSun" w:cs="SimSun"/>
          <w:sz w:val="24"/>
          <w:szCs w:val="24"/>
          <w:spacing w:val="1"/>
        </w:rPr>
        <w:t>嘎河河道管理范围设置</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1"/>
        </w:rPr>
        <w:t>80m</w:t>
      </w:r>
      <w:r>
        <w:rPr>
          <w:rFonts w:ascii="SimSun" w:hAnsi="SimSun" w:eastAsia="SimSun" w:cs="SimSun"/>
          <w:sz w:val="24"/>
          <w:szCs w:val="24"/>
          <w:spacing w:val="1"/>
        </w:rPr>
        <w:t>保护范围。</w:t>
      </w:r>
    </w:p>
    <w:p>
      <w:pPr>
        <w:ind w:left="7" w:right="110" w:firstLine="480"/>
        <w:spacing w:line="339" w:lineRule="auto"/>
        <w:jc w:val="both"/>
        <w:rPr>
          <w:rFonts w:ascii="SimSun" w:hAnsi="SimSun" w:eastAsia="SimSun" w:cs="SimSun"/>
          <w:sz w:val="24"/>
          <w:szCs w:val="24"/>
        </w:rPr>
      </w:pPr>
      <w:r>
        <w:rPr>
          <w:rFonts w:ascii="SimSun" w:hAnsi="SimSun" w:eastAsia="SimSun" w:cs="SimSun"/>
          <w:sz w:val="24"/>
          <w:szCs w:val="24"/>
          <w:spacing w:val="-2"/>
        </w:rPr>
        <w:t>河道管理范围位于河道岸线外，彦吉嘎河位于本次调整开采范围区域中的河道边界</w:t>
      </w:r>
      <w:r>
        <w:rPr>
          <w:rFonts w:ascii="SimSun" w:hAnsi="SimSun" w:eastAsia="SimSun" w:cs="SimSun"/>
          <w:sz w:val="24"/>
          <w:szCs w:val="24"/>
        </w:rPr>
        <w:t>距离河道管理范围边界最近距离约</w:t>
      </w:r>
      <w:r>
        <w:rPr>
          <w:rFonts w:ascii="SimSun" w:hAnsi="SimSun" w:eastAsia="SimSun" w:cs="SimSun"/>
          <w:sz w:val="24"/>
          <w:szCs w:val="24"/>
          <w:spacing w:val="-25"/>
        </w:rPr>
        <w:t xml:space="preserve"> </w:t>
      </w:r>
      <w:r>
        <w:rPr>
          <w:rFonts w:ascii="Times New Roman" w:hAnsi="Times New Roman" w:eastAsia="Times New Roman" w:cs="Times New Roman"/>
          <w:sz w:val="24"/>
          <w:szCs w:val="24"/>
        </w:rPr>
        <w:t>13m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，河道管理范围</w:t>
      </w:r>
      <w:r>
        <w:rPr>
          <w:rFonts w:ascii="SimSun" w:hAnsi="SimSun" w:eastAsia="SimSun" w:cs="SimSun"/>
          <w:sz w:val="24"/>
          <w:szCs w:val="24"/>
          <w:spacing w:val="-1"/>
        </w:rPr>
        <w:t>外</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80m</w:t>
      </w:r>
      <w:r>
        <w:rPr>
          <w:rFonts w:ascii="Times New Roman" w:hAnsi="Times New Roman" w:eastAsia="Times New Roman" w:cs="Times New Roman"/>
          <w:sz w:val="24"/>
          <w:szCs w:val="24"/>
          <w:spacing w:val="34"/>
          <w:w w:val="101"/>
        </w:rPr>
        <w:t xml:space="preserve"> </w:t>
      </w:r>
      <w:r>
        <w:rPr>
          <w:rFonts w:ascii="SimSun" w:hAnsi="SimSun" w:eastAsia="SimSun" w:cs="SimSun"/>
          <w:sz w:val="24"/>
          <w:szCs w:val="24"/>
          <w:spacing w:val="-1"/>
        </w:rPr>
        <w:t>的保护范围能满足安全</w:t>
      </w:r>
      <w:r>
        <w:rPr>
          <w:rFonts w:ascii="SimSun" w:hAnsi="SimSun" w:eastAsia="SimSun" w:cs="SimSun"/>
          <w:sz w:val="24"/>
          <w:szCs w:val="24"/>
          <w:spacing w:val="-4"/>
        </w:rPr>
        <w:t>论证报告中河道外</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80m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安全距离的要求，结合《安全距离论证报告》及《总规环评补充</w:t>
      </w:r>
      <w:r>
        <w:rPr>
          <w:rFonts w:ascii="SimSun" w:hAnsi="SimSun" w:eastAsia="SimSun" w:cs="SimSun"/>
          <w:sz w:val="24"/>
          <w:szCs w:val="24"/>
          <w:spacing w:val="-1"/>
        </w:rPr>
        <w:t>报告》的相关要求。</w:t>
      </w:r>
    </w:p>
    <w:p>
      <w:pPr>
        <w:ind w:left="8"/>
        <w:spacing w:before="2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5.1.2.3 </w:t>
      </w:r>
      <w:r>
        <w:rPr>
          <w:rFonts w:ascii="SimHei" w:hAnsi="SimHei" w:eastAsia="SimHei" w:cs="SimHei"/>
          <w:sz w:val="24"/>
          <w:szCs w:val="24"/>
          <w:b/>
          <w:bCs/>
          <w:spacing w:val="-2"/>
        </w:rPr>
        <w:t>煤矿开采对生态环境及功能的影响分析</w:t>
      </w:r>
    </w:p>
    <w:p>
      <w:pPr>
        <w:ind w:left="508"/>
        <w:spacing w:before="160"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、煤矿开采对地形地貌的影响分析</w:t>
      </w:r>
    </w:p>
    <w:p>
      <w:pPr>
        <w:ind w:left="9" w:right="110" w:firstLine="480"/>
        <w:spacing w:before="157" w:line="338" w:lineRule="auto"/>
        <w:rPr>
          <w:rFonts w:ascii="SimSun" w:hAnsi="SimSun" w:eastAsia="SimSun" w:cs="SimSun"/>
          <w:sz w:val="24"/>
          <w:szCs w:val="24"/>
        </w:rPr>
      </w:pPr>
      <w:r>
        <w:rPr>
          <w:rFonts w:ascii="SimSun" w:hAnsi="SimSun" w:eastAsia="SimSun" w:cs="SimSun"/>
          <w:sz w:val="24"/>
          <w:szCs w:val="24"/>
          <w:spacing w:val="-2"/>
        </w:rPr>
        <w:t>本矿区地处内蒙古中东部，大兴安岭西坡南段之北侧。井田系缓丘陵地带，剥蚀堆</w:t>
      </w:r>
      <w:r>
        <w:rPr>
          <w:rFonts w:ascii="SimSun" w:hAnsi="SimSun" w:eastAsia="SimSun" w:cs="SimSun"/>
          <w:sz w:val="24"/>
          <w:szCs w:val="24"/>
        </w:rPr>
        <w:t>积地形，冲洪积平原地表为广阔的草原，标高</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960.0</w:t>
      </w:r>
      <w:r>
        <w:rPr>
          <w:rFonts w:ascii="SimSun" w:hAnsi="SimSun" w:eastAsia="SimSun" w:cs="SimSun"/>
          <w:sz w:val="24"/>
          <w:szCs w:val="24"/>
        </w:rPr>
        <w:t>～</w:t>
      </w:r>
      <w:r>
        <w:rPr>
          <w:rFonts w:ascii="Times New Roman" w:hAnsi="Times New Roman" w:eastAsia="Times New Roman" w:cs="Times New Roman"/>
          <w:sz w:val="24"/>
          <w:szCs w:val="24"/>
        </w:rPr>
        <w:t>978.0m</w:t>
      </w:r>
      <w:r>
        <w:rPr>
          <w:rFonts w:ascii="Times New Roman" w:hAnsi="Times New Roman" w:eastAsia="Times New Roman" w:cs="Times New Roman"/>
          <w:sz w:val="24"/>
          <w:szCs w:val="24"/>
          <w:spacing w:val="-25"/>
        </w:rPr>
        <w:t xml:space="preserve"> </w:t>
      </w:r>
      <w:r>
        <w:rPr>
          <w:rFonts w:ascii="SimSun" w:hAnsi="SimSun" w:eastAsia="SimSun" w:cs="SimSun"/>
          <w:sz w:val="24"/>
          <w:szCs w:val="24"/>
        </w:rPr>
        <w:t>，相对高</w:t>
      </w:r>
      <w:r>
        <w:rPr>
          <w:rFonts w:ascii="SimSun" w:hAnsi="SimSun" w:eastAsia="SimSun" w:cs="SimSun"/>
          <w:sz w:val="24"/>
          <w:szCs w:val="24"/>
          <w:spacing w:val="-1"/>
        </w:rPr>
        <w:t>差</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18.0m</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，南高</w:t>
      </w:r>
      <w:r>
        <w:rPr>
          <w:rFonts w:ascii="SimSun" w:hAnsi="SimSun" w:eastAsia="SimSun" w:cs="SimSun"/>
          <w:sz w:val="24"/>
          <w:szCs w:val="24"/>
          <w:spacing w:val="-4"/>
        </w:rPr>
        <w:t>北低。</w:t>
      </w:r>
    </w:p>
    <w:p>
      <w:pPr>
        <w:ind w:left="10" w:right="110" w:firstLine="484"/>
        <w:spacing w:before="1" w:line="339" w:lineRule="auto"/>
        <w:rPr>
          <w:rFonts w:ascii="SimSun" w:hAnsi="SimSun" w:eastAsia="SimSun" w:cs="SimSun"/>
          <w:sz w:val="24"/>
          <w:szCs w:val="24"/>
        </w:rPr>
      </w:pPr>
      <w:r>
        <w:rPr>
          <w:rFonts w:ascii="SimSun" w:hAnsi="SimSun" w:eastAsia="SimSun" w:cs="SimSun"/>
          <w:sz w:val="24"/>
          <w:szCs w:val="24"/>
          <w:spacing w:val="-2"/>
        </w:rPr>
        <w:t>露天区采掘场挖损和排土场剥离物堆放压占土地都将造成原地表形态的破坏。露天</w:t>
      </w:r>
      <w:r>
        <w:rPr>
          <w:rFonts w:ascii="SimSun" w:hAnsi="SimSun" w:eastAsia="SimSun" w:cs="SimSun"/>
          <w:sz w:val="24"/>
          <w:szCs w:val="24"/>
          <w:spacing w:val="-2"/>
        </w:rPr>
        <w:t>开采与排土彻底改变了原地形地貌，使原来平坦的地形地貌在人工干扰下转为采掘场区</w:t>
      </w:r>
    </w:p>
    <w:p>
      <w:pPr>
        <w:spacing w:line="339" w:lineRule="auto"/>
        <w:sectPr>
          <w:headerReference w:type="default" r:id="rId345"/>
          <w:footerReference w:type="default" r:id="rId346"/>
          <w:pgSz w:w="11906" w:h="16838"/>
          <w:pgMar w:top="1194" w:right="1306" w:bottom="1272" w:left="1416" w:header="861" w:footer="1110" w:gutter="0"/>
        </w:sectPr>
        <w:rPr>
          <w:rFonts w:ascii="SimSun" w:hAnsi="SimSun" w:eastAsia="SimSun" w:cs="SimSun"/>
          <w:sz w:val="24"/>
          <w:szCs w:val="24"/>
        </w:rPr>
      </w:pPr>
    </w:p>
    <w:p>
      <w:pPr>
        <w:pStyle w:val="BodyText"/>
        <w:spacing w:line="311" w:lineRule="auto"/>
        <w:rPr/>
      </w:pPr>
      <w:r/>
    </w:p>
    <w:p>
      <w:pPr>
        <w:ind w:left="29"/>
        <w:spacing w:before="78" w:line="219" w:lineRule="auto"/>
        <w:rPr>
          <w:rFonts w:ascii="SimSun" w:hAnsi="SimSun" w:eastAsia="SimSun" w:cs="SimSun"/>
          <w:sz w:val="24"/>
          <w:szCs w:val="24"/>
        </w:rPr>
      </w:pPr>
      <w:r>
        <w:rPr>
          <w:rFonts w:ascii="SimSun" w:hAnsi="SimSun" w:eastAsia="SimSun" w:cs="SimSun"/>
          <w:sz w:val="24"/>
          <w:szCs w:val="24"/>
          <w:spacing w:val="-1"/>
        </w:rPr>
        <w:t>的人工挖损地貌，内排土场表现为边坡与平台相间的人工</w:t>
      </w:r>
      <w:r>
        <w:rPr>
          <w:rFonts w:ascii="SimSun" w:hAnsi="SimSun" w:eastAsia="SimSun" w:cs="SimSun"/>
          <w:sz w:val="24"/>
          <w:szCs w:val="24"/>
          <w:spacing w:val="-2"/>
        </w:rPr>
        <w:t>地貌。</w:t>
      </w:r>
    </w:p>
    <w:p>
      <w:pPr>
        <w:ind w:left="9" w:right="85" w:firstLine="480"/>
        <w:spacing w:before="156" w:line="338" w:lineRule="auto"/>
        <w:jc w:val="both"/>
        <w:rPr>
          <w:rFonts w:ascii="SimSun" w:hAnsi="SimSun" w:eastAsia="SimSun" w:cs="SimSun"/>
          <w:sz w:val="24"/>
          <w:szCs w:val="24"/>
        </w:rPr>
      </w:pPr>
      <w:r>
        <w:rPr>
          <w:rFonts w:ascii="SimSun" w:hAnsi="SimSun" w:eastAsia="SimSun" w:cs="SimSun"/>
          <w:sz w:val="24"/>
          <w:szCs w:val="24"/>
          <w:spacing w:val="-2"/>
        </w:rPr>
        <w:t>根据矿山开采设计和预测分析，当露天区全部开采完毕，会形成遗留采坑，最终采</w:t>
      </w:r>
      <w:r>
        <w:rPr>
          <w:rFonts w:ascii="SimSun" w:hAnsi="SimSun" w:eastAsia="SimSun" w:cs="SimSun"/>
          <w:sz w:val="24"/>
          <w:szCs w:val="24"/>
          <w:spacing w:val="-3"/>
        </w:rPr>
        <w:t>坑面积为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242.51hm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，内排土场平台面积为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473.63hm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。随着生态整治工作的开展，内外</w:t>
      </w:r>
      <w:r>
        <w:rPr>
          <w:rFonts w:ascii="SimSun" w:hAnsi="SimSun" w:eastAsia="SimSun" w:cs="SimSun"/>
          <w:sz w:val="24"/>
          <w:szCs w:val="24"/>
          <w:spacing w:val="-2"/>
        </w:rPr>
        <w:t>排土场削坡整形后会逐渐恢复到原始标高，遗留采坑逐步恢复植被。总体而言，露天区</w:t>
      </w:r>
      <w:r>
        <w:rPr>
          <w:rFonts w:ascii="SimSun" w:hAnsi="SimSun" w:eastAsia="SimSun" w:cs="SimSun"/>
          <w:sz w:val="24"/>
          <w:szCs w:val="24"/>
          <w:spacing w:val="-1"/>
        </w:rPr>
        <w:t>开采对地表形态、地形地貌的影响较大。</w:t>
      </w:r>
    </w:p>
    <w:p>
      <w:pPr>
        <w:ind w:left="485"/>
        <w:spacing w:line="218"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、煤矿开采对植被影响分析</w:t>
      </w:r>
    </w:p>
    <w:p>
      <w:pPr>
        <w:ind w:left="8" w:firstLine="515"/>
        <w:spacing w:before="159" w:line="338" w:lineRule="auto"/>
        <w:rPr>
          <w:rFonts w:ascii="SimSun" w:hAnsi="SimSun" w:eastAsia="SimSun" w:cs="SimSun"/>
          <w:sz w:val="24"/>
          <w:szCs w:val="24"/>
        </w:rPr>
      </w:pPr>
      <w:r>
        <w:rPr>
          <w:rFonts w:ascii="SimSun" w:hAnsi="SimSun" w:eastAsia="SimSun" w:cs="SimSun"/>
          <w:sz w:val="24"/>
          <w:szCs w:val="24"/>
          <w:spacing w:val="-3"/>
        </w:rPr>
        <w:t>白音华煤田地处内蒙古中东部大兴安岭西坡南段之北侧，分布于近北东向展布的白</w:t>
      </w:r>
      <w:r>
        <w:rPr>
          <w:rFonts w:ascii="SimSun" w:hAnsi="SimSun" w:eastAsia="SimSun" w:cs="SimSun"/>
          <w:sz w:val="24"/>
          <w:szCs w:val="24"/>
          <w:spacing w:val="-2"/>
        </w:rPr>
        <w:t>音华盆地内。盆地两侧为宽缓的低山，盆地内部地势开阔平坦，地形总体南高北低，为</w:t>
      </w:r>
      <w:r>
        <w:rPr>
          <w:rFonts w:ascii="SimSun" w:hAnsi="SimSun" w:eastAsia="SimSun" w:cs="SimSun"/>
          <w:sz w:val="24"/>
          <w:szCs w:val="24"/>
        </w:rPr>
        <w:t>草原地貌，局部分布沼泽，海拔标高在</w:t>
      </w:r>
      <w:r>
        <w:rPr>
          <w:rFonts w:ascii="SimSun" w:hAnsi="SimSun" w:eastAsia="SimSun" w:cs="SimSun"/>
          <w:sz w:val="24"/>
          <w:szCs w:val="24"/>
          <w:spacing w:val="-16"/>
        </w:rPr>
        <w:t xml:space="preserve"> </w:t>
      </w:r>
      <w:r>
        <w:rPr>
          <w:rFonts w:ascii="Times New Roman" w:hAnsi="Times New Roman" w:eastAsia="Times New Roman" w:cs="Times New Roman"/>
          <w:sz w:val="24"/>
          <w:szCs w:val="24"/>
        </w:rPr>
        <w:t>1129m</w:t>
      </w:r>
      <w:r>
        <w:rPr>
          <w:rFonts w:ascii="SimSun" w:hAnsi="SimSun" w:eastAsia="SimSun" w:cs="SimSun"/>
          <w:sz w:val="24"/>
          <w:szCs w:val="24"/>
        </w:rPr>
        <w:t>～</w:t>
      </w:r>
      <w:r>
        <w:rPr>
          <w:rFonts w:ascii="Times New Roman" w:hAnsi="Times New Roman" w:eastAsia="Times New Roman" w:cs="Times New Roman"/>
          <w:sz w:val="24"/>
          <w:szCs w:val="24"/>
        </w:rPr>
        <w:t>920m </w:t>
      </w:r>
      <w:r>
        <w:rPr>
          <w:rFonts w:ascii="SimSun" w:hAnsi="SimSun" w:eastAsia="SimSun" w:cs="SimSun"/>
          <w:sz w:val="24"/>
          <w:szCs w:val="24"/>
        </w:rPr>
        <w:t>之间。工作区地形平坦。矿区地</w:t>
      </w:r>
      <w:r>
        <w:rPr>
          <w:rFonts w:ascii="SimSun" w:hAnsi="SimSun" w:eastAsia="SimSun" w:cs="SimSun"/>
          <w:sz w:val="24"/>
          <w:szCs w:val="24"/>
          <w:spacing w:val="-5"/>
        </w:rPr>
        <w:t>貌按成因类型分为侵蚀型地貌和堆积地貌。堆积</w:t>
      </w:r>
      <w:r>
        <w:rPr>
          <w:rFonts w:ascii="SimSun" w:hAnsi="SimSun" w:eastAsia="SimSun" w:cs="SimSun"/>
          <w:sz w:val="24"/>
          <w:szCs w:val="24"/>
          <w:spacing w:val="-6"/>
        </w:rPr>
        <w:t>地貌区主要有沼泽化平原、冲洪积平原、</w:t>
      </w:r>
      <w:r>
        <w:rPr>
          <w:rFonts w:ascii="SimSun" w:hAnsi="SimSun" w:eastAsia="SimSun" w:cs="SimSun"/>
          <w:sz w:val="24"/>
          <w:szCs w:val="24"/>
          <w:spacing w:val="-2"/>
        </w:rPr>
        <w:t>风积沙地等。</w:t>
      </w:r>
    </w:p>
    <w:p>
      <w:pPr>
        <w:ind w:left="10" w:right="85" w:firstLine="508"/>
        <w:spacing w:before="3" w:line="338" w:lineRule="auto"/>
        <w:jc w:val="both"/>
        <w:rPr>
          <w:rFonts w:ascii="SimSun" w:hAnsi="SimSun" w:eastAsia="SimSun" w:cs="SimSun"/>
          <w:sz w:val="24"/>
          <w:szCs w:val="24"/>
        </w:rPr>
      </w:pPr>
      <w:r>
        <w:rPr>
          <w:rFonts w:ascii="SimSun" w:hAnsi="SimSun" w:eastAsia="SimSun" w:cs="SimSun"/>
          <w:sz w:val="24"/>
          <w:szCs w:val="24"/>
          <w:spacing w:val="-2"/>
        </w:rPr>
        <w:t>由于受气候、地形、植被等因素影响，项目地</w:t>
      </w:r>
      <w:r>
        <w:rPr>
          <w:rFonts w:ascii="SimSun" w:hAnsi="SimSun" w:eastAsia="SimSun" w:cs="SimSun"/>
          <w:sz w:val="24"/>
          <w:szCs w:val="24"/>
          <w:spacing w:val="-3"/>
        </w:rPr>
        <w:t>区分布有为暗栗钙土、潮土、草甸土</w:t>
      </w:r>
      <w:r>
        <w:rPr>
          <w:rFonts w:ascii="SimSun" w:hAnsi="SimSun" w:eastAsia="SimSun" w:cs="SimSun"/>
          <w:sz w:val="24"/>
          <w:szCs w:val="24"/>
          <w:spacing w:val="-2"/>
        </w:rPr>
        <w:t>和沼泽土。其中项目区内主要土壤类型为沼泽土、草甸土。项目区主要位于岭西山麓森</w:t>
      </w:r>
      <w:r>
        <w:rPr>
          <w:rFonts w:ascii="SimSun" w:hAnsi="SimSun" w:eastAsia="SimSun" w:cs="SimSun"/>
          <w:sz w:val="24"/>
          <w:szCs w:val="24"/>
          <w:spacing w:val="-2"/>
        </w:rPr>
        <w:t>林草原区，广泛分布着含丰富杂类草的大针茅草原和羊草草原。项目区内原分布有彦吉</w:t>
      </w:r>
      <w:r>
        <w:rPr>
          <w:rFonts w:ascii="SimSun" w:hAnsi="SimSun" w:eastAsia="SimSun" w:cs="SimSun"/>
          <w:sz w:val="24"/>
          <w:szCs w:val="24"/>
          <w:spacing w:val="-2"/>
        </w:rPr>
        <w:t>嘎河旧河道，区域河滩草甸比较发达，并形成盐渍化沼泽湿地，特别是芦苇发展良好，</w:t>
      </w:r>
      <w:r>
        <w:rPr>
          <w:rFonts w:ascii="SimSun" w:hAnsi="SimSun" w:eastAsia="SimSun" w:cs="SimSun"/>
          <w:sz w:val="24"/>
          <w:szCs w:val="24"/>
          <w:spacing w:val="-1"/>
        </w:rPr>
        <w:t>同时生长有芨芨草盐生草甸。</w:t>
      </w:r>
    </w:p>
    <w:p>
      <w:pPr>
        <w:ind w:left="10" w:right="85" w:firstLine="480"/>
        <w:spacing w:before="2" w:line="338" w:lineRule="auto"/>
        <w:rPr>
          <w:rFonts w:ascii="SimSun" w:hAnsi="SimSun" w:eastAsia="SimSun" w:cs="SimSun"/>
          <w:sz w:val="24"/>
          <w:szCs w:val="24"/>
        </w:rPr>
      </w:pPr>
      <w:r>
        <w:rPr>
          <w:rFonts w:ascii="SimSun" w:hAnsi="SimSun" w:eastAsia="SimSun" w:cs="SimSun"/>
          <w:sz w:val="24"/>
          <w:szCs w:val="24"/>
          <w:spacing w:val="-2"/>
        </w:rPr>
        <w:t>本次露天区改建后，新增的采掘场预计会破坏拂子茅、野大麦、芨芨草等河滩草甸</w:t>
      </w:r>
      <w:r>
        <w:rPr>
          <w:rFonts w:ascii="SimSun" w:hAnsi="SimSun" w:eastAsia="SimSun" w:cs="SimSun"/>
          <w:sz w:val="24"/>
          <w:szCs w:val="24"/>
          <w:spacing w:val="-2"/>
        </w:rPr>
        <w:t>面积</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0.31km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2"/>
        </w:rPr>
        <w:t>，羊草、丛生禾草草原面积</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2.22km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2"/>
        </w:rPr>
        <w:t>，一共占用植被面积约为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2.53km</w:t>
      </w:r>
      <w:r>
        <w:rPr>
          <w:rFonts w:ascii="Times New Roman" w:hAnsi="Times New Roman" w:eastAsia="Times New Roman" w:cs="Times New Roman"/>
          <w:sz w:val="15"/>
          <w:szCs w:val="15"/>
          <w:spacing w:val="-2"/>
          <w:position w:val="7"/>
        </w:rPr>
        <w:t>2</w:t>
      </w:r>
      <w:r>
        <w:rPr>
          <w:rFonts w:ascii="SimSun" w:hAnsi="SimSun" w:eastAsia="SimSun" w:cs="SimSun"/>
          <w:sz w:val="24"/>
          <w:szCs w:val="24"/>
          <w:spacing w:val="-2"/>
        </w:rPr>
        <w:t>。</w:t>
      </w:r>
    </w:p>
    <w:p>
      <w:pPr>
        <w:ind w:left="10" w:right="85" w:firstLine="508"/>
        <w:spacing w:before="2" w:line="339" w:lineRule="auto"/>
        <w:jc w:val="both"/>
        <w:rPr>
          <w:rFonts w:ascii="SimSun" w:hAnsi="SimSun" w:eastAsia="SimSun" w:cs="SimSun"/>
          <w:sz w:val="24"/>
          <w:szCs w:val="24"/>
        </w:rPr>
      </w:pPr>
      <w:r>
        <w:rPr>
          <w:rFonts w:ascii="SimSun" w:hAnsi="SimSun" w:eastAsia="SimSun" w:cs="SimSun"/>
          <w:sz w:val="24"/>
          <w:szCs w:val="24"/>
          <w:spacing w:val="-2"/>
        </w:rPr>
        <w:t>由于露天区已实现内排，其对草原的破坏和恢</w:t>
      </w:r>
      <w:r>
        <w:rPr>
          <w:rFonts w:ascii="SimSun" w:hAnsi="SimSun" w:eastAsia="SimSun" w:cs="SimSun"/>
          <w:sz w:val="24"/>
          <w:szCs w:val="24"/>
          <w:spacing w:val="-3"/>
        </w:rPr>
        <w:t>复将达到一个平衡，到界的内排及时</w:t>
      </w:r>
      <w:r>
        <w:rPr>
          <w:rFonts w:ascii="SimSun" w:hAnsi="SimSun" w:eastAsia="SimSun" w:cs="SimSun"/>
          <w:sz w:val="24"/>
          <w:szCs w:val="24"/>
          <w:spacing w:val="-2"/>
        </w:rPr>
        <w:t>恢复植被后，草原面积会增加，评价区内植被第一性生产力也会有所回升，草地生态系</w:t>
      </w:r>
      <w:r>
        <w:rPr>
          <w:rFonts w:ascii="SimSun" w:hAnsi="SimSun" w:eastAsia="SimSun" w:cs="SimSun"/>
          <w:sz w:val="24"/>
          <w:szCs w:val="24"/>
          <w:spacing w:val="-2"/>
        </w:rPr>
        <w:t>统的稳定性与完整性得到保障。因此，必须制定合理的生态修复与重建方案，及时对达</w:t>
      </w:r>
      <w:r>
        <w:rPr>
          <w:rFonts w:ascii="SimSun" w:hAnsi="SimSun" w:eastAsia="SimSun" w:cs="SimSun"/>
          <w:sz w:val="24"/>
          <w:szCs w:val="24"/>
          <w:spacing w:val="-2"/>
        </w:rPr>
        <w:t>到排土高度的排土场进行生态重建工作，逐渐恢复区域植被覆盖度，改善区域的生态环</w:t>
      </w:r>
      <w:r>
        <w:rPr>
          <w:rFonts w:ascii="SimSun" w:hAnsi="SimSun" w:eastAsia="SimSun" w:cs="SimSun"/>
          <w:sz w:val="24"/>
          <w:szCs w:val="24"/>
          <w:spacing w:val="-6"/>
        </w:rPr>
        <w:t>境。</w:t>
      </w:r>
    </w:p>
    <w:p>
      <w:pPr>
        <w:spacing w:line="339" w:lineRule="auto"/>
        <w:sectPr>
          <w:headerReference w:type="default" r:id="rId347"/>
          <w:footerReference w:type="default" r:id="rId348"/>
          <w:pgSz w:w="11906" w:h="16838"/>
          <w:pgMar w:top="1194" w:right="1332" w:bottom="1272" w:left="1416" w:header="861" w:footer="1110" w:gutter="0"/>
        </w:sectPr>
        <w:rPr>
          <w:rFonts w:ascii="SimSun" w:hAnsi="SimSun" w:eastAsia="SimSun" w:cs="SimSun"/>
          <w:sz w:val="24"/>
          <w:szCs w:val="24"/>
        </w:rPr>
      </w:pPr>
    </w:p>
    <w:p>
      <w:pPr>
        <w:pStyle w:val="BodyText"/>
        <w:spacing w:line="312" w:lineRule="auto"/>
        <w:rPr/>
      </w:pPr>
      <w:r/>
    </w:p>
    <w:p>
      <w:pPr>
        <w:ind w:left="2626"/>
        <w:spacing w:before="78" w:line="221" w:lineRule="auto"/>
        <w:rPr>
          <w:rFonts w:ascii="SimHei" w:hAnsi="SimHei" w:eastAsia="SimHei" w:cs="SimHei"/>
          <w:sz w:val="24"/>
          <w:szCs w:val="24"/>
        </w:rPr>
      </w:pPr>
      <w:r>
        <w:rPr>
          <w:rFonts w:ascii="SimHei" w:hAnsi="SimHei" w:eastAsia="SimHei" w:cs="SimHei"/>
          <w:sz w:val="24"/>
          <w:szCs w:val="24"/>
          <w:spacing w:val="-2"/>
        </w:rPr>
        <w:t>露天区开采对植被类型的影响预测结果</w:t>
      </w:r>
    </w:p>
    <w:p>
      <w:pPr>
        <w:ind w:left="120"/>
        <w:spacing w:before="37"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5-1-5</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497"/>
        <w:gridCol w:w="1276"/>
        <w:gridCol w:w="1274"/>
        <w:gridCol w:w="1300"/>
        <w:gridCol w:w="1276"/>
        <w:gridCol w:w="1669"/>
      </w:tblGrid>
      <w:tr>
        <w:trPr>
          <w:trHeight w:val="335" w:hRule="atLeast"/>
        </w:trPr>
        <w:tc>
          <w:tcPr>
            <w:tcW w:w="2497" w:type="dxa"/>
            <w:vAlign w:val="top"/>
            <w:vMerge w:val="restart"/>
            <w:tcBorders>
              <w:bottom w:val="nil"/>
            </w:tcBorders>
          </w:tcPr>
          <w:p>
            <w:pPr>
              <w:spacing w:line="271" w:lineRule="auto"/>
              <w:rPr>
                <w:rFonts w:ascii="Arial"/>
                <w:sz w:val="21"/>
              </w:rPr>
            </w:pPr>
            <w:r/>
          </w:p>
          <w:p>
            <w:pPr>
              <w:ind w:left="1044"/>
              <w:spacing w:before="65" w:line="228" w:lineRule="auto"/>
              <w:rPr>
                <w:rFonts w:ascii="SimSun" w:hAnsi="SimSun" w:eastAsia="SimSun" w:cs="SimSun"/>
                <w:sz w:val="20"/>
                <w:szCs w:val="20"/>
              </w:rPr>
            </w:pPr>
            <w:r>
              <w:rPr>
                <w:rFonts w:ascii="SimSun" w:hAnsi="SimSun" w:eastAsia="SimSun" w:cs="SimSun"/>
                <w:sz w:val="20"/>
                <w:szCs w:val="20"/>
                <w:spacing w:val="4"/>
              </w:rPr>
              <w:t>类型</w:t>
            </w:r>
          </w:p>
        </w:tc>
        <w:tc>
          <w:tcPr>
            <w:tcW w:w="2550" w:type="dxa"/>
            <w:vAlign w:val="top"/>
            <w:gridSpan w:val="2"/>
          </w:tcPr>
          <w:p>
            <w:pPr>
              <w:ind w:left="1071"/>
              <w:spacing w:before="62" w:line="228" w:lineRule="auto"/>
              <w:rPr>
                <w:rFonts w:ascii="SimSun" w:hAnsi="SimSun" w:eastAsia="SimSun" w:cs="SimSun"/>
                <w:sz w:val="20"/>
                <w:szCs w:val="20"/>
              </w:rPr>
            </w:pPr>
            <w:r>
              <w:rPr>
                <w:rFonts w:ascii="SimSun" w:hAnsi="SimSun" w:eastAsia="SimSun" w:cs="SimSun"/>
                <w:sz w:val="20"/>
                <w:szCs w:val="20"/>
                <w:spacing w:val="3"/>
              </w:rPr>
              <w:t>现状</w:t>
            </w:r>
          </w:p>
        </w:tc>
        <w:tc>
          <w:tcPr>
            <w:tcW w:w="4245" w:type="dxa"/>
            <w:vAlign w:val="top"/>
            <w:gridSpan w:val="3"/>
          </w:tcPr>
          <w:p>
            <w:pPr>
              <w:ind w:left="1820"/>
              <w:spacing w:before="62" w:line="228" w:lineRule="auto"/>
              <w:rPr>
                <w:rFonts w:ascii="SimSun" w:hAnsi="SimSun" w:eastAsia="SimSun" w:cs="SimSun"/>
                <w:sz w:val="20"/>
                <w:szCs w:val="20"/>
              </w:rPr>
            </w:pPr>
            <w:r>
              <w:rPr>
                <w:rFonts w:ascii="SimSun" w:hAnsi="SimSun" w:eastAsia="SimSun" w:cs="SimSun"/>
                <w:sz w:val="20"/>
                <w:szCs w:val="20"/>
                <w:spacing w:val="4"/>
              </w:rPr>
              <w:t>改建后</w:t>
            </w:r>
          </w:p>
        </w:tc>
      </w:tr>
      <w:tr>
        <w:trPr>
          <w:trHeight w:val="549" w:hRule="atLeast"/>
        </w:trPr>
        <w:tc>
          <w:tcPr>
            <w:tcW w:w="2497" w:type="dxa"/>
            <w:vAlign w:val="top"/>
            <w:vMerge w:val="continue"/>
            <w:tcBorders>
              <w:top w:val="nil"/>
            </w:tcBorders>
          </w:tcPr>
          <w:p>
            <w:pPr>
              <w:rPr>
                <w:rFonts w:ascii="Arial"/>
                <w:sz w:val="21"/>
              </w:rPr>
            </w:pPr>
            <w:r/>
          </w:p>
        </w:tc>
        <w:tc>
          <w:tcPr>
            <w:tcW w:w="1276" w:type="dxa"/>
            <w:vAlign w:val="top"/>
          </w:tcPr>
          <w:p>
            <w:pPr>
              <w:pStyle w:val="TableText"/>
              <w:spacing w:before="167" w:line="228" w:lineRule="auto"/>
              <w:jc w:val="right"/>
              <w:rPr>
                <w:rFonts w:ascii="SimSun" w:hAnsi="SimSun" w:eastAsia="SimSun" w:cs="SimSun"/>
              </w:rPr>
            </w:pPr>
            <w:r>
              <w:rPr>
                <w:rFonts w:ascii="SimSun" w:hAnsi="SimSun" w:eastAsia="SimSun" w:cs="SimSun"/>
                <w:spacing w:val="-7"/>
              </w:rPr>
              <w:t>总面积（</w:t>
            </w:r>
            <w:r>
              <w:rPr>
                <w:spacing w:val="-7"/>
              </w:rPr>
              <w:t>km</w:t>
            </w:r>
            <w:r>
              <w:rPr>
                <w:sz w:val="13"/>
                <w:szCs w:val="13"/>
                <w:spacing w:val="-7"/>
                <w:position w:val="6"/>
              </w:rPr>
              <w:t>2</w:t>
            </w:r>
            <w:r>
              <w:rPr>
                <w:rFonts w:ascii="SimSun" w:hAnsi="SimSun" w:eastAsia="SimSun" w:cs="SimSun"/>
                <w:spacing w:val="-7"/>
              </w:rPr>
              <w:t>）</w:t>
            </w:r>
          </w:p>
        </w:tc>
        <w:tc>
          <w:tcPr>
            <w:tcW w:w="1274" w:type="dxa"/>
            <w:vAlign w:val="top"/>
          </w:tcPr>
          <w:p>
            <w:pPr>
              <w:ind w:left="115"/>
              <w:spacing w:before="167" w:line="228" w:lineRule="auto"/>
              <w:rPr>
                <w:rFonts w:ascii="SimSun" w:hAnsi="SimSun" w:eastAsia="SimSun" w:cs="SimSun"/>
                <w:sz w:val="20"/>
                <w:szCs w:val="20"/>
              </w:rPr>
            </w:pPr>
            <w:r>
              <w:rPr>
                <w:rFonts w:ascii="SimSun" w:hAnsi="SimSun" w:eastAsia="SimSun" w:cs="SimSun"/>
                <w:sz w:val="20"/>
                <w:szCs w:val="20"/>
                <w:spacing w:val="8"/>
              </w:rPr>
              <w:t>所占百分比</w:t>
            </w:r>
          </w:p>
        </w:tc>
        <w:tc>
          <w:tcPr>
            <w:tcW w:w="1300" w:type="dxa"/>
            <w:vAlign w:val="top"/>
          </w:tcPr>
          <w:p>
            <w:pPr>
              <w:pStyle w:val="TableText"/>
              <w:spacing w:before="167" w:line="228" w:lineRule="auto"/>
              <w:jc w:val="right"/>
              <w:rPr>
                <w:rFonts w:ascii="SimSun" w:hAnsi="SimSun" w:eastAsia="SimSun" w:cs="SimSun"/>
              </w:rPr>
            </w:pPr>
            <w:r>
              <w:rPr>
                <w:rFonts w:ascii="SimSun" w:hAnsi="SimSun" w:eastAsia="SimSun" w:cs="SimSun"/>
                <w:spacing w:val="-4"/>
              </w:rPr>
              <w:t>总面积（</w:t>
            </w:r>
            <w:r>
              <w:rPr>
                <w:spacing w:val="-4"/>
              </w:rPr>
              <w:t>km</w:t>
            </w:r>
            <w:r>
              <w:rPr>
                <w:sz w:val="13"/>
                <w:szCs w:val="13"/>
                <w:spacing w:val="-4"/>
                <w:position w:val="6"/>
              </w:rPr>
              <w:t>2</w:t>
            </w:r>
            <w:r>
              <w:rPr>
                <w:rFonts w:ascii="SimSun" w:hAnsi="SimSun" w:eastAsia="SimSun" w:cs="SimSun"/>
                <w:spacing w:val="-4"/>
              </w:rPr>
              <w:t>）</w:t>
            </w:r>
          </w:p>
        </w:tc>
        <w:tc>
          <w:tcPr>
            <w:tcW w:w="1276" w:type="dxa"/>
            <w:vAlign w:val="top"/>
          </w:tcPr>
          <w:p>
            <w:pPr>
              <w:ind w:left="119"/>
              <w:spacing w:before="167" w:line="228" w:lineRule="auto"/>
              <w:rPr>
                <w:rFonts w:ascii="SimSun" w:hAnsi="SimSun" w:eastAsia="SimSun" w:cs="SimSun"/>
                <w:sz w:val="20"/>
                <w:szCs w:val="20"/>
              </w:rPr>
            </w:pPr>
            <w:r>
              <w:rPr>
                <w:rFonts w:ascii="SimSun" w:hAnsi="SimSun" w:eastAsia="SimSun" w:cs="SimSun"/>
                <w:sz w:val="20"/>
                <w:szCs w:val="20"/>
                <w:spacing w:val="8"/>
              </w:rPr>
              <w:t>所占百分比</w:t>
            </w:r>
          </w:p>
        </w:tc>
        <w:tc>
          <w:tcPr>
            <w:tcW w:w="1669" w:type="dxa"/>
            <w:vAlign w:val="top"/>
          </w:tcPr>
          <w:p>
            <w:pPr>
              <w:ind w:left="109"/>
              <w:spacing w:before="29" w:line="228" w:lineRule="auto"/>
              <w:rPr>
                <w:rFonts w:ascii="SimSun" w:hAnsi="SimSun" w:eastAsia="SimSun" w:cs="SimSun"/>
                <w:sz w:val="20"/>
                <w:szCs w:val="20"/>
              </w:rPr>
            </w:pPr>
            <w:r>
              <w:rPr>
                <w:rFonts w:ascii="SimSun" w:hAnsi="SimSun" w:eastAsia="SimSun" w:cs="SimSun"/>
                <w:sz w:val="20"/>
                <w:szCs w:val="20"/>
                <w:spacing w:val="8"/>
              </w:rPr>
              <w:t>与现状面积变化</w:t>
            </w:r>
          </w:p>
          <w:p>
            <w:pPr>
              <w:pStyle w:val="TableText"/>
              <w:ind w:left="471"/>
              <w:spacing w:before="27" w:line="217" w:lineRule="auto"/>
              <w:rPr>
                <w:rFonts w:ascii="SimSun" w:hAnsi="SimSun" w:eastAsia="SimSun" w:cs="SimSun"/>
              </w:rPr>
            </w:pPr>
            <w:r>
              <w:rPr>
                <w:rFonts w:ascii="SimSun" w:hAnsi="SimSun" w:eastAsia="SimSun" w:cs="SimSun"/>
                <w:spacing w:val="3"/>
              </w:rPr>
              <w:t>（</w:t>
            </w:r>
            <w:r>
              <w:rPr/>
              <w:t>km</w:t>
            </w:r>
            <w:r>
              <w:rPr>
                <w:sz w:val="13"/>
                <w:szCs w:val="13"/>
                <w:spacing w:val="3"/>
                <w:position w:val="6"/>
              </w:rPr>
              <w:t>2</w:t>
            </w:r>
            <w:r>
              <w:rPr>
                <w:rFonts w:ascii="SimSun" w:hAnsi="SimSun" w:eastAsia="SimSun" w:cs="SimSun"/>
                <w:spacing w:val="3"/>
              </w:rPr>
              <w:t>）</w:t>
            </w:r>
          </w:p>
        </w:tc>
      </w:tr>
      <w:tr>
        <w:trPr>
          <w:trHeight w:val="331" w:hRule="atLeast"/>
        </w:trPr>
        <w:tc>
          <w:tcPr>
            <w:tcW w:w="2497" w:type="dxa"/>
            <w:vAlign w:val="top"/>
          </w:tcPr>
          <w:p>
            <w:pPr>
              <w:ind w:left="2"/>
              <w:spacing w:before="58" w:line="228" w:lineRule="auto"/>
              <w:rPr>
                <w:rFonts w:ascii="SimSun" w:hAnsi="SimSun" w:eastAsia="SimSun" w:cs="SimSun"/>
                <w:sz w:val="20"/>
                <w:szCs w:val="20"/>
              </w:rPr>
            </w:pPr>
            <w:r>
              <w:rPr>
                <w:rFonts w:ascii="SimSun" w:hAnsi="SimSun" w:eastAsia="SimSun" w:cs="SimSun"/>
                <w:sz w:val="20"/>
                <w:szCs w:val="20"/>
                <w:spacing w:val="8"/>
              </w:rPr>
              <w:t>羊草、线叶菊等草甸草原</w:t>
            </w:r>
          </w:p>
        </w:tc>
        <w:tc>
          <w:tcPr>
            <w:tcW w:w="1276" w:type="dxa"/>
            <w:vAlign w:val="top"/>
          </w:tcPr>
          <w:p>
            <w:pPr>
              <w:pStyle w:val="TableText"/>
              <w:ind w:left="474"/>
              <w:spacing w:before="94" w:line="195" w:lineRule="auto"/>
              <w:rPr/>
            </w:pPr>
            <w:r>
              <w:rPr>
                <w:spacing w:val="-2"/>
              </w:rPr>
              <w:t>1.41</w:t>
            </w:r>
          </w:p>
        </w:tc>
        <w:tc>
          <w:tcPr>
            <w:tcW w:w="1274" w:type="dxa"/>
            <w:vAlign w:val="top"/>
          </w:tcPr>
          <w:p>
            <w:pPr>
              <w:pStyle w:val="TableText"/>
              <w:ind w:left="336"/>
              <w:spacing w:before="94" w:line="195" w:lineRule="auto"/>
              <w:rPr/>
            </w:pPr>
            <w:r>
              <w:rPr>
                <w:spacing w:val="-1"/>
              </w:rPr>
              <w:t>11.44%</w:t>
            </w:r>
          </w:p>
        </w:tc>
        <w:tc>
          <w:tcPr>
            <w:tcW w:w="1300" w:type="dxa"/>
            <w:vAlign w:val="top"/>
          </w:tcPr>
          <w:p>
            <w:pPr>
              <w:pStyle w:val="TableText"/>
              <w:ind w:left="487"/>
              <w:spacing w:before="94" w:line="195" w:lineRule="auto"/>
              <w:rPr/>
            </w:pPr>
            <w:r>
              <w:rPr>
                <w:spacing w:val="-2"/>
              </w:rPr>
              <w:t>1.41</w:t>
            </w:r>
          </w:p>
        </w:tc>
        <w:tc>
          <w:tcPr>
            <w:tcW w:w="1276" w:type="dxa"/>
            <w:vAlign w:val="top"/>
          </w:tcPr>
          <w:p>
            <w:pPr>
              <w:pStyle w:val="TableText"/>
              <w:ind w:left="339"/>
              <w:spacing w:before="94" w:line="195" w:lineRule="auto"/>
              <w:rPr/>
            </w:pPr>
            <w:r>
              <w:rPr>
                <w:spacing w:val="-1"/>
              </w:rPr>
              <w:t>11.42%</w:t>
            </w:r>
          </w:p>
        </w:tc>
        <w:tc>
          <w:tcPr>
            <w:tcW w:w="1669" w:type="dxa"/>
            <w:vAlign w:val="top"/>
          </w:tcPr>
          <w:p>
            <w:pPr>
              <w:pStyle w:val="TableText"/>
              <w:ind w:left="786"/>
              <w:spacing w:before="94" w:line="195" w:lineRule="auto"/>
              <w:rPr/>
            </w:pPr>
            <w:r>
              <w:rPr/>
              <w:t>0</w:t>
            </w:r>
          </w:p>
        </w:tc>
      </w:tr>
      <w:tr>
        <w:trPr>
          <w:trHeight w:val="656" w:hRule="atLeast"/>
        </w:trPr>
        <w:tc>
          <w:tcPr>
            <w:tcW w:w="2497" w:type="dxa"/>
            <w:vAlign w:val="top"/>
          </w:tcPr>
          <w:p>
            <w:pPr>
              <w:spacing w:before="58" w:line="227" w:lineRule="auto"/>
              <w:jc w:val="right"/>
              <w:rPr>
                <w:rFonts w:ascii="SimSun" w:hAnsi="SimSun" w:eastAsia="SimSun" w:cs="SimSun"/>
                <w:sz w:val="20"/>
                <w:szCs w:val="20"/>
              </w:rPr>
            </w:pPr>
            <w:r>
              <w:rPr>
                <w:rFonts w:ascii="SimSun" w:hAnsi="SimSun" w:eastAsia="SimSun" w:cs="SimSun"/>
                <w:sz w:val="20"/>
                <w:szCs w:val="20"/>
                <w:spacing w:val="7"/>
              </w:rPr>
              <w:t>拂子茅、野大麦、芨芨草等</w:t>
            </w:r>
          </w:p>
          <w:p>
            <w:pPr>
              <w:ind w:left="835"/>
              <w:spacing w:before="80" w:line="228" w:lineRule="auto"/>
              <w:rPr>
                <w:rFonts w:ascii="SimSun" w:hAnsi="SimSun" w:eastAsia="SimSun" w:cs="SimSun"/>
                <w:sz w:val="20"/>
                <w:szCs w:val="20"/>
              </w:rPr>
            </w:pPr>
            <w:r>
              <w:rPr>
                <w:rFonts w:ascii="SimSun" w:hAnsi="SimSun" w:eastAsia="SimSun" w:cs="SimSun"/>
                <w:sz w:val="20"/>
                <w:szCs w:val="20"/>
                <w:spacing w:val="7"/>
              </w:rPr>
              <w:t>河滩草甸</w:t>
            </w:r>
          </w:p>
        </w:tc>
        <w:tc>
          <w:tcPr>
            <w:tcW w:w="1276" w:type="dxa"/>
            <w:vAlign w:val="top"/>
          </w:tcPr>
          <w:p>
            <w:pPr>
              <w:pStyle w:val="TableText"/>
              <w:ind w:left="457"/>
              <w:spacing w:before="258" w:line="195" w:lineRule="auto"/>
              <w:rPr/>
            </w:pPr>
            <w:r>
              <w:rPr>
                <w:spacing w:val="2"/>
              </w:rPr>
              <w:t>0.56</w:t>
            </w:r>
          </w:p>
        </w:tc>
        <w:tc>
          <w:tcPr>
            <w:tcW w:w="1274" w:type="dxa"/>
            <w:vAlign w:val="top"/>
          </w:tcPr>
          <w:p>
            <w:pPr>
              <w:pStyle w:val="TableText"/>
              <w:ind w:left="365"/>
              <w:spacing w:before="258" w:line="195" w:lineRule="auto"/>
              <w:rPr/>
            </w:pPr>
            <w:r>
              <w:rPr>
                <w:spacing w:val="4"/>
              </w:rPr>
              <w:t>4.54%</w:t>
            </w:r>
          </w:p>
        </w:tc>
        <w:tc>
          <w:tcPr>
            <w:tcW w:w="1300" w:type="dxa"/>
            <w:vAlign w:val="top"/>
          </w:tcPr>
          <w:p>
            <w:pPr>
              <w:pStyle w:val="TableText"/>
              <w:ind w:left="470"/>
              <w:spacing w:before="258" w:line="195" w:lineRule="auto"/>
              <w:rPr/>
            </w:pPr>
            <w:r>
              <w:rPr>
                <w:spacing w:val="2"/>
              </w:rPr>
              <w:t>0.25</w:t>
            </w:r>
          </w:p>
        </w:tc>
        <w:tc>
          <w:tcPr>
            <w:tcW w:w="1276" w:type="dxa"/>
            <w:vAlign w:val="top"/>
          </w:tcPr>
          <w:p>
            <w:pPr>
              <w:pStyle w:val="TableText"/>
              <w:ind w:left="369"/>
              <w:spacing w:before="258" w:line="195" w:lineRule="auto"/>
              <w:rPr/>
            </w:pPr>
            <w:r>
              <w:rPr>
                <w:spacing w:val="4"/>
              </w:rPr>
              <w:t>2.02%</w:t>
            </w:r>
          </w:p>
        </w:tc>
        <w:tc>
          <w:tcPr>
            <w:tcW w:w="1669" w:type="dxa"/>
            <w:vAlign w:val="top"/>
          </w:tcPr>
          <w:p>
            <w:pPr>
              <w:pStyle w:val="TableText"/>
              <w:ind w:left="622"/>
              <w:spacing w:before="258" w:line="195" w:lineRule="auto"/>
              <w:rPr/>
            </w:pPr>
            <w:r>
              <w:rPr>
                <w:spacing w:val="2"/>
              </w:rPr>
              <w:t>-0.31</w:t>
            </w:r>
          </w:p>
        </w:tc>
      </w:tr>
      <w:tr>
        <w:trPr>
          <w:trHeight w:val="330" w:hRule="atLeast"/>
        </w:trPr>
        <w:tc>
          <w:tcPr>
            <w:tcW w:w="2497" w:type="dxa"/>
            <w:vAlign w:val="top"/>
          </w:tcPr>
          <w:p>
            <w:pPr>
              <w:ind w:left="316"/>
              <w:spacing w:before="60" w:line="228" w:lineRule="auto"/>
              <w:rPr>
                <w:rFonts w:ascii="SimSun" w:hAnsi="SimSun" w:eastAsia="SimSun" w:cs="SimSun"/>
                <w:sz w:val="20"/>
                <w:szCs w:val="20"/>
              </w:rPr>
            </w:pPr>
            <w:r>
              <w:rPr>
                <w:rFonts w:ascii="SimSun" w:hAnsi="SimSun" w:eastAsia="SimSun" w:cs="SimSun"/>
                <w:sz w:val="20"/>
                <w:szCs w:val="20"/>
                <w:spacing w:val="8"/>
              </w:rPr>
              <w:t>羊草、丛生禾草草原</w:t>
            </w:r>
          </w:p>
        </w:tc>
        <w:tc>
          <w:tcPr>
            <w:tcW w:w="1276" w:type="dxa"/>
            <w:vAlign w:val="top"/>
          </w:tcPr>
          <w:p>
            <w:pPr>
              <w:pStyle w:val="TableText"/>
              <w:ind w:left="454"/>
              <w:spacing w:before="96" w:line="195" w:lineRule="auto"/>
              <w:rPr/>
            </w:pPr>
            <w:r>
              <w:rPr>
                <w:spacing w:val="3"/>
              </w:rPr>
              <w:t>2.59</w:t>
            </w:r>
          </w:p>
        </w:tc>
        <w:tc>
          <w:tcPr>
            <w:tcW w:w="1274" w:type="dxa"/>
            <w:vAlign w:val="top"/>
          </w:tcPr>
          <w:p>
            <w:pPr>
              <w:pStyle w:val="TableText"/>
              <w:ind w:left="313"/>
              <w:spacing w:before="96" w:line="195" w:lineRule="auto"/>
              <w:rPr/>
            </w:pPr>
            <w:r>
              <w:rPr>
                <w:spacing w:val="4"/>
              </w:rPr>
              <w:t>20.95%</w:t>
            </w:r>
          </w:p>
        </w:tc>
        <w:tc>
          <w:tcPr>
            <w:tcW w:w="1300" w:type="dxa"/>
            <w:vAlign w:val="top"/>
          </w:tcPr>
          <w:p>
            <w:pPr>
              <w:pStyle w:val="TableText"/>
              <w:ind w:left="470"/>
              <w:spacing w:before="96" w:line="195" w:lineRule="auto"/>
              <w:rPr/>
            </w:pPr>
            <w:r>
              <w:rPr>
                <w:spacing w:val="2"/>
              </w:rPr>
              <w:t>0.37</w:t>
            </w:r>
          </w:p>
        </w:tc>
        <w:tc>
          <w:tcPr>
            <w:tcW w:w="1276" w:type="dxa"/>
            <w:vAlign w:val="top"/>
          </w:tcPr>
          <w:p>
            <w:pPr>
              <w:pStyle w:val="TableText"/>
              <w:ind w:left="422"/>
              <w:spacing w:before="96" w:line="195" w:lineRule="auto"/>
              <w:rPr/>
            </w:pPr>
            <w:r>
              <w:rPr>
                <w:spacing w:val="4"/>
              </w:rPr>
              <w:t>2.3%</w:t>
            </w:r>
          </w:p>
        </w:tc>
        <w:tc>
          <w:tcPr>
            <w:tcW w:w="1669" w:type="dxa"/>
            <w:vAlign w:val="top"/>
          </w:tcPr>
          <w:p>
            <w:pPr>
              <w:pStyle w:val="TableText"/>
              <w:ind w:left="622"/>
              <w:spacing w:before="96" w:line="195" w:lineRule="auto"/>
              <w:rPr/>
            </w:pPr>
            <w:r>
              <w:rPr>
                <w:spacing w:val="2"/>
              </w:rPr>
              <w:t>-2.22</w:t>
            </w:r>
          </w:p>
        </w:tc>
      </w:tr>
      <w:tr>
        <w:trPr>
          <w:trHeight w:val="330" w:hRule="atLeast"/>
        </w:trPr>
        <w:tc>
          <w:tcPr>
            <w:tcW w:w="2497" w:type="dxa"/>
            <w:vAlign w:val="top"/>
          </w:tcPr>
          <w:p>
            <w:pPr>
              <w:ind w:left="940"/>
              <w:spacing w:before="61" w:line="228" w:lineRule="auto"/>
              <w:rPr>
                <w:rFonts w:ascii="SimSun" w:hAnsi="SimSun" w:eastAsia="SimSun" w:cs="SimSun"/>
                <w:sz w:val="20"/>
                <w:szCs w:val="20"/>
              </w:rPr>
            </w:pPr>
            <w:r>
              <w:rPr>
                <w:rFonts w:ascii="SimSun" w:hAnsi="SimSun" w:eastAsia="SimSun" w:cs="SimSun"/>
                <w:sz w:val="20"/>
                <w:szCs w:val="20"/>
                <w:spacing w:val="6"/>
              </w:rPr>
              <w:t>无植被</w:t>
            </w:r>
          </w:p>
        </w:tc>
        <w:tc>
          <w:tcPr>
            <w:tcW w:w="1276" w:type="dxa"/>
            <w:vAlign w:val="top"/>
          </w:tcPr>
          <w:p>
            <w:pPr>
              <w:pStyle w:val="TableText"/>
              <w:ind w:left="457"/>
              <w:spacing w:before="97" w:line="195" w:lineRule="auto"/>
              <w:rPr/>
            </w:pPr>
            <w:r>
              <w:rPr>
                <w:spacing w:val="2"/>
              </w:rPr>
              <w:t>7.79</w:t>
            </w:r>
          </w:p>
        </w:tc>
        <w:tc>
          <w:tcPr>
            <w:tcW w:w="1274" w:type="dxa"/>
            <w:vAlign w:val="top"/>
          </w:tcPr>
          <w:p>
            <w:pPr>
              <w:pStyle w:val="TableText"/>
              <w:ind w:left="318"/>
              <w:spacing w:before="97" w:line="195" w:lineRule="auto"/>
              <w:rPr/>
            </w:pPr>
            <w:r>
              <w:rPr>
                <w:spacing w:val="3"/>
              </w:rPr>
              <w:t>63.07%</w:t>
            </w:r>
          </w:p>
        </w:tc>
        <w:tc>
          <w:tcPr>
            <w:tcW w:w="1300" w:type="dxa"/>
            <w:vAlign w:val="top"/>
          </w:tcPr>
          <w:p>
            <w:pPr>
              <w:pStyle w:val="TableText"/>
              <w:ind w:left="434"/>
              <w:spacing w:before="97" w:line="195" w:lineRule="auto"/>
              <w:rPr/>
            </w:pPr>
            <w:r>
              <w:rPr/>
              <w:t>10.32</w:t>
            </w:r>
          </w:p>
        </w:tc>
        <w:tc>
          <w:tcPr>
            <w:tcW w:w="1276" w:type="dxa"/>
            <w:vAlign w:val="top"/>
          </w:tcPr>
          <w:p>
            <w:pPr>
              <w:pStyle w:val="TableText"/>
              <w:ind w:left="325"/>
              <w:spacing w:before="97" w:line="195" w:lineRule="auto"/>
              <w:rPr/>
            </w:pPr>
            <w:r>
              <w:rPr>
                <w:spacing w:val="2"/>
              </w:rPr>
              <w:t>83.56%</w:t>
            </w:r>
          </w:p>
        </w:tc>
        <w:tc>
          <w:tcPr>
            <w:tcW w:w="1669" w:type="dxa"/>
            <w:vAlign w:val="top"/>
          </w:tcPr>
          <w:p>
            <w:pPr>
              <w:pStyle w:val="TableText"/>
              <w:ind w:left="651"/>
              <w:spacing w:before="97" w:line="195" w:lineRule="auto"/>
              <w:rPr/>
            </w:pPr>
            <w:r>
              <w:rPr>
                <w:spacing w:val="3"/>
              </w:rPr>
              <w:t>2.53</w:t>
            </w:r>
          </w:p>
        </w:tc>
      </w:tr>
      <w:tr>
        <w:trPr>
          <w:trHeight w:val="335" w:hRule="atLeast"/>
        </w:trPr>
        <w:tc>
          <w:tcPr>
            <w:tcW w:w="2497" w:type="dxa"/>
            <w:vAlign w:val="top"/>
          </w:tcPr>
          <w:p>
            <w:pPr>
              <w:ind w:left="1045"/>
              <w:spacing w:before="62" w:line="229" w:lineRule="auto"/>
              <w:rPr>
                <w:rFonts w:ascii="SimSun" w:hAnsi="SimSun" w:eastAsia="SimSun" w:cs="SimSun"/>
                <w:sz w:val="20"/>
                <w:szCs w:val="20"/>
              </w:rPr>
            </w:pPr>
            <w:r>
              <w:rPr>
                <w:rFonts w:ascii="SimSun" w:hAnsi="SimSun" w:eastAsia="SimSun" w:cs="SimSun"/>
                <w:sz w:val="20"/>
                <w:szCs w:val="20"/>
                <w:spacing w:val="4"/>
              </w:rPr>
              <w:t>合计</w:t>
            </w:r>
          </w:p>
        </w:tc>
        <w:tc>
          <w:tcPr>
            <w:tcW w:w="1276" w:type="dxa"/>
            <w:vAlign w:val="top"/>
          </w:tcPr>
          <w:p>
            <w:pPr>
              <w:pStyle w:val="TableText"/>
              <w:ind w:left="421"/>
              <w:spacing w:before="98" w:line="195" w:lineRule="auto"/>
              <w:rPr/>
            </w:pPr>
            <w:r>
              <w:rPr>
                <w:spacing w:val="-1"/>
              </w:rPr>
              <w:t>12.35</w:t>
            </w:r>
          </w:p>
        </w:tc>
        <w:tc>
          <w:tcPr>
            <w:tcW w:w="1274" w:type="dxa"/>
            <w:vAlign w:val="top"/>
          </w:tcPr>
          <w:p>
            <w:pPr>
              <w:pStyle w:val="TableText"/>
              <w:ind w:left="280"/>
              <w:spacing w:before="98" w:line="195" w:lineRule="auto"/>
              <w:rPr/>
            </w:pPr>
            <w:r>
              <w:rPr>
                <w:spacing w:val="1"/>
              </w:rPr>
              <w:t>100.00%</w:t>
            </w:r>
          </w:p>
        </w:tc>
        <w:tc>
          <w:tcPr>
            <w:tcW w:w="1300" w:type="dxa"/>
            <w:vAlign w:val="top"/>
          </w:tcPr>
          <w:p>
            <w:pPr>
              <w:pStyle w:val="TableText"/>
              <w:ind w:left="434"/>
              <w:spacing w:before="98" w:line="195" w:lineRule="auto"/>
              <w:rPr/>
            </w:pPr>
            <w:r>
              <w:rPr/>
              <w:t>12.35</w:t>
            </w:r>
          </w:p>
        </w:tc>
        <w:tc>
          <w:tcPr>
            <w:tcW w:w="1276" w:type="dxa"/>
            <w:vAlign w:val="top"/>
          </w:tcPr>
          <w:p>
            <w:pPr>
              <w:pStyle w:val="TableText"/>
              <w:ind w:left="414"/>
              <w:spacing w:before="98" w:line="195" w:lineRule="auto"/>
              <w:rPr/>
            </w:pPr>
            <w:r>
              <w:rPr>
                <w:spacing w:val="-1"/>
              </w:rPr>
              <w:t>100%</w:t>
            </w:r>
          </w:p>
        </w:tc>
        <w:tc>
          <w:tcPr>
            <w:tcW w:w="1669" w:type="dxa"/>
            <w:vAlign w:val="top"/>
          </w:tcPr>
          <w:p>
            <w:pPr>
              <w:pStyle w:val="TableText"/>
              <w:ind w:left="786"/>
              <w:spacing w:before="98" w:line="195" w:lineRule="auto"/>
              <w:rPr/>
            </w:pPr>
            <w:r>
              <w:rPr/>
              <w:t>0</w:t>
            </w:r>
          </w:p>
        </w:tc>
      </w:tr>
    </w:tbl>
    <w:p>
      <w:pPr>
        <w:ind w:left="602"/>
        <w:spacing w:before="146"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、煤矿开采对基本草原影响分析</w:t>
      </w:r>
    </w:p>
    <w:p>
      <w:pPr>
        <w:ind w:left="124" w:right="112" w:firstLine="479"/>
        <w:spacing w:before="154" w:line="339" w:lineRule="auto"/>
        <w:rPr>
          <w:rFonts w:ascii="SimSun" w:hAnsi="SimSun" w:eastAsia="SimSun" w:cs="SimSun"/>
          <w:sz w:val="24"/>
          <w:szCs w:val="24"/>
        </w:rPr>
      </w:pPr>
      <w:r>
        <w:rPr>
          <w:rFonts w:ascii="SimSun" w:hAnsi="SimSun" w:eastAsia="SimSun" w:cs="SimSun"/>
          <w:sz w:val="24"/>
          <w:szCs w:val="24"/>
          <w:spacing w:val="-2"/>
        </w:rPr>
        <w:t>本项目井田范围内不占用基本草原，基本草原位于矿田周边，生态评价范围内基本</w:t>
      </w:r>
      <w:r>
        <w:rPr>
          <w:rFonts w:ascii="SimSun" w:hAnsi="SimSun" w:eastAsia="SimSun" w:cs="SimSun"/>
          <w:sz w:val="24"/>
          <w:szCs w:val="24"/>
          <w:spacing w:val="-2"/>
        </w:rPr>
        <w:t>草原面积约</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2"/>
        </w:rPr>
        <w:t>14.08km</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。矿田范围、外排土场、采掘场和地面设施均不占用基本草原。</w:t>
      </w:r>
    </w:p>
    <w:p>
      <w:pPr>
        <w:ind w:left="126" w:right="112" w:firstLine="476"/>
        <w:spacing w:before="2" w:line="337" w:lineRule="auto"/>
        <w:rPr>
          <w:rFonts w:ascii="SimSun" w:hAnsi="SimSun" w:eastAsia="SimSun" w:cs="SimSun"/>
          <w:sz w:val="24"/>
          <w:szCs w:val="24"/>
        </w:rPr>
      </w:pPr>
      <w:r>
        <w:rPr>
          <w:rFonts w:ascii="SimSun" w:hAnsi="SimSun" w:eastAsia="SimSun" w:cs="SimSun"/>
          <w:sz w:val="24"/>
          <w:szCs w:val="24"/>
          <w:spacing w:val="-2"/>
        </w:rPr>
        <w:t>基本草原主要分布在矿田外，矿田范围内不涉及基本草原，因此白音华四号矿开采</w:t>
      </w:r>
      <w:r>
        <w:rPr>
          <w:rFonts w:ascii="SimSun" w:hAnsi="SimSun" w:eastAsia="SimSun" w:cs="SimSun"/>
          <w:sz w:val="24"/>
          <w:szCs w:val="24"/>
          <w:spacing w:val="-1"/>
        </w:rPr>
        <w:t>不会对基本草原造成太大影响。</w:t>
      </w:r>
    </w:p>
    <w:p>
      <w:pPr>
        <w:ind w:left="121" w:right="112" w:firstLine="481"/>
        <w:spacing w:before="3" w:line="338" w:lineRule="auto"/>
        <w:jc w:val="both"/>
        <w:rPr>
          <w:rFonts w:ascii="SimSun" w:hAnsi="SimSun" w:eastAsia="SimSun" w:cs="SimSun"/>
          <w:sz w:val="24"/>
          <w:szCs w:val="24"/>
        </w:rPr>
      </w:pPr>
      <w:r>
        <w:rPr>
          <w:rFonts w:ascii="SimSun" w:hAnsi="SimSun" w:eastAsia="SimSun" w:cs="SimSun"/>
          <w:sz w:val="24"/>
          <w:szCs w:val="24"/>
          <w:spacing w:val="-2"/>
        </w:rPr>
        <w:t>本次评价提出露天区开采时应严格规范施工行为，控制施工占地，避免造成露天区</w:t>
      </w:r>
      <w:r>
        <w:rPr>
          <w:rFonts w:ascii="SimSun" w:hAnsi="SimSun" w:eastAsia="SimSun" w:cs="SimSun"/>
          <w:sz w:val="24"/>
          <w:szCs w:val="24"/>
          <w:spacing w:val="-2"/>
        </w:rPr>
        <w:t>采坑周围基本草原的损失。另外，煤矿开发的同时，应对煤矿周围草原采取长期的植被</w:t>
      </w:r>
      <w:r>
        <w:rPr>
          <w:rFonts w:ascii="SimSun" w:hAnsi="SimSun" w:eastAsia="SimSun" w:cs="SimSun"/>
          <w:sz w:val="24"/>
          <w:szCs w:val="24"/>
          <w:spacing w:val="-2"/>
        </w:rPr>
        <w:t>监测工作，对植被类型、植被覆盖度进行监测与评价，发现植被生长不良，及时采取补</w:t>
      </w:r>
      <w:r>
        <w:rPr>
          <w:rFonts w:ascii="SimSun" w:hAnsi="SimSun" w:eastAsia="SimSun" w:cs="SimSun"/>
          <w:sz w:val="24"/>
          <w:szCs w:val="24"/>
          <w:spacing w:val="-1"/>
        </w:rPr>
        <w:t>植补播的措施，对草场进行改良，避免发生草原退化。</w:t>
      </w:r>
    </w:p>
    <w:p>
      <w:pPr>
        <w:ind w:left="596"/>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、煤矿开采拟损毁土地程度预测</w:t>
      </w:r>
    </w:p>
    <w:p>
      <w:pPr>
        <w:ind w:left="122" w:right="110" w:firstLine="479"/>
        <w:spacing w:before="152" w:line="339" w:lineRule="auto"/>
        <w:rPr>
          <w:rFonts w:ascii="SimSun" w:hAnsi="SimSun" w:eastAsia="SimSun" w:cs="SimSun"/>
          <w:sz w:val="24"/>
          <w:szCs w:val="24"/>
        </w:rPr>
      </w:pPr>
      <w:r>
        <w:rPr>
          <w:rFonts w:ascii="SimSun" w:hAnsi="SimSun" w:eastAsia="SimSun" w:cs="SimSun"/>
          <w:sz w:val="24"/>
          <w:szCs w:val="24"/>
          <w:spacing w:val="5"/>
        </w:rPr>
        <w:t>矿区开发服务期对土地造成的损毁主要是开采造成的露天采坑的形成及地表塌陷</w:t>
      </w:r>
      <w:r>
        <w:rPr>
          <w:rFonts w:ascii="SimSun" w:hAnsi="SimSun" w:eastAsia="SimSun" w:cs="SimSun"/>
          <w:sz w:val="24"/>
          <w:szCs w:val="24"/>
          <w:spacing w:val="-2"/>
        </w:rPr>
        <w:t>损毁。在开采后期上覆岩层遭到损毁，这种损毁逐渐发展到地表，会在地表形成塌陷坑</w:t>
      </w:r>
      <w:r>
        <w:rPr>
          <w:rFonts w:ascii="SimSun" w:hAnsi="SimSun" w:eastAsia="SimSun" w:cs="SimSun"/>
          <w:sz w:val="24"/>
          <w:szCs w:val="24"/>
          <w:spacing w:val="-2"/>
        </w:rPr>
        <w:t>或者地表裂缝等，损毁原有地表形态、土壤肥力状况以及地表植被覆盖等，影响地表的</w:t>
      </w:r>
      <w:r>
        <w:rPr>
          <w:rFonts w:ascii="SimSun" w:hAnsi="SimSun" w:eastAsia="SimSun" w:cs="SimSun"/>
          <w:sz w:val="24"/>
          <w:szCs w:val="24"/>
          <w:spacing w:val="-2"/>
        </w:rPr>
        <w:t>生态平衡。本次评价将对露天区工业场地、露天采场、排土场等主要影响因素作预测分</w:t>
      </w:r>
      <w:r>
        <w:rPr>
          <w:rFonts w:ascii="SimSun" w:hAnsi="SimSun" w:eastAsia="SimSun" w:cs="SimSun"/>
          <w:sz w:val="24"/>
          <w:szCs w:val="24"/>
          <w:spacing w:val="-5"/>
        </w:rPr>
        <w:t>析。</w:t>
      </w:r>
    </w:p>
    <w:p>
      <w:pPr>
        <w:ind w:left="121" w:right="99" w:firstLine="480"/>
        <w:spacing w:before="4" w:line="338" w:lineRule="auto"/>
        <w:jc w:val="both"/>
        <w:rPr>
          <w:rFonts w:ascii="SimSun" w:hAnsi="SimSun" w:eastAsia="SimSun" w:cs="SimSun"/>
          <w:sz w:val="24"/>
          <w:szCs w:val="24"/>
        </w:rPr>
      </w:pPr>
      <w:r>
        <w:rPr>
          <w:rFonts w:ascii="SimSun" w:hAnsi="SimSun" w:eastAsia="SimSun" w:cs="SimSun"/>
          <w:sz w:val="24"/>
          <w:szCs w:val="24"/>
          <w:spacing w:val="-9"/>
        </w:rPr>
        <w:t>根据参考《土地复垦方案编制规程第</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9"/>
        </w:rPr>
        <w:t>2</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9"/>
        </w:rPr>
        <w:t>部分：露天煤矿》（</w:t>
      </w:r>
      <w:r>
        <w:rPr>
          <w:rFonts w:ascii="Times New Roman" w:hAnsi="Times New Roman" w:eastAsia="Times New Roman" w:cs="Times New Roman"/>
          <w:sz w:val="24"/>
          <w:szCs w:val="24"/>
          <w:spacing w:val="-9"/>
        </w:rPr>
        <w:t>TD/T1031.3-2011</w:t>
      </w:r>
      <w:r>
        <w:rPr>
          <w:rFonts w:ascii="SimSun" w:hAnsi="SimSun" w:eastAsia="SimSun" w:cs="SimSun"/>
          <w:sz w:val="24"/>
          <w:szCs w:val="24"/>
          <w:spacing w:val="-9"/>
        </w:rPr>
        <w:t>）、《土</w:t>
      </w:r>
      <w:r>
        <w:rPr>
          <w:rFonts w:ascii="SimSun" w:hAnsi="SimSun" w:eastAsia="SimSun" w:cs="SimSun"/>
          <w:sz w:val="24"/>
          <w:szCs w:val="24"/>
        </w:rPr>
        <w:t>地复垦方案编制规程第</w:t>
      </w:r>
      <w:r>
        <w:rPr>
          <w:rFonts w:ascii="SimSun" w:hAnsi="SimSun" w:eastAsia="SimSun" w:cs="SimSun"/>
          <w:sz w:val="24"/>
          <w:szCs w:val="24"/>
          <w:spacing w:val="-35"/>
        </w:rPr>
        <w:t xml:space="preserve"> </w:t>
      </w:r>
      <w:r>
        <w:rPr>
          <w:rFonts w:ascii="Times New Roman" w:hAnsi="Times New Roman" w:eastAsia="Times New Roman" w:cs="Times New Roman"/>
          <w:sz w:val="24"/>
          <w:szCs w:val="24"/>
        </w:rPr>
        <w:t>3 </w:t>
      </w:r>
      <w:r>
        <w:rPr>
          <w:rFonts w:ascii="SimSun" w:hAnsi="SimSun" w:eastAsia="SimSun" w:cs="SimSun"/>
          <w:sz w:val="24"/>
          <w:szCs w:val="24"/>
        </w:rPr>
        <w:t>部分：井工煤矿》（</w:t>
      </w:r>
      <w:r>
        <w:rPr>
          <w:rFonts w:ascii="Times New Roman" w:hAnsi="Times New Roman" w:eastAsia="Times New Roman" w:cs="Times New Roman"/>
          <w:sz w:val="24"/>
          <w:szCs w:val="24"/>
        </w:rPr>
        <w:t>TD/T1031.3-2011</w:t>
      </w:r>
      <w:r>
        <w:rPr>
          <w:rFonts w:ascii="SimSun" w:hAnsi="SimSun" w:eastAsia="SimSun" w:cs="SimSun"/>
          <w:sz w:val="24"/>
          <w:szCs w:val="24"/>
        </w:rPr>
        <w:t>）附录</w:t>
      </w:r>
      <w:r>
        <w:rPr>
          <w:rFonts w:ascii="SimSun" w:hAnsi="SimSun" w:eastAsia="SimSun" w:cs="SimSun"/>
          <w:sz w:val="24"/>
          <w:szCs w:val="24"/>
          <w:spacing w:val="-51"/>
        </w:rPr>
        <w:t xml:space="preserve"> </w:t>
      </w:r>
      <w:r>
        <w:rPr>
          <w:rFonts w:ascii="Times New Roman" w:hAnsi="Times New Roman" w:eastAsia="Times New Roman" w:cs="Times New Roman"/>
          <w:sz w:val="24"/>
          <w:szCs w:val="24"/>
        </w:rPr>
        <w:t>B</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rPr>
        <w:t>的土地损毁程</w:t>
      </w:r>
      <w:r>
        <w:rPr>
          <w:rFonts w:ascii="SimSun" w:hAnsi="SimSun" w:eastAsia="SimSun" w:cs="SimSun"/>
          <w:sz w:val="24"/>
          <w:szCs w:val="24"/>
          <w:spacing w:val="-2"/>
        </w:rPr>
        <w:t>度分级标准和《建筑物、水体、铁路及主要井巷煤柱留设与压煤开采规程》预测矿区土</w:t>
      </w:r>
      <w:r>
        <w:rPr>
          <w:rFonts w:ascii="SimSun" w:hAnsi="SimSun" w:eastAsia="SimSun" w:cs="SimSun"/>
          <w:sz w:val="24"/>
          <w:szCs w:val="24"/>
          <w:spacing w:val="-2"/>
        </w:rPr>
        <w:t>地损毁程度。本次环评根据损毁土地土地利用现状及煤炭开采项目造成的损毁程度，把</w:t>
      </w:r>
      <w:r>
        <w:rPr>
          <w:rFonts w:ascii="SimSun" w:hAnsi="SimSun" w:eastAsia="SimSun" w:cs="SimSun"/>
          <w:sz w:val="24"/>
          <w:szCs w:val="24"/>
          <w:spacing w:val="-1"/>
        </w:rPr>
        <w:t>土地损毁程度评价等级确定为轻度损毁、中度损毁和重度损毁。其中露</w:t>
      </w:r>
      <w:r>
        <w:rPr>
          <w:rFonts w:ascii="SimSun" w:hAnsi="SimSun" w:eastAsia="SimSun" w:cs="SimSun"/>
          <w:sz w:val="24"/>
          <w:szCs w:val="24"/>
          <w:spacing w:val="-2"/>
        </w:rPr>
        <w:t>天区永久用地、</w:t>
      </w:r>
      <w:r>
        <w:rPr>
          <w:rFonts w:ascii="SimSun" w:hAnsi="SimSun" w:eastAsia="SimSun" w:cs="SimSun"/>
          <w:sz w:val="24"/>
          <w:szCs w:val="24"/>
          <w:spacing w:val="-1"/>
        </w:rPr>
        <w:t>露天采坑、排土场均为重度损毁。</w:t>
      </w:r>
    </w:p>
    <w:p>
      <w:pPr>
        <w:ind w:left="122" w:right="112" w:firstLine="485"/>
        <w:spacing w:line="340" w:lineRule="auto"/>
        <w:rPr>
          <w:rFonts w:ascii="SimSun" w:hAnsi="SimSun" w:eastAsia="SimSun" w:cs="SimSun"/>
          <w:sz w:val="24"/>
          <w:szCs w:val="24"/>
        </w:rPr>
      </w:pPr>
      <w:r>
        <w:rPr>
          <w:rFonts w:ascii="SimSun" w:hAnsi="SimSun" w:eastAsia="SimSun" w:cs="SimSun"/>
          <w:sz w:val="24"/>
          <w:szCs w:val="24"/>
          <w:spacing w:val="-2"/>
        </w:rPr>
        <w:t>露天区生产过程中，露天采区的开采，排土场的形成以及工业场地等设施的占用是</w:t>
      </w:r>
      <w:r>
        <w:rPr>
          <w:rFonts w:ascii="SimSun" w:hAnsi="SimSun" w:eastAsia="SimSun" w:cs="SimSun"/>
          <w:sz w:val="24"/>
          <w:szCs w:val="24"/>
          <w:spacing w:val="-1"/>
        </w:rPr>
        <w:t>损毁土地的主要原因。</w:t>
      </w:r>
    </w:p>
    <w:p>
      <w:pPr>
        <w:spacing w:line="340" w:lineRule="auto"/>
        <w:sectPr>
          <w:headerReference w:type="default" r:id="rId349"/>
          <w:footerReference w:type="default" r:id="rId350"/>
          <w:pgSz w:w="11906" w:h="16838"/>
          <w:pgMar w:top="1194" w:right="1304" w:bottom="1272" w:left="1303" w:header="861" w:footer="1110" w:gutter="0"/>
        </w:sectPr>
        <w:rPr>
          <w:rFonts w:ascii="SimSun" w:hAnsi="SimSun" w:eastAsia="SimSun" w:cs="SimSun"/>
          <w:sz w:val="24"/>
          <w:szCs w:val="24"/>
        </w:rPr>
      </w:pPr>
    </w:p>
    <w:p>
      <w:pPr>
        <w:pStyle w:val="BodyText"/>
        <w:spacing w:line="312" w:lineRule="auto"/>
        <w:rPr/>
      </w:pPr>
      <w:r/>
    </w:p>
    <w:p>
      <w:pPr>
        <w:ind w:left="118" w:right="112" w:firstLine="486"/>
        <w:spacing w:before="78" w:line="338" w:lineRule="auto"/>
        <w:rPr>
          <w:rFonts w:ascii="SimSun" w:hAnsi="SimSun" w:eastAsia="SimSun" w:cs="SimSun"/>
          <w:sz w:val="24"/>
          <w:szCs w:val="24"/>
        </w:rPr>
      </w:pPr>
      <w:r>
        <w:rPr>
          <w:rFonts w:ascii="SimSun" w:hAnsi="SimSun" w:eastAsia="SimSun" w:cs="SimSun"/>
          <w:sz w:val="24"/>
          <w:szCs w:val="24"/>
          <w:spacing w:val="-2"/>
        </w:rPr>
        <w:t>露天区全部开采结束后，最终预计拟损毁土地面积与现有情况相比，主要表现为重</w:t>
      </w:r>
      <w:r>
        <w:rPr>
          <w:rFonts w:ascii="SimSun" w:hAnsi="SimSun" w:eastAsia="SimSun" w:cs="SimSun"/>
          <w:sz w:val="24"/>
          <w:szCs w:val="24"/>
          <w:spacing w:val="-4"/>
        </w:rPr>
        <w:t>度损毁面积</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4"/>
        </w:rPr>
        <w:t>10.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13km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4"/>
        </w:rPr>
        <w:t>，增加了</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3km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9"/>
          <w:position w:val="8"/>
        </w:rPr>
        <w:t xml:space="preserve"> </w:t>
      </w:r>
      <w:r>
        <w:rPr>
          <w:rFonts w:ascii="SimSun" w:hAnsi="SimSun" w:eastAsia="SimSun" w:cs="SimSun"/>
          <w:sz w:val="24"/>
          <w:szCs w:val="24"/>
          <w:spacing w:val="-4"/>
        </w:rPr>
        <w:t>，主要为露天采掘场开采导致。</w:t>
      </w:r>
    </w:p>
    <w:p>
      <w:pPr>
        <w:ind w:left="119" w:right="112" w:firstLine="480"/>
        <w:spacing w:before="2" w:line="340" w:lineRule="auto"/>
        <w:jc w:val="both"/>
        <w:rPr>
          <w:rFonts w:ascii="SimSun" w:hAnsi="SimSun" w:eastAsia="SimSun" w:cs="SimSun"/>
          <w:sz w:val="24"/>
          <w:szCs w:val="24"/>
        </w:rPr>
      </w:pPr>
      <w:r>
        <w:rPr>
          <w:rFonts w:ascii="SimSun" w:hAnsi="SimSun" w:eastAsia="SimSun" w:cs="SimSun"/>
          <w:sz w:val="24"/>
          <w:szCs w:val="24"/>
          <w:spacing w:val="-2"/>
        </w:rPr>
        <w:t>根据分析，通过对露天采场、排土场等进行复垦治理能够有效减少区域重度损毁面</w:t>
      </w:r>
      <w:r>
        <w:rPr>
          <w:rFonts w:ascii="SimSun" w:hAnsi="SimSun" w:eastAsia="SimSun" w:cs="SimSun"/>
          <w:sz w:val="24"/>
          <w:szCs w:val="24"/>
          <w:spacing w:val="-2"/>
        </w:rPr>
        <w:t>积，考虑煤矿开采结束后，工业场地拆除，内排土场恢复治理完成，损毁面积会进一步</w:t>
      </w:r>
      <w:r>
        <w:rPr>
          <w:rFonts w:ascii="SimSun" w:hAnsi="SimSun" w:eastAsia="SimSun" w:cs="SimSun"/>
          <w:sz w:val="24"/>
          <w:szCs w:val="24"/>
          <w:spacing w:val="-4"/>
        </w:rPr>
        <w:t>减少。</w:t>
      </w:r>
    </w:p>
    <w:p>
      <w:pPr>
        <w:ind w:left="3339"/>
        <w:spacing w:before="120" w:line="222" w:lineRule="auto"/>
        <w:rPr>
          <w:rFonts w:ascii="SimHei" w:hAnsi="SimHei" w:eastAsia="SimHei" w:cs="SimHei"/>
          <w:sz w:val="24"/>
          <w:szCs w:val="24"/>
        </w:rPr>
      </w:pPr>
      <w:r>
        <w:rPr>
          <w:rFonts w:ascii="SimHei" w:hAnsi="SimHei" w:eastAsia="SimHei" w:cs="SimHei"/>
          <w:sz w:val="24"/>
          <w:szCs w:val="24"/>
          <w:b/>
          <w:bCs/>
          <w:spacing w:val="-4"/>
        </w:rPr>
        <w:t>露天区土地损毁变化情况</w:t>
      </w:r>
    </w:p>
    <w:p>
      <w:pPr>
        <w:ind w:left="117"/>
        <w:spacing w:before="67"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5-1-7</w:t>
      </w:r>
    </w:p>
    <w:tbl>
      <w:tblPr>
        <w:tblStyle w:val="TableNormal"/>
        <w:tblW w:w="9131" w:type="dxa"/>
        <w:tblInd w:w="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51"/>
        <w:gridCol w:w="1223"/>
        <w:gridCol w:w="1312"/>
        <w:gridCol w:w="1446"/>
        <w:gridCol w:w="1646"/>
        <w:gridCol w:w="1753"/>
      </w:tblGrid>
      <w:tr>
        <w:trPr>
          <w:trHeight w:val="335" w:hRule="atLeast"/>
        </w:trPr>
        <w:tc>
          <w:tcPr>
            <w:tcW w:w="1751" w:type="dxa"/>
            <w:vAlign w:val="top"/>
            <w:vMerge w:val="restart"/>
            <w:tcBorders>
              <w:bottom w:val="nil"/>
            </w:tcBorders>
          </w:tcPr>
          <w:p>
            <w:pPr>
              <w:spacing w:line="328" w:lineRule="auto"/>
              <w:rPr>
                <w:rFonts w:ascii="Arial"/>
                <w:sz w:val="21"/>
              </w:rPr>
            </w:pPr>
            <w:r/>
          </w:p>
          <w:p>
            <w:pPr>
              <w:ind w:left="670"/>
              <w:spacing w:before="65" w:line="228" w:lineRule="auto"/>
              <w:rPr>
                <w:rFonts w:ascii="SimSun" w:hAnsi="SimSun" w:eastAsia="SimSun" w:cs="SimSun"/>
                <w:sz w:val="20"/>
                <w:szCs w:val="20"/>
              </w:rPr>
            </w:pPr>
            <w:r>
              <w:rPr>
                <w:rFonts w:ascii="SimSun" w:hAnsi="SimSun" w:eastAsia="SimSun" w:cs="SimSun"/>
                <w:sz w:val="20"/>
                <w:szCs w:val="20"/>
                <w:spacing w:val="4"/>
              </w:rPr>
              <w:t>类型</w:t>
            </w:r>
          </w:p>
        </w:tc>
        <w:tc>
          <w:tcPr>
            <w:tcW w:w="1223" w:type="dxa"/>
            <w:vAlign w:val="top"/>
            <w:vMerge w:val="restart"/>
            <w:tcBorders>
              <w:bottom w:val="nil"/>
            </w:tcBorders>
          </w:tcPr>
          <w:p>
            <w:pPr>
              <w:spacing w:line="329" w:lineRule="auto"/>
              <w:rPr>
                <w:rFonts w:ascii="Arial"/>
                <w:sz w:val="21"/>
              </w:rPr>
            </w:pPr>
            <w:r/>
          </w:p>
          <w:p>
            <w:pPr>
              <w:pStyle w:val="TableText"/>
              <w:ind w:left="67"/>
              <w:spacing w:before="65" w:line="221" w:lineRule="auto"/>
              <w:rPr/>
            </w:pPr>
            <w:r>
              <w:rPr>
                <w:rFonts w:ascii="SimSun" w:hAnsi="SimSun" w:eastAsia="SimSun" w:cs="SimSun"/>
                <w:spacing w:val="6"/>
              </w:rPr>
              <w:t>总面积</w:t>
            </w:r>
            <w:r>
              <w:rPr>
                <w:spacing w:val="6"/>
              </w:rPr>
              <w:t>(</w:t>
            </w:r>
            <w:r>
              <w:rPr/>
              <w:t>km</w:t>
            </w:r>
            <w:r>
              <w:rPr>
                <w:sz w:val="13"/>
                <w:szCs w:val="13"/>
                <w:spacing w:val="6"/>
                <w:position w:val="6"/>
              </w:rPr>
              <w:t>2</w:t>
            </w:r>
            <w:r>
              <w:rPr>
                <w:spacing w:val="6"/>
              </w:rPr>
              <w:t>)</w:t>
            </w:r>
          </w:p>
        </w:tc>
        <w:tc>
          <w:tcPr>
            <w:tcW w:w="1312" w:type="dxa"/>
            <w:vAlign w:val="top"/>
            <w:vMerge w:val="restart"/>
            <w:tcBorders>
              <w:bottom w:val="nil"/>
            </w:tcBorders>
          </w:tcPr>
          <w:p>
            <w:pPr>
              <w:pStyle w:val="TableText"/>
              <w:ind w:left="177" w:right="131" w:hanging="41"/>
              <w:spacing w:before="233" w:line="303" w:lineRule="auto"/>
              <w:rPr>
                <w:rFonts w:ascii="SimSun" w:hAnsi="SimSun" w:eastAsia="SimSun" w:cs="SimSun"/>
              </w:rPr>
            </w:pPr>
            <w:r>
              <w:rPr>
                <w:rFonts w:ascii="SimSun" w:hAnsi="SimSun" w:eastAsia="SimSun" w:cs="SimSun"/>
                <w:spacing w:val="7"/>
              </w:rPr>
              <w:t>现状损毁面</w:t>
            </w:r>
            <w:r>
              <w:rPr>
                <w:rFonts w:ascii="SimSun" w:hAnsi="SimSun" w:eastAsia="SimSun" w:cs="SimSun"/>
                <w:spacing w:val="6"/>
              </w:rPr>
              <w:t>积（</w:t>
            </w:r>
            <w:r>
              <w:rPr/>
              <w:t>km</w:t>
            </w:r>
            <w:r>
              <w:rPr>
                <w:sz w:val="13"/>
                <w:szCs w:val="13"/>
                <w:spacing w:val="6"/>
                <w:position w:val="6"/>
              </w:rPr>
              <w:t>2</w:t>
            </w:r>
            <w:r>
              <w:rPr>
                <w:rFonts w:ascii="SimSun" w:hAnsi="SimSun" w:eastAsia="SimSun" w:cs="SimSun"/>
                <w:spacing w:val="6"/>
              </w:rPr>
              <w:t>）</w:t>
            </w:r>
          </w:p>
        </w:tc>
        <w:tc>
          <w:tcPr>
            <w:tcW w:w="4845" w:type="dxa"/>
            <w:vAlign w:val="top"/>
            <w:gridSpan w:val="3"/>
          </w:tcPr>
          <w:p>
            <w:pPr>
              <w:ind w:left="1797"/>
              <w:spacing w:before="63" w:line="228" w:lineRule="auto"/>
              <w:rPr>
                <w:rFonts w:ascii="SimSun" w:hAnsi="SimSun" w:eastAsia="SimSun" w:cs="SimSun"/>
                <w:sz w:val="20"/>
                <w:szCs w:val="20"/>
              </w:rPr>
            </w:pPr>
            <w:r>
              <w:rPr>
                <w:rFonts w:ascii="SimSun" w:hAnsi="SimSun" w:eastAsia="SimSun" w:cs="SimSun"/>
                <w:sz w:val="20"/>
                <w:szCs w:val="20"/>
                <w:spacing w:val="8"/>
              </w:rPr>
              <w:t>新增损毁面积</w:t>
            </w:r>
          </w:p>
        </w:tc>
      </w:tr>
      <w:tr>
        <w:trPr>
          <w:trHeight w:val="663" w:hRule="atLeast"/>
        </w:trPr>
        <w:tc>
          <w:tcPr>
            <w:tcW w:w="1751" w:type="dxa"/>
            <w:vAlign w:val="top"/>
            <w:vMerge w:val="continue"/>
            <w:tcBorders>
              <w:top w:val="nil"/>
            </w:tcBorders>
          </w:tcPr>
          <w:p>
            <w:pPr>
              <w:rPr>
                <w:rFonts w:ascii="Arial"/>
                <w:sz w:val="21"/>
              </w:rPr>
            </w:pPr>
            <w:r/>
          </w:p>
        </w:tc>
        <w:tc>
          <w:tcPr>
            <w:tcW w:w="1223" w:type="dxa"/>
            <w:vAlign w:val="top"/>
            <w:vMerge w:val="continue"/>
            <w:tcBorders>
              <w:top w:val="nil"/>
            </w:tcBorders>
          </w:tcPr>
          <w:p>
            <w:pPr>
              <w:rPr>
                <w:rFonts w:ascii="Arial"/>
                <w:sz w:val="21"/>
              </w:rPr>
            </w:pPr>
            <w:r/>
          </w:p>
        </w:tc>
        <w:tc>
          <w:tcPr>
            <w:tcW w:w="1312" w:type="dxa"/>
            <w:vAlign w:val="top"/>
            <w:vMerge w:val="continue"/>
            <w:tcBorders>
              <w:top w:val="nil"/>
            </w:tcBorders>
          </w:tcPr>
          <w:p>
            <w:pPr>
              <w:rPr>
                <w:rFonts w:ascii="Arial"/>
                <w:sz w:val="21"/>
              </w:rPr>
            </w:pPr>
            <w:r/>
          </w:p>
        </w:tc>
        <w:tc>
          <w:tcPr>
            <w:tcW w:w="1446" w:type="dxa"/>
            <w:vAlign w:val="top"/>
          </w:tcPr>
          <w:p>
            <w:pPr>
              <w:pStyle w:val="TableText"/>
              <w:ind w:left="179"/>
              <w:spacing w:before="224" w:line="221" w:lineRule="auto"/>
              <w:rPr/>
            </w:pPr>
            <w:r>
              <w:rPr>
                <w:rFonts w:ascii="SimSun" w:hAnsi="SimSun" w:eastAsia="SimSun" w:cs="SimSun"/>
                <w:spacing w:val="6"/>
              </w:rPr>
              <w:t>总面积</w:t>
            </w:r>
            <w:r>
              <w:rPr>
                <w:spacing w:val="6"/>
              </w:rPr>
              <w:t>(</w:t>
            </w:r>
            <w:r>
              <w:rPr/>
              <w:t>km</w:t>
            </w:r>
            <w:r>
              <w:rPr>
                <w:sz w:val="13"/>
                <w:szCs w:val="13"/>
                <w:spacing w:val="6"/>
                <w:position w:val="6"/>
              </w:rPr>
              <w:t>2</w:t>
            </w:r>
            <w:r>
              <w:rPr>
                <w:spacing w:val="6"/>
              </w:rPr>
              <w:t>)</w:t>
            </w:r>
          </w:p>
        </w:tc>
        <w:tc>
          <w:tcPr>
            <w:tcW w:w="1646" w:type="dxa"/>
            <w:vAlign w:val="top"/>
          </w:tcPr>
          <w:p>
            <w:pPr>
              <w:pStyle w:val="TableText"/>
              <w:ind w:left="146"/>
              <w:spacing w:before="224" w:line="221" w:lineRule="auto"/>
              <w:rPr/>
            </w:pPr>
            <w:r>
              <w:rPr>
                <w:rFonts w:ascii="SimSun" w:hAnsi="SimSun" w:eastAsia="SimSun" w:cs="SimSun"/>
                <w:spacing w:val="6"/>
              </w:rPr>
              <w:t>所占百分比</w:t>
            </w:r>
            <w:r>
              <w:rPr>
                <w:spacing w:val="6"/>
              </w:rPr>
              <w:t>(%)</w:t>
            </w:r>
          </w:p>
        </w:tc>
        <w:tc>
          <w:tcPr>
            <w:tcW w:w="1753" w:type="dxa"/>
            <w:vAlign w:val="top"/>
          </w:tcPr>
          <w:p>
            <w:pPr>
              <w:ind w:left="150"/>
              <w:spacing w:before="60" w:line="228" w:lineRule="auto"/>
              <w:rPr>
                <w:rFonts w:ascii="SimSun" w:hAnsi="SimSun" w:eastAsia="SimSun" w:cs="SimSun"/>
                <w:sz w:val="20"/>
                <w:szCs w:val="20"/>
              </w:rPr>
            </w:pPr>
            <w:r>
              <w:rPr>
                <w:rFonts w:ascii="SimSun" w:hAnsi="SimSun" w:eastAsia="SimSun" w:cs="SimSun"/>
                <w:sz w:val="20"/>
                <w:szCs w:val="20"/>
                <w:spacing w:val="8"/>
              </w:rPr>
              <w:t>与现状面积变化</w:t>
            </w:r>
          </w:p>
          <w:p>
            <w:pPr>
              <w:pStyle w:val="TableText"/>
              <w:ind w:left="643"/>
              <w:spacing w:before="95" w:line="218" w:lineRule="auto"/>
              <w:rPr/>
            </w:pPr>
            <w:r>
              <w:rPr>
                <w:spacing w:val="4"/>
              </w:rPr>
              <w:t>(</w:t>
            </w:r>
            <w:r>
              <w:rPr/>
              <w:t>km</w:t>
            </w:r>
            <w:r>
              <w:rPr>
                <w:sz w:val="13"/>
                <w:szCs w:val="13"/>
                <w:spacing w:val="4"/>
                <w:position w:val="6"/>
              </w:rPr>
              <w:t>2</w:t>
            </w:r>
            <w:r>
              <w:rPr>
                <w:spacing w:val="4"/>
              </w:rPr>
              <w:t>)</w:t>
            </w:r>
          </w:p>
        </w:tc>
      </w:tr>
      <w:tr>
        <w:trPr>
          <w:trHeight w:val="330" w:hRule="atLeast"/>
        </w:trPr>
        <w:tc>
          <w:tcPr>
            <w:tcW w:w="1751" w:type="dxa"/>
            <w:vAlign w:val="top"/>
          </w:tcPr>
          <w:p>
            <w:pPr>
              <w:ind w:left="459"/>
              <w:spacing w:before="57" w:line="228" w:lineRule="auto"/>
              <w:rPr>
                <w:rFonts w:ascii="SimSun" w:hAnsi="SimSun" w:eastAsia="SimSun" w:cs="SimSun"/>
                <w:sz w:val="20"/>
                <w:szCs w:val="20"/>
              </w:rPr>
            </w:pPr>
            <w:r>
              <w:rPr>
                <w:rFonts w:ascii="SimSun" w:hAnsi="SimSun" w:eastAsia="SimSun" w:cs="SimSun"/>
                <w:sz w:val="20"/>
                <w:szCs w:val="20"/>
                <w:spacing w:val="7"/>
              </w:rPr>
              <w:t>轻度损毁</w:t>
            </w:r>
          </w:p>
        </w:tc>
        <w:tc>
          <w:tcPr>
            <w:tcW w:w="1223" w:type="dxa"/>
            <w:vAlign w:val="top"/>
          </w:tcPr>
          <w:p>
            <w:pPr>
              <w:pStyle w:val="TableText"/>
              <w:ind w:left="562"/>
              <w:spacing w:before="93" w:line="195" w:lineRule="auto"/>
              <w:rPr/>
            </w:pPr>
            <w:r>
              <w:rPr/>
              <w:t>0</w:t>
            </w:r>
          </w:p>
        </w:tc>
        <w:tc>
          <w:tcPr>
            <w:tcW w:w="1312" w:type="dxa"/>
            <w:vAlign w:val="top"/>
          </w:tcPr>
          <w:p>
            <w:pPr>
              <w:pStyle w:val="TableText"/>
              <w:ind w:left="606"/>
              <w:spacing w:before="93" w:line="195" w:lineRule="auto"/>
              <w:rPr/>
            </w:pPr>
            <w:r>
              <w:rPr/>
              <w:t>0</w:t>
            </w:r>
          </w:p>
        </w:tc>
        <w:tc>
          <w:tcPr>
            <w:tcW w:w="1446" w:type="dxa"/>
            <w:vAlign w:val="top"/>
          </w:tcPr>
          <w:p>
            <w:pPr>
              <w:pStyle w:val="TableText"/>
              <w:ind w:left="674"/>
              <w:spacing w:before="93" w:line="195" w:lineRule="auto"/>
              <w:rPr/>
            </w:pPr>
            <w:r>
              <w:rPr/>
              <w:t>0</w:t>
            </w:r>
          </w:p>
        </w:tc>
        <w:tc>
          <w:tcPr>
            <w:tcW w:w="1646" w:type="dxa"/>
            <w:vAlign w:val="top"/>
          </w:tcPr>
          <w:p>
            <w:pPr>
              <w:pStyle w:val="TableText"/>
              <w:ind w:left="774"/>
              <w:spacing w:before="93" w:line="195" w:lineRule="auto"/>
              <w:rPr/>
            </w:pPr>
            <w:r>
              <w:rPr/>
              <w:t>0</w:t>
            </w:r>
          </w:p>
        </w:tc>
        <w:tc>
          <w:tcPr>
            <w:tcW w:w="1753" w:type="dxa"/>
            <w:vAlign w:val="top"/>
          </w:tcPr>
          <w:p>
            <w:pPr>
              <w:pStyle w:val="TableText"/>
              <w:ind w:left="827"/>
              <w:spacing w:before="93" w:line="195" w:lineRule="auto"/>
              <w:rPr/>
            </w:pPr>
            <w:r>
              <w:rPr/>
              <w:t>0</w:t>
            </w:r>
          </w:p>
        </w:tc>
      </w:tr>
      <w:tr>
        <w:trPr>
          <w:trHeight w:val="331" w:hRule="atLeast"/>
        </w:trPr>
        <w:tc>
          <w:tcPr>
            <w:tcW w:w="1751" w:type="dxa"/>
            <w:vAlign w:val="top"/>
          </w:tcPr>
          <w:p>
            <w:pPr>
              <w:ind w:left="478"/>
              <w:spacing w:before="59" w:line="228" w:lineRule="auto"/>
              <w:rPr>
                <w:rFonts w:ascii="SimSun" w:hAnsi="SimSun" w:eastAsia="SimSun" w:cs="SimSun"/>
                <w:sz w:val="20"/>
                <w:szCs w:val="20"/>
              </w:rPr>
            </w:pPr>
            <w:r>
              <w:rPr>
                <w:rFonts w:ascii="SimSun" w:hAnsi="SimSun" w:eastAsia="SimSun" w:cs="SimSun"/>
                <w:sz w:val="20"/>
                <w:szCs w:val="20"/>
                <w:spacing w:val="2"/>
              </w:rPr>
              <w:t>中度损毁</w:t>
            </w:r>
          </w:p>
        </w:tc>
        <w:tc>
          <w:tcPr>
            <w:tcW w:w="1223" w:type="dxa"/>
            <w:vAlign w:val="top"/>
          </w:tcPr>
          <w:p>
            <w:pPr>
              <w:pStyle w:val="TableText"/>
              <w:ind w:left="562"/>
              <w:spacing w:before="94" w:line="195" w:lineRule="auto"/>
              <w:rPr/>
            </w:pPr>
            <w:r>
              <w:rPr/>
              <w:t>0</w:t>
            </w:r>
          </w:p>
        </w:tc>
        <w:tc>
          <w:tcPr>
            <w:tcW w:w="1312" w:type="dxa"/>
            <w:vAlign w:val="top"/>
          </w:tcPr>
          <w:p>
            <w:pPr>
              <w:pStyle w:val="TableText"/>
              <w:ind w:left="606"/>
              <w:spacing w:before="94" w:line="195" w:lineRule="auto"/>
              <w:rPr/>
            </w:pPr>
            <w:r>
              <w:rPr/>
              <w:t>0</w:t>
            </w:r>
          </w:p>
        </w:tc>
        <w:tc>
          <w:tcPr>
            <w:tcW w:w="1446" w:type="dxa"/>
            <w:vAlign w:val="top"/>
          </w:tcPr>
          <w:p>
            <w:pPr>
              <w:pStyle w:val="TableText"/>
              <w:ind w:left="674"/>
              <w:spacing w:before="94" w:line="195" w:lineRule="auto"/>
              <w:rPr/>
            </w:pPr>
            <w:r>
              <w:rPr/>
              <w:t>0</w:t>
            </w:r>
          </w:p>
        </w:tc>
        <w:tc>
          <w:tcPr>
            <w:tcW w:w="1646" w:type="dxa"/>
            <w:vAlign w:val="top"/>
          </w:tcPr>
          <w:p>
            <w:pPr>
              <w:pStyle w:val="TableText"/>
              <w:ind w:left="774"/>
              <w:spacing w:before="94" w:line="195" w:lineRule="auto"/>
              <w:rPr/>
            </w:pPr>
            <w:r>
              <w:rPr/>
              <w:t>0</w:t>
            </w:r>
          </w:p>
        </w:tc>
        <w:tc>
          <w:tcPr>
            <w:tcW w:w="1753" w:type="dxa"/>
            <w:vAlign w:val="top"/>
          </w:tcPr>
          <w:p>
            <w:pPr>
              <w:pStyle w:val="TableText"/>
              <w:ind w:left="827"/>
              <w:spacing w:before="94" w:line="195" w:lineRule="auto"/>
              <w:rPr/>
            </w:pPr>
            <w:r>
              <w:rPr/>
              <w:t>0</w:t>
            </w:r>
          </w:p>
        </w:tc>
      </w:tr>
      <w:tr>
        <w:trPr>
          <w:trHeight w:val="330" w:hRule="atLeast"/>
        </w:trPr>
        <w:tc>
          <w:tcPr>
            <w:tcW w:w="1751" w:type="dxa"/>
            <w:vAlign w:val="top"/>
          </w:tcPr>
          <w:p>
            <w:pPr>
              <w:ind w:left="459"/>
              <w:spacing w:before="59" w:line="228" w:lineRule="auto"/>
              <w:rPr>
                <w:rFonts w:ascii="SimSun" w:hAnsi="SimSun" w:eastAsia="SimSun" w:cs="SimSun"/>
                <w:sz w:val="20"/>
                <w:szCs w:val="20"/>
              </w:rPr>
            </w:pPr>
            <w:r>
              <w:rPr>
                <w:rFonts w:ascii="SimSun" w:hAnsi="SimSun" w:eastAsia="SimSun" w:cs="SimSun"/>
                <w:sz w:val="20"/>
                <w:szCs w:val="20"/>
                <w:spacing w:val="7"/>
              </w:rPr>
              <w:t>重度损毁</w:t>
            </w:r>
          </w:p>
        </w:tc>
        <w:tc>
          <w:tcPr>
            <w:tcW w:w="1223" w:type="dxa"/>
            <w:vAlign w:val="top"/>
          </w:tcPr>
          <w:p>
            <w:pPr>
              <w:pStyle w:val="TableText"/>
              <w:ind w:left="394"/>
              <w:spacing w:before="94" w:line="195" w:lineRule="auto"/>
              <w:rPr/>
            </w:pPr>
            <w:r>
              <w:rPr>
                <w:spacing w:val="-1"/>
              </w:rPr>
              <w:t>10.13</w:t>
            </w:r>
          </w:p>
        </w:tc>
        <w:tc>
          <w:tcPr>
            <w:tcW w:w="1312" w:type="dxa"/>
            <w:vAlign w:val="top"/>
          </w:tcPr>
          <w:p>
            <w:pPr>
              <w:pStyle w:val="TableText"/>
              <w:ind w:left="475"/>
              <w:spacing w:before="94" w:line="195" w:lineRule="auto"/>
              <w:rPr/>
            </w:pPr>
            <w:r>
              <w:rPr>
                <w:spacing w:val="2"/>
              </w:rPr>
              <w:t>7.13</w:t>
            </w:r>
          </w:p>
        </w:tc>
        <w:tc>
          <w:tcPr>
            <w:tcW w:w="1446" w:type="dxa"/>
            <w:vAlign w:val="top"/>
          </w:tcPr>
          <w:p>
            <w:pPr>
              <w:pStyle w:val="TableText"/>
              <w:ind w:left="675"/>
              <w:spacing w:before="94" w:line="195" w:lineRule="auto"/>
              <w:rPr/>
            </w:pPr>
            <w:r>
              <w:rPr/>
              <w:t>3</w:t>
            </w:r>
          </w:p>
        </w:tc>
        <w:tc>
          <w:tcPr>
            <w:tcW w:w="1646" w:type="dxa"/>
            <w:vAlign w:val="top"/>
          </w:tcPr>
          <w:p>
            <w:pPr>
              <w:pStyle w:val="TableText"/>
              <w:ind w:left="688"/>
              <w:spacing w:before="94" w:line="195" w:lineRule="auto"/>
              <w:rPr/>
            </w:pPr>
            <w:r>
              <w:rPr>
                <w:spacing w:val="-3"/>
              </w:rPr>
              <w:t>100</w:t>
            </w:r>
          </w:p>
        </w:tc>
        <w:tc>
          <w:tcPr>
            <w:tcW w:w="1753" w:type="dxa"/>
            <w:vAlign w:val="top"/>
          </w:tcPr>
          <w:p>
            <w:pPr>
              <w:pStyle w:val="TableText"/>
              <w:ind w:left="828"/>
              <w:spacing w:before="94" w:line="195" w:lineRule="auto"/>
              <w:rPr/>
            </w:pPr>
            <w:r>
              <w:rPr/>
              <w:t>3</w:t>
            </w:r>
          </w:p>
        </w:tc>
      </w:tr>
      <w:tr>
        <w:trPr>
          <w:trHeight w:val="335" w:hRule="atLeast"/>
        </w:trPr>
        <w:tc>
          <w:tcPr>
            <w:tcW w:w="1751" w:type="dxa"/>
            <w:vAlign w:val="top"/>
          </w:tcPr>
          <w:p>
            <w:pPr>
              <w:ind w:left="459"/>
              <w:spacing w:before="60" w:line="228" w:lineRule="auto"/>
              <w:rPr>
                <w:rFonts w:ascii="SimSun" w:hAnsi="SimSun" w:eastAsia="SimSun" w:cs="SimSun"/>
                <w:sz w:val="20"/>
                <w:szCs w:val="20"/>
              </w:rPr>
            </w:pPr>
            <w:r>
              <w:rPr>
                <w:rFonts w:ascii="SimSun" w:hAnsi="SimSun" w:eastAsia="SimSun" w:cs="SimSun"/>
                <w:sz w:val="20"/>
                <w:szCs w:val="20"/>
                <w:spacing w:val="7"/>
              </w:rPr>
              <w:t>损毁面积</w:t>
            </w:r>
          </w:p>
        </w:tc>
        <w:tc>
          <w:tcPr>
            <w:tcW w:w="1223" w:type="dxa"/>
            <w:vAlign w:val="top"/>
          </w:tcPr>
          <w:p>
            <w:pPr>
              <w:pStyle w:val="TableText"/>
              <w:ind w:left="394"/>
              <w:spacing w:before="95" w:line="195" w:lineRule="auto"/>
              <w:rPr/>
            </w:pPr>
            <w:r>
              <w:rPr>
                <w:spacing w:val="-1"/>
              </w:rPr>
              <w:t>10.13</w:t>
            </w:r>
          </w:p>
        </w:tc>
        <w:tc>
          <w:tcPr>
            <w:tcW w:w="1312" w:type="dxa"/>
            <w:vAlign w:val="top"/>
          </w:tcPr>
          <w:p>
            <w:pPr>
              <w:pStyle w:val="TableText"/>
              <w:ind w:left="475"/>
              <w:spacing w:before="95" w:line="195" w:lineRule="auto"/>
              <w:rPr/>
            </w:pPr>
            <w:r>
              <w:rPr>
                <w:spacing w:val="2"/>
              </w:rPr>
              <w:t>7.13</w:t>
            </w:r>
          </w:p>
        </w:tc>
        <w:tc>
          <w:tcPr>
            <w:tcW w:w="1446" w:type="dxa"/>
            <w:vAlign w:val="top"/>
          </w:tcPr>
          <w:p>
            <w:pPr>
              <w:pStyle w:val="TableText"/>
              <w:ind w:left="675"/>
              <w:spacing w:before="95" w:line="195" w:lineRule="auto"/>
              <w:rPr/>
            </w:pPr>
            <w:r>
              <w:rPr/>
              <w:t>3</w:t>
            </w:r>
          </w:p>
        </w:tc>
        <w:tc>
          <w:tcPr>
            <w:tcW w:w="1646" w:type="dxa"/>
            <w:vAlign w:val="top"/>
          </w:tcPr>
          <w:p>
            <w:pPr>
              <w:pStyle w:val="TableText"/>
              <w:ind w:left="688"/>
              <w:spacing w:before="95" w:line="195" w:lineRule="auto"/>
              <w:rPr/>
            </w:pPr>
            <w:r>
              <w:rPr>
                <w:spacing w:val="-3"/>
              </w:rPr>
              <w:t>100</w:t>
            </w:r>
          </w:p>
        </w:tc>
        <w:tc>
          <w:tcPr>
            <w:tcW w:w="1753" w:type="dxa"/>
            <w:vAlign w:val="top"/>
          </w:tcPr>
          <w:p>
            <w:pPr>
              <w:pStyle w:val="TableText"/>
              <w:ind w:left="828"/>
              <w:spacing w:before="95" w:line="195" w:lineRule="auto"/>
              <w:rPr/>
            </w:pPr>
            <w:r>
              <w:rPr/>
              <w:t>3</w:t>
            </w:r>
          </w:p>
        </w:tc>
      </w:tr>
    </w:tbl>
    <w:p>
      <w:pPr>
        <w:ind w:left="601"/>
        <w:spacing w:before="143" w:line="219" w:lineRule="auto"/>
        <w:rPr>
          <w:rFonts w:ascii="SimSun" w:hAnsi="SimSun" w:eastAsia="SimSun" w:cs="SimSun"/>
          <w:sz w:val="24"/>
          <w:szCs w:val="24"/>
        </w:rPr>
      </w:pP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、煤矿开采对土地利用的影响分析</w:t>
      </w:r>
    </w:p>
    <w:p>
      <w:pPr>
        <w:ind w:left="118" w:right="112" w:firstLine="480"/>
        <w:spacing w:before="152" w:line="339" w:lineRule="auto"/>
        <w:rPr>
          <w:rFonts w:ascii="SimSun" w:hAnsi="SimSun" w:eastAsia="SimSun" w:cs="SimSun"/>
          <w:sz w:val="24"/>
          <w:szCs w:val="24"/>
        </w:rPr>
      </w:pPr>
      <w:r>
        <w:rPr>
          <w:rFonts w:ascii="SimSun" w:hAnsi="SimSun" w:eastAsia="SimSun" w:cs="SimSun"/>
          <w:sz w:val="24"/>
          <w:szCs w:val="24"/>
          <w:spacing w:val="-2"/>
        </w:rPr>
        <w:t>根据土地利用回顾性分析，由于采掘场挖损和外排土场占压，原有的草地转变为采</w:t>
      </w:r>
      <w:r>
        <w:rPr>
          <w:rFonts w:ascii="SimSun" w:hAnsi="SimSun" w:eastAsia="SimSun" w:cs="SimSun"/>
          <w:sz w:val="24"/>
          <w:szCs w:val="24"/>
        </w:rPr>
        <w:t>矿用地。</w:t>
      </w:r>
      <w:r>
        <w:rPr>
          <w:rFonts w:ascii="Times New Roman" w:hAnsi="Times New Roman" w:eastAsia="Times New Roman" w:cs="Times New Roman"/>
          <w:sz w:val="24"/>
          <w:szCs w:val="24"/>
        </w:rPr>
        <w:t>2014  </w:t>
      </w:r>
      <w:r>
        <w:rPr>
          <w:rFonts w:ascii="SimSun" w:hAnsi="SimSun" w:eastAsia="SimSun" w:cs="SimSun"/>
          <w:sz w:val="24"/>
          <w:szCs w:val="24"/>
        </w:rPr>
        <w:t>年天然牧草地面积占评价面积的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71.85%</w:t>
      </w:r>
      <w:r>
        <w:rPr>
          <w:rFonts w:ascii="Times New Roman" w:hAnsi="Times New Roman" w:eastAsia="Times New Roman" w:cs="Times New Roman"/>
          <w:sz w:val="24"/>
          <w:szCs w:val="24"/>
          <w:spacing w:val="-29"/>
        </w:rPr>
        <w:t xml:space="preserve"> </w:t>
      </w:r>
      <w:r>
        <w:rPr>
          <w:rFonts w:ascii="SimSun" w:hAnsi="SimSun" w:eastAsia="SimSun" w:cs="SimSun"/>
          <w:sz w:val="24"/>
          <w:szCs w:val="24"/>
        </w:rPr>
        <w:t>，而</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202</w:t>
      </w:r>
      <w:r>
        <w:rPr>
          <w:rFonts w:ascii="Times New Roman" w:hAnsi="Times New Roman" w:eastAsia="Times New Roman" w:cs="Times New Roman"/>
          <w:sz w:val="24"/>
          <w:szCs w:val="24"/>
          <w:spacing w:val="-1"/>
        </w:rPr>
        <w:t>4  </w:t>
      </w:r>
      <w:r>
        <w:rPr>
          <w:rFonts w:ascii="SimSun" w:hAnsi="SimSun" w:eastAsia="SimSun" w:cs="SimSun"/>
          <w:sz w:val="24"/>
          <w:szCs w:val="24"/>
          <w:spacing w:val="-1"/>
        </w:rPr>
        <w:t>年天然牧草地面积占</w:t>
      </w:r>
      <w:r>
        <w:rPr>
          <w:rFonts w:ascii="SimSun" w:hAnsi="SimSun" w:eastAsia="SimSun" w:cs="SimSun"/>
          <w:sz w:val="24"/>
          <w:szCs w:val="24"/>
          <w:spacing w:val="-2"/>
        </w:rPr>
        <w:t>评价面积的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65.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11%</w:t>
      </w:r>
      <w:r>
        <w:rPr>
          <w:rFonts w:ascii="SimSun" w:hAnsi="SimSun" w:eastAsia="SimSun" w:cs="SimSun"/>
          <w:sz w:val="24"/>
          <w:szCs w:val="24"/>
          <w:spacing w:val="-2"/>
        </w:rPr>
        <w:t>；</w:t>
      </w:r>
      <w:r>
        <w:rPr>
          <w:rFonts w:ascii="Times New Roman" w:hAnsi="Times New Roman" w:eastAsia="Times New Roman" w:cs="Times New Roman"/>
          <w:sz w:val="24"/>
          <w:szCs w:val="24"/>
          <w:spacing w:val="-2"/>
        </w:rPr>
        <w:t>2014  </w:t>
      </w:r>
      <w:r>
        <w:rPr>
          <w:rFonts w:ascii="SimSun" w:hAnsi="SimSun" w:eastAsia="SimSun" w:cs="SimSun"/>
          <w:sz w:val="24"/>
          <w:szCs w:val="24"/>
          <w:spacing w:val="-2"/>
        </w:rPr>
        <w:t>年采矿用地占评价面积的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年采矿用地占评</w:t>
      </w:r>
      <w:r>
        <w:rPr>
          <w:rFonts w:ascii="SimSun" w:hAnsi="SimSun" w:eastAsia="SimSun" w:cs="SimSun"/>
          <w:sz w:val="24"/>
          <w:szCs w:val="24"/>
          <w:spacing w:val="-2"/>
        </w:rPr>
        <w:t>价面积的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26.23%</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。本项目实施后，预计</w:t>
      </w:r>
      <w:r>
        <w:rPr>
          <w:rFonts w:ascii="SimSun" w:hAnsi="SimSun" w:eastAsia="SimSun" w:cs="SimSun"/>
          <w:sz w:val="24"/>
          <w:szCs w:val="24"/>
          <w:spacing w:val="-3"/>
        </w:rPr>
        <w:t>草地面积减少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2.54km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7"/>
          <w:position w:val="7"/>
        </w:rPr>
        <w:t xml:space="preserve"> </w:t>
      </w:r>
      <w:r>
        <w:rPr>
          <w:rFonts w:ascii="SimSun" w:hAnsi="SimSun" w:eastAsia="SimSun" w:cs="SimSun"/>
          <w:sz w:val="24"/>
          <w:szCs w:val="24"/>
          <w:spacing w:val="-3"/>
        </w:rPr>
        <w:t>，工矿仓储用地面积预计</w:t>
      </w:r>
      <w:r>
        <w:rPr>
          <w:rFonts w:ascii="SimSun" w:hAnsi="SimSun" w:eastAsia="SimSun" w:cs="SimSun"/>
          <w:sz w:val="24"/>
          <w:szCs w:val="24"/>
          <w:spacing w:val="-1"/>
        </w:rPr>
        <w:t>增加</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2.68km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ind w:left="119" w:right="112" w:firstLine="475"/>
        <w:spacing w:before="3" w:line="339" w:lineRule="auto"/>
        <w:jc w:val="both"/>
        <w:rPr>
          <w:rFonts w:ascii="SimSun" w:hAnsi="SimSun" w:eastAsia="SimSun" w:cs="SimSun"/>
          <w:sz w:val="24"/>
          <w:szCs w:val="24"/>
        </w:rPr>
      </w:pPr>
      <w:r>
        <w:rPr>
          <w:rFonts w:ascii="Times New Roman" w:hAnsi="Times New Roman" w:eastAsia="Times New Roman" w:cs="Times New Roman"/>
          <w:sz w:val="24"/>
          <w:szCs w:val="24"/>
          <w:spacing w:val="-3"/>
        </w:rPr>
        <w:t>2014 </w:t>
      </w:r>
      <w:r>
        <w:rPr>
          <w:rFonts w:ascii="SimSun" w:hAnsi="SimSun" w:eastAsia="SimSun" w:cs="SimSun"/>
          <w:sz w:val="24"/>
          <w:szCs w:val="24"/>
          <w:spacing w:val="-3"/>
        </w:rPr>
        <w:t>年煤矿已实现完全内排，露天区挖掘和排土基本达到平衡，采坑面积基本不再</w:t>
      </w:r>
      <w:r>
        <w:rPr>
          <w:rFonts w:ascii="SimSun" w:hAnsi="SimSun" w:eastAsia="SimSun" w:cs="SimSun"/>
          <w:sz w:val="24"/>
          <w:szCs w:val="24"/>
          <w:spacing w:val="-2"/>
        </w:rPr>
        <w:t>增加，而随着后期外排土场进一步的生态恢复，评价区内草地面积会不断增加，采矿用</w:t>
      </w:r>
      <w:r>
        <w:rPr>
          <w:rFonts w:ascii="SimSun" w:hAnsi="SimSun" w:eastAsia="SimSun" w:cs="SimSun"/>
          <w:sz w:val="24"/>
          <w:szCs w:val="24"/>
          <w:spacing w:val="-2"/>
        </w:rPr>
        <w:t>地逐步转变为人工牧草地。全区服务期满时，评价区北部将最终保留一定深度的采坑，</w:t>
      </w:r>
      <w:r>
        <w:rPr>
          <w:rFonts w:ascii="SimSun" w:hAnsi="SimSun" w:eastAsia="SimSun" w:cs="SimSun"/>
          <w:sz w:val="24"/>
          <w:szCs w:val="24"/>
          <w:spacing w:val="-2"/>
        </w:rPr>
        <w:t>内排到界区均恢复为草地，期间布置道路以及林网。因此露天区开采对土地利用的影响</w:t>
      </w:r>
      <w:r>
        <w:rPr>
          <w:rFonts w:ascii="SimSun" w:hAnsi="SimSun" w:eastAsia="SimSun" w:cs="SimSun"/>
          <w:sz w:val="24"/>
          <w:szCs w:val="24"/>
          <w:spacing w:val="-2"/>
        </w:rPr>
        <w:t>是不断变化和暂时的，随着生态整治措施的全面实施，土地利用类型又由采矿用地转变</w:t>
      </w:r>
      <w:r>
        <w:rPr>
          <w:rFonts w:ascii="SimSun" w:hAnsi="SimSun" w:eastAsia="SimSun" w:cs="SimSun"/>
          <w:sz w:val="24"/>
          <w:szCs w:val="24"/>
          <w:spacing w:val="-1"/>
        </w:rPr>
        <w:t>为人工牧草地，生态环境逐步恢复。</w:t>
      </w:r>
    </w:p>
    <w:p>
      <w:pPr>
        <w:ind w:left="2264"/>
        <w:spacing w:before="120" w:line="221" w:lineRule="auto"/>
        <w:rPr>
          <w:rFonts w:ascii="SimHei" w:hAnsi="SimHei" w:eastAsia="SimHei" w:cs="SimHei"/>
          <w:sz w:val="24"/>
          <w:szCs w:val="24"/>
        </w:rPr>
      </w:pPr>
      <w:r>
        <w:rPr>
          <w:rFonts w:ascii="SimHei" w:hAnsi="SimHei" w:eastAsia="SimHei" w:cs="SimHei"/>
          <w:sz w:val="24"/>
          <w:szCs w:val="24"/>
          <w:spacing w:val="-1"/>
        </w:rPr>
        <w:t>露天区煤炭开采对土地利用的影响预测结果表</w:t>
      </w:r>
    </w:p>
    <w:p>
      <w:pPr>
        <w:ind w:left="117"/>
        <w:spacing w:before="70"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5-1-10</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2"/>
        <w:gridCol w:w="1207"/>
        <w:gridCol w:w="1444"/>
        <w:gridCol w:w="1348"/>
        <w:gridCol w:w="1643"/>
        <w:gridCol w:w="1326"/>
      </w:tblGrid>
      <w:tr>
        <w:trPr>
          <w:trHeight w:val="335" w:hRule="atLeast"/>
        </w:trPr>
        <w:tc>
          <w:tcPr>
            <w:tcW w:w="2322" w:type="dxa"/>
            <w:vAlign w:val="top"/>
            <w:vMerge w:val="restart"/>
            <w:tcBorders>
              <w:bottom w:val="nil"/>
            </w:tcBorders>
          </w:tcPr>
          <w:p>
            <w:pPr>
              <w:spacing w:line="324" w:lineRule="auto"/>
              <w:rPr>
                <w:rFonts w:ascii="Arial"/>
                <w:sz w:val="21"/>
              </w:rPr>
            </w:pPr>
            <w:r/>
          </w:p>
          <w:p>
            <w:pPr>
              <w:ind w:left="955"/>
              <w:spacing w:before="65" w:line="228" w:lineRule="auto"/>
              <w:rPr>
                <w:rFonts w:ascii="SimSun" w:hAnsi="SimSun" w:eastAsia="SimSun" w:cs="SimSun"/>
                <w:sz w:val="20"/>
                <w:szCs w:val="20"/>
              </w:rPr>
            </w:pPr>
            <w:r>
              <w:rPr>
                <w:rFonts w:ascii="SimSun" w:hAnsi="SimSun" w:eastAsia="SimSun" w:cs="SimSun"/>
                <w:sz w:val="20"/>
                <w:szCs w:val="20"/>
                <w:spacing w:val="4"/>
              </w:rPr>
              <w:t>类型</w:t>
            </w:r>
          </w:p>
        </w:tc>
        <w:tc>
          <w:tcPr>
            <w:tcW w:w="2651" w:type="dxa"/>
            <w:vAlign w:val="top"/>
            <w:gridSpan w:val="2"/>
          </w:tcPr>
          <w:p>
            <w:pPr>
              <w:ind w:left="1122"/>
              <w:spacing w:before="59" w:line="228" w:lineRule="auto"/>
              <w:rPr>
                <w:rFonts w:ascii="SimSun" w:hAnsi="SimSun" w:eastAsia="SimSun" w:cs="SimSun"/>
                <w:sz w:val="20"/>
                <w:szCs w:val="20"/>
              </w:rPr>
            </w:pPr>
            <w:r>
              <w:rPr>
                <w:rFonts w:ascii="SimSun" w:hAnsi="SimSun" w:eastAsia="SimSun" w:cs="SimSun"/>
                <w:sz w:val="20"/>
                <w:szCs w:val="20"/>
                <w:spacing w:val="3"/>
              </w:rPr>
              <w:t>现状</w:t>
            </w:r>
          </w:p>
        </w:tc>
        <w:tc>
          <w:tcPr>
            <w:tcW w:w="4317" w:type="dxa"/>
            <w:vAlign w:val="top"/>
            <w:gridSpan w:val="3"/>
          </w:tcPr>
          <w:p>
            <w:pPr>
              <w:ind w:left="1855"/>
              <w:spacing w:before="59" w:line="228" w:lineRule="auto"/>
              <w:rPr>
                <w:rFonts w:ascii="SimSun" w:hAnsi="SimSun" w:eastAsia="SimSun" w:cs="SimSun"/>
                <w:sz w:val="20"/>
                <w:szCs w:val="20"/>
              </w:rPr>
            </w:pPr>
            <w:r>
              <w:rPr>
                <w:rFonts w:ascii="SimSun" w:hAnsi="SimSun" w:eastAsia="SimSun" w:cs="SimSun"/>
                <w:sz w:val="20"/>
                <w:szCs w:val="20"/>
                <w:spacing w:val="4"/>
              </w:rPr>
              <w:t>改建后</w:t>
            </w:r>
          </w:p>
        </w:tc>
      </w:tr>
      <w:tr>
        <w:trPr>
          <w:trHeight w:val="656" w:hRule="atLeast"/>
        </w:trPr>
        <w:tc>
          <w:tcPr>
            <w:tcW w:w="2322" w:type="dxa"/>
            <w:vAlign w:val="top"/>
            <w:vMerge w:val="continue"/>
            <w:tcBorders>
              <w:top w:val="nil"/>
            </w:tcBorders>
          </w:tcPr>
          <w:p>
            <w:pPr>
              <w:rPr>
                <w:rFonts w:ascii="Arial"/>
                <w:sz w:val="21"/>
              </w:rPr>
            </w:pPr>
            <w:r/>
          </w:p>
        </w:tc>
        <w:tc>
          <w:tcPr>
            <w:tcW w:w="1207" w:type="dxa"/>
            <w:vAlign w:val="top"/>
          </w:tcPr>
          <w:p>
            <w:pPr>
              <w:pStyle w:val="TableText"/>
              <w:ind w:left="240" w:right="244" w:firstLine="57"/>
              <w:spacing w:before="56" w:line="272" w:lineRule="auto"/>
              <w:rPr>
                <w:rFonts w:ascii="SimSun" w:hAnsi="SimSun" w:eastAsia="SimSun" w:cs="SimSun"/>
              </w:rPr>
            </w:pPr>
            <w:r>
              <w:rPr>
                <w:rFonts w:ascii="SimSun" w:hAnsi="SimSun" w:eastAsia="SimSun" w:cs="SimSun"/>
                <w:spacing w:val="5"/>
              </w:rPr>
              <w:t>总面积</w:t>
            </w:r>
            <w:r>
              <w:rPr>
                <w:rFonts w:ascii="SimSun" w:hAnsi="SimSun" w:eastAsia="SimSun" w:cs="SimSun"/>
                <w:spacing w:val="-1"/>
              </w:rPr>
              <w:t>（</w:t>
            </w:r>
            <w:r>
              <w:rPr>
                <w:spacing w:val="-1"/>
              </w:rPr>
              <w:t>km</w:t>
            </w:r>
            <w:r>
              <w:rPr>
                <w:sz w:val="13"/>
                <w:szCs w:val="13"/>
                <w:spacing w:val="-1"/>
                <w:position w:val="6"/>
              </w:rPr>
              <w:t>2</w:t>
            </w:r>
            <w:r>
              <w:rPr>
                <w:rFonts w:ascii="SimSun" w:hAnsi="SimSun" w:eastAsia="SimSun" w:cs="SimSun"/>
                <w:spacing w:val="-1"/>
              </w:rPr>
              <w:t>）</w:t>
            </w:r>
          </w:p>
        </w:tc>
        <w:tc>
          <w:tcPr>
            <w:tcW w:w="1444" w:type="dxa"/>
            <w:vAlign w:val="top"/>
          </w:tcPr>
          <w:p>
            <w:pPr>
              <w:ind w:left="201"/>
              <w:spacing w:before="219" w:line="228" w:lineRule="auto"/>
              <w:rPr>
                <w:rFonts w:ascii="SimSun" w:hAnsi="SimSun" w:eastAsia="SimSun" w:cs="SimSun"/>
                <w:sz w:val="20"/>
                <w:szCs w:val="20"/>
              </w:rPr>
            </w:pPr>
            <w:r>
              <w:rPr>
                <w:rFonts w:ascii="SimSun" w:hAnsi="SimSun" w:eastAsia="SimSun" w:cs="SimSun"/>
                <w:sz w:val="20"/>
                <w:szCs w:val="20"/>
                <w:spacing w:val="8"/>
              </w:rPr>
              <w:t>所占百分比</w:t>
            </w:r>
          </w:p>
        </w:tc>
        <w:tc>
          <w:tcPr>
            <w:tcW w:w="1348" w:type="dxa"/>
            <w:vAlign w:val="top"/>
          </w:tcPr>
          <w:p>
            <w:pPr>
              <w:pStyle w:val="TableText"/>
              <w:ind w:left="310" w:right="315" w:firstLine="57"/>
              <w:spacing w:before="56" w:line="272" w:lineRule="auto"/>
              <w:rPr>
                <w:rFonts w:ascii="SimSun" w:hAnsi="SimSun" w:eastAsia="SimSun" w:cs="SimSun"/>
              </w:rPr>
            </w:pPr>
            <w:r>
              <w:rPr>
                <w:rFonts w:ascii="SimSun" w:hAnsi="SimSun" w:eastAsia="SimSun" w:cs="SimSun"/>
                <w:spacing w:val="5"/>
              </w:rPr>
              <w:t>总面积</w:t>
            </w:r>
            <w:r>
              <w:rPr>
                <w:rFonts w:ascii="SimSun" w:hAnsi="SimSun" w:eastAsia="SimSun" w:cs="SimSun"/>
                <w:spacing w:val="-1"/>
              </w:rPr>
              <w:t>（</w:t>
            </w:r>
            <w:r>
              <w:rPr>
                <w:spacing w:val="-1"/>
              </w:rPr>
              <w:t>km</w:t>
            </w:r>
            <w:r>
              <w:rPr>
                <w:sz w:val="13"/>
                <w:szCs w:val="13"/>
                <w:spacing w:val="-1"/>
                <w:position w:val="6"/>
              </w:rPr>
              <w:t>2</w:t>
            </w:r>
            <w:r>
              <w:rPr>
                <w:rFonts w:ascii="SimSun" w:hAnsi="SimSun" w:eastAsia="SimSun" w:cs="SimSun"/>
                <w:spacing w:val="-1"/>
              </w:rPr>
              <w:t>）</w:t>
            </w:r>
          </w:p>
        </w:tc>
        <w:tc>
          <w:tcPr>
            <w:tcW w:w="1643" w:type="dxa"/>
            <w:vAlign w:val="top"/>
          </w:tcPr>
          <w:p>
            <w:pPr>
              <w:ind w:left="301"/>
              <w:spacing w:before="219" w:line="228" w:lineRule="auto"/>
              <w:rPr>
                <w:rFonts w:ascii="SimSun" w:hAnsi="SimSun" w:eastAsia="SimSun" w:cs="SimSun"/>
                <w:sz w:val="20"/>
                <w:szCs w:val="20"/>
              </w:rPr>
            </w:pPr>
            <w:r>
              <w:rPr>
                <w:rFonts w:ascii="SimSun" w:hAnsi="SimSun" w:eastAsia="SimSun" w:cs="SimSun"/>
                <w:sz w:val="20"/>
                <w:szCs w:val="20"/>
                <w:spacing w:val="8"/>
              </w:rPr>
              <w:t>所占百分比</w:t>
            </w:r>
          </w:p>
        </w:tc>
        <w:tc>
          <w:tcPr>
            <w:tcW w:w="1326" w:type="dxa"/>
            <w:vAlign w:val="top"/>
          </w:tcPr>
          <w:p>
            <w:pPr>
              <w:pStyle w:val="TableText"/>
              <w:ind w:left="112" w:right="58" w:firstLine="32"/>
              <w:spacing w:before="56" w:line="272" w:lineRule="auto"/>
              <w:rPr>
                <w:rFonts w:ascii="SimSun" w:hAnsi="SimSun" w:eastAsia="SimSun" w:cs="SimSun"/>
              </w:rPr>
            </w:pPr>
            <w:r>
              <w:rPr>
                <w:rFonts w:ascii="SimSun" w:hAnsi="SimSun" w:eastAsia="SimSun" w:cs="SimSun"/>
                <w:spacing w:val="7"/>
              </w:rPr>
              <w:t>与现状面积</w:t>
            </w:r>
            <w:r>
              <w:rPr>
                <w:rFonts w:ascii="SimSun" w:hAnsi="SimSun" w:eastAsia="SimSun" w:cs="SimSun"/>
                <w:spacing w:val="5"/>
              </w:rPr>
              <w:t>变化（</w:t>
            </w:r>
            <w:r>
              <w:rPr/>
              <w:t>km</w:t>
            </w:r>
            <w:r>
              <w:rPr>
                <w:sz w:val="13"/>
                <w:szCs w:val="13"/>
                <w:spacing w:val="5"/>
                <w:position w:val="6"/>
              </w:rPr>
              <w:t>2</w:t>
            </w:r>
            <w:r>
              <w:rPr>
                <w:rFonts w:ascii="SimSun" w:hAnsi="SimSun" w:eastAsia="SimSun" w:cs="SimSun"/>
                <w:spacing w:val="5"/>
              </w:rPr>
              <w:t>）</w:t>
            </w:r>
          </w:p>
        </w:tc>
      </w:tr>
      <w:tr>
        <w:trPr>
          <w:trHeight w:val="330" w:hRule="atLeast"/>
        </w:trPr>
        <w:tc>
          <w:tcPr>
            <w:tcW w:w="2322" w:type="dxa"/>
            <w:vAlign w:val="top"/>
          </w:tcPr>
          <w:p>
            <w:pPr>
              <w:ind w:left="957"/>
              <w:spacing w:before="57" w:line="228" w:lineRule="auto"/>
              <w:rPr>
                <w:rFonts w:ascii="SimSun" w:hAnsi="SimSun" w:eastAsia="SimSun" w:cs="SimSun"/>
                <w:sz w:val="20"/>
                <w:szCs w:val="20"/>
              </w:rPr>
            </w:pPr>
            <w:r>
              <w:rPr>
                <w:rFonts w:ascii="SimSun" w:hAnsi="SimSun" w:eastAsia="SimSun" w:cs="SimSun"/>
                <w:sz w:val="20"/>
                <w:szCs w:val="20"/>
                <w:spacing w:val="3"/>
              </w:rPr>
              <w:t>草地</w:t>
            </w:r>
          </w:p>
        </w:tc>
        <w:tc>
          <w:tcPr>
            <w:tcW w:w="1207" w:type="dxa"/>
            <w:vAlign w:val="top"/>
          </w:tcPr>
          <w:p>
            <w:pPr>
              <w:pStyle w:val="TableText"/>
              <w:ind w:left="419"/>
              <w:spacing w:before="93" w:line="195" w:lineRule="auto"/>
              <w:rPr/>
            </w:pPr>
            <w:r>
              <w:rPr>
                <w:spacing w:val="3"/>
              </w:rPr>
              <w:t>4.32</w:t>
            </w:r>
          </w:p>
        </w:tc>
        <w:tc>
          <w:tcPr>
            <w:tcW w:w="1444" w:type="dxa"/>
            <w:vAlign w:val="top"/>
          </w:tcPr>
          <w:p>
            <w:pPr>
              <w:pStyle w:val="TableText"/>
              <w:ind w:left="403"/>
              <w:spacing w:before="93" w:line="195" w:lineRule="auto"/>
              <w:rPr/>
            </w:pPr>
            <w:r>
              <w:rPr>
                <w:spacing w:val="3"/>
              </w:rPr>
              <w:t>34.97%</w:t>
            </w:r>
          </w:p>
        </w:tc>
        <w:tc>
          <w:tcPr>
            <w:tcW w:w="1348" w:type="dxa"/>
            <w:vAlign w:val="top"/>
          </w:tcPr>
          <w:p>
            <w:pPr>
              <w:pStyle w:val="TableText"/>
              <w:ind w:left="511"/>
              <w:spacing w:before="93" w:line="195" w:lineRule="auto"/>
              <w:rPr/>
            </w:pPr>
            <w:r>
              <w:rPr>
                <w:spacing w:val="-2"/>
              </w:rPr>
              <w:t>1.78</w:t>
            </w:r>
          </w:p>
        </w:tc>
        <w:tc>
          <w:tcPr>
            <w:tcW w:w="1643" w:type="dxa"/>
            <w:vAlign w:val="top"/>
          </w:tcPr>
          <w:p>
            <w:pPr>
              <w:pStyle w:val="TableText"/>
              <w:ind w:left="519"/>
              <w:spacing w:before="93" w:line="195" w:lineRule="auto"/>
              <w:rPr/>
            </w:pPr>
            <w:r>
              <w:rPr/>
              <w:t>14.41%</w:t>
            </w:r>
          </w:p>
        </w:tc>
        <w:tc>
          <w:tcPr>
            <w:tcW w:w="1326" w:type="dxa"/>
            <w:vAlign w:val="top"/>
          </w:tcPr>
          <w:p>
            <w:pPr>
              <w:pStyle w:val="TableText"/>
              <w:ind w:left="449"/>
              <w:spacing w:before="93" w:line="195" w:lineRule="auto"/>
              <w:rPr/>
            </w:pPr>
            <w:r>
              <w:rPr>
                <w:spacing w:val="2"/>
              </w:rPr>
              <w:t>-2.54</w:t>
            </w:r>
          </w:p>
        </w:tc>
      </w:tr>
      <w:tr>
        <w:trPr>
          <w:trHeight w:val="330" w:hRule="atLeast"/>
        </w:trPr>
        <w:tc>
          <w:tcPr>
            <w:tcW w:w="2322" w:type="dxa"/>
            <w:vAlign w:val="top"/>
          </w:tcPr>
          <w:p>
            <w:pPr>
              <w:ind w:left="538"/>
              <w:spacing w:before="58" w:line="228" w:lineRule="auto"/>
              <w:rPr>
                <w:rFonts w:ascii="SimSun" w:hAnsi="SimSun" w:eastAsia="SimSun" w:cs="SimSun"/>
                <w:sz w:val="20"/>
                <w:szCs w:val="20"/>
              </w:rPr>
            </w:pPr>
            <w:r>
              <w:rPr>
                <w:rFonts w:ascii="SimSun" w:hAnsi="SimSun" w:eastAsia="SimSun" w:cs="SimSun"/>
                <w:sz w:val="20"/>
                <w:szCs w:val="20"/>
                <w:spacing w:val="7"/>
              </w:rPr>
              <w:t>工矿仓储用地</w:t>
            </w:r>
          </w:p>
        </w:tc>
        <w:tc>
          <w:tcPr>
            <w:tcW w:w="1207" w:type="dxa"/>
            <w:vAlign w:val="top"/>
          </w:tcPr>
          <w:p>
            <w:pPr>
              <w:pStyle w:val="TableText"/>
              <w:ind w:left="423"/>
              <w:spacing w:before="94" w:line="195" w:lineRule="auto"/>
              <w:rPr/>
            </w:pPr>
            <w:r>
              <w:rPr>
                <w:spacing w:val="2"/>
              </w:rPr>
              <w:t>7.39</w:t>
            </w:r>
          </w:p>
        </w:tc>
        <w:tc>
          <w:tcPr>
            <w:tcW w:w="1444" w:type="dxa"/>
            <w:vAlign w:val="top"/>
          </w:tcPr>
          <w:p>
            <w:pPr>
              <w:pStyle w:val="TableText"/>
              <w:ind w:left="404"/>
              <w:spacing w:before="94" w:line="195" w:lineRule="auto"/>
              <w:rPr/>
            </w:pPr>
            <w:r>
              <w:rPr>
                <w:spacing w:val="3"/>
              </w:rPr>
              <w:t>59.83%</w:t>
            </w:r>
          </w:p>
        </w:tc>
        <w:tc>
          <w:tcPr>
            <w:tcW w:w="1348" w:type="dxa"/>
            <w:vAlign w:val="top"/>
          </w:tcPr>
          <w:p>
            <w:pPr>
              <w:pStyle w:val="TableText"/>
              <w:ind w:left="458"/>
              <w:spacing w:before="94" w:line="195" w:lineRule="auto"/>
              <w:rPr/>
            </w:pPr>
            <w:r>
              <w:rPr/>
              <w:t>10.07</w:t>
            </w:r>
          </w:p>
        </w:tc>
        <w:tc>
          <w:tcPr>
            <w:tcW w:w="1643" w:type="dxa"/>
            <w:vAlign w:val="top"/>
          </w:tcPr>
          <w:p>
            <w:pPr>
              <w:pStyle w:val="TableText"/>
              <w:ind w:left="507"/>
              <w:spacing w:before="94" w:line="195" w:lineRule="auto"/>
              <w:rPr/>
            </w:pPr>
            <w:r>
              <w:rPr>
                <w:spacing w:val="2"/>
              </w:rPr>
              <w:t>81.52%</w:t>
            </w:r>
          </w:p>
        </w:tc>
        <w:tc>
          <w:tcPr>
            <w:tcW w:w="1326" w:type="dxa"/>
            <w:vAlign w:val="top"/>
          </w:tcPr>
          <w:p>
            <w:pPr>
              <w:pStyle w:val="TableText"/>
              <w:ind w:left="478"/>
              <w:spacing w:before="94" w:line="195" w:lineRule="auto"/>
              <w:rPr/>
            </w:pPr>
            <w:r>
              <w:rPr>
                <w:spacing w:val="3"/>
              </w:rPr>
              <w:t>2.68</w:t>
            </w:r>
          </w:p>
        </w:tc>
      </w:tr>
      <w:tr>
        <w:trPr>
          <w:trHeight w:val="330" w:hRule="atLeast"/>
        </w:trPr>
        <w:tc>
          <w:tcPr>
            <w:tcW w:w="2322" w:type="dxa"/>
            <w:vAlign w:val="top"/>
          </w:tcPr>
          <w:p>
            <w:pPr>
              <w:ind w:left="540"/>
              <w:spacing w:before="59" w:line="228" w:lineRule="auto"/>
              <w:rPr>
                <w:rFonts w:ascii="SimSun" w:hAnsi="SimSun" w:eastAsia="SimSun" w:cs="SimSun"/>
                <w:sz w:val="20"/>
                <w:szCs w:val="20"/>
              </w:rPr>
            </w:pPr>
            <w:r>
              <w:rPr>
                <w:rFonts w:ascii="SimSun" w:hAnsi="SimSun" w:eastAsia="SimSun" w:cs="SimSun"/>
                <w:sz w:val="20"/>
                <w:szCs w:val="20"/>
                <w:spacing w:val="7"/>
              </w:rPr>
              <w:t>交通运输用地</w:t>
            </w:r>
          </w:p>
        </w:tc>
        <w:tc>
          <w:tcPr>
            <w:tcW w:w="1207" w:type="dxa"/>
            <w:vAlign w:val="top"/>
          </w:tcPr>
          <w:p>
            <w:pPr>
              <w:pStyle w:val="TableText"/>
              <w:ind w:left="423"/>
              <w:spacing w:before="95" w:line="195" w:lineRule="auto"/>
              <w:rPr/>
            </w:pPr>
            <w:r>
              <w:rPr>
                <w:spacing w:val="2"/>
              </w:rPr>
              <w:t>0.10</w:t>
            </w:r>
          </w:p>
        </w:tc>
        <w:tc>
          <w:tcPr>
            <w:tcW w:w="1444" w:type="dxa"/>
            <w:vAlign w:val="top"/>
          </w:tcPr>
          <w:p>
            <w:pPr>
              <w:pStyle w:val="TableText"/>
              <w:ind w:left="455"/>
              <w:spacing w:before="95" w:line="195" w:lineRule="auto"/>
              <w:rPr/>
            </w:pPr>
            <w:r>
              <w:rPr>
                <w:spacing w:val="3"/>
              </w:rPr>
              <w:t>0.82%</w:t>
            </w:r>
          </w:p>
        </w:tc>
        <w:tc>
          <w:tcPr>
            <w:tcW w:w="1348" w:type="dxa"/>
            <w:vAlign w:val="top"/>
          </w:tcPr>
          <w:p>
            <w:pPr>
              <w:pStyle w:val="TableText"/>
              <w:ind w:left="494"/>
              <w:spacing w:before="95" w:line="195" w:lineRule="auto"/>
              <w:rPr/>
            </w:pPr>
            <w:r>
              <w:rPr>
                <w:spacing w:val="2"/>
              </w:rPr>
              <w:t>0.01</w:t>
            </w:r>
          </w:p>
        </w:tc>
        <w:tc>
          <w:tcPr>
            <w:tcW w:w="1643" w:type="dxa"/>
            <w:vAlign w:val="top"/>
          </w:tcPr>
          <w:p>
            <w:pPr>
              <w:pStyle w:val="TableText"/>
              <w:ind w:left="555"/>
              <w:spacing w:before="95" w:line="195" w:lineRule="auto"/>
              <w:rPr/>
            </w:pPr>
            <w:r>
              <w:rPr>
                <w:spacing w:val="3"/>
              </w:rPr>
              <w:t>0.09%</w:t>
            </w:r>
          </w:p>
        </w:tc>
        <w:tc>
          <w:tcPr>
            <w:tcW w:w="1326" w:type="dxa"/>
            <w:vAlign w:val="top"/>
          </w:tcPr>
          <w:p>
            <w:pPr>
              <w:pStyle w:val="TableText"/>
              <w:ind w:left="449"/>
              <w:spacing w:before="95" w:line="195" w:lineRule="auto"/>
              <w:rPr/>
            </w:pPr>
            <w:r>
              <w:rPr>
                <w:spacing w:val="2"/>
              </w:rPr>
              <w:t>-0.09</w:t>
            </w:r>
          </w:p>
        </w:tc>
      </w:tr>
      <w:tr>
        <w:trPr>
          <w:trHeight w:val="333" w:hRule="atLeast"/>
        </w:trPr>
        <w:tc>
          <w:tcPr>
            <w:tcW w:w="2322" w:type="dxa"/>
            <w:vAlign w:val="top"/>
          </w:tcPr>
          <w:p>
            <w:pPr>
              <w:ind w:left="956"/>
              <w:spacing w:before="60" w:line="228" w:lineRule="auto"/>
              <w:rPr>
                <w:rFonts w:ascii="SimSun" w:hAnsi="SimSun" w:eastAsia="SimSun" w:cs="SimSun"/>
                <w:sz w:val="20"/>
                <w:szCs w:val="20"/>
              </w:rPr>
            </w:pPr>
            <w:r>
              <w:rPr>
                <w:rFonts w:ascii="SimSun" w:hAnsi="SimSun" w:eastAsia="SimSun" w:cs="SimSun"/>
                <w:sz w:val="20"/>
                <w:szCs w:val="20"/>
                <w:spacing w:val="4"/>
              </w:rPr>
              <w:t>林地</w:t>
            </w:r>
          </w:p>
        </w:tc>
        <w:tc>
          <w:tcPr>
            <w:tcW w:w="1207" w:type="dxa"/>
            <w:vAlign w:val="top"/>
          </w:tcPr>
          <w:p>
            <w:pPr>
              <w:pStyle w:val="TableText"/>
              <w:ind w:left="423"/>
              <w:spacing w:before="96" w:line="195" w:lineRule="auto"/>
              <w:rPr/>
            </w:pPr>
            <w:r>
              <w:rPr>
                <w:spacing w:val="2"/>
              </w:rPr>
              <w:t>0.00</w:t>
            </w:r>
          </w:p>
        </w:tc>
        <w:tc>
          <w:tcPr>
            <w:tcW w:w="1444" w:type="dxa"/>
            <w:vAlign w:val="top"/>
          </w:tcPr>
          <w:p>
            <w:pPr>
              <w:pStyle w:val="TableText"/>
              <w:ind w:left="455"/>
              <w:spacing w:before="96" w:line="195" w:lineRule="auto"/>
              <w:rPr/>
            </w:pPr>
            <w:r>
              <w:rPr>
                <w:spacing w:val="3"/>
              </w:rPr>
              <w:t>0.00%</w:t>
            </w:r>
          </w:p>
        </w:tc>
        <w:tc>
          <w:tcPr>
            <w:tcW w:w="1348" w:type="dxa"/>
            <w:vAlign w:val="top"/>
          </w:tcPr>
          <w:p>
            <w:pPr>
              <w:pStyle w:val="TableText"/>
              <w:ind w:left="494"/>
              <w:spacing w:before="96" w:line="195" w:lineRule="auto"/>
              <w:rPr/>
            </w:pPr>
            <w:r>
              <w:rPr>
                <w:spacing w:val="2"/>
              </w:rPr>
              <w:t>0.00</w:t>
            </w:r>
          </w:p>
        </w:tc>
        <w:tc>
          <w:tcPr>
            <w:tcW w:w="1643" w:type="dxa"/>
            <w:vAlign w:val="top"/>
          </w:tcPr>
          <w:p>
            <w:pPr>
              <w:pStyle w:val="TableText"/>
              <w:ind w:left="555"/>
              <w:spacing w:before="96" w:line="195" w:lineRule="auto"/>
              <w:rPr/>
            </w:pPr>
            <w:r>
              <w:rPr>
                <w:spacing w:val="3"/>
              </w:rPr>
              <w:t>0.00%</w:t>
            </w:r>
          </w:p>
        </w:tc>
        <w:tc>
          <w:tcPr>
            <w:tcW w:w="1326" w:type="dxa"/>
            <w:vAlign w:val="top"/>
          </w:tcPr>
          <w:p>
            <w:pPr>
              <w:pStyle w:val="TableText"/>
              <w:ind w:left="613"/>
              <w:spacing w:before="96" w:line="195" w:lineRule="auto"/>
              <w:rPr/>
            </w:pPr>
            <w:r>
              <w:rPr/>
              <w:t>0</w:t>
            </w:r>
          </w:p>
        </w:tc>
      </w:tr>
    </w:tbl>
    <w:p>
      <w:pPr>
        <w:pStyle w:val="BodyText"/>
        <w:spacing w:line="181" w:lineRule="exact"/>
        <w:rPr>
          <w:sz w:val="15"/>
        </w:rPr>
      </w:pPr>
      <w:r/>
    </w:p>
    <w:p>
      <w:pPr>
        <w:spacing w:line="181" w:lineRule="exact"/>
        <w:sectPr>
          <w:headerReference w:type="default" r:id="rId351"/>
          <w:footerReference w:type="default" r:id="rId352"/>
          <w:pgSz w:w="11906" w:h="16838"/>
          <w:pgMar w:top="1194" w:right="1304" w:bottom="1272" w:left="1305" w:header="861" w:footer="1110" w:gutter="0"/>
        </w:sectPr>
        <w:rPr>
          <w:sz w:val="15"/>
          <w:szCs w:val="15"/>
        </w:rPr>
      </w:pPr>
    </w:p>
    <w:p>
      <w:pPr>
        <w:spacing w:before="4"/>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22"/>
        <w:gridCol w:w="1207"/>
        <w:gridCol w:w="1444"/>
        <w:gridCol w:w="1348"/>
        <w:gridCol w:w="1643"/>
        <w:gridCol w:w="1326"/>
      </w:tblGrid>
      <w:tr>
        <w:trPr>
          <w:trHeight w:val="334" w:hRule="atLeast"/>
        </w:trPr>
        <w:tc>
          <w:tcPr>
            <w:tcW w:w="2322" w:type="dxa"/>
            <w:vAlign w:val="top"/>
          </w:tcPr>
          <w:p>
            <w:pPr>
              <w:ind w:left="744"/>
              <w:spacing w:before="62" w:line="228" w:lineRule="auto"/>
              <w:rPr>
                <w:rFonts w:ascii="SimSun" w:hAnsi="SimSun" w:eastAsia="SimSun" w:cs="SimSun"/>
                <w:sz w:val="20"/>
                <w:szCs w:val="20"/>
              </w:rPr>
            </w:pPr>
            <w:r>
              <w:rPr>
                <w:rFonts w:ascii="SimSun" w:hAnsi="SimSun" w:eastAsia="SimSun" w:cs="SimSun"/>
                <w:sz w:val="20"/>
                <w:szCs w:val="20"/>
                <w:spacing w:val="7"/>
              </w:rPr>
              <w:t>坑塘水面</w:t>
            </w:r>
          </w:p>
        </w:tc>
        <w:tc>
          <w:tcPr>
            <w:tcW w:w="1207" w:type="dxa"/>
            <w:vAlign w:val="top"/>
          </w:tcPr>
          <w:p>
            <w:pPr>
              <w:pStyle w:val="TableText"/>
              <w:ind w:left="423"/>
              <w:spacing w:before="98" w:line="195" w:lineRule="auto"/>
              <w:rPr/>
            </w:pPr>
            <w:r>
              <w:rPr>
                <w:spacing w:val="2"/>
              </w:rPr>
              <w:t>0.44</w:t>
            </w:r>
          </w:p>
        </w:tc>
        <w:tc>
          <w:tcPr>
            <w:tcW w:w="1444" w:type="dxa"/>
            <w:vAlign w:val="top"/>
          </w:tcPr>
          <w:p>
            <w:pPr>
              <w:pStyle w:val="TableText"/>
              <w:ind w:left="456"/>
              <w:spacing w:before="98" w:line="195" w:lineRule="auto"/>
              <w:rPr/>
            </w:pPr>
            <w:r>
              <w:rPr>
                <w:spacing w:val="3"/>
              </w:rPr>
              <w:t>3.59%</w:t>
            </w:r>
          </w:p>
        </w:tc>
        <w:tc>
          <w:tcPr>
            <w:tcW w:w="1348" w:type="dxa"/>
            <w:vAlign w:val="top"/>
          </w:tcPr>
          <w:p>
            <w:pPr>
              <w:pStyle w:val="TableText"/>
              <w:ind w:left="494"/>
              <w:spacing w:before="98" w:line="195" w:lineRule="auto"/>
              <w:rPr/>
            </w:pPr>
            <w:r>
              <w:rPr>
                <w:spacing w:val="2"/>
              </w:rPr>
              <w:t>0.41</w:t>
            </w:r>
          </w:p>
        </w:tc>
        <w:tc>
          <w:tcPr>
            <w:tcW w:w="1643" w:type="dxa"/>
            <w:vAlign w:val="top"/>
          </w:tcPr>
          <w:p>
            <w:pPr>
              <w:pStyle w:val="TableText"/>
              <w:ind w:left="556"/>
              <w:spacing w:before="98" w:line="195" w:lineRule="auto"/>
              <w:rPr/>
            </w:pPr>
            <w:r>
              <w:rPr>
                <w:spacing w:val="3"/>
              </w:rPr>
              <w:t>3.35%</w:t>
            </w:r>
          </w:p>
        </w:tc>
        <w:tc>
          <w:tcPr>
            <w:tcW w:w="1326" w:type="dxa"/>
            <w:vAlign w:val="top"/>
          </w:tcPr>
          <w:p>
            <w:pPr>
              <w:pStyle w:val="TableText"/>
              <w:ind w:left="449"/>
              <w:spacing w:before="98" w:line="195" w:lineRule="auto"/>
              <w:rPr/>
            </w:pPr>
            <w:r>
              <w:rPr>
                <w:spacing w:val="2"/>
              </w:rPr>
              <w:t>-0.03</w:t>
            </w:r>
          </w:p>
        </w:tc>
      </w:tr>
      <w:tr>
        <w:trPr>
          <w:trHeight w:val="330" w:hRule="atLeast"/>
        </w:trPr>
        <w:tc>
          <w:tcPr>
            <w:tcW w:w="2322" w:type="dxa"/>
            <w:vAlign w:val="top"/>
          </w:tcPr>
          <w:p>
            <w:pPr>
              <w:ind w:left="770"/>
              <w:spacing w:before="59" w:line="228" w:lineRule="auto"/>
              <w:rPr>
                <w:rFonts w:ascii="SimSun" w:hAnsi="SimSun" w:eastAsia="SimSun" w:cs="SimSun"/>
                <w:sz w:val="20"/>
                <w:szCs w:val="20"/>
              </w:rPr>
            </w:pPr>
            <w:r>
              <w:rPr>
                <w:rFonts w:ascii="SimSun" w:hAnsi="SimSun" w:eastAsia="SimSun" w:cs="SimSun"/>
                <w:sz w:val="20"/>
                <w:szCs w:val="20"/>
                <w:spacing w:val="1"/>
              </w:rPr>
              <w:t>内陆滩涂</w:t>
            </w:r>
          </w:p>
        </w:tc>
        <w:tc>
          <w:tcPr>
            <w:tcW w:w="1207" w:type="dxa"/>
            <w:vAlign w:val="top"/>
          </w:tcPr>
          <w:p>
            <w:pPr>
              <w:pStyle w:val="TableText"/>
              <w:ind w:left="423"/>
              <w:spacing w:before="95" w:line="195" w:lineRule="auto"/>
              <w:rPr/>
            </w:pPr>
            <w:r>
              <w:rPr>
                <w:spacing w:val="2"/>
              </w:rPr>
              <w:t>0.01</w:t>
            </w:r>
          </w:p>
        </w:tc>
        <w:tc>
          <w:tcPr>
            <w:tcW w:w="1444" w:type="dxa"/>
            <w:vAlign w:val="top"/>
          </w:tcPr>
          <w:p>
            <w:pPr>
              <w:pStyle w:val="TableText"/>
              <w:ind w:left="455"/>
              <w:spacing w:before="95" w:line="195" w:lineRule="auto"/>
              <w:rPr/>
            </w:pPr>
            <w:r>
              <w:rPr>
                <w:spacing w:val="3"/>
              </w:rPr>
              <w:t>0.06%</w:t>
            </w:r>
          </w:p>
        </w:tc>
        <w:tc>
          <w:tcPr>
            <w:tcW w:w="1348" w:type="dxa"/>
            <w:vAlign w:val="top"/>
          </w:tcPr>
          <w:p>
            <w:pPr>
              <w:pStyle w:val="TableText"/>
              <w:ind w:left="494"/>
              <w:spacing w:before="95" w:line="195" w:lineRule="auto"/>
              <w:rPr/>
            </w:pPr>
            <w:r>
              <w:rPr>
                <w:spacing w:val="2"/>
              </w:rPr>
              <w:t>0.01</w:t>
            </w:r>
          </w:p>
        </w:tc>
        <w:tc>
          <w:tcPr>
            <w:tcW w:w="1643" w:type="dxa"/>
            <w:vAlign w:val="top"/>
          </w:tcPr>
          <w:p>
            <w:pPr>
              <w:pStyle w:val="TableText"/>
              <w:ind w:left="555"/>
              <w:spacing w:before="95" w:line="195" w:lineRule="auto"/>
              <w:rPr/>
            </w:pPr>
            <w:r>
              <w:rPr>
                <w:spacing w:val="3"/>
              </w:rPr>
              <w:t>0.06%</w:t>
            </w:r>
          </w:p>
        </w:tc>
        <w:tc>
          <w:tcPr>
            <w:tcW w:w="1326" w:type="dxa"/>
            <w:vAlign w:val="top"/>
          </w:tcPr>
          <w:p>
            <w:pPr>
              <w:pStyle w:val="TableText"/>
              <w:ind w:left="613"/>
              <w:spacing w:before="95" w:line="195" w:lineRule="auto"/>
              <w:rPr/>
            </w:pPr>
            <w:r>
              <w:rPr/>
              <w:t>0</w:t>
            </w:r>
          </w:p>
        </w:tc>
      </w:tr>
      <w:tr>
        <w:trPr>
          <w:trHeight w:val="330" w:hRule="atLeast"/>
        </w:trPr>
        <w:tc>
          <w:tcPr>
            <w:tcW w:w="2322" w:type="dxa"/>
            <w:vAlign w:val="top"/>
          </w:tcPr>
          <w:p>
            <w:pPr>
              <w:ind w:left="743"/>
              <w:spacing w:before="60" w:line="228" w:lineRule="auto"/>
              <w:rPr>
                <w:rFonts w:ascii="SimSun" w:hAnsi="SimSun" w:eastAsia="SimSun" w:cs="SimSun"/>
                <w:sz w:val="20"/>
                <w:szCs w:val="20"/>
              </w:rPr>
            </w:pPr>
            <w:r>
              <w:rPr>
                <w:rFonts w:ascii="SimSun" w:hAnsi="SimSun" w:eastAsia="SimSun" w:cs="SimSun"/>
                <w:sz w:val="20"/>
                <w:szCs w:val="20"/>
                <w:spacing w:val="7"/>
              </w:rPr>
              <w:t>河流水面</w:t>
            </w:r>
          </w:p>
        </w:tc>
        <w:tc>
          <w:tcPr>
            <w:tcW w:w="1207" w:type="dxa"/>
            <w:vAlign w:val="top"/>
          </w:tcPr>
          <w:p>
            <w:pPr>
              <w:pStyle w:val="TableText"/>
              <w:ind w:left="423"/>
              <w:spacing w:before="96" w:line="195" w:lineRule="auto"/>
              <w:rPr/>
            </w:pPr>
            <w:r>
              <w:rPr>
                <w:spacing w:val="2"/>
              </w:rPr>
              <w:t>0.03</w:t>
            </w:r>
          </w:p>
        </w:tc>
        <w:tc>
          <w:tcPr>
            <w:tcW w:w="1444" w:type="dxa"/>
            <w:vAlign w:val="top"/>
          </w:tcPr>
          <w:p>
            <w:pPr>
              <w:pStyle w:val="TableText"/>
              <w:ind w:left="455"/>
              <w:spacing w:before="96" w:line="195" w:lineRule="auto"/>
              <w:rPr/>
            </w:pPr>
            <w:r>
              <w:rPr>
                <w:spacing w:val="3"/>
              </w:rPr>
              <w:t>0.28%</w:t>
            </w:r>
          </w:p>
        </w:tc>
        <w:tc>
          <w:tcPr>
            <w:tcW w:w="1348" w:type="dxa"/>
            <w:vAlign w:val="top"/>
          </w:tcPr>
          <w:p>
            <w:pPr>
              <w:pStyle w:val="TableText"/>
              <w:ind w:left="494"/>
              <w:spacing w:before="96" w:line="195" w:lineRule="auto"/>
              <w:rPr/>
            </w:pPr>
            <w:r>
              <w:rPr>
                <w:spacing w:val="2"/>
              </w:rPr>
              <w:t>0.03</w:t>
            </w:r>
          </w:p>
        </w:tc>
        <w:tc>
          <w:tcPr>
            <w:tcW w:w="1643" w:type="dxa"/>
            <w:vAlign w:val="top"/>
          </w:tcPr>
          <w:p>
            <w:pPr>
              <w:pStyle w:val="TableText"/>
              <w:ind w:left="555"/>
              <w:spacing w:before="96" w:line="195" w:lineRule="auto"/>
              <w:rPr/>
            </w:pPr>
            <w:r>
              <w:rPr>
                <w:spacing w:val="3"/>
              </w:rPr>
              <w:t>0.28%</w:t>
            </w:r>
          </w:p>
        </w:tc>
        <w:tc>
          <w:tcPr>
            <w:tcW w:w="1326" w:type="dxa"/>
            <w:vAlign w:val="top"/>
          </w:tcPr>
          <w:p>
            <w:pPr>
              <w:pStyle w:val="TableText"/>
              <w:ind w:left="613"/>
              <w:spacing w:before="96" w:line="195" w:lineRule="auto"/>
              <w:rPr/>
            </w:pPr>
            <w:r>
              <w:rPr/>
              <w:t>0</w:t>
            </w:r>
          </w:p>
        </w:tc>
      </w:tr>
      <w:tr>
        <w:trPr>
          <w:trHeight w:val="330" w:hRule="atLeast"/>
        </w:trPr>
        <w:tc>
          <w:tcPr>
            <w:tcW w:w="2322" w:type="dxa"/>
            <w:vAlign w:val="top"/>
          </w:tcPr>
          <w:p>
            <w:pPr>
              <w:ind w:left="745"/>
              <w:spacing w:before="61" w:line="229" w:lineRule="auto"/>
              <w:rPr>
                <w:rFonts w:ascii="SimSun" w:hAnsi="SimSun" w:eastAsia="SimSun" w:cs="SimSun"/>
                <w:sz w:val="20"/>
                <w:szCs w:val="20"/>
              </w:rPr>
            </w:pPr>
            <w:r>
              <w:rPr>
                <w:rFonts w:ascii="SimSun" w:hAnsi="SimSun" w:eastAsia="SimSun" w:cs="SimSun"/>
                <w:sz w:val="20"/>
                <w:szCs w:val="20"/>
                <w:spacing w:val="7"/>
              </w:rPr>
              <w:t>其它土地</w:t>
            </w:r>
          </w:p>
        </w:tc>
        <w:tc>
          <w:tcPr>
            <w:tcW w:w="1207" w:type="dxa"/>
            <w:vAlign w:val="top"/>
          </w:tcPr>
          <w:p>
            <w:pPr>
              <w:pStyle w:val="TableText"/>
              <w:ind w:left="423"/>
              <w:spacing w:before="97" w:line="195" w:lineRule="auto"/>
              <w:rPr/>
            </w:pPr>
            <w:r>
              <w:rPr>
                <w:spacing w:val="2"/>
              </w:rPr>
              <w:t>0.06</w:t>
            </w:r>
          </w:p>
        </w:tc>
        <w:tc>
          <w:tcPr>
            <w:tcW w:w="1444" w:type="dxa"/>
            <w:vAlign w:val="top"/>
          </w:tcPr>
          <w:p>
            <w:pPr>
              <w:pStyle w:val="TableText"/>
              <w:ind w:left="455"/>
              <w:spacing w:before="97" w:line="195" w:lineRule="auto"/>
              <w:rPr/>
            </w:pPr>
            <w:r>
              <w:rPr>
                <w:spacing w:val="3"/>
              </w:rPr>
              <w:t>0.45%</w:t>
            </w:r>
          </w:p>
        </w:tc>
        <w:tc>
          <w:tcPr>
            <w:tcW w:w="1348" w:type="dxa"/>
            <w:vAlign w:val="top"/>
          </w:tcPr>
          <w:p>
            <w:pPr>
              <w:pStyle w:val="TableText"/>
              <w:ind w:left="494"/>
              <w:spacing w:before="97" w:line="195" w:lineRule="auto"/>
              <w:rPr/>
            </w:pPr>
            <w:r>
              <w:rPr>
                <w:spacing w:val="2"/>
              </w:rPr>
              <w:t>0.04</w:t>
            </w:r>
          </w:p>
        </w:tc>
        <w:tc>
          <w:tcPr>
            <w:tcW w:w="1643" w:type="dxa"/>
            <w:vAlign w:val="top"/>
          </w:tcPr>
          <w:p>
            <w:pPr>
              <w:pStyle w:val="TableText"/>
              <w:ind w:left="555"/>
              <w:spacing w:before="97" w:line="195" w:lineRule="auto"/>
              <w:rPr/>
            </w:pPr>
            <w:r>
              <w:rPr>
                <w:spacing w:val="3"/>
              </w:rPr>
              <w:t>0.29%</w:t>
            </w:r>
          </w:p>
        </w:tc>
        <w:tc>
          <w:tcPr>
            <w:tcW w:w="1326" w:type="dxa"/>
            <w:vAlign w:val="top"/>
          </w:tcPr>
          <w:p>
            <w:pPr>
              <w:pStyle w:val="TableText"/>
              <w:ind w:left="449"/>
              <w:spacing w:before="97" w:line="195" w:lineRule="auto"/>
              <w:rPr/>
            </w:pPr>
            <w:r>
              <w:rPr>
                <w:spacing w:val="2"/>
              </w:rPr>
              <w:t>-0.02</w:t>
            </w:r>
          </w:p>
        </w:tc>
      </w:tr>
      <w:tr>
        <w:trPr>
          <w:trHeight w:val="335" w:hRule="atLeast"/>
        </w:trPr>
        <w:tc>
          <w:tcPr>
            <w:tcW w:w="2322" w:type="dxa"/>
            <w:vAlign w:val="top"/>
          </w:tcPr>
          <w:p>
            <w:pPr>
              <w:ind w:left="961"/>
              <w:spacing w:before="62" w:line="229" w:lineRule="auto"/>
              <w:rPr>
                <w:rFonts w:ascii="SimSun" w:hAnsi="SimSun" w:eastAsia="SimSun" w:cs="SimSun"/>
                <w:sz w:val="20"/>
                <w:szCs w:val="20"/>
              </w:rPr>
            </w:pPr>
            <w:r>
              <w:rPr>
                <w:rFonts w:ascii="SimSun" w:hAnsi="SimSun" w:eastAsia="SimSun" w:cs="SimSun"/>
                <w:sz w:val="20"/>
                <w:szCs w:val="20"/>
                <w:spacing w:val="2"/>
              </w:rPr>
              <w:t>总计</w:t>
            </w:r>
          </w:p>
        </w:tc>
        <w:tc>
          <w:tcPr>
            <w:tcW w:w="1207" w:type="dxa"/>
            <w:vAlign w:val="top"/>
          </w:tcPr>
          <w:p>
            <w:pPr>
              <w:pStyle w:val="TableText"/>
              <w:ind w:left="387"/>
              <w:spacing w:before="98" w:line="195" w:lineRule="auto"/>
              <w:rPr/>
            </w:pPr>
            <w:r>
              <w:rPr>
                <w:spacing w:val="-1"/>
              </w:rPr>
              <w:t>12.35</w:t>
            </w:r>
          </w:p>
        </w:tc>
        <w:tc>
          <w:tcPr>
            <w:tcW w:w="1444" w:type="dxa"/>
            <w:vAlign w:val="top"/>
          </w:tcPr>
          <w:p>
            <w:pPr>
              <w:pStyle w:val="TableText"/>
              <w:ind w:left="498"/>
              <w:spacing w:before="98" w:line="195" w:lineRule="auto"/>
              <w:rPr/>
            </w:pPr>
            <w:r>
              <w:rPr>
                <w:spacing w:val="-1"/>
              </w:rPr>
              <w:t>100%</w:t>
            </w:r>
          </w:p>
        </w:tc>
        <w:tc>
          <w:tcPr>
            <w:tcW w:w="1348" w:type="dxa"/>
            <w:vAlign w:val="top"/>
          </w:tcPr>
          <w:p>
            <w:pPr>
              <w:pStyle w:val="TableText"/>
              <w:ind w:left="458"/>
              <w:spacing w:before="98" w:line="195" w:lineRule="auto"/>
              <w:rPr/>
            </w:pPr>
            <w:r>
              <w:rPr/>
              <w:t>12.35</w:t>
            </w:r>
          </w:p>
        </w:tc>
        <w:tc>
          <w:tcPr>
            <w:tcW w:w="1643" w:type="dxa"/>
            <w:vAlign w:val="top"/>
          </w:tcPr>
          <w:p>
            <w:pPr>
              <w:pStyle w:val="TableText"/>
              <w:ind w:left="466"/>
              <w:spacing w:before="98" w:line="195" w:lineRule="auto"/>
              <w:rPr/>
            </w:pPr>
            <w:r>
              <w:rPr>
                <w:spacing w:val="1"/>
              </w:rPr>
              <w:t>100.00%</w:t>
            </w:r>
          </w:p>
        </w:tc>
        <w:tc>
          <w:tcPr>
            <w:tcW w:w="1326" w:type="dxa"/>
            <w:vAlign w:val="top"/>
          </w:tcPr>
          <w:p>
            <w:pPr>
              <w:pStyle w:val="TableText"/>
              <w:ind w:left="613"/>
              <w:spacing w:before="98" w:line="195" w:lineRule="auto"/>
              <w:rPr/>
            </w:pPr>
            <w:r>
              <w:rPr/>
              <w:t>0</w:t>
            </w:r>
          </w:p>
        </w:tc>
      </w:tr>
    </w:tbl>
    <w:p>
      <w:pPr>
        <w:ind w:left="600"/>
        <w:spacing w:before="146" w:line="219" w:lineRule="auto"/>
        <w:rPr>
          <w:rFonts w:ascii="SimSun" w:hAnsi="SimSun" w:eastAsia="SimSun" w:cs="SimSun"/>
          <w:sz w:val="24"/>
          <w:szCs w:val="24"/>
        </w:rPr>
      </w:pP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、煤矿开采对土壤侵蚀影响分析</w:t>
      </w:r>
    </w:p>
    <w:p>
      <w:pPr>
        <w:ind w:left="618"/>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3"/>
        </w:rPr>
        <w:t>1</w:t>
      </w:r>
      <w:r>
        <w:rPr>
          <w:rFonts w:ascii="SimSun" w:hAnsi="SimSun" w:eastAsia="SimSun" w:cs="SimSun"/>
          <w:sz w:val="24"/>
          <w:szCs w:val="24"/>
          <w:spacing w:val="-3"/>
        </w:rPr>
        <w:t>）土壤侵蚀影响因素分析</w:t>
      </w:r>
    </w:p>
    <w:p>
      <w:pPr>
        <w:ind w:left="118" w:right="112" w:firstLine="510"/>
        <w:spacing w:before="159" w:line="338" w:lineRule="auto"/>
        <w:rPr>
          <w:rFonts w:ascii="SimSun" w:hAnsi="SimSun" w:eastAsia="SimSun" w:cs="SimSun"/>
          <w:sz w:val="24"/>
          <w:szCs w:val="24"/>
        </w:rPr>
      </w:pPr>
      <w:r>
        <w:rPr>
          <w:rFonts w:ascii="SimSun" w:hAnsi="SimSun" w:eastAsia="SimSun" w:cs="SimSun"/>
          <w:sz w:val="24"/>
          <w:szCs w:val="24"/>
          <w:spacing w:val="-2"/>
        </w:rPr>
        <w:t>由于露天煤矿开采造成的土壤侵蚀影响因素改</w:t>
      </w:r>
      <w:r>
        <w:rPr>
          <w:rFonts w:ascii="SimSun" w:hAnsi="SimSun" w:eastAsia="SimSun" w:cs="SimSun"/>
          <w:sz w:val="24"/>
          <w:szCs w:val="24"/>
          <w:spacing w:val="-3"/>
        </w:rPr>
        <w:t>变主要包括三方面：一是由于露天煤</w:t>
      </w:r>
      <w:r>
        <w:rPr>
          <w:rFonts w:ascii="SimSun" w:hAnsi="SimSun" w:eastAsia="SimSun" w:cs="SimSun"/>
          <w:sz w:val="24"/>
          <w:szCs w:val="24"/>
          <w:spacing w:val="-2"/>
        </w:rPr>
        <w:t>矿开采后复垦前由于草地植被破坏致使土壤裸露，植被对土壤的覆盖保护作用和根系固</w:t>
      </w:r>
      <w:r>
        <w:rPr>
          <w:rFonts w:ascii="SimSun" w:hAnsi="SimSun" w:eastAsia="SimSun" w:cs="SimSun"/>
          <w:sz w:val="24"/>
          <w:szCs w:val="24"/>
          <w:spacing w:val="-2"/>
        </w:rPr>
        <w:t>土作用丧失，从而引起土壤侵蚀加剧。第二方面是由于工程建设造成大量的松散表土发</w:t>
      </w:r>
      <w:r>
        <w:rPr>
          <w:rFonts w:ascii="SimSun" w:hAnsi="SimSun" w:eastAsia="SimSun" w:cs="SimSun"/>
          <w:sz w:val="24"/>
          <w:szCs w:val="24"/>
          <w:spacing w:val="-2"/>
        </w:rPr>
        <w:t>生运移并重新堆积，使土壤水分和养分散失，土体结构被破坏，堆积后的表土松散，降</w:t>
      </w:r>
      <w:r>
        <w:rPr>
          <w:rFonts w:ascii="SimSun" w:hAnsi="SimSun" w:eastAsia="SimSun" w:cs="SimSun"/>
          <w:sz w:val="24"/>
          <w:szCs w:val="24"/>
          <w:spacing w:val="-2"/>
        </w:rPr>
        <w:t>低了地表土壤的抗蚀力，增加了土壤侵蚀的可能性。第三方面是由于开采过程中排土量</w:t>
      </w:r>
      <w:r>
        <w:rPr>
          <w:rFonts w:ascii="SimSun" w:hAnsi="SimSun" w:eastAsia="SimSun" w:cs="SimSun"/>
          <w:sz w:val="24"/>
          <w:szCs w:val="24"/>
          <w:spacing w:val="-2"/>
        </w:rPr>
        <w:t>增多，逐渐形成了占地面积较大和高度较高的人工堆垫地貌，雨季改变了汇流条件，增</w:t>
      </w:r>
      <w:r>
        <w:rPr>
          <w:rFonts w:ascii="SimSun" w:hAnsi="SimSun" w:eastAsia="SimSun" w:cs="SimSun"/>
          <w:sz w:val="24"/>
          <w:szCs w:val="24"/>
          <w:spacing w:val="-2"/>
        </w:rPr>
        <w:t>加了发生水蚀侵蚀的可能。露天区工程施工活动主要局限于采掘场、内排土场等。后期</w:t>
      </w:r>
      <w:r>
        <w:rPr>
          <w:rFonts w:ascii="SimSun" w:hAnsi="SimSun" w:eastAsia="SimSun" w:cs="SimSun"/>
          <w:sz w:val="24"/>
          <w:szCs w:val="24"/>
          <w:spacing w:val="-2"/>
        </w:rPr>
        <w:t>土壤侵蚀主要表现为剥离以及内排阶段的土壤侵蚀加剧，以及随排土场复垦后土壤侵蚀</w:t>
      </w:r>
      <w:r>
        <w:rPr>
          <w:rFonts w:ascii="SimSun" w:hAnsi="SimSun" w:eastAsia="SimSun" w:cs="SimSun"/>
          <w:sz w:val="24"/>
          <w:szCs w:val="24"/>
          <w:spacing w:val="-2"/>
        </w:rPr>
        <w:t>程度逐渐降低。</w:t>
      </w:r>
    </w:p>
    <w:p>
      <w:pPr>
        <w:ind w:left="595"/>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）土壤侵蚀影响评价</w:t>
      </w:r>
    </w:p>
    <w:p>
      <w:pPr>
        <w:ind w:left="120" w:right="46" w:firstLine="479"/>
        <w:spacing w:before="159" w:line="338" w:lineRule="auto"/>
        <w:rPr>
          <w:rFonts w:ascii="SimSun" w:hAnsi="SimSun" w:eastAsia="SimSun" w:cs="SimSun"/>
          <w:sz w:val="24"/>
          <w:szCs w:val="24"/>
        </w:rPr>
      </w:pPr>
      <w:r>
        <w:rPr>
          <w:rFonts w:ascii="SimSun" w:hAnsi="SimSun" w:eastAsia="SimSun" w:cs="SimSun"/>
          <w:sz w:val="24"/>
          <w:szCs w:val="24"/>
          <w:spacing w:val="-2"/>
        </w:rPr>
        <w:t>根据原地貌土壤侵蚀情况以及土壤侵蚀回顾性分析，随着采掘场挖损的占压，土壤</w:t>
      </w:r>
      <w:r>
        <w:rPr>
          <w:rFonts w:ascii="SimSun" w:hAnsi="SimSun" w:eastAsia="SimSun" w:cs="SimSun"/>
          <w:sz w:val="24"/>
          <w:szCs w:val="24"/>
          <w:spacing w:val="-2"/>
        </w:rPr>
        <w:t>侵蚀强度明显增加，轻度侵蚀面积减少，中度和强烈侵蚀面积增加。随着后期内排土场</w:t>
      </w:r>
      <w:r>
        <w:rPr>
          <w:rFonts w:ascii="SimSun" w:hAnsi="SimSun" w:eastAsia="SimSun" w:cs="SimSun"/>
          <w:sz w:val="24"/>
          <w:szCs w:val="24"/>
          <w:spacing w:val="-6"/>
        </w:rPr>
        <w:t>复垦工作的推进，以及植被演替、植被覆盖度升高，内排土场土壤侵蚀强度会有所降低，</w:t>
      </w:r>
      <w:r>
        <w:rPr>
          <w:rFonts w:ascii="SimSun" w:hAnsi="SimSun" w:eastAsia="SimSun" w:cs="SimSun"/>
          <w:sz w:val="24"/>
          <w:szCs w:val="24"/>
          <w:spacing w:val="-2"/>
        </w:rPr>
        <w:t>整个评价区的土壤侵蚀强度也会减轻。因此应及时布设合理有效的生态整治措施，避免</w:t>
      </w:r>
      <w:r>
        <w:rPr>
          <w:rFonts w:ascii="SimSun" w:hAnsi="SimSun" w:eastAsia="SimSun" w:cs="SimSun"/>
          <w:sz w:val="24"/>
          <w:szCs w:val="24"/>
          <w:spacing w:val="-1"/>
        </w:rPr>
        <w:t>区域水土流失的进一步加剧。</w:t>
      </w:r>
    </w:p>
    <w:p>
      <w:pPr>
        <w:ind w:left="599"/>
        <w:spacing w:line="218" w:lineRule="auto"/>
        <w:rPr>
          <w:rFonts w:ascii="SimSun" w:hAnsi="SimSun" w:eastAsia="SimSun" w:cs="SimSun"/>
          <w:sz w:val="24"/>
          <w:szCs w:val="24"/>
        </w:rPr>
      </w:pPr>
      <w:r>
        <w:rPr>
          <w:rFonts w:ascii="Times New Roman" w:hAnsi="Times New Roman" w:eastAsia="Times New Roman" w:cs="Times New Roman"/>
          <w:sz w:val="24"/>
          <w:szCs w:val="24"/>
          <w:spacing w:val="-3"/>
        </w:rPr>
        <w:t>7</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、煤矿开采对野生动物的影响分析</w:t>
      </w:r>
    </w:p>
    <w:p>
      <w:pPr>
        <w:ind w:left="605"/>
        <w:spacing w:before="157" w:line="219" w:lineRule="auto"/>
        <w:rPr>
          <w:rFonts w:ascii="SimSun" w:hAnsi="SimSun" w:eastAsia="SimSun" w:cs="SimSun"/>
          <w:sz w:val="24"/>
          <w:szCs w:val="24"/>
        </w:rPr>
      </w:pPr>
      <w:r>
        <w:rPr>
          <w:rFonts w:ascii="SimSun" w:hAnsi="SimSun" w:eastAsia="SimSun" w:cs="SimSun"/>
          <w:sz w:val="24"/>
          <w:szCs w:val="24"/>
          <w:spacing w:val="-1"/>
        </w:rPr>
        <w:t>露天区对野生动物的影响因素主要有地面生产噪声和露天采区等占地。</w:t>
      </w:r>
    </w:p>
    <w:p>
      <w:pPr>
        <w:ind w:left="618"/>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）地面生产</w:t>
      </w:r>
    </w:p>
    <w:p>
      <w:pPr>
        <w:ind w:left="120" w:right="112" w:firstLine="479"/>
        <w:spacing w:before="151" w:line="339" w:lineRule="auto"/>
        <w:rPr>
          <w:rFonts w:ascii="SimSun" w:hAnsi="SimSun" w:eastAsia="SimSun" w:cs="SimSun"/>
          <w:sz w:val="24"/>
          <w:szCs w:val="24"/>
        </w:rPr>
      </w:pPr>
      <w:r>
        <w:rPr>
          <w:rFonts w:ascii="SimSun" w:hAnsi="SimSun" w:eastAsia="SimSun" w:cs="SimSun"/>
          <w:sz w:val="24"/>
          <w:szCs w:val="24"/>
          <w:spacing w:val="-2"/>
        </w:rPr>
        <w:t>地面生产活动主要发生在煤矿工业场地内，设备噪声改变场地四周野生动物栖息环</w:t>
      </w:r>
      <w:r>
        <w:rPr>
          <w:rFonts w:ascii="SimSun" w:hAnsi="SimSun" w:eastAsia="SimSun" w:cs="SimSun"/>
          <w:sz w:val="24"/>
          <w:szCs w:val="24"/>
          <w:spacing w:val="-2"/>
        </w:rPr>
        <w:t>境是对野生动物影响的最主要表现形式。根据煤矿一般生产设备噪声源大小及采取的隔</w:t>
      </w:r>
      <w:r>
        <w:rPr>
          <w:rFonts w:ascii="SimSun" w:hAnsi="SimSun" w:eastAsia="SimSun" w:cs="SimSun"/>
          <w:sz w:val="24"/>
          <w:szCs w:val="24"/>
          <w:spacing w:val="-2"/>
        </w:rPr>
        <w:t>声、减震等措施，生产设备噪声衰减至厂界处与背景噪声叠加后可以达到《声环境质量</w:t>
      </w:r>
      <w:r>
        <w:rPr>
          <w:rFonts w:ascii="SimSun" w:hAnsi="SimSun" w:eastAsia="SimSun" w:cs="SimSun"/>
          <w:sz w:val="24"/>
          <w:szCs w:val="24"/>
          <w:spacing w:val="-2"/>
        </w:rPr>
        <w:t>标准》中</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2 </w:t>
      </w:r>
      <w:r>
        <w:rPr>
          <w:rFonts w:ascii="SimSun" w:hAnsi="SimSun" w:eastAsia="SimSun" w:cs="SimSun"/>
          <w:sz w:val="24"/>
          <w:szCs w:val="24"/>
          <w:spacing w:val="-2"/>
        </w:rPr>
        <w:t>类区标准，在禁止狩猎的前提下，煤矿开发不会使区域野生动物数量和种群</w:t>
      </w:r>
      <w:r>
        <w:rPr>
          <w:rFonts w:ascii="SimSun" w:hAnsi="SimSun" w:eastAsia="SimSun" w:cs="SimSun"/>
          <w:sz w:val="24"/>
          <w:szCs w:val="24"/>
          <w:spacing w:val="-3"/>
        </w:rPr>
        <w:t>发生变化。</w:t>
      </w:r>
    </w:p>
    <w:p>
      <w:pPr>
        <w:ind w:left="595"/>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）露天采区</w:t>
      </w:r>
    </w:p>
    <w:p>
      <w:pPr>
        <w:ind w:left="605"/>
        <w:spacing w:before="154" w:line="219" w:lineRule="auto"/>
        <w:rPr>
          <w:rFonts w:ascii="SimSun" w:hAnsi="SimSun" w:eastAsia="SimSun" w:cs="SimSun"/>
          <w:sz w:val="24"/>
          <w:szCs w:val="24"/>
        </w:rPr>
      </w:pPr>
      <w:r>
        <w:rPr>
          <w:rFonts w:ascii="SimSun" w:hAnsi="SimSun" w:eastAsia="SimSun" w:cs="SimSun"/>
          <w:sz w:val="24"/>
          <w:szCs w:val="24"/>
          <w:spacing w:val="-2"/>
        </w:rPr>
        <w:t>露天区工业场地、采掘场、排土场、地面运输系统等人工建筑的建成占用大面积的</w:t>
      </w:r>
    </w:p>
    <w:p>
      <w:pPr>
        <w:spacing w:line="219" w:lineRule="auto"/>
        <w:sectPr>
          <w:footerReference w:type="default" r:id="rId353"/>
          <w:pgSz w:w="11906" w:h="16838"/>
          <w:pgMar w:top="1194" w:right="1304" w:bottom="1272" w:left="1305" w:header="861" w:footer="1110" w:gutter="0"/>
        </w:sectPr>
        <w:rPr>
          <w:rFonts w:ascii="SimSun" w:hAnsi="SimSun" w:eastAsia="SimSun" w:cs="SimSun"/>
          <w:sz w:val="24"/>
          <w:szCs w:val="24"/>
        </w:rPr>
      </w:pPr>
    </w:p>
    <w:p>
      <w:pPr>
        <w:pStyle w:val="BodyText"/>
        <w:spacing w:line="312" w:lineRule="auto"/>
        <w:rPr/>
      </w:pPr>
      <w:r/>
    </w:p>
    <w:p>
      <w:pPr>
        <w:ind w:left="8" w:firstLine="1"/>
        <w:spacing w:before="78" w:line="324" w:lineRule="auto"/>
        <w:jc w:val="both"/>
        <w:rPr>
          <w:rFonts w:ascii="SimSun" w:hAnsi="SimSun" w:eastAsia="SimSun" w:cs="SimSun"/>
          <w:sz w:val="24"/>
          <w:szCs w:val="24"/>
        </w:rPr>
      </w:pPr>
      <w:r>
        <w:rPr>
          <w:rFonts w:ascii="SimSun" w:hAnsi="SimSun" w:eastAsia="SimSun" w:cs="SimSun"/>
          <w:sz w:val="24"/>
          <w:szCs w:val="24"/>
        </w:rPr>
        <w:t>土地，使原来的草原变为建筑占地，减少了哺乳动物、爬行动物的栖息与活动的范围，</w:t>
      </w:r>
      <w:r>
        <w:rPr>
          <w:rFonts w:ascii="SimSun" w:hAnsi="SimSun" w:eastAsia="SimSun" w:cs="SimSun"/>
          <w:sz w:val="24"/>
          <w:szCs w:val="24"/>
          <w:spacing w:val="-2"/>
        </w:rPr>
        <w:t>迫使哺乳动物、爬行动物向远离人工建筑的四周迁移，导致矿田范围内哺乳动物、爬行</w:t>
      </w:r>
      <w:r>
        <w:rPr>
          <w:rFonts w:ascii="SimSun" w:hAnsi="SimSun" w:eastAsia="SimSun" w:cs="SimSun"/>
          <w:sz w:val="24"/>
          <w:szCs w:val="24"/>
          <w:spacing w:val="-5"/>
        </w:rPr>
        <w:t>动物种群数量减少。同时，矿田开采使人类活动</w:t>
      </w:r>
      <w:r>
        <w:rPr>
          <w:rFonts w:ascii="SimSun" w:hAnsi="SimSun" w:eastAsia="SimSun" w:cs="SimSun"/>
          <w:sz w:val="24"/>
          <w:szCs w:val="24"/>
          <w:spacing w:val="-6"/>
        </w:rPr>
        <w:t>增加，将使周围的大气环境、生态环境、</w:t>
      </w:r>
      <w:r>
        <w:rPr>
          <w:rFonts w:ascii="SimSun" w:hAnsi="SimSun" w:eastAsia="SimSun" w:cs="SimSun"/>
          <w:sz w:val="24"/>
          <w:szCs w:val="24"/>
          <w:spacing w:val="-2"/>
        </w:rPr>
        <w:t>声环境发生一定的变化，从而对野生动物的栖息环境产生一定的影响。但随着内外排土</w:t>
      </w:r>
      <w:r>
        <w:rPr>
          <w:rFonts w:ascii="SimSun" w:hAnsi="SimSun" w:eastAsia="SimSun" w:cs="SimSun"/>
          <w:sz w:val="24"/>
          <w:szCs w:val="24"/>
          <w:spacing w:val="-2"/>
        </w:rPr>
        <w:t>场生态环境的逐步恢复，动物适宜生境条件逐步改善，周边野生动物将逐步回迁，多样</w:t>
      </w:r>
      <w:r>
        <w:rPr>
          <w:rFonts w:ascii="SimSun" w:hAnsi="SimSun" w:eastAsia="SimSun" w:cs="SimSun"/>
          <w:sz w:val="24"/>
          <w:szCs w:val="24"/>
          <w:spacing w:val="-2"/>
        </w:rPr>
        <w:t>性逐步增加。</w:t>
      </w:r>
    </w:p>
    <w:p>
      <w:pPr>
        <w:ind w:left="11" w:right="85" w:firstLine="484"/>
        <w:spacing w:before="1" w:line="361" w:lineRule="auto"/>
        <w:jc w:val="both"/>
        <w:rPr>
          <w:rFonts w:ascii="SimSun" w:hAnsi="SimSun" w:eastAsia="SimSun" w:cs="SimSun"/>
          <w:sz w:val="24"/>
          <w:szCs w:val="24"/>
        </w:rPr>
      </w:pPr>
      <w:r>
        <w:rPr>
          <w:rFonts w:ascii="SimSun" w:hAnsi="SimSun" w:eastAsia="SimSun" w:cs="SimSun"/>
          <w:sz w:val="24"/>
          <w:szCs w:val="24"/>
          <w:spacing w:val="-2"/>
        </w:rPr>
        <w:t>总之，项目生产期评价区野生动物物种数不会发生大的变化，其种群数量也不会发</w:t>
      </w:r>
      <w:r>
        <w:rPr>
          <w:rFonts w:ascii="SimSun" w:hAnsi="SimSun" w:eastAsia="SimSun" w:cs="SimSun"/>
          <w:sz w:val="24"/>
          <w:szCs w:val="24"/>
          <w:spacing w:val="-2"/>
        </w:rPr>
        <w:t>生明显变化。且评价区野生动物种类较少，缺少大型野生哺乳动物，现有野生动物多为</w:t>
      </w:r>
      <w:r>
        <w:rPr>
          <w:rFonts w:ascii="SimSun" w:hAnsi="SimSun" w:eastAsia="SimSun" w:cs="SimSun"/>
          <w:sz w:val="24"/>
          <w:szCs w:val="24"/>
          <w:spacing w:val="-2"/>
        </w:rPr>
        <w:t>一些常见的鸟类、啮齿类及昆虫等。只要加强对工作人员的管理，不会造成大的负面影</w:t>
      </w:r>
      <w:r>
        <w:rPr>
          <w:rFonts w:ascii="SimSun" w:hAnsi="SimSun" w:eastAsia="SimSun" w:cs="SimSun"/>
          <w:sz w:val="24"/>
          <w:szCs w:val="24"/>
          <w:spacing w:val="-6"/>
        </w:rPr>
        <w:t>响。</w:t>
      </w:r>
    </w:p>
    <w:p>
      <w:pPr>
        <w:ind w:left="8" w:right="85" w:firstLine="480"/>
        <w:spacing w:before="76" w:line="377" w:lineRule="auto"/>
        <w:jc w:val="both"/>
        <w:rPr>
          <w:rFonts w:ascii="SimSun" w:hAnsi="SimSun" w:eastAsia="SimSun" w:cs="SimSun"/>
          <w:sz w:val="24"/>
          <w:szCs w:val="24"/>
        </w:rPr>
      </w:pPr>
      <w:r>
        <w:rPr>
          <w:rFonts w:ascii="SimSun" w:hAnsi="SimSun" w:eastAsia="SimSun" w:cs="SimSun"/>
          <w:sz w:val="24"/>
          <w:szCs w:val="24"/>
          <w:spacing w:val="-2"/>
        </w:rPr>
        <w:t>采区开采推进方向总体由东南向西北推进，随着开采活动的进行，将不可避免的形</w:t>
      </w:r>
      <w:r>
        <w:rPr>
          <w:rFonts w:ascii="SimSun" w:hAnsi="SimSun" w:eastAsia="SimSun" w:cs="SimSun"/>
          <w:sz w:val="24"/>
          <w:szCs w:val="24"/>
          <w:spacing w:val="-2"/>
        </w:rPr>
        <w:t>成采坑。为了防止动物跌落，在各采区开采时，应在采区不活动边界设置防护网。矿区</w:t>
      </w:r>
      <w:r>
        <w:rPr>
          <w:rFonts w:ascii="SimSun" w:hAnsi="SimSun" w:eastAsia="SimSun" w:cs="SimSun"/>
          <w:sz w:val="24"/>
          <w:szCs w:val="24"/>
          <w:spacing w:val="-2"/>
        </w:rPr>
        <w:t>采取边开采边复垦的方式进行生态恢复，人工生态系统的建成，植被覆盖度的提高和种</w:t>
      </w:r>
      <w:r>
        <w:rPr>
          <w:rFonts w:ascii="SimSun" w:hAnsi="SimSun" w:eastAsia="SimSun" w:cs="SimSun"/>
          <w:sz w:val="24"/>
          <w:szCs w:val="24"/>
          <w:spacing w:val="-2"/>
        </w:rPr>
        <w:t>类的增加，矿区的生态环境会逐步得到改善，生态系统向顶级群落演替，原有的野生动</w:t>
      </w:r>
      <w:r>
        <w:rPr>
          <w:rFonts w:ascii="SimSun" w:hAnsi="SimSun" w:eastAsia="SimSun" w:cs="SimSun"/>
          <w:sz w:val="24"/>
          <w:szCs w:val="24"/>
        </w:rPr>
        <w:t>物栖息与活动的环境将得到改善，动物的种</w:t>
      </w:r>
      <w:r>
        <w:rPr>
          <w:rFonts w:ascii="SimSun" w:hAnsi="SimSun" w:eastAsia="SimSun" w:cs="SimSun"/>
          <w:sz w:val="24"/>
          <w:szCs w:val="24"/>
          <w:spacing w:val="-1"/>
        </w:rPr>
        <w:t>群和数量逐步会增加。</w:t>
      </w:r>
    </w:p>
    <w:p>
      <w:pPr>
        <w:ind w:left="494"/>
        <w:spacing w:before="17" w:line="218" w:lineRule="auto"/>
        <w:rPr>
          <w:rFonts w:ascii="SimSun" w:hAnsi="SimSun" w:eastAsia="SimSun" w:cs="SimSun"/>
          <w:sz w:val="24"/>
          <w:szCs w:val="24"/>
        </w:rPr>
      </w:pPr>
      <w:r>
        <w:rPr>
          <w:rFonts w:ascii="Times New Roman" w:hAnsi="Times New Roman" w:eastAsia="Times New Roman" w:cs="Times New Roman"/>
          <w:sz w:val="24"/>
          <w:szCs w:val="24"/>
          <w:spacing w:val="-3"/>
        </w:rPr>
        <w:t>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、煤矿开采景观生态影响评价</w:t>
      </w:r>
    </w:p>
    <w:p>
      <w:pPr>
        <w:ind w:left="8" w:right="85" w:firstLine="484"/>
        <w:spacing w:before="161" w:line="338" w:lineRule="auto"/>
        <w:rPr>
          <w:rFonts w:ascii="SimSun" w:hAnsi="SimSun" w:eastAsia="SimSun" w:cs="SimSun"/>
          <w:sz w:val="24"/>
          <w:szCs w:val="24"/>
        </w:rPr>
      </w:pPr>
      <w:r>
        <w:rPr>
          <w:rFonts w:ascii="SimSun" w:hAnsi="SimSun" w:eastAsia="SimSun" w:cs="SimSun"/>
          <w:sz w:val="24"/>
          <w:szCs w:val="24"/>
          <w:spacing w:val="-2"/>
        </w:rPr>
        <w:t>景观生态格局变化源于外界的干扰作用，这些干扰作用往往是综合的，它包括自然</w:t>
      </w:r>
      <w:r>
        <w:rPr>
          <w:rFonts w:ascii="SimSun" w:hAnsi="SimSun" w:eastAsia="SimSun" w:cs="SimSun"/>
          <w:sz w:val="24"/>
          <w:szCs w:val="24"/>
          <w:spacing w:val="-2"/>
        </w:rPr>
        <w:t>环境、多种生物及人类社会活动之间的复杂相互作用。煤矿的开发建设是以人类干扰为</w:t>
      </w:r>
      <w:r>
        <w:rPr>
          <w:rFonts w:ascii="SimSun" w:hAnsi="SimSun" w:eastAsia="SimSun" w:cs="SimSun"/>
          <w:sz w:val="24"/>
          <w:szCs w:val="24"/>
          <w:spacing w:val="-2"/>
        </w:rPr>
        <w:t>主的景观生态结构变化，这种景观生态格局带来人的主观臆断，而从景观生态学结构和</w:t>
      </w:r>
      <w:r>
        <w:rPr>
          <w:rFonts w:ascii="SimSun" w:hAnsi="SimSun" w:eastAsia="SimSun" w:cs="SimSun"/>
          <w:sz w:val="24"/>
          <w:szCs w:val="24"/>
          <w:spacing w:val="-2"/>
        </w:rPr>
        <w:t>功能相匹配的观点出发，结构是否合理也决定了景观生态功能状况的优劣。随着煤矿开</w:t>
      </w:r>
      <w:r>
        <w:rPr>
          <w:rFonts w:ascii="SimSun" w:hAnsi="SimSun" w:eastAsia="SimSun" w:cs="SimSun"/>
          <w:sz w:val="24"/>
          <w:szCs w:val="24"/>
          <w:spacing w:val="-2"/>
        </w:rPr>
        <w:t>采的实施，会使原有的景观生态结构发生变化。原来的生态功能、景观生态格局、景观</w:t>
      </w:r>
      <w:r>
        <w:rPr>
          <w:rFonts w:ascii="SimSun" w:hAnsi="SimSun" w:eastAsia="SimSun" w:cs="SimSun"/>
          <w:sz w:val="24"/>
          <w:szCs w:val="24"/>
          <w:spacing w:val="-1"/>
        </w:rPr>
        <w:t>的组成发生变化，对区域的生态环境产生深远的影响。</w:t>
      </w:r>
    </w:p>
    <w:p>
      <w:pPr>
        <w:ind w:left="8" w:right="85" w:firstLine="481"/>
        <w:spacing w:before="2" w:line="338" w:lineRule="auto"/>
        <w:jc w:val="both"/>
        <w:rPr>
          <w:rFonts w:ascii="SimSun" w:hAnsi="SimSun" w:eastAsia="SimSun" w:cs="SimSun"/>
          <w:sz w:val="24"/>
          <w:szCs w:val="24"/>
        </w:rPr>
      </w:pPr>
      <w:r>
        <w:rPr>
          <w:rFonts w:ascii="SimSun" w:hAnsi="SimSun" w:eastAsia="SimSun" w:cs="SimSun"/>
          <w:sz w:val="24"/>
          <w:szCs w:val="24"/>
          <w:spacing w:val="-2"/>
        </w:rPr>
        <w:t>煤矿开发建设过程中，开采、清除植被、增建人工生产设施和生活设施、剥离物和</w:t>
      </w:r>
      <w:r>
        <w:rPr>
          <w:rFonts w:ascii="SimSun" w:hAnsi="SimSun" w:eastAsia="SimSun" w:cs="SimSun"/>
          <w:sz w:val="24"/>
          <w:szCs w:val="24"/>
          <w:spacing w:val="-2"/>
        </w:rPr>
        <w:t>废弃物堆置、修筑道路等占用大量土地，形成大量的裸露地表、取土坑、废弃地等一些</w:t>
      </w:r>
      <w:r>
        <w:rPr>
          <w:rFonts w:ascii="SimSun" w:hAnsi="SimSun" w:eastAsia="SimSun" w:cs="SimSun"/>
          <w:sz w:val="24"/>
          <w:szCs w:val="24"/>
          <w:spacing w:val="-1"/>
        </w:rPr>
        <w:t>劣质景观，改变原有草地等景观。</w:t>
      </w:r>
    </w:p>
    <w:p>
      <w:pPr>
        <w:ind w:left="9" w:right="85" w:firstLine="485"/>
        <w:spacing w:before="2" w:line="338" w:lineRule="auto"/>
        <w:jc w:val="both"/>
        <w:rPr>
          <w:rFonts w:ascii="SimSun" w:hAnsi="SimSun" w:eastAsia="SimSun" w:cs="SimSun"/>
          <w:sz w:val="24"/>
          <w:szCs w:val="24"/>
        </w:rPr>
      </w:pPr>
      <w:r>
        <w:rPr>
          <w:rFonts w:ascii="SimSun" w:hAnsi="SimSun" w:eastAsia="SimSun" w:cs="SimSun"/>
          <w:sz w:val="24"/>
          <w:szCs w:val="24"/>
          <w:spacing w:val="-2"/>
        </w:rPr>
        <w:t>露天区的开采形成露天采掘场，导致大面积植被受损，影响原有草原景观类型，对</w:t>
      </w:r>
      <w:r>
        <w:rPr>
          <w:rFonts w:ascii="SimSun" w:hAnsi="SimSun" w:eastAsia="SimSun" w:cs="SimSun"/>
          <w:sz w:val="24"/>
          <w:szCs w:val="24"/>
          <w:spacing w:val="-2"/>
        </w:rPr>
        <w:t>景观生态造成不利影响，需要对采掘场及内排土场进行生态修复等措施，减少对景观的</w:t>
      </w:r>
      <w:r>
        <w:rPr>
          <w:rFonts w:ascii="SimSun" w:hAnsi="SimSun" w:eastAsia="SimSun" w:cs="SimSun"/>
          <w:sz w:val="24"/>
          <w:szCs w:val="24"/>
          <w:spacing w:val="-4"/>
        </w:rPr>
        <w:t>影响。</w:t>
      </w:r>
    </w:p>
    <w:p>
      <w:pPr>
        <w:ind w:left="489"/>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、煤矿开采对生态系统稳定性的影响分析</w:t>
      </w:r>
    </w:p>
    <w:p>
      <w:pPr>
        <w:ind w:left="528"/>
        <w:spacing w:before="155" w:line="219" w:lineRule="auto"/>
        <w:rPr>
          <w:rFonts w:ascii="SimSun" w:hAnsi="SimSun" w:eastAsia="SimSun" w:cs="SimSun"/>
          <w:sz w:val="24"/>
          <w:szCs w:val="24"/>
        </w:rPr>
      </w:pPr>
      <w:r>
        <w:rPr>
          <w:rFonts w:ascii="SimSun" w:hAnsi="SimSun" w:eastAsia="SimSun" w:cs="SimSun"/>
          <w:sz w:val="24"/>
          <w:szCs w:val="24"/>
          <w:spacing w:val="4"/>
        </w:rPr>
        <w:t>自然系统自身维持能力的影响可用生物组分的恢复稳定性和阻抗稳定性两个特征</w:t>
      </w:r>
    </w:p>
    <w:p>
      <w:pPr>
        <w:spacing w:line="219" w:lineRule="auto"/>
        <w:sectPr>
          <w:headerReference w:type="default" r:id="rId347"/>
          <w:footerReference w:type="default" r:id="rId354"/>
          <w:pgSz w:w="11906" w:h="16838"/>
          <w:pgMar w:top="1194" w:right="1332" w:bottom="1272" w:left="1416" w:header="861" w:footer="1110" w:gutter="0"/>
        </w:sectPr>
        <w:rPr>
          <w:rFonts w:ascii="SimSun" w:hAnsi="SimSun" w:eastAsia="SimSun" w:cs="SimSun"/>
          <w:sz w:val="24"/>
          <w:szCs w:val="24"/>
        </w:rPr>
      </w:pPr>
    </w:p>
    <w:p>
      <w:pPr>
        <w:pStyle w:val="BodyText"/>
        <w:spacing w:line="312" w:lineRule="auto"/>
        <w:rPr/>
      </w:pPr>
      <w:r/>
    </w:p>
    <w:p>
      <w:pPr>
        <w:ind w:left="9" w:right="186" w:hanging="2"/>
        <w:spacing w:before="78" w:line="338" w:lineRule="auto"/>
        <w:rPr>
          <w:rFonts w:ascii="SimSun" w:hAnsi="SimSun" w:eastAsia="SimSun" w:cs="SimSun"/>
          <w:sz w:val="24"/>
          <w:szCs w:val="24"/>
        </w:rPr>
      </w:pPr>
      <w:r>
        <w:rPr>
          <w:rFonts w:ascii="SimSun" w:hAnsi="SimSun" w:eastAsia="SimSun" w:cs="SimSun"/>
          <w:sz w:val="24"/>
          <w:szCs w:val="24"/>
          <w:spacing w:val="-1"/>
        </w:rPr>
        <w:t>进行描述。恢复稳定性是系统被改变后返回</w:t>
      </w:r>
      <w:r>
        <w:rPr>
          <w:rFonts w:ascii="SimSun" w:hAnsi="SimSun" w:eastAsia="SimSun" w:cs="SimSun"/>
          <w:sz w:val="24"/>
          <w:szCs w:val="24"/>
          <w:spacing w:val="-2"/>
        </w:rPr>
        <w:t>原来状态的能力，而阻抗稳定性是系统在环</w:t>
      </w:r>
      <w:r>
        <w:rPr>
          <w:rFonts w:ascii="SimSun" w:hAnsi="SimSun" w:eastAsia="SimSun" w:cs="SimSun"/>
          <w:sz w:val="24"/>
          <w:szCs w:val="24"/>
          <w:spacing w:val="-1"/>
        </w:rPr>
        <w:t>境变化或受到潜在干扰时反抗或阻止变化的能力。</w:t>
      </w:r>
    </w:p>
    <w:p>
      <w:pPr>
        <w:ind w:left="9" w:right="120" w:firstLine="479"/>
        <w:spacing w:before="4" w:line="338" w:lineRule="auto"/>
        <w:jc w:val="both"/>
        <w:rPr>
          <w:rFonts w:ascii="SimSun" w:hAnsi="SimSun" w:eastAsia="SimSun" w:cs="SimSun"/>
          <w:sz w:val="24"/>
          <w:szCs w:val="24"/>
        </w:rPr>
      </w:pPr>
      <w:r>
        <w:rPr>
          <w:rFonts w:ascii="SimSun" w:hAnsi="SimSun" w:eastAsia="SimSun" w:cs="SimSun"/>
          <w:sz w:val="24"/>
          <w:szCs w:val="24"/>
          <w:spacing w:val="-2"/>
        </w:rPr>
        <w:t>任何生态系统在一定外界干扰情况下都具有恢复到原初状态的能力和性质，称作生</w:t>
      </w:r>
      <w:r>
        <w:rPr>
          <w:rFonts w:ascii="SimSun" w:hAnsi="SimSun" w:eastAsia="SimSun" w:cs="SimSun"/>
          <w:sz w:val="24"/>
          <w:szCs w:val="24"/>
          <w:spacing w:val="-2"/>
        </w:rPr>
        <w:t>态系统的稳定性。生态系统的稳定性是相对的，当外界干扰过多，超过生物的调节、修</w:t>
      </w:r>
      <w:r>
        <w:rPr>
          <w:rFonts w:ascii="SimSun" w:hAnsi="SimSun" w:eastAsia="SimSun" w:cs="SimSun"/>
          <w:sz w:val="24"/>
          <w:szCs w:val="24"/>
          <w:spacing w:val="-6"/>
        </w:rPr>
        <w:t>补能力时，生态系统的稳定性就会遭到破坏，该自然体系将失去维持平衡的能力。因此，</w:t>
      </w:r>
      <w:r>
        <w:rPr>
          <w:rFonts w:ascii="SimSun" w:hAnsi="SimSun" w:eastAsia="SimSun" w:cs="SimSun"/>
          <w:sz w:val="24"/>
          <w:szCs w:val="24"/>
        </w:rPr>
        <w:t>本次评价将从恢复稳定性和阻抗稳定性两个角度对自</w:t>
      </w:r>
      <w:r>
        <w:rPr>
          <w:rFonts w:ascii="SimSun" w:hAnsi="SimSun" w:eastAsia="SimSun" w:cs="SimSun"/>
          <w:sz w:val="24"/>
          <w:szCs w:val="24"/>
          <w:spacing w:val="-1"/>
        </w:rPr>
        <w:t>然体系稳定状况的度量。</w:t>
      </w:r>
    </w:p>
    <w:p>
      <w:pPr>
        <w:ind w:left="9" w:right="186" w:firstLine="482"/>
        <w:spacing w:before="1" w:line="338" w:lineRule="auto"/>
        <w:jc w:val="both"/>
        <w:rPr>
          <w:rFonts w:ascii="SimSun" w:hAnsi="SimSun" w:eastAsia="SimSun" w:cs="SimSun"/>
          <w:sz w:val="24"/>
          <w:szCs w:val="24"/>
        </w:rPr>
      </w:pPr>
      <w:r>
        <w:rPr>
          <w:rFonts w:ascii="SimSun" w:hAnsi="SimSun" w:eastAsia="SimSun" w:cs="SimSun"/>
          <w:sz w:val="24"/>
          <w:szCs w:val="24"/>
          <w:spacing w:val="-2"/>
        </w:rPr>
        <w:t>从生态系统的性质来看，本矿区主要由两类生态系统组成，一是能维持简单营养结</w:t>
      </w:r>
      <w:r>
        <w:rPr>
          <w:rFonts w:ascii="SimSun" w:hAnsi="SimSun" w:eastAsia="SimSun" w:cs="SimSun"/>
          <w:sz w:val="24"/>
          <w:szCs w:val="24"/>
          <w:spacing w:val="-2"/>
        </w:rPr>
        <w:t>构的自然生态系统，二是以人为主体的包括农业生产、生活资料的输入、废物的排放与</w:t>
      </w:r>
      <w:r>
        <w:rPr>
          <w:rFonts w:ascii="SimSun" w:hAnsi="SimSun" w:eastAsia="SimSun" w:cs="SimSun"/>
          <w:sz w:val="24"/>
          <w:szCs w:val="24"/>
        </w:rPr>
        <w:t>农产品的输出的人工生态系统，其中人工生态系统是矿</w:t>
      </w:r>
      <w:r>
        <w:rPr>
          <w:rFonts w:ascii="SimSun" w:hAnsi="SimSun" w:eastAsia="SimSun" w:cs="SimSun"/>
          <w:sz w:val="24"/>
          <w:szCs w:val="24"/>
          <w:spacing w:val="-1"/>
        </w:rPr>
        <w:t>区现有生态系统的主流。</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）恢复稳定性影响分析</w:t>
      </w:r>
    </w:p>
    <w:p>
      <w:pPr>
        <w:ind w:left="9" w:firstLine="481"/>
        <w:spacing w:before="155" w:line="337" w:lineRule="auto"/>
        <w:rPr>
          <w:rFonts w:ascii="SimSun" w:hAnsi="SimSun" w:eastAsia="SimSun" w:cs="SimSun"/>
          <w:sz w:val="24"/>
          <w:szCs w:val="24"/>
        </w:rPr>
      </w:pPr>
      <w:r>
        <w:rPr>
          <w:rFonts w:ascii="SimSun" w:hAnsi="SimSun" w:eastAsia="SimSun" w:cs="SimSun"/>
          <w:sz w:val="24"/>
          <w:szCs w:val="24"/>
          <w:spacing w:val="-3"/>
        </w:rPr>
        <w:t>生态系统恢复稳定性一般采取度量植物生物量的方法来进行。根据类比分析与</w:t>
      </w:r>
      <w:r>
        <w:rPr>
          <w:rFonts w:ascii="SimSun" w:hAnsi="SimSun" w:eastAsia="SimSun" w:cs="SimSun"/>
          <w:sz w:val="24"/>
          <w:szCs w:val="24"/>
          <w:spacing w:val="-4"/>
        </w:rPr>
        <w:t>调查，</w:t>
      </w:r>
      <w:r>
        <w:rPr>
          <w:rFonts w:ascii="SimSun" w:hAnsi="SimSun" w:eastAsia="SimSun" w:cs="SimSun"/>
          <w:sz w:val="24"/>
          <w:szCs w:val="24"/>
          <w:spacing w:val="-1"/>
        </w:rPr>
        <w:t>根据类比分析与调查，本区草地的初级生产力约为</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129.54g/m²</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。煤矿开采后露天区压</w:t>
      </w:r>
      <w:r>
        <w:rPr>
          <w:rFonts w:ascii="SimSun" w:hAnsi="SimSun" w:eastAsia="SimSun" w:cs="SimSun"/>
          <w:sz w:val="24"/>
          <w:szCs w:val="24"/>
        </w:rPr>
        <w:t>占、挖损影响，矿区生物量将减少</w:t>
      </w:r>
      <w:r>
        <w:rPr>
          <w:rFonts w:ascii="SimSun" w:hAnsi="SimSun" w:eastAsia="SimSun" w:cs="SimSun"/>
          <w:sz w:val="24"/>
          <w:szCs w:val="24"/>
          <w:spacing w:val="-25"/>
        </w:rPr>
        <w:t xml:space="preserve"> </w:t>
      </w:r>
      <w:r>
        <w:rPr>
          <w:rFonts w:ascii="Times New Roman" w:hAnsi="Times New Roman" w:eastAsia="Times New Roman" w:cs="Times New Roman"/>
          <w:sz w:val="24"/>
          <w:szCs w:val="24"/>
        </w:rPr>
        <w:t>1154.23t/a</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，对评价区生</w:t>
      </w:r>
      <w:r>
        <w:rPr>
          <w:rFonts w:ascii="SimSun" w:hAnsi="SimSun" w:eastAsia="SimSun" w:cs="SimSun"/>
          <w:sz w:val="24"/>
          <w:szCs w:val="24"/>
          <w:spacing w:val="-1"/>
        </w:rPr>
        <w:t>态系统恢复稳定性的影响较</w:t>
      </w:r>
      <w:r>
        <w:rPr>
          <w:rFonts w:ascii="SimSun" w:hAnsi="SimSun" w:eastAsia="SimSun" w:cs="SimSun"/>
          <w:sz w:val="24"/>
          <w:szCs w:val="24"/>
          <w:spacing w:val="-1"/>
        </w:rPr>
        <w:t>大，需要及时对矿区采取土地复垦等生态修复措施。</w:t>
      </w:r>
    </w:p>
    <w:p>
      <w:pPr>
        <w:ind w:left="495"/>
        <w:spacing w:before="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）阻抗稳定性影响分析</w:t>
      </w:r>
    </w:p>
    <w:p>
      <w:pPr>
        <w:ind w:left="12" w:right="186" w:firstLine="476"/>
        <w:spacing w:before="158" w:line="338" w:lineRule="auto"/>
        <w:rPr>
          <w:rFonts w:ascii="SimSun" w:hAnsi="SimSun" w:eastAsia="SimSun" w:cs="SimSun"/>
          <w:sz w:val="24"/>
          <w:szCs w:val="24"/>
        </w:rPr>
      </w:pPr>
      <w:r>
        <w:rPr>
          <w:rFonts w:ascii="SimSun" w:hAnsi="SimSun" w:eastAsia="SimSun" w:cs="SimSun"/>
          <w:sz w:val="24"/>
          <w:szCs w:val="24"/>
          <w:spacing w:val="-2"/>
        </w:rPr>
        <w:t>对自然体系阻抗稳定性的度量是通过对植被异质性改变的程度来度量的。异质性组</w:t>
      </w:r>
      <w:r>
        <w:rPr>
          <w:rFonts w:ascii="SimSun" w:hAnsi="SimSun" w:eastAsia="SimSun" w:cs="SimSun"/>
          <w:sz w:val="24"/>
          <w:szCs w:val="24"/>
          <w:spacing w:val="-2"/>
        </w:rPr>
        <w:t>分中具有不同的生态位，给动物物种和植物物种的栖息、移动以及抵御内外干扰提供了</w:t>
      </w:r>
      <w:r>
        <w:rPr>
          <w:rFonts w:ascii="SimSun" w:hAnsi="SimSun" w:eastAsia="SimSun" w:cs="SimSun"/>
          <w:sz w:val="24"/>
          <w:szCs w:val="24"/>
          <w:spacing w:val="-2"/>
        </w:rPr>
        <w:t>复杂、微妙的相互利用关系。因此异质性的变化是评价区自然体系生态影响评价的又一</w:t>
      </w:r>
      <w:r>
        <w:rPr>
          <w:rFonts w:ascii="SimSun" w:hAnsi="SimSun" w:eastAsia="SimSun" w:cs="SimSun"/>
          <w:sz w:val="24"/>
          <w:szCs w:val="24"/>
          <w:spacing w:val="-3"/>
        </w:rPr>
        <w:t>核心问题。</w:t>
      </w:r>
    </w:p>
    <w:p>
      <w:pPr>
        <w:ind w:left="12" w:firstLine="478"/>
        <w:spacing w:before="2" w:line="338" w:lineRule="auto"/>
        <w:rPr>
          <w:rFonts w:ascii="SimSun" w:hAnsi="SimSun" w:eastAsia="SimSun" w:cs="SimSun"/>
          <w:sz w:val="24"/>
          <w:szCs w:val="24"/>
        </w:rPr>
      </w:pPr>
      <w:r>
        <w:rPr>
          <w:rFonts w:ascii="SimSun" w:hAnsi="SimSun" w:eastAsia="SimSun" w:cs="SimSun"/>
          <w:sz w:val="24"/>
          <w:szCs w:val="24"/>
          <w:spacing w:val="-3"/>
        </w:rPr>
        <w:t>煤矿开采后土地利用类型发生一定变化，占主导植被类型的草地生物量将受到损</w:t>
      </w:r>
      <w:r>
        <w:rPr>
          <w:rFonts w:ascii="SimSun" w:hAnsi="SimSun" w:eastAsia="SimSun" w:cs="SimSun"/>
          <w:sz w:val="24"/>
          <w:szCs w:val="24"/>
          <w:spacing w:val="-4"/>
        </w:rPr>
        <w:t>失，</w:t>
      </w:r>
      <w:r>
        <w:rPr>
          <w:rFonts w:ascii="SimSun" w:hAnsi="SimSun" w:eastAsia="SimSun" w:cs="SimSun"/>
          <w:sz w:val="24"/>
          <w:szCs w:val="24"/>
          <w:spacing w:val="-5"/>
        </w:rPr>
        <w:t>部分区域受破坏程度较大，产量也将下降，煤矿大规模开发后对阻抗稳定性有不利影响。</w:t>
      </w:r>
    </w:p>
    <w:p>
      <w:pPr>
        <w:ind w:left="12" w:right="120" w:firstLine="480"/>
        <w:spacing w:before="1" w:line="339" w:lineRule="auto"/>
        <w:rPr>
          <w:rFonts w:ascii="SimSun" w:hAnsi="SimSun" w:eastAsia="SimSun" w:cs="SimSun"/>
          <w:sz w:val="24"/>
          <w:szCs w:val="24"/>
        </w:rPr>
      </w:pPr>
      <w:r>
        <w:rPr>
          <w:rFonts w:ascii="SimSun" w:hAnsi="SimSun" w:eastAsia="SimSun" w:cs="SimSun"/>
          <w:sz w:val="24"/>
          <w:szCs w:val="24"/>
          <w:spacing w:val="-2"/>
        </w:rPr>
        <w:t>综上分析，在未采取治理措施前，煤矿大规模开发对该地区生态系统稳定性会产生</w:t>
      </w:r>
      <w:r>
        <w:rPr>
          <w:rFonts w:ascii="SimSun" w:hAnsi="SimSun" w:eastAsia="SimSun" w:cs="SimSun"/>
          <w:sz w:val="24"/>
          <w:szCs w:val="24"/>
          <w:spacing w:val="-6"/>
        </w:rPr>
        <w:t>不利影响，不利于稳定性的恢复，煤矿实施过程中，需要采取有效的生态综合治理措施，</w:t>
      </w:r>
      <w:r>
        <w:rPr>
          <w:rFonts w:ascii="SimSun" w:hAnsi="SimSun" w:eastAsia="SimSun" w:cs="SimSun"/>
          <w:sz w:val="24"/>
          <w:szCs w:val="24"/>
          <w:spacing w:val="-1"/>
        </w:rPr>
        <w:t>最大限度治理恢复受损植被，减小对生态系统稳定性的影响。</w:t>
      </w:r>
    </w:p>
    <w:p>
      <w:pPr>
        <w:ind w:left="8"/>
        <w:spacing w:before="29" w:line="219" w:lineRule="auto"/>
        <w:rPr>
          <w:rFonts w:ascii="SimHei" w:hAnsi="SimHei" w:eastAsia="SimHei" w:cs="SimHei"/>
          <w:sz w:val="24"/>
          <w:szCs w:val="24"/>
        </w:rPr>
      </w:pPr>
      <w:r>
        <w:rPr>
          <w:rFonts w:ascii="Times New Roman" w:hAnsi="Times New Roman" w:eastAsia="Times New Roman" w:cs="Times New Roman"/>
          <w:sz w:val="24"/>
          <w:szCs w:val="24"/>
          <w:b/>
          <w:bCs/>
          <w:spacing w:val="-2"/>
        </w:rPr>
        <w:t>5.1.2.5 </w:t>
      </w:r>
      <w:r>
        <w:rPr>
          <w:rFonts w:ascii="SimHei" w:hAnsi="SimHei" w:eastAsia="SimHei" w:cs="SimHei"/>
          <w:sz w:val="24"/>
          <w:szCs w:val="24"/>
          <w:b/>
          <w:bCs/>
          <w:spacing w:val="-2"/>
        </w:rPr>
        <w:t>线性工程运营期对生态影响分析</w:t>
      </w:r>
    </w:p>
    <w:p>
      <w:pPr>
        <w:ind w:left="8" w:right="186" w:firstLine="481"/>
        <w:spacing w:before="162" w:line="339" w:lineRule="auto"/>
        <w:jc w:val="both"/>
        <w:rPr>
          <w:rFonts w:ascii="SimSun" w:hAnsi="SimSun" w:eastAsia="SimSun" w:cs="SimSun"/>
          <w:sz w:val="24"/>
          <w:szCs w:val="24"/>
        </w:rPr>
      </w:pPr>
      <w:r>
        <w:rPr>
          <w:rFonts w:ascii="SimSun" w:hAnsi="SimSun" w:eastAsia="SimSun" w:cs="SimSun"/>
          <w:sz w:val="24"/>
          <w:szCs w:val="24"/>
          <w:spacing w:val="-2"/>
        </w:rPr>
        <w:t>本项目不新增用地，道路依托现有道路，用电依托现有输电线路，道路及输电线路</w:t>
      </w:r>
      <w:r>
        <w:rPr>
          <w:rFonts w:ascii="SimSun" w:hAnsi="SimSun" w:eastAsia="SimSun" w:cs="SimSun"/>
          <w:sz w:val="24"/>
          <w:szCs w:val="24"/>
          <w:spacing w:val="-2"/>
        </w:rPr>
        <w:t>为线性工程。线性工程运营期对生态环境的影响主要表现在对动物生境的影响，线性工</w:t>
      </w:r>
      <w:r>
        <w:rPr>
          <w:rFonts w:ascii="SimSun" w:hAnsi="SimSun" w:eastAsia="SimSun" w:cs="SimSun"/>
          <w:sz w:val="24"/>
          <w:szCs w:val="24"/>
          <w:spacing w:val="-2"/>
        </w:rPr>
        <w:t>程的修建对部分陆生动物的活动区域、迁移途径、栖息区域、觅食范围等受到一定的限</w:t>
      </w:r>
      <w:r>
        <w:rPr>
          <w:rFonts w:ascii="SimSun" w:hAnsi="SimSun" w:eastAsia="SimSun" w:cs="SimSun"/>
          <w:sz w:val="24"/>
          <w:szCs w:val="24"/>
          <w:spacing w:val="-2"/>
        </w:rPr>
        <w:t>制。线性工程作为屏障对其迁移等活动有一定影响。有些小动物，可能在线性工程两侧</w:t>
      </w:r>
      <w:r>
        <w:rPr>
          <w:rFonts w:ascii="SimSun" w:hAnsi="SimSun" w:eastAsia="SimSun" w:cs="SimSun"/>
          <w:sz w:val="24"/>
          <w:szCs w:val="24"/>
          <w:spacing w:val="-2"/>
        </w:rPr>
        <w:t>植被恢复后再迁回来，重新成为该区域新的生态系统中的成员，目前在生产煤矿已对线</w:t>
      </w:r>
      <w:r>
        <w:rPr>
          <w:rFonts w:ascii="SimSun" w:hAnsi="SimSun" w:eastAsia="SimSun" w:cs="SimSun"/>
          <w:sz w:val="24"/>
          <w:szCs w:val="24"/>
          <w:spacing w:val="-1"/>
        </w:rPr>
        <w:t>性工程采取一定治理措施。</w:t>
      </w:r>
    </w:p>
    <w:p>
      <w:pPr>
        <w:spacing w:line="339" w:lineRule="auto"/>
        <w:sectPr>
          <w:headerReference w:type="default" r:id="rId355"/>
          <w:footerReference w:type="default" r:id="rId356"/>
          <w:pgSz w:w="11906" w:h="16838"/>
          <w:pgMar w:top="1194" w:right="1231" w:bottom="1272" w:left="1416" w:header="861" w:footer="1110" w:gutter="0"/>
        </w:sectPr>
        <w:rPr>
          <w:rFonts w:ascii="SimSun" w:hAnsi="SimSun" w:eastAsia="SimSun" w:cs="SimSun"/>
          <w:sz w:val="24"/>
          <w:szCs w:val="24"/>
        </w:rPr>
      </w:pPr>
    </w:p>
    <w:p>
      <w:pPr>
        <w:pStyle w:val="BodyText"/>
        <w:spacing w:line="314" w:lineRule="auto"/>
        <w:rPr/>
      </w:pPr>
      <w:r/>
    </w:p>
    <w:p>
      <w:pPr>
        <w:ind w:left="120" w:right="112" w:firstLine="480"/>
        <w:spacing w:before="78" w:line="338" w:lineRule="auto"/>
        <w:jc w:val="both"/>
        <w:rPr>
          <w:rFonts w:ascii="SimSun" w:hAnsi="SimSun" w:eastAsia="SimSun" w:cs="SimSun"/>
          <w:sz w:val="24"/>
          <w:szCs w:val="24"/>
        </w:rPr>
      </w:pPr>
      <w:r>
        <w:rPr>
          <w:rFonts w:ascii="SimSun" w:hAnsi="SimSun" w:eastAsia="SimSun" w:cs="SimSun"/>
          <w:sz w:val="24"/>
          <w:szCs w:val="24"/>
          <w:spacing w:val="-2"/>
        </w:rPr>
        <w:t>煤矿服务期满后，各煤矿生产停止，需要对遗弃的道路、输电线路占地等进行全面</w:t>
      </w:r>
      <w:r>
        <w:rPr>
          <w:rFonts w:ascii="SimSun" w:hAnsi="SimSun" w:eastAsia="SimSun" w:cs="SimSun"/>
          <w:sz w:val="24"/>
          <w:szCs w:val="24"/>
          <w:spacing w:val="-2"/>
        </w:rPr>
        <w:t>整理复垦，按照土地类型和土地功能分类进行整理，达到全面恢复和改良土地、改善周</w:t>
      </w:r>
      <w:r>
        <w:rPr>
          <w:rFonts w:ascii="SimSun" w:hAnsi="SimSun" w:eastAsia="SimSun" w:cs="SimSun"/>
          <w:sz w:val="24"/>
          <w:szCs w:val="24"/>
          <w:spacing w:val="-2"/>
        </w:rPr>
        <w:t>围环境的目的。</w:t>
      </w:r>
    </w:p>
    <w:p>
      <w:pPr>
        <w:ind w:left="125" w:right="112" w:firstLine="480"/>
        <w:spacing w:before="1" w:line="340" w:lineRule="auto"/>
        <w:rPr>
          <w:rFonts w:ascii="SimSun" w:hAnsi="SimSun" w:eastAsia="SimSun" w:cs="SimSun"/>
          <w:sz w:val="24"/>
          <w:szCs w:val="24"/>
        </w:rPr>
      </w:pPr>
      <w:r>
        <w:rPr>
          <w:rFonts w:ascii="SimSun" w:hAnsi="SimSun" w:eastAsia="SimSun" w:cs="SimSun"/>
          <w:sz w:val="24"/>
          <w:szCs w:val="24"/>
          <w:spacing w:val="-2"/>
        </w:rPr>
        <w:t>总体而言，煤矿线性工程对区域内生态影响相对较小，不会引起生态系统功能的明</w:t>
      </w:r>
      <w:r>
        <w:rPr>
          <w:rFonts w:ascii="SimSun" w:hAnsi="SimSun" w:eastAsia="SimSun" w:cs="SimSun"/>
          <w:sz w:val="24"/>
          <w:szCs w:val="24"/>
          <w:spacing w:val="-4"/>
        </w:rPr>
        <w:t>显变化。</w:t>
      </w:r>
    </w:p>
    <w:p>
      <w:pPr>
        <w:ind w:left="118"/>
        <w:spacing w:before="25"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5.1.2.6 </w:t>
      </w:r>
      <w:r>
        <w:rPr>
          <w:rFonts w:ascii="SimHei" w:hAnsi="SimHei" w:eastAsia="SimHei" w:cs="SimHei"/>
          <w:sz w:val="24"/>
          <w:szCs w:val="24"/>
          <w:b/>
          <w:bCs/>
          <w:spacing w:val="-2"/>
        </w:rPr>
        <w:t>生态影响评价自查表</w:t>
      </w:r>
    </w:p>
    <w:p>
      <w:pPr>
        <w:ind w:left="593"/>
        <w:spacing w:before="47" w:line="218" w:lineRule="auto"/>
        <w:rPr>
          <w:rFonts w:ascii="SimSun" w:hAnsi="SimSun" w:eastAsia="SimSun" w:cs="SimSun"/>
          <w:sz w:val="24"/>
          <w:szCs w:val="24"/>
        </w:rPr>
      </w:pPr>
      <w:r>
        <w:rPr>
          <w:rFonts w:ascii="SimSun" w:hAnsi="SimSun" w:eastAsia="SimSun" w:cs="SimSun"/>
          <w:sz w:val="24"/>
          <w:szCs w:val="24"/>
          <w:spacing w:val="-1"/>
        </w:rPr>
        <w:t>建设项目生态环境影响评价自查表见表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
        </w:rPr>
        <w:t>1-12</w:t>
      </w:r>
      <w:r>
        <w:rPr>
          <w:rFonts w:ascii="SimSun" w:hAnsi="SimSun" w:eastAsia="SimSun" w:cs="SimSun"/>
          <w:sz w:val="24"/>
          <w:szCs w:val="24"/>
          <w:spacing w:val="-2"/>
        </w:rPr>
        <w:t>。</w:t>
      </w:r>
    </w:p>
    <w:p>
      <w:pPr>
        <w:ind w:left="3573"/>
        <w:spacing w:before="182" w:line="222" w:lineRule="auto"/>
        <w:rPr>
          <w:rFonts w:ascii="SimHei" w:hAnsi="SimHei" w:eastAsia="SimHei" w:cs="SimHei"/>
          <w:sz w:val="24"/>
          <w:szCs w:val="24"/>
        </w:rPr>
      </w:pPr>
      <w:r>
        <w:rPr>
          <w:rFonts w:ascii="SimHei" w:hAnsi="SimHei" w:eastAsia="SimHei" w:cs="SimHei"/>
          <w:sz w:val="24"/>
          <w:szCs w:val="24"/>
          <w:spacing w:val="-1"/>
        </w:rPr>
        <w:t>生态影响评价自查表</w:t>
      </w:r>
    </w:p>
    <w:p>
      <w:pPr>
        <w:ind w:left="117"/>
        <w:spacing w:before="175"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2"/>
        </w:rPr>
        <w:t>5-1-12</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0"/>
        <w:gridCol w:w="2017"/>
        <w:gridCol w:w="6203"/>
      </w:tblGrid>
      <w:tr>
        <w:trPr>
          <w:trHeight w:val="280" w:hRule="atLeast"/>
        </w:trPr>
        <w:tc>
          <w:tcPr>
            <w:tcW w:w="1070" w:type="dxa"/>
            <w:vAlign w:val="top"/>
          </w:tcPr>
          <w:p>
            <w:pPr>
              <w:ind w:left="120"/>
              <w:spacing w:before="33" w:line="218" w:lineRule="auto"/>
              <w:rPr>
                <w:rFonts w:ascii="SimSun" w:hAnsi="SimSun" w:eastAsia="SimSun" w:cs="SimSun"/>
                <w:sz w:val="20"/>
                <w:szCs w:val="20"/>
              </w:rPr>
            </w:pPr>
            <w:r>
              <w:rPr>
                <w:rFonts w:ascii="SimSun" w:hAnsi="SimSun" w:eastAsia="SimSun" w:cs="SimSun"/>
                <w:sz w:val="20"/>
                <w:szCs w:val="20"/>
                <w:spacing w:val="6"/>
              </w:rPr>
              <w:t>工作内容</w:t>
            </w:r>
          </w:p>
        </w:tc>
        <w:tc>
          <w:tcPr>
            <w:tcW w:w="8220" w:type="dxa"/>
            <w:vAlign w:val="top"/>
            <w:gridSpan w:val="2"/>
          </w:tcPr>
          <w:p>
            <w:pPr>
              <w:ind w:left="3726"/>
              <w:spacing w:before="33" w:line="218" w:lineRule="auto"/>
              <w:rPr>
                <w:rFonts w:ascii="SimSun" w:hAnsi="SimSun" w:eastAsia="SimSun" w:cs="SimSun"/>
                <w:sz w:val="20"/>
                <w:szCs w:val="20"/>
              </w:rPr>
            </w:pPr>
            <w:r>
              <w:rPr>
                <w:rFonts w:ascii="SimSun" w:hAnsi="SimSun" w:eastAsia="SimSun" w:cs="SimSun"/>
                <w:sz w:val="20"/>
                <w:szCs w:val="20"/>
                <w:spacing w:val="-2"/>
              </w:rPr>
              <w:t>自查项目</w:t>
            </w:r>
          </w:p>
        </w:tc>
      </w:tr>
      <w:tr>
        <w:trPr>
          <w:trHeight w:val="822" w:hRule="atLeast"/>
        </w:trPr>
        <w:tc>
          <w:tcPr>
            <w:tcW w:w="1070"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ind w:left="331" w:right="117" w:hanging="211"/>
              <w:spacing w:before="65" w:line="252" w:lineRule="auto"/>
              <w:rPr>
                <w:rFonts w:ascii="SimSun" w:hAnsi="SimSun" w:eastAsia="SimSun" w:cs="SimSun"/>
                <w:sz w:val="20"/>
                <w:szCs w:val="20"/>
              </w:rPr>
            </w:pPr>
            <w:r>
              <w:rPr>
                <w:rFonts w:ascii="SimSun" w:hAnsi="SimSun" w:eastAsia="SimSun" w:cs="SimSun"/>
                <w:sz w:val="20"/>
                <w:szCs w:val="20"/>
                <w:spacing w:val="6"/>
              </w:rPr>
              <w:t>生态影响</w:t>
            </w:r>
            <w:r>
              <w:rPr>
                <w:rFonts w:ascii="SimSun" w:hAnsi="SimSun" w:eastAsia="SimSun" w:cs="SimSun"/>
                <w:sz w:val="20"/>
                <w:szCs w:val="20"/>
                <w:spacing w:val="3"/>
              </w:rPr>
              <w:t>识别</w:t>
            </w:r>
          </w:p>
        </w:tc>
        <w:tc>
          <w:tcPr>
            <w:tcW w:w="2017" w:type="dxa"/>
            <w:vAlign w:val="top"/>
          </w:tcPr>
          <w:p>
            <w:pPr>
              <w:ind w:left="384"/>
              <w:spacing w:before="303" w:line="228" w:lineRule="auto"/>
              <w:rPr>
                <w:rFonts w:ascii="SimSun" w:hAnsi="SimSun" w:eastAsia="SimSun" w:cs="SimSun"/>
                <w:sz w:val="20"/>
                <w:szCs w:val="20"/>
              </w:rPr>
            </w:pPr>
            <w:r>
              <w:rPr>
                <w:rFonts w:ascii="SimSun" w:hAnsi="SimSun" w:eastAsia="SimSun" w:cs="SimSun"/>
                <w:sz w:val="20"/>
                <w:szCs w:val="20"/>
                <w:spacing w:val="7"/>
              </w:rPr>
              <w:t>生态保护目标</w:t>
            </w:r>
          </w:p>
        </w:tc>
        <w:tc>
          <w:tcPr>
            <w:tcW w:w="6203" w:type="dxa"/>
            <w:vAlign w:val="top"/>
          </w:tcPr>
          <w:p>
            <w:pPr>
              <w:pStyle w:val="TableText"/>
              <w:ind w:left="123"/>
              <w:spacing w:before="30" w:line="228" w:lineRule="auto"/>
              <w:rPr>
                <w:rFonts w:ascii="SimSun" w:hAnsi="SimSun" w:eastAsia="SimSun" w:cs="SimSun"/>
              </w:rPr>
            </w:pPr>
            <w:r>
              <w:rPr>
                <w:rFonts w:ascii="SimSun" w:hAnsi="SimSun" w:eastAsia="SimSun" w:cs="SimSun"/>
                <w:spacing w:val="2"/>
              </w:rPr>
              <w:t>重要物种</w:t>
            </w:r>
            <w:r>
              <w:rPr>
                <w:spacing w:val="2"/>
              </w:rPr>
              <w:t>□</w:t>
            </w:r>
            <w:r>
              <w:rPr>
                <w:spacing w:val="-16"/>
              </w:rPr>
              <w:t xml:space="preserve"> </w:t>
            </w:r>
            <w:r>
              <w:rPr>
                <w:rFonts w:ascii="SimSun" w:hAnsi="SimSun" w:eastAsia="SimSun" w:cs="SimSun"/>
                <w:spacing w:val="2"/>
              </w:rPr>
              <w:t>；国家公园</w:t>
            </w:r>
            <w:r>
              <w:rPr>
                <w:spacing w:val="2"/>
              </w:rPr>
              <w:t>□</w:t>
            </w:r>
            <w:r>
              <w:rPr>
                <w:spacing w:val="-25"/>
              </w:rPr>
              <w:t xml:space="preserve"> </w:t>
            </w:r>
            <w:r>
              <w:rPr>
                <w:rFonts w:ascii="SimSun" w:hAnsi="SimSun" w:eastAsia="SimSun" w:cs="SimSun"/>
                <w:spacing w:val="2"/>
              </w:rPr>
              <w:t>；</w:t>
            </w:r>
            <w:r>
              <w:rPr>
                <w:rFonts w:ascii="SimSun" w:hAnsi="SimSun" w:eastAsia="SimSun" w:cs="SimSun"/>
                <w:spacing w:val="-51"/>
              </w:rPr>
              <w:t xml:space="preserve"> </w:t>
            </w:r>
            <w:r>
              <w:rPr>
                <w:rFonts w:ascii="SimSun" w:hAnsi="SimSun" w:eastAsia="SimSun" w:cs="SimSun"/>
                <w:spacing w:val="2"/>
              </w:rPr>
              <w:t>自然保护区</w:t>
            </w:r>
            <w:r>
              <w:rPr>
                <w:spacing w:val="2"/>
              </w:rPr>
              <w:t>□</w:t>
            </w:r>
            <w:r>
              <w:rPr>
                <w:spacing w:val="-23"/>
              </w:rPr>
              <w:t xml:space="preserve"> </w:t>
            </w:r>
            <w:r>
              <w:rPr>
                <w:rFonts w:ascii="SimSun" w:hAnsi="SimSun" w:eastAsia="SimSun" w:cs="SimSun"/>
                <w:spacing w:val="2"/>
              </w:rPr>
              <w:t>；</w:t>
            </w:r>
            <w:r>
              <w:rPr>
                <w:rFonts w:ascii="SimSun" w:hAnsi="SimSun" w:eastAsia="SimSun" w:cs="SimSun"/>
                <w:spacing w:val="-52"/>
              </w:rPr>
              <w:t xml:space="preserve"> </w:t>
            </w:r>
            <w:r>
              <w:rPr>
                <w:rFonts w:ascii="SimSun" w:hAnsi="SimSun" w:eastAsia="SimSun" w:cs="SimSun"/>
                <w:spacing w:val="2"/>
              </w:rPr>
              <w:t>自然公园</w:t>
            </w:r>
            <w:r>
              <w:rPr>
                <w:spacing w:val="2"/>
              </w:rPr>
              <w:t>□</w:t>
            </w:r>
            <w:r>
              <w:rPr>
                <w:spacing w:val="-22"/>
              </w:rPr>
              <w:t xml:space="preserve"> </w:t>
            </w:r>
            <w:r>
              <w:rPr>
                <w:rFonts w:ascii="SimSun" w:hAnsi="SimSun" w:eastAsia="SimSun" w:cs="SimSun"/>
                <w:spacing w:val="2"/>
              </w:rPr>
              <w:t>；世界自然遗</w:t>
            </w:r>
          </w:p>
          <w:p>
            <w:pPr>
              <w:pStyle w:val="TableText"/>
              <w:ind w:left="112"/>
              <w:spacing w:before="25" w:line="228" w:lineRule="auto"/>
              <w:rPr>
                <w:rFonts w:ascii="SimSun" w:hAnsi="SimSun" w:eastAsia="SimSun" w:cs="SimSun"/>
              </w:rPr>
            </w:pPr>
            <w:r>
              <w:rPr>
                <w:rFonts w:ascii="SimSun" w:hAnsi="SimSun" w:eastAsia="SimSun" w:cs="SimSun"/>
                <w:spacing w:val="4"/>
              </w:rPr>
              <w:t>产</w:t>
            </w:r>
            <w:r>
              <w:rPr>
                <w:spacing w:val="4"/>
              </w:rPr>
              <w:t>□</w:t>
            </w:r>
            <w:r>
              <w:rPr>
                <w:spacing w:val="-13"/>
              </w:rPr>
              <w:t xml:space="preserve"> </w:t>
            </w:r>
            <w:r>
              <w:rPr>
                <w:rFonts w:ascii="SimSun" w:hAnsi="SimSun" w:eastAsia="SimSun" w:cs="SimSun"/>
                <w:spacing w:val="4"/>
              </w:rPr>
              <w:t>；生态保护红线</w:t>
            </w:r>
            <w:r>
              <w:rPr>
                <w:spacing w:val="4"/>
              </w:rPr>
              <w:t>□</w:t>
            </w:r>
            <w:r>
              <w:rPr>
                <w:spacing w:val="-23"/>
              </w:rPr>
              <w:t xml:space="preserve"> </w:t>
            </w:r>
            <w:r>
              <w:rPr>
                <w:rFonts w:ascii="SimSun" w:hAnsi="SimSun" w:eastAsia="SimSun" w:cs="SimSun"/>
                <w:spacing w:val="4"/>
              </w:rPr>
              <w:t>；重要生境</w:t>
            </w:r>
            <w:r>
              <w:rPr>
                <w:spacing w:val="4"/>
              </w:rPr>
              <w:t>□</w:t>
            </w:r>
            <w:r>
              <w:rPr>
                <w:spacing w:val="-23"/>
              </w:rPr>
              <w:t xml:space="preserve"> </w:t>
            </w:r>
            <w:r>
              <w:rPr>
                <w:rFonts w:ascii="SimSun" w:hAnsi="SimSun" w:eastAsia="SimSun" w:cs="SimSun"/>
                <w:spacing w:val="4"/>
              </w:rPr>
              <w:t>；其它具有重要生态功能、对保</w:t>
            </w:r>
          </w:p>
          <w:p>
            <w:pPr>
              <w:pStyle w:val="TableText"/>
              <w:ind w:left="1052"/>
              <w:spacing w:before="24" w:line="219" w:lineRule="auto"/>
              <w:rPr>
                <w:rFonts w:ascii="MS UI Gothic" w:hAnsi="MS UI Gothic" w:eastAsia="MS UI Gothic" w:cs="MS UI Gothic"/>
                <w:sz w:val="19"/>
                <w:szCs w:val="19"/>
              </w:rPr>
            </w:pPr>
            <w:r>
              <w:rPr>
                <w:rFonts w:ascii="SimSun" w:hAnsi="SimSun" w:eastAsia="SimSun" w:cs="SimSun"/>
                <w:spacing w:val="8"/>
              </w:rPr>
              <w:t>护生物多样性具有重要意义的区域</w:t>
            </w:r>
            <w:r>
              <w:rPr>
                <w:spacing w:val="8"/>
              </w:rPr>
              <w:t>□</w:t>
            </w:r>
            <w:r>
              <w:rPr>
                <w:spacing w:val="-23"/>
              </w:rPr>
              <w:t xml:space="preserve"> </w:t>
            </w:r>
            <w:r>
              <w:rPr>
                <w:rFonts w:ascii="SimSun" w:hAnsi="SimSun" w:eastAsia="SimSun" w:cs="SimSun"/>
                <w:spacing w:val="8"/>
              </w:rPr>
              <w:t>；其它</w:t>
            </w:r>
            <w:r>
              <w:rPr>
                <w:rFonts w:ascii="MS UI Gothic" w:hAnsi="MS UI Gothic" w:eastAsia="MS UI Gothic" w:cs="MS UI Gothic"/>
                <w:sz w:val="19"/>
                <w:szCs w:val="19"/>
                <w:spacing w:val="8"/>
              </w:rPr>
              <w:t>☑</w:t>
            </w:r>
          </w:p>
        </w:tc>
      </w:tr>
      <w:tr>
        <w:trPr>
          <w:trHeight w:val="278" w:hRule="atLeast"/>
        </w:trPr>
        <w:tc>
          <w:tcPr>
            <w:tcW w:w="1070" w:type="dxa"/>
            <w:vAlign w:val="top"/>
            <w:vMerge w:val="continue"/>
            <w:tcBorders>
              <w:top w:val="nil"/>
              <w:bottom w:val="nil"/>
            </w:tcBorders>
          </w:tcPr>
          <w:p>
            <w:pPr>
              <w:rPr>
                <w:rFonts w:ascii="Arial"/>
                <w:sz w:val="21"/>
              </w:rPr>
            </w:pPr>
            <w:r/>
          </w:p>
        </w:tc>
        <w:tc>
          <w:tcPr>
            <w:tcW w:w="2017" w:type="dxa"/>
            <w:vAlign w:val="top"/>
          </w:tcPr>
          <w:p>
            <w:pPr>
              <w:ind w:left="591"/>
              <w:spacing w:before="30" w:line="219" w:lineRule="auto"/>
              <w:rPr>
                <w:rFonts w:ascii="SimSun" w:hAnsi="SimSun" w:eastAsia="SimSun" w:cs="SimSun"/>
                <w:sz w:val="20"/>
                <w:szCs w:val="20"/>
              </w:rPr>
            </w:pPr>
            <w:r>
              <w:rPr>
                <w:rFonts w:ascii="SimSun" w:hAnsi="SimSun" w:eastAsia="SimSun" w:cs="SimSun"/>
                <w:sz w:val="20"/>
                <w:szCs w:val="20"/>
                <w:spacing w:val="7"/>
              </w:rPr>
              <w:t>影响方式</w:t>
            </w:r>
          </w:p>
        </w:tc>
        <w:tc>
          <w:tcPr>
            <w:tcW w:w="6203" w:type="dxa"/>
            <w:vAlign w:val="top"/>
          </w:tcPr>
          <w:p>
            <w:pPr>
              <w:pStyle w:val="TableText"/>
              <w:ind w:left="501"/>
              <w:spacing w:before="30" w:line="219" w:lineRule="auto"/>
              <w:rPr/>
            </w:pPr>
            <w:r>
              <w:rPr>
                <w:rFonts w:ascii="SimSun" w:hAnsi="SimSun" w:eastAsia="SimSun" w:cs="SimSun"/>
                <w:spacing w:val="7"/>
              </w:rPr>
              <w:t>工程占用</w:t>
            </w:r>
            <w:r>
              <w:rPr>
                <w:rFonts w:ascii="MS UI Gothic" w:hAnsi="MS UI Gothic" w:eastAsia="MS UI Gothic" w:cs="MS UI Gothic"/>
                <w:spacing w:val="7"/>
              </w:rPr>
              <w:t>☑</w:t>
            </w:r>
            <w:r>
              <w:rPr>
                <w:rFonts w:ascii="SimSun" w:hAnsi="SimSun" w:eastAsia="SimSun" w:cs="SimSun"/>
                <w:spacing w:val="7"/>
              </w:rPr>
              <w:t>；施工活动干扰□</w:t>
            </w:r>
            <w:r>
              <w:rPr>
                <w:spacing w:val="7"/>
              </w:rPr>
              <w:t>□</w:t>
            </w:r>
            <w:r>
              <w:rPr>
                <w:spacing w:val="-22"/>
              </w:rPr>
              <w:t xml:space="preserve"> </w:t>
            </w:r>
            <w:r>
              <w:rPr>
                <w:rFonts w:ascii="SimSun" w:hAnsi="SimSun" w:eastAsia="SimSun" w:cs="SimSun"/>
                <w:spacing w:val="7"/>
              </w:rPr>
              <w:t>；改变环境条件</w:t>
            </w:r>
            <w:r>
              <w:rPr>
                <w:spacing w:val="7"/>
              </w:rPr>
              <w:t>□</w:t>
            </w:r>
            <w:r>
              <w:rPr>
                <w:spacing w:val="-25"/>
              </w:rPr>
              <w:t xml:space="preserve"> </w:t>
            </w:r>
            <w:r>
              <w:rPr>
                <w:rFonts w:ascii="SimSun" w:hAnsi="SimSun" w:eastAsia="SimSun" w:cs="SimSun"/>
                <w:spacing w:val="7"/>
              </w:rPr>
              <w:t>；其它</w:t>
            </w:r>
            <w:r>
              <w:rPr>
                <w:spacing w:val="7"/>
              </w:rPr>
              <w:t>□</w:t>
            </w:r>
          </w:p>
        </w:tc>
      </w:tr>
      <w:tr>
        <w:trPr>
          <w:trHeight w:val="549" w:hRule="atLeast"/>
        </w:trPr>
        <w:tc>
          <w:tcPr>
            <w:tcW w:w="1070" w:type="dxa"/>
            <w:vAlign w:val="top"/>
            <w:vMerge w:val="continue"/>
            <w:tcBorders>
              <w:top w:val="nil"/>
            </w:tcBorders>
          </w:tcPr>
          <w:p>
            <w:pPr>
              <w:rPr>
                <w:rFonts w:ascii="Arial"/>
                <w:sz w:val="21"/>
              </w:rPr>
            </w:pPr>
            <w:r/>
          </w:p>
        </w:tc>
        <w:tc>
          <w:tcPr>
            <w:tcW w:w="2017" w:type="dxa"/>
            <w:vAlign w:val="top"/>
          </w:tcPr>
          <w:p>
            <w:pPr>
              <w:ind w:left="590"/>
              <w:spacing w:before="165" w:line="226" w:lineRule="auto"/>
              <w:rPr>
                <w:rFonts w:ascii="SimSun" w:hAnsi="SimSun" w:eastAsia="SimSun" w:cs="SimSun"/>
                <w:sz w:val="20"/>
                <w:szCs w:val="20"/>
              </w:rPr>
            </w:pPr>
            <w:r>
              <w:rPr>
                <w:rFonts w:ascii="SimSun" w:hAnsi="SimSun" w:eastAsia="SimSun" w:cs="SimSun"/>
                <w:sz w:val="20"/>
                <w:szCs w:val="20"/>
                <w:spacing w:val="7"/>
              </w:rPr>
              <w:t>评价因子</w:t>
            </w:r>
          </w:p>
        </w:tc>
        <w:tc>
          <w:tcPr>
            <w:tcW w:w="6203" w:type="dxa"/>
            <w:vAlign w:val="top"/>
          </w:tcPr>
          <w:p>
            <w:pPr>
              <w:pStyle w:val="TableText"/>
              <w:ind w:left="721" w:right="264" w:hanging="450"/>
              <w:spacing w:before="27" w:line="236" w:lineRule="auto"/>
              <w:rPr/>
            </w:pPr>
            <w:r>
              <w:rPr>
                <w:rFonts w:ascii="SimSun" w:hAnsi="SimSun" w:eastAsia="SimSun" w:cs="SimSun"/>
                <w:spacing w:val="7"/>
              </w:rPr>
              <w:t>物种</w:t>
            </w:r>
            <w:r>
              <w:rPr>
                <w:rFonts w:ascii="MS UI Gothic" w:hAnsi="MS UI Gothic" w:eastAsia="MS UI Gothic" w:cs="MS UI Gothic"/>
                <w:spacing w:val="7"/>
              </w:rPr>
              <w:t>☑   </w:t>
            </w:r>
            <w:r>
              <w:rPr>
                <w:rFonts w:ascii="SimSun" w:hAnsi="SimSun" w:eastAsia="SimSun" w:cs="SimSun"/>
                <w:spacing w:val="7"/>
              </w:rPr>
              <w:t>生境</w:t>
            </w:r>
            <w:r>
              <w:rPr>
                <w:rFonts w:ascii="MS UI Gothic" w:hAnsi="MS UI Gothic" w:eastAsia="MS UI Gothic" w:cs="MS UI Gothic"/>
                <w:spacing w:val="7"/>
              </w:rPr>
              <w:t>☑</w:t>
            </w:r>
            <w:r>
              <w:rPr>
                <w:rFonts w:ascii="MS UI Gothic" w:hAnsi="MS UI Gothic" w:eastAsia="MS UI Gothic" w:cs="MS UI Gothic"/>
                <w:spacing w:val="13"/>
              </w:rPr>
              <w:t xml:space="preserve">   </w:t>
            </w:r>
            <w:r>
              <w:rPr>
                <w:rFonts w:ascii="SimSun" w:hAnsi="SimSun" w:eastAsia="SimSun" w:cs="SimSun"/>
                <w:spacing w:val="7"/>
              </w:rPr>
              <w:t>生物群落</w:t>
            </w:r>
            <w:r>
              <w:rPr>
                <w:rFonts w:ascii="MS UI Gothic" w:hAnsi="MS UI Gothic" w:eastAsia="MS UI Gothic" w:cs="MS UI Gothic"/>
                <w:spacing w:val="7"/>
              </w:rPr>
              <w:t>☑     </w:t>
            </w:r>
            <w:r>
              <w:rPr>
                <w:rFonts w:ascii="SimSun" w:hAnsi="SimSun" w:eastAsia="SimSun" w:cs="SimSun"/>
                <w:spacing w:val="7"/>
              </w:rPr>
              <w:t>生态系统</w:t>
            </w:r>
            <w:r>
              <w:rPr>
                <w:rFonts w:ascii="MS UI Gothic" w:hAnsi="MS UI Gothic" w:eastAsia="MS UI Gothic" w:cs="MS UI Gothic"/>
                <w:spacing w:val="7"/>
              </w:rPr>
              <w:t>☑     </w:t>
            </w:r>
            <w:r>
              <w:rPr>
                <w:rFonts w:ascii="SimSun" w:hAnsi="SimSun" w:eastAsia="SimSun" w:cs="SimSun"/>
                <w:spacing w:val="7"/>
              </w:rPr>
              <w:t>生物多样性</w:t>
            </w:r>
            <w:r>
              <w:rPr>
                <w:rFonts w:ascii="MS UI Gothic" w:hAnsi="MS UI Gothic" w:eastAsia="MS UI Gothic" w:cs="MS UI Gothic"/>
                <w:spacing w:val="7"/>
              </w:rPr>
              <w:t>☑</w:t>
            </w:r>
            <w:r>
              <w:rPr>
                <w:rFonts w:ascii="SimSun" w:hAnsi="SimSun" w:eastAsia="SimSun" w:cs="SimSun"/>
                <w:spacing w:val="3"/>
              </w:rPr>
              <w:t>生态敏感区</w:t>
            </w:r>
            <w:r>
              <w:rPr>
                <w:rFonts w:ascii="SimSun" w:hAnsi="SimSun" w:eastAsia="SimSun" w:cs="SimSun"/>
                <w:spacing w:val="15"/>
              </w:rPr>
              <w:t xml:space="preserve">     </w:t>
            </w:r>
            <w:r>
              <w:rPr>
                <w:rFonts w:ascii="SimSun" w:hAnsi="SimSun" w:eastAsia="SimSun" w:cs="SimSun"/>
                <w:spacing w:val="3"/>
              </w:rPr>
              <w:t>自然景观</w:t>
            </w:r>
            <w:r>
              <w:rPr>
                <w:rFonts w:ascii="SimSun" w:hAnsi="SimSun" w:eastAsia="SimSun" w:cs="SimSun"/>
                <w:spacing w:val="14"/>
              </w:rPr>
              <w:t xml:space="preserve">     </w:t>
            </w:r>
            <w:r>
              <w:rPr>
                <w:rFonts w:ascii="SimSun" w:hAnsi="SimSun" w:eastAsia="SimSun" w:cs="SimSun"/>
                <w:spacing w:val="3"/>
              </w:rPr>
              <w:t>自然遗迹</w:t>
            </w:r>
            <w:r>
              <w:rPr>
                <w:spacing w:val="3"/>
              </w:rPr>
              <w:t>□      </w:t>
            </w:r>
            <w:r>
              <w:rPr>
                <w:rFonts w:ascii="SimSun" w:hAnsi="SimSun" w:eastAsia="SimSun" w:cs="SimSun"/>
                <w:spacing w:val="3"/>
              </w:rPr>
              <w:t>其它</w:t>
            </w:r>
            <w:r>
              <w:rPr>
                <w:spacing w:val="3"/>
              </w:rPr>
              <w:t>□</w:t>
            </w:r>
          </w:p>
        </w:tc>
      </w:tr>
      <w:tr>
        <w:trPr>
          <w:trHeight w:val="275" w:hRule="atLeast"/>
        </w:trPr>
        <w:tc>
          <w:tcPr>
            <w:tcW w:w="3087" w:type="dxa"/>
            <w:vAlign w:val="top"/>
            <w:gridSpan w:val="2"/>
          </w:tcPr>
          <w:p>
            <w:pPr>
              <w:ind w:left="1127"/>
              <w:spacing w:before="31" w:line="216" w:lineRule="auto"/>
              <w:rPr>
                <w:rFonts w:ascii="SimSun" w:hAnsi="SimSun" w:eastAsia="SimSun" w:cs="SimSun"/>
                <w:sz w:val="20"/>
                <w:szCs w:val="20"/>
              </w:rPr>
            </w:pPr>
            <w:r>
              <w:rPr>
                <w:rFonts w:ascii="SimSun" w:hAnsi="SimSun" w:eastAsia="SimSun" w:cs="SimSun"/>
                <w:sz w:val="20"/>
                <w:szCs w:val="20"/>
                <w:spacing w:val="7"/>
              </w:rPr>
              <w:t>评价等级</w:t>
            </w:r>
          </w:p>
        </w:tc>
        <w:tc>
          <w:tcPr>
            <w:tcW w:w="6203" w:type="dxa"/>
            <w:vAlign w:val="top"/>
          </w:tcPr>
          <w:p>
            <w:pPr>
              <w:pStyle w:val="TableText"/>
              <w:ind w:left="670"/>
              <w:spacing w:before="31" w:line="216" w:lineRule="auto"/>
              <w:rPr/>
            </w:pPr>
            <w:r>
              <w:rPr>
                <w:rFonts w:ascii="SimSun" w:hAnsi="SimSun" w:eastAsia="SimSun" w:cs="SimSun"/>
                <w:spacing w:val="5"/>
              </w:rPr>
              <w:t>一级      二级</w:t>
            </w:r>
            <w:r>
              <w:rPr>
                <w:rFonts w:ascii="MS UI Gothic" w:hAnsi="MS UI Gothic" w:eastAsia="MS UI Gothic" w:cs="MS UI Gothic"/>
                <w:spacing w:val="5"/>
              </w:rPr>
              <w:t>☑       </w:t>
            </w:r>
            <w:r>
              <w:rPr>
                <w:rFonts w:ascii="SimSun" w:hAnsi="SimSun" w:eastAsia="SimSun" w:cs="SimSun"/>
                <w:spacing w:val="5"/>
              </w:rPr>
              <w:t>三级</w:t>
            </w:r>
            <w:r>
              <w:rPr>
                <w:spacing w:val="5"/>
              </w:rPr>
              <w:t>□        </w:t>
            </w:r>
            <w:r>
              <w:rPr>
                <w:rFonts w:ascii="SimSun" w:hAnsi="SimSun" w:eastAsia="SimSun" w:cs="SimSun"/>
                <w:spacing w:val="5"/>
              </w:rPr>
              <w:t>生态影响简单分析</w:t>
            </w:r>
            <w:r>
              <w:rPr>
                <w:spacing w:val="5"/>
              </w:rPr>
              <w:t>□</w:t>
            </w:r>
          </w:p>
        </w:tc>
      </w:tr>
      <w:tr>
        <w:trPr>
          <w:trHeight w:val="278" w:hRule="atLeast"/>
        </w:trPr>
        <w:tc>
          <w:tcPr>
            <w:tcW w:w="3087" w:type="dxa"/>
            <w:vAlign w:val="top"/>
            <w:gridSpan w:val="2"/>
          </w:tcPr>
          <w:p>
            <w:pPr>
              <w:ind w:left="1127"/>
              <w:spacing w:before="31" w:line="218" w:lineRule="auto"/>
              <w:rPr>
                <w:rFonts w:ascii="SimSun" w:hAnsi="SimSun" w:eastAsia="SimSun" w:cs="SimSun"/>
                <w:sz w:val="20"/>
                <w:szCs w:val="20"/>
              </w:rPr>
            </w:pPr>
            <w:r>
              <w:rPr>
                <w:rFonts w:ascii="SimSun" w:hAnsi="SimSun" w:eastAsia="SimSun" w:cs="SimSun"/>
                <w:sz w:val="20"/>
                <w:szCs w:val="20"/>
                <w:spacing w:val="7"/>
              </w:rPr>
              <w:t>评价范围</w:t>
            </w:r>
          </w:p>
        </w:tc>
        <w:tc>
          <w:tcPr>
            <w:tcW w:w="6203" w:type="dxa"/>
            <w:vAlign w:val="top"/>
          </w:tcPr>
          <w:p>
            <w:pPr>
              <w:pStyle w:val="TableText"/>
              <w:ind w:left="757"/>
              <w:spacing w:before="31" w:line="218" w:lineRule="auto"/>
              <w:rPr>
                <w:rFonts w:ascii="SimSun" w:hAnsi="SimSun" w:eastAsia="SimSun" w:cs="SimSun"/>
              </w:rPr>
            </w:pPr>
            <w:r>
              <w:rPr>
                <w:rFonts w:ascii="SimSun" w:hAnsi="SimSun" w:eastAsia="SimSun" w:cs="SimSun"/>
                <w:spacing w:val="7"/>
              </w:rPr>
              <w:t>陆域面积</w:t>
            </w:r>
            <w:r>
              <w:rPr>
                <w:rFonts w:ascii="SimSun" w:hAnsi="SimSun" w:eastAsia="SimSun" w:cs="SimSun"/>
                <w:spacing w:val="-6"/>
              </w:rPr>
              <w:t>：（</w:t>
            </w:r>
            <w:r>
              <w:rPr>
                <w:spacing w:val="7"/>
              </w:rPr>
              <w:t>53.41</w:t>
            </w:r>
            <w:r>
              <w:rPr>
                <w:rFonts w:ascii="SimSun" w:hAnsi="SimSun" w:eastAsia="SimSun" w:cs="SimSun"/>
                <w:spacing w:val="7"/>
              </w:rPr>
              <w:t>）</w:t>
            </w:r>
            <w:r>
              <w:rPr/>
              <w:t>km</w:t>
            </w:r>
            <w:r>
              <w:rPr>
                <w:sz w:val="13"/>
                <w:szCs w:val="13"/>
                <w:spacing w:val="7"/>
                <w:position w:val="6"/>
              </w:rPr>
              <w:t>2</w:t>
            </w:r>
            <w:r>
              <w:rPr>
                <w:sz w:val="13"/>
                <w:szCs w:val="13"/>
                <w:spacing w:val="-5"/>
                <w:position w:val="6"/>
              </w:rPr>
              <w:t xml:space="preserve"> </w:t>
            </w:r>
            <w:r>
              <w:rPr>
                <w:rFonts w:ascii="SimSun" w:hAnsi="SimSun" w:eastAsia="SimSun" w:cs="SimSun"/>
                <w:spacing w:val="7"/>
              </w:rPr>
              <w:t>；水域面积</w:t>
            </w:r>
            <w:r>
              <w:rPr>
                <w:rFonts w:ascii="SimSun" w:hAnsi="SimSun" w:eastAsia="SimSun" w:cs="SimSun"/>
                <w:spacing w:val="-6"/>
              </w:rPr>
              <w:t>：（</w:t>
            </w:r>
            <w:r>
              <w:rPr>
                <w:rFonts w:ascii="SimSun" w:hAnsi="SimSun" w:eastAsia="SimSun" w:cs="SimSun"/>
                <w:spacing w:val="35"/>
              </w:rPr>
              <w:t xml:space="preserve">  </w:t>
            </w:r>
            <w:r>
              <w:rPr>
                <w:rFonts w:ascii="SimSun" w:hAnsi="SimSun" w:eastAsia="SimSun" w:cs="SimSun"/>
                <w:spacing w:val="-6"/>
              </w:rPr>
              <w:t>）</w:t>
            </w:r>
            <w:r>
              <w:rPr/>
              <w:t>km</w:t>
            </w:r>
            <w:r>
              <w:rPr>
                <w:sz w:val="13"/>
                <w:szCs w:val="13"/>
                <w:spacing w:val="7"/>
                <w:position w:val="6"/>
              </w:rPr>
              <w:t>2</w:t>
            </w:r>
            <w:r>
              <w:rPr>
                <w:rFonts w:ascii="SimSun" w:hAnsi="SimSun" w:eastAsia="SimSun" w:cs="SimSun"/>
                <w:spacing w:val="7"/>
              </w:rPr>
              <w:t>；</w:t>
            </w:r>
          </w:p>
        </w:tc>
      </w:tr>
      <w:tr>
        <w:trPr>
          <w:trHeight w:val="549" w:hRule="atLeast"/>
        </w:trPr>
        <w:tc>
          <w:tcPr>
            <w:tcW w:w="1070" w:type="dxa"/>
            <w:vAlign w:val="top"/>
            <w:vMerge w:val="restart"/>
            <w:tcBorders>
              <w:bottom w:val="nil"/>
            </w:tcBorders>
          </w:tcPr>
          <w:p>
            <w:pPr>
              <w:spacing w:line="261" w:lineRule="auto"/>
              <w:rPr>
                <w:rFonts w:ascii="Arial"/>
                <w:sz w:val="21"/>
              </w:rPr>
            </w:pPr>
            <w:r/>
          </w:p>
          <w:p>
            <w:pPr>
              <w:spacing w:line="261" w:lineRule="auto"/>
              <w:rPr>
                <w:rFonts w:ascii="Arial"/>
                <w:sz w:val="21"/>
              </w:rPr>
            </w:pPr>
            <w:r/>
          </w:p>
          <w:p>
            <w:pPr>
              <w:ind w:left="120"/>
              <w:spacing w:before="65" w:line="228" w:lineRule="auto"/>
              <w:rPr>
                <w:rFonts w:ascii="SimSun" w:hAnsi="SimSun" w:eastAsia="SimSun" w:cs="SimSun"/>
                <w:sz w:val="20"/>
                <w:szCs w:val="20"/>
              </w:rPr>
            </w:pPr>
            <w:r>
              <w:rPr>
                <w:rFonts w:ascii="SimSun" w:hAnsi="SimSun" w:eastAsia="SimSun" w:cs="SimSun"/>
                <w:sz w:val="20"/>
                <w:szCs w:val="20"/>
                <w:spacing w:val="6"/>
              </w:rPr>
              <w:t>生态现状</w:t>
            </w:r>
          </w:p>
          <w:p>
            <w:pPr>
              <w:ind w:left="120"/>
              <w:spacing w:before="24" w:line="228" w:lineRule="auto"/>
              <w:rPr>
                <w:rFonts w:ascii="SimSun" w:hAnsi="SimSun" w:eastAsia="SimSun" w:cs="SimSun"/>
                <w:sz w:val="20"/>
                <w:szCs w:val="20"/>
              </w:rPr>
            </w:pPr>
            <w:r>
              <w:rPr>
                <w:rFonts w:ascii="SimSun" w:hAnsi="SimSun" w:eastAsia="SimSun" w:cs="SimSun"/>
                <w:sz w:val="20"/>
                <w:szCs w:val="20"/>
                <w:spacing w:val="6"/>
              </w:rPr>
              <w:t>调查与评</w:t>
            </w:r>
          </w:p>
          <w:p>
            <w:pPr>
              <w:ind w:left="435"/>
              <w:spacing w:before="26" w:line="226" w:lineRule="auto"/>
              <w:rPr>
                <w:rFonts w:ascii="SimSun" w:hAnsi="SimSun" w:eastAsia="SimSun" w:cs="SimSun"/>
                <w:sz w:val="20"/>
                <w:szCs w:val="20"/>
              </w:rPr>
            </w:pPr>
            <w:r>
              <w:rPr>
                <w:rFonts w:ascii="SimSun" w:hAnsi="SimSun" w:eastAsia="SimSun" w:cs="SimSun"/>
                <w:sz w:val="20"/>
                <w:szCs w:val="20"/>
              </w:rPr>
              <w:t>价</w:t>
            </w:r>
          </w:p>
        </w:tc>
        <w:tc>
          <w:tcPr>
            <w:tcW w:w="2017" w:type="dxa"/>
            <w:vAlign w:val="top"/>
          </w:tcPr>
          <w:p>
            <w:pPr>
              <w:ind w:left="593"/>
              <w:spacing w:before="166" w:line="229" w:lineRule="auto"/>
              <w:rPr>
                <w:rFonts w:ascii="SimSun" w:hAnsi="SimSun" w:eastAsia="SimSun" w:cs="SimSun"/>
                <w:sz w:val="20"/>
                <w:szCs w:val="20"/>
              </w:rPr>
            </w:pPr>
            <w:r>
              <w:rPr>
                <w:rFonts w:ascii="SimSun" w:hAnsi="SimSun" w:eastAsia="SimSun" w:cs="SimSun"/>
                <w:sz w:val="20"/>
                <w:szCs w:val="20"/>
                <w:spacing w:val="6"/>
              </w:rPr>
              <w:t>调查方法</w:t>
            </w:r>
          </w:p>
        </w:tc>
        <w:tc>
          <w:tcPr>
            <w:tcW w:w="6203" w:type="dxa"/>
            <w:vAlign w:val="top"/>
          </w:tcPr>
          <w:p>
            <w:pPr>
              <w:ind w:left="121"/>
              <w:spacing w:before="31" w:line="228" w:lineRule="auto"/>
              <w:rPr>
                <w:rFonts w:ascii="SimSun" w:hAnsi="SimSun" w:eastAsia="SimSun" w:cs="SimSun"/>
                <w:sz w:val="20"/>
                <w:szCs w:val="20"/>
              </w:rPr>
            </w:pPr>
            <w:r>
              <w:rPr>
                <w:rFonts w:ascii="SimSun" w:hAnsi="SimSun" w:eastAsia="SimSun" w:cs="SimSun"/>
                <w:sz w:val="20"/>
                <w:szCs w:val="20"/>
                <w:spacing w:val="2"/>
              </w:rPr>
              <w:t>资料收集</w:t>
            </w:r>
            <w:r>
              <w:rPr>
                <w:rFonts w:ascii="MS UI Gothic" w:hAnsi="MS UI Gothic" w:eastAsia="MS UI Gothic" w:cs="MS UI Gothic"/>
                <w:sz w:val="20"/>
                <w:szCs w:val="20"/>
                <w:spacing w:val="2"/>
              </w:rPr>
              <w:t>☑</w:t>
            </w:r>
            <w:r>
              <w:rPr>
                <w:rFonts w:ascii="SimSun" w:hAnsi="SimSun" w:eastAsia="SimSun" w:cs="SimSun"/>
                <w:sz w:val="20"/>
                <w:szCs w:val="20"/>
                <w:spacing w:val="2"/>
              </w:rPr>
              <w:t>；遥感调查</w:t>
            </w:r>
            <w:r>
              <w:rPr>
                <w:rFonts w:ascii="MS UI Gothic" w:hAnsi="MS UI Gothic" w:eastAsia="MS UI Gothic" w:cs="MS UI Gothic"/>
                <w:sz w:val="20"/>
                <w:szCs w:val="20"/>
                <w:spacing w:val="2"/>
              </w:rPr>
              <w:t>☑</w:t>
            </w:r>
            <w:r>
              <w:rPr>
                <w:rFonts w:ascii="SimSun" w:hAnsi="SimSun" w:eastAsia="SimSun" w:cs="SimSun"/>
                <w:sz w:val="20"/>
                <w:szCs w:val="20"/>
                <w:spacing w:val="2"/>
              </w:rPr>
              <w:t>；调查样方、样线</w:t>
            </w:r>
            <w:r>
              <w:rPr>
                <w:rFonts w:ascii="MS UI Gothic" w:hAnsi="MS UI Gothic" w:eastAsia="MS UI Gothic" w:cs="MS UI Gothic"/>
                <w:sz w:val="20"/>
                <w:szCs w:val="20"/>
                <w:spacing w:val="2"/>
              </w:rPr>
              <w:t>☑</w:t>
            </w:r>
            <w:r>
              <w:rPr>
                <w:rFonts w:ascii="SimSun" w:hAnsi="SimSun" w:eastAsia="SimSun" w:cs="SimSun"/>
                <w:sz w:val="20"/>
                <w:szCs w:val="20"/>
                <w:spacing w:val="2"/>
              </w:rPr>
              <w:t>；调查点位、断面</w:t>
            </w:r>
            <w:r>
              <w:rPr>
                <w:rFonts w:ascii="MS UI Gothic" w:hAnsi="MS UI Gothic" w:eastAsia="MS UI Gothic" w:cs="MS UI Gothic"/>
                <w:sz w:val="20"/>
                <w:szCs w:val="20"/>
                <w:spacing w:val="2"/>
              </w:rPr>
              <w:t>☑</w:t>
            </w:r>
            <w:r>
              <w:rPr>
                <w:rFonts w:ascii="SimSun" w:hAnsi="SimSun" w:eastAsia="SimSun" w:cs="SimSun"/>
                <w:sz w:val="20"/>
                <w:szCs w:val="20"/>
                <w:spacing w:val="2"/>
              </w:rPr>
              <w:t>;</w:t>
            </w:r>
          </w:p>
          <w:p>
            <w:pPr>
              <w:ind w:left="1750"/>
              <w:spacing w:before="25" w:line="217" w:lineRule="auto"/>
              <w:rPr>
                <w:rFonts w:ascii="SimSun" w:hAnsi="SimSun" w:eastAsia="SimSun" w:cs="SimSun"/>
                <w:sz w:val="20"/>
                <w:szCs w:val="20"/>
              </w:rPr>
            </w:pPr>
            <w:r>
              <w:rPr>
                <w:rFonts w:ascii="SimSun" w:hAnsi="SimSun" w:eastAsia="SimSun" w:cs="SimSun"/>
                <w:sz w:val="20"/>
                <w:szCs w:val="20"/>
                <w:spacing w:val="6"/>
              </w:rPr>
              <w:t>专家和公众咨询法</w:t>
            </w:r>
            <w:r>
              <w:rPr>
                <w:rFonts w:ascii="SimSun" w:hAnsi="SimSun" w:eastAsia="SimSun" w:cs="SimSun"/>
                <w:sz w:val="20"/>
                <w:szCs w:val="20"/>
                <w:spacing w:val="17"/>
              </w:rPr>
              <w:t xml:space="preserve">  </w:t>
            </w:r>
            <w:r>
              <w:rPr>
                <w:rFonts w:ascii="SimSun" w:hAnsi="SimSun" w:eastAsia="SimSun" w:cs="SimSun"/>
                <w:sz w:val="20"/>
                <w:szCs w:val="20"/>
                <w:spacing w:val="6"/>
              </w:rPr>
              <w:t>；其它</w:t>
            </w:r>
          </w:p>
        </w:tc>
      </w:tr>
      <w:tr>
        <w:trPr>
          <w:trHeight w:val="278" w:hRule="atLeast"/>
        </w:trPr>
        <w:tc>
          <w:tcPr>
            <w:tcW w:w="1070" w:type="dxa"/>
            <w:vAlign w:val="top"/>
            <w:vMerge w:val="continue"/>
            <w:tcBorders>
              <w:top w:val="nil"/>
              <w:bottom w:val="nil"/>
            </w:tcBorders>
          </w:tcPr>
          <w:p>
            <w:pPr>
              <w:rPr>
                <w:rFonts w:ascii="Arial"/>
                <w:sz w:val="21"/>
              </w:rPr>
            </w:pPr>
            <w:r/>
          </w:p>
        </w:tc>
        <w:tc>
          <w:tcPr>
            <w:tcW w:w="2017" w:type="dxa"/>
            <w:vAlign w:val="top"/>
          </w:tcPr>
          <w:p>
            <w:pPr>
              <w:ind w:left="593"/>
              <w:spacing w:before="32" w:line="217" w:lineRule="auto"/>
              <w:rPr>
                <w:rFonts w:ascii="SimSun" w:hAnsi="SimSun" w:eastAsia="SimSun" w:cs="SimSun"/>
                <w:sz w:val="20"/>
                <w:szCs w:val="20"/>
              </w:rPr>
            </w:pPr>
            <w:r>
              <w:rPr>
                <w:rFonts w:ascii="SimSun" w:hAnsi="SimSun" w:eastAsia="SimSun" w:cs="SimSun"/>
                <w:sz w:val="20"/>
                <w:szCs w:val="20"/>
                <w:spacing w:val="6"/>
              </w:rPr>
              <w:t>调查时间</w:t>
            </w:r>
          </w:p>
        </w:tc>
        <w:tc>
          <w:tcPr>
            <w:tcW w:w="6203" w:type="dxa"/>
            <w:vAlign w:val="top"/>
          </w:tcPr>
          <w:p>
            <w:pPr>
              <w:pStyle w:val="TableText"/>
              <w:ind w:left="203"/>
              <w:spacing w:before="32" w:line="217" w:lineRule="auto"/>
              <w:rPr/>
            </w:pPr>
            <w:r>
              <w:rPr>
                <w:rFonts w:ascii="SimSun" w:hAnsi="SimSun" w:eastAsia="SimSun" w:cs="SimSun"/>
                <w:spacing w:val="5"/>
              </w:rPr>
              <w:t>春季</w:t>
            </w:r>
            <w:r>
              <w:rPr>
                <w:spacing w:val="5"/>
              </w:rPr>
              <w:t>□</w:t>
            </w:r>
            <w:r>
              <w:rPr>
                <w:spacing w:val="-23"/>
              </w:rPr>
              <w:t xml:space="preserve"> </w:t>
            </w:r>
            <w:r>
              <w:rPr>
                <w:rFonts w:ascii="SimSun" w:hAnsi="SimSun" w:eastAsia="SimSun" w:cs="SimSun"/>
                <w:spacing w:val="5"/>
              </w:rPr>
              <w:t>；夏季</w:t>
            </w:r>
            <w:r>
              <w:rPr>
                <w:rFonts w:ascii="MS UI Gothic" w:hAnsi="MS UI Gothic" w:eastAsia="MS UI Gothic" w:cs="MS UI Gothic"/>
                <w:spacing w:val="5"/>
              </w:rPr>
              <w:t>☑</w:t>
            </w:r>
            <w:r>
              <w:rPr>
                <w:rFonts w:ascii="SimSun" w:hAnsi="SimSun" w:eastAsia="SimSun" w:cs="SimSun"/>
                <w:spacing w:val="5"/>
              </w:rPr>
              <w:t>；秋季</w:t>
            </w:r>
            <w:r>
              <w:rPr>
                <w:spacing w:val="5"/>
              </w:rPr>
              <w:t>□</w:t>
            </w:r>
            <w:r>
              <w:rPr>
                <w:spacing w:val="-23"/>
              </w:rPr>
              <w:t xml:space="preserve"> </w:t>
            </w:r>
            <w:r>
              <w:rPr>
                <w:rFonts w:ascii="SimSun" w:hAnsi="SimSun" w:eastAsia="SimSun" w:cs="SimSun"/>
                <w:spacing w:val="5"/>
              </w:rPr>
              <w:t>；冬季</w:t>
            </w:r>
            <w:r>
              <w:rPr>
                <w:spacing w:val="5"/>
              </w:rPr>
              <w:t>□    </w:t>
            </w:r>
            <w:r>
              <w:rPr>
                <w:rFonts w:ascii="SimSun" w:hAnsi="SimSun" w:eastAsia="SimSun" w:cs="SimSun"/>
                <w:spacing w:val="5"/>
              </w:rPr>
              <w:t>丰水期</w:t>
            </w:r>
            <w:r>
              <w:rPr>
                <w:spacing w:val="5"/>
              </w:rPr>
              <w:t>□</w:t>
            </w:r>
            <w:r>
              <w:rPr>
                <w:spacing w:val="-23"/>
              </w:rPr>
              <w:t xml:space="preserve"> </w:t>
            </w:r>
            <w:r>
              <w:rPr>
                <w:rFonts w:ascii="SimSun" w:hAnsi="SimSun" w:eastAsia="SimSun" w:cs="SimSun"/>
                <w:spacing w:val="5"/>
              </w:rPr>
              <w:t>；枯水</w:t>
            </w:r>
            <w:r>
              <w:rPr>
                <w:rFonts w:ascii="SimSun" w:hAnsi="SimSun" w:eastAsia="SimSun" w:cs="SimSun"/>
                <w:spacing w:val="4"/>
              </w:rPr>
              <w:t>期</w:t>
            </w:r>
            <w:r>
              <w:rPr>
                <w:spacing w:val="4"/>
              </w:rPr>
              <w:t>□</w:t>
            </w:r>
            <w:r>
              <w:rPr>
                <w:spacing w:val="-23"/>
              </w:rPr>
              <w:t xml:space="preserve"> </w:t>
            </w:r>
            <w:r>
              <w:rPr>
                <w:rFonts w:ascii="SimSun" w:hAnsi="SimSun" w:eastAsia="SimSun" w:cs="SimSun"/>
                <w:spacing w:val="4"/>
              </w:rPr>
              <w:t>；平水期</w:t>
            </w:r>
            <w:r>
              <w:rPr>
                <w:spacing w:val="4"/>
              </w:rPr>
              <w:t>□</w:t>
            </w:r>
          </w:p>
        </w:tc>
      </w:tr>
      <w:tr>
        <w:trPr>
          <w:trHeight w:val="549" w:hRule="atLeast"/>
        </w:trPr>
        <w:tc>
          <w:tcPr>
            <w:tcW w:w="1070" w:type="dxa"/>
            <w:vAlign w:val="top"/>
            <w:vMerge w:val="continue"/>
            <w:tcBorders>
              <w:top w:val="nil"/>
              <w:bottom w:val="nil"/>
            </w:tcBorders>
          </w:tcPr>
          <w:p>
            <w:pPr>
              <w:rPr>
                <w:rFonts w:ascii="Arial"/>
                <w:sz w:val="21"/>
              </w:rPr>
            </w:pPr>
            <w:r/>
          </w:p>
        </w:tc>
        <w:tc>
          <w:tcPr>
            <w:tcW w:w="2017" w:type="dxa"/>
            <w:vAlign w:val="top"/>
          </w:tcPr>
          <w:p>
            <w:pPr>
              <w:ind w:left="171"/>
              <w:spacing w:before="33" w:line="228" w:lineRule="auto"/>
              <w:rPr>
                <w:rFonts w:ascii="SimSun" w:hAnsi="SimSun" w:eastAsia="SimSun" w:cs="SimSun"/>
                <w:sz w:val="20"/>
                <w:szCs w:val="20"/>
              </w:rPr>
            </w:pPr>
            <w:r>
              <w:rPr>
                <w:rFonts w:ascii="SimSun" w:hAnsi="SimSun" w:eastAsia="SimSun" w:cs="SimSun"/>
                <w:sz w:val="20"/>
                <w:szCs w:val="20"/>
                <w:spacing w:val="8"/>
              </w:rPr>
              <w:t>所在区域的生态问</w:t>
            </w:r>
          </w:p>
          <w:p>
            <w:pPr>
              <w:ind w:left="908"/>
              <w:spacing w:before="23" w:line="217" w:lineRule="auto"/>
              <w:rPr>
                <w:rFonts w:ascii="SimSun" w:hAnsi="SimSun" w:eastAsia="SimSun" w:cs="SimSun"/>
                <w:sz w:val="20"/>
                <w:szCs w:val="20"/>
              </w:rPr>
            </w:pPr>
            <w:r>
              <w:rPr>
                <w:rFonts w:ascii="SimSun" w:hAnsi="SimSun" w:eastAsia="SimSun" w:cs="SimSun"/>
                <w:sz w:val="20"/>
                <w:szCs w:val="20"/>
              </w:rPr>
              <w:t>题</w:t>
            </w:r>
          </w:p>
        </w:tc>
        <w:tc>
          <w:tcPr>
            <w:tcW w:w="6203" w:type="dxa"/>
            <w:vAlign w:val="top"/>
          </w:tcPr>
          <w:p>
            <w:pPr>
              <w:pStyle w:val="TableText"/>
              <w:ind w:left="125"/>
              <w:spacing w:before="32" w:line="228" w:lineRule="auto"/>
              <w:rPr>
                <w:rFonts w:ascii="SimSun" w:hAnsi="SimSun" w:eastAsia="SimSun" w:cs="SimSun"/>
              </w:rPr>
            </w:pPr>
            <w:r>
              <w:rPr>
                <w:rFonts w:ascii="SimSun" w:hAnsi="SimSun" w:eastAsia="SimSun" w:cs="SimSun"/>
                <w:spacing w:val="5"/>
              </w:rPr>
              <w:t>水土流失</w:t>
            </w:r>
            <w:r>
              <w:rPr>
                <w:rFonts w:ascii="MS UI Gothic" w:hAnsi="MS UI Gothic" w:eastAsia="MS UI Gothic" w:cs="MS UI Gothic"/>
                <w:spacing w:val="5"/>
              </w:rPr>
              <w:t>☑</w:t>
            </w:r>
            <w:r>
              <w:rPr>
                <w:rFonts w:ascii="SimSun" w:hAnsi="SimSun" w:eastAsia="SimSun" w:cs="SimSun"/>
                <w:spacing w:val="5"/>
              </w:rPr>
              <w:t>；沙漠化</w:t>
            </w:r>
            <w:r>
              <w:rPr>
                <w:spacing w:val="5"/>
              </w:rPr>
              <w:t>□</w:t>
            </w:r>
            <w:r>
              <w:rPr>
                <w:spacing w:val="-10"/>
              </w:rPr>
              <w:t xml:space="preserve"> </w:t>
            </w:r>
            <w:r>
              <w:rPr>
                <w:rFonts w:ascii="SimSun" w:hAnsi="SimSun" w:eastAsia="SimSun" w:cs="SimSun"/>
                <w:spacing w:val="5"/>
              </w:rPr>
              <w:t>；石漠化</w:t>
            </w:r>
            <w:r>
              <w:rPr>
                <w:spacing w:val="5"/>
              </w:rPr>
              <w:t>□</w:t>
            </w:r>
            <w:r>
              <w:rPr>
                <w:spacing w:val="-25"/>
              </w:rPr>
              <w:t xml:space="preserve"> </w:t>
            </w:r>
            <w:r>
              <w:rPr>
                <w:rFonts w:ascii="SimSun" w:hAnsi="SimSun" w:eastAsia="SimSun" w:cs="SimSun"/>
                <w:spacing w:val="5"/>
              </w:rPr>
              <w:t>；盐渍化</w:t>
            </w:r>
            <w:r>
              <w:rPr>
                <w:spacing w:val="5"/>
              </w:rPr>
              <w:t>□</w:t>
            </w:r>
            <w:r>
              <w:rPr>
                <w:spacing w:val="-23"/>
              </w:rPr>
              <w:t xml:space="preserve"> </w:t>
            </w:r>
            <w:r>
              <w:rPr>
                <w:rFonts w:ascii="SimSun" w:hAnsi="SimSun" w:eastAsia="SimSun" w:cs="SimSun"/>
                <w:spacing w:val="5"/>
              </w:rPr>
              <w:t>；生物入侵</w:t>
            </w:r>
            <w:r>
              <w:rPr>
                <w:spacing w:val="5"/>
              </w:rPr>
              <w:t>□</w:t>
            </w:r>
            <w:r>
              <w:rPr>
                <w:spacing w:val="-23"/>
              </w:rPr>
              <w:t xml:space="preserve"> </w:t>
            </w:r>
            <w:r>
              <w:rPr>
                <w:rFonts w:ascii="SimSun" w:hAnsi="SimSun" w:eastAsia="SimSun" w:cs="SimSun"/>
                <w:spacing w:val="5"/>
              </w:rPr>
              <w:t>；污染危</w:t>
            </w:r>
          </w:p>
          <w:p>
            <w:pPr>
              <w:pStyle w:val="TableText"/>
              <w:ind w:left="2562"/>
              <w:spacing w:before="24" w:line="217" w:lineRule="auto"/>
              <w:rPr/>
            </w:pPr>
            <w:r>
              <w:rPr>
                <w:rFonts w:ascii="SimSun" w:hAnsi="SimSun" w:eastAsia="SimSun" w:cs="SimSun"/>
                <w:spacing w:val="1"/>
              </w:rPr>
              <w:t>害</w:t>
            </w:r>
            <w:r>
              <w:rPr>
                <w:spacing w:val="1"/>
              </w:rPr>
              <w:t>□</w:t>
            </w:r>
            <w:r>
              <w:rPr>
                <w:spacing w:val="-20"/>
              </w:rPr>
              <w:t xml:space="preserve"> </w:t>
            </w:r>
            <w:r>
              <w:rPr>
                <w:rFonts w:ascii="SimSun" w:hAnsi="SimSun" w:eastAsia="SimSun" w:cs="SimSun"/>
                <w:spacing w:val="1"/>
              </w:rPr>
              <w:t>；其它</w:t>
            </w:r>
            <w:r>
              <w:rPr>
                <w:spacing w:val="1"/>
              </w:rPr>
              <w:t>□</w:t>
            </w:r>
          </w:p>
        </w:tc>
      </w:tr>
      <w:tr>
        <w:trPr>
          <w:trHeight w:val="549" w:hRule="atLeast"/>
        </w:trPr>
        <w:tc>
          <w:tcPr>
            <w:tcW w:w="1070" w:type="dxa"/>
            <w:vAlign w:val="top"/>
            <w:vMerge w:val="continue"/>
            <w:tcBorders>
              <w:top w:val="nil"/>
            </w:tcBorders>
          </w:tcPr>
          <w:p>
            <w:pPr>
              <w:rPr>
                <w:rFonts w:ascii="Arial"/>
                <w:sz w:val="21"/>
              </w:rPr>
            </w:pPr>
            <w:r/>
          </w:p>
        </w:tc>
        <w:tc>
          <w:tcPr>
            <w:tcW w:w="2017" w:type="dxa"/>
            <w:vAlign w:val="top"/>
          </w:tcPr>
          <w:p>
            <w:pPr>
              <w:ind w:left="590"/>
              <w:spacing w:before="167" w:line="226" w:lineRule="auto"/>
              <w:rPr>
                <w:rFonts w:ascii="SimSun" w:hAnsi="SimSun" w:eastAsia="SimSun" w:cs="SimSun"/>
                <w:sz w:val="20"/>
                <w:szCs w:val="20"/>
              </w:rPr>
            </w:pPr>
            <w:r>
              <w:rPr>
                <w:rFonts w:ascii="SimSun" w:hAnsi="SimSun" w:eastAsia="SimSun" w:cs="SimSun"/>
                <w:sz w:val="20"/>
                <w:szCs w:val="20"/>
                <w:spacing w:val="7"/>
              </w:rPr>
              <w:t>评价内容</w:t>
            </w:r>
          </w:p>
        </w:tc>
        <w:tc>
          <w:tcPr>
            <w:tcW w:w="6203" w:type="dxa"/>
            <w:vAlign w:val="top"/>
          </w:tcPr>
          <w:p>
            <w:pPr>
              <w:pStyle w:val="TableText"/>
              <w:ind w:left="772" w:right="133" w:hanging="635"/>
              <w:spacing w:before="34" w:line="233" w:lineRule="auto"/>
              <w:rPr/>
            </w:pPr>
            <w:r>
              <w:rPr>
                <w:rFonts w:ascii="SimSun" w:hAnsi="SimSun" w:eastAsia="SimSun" w:cs="SimSun"/>
                <w:spacing w:val="9"/>
              </w:rPr>
              <w:t>植被</w:t>
            </w:r>
            <w:r>
              <w:rPr>
                <w:spacing w:val="9"/>
              </w:rPr>
              <w:t>/</w:t>
            </w:r>
            <w:r>
              <w:rPr>
                <w:rFonts w:ascii="SimSun" w:hAnsi="SimSun" w:eastAsia="SimSun" w:cs="SimSun"/>
                <w:spacing w:val="9"/>
              </w:rPr>
              <w:t>植物群落</w:t>
            </w:r>
            <w:r>
              <w:rPr>
                <w:rFonts w:ascii="MS UI Gothic" w:hAnsi="MS UI Gothic" w:eastAsia="MS UI Gothic" w:cs="MS UI Gothic"/>
                <w:spacing w:val="9"/>
              </w:rPr>
              <w:t>☑</w:t>
            </w:r>
            <w:r>
              <w:rPr>
                <w:rFonts w:ascii="SimSun" w:hAnsi="SimSun" w:eastAsia="SimSun" w:cs="SimSun"/>
                <w:spacing w:val="9"/>
              </w:rPr>
              <w:t>；土地利用</w:t>
            </w:r>
            <w:r>
              <w:rPr>
                <w:rFonts w:ascii="MS UI Gothic" w:hAnsi="MS UI Gothic" w:eastAsia="MS UI Gothic" w:cs="MS UI Gothic"/>
                <w:spacing w:val="9"/>
              </w:rPr>
              <w:t>☑</w:t>
            </w:r>
            <w:r>
              <w:rPr>
                <w:rFonts w:ascii="SimSun" w:hAnsi="SimSun" w:eastAsia="SimSun" w:cs="SimSun"/>
                <w:spacing w:val="9"/>
              </w:rPr>
              <w:t>；生态系统</w:t>
            </w:r>
            <w:r>
              <w:rPr>
                <w:rFonts w:ascii="MS UI Gothic" w:hAnsi="MS UI Gothic" w:eastAsia="MS UI Gothic" w:cs="MS UI Gothic"/>
                <w:spacing w:val="9"/>
              </w:rPr>
              <w:t>☑</w:t>
            </w:r>
            <w:r>
              <w:rPr>
                <w:rFonts w:ascii="SimSun" w:hAnsi="SimSun" w:eastAsia="SimSun" w:cs="SimSun"/>
                <w:spacing w:val="9"/>
              </w:rPr>
              <w:t>；生物多样性</w:t>
            </w:r>
            <w:r>
              <w:rPr>
                <w:rFonts w:ascii="MS UI Gothic" w:hAnsi="MS UI Gothic" w:eastAsia="MS UI Gothic" w:cs="MS UI Gothic"/>
                <w:spacing w:val="9"/>
              </w:rPr>
              <w:t>☑</w:t>
            </w:r>
            <w:r>
              <w:rPr>
                <w:rFonts w:ascii="SimSun" w:hAnsi="SimSun" w:eastAsia="SimSun" w:cs="SimSun"/>
                <w:spacing w:val="9"/>
              </w:rPr>
              <w:t>；重</w:t>
            </w:r>
            <w:r>
              <w:rPr>
                <w:rFonts w:ascii="SimSun" w:hAnsi="SimSun" w:eastAsia="SimSun" w:cs="SimSun"/>
                <w:spacing w:val="6"/>
              </w:rPr>
              <w:t>要物种  ；生态敏感区</w:t>
            </w:r>
            <w:r>
              <w:rPr>
                <w:rFonts w:ascii="SimSun" w:hAnsi="SimSun" w:eastAsia="SimSun" w:cs="SimSun"/>
                <w:spacing w:val="22"/>
              </w:rPr>
              <w:t xml:space="preserve">  </w:t>
            </w:r>
            <w:r>
              <w:rPr>
                <w:rFonts w:ascii="SimSun" w:hAnsi="SimSun" w:eastAsia="SimSun" w:cs="SimSun"/>
                <w:spacing w:val="6"/>
              </w:rPr>
              <w:t>；生物入侵风险</w:t>
            </w:r>
            <w:r>
              <w:rPr>
                <w:spacing w:val="6"/>
              </w:rPr>
              <w:t>□</w:t>
            </w:r>
            <w:r>
              <w:rPr>
                <w:spacing w:val="-22"/>
              </w:rPr>
              <w:t xml:space="preserve"> </w:t>
            </w:r>
            <w:r>
              <w:rPr>
                <w:rFonts w:ascii="SimSun" w:hAnsi="SimSun" w:eastAsia="SimSun" w:cs="SimSun"/>
                <w:spacing w:val="6"/>
              </w:rPr>
              <w:t>；其它</w:t>
            </w:r>
            <w:r>
              <w:rPr>
                <w:spacing w:val="6"/>
              </w:rPr>
              <w:t>□</w:t>
            </w:r>
          </w:p>
        </w:tc>
      </w:tr>
      <w:tr>
        <w:trPr>
          <w:trHeight w:val="278" w:hRule="atLeast"/>
        </w:trPr>
        <w:tc>
          <w:tcPr>
            <w:tcW w:w="1070" w:type="dxa"/>
            <w:vAlign w:val="top"/>
            <w:vMerge w:val="restart"/>
            <w:tcBorders>
              <w:bottom w:val="nil"/>
            </w:tcBorders>
          </w:tcPr>
          <w:p>
            <w:pPr>
              <w:ind w:left="120"/>
              <w:spacing w:before="38" w:line="230" w:lineRule="auto"/>
              <w:rPr>
                <w:rFonts w:ascii="SimSun" w:hAnsi="SimSun" w:eastAsia="SimSun" w:cs="SimSun"/>
                <w:sz w:val="20"/>
                <w:szCs w:val="20"/>
              </w:rPr>
            </w:pPr>
            <w:r>
              <w:rPr>
                <w:rFonts w:ascii="SimSun" w:hAnsi="SimSun" w:eastAsia="SimSun" w:cs="SimSun"/>
                <w:sz w:val="20"/>
                <w:szCs w:val="20"/>
                <w:spacing w:val="6"/>
              </w:rPr>
              <w:t>生态影响</w:t>
            </w:r>
          </w:p>
          <w:p>
            <w:pPr>
              <w:ind w:left="435" w:right="117" w:hanging="315"/>
              <w:spacing w:before="23" w:line="236" w:lineRule="auto"/>
              <w:rPr>
                <w:rFonts w:ascii="SimSun" w:hAnsi="SimSun" w:eastAsia="SimSun" w:cs="SimSun"/>
                <w:sz w:val="20"/>
                <w:szCs w:val="20"/>
              </w:rPr>
            </w:pPr>
            <w:r>
              <w:rPr>
                <w:rFonts w:ascii="SimSun" w:hAnsi="SimSun" w:eastAsia="SimSun" w:cs="SimSun"/>
                <w:sz w:val="20"/>
                <w:szCs w:val="20"/>
                <w:spacing w:val="6"/>
              </w:rPr>
              <w:t>预测与评</w:t>
            </w:r>
            <w:r>
              <w:rPr>
                <w:rFonts w:ascii="SimSun" w:hAnsi="SimSun" w:eastAsia="SimSun" w:cs="SimSun"/>
                <w:sz w:val="20"/>
                <w:szCs w:val="20"/>
              </w:rPr>
              <w:t>价</w:t>
            </w:r>
          </w:p>
        </w:tc>
        <w:tc>
          <w:tcPr>
            <w:tcW w:w="2017" w:type="dxa"/>
            <w:vAlign w:val="top"/>
          </w:tcPr>
          <w:p>
            <w:pPr>
              <w:ind w:left="590"/>
              <w:spacing w:before="33" w:line="216" w:lineRule="auto"/>
              <w:rPr>
                <w:rFonts w:ascii="SimSun" w:hAnsi="SimSun" w:eastAsia="SimSun" w:cs="SimSun"/>
                <w:sz w:val="20"/>
                <w:szCs w:val="20"/>
              </w:rPr>
            </w:pPr>
            <w:r>
              <w:rPr>
                <w:rFonts w:ascii="SimSun" w:hAnsi="SimSun" w:eastAsia="SimSun" w:cs="SimSun"/>
                <w:sz w:val="20"/>
                <w:szCs w:val="20"/>
                <w:spacing w:val="7"/>
              </w:rPr>
              <w:t>评价方法</w:t>
            </w:r>
          </w:p>
        </w:tc>
        <w:tc>
          <w:tcPr>
            <w:tcW w:w="6203" w:type="dxa"/>
            <w:vAlign w:val="top"/>
          </w:tcPr>
          <w:p>
            <w:pPr>
              <w:pStyle w:val="TableText"/>
              <w:ind w:left="2100"/>
              <w:spacing w:before="33" w:line="216" w:lineRule="auto"/>
              <w:rPr>
                <w:rFonts w:ascii="MS UI Gothic" w:hAnsi="MS UI Gothic" w:eastAsia="MS UI Gothic" w:cs="MS UI Gothic"/>
              </w:rPr>
            </w:pPr>
            <w:r>
              <w:rPr>
                <w:rFonts w:ascii="SimSun" w:hAnsi="SimSun" w:eastAsia="SimSun" w:cs="SimSun"/>
                <w:spacing w:val="5"/>
              </w:rPr>
              <w:t>定性</w:t>
            </w:r>
            <w:r>
              <w:rPr>
                <w:spacing w:val="5"/>
              </w:rPr>
              <w:t>□</w:t>
            </w:r>
            <w:r>
              <w:rPr>
                <w:spacing w:val="-18"/>
              </w:rPr>
              <w:t xml:space="preserve"> </w:t>
            </w:r>
            <w:r>
              <w:rPr>
                <w:rFonts w:ascii="SimSun" w:hAnsi="SimSun" w:eastAsia="SimSun" w:cs="SimSun"/>
                <w:spacing w:val="5"/>
              </w:rPr>
              <w:t>；定性和定量</w:t>
            </w:r>
            <w:r>
              <w:rPr>
                <w:rFonts w:ascii="MS UI Gothic" w:hAnsi="MS UI Gothic" w:eastAsia="MS UI Gothic" w:cs="MS UI Gothic"/>
                <w:spacing w:val="5"/>
              </w:rPr>
              <w:t>☑</w:t>
            </w:r>
          </w:p>
        </w:tc>
      </w:tr>
      <w:tr>
        <w:trPr>
          <w:trHeight w:val="549" w:hRule="atLeast"/>
        </w:trPr>
        <w:tc>
          <w:tcPr>
            <w:tcW w:w="1070" w:type="dxa"/>
            <w:vAlign w:val="top"/>
            <w:vMerge w:val="continue"/>
            <w:tcBorders>
              <w:top w:val="nil"/>
            </w:tcBorders>
          </w:tcPr>
          <w:p>
            <w:pPr>
              <w:rPr>
                <w:rFonts w:ascii="Arial"/>
                <w:sz w:val="21"/>
              </w:rPr>
            </w:pPr>
            <w:r/>
          </w:p>
        </w:tc>
        <w:tc>
          <w:tcPr>
            <w:tcW w:w="2017" w:type="dxa"/>
            <w:vAlign w:val="top"/>
          </w:tcPr>
          <w:p>
            <w:pPr>
              <w:ind w:left="590"/>
              <w:spacing w:before="168" w:line="226" w:lineRule="auto"/>
              <w:rPr>
                <w:rFonts w:ascii="SimSun" w:hAnsi="SimSun" w:eastAsia="SimSun" w:cs="SimSun"/>
                <w:sz w:val="20"/>
                <w:szCs w:val="20"/>
              </w:rPr>
            </w:pPr>
            <w:r>
              <w:rPr>
                <w:rFonts w:ascii="SimSun" w:hAnsi="SimSun" w:eastAsia="SimSun" w:cs="SimSun"/>
                <w:sz w:val="20"/>
                <w:szCs w:val="20"/>
                <w:spacing w:val="7"/>
              </w:rPr>
              <w:t>评价内容</w:t>
            </w:r>
          </w:p>
        </w:tc>
        <w:tc>
          <w:tcPr>
            <w:tcW w:w="6203" w:type="dxa"/>
            <w:vAlign w:val="top"/>
          </w:tcPr>
          <w:p>
            <w:pPr>
              <w:pStyle w:val="TableText"/>
              <w:ind w:left="813" w:right="133" w:hanging="676"/>
              <w:spacing w:before="32" w:line="234" w:lineRule="auto"/>
              <w:rPr/>
            </w:pPr>
            <w:r>
              <w:rPr>
                <w:rFonts w:ascii="SimSun" w:hAnsi="SimSun" w:eastAsia="SimSun" w:cs="SimSun"/>
                <w:spacing w:val="9"/>
              </w:rPr>
              <w:t>植被</w:t>
            </w:r>
            <w:r>
              <w:rPr>
                <w:spacing w:val="9"/>
              </w:rPr>
              <w:t>/</w:t>
            </w:r>
            <w:r>
              <w:rPr>
                <w:rFonts w:ascii="SimSun" w:hAnsi="SimSun" w:eastAsia="SimSun" w:cs="SimSun"/>
                <w:spacing w:val="9"/>
              </w:rPr>
              <w:t>植物群落</w:t>
            </w:r>
            <w:r>
              <w:rPr>
                <w:rFonts w:ascii="MS UI Gothic" w:hAnsi="MS UI Gothic" w:eastAsia="MS UI Gothic" w:cs="MS UI Gothic"/>
                <w:spacing w:val="9"/>
              </w:rPr>
              <w:t>☑</w:t>
            </w:r>
            <w:r>
              <w:rPr>
                <w:rFonts w:ascii="SimSun" w:hAnsi="SimSun" w:eastAsia="SimSun" w:cs="SimSun"/>
                <w:spacing w:val="9"/>
              </w:rPr>
              <w:t>；土地利用</w:t>
            </w:r>
            <w:r>
              <w:rPr>
                <w:rFonts w:ascii="MS UI Gothic" w:hAnsi="MS UI Gothic" w:eastAsia="MS UI Gothic" w:cs="MS UI Gothic"/>
                <w:spacing w:val="9"/>
              </w:rPr>
              <w:t>☑</w:t>
            </w:r>
            <w:r>
              <w:rPr>
                <w:rFonts w:ascii="SimSun" w:hAnsi="SimSun" w:eastAsia="SimSun" w:cs="SimSun"/>
                <w:spacing w:val="9"/>
              </w:rPr>
              <w:t>；生态系统</w:t>
            </w:r>
            <w:r>
              <w:rPr>
                <w:rFonts w:ascii="MS UI Gothic" w:hAnsi="MS UI Gothic" w:eastAsia="MS UI Gothic" w:cs="MS UI Gothic"/>
                <w:spacing w:val="9"/>
              </w:rPr>
              <w:t>☑</w:t>
            </w:r>
            <w:r>
              <w:rPr>
                <w:rFonts w:ascii="SimSun" w:hAnsi="SimSun" w:eastAsia="SimSun" w:cs="SimSun"/>
                <w:spacing w:val="9"/>
              </w:rPr>
              <w:t>；生物多样性</w:t>
            </w:r>
            <w:r>
              <w:rPr>
                <w:rFonts w:ascii="MS UI Gothic" w:hAnsi="MS UI Gothic" w:eastAsia="MS UI Gothic" w:cs="MS UI Gothic"/>
                <w:spacing w:val="9"/>
              </w:rPr>
              <w:t>☑</w:t>
            </w:r>
            <w:r>
              <w:rPr>
                <w:rFonts w:ascii="SimSun" w:hAnsi="SimSun" w:eastAsia="SimSun" w:cs="SimSun"/>
                <w:spacing w:val="9"/>
              </w:rPr>
              <w:t>；重</w:t>
            </w:r>
            <w:r>
              <w:rPr>
                <w:rFonts w:ascii="SimSun" w:hAnsi="SimSun" w:eastAsia="SimSun" w:cs="SimSun"/>
                <w:spacing w:val="6"/>
              </w:rPr>
              <w:t>要物种  ；生态敏感区</w:t>
            </w:r>
            <w:r>
              <w:rPr>
                <w:spacing w:val="6"/>
              </w:rPr>
              <w:t>□</w:t>
            </w:r>
            <w:r>
              <w:rPr>
                <w:spacing w:val="-13"/>
              </w:rPr>
              <w:t xml:space="preserve"> </w:t>
            </w:r>
            <w:r>
              <w:rPr>
                <w:rFonts w:ascii="SimSun" w:hAnsi="SimSun" w:eastAsia="SimSun" w:cs="SimSun"/>
                <w:spacing w:val="6"/>
              </w:rPr>
              <w:t>；生物入侵风险</w:t>
            </w:r>
            <w:r>
              <w:rPr>
                <w:spacing w:val="6"/>
              </w:rPr>
              <w:t>□</w:t>
            </w:r>
            <w:r>
              <w:rPr>
                <w:spacing w:val="-23"/>
              </w:rPr>
              <w:t xml:space="preserve"> </w:t>
            </w:r>
            <w:r>
              <w:rPr>
                <w:rFonts w:ascii="SimSun" w:hAnsi="SimSun" w:eastAsia="SimSun" w:cs="SimSun"/>
                <w:spacing w:val="6"/>
              </w:rPr>
              <w:t>；其它</w:t>
            </w:r>
            <w:r>
              <w:rPr>
                <w:spacing w:val="6"/>
              </w:rPr>
              <w:t>□</w:t>
            </w:r>
          </w:p>
        </w:tc>
      </w:tr>
      <w:tr>
        <w:trPr>
          <w:trHeight w:val="276" w:hRule="atLeast"/>
        </w:trPr>
        <w:tc>
          <w:tcPr>
            <w:tcW w:w="1070" w:type="dxa"/>
            <w:vAlign w:val="top"/>
            <w:vMerge w:val="restart"/>
            <w:tcBorders>
              <w:bottom w:val="nil"/>
            </w:tcBorders>
          </w:tcPr>
          <w:p>
            <w:pPr>
              <w:ind w:left="117" w:right="117" w:firstLine="2"/>
              <w:spacing w:before="178" w:line="254" w:lineRule="auto"/>
              <w:rPr>
                <w:rFonts w:ascii="SimSun" w:hAnsi="SimSun" w:eastAsia="SimSun" w:cs="SimSun"/>
                <w:sz w:val="20"/>
                <w:szCs w:val="20"/>
              </w:rPr>
            </w:pPr>
            <w:r>
              <w:rPr>
                <w:rFonts w:ascii="SimSun" w:hAnsi="SimSun" w:eastAsia="SimSun" w:cs="SimSun"/>
                <w:sz w:val="20"/>
                <w:szCs w:val="20"/>
                <w:spacing w:val="6"/>
              </w:rPr>
              <w:t>生态保护</w:t>
            </w:r>
            <w:r>
              <w:rPr>
                <w:rFonts w:ascii="SimSun" w:hAnsi="SimSun" w:eastAsia="SimSun" w:cs="SimSun"/>
                <w:sz w:val="20"/>
                <w:szCs w:val="20"/>
                <w:spacing w:val="7"/>
              </w:rPr>
              <w:t>对策措施</w:t>
            </w:r>
          </w:p>
        </w:tc>
        <w:tc>
          <w:tcPr>
            <w:tcW w:w="2017" w:type="dxa"/>
            <w:vAlign w:val="top"/>
          </w:tcPr>
          <w:p>
            <w:pPr>
              <w:ind w:left="590"/>
              <w:spacing w:before="34" w:line="214" w:lineRule="auto"/>
              <w:rPr>
                <w:rFonts w:ascii="SimSun" w:hAnsi="SimSun" w:eastAsia="SimSun" w:cs="SimSun"/>
                <w:sz w:val="20"/>
                <w:szCs w:val="20"/>
              </w:rPr>
            </w:pPr>
            <w:r>
              <w:rPr>
                <w:rFonts w:ascii="SimSun" w:hAnsi="SimSun" w:eastAsia="SimSun" w:cs="SimSun"/>
                <w:sz w:val="20"/>
                <w:szCs w:val="20"/>
                <w:spacing w:val="7"/>
              </w:rPr>
              <w:t>对策措施</w:t>
            </w:r>
          </w:p>
        </w:tc>
        <w:tc>
          <w:tcPr>
            <w:tcW w:w="6203" w:type="dxa"/>
            <w:vAlign w:val="top"/>
          </w:tcPr>
          <w:p>
            <w:pPr>
              <w:pStyle w:val="TableText"/>
              <w:ind w:left="392"/>
              <w:spacing w:before="34" w:line="214" w:lineRule="auto"/>
              <w:rPr/>
            </w:pPr>
            <w:r>
              <w:rPr>
                <w:rFonts w:ascii="SimSun" w:hAnsi="SimSun" w:eastAsia="SimSun" w:cs="SimSun"/>
                <w:spacing w:val="7"/>
              </w:rPr>
              <w:t>避让</w:t>
            </w:r>
            <w:r>
              <w:rPr>
                <w:spacing w:val="7"/>
              </w:rPr>
              <w:t>□</w:t>
            </w:r>
            <w:r>
              <w:rPr>
                <w:spacing w:val="-23"/>
              </w:rPr>
              <w:t xml:space="preserve"> </w:t>
            </w:r>
            <w:r>
              <w:rPr>
                <w:rFonts w:ascii="SimSun" w:hAnsi="SimSun" w:eastAsia="SimSun" w:cs="SimSun"/>
                <w:spacing w:val="7"/>
              </w:rPr>
              <w:t>；减缓</w:t>
            </w:r>
            <w:r>
              <w:rPr>
                <w:rFonts w:ascii="MS UI Gothic" w:hAnsi="MS UI Gothic" w:eastAsia="MS UI Gothic" w:cs="MS UI Gothic"/>
                <w:spacing w:val="7"/>
              </w:rPr>
              <w:t>☑</w:t>
            </w:r>
            <w:r>
              <w:rPr>
                <w:rFonts w:ascii="SimSun" w:hAnsi="SimSun" w:eastAsia="SimSun" w:cs="SimSun"/>
                <w:spacing w:val="7"/>
              </w:rPr>
              <w:t>；生态修复</w:t>
            </w:r>
            <w:r>
              <w:rPr>
                <w:rFonts w:ascii="MS UI Gothic" w:hAnsi="MS UI Gothic" w:eastAsia="MS UI Gothic" w:cs="MS UI Gothic"/>
                <w:spacing w:val="7"/>
              </w:rPr>
              <w:t>☑</w:t>
            </w:r>
            <w:r>
              <w:rPr>
                <w:rFonts w:ascii="SimSun" w:hAnsi="SimSun" w:eastAsia="SimSun" w:cs="SimSun"/>
                <w:spacing w:val="7"/>
              </w:rPr>
              <w:t>；生态补偿  ；科研</w:t>
            </w:r>
            <w:r>
              <w:rPr>
                <w:spacing w:val="7"/>
              </w:rPr>
              <w:t>□</w:t>
            </w:r>
            <w:r>
              <w:rPr>
                <w:spacing w:val="-23"/>
              </w:rPr>
              <w:t xml:space="preserve"> </w:t>
            </w:r>
            <w:r>
              <w:rPr>
                <w:rFonts w:ascii="SimSun" w:hAnsi="SimSun" w:eastAsia="SimSun" w:cs="SimSun"/>
                <w:spacing w:val="7"/>
              </w:rPr>
              <w:t>；其它</w:t>
            </w:r>
            <w:r>
              <w:rPr>
                <w:spacing w:val="7"/>
              </w:rPr>
              <w:t>□</w:t>
            </w:r>
          </w:p>
        </w:tc>
      </w:tr>
      <w:tr>
        <w:trPr>
          <w:trHeight w:val="278" w:hRule="atLeast"/>
        </w:trPr>
        <w:tc>
          <w:tcPr>
            <w:tcW w:w="1070" w:type="dxa"/>
            <w:vAlign w:val="top"/>
            <w:vMerge w:val="continue"/>
            <w:tcBorders>
              <w:top w:val="nil"/>
              <w:bottom w:val="nil"/>
            </w:tcBorders>
          </w:tcPr>
          <w:p>
            <w:pPr>
              <w:rPr>
                <w:rFonts w:ascii="Arial"/>
                <w:sz w:val="21"/>
              </w:rPr>
            </w:pPr>
            <w:r/>
          </w:p>
        </w:tc>
        <w:tc>
          <w:tcPr>
            <w:tcW w:w="2017" w:type="dxa"/>
            <w:vAlign w:val="top"/>
          </w:tcPr>
          <w:p>
            <w:pPr>
              <w:ind w:left="384"/>
              <w:spacing w:before="33" w:line="216" w:lineRule="auto"/>
              <w:rPr>
                <w:rFonts w:ascii="SimSun" w:hAnsi="SimSun" w:eastAsia="SimSun" w:cs="SimSun"/>
                <w:sz w:val="20"/>
                <w:szCs w:val="20"/>
              </w:rPr>
            </w:pPr>
            <w:r>
              <w:rPr>
                <w:rFonts w:ascii="SimSun" w:hAnsi="SimSun" w:eastAsia="SimSun" w:cs="SimSun"/>
                <w:sz w:val="20"/>
                <w:szCs w:val="20"/>
                <w:spacing w:val="7"/>
              </w:rPr>
              <w:t>生态监测计划</w:t>
            </w:r>
          </w:p>
        </w:tc>
        <w:tc>
          <w:tcPr>
            <w:tcW w:w="6203" w:type="dxa"/>
            <w:vAlign w:val="top"/>
          </w:tcPr>
          <w:p>
            <w:pPr>
              <w:pStyle w:val="TableText"/>
              <w:ind w:left="1197"/>
              <w:spacing w:before="33" w:line="216" w:lineRule="auto"/>
              <w:rPr/>
            </w:pPr>
            <w:r>
              <w:rPr>
                <w:rFonts w:ascii="SimSun" w:hAnsi="SimSun" w:eastAsia="SimSun" w:cs="SimSun"/>
                <w:spacing w:val="7"/>
              </w:rPr>
              <w:t>全生命周期  ；长期跟踪</w:t>
            </w:r>
            <w:r>
              <w:rPr>
                <w:rFonts w:ascii="MS UI Gothic" w:hAnsi="MS UI Gothic" w:eastAsia="MS UI Gothic" w:cs="MS UI Gothic"/>
                <w:spacing w:val="7"/>
              </w:rPr>
              <w:t>☑</w:t>
            </w:r>
            <w:r>
              <w:rPr>
                <w:rFonts w:ascii="SimSun" w:hAnsi="SimSun" w:eastAsia="SimSun" w:cs="SimSun"/>
                <w:spacing w:val="7"/>
              </w:rPr>
              <w:t>；常规</w:t>
            </w:r>
            <w:r>
              <w:rPr>
                <w:spacing w:val="7"/>
              </w:rPr>
              <w:t>□</w:t>
            </w:r>
            <w:r>
              <w:rPr>
                <w:spacing w:val="-19"/>
              </w:rPr>
              <w:t xml:space="preserve"> </w:t>
            </w:r>
            <w:r>
              <w:rPr>
                <w:rFonts w:ascii="SimSun" w:hAnsi="SimSun" w:eastAsia="SimSun" w:cs="SimSun"/>
                <w:spacing w:val="7"/>
              </w:rPr>
              <w:t>；无</w:t>
            </w:r>
            <w:r>
              <w:rPr>
                <w:spacing w:val="7"/>
              </w:rPr>
              <w:t>□</w:t>
            </w:r>
          </w:p>
        </w:tc>
      </w:tr>
      <w:tr>
        <w:trPr>
          <w:trHeight w:val="278" w:hRule="atLeast"/>
        </w:trPr>
        <w:tc>
          <w:tcPr>
            <w:tcW w:w="1070" w:type="dxa"/>
            <w:vAlign w:val="top"/>
            <w:vMerge w:val="continue"/>
            <w:tcBorders>
              <w:top w:val="nil"/>
            </w:tcBorders>
          </w:tcPr>
          <w:p>
            <w:pPr>
              <w:rPr>
                <w:rFonts w:ascii="Arial"/>
                <w:sz w:val="21"/>
              </w:rPr>
            </w:pPr>
            <w:r/>
          </w:p>
        </w:tc>
        <w:tc>
          <w:tcPr>
            <w:tcW w:w="2017" w:type="dxa"/>
            <w:vAlign w:val="top"/>
          </w:tcPr>
          <w:p>
            <w:pPr>
              <w:ind w:left="591"/>
              <w:spacing w:before="33" w:line="216" w:lineRule="auto"/>
              <w:rPr>
                <w:rFonts w:ascii="SimSun" w:hAnsi="SimSun" w:eastAsia="SimSun" w:cs="SimSun"/>
                <w:sz w:val="20"/>
                <w:szCs w:val="20"/>
              </w:rPr>
            </w:pPr>
            <w:r>
              <w:rPr>
                <w:rFonts w:ascii="SimSun" w:hAnsi="SimSun" w:eastAsia="SimSun" w:cs="SimSun"/>
                <w:sz w:val="20"/>
                <w:szCs w:val="20"/>
                <w:spacing w:val="7"/>
              </w:rPr>
              <w:t>环境管理</w:t>
            </w:r>
          </w:p>
        </w:tc>
        <w:tc>
          <w:tcPr>
            <w:tcW w:w="6203" w:type="dxa"/>
            <w:vAlign w:val="top"/>
          </w:tcPr>
          <w:p>
            <w:pPr>
              <w:pStyle w:val="TableText"/>
              <w:ind w:left="1255"/>
              <w:spacing w:before="33" w:line="216" w:lineRule="auto"/>
              <w:rPr/>
            </w:pPr>
            <w:r>
              <w:rPr>
                <w:rFonts w:ascii="SimSun" w:hAnsi="SimSun" w:eastAsia="SimSun" w:cs="SimSun"/>
                <w:spacing w:val="7"/>
              </w:rPr>
              <w:t>环境监理</w:t>
            </w:r>
            <w:r>
              <w:rPr>
                <w:rFonts w:ascii="SimSun" w:hAnsi="SimSun" w:eastAsia="SimSun" w:cs="SimSun"/>
                <w:spacing w:val="24"/>
              </w:rPr>
              <w:t xml:space="preserve">  </w:t>
            </w:r>
            <w:r>
              <w:rPr>
                <w:rFonts w:ascii="SimSun" w:hAnsi="SimSun" w:eastAsia="SimSun" w:cs="SimSun"/>
                <w:spacing w:val="7"/>
              </w:rPr>
              <w:t>；环境影响后评价</w:t>
            </w:r>
            <w:r>
              <w:rPr>
                <w:rFonts w:ascii="MS UI Gothic" w:hAnsi="MS UI Gothic" w:eastAsia="MS UI Gothic" w:cs="MS UI Gothic"/>
                <w:spacing w:val="7"/>
              </w:rPr>
              <w:t>☑</w:t>
            </w:r>
            <w:r>
              <w:rPr>
                <w:rFonts w:ascii="SimSun" w:hAnsi="SimSun" w:eastAsia="SimSun" w:cs="SimSun"/>
                <w:spacing w:val="7"/>
              </w:rPr>
              <w:t>；其它</w:t>
            </w:r>
            <w:r>
              <w:rPr>
                <w:spacing w:val="7"/>
              </w:rPr>
              <w:t>□</w:t>
            </w:r>
          </w:p>
        </w:tc>
      </w:tr>
      <w:tr>
        <w:trPr>
          <w:trHeight w:val="276" w:hRule="atLeast"/>
        </w:trPr>
        <w:tc>
          <w:tcPr>
            <w:tcW w:w="1070" w:type="dxa"/>
            <w:vAlign w:val="top"/>
          </w:tcPr>
          <w:p>
            <w:pPr>
              <w:ind w:left="117"/>
              <w:spacing w:before="34" w:line="214" w:lineRule="auto"/>
              <w:rPr>
                <w:rFonts w:ascii="SimSun" w:hAnsi="SimSun" w:eastAsia="SimSun" w:cs="SimSun"/>
                <w:sz w:val="20"/>
                <w:szCs w:val="20"/>
              </w:rPr>
            </w:pPr>
            <w:r>
              <w:rPr>
                <w:rFonts w:ascii="SimSun" w:hAnsi="SimSun" w:eastAsia="SimSun" w:cs="SimSun"/>
                <w:sz w:val="20"/>
                <w:szCs w:val="20"/>
                <w:spacing w:val="7"/>
              </w:rPr>
              <w:t>评价结论</w:t>
            </w:r>
          </w:p>
        </w:tc>
        <w:tc>
          <w:tcPr>
            <w:tcW w:w="2017" w:type="dxa"/>
            <w:vAlign w:val="top"/>
          </w:tcPr>
          <w:p>
            <w:pPr>
              <w:ind w:left="593"/>
              <w:spacing w:before="34" w:line="214" w:lineRule="auto"/>
              <w:rPr>
                <w:rFonts w:ascii="SimSun" w:hAnsi="SimSun" w:eastAsia="SimSun" w:cs="SimSun"/>
                <w:sz w:val="20"/>
                <w:szCs w:val="20"/>
              </w:rPr>
            </w:pPr>
            <w:r>
              <w:rPr>
                <w:rFonts w:ascii="SimSun" w:hAnsi="SimSun" w:eastAsia="SimSun" w:cs="SimSun"/>
                <w:sz w:val="20"/>
                <w:szCs w:val="20"/>
                <w:spacing w:val="6"/>
              </w:rPr>
              <w:t>生态影响</w:t>
            </w:r>
          </w:p>
        </w:tc>
        <w:tc>
          <w:tcPr>
            <w:tcW w:w="6203" w:type="dxa"/>
            <w:vAlign w:val="top"/>
          </w:tcPr>
          <w:p>
            <w:pPr>
              <w:pStyle w:val="TableText"/>
              <w:ind w:left="2308"/>
              <w:spacing w:before="34" w:line="214" w:lineRule="auto"/>
              <w:rPr/>
            </w:pPr>
            <w:r>
              <w:rPr>
                <w:rFonts w:ascii="SimSun" w:hAnsi="SimSun" w:eastAsia="SimSun" w:cs="SimSun"/>
                <w:spacing w:val="8"/>
              </w:rPr>
              <w:t>可行</w:t>
            </w:r>
            <w:r>
              <w:rPr>
                <w:rFonts w:ascii="MS UI Gothic" w:hAnsi="MS UI Gothic" w:eastAsia="MS UI Gothic" w:cs="MS UI Gothic"/>
                <w:spacing w:val="8"/>
              </w:rPr>
              <w:t>☑</w:t>
            </w:r>
            <w:r>
              <w:rPr>
                <w:rFonts w:ascii="SimSun" w:hAnsi="SimSun" w:eastAsia="SimSun" w:cs="SimSun"/>
                <w:spacing w:val="8"/>
              </w:rPr>
              <w:t>；不可行</w:t>
            </w:r>
            <w:r>
              <w:rPr>
                <w:spacing w:val="8"/>
              </w:rPr>
              <w:t>□</w:t>
            </w:r>
          </w:p>
        </w:tc>
      </w:tr>
      <w:tr>
        <w:trPr>
          <w:trHeight w:val="283" w:hRule="atLeast"/>
        </w:trPr>
        <w:tc>
          <w:tcPr>
            <w:tcW w:w="9290" w:type="dxa"/>
            <w:vAlign w:val="top"/>
            <w:gridSpan w:val="3"/>
          </w:tcPr>
          <w:p>
            <w:pPr>
              <w:pStyle w:val="TableText"/>
              <w:ind w:left="113"/>
              <w:spacing w:line="272" w:lineRule="exact"/>
              <w:rPr>
                <w:rFonts w:ascii="SimSun" w:hAnsi="SimSun" w:eastAsia="SimSun" w:cs="SimSun"/>
              </w:rPr>
            </w:pPr>
            <w:r>
              <w:rPr>
                <w:rFonts w:ascii="SimSun" w:hAnsi="SimSun" w:eastAsia="SimSun" w:cs="SimSun"/>
                <w:spacing w:val="2"/>
              </w:rPr>
              <w:t>注：</w:t>
            </w:r>
            <w:r>
              <w:rPr>
                <w:spacing w:val="2"/>
              </w:rPr>
              <w:t>“</w:t>
            </w:r>
            <w:r>
              <w:rPr>
                <w:spacing w:val="-25"/>
              </w:rPr>
              <w:t xml:space="preserve"> </w:t>
            </w:r>
            <w:r>
              <w:rPr>
                <w:spacing w:val="2"/>
              </w:rPr>
              <w:t>□”</w:t>
            </w:r>
            <w:r>
              <w:rPr>
                <w:rFonts w:ascii="SimSun" w:hAnsi="SimSun" w:eastAsia="SimSun" w:cs="SimSun"/>
                <w:spacing w:val="2"/>
              </w:rPr>
              <w:t>为勾选项，可</w:t>
            </w:r>
            <w:r>
              <w:rPr>
                <w:spacing w:val="2"/>
              </w:rPr>
              <w:t>√</w:t>
            </w:r>
            <w:r>
              <w:rPr>
                <w:spacing w:val="-23"/>
              </w:rPr>
              <w:t xml:space="preserve"> </w:t>
            </w:r>
            <w:r>
              <w:rPr>
                <w:rFonts w:ascii="SimSun" w:hAnsi="SimSun" w:eastAsia="SimSun" w:cs="SimSun"/>
                <w:spacing w:val="2"/>
              </w:rPr>
              <w:t>;</w:t>
            </w:r>
            <w:r>
              <w:rPr>
                <w:rFonts w:ascii="SimSun" w:hAnsi="SimSun" w:eastAsia="SimSun" w:cs="SimSun"/>
                <w:spacing w:val="57"/>
              </w:rPr>
              <w:t xml:space="preserve"> </w:t>
            </w:r>
            <w:r>
              <w:rPr>
                <w:spacing w:val="2"/>
              </w:rPr>
              <w:t>“  </w:t>
            </w:r>
            <w:r>
              <w:rPr>
                <w:rFonts w:ascii="SimSun" w:hAnsi="SimSun" w:eastAsia="SimSun" w:cs="SimSun"/>
                <w:spacing w:val="2"/>
              </w:rPr>
              <w:t>()</w:t>
            </w:r>
            <w:r>
              <w:rPr>
                <w:rFonts w:ascii="SimSun" w:hAnsi="SimSun" w:eastAsia="SimSun" w:cs="SimSun"/>
                <w:spacing w:val="27"/>
              </w:rPr>
              <w:t xml:space="preserve"> </w:t>
            </w:r>
            <w:r>
              <w:rPr>
                <w:spacing w:val="2"/>
              </w:rPr>
              <w:t>”</w:t>
            </w:r>
            <w:r>
              <w:rPr>
                <w:rFonts w:ascii="SimSun" w:hAnsi="SimSun" w:eastAsia="SimSun" w:cs="SimSun"/>
                <w:spacing w:val="2"/>
              </w:rPr>
              <w:t>为内容填写项。</w:t>
            </w:r>
          </w:p>
        </w:tc>
      </w:tr>
    </w:tbl>
    <w:p>
      <w:pPr>
        <w:pStyle w:val="BodyText"/>
        <w:spacing w:line="279" w:lineRule="auto"/>
        <w:rPr/>
      </w:pPr>
      <w:r/>
    </w:p>
    <w:p>
      <w:pPr>
        <w:pStyle w:val="BodyText"/>
        <w:spacing w:line="280" w:lineRule="auto"/>
        <w:rPr/>
      </w:pPr>
      <w:r/>
    </w:p>
    <w:p>
      <w:pPr>
        <w:ind w:left="120"/>
        <w:spacing w:before="98" w:line="222" w:lineRule="auto"/>
        <w:outlineLvl w:val="1"/>
        <w:rPr>
          <w:rFonts w:ascii="SimHei" w:hAnsi="SimHei" w:eastAsia="SimHei" w:cs="SimHei"/>
          <w:sz w:val="30"/>
          <w:szCs w:val="30"/>
        </w:rPr>
      </w:pPr>
      <w:bookmarkStart w:name="bookmark29" w:id="50"/>
      <w:bookmarkEnd w:id="50"/>
      <w:r>
        <w:rPr>
          <w:rFonts w:ascii="Times New Roman" w:hAnsi="Times New Roman" w:eastAsia="Times New Roman" w:cs="Times New Roman"/>
          <w:sz w:val="30"/>
          <w:szCs w:val="30"/>
          <w:b/>
          <w:bCs/>
          <w:spacing w:val="-3"/>
        </w:rPr>
        <w:t>5.2 </w:t>
      </w:r>
      <w:r>
        <w:rPr>
          <w:rFonts w:ascii="SimHei" w:hAnsi="SimHei" w:eastAsia="SimHei" w:cs="SimHei"/>
          <w:sz w:val="30"/>
          <w:szCs w:val="30"/>
          <w:b/>
          <w:bCs/>
          <w:spacing w:val="-3"/>
        </w:rPr>
        <w:t>大气环境影响预测与评价</w:t>
      </w:r>
    </w:p>
    <w:p>
      <w:pPr>
        <w:ind w:left="119"/>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5.2.1</w:t>
      </w:r>
      <w:r>
        <w:rPr>
          <w:rFonts w:ascii="Times New Roman" w:hAnsi="Times New Roman" w:eastAsia="Times New Roman" w:cs="Times New Roman"/>
          <w:sz w:val="28"/>
          <w:szCs w:val="28"/>
          <w:b/>
          <w:bCs/>
          <w:spacing w:val="8"/>
        </w:rPr>
        <w:t xml:space="preserve">  </w:t>
      </w:r>
      <w:r>
        <w:rPr>
          <w:rFonts w:ascii="SimHei" w:hAnsi="SimHei" w:eastAsia="SimHei" w:cs="SimHei"/>
          <w:sz w:val="28"/>
          <w:szCs w:val="28"/>
          <w:b/>
          <w:bCs/>
          <w:spacing w:val="-4"/>
        </w:rPr>
        <w:t>气象资料</w:t>
      </w:r>
    </w:p>
    <w:p>
      <w:pPr>
        <w:ind w:left="123" w:right="112" w:firstLine="477"/>
        <w:spacing w:before="58" w:line="359" w:lineRule="auto"/>
        <w:rPr>
          <w:rFonts w:ascii="SimSun" w:hAnsi="SimSun" w:eastAsia="SimSun" w:cs="SimSun"/>
          <w:sz w:val="24"/>
          <w:szCs w:val="24"/>
        </w:rPr>
      </w:pPr>
      <w:r>
        <w:rPr>
          <w:rFonts w:ascii="SimSun" w:hAnsi="SimSun" w:eastAsia="SimSun" w:cs="SimSun"/>
          <w:sz w:val="24"/>
          <w:szCs w:val="24"/>
          <w:spacing w:val="-2"/>
        </w:rPr>
        <w:t>本次评价利用西乌旗气象局近年来地面常规气象资料进行分析。地面气象资料来源</w:t>
      </w:r>
      <w:r>
        <w:rPr>
          <w:rFonts w:ascii="SimSun" w:hAnsi="SimSun" w:eastAsia="SimSun" w:cs="SimSun"/>
          <w:sz w:val="24"/>
          <w:szCs w:val="24"/>
          <w:spacing w:val="-1"/>
        </w:rPr>
        <w:t>于西乌珠穆沁旗气象局近</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年的地面常规气象资料。</w:t>
      </w:r>
    </w:p>
    <w:p>
      <w:pPr>
        <w:ind w:left="606"/>
        <w:spacing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）气温、气压、湿度、降水量和蒸发量</w:t>
      </w:r>
    </w:p>
    <w:p>
      <w:pPr>
        <w:ind w:left="605"/>
        <w:spacing w:before="184" w:line="219" w:lineRule="auto"/>
        <w:rPr>
          <w:rFonts w:ascii="SimSun" w:hAnsi="SimSun" w:eastAsia="SimSun" w:cs="SimSun"/>
          <w:sz w:val="24"/>
          <w:szCs w:val="24"/>
        </w:rPr>
      </w:pPr>
      <w:r>
        <w:rPr>
          <w:rFonts w:ascii="SimSun" w:hAnsi="SimSun" w:eastAsia="SimSun" w:cs="SimSun"/>
          <w:sz w:val="24"/>
          <w:szCs w:val="24"/>
          <w:spacing w:val="-1"/>
        </w:rPr>
        <w:t>西乌珠穆沁旗气象局近</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年气温、气压、湿度、降水量和蒸发量统计见表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5-2-1</w:t>
      </w:r>
      <w:r>
        <w:rPr>
          <w:rFonts w:ascii="SimSun" w:hAnsi="SimSun" w:eastAsia="SimSun" w:cs="SimSun"/>
          <w:sz w:val="24"/>
          <w:szCs w:val="24"/>
          <w:spacing w:val="-1"/>
        </w:rPr>
        <w:t>，</w:t>
      </w:r>
    </w:p>
    <w:p>
      <w:pPr>
        <w:spacing w:line="219" w:lineRule="auto"/>
        <w:sectPr>
          <w:headerReference w:type="default" r:id="rId351"/>
          <w:footerReference w:type="default" r:id="rId357"/>
          <w:pgSz w:w="11906" w:h="16838"/>
          <w:pgMar w:top="1194" w:right="1304" w:bottom="1272" w:left="1305" w:header="861" w:footer="1110" w:gutter="0"/>
        </w:sectPr>
        <w:rPr>
          <w:rFonts w:ascii="SimSun" w:hAnsi="SimSun" w:eastAsia="SimSun" w:cs="SimSun"/>
          <w:sz w:val="24"/>
          <w:szCs w:val="24"/>
        </w:rPr>
      </w:pPr>
    </w:p>
    <w:p>
      <w:pPr>
        <w:ind w:left="9" w:firstLine="2"/>
        <w:spacing w:before="281" w:line="359" w:lineRule="auto"/>
        <w:jc w:val="both"/>
        <w:rPr>
          <w:rFonts w:ascii="SimSun" w:hAnsi="SimSun" w:eastAsia="SimSun" w:cs="SimSun"/>
          <w:sz w:val="24"/>
          <w:szCs w:val="24"/>
        </w:rPr>
      </w:pPr>
      <w:r>
        <w:rPr>
          <w:rFonts w:ascii="SimSun" w:hAnsi="SimSun" w:eastAsia="SimSun" w:cs="SimSun"/>
          <w:sz w:val="24"/>
          <w:szCs w:val="24"/>
          <w:spacing w:val="-4"/>
        </w:rPr>
        <w:t>从表中可以看出，该地区年平均气温为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2.6℃</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w:t>
      </w:r>
      <w:r>
        <w:rPr>
          <w:rFonts w:ascii="SimSun" w:hAnsi="SimSun" w:eastAsia="SimSun" w:cs="SimSun"/>
          <w:sz w:val="24"/>
          <w:szCs w:val="24"/>
          <w:spacing w:val="64"/>
        </w:rPr>
        <w:t xml:space="preserve"> </w:t>
      </w:r>
      <w:r>
        <w:rPr>
          <w:rFonts w:ascii="SimSun" w:hAnsi="SimSun" w:eastAsia="SimSun" w:cs="SimSun"/>
          <w:sz w:val="24"/>
          <w:szCs w:val="24"/>
          <w:spacing w:val="-4"/>
        </w:rPr>
        <w:t>气温年较差为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5"/>
        </w:rPr>
        <w:t>8.4℃</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w:t>
      </w:r>
      <w:r>
        <w:rPr>
          <w:rFonts w:ascii="SimSun" w:hAnsi="SimSun" w:eastAsia="SimSun" w:cs="SimSun"/>
          <w:sz w:val="24"/>
          <w:szCs w:val="24"/>
          <w:spacing w:val="68"/>
        </w:rPr>
        <w:t xml:space="preserve"> </w:t>
      </w:r>
      <w:r>
        <w:rPr>
          <w:rFonts w:ascii="SimSun" w:hAnsi="SimSun" w:eastAsia="SimSun" w:cs="SimSun"/>
          <w:sz w:val="24"/>
          <w:szCs w:val="24"/>
          <w:spacing w:val="-5"/>
        </w:rPr>
        <w:t>极端最高气温出</w:t>
      </w:r>
      <w:r>
        <w:rPr>
          <w:rFonts w:ascii="SimSun" w:hAnsi="SimSun" w:eastAsia="SimSun" w:cs="SimSun"/>
          <w:sz w:val="24"/>
          <w:szCs w:val="24"/>
          <w:spacing w:val="-6"/>
        </w:rPr>
        <w:t>现在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6"/>
        </w:rPr>
        <w:t>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33.2℃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6"/>
        </w:rPr>
        <w:t>,</w:t>
      </w:r>
      <w:r>
        <w:rPr>
          <w:rFonts w:ascii="SimSun" w:hAnsi="SimSun" w:eastAsia="SimSun" w:cs="SimSun"/>
          <w:sz w:val="24"/>
          <w:szCs w:val="24"/>
          <w:spacing w:val="47"/>
        </w:rPr>
        <w:t xml:space="preserve"> </w:t>
      </w:r>
      <w:r>
        <w:rPr>
          <w:rFonts w:ascii="SimSun" w:hAnsi="SimSun" w:eastAsia="SimSun" w:cs="SimSun"/>
          <w:sz w:val="24"/>
          <w:szCs w:val="24"/>
          <w:spacing w:val="-6"/>
        </w:rPr>
        <w:t>极端最低气温出现在</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6"/>
        </w:rPr>
        <w:t>1  </w:t>
      </w:r>
      <w:r>
        <w:rPr>
          <w:rFonts w:ascii="SimSun" w:hAnsi="SimSun" w:eastAsia="SimSun" w:cs="SimSun"/>
          <w:sz w:val="24"/>
          <w:szCs w:val="24"/>
          <w:spacing w:val="-6"/>
        </w:rPr>
        <w:t>月，为</w:t>
      </w:r>
      <w:r>
        <w:rPr>
          <w:rFonts w:ascii="Times New Roman" w:hAnsi="Times New Roman" w:eastAsia="Times New Roman" w:cs="Times New Roman"/>
          <w:sz w:val="24"/>
          <w:szCs w:val="24"/>
          <w:spacing w:val="-6"/>
        </w:rPr>
        <w:t>-34.7℃</w:t>
      </w:r>
      <w:r>
        <w:rPr>
          <w:rFonts w:ascii="SimSun" w:hAnsi="SimSun" w:eastAsia="SimSun" w:cs="SimSun"/>
          <w:sz w:val="24"/>
          <w:szCs w:val="24"/>
          <w:spacing w:val="-6"/>
        </w:rPr>
        <w:t>；年平均气压为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900.9hPa</w:t>
      </w:r>
      <w:r>
        <w:rPr>
          <w:rFonts w:ascii="SimSun" w:hAnsi="SimSun" w:eastAsia="SimSun" w:cs="SimSun"/>
          <w:sz w:val="24"/>
          <w:szCs w:val="24"/>
          <w:spacing w:val="-6"/>
        </w:rPr>
        <w:t>，</w:t>
      </w:r>
      <w:r>
        <w:rPr>
          <w:rFonts w:ascii="SimSun" w:hAnsi="SimSun" w:eastAsia="SimSun" w:cs="SimSun"/>
          <w:sz w:val="24"/>
          <w:szCs w:val="24"/>
          <w:spacing w:val="-2"/>
        </w:rPr>
        <w:t>极端最高气压（</w:t>
      </w:r>
      <w:r>
        <w:rPr>
          <w:rFonts w:ascii="Times New Roman" w:hAnsi="Times New Roman" w:eastAsia="Times New Roman" w:cs="Times New Roman"/>
          <w:sz w:val="24"/>
          <w:szCs w:val="24"/>
          <w:spacing w:val="-2"/>
        </w:rPr>
        <w:t>12  </w:t>
      </w:r>
      <w:r>
        <w:rPr>
          <w:rFonts w:ascii="SimSun" w:hAnsi="SimSun" w:eastAsia="SimSun" w:cs="SimSun"/>
          <w:sz w:val="24"/>
          <w:szCs w:val="24"/>
          <w:spacing w:val="-2"/>
        </w:rPr>
        <w:t>月）为 </w:t>
      </w:r>
      <w:r>
        <w:rPr>
          <w:rFonts w:ascii="Times New Roman" w:hAnsi="Times New Roman" w:eastAsia="Times New Roman" w:cs="Times New Roman"/>
          <w:sz w:val="24"/>
          <w:szCs w:val="24"/>
          <w:spacing w:val="-2"/>
        </w:rPr>
        <w:t>920.3hPa</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，极端最低气压（</w:t>
      </w:r>
      <w:r>
        <w:rPr>
          <w:rFonts w:ascii="Times New Roman" w:hAnsi="Times New Roman" w:eastAsia="Times New Roman" w:cs="Times New Roman"/>
          <w:sz w:val="24"/>
          <w:szCs w:val="24"/>
          <w:spacing w:val="-2"/>
        </w:rPr>
        <w:t>4  </w:t>
      </w:r>
      <w:r>
        <w:rPr>
          <w:rFonts w:ascii="SimSun" w:hAnsi="SimSun" w:eastAsia="SimSun" w:cs="SimSun"/>
          <w:sz w:val="24"/>
          <w:szCs w:val="24"/>
          <w:spacing w:val="-2"/>
        </w:rPr>
        <w:t>月）为 </w:t>
      </w:r>
      <w:r>
        <w:rPr>
          <w:rFonts w:ascii="Times New Roman" w:hAnsi="Times New Roman" w:eastAsia="Times New Roman" w:cs="Times New Roman"/>
          <w:sz w:val="24"/>
          <w:szCs w:val="24"/>
          <w:spacing w:val="-2"/>
        </w:rPr>
        <w:t>877.0hPa</w:t>
      </w:r>
      <w:r>
        <w:rPr>
          <w:rFonts w:ascii="SimSun" w:hAnsi="SimSun" w:eastAsia="SimSun" w:cs="SimSun"/>
          <w:sz w:val="24"/>
          <w:szCs w:val="24"/>
          <w:spacing w:val="-2"/>
        </w:rPr>
        <w:t>；年平均相对</w:t>
      </w:r>
      <w:r>
        <w:rPr>
          <w:rFonts w:ascii="SimSun" w:hAnsi="SimSun" w:eastAsia="SimSun" w:cs="SimSun"/>
          <w:sz w:val="24"/>
          <w:szCs w:val="24"/>
          <w:spacing w:val="-6"/>
        </w:rPr>
        <w:t>湿度为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6"/>
        </w:rPr>
        <w:t>59%</w:t>
      </w:r>
      <w:r>
        <w:rPr>
          <w:rFonts w:ascii="SimSun" w:hAnsi="SimSun" w:eastAsia="SimSun" w:cs="SimSun"/>
          <w:sz w:val="24"/>
          <w:szCs w:val="24"/>
          <w:spacing w:val="-6"/>
        </w:rPr>
        <w:t>；年降水量为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259.5mm</w:t>
      </w:r>
      <w:r>
        <w:rPr>
          <w:rFonts w:ascii="SimSun" w:hAnsi="SimSun" w:eastAsia="SimSun" w:cs="SimSun"/>
          <w:sz w:val="24"/>
          <w:szCs w:val="24"/>
          <w:spacing w:val="-6"/>
        </w:rPr>
        <w:t>，年极端最高降水量为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333.5mm</w:t>
      </w:r>
      <w:r>
        <w:rPr>
          <w:rFonts w:ascii="SimSun" w:hAnsi="SimSun" w:eastAsia="SimSun" w:cs="SimSun"/>
          <w:sz w:val="24"/>
          <w:szCs w:val="24"/>
          <w:spacing w:val="-6"/>
        </w:rPr>
        <w:t>，降水主要集中在 </w:t>
      </w:r>
      <w:r>
        <w:rPr>
          <w:rFonts w:ascii="Times New Roman" w:hAnsi="Times New Roman" w:eastAsia="Times New Roman" w:cs="Times New Roman"/>
          <w:sz w:val="24"/>
          <w:szCs w:val="24"/>
          <w:spacing w:val="-6"/>
        </w:rPr>
        <w:t>7</w:t>
      </w:r>
      <w:r>
        <w:rPr>
          <w:rFonts w:ascii="SimSun" w:hAnsi="SimSun" w:eastAsia="SimSun" w:cs="SimSun"/>
          <w:sz w:val="24"/>
          <w:szCs w:val="24"/>
          <w:spacing w:val="-6"/>
        </w:rPr>
        <w:t>~</w:t>
      </w:r>
      <w:r>
        <w:rPr>
          <w:rFonts w:ascii="SimSun" w:hAnsi="SimSun" w:eastAsia="SimSun" w:cs="SimSun"/>
          <w:sz w:val="24"/>
          <w:szCs w:val="24"/>
        </w:rPr>
        <w:t xml:space="preserve"> </w:t>
      </w:r>
      <w:r>
        <w:rPr>
          <w:rFonts w:ascii="Times New Roman" w:hAnsi="Times New Roman" w:eastAsia="Times New Roman" w:cs="Times New Roman"/>
          <w:sz w:val="24"/>
          <w:szCs w:val="24"/>
          <w:spacing w:val="-2"/>
        </w:rPr>
        <w:t>8  </w:t>
      </w:r>
      <w:r>
        <w:rPr>
          <w:rFonts w:ascii="SimSun" w:hAnsi="SimSun" w:eastAsia="SimSun" w:cs="SimSun"/>
          <w:sz w:val="24"/>
          <w:szCs w:val="24"/>
          <w:spacing w:val="-2"/>
        </w:rPr>
        <w:t>月份，</w:t>
      </w:r>
      <w:r>
        <w:rPr>
          <w:rFonts w:ascii="SimSun" w:hAnsi="SimSun" w:eastAsia="SimSun" w:cs="SimSun"/>
          <w:sz w:val="24"/>
          <w:szCs w:val="24"/>
          <w:spacing w:val="-71"/>
        </w:rPr>
        <w:t xml:space="preserve"> </w:t>
      </w:r>
      <w:r>
        <w:rPr>
          <w:rFonts w:ascii="SimSun" w:hAnsi="SimSun" w:eastAsia="SimSun" w:cs="SimSun"/>
          <w:sz w:val="24"/>
          <w:szCs w:val="24"/>
          <w:spacing w:val="-2"/>
        </w:rPr>
        <w:t>占全年总降水量的 </w:t>
      </w:r>
      <w:r>
        <w:rPr>
          <w:rFonts w:ascii="Times New Roman" w:hAnsi="Times New Roman" w:eastAsia="Times New Roman" w:cs="Times New Roman"/>
          <w:sz w:val="24"/>
          <w:szCs w:val="24"/>
          <w:spacing w:val="-2"/>
        </w:rPr>
        <w:t>78.4%</w:t>
      </w:r>
      <w:r>
        <w:rPr>
          <w:rFonts w:ascii="SimSun" w:hAnsi="SimSun" w:eastAsia="SimSun" w:cs="SimSun"/>
          <w:sz w:val="24"/>
          <w:szCs w:val="24"/>
          <w:spacing w:val="-3"/>
        </w:rPr>
        <w:t>；年 蒸发量为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1750.2mm</w:t>
      </w:r>
      <w:r>
        <w:rPr>
          <w:rFonts w:ascii="SimSun" w:hAnsi="SimSun" w:eastAsia="SimSun" w:cs="SimSun"/>
          <w:sz w:val="24"/>
          <w:szCs w:val="24"/>
          <w:spacing w:val="-3"/>
        </w:rPr>
        <w:t>。</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）地面风场特征</w:t>
      </w:r>
    </w:p>
    <w:p>
      <w:pPr>
        <w:ind w:left="488"/>
        <w:spacing w:before="180" w:line="217" w:lineRule="auto"/>
        <w:rPr>
          <w:rFonts w:ascii="SimSun" w:hAnsi="SimSun" w:eastAsia="SimSun" w:cs="SimSun"/>
          <w:sz w:val="24"/>
          <w:szCs w:val="24"/>
        </w:rPr>
      </w:pPr>
      <w:r>
        <w:rPr>
          <w:rFonts w:ascii="SimSun" w:hAnsi="SimSun" w:eastAsia="SimSun" w:cs="SimSun"/>
          <w:sz w:val="24"/>
          <w:szCs w:val="24"/>
          <w:spacing w:val="-2"/>
        </w:rPr>
        <w:t>①风向特征</w:t>
      </w:r>
    </w:p>
    <w:p>
      <w:pPr>
        <w:ind w:left="10" w:right="66" w:firstLine="478"/>
        <w:spacing w:before="185" w:line="360" w:lineRule="auto"/>
        <w:jc w:val="both"/>
        <w:rPr>
          <w:rFonts w:ascii="SimSun" w:hAnsi="SimSun" w:eastAsia="SimSun" w:cs="SimSun"/>
          <w:sz w:val="24"/>
          <w:szCs w:val="24"/>
        </w:rPr>
      </w:pPr>
      <w:r>
        <w:rPr>
          <w:rFonts w:ascii="SimSun" w:hAnsi="SimSun" w:eastAsia="SimSun" w:cs="SimSun"/>
          <w:sz w:val="24"/>
          <w:szCs w:val="24"/>
          <w:spacing w:val="1"/>
        </w:rPr>
        <w:t>据西乌珠穆沁旗气象局近 </w:t>
      </w:r>
      <w:r>
        <w:rPr>
          <w:rFonts w:ascii="Times New Roman" w:hAnsi="Times New Roman" w:eastAsia="Times New Roman" w:cs="Times New Roman"/>
          <w:sz w:val="24"/>
          <w:szCs w:val="24"/>
          <w:spacing w:val="1"/>
        </w:rPr>
        <w:t>20  </w:t>
      </w:r>
      <w:r>
        <w:rPr>
          <w:rFonts w:ascii="SimSun" w:hAnsi="SimSun" w:eastAsia="SimSun" w:cs="SimSun"/>
          <w:sz w:val="24"/>
          <w:szCs w:val="24"/>
          <w:spacing w:val="1"/>
        </w:rPr>
        <w:t>年的地面风向资料统计见表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rPr>
        <w:t>2-2</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，全年以静风频率</w:t>
      </w:r>
      <w:r>
        <w:rPr>
          <w:rFonts w:ascii="SimSun" w:hAnsi="SimSun" w:eastAsia="SimSun" w:cs="SimSun"/>
          <w:sz w:val="24"/>
          <w:szCs w:val="24"/>
          <w:spacing w:val="-1"/>
        </w:rPr>
        <w:t>为最高，出现频率为 </w:t>
      </w:r>
      <w:r>
        <w:rPr>
          <w:rFonts w:ascii="Times New Roman" w:hAnsi="Times New Roman" w:eastAsia="Times New Roman" w:cs="Times New Roman"/>
          <w:sz w:val="24"/>
          <w:szCs w:val="24"/>
          <w:spacing w:val="-1"/>
        </w:rPr>
        <w:t>28.4%</w:t>
      </w:r>
      <w:r>
        <w:rPr>
          <w:rFonts w:ascii="SimSun" w:hAnsi="SimSun" w:eastAsia="SimSun" w:cs="SimSun"/>
          <w:sz w:val="24"/>
          <w:szCs w:val="24"/>
          <w:spacing w:val="-1"/>
        </w:rPr>
        <w:t>；全年主导风向为 </w:t>
      </w:r>
      <w:r>
        <w:rPr>
          <w:rFonts w:ascii="Times New Roman" w:hAnsi="Times New Roman" w:eastAsia="Times New Roman" w:cs="Times New Roman"/>
          <w:sz w:val="24"/>
          <w:szCs w:val="24"/>
          <w:spacing w:val="-1"/>
        </w:rPr>
        <w:t>WSW  </w:t>
      </w:r>
      <w:r>
        <w:rPr>
          <w:rFonts w:ascii="SimSun" w:hAnsi="SimSun" w:eastAsia="SimSun" w:cs="SimSun"/>
          <w:sz w:val="24"/>
          <w:szCs w:val="24"/>
          <w:spacing w:val="-1"/>
        </w:rPr>
        <w:t>风，出现频率为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12.5%</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。春季以</w:t>
      </w:r>
      <w:r>
        <w:rPr>
          <w:rFonts w:ascii="SimSun" w:hAnsi="SimSun" w:eastAsia="SimSun" w:cs="SimSun"/>
          <w:sz w:val="24"/>
          <w:szCs w:val="24"/>
          <w:spacing w:val="-2"/>
        </w:rPr>
        <w:t>静风频率为最高，出现频率为 </w:t>
      </w:r>
      <w:r>
        <w:rPr>
          <w:rFonts w:ascii="Times New Roman" w:hAnsi="Times New Roman" w:eastAsia="Times New Roman" w:cs="Times New Roman"/>
          <w:sz w:val="24"/>
          <w:szCs w:val="24"/>
          <w:spacing w:val="-2"/>
        </w:rPr>
        <w:t>20.0%</w:t>
      </w:r>
      <w:r>
        <w:rPr>
          <w:rFonts w:ascii="SimSun" w:hAnsi="SimSun" w:eastAsia="SimSun" w:cs="SimSun"/>
          <w:sz w:val="24"/>
          <w:szCs w:val="24"/>
          <w:spacing w:val="-2"/>
        </w:rPr>
        <w:t>；主导风向为 </w:t>
      </w:r>
      <w:r>
        <w:rPr>
          <w:rFonts w:ascii="Times New Roman" w:hAnsi="Times New Roman" w:eastAsia="Times New Roman" w:cs="Times New Roman"/>
          <w:sz w:val="24"/>
          <w:szCs w:val="24"/>
          <w:spacing w:val="-2"/>
        </w:rPr>
        <w:t>WSW  </w:t>
      </w:r>
      <w:r>
        <w:rPr>
          <w:rFonts w:ascii="SimSun" w:hAnsi="SimSun" w:eastAsia="SimSun" w:cs="SimSun"/>
          <w:sz w:val="24"/>
          <w:szCs w:val="24"/>
          <w:spacing w:val="-2"/>
        </w:rPr>
        <w:t>风，出 现频率为 </w:t>
      </w:r>
      <w:r>
        <w:rPr>
          <w:rFonts w:ascii="Times New Roman" w:hAnsi="Times New Roman" w:eastAsia="Times New Roman" w:cs="Times New Roman"/>
          <w:sz w:val="24"/>
          <w:szCs w:val="24"/>
          <w:spacing w:val="-2"/>
        </w:rPr>
        <w:t>14.0%</w:t>
      </w:r>
      <w:r>
        <w:rPr>
          <w:rFonts w:ascii="SimSun" w:hAnsi="SimSun" w:eastAsia="SimSun" w:cs="SimSun"/>
          <w:sz w:val="24"/>
          <w:szCs w:val="24"/>
          <w:spacing w:val="-2"/>
        </w:rPr>
        <w:t>；夏</w:t>
      </w:r>
      <w:r>
        <w:rPr>
          <w:rFonts w:ascii="SimSun" w:hAnsi="SimSun" w:eastAsia="SimSun" w:cs="SimSun"/>
          <w:sz w:val="24"/>
          <w:szCs w:val="24"/>
          <w:spacing w:val="-1"/>
        </w:rPr>
        <w:t>季主导风向为 </w:t>
      </w:r>
      <w:r>
        <w:rPr>
          <w:rFonts w:ascii="Times New Roman" w:hAnsi="Times New Roman" w:eastAsia="Times New Roman" w:cs="Times New Roman"/>
          <w:sz w:val="24"/>
          <w:szCs w:val="24"/>
          <w:spacing w:val="-1"/>
        </w:rPr>
        <w:t>SE  </w:t>
      </w:r>
      <w:r>
        <w:rPr>
          <w:rFonts w:ascii="SimSun" w:hAnsi="SimSun" w:eastAsia="SimSun" w:cs="SimSun"/>
          <w:sz w:val="24"/>
          <w:szCs w:val="24"/>
          <w:spacing w:val="-1"/>
        </w:rPr>
        <w:t>风，出现频率分别为 </w:t>
      </w:r>
      <w:r>
        <w:rPr>
          <w:rFonts w:ascii="Times New Roman" w:hAnsi="Times New Roman" w:eastAsia="Times New Roman" w:cs="Times New Roman"/>
          <w:sz w:val="24"/>
          <w:szCs w:val="24"/>
          <w:spacing w:val="-1"/>
        </w:rPr>
        <w:t>9.7%</w:t>
      </w:r>
      <w:r>
        <w:rPr>
          <w:rFonts w:ascii="SimSun" w:hAnsi="SimSun" w:eastAsia="SimSun" w:cs="SimSun"/>
          <w:sz w:val="24"/>
          <w:szCs w:val="24"/>
          <w:spacing w:val="-1"/>
        </w:rPr>
        <w:t>；秋季主导风</w:t>
      </w:r>
      <w:r>
        <w:rPr>
          <w:rFonts w:ascii="SimSun" w:hAnsi="SimSun" w:eastAsia="SimSun" w:cs="SimSun"/>
          <w:sz w:val="24"/>
          <w:szCs w:val="24"/>
          <w:spacing w:val="34"/>
        </w:rPr>
        <w:t xml:space="preserve"> </w:t>
      </w:r>
      <w:r>
        <w:rPr>
          <w:rFonts w:ascii="SimSun" w:hAnsi="SimSun" w:eastAsia="SimSun" w:cs="SimSun"/>
          <w:sz w:val="24"/>
          <w:szCs w:val="24"/>
          <w:spacing w:val="-1"/>
        </w:rPr>
        <w:t>向为 </w:t>
      </w:r>
      <w:r>
        <w:rPr>
          <w:rFonts w:ascii="Times New Roman" w:hAnsi="Times New Roman" w:eastAsia="Times New Roman" w:cs="Times New Roman"/>
          <w:sz w:val="24"/>
          <w:szCs w:val="24"/>
          <w:spacing w:val="-1"/>
        </w:rPr>
        <w:t>SW</w:t>
      </w:r>
      <w:r>
        <w:rPr>
          <w:rFonts w:ascii="Times New Roman" w:hAnsi="Times New Roman" w:eastAsia="Times New Roman" w:cs="Times New Roman"/>
          <w:sz w:val="24"/>
          <w:szCs w:val="24"/>
          <w:spacing w:val="4"/>
        </w:rPr>
        <w:t xml:space="preserve">  </w:t>
      </w:r>
      <w:r>
        <w:rPr>
          <w:rFonts w:ascii="SimSun" w:hAnsi="SimSun" w:eastAsia="SimSun" w:cs="SimSun"/>
          <w:sz w:val="24"/>
          <w:szCs w:val="24"/>
          <w:spacing w:val="-1"/>
        </w:rPr>
        <w:t>风，出现频率分</w:t>
      </w:r>
      <w:r>
        <w:rPr>
          <w:rFonts w:ascii="SimSun" w:hAnsi="SimSun" w:eastAsia="SimSun" w:cs="SimSun"/>
          <w:sz w:val="24"/>
          <w:szCs w:val="24"/>
          <w:spacing w:val="-2"/>
        </w:rPr>
        <w:t>别为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11.0%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，静风频率为 </w:t>
      </w:r>
      <w:r>
        <w:rPr>
          <w:rFonts w:ascii="Times New Roman" w:hAnsi="Times New Roman" w:eastAsia="Times New Roman" w:cs="Times New Roman"/>
          <w:sz w:val="24"/>
          <w:szCs w:val="24"/>
          <w:spacing w:val="-2"/>
        </w:rPr>
        <w:t>32.0%</w:t>
      </w:r>
      <w:r>
        <w:rPr>
          <w:rFonts w:ascii="SimSun" w:hAnsi="SimSun" w:eastAsia="SimSun" w:cs="SimSun"/>
          <w:sz w:val="24"/>
          <w:szCs w:val="24"/>
          <w:spacing w:val="-2"/>
        </w:rPr>
        <w:t>；冬季主导风向为 </w:t>
      </w:r>
      <w:r>
        <w:rPr>
          <w:rFonts w:ascii="Times New Roman" w:hAnsi="Times New Roman" w:eastAsia="Times New Roman" w:cs="Times New Roman"/>
          <w:sz w:val="24"/>
          <w:szCs w:val="24"/>
          <w:spacing w:val="-2"/>
        </w:rPr>
        <w:t>WSW  </w:t>
      </w:r>
      <w:r>
        <w:rPr>
          <w:rFonts w:ascii="SimSun" w:hAnsi="SimSun" w:eastAsia="SimSun" w:cs="SimSun"/>
          <w:sz w:val="24"/>
          <w:szCs w:val="24"/>
          <w:spacing w:val="-2"/>
        </w:rPr>
        <w:t>风，出现频率为 </w:t>
      </w:r>
      <w:r>
        <w:rPr>
          <w:rFonts w:ascii="Times New Roman" w:hAnsi="Times New Roman" w:eastAsia="Times New Roman" w:cs="Times New Roman"/>
          <w:sz w:val="24"/>
          <w:szCs w:val="24"/>
          <w:spacing w:val="-2"/>
        </w:rPr>
        <w:t>24.3%</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，静</w:t>
      </w:r>
      <w:r>
        <w:rPr>
          <w:rFonts w:ascii="SimSun" w:hAnsi="SimSun" w:eastAsia="SimSun" w:cs="SimSun"/>
          <w:sz w:val="24"/>
          <w:szCs w:val="24"/>
          <w:spacing w:val="-2"/>
        </w:rPr>
        <w:t>风频率为 </w:t>
      </w:r>
      <w:r>
        <w:rPr>
          <w:rFonts w:ascii="Times New Roman" w:hAnsi="Times New Roman" w:eastAsia="Times New Roman" w:cs="Times New Roman"/>
          <w:sz w:val="24"/>
          <w:szCs w:val="24"/>
          <w:spacing w:val="-2"/>
        </w:rPr>
        <w:t>22.7%</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。全年及四季风向玫瑰图见图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5-2-1</w:t>
      </w:r>
      <w:r>
        <w:rPr>
          <w:rFonts w:ascii="SimSun" w:hAnsi="SimSun" w:eastAsia="SimSun" w:cs="SimSun"/>
          <w:sz w:val="24"/>
          <w:szCs w:val="24"/>
          <w:spacing w:val="-2"/>
        </w:rPr>
        <w:t>。</w:t>
      </w:r>
    </w:p>
    <w:p>
      <w:pPr>
        <w:spacing w:line="360" w:lineRule="auto"/>
        <w:sectPr>
          <w:headerReference w:type="default" r:id="rId343"/>
          <w:footerReference w:type="default" r:id="rId358"/>
          <w:pgSz w:w="11906" w:h="16838"/>
          <w:pgMar w:top="1194" w:right="1351" w:bottom="1272" w:left="1416" w:header="861" w:footer="1110" w:gutter="0"/>
        </w:sectPr>
        <w:rPr>
          <w:rFonts w:ascii="SimSun" w:hAnsi="SimSun" w:eastAsia="SimSun" w:cs="SimSun"/>
          <w:sz w:val="24"/>
          <w:szCs w:val="24"/>
        </w:rPr>
      </w:pPr>
    </w:p>
    <w:p>
      <w:pPr>
        <w:pStyle w:val="BodyText"/>
        <w:spacing w:line="278" w:lineRule="auto"/>
        <w:rPr/>
      </w:pPr>
      <w:r/>
    </w:p>
    <w:p>
      <w:pPr>
        <w:pStyle w:val="BodyText"/>
        <w:spacing w:line="279" w:lineRule="auto"/>
        <w:rPr/>
      </w:pPr>
      <w:r/>
    </w:p>
    <w:p>
      <w:pPr>
        <w:ind w:left="3619"/>
        <w:spacing w:before="78" w:line="221" w:lineRule="auto"/>
        <w:rPr>
          <w:rFonts w:ascii="SimHei" w:hAnsi="SimHei" w:eastAsia="SimHei" w:cs="SimHei"/>
          <w:sz w:val="24"/>
          <w:szCs w:val="24"/>
        </w:rPr>
      </w:pPr>
      <w:r>
        <w:rPr>
          <w:rFonts w:ascii="SimHei" w:hAnsi="SimHei" w:eastAsia="SimHei" w:cs="SimHei"/>
          <w:sz w:val="24"/>
          <w:szCs w:val="24"/>
          <w:spacing w:val="-1"/>
        </w:rPr>
        <w:t>西乌珠穆沁旗气象局近</w:t>
      </w:r>
      <w:r>
        <w:rPr>
          <w:rFonts w:ascii="SimHei" w:hAnsi="SimHei" w:eastAsia="SimHei" w:cs="SimHei"/>
          <w:sz w:val="24"/>
          <w:szCs w:val="24"/>
          <w:spacing w:val="-45"/>
        </w:rPr>
        <w:t xml:space="preserve"> </w:t>
      </w:r>
      <w:r>
        <w:rPr>
          <w:rFonts w:ascii="Times New Roman" w:hAnsi="Times New Roman" w:eastAsia="Times New Roman" w:cs="Times New Roman"/>
          <w:sz w:val="24"/>
          <w:szCs w:val="24"/>
          <w:spacing w:val="-1"/>
        </w:rPr>
        <w:t>20 </w:t>
      </w:r>
      <w:r>
        <w:rPr>
          <w:rFonts w:ascii="SimHei" w:hAnsi="SimHei" w:eastAsia="SimHei" w:cs="SimHei"/>
          <w:sz w:val="24"/>
          <w:szCs w:val="24"/>
          <w:spacing w:val="-1"/>
        </w:rPr>
        <w:t>年气温、气压、湿度、降水量和蒸发量统计表</w:t>
      </w:r>
    </w:p>
    <w:p>
      <w:pPr>
        <w:ind w:left="115"/>
        <w:spacing w:before="173" w:line="226"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1"/>
        </w:rPr>
        <w:t>5-2-1</w:t>
      </w:r>
    </w:p>
    <w:tbl>
      <w:tblPr>
        <w:tblStyle w:val="TableNormal"/>
        <w:tblW w:w="1417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6"/>
        <w:gridCol w:w="1120"/>
        <w:gridCol w:w="739"/>
        <w:gridCol w:w="936"/>
        <w:gridCol w:w="938"/>
        <w:gridCol w:w="940"/>
        <w:gridCol w:w="940"/>
        <w:gridCol w:w="938"/>
        <w:gridCol w:w="940"/>
        <w:gridCol w:w="941"/>
        <w:gridCol w:w="938"/>
        <w:gridCol w:w="940"/>
        <w:gridCol w:w="818"/>
        <w:gridCol w:w="816"/>
        <w:gridCol w:w="1291"/>
      </w:tblGrid>
      <w:tr>
        <w:trPr>
          <w:trHeight w:val="547" w:hRule="atLeast"/>
        </w:trPr>
        <w:tc>
          <w:tcPr>
            <w:tcW w:w="2056" w:type="dxa"/>
            <w:vAlign w:val="top"/>
            <w:gridSpan w:val="2"/>
          </w:tcPr>
          <w:p>
            <w:pPr>
              <w:ind w:left="826"/>
              <w:spacing w:before="163" w:line="228" w:lineRule="auto"/>
              <w:rPr>
                <w:rFonts w:ascii="SimSun" w:hAnsi="SimSun" w:eastAsia="SimSun" w:cs="SimSun"/>
                <w:sz w:val="20"/>
                <w:szCs w:val="20"/>
              </w:rPr>
            </w:pPr>
            <w:r>
              <w:rPr>
                <w:rFonts w:ascii="SimSun" w:hAnsi="SimSun" w:eastAsia="SimSun" w:cs="SimSun"/>
                <w:sz w:val="20"/>
                <w:szCs w:val="20"/>
                <w:spacing w:val="2"/>
              </w:rPr>
              <w:t>月份</w:t>
            </w:r>
          </w:p>
        </w:tc>
        <w:tc>
          <w:tcPr>
            <w:tcW w:w="739" w:type="dxa"/>
            <w:vAlign w:val="top"/>
          </w:tcPr>
          <w:p>
            <w:pPr>
              <w:pStyle w:val="TableText"/>
              <w:ind w:left="337"/>
              <w:spacing w:before="201" w:line="195" w:lineRule="auto"/>
              <w:rPr/>
            </w:pPr>
            <w:r>
              <w:rPr/>
              <w:t>1</w:t>
            </w:r>
          </w:p>
        </w:tc>
        <w:tc>
          <w:tcPr>
            <w:tcW w:w="936" w:type="dxa"/>
            <w:vAlign w:val="top"/>
          </w:tcPr>
          <w:p>
            <w:pPr>
              <w:pStyle w:val="TableText"/>
              <w:ind w:left="413"/>
              <w:spacing w:before="201" w:line="195" w:lineRule="auto"/>
              <w:rPr/>
            </w:pPr>
            <w:r>
              <w:rPr/>
              <w:t>2</w:t>
            </w:r>
          </w:p>
        </w:tc>
        <w:tc>
          <w:tcPr>
            <w:tcW w:w="938" w:type="dxa"/>
            <w:vAlign w:val="top"/>
          </w:tcPr>
          <w:p>
            <w:pPr>
              <w:pStyle w:val="TableText"/>
              <w:ind w:left="419"/>
              <w:spacing w:before="201" w:line="195" w:lineRule="auto"/>
              <w:rPr/>
            </w:pPr>
            <w:r>
              <w:rPr/>
              <w:t>3</w:t>
            </w:r>
          </w:p>
        </w:tc>
        <w:tc>
          <w:tcPr>
            <w:tcW w:w="940" w:type="dxa"/>
            <w:vAlign w:val="top"/>
          </w:tcPr>
          <w:p>
            <w:pPr>
              <w:pStyle w:val="TableText"/>
              <w:ind w:left="417"/>
              <w:spacing w:before="201" w:line="195" w:lineRule="auto"/>
              <w:rPr/>
            </w:pPr>
            <w:r>
              <w:rPr>
                <w:spacing w:val="1"/>
              </w:rPr>
              <w:t>4</w:t>
            </w:r>
          </w:p>
        </w:tc>
        <w:tc>
          <w:tcPr>
            <w:tcW w:w="940" w:type="dxa"/>
            <w:vAlign w:val="top"/>
          </w:tcPr>
          <w:p>
            <w:pPr>
              <w:pStyle w:val="TableText"/>
              <w:ind w:left="422"/>
              <w:spacing w:before="204" w:line="192" w:lineRule="auto"/>
              <w:rPr/>
            </w:pPr>
            <w:r>
              <w:rPr/>
              <w:t>5</w:t>
            </w:r>
          </w:p>
        </w:tc>
        <w:tc>
          <w:tcPr>
            <w:tcW w:w="938" w:type="dxa"/>
            <w:vAlign w:val="top"/>
          </w:tcPr>
          <w:p>
            <w:pPr>
              <w:pStyle w:val="TableText"/>
              <w:ind w:left="422"/>
              <w:spacing w:before="201" w:line="195" w:lineRule="auto"/>
              <w:rPr/>
            </w:pPr>
            <w:r>
              <w:rPr/>
              <w:t>6</w:t>
            </w:r>
          </w:p>
        </w:tc>
        <w:tc>
          <w:tcPr>
            <w:tcW w:w="940" w:type="dxa"/>
            <w:vAlign w:val="top"/>
          </w:tcPr>
          <w:p>
            <w:pPr>
              <w:pStyle w:val="TableText"/>
              <w:ind w:left="423"/>
              <w:spacing w:before="204" w:line="192" w:lineRule="auto"/>
              <w:rPr/>
            </w:pPr>
            <w:r>
              <w:rPr/>
              <w:t>7</w:t>
            </w:r>
          </w:p>
        </w:tc>
        <w:tc>
          <w:tcPr>
            <w:tcW w:w="941" w:type="dxa"/>
            <w:vAlign w:val="top"/>
          </w:tcPr>
          <w:p>
            <w:pPr>
              <w:pStyle w:val="TableText"/>
              <w:ind w:left="427"/>
              <w:spacing w:before="201" w:line="195" w:lineRule="auto"/>
              <w:rPr/>
            </w:pPr>
            <w:r>
              <w:rPr/>
              <w:t>8</w:t>
            </w:r>
          </w:p>
        </w:tc>
        <w:tc>
          <w:tcPr>
            <w:tcW w:w="938" w:type="dxa"/>
            <w:vAlign w:val="top"/>
          </w:tcPr>
          <w:p>
            <w:pPr>
              <w:pStyle w:val="TableText"/>
              <w:ind w:left="422"/>
              <w:spacing w:before="201" w:line="195" w:lineRule="auto"/>
              <w:rPr/>
            </w:pPr>
            <w:r>
              <w:rPr/>
              <w:t>9</w:t>
            </w:r>
          </w:p>
        </w:tc>
        <w:tc>
          <w:tcPr>
            <w:tcW w:w="940" w:type="dxa"/>
            <w:vAlign w:val="top"/>
          </w:tcPr>
          <w:p>
            <w:pPr>
              <w:pStyle w:val="TableText"/>
              <w:ind w:left="388"/>
              <w:spacing w:before="201" w:line="195" w:lineRule="auto"/>
              <w:rPr/>
            </w:pPr>
            <w:r>
              <w:rPr>
                <w:spacing w:val="-8"/>
              </w:rPr>
              <w:t>10</w:t>
            </w:r>
          </w:p>
        </w:tc>
        <w:tc>
          <w:tcPr>
            <w:tcW w:w="818" w:type="dxa"/>
            <w:vAlign w:val="top"/>
          </w:tcPr>
          <w:p>
            <w:pPr>
              <w:pStyle w:val="TableText"/>
              <w:ind w:left="331"/>
              <w:spacing w:before="201" w:line="195" w:lineRule="auto"/>
              <w:rPr/>
            </w:pPr>
            <w:r>
              <w:rPr>
                <w:spacing w:val="-10"/>
              </w:rPr>
              <w:t>11</w:t>
            </w:r>
          </w:p>
        </w:tc>
        <w:tc>
          <w:tcPr>
            <w:tcW w:w="816" w:type="dxa"/>
            <w:vAlign w:val="top"/>
          </w:tcPr>
          <w:p>
            <w:pPr>
              <w:pStyle w:val="TableText"/>
              <w:ind w:left="327"/>
              <w:spacing w:before="201" w:line="195" w:lineRule="auto"/>
              <w:rPr/>
            </w:pPr>
            <w:r>
              <w:rPr>
                <w:spacing w:val="-8"/>
              </w:rPr>
              <w:t>12</w:t>
            </w:r>
          </w:p>
        </w:tc>
        <w:tc>
          <w:tcPr>
            <w:tcW w:w="1291" w:type="dxa"/>
            <w:vAlign w:val="top"/>
          </w:tcPr>
          <w:p>
            <w:pPr>
              <w:ind w:left="136" w:right="137" w:firstLine="201"/>
              <w:spacing w:before="30" w:line="234" w:lineRule="auto"/>
              <w:rPr>
                <w:rFonts w:ascii="SimSun" w:hAnsi="SimSun" w:eastAsia="SimSun" w:cs="SimSun"/>
                <w:sz w:val="20"/>
                <w:szCs w:val="20"/>
              </w:rPr>
            </w:pPr>
            <w:r>
              <w:rPr>
                <w:rFonts w:ascii="SimSun" w:hAnsi="SimSun" w:eastAsia="SimSun" w:cs="SimSun"/>
                <w:sz w:val="20"/>
                <w:szCs w:val="20"/>
                <w:spacing w:val="6"/>
              </w:rPr>
              <w:t>年平均</w:t>
            </w:r>
            <w:r>
              <w:rPr>
                <w:rFonts w:ascii="SimSun" w:hAnsi="SimSun" w:eastAsia="SimSun" w:cs="SimSun"/>
                <w:sz w:val="20"/>
                <w:szCs w:val="20"/>
                <w:spacing w:val="2"/>
              </w:rPr>
              <w:t>（或极值）</w:t>
            </w:r>
          </w:p>
        </w:tc>
      </w:tr>
      <w:tr>
        <w:trPr>
          <w:trHeight w:val="340" w:hRule="atLeast"/>
        </w:trPr>
        <w:tc>
          <w:tcPr>
            <w:tcW w:w="936" w:type="dxa"/>
            <w:vAlign w:val="top"/>
            <w:vMerge w:val="restart"/>
            <w:tcBorders>
              <w:bottom w:val="nil"/>
            </w:tcBorders>
          </w:tcPr>
          <w:p>
            <w:pPr>
              <w:spacing w:line="336" w:lineRule="auto"/>
              <w:rPr>
                <w:rFonts w:ascii="Arial"/>
                <w:sz w:val="21"/>
              </w:rPr>
            </w:pPr>
            <w:r/>
          </w:p>
          <w:p>
            <w:pPr>
              <w:pStyle w:val="TableText"/>
              <w:ind w:left="152"/>
              <w:spacing w:before="65" w:line="229" w:lineRule="auto"/>
              <w:rPr/>
            </w:pPr>
            <w:r>
              <w:rPr>
                <w:rFonts w:ascii="SimSun" w:hAnsi="SimSun" w:eastAsia="SimSun" w:cs="SimSun"/>
                <w:spacing w:val="6"/>
              </w:rPr>
              <w:t>气温</w:t>
            </w:r>
            <w:r>
              <w:rPr>
                <w:spacing w:val="6"/>
              </w:rPr>
              <w:t>℃</w:t>
            </w:r>
          </w:p>
        </w:tc>
        <w:tc>
          <w:tcPr>
            <w:tcW w:w="1120" w:type="dxa"/>
            <w:vAlign w:val="top"/>
          </w:tcPr>
          <w:p>
            <w:pPr>
              <w:ind w:left="350"/>
              <w:spacing w:before="60" w:line="228" w:lineRule="auto"/>
              <w:rPr>
                <w:rFonts w:ascii="SimSun" w:hAnsi="SimSun" w:eastAsia="SimSun" w:cs="SimSun"/>
                <w:sz w:val="20"/>
                <w:szCs w:val="20"/>
              </w:rPr>
            </w:pPr>
            <w:r>
              <w:rPr>
                <w:rFonts w:ascii="SimSun" w:hAnsi="SimSun" w:eastAsia="SimSun" w:cs="SimSun"/>
                <w:sz w:val="20"/>
                <w:szCs w:val="20"/>
                <w:spacing w:val="5"/>
              </w:rPr>
              <w:t>平均</w:t>
            </w:r>
          </w:p>
        </w:tc>
        <w:tc>
          <w:tcPr>
            <w:tcW w:w="739" w:type="dxa"/>
            <w:vAlign w:val="top"/>
          </w:tcPr>
          <w:p>
            <w:pPr>
              <w:pStyle w:val="TableText"/>
              <w:ind w:left="155"/>
              <w:spacing w:before="96" w:line="195" w:lineRule="auto"/>
              <w:rPr/>
            </w:pPr>
            <w:r>
              <w:rPr>
                <w:spacing w:val="2"/>
              </w:rPr>
              <w:t>-17.3</w:t>
            </w:r>
          </w:p>
        </w:tc>
        <w:tc>
          <w:tcPr>
            <w:tcW w:w="936" w:type="dxa"/>
            <w:vAlign w:val="top"/>
          </w:tcPr>
          <w:p>
            <w:pPr>
              <w:pStyle w:val="TableText"/>
              <w:ind w:left="330"/>
              <w:spacing w:before="96" w:line="195" w:lineRule="auto"/>
              <w:rPr/>
            </w:pPr>
            <w:r>
              <w:rPr/>
              <w:t>-13</w:t>
            </w:r>
          </w:p>
        </w:tc>
        <w:tc>
          <w:tcPr>
            <w:tcW w:w="938" w:type="dxa"/>
            <w:vAlign w:val="top"/>
          </w:tcPr>
          <w:p>
            <w:pPr>
              <w:pStyle w:val="TableText"/>
              <w:ind w:left="306"/>
              <w:spacing w:before="96" w:line="195" w:lineRule="auto"/>
              <w:rPr/>
            </w:pPr>
            <w:r>
              <w:rPr>
                <w:spacing w:val="1"/>
              </w:rPr>
              <w:t>-5.2</w:t>
            </w:r>
          </w:p>
        </w:tc>
        <w:tc>
          <w:tcPr>
            <w:tcW w:w="940" w:type="dxa"/>
            <w:vAlign w:val="top"/>
          </w:tcPr>
          <w:p>
            <w:pPr>
              <w:pStyle w:val="TableText"/>
              <w:ind w:left="344"/>
              <w:spacing w:before="96" w:line="195" w:lineRule="auto"/>
              <w:rPr/>
            </w:pPr>
            <w:r>
              <w:rPr>
                <w:spacing w:val="1"/>
              </w:rPr>
              <w:t>5.3</w:t>
            </w:r>
          </w:p>
        </w:tc>
        <w:tc>
          <w:tcPr>
            <w:tcW w:w="940" w:type="dxa"/>
            <w:vAlign w:val="top"/>
          </w:tcPr>
          <w:p>
            <w:pPr>
              <w:pStyle w:val="TableText"/>
              <w:ind w:left="307"/>
              <w:spacing w:before="96" w:line="195" w:lineRule="auto"/>
              <w:rPr/>
            </w:pPr>
            <w:r>
              <w:rPr>
                <w:spacing w:val="-1"/>
              </w:rPr>
              <w:t>13.2</w:t>
            </w:r>
          </w:p>
        </w:tc>
        <w:tc>
          <w:tcPr>
            <w:tcW w:w="938" w:type="dxa"/>
            <w:vAlign w:val="top"/>
          </w:tcPr>
          <w:p>
            <w:pPr>
              <w:pStyle w:val="TableText"/>
              <w:ind w:left="305"/>
              <w:spacing w:before="96" w:line="195" w:lineRule="auto"/>
              <w:rPr/>
            </w:pPr>
            <w:r>
              <w:rPr>
                <w:spacing w:val="-1"/>
              </w:rPr>
              <w:t>17.8</w:t>
            </w:r>
          </w:p>
        </w:tc>
        <w:tc>
          <w:tcPr>
            <w:tcW w:w="940" w:type="dxa"/>
            <w:vAlign w:val="top"/>
          </w:tcPr>
          <w:p>
            <w:pPr>
              <w:pStyle w:val="TableText"/>
              <w:ind w:left="288"/>
              <w:spacing w:before="96" w:line="195" w:lineRule="auto"/>
              <w:rPr/>
            </w:pPr>
            <w:r>
              <w:rPr>
                <w:spacing w:val="2"/>
              </w:rPr>
              <w:t>21.</w:t>
            </w:r>
            <w:r>
              <w:rPr>
                <w:spacing w:val="-23"/>
              </w:rPr>
              <w:t xml:space="preserve"> </w:t>
            </w:r>
            <w:r>
              <w:rPr>
                <w:spacing w:val="2"/>
              </w:rPr>
              <w:t>1</w:t>
            </w:r>
          </w:p>
        </w:tc>
        <w:tc>
          <w:tcPr>
            <w:tcW w:w="941" w:type="dxa"/>
            <w:vAlign w:val="top"/>
          </w:tcPr>
          <w:p>
            <w:pPr>
              <w:pStyle w:val="TableText"/>
              <w:ind w:left="309"/>
              <w:spacing w:before="96" w:line="195" w:lineRule="auto"/>
              <w:rPr/>
            </w:pPr>
            <w:r>
              <w:rPr>
                <w:spacing w:val="-1"/>
              </w:rPr>
              <w:t>19.0</w:t>
            </w:r>
          </w:p>
        </w:tc>
        <w:tc>
          <w:tcPr>
            <w:tcW w:w="938" w:type="dxa"/>
            <w:vAlign w:val="top"/>
          </w:tcPr>
          <w:p>
            <w:pPr>
              <w:pStyle w:val="TableText"/>
              <w:ind w:left="306"/>
              <w:spacing w:before="96" w:line="195" w:lineRule="auto"/>
              <w:rPr/>
            </w:pPr>
            <w:r>
              <w:rPr>
                <w:spacing w:val="-1"/>
              </w:rPr>
              <w:t>13.3</w:t>
            </w:r>
          </w:p>
        </w:tc>
        <w:tc>
          <w:tcPr>
            <w:tcW w:w="940" w:type="dxa"/>
            <w:vAlign w:val="top"/>
          </w:tcPr>
          <w:p>
            <w:pPr>
              <w:pStyle w:val="TableText"/>
              <w:ind w:left="342"/>
              <w:spacing w:before="96" w:line="195" w:lineRule="auto"/>
              <w:rPr/>
            </w:pPr>
            <w:r>
              <w:rPr>
                <w:spacing w:val="3"/>
              </w:rPr>
              <w:t>2.0</w:t>
            </w:r>
          </w:p>
        </w:tc>
        <w:tc>
          <w:tcPr>
            <w:tcW w:w="818" w:type="dxa"/>
            <w:vAlign w:val="top"/>
          </w:tcPr>
          <w:p>
            <w:pPr>
              <w:pStyle w:val="TableText"/>
              <w:ind w:left="251"/>
              <w:spacing w:before="96" w:line="195" w:lineRule="auto"/>
              <w:rPr/>
            </w:pPr>
            <w:r>
              <w:rPr>
                <w:spacing w:val="1"/>
              </w:rPr>
              <w:t>-8.2</w:t>
            </w:r>
          </w:p>
        </w:tc>
        <w:tc>
          <w:tcPr>
            <w:tcW w:w="816" w:type="dxa"/>
            <w:vAlign w:val="top"/>
          </w:tcPr>
          <w:p>
            <w:pPr>
              <w:pStyle w:val="TableText"/>
              <w:ind w:left="196"/>
              <w:spacing w:before="96" w:line="195" w:lineRule="auto"/>
              <w:rPr/>
            </w:pPr>
            <w:r>
              <w:rPr>
                <w:spacing w:val="3"/>
              </w:rPr>
              <w:t>-16.6</w:t>
            </w:r>
          </w:p>
        </w:tc>
        <w:tc>
          <w:tcPr>
            <w:tcW w:w="1291" w:type="dxa"/>
            <w:vAlign w:val="top"/>
          </w:tcPr>
          <w:p>
            <w:pPr>
              <w:pStyle w:val="TableText"/>
              <w:ind w:left="516"/>
              <w:spacing w:before="96" w:line="195" w:lineRule="auto"/>
              <w:rPr/>
            </w:pPr>
            <w:r>
              <w:rPr>
                <w:spacing w:val="3"/>
              </w:rPr>
              <w:t>2.6</w:t>
            </w:r>
          </w:p>
        </w:tc>
      </w:tr>
      <w:tr>
        <w:trPr>
          <w:trHeight w:val="340" w:hRule="atLeast"/>
        </w:trPr>
        <w:tc>
          <w:tcPr>
            <w:tcW w:w="936" w:type="dxa"/>
            <w:vAlign w:val="top"/>
            <w:vMerge w:val="continue"/>
            <w:tcBorders>
              <w:top w:val="nil"/>
              <w:bottom w:val="nil"/>
            </w:tcBorders>
          </w:tcPr>
          <w:p>
            <w:pPr>
              <w:rPr>
                <w:rFonts w:ascii="Arial"/>
                <w:sz w:val="21"/>
              </w:rPr>
            </w:pPr>
            <w:r/>
          </w:p>
        </w:tc>
        <w:tc>
          <w:tcPr>
            <w:tcW w:w="1120" w:type="dxa"/>
            <w:vAlign w:val="top"/>
          </w:tcPr>
          <w:p>
            <w:pPr>
              <w:ind w:left="144"/>
              <w:spacing w:before="58" w:line="228" w:lineRule="auto"/>
              <w:rPr>
                <w:rFonts w:ascii="SimSun" w:hAnsi="SimSun" w:eastAsia="SimSun" w:cs="SimSun"/>
                <w:sz w:val="20"/>
                <w:szCs w:val="20"/>
              </w:rPr>
            </w:pPr>
            <w:r>
              <w:rPr>
                <w:rFonts w:ascii="SimSun" w:hAnsi="SimSun" w:eastAsia="SimSun" w:cs="SimSun"/>
                <w:sz w:val="20"/>
                <w:szCs w:val="20"/>
                <w:spacing w:val="6"/>
              </w:rPr>
              <w:t>极端最低</w:t>
            </w:r>
          </w:p>
        </w:tc>
        <w:tc>
          <w:tcPr>
            <w:tcW w:w="739" w:type="dxa"/>
            <w:vAlign w:val="top"/>
          </w:tcPr>
          <w:p>
            <w:pPr>
              <w:pStyle w:val="TableText"/>
              <w:ind w:left="155"/>
              <w:spacing w:before="96" w:line="195" w:lineRule="auto"/>
              <w:rPr/>
            </w:pPr>
            <w:r>
              <w:rPr>
                <w:spacing w:val="2"/>
              </w:rPr>
              <w:t>-34.7</w:t>
            </w:r>
          </w:p>
        </w:tc>
        <w:tc>
          <w:tcPr>
            <w:tcW w:w="936" w:type="dxa"/>
            <w:vAlign w:val="top"/>
          </w:tcPr>
          <w:p>
            <w:pPr>
              <w:pStyle w:val="TableText"/>
              <w:ind w:left="251"/>
              <w:spacing w:before="96" w:line="195" w:lineRule="auto"/>
              <w:rPr/>
            </w:pPr>
            <w:r>
              <w:rPr>
                <w:spacing w:val="3"/>
              </w:rPr>
              <w:t>-35.8</w:t>
            </w:r>
          </w:p>
        </w:tc>
        <w:tc>
          <w:tcPr>
            <w:tcW w:w="938" w:type="dxa"/>
            <w:vAlign w:val="top"/>
          </w:tcPr>
          <w:p>
            <w:pPr>
              <w:pStyle w:val="TableText"/>
              <w:ind w:left="254"/>
              <w:spacing w:before="96" w:line="195" w:lineRule="auto"/>
              <w:rPr/>
            </w:pPr>
            <w:r>
              <w:rPr>
                <w:spacing w:val="2"/>
              </w:rPr>
              <w:t>-27.2</w:t>
            </w:r>
          </w:p>
        </w:tc>
        <w:tc>
          <w:tcPr>
            <w:tcW w:w="940" w:type="dxa"/>
            <w:vAlign w:val="top"/>
          </w:tcPr>
          <w:p>
            <w:pPr>
              <w:pStyle w:val="TableText"/>
              <w:ind w:left="254"/>
              <w:spacing w:before="96" w:line="195" w:lineRule="auto"/>
              <w:rPr/>
            </w:pPr>
            <w:r>
              <w:rPr>
                <w:spacing w:val="3"/>
              </w:rPr>
              <w:t>-10.3</w:t>
            </w:r>
          </w:p>
        </w:tc>
        <w:tc>
          <w:tcPr>
            <w:tcW w:w="940" w:type="dxa"/>
            <w:vAlign w:val="top"/>
          </w:tcPr>
          <w:p>
            <w:pPr>
              <w:pStyle w:val="TableText"/>
              <w:ind w:left="308"/>
              <w:spacing w:before="96" w:line="195" w:lineRule="auto"/>
              <w:rPr/>
            </w:pPr>
            <w:r>
              <w:rPr>
                <w:spacing w:val="2"/>
              </w:rPr>
              <w:t>-5.0</w:t>
            </w:r>
          </w:p>
        </w:tc>
        <w:tc>
          <w:tcPr>
            <w:tcW w:w="938" w:type="dxa"/>
            <w:vAlign w:val="top"/>
          </w:tcPr>
          <w:p>
            <w:pPr>
              <w:pStyle w:val="TableText"/>
              <w:ind w:left="341"/>
              <w:spacing w:before="96" w:line="195" w:lineRule="auto"/>
              <w:rPr/>
            </w:pPr>
            <w:r>
              <w:rPr/>
              <w:t>0.</w:t>
            </w:r>
            <w:r>
              <w:rPr>
                <w:spacing w:val="-25"/>
              </w:rPr>
              <w:t xml:space="preserve"> </w:t>
            </w:r>
            <w:r>
              <w:rPr/>
              <w:t>1</w:t>
            </w:r>
          </w:p>
        </w:tc>
        <w:tc>
          <w:tcPr>
            <w:tcW w:w="940" w:type="dxa"/>
            <w:vAlign w:val="top"/>
          </w:tcPr>
          <w:p>
            <w:pPr>
              <w:pStyle w:val="TableText"/>
              <w:ind w:left="346"/>
              <w:spacing w:before="99" w:line="192" w:lineRule="auto"/>
              <w:rPr/>
            </w:pPr>
            <w:r>
              <w:rPr>
                <w:spacing w:val="1"/>
              </w:rPr>
              <w:t>5.5</w:t>
            </w:r>
          </w:p>
        </w:tc>
        <w:tc>
          <w:tcPr>
            <w:tcW w:w="941" w:type="dxa"/>
            <w:vAlign w:val="top"/>
          </w:tcPr>
          <w:p>
            <w:pPr>
              <w:pStyle w:val="TableText"/>
              <w:ind w:left="359"/>
              <w:spacing w:before="96" w:line="195" w:lineRule="auto"/>
              <w:rPr/>
            </w:pPr>
            <w:r>
              <w:rPr>
                <w:spacing w:val="-4"/>
              </w:rPr>
              <w:t>1.0</w:t>
            </w:r>
          </w:p>
        </w:tc>
        <w:tc>
          <w:tcPr>
            <w:tcW w:w="938" w:type="dxa"/>
            <w:vAlign w:val="top"/>
          </w:tcPr>
          <w:p>
            <w:pPr>
              <w:pStyle w:val="TableText"/>
              <w:ind w:left="309"/>
              <w:spacing w:before="99" w:line="192" w:lineRule="auto"/>
              <w:rPr/>
            </w:pPr>
            <w:r>
              <w:rPr>
                <w:spacing w:val="1"/>
              </w:rPr>
              <w:t>-5.5</w:t>
            </w:r>
          </w:p>
        </w:tc>
        <w:tc>
          <w:tcPr>
            <w:tcW w:w="940" w:type="dxa"/>
            <w:vAlign w:val="top"/>
          </w:tcPr>
          <w:p>
            <w:pPr>
              <w:pStyle w:val="TableText"/>
              <w:ind w:left="257"/>
              <w:spacing w:before="96" w:line="195" w:lineRule="auto"/>
              <w:rPr/>
            </w:pPr>
            <w:r>
              <w:rPr>
                <w:spacing w:val="3"/>
              </w:rPr>
              <w:t>-17.0</w:t>
            </w:r>
          </w:p>
        </w:tc>
        <w:tc>
          <w:tcPr>
            <w:tcW w:w="818" w:type="dxa"/>
            <w:vAlign w:val="top"/>
          </w:tcPr>
          <w:p>
            <w:pPr>
              <w:pStyle w:val="TableText"/>
              <w:ind w:left="198"/>
              <w:spacing w:before="96" w:line="195" w:lineRule="auto"/>
              <w:rPr/>
            </w:pPr>
            <w:r>
              <w:rPr>
                <w:spacing w:val="2"/>
              </w:rPr>
              <w:t>-25.6</w:t>
            </w:r>
          </w:p>
        </w:tc>
        <w:tc>
          <w:tcPr>
            <w:tcW w:w="816" w:type="dxa"/>
            <w:vAlign w:val="top"/>
          </w:tcPr>
          <w:p>
            <w:pPr>
              <w:pStyle w:val="TableText"/>
              <w:ind w:left="196"/>
              <w:spacing w:before="96" w:line="195" w:lineRule="auto"/>
              <w:rPr/>
            </w:pPr>
            <w:r>
              <w:rPr>
                <w:spacing w:val="3"/>
              </w:rPr>
              <w:t>-31.0</w:t>
            </w:r>
          </w:p>
        </w:tc>
        <w:tc>
          <w:tcPr>
            <w:tcW w:w="1291" w:type="dxa"/>
            <w:vAlign w:val="top"/>
          </w:tcPr>
          <w:p>
            <w:pPr>
              <w:pStyle w:val="TableText"/>
              <w:ind w:left="433"/>
              <w:spacing w:before="96" w:line="195" w:lineRule="auto"/>
              <w:rPr/>
            </w:pPr>
            <w:r>
              <w:rPr>
                <w:spacing w:val="2"/>
              </w:rPr>
              <w:t>-24.7</w:t>
            </w:r>
          </w:p>
        </w:tc>
      </w:tr>
      <w:tr>
        <w:trPr>
          <w:trHeight w:val="338" w:hRule="atLeast"/>
        </w:trPr>
        <w:tc>
          <w:tcPr>
            <w:tcW w:w="936" w:type="dxa"/>
            <w:vAlign w:val="top"/>
            <w:vMerge w:val="continue"/>
            <w:tcBorders>
              <w:top w:val="nil"/>
            </w:tcBorders>
          </w:tcPr>
          <w:p>
            <w:pPr>
              <w:rPr>
                <w:rFonts w:ascii="Arial"/>
                <w:sz w:val="21"/>
              </w:rPr>
            </w:pPr>
            <w:r/>
          </w:p>
        </w:tc>
        <w:tc>
          <w:tcPr>
            <w:tcW w:w="1120" w:type="dxa"/>
            <w:vAlign w:val="top"/>
          </w:tcPr>
          <w:p>
            <w:pPr>
              <w:ind w:left="144"/>
              <w:spacing w:before="58" w:line="228" w:lineRule="auto"/>
              <w:rPr>
                <w:rFonts w:ascii="SimSun" w:hAnsi="SimSun" w:eastAsia="SimSun" w:cs="SimSun"/>
                <w:sz w:val="20"/>
                <w:szCs w:val="20"/>
              </w:rPr>
            </w:pPr>
            <w:r>
              <w:rPr>
                <w:rFonts w:ascii="SimSun" w:hAnsi="SimSun" w:eastAsia="SimSun" w:cs="SimSun"/>
                <w:sz w:val="20"/>
                <w:szCs w:val="20"/>
                <w:spacing w:val="6"/>
              </w:rPr>
              <w:t>极端最高</w:t>
            </w:r>
          </w:p>
        </w:tc>
        <w:tc>
          <w:tcPr>
            <w:tcW w:w="739" w:type="dxa"/>
            <w:vAlign w:val="top"/>
          </w:tcPr>
          <w:p>
            <w:pPr>
              <w:pStyle w:val="TableText"/>
              <w:ind w:left="240"/>
              <w:spacing w:before="97" w:line="195" w:lineRule="auto"/>
              <w:rPr/>
            </w:pPr>
            <w:r>
              <w:rPr>
                <w:spacing w:val="1"/>
              </w:rPr>
              <w:t>0.4</w:t>
            </w:r>
          </w:p>
        </w:tc>
        <w:tc>
          <w:tcPr>
            <w:tcW w:w="936" w:type="dxa"/>
            <w:vAlign w:val="top"/>
          </w:tcPr>
          <w:p>
            <w:pPr>
              <w:pStyle w:val="TableText"/>
              <w:ind w:left="340"/>
              <w:spacing w:before="97" w:line="195" w:lineRule="auto"/>
              <w:rPr/>
            </w:pPr>
            <w:r>
              <w:rPr>
                <w:spacing w:val="1"/>
              </w:rPr>
              <w:t>6.9</w:t>
            </w:r>
          </w:p>
        </w:tc>
        <w:tc>
          <w:tcPr>
            <w:tcW w:w="938" w:type="dxa"/>
            <w:vAlign w:val="top"/>
          </w:tcPr>
          <w:p>
            <w:pPr>
              <w:pStyle w:val="TableText"/>
              <w:ind w:left="283"/>
              <w:spacing w:before="97" w:line="195" w:lineRule="auto"/>
              <w:rPr/>
            </w:pPr>
            <w:r>
              <w:rPr>
                <w:spacing w:val="4"/>
              </w:rPr>
              <w:t>22.2</w:t>
            </w:r>
          </w:p>
        </w:tc>
        <w:tc>
          <w:tcPr>
            <w:tcW w:w="940" w:type="dxa"/>
            <w:vAlign w:val="top"/>
          </w:tcPr>
          <w:p>
            <w:pPr>
              <w:pStyle w:val="TableText"/>
              <w:ind w:left="286"/>
              <w:spacing w:before="97" w:line="195" w:lineRule="auto"/>
              <w:rPr/>
            </w:pPr>
            <w:r>
              <w:rPr>
                <w:spacing w:val="2"/>
              </w:rPr>
              <w:t>26.</w:t>
            </w:r>
            <w:r>
              <w:rPr>
                <w:spacing w:val="-23"/>
              </w:rPr>
              <w:t xml:space="preserve"> </w:t>
            </w:r>
            <w:r>
              <w:rPr>
                <w:spacing w:val="2"/>
              </w:rPr>
              <w:t>1</w:t>
            </w:r>
          </w:p>
        </w:tc>
        <w:tc>
          <w:tcPr>
            <w:tcW w:w="940" w:type="dxa"/>
            <w:vAlign w:val="top"/>
          </w:tcPr>
          <w:p>
            <w:pPr>
              <w:pStyle w:val="TableText"/>
              <w:ind w:left="291"/>
              <w:spacing w:before="97" w:line="195" w:lineRule="auto"/>
              <w:rPr/>
            </w:pPr>
            <w:r>
              <w:rPr>
                <w:spacing w:val="3"/>
              </w:rPr>
              <w:t>32.2</w:t>
            </w:r>
          </w:p>
        </w:tc>
        <w:tc>
          <w:tcPr>
            <w:tcW w:w="938" w:type="dxa"/>
            <w:vAlign w:val="top"/>
          </w:tcPr>
          <w:p>
            <w:pPr>
              <w:pStyle w:val="TableText"/>
              <w:ind w:left="289"/>
              <w:spacing w:before="97" w:line="195" w:lineRule="auto"/>
              <w:rPr/>
            </w:pPr>
            <w:r>
              <w:rPr>
                <w:spacing w:val="1"/>
              </w:rPr>
              <w:t>33.</w:t>
            </w:r>
            <w:r>
              <w:rPr>
                <w:spacing w:val="-23"/>
              </w:rPr>
              <w:t xml:space="preserve"> </w:t>
            </w:r>
            <w:r>
              <w:rPr>
                <w:spacing w:val="1"/>
              </w:rPr>
              <w:t>1</w:t>
            </w:r>
          </w:p>
        </w:tc>
        <w:tc>
          <w:tcPr>
            <w:tcW w:w="940" w:type="dxa"/>
            <w:vAlign w:val="top"/>
          </w:tcPr>
          <w:p>
            <w:pPr>
              <w:pStyle w:val="TableText"/>
              <w:ind w:left="292"/>
              <w:spacing w:before="97" w:line="195" w:lineRule="auto"/>
              <w:rPr/>
            </w:pPr>
            <w:r>
              <w:rPr>
                <w:spacing w:val="3"/>
              </w:rPr>
              <w:t>33.7</w:t>
            </w:r>
          </w:p>
        </w:tc>
        <w:tc>
          <w:tcPr>
            <w:tcW w:w="941" w:type="dxa"/>
            <w:vAlign w:val="top"/>
          </w:tcPr>
          <w:p>
            <w:pPr>
              <w:pStyle w:val="TableText"/>
              <w:ind w:left="293"/>
              <w:spacing w:before="97" w:line="195" w:lineRule="auto"/>
              <w:rPr/>
            </w:pPr>
            <w:r>
              <w:rPr>
                <w:spacing w:val="3"/>
              </w:rPr>
              <w:t>33.3</w:t>
            </w:r>
          </w:p>
        </w:tc>
        <w:tc>
          <w:tcPr>
            <w:tcW w:w="938" w:type="dxa"/>
            <w:vAlign w:val="top"/>
          </w:tcPr>
          <w:p>
            <w:pPr>
              <w:pStyle w:val="TableText"/>
              <w:ind w:left="286"/>
              <w:spacing w:before="97" w:line="195" w:lineRule="auto"/>
              <w:rPr/>
            </w:pPr>
            <w:r>
              <w:rPr>
                <w:spacing w:val="4"/>
              </w:rPr>
              <w:t>29.3</w:t>
            </w:r>
          </w:p>
        </w:tc>
        <w:tc>
          <w:tcPr>
            <w:tcW w:w="940" w:type="dxa"/>
            <w:vAlign w:val="top"/>
          </w:tcPr>
          <w:p>
            <w:pPr>
              <w:pStyle w:val="TableText"/>
              <w:ind w:left="289"/>
              <w:spacing w:before="97" w:line="195" w:lineRule="auto"/>
              <w:rPr/>
            </w:pPr>
            <w:r>
              <w:rPr>
                <w:spacing w:val="4"/>
              </w:rPr>
              <w:t>21.2</w:t>
            </w:r>
          </w:p>
        </w:tc>
        <w:tc>
          <w:tcPr>
            <w:tcW w:w="818" w:type="dxa"/>
            <w:vAlign w:val="top"/>
          </w:tcPr>
          <w:p>
            <w:pPr>
              <w:pStyle w:val="TableText"/>
              <w:ind w:left="247"/>
              <w:spacing w:before="97" w:line="195" w:lineRule="auto"/>
              <w:rPr/>
            </w:pPr>
            <w:r>
              <w:rPr>
                <w:spacing w:val="-2"/>
              </w:rPr>
              <w:t>17.7</w:t>
            </w:r>
          </w:p>
        </w:tc>
        <w:tc>
          <w:tcPr>
            <w:tcW w:w="816" w:type="dxa"/>
            <w:vAlign w:val="top"/>
          </w:tcPr>
          <w:p>
            <w:pPr>
              <w:pStyle w:val="TableText"/>
              <w:ind w:left="277"/>
              <w:spacing w:before="97" w:line="195" w:lineRule="auto"/>
              <w:rPr/>
            </w:pPr>
            <w:r>
              <w:rPr>
                <w:spacing w:val="3"/>
              </w:rPr>
              <w:t>4.5</w:t>
            </w:r>
          </w:p>
        </w:tc>
        <w:tc>
          <w:tcPr>
            <w:tcW w:w="1291" w:type="dxa"/>
            <w:vAlign w:val="top"/>
          </w:tcPr>
          <w:p>
            <w:pPr>
              <w:pStyle w:val="TableText"/>
              <w:ind w:left="467"/>
              <w:spacing w:before="97" w:line="195" w:lineRule="auto"/>
              <w:rPr/>
            </w:pPr>
            <w:r>
              <w:rPr>
                <w:spacing w:val="3"/>
              </w:rPr>
              <w:t>33.7</w:t>
            </w:r>
          </w:p>
        </w:tc>
      </w:tr>
      <w:tr>
        <w:trPr>
          <w:trHeight w:val="340" w:hRule="atLeast"/>
        </w:trPr>
        <w:tc>
          <w:tcPr>
            <w:tcW w:w="936" w:type="dxa"/>
            <w:vAlign w:val="top"/>
            <w:vMerge w:val="restart"/>
            <w:tcBorders>
              <w:bottom w:val="nil"/>
            </w:tcBorders>
          </w:tcPr>
          <w:p>
            <w:pPr>
              <w:ind w:left="260"/>
              <w:spacing w:before="287" w:line="229" w:lineRule="auto"/>
              <w:rPr>
                <w:rFonts w:ascii="SimSun" w:hAnsi="SimSun" w:eastAsia="SimSun" w:cs="SimSun"/>
                <w:sz w:val="20"/>
                <w:szCs w:val="20"/>
              </w:rPr>
            </w:pPr>
            <w:r>
              <w:rPr>
                <w:rFonts w:ascii="SimSun" w:hAnsi="SimSun" w:eastAsia="SimSun" w:cs="SimSun"/>
                <w:sz w:val="20"/>
                <w:szCs w:val="20"/>
                <w:spacing w:val="5"/>
              </w:rPr>
              <w:t>气压</w:t>
            </w:r>
          </w:p>
          <w:p>
            <w:pPr>
              <w:pStyle w:val="TableText"/>
              <w:ind w:left="305"/>
              <w:spacing w:before="40" w:line="199" w:lineRule="auto"/>
              <w:rPr/>
            </w:pPr>
            <w:r>
              <w:rPr>
                <w:spacing w:val="4"/>
              </w:rPr>
              <w:t>hPa</w:t>
            </w:r>
          </w:p>
        </w:tc>
        <w:tc>
          <w:tcPr>
            <w:tcW w:w="1120" w:type="dxa"/>
            <w:vAlign w:val="top"/>
          </w:tcPr>
          <w:p>
            <w:pPr>
              <w:ind w:left="350"/>
              <w:spacing w:before="62" w:line="228" w:lineRule="auto"/>
              <w:rPr>
                <w:rFonts w:ascii="SimSun" w:hAnsi="SimSun" w:eastAsia="SimSun" w:cs="SimSun"/>
                <w:sz w:val="20"/>
                <w:szCs w:val="20"/>
              </w:rPr>
            </w:pPr>
            <w:r>
              <w:rPr>
                <w:rFonts w:ascii="SimSun" w:hAnsi="SimSun" w:eastAsia="SimSun" w:cs="SimSun"/>
                <w:sz w:val="20"/>
                <w:szCs w:val="20"/>
                <w:spacing w:val="5"/>
              </w:rPr>
              <w:t>平均</w:t>
            </w:r>
          </w:p>
        </w:tc>
        <w:tc>
          <w:tcPr>
            <w:tcW w:w="739" w:type="dxa"/>
            <w:vAlign w:val="top"/>
          </w:tcPr>
          <w:p>
            <w:pPr>
              <w:pStyle w:val="TableText"/>
              <w:ind w:left="136"/>
              <w:spacing w:before="97" w:line="195" w:lineRule="auto"/>
              <w:rPr/>
            </w:pPr>
            <w:r>
              <w:rPr>
                <w:spacing w:val="3"/>
              </w:rPr>
              <w:t>903.6</w:t>
            </w:r>
          </w:p>
        </w:tc>
        <w:tc>
          <w:tcPr>
            <w:tcW w:w="936" w:type="dxa"/>
            <w:vAlign w:val="top"/>
          </w:tcPr>
          <w:p>
            <w:pPr>
              <w:pStyle w:val="TableText"/>
              <w:ind w:left="234"/>
              <w:spacing w:before="97" w:line="195" w:lineRule="auto"/>
              <w:rPr/>
            </w:pPr>
            <w:r>
              <w:rPr>
                <w:spacing w:val="2"/>
              </w:rPr>
              <w:t>903.9</w:t>
            </w:r>
          </w:p>
        </w:tc>
        <w:tc>
          <w:tcPr>
            <w:tcW w:w="938" w:type="dxa"/>
            <w:vAlign w:val="top"/>
          </w:tcPr>
          <w:p>
            <w:pPr>
              <w:pStyle w:val="TableText"/>
              <w:ind w:left="234"/>
              <w:spacing w:before="97" w:line="195" w:lineRule="auto"/>
              <w:rPr/>
            </w:pPr>
            <w:r>
              <w:rPr>
                <w:spacing w:val="3"/>
              </w:rPr>
              <w:t>900.2</w:t>
            </w:r>
          </w:p>
        </w:tc>
        <w:tc>
          <w:tcPr>
            <w:tcW w:w="940" w:type="dxa"/>
            <w:vAlign w:val="top"/>
          </w:tcPr>
          <w:p>
            <w:pPr>
              <w:pStyle w:val="TableText"/>
              <w:ind w:left="241"/>
              <w:spacing w:before="97" w:line="195" w:lineRule="auto"/>
              <w:rPr/>
            </w:pPr>
            <w:r>
              <w:rPr>
                <w:spacing w:val="2"/>
              </w:rPr>
              <w:t>897.9</w:t>
            </w:r>
          </w:p>
        </w:tc>
        <w:tc>
          <w:tcPr>
            <w:tcW w:w="940" w:type="dxa"/>
            <w:vAlign w:val="top"/>
          </w:tcPr>
          <w:p>
            <w:pPr>
              <w:pStyle w:val="TableText"/>
              <w:ind w:left="242"/>
              <w:spacing w:before="97" w:line="195" w:lineRule="auto"/>
              <w:rPr/>
            </w:pPr>
            <w:r>
              <w:rPr>
                <w:spacing w:val="2"/>
              </w:rPr>
              <w:t>897.7</w:t>
            </w:r>
          </w:p>
        </w:tc>
        <w:tc>
          <w:tcPr>
            <w:tcW w:w="938" w:type="dxa"/>
            <w:vAlign w:val="top"/>
          </w:tcPr>
          <w:p>
            <w:pPr>
              <w:pStyle w:val="TableText"/>
              <w:ind w:left="241"/>
              <w:spacing w:before="97" w:line="195" w:lineRule="auto"/>
              <w:rPr/>
            </w:pPr>
            <w:r>
              <w:rPr>
                <w:spacing w:val="2"/>
              </w:rPr>
              <w:t>894.7</w:t>
            </w:r>
          </w:p>
        </w:tc>
        <w:tc>
          <w:tcPr>
            <w:tcW w:w="940" w:type="dxa"/>
            <w:vAlign w:val="top"/>
          </w:tcPr>
          <w:p>
            <w:pPr>
              <w:pStyle w:val="TableText"/>
              <w:ind w:left="243"/>
              <w:spacing w:before="97" w:line="195" w:lineRule="auto"/>
              <w:rPr/>
            </w:pPr>
            <w:r>
              <w:rPr>
                <w:spacing w:val="2"/>
              </w:rPr>
              <w:t>882.8</w:t>
            </w:r>
          </w:p>
        </w:tc>
        <w:tc>
          <w:tcPr>
            <w:tcW w:w="941" w:type="dxa"/>
            <w:vAlign w:val="top"/>
          </w:tcPr>
          <w:p>
            <w:pPr>
              <w:pStyle w:val="TableText"/>
              <w:ind w:left="244"/>
              <w:spacing w:before="97" w:line="195" w:lineRule="auto"/>
              <w:rPr/>
            </w:pPr>
            <w:r>
              <w:rPr>
                <w:spacing w:val="2"/>
              </w:rPr>
              <w:t>898.7</w:t>
            </w:r>
          </w:p>
        </w:tc>
        <w:tc>
          <w:tcPr>
            <w:tcW w:w="938" w:type="dxa"/>
            <w:vAlign w:val="top"/>
          </w:tcPr>
          <w:p>
            <w:pPr>
              <w:pStyle w:val="TableText"/>
              <w:ind w:left="237"/>
              <w:spacing w:before="97" w:line="195" w:lineRule="auto"/>
              <w:rPr/>
            </w:pPr>
            <w:r>
              <w:rPr>
                <w:spacing w:val="3"/>
              </w:rPr>
              <w:t>902.9</w:t>
            </w:r>
          </w:p>
        </w:tc>
        <w:tc>
          <w:tcPr>
            <w:tcW w:w="940" w:type="dxa"/>
            <w:vAlign w:val="top"/>
          </w:tcPr>
          <w:p>
            <w:pPr>
              <w:pStyle w:val="TableText"/>
              <w:ind w:left="240"/>
              <w:spacing w:before="97" w:line="195" w:lineRule="auto"/>
              <w:rPr/>
            </w:pPr>
            <w:r>
              <w:rPr>
                <w:spacing w:val="2"/>
              </w:rPr>
              <w:t>904.</w:t>
            </w:r>
            <w:r>
              <w:rPr>
                <w:spacing w:val="-23"/>
              </w:rPr>
              <w:t xml:space="preserve"> </w:t>
            </w:r>
            <w:r>
              <w:rPr>
                <w:spacing w:val="2"/>
              </w:rPr>
              <w:t>1</w:t>
            </w:r>
          </w:p>
        </w:tc>
        <w:tc>
          <w:tcPr>
            <w:tcW w:w="818" w:type="dxa"/>
            <w:vAlign w:val="top"/>
          </w:tcPr>
          <w:p>
            <w:pPr>
              <w:pStyle w:val="TableText"/>
              <w:ind w:left="178"/>
              <w:spacing w:before="97" w:line="195" w:lineRule="auto"/>
              <w:rPr/>
            </w:pPr>
            <w:r>
              <w:rPr>
                <w:spacing w:val="3"/>
              </w:rPr>
              <w:t>904.5</w:t>
            </w:r>
          </w:p>
        </w:tc>
        <w:tc>
          <w:tcPr>
            <w:tcW w:w="816" w:type="dxa"/>
            <w:vAlign w:val="top"/>
          </w:tcPr>
          <w:p>
            <w:pPr>
              <w:pStyle w:val="TableText"/>
              <w:ind w:left="179"/>
              <w:spacing w:before="97" w:line="195" w:lineRule="auto"/>
              <w:rPr/>
            </w:pPr>
            <w:r>
              <w:rPr>
                <w:spacing w:val="3"/>
              </w:rPr>
              <w:t>907.9</w:t>
            </w:r>
          </w:p>
        </w:tc>
        <w:tc>
          <w:tcPr>
            <w:tcW w:w="1291" w:type="dxa"/>
            <w:vAlign w:val="top"/>
          </w:tcPr>
          <w:p>
            <w:pPr>
              <w:pStyle w:val="TableText"/>
              <w:ind w:left="414"/>
              <w:spacing w:before="97" w:line="195" w:lineRule="auto"/>
              <w:rPr/>
            </w:pPr>
            <w:r>
              <w:rPr>
                <w:spacing w:val="3"/>
              </w:rPr>
              <w:t>900.9</w:t>
            </w:r>
          </w:p>
        </w:tc>
      </w:tr>
      <w:tr>
        <w:trPr>
          <w:trHeight w:val="340" w:hRule="atLeast"/>
        </w:trPr>
        <w:tc>
          <w:tcPr>
            <w:tcW w:w="936" w:type="dxa"/>
            <w:vAlign w:val="top"/>
            <w:vMerge w:val="continue"/>
            <w:tcBorders>
              <w:top w:val="nil"/>
              <w:bottom w:val="nil"/>
            </w:tcBorders>
          </w:tcPr>
          <w:p>
            <w:pPr>
              <w:rPr>
                <w:rFonts w:ascii="Arial"/>
                <w:sz w:val="21"/>
              </w:rPr>
            </w:pPr>
            <w:r/>
          </w:p>
        </w:tc>
        <w:tc>
          <w:tcPr>
            <w:tcW w:w="1120" w:type="dxa"/>
            <w:vAlign w:val="top"/>
          </w:tcPr>
          <w:p>
            <w:pPr>
              <w:ind w:left="144"/>
              <w:spacing w:before="61" w:line="228" w:lineRule="auto"/>
              <w:rPr>
                <w:rFonts w:ascii="SimSun" w:hAnsi="SimSun" w:eastAsia="SimSun" w:cs="SimSun"/>
                <w:sz w:val="20"/>
                <w:szCs w:val="20"/>
              </w:rPr>
            </w:pPr>
            <w:r>
              <w:rPr>
                <w:rFonts w:ascii="SimSun" w:hAnsi="SimSun" w:eastAsia="SimSun" w:cs="SimSun"/>
                <w:sz w:val="20"/>
                <w:szCs w:val="20"/>
                <w:spacing w:val="6"/>
              </w:rPr>
              <w:t>极端最低</w:t>
            </w:r>
          </w:p>
        </w:tc>
        <w:tc>
          <w:tcPr>
            <w:tcW w:w="739" w:type="dxa"/>
            <w:vAlign w:val="top"/>
          </w:tcPr>
          <w:p>
            <w:pPr>
              <w:pStyle w:val="TableText"/>
              <w:ind w:left="140"/>
              <w:spacing w:before="98" w:line="195" w:lineRule="auto"/>
              <w:rPr/>
            </w:pPr>
            <w:r>
              <w:rPr>
                <w:spacing w:val="2"/>
              </w:rPr>
              <w:t>882.5</w:t>
            </w:r>
          </w:p>
        </w:tc>
        <w:tc>
          <w:tcPr>
            <w:tcW w:w="936" w:type="dxa"/>
            <w:vAlign w:val="top"/>
          </w:tcPr>
          <w:p>
            <w:pPr>
              <w:pStyle w:val="TableText"/>
              <w:ind w:left="318"/>
              <w:spacing w:before="98" w:line="195" w:lineRule="auto"/>
              <w:rPr/>
            </w:pPr>
            <w:r>
              <w:rPr>
                <w:spacing w:val="1"/>
              </w:rPr>
              <w:t>892</w:t>
            </w:r>
          </w:p>
        </w:tc>
        <w:tc>
          <w:tcPr>
            <w:tcW w:w="938" w:type="dxa"/>
            <w:vAlign w:val="top"/>
          </w:tcPr>
          <w:p>
            <w:pPr>
              <w:pStyle w:val="TableText"/>
              <w:ind w:left="318"/>
              <w:spacing w:before="98" w:line="195" w:lineRule="auto"/>
              <w:rPr/>
            </w:pPr>
            <w:r>
              <w:rPr>
                <w:spacing w:val="1"/>
              </w:rPr>
              <w:t>882</w:t>
            </w:r>
          </w:p>
        </w:tc>
        <w:tc>
          <w:tcPr>
            <w:tcW w:w="940" w:type="dxa"/>
            <w:vAlign w:val="top"/>
          </w:tcPr>
          <w:p>
            <w:pPr>
              <w:pStyle w:val="TableText"/>
              <w:ind w:left="241"/>
              <w:spacing w:before="98" w:line="195" w:lineRule="auto"/>
              <w:rPr/>
            </w:pPr>
            <w:r>
              <w:rPr>
                <w:spacing w:val="2"/>
              </w:rPr>
              <w:t>877.0</w:t>
            </w:r>
          </w:p>
        </w:tc>
        <w:tc>
          <w:tcPr>
            <w:tcW w:w="940" w:type="dxa"/>
            <w:vAlign w:val="top"/>
          </w:tcPr>
          <w:p>
            <w:pPr>
              <w:pStyle w:val="TableText"/>
              <w:ind w:left="242"/>
              <w:spacing w:before="98" w:line="195" w:lineRule="auto"/>
              <w:rPr/>
            </w:pPr>
            <w:r>
              <w:rPr>
                <w:spacing w:val="2"/>
              </w:rPr>
              <w:t>884.9</w:t>
            </w:r>
          </w:p>
        </w:tc>
        <w:tc>
          <w:tcPr>
            <w:tcW w:w="938" w:type="dxa"/>
            <w:vAlign w:val="top"/>
          </w:tcPr>
          <w:p>
            <w:pPr>
              <w:pStyle w:val="TableText"/>
              <w:ind w:left="241"/>
              <w:spacing w:before="98" w:line="195" w:lineRule="auto"/>
              <w:rPr/>
            </w:pPr>
            <w:r>
              <w:rPr>
                <w:spacing w:val="2"/>
              </w:rPr>
              <w:t>882.2</w:t>
            </w:r>
          </w:p>
        </w:tc>
        <w:tc>
          <w:tcPr>
            <w:tcW w:w="940" w:type="dxa"/>
            <w:vAlign w:val="top"/>
          </w:tcPr>
          <w:p>
            <w:pPr>
              <w:pStyle w:val="TableText"/>
              <w:ind w:left="243"/>
              <w:spacing w:before="98" w:line="195" w:lineRule="auto"/>
              <w:rPr/>
            </w:pPr>
            <w:r>
              <w:rPr>
                <w:spacing w:val="2"/>
              </w:rPr>
              <w:t>884.2</w:t>
            </w:r>
          </w:p>
        </w:tc>
        <w:tc>
          <w:tcPr>
            <w:tcW w:w="941" w:type="dxa"/>
            <w:vAlign w:val="top"/>
          </w:tcPr>
          <w:p>
            <w:pPr>
              <w:pStyle w:val="TableText"/>
              <w:ind w:left="244"/>
              <w:spacing w:before="98" w:line="195" w:lineRule="auto"/>
              <w:rPr/>
            </w:pPr>
            <w:r>
              <w:rPr>
                <w:spacing w:val="2"/>
              </w:rPr>
              <w:t>889.7</w:t>
            </w:r>
          </w:p>
        </w:tc>
        <w:tc>
          <w:tcPr>
            <w:tcW w:w="938" w:type="dxa"/>
            <w:vAlign w:val="top"/>
          </w:tcPr>
          <w:p>
            <w:pPr>
              <w:pStyle w:val="TableText"/>
              <w:ind w:left="242"/>
              <w:spacing w:before="98" w:line="195" w:lineRule="auto"/>
              <w:rPr/>
            </w:pPr>
            <w:r>
              <w:rPr>
                <w:spacing w:val="2"/>
              </w:rPr>
              <w:t>888.2</w:t>
            </w:r>
          </w:p>
        </w:tc>
        <w:tc>
          <w:tcPr>
            <w:tcW w:w="940" w:type="dxa"/>
            <w:vAlign w:val="top"/>
          </w:tcPr>
          <w:p>
            <w:pPr>
              <w:pStyle w:val="TableText"/>
              <w:ind w:left="324"/>
              <w:spacing w:before="98" w:line="195" w:lineRule="auto"/>
              <w:rPr/>
            </w:pPr>
            <w:r>
              <w:rPr/>
              <w:t>896</w:t>
            </w:r>
          </w:p>
        </w:tc>
        <w:tc>
          <w:tcPr>
            <w:tcW w:w="818" w:type="dxa"/>
            <w:vAlign w:val="top"/>
          </w:tcPr>
          <w:p>
            <w:pPr>
              <w:pStyle w:val="TableText"/>
              <w:ind w:left="183"/>
              <w:spacing w:before="98" w:line="195" w:lineRule="auto"/>
              <w:rPr/>
            </w:pPr>
            <w:r>
              <w:rPr>
                <w:spacing w:val="2"/>
              </w:rPr>
              <w:t>884.2</w:t>
            </w:r>
          </w:p>
        </w:tc>
        <w:tc>
          <w:tcPr>
            <w:tcW w:w="816" w:type="dxa"/>
            <w:vAlign w:val="top"/>
          </w:tcPr>
          <w:p>
            <w:pPr>
              <w:pStyle w:val="TableText"/>
              <w:ind w:left="183"/>
              <w:spacing w:before="98" w:line="195" w:lineRule="auto"/>
              <w:rPr/>
            </w:pPr>
            <w:r>
              <w:rPr>
                <w:spacing w:val="2"/>
              </w:rPr>
              <w:t>888.0</w:t>
            </w:r>
          </w:p>
        </w:tc>
        <w:tc>
          <w:tcPr>
            <w:tcW w:w="1291" w:type="dxa"/>
            <w:vAlign w:val="top"/>
          </w:tcPr>
          <w:p>
            <w:pPr>
              <w:pStyle w:val="TableText"/>
              <w:ind w:left="418"/>
              <w:spacing w:before="98" w:line="195" w:lineRule="auto"/>
              <w:rPr/>
            </w:pPr>
            <w:r>
              <w:rPr>
                <w:spacing w:val="2"/>
              </w:rPr>
              <w:t>877.0</w:t>
            </w:r>
          </w:p>
        </w:tc>
      </w:tr>
      <w:tr>
        <w:trPr>
          <w:trHeight w:val="340" w:hRule="atLeast"/>
        </w:trPr>
        <w:tc>
          <w:tcPr>
            <w:tcW w:w="936" w:type="dxa"/>
            <w:vAlign w:val="top"/>
            <w:vMerge w:val="continue"/>
            <w:tcBorders>
              <w:top w:val="nil"/>
            </w:tcBorders>
          </w:tcPr>
          <w:p>
            <w:pPr>
              <w:rPr>
                <w:rFonts w:ascii="Arial"/>
                <w:sz w:val="21"/>
              </w:rPr>
            </w:pPr>
            <w:r/>
          </w:p>
        </w:tc>
        <w:tc>
          <w:tcPr>
            <w:tcW w:w="1120" w:type="dxa"/>
            <w:vAlign w:val="top"/>
          </w:tcPr>
          <w:p>
            <w:pPr>
              <w:ind w:left="144"/>
              <w:spacing w:before="60" w:line="228" w:lineRule="auto"/>
              <w:rPr>
                <w:rFonts w:ascii="SimSun" w:hAnsi="SimSun" w:eastAsia="SimSun" w:cs="SimSun"/>
                <w:sz w:val="20"/>
                <w:szCs w:val="20"/>
              </w:rPr>
            </w:pPr>
            <w:r>
              <w:rPr>
                <w:rFonts w:ascii="SimSun" w:hAnsi="SimSun" w:eastAsia="SimSun" w:cs="SimSun"/>
                <w:sz w:val="20"/>
                <w:szCs w:val="20"/>
                <w:spacing w:val="6"/>
              </w:rPr>
              <w:t>极端最高</w:t>
            </w:r>
          </w:p>
        </w:tc>
        <w:tc>
          <w:tcPr>
            <w:tcW w:w="739" w:type="dxa"/>
            <w:vAlign w:val="top"/>
          </w:tcPr>
          <w:p>
            <w:pPr>
              <w:pStyle w:val="TableText"/>
              <w:ind w:left="136"/>
              <w:spacing w:before="98" w:line="195" w:lineRule="auto"/>
              <w:rPr/>
            </w:pPr>
            <w:r>
              <w:rPr>
                <w:spacing w:val="3"/>
              </w:rPr>
              <w:t>914.3</w:t>
            </w:r>
          </w:p>
        </w:tc>
        <w:tc>
          <w:tcPr>
            <w:tcW w:w="936" w:type="dxa"/>
            <w:vAlign w:val="top"/>
          </w:tcPr>
          <w:p>
            <w:pPr>
              <w:pStyle w:val="TableText"/>
              <w:ind w:left="313"/>
              <w:spacing w:before="98" w:line="195" w:lineRule="auto"/>
              <w:rPr/>
            </w:pPr>
            <w:r>
              <w:rPr>
                <w:spacing w:val="3"/>
              </w:rPr>
              <w:t>917</w:t>
            </w:r>
          </w:p>
        </w:tc>
        <w:tc>
          <w:tcPr>
            <w:tcW w:w="938" w:type="dxa"/>
            <w:vAlign w:val="top"/>
          </w:tcPr>
          <w:p>
            <w:pPr>
              <w:pStyle w:val="TableText"/>
              <w:ind w:left="234"/>
              <w:spacing w:before="98" w:line="195" w:lineRule="auto"/>
              <w:rPr/>
            </w:pPr>
            <w:r>
              <w:rPr>
                <w:spacing w:val="3"/>
              </w:rPr>
              <w:t>920.2</w:t>
            </w:r>
          </w:p>
        </w:tc>
        <w:tc>
          <w:tcPr>
            <w:tcW w:w="940" w:type="dxa"/>
            <w:vAlign w:val="top"/>
          </w:tcPr>
          <w:p>
            <w:pPr>
              <w:pStyle w:val="TableText"/>
              <w:ind w:left="237"/>
              <w:spacing w:before="98" w:line="195" w:lineRule="auto"/>
              <w:rPr/>
            </w:pPr>
            <w:r>
              <w:rPr>
                <w:spacing w:val="3"/>
              </w:rPr>
              <w:t>910.3</w:t>
            </w:r>
          </w:p>
        </w:tc>
        <w:tc>
          <w:tcPr>
            <w:tcW w:w="940" w:type="dxa"/>
            <w:vAlign w:val="top"/>
          </w:tcPr>
          <w:p>
            <w:pPr>
              <w:pStyle w:val="TableText"/>
              <w:ind w:left="238"/>
              <w:spacing w:before="98" w:line="195" w:lineRule="auto"/>
              <w:rPr/>
            </w:pPr>
            <w:r>
              <w:rPr>
                <w:spacing w:val="3"/>
              </w:rPr>
              <w:t>912.9</w:t>
            </w:r>
          </w:p>
        </w:tc>
        <w:tc>
          <w:tcPr>
            <w:tcW w:w="938" w:type="dxa"/>
            <w:vAlign w:val="top"/>
          </w:tcPr>
          <w:p>
            <w:pPr>
              <w:pStyle w:val="TableText"/>
              <w:ind w:left="236"/>
              <w:spacing w:before="98" w:line="195" w:lineRule="auto"/>
              <w:rPr/>
            </w:pPr>
            <w:r>
              <w:rPr>
                <w:spacing w:val="3"/>
              </w:rPr>
              <w:t>901.8</w:t>
            </w:r>
          </w:p>
        </w:tc>
        <w:tc>
          <w:tcPr>
            <w:tcW w:w="940" w:type="dxa"/>
            <w:vAlign w:val="top"/>
          </w:tcPr>
          <w:p>
            <w:pPr>
              <w:pStyle w:val="TableText"/>
              <w:ind w:left="239"/>
              <w:spacing w:before="98" w:line="195" w:lineRule="auto"/>
              <w:rPr/>
            </w:pPr>
            <w:r>
              <w:rPr>
                <w:spacing w:val="3"/>
              </w:rPr>
              <w:t>906.2</w:t>
            </w:r>
          </w:p>
        </w:tc>
        <w:tc>
          <w:tcPr>
            <w:tcW w:w="941" w:type="dxa"/>
            <w:vAlign w:val="top"/>
          </w:tcPr>
          <w:p>
            <w:pPr>
              <w:pStyle w:val="TableText"/>
              <w:ind w:left="240"/>
              <w:spacing w:before="98" w:line="195" w:lineRule="auto"/>
              <w:rPr/>
            </w:pPr>
            <w:r>
              <w:rPr>
                <w:spacing w:val="3"/>
              </w:rPr>
              <w:t>907.6</w:t>
            </w:r>
          </w:p>
        </w:tc>
        <w:tc>
          <w:tcPr>
            <w:tcW w:w="938" w:type="dxa"/>
            <w:vAlign w:val="top"/>
          </w:tcPr>
          <w:p>
            <w:pPr>
              <w:pStyle w:val="TableText"/>
              <w:ind w:left="237"/>
              <w:spacing w:before="98" w:line="195" w:lineRule="auto"/>
              <w:rPr/>
            </w:pPr>
            <w:r>
              <w:rPr>
                <w:spacing w:val="3"/>
              </w:rPr>
              <w:t>916.0</w:t>
            </w:r>
          </w:p>
        </w:tc>
        <w:tc>
          <w:tcPr>
            <w:tcW w:w="940" w:type="dxa"/>
            <w:vAlign w:val="top"/>
          </w:tcPr>
          <w:p>
            <w:pPr>
              <w:pStyle w:val="TableText"/>
              <w:ind w:left="240"/>
              <w:spacing w:before="98" w:line="195" w:lineRule="auto"/>
              <w:rPr/>
            </w:pPr>
            <w:r>
              <w:rPr>
                <w:spacing w:val="3"/>
              </w:rPr>
              <w:t>915.9</w:t>
            </w:r>
          </w:p>
        </w:tc>
        <w:tc>
          <w:tcPr>
            <w:tcW w:w="818" w:type="dxa"/>
            <w:vAlign w:val="top"/>
          </w:tcPr>
          <w:p>
            <w:pPr>
              <w:pStyle w:val="TableText"/>
              <w:ind w:left="178"/>
              <w:spacing w:before="98" w:line="195" w:lineRule="auto"/>
              <w:rPr/>
            </w:pPr>
            <w:r>
              <w:rPr>
                <w:spacing w:val="3"/>
              </w:rPr>
              <w:t>919.5</w:t>
            </w:r>
          </w:p>
        </w:tc>
        <w:tc>
          <w:tcPr>
            <w:tcW w:w="816" w:type="dxa"/>
            <w:vAlign w:val="top"/>
          </w:tcPr>
          <w:p>
            <w:pPr>
              <w:pStyle w:val="TableText"/>
              <w:ind w:left="179"/>
              <w:spacing w:before="98" w:line="195" w:lineRule="auto"/>
              <w:rPr/>
            </w:pPr>
            <w:r>
              <w:rPr>
                <w:spacing w:val="3"/>
              </w:rPr>
              <w:t>920.3</w:t>
            </w:r>
          </w:p>
        </w:tc>
        <w:tc>
          <w:tcPr>
            <w:tcW w:w="1291" w:type="dxa"/>
            <w:vAlign w:val="top"/>
          </w:tcPr>
          <w:p>
            <w:pPr>
              <w:pStyle w:val="TableText"/>
              <w:ind w:left="414"/>
              <w:spacing w:before="98" w:line="195" w:lineRule="auto"/>
              <w:rPr/>
            </w:pPr>
            <w:r>
              <w:rPr>
                <w:spacing w:val="3"/>
              </w:rPr>
              <w:t>920.3</w:t>
            </w:r>
          </w:p>
        </w:tc>
      </w:tr>
      <w:tr>
        <w:trPr>
          <w:trHeight w:val="544" w:hRule="atLeast"/>
        </w:trPr>
        <w:tc>
          <w:tcPr>
            <w:tcW w:w="936" w:type="dxa"/>
            <w:vAlign w:val="top"/>
          </w:tcPr>
          <w:p>
            <w:pPr>
              <w:pStyle w:val="TableText"/>
              <w:ind w:left="275" w:right="155" w:hanging="121"/>
              <w:spacing w:before="27" w:line="234" w:lineRule="auto"/>
              <w:rPr/>
            </w:pPr>
            <w:r>
              <w:rPr>
                <w:rFonts w:ascii="SimSun" w:hAnsi="SimSun" w:eastAsia="SimSun" w:cs="SimSun"/>
                <w:spacing w:val="6"/>
              </w:rPr>
              <w:t>相对湿</w:t>
            </w:r>
            <w:r>
              <w:rPr>
                <w:rFonts w:ascii="SimSun" w:hAnsi="SimSun" w:eastAsia="SimSun" w:cs="SimSun"/>
                <w:spacing w:val="5"/>
              </w:rPr>
              <w:t>度</w:t>
            </w:r>
            <w:r>
              <w:rPr>
                <w:spacing w:val="5"/>
              </w:rPr>
              <w:t>%</w:t>
            </w:r>
          </w:p>
        </w:tc>
        <w:tc>
          <w:tcPr>
            <w:tcW w:w="1120" w:type="dxa"/>
            <w:vAlign w:val="top"/>
          </w:tcPr>
          <w:p>
            <w:pPr>
              <w:ind w:left="350"/>
              <w:spacing w:before="164" w:line="228" w:lineRule="auto"/>
              <w:rPr>
                <w:rFonts w:ascii="SimSun" w:hAnsi="SimSun" w:eastAsia="SimSun" w:cs="SimSun"/>
                <w:sz w:val="20"/>
                <w:szCs w:val="20"/>
              </w:rPr>
            </w:pPr>
            <w:r>
              <w:rPr>
                <w:rFonts w:ascii="SimSun" w:hAnsi="SimSun" w:eastAsia="SimSun" w:cs="SimSun"/>
                <w:sz w:val="20"/>
                <w:szCs w:val="20"/>
                <w:spacing w:val="5"/>
              </w:rPr>
              <w:t>平均</w:t>
            </w:r>
          </w:p>
        </w:tc>
        <w:tc>
          <w:tcPr>
            <w:tcW w:w="739" w:type="dxa"/>
            <w:vAlign w:val="top"/>
          </w:tcPr>
          <w:p>
            <w:pPr>
              <w:pStyle w:val="TableText"/>
              <w:ind w:left="267"/>
              <w:spacing w:before="200" w:line="195" w:lineRule="auto"/>
              <w:rPr/>
            </w:pPr>
            <w:r>
              <w:rPr>
                <w:spacing w:val="1"/>
              </w:rPr>
              <w:t>74</w:t>
            </w:r>
          </w:p>
        </w:tc>
        <w:tc>
          <w:tcPr>
            <w:tcW w:w="936" w:type="dxa"/>
            <w:vAlign w:val="top"/>
          </w:tcPr>
          <w:p>
            <w:pPr>
              <w:pStyle w:val="TableText"/>
              <w:ind w:left="364"/>
              <w:spacing w:before="200" w:line="195" w:lineRule="auto"/>
              <w:rPr/>
            </w:pPr>
            <w:r>
              <w:rPr/>
              <w:t>67</w:t>
            </w:r>
          </w:p>
        </w:tc>
        <w:tc>
          <w:tcPr>
            <w:tcW w:w="938" w:type="dxa"/>
            <w:vAlign w:val="top"/>
          </w:tcPr>
          <w:p>
            <w:pPr>
              <w:pStyle w:val="TableText"/>
              <w:ind w:left="367"/>
              <w:spacing w:before="200" w:line="195" w:lineRule="auto"/>
              <w:rPr/>
            </w:pPr>
            <w:r>
              <w:rPr/>
              <w:t>60</w:t>
            </w:r>
          </w:p>
        </w:tc>
        <w:tc>
          <w:tcPr>
            <w:tcW w:w="940" w:type="dxa"/>
            <w:vAlign w:val="top"/>
          </w:tcPr>
          <w:p>
            <w:pPr>
              <w:pStyle w:val="TableText"/>
              <w:ind w:left="364"/>
              <w:spacing w:before="200" w:line="195" w:lineRule="auto"/>
              <w:rPr/>
            </w:pPr>
            <w:r>
              <w:rPr>
                <w:spacing w:val="3"/>
              </w:rPr>
              <w:t>44</w:t>
            </w:r>
          </w:p>
        </w:tc>
        <w:tc>
          <w:tcPr>
            <w:tcW w:w="940" w:type="dxa"/>
            <w:vAlign w:val="top"/>
          </w:tcPr>
          <w:p>
            <w:pPr>
              <w:pStyle w:val="TableText"/>
              <w:ind w:left="365"/>
              <w:spacing w:before="200" w:line="195" w:lineRule="auto"/>
              <w:rPr/>
            </w:pPr>
            <w:r>
              <w:rPr>
                <w:spacing w:val="3"/>
              </w:rPr>
              <w:t>43</w:t>
            </w:r>
          </w:p>
        </w:tc>
        <w:tc>
          <w:tcPr>
            <w:tcW w:w="938" w:type="dxa"/>
            <w:vAlign w:val="top"/>
          </w:tcPr>
          <w:p>
            <w:pPr>
              <w:pStyle w:val="TableText"/>
              <w:ind w:left="370"/>
              <w:spacing w:before="200" w:line="195" w:lineRule="auto"/>
              <w:rPr/>
            </w:pPr>
            <w:r>
              <w:rPr/>
              <w:t>59</w:t>
            </w:r>
          </w:p>
        </w:tc>
        <w:tc>
          <w:tcPr>
            <w:tcW w:w="940" w:type="dxa"/>
            <w:vAlign w:val="top"/>
          </w:tcPr>
          <w:p>
            <w:pPr>
              <w:pStyle w:val="TableText"/>
              <w:ind w:left="372"/>
              <w:spacing w:before="200" w:line="195" w:lineRule="auto"/>
              <w:rPr/>
            </w:pPr>
            <w:r>
              <w:rPr/>
              <w:t>62</w:t>
            </w:r>
          </w:p>
        </w:tc>
        <w:tc>
          <w:tcPr>
            <w:tcW w:w="941" w:type="dxa"/>
            <w:vAlign w:val="top"/>
          </w:tcPr>
          <w:p>
            <w:pPr>
              <w:pStyle w:val="TableText"/>
              <w:ind w:left="374"/>
              <w:spacing w:before="200" w:line="195" w:lineRule="auto"/>
              <w:rPr/>
            </w:pPr>
            <w:r>
              <w:rPr/>
              <w:t>59</w:t>
            </w:r>
          </w:p>
        </w:tc>
        <w:tc>
          <w:tcPr>
            <w:tcW w:w="938" w:type="dxa"/>
            <w:vAlign w:val="top"/>
          </w:tcPr>
          <w:p>
            <w:pPr>
              <w:pStyle w:val="TableText"/>
              <w:ind w:left="364"/>
              <w:spacing w:before="200" w:line="195" w:lineRule="auto"/>
              <w:rPr/>
            </w:pPr>
            <w:r>
              <w:rPr>
                <w:spacing w:val="3"/>
              </w:rPr>
              <w:t>49</w:t>
            </w:r>
          </w:p>
        </w:tc>
        <w:tc>
          <w:tcPr>
            <w:tcW w:w="940" w:type="dxa"/>
            <w:vAlign w:val="top"/>
          </w:tcPr>
          <w:p>
            <w:pPr>
              <w:pStyle w:val="TableText"/>
              <w:ind w:left="374"/>
              <w:spacing w:before="200" w:line="195" w:lineRule="auto"/>
              <w:rPr/>
            </w:pPr>
            <w:r>
              <w:rPr/>
              <w:t>59</w:t>
            </w:r>
          </w:p>
        </w:tc>
        <w:tc>
          <w:tcPr>
            <w:tcW w:w="818" w:type="dxa"/>
            <w:vAlign w:val="top"/>
          </w:tcPr>
          <w:p>
            <w:pPr>
              <w:pStyle w:val="TableText"/>
              <w:ind w:left="311"/>
              <w:spacing w:before="200" w:line="195" w:lineRule="auto"/>
              <w:rPr/>
            </w:pPr>
            <w:r>
              <w:rPr>
                <w:spacing w:val="1"/>
              </w:rPr>
              <w:t>62</w:t>
            </w:r>
          </w:p>
        </w:tc>
        <w:tc>
          <w:tcPr>
            <w:tcW w:w="816" w:type="dxa"/>
            <w:vAlign w:val="top"/>
          </w:tcPr>
          <w:p>
            <w:pPr>
              <w:pStyle w:val="TableText"/>
              <w:ind w:left="311"/>
              <w:spacing w:before="200" w:line="195" w:lineRule="auto"/>
              <w:rPr/>
            </w:pPr>
            <w:r>
              <w:rPr/>
              <w:t>68</w:t>
            </w:r>
          </w:p>
        </w:tc>
        <w:tc>
          <w:tcPr>
            <w:tcW w:w="1291" w:type="dxa"/>
            <w:vAlign w:val="top"/>
          </w:tcPr>
          <w:p>
            <w:pPr>
              <w:pStyle w:val="TableText"/>
              <w:ind w:left="548"/>
              <w:spacing w:before="200" w:line="195" w:lineRule="auto"/>
              <w:rPr/>
            </w:pPr>
            <w:r>
              <w:rPr/>
              <w:t>59</w:t>
            </w:r>
          </w:p>
        </w:tc>
      </w:tr>
      <w:tr>
        <w:trPr>
          <w:trHeight w:val="340" w:hRule="atLeast"/>
        </w:trPr>
        <w:tc>
          <w:tcPr>
            <w:tcW w:w="936" w:type="dxa"/>
            <w:vAlign w:val="top"/>
            <w:vMerge w:val="restart"/>
            <w:tcBorders>
              <w:bottom w:val="nil"/>
            </w:tcBorders>
          </w:tcPr>
          <w:p>
            <w:pPr>
              <w:ind w:left="170"/>
              <w:spacing w:before="114" w:line="228" w:lineRule="auto"/>
              <w:rPr>
                <w:rFonts w:ascii="SimSun" w:hAnsi="SimSun" w:eastAsia="SimSun" w:cs="SimSun"/>
                <w:sz w:val="20"/>
                <w:szCs w:val="20"/>
              </w:rPr>
            </w:pPr>
            <w:r>
              <w:rPr>
                <w:rFonts w:ascii="SimSun" w:hAnsi="SimSun" w:eastAsia="SimSun" w:cs="SimSun"/>
                <w:sz w:val="20"/>
                <w:szCs w:val="20"/>
                <w:spacing w:val="1"/>
              </w:rPr>
              <w:t>降水量</w:t>
            </w:r>
          </w:p>
          <w:p>
            <w:pPr>
              <w:pStyle w:val="TableText"/>
              <w:ind w:left="299"/>
              <w:spacing w:before="92" w:line="140" w:lineRule="exact"/>
              <w:rPr/>
            </w:pPr>
            <w:r>
              <w:rPr>
                <w:spacing w:val="6"/>
              </w:rPr>
              <w:t>mm</w:t>
            </w:r>
          </w:p>
        </w:tc>
        <w:tc>
          <w:tcPr>
            <w:tcW w:w="1120" w:type="dxa"/>
            <w:vAlign w:val="top"/>
          </w:tcPr>
          <w:p>
            <w:pPr>
              <w:ind w:left="350"/>
              <w:spacing w:before="62" w:line="228" w:lineRule="auto"/>
              <w:rPr>
                <w:rFonts w:ascii="SimSun" w:hAnsi="SimSun" w:eastAsia="SimSun" w:cs="SimSun"/>
                <w:sz w:val="20"/>
                <w:szCs w:val="20"/>
              </w:rPr>
            </w:pPr>
            <w:r>
              <w:rPr>
                <w:rFonts w:ascii="SimSun" w:hAnsi="SimSun" w:eastAsia="SimSun" w:cs="SimSun"/>
                <w:sz w:val="20"/>
                <w:szCs w:val="20"/>
                <w:spacing w:val="5"/>
              </w:rPr>
              <w:t>平均</w:t>
            </w:r>
          </w:p>
        </w:tc>
        <w:tc>
          <w:tcPr>
            <w:tcW w:w="739" w:type="dxa"/>
            <w:vAlign w:val="top"/>
          </w:tcPr>
          <w:p>
            <w:pPr>
              <w:pStyle w:val="TableText"/>
              <w:ind w:left="243"/>
              <w:spacing w:before="99" w:line="195" w:lineRule="auto"/>
              <w:rPr/>
            </w:pPr>
            <w:r>
              <w:rPr/>
              <w:t>5.2</w:t>
            </w:r>
          </w:p>
        </w:tc>
        <w:tc>
          <w:tcPr>
            <w:tcW w:w="936" w:type="dxa"/>
            <w:vAlign w:val="top"/>
          </w:tcPr>
          <w:p>
            <w:pPr>
              <w:pStyle w:val="TableText"/>
              <w:ind w:left="356"/>
              <w:spacing w:before="99" w:line="195" w:lineRule="auto"/>
              <w:rPr/>
            </w:pPr>
            <w:r>
              <w:rPr>
                <w:spacing w:val="-4"/>
              </w:rPr>
              <w:t>1.4</w:t>
            </w:r>
          </w:p>
        </w:tc>
        <w:tc>
          <w:tcPr>
            <w:tcW w:w="938" w:type="dxa"/>
            <w:vAlign w:val="top"/>
          </w:tcPr>
          <w:p>
            <w:pPr>
              <w:pStyle w:val="TableText"/>
              <w:ind w:left="335"/>
              <w:spacing w:before="99" w:line="195" w:lineRule="auto"/>
              <w:rPr/>
            </w:pPr>
            <w:r>
              <w:rPr>
                <w:spacing w:val="3"/>
              </w:rPr>
              <w:t>4.3</w:t>
            </w:r>
          </w:p>
        </w:tc>
        <w:tc>
          <w:tcPr>
            <w:tcW w:w="940" w:type="dxa"/>
            <w:vAlign w:val="top"/>
          </w:tcPr>
          <w:p>
            <w:pPr>
              <w:pStyle w:val="TableText"/>
              <w:ind w:left="343"/>
              <w:spacing w:before="99" w:line="195" w:lineRule="auto"/>
              <w:rPr/>
            </w:pPr>
            <w:r>
              <w:rPr>
                <w:spacing w:val="2"/>
              </w:rPr>
              <w:t>9.5</w:t>
            </w:r>
          </w:p>
        </w:tc>
        <w:tc>
          <w:tcPr>
            <w:tcW w:w="940" w:type="dxa"/>
            <w:vAlign w:val="top"/>
          </w:tcPr>
          <w:p>
            <w:pPr>
              <w:pStyle w:val="TableText"/>
              <w:ind w:left="291"/>
              <w:spacing w:before="99" w:line="195" w:lineRule="auto"/>
              <w:rPr/>
            </w:pPr>
            <w:r>
              <w:rPr>
                <w:spacing w:val="3"/>
              </w:rPr>
              <w:t>36.0</w:t>
            </w:r>
          </w:p>
        </w:tc>
        <w:tc>
          <w:tcPr>
            <w:tcW w:w="938" w:type="dxa"/>
            <w:vAlign w:val="top"/>
          </w:tcPr>
          <w:p>
            <w:pPr>
              <w:pStyle w:val="TableText"/>
              <w:ind w:left="291"/>
              <w:spacing w:before="99" w:line="195" w:lineRule="auto"/>
              <w:rPr/>
            </w:pPr>
            <w:r>
              <w:rPr>
                <w:spacing w:val="2"/>
              </w:rPr>
              <w:t>55.3</w:t>
            </w:r>
          </w:p>
        </w:tc>
        <w:tc>
          <w:tcPr>
            <w:tcW w:w="940" w:type="dxa"/>
            <w:vAlign w:val="top"/>
          </w:tcPr>
          <w:p>
            <w:pPr>
              <w:pStyle w:val="TableText"/>
              <w:ind w:left="291"/>
              <w:spacing w:before="99" w:line="195" w:lineRule="auto"/>
              <w:rPr/>
            </w:pPr>
            <w:r>
              <w:rPr>
                <w:spacing w:val="3"/>
              </w:rPr>
              <w:t>73.4</w:t>
            </w:r>
          </w:p>
        </w:tc>
        <w:tc>
          <w:tcPr>
            <w:tcW w:w="941" w:type="dxa"/>
            <w:vAlign w:val="top"/>
          </w:tcPr>
          <w:p>
            <w:pPr>
              <w:pStyle w:val="TableText"/>
              <w:ind w:left="293"/>
              <w:spacing w:before="99" w:line="195" w:lineRule="auto"/>
              <w:rPr/>
            </w:pPr>
            <w:r>
              <w:rPr>
                <w:spacing w:val="3"/>
              </w:rPr>
              <w:t>38.0</w:t>
            </w:r>
          </w:p>
        </w:tc>
        <w:tc>
          <w:tcPr>
            <w:tcW w:w="938" w:type="dxa"/>
            <w:vAlign w:val="top"/>
          </w:tcPr>
          <w:p>
            <w:pPr>
              <w:pStyle w:val="TableText"/>
              <w:ind w:left="306"/>
              <w:spacing w:before="99" w:line="195" w:lineRule="auto"/>
              <w:rPr/>
            </w:pPr>
            <w:r>
              <w:rPr>
                <w:spacing w:val="-1"/>
              </w:rPr>
              <w:t>14.0</w:t>
            </w:r>
          </w:p>
        </w:tc>
        <w:tc>
          <w:tcPr>
            <w:tcW w:w="940" w:type="dxa"/>
            <w:vAlign w:val="top"/>
          </w:tcPr>
          <w:p>
            <w:pPr>
              <w:pStyle w:val="TableText"/>
              <w:ind w:left="309"/>
              <w:spacing w:before="99" w:line="195" w:lineRule="auto"/>
              <w:rPr/>
            </w:pPr>
            <w:r>
              <w:rPr>
                <w:spacing w:val="-1"/>
              </w:rPr>
              <w:t>15.9</w:t>
            </w:r>
          </w:p>
        </w:tc>
        <w:tc>
          <w:tcPr>
            <w:tcW w:w="818" w:type="dxa"/>
            <w:vAlign w:val="top"/>
          </w:tcPr>
          <w:p>
            <w:pPr>
              <w:pStyle w:val="TableText"/>
              <w:ind w:left="284"/>
              <w:spacing w:before="99" w:line="195" w:lineRule="auto"/>
              <w:rPr/>
            </w:pPr>
            <w:r>
              <w:rPr>
                <w:spacing w:val="1"/>
              </w:rPr>
              <w:t>3.9</w:t>
            </w:r>
          </w:p>
        </w:tc>
        <w:tc>
          <w:tcPr>
            <w:tcW w:w="816" w:type="dxa"/>
            <w:vAlign w:val="top"/>
          </w:tcPr>
          <w:p>
            <w:pPr>
              <w:pStyle w:val="TableText"/>
              <w:ind w:left="278"/>
              <w:spacing w:before="99" w:line="195" w:lineRule="auto"/>
              <w:rPr/>
            </w:pPr>
            <w:r>
              <w:rPr>
                <w:spacing w:val="2"/>
              </w:rPr>
              <w:t>2.6</w:t>
            </w:r>
          </w:p>
        </w:tc>
        <w:tc>
          <w:tcPr>
            <w:tcW w:w="1291" w:type="dxa"/>
            <w:vAlign w:val="top"/>
          </w:tcPr>
          <w:p>
            <w:pPr>
              <w:pStyle w:val="TableText"/>
              <w:ind w:left="410"/>
              <w:spacing w:before="99" w:line="195" w:lineRule="auto"/>
              <w:rPr/>
            </w:pPr>
            <w:r>
              <w:rPr>
                <w:spacing w:val="4"/>
              </w:rPr>
              <w:t>259.5</w:t>
            </w:r>
          </w:p>
        </w:tc>
      </w:tr>
      <w:tr>
        <w:trPr>
          <w:trHeight w:val="338" w:hRule="atLeast"/>
        </w:trPr>
        <w:tc>
          <w:tcPr>
            <w:tcW w:w="936" w:type="dxa"/>
            <w:vAlign w:val="top"/>
            <w:vMerge w:val="continue"/>
            <w:tcBorders>
              <w:top w:val="nil"/>
            </w:tcBorders>
          </w:tcPr>
          <w:p>
            <w:pPr>
              <w:rPr>
                <w:rFonts w:ascii="Arial"/>
                <w:sz w:val="21"/>
              </w:rPr>
            </w:pPr>
            <w:r/>
          </w:p>
        </w:tc>
        <w:tc>
          <w:tcPr>
            <w:tcW w:w="1120" w:type="dxa"/>
            <w:vAlign w:val="top"/>
          </w:tcPr>
          <w:p>
            <w:pPr>
              <w:ind w:left="144"/>
              <w:spacing w:before="61" w:line="228" w:lineRule="auto"/>
              <w:rPr>
                <w:rFonts w:ascii="SimSun" w:hAnsi="SimSun" w:eastAsia="SimSun" w:cs="SimSun"/>
                <w:sz w:val="20"/>
                <w:szCs w:val="20"/>
              </w:rPr>
            </w:pPr>
            <w:r>
              <w:rPr>
                <w:rFonts w:ascii="SimSun" w:hAnsi="SimSun" w:eastAsia="SimSun" w:cs="SimSun"/>
                <w:sz w:val="20"/>
                <w:szCs w:val="20"/>
                <w:spacing w:val="6"/>
              </w:rPr>
              <w:t>极端最高</w:t>
            </w:r>
          </w:p>
        </w:tc>
        <w:tc>
          <w:tcPr>
            <w:tcW w:w="739" w:type="dxa"/>
            <w:vAlign w:val="top"/>
          </w:tcPr>
          <w:p>
            <w:pPr>
              <w:pStyle w:val="TableText"/>
              <w:ind w:left="205"/>
              <w:spacing w:before="100" w:line="195" w:lineRule="auto"/>
              <w:rPr/>
            </w:pPr>
            <w:r>
              <w:rPr>
                <w:spacing w:val="-1"/>
              </w:rPr>
              <w:t>12.7</w:t>
            </w:r>
          </w:p>
        </w:tc>
        <w:tc>
          <w:tcPr>
            <w:tcW w:w="936" w:type="dxa"/>
            <w:vAlign w:val="top"/>
          </w:tcPr>
          <w:p>
            <w:pPr>
              <w:pStyle w:val="TableText"/>
              <w:ind w:left="356"/>
              <w:spacing w:before="100" w:line="195" w:lineRule="auto"/>
              <w:rPr/>
            </w:pPr>
            <w:r>
              <w:rPr>
                <w:spacing w:val="-4"/>
              </w:rPr>
              <w:t>1.8</w:t>
            </w:r>
          </w:p>
        </w:tc>
        <w:tc>
          <w:tcPr>
            <w:tcW w:w="938" w:type="dxa"/>
            <w:vAlign w:val="top"/>
          </w:tcPr>
          <w:p>
            <w:pPr>
              <w:pStyle w:val="TableText"/>
              <w:ind w:left="344"/>
              <w:spacing w:before="100" w:line="195" w:lineRule="auto"/>
              <w:rPr/>
            </w:pPr>
            <w:r>
              <w:rPr/>
              <w:t>8.2</w:t>
            </w:r>
          </w:p>
        </w:tc>
        <w:tc>
          <w:tcPr>
            <w:tcW w:w="940" w:type="dxa"/>
            <w:vAlign w:val="top"/>
          </w:tcPr>
          <w:p>
            <w:pPr>
              <w:pStyle w:val="TableText"/>
              <w:ind w:left="306"/>
              <w:spacing w:before="100" w:line="195" w:lineRule="auto"/>
              <w:rPr/>
            </w:pPr>
            <w:r>
              <w:rPr>
                <w:spacing w:val="-1"/>
              </w:rPr>
              <w:t>15.5</w:t>
            </w:r>
          </w:p>
        </w:tc>
        <w:tc>
          <w:tcPr>
            <w:tcW w:w="940" w:type="dxa"/>
            <w:vAlign w:val="top"/>
          </w:tcPr>
          <w:p>
            <w:pPr>
              <w:pStyle w:val="TableText"/>
              <w:ind w:left="286"/>
              <w:spacing w:before="100" w:line="195" w:lineRule="auto"/>
              <w:rPr/>
            </w:pPr>
            <w:r>
              <w:rPr>
                <w:spacing w:val="4"/>
              </w:rPr>
              <w:t>45.3</w:t>
            </w:r>
          </w:p>
        </w:tc>
        <w:tc>
          <w:tcPr>
            <w:tcW w:w="938" w:type="dxa"/>
            <w:vAlign w:val="top"/>
          </w:tcPr>
          <w:p>
            <w:pPr>
              <w:pStyle w:val="TableText"/>
              <w:ind w:left="290"/>
              <w:spacing w:before="100" w:line="195" w:lineRule="auto"/>
              <w:rPr/>
            </w:pPr>
            <w:r>
              <w:rPr>
                <w:spacing w:val="2"/>
              </w:rPr>
              <w:t>64.9</w:t>
            </w:r>
          </w:p>
        </w:tc>
        <w:tc>
          <w:tcPr>
            <w:tcW w:w="940" w:type="dxa"/>
            <w:vAlign w:val="top"/>
          </w:tcPr>
          <w:p>
            <w:pPr>
              <w:pStyle w:val="TableText"/>
              <w:ind w:left="291"/>
              <w:spacing w:before="100" w:line="195" w:lineRule="auto"/>
              <w:rPr/>
            </w:pPr>
            <w:r>
              <w:rPr>
                <w:spacing w:val="3"/>
              </w:rPr>
              <w:t>76.9</w:t>
            </w:r>
          </w:p>
        </w:tc>
        <w:tc>
          <w:tcPr>
            <w:tcW w:w="941" w:type="dxa"/>
            <w:vAlign w:val="top"/>
          </w:tcPr>
          <w:p>
            <w:pPr>
              <w:pStyle w:val="TableText"/>
              <w:ind w:left="288"/>
              <w:spacing w:before="100" w:line="195" w:lineRule="auto"/>
              <w:rPr/>
            </w:pPr>
            <w:r>
              <w:rPr>
                <w:spacing w:val="4"/>
              </w:rPr>
              <w:t>48.4</w:t>
            </w:r>
          </w:p>
        </w:tc>
        <w:tc>
          <w:tcPr>
            <w:tcW w:w="938" w:type="dxa"/>
            <w:vAlign w:val="top"/>
          </w:tcPr>
          <w:p>
            <w:pPr>
              <w:pStyle w:val="TableText"/>
              <w:ind w:left="286"/>
              <w:spacing w:before="100" w:line="195" w:lineRule="auto"/>
              <w:rPr/>
            </w:pPr>
            <w:r>
              <w:rPr>
                <w:spacing w:val="4"/>
              </w:rPr>
              <w:t>27.8</w:t>
            </w:r>
          </w:p>
        </w:tc>
        <w:tc>
          <w:tcPr>
            <w:tcW w:w="940" w:type="dxa"/>
            <w:vAlign w:val="top"/>
          </w:tcPr>
          <w:p>
            <w:pPr>
              <w:pStyle w:val="TableText"/>
              <w:ind w:left="289"/>
              <w:spacing w:before="100" w:line="195" w:lineRule="auto"/>
              <w:rPr/>
            </w:pPr>
            <w:r>
              <w:rPr>
                <w:spacing w:val="4"/>
              </w:rPr>
              <w:t>23.6</w:t>
            </w:r>
          </w:p>
        </w:tc>
        <w:tc>
          <w:tcPr>
            <w:tcW w:w="818" w:type="dxa"/>
            <w:vAlign w:val="top"/>
          </w:tcPr>
          <w:p>
            <w:pPr>
              <w:pStyle w:val="TableText"/>
              <w:ind w:left="286"/>
              <w:spacing w:before="100" w:line="195" w:lineRule="auto"/>
              <w:rPr/>
            </w:pPr>
            <w:r>
              <w:rPr/>
              <w:t>5.2</w:t>
            </w:r>
          </w:p>
        </w:tc>
        <w:tc>
          <w:tcPr>
            <w:tcW w:w="816" w:type="dxa"/>
            <w:vAlign w:val="top"/>
          </w:tcPr>
          <w:p>
            <w:pPr>
              <w:pStyle w:val="TableText"/>
              <w:ind w:left="282"/>
              <w:spacing w:before="100" w:line="195" w:lineRule="auto"/>
              <w:rPr/>
            </w:pPr>
            <w:r>
              <w:rPr>
                <w:spacing w:val="1"/>
              </w:rPr>
              <w:t>3.2</w:t>
            </w:r>
          </w:p>
        </w:tc>
        <w:tc>
          <w:tcPr>
            <w:tcW w:w="1291" w:type="dxa"/>
            <w:vAlign w:val="top"/>
          </w:tcPr>
          <w:p>
            <w:pPr>
              <w:pStyle w:val="TableText"/>
              <w:ind w:left="414"/>
              <w:spacing w:before="100" w:line="195" w:lineRule="auto"/>
              <w:rPr/>
            </w:pPr>
            <w:r>
              <w:rPr>
                <w:spacing w:val="3"/>
              </w:rPr>
              <w:t>333.5</w:t>
            </w:r>
          </w:p>
        </w:tc>
      </w:tr>
      <w:tr>
        <w:trPr>
          <w:trHeight w:val="515" w:hRule="atLeast"/>
        </w:trPr>
        <w:tc>
          <w:tcPr>
            <w:tcW w:w="936" w:type="dxa"/>
            <w:vAlign w:val="top"/>
          </w:tcPr>
          <w:p>
            <w:pPr>
              <w:ind w:left="156"/>
              <w:spacing w:before="31" w:line="228" w:lineRule="auto"/>
              <w:rPr>
                <w:rFonts w:ascii="SimSun" w:hAnsi="SimSun" w:eastAsia="SimSun" w:cs="SimSun"/>
                <w:sz w:val="20"/>
                <w:szCs w:val="20"/>
              </w:rPr>
            </w:pPr>
            <w:r>
              <w:rPr>
                <w:rFonts w:ascii="SimSun" w:hAnsi="SimSun" w:eastAsia="SimSun" w:cs="SimSun"/>
                <w:sz w:val="20"/>
                <w:szCs w:val="20"/>
                <w:spacing w:val="6"/>
              </w:rPr>
              <w:t>蒸发量</w:t>
            </w:r>
          </w:p>
          <w:p>
            <w:pPr>
              <w:pStyle w:val="TableText"/>
              <w:ind w:left="299"/>
              <w:spacing w:before="91" w:line="135" w:lineRule="exact"/>
              <w:rPr/>
            </w:pPr>
            <w:r>
              <w:rPr>
                <w:spacing w:val="6"/>
                <w:position w:val="-1"/>
              </w:rPr>
              <w:t>mm</w:t>
            </w:r>
          </w:p>
        </w:tc>
        <w:tc>
          <w:tcPr>
            <w:tcW w:w="1120" w:type="dxa"/>
            <w:vAlign w:val="top"/>
          </w:tcPr>
          <w:p>
            <w:pPr>
              <w:ind w:left="350"/>
              <w:spacing w:before="151" w:line="228" w:lineRule="auto"/>
              <w:rPr>
                <w:rFonts w:ascii="SimSun" w:hAnsi="SimSun" w:eastAsia="SimSun" w:cs="SimSun"/>
                <w:sz w:val="20"/>
                <w:szCs w:val="20"/>
              </w:rPr>
            </w:pPr>
            <w:r>
              <w:rPr>
                <w:rFonts w:ascii="SimSun" w:hAnsi="SimSun" w:eastAsia="SimSun" w:cs="SimSun"/>
                <w:sz w:val="20"/>
                <w:szCs w:val="20"/>
                <w:spacing w:val="5"/>
              </w:rPr>
              <w:t>平均</w:t>
            </w:r>
          </w:p>
        </w:tc>
        <w:tc>
          <w:tcPr>
            <w:tcW w:w="739" w:type="dxa"/>
            <w:vAlign w:val="top"/>
          </w:tcPr>
          <w:p>
            <w:pPr>
              <w:pStyle w:val="TableText"/>
              <w:ind w:left="241"/>
              <w:spacing w:before="187" w:line="195" w:lineRule="auto"/>
              <w:rPr/>
            </w:pPr>
            <w:r>
              <w:rPr>
                <w:spacing w:val="-1"/>
              </w:rPr>
              <w:t>9.</w:t>
            </w:r>
            <w:r>
              <w:rPr>
                <w:spacing w:val="-24"/>
              </w:rPr>
              <w:t xml:space="preserve"> </w:t>
            </w:r>
            <w:r>
              <w:rPr>
                <w:spacing w:val="-1"/>
              </w:rPr>
              <w:t>1</w:t>
            </w:r>
          </w:p>
        </w:tc>
        <w:tc>
          <w:tcPr>
            <w:tcW w:w="936" w:type="dxa"/>
            <w:vAlign w:val="top"/>
          </w:tcPr>
          <w:p>
            <w:pPr>
              <w:pStyle w:val="TableText"/>
              <w:ind w:left="281"/>
              <w:spacing w:before="187" w:line="195" w:lineRule="auto"/>
              <w:rPr/>
            </w:pPr>
            <w:r>
              <w:rPr>
                <w:spacing w:val="4"/>
              </w:rPr>
              <w:t>21.3</w:t>
            </w:r>
          </w:p>
        </w:tc>
        <w:tc>
          <w:tcPr>
            <w:tcW w:w="938" w:type="dxa"/>
            <w:vAlign w:val="top"/>
          </w:tcPr>
          <w:p>
            <w:pPr>
              <w:pStyle w:val="TableText"/>
              <w:ind w:left="289"/>
              <w:spacing w:before="187" w:line="195" w:lineRule="auto"/>
              <w:rPr/>
            </w:pPr>
            <w:r>
              <w:rPr/>
              <w:t>53.</w:t>
            </w:r>
            <w:r>
              <w:rPr>
                <w:spacing w:val="-21"/>
              </w:rPr>
              <w:t xml:space="preserve"> </w:t>
            </w:r>
            <w:r>
              <w:rPr/>
              <w:t>1</w:t>
            </w:r>
          </w:p>
        </w:tc>
        <w:tc>
          <w:tcPr>
            <w:tcW w:w="940" w:type="dxa"/>
            <w:vAlign w:val="top"/>
          </w:tcPr>
          <w:p>
            <w:pPr>
              <w:pStyle w:val="TableText"/>
              <w:ind w:left="233"/>
              <w:spacing w:before="187" w:line="195" w:lineRule="auto"/>
              <w:rPr/>
            </w:pPr>
            <w:r>
              <w:rPr>
                <w:spacing w:val="4"/>
              </w:rPr>
              <w:t>244.2</w:t>
            </w:r>
          </w:p>
        </w:tc>
        <w:tc>
          <w:tcPr>
            <w:tcW w:w="940" w:type="dxa"/>
            <w:vAlign w:val="top"/>
          </w:tcPr>
          <w:p>
            <w:pPr>
              <w:pStyle w:val="TableText"/>
              <w:ind w:left="238"/>
              <w:spacing w:before="187" w:line="195" w:lineRule="auto"/>
              <w:rPr/>
            </w:pPr>
            <w:r>
              <w:rPr>
                <w:spacing w:val="1"/>
              </w:rPr>
              <w:t>339.</w:t>
            </w:r>
            <w:r>
              <w:rPr>
                <w:spacing w:val="-21"/>
              </w:rPr>
              <w:t xml:space="preserve"> </w:t>
            </w:r>
            <w:r>
              <w:rPr>
                <w:spacing w:val="1"/>
              </w:rPr>
              <w:t>1</w:t>
            </w:r>
          </w:p>
        </w:tc>
        <w:tc>
          <w:tcPr>
            <w:tcW w:w="938" w:type="dxa"/>
            <w:vAlign w:val="top"/>
          </w:tcPr>
          <w:p>
            <w:pPr>
              <w:pStyle w:val="TableText"/>
              <w:ind w:left="232"/>
              <w:spacing w:before="187" w:line="195" w:lineRule="auto"/>
              <w:rPr/>
            </w:pPr>
            <w:r>
              <w:rPr>
                <w:spacing w:val="4"/>
              </w:rPr>
              <w:t>241.8</w:t>
            </w:r>
          </w:p>
        </w:tc>
        <w:tc>
          <w:tcPr>
            <w:tcW w:w="940" w:type="dxa"/>
            <w:vAlign w:val="top"/>
          </w:tcPr>
          <w:p>
            <w:pPr>
              <w:pStyle w:val="TableText"/>
              <w:ind w:left="314"/>
              <w:spacing w:before="187" w:line="195" w:lineRule="auto"/>
              <w:rPr/>
            </w:pPr>
            <w:r>
              <w:rPr>
                <w:spacing w:val="3"/>
              </w:rPr>
              <w:t>276</w:t>
            </w:r>
          </w:p>
        </w:tc>
        <w:tc>
          <w:tcPr>
            <w:tcW w:w="941" w:type="dxa"/>
            <w:vAlign w:val="top"/>
          </w:tcPr>
          <w:p>
            <w:pPr>
              <w:pStyle w:val="TableText"/>
              <w:ind w:left="236"/>
              <w:spacing w:before="187" w:line="195" w:lineRule="auto"/>
              <w:rPr/>
            </w:pPr>
            <w:r>
              <w:rPr>
                <w:spacing w:val="3"/>
              </w:rPr>
              <w:t>210.6</w:t>
            </w:r>
          </w:p>
        </w:tc>
        <w:tc>
          <w:tcPr>
            <w:tcW w:w="938" w:type="dxa"/>
            <w:vAlign w:val="top"/>
          </w:tcPr>
          <w:p>
            <w:pPr>
              <w:pStyle w:val="TableText"/>
              <w:ind w:left="253"/>
              <w:spacing w:before="187" w:line="195" w:lineRule="auto"/>
              <w:rPr/>
            </w:pPr>
            <w:r>
              <w:rPr/>
              <w:t>192.4</w:t>
            </w:r>
          </w:p>
        </w:tc>
        <w:tc>
          <w:tcPr>
            <w:tcW w:w="940" w:type="dxa"/>
            <w:vAlign w:val="top"/>
          </w:tcPr>
          <w:p>
            <w:pPr>
              <w:pStyle w:val="TableText"/>
              <w:ind w:left="256"/>
              <w:spacing w:before="187" w:line="195" w:lineRule="auto"/>
              <w:rPr/>
            </w:pPr>
            <w:r>
              <w:rPr/>
              <w:t>100.9</w:t>
            </w:r>
          </w:p>
        </w:tc>
        <w:tc>
          <w:tcPr>
            <w:tcW w:w="818" w:type="dxa"/>
            <w:vAlign w:val="top"/>
          </w:tcPr>
          <w:p>
            <w:pPr>
              <w:pStyle w:val="TableText"/>
              <w:ind w:left="226"/>
              <w:spacing w:before="187" w:line="195" w:lineRule="auto"/>
              <w:rPr/>
            </w:pPr>
            <w:r>
              <w:rPr>
                <w:spacing w:val="3"/>
              </w:rPr>
              <w:t>47.6</w:t>
            </w:r>
          </w:p>
        </w:tc>
        <w:tc>
          <w:tcPr>
            <w:tcW w:w="816" w:type="dxa"/>
            <w:vAlign w:val="top"/>
          </w:tcPr>
          <w:p>
            <w:pPr>
              <w:pStyle w:val="TableText"/>
              <w:ind w:left="248"/>
              <w:spacing w:before="187" w:line="195" w:lineRule="auto"/>
              <w:rPr/>
            </w:pPr>
            <w:r>
              <w:rPr>
                <w:spacing w:val="-3"/>
              </w:rPr>
              <w:t>14.</w:t>
            </w:r>
            <w:r>
              <w:rPr>
                <w:spacing w:val="-23"/>
              </w:rPr>
              <w:t xml:space="preserve"> </w:t>
            </w:r>
            <w:r>
              <w:rPr>
                <w:spacing w:val="-3"/>
              </w:rPr>
              <w:t>1</w:t>
            </w:r>
          </w:p>
        </w:tc>
        <w:tc>
          <w:tcPr>
            <w:tcW w:w="1291" w:type="dxa"/>
            <w:vAlign w:val="top"/>
          </w:tcPr>
          <w:p>
            <w:pPr>
              <w:pStyle w:val="TableText"/>
              <w:ind w:left="380"/>
              <w:spacing w:before="187" w:line="195" w:lineRule="auto"/>
              <w:rPr/>
            </w:pPr>
            <w:r>
              <w:rPr/>
              <w:t>1750.2</w:t>
            </w:r>
          </w:p>
        </w:tc>
      </w:tr>
    </w:tbl>
    <w:p>
      <w:pPr>
        <w:ind w:left="4843"/>
        <w:spacing w:before="112" w:line="222" w:lineRule="auto"/>
        <w:rPr>
          <w:rFonts w:ascii="Times New Roman" w:hAnsi="Times New Roman" w:eastAsia="Times New Roman" w:cs="Times New Roman"/>
          <w:sz w:val="24"/>
          <w:szCs w:val="24"/>
        </w:rPr>
      </w:pPr>
      <w:r>
        <w:rPr>
          <w:rFonts w:ascii="SimHei" w:hAnsi="SimHei" w:eastAsia="SimHei" w:cs="SimHei"/>
          <w:sz w:val="24"/>
          <w:szCs w:val="24"/>
          <w:spacing w:val="-1"/>
        </w:rPr>
        <w:t>西乌珠穆沁旗近</w:t>
      </w:r>
      <w:r>
        <w:rPr>
          <w:rFonts w:ascii="SimHei" w:hAnsi="SimHei" w:eastAsia="SimHei" w:cs="SimHei"/>
          <w:sz w:val="24"/>
          <w:szCs w:val="24"/>
          <w:spacing w:val="-48"/>
        </w:rPr>
        <w:t xml:space="preserve"> </w:t>
      </w:r>
      <w:r>
        <w:rPr>
          <w:rFonts w:ascii="Times New Roman" w:hAnsi="Times New Roman" w:eastAsia="Times New Roman" w:cs="Times New Roman"/>
          <w:sz w:val="24"/>
          <w:szCs w:val="24"/>
          <w:spacing w:val="-1"/>
        </w:rPr>
        <w:t>20 </w:t>
      </w:r>
      <w:r>
        <w:rPr>
          <w:rFonts w:ascii="SimHei" w:hAnsi="SimHei" w:eastAsia="SimHei" w:cs="SimHei"/>
          <w:sz w:val="24"/>
          <w:szCs w:val="24"/>
          <w:spacing w:val="-1"/>
        </w:rPr>
        <w:t>年地面风向频率</w:t>
      </w:r>
      <w:r>
        <w:rPr>
          <w:rFonts w:ascii="SimHei" w:hAnsi="SimHei" w:eastAsia="SimHei" w:cs="SimHei"/>
          <w:sz w:val="24"/>
          <w:szCs w:val="24"/>
          <w:spacing w:val="-1"/>
        </w:rPr>
        <w:t xml:space="preserve"> </w:t>
      </w:r>
      <w:r>
        <w:rPr>
          <w:rFonts w:ascii="SimHei" w:hAnsi="SimHei" w:eastAsia="SimHei" w:cs="SimHei"/>
          <w:sz w:val="24"/>
          <w:szCs w:val="24"/>
          <w:spacing w:val="-1"/>
        </w:rPr>
        <w:t>单位：</w:t>
      </w:r>
      <w:r>
        <w:rPr>
          <w:rFonts w:ascii="Times New Roman" w:hAnsi="Times New Roman" w:eastAsia="Times New Roman" w:cs="Times New Roman"/>
          <w:sz w:val="24"/>
          <w:szCs w:val="24"/>
          <w:spacing w:val="-1"/>
        </w:rPr>
        <w:t>%</w:t>
      </w:r>
    </w:p>
    <w:p>
      <w:pPr>
        <w:ind w:left="115"/>
        <w:spacing w:before="28" w:line="226"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1"/>
        </w:rPr>
        <w:t>5-2-2</w:t>
      </w:r>
    </w:p>
    <w:tbl>
      <w:tblPr>
        <w:tblStyle w:val="TableNormal"/>
        <w:tblW w:w="1417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33"/>
        <w:gridCol w:w="655"/>
        <w:gridCol w:w="787"/>
        <w:gridCol w:w="772"/>
        <w:gridCol w:w="789"/>
        <w:gridCol w:w="655"/>
        <w:gridCol w:w="787"/>
        <w:gridCol w:w="773"/>
        <w:gridCol w:w="789"/>
        <w:gridCol w:w="686"/>
        <w:gridCol w:w="713"/>
        <w:gridCol w:w="878"/>
        <w:gridCol w:w="696"/>
        <w:gridCol w:w="883"/>
        <w:gridCol w:w="909"/>
        <w:gridCol w:w="717"/>
        <w:gridCol w:w="729"/>
        <w:gridCol w:w="720"/>
      </w:tblGrid>
      <w:tr>
        <w:trPr>
          <w:trHeight w:val="397" w:hRule="atLeast"/>
        </w:trPr>
        <w:tc>
          <w:tcPr>
            <w:tcW w:w="1233" w:type="dxa"/>
            <w:vAlign w:val="top"/>
          </w:tcPr>
          <w:p>
            <w:pPr>
              <w:ind w:left="439"/>
              <w:spacing w:before="104" w:line="220" w:lineRule="auto"/>
              <w:rPr>
                <w:rFonts w:ascii="SimSun" w:hAnsi="SimSun" w:eastAsia="SimSun" w:cs="SimSun"/>
                <w:sz w:val="18"/>
                <w:szCs w:val="18"/>
              </w:rPr>
            </w:pPr>
            <w:r>
              <w:rPr>
                <w:rFonts w:ascii="SimSun" w:hAnsi="SimSun" w:eastAsia="SimSun" w:cs="SimSun"/>
                <w:sz w:val="18"/>
                <w:szCs w:val="18"/>
                <w:spacing w:val="-4"/>
              </w:rPr>
              <w:t>风向</w:t>
            </w:r>
          </w:p>
        </w:tc>
        <w:tc>
          <w:tcPr>
            <w:tcW w:w="655" w:type="dxa"/>
            <w:vAlign w:val="top"/>
          </w:tcPr>
          <w:p>
            <w:pPr>
              <w:pStyle w:val="TableText"/>
              <w:ind w:left="255"/>
              <w:spacing w:before="138" w:line="185" w:lineRule="auto"/>
              <w:rPr>
                <w:sz w:val="18"/>
                <w:szCs w:val="18"/>
              </w:rPr>
            </w:pPr>
            <w:r>
              <w:rPr>
                <w:sz w:val="18"/>
                <w:szCs w:val="18"/>
                <w:spacing w:val="2"/>
              </w:rPr>
              <w:t>N</w:t>
            </w:r>
          </w:p>
        </w:tc>
        <w:tc>
          <w:tcPr>
            <w:tcW w:w="787" w:type="dxa"/>
            <w:vAlign w:val="top"/>
          </w:tcPr>
          <w:p>
            <w:pPr>
              <w:pStyle w:val="TableText"/>
              <w:ind w:left="200"/>
              <w:spacing w:before="138" w:line="185" w:lineRule="auto"/>
              <w:rPr>
                <w:sz w:val="18"/>
                <w:szCs w:val="18"/>
              </w:rPr>
            </w:pPr>
            <w:r>
              <w:rPr>
                <w:sz w:val="18"/>
                <w:szCs w:val="18"/>
              </w:rPr>
              <w:t>NNE</w:t>
            </w:r>
          </w:p>
        </w:tc>
        <w:tc>
          <w:tcPr>
            <w:tcW w:w="772" w:type="dxa"/>
            <w:vAlign w:val="top"/>
          </w:tcPr>
          <w:p>
            <w:pPr>
              <w:pStyle w:val="TableText"/>
              <w:ind w:left="257"/>
              <w:spacing w:before="138" w:line="185" w:lineRule="auto"/>
              <w:rPr>
                <w:sz w:val="18"/>
                <w:szCs w:val="18"/>
              </w:rPr>
            </w:pPr>
            <w:r>
              <w:rPr>
                <w:sz w:val="18"/>
                <w:szCs w:val="18"/>
                <w:spacing w:val="1"/>
              </w:rPr>
              <w:t>NE</w:t>
            </w:r>
          </w:p>
        </w:tc>
        <w:tc>
          <w:tcPr>
            <w:tcW w:w="789" w:type="dxa"/>
            <w:vAlign w:val="top"/>
          </w:tcPr>
          <w:p>
            <w:pPr>
              <w:pStyle w:val="TableText"/>
              <w:ind w:left="218"/>
              <w:spacing w:before="138" w:line="185" w:lineRule="auto"/>
              <w:rPr>
                <w:sz w:val="18"/>
                <w:szCs w:val="18"/>
              </w:rPr>
            </w:pPr>
            <w:r>
              <w:rPr>
                <w:sz w:val="18"/>
                <w:szCs w:val="18"/>
                <w:spacing w:val="-2"/>
              </w:rPr>
              <w:t>ENE</w:t>
            </w:r>
          </w:p>
        </w:tc>
        <w:tc>
          <w:tcPr>
            <w:tcW w:w="655" w:type="dxa"/>
            <w:vAlign w:val="top"/>
          </w:tcPr>
          <w:p>
            <w:pPr>
              <w:pStyle w:val="TableText"/>
              <w:ind w:left="272"/>
              <w:spacing w:before="138" w:line="185" w:lineRule="auto"/>
              <w:rPr>
                <w:sz w:val="18"/>
                <w:szCs w:val="18"/>
              </w:rPr>
            </w:pPr>
            <w:r>
              <w:rPr>
                <w:sz w:val="18"/>
                <w:szCs w:val="18"/>
              </w:rPr>
              <w:t>E</w:t>
            </w:r>
          </w:p>
        </w:tc>
        <w:tc>
          <w:tcPr>
            <w:tcW w:w="787" w:type="dxa"/>
            <w:vAlign w:val="top"/>
          </w:tcPr>
          <w:p>
            <w:pPr>
              <w:pStyle w:val="TableText"/>
              <w:ind w:left="234"/>
              <w:spacing w:before="135" w:line="188" w:lineRule="auto"/>
              <w:rPr>
                <w:sz w:val="18"/>
                <w:szCs w:val="18"/>
              </w:rPr>
            </w:pPr>
            <w:r>
              <w:rPr>
                <w:sz w:val="18"/>
                <w:szCs w:val="18"/>
                <w:spacing w:val="-1"/>
              </w:rPr>
              <w:t>ESE</w:t>
            </w:r>
          </w:p>
        </w:tc>
        <w:tc>
          <w:tcPr>
            <w:tcW w:w="773" w:type="dxa"/>
            <w:vAlign w:val="top"/>
          </w:tcPr>
          <w:p>
            <w:pPr>
              <w:pStyle w:val="TableText"/>
              <w:ind w:left="289"/>
              <w:spacing w:before="135" w:line="188" w:lineRule="auto"/>
              <w:rPr>
                <w:sz w:val="18"/>
                <w:szCs w:val="18"/>
              </w:rPr>
            </w:pPr>
            <w:r>
              <w:rPr>
                <w:sz w:val="18"/>
                <w:szCs w:val="18"/>
                <w:spacing w:val="-6"/>
              </w:rPr>
              <w:t>SE</w:t>
            </w:r>
          </w:p>
        </w:tc>
        <w:tc>
          <w:tcPr>
            <w:tcW w:w="789" w:type="dxa"/>
            <w:vAlign w:val="top"/>
          </w:tcPr>
          <w:p>
            <w:pPr>
              <w:pStyle w:val="TableText"/>
              <w:ind w:left="246"/>
              <w:spacing w:before="135" w:line="188" w:lineRule="auto"/>
              <w:rPr>
                <w:sz w:val="18"/>
                <w:szCs w:val="18"/>
              </w:rPr>
            </w:pPr>
            <w:r>
              <w:rPr>
                <w:sz w:val="18"/>
                <w:szCs w:val="18"/>
                <w:spacing w:val="-4"/>
              </w:rPr>
              <w:t>SSE</w:t>
            </w:r>
          </w:p>
        </w:tc>
        <w:tc>
          <w:tcPr>
            <w:tcW w:w="686" w:type="dxa"/>
            <w:vAlign w:val="top"/>
          </w:tcPr>
          <w:p>
            <w:pPr>
              <w:pStyle w:val="TableText"/>
              <w:ind w:left="299"/>
              <w:spacing w:before="135" w:line="188" w:lineRule="auto"/>
              <w:rPr>
                <w:sz w:val="18"/>
                <w:szCs w:val="18"/>
              </w:rPr>
            </w:pPr>
            <w:r>
              <w:rPr>
                <w:sz w:val="18"/>
                <w:szCs w:val="18"/>
              </w:rPr>
              <w:t>S</w:t>
            </w:r>
          </w:p>
        </w:tc>
        <w:tc>
          <w:tcPr>
            <w:tcW w:w="713" w:type="dxa"/>
            <w:vAlign w:val="top"/>
          </w:tcPr>
          <w:p>
            <w:pPr>
              <w:pStyle w:val="TableText"/>
              <w:ind w:left="177"/>
              <w:spacing w:before="135" w:line="188" w:lineRule="auto"/>
              <w:rPr>
                <w:sz w:val="18"/>
                <w:szCs w:val="18"/>
              </w:rPr>
            </w:pPr>
            <w:r>
              <w:rPr>
                <w:sz w:val="18"/>
                <w:szCs w:val="18"/>
                <w:spacing w:val="-3"/>
              </w:rPr>
              <w:t>SSW</w:t>
            </w:r>
          </w:p>
        </w:tc>
        <w:tc>
          <w:tcPr>
            <w:tcW w:w="878" w:type="dxa"/>
            <w:vAlign w:val="top"/>
          </w:tcPr>
          <w:p>
            <w:pPr>
              <w:pStyle w:val="TableText"/>
              <w:ind w:left="312"/>
              <w:spacing w:before="135" w:line="188" w:lineRule="auto"/>
              <w:rPr>
                <w:sz w:val="18"/>
                <w:szCs w:val="18"/>
              </w:rPr>
            </w:pPr>
            <w:r>
              <w:rPr>
                <w:sz w:val="18"/>
                <w:szCs w:val="18"/>
                <w:spacing w:val="-6"/>
              </w:rPr>
              <w:t>SW</w:t>
            </w:r>
          </w:p>
        </w:tc>
        <w:tc>
          <w:tcPr>
            <w:tcW w:w="696" w:type="dxa"/>
            <w:vAlign w:val="top"/>
          </w:tcPr>
          <w:p>
            <w:pPr>
              <w:pStyle w:val="TableText"/>
              <w:ind w:left="128"/>
              <w:spacing w:before="135" w:line="188" w:lineRule="auto"/>
              <w:rPr>
                <w:sz w:val="18"/>
                <w:szCs w:val="18"/>
              </w:rPr>
            </w:pPr>
            <w:r>
              <w:rPr>
                <w:sz w:val="18"/>
                <w:szCs w:val="18"/>
                <w:spacing w:val="-2"/>
              </w:rPr>
              <w:t>WSW</w:t>
            </w:r>
          </w:p>
        </w:tc>
        <w:tc>
          <w:tcPr>
            <w:tcW w:w="883" w:type="dxa"/>
            <w:vAlign w:val="top"/>
          </w:tcPr>
          <w:p>
            <w:pPr>
              <w:pStyle w:val="TableText"/>
              <w:ind w:left="356"/>
              <w:spacing w:before="138" w:line="185" w:lineRule="auto"/>
              <w:rPr>
                <w:sz w:val="18"/>
                <w:szCs w:val="18"/>
              </w:rPr>
            </w:pPr>
            <w:r>
              <w:rPr>
                <w:sz w:val="18"/>
                <w:szCs w:val="18"/>
              </w:rPr>
              <w:t>W</w:t>
            </w:r>
          </w:p>
        </w:tc>
        <w:tc>
          <w:tcPr>
            <w:tcW w:w="909" w:type="dxa"/>
            <w:vAlign w:val="top"/>
          </w:tcPr>
          <w:p>
            <w:pPr>
              <w:pStyle w:val="TableText"/>
              <w:ind w:left="217"/>
              <w:spacing w:before="138" w:line="185" w:lineRule="auto"/>
              <w:rPr>
                <w:sz w:val="18"/>
                <w:szCs w:val="18"/>
              </w:rPr>
            </w:pPr>
            <w:r>
              <w:rPr>
                <w:sz w:val="18"/>
                <w:szCs w:val="18"/>
                <w:spacing w:val="-2"/>
              </w:rPr>
              <w:t>WNW</w:t>
            </w:r>
          </w:p>
        </w:tc>
        <w:tc>
          <w:tcPr>
            <w:tcW w:w="717" w:type="dxa"/>
            <w:vAlign w:val="top"/>
          </w:tcPr>
          <w:p>
            <w:pPr>
              <w:pStyle w:val="TableText"/>
              <w:ind w:left="203"/>
              <w:spacing w:before="138" w:line="185" w:lineRule="auto"/>
              <w:rPr>
                <w:sz w:val="18"/>
                <w:szCs w:val="18"/>
              </w:rPr>
            </w:pPr>
            <w:r>
              <w:rPr>
                <w:sz w:val="18"/>
                <w:szCs w:val="18"/>
                <w:spacing w:val="1"/>
              </w:rPr>
              <w:t>NW</w:t>
            </w:r>
          </w:p>
        </w:tc>
        <w:tc>
          <w:tcPr>
            <w:tcW w:w="729" w:type="dxa"/>
            <w:vAlign w:val="top"/>
          </w:tcPr>
          <w:p>
            <w:pPr>
              <w:pStyle w:val="TableText"/>
              <w:ind w:left="146"/>
              <w:spacing w:before="138" w:line="185" w:lineRule="auto"/>
              <w:rPr>
                <w:sz w:val="18"/>
                <w:szCs w:val="18"/>
              </w:rPr>
            </w:pPr>
            <w:r>
              <w:rPr>
                <w:sz w:val="18"/>
                <w:szCs w:val="18"/>
                <w:spacing w:val="1"/>
              </w:rPr>
              <w:t>NNW</w:t>
            </w:r>
          </w:p>
        </w:tc>
        <w:tc>
          <w:tcPr>
            <w:tcW w:w="720" w:type="dxa"/>
            <w:vAlign w:val="top"/>
          </w:tcPr>
          <w:p>
            <w:pPr>
              <w:pStyle w:val="TableText"/>
              <w:ind w:left="304"/>
              <w:spacing w:before="135" w:line="188" w:lineRule="auto"/>
              <w:rPr>
                <w:sz w:val="18"/>
                <w:szCs w:val="18"/>
              </w:rPr>
            </w:pPr>
            <w:r>
              <w:rPr>
                <w:sz w:val="18"/>
                <w:szCs w:val="18"/>
              </w:rPr>
              <w:t>C</w:t>
            </w:r>
          </w:p>
        </w:tc>
      </w:tr>
      <w:tr>
        <w:trPr>
          <w:trHeight w:val="397" w:hRule="atLeast"/>
        </w:trPr>
        <w:tc>
          <w:tcPr>
            <w:tcW w:w="1233" w:type="dxa"/>
            <w:vAlign w:val="top"/>
          </w:tcPr>
          <w:p>
            <w:pPr>
              <w:ind w:left="114"/>
              <w:spacing w:before="105" w:line="219" w:lineRule="auto"/>
              <w:rPr>
                <w:rFonts w:ascii="SimSun" w:hAnsi="SimSun" w:eastAsia="SimSun" w:cs="SimSun"/>
                <w:sz w:val="18"/>
                <w:szCs w:val="18"/>
              </w:rPr>
            </w:pPr>
            <w:r>
              <w:rPr>
                <w:rFonts w:ascii="SimSun" w:hAnsi="SimSun" w:eastAsia="SimSun" w:cs="SimSun"/>
                <w:sz w:val="18"/>
                <w:szCs w:val="18"/>
                <w:spacing w:val="-2"/>
              </w:rPr>
              <w:t>冬季（一月）</w:t>
            </w:r>
          </w:p>
        </w:tc>
        <w:tc>
          <w:tcPr>
            <w:tcW w:w="655" w:type="dxa"/>
            <w:vAlign w:val="top"/>
          </w:tcPr>
          <w:p>
            <w:pPr>
              <w:pStyle w:val="TableText"/>
              <w:ind w:left="212"/>
              <w:spacing w:before="136" w:line="188" w:lineRule="auto"/>
              <w:rPr>
                <w:sz w:val="18"/>
                <w:szCs w:val="18"/>
              </w:rPr>
            </w:pPr>
            <w:r>
              <w:rPr>
                <w:sz w:val="18"/>
                <w:szCs w:val="18"/>
                <w:spacing w:val="-1"/>
              </w:rPr>
              <w:t>2.0</w:t>
            </w:r>
          </w:p>
        </w:tc>
        <w:tc>
          <w:tcPr>
            <w:tcW w:w="787" w:type="dxa"/>
            <w:vAlign w:val="top"/>
          </w:tcPr>
          <w:p>
            <w:pPr>
              <w:pStyle w:val="TableText"/>
              <w:ind w:left="280"/>
              <w:spacing w:before="136" w:line="188" w:lineRule="auto"/>
              <w:rPr>
                <w:sz w:val="18"/>
                <w:szCs w:val="18"/>
              </w:rPr>
            </w:pPr>
            <w:r>
              <w:rPr>
                <w:sz w:val="18"/>
                <w:szCs w:val="18"/>
                <w:spacing w:val="-2"/>
              </w:rPr>
              <w:t>0.0</w:t>
            </w:r>
          </w:p>
        </w:tc>
        <w:tc>
          <w:tcPr>
            <w:tcW w:w="772" w:type="dxa"/>
            <w:vAlign w:val="top"/>
          </w:tcPr>
          <w:p>
            <w:pPr>
              <w:pStyle w:val="TableText"/>
              <w:ind w:left="276"/>
              <w:spacing w:before="136" w:line="188" w:lineRule="auto"/>
              <w:rPr>
                <w:sz w:val="18"/>
                <w:szCs w:val="18"/>
              </w:rPr>
            </w:pPr>
            <w:r>
              <w:rPr>
                <w:sz w:val="18"/>
                <w:szCs w:val="18"/>
                <w:spacing w:val="-2"/>
              </w:rPr>
              <w:t>0.3</w:t>
            </w:r>
          </w:p>
        </w:tc>
        <w:tc>
          <w:tcPr>
            <w:tcW w:w="789" w:type="dxa"/>
            <w:vAlign w:val="top"/>
          </w:tcPr>
          <w:p>
            <w:pPr>
              <w:pStyle w:val="TableText"/>
              <w:ind w:left="284"/>
              <w:spacing w:before="136" w:line="188" w:lineRule="auto"/>
              <w:rPr>
                <w:sz w:val="18"/>
                <w:szCs w:val="18"/>
              </w:rPr>
            </w:pPr>
            <w:r>
              <w:rPr>
                <w:sz w:val="18"/>
                <w:szCs w:val="18"/>
                <w:spacing w:val="-2"/>
              </w:rPr>
              <w:t>0.7</w:t>
            </w:r>
          </w:p>
        </w:tc>
        <w:tc>
          <w:tcPr>
            <w:tcW w:w="655" w:type="dxa"/>
            <w:vAlign w:val="top"/>
          </w:tcPr>
          <w:p>
            <w:pPr>
              <w:pStyle w:val="TableText"/>
              <w:ind w:left="214"/>
              <w:spacing w:before="136" w:line="188" w:lineRule="auto"/>
              <w:rPr>
                <w:sz w:val="18"/>
                <w:szCs w:val="18"/>
              </w:rPr>
            </w:pPr>
            <w:r>
              <w:rPr>
                <w:sz w:val="18"/>
                <w:szCs w:val="18"/>
                <w:spacing w:val="-1"/>
              </w:rPr>
              <w:t>2.0</w:t>
            </w:r>
          </w:p>
        </w:tc>
        <w:tc>
          <w:tcPr>
            <w:tcW w:w="787" w:type="dxa"/>
            <w:vAlign w:val="top"/>
          </w:tcPr>
          <w:p>
            <w:pPr>
              <w:pStyle w:val="TableText"/>
              <w:ind w:left="279"/>
              <w:spacing w:before="136" w:line="188" w:lineRule="auto"/>
              <w:rPr>
                <w:sz w:val="18"/>
                <w:szCs w:val="18"/>
              </w:rPr>
            </w:pPr>
            <w:r>
              <w:rPr>
                <w:sz w:val="18"/>
                <w:szCs w:val="18"/>
                <w:spacing w:val="-1"/>
              </w:rPr>
              <w:t>2.0</w:t>
            </w:r>
          </w:p>
        </w:tc>
        <w:tc>
          <w:tcPr>
            <w:tcW w:w="773" w:type="dxa"/>
            <w:vAlign w:val="top"/>
          </w:tcPr>
          <w:p>
            <w:pPr>
              <w:pStyle w:val="TableText"/>
              <w:ind w:left="278"/>
              <w:spacing w:before="136" w:line="188" w:lineRule="auto"/>
              <w:rPr>
                <w:sz w:val="18"/>
                <w:szCs w:val="18"/>
              </w:rPr>
            </w:pPr>
            <w:r>
              <w:rPr>
                <w:sz w:val="18"/>
                <w:szCs w:val="18"/>
                <w:spacing w:val="-2"/>
              </w:rPr>
              <w:t>3.0</w:t>
            </w:r>
          </w:p>
        </w:tc>
        <w:tc>
          <w:tcPr>
            <w:tcW w:w="789" w:type="dxa"/>
            <w:vAlign w:val="top"/>
          </w:tcPr>
          <w:p>
            <w:pPr>
              <w:pStyle w:val="TableText"/>
              <w:ind w:left="282"/>
              <w:spacing w:before="136" w:line="188" w:lineRule="auto"/>
              <w:rPr>
                <w:sz w:val="18"/>
                <w:szCs w:val="18"/>
              </w:rPr>
            </w:pPr>
            <w:r>
              <w:rPr>
                <w:sz w:val="18"/>
                <w:szCs w:val="18"/>
                <w:spacing w:val="-1"/>
              </w:rPr>
              <w:t>2.3</w:t>
            </w:r>
          </w:p>
        </w:tc>
        <w:tc>
          <w:tcPr>
            <w:tcW w:w="686" w:type="dxa"/>
            <w:vAlign w:val="top"/>
          </w:tcPr>
          <w:p>
            <w:pPr>
              <w:pStyle w:val="TableText"/>
              <w:ind w:left="247"/>
              <w:spacing w:before="136" w:line="188" w:lineRule="auto"/>
              <w:rPr>
                <w:sz w:val="18"/>
                <w:szCs w:val="18"/>
              </w:rPr>
            </w:pPr>
            <w:r>
              <w:rPr>
                <w:sz w:val="18"/>
                <w:szCs w:val="18"/>
                <w:spacing w:val="-7"/>
              </w:rPr>
              <w:t>1.3</w:t>
            </w:r>
          </w:p>
        </w:tc>
        <w:tc>
          <w:tcPr>
            <w:tcW w:w="713" w:type="dxa"/>
            <w:vAlign w:val="top"/>
          </w:tcPr>
          <w:p>
            <w:pPr>
              <w:pStyle w:val="TableText"/>
              <w:ind w:left="262"/>
              <w:spacing w:before="136" w:line="188" w:lineRule="auto"/>
              <w:rPr>
                <w:sz w:val="18"/>
                <w:szCs w:val="18"/>
              </w:rPr>
            </w:pPr>
            <w:r>
              <w:rPr>
                <w:sz w:val="18"/>
                <w:szCs w:val="18"/>
                <w:spacing w:val="-7"/>
              </w:rPr>
              <w:t>1.7</w:t>
            </w:r>
          </w:p>
        </w:tc>
        <w:tc>
          <w:tcPr>
            <w:tcW w:w="878" w:type="dxa"/>
            <w:vAlign w:val="top"/>
          </w:tcPr>
          <w:p>
            <w:pPr>
              <w:pStyle w:val="TableText"/>
              <w:ind w:left="297"/>
              <w:spacing w:before="136" w:line="188" w:lineRule="auto"/>
              <w:rPr>
                <w:sz w:val="18"/>
                <w:szCs w:val="18"/>
              </w:rPr>
            </w:pPr>
            <w:r>
              <w:rPr>
                <w:sz w:val="18"/>
                <w:szCs w:val="18"/>
                <w:spacing w:val="-6"/>
              </w:rPr>
              <w:t>12.7</w:t>
            </w:r>
          </w:p>
        </w:tc>
        <w:tc>
          <w:tcPr>
            <w:tcW w:w="696" w:type="dxa"/>
            <w:vAlign w:val="top"/>
          </w:tcPr>
          <w:p>
            <w:pPr>
              <w:pStyle w:val="TableText"/>
              <w:ind w:left="192"/>
              <w:spacing w:before="136" w:line="188" w:lineRule="auto"/>
              <w:rPr>
                <w:sz w:val="18"/>
                <w:szCs w:val="18"/>
              </w:rPr>
            </w:pPr>
            <w:r>
              <w:rPr>
                <w:sz w:val="18"/>
                <w:szCs w:val="18"/>
                <w:spacing w:val="-1"/>
              </w:rPr>
              <w:t>24.3</w:t>
            </w:r>
          </w:p>
        </w:tc>
        <w:tc>
          <w:tcPr>
            <w:tcW w:w="883" w:type="dxa"/>
            <w:vAlign w:val="top"/>
          </w:tcPr>
          <w:p>
            <w:pPr>
              <w:pStyle w:val="TableText"/>
              <w:ind w:left="303"/>
              <w:spacing w:before="136" w:line="188" w:lineRule="auto"/>
              <w:rPr>
                <w:sz w:val="18"/>
                <w:szCs w:val="18"/>
              </w:rPr>
            </w:pPr>
            <w:r>
              <w:rPr>
                <w:sz w:val="18"/>
                <w:szCs w:val="18"/>
                <w:spacing w:val="-6"/>
              </w:rPr>
              <w:t>14.0</w:t>
            </w:r>
          </w:p>
        </w:tc>
        <w:tc>
          <w:tcPr>
            <w:tcW w:w="909" w:type="dxa"/>
            <w:vAlign w:val="top"/>
          </w:tcPr>
          <w:p>
            <w:pPr>
              <w:pStyle w:val="TableText"/>
              <w:ind w:left="346"/>
              <w:spacing w:before="139" w:line="185" w:lineRule="auto"/>
              <w:rPr>
                <w:sz w:val="18"/>
                <w:szCs w:val="18"/>
              </w:rPr>
            </w:pPr>
            <w:r>
              <w:rPr>
                <w:sz w:val="18"/>
                <w:szCs w:val="18"/>
                <w:spacing w:val="-2"/>
              </w:rPr>
              <w:t>7.7</w:t>
            </w:r>
          </w:p>
        </w:tc>
        <w:tc>
          <w:tcPr>
            <w:tcW w:w="717" w:type="dxa"/>
            <w:vAlign w:val="top"/>
          </w:tcPr>
          <w:p>
            <w:pPr>
              <w:pStyle w:val="TableText"/>
              <w:ind w:left="249"/>
              <w:spacing w:before="136" w:line="188" w:lineRule="auto"/>
              <w:rPr>
                <w:sz w:val="18"/>
                <w:szCs w:val="18"/>
              </w:rPr>
            </w:pPr>
            <w:r>
              <w:rPr>
                <w:sz w:val="18"/>
                <w:szCs w:val="18"/>
                <w:spacing w:val="-2"/>
              </w:rPr>
              <w:t>3.0</w:t>
            </w:r>
          </w:p>
        </w:tc>
        <w:tc>
          <w:tcPr>
            <w:tcW w:w="729" w:type="dxa"/>
            <w:vAlign w:val="top"/>
          </w:tcPr>
          <w:p>
            <w:pPr>
              <w:pStyle w:val="TableText"/>
              <w:ind w:left="270"/>
              <w:spacing w:before="136" w:line="188" w:lineRule="auto"/>
              <w:rPr>
                <w:sz w:val="18"/>
                <w:szCs w:val="18"/>
              </w:rPr>
            </w:pPr>
            <w:r>
              <w:rPr>
                <w:sz w:val="18"/>
                <w:szCs w:val="18"/>
                <w:spacing w:val="-7"/>
              </w:rPr>
              <w:t>1.0</w:t>
            </w:r>
          </w:p>
        </w:tc>
        <w:tc>
          <w:tcPr>
            <w:tcW w:w="720" w:type="dxa"/>
            <w:vAlign w:val="top"/>
          </w:tcPr>
          <w:p>
            <w:pPr>
              <w:pStyle w:val="TableText"/>
              <w:ind w:left="203"/>
              <w:spacing w:before="136" w:line="188" w:lineRule="auto"/>
              <w:rPr>
                <w:sz w:val="18"/>
                <w:szCs w:val="18"/>
              </w:rPr>
            </w:pPr>
            <w:r>
              <w:rPr>
                <w:sz w:val="18"/>
                <w:szCs w:val="18"/>
                <w:spacing w:val="-1"/>
              </w:rPr>
              <w:t>22.7</w:t>
            </w:r>
          </w:p>
        </w:tc>
      </w:tr>
      <w:tr>
        <w:trPr>
          <w:trHeight w:val="395" w:hRule="atLeast"/>
        </w:trPr>
        <w:tc>
          <w:tcPr>
            <w:tcW w:w="1233" w:type="dxa"/>
            <w:vAlign w:val="top"/>
          </w:tcPr>
          <w:p>
            <w:pPr>
              <w:ind w:left="109"/>
              <w:spacing w:before="104" w:line="219" w:lineRule="auto"/>
              <w:rPr>
                <w:rFonts w:ascii="SimSun" w:hAnsi="SimSun" w:eastAsia="SimSun" w:cs="SimSun"/>
                <w:sz w:val="18"/>
                <w:szCs w:val="18"/>
              </w:rPr>
            </w:pPr>
            <w:r>
              <w:rPr>
                <w:rFonts w:ascii="SimSun" w:hAnsi="SimSun" w:eastAsia="SimSun" w:cs="SimSun"/>
                <w:sz w:val="18"/>
                <w:szCs w:val="18"/>
                <w:spacing w:val="-2"/>
              </w:rPr>
              <w:t>春季（四月）</w:t>
            </w:r>
          </w:p>
        </w:tc>
        <w:tc>
          <w:tcPr>
            <w:tcW w:w="655" w:type="dxa"/>
            <w:vAlign w:val="top"/>
          </w:tcPr>
          <w:p>
            <w:pPr>
              <w:pStyle w:val="TableText"/>
              <w:ind w:left="212"/>
              <w:spacing w:before="135" w:line="188" w:lineRule="auto"/>
              <w:rPr>
                <w:sz w:val="18"/>
                <w:szCs w:val="18"/>
              </w:rPr>
            </w:pPr>
            <w:r>
              <w:rPr>
                <w:sz w:val="18"/>
                <w:szCs w:val="18"/>
                <w:spacing w:val="-1"/>
              </w:rPr>
              <w:t>4.7</w:t>
            </w:r>
          </w:p>
        </w:tc>
        <w:tc>
          <w:tcPr>
            <w:tcW w:w="787" w:type="dxa"/>
            <w:vAlign w:val="top"/>
          </w:tcPr>
          <w:p>
            <w:pPr>
              <w:pStyle w:val="TableText"/>
              <w:ind w:left="277"/>
              <w:spacing w:before="135" w:line="188" w:lineRule="auto"/>
              <w:rPr>
                <w:sz w:val="18"/>
                <w:szCs w:val="18"/>
              </w:rPr>
            </w:pPr>
            <w:r>
              <w:rPr>
                <w:sz w:val="18"/>
                <w:szCs w:val="18"/>
                <w:spacing w:val="-1"/>
              </w:rPr>
              <w:t>4.0</w:t>
            </w:r>
          </w:p>
        </w:tc>
        <w:tc>
          <w:tcPr>
            <w:tcW w:w="772" w:type="dxa"/>
            <w:vAlign w:val="top"/>
          </w:tcPr>
          <w:p>
            <w:pPr>
              <w:pStyle w:val="TableText"/>
              <w:ind w:left="290"/>
              <w:spacing w:before="135" w:line="188" w:lineRule="auto"/>
              <w:rPr>
                <w:sz w:val="18"/>
                <w:szCs w:val="18"/>
              </w:rPr>
            </w:pPr>
            <w:r>
              <w:rPr>
                <w:sz w:val="18"/>
                <w:szCs w:val="18"/>
                <w:spacing w:val="-7"/>
              </w:rPr>
              <w:t>1.3</w:t>
            </w:r>
          </w:p>
        </w:tc>
        <w:tc>
          <w:tcPr>
            <w:tcW w:w="789" w:type="dxa"/>
            <w:vAlign w:val="top"/>
          </w:tcPr>
          <w:p>
            <w:pPr>
              <w:pStyle w:val="TableText"/>
              <w:ind w:left="298"/>
              <w:spacing w:before="135" w:line="188" w:lineRule="auto"/>
              <w:rPr>
                <w:sz w:val="18"/>
                <w:szCs w:val="18"/>
              </w:rPr>
            </w:pPr>
            <w:r>
              <w:rPr>
                <w:sz w:val="18"/>
                <w:szCs w:val="18"/>
                <w:spacing w:val="-7"/>
              </w:rPr>
              <w:t>1.3</w:t>
            </w:r>
          </w:p>
        </w:tc>
        <w:tc>
          <w:tcPr>
            <w:tcW w:w="655" w:type="dxa"/>
            <w:vAlign w:val="top"/>
          </w:tcPr>
          <w:p>
            <w:pPr>
              <w:pStyle w:val="TableText"/>
              <w:ind w:left="214"/>
              <w:spacing w:before="135" w:line="188" w:lineRule="auto"/>
              <w:rPr>
                <w:sz w:val="18"/>
                <w:szCs w:val="18"/>
              </w:rPr>
            </w:pPr>
            <w:r>
              <w:rPr>
                <w:sz w:val="18"/>
                <w:szCs w:val="18"/>
                <w:spacing w:val="-1"/>
              </w:rPr>
              <w:t>2.7</w:t>
            </w:r>
          </w:p>
        </w:tc>
        <w:tc>
          <w:tcPr>
            <w:tcW w:w="787" w:type="dxa"/>
            <w:vAlign w:val="top"/>
          </w:tcPr>
          <w:p>
            <w:pPr>
              <w:pStyle w:val="TableText"/>
              <w:ind w:left="279"/>
              <w:spacing w:before="135" w:line="188" w:lineRule="auto"/>
              <w:rPr>
                <w:sz w:val="18"/>
                <w:szCs w:val="18"/>
              </w:rPr>
            </w:pPr>
            <w:r>
              <w:rPr>
                <w:sz w:val="18"/>
                <w:szCs w:val="18"/>
                <w:spacing w:val="-1"/>
              </w:rPr>
              <w:t>2.3</w:t>
            </w:r>
          </w:p>
        </w:tc>
        <w:tc>
          <w:tcPr>
            <w:tcW w:w="773" w:type="dxa"/>
            <w:vAlign w:val="top"/>
          </w:tcPr>
          <w:p>
            <w:pPr>
              <w:pStyle w:val="TableText"/>
              <w:ind w:left="275"/>
              <w:spacing w:before="135" w:line="188" w:lineRule="auto"/>
              <w:rPr>
                <w:sz w:val="18"/>
                <w:szCs w:val="18"/>
              </w:rPr>
            </w:pPr>
            <w:r>
              <w:rPr>
                <w:sz w:val="18"/>
                <w:szCs w:val="18"/>
                <w:spacing w:val="-1"/>
              </w:rPr>
              <w:t>2.3</w:t>
            </w:r>
          </w:p>
        </w:tc>
        <w:tc>
          <w:tcPr>
            <w:tcW w:w="789" w:type="dxa"/>
            <w:vAlign w:val="top"/>
          </w:tcPr>
          <w:p>
            <w:pPr>
              <w:pStyle w:val="TableText"/>
              <w:ind w:left="282"/>
              <w:spacing w:before="135" w:line="188" w:lineRule="auto"/>
              <w:rPr>
                <w:sz w:val="18"/>
                <w:szCs w:val="18"/>
              </w:rPr>
            </w:pPr>
            <w:r>
              <w:rPr>
                <w:sz w:val="18"/>
                <w:szCs w:val="18"/>
                <w:spacing w:val="-1"/>
              </w:rPr>
              <w:t>2.7</w:t>
            </w:r>
          </w:p>
        </w:tc>
        <w:tc>
          <w:tcPr>
            <w:tcW w:w="686" w:type="dxa"/>
            <w:vAlign w:val="top"/>
          </w:tcPr>
          <w:p>
            <w:pPr>
              <w:pStyle w:val="TableText"/>
              <w:ind w:left="247"/>
              <w:spacing w:before="135" w:line="188" w:lineRule="auto"/>
              <w:rPr>
                <w:sz w:val="18"/>
                <w:szCs w:val="18"/>
              </w:rPr>
            </w:pPr>
            <w:r>
              <w:rPr>
                <w:sz w:val="18"/>
                <w:szCs w:val="18"/>
                <w:spacing w:val="-7"/>
              </w:rPr>
              <w:t>1.7</w:t>
            </w:r>
          </w:p>
        </w:tc>
        <w:tc>
          <w:tcPr>
            <w:tcW w:w="713" w:type="dxa"/>
            <w:vAlign w:val="top"/>
          </w:tcPr>
          <w:p>
            <w:pPr>
              <w:pStyle w:val="TableText"/>
              <w:ind w:left="248"/>
              <w:spacing w:before="135" w:line="188" w:lineRule="auto"/>
              <w:rPr>
                <w:sz w:val="18"/>
                <w:szCs w:val="18"/>
              </w:rPr>
            </w:pPr>
            <w:r>
              <w:rPr>
                <w:sz w:val="18"/>
                <w:szCs w:val="18"/>
                <w:spacing w:val="-3"/>
              </w:rPr>
              <w:t>6.7</w:t>
            </w:r>
          </w:p>
        </w:tc>
        <w:tc>
          <w:tcPr>
            <w:tcW w:w="878" w:type="dxa"/>
            <w:vAlign w:val="top"/>
          </w:tcPr>
          <w:p>
            <w:pPr>
              <w:pStyle w:val="TableText"/>
              <w:ind w:left="333"/>
              <w:spacing w:before="135" w:line="188" w:lineRule="auto"/>
              <w:rPr>
                <w:sz w:val="18"/>
                <w:szCs w:val="18"/>
              </w:rPr>
            </w:pPr>
            <w:r>
              <w:rPr>
                <w:sz w:val="18"/>
                <w:szCs w:val="18"/>
                <w:spacing w:val="-4"/>
              </w:rPr>
              <w:t>8.7</w:t>
            </w:r>
          </w:p>
        </w:tc>
        <w:tc>
          <w:tcPr>
            <w:tcW w:w="696" w:type="dxa"/>
            <w:vAlign w:val="top"/>
          </w:tcPr>
          <w:p>
            <w:pPr>
              <w:pStyle w:val="TableText"/>
              <w:ind w:left="209"/>
              <w:spacing w:before="135" w:line="188" w:lineRule="auto"/>
              <w:rPr>
                <w:sz w:val="18"/>
                <w:szCs w:val="18"/>
              </w:rPr>
            </w:pPr>
            <w:r>
              <w:rPr>
                <w:sz w:val="18"/>
                <w:szCs w:val="18"/>
                <w:spacing w:val="-6"/>
              </w:rPr>
              <w:t>14.0</w:t>
            </w:r>
          </w:p>
        </w:tc>
        <w:tc>
          <w:tcPr>
            <w:tcW w:w="883" w:type="dxa"/>
            <w:vAlign w:val="top"/>
          </w:tcPr>
          <w:p>
            <w:pPr>
              <w:pStyle w:val="TableText"/>
              <w:ind w:left="332"/>
              <w:spacing w:before="135" w:line="188" w:lineRule="auto"/>
              <w:rPr>
                <w:sz w:val="18"/>
                <w:szCs w:val="18"/>
              </w:rPr>
            </w:pPr>
            <w:r>
              <w:rPr>
                <w:sz w:val="18"/>
                <w:szCs w:val="18"/>
                <w:spacing w:val="-2"/>
              </w:rPr>
              <w:t>9.3</w:t>
            </w:r>
          </w:p>
        </w:tc>
        <w:tc>
          <w:tcPr>
            <w:tcW w:w="909" w:type="dxa"/>
            <w:vAlign w:val="top"/>
          </w:tcPr>
          <w:p>
            <w:pPr>
              <w:pStyle w:val="TableText"/>
              <w:ind w:left="350"/>
              <w:spacing w:before="135" w:line="188" w:lineRule="auto"/>
              <w:rPr>
                <w:sz w:val="18"/>
                <w:szCs w:val="18"/>
              </w:rPr>
            </w:pPr>
            <w:r>
              <w:rPr>
                <w:sz w:val="18"/>
                <w:szCs w:val="18"/>
                <w:spacing w:val="-4"/>
              </w:rPr>
              <w:t>8.7</w:t>
            </w:r>
          </w:p>
        </w:tc>
        <w:tc>
          <w:tcPr>
            <w:tcW w:w="717" w:type="dxa"/>
            <w:vAlign w:val="top"/>
          </w:tcPr>
          <w:p>
            <w:pPr>
              <w:pStyle w:val="TableText"/>
              <w:ind w:left="248"/>
              <w:spacing w:before="138" w:line="185" w:lineRule="auto"/>
              <w:rPr>
                <w:sz w:val="18"/>
                <w:szCs w:val="18"/>
              </w:rPr>
            </w:pPr>
            <w:r>
              <w:rPr>
                <w:sz w:val="18"/>
                <w:szCs w:val="18"/>
                <w:spacing w:val="-2"/>
              </w:rPr>
              <w:t>7.7</w:t>
            </w:r>
          </w:p>
        </w:tc>
        <w:tc>
          <w:tcPr>
            <w:tcW w:w="729" w:type="dxa"/>
            <w:vAlign w:val="top"/>
          </w:tcPr>
          <w:p>
            <w:pPr>
              <w:pStyle w:val="TableText"/>
              <w:ind w:left="252"/>
              <w:spacing w:before="135" w:line="188" w:lineRule="auto"/>
              <w:rPr>
                <w:sz w:val="18"/>
                <w:szCs w:val="18"/>
              </w:rPr>
            </w:pPr>
            <w:r>
              <w:rPr>
                <w:sz w:val="18"/>
                <w:szCs w:val="18"/>
                <w:spacing w:val="-1"/>
              </w:rPr>
              <w:t>4.3</w:t>
            </w:r>
          </w:p>
        </w:tc>
        <w:tc>
          <w:tcPr>
            <w:tcW w:w="720" w:type="dxa"/>
            <w:vAlign w:val="top"/>
          </w:tcPr>
          <w:p>
            <w:pPr>
              <w:pStyle w:val="TableText"/>
              <w:ind w:left="203"/>
              <w:spacing w:before="135" w:line="188" w:lineRule="auto"/>
              <w:rPr>
                <w:sz w:val="18"/>
                <w:szCs w:val="18"/>
              </w:rPr>
            </w:pPr>
            <w:r>
              <w:rPr>
                <w:sz w:val="18"/>
                <w:szCs w:val="18"/>
                <w:spacing w:val="-1"/>
              </w:rPr>
              <w:t>20.0</w:t>
            </w:r>
          </w:p>
        </w:tc>
      </w:tr>
      <w:tr>
        <w:trPr>
          <w:trHeight w:val="397" w:hRule="atLeast"/>
        </w:trPr>
        <w:tc>
          <w:tcPr>
            <w:tcW w:w="1233" w:type="dxa"/>
            <w:vAlign w:val="top"/>
          </w:tcPr>
          <w:p>
            <w:pPr>
              <w:ind w:left="110"/>
              <w:spacing w:before="107" w:line="219" w:lineRule="auto"/>
              <w:rPr>
                <w:rFonts w:ascii="SimSun" w:hAnsi="SimSun" w:eastAsia="SimSun" w:cs="SimSun"/>
                <w:sz w:val="18"/>
                <w:szCs w:val="18"/>
              </w:rPr>
            </w:pPr>
            <w:r>
              <w:rPr>
                <w:rFonts w:ascii="SimSun" w:hAnsi="SimSun" w:eastAsia="SimSun" w:cs="SimSun"/>
                <w:sz w:val="18"/>
                <w:szCs w:val="18"/>
                <w:spacing w:val="-2"/>
              </w:rPr>
              <w:t>夏季（七月）</w:t>
            </w:r>
          </w:p>
        </w:tc>
        <w:tc>
          <w:tcPr>
            <w:tcW w:w="655" w:type="dxa"/>
            <w:vAlign w:val="top"/>
          </w:tcPr>
          <w:p>
            <w:pPr>
              <w:pStyle w:val="TableText"/>
              <w:ind w:left="216"/>
              <w:spacing w:before="138" w:line="188" w:lineRule="auto"/>
              <w:rPr>
                <w:sz w:val="18"/>
                <w:szCs w:val="18"/>
              </w:rPr>
            </w:pPr>
            <w:r>
              <w:rPr>
                <w:sz w:val="18"/>
                <w:szCs w:val="18"/>
                <w:spacing w:val="-2"/>
              </w:rPr>
              <w:t>3.7</w:t>
            </w:r>
          </w:p>
        </w:tc>
        <w:tc>
          <w:tcPr>
            <w:tcW w:w="787" w:type="dxa"/>
            <w:vAlign w:val="top"/>
          </w:tcPr>
          <w:p>
            <w:pPr>
              <w:pStyle w:val="TableText"/>
              <w:ind w:left="277"/>
              <w:spacing w:before="138" w:line="188" w:lineRule="auto"/>
              <w:rPr>
                <w:sz w:val="18"/>
                <w:szCs w:val="18"/>
              </w:rPr>
            </w:pPr>
            <w:r>
              <w:rPr>
                <w:sz w:val="18"/>
                <w:szCs w:val="18"/>
                <w:spacing w:val="-1"/>
              </w:rPr>
              <w:t>2.3</w:t>
            </w:r>
          </w:p>
        </w:tc>
        <w:tc>
          <w:tcPr>
            <w:tcW w:w="772" w:type="dxa"/>
            <w:vAlign w:val="top"/>
          </w:tcPr>
          <w:p>
            <w:pPr>
              <w:pStyle w:val="TableText"/>
              <w:ind w:left="290"/>
              <w:spacing w:before="138" w:line="188" w:lineRule="auto"/>
              <w:rPr>
                <w:sz w:val="18"/>
                <w:szCs w:val="18"/>
              </w:rPr>
            </w:pPr>
            <w:r>
              <w:rPr>
                <w:sz w:val="18"/>
                <w:szCs w:val="18"/>
                <w:spacing w:val="-7"/>
              </w:rPr>
              <w:t>1.7</w:t>
            </w:r>
          </w:p>
        </w:tc>
        <w:tc>
          <w:tcPr>
            <w:tcW w:w="789" w:type="dxa"/>
            <w:vAlign w:val="top"/>
          </w:tcPr>
          <w:p>
            <w:pPr>
              <w:pStyle w:val="TableText"/>
              <w:ind w:left="281"/>
              <w:spacing w:before="138" w:line="188" w:lineRule="auto"/>
              <w:rPr>
                <w:sz w:val="18"/>
                <w:szCs w:val="18"/>
              </w:rPr>
            </w:pPr>
            <w:r>
              <w:rPr>
                <w:sz w:val="18"/>
                <w:szCs w:val="18"/>
                <w:spacing w:val="-1"/>
              </w:rPr>
              <w:t>2.3</w:t>
            </w:r>
          </w:p>
        </w:tc>
        <w:tc>
          <w:tcPr>
            <w:tcW w:w="655" w:type="dxa"/>
            <w:vAlign w:val="top"/>
          </w:tcPr>
          <w:p>
            <w:pPr>
              <w:pStyle w:val="TableText"/>
              <w:ind w:left="219"/>
              <w:spacing w:before="138" w:line="188" w:lineRule="auto"/>
              <w:rPr>
                <w:sz w:val="18"/>
                <w:szCs w:val="18"/>
              </w:rPr>
            </w:pPr>
            <w:r>
              <w:rPr>
                <w:sz w:val="18"/>
                <w:szCs w:val="18"/>
                <w:spacing w:val="-3"/>
              </w:rPr>
              <w:t>5.3</w:t>
            </w:r>
          </w:p>
        </w:tc>
        <w:tc>
          <w:tcPr>
            <w:tcW w:w="787" w:type="dxa"/>
            <w:vAlign w:val="top"/>
          </w:tcPr>
          <w:p>
            <w:pPr>
              <w:pStyle w:val="TableText"/>
              <w:ind w:left="283"/>
              <w:spacing w:before="138" w:line="188" w:lineRule="auto"/>
              <w:rPr>
                <w:sz w:val="18"/>
                <w:szCs w:val="18"/>
              </w:rPr>
            </w:pPr>
            <w:r>
              <w:rPr>
                <w:sz w:val="18"/>
                <w:szCs w:val="18"/>
                <w:spacing w:val="-2"/>
              </w:rPr>
              <w:t>6.0</w:t>
            </w:r>
          </w:p>
        </w:tc>
        <w:tc>
          <w:tcPr>
            <w:tcW w:w="773" w:type="dxa"/>
            <w:vAlign w:val="top"/>
          </w:tcPr>
          <w:p>
            <w:pPr>
              <w:pStyle w:val="TableText"/>
              <w:ind w:left="278"/>
              <w:spacing w:before="138" w:line="188" w:lineRule="auto"/>
              <w:rPr>
                <w:sz w:val="18"/>
                <w:szCs w:val="18"/>
              </w:rPr>
            </w:pPr>
            <w:r>
              <w:rPr>
                <w:sz w:val="18"/>
                <w:szCs w:val="18"/>
                <w:spacing w:val="-2"/>
              </w:rPr>
              <w:t>9.7</w:t>
            </w:r>
          </w:p>
        </w:tc>
        <w:tc>
          <w:tcPr>
            <w:tcW w:w="789" w:type="dxa"/>
            <w:vAlign w:val="top"/>
          </w:tcPr>
          <w:p>
            <w:pPr>
              <w:pStyle w:val="TableText"/>
              <w:ind w:left="281"/>
              <w:spacing w:before="138" w:line="188" w:lineRule="auto"/>
              <w:rPr>
                <w:sz w:val="18"/>
                <w:szCs w:val="18"/>
              </w:rPr>
            </w:pPr>
            <w:r>
              <w:rPr>
                <w:sz w:val="18"/>
                <w:szCs w:val="18"/>
                <w:spacing w:val="-1"/>
              </w:rPr>
              <w:t>4.3</w:t>
            </w:r>
          </w:p>
        </w:tc>
        <w:tc>
          <w:tcPr>
            <w:tcW w:w="686" w:type="dxa"/>
            <w:vAlign w:val="top"/>
          </w:tcPr>
          <w:p>
            <w:pPr>
              <w:pStyle w:val="TableText"/>
              <w:ind w:left="229"/>
              <w:spacing w:before="138" w:line="188" w:lineRule="auto"/>
              <w:rPr>
                <w:sz w:val="18"/>
                <w:szCs w:val="18"/>
              </w:rPr>
            </w:pPr>
            <w:r>
              <w:rPr>
                <w:sz w:val="18"/>
                <w:szCs w:val="18"/>
                <w:spacing w:val="-1"/>
              </w:rPr>
              <w:t>2.3</w:t>
            </w:r>
          </w:p>
        </w:tc>
        <w:tc>
          <w:tcPr>
            <w:tcW w:w="713" w:type="dxa"/>
            <w:vAlign w:val="top"/>
          </w:tcPr>
          <w:p>
            <w:pPr>
              <w:pStyle w:val="TableText"/>
              <w:ind w:left="249"/>
              <w:spacing w:before="138" w:line="188" w:lineRule="auto"/>
              <w:rPr>
                <w:sz w:val="18"/>
                <w:szCs w:val="18"/>
              </w:rPr>
            </w:pPr>
            <w:r>
              <w:rPr>
                <w:sz w:val="18"/>
                <w:szCs w:val="18"/>
                <w:spacing w:val="-3"/>
              </w:rPr>
              <w:t>5.0</w:t>
            </w:r>
          </w:p>
        </w:tc>
        <w:tc>
          <w:tcPr>
            <w:tcW w:w="878" w:type="dxa"/>
            <w:vAlign w:val="top"/>
          </w:tcPr>
          <w:p>
            <w:pPr>
              <w:pStyle w:val="TableText"/>
              <w:ind w:left="331"/>
              <w:spacing w:before="138" w:line="188" w:lineRule="auto"/>
              <w:rPr>
                <w:sz w:val="18"/>
                <w:szCs w:val="18"/>
              </w:rPr>
            </w:pPr>
            <w:r>
              <w:rPr>
                <w:sz w:val="18"/>
                <w:szCs w:val="18"/>
                <w:spacing w:val="-3"/>
              </w:rPr>
              <w:t>5.3</w:t>
            </w:r>
          </w:p>
        </w:tc>
        <w:tc>
          <w:tcPr>
            <w:tcW w:w="696" w:type="dxa"/>
            <w:vAlign w:val="top"/>
          </w:tcPr>
          <w:p>
            <w:pPr>
              <w:pStyle w:val="TableText"/>
              <w:ind w:left="242"/>
              <w:spacing w:before="138" w:line="188" w:lineRule="auto"/>
              <w:rPr>
                <w:sz w:val="18"/>
                <w:szCs w:val="18"/>
              </w:rPr>
            </w:pPr>
            <w:r>
              <w:rPr>
                <w:sz w:val="18"/>
                <w:szCs w:val="18"/>
                <w:spacing w:val="-3"/>
              </w:rPr>
              <w:t>5.3</w:t>
            </w:r>
          </w:p>
        </w:tc>
        <w:tc>
          <w:tcPr>
            <w:tcW w:w="883" w:type="dxa"/>
            <w:vAlign w:val="top"/>
          </w:tcPr>
          <w:p>
            <w:pPr>
              <w:pStyle w:val="TableText"/>
              <w:ind w:left="332"/>
              <w:spacing w:before="138" w:line="188" w:lineRule="auto"/>
              <w:rPr>
                <w:sz w:val="18"/>
                <w:szCs w:val="18"/>
              </w:rPr>
            </w:pPr>
            <w:r>
              <w:rPr>
                <w:sz w:val="18"/>
                <w:szCs w:val="18"/>
                <w:spacing w:val="-2"/>
              </w:rPr>
              <w:t>3.3</w:t>
            </w:r>
          </w:p>
        </w:tc>
        <w:tc>
          <w:tcPr>
            <w:tcW w:w="909" w:type="dxa"/>
            <w:vAlign w:val="top"/>
          </w:tcPr>
          <w:p>
            <w:pPr>
              <w:pStyle w:val="TableText"/>
              <w:ind w:left="342"/>
              <w:spacing w:before="138" w:line="188" w:lineRule="auto"/>
              <w:rPr>
                <w:sz w:val="18"/>
                <w:szCs w:val="18"/>
              </w:rPr>
            </w:pPr>
            <w:r>
              <w:rPr>
                <w:sz w:val="18"/>
                <w:szCs w:val="18"/>
                <w:spacing w:val="-1"/>
              </w:rPr>
              <w:t>4.7</w:t>
            </w:r>
          </w:p>
        </w:tc>
        <w:tc>
          <w:tcPr>
            <w:tcW w:w="717" w:type="dxa"/>
            <w:vAlign w:val="top"/>
          </w:tcPr>
          <w:p>
            <w:pPr>
              <w:pStyle w:val="TableText"/>
              <w:ind w:left="249"/>
              <w:spacing w:before="138" w:line="188" w:lineRule="auto"/>
              <w:rPr>
                <w:sz w:val="18"/>
                <w:szCs w:val="18"/>
              </w:rPr>
            </w:pPr>
            <w:r>
              <w:rPr>
                <w:sz w:val="18"/>
                <w:szCs w:val="18"/>
                <w:spacing w:val="-2"/>
              </w:rPr>
              <w:t>6.0</w:t>
            </w:r>
          </w:p>
        </w:tc>
        <w:tc>
          <w:tcPr>
            <w:tcW w:w="729" w:type="dxa"/>
            <w:vAlign w:val="top"/>
          </w:tcPr>
          <w:p>
            <w:pPr>
              <w:pStyle w:val="TableText"/>
              <w:ind w:left="270"/>
              <w:spacing w:before="138" w:line="188" w:lineRule="auto"/>
              <w:rPr>
                <w:sz w:val="18"/>
                <w:szCs w:val="18"/>
              </w:rPr>
            </w:pPr>
            <w:r>
              <w:rPr>
                <w:sz w:val="18"/>
                <w:szCs w:val="18"/>
                <w:spacing w:val="-7"/>
              </w:rPr>
              <w:t>1.7</w:t>
            </w:r>
          </w:p>
        </w:tc>
        <w:tc>
          <w:tcPr>
            <w:tcW w:w="720" w:type="dxa"/>
            <w:vAlign w:val="top"/>
          </w:tcPr>
          <w:p>
            <w:pPr>
              <w:pStyle w:val="TableText"/>
              <w:ind w:left="207"/>
              <w:spacing w:before="138" w:line="188" w:lineRule="auto"/>
              <w:rPr>
                <w:sz w:val="18"/>
                <w:szCs w:val="18"/>
              </w:rPr>
            </w:pPr>
            <w:r>
              <w:rPr>
                <w:sz w:val="18"/>
                <w:szCs w:val="18"/>
                <w:spacing w:val="-2"/>
              </w:rPr>
              <w:t>30.0</w:t>
            </w:r>
          </w:p>
        </w:tc>
      </w:tr>
      <w:tr>
        <w:trPr>
          <w:trHeight w:val="395" w:hRule="atLeast"/>
        </w:trPr>
        <w:tc>
          <w:tcPr>
            <w:tcW w:w="1233" w:type="dxa"/>
            <w:vAlign w:val="top"/>
          </w:tcPr>
          <w:p>
            <w:pPr>
              <w:ind w:left="111"/>
              <w:spacing w:before="106" w:line="219" w:lineRule="auto"/>
              <w:rPr>
                <w:rFonts w:ascii="SimSun" w:hAnsi="SimSun" w:eastAsia="SimSun" w:cs="SimSun"/>
                <w:sz w:val="18"/>
                <w:szCs w:val="18"/>
              </w:rPr>
            </w:pPr>
            <w:r>
              <w:rPr>
                <w:rFonts w:ascii="SimSun" w:hAnsi="SimSun" w:eastAsia="SimSun" w:cs="SimSun"/>
                <w:sz w:val="18"/>
                <w:szCs w:val="18"/>
                <w:spacing w:val="-2"/>
              </w:rPr>
              <w:t>秋季（十月）</w:t>
            </w:r>
          </w:p>
        </w:tc>
        <w:tc>
          <w:tcPr>
            <w:tcW w:w="655" w:type="dxa"/>
            <w:vAlign w:val="top"/>
          </w:tcPr>
          <w:p>
            <w:pPr>
              <w:pStyle w:val="TableText"/>
              <w:ind w:left="216"/>
              <w:spacing w:before="137" w:line="188" w:lineRule="auto"/>
              <w:rPr>
                <w:sz w:val="18"/>
                <w:szCs w:val="18"/>
              </w:rPr>
            </w:pPr>
            <w:r>
              <w:rPr>
                <w:sz w:val="18"/>
                <w:szCs w:val="18"/>
                <w:spacing w:val="-2"/>
              </w:rPr>
              <w:t>3.7</w:t>
            </w:r>
          </w:p>
        </w:tc>
        <w:tc>
          <w:tcPr>
            <w:tcW w:w="787" w:type="dxa"/>
            <w:vAlign w:val="top"/>
          </w:tcPr>
          <w:p>
            <w:pPr>
              <w:pStyle w:val="TableText"/>
              <w:ind w:left="277"/>
              <w:spacing w:before="137" w:line="188" w:lineRule="auto"/>
              <w:rPr>
                <w:sz w:val="18"/>
                <w:szCs w:val="18"/>
              </w:rPr>
            </w:pPr>
            <w:r>
              <w:rPr>
                <w:sz w:val="18"/>
                <w:szCs w:val="18"/>
                <w:spacing w:val="-1"/>
              </w:rPr>
              <w:t>2.7</w:t>
            </w:r>
          </w:p>
        </w:tc>
        <w:tc>
          <w:tcPr>
            <w:tcW w:w="772" w:type="dxa"/>
            <w:vAlign w:val="top"/>
          </w:tcPr>
          <w:p>
            <w:pPr>
              <w:pStyle w:val="TableText"/>
              <w:ind w:left="276"/>
              <w:spacing w:before="137" w:line="188" w:lineRule="auto"/>
              <w:rPr>
                <w:sz w:val="18"/>
                <w:szCs w:val="18"/>
              </w:rPr>
            </w:pPr>
            <w:r>
              <w:rPr>
                <w:sz w:val="18"/>
                <w:szCs w:val="18"/>
                <w:spacing w:val="-2"/>
              </w:rPr>
              <w:t>0.7</w:t>
            </w:r>
          </w:p>
        </w:tc>
        <w:tc>
          <w:tcPr>
            <w:tcW w:w="789" w:type="dxa"/>
            <w:vAlign w:val="top"/>
          </w:tcPr>
          <w:p>
            <w:pPr>
              <w:pStyle w:val="TableText"/>
              <w:ind w:left="281"/>
              <w:spacing w:before="137" w:line="188" w:lineRule="auto"/>
              <w:rPr>
                <w:sz w:val="18"/>
                <w:szCs w:val="18"/>
              </w:rPr>
            </w:pPr>
            <w:r>
              <w:rPr>
                <w:sz w:val="18"/>
                <w:szCs w:val="18"/>
                <w:spacing w:val="-1"/>
              </w:rPr>
              <w:t>2.3</w:t>
            </w:r>
          </w:p>
        </w:tc>
        <w:tc>
          <w:tcPr>
            <w:tcW w:w="655" w:type="dxa"/>
            <w:vAlign w:val="top"/>
          </w:tcPr>
          <w:p>
            <w:pPr>
              <w:pStyle w:val="TableText"/>
              <w:ind w:left="218"/>
              <w:spacing w:before="137" w:line="188" w:lineRule="auto"/>
              <w:rPr>
                <w:sz w:val="18"/>
                <w:szCs w:val="18"/>
              </w:rPr>
            </w:pPr>
            <w:r>
              <w:rPr>
                <w:sz w:val="18"/>
                <w:szCs w:val="18"/>
                <w:spacing w:val="-3"/>
              </w:rPr>
              <w:t>3.7</w:t>
            </w:r>
          </w:p>
        </w:tc>
        <w:tc>
          <w:tcPr>
            <w:tcW w:w="787" w:type="dxa"/>
            <w:vAlign w:val="top"/>
          </w:tcPr>
          <w:p>
            <w:pPr>
              <w:pStyle w:val="TableText"/>
              <w:ind w:left="278"/>
              <w:spacing w:before="137" w:line="188" w:lineRule="auto"/>
              <w:rPr>
                <w:sz w:val="18"/>
                <w:szCs w:val="18"/>
              </w:rPr>
            </w:pPr>
            <w:r>
              <w:rPr>
                <w:sz w:val="18"/>
                <w:szCs w:val="18"/>
                <w:spacing w:val="-1"/>
              </w:rPr>
              <w:t>4.3</w:t>
            </w:r>
          </w:p>
        </w:tc>
        <w:tc>
          <w:tcPr>
            <w:tcW w:w="773" w:type="dxa"/>
            <w:vAlign w:val="top"/>
          </w:tcPr>
          <w:p>
            <w:pPr>
              <w:pStyle w:val="TableText"/>
              <w:ind w:left="275"/>
              <w:spacing w:before="137" w:line="188" w:lineRule="auto"/>
              <w:rPr>
                <w:sz w:val="18"/>
                <w:szCs w:val="18"/>
              </w:rPr>
            </w:pPr>
            <w:r>
              <w:rPr>
                <w:sz w:val="18"/>
                <w:szCs w:val="18"/>
                <w:spacing w:val="-1"/>
              </w:rPr>
              <w:t>2.3</w:t>
            </w:r>
          </w:p>
        </w:tc>
        <w:tc>
          <w:tcPr>
            <w:tcW w:w="789" w:type="dxa"/>
            <w:vAlign w:val="top"/>
          </w:tcPr>
          <w:p>
            <w:pPr>
              <w:pStyle w:val="TableText"/>
              <w:ind w:left="299"/>
              <w:spacing w:before="137" w:line="188" w:lineRule="auto"/>
              <w:rPr>
                <w:sz w:val="18"/>
                <w:szCs w:val="18"/>
              </w:rPr>
            </w:pPr>
            <w:r>
              <w:rPr>
                <w:sz w:val="18"/>
                <w:szCs w:val="18"/>
                <w:spacing w:val="-7"/>
              </w:rPr>
              <w:t>1.3</w:t>
            </w:r>
          </w:p>
        </w:tc>
        <w:tc>
          <w:tcPr>
            <w:tcW w:w="686" w:type="dxa"/>
            <w:vAlign w:val="top"/>
          </w:tcPr>
          <w:p>
            <w:pPr>
              <w:pStyle w:val="TableText"/>
              <w:ind w:left="232"/>
              <w:spacing w:before="137" w:line="188" w:lineRule="auto"/>
              <w:rPr>
                <w:sz w:val="18"/>
                <w:szCs w:val="18"/>
              </w:rPr>
            </w:pPr>
            <w:r>
              <w:rPr>
                <w:sz w:val="18"/>
                <w:szCs w:val="18"/>
                <w:spacing w:val="-2"/>
              </w:rPr>
              <w:t>0.7</w:t>
            </w:r>
          </w:p>
        </w:tc>
        <w:tc>
          <w:tcPr>
            <w:tcW w:w="713" w:type="dxa"/>
            <w:vAlign w:val="top"/>
          </w:tcPr>
          <w:p>
            <w:pPr>
              <w:pStyle w:val="TableText"/>
              <w:ind w:left="244"/>
              <w:spacing w:before="137" w:line="188" w:lineRule="auto"/>
              <w:rPr>
                <w:sz w:val="18"/>
                <w:szCs w:val="18"/>
              </w:rPr>
            </w:pPr>
            <w:r>
              <w:rPr>
                <w:sz w:val="18"/>
                <w:szCs w:val="18"/>
                <w:spacing w:val="-1"/>
              </w:rPr>
              <w:t>2.7</w:t>
            </w:r>
          </w:p>
        </w:tc>
        <w:tc>
          <w:tcPr>
            <w:tcW w:w="878" w:type="dxa"/>
            <w:vAlign w:val="top"/>
          </w:tcPr>
          <w:p>
            <w:pPr>
              <w:pStyle w:val="TableText"/>
              <w:ind w:left="302"/>
              <w:spacing w:before="137" w:line="188" w:lineRule="auto"/>
              <w:rPr>
                <w:sz w:val="18"/>
                <w:szCs w:val="18"/>
              </w:rPr>
            </w:pPr>
            <w:r>
              <w:rPr>
                <w:sz w:val="18"/>
                <w:szCs w:val="18"/>
                <w:spacing w:val="-7"/>
              </w:rPr>
              <w:t>11.0</w:t>
            </w:r>
          </w:p>
        </w:tc>
        <w:tc>
          <w:tcPr>
            <w:tcW w:w="696" w:type="dxa"/>
            <w:vAlign w:val="top"/>
          </w:tcPr>
          <w:p>
            <w:pPr>
              <w:pStyle w:val="TableText"/>
              <w:ind w:left="241"/>
              <w:spacing w:before="137" w:line="188" w:lineRule="auto"/>
              <w:rPr>
                <w:sz w:val="18"/>
                <w:szCs w:val="18"/>
              </w:rPr>
            </w:pPr>
            <w:r>
              <w:rPr>
                <w:sz w:val="18"/>
                <w:szCs w:val="18"/>
                <w:spacing w:val="-2"/>
              </w:rPr>
              <w:t>9.3</w:t>
            </w:r>
          </w:p>
        </w:tc>
        <w:tc>
          <w:tcPr>
            <w:tcW w:w="883" w:type="dxa"/>
            <w:vAlign w:val="top"/>
          </w:tcPr>
          <w:p>
            <w:pPr>
              <w:pStyle w:val="TableText"/>
              <w:ind w:left="332"/>
              <w:spacing w:before="137" w:line="188" w:lineRule="auto"/>
              <w:rPr>
                <w:sz w:val="18"/>
                <w:szCs w:val="18"/>
              </w:rPr>
            </w:pPr>
            <w:r>
              <w:rPr>
                <w:sz w:val="18"/>
                <w:szCs w:val="18"/>
                <w:spacing w:val="-2"/>
              </w:rPr>
              <w:t>9.7</w:t>
            </w:r>
          </w:p>
        </w:tc>
        <w:tc>
          <w:tcPr>
            <w:tcW w:w="909" w:type="dxa"/>
            <w:vAlign w:val="top"/>
          </w:tcPr>
          <w:p>
            <w:pPr>
              <w:pStyle w:val="TableText"/>
              <w:ind w:left="346"/>
              <w:spacing w:before="137" w:line="188" w:lineRule="auto"/>
              <w:rPr>
                <w:sz w:val="18"/>
                <w:szCs w:val="18"/>
              </w:rPr>
            </w:pPr>
            <w:r>
              <w:rPr>
                <w:sz w:val="18"/>
                <w:szCs w:val="18"/>
                <w:spacing w:val="-2"/>
              </w:rPr>
              <w:t>7.0</w:t>
            </w:r>
          </w:p>
        </w:tc>
        <w:tc>
          <w:tcPr>
            <w:tcW w:w="717" w:type="dxa"/>
            <w:vAlign w:val="top"/>
          </w:tcPr>
          <w:p>
            <w:pPr>
              <w:pStyle w:val="TableText"/>
              <w:ind w:left="244"/>
              <w:spacing w:before="137" w:line="188" w:lineRule="auto"/>
              <w:rPr>
                <w:sz w:val="18"/>
                <w:szCs w:val="18"/>
              </w:rPr>
            </w:pPr>
            <w:r>
              <w:rPr>
                <w:sz w:val="18"/>
                <w:szCs w:val="18"/>
                <w:spacing w:val="-1"/>
              </w:rPr>
              <w:t>4.0</w:t>
            </w:r>
          </w:p>
        </w:tc>
        <w:tc>
          <w:tcPr>
            <w:tcW w:w="729" w:type="dxa"/>
            <w:vAlign w:val="top"/>
          </w:tcPr>
          <w:p>
            <w:pPr>
              <w:pStyle w:val="TableText"/>
              <w:ind w:left="253"/>
              <w:spacing w:before="137" w:line="188" w:lineRule="auto"/>
              <w:rPr>
                <w:sz w:val="18"/>
                <w:szCs w:val="18"/>
              </w:rPr>
            </w:pPr>
            <w:r>
              <w:rPr>
                <w:sz w:val="18"/>
                <w:szCs w:val="18"/>
                <w:spacing w:val="-1"/>
              </w:rPr>
              <w:t>2.3</w:t>
            </w:r>
          </w:p>
        </w:tc>
        <w:tc>
          <w:tcPr>
            <w:tcW w:w="720" w:type="dxa"/>
            <w:vAlign w:val="top"/>
          </w:tcPr>
          <w:p>
            <w:pPr>
              <w:pStyle w:val="TableText"/>
              <w:ind w:left="207"/>
              <w:spacing w:before="137" w:line="188" w:lineRule="auto"/>
              <w:rPr>
                <w:sz w:val="18"/>
                <w:szCs w:val="18"/>
              </w:rPr>
            </w:pPr>
            <w:r>
              <w:rPr>
                <w:sz w:val="18"/>
                <w:szCs w:val="18"/>
                <w:spacing w:val="-2"/>
              </w:rPr>
              <w:t>32.0</w:t>
            </w:r>
          </w:p>
        </w:tc>
      </w:tr>
      <w:tr>
        <w:trPr>
          <w:trHeight w:val="400" w:hRule="atLeast"/>
        </w:trPr>
        <w:tc>
          <w:tcPr>
            <w:tcW w:w="1233" w:type="dxa"/>
            <w:vAlign w:val="top"/>
          </w:tcPr>
          <w:p>
            <w:pPr>
              <w:ind w:left="438"/>
              <w:spacing w:before="109" w:line="219" w:lineRule="auto"/>
              <w:rPr>
                <w:rFonts w:ascii="SimSun" w:hAnsi="SimSun" w:eastAsia="SimSun" w:cs="SimSun"/>
                <w:sz w:val="18"/>
                <w:szCs w:val="18"/>
              </w:rPr>
            </w:pPr>
            <w:r>
              <w:rPr>
                <w:rFonts w:ascii="SimSun" w:hAnsi="SimSun" w:eastAsia="SimSun" w:cs="SimSun"/>
                <w:sz w:val="18"/>
                <w:szCs w:val="18"/>
                <w:spacing w:val="-4"/>
              </w:rPr>
              <w:t>全年</w:t>
            </w:r>
          </w:p>
        </w:tc>
        <w:tc>
          <w:tcPr>
            <w:tcW w:w="655" w:type="dxa"/>
            <w:vAlign w:val="top"/>
          </w:tcPr>
          <w:p>
            <w:pPr>
              <w:pStyle w:val="TableText"/>
              <w:ind w:left="216"/>
              <w:spacing w:before="140" w:line="188" w:lineRule="auto"/>
              <w:rPr>
                <w:sz w:val="18"/>
                <w:szCs w:val="18"/>
              </w:rPr>
            </w:pPr>
            <w:r>
              <w:rPr>
                <w:sz w:val="18"/>
                <w:szCs w:val="18"/>
                <w:spacing w:val="-3"/>
              </w:rPr>
              <w:t>3.</w:t>
            </w:r>
            <w:r>
              <w:rPr>
                <w:sz w:val="18"/>
                <w:szCs w:val="18"/>
                <w:spacing w:val="-22"/>
              </w:rPr>
              <w:t xml:space="preserve"> </w:t>
            </w:r>
            <w:r>
              <w:rPr>
                <w:sz w:val="18"/>
                <w:szCs w:val="18"/>
                <w:spacing w:val="-3"/>
              </w:rPr>
              <w:t>1</w:t>
            </w:r>
          </w:p>
        </w:tc>
        <w:tc>
          <w:tcPr>
            <w:tcW w:w="787" w:type="dxa"/>
            <w:vAlign w:val="top"/>
          </w:tcPr>
          <w:p>
            <w:pPr>
              <w:pStyle w:val="TableText"/>
              <w:ind w:left="277"/>
              <w:spacing w:before="140" w:line="188" w:lineRule="auto"/>
              <w:rPr>
                <w:sz w:val="18"/>
                <w:szCs w:val="18"/>
              </w:rPr>
            </w:pPr>
            <w:r>
              <w:rPr>
                <w:sz w:val="18"/>
                <w:szCs w:val="18"/>
                <w:spacing w:val="-1"/>
              </w:rPr>
              <w:t>2.8</w:t>
            </w:r>
          </w:p>
        </w:tc>
        <w:tc>
          <w:tcPr>
            <w:tcW w:w="772" w:type="dxa"/>
            <w:vAlign w:val="top"/>
          </w:tcPr>
          <w:p>
            <w:pPr>
              <w:pStyle w:val="TableText"/>
              <w:ind w:left="290"/>
              <w:spacing w:before="140" w:line="188" w:lineRule="auto"/>
              <w:rPr>
                <w:sz w:val="18"/>
                <w:szCs w:val="18"/>
              </w:rPr>
            </w:pPr>
            <w:r>
              <w:rPr>
                <w:sz w:val="18"/>
                <w:szCs w:val="18"/>
                <w:spacing w:val="-7"/>
              </w:rPr>
              <w:t>1.3</w:t>
            </w:r>
          </w:p>
        </w:tc>
        <w:tc>
          <w:tcPr>
            <w:tcW w:w="789" w:type="dxa"/>
            <w:vAlign w:val="top"/>
          </w:tcPr>
          <w:p>
            <w:pPr>
              <w:pStyle w:val="TableText"/>
              <w:ind w:left="298"/>
              <w:spacing w:before="140" w:line="188" w:lineRule="auto"/>
              <w:rPr>
                <w:sz w:val="18"/>
                <w:szCs w:val="18"/>
              </w:rPr>
            </w:pPr>
            <w:r>
              <w:rPr>
                <w:sz w:val="18"/>
                <w:szCs w:val="18"/>
                <w:spacing w:val="-7"/>
              </w:rPr>
              <w:t>1.6</w:t>
            </w:r>
          </w:p>
        </w:tc>
        <w:tc>
          <w:tcPr>
            <w:tcW w:w="655" w:type="dxa"/>
            <w:vAlign w:val="top"/>
          </w:tcPr>
          <w:p>
            <w:pPr>
              <w:pStyle w:val="TableText"/>
              <w:ind w:left="214"/>
              <w:spacing w:before="140" w:line="188" w:lineRule="auto"/>
              <w:rPr>
                <w:sz w:val="18"/>
                <w:szCs w:val="18"/>
              </w:rPr>
            </w:pPr>
            <w:r>
              <w:rPr>
                <w:sz w:val="18"/>
                <w:szCs w:val="18"/>
                <w:spacing w:val="-1"/>
              </w:rPr>
              <w:t>2.3</w:t>
            </w:r>
          </w:p>
        </w:tc>
        <w:tc>
          <w:tcPr>
            <w:tcW w:w="787" w:type="dxa"/>
            <w:vAlign w:val="top"/>
          </w:tcPr>
          <w:p>
            <w:pPr>
              <w:pStyle w:val="TableText"/>
              <w:ind w:left="284"/>
              <w:spacing w:before="140" w:line="188" w:lineRule="auto"/>
              <w:rPr>
                <w:sz w:val="18"/>
                <w:szCs w:val="18"/>
              </w:rPr>
            </w:pPr>
            <w:r>
              <w:rPr>
                <w:sz w:val="18"/>
                <w:szCs w:val="18"/>
                <w:spacing w:val="-3"/>
              </w:rPr>
              <w:t>5.</w:t>
            </w:r>
            <w:r>
              <w:rPr>
                <w:sz w:val="18"/>
                <w:szCs w:val="18"/>
                <w:spacing w:val="-23"/>
              </w:rPr>
              <w:t xml:space="preserve"> </w:t>
            </w:r>
            <w:r>
              <w:rPr>
                <w:sz w:val="18"/>
                <w:szCs w:val="18"/>
                <w:spacing w:val="-3"/>
              </w:rPr>
              <w:t>1</w:t>
            </w:r>
          </w:p>
        </w:tc>
        <w:tc>
          <w:tcPr>
            <w:tcW w:w="773" w:type="dxa"/>
            <w:vAlign w:val="top"/>
          </w:tcPr>
          <w:p>
            <w:pPr>
              <w:pStyle w:val="TableText"/>
              <w:ind w:left="274"/>
              <w:spacing w:before="140" w:line="188" w:lineRule="auto"/>
              <w:rPr>
                <w:sz w:val="18"/>
                <w:szCs w:val="18"/>
              </w:rPr>
            </w:pPr>
            <w:r>
              <w:rPr>
                <w:sz w:val="18"/>
                <w:szCs w:val="18"/>
                <w:spacing w:val="-1"/>
              </w:rPr>
              <w:t>4.4</w:t>
            </w:r>
          </w:p>
        </w:tc>
        <w:tc>
          <w:tcPr>
            <w:tcW w:w="789" w:type="dxa"/>
            <w:vAlign w:val="top"/>
          </w:tcPr>
          <w:p>
            <w:pPr>
              <w:pStyle w:val="TableText"/>
              <w:ind w:left="282"/>
              <w:spacing w:before="140" w:line="188" w:lineRule="auto"/>
              <w:rPr>
                <w:sz w:val="18"/>
                <w:szCs w:val="18"/>
              </w:rPr>
            </w:pPr>
            <w:r>
              <w:rPr>
                <w:sz w:val="18"/>
                <w:szCs w:val="18"/>
                <w:spacing w:val="-1"/>
              </w:rPr>
              <w:t>2.9</w:t>
            </w:r>
          </w:p>
        </w:tc>
        <w:tc>
          <w:tcPr>
            <w:tcW w:w="686" w:type="dxa"/>
            <w:vAlign w:val="top"/>
          </w:tcPr>
          <w:p>
            <w:pPr>
              <w:pStyle w:val="TableText"/>
              <w:ind w:left="229"/>
              <w:spacing w:before="140" w:line="188" w:lineRule="auto"/>
              <w:rPr>
                <w:sz w:val="18"/>
                <w:szCs w:val="18"/>
              </w:rPr>
            </w:pPr>
            <w:r>
              <w:rPr>
                <w:sz w:val="18"/>
                <w:szCs w:val="18"/>
                <w:spacing w:val="-1"/>
              </w:rPr>
              <w:t>2.</w:t>
            </w:r>
            <w:r>
              <w:rPr>
                <w:sz w:val="18"/>
                <w:szCs w:val="18"/>
                <w:spacing w:val="-24"/>
              </w:rPr>
              <w:t xml:space="preserve"> </w:t>
            </w:r>
            <w:r>
              <w:rPr>
                <w:sz w:val="18"/>
                <w:szCs w:val="18"/>
                <w:spacing w:val="-1"/>
              </w:rPr>
              <w:t>1</w:t>
            </w:r>
          </w:p>
        </w:tc>
        <w:tc>
          <w:tcPr>
            <w:tcW w:w="713" w:type="dxa"/>
            <w:vAlign w:val="top"/>
          </w:tcPr>
          <w:p>
            <w:pPr>
              <w:pStyle w:val="TableText"/>
              <w:ind w:left="248"/>
              <w:spacing w:before="140" w:line="188" w:lineRule="auto"/>
              <w:rPr>
                <w:sz w:val="18"/>
                <w:szCs w:val="18"/>
              </w:rPr>
            </w:pPr>
            <w:r>
              <w:rPr>
                <w:sz w:val="18"/>
                <w:szCs w:val="18"/>
                <w:spacing w:val="-3"/>
              </w:rPr>
              <w:t>3.7</w:t>
            </w:r>
          </w:p>
        </w:tc>
        <w:tc>
          <w:tcPr>
            <w:tcW w:w="878" w:type="dxa"/>
            <w:vAlign w:val="top"/>
          </w:tcPr>
          <w:p>
            <w:pPr>
              <w:pStyle w:val="TableText"/>
              <w:ind w:left="333"/>
              <w:spacing w:before="140" w:line="188" w:lineRule="auto"/>
              <w:rPr>
                <w:sz w:val="18"/>
                <w:szCs w:val="18"/>
              </w:rPr>
            </w:pPr>
            <w:r>
              <w:rPr>
                <w:sz w:val="18"/>
                <w:szCs w:val="18"/>
                <w:spacing w:val="-4"/>
              </w:rPr>
              <w:t>8.9</w:t>
            </w:r>
          </w:p>
        </w:tc>
        <w:tc>
          <w:tcPr>
            <w:tcW w:w="696" w:type="dxa"/>
            <w:vAlign w:val="top"/>
          </w:tcPr>
          <w:p>
            <w:pPr>
              <w:pStyle w:val="TableText"/>
              <w:ind w:left="209"/>
              <w:spacing w:before="140" w:line="188" w:lineRule="auto"/>
              <w:rPr>
                <w:sz w:val="18"/>
                <w:szCs w:val="18"/>
              </w:rPr>
            </w:pPr>
            <w:r>
              <w:rPr>
                <w:sz w:val="18"/>
                <w:szCs w:val="18"/>
                <w:spacing w:val="-6"/>
              </w:rPr>
              <w:t>12.5</w:t>
            </w:r>
          </w:p>
        </w:tc>
        <w:tc>
          <w:tcPr>
            <w:tcW w:w="883" w:type="dxa"/>
            <w:vAlign w:val="top"/>
          </w:tcPr>
          <w:p>
            <w:pPr>
              <w:pStyle w:val="TableText"/>
              <w:ind w:left="336"/>
              <w:spacing w:before="140" w:line="188" w:lineRule="auto"/>
              <w:rPr>
                <w:sz w:val="18"/>
                <w:szCs w:val="18"/>
              </w:rPr>
            </w:pPr>
            <w:r>
              <w:rPr>
                <w:sz w:val="18"/>
                <w:szCs w:val="18"/>
                <w:spacing w:val="-4"/>
              </w:rPr>
              <w:t>8.6</w:t>
            </w:r>
          </w:p>
        </w:tc>
        <w:tc>
          <w:tcPr>
            <w:tcW w:w="909" w:type="dxa"/>
            <w:vAlign w:val="top"/>
          </w:tcPr>
          <w:p>
            <w:pPr>
              <w:pStyle w:val="TableText"/>
              <w:ind w:left="347"/>
              <w:spacing w:before="140" w:line="188" w:lineRule="auto"/>
              <w:rPr>
                <w:sz w:val="18"/>
                <w:szCs w:val="18"/>
              </w:rPr>
            </w:pPr>
            <w:r>
              <w:rPr>
                <w:sz w:val="18"/>
                <w:szCs w:val="18"/>
                <w:spacing w:val="-3"/>
              </w:rPr>
              <w:t>6.5</w:t>
            </w:r>
          </w:p>
        </w:tc>
        <w:tc>
          <w:tcPr>
            <w:tcW w:w="717" w:type="dxa"/>
            <w:vAlign w:val="top"/>
          </w:tcPr>
          <w:p>
            <w:pPr>
              <w:pStyle w:val="TableText"/>
              <w:ind w:left="244"/>
              <w:spacing w:before="140" w:line="188" w:lineRule="auto"/>
              <w:rPr>
                <w:sz w:val="18"/>
                <w:szCs w:val="18"/>
              </w:rPr>
            </w:pPr>
            <w:r>
              <w:rPr>
                <w:sz w:val="18"/>
                <w:szCs w:val="18"/>
                <w:spacing w:val="-1"/>
              </w:rPr>
              <w:t>4.4</w:t>
            </w:r>
          </w:p>
        </w:tc>
        <w:tc>
          <w:tcPr>
            <w:tcW w:w="729" w:type="dxa"/>
            <w:vAlign w:val="top"/>
          </w:tcPr>
          <w:p>
            <w:pPr>
              <w:pStyle w:val="TableText"/>
              <w:ind w:left="253"/>
              <w:spacing w:before="140" w:line="188" w:lineRule="auto"/>
              <w:rPr>
                <w:sz w:val="18"/>
                <w:szCs w:val="18"/>
              </w:rPr>
            </w:pPr>
            <w:r>
              <w:rPr>
                <w:sz w:val="18"/>
                <w:szCs w:val="18"/>
                <w:spacing w:val="-1"/>
              </w:rPr>
              <w:t>2.4</w:t>
            </w:r>
          </w:p>
        </w:tc>
        <w:tc>
          <w:tcPr>
            <w:tcW w:w="720" w:type="dxa"/>
            <w:vAlign w:val="top"/>
          </w:tcPr>
          <w:p>
            <w:pPr>
              <w:pStyle w:val="TableText"/>
              <w:ind w:left="203"/>
              <w:spacing w:before="140" w:line="188" w:lineRule="auto"/>
              <w:rPr>
                <w:sz w:val="18"/>
                <w:szCs w:val="18"/>
              </w:rPr>
            </w:pPr>
            <w:r>
              <w:rPr>
                <w:sz w:val="18"/>
                <w:szCs w:val="18"/>
                <w:spacing w:val="-1"/>
              </w:rPr>
              <w:t>28.4</w:t>
            </w:r>
          </w:p>
        </w:tc>
      </w:tr>
    </w:tbl>
    <w:p>
      <w:pPr>
        <w:pStyle w:val="BodyText"/>
        <w:rPr/>
      </w:pPr>
      <w:r/>
    </w:p>
    <w:p>
      <w:pPr>
        <w:sectPr>
          <w:headerReference w:type="default" r:id="rId359"/>
          <w:footerReference w:type="default" r:id="rId360"/>
          <w:pgSz w:w="16838" w:h="11906"/>
          <w:pgMar w:top="1191" w:right="1331" w:bottom="1272" w:left="1329" w:header="861" w:footer="1109" w:gutter="0"/>
        </w:sectPr>
        <w:rPr/>
      </w:pPr>
    </w:p>
    <w:p>
      <w:pPr>
        <w:pStyle w:val="BodyText"/>
        <w:spacing w:line="246" w:lineRule="auto"/>
        <w:rPr/>
      </w:pPr>
      <w:r/>
    </w:p>
    <w:p>
      <w:pPr>
        <w:ind w:firstLine="480"/>
        <w:spacing w:line="11059" w:lineRule="exact"/>
        <w:rPr/>
      </w:pPr>
      <w:r>
        <w:rPr>
          <w:position w:val="-221"/>
        </w:rPr>
        <w:drawing>
          <wp:inline distT="0" distB="0" distL="0" distR="0">
            <wp:extent cx="5163311" cy="7022592"/>
            <wp:effectExtent l="0" t="0" r="0" b="0"/>
            <wp:docPr id="258" name="IM 258"/>
            <wp:cNvGraphicFramePr/>
            <a:graphic>
              <a:graphicData uri="http://schemas.openxmlformats.org/drawingml/2006/picture">
                <pic:pic>
                  <pic:nvPicPr>
                    <pic:cNvPr id="258" name="IM 258"/>
                    <pic:cNvPicPr/>
                  </pic:nvPicPr>
                  <pic:blipFill>
                    <a:blip r:embed="rId362"/>
                    <a:stretch>
                      <a:fillRect/>
                    </a:stretch>
                  </pic:blipFill>
                  <pic:spPr>
                    <a:xfrm rot="0">
                      <a:off x="0" y="0"/>
                      <a:ext cx="5163311" cy="7022592"/>
                    </a:xfrm>
                    <a:prstGeom prst="rect">
                      <a:avLst/>
                    </a:prstGeom>
                  </pic:spPr>
                </pic:pic>
              </a:graphicData>
            </a:graphic>
          </wp:inline>
        </w:drawing>
      </w:r>
    </w:p>
    <w:p>
      <w:pPr>
        <w:ind w:left="2204"/>
        <w:spacing w:before="295" w:line="229" w:lineRule="auto"/>
        <w:rPr>
          <w:rFonts w:ascii="SimHei" w:hAnsi="SimHei" w:eastAsia="SimHei" w:cs="SimHei"/>
          <w:sz w:val="20"/>
          <w:szCs w:val="20"/>
        </w:rPr>
      </w:pPr>
      <w:r>
        <w:rPr>
          <w:rFonts w:ascii="SimHei" w:hAnsi="SimHei" w:eastAsia="SimHei" w:cs="SimHei"/>
          <w:sz w:val="20"/>
          <w:szCs w:val="20"/>
          <w:spacing w:val="6"/>
        </w:rPr>
        <w:t>图</w:t>
      </w:r>
      <w:r>
        <w:rPr>
          <w:rFonts w:ascii="SimHei" w:hAnsi="SimHei" w:eastAsia="SimHei" w:cs="SimHei"/>
          <w:sz w:val="20"/>
          <w:szCs w:val="20"/>
          <w:spacing w:val="-21"/>
        </w:rPr>
        <w:t xml:space="preserve"> </w:t>
      </w:r>
      <w:r>
        <w:rPr>
          <w:rFonts w:ascii="Times New Roman" w:hAnsi="Times New Roman" w:eastAsia="Times New Roman" w:cs="Times New Roman"/>
          <w:sz w:val="20"/>
          <w:szCs w:val="20"/>
          <w:spacing w:val="6"/>
        </w:rPr>
        <w:t>5-2-1    </w:t>
      </w:r>
      <w:r>
        <w:rPr>
          <w:rFonts w:ascii="SimHei" w:hAnsi="SimHei" w:eastAsia="SimHei" w:cs="SimHei"/>
          <w:sz w:val="20"/>
          <w:szCs w:val="20"/>
          <w:spacing w:val="6"/>
        </w:rPr>
        <w:t>西乌珠穆沁旗四季及全年风向频率玫瑰图</w:t>
      </w:r>
    </w:p>
    <w:p>
      <w:pPr>
        <w:ind w:left="487"/>
        <w:spacing w:before="157" w:line="217" w:lineRule="auto"/>
        <w:rPr>
          <w:rFonts w:ascii="SimSun" w:hAnsi="SimSun" w:eastAsia="SimSun" w:cs="SimSun"/>
          <w:sz w:val="24"/>
          <w:szCs w:val="24"/>
        </w:rPr>
      </w:pPr>
      <w:r>
        <w:rPr>
          <w:rFonts w:ascii="SimSun" w:hAnsi="SimSun" w:eastAsia="SimSun" w:cs="SimSun"/>
          <w:sz w:val="24"/>
          <w:szCs w:val="24"/>
          <w:spacing w:val="-2"/>
        </w:rPr>
        <w:t>②风速特征</w:t>
      </w:r>
    </w:p>
    <w:p>
      <w:pPr>
        <w:ind w:left="8" w:firstLine="486"/>
        <w:spacing w:before="154" w:line="340" w:lineRule="auto"/>
        <w:rPr>
          <w:rFonts w:ascii="SimSun" w:hAnsi="SimSun" w:eastAsia="SimSun" w:cs="SimSun"/>
          <w:sz w:val="24"/>
          <w:szCs w:val="24"/>
        </w:rPr>
      </w:pPr>
      <w:r>
        <w:rPr>
          <w:rFonts w:ascii="SimSun" w:hAnsi="SimSun" w:eastAsia="SimSun" w:cs="SimSun"/>
          <w:sz w:val="24"/>
          <w:szCs w:val="24"/>
          <w:spacing w:val="-2"/>
        </w:rPr>
        <w:t>西乌珠穆沁旗气象局近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20 </w:t>
      </w:r>
      <w:r>
        <w:rPr>
          <w:rFonts w:ascii="SimSun" w:hAnsi="SimSun" w:eastAsia="SimSun" w:cs="SimSun"/>
          <w:sz w:val="24"/>
          <w:szCs w:val="24"/>
          <w:spacing w:val="-2"/>
        </w:rPr>
        <w:t>年的地面月（年）平均风速统计见表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5.2-3</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。可以看出，</w:t>
      </w:r>
      <w:r>
        <w:rPr>
          <w:rFonts w:ascii="SimSun" w:hAnsi="SimSun" w:eastAsia="SimSun" w:cs="SimSun"/>
          <w:sz w:val="24"/>
          <w:szCs w:val="24"/>
          <w:spacing w:val="-2"/>
        </w:rPr>
        <w:t>该地区年平均风速为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2.3m/s</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，全年以春季风速最大（如四月份风速为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3.0m/s</w:t>
      </w:r>
      <w:r>
        <w:rPr>
          <w:rFonts w:ascii="SimSun" w:hAnsi="SimSun" w:eastAsia="SimSun" w:cs="SimSun"/>
          <w:sz w:val="24"/>
          <w:szCs w:val="24"/>
          <w:spacing w:val="4"/>
        </w:rPr>
        <w:t>），</w:t>
      </w:r>
      <w:r>
        <w:rPr>
          <w:rFonts w:ascii="SimSun" w:hAnsi="SimSun" w:eastAsia="SimSun" w:cs="SimSun"/>
          <w:sz w:val="24"/>
          <w:szCs w:val="24"/>
          <w:spacing w:val="-2"/>
        </w:rPr>
        <w:t>平均风</w:t>
      </w:r>
      <w:r>
        <w:rPr>
          <w:rFonts w:ascii="SimSun" w:hAnsi="SimSun" w:eastAsia="SimSun" w:cs="SimSun"/>
          <w:sz w:val="24"/>
          <w:szCs w:val="24"/>
          <w:spacing w:val="-3"/>
        </w:rPr>
        <w:t>速最小出现在七、八、九月，平均风速均为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1.8m/s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，其</w:t>
      </w:r>
      <w:r>
        <w:rPr>
          <w:rFonts w:ascii="SimSun" w:hAnsi="SimSun" w:eastAsia="SimSun" w:cs="SimSun"/>
          <w:sz w:val="24"/>
          <w:szCs w:val="24"/>
          <w:spacing w:val="-4"/>
        </w:rPr>
        <w:t>风速的年较差为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1.2m/s</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，逐月平</w:t>
      </w:r>
      <w:r>
        <w:rPr>
          <w:rFonts w:ascii="SimSun" w:hAnsi="SimSun" w:eastAsia="SimSun" w:cs="SimSun"/>
          <w:sz w:val="24"/>
          <w:szCs w:val="24"/>
          <w:spacing w:val="-2"/>
        </w:rPr>
        <w:t>均风速变化曲线见图</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5.2-2</w:t>
      </w:r>
      <w:r>
        <w:rPr>
          <w:rFonts w:ascii="SimSun" w:hAnsi="SimSun" w:eastAsia="SimSun" w:cs="SimSun"/>
          <w:sz w:val="24"/>
          <w:szCs w:val="24"/>
          <w:spacing w:val="-2"/>
        </w:rPr>
        <w:t>。</w:t>
      </w:r>
    </w:p>
    <w:p>
      <w:pPr>
        <w:spacing w:line="340" w:lineRule="auto"/>
        <w:sectPr>
          <w:headerReference w:type="default" r:id="rId79"/>
          <w:footerReference w:type="default" r:id="rId361"/>
          <w:pgSz w:w="11906" w:h="16838"/>
          <w:pgMar w:top="1170" w:right="1417" w:bottom="1080" w:left="1416" w:header="837" w:footer="918" w:gutter="0"/>
        </w:sectPr>
        <w:rPr>
          <w:rFonts w:ascii="SimSun" w:hAnsi="SimSun" w:eastAsia="SimSun" w:cs="SimSun"/>
          <w:sz w:val="24"/>
          <w:szCs w:val="24"/>
        </w:rPr>
      </w:pPr>
    </w:p>
    <w:p>
      <w:pPr>
        <w:pStyle w:val="BodyText"/>
        <w:spacing w:line="280" w:lineRule="auto"/>
        <w:rPr/>
      </w:pPr>
      <w:r/>
    </w:p>
    <w:p>
      <w:pPr>
        <w:ind w:left="2786"/>
        <w:spacing w:before="78" w:line="222" w:lineRule="auto"/>
        <w:rPr>
          <w:rFonts w:ascii="SimHei" w:hAnsi="SimHei" w:eastAsia="SimHei" w:cs="SimHei"/>
          <w:sz w:val="24"/>
          <w:szCs w:val="24"/>
        </w:rPr>
      </w:pPr>
      <w:r>
        <w:rPr>
          <w:rFonts w:ascii="SimHei" w:hAnsi="SimHei" w:eastAsia="SimHei" w:cs="SimHei"/>
          <w:sz w:val="24"/>
          <w:szCs w:val="24"/>
          <w:spacing w:val="-2"/>
        </w:rPr>
        <w:t>西乌珠穆沁旗气象局近</w:t>
      </w:r>
      <w:r>
        <w:rPr>
          <w:rFonts w:ascii="SimHei" w:hAnsi="SimHei" w:eastAsia="SimHei" w:cs="SimHei"/>
          <w:sz w:val="24"/>
          <w:szCs w:val="24"/>
          <w:spacing w:val="-42"/>
        </w:rPr>
        <w:t xml:space="preserve"> </w:t>
      </w:r>
      <w:r>
        <w:rPr>
          <w:rFonts w:ascii="Times New Roman" w:hAnsi="Times New Roman" w:eastAsia="Times New Roman" w:cs="Times New Roman"/>
          <w:sz w:val="24"/>
          <w:szCs w:val="24"/>
          <w:spacing w:val="-2"/>
        </w:rPr>
        <w:t>20 </w:t>
      </w:r>
      <w:r>
        <w:rPr>
          <w:rFonts w:ascii="SimHei" w:hAnsi="SimHei" w:eastAsia="SimHei" w:cs="SimHei"/>
          <w:sz w:val="24"/>
          <w:szCs w:val="24"/>
          <w:spacing w:val="-2"/>
        </w:rPr>
        <w:t>年平均风速</w:t>
      </w:r>
    </w:p>
    <w:p>
      <w:pPr>
        <w:ind w:left="115"/>
        <w:spacing w:before="29"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5-2-3</w:t>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86"/>
        <w:gridCol w:w="640"/>
        <w:gridCol w:w="636"/>
        <w:gridCol w:w="638"/>
        <w:gridCol w:w="638"/>
        <w:gridCol w:w="640"/>
        <w:gridCol w:w="638"/>
        <w:gridCol w:w="638"/>
        <w:gridCol w:w="638"/>
        <w:gridCol w:w="641"/>
        <w:gridCol w:w="638"/>
        <w:gridCol w:w="638"/>
        <w:gridCol w:w="638"/>
        <w:gridCol w:w="638"/>
      </w:tblGrid>
      <w:tr>
        <w:trPr>
          <w:trHeight w:val="398" w:hRule="atLeast"/>
        </w:trPr>
        <w:tc>
          <w:tcPr>
            <w:tcW w:w="986" w:type="dxa"/>
            <w:vAlign w:val="top"/>
          </w:tcPr>
          <w:p>
            <w:pPr>
              <w:ind w:left="116"/>
              <w:spacing w:before="91" w:line="228" w:lineRule="auto"/>
              <w:rPr>
                <w:rFonts w:ascii="SimSun" w:hAnsi="SimSun" w:eastAsia="SimSun" w:cs="SimSun"/>
                <w:sz w:val="20"/>
                <w:szCs w:val="20"/>
              </w:rPr>
            </w:pPr>
            <w:r>
              <w:rPr>
                <w:rFonts w:ascii="SimSun" w:hAnsi="SimSun" w:eastAsia="SimSun" w:cs="SimSun"/>
                <w:sz w:val="20"/>
                <w:szCs w:val="20"/>
                <w:spacing w:val="3"/>
              </w:rPr>
              <w:t>月（年）</w:t>
            </w:r>
          </w:p>
        </w:tc>
        <w:tc>
          <w:tcPr>
            <w:tcW w:w="640" w:type="dxa"/>
            <w:vAlign w:val="top"/>
          </w:tcPr>
          <w:p>
            <w:pPr>
              <w:pStyle w:val="TableText"/>
              <w:ind w:left="286"/>
              <w:spacing w:before="127" w:line="195" w:lineRule="auto"/>
              <w:rPr/>
            </w:pPr>
            <w:r>
              <w:rPr/>
              <w:t>1</w:t>
            </w:r>
          </w:p>
        </w:tc>
        <w:tc>
          <w:tcPr>
            <w:tcW w:w="636" w:type="dxa"/>
            <w:vAlign w:val="top"/>
          </w:tcPr>
          <w:p>
            <w:pPr>
              <w:pStyle w:val="TableText"/>
              <w:ind w:left="264"/>
              <w:spacing w:before="127" w:line="195" w:lineRule="auto"/>
              <w:rPr/>
            </w:pPr>
            <w:r>
              <w:rPr/>
              <w:t>2</w:t>
            </w:r>
          </w:p>
        </w:tc>
        <w:tc>
          <w:tcPr>
            <w:tcW w:w="638" w:type="dxa"/>
            <w:vAlign w:val="top"/>
          </w:tcPr>
          <w:p>
            <w:pPr>
              <w:pStyle w:val="TableText"/>
              <w:ind w:left="271"/>
              <w:spacing w:before="127" w:line="195" w:lineRule="auto"/>
              <w:rPr/>
            </w:pPr>
            <w:r>
              <w:rPr/>
              <w:t>3</w:t>
            </w:r>
          </w:p>
        </w:tc>
        <w:tc>
          <w:tcPr>
            <w:tcW w:w="638" w:type="dxa"/>
            <w:vAlign w:val="top"/>
          </w:tcPr>
          <w:p>
            <w:pPr>
              <w:pStyle w:val="TableText"/>
              <w:ind w:left="266"/>
              <w:spacing w:before="127" w:line="195" w:lineRule="auto"/>
              <w:rPr/>
            </w:pPr>
            <w:r>
              <w:rPr>
                <w:spacing w:val="1"/>
              </w:rPr>
              <w:t>4</w:t>
            </w:r>
          </w:p>
        </w:tc>
        <w:tc>
          <w:tcPr>
            <w:tcW w:w="640" w:type="dxa"/>
            <w:vAlign w:val="top"/>
          </w:tcPr>
          <w:p>
            <w:pPr>
              <w:pStyle w:val="TableText"/>
              <w:ind w:left="275"/>
              <w:spacing w:before="130" w:line="192" w:lineRule="auto"/>
              <w:rPr/>
            </w:pPr>
            <w:r>
              <w:rPr/>
              <w:t>5</w:t>
            </w:r>
          </w:p>
        </w:tc>
        <w:tc>
          <w:tcPr>
            <w:tcW w:w="638" w:type="dxa"/>
            <w:vAlign w:val="top"/>
          </w:tcPr>
          <w:p>
            <w:pPr>
              <w:pStyle w:val="TableText"/>
              <w:ind w:left="273"/>
              <w:spacing w:before="127" w:line="195" w:lineRule="auto"/>
              <w:rPr/>
            </w:pPr>
            <w:r>
              <w:rPr/>
              <w:t>6</w:t>
            </w:r>
          </w:p>
        </w:tc>
        <w:tc>
          <w:tcPr>
            <w:tcW w:w="638" w:type="dxa"/>
            <w:vAlign w:val="top"/>
          </w:tcPr>
          <w:p>
            <w:pPr>
              <w:pStyle w:val="TableText"/>
              <w:ind w:left="272"/>
              <w:spacing w:before="130" w:line="192" w:lineRule="auto"/>
              <w:rPr/>
            </w:pPr>
            <w:r>
              <w:rPr/>
              <w:t>7</w:t>
            </w:r>
          </w:p>
        </w:tc>
        <w:tc>
          <w:tcPr>
            <w:tcW w:w="638" w:type="dxa"/>
            <w:vAlign w:val="top"/>
          </w:tcPr>
          <w:p>
            <w:pPr>
              <w:pStyle w:val="TableText"/>
              <w:ind w:left="277"/>
              <w:spacing w:before="127" w:line="195" w:lineRule="auto"/>
              <w:rPr/>
            </w:pPr>
            <w:r>
              <w:rPr/>
              <w:t>8</w:t>
            </w:r>
          </w:p>
        </w:tc>
        <w:tc>
          <w:tcPr>
            <w:tcW w:w="641" w:type="dxa"/>
            <w:vAlign w:val="top"/>
          </w:tcPr>
          <w:p>
            <w:pPr>
              <w:pStyle w:val="TableText"/>
              <w:ind w:left="276"/>
              <w:spacing w:before="127" w:line="195" w:lineRule="auto"/>
              <w:rPr/>
            </w:pPr>
            <w:r>
              <w:rPr/>
              <w:t>9</w:t>
            </w:r>
          </w:p>
        </w:tc>
        <w:tc>
          <w:tcPr>
            <w:tcW w:w="638" w:type="dxa"/>
            <w:vAlign w:val="top"/>
          </w:tcPr>
          <w:p>
            <w:pPr>
              <w:pStyle w:val="TableText"/>
              <w:ind w:left="234"/>
              <w:spacing w:before="127" w:line="195" w:lineRule="auto"/>
              <w:rPr/>
            </w:pPr>
            <w:r>
              <w:rPr>
                <w:spacing w:val="-6"/>
              </w:rPr>
              <w:t>10</w:t>
            </w:r>
          </w:p>
        </w:tc>
        <w:tc>
          <w:tcPr>
            <w:tcW w:w="638" w:type="dxa"/>
            <w:vAlign w:val="top"/>
          </w:tcPr>
          <w:p>
            <w:pPr>
              <w:pStyle w:val="TableText"/>
              <w:ind w:left="242"/>
              <w:spacing w:before="127" w:line="195" w:lineRule="auto"/>
              <w:rPr/>
            </w:pPr>
            <w:r>
              <w:rPr>
                <w:spacing w:val="-10"/>
              </w:rPr>
              <w:t>11</w:t>
            </w:r>
          </w:p>
        </w:tc>
        <w:tc>
          <w:tcPr>
            <w:tcW w:w="638" w:type="dxa"/>
            <w:vAlign w:val="top"/>
          </w:tcPr>
          <w:p>
            <w:pPr>
              <w:pStyle w:val="TableText"/>
              <w:ind w:left="237"/>
              <w:spacing w:before="127" w:line="195" w:lineRule="auto"/>
              <w:rPr/>
            </w:pPr>
            <w:r>
              <w:rPr>
                <w:spacing w:val="-8"/>
              </w:rPr>
              <w:t>12</w:t>
            </w:r>
          </w:p>
        </w:tc>
        <w:tc>
          <w:tcPr>
            <w:tcW w:w="638" w:type="dxa"/>
            <w:vAlign w:val="top"/>
          </w:tcPr>
          <w:p>
            <w:pPr>
              <w:ind w:left="222"/>
              <w:spacing w:before="91" w:line="228" w:lineRule="auto"/>
              <w:rPr>
                <w:rFonts w:ascii="SimSun" w:hAnsi="SimSun" w:eastAsia="SimSun" w:cs="SimSun"/>
                <w:sz w:val="20"/>
                <w:szCs w:val="20"/>
              </w:rPr>
            </w:pPr>
            <w:r>
              <w:rPr>
                <w:rFonts w:ascii="SimSun" w:hAnsi="SimSun" w:eastAsia="SimSun" w:cs="SimSun"/>
                <w:sz w:val="20"/>
                <w:szCs w:val="20"/>
              </w:rPr>
              <w:t>年</w:t>
            </w:r>
          </w:p>
        </w:tc>
      </w:tr>
      <w:tr>
        <w:trPr>
          <w:trHeight w:val="544" w:hRule="atLeast"/>
        </w:trPr>
        <w:tc>
          <w:tcPr>
            <w:tcW w:w="986" w:type="dxa"/>
            <w:vAlign w:val="top"/>
          </w:tcPr>
          <w:p>
            <w:pPr>
              <w:pStyle w:val="TableText"/>
              <w:ind w:left="110" w:right="22" w:firstLine="71"/>
              <w:spacing w:before="29" w:line="233" w:lineRule="auto"/>
              <w:rPr>
                <w:rFonts w:ascii="SimSun" w:hAnsi="SimSun" w:eastAsia="SimSun" w:cs="SimSun"/>
              </w:rPr>
            </w:pPr>
            <w:r>
              <w:rPr>
                <w:rFonts w:ascii="SimSun" w:hAnsi="SimSun" w:eastAsia="SimSun" w:cs="SimSun"/>
                <w:spacing w:val="7"/>
              </w:rPr>
              <w:t>平均风</w:t>
            </w:r>
            <w:r>
              <w:rPr>
                <w:rFonts w:ascii="SimSun" w:hAnsi="SimSun" w:eastAsia="SimSun" w:cs="SimSun"/>
                <w:spacing w:val="-7"/>
              </w:rPr>
              <w:t>速（</w:t>
            </w:r>
            <w:r>
              <w:rPr>
                <w:spacing w:val="-7"/>
              </w:rPr>
              <w:t>m/s</w:t>
            </w:r>
            <w:r>
              <w:rPr>
                <w:rFonts w:ascii="SimSun" w:hAnsi="SimSun" w:eastAsia="SimSun" w:cs="SimSun"/>
                <w:spacing w:val="-7"/>
              </w:rPr>
              <w:t>）</w:t>
            </w:r>
          </w:p>
        </w:tc>
        <w:tc>
          <w:tcPr>
            <w:tcW w:w="640" w:type="dxa"/>
            <w:vAlign w:val="top"/>
          </w:tcPr>
          <w:p>
            <w:pPr>
              <w:pStyle w:val="TableText"/>
              <w:ind w:left="189"/>
              <w:spacing w:before="201" w:line="195" w:lineRule="auto"/>
              <w:rPr/>
            </w:pPr>
            <w:r>
              <w:rPr>
                <w:spacing w:val="2"/>
              </w:rPr>
              <w:t>2.7</w:t>
            </w:r>
          </w:p>
        </w:tc>
        <w:tc>
          <w:tcPr>
            <w:tcW w:w="636" w:type="dxa"/>
            <w:vAlign w:val="top"/>
          </w:tcPr>
          <w:p>
            <w:pPr>
              <w:pStyle w:val="TableText"/>
              <w:ind w:left="185"/>
              <w:spacing w:before="201" w:line="195" w:lineRule="auto"/>
              <w:rPr/>
            </w:pPr>
            <w:r>
              <w:rPr>
                <w:spacing w:val="2"/>
              </w:rPr>
              <w:t>2.3</w:t>
            </w:r>
          </w:p>
        </w:tc>
        <w:tc>
          <w:tcPr>
            <w:tcW w:w="638" w:type="dxa"/>
            <w:vAlign w:val="top"/>
          </w:tcPr>
          <w:p>
            <w:pPr>
              <w:pStyle w:val="TableText"/>
              <w:ind w:left="185"/>
              <w:spacing w:before="201" w:line="195" w:lineRule="auto"/>
              <w:rPr/>
            </w:pPr>
            <w:r>
              <w:rPr>
                <w:spacing w:val="3"/>
              </w:rPr>
              <w:t>2.6</w:t>
            </w:r>
          </w:p>
        </w:tc>
        <w:tc>
          <w:tcPr>
            <w:tcW w:w="638" w:type="dxa"/>
            <w:vAlign w:val="top"/>
          </w:tcPr>
          <w:p>
            <w:pPr>
              <w:pStyle w:val="TableText"/>
              <w:ind w:left="192"/>
              <w:spacing w:before="201" w:line="195" w:lineRule="auto"/>
              <w:rPr/>
            </w:pPr>
            <w:r>
              <w:rPr>
                <w:spacing w:val="1"/>
              </w:rPr>
              <w:t>3.0</w:t>
            </w:r>
          </w:p>
        </w:tc>
        <w:tc>
          <w:tcPr>
            <w:tcW w:w="640" w:type="dxa"/>
            <w:vAlign w:val="top"/>
          </w:tcPr>
          <w:p>
            <w:pPr>
              <w:pStyle w:val="TableText"/>
              <w:ind w:left="190"/>
              <w:spacing w:before="201" w:line="195" w:lineRule="auto"/>
              <w:rPr/>
            </w:pPr>
            <w:r>
              <w:rPr>
                <w:spacing w:val="2"/>
              </w:rPr>
              <w:t>2.8</w:t>
            </w:r>
          </w:p>
        </w:tc>
        <w:tc>
          <w:tcPr>
            <w:tcW w:w="638" w:type="dxa"/>
            <w:vAlign w:val="top"/>
          </w:tcPr>
          <w:p>
            <w:pPr>
              <w:pStyle w:val="TableText"/>
              <w:ind w:left="189"/>
              <w:spacing w:before="201" w:line="195" w:lineRule="auto"/>
              <w:rPr/>
            </w:pPr>
            <w:r>
              <w:rPr>
                <w:spacing w:val="1"/>
              </w:rPr>
              <w:t>2.</w:t>
            </w:r>
            <w:r>
              <w:rPr>
                <w:spacing w:val="-25"/>
              </w:rPr>
              <w:t xml:space="preserve"> </w:t>
            </w:r>
            <w:r>
              <w:rPr>
                <w:spacing w:val="1"/>
              </w:rPr>
              <w:t>1</w:t>
            </w:r>
          </w:p>
        </w:tc>
        <w:tc>
          <w:tcPr>
            <w:tcW w:w="638" w:type="dxa"/>
            <w:vAlign w:val="top"/>
          </w:tcPr>
          <w:p>
            <w:pPr>
              <w:pStyle w:val="TableText"/>
              <w:ind w:left="207"/>
              <w:spacing w:before="201" w:line="195" w:lineRule="auto"/>
              <w:rPr/>
            </w:pPr>
            <w:r>
              <w:rPr>
                <w:spacing w:val="-4"/>
              </w:rPr>
              <w:t>1.8</w:t>
            </w:r>
          </w:p>
        </w:tc>
        <w:tc>
          <w:tcPr>
            <w:tcW w:w="638" w:type="dxa"/>
            <w:vAlign w:val="top"/>
          </w:tcPr>
          <w:p>
            <w:pPr>
              <w:pStyle w:val="TableText"/>
              <w:ind w:left="210"/>
              <w:spacing w:before="201" w:line="195" w:lineRule="auto"/>
              <w:rPr/>
            </w:pPr>
            <w:r>
              <w:rPr>
                <w:spacing w:val="-4"/>
              </w:rPr>
              <w:t>1.8</w:t>
            </w:r>
          </w:p>
        </w:tc>
        <w:tc>
          <w:tcPr>
            <w:tcW w:w="641" w:type="dxa"/>
            <w:vAlign w:val="top"/>
          </w:tcPr>
          <w:p>
            <w:pPr>
              <w:pStyle w:val="TableText"/>
              <w:ind w:left="213"/>
              <w:spacing w:before="201" w:line="195" w:lineRule="auto"/>
              <w:rPr/>
            </w:pPr>
            <w:r>
              <w:rPr>
                <w:spacing w:val="-4"/>
              </w:rPr>
              <w:t>1.8</w:t>
            </w:r>
          </w:p>
        </w:tc>
        <w:tc>
          <w:tcPr>
            <w:tcW w:w="638" w:type="dxa"/>
            <w:vAlign w:val="top"/>
          </w:tcPr>
          <w:p>
            <w:pPr>
              <w:pStyle w:val="TableText"/>
              <w:ind w:left="190"/>
              <w:spacing w:before="201" w:line="195" w:lineRule="auto"/>
              <w:rPr/>
            </w:pPr>
            <w:r>
              <w:rPr>
                <w:spacing w:val="2"/>
              </w:rPr>
              <w:t>2.0</w:t>
            </w:r>
          </w:p>
        </w:tc>
        <w:tc>
          <w:tcPr>
            <w:tcW w:w="638" w:type="dxa"/>
            <w:vAlign w:val="top"/>
          </w:tcPr>
          <w:p>
            <w:pPr>
              <w:pStyle w:val="TableText"/>
              <w:ind w:left="188"/>
              <w:spacing w:before="201" w:line="195" w:lineRule="auto"/>
              <w:rPr/>
            </w:pPr>
            <w:r>
              <w:rPr>
                <w:spacing w:val="3"/>
              </w:rPr>
              <w:t>2.4</w:t>
            </w:r>
          </w:p>
        </w:tc>
        <w:tc>
          <w:tcPr>
            <w:tcW w:w="638" w:type="dxa"/>
            <w:vAlign w:val="top"/>
          </w:tcPr>
          <w:p>
            <w:pPr>
              <w:pStyle w:val="TableText"/>
              <w:ind w:left="191"/>
              <w:spacing w:before="201" w:line="195" w:lineRule="auto"/>
              <w:rPr/>
            </w:pPr>
            <w:r>
              <w:rPr>
                <w:spacing w:val="2"/>
              </w:rPr>
              <w:t>2.3</w:t>
            </w:r>
          </w:p>
        </w:tc>
        <w:tc>
          <w:tcPr>
            <w:tcW w:w="638" w:type="dxa"/>
            <w:vAlign w:val="top"/>
          </w:tcPr>
          <w:p>
            <w:pPr>
              <w:pStyle w:val="TableText"/>
              <w:ind w:left="191"/>
              <w:spacing w:before="201" w:line="195" w:lineRule="auto"/>
              <w:rPr/>
            </w:pPr>
            <w:r>
              <w:rPr>
                <w:spacing w:val="2"/>
              </w:rPr>
              <w:t>2.3</w:t>
            </w:r>
          </w:p>
        </w:tc>
      </w:tr>
    </w:tbl>
    <w:p>
      <w:pPr>
        <w:pStyle w:val="BodyText"/>
        <w:spacing w:line="385" w:lineRule="auto"/>
        <w:rPr/>
      </w:pPr>
      <w:r/>
    </w:p>
    <w:p>
      <w:pPr>
        <w:ind w:left="117" w:firstLine="482"/>
        <w:spacing w:before="78" w:line="330" w:lineRule="auto"/>
        <w:jc w:val="both"/>
        <w:rPr>
          <w:rFonts w:ascii="SimSun" w:hAnsi="SimSun" w:eastAsia="SimSun" w:cs="SimSun"/>
          <w:sz w:val="24"/>
          <w:szCs w:val="24"/>
        </w:rPr>
      </w:pPr>
      <w:r>
        <w:rPr>
          <w:rFonts w:ascii="SimSun" w:hAnsi="SimSun" w:eastAsia="SimSun" w:cs="SimSun"/>
          <w:sz w:val="24"/>
          <w:szCs w:val="24"/>
          <w:spacing w:val="-5"/>
        </w:rPr>
        <w:t>各风速段风速的出现频率见表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5-2-4</w:t>
      </w:r>
      <w:r>
        <w:rPr>
          <w:rFonts w:ascii="SimSun" w:hAnsi="SimSun" w:eastAsia="SimSun" w:cs="SimSun"/>
          <w:sz w:val="24"/>
          <w:szCs w:val="24"/>
          <w:spacing w:val="-5"/>
        </w:rPr>
        <w:t>，全年以小于</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5"/>
        </w:rPr>
        <w:t>1.9m/s</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的风速段的出现频率</w:t>
      </w:r>
      <w:r>
        <w:rPr>
          <w:rFonts w:ascii="SimSun" w:hAnsi="SimSun" w:eastAsia="SimSun" w:cs="SimSun"/>
          <w:sz w:val="24"/>
          <w:szCs w:val="24"/>
          <w:spacing w:val="-6"/>
        </w:rPr>
        <w:t>最高，</w:t>
      </w:r>
      <w:r>
        <w:rPr>
          <w:rFonts w:ascii="SimSun" w:hAnsi="SimSun" w:eastAsia="SimSun" w:cs="SimSun"/>
          <w:sz w:val="24"/>
          <w:szCs w:val="24"/>
          <w:spacing w:val="-3"/>
        </w:rPr>
        <w:t>其出现频率约占各风速段总出现频率的 </w:t>
      </w:r>
      <w:r>
        <w:rPr>
          <w:rFonts w:ascii="Times New Roman" w:hAnsi="Times New Roman" w:eastAsia="Times New Roman" w:cs="Times New Roman"/>
          <w:sz w:val="24"/>
          <w:szCs w:val="24"/>
          <w:spacing w:val="-3"/>
        </w:rPr>
        <w:t>41.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18%</w:t>
      </w:r>
      <w:r>
        <w:rPr>
          <w:rFonts w:ascii="SimSun" w:hAnsi="SimSun" w:eastAsia="SimSun" w:cs="SimSun"/>
          <w:sz w:val="24"/>
          <w:szCs w:val="24"/>
          <w:spacing w:val="-3"/>
        </w:rPr>
        <w:t>；</w:t>
      </w:r>
      <w:r>
        <w:rPr>
          <w:rFonts w:ascii="Times New Roman" w:hAnsi="Times New Roman" w:eastAsia="Times New Roman" w:cs="Times New Roman"/>
          <w:sz w:val="24"/>
          <w:szCs w:val="24"/>
          <w:spacing w:val="-3"/>
        </w:rPr>
        <w:t>3m/s</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3"/>
        </w:rPr>
        <w:t>以下风速的出现频率约</w:t>
      </w:r>
      <w:r>
        <w:rPr>
          <w:rFonts w:ascii="SimSun" w:hAnsi="SimSun" w:eastAsia="SimSun" w:cs="SimSun"/>
          <w:sz w:val="24"/>
          <w:szCs w:val="24"/>
          <w:spacing w:val="-4"/>
        </w:rPr>
        <w:t>占各风速</w:t>
      </w:r>
      <w:r>
        <w:rPr>
          <w:rFonts w:ascii="SimSun" w:hAnsi="SimSun" w:eastAsia="SimSun" w:cs="SimSun"/>
          <w:sz w:val="24"/>
          <w:szCs w:val="24"/>
          <w:spacing w:val="-4"/>
        </w:rPr>
        <w:t>段总出现频率的</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4"/>
        </w:rPr>
        <w:t>59.29%</w:t>
      </w:r>
      <w:r>
        <w:rPr>
          <w:rFonts w:ascii="SimSun" w:hAnsi="SimSun" w:eastAsia="SimSun" w:cs="SimSun"/>
          <w:sz w:val="24"/>
          <w:szCs w:val="24"/>
          <w:spacing w:val="-4"/>
        </w:rPr>
        <w:t>；而各风向下（除静风外）以 </w:t>
      </w:r>
      <w:r>
        <w:rPr>
          <w:rFonts w:ascii="Times New Roman" w:hAnsi="Times New Roman" w:eastAsia="Times New Roman" w:cs="Times New Roman"/>
          <w:sz w:val="24"/>
          <w:szCs w:val="24"/>
          <w:spacing w:val="-4"/>
        </w:rPr>
        <w:t>WSW  </w:t>
      </w:r>
      <w:r>
        <w:rPr>
          <w:rFonts w:ascii="SimSun" w:hAnsi="SimSun" w:eastAsia="SimSun" w:cs="SimSun"/>
          <w:sz w:val="24"/>
          <w:szCs w:val="24"/>
          <w:spacing w:val="-4"/>
        </w:rPr>
        <w:t>风</w:t>
      </w:r>
      <w:r>
        <w:rPr>
          <w:rFonts w:ascii="SimSun" w:hAnsi="SimSun" w:eastAsia="SimSun" w:cs="SimSun"/>
          <w:sz w:val="24"/>
          <w:szCs w:val="24"/>
          <w:spacing w:val="29"/>
        </w:rPr>
        <w:t xml:space="preserve"> </w:t>
      </w:r>
      <w:r>
        <w:rPr>
          <w:rFonts w:ascii="SimSun" w:hAnsi="SimSun" w:eastAsia="SimSun" w:cs="SimSun"/>
          <w:sz w:val="24"/>
          <w:szCs w:val="24"/>
          <w:spacing w:val="-4"/>
        </w:rPr>
        <w:t>的出现频率为最大，达</w:t>
      </w:r>
      <w:r>
        <w:rPr>
          <w:rFonts w:ascii="SimSun" w:hAnsi="SimSun" w:eastAsia="SimSun" w:cs="SimSun"/>
          <w:sz w:val="24"/>
          <w:szCs w:val="24"/>
        </w:rPr>
        <w:t xml:space="preserve"> </w:t>
      </w:r>
      <w:r>
        <w:rPr>
          <w:rFonts w:ascii="Times New Roman" w:hAnsi="Times New Roman" w:eastAsia="Times New Roman" w:cs="Times New Roman"/>
          <w:sz w:val="24"/>
          <w:szCs w:val="24"/>
          <w:spacing w:val="-2"/>
        </w:rPr>
        <w:t>12.68%</w:t>
      </w:r>
      <w:r>
        <w:rPr>
          <w:rFonts w:ascii="SimSun" w:hAnsi="SimSun" w:eastAsia="SimSun" w:cs="SimSun"/>
          <w:sz w:val="24"/>
          <w:szCs w:val="24"/>
          <w:spacing w:val="-2"/>
        </w:rPr>
        <w:t>，其次以</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SW </w:t>
      </w:r>
      <w:r>
        <w:rPr>
          <w:rFonts w:ascii="SimSun" w:hAnsi="SimSun" w:eastAsia="SimSun" w:cs="SimSun"/>
          <w:sz w:val="24"/>
          <w:szCs w:val="24"/>
          <w:spacing w:val="-2"/>
        </w:rPr>
        <w:t>风的出现频率次之</w:t>
      </w:r>
      <w:r>
        <w:rPr>
          <w:rFonts w:ascii="SimSun" w:hAnsi="SimSun" w:eastAsia="SimSun" w:cs="SimSun"/>
          <w:sz w:val="24"/>
          <w:szCs w:val="24"/>
          <w:spacing w:val="-3"/>
        </w:rPr>
        <w:t>，达 </w:t>
      </w:r>
      <w:r>
        <w:rPr>
          <w:rFonts w:ascii="Times New Roman" w:hAnsi="Times New Roman" w:eastAsia="Times New Roman" w:cs="Times New Roman"/>
          <w:sz w:val="24"/>
          <w:szCs w:val="24"/>
          <w:spacing w:val="-3"/>
        </w:rPr>
        <w:t>9.05%</w:t>
      </w:r>
      <w:r>
        <w:rPr>
          <w:rFonts w:ascii="SimSun" w:hAnsi="SimSun" w:eastAsia="SimSun" w:cs="SimSun"/>
          <w:sz w:val="24"/>
          <w:szCs w:val="24"/>
          <w:spacing w:val="-3"/>
        </w:rPr>
        <w:t>。从地面风速的日变化可知，通常最</w:t>
      </w:r>
      <w:r>
        <w:rPr>
          <w:rFonts w:ascii="SimSun" w:hAnsi="SimSun" w:eastAsia="SimSun" w:cs="SimSun"/>
          <w:sz w:val="24"/>
          <w:szCs w:val="24"/>
          <w:spacing w:val="1"/>
        </w:rPr>
        <w:t>小值出现在清晨（</w:t>
      </w:r>
      <w:r>
        <w:rPr>
          <w:rFonts w:ascii="Times New Roman" w:hAnsi="Times New Roman" w:eastAsia="Times New Roman" w:cs="Times New Roman"/>
          <w:sz w:val="24"/>
          <w:szCs w:val="24"/>
          <w:spacing w:val="1"/>
        </w:rPr>
        <w:t>05</w:t>
      </w:r>
      <w:r>
        <w:rPr>
          <w:rFonts w:ascii="SimSun" w:hAnsi="SimSun" w:eastAsia="SimSun" w:cs="SimSun"/>
          <w:sz w:val="24"/>
          <w:szCs w:val="24"/>
          <w:spacing w:val="1"/>
        </w:rPr>
        <w:t>：</w:t>
      </w:r>
      <w:r>
        <w:rPr>
          <w:rFonts w:ascii="Times New Roman" w:hAnsi="Times New Roman" w:eastAsia="Times New Roman" w:cs="Times New Roman"/>
          <w:sz w:val="24"/>
          <w:szCs w:val="24"/>
          <w:spacing w:val="1"/>
        </w:rPr>
        <w:t>00</w:t>
      </w:r>
      <w:r>
        <w:rPr>
          <w:rFonts w:ascii="SimSun" w:hAnsi="SimSun" w:eastAsia="SimSun" w:cs="SimSun"/>
          <w:sz w:val="24"/>
          <w:szCs w:val="24"/>
          <w:spacing w:val="1"/>
        </w:rPr>
        <w:t>～</w:t>
      </w:r>
      <w:r>
        <w:rPr>
          <w:rFonts w:ascii="Times New Roman" w:hAnsi="Times New Roman" w:eastAsia="Times New Roman" w:cs="Times New Roman"/>
          <w:sz w:val="24"/>
          <w:szCs w:val="24"/>
          <w:spacing w:val="1"/>
        </w:rPr>
        <w:t>06</w:t>
      </w:r>
      <w:r>
        <w:rPr>
          <w:rFonts w:ascii="SimSun" w:hAnsi="SimSun" w:eastAsia="SimSun" w:cs="SimSun"/>
          <w:sz w:val="24"/>
          <w:szCs w:val="24"/>
          <w:spacing w:val="1"/>
        </w:rPr>
        <w:t>：</w:t>
      </w:r>
      <w:r>
        <w:rPr>
          <w:rFonts w:ascii="Times New Roman" w:hAnsi="Times New Roman" w:eastAsia="Times New Roman" w:cs="Times New Roman"/>
          <w:sz w:val="24"/>
          <w:szCs w:val="24"/>
          <w:spacing w:val="1"/>
        </w:rPr>
        <w:t>00  </w:t>
      </w:r>
      <w:r>
        <w:rPr>
          <w:rFonts w:ascii="SimSun" w:hAnsi="SimSun" w:eastAsia="SimSun" w:cs="SimSun"/>
          <w:sz w:val="24"/>
          <w:szCs w:val="24"/>
          <w:spacing w:val="1"/>
        </w:rPr>
        <w:t>时</w:t>
      </w:r>
      <w:r>
        <w:rPr>
          <w:rFonts w:ascii="SimSun" w:hAnsi="SimSun" w:eastAsia="SimSun" w:cs="SimSun"/>
          <w:sz w:val="24"/>
          <w:szCs w:val="24"/>
          <w:spacing w:val="6"/>
        </w:rPr>
        <w:t>），</w:t>
      </w:r>
      <w:r>
        <w:rPr>
          <w:rFonts w:ascii="SimSun" w:hAnsi="SimSun" w:eastAsia="SimSun" w:cs="SimSun"/>
          <w:sz w:val="24"/>
          <w:szCs w:val="24"/>
          <w:spacing w:val="1"/>
        </w:rPr>
        <w:t>且多为静风或小风，此后随太阳高度角的增</w:t>
      </w:r>
      <w:r>
        <w:rPr>
          <w:rFonts w:ascii="SimSun" w:hAnsi="SimSun" w:eastAsia="SimSun" w:cs="SimSun"/>
          <w:sz w:val="24"/>
          <w:szCs w:val="24"/>
          <w:spacing w:val="-1"/>
        </w:rPr>
        <w:t>加，气温亦随之增高，风速也相应增大，而到 </w:t>
      </w:r>
      <w:r>
        <w:rPr>
          <w:rFonts w:ascii="Times New Roman" w:hAnsi="Times New Roman" w:eastAsia="Times New Roman" w:cs="Times New Roman"/>
          <w:sz w:val="24"/>
          <w:szCs w:val="24"/>
          <w:spacing w:val="-1"/>
        </w:rPr>
        <w:t>14</w:t>
      </w:r>
      <w:r>
        <w:rPr>
          <w:rFonts w:ascii="SimSun" w:hAnsi="SimSun" w:eastAsia="SimSun" w:cs="SimSun"/>
          <w:sz w:val="24"/>
          <w:szCs w:val="24"/>
          <w:spacing w:val="-1"/>
        </w:rPr>
        <w:t>：</w:t>
      </w:r>
      <w:r>
        <w:rPr>
          <w:rFonts w:ascii="Times New Roman" w:hAnsi="Times New Roman" w:eastAsia="Times New Roman" w:cs="Times New Roman"/>
          <w:sz w:val="24"/>
          <w:szCs w:val="24"/>
          <w:spacing w:val="-1"/>
        </w:rPr>
        <w:t>00</w:t>
      </w:r>
      <w:r>
        <w:rPr>
          <w:rFonts w:ascii="SimSun" w:hAnsi="SimSun" w:eastAsia="SimSun" w:cs="SimSun"/>
          <w:sz w:val="24"/>
          <w:szCs w:val="24"/>
          <w:spacing w:val="-1"/>
        </w:rPr>
        <w:t>～</w:t>
      </w:r>
      <w:r>
        <w:rPr>
          <w:rFonts w:ascii="Times New Roman" w:hAnsi="Times New Roman" w:eastAsia="Times New Roman" w:cs="Times New Roman"/>
          <w:sz w:val="24"/>
          <w:szCs w:val="24"/>
          <w:spacing w:val="-1"/>
        </w:rPr>
        <w:t>16</w:t>
      </w:r>
      <w:r>
        <w:rPr>
          <w:rFonts w:ascii="SimSun" w:hAnsi="SimSun" w:eastAsia="SimSun" w:cs="SimSun"/>
          <w:sz w:val="24"/>
          <w:szCs w:val="24"/>
          <w:spacing w:val="-2"/>
        </w:rPr>
        <w:t>：</w:t>
      </w:r>
      <w:r>
        <w:rPr>
          <w:rFonts w:ascii="Times New Roman" w:hAnsi="Times New Roman" w:eastAsia="Times New Roman" w:cs="Times New Roman"/>
          <w:sz w:val="24"/>
          <w:szCs w:val="24"/>
          <w:spacing w:val="-2"/>
        </w:rPr>
        <w:t>00  </w:t>
      </w:r>
      <w:r>
        <w:rPr>
          <w:rFonts w:ascii="SimSun" w:hAnsi="SimSun" w:eastAsia="SimSun" w:cs="SimSun"/>
          <w:sz w:val="24"/>
          <w:szCs w:val="24"/>
          <w:spacing w:val="-2"/>
        </w:rPr>
        <w:t>时，气温达到最高，气</w:t>
      </w:r>
      <w:r>
        <w:rPr>
          <w:rFonts w:ascii="SimSun" w:hAnsi="SimSun" w:eastAsia="SimSun" w:cs="SimSun"/>
          <w:sz w:val="24"/>
          <w:szCs w:val="24"/>
          <w:spacing w:val="-2"/>
        </w:rPr>
        <w:t>层稳定度减小，对应风速达到一日中的最大值，此后随太阳高度角的降低，风速也逐渐</w:t>
      </w:r>
      <w:r>
        <w:rPr>
          <w:rFonts w:ascii="SimSun" w:hAnsi="SimSun" w:eastAsia="SimSun" w:cs="SimSun"/>
          <w:sz w:val="24"/>
          <w:szCs w:val="24"/>
          <w:spacing w:val="-4"/>
        </w:rPr>
        <w:t>变小。</w:t>
      </w:r>
    </w:p>
    <w:p>
      <w:pPr>
        <w:ind w:firstLine="192"/>
        <w:spacing w:line="3909" w:lineRule="exact"/>
        <w:rPr/>
      </w:pPr>
      <w:r>
        <w:rPr>
          <w:position w:val="-78"/>
        </w:rPr>
        <w:drawing>
          <wp:inline distT="0" distB="0" distL="0" distR="0">
            <wp:extent cx="5289803" cy="2482596"/>
            <wp:effectExtent l="0" t="0" r="0" b="0"/>
            <wp:docPr id="260" name="IM 260"/>
            <wp:cNvGraphicFramePr/>
            <a:graphic>
              <a:graphicData uri="http://schemas.openxmlformats.org/drawingml/2006/picture">
                <pic:pic>
                  <pic:nvPicPr>
                    <pic:cNvPr id="260" name="IM 260"/>
                    <pic:cNvPicPr/>
                  </pic:nvPicPr>
                  <pic:blipFill>
                    <a:blip r:embed="rId365"/>
                    <a:stretch>
                      <a:fillRect/>
                    </a:stretch>
                  </pic:blipFill>
                  <pic:spPr>
                    <a:xfrm rot="0">
                      <a:off x="0" y="0"/>
                      <a:ext cx="5289803" cy="2482596"/>
                    </a:xfrm>
                    <a:prstGeom prst="rect">
                      <a:avLst/>
                    </a:prstGeom>
                  </pic:spPr>
                </pic:pic>
              </a:graphicData>
            </a:graphic>
          </wp:inline>
        </w:drawing>
      </w:r>
    </w:p>
    <w:p>
      <w:pPr>
        <w:pStyle w:val="BodyText"/>
        <w:spacing w:line="388" w:lineRule="auto"/>
        <w:rPr/>
      </w:pPr>
      <w:r/>
    </w:p>
    <w:p>
      <w:pPr>
        <w:ind w:left="2161"/>
        <w:spacing w:before="65" w:line="228" w:lineRule="auto"/>
        <w:rPr>
          <w:rFonts w:ascii="SimHei" w:hAnsi="SimHei" w:eastAsia="SimHei" w:cs="SimHei"/>
          <w:sz w:val="20"/>
          <w:szCs w:val="20"/>
        </w:rPr>
      </w:pPr>
      <w:r>
        <w:rPr>
          <w:rFonts w:ascii="SimHei" w:hAnsi="SimHei" w:eastAsia="SimHei" w:cs="SimHei"/>
          <w:sz w:val="20"/>
          <w:szCs w:val="20"/>
          <w:spacing w:val="6"/>
        </w:rPr>
        <w:t>图</w:t>
      </w:r>
      <w:r>
        <w:rPr>
          <w:rFonts w:ascii="SimHei" w:hAnsi="SimHei" w:eastAsia="SimHei" w:cs="SimHei"/>
          <w:sz w:val="20"/>
          <w:szCs w:val="20"/>
          <w:spacing w:val="-30"/>
        </w:rPr>
        <w:t xml:space="preserve"> </w:t>
      </w:r>
      <w:r>
        <w:rPr>
          <w:rFonts w:ascii="Times New Roman" w:hAnsi="Times New Roman" w:eastAsia="Times New Roman" w:cs="Times New Roman"/>
          <w:sz w:val="20"/>
          <w:szCs w:val="20"/>
          <w:spacing w:val="6"/>
        </w:rPr>
        <w:t>5.2-2    </w:t>
      </w:r>
      <w:r>
        <w:rPr>
          <w:rFonts w:ascii="SimHei" w:hAnsi="SimHei" w:eastAsia="SimHei" w:cs="SimHei"/>
          <w:sz w:val="20"/>
          <w:szCs w:val="20"/>
          <w:spacing w:val="6"/>
        </w:rPr>
        <w:t>西乌珠穆沁旗近</w:t>
      </w:r>
      <w:r>
        <w:rPr>
          <w:rFonts w:ascii="SimHei" w:hAnsi="SimHei" w:eastAsia="SimHei" w:cs="SimHei"/>
          <w:sz w:val="20"/>
          <w:szCs w:val="20"/>
          <w:spacing w:val="-40"/>
        </w:rPr>
        <w:t xml:space="preserve"> </w:t>
      </w:r>
      <w:r>
        <w:rPr>
          <w:rFonts w:ascii="Times New Roman" w:hAnsi="Times New Roman" w:eastAsia="Times New Roman" w:cs="Times New Roman"/>
          <w:sz w:val="20"/>
          <w:szCs w:val="20"/>
          <w:spacing w:val="6"/>
        </w:rPr>
        <w:t>20 </w:t>
      </w:r>
      <w:r>
        <w:rPr>
          <w:rFonts w:ascii="SimHei" w:hAnsi="SimHei" w:eastAsia="SimHei" w:cs="SimHei"/>
          <w:sz w:val="20"/>
          <w:szCs w:val="20"/>
          <w:spacing w:val="6"/>
        </w:rPr>
        <w:t>年逐月平均风速变化曲线</w:t>
      </w:r>
    </w:p>
    <w:p>
      <w:pPr>
        <w:spacing w:line="228" w:lineRule="auto"/>
        <w:sectPr>
          <w:headerReference w:type="default" r:id="rId363"/>
          <w:footerReference w:type="default" r:id="rId364"/>
          <w:pgSz w:w="11906" w:h="16838"/>
          <w:pgMar w:top="1170" w:right="1231" w:bottom="1080" w:left="1307" w:header="837" w:footer="918" w:gutter="0"/>
        </w:sectPr>
        <w:rPr>
          <w:rFonts w:ascii="SimHei" w:hAnsi="SimHei" w:eastAsia="SimHei" w:cs="SimHei"/>
          <w:sz w:val="20"/>
          <w:szCs w:val="20"/>
        </w:rPr>
      </w:pPr>
    </w:p>
    <w:p>
      <w:pPr>
        <w:pStyle w:val="BodyText"/>
        <w:spacing w:line="282" w:lineRule="auto"/>
        <w:rPr/>
      </w:pPr>
      <w:r/>
    </w:p>
    <w:p>
      <w:pPr>
        <w:ind w:left="4701"/>
        <w:spacing w:before="78" w:line="222" w:lineRule="auto"/>
        <w:rPr>
          <w:rFonts w:ascii="Times New Roman" w:hAnsi="Times New Roman" w:eastAsia="Times New Roman" w:cs="Times New Roman"/>
          <w:sz w:val="24"/>
          <w:szCs w:val="24"/>
        </w:rPr>
      </w:pPr>
      <w:r>
        <w:rPr>
          <w:rFonts w:ascii="SimHei" w:hAnsi="SimHei" w:eastAsia="SimHei" w:cs="SimHei"/>
          <w:sz w:val="24"/>
          <w:szCs w:val="24"/>
          <w:spacing w:val="-1"/>
        </w:rPr>
        <w:t>西乌珠穆沁旗气象局近</w:t>
      </w:r>
      <w:r>
        <w:rPr>
          <w:rFonts w:ascii="SimHei" w:hAnsi="SimHei" w:eastAsia="SimHei" w:cs="SimHei"/>
          <w:sz w:val="24"/>
          <w:szCs w:val="24"/>
          <w:spacing w:val="-45"/>
        </w:rPr>
        <w:t xml:space="preserve"> </w:t>
      </w:r>
      <w:r>
        <w:rPr>
          <w:rFonts w:ascii="Times New Roman" w:hAnsi="Times New Roman" w:eastAsia="Times New Roman" w:cs="Times New Roman"/>
          <w:sz w:val="24"/>
          <w:szCs w:val="24"/>
          <w:spacing w:val="-1"/>
        </w:rPr>
        <w:t>20 </w:t>
      </w:r>
      <w:r>
        <w:rPr>
          <w:rFonts w:ascii="SimHei" w:hAnsi="SimHei" w:eastAsia="SimHei" w:cs="SimHei"/>
          <w:sz w:val="24"/>
          <w:szCs w:val="24"/>
          <w:spacing w:val="-1"/>
        </w:rPr>
        <w:t>年各风速段出现频率</w:t>
      </w:r>
      <w:r>
        <w:rPr>
          <w:rFonts w:ascii="SimHei" w:hAnsi="SimHei" w:eastAsia="SimHei" w:cs="SimHei"/>
          <w:sz w:val="24"/>
          <w:szCs w:val="24"/>
          <w:spacing w:val="-1"/>
        </w:rPr>
        <w:t xml:space="preserve">  </w:t>
      </w:r>
      <w:r>
        <w:rPr>
          <w:rFonts w:ascii="Times New Roman" w:hAnsi="Times New Roman" w:eastAsia="Times New Roman" w:cs="Times New Roman"/>
          <w:sz w:val="24"/>
          <w:szCs w:val="24"/>
          <w:spacing w:val="-1"/>
        </w:rPr>
        <w:t>%</w:t>
      </w:r>
    </w:p>
    <w:p>
      <w:pPr>
        <w:ind w:left="115"/>
        <w:spacing w:before="29"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5-2-4</w:t>
      </w:r>
    </w:p>
    <w:tbl>
      <w:tblPr>
        <w:tblStyle w:val="TableNormal"/>
        <w:tblW w:w="1450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25"/>
        <w:gridCol w:w="698"/>
        <w:gridCol w:w="741"/>
        <w:gridCol w:w="698"/>
        <w:gridCol w:w="725"/>
        <w:gridCol w:w="698"/>
        <w:gridCol w:w="705"/>
        <w:gridCol w:w="698"/>
        <w:gridCol w:w="698"/>
        <w:gridCol w:w="701"/>
        <w:gridCol w:w="739"/>
        <w:gridCol w:w="698"/>
        <w:gridCol w:w="804"/>
        <w:gridCol w:w="725"/>
        <w:gridCol w:w="852"/>
        <w:gridCol w:w="732"/>
        <w:gridCol w:w="820"/>
        <w:gridCol w:w="823"/>
        <w:gridCol w:w="823"/>
      </w:tblGrid>
      <w:tr>
        <w:trPr>
          <w:trHeight w:val="817" w:hRule="atLeast"/>
        </w:trPr>
        <w:tc>
          <w:tcPr>
            <w:tcW w:w="1125" w:type="dxa"/>
            <w:vAlign w:val="top"/>
          </w:tcPr>
          <w:p>
            <w:pPr>
              <w:ind w:left="356"/>
              <w:spacing w:before="29" w:line="228" w:lineRule="auto"/>
              <w:rPr>
                <w:rFonts w:ascii="SimSun" w:hAnsi="SimSun" w:eastAsia="SimSun" w:cs="SimSun"/>
                <w:sz w:val="20"/>
                <w:szCs w:val="20"/>
              </w:rPr>
            </w:pPr>
            <w:r>
              <w:rPr>
                <w:rFonts w:ascii="SimSun" w:hAnsi="SimSun" w:eastAsia="SimSun" w:cs="SimSun"/>
                <w:sz w:val="20"/>
                <w:szCs w:val="20"/>
                <w:spacing w:val="4"/>
              </w:rPr>
              <w:t>风向</w:t>
            </w:r>
          </w:p>
          <w:p>
            <w:pPr>
              <w:pStyle w:val="TableText"/>
              <w:ind w:left="214" w:right="219" w:firstLine="141"/>
              <w:spacing w:before="25" w:line="233" w:lineRule="auto"/>
              <w:rPr>
                <w:rFonts w:ascii="SimSun" w:hAnsi="SimSun" w:eastAsia="SimSun" w:cs="SimSun"/>
              </w:rPr>
            </w:pPr>
            <w:r>
              <w:rPr>
                <w:rFonts w:ascii="SimSun" w:hAnsi="SimSun" w:eastAsia="SimSun" w:cs="SimSun"/>
                <w:spacing w:val="4"/>
              </w:rPr>
              <w:t>风速</w:t>
            </w:r>
            <w:r>
              <w:rPr>
                <w:rFonts w:ascii="SimSun" w:hAnsi="SimSun" w:eastAsia="SimSun" w:cs="SimSun"/>
                <w:spacing w:val="-1"/>
              </w:rPr>
              <w:t>（</w:t>
            </w:r>
            <w:r>
              <w:rPr>
                <w:spacing w:val="-1"/>
              </w:rPr>
              <w:t>m/s</w:t>
            </w:r>
            <w:r>
              <w:rPr>
                <w:rFonts w:ascii="SimSun" w:hAnsi="SimSun" w:eastAsia="SimSun" w:cs="SimSun"/>
                <w:spacing w:val="-1"/>
              </w:rPr>
              <w:t>）</w:t>
            </w:r>
          </w:p>
        </w:tc>
        <w:tc>
          <w:tcPr>
            <w:tcW w:w="698" w:type="dxa"/>
            <w:vAlign w:val="top"/>
          </w:tcPr>
          <w:p>
            <w:pPr>
              <w:spacing w:line="282" w:lineRule="auto"/>
              <w:rPr>
                <w:rFonts w:ascii="Arial"/>
                <w:sz w:val="21"/>
              </w:rPr>
            </w:pPr>
            <w:r/>
          </w:p>
          <w:p>
            <w:pPr>
              <w:pStyle w:val="TableText"/>
              <w:ind w:left="264"/>
              <w:spacing w:before="57" w:line="192" w:lineRule="auto"/>
              <w:rPr/>
            </w:pPr>
            <w:r>
              <w:rPr>
                <w:spacing w:val="8"/>
              </w:rPr>
              <w:t>N</w:t>
            </w:r>
          </w:p>
        </w:tc>
        <w:tc>
          <w:tcPr>
            <w:tcW w:w="741" w:type="dxa"/>
            <w:vAlign w:val="top"/>
          </w:tcPr>
          <w:p>
            <w:pPr>
              <w:spacing w:line="282" w:lineRule="auto"/>
              <w:rPr>
                <w:rFonts w:ascii="Arial"/>
                <w:sz w:val="21"/>
              </w:rPr>
            </w:pPr>
            <w:r/>
          </w:p>
          <w:p>
            <w:pPr>
              <w:pStyle w:val="TableText"/>
              <w:ind w:left="147"/>
              <w:spacing w:before="57" w:line="192" w:lineRule="auto"/>
              <w:rPr/>
            </w:pPr>
            <w:r>
              <w:rPr>
                <w:spacing w:val="7"/>
              </w:rPr>
              <w:t>NNE</w:t>
            </w:r>
          </w:p>
        </w:tc>
        <w:tc>
          <w:tcPr>
            <w:tcW w:w="698" w:type="dxa"/>
            <w:vAlign w:val="top"/>
          </w:tcPr>
          <w:p>
            <w:pPr>
              <w:spacing w:line="282" w:lineRule="auto"/>
              <w:rPr>
                <w:rFonts w:ascii="Arial"/>
                <w:sz w:val="21"/>
              </w:rPr>
            </w:pPr>
            <w:r/>
          </w:p>
          <w:p>
            <w:pPr>
              <w:pStyle w:val="TableText"/>
              <w:ind w:left="200"/>
              <w:spacing w:before="57" w:line="192" w:lineRule="auto"/>
              <w:rPr/>
            </w:pPr>
            <w:r>
              <w:rPr>
                <w:spacing w:val="7"/>
              </w:rPr>
              <w:t>NE</w:t>
            </w:r>
          </w:p>
        </w:tc>
        <w:tc>
          <w:tcPr>
            <w:tcW w:w="725" w:type="dxa"/>
            <w:vAlign w:val="top"/>
          </w:tcPr>
          <w:p>
            <w:pPr>
              <w:spacing w:line="282" w:lineRule="auto"/>
              <w:rPr>
                <w:rFonts w:ascii="Arial"/>
                <w:sz w:val="21"/>
              </w:rPr>
            </w:pPr>
            <w:r/>
          </w:p>
          <w:p>
            <w:pPr>
              <w:pStyle w:val="TableText"/>
              <w:ind w:left="157"/>
              <w:spacing w:before="57" w:line="192" w:lineRule="auto"/>
              <w:rPr/>
            </w:pPr>
            <w:r>
              <w:rPr>
                <w:spacing w:val="4"/>
              </w:rPr>
              <w:t>ENE</w:t>
            </w:r>
          </w:p>
        </w:tc>
        <w:tc>
          <w:tcPr>
            <w:tcW w:w="698" w:type="dxa"/>
            <w:vAlign w:val="top"/>
          </w:tcPr>
          <w:p>
            <w:pPr>
              <w:spacing w:line="282" w:lineRule="auto"/>
              <w:rPr>
                <w:rFonts w:ascii="Arial"/>
                <w:sz w:val="21"/>
              </w:rPr>
            </w:pPr>
            <w:r/>
          </w:p>
          <w:p>
            <w:pPr>
              <w:pStyle w:val="TableText"/>
              <w:ind w:left="284"/>
              <w:spacing w:before="57" w:line="192" w:lineRule="auto"/>
              <w:rPr/>
            </w:pPr>
            <w:r>
              <w:rPr/>
              <w:t>E</w:t>
            </w:r>
          </w:p>
        </w:tc>
        <w:tc>
          <w:tcPr>
            <w:tcW w:w="705" w:type="dxa"/>
            <w:vAlign w:val="top"/>
          </w:tcPr>
          <w:p>
            <w:pPr>
              <w:spacing w:line="279" w:lineRule="auto"/>
              <w:rPr>
                <w:rFonts w:ascii="Arial"/>
                <w:sz w:val="21"/>
              </w:rPr>
            </w:pPr>
            <w:r/>
          </w:p>
          <w:p>
            <w:pPr>
              <w:pStyle w:val="TableText"/>
              <w:ind w:left="167"/>
              <w:spacing w:before="57" w:line="195" w:lineRule="auto"/>
              <w:rPr/>
            </w:pPr>
            <w:r>
              <w:rPr>
                <w:spacing w:val="3"/>
              </w:rPr>
              <w:t>ESE</w:t>
            </w:r>
          </w:p>
        </w:tc>
        <w:tc>
          <w:tcPr>
            <w:tcW w:w="698" w:type="dxa"/>
            <w:vAlign w:val="top"/>
          </w:tcPr>
          <w:p>
            <w:pPr>
              <w:spacing w:line="279" w:lineRule="auto"/>
              <w:rPr>
                <w:rFonts w:ascii="Arial"/>
                <w:sz w:val="21"/>
              </w:rPr>
            </w:pPr>
            <w:r/>
          </w:p>
          <w:p>
            <w:pPr>
              <w:pStyle w:val="TableText"/>
              <w:ind w:left="236"/>
              <w:spacing w:before="57" w:line="195" w:lineRule="auto"/>
              <w:rPr/>
            </w:pPr>
            <w:r>
              <w:rPr>
                <w:spacing w:val="-2"/>
              </w:rPr>
              <w:t>SE</w:t>
            </w:r>
          </w:p>
        </w:tc>
        <w:tc>
          <w:tcPr>
            <w:tcW w:w="698" w:type="dxa"/>
            <w:vAlign w:val="top"/>
          </w:tcPr>
          <w:p>
            <w:pPr>
              <w:spacing w:line="279" w:lineRule="auto"/>
              <w:rPr>
                <w:rFonts w:ascii="Arial"/>
                <w:sz w:val="21"/>
              </w:rPr>
            </w:pPr>
            <w:r/>
          </w:p>
          <w:p>
            <w:pPr>
              <w:pStyle w:val="TableText"/>
              <w:ind w:left="179"/>
              <w:spacing w:before="57" w:line="195" w:lineRule="auto"/>
              <w:rPr/>
            </w:pPr>
            <w:r>
              <w:rPr/>
              <w:t>SSE</w:t>
            </w:r>
          </w:p>
        </w:tc>
        <w:tc>
          <w:tcPr>
            <w:tcW w:w="701" w:type="dxa"/>
            <w:vAlign w:val="top"/>
          </w:tcPr>
          <w:p>
            <w:pPr>
              <w:spacing w:line="279" w:lineRule="auto"/>
              <w:rPr>
                <w:rFonts w:ascii="Arial"/>
                <w:sz w:val="21"/>
              </w:rPr>
            </w:pPr>
            <w:r/>
          </w:p>
          <w:p>
            <w:pPr>
              <w:pStyle w:val="TableText"/>
              <w:ind w:left="302"/>
              <w:spacing w:before="57" w:line="195" w:lineRule="auto"/>
              <w:rPr/>
            </w:pPr>
            <w:r>
              <w:rPr/>
              <w:t>S</w:t>
            </w:r>
          </w:p>
        </w:tc>
        <w:tc>
          <w:tcPr>
            <w:tcW w:w="739" w:type="dxa"/>
            <w:vAlign w:val="top"/>
          </w:tcPr>
          <w:p>
            <w:pPr>
              <w:spacing w:line="279" w:lineRule="auto"/>
              <w:rPr>
                <w:rFonts w:ascii="Arial"/>
                <w:sz w:val="21"/>
              </w:rPr>
            </w:pPr>
            <w:r/>
          </w:p>
          <w:p>
            <w:pPr>
              <w:pStyle w:val="TableText"/>
              <w:ind w:left="162"/>
              <w:spacing w:before="57" w:line="195" w:lineRule="auto"/>
              <w:rPr/>
            </w:pPr>
            <w:r>
              <w:rPr>
                <w:spacing w:val="1"/>
              </w:rPr>
              <w:t>SSW</w:t>
            </w:r>
          </w:p>
        </w:tc>
        <w:tc>
          <w:tcPr>
            <w:tcW w:w="698" w:type="dxa"/>
            <w:vAlign w:val="top"/>
          </w:tcPr>
          <w:p>
            <w:pPr>
              <w:spacing w:line="279" w:lineRule="auto"/>
              <w:rPr>
                <w:rFonts w:ascii="Arial"/>
                <w:sz w:val="21"/>
              </w:rPr>
            </w:pPr>
            <w:r/>
          </w:p>
          <w:p>
            <w:pPr>
              <w:pStyle w:val="TableText"/>
              <w:ind w:left="201"/>
              <w:spacing w:before="57" w:line="195" w:lineRule="auto"/>
              <w:rPr/>
            </w:pPr>
            <w:r>
              <w:rPr>
                <w:spacing w:val="-1"/>
              </w:rPr>
              <w:t>SW</w:t>
            </w:r>
          </w:p>
        </w:tc>
        <w:tc>
          <w:tcPr>
            <w:tcW w:w="804" w:type="dxa"/>
            <w:vAlign w:val="top"/>
          </w:tcPr>
          <w:p>
            <w:pPr>
              <w:spacing w:line="279" w:lineRule="auto"/>
              <w:rPr>
                <w:rFonts w:ascii="Arial"/>
                <w:sz w:val="21"/>
              </w:rPr>
            </w:pPr>
            <w:r/>
          </w:p>
          <w:p>
            <w:pPr>
              <w:pStyle w:val="TableText"/>
              <w:ind w:left="145"/>
              <w:spacing w:before="57" w:line="195" w:lineRule="auto"/>
              <w:rPr/>
            </w:pPr>
            <w:r>
              <w:rPr>
                <w:spacing w:val="7"/>
              </w:rPr>
              <w:t>WSW</w:t>
            </w:r>
          </w:p>
        </w:tc>
        <w:tc>
          <w:tcPr>
            <w:tcW w:w="725" w:type="dxa"/>
            <w:vAlign w:val="top"/>
          </w:tcPr>
          <w:p>
            <w:pPr>
              <w:spacing w:line="282" w:lineRule="auto"/>
              <w:rPr>
                <w:rFonts w:ascii="Arial"/>
                <w:sz w:val="21"/>
              </w:rPr>
            </w:pPr>
            <w:r/>
          </w:p>
          <w:p>
            <w:pPr>
              <w:pStyle w:val="TableText"/>
              <w:ind w:left="263"/>
              <w:spacing w:before="57" w:line="192" w:lineRule="auto"/>
              <w:rPr/>
            </w:pPr>
            <w:r>
              <w:rPr>
                <w:spacing w:val="5"/>
              </w:rPr>
              <w:t>W</w:t>
            </w:r>
          </w:p>
        </w:tc>
        <w:tc>
          <w:tcPr>
            <w:tcW w:w="852" w:type="dxa"/>
            <w:vAlign w:val="top"/>
          </w:tcPr>
          <w:p>
            <w:pPr>
              <w:spacing w:line="282" w:lineRule="auto"/>
              <w:rPr>
                <w:rFonts w:ascii="Arial"/>
                <w:sz w:val="21"/>
              </w:rPr>
            </w:pPr>
            <w:r/>
          </w:p>
          <w:p>
            <w:pPr>
              <w:pStyle w:val="TableText"/>
              <w:ind w:left="152"/>
              <w:spacing w:before="57" w:line="192" w:lineRule="auto"/>
              <w:rPr/>
            </w:pPr>
            <w:r>
              <w:rPr>
                <w:spacing w:val="6"/>
              </w:rPr>
              <w:t>WNW</w:t>
            </w:r>
          </w:p>
        </w:tc>
        <w:tc>
          <w:tcPr>
            <w:tcW w:w="732" w:type="dxa"/>
            <w:vAlign w:val="top"/>
          </w:tcPr>
          <w:p>
            <w:pPr>
              <w:spacing w:line="282" w:lineRule="auto"/>
              <w:rPr>
                <w:rFonts w:ascii="Arial"/>
                <w:sz w:val="21"/>
              </w:rPr>
            </w:pPr>
            <w:r/>
          </w:p>
          <w:p>
            <w:pPr>
              <w:pStyle w:val="TableText"/>
              <w:ind w:left="185"/>
              <w:spacing w:before="57" w:line="192" w:lineRule="auto"/>
              <w:rPr/>
            </w:pPr>
            <w:r>
              <w:rPr>
                <w:spacing w:val="8"/>
              </w:rPr>
              <w:t>NW</w:t>
            </w:r>
          </w:p>
        </w:tc>
        <w:tc>
          <w:tcPr>
            <w:tcW w:w="820" w:type="dxa"/>
            <w:vAlign w:val="top"/>
          </w:tcPr>
          <w:p>
            <w:pPr>
              <w:spacing w:line="282" w:lineRule="auto"/>
              <w:rPr>
                <w:rFonts w:ascii="Arial"/>
                <w:sz w:val="21"/>
              </w:rPr>
            </w:pPr>
            <w:r/>
          </w:p>
          <w:p>
            <w:pPr>
              <w:pStyle w:val="TableText"/>
              <w:ind w:left="154"/>
              <w:spacing w:before="57" w:line="192" w:lineRule="auto"/>
              <w:rPr/>
            </w:pPr>
            <w:r>
              <w:rPr>
                <w:spacing w:val="8"/>
              </w:rPr>
              <w:t>NNW</w:t>
            </w:r>
          </w:p>
        </w:tc>
        <w:tc>
          <w:tcPr>
            <w:tcW w:w="823" w:type="dxa"/>
            <w:vAlign w:val="top"/>
          </w:tcPr>
          <w:p>
            <w:pPr>
              <w:spacing w:line="279" w:lineRule="auto"/>
              <w:rPr>
                <w:rFonts w:ascii="Arial"/>
                <w:sz w:val="21"/>
              </w:rPr>
            </w:pPr>
            <w:r/>
          </w:p>
          <w:p>
            <w:pPr>
              <w:pStyle w:val="TableText"/>
              <w:ind w:left="345"/>
              <w:spacing w:before="57" w:line="195" w:lineRule="auto"/>
              <w:rPr/>
            </w:pPr>
            <w:r>
              <w:rPr/>
              <w:t>C</w:t>
            </w:r>
          </w:p>
        </w:tc>
        <w:tc>
          <w:tcPr>
            <w:tcW w:w="823" w:type="dxa"/>
            <w:vAlign w:val="top"/>
          </w:tcPr>
          <w:p>
            <w:pPr>
              <w:ind w:left="205"/>
              <w:spacing w:before="302" w:line="229" w:lineRule="auto"/>
              <w:rPr>
                <w:rFonts w:ascii="SimSun" w:hAnsi="SimSun" w:eastAsia="SimSun" w:cs="SimSun"/>
                <w:sz w:val="20"/>
                <w:szCs w:val="20"/>
              </w:rPr>
            </w:pPr>
            <w:r>
              <w:rPr>
                <w:rFonts w:ascii="SimSun" w:hAnsi="SimSun" w:eastAsia="SimSun" w:cs="SimSun"/>
                <w:sz w:val="20"/>
                <w:szCs w:val="20"/>
                <w:spacing w:val="4"/>
              </w:rPr>
              <w:t>合计</w:t>
            </w:r>
          </w:p>
        </w:tc>
      </w:tr>
      <w:tr>
        <w:trPr>
          <w:trHeight w:val="397" w:hRule="atLeast"/>
        </w:trPr>
        <w:tc>
          <w:tcPr>
            <w:tcW w:w="1125" w:type="dxa"/>
            <w:vAlign w:val="top"/>
          </w:tcPr>
          <w:p>
            <w:pPr>
              <w:pStyle w:val="TableText"/>
              <w:ind w:left="345"/>
              <w:spacing w:before="92" w:line="264" w:lineRule="exact"/>
              <w:rPr/>
            </w:pPr>
            <w:r>
              <w:rPr>
                <w:rFonts w:ascii="SimSun" w:hAnsi="SimSun" w:eastAsia="SimSun" w:cs="SimSun"/>
                <w:spacing w:val="24"/>
                <w:position w:val="1"/>
              </w:rPr>
              <w:t>&lt;</w:t>
            </w:r>
            <w:r>
              <w:rPr>
                <w:spacing w:val="24"/>
                <w:position w:val="1"/>
              </w:rPr>
              <w:t>1.0</w:t>
            </w:r>
          </w:p>
        </w:tc>
        <w:tc>
          <w:tcPr>
            <w:tcW w:w="698" w:type="dxa"/>
            <w:vAlign w:val="top"/>
          </w:tcPr>
          <w:p>
            <w:pPr>
              <w:pStyle w:val="TableText"/>
              <w:ind w:left="166"/>
              <w:spacing w:before="128" w:line="195" w:lineRule="auto"/>
              <w:rPr/>
            </w:pPr>
            <w:r>
              <w:rPr>
                <w:spacing w:val="3"/>
              </w:rPr>
              <w:t>0.00</w:t>
            </w:r>
          </w:p>
        </w:tc>
        <w:tc>
          <w:tcPr>
            <w:tcW w:w="741" w:type="dxa"/>
            <w:vAlign w:val="top"/>
          </w:tcPr>
          <w:p>
            <w:pPr>
              <w:pStyle w:val="TableText"/>
              <w:ind w:left="188"/>
              <w:spacing w:before="128" w:line="195" w:lineRule="auto"/>
              <w:rPr/>
            </w:pPr>
            <w:r>
              <w:rPr>
                <w:spacing w:val="3"/>
              </w:rPr>
              <w:t>0.00</w:t>
            </w:r>
          </w:p>
        </w:tc>
        <w:tc>
          <w:tcPr>
            <w:tcW w:w="698" w:type="dxa"/>
            <w:vAlign w:val="top"/>
          </w:tcPr>
          <w:p>
            <w:pPr>
              <w:pStyle w:val="TableText"/>
              <w:ind w:left="167"/>
              <w:spacing w:before="128" w:line="195" w:lineRule="auto"/>
              <w:rPr/>
            </w:pPr>
            <w:r>
              <w:rPr>
                <w:spacing w:val="3"/>
              </w:rPr>
              <w:t>0.00</w:t>
            </w:r>
          </w:p>
        </w:tc>
        <w:tc>
          <w:tcPr>
            <w:tcW w:w="725" w:type="dxa"/>
            <w:vAlign w:val="top"/>
          </w:tcPr>
          <w:p>
            <w:pPr>
              <w:pStyle w:val="TableText"/>
              <w:ind w:left="179"/>
              <w:spacing w:before="128" w:line="195" w:lineRule="auto"/>
              <w:rPr/>
            </w:pPr>
            <w:r>
              <w:rPr>
                <w:spacing w:val="3"/>
              </w:rPr>
              <w:t>0.00</w:t>
            </w:r>
          </w:p>
        </w:tc>
        <w:tc>
          <w:tcPr>
            <w:tcW w:w="698" w:type="dxa"/>
            <w:vAlign w:val="top"/>
          </w:tcPr>
          <w:p>
            <w:pPr>
              <w:pStyle w:val="TableText"/>
              <w:ind w:left="167"/>
              <w:spacing w:before="128" w:line="195" w:lineRule="auto"/>
              <w:rPr/>
            </w:pPr>
            <w:r>
              <w:rPr>
                <w:spacing w:val="3"/>
              </w:rPr>
              <w:t>0.00</w:t>
            </w:r>
          </w:p>
        </w:tc>
        <w:tc>
          <w:tcPr>
            <w:tcW w:w="705" w:type="dxa"/>
            <w:vAlign w:val="top"/>
          </w:tcPr>
          <w:p>
            <w:pPr>
              <w:pStyle w:val="TableText"/>
              <w:ind w:left="172"/>
              <w:spacing w:before="128" w:line="195" w:lineRule="auto"/>
              <w:rPr/>
            </w:pPr>
            <w:r>
              <w:rPr>
                <w:spacing w:val="2"/>
              </w:rPr>
              <w:t>0.00</w:t>
            </w:r>
          </w:p>
        </w:tc>
        <w:tc>
          <w:tcPr>
            <w:tcW w:w="698" w:type="dxa"/>
            <w:vAlign w:val="top"/>
          </w:tcPr>
          <w:p>
            <w:pPr>
              <w:pStyle w:val="TableText"/>
              <w:ind w:left="168"/>
              <w:spacing w:before="128" w:line="195" w:lineRule="auto"/>
              <w:rPr/>
            </w:pPr>
            <w:r>
              <w:rPr>
                <w:spacing w:val="3"/>
              </w:rPr>
              <w:t>0.00</w:t>
            </w:r>
          </w:p>
        </w:tc>
        <w:tc>
          <w:tcPr>
            <w:tcW w:w="698" w:type="dxa"/>
            <w:vAlign w:val="top"/>
          </w:tcPr>
          <w:p>
            <w:pPr>
              <w:pStyle w:val="TableText"/>
              <w:ind w:left="168"/>
              <w:spacing w:before="128" w:line="195" w:lineRule="auto"/>
              <w:rPr/>
            </w:pPr>
            <w:r>
              <w:rPr>
                <w:spacing w:val="3"/>
              </w:rPr>
              <w:t>0.00</w:t>
            </w:r>
          </w:p>
        </w:tc>
        <w:tc>
          <w:tcPr>
            <w:tcW w:w="701" w:type="dxa"/>
            <w:vAlign w:val="top"/>
          </w:tcPr>
          <w:p>
            <w:pPr>
              <w:pStyle w:val="TableText"/>
              <w:ind w:left="171"/>
              <w:spacing w:before="128" w:line="195" w:lineRule="auto"/>
              <w:rPr/>
            </w:pPr>
            <w:r>
              <w:rPr>
                <w:spacing w:val="2"/>
              </w:rPr>
              <w:t>0.00</w:t>
            </w:r>
          </w:p>
        </w:tc>
        <w:tc>
          <w:tcPr>
            <w:tcW w:w="739" w:type="dxa"/>
            <w:vAlign w:val="top"/>
          </w:tcPr>
          <w:p>
            <w:pPr>
              <w:pStyle w:val="TableText"/>
              <w:ind w:left="190"/>
              <w:spacing w:before="128" w:line="195" w:lineRule="auto"/>
              <w:rPr/>
            </w:pPr>
            <w:r>
              <w:rPr>
                <w:spacing w:val="2"/>
              </w:rPr>
              <w:t>0.00</w:t>
            </w:r>
          </w:p>
        </w:tc>
        <w:tc>
          <w:tcPr>
            <w:tcW w:w="698" w:type="dxa"/>
            <w:vAlign w:val="top"/>
          </w:tcPr>
          <w:p>
            <w:pPr>
              <w:pStyle w:val="TableText"/>
              <w:ind w:left="169"/>
              <w:spacing w:before="128" w:line="195" w:lineRule="auto"/>
              <w:rPr/>
            </w:pPr>
            <w:r>
              <w:rPr>
                <w:spacing w:val="3"/>
              </w:rPr>
              <w:t>0.00</w:t>
            </w:r>
          </w:p>
        </w:tc>
        <w:tc>
          <w:tcPr>
            <w:tcW w:w="804" w:type="dxa"/>
            <w:vAlign w:val="top"/>
          </w:tcPr>
          <w:p>
            <w:pPr>
              <w:pStyle w:val="TableText"/>
              <w:ind w:left="222"/>
              <w:spacing w:before="128" w:line="195" w:lineRule="auto"/>
              <w:rPr/>
            </w:pPr>
            <w:r>
              <w:rPr>
                <w:spacing w:val="3"/>
              </w:rPr>
              <w:t>0.00</w:t>
            </w:r>
          </w:p>
        </w:tc>
        <w:tc>
          <w:tcPr>
            <w:tcW w:w="725" w:type="dxa"/>
            <w:vAlign w:val="top"/>
          </w:tcPr>
          <w:p>
            <w:pPr>
              <w:pStyle w:val="TableText"/>
              <w:ind w:left="184"/>
              <w:spacing w:before="128" w:line="195" w:lineRule="auto"/>
              <w:rPr/>
            </w:pPr>
            <w:r>
              <w:rPr>
                <w:spacing w:val="2"/>
              </w:rPr>
              <w:t>0.00</w:t>
            </w:r>
          </w:p>
        </w:tc>
        <w:tc>
          <w:tcPr>
            <w:tcW w:w="852" w:type="dxa"/>
            <w:vAlign w:val="top"/>
          </w:tcPr>
          <w:p>
            <w:pPr>
              <w:pStyle w:val="TableText"/>
              <w:ind w:left="246"/>
              <w:spacing w:before="128" w:line="195" w:lineRule="auto"/>
              <w:rPr/>
            </w:pPr>
            <w:r>
              <w:rPr>
                <w:spacing w:val="3"/>
              </w:rPr>
              <w:t>0.00</w:t>
            </w:r>
          </w:p>
        </w:tc>
        <w:tc>
          <w:tcPr>
            <w:tcW w:w="732" w:type="dxa"/>
            <w:vAlign w:val="top"/>
          </w:tcPr>
          <w:p>
            <w:pPr>
              <w:pStyle w:val="TableText"/>
              <w:ind w:left="186"/>
              <w:spacing w:before="128" w:line="195" w:lineRule="auto"/>
              <w:rPr/>
            </w:pPr>
            <w:r>
              <w:rPr>
                <w:spacing w:val="3"/>
              </w:rPr>
              <w:t>0.00</w:t>
            </w:r>
          </w:p>
        </w:tc>
        <w:tc>
          <w:tcPr>
            <w:tcW w:w="820" w:type="dxa"/>
            <w:vAlign w:val="top"/>
          </w:tcPr>
          <w:p>
            <w:pPr>
              <w:pStyle w:val="TableText"/>
              <w:ind w:left="231"/>
              <w:spacing w:before="128" w:line="195" w:lineRule="auto"/>
              <w:rPr/>
            </w:pPr>
            <w:r>
              <w:rPr>
                <w:spacing w:val="3"/>
              </w:rPr>
              <w:t>0.00</w:t>
            </w:r>
          </w:p>
        </w:tc>
        <w:tc>
          <w:tcPr>
            <w:tcW w:w="823" w:type="dxa"/>
            <w:vAlign w:val="top"/>
          </w:tcPr>
          <w:p>
            <w:pPr>
              <w:pStyle w:val="TableText"/>
              <w:ind w:left="176"/>
              <w:spacing w:before="128" w:line="195" w:lineRule="auto"/>
              <w:rPr/>
            </w:pPr>
            <w:r>
              <w:rPr>
                <w:spacing w:val="4"/>
              </w:rPr>
              <w:t>28.36</w:t>
            </w:r>
          </w:p>
        </w:tc>
        <w:tc>
          <w:tcPr>
            <w:tcW w:w="823" w:type="dxa"/>
            <w:vAlign w:val="top"/>
          </w:tcPr>
          <w:p>
            <w:pPr>
              <w:pStyle w:val="TableText"/>
              <w:ind w:left="174"/>
              <w:spacing w:before="128" w:line="195" w:lineRule="auto"/>
              <w:rPr/>
            </w:pPr>
            <w:r>
              <w:rPr>
                <w:spacing w:val="4"/>
              </w:rPr>
              <w:t>28.36</w:t>
            </w:r>
          </w:p>
        </w:tc>
      </w:tr>
      <w:tr>
        <w:trPr>
          <w:trHeight w:val="395" w:hRule="atLeast"/>
        </w:trPr>
        <w:tc>
          <w:tcPr>
            <w:tcW w:w="1125" w:type="dxa"/>
            <w:vAlign w:val="top"/>
          </w:tcPr>
          <w:p>
            <w:pPr>
              <w:pStyle w:val="TableText"/>
              <w:ind w:left="213"/>
              <w:spacing w:before="89" w:line="264" w:lineRule="exact"/>
              <w:rPr/>
            </w:pPr>
            <w:r>
              <w:rPr>
                <w:spacing w:val="1"/>
                <w:position w:val="1"/>
              </w:rPr>
              <w:t>1.0</w:t>
            </w:r>
            <w:r>
              <w:rPr>
                <w:rFonts w:ascii="SimSun" w:hAnsi="SimSun" w:eastAsia="SimSun" w:cs="SimSun"/>
                <w:spacing w:val="1"/>
                <w:position w:val="1"/>
              </w:rPr>
              <w:t>～</w:t>
            </w:r>
            <w:r>
              <w:rPr>
                <w:spacing w:val="1"/>
                <w:position w:val="1"/>
              </w:rPr>
              <w:t>1.9</w:t>
            </w:r>
          </w:p>
        </w:tc>
        <w:tc>
          <w:tcPr>
            <w:tcW w:w="698" w:type="dxa"/>
            <w:vAlign w:val="top"/>
          </w:tcPr>
          <w:p>
            <w:pPr>
              <w:pStyle w:val="TableText"/>
              <w:ind w:left="166"/>
              <w:spacing w:before="124" w:line="195" w:lineRule="auto"/>
              <w:rPr/>
            </w:pPr>
            <w:r>
              <w:rPr>
                <w:spacing w:val="3"/>
              </w:rPr>
              <w:t>0.75</w:t>
            </w:r>
          </w:p>
        </w:tc>
        <w:tc>
          <w:tcPr>
            <w:tcW w:w="741" w:type="dxa"/>
            <w:vAlign w:val="top"/>
          </w:tcPr>
          <w:p>
            <w:pPr>
              <w:pStyle w:val="TableText"/>
              <w:ind w:left="188"/>
              <w:spacing w:before="124" w:line="195" w:lineRule="auto"/>
              <w:rPr/>
            </w:pPr>
            <w:r>
              <w:rPr>
                <w:spacing w:val="3"/>
              </w:rPr>
              <w:t>0.38</w:t>
            </w:r>
          </w:p>
        </w:tc>
        <w:tc>
          <w:tcPr>
            <w:tcW w:w="698" w:type="dxa"/>
            <w:vAlign w:val="top"/>
          </w:tcPr>
          <w:p>
            <w:pPr>
              <w:pStyle w:val="TableText"/>
              <w:ind w:left="167"/>
              <w:spacing w:before="124" w:line="195" w:lineRule="auto"/>
              <w:rPr/>
            </w:pPr>
            <w:r>
              <w:rPr>
                <w:spacing w:val="3"/>
              </w:rPr>
              <w:t>0.41</w:t>
            </w:r>
          </w:p>
        </w:tc>
        <w:tc>
          <w:tcPr>
            <w:tcW w:w="725" w:type="dxa"/>
            <w:vAlign w:val="top"/>
          </w:tcPr>
          <w:p>
            <w:pPr>
              <w:pStyle w:val="TableText"/>
              <w:ind w:left="179"/>
              <w:spacing w:before="124" w:line="195" w:lineRule="auto"/>
              <w:rPr/>
            </w:pPr>
            <w:r>
              <w:rPr>
                <w:spacing w:val="3"/>
              </w:rPr>
              <w:t>0.41</w:t>
            </w:r>
          </w:p>
        </w:tc>
        <w:tc>
          <w:tcPr>
            <w:tcW w:w="698" w:type="dxa"/>
            <w:vAlign w:val="top"/>
          </w:tcPr>
          <w:p>
            <w:pPr>
              <w:pStyle w:val="TableText"/>
              <w:ind w:left="167"/>
              <w:spacing w:before="124" w:line="195" w:lineRule="auto"/>
              <w:rPr/>
            </w:pPr>
            <w:r>
              <w:rPr>
                <w:spacing w:val="3"/>
              </w:rPr>
              <w:t>0.86</w:t>
            </w:r>
          </w:p>
        </w:tc>
        <w:tc>
          <w:tcPr>
            <w:tcW w:w="705" w:type="dxa"/>
            <w:vAlign w:val="top"/>
          </w:tcPr>
          <w:p>
            <w:pPr>
              <w:pStyle w:val="TableText"/>
              <w:ind w:left="169"/>
              <w:spacing w:before="124" w:line="195" w:lineRule="auto"/>
              <w:rPr/>
            </w:pPr>
            <w:r>
              <w:rPr>
                <w:spacing w:val="2"/>
              </w:rPr>
              <w:t>2.00</w:t>
            </w:r>
          </w:p>
        </w:tc>
        <w:tc>
          <w:tcPr>
            <w:tcW w:w="698" w:type="dxa"/>
            <w:vAlign w:val="top"/>
          </w:tcPr>
          <w:p>
            <w:pPr>
              <w:pStyle w:val="TableText"/>
              <w:ind w:left="185"/>
              <w:spacing w:before="124" w:line="195" w:lineRule="auto"/>
              <w:rPr/>
            </w:pPr>
            <w:r>
              <w:rPr>
                <w:spacing w:val="-1"/>
              </w:rPr>
              <w:t>1.82</w:t>
            </w:r>
          </w:p>
        </w:tc>
        <w:tc>
          <w:tcPr>
            <w:tcW w:w="698" w:type="dxa"/>
            <w:vAlign w:val="top"/>
          </w:tcPr>
          <w:p>
            <w:pPr>
              <w:pStyle w:val="TableText"/>
              <w:ind w:left="168"/>
              <w:spacing w:before="124" w:line="195" w:lineRule="auto"/>
              <w:rPr/>
            </w:pPr>
            <w:r>
              <w:rPr>
                <w:spacing w:val="3"/>
              </w:rPr>
              <w:t>0.45</w:t>
            </w:r>
          </w:p>
        </w:tc>
        <w:tc>
          <w:tcPr>
            <w:tcW w:w="701" w:type="dxa"/>
            <w:vAlign w:val="top"/>
          </w:tcPr>
          <w:p>
            <w:pPr>
              <w:pStyle w:val="TableText"/>
              <w:ind w:left="171"/>
              <w:spacing w:before="124" w:line="195" w:lineRule="auto"/>
              <w:rPr/>
            </w:pPr>
            <w:r>
              <w:rPr>
                <w:spacing w:val="2"/>
              </w:rPr>
              <w:t>0.36</w:t>
            </w:r>
          </w:p>
        </w:tc>
        <w:tc>
          <w:tcPr>
            <w:tcW w:w="739" w:type="dxa"/>
            <w:vAlign w:val="top"/>
          </w:tcPr>
          <w:p>
            <w:pPr>
              <w:pStyle w:val="TableText"/>
              <w:ind w:left="190"/>
              <w:spacing w:before="124" w:line="195" w:lineRule="auto"/>
              <w:rPr/>
            </w:pPr>
            <w:r>
              <w:rPr>
                <w:spacing w:val="2"/>
              </w:rPr>
              <w:t>0.34</w:t>
            </w:r>
          </w:p>
        </w:tc>
        <w:tc>
          <w:tcPr>
            <w:tcW w:w="698" w:type="dxa"/>
            <w:vAlign w:val="top"/>
          </w:tcPr>
          <w:p>
            <w:pPr>
              <w:pStyle w:val="TableText"/>
              <w:ind w:left="169"/>
              <w:spacing w:before="124" w:line="195" w:lineRule="auto"/>
              <w:rPr/>
            </w:pPr>
            <w:r>
              <w:rPr>
                <w:spacing w:val="3"/>
              </w:rPr>
              <w:t>0.77</w:t>
            </w:r>
          </w:p>
        </w:tc>
        <w:tc>
          <w:tcPr>
            <w:tcW w:w="804" w:type="dxa"/>
            <w:vAlign w:val="top"/>
          </w:tcPr>
          <w:p>
            <w:pPr>
              <w:pStyle w:val="TableText"/>
              <w:ind w:left="222"/>
              <w:spacing w:before="124" w:line="195" w:lineRule="auto"/>
              <w:rPr/>
            </w:pPr>
            <w:r>
              <w:rPr>
                <w:spacing w:val="3"/>
              </w:rPr>
              <w:t>0.75</w:t>
            </w:r>
          </w:p>
        </w:tc>
        <w:tc>
          <w:tcPr>
            <w:tcW w:w="725" w:type="dxa"/>
            <w:vAlign w:val="top"/>
          </w:tcPr>
          <w:p>
            <w:pPr>
              <w:pStyle w:val="TableText"/>
              <w:ind w:left="201"/>
              <w:spacing w:before="124" w:line="195" w:lineRule="auto"/>
              <w:rPr/>
            </w:pPr>
            <w:r>
              <w:rPr>
                <w:spacing w:val="-2"/>
              </w:rPr>
              <w:t>1.25</w:t>
            </w:r>
          </w:p>
        </w:tc>
        <w:tc>
          <w:tcPr>
            <w:tcW w:w="852" w:type="dxa"/>
            <w:vAlign w:val="top"/>
          </w:tcPr>
          <w:p>
            <w:pPr>
              <w:pStyle w:val="TableText"/>
              <w:ind w:left="246"/>
              <w:spacing w:before="124" w:line="195" w:lineRule="auto"/>
              <w:rPr/>
            </w:pPr>
            <w:r>
              <w:rPr>
                <w:spacing w:val="3"/>
              </w:rPr>
              <w:t>0.91</w:t>
            </w:r>
          </w:p>
        </w:tc>
        <w:tc>
          <w:tcPr>
            <w:tcW w:w="732" w:type="dxa"/>
            <w:vAlign w:val="top"/>
          </w:tcPr>
          <w:p>
            <w:pPr>
              <w:pStyle w:val="TableText"/>
              <w:ind w:left="186"/>
              <w:spacing w:before="124" w:line="195" w:lineRule="auto"/>
              <w:rPr/>
            </w:pPr>
            <w:r>
              <w:rPr>
                <w:spacing w:val="3"/>
              </w:rPr>
              <w:t>0.98</w:t>
            </w:r>
          </w:p>
        </w:tc>
        <w:tc>
          <w:tcPr>
            <w:tcW w:w="820" w:type="dxa"/>
            <w:vAlign w:val="top"/>
          </w:tcPr>
          <w:p>
            <w:pPr>
              <w:pStyle w:val="TableText"/>
              <w:ind w:left="231"/>
              <w:spacing w:before="124" w:line="195" w:lineRule="auto"/>
              <w:rPr/>
            </w:pPr>
            <w:r>
              <w:rPr>
                <w:spacing w:val="3"/>
              </w:rPr>
              <w:t>0.38</w:t>
            </w:r>
          </w:p>
        </w:tc>
        <w:tc>
          <w:tcPr>
            <w:tcW w:w="823" w:type="dxa"/>
            <w:vAlign w:val="top"/>
          </w:tcPr>
          <w:p>
            <w:pPr>
              <w:pStyle w:val="TableText"/>
              <w:ind w:left="232"/>
              <w:spacing w:before="124" w:line="195" w:lineRule="auto"/>
              <w:rPr/>
            </w:pPr>
            <w:r>
              <w:rPr>
                <w:spacing w:val="3"/>
              </w:rPr>
              <w:t>0.00</w:t>
            </w:r>
          </w:p>
        </w:tc>
        <w:tc>
          <w:tcPr>
            <w:tcW w:w="823" w:type="dxa"/>
            <w:vAlign w:val="top"/>
          </w:tcPr>
          <w:p>
            <w:pPr>
              <w:pStyle w:val="TableText"/>
              <w:ind w:left="194"/>
              <w:spacing w:before="124" w:line="195" w:lineRule="auto"/>
              <w:rPr/>
            </w:pPr>
            <w:r>
              <w:rPr/>
              <w:t>12.82</w:t>
            </w:r>
          </w:p>
        </w:tc>
      </w:tr>
      <w:tr>
        <w:trPr>
          <w:trHeight w:val="397" w:hRule="atLeast"/>
        </w:trPr>
        <w:tc>
          <w:tcPr>
            <w:tcW w:w="1125" w:type="dxa"/>
            <w:vAlign w:val="top"/>
          </w:tcPr>
          <w:p>
            <w:pPr>
              <w:pStyle w:val="TableText"/>
              <w:ind w:left="193"/>
              <w:spacing w:before="94" w:line="264" w:lineRule="exact"/>
              <w:rPr/>
            </w:pPr>
            <w:r>
              <w:rPr>
                <w:spacing w:val="4"/>
                <w:position w:val="1"/>
              </w:rPr>
              <w:t>2.0</w:t>
            </w:r>
            <w:r>
              <w:rPr>
                <w:rFonts w:ascii="SimSun" w:hAnsi="SimSun" w:eastAsia="SimSun" w:cs="SimSun"/>
                <w:spacing w:val="4"/>
                <w:position w:val="1"/>
              </w:rPr>
              <w:t>～</w:t>
            </w:r>
            <w:r>
              <w:rPr>
                <w:spacing w:val="4"/>
                <w:position w:val="1"/>
              </w:rPr>
              <w:t>2.9</w:t>
            </w:r>
          </w:p>
        </w:tc>
        <w:tc>
          <w:tcPr>
            <w:tcW w:w="698" w:type="dxa"/>
            <w:vAlign w:val="top"/>
          </w:tcPr>
          <w:p>
            <w:pPr>
              <w:pStyle w:val="TableText"/>
              <w:ind w:left="166"/>
              <w:spacing w:before="130" w:line="195" w:lineRule="auto"/>
              <w:rPr/>
            </w:pPr>
            <w:r>
              <w:rPr>
                <w:spacing w:val="3"/>
              </w:rPr>
              <w:t>0.98</w:t>
            </w:r>
          </w:p>
        </w:tc>
        <w:tc>
          <w:tcPr>
            <w:tcW w:w="741" w:type="dxa"/>
            <w:vAlign w:val="top"/>
          </w:tcPr>
          <w:p>
            <w:pPr>
              <w:pStyle w:val="TableText"/>
              <w:ind w:left="188"/>
              <w:spacing w:before="130" w:line="195" w:lineRule="auto"/>
              <w:rPr/>
            </w:pPr>
            <w:r>
              <w:rPr>
                <w:spacing w:val="3"/>
              </w:rPr>
              <w:t>0.66</w:t>
            </w:r>
          </w:p>
        </w:tc>
        <w:tc>
          <w:tcPr>
            <w:tcW w:w="698" w:type="dxa"/>
            <w:vAlign w:val="top"/>
          </w:tcPr>
          <w:p>
            <w:pPr>
              <w:pStyle w:val="TableText"/>
              <w:ind w:left="167"/>
              <w:spacing w:before="130" w:line="195" w:lineRule="auto"/>
              <w:rPr/>
            </w:pPr>
            <w:r>
              <w:rPr>
                <w:spacing w:val="3"/>
              </w:rPr>
              <w:t>0.36</w:t>
            </w:r>
          </w:p>
        </w:tc>
        <w:tc>
          <w:tcPr>
            <w:tcW w:w="725" w:type="dxa"/>
            <w:vAlign w:val="top"/>
          </w:tcPr>
          <w:p>
            <w:pPr>
              <w:pStyle w:val="TableText"/>
              <w:ind w:left="179"/>
              <w:spacing w:before="130" w:line="195" w:lineRule="auto"/>
              <w:rPr/>
            </w:pPr>
            <w:r>
              <w:rPr>
                <w:spacing w:val="3"/>
              </w:rPr>
              <w:t>0.61</w:t>
            </w:r>
          </w:p>
        </w:tc>
        <w:tc>
          <w:tcPr>
            <w:tcW w:w="698" w:type="dxa"/>
            <w:vAlign w:val="top"/>
          </w:tcPr>
          <w:p>
            <w:pPr>
              <w:pStyle w:val="TableText"/>
              <w:ind w:left="167"/>
              <w:spacing w:before="130" w:line="195" w:lineRule="auto"/>
              <w:rPr/>
            </w:pPr>
            <w:r>
              <w:rPr>
                <w:spacing w:val="3"/>
              </w:rPr>
              <w:t>0.84</w:t>
            </w:r>
          </w:p>
        </w:tc>
        <w:tc>
          <w:tcPr>
            <w:tcW w:w="705" w:type="dxa"/>
            <w:vAlign w:val="top"/>
          </w:tcPr>
          <w:p>
            <w:pPr>
              <w:pStyle w:val="TableText"/>
              <w:ind w:left="189"/>
              <w:spacing w:before="130" w:line="195" w:lineRule="auto"/>
              <w:rPr/>
            </w:pPr>
            <w:r>
              <w:rPr>
                <w:spacing w:val="-3"/>
              </w:rPr>
              <w:t>1.91</w:t>
            </w:r>
          </w:p>
        </w:tc>
        <w:tc>
          <w:tcPr>
            <w:tcW w:w="698" w:type="dxa"/>
            <w:vAlign w:val="top"/>
          </w:tcPr>
          <w:p>
            <w:pPr>
              <w:pStyle w:val="TableText"/>
              <w:ind w:left="185"/>
              <w:spacing w:before="130" w:line="195" w:lineRule="auto"/>
              <w:rPr/>
            </w:pPr>
            <w:r>
              <w:rPr>
                <w:spacing w:val="-1"/>
              </w:rPr>
              <w:t>1.07</w:t>
            </w:r>
          </w:p>
        </w:tc>
        <w:tc>
          <w:tcPr>
            <w:tcW w:w="698" w:type="dxa"/>
            <w:vAlign w:val="top"/>
          </w:tcPr>
          <w:p>
            <w:pPr>
              <w:pStyle w:val="TableText"/>
              <w:ind w:left="168"/>
              <w:spacing w:before="130" w:line="195" w:lineRule="auto"/>
              <w:rPr/>
            </w:pPr>
            <w:r>
              <w:rPr>
                <w:spacing w:val="3"/>
              </w:rPr>
              <w:t>0.77</w:t>
            </w:r>
          </w:p>
        </w:tc>
        <w:tc>
          <w:tcPr>
            <w:tcW w:w="701" w:type="dxa"/>
            <w:vAlign w:val="top"/>
          </w:tcPr>
          <w:p>
            <w:pPr>
              <w:pStyle w:val="TableText"/>
              <w:ind w:left="171"/>
              <w:spacing w:before="130" w:line="195" w:lineRule="auto"/>
              <w:rPr/>
            </w:pPr>
            <w:r>
              <w:rPr>
                <w:spacing w:val="2"/>
              </w:rPr>
              <w:t>0.31</w:t>
            </w:r>
          </w:p>
        </w:tc>
        <w:tc>
          <w:tcPr>
            <w:tcW w:w="739" w:type="dxa"/>
            <w:vAlign w:val="top"/>
          </w:tcPr>
          <w:p>
            <w:pPr>
              <w:pStyle w:val="TableText"/>
              <w:ind w:left="190"/>
              <w:spacing w:before="130" w:line="195" w:lineRule="auto"/>
              <w:rPr/>
            </w:pPr>
            <w:r>
              <w:rPr>
                <w:spacing w:val="2"/>
              </w:rPr>
              <w:t>0.86</w:t>
            </w:r>
          </w:p>
        </w:tc>
        <w:tc>
          <w:tcPr>
            <w:tcW w:w="698" w:type="dxa"/>
            <w:vAlign w:val="top"/>
          </w:tcPr>
          <w:p>
            <w:pPr>
              <w:pStyle w:val="TableText"/>
              <w:ind w:left="186"/>
              <w:spacing w:before="130" w:line="195" w:lineRule="auto"/>
              <w:rPr/>
            </w:pPr>
            <w:r>
              <w:rPr>
                <w:spacing w:val="-1"/>
              </w:rPr>
              <w:t>1.96</w:t>
            </w:r>
          </w:p>
        </w:tc>
        <w:tc>
          <w:tcPr>
            <w:tcW w:w="804" w:type="dxa"/>
            <w:vAlign w:val="top"/>
          </w:tcPr>
          <w:p>
            <w:pPr>
              <w:pStyle w:val="TableText"/>
              <w:ind w:left="219"/>
              <w:spacing w:before="130" w:line="195" w:lineRule="auto"/>
              <w:rPr/>
            </w:pPr>
            <w:r>
              <w:rPr>
                <w:spacing w:val="4"/>
              </w:rPr>
              <w:t>2.41</w:t>
            </w:r>
          </w:p>
        </w:tc>
        <w:tc>
          <w:tcPr>
            <w:tcW w:w="725" w:type="dxa"/>
            <w:vAlign w:val="top"/>
          </w:tcPr>
          <w:p>
            <w:pPr>
              <w:pStyle w:val="TableText"/>
              <w:ind w:left="201"/>
              <w:spacing w:before="130" w:line="195" w:lineRule="auto"/>
              <w:rPr/>
            </w:pPr>
            <w:r>
              <w:rPr>
                <w:spacing w:val="-2"/>
              </w:rPr>
              <w:t>1.78</w:t>
            </w:r>
          </w:p>
        </w:tc>
        <w:tc>
          <w:tcPr>
            <w:tcW w:w="852" w:type="dxa"/>
            <w:vAlign w:val="top"/>
          </w:tcPr>
          <w:p>
            <w:pPr>
              <w:pStyle w:val="TableText"/>
              <w:ind w:left="263"/>
              <w:spacing w:before="130" w:line="195" w:lineRule="auto"/>
              <w:rPr/>
            </w:pPr>
            <w:r>
              <w:rPr>
                <w:spacing w:val="-1"/>
              </w:rPr>
              <w:t>1.98</w:t>
            </w:r>
          </w:p>
        </w:tc>
        <w:tc>
          <w:tcPr>
            <w:tcW w:w="732" w:type="dxa"/>
            <w:vAlign w:val="top"/>
          </w:tcPr>
          <w:p>
            <w:pPr>
              <w:pStyle w:val="TableText"/>
              <w:ind w:left="186"/>
              <w:spacing w:before="130" w:line="195" w:lineRule="auto"/>
              <w:rPr/>
            </w:pPr>
            <w:r>
              <w:rPr>
                <w:spacing w:val="3"/>
              </w:rPr>
              <w:t>0.91</w:t>
            </w:r>
          </w:p>
        </w:tc>
        <w:tc>
          <w:tcPr>
            <w:tcW w:w="820" w:type="dxa"/>
            <w:vAlign w:val="top"/>
          </w:tcPr>
          <w:p>
            <w:pPr>
              <w:pStyle w:val="TableText"/>
              <w:ind w:left="231"/>
              <w:spacing w:before="130" w:line="195" w:lineRule="auto"/>
              <w:rPr/>
            </w:pPr>
            <w:r>
              <w:rPr>
                <w:spacing w:val="3"/>
              </w:rPr>
              <w:t>0.70</w:t>
            </w:r>
          </w:p>
        </w:tc>
        <w:tc>
          <w:tcPr>
            <w:tcW w:w="823" w:type="dxa"/>
            <w:vAlign w:val="top"/>
          </w:tcPr>
          <w:p>
            <w:pPr>
              <w:pStyle w:val="TableText"/>
              <w:ind w:left="232"/>
              <w:spacing w:before="130" w:line="195" w:lineRule="auto"/>
              <w:rPr/>
            </w:pPr>
            <w:r>
              <w:rPr>
                <w:spacing w:val="3"/>
              </w:rPr>
              <w:t>0.00</w:t>
            </w:r>
          </w:p>
        </w:tc>
        <w:tc>
          <w:tcPr>
            <w:tcW w:w="823" w:type="dxa"/>
            <w:vAlign w:val="top"/>
          </w:tcPr>
          <w:p>
            <w:pPr>
              <w:pStyle w:val="TableText"/>
              <w:ind w:left="199"/>
              <w:spacing w:before="130" w:line="195" w:lineRule="auto"/>
              <w:rPr/>
            </w:pPr>
            <w:r>
              <w:rPr>
                <w:spacing w:val="-6"/>
              </w:rPr>
              <w:t>18.</w:t>
            </w:r>
            <w:r>
              <w:rPr>
                <w:spacing w:val="-25"/>
              </w:rPr>
              <w:t xml:space="preserve"> </w:t>
            </w:r>
            <w:r>
              <w:rPr>
                <w:spacing w:val="-6"/>
              </w:rPr>
              <w:t>11</w:t>
            </w:r>
          </w:p>
        </w:tc>
      </w:tr>
      <w:tr>
        <w:trPr>
          <w:trHeight w:val="395" w:hRule="atLeast"/>
        </w:trPr>
        <w:tc>
          <w:tcPr>
            <w:tcW w:w="1125" w:type="dxa"/>
            <w:vAlign w:val="top"/>
          </w:tcPr>
          <w:p>
            <w:pPr>
              <w:pStyle w:val="TableText"/>
              <w:ind w:left="197"/>
              <w:spacing w:before="91" w:line="264" w:lineRule="exact"/>
              <w:rPr/>
            </w:pPr>
            <w:r>
              <w:rPr>
                <w:spacing w:val="3"/>
                <w:position w:val="1"/>
              </w:rPr>
              <w:t>3.0</w:t>
            </w:r>
            <w:r>
              <w:rPr>
                <w:rFonts w:ascii="SimSun" w:hAnsi="SimSun" w:eastAsia="SimSun" w:cs="SimSun"/>
                <w:spacing w:val="3"/>
                <w:position w:val="1"/>
              </w:rPr>
              <w:t>～</w:t>
            </w:r>
            <w:r>
              <w:rPr>
                <w:spacing w:val="3"/>
                <w:position w:val="1"/>
              </w:rPr>
              <w:t>3.9</w:t>
            </w:r>
          </w:p>
        </w:tc>
        <w:tc>
          <w:tcPr>
            <w:tcW w:w="698" w:type="dxa"/>
            <w:vAlign w:val="top"/>
          </w:tcPr>
          <w:p>
            <w:pPr>
              <w:pStyle w:val="TableText"/>
              <w:ind w:left="166"/>
              <w:spacing w:before="126" w:line="195" w:lineRule="auto"/>
              <w:rPr/>
            </w:pPr>
            <w:r>
              <w:rPr>
                <w:spacing w:val="3"/>
              </w:rPr>
              <w:t>0.66</w:t>
            </w:r>
          </w:p>
        </w:tc>
        <w:tc>
          <w:tcPr>
            <w:tcW w:w="741" w:type="dxa"/>
            <w:vAlign w:val="top"/>
          </w:tcPr>
          <w:p>
            <w:pPr>
              <w:pStyle w:val="TableText"/>
              <w:ind w:left="188"/>
              <w:spacing w:before="126" w:line="195" w:lineRule="auto"/>
              <w:rPr/>
            </w:pPr>
            <w:r>
              <w:rPr>
                <w:spacing w:val="3"/>
              </w:rPr>
              <w:t>0.73</w:t>
            </w:r>
          </w:p>
        </w:tc>
        <w:tc>
          <w:tcPr>
            <w:tcW w:w="698" w:type="dxa"/>
            <w:vAlign w:val="top"/>
          </w:tcPr>
          <w:p>
            <w:pPr>
              <w:pStyle w:val="TableText"/>
              <w:ind w:left="167"/>
              <w:spacing w:before="126" w:line="195" w:lineRule="auto"/>
              <w:rPr/>
            </w:pPr>
            <w:r>
              <w:rPr>
                <w:spacing w:val="3"/>
              </w:rPr>
              <w:t>0.36</w:t>
            </w:r>
          </w:p>
        </w:tc>
        <w:tc>
          <w:tcPr>
            <w:tcW w:w="725" w:type="dxa"/>
            <w:vAlign w:val="top"/>
          </w:tcPr>
          <w:p>
            <w:pPr>
              <w:pStyle w:val="TableText"/>
              <w:ind w:left="179"/>
              <w:spacing w:before="126" w:line="195" w:lineRule="auto"/>
              <w:rPr/>
            </w:pPr>
            <w:r>
              <w:rPr>
                <w:spacing w:val="3"/>
              </w:rPr>
              <w:t>0.45</w:t>
            </w:r>
          </w:p>
        </w:tc>
        <w:tc>
          <w:tcPr>
            <w:tcW w:w="698" w:type="dxa"/>
            <w:vAlign w:val="top"/>
          </w:tcPr>
          <w:p>
            <w:pPr>
              <w:pStyle w:val="TableText"/>
              <w:ind w:left="167"/>
              <w:spacing w:before="126" w:line="195" w:lineRule="auto"/>
              <w:rPr/>
            </w:pPr>
            <w:r>
              <w:rPr>
                <w:spacing w:val="3"/>
              </w:rPr>
              <w:t>0.36</w:t>
            </w:r>
          </w:p>
        </w:tc>
        <w:tc>
          <w:tcPr>
            <w:tcW w:w="705" w:type="dxa"/>
            <w:vAlign w:val="top"/>
          </w:tcPr>
          <w:p>
            <w:pPr>
              <w:pStyle w:val="TableText"/>
              <w:ind w:left="172"/>
              <w:spacing w:before="126" w:line="195" w:lineRule="auto"/>
              <w:rPr/>
            </w:pPr>
            <w:r>
              <w:rPr>
                <w:spacing w:val="2"/>
              </w:rPr>
              <w:t>0.52</w:t>
            </w:r>
          </w:p>
        </w:tc>
        <w:tc>
          <w:tcPr>
            <w:tcW w:w="698" w:type="dxa"/>
            <w:vAlign w:val="top"/>
          </w:tcPr>
          <w:p>
            <w:pPr>
              <w:pStyle w:val="TableText"/>
              <w:ind w:left="168"/>
              <w:spacing w:before="126" w:line="195" w:lineRule="auto"/>
              <w:rPr/>
            </w:pPr>
            <w:r>
              <w:rPr>
                <w:spacing w:val="3"/>
              </w:rPr>
              <w:t>0.79</w:t>
            </w:r>
          </w:p>
        </w:tc>
        <w:tc>
          <w:tcPr>
            <w:tcW w:w="698" w:type="dxa"/>
            <w:vAlign w:val="top"/>
          </w:tcPr>
          <w:p>
            <w:pPr>
              <w:pStyle w:val="TableText"/>
              <w:ind w:left="168"/>
              <w:spacing w:before="126" w:line="195" w:lineRule="auto"/>
              <w:rPr/>
            </w:pPr>
            <w:r>
              <w:rPr>
                <w:spacing w:val="3"/>
              </w:rPr>
              <w:t>0.57</w:t>
            </w:r>
          </w:p>
        </w:tc>
        <w:tc>
          <w:tcPr>
            <w:tcW w:w="701" w:type="dxa"/>
            <w:vAlign w:val="top"/>
          </w:tcPr>
          <w:p>
            <w:pPr>
              <w:pStyle w:val="TableText"/>
              <w:ind w:left="171"/>
              <w:spacing w:before="126" w:line="195" w:lineRule="auto"/>
              <w:rPr/>
            </w:pPr>
            <w:r>
              <w:rPr>
                <w:spacing w:val="2"/>
              </w:rPr>
              <w:t>0.29</w:t>
            </w:r>
          </w:p>
        </w:tc>
        <w:tc>
          <w:tcPr>
            <w:tcW w:w="739" w:type="dxa"/>
            <w:vAlign w:val="top"/>
          </w:tcPr>
          <w:p>
            <w:pPr>
              <w:pStyle w:val="TableText"/>
              <w:ind w:left="190"/>
              <w:spacing w:before="126" w:line="195" w:lineRule="auto"/>
              <w:rPr/>
            </w:pPr>
            <w:r>
              <w:rPr>
                <w:spacing w:val="2"/>
              </w:rPr>
              <w:t>0.59</w:t>
            </w:r>
          </w:p>
        </w:tc>
        <w:tc>
          <w:tcPr>
            <w:tcW w:w="698" w:type="dxa"/>
            <w:vAlign w:val="top"/>
          </w:tcPr>
          <w:p>
            <w:pPr>
              <w:pStyle w:val="TableText"/>
              <w:ind w:left="186"/>
              <w:spacing w:before="126" w:line="195" w:lineRule="auto"/>
              <w:rPr/>
            </w:pPr>
            <w:r>
              <w:rPr>
                <w:spacing w:val="-8"/>
              </w:rPr>
              <w:t>1.</w:t>
            </w:r>
            <w:r>
              <w:rPr>
                <w:spacing w:val="-23"/>
              </w:rPr>
              <w:t xml:space="preserve"> </w:t>
            </w:r>
            <w:r>
              <w:rPr>
                <w:spacing w:val="-8"/>
              </w:rPr>
              <w:t>14</w:t>
            </w:r>
          </w:p>
        </w:tc>
        <w:tc>
          <w:tcPr>
            <w:tcW w:w="804" w:type="dxa"/>
            <w:vAlign w:val="top"/>
          </w:tcPr>
          <w:p>
            <w:pPr>
              <w:pStyle w:val="TableText"/>
              <w:ind w:left="223"/>
              <w:spacing w:before="126" w:line="195" w:lineRule="auto"/>
              <w:rPr/>
            </w:pPr>
            <w:r>
              <w:rPr>
                <w:spacing w:val="3"/>
              </w:rPr>
              <w:t>3.03</w:t>
            </w:r>
          </w:p>
        </w:tc>
        <w:tc>
          <w:tcPr>
            <w:tcW w:w="725" w:type="dxa"/>
            <w:vAlign w:val="top"/>
          </w:tcPr>
          <w:p>
            <w:pPr>
              <w:pStyle w:val="TableText"/>
              <w:ind w:left="180"/>
              <w:spacing w:before="126" w:line="195" w:lineRule="auto"/>
              <w:rPr/>
            </w:pPr>
            <w:r>
              <w:rPr>
                <w:spacing w:val="3"/>
              </w:rPr>
              <w:t>2.07</w:t>
            </w:r>
          </w:p>
        </w:tc>
        <w:tc>
          <w:tcPr>
            <w:tcW w:w="852" w:type="dxa"/>
            <w:vAlign w:val="top"/>
          </w:tcPr>
          <w:p>
            <w:pPr>
              <w:pStyle w:val="TableText"/>
              <w:ind w:left="263"/>
              <w:spacing w:before="126" w:line="195" w:lineRule="auto"/>
              <w:rPr/>
            </w:pPr>
            <w:r>
              <w:rPr>
                <w:spacing w:val="-1"/>
              </w:rPr>
              <w:t>1.41</w:t>
            </w:r>
          </w:p>
        </w:tc>
        <w:tc>
          <w:tcPr>
            <w:tcW w:w="732" w:type="dxa"/>
            <w:vAlign w:val="top"/>
          </w:tcPr>
          <w:p>
            <w:pPr>
              <w:pStyle w:val="TableText"/>
              <w:ind w:left="203"/>
              <w:spacing w:before="126" w:line="195" w:lineRule="auto"/>
              <w:rPr/>
            </w:pPr>
            <w:r>
              <w:rPr>
                <w:spacing w:val="-1"/>
              </w:rPr>
              <w:t>1.07</w:t>
            </w:r>
          </w:p>
        </w:tc>
        <w:tc>
          <w:tcPr>
            <w:tcW w:w="820" w:type="dxa"/>
            <w:vAlign w:val="top"/>
          </w:tcPr>
          <w:p>
            <w:pPr>
              <w:pStyle w:val="TableText"/>
              <w:ind w:left="231"/>
              <w:spacing w:before="126" w:line="195" w:lineRule="auto"/>
              <w:rPr/>
            </w:pPr>
            <w:r>
              <w:rPr>
                <w:spacing w:val="3"/>
              </w:rPr>
              <w:t>0.52</w:t>
            </w:r>
          </w:p>
        </w:tc>
        <w:tc>
          <w:tcPr>
            <w:tcW w:w="823" w:type="dxa"/>
            <w:vAlign w:val="top"/>
          </w:tcPr>
          <w:p>
            <w:pPr>
              <w:pStyle w:val="TableText"/>
              <w:ind w:left="232"/>
              <w:spacing w:before="126" w:line="195" w:lineRule="auto"/>
              <w:rPr/>
            </w:pPr>
            <w:r>
              <w:rPr>
                <w:spacing w:val="3"/>
              </w:rPr>
              <w:t>0.00</w:t>
            </w:r>
          </w:p>
        </w:tc>
        <w:tc>
          <w:tcPr>
            <w:tcW w:w="823" w:type="dxa"/>
            <w:vAlign w:val="top"/>
          </w:tcPr>
          <w:p>
            <w:pPr>
              <w:pStyle w:val="TableText"/>
              <w:ind w:left="194"/>
              <w:spacing w:before="126" w:line="195" w:lineRule="auto"/>
              <w:rPr/>
            </w:pPr>
            <w:r>
              <w:rPr/>
              <w:t>14.56</w:t>
            </w:r>
          </w:p>
        </w:tc>
      </w:tr>
      <w:tr>
        <w:trPr>
          <w:trHeight w:val="398" w:hRule="atLeast"/>
        </w:trPr>
        <w:tc>
          <w:tcPr>
            <w:tcW w:w="1125" w:type="dxa"/>
            <w:vAlign w:val="top"/>
          </w:tcPr>
          <w:p>
            <w:pPr>
              <w:pStyle w:val="TableText"/>
              <w:ind w:left="192"/>
              <w:spacing w:before="96" w:line="264" w:lineRule="exact"/>
              <w:rPr/>
            </w:pPr>
            <w:r>
              <w:rPr>
                <w:spacing w:val="4"/>
                <w:position w:val="1"/>
              </w:rPr>
              <w:t>4.0</w:t>
            </w:r>
            <w:r>
              <w:rPr>
                <w:rFonts w:ascii="SimSun" w:hAnsi="SimSun" w:eastAsia="SimSun" w:cs="SimSun"/>
                <w:spacing w:val="4"/>
                <w:position w:val="1"/>
              </w:rPr>
              <w:t>～</w:t>
            </w:r>
            <w:r>
              <w:rPr>
                <w:spacing w:val="4"/>
                <w:position w:val="1"/>
              </w:rPr>
              <w:t>4.9</w:t>
            </w:r>
          </w:p>
        </w:tc>
        <w:tc>
          <w:tcPr>
            <w:tcW w:w="698" w:type="dxa"/>
            <w:vAlign w:val="top"/>
          </w:tcPr>
          <w:p>
            <w:pPr>
              <w:pStyle w:val="TableText"/>
              <w:ind w:left="166"/>
              <w:spacing w:before="132" w:line="195" w:lineRule="auto"/>
              <w:rPr/>
            </w:pPr>
            <w:r>
              <w:rPr>
                <w:spacing w:val="3"/>
              </w:rPr>
              <w:t>0.59</w:t>
            </w:r>
          </w:p>
        </w:tc>
        <w:tc>
          <w:tcPr>
            <w:tcW w:w="741" w:type="dxa"/>
            <w:vAlign w:val="top"/>
          </w:tcPr>
          <w:p>
            <w:pPr>
              <w:pStyle w:val="TableText"/>
              <w:ind w:left="188"/>
              <w:spacing w:before="132" w:line="195" w:lineRule="auto"/>
              <w:rPr/>
            </w:pPr>
            <w:r>
              <w:rPr>
                <w:spacing w:val="3"/>
              </w:rPr>
              <w:t>0.82</w:t>
            </w:r>
          </w:p>
        </w:tc>
        <w:tc>
          <w:tcPr>
            <w:tcW w:w="698" w:type="dxa"/>
            <w:vAlign w:val="top"/>
          </w:tcPr>
          <w:p>
            <w:pPr>
              <w:pStyle w:val="TableText"/>
              <w:ind w:left="169"/>
              <w:spacing w:before="132" w:line="195" w:lineRule="auto"/>
              <w:rPr/>
            </w:pPr>
            <w:r>
              <w:rPr>
                <w:spacing w:val="-5"/>
              </w:rPr>
              <w:t>0.</w:t>
            </w:r>
            <w:r>
              <w:rPr>
                <w:spacing w:val="-23"/>
              </w:rPr>
              <w:t xml:space="preserve"> </w:t>
            </w:r>
            <w:r>
              <w:rPr>
                <w:spacing w:val="-5"/>
              </w:rPr>
              <w:t>11</w:t>
            </w:r>
          </w:p>
        </w:tc>
        <w:tc>
          <w:tcPr>
            <w:tcW w:w="725" w:type="dxa"/>
            <w:vAlign w:val="top"/>
          </w:tcPr>
          <w:p>
            <w:pPr>
              <w:pStyle w:val="TableText"/>
              <w:ind w:left="179"/>
              <w:spacing w:before="132" w:line="195" w:lineRule="auto"/>
              <w:rPr/>
            </w:pPr>
            <w:r>
              <w:rPr>
                <w:spacing w:val="3"/>
              </w:rPr>
              <w:t>0.09</w:t>
            </w:r>
          </w:p>
        </w:tc>
        <w:tc>
          <w:tcPr>
            <w:tcW w:w="698" w:type="dxa"/>
            <w:vAlign w:val="top"/>
          </w:tcPr>
          <w:p>
            <w:pPr>
              <w:pStyle w:val="TableText"/>
              <w:ind w:left="172"/>
              <w:spacing w:before="132" w:line="195" w:lineRule="auto"/>
              <w:rPr/>
            </w:pPr>
            <w:r>
              <w:rPr>
                <w:spacing w:val="-5"/>
              </w:rPr>
              <w:t>0.</w:t>
            </w:r>
            <w:r>
              <w:rPr>
                <w:spacing w:val="-24"/>
              </w:rPr>
              <w:t xml:space="preserve"> </w:t>
            </w:r>
            <w:r>
              <w:rPr>
                <w:spacing w:val="-5"/>
              </w:rPr>
              <w:t>11</w:t>
            </w:r>
          </w:p>
        </w:tc>
        <w:tc>
          <w:tcPr>
            <w:tcW w:w="705" w:type="dxa"/>
            <w:vAlign w:val="top"/>
          </w:tcPr>
          <w:p>
            <w:pPr>
              <w:pStyle w:val="TableText"/>
              <w:ind w:left="172"/>
              <w:spacing w:before="132" w:line="195" w:lineRule="auto"/>
              <w:rPr/>
            </w:pPr>
            <w:r>
              <w:rPr>
                <w:spacing w:val="2"/>
              </w:rPr>
              <w:t>0.34</w:t>
            </w:r>
          </w:p>
        </w:tc>
        <w:tc>
          <w:tcPr>
            <w:tcW w:w="698" w:type="dxa"/>
            <w:vAlign w:val="top"/>
          </w:tcPr>
          <w:p>
            <w:pPr>
              <w:pStyle w:val="TableText"/>
              <w:ind w:left="168"/>
              <w:spacing w:before="132" w:line="195" w:lineRule="auto"/>
              <w:rPr/>
            </w:pPr>
            <w:r>
              <w:rPr>
                <w:spacing w:val="3"/>
              </w:rPr>
              <w:t>0.54</w:t>
            </w:r>
          </w:p>
        </w:tc>
        <w:tc>
          <w:tcPr>
            <w:tcW w:w="698" w:type="dxa"/>
            <w:vAlign w:val="top"/>
          </w:tcPr>
          <w:p>
            <w:pPr>
              <w:pStyle w:val="TableText"/>
              <w:ind w:left="168"/>
              <w:spacing w:before="132" w:line="195" w:lineRule="auto"/>
              <w:rPr/>
            </w:pPr>
            <w:r>
              <w:rPr>
                <w:spacing w:val="3"/>
              </w:rPr>
              <w:t>0.68</w:t>
            </w:r>
          </w:p>
        </w:tc>
        <w:tc>
          <w:tcPr>
            <w:tcW w:w="701" w:type="dxa"/>
            <w:vAlign w:val="top"/>
          </w:tcPr>
          <w:p>
            <w:pPr>
              <w:pStyle w:val="TableText"/>
              <w:ind w:left="171"/>
              <w:spacing w:before="132" w:line="195" w:lineRule="auto"/>
              <w:rPr/>
            </w:pPr>
            <w:r>
              <w:rPr>
                <w:spacing w:val="2"/>
              </w:rPr>
              <w:t>0.56</w:t>
            </w:r>
          </w:p>
        </w:tc>
        <w:tc>
          <w:tcPr>
            <w:tcW w:w="739" w:type="dxa"/>
            <w:vAlign w:val="top"/>
          </w:tcPr>
          <w:p>
            <w:pPr>
              <w:pStyle w:val="TableText"/>
              <w:ind w:left="207"/>
              <w:spacing w:before="132" w:line="195" w:lineRule="auto"/>
              <w:rPr/>
            </w:pPr>
            <w:r>
              <w:rPr>
                <w:spacing w:val="-3"/>
              </w:rPr>
              <w:t>1.43</w:t>
            </w:r>
          </w:p>
        </w:tc>
        <w:tc>
          <w:tcPr>
            <w:tcW w:w="698" w:type="dxa"/>
            <w:vAlign w:val="top"/>
          </w:tcPr>
          <w:p>
            <w:pPr>
              <w:pStyle w:val="TableText"/>
              <w:ind w:left="170"/>
              <w:spacing w:before="132" w:line="195" w:lineRule="auto"/>
              <w:rPr/>
            </w:pPr>
            <w:r>
              <w:rPr>
                <w:spacing w:val="3"/>
              </w:rPr>
              <w:t>3.72</w:t>
            </w:r>
          </w:p>
        </w:tc>
        <w:tc>
          <w:tcPr>
            <w:tcW w:w="804" w:type="dxa"/>
            <w:vAlign w:val="top"/>
          </w:tcPr>
          <w:p>
            <w:pPr>
              <w:pStyle w:val="TableText"/>
              <w:ind w:left="218"/>
              <w:spacing w:before="132" w:line="195" w:lineRule="auto"/>
              <w:rPr/>
            </w:pPr>
            <w:r>
              <w:rPr>
                <w:spacing w:val="4"/>
              </w:rPr>
              <w:t>4.61</w:t>
            </w:r>
          </w:p>
        </w:tc>
        <w:tc>
          <w:tcPr>
            <w:tcW w:w="725" w:type="dxa"/>
            <w:vAlign w:val="top"/>
          </w:tcPr>
          <w:p>
            <w:pPr>
              <w:pStyle w:val="TableText"/>
              <w:ind w:left="180"/>
              <w:spacing w:before="132" w:line="195" w:lineRule="auto"/>
              <w:rPr/>
            </w:pPr>
            <w:r>
              <w:rPr>
                <w:spacing w:val="3"/>
              </w:rPr>
              <w:t>2.35</w:t>
            </w:r>
          </w:p>
        </w:tc>
        <w:tc>
          <w:tcPr>
            <w:tcW w:w="852" w:type="dxa"/>
            <w:vAlign w:val="top"/>
          </w:tcPr>
          <w:p>
            <w:pPr>
              <w:pStyle w:val="TableText"/>
              <w:ind w:left="263"/>
              <w:spacing w:before="132" w:line="195" w:lineRule="auto"/>
              <w:rPr/>
            </w:pPr>
            <w:r>
              <w:rPr>
                <w:spacing w:val="-1"/>
              </w:rPr>
              <w:t>1.48</w:t>
            </w:r>
          </w:p>
        </w:tc>
        <w:tc>
          <w:tcPr>
            <w:tcW w:w="732" w:type="dxa"/>
            <w:vAlign w:val="top"/>
          </w:tcPr>
          <w:p>
            <w:pPr>
              <w:pStyle w:val="TableText"/>
              <w:ind w:left="186"/>
              <w:spacing w:before="132" w:line="195" w:lineRule="auto"/>
              <w:rPr/>
            </w:pPr>
            <w:r>
              <w:rPr>
                <w:spacing w:val="3"/>
              </w:rPr>
              <w:t>0.84</w:t>
            </w:r>
          </w:p>
        </w:tc>
        <w:tc>
          <w:tcPr>
            <w:tcW w:w="820" w:type="dxa"/>
            <w:vAlign w:val="top"/>
          </w:tcPr>
          <w:p>
            <w:pPr>
              <w:pStyle w:val="TableText"/>
              <w:ind w:left="231"/>
              <w:spacing w:before="132" w:line="195" w:lineRule="auto"/>
              <w:rPr/>
            </w:pPr>
            <w:r>
              <w:rPr>
                <w:spacing w:val="3"/>
              </w:rPr>
              <w:t>0.61</w:t>
            </w:r>
          </w:p>
        </w:tc>
        <w:tc>
          <w:tcPr>
            <w:tcW w:w="823" w:type="dxa"/>
            <w:vAlign w:val="top"/>
          </w:tcPr>
          <w:p>
            <w:pPr>
              <w:pStyle w:val="TableText"/>
              <w:ind w:left="232"/>
              <w:spacing w:before="132" w:line="195" w:lineRule="auto"/>
              <w:rPr/>
            </w:pPr>
            <w:r>
              <w:rPr>
                <w:spacing w:val="3"/>
              </w:rPr>
              <w:t>0.00</w:t>
            </w:r>
          </w:p>
        </w:tc>
        <w:tc>
          <w:tcPr>
            <w:tcW w:w="823" w:type="dxa"/>
            <w:vAlign w:val="top"/>
          </w:tcPr>
          <w:p>
            <w:pPr>
              <w:pStyle w:val="TableText"/>
              <w:ind w:left="194"/>
              <w:spacing w:before="132" w:line="195" w:lineRule="auto"/>
              <w:rPr/>
            </w:pPr>
            <w:r>
              <w:rPr/>
              <w:t>18.88</w:t>
            </w:r>
          </w:p>
        </w:tc>
      </w:tr>
      <w:tr>
        <w:trPr>
          <w:trHeight w:val="398" w:hRule="atLeast"/>
        </w:trPr>
        <w:tc>
          <w:tcPr>
            <w:tcW w:w="1125" w:type="dxa"/>
            <w:vAlign w:val="top"/>
          </w:tcPr>
          <w:p>
            <w:pPr>
              <w:pStyle w:val="TableText"/>
              <w:ind w:left="198"/>
              <w:spacing w:before="91" w:line="231" w:lineRule="auto"/>
              <w:rPr>
                <w:rFonts w:ascii="SimSun" w:hAnsi="SimSun" w:eastAsia="SimSun" w:cs="SimSun"/>
              </w:rPr>
            </w:pPr>
            <w:r>
              <w:rPr>
                <w:spacing w:val="-3"/>
              </w:rPr>
              <w:t>6.0</w:t>
            </w:r>
            <w:r>
              <w:rPr>
                <w:spacing w:val="39"/>
                <w:w w:val="101"/>
              </w:rPr>
              <w:t xml:space="preserve"> </w:t>
            </w:r>
            <w:r>
              <w:rPr>
                <w:rFonts w:ascii="SimSun" w:hAnsi="SimSun" w:eastAsia="SimSun" w:cs="SimSun"/>
                <w:spacing w:val="-3"/>
              </w:rPr>
              <w:t>以上</w:t>
            </w:r>
          </w:p>
        </w:tc>
        <w:tc>
          <w:tcPr>
            <w:tcW w:w="698" w:type="dxa"/>
            <w:vAlign w:val="top"/>
          </w:tcPr>
          <w:p>
            <w:pPr>
              <w:pStyle w:val="TableText"/>
              <w:ind w:left="166"/>
              <w:spacing w:before="127" w:line="195" w:lineRule="auto"/>
              <w:rPr/>
            </w:pPr>
            <w:r>
              <w:rPr>
                <w:spacing w:val="3"/>
              </w:rPr>
              <w:t>0.09</w:t>
            </w:r>
          </w:p>
        </w:tc>
        <w:tc>
          <w:tcPr>
            <w:tcW w:w="741" w:type="dxa"/>
            <w:vAlign w:val="top"/>
          </w:tcPr>
          <w:p>
            <w:pPr>
              <w:pStyle w:val="TableText"/>
              <w:ind w:left="188"/>
              <w:spacing w:before="127" w:line="195" w:lineRule="auto"/>
              <w:rPr/>
            </w:pPr>
            <w:r>
              <w:rPr>
                <w:spacing w:val="3"/>
              </w:rPr>
              <w:t>0.09</w:t>
            </w:r>
          </w:p>
        </w:tc>
        <w:tc>
          <w:tcPr>
            <w:tcW w:w="698" w:type="dxa"/>
            <w:vAlign w:val="top"/>
          </w:tcPr>
          <w:p>
            <w:pPr>
              <w:pStyle w:val="TableText"/>
              <w:ind w:left="167"/>
              <w:spacing w:before="127" w:line="195" w:lineRule="auto"/>
              <w:rPr/>
            </w:pPr>
            <w:r>
              <w:rPr>
                <w:spacing w:val="3"/>
              </w:rPr>
              <w:t>0.02</w:t>
            </w:r>
          </w:p>
        </w:tc>
        <w:tc>
          <w:tcPr>
            <w:tcW w:w="725" w:type="dxa"/>
            <w:vAlign w:val="top"/>
          </w:tcPr>
          <w:p>
            <w:pPr>
              <w:pStyle w:val="TableText"/>
              <w:ind w:left="179"/>
              <w:spacing w:before="127" w:line="195" w:lineRule="auto"/>
              <w:rPr/>
            </w:pPr>
            <w:r>
              <w:rPr>
                <w:spacing w:val="3"/>
              </w:rPr>
              <w:t>0.02</w:t>
            </w:r>
          </w:p>
        </w:tc>
        <w:tc>
          <w:tcPr>
            <w:tcW w:w="698" w:type="dxa"/>
            <w:vAlign w:val="top"/>
          </w:tcPr>
          <w:p>
            <w:pPr>
              <w:pStyle w:val="TableText"/>
              <w:ind w:left="167"/>
              <w:spacing w:before="127" w:line="195" w:lineRule="auto"/>
              <w:rPr/>
            </w:pPr>
            <w:r>
              <w:rPr>
                <w:spacing w:val="3"/>
              </w:rPr>
              <w:t>0.00</w:t>
            </w:r>
          </w:p>
        </w:tc>
        <w:tc>
          <w:tcPr>
            <w:tcW w:w="705" w:type="dxa"/>
            <w:vAlign w:val="top"/>
          </w:tcPr>
          <w:p>
            <w:pPr>
              <w:pStyle w:val="TableText"/>
              <w:ind w:left="172"/>
              <w:spacing w:before="127" w:line="195" w:lineRule="auto"/>
              <w:rPr/>
            </w:pPr>
            <w:r>
              <w:rPr>
                <w:spacing w:val="2"/>
              </w:rPr>
              <w:t>0.06</w:t>
            </w:r>
          </w:p>
        </w:tc>
        <w:tc>
          <w:tcPr>
            <w:tcW w:w="698" w:type="dxa"/>
            <w:vAlign w:val="top"/>
          </w:tcPr>
          <w:p>
            <w:pPr>
              <w:pStyle w:val="TableText"/>
              <w:ind w:left="168"/>
              <w:spacing w:before="127" w:line="195" w:lineRule="auto"/>
              <w:rPr/>
            </w:pPr>
            <w:r>
              <w:rPr>
                <w:spacing w:val="-4"/>
              </w:rPr>
              <w:t>0.</w:t>
            </w:r>
            <w:r>
              <w:rPr>
                <w:spacing w:val="-22"/>
              </w:rPr>
              <w:t xml:space="preserve"> </w:t>
            </w:r>
            <w:r>
              <w:rPr>
                <w:spacing w:val="-4"/>
              </w:rPr>
              <w:t>13</w:t>
            </w:r>
          </w:p>
        </w:tc>
        <w:tc>
          <w:tcPr>
            <w:tcW w:w="698" w:type="dxa"/>
            <w:vAlign w:val="top"/>
          </w:tcPr>
          <w:p>
            <w:pPr>
              <w:pStyle w:val="TableText"/>
              <w:ind w:left="168"/>
              <w:spacing w:before="127" w:line="195" w:lineRule="auto"/>
              <w:rPr/>
            </w:pPr>
            <w:r>
              <w:rPr>
                <w:spacing w:val="3"/>
              </w:rPr>
              <w:t>0.29</w:t>
            </w:r>
          </w:p>
        </w:tc>
        <w:tc>
          <w:tcPr>
            <w:tcW w:w="701" w:type="dxa"/>
            <w:vAlign w:val="top"/>
          </w:tcPr>
          <w:p>
            <w:pPr>
              <w:pStyle w:val="TableText"/>
              <w:ind w:left="171"/>
              <w:spacing w:before="127" w:line="195" w:lineRule="auto"/>
              <w:rPr/>
            </w:pPr>
            <w:r>
              <w:rPr>
                <w:spacing w:val="2"/>
              </w:rPr>
              <w:t>0.25</w:t>
            </w:r>
          </w:p>
        </w:tc>
        <w:tc>
          <w:tcPr>
            <w:tcW w:w="739" w:type="dxa"/>
            <w:vAlign w:val="top"/>
          </w:tcPr>
          <w:p>
            <w:pPr>
              <w:pStyle w:val="TableText"/>
              <w:ind w:left="190"/>
              <w:spacing w:before="127" w:line="195" w:lineRule="auto"/>
              <w:rPr/>
            </w:pPr>
            <w:r>
              <w:rPr>
                <w:spacing w:val="2"/>
              </w:rPr>
              <w:t>0.50</w:t>
            </w:r>
          </w:p>
        </w:tc>
        <w:tc>
          <w:tcPr>
            <w:tcW w:w="698" w:type="dxa"/>
            <w:vAlign w:val="top"/>
          </w:tcPr>
          <w:p>
            <w:pPr>
              <w:pStyle w:val="TableText"/>
              <w:ind w:left="186"/>
              <w:spacing w:before="127" w:line="195" w:lineRule="auto"/>
              <w:rPr/>
            </w:pPr>
            <w:r>
              <w:rPr>
                <w:spacing w:val="-1"/>
              </w:rPr>
              <w:t>1.46</w:t>
            </w:r>
          </w:p>
        </w:tc>
        <w:tc>
          <w:tcPr>
            <w:tcW w:w="804" w:type="dxa"/>
            <w:vAlign w:val="top"/>
          </w:tcPr>
          <w:p>
            <w:pPr>
              <w:pStyle w:val="TableText"/>
              <w:ind w:left="239"/>
              <w:spacing w:before="127" w:line="195" w:lineRule="auto"/>
              <w:rPr/>
            </w:pPr>
            <w:r>
              <w:rPr>
                <w:spacing w:val="-1"/>
              </w:rPr>
              <w:t>1.82</w:t>
            </w:r>
          </w:p>
        </w:tc>
        <w:tc>
          <w:tcPr>
            <w:tcW w:w="725" w:type="dxa"/>
            <w:vAlign w:val="top"/>
          </w:tcPr>
          <w:p>
            <w:pPr>
              <w:pStyle w:val="TableText"/>
              <w:ind w:left="203"/>
              <w:spacing w:before="127" w:line="195" w:lineRule="auto"/>
              <w:rPr/>
            </w:pPr>
            <w:r>
              <w:rPr>
                <w:spacing w:val="-9"/>
              </w:rPr>
              <w:t>1.</w:t>
            </w:r>
            <w:r>
              <w:rPr>
                <w:spacing w:val="-23"/>
              </w:rPr>
              <w:t xml:space="preserve"> </w:t>
            </w:r>
            <w:r>
              <w:rPr>
                <w:spacing w:val="-9"/>
              </w:rPr>
              <w:t>11</w:t>
            </w:r>
          </w:p>
        </w:tc>
        <w:tc>
          <w:tcPr>
            <w:tcW w:w="852" w:type="dxa"/>
            <w:vAlign w:val="top"/>
          </w:tcPr>
          <w:p>
            <w:pPr>
              <w:pStyle w:val="TableText"/>
              <w:ind w:left="246"/>
              <w:spacing w:before="127" w:line="195" w:lineRule="auto"/>
              <w:rPr/>
            </w:pPr>
            <w:r>
              <w:rPr>
                <w:spacing w:val="3"/>
              </w:rPr>
              <w:t>0.68</w:t>
            </w:r>
          </w:p>
        </w:tc>
        <w:tc>
          <w:tcPr>
            <w:tcW w:w="732" w:type="dxa"/>
            <w:vAlign w:val="top"/>
          </w:tcPr>
          <w:p>
            <w:pPr>
              <w:pStyle w:val="TableText"/>
              <w:ind w:left="186"/>
              <w:spacing w:before="127" w:line="195" w:lineRule="auto"/>
              <w:rPr/>
            </w:pPr>
            <w:r>
              <w:rPr>
                <w:spacing w:val="3"/>
              </w:rPr>
              <w:t>0.29</w:t>
            </w:r>
          </w:p>
        </w:tc>
        <w:tc>
          <w:tcPr>
            <w:tcW w:w="820" w:type="dxa"/>
            <w:vAlign w:val="top"/>
          </w:tcPr>
          <w:p>
            <w:pPr>
              <w:pStyle w:val="TableText"/>
              <w:ind w:left="231"/>
              <w:spacing w:before="127" w:line="195" w:lineRule="auto"/>
              <w:rPr/>
            </w:pPr>
            <w:r>
              <w:rPr>
                <w:spacing w:val="3"/>
              </w:rPr>
              <w:t>0.09</w:t>
            </w:r>
          </w:p>
        </w:tc>
        <w:tc>
          <w:tcPr>
            <w:tcW w:w="823" w:type="dxa"/>
            <w:vAlign w:val="top"/>
          </w:tcPr>
          <w:p>
            <w:pPr>
              <w:pStyle w:val="TableText"/>
              <w:ind w:left="232"/>
              <w:spacing w:before="127" w:line="195" w:lineRule="auto"/>
              <w:rPr/>
            </w:pPr>
            <w:r>
              <w:rPr>
                <w:spacing w:val="3"/>
              </w:rPr>
              <w:t>0.00</w:t>
            </w:r>
          </w:p>
        </w:tc>
        <w:tc>
          <w:tcPr>
            <w:tcW w:w="823" w:type="dxa"/>
            <w:vAlign w:val="top"/>
          </w:tcPr>
          <w:p>
            <w:pPr>
              <w:pStyle w:val="TableText"/>
              <w:ind w:left="231"/>
              <w:spacing w:before="127" w:line="195" w:lineRule="auto"/>
              <w:rPr/>
            </w:pPr>
            <w:r>
              <w:rPr>
                <w:spacing w:val="2"/>
              </w:rPr>
              <w:t>6.90</w:t>
            </w:r>
          </w:p>
        </w:tc>
      </w:tr>
    </w:tbl>
    <w:p>
      <w:pPr>
        <w:pStyle w:val="BodyText"/>
        <w:rPr/>
      </w:pPr>
      <w:r/>
    </w:p>
    <w:p>
      <w:pPr>
        <w:sectPr>
          <w:headerReference w:type="default" r:id="rId366"/>
          <w:footerReference w:type="default" r:id="rId367"/>
          <w:pgSz w:w="16838" w:h="11906"/>
          <w:pgMar w:top="1169" w:right="1307" w:bottom="1080" w:left="1022" w:header="836" w:footer="917" w:gutter="0"/>
        </w:sectPr>
        <w:rPr/>
      </w:pPr>
    </w:p>
    <w:p>
      <w:pPr>
        <w:pStyle w:val="BodyText"/>
        <w:spacing w:line="393" w:lineRule="auto"/>
        <w:rPr/>
      </w:pPr>
      <w:r/>
    </w:p>
    <w:p>
      <w:pPr>
        <w:ind w:left="117"/>
        <w:spacing w:before="91" w:line="222" w:lineRule="auto"/>
        <w:rPr>
          <w:rFonts w:ascii="SimHei" w:hAnsi="SimHei" w:eastAsia="SimHei" w:cs="SimHei"/>
          <w:sz w:val="28"/>
          <w:szCs w:val="28"/>
        </w:rPr>
      </w:pPr>
      <w:bookmarkStart w:name="bookmark94" w:id="51"/>
      <w:bookmarkEnd w:id="51"/>
      <w:r>
        <w:rPr>
          <w:rFonts w:ascii="Times New Roman" w:hAnsi="Times New Roman" w:eastAsia="Times New Roman" w:cs="Times New Roman"/>
          <w:sz w:val="28"/>
          <w:szCs w:val="28"/>
          <w:b/>
          <w:bCs/>
          <w:spacing w:val="-2"/>
        </w:rPr>
        <w:t>5.2.2  </w:t>
      </w:r>
      <w:r>
        <w:rPr>
          <w:rFonts w:ascii="SimHei" w:hAnsi="SimHei" w:eastAsia="SimHei" w:cs="SimHei"/>
          <w:sz w:val="28"/>
          <w:szCs w:val="28"/>
          <w:b/>
          <w:bCs/>
          <w:spacing w:val="-2"/>
        </w:rPr>
        <w:t>施工期大气环境影响评价</w:t>
      </w:r>
    </w:p>
    <w:p>
      <w:pPr>
        <w:ind w:left="119" w:right="108" w:firstLine="479"/>
        <w:spacing w:before="168" w:line="341" w:lineRule="auto"/>
        <w:rPr>
          <w:rFonts w:ascii="SimSun" w:hAnsi="SimSun" w:eastAsia="SimSun" w:cs="SimSun"/>
          <w:sz w:val="24"/>
          <w:szCs w:val="24"/>
        </w:rPr>
      </w:pPr>
      <w:r>
        <w:rPr>
          <w:rFonts w:ascii="SimSun" w:hAnsi="SimSun" w:eastAsia="SimSun" w:cs="SimSun"/>
          <w:sz w:val="24"/>
          <w:szCs w:val="24"/>
          <w:spacing w:val="-2"/>
        </w:rPr>
        <w:t>本项目主要工程内容为露天区开采范围调整，工业场地依托现有露天区工业场地，</w:t>
      </w:r>
      <w:r>
        <w:rPr>
          <w:rFonts w:ascii="SimSun" w:hAnsi="SimSun" w:eastAsia="SimSun" w:cs="SimSun"/>
          <w:sz w:val="24"/>
          <w:szCs w:val="24"/>
        </w:rPr>
        <w:t>无新增占地，不涉及施工期工程。本次主要针对运</w:t>
      </w:r>
      <w:r>
        <w:rPr>
          <w:rFonts w:ascii="SimSun" w:hAnsi="SimSun" w:eastAsia="SimSun" w:cs="SimSun"/>
          <w:sz w:val="24"/>
          <w:szCs w:val="24"/>
          <w:spacing w:val="-1"/>
        </w:rPr>
        <w:t>营期大气环境影响进行评价。</w:t>
      </w:r>
    </w:p>
    <w:p>
      <w:pPr>
        <w:ind w:left="117"/>
        <w:spacing w:before="8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5.2.3 </w:t>
      </w:r>
      <w:r>
        <w:rPr>
          <w:rFonts w:ascii="SimHei" w:hAnsi="SimHei" w:eastAsia="SimHei" w:cs="SimHei"/>
          <w:sz w:val="28"/>
          <w:szCs w:val="28"/>
          <w:b/>
          <w:bCs/>
          <w:spacing w:val="-2"/>
        </w:rPr>
        <w:t>运营期大气环境影响预测与评价</w:t>
      </w:r>
    </w:p>
    <w:p>
      <w:pPr>
        <w:ind w:left="116" w:right="36" w:firstLine="481"/>
        <w:spacing w:before="172" w:line="338" w:lineRule="auto"/>
        <w:jc w:val="both"/>
        <w:rPr>
          <w:rFonts w:ascii="SimSun" w:hAnsi="SimSun" w:eastAsia="SimSun" w:cs="SimSun"/>
          <w:sz w:val="24"/>
          <w:szCs w:val="24"/>
        </w:rPr>
      </w:pPr>
      <w:r>
        <w:rPr>
          <w:rFonts w:ascii="SimSun" w:hAnsi="SimSun" w:eastAsia="SimSun" w:cs="SimSun"/>
          <w:sz w:val="24"/>
          <w:szCs w:val="24"/>
          <w:spacing w:val="-6"/>
        </w:rPr>
        <w:t>本次调整开采范围不涉及产能调整，本项目不设燃煤锅炉，</w:t>
      </w:r>
      <w:r>
        <w:rPr>
          <w:rFonts w:ascii="SimSun" w:hAnsi="SimSun" w:eastAsia="SimSun" w:cs="SimSun"/>
          <w:sz w:val="24"/>
          <w:szCs w:val="24"/>
          <w:spacing w:val="-7"/>
        </w:rPr>
        <w:t>供暖利用金山电厂余热，</w:t>
      </w:r>
      <w:r>
        <w:rPr>
          <w:rFonts w:ascii="SimSun" w:hAnsi="SimSun" w:eastAsia="SimSun" w:cs="SimSun"/>
          <w:sz w:val="24"/>
          <w:szCs w:val="24"/>
          <w:spacing w:val="-2"/>
        </w:rPr>
        <w:t>根据项目可行性研究，本项目生产工艺不涉及穿孔爆破，无穿孔、爆破废气产生。本次</w:t>
      </w:r>
      <w:r>
        <w:rPr>
          <w:rFonts w:ascii="SimSun" w:hAnsi="SimSun" w:eastAsia="SimSun" w:cs="SimSun"/>
          <w:sz w:val="24"/>
          <w:szCs w:val="24"/>
        </w:rPr>
        <w:t>改建前后工业场地内大气污染源不发生变化，废气污染源主要为采掘场开采范围变化、</w:t>
      </w:r>
      <w:r>
        <w:rPr>
          <w:rFonts w:ascii="SimSun" w:hAnsi="SimSun" w:eastAsia="SimSun" w:cs="SimSun"/>
          <w:sz w:val="24"/>
          <w:szCs w:val="24"/>
        </w:rPr>
        <w:t>采掘场开采、装卸、运输作业时产生的粉尘，内排土场剥离物运</w:t>
      </w:r>
      <w:r>
        <w:rPr>
          <w:rFonts w:ascii="SimSun" w:hAnsi="SimSun" w:eastAsia="SimSun" w:cs="SimSun"/>
          <w:sz w:val="24"/>
          <w:szCs w:val="24"/>
          <w:spacing w:val="-1"/>
        </w:rPr>
        <w:t>输、堆放产生的扬尘。</w:t>
      </w:r>
    </w:p>
    <w:p>
      <w:pPr>
        <w:ind w:left="120" w:right="105" w:firstLine="478"/>
        <w:spacing w:before="2" w:line="341" w:lineRule="auto"/>
        <w:rPr>
          <w:rFonts w:ascii="SimSun" w:hAnsi="SimSun" w:eastAsia="SimSun" w:cs="SimSun"/>
          <w:sz w:val="24"/>
          <w:szCs w:val="24"/>
        </w:rPr>
      </w:pPr>
      <w:r>
        <w:rPr>
          <w:rFonts w:ascii="SimSun" w:hAnsi="SimSun" w:eastAsia="SimSun" w:cs="SimSun"/>
          <w:sz w:val="24"/>
          <w:szCs w:val="24"/>
          <w:spacing w:val="1"/>
        </w:rPr>
        <w:t>本项目采掘场及内排土场废气源强计算见“项目概况及工程分析 </w:t>
      </w:r>
      <w:r>
        <w:rPr>
          <w:rFonts w:ascii="Times New Roman" w:hAnsi="Times New Roman" w:eastAsia="Times New Roman" w:cs="Times New Roman"/>
          <w:sz w:val="24"/>
          <w:szCs w:val="24"/>
          <w:spacing w:val="1"/>
        </w:rPr>
        <w:t>3.6.2.1 </w:t>
      </w:r>
      <w:r>
        <w:rPr>
          <w:rFonts w:ascii="SimSun" w:hAnsi="SimSun" w:eastAsia="SimSun" w:cs="SimSun"/>
          <w:sz w:val="24"/>
          <w:szCs w:val="24"/>
          <w:spacing w:val="1"/>
        </w:rPr>
        <w:t>废气源强</w:t>
      </w:r>
      <w:r>
        <w:rPr>
          <w:rFonts w:ascii="SimSun" w:hAnsi="SimSun" w:eastAsia="SimSun" w:cs="SimSun"/>
          <w:sz w:val="24"/>
          <w:szCs w:val="24"/>
          <w:spacing w:val="1"/>
        </w:rPr>
        <w:t>核算及污染防治措施中表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3-6-3</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1"/>
        </w:rPr>
        <w:t>。</w:t>
      </w:r>
      <w:r>
        <w:rPr>
          <w:rFonts w:ascii="SimSun" w:hAnsi="SimSun" w:eastAsia="SimSun" w:cs="SimSun"/>
          <w:sz w:val="24"/>
          <w:szCs w:val="24"/>
          <w:spacing w:val="-88"/>
        </w:rPr>
        <w:t xml:space="preserve"> </w:t>
      </w:r>
      <w:r>
        <w:rPr>
          <w:rFonts w:ascii="SimSun" w:hAnsi="SimSun" w:eastAsia="SimSun" w:cs="SimSun"/>
          <w:sz w:val="24"/>
          <w:szCs w:val="24"/>
          <w:spacing w:val="1"/>
        </w:rPr>
        <w:t>”</w:t>
      </w:r>
    </w:p>
    <w:p>
      <w:pPr>
        <w:ind w:left="116"/>
        <w:spacing w:before="23"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5.2.3.1 </w:t>
      </w:r>
      <w:r>
        <w:rPr>
          <w:rFonts w:ascii="SimHei" w:hAnsi="SimHei" w:eastAsia="SimHei" w:cs="SimHei"/>
          <w:sz w:val="24"/>
          <w:szCs w:val="24"/>
          <w:b/>
          <w:bCs/>
          <w:spacing w:val="-2"/>
        </w:rPr>
        <w:t>采掘场及内排土场对环境空气的不利影响</w:t>
      </w:r>
    </w:p>
    <w:p>
      <w:pPr>
        <w:ind w:left="616"/>
        <w:spacing w:before="161" w:line="220"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、预测因子及范围</w:t>
      </w:r>
    </w:p>
    <w:p>
      <w:pPr>
        <w:ind w:left="117" w:right="103" w:firstLine="480"/>
        <w:spacing w:before="152" w:line="336" w:lineRule="auto"/>
        <w:rPr>
          <w:rFonts w:ascii="SimSun" w:hAnsi="SimSun" w:eastAsia="SimSun" w:cs="SimSun"/>
          <w:sz w:val="24"/>
          <w:szCs w:val="24"/>
        </w:rPr>
      </w:pPr>
      <w:r>
        <w:rPr>
          <w:rFonts w:ascii="SimSun" w:hAnsi="SimSun" w:eastAsia="SimSun" w:cs="SimSun"/>
          <w:sz w:val="24"/>
          <w:szCs w:val="24"/>
          <w:spacing w:val="12"/>
        </w:rPr>
        <w:t>本项</w:t>
      </w:r>
      <w:r>
        <w:rPr>
          <w:rFonts w:ascii="SimSun" w:hAnsi="SimSun" w:eastAsia="SimSun" w:cs="SimSun"/>
          <w:sz w:val="24"/>
          <w:szCs w:val="24"/>
          <w:spacing w:val="-29"/>
        </w:rPr>
        <w:t xml:space="preserve"> </w:t>
      </w:r>
      <w:r>
        <w:rPr>
          <w:rFonts w:ascii="SimSun" w:hAnsi="SimSun" w:eastAsia="SimSun" w:cs="SimSun"/>
          <w:sz w:val="24"/>
          <w:szCs w:val="24"/>
          <w:spacing w:val="12"/>
        </w:rPr>
        <w:t>目大气环境评价等级为二级，按照《环境影响评价技术导则</w:t>
      </w:r>
      <w:r>
        <w:rPr>
          <w:rFonts w:ascii="SimSun" w:hAnsi="SimSun" w:eastAsia="SimSun" w:cs="SimSun"/>
          <w:sz w:val="24"/>
          <w:szCs w:val="24"/>
          <w:spacing w:val="44"/>
        </w:rPr>
        <w:t xml:space="preserve"> </w:t>
      </w:r>
      <w:r>
        <w:rPr>
          <w:rFonts w:ascii="SimSun" w:hAnsi="SimSun" w:eastAsia="SimSun" w:cs="SimSun"/>
          <w:sz w:val="24"/>
          <w:szCs w:val="24"/>
          <w:spacing w:val="12"/>
        </w:rPr>
        <w:t>大气环境》</w:t>
      </w:r>
      <w:r>
        <w:rPr>
          <w:rFonts w:ascii="SimSun" w:hAnsi="SimSun" w:eastAsia="SimSun" w:cs="SimSun"/>
          <w:sz w:val="24"/>
          <w:szCs w:val="24"/>
        </w:rPr>
        <w:t xml:space="preserve"> </w:t>
      </w:r>
      <w:r>
        <w:rPr>
          <w:rFonts w:ascii="Times New Roman" w:hAnsi="Times New Roman" w:eastAsia="Times New Roman" w:cs="Times New Roman"/>
          <w:sz w:val="24"/>
          <w:szCs w:val="24"/>
          <w:spacing w:val="1"/>
        </w:rPr>
        <w:t>(</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1"/>
        </w:rPr>
        <w:t>2.2-2018)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，本次不进行进一步预测与评价，只对污染物排放量进行核算。采用《环</w:t>
      </w:r>
      <w:r>
        <w:rPr>
          <w:rFonts w:ascii="SimSun" w:hAnsi="SimSun" w:eastAsia="SimSun" w:cs="SimSun"/>
          <w:sz w:val="24"/>
          <w:szCs w:val="24"/>
          <w:spacing w:val="-1"/>
        </w:rPr>
        <w:t>境影响评价技术导则 大气环境》</w:t>
      </w:r>
      <w:r>
        <w:rPr>
          <w:rFonts w:ascii="Times New Roman" w:hAnsi="Times New Roman" w:eastAsia="Times New Roman" w:cs="Times New Roman"/>
          <w:sz w:val="24"/>
          <w:szCs w:val="24"/>
          <w:spacing w:val="-1"/>
        </w:rPr>
        <w:t>(HJ2.</w:t>
      </w:r>
      <w:r>
        <w:rPr>
          <w:rFonts w:ascii="Times New Roman" w:hAnsi="Times New Roman" w:eastAsia="Times New Roman" w:cs="Times New Roman"/>
          <w:sz w:val="24"/>
          <w:szCs w:val="24"/>
          <w:spacing w:val="-2"/>
        </w:rPr>
        <w:t>2-2018)</w:t>
      </w:r>
      <w:r>
        <w:rPr>
          <w:rFonts w:ascii="SimSun" w:hAnsi="SimSun" w:eastAsia="SimSun" w:cs="SimSun"/>
          <w:sz w:val="24"/>
          <w:szCs w:val="24"/>
          <w:spacing w:val="-2"/>
        </w:rPr>
        <w:t>推荐估算模式</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2"/>
        </w:rPr>
        <w:t>AERSCREEN</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，核算距项目</w:t>
      </w:r>
      <w:r>
        <w:rPr>
          <w:rFonts w:ascii="SimSun" w:hAnsi="SimSun" w:eastAsia="SimSun" w:cs="SimSun"/>
          <w:sz w:val="24"/>
          <w:szCs w:val="24"/>
          <w:spacing w:val="-1"/>
        </w:rPr>
        <w:t>污染源下向风不同距离处污染物浓度、最大落地浓度及占标率。</w:t>
      </w:r>
    </w:p>
    <w:p>
      <w:pPr>
        <w:ind w:left="593"/>
        <w:spacing w:before="15"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、污染源源强</w:t>
      </w:r>
    </w:p>
    <w:p>
      <w:pPr>
        <w:ind w:left="596"/>
        <w:spacing w:before="153" w:line="219" w:lineRule="auto"/>
        <w:rPr>
          <w:rFonts w:ascii="SimSun" w:hAnsi="SimSun" w:eastAsia="SimSun" w:cs="SimSun"/>
          <w:sz w:val="24"/>
          <w:szCs w:val="24"/>
        </w:rPr>
      </w:pPr>
      <w:r>
        <w:rPr>
          <w:rFonts w:ascii="SimSun" w:hAnsi="SimSun" w:eastAsia="SimSun" w:cs="SimSun"/>
          <w:sz w:val="24"/>
          <w:szCs w:val="24"/>
          <w:spacing w:val="-1"/>
        </w:rPr>
        <w:t>采掘场及内排土场污染源参数见表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5-2-5</w:t>
      </w:r>
      <w:r>
        <w:rPr>
          <w:rFonts w:ascii="SimSun" w:hAnsi="SimSun" w:eastAsia="SimSun" w:cs="SimSun"/>
          <w:sz w:val="24"/>
          <w:szCs w:val="24"/>
          <w:spacing w:val="-1"/>
        </w:rPr>
        <w:t>。</w:t>
      </w:r>
    </w:p>
    <w:p>
      <w:pPr>
        <w:ind w:left="2710"/>
        <w:spacing w:before="189" w:line="210" w:lineRule="auto"/>
        <w:rPr>
          <w:rFonts w:ascii="Times New Roman" w:hAnsi="Times New Roman" w:eastAsia="Times New Roman" w:cs="Times New Roman"/>
          <w:sz w:val="24"/>
          <w:szCs w:val="24"/>
        </w:rPr>
      </w:pPr>
      <w:r>
        <w:rPr>
          <w:rFonts w:ascii="SimHei" w:hAnsi="SimHei" w:eastAsia="SimHei" w:cs="SimHei"/>
          <w:sz w:val="24"/>
          <w:szCs w:val="24"/>
          <w:spacing w:val="-1"/>
        </w:rPr>
        <w:t>主要废气污染源参数一览表</w:t>
      </w:r>
      <w:r>
        <w:rPr>
          <w:rFonts w:ascii="Times New Roman" w:hAnsi="Times New Roman" w:eastAsia="Times New Roman" w:cs="Times New Roman"/>
          <w:sz w:val="24"/>
          <w:szCs w:val="24"/>
          <w:spacing w:val="-1"/>
        </w:rPr>
        <w:t>(</w:t>
      </w:r>
      <w:r>
        <w:rPr>
          <w:rFonts w:ascii="SimHei" w:hAnsi="SimHei" w:eastAsia="SimHei" w:cs="SimHei"/>
          <w:sz w:val="24"/>
          <w:szCs w:val="24"/>
          <w:spacing w:val="-1"/>
        </w:rPr>
        <w:t>矩形面源</w:t>
      </w:r>
      <w:r>
        <w:rPr>
          <w:rFonts w:ascii="Times New Roman" w:hAnsi="Times New Roman" w:eastAsia="Times New Roman" w:cs="Times New Roman"/>
          <w:sz w:val="24"/>
          <w:szCs w:val="24"/>
          <w:spacing w:val="-1"/>
        </w:rPr>
        <w:t>)</w:t>
      </w:r>
    </w:p>
    <w:p>
      <w:pPr>
        <w:ind w:left="223"/>
        <w:spacing w:before="231"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4"/>
        </w:rPr>
        <w:t xml:space="preserve"> </w:t>
      </w:r>
      <w:r>
        <w:rPr>
          <w:rFonts w:ascii="Times New Roman" w:hAnsi="Times New Roman" w:eastAsia="Times New Roman" w:cs="Times New Roman"/>
          <w:sz w:val="20"/>
          <w:szCs w:val="20"/>
          <w:spacing w:val="1"/>
        </w:rPr>
        <w:t>5-2-5</w:t>
      </w:r>
    </w:p>
    <w:p>
      <w:pPr>
        <w:spacing w:line="29" w:lineRule="exact"/>
        <w:rPr/>
      </w:pPr>
      <w:r/>
    </w:p>
    <w:tbl>
      <w:tblPr>
        <w:tblStyle w:val="TableNormal"/>
        <w:tblW w:w="92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17"/>
        <w:gridCol w:w="1420"/>
        <w:gridCol w:w="1113"/>
        <w:gridCol w:w="792"/>
        <w:gridCol w:w="667"/>
        <w:gridCol w:w="664"/>
        <w:gridCol w:w="664"/>
        <w:gridCol w:w="801"/>
        <w:gridCol w:w="813"/>
        <w:gridCol w:w="811"/>
        <w:gridCol w:w="816"/>
      </w:tblGrid>
      <w:tr>
        <w:trPr>
          <w:trHeight w:val="1332" w:hRule="atLeast"/>
        </w:trPr>
        <w:tc>
          <w:tcPr>
            <w:tcW w:w="717" w:type="dxa"/>
            <w:vAlign w:val="top"/>
            <w:vMerge w:val="restart"/>
            <w:tcBorders>
              <w:bottom w:val="nil"/>
            </w:tcBorders>
          </w:tcPr>
          <w:p>
            <w:pPr>
              <w:spacing w:line="458" w:lineRule="auto"/>
              <w:rPr>
                <w:rFonts w:ascii="Arial"/>
                <w:sz w:val="21"/>
              </w:rPr>
            </w:pPr>
            <w:r/>
          </w:p>
          <w:p>
            <w:pPr>
              <w:ind w:left="151" w:right="150" w:firstLine="2"/>
              <w:spacing w:before="65" w:line="253" w:lineRule="auto"/>
              <w:jc w:val="both"/>
              <w:rPr>
                <w:rFonts w:ascii="SimSun" w:hAnsi="SimSun" w:eastAsia="SimSun" w:cs="SimSun"/>
                <w:sz w:val="20"/>
                <w:szCs w:val="20"/>
              </w:rPr>
            </w:pPr>
            <w:r>
              <w:rPr>
                <w:rFonts w:ascii="SimSun" w:hAnsi="SimSun" w:eastAsia="SimSun" w:cs="SimSun"/>
                <w:sz w:val="20"/>
                <w:szCs w:val="20"/>
                <w:spacing w:val="3"/>
              </w:rPr>
              <w:t>污染</w:t>
            </w:r>
            <w:r>
              <w:rPr>
                <w:rFonts w:ascii="SimSun" w:hAnsi="SimSun" w:eastAsia="SimSun" w:cs="SimSun"/>
                <w:sz w:val="20"/>
                <w:szCs w:val="20"/>
                <w:spacing w:val="5"/>
              </w:rPr>
              <w:t>源名</w:t>
            </w:r>
            <w:r>
              <w:rPr>
                <w:rFonts w:ascii="SimSun" w:hAnsi="SimSun" w:eastAsia="SimSun" w:cs="SimSun"/>
                <w:sz w:val="20"/>
                <w:szCs w:val="20"/>
                <w:spacing w:val="28"/>
                <w:w w:val="138"/>
              </w:rPr>
              <w:t>称</w:t>
            </w:r>
          </w:p>
        </w:tc>
        <w:tc>
          <w:tcPr>
            <w:tcW w:w="2533" w:type="dxa"/>
            <w:vAlign w:val="top"/>
            <w:gridSpan w:val="2"/>
          </w:tcPr>
          <w:p>
            <w:pPr>
              <w:spacing w:line="244" w:lineRule="auto"/>
              <w:rPr>
                <w:rFonts w:ascii="Arial"/>
                <w:sz w:val="21"/>
              </w:rPr>
            </w:pPr>
            <w:r/>
          </w:p>
          <w:p>
            <w:pPr>
              <w:spacing w:line="245" w:lineRule="auto"/>
              <w:rPr>
                <w:rFonts w:ascii="Arial"/>
                <w:sz w:val="21"/>
              </w:rPr>
            </w:pPr>
            <w:r/>
          </w:p>
          <w:p>
            <w:pPr>
              <w:pStyle w:val="TableText"/>
              <w:ind w:left="530"/>
              <w:spacing w:before="65" w:line="221" w:lineRule="auto"/>
              <w:rPr/>
            </w:pPr>
            <w:r>
              <w:rPr>
                <w:rFonts w:ascii="SimSun" w:hAnsi="SimSun" w:eastAsia="SimSun" w:cs="SimSun"/>
                <w:spacing w:val="6"/>
              </w:rPr>
              <w:t>面源起点坐标</w:t>
            </w:r>
            <w:r>
              <w:rPr>
                <w:spacing w:val="6"/>
              </w:rPr>
              <w:t>(°)</w:t>
            </w:r>
          </w:p>
        </w:tc>
        <w:tc>
          <w:tcPr>
            <w:tcW w:w="792" w:type="dxa"/>
            <w:vAlign w:val="top"/>
            <w:vMerge w:val="restart"/>
            <w:tcBorders>
              <w:bottom w:val="nil"/>
            </w:tcBorders>
          </w:tcPr>
          <w:p>
            <w:pPr>
              <w:spacing w:line="339" w:lineRule="auto"/>
              <w:rPr>
                <w:rFonts w:ascii="Arial"/>
                <w:sz w:val="21"/>
              </w:rPr>
            </w:pPr>
            <w:r/>
          </w:p>
          <w:p>
            <w:pPr>
              <w:pStyle w:val="TableText"/>
              <w:ind w:left="189" w:right="187" w:firstLine="1"/>
              <w:spacing w:before="65" w:line="252" w:lineRule="auto"/>
              <w:jc w:val="both"/>
              <w:rPr/>
            </w:pPr>
            <w:r>
              <w:rPr>
                <w:rFonts w:ascii="SimSun" w:hAnsi="SimSun" w:eastAsia="SimSun" w:cs="SimSun"/>
                <w:spacing w:val="4"/>
              </w:rPr>
              <w:t>面源</w:t>
            </w:r>
            <w:r>
              <w:rPr>
                <w:rFonts w:ascii="SimSun" w:hAnsi="SimSun" w:eastAsia="SimSun" w:cs="SimSun"/>
                <w:spacing w:val="5"/>
              </w:rPr>
              <w:t>海拔</w:t>
            </w:r>
            <w:r>
              <w:rPr>
                <w:rFonts w:ascii="SimSun" w:hAnsi="SimSun" w:eastAsia="SimSun" w:cs="SimSun"/>
                <w:spacing w:val="5"/>
              </w:rPr>
              <w:t>高度</w:t>
            </w:r>
            <w:r>
              <w:rPr>
                <w:spacing w:val="22"/>
              </w:rPr>
              <w:t>(m)</w:t>
            </w:r>
          </w:p>
        </w:tc>
        <w:tc>
          <w:tcPr>
            <w:tcW w:w="667" w:type="dxa"/>
            <w:vAlign w:val="top"/>
            <w:vMerge w:val="restart"/>
            <w:tcBorders>
              <w:bottom w:val="nil"/>
            </w:tcBorders>
          </w:tcPr>
          <w:p>
            <w:pPr>
              <w:spacing w:line="474" w:lineRule="auto"/>
              <w:rPr>
                <w:rFonts w:ascii="Arial"/>
                <w:sz w:val="21"/>
              </w:rPr>
            </w:pPr>
            <w:r/>
          </w:p>
          <w:p>
            <w:pPr>
              <w:pStyle w:val="TableText"/>
              <w:ind w:left="130" w:right="122"/>
              <w:spacing w:before="65" w:line="253" w:lineRule="auto"/>
              <w:jc w:val="both"/>
              <w:rPr/>
            </w:pPr>
            <w:r>
              <w:rPr>
                <w:rFonts w:ascii="SimSun" w:hAnsi="SimSun" w:eastAsia="SimSun" w:cs="SimSun"/>
                <w:spacing w:val="4"/>
              </w:rPr>
              <w:t>面源</w:t>
            </w:r>
            <w:r>
              <w:rPr>
                <w:rFonts w:ascii="SimSun" w:hAnsi="SimSun" w:eastAsia="SimSun" w:cs="SimSun"/>
                <w:spacing w:val="4"/>
              </w:rPr>
              <w:t>长度</w:t>
            </w:r>
            <w:r>
              <w:rPr>
                <w:spacing w:val="19"/>
              </w:rPr>
              <w:t>(m)</w:t>
            </w:r>
          </w:p>
        </w:tc>
        <w:tc>
          <w:tcPr>
            <w:tcW w:w="664" w:type="dxa"/>
            <w:vAlign w:val="top"/>
            <w:vMerge w:val="restart"/>
            <w:tcBorders>
              <w:bottom w:val="nil"/>
            </w:tcBorders>
          </w:tcPr>
          <w:p>
            <w:pPr>
              <w:spacing w:line="474" w:lineRule="auto"/>
              <w:rPr>
                <w:rFonts w:ascii="Arial"/>
                <w:sz w:val="21"/>
              </w:rPr>
            </w:pPr>
            <w:r/>
          </w:p>
          <w:p>
            <w:pPr>
              <w:pStyle w:val="TableText"/>
              <w:ind w:left="137" w:right="121" w:hanging="9"/>
              <w:spacing w:before="65" w:line="253" w:lineRule="auto"/>
              <w:jc w:val="both"/>
              <w:rPr/>
            </w:pPr>
            <w:r>
              <w:rPr>
                <w:rFonts w:ascii="SimSun" w:hAnsi="SimSun" w:eastAsia="SimSun" w:cs="SimSun"/>
                <w:spacing w:val="4"/>
              </w:rPr>
              <w:t>面源</w:t>
            </w:r>
            <w:r>
              <w:rPr>
                <w:rFonts w:ascii="SimSun" w:hAnsi="SimSun" w:eastAsia="SimSun" w:cs="SimSun"/>
                <w:spacing w:val="-1"/>
              </w:rPr>
              <w:t>宽度</w:t>
            </w:r>
            <w:r>
              <w:rPr>
                <w:spacing w:val="17"/>
              </w:rPr>
              <w:t>(m)</w:t>
            </w:r>
          </w:p>
        </w:tc>
        <w:tc>
          <w:tcPr>
            <w:tcW w:w="664" w:type="dxa"/>
            <w:vAlign w:val="top"/>
            <w:vMerge w:val="restart"/>
            <w:tcBorders>
              <w:bottom w:val="nil"/>
            </w:tcBorders>
          </w:tcPr>
          <w:p>
            <w:pPr>
              <w:spacing w:line="324" w:lineRule="auto"/>
              <w:rPr>
                <w:rFonts w:ascii="Arial"/>
                <w:sz w:val="21"/>
              </w:rPr>
            </w:pPr>
            <w:r/>
          </w:p>
          <w:p>
            <w:pPr>
              <w:pStyle w:val="TableText"/>
              <w:ind w:left="127" w:right="123" w:firstLine="2"/>
              <w:spacing w:before="65" w:line="252" w:lineRule="auto"/>
              <w:tabs>
                <w:tab w:val="left" w:pos="195"/>
              </w:tabs>
              <w:jc w:val="both"/>
              <w:rPr>
                <w:rFonts w:ascii="SimSun" w:hAnsi="SimSun" w:eastAsia="SimSun" w:cs="SimSun"/>
              </w:rPr>
            </w:pPr>
            <w:r>
              <w:rPr>
                <w:rFonts w:ascii="SimSun" w:hAnsi="SimSun" w:eastAsia="SimSun" w:cs="SimSun"/>
                <w:spacing w:val="2"/>
              </w:rPr>
              <w:t>与正</w:t>
            </w:r>
            <w:r>
              <w:rPr>
                <w:rFonts w:ascii="SimSun" w:hAnsi="SimSun" w:eastAsia="SimSun" w:cs="SimSun"/>
                <w:spacing w:val="3"/>
              </w:rPr>
              <w:t>北向</w:t>
            </w:r>
            <w:r>
              <w:rPr>
                <w:rFonts w:ascii="SimSun" w:hAnsi="SimSun" w:eastAsia="SimSun" w:cs="SimSun"/>
                <w:spacing w:val="3"/>
              </w:rPr>
              <w:t>夹角</w:t>
            </w:r>
            <w:r>
              <w:rPr/>
              <w:tab/>
            </w:r>
            <w:r>
              <w:rPr>
                <w:spacing w:val="1"/>
              </w:rPr>
              <w:t>/</w:t>
            </w:r>
            <w:r>
              <w:rPr>
                <w:spacing w:val="-22"/>
              </w:rPr>
              <w:t xml:space="preserve"> </w:t>
            </w:r>
            <w:r>
              <w:rPr>
                <w:rFonts w:ascii="SimSun" w:hAnsi="SimSun" w:eastAsia="SimSun" w:cs="SimSun"/>
                <w:spacing w:val="1"/>
              </w:rPr>
              <w:t>°</w:t>
            </w:r>
          </w:p>
        </w:tc>
        <w:tc>
          <w:tcPr>
            <w:tcW w:w="801" w:type="dxa"/>
            <w:vAlign w:val="top"/>
            <w:vMerge w:val="restart"/>
            <w:tcBorders>
              <w:bottom w:val="nil"/>
            </w:tcBorders>
          </w:tcPr>
          <w:p>
            <w:pPr>
              <w:pStyle w:val="TableText"/>
              <w:ind w:left="194" w:right="114" w:hanging="79"/>
              <w:spacing w:before="268" w:line="248" w:lineRule="auto"/>
              <w:rPr>
                <w:rFonts w:ascii="SimSun" w:hAnsi="SimSun" w:eastAsia="SimSun" w:cs="SimSun"/>
              </w:rPr>
            </w:pPr>
            <w:r>
              <w:rPr>
                <w:rFonts w:ascii="SimSun" w:hAnsi="SimSun" w:eastAsia="SimSun" w:cs="SimSun"/>
                <w:spacing w:val="4"/>
              </w:rPr>
              <w:t>面源</w:t>
            </w:r>
            <w:r>
              <w:rPr>
                <w:rFonts w:ascii="SimSun" w:hAnsi="SimSun" w:eastAsia="SimSun" w:cs="SimSun"/>
                <w:spacing w:val="-47"/>
              </w:rPr>
              <w:t xml:space="preserve"> </w:t>
            </w:r>
            <w:r>
              <w:rPr>
                <w:spacing w:val="4"/>
              </w:rPr>
              <w:t>y</w:t>
            </w:r>
            <w:r>
              <w:rPr>
                <w:rFonts w:ascii="SimSun" w:hAnsi="SimSun" w:eastAsia="SimSun" w:cs="SimSun"/>
                <w:spacing w:val="4"/>
              </w:rPr>
              <w:t>有效</w:t>
            </w:r>
          </w:p>
          <w:p>
            <w:pPr>
              <w:ind w:left="194"/>
              <w:spacing w:before="7" w:line="229" w:lineRule="auto"/>
              <w:rPr>
                <w:rFonts w:ascii="SimSun" w:hAnsi="SimSun" w:eastAsia="SimSun" w:cs="SimSun"/>
                <w:sz w:val="20"/>
                <w:szCs w:val="20"/>
              </w:rPr>
            </w:pPr>
            <w:r>
              <w:rPr>
                <w:rFonts w:ascii="SimSun" w:hAnsi="SimSun" w:eastAsia="SimSun" w:cs="SimSun"/>
                <w:sz w:val="20"/>
                <w:szCs w:val="20"/>
                <w:spacing w:val="4"/>
              </w:rPr>
              <w:t>排放</w:t>
            </w:r>
          </w:p>
          <w:p>
            <w:pPr>
              <w:pStyle w:val="TableText"/>
              <w:ind w:left="253" w:right="192" w:hanging="54"/>
              <w:spacing w:before="25" w:line="259" w:lineRule="auto"/>
              <w:rPr/>
            </w:pPr>
            <w:r>
              <w:rPr>
                <w:rFonts w:ascii="SimSun" w:hAnsi="SimSun" w:eastAsia="SimSun" w:cs="SimSun"/>
                <w:spacing w:val="2"/>
              </w:rPr>
              <w:t>高度</w:t>
            </w:r>
            <w:r>
              <w:rPr>
                <w:spacing w:val="1"/>
              </w:rPr>
              <w:t>(m)</w:t>
            </w:r>
          </w:p>
        </w:tc>
        <w:tc>
          <w:tcPr>
            <w:tcW w:w="813" w:type="dxa"/>
            <w:vAlign w:val="top"/>
            <w:vMerge w:val="restart"/>
            <w:tcBorders>
              <w:bottom w:val="nil"/>
            </w:tcBorders>
          </w:tcPr>
          <w:p>
            <w:pPr>
              <w:spacing w:line="459" w:lineRule="auto"/>
              <w:rPr>
                <w:rFonts w:ascii="Arial"/>
                <w:sz w:val="21"/>
              </w:rPr>
            </w:pPr>
            <w:r/>
          </w:p>
          <w:p>
            <w:pPr>
              <w:pStyle w:val="TableText"/>
              <w:ind w:left="132" w:right="111" w:firstLine="70"/>
              <w:spacing w:before="65" w:line="252" w:lineRule="auto"/>
              <w:jc w:val="both"/>
              <w:rPr/>
            </w:pPr>
            <w:r>
              <w:rPr>
                <w:rFonts w:ascii="SimSun" w:hAnsi="SimSun" w:eastAsia="SimSun" w:cs="SimSun"/>
                <w:spacing w:val="4"/>
              </w:rPr>
              <w:t>年排</w:t>
            </w:r>
            <w:r>
              <w:rPr>
                <w:rFonts w:ascii="SimSun" w:hAnsi="SimSun" w:eastAsia="SimSun" w:cs="SimSun"/>
                <w:spacing w:val="39"/>
              </w:rPr>
              <w:t>放小</w:t>
            </w:r>
            <w:r>
              <w:rPr>
                <w:rFonts w:ascii="SimSun" w:hAnsi="SimSun" w:eastAsia="SimSun" w:cs="SimSun"/>
                <w:spacing w:val="2"/>
              </w:rPr>
              <w:t>时数</w:t>
            </w:r>
            <w:r>
              <w:rPr>
                <w:spacing w:val="2"/>
              </w:rPr>
              <w:t>/h</w:t>
            </w:r>
          </w:p>
        </w:tc>
        <w:tc>
          <w:tcPr>
            <w:tcW w:w="811" w:type="dxa"/>
            <w:vAlign w:val="top"/>
            <w:vMerge w:val="restart"/>
            <w:tcBorders>
              <w:bottom w:val="nil"/>
            </w:tcBorders>
          </w:tcPr>
          <w:p>
            <w:pPr>
              <w:spacing w:line="297" w:lineRule="auto"/>
              <w:rPr>
                <w:rFonts w:ascii="Arial"/>
                <w:sz w:val="21"/>
              </w:rPr>
            </w:pPr>
            <w:r/>
          </w:p>
          <w:p>
            <w:pPr>
              <w:spacing w:line="297" w:lineRule="auto"/>
              <w:rPr>
                <w:rFonts w:ascii="Arial"/>
                <w:sz w:val="21"/>
              </w:rPr>
            </w:pPr>
            <w:r/>
          </w:p>
          <w:p>
            <w:pPr>
              <w:ind w:left="202" w:right="196" w:hanging="2"/>
              <w:spacing w:before="65" w:line="252" w:lineRule="auto"/>
              <w:rPr>
                <w:rFonts w:ascii="SimSun" w:hAnsi="SimSun" w:eastAsia="SimSun" w:cs="SimSun"/>
                <w:sz w:val="20"/>
                <w:szCs w:val="20"/>
              </w:rPr>
            </w:pPr>
            <w:r>
              <w:rPr>
                <w:rFonts w:ascii="SimSun" w:hAnsi="SimSun" w:eastAsia="SimSun" w:cs="SimSun"/>
                <w:sz w:val="20"/>
                <w:szCs w:val="20"/>
                <w:spacing w:val="4"/>
              </w:rPr>
              <w:t>排放</w:t>
            </w:r>
            <w:r>
              <w:rPr>
                <w:rFonts w:ascii="SimSun" w:hAnsi="SimSun" w:eastAsia="SimSun" w:cs="SimSun"/>
                <w:sz w:val="20"/>
                <w:szCs w:val="20"/>
                <w:spacing w:val="3"/>
              </w:rPr>
              <w:t>工况</w:t>
            </w:r>
          </w:p>
        </w:tc>
        <w:tc>
          <w:tcPr>
            <w:tcW w:w="816" w:type="dxa"/>
            <w:vAlign w:val="top"/>
          </w:tcPr>
          <w:p>
            <w:pPr>
              <w:ind w:left="206"/>
              <w:spacing w:before="29" w:line="228" w:lineRule="auto"/>
              <w:rPr>
                <w:rFonts w:ascii="SimSun" w:hAnsi="SimSun" w:eastAsia="SimSun" w:cs="SimSun"/>
                <w:sz w:val="20"/>
                <w:szCs w:val="20"/>
              </w:rPr>
            </w:pPr>
            <w:r>
              <w:rPr>
                <w:rFonts w:ascii="SimSun" w:hAnsi="SimSun" w:eastAsia="SimSun" w:cs="SimSun"/>
                <w:sz w:val="20"/>
                <w:szCs w:val="20"/>
                <w:spacing w:val="3"/>
              </w:rPr>
              <w:t>污染</w:t>
            </w:r>
          </w:p>
          <w:p>
            <w:pPr>
              <w:ind w:left="205"/>
              <w:spacing w:before="26" w:line="229" w:lineRule="auto"/>
              <w:rPr>
                <w:rFonts w:ascii="SimSun" w:hAnsi="SimSun" w:eastAsia="SimSun" w:cs="SimSun"/>
                <w:sz w:val="20"/>
                <w:szCs w:val="20"/>
              </w:rPr>
            </w:pPr>
            <w:r>
              <w:rPr>
                <w:rFonts w:ascii="SimSun" w:hAnsi="SimSun" w:eastAsia="SimSun" w:cs="SimSun"/>
                <w:sz w:val="20"/>
                <w:szCs w:val="20"/>
                <w:spacing w:val="4"/>
              </w:rPr>
              <w:t>物排</w:t>
            </w:r>
          </w:p>
          <w:p>
            <w:pPr>
              <w:ind w:left="205"/>
              <w:spacing w:before="23" w:line="229" w:lineRule="auto"/>
              <w:rPr>
                <w:rFonts w:ascii="SimSun" w:hAnsi="SimSun" w:eastAsia="SimSun" w:cs="SimSun"/>
                <w:sz w:val="20"/>
                <w:szCs w:val="20"/>
              </w:rPr>
            </w:pPr>
            <w:r>
              <w:rPr>
                <w:rFonts w:ascii="SimSun" w:hAnsi="SimSun" w:eastAsia="SimSun" w:cs="SimSun"/>
                <w:sz w:val="20"/>
                <w:szCs w:val="20"/>
                <w:spacing w:val="4"/>
              </w:rPr>
              <w:t>放速</w:t>
            </w:r>
          </w:p>
          <w:p>
            <w:pPr>
              <w:pStyle w:val="TableText"/>
              <w:ind w:left="157" w:right="148" w:firstLine="154"/>
              <w:spacing w:before="26" w:line="232" w:lineRule="auto"/>
              <w:rPr/>
            </w:pPr>
            <w:r>
              <w:rPr>
                <w:rFonts w:ascii="SimSun" w:hAnsi="SimSun" w:eastAsia="SimSun" w:cs="SimSun"/>
                <w:spacing w:val="-1"/>
              </w:rPr>
              <w:t>率</w:t>
            </w:r>
            <w:r>
              <w:rPr>
                <w:rFonts w:ascii="SimSun" w:hAnsi="SimSun" w:eastAsia="SimSun" w:cs="SimSun"/>
              </w:rPr>
              <w:t xml:space="preserve"> </w:t>
            </w:r>
            <w:r>
              <w:rPr>
                <w:spacing w:val="4"/>
              </w:rPr>
              <w:t>(</w:t>
            </w:r>
            <w:r>
              <w:rPr/>
              <w:t>kg</w:t>
            </w:r>
            <w:r>
              <w:rPr>
                <w:spacing w:val="4"/>
              </w:rPr>
              <w:t>/h)</w:t>
            </w:r>
          </w:p>
        </w:tc>
      </w:tr>
      <w:tr>
        <w:trPr>
          <w:trHeight w:val="476" w:hRule="atLeast"/>
        </w:trPr>
        <w:tc>
          <w:tcPr>
            <w:tcW w:w="717" w:type="dxa"/>
            <w:vAlign w:val="top"/>
            <w:vMerge w:val="continue"/>
            <w:tcBorders>
              <w:top w:val="nil"/>
            </w:tcBorders>
          </w:tcPr>
          <w:p>
            <w:pPr>
              <w:rPr>
                <w:rFonts w:ascii="Arial"/>
                <w:sz w:val="21"/>
              </w:rPr>
            </w:pPr>
            <w:r/>
          </w:p>
        </w:tc>
        <w:tc>
          <w:tcPr>
            <w:tcW w:w="1420" w:type="dxa"/>
            <w:vAlign w:val="top"/>
          </w:tcPr>
          <w:p>
            <w:pPr>
              <w:ind w:left="504"/>
              <w:spacing w:before="130" w:line="228" w:lineRule="auto"/>
              <w:rPr>
                <w:rFonts w:ascii="SimSun" w:hAnsi="SimSun" w:eastAsia="SimSun" w:cs="SimSun"/>
                <w:sz w:val="20"/>
                <w:szCs w:val="20"/>
              </w:rPr>
            </w:pPr>
            <w:r>
              <w:rPr>
                <w:rFonts w:ascii="SimSun" w:hAnsi="SimSun" w:eastAsia="SimSun" w:cs="SimSun"/>
                <w:sz w:val="20"/>
                <w:szCs w:val="20"/>
                <w:spacing w:val="3"/>
              </w:rPr>
              <w:t>经度</w:t>
            </w:r>
          </w:p>
        </w:tc>
        <w:tc>
          <w:tcPr>
            <w:tcW w:w="1113" w:type="dxa"/>
            <w:vAlign w:val="top"/>
          </w:tcPr>
          <w:p>
            <w:pPr>
              <w:ind w:left="350"/>
              <w:spacing w:before="130" w:line="228" w:lineRule="auto"/>
              <w:rPr>
                <w:rFonts w:ascii="SimSun" w:hAnsi="SimSun" w:eastAsia="SimSun" w:cs="SimSun"/>
                <w:sz w:val="20"/>
                <w:szCs w:val="20"/>
              </w:rPr>
            </w:pPr>
            <w:r>
              <w:rPr>
                <w:rFonts w:ascii="SimSun" w:hAnsi="SimSun" w:eastAsia="SimSun" w:cs="SimSun"/>
                <w:sz w:val="20"/>
                <w:szCs w:val="20"/>
                <w:spacing w:val="4"/>
              </w:rPr>
              <w:t>纬度</w:t>
            </w:r>
          </w:p>
        </w:tc>
        <w:tc>
          <w:tcPr>
            <w:tcW w:w="792" w:type="dxa"/>
            <w:vAlign w:val="top"/>
            <w:vMerge w:val="continue"/>
            <w:tcBorders>
              <w:top w:val="nil"/>
            </w:tcBorders>
          </w:tcPr>
          <w:p>
            <w:pPr>
              <w:rPr>
                <w:rFonts w:ascii="Arial"/>
                <w:sz w:val="21"/>
              </w:rPr>
            </w:pPr>
            <w:r/>
          </w:p>
        </w:tc>
        <w:tc>
          <w:tcPr>
            <w:tcW w:w="667" w:type="dxa"/>
            <w:vAlign w:val="top"/>
            <w:vMerge w:val="continue"/>
            <w:tcBorders>
              <w:top w:val="nil"/>
            </w:tcBorders>
          </w:tcPr>
          <w:p>
            <w:pPr>
              <w:rPr>
                <w:rFonts w:ascii="Arial"/>
                <w:sz w:val="21"/>
              </w:rPr>
            </w:pPr>
            <w:r/>
          </w:p>
        </w:tc>
        <w:tc>
          <w:tcPr>
            <w:tcW w:w="664" w:type="dxa"/>
            <w:vAlign w:val="top"/>
            <w:vMerge w:val="continue"/>
            <w:tcBorders>
              <w:top w:val="nil"/>
            </w:tcBorders>
          </w:tcPr>
          <w:p>
            <w:pPr>
              <w:rPr>
                <w:rFonts w:ascii="Arial"/>
                <w:sz w:val="21"/>
              </w:rPr>
            </w:pPr>
            <w:r/>
          </w:p>
        </w:tc>
        <w:tc>
          <w:tcPr>
            <w:tcW w:w="664" w:type="dxa"/>
            <w:vAlign w:val="top"/>
            <w:vMerge w:val="continue"/>
            <w:tcBorders>
              <w:top w:val="nil"/>
            </w:tcBorders>
          </w:tcPr>
          <w:p>
            <w:pPr>
              <w:rPr>
                <w:rFonts w:ascii="Arial"/>
                <w:sz w:val="21"/>
              </w:rPr>
            </w:pPr>
            <w:r/>
          </w:p>
        </w:tc>
        <w:tc>
          <w:tcPr>
            <w:tcW w:w="801" w:type="dxa"/>
            <w:vAlign w:val="top"/>
            <w:vMerge w:val="continue"/>
            <w:tcBorders>
              <w:top w:val="nil"/>
            </w:tcBorders>
          </w:tcPr>
          <w:p>
            <w:pPr>
              <w:rPr>
                <w:rFonts w:ascii="Arial"/>
                <w:sz w:val="21"/>
              </w:rPr>
            </w:pPr>
            <w:r/>
          </w:p>
        </w:tc>
        <w:tc>
          <w:tcPr>
            <w:tcW w:w="813" w:type="dxa"/>
            <w:vAlign w:val="top"/>
            <w:vMerge w:val="continue"/>
            <w:tcBorders>
              <w:top w:val="nil"/>
            </w:tcBorders>
          </w:tcPr>
          <w:p>
            <w:pPr>
              <w:rPr>
                <w:rFonts w:ascii="Arial"/>
                <w:sz w:val="21"/>
              </w:rPr>
            </w:pPr>
            <w:r/>
          </w:p>
        </w:tc>
        <w:tc>
          <w:tcPr>
            <w:tcW w:w="811" w:type="dxa"/>
            <w:vAlign w:val="top"/>
            <w:vMerge w:val="continue"/>
            <w:tcBorders>
              <w:top w:val="nil"/>
            </w:tcBorders>
          </w:tcPr>
          <w:p>
            <w:pPr>
              <w:rPr>
                <w:rFonts w:ascii="Arial"/>
                <w:sz w:val="21"/>
              </w:rPr>
            </w:pPr>
            <w:r/>
          </w:p>
        </w:tc>
        <w:tc>
          <w:tcPr>
            <w:tcW w:w="816" w:type="dxa"/>
            <w:vAlign w:val="top"/>
          </w:tcPr>
          <w:p>
            <w:pPr>
              <w:pStyle w:val="TableText"/>
              <w:ind w:left="232"/>
              <w:spacing w:before="165" w:line="195" w:lineRule="auto"/>
              <w:rPr/>
            </w:pPr>
            <w:r>
              <w:rPr>
                <w:spacing w:val="3"/>
              </w:rPr>
              <w:t>TSP</w:t>
            </w:r>
          </w:p>
        </w:tc>
      </w:tr>
      <w:tr>
        <w:trPr>
          <w:trHeight w:val="544" w:hRule="atLeast"/>
        </w:trPr>
        <w:tc>
          <w:tcPr>
            <w:tcW w:w="717" w:type="dxa"/>
            <w:vAlign w:val="top"/>
          </w:tcPr>
          <w:p>
            <w:pPr>
              <w:ind w:left="254" w:right="150" w:hanging="103"/>
              <w:spacing w:before="26" w:line="234" w:lineRule="auto"/>
              <w:rPr>
                <w:rFonts w:ascii="SimSun" w:hAnsi="SimSun" w:eastAsia="SimSun" w:cs="SimSun"/>
                <w:sz w:val="20"/>
                <w:szCs w:val="20"/>
              </w:rPr>
            </w:pPr>
            <w:r>
              <w:rPr>
                <w:rFonts w:ascii="SimSun" w:hAnsi="SimSun" w:eastAsia="SimSun" w:cs="SimSun"/>
                <w:sz w:val="20"/>
                <w:szCs w:val="20"/>
                <w:spacing w:val="5"/>
              </w:rPr>
              <w:t>采掘</w:t>
            </w:r>
            <w:r>
              <w:rPr>
                <w:rFonts w:ascii="SimSun" w:hAnsi="SimSun" w:eastAsia="SimSun" w:cs="SimSun"/>
                <w:sz w:val="20"/>
                <w:szCs w:val="20"/>
                <w:spacing w:val="1"/>
              </w:rPr>
              <w:t>场</w:t>
            </w:r>
          </w:p>
        </w:tc>
        <w:tc>
          <w:tcPr>
            <w:tcW w:w="1420" w:type="dxa"/>
            <w:vAlign w:val="top"/>
          </w:tcPr>
          <w:p>
            <w:pPr>
              <w:pStyle w:val="TableText"/>
              <w:ind w:left="286"/>
              <w:spacing w:before="200" w:line="195" w:lineRule="auto"/>
              <w:rPr/>
            </w:pPr>
            <w:r>
              <w:rPr>
                <w:spacing w:val="1"/>
              </w:rPr>
              <w:t>118.66265</w:t>
            </w:r>
          </w:p>
        </w:tc>
        <w:tc>
          <w:tcPr>
            <w:tcW w:w="1113" w:type="dxa"/>
            <w:vAlign w:val="top"/>
          </w:tcPr>
          <w:p>
            <w:pPr>
              <w:pStyle w:val="TableText"/>
              <w:ind w:left="110"/>
              <w:spacing w:before="200" w:line="195" w:lineRule="auto"/>
              <w:rPr/>
            </w:pPr>
            <w:r>
              <w:rPr>
                <w:spacing w:val="4"/>
              </w:rPr>
              <w:t>45.007424</w:t>
            </w:r>
          </w:p>
        </w:tc>
        <w:tc>
          <w:tcPr>
            <w:tcW w:w="792" w:type="dxa"/>
            <w:vAlign w:val="top"/>
          </w:tcPr>
          <w:p>
            <w:pPr>
              <w:pStyle w:val="TableText"/>
              <w:ind w:left="166"/>
              <w:spacing w:before="80" w:line="195" w:lineRule="auto"/>
              <w:rPr/>
            </w:pPr>
            <w:r>
              <w:rPr>
                <w:spacing w:val="2"/>
              </w:rPr>
              <w:t>966.0</w:t>
            </w:r>
          </w:p>
          <w:p>
            <w:pPr>
              <w:pStyle w:val="TableText"/>
              <w:ind w:left="347"/>
              <w:spacing w:before="53" w:line="195" w:lineRule="auto"/>
              <w:rPr/>
            </w:pPr>
            <w:r>
              <w:rPr/>
              <w:t>0</w:t>
            </w:r>
          </w:p>
        </w:tc>
        <w:tc>
          <w:tcPr>
            <w:tcW w:w="667" w:type="dxa"/>
            <w:vAlign w:val="top"/>
          </w:tcPr>
          <w:p>
            <w:pPr>
              <w:pStyle w:val="TableText"/>
              <w:ind w:left="126"/>
              <w:spacing w:before="200" w:line="195" w:lineRule="auto"/>
              <w:rPr/>
            </w:pPr>
            <w:r>
              <w:rPr>
                <w:spacing w:val="3"/>
              </w:rPr>
              <w:t>2650</w:t>
            </w:r>
          </w:p>
        </w:tc>
        <w:tc>
          <w:tcPr>
            <w:tcW w:w="664" w:type="dxa"/>
            <w:vAlign w:val="top"/>
          </w:tcPr>
          <w:p>
            <w:pPr>
              <w:pStyle w:val="TableText"/>
              <w:ind w:left="123"/>
              <w:spacing w:before="200" w:line="195" w:lineRule="auto"/>
              <w:rPr/>
            </w:pPr>
            <w:r>
              <w:rPr>
                <w:spacing w:val="4"/>
              </w:rPr>
              <w:t>2000</w:t>
            </w:r>
          </w:p>
        </w:tc>
        <w:tc>
          <w:tcPr>
            <w:tcW w:w="664" w:type="dxa"/>
            <w:vAlign w:val="top"/>
          </w:tcPr>
          <w:p>
            <w:pPr>
              <w:pStyle w:val="TableText"/>
              <w:ind w:left="195"/>
              <w:spacing w:before="200" w:line="195" w:lineRule="auto"/>
              <w:rPr/>
            </w:pPr>
            <w:r>
              <w:rPr>
                <w:spacing w:val="-3"/>
              </w:rPr>
              <w:t>123</w:t>
            </w:r>
          </w:p>
        </w:tc>
        <w:tc>
          <w:tcPr>
            <w:tcW w:w="801" w:type="dxa"/>
            <w:vAlign w:val="top"/>
          </w:tcPr>
          <w:p>
            <w:pPr>
              <w:pStyle w:val="TableText"/>
              <w:ind w:left="186"/>
              <w:spacing w:before="200" w:line="195" w:lineRule="auto"/>
              <w:rPr/>
            </w:pPr>
            <w:r>
              <w:rPr>
                <w:spacing w:val="-1"/>
              </w:rPr>
              <w:t>10.00</w:t>
            </w:r>
          </w:p>
        </w:tc>
        <w:tc>
          <w:tcPr>
            <w:tcW w:w="813" w:type="dxa"/>
            <w:vAlign w:val="top"/>
          </w:tcPr>
          <w:p>
            <w:pPr>
              <w:pStyle w:val="TableText"/>
              <w:ind w:left="203"/>
              <w:spacing w:before="200" w:line="195" w:lineRule="auto"/>
              <w:rPr/>
            </w:pPr>
            <w:r>
              <w:rPr>
                <w:spacing w:val="2"/>
              </w:rPr>
              <w:t>5280</w:t>
            </w:r>
          </w:p>
        </w:tc>
        <w:tc>
          <w:tcPr>
            <w:tcW w:w="811" w:type="dxa"/>
            <w:vAlign w:val="top"/>
          </w:tcPr>
          <w:p>
            <w:pPr>
              <w:ind w:left="204"/>
              <w:spacing w:before="28" w:line="228" w:lineRule="auto"/>
              <w:rPr>
                <w:rFonts w:ascii="SimSun" w:hAnsi="SimSun" w:eastAsia="SimSun" w:cs="SimSun"/>
                <w:sz w:val="20"/>
                <w:szCs w:val="20"/>
              </w:rPr>
            </w:pPr>
            <w:r>
              <w:rPr>
                <w:rFonts w:ascii="SimSun" w:hAnsi="SimSun" w:eastAsia="SimSun" w:cs="SimSun"/>
                <w:sz w:val="20"/>
                <w:szCs w:val="20"/>
                <w:spacing w:val="2"/>
              </w:rPr>
              <w:t>正常</w:t>
            </w:r>
          </w:p>
          <w:p>
            <w:pPr>
              <w:ind w:left="202"/>
              <w:spacing w:before="25" w:line="215" w:lineRule="auto"/>
              <w:rPr>
                <w:rFonts w:ascii="SimSun" w:hAnsi="SimSun" w:eastAsia="SimSun" w:cs="SimSun"/>
                <w:sz w:val="20"/>
                <w:szCs w:val="20"/>
              </w:rPr>
            </w:pPr>
            <w:r>
              <w:rPr>
                <w:rFonts w:ascii="SimSun" w:hAnsi="SimSun" w:eastAsia="SimSun" w:cs="SimSun"/>
                <w:sz w:val="20"/>
                <w:szCs w:val="20"/>
                <w:spacing w:val="3"/>
              </w:rPr>
              <w:t>工况</w:t>
            </w:r>
          </w:p>
        </w:tc>
        <w:tc>
          <w:tcPr>
            <w:tcW w:w="816" w:type="dxa"/>
            <w:vAlign w:val="top"/>
          </w:tcPr>
          <w:p>
            <w:pPr>
              <w:pStyle w:val="TableText"/>
              <w:ind w:left="125"/>
              <w:spacing w:before="200" w:line="195" w:lineRule="auto"/>
              <w:rPr/>
            </w:pPr>
            <w:r>
              <w:rPr>
                <w:spacing w:val="3"/>
              </w:rPr>
              <w:t>0.6307</w:t>
            </w:r>
          </w:p>
        </w:tc>
      </w:tr>
      <w:tr>
        <w:trPr>
          <w:trHeight w:val="546" w:hRule="atLeast"/>
        </w:trPr>
        <w:tc>
          <w:tcPr>
            <w:tcW w:w="717" w:type="dxa"/>
            <w:vAlign w:val="top"/>
          </w:tcPr>
          <w:p>
            <w:pPr>
              <w:ind w:left="177"/>
              <w:spacing w:before="30" w:line="228" w:lineRule="auto"/>
              <w:rPr>
                <w:rFonts w:ascii="SimSun" w:hAnsi="SimSun" w:eastAsia="SimSun" w:cs="SimSun"/>
                <w:sz w:val="20"/>
                <w:szCs w:val="20"/>
              </w:rPr>
            </w:pPr>
            <w:r>
              <w:rPr>
                <w:rFonts w:ascii="SimSun" w:hAnsi="SimSun" w:eastAsia="SimSun" w:cs="SimSun"/>
                <w:sz w:val="20"/>
                <w:szCs w:val="20"/>
                <w:spacing w:val="-8"/>
              </w:rPr>
              <w:t>内排</w:t>
            </w:r>
          </w:p>
          <w:p>
            <w:pPr>
              <w:ind w:left="152"/>
              <w:spacing w:before="24" w:line="216" w:lineRule="auto"/>
              <w:rPr>
                <w:rFonts w:ascii="SimSun" w:hAnsi="SimSun" w:eastAsia="SimSun" w:cs="SimSun"/>
                <w:sz w:val="20"/>
                <w:szCs w:val="20"/>
              </w:rPr>
            </w:pPr>
            <w:r>
              <w:rPr>
                <w:rFonts w:ascii="SimSun" w:hAnsi="SimSun" w:eastAsia="SimSun" w:cs="SimSun"/>
                <w:sz w:val="20"/>
                <w:szCs w:val="20"/>
                <w:spacing w:val="4"/>
              </w:rPr>
              <w:t>土场</w:t>
            </w:r>
          </w:p>
        </w:tc>
        <w:tc>
          <w:tcPr>
            <w:tcW w:w="1420" w:type="dxa"/>
            <w:vAlign w:val="top"/>
          </w:tcPr>
          <w:p>
            <w:pPr>
              <w:pStyle w:val="TableText"/>
              <w:ind w:left="236"/>
              <w:spacing w:before="201" w:line="195" w:lineRule="auto"/>
              <w:rPr/>
            </w:pPr>
            <w:r>
              <w:rPr>
                <w:spacing w:val="1"/>
              </w:rPr>
              <w:t>118.666626</w:t>
            </w:r>
          </w:p>
        </w:tc>
        <w:tc>
          <w:tcPr>
            <w:tcW w:w="1113" w:type="dxa"/>
            <w:vAlign w:val="top"/>
          </w:tcPr>
          <w:p>
            <w:pPr>
              <w:pStyle w:val="TableText"/>
              <w:ind w:left="110"/>
              <w:spacing w:before="201" w:line="195" w:lineRule="auto"/>
              <w:rPr/>
            </w:pPr>
            <w:r>
              <w:rPr>
                <w:spacing w:val="4"/>
              </w:rPr>
              <w:t>44.985402</w:t>
            </w:r>
          </w:p>
        </w:tc>
        <w:tc>
          <w:tcPr>
            <w:tcW w:w="792" w:type="dxa"/>
            <w:vAlign w:val="top"/>
          </w:tcPr>
          <w:p>
            <w:pPr>
              <w:pStyle w:val="TableText"/>
              <w:ind w:left="166"/>
              <w:spacing w:before="81" w:line="195" w:lineRule="auto"/>
              <w:rPr/>
            </w:pPr>
            <w:r>
              <w:rPr>
                <w:spacing w:val="2"/>
              </w:rPr>
              <w:t>969.0</w:t>
            </w:r>
          </w:p>
          <w:p>
            <w:pPr>
              <w:pStyle w:val="TableText"/>
              <w:ind w:left="347"/>
              <w:spacing w:before="53" w:line="195" w:lineRule="auto"/>
              <w:rPr/>
            </w:pPr>
            <w:r>
              <w:rPr/>
              <w:t>0</w:t>
            </w:r>
          </w:p>
        </w:tc>
        <w:tc>
          <w:tcPr>
            <w:tcW w:w="667" w:type="dxa"/>
            <w:vAlign w:val="top"/>
          </w:tcPr>
          <w:p>
            <w:pPr>
              <w:pStyle w:val="TableText"/>
              <w:ind w:left="183"/>
              <w:spacing w:before="201" w:line="195" w:lineRule="auto"/>
              <w:rPr/>
            </w:pPr>
            <w:r>
              <w:rPr>
                <w:spacing w:val="2"/>
              </w:rPr>
              <w:t>660</w:t>
            </w:r>
          </w:p>
        </w:tc>
        <w:tc>
          <w:tcPr>
            <w:tcW w:w="664" w:type="dxa"/>
            <w:vAlign w:val="top"/>
          </w:tcPr>
          <w:p>
            <w:pPr>
              <w:pStyle w:val="TableText"/>
              <w:ind w:left="144"/>
              <w:spacing w:before="201" w:line="195" w:lineRule="auto"/>
              <w:rPr/>
            </w:pPr>
            <w:r>
              <w:rPr>
                <w:spacing w:val="-1"/>
              </w:rPr>
              <w:t>1900</w:t>
            </w:r>
          </w:p>
        </w:tc>
        <w:tc>
          <w:tcPr>
            <w:tcW w:w="664" w:type="dxa"/>
            <w:vAlign w:val="top"/>
          </w:tcPr>
          <w:p>
            <w:pPr>
              <w:pStyle w:val="TableText"/>
              <w:ind w:left="200"/>
              <w:spacing w:before="201" w:line="195" w:lineRule="auto"/>
              <w:rPr/>
            </w:pPr>
            <w:r>
              <w:rPr>
                <w:spacing w:val="-6"/>
              </w:rPr>
              <w:t>115</w:t>
            </w:r>
          </w:p>
        </w:tc>
        <w:tc>
          <w:tcPr>
            <w:tcW w:w="801" w:type="dxa"/>
            <w:vAlign w:val="top"/>
          </w:tcPr>
          <w:p>
            <w:pPr>
              <w:pStyle w:val="TableText"/>
              <w:ind w:left="186"/>
              <w:spacing w:before="201" w:line="195" w:lineRule="auto"/>
              <w:rPr/>
            </w:pPr>
            <w:r>
              <w:rPr>
                <w:spacing w:val="-1"/>
              </w:rPr>
              <w:t>10.00</w:t>
            </w:r>
          </w:p>
        </w:tc>
        <w:tc>
          <w:tcPr>
            <w:tcW w:w="813" w:type="dxa"/>
            <w:vAlign w:val="top"/>
          </w:tcPr>
          <w:p>
            <w:pPr>
              <w:pStyle w:val="TableText"/>
              <w:ind w:left="203"/>
              <w:spacing w:before="201" w:line="195" w:lineRule="auto"/>
              <w:rPr/>
            </w:pPr>
            <w:r>
              <w:rPr>
                <w:spacing w:val="2"/>
              </w:rPr>
              <w:t>5280</w:t>
            </w:r>
          </w:p>
        </w:tc>
        <w:tc>
          <w:tcPr>
            <w:tcW w:w="811" w:type="dxa"/>
            <w:vAlign w:val="top"/>
          </w:tcPr>
          <w:p>
            <w:pPr>
              <w:ind w:left="204"/>
              <w:spacing w:before="31" w:line="228" w:lineRule="auto"/>
              <w:rPr>
                <w:rFonts w:ascii="SimSun" w:hAnsi="SimSun" w:eastAsia="SimSun" w:cs="SimSun"/>
                <w:sz w:val="20"/>
                <w:szCs w:val="20"/>
              </w:rPr>
            </w:pPr>
            <w:r>
              <w:rPr>
                <w:rFonts w:ascii="SimSun" w:hAnsi="SimSun" w:eastAsia="SimSun" w:cs="SimSun"/>
                <w:sz w:val="20"/>
                <w:szCs w:val="20"/>
                <w:spacing w:val="2"/>
              </w:rPr>
              <w:t>正常</w:t>
            </w:r>
          </w:p>
          <w:p>
            <w:pPr>
              <w:ind w:left="202"/>
              <w:spacing w:before="23" w:line="216" w:lineRule="auto"/>
              <w:rPr>
                <w:rFonts w:ascii="SimSun" w:hAnsi="SimSun" w:eastAsia="SimSun" w:cs="SimSun"/>
                <w:sz w:val="20"/>
                <w:szCs w:val="20"/>
              </w:rPr>
            </w:pPr>
            <w:r>
              <w:rPr>
                <w:rFonts w:ascii="SimSun" w:hAnsi="SimSun" w:eastAsia="SimSun" w:cs="SimSun"/>
                <w:sz w:val="20"/>
                <w:szCs w:val="20"/>
                <w:spacing w:val="3"/>
              </w:rPr>
              <w:t>工况</w:t>
            </w:r>
          </w:p>
        </w:tc>
        <w:tc>
          <w:tcPr>
            <w:tcW w:w="816" w:type="dxa"/>
            <w:vAlign w:val="top"/>
          </w:tcPr>
          <w:p>
            <w:pPr>
              <w:pStyle w:val="TableText"/>
              <w:ind w:left="125"/>
              <w:spacing w:before="201" w:line="195" w:lineRule="auto"/>
              <w:rPr/>
            </w:pPr>
            <w:r>
              <w:rPr>
                <w:spacing w:val="3"/>
              </w:rPr>
              <w:t>0.5757</w:t>
            </w:r>
          </w:p>
        </w:tc>
      </w:tr>
    </w:tbl>
    <w:p>
      <w:pPr>
        <w:pStyle w:val="BodyText"/>
        <w:rPr/>
      </w:pPr>
      <w:r/>
    </w:p>
    <w:p>
      <w:pPr>
        <w:sectPr>
          <w:headerReference w:type="default" r:id="rId368"/>
          <w:footerReference w:type="default" r:id="rId369"/>
          <w:pgSz w:w="11906" w:h="16838"/>
          <w:pgMar w:top="1170" w:right="1314" w:bottom="1080" w:left="1307" w:header="837" w:footer="918" w:gutter="0"/>
        </w:sectPr>
        <w:rPr/>
      </w:pPr>
    </w:p>
    <w:p>
      <w:pPr>
        <w:pStyle w:val="BodyText"/>
        <w:spacing w:line="312" w:lineRule="auto"/>
        <w:rPr/>
      </w:pPr>
      <w:r/>
    </w:p>
    <w:p>
      <w:pPr>
        <w:ind w:left="597"/>
        <w:spacing w:before="78" w:line="220"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、预测结果及分析</w:t>
      </w:r>
    </w:p>
    <w:p>
      <w:pPr>
        <w:ind w:left="596"/>
        <w:spacing w:before="155" w:line="219" w:lineRule="auto"/>
        <w:rPr>
          <w:rFonts w:ascii="SimSun" w:hAnsi="SimSun" w:eastAsia="SimSun" w:cs="SimSun"/>
          <w:sz w:val="24"/>
          <w:szCs w:val="24"/>
        </w:rPr>
      </w:pPr>
      <w:r>
        <w:rPr>
          <w:rFonts w:ascii="SimSun" w:hAnsi="SimSun" w:eastAsia="SimSun" w:cs="SimSun"/>
          <w:sz w:val="24"/>
          <w:szCs w:val="24"/>
          <w:spacing w:val="1"/>
        </w:rPr>
        <w:t>采掘场及内排土场下风向</w:t>
      </w:r>
      <w:r>
        <w:rPr>
          <w:rFonts w:ascii="Times New Roman" w:hAnsi="Times New Roman" w:eastAsia="Times New Roman" w:cs="Times New Roman"/>
          <w:sz w:val="24"/>
          <w:szCs w:val="24"/>
        </w:rPr>
        <w:t>TSP</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浓度及占标率见表</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5-2-6</w:t>
      </w:r>
      <w:r>
        <w:rPr>
          <w:rFonts w:ascii="SimSun" w:hAnsi="SimSun" w:eastAsia="SimSun" w:cs="SimSun"/>
          <w:sz w:val="24"/>
          <w:szCs w:val="24"/>
          <w:spacing w:val="1"/>
        </w:rPr>
        <w:t>。</w:t>
      </w:r>
    </w:p>
    <w:p>
      <w:pPr>
        <w:ind w:left="2451"/>
        <w:spacing w:before="186" w:line="221" w:lineRule="auto"/>
        <w:rPr>
          <w:rFonts w:ascii="SimHei" w:hAnsi="SimHei" w:eastAsia="SimHei" w:cs="SimHei"/>
          <w:sz w:val="24"/>
          <w:szCs w:val="24"/>
        </w:rPr>
      </w:pPr>
      <w:r>
        <w:rPr>
          <w:rFonts w:ascii="SimHei" w:hAnsi="SimHei" w:eastAsia="SimHei" w:cs="SimHei"/>
          <w:sz w:val="24"/>
          <w:szCs w:val="24"/>
          <w:spacing w:val="-1"/>
        </w:rPr>
        <w:t>大气污染源下风向</w:t>
      </w:r>
      <w:r>
        <w:rPr>
          <w:rFonts w:ascii="SimHei" w:hAnsi="SimHei" w:eastAsia="SimHei" w:cs="SimHei"/>
          <w:sz w:val="24"/>
          <w:szCs w:val="24"/>
          <w:spacing w:val="-50"/>
        </w:rPr>
        <w:t xml:space="preserve"> </w:t>
      </w:r>
      <w:r>
        <w:rPr>
          <w:rFonts w:ascii="Times New Roman" w:hAnsi="Times New Roman" w:eastAsia="Times New Roman" w:cs="Times New Roman"/>
          <w:sz w:val="24"/>
          <w:szCs w:val="24"/>
          <w:spacing w:val="-1"/>
        </w:rPr>
        <w:t>TSP </w:t>
      </w:r>
      <w:r>
        <w:rPr>
          <w:rFonts w:ascii="SimHei" w:hAnsi="SimHei" w:eastAsia="SimHei" w:cs="SimHei"/>
          <w:sz w:val="24"/>
          <w:szCs w:val="24"/>
          <w:spacing w:val="-1"/>
        </w:rPr>
        <w:t>浓度及占标率一览表</w:t>
      </w:r>
    </w:p>
    <w:p>
      <w:pPr>
        <w:ind w:left="115"/>
        <w:spacing w:before="219"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5-2-6</w:t>
      </w:r>
    </w:p>
    <w:p>
      <w:pPr>
        <w:spacing w:line="29" w:lineRule="exact"/>
        <w:rPr/>
      </w:pPr>
      <w:r/>
    </w:p>
    <w:tbl>
      <w:tblPr>
        <w:tblStyle w:val="TableNormal"/>
        <w:tblW w:w="92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92"/>
        <w:gridCol w:w="1679"/>
        <w:gridCol w:w="1852"/>
        <w:gridCol w:w="1969"/>
        <w:gridCol w:w="1986"/>
      </w:tblGrid>
      <w:tr>
        <w:trPr>
          <w:trHeight w:val="376" w:hRule="atLeast"/>
        </w:trPr>
        <w:tc>
          <w:tcPr>
            <w:tcW w:w="1792" w:type="dxa"/>
            <w:vAlign w:val="top"/>
            <w:vMerge w:val="restart"/>
            <w:tcBorders>
              <w:bottom w:val="nil"/>
            </w:tcBorders>
          </w:tcPr>
          <w:p>
            <w:pPr>
              <w:spacing w:line="248" w:lineRule="auto"/>
              <w:rPr>
                <w:rFonts w:ascii="Arial"/>
                <w:sz w:val="21"/>
              </w:rPr>
            </w:pPr>
            <w:r/>
          </w:p>
          <w:p>
            <w:pPr>
              <w:ind w:left="381"/>
              <w:spacing w:before="65" w:line="228" w:lineRule="auto"/>
              <w:rPr>
                <w:rFonts w:ascii="SimSun" w:hAnsi="SimSun" w:eastAsia="SimSun" w:cs="SimSun"/>
                <w:sz w:val="20"/>
                <w:szCs w:val="20"/>
              </w:rPr>
            </w:pPr>
            <w:r>
              <w:rPr>
                <w:rFonts w:ascii="SimSun" w:hAnsi="SimSun" w:eastAsia="SimSun" w:cs="SimSun"/>
                <w:sz w:val="20"/>
                <w:szCs w:val="20"/>
                <w:spacing w:val="6"/>
              </w:rPr>
              <w:t>下风向距离</w:t>
            </w:r>
          </w:p>
        </w:tc>
        <w:tc>
          <w:tcPr>
            <w:tcW w:w="3531" w:type="dxa"/>
            <w:vAlign w:val="top"/>
            <w:gridSpan w:val="2"/>
          </w:tcPr>
          <w:p>
            <w:pPr>
              <w:ind w:left="1455"/>
              <w:spacing w:before="79" w:line="227" w:lineRule="auto"/>
              <w:rPr>
                <w:rFonts w:ascii="SimSun" w:hAnsi="SimSun" w:eastAsia="SimSun" w:cs="SimSun"/>
                <w:sz w:val="20"/>
                <w:szCs w:val="20"/>
              </w:rPr>
            </w:pPr>
            <w:r>
              <w:rPr>
                <w:rFonts w:ascii="SimSun" w:hAnsi="SimSun" w:eastAsia="SimSun" w:cs="SimSun"/>
                <w:sz w:val="20"/>
                <w:szCs w:val="20"/>
                <w:spacing w:val="7"/>
              </w:rPr>
              <w:t>采掘场</w:t>
            </w:r>
          </w:p>
        </w:tc>
        <w:tc>
          <w:tcPr>
            <w:tcW w:w="3955" w:type="dxa"/>
            <w:vAlign w:val="top"/>
            <w:gridSpan w:val="2"/>
          </w:tcPr>
          <w:p>
            <w:pPr>
              <w:ind w:left="1588"/>
              <w:spacing w:before="79" w:line="228" w:lineRule="auto"/>
              <w:rPr>
                <w:rFonts w:ascii="SimSun" w:hAnsi="SimSun" w:eastAsia="SimSun" w:cs="SimSun"/>
                <w:sz w:val="20"/>
                <w:szCs w:val="20"/>
              </w:rPr>
            </w:pPr>
            <w:r>
              <w:rPr>
                <w:rFonts w:ascii="SimSun" w:hAnsi="SimSun" w:eastAsia="SimSun" w:cs="SimSun"/>
                <w:sz w:val="20"/>
                <w:szCs w:val="20"/>
                <w:spacing w:val="1"/>
              </w:rPr>
              <w:t>内排土场</w:t>
            </w:r>
          </w:p>
        </w:tc>
      </w:tr>
      <w:tr>
        <w:trPr>
          <w:trHeight w:val="465" w:hRule="atLeast"/>
        </w:trPr>
        <w:tc>
          <w:tcPr>
            <w:tcW w:w="1792" w:type="dxa"/>
            <w:vAlign w:val="top"/>
            <w:vMerge w:val="continue"/>
            <w:tcBorders>
              <w:top w:val="nil"/>
            </w:tcBorders>
          </w:tcPr>
          <w:p>
            <w:pPr>
              <w:rPr>
                <w:rFonts w:ascii="Arial"/>
                <w:sz w:val="21"/>
              </w:rPr>
            </w:pPr>
            <w:r/>
          </w:p>
        </w:tc>
        <w:tc>
          <w:tcPr>
            <w:tcW w:w="1679" w:type="dxa"/>
            <w:vAlign w:val="top"/>
          </w:tcPr>
          <w:p>
            <w:pPr>
              <w:pStyle w:val="TableText"/>
              <w:ind w:left="110"/>
              <w:spacing w:before="123" w:line="221" w:lineRule="auto"/>
              <w:rPr/>
            </w:pPr>
            <w:r>
              <w:rPr/>
              <w:t>TSP</w:t>
            </w:r>
            <w:r>
              <w:rPr>
                <w:spacing w:val="5"/>
              </w:rPr>
              <w:t xml:space="preserve"> </w:t>
            </w:r>
            <w:r>
              <w:rPr>
                <w:rFonts w:ascii="SimSun" w:hAnsi="SimSun" w:eastAsia="SimSun" w:cs="SimSun"/>
                <w:spacing w:val="5"/>
              </w:rPr>
              <w:t>浓度</w:t>
            </w:r>
            <w:r>
              <w:rPr>
                <w:spacing w:val="5"/>
              </w:rPr>
              <w:t>(μg/m³)</w:t>
            </w:r>
          </w:p>
        </w:tc>
        <w:tc>
          <w:tcPr>
            <w:tcW w:w="1852" w:type="dxa"/>
            <w:vAlign w:val="top"/>
          </w:tcPr>
          <w:p>
            <w:pPr>
              <w:pStyle w:val="TableText"/>
              <w:ind w:left="250"/>
              <w:spacing w:before="123" w:line="221" w:lineRule="auto"/>
              <w:rPr/>
            </w:pPr>
            <w:r>
              <w:rPr/>
              <w:t>TSP</w:t>
            </w:r>
            <w:r>
              <w:rPr>
                <w:spacing w:val="49"/>
              </w:rPr>
              <w:t xml:space="preserve"> </w:t>
            </w:r>
            <w:r>
              <w:rPr>
                <w:rFonts w:ascii="SimSun" w:hAnsi="SimSun" w:eastAsia="SimSun" w:cs="SimSun"/>
                <w:spacing w:val="1"/>
              </w:rPr>
              <w:t>占标率</w:t>
            </w:r>
            <w:r>
              <w:rPr>
                <w:spacing w:val="1"/>
              </w:rPr>
              <w:t>(%)</w:t>
            </w:r>
          </w:p>
        </w:tc>
        <w:tc>
          <w:tcPr>
            <w:tcW w:w="1969" w:type="dxa"/>
            <w:vAlign w:val="top"/>
          </w:tcPr>
          <w:p>
            <w:pPr>
              <w:pStyle w:val="TableText"/>
              <w:ind w:left="251"/>
              <w:spacing w:before="123" w:line="221" w:lineRule="auto"/>
              <w:rPr/>
            </w:pPr>
            <w:r>
              <w:rPr/>
              <w:t>TSP</w:t>
            </w:r>
            <w:r>
              <w:rPr>
                <w:spacing w:val="15"/>
              </w:rPr>
              <w:t xml:space="preserve"> </w:t>
            </w:r>
            <w:r>
              <w:rPr>
                <w:rFonts w:ascii="SimSun" w:hAnsi="SimSun" w:eastAsia="SimSun" w:cs="SimSun"/>
                <w:spacing w:val="5"/>
              </w:rPr>
              <w:t>浓度</w:t>
            </w:r>
            <w:r>
              <w:rPr>
                <w:spacing w:val="5"/>
              </w:rPr>
              <w:t>(μg/m³)</w:t>
            </w:r>
          </w:p>
        </w:tc>
        <w:tc>
          <w:tcPr>
            <w:tcW w:w="1986" w:type="dxa"/>
            <w:vAlign w:val="top"/>
          </w:tcPr>
          <w:p>
            <w:pPr>
              <w:pStyle w:val="TableText"/>
              <w:ind w:left="317"/>
              <w:spacing w:before="123" w:line="221" w:lineRule="auto"/>
              <w:rPr/>
            </w:pPr>
            <w:r>
              <w:rPr/>
              <w:t>TSP</w:t>
            </w:r>
            <w:r>
              <w:rPr>
                <w:spacing w:val="50"/>
                <w:w w:val="101"/>
              </w:rPr>
              <w:t xml:space="preserve"> </w:t>
            </w:r>
            <w:r>
              <w:rPr>
                <w:rFonts w:ascii="SimSun" w:hAnsi="SimSun" w:eastAsia="SimSun" w:cs="SimSun"/>
                <w:spacing w:val="1"/>
              </w:rPr>
              <w:t>占标率</w:t>
            </w:r>
            <w:r>
              <w:rPr>
                <w:spacing w:val="1"/>
              </w:rPr>
              <w:t>(%)</w:t>
            </w:r>
          </w:p>
        </w:tc>
      </w:tr>
      <w:tr>
        <w:trPr>
          <w:trHeight w:val="242" w:hRule="atLeast"/>
        </w:trPr>
        <w:tc>
          <w:tcPr>
            <w:tcW w:w="1792" w:type="dxa"/>
            <w:vAlign w:val="top"/>
          </w:tcPr>
          <w:p>
            <w:pPr>
              <w:pStyle w:val="TableText"/>
              <w:ind w:left="717"/>
              <w:spacing w:before="48" w:line="191" w:lineRule="auto"/>
              <w:rPr/>
            </w:pPr>
            <w:r>
              <w:rPr>
                <w:spacing w:val="2"/>
              </w:rPr>
              <w:t>50.0</w:t>
            </w:r>
          </w:p>
        </w:tc>
        <w:tc>
          <w:tcPr>
            <w:tcW w:w="1679" w:type="dxa"/>
            <w:vAlign w:val="top"/>
          </w:tcPr>
          <w:p>
            <w:pPr>
              <w:pStyle w:val="TableText"/>
              <w:ind w:left="560"/>
              <w:spacing w:before="48" w:line="191" w:lineRule="auto"/>
              <w:rPr/>
            </w:pPr>
            <w:r>
              <w:rPr>
                <w:spacing w:val="2"/>
              </w:rPr>
              <w:t>8.6472</w:t>
            </w:r>
          </w:p>
        </w:tc>
        <w:tc>
          <w:tcPr>
            <w:tcW w:w="1852" w:type="dxa"/>
            <w:vAlign w:val="top"/>
          </w:tcPr>
          <w:p>
            <w:pPr>
              <w:pStyle w:val="TableText"/>
              <w:ind w:left="640"/>
              <w:spacing w:before="48" w:line="191" w:lineRule="auto"/>
              <w:rPr/>
            </w:pPr>
            <w:r>
              <w:rPr>
                <w:spacing w:val="3"/>
              </w:rPr>
              <w:t>0.9608</w:t>
            </w:r>
          </w:p>
        </w:tc>
        <w:tc>
          <w:tcPr>
            <w:tcW w:w="1969" w:type="dxa"/>
            <w:vAlign w:val="top"/>
          </w:tcPr>
          <w:p>
            <w:pPr>
              <w:pStyle w:val="TableText"/>
              <w:ind w:left="645"/>
              <w:spacing w:before="48" w:line="191" w:lineRule="auto"/>
              <w:rPr/>
            </w:pPr>
            <w:r>
              <w:rPr>
                <w:spacing w:val="4"/>
              </w:rPr>
              <w:t>20.1560</w:t>
            </w:r>
          </w:p>
        </w:tc>
        <w:tc>
          <w:tcPr>
            <w:tcW w:w="1986" w:type="dxa"/>
            <w:vAlign w:val="top"/>
          </w:tcPr>
          <w:p>
            <w:pPr>
              <w:pStyle w:val="TableText"/>
              <w:ind w:left="706"/>
              <w:spacing w:before="48" w:line="191" w:lineRule="auto"/>
              <w:rPr/>
            </w:pPr>
            <w:r>
              <w:rPr>
                <w:spacing w:val="3"/>
              </w:rPr>
              <w:t>2.2396</w:t>
            </w:r>
          </w:p>
        </w:tc>
      </w:tr>
      <w:tr>
        <w:trPr>
          <w:trHeight w:val="242" w:hRule="atLeast"/>
        </w:trPr>
        <w:tc>
          <w:tcPr>
            <w:tcW w:w="1792" w:type="dxa"/>
            <w:vAlign w:val="top"/>
          </w:tcPr>
          <w:p>
            <w:pPr>
              <w:pStyle w:val="TableText"/>
              <w:ind w:left="679"/>
              <w:spacing w:before="47" w:line="193" w:lineRule="auto"/>
              <w:rPr/>
            </w:pPr>
            <w:r>
              <w:rPr>
                <w:spacing w:val="-1"/>
              </w:rPr>
              <w:t>100.0</w:t>
            </w:r>
          </w:p>
        </w:tc>
        <w:tc>
          <w:tcPr>
            <w:tcW w:w="1679" w:type="dxa"/>
            <w:vAlign w:val="top"/>
          </w:tcPr>
          <w:p>
            <w:pPr>
              <w:pStyle w:val="TableText"/>
              <w:ind w:left="560"/>
              <w:spacing w:before="47" w:line="193" w:lineRule="auto"/>
              <w:rPr/>
            </w:pPr>
            <w:r>
              <w:rPr>
                <w:spacing w:val="2"/>
              </w:rPr>
              <w:t>8.9090</w:t>
            </w:r>
          </w:p>
        </w:tc>
        <w:tc>
          <w:tcPr>
            <w:tcW w:w="1852" w:type="dxa"/>
            <w:vAlign w:val="top"/>
          </w:tcPr>
          <w:p>
            <w:pPr>
              <w:pStyle w:val="TableText"/>
              <w:ind w:left="640"/>
              <w:spacing w:before="47" w:line="193" w:lineRule="auto"/>
              <w:rPr/>
            </w:pPr>
            <w:r>
              <w:rPr>
                <w:spacing w:val="3"/>
              </w:rPr>
              <w:t>0.9899</w:t>
            </w:r>
          </w:p>
        </w:tc>
        <w:tc>
          <w:tcPr>
            <w:tcW w:w="1969" w:type="dxa"/>
            <w:vAlign w:val="top"/>
          </w:tcPr>
          <w:p>
            <w:pPr>
              <w:pStyle w:val="TableText"/>
              <w:ind w:left="645"/>
              <w:spacing w:before="47" w:line="193" w:lineRule="auto"/>
              <w:rPr/>
            </w:pPr>
            <w:r>
              <w:rPr>
                <w:spacing w:val="4"/>
              </w:rPr>
              <w:t>21.1930</w:t>
            </w:r>
          </w:p>
        </w:tc>
        <w:tc>
          <w:tcPr>
            <w:tcW w:w="1986" w:type="dxa"/>
            <w:vAlign w:val="top"/>
          </w:tcPr>
          <w:p>
            <w:pPr>
              <w:pStyle w:val="TableText"/>
              <w:ind w:left="706"/>
              <w:spacing w:before="47" w:line="193" w:lineRule="auto"/>
              <w:rPr/>
            </w:pPr>
            <w:r>
              <w:rPr>
                <w:spacing w:val="3"/>
              </w:rPr>
              <w:t>2.3548</w:t>
            </w:r>
          </w:p>
        </w:tc>
      </w:tr>
      <w:tr>
        <w:trPr>
          <w:trHeight w:val="239" w:hRule="atLeast"/>
        </w:trPr>
        <w:tc>
          <w:tcPr>
            <w:tcW w:w="1792" w:type="dxa"/>
            <w:vAlign w:val="top"/>
          </w:tcPr>
          <w:p>
            <w:pPr>
              <w:pStyle w:val="TableText"/>
              <w:ind w:left="659"/>
              <w:spacing w:before="47" w:line="189" w:lineRule="auto"/>
              <w:rPr/>
            </w:pPr>
            <w:r>
              <w:rPr>
                <w:spacing w:val="3"/>
              </w:rPr>
              <w:t>200.0</w:t>
            </w:r>
          </w:p>
        </w:tc>
        <w:tc>
          <w:tcPr>
            <w:tcW w:w="1679" w:type="dxa"/>
            <w:vAlign w:val="top"/>
          </w:tcPr>
          <w:p>
            <w:pPr>
              <w:pStyle w:val="TableText"/>
              <w:ind w:left="556"/>
              <w:spacing w:before="47" w:line="189" w:lineRule="auto"/>
              <w:rPr/>
            </w:pPr>
            <w:r>
              <w:rPr>
                <w:spacing w:val="3"/>
              </w:rPr>
              <w:t>9.4315</w:t>
            </w:r>
          </w:p>
        </w:tc>
        <w:tc>
          <w:tcPr>
            <w:tcW w:w="1852" w:type="dxa"/>
            <w:vAlign w:val="top"/>
          </w:tcPr>
          <w:p>
            <w:pPr>
              <w:pStyle w:val="TableText"/>
              <w:ind w:left="657"/>
              <w:spacing w:before="47" w:line="189" w:lineRule="auto"/>
              <w:rPr/>
            </w:pPr>
            <w:r>
              <w:rPr/>
              <w:t>1.0479</w:t>
            </w:r>
          </w:p>
        </w:tc>
        <w:tc>
          <w:tcPr>
            <w:tcW w:w="1969" w:type="dxa"/>
            <w:vAlign w:val="top"/>
          </w:tcPr>
          <w:p>
            <w:pPr>
              <w:pStyle w:val="TableText"/>
              <w:ind w:left="645"/>
              <w:spacing w:before="47" w:line="189" w:lineRule="auto"/>
              <w:rPr/>
            </w:pPr>
            <w:r>
              <w:rPr>
                <w:spacing w:val="4"/>
              </w:rPr>
              <w:t>23.2650</w:t>
            </w:r>
          </w:p>
        </w:tc>
        <w:tc>
          <w:tcPr>
            <w:tcW w:w="1986" w:type="dxa"/>
            <w:vAlign w:val="top"/>
          </w:tcPr>
          <w:p>
            <w:pPr>
              <w:pStyle w:val="TableText"/>
              <w:ind w:left="706"/>
              <w:spacing w:before="47" w:line="189" w:lineRule="auto"/>
              <w:rPr/>
            </w:pPr>
            <w:r>
              <w:rPr>
                <w:spacing w:val="3"/>
              </w:rPr>
              <w:t>2.5850</w:t>
            </w:r>
          </w:p>
        </w:tc>
      </w:tr>
      <w:tr>
        <w:trPr>
          <w:trHeight w:val="242" w:hRule="atLeast"/>
        </w:trPr>
        <w:tc>
          <w:tcPr>
            <w:tcW w:w="1792" w:type="dxa"/>
            <w:vAlign w:val="top"/>
          </w:tcPr>
          <w:p>
            <w:pPr>
              <w:pStyle w:val="TableText"/>
              <w:ind w:left="663"/>
              <w:spacing w:before="50" w:line="189" w:lineRule="auto"/>
              <w:rPr/>
            </w:pPr>
            <w:r>
              <w:rPr>
                <w:spacing w:val="3"/>
              </w:rPr>
              <w:t>300.0</w:t>
            </w:r>
          </w:p>
        </w:tc>
        <w:tc>
          <w:tcPr>
            <w:tcW w:w="1679" w:type="dxa"/>
            <w:vAlign w:val="top"/>
          </w:tcPr>
          <w:p>
            <w:pPr>
              <w:pStyle w:val="TableText"/>
              <w:ind w:left="556"/>
              <w:spacing w:before="50" w:line="189" w:lineRule="auto"/>
              <w:rPr/>
            </w:pPr>
            <w:r>
              <w:rPr>
                <w:spacing w:val="3"/>
              </w:rPr>
              <w:t>9.9528</w:t>
            </w:r>
          </w:p>
        </w:tc>
        <w:tc>
          <w:tcPr>
            <w:tcW w:w="1852" w:type="dxa"/>
            <w:vAlign w:val="top"/>
          </w:tcPr>
          <w:p>
            <w:pPr>
              <w:pStyle w:val="TableText"/>
              <w:ind w:left="657"/>
              <w:spacing w:before="50" w:line="189" w:lineRule="auto"/>
              <w:rPr/>
            </w:pPr>
            <w:r>
              <w:rPr/>
              <w:t>1.1059</w:t>
            </w:r>
          </w:p>
        </w:tc>
        <w:tc>
          <w:tcPr>
            <w:tcW w:w="1969" w:type="dxa"/>
            <w:vAlign w:val="top"/>
          </w:tcPr>
          <w:p>
            <w:pPr>
              <w:pStyle w:val="TableText"/>
              <w:ind w:left="645"/>
              <w:spacing w:before="50" w:line="189" w:lineRule="auto"/>
              <w:rPr/>
            </w:pPr>
            <w:r>
              <w:rPr>
                <w:spacing w:val="4"/>
              </w:rPr>
              <w:t>25.3340</w:t>
            </w:r>
          </w:p>
        </w:tc>
        <w:tc>
          <w:tcPr>
            <w:tcW w:w="1986" w:type="dxa"/>
            <w:vAlign w:val="top"/>
          </w:tcPr>
          <w:p>
            <w:pPr>
              <w:pStyle w:val="TableText"/>
              <w:ind w:left="706"/>
              <w:spacing w:before="50" w:line="189" w:lineRule="auto"/>
              <w:rPr/>
            </w:pPr>
            <w:r>
              <w:rPr>
                <w:spacing w:val="3"/>
              </w:rPr>
              <w:t>2.8149</w:t>
            </w:r>
          </w:p>
        </w:tc>
      </w:tr>
      <w:tr>
        <w:trPr>
          <w:trHeight w:val="239" w:hRule="atLeast"/>
        </w:trPr>
        <w:tc>
          <w:tcPr>
            <w:tcW w:w="1792" w:type="dxa"/>
            <w:vAlign w:val="top"/>
          </w:tcPr>
          <w:p>
            <w:pPr>
              <w:pStyle w:val="TableText"/>
              <w:ind w:left="658"/>
              <w:spacing w:before="48" w:line="188" w:lineRule="auto"/>
              <w:rPr/>
            </w:pPr>
            <w:r>
              <w:rPr>
                <w:spacing w:val="4"/>
              </w:rPr>
              <w:t>400.0</w:t>
            </w:r>
          </w:p>
        </w:tc>
        <w:tc>
          <w:tcPr>
            <w:tcW w:w="1679" w:type="dxa"/>
            <w:vAlign w:val="top"/>
          </w:tcPr>
          <w:p>
            <w:pPr>
              <w:pStyle w:val="TableText"/>
              <w:ind w:left="519"/>
              <w:spacing w:before="48" w:line="188" w:lineRule="auto"/>
              <w:rPr/>
            </w:pPr>
            <w:r>
              <w:rPr>
                <w:spacing w:val="1"/>
              </w:rPr>
              <w:t>10.4730</w:t>
            </w:r>
          </w:p>
        </w:tc>
        <w:tc>
          <w:tcPr>
            <w:tcW w:w="1852" w:type="dxa"/>
            <w:vAlign w:val="top"/>
          </w:tcPr>
          <w:p>
            <w:pPr>
              <w:pStyle w:val="TableText"/>
              <w:ind w:left="657"/>
              <w:spacing w:before="48" w:line="188" w:lineRule="auto"/>
              <w:rPr/>
            </w:pPr>
            <w:r>
              <w:rPr/>
              <w:t>1.1637</w:t>
            </w:r>
          </w:p>
        </w:tc>
        <w:tc>
          <w:tcPr>
            <w:tcW w:w="1969" w:type="dxa"/>
            <w:vAlign w:val="top"/>
          </w:tcPr>
          <w:p>
            <w:pPr>
              <w:pStyle w:val="TableText"/>
              <w:ind w:left="645"/>
              <w:spacing w:before="48" w:line="188" w:lineRule="auto"/>
              <w:rPr/>
            </w:pPr>
            <w:r>
              <w:rPr>
                <w:spacing w:val="4"/>
              </w:rPr>
              <w:t>27.3960</w:t>
            </w:r>
          </w:p>
        </w:tc>
        <w:tc>
          <w:tcPr>
            <w:tcW w:w="1986" w:type="dxa"/>
            <w:vAlign w:val="top"/>
          </w:tcPr>
          <w:p>
            <w:pPr>
              <w:pStyle w:val="TableText"/>
              <w:ind w:left="710"/>
              <w:spacing w:before="48" w:line="188" w:lineRule="auto"/>
              <w:rPr/>
            </w:pPr>
            <w:r>
              <w:rPr>
                <w:spacing w:val="3"/>
              </w:rPr>
              <w:t>3.0440</w:t>
            </w:r>
          </w:p>
        </w:tc>
      </w:tr>
      <w:tr>
        <w:trPr>
          <w:trHeight w:val="242" w:hRule="atLeast"/>
        </w:trPr>
        <w:tc>
          <w:tcPr>
            <w:tcW w:w="1792" w:type="dxa"/>
            <w:vAlign w:val="top"/>
          </w:tcPr>
          <w:p>
            <w:pPr>
              <w:pStyle w:val="TableText"/>
              <w:ind w:left="665"/>
              <w:spacing w:before="51" w:line="188" w:lineRule="auto"/>
              <w:rPr/>
            </w:pPr>
            <w:r>
              <w:rPr>
                <w:spacing w:val="2"/>
              </w:rPr>
              <w:t>500.0</w:t>
            </w:r>
          </w:p>
        </w:tc>
        <w:tc>
          <w:tcPr>
            <w:tcW w:w="1679" w:type="dxa"/>
            <w:vAlign w:val="top"/>
          </w:tcPr>
          <w:p>
            <w:pPr>
              <w:pStyle w:val="TableText"/>
              <w:ind w:left="519"/>
              <w:spacing w:before="51" w:line="188" w:lineRule="auto"/>
              <w:rPr/>
            </w:pPr>
            <w:r>
              <w:rPr>
                <w:spacing w:val="1"/>
              </w:rPr>
              <w:t>10.9930</w:t>
            </w:r>
          </w:p>
        </w:tc>
        <w:tc>
          <w:tcPr>
            <w:tcW w:w="1852" w:type="dxa"/>
            <w:vAlign w:val="top"/>
          </w:tcPr>
          <w:p>
            <w:pPr>
              <w:pStyle w:val="TableText"/>
              <w:ind w:left="657"/>
              <w:spacing w:before="51" w:line="188" w:lineRule="auto"/>
              <w:rPr/>
            </w:pPr>
            <w:r>
              <w:rPr/>
              <w:t>1.2214</w:t>
            </w:r>
          </w:p>
        </w:tc>
        <w:tc>
          <w:tcPr>
            <w:tcW w:w="1969" w:type="dxa"/>
            <w:vAlign w:val="top"/>
          </w:tcPr>
          <w:p>
            <w:pPr>
              <w:pStyle w:val="TableText"/>
              <w:ind w:left="645"/>
              <w:spacing w:before="51" w:line="188" w:lineRule="auto"/>
              <w:rPr/>
            </w:pPr>
            <w:r>
              <w:rPr>
                <w:spacing w:val="4"/>
              </w:rPr>
              <w:t>29.4530</w:t>
            </w:r>
          </w:p>
        </w:tc>
        <w:tc>
          <w:tcPr>
            <w:tcW w:w="1986" w:type="dxa"/>
            <w:vAlign w:val="top"/>
          </w:tcPr>
          <w:p>
            <w:pPr>
              <w:pStyle w:val="TableText"/>
              <w:ind w:left="710"/>
              <w:spacing w:before="51" w:line="188" w:lineRule="auto"/>
              <w:rPr/>
            </w:pPr>
            <w:r>
              <w:rPr>
                <w:spacing w:val="3"/>
              </w:rPr>
              <w:t>3.2726</w:t>
            </w:r>
          </w:p>
        </w:tc>
      </w:tr>
      <w:tr>
        <w:trPr>
          <w:trHeight w:val="242" w:hRule="atLeast"/>
        </w:trPr>
        <w:tc>
          <w:tcPr>
            <w:tcW w:w="1792" w:type="dxa"/>
            <w:vAlign w:val="top"/>
          </w:tcPr>
          <w:p>
            <w:pPr>
              <w:pStyle w:val="TableText"/>
              <w:ind w:left="663"/>
              <w:spacing w:before="51" w:line="188" w:lineRule="auto"/>
              <w:rPr/>
            </w:pPr>
            <w:r>
              <w:rPr>
                <w:spacing w:val="3"/>
              </w:rPr>
              <w:t>600.0</w:t>
            </w:r>
          </w:p>
        </w:tc>
        <w:tc>
          <w:tcPr>
            <w:tcW w:w="1679" w:type="dxa"/>
            <w:vAlign w:val="top"/>
          </w:tcPr>
          <w:p>
            <w:pPr>
              <w:pStyle w:val="TableText"/>
              <w:ind w:left="519"/>
              <w:spacing w:before="51" w:line="188" w:lineRule="auto"/>
              <w:rPr/>
            </w:pPr>
            <w:r>
              <w:rPr/>
              <w:t>11.5130</w:t>
            </w:r>
          </w:p>
        </w:tc>
        <w:tc>
          <w:tcPr>
            <w:tcW w:w="1852" w:type="dxa"/>
            <w:vAlign w:val="top"/>
          </w:tcPr>
          <w:p>
            <w:pPr>
              <w:pStyle w:val="TableText"/>
              <w:ind w:left="657"/>
              <w:spacing w:before="51" w:line="188" w:lineRule="auto"/>
              <w:rPr/>
            </w:pPr>
            <w:r>
              <w:rPr/>
              <w:t>1.2792</w:t>
            </w:r>
          </w:p>
        </w:tc>
        <w:tc>
          <w:tcPr>
            <w:tcW w:w="1969" w:type="dxa"/>
            <w:vAlign w:val="top"/>
          </w:tcPr>
          <w:p>
            <w:pPr>
              <w:pStyle w:val="TableText"/>
              <w:ind w:left="649"/>
              <w:spacing w:before="51" w:line="188" w:lineRule="auto"/>
              <w:rPr/>
            </w:pPr>
            <w:r>
              <w:rPr>
                <w:spacing w:val="3"/>
              </w:rPr>
              <w:t>31.5020</w:t>
            </w:r>
          </w:p>
        </w:tc>
        <w:tc>
          <w:tcPr>
            <w:tcW w:w="1986" w:type="dxa"/>
            <w:vAlign w:val="top"/>
          </w:tcPr>
          <w:p>
            <w:pPr>
              <w:pStyle w:val="TableText"/>
              <w:ind w:left="710"/>
              <w:spacing w:before="51" w:line="188" w:lineRule="auto"/>
              <w:rPr/>
            </w:pPr>
            <w:r>
              <w:rPr>
                <w:spacing w:val="3"/>
              </w:rPr>
              <w:t>3.5002</w:t>
            </w:r>
          </w:p>
        </w:tc>
      </w:tr>
      <w:tr>
        <w:trPr>
          <w:trHeight w:val="242" w:hRule="atLeast"/>
        </w:trPr>
        <w:tc>
          <w:tcPr>
            <w:tcW w:w="1792" w:type="dxa"/>
            <w:vAlign w:val="top"/>
          </w:tcPr>
          <w:p>
            <w:pPr>
              <w:pStyle w:val="TableText"/>
              <w:ind w:left="662"/>
              <w:spacing w:before="51" w:line="188" w:lineRule="auto"/>
              <w:rPr/>
            </w:pPr>
            <w:r>
              <w:rPr>
                <w:spacing w:val="3"/>
              </w:rPr>
              <w:t>700.0</w:t>
            </w:r>
          </w:p>
        </w:tc>
        <w:tc>
          <w:tcPr>
            <w:tcW w:w="1679" w:type="dxa"/>
            <w:vAlign w:val="top"/>
          </w:tcPr>
          <w:p>
            <w:pPr>
              <w:pStyle w:val="TableText"/>
              <w:ind w:left="519"/>
              <w:spacing w:before="51" w:line="188" w:lineRule="auto"/>
              <w:rPr/>
            </w:pPr>
            <w:r>
              <w:rPr>
                <w:spacing w:val="1"/>
              </w:rPr>
              <w:t>12.0330</w:t>
            </w:r>
          </w:p>
        </w:tc>
        <w:tc>
          <w:tcPr>
            <w:tcW w:w="1852" w:type="dxa"/>
            <w:vAlign w:val="top"/>
          </w:tcPr>
          <w:p>
            <w:pPr>
              <w:pStyle w:val="TableText"/>
              <w:ind w:left="657"/>
              <w:spacing w:before="51" w:line="188" w:lineRule="auto"/>
              <w:rPr/>
            </w:pPr>
            <w:r>
              <w:rPr/>
              <w:t>1.3370</w:t>
            </w:r>
          </w:p>
        </w:tc>
        <w:tc>
          <w:tcPr>
            <w:tcW w:w="1969" w:type="dxa"/>
            <w:vAlign w:val="top"/>
          </w:tcPr>
          <w:p>
            <w:pPr>
              <w:pStyle w:val="TableText"/>
              <w:ind w:left="649"/>
              <w:spacing w:before="51" w:line="188" w:lineRule="auto"/>
              <w:rPr/>
            </w:pPr>
            <w:r>
              <w:rPr>
                <w:spacing w:val="3"/>
              </w:rPr>
              <w:t>33.5400</w:t>
            </w:r>
          </w:p>
        </w:tc>
        <w:tc>
          <w:tcPr>
            <w:tcW w:w="1986" w:type="dxa"/>
            <w:vAlign w:val="top"/>
          </w:tcPr>
          <w:p>
            <w:pPr>
              <w:pStyle w:val="TableText"/>
              <w:ind w:left="710"/>
              <w:spacing w:before="51" w:line="188" w:lineRule="auto"/>
              <w:rPr/>
            </w:pPr>
            <w:r>
              <w:rPr>
                <w:spacing w:val="3"/>
              </w:rPr>
              <w:t>3.7267</w:t>
            </w:r>
          </w:p>
        </w:tc>
      </w:tr>
      <w:tr>
        <w:trPr>
          <w:trHeight w:val="240" w:hRule="atLeast"/>
        </w:trPr>
        <w:tc>
          <w:tcPr>
            <w:tcW w:w="1792" w:type="dxa"/>
            <w:vAlign w:val="top"/>
          </w:tcPr>
          <w:p>
            <w:pPr>
              <w:pStyle w:val="TableText"/>
              <w:ind w:left="667"/>
              <w:spacing w:before="49" w:line="188" w:lineRule="auto"/>
              <w:rPr/>
            </w:pPr>
            <w:r>
              <w:rPr>
                <w:spacing w:val="2"/>
              </w:rPr>
              <w:t>800.0</w:t>
            </w:r>
          </w:p>
        </w:tc>
        <w:tc>
          <w:tcPr>
            <w:tcW w:w="1679" w:type="dxa"/>
            <w:vAlign w:val="top"/>
          </w:tcPr>
          <w:p>
            <w:pPr>
              <w:pStyle w:val="TableText"/>
              <w:ind w:left="519"/>
              <w:spacing w:before="49" w:line="188" w:lineRule="auto"/>
              <w:rPr/>
            </w:pPr>
            <w:r>
              <w:rPr>
                <w:spacing w:val="1"/>
              </w:rPr>
              <w:t>12.5520</w:t>
            </w:r>
          </w:p>
        </w:tc>
        <w:tc>
          <w:tcPr>
            <w:tcW w:w="1852" w:type="dxa"/>
            <w:vAlign w:val="top"/>
          </w:tcPr>
          <w:p>
            <w:pPr>
              <w:pStyle w:val="TableText"/>
              <w:ind w:left="657"/>
              <w:spacing w:before="49" w:line="188" w:lineRule="auto"/>
              <w:rPr/>
            </w:pPr>
            <w:r>
              <w:rPr/>
              <w:t>1.3947</w:t>
            </w:r>
          </w:p>
        </w:tc>
        <w:tc>
          <w:tcPr>
            <w:tcW w:w="1969" w:type="dxa"/>
            <w:vAlign w:val="top"/>
          </w:tcPr>
          <w:p>
            <w:pPr>
              <w:pStyle w:val="TableText"/>
              <w:ind w:left="649"/>
              <w:spacing w:before="49" w:line="188" w:lineRule="auto"/>
              <w:rPr/>
            </w:pPr>
            <w:r>
              <w:rPr>
                <w:spacing w:val="3"/>
              </w:rPr>
              <w:t>35.5650</w:t>
            </w:r>
          </w:p>
        </w:tc>
        <w:tc>
          <w:tcPr>
            <w:tcW w:w="1986" w:type="dxa"/>
            <w:vAlign w:val="top"/>
          </w:tcPr>
          <w:p>
            <w:pPr>
              <w:pStyle w:val="TableText"/>
              <w:ind w:left="710"/>
              <w:spacing w:before="49" w:line="188" w:lineRule="auto"/>
              <w:rPr/>
            </w:pPr>
            <w:r>
              <w:rPr>
                <w:spacing w:val="3"/>
              </w:rPr>
              <w:t>3.9517</w:t>
            </w:r>
          </w:p>
        </w:tc>
      </w:tr>
      <w:tr>
        <w:trPr>
          <w:trHeight w:val="242" w:hRule="atLeast"/>
        </w:trPr>
        <w:tc>
          <w:tcPr>
            <w:tcW w:w="1792" w:type="dxa"/>
            <w:vAlign w:val="top"/>
          </w:tcPr>
          <w:p>
            <w:pPr>
              <w:pStyle w:val="TableText"/>
              <w:ind w:left="663"/>
              <w:spacing w:before="51" w:line="188" w:lineRule="auto"/>
              <w:rPr/>
            </w:pPr>
            <w:r>
              <w:rPr>
                <w:spacing w:val="3"/>
              </w:rPr>
              <w:t>900.0</w:t>
            </w:r>
          </w:p>
        </w:tc>
        <w:tc>
          <w:tcPr>
            <w:tcW w:w="1679" w:type="dxa"/>
            <w:vAlign w:val="top"/>
          </w:tcPr>
          <w:p>
            <w:pPr>
              <w:pStyle w:val="TableText"/>
              <w:ind w:left="519"/>
              <w:spacing w:before="51" w:line="188" w:lineRule="auto"/>
              <w:rPr/>
            </w:pPr>
            <w:r>
              <w:rPr>
                <w:spacing w:val="1"/>
              </w:rPr>
              <w:t>13.0710</w:t>
            </w:r>
          </w:p>
        </w:tc>
        <w:tc>
          <w:tcPr>
            <w:tcW w:w="1852" w:type="dxa"/>
            <w:vAlign w:val="top"/>
          </w:tcPr>
          <w:p>
            <w:pPr>
              <w:pStyle w:val="TableText"/>
              <w:ind w:left="657"/>
              <w:spacing w:before="51" w:line="188" w:lineRule="auto"/>
              <w:rPr/>
            </w:pPr>
            <w:r>
              <w:rPr/>
              <w:t>1.4523</w:t>
            </w:r>
          </w:p>
        </w:tc>
        <w:tc>
          <w:tcPr>
            <w:tcW w:w="1969" w:type="dxa"/>
            <w:vAlign w:val="top"/>
          </w:tcPr>
          <w:p>
            <w:pPr>
              <w:pStyle w:val="TableText"/>
              <w:ind w:left="649"/>
              <w:spacing w:before="51" w:line="188" w:lineRule="auto"/>
              <w:rPr/>
            </w:pPr>
            <w:r>
              <w:rPr>
                <w:spacing w:val="3"/>
              </w:rPr>
              <w:t>37.5780</w:t>
            </w:r>
          </w:p>
        </w:tc>
        <w:tc>
          <w:tcPr>
            <w:tcW w:w="1986" w:type="dxa"/>
            <w:vAlign w:val="top"/>
          </w:tcPr>
          <w:p>
            <w:pPr>
              <w:pStyle w:val="TableText"/>
              <w:ind w:left="705"/>
              <w:spacing w:before="51" w:line="188" w:lineRule="auto"/>
              <w:rPr/>
            </w:pPr>
            <w:r>
              <w:rPr>
                <w:spacing w:val="3"/>
              </w:rPr>
              <w:t>4.1753</w:t>
            </w:r>
          </w:p>
        </w:tc>
      </w:tr>
      <w:tr>
        <w:trPr>
          <w:trHeight w:val="242" w:hRule="atLeast"/>
        </w:trPr>
        <w:tc>
          <w:tcPr>
            <w:tcW w:w="1792" w:type="dxa"/>
            <w:vAlign w:val="top"/>
          </w:tcPr>
          <w:p>
            <w:pPr>
              <w:pStyle w:val="TableText"/>
              <w:ind w:left="626"/>
              <w:spacing w:before="51" w:line="188" w:lineRule="auto"/>
              <w:rPr/>
            </w:pPr>
            <w:r>
              <w:rPr/>
              <w:t>1000.0</w:t>
            </w:r>
          </w:p>
        </w:tc>
        <w:tc>
          <w:tcPr>
            <w:tcW w:w="1679" w:type="dxa"/>
            <w:vAlign w:val="top"/>
          </w:tcPr>
          <w:p>
            <w:pPr>
              <w:pStyle w:val="TableText"/>
              <w:ind w:left="519"/>
              <w:spacing w:before="51" w:line="188" w:lineRule="auto"/>
              <w:rPr/>
            </w:pPr>
            <w:r>
              <w:rPr>
                <w:spacing w:val="1"/>
              </w:rPr>
              <w:t>13.5910</w:t>
            </w:r>
          </w:p>
        </w:tc>
        <w:tc>
          <w:tcPr>
            <w:tcW w:w="1852" w:type="dxa"/>
            <w:vAlign w:val="top"/>
          </w:tcPr>
          <w:p>
            <w:pPr>
              <w:pStyle w:val="TableText"/>
              <w:ind w:left="657"/>
              <w:spacing w:before="51" w:line="188" w:lineRule="auto"/>
              <w:rPr/>
            </w:pPr>
            <w:r>
              <w:rPr/>
              <w:t>1.5101</w:t>
            </w:r>
          </w:p>
        </w:tc>
        <w:tc>
          <w:tcPr>
            <w:tcW w:w="1969" w:type="dxa"/>
            <w:vAlign w:val="top"/>
          </w:tcPr>
          <w:p>
            <w:pPr>
              <w:pStyle w:val="TableText"/>
              <w:ind w:left="649"/>
              <w:spacing w:before="51" w:line="188" w:lineRule="auto"/>
              <w:rPr/>
            </w:pPr>
            <w:r>
              <w:rPr>
                <w:spacing w:val="3"/>
              </w:rPr>
              <w:t>38.8360</w:t>
            </w:r>
          </w:p>
        </w:tc>
        <w:tc>
          <w:tcPr>
            <w:tcW w:w="1986" w:type="dxa"/>
            <w:vAlign w:val="top"/>
          </w:tcPr>
          <w:p>
            <w:pPr>
              <w:pStyle w:val="TableText"/>
              <w:ind w:left="705"/>
              <w:spacing w:before="51" w:line="188" w:lineRule="auto"/>
              <w:rPr/>
            </w:pPr>
            <w:r>
              <w:rPr>
                <w:spacing w:val="3"/>
              </w:rPr>
              <w:t>4.3151</w:t>
            </w:r>
          </w:p>
        </w:tc>
      </w:tr>
      <w:tr>
        <w:trPr>
          <w:trHeight w:val="242" w:hRule="atLeast"/>
        </w:trPr>
        <w:tc>
          <w:tcPr>
            <w:tcW w:w="1792" w:type="dxa"/>
            <w:vAlign w:val="top"/>
          </w:tcPr>
          <w:p>
            <w:pPr>
              <w:pStyle w:val="TableText"/>
              <w:ind w:left="626"/>
              <w:spacing w:before="52" w:line="187" w:lineRule="auto"/>
              <w:rPr/>
            </w:pPr>
            <w:r>
              <w:rPr/>
              <w:t>1200.0</w:t>
            </w:r>
          </w:p>
        </w:tc>
        <w:tc>
          <w:tcPr>
            <w:tcW w:w="1679" w:type="dxa"/>
            <w:vAlign w:val="top"/>
          </w:tcPr>
          <w:p>
            <w:pPr>
              <w:pStyle w:val="TableText"/>
              <w:ind w:left="519"/>
              <w:spacing w:before="52" w:line="187" w:lineRule="auto"/>
              <w:rPr/>
            </w:pPr>
            <w:r>
              <w:rPr>
                <w:spacing w:val="1"/>
              </w:rPr>
              <w:t>14.6320</w:t>
            </w:r>
          </w:p>
        </w:tc>
        <w:tc>
          <w:tcPr>
            <w:tcW w:w="1852" w:type="dxa"/>
            <w:vAlign w:val="top"/>
          </w:tcPr>
          <w:p>
            <w:pPr>
              <w:pStyle w:val="TableText"/>
              <w:ind w:left="657"/>
              <w:spacing w:before="52" w:line="187" w:lineRule="auto"/>
              <w:rPr/>
            </w:pPr>
            <w:r>
              <w:rPr/>
              <w:t>1.6258</w:t>
            </w:r>
          </w:p>
        </w:tc>
        <w:tc>
          <w:tcPr>
            <w:tcW w:w="1969" w:type="dxa"/>
            <w:vAlign w:val="top"/>
          </w:tcPr>
          <w:p>
            <w:pPr>
              <w:pStyle w:val="TableText"/>
              <w:ind w:left="649"/>
              <w:spacing w:before="52" w:line="187" w:lineRule="auto"/>
              <w:rPr/>
            </w:pPr>
            <w:r>
              <w:rPr>
                <w:spacing w:val="3"/>
              </w:rPr>
              <w:t>38.6820</w:t>
            </w:r>
          </w:p>
        </w:tc>
        <w:tc>
          <w:tcPr>
            <w:tcW w:w="1986" w:type="dxa"/>
            <w:vAlign w:val="top"/>
          </w:tcPr>
          <w:p>
            <w:pPr>
              <w:pStyle w:val="TableText"/>
              <w:ind w:left="705"/>
              <w:spacing w:before="52" w:line="187" w:lineRule="auto"/>
              <w:rPr/>
            </w:pPr>
            <w:r>
              <w:rPr>
                <w:spacing w:val="3"/>
              </w:rPr>
              <w:t>4.2980</w:t>
            </w:r>
          </w:p>
        </w:tc>
      </w:tr>
      <w:tr>
        <w:trPr>
          <w:trHeight w:val="240" w:hRule="atLeast"/>
        </w:trPr>
        <w:tc>
          <w:tcPr>
            <w:tcW w:w="1792" w:type="dxa"/>
            <w:vAlign w:val="top"/>
          </w:tcPr>
          <w:p>
            <w:pPr>
              <w:pStyle w:val="TableText"/>
              <w:ind w:left="626"/>
              <w:spacing w:before="49" w:line="188" w:lineRule="auto"/>
              <w:rPr/>
            </w:pPr>
            <w:r>
              <w:rPr/>
              <w:t>1400.0</w:t>
            </w:r>
          </w:p>
        </w:tc>
        <w:tc>
          <w:tcPr>
            <w:tcW w:w="1679" w:type="dxa"/>
            <w:vAlign w:val="top"/>
          </w:tcPr>
          <w:p>
            <w:pPr>
              <w:pStyle w:val="TableText"/>
              <w:ind w:left="519"/>
              <w:spacing w:before="49" w:line="188" w:lineRule="auto"/>
              <w:rPr/>
            </w:pPr>
            <w:r>
              <w:rPr>
                <w:spacing w:val="1"/>
              </w:rPr>
              <w:t>15.6740</w:t>
            </w:r>
          </w:p>
        </w:tc>
        <w:tc>
          <w:tcPr>
            <w:tcW w:w="1852" w:type="dxa"/>
            <w:vAlign w:val="top"/>
          </w:tcPr>
          <w:p>
            <w:pPr>
              <w:pStyle w:val="TableText"/>
              <w:ind w:left="657"/>
              <w:spacing w:before="49" w:line="188" w:lineRule="auto"/>
              <w:rPr/>
            </w:pPr>
            <w:r>
              <w:rPr/>
              <w:t>1.7416</w:t>
            </w:r>
          </w:p>
        </w:tc>
        <w:tc>
          <w:tcPr>
            <w:tcW w:w="1969" w:type="dxa"/>
            <w:vAlign w:val="top"/>
          </w:tcPr>
          <w:p>
            <w:pPr>
              <w:pStyle w:val="TableText"/>
              <w:ind w:left="649"/>
              <w:spacing w:before="49" w:line="188" w:lineRule="auto"/>
              <w:rPr/>
            </w:pPr>
            <w:r>
              <w:rPr>
                <w:spacing w:val="3"/>
              </w:rPr>
              <w:t>38.4200</w:t>
            </w:r>
          </w:p>
        </w:tc>
        <w:tc>
          <w:tcPr>
            <w:tcW w:w="1986" w:type="dxa"/>
            <w:vAlign w:val="top"/>
          </w:tcPr>
          <w:p>
            <w:pPr>
              <w:pStyle w:val="TableText"/>
              <w:ind w:left="705"/>
              <w:spacing w:before="49" w:line="188" w:lineRule="auto"/>
              <w:rPr/>
            </w:pPr>
            <w:r>
              <w:rPr>
                <w:spacing w:val="3"/>
              </w:rPr>
              <w:t>4.2689</w:t>
            </w:r>
          </w:p>
        </w:tc>
      </w:tr>
      <w:tr>
        <w:trPr>
          <w:trHeight w:val="242" w:hRule="atLeast"/>
        </w:trPr>
        <w:tc>
          <w:tcPr>
            <w:tcW w:w="1792" w:type="dxa"/>
            <w:vAlign w:val="top"/>
          </w:tcPr>
          <w:p>
            <w:pPr>
              <w:pStyle w:val="TableText"/>
              <w:ind w:left="626"/>
              <w:spacing w:before="52" w:line="187" w:lineRule="auto"/>
              <w:rPr/>
            </w:pPr>
            <w:r>
              <w:rPr/>
              <w:t>1600.0</w:t>
            </w:r>
          </w:p>
        </w:tc>
        <w:tc>
          <w:tcPr>
            <w:tcW w:w="1679" w:type="dxa"/>
            <w:vAlign w:val="top"/>
          </w:tcPr>
          <w:p>
            <w:pPr>
              <w:pStyle w:val="TableText"/>
              <w:ind w:left="519"/>
              <w:spacing w:before="52" w:line="187" w:lineRule="auto"/>
              <w:rPr/>
            </w:pPr>
            <w:r>
              <w:rPr>
                <w:spacing w:val="1"/>
              </w:rPr>
              <w:t>16.7170</w:t>
            </w:r>
          </w:p>
        </w:tc>
        <w:tc>
          <w:tcPr>
            <w:tcW w:w="1852" w:type="dxa"/>
            <w:vAlign w:val="top"/>
          </w:tcPr>
          <w:p>
            <w:pPr>
              <w:pStyle w:val="TableText"/>
              <w:ind w:left="657"/>
              <w:spacing w:before="52" w:line="187" w:lineRule="auto"/>
              <w:rPr/>
            </w:pPr>
            <w:r>
              <w:rPr/>
              <w:t>1.8574</w:t>
            </w:r>
          </w:p>
        </w:tc>
        <w:tc>
          <w:tcPr>
            <w:tcW w:w="1969" w:type="dxa"/>
            <w:vAlign w:val="top"/>
          </w:tcPr>
          <w:p>
            <w:pPr>
              <w:pStyle w:val="TableText"/>
              <w:ind w:left="649"/>
              <w:spacing w:before="52" w:line="187" w:lineRule="auto"/>
              <w:rPr/>
            </w:pPr>
            <w:r>
              <w:rPr>
                <w:spacing w:val="3"/>
              </w:rPr>
              <w:t>38.0830</w:t>
            </w:r>
          </w:p>
        </w:tc>
        <w:tc>
          <w:tcPr>
            <w:tcW w:w="1986" w:type="dxa"/>
            <w:vAlign w:val="top"/>
          </w:tcPr>
          <w:p>
            <w:pPr>
              <w:pStyle w:val="TableText"/>
              <w:ind w:left="705"/>
              <w:spacing w:before="52" w:line="187" w:lineRule="auto"/>
              <w:rPr/>
            </w:pPr>
            <w:r>
              <w:rPr>
                <w:spacing w:val="3"/>
              </w:rPr>
              <w:t>4.2314</w:t>
            </w:r>
          </w:p>
        </w:tc>
      </w:tr>
      <w:tr>
        <w:trPr>
          <w:trHeight w:val="242" w:hRule="atLeast"/>
        </w:trPr>
        <w:tc>
          <w:tcPr>
            <w:tcW w:w="1792" w:type="dxa"/>
            <w:vAlign w:val="top"/>
          </w:tcPr>
          <w:p>
            <w:pPr>
              <w:pStyle w:val="TableText"/>
              <w:ind w:left="626"/>
              <w:spacing w:before="49" w:line="190" w:lineRule="auto"/>
              <w:rPr/>
            </w:pPr>
            <w:r>
              <w:rPr/>
              <w:t>1800.0</w:t>
            </w:r>
          </w:p>
        </w:tc>
        <w:tc>
          <w:tcPr>
            <w:tcW w:w="1679" w:type="dxa"/>
            <w:vAlign w:val="top"/>
          </w:tcPr>
          <w:p>
            <w:pPr>
              <w:pStyle w:val="TableText"/>
              <w:ind w:left="519"/>
              <w:spacing w:before="49" w:line="190" w:lineRule="auto"/>
              <w:rPr/>
            </w:pPr>
            <w:r>
              <w:rPr>
                <w:spacing w:val="1"/>
              </w:rPr>
              <w:t>16.9360</w:t>
            </w:r>
          </w:p>
        </w:tc>
        <w:tc>
          <w:tcPr>
            <w:tcW w:w="1852" w:type="dxa"/>
            <w:vAlign w:val="top"/>
          </w:tcPr>
          <w:p>
            <w:pPr>
              <w:pStyle w:val="TableText"/>
              <w:ind w:left="657"/>
              <w:spacing w:before="49" w:line="190" w:lineRule="auto"/>
              <w:rPr/>
            </w:pPr>
            <w:r>
              <w:rPr/>
              <w:t>1.8818</w:t>
            </w:r>
          </w:p>
        </w:tc>
        <w:tc>
          <w:tcPr>
            <w:tcW w:w="1969" w:type="dxa"/>
            <w:vAlign w:val="top"/>
          </w:tcPr>
          <w:p>
            <w:pPr>
              <w:pStyle w:val="TableText"/>
              <w:ind w:left="649"/>
              <w:spacing w:before="49" w:line="190" w:lineRule="auto"/>
              <w:rPr/>
            </w:pPr>
            <w:r>
              <w:rPr>
                <w:spacing w:val="3"/>
              </w:rPr>
              <w:t>37.6770</w:t>
            </w:r>
          </w:p>
        </w:tc>
        <w:tc>
          <w:tcPr>
            <w:tcW w:w="1986" w:type="dxa"/>
            <w:vAlign w:val="top"/>
          </w:tcPr>
          <w:p>
            <w:pPr>
              <w:pStyle w:val="TableText"/>
              <w:ind w:left="705"/>
              <w:spacing w:before="49" w:line="190" w:lineRule="auto"/>
              <w:rPr/>
            </w:pPr>
            <w:r>
              <w:rPr>
                <w:spacing w:val="3"/>
              </w:rPr>
              <w:t>4.1863</w:t>
            </w:r>
          </w:p>
        </w:tc>
      </w:tr>
      <w:tr>
        <w:trPr>
          <w:trHeight w:val="240" w:hRule="atLeast"/>
        </w:trPr>
        <w:tc>
          <w:tcPr>
            <w:tcW w:w="1792" w:type="dxa"/>
            <w:vAlign w:val="top"/>
          </w:tcPr>
          <w:p>
            <w:pPr>
              <w:pStyle w:val="TableText"/>
              <w:ind w:left="606"/>
              <w:spacing w:before="50" w:line="187" w:lineRule="auto"/>
              <w:rPr/>
            </w:pPr>
            <w:r>
              <w:rPr>
                <w:spacing w:val="3"/>
              </w:rPr>
              <w:t>2000.0</w:t>
            </w:r>
          </w:p>
        </w:tc>
        <w:tc>
          <w:tcPr>
            <w:tcW w:w="1679" w:type="dxa"/>
            <w:vAlign w:val="top"/>
          </w:tcPr>
          <w:p>
            <w:pPr>
              <w:pStyle w:val="TableText"/>
              <w:ind w:left="519"/>
              <w:spacing w:before="50" w:line="187" w:lineRule="auto"/>
              <w:rPr/>
            </w:pPr>
            <w:r>
              <w:rPr>
                <w:spacing w:val="1"/>
              </w:rPr>
              <w:t>16.8510</w:t>
            </w:r>
          </w:p>
        </w:tc>
        <w:tc>
          <w:tcPr>
            <w:tcW w:w="1852" w:type="dxa"/>
            <w:vAlign w:val="top"/>
          </w:tcPr>
          <w:p>
            <w:pPr>
              <w:pStyle w:val="TableText"/>
              <w:ind w:left="657"/>
              <w:spacing w:before="50" w:line="187" w:lineRule="auto"/>
              <w:rPr/>
            </w:pPr>
            <w:r>
              <w:rPr/>
              <w:t>1.8723</w:t>
            </w:r>
          </w:p>
        </w:tc>
        <w:tc>
          <w:tcPr>
            <w:tcW w:w="1969" w:type="dxa"/>
            <w:vAlign w:val="top"/>
          </w:tcPr>
          <w:p>
            <w:pPr>
              <w:pStyle w:val="TableText"/>
              <w:ind w:left="649"/>
              <w:spacing w:before="50" w:line="187" w:lineRule="auto"/>
              <w:rPr/>
            </w:pPr>
            <w:r>
              <w:rPr>
                <w:spacing w:val="3"/>
              </w:rPr>
              <w:t>37.2050</w:t>
            </w:r>
          </w:p>
        </w:tc>
        <w:tc>
          <w:tcPr>
            <w:tcW w:w="1986" w:type="dxa"/>
            <w:vAlign w:val="top"/>
          </w:tcPr>
          <w:p>
            <w:pPr>
              <w:pStyle w:val="TableText"/>
              <w:ind w:left="705"/>
              <w:spacing w:before="50" w:line="187" w:lineRule="auto"/>
              <w:rPr/>
            </w:pPr>
            <w:r>
              <w:rPr>
                <w:spacing w:val="3"/>
              </w:rPr>
              <w:t>4.1339</w:t>
            </w:r>
          </w:p>
        </w:tc>
      </w:tr>
      <w:tr>
        <w:trPr>
          <w:trHeight w:val="242" w:hRule="atLeast"/>
        </w:trPr>
        <w:tc>
          <w:tcPr>
            <w:tcW w:w="1792" w:type="dxa"/>
            <w:vAlign w:val="top"/>
          </w:tcPr>
          <w:p>
            <w:pPr>
              <w:pStyle w:val="TableText"/>
              <w:ind w:left="606"/>
              <w:spacing w:before="52" w:line="187" w:lineRule="auto"/>
              <w:rPr/>
            </w:pPr>
            <w:r>
              <w:rPr>
                <w:spacing w:val="3"/>
              </w:rPr>
              <w:t>2500.0</w:t>
            </w:r>
          </w:p>
        </w:tc>
        <w:tc>
          <w:tcPr>
            <w:tcW w:w="1679" w:type="dxa"/>
            <w:vAlign w:val="top"/>
          </w:tcPr>
          <w:p>
            <w:pPr>
              <w:pStyle w:val="TableText"/>
              <w:ind w:left="519"/>
              <w:spacing w:before="52" w:line="187" w:lineRule="auto"/>
              <w:rPr/>
            </w:pPr>
            <w:r>
              <w:rPr>
                <w:spacing w:val="1"/>
              </w:rPr>
              <w:t>16.5880</w:t>
            </w:r>
          </w:p>
        </w:tc>
        <w:tc>
          <w:tcPr>
            <w:tcW w:w="1852" w:type="dxa"/>
            <w:vAlign w:val="top"/>
          </w:tcPr>
          <w:p>
            <w:pPr>
              <w:pStyle w:val="TableText"/>
              <w:ind w:left="657"/>
              <w:spacing w:before="52" w:line="187" w:lineRule="auto"/>
              <w:rPr/>
            </w:pPr>
            <w:r>
              <w:rPr/>
              <w:t>1.8431</w:t>
            </w:r>
          </w:p>
        </w:tc>
        <w:tc>
          <w:tcPr>
            <w:tcW w:w="1969" w:type="dxa"/>
            <w:vAlign w:val="top"/>
          </w:tcPr>
          <w:p>
            <w:pPr>
              <w:pStyle w:val="TableText"/>
              <w:ind w:left="649"/>
              <w:spacing w:before="52" w:line="187" w:lineRule="auto"/>
              <w:rPr/>
            </w:pPr>
            <w:r>
              <w:rPr>
                <w:spacing w:val="3"/>
              </w:rPr>
              <w:t>35.7570</w:t>
            </w:r>
          </w:p>
        </w:tc>
        <w:tc>
          <w:tcPr>
            <w:tcW w:w="1986" w:type="dxa"/>
            <w:vAlign w:val="top"/>
          </w:tcPr>
          <w:p>
            <w:pPr>
              <w:pStyle w:val="TableText"/>
              <w:ind w:left="710"/>
              <w:spacing w:before="52" w:line="187" w:lineRule="auto"/>
              <w:rPr/>
            </w:pPr>
            <w:r>
              <w:rPr>
                <w:spacing w:val="3"/>
              </w:rPr>
              <w:t>3.9730</w:t>
            </w:r>
          </w:p>
        </w:tc>
      </w:tr>
      <w:tr>
        <w:trPr>
          <w:trHeight w:val="271" w:hRule="atLeast"/>
        </w:trPr>
        <w:tc>
          <w:tcPr>
            <w:tcW w:w="1792" w:type="dxa"/>
            <w:vAlign w:val="top"/>
          </w:tcPr>
          <w:p>
            <w:pPr>
              <w:ind w:left="170"/>
              <w:spacing w:before="31" w:line="212" w:lineRule="auto"/>
              <w:rPr>
                <w:rFonts w:ascii="SimSun" w:hAnsi="SimSun" w:eastAsia="SimSun" w:cs="SimSun"/>
                <w:sz w:val="20"/>
                <w:szCs w:val="20"/>
              </w:rPr>
            </w:pPr>
            <w:r>
              <w:rPr>
                <w:rFonts w:ascii="SimSun" w:hAnsi="SimSun" w:eastAsia="SimSun" w:cs="SimSun"/>
                <w:sz w:val="20"/>
                <w:szCs w:val="20"/>
                <w:spacing w:val="7"/>
              </w:rPr>
              <w:t>下风向最大浓度</w:t>
            </w:r>
          </w:p>
        </w:tc>
        <w:tc>
          <w:tcPr>
            <w:tcW w:w="1679" w:type="dxa"/>
            <w:vAlign w:val="top"/>
          </w:tcPr>
          <w:p>
            <w:pPr>
              <w:pStyle w:val="TableText"/>
              <w:ind w:left="552"/>
              <w:spacing w:before="66" w:line="195" w:lineRule="auto"/>
              <w:rPr/>
            </w:pPr>
            <w:r>
              <w:rPr>
                <w:spacing w:val="3"/>
              </w:rPr>
              <w:t>21.081</w:t>
            </w:r>
          </w:p>
        </w:tc>
        <w:tc>
          <w:tcPr>
            <w:tcW w:w="1852" w:type="dxa"/>
            <w:vAlign w:val="top"/>
          </w:tcPr>
          <w:p>
            <w:pPr>
              <w:pStyle w:val="TableText"/>
              <w:ind w:left="637"/>
              <w:spacing w:before="66" w:line="195" w:lineRule="auto"/>
              <w:rPr/>
            </w:pPr>
            <w:r>
              <w:rPr>
                <w:spacing w:val="4"/>
              </w:rPr>
              <w:t>2.3423</w:t>
            </w:r>
          </w:p>
        </w:tc>
        <w:tc>
          <w:tcPr>
            <w:tcW w:w="1969" w:type="dxa"/>
            <w:vAlign w:val="top"/>
          </w:tcPr>
          <w:p>
            <w:pPr>
              <w:pStyle w:val="TableText"/>
              <w:ind w:left="702"/>
              <w:spacing w:before="66" w:line="195" w:lineRule="auto"/>
              <w:rPr/>
            </w:pPr>
            <w:r>
              <w:rPr>
                <w:spacing w:val="3"/>
              </w:rPr>
              <w:t>38.867</w:t>
            </w:r>
          </w:p>
        </w:tc>
        <w:tc>
          <w:tcPr>
            <w:tcW w:w="1986" w:type="dxa"/>
            <w:vAlign w:val="top"/>
          </w:tcPr>
          <w:p>
            <w:pPr>
              <w:pStyle w:val="TableText"/>
              <w:ind w:left="705"/>
              <w:spacing w:before="66" w:line="195" w:lineRule="auto"/>
              <w:rPr/>
            </w:pPr>
            <w:r>
              <w:rPr>
                <w:spacing w:val="3"/>
              </w:rPr>
              <w:t>4.3186</w:t>
            </w:r>
          </w:p>
        </w:tc>
      </w:tr>
      <w:tr>
        <w:trPr>
          <w:trHeight w:val="546" w:hRule="atLeast"/>
        </w:trPr>
        <w:tc>
          <w:tcPr>
            <w:tcW w:w="1792" w:type="dxa"/>
            <w:vAlign w:val="top"/>
          </w:tcPr>
          <w:p>
            <w:pPr>
              <w:ind w:left="498" w:right="162" w:hanging="328"/>
              <w:spacing w:before="31" w:line="233" w:lineRule="auto"/>
              <w:rPr>
                <w:rFonts w:ascii="SimSun" w:hAnsi="SimSun" w:eastAsia="SimSun" w:cs="SimSun"/>
                <w:sz w:val="20"/>
                <w:szCs w:val="20"/>
              </w:rPr>
            </w:pPr>
            <w:r>
              <w:rPr>
                <w:rFonts w:ascii="SimSun" w:hAnsi="SimSun" w:eastAsia="SimSun" w:cs="SimSun"/>
                <w:sz w:val="20"/>
                <w:szCs w:val="20"/>
                <w:spacing w:val="7"/>
              </w:rPr>
              <w:t>下风向最大浓度</w:t>
            </w:r>
            <w:r>
              <w:rPr>
                <w:rFonts w:ascii="SimSun" w:hAnsi="SimSun" w:eastAsia="SimSun" w:cs="SimSun"/>
                <w:sz w:val="20"/>
                <w:szCs w:val="20"/>
                <w:spacing w:val="2"/>
              </w:rPr>
              <w:t>出现距离</w:t>
            </w:r>
          </w:p>
        </w:tc>
        <w:tc>
          <w:tcPr>
            <w:tcW w:w="1679" w:type="dxa"/>
            <w:vAlign w:val="top"/>
          </w:tcPr>
          <w:p>
            <w:pPr>
              <w:pStyle w:val="TableText"/>
              <w:ind w:left="519"/>
              <w:spacing w:before="203" w:line="195" w:lineRule="auto"/>
              <w:rPr/>
            </w:pPr>
            <w:r>
              <w:rPr>
                <w:spacing w:val="1"/>
              </w:rPr>
              <w:t>10850.0</w:t>
            </w:r>
          </w:p>
        </w:tc>
        <w:tc>
          <w:tcPr>
            <w:tcW w:w="1852" w:type="dxa"/>
            <w:vAlign w:val="top"/>
          </w:tcPr>
          <w:p>
            <w:pPr>
              <w:pStyle w:val="TableText"/>
              <w:ind w:left="604"/>
              <w:spacing w:before="203" w:line="195" w:lineRule="auto"/>
              <w:rPr/>
            </w:pPr>
            <w:r>
              <w:rPr>
                <w:spacing w:val="1"/>
              </w:rPr>
              <w:t>10850.0</w:t>
            </w:r>
          </w:p>
        </w:tc>
        <w:tc>
          <w:tcPr>
            <w:tcW w:w="1969" w:type="dxa"/>
            <w:vAlign w:val="top"/>
          </w:tcPr>
          <w:p>
            <w:pPr>
              <w:pStyle w:val="TableText"/>
              <w:ind w:left="718"/>
              <w:spacing w:before="203" w:line="195" w:lineRule="auto"/>
              <w:rPr/>
            </w:pPr>
            <w:r>
              <w:rPr/>
              <w:t>1020.0</w:t>
            </w:r>
          </w:p>
        </w:tc>
        <w:tc>
          <w:tcPr>
            <w:tcW w:w="1986" w:type="dxa"/>
            <w:vAlign w:val="top"/>
          </w:tcPr>
          <w:p>
            <w:pPr>
              <w:pStyle w:val="TableText"/>
              <w:ind w:left="726"/>
              <w:spacing w:before="203" w:line="195" w:lineRule="auto"/>
              <w:rPr/>
            </w:pPr>
            <w:r>
              <w:rPr/>
              <w:t>1020.0</w:t>
            </w:r>
          </w:p>
        </w:tc>
      </w:tr>
      <w:tr>
        <w:trPr>
          <w:trHeight w:val="273" w:hRule="atLeast"/>
        </w:trPr>
        <w:tc>
          <w:tcPr>
            <w:tcW w:w="1792" w:type="dxa"/>
            <w:vAlign w:val="top"/>
          </w:tcPr>
          <w:p>
            <w:pPr>
              <w:pStyle w:val="TableText"/>
              <w:ind w:left="207"/>
              <w:spacing w:before="32" w:line="213" w:lineRule="auto"/>
              <w:rPr>
                <w:rFonts w:ascii="SimSun" w:hAnsi="SimSun" w:eastAsia="SimSun" w:cs="SimSun"/>
              </w:rPr>
            </w:pPr>
            <w:r>
              <w:rPr>
                <w:spacing w:val="7"/>
              </w:rPr>
              <w:t>D10%</w:t>
            </w:r>
            <w:r>
              <w:rPr>
                <w:rFonts w:ascii="SimSun" w:hAnsi="SimSun" w:eastAsia="SimSun" w:cs="SimSun"/>
                <w:spacing w:val="7"/>
              </w:rPr>
              <w:t>最远距离</w:t>
            </w:r>
          </w:p>
        </w:tc>
        <w:tc>
          <w:tcPr>
            <w:tcW w:w="1679" w:type="dxa"/>
            <w:vAlign w:val="top"/>
          </w:tcPr>
          <w:p>
            <w:pPr>
              <w:pStyle w:val="TableText"/>
              <w:ind w:left="807"/>
              <w:spacing w:before="64" w:line="199" w:lineRule="auto"/>
              <w:rPr/>
            </w:pPr>
            <w:r>
              <w:rPr>
                <w:spacing w:val="2"/>
              </w:rPr>
              <w:t>/</w:t>
            </w:r>
          </w:p>
        </w:tc>
        <w:tc>
          <w:tcPr>
            <w:tcW w:w="1852" w:type="dxa"/>
            <w:vAlign w:val="top"/>
          </w:tcPr>
          <w:p>
            <w:pPr>
              <w:pStyle w:val="TableText"/>
              <w:ind w:left="892"/>
              <w:spacing w:before="64" w:line="199" w:lineRule="auto"/>
              <w:rPr/>
            </w:pPr>
            <w:r>
              <w:rPr>
                <w:spacing w:val="2"/>
              </w:rPr>
              <w:t>/</w:t>
            </w:r>
          </w:p>
        </w:tc>
        <w:tc>
          <w:tcPr>
            <w:tcW w:w="1969" w:type="dxa"/>
            <w:vAlign w:val="top"/>
          </w:tcPr>
          <w:p>
            <w:pPr>
              <w:pStyle w:val="TableText"/>
              <w:ind w:left="953"/>
              <w:spacing w:before="64" w:line="199" w:lineRule="auto"/>
              <w:rPr/>
            </w:pPr>
            <w:r>
              <w:rPr>
                <w:spacing w:val="2"/>
              </w:rPr>
              <w:t>/</w:t>
            </w:r>
          </w:p>
        </w:tc>
        <w:tc>
          <w:tcPr>
            <w:tcW w:w="1986" w:type="dxa"/>
            <w:vAlign w:val="top"/>
          </w:tcPr>
          <w:p>
            <w:pPr>
              <w:pStyle w:val="TableText"/>
              <w:ind w:left="959"/>
              <w:spacing w:before="64" w:line="199" w:lineRule="auto"/>
              <w:rPr/>
            </w:pPr>
            <w:r>
              <w:rPr>
                <w:spacing w:val="2"/>
              </w:rPr>
              <w:t>/</w:t>
            </w:r>
          </w:p>
        </w:tc>
      </w:tr>
    </w:tbl>
    <w:p>
      <w:pPr>
        <w:ind w:left="120" w:right="39" w:firstLine="506"/>
        <w:spacing w:before="142" w:line="338" w:lineRule="auto"/>
        <w:jc w:val="both"/>
        <w:rPr>
          <w:rFonts w:ascii="SimSun" w:hAnsi="SimSun" w:eastAsia="SimSun" w:cs="SimSun"/>
          <w:sz w:val="24"/>
          <w:szCs w:val="24"/>
        </w:rPr>
      </w:pPr>
      <w:r>
        <w:rPr>
          <w:rFonts w:ascii="SimSun" w:hAnsi="SimSun" w:eastAsia="SimSun" w:cs="SimSun"/>
          <w:sz w:val="24"/>
          <w:szCs w:val="24"/>
          <w:spacing w:val="-3"/>
        </w:rPr>
        <w:t>由表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5-2-6 </w:t>
      </w:r>
      <w:r>
        <w:rPr>
          <w:rFonts w:ascii="SimSun" w:hAnsi="SimSun" w:eastAsia="SimSun" w:cs="SimSun"/>
          <w:sz w:val="24"/>
          <w:szCs w:val="24"/>
          <w:spacing w:val="-3"/>
        </w:rPr>
        <w:t>可以看出，本项目露天采掘场排放颗粒物最大地面浓度为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0.0211mg/m</w:t>
      </w:r>
      <w:r>
        <w:rPr>
          <w:rFonts w:ascii="Times New Roman" w:hAnsi="Times New Roman" w:eastAsia="Times New Roman" w:cs="Times New Roman"/>
          <w:sz w:val="15"/>
          <w:szCs w:val="15"/>
          <w:spacing w:val="-3"/>
          <w:position w:val="8"/>
        </w:rPr>
        <w:t>3</w:t>
      </w:r>
      <w:r>
        <w:rPr>
          <w:rFonts w:ascii="SimSun" w:hAnsi="SimSun" w:eastAsia="SimSun" w:cs="SimSun"/>
          <w:sz w:val="24"/>
          <w:szCs w:val="24"/>
          <w:spacing w:val="-3"/>
        </w:rPr>
        <w:t>，</w:t>
      </w:r>
      <w:r>
        <w:rPr>
          <w:rFonts w:ascii="SimSun" w:hAnsi="SimSun" w:eastAsia="SimSun" w:cs="SimSun"/>
          <w:sz w:val="24"/>
          <w:szCs w:val="24"/>
          <w:spacing w:val="-1"/>
        </w:rPr>
        <w:t>最大浓度占标率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2.34%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，最大落地浓度出现在下风向</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2"/>
        </w:rPr>
        <w:t>10850m</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处。内排土场排放颗粒物</w:t>
      </w:r>
      <w:r>
        <w:rPr>
          <w:rFonts w:ascii="SimSun" w:hAnsi="SimSun" w:eastAsia="SimSun" w:cs="SimSun"/>
          <w:sz w:val="24"/>
          <w:szCs w:val="24"/>
          <w:spacing w:val="5"/>
        </w:rPr>
        <w:t>最大地面浓度为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5"/>
        </w:rPr>
        <w:t>0.0389</w:t>
      </w:r>
      <w:r>
        <w:rPr>
          <w:rFonts w:ascii="Times New Roman" w:hAnsi="Times New Roman" w:eastAsia="Times New Roman" w:cs="Times New Roman"/>
          <w:sz w:val="24"/>
          <w:szCs w:val="24"/>
        </w:rPr>
        <w:t>mg</w:t>
      </w:r>
      <w:r>
        <w:rPr>
          <w:rFonts w:ascii="Times New Roman" w:hAnsi="Times New Roman" w:eastAsia="Times New Roman" w:cs="Times New Roman"/>
          <w:sz w:val="24"/>
          <w:szCs w:val="24"/>
          <w:spacing w:val="5"/>
        </w:rPr>
        <w:t>/m</w:t>
      </w:r>
      <w:r>
        <w:rPr>
          <w:rFonts w:ascii="Times New Roman" w:hAnsi="Times New Roman" w:eastAsia="Times New Roman" w:cs="Times New Roman"/>
          <w:sz w:val="15"/>
          <w:szCs w:val="15"/>
          <w:spacing w:val="5"/>
          <w:position w:val="8"/>
        </w:rPr>
        <w:t>3 </w:t>
      </w:r>
      <w:r>
        <w:rPr>
          <w:rFonts w:ascii="SimSun" w:hAnsi="SimSun" w:eastAsia="SimSun" w:cs="SimSun"/>
          <w:sz w:val="24"/>
          <w:szCs w:val="24"/>
          <w:spacing w:val="5"/>
        </w:rPr>
        <w:t>，最大浓度</w:t>
      </w:r>
      <w:r>
        <w:rPr>
          <w:rFonts w:ascii="SimSun" w:hAnsi="SimSun" w:eastAsia="SimSun" w:cs="SimSun"/>
          <w:sz w:val="24"/>
          <w:szCs w:val="24"/>
          <w:spacing w:val="4"/>
        </w:rPr>
        <w:t>占标率</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4.32%</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，最大落地浓度出现在下风向</w:t>
      </w:r>
      <w:r>
        <w:rPr>
          <w:rFonts w:ascii="Times New Roman" w:hAnsi="Times New Roman" w:eastAsia="Times New Roman" w:cs="Times New Roman"/>
          <w:sz w:val="24"/>
          <w:szCs w:val="24"/>
          <w:spacing w:val="-4"/>
        </w:rPr>
        <w:t>1020m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处。</w:t>
      </w:r>
    </w:p>
    <w:p>
      <w:pPr>
        <w:ind w:left="116" w:right="103" w:firstLine="481"/>
        <w:spacing w:before="10" w:line="338" w:lineRule="auto"/>
        <w:jc w:val="both"/>
        <w:rPr>
          <w:rFonts w:ascii="SimSun" w:hAnsi="SimSun" w:eastAsia="SimSun" w:cs="SimSun"/>
          <w:sz w:val="24"/>
          <w:szCs w:val="24"/>
        </w:rPr>
      </w:pPr>
      <w:r>
        <w:rPr>
          <w:rFonts w:ascii="SimSun" w:hAnsi="SimSun" w:eastAsia="SimSun" w:cs="SimSun"/>
          <w:sz w:val="24"/>
          <w:szCs w:val="24"/>
          <w:spacing w:val="-2"/>
        </w:rPr>
        <w:t>本项目所在区域为环境空气质量达标区，环境空气二级评价，距离最近的敏感点是</w:t>
      </w:r>
      <w:r>
        <w:rPr>
          <w:rFonts w:ascii="SimSun" w:hAnsi="SimSun" w:eastAsia="SimSun" w:cs="SimSun"/>
          <w:sz w:val="24"/>
          <w:szCs w:val="24"/>
          <w:spacing w:val="-2"/>
        </w:rPr>
        <w:t>采掘场及内排土场西北侧边界外的阿拉坦兴安嘎查的居民点，位于采掘场及内排土场的</w:t>
      </w:r>
      <w:r>
        <w:rPr>
          <w:rFonts w:ascii="SimSun" w:hAnsi="SimSun" w:eastAsia="SimSun" w:cs="SimSun"/>
          <w:sz w:val="24"/>
          <w:szCs w:val="24"/>
        </w:rPr>
        <w:t>下风向，采掘场最近的敏感目标距离采掘场约</w:t>
      </w:r>
      <w:r>
        <w:rPr>
          <w:rFonts w:ascii="SimSun" w:hAnsi="SimSun" w:eastAsia="SimSun" w:cs="SimSun"/>
          <w:sz w:val="24"/>
          <w:szCs w:val="24"/>
          <w:spacing w:val="-37"/>
        </w:rPr>
        <w:t xml:space="preserve"> </w:t>
      </w:r>
      <w:r>
        <w:rPr>
          <w:rFonts w:ascii="Times New Roman" w:hAnsi="Times New Roman" w:eastAsia="Times New Roman" w:cs="Times New Roman"/>
          <w:sz w:val="24"/>
          <w:szCs w:val="24"/>
        </w:rPr>
        <w:t>805m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，排土场最近的敏感目标距离内排</w:t>
      </w:r>
      <w:r>
        <w:rPr>
          <w:rFonts w:ascii="SimSun" w:hAnsi="SimSun" w:eastAsia="SimSun" w:cs="SimSun"/>
          <w:sz w:val="24"/>
          <w:szCs w:val="24"/>
          <w:spacing w:val="-2"/>
        </w:rPr>
        <w:t>土场约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1km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2"/>
        </w:rPr>
        <w:t>。预测显示矿区下风向</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TSP </w:t>
      </w:r>
      <w:r>
        <w:rPr>
          <w:rFonts w:ascii="SimSun" w:hAnsi="SimSun" w:eastAsia="SimSun" w:cs="SimSun"/>
          <w:sz w:val="24"/>
          <w:szCs w:val="24"/>
          <w:spacing w:val="-2"/>
        </w:rPr>
        <w:t>最大落地浓度为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0.0389mg/m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2"/>
        </w:rPr>
        <w:t>，低于《环</w:t>
      </w:r>
      <w:r>
        <w:rPr>
          <w:rFonts w:ascii="SimSun" w:hAnsi="SimSun" w:eastAsia="SimSun" w:cs="SimSun"/>
          <w:sz w:val="24"/>
          <w:szCs w:val="24"/>
          <w:spacing w:val="-3"/>
        </w:rPr>
        <w:t>境空</w:t>
      </w:r>
      <w:r>
        <w:rPr>
          <w:rFonts w:ascii="SimSun" w:hAnsi="SimSun" w:eastAsia="SimSun" w:cs="SimSun"/>
          <w:sz w:val="24"/>
          <w:szCs w:val="24"/>
          <w:spacing w:val="-2"/>
        </w:rPr>
        <w:t>气质量标准》（</w:t>
      </w:r>
      <w:r>
        <w:rPr>
          <w:rFonts w:ascii="Times New Roman" w:hAnsi="Times New Roman" w:eastAsia="Times New Roman" w:cs="Times New Roman"/>
          <w:sz w:val="24"/>
          <w:szCs w:val="24"/>
          <w:spacing w:val="-2"/>
        </w:rPr>
        <w:t>GB3095-2026</w:t>
      </w:r>
      <w:r>
        <w:rPr>
          <w:rFonts w:ascii="SimSun" w:hAnsi="SimSun" w:eastAsia="SimSun" w:cs="SimSun"/>
          <w:sz w:val="24"/>
          <w:szCs w:val="24"/>
          <w:spacing w:val="-2"/>
        </w:rPr>
        <w:t>）二级标准中</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TSP</w:t>
      </w:r>
      <w:r>
        <w:rPr>
          <w:rFonts w:ascii="Times New Roman" w:hAnsi="Times New Roman" w:eastAsia="Times New Roman" w:cs="Times New Roman"/>
          <w:sz w:val="24"/>
          <w:szCs w:val="24"/>
          <w:spacing w:val="32"/>
          <w:w w:val="101"/>
        </w:rPr>
        <w:t xml:space="preserve"> </w:t>
      </w:r>
      <w:r>
        <w:rPr>
          <w:rFonts w:ascii="SimSun" w:hAnsi="SimSun" w:eastAsia="SimSun" w:cs="SimSun"/>
          <w:sz w:val="24"/>
          <w:szCs w:val="24"/>
          <w:spacing w:val="-2"/>
        </w:rPr>
        <w:t>的限值要求和《煤炭工业污染物排放标</w:t>
      </w:r>
      <w:r>
        <w:rPr>
          <w:rFonts w:ascii="SimSun" w:hAnsi="SimSun" w:eastAsia="SimSun" w:cs="SimSun"/>
          <w:sz w:val="24"/>
          <w:szCs w:val="24"/>
          <w:spacing w:val="-3"/>
        </w:rPr>
        <w:t>准》（</w:t>
      </w:r>
      <w:r>
        <w:rPr>
          <w:rFonts w:ascii="Times New Roman" w:hAnsi="Times New Roman" w:eastAsia="Times New Roman" w:cs="Times New Roman"/>
          <w:sz w:val="24"/>
          <w:szCs w:val="24"/>
          <w:spacing w:val="-3"/>
        </w:rPr>
        <w:t>GB20426-2006</w:t>
      </w:r>
      <w:r>
        <w:rPr>
          <w:rFonts w:ascii="SimSun" w:hAnsi="SimSun" w:eastAsia="SimSun" w:cs="SimSun"/>
          <w:sz w:val="24"/>
          <w:szCs w:val="24"/>
          <w:spacing w:val="-3"/>
        </w:rPr>
        <w:t>）表</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3"/>
        </w:rPr>
        <w:t>5 </w:t>
      </w:r>
      <w:r>
        <w:rPr>
          <w:rFonts w:ascii="SimSun" w:hAnsi="SimSun" w:eastAsia="SimSun" w:cs="SimSun"/>
          <w:sz w:val="24"/>
          <w:szCs w:val="24"/>
          <w:spacing w:val="-3"/>
        </w:rPr>
        <w:t>煤炭工业无组织排放限值要求。根据大气环境质量现状监测</w:t>
      </w:r>
      <w:r>
        <w:rPr>
          <w:rFonts w:ascii="SimSun" w:hAnsi="SimSun" w:eastAsia="SimSun" w:cs="SimSun"/>
          <w:sz w:val="24"/>
          <w:szCs w:val="24"/>
        </w:rPr>
        <w:t>数据，在采取相应污染防治措施后，本项目运营期对环</w:t>
      </w:r>
      <w:r>
        <w:rPr>
          <w:rFonts w:ascii="SimSun" w:hAnsi="SimSun" w:eastAsia="SimSun" w:cs="SimSun"/>
          <w:sz w:val="24"/>
          <w:szCs w:val="24"/>
          <w:spacing w:val="-1"/>
        </w:rPr>
        <w:t>境空气不利影响较小。</w:t>
      </w:r>
    </w:p>
    <w:p>
      <w:pPr>
        <w:ind w:left="116"/>
        <w:spacing w:before="30"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5.2.3.2  </w:t>
      </w:r>
      <w:r>
        <w:rPr>
          <w:rFonts w:ascii="SimHei" w:hAnsi="SimHei" w:eastAsia="SimHei" w:cs="SimHei"/>
          <w:sz w:val="24"/>
          <w:szCs w:val="24"/>
          <w:b/>
          <w:bCs/>
          <w:spacing w:val="-2"/>
        </w:rPr>
        <w:t>运输道路扬尘影响分析</w:t>
      </w:r>
    </w:p>
    <w:p>
      <w:pPr>
        <w:ind w:left="118" w:right="103" w:firstLine="480"/>
        <w:spacing w:before="161" w:line="336" w:lineRule="auto"/>
        <w:rPr>
          <w:rFonts w:ascii="SimSun" w:hAnsi="SimSun" w:eastAsia="SimSun" w:cs="SimSun"/>
          <w:sz w:val="24"/>
          <w:szCs w:val="24"/>
        </w:rPr>
      </w:pPr>
      <w:r>
        <w:rPr>
          <w:rFonts w:ascii="SimSun" w:hAnsi="SimSun" w:eastAsia="SimSun" w:cs="SimSun"/>
          <w:sz w:val="24"/>
          <w:szCs w:val="24"/>
          <w:spacing w:val="-2"/>
        </w:rPr>
        <w:t>本项目主要通过封闭输煤栈桥将煤炭输送至金山电厂，本项目主要运输道路扬尘主</w:t>
      </w:r>
      <w:r>
        <w:rPr>
          <w:rFonts w:ascii="SimSun" w:hAnsi="SimSun" w:eastAsia="SimSun" w:cs="SimSun"/>
          <w:sz w:val="24"/>
          <w:szCs w:val="24"/>
          <w:spacing w:val="-2"/>
        </w:rPr>
        <w:t>要为采掘场土岩剥离物运输至内排土场产生的扬尘。相应运输道路在现有采掘场内，采</w:t>
      </w:r>
    </w:p>
    <w:p>
      <w:pPr>
        <w:spacing w:line="336" w:lineRule="auto"/>
        <w:sectPr>
          <w:footerReference w:type="default" r:id="rId370"/>
          <w:pgSz w:w="11906" w:h="16838"/>
          <w:pgMar w:top="1170" w:right="1314" w:bottom="1080" w:left="1307" w:header="837" w:footer="918" w:gutter="0"/>
        </w:sectPr>
        <w:rPr>
          <w:rFonts w:ascii="SimSun" w:hAnsi="SimSun" w:eastAsia="SimSun" w:cs="SimSun"/>
          <w:sz w:val="24"/>
          <w:szCs w:val="24"/>
        </w:rPr>
      </w:pPr>
    </w:p>
    <w:p>
      <w:pPr>
        <w:pStyle w:val="BodyText"/>
        <w:spacing w:line="311" w:lineRule="auto"/>
        <w:rPr/>
      </w:pPr>
      <w:r/>
    </w:p>
    <w:p>
      <w:pPr>
        <w:ind w:left="37" w:right="31"/>
        <w:spacing w:before="78" w:line="341" w:lineRule="auto"/>
        <w:jc w:val="both"/>
        <w:rPr>
          <w:rFonts w:ascii="SimSun" w:hAnsi="SimSun" w:eastAsia="SimSun" w:cs="SimSun"/>
          <w:sz w:val="24"/>
          <w:szCs w:val="24"/>
        </w:rPr>
      </w:pPr>
      <w:r>
        <w:rPr>
          <w:rFonts w:ascii="SimSun" w:hAnsi="SimSun" w:eastAsia="SimSun" w:cs="SimSun"/>
          <w:sz w:val="24"/>
          <w:szCs w:val="24"/>
        </w:rPr>
        <w:t>掘场深度最深处超过</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100m</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，本项目露天区产能</w:t>
      </w:r>
      <w:r>
        <w:rPr>
          <w:rFonts w:ascii="SimSun" w:hAnsi="SimSun" w:eastAsia="SimSun" w:cs="SimSun"/>
          <w:sz w:val="24"/>
          <w:szCs w:val="24"/>
          <w:spacing w:val="-1"/>
        </w:rPr>
        <w:t>不变，不新增运输扬尘，根据大气环境</w:t>
      </w:r>
      <w:r>
        <w:rPr>
          <w:rFonts w:ascii="SimSun" w:hAnsi="SimSun" w:eastAsia="SimSun" w:cs="SimSun"/>
          <w:sz w:val="24"/>
          <w:szCs w:val="24"/>
          <w:spacing w:val="-2"/>
        </w:rPr>
        <w:t>质量现状监测数据，在采取相应污染防治措施后，运输道路扬尘对环境空气的不利影响</w:t>
      </w:r>
      <w:r>
        <w:rPr>
          <w:rFonts w:ascii="SimSun" w:hAnsi="SimSun" w:eastAsia="SimSun" w:cs="SimSun"/>
          <w:sz w:val="24"/>
          <w:szCs w:val="24"/>
          <w:spacing w:val="-4"/>
        </w:rPr>
        <w:t>较小。</w:t>
      </w:r>
    </w:p>
    <w:p>
      <w:pPr>
        <w:ind w:left="36"/>
        <w:spacing w:before="24"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5.2.2.3  </w:t>
      </w:r>
      <w:r>
        <w:rPr>
          <w:rFonts w:ascii="SimHei" w:hAnsi="SimHei" w:eastAsia="SimHei" w:cs="SimHei"/>
          <w:sz w:val="24"/>
          <w:szCs w:val="24"/>
          <w:b/>
          <w:bCs/>
          <w:spacing w:val="-2"/>
        </w:rPr>
        <w:t>燃油废气影响分析</w:t>
      </w:r>
    </w:p>
    <w:p>
      <w:pPr>
        <w:ind w:left="37" w:right="31" w:firstLine="480"/>
        <w:spacing w:before="162" w:line="338" w:lineRule="auto"/>
        <w:jc w:val="both"/>
        <w:rPr>
          <w:rFonts w:ascii="SimSun" w:hAnsi="SimSun" w:eastAsia="SimSun" w:cs="SimSun"/>
          <w:sz w:val="24"/>
          <w:szCs w:val="24"/>
        </w:rPr>
      </w:pPr>
      <w:r>
        <w:rPr>
          <w:rFonts w:ascii="SimSun" w:hAnsi="SimSun" w:eastAsia="SimSun" w:cs="SimSun"/>
          <w:sz w:val="24"/>
          <w:szCs w:val="24"/>
          <w:spacing w:val="-2"/>
        </w:rPr>
        <w:t>采掘设备、自卸汽车等设备以柴油作为燃料，运行过程中会有燃油废气排放，其主</w:t>
      </w:r>
      <w:r>
        <w:rPr>
          <w:rFonts w:ascii="SimSun" w:hAnsi="SimSun" w:eastAsia="SimSun" w:cs="SimSun"/>
          <w:sz w:val="24"/>
          <w:szCs w:val="24"/>
          <w:spacing w:val="-3"/>
        </w:rPr>
        <w:t>要污染物为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3"/>
        </w:rPr>
        <w:t>CO</w:t>
      </w:r>
      <w:r>
        <w:rPr>
          <w:rFonts w:ascii="SimSun" w:hAnsi="SimSun" w:eastAsia="SimSun" w:cs="SimSun"/>
          <w:sz w:val="24"/>
          <w:szCs w:val="24"/>
          <w:spacing w:val="-3"/>
        </w:rPr>
        <w:t>、</w:t>
      </w:r>
      <w:r>
        <w:rPr>
          <w:rFonts w:ascii="Times New Roman" w:hAnsi="Times New Roman" w:eastAsia="Times New Roman" w:cs="Times New Roman"/>
          <w:sz w:val="24"/>
          <w:szCs w:val="24"/>
          <w:spacing w:val="-3"/>
        </w:rPr>
        <w:t>NO</w:t>
      </w:r>
      <w:r>
        <w:rPr>
          <w:rFonts w:ascii="Times New Roman" w:hAnsi="Times New Roman" w:eastAsia="Times New Roman" w:cs="Times New Roman"/>
          <w:sz w:val="15"/>
          <w:szCs w:val="15"/>
          <w:spacing w:val="-3"/>
          <w:position w:val="-1"/>
        </w:rPr>
        <w:t>X</w:t>
      </w:r>
      <w:r>
        <w:rPr>
          <w:rFonts w:ascii="SimSun" w:hAnsi="SimSun" w:eastAsia="SimSun" w:cs="SimSun"/>
          <w:sz w:val="24"/>
          <w:szCs w:val="24"/>
          <w:spacing w:val="-3"/>
        </w:rPr>
        <w:t>、</w:t>
      </w:r>
      <w:r>
        <w:rPr>
          <w:rFonts w:ascii="Times New Roman" w:hAnsi="Times New Roman" w:eastAsia="Times New Roman" w:cs="Times New Roman"/>
          <w:sz w:val="24"/>
          <w:szCs w:val="24"/>
          <w:spacing w:val="-3"/>
        </w:rPr>
        <w:t>HC </w:t>
      </w:r>
      <w:r>
        <w:rPr>
          <w:rFonts w:ascii="SimSun" w:hAnsi="SimSun" w:eastAsia="SimSun" w:cs="SimSun"/>
          <w:sz w:val="24"/>
          <w:szCs w:val="24"/>
          <w:spacing w:val="-3"/>
        </w:rPr>
        <w:t>等，其排放量较小，道路沿线地域开阔，汽车尾气经自然扩</w:t>
      </w:r>
      <w:r>
        <w:rPr>
          <w:rFonts w:ascii="SimSun" w:hAnsi="SimSun" w:eastAsia="SimSun" w:cs="SimSun"/>
          <w:sz w:val="24"/>
          <w:szCs w:val="24"/>
          <w:spacing w:val="-1"/>
        </w:rPr>
        <w:t>散后，对周围环境空气质量影响较小。</w:t>
      </w:r>
    </w:p>
    <w:p>
      <w:pPr>
        <w:ind w:left="38" w:right="36" w:firstLine="482"/>
        <w:spacing w:before="2" w:line="341" w:lineRule="auto"/>
        <w:rPr>
          <w:rFonts w:ascii="SimSun" w:hAnsi="SimSun" w:eastAsia="SimSun" w:cs="SimSun"/>
          <w:sz w:val="24"/>
          <w:szCs w:val="24"/>
        </w:rPr>
      </w:pPr>
      <w:r>
        <w:rPr>
          <w:rFonts w:ascii="SimSun" w:hAnsi="SimSun" w:eastAsia="SimSun" w:cs="SimSun"/>
          <w:sz w:val="24"/>
          <w:szCs w:val="24"/>
          <w:spacing w:val="-2"/>
        </w:rPr>
        <w:t>综上分析，从影响分析及预测结果可知，本项目运营期各生产环节起尘量均较小，</w:t>
      </w:r>
      <w:r>
        <w:rPr>
          <w:rFonts w:ascii="SimSun" w:hAnsi="SimSun" w:eastAsia="SimSun" w:cs="SimSun"/>
          <w:sz w:val="24"/>
          <w:szCs w:val="24"/>
        </w:rPr>
        <w:t>通过类比调查，粉尘的影响范围主要在矿区内部，对</w:t>
      </w:r>
      <w:r>
        <w:rPr>
          <w:rFonts w:ascii="SimSun" w:hAnsi="SimSun" w:eastAsia="SimSun" w:cs="SimSun"/>
          <w:sz w:val="24"/>
          <w:szCs w:val="24"/>
          <w:spacing w:val="-1"/>
        </w:rPr>
        <w:t>矿区周围环境影响不大。</w:t>
      </w:r>
    </w:p>
    <w:p>
      <w:pPr>
        <w:ind w:left="38"/>
        <w:spacing w:before="9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5.2.4 </w:t>
      </w:r>
      <w:r>
        <w:rPr>
          <w:rFonts w:ascii="SimHei" w:hAnsi="SimHei" w:eastAsia="SimHei" w:cs="SimHei"/>
          <w:sz w:val="28"/>
          <w:szCs w:val="28"/>
          <w:b/>
          <w:bCs/>
          <w:spacing w:val="-2"/>
        </w:rPr>
        <w:t>大气环境影响评价自查表</w:t>
      </w:r>
    </w:p>
    <w:p>
      <w:pPr>
        <w:ind w:left="519"/>
        <w:spacing w:before="286" w:line="218" w:lineRule="auto"/>
        <w:rPr>
          <w:rFonts w:ascii="SimSun" w:hAnsi="SimSun" w:eastAsia="SimSun" w:cs="SimSun"/>
          <w:sz w:val="24"/>
          <w:szCs w:val="24"/>
        </w:rPr>
      </w:pPr>
      <w:r>
        <w:rPr>
          <w:rFonts w:ascii="SimSun" w:hAnsi="SimSun" w:eastAsia="SimSun" w:cs="SimSun"/>
          <w:sz w:val="24"/>
          <w:szCs w:val="24"/>
          <w:spacing w:val="-1"/>
        </w:rPr>
        <w:t>本项目大气环境影响评价自查表见表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5-2</w:t>
      </w:r>
      <w:r>
        <w:rPr>
          <w:rFonts w:ascii="Times New Roman" w:hAnsi="Times New Roman" w:eastAsia="Times New Roman" w:cs="Times New Roman"/>
          <w:sz w:val="24"/>
          <w:szCs w:val="24"/>
          <w:spacing w:val="-2"/>
        </w:rPr>
        <w:t>-7</w:t>
      </w:r>
      <w:r>
        <w:rPr>
          <w:rFonts w:ascii="SimSun" w:hAnsi="SimSun" w:eastAsia="SimSun" w:cs="SimSun"/>
          <w:sz w:val="24"/>
          <w:szCs w:val="24"/>
          <w:spacing w:val="-2"/>
        </w:rPr>
        <w:t>。</w:t>
      </w:r>
    </w:p>
    <w:p>
      <w:pPr>
        <w:ind w:left="3358"/>
        <w:spacing w:before="188" w:line="222" w:lineRule="auto"/>
        <w:rPr>
          <w:rFonts w:ascii="SimHei" w:hAnsi="SimHei" w:eastAsia="SimHei" w:cs="SimHei"/>
          <w:sz w:val="24"/>
          <w:szCs w:val="24"/>
        </w:rPr>
      </w:pPr>
      <w:r>
        <w:rPr>
          <w:rFonts w:ascii="SimHei" w:hAnsi="SimHei" w:eastAsia="SimHei" w:cs="SimHei"/>
          <w:sz w:val="24"/>
          <w:szCs w:val="24"/>
          <w:spacing w:val="-1"/>
        </w:rPr>
        <w:t>大气环境影响评价自查表</w:t>
      </w:r>
    </w:p>
    <w:p>
      <w:pPr>
        <w:ind w:left="36"/>
        <w:spacing w:before="219"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5-2-7</w:t>
      </w:r>
    </w:p>
    <w:p>
      <w:pPr>
        <w:spacing w:line="30" w:lineRule="exact"/>
        <w:rPr/>
      </w:pPr>
      <w:r/>
    </w:p>
    <w:tbl>
      <w:tblPr>
        <w:tblStyle w:val="TableNormal"/>
        <w:tblW w:w="912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9"/>
        <w:gridCol w:w="1758"/>
        <w:gridCol w:w="967"/>
        <w:gridCol w:w="314"/>
        <w:gridCol w:w="348"/>
        <w:gridCol w:w="144"/>
        <w:gridCol w:w="703"/>
        <w:gridCol w:w="458"/>
        <w:gridCol w:w="758"/>
        <w:gridCol w:w="499"/>
        <w:gridCol w:w="979"/>
        <w:gridCol w:w="705"/>
        <w:gridCol w:w="695"/>
      </w:tblGrid>
      <w:tr>
        <w:trPr>
          <w:trHeight w:val="273" w:hRule="atLeast"/>
        </w:trPr>
        <w:tc>
          <w:tcPr>
            <w:tcW w:w="2557" w:type="dxa"/>
            <w:vAlign w:val="top"/>
            <w:gridSpan w:val="2"/>
          </w:tcPr>
          <w:p>
            <w:pPr>
              <w:ind w:left="867"/>
              <w:spacing w:before="28" w:line="216" w:lineRule="auto"/>
              <w:rPr>
                <w:rFonts w:ascii="SimSun" w:hAnsi="SimSun" w:eastAsia="SimSun" w:cs="SimSun"/>
                <w:sz w:val="20"/>
                <w:szCs w:val="20"/>
              </w:rPr>
            </w:pPr>
            <w:r>
              <w:rPr>
                <w:rFonts w:ascii="SimSun" w:hAnsi="SimSun" w:eastAsia="SimSun" w:cs="SimSun"/>
                <w:sz w:val="20"/>
                <w:szCs w:val="20"/>
                <w:spacing w:val="6"/>
              </w:rPr>
              <w:t>工作内容</w:t>
            </w:r>
          </w:p>
        </w:tc>
        <w:tc>
          <w:tcPr>
            <w:tcW w:w="6570" w:type="dxa"/>
            <w:vAlign w:val="top"/>
            <w:gridSpan w:val="11"/>
          </w:tcPr>
          <w:p>
            <w:pPr>
              <w:ind w:left="2904"/>
              <w:spacing w:before="28" w:line="216" w:lineRule="auto"/>
              <w:rPr>
                <w:rFonts w:ascii="SimSun" w:hAnsi="SimSun" w:eastAsia="SimSun" w:cs="SimSun"/>
                <w:sz w:val="20"/>
                <w:szCs w:val="20"/>
              </w:rPr>
            </w:pPr>
            <w:r>
              <w:rPr>
                <w:rFonts w:ascii="SimSun" w:hAnsi="SimSun" w:eastAsia="SimSun" w:cs="SimSun"/>
                <w:sz w:val="20"/>
                <w:szCs w:val="20"/>
                <w:spacing w:val="-2"/>
              </w:rPr>
              <w:t>自查项目</w:t>
            </w:r>
          </w:p>
        </w:tc>
      </w:tr>
      <w:tr>
        <w:trPr>
          <w:trHeight w:val="273" w:hRule="atLeast"/>
        </w:trPr>
        <w:tc>
          <w:tcPr>
            <w:tcW w:w="799" w:type="dxa"/>
            <w:vAlign w:val="top"/>
            <w:vMerge w:val="restart"/>
            <w:tcBorders>
              <w:bottom w:val="nil"/>
            </w:tcBorders>
          </w:tcPr>
          <w:p>
            <w:pPr>
              <w:ind w:left="88"/>
              <w:spacing w:before="27" w:line="226" w:lineRule="auto"/>
              <w:rPr>
                <w:rFonts w:ascii="SimSun" w:hAnsi="SimSun" w:eastAsia="SimSun" w:cs="SimSun"/>
                <w:sz w:val="20"/>
                <w:szCs w:val="20"/>
              </w:rPr>
            </w:pPr>
            <w:r>
              <w:rPr>
                <w:rFonts w:ascii="SimSun" w:hAnsi="SimSun" w:eastAsia="SimSun" w:cs="SimSun"/>
                <w:sz w:val="20"/>
                <w:szCs w:val="20"/>
                <w:spacing w:val="7"/>
              </w:rPr>
              <w:t>评价等</w:t>
            </w:r>
          </w:p>
          <w:p>
            <w:pPr>
              <w:ind w:left="313" w:right="83" w:hanging="221"/>
              <w:spacing w:before="25" w:line="235" w:lineRule="auto"/>
              <w:rPr>
                <w:rFonts w:ascii="SimSun" w:hAnsi="SimSun" w:eastAsia="SimSun" w:cs="SimSun"/>
                <w:sz w:val="20"/>
                <w:szCs w:val="20"/>
              </w:rPr>
            </w:pPr>
            <w:r>
              <w:rPr>
                <w:rFonts w:ascii="SimSun" w:hAnsi="SimSun" w:eastAsia="SimSun" w:cs="SimSun"/>
                <w:sz w:val="20"/>
                <w:szCs w:val="20"/>
                <w:spacing w:val="5"/>
              </w:rPr>
              <w:t>级与范</w:t>
            </w:r>
            <w:r>
              <w:rPr>
                <w:rFonts w:ascii="SimSun" w:hAnsi="SimSun" w:eastAsia="SimSun" w:cs="SimSun"/>
                <w:sz w:val="20"/>
                <w:szCs w:val="20"/>
              </w:rPr>
              <w:t>围</w:t>
            </w:r>
          </w:p>
        </w:tc>
        <w:tc>
          <w:tcPr>
            <w:tcW w:w="1758" w:type="dxa"/>
            <w:vAlign w:val="top"/>
          </w:tcPr>
          <w:p>
            <w:pPr>
              <w:ind w:left="460"/>
              <w:spacing w:before="26" w:line="218" w:lineRule="auto"/>
              <w:rPr>
                <w:rFonts w:ascii="SimSun" w:hAnsi="SimSun" w:eastAsia="SimSun" w:cs="SimSun"/>
                <w:sz w:val="20"/>
                <w:szCs w:val="20"/>
              </w:rPr>
            </w:pPr>
            <w:r>
              <w:rPr>
                <w:rFonts w:ascii="SimSun" w:hAnsi="SimSun" w:eastAsia="SimSun" w:cs="SimSun"/>
                <w:sz w:val="20"/>
                <w:szCs w:val="20"/>
                <w:spacing w:val="7"/>
              </w:rPr>
              <w:t>评价等级</w:t>
            </w:r>
          </w:p>
        </w:tc>
        <w:tc>
          <w:tcPr>
            <w:tcW w:w="2476" w:type="dxa"/>
            <w:vAlign w:val="top"/>
            <w:gridSpan w:val="5"/>
          </w:tcPr>
          <w:p>
            <w:pPr>
              <w:pStyle w:val="TableText"/>
              <w:ind w:left="970"/>
              <w:spacing w:before="26" w:line="218" w:lineRule="auto"/>
              <w:rPr/>
            </w:pPr>
            <w:r>
              <w:rPr>
                <w:rFonts w:ascii="SimSun" w:hAnsi="SimSun" w:eastAsia="SimSun" w:cs="SimSun"/>
                <w:spacing w:val="4"/>
              </w:rPr>
              <w:t>一级</w:t>
            </w:r>
            <w:r>
              <w:rPr>
                <w:spacing w:val="4"/>
              </w:rPr>
              <w:t>□</w:t>
            </w:r>
          </w:p>
        </w:tc>
        <w:tc>
          <w:tcPr>
            <w:tcW w:w="2694" w:type="dxa"/>
            <w:vAlign w:val="top"/>
            <w:gridSpan w:val="4"/>
          </w:tcPr>
          <w:p>
            <w:pPr>
              <w:ind w:left="1050"/>
              <w:spacing w:before="26" w:line="218" w:lineRule="auto"/>
              <w:rPr>
                <w:sz w:val="20"/>
                <w:szCs w:val="20"/>
              </w:rPr>
            </w:pPr>
            <w:r>
              <w:rPr>
                <w:rFonts w:ascii="SimSun" w:hAnsi="SimSun" w:eastAsia="SimSun" w:cs="SimSun"/>
                <w:sz w:val="20"/>
                <w:szCs w:val="20"/>
                <w:spacing w:val="3"/>
              </w:rPr>
              <w:t>二级</w:t>
            </w:r>
            <w:r>
              <w:rPr>
                <w:sz w:val="20"/>
                <w:szCs w:val="20"/>
                <w:position w:val="-4"/>
              </w:rPr>
              <w:drawing>
                <wp:inline distT="0" distB="0" distL="0" distR="0">
                  <wp:extent cx="115929" cy="139748"/>
                  <wp:effectExtent l="0" t="0" r="0" b="0"/>
                  <wp:docPr id="262" name="IM 262"/>
                  <wp:cNvGraphicFramePr/>
                  <a:graphic>
                    <a:graphicData uri="http://schemas.openxmlformats.org/drawingml/2006/picture">
                      <pic:pic>
                        <pic:nvPicPr>
                          <pic:cNvPr id="262" name="IM 262"/>
                          <pic:cNvPicPr/>
                        </pic:nvPicPr>
                        <pic:blipFill>
                          <a:blip r:embed="rId373"/>
                          <a:stretch>
                            <a:fillRect/>
                          </a:stretch>
                        </pic:blipFill>
                        <pic:spPr>
                          <a:xfrm rot="0">
                            <a:off x="0" y="0"/>
                            <a:ext cx="115929" cy="139748"/>
                          </a:xfrm>
                          <a:prstGeom prst="rect">
                            <a:avLst/>
                          </a:prstGeom>
                        </pic:spPr>
                      </pic:pic>
                    </a:graphicData>
                  </a:graphic>
                </wp:inline>
              </w:drawing>
            </w:r>
          </w:p>
        </w:tc>
        <w:tc>
          <w:tcPr>
            <w:tcW w:w="1400" w:type="dxa"/>
            <w:vAlign w:val="top"/>
            <w:gridSpan w:val="2"/>
          </w:tcPr>
          <w:p>
            <w:pPr>
              <w:pStyle w:val="TableText"/>
              <w:ind w:left="428"/>
              <w:spacing w:before="26" w:line="218" w:lineRule="auto"/>
              <w:rPr/>
            </w:pPr>
            <w:r>
              <w:rPr>
                <w:rFonts w:ascii="SimSun" w:hAnsi="SimSun" w:eastAsia="SimSun" w:cs="SimSun"/>
                <w:spacing w:val="5"/>
              </w:rPr>
              <w:t>三级</w:t>
            </w:r>
            <w:r>
              <w:rPr>
                <w:spacing w:val="5"/>
              </w:rPr>
              <w:t>□</w:t>
            </w:r>
          </w:p>
        </w:tc>
      </w:tr>
      <w:tr>
        <w:trPr>
          <w:trHeight w:val="539" w:hRule="atLeast"/>
        </w:trPr>
        <w:tc>
          <w:tcPr>
            <w:tcW w:w="799" w:type="dxa"/>
            <w:vAlign w:val="top"/>
            <w:vMerge w:val="continue"/>
            <w:tcBorders>
              <w:top w:val="nil"/>
            </w:tcBorders>
          </w:tcPr>
          <w:p>
            <w:pPr>
              <w:rPr>
                <w:rFonts w:ascii="Arial"/>
                <w:sz w:val="21"/>
              </w:rPr>
            </w:pPr>
            <w:r/>
          </w:p>
        </w:tc>
        <w:tc>
          <w:tcPr>
            <w:tcW w:w="1758" w:type="dxa"/>
            <w:vAlign w:val="top"/>
          </w:tcPr>
          <w:p>
            <w:pPr>
              <w:ind w:left="460"/>
              <w:spacing w:before="159" w:line="226" w:lineRule="auto"/>
              <w:rPr>
                <w:rFonts w:ascii="SimSun" w:hAnsi="SimSun" w:eastAsia="SimSun" w:cs="SimSun"/>
                <w:sz w:val="20"/>
                <w:szCs w:val="20"/>
              </w:rPr>
            </w:pPr>
            <w:r>
              <w:rPr>
                <w:rFonts w:ascii="SimSun" w:hAnsi="SimSun" w:eastAsia="SimSun" w:cs="SimSun"/>
                <w:sz w:val="20"/>
                <w:szCs w:val="20"/>
                <w:spacing w:val="7"/>
              </w:rPr>
              <w:t>评价范围</w:t>
            </w:r>
          </w:p>
        </w:tc>
        <w:tc>
          <w:tcPr>
            <w:tcW w:w="2476" w:type="dxa"/>
            <w:vAlign w:val="top"/>
            <w:gridSpan w:val="5"/>
          </w:tcPr>
          <w:p>
            <w:pPr>
              <w:pStyle w:val="TableText"/>
              <w:ind w:left="670"/>
              <w:spacing w:before="121" w:line="281" w:lineRule="exact"/>
              <w:rPr/>
            </w:pPr>
            <w:r>
              <w:rPr>
                <w:rFonts w:ascii="SimSun" w:hAnsi="SimSun" w:eastAsia="SimSun" w:cs="SimSun"/>
                <w:spacing w:val="7"/>
                <w:position w:val="1"/>
              </w:rPr>
              <w:t>边长</w:t>
            </w:r>
            <w:r>
              <w:rPr>
                <w:spacing w:val="7"/>
                <w:position w:val="1"/>
              </w:rPr>
              <w:t>=50</w:t>
            </w:r>
            <w:r>
              <w:rPr>
                <w:position w:val="1"/>
              </w:rPr>
              <w:t>km</w:t>
            </w:r>
            <w:r>
              <w:rPr>
                <w:spacing w:val="7"/>
                <w:position w:val="1"/>
              </w:rPr>
              <w:t>□</w:t>
            </w:r>
          </w:p>
        </w:tc>
        <w:tc>
          <w:tcPr>
            <w:tcW w:w="2694" w:type="dxa"/>
            <w:vAlign w:val="top"/>
            <w:gridSpan w:val="4"/>
          </w:tcPr>
          <w:p>
            <w:pPr>
              <w:pStyle w:val="TableText"/>
              <w:ind w:left="654"/>
              <w:spacing w:before="159" w:line="231" w:lineRule="auto"/>
              <w:rPr/>
            </w:pPr>
            <w:r>
              <w:rPr>
                <w:rFonts w:ascii="SimSun" w:hAnsi="SimSun" w:eastAsia="SimSun" w:cs="SimSun"/>
                <w:spacing w:val="6"/>
              </w:rPr>
              <w:t>边长</w:t>
            </w:r>
            <w:r>
              <w:rPr>
                <w:rFonts w:ascii="SimSun" w:hAnsi="SimSun" w:eastAsia="SimSun" w:cs="SimSun"/>
                <w:spacing w:val="-35"/>
              </w:rPr>
              <w:t xml:space="preserve"> </w:t>
            </w:r>
            <w:r>
              <w:rPr>
                <w:spacing w:val="6"/>
              </w:rPr>
              <w:t>5</w:t>
            </w:r>
            <w:r>
              <w:rPr>
                <w:rFonts w:ascii="SimSun" w:hAnsi="SimSun" w:eastAsia="SimSun" w:cs="SimSun"/>
                <w:spacing w:val="6"/>
              </w:rPr>
              <w:t>～</w:t>
            </w:r>
            <w:r>
              <w:rPr>
                <w:spacing w:val="6"/>
              </w:rPr>
              <w:t>50</w:t>
            </w:r>
            <w:r>
              <w:rPr/>
              <w:t>km</w:t>
            </w:r>
            <w:r>
              <w:rPr>
                <w:spacing w:val="6"/>
              </w:rPr>
              <w:t>□</w:t>
            </w:r>
          </w:p>
        </w:tc>
        <w:tc>
          <w:tcPr>
            <w:tcW w:w="1400" w:type="dxa"/>
            <w:vAlign w:val="top"/>
            <w:gridSpan w:val="2"/>
          </w:tcPr>
          <w:p>
            <w:pPr>
              <w:pStyle w:val="TableText"/>
              <w:ind w:left="152"/>
              <w:spacing w:before="121" w:line="281" w:lineRule="exact"/>
              <w:rPr/>
            </w:pPr>
            <w:r>
              <w:rPr>
                <w:rFonts w:ascii="SimSun" w:hAnsi="SimSun" w:eastAsia="SimSun" w:cs="SimSun"/>
                <w:spacing w:val="8"/>
                <w:position w:val="1"/>
              </w:rPr>
              <w:t>边长</w:t>
            </w:r>
            <w:r>
              <w:rPr>
                <w:spacing w:val="8"/>
                <w:position w:val="1"/>
              </w:rPr>
              <w:t>=5</w:t>
            </w:r>
            <w:r>
              <w:rPr>
                <w:position w:val="1"/>
              </w:rPr>
              <w:t>km</w:t>
            </w:r>
            <w:r>
              <w:rPr>
                <w:position w:val="-3"/>
              </w:rPr>
              <w:drawing>
                <wp:inline distT="0" distB="0" distL="0" distR="0">
                  <wp:extent cx="115045" cy="139748"/>
                  <wp:effectExtent l="0" t="0" r="0" b="0"/>
                  <wp:docPr id="264" name="IM 264"/>
                  <wp:cNvGraphicFramePr/>
                  <a:graphic>
                    <a:graphicData uri="http://schemas.openxmlformats.org/drawingml/2006/picture">
                      <pic:pic>
                        <pic:nvPicPr>
                          <pic:cNvPr id="264" name="IM 264"/>
                          <pic:cNvPicPr/>
                        </pic:nvPicPr>
                        <pic:blipFill>
                          <a:blip r:embed="rId374"/>
                          <a:stretch>
                            <a:fillRect/>
                          </a:stretch>
                        </pic:blipFill>
                        <pic:spPr>
                          <a:xfrm rot="0">
                            <a:off x="0" y="0"/>
                            <a:ext cx="115045" cy="139748"/>
                          </a:xfrm>
                          <a:prstGeom prst="rect">
                            <a:avLst/>
                          </a:prstGeom>
                        </pic:spPr>
                      </pic:pic>
                    </a:graphicData>
                  </a:graphic>
                </wp:inline>
              </w:drawing>
            </w:r>
          </w:p>
        </w:tc>
      </w:tr>
      <w:tr>
        <w:trPr>
          <w:trHeight w:val="271" w:hRule="atLeast"/>
        </w:trPr>
        <w:tc>
          <w:tcPr>
            <w:tcW w:w="799" w:type="dxa"/>
            <w:vAlign w:val="top"/>
            <w:vMerge w:val="restart"/>
            <w:tcBorders>
              <w:bottom w:val="nil"/>
            </w:tcBorders>
          </w:tcPr>
          <w:p>
            <w:pPr>
              <w:ind w:left="296" w:right="83" w:hanging="208"/>
              <w:spacing w:before="165" w:line="252" w:lineRule="auto"/>
              <w:rPr>
                <w:rFonts w:ascii="SimSun" w:hAnsi="SimSun" w:eastAsia="SimSun" w:cs="SimSun"/>
                <w:sz w:val="20"/>
                <w:szCs w:val="20"/>
              </w:rPr>
            </w:pPr>
            <w:r>
              <w:rPr>
                <w:rFonts w:ascii="SimSun" w:hAnsi="SimSun" w:eastAsia="SimSun" w:cs="SimSun"/>
                <w:sz w:val="20"/>
                <w:szCs w:val="20"/>
                <w:spacing w:val="7"/>
              </w:rPr>
              <w:t>评价因</w:t>
            </w:r>
            <w:r>
              <w:rPr>
                <w:rFonts w:ascii="SimSun" w:hAnsi="SimSun" w:eastAsia="SimSun" w:cs="SimSun"/>
                <w:sz w:val="20"/>
                <w:szCs w:val="20"/>
              </w:rPr>
              <w:t>子</w:t>
            </w:r>
          </w:p>
        </w:tc>
        <w:tc>
          <w:tcPr>
            <w:tcW w:w="1758" w:type="dxa"/>
            <w:vAlign w:val="top"/>
          </w:tcPr>
          <w:p>
            <w:pPr>
              <w:pStyle w:val="TableText"/>
              <w:ind w:left="145"/>
              <w:spacing w:before="28" w:line="215" w:lineRule="auto"/>
              <w:rPr>
                <w:rFonts w:ascii="SimSun" w:hAnsi="SimSun" w:eastAsia="SimSun" w:cs="SimSun"/>
              </w:rPr>
            </w:pPr>
            <w:r>
              <w:rPr/>
              <w:t>SO</w:t>
            </w:r>
            <w:r>
              <w:rPr>
                <w:sz w:val="13"/>
                <w:szCs w:val="13"/>
                <w:spacing w:val="9"/>
                <w:position w:val="-1"/>
              </w:rPr>
              <w:t>2</w:t>
            </w:r>
            <w:r>
              <w:rPr>
                <w:spacing w:val="9"/>
              </w:rPr>
              <w:t>+</w:t>
            </w:r>
            <w:r>
              <w:rPr/>
              <w:t>NO</w:t>
            </w:r>
            <w:r>
              <w:rPr>
                <w:sz w:val="13"/>
                <w:szCs w:val="13"/>
                <w:i/>
                <w:iCs/>
                <w:position w:val="-1"/>
              </w:rPr>
              <w:t>x</w:t>
            </w:r>
            <w:r>
              <w:rPr>
                <w:sz w:val="13"/>
                <w:szCs w:val="13"/>
                <w:i/>
                <w:iCs/>
                <w:spacing w:val="9"/>
                <w:position w:val="-1"/>
              </w:rPr>
              <w:t xml:space="preserve"> </w:t>
            </w:r>
            <w:r>
              <w:rPr>
                <w:rFonts w:ascii="SimSun" w:hAnsi="SimSun" w:eastAsia="SimSun" w:cs="SimSun"/>
                <w:spacing w:val="9"/>
              </w:rPr>
              <w:t>排放量</w:t>
            </w:r>
          </w:p>
        </w:tc>
        <w:tc>
          <w:tcPr>
            <w:tcW w:w="1281" w:type="dxa"/>
            <w:vAlign w:val="top"/>
            <w:gridSpan w:val="2"/>
          </w:tcPr>
          <w:p>
            <w:pPr>
              <w:pStyle w:val="TableText"/>
              <w:ind w:left="202"/>
              <w:spacing w:before="60" w:line="199" w:lineRule="auto"/>
              <w:rPr/>
            </w:pPr>
            <w:r>
              <w:rPr>
                <w:spacing w:val="4"/>
              </w:rPr>
              <w:t>≥2000t/a□</w:t>
            </w:r>
          </w:p>
        </w:tc>
        <w:tc>
          <w:tcPr>
            <w:tcW w:w="3889" w:type="dxa"/>
            <w:vAlign w:val="top"/>
            <w:gridSpan w:val="7"/>
          </w:tcPr>
          <w:p>
            <w:pPr>
              <w:pStyle w:val="TableText"/>
              <w:ind w:left="1355"/>
              <w:spacing w:before="60" w:line="199" w:lineRule="auto"/>
              <w:rPr/>
            </w:pPr>
            <w:r>
              <w:rPr>
                <w:spacing w:val="4"/>
              </w:rPr>
              <w:t>500~2000t/a□</w:t>
            </w:r>
          </w:p>
        </w:tc>
        <w:tc>
          <w:tcPr>
            <w:tcW w:w="1400" w:type="dxa"/>
            <w:vAlign w:val="top"/>
            <w:gridSpan w:val="2"/>
          </w:tcPr>
          <w:p>
            <w:pPr>
              <w:pStyle w:val="TableText"/>
              <w:ind w:left="247"/>
              <w:spacing w:before="28" w:line="215" w:lineRule="auto"/>
              <w:rPr>
                <w:rFonts w:ascii="MS UI Gothic" w:hAnsi="MS UI Gothic" w:eastAsia="MS UI Gothic" w:cs="MS UI Gothic"/>
              </w:rPr>
            </w:pPr>
            <w:r>
              <w:rPr>
                <w:rFonts w:ascii="SimSun" w:hAnsi="SimSun" w:eastAsia="SimSun" w:cs="SimSun"/>
                <w:spacing w:val="15"/>
              </w:rPr>
              <w:t>&lt;</w:t>
            </w:r>
            <w:r>
              <w:rPr>
                <w:spacing w:val="15"/>
              </w:rPr>
              <w:t>500t/a</w:t>
            </w:r>
            <w:r>
              <w:rPr>
                <w:rFonts w:ascii="MS UI Gothic" w:hAnsi="MS UI Gothic" w:eastAsia="MS UI Gothic" w:cs="MS UI Gothic"/>
                <w:spacing w:val="15"/>
              </w:rPr>
              <w:t>☑</w:t>
            </w:r>
          </w:p>
        </w:tc>
      </w:tr>
      <w:tr>
        <w:trPr>
          <w:trHeight w:val="544" w:hRule="atLeast"/>
        </w:trPr>
        <w:tc>
          <w:tcPr>
            <w:tcW w:w="799" w:type="dxa"/>
            <w:vAlign w:val="top"/>
            <w:vMerge w:val="continue"/>
            <w:tcBorders>
              <w:top w:val="nil"/>
            </w:tcBorders>
          </w:tcPr>
          <w:p>
            <w:pPr>
              <w:rPr>
                <w:rFonts w:ascii="Arial"/>
                <w:sz w:val="21"/>
              </w:rPr>
            </w:pPr>
            <w:r/>
          </w:p>
        </w:tc>
        <w:tc>
          <w:tcPr>
            <w:tcW w:w="1758" w:type="dxa"/>
            <w:vAlign w:val="top"/>
          </w:tcPr>
          <w:p>
            <w:pPr>
              <w:ind w:left="460"/>
              <w:spacing w:before="162" w:line="226" w:lineRule="auto"/>
              <w:rPr>
                <w:rFonts w:ascii="SimSun" w:hAnsi="SimSun" w:eastAsia="SimSun" w:cs="SimSun"/>
                <w:sz w:val="20"/>
                <w:szCs w:val="20"/>
              </w:rPr>
            </w:pPr>
            <w:r>
              <w:rPr>
                <w:rFonts w:ascii="SimSun" w:hAnsi="SimSun" w:eastAsia="SimSun" w:cs="SimSun"/>
                <w:sz w:val="20"/>
                <w:szCs w:val="20"/>
                <w:spacing w:val="7"/>
              </w:rPr>
              <w:t>评价因子</w:t>
            </w:r>
          </w:p>
        </w:tc>
        <w:tc>
          <w:tcPr>
            <w:tcW w:w="3692" w:type="dxa"/>
            <w:vAlign w:val="top"/>
            <w:gridSpan w:val="7"/>
          </w:tcPr>
          <w:p>
            <w:pPr>
              <w:pStyle w:val="TableText"/>
              <w:ind w:left="1075" w:right="1069" w:firstLine="179"/>
              <w:spacing w:before="29" w:line="233" w:lineRule="auto"/>
              <w:rPr/>
            </w:pPr>
            <w:r>
              <w:rPr>
                <w:rFonts w:ascii="SimSun" w:hAnsi="SimSun" w:eastAsia="SimSun" w:cs="SimSun"/>
                <w:spacing w:val="7"/>
              </w:rPr>
              <w:t>基本污染物</w:t>
            </w:r>
            <w:r>
              <w:rPr>
                <w:spacing w:val="7"/>
              </w:rPr>
              <w:t>()</w:t>
            </w:r>
            <w:r>
              <w:rPr>
                <w:rFonts w:ascii="SimSun" w:hAnsi="SimSun" w:eastAsia="SimSun" w:cs="SimSun"/>
                <w:spacing w:val="9"/>
              </w:rPr>
              <w:t>其他污染物</w:t>
            </w:r>
            <w:r>
              <w:rPr>
                <w:spacing w:val="9"/>
              </w:rPr>
              <w:t>(</w:t>
            </w:r>
            <w:r>
              <w:rPr/>
              <w:t>TSP</w:t>
            </w:r>
            <w:r>
              <w:rPr>
                <w:spacing w:val="9"/>
              </w:rPr>
              <w:t>)</w:t>
            </w:r>
          </w:p>
        </w:tc>
        <w:tc>
          <w:tcPr>
            <w:tcW w:w="2878" w:type="dxa"/>
            <w:vAlign w:val="top"/>
            <w:gridSpan w:val="4"/>
          </w:tcPr>
          <w:p>
            <w:pPr>
              <w:pStyle w:val="TableText"/>
              <w:ind w:left="554" w:right="542" w:firstLine="140"/>
              <w:spacing w:before="29" w:line="233" w:lineRule="auto"/>
              <w:rPr>
                <w:rFonts w:ascii="MS UI Gothic" w:hAnsi="MS UI Gothic" w:eastAsia="MS UI Gothic" w:cs="MS UI Gothic"/>
              </w:rPr>
            </w:pPr>
            <w:r>
              <w:rPr>
                <w:rFonts w:ascii="SimSun" w:hAnsi="SimSun" w:eastAsia="SimSun" w:cs="SimSun"/>
                <w:spacing w:val="6"/>
              </w:rPr>
              <w:t>包括二次</w:t>
            </w:r>
            <w:r>
              <w:rPr>
                <w:rFonts w:ascii="SimSun" w:hAnsi="SimSun" w:eastAsia="SimSun" w:cs="SimSun"/>
                <w:spacing w:val="-36"/>
              </w:rPr>
              <w:t xml:space="preserve"> </w:t>
            </w:r>
            <w:r>
              <w:rPr/>
              <w:t>PM</w:t>
            </w:r>
            <w:r>
              <w:rPr>
                <w:sz w:val="13"/>
                <w:szCs w:val="13"/>
                <w:spacing w:val="6"/>
                <w:position w:val="-1"/>
              </w:rPr>
              <w:t>2.5</w:t>
            </w:r>
            <w:r>
              <w:rPr>
                <w:spacing w:val="6"/>
              </w:rPr>
              <w:t>□</w:t>
            </w:r>
            <w:r>
              <w:rPr>
                <w:rFonts w:ascii="SimSun" w:hAnsi="SimSun" w:eastAsia="SimSun" w:cs="SimSun"/>
                <w:spacing w:val="5"/>
              </w:rPr>
              <w:t>不包括二次</w:t>
            </w:r>
            <w:r>
              <w:rPr>
                <w:rFonts w:ascii="SimSun" w:hAnsi="SimSun" w:eastAsia="SimSun" w:cs="SimSun"/>
                <w:spacing w:val="-37"/>
              </w:rPr>
              <w:t xml:space="preserve"> </w:t>
            </w:r>
            <w:r>
              <w:rPr/>
              <w:t>PM</w:t>
            </w:r>
            <w:r>
              <w:rPr>
                <w:sz w:val="13"/>
                <w:szCs w:val="13"/>
                <w:spacing w:val="5"/>
                <w:position w:val="-1"/>
              </w:rPr>
              <w:t>2.5</w:t>
            </w:r>
            <w:r>
              <w:rPr>
                <w:sz w:val="13"/>
                <w:szCs w:val="13"/>
                <w:spacing w:val="-18"/>
                <w:position w:val="-1"/>
              </w:rPr>
              <w:t xml:space="preserve"> </w:t>
            </w:r>
            <w:r>
              <w:rPr>
                <w:rFonts w:ascii="MS UI Gothic" w:hAnsi="MS UI Gothic" w:eastAsia="MS UI Gothic" w:cs="MS UI Gothic"/>
                <w:spacing w:val="5"/>
              </w:rPr>
              <w:t>☑</w:t>
            </w:r>
          </w:p>
        </w:tc>
      </w:tr>
      <w:tr>
        <w:trPr>
          <w:trHeight w:val="544" w:hRule="atLeast"/>
        </w:trPr>
        <w:tc>
          <w:tcPr>
            <w:tcW w:w="799" w:type="dxa"/>
            <w:vAlign w:val="top"/>
          </w:tcPr>
          <w:p>
            <w:pPr>
              <w:ind w:left="296" w:right="83" w:hanging="208"/>
              <w:spacing w:before="29" w:line="233" w:lineRule="auto"/>
              <w:rPr>
                <w:rFonts w:ascii="SimSun" w:hAnsi="SimSun" w:eastAsia="SimSun" w:cs="SimSun"/>
                <w:sz w:val="20"/>
                <w:szCs w:val="20"/>
              </w:rPr>
            </w:pPr>
            <w:r>
              <w:rPr>
                <w:rFonts w:ascii="SimSun" w:hAnsi="SimSun" w:eastAsia="SimSun" w:cs="SimSun"/>
                <w:sz w:val="20"/>
                <w:szCs w:val="20"/>
                <w:spacing w:val="7"/>
              </w:rPr>
              <w:t>评价标</w:t>
            </w:r>
            <w:r>
              <w:rPr>
                <w:rFonts w:ascii="SimSun" w:hAnsi="SimSun" w:eastAsia="SimSun" w:cs="SimSun"/>
                <w:sz w:val="20"/>
                <w:szCs w:val="20"/>
              </w:rPr>
              <w:t>准</w:t>
            </w:r>
          </w:p>
        </w:tc>
        <w:tc>
          <w:tcPr>
            <w:tcW w:w="1758" w:type="dxa"/>
            <w:vAlign w:val="top"/>
          </w:tcPr>
          <w:p>
            <w:pPr>
              <w:ind w:left="460"/>
              <w:spacing w:before="163" w:line="226" w:lineRule="auto"/>
              <w:rPr>
                <w:rFonts w:ascii="SimSun" w:hAnsi="SimSun" w:eastAsia="SimSun" w:cs="SimSun"/>
                <w:sz w:val="20"/>
                <w:szCs w:val="20"/>
              </w:rPr>
            </w:pPr>
            <w:r>
              <w:rPr>
                <w:rFonts w:ascii="SimSun" w:hAnsi="SimSun" w:eastAsia="SimSun" w:cs="SimSun"/>
                <w:sz w:val="20"/>
                <w:szCs w:val="20"/>
                <w:spacing w:val="7"/>
              </w:rPr>
              <w:t>评价标准</w:t>
            </w:r>
          </w:p>
        </w:tc>
        <w:tc>
          <w:tcPr>
            <w:tcW w:w="1773" w:type="dxa"/>
            <w:vAlign w:val="top"/>
            <w:gridSpan w:val="4"/>
          </w:tcPr>
          <w:p>
            <w:pPr>
              <w:ind w:left="399"/>
              <w:spacing w:before="163" w:line="223" w:lineRule="auto"/>
              <w:rPr>
                <w:sz w:val="20"/>
                <w:szCs w:val="20"/>
              </w:rPr>
            </w:pPr>
            <w:r>
              <w:rPr>
                <w:rFonts w:ascii="SimSun" w:hAnsi="SimSun" w:eastAsia="SimSun" w:cs="SimSun"/>
                <w:sz w:val="20"/>
                <w:szCs w:val="20"/>
                <w:spacing w:val="2"/>
              </w:rPr>
              <w:t>国家标准</w:t>
            </w:r>
            <w:r>
              <w:rPr>
                <w:sz w:val="20"/>
                <w:szCs w:val="20"/>
                <w:position w:val="-4"/>
              </w:rPr>
              <w:drawing>
                <wp:inline distT="0" distB="0" distL="0" distR="0">
                  <wp:extent cx="115929" cy="139748"/>
                  <wp:effectExtent l="0" t="0" r="0" b="0"/>
                  <wp:docPr id="266" name="IM 266"/>
                  <wp:cNvGraphicFramePr/>
                  <a:graphic>
                    <a:graphicData uri="http://schemas.openxmlformats.org/drawingml/2006/picture">
                      <pic:pic>
                        <pic:nvPicPr>
                          <pic:cNvPr id="266" name="IM 266"/>
                          <pic:cNvPicPr/>
                        </pic:nvPicPr>
                        <pic:blipFill>
                          <a:blip r:embed="rId375"/>
                          <a:stretch>
                            <a:fillRect/>
                          </a:stretch>
                        </pic:blipFill>
                        <pic:spPr>
                          <a:xfrm rot="0">
                            <a:off x="0" y="0"/>
                            <a:ext cx="115929" cy="139748"/>
                          </a:xfrm>
                          <a:prstGeom prst="rect">
                            <a:avLst/>
                          </a:prstGeom>
                        </pic:spPr>
                      </pic:pic>
                    </a:graphicData>
                  </a:graphic>
                </wp:inline>
              </w:drawing>
            </w:r>
          </w:p>
        </w:tc>
        <w:tc>
          <w:tcPr>
            <w:tcW w:w="1919" w:type="dxa"/>
            <w:vAlign w:val="top"/>
            <w:gridSpan w:val="3"/>
          </w:tcPr>
          <w:p>
            <w:pPr>
              <w:pStyle w:val="TableText"/>
              <w:ind w:left="482"/>
              <w:spacing w:before="163" w:line="228" w:lineRule="auto"/>
              <w:rPr/>
            </w:pPr>
            <w:r>
              <w:rPr>
                <w:rFonts w:ascii="SimSun" w:hAnsi="SimSun" w:eastAsia="SimSun" w:cs="SimSun"/>
                <w:spacing w:val="7"/>
              </w:rPr>
              <w:t>地方标准</w:t>
            </w:r>
            <w:r>
              <w:rPr>
                <w:spacing w:val="7"/>
              </w:rPr>
              <w:t>□</w:t>
            </w:r>
          </w:p>
        </w:tc>
        <w:tc>
          <w:tcPr>
            <w:tcW w:w="1478" w:type="dxa"/>
            <w:vAlign w:val="top"/>
            <w:gridSpan w:val="2"/>
          </w:tcPr>
          <w:p>
            <w:pPr>
              <w:pStyle w:val="TableText"/>
              <w:ind w:left="447"/>
              <w:spacing w:before="163" w:line="227" w:lineRule="auto"/>
              <w:rPr/>
            </w:pPr>
            <w:r>
              <w:rPr>
                <w:rFonts w:ascii="SimSun" w:hAnsi="SimSun" w:eastAsia="SimSun" w:cs="SimSun"/>
                <w:spacing w:val="-2"/>
              </w:rPr>
              <w:t>附录</w:t>
            </w:r>
            <w:r>
              <w:rPr>
                <w:rFonts w:ascii="SimSun" w:hAnsi="SimSun" w:eastAsia="SimSun" w:cs="SimSun"/>
                <w:spacing w:val="-38"/>
              </w:rPr>
              <w:t xml:space="preserve"> </w:t>
            </w:r>
            <w:r>
              <w:rPr>
                <w:spacing w:val="-2"/>
              </w:rPr>
              <w:t>D</w:t>
            </w:r>
          </w:p>
        </w:tc>
        <w:tc>
          <w:tcPr>
            <w:tcW w:w="1400" w:type="dxa"/>
            <w:vAlign w:val="top"/>
            <w:gridSpan w:val="2"/>
          </w:tcPr>
          <w:p>
            <w:pPr>
              <w:pStyle w:val="TableText"/>
              <w:ind w:left="223"/>
              <w:spacing w:before="163" w:line="228" w:lineRule="auto"/>
              <w:rPr/>
            </w:pPr>
            <w:r>
              <w:rPr>
                <w:rFonts w:ascii="SimSun" w:hAnsi="SimSun" w:eastAsia="SimSun" w:cs="SimSun"/>
                <w:spacing w:val="7"/>
              </w:rPr>
              <w:t>其他标准</w:t>
            </w:r>
            <w:r>
              <w:rPr>
                <w:spacing w:val="7"/>
              </w:rPr>
              <w:t>□</w:t>
            </w:r>
          </w:p>
        </w:tc>
      </w:tr>
      <w:tr>
        <w:trPr>
          <w:trHeight w:val="544" w:hRule="atLeast"/>
        </w:trPr>
        <w:tc>
          <w:tcPr>
            <w:tcW w:w="799" w:type="dxa"/>
            <w:vAlign w:val="top"/>
            <w:vMerge w:val="restart"/>
            <w:tcBorders>
              <w:bottom w:val="nil"/>
            </w:tcBorders>
          </w:tcPr>
          <w:p>
            <w:pPr>
              <w:spacing w:line="256" w:lineRule="auto"/>
              <w:rPr>
                <w:rFonts w:ascii="Arial"/>
                <w:sz w:val="21"/>
              </w:rPr>
            </w:pPr>
            <w:r/>
          </w:p>
          <w:p>
            <w:pPr>
              <w:spacing w:line="257" w:lineRule="auto"/>
              <w:rPr>
                <w:rFonts w:ascii="Arial"/>
                <w:sz w:val="21"/>
              </w:rPr>
            </w:pPr>
            <w:r/>
          </w:p>
          <w:p>
            <w:pPr>
              <w:ind w:left="296" w:right="83" w:hanging="205"/>
              <w:spacing w:before="65" w:line="253" w:lineRule="auto"/>
              <w:rPr>
                <w:rFonts w:ascii="SimSun" w:hAnsi="SimSun" w:eastAsia="SimSun" w:cs="SimSun"/>
                <w:sz w:val="20"/>
                <w:szCs w:val="20"/>
              </w:rPr>
            </w:pPr>
            <w:r>
              <w:rPr>
                <w:rFonts w:ascii="SimSun" w:hAnsi="SimSun" w:eastAsia="SimSun" w:cs="SimSun"/>
                <w:sz w:val="20"/>
                <w:szCs w:val="20"/>
                <w:spacing w:val="6"/>
              </w:rPr>
              <w:t>现状评</w:t>
            </w:r>
            <w:r>
              <w:rPr>
                <w:rFonts w:ascii="SimSun" w:hAnsi="SimSun" w:eastAsia="SimSun" w:cs="SimSun"/>
                <w:sz w:val="20"/>
                <w:szCs w:val="20"/>
              </w:rPr>
              <w:t>价</w:t>
            </w:r>
          </w:p>
        </w:tc>
        <w:tc>
          <w:tcPr>
            <w:tcW w:w="1758" w:type="dxa"/>
            <w:vAlign w:val="top"/>
          </w:tcPr>
          <w:p>
            <w:pPr>
              <w:ind w:left="358"/>
              <w:spacing w:before="166" w:line="228" w:lineRule="auto"/>
              <w:rPr>
                <w:rFonts w:ascii="SimSun" w:hAnsi="SimSun" w:eastAsia="SimSun" w:cs="SimSun"/>
                <w:sz w:val="20"/>
                <w:szCs w:val="20"/>
              </w:rPr>
            </w:pPr>
            <w:r>
              <w:rPr>
                <w:rFonts w:ascii="SimSun" w:hAnsi="SimSun" w:eastAsia="SimSun" w:cs="SimSun"/>
                <w:sz w:val="20"/>
                <w:szCs w:val="20"/>
                <w:spacing w:val="8"/>
              </w:rPr>
              <w:t>环境功能区</w:t>
            </w:r>
          </w:p>
        </w:tc>
        <w:tc>
          <w:tcPr>
            <w:tcW w:w="2476" w:type="dxa"/>
            <w:vAlign w:val="top"/>
            <w:gridSpan w:val="5"/>
          </w:tcPr>
          <w:p>
            <w:pPr>
              <w:pStyle w:val="TableText"/>
              <w:ind w:left="867"/>
              <w:spacing w:before="165" w:line="228" w:lineRule="auto"/>
              <w:rPr/>
            </w:pPr>
            <w:r>
              <w:rPr>
                <w:rFonts w:ascii="SimSun" w:hAnsi="SimSun" w:eastAsia="SimSun" w:cs="SimSun"/>
                <w:spacing w:val="6"/>
              </w:rPr>
              <w:t>一类区</w:t>
            </w:r>
            <w:r>
              <w:rPr>
                <w:spacing w:val="6"/>
              </w:rPr>
              <w:t>□</w:t>
            </w:r>
          </w:p>
        </w:tc>
        <w:tc>
          <w:tcPr>
            <w:tcW w:w="2694" w:type="dxa"/>
            <w:vAlign w:val="top"/>
            <w:gridSpan w:val="4"/>
          </w:tcPr>
          <w:p>
            <w:pPr>
              <w:ind w:left="947"/>
              <w:spacing w:before="165" w:line="221" w:lineRule="auto"/>
              <w:rPr>
                <w:sz w:val="20"/>
                <w:szCs w:val="20"/>
              </w:rPr>
            </w:pPr>
            <w:r>
              <w:rPr>
                <w:rFonts w:ascii="SimSun" w:hAnsi="SimSun" w:eastAsia="SimSun" w:cs="SimSun"/>
                <w:sz w:val="20"/>
                <w:szCs w:val="20"/>
                <w:spacing w:val="5"/>
              </w:rPr>
              <w:t>二类区</w:t>
            </w:r>
            <w:r>
              <w:rPr>
                <w:sz w:val="20"/>
                <w:szCs w:val="20"/>
                <w:position w:val="-4"/>
              </w:rPr>
              <w:drawing>
                <wp:inline distT="0" distB="0" distL="0" distR="0">
                  <wp:extent cx="115929" cy="139748"/>
                  <wp:effectExtent l="0" t="0" r="0" b="0"/>
                  <wp:docPr id="268" name="IM 268"/>
                  <wp:cNvGraphicFramePr/>
                  <a:graphic>
                    <a:graphicData uri="http://schemas.openxmlformats.org/drawingml/2006/picture">
                      <pic:pic>
                        <pic:nvPicPr>
                          <pic:cNvPr id="268" name="IM 268"/>
                          <pic:cNvPicPr/>
                        </pic:nvPicPr>
                        <pic:blipFill>
                          <a:blip r:embed="rId376"/>
                          <a:stretch>
                            <a:fillRect/>
                          </a:stretch>
                        </pic:blipFill>
                        <pic:spPr>
                          <a:xfrm rot="0">
                            <a:off x="0" y="0"/>
                            <a:ext cx="115929" cy="139748"/>
                          </a:xfrm>
                          <a:prstGeom prst="rect">
                            <a:avLst/>
                          </a:prstGeom>
                        </pic:spPr>
                      </pic:pic>
                    </a:graphicData>
                  </a:graphic>
                </wp:inline>
              </w:drawing>
            </w:r>
          </w:p>
        </w:tc>
        <w:tc>
          <w:tcPr>
            <w:tcW w:w="1400" w:type="dxa"/>
            <w:vAlign w:val="top"/>
            <w:gridSpan w:val="2"/>
          </w:tcPr>
          <w:p>
            <w:pPr>
              <w:pStyle w:val="TableText"/>
              <w:ind w:left="551" w:right="69" w:hanging="472"/>
              <w:spacing w:before="29" w:line="233" w:lineRule="auto"/>
              <w:rPr/>
            </w:pPr>
            <w:r>
              <w:rPr>
                <w:rFonts w:ascii="SimSun" w:hAnsi="SimSun" w:eastAsia="SimSun" w:cs="SimSun"/>
                <w:spacing w:val="7"/>
              </w:rPr>
              <w:t>一类区和二类</w:t>
            </w:r>
            <w:r>
              <w:rPr>
                <w:rFonts w:ascii="SimSun" w:hAnsi="SimSun" w:eastAsia="SimSun" w:cs="SimSun"/>
                <w:spacing w:val="-5"/>
              </w:rPr>
              <w:t>区</w:t>
            </w:r>
            <w:r>
              <w:rPr>
                <w:spacing w:val="-5"/>
              </w:rPr>
              <w:t>□</w:t>
            </w:r>
          </w:p>
        </w:tc>
      </w:tr>
      <w:tr>
        <w:trPr>
          <w:trHeight w:val="273"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357"/>
              <w:spacing w:before="30" w:line="215" w:lineRule="auto"/>
              <w:rPr>
                <w:rFonts w:ascii="SimSun" w:hAnsi="SimSun" w:eastAsia="SimSun" w:cs="SimSun"/>
                <w:sz w:val="20"/>
                <w:szCs w:val="20"/>
              </w:rPr>
            </w:pPr>
            <w:r>
              <w:rPr>
                <w:rFonts w:ascii="SimSun" w:hAnsi="SimSun" w:eastAsia="SimSun" w:cs="SimSun"/>
                <w:sz w:val="20"/>
                <w:szCs w:val="20"/>
                <w:spacing w:val="8"/>
              </w:rPr>
              <w:t>评价基准年</w:t>
            </w:r>
          </w:p>
        </w:tc>
        <w:tc>
          <w:tcPr>
            <w:tcW w:w="6570" w:type="dxa"/>
            <w:vAlign w:val="top"/>
            <w:gridSpan w:val="11"/>
          </w:tcPr>
          <w:p>
            <w:pPr>
              <w:pStyle w:val="TableText"/>
              <w:ind w:left="2774"/>
              <w:spacing w:before="30" w:line="215" w:lineRule="auto"/>
              <w:rPr>
                <w:rFonts w:ascii="SimSun" w:hAnsi="SimSun" w:eastAsia="SimSun" w:cs="SimSun"/>
              </w:rPr>
            </w:pPr>
            <w:r>
              <w:rPr>
                <w:rFonts w:ascii="SimSun" w:hAnsi="SimSun" w:eastAsia="SimSun" w:cs="SimSun"/>
                <w:spacing w:val="4"/>
              </w:rPr>
              <w:t>（</w:t>
            </w:r>
            <w:r>
              <w:rPr>
                <w:spacing w:val="4"/>
              </w:rPr>
              <w:t>2024</w:t>
            </w:r>
            <w:r>
              <w:rPr>
                <w:rFonts w:ascii="SimSun" w:hAnsi="SimSun" w:eastAsia="SimSun" w:cs="SimSun"/>
                <w:spacing w:val="4"/>
              </w:rPr>
              <w:t>）年</w:t>
            </w:r>
          </w:p>
        </w:tc>
      </w:tr>
      <w:tr>
        <w:trPr>
          <w:trHeight w:val="544"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253" w:right="41" w:hanging="212"/>
              <w:spacing w:before="31" w:line="232" w:lineRule="auto"/>
              <w:rPr>
                <w:rFonts w:ascii="SimSun" w:hAnsi="SimSun" w:eastAsia="SimSun" w:cs="SimSun"/>
                <w:sz w:val="20"/>
                <w:szCs w:val="20"/>
              </w:rPr>
            </w:pPr>
            <w:r>
              <w:rPr>
                <w:rFonts w:ascii="SimSun" w:hAnsi="SimSun" w:eastAsia="SimSun" w:cs="SimSun"/>
                <w:sz w:val="20"/>
                <w:szCs w:val="20"/>
                <w:spacing w:val="8"/>
              </w:rPr>
              <w:t>环境空气质量现状</w:t>
            </w:r>
            <w:r>
              <w:rPr>
                <w:rFonts w:ascii="SimSun" w:hAnsi="SimSun" w:eastAsia="SimSun" w:cs="SimSun"/>
                <w:sz w:val="20"/>
                <w:szCs w:val="20"/>
                <w:spacing w:val="7"/>
              </w:rPr>
              <w:t>调查数据来源</w:t>
            </w:r>
          </w:p>
        </w:tc>
        <w:tc>
          <w:tcPr>
            <w:tcW w:w="2476" w:type="dxa"/>
            <w:vAlign w:val="top"/>
            <w:gridSpan w:val="5"/>
          </w:tcPr>
          <w:p>
            <w:pPr>
              <w:pStyle w:val="TableText"/>
              <w:ind w:left="338"/>
              <w:spacing w:before="164" w:line="228" w:lineRule="auto"/>
              <w:rPr/>
            </w:pPr>
            <w:r>
              <w:rPr>
                <w:rFonts w:ascii="SimSun" w:hAnsi="SimSun" w:eastAsia="SimSun" w:cs="SimSun"/>
                <w:spacing w:val="8"/>
              </w:rPr>
              <w:t>长期例行监测数据</w:t>
            </w:r>
            <w:r>
              <w:rPr>
                <w:spacing w:val="8"/>
              </w:rPr>
              <w:t>□</w:t>
            </w:r>
          </w:p>
        </w:tc>
        <w:tc>
          <w:tcPr>
            <w:tcW w:w="2694" w:type="dxa"/>
            <w:vAlign w:val="top"/>
            <w:gridSpan w:val="4"/>
          </w:tcPr>
          <w:p>
            <w:pPr>
              <w:ind w:left="316"/>
              <w:spacing w:before="164" w:line="223" w:lineRule="auto"/>
              <w:rPr>
                <w:sz w:val="20"/>
                <w:szCs w:val="20"/>
              </w:rPr>
            </w:pPr>
            <w:r>
              <w:rPr>
                <w:rFonts w:ascii="SimSun" w:hAnsi="SimSun" w:eastAsia="SimSun" w:cs="SimSun"/>
                <w:sz w:val="20"/>
                <w:szCs w:val="20"/>
                <w:spacing w:val="8"/>
              </w:rPr>
              <w:t>主管部门发布的数据</w:t>
            </w:r>
            <w:r>
              <w:rPr>
                <w:sz w:val="20"/>
                <w:szCs w:val="20"/>
                <w:position w:val="-4"/>
              </w:rPr>
              <w:drawing>
                <wp:inline distT="0" distB="0" distL="0" distR="0">
                  <wp:extent cx="114405" cy="139748"/>
                  <wp:effectExtent l="0" t="0" r="0" b="0"/>
                  <wp:docPr id="270" name="IM 270"/>
                  <wp:cNvGraphicFramePr/>
                  <a:graphic>
                    <a:graphicData uri="http://schemas.openxmlformats.org/drawingml/2006/picture">
                      <pic:pic>
                        <pic:nvPicPr>
                          <pic:cNvPr id="270" name="IM 270"/>
                          <pic:cNvPicPr/>
                        </pic:nvPicPr>
                        <pic:blipFill>
                          <a:blip r:embed="rId377"/>
                          <a:stretch>
                            <a:fillRect/>
                          </a:stretch>
                        </pic:blipFill>
                        <pic:spPr>
                          <a:xfrm rot="0">
                            <a:off x="0" y="0"/>
                            <a:ext cx="114405" cy="139748"/>
                          </a:xfrm>
                          <a:prstGeom prst="rect">
                            <a:avLst/>
                          </a:prstGeom>
                        </pic:spPr>
                      </pic:pic>
                    </a:graphicData>
                  </a:graphic>
                </wp:inline>
              </w:drawing>
            </w:r>
          </w:p>
        </w:tc>
        <w:tc>
          <w:tcPr>
            <w:tcW w:w="1400" w:type="dxa"/>
            <w:vAlign w:val="top"/>
            <w:gridSpan w:val="2"/>
          </w:tcPr>
          <w:p>
            <w:pPr>
              <w:ind w:left="617" w:right="69" w:hanging="540"/>
              <w:spacing w:before="54" w:line="240" w:lineRule="exact"/>
              <w:rPr/>
            </w:pPr>
            <w:r>
              <w:rPr>
                <w:rFonts w:ascii="SimSun" w:hAnsi="SimSun" w:eastAsia="SimSun" w:cs="SimSun"/>
                <w:sz w:val="20"/>
                <w:szCs w:val="20"/>
                <w:spacing w:val="7"/>
                <w:position w:val="1"/>
              </w:rPr>
              <w:t>现状补充监测</w:t>
            </w:r>
            <w:r>
              <w:rPr>
                <w:rFonts w:ascii="SimSun" w:hAnsi="SimSun" w:eastAsia="SimSun" w:cs="SimSun"/>
                <w:sz w:val="20"/>
                <w:szCs w:val="20"/>
                <w:spacing w:val="4"/>
                <w:position w:val="1"/>
              </w:rPr>
              <w:t xml:space="preserve"> </w:t>
            </w:r>
            <w:r>
              <w:rPr>
                <w:position w:val="-3"/>
              </w:rPr>
              <w:drawing>
                <wp:inline distT="0" distB="0" distL="0" distR="0">
                  <wp:extent cx="103384" cy="139748"/>
                  <wp:effectExtent l="0" t="0" r="0" b="0"/>
                  <wp:docPr id="272" name="IM 272"/>
                  <wp:cNvGraphicFramePr/>
                  <a:graphic>
                    <a:graphicData uri="http://schemas.openxmlformats.org/drawingml/2006/picture">
                      <pic:pic>
                        <pic:nvPicPr>
                          <pic:cNvPr id="272" name="IM 272"/>
                          <pic:cNvPicPr/>
                        </pic:nvPicPr>
                        <pic:blipFill>
                          <a:blip r:embed="rId378"/>
                          <a:stretch>
                            <a:fillRect/>
                          </a:stretch>
                        </pic:blipFill>
                        <pic:spPr>
                          <a:xfrm rot="0">
                            <a:off x="0" y="0"/>
                            <a:ext cx="103384" cy="139748"/>
                          </a:xfrm>
                          <a:prstGeom prst="rect">
                            <a:avLst/>
                          </a:prstGeom>
                        </pic:spPr>
                      </pic:pic>
                    </a:graphicData>
                  </a:graphic>
                </wp:inline>
              </w:drawing>
            </w:r>
          </w:p>
        </w:tc>
      </w:tr>
      <w:tr>
        <w:trPr>
          <w:trHeight w:val="271" w:hRule="atLeast"/>
        </w:trPr>
        <w:tc>
          <w:tcPr>
            <w:tcW w:w="799" w:type="dxa"/>
            <w:vAlign w:val="top"/>
            <w:vMerge w:val="continue"/>
            <w:tcBorders>
              <w:top w:val="nil"/>
            </w:tcBorders>
          </w:tcPr>
          <w:p>
            <w:pPr>
              <w:rPr>
                <w:rFonts w:ascii="Arial"/>
                <w:sz w:val="21"/>
              </w:rPr>
            </w:pPr>
            <w:r/>
          </w:p>
        </w:tc>
        <w:tc>
          <w:tcPr>
            <w:tcW w:w="1758" w:type="dxa"/>
            <w:vAlign w:val="top"/>
          </w:tcPr>
          <w:p>
            <w:pPr>
              <w:ind w:left="463"/>
              <w:spacing w:before="31" w:line="212" w:lineRule="auto"/>
              <w:rPr>
                <w:rFonts w:ascii="SimSun" w:hAnsi="SimSun" w:eastAsia="SimSun" w:cs="SimSun"/>
                <w:sz w:val="20"/>
                <w:szCs w:val="20"/>
              </w:rPr>
            </w:pPr>
            <w:r>
              <w:rPr>
                <w:rFonts w:ascii="SimSun" w:hAnsi="SimSun" w:eastAsia="SimSun" w:cs="SimSun"/>
                <w:sz w:val="20"/>
                <w:szCs w:val="20"/>
                <w:spacing w:val="6"/>
              </w:rPr>
              <w:t>现状评价</w:t>
            </w:r>
          </w:p>
        </w:tc>
        <w:tc>
          <w:tcPr>
            <w:tcW w:w="3692" w:type="dxa"/>
            <w:vAlign w:val="top"/>
            <w:gridSpan w:val="7"/>
          </w:tcPr>
          <w:p>
            <w:pPr>
              <w:ind w:left="1441"/>
              <w:spacing w:before="31" w:line="212" w:lineRule="auto"/>
              <w:rPr>
                <w:sz w:val="20"/>
                <w:szCs w:val="20"/>
              </w:rPr>
            </w:pPr>
            <w:r>
              <w:rPr>
                <w:rFonts w:ascii="SimSun" w:hAnsi="SimSun" w:eastAsia="SimSun" w:cs="SimSun"/>
                <w:sz w:val="20"/>
                <w:szCs w:val="20"/>
                <w:spacing w:val="7"/>
              </w:rPr>
              <w:t>达标区</w:t>
            </w:r>
            <w:r>
              <w:rPr>
                <w:sz w:val="20"/>
                <w:szCs w:val="20"/>
                <w:position w:val="-4"/>
              </w:rPr>
              <w:drawing>
                <wp:inline distT="0" distB="0" distL="0" distR="0">
                  <wp:extent cx="114405" cy="139748"/>
                  <wp:effectExtent l="0" t="0" r="0" b="0"/>
                  <wp:docPr id="274" name="IM 274"/>
                  <wp:cNvGraphicFramePr/>
                  <a:graphic>
                    <a:graphicData uri="http://schemas.openxmlformats.org/drawingml/2006/picture">
                      <pic:pic>
                        <pic:nvPicPr>
                          <pic:cNvPr id="274" name="IM 274"/>
                          <pic:cNvPicPr/>
                        </pic:nvPicPr>
                        <pic:blipFill>
                          <a:blip r:embed="rId379"/>
                          <a:stretch>
                            <a:fillRect/>
                          </a:stretch>
                        </pic:blipFill>
                        <pic:spPr>
                          <a:xfrm rot="0">
                            <a:off x="0" y="0"/>
                            <a:ext cx="114405" cy="139748"/>
                          </a:xfrm>
                          <a:prstGeom prst="rect">
                            <a:avLst/>
                          </a:prstGeom>
                        </pic:spPr>
                      </pic:pic>
                    </a:graphicData>
                  </a:graphic>
                </wp:inline>
              </w:drawing>
            </w:r>
          </w:p>
        </w:tc>
        <w:tc>
          <w:tcPr>
            <w:tcW w:w="2878" w:type="dxa"/>
            <w:vAlign w:val="top"/>
            <w:gridSpan w:val="4"/>
          </w:tcPr>
          <w:p>
            <w:pPr>
              <w:ind w:left="933"/>
              <w:spacing w:before="30" w:line="161" w:lineRule="auto"/>
              <w:rPr>
                <w:rFonts w:ascii="Microsoft YaHei" w:hAnsi="Microsoft YaHei" w:eastAsia="Microsoft YaHei" w:cs="Microsoft YaHei"/>
                <w:sz w:val="20"/>
                <w:szCs w:val="20"/>
              </w:rPr>
            </w:pPr>
            <w:r>
              <w:rPr>
                <w:rFonts w:ascii="SimSun" w:hAnsi="SimSun" w:eastAsia="SimSun" w:cs="SimSun"/>
                <w:sz w:val="20"/>
                <w:szCs w:val="20"/>
                <w:spacing w:val="16"/>
              </w:rPr>
              <w:t>不达标区</w:t>
            </w:r>
            <w:r>
              <w:rPr>
                <w:rFonts w:ascii="Microsoft YaHei" w:hAnsi="Microsoft YaHei" w:eastAsia="Microsoft YaHei" w:cs="Microsoft YaHei"/>
                <w:sz w:val="20"/>
                <w:szCs w:val="20"/>
                <w:spacing w:val="16"/>
              </w:rPr>
              <w:t>□</w:t>
            </w:r>
          </w:p>
        </w:tc>
      </w:tr>
      <w:tr>
        <w:trPr>
          <w:trHeight w:val="1312" w:hRule="atLeast"/>
        </w:trPr>
        <w:tc>
          <w:tcPr>
            <w:tcW w:w="799" w:type="dxa"/>
            <w:vAlign w:val="top"/>
          </w:tcPr>
          <w:p>
            <w:pPr>
              <w:spacing w:line="347" w:lineRule="auto"/>
              <w:rPr>
                <w:rFonts w:ascii="Arial"/>
                <w:sz w:val="21"/>
              </w:rPr>
            </w:pPr>
            <w:r/>
          </w:p>
          <w:p>
            <w:pPr>
              <w:ind w:left="194" w:right="83" w:hanging="103"/>
              <w:spacing w:before="65" w:line="253" w:lineRule="auto"/>
              <w:rPr>
                <w:rFonts w:ascii="SimSun" w:hAnsi="SimSun" w:eastAsia="SimSun" w:cs="SimSun"/>
                <w:sz w:val="20"/>
                <w:szCs w:val="20"/>
              </w:rPr>
            </w:pPr>
            <w:r>
              <w:rPr>
                <w:rFonts w:ascii="SimSun" w:hAnsi="SimSun" w:eastAsia="SimSun" w:cs="SimSun"/>
                <w:sz w:val="20"/>
                <w:szCs w:val="20"/>
                <w:spacing w:val="6"/>
              </w:rPr>
              <w:t>污染源</w:t>
            </w:r>
            <w:r>
              <w:rPr>
                <w:rFonts w:ascii="SimSun" w:hAnsi="SimSun" w:eastAsia="SimSun" w:cs="SimSun"/>
                <w:sz w:val="20"/>
                <w:szCs w:val="20"/>
                <w:spacing w:val="3"/>
              </w:rPr>
              <w:t>调查</w:t>
            </w:r>
          </w:p>
        </w:tc>
        <w:tc>
          <w:tcPr>
            <w:tcW w:w="1758" w:type="dxa"/>
            <w:vAlign w:val="top"/>
          </w:tcPr>
          <w:p>
            <w:pPr>
              <w:rPr>
                <w:rFonts w:ascii="Arial"/>
                <w:sz w:val="21"/>
              </w:rPr>
            </w:pPr>
            <w:r/>
          </w:p>
          <w:p>
            <w:pPr>
              <w:spacing w:line="241" w:lineRule="auto"/>
              <w:rPr>
                <w:rFonts w:ascii="Arial"/>
                <w:sz w:val="21"/>
              </w:rPr>
            </w:pPr>
            <w:r/>
          </w:p>
          <w:p>
            <w:pPr>
              <w:ind w:left="463"/>
              <w:spacing w:before="65" w:line="228" w:lineRule="auto"/>
              <w:rPr>
                <w:rFonts w:ascii="SimSun" w:hAnsi="SimSun" w:eastAsia="SimSun" w:cs="SimSun"/>
                <w:sz w:val="20"/>
                <w:szCs w:val="20"/>
              </w:rPr>
            </w:pPr>
            <w:r>
              <w:rPr>
                <w:rFonts w:ascii="SimSun" w:hAnsi="SimSun" w:eastAsia="SimSun" w:cs="SimSun"/>
                <w:sz w:val="20"/>
                <w:szCs w:val="20"/>
                <w:spacing w:val="6"/>
              </w:rPr>
              <w:t>调查内容</w:t>
            </w:r>
          </w:p>
        </w:tc>
        <w:tc>
          <w:tcPr>
            <w:tcW w:w="1773" w:type="dxa"/>
            <w:vAlign w:val="top"/>
            <w:gridSpan w:val="4"/>
          </w:tcPr>
          <w:p>
            <w:pPr>
              <w:ind w:left="50"/>
              <w:spacing w:before="33" w:line="220" w:lineRule="auto"/>
              <w:rPr>
                <w:rFonts w:ascii="SimSun" w:hAnsi="SimSun" w:eastAsia="SimSun" w:cs="SimSun"/>
                <w:sz w:val="20"/>
                <w:szCs w:val="20"/>
              </w:rPr>
            </w:pPr>
            <w:r>
              <w:rPr>
                <w:rFonts w:ascii="SimSun" w:hAnsi="SimSun" w:eastAsia="SimSun" w:cs="SimSun"/>
                <w:sz w:val="20"/>
                <w:szCs w:val="20"/>
                <w:spacing w:val="8"/>
              </w:rPr>
              <w:t>本项目正常排放源</w:t>
            </w:r>
          </w:p>
          <w:p>
            <w:pPr>
              <w:ind w:left="808"/>
              <w:spacing w:line="220" w:lineRule="exact"/>
              <w:rPr/>
            </w:pPr>
            <w:r>
              <w:rPr>
                <w:position w:val="-4"/>
              </w:rPr>
              <w:drawing>
                <wp:inline distT="0" distB="0" distL="0" distR="0">
                  <wp:extent cx="103384" cy="139749"/>
                  <wp:effectExtent l="0" t="0" r="0" b="0"/>
                  <wp:docPr id="276" name="IM 276"/>
                  <wp:cNvGraphicFramePr/>
                  <a:graphic>
                    <a:graphicData uri="http://schemas.openxmlformats.org/drawingml/2006/picture">
                      <pic:pic>
                        <pic:nvPicPr>
                          <pic:cNvPr id="276" name="IM 276"/>
                          <pic:cNvPicPr/>
                        </pic:nvPicPr>
                        <pic:blipFill>
                          <a:blip r:embed="rId380"/>
                          <a:stretch>
                            <a:fillRect/>
                          </a:stretch>
                        </pic:blipFill>
                        <pic:spPr>
                          <a:xfrm rot="0">
                            <a:off x="0" y="0"/>
                            <a:ext cx="103384" cy="139749"/>
                          </a:xfrm>
                          <a:prstGeom prst="rect">
                            <a:avLst/>
                          </a:prstGeom>
                        </pic:spPr>
                      </pic:pic>
                    </a:graphicData>
                  </a:graphic>
                </wp:inline>
              </w:drawing>
            </w:r>
          </w:p>
          <w:p>
            <w:pPr>
              <w:ind w:left="50"/>
              <w:spacing w:before="33" w:line="227" w:lineRule="auto"/>
              <w:rPr>
                <w:rFonts w:ascii="SimSun" w:hAnsi="SimSun" w:eastAsia="SimSun" w:cs="SimSun"/>
                <w:sz w:val="20"/>
                <w:szCs w:val="20"/>
              </w:rPr>
            </w:pPr>
            <w:r>
              <w:rPr>
                <w:rFonts w:ascii="SimSun" w:hAnsi="SimSun" w:eastAsia="SimSun" w:cs="SimSun"/>
                <w:sz w:val="20"/>
                <w:szCs w:val="20"/>
                <w:spacing w:val="8"/>
              </w:rPr>
              <w:t>本项目非正常排放</w:t>
            </w:r>
          </w:p>
          <w:p>
            <w:pPr>
              <w:ind w:left="690"/>
              <w:spacing w:before="27" w:line="190" w:lineRule="auto"/>
              <w:rPr>
                <w:rFonts w:ascii="Microsoft YaHei" w:hAnsi="Microsoft YaHei" w:eastAsia="Microsoft YaHei" w:cs="Microsoft YaHei"/>
                <w:sz w:val="20"/>
                <w:szCs w:val="20"/>
              </w:rPr>
            </w:pPr>
            <w:r>
              <w:rPr>
                <w:rFonts w:ascii="SimSun" w:hAnsi="SimSun" w:eastAsia="SimSun" w:cs="SimSun"/>
                <w:sz w:val="20"/>
                <w:szCs w:val="20"/>
                <w:spacing w:val="29"/>
              </w:rPr>
              <w:t>源</w:t>
            </w:r>
            <w:r>
              <w:rPr>
                <w:rFonts w:ascii="Microsoft YaHei" w:hAnsi="Microsoft YaHei" w:eastAsia="Microsoft YaHei" w:cs="Microsoft YaHei"/>
                <w:sz w:val="20"/>
                <w:szCs w:val="20"/>
                <w:spacing w:val="29"/>
              </w:rPr>
              <w:t>□</w:t>
            </w:r>
          </w:p>
          <w:p>
            <w:pPr>
              <w:pStyle w:val="TableText"/>
              <w:ind w:left="303"/>
              <w:spacing w:line="213" w:lineRule="auto"/>
              <w:rPr/>
            </w:pPr>
            <w:r>
              <w:rPr>
                <w:rFonts w:ascii="SimSun" w:hAnsi="SimSun" w:eastAsia="SimSun" w:cs="SimSun"/>
                <w:spacing w:val="7"/>
              </w:rPr>
              <w:t>现有污染源</w:t>
            </w:r>
            <w:r>
              <w:rPr>
                <w:spacing w:val="7"/>
              </w:rPr>
              <w:t>□</w:t>
            </w:r>
          </w:p>
        </w:tc>
        <w:tc>
          <w:tcPr>
            <w:tcW w:w="1919" w:type="dxa"/>
            <w:vAlign w:val="top"/>
            <w:gridSpan w:val="3"/>
          </w:tcPr>
          <w:p>
            <w:pPr>
              <w:spacing w:line="460" w:lineRule="auto"/>
              <w:rPr>
                <w:rFonts w:ascii="Arial"/>
                <w:sz w:val="21"/>
              </w:rPr>
            </w:pPr>
            <w:r/>
          </w:p>
          <w:p>
            <w:pPr>
              <w:ind w:left="137"/>
              <w:spacing w:before="86" w:line="206" w:lineRule="auto"/>
              <w:rPr>
                <w:rFonts w:ascii="Microsoft YaHei" w:hAnsi="Microsoft YaHei" w:eastAsia="Microsoft YaHei" w:cs="Microsoft YaHei"/>
                <w:sz w:val="20"/>
                <w:szCs w:val="20"/>
              </w:rPr>
            </w:pPr>
            <w:r>
              <w:rPr>
                <w:rFonts w:ascii="SimSun" w:hAnsi="SimSun" w:eastAsia="SimSun" w:cs="SimSun"/>
                <w:sz w:val="20"/>
                <w:szCs w:val="20"/>
                <w:spacing w:val="14"/>
              </w:rPr>
              <w:t>拟替代的污染源</w:t>
            </w:r>
            <w:r>
              <w:rPr>
                <w:rFonts w:ascii="Microsoft YaHei" w:hAnsi="Microsoft YaHei" w:eastAsia="Microsoft YaHei" w:cs="Microsoft YaHei"/>
                <w:sz w:val="20"/>
                <w:szCs w:val="20"/>
                <w:spacing w:val="14"/>
              </w:rPr>
              <w:t>□</w:t>
            </w:r>
          </w:p>
        </w:tc>
        <w:tc>
          <w:tcPr>
            <w:tcW w:w="1478" w:type="dxa"/>
            <w:vAlign w:val="top"/>
            <w:gridSpan w:val="2"/>
          </w:tcPr>
          <w:p>
            <w:pPr>
              <w:spacing w:line="348" w:lineRule="auto"/>
              <w:rPr>
                <w:rFonts w:ascii="Arial"/>
                <w:sz w:val="21"/>
              </w:rPr>
            </w:pPr>
            <w:r/>
          </w:p>
          <w:p>
            <w:pPr>
              <w:pStyle w:val="TableText"/>
              <w:ind w:left="157" w:right="27" w:hanging="122"/>
              <w:spacing w:before="65" w:line="252" w:lineRule="auto"/>
              <w:rPr/>
            </w:pPr>
            <w:r>
              <w:rPr>
                <w:rFonts w:ascii="SimSun" w:hAnsi="SimSun" w:eastAsia="SimSun" w:cs="SimSun"/>
                <w:spacing w:val="1"/>
              </w:rPr>
              <w:t>其他在建、拟建</w:t>
            </w:r>
            <w:r>
              <w:rPr>
                <w:rFonts w:ascii="SimSun" w:hAnsi="SimSun" w:eastAsia="SimSun" w:cs="SimSun"/>
                <w:spacing w:val="7"/>
              </w:rPr>
              <w:t>项目污染源</w:t>
            </w:r>
            <w:r>
              <w:rPr>
                <w:spacing w:val="7"/>
              </w:rPr>
              <w:t>□</w:t>
            </w:r>
          </w:p>
        </w:tc>
        <w:tc>
          <w:tcPr>
            <w:tcW w:w="1400" w:type="dxa"/>
            <w:vAlign w:val="top"/>
            <w:gridSpan w:val="2"/>
          </w:tcPr>
          <w:p>
            <w:pPr>
              <w:rPr>
                <w:rFonts w:ascii="Arial"/>
                <w:sz w:val="21"/>
              </w:rPr>
            </w:pPr>
            <w:r/>
          </w:p>
          <w:p>
            <w:pPr>
              <w:spacing w:line="241" w:lineRule="auto"/>
              <w:rPr>
                <w:rFonts w:ascii="Arial"/>
                <w:sz w:val="21"/>
              </w:rPr>
            </w:pPr>
            <w:r/>
          </w:p>
          <w:p>
            <w:pPr>
              <w:pStyle w:val="TableText"/>
              <w:ind w:left="132"/>
              <w:spacing w:before="65" w:line="228" w:lineRule="auto"/>
              <w:rPr/>
            </w:pPr>
            <w:r>
              <w:rPr>
                <w:rFonts w:ascii="SimSun" w:hAnsi="SimSun" w:eastAsia="SimSun" w:cs="SimSun"/>
                <w:spacing w:val="5"/>
              </w:rPr>
              <w:t>区域污染源</w:t>
            </w:r>
            <w:r>
              <w:rPr>
                <w:spacing w:val="5"/>
              </w:rPr>
              <w:t>□</w:t>
            </w:r>
          </w:p>
        </w:tc>
      </w:tr>
      <w:tr>
        <w:trPr>
          <w:trHeight w:val="544" w:hRule="atLeast"/>
        </w:trPr>
        <w:tc>
          <w:tcPr>
            <w:tcW w:w="799" w:type="dxa"/>
            <w:vAlign w:val="top"/>
            <w:vMerge w:val="restart"/>
            <w:tcBorders>
              <w:bottom w:val="nil"/>
            </w:tcBorders>
          </w:tcPr>
          <w:p>
            <w:pPr>
              <w:spacing w:line="247" w:lineRule="auto"/>
              <w:rPr>
                <w:rFonts w:ascii="Arial"/>
                <w:sz w:val="21"/>
              </w:rPr>
            </w:pPr>
            <w:r/>
          </w:p>
          <w:p>
            <w:pPr>
              <w:spacing w:line="248" w:lineRule="auto"/>
              <w:rPr>
                <w:rFonts w:ascii="Arial"/>
                <w:sz w:val="21"/>
              </w:rPr>
            </w:pPr>
            <w:r/>
          </w:p>
          <w:p>
            <w:pPr>
              <w:spacing w:line="248" w:lineRule="auto"/>
              <w:rPr>
                <w:rFonts w:ascii="Arial"/>
                <w:sz w:val="21"/>
              </w:rPr>
            </w:pPr>
            <w:r/>
          </w:p>
          <w:p>
            <w:pPr>
              <w:ind w:left="90" w:right="83" w:firstLine="1"/>
              <w:spacing w:before="65" w:line="251" w:lineRule="auto"/>
              <w:jc w:val="both"/>
              <w:rPr>
                <w:rFonts w:ascii="SimSun" w:hAnsi="SimSun" w:eastAsia="SimSun" w:cs="SimSun"/>
                <w:sz w:val="20"/>
                <w:szCs w:val="20"/>
              </w:rPr>
            </w:pPr>
            <w:r>
              <w:rPr>
                <w:rFonts w:ascii="SimSun" w:hAnsi="SimSun" w:eastAsia="SimSun" w:cs="SimSun"/>
                <w:sz w:val="20"/>
                <w:szCs w:val="20"/>
                <w:spacing w:val="6"/>
              </w:rPr>
              <w:t>大气环</w:t>
            </w:r>
            <w:r>
              <w:rPr>
                <w:rFonts w:ascii="SimSun" w:hAnsi="SimSun" w:eastAsia="SimSun" w:cs="SimSun"/>
                <w:sz w:val="20"/>
                <w:szCs w:val="20"/>
                <w:spacing w:val="6"/>
              </w:rPr>
              <w:t>境影响</w:t>
            </w:r>
            <w:r>
              <w:rPr>
                <w:rFonts w:ascii="SimSun" w:hAnsi="SimSun" w:eastAsia="SimSun" w:cs="SimSun"/>
                <w:sz w:val="20"/>
                <w:szCs w:val="20"/>
                <w:spacing w:val="6"/>
              </w:rPr>
              <w:t>预测与</w:t>
            </w:r>
            <w:r>
              <w:rPr>
                <w:rFonts w:ascii="SimSun" w:hAnsi="SimSun" w:eastAsia="SimSun" w:cs="SimSun"/>
                <w:sz w:val="20"/>
                <w:szCs w:val="20"/>
                <w:spacing w:val="16"/>
                <w:w w:val="120"/>
              </w:rPr>
              <w:t>评价</w:t>
            </w:r>
          </w:p>
        </w:tc>
        <w:tc>
          <w:tcPr>
            <w:tcW w:w="1758" w:type="dxa"/>
            <w:vAlign w:val="top"/>
          </w:tcPr>
          <w:p>
            <w:pPr>
              <w:ind w:left="463"/>
              <w:spacing w:before="165" w:line="228" w:lineRule="auto"/>
              <w:rPr>
                <w:rFonts w:ascii="SimSun" w:hAnsi="SimSun" w:eastAsia="SimSun" w:cs="SimSun"/>
                <w:sz w:val="20"/>
                <w:szCs w:val="20"/>
              </w:rPr>
            </w:pPr>
            <w:r>
              <w:rPr>
                <w:rFonts w:ascii="SimSun" w:hAnsi="SimSun" w:eastAsia="SimSun" w:cs="SimSun"/>
                <w:sz w:val="20"/>
                <w:szCs w:val="20"/>
                <w:spacing w:val="6"/>
              </w:rPr>
              <w:t>预测模型</w:t>
            </w:r>
          </w:p>
        </w:tc>
        <w:tc>
          <w:tcPr>
            <w:tcW w:w="967" w:type="dxa"/>
            <w:vAlign w:val="top"/>
          </w:tcPr>
          <w:p>
            <w:pPr>
              <w:pStyle w:val="TableText"/>
              <w:ind w:left="24"/>
              <w:spacing w:before="91" w:line="195" w:lineRule="auto"/>
              <w:rPr/>
            </w:pPr>
            <w:r>
              <w:rPr>
                <w:spacing w:val="6"/>
              </w:rPr>
              <w:t>AERMOD</w:t>
            </w:r>
          </w:p>
          <w:p>
            <w:pPr>
              <w:ind w:left="405"/>
              <w:spacing w:before="1" w:line="220" w:lineRule="exact"/>
              <w:rPr/>
            </w:pPr>
            <w:r>
              <w:rPr>
                <w:position w:val="-4"/>
              </w:rPr>
              <w:drawing>
                <wp:inline distT="0" distB="0" distL="0" distR="0">
                  <wp:extent cx="103384" cy="139749"/>
                  <wp:effectExtent l="0" t="0" r="0" b="0"/>
                  <wp:docPr id="278" name="IM 278"/>
                  <wp:cNvGraphicFramePr/>
                  <a:graphic>
                    <a:graphicData uri="http://schemas.openxmlformats.org/drawingml/2006/picture">
                      <pic:pic>
                        <pic:nvPicPr>
                          <pic:cNvPr id="278" name="IM 278"/>
                          <pic:cNvPicPr/>
                        </pic:nvPicPr>
                        <pic:blipFill>
                          <a:blip r:embed="rId381"/>
                          <a:stretch>
                            <a:fillRect/>
                          </a:stretch>
                        </pic:blipFill>
                        <pic:spPr>
                          <a:xfrm rot="0">
                            <a:off x="0" y="0"/>
                            <a:ext cx="103384" cy="139749"/>
                          </a:xfrm>
                          <a:prstGeom prst="rect">
                            <a:avLst/>
                          </a:prstGeom>
                        </pic:spPr>
                      </pic:pic>
                    </a:graphicData>
                  </a:graphic>
                </wp:inline>
              </w:drawing>
            </w:r>
          </w:p>
        </w:tc>
        <w:tc>
          <w:tcPr>
            <w:tcW w:w="662" w:type="dxa"/>
            <w:vAlign w:val="top"/>
            <w:gridSpan w:val="2"/>
          </w:tcPr>
          <w:p>
            <w:pPr>
              <w:pStyle w:val="TableText"/>
              <w:ind w:left="27"/>
              <w:spacing w:before="81" w:line="195" w:lineRule="auto"/>
              <w:rPr/>
            </w:pPr>
            <w:r>
              <w:rPr>
                <w:spacing w:val="5"/>
              </w:rPr>
              <w:t>ADMS</w:t>
            </w:r>
          </w:p>
          <w:p>
            <w:pPr>
              <w:pStyle w:val="TableText"/>
              <w:ind w:left="280"/>
              <w:spacing w:before="99" w:line="141" w:lineRule="exact"/>
              <w:rPr/>
            </w:pPr>
            <w:r>
              <w:rPr/>
              <w:t>□</w:t>
            </w:r>
          </w:p>
        </w:tc>
        <w:tc>
          <w:tcPr>
            <w:tcW w:w="1305" w:type="dxa"/>
            <w:vAlign w:val="top"/>
            <w:gridSpan w:val="3"/>
          </w:tcPr>
          <w:p>
            <w:pPr>
              <w:pStyle w:val="TableText"/>
              <w:ind w:left="27"/>
              <w:spacing w:before="82" w:line="195" w:lineRule="auto"/>
              <w:rPr/>
            </w:pPr>
            <w:r>
              <w:rPr/>
              <w:t>AUSTAL</w:t>
            </w:r>
            <w:r>
              <w:rPr>
                <w:spacing w:val="14"/>
              </w:rPr>
              <w:t>2000</w:t>
            </w:r>
          </w:p>
          <w:p>
            <w:pPr>
              <w:pStyle w:val="TableText"/>
              <w:ind w:left="602"/>
              <w:spacing w:before="98" w:line="141" w:lineRule="exact"/>
              <w:rPr/>
            </w:pPr>
            <w:r>
              <w:rPr/>
              <w:t>□</w:t>
            </w:r>
          </w:p>
        </w:tc>
        <w:tc>
          <w:tcPr>
            <w:tcW w:w="1257" w:type="dxa"/>
            <w:vAlign w:val="top"/>
            <w:gridSpan w:val="2"/>
          </w:tcPr>
          <w:p>
            <w:pPr>
              <w:pStyle w:val="TableText"/>
              <w:ind w:left="30"/>
              <w:spacing w:before="78" w:line="199" w:lineRule="auto"/>
              <w:rPr/>
            </w:pPr>
            <w:r>
              <w:rPr>
                <w:spacing w:val="5"/>
              </w:rPr>
              <w:t>EDMS/AEDT</w:t>
            </w:r>
          </w:p>
          <w:p>
            <w:pPr>
              <w:pStyle w:val="TableText"/>
              <w:ind w:left="576"/>
              <w:spacing w:before="99" w:line="141" w:lineRule="exact"/>
              <w:rPr/>
            </w:pPr>
            <w:r>
              <w:rPr/>
              <w:t>□</w:t>
            </w:r>
          </w:p>
        </w:tc>
        <w:tc>
          <w:tcPr>
            <w:tcW w:w="979" w:type="dxa"/>
            <w:vAlign w:val="top"/>
          </w:tcPr>
          <w:p>
            <w:pPr>
              <w:pStyle w:val="TableText"/>
              <w:ind w:left="34"/>
              <w:spacing w:before="82" w:line="195" w:lineRule="auto"/>
              <w:rPr/>
            </w:pPr>
            <w:r>
              <w:rPr>
                <w:spacing w:val="4"/>
              </w:rPr>
              <w:t>CALPUFF</w:t>
            </w:r>
          </w:p>
          <w:p>
            <w:pPr>
              <w:pStyle w:val="TableText"/>
              <w:ind w:left="440"/>
              <w:spacing w:before="98" w:line="141" w:lineRule="exact"/>
              <w:rPr/>
            </w:pPr>
            <w:r>
              <w:rPr/>
              <w:t>□</w:t>
            </w:r>
          </w:p>
        </w:tc>
        <w:tc>
          <w:tcPr>
            <w:tcW w:w="705" w:type="dxa"/>
            <w:vAlign w:val="top"/>
          </w:tcPr>
          <w:p>
            <w:pPr>
              <w:pStyle w:val="TableText"/>
              <w:ind w:left="195" w:right="34" w:hanging="134"/>
              <w:spacing w:before="29" w:line="233" w:lineRule="auto"/>
              <w:rPr/>
            </w:pPr>
            <w:r>
              <w:rPr>
                <w:rFonts w:ascii="SimSun" w:hAnsi="SimSun" w:eastAsia="SimSun" w:cs="SimSun"/>
                <w:spacing w:val="1"/>
              </w:rPr>
              <w:t>网格模</w:t>
            </w:r>
            <w:r>
              <w:rPr>
                <w:rFonts w:ascii="SimSun" w:hAnsi="SimSun" w:eastAsia="SimSun" w:cs="SimSun"/>
                <w:spacing w:val="5"/>
              </w:rPr>
              <w:t>型</w:t>
            </w:r>
            <w:r>
              <w:rPr>
                <w:spacing w:val="5"/>
              </w:rPr>
              <w:t>□</w:t>
            </w:r>
          </w:p>
        </w:tc>
        <w:tc>
          <w:tcPr>
            <w:tcW w:w="695" w:type="dxa"/>
            <w:vAlign w:val="top"/>
          </w:tcPr>
          <w:p>
            <w:pPr>
              <w:ind w:left="48"/>
              <w:spacing w:before="166" w:line="205" w:lineRule="auto"/>
              <w:rPr>
                <w:rFonts w:ascii="Microsoft YaHei" w:hAnsi="Microsoft YaHei" w:eastAsia="Microsoft YaHei" w:cs="Microsoft YaHei"/>
                <w:sz w:val="20"/>
                <w:szCs w:val="20"/>
              </w:rPr>
            </w:pPr>
            <w:r>
              <w:rPr>
                <w:rFonts w:ascii="SimSun" w:hAnsi="SimSun" w:eastAsia="SimSun" w:cs="SimSun"/>
                <w:sz w:val="20"/>
                <w:szCs w:val="20"/>
                <w:spacing w:val="22"/>
              </w:rPr>
              <w:t>其他</w:t>
            </w:r>
            <w:r>
              <w:rPr>
                <w:rFonts w:ascii="Microsoft YaHei" w:hAnsi="Microsoft YaHei" w:eastAsia="Microsoft YaHei" w:cs="Microsoft YaHei"/>
                <w:sz w:val="20"/>
                <w:szCs w:val="20"/>
                <w:spacing w:val="22"/>
              </w:rPr>
              <w:t>□</w:t>
            </w:r>
          </w:p>
        </w:tc>
      </w:tr>
      <w:tr>
        <w:trPr>
          <w:trHeight w:val="271"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463"/>
              <w:spacing w:before="32" w:line="211" w:lineRule="auto"/>
              <w:rPr>
                <w:rFonts w:ascii="SimSun" w:hAnsi="SimSun" w:eastAsia="SimSun" w:cs="SimSun"/>
                <w:sz w:val="20"/>
                <w:szCs w:val="20"/>
              </w:rPr>
            </w:pPr>
            <w:r>
              <w:rPr>
                <w:rFonts w:ascii="SimSun" w:hAnsi="SimSun" w:eastAsia="SimSun" w:cs="SimSun"/>
                <w:sz w:val="20"/>
                <w:szCs w:val="20"/>
                <w:spacing w:val="6"/>
              </w:rPr>
              <w:t>预测范围</w:t>
            </w:r>
          </w:p>
        </w:tc>
        <w:tc>
          <w:tcPr>
            <w:tcW w:w="1629" w:type="dxa"/>
            <w:vAlign w:val="top"/>
            <w:gridSpan w:val="3"/>
          </w:tcPr>
          <w:p>
            <w:pPr>
              <w:pStyle w:val="TableText"/>
              <w:ind w:left="246"/>
              <w:spacing w:before="32" w:line="211" w:lineRule="auto"/>
              <w:rPr/>
            </w:pPr>
            <w:r>
              <w:rPr>
                <w:rFonts w:ascii="SimSun" w:hAnsi="SimSun" w:eastAsia="SimSun" w:cs="SimSun"/>
                <w:spacing w:val="7"/>
              </w:rPr>
              <w:t>边长</w:t>
            </w:r>
            <w:r>
              <w:rPr>
                <w:spacing w:val="7"/>
              </w:rPr>
              <w:t>≥50</w:t>
            </w:r>
            <w:r>
              <w:rPr/>
              <w:t>km</w:t>
            </w:r>
            <w:r>
              <w:rPr>
                <w:spacing w:val="7"/>
              </w:rPr>
              <w:t>□</w:t>
            </w:r>
          </w:p>
        </w:tc>
        <w:tc>
          <w:tcPr>
            <w:tcW w:w="3541" w:type="dxa"/>
            <w:vAlign w:val="top"/>
            <w:gridSpan w:val="6"/>
          </w:tcPr>
          <w:p>
            <w:pPr>
              <w:pStyle w:val="TableText"/>
              <w:ind w:left="1077"/>
              <w:spacing w:before="32" w:line="211" w:lineRule="auto"/>
              <w:rPr/>
            </w:pPr>
            <w:r>
              <w:rPr>
                <w:rFonts w:ascii="SimSun" w:hAnsi="SimSun" w:eastAsia="SimSun" w:cs="SimSun"/>
                <w:spacing w:val="6"/>
              </w:rPr>
              <w:t>边长</w:t>
            </w:r>
            <w:r>
              <w:rPr>
                <w:rFonts w:ascii="SimSun" w:hAnsi="SimSun" w:eastAsia="SimSun" w:cs="SimSun"/>
                <w:spacing w:val="-34"/>
              </w:rPr>
              <w:t xml:space="preserve"> </w:t>
            </w:r>
            <w:r>
              <w:rPr>
                <w:spacing w:val="6"/>
              </w:rPr>
              <w:t>5</w:t>
            </w:r>
            <w:r>
              <w:rPr>
                <w:rFonts w:ascii="SimSun" w:hAnsi="SimSun" w:eastAsia="SimSun" w:cs="SimSun"/>
                <w:spacing w:val="6"/>
              </w:rPr>
              <w:t>～</w:t>
            </w:r>
            <w:r>
              <w:rPr>
                <w:spacing w:val="6"/>
              </w:rPr>
              <w:t>50</w:t>
            </w:r>
            <w:r>
              <w:rPr/>
              <w:t>km</w:t>
            </w:r>
            <w:r>
              <w:rPr>
                <w:spacing w:val="6"/>
              </w:rPr>
              <w:t>□</w:t>
            </w:r>
          </w:p>
        </w:tc>
        <w:tc>
          <w:tcPr>
            <w:tcW w:w="1400" w:type="dxa"/>
            <w:vAlign w:val="top"/>
            <w:gridSpan w:val="2"/>
          </w:tcPr>
          <w:p>
            <w:pPr>
              <w:pStyle w:val="TableText"/>
              <w:ind w:left="152"/>
              <w:spacing w:before="1"/>
              <w:rPr/>
            </w:pPr>
            <w:r>
              <w:rPr>
                <w:rFonts w:ascii="SimSun" w:hAnsi="SimSun" w:eastAsia="SimSun" w:cs="SimSun"/>
                <w:spacing w:val="8"/>
              </w:rPr>
              <w:t>边长</w:t>
            </w:r>
            <w:r>
              <w:rPr>
                <w:spacing w:val="8"/>
              </w:rPr>
              <w:t>=5</w:t>
            </w:r>
            <w:r>
              <w:rPr/>
              <w:t>km</w:t>
            </w:r>
            <w:r>
              <w:rPr>
                <w:position w:val="-3"/>
              </w:rPr>
              <w:drawing>
                <wp:inline distT="0" distB="0" distL="0" distR="0">
                  <wp:extent cx="115045" cy="129754"/>
                  <wp:effectExtent l="0" t="0" r="0" b="0"/>
                  <wp:docPr id="280" name="IM 280"/>
                  <wp:cNvGraphicFramePr/>
                  <a:graphic>
                    <a:graphicData uri="http://schemas.openxmlformats.org/drawingml/2006/picture">
                      <pic:pic>
                        <pic:nvPicPr>
                          <pic:cNvPr id="280" name="IM 280"/>
                          <pic:cNvPicPr/>
                        </pic:nvPicPr>
                        <pic:blipFill>
                          <a:blip r:embed="rId382"/>
                          <a:stretch>
                            <a:fillRect/>
                          </a:stretch>
                        </pic:blipFill>
                        <pic:spPr>
                          <a:xfrm rot="0">
                            <a:off x="0" y="0"/>
                            <a:ext cx="115045" cy="129754"/>
                          </a:xfrm>
                          <a:prstGeom prst="rect">
                            <a:avLst/>
                          </a:prstGeom>
                        </pic:spPr>
                      </pic:pic>
                    </a:graphicData>
                  </a:graphic>
                </wp:inline>
              </w:drawing>
            </w:r>
          </w:p>
        </w:tc>
      </w:tr>
      <w:tr>
        <w:trPr>
          <w:trHeight w:val="547"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463"/>
              <w:spacing w:before="167" w:line="228" w:lineRule="auto"/>
              <w:rPr>
                <w:rFonts w:ascii="SimSun" w:hAnsi="SimSun" w:eastAsia="SimSun" w:cs="SimSun"/>
                <w:sz w:val="20"/>
                <w:szCs w:val="20"/>
              </w:rPr>
            </w:pPr>
            <w:r>
              <w:rPr>
                <w:rFonts w:ascii="SimSun" w:hAnsi="SimSun" w:eastAsia="SimSun" w:cs="SimSun"/>
                <w:sz w:val="20"/>
                <w:szCs w:val="20"/>
                <w:spacing w:val="6"/>
              </w:rPr>
              <w:t>预测因子</w:t>
            </w:r>
          </w:p>
        </w:tc>
        <w:tc>
          <w:tcPr>
            <w:tcW w:w="3692" w:type="dxa"/>
            <w:vAlign w:val="top"/>
            <w:gridSpan w:val="7"/>
          </w:tcPr>
          <w:p>
            <w:pPr>
              <w:pStyle w:val="TableText"/>
              <w:ind w:left="1182"/>
              <w:spacing w:before="166" w:line="221" w:lineRule="auto"/>
              <w:rPr/>
            </w:pPr>
            <w:r>
              <w:rPr>
                <w:rFonts w:ascii="SimSun" w:hAnsi="SimSun" w:eastAsia="SimSun" w:cs="SimSun"/>
                <w:spacing w:val="8"/>
              </w:rPr>
              <w:t>预测因子</w:t>
            </w:r>
            <w:r>
              <w:rPr>
                <w:spacing w:val="8"/>
              </w:rPr>
              <w:t>(</w:t>
            </w:r>
            <w:r>
              <w:rPr/>
              <w:t>TSP</w:t>
            </w:r>
            <w:r>
              <w:rPr>
                <w:spacing w:val="8"/>
              </w:rPr>
              <w:t>)</w:t>
            </w:r>
          </w:p>
        </w:tc>
        <w:tc>
          <w:tcPr>
            <w:tcW w:w="2878" w:type="dxa"/>
            <w:vAlign w:val="top"/>
            <w:gridSpan w:val="4"/>
          </w:tcPr>
          <w:p>
            <w:pPr>
              <w:pStyle w:val="TableText"/>
              <w:ind w:left="554" w:right="542" w:firstLine="140"/>
              <w:spacing w:before="32" w:line="233" w:lineRule="auto"/>
              <w:rPr>
                <w:rFonts w:ascii="MS UI Gothic" w:hAnsi="MS UI Gothic" w:eastAsia="MS UI Gothic" w:cs="MS UI Gothic"/>
              </w:rPr>
            </w:pPr>
            <w:r>
              <w:rPr>
                <w:rFonts w:ascii="SimSun" w:hAnsi="SimSun" w:eastAsia="SimSun" w:cs="SimSun"/>
                <w:spacing w:val="6"/>
              </w:rPr>
              <w:t>包括二次</w:t>
            </w:r>
            <w:r>
              <w:rPr>
                <w:rFonts w:ascii="SimSun" w:hAnsi="SimSun" w:eastAsia="SimSun" w:cs="SimSun"/>
                <w:spacing w:val="-36"/>
              </w:rPr>
              <w:t xml:space="preserve"> </w:t>
            </w:r>
            <w:r>
              <w:rPr/>
              <w:t>PM</w:t>
            </w:r>
            <w:r>
              <w:rPr>
                <w:sz w:val="13"/>
                <w:szCs w:val="13"/>
                <w:spacing w:val="6"/>
                <w:position w:val="-1"/>
              </w:rPr>
              <w:t>2.5</w:t>
            </w:r>
            <w:r>
              <w:rPr>
                <w:spacing w:val="6"/>
              </w:rPr>
              <w:t>□</w:t>
            </w:r>
            <w:r>
              <w:rPr>
                <w:rFonts w:ascii="SimSun" w:hAnsi="SimSun" w:eastAsia="SimSun" w:cs="SimSun"/>
                <w:spacing w:val="5"/>
              </w:rPr>
              <w:t>不包括二次</w:t>
            </w:r>
            <w:r>
              <w:rPr>
                <w:rFonts w:ascii="SimSun" w:hAnsi="SimSun" w:eastAsia="SimSun" w:cs="SimSun"/>
                <w:spacing w:val="-37"/>
              </w:rPr>
              <w:t xml:space="preserve"> </w:t>
            </w:r>
            <w:r>
              <w:rPr/>
              <w:t>PM</w:t>
            </w:r>
            <w:r>
              <w:rPr>
                <w:sz w:val="13"/>
                <w:szCs w:val="13"/>
                <w:spacing w:val="5"/>
                <w:position w:val="-1"/>
              </w:rPr>
              <w:t>2.5</w:t>
            </w:r>
            <w:r>
              <w:rPr>
                <w:sz w:val="13"/>
                <w:szCs w:val="13"/>
                <w:spacing w:val="-18"/>
                <w:position w:val="-1"/>
              </w:rPr>
              <w:t xml:space="preserve"> </w:t>
            </w:r>
            <w:r>
              <w:rPr>
                <w:rFonts w:ascii="MS UI Gothic" w:hAnsi="MS UI Gothic" w:eastAsia="MS UI Gothic" w:cs="MS UI Gothic"/>
                <w:spacing w:val="5"/>
              </w:rPr>
              <w:t>☑</w:t>
            </w:r>
          </w:p>
        </w:tc>
      </w:tr>
      <w:tr>
        <w:trPr>
          <w:trHeight w:val="542"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566" w:right="41" w:hanging="521"/>
              <w:spacing w:before="29" w:line="232" w:lineRule="auto"/>
              <w:rPr>
                <w:rFonts w:ascii="SimSun" w:hAnsi="SimSun" w:eastAsia="SimSun" w:cs="SimSun"/>
                <w:sz w:val="20"/>
                <w:szCs w:val="20"/>
              </w:rPr>
            </w:pPr>
            <w:r>
              <w:rPr>
                <w:rFonts w:ascii="SimSun" w:hAnsi="SimSun" w:eastAsia="SimSun" w:cs="SimSun"/>
                <w:sz w:val="20"/>
                <w:szCs w:val="20"/>
                <w:spacing w:val="8"/>
              </w:rPr>
              <w:t>正常排放短期浓度</w:t>
            </w:r>
            <w:r>
              <w:rPr>
                <w:rFonts w:ascii="SimSun" w:hAnsi="SimSun" w:eastAsia="SimSun" w:cs="SimSun"/>
                <w:sz w:val="20"/>
                <w:szCs w:val="20"/>
                <w:spacing w:val="6"/>
              </w:rPr>
              <w:t>贡献值</w:t>
            </w:r>
          </w:p>
        </w:tc>
        <w:tc>
          <w:tcPr>
            <w:tcW w:w="3692" w:type="dxa"/>
            <w:vAlign w:val="top"/>
            <w:gridSpan w:val="7"/>
          </w:tcPr>
          <w:p>
            <w:pPr>
              <w:pStyle w:val="TableText"/>
              <w:ind w:left="730"/>
              <w:spacing w:before="94" w:line="362" w:lineRule="exact"/>
              <w:rPr/>
            </w:pPr>
            <w:r>
              <w:rPr>
                <w:rFonts w:ascii="SimSun" w:hAnsi="SimSun" w:eastAsia="SimSun" w:cs="SimSun"/>
                <w:position w:val="-3"/>
              </w:rPr>
              <w:drawing>
                <wp:inline distT="0" distB="0" distL="0" distR="0">
                  <wp:extent cx="274320" cy="188975"/>
                  <wp:effectExtent l="0" t="0" r="0" b="0"/>
                  <wp:docPr id="282" name="IM 282"/>
                  <wp:cNvGraphicFramePr/>
                  <a:graphic>
                    <a:graphicData uri="http://schemas.openxmlformats.org/drawingml/2006/picture">
                      <pic:pic>
                        <pic:nvPicPr>
                          <pic:cNvPr id="282" name="IM 282"/>
                          <pic:cNvPicPr/>
                        </pic:nvPicPr>
                        <pic:blipFill>
                          <a:blip r:embed="rId383"/>
                          <a:stretch>
                            <a:fillRect/>
                          </a:stretch>
                        </pic:blipFill>
                        <pic:spPr>
                          <a:xfrm rot="0">
                            <a:off x="0" y="0"/>
                            <a:ext cx="274320" cy="188975"/>
                          </a:xfrm>
                          <a:prstGeom prst="rect">
                            <a:avLst/>
                          </a:prstGeom>
                        </pic:spPr>
                      </pic:pic>
                    </a:graphicData>
                  </a:graphic>
                </wp:inline>
              </w:drawing>
            </w:r>
            <w:r>
              <w:rPr>
                <w:rFonts w:ascii="SimSun" w:hAnsi="SimSun" w:eastAsia="SimSun" w:cs="SimSun"/>
                <w:spacing w:val="8"/>
                <w:position w:val="-3"/>
              </w:rPr>
              <w:t>最大占标率</w:t>
            </w:r>
            <w:r>
              <w:rPr>
                <w:spacing w:val="8"/>
                <w:position w:val="-3"/>
              </w:rPr>
              <w:t>≤100%□</w:t>
            </w:r>
          </w:p>
        </w:tc>
        <w:tc>
          <w:tcPr>
            <w:tcW w:w="2878" w:type="dxa"/>
            <w:vAlign w:val="top"/>
            <w:gridSpan w:val="4"/>
          </w:tcPr>
          <w:p>
            <w:pPr>
              <w:pStyle w:val="TableText"/>
              <w:ind w:left="278"/>
              <w:spacing w:before="94" w:line="362" w:lineRule="exact"/>
              <w:rPr/>
            </w:pPr>
            <w:r>
              <w:rPr>
                <w:rFonts w:ascii="SimSun" w:hAnsi="SimSun" w:eastAsia="SimSun" w:cs="SimSun"/>
                <w:position w:val="-3"/>
              </w:rPr>
              <w:drawing>
                <wp:inline distT="0" distB="0" distL="0" distR="0">
                  <wp:extent cx="269747" cy="188975"/>
                  <wp:effectExtent l="0" t="0" r="0" b="0"/>
                  <wp:docPr id="284" name="IM 284"/>
                  <wp:cNvGraphicFramePr/>
                  <a:graphic>
                    <a:graphicData uri="http://schemas.openxmlformats.org/drawingml/2006/picture">
                      <pic:pic>
                        <pic:nvPicPr>
                          <pic:cNvPr id="284" name="IM 284"/>
                          <pic:cNvPicPr/>
                        </pic:nvPicPr>
                        <pic:blipFill>
                          <a:blip r:embed="rId384"/>
                          <a:stretch>
                            <a:fillRect/>
                          </a:stretch>
                        </pic:blipFill>
                        <pic:spPr>
                          <a:xfrm rot="0">
                            <a:off x="0" y="0"/>
                            <a:ext cx="269747" cy="188975"/>
                          </a:xfrm>
                          <a:prstGeom prst="rect">
                            <a:avLst/>
                          </a:prstGeom>
                        </pic:spPr>
                      </pic:pic>
                    </a:graphicData>
                  </a:graphic>
                </wp:inline>
              </w:drawing>
            </w:r>
            <w:r>
              <w:rPr>
                <w:rFonts w:ascii="SimSun" w:hAnsi="SimSun" w:eastAsia="SimSun" w:cs="SimSun"/>
                <w:spacing w:val="9"/>
                <w:position w:val="-3"/>
              </w:rPr>
              <w:t>最大占标率＞</w:t>
            </w:r>
            <w:r>
              <w:rPr>
                <w:spacing w:val="9"/>
                <w:position w:val="-3"/>
              </w:rPr>
              <w:t>100%□</w:t>
            </w:r>
          </w:p>
        </w:tc>
      </w:tr>
      <w:tr>
        <w:trPr>
          <w:trHeight w:val="362" w:hRule="atLeast"/>
        </w:trPr>
        <w:tc>
          <w:tcPr>
            <w:tcW w:w="799" w:type="dxa"/>
            <w:vAlign w:val="top"/>
            <w:vMerge w:val="continue"/>
            <w:tcBorders>
              <w:top w:val="nil"/>
              <w:bottom w:val="nil"/>
            </w:tcBorders>
          </w:tcPr>
          <w:p>
            <w:pPr>
              <w:rPr>
                <w:rFonts w:ascii="Arial"/>
                <w:sz w:val="21"/>
              </w:rPr>
            </w:pPr>
            <w:r/>
          </w:p>
        </w:tc>
        <w:tc>
          <w:tcPr>
            <w:tcW w:w="1758" w:type="dxa"/>
            <w:vAlign w:val="top"/>
            <w:vMerge w:val="restart"/>
            <w:tcBorders>
              <w:bottom w:val="nil"/>
            </w:tcBorders>
          </w:tcPr>
          <w:p>
            <w:pPr>
              <w:ind w:left="566" w:right="41" w:hanging="521"/>
              <w:spacing w:before="123" w:line="252" w:lineRule="auto"/>
              <w:rPr>
                <w:rFonts w:ascii="SimSun" w:hAnsi="SimSun" w:eastAsia="SimSun" w:cs="SimSun"/>
                <w:sz w:val="20"/>
                <w:szCs w:val="20"/>
              </w:rPr>
            </w:pPr>
            <w:r>
              <w:rPr>
                <w:rFonts w:ascii="SimSun" w:hAnsi="SimSun" w:eastAsia="SimSun" w:cs="SimSun"/>
                <w:sz w:val="20"/>
                <w:szCs w:val="20"/>
                <w:spacing w:val="8"/>
              </w:rPr>
              <w:t>正常排放年均浓度</w:t>
            </w:r>
            <w:r>
              <w:rPr>
                <w:rFonts w:ascii="SimSun" w:hAnsi="SimSun" w:eastAsia="SimSun" w:cs="SimSun"/>
                <w:sz w:val="20"/>
                <w:szCs w:val="20"/>
                <w:spacing w:val="6"/>
              </w:rPr>
              <w:t>贡献值</w:t>
            </w:r>
          </w:p>
        </w:tc>
        <w:tc>
          <w:tcPr>
            <w:tcW w:w="967" w:type="dxa"/>
            <w:vAlign w:val="top"/>
          </w:tcPr>
          <w:p>
            <w:pPr>
              <w:ind w:left="175"/>
              <w:spacing w:before="75" w:line="228" w:lineRule="auto"/>
              <w:rPr>
                <w:rFonts w:ascii="SimSun" w:hAnsi="SimSun" w:eastAsia="SimSun" w:cs="SimSun"/>
                <w:sz w:val="20"/>
                <w:szCs w:val="20"/>
              </w:rPr>
            </w:pPr>
            <w:r>
              <w:rPr>
                <w:rFonts w:ascii="SimSun" w:hAnsi="SimSun" w:eastAsia="SimSun" w:cs="SimSun"/>
                <w:sz w:val="20"/>
                <w:szCs w:val="20"/>
                <w:spacing w:val="5"/>
              </w:rPr>
              <w:t>一类区</w:t>
            </w:r>
          </w:p>
        </w:tc>
        <w:tc>
          <w:tcPr>
            <w:tcW w:w="2725" w:type="dxa"/>
            <w:vAlign w:val="top"/>
            <w:gridSpan w:val="6"/>
          </w:tcPr>
          <w:p>
            <w:pPr>
              <w:pStyle w:val="TableText"/>
              <w:ind w:left="303"/>
              <w:spacing w:before="8" w:line="229" w:lineRule="auto"/>
              <w:rPr/>
            </w:pPr>
            <w:r>
              <w:rPr>
                <w:rFonts w:ascii="SimSun" w:hAnsi="SimSun" w:eastAsia="SimSun" w:cs="SimSun"/>
              </w:rPr>
              <w:drawing>
                <wp:inline distT="0" distB="0" distL="0" distR="0">
                  <wp:extent cx="269747" cy="188975"/>
                  <wp:effectExtent l="0" t="0" r="0" b="0"/>
                  <wp:docPr id="286" name="IM 286"/>
                  <wp:cNvGraphicFramePr/>
                  <a:graphic>
                    <a:graphicData uri="http://schemas.openxmlformats.org/drawingml/2006/picture">
                      <pic:pic>
                        <pic:nvPicPr>
                          <pic:cNvPr id="286" name="IM 286"/>
                          <pic:cNvPicPr/>
                        </pic:nvPicPr>
                        <pic:blipFill>
                          <a:blip r:embed="rId385"/>
                          <a:stretch>
                            <a:fillRect/>
                          </a:stretch>
                        </pic:blipFill>
                        <pic:spPr>
                          <a:xfrm rot="0">
                            <a:off x="0" y="0"/>
                            <a:ext cx="269747" cy="188975"/>
                          </a:xfrm>
                          <a:prstGeom prst="rect">
                            <a:avLst/>
                          </a:prstGeom>
                        </pic:spPr>
                      </pic:pic>
                    </a:graphicData>
                  </a:graphic>
                </wp:inline>
              </w:drawing>
            </w:r>
            <w:r>
              <w:rPr>
                <w:rFonts w:ascii="SimSun" w:hAnsi="SimSun" w:eastAsia="SimSun" w:cs="SimSun"/>
                <w:spacing w:val="9"/>
              </w:rPr>
              <w:t>最大占标率</w:t>
            </w:r>
            <w:r>
              <w:rPr>
                <w:spacing w:val="9"/>
              </w:rPr>
              <w:t>≤10%□</w:t>
            </w:r>
          </w:p>
        </w:tc>
        <w:tc>
          <w:tcPr>
            <w:tcW w:w="2878" w:type="dxa"/>
            <w:vAlign w:val="top"/>
            <w:gridSpan w:val="4"/>
          </w:tcPr>
          <w:p>
            <w:pPr>
              <w:pStyle w:val="TableText"/>
              <w:ind w:left="437"/>
              <w:spacing w:before="8" w:line="229" w:lineRule="auto"/>
              <w:rPr/>
            </w:pPr>
            <w:r>
              <w:rPr>
                <w:rFonts w:ascii="SimSun" w:hAnsi="SimSun" w:eastAsia="SimSun" w:cs="SimSun"/>
              </w:rPr>
              <w:drawing>
                <wp:inline distT="0" distB="0" distL="0" distR="0">
                  <wp:extent cx="269747" cy="188975"/>
                  <wp:effectExtent l="0" t="0" r="0" b="0"/>
                  <wp:docPr id="288" name="IM 288"/>
                  <wp:cNvGraphicFramePr/>
                  <a:graphic>
                    <a:graphicData uri="http://schemas.openxmlformats.org/drawingml/2006/picture">
                      <pic:pic>
                        <pic:nvPicPr>
                          <pic:cNvPr id="288" name="IM 288"/>
                          <pic:cNvPicPr/>
                        </pic:nvPicPr>
                        <pic:blipFill>
                          <a:blip r:embed="rId386"/>
                          <a:stretch>
                            <a:fillRect/>
                          </a:stretch>
                        </pic:blipFill>
                        <pic:spPr>
                          <a:xfrm rot="0">
                            <a:off x="0" y="0"/>
                            <a:ext cx="269747" cy="188975"/>
                          </a:xfrm>
                          <a:prstGeom prst="rect">
                            <a:avLst/>
                          </a:prstGeom>
                        </pic:spPr>
                      </pic:pic>
                    </a:graphicData>
                  </a:graphic>
                </wp:inline>
              </w:drawing>
            </w:r>
            <w:r>
              <w:rPr>
                <w:rFonts w:ascii="SimSun" w:hAnsi="SimSun" w:eastAsia="SimSun" w:cs="SimSun"/>
                <w:spacing w:val="9"/>
              </w:rPr>
              <w:t>最大标率＞</w:t>
            </w:r>
            <w:r>
              <w:rPr>
                <w:spacing w:val="9"/>
              </w:rPr>
              <w:t>10%□</w:t>
            </w:r>
          </w:p>
        </w:tc>
      </w:tr>
      <w:tr>
        <w:trPr>
          <w:trHeight w:val="360" w:hRule="atLeast"/>
        </w:trPr>
        <w:tc>
          <w:tcPr>
            <w:tcW w:w="799" w:type="dxa"/>
            <w:vAlign w:val="top"/>
            <w:vMerge w:val="continue"/>
            <w:tcBorders>
              <w:top w:val="nil"/>
            </w:tcBorders>
          </w:tcPr>
          <w:p>
            <w:pPr>
              <w:rPr>
                <w:rFonts w:ascii="Arial"/>
                <w:sz w:val="21"/>
              </w:rPr>
            </w:pPr>
            <w:r/>
          </w:p>
        </w:tc>
        <w:tc>
          <w:tcPr>
            <w:tcW w:w="1758" w:type="dxa"/>
            <w:vAlign w:val="top"/>
            <w:vMerge w:val="continue"/>
            <w:tcBorders>
              <w:top w:val="nil"/>
            </w:tcBorders>
          </w:tcPr>
          <w:p>
            <w:pPr>
              <w:rPr>
                <w:rFonts w:ascii="Arial"/>
                <w:sz w:val="21"/>
              </w:rPr>
            </w:pPr>
            <w:r/>
          </w:p>
        </w:tc>
        <w:tc>
          <w:tcPr>
            <w:tcW w:w="967" w:type="dxa"/>
            <w:vAlign w:val="top"/>
          </w:tcPr>
          <w:p>
            <w:pPr>
              <w:ind w:left="175"/>
              <w:spacing w:before="75" w:line="228" w:lineRule="auto"/>
              <w:rPr>
                <w:rFonts w:ascii="SimSun" w:hAnsi="SimSun" w:eastAsia="SimSun" w:cs="SimSun"/>
                <w:sz w:val="20"/>
                <w:szCs w:val="20"/>
              </w:rPr>
            </w:pPr>
            <w:r>
              <w:rPr>
                <w:rFonts w:ascii="SimSun" w:hAnsi="SimSun" w:eastAsia="SimSun" w:cs="SimSun"/>
                <w:sz w:val="20"/>
                <w:szCs w:val="20"/>
                <w:spacing w:val="5"/>
              </w:rPr>
              <w:t>二类区</w:t>
            </w:r>
          </w:p>
        </w:tc>
        <w:tc>
          <w:tcPr>
            <w:tcW w:w="2725" w:type="dxa"/>
            <w:vAlign w:val="top"/>
            <w:gridSpan w:val="6"/>
          </w:tcPr>
          <w:p>
            <w:pPr>
              <w:pStyle w:val="TableText"/>
              <w:ind w:left="275"/>
              <w:spacing w:before="43" w:line="236" w:lineRule="auto"/>
              <w:rPr/>
            </w:pPr>
            <w:r>
              <w:rPr>
                <w:rFonts w:ascii="SimSun" w:hAnsi="SimSun" w:eastAsia="SimSun" w:cs="SimSun"/>
                <w:position w:val="3"/>
              </w:rPr>
              <w:drawing>
                <wp:inline distT="0" distB="0" distL="0" distR="0">
                  <wp:extent cx="264853" cy="141732"/>
                  <wp:effectExtent l="0" t="0" r="0" b="0"/>
                  <wp:docPr id="290" name="IM 290"/>
                  <wp:cNvGraphicFramePr/>
                  <a:graphic>
                    <a:graphicData uri="http://schemas.openxmlformats.org/drawingml/2006/picture">
                      <pic:pic>
                        <pic:nvPicPr>
                          <pic:cNvPr id="290" name="IM 290"/>
                          <pic:cNvPicPr/>
                        </pic:nvPicPr>
                        <pic:blipFill>
                          <a:blip r:embed="rId387"/>
                          <a:stretch>
                            <a:fillRect/>
                          </a:stretch>
                        </pic:blipFill>
                        <pic:spPr>
                          <a:xfrm rot="0">
                            <a:off x="0" y="0"/>
                            <a:ext cx="264853" cy="141732"/>
                          </a:xfrm>
                          <a:prstGeom prst="rect">
                            <a:avLst/>
                          </a:prstGeom>
                        </pic:spPr>
                      </pic:pic>
                    </a:graphicData>
                  </a:graphic>
                </wp:inline>
              </w:drawing>
            </w:r>
            <w:r>
              <w:rPr>
                <w:rFonts w:ascii="SimSun" w:hAnsi="SimSun" w:eastAsia="SimSun" w:cs="SimSun"/>
                <w:spacing w:val="11"/>
              </w:rPr>
              <w:t>最大占标率</w:t>
            </w:r>
            <w:r>
              <w:rPr>
                <w:spacing w:val="11"/>
              </w:rPr>
              <w:t>≤30%</w:t>
            </w:r>
            <w:r>
              <w:rPr>
                <w:position w:val="-4"/>
              </w:rPr>
              <w:drawing>
                <wp:inline distT="0" distB="0" distL="0" distR="0">
                  <wp:extent cx="106342" cy="139748"/>
                  <wp:effectExtent l="0" t="0" r="0" b="0"/>
                  <wp:docPr id="292" name="IM 292"/>
                  <wp:cNvGraphicFramePr/>
                  <a:graphic>
                    <a:graphicData uri="http://schemas.openxmlformats.org/drawingml/2006/picture">
                      <pic:pic>
                        <pic:nvPicPr>
                          <pic:cNvPr id="292" name="IM 292"/>
                          <pic:cNvPicPr/>
                        </pic:nvPicPr>
                        <pic:blipFill>
                          <a:blip r:embed="rId388"/>
                          <a:stretch>
                            <a:fillRect/>
                          </a:stretch>
                        </pic:blipFill>
                        <pic:spPr>
                          <a:xfrm rot="0">
                            <a:off x="0" y="0"/>
                            <a:ext cx="106342" cy="139748"/>
                          </a:xfrm>
                          <a:prstGeom prst="rect">
                            <a:avLst/>
                          </a:prstGeom>
                        </pic:spPr>
                      </pic:pic>
                    </a:graphicData>
                  </a:graphic>
                </wp:inline>
              </w:drawing>
            </w:r>
          </w:p>
        </w:tc>
        <w:tc>
          <w:tcPr>
            <w:tcW w:w="2878" w:type="dxa"/>
            <w:vAlign w:val="top"/>
            <w:gridSpan w:val="4"/>
          </w:tcPr>
          <w:p>
            <w:pPr>
              <w:pStyle w:val="TableText"/>
              <w:ind w:left="437"/>
              <w:spacing w:before="6" w:line="229" w:lineRule="auto"/>
              <w:rPr/>
            </w:pPr>
            <w:r>
              <w:rPr>
                <w:rFonts w:ascii="SimSun" w:hAnsi="SimSun" w:eastAsia="SimSun" w:cs="SimSun"/>
              </w:rPr>
              <w:drawing>
                <wp:inline distT="0" distB="0" distL="0" distR="0">
                  <wp:extent cx="269747" cy="188976"/>
                  <wp:effectExtent l="0" t="0" r="0" b="0"/>
                  <wp:docPr id="294" name="IM 294"/>
                  <wp:cNvGraphicFramePr/>
                  <a:graphic>
                    <a:graphicData uri="http://schemas.openxmlformats.org/drawingml/2006/picture">
                      <pic:pic>
                        <pic:nvPicPr>
                          <pic:cNvPr id="294" name="IM 294"/>
                          <pic:cNvPicPr/>
                        </pic:nvPicPr>
                        <pic:blipFill>
                          <a:blip r:embed="rId389"/>
                          <a:stretch>
                            <a:fillRect/>
                          </a:stretch>
                        </pic:blipFill>
                        <pic:spPr>
                          <a:xfrm rot="0">
                            <a:off x="0" y="0"/>
                            <a:ext cx="269747" cy="188976"/>
                          </a:xfrm>
                          <a:prstGeom prst="rect">
                            <a:avLst/>
                          </a:prstGeom>
                        </pic:spPr>
                      </pic:pic>
                    </a:graphicData>
                  </a:graphic>
                </wp:inline>
              </w:drawing>
            </w:r>
            <w:r>
              <w:rPr>
                <w:rFonts w:ascii="SimSun" w:hAnsi="SimSun" w:eastAsia="SimSun" w:cs="SimSun"/>
                <w:spacing w:val="9"/>
              </w:rPr>
              <w:t>最大标率＞</w:t>
            </w:r>
            <w:r>
              <w:rPr>
                <w:spacing w:val="9"/>
              </w:rPr>
              <w:t>30%□</w:t>
            </w:r>
          </w:p>
        </w:tc>
      </w:tr>
    </w:tbl>
    <w:p>
      <w:pPr>
        <w:pStyle w:val="BodyText"/>
        <w:spacing w:line="94" w:lineRule="exact"/>
        <w:rPr>
          <w:sz w:val="8"/>
        </w:rPr>
      </w:pPr>
      <w:r/>
    </w:p>
    <w:p>
      <w:pPr>
        <w:spacing w:line="94" w:lineRule="exact"/>
        <w:sectPr>
          <w:headerReference w:type="default" r:id="rId371"/>
          <w:footerReference w:type="default" r:id="rId372"/>
          <w:pgSz w:w="11906" w:h="16838"/>
          <w:pgMar w:top="1170" w:right="1386" w:bottom="1080" w:left="1387" w:header="837" w:footer="918" w:gutter="0"/>
        </w:sectPr>
        <w:rPr>
          <w:sz w:val="8"/>
          <w:szCs w:val="8"/>
        </w:rPr>
      </w:pPr>
    </w:p>
    <w:p>
      <w:pPr>
        <w:spacing w:before="6"/>
        <w:rPr/>
      </w:pPr>
      <w:r/>
    </w:p>
    <w:tbl>
      <w:tblPr>
        <w:tblStyle w:val="TableNormal"/>
        <w:tblW w:w="9127" w:type="dxa"/>
        <w:tblInd w:w="8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99"/>
        <w:gridCol w:w="1758"/>
        <w:gridCol w:w="1559"/>
        <w:gridCol w:w="1238"/>
        <w:gridCol w:w="264"/>
        <w:gridCol w:w="631"/>
        <w:gridCol w:w="731"/>
        <w:gridCol w:w="746"/>
        <w:gridCol w:w="1401"/>
      </w:tblGrid>
      <w:tr>
        <w:trPr>
          <w:trHeight w:val="546" w:hRule="atLeast"/>
        </w:trPr>
        <w:tc>
          <w:tcPr>
            <w:tcW w:w="799" w:type="dxa"/>
            <w:vAlign w:val="top"/>
            <w:vMerge w:val="restart"/>
            <w:tcBorders>
              <w:bottom w:val="nil"/>
            </w:tcBorders>
          </w:tcPr>
          <w:p>
            <w:pPr>
              <w:rPr>
                <w:rFonts w:ascii="Arial"/>
                <w:sz w:val="21"/>
              </w:rPr>
            </w:pPr>
            <w:r/>
          </w:p>
        </w:tc>
        <w:tc>
          <w:tcPr>
            <w:tcW w:w="1758" w:type="dxa"/>
            <w:vAlign w:val="top"/>
          </w:tcPr>
          <w:p>
            <w:pPr>
              <w:pStyle w:val="TableText"/>
              <w:ind w:left="460" w:right="91" w:hanging="363"/>
              <w:spacing w:before="28" w:line="234" w:lineRule="auto"/>
              <w:rPr>
                <w:rFonts w:ascii="SimSun" w:hAnsi="SimSun" w:eastAsia="SimSun" w:cs="SimSun"/>
              </w:rPr>
            </w:pPr>
            <w:bookmarkStart w:name="bookmark95" w:id="52"/>
            <w:bookmarkEnd w:id="52"/>
            <w:r>
              <w:rPr>
                <w:rFonts w:ascii="SimSun" w:hAnsi="SimSun" w:eastAsia="SimSun" w:cs="SimSun"/>
                <w:spacing w:val="4"/>
              </w:rPr>
              <w:t>非正常排放</w:t>
            </w:r>
            <w:r>
              <w:rPr>
                <w:rFonts w:ascii="SimSun" w:hAnsi="SimSun" w:eastAsia="SimSun" w:cs="SimSun"/>
                <w:spacing w:val="-23"/>
              </w:rPr>
              <w:t xml:space="preserve"> </w:t>
            </w:r>
            <w:r>
              <w:rPr>
                <w:spacing w:val="4"/>
              </w:rPr>
              <w:t>1h </w:t>
            </w:r>
            <w:r>
              <w:rPr>
                <w:rFonts w:ascii="SimSun" w:hAnsi="SimSun" w:eastAsia="SimSun" w:cs="SimSun"/>
                <w:spacing w:val="4"/>
              </w:rPr>
              <w:t>浓</w:t>
            </w:r>
            <w:r>
              <w:rPr>
                <w:rFonts w:ascii="SimSun" w:hAnsi="SimSun" w:eastAsia="SimSun" w:cs="SimSun"/>
                <w:spacing w:val="7"/>
              </w:rPr>
              <w:t>度贡献值</w:t>
            </w:r>
          </w:p>
        </w:tc>
        <w:tc>
          <w:tcPr>
            <w:tcW w:w="1559" w:type="dxa"/>
            <w:vAlign w:val="top"/>
          </w:tcPr>
          <w:p>
            <w:pPr>
              <w:pStyle w:val="TableText"/>
              <w:ind w:left="632" w:right="45" w:hanging="581"/>
              <w:spacing w:before="28" w:line="234" w:lineRule="auto"/>
              <w:rPr/>
            </w:pPr>
            <w:r>
              <w:rPr>
                <w:rFonts w:ascii="SimSun" w:hAnsi="SimSun" w:eastAsia="SimSun" w:cs="SimSun"/>
                <w:spacing w:val="8"/>
              </w:rPr>
              <w:t>非正常持续时长</w:t>
            </w:r>
            <w:r>
              <w:rPr>
                <w:rFonts w:ascii="SimSun" w:hAnsi="SimSun" w:eastAsia="SimSun" w:cs="SimSun"/>
                <w:spacing w:val="-6"/>
              </w:rPr>
              <w:t>()</w:t>
            </w:r>
            <w:r>
              <w:rPr>
                <w:rFonts w:ascii="SimSun" w:hAnsi="SimSun" w:eastAsia="SimSun" w:cs="SimSun"/>
                <w:spacing w:val="23"/>
              </w:rPr>
              <w:t xml:space="preserve"> </w:t>
            </w:r>
            <w:r>
              <w:rPr>
                <w:spacing w:val="-6"/>
              </w:rPr>
              <w:t>h</w:t>
            </w:r>
          </w:p>
        </w:tc>
        <w:tc>
          <w:tcPr>
            <w:tcW w:w="2864" w:type="dxa"/>
            <w:vAlign w:val="top"/>
            <w:gridSpan w:val="4"/>
          </w:tcPr>
          <w:p>
            <w:pPr>
              <w:pStyle w:val="TableText"/>
              <w:ind w:left="532"/>
              <w:spacing w:before="93" w:line="362" w:lineRule="exact"/>
              <w:rPr/>
            </w:pPr>
            <w:r>
              <w:rPr>
                <w:rFonts w:ascii="SimSun" w:hAnsi="SimSun" w:eastAsia="SimSun" w:cs="SimSun"/>
                <w:position w:val="-3"/>
              </w:rPr>
              <w:drawing>
                <wp:inline distT="0" distB="0" distL="0" distR="0">
                  <wp:extent cx="269747" cy="188976"/>
                  <wp:effectExtent l="0" t="0" r="0" b="0"/>
                  <wp:docPr id="296" name="IM 296"/>
                  <wp:cNvGraphicFramePr/>
                  <a:graphic>
                    <a:graphicData uri="http://schemas.openxmlformats.org/drawingml/2006/picture">
                      <pic:pic>
                        <pic:nvPicPr>
                          <pic:cNvPr id="296" name="IM 296"/>
                          <pic:cNvPicPr/>
                        </pic:nvPicPr>
                        <pic:blipFill>
                          <a:blip r:embed="rId391"/>
                          <a:stretch>
                            <a:fillRect/>
                          </a:stretch>
                        </pic:blipFill>
                        <pic:spPr>
                          <a:xfrm rot="0">
                            <a:off x="0" y="0"/>
                            <a:ext cx="269747" cy="188976"/>
                          </a:xfrm>
                          <a:prstGeom prst="rect">
                            <a:avLst/>
                          </a:prstGeom>
                        </pic:spPr>
                      </pic:pic>
                    </a:graphicData>
                  </a:graphic>
                </wp:inline>
              </w:drawing>
            </w:r>
            <w:r>
              <w:rPr>
                <w:rFonts w:ascii="SimSun" w:hAnsi="SimSun" w:eastAsia="SimSun" w:cs="SimSun"/>
                <w:spacing w:val="8"/>
                <w:position w:val="-3"/>
              </w:rPr>
              <w:t>占标率</w:t>
            </w:r>
            <w:r>
              <w:rPr>
                <w:spacing w:val="8"/>
                <w:position w:val="-3"/>
              </w:rPr>
              <w:t>≤100%□</w:t>
            </w:r>
          </w:p>
        </w:tc>
        <w:tc>
          <w:tcPr>
            <w:tcW w:w="2147" w:type="dxa"/>
            <w:vAlign w:val="top"/>
            <w:gridSpan w:val="2"/>
          </w:tcPr>
          <w:p>
            <w:pPr>
              <w:pStyle w:val="TableText"/>
              <w:ind w:left="123"/>
              <w:spacing w:before="93" w:line="362" w:lineRule="exact"/>
              <w:rPr/>
            </w:pPr>
            <w:r>
              <w:rPr>
                <w:rFonts w:ascii="SimSun" w:hAnsi="SimSun" w:eastAsia="SimSun" w:cs="SimSun"/>
                <w:position w:val="-3"/>
              </w:rPr>
              <w:drawing>
                <wp:inline distT="0" distB="0" distL="0" distR="0">
                  <wp:extent cx="269747" cy="188976"/>
                  <wp:effectExtent l="0" t="0" r="0" b="0"/>
                  <wp:docPr id="298" name="IM 298"/>
                  <wp:cNvGraphicFramePr/>
                  <a:graphic>
                    <a:graphicData uri="http://schemas.openxmlformats.org/drawingml/2006/picture">
                      <pic:pic>
                        <pic:nvPicPr>
                          <pic:cNvPr id="298" name="IM 298"/>
                          <pic:cNvPicPr/>
                        </pic:nvPicPr>
                        <pic:blipFill>
                          <a:blip r:embed="rId392"/>
                          <a:stretch>
                            <a:fillRect/>
                          </a:stretch>
                        </pic:blipFill>
                        <pic:spPr>
                          <a:xfrm rot="0">
                            <a:off x="0" y="0"/>
                            <a:ext cx="269747" cy="188976"/>
                          </a:xfrm>
                          <a:prstGeom prst="rect">
                            <a:avLst/>
                          </a:prstGeom>
                        </pic:spPr>
                      </pic:pic>
                    </a:graphicData>
                  </a:graphic>
                </wp:inline>
              </w:drawing>
            </w:r>
            <w:r>
              <w:rPr>
                <w:rFonts w:ascii="SimSun" w:hAnsi="SimSun" w:eastAsia="SimSun" w:cs="SimSun"/>
                <w:spacing w:val="-37"/>
                <w:position w:val="-3"/>
              </w:rPr>
              <w:t xml:space="preserve"> </w:t>
            </w:r>
            <w:r>
              <w:rPr>
                <w:rFonts w:ascii="SimSun" w:hAnsi="SimSun" w:eastAsia="SimSun" w:cs="SimSun"/>
                <w:spacing w:val="2"/>
                <w:position w:val="-3"/>
              </w:rPr>
              <w:t>占标率＞</w:t>
            </w:r>
            <w:r>
              <w:rPr>
                <w:spacing w:val="2"/>
                <w:position w:val="-3"/>
              </w:rPr>
              <w:t>100%□</w:t>
            </w:r>
          </w:p>
        </w:tc>
      </w:tr>
      <w:tr>
        <w:trPr>
          <w:trHeight w:val="817"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42"/>
              <w:spacing w:before="27" w:line="228" w:lineRule="auto"/>
              <w:rPr>
                <w:rFonts w:ascii="SimSun" w:hAnsi="SimSun" w:eastAsia="SimSun" w:cs="SimSun"/>
                <w:sz w:val="20"/>
                <w:szCs w:val="20"/>
              </w:rPr>
            </w:pPr>
            <w:r>
              <w:rPr>
                <w:rFonts w:ascii="SimSun" w:hAnsi="SimSun" w:eastAsia="SimSun" w:cs="SimSun"/>
                <w:sz w:val="20"/>
                <w:szCs w:val="20"/>
                <w:spacing w:val="8"/>
              </w:rPr>
              <w:t>保证率日平均浓度</w:t>
            </w:r>
          </w:p>
          <w:p>
            <w:pPr>
              <w:ind w:left="42"/>
              <w:spacing w:before="24" w:line="228" w:lineRule="auto"/>
              <w:rPr>
                <w:rFonts w:ascii="SimSun" w:hAnsi="SimSun" w:eastAsia="SimSun" w:cs="SimSun"/>
                <w:sz w:val="20"/>
                <w:szCs w:val="20"/>
              </w:rPr>
            </w:pPr>
            <w:r>
              <w:rPr>
                <w:rFonts w:ascii="SimSun" w:hAnsi="SimSun" w:eastAsia="SimSun" w:cs="SimSun"/>
                <w:sz w:val="20"/>
                <w:szCs w:val="20"/>
                <w:spacing w:val="8"/>
              </w:rPr>
              <w:t>和年平均浓度叠加</w:t>
            </w:r>
          </w:p>
          <w:p>
            <w:pPr>
              <w:ind w:left="778"/>
              <w:spacing w:before="27" w:line="216" w:lineRule="auto"/>
              <w:rPr>
                <w:rFonts w:ascii="SimSun" w:hAnsi="SimSun" w:eastAsia="SimSun" w:cs="SimSun"/>
                <w:sz w:val="20"/>
                <w:szCs w:val="20"/>
              </w:rPr>
            </w:pPr>
            <w:r>
              <w:rPr>
                <w:rFonts w:ascii="SimSun" w:hAnsi="SimSun" w:eastAsia="SimSun" w:cs="SimSun"/>
                <w:sz w:val="20"/>
                <w:szCs w:val="20"/>
              </w:rPr>
              <w:t>值</w:t>
            </w:r>
          </w:p>
        </w:tc>
        <w:tc>
          <w:tcPr>
            <w:tcW w:w="3061" w:type="dxa"/>
            <w:vAlign w:val="top"/>
            <w:gridSpan w:val="3"/>
          </w:tcPr>
          <w:p>
            <w:pPr>
              <w:pStyle w:val="TableText"/>
              <w:ind w:left="1033"/>
              <w:spacing w:before="233" w:line="167" w:lineRule="auto"/>
              <w:rPr/>
            </w:pPr>
            <w:r>
              <w:rPr>
                <w:rFonts w:ascii="Arial" w:hAnsi="Arial" w:eastAsia="Arial" w:cs="Arial"/>
                <w:sz w:val="39"/>
                <w:szCs w:val="39"/>
                <w:color w:val="151515"/>
                <w:position w:val="1"/>
              </w:rPr>
              <w:t>cn</w:t>
            </w:r>
            <w:r>
              <w:rPr>
                <w:rFonts w:ascii="SimSun" w:hAnsi="SimSun" w:eastAsia="SimSun" w:cs="SimSun"/>
                <w:spacing w:val="18"/>
                <w:position w:val="-5"/>
              </w:rPr>
              <w:t>达标</w:t>
            </w:r>
            <w:r>
              <w:rPr>
                <w:spacing w:val="18"/>
                <w:position w:val="-8"/>
              </w:rPr>
              <w:t>□</w:t>
            </w:r>
          </w:p>
        </w:tc>
        <w:tc>
          <w:tcPr>
            <w:tcW w:w="3509" w:type="dxa"/>
            <w:vAlign w:val="top"/>
            <w:gridSpan w:val="4"/>
          </w:tcPr>
          <w:p>
            <w:pPr>
              <w:pStyle w:val="TableText"/>
              <w:ind w:left="1159"/>
              <w:spacing w:before="270" w:line="321" w:lineRule="exact"/>
              <w:rPr/>
            </w:pPr>
            <w:r>
              <w:rPr>
                <w:rFonts w:ascii="Arial" w:hAnsi="Arial" w:eastAsia="Arial" w:cs="Arial"/>
                <w:sz w:val="38"/>
                <w:szCs w:val="38"/>
                <w:color w:val="212121"/>
                <w:position w:val="4"/>
              </w:rPr>
              <w:t>cn</w:t>
            </w:r>
            <w:r>
              <w:rPr>
                <w:rFonts w:ascii="SimSun" w:hAnsi="SimSun" w:eastAsia="SimSun" w:cs="SimSun"/>
                <w:spacing w:val="16"/>
                <w:position w:val="-2"/>
              </w:rPr>
              <w:t>不达标</w:t>
            </w:r>
            <w:r>
              <w:rPr>
                <w:spacing w:val="16"/>
                <w:position w:val="-2"/>
              </w:rPr>
              <w:t>□</w:t>
            </w:r>
          </w:p>
        </w:tc>
      </w:tr>
      <w:tr>
        <w:trPr>
          <w:trHeight w:val="544" w:hRule="atLeast"/>
        </w:trPr>
        <w:tc>
          <w:tcPr>
            <w:tcW w:w="799" w:type="dxa"/>
            <w:vAlign w:val="top"/>
            <w:vMerge w:val="continue"/>
            <w:tcBorders>
              <w:top w:val="nil"/>
            </w:tcBorders>
          </w:tcPr>
          <w:p>
            <w:pPr>
              <w:rPr>
                <w:rFonts w:ascii="Arial"/>
                <w:sz w:val="21"/>
              </w:rPr>
            </w:pPr>
            <w:r/>
          </w:p>
        </w:tc>
        <w:tc>
          <w:tcPr>
            <w:tcW w:w="1758" w:type="dxa"/>
            <w:vAlign w:val="top"/>
          </w:tcPr>
          <w:p>
            <w:pPr>
              <w:ind w:left="358" w:right="41" w:hanging="301"/>
              <w:spacing w:before="29" w:line="233" w:lineRule="auto"/>
              <w:rPr>
                <w:rFonts w:ascii="SimSun" w:hAnsi="SimSun" w:eastAsia="SimSun" w:cs="SimSun"/>
                <w:sz w:val="20"/>
                <w:szCs w:val="20"/>
              </w:rPr>
            </w:pPr>
            <w:r>
              <w:rPr>
                <w:rFonts w:ascii="SimSun" w:hAnsi="SimSun" w:eastAsia="SimSun" w:cs="SimSun"/>
                <w:sz w:val="20"/>
                <w:szCs w:val="20"/>
                <w:spacing w:val="6"/>
              </w:rPr>
              <w:t>区域环境质量的整</w:t>
            </w:r>
            <w:r>
              <w:rPr>
                <w:rFonts w:ascii="SimSun" w:hAnsi="SimSun" w:eastAsia="SimSun" w:cs="SimSun"/>
                <w:sz w:val="20"/>
                <w:szCs w:val="20"/>
                <w:spacing w:val="8"/>
              </w:rPr>
              <w:t>体变化情况</w:t>
            </w:r>
          </w:p>
        </w:tc>
        <w:tc>
          <w:tcPr>
            <w:tcW w:w="3061" w:type="dxa"/>
            <w:vAlign w:val="top"/>
            <w:gridSpan w:val="3"/>
          </w:tcPr>
          <w:p>
            <w:pPr>
              <w:pStyle w:val="TableText"/>
              <w:ind w:left="1133"/>
              <w:spacing w:before="128" w:line="278" w:lineRule="exact"/>
              <w:rPr/>
            </w:pPr>
            <w:r>
              <w:rPr>
                <w:i/>
                <w:iCs/>
                <w:spacing w:val="5"/>
                <w:position w:val="2"/>
              </w:rPr>
              <w:t>k</w:t>
            </w:r>
            <w:r>
              <w:rPr>
                <w:spacing w:val="5"/>
                <w:position w:val="2"/>
              </w:rPr>
              <w:t>≤-20%□</w:t>
            </w:r>
          </w:p>
        </w:tc>
        <w:tc>
          <w:tcPr>
            <w:tcW w:w="3509" w:type="dxa"/>
            <w:vAlign w:val="top"/>
            <w:gridSpan w:val="4"/>
          </w:tcPr>
          <w:p>
            <w:pPr>
              <w:pStyle w:val="TableText"/>
              <w:ind w:left="1307"/>
              <w:spacing w:before="128" w:line="278" w:lineRule="exact"/>
              <w:rPr/>
            </w:pPr>
            <w:r>
              <w:rPr>
                <w:i/>
                <w:iCs/>
                <w:spacing w:val="6"/>
                <w:position w:val="2"/>
              </w:rPr>
              <w:t>k</w:t>
            </w:r>
            <w:r>
              <w:rPr>
                <w:rFonts w:ascii="SimSun" w:hAnsi="SimSun" w:eastAsia="SimSun" w:cs="SimSun"/>
                <w:spacing w:val="6"/>
                <w:position w:val="2"/>
              </w:rPr>
              <w:t>＞</w:t>
            </w:r>
            <w:r>
              <w:rPr>
                <w:spacing w:val="6"/>
                <w:position w:val="2"/>
              </w:rPr>
              <w:t>-20%□</w:t>
            </w:r>
          </w:p>
        </w:tc>
      </w:tr>
      <w:tr>
        <w:trPr>
          <w:trHeight w:val="544" w:hRule="atLeast"/>
        </w:trPr>
        <w:tc>
          <w:tcPr>
            <w:tcW w:w="799" w:type="dxa"/>
            <w:vAlign w:val="top"/>
            <w:vMerge w:val="restart"/>
            <w:tcBorders>
              <w:bottom w:val="nil"/>
            </w:tcBorders>
          </w:tcPr>
          <w:p>
            <w:pPr>
              <w:ind w:left="89" w:right="83"/>
              <w:spacing w:before="165" w:line="255" w:lineRule="auto"/>
              <w:rPr>
                <w:rFonts w:ascii="SimSun" w:hAnsi="SimSun" w:eastAsia="SimSun" w:cs="SimSun"/>
                <w:sz w:val="20"/>
                <w:szCs w:val="20"/>
              </w:rPr>
            </w:pPr>
            <w:r>
              <w:rPr>
                <w:rFonts w:ascii="SimSun" w:hAnsi="SimSun" w:eastAsia="SimSun" w:cs="SimSun"/>
                <w:sz w:val="20"/>
                <w:szCs w:val="20"/>
                <w:spacing w:val="6"/>
              </w:rPr>
              <w:t>环境监</w:t>
            </w:r>
            <w:r>
              <w:rPr>
                <w:rFonts w:ascii="SimSun" w:hAnsi="SimSun" w:eastAsia="SimSun" w:cs="SimSun"/>
                <w:sz w:val="20"/>
                <w:szCs w:val="20"/>
                <w:spacing w:val="6"/>
              </w:rPr>
              <w:t>测计划</w:t>
            </w:r>
          </w:p>
        </w:tc>
        <w:tc>
          <w:tcPr>
            <w:tcW w:w="1758" w:type="dxa"/>
            <w:vAlign w:val="top"/>
          </w:tcPr>
          <w:p>
            <w:pPr>
              <w:ind w:left="360"/>
              <w:spacing w:before="164" w:line="228" w:lineRule="auto"/>
              <w:rPr>
                <w:rFonts w:ascii="SimSun" w:hAnsi="SimSun" w:eastAsia="SimSun" w:cs="SimSun"/>
                <w:sz w:val="20"/>
                <w:szCs w:val="20"/>
              </w:rPr>
            </w:pPr>
            <w:r>
              <w:rPr>
                <w:rFonts w:ascii="SimSun" w:hAnsi="SimSun" w:eastAsia="SimSun" w:cs="SimSun"/>
                <w:sz w:val="20"/>
                <w:szCs w:val="20"/>
                <w:spacing w:val="7"/>
              </w:rPr>
              <w:t>污染源监测</w:t>
            </w:r>
          </w:p>
        </w:tc>
        <w:tc>
          <w:tcPr>
            <w:tcW w:w="2797" w:type="dxa"/>
            <w:vAlign w:val="top"/>
            <w:gridSpan w:val="2"/>
          </w:tcPr>
          <w:p>
            <w:pPr>
              <w:pStyle w:val="TableText"/>
              <w:ind w:left="487"/>
              <w:spacing w:before="164" w:line="228" w:lineRule="auto"/>
              <w:rPr>
                <w:rFonts w:ascii="SimSun" w:hAnsi="SimSun" w:eastAsia="SimSun" w:cs="SimSun"/>
              </w:rPr>
            </w:pPr>
            <w:r>
              <w:rPr>
                <w:rFonts w:ascii="SimSun" w:hAnsi="SimSun" w:eastAsia="SimSun" w:cs="SimSun"/>
                <w:spacing w:val="15"/>
              </w:rPr>
              <w:t>监测因子</w:t>
            </w:r>
            <w:r>
              <w:rPr>
                <w:rFonts w:ascii="SimSun" w:hAnsi="SimSun" w:eastAsia="SimSun" w:cs="SimSun"/>
                <w:spacing w:val="-5"/>
              </w:rPr>
              <w:t>：（</w:t>
            </w:r>
            <w:r>
              <w:rPr/>
              <w:t>TSP</w:t>
            </w:r>
            <w:r>
              <w:rPr>
                <w:rFonts w:ascii="SimSun" w:hAnsi="SimSun" w:eastAsia="SimSun" w:cs="SimSun"/>
                <w:spacing w:val="15"/>
              </w:rPr>
              <w:t>）</w:t>
            </w:r>
          </w:p>
        </w:tc>
        <w:tc>
          <w:tcPr>
            <w:tcW w:w="2372" w:type="dxa"/>
            <w:vAlign w:val="top"/>
            <w:gridSpan w:val="4"/>
          </w:tcPr>
          <w:p>
            <w:pPr>
              <w:pStyle w:val="TableText"/>
              <w:ind w:left="367" w:right="354" w:firstLine="27"/>
              <w:spacing w:before="28" w:line="201" w:lineRule="auto"/>
              <w:rPr>
                <w:rFonts w:ascii="Microsoft YaHei" w:hAnsi="Microsoft YaHei" w:eastAsia="Microsoft YaHei" w:cs="Microsoft YaHei"/>
              </w:rPr>
            </w:pPr>
            <w:r>
              <w:rPr>
                <w:rFonts w:ascii="SimSun" w:hAnsi="SimSun" w:eastAsia="SimSun" w:cs="SimSun"/>
                <w:spacing w:val="8"/>
              </w:rPr>
              <w:t>有组织废气监测</w:t>
            </w:r>
            <w:r>
              <w:rPr>
                <w:spacing w:val="8"/>
              </w:rPr>
              <w:t>□</w:t>
            </w:r>
            <w:r>
              <w:rPr>
                <w:rFonts w:ascii="SimSun" w:hAnsi="SimSun" w:eastAsia="SimSun" w:cs="SimSun"/>
                <w:spacing w:val="5"/>
              </w:rPr>
              <w:t>无组织废气监测</w:t>
            </w:r>
            <w:r>
              <w:rPr>
                <w:rFonts w:ascii="Microsoft YaHei" w:hAnsi="Microsoft YaHei" w:eastAsia="Microsoft YaHei" w:cs="Microsoft YaHei"/>
                <w:spacing w:val="5"/>
              </w:rPr>
              <w:t>回</w:t>
            </w:r>
          </w:p>
        </w:tc>
        <w:tc>
          <w:tcPr>
            <w:tcW w:w="1401" w:type="dxa"/>
            <w:vAlign w:val="top"/>
          </w:tcPr>
          <w:p>
            <w:pPr>
              <w:pStyle w:val="TableText"/>
              <w:ind w:left="328"/>
              <w:spacing w:before="164" w:line="228" w:lineRule="auto"/>
              <w:rPr/>
            </w:pPr>
            <w:r>
              <w:rPr>
                <w:rFonts w:ascii="SimSun" w:hAnsi="SimSun" w:eastAsia="SimSun" w:cs="SimSun"/>
                <w:spacing w:val="6"/>
              </w:rPr>
              <w:t>无监测</w:t>
            </w:r>
            <w:r>
              <w:rPr>
                <w:spacing w:val="6"/>
              </w:rPr>
              <w:t>□</w:t>
            </w:r>
          </w:p>
        </w:tc>
      </w:tr>
      <w:tr>
        <w:trPr>
          <w:trHeight w:val="271" w:hRule="atLeast"/>
        </w:trPr>
        <w:tc>
          <w:tcPr>
            <w:tcW w:w="799" w:type="dxa"/>
            <w:vAlign w:val="top"/>
            <w:vMerge w:val="continue"/>
            <w:tcBorders>
              <w:top w:val="nil"/>
            </w:tcBorders>
          </w:tcPr>
          <w:p>
            <w:pPr>
              <w:rPr>
                <w:rFonts w:ascii="Arial"/>
                <w:sz w:val="21"/>
              </w:rPr>
            </w:pPr>
            <w:r/>
          </w:p>
        </w:tc>
        <w:tc>
          <w:tcPr>
            <w:tcW w:w="1758" w:type="dxa"/>
            <w:vAlign w:val="top"/>
          </w:tcPr>
          <w:p>
            <w:pPr>
              <w:ind w:left="252"/>
              <w:spacing w:before="30" w:line="213" w:lineRule="auto"/>
              <w:rPr>
                <w:rFonts w:ascii="SimSun" w:hAnsi="SimSun" w:eastAsia="SimSun" w:cs="SimSun"/>
                <w:sz w:val="20"/>
                <w:szCs w:val="20"/>
              </w:rPr>
            </w:pPr>
            <w:r>
              <w:rPr>
                <w:rFonts w:ascii="SimSun" w:hAnsi="SimSun" w:eastAsia="SimSun" w:cs="SimSun"/>
                <w:sz w:val="20"/>
                <w:szCs w:val="20"/>
                <w:spacing w:val="8"/>
              </w:rPr>
              <w:t>环境质量监测</w:t>
            </w:r>
          </w:p>
        </w:tc>
        <w:tc>
          <w:tcPr>
            <w:tcW w:w="2797" w:type="dxa"/>
            <w:vAlign w:val="top"/>
            <w:gridSpan w:val="2"/>
          </w:tcPr>
          <w:p>
            <w:pPr>
              <w:ind w:left="667"/>
              <w:spacing w:before="30" w:line="213" w:lineRule="auto"/>
              <w:rPr>
                <w:rFonts w:ascii="SimSun" w:hAnsi="SimSun" w:eastAsia="SimSun" w:cs="SimSun"/>
                <w:sz w:val="20"/>
                <w:szCs w:val="20"/>
              </w:rPr>
            </w:pPr>
            <w:r>
              <w:rPr>
                <w:rFonts w:ascii="SimSun" w:hAnsi="SimSun" w:eastAsia="SimSun" w:cs="SimSun"/>
                <w:sz w:val="20"/>
                <w:szCs w:val="20"/>
                <w:spacing w:val="1"/>
              </w:rPr>
              <w:t>监测因子：</w:t>
            </w:r>
            <w:r>
              <w:rPr>
                <w:rFonts w:ascii="SimSun" w:hAnsi="SimSun" w:eastAsia="SimSun" w:cs="SimSun"/>
                <w:sz w:val="20"/>
                <w:szCs w:val="20"/>
                <w:spacing w:val="33"/>
              </w:rPr>
              <w:t xml:space="preserve"> </w:t>
            </w:r>
            <w:r>
              <w:rPr>
                <w:rFonts w:ascii="SimSun" w:hAnsi="SimSun" w:eastAsia="SimSun" w:cs="SimSun"/>
                <w:sz w:val="20"/>
                <w:szCs w:val="20"/>
                <w:spacing w:val="1"/>
              </w:rPr>
              <w:t>()</w:t>
            </w:r>
          </w:p>
        </w:tc>
        <w:tc>
          <w:tcPr>
            <w:tcW w:w="2372" w:type="dxa"/>
            <w:vAlign w:val="top"/>
            <w:gridSpan w:val="4"/>
          </w:tcPr>
          <w:p>
            <w:pPr>
              <w:ind w:left="457"/>
              <w:spacing w:before="30" w:line="213" w:lineRule="auto"/>
              <w:rPr>
                <w:rFonts w:ascii="SimSun" w:hAnsi="SimSun" w:eastAsia="SimSun" w:cs="SimSun"/>
                <w:sz w:val="20"/>
                <w:szCs w:val="20"/>
              </w:rPr>
            </w:pPr>
            <w:r>
              <w:rPr>
                <w:rFonts w:ascii="SimSun" w:hAnsi="SimSun" w:eastAsia="SimSun" w:cs="SimSun"/>
                <w:sz w:val="20"/>
                <w:szCs w:val="20"/>
                <w:spacing w:val="3"/>
              </w:rPr>
              <w:t>监测点位数</w:t>
            </w:r>
            <w:r>
              <w:rPr>
                <w:rFonts w:ascii="SimSun" w:hAnsi="SimSun" w:eastAsia="SimSun" w:cs="SimSun"/>
                <w:sz w:val="20"/>
                <w:szCs w:val="20"/>
                <w:spacing w:val="19"/>
              </w:rPr>
              <w:t xml:space="preserve"> </w:t>
            </w:r>
            <w:r>
              <w:rPr>
                <w:rFonts w:ascii="SimSun" w:hAnsi="SimSun" w:eastAsia="SimSun" w:cs="SimSun"/>
                <w:sz w:val="20"/>
                <w:szCs w:val="20"/>
                <w:spacing w:val="3"/>
              </w:rPr>
              <w:t>()</w:t>
            </w:r>
          </w:p>
        </w:tc>
        <w:tc>
          <w:tcPr>
            <w:tcW w:w="1401" w:type="dxa"/>
            <w:vAlign w:val="top"/>
          </w:tcPr>
          <w:p>
            <w:pPr>
              <w:ind w:left="299"/>
              <w:spacing w:before="29" w:line="162" w:lineRule="auto"/>
              <w:rPr>
                <w:rFonts w:ascii="Microsoft YaHei" w:hAnsi="Microsoft YaHei" w:eastAsia="Microsoft YaHei" w:cs="Microsoft YaHei"/>
                <w:sz w:val="20"/>
                <w:szCs w:val="20"/>
              </w:rPr>
            </w:pPr>
            <w:r>
              <w:rPr>
                <w:rFonts w:ascii="SimSun" w:hAnsi="SimSun" w:eastAsia="SimSun" w:cs="SimSun"/>
                <w:sz w:val="20"/>
                <w:szCs w:val="20"/>
                <w:spacing w:val="4"/>
              </w:rPr>
              <w:t>无监测</w:t>
            </w:r>
            <w:r>
              <w:rPr>
                <w:rFonts w:ascii="Microsoft YaHei" w:hAnsi="Microsoft YaHei" w:eastAsia="Microsoft YaHei" w:cs="Microsoft YaHei"/>
                <w:sz w:val="20"/>
                <w:szCs w:val="20"/>
                <w:spacing w:val="4"/>
              </w:rPr>
              <w:t>回</w:t>
            </w:r>
          </w:p>
        </w:tc>
      </w:tr>
      <w:tr>
        <w:trPr>
          <w:trHeight w:val="273" w:hRule="atLeast"/>
        </w:trPr>
        <w:tc>
          <w:tcPr>
            <w:tcW w:w="799" w:type="dxa"/>
            <w:vAlign w:val="top"/>
            <w:vMerge w:val="restart"/>
            <w:tcBorders>
              <w:bottom w:val="nil"/>
            </w:tcBorders>
          </w:tcPr>
          <w:p>
            <w:pPr>
              <w:ind w:left="296" w:right="83" w:hanging="208"/>
              <w:spacing w:before="172" w:line="255" w:lineRule="auto"/>
              <w:rPr>
                <w:rFonts w:ascii="SimSun" w:hAnsi="SimSun" w:eastAsia="SimSun" w:cs="SimSun"/>
                <w:sz w:val="20"/>
                <w:szCs w:val="20"/>
              </w:rPr>
            </w:pPr>
            <w:r>
              <w:rPr>
                <w:rFonts w:ascii="SimSun" w:hAnsi="SimSun" w:eastAsia="SimSun" w:cs="SimSun"/>
                <w:sz w:val="20"/>
                <w:szCs w:val="20"/>
                <w:spacing w:val="7"/>
              </w:rPr>
              <w:t>评价结</w:t>
            </w:r>
            <w:r>
              <w:rPr>
                <w:rFonts w:ascii="SimSun" w:hAnsi="SimSun" w:eastAsia="SimSun" w:cs="SimSun"/>
                <w:sz w:val="20"/>
                <w:szCs w:val="20"/>
              </w:rPr>
              <w:t>论</w:t>
            </w:r>
          </w:p>
        </w:tc>
        <w:tc>
          <w:tcPr>
            <w:tcW w:w="1758" w:type="dxa"/>
            <w:vAlign w:val="top"/>
          </w:tcPr>
          <w:p>
            <w:pPr>
              <w:ind w:left="461"/>
              <w:spacing w:before="30" w:line="215" w:lineRule="auto"/>
              <w:rPr>
                <w:rFonts w:ascii="SimSun" w:hAnsi="SimSun" w:eastAsia="SimSun" w:cs="SimSun"/>
                <w:sz w:val="20"/>
                <w:szCs w:val="20"/>
              </w:rPr>
            </w:pPr>
            <w:r>
              <w:rPr>
                <w:rFonts w:ascii="SimSun" w:hAnsi="SimSun" w:eastAsia="SimSun" w:cs="SimSun"/>
                <w:sz w:val="20"/>
                <w:szCs w:val="20"/>
                <w:spacing w:val="7"/>
              </w:rPr>
              <w:t>环境影响</w:t>
            </w:r>
          </w:p>
        </w:tc>
        <w:tc>
          <w:tcPr>
            <w:tcW w:w="6570" w:type="dxa"/>
            <w:vAlign w:val="top"/>
            <w:gridSpan w:val="7"/>
          </w:tcPr>
          <w:p>
            <w:pPr>
              <w:pStyle w:val="TableText"/>
              <w:ind w:left="2190"/>
              <w:spacing w:before="29" w:line="163" w:lineRule="auto"/>
              <w:rPr/>
            </w:pPr>
            <w:r>
              <w:rPr>
                <w:rFonts w:ascii="SimSun" w:hAnsi="SimSun" w:eastAsia="SimSun" w:cs="SimSun"/>
                <w:spacing w:val="6"/>
              </w:rPr>
              <w:t>可以接受</w:t>
            </w:r>
            <w:r>
              <w:rPr>
                <w:rFonts w:ascii="Microsoft YaHei" w:hAnsi="Microsoft YaHei" w:eastAsia="Microsoft YaHei" w:cs="Microsoft YaHei"/>
                <w:spacing w:val="6"/>
              </w:rPr>
              <w:t>回</w:t>
            </w:r>
            <w:r>
              <w:rPr>
                <w:rFonts w:ascii="SimSun" w:hAnsi="SimSun" w:eastAsia="SimSun" w:cs="SimSun"/>
                <w:spacing w:val="6"/>
              </w:rPr>
              <w:t>不可以接受</w:t>
            </w:r>
            <w:r>
              <w:rPr>
                <w:spacing w:val="6"/>
              </w:rPr>
              <w:t>□</w:t>
            </w:r>
          </w:p>
        </w:tc>
      </w:tr>
      <w:tr>
        <w:trPr>
          <w:trHeight w:val="273" w:hRule="atLeast"/>
        </w:trPr>
        <w:tc>
          <w:tcPr>
            <w:tcW w:w="799" w:type="dxa"/>
            <w:vAlign w:val="top"/>
            <w:vMerge w:val="continue"/>
            <w:tcBorders>
              <w:top w:val="nil"/>
              <w:bottom w:val="nil"/>
            </w:tcBorders>
          </w:tcPr>
          <w:p>
            <w:pPr>
              <w:rPr>
                <w:rFonts w:ascii="Arial"/>
                <w:sz w:val="21"/>
              </w:rPr>
            </w:pPr>
            <w:r/>
          </w:p>
        </w:tc>
        <w:tc>
          <w:tcPr>
            <w:tcW w:w="1758" w:type="dxa"/>
            <w:vAlign w:val="top"/>
          </w:tcPr>
          <w:p>
            <w:pPr>
              <w:ind w:left="44"/>
              <w:spacing w:before="30" w:line="215" w:lineRule="auto"/>
              <w:rPr>
                <w:rFonts w:ascii="SimSun" w:hAnsi="SimSun" w:eastAsia="SimSun" w:cs="SimSun"/>
                <w:sz w:val="20"/>
                <w:szCs w:val="20"/>
              </w:rPr>
            </w:pPr>
            <w:r>
              <w:rPr>
                <w:rFonts w:ascii="SimSun" w:hAnsi="SimSun" w:eastAsia="SimSun" w:cs="SimSun"/>
                <w:sz w:val="20"/>
                <w:szCs w:val="20"/>
                <w:spacing w:val="8"/>
              </w:rPr>
              <w:t>大气环境防护距离</w:t>
            </w:r>
          </w:p>
        </w:tc>
        <w:tc>
          <w:tcPr>
            <w:tcW w:w="6570" w:type="dxa"/>
            <w:vAlign w:val="top"/>
            <w:gridSpan w:val="7"/>
          </w:tcPr>
          <w:p>
            <w:pPr>
              <w:pStyle w:val="TableText"/>
              <w:ind w:left="2262"/>
              <w:spacing w:before="30" w:line="215" w:lineRule="auto"/>
              <w:rPr/>
            </w:pPr>
            <w:r>
              <w:rPr>
                <w:rFonts w:ascii="SimSun" w:hAnsi="SimSun" w:eastAsia="SimSun" w:cs="SimSun"/>
                <w:spacing w:val="6"/>
              </w:rPr>
              <w:t>距</w:t>
            </w:r>
            <w:r>
              <w:rPr>
                <w:rFonts w:ascii="SimSun" w:hAnsi="SimSun" w:eastAsia="SimSun" w:cs="SimSun"/>
                <w:spacing w:val="-11"/>
              </w:rPr>
              <w:t>（）</w:t>
            </w:r>
            <w:r>
              <w:rPr>
                <w:rFonts w:ascii="SimSun" w:hAnsi="SimSun" w:eastAsia="SimSun" w:cs="SimSun"/>
                <w:spacing w:val="-48"/>
              </w:rPr>
              <w:t xml:space="preserve"> </w:t>
            </w:r>
            <w:r>
              <w:rPr>
                <w:rFonts w:ascii="SimSun" w:hAnsi="SimSun" w:eastAsia="SimSun" w:cs="SimSun"/>
                <w:spacing w:val="6"/>
              </w:rPr>
              <w:t>厂界最远</w:t>
            </w:r>
            <w:r>
              <w:rPr>
                <w:rFonts w:ascii="SimSun" w:hAnsi="SimSun" w:eastAsia="SimSun" w:cs="SimSun"/>
                <w:spacing w:val="-11"/>
              </w:rPr>
              <w:t>（）</w:t>
            </w:r>
            <w:r>
              <w:rPr>
                <w:rFonts w:ascii="SimSun" w:hAnsi="SimSun" w:eastAsia="SimSun" w:cs="SimSun"/>
                <w:spacing w:val="-57"/>
              </w:rPr>
              <w:t xml:space="preserve"> </w:t>
            </w:r>
            <w:r>
              <w:rPr>
                <w:spacing w:val="6"/>
              </w:rPr>
              <w:t>m</w:t>
            </w:r>
          </w:p>
        </w:tc>
      </w:tr>
      <w:tr>
        <w:trPr>
          <w:trHeight w:val="271" w:hRule="atLeast"/>
        </w:trPr>
        <w:tc>
          <w:tcPr>
            <w:tcW w:w="799" w:type="dxa"/>
            <w:vAlign w:val="top"/>
            <w:vMerge w:val="continue"/>
            <w:tcBorders>
              <w:top w:val="nil"/>
            </w:tcBorders>
          </w:tcPr>
          <w:p>
            <w:pPr>
              <w:rPr>
                <w:rFonts w:ascii="Arial"/>
                <w:sz w:val="21"/>
              </w:rPr>
            </w:pPr>
            <w:r/>
          </w:p>
        </w:tc>
        <w:tc>
          <w:tcPr>
            <w:tcW w:w="1758" w:type="dxa"/>
            <w:vAlign w:val="top"/>
          </w:tcPr>
          <w:p>
            <w:pPr>
              <w:ind w:left="146"/>
              <w:spacing w:before="31" w:line="212" w:lineRule="auto"/>
              <w:rPr>
                <w:rFonts w:ascii="SimSun" w:hAnsi="SimSun" w:eastAsia="SimSun" w:cs="SimSun"/>
                <w:sz w:val="20"/>
                <w:szCs w:val="20"/>
              </w:rPr>
            </w:pPr>
            <w:r>
              <w:rPr>
                <w:rFonts w:ascii="SimSun" w:hAnsi="SimSun" w:eastAsia="SimSun" w:cs="SimSun"/>
                <w:sz w:val="20"/>
                <w:szCs w:val="20"/>
                <w:spacing w:val="8"/>
              </w:rPr>
              <w:t>污染源年排放量</w:t>
            </w:r>
          </w:p>
        </w:tc>
        <w:tc>
          <w:tcPr>
            <w:tcW w:w="1559" w:type="dxa"/>
            <w:vAlign w:val="top"/>
          </w:tcPr>
          <w:p>
            <w:pPr>
              <w:pStyle w:val="TableText"/>
              <w:ind w:left="223"/>
              <w:spacing w:before="31" w:line="212" w:lineRule="auto"/>
              <w:rPr/>
            </w:pPr>
            <w:r>
              <w:rPr/>
              <w:t>SO</w:t>
            </w:r>
            <w:r>
              <w:rPr>
                <w:sz w:val="13"/>
                <w:szCs w:val="13"/>
                <w:spacing w:val="4"/>
              </w:rPr>
              <w:t>2</w:t>
            </w:r>
            <w:r>
              <w:rPr>
                <w:spacing w:val="4"/>
              </w:rPr>
              <w:t>:</w:t>
            </w:r>
            <w:r>
              <w:rPr>
                <w:rFonts w:ascii="SimSun" w:hAnsi="SimSun" w:eastAsia="SimSun" w:cs="SimSun"/>
                <w:spacing w:val="4"/>
              </w:rPr>
              <w:t>（</w:t>
            </w:r>
            <w:r>
              <w:rPr>
                <w:spacing w:val="4"/>
              </w:rPr>
              <w:t>0</w:t>
            </w:r>
            <w:r>
              <w:rPr>
                <w:rFonts w:ascii="SimSun" w:hAnsi="SimSun" w:eastAsia="SimSun" w:cs="SimSun"/>
                <w:spacing w:val="4"/>
              </w:rPr>
              <w:t>）</w:t>
            </w:r>
            <w:r>
              <w:rPr>
                <w:spacing w:val="4"/>
              </w:rPr>
              <w:t>t/a</w:t>
            </w:r>
          </w:p>
        </w:tc>
        <w:tc>
          <w:tcPr>
            <w:tcW w:w="2133" w:type="dxa"/>
            <w:vAlign w:val="top"/>
            <w:gridSpan w:val="3"/>
          </w:tcPr>
          <w:p>
            <w:pPr>
              <w:pStyle w:val="TableText"/>
              <w:ind w:left="477"/>
              <w:spacing w:before="31" w:line="212" w:lineRule="auto"/>
              <w:rPr/>
            </w:pPr>
            <w:r>
              <w:rPr/>
              <w:t>NO</w:t>
            </w:r>
            <w:r>
              <w:rPr>
                <w:sz w:val="13"/>
                <w:szCs w:val="13"/>
                <w:position w:val="-1"/>
              </w:rPr>
              <w:t>x</w:t>
            </w:r>
            <w:r>
              <w:rPr>
                <w:spacing w:val="8"/>
              </w:rPr>
              <w:t>:</w:t>
            </w:r>
            <w:r>
              <w:rPr>
                <w:rFonts w:ascii="SimSun" w:hAnsi="SimSun" w:eastAsia="SimSun" w:cs="SimSun"/>
                <w:spacing w:val="8"/>
              </w:rPr>
              <w:t>（</w:t>
            </w:r>
            <w:r>
              <w:rPr>
                <w:spacing w:val="8"/>
              </w:rPr>
              <w:t>0</w:t>
            </w:r>
            <w:r>
              <w:rPr>
                <w:rFonts w:ascii="SimSun" w:hAnsi="SimSun" w:eastAsia="SimSun" w:cs="SimSun"/>
                <w:spacing w:val="8"/>
              </w:rPr>
              <w:t>）</w:t>
            </w:r>
            <w:r>
              <w:rPr>
                <w:spacing w:val="8"/>
              </w:rPr>
              <w:t>t/a</w:t>
            </w:r>
          </w:p>
        </w:tc>
        <w:tc>
          <w:tcPr>
            <w:tcW w:w="2878" w:type="dxa"/>
            <w:vAlign w:val="top"/>
            <w:gridSpan w:val="3"/>
          </w:tcPr>
          <w:p>
            <w:pPr>
              <w:pStyle w:val="TableText"/>
              <w:ind w:left="494"/>
              <w:spacing w:before="31" w:line="212" w:lineRule="auto"/>
              <w:rPr/>
            </w:pPr>
            <w:r>
              <w:rPr>
                <w:rFonts w:ascii="SimSun" w:hAnsi="SimSun" w:eastAsia="SimSun" w:cs="SimSun"/>
                <w:spacing w:val="5"/>
              </w:rPr>
              <w:t>颗粒物</w:t>
            </w:r>
            <w:r>
              <w:rPr>
                <w:spacing w:val="5"/>
              </w:rPr>
              <w:t>:</w:t>
            </w:r>
            <w:r>
              <w:rPr>
                <w:rFonts w:ascii="SimSun" w:hAnsi="SimSun" w:eastAsia="SimSun" w:cs="SimSun"/>
                <w:spacing w:val="5"/>
              </w:rPr>
              <w:t>（</w:t>
            </w:r>
            <w:r>
              <w:rPr>
                <w:spacing w:val="5"/>
              </w:rPr>
              <w:t>133.37</w:t>
            </w:r>
            <w:r>
              <w:rPr>
                <w:rFonts w:ascii="SimSun" w:hAnsi="SimSun" w:eastAsia="SimSun" w:cs="SimSun"/>
                <w:spacing w:val="5"/>
              </w:rPr>
              <w:t>）</w:t>
            </w:r>
            <w:r>
              <w:rPr>
                <w:spacing w:val="5"/>
              </w:rPr>
              <w:t>t/a</w:t>
            </w:r>
          </w:p>
        </w:tc>
      </w:tr>
      <w:tr>
        <w:trPr>
          <w:trHeight w:val="275" w:hRule="atLeast"/>
        </w:trPr>
        <w:tc>
          <w:tcPr>
            <w:tcW w:w="9127" w:type="dxa"/>
            <w:vAlign w:val="top"/>
            <w:gridSpan w:val="9"/>
          </w:tcPr>
          <w:p>
            <w:pPr>
              <w:pStyle w:val="TableText"/>
              <w:ind w:left="2383"/>
              <w:spacing w:line="265" w:lineRule="exact"/>
              <w:rPr>
                <w:rFonts w:ascii="SimSun" w:hAnsi="SimSun" w:eastAsia="SimSun" w:cs="SimSun"/>
              </w:rPr>
            </w:pPr>
            <w:r>
              <w:rPr>
                <w:rFonts w:ascii="SimSun" w:hAnsi="SimSun" w:eastAsia="SimSun" w:cs="SimSun"/>
                <w:spacing w:val="2"/>
              </w:rPr>
              <w:t>注：</w:t>
            </w:r>
            <w:r>
              <w:rPr>
                <w:spacing w:val="2"/>
              </w:rPr>
              <w:t>“</w:t>
            </w:r>
            <w:r>
              <w:rPr>
                <w:spacing w:val="-23"/>
              </w:rPr>
              <w:t xml:space="preserve"> </w:t>
            </w:r>
            <w:r>
              <w:rPr>
                <w:spacing w:val="2"/>
              </w:rPr>
              <w:t>□”</w:t>
            </w:r>
            <w:r>
              <w:rPr>
                <w:rFonts w:ascii="SimSun" w:hAnsi="SimSun" w:eastAsia="SimSun" w:cs="SimSun"/>
                <w:spacing w:val="2"/>
              </w:rPr>
              <w:t>为勾选项，填</w:t>
            </w:r>
            <w:r>
              <w:rPr>
                <w:spacing w:val="2"/>
              </w:rPr>
              <w:t>“√”</w:t>
            </w:r>
            <w:r>
              <w:rPr>
                <w:spacing w:val="-25"/>
              </w:rPr>
              <w:t xml:space="preserve"> </w:t>
            </w:r>
            <w:r>
              <w:rPr>
                <w:rFonts w:ascii="SimSun" w:hAnsi="SimSun" w:eastAsia="SimSun" w:cs="SimSun"/>
                <w:spacing w:val="2"/>
              </w:rPr>
              <w:t>;</w:t>
            </w:r>
            <w:r>
              <w:rPr>
                <w:rFonts w:ascii="SimSun" w:hAnsi="SimSun" w:eastAsia="SimSun" w:cs="SimSun"/>
                <w:spacing w:val="60"/>
              </w:rPr>
              <w:t xml:space="preserve"> </w:t>
            </w:r>
            <w:r>
              <w:rPr>
                <w:spacing w:val="2"/>
              </w:rPr>
              <w:t>“  </w:t>
            </w:r>
            <w:r>
              <w:rPr>
                <w:rFonts w:ascii="SimSun" w:hAnsi="SimSun" w:eastAsia="SimSun" w:cs="SimSun"/>
                <w:spacing w:val="2"/>
              </w:rPr>
              <w:t>()</w:t>
            </w:r>
            <w:r>
              <w:rPr>
                <w:rFonts w:ascii="SimSun" w:hAnsi="SimSun" w:eastAsia="SimSun" w:cs="SimSun"/>
                <w:spacing w:val="27"/>
              </w:rPr>
              <w:t xml:space="preserve"> </w:t>
            </w:r>
            <w:r>
              <w:rPr>
                <w:spacing w:val="2"/>
              </w:rPr>
              <w:t>”</w:t>
            </w:r>
            <w:r>
              <w:rPr>
                <w:rFonts w:ascii="SimSun" w:hAnsi="SimSun" w:eastAsia="SimSun" w:cs="SimSun"/>
                <w:spacing w:val="2"/>
              </w:rPr>
              <w:t>为内容填写项</w:t>
            </w:r>
          </w:p>
        </w:tc>
      </w:tr>
    </w:tbl>
    <w:p>
      <w:pPr>
        <w:pStyle w:val="BodyText"/>
        <w:spacing w:line="394" w:lineRule="auto"/>
        <w:rPr/>
      </w:pPr>
      <w:r/>
    </w:p>
    <w:p>
      <w:pPr>
        <w:ind w:left="119"/>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5.2.5 </w:t>
      </w:r>
      <w:r>
        <w:rPr>
          <w:rFonts w:ascii="SimHei" w:hAnsi="SimHei" w:eastAsia="SimHei" w:cs="SimHei"/>
          <w:sz w:val="28"/>
          <w:szCs w:val="28"/>
          <w:b/>
          <w:bCs/>
          <w:spacing w:val="-2"/>
        </w:rPr>
        <w:t>碳排放核算</w:t>
      </w:r>
    </w:p>
    <w:p>
      <w:pPr>
        <w:ind w:left="618"/>
        <w:spacing w:before="289"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、核算依据</w:t>
      </w:r>
    </w:p>
    <w:p>
      <w:pPr>
        <w:ind w:left="126" w:right="1641" w:firstLine="480"/>
        <w:spacing w:before="154"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）《温室气体排放核算与报告要求第 </w:t>
      </w:r>
      <w:r>
        <w:rPr>
          <w:rFonts w:ascii="Times New Roman" w:hAnsi="Times New Roman" w:eastAsia="Times New Roman" w:cs="Times New Roman"/>
          <w:sz w:val="24"/>
          <w:szCs w:val="24"/>
          <w:spacing w:val="-1"/>
        </w:rPr>
        <w:t>11  </w:t>
      </w:r>
      <w:r>
        <w:rPr>
          <w:rFonts w:ascii="SimSun" w:hAnsi="SimSun" w:eastAsia="SimSun" w:cs="SimSun"/>
          <w:sz w:val="24"/>
          <w:szCs w:val="24"/>
          <w:spacing w:val="-1"/>
        </w:rPr>
        <w:t>部分：煤炭生产企业》</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GB/T32151.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11-2018</w:t>
      </w:r>
      <w:r>
        <w:rPr>
          <w:rFonts w:ascii="SimSun" w:hAnsi="SimSun" w:eastAsia="SimSun" w:cs="SimSun"/>
          <w:sz w:val="24"/>
          <w:szCs w:val="24"/>
        </w:rPr>
        <w:t>）；</w:t>
      </w:r>
    </w:p>
    <w:p>
      <w:pPr>
        <w:ind w:left="122" w:right="112" w:firstLine="483"/>
        <w:spacing w:before="153"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）生态环境部应对气候变化司研究确定的</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2019 </w:t>
      </w:r>
      <w:r>
        <w:rPr>
          <w:rFonts w:ascii="SimSun" w:hAnsi="SimSun" w:eastAsia="SimSun" w:cs="SimSun"/>
          <w:sz w:val="24"/>
          <w:szCs w:val="24"/>
          <w:spacing w:val="-2"/>
        </w:rPr>
        <w:t>年度减排项目中国区域电网基准</w:t>
      </w:r>
      <w:r>
        <w:rPr>
          <w:rFonts w:ascii="SimSun" w:hAnsi="SimSun" w:eastAsia="SimSun" w:cs="SimSun"/>
          <w:sz w:val="24"/>
          <w:szCs w:val="24"/>
          <w:spacing w:val="-3"/>
        </w:rPr>
        <w:t>线排放因子；</w:t>
      </w:r>
    </w:p>
    <w:p>
      <w:pPr>
        <w:ind w:left="606"/>
        <w:spacing w:before="152"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）企业提供的其他资料</w:t>
      </w:r>
    </w:p>
    <w:p>
      <w:pPr>
        <w:ind w:left="595"/>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、项目概况</w:t>
      </w:r>
    </w:p>
    <w:p>
      <w:pPr>
        <w:ind w:left="121" w:right="112" w:firstLine="479"/>
        <w:spacing w:before="154" w:line="339" w:lineRule="auto"/>
        <w:rPr>
          <w:rFonts w:ascii="SimSun" w:hAnsi="SimSun" w:eastAsia="SimSun" w:cs="SimSun"/>
          <w:sz w:val="24"/>
          <w:szCs w:val="24"/>
        </w:rPr>
      </w:pPr>
      <w:r>
        <w:rPr>
          <w:rFonts w:ascii="SimSun" w:hAnsi="SimSun" w:eastAsia="SimSun" w:cs="SimSun"/>
          <w:sz w:val="24"/>
          <w:szCs w:val="24"/>
          <w:spacing w:val="-2"/>
        </w:rPr>
        <w:t>本项目采暖及电力均采用金山电厂集中供暖，企业能源使用情况主要包括各开采及</w:t>
      </w:r>
      <w:r>
        <w:rPr>
          <w:rFonts w:ascii="SimSun" w:hAnsi="SimSun" w:eastAsia="SimSun" w:cs="SimSun"/>
          <w:sz w:val="24"/>
          <w:szCs w:val="24"/>
        </w:rPr>
        <w:t>辅助生产设备燃油、用电。</w:t>
      </w:r>
      <w:r>
        <w:rPr>
          <w:rFonts w:ascii="Times New Roman" w:hAnsi="Times New Roman" w:eastAsia="Times New Roman" w:cs="Times New Roman"/>
          <w:sz w:val="24"/>
          <w:szCs w:val="24"/>
        </w:rPr>
        <w:t>2024 </w:t>
      </w:r>
      <w:r>
        <w:rPr>
          <w:rFonts w:ascii="SimSun" w:hAnsi="SimSun" w:eastAsia="SimSun" w:cs="SimSun"/>
          <w:sz w:val="24"/>
          <w:szCs w:val="24"/>
        </w:rPr>
        <w:t>年白音华四号露</w:t>
      </w:r>
      <w:r>
        <w:rPr>
          <w:rFonts w:ascii="SimSun" w:hAnsi="SimSun" w:eastAsia="SimSun" w:cs="SimSun"/>
          <w:sz w:val="24"/>
          <w:szCs w:val="24"/>
          <w:spacing w:val="-1"/>
        </w:rPr>
        <w:t>天矿能源使用情况详见下表。</w:t>
      </w:r>
    </w:p>
    <w:p>
      <w:pPr>
        <w:ind w:left="2702"/>
        <w:spacing w:before="1" w:line="220" w:lineRule="auto"/>
        <w:rPr>
          <w:rFonts w:ascii="SimHei" w:hAnsi="SimHei" w:eastAsia="SimHei" w:cs="SimHei"/>
          <w:sz w:val="24"/>
          <w:szCs w:val="24"/>
        </w:rPr>
      </w:pPr>
      <w:r>
        <w:rPr>
          <w:rFonts w:ascii="Times New Roman" w:hAnsi="Times New Roman" w:eastAsia="Times New Roman" w:cs="Times New Roman"/>
          <w:sz w:val="24"/>
          <w:szCs w:val="24"/>
          <w:spacing w:val="-1"/>
        </w:rPr>
        <w:t>2024 </w:t>
      </w:r>
      <w:r>
        <w:rPr>
          <w:rFonts w:ascii="SimHei" w:hAnsi="SimHei" w:eastAsia="SimHei" w:cs="SimHei"/>
          <w:sz w:val="24"/>
          <w:szCs w:val="24"/>
          <w:spacing w:val="-1"/>
        </w:rPr>
        <w:t>年白音华四号露天矿能源使用情况表</w:t>
      </w:r>
    </w:p>
    <w:p>
      <w:pPr>
        <w:ind w:left="117"/>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5-2-8</w:t>
      </w:r>
    </w:p>
    <w:p>
      <w:pPr>
        <w:spacing w:line="30"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61"/>
        <w:gridCol w:w="1854"/>
        <w:gridCol w:w="1857"/>
        <w:gridCol w:w="1857"/>
        <w:gridCol w:w="1861"/>
      </w:tblGrid>
      <w:tr>
        <w:trPr>
          <w:trHeight w:val="447" w:hRule="atLeast"/>
        </w:trPr>
        <w:tc>
          <w:tcPr>
            <w:tcW w:w="3715" w:type="dxa"/>
            <w:vAlign w:val="top"/>
            <w:gridSpan w:val="2"/>
          </w:tcPr>
          <w:p>
            <w:pPr>
              <w:ind w:left="1662"/>
              <w:spacing w:before="175" w:line="229" w:lineRule="auto"/>
              <w:rPr>
                <w:rFonts w:ascii="SimSun" w:hAnsi="SimSun" w:eastAsia="SimSun" w:cs="SimSun"/>
                <w:sz w:val="20"/>
                <w:szCs w:val="20"/>
              </w:rPr>
            </w:pPr>
            <w:r>
              <w:rPr>
                <w:rFonts w:ascii="SimSun" w:hAnsi="SimSun" w:eastAsia="SimSun" w:cs="SimSun"/>
                <w:sz w:val="20"/>
                <w:szCs w:val="20"/>
              </w:rPr>
              <w:t>能源</w:t>
            </w:r>
          </w:p>
        </w:tc>
        <w:tc>
          <w:tcPr>
            <w:tcW w:w="1857" w:type="dxa"/>
            <w:vAlign w:val="top"/>
          </w:tcPr>
          <w:p>
            <w:pPr>
              <w:ind w:left="515"/>
              <w:spacing w:before="175" w:line="228" w:lineRule="auto"/>
              <w:rPr>
                <w:rFonts w:ascii="SimSun" w:hAnsi="SimSun" w:eastAsia="SimSun" w:cs="SimSun"/>
                <w:sz w:val="20"/>
                <w:szCs w:val="20"/>
              </w:rPr>
            </w:pPr>
            <w:r>
              <w:rPr>
                <w:rFonts w:ascii="SimSun" w:hAnsi="SimSun" w:eastAsia="SimSun" w:cs="SimSun"/>
                <w:sz w:val="20"/>
                <w:szCs w:val="20"/>
                <w:spacing w:val="7"/>
              </w:rPr>
              <w:t>使用设备</w:t>
            </w:r>
          </w:p>
        </w:tc>
        <w:tc>
          <w:tcPr>
            <w:tcW w:w="1857" w:type="dxa"/>
            <w:vAlign w:val="top"/>
          </w:tcPr>
          <w:p>
            <w:pPr>
              <w:ind w:left="619"/>
              <w:spacing w:before="175" w:line="228" w:lineRule="auto"/>
              <w:rPr>
                <w:rFonts w:ascii="SimSun" w:hAnsi="SimSun" w:eastAsia="SimSun" w:cs="SimSun"/>
                <w:sz w:val="20"/>
                <w:szCs w:val="20"/>
              </w:rPr>
            </w:pPr>
            <w:r>
              <w:rPr>
                <w:rFonts w:ascii="SimSun" w:hAnsi="SimSun" w:eastAsia="SimSun" w:cs="SimSun"/>
                <w:sz w:val="20"/>
                <w:szCs w:val="20"/>
                <w:spacing w:val="6"/>
              </w:rPr>
              <w:t>年用量</w:t>
            </w:r>
          </w:p>
        </w:tc>
        <w:tc>
          <w:tcPr>
            <w:tcW w:w="1861" w:type="dxa"/>
            <w:vAlign w:val="top"/>
          </w:tcPr>
          <w:p>
            <w:pPr>
              <w:ind w:left="725"/>
              <w:spacing w:before="175" w:line="228" w:lineRule="auto"/>
              <w:rPr>
                <w:rFonts w:ascii="SimSun" w:hAnsi="SimSun" w:eastAsia="SimSun" w:cs="SimSun"/>
                <w:sz w:val="20"/>
                <w:szCs w:val="20"/>
              </w:rPr>
            </w:pPr>
            <w:r>
              <w:rPr>
                <w:rFonts w:ascii="SimSun" w:hAnsi="SimSun" w:eastAsia="SimSun" w:cs="SimSun"/>
                <w:sz w:val="20"/>
                <w:szCs w:val="20"/>
                <w:spacing w:val="4"/>
              </w:rPr>
              <w:t>来源</w:t>
            </w:r>
          </w:p>
        </w:tc>
      </w:tr>
      <w:tr>
        <w:trPr>
          <w:trHeight w:val="445" w:hRule="atLeast"/>
        </w:trPr>
        <w:tc>
          <w:tcPr>
            <w:tcW w:w="1861" w:type="dxa"/>
            <w:vAlign w:val="top"/>
            <w:vMerge w:val="restart"/>
            <w:tcBorders>
              <w:bottom w:val="nil"/>
            </w:tcBorders>
          </w:tcPr>
          <w:p>
            <w:pPr>
              <w:spacing w:line="361" w:lineRule="auto"/>
              <w:rPr>
                <w:rFonts w:ascii="Arial"/>
                <w:sz w:val="21"/>
              </w:rPr>
            </w:pPr>
            <w:r/>
          </w:p>
          <w:p>
            <w:pPr>
              <w:ind w:left="829" w:right="197" w:hanging="602"/>
              <w:spacing w:before="65" w:line="252" w:lineRule="auto"/>
              <w:rPr>
                <w:rFonts w:ascii="SimSun" w:hAnsi="SimSun" w:eastAsia="SimSun" w:cs="SimSun"/>
                <w:sz w:val="20"/>
                <w:szCs w:val="20"/>
              </w:rPr>
            </w:pPr>
            <w:r>
              <w:rPr>
                <w:rFonts w:ascii="SimSun" w:hAnsi="SimSun" w:eastAsia="SimSun" w:cs="SimSun"/>
                <w:sz w:val="20"/>
                <w:szCs w:val="20"/>
                <w:spacing w:val="4"/>
              </w:rPr>
              <w:t>白音华四号露天</w:t>
            </w:r>
            <w:r>
              <w:rPr>
                <w:rFonts w:ascii="SimSun" w:hAnsi="SimSun" w:eastAsia="SimSun" w:cs="SimSun"/>
                <w:sz w:val="20"/>
                <w:szCs w:val="20"/>
                <w:spacing w:val="1"/>
              </w:rPr>
              <w:t>矿</w:t>
            </w:r>
          </w:p>
        </w:tc>
        <w:tc>
          <w:tcPr>
            <w:tcW w:w="1854" w:type="dxa"/>
            <w:vAlign w:val="top"/>
          </w:tcPr>
          <w:p>
            <w:pPr>
              <w:ind w:left="849"/>
              <w:spacing w:before="172" w:line="233" w:lineRule="auto"/>
              <w:rPr>
                <w:rFonts w:ascii="SimSun" w:hAnsi="SimSun" w:eastAsia="SimSun" w:cs="SimSun"/>
                <w:sz w:val="20"/>
                <w:szCs w:val="20"/>
              </w:rPr>
            </w:pPr>
            <w:r>
              <w:rPr>
                <w:rFonts w:ascii="SimSun" w:hAnsi="SimSun" w:eastAsia="SimSun" w:cs="SimSun"/>
                <w:sz w:val="20"/>
                <w:szCs w:val="20"/>
              </w:rPr>
              <w:t>电</w:t>
            </w:r>
          </w:p>
        </w:tc>
        <w:tc>
          <w:tcPr>
            <w:tcW w:w="1857" w:type="dxa"/>
            <w:vAlign w:val="top"/>
          </w:tcPr>
          <w:p>
            <w:pPr>
              <w:ind w:left="516"/>
              <w:spacing w:before="171" w:line="228" w:lineRule="auto"/>
              <w:rPr>
                <w:rFonts w:ascii="SimSun" w:hAnsi="SimSun" w:eastAsia="SimSun" w:cs="SimSun"/>
                <w:sz w:val="20"/>
                <w:szCs w:val="20"/>
              </w:rPr>
            </w:pPr>
            <w:r>
              <w:rPr>
                <w:rFonts w:ascii="SimSun" w:hAnsi="SimSun" w:eastAsia="SimSun" w:cs="SimSun"/>
                <w:sz w:val="20"/>
                <w:szCs w:val="20"/>
                <w:spacing w:val="6"/>
              </w:rPr>
              <w:t>生产设备</w:t>
            </w:r>
          </w:p>
        </w:tc>
        <w:tc>
          <w:tcPr>
            <w:tcW w:w="1857" w:type="dxa"/>
            <w:vAlign w:val="top"/>
          </w:tcPr>
          <w:p>
            <w:pPr>
              <w:pStyle w:val="TableText"/>
              <w:ind w:left="239"/>
              <w:spacing w:before="172" w:line="262" w:lineRule="exact"/>
              <w:rPr>
                <w:rFonts w:ascii="SimSun" w:hAnsi="SimSun" w:eastAsia="SimSun" w:cs="SimSun"/>
              </w:rPr>
            </w:pPr>
            <w:r>
              <w:rPr>
                <w:spacing w:val="-3"/>
                <w:position w:val="1"/>
              </w:rPr>
              <w:t>3539</w:t>
            </w:r>
            <w:r>
              <w:rPr>
                <w:rFonts w:ascii="Arial" w:hAnsi="Arial" w:eastAsia="Arial" w:cs="Arial"/>
                <w:spacing w:val="-3"/>
                <w:position w:val="1"/>
              </w:rPr>
              <w:t>×</w:t>
            </w:r>
            <w:r>
              <w:rPr>
                <w:spacing w:val="-3"/>
                <w:position w:val="1"/>
              </w:rPr>
              <w:t>10</w:t>
            </w:r>
            <w:r>
              <w:rPr>
                <w:sz w:val="13"/>
                <w:szCs w:val="13"/>
                <w:spacing w:val="-3"/>
                <w:position w:val="7"/>
              </w:rPr>
              <w:t>4</w:t>
            </w:r>
            <w:r>
              <w:rPr>
                <w:spacing w:val="-3"/>
                <w:position w:val="1"/>
              </w:rPr>
              <w:t>kw</w:t>
            </w:r>
            <w:r>
              <w:rPr>
                <w:spacing w:val="41"/>
                <w:position w:val="1"/>
              </w:rPr>
              <w:t xml:space="preserve"> </w:t>
            </w:r>
            <w:r>
              <w:rPr>
                <w:rFonts w:ascii="SimSun" w:hAnsi="SimSun" w:eastAsia="SimSun" w:cs="SimSun"/>
                <w:spacing w:val="-3"/>
                <w:position w:val="1"/>
              </w:rPr>
              <w:t>·h</w:t>
            </w:r>
          </w:p>
        </w:tc>
        <w:tc>
          <w:tcPr>
            <w:tcW w:w="1861" w:type="dxa"/>
            <w:vAlign w:val="top"/>
          </w:tcPr>
          <w:p>
            <w:pPr>
              <w:ind w:left="517"/>
              <w:spacing w:before="172" w:line="228" w:lineRule="auto"/>
              <w:rPr>
                <w:rFonts w:ascii="SimSun" w:hAnsi="SimSun" w:eastAsia="SimSun" w:cs="SimSun"/>
                <w:sz w:val="20"/>
                <w:szCs w:val="20"/>
              </w:rPr>
            </w:pPr>
            <w:r>
              <w:rPr>
                <w:rFonts w:ascii="SimSun" w:hAnsi="SimSun" w:eastAsia="SimSun" w:cs="SimSun"/>
                <w:sz w:val="20"/>
                <w:szCs w:val="20"/>
                <w:spacing w:val="6"/>
              </w:rPr>
              <w:t>金山电厂</w:t>
            </w:r>
          </w:p>
        </w:tc>
      </w:tr>
      <w:tr>
        <w:trPr>
          <w:trHeight w:val="442" w:hRule="atLeast"/>
        </w:trPr>
        <w:tc>
          <w:tcPr>
            <w:tcW w:w="1861" w:type="dxa"/>
            <w:vAlign w:val="top"/>
            <w:vMerge w:val="continue"/>
            <w:tcBorders>
              <w:top w:val="nil"/>
              <w:bottom w:val="nil"/>
            </w:tcBorders>
          </w:tcPr>
          <w:p>
            <w:pPr>
              <w:rPr>
                <w:rFonts w:ascii="Arial"/>
                <w:sz w:val="21"/>
              </w:rPr>
            </w:pPr>
            <w:r/>
          </w:p>
        </w:tc>
        <w:tc>
          <w:tcPr>
            <w:tcW w:w="1854" w:type="dxa"/>
            <w:vAlign w:val="top"/>
          </w:tcPr>
          <w:p>
            <w:pPr>
              <w:ind w:left="726"/>
              <w:spacing w:before="173" w:line="228" w:lineRule="auto"/>
              <w:rPr>
                <w:rFonts w:ascii="SimSun" w:hAnsi="SimSun" w:eastAsia="SimSun" w:cs="SimSun"/>
                <w:sz w:val="20"/>
                <w:szCs w:val="20"/>
              </w:rPr>
            </w:pPr>
            <w:r>
              <w:rPr>
                <w:rFonts w:ascii="SimSun" w:hAnsi="SimSun" w:eastAsia="SimSun" w:cs="SimSun"/>
                <w:sz w:val="20"/>
                <w:szCs w:val="20"/>
                <w:spacing w:val="2"/>
              </w:rPr>
              <w:t>热力</w:t>
            </w:r>
          </w:p>
        </w:tc>
        <w:tc>
          <w:tcPr>
            <w:tcW w:w="1857" w:type="dxa"/>
            <w:vAlign w:val="top"/>
          </w:tcPr>
          <w:p>
            <w:pPr>
              <w:ind w:left="405"/>
              <w:spacing w:before="173" w:line="227" w:lineRule="auto"/>
              <w:rPr>
                <w:rFonts w:ascii="SimSun" w:hAnsi="SimSun" w:eastAsia="SimSun" w:cs="SimSun"/>
                <w:sz w:val="20"/>
                <w:szCs w:val="20"/>
              </w:rPr>
            </w:pPr>
            <w:r>
              <w:rPr>
                <w:rFonts w:ascii="SimSun" w:hAnsi="SimSun" w:eastAsia="SimSun" w:cs="SimSun"/>
                <w:sz w:val="20"/>
                <w:szCs w:val="20"/>
                <w:spacing w:val="8"/>
              </w:rPr>
              <w:t>采暖季供暖</w:t>
            </w:r>
          </w:p>
        </w:tc>
        <w:tc>
          <w:tcPr>
            <w:tcW w:w="1857" w:type="dxa"/>
            <w:vAlign w:val="top"/>
          </w:tcPr>
          <w:p>
            <w:pPr>
              <w:pStyle w:val="TableText"/>
              <w:ind w:left="499"/>
              <w:spacing w:before="209" w:line="195" w:lineRule="auto"/>
              <w:rPr/>
            </w:pPr>
            <w:r>
              <w:rPr>
                <w:spacing w:val="6"/>
              </w:rPr>
              <w:t>246615</w:t>
            </w:r>
            <w:r>
              <w:rPr/>
              <w:t>GJ</w:t>
            </w:r>
          </w:p>
        </w:tc>
        <w:tc>
          <w:tcPr>
            <w:tcW w:w="1861" w:type="dxa"/>
            <w:vAlign w:val="top"/>
          </w:tcPr>
          <w:p>
            <w:pPr>
              <w:ind w:left="517"/>
              <w:spacing w:before="173" w:line="228" w:lineRule="auto"/>
              <w:rPr>
                <w:rFonts w:ascii="SimSun" w:hAnsi="SimSun" w:eastAsia="SimSun" w:cs="SimSun"/>
                <w:sz w:val="20"/>
                <w:szCs w:val="20"/>
              </w:rPr>
            </w:pPr>
            <w:r>
              <w:rPr>
                <w:rFonts w:ascii="SimSun" w:hAnsi="SimSun" w:eastAsia="SimSun" w:cs="SimSun"/>
                <w:sz w:val="20"/>
                <w:szCs w:val="20"/>
                <w:spacing w:val="6"/>
              </w:rPr>
              <w:t>金山电厂</w:t>
            </w:r>
          </w:p>
        </w:tc>
      </w:tr>
      <w:tr>
        <w:trPr>
          <w:trHeight w:val="450" w:hRule="atLeast"/>
        </w:trPr>
        <w:tc>
          <w:tcPr>
            <w:tcW w:w="1861" w:type="dxa"/>
            <w:vAlign w:val="top"/>
            <w:vMerge w:val="continue"/>
            <w:tcBorders>
              <w:top w:val="nil"/>
            </w:tcBorders>
          </w:tcPr>
          <w:p>
            <w:pPr>
              <w:rPr>
                <w:rFonts w:ascii="Arial"/>
                <w:sz w:val="21"/>
              </w:rPr>
            </w:pPr>
            <w:r/>
          </w:p>
        </w:tc>
        <w:tc>
          <w:tcPr>
            <w:tcW w:w="1854" w:type="dxa"/>
            <w:vAlign w:val="top"/>
          </w:tcPr>
          <w:p>
            <w:pPr>
              <w:ind w:left="722"/>
              <w:spacing w:before="175" w:line="228" w:lineRule="auto"/>
              <w:rPr>
                <w:rFonts w:ascii="SimSun" w:hAnsi="SimSun" w:eastAsia="SimSun" w:cs="SimSun"/>
                <w:sz w:val="20"/>
                <w:szCs w:val="20"/>
              </w:rPr>
            </w:pPr>
            <w:r>
              <w:rPr>
                <w:rFonts w:ascii="SimSun" w:hAnsi="SimSun" w:eastAsia="SimSun" w:cs="SimSun"/>
                <w:sz w:val="20"/>
                <w:szCs w:val="20"/>
                <w:spacing w:val="4"/>
              </w:rPr>
              <w:t>柴油</w:t>
            </w:r>
          </w:p>
        </w:tc>
        <w:tc>
          <w:tcPr>
            <w:tcW w:w="1857" w:type="dxa"/>
            <w:vAlign w:val="top"/>
          </w:tcPr>
          <w:p>
            <w:pPr>
              <w:ind w:left="513"/>
              <w:spacing w:before="175" w:line="227" w:lineRule="auto"/>
              <w:rPr>
                <w:rFonts w:ascii="SimSun" w:hAnsi="SimSun" w:eastAsia="SimSun" w:cs="SimSun"/>
                <w:sz w:val="20"/>
                <w:szCs w:val="20"/>
              </w:rPr>
            </w:pPr>
            <w:r>
              <w:rPr>
                <w:rFonts w:ascii="SimSun" w:hAnsi="SimSun" w:eastAsia="SimSun" w:cs="SimSun"/>
                <w:sz w:val="20"/>
                <w:szCs w:val="20"/>
                <w:spacing w:val="7"/>
              </w:rPr>
              <w:t>机械设备</w:t>
            </w:r>
          </w:p>
        </w:tc>
        <w:tc>
          <w:tcPr>
            <w:tcW w:w="1857" w:type="dxa"/>
            <w:vAlign w:val="top"/>
          </w:tcPr>
          <w:p>
            <w:pPr>
              <w:pStyle w:val="TableText"/>
              <w:ind w:left="711"/>
              <w:spacing w:before="211" w:line="195" w:lineRule="auto"/>
              <w:rPr/>
            </w:pPr>
            <w:r>
              <w:rPr>
                <w:spacing w:val="-1"/>
              </w:rPr>
              <w:t>1822t</w:t>
            </w:r>
          </w:p>
        </w:tc>
        <w:tc>
          <w:tcPr>
            <w:tcW w:w="1861" w:type="dxa"/>
            <w:vAlign w:val="top"/>
          </w:tcPr>
          <w:p>
            <w:pPr>
              <w:ind w:left="728"/>
              <w:spacing w:before="175" w:line="228" w:lineRule="auto"/>
              <w:rPr>
                <w:rFonts w:ascii="SimSun" w:hAnsi="SimSun" w:eastAsia="SimSun" w:cs="SimSun"/>
                <w:sz w:val="20"/>
                <w:szCs w:val="20"/>
              </w:rPr>
            </w:pPr>
            <w:r>
              <w:rPr>
                <w:rFonts w:ascii="SimSun" w:hAnsi="SimSun" w:eastAsia="SimSun" w:cs="SimSun"/>
                <w:sz w:val="20"/>
                <w:szCs w:val="20"/>
                <w:spacing w:val="2"/>
              </w:rPr>
              <w:t>外购</w:t>
            </w:r>
          </w:p>
        </w:tc>
      </w:tr>
    </w:tbl>
    <w:p>
      <w:pPr>
        <w:pStyle w:val="BodyText"/>
        <w:spacing w:line="252" w:lineRule="auto"/>
        <w:rPr/>
      </w:pPr>
      <w:r/>
    </w:p>
    <w:p>
      <w:pPr>
        <w:pStyle w:val="BodyText"/>
        <w:spacing w:line="253" w:lineRule="auto"/>
        <w:rPr/>
      </w:pPr>
      <w:r/>
    </w:p>
    <w:p>
      <w:pPr>
        <w:ind w:left="600"/>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、项目碳排放核算</w:t>
      </w:r>
    </w:p>
    <w:p>
      <w:pPr>
        <w:ind w:left="606"/>
        <w:spacing w:before="15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）核算方法</w:t>
      </w:r>
    </w:p>
    <w:p>
      <w:pPr>
        <w:ind w:left="118" w:right="112" w:firstLine="480"/>
        <w:spacing w:before="155" w:line="340" w:lineRule="auto"/>
        <w:rPr>
          <w:rFonts w:ascii="SimSun" w:hAnsi="SimSun" w:eastAsia="SimSun" w:cs="SimSun"/>
          <w:sz w:val="24"/>
          <w:szCs w:val="24"/>
        </w:rPr>
      </w:pPr>
      <w:r>
        <w:rPr>
          <w:rFonts w:ascii="SimSun" w:hAnsi="SimSun" w:eastAsia="SimSun" w:cs="SimSun"/>
          <w:sz w:val="24"/>
          <w:szCs w:val="24"/>
        </w:rPr>
        <w:t>根据《温室气体排放核算与报告要求 第 </w:t>
      </w:r>
      <w:r>
        <w:rPr>
          <w:rFonts w:ascii="Times New Roman" w:hAnsi="Times New Roman" w:eastAsia="Times New Roman" w:cs="Times New Roman"/>
          <w:sz w:val="24"/>
          <w:szCs w:val="24"/>
        </w:rPr>
        <w:t>11  </w:t>
      </w:r>
      <w:r>
        <w:rPr>
          <w:rFonts w:ascii="SimSun" w:hAnsi="SimSun" w:eastAsia="SimSun" w:cs="SimSun"/>
          <w:sz w:val="24"/>
          <w:szCs w:val="24"/>
        </w:rPr>
        <w:t>部分：煤炭</w:t>
      </w:r>
      <w:r>
        <w:rPr>
          <w:rFonts w:ascii="SimSun" w:hAnsi="SimSun" w:eastAsia="SimSun" w:cs="SimSun"/>
          <w:sz w:val="24"/>
          <w:szCs w:val="24"/>
          <w:spacing w:val="-1"/>
        </w:rPr>
        <w:t>生产企业》，煤炭生产企</w:t>
      </w:r>
      <w:r>
        <w:rPr>
          <w:rFonts w:ascii="SimSun" w:hAnsi="SimSun" w:eastAsia="SimSun" w:cs="SimSun"/>
          <w:sz w:val="24"/>
          <w:szCs w:val="24"/>
          <w:spacing w:val="-2"/>
        </w:rPr>
        <w:t>业的温室气体排放总量等于化石燃料燃烧二氧化碳排放、甲烷逃逸排放、二氧化碳逃逸</w:t>
      </w:r>
      <w:r>
        <w:rPr>
          <w:rFonts w:ascii="SimSun" w:hAnsi="SimSun" w:eastAsia="SimSun" w:cs="SimSun"/>
          <w:sz w:val="24"/>
          <w:szCs w:val="24"/>
        </w:rPr>
        <w:t>排放、购入的电力和热力对应的排放之和，减去输出的电</w:t>
      </w:r>
      <w:r>
        <w:rPr>
          <w:rFonts w:ascii="SimSun" w:hAnsi="SimSun" w:eastAsia="SimSun" w:cs="SimSun"/>
          <w:sz w:val="24"/>
          <w:szCs w:val="24"/>
          <w:spacing w:val="-1"/>
        </w:rPr>
        <w:t>力和热力对应的排放。</w:t>
      </w:r>
    </w:p>
    <w:p>
      <w:pPr>
        <w:spacing w:line="340" w:lineRule="auto"/>
        <w:sectPr>
          <w:headerReference w:type="default" r:id="rId97"/>
          <w:footerReference w:type="default" r:id="rId390"/>
          <w:pgSz w:w="11906" w:h="16838"/>
          <w:pgMar w:top="1170" w:right="1304" w:bottom="1080" w:left="1305" w:header="837" w:footer="918" w:gutter="0"/>
        </w:sectPr>
        <w:rPr>
          <w:rFonts w:ascii="SimSun" w:hAnsi="SimSun" w:eastAsia="SimSun" w:cs="SimSun"/>
          <w:sz w:val="24"/>
          <w:szCs w:val="24"/>
        </w:rPr>
      </w:pPr>
    </w:p>
    <w:p>
      <w:pPr>
        <w:pStyle w:val="BodyText"/>
        <w:spacing w:line="285" w:lineRule="auto"/>
        <w:rPr/>
      </w:pPr>
      <w:r/>
    </w:p>
    <w:p>
      <w:pPr>
        <w:pStyle w:val="BodyText"/>
        <w:spacing w:line="285" w:lineRule="auto"/>
        <w:rPr/>
      </w:pPr>
      <w:r/>
    </w:p>
    <w:p>
      <w:pPr>
        <w:ind w:left="1884"/>
        <w:spacing w:before="78" w:line="322" w:lineRule="exact"/>
        <w:rPr>
          <w:rFonts w:ascii="SimSun" w:hAnsi="SimSun" w:eastAsia="SimSun" w:cs="SimSun"/>
          <w:sz w:val="12"/>
          <w:szCs w:val="12"/>
        </w:rPr>
      </w:pPr>
      <w:r>
        <w:rPr>
          <w:rFonts w:ascii="Times New Roman" w:hAnsi="Times New Roman" w:eastAsia="Times New Roman" w:cs="Times New Roman"/>
          <w:sz w:val="24"/>
          <w:szCs w:val="24"/>
          <w:position w:val="3"/>
        </w:rPr>
        <w:t>E=E </w:t>
      </w:r>
      <w:r>
        <w:rPr>
          <w:rFonts w:ascii="SimSun" w:hAnsi="SimSun" w:eastAsia="SimSun" w:cs="SimSun"/>
          <w:sz w:val="12"/>
          <w:szCs w:val="12"/>
        </w:rPr>
        <w:t>燃烧</w:t>
      </w:r>
      <w:r>
        <w:rPr>
          <w:rFonts w:ascii="SimSun" w:hAnsi="SimSun" w:eastAsia="SimSun" w:cs="SimSun"/>
          <w:sz w:val="24"/>
          <w:szCs w:val="24"/>
          <w:position w:val="3"/>
        </w:rPr>
        <w:t>＋</w:t>
      </w:r>
      <w:r>
        <w:rPr>
          <w:rFonts w:ascii="Times New Roman" w:hAnsi="Times New Roman" w:eastAsia="Times New Roman" w:cs="Times New Roman"/>
          <w:sz w:val="24"/>
          <w:szCs w:val="24"/>
          <w:position w:val="3"/>
        </w:rPr>
        <w:t>E</w:t>
      </w:r>
      <w:r>
        <w:rPr>
          <w:rFonts w:ascii="Times New Roman" w:hAnsi="Times New Roman" w:eastAsia="Times New Roman" w:cs="Times New Roman"/>
          <w:sz w:val="15"/>
          <w:szCs w:val="15"/>
          <w:position w:val="2"/>
        </w:rPr>
        <w:t>CH4_</w:t>
      </w:r>
      <w:r>
        <w:rPr>
          <w:rFonts w:ascii="SimSun" w:hAnsi="SimSun" w:eastAsia="SimSun" w:cs="SimSun"/>
          <w:sz w:val="12"/>
          <w:szCs w:val="12"/>
        </w:rPr>
        <w:t>逃逸</w:t>
      </w:r>
      <w:r>
        <w:rPr>
          <w:rFonts w:ascii="Times New Roman" w:hAnsi="Times New Roman" w:eastAsia="Times New Roman" w:cs="Times New Roman"/>
          <w:sz w:val="24"/>
          <w:szCs w:val="24"/>
          <w:position w:val="3"/>
        </w:rPr>
        <w:t>+E</w:t>
      </w:r>
      <w:r>
        <w:rPr>
          <w:rFonts w:ascii="Times New Roman" w:hAnsi="Times New Roman" w:eastAsia="Times New Roman" w:cs="Times New Roman"/>
          <w:sz w:val="15"/>
          <w:szCs w:val="15"/>
          <w:position w:val="2"/>
        </w:rPr>
        <w:t>CO2_</w:t>
      </w:r>
      <w:r>
        <w:rPr>
          <w:rFonts w:ascii="SimSun" w:hAnsi="SimSun" w:eastAsia="SimSun" w:cs="SimSun"/>
          <w:sz w:val="12"/>
          <w:szCs w:val="12"/>
        </w:rPr>
        <w:t>逃逸</w:t>
      </w:r>
      <w:r>
        <w:rPr>
          <w:rFonts w:ascii="Times New Roman" w:hAnsi="Times New Roman" w:eastAsia="Times New Roman" w:cs="Times New Roman"/>
          <w:sz w:val="24"/>
          <w:szCs w:val="24"/>
          <w:position w:val="3"/>
        </w:rPr>
        <w:t>+E </w:t>
      </w:r>
      <w:r>
        <w:rPr>
          <w:rFonts w:ascii="SimSun" w:hAnsi="SimSun" w:eastAsia="SimSun" w:cs="SimSun"/>
          <w:sz w:val="12"/>
          <w:szCs w:val="12"/>
        </w:rPr>
        <w:t>购入电</w:t>
      </w:r>
      <w:r>
        <w:rPr>
          <w:rFonts w:ascii="Times New Roman" w:hAnsi="Times New Roman" w:eastAsia="Times New Roman" w:cs="Times New Roman"/>
          <w:sz w:val="24"/>
          <w:szCs w:val="24"/>
          <w:position w:val="3"/>
        </w:rPr>
        <w:t>+E </w:t>
      </w:r>
      <w:r>
        <w:rPr>
          <w:rFonts w:ascii="SimSun" w:hAnsi="SimSun" w:eastAsia="SimSun" w:cs="SimSun"/>
          <w:sz w:val="12"/>
          <w:szCs w:val="12"/>
        </w:rPr>
        <w:t>购入热</w:t>
      </w:r>
      <w:r>
        <w:rPr>
          <w:rFonts w:ascii="Times New Roman" w:hAnsi="Times New Roman" w:eastAsia="Times New Roman" w:cs="Times New Roman"/>
          <w:sz w:val="24"/>
          <w:szCs w:val="24"/>
          <w:position w:val="3"/>
        </w:rPr>
        <w:t>-E </w:t>
      </w:r>
      <w:r>
        <w:rPr>
          <w:rFonts w:ascii="SimSun" w:hAnsi="SimSun" w:eastAsia="SimSun" w:cs="SimSun"/>
          <w:sz w:val="12"/>
          <w:szCs w:val="12"/>
        </w:rPr>
        <w:t>输出电</w:t>
      </w:r>
      <w:r>
        <w:rPr>
          <w:rFonts w:ascii="Times New Roman" w:hAnsi="Times New Roman" w:eastAsia="Times New Roman" w:cs="Times New Roman"/>
          <w:sz w:val="24"/>
          <w:szCs w:val="24"/>
          <w:position w:val="3"/>
        </w:rPr>
        <w:t>-E </w:t>
      </w:r>
      <w:r>
        <w:rPr>
          <w:rFonts w:ascii="SimSun" w:hAnsi="SimSun" w:eastAsia="SimSun" w:cs="SimSun"/>
          <w:sz w:val="12"/>
          <w:szCs w:val="12"/>
        </w:rPr>
        <w:t>输出热</w:t>
      </w:r>
    </w:p>
    <w:p>
      <w:pPr>
        <w:ind w:left="494"/>
        <w:spacing w:before="298" w:line="220" w:lineRule="auto"/>
        <w:rPr>
          <w:rFonts w:ascii="SimSun" w:hAnsi="SimSun" w:eastAsia="SimSun" w:cs="SimSun"/>
          <w:sz w:val="24"/>
          <w:szCs w:val="24"/>
        </w:rPr>
      </w:pPr>
      <w:r>
        <w:rPr>
          <w:rFonts w:ascii="SimSun" w:hAnsi="SimSun" w:eastAsia="SimSun" w:cs="SimSun"/>
          <w:sz w:val="24"/>
          <w:szCs w:val="24"/>
          <w:spacing w:val="-5"/>
        </w:rPr>
        <w:t>式中，</w:t>
      </w:r>
    </w:p>
    <w:p>
      <w:pPr>
        <w:ind w:left="14"/>
        <w:spacing w:before="152" w:line="218"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E</w:t>
      </w:r>
      <w:r>
        <w:rPr>
          <w:rFonts w:ascii="SimSun" w:hAnsi="SimSun" w:eastAsia="SimSun" w:cs="SimSun"/>
          <w:sz w:val="24"/>
          <w:szCs w:val="24"/>
        </w:rPr>
        <w:t>—报告主体的温室气体排放总量，单位为吨</w:t>
      </w:r>
      <w:r>
        <w:rPr>
          <w:rFonts w:ascii="SimSun" w:hAnsi="SimSun" w:eastAsia="SimSun" w:cs="SimSun"/>
          <w:sz w:val="24"/>
          <w:szCs w:val="24"/>
          <w:spacing w:val="-1"/>
        </w:rPr>
        <w:t>二氧化碳当量（</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2e </w:t>
      </w:r>
      <w:r>
        <w:rPr>
          <w:rFonts w:ascii="SimSun" w:hAnsi="SimSun" w:eastAsia="SimSun" w:cs="SimSun"/>
          <w:sz w:val="24"/>
          <w:szCs w:val="24"/>
          <w:spacing w:val="-18"/>
        </w:rPr>
        <w:t>）；</w:t>
      </w:r>
    </w:p>
    <w:p>
      <w:pPr>
        <w:ind w:left="725" w:right="108"/>
        <w:spacing w:before="158" w:line="332" w:lineRule="auto"/>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燃烧</w:t>
      </w:r>
      <w:r>
        <w:rPr>
          <w:rFonts w:ascii="SimSun" w:hAnsi="SimSun" w:eastAsia="SimSun" w:cs="SimSun"/>
          <w:sz w:val="24"/>
          <w:szCs w:val="24"/>
        </w:rPr>
        <w:t>—报告主体的化石燃料燃烧二氧化碳排放量，单位为吨二氧化</w:t>
      </w:r>
      <w:r>
        <w:rPr>
          <w:rFonts w:ascii="SimSun" w:hAnsi="SimSun" w:eastAsia="SimSun" w:cs="SimSun"/>
          <w:sz w:val="24"/>
          <w:szCs w:val="24"/>
          <w:spacing w:val="-1"/>
        </w:rPr>
        <w:t>碳（</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46"/>
        </w:rPr>
        <w:t>）；</w:t>
      </w:r>
      <w:r>
        <w:rPr>
          <w:rFonts w:ascii="SimSun" w:hAnsi="SimSun" w:eastAsia="SimSun" w:cs="SimSun"/>
          <w:sz w:val="24"/>
          <w:szCs w:val="24"/>
          <w:spacing w:val="1"/>
        </w:rPr>
        <w:t xml:space="preserve"> </w:t>
      </w: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1"/>
        </w:rPr>
        <w:t>CH4_</w:t>
      </w:r>
      <w:r>
        <w:rPr>
          <w:rFonts w:ascii="SimSun" w:hAnsi="SimSun" w:eastAsia="SimSun" w:cs="SimSun"/>
          <w:sz w:val="12"/>
          <w:szCs w:val="12"/>
          <w:position w:val="-3"/>
        </w:rPr>
        <w:t>逃逸</w:t>
      </w:r>
      <w:r>
        <w:rPr>
          <w:rFonts w:ascii="SimSun" w:hAnsi="SimSun" w:eastAsia="SimSun" w:cs="SimSun"/>
          <w:sz w:val="24"/>
          <w:szCs w:val="24"/>
        </w:rPr>
        <w:t>—报告主体的甲烷逃逸排放量，单位为吨二氧化碳当量（</w:t>
      </w:r>
      <w:r>
        <w:rPr>
          <w:rFonts w:ascii="Times New Roman" w:hAnsi="Times New Roman" w:eastAsia="Times New Roman" w:cs="Times New Roman"/>
          <w:sz w:val="24"/>
          <w:szCs w:val="24"/>
        </w:rPr>
        <w:t>tCO</w:t>
      </w:r>
      <w:r>
        <w:rPr>
          <w:rFonts w:ascii="Times New Roman" w:hAnsi="Times New Roman" w:eastAsia="Times New Roman" w:cs="Times New Roman"/>
          <w:sz w:val="15"/>
          <w:szCs w:val="15"/>
          <w:position w:val="-1"/>
        </w:rPr>
        <w:t>2e </w:t>
      </w:r>
      <w:r>
        <w:rPr>
          <w:rFonts w:ascii="SimSun" w:hAnsi="SimSun" w:eastAsia="SimSun" w:cs="SimSun"/>
          <w:sz w:val="24"/>
          <w:szCs w:val="24"/>
          <w:spacing w:val="-13"/>
        </w:rPr>
        <w:t>）；</w:t>
      </w:r>
    </w:p>
    <w:p>
      <w:pPr>
        <w:ind w:left="725"/>
        <w:spacing w:before="16" w:line="220" w:lineRule="auto"/>
        <w:rPr>
          <w:rFonts w:ascii="SimSun" w:hAnsi="SimSun" w:eastAsia="SimSun" w:cs="SimSun"/>
          <w:sz w:val="24"/>
          <w:szCs w:val="24"/>
        </w:rPr>
      </w:pP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1"/>
        </w:rPr>
        <w:t>CO2_</w:t>
      </w:r>
      <w:r>
        <w:rPr>
          <w:rFonts w:ascii="SimSun" w:hAnsi="SimSun" w:eastAsia="SimSun" w:cs="SimSun"/>
          <w:sz w:val="12"/>
          <w:szCs w:val="12"/>
          <w:position w:val="-3"/>
        </w:rPr>
        <w:t>逃逸</w:t>
      </w:r>
      <w:r>
        <w:rPr>
          <w:rFonts w:ascii="SimSun" w:hAnsi="SimSun" w:eastAsia="SimSun" w:cs="SimSun"/>
          <w:sz w:val="24"/>
          <w:szCs w:val="24"/>
        </w:rPr>
        <w:t>—报告主体的二氧化碳逃逸排放量，单位为吨二氧化碳（</w:t>
      </w:r>
      <w:r>
        <w:rPr>
          <w:rFonts w:ascii="Times New Roman" w:hAnsi="Times New Roman" w:eastAsia="Times New Roman" w:cs="Times New Roman"/>
          <w:sz w:val="24"/>
          <w:szCs w:val="24"/>
        </w:rPr>
        <w:t>tCO</w:t>
      </w:r>
      <w:r>
        <w:rPr>
          <w:rFonts w:ascii="Times New Roman" w:hAnsi="Times New Roman" w:eastAsia="Times New Roman" w:cs="Times New Roman"/>
          <w:sz w:val="15"/>
          <w:szCs w:val="15"/>
          <w:position w:val="-1"/>
        </w:rPr>
        <w:t>2</w:t>
      </w:r>
      <w:r>
        <w:rPr>
          <w:rFonts w:ascii="SimSun" w:hAnsi="SimSun" w:eastAsia="SimSun" w:cs="SimSun"/>
          <w:sz w:val="24"/>
          <w:szCs w:val="24"/>
        </w:rPr>
        <w:t>）</w:t>
      </w:r>
    </w:p>
    <w:p>
      <w:pPr>
        <w:spacing w:before="155" w:line="219" w:lineRule="auto"/>
        <w:jc w:val="right"/>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购入电</w:t>
      </w:r>
      <w:r>
        <w:rPr>
          <w:rFonts w:ascii="SimSun" w:hAnsi="SimSun" w:eastAsia="SimSun" w:cs="SimSun"/>
          <w:sz w:val="24"/>
          <w:szCs w:val="24"/>
        </w:rPr>
        <w:t>—报告主体购入电力对应的二氧化碳排放量，</w:t>
      </w:r>
      <w:r>
        <w:rPr>
          <w:rFonts w:ascii="SimSun" w:hAnsi="SimSun" w:eastAsia="SimSun" w:cs="SimSun"/>
          <w:sz w:val="24"/>
          <w:szCs w:val="24"/>
          <w:spacing w:val="-1"/>
        </w:rPr>
        <w:t>单位为吨二氧化碳（</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48"/>
        </w:rPr>
        <w:t>）；</w:t>
      </w:r>
    </w:p>
    <w:p>
      <w:pPr>
        <w:spacing w:before="155" w:line="219" w:lineRule="auto"/>
        <w:jc w:val="right"/>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购入热</w:t>
      </w:r>
      <w:r>
        <w:rPr>
          <w:rFonts w:ascii="SimSun" w:hAnsi="SimSun" w:eastAsia="SimSun" w:cs="SimSun"/>
          <w:sz w:val="24"/>
          <w:szCs w:val="24"/>
        </w:rPr>
        <w:t>—报告主体购入热力对应的二氧化碳排放量，</w:t>
      </w:r>
      <w:r>
        <w:rPr>
          <w:rFonts w:ascii="SimSun" w:hAnsi="SimSun" w:eastAsia="SimSun" w:cs="SimSun"/>
          <w:sz w:val="24"/>
          <w:szCs w:val="24"/>
          <w:spacing w:val="-1"/>
        </w:rPr>
        <w:t>单位为吨二氧化碳（</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48"/>
        </w:rPr>
        <w:t>）；</w:t>
      </w:r>
    </w:p>
    <w:p>
      <w:pPr>
        <w:spacing w:before="155" w:line="220" w:lineRule="auto"/>
        <w:jc w:val="right"/>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输出电</w:t>
      </w:r>
      <w:r>
        <w:rPr>
          <w:rFonts w:ascii="SimSun" w:hAnsi="SimSun" w:eastAsia="SimSun" w:cs="SimSun"/>
          <w:sz w:val="24"/>
          <w:szCs w:val="24"/>
        </w:rPr>
        <w:t>—报告主体输出电力对应的二氧化碳排放量，</w:t>
      </w:r>
      <w:r>
        <w:rPr>
          <w:rFonts w:ascii="SimSun" w:hAnsi="SimSun" w:eastAsia="SimSun" w:cs="SimSun"/>
          <w:sz w:val="24"/>
          <w:szCs w:val="24"/>
          <w:spacing w:val="-1"/>
        </w:rPr>
        <w:t>单位为吨二氧化碳（</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48"/>
        </w:rPr>
        <w:t>）；</w:t>
      </w:r>
    </w:p>
    <w:p>
      <w:pPr>
        <w:spacing w:before="154" w:line="219" w:lineRule="auto"/>
        <w:jc w:val="right"/>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输出热</w:t>
      </w:r>
      <w:r>
        <w:rPr>
          <w:rFonts w:ascii="SimSun" w:hAnsi="SimSun" w:eastAsia="SimSun" w:cs="SimSun"/>
          <w:sz w:val="24"/>
          <w:szCs w:val="24"/>
        </w:rPr>
        <w:t>—报告主体输出热力对应的二氧化碳排放量，</w:t>
      </w:r>
      <w:r>
        <w:rPr>
          <w:rFonts w:ascii="SimSun" w:hAnsi="SimSun" w:eastAsia="SimSun" w:cs="SimSun"/>
          <w:sz w:val="24"/>
          <w:szCs w:val="24"/>
          <w:spacing w:val="-1"/>
        </w:rPr>
        <w:t>单位为吨二氧化碳（</w:t>
      </w:r>
      <w:r>
        <w:rPr>
          <w:rFonts w:ascii="Times New Roman" w:hAnsi="Times New Roman" w:eastAsia="Times New Roman" w:cs="Times New Roman"/>
          <w:sz w:val="24"/>
          <w:szCs w:val="24"/>
          <w:spacing w:val="-1"/>
        </w:rPr>
        <w:t>tCO</w:t>
      </w:r>
      <w:r>
        <w:rPr>
          <w:rFonts w:ascii="Times New Roman" w:hAnsi="Times New Roman" w:eastAsia="Times New Roman" w:cs="Times New Roman"/>
          <w:sz w:val="15"/>
          <w:szCs w:val="15"/>
          <w:spacing w:val="-1"/>
          <w:position w:val="-1"/>
        </w:rPr>
        <w:t>2 </w:t>
      </w:r>
      <w:r>
        <w:rPr>
          <w:rFonts w:ascii="SimSun" w:hAnsi="SimSun" w:eastAsia="SimSun" w:cs="SimSun"/>
          <w:sz w:val="24"/>
          <w:szCs w:val="24"/>
          <w:spacing w:val="-48"/>
        </w:rPr>
        <w:t>）；</w:t>
      </w:r>
    </w:p>
    <w:p>
      <w:pPr>
        <w:ind w:left="495"/>
        <w:spacing w:before="156"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）排放因子选取</w:t>
      </w:r>
    </w:p>
    <w:p>
      <w:pPr>
        <w:ind w:left="9" w:right="63" w:firstLine="480"/>
        <w:spacing w:before="154" w:line="293" w:lineRule="auto"/>
        <w:rPr>
          <w:rFonts w:ascii="SimSun" w:hAnsi="SimSun" w:eastAsia="SimSun" w:cs="SimSun"/>
          <w:sz w:val="24"/>
          <w:szCs w:val="24"/>
        </w:rPr>
      </w:pPr>
      <w:r>
        <w:rPr>
          <w:rFonts w:ascii="SimSun" w:hAnsi="SimSun" w:eastAsia="SimSun" w:cs="SimSun"/>
          <w:sz w:val="24"/>
          <w:szCs w:val="24"/>
          <w:spacing w:val="5"/>
        </w:rPr>
        <w:t>化石燃料燃烧二氧化碳排放量等于其核算边界内各种化石燃料燃烧的二氧化碳排</w:t>
      </w:r>
      <w:r>
        <w:rPr>
          <w:rFonts w:ascii="SimSun" w:hAnsi="SimSun" w:eastAsia="SimSun" w:cs="SimSun"/>
          <w:sz w:val="24"/>
          <w:szCs w:val="24"/>
          <w:spacing w:val="-1"/>
        </w:rPr>
        <w:t>放量之和。按下式计算：</w:t>
      </w:r>
    </w:p>
    <w:p>
      <w:pPr>
        <w:ind w:left="2701"/>
        <w:spacing w:line="543" w:lineRule="exact"/>
        <w:rPr/>
      </w:pPr>
      <w:r>
        <w:rPr>
          <w:position w:val="-11"/>
        </w:rPr>
        <w:drawing>
          <wp:inline distT="0" distB="0" distL="0" distR="0">
            <wp:extent cx="2332787" cy="345179"/>
            <wp:effectExtent l="0" t="0" r="0" b="0"/>
            <wp:docPr id="300" name="IM 300"/>
            <wp:cNvGraphicFramePr/>
            <a:graphic>
              <a:graphicData uri="http://schemas.openxmlformats.org/drawingml/2006/picture">
                <pic:pic>
                  <pic:nvPicPr>
                    <pic:cNvPr id="300" name="IM 300"/>
                    <pic:cNvPicPr/>
                  </pic:nvPicPr>
                  <pic:blipFill>
                    <a:blip r:embed="rId394"/>
                    <a:stretch>
                      <a:fillRect/>
                    </a:stretch>
                  </pic:blipFill>
                  <pic:spPr>
                    <a:xfrm rot="0">
                      <a:off x="0" y="0"/>
                      <a:ext cx="2332787" cy="345179"/>
                    </a:xfrm>
                    <a:prstGeom prst="rect">
                      <a:avLst/>
                    </a:prstGeom>
                  </pic:spPr>
                </pic:pic>
              </a:graphicData>
            </a:graphic>
          </wp:inline>
        </w:drawing>
      </w:r>
    </w:p>
    <w:p>
      <w:pPr>
        <w:ind w:left="14"/>
        <w:spacing w:before="290" w:line="218"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E </w:t>
      </w:r>
      <w:r>
        <w:rPr>
          <w:rFonts w:ascii="SimSun" w:hAnsi="SimSun" w:eastAsia="SimSun" w:cs="SimSun"/>
          <w:sz w:val="12"/>
          <w:szCs w:val="12"/>
          <w:spacing w:val="-1"/>
          <w:position w:val="-3"/>
        </w:rPr>
        <w:t>燃烧</w:t>
      </w:r>
      <w:r>
        <w:rPr>
          <w:rFonts w:ascii="SimSun" w:hAnsi="SimSun" w:eastAsia="SimSun" w:cs="SimSun"/>
          <w:sz w:val="12"/>
          <w:szCs w:val="12"/>
          <w:spacing w:val="56"/>
          <w:w w:val="101"/>
          <w:position w:val="-3"/>
        </w:rPr>
        <w:t xml:space="preserve"> </w:t>
      </w:r>
      <w:r>
        <w:rPr>
          <w:rFonts w:ascii="SimSun" w:hAnsi="SimSun" w:eastAsia="SimSun" w:cs="SimSun"/>
          <w:sz w:val="24"/>
          <w:szCs w:val="24"/>
          <w:spacing w:val="-1"/>
        </w:rPr>
        <w:t>—化石燃料燃烧二氧化碳排放量，单位为吨二氧化碳当量（</w:t>
      </w:r>
      <w:r>
        <w:rPr>
          <w:rFonts w:ascii="Times New Roman" w:hAnsi="Times New Roman" w:eastAsia="Times New Roman" w:cs="Times New Roman"/>
          <w:sz w:val="24"/>
          <w:szCs w:val="24"/>
          <w:spacing w:val="-1"/>
        </w:rPr>
        <w:t>tCO2</w:t>
      </w:r>
      <w:r>
        <w:rPr>
          <w:rFonts w:ascii="SimSun" w:hAnsi="SimSun" w:eastAsia="SimSun" w:cs="SimSun"/>
          <w:sz w:val="24"/>
          <w:szCs w:val="24"/>
          <w:spacing w:val="-1"/>
        </w:rPr>
        <w:t>）</w:t>
      </w:r>
    </w:p>
    <w:p>
      <w:pPr>
        <w:ind w:left="10" w:right="66" w:firstLine="711"/>
        <w:spacing w:before="155" w:line="339" w:lineRule="auto"/>
        <w:rPr>
          <w:rFonts w:ascii="SimSun" w:hAnsi="SimSun" w:eastAsia="SimSun" w:cs="SimSun"/>
          <w:sz w:val="24"/>
          <w:szCs w:val="24"/>
        </w:rPr>
      </w:pPr>
      <w:r>
        <w:rPr>
          <w:rFonts w:ascii="Times New Roman" w:hAnsi="Times New Roman" w:eastAsia="Times New Roman" w:cs="Times New Roman"/>
          <w:sz w:val="24"/>
          <w:szCs w:val="24"/>
        </w:rPr>
        <w:t>AD</w:t>
      </w:r>
      <w:r>
        <w:rPr>
          <w:rFonts w:ascii="Times New Roman" w:hAnsi="Times New Roman" w:eastAsia="Times New Roman" w:cs="Times New Roman"/>
          <w:sz w:val="15"/>
          <w:szCs w:val="15"/>
          <w:position w:val="-1"/>
        </w:rPr>
        <w:t>i</w:t>
      </w:r>
      <w:r>
        <w:rPr>
          <w:rFonts w:ascii="SimSun" w:hAnsi="SimSun" w:eastAsia="SimSun" w:cs="SimSun"/>
          <w:sz w:val="24"/>
          <w:szCs w:val="24"/>
        </w:rPr>
        <w:t>—第</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i </w:t>
      </w:r>
      <w:r>
        <w:rPr>
          <w:rFonts w:ascii="SimSun" w:hAnsi="SimSun" w:eastAsia="SimSun" w:cs="SimSun"/>
          <w:sz w:val="24"/>
          <w:szCs w:val="24"/>
        </w:rPr>
        <w:t>种化石燃料消费量，固体、液体燃料单位为吨（</w:t>
      </w:r>
      <w:r>
        <w:rPr>
          <w:rFonts w:ascii="Times New Roman" w:hAnsi="Times New Roman" w:eastAsia="Times New Roman" w:cs="Times New Roman"/>
          <w:sz w:val="24"/>
          <w:szCs w:val="24"/>
        </w:rPr>
        <w:t>t</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9"/>
        </w:rPr>
        <w:t>），</w:t>
      </w:r>
      <w:r>
        <w:rPr>
          <w:rFonts w:ascii="SimSun" w:hAnsi="SimSun" w:eastAsia="SimSun" w:cs="SimSun"/>
          <w:sz w:val="24"/>
          <w:szCs w:val="24"/>
        </w:rPr>
        <w:t>气体燃料为万立</w:t>
      </w:r>
      <w:r>
        <w:rPr>
          <w:rFonts w:ascii="SimSun" w:hAnsi="SimSun" w:eastAsia="SimSun" w:cs="SimSun"/>
          <w:sz w:val="24"/>
          <w:szCs w:val="24"/>
          <w:spacing w:val="-1"/>
        </w:rPr>
        <w:t>方米（</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p>
    <w:p>
      <w:pPr>
        <w:ind w:left="9" w:right="63" w:firstLine="719"/>
        <w:spacing w:before="2" w:line="337" w:lineRule="auto"/>
        <w:rPr>
          <w:rFonts w:ascii="SimSun" w:hAnsi="SimSun" w:eastAsia="SimSun" w:cs="SimSun"/>
          <w:sz w:val="24"/>
          <w:szCs w:val="24"/>
        </w:rPr>
      </w:pPr>
      <w:r>
        <w:rPr>
          <w:rFonts w:ascii="Times New Roman" w:hAnsi="Times New Roman" w:eastAsia="Times New Roman" w:cs="Times New Roman"/>
          <w:sz w:val="24"/>
          <w:szCs w:val="24"/>
          <w:spacing w:val="-1"/>
        </w:rPr>
        <w:t>CC</w:t>
      </w:r>
      <w:r>
        <w:rPr>
          <w:rFonts w:ascii="Times New Roman" w:hAnsi="Times New Roman" w:eastAsia="Times New Roman" w:cs="Times New Roman"/>
          <w:sz w:val="15"/>
          <w:szCs w:val="15"/>
          <w:spacing w:val="-1"/>
          <w:position w:val="-1"/>
        </w:rPr>
        <w:t>i</w:t>
      </w:r>
      <w:r>
        <w:rPr>
          <w:rFonts w:ascii="SimSun" w:hAnsi="SimSun" w:eastAsia="SimSun" w:cs="SimSun"/>
          <w:sz w:val="24"/>
          <w:szCs w:val="24"/>
          <w:spacing w:val="-1"/>
        </w:rPr>
        <w:t>—第</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种化石燃料含碳量，固体、液体燃料单位为吨碳每吨（</w:t>
      </w:r>
      <w:r>
        <w:rPr>
          <w:rFonts w:ascii="Times New Roman" w:hAnsi="Times New Roman" w:eastAsia="Times New Roman" w:cs="Times New Roman"/>
          <w:sz w:val="24"/>
          <w:szCs w:val="24"/>
          <w:spacing w:val="-1"/>
        </w:rPr>
        <w:t>tC/t</w:t>
      </w:r>
      <w:r>
        <w:rPr>
          <w:rFonts w:ascii="SimSun" w:hAnsi="SimSun" w:eastAsia="SimSun" w:cs="SimSun"/>
          <w:sz w:val="24"/>
          <w:szCs w:val="24"/>
          <w:spacing w:val="12"/>
        </w:rPr>
        <w:t>），</w:t>
      </w:r>
      <w:r>
        <w:rPr>
          <w:rFonts w:ascii="SimSun" w:hAnsi="SimSun" w:eastAsia="SimSun" w:cs="SimSun"/>
          <w:sz w:val="24"/>
          <w:szCs w:val="24"/>
          <w:spacing w:val="-1"/>
        </w:rPr>
        <w:t>气体燃</w:t>
      </w:r>
      <w:r>
        <w:rPr>
          <w:rFonts w:ascii="SimSun" w:hAnsi="SimSun" w:eastAsia="SimSun" w:cs="SimSun"/>
          <w:sz w:val="24"/>
          <w:szCs w:val="24"/>
          <w:spacing w:val="-1"/>
        </w:rPr>
        <w:t>料为吨碳每万立方米（</w:t>
      </w:r>
      <w:r>
        <w:rPr>
          <w:rFonts w:ascii="Times New Roman" w:hAnsi="Times New Roman" w:eastAsia="Times New Roman" w:cs="Times New Roman"/>
          <w:sz w:val="24"/>
          <w:szCs w:val="24"/>
          <w:spacing w:val="-1"/>
        </w:rPr>
        <w:t>tC/10</w:t>
      </w:r>
      <w:r>
        <w:rPr>
          <w:rFonts w:ascii="Times New Roman" w:hAnsi="Times New Roman" w:eastAsia="Times New Roman" w:cs="Times New Roman"/>
          <w:sz w:val="15"/>
          <w:szCs w:val="15"/>
          <w:spacing w:val="-1"/>
          <w:position w:val="7"/>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p>
    <w:p>
      <w:pPr>
        <w:ind w:left="728"/>
        <w:spacing w:before="1" w:line="218" w:lineRule="auto"/>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rPr>
        <w:t>OF</w:t>
      </w:r>
      <w:r>
        <w:rPr>
          <w:rFonts w:ascii="Times New Roman" w:hAnsi="Times New Roman" w:eastAsia="Times New Roman" w:cs="Times New Roman"/>
          <w:sz w:val="15"/>
          <w:szCs w:val="15"/>
          <w:spacing w:val="-1"/>
          <w:position w:val="-1"/>
        </w:rPr>
        <w:t>i</w:t>
      </w:r>
      <w:r>
        <w:rPr>
          <w:rFonts w:ascii="SimSun" w:hAnsi="SimSun" w:eastAsia="SimSun" w:cs="SimSun"/>
          <w:sz w:val="24"/>
          <w:szCs w:val="24"/>
          <w:spacing w:val="-1"/>
        </w:rPr>
        <w:t>—化石燃料</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在燃烧设备中的碳氧化率，</w:t>
      </w:r>
      <w:r>
        <w:rPr>
          <w:rFonts w:ascii="Times New Roman" w:hAnsi="Times New Roman" w:eastAsia="Times New Roman" w:cs="Times New Roman"/>
          <w:sz w:val="24"/>
          <w:szCs w:val="24"/>
          <w:spacing w:val="-1"/>
        </w:rPr>
        <w:t>%</w:t>
      </w:r>
    </w:p>
    <w:p>
      <w:pPr>
        <w:ind w:left="730"/>
        <w:spacing w:before="158" w:line="219" w:lineRule="auto"/>
        <w:rPr>
          <w:rFonts w:ascii="SimSun" w:hAnsi="SimSun" w:eastAsia="SimSun" w:cs="SimSun"/>
          <w:sz w:val="24"/>
          <w:szCs w:val="24"/>
        </w:rPr>
      </w:pPr>
      <w:r>
        <w:rPr>
          <w:rFonts w:ascii="SimSun" w:hAnsi="SimSun" w:eastAsia="SimSun" w:cs="SimSun"/>
          <w:sz w:val="24"/>
          <w:szCs w:val="24"/>
          <w:spacing w:val="-2"/>
        </w:rPr>
        <w:t>化石燃料含碳量：</w:t>
      </w:r>
    </w:p>
    <w:p>
      <w:pPr>
        <w:ind w:left="730"/>
        <w:spacing w:before="154" w:line="218" w:lineRule="auto"/>
        <w:rPr>
          <w:rFonts w:ascii="SimSun" w:hAnsi="SimSun" w:eastAsia="SimSun" w:cs="SimSun"/>
          <w:sz w:val="24"/>
          <w:szCs w:val="24"/>
        </w:rPr>
      </w:pPr>
      <w:r>
        <w:rPr>
          <w:rFonts w:ascii="SimSun" w:hAnsi="SimSun" w:eastAsia="SimSun" w:cs="SimSun"/>
          <w:sz w:val="24"/>
          <w:szCs w:val="24"/>
          <w:spacing w:val="-1"/>
        </w:rPr>
        <w:t>本项目为采用燃料的低位发热量再按以下公式估算燃料的含碳量：</w:t>
      </w:r>
    </w:p>
    <w:p>
      <w:pPr>
        <w:ind w:left="494" w:right="6506" w:firstLine="474"/>
        <w:spacing w:before="113" w:line="357" w:lineRule="auto"/>
        <w:rPr>
          <w:rFonts w:ascii="SimSun" w:hAnsi="SimSun" w:eastAsia="SimSun" w:cs="SimSun"/>
          <w:sz w:val="24"/>
          <w:szCs w:val="24"/>
        </w:rPr>
      </w:pPr>
      <w:r>
        <w:rPr>
          <w:rFonts w:ascii="Times New Roman" w:hAnsi="Times New Roman" w:eastAsia="Times New Roman" w:cs="Times New Roman"/>
          <w:sz w:val="24"/>
          <w:szCs w:val="24"/>
        </w:rPr>
        <w:t>CCi</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rPr>
        <w:t>NCVi</w:t>
      </w:r>
      <w:r>
        <w:rPr>
          <w:rFonts w:ascii="Times New Roman" w:hAnsi="Times New Roman" w:eastAsia="Times New Roman" w:cs="Times New Roman"/>
          <w:sz w:val="24"/>
          <w:szCs w:val="24"/>
          <w:spacing w:val="3"/>
        </w:rPr>
        <w:t xml:space="preserve"> ×</w:t>
      </w:r>
      <w:r>
        <w:rPr>
          <w:rFonts w:ascii="Times New Roman" w:hAnsi="Times New Roman" w:eastAsia="Times New Roman" w:cs="Times New Roman"/>
          <w:sz w:val="24"/>
          <w:szCs w:val="24"/>
        </w:rPr>
        <w:t>FCi</w:t>
      </w:r>
      <w:r>
        <w:rPr>
          <w:rFonts w:ascii="SimSun" w:hAnsi="SimSun" w:eastAsia="SimSun" w:cs="SimSun"/>
          <w:sz w:val="24"/>
          <w:szCs w:val="24"/>
          <w:spacing w:val="-5"/>
        </w:rPr>
        <w:t>式中：</w:t>
      </w:r>
    </w:p>
    <w:p>
      <w:pPr>
        <w:ind w:left="8" w:right="96" w:firstLine="480"/>
        <w:spacing w:before="48" w:line="339" w:lineRule="auto"/>
        <w:rPr>
          <w:rFonts w:ascii="SimSun" w:hAnsi="SimSun" w:eastAsia="SimSun" w:cs="SimSun"/>
          <w:sz w:val="24"/>
          <w:szCs w:val="24"/>
        </w:rPr>
      </w:pPr>
      <w:r>
        <w:rPr>
          <w:rFonts w:ascii="Times New Roman" w:hAnsi="Times New Roman" w:eastAsia="Times New Roman" w:cs="Times New Roman"/>
          <w:sz w:val="24"/>
          <w:szCs w:val="24"/>
          <w:spacing w:val="-1"/>
        </w:rPr>
        <w:t>CCi——</w:t>
      </w:r>
      <w:r>
        <w:rPr>
          <w:rFonts w:ascii="SimSun" w:hAnsi="SimSun" w:eastAsia="SimSun" w:cs="SimSun"/>
          <w:sz w:val="24"/>
          <w:szCs w:val="24"/>
          <w:spacing w:val="-1"/>
        </w:rPr>
        <w:t>化石燃料品种</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i</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的含碳量，对固体和液体燃料，单位为吨碳</w:t>
      </w:r>
      <w:r>
        <w:rPr>
          <w:rFonts w:ascii="SimSun" w:hAnsi="SimSun" w:eastAsia="SimSun" w:cs="SimSun"/>
          <w:sz w:val="24"/>
          <w:szCs w:val="24"/>
          <w:spacing w:val="-2"/>
        </w:rPr>
        <w:t>每吨（</w:t>
      </w:r>
      <w:r>
        <w:rPr>
          <w:rFonts w:ascii="Times New Roman" w:hAnsi="Times New Roman" w:eastAsia="Times New Roman" w:cs="Times New Roman"/>
          <w:sz w:val="24"/>
          <w:szCs w:val="24"/>
          <w:spacing w:val="-2"/>
        </w:rPr>
        <w:t>tC/t</w:t>
      </w:r>
      <w:r>
        <w:rPr>
          <w:rFonts w:ascii="SimSun" w:hAnsi="SimSun" w:eastAsia="SimSun" w:cs="SimSun"/>
          <w:sz w:val="24"/>
          <w:szCs w:val="24"/>
          <w:spacing w:val="-28"/>
        </w:rPr>
        <w:t>）；</w:t>
      </w:r>
      <w:r>
        <w:rPr>
          <w:rFonts w:ascii="SimSun" w:hAnsi="SimSun" w:eastAsia="SimSun" w:cs="SimSun"/>
          <w:sz w:val="24"/>
          <w:szCs w:val="24"/>
        </w:rPr>
        <w:t>对气体燃料，单位为吨碳每万立方米（</w:t>
      </w:r>
      <w:r>
        <w:rPr>
          <w:rFonts w:ascii="Times New Roman" w:hAnsi="Times New Roman" w:eastAsia="Times New Roman" w:cs="Times New Roman"/>
          <w:sz w:val="24"/>
          <w:szCs w:val="24"/>
        </w:rPr>
        <w:t>tC</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7"/>
        </w:rPr>
        <w:t>）；</w:t>
      </w:r>
    </w:p>
    <w:p>
      <w:pPr>
        <w:ind w:left="15" w:right="59" w:firstLine="461"/>
        <w:spacing w:before="3" w:line="337" w:lineRule="auto"/>
        <w:rPr>
          <w:rFonts w:ascii="SimSun" w:hAnsi="SimSun" w:eastAsia="SimSun" w:cs="SimSun"/>
          <w:sz w:val="24"/>
          <w:szCs w:val="24"/>
        </w:rPr>
      </w:pPr>
      <w:r>
        <w:rPr>
          <w:rFonts w:ascii="Times New Roman" w:hAnsi="Times New Roman" w:eastAsia="Times New Roman" w:cs="Times New Roman"/>
          <w:sz w:val="24"/>
          <w:szCs w:val="24"/>
        </w:rPr>
        <w:t>NCVi</w:t>
      </w:r>
      <w:r>
        <w:rPr>
          <w:rFonts w:ascii="Times New Roman" w:hAnsi="Times New Roman" w:eastAsia="Times New Roman" w:cs="Times New Roman"/>
          <w:sz w:val="24"/>
          <w:szCs w:val="24"/>
          <w:spacing w:val="7"/>
        </w:rPr>
        <w:t>——</w:t>
      </w:r>
      <w:r>
        <w:rPr>
          <w:rFonts w:ascii="SimSun" w:hAnsi="SimSun" w:eastAsia="SimSun" w:cs="SimSun"/>
          <w:sz w:val="24"/>
          <w:szCs w:val="24"/>
          <w:spacing w:val="7"/>
        </w:rPr>
        <w:t>化石燃料品种 </w:t>
      </w:r>
      <w:r>
        <w:rPr>
          <w:rFonts w:ascii="Times New Roman" w:hAnsi="Times New Roman" w:eastAsia="Times New Roman" w:cs="Times New Roman"/>
          <w:sz w:val="24"/>
          <w:szCs w:val="24"/>
          <w:spacing w:val="7"/>
        </w:rPr>
        <w:t>i</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7"/>
        </w:rPr>
        <w:t>的低位发热量，对固体和液体燃料，单位为吉焦每吨</w:t>
      </w:r>
      <w:r>
        <w:rPr>
          <w:rFonts w:ascii="SimSun" w:hAnsi="SimSun" w:eastAsia="SimSun" w:cs="SimSun"/>
          <w:sz w:val="24"/>
          <w:szCs w:val="24"/>
          <w:spacing w:val="-1"/>
        </w:rPr>
        <w:t>（</w:t>
      </w:r>
      <w:r>
        <w:rPr>
          <w:rFonts w:ascii="Times New Roman" w:hAnsi="Times New Roman" w:eastAsia="Times New Roman" w:cs="Times New Roman"/>
          <w:sz w:val="24"/>
          <w:szCs w:val="24"/>
          <w:spacing w:val="-1"/>
        </w:rPr>
        <w:t>GJ/t</w:t>
      </w:r>
      <w:r>
        <w:rPr>
          <w:rFonts w:ascii="SimSun" w:hAnsi="SimSun" w:eastAsia="SimSun" w:cs="SimSun"/>
          <w:sz w:val="24"/>
          <w:szCs w:val="24"/>
          <w:spacing w:val="-4"/>
        </w:rPr>
        <w:t>）；</w:t>
      </w:r>
      <w:r>
        <w:rPr>
          <w:rFonts w:ascii="SimSun" w:hAnsi="SimSun" w:eastAsia="SimSun" w:cs="SimSun"/>
          <w:sz w:val="24"/>
          <w:szCs w:val="24"/>
          <w:spacing w:val="-1"/>
        </w:rPr>
        <w:t>对气体燃料，单位为吉焦每万立方米（</w:t>
      </w:r>
      <w:r>
        <w:rPr>
          <w:rFonts w:ascii="Times New Roman" w:hAnsi="Times New Roman" w:eastAsia="Times New Roman" w:cs="Times New Roman"/>
          <w:sz w:val="24"/>
          <w:szCs w:val="24"/>
          <w:spacing w:val="-1"/>
        </w:rPr>
        <w:t>GJ/10</w:t>
      </w:r>
      <w:r>
        <w:rPr>
          <w:rFonts w:ascii="Times New Roman" w:hAnsi="Times New Roman" w:eastAsia="Times New Roman" w:cs="Times New Roman"/>
          <w:sz w:val="15"/>
          <w:szCs w:val="15"/>
          <w:spacing w:val="-1"/>
          <w:position w:val="8"/>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4"/>
        </w:rPr>
        <w:t>）；</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rPr>
        <w:t>FCi——</w:t>
      </w:r>
      <w:r>
        <w:rPr>
          <w:rFonts w:ascii="SimSun" w:hAnsi="SimSun" w:eastAsia="SimSun" w:cs="SimSun"/>
          <w:sz w:val="24"/>
          <w:szCs w:val="24"/>
        </w:rPr>
        <w:t>化石燃料品种 </w:t>
      </w:r>
      <w:r>
        <w:rPr>
          <w:rFonts w:ascii="Times New Roman" w:hAnsi="Times New Roman" w:eastAsia="Times New Roman" w:cs="Times New Roman"/>
          <w:sz w:val="24"/>
          <w:szCs w:val="24"/>
        </w:rPr>
        <w:t>i  </w:t>
      </w:r>
      <w:r>
        <w:rPr>
          <w:rFonts w:ascii="SimSun" w:hAnsi="SimSun" w:eastAsia="SimSun" w:cs="SimSun"/>
          <w:sz w:val="24"/>
          <w:szCs w:val="24"/>
        </w:rPr>
        <w:t>的单位热值含碳量，单位为吨碳每吉焦（</w:t>
      </w:r>
      <w:r>
        <w:rPr>
          <w:rFonts w:ascii="Times New Roman" w:hAnsi="Times New Roman" w:eastAsia="Times New Roman" w:cs="Times New Roman"/>
          <w:sz w:val="24"/>
          <w:szCs w:val="24"/>
        </w:rPr>
        <w:t>tC</w:t>
      </w:r>
      <w:r>
        <w:rPr>
          <w:rFonts w:ascii="Times New Roman" w:hAnsi="Times New Roman" w:eastAsia="Times New Roman" w:cs="Times New Roman"/>
          <w:sz w:val="24"/>
          <w:szCs w:val="24"/>
          <w:spacing w:val="-1"/>
        </w:rPr>
        <w:t>/GJ</w:t>
      </w:r>
      <w:r>
        <w:rPr>
          <w:rFonts w:ascii="SimSun" w:hAnsi="SimSun" w:eastAsia="SimSun" w:cs="SimSun"/>
          <w:sz w:val="24"/>
          <w:szCs w:val="24"/>
          <w:spacing w:val="-1"/>
        </w:rPr>
        <w:t>）</w:t>
      </w:r>
    </w:p>
    <w:p>
      <w:pPr>
        <w:spacing w:line="219" w:lineRule="auto"/>
        <w:sectPr>
          <w:headerReference w:type="default" r:id="rId203"/>
          <w:footerReference w:type="default" r:id="rId393"/>
          <w:pgSz w:w="11906" w:h="16838"/>
          <w:pgMar w:top="1170" w:right="1353" w:bottom="1080" w:left="1416" w:header="837" w:footer="918" w:gutter="0"/>
        </w:sectPr>
        <w:rPr>
          <w:rFonts w:ascii="SimSun" w:hAnsi="SimSun" w:eastAsia="SimSun" w:cs="SimSun"/>
          <w:sz w:val="24"/>
          <w:szCs w:val="24"/>
        </w:rPr>
      </w:pPr>
    </w:p>
    <w:p>
      <w:pPr>
        <w:pStyle w:val="BodyText"/>
        <w:spacing w:line="313" w:lineRule="auto"/>
        <w:rPr/>
      </w:pPr>
      <w:r/>
    </w:p>
    <w:p>
      <w:pPr>
        <w:ind w:left="138" w:firstLine="461"/>
        <w:spacing w:before="78" w:line="340" w:lineRule="auto"/>
        <w:rPr>
          <w:rFonts w:ascii="SimSun" w:hAnsi="SimSun" w:eastAsia="SimSun" w:cs="SimSun"/>
          <w:sz w:val="24"/>
          <w:szCs w:val="24"/>
        </w:rPr>
      </w:pPr>
      <w:r>
        <w:rPr>
          <w:rFonts w:ascii="SimSun" w:hAnsi="SimSun" w:eastAsia="SimSun" w:cs="SimSun"/>
          <w:sz w:val="24"/>
          <w:szCs w:val="24"/>
          <w:spacing w:val="-11"/>
        </w:rPr>
        <w:t>根据《温室气体排放核算与报告要求第</w:t>
      </w:r>
      <w:r>
        <w:rPr>
          <w:rFonts w:ascii="SimSun" w:hAnsi="SimSun" w:eastAsia="SimSun" w:cs="SimSun"/>
          <w:sz w:val="24"/>
          <w:szCs w:val="24"/>
          <w:spacing w:val="-57"/>
        </w:rPr>
        <w:t xml:space="preserve"> </w:t>
      </w:r>
      <w:r>
        <w:rPr>
          <w:rFonts w:ascii="SimSun" w:hAnsi="SimSun" w:eastAsia="SimSun" w:cs="SimSun"/>
          <w:sz w:val="24"/>
          <w:szCs w:val="24"/>
          <w:spacing w:val="-11"/>
        </w:rPr>
        <w:t>11</w:t>
      </w:r>
      <w:r>
        <w:rPr>
          <w:rFonts w:ascii="SimSun" w:hAnsi="SimSun" w:eastAsia="SimSun" w:cs="SimSun"/>
          <w:sz w:val="24"/>
          <w:szCs w:val="24"/>
          <w:spacing w:val="-72"/>
        </w:rPr>
        <w:t xml:space="preserve"> </w:t>
      </w:r>
      <w:r>
        <w:rPr>
          <w:rFonts w:ascii="SimSun" w:hAnsi="SimSun" w:eastAsia="SimSun" w:cs="SimSun"/>
          <w:sz w:val="24"/>
          <w:szCs w:val="24"/>
          <w:spacing w:val="-11"/>
        </w:rPr>
        <w:t>部分：煤炭生产企业》（GB/T32151.11-201</w:t>
      </w:r>
      <w:r>
        <w:rPr>
          <w:rFonts w:ascii="SimSun" w:hAnsi="SimSun" w:eastAsia="SimSun" w:cs="SimSun"/>
          <w:sz w:val="24"/>
          <w:szCs w:val="24"/>
          <w:spacing w:val="-12"/>
        </w:rPr>
        <w:t>8)</w:t>
      </w:r>
      <w:r>
        <w:rPr>
          <w:rFonts w:ascii="SimSun" w:hAnsi="SimSun" w:eastAsia="SimSun" w:cs="SimSun"/>
          <w:sz w:val="24"/>
          <w:szCs w:val="24"/>
          <w:spacing w:val="-2"/>
        </w:rPr>
        <w:t>附录表</w:t>
      </w:r>
      <w:r>
        <w:rPr>
          <w:rFonts w:ascii="SimSun" w:hAnsi="SimSun" w:eastAsia="SimSun" w:cs="SimSun"/>
          <w:sz w:val="24"/>
          <w:szCs w:val="24"/>
          <w:spacing w:val="-52"/>
        </w:rPr>
        <w:t xml:space="preserve"> </w:t>
      </w:r>
      <w:r>
        <w:rPr>
          <w:rFonts w:ascii="SimSun" w:hAnsi="SimSun" w:eastAsia="SimSun" w:cs="SimSun"/>
          <w:sz w:val="24"/>
          <w:szCs w:val="24"/>
          <w:spacing w:val="-2"/>
        </w:rPr>
        <w:t>C.1,燃料低位发热量参考表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5-2-</w:t>
      </w:r>
      <w:r>
        <w:rPr>
          <w:rFonts w:ascii="Times New Roman" w:hAnsi="Times New Roman" w:eastAsia="Times New Roman" w:cs="Times New Roman"/>
          <w:sz w:val="24"/>
          <w:szCs w:val="24"/>
          <w:spacing w:val="-3"/>
        </w:rPr>
        <w:t>9</w:t>
      </w:r>
      <w:r>
        <w:rPr>
          <w:rFonts w:ascii="SimSun" w:hAnsi="SimSun" w:eastAsia="SimSun" w:cs="SimSun"/>
          <w:sz w:val="24"/>
          <w:szCs w:val="24"/>
          <w:spacing w:val="-3"/>
        </w:rPr>
        <w:t>。</w:t>
      </w:r>
    </w:p>
    <w:p>
      <w:pPr>
        <w:ind w:left="3105"/>
        <w:spacing w:before="27" w:line="220" w:lineRule="auto"/>
        <w:rPr>
          <w:rFonts w:ascii="SimHei" w:hAnsi="SimHei" w:eastAsia="SimHei" w:cs="SimHei"/>
          <w:sz w:val="24"/>
          <w:szCs w:val="24"/>
        </w:rPr>
      </w:pPr>
      <w:r>
        <w:rPr>
          <w:rFonts w:ascii="SimHei" w:hAnsi="SimHei" w:eastAsia="SimHei" w:cs="SimHei"/>
          <w:sz w:val="24"/>
          <w:szCs w:val="24"/>
          <w:spacing w:val="-2"/>
        </w:rPr>
        <w:t>常见化石燃料特性参数缺省值</w:t>
      </w:r>
    </w:p>
    <w:p>
      <w:pPr>
        <w:ind w:left="117"/>
        <w:spacing w:before="22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5-2-9</w:t>
      </w:r>
    </w:p>
    <w:p>
      <w:pPr>
        <w:spacing w:line="29"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1"/>
        <w:gridCol w:w="2072"/>
        <w:gridCol w:w="1175"/>
        <w:gridCol w:w="1274"/>
        <w:gridCol w:w="2164"/>
        <w:gridCol w:w="1744"/>
      </w:tblGrid>
      <w:tr>
        <w:trPr>
          <w:trHeight w:val="448" w:hRule="atLeast"/>
        </w:trPr>
        <w:tc>
          <w:tcPr>
            <w:tcW w:w="2933" w:type="dxa"/>
            <w:vAlign w:val="top"/>
            <w:gridSpan w:val="2"/>
            <w:vMerge w:val="restart"/>
            <w:tcBorders>
              <w:bottom w:val="nil"/>
            </w:tcBorders>
          </w:tcPr>
          <w:p>
            <w:pPr>
              <w:spacing w:line="334" w:lineRule="auto"/>
              <w:rPr>
                <w:rFonts w:ascii="Arial"/>
                <w:sz w:val="21"/>
              </w:rPr>
            </w:pPr>
            <w:r/>
          </w:p>
          <w:p>
            <w:pPr>
              <w:ind w:left="1050"/>
              <w:spacing w:before="65" w:line="228" w:lineRule="auto"/>
              <w:rPr>
                <w:rFonts w:ascii="SimSun" w:hAnsi="SimSun" w:eastAsia="SimSun" w:cs="SimSun"/>
                <w:sz w:val="20"/>
                <w:szCs w:val="20"/>
              </w:rPr>
            </w:pPr>
            <w:r>
              <w:rPr>
                <w:rFonts w:ascii="SimSun" w:hAnsi="SimSun" w:eastAsia="SimSun" w:cs="SimSun"/>
                <w:sz w:val="20"/>
                <w:szCs w:val="20"/>
                <w:spacing w:val="7"/>
              </w:rPr>
              <w:t>燃料品种</w:t>
            </w:r>
          </w:p>
        </w:tc>
        <w:tc>
          <w:tcPr>
            <w:tcW w:w="2449" w:type="dxa"/>
            <w:vAlign w:val="top"/>
            <w:gridSpan w:val="2"/>
          </w:tcPr>
          <w:p>
            <w:pPr>
              <w:ind w:left="705"/>
              <w:spacing w:before="175" w:line="228" w:lineRule="auto"/>
              <w:rPr>
                <w:rFonts w:ascii="SimSun" w:hAnsi="SimSun" w:eastAsia="SimSun" w:cs="SimSun"/>
                <w:sz w:val="20"/>
                <w:szCs w:val="20"/>
              </w:rPr>
            </w:pPr>
            <w:r>
              <w:rPr>
                <w:rFonts w:ascii="SimSun" w:hAnsi="SimSun" w:eastAsia="SimSun" w:cs="SimSun"/>
                <w:sz w:val="20"/>
                <w:szCs w:val="20"/>
                <w:spacing w:val="8"/>
              </w:rPr>
              <w:t>低位发热量</w:t>
            </w:r>
          </w:p>
        </w:tc>
        <w:tc>
          <w:tcPr>
            <w:tcW w:w="2164" w:type="dxa"/>
            <w:vAlign w:val="top"/>
            <w:vMerge w:val="restart"/>
            <w:tcBorders>
              <w:bottom w:val="nil"/>
            </w:tcBorders>
          </w:tcPr>
          <w:p>
            <w:pPr>
              <w:pStyle w:val="TableText"/>
              <w:ind w:left="116" w:right="532"/>
              <w:spacing w:before="176" w:line="329" w:lineRule="auto"/>
              <w:jc w:val="right"/>
              <w:rPr>
                <w:rFonts w:ascii="SimSun" w:hAnsi="SimSun" w:eastAsia="SimSun" w:cs="SimSun"/>
              </w:rPr>
            </w:pPr>
            <w:r>
              <w:rPr>
                <w:rFonts w:ascii="SimSun" w:hAnsi="SimSun" w:eastAsia="SimSun" w:cs="SimSun"/>
                <w:spacing w:val="8"/>
              </w:rPr>
              <w:t>单位热值含碳量</w:t>
            </w:r>
            <w:r>
              <w:rPr>
                <w:rFonts w:ascii="SimSun" w:hAnsi="SimSun" w:eastAsia="SimSun" w:cs="SimSun"/>
                <w:spacing w:val="4"/>
              </w:rPr>
              <w:t>（吨碳</w:t>
            </w:r>
            <w:r>
              <w:rPr>
                <w:spacing w:val="4"/>
              </w:rPr>
              <w:t>/</w:t>
            </w:r>
            <w:r>
              <w:rPr/>
              <w:t>GJ</w:t>
            </w:r>
            <w:r>
              <w:rPr>
                <w:rFonts w:ascii="SimSun" w:hAnsi="SimSun" w:eastAsia="SimSun" w:cs="SimSun"/>
                <w:spacing w:val="4"/>
              </w:rPr>
              <w:t>）</w:t>
            </w:r>
          </w:p>
        </w:tc>
        <w:tc>
          <w:tcPr>
            <w:tcW w:w="1744" w:type="dxa"/>
            <w:vAlign w:val="top"/>
            <w:vMerge w:val="restart"/>
            <w:tcBorders>
              <w:bottom w:val="nil"/>
            </w:tcBorders>
          </w:tcPr>
          <w:p>
            <w:pPr>
              <w:ind w:left="116"/>
              <w:spacing w:before="175" w:line="227" w:lineRule="auto"/>
              <w:rPr>
                <w:rFonts w:ascii="SimSun" w:hAnsi="SimSun" w:eastAsia="SimSun" w:cs="SimSun"/>
                <w:sz w:val="20"/>
                <w:szCs w:val="20"/>
              </w:rPr>
            </w:pPr>
            <w:r>
              <w:rPr>
                <w:rFonts w:ascii="SimSun" w:hAnsi="SimSun" w:eastAsia="SimSun" w:cs="SimSun"/>
                <w:sz w:val="20"/>
                <w:szCs w:val="20"/>
                <w:spacing w:val="8"/>
              </w:rPr>
              <w:t>燃料碳氧化率</w:t>
            </w:r>
          </w:p>
        </w:tc>
      </w:tr>
      <w:tr>
        <w:trPr>
          <w:trHeight w:val="446" w:hRule="atLeast"/>
        </w:trPr>
        <w:tc>
          <w:tcPr>
            <w:tcW w:w="2933" w:type="dxa"/>
            <w:vAlign w:val="top"/>
            <w:gridSpan w:val="2"/>
            <w:vMerge w:val="continue"/>
            <w:tcBorders>
              <w:top w:val="nil"/>
            </w:tcBorders>
          </w:tcPr>
          <w:p>
            <w:pPr>
              <w:rPr>
                <w:rFonts w:ascii="Arial"/>
                <w:sz w:val="21"/>
              </w:rPr>
            </w:pPr>
            <w:r/>
          </w:p>
        </w:tc>
        <w:tc>
          <w:tcPr>
            <w:tcW w:w="1175" w:type="dxa"/>
            <w:vAlign w:val="top"/>
          </w:tcPr>
          <w:p>
            <w:pPr>
              <w:ind w:left="276"/>
              <w:spacing w:before="170" w:line="228" w:lineRule="auto"/>
              <w:rPr>
                <w:rFonts w:ascii="SimSun" w:hAnsi="SimSun" w:eastAsia="SimSun" w:cs="SimSun"/>
                <w:sz w:val="20"/>
                <w:szCs w:val="20"/>
              </w:rPr>
            </w:pPr>
            <w:r>
              <w:rPr>
                <w:rFonts w:ascii="SimSun" w:hAnsi="SimSun" w:eastAsia="SimSun" w:cs="SimSun"/>
                <w:sz w:val="20"/>
                <w:szCs w:val="20"/>
                <w:spacing w:val="6"/>
              </w:rPr>
              <w:t>缺省值</w:t>
            </w:r>
          </w:p>
        </w:tc>
        <w:tc>
          <w:tcPr>
            <w:tcW w:w="1274" w:type="dxa"/>
            <w:vAlign w:val="top"/>
          </w:tcPr>
          <w:p>
            <w:pPr>
              <w:ind w:left="327"/>
              <w:spacing w:before="170" w:line="228" w:lineRule="auto"/>
              <w:rPr>
                <w:rFonts w:ascii="SimSun" w:hAnsi="SimSun" w:eastAsia="SimSun" w:cs="SimSun"/>
                <w:sz w:val="20"/>
                <w:szCs w:val="20"/>
              </w:rPr>
            </w:pPr>
            <w:r>
              <w:rPr>
                <w:rFonts w:ascii="SimSun" w:hAnsi="SimSun" w:eastAsia="SimSun" w:cs="SimSun"/>
                <w:sz w:val="20"/>
                <w:szCs w:val="20"/>
                <w:spacing w:val="6"/>
              </w:rPr>
              <w:t>单位值</w:t>
            </w:r>
          </w:p>
        </w:tc>
        <w:tc>
          <w:tcPr>
            <w:tcW w:w="2164" w:type="dxa"/>
            <w:vAlign w:val="top"/>
            <w:vMerge w:val="continue"/>
            <w:tcBorders>
              <w:top w:val="nil"/>
            </w:tcBorders>
          </w:tcPr>
          <w:p>
            <w:pPr>
              <w:rPr>
                <w:rFonts w:ascii="Arial"/>
                <w:sz w:val="21"/>
              </w:rPr>
            </w:pPr>
            <w:r/>
          </w:p>
        </w:tc>
        <w:tc>
          <w:tcPr>
            <w:tcW w:w="1744" w:type="dxa"/>
            <w:vAlign w:val="top"/>
            <w:vMerge w:val="continue"/>
            <w:tcBorders>
              <w:top w:val="nil"/>
            </w:tcBorders>
          </w:tcPr>
          <w:p>
            <w:pPr>
              <w:rPr>
                <w:rFonts w:ascii="Arial"/>
                <w:sz w:val="21"/>
              </w:rPr>
            </w:pPr>
            <w:r/>
          </w:p>
        </w:tc>
      </w:tr>
      <w:tr>
        <w:trPr>
          <w:trHeight w:val="443" w:hRule="atLeast"/>
        </w:trPr>
        <w:tc>
          <w:tcPr>
            <w:tcW w:w="861" w:type="dxa"/>
            <w:vAlign w:val="top"/>
            <w:vMerge w:val="restart"/>
            <w:tcBorders>
              <w:bottom w:val="nil"/>
            </w:tcBorders>
          </w:tcPr>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328" w:right="114" w:hanging="190"/>
              <w:spacing w:before="65" w:line="409" w:lineRule="auto"/>
              <w:rPr>
                <w:rFonts w:ascii="SimSun" w:hAnsi="SimSun" w:eastAsia="SimSun" w:cs="SimSun"/>
                <w:sz w:val="20"/>
                <w:szCs w:val="20"/>
              </w:rPr>
            </w:pPr>
            <w:r>
              <w:rPr>
                <w:rFonts w:ascii="SimSun" w:hAnsi="SimSun" w:eastAsia="SimSun" w:cs="SimSun"/>
                <w:sz w:val="20"/>
                <w:szCs w:val="20"/>
              </w:rPr>
              <w:t>固体燃</w:t>
            </w:r>
            <w:r>
              <w:rPr>
                <w:rFonts w:ascii="SimSun" w:hAnsi="SimSun" w:eastAsia="SimSun" w:cs="SimSun"/>
                <w:sz w:val="20"/>
                <w:szCs w:val="20"/>
              </w:rPr>
              <w:t>料</w:t>
            </w:r>
          </w:p>
        </w:tc>
        <w:tc>
          <w:tcPr>
            <w:tcW w:w="2072" w:type="dxa"/>
            <w:vAlign w:val="top"/>
          </w:tcPr>
          <w:p>
            <w:pPr>
              <w:ind w:left="111"/>
              <w:spacing w:before="171" w:line="228" w:lineRule="auto"/>
              <w:rPr>
                <w:rFonts w:ascii="SimSun" w:hAnsi="SimSun" w:eastAsia="SimSun" w:cs="SimSun"/>
                <w:sz w:val="20"/>
                <w:szCs w:val="20"/>
              </w:rPr>
            </w:pPr>
            <w:r>
              <w:rPr>
                <w:rFonts w:ascii="SimSun" w:hAnsi="SimSun" w:eastAsia="SimSun" w:cs="SimSun"/>
                <w:sz w:val="20"/>
                <w:szCs w:val="20"/>
                <w:spacing w:val="6"/>
              </w:rPr>
              <w:t>无烟煤</w:t>
            </w:r>
          </w:p>
        </w:tc>
        <w:tc>
          <w:tcPr>
            <w:tcW w:w="1175" w:type="dxa"/>
            <w:vAlign w:val="top"/>
          </w:tcPr>
          <w:p>
            <w:pPr>
              <w:pStyle w:val="TableText"/>
              <w:ind w:left="404"/>
              <w:spacing w:before="207" w:line="195" w:lineRule="auto"/>
              <w:rPr/>
            </w:pPr>
            <w:r>
              <w:rPr>
                <w:spacing w:val="3"/>
              </w:rPr>
              <w:t>26.7</w:t>
            </w:r>
          </w:p>
        </w:tc>
        <w:tc>
          <w:tcPr>
            <w:tcW w:w="1274" w:type="dxa"/>
            <w:vAlign w:val="top"/>
          </w:tcPr>
          <w:p>
            <w:pPr>
              <w:pStyle w:val="TableText"/>
              <w:ind w:left="389"/>
              <w:spacing w:before="171"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87" w:line="215" w:lineRule="auto"/>
              <w:rPr>
                <w:sz w:val="13"/>
                <w:szCs w:val="13"/>
              </w:rPr>
            </w:pPr>
            <w:r>
              <w:rPr>
                <w:spacing w:val="3"/>
              </w:rPr>
              <w:t>27.4</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07" w:line="195" w:lineRule="auto"/>
              <w:rPr/>
            </w:pPr>
            <w:r>
              <w:rPr>
                <w:spacing w:val="3"/>
              </w:rPr>
              <w:t>94%</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2" w:line="228" w:lineRule="auto"/>
              <w:rPr>
                <w:rFonts w:ascii="SimSun" w:hAnsi="SimSun" w:eastAsia="SimSun" w:cs="SimSun"/>
                <w:sz w:val="20"/>
                <w:szCs w:val="20"/>
              </w:rPr>
            </w:pPr>
            <w:r>
              <w:rPr>
                <w:rFonts w:ascii="SimSun" w:hAnsi="SimSun" w:eastAsia="SimSun" w:cs="SimSun"/>
                <w:sz w:val="20"/>
                <w:szCs w:val="20"/>
                <w:spacing w:val="4"/>
              </w:rPr>
              <w:t>烟煤</w:t>
            </w:r>
          </w:p>
        </w:tc>
        <w:tc>
          <w:tcPr>
            <w:tcW w:w="1175" w:type="dxa"/>
            <w:vAlign w:val="top"/>
          </w:tcPr>
          <w:p>
            <w:pPr>
              <w:pStyle w:val="TableText"/>
              <w:ind w:left="372"/>
              <w:spacing w:before="208" w:line="195" w:lineRule="auto"/>
              <w:rPr/>
            </w:pPr>
            <w:r>
              <w:rPr>
                <w:spacing w:val="-1"/>
              </w:rPr>
              <w:t>19.57</w:t>
            </w:r>
          </w:p>
        </w:tc>
        <w:tc>
          <w:tcPr>
            <w:tcW w:w="1274" w:type="dxa"/>
            <w:vAlign w:val="top"/>
          </w:tcPr>
          <w:p>
            <w:pPr>
              <w:pStyle w:val="TableText"/>
              <w:ind w:left="389"/>
              <w:spacing w:before="172"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91" w:line="212" w:lineRule="auto"/>
              <w:rPr>
                <w:sz w:val="13"/>
                <w:szCs w:val="13"/>
              </w:rPr>
            </w:pPr>
            <w:r>
              <w:rPr/>
              <w:t>26.</w:t>
            </w:r>
            <w:r>
              <w:rPr>
                <w:spacing w:val="-23"/>
              </w:rPr>
              <w:t xml:space="preserve"> </w:t>
            </w:r>
            <w:r>
              <w:rPr/>
              <w:t>1</w:t>
            </w:r>
            <w:r>
              <w:rPr>
                <w:rFonts w:ascii="Arial" w:hAnsi="Arial" w:eastAsia="Arial" w:cs="Arial"/>
              </w:rPr>
              <w:t>×</w:t>
            </w:r>
            <w:r>
              <w:rPr/>
              <w:t>10</w:t>
            </w:r>
            <w:r>
              <w:rPr>
                <w:sz w:val="13"/>
                <w:szCs w:val="13"/>
                <w:position w:val="6"/>
              </w:rPr>
              <w:t>-3</w:t>
            </w:r>
          </w:p>
        </w:tc>
        <w:tc>
          <w:tcPr>
            <w:tcW w:w="1744" w:type="dxa"/>
            <w:vAlign w:val="top"/>
          </w:tcPr>
          <w:p>
            <w:pPr>
              <w:pStyle w:val="TableText"/>
              <w:ind w:left="684"/>
              <w:spacing w:before="208" w:line="195" w:lineRule="auto"/>
              <w:rPr/>
            </w:pPr>
            <w:r>
              <w:rPr>
                <w:spacing w:val="3"/>
              </w:rPr>
              <w:t>93%</w:t>
            </w:r>
          </w:p>
        </w:tc>
      </w:tr>
      <w:tr>
        <w:trPr>
          <w:trHeight w:val="443"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2" w:line="228" w:lineRule="auto"/>
              <w:rPr>
                <w:rFonts w:ascii="SimSun" w:hAnsi="SimSun" w:eastAsia="SimSun" w:cs="SimSun"/>
                <w:sz w:val="20"/>
                <w:szCs w:val="20"/>
              </w:rPr>
            </w:pPr>
            <w:r>
              <w:rPr>
                <w:rFonts w:ascii="SimSun" w:hAnsi="SimSun" w:eastAsia="SimSun" w:cs="SimSun"/>
                <w:sz w:val="20"/>
                <w:szCs w:val="20"/>
                <w:spacing w:val="4"/>
              </w:rPr>
              <w:t>褐煤</w:t>
            </w:r>
          </w:p>
        </w:tc>
        <w:tc>
          <w:tcPr>
            <w:tcW w:w="1175" w:type="dxa"/>
            <w:vAlign w:val="top"/>
          </w:tcPr>
          <w:p>
            <w:pPr>
              <w:pStyle w:val="TableText"/>
              <w:ind w:left="429"/>
              <w:spacing w:before="208" w:line="195" w:lineRule="auto"/>
              <w:rPr/>
            </w:pPr>
            <w:r>
              <w:rPr>
                <w:spacing w:val="-5"/>
              </w:rPr>
              <w:t>11.9</w:t>
            </w:r>
          </w:p>
        </w:tc>
        <w:tc>
          <w:tcPr>
            <w:tcW w:w="1274" w:type="dxa"/>
            <w:vAlign w:val="top"/>
          </w:tcPr>
          <w:p>
            <w:pPr>
              <w:pStyle w:val="TableText"/>
              <w:ind w:left="389"/>
              <w:spacing w:before="172"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88" w:line="215" w:lineRule="auto"/>
              <w:rPr>
                <w:sz w:val="13"/>
                <w:szCs w:val="13"/>
              </w:rPr>
            </w:pPr>
            <w:r>
              <w:rPr>
                <w:spacing w:val="1"/>
              </w:rPr>
              <w:t>28.0</w:t>
            </w:r>
            <w:r>
              <w:rPr>
                <w:spacing w:val="-32"/>
              </w:rPr>
              <w:t xml:space="preserve"> </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08" w:line="195" w:lineRule="auto"/>
              <w:rPr/>
            </w:pPr>
            <w:r>
              <w:rPr>
                <w:spacing w:val="3"/>
              </w:rPr>
              <w:t>96%</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8"/>
              <w:spacing w:before="173" w:line="227" w:lineRule="auto"/>
              <w:rPr>
                <w:rFonts w:ascii="SimSun" w:hAnsi="SimSun" w:eastAsia="SimSun" w:cs="SimSun"/>
                <w:sz w:val="20"/>
                <w:szCs w:val="20"/>
              </w:rPr>
            </w:pPr>
            <w:r>
              <w:rPr>
                <w:rFonts w:ascii="SimSun" w:hAnsi="SimSun" w:eastAsia="SimSun" w:cs="SimSun"/>
                <w:sz w:val="20"/>
                <w:szCs w:val="20"/>
                <w:spacing w:val="7"/>
              </w:rPr>
              <w:t>洗精煤</w:t>
            </w:r>
          </w:p>
        </w:tc>
        <w:tc>
          <w:tcPr>
            <w:tcW w:w="1175" w:type="dxa"/>
            <w:vAlign w:val="top"/>
          </w:tcPr>
          <w:p>
            <w:pPr>
              <w:pStyle w:val="TableText"/>
              <w:ind w:left="296"/>
              <w:spacing w:before="209" w:line="195" w:lineRule="auto"/>
              <w:rPr/>
            </w:pPr>
            <w:r>
              <w:rPr>
                <w:spacing w:val="4"/>
              </w:rPr>
              <w:t>26.334</w:t>
            </w:r>
          </w:p>
        </w:tc>
        <w:tc>
          <w:tcPr>
            <w:tcW w:w="1274" w:type="dxa"/>
            <w:vAlign w:val="top"/>
          </w:tcPr>
          <w:p>
            <w:pPr>
              <w:pStyle w:val="TableText"/>
              <w:ind w:left="389"/>
              <w:spacing w:before="173"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2" w:line="212" w:lineRule="auto"/>
              <w:rPr>
                <w:sz w:val="13"/>
                <w:szCs w:val="13"/>
              </w:rPr>
            </w:pPr>
            <w:r>
              <w:rPr>
                <w:spacing w:val="3"/>
              </w:rPr>
              <w:t>25.41</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09" w:line="195" w:lineRule="auto"/>
              <w:rPr/>
            </w:pPr>
            <w:r>
              <w:rPr>
                <w:spacing w:val="3"/>
              </w:rPr>
              <w:t>93%</w:t>
            </w:r>
          </w:p>
        </w:tc>
      </w:tr>
      <w:tr>
        <w:trPr>
          <w:trHeight w:val="443"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3" w:line="228" w:lineRule="auto"/>
              <w:rPr>
                <w:rFonts w:ascii="SimSun" w:hAnsi="SimSun" w:eastAsia="SimSun" w:cs="SimSun"/>
                <w:sz w:val="20"/>
                <w:szCs w:val="20"/>
              </w:rPr>
            </w:pPr>
            <w:r>
              <w:rPr>
                <w:rFonts w:ascii="SimSun" w:hAnsi="SimSun" w:eastAsia="SimSun" w:cs="SimSun"/>
                <w:sz w:val="20"/>
                <w:szCs w:val="20"/>
                <w:spacing w:val="7"/>
              </w:rPr>
              <w:t>其他洗煤</w:t>
            </w:r>
          </w:p>
        </w:tc>
        <w:tc>
          <w:tcPr>
            <w:tcW w:w="1175" w:type="dxa"/>
            <w:vAlign w:val="top"/>
          </w:tcPr>
          <w:p>
            <w:pPr>
              <w:pStyle w:val="TableText"/>
              <w:ind w:left="316"/>
              <w:spacing w:before="209" w:line="195" w:lineRule="auto"/>
              <w:rPr/>
            </w:pPr>
            <w:r>
              <w:rPr/>
              <w:t>12.545</w:t>
            </w:r>
          </w:p>
        </w:tc>
        <w:tc>
          <w:tcPr>
            <w:tcW w:w="1274" w:type="dxa"/>
            <w:vAlign w:val="top"/>
          </w:tcPr>
          <w:p>
            <w:pPr>
              <w:pStyle w:val="TableText"/>
              <w:ind w:left="389"/>
              <w:spacing w:before="173"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89" w:line="215" w:lineRule="auto"/>
              <w:rPr>
                <w:sz w:val="13"/>
                <w:szCs w:val="13"/>
              </w:rPr>
            </w:pPr>
            <w:r>
              <w:rPr>
                <w:spacing w:val="3"/>
              </w:rPr>
              <w:t>25.41</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09" w:line="195" w:lineRule="auto"/>
              <w:rPr/>
            </w:pPr>
            <w:r>
              <w:rPr>
                <w:spacing w:val="3"/>
              </w:rPr>
              <w:t>90%</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5"/>
              <w:spacing w:before="174" w:line="228" w:lineRule="auto"/>
              <w:rPr>
                <w:rFonts w:ascii="SimSun" w:hAnsi="SimSun" w:eastAsia="SimSun" w:cs="SimSun"/>
                <w:sz w:val="20"/>
                <w:szCs w:val="20"/>
              </w:rPr>
            </w:pPr>
            <w:r>
              <w:rPr>
                <w:rFonts w:ascii="SimSun" w:hAnsi="SimSun" w:eastAsia="SimSun" w:cs="SimSun"/>
                <w:sz w:val="20"/>
                <w:szCs w:val="20"/>
                <w:spacing w:val="1"/>
              </w:rPr>
              <w:t>型煤</w:t>
            </w:r>
          </w:p>
        </w:tc>
        <w:tc>
          <w:tcPr>
            <w:tcW w:w="1175" w:type="dxa"/>
            <w:vAlign w:val="top"/>
          </w:tcPr>
          <w:p>
            <w:pPr>
              <w:pStyle w:val="TableText"/>
              <w:ind w:left="316"/>
              <w:spacing w:before="210" w:line="195" w:lineRule="auto"/>
              <w:rPr/>
            </w:pPr>
            <w:r>
              <w:rPr/>
              <w:t>17.460</w:t>
            </w:r>
          </w:p>
        </w:tc>
        <w:tc>
          <w:tcPr>
            <w:tcW w:w="1274" w:type="dxa"/>
            <w:vAlign w:val="top"/>
          </w:tcPr>
          <w:p>
            <w:pPr>
              <w:pStyle w:val="TableText"/>
              <w:ind w:left="389"/>
              <w:spacing w:before="174"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31"/>
              <w:spacing w:before="193" w:line="212" w:lineRule="auto"/>
              <w:rPr>
                <w:sz w:val="13"/>
                <w:szCs w:val="13"/>
              </w:rPr>
            </w:pPr>
            <w:r>
              <w:rPr>
                <w:spacing w:val="3"/>
              </w:rPr>
              <w:t>33.60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0" w:line="195" w:lineRule="auto"/>
              <w:rPr/>
            </w:pPr>
            <w:r>
              <w:rPr>
                <w:spacing w:val="3"/>
              </w:rPr>
              <w:t>90%</w:t>
            </w:r>
          </w:p>
        </w:tc>
      </w:tr>
      <w:tr>
        <w:trPr>
          <w:trHeight w:val="443"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4" w:line="229" w:lineRule="auto"/>
              <w:rPr>
                <w:rFonts w:ascii="SimSun" w:hAnsi="SimSun" w:eastAsia="SimSun" w:cs="SimSun"/>
                <w:sz w:val="20"/>
                <w:szCs w:val="20"/>
              </w:rPr>
            </w:pPr>
            <w:r>
              <w:rPr>
                <w:rFonts w:ascii="SimSun" w:hAnsi="SimSun" w:eastAsia="SimSun" w:cs="SimSun"/>
                <w:sz w:val="20"/>
                <w:szCs w:val="20"/>
                <w:spacing w:val="4"/>
              </w:rPr>
              <w:t>焦炭</w:t>
            </w:r>
          </w:p>
        </w:tc>
        <w:tc>
          <w:tcPr>
            <w:tcW w:w="1175" w:type="dxa"/>
            <w:vAlign w:val="top"/>
          </w:tcPr>
          <w:p>
            <w:pPr>
              <w:pStyle w:val="TableText"/>
              <w:ind w:left="296"/>
              <w:spacing w:before="210" w:line="195" w:lineRule="auto"/>
              <w:rPr/>
            </w:pPr>
            <w:r>
              <w:rPr>
                <w:spacing w:val="4"/>
              </w:rPr>
              <w:t>28.435</w:t>
            </w:r>
          </w:p>
        </w:tc>
        <w:tc>
          <w:tcPr>
            <w:tcW w:w="1274" w:type="dxa"/>
            <w:vAlign w:val="top"/>
          </w:tcPr>
          <w:p>
            <w:pPr>
              <w:pStyle w:val="TableText"/>
              <w:ind w:left="389"/>
              <w:spacing w:before="174"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0" w:line="215" w:lineRule="auto"/>
              <w:rPr>
                <w:sz w:val="13"/>
                <w:szCs w:val="13"/>
              </w:rPr>
            </w:pPr>
            <w:r>
              <w:rPr>
                <w:spacing w:val="3"/>
              </w:rPr>
              <w:t>29.50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0" w:line="195" w:lineRule="auto"/>
              <w:rPr/>
            </w:pPr>
            <w:r>
              <w:rPr>
                <w:spacing w:val="3"/>
              </w:rPr>
              <w:t>93%</w:t>
            </w:r>
          </w:p>
        </w:tc>
      </w:tr>
      <w:tr>
        <w:trPr>
          <w:trHeight w:val="446" w:hRule="atLeast"/>
        </w:trPr>
        <w:tc>
          <w:tcPr>
            <w:tcW w:w="861" w:type="dxa"/>
            <w:vAlign w:val="top"/>
            <w:vMerge w:val="continue"/>
            <w:tcBorders>
              <w:top w:val="nil"/>
            </w:tcBorders>
          </w:tcPr>
          <w:p>
            <w:pPr>
              <w:rPr>
                <w:rFonts w:ascii="Arial"/>
                <w:sz w:val="21"/>
              </w:rPr>
            </w:pPr>
            <w:r/>
          </w:p>
        </w:tc>
        <w:tc>
          <w:tcPr>
            <w:tcW w:w="2072" w:type="dxa"/>
            <w:vAlign w:val="top"/>
          </w:tcPr>
          <w:p>
            <w:pPr>
              <w:ind w:left="110"/>
              <w:spacing w:before="175" w:line="229" w:lineRule="auto"/>
              <w:rPr>
                <w:rFonts w:ascii="SimSun" w:hAnsi="SimSun" w:eastAsia="SimSun" w:cs="SimSun"/>
                <w:sz w:val="20"/>
                <w:szCs w:val="20"/>
              </w:rPr>
            </w:pPr>
            <w:r>
              <w:rPr>
                <w:rFonts w:ascii="SimSun" w:hAnsi="SimSun" w:eastAsia="SimSun" w:cs="SimSun"/>
                <w:sz w:val="20"/>
                <w:szCs w:val="20"/>
                <w:spacing w:val="6"/>
              </w:rPr>
              <w:t>石油焦</w:t>
            </w:r>
          </w:p>
        </w:tc>
        <w:tc>
          <w:tcPr>
            <w:tcW w:w="1175" w:type="dxa"/>
            <w:vAlign w:val="top"/>
          </w:tcPr>
          <w:p>
            <w:pPr>
              <w:pStyle w:val="TableText"/>
              <w:ind w:left="408"/>
              <w:spacing w:before="211" w:line="195" w:lineRule="auto"/>
              <w:rPr/>
            </w:pPr>
            <w:r>
              <w:rPr>
                <w:spacing w:val="2"/>
              </w:rPr>
              <w:t>32.5</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4" w:line="212" w:lineRule="auto"/>
              <w:rPr>
                <w:sz w:val="13"/>
                <w:szCs w:val="13"/>
              </w:rPr>
            </w:pPr>
            <w:r>
              <w:rPr>
                <w:spacing w:val="3"/>
              </w:rPr>
              <w:t>27.50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restart"/>
            <w:tcBorders>
              <w:bottom w:val="nil"/>
            </w:tcBorders>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ind w:left="329" w:right="114" w:hanging="207"/>
              <w:spacing w:before="65" w:line="407" w:lineRule="auto"/>
              <w:rPr>
                <w:rFonts w:ascii="SimSun" w:hAnsi="SimSun" w:eastAsia="SimSun" w:cs="SimSun"/>
                <w:sz w:val="20"/>
                <w:szCs w:val="20"/>
              </w:rPr>
            </w:pPr>
            <w:r>
              <w:rPr>
                <w:rFonts w:ascii="SimSun" w:hAnsi="SimSun" w:eastAsia="SimSun" w:cs="SimSun"/>
                <w:sz w:val="20"/>
                <w:szCs w:val="20"/>
                <w:spacing w:val="6"/>
              </w:rPr>
              <w:t>液体燃</w:t>
            </w:r>
            <w:r>
              <w:rPr>
                <w:rFonts w:ascii="SimSun" w:hAnsi="SimSun" w:eastAsia="SimSun" w:cs="SimSun"/>
                <w:sz w:val="20"/>
                <w:szCs w:val="20"/>
              </w:rPr>
              <w:t>料</w:t>
            </w:r>
          </w:p>
        </w:tc>
        <w:tc>
          <w:tcPr>
            <w:tcW w:w="2072" w:type="dxa"/>
            <w:vAlign w:val="top"/>
          </w:tcPr>
          <w:p>
            <w:pPr>
              <w:ind w:left="114"/>
              <w:spacing w:before="175" w:line="232" w:lineRule="auto"/>
              <w:rPr>
                <w:rFonts w:ascii="SimSun" w:hAnsi="SimSun" w:eastAsia="SimSun" w:cs="SimSun"/>
                <w:sz w:val="20"/>
                <w:szCs w:val="20"/>
              </w:rPr>
            </w:pPr>
            <w:r>
              <w:rPr>
                <w:rFonts w:ascii="SimSun" w:hAnsi="SimSun" w:eastAsia="SimSun" w:cs="SimSun"/>
                <w:sz w:val="20"/>
                <w:szCs w:val="20"/>
                <w:spacing w:val="2"/>
              </w:rPr>
              <w:t>原油</w:t>
            </w:r>
          </w:p>
        </w:tc>
        <w:tc>
          <w:tcPr>
            <w:tcW w:w="1175" w:type="dxa"/>
            <w:vAlign w:val="top"/>
          </w:tcPr>
          <w:p>
            <w:pPr>
              <w:pStyle w:val="TableText"/>
              <w:ind w:left="295"/>
              <w:spacing w:before="211" w:line="195" w:lineRule="auto"/>
              <w:rPr/>
            </w:pPr>
            <w:r>
              <w:rPr>
                <w:spacing w:val="4"/>
              </w:rPr>
              <w:t>41.816</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1" w:line="215" w:lineRule="auto"/>
              <w:rPr>
                <w:sz w:val="13"/>
                <w:szCs w:val="13"/>
              </w:rPr>
            </w:pPr>
            <w:r>
              <w:rPr>
                <w:spacing w:val="3"/>
              </w:rPr>
              <w:t>20.10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98%</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5" w:line="228" w:lineRule="auto"/>
              <w:rPr>
                <w:rFonts w:ascii="SimSun" w:hAnsi="SimSun" w:eastAsia="SimSun" w:cs="SimSun"/>
                <w:sz w:val="20"/>
                <w:szCs w:val="20"/>
              </w:rPr>
            </w:pPr>
            <w:r>
              <w:rPr>
                <w:rFonts w:ascii="SimSun" w:hAnsi="SimSun" w:eastAsia="SimSun" w:cs="SimSun"/>
                <w:sz w:val="20"/>
                <w:szCs w:val="20"/>
                <w:spacing w:val="6"/>
              </w:rPr>
              <w:t>燃料油</w:t>
            </w:r>
          </w:p>
        </w:tc>
        <w:tc>
          <w:tcPr>
            <w:tcW w:w="1175" w:type="dxa"/>
            <w:vAlign w:val="top"/>
          </w:tcPr>
          <w:p>
            <w:pPr>
              <w:pStyle w:val="TableText"/>
              <w:ind w:left="295"/>
              <w:spacing w:before="211" w:line="195" w:lineRule="auto"/>
              <w:rPr/>
            </w:pPr>
            <w:r>
              <w:rPr>
                <w:spacing w:val="4"/>
              </w:rPr>
              <w:t>41.816</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4" w:line="212" w:lineRule="auto"/>
              <w:rPr>
                <w:sz w:val="13"/>
                <w:szCs w:val="13"/>
              </w:rPr>
            </w:pPr>
            <w:r>
              <w:rPr>
                <w:spacing w:val="3"/>
              </w:rPr>
              <w:t>21.10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5" w:line="231" w:lineRule="auto"/>
              <w:rPr>
                <w:rFonts w:ascii="SimSun" w:hAnsi="SimSun" w:eastAsia="SimSun" w:cs="SimSun"/>
                <w:sz w:val="20"/>
                <w:szCs w:val="20"/>
              </w:rPr>
            </w:pPr>
            <w:r>
              <w:rPr>
                <w:rFonts w:ascii="SimSun" w:hAnsi="SimSun" w:eastAsia="SimSun" w:cs="SimSun"/>
                <w:sz w:val="20"/>
                <w:szCs w:val="20"/>
                <w:spacing w:val="4"/>
              </w:rPr>
              <w:t>汽油</w:t>
            </w:r>
          </w:p>
        </w:tc>
        <w:tc>
          <w:tcPr>
            <w:tcW w:w="1175" w:type="dxa"/>
            <w:vAlign w:val="top"/>
          </w:tcPr>
          <w:p>
            <w:pPr>
              <w:pStyle w:val="TableText"/>
              <w:ind w:left="295"/>
              <w:spacing w:before="211" w:line="195" w:lineRule="auto"/>
              <w:rPr/>
            </w:pPr>
            <w:r>
              <w:rPr>
                <w:spacing w:val="4"/>
              </w:rPr>
              <w:t>43.070</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47"/>
              <w:spacing w:before="191" w:line="215" w:lineRule="auto"/>
              <w:rPr>
                <w:sz w:val="13"/>
                <w:szCs w:val="13"/>
              </w:rPr>
            </w:pPr>
            <w:r>
              <w:rPr>
                <w:spacing w:val="1"/>
              </w:rPr>
              <w:t>18.90</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98%</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5" w:line="228" w:lineRule="auto"/>
              <w:rPr>
                <w:rFonts w:ascii="SimSun" w:hAnsi="SimSun" w:eastAsia="SimSun" w:cs="SimSun"/>
                <w:sz w:val="20"/>
                <w:szCs w:val="20"/>
              </w:rPr>
            </w:pPr>
            <w:r>
              <w:rPr>
                <w:rFonts w:ascii="SimSun" w:hAnsi="SimSun" w:eastAsia="SimSun" w:cs="SimSun"/>
                <w:sz w:val="20"/>
                <w:szCs w:val="20"/>
                <w:spacing w:val="4"/>
              </w:rPr>
              <w:t>柴油</w:t>
            </w:r>
          </w:p>
        </w:tc>
        <w:tc>
          <w:tcPr>
            <w:tcW w:w="1175" w:type="dxa"/>
            <w:vAlign w:val="top"/>
          </w:tcPr>
          <w:p>
            <w:pPr>
              <w:pStyle w:val="TableText"/>
              <w:ind w:left="295"/>
              <w:spacing w:before="211" w:line="195" w:lineRule="auto"/>
              <w:rPr/>
            </w:pPr>
            <w:r>
              <w:rPr>
                <w:spacing w:val="4"/>
              </w:rPr>
              <w:t>42.652</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26"/>
              <w:spacing w:before="194" w:line="212" w:lineRule="auto"/>
              <w:rPr>
                <w:sz w:val="13"/>
                <w:szCs w:val="13"/>
              </w:rPr>
            </w:pPr>
            <w:r>
              <w:rPr>
                <w:spacing w:val="3"/>
              </w:rPr>
              <w:t>20.20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2"/>
              <w:spacing w:before="175" w:line="228" w:lineRule="auto"/>
              <w:rPr>
                <w:rFonts w:ascii="SimSun" w:hAnsi="SimSun" w:eastAsia="SimSun" w:cs="SimSun"/>
                <w:sz w:val="20"/>
                <w:szCs w:val="20"/>
              </w:rPr>
            </w:pPr>
            <w:r>
              <w:rPr>
                <w:rFonts w:ascii="SimSun" w:hAnsi="SimSun" w:eastAsia="SimSun" w:cs="SimSun"/>
                <w:sz w:val="20"/>
                <w:szCs w:val="20"/>
                <w:spacing w:val="6"/>
              </w:rPr>
              <w:t>一般煤油</w:t>
            </w:r>
          </w:p>
        </w:tc>
        <w:tc>
          <w:tcPr>
            <w:tcW w:w="1175" w:type="dxa"/>
            <w:vAlign w:val="top"/>
          </w:tcPr>
          <w:p>
            <w:pPr>
              <w:pStyle w:val="TableText"/>
              <w:ind w:left="295"/>
              <w:spacing w:before="211" w:line="195" w:lineRule="auto"/>
              <w:rPr/>
            </w:pPr>
            <w:r>
              <w:rPr>
                <w:spacing w:val="4"/>
              </w:rPr>
              <w:t>43.070</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47"/>
              <w:spacing w:before="191" w:line="215" w:lineRule="auto"/>
              <w:rPr>
                <w:sz w:val="13"/>
                <w:szCs w:val="13"/>
              </w:rPr>
            </w:pPr>
            <w:r>
              <w:rPr>
                <w:spacing w:val="1"/>
              </w:rPr>
              <w:t>19.60</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98%</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5" w:line="228" w:lineRule="auto"/>
              <w:rPr>
                <w:rFonts w:ascii="SimSun" w:hAnsi="SimSun" w:eastAsia="SimSun" w:cs="SimSun"/>
                <w:sz w:val="20"/>
                <w:szCs w:val="20"/>
              </w:rPr>
            </w:pPr>
            <w:r>
              <w:rPr>
                <w:rFonts w:ascii="SimSun" w:hAnsi="SimSun" w:eastAsia="SimSun" w:cs="SimSun"/>
                <w:sz w:val="20"/>
                <w:szCs w:val="20"/>
                <w:spacing w:val="8"/>
              </w:rPr>
              <w:t>其他石油制品</w:t>
            </w:r>
          </w:p>
        </w:tc>
        <w:tc>
          <w:tcPr>
            <w:tcW w:w="1175" w:type="dxa"/>
            <w:vAlign w:val="top"/>
          </w:tcPr>
          <w:p>
            <w:pPr>
              <w:pStyle w:val="TableText"/>
              <w:ind w:left="403"/>
              <w:spacing w:before="211" w:line="195" w:lineRule="auto"/>
              <w:rPr/>
            </w:pPr>
            <w:r>
              <w:rPr>
                <w:spacing w:val="3"/>
              </w:rPr>
              <w:t>40.2</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94" w:line="212" w:lineRule="auto"/>
              <w:rPr>
                <w:sz w:val="13"/>
                <w:szCs w:val="13"/>
              </w:rPr>
            </w:pPr>
            <w:r>
              <w:rPr>
                <w:spacing w:val="1"/>
              </w:rPr>
              <w:t>20.0</w:t>
            </w:r>
            <w:r>
              <w:rPr>
                <w:spacing w:val="-32"/>
              </w:rPr>
              <w:t xml:space="preserve"> </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5" w:line="229" w:lineRule="auto"/>
              <w:rPr>
                <w:rFonts w:ascii="SimSun" w:hAnsi="SimSun" w:eastAsia="SimSun" w:cs="SimSun"/>
                <w:sz w:val="20"/>
                <w:szCs w:val="20"/>
              </w:rPr>
            </w:pPr>
            <w:r>
              <w:rPr>
                <w:rFonts w:ascii="SimSun" w:hAnsi="SimSun" w:eastAsia="SimSun" w:cs="SimSun"/>
                <w:sz w:val="20"/>
                <w:szCs w:val="20"/>
                <w:spacing w:val="4"/>
              </w:rPr>
              <w:t>焦油</w:t>
            </w:r>
          </w:p>
        </w:tc>
        <w:tc>
          <w:tcPr>
            <w:tcW w:w="1175" w:type="dxa"/>
            <w:vAlign w:val="top"/>
          </w:tcPr>
          <w:p>
            <w:pPr>
              <w:pStyle w:val="TableText"/>
              <w:ind w:left="300"/>
              <w:spacing w:before="211" w:line="195" w:lineRule="auto"/>
              <w:rPr/>
            </w:pPr>
            <w:r>
              <w:rPr>
                <w:spacing w:val="3"/>
              </w:rPr>
              <w:t>33.453</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91" w:line="215" w:lineRule="auto"/>
              <w:rPr>
                <w:sz w:val="13"/>
                <w:szCs w:val="13"/>
              </w:rPr>
            </w:pPr>
            <w:r>
              <w:rPr>
                <w:spacing w:val="1"/>
              </w:rPr>
              <w:t>22.0</w:t>
            </w:r>
            <w:r>
              <w:rPr>
                <w:spacing w:val="-32"/>
              </w:rPr>
              <w:t xml:space="preserve"> </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98%</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5" w:line="227" w:lineRule="auto"/>
              <w:rPr>
                <w:rFonts w:ascii="SimSun" w:hAnsi="SimSun" w:eastAsia="SimSun" w:cs="SimSun"/>
                <w:sz w:val="20"/>
                <w:szCs w:val="20"/>
              </w:rPr>
            </w:pPr>
            <w:r>
              <w:rPr>
                <w:rFonts w:ascii="SimSun" w:hAnsi="SimSun" w:eastAsia="SimSun" w:cs="SimSun"/>
                <w:sz w:val="20"/>
                <w:szCs w:val="20"/>
                <w:spacing w:val="4"/>
              </w:rPr>
              <w:t>粗苯</w:t>
            </w:r>
          </w:p>
        </w:tc>
        <w:tc>
          <w:tcPr>
            <w:tcW w:w="1175" w:type="dxa"/>
            <w:vAlign w:val="top"/>
          </w:tcPr>
          <w:p>
            <w:pPr>
              <w:pStyle w:val="TableText"/>
              <w:ind w:left="295"/>
              <w:spacing w:before="211" w:line="195" w:lineRule="auto"/>
              <w:rPr/>
            </w:pPr>
            <w:r>
              <w:rPr>
                <w:spacing w:val="4"/>
              </w:rPr>
              <w:t>41.816</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79"/>
              <w:spacing w:before="194" w:line="212" w:lineRule="auto"/>
              <w:rPr>
                <w:sz w:val="13"/>
                <w:szCs w:val="13"/>
              </w:rPr>
            </w:pPr>
            <w:r>
              <w:rPr>
                <w:spacing w:val="3"/>
              </w:rPr>
              <w:t>22.7</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1"/>
              <w:spacing w:before="175" w:line="228" w:lineRule="auto"/>
              <w:rPr>
                <w:rFonts w:ascii="SimSun" w:hAnsi="SimSun" w:eastAsia="SimSun" w:cs="SimSun"/>
                <w:sz w:val="20"/>
                <w:szCs w:val="20"/>
              </w:rPr>
            </w:pPr>
            <w:r>
              <w:rPr>
                <w:rFonts w:ascii="SimSun" w:hAnsi="SimSun" w:eastAsia="SimSun" w:cs="SimSun"/>
                <w:sz w:val="20"/>
                <w:szCs w:val="20"/>
                <w:spacing w:val="7"/>
              </w:rPr>
              <w:t>液化石油气</w:t>
            </w:r>
          </w:p>
        </w:tc>
        <w:tc>
          <w:tcPr>
            <w:tcW w:w="1175" w:type="dxa"/>
            <w:vAlign w:val="top"/>
          </w:tcPr>
          <w:p>
            <w:pPr>
              <w:pStyle w:val="TableText"/>
              <w:ind w:left="302"/>
              <w:spacing w:before="211" w:line="195" w:lineRule="auto"/>
              <w:rPr/>
            </w:pPr>
            <w:r>
              <w:rPr>
                <w:spacing w:val="3"/>
              </w:rPr>
              <w:t>50.179</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99"/>
              <w:spacing w:before="191" w:line="215" w:lineRule="auto"/>
              <w:rPr>
                <w:sz w:val="13"/>
                <w:szCs w:val="13"/>
              </w:rPr>
            </w:pPr>
            <w:r>
              <w:rPr/>
              <w:t>17.2</w:t>
            </w:r>
            <w:r>
              <w:rPr>
                <w:rFonts w:ascii="Arial" w:hAnsi="Arial" w:eastAsia="Arial" w:cs="Arial"/>
              </w:rPr>
              <w:t>×</w:t>
            </w:r>
            <w:r>
              <w:rPr/>
              <w:t>10</w:t>
            </w:r>
            <w:r>
              <w:rPr>
                <w:sz w:val="13"/>
                <w:szCs w:val="13"/>
                <w:position w:val="6"/>
              </w:rPr>
              <w:t>-3</w:t>
            </w:r>
          </w:p>
        </w:tc>
        <w:tc>
          <w:tcPr>
            <w:tcW w:w="1744" w:type="dxa"/>
            <w:vAlign w:val="top"/>
          </w:tcPr>
          <w:p>
            <w:pPr>
              <w:pStyle w:val="TableText"/>
              <w:ind w:left="684"/>
              <w:spacing w:before="211" w:line="195" w:lineRule="auto"/>
              <w:rPr/>
            </w:pPr>
            <w:r>
              <w:rPr>
                <w:spacing w:val="3"/>
              </w:rPr>
              <w:t>98%</w:t>
            </w:r>
          </w:p>
        </w:tc>
      </w:tr>
      <w:tr>
        <w:trPr>
          <w:trHeight w:val="446" w:hRule="atLeast"/>
        </w:trPr>
        <w:tc>
          <w:tcPr>
            <w:tcW w:w="861" w:type="dxa"/>
            <w:vAlign w:val="top"/>
            <w:vMerge w:val="continue"/>
            <w:tcBorders>
              <w:top w:val="nil"/>
            </w:tcBorders>
          </w:tcPr>
          <w:p>
            <w:pPr>
              <w:rPr>
                <w:rFonts w:ascii="Arial"/>
                <w:sz w:val="21"/>
              </w:rPr>
            </w:pPr>
            <w:r/>
          </w:p>
        </w:tc>
        <w:tc>
          <w:tcPr>
            <w:tcW w:w="2072" w:type="dxa"/>
            <w:vAlign w:val="top"/>
          </w:tcPr>
          <w:p>
            <w:pPr>
              <w:ind w:left="111"/>
              <w:spacing w:before="175" w:line="228" w:lineRule="auto"/>
              <w:rPr>
                <w:rFonts w:ascii="SimSun" w:hAnsi="SimSun" w:eastAsia="SimSun" w:cs="SimSun"/>
                <w:sz w:val="20"/>
                <w:szCs w:val="20"/>
              </w:rPr>
            </w:pPr>
            <w:r>
              <w:rPr>
                <w:rFonts w:ascii="SimSun" w:hAnsi="SimSun" w:eastAsia="SimSun" w:cs="SimSun"/>
                <w:sz w:val="20"/>
                <w:szCs w:val="20"/>
                <w:spacing w:val="7"/>
              </w:rPr>
              <w:t>液化天然气</w:t>
            </w:r>
          </w:p>
        </w:tc>
        <w:tc>
          <w:tcPr>
            <w:tcW w:w="1175" w:type="dxa"/>
            <w:vAlign w:val="top"/>
          </w:tcPr>
          <w:p>
            <w:pPr>
              <w:pStyle w:val="TableText"/>
              <w:ind w:left="357"/>
              <w:spacing w:before="211" w:line="195" w:lineRule="auto"/>
              <w:rPr/>
            </w:pPr>
            <w:r>
              <w:rPr>
                <w:spacing w:val="2"/>
              </w:rPr>
              <w:t>51.44</w:t>
            </w:r>
          </w:p>
        </w:tc>
        <w:tc>
          <w:tcPr>
            <w:tcW w:w="1274" w:type="dxa"/>
            <w:vAlign w:val="top"/>
          </w:tcPr>
          <w:p>
            <w:pPr>
              <w:pStyle w:val="TableText"/>
              <w:ind w:left="389"/>
              <w:spacing w:before="175" w:line="237" w:lineRule="auto"/>
              <w:rPr>
                <w:rFonts w:ascii="SimSun" w:hAnsi="SimSun" w:eastAsia="SimSun" w:cs="SimSun"/>
              </w:rPr>
            </w:pPr>
            <w:r>
              <w:rPr/>
              <w:t>GJ</w:t>
            </w:r>
            <w:r>
              <w:rPr>
                <w:spacing w:val="8"/>
              </w:rPr>
              <w:t>/</w:t>
            </w:r>
            <w:r>
              <w:rPr>
                <w:rFonts w:ascii="SimSun" w:hAnsi="SimSun" w:eastAsia="SimSun" w:cs="SimSun"/>
                <w:spacing w:val="8"/>
              </w:rPr>
              <w:t>吨</w:t>
            </w:r>
          </w:p>
        </w:tc>
        <w:tc>
          <w:tcPr>
            <w:tcW w:w="2164" w:type="dxa"/>
            <w:vAlign w:val="top"/>
          </w:tcPr>
          <w:p>
            <w:pPr>
              <w:pStyle w:val="TableText"/>
              <w:ind w:left="699"/>
              <w:spacing w:before="194" w:line="212" w:lineRule="auto"/>
              <w:rPr>
                <w:sz w:val="13"/>
                <w:szCs w:val="13"/>
              </w:rPr>
            </w:pPr>
            <w:r>
              <w:rPr>
                <w:spacing w:val="-1"/>
              </w:rPr>
              <w:t>15.3</w:t>
            </w:r>
            <w:r>
              <w:rPr>
                <w:spacing w:val="-34"/>
              </w:rPr>
              <w:t xml:space="preserve"> </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98%</w:t>
            </w:r>
          </w:p>
        </w:tc>
      </w:tr>
      <w:tr>
        <w:trPr>
          <w:trHeight w:val="444" w:hRule="atLeast"/>
        </w:trPr>
        <w:tc>
          <w:tcPr>
            <w:tcW w:w="861" w:type="dxa"/>
            <w:vAlign w:val="top"/>
            <w:vMerge w:val="restart"/>
            <w:tcBorders>
              <w:bottom w:val="nil"/>
            </w:tcBorders>
          </w:tcPr>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left="328" w:right="114" w:hanging="207"/>
              <w:spacing w:before="65" w:line="407" w:lineRule="auto"/>
              <w:rPr>
                <w:rFonts w:ascii="SimSun" w:hAnsi="SimSun" w:eastAsia="SimSun" w:cs="SimSun"/>
                <w:sz w:val="20"/>
                <w:szCs w:val="20"/>
              </w:rPr>
            </w:pPr>
            <w:r>
              <w:rPr>
                <w:rFonts w:ascii="SimSun" w:hAnsi="SimSun" w:eastAsia="SimSun" w:cs="SimSun"/>
                <w:sz w:val="20"/>
                <w:szCs w:val="20"/>
                <w:spacing w:val="6"/>
              </w:rPr>
              <w:t>气体燃</w:t>
            </w:r>
            <w:r>
              <w:rPr>
                <w:rFonts w:ascii="SimSun" w:hAnsi="SimSun" w:eastAsia="SimSun" w:cs="SimSun"/>
                <w:sz w:val="20"/>
                <w:szCs w:val="20"/>
              </w:rPr>
              <w:t>料</w:t>
            </w:r>
          </w:p>
        </w:tc>
        <w:tc>
          <w:tcPr>
            <w:tcW w:w="2072" w:type="dxa"/>
            <w:vAlign w:val="top"/>
          </w:tcPr>
          <w:p>
            <w:pPr>
              <w:ind w:left="113"/>
              <w:spacing w:before="175" w:line="228" w:lineRule="auto"/>
              <w:rPr>
                <w:rFonts w:ascii="SimSun" w:hAnsi="SimSun" w:eastAsia="SimSun" w:cs="SimSun"/>
                <w:sz w:val="20"/>
                <w:szCs w:val="20"/>
              </w:rPr>
            </w:pPr>
            <w:r>
              <w:rPr>
                <w:rFonts w:ascii="SimSun" w:hAnsi="SimSun" w:eastAsia="SimSun" w:cs="SimSun"/>
                <w:sz w:val="20"/>
                <w:szCs w:val="20"/>
                <w:spacing w:val="5"/>
              </w:rPr>
              <w:t>天然气</w:t>
            </w:r>
          </w:p>
        </w:tc>
        <w:tc>
          <w:tcPr>
            <w:tcW w:w="1175" w:type="dxa"/>
            <w:vAlign w:val="top"/>
          </w:tcPr>
          <w:p>
            <w:pPr>
              <w:pStyle w:val="TableText"/>
              <w:ind w:left="113"/>
              <w:spacing w:before="211" w:line="195" w:lineRule="auto"/>
              <w:rPr/>
            </w:pPr>
            <w:r>
              <w:rPr>
                <w:spacing w:val="3"/>
              </w:rPr>
              <w:t>389.31</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47"/>
              <w:spacing w:before="191" w:line="215" w:lineRule="auto"/>
              <w:rPr>
                <w:sz w:val="13"/>
                <w:szCs w:val="13"/>
              </w:rPr>
            </w:pPr>
            <w:r>
              <w:rPr>
                <w:spacing w:val="1"/>
              </w:rPr>
              <w:t>15.30</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99%</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1"/>
              <w:spacing w:before="175" w:line="227" w:lineRule="auto"/>
              <w:rPr>
                <w:rFonts w:ascii="SimSun" w:hAnsi="SimSun" w:eastAsia="SimSun" w:cs="SimSun"/>
                <w:sz w:val="20"/>
                <w:szCs w:val="20"/>
              </w:rPr>
            </w:pPr>
            <w:r>
              <w:rPr>
                <w:rFonts w:ascii="SimSun" w:hAnsi="SimSun" w:eastAsia="SimSun" w:cs="SimSun"/>
                <w:sz w:val="20"/>
                <w:szCs w:val="20"/>
                <w:spacing w:val="6"/>
              </w:rPr>
              <w:t>炼厂干气</w:t>
            </w:r>
          </w:p>
        </w:tc>
        <w:tc>
          <w:tcPr>
            <w:tcW w:w="1175" w:type="dxa"/>
            <w:vAlign w:val="top"/>
          </w:tcPr>
          <w:p>
            <w:pPr>
              <w:pStyle w:val="TableText"/>
              <w:ind w:left="108"/>
              <w:spacing w:before="211" w:line="195" w:lineRule="auto"/>
              <w:rPr/>
            </w:pPr>
            <w:r>
              <w:rPr>
                <w:spacing w:val="3"/>
              </w:rPr>
              <w:t>45.998</w:t>
            </w:r>
          </w:p>
        </w:tc>
        <w:tc>
          <w:tcPr>
            <w:tcW w:w="1274" w:type="dxa"/>
            <w:vAlign w:val="top"/>
          </w:tcPr>
          <w:p>
            <w:pPr>
              <w:pStyle w:val="TableText"/>
              <w:ind w:left="113"/>
              <w:spacing w:before="175" w:line="237" w:lineRule="auto"/>
              <w:rPr>
                <w:rFonts w:ascii="SimSun" w:hAnsi="SimSun" w:eastAsia="SimSun" w:cs="SimSun"/>
              </w:rPr>
            </w:pPr>
            <w:r>
              <w:rPr/>
              <w:t>GJ</w:t>
            </w:r>
            <w:r>
              <w:rPr>
                <w:spacing w:val="7"/>
              </w:rPr>
              <w:t>/</w:t>
            </w:r>
            <w:r>
              <w:rPr>
                <w:rFonts w:ascii="SimSun" w:hAnsi="SimSun" w:eastAsia="SimSun" w:cs="SimSun"/>
                <w:spacing w:val="7"/>
              </w:rPr>
              <w:t>吨</w:t>
            </w:r>
          </w:p>
        </w:tc>
        <w:tc>
          <w:tcPr>
            <w:tcW w:w="2164" w:type="dxa"/>
            <w:vAlign w:val="top"/>
          </w:tcPr>
          <w:p>
            <w:pPr>
              <w:pStyle w:val="TableText"/>
              <w:ind w:left="647"/>
              <w:spacing w:before="194" w:line="212" w:lineRule="auto"/>
              <w:rPr>
                <w:sz w:val="13"/>
                <w:szCs w:val="13"/>
              </w:rPr>
            </w:pPr>
            <w:r>
              <w:rPr>
                <w:spacing w:val="1"/>
              </w:rPr>
              <w:t>18.20</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99%</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09"/>
              <w:spacing w:before="175" w:line="228" w:lineRule="auto"/>
              <w:rPr>
                <w:rFonts w:ascii="SimSun" w:hAnsi="SimSun" w:eastAsia="SimSun" w:cs="SimSun"/>
                <w:sz w:val="20"/>
                <w:szCs w:val="20"/>
              </w:rPr>
            </w:pPr>
            <w:r>
              <w:rPr>
                <w:rFonts w:ascii="SimSun" w:hAnsi="SimSun" w:eastAsia="SimSun" w:cs="SimSun"/>
                <w:sz w:val="20"/>
                <w:szCs w:val="20"/>
                <w:spacing w:val="7"/>
              </w:rPr>
              <w:t>焦炉煤气</w:t>
            </w:r>
          </w:p>
        </w:tc>
        <w:tc>
          <w:tcPr>
            <w:tcW w:w="1175" w:type="dxa"/>
            <w:vAlign w:val="top"/>
          </w:tcPr>
          <w:p>
            <w:pPr>
              <w:pStyle w:val="TableText"/>
              <w:ind w:left="129"/>
              <w:spacing w:before="211" w:line="195" w:lineRule="auto"/>
              <w:rPr/>
            </w:pPr>
            <w:r>
              <w:rPr/>
              <w:t>179.81</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47"/>
              <w:spacing w:before="191" w:line="215" w:lineRule="auto"/>
              <w:rPr>
                <w:sz w:val="13"/>
                <w:szCs w:val="13"/>
              </w:rPr>
            </w:pPr>
            <w:r>
              <w:rPr>
                <w:spacing w:val="1"/>
              </w:rPr>
              <w:t>13.58</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99%</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4"/>
              <w:spacing w:before="174" w:line="228" w:lineRule="auto"/>
              <w:rPr>
                <w:rFonts w:ascii="SimSun" w:hAnsi="SimSun" w:eastAsia="SimSun" w:cs="SimSun"/>
                <w:sz w:val="20"/>
                <w:szCs w:val="20"/>
              </w:rPr>
            </w:pPr>
            <w:r>
              <w:rPr>
                <w:rFonts w:ascii="SimSun" w:hAnsi="SimSun" w:eastAsia="SimSun" w:cs="SimSun"/>
                <w:sz w:val="20"/>
                <w:szCs w:val="20"/>
                <w:spacing w:val="6"/>
              </w:rPr>
              <w:t>高炉煤气</w:t>
            </w:r>
          </w:p>
        </w:tc>
        <w:tc>
          <w:tcPr>
            <w:tcW w:w="1175" w:type="dxa"/>
            <w:vAlign w:val="top"/>
          </w:tcPr>
          <w:p>
            <w:pPr>
              <w:pStyle w:val="TableText"/>
              <w:ind w:left="113"/>
              <w:spacing w:before="211" w:line="195" w:lineRule="auto"/>
              <w:rPr/>
            </w:pPr>
            <w:r>
              <w:rPr>
                <w:spacing w:val="3"/>
              </w:rPr>
              <w:t>33.00</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30"/>
              <w:spacing w:before="194" w:line="212" w:lineRule="auto"/>
              <w:rPr>
                <w:sz w:val="13"/>
                <w:szCs w:val="13"/>
              </w:rPr>
            </w:pPr>
            <w:r>
              <w:rPr>
                <w:spacing w:val="3"/>
              </w:rPr>
              <w:t>70.80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99%</w:t>
            </w:r>
          </w:p>
        </w:tc>
      </w:tr>
      <w:tr>
        <w:trPr>
          <w:trHeight w:val="444"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5" w:line="228" w:lineRule="auto"/>
              <w:rPr>
                <w:rFonts w:ascii="SimSun" w:hAnsi="SimSun" w:eastAsia="SimSun" w:cs="SimSun"/>
                <w:sz w:val="20"/>
                <w:szCs w:val="20"/>
              </w:rPr>
            </w:pPr>
            <w:r>
              <w:rPr>
                <w:rFonts w:ascii="SimSun" w:hAnsi="SimSun" w:eastAsia="SimSun" w:cs="SimSun"/>
                <w:sz w:val="20"/>
                <w:szCs w:val="20"/>
                <w:spacing w:val="7"/>
              </w:rPr>
              <w:t>转炉煤气</w:t>
            </w:r>
          </w:p>
        </w:tc>
        <w:tc>
          <w:tcPr>
            <w:tcW w:w="1175" w:type="dxa"/>
            <w:vAlign w:val="top"/>
          </w:tcPr>
          <w:p>
            <w:pPr>
              <w:pStyle w:val="TableText"/>
              <w:ind w:left="117"/>
              <w:spacing w:before="211" w:line="195" w:lineRule="auto"/>
              <w:rPr/>
            </w:pPr>
            <w:r>
              <w:rPr>
                <w:spacing w:val="2"/>
              </w:rPr>
              <w:t>84.00</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25"/>
              <w:spacing w:before="191" w:line="215" w:lineRule="auto"/>
              <w:rPr>
                <w:sz w:val="13"/>
                <w:szCs w:val="13"/>
              </w:rPr>
            </w:pPr>
            <w:r>
              <w:rPr>
                <w:spacing w:val="3"/>
              </w:rPr>
              <w:t>49.60</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99%</w:t>
            </w:r>
          </w:p>
        </w:tc>
      </w:tr>
      <w:tr>
        <w:trPr>
          <w:trHeight w:val="446" w:hRule="atLeast"/>
        </w:trPr>
        <w:tc>
          <w:tcPr>
            <w:tcW w:w="861" w:type="dxa"/>
            <w:vAlign w:val="top"/>
            <w:vMerge w:val="continue"/>
            <w:tcBorders>
              <w:top w:val="nil"/>
              <w:bottom w:val="nil"/>
            </w:tcBorders>
          </w:tcPr>
          <w:p>
            <w:pPr>
              <w:rPr>
                <w:rFonts w:ascii="Arial"/>
                <w:sz w:val="21"/>
              </w:rPr>
            </w:pPr>
            <w:r/>
          </w:p>
        </w:tc>
        <w:tc>
          <w:tcPr>
            <w:tcW w:w="2072" w:type="dxa"/>
            <w:vAlign w:val="top"/>
          </w:tcPr>
          <w:p>
            <w:pPr>
              <w:ind w:left="110"/>
              <w:spacing w:before="175" w:line="228" w:lineRule="auto"/>
              <w:rPr>
                <w:rFonts w:ascii="SimSun" w:hAnsi="SimSun" w:eastAsia="SimSun" w:cs="SimSun"/>
                <w:sz w:val="20"/>
                <w:szCs w:val="20"/>
              </w:rPr>
            </w:pPr>
            <w:r>
              <w:rPr>
                <w:rFonts w:ascii="SimSun" w:hAnsi="SimSun" w:eastAsia="SimSun" w:cs="SimSun"/>
                <w:sz w:val="20"/>
                <w:szCs w:val="20"/>
                <w:spacing w:val="8"/>
              </w:rPr>
              <w:t>密闭电石炉炉气</w:t>
            </w:r>
          </w:p>
        </w:tc>
        <w:tc>
          <w:tcPr>
            <w:tcW w:w="1175" w:type="dxa"/>
            <w:vAlign w:val="top"/>
          </w:tcPr>
          <w:p>
            <w:pPr>
              <w:pStyle w:val="TableText"/>
              <w:ind w:left="129"/>
              <w:spacing w:before="211" w:line="195" w:lineRule="auto"/>
              <w:rPr/>
            </w:pPr>
            <w:r>
              <w:rPr>
                <w:spacing w:val="-3"/>
              </w:rPr>
              <w:t>111.19</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31"/>
              <w:spacing w:before="194" w:line="212" w:lineRule="auto"/>
              <w:rPr>
                <w:sz w:val="13"/>
                <w:szCs w:val="13"/>
              </w:rPr>
            </w:pPr>
            <w:r>
              <w:rPr>
                <w:spacing w:val="3"/>
              </w:rPr>
              <w:t>39.51</w:t>
            </w:r>
            <w:r>
              <w:rPr>
                <w:rFonts w:ascii="Arial" w:hAnsi="Arial" w:eastAsia="Arial" w:cs="Arial"/>
                <w:spacing w:val="3"/>
              </w:rPr>
              <w:t>×</w:t>
            </w:r>
            <w:r>
              <w:rPr>
                <w:spacing w:val="3"/>
              </w:rPr>
              <w:t>10</w:t>
            </w:r>
            <w:r>
              <w:rPr>
                <w:sz w:val="13"/>
                <w:szCs w:val="13"/>
                <w:spacing w:val="3"/>
                <w:position w:val="6"/>
              </w:rPr>
              <w:t>-3</w:t>
            </w:r>
          </w:p>
        </w:tc>
        <w:tc>
          <w:tcPr>
            <w:tcW w:w="1744" w:type="dxa"/>
            <w:vAlign w:val="top"/>
          </w:tcPr>
          <w:p>
            <w:pPr>
              <w:pStyle w:val="TableText"/>
              <w:ind w:left="684"/>
              <w:spacing w:before="211" w:line="195" w:lineRule="auto"/>
              <w:rPr/>
            </w:pPr>
            <w:r>
              <w:rPr>
                <w:spacing w:val="3"/>
              </w:rPr>
              <w:t>99%</w:t>
            </w:r>
          </w:p>
        </w:tc>
      </w:tr>
      <w:tr>
        <w:trPr>
          <w:trHeight w:val="448" w:hRule="atLeast"/>
        </w:trPr>
        <w:tc>
          <w:tcPr>
            <w:tcW w:w="861" w:type="dxa"/>
            <w:vAlign w:val="top"/>
            <w:vMerge w:val="continue"/>
            <w:tcBorders>
              <w:top w:val="nil"/>
            </w:tcBorders>
          </w:tcPr>
          <w:p>
            <w:pPr>
              <w:rPr>
                <w:rFonts w:ascii="Arial"/>
                <w:sz w:val="21"/>
              </w:rPr>
            </w:pPr>
            <w:r/>
          </w:p>
        </w:tc>
        <w:tc>
          <w:tcPr>
            <w:tcW w:w="2072" w:type="dxa"/>
            <w:vAlign w:val="top"/>
          </w:tcPr>
          <w:p>
            <w:pPr>
              <w:ind w:left="110"/>
              <w:spacing w:before="175" w:line="228" w:lineRule="auto"/>
              <w:rPr>
                <w:rFonts w:ascii="SimSun" w:hAnsi="SimSun" w:eastAsia="SimSun" w:cs="SimSun"/>
                <w:sz w:val="20"/>
                <w:szCs w:val="20"/>
              </w:rPr>
            </w:pPr>
            <w:r>
              <w:rPr>
                <w:rFonts w:ascii="SimSun" w:hAnsi="SimSun" w:eastAsia="SimSun" w:cs="SimSun"/>
                <w:sz w:val="20"/>
                <w:szCs w:val="20"/>
                <w:spacing w:val="7"/>
              </w:rPr>
              <w:t>其他煤气</w:t>
            </w:r>
          </w:p>
        </w:tc>
        <w:tc>
          <w:tcPr>
            <w:tcW w:w="1175" w:type="dxa"/>
            <w:vAlign w:val="top"/>
          </w:tcPr>
          <w:p>
            <w:pPr>
              <w:pStyle w:val="TableText"/>
              <w:ind w:left="115"/>
              <w:spacing w:before="211" w:line="195" w:lineRule="auto"/>
              <w:rPr/>
            </w:pPr>
            <w:r>
              <w:rPr>
                <w:spacing w:val="2"/>
              </w:rPr>
              <w:t>52.27</w:t>
            </w:r>
          </w:p>
        </w:tc>
        <w:tc>
          <w:tcPr>
            <w:tcW w:w="1274" w:type="dxa"/>
            <w:vAlign w:val="top"/>
          </w:tcPr>
          <w:p>
            <w:pPr>
              <w:pStyle w:val="TableText"/>
              <w:ind w:left="113"/>
              <w:spacing w:before="175" w:line="228" w:lineRule="auto"/>
              <w:rPr>
                <w:sz w:val="13"/>
                <w:szCs w:val="13"/>
              </w:rPr>
            </w:pPr>
            <w:r>
              <w:rPr/>
              <w:t>GJ</w:t>
            </w:r>
            <w:r>
              <w:rPr>
                <w:spacing w:val="12"/>
              </w:rPr>
              <w:t>/</w:t>
            </w:r>
            <w:r>
              <w:rPr>
                <w:rFonts w:ascii="SimSun" w:hAnsi="SimSun" w:eastAsia="SimSun" w:cs="SimSun"/>
                <w:spacing w:val="12"/>
              </w:rPr>
              <w:t>万</w:t>
            </w:r>
            <w:r>
              <w:rPr>
                <w:rFonts w:ascii="SimSun" w:hAnsi="SimSun" w:eastAsia="SimSun" w:cs="SimSun"/>
                <w:spacing w:val="-50"/>
              </w:rPr>
              <w:t xml:space="preserve"> </w:t>
            </w:r>
            <w:r>
              <w:rPr/>
              <w:t>Nm</w:t>
            </w:r>
            <w:r>
              <w:rPr>
                <w:sz w:val="13"/>
                <w:szCs w:val="13"/>
                <w:spacing w:val="12"/>
                <w:position w:val="6"/>
              </w:rPr>
              <w:t>3</w:t>
            </w:r>
          </w:p>
        </w:tc>
        <w:tc>
          <w:tcPr>
            <w:tcW w:w="2164" w:type="dxa"/>
            <w:vAlign w:val="top"/>
          </w:tcPr>
          <w:p>
            <w:pPr>
              <w:pStyle w:val="TableText"/>
              <w:ind w:left="647"/>
              <w:spacing w:before="191" w:line="215" w:lineRule="auto"/>
              <w:rPr>
                <w:sz w:val="13"/>
                <w:szCs w:val="13"/>
              </w:rPr>
            </w:pPr>
            <w:r>
              <w:rPr>
                <w:spacing w:val="1"/>
              </w:rPr>
              <w:t>12.20</w:t>
            </w:r>
            <w:r>
              <w:rPr>
                <w:rFonts w:ascii="Arial" w:hAnsi="Arial" w:eastAsia="Arial" w:cs="Arial"/>
                <w:spacing w:val="1"/>
              </w:rPr>
              <w:t>×</w:t>
            </w:r>
            <w:r>
              <w:rPr>
                <w:spacing w:val="1"/>
              </w:rPr>
              <w:t>10</w:t>
            </w:r>
            <w:r>
              <w:rPr>
                <w:sz w:val="13"/>
                <w:szCs w:val="13"/>
                <w:spacing w:val="1"/>
                <w:position w:val="6"/>
              </w:rPr>
              <w:t>-3</w:t>
            </w:r>
          </w:p>
        </w:tc>
        <w:tc>
          <w:tcPr>
            <w:tcW w:w="1744" w:type="dxa"/>
            <w:vAlign w:val="top"/>
          </w:tcPr>
          <w:p>
            <w:pPr>
              <w:pStyle w:val="TableText"/>
              <w:ind w:left="684"/>
              <w:spacing w:before="211" w:line="195" w:lineRule="auto"/>
              <w:rPr/>
            </w:pPr>
            <w:r>
              <w:rPr>
                <w:spacing w:val="3"/>
              </w:rPr>
              <w:t>99%</w:t>
            </w:r>
          </w:p>
        </w:tc>
      </w:tr>
    </w:tbl>
    <w:p>
      <w:pPr>
        <w:pStyle w:val="BodyText"/>
        <w:rPr/>
      </w:pPr>
      <w:r/>
    </w:p>
    <w:p>
      <w:pPr>
        <w:sectPr>
          <w:headerReference w:type="default" r:id="rId395"/>
          <w:footerReference w:type="default" r:id="rId396"/>
          <w:pgSz w:w="11906" w:h="16838"/>
          <w:pgMar w:top="1170" w:right="1297" w:bottom="1080" w:left="1305" w:header="837" w:footer="918" w:gutter="0"/>
        </w:sectPr>
        <w:rPr/>
      </w:pPr>
    </w:p>
    <w:p>
      <w:pPr>
        <w:pStyle w:val="BodyText"/>
        <w:spacing w:line="312" w:lineRule="auto"/>
        <w:rPr/>
      </w:pPr>
      <w:r/>
    </w:p>
    <w:p>
      <w:pPr>
        <w:ind w:left="495"/>
        <w:spacing w:before="7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）计算结果</w:t>
      </w:r>
    </w:p>
    <w:p>
      <w:pPr>
        <w:ind w:left="14" w:firstLine="479"/>
        <w:spacing w:before="156" w:line="334" w:lineRule="auto"/>
        <w:rPr>
          <w:rFonts w:ascii="SimSun" w:hAnsi="SimSun" w:eastAsia="SimSun" w:cs="SimSun"/>
          <w:sz w:val="24"/>
          <w:szCs w:val="24"/>
        </w:rPr>
      </w:pPr>
      <w:r>
        <w:rPr>
          <w:rFonts w:ascii="SimSun" w:hAnsi="SimSun" w:eastAsia="SimSun" w:cs="SimSun"/>
          <w:sz w:val="24"/>
          <w:szCs w:val="24"/>
          <w:spacing w:val="-2"/>
        </w:rPr>
        <w:t>企业涉及化石燃料品种主要为柴油，根据本次评价资料收集白音华四号露天矿柴油</w:t>
      </w:r>
      <w:r>
        <w:rPr>
          <w:rFonts w:ascii="SimSun" w:hAnsi="SimSun" w:eastAsia="SimSun" w:cs="SimSun"/>
          <w:sz w:val="24"/>
          <w:szCs w:val="24"/>
          <w:spacing w:val="-3"/>
        </w:rPr>
        <w:t>消耗量合计为</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1822t/a</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。则本项目化石燃料燃烧</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CO</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9"/>
          <w:position w:val="-1"/>
        </w:rPr>
        <w:t xml:space="preserve"> </w:t>
      </w:r>
      <w:r>
        <w:rPr>
          <w:rFonts w:ascii="SimSun" w:hAnsi="SimSun" w:eastAsia="SimSun" w:cs="SimSun"/>
          <w:sz w:val="24"/>
          <w:szCs w:val="24"/>
          <w:spacing w:val="-3"/>
        </w:rPr>
        <w:t>排放计算如下：</w:t>
      </w:r>
    </w:p>
    <w:p>
      <w:pPr>
        <w:ind w:left="965"/>
        <w:spacing w:line="32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
        </w:rPr>
        <w:t>E</w:t>
      </w:r>
      <w:r>
        <w:rPr>
          <w:rFonts w:ascii="Times New Roman" w:hAnsi="Times New Roman" w:eastAsia="Times New Roman" w:cs="Times New Roman"/>
          <w:sz w:val="15"/>
          <w:szCs w:val="15"/>
          <w:position w:val="2"/>
        </w:rPr>
        <w:t>CO</w:t>
      </w:r>
      <w:r>
        <w:rPr>
          <w:rFonts w:ascii="Times New Roman" w:hAnsi="Times New Roman" w:eastAsia="Times New Roman" w:cs="Times New Roman"/>
          <w:sz w:val="15"/>
          <w:szCs w:val="15"/>
          <w:spacing w:val="4"/>
          <w:position w:val="2"/>
        </w:rPr>
        <w:t>2-</w:t>
      </w:r>
      <w:r>
        <w:rPr>
          <w:rFonts w:ascii="SimSun" w:hAnsi="SimSun" w:eastAsia="SimSun" w:cs="SimSun"/>
          <w:sz w:val="8"/>
          <w:szCs w:val="8"/>
          <w:spacing w:val="4"/>
          <w:position w:val="2"/>
        </w:rPr>
        <w:t>燃烧</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position w:val="3"/>
        </w:rPr>
        <w:t>AD</w:t>
      </w:r>
      <w:r>
        <w:rPr>
          <w:rFonts w:ascii="SimSun" w:hAnsi="SimSun" w:eastAsia="SimSun" w:cs="SimSun"/>
          <w:sz w:val="8"/>
          <w:szCs w:val="8"/>
          <w:spacing w:val="4"/>
          <w:position w:val="1"/>
        </w:rPr>
        <w:t>柴油</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position w:val="3"/>
        </w:rPr>
        <w:t>CC</w:t>
      </w:r>
      <w:r>
        <w:rPr>
          <w:rFonts w:ascii="SimSun" w:hAnsi="SimSun" w:eastAsia="SimSun" w:cs="SimSun"/>
          <w:sz w:val="8"/>
          <w:szCs w:val="8"/>
          <w:spacing w:val="4"/>
          <w:position w:val="1"/>
        </w:rPr>
        <w:t>柴油</w:t>
      </w:r>
      <w:r>
        <w:rPr>
          <w:rFonts w:ascii="Times New Roman" w:hAnsi="Times New Roman" w:eastAsia="Times New Roman" w:cs="Times New Roman"/>
          <w:sz w:val="24"/>
          <w:szCs w:val="24"/>
          <w:spacing w:val="4"/>
          <w:position w:val="3"/>
        </w:rPr>
        <w:t>×</w:t>
      </w:r>
      <w:r>
        <w:rPr>
          <w:rFonts w:ascii="Times New Roman" w:hAnsi="Times New Roman" w:eastAsia="Times New Roman" w:cs="Times New Roman"/>
          <w:sz w:val="24"/>
          <w:szCs w:val="24"/>
          <w:position w:val="3"/>
        </w:rPr>
        <w:t>OF</w:t>
      </w:r>
      <w:r>
        <w:rPr>
          <w:rFonts w:ascii="SimSun" w:hAnsi="SimSun" w:eastAsia="SimSun" w:cs="SimSun"/>
          <w:sz w:val="8"/>
          <w:szCs w:val="8"/>
          <w:spacing w:val="4"/>
          <w:position w:val="1"/>
        </w:rPr>
        <w:t>柴油</w:t>
      </w:r>
      <w:r>
        <w:rPr>
          <w:rFonts w:ascii="Times New Roman" w:hAnsi="Times New Roman" w:eastAsia="Times New Roman" w:cs="Times New Roman"/>
          <w:sz w:val="24"/>
          <w:szCs w:val="24"/>
          <w:spacing w:val="4"/>
          <w:position w:val="3"/>
        </w:rPr>
        <w:t>×44/12</w:t>
      </w:r>
    </w:p>
    <w:p>
      <w:pPr>
        <w:ind w:left="1684"/>
        <w:spacing w:before="116"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1"/>
        </w:rPr>
        <w:t>=</w:t>
      </w:r>
      <w:r>
        <w:rPr>
          <w:rFonts w:ascii="Times New Roman" w:hAnsi="Times New Roman" w:eastAsia="Times New Roman" w:cs="Times New Roman"/>
          <w:sz w:val="24"/>
          <w:szCs w:val="24"/>
          <w:spacing w:val="-28"/>
          <w:position w:val="1"/>
        </w:rPr>
        <w:t xml:space="preserve"> </w:t>
      </w:r>
      <w:r>
        <w:rPr>
          <w:rFonts w:ascii="Times New Roman" w:hAnsi="Times New Roman" w:eastAsia="Times New Roman" w:cs="Times New Roman"/>
          <w:sz w:val="24"/>
          <w:szCs w:val="24"/>
          <w:spacing w:val="-1"/>
          <w:position w:val="1"/>
        </w:rPr>
        <w:t>1822×42.652×20.20×10</w:t>
      </w:r>
      <w:r>
        <w:rPr>
          <w:rFonts w:ascii="Times New Roman" w:hAnsi="Times New Roman" w:eastAsia="Times New Roman" w:cs="Times New Roman"/>
          <w:sz w:val="15"/>
          <w:szCs w:val="15"/>
          <w:spacing w:val="-1"/>
          <w:position w:val="9"/>
        </w:rPr>
        <w:t>-3</w:t>
      </w:r>
      <w:r>
        <w:rPr>
          <w:rFonts w:ascii="Times New Roman" w:hAnsi="Times New Roman" w:eastAsia="Times New Roman" w:cs="Times New Roman"/>
          <w:sz w:val="24"/>
          <w:szCs w:val="24"/>
          <w:spacing w:val="-1"/>
          <w:position w:val="1"/>
        </w:rPr>
        <w:t>×0.98×44/12</w:t>
      </w:r>
    </w:p>
    <w:p>
      <w:pPr>
        <w:ind w:left="1684"/>
        <w:spacing w:before="117" w:line="322" w:lineRule="exact"/>
        <w:rPr>
          <w:rFonts w:ascii="SimSun" w:hAnsi="SimSun" w:eastAsia="SimSun" w:cs="SimSun"/>
          <w:sz w:val="24"/>
          <w:szCs w:val="24"/>
        </w:rPr>
      </w:pPr>
      <w:r>
        <w:rPr>
          <w:rFonts w:ascii="Times New Roman" w:hAnsi="Times New Roman" w:eastAsia="Times New Roman" w:cs="Times New Roman"/>
          <w:sz w:val="24"/>
          <w:szCs w:val="24"/>
          <w:spacing w:val="-1"/>
          <w:position w:val="1"/>
        </w:rPr>
        <w:t>=5645.9</w:t>
      </w:r>
      <w:r>
        <w:rPr>
          <w:rFonts w:ascii="SimSun" w:hAnsi="SimSun" w:eastAsia="SimSun" w:cs="SimSun"/>
          <w:sz w:val="24"/>
          <w:szCs w:val="24"/>
          <w:spacing w:val="-1"/>
          <w:position w:val="1"/>
        </w:rPr>
        <w:t>吨</w:t>
      </w:r>
      <w:r>
        <w:rPr>
          <w:rFonts w:ascii="Times New Roman" w:hAnsi="Times New Roman" w:eastAsia="Times New Roman" w:cs="Times New Roman"/>
          <w:sz w:val="24"/>
          <w:szCs w:val="24"/>
          <w:spacing w:val="-1"/>
          <w:position w:val="1"/>
        </w:rPr>
        <w:t>CO</w:t>
      </w:r>
      <w:r>
        <w:rPr>
          <w:rFonts w:ascii="Times New Roman" w:hAnsi="Times New Roman" w:eastAsia="Times New Roman" w:cs="Times New Roman"/>
          <w:sz w:val="15"/>
          <w:szCs w:val="15"/>
          <w:spacing w:val="-1"/>
        </w:rPr>
        <w:t>2</w:t>
      </w:r>
      <w:r>
        <w:rPr>
          <w:rFonts w:ascii="Times New Roman" w:hAnsi="Times New Roman" w:eastAsia="Times New Roman" w:cs="Times New Roman"/>
          <w:sz w:val="24"/>
          <w:szCs w:val="24"/>
          <w:spacing w:val="-1"/>
          <w:position w:val="1"/>
        </w:rPr>
        <w:t>/</w:t>
      </w:r>
      <w:r>
        <w:rPr>
          <w:rFonts w:ascii="SimSun" w:hAnsi="SimSun" w:eastAsia="SimSun" w:cs="SimSun"/>
          <w:sz w:val="24"/>
          <w:szCs w:val="24"/>
          <w:spacing w:val="-1"/>
          <w:position w:val="1"/>
        </w:rPr>
        <w:t>年</w:t>
      </w:r>
    </w:p>
    <w:p>
      <w:pPr>
        <w:ind w:left="485"/>
        <w:spacing w:before="127" w:line="220"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、甲烷逃逸排放</w:t>
      </w:r>
    </w:p>
    <w:p>
      <w:pPr>
        <w:ind w:left="12" w:firstLine="478"/>
        <w:spacing w:before="156" w:line="321" w:lineRule="auto"/>
        <w:rPr>
          <w:rFonts w:ascii="SimSun" w:hAnsi="SimSun" w:eastAsia="SimSun" w:cs="SimSun"/>
          <w:sz w:val="24"/>
          <w:szCs w:val="24"/>
        </w:rPr>
      </w:pPr>
      <w:r>
        <w:rPr>
          <w:rFonts w:ascii="SimSun" w:hAnsi="SimSun" w:eastAsia="SimSun" w:cs="SimSun"/>
          <w:sz w:val="24"/>
          <w:szCs w:val="24"/>
        </w:rPr>
        <w:t>煤炭生产企业甲烷的逃逸排放总量，根据《温室气体排放核算与报告要求第</w:t>
      </w:r>
      <w:r>
        <w:rPr>
          <w:rFonts w:ascii="SimSun" w:hAnsi="SimSun" w:eastAsia="SimSun" w:cs="SimSun"/>
          <w:sz w:val="24"/>
          <w:szCs w:val="24"/>
          <w:spacing w:val="-14"/>
        </w:rPr>
        <w:t xml:space="preserve"> </w:t>
      </w:r>
      <w:r>
        <w:rPr>
          <w:rFonts w:ascii="SimSun" w:hAnsi="SimSun" w:eastAsia="SimSun" w:cs="SimSun"/>
          <w:sz w:val="24"/>
          <w:szCs w:val="24"/>
        </w:rPr>
        <w:t>11</w:t>
      </w:r>
      <w:r>
        <w:rPr>
          <w:rFonts w:ascii="SimSun" w:hAnsi="SimSun" w:eastAsia="SimSun" w:cs="SimSun"/>
          <w:sz w:val="24"/>
          <w:szCs w:val="24"/>
          <w:spacing w:val="-46"/>
        </w:rPr>
        <w:t xml:space="preserve"> </w:t>
      </w:r>
      <w:r>
        <w:rPr>
          <w:rFonts w:ascii="SimSun" w:hAnsi="SimSun" w:eastAsia="SimSun" w:cs="SimSun"/>
          <w:sz w:val="24"/>
          <w:szCs w:val="24"/>
        </w:rPr>
        <w:t>部</w:t>
      </w:r>
      <w:r>
        <w:rPr>
          <w:rFonts w:ascii="SimSun" w:hAnsi="SimSun" w:eastAsia="SimSun" w:cs="SimSun"/>
          <w:sz w:val="24"/>
          <w:szCs w:val="24"/>
          <w:spacing w:val="-1"/>
        </w:rPr>
        <w:t>分：煤炭生产企业》，其计算方法如下。</w:t>
      </w:r>
    </w:p>
    <w:p>
      <w:pPr>
        <w:ind w:left="1629"/>
        <w:spacing w:line="322"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3"/>
        </w:rPr>
        <w:t>E</w:t>
      </w:r>
      <w:r>
        <w:rPr>
          <w:rFonts w:ascii="Times New Roman" w:hAnsi="Times New Roman" w:eastAsia="Times New Roman" w:cs="Times New Roman"/>
          <w:sz w:val="15"/>
          <w:szCs w:val="15"/>
          <w:position w:val="2"/>
        </w:rPr>
        <w:t>CH4_</w:t>
      </w:r>
      <w:r>
        <w:rPr>
          <w:rFonts w:ascii="SimSun" w:hAnsi="SimSun" w:eastAsia="SimSun" w:cs="SimSun"/>
          <w:sz w:val="12"/>
          <w:szCs w:val="12"/>
          <w:position w:val="1"/>
        </w:rPr>
        <w:t>逃逸</w:t>
      </w:r>
      <w:r>
        <w:rPr>
          <w:rFonts w:ascii="Times New Roman" w:hAnsi="Times New Roman" w:eastAsia="Times New Roman" w:cs="Times New Roman"/>
          <w:sz w:val="24"/>
          <w:szCs w:val="24"/>
          <w:position w:val="3"/>
        </w:rPr>
        <w:t>=</w:t>
      </w:r>
      <w:r>
        <w:rPr>
          <w:rFonts w:ascii="SimSun" w:hAnsi="SimSun" w:eastAsia="SimSun" w:cs="SimSun"/>
          <w:sz w:val="24"/>
          <w:szCs w:val="24"/>
          <w:position w:val="3"/>
        </w:rPr>
        <w:t>（</w:t>
      </w:r>
      <w:r>
        <w:rPr>
          <w:rFonts w:ascii="Times New Roman" w:hAnsi="Times New Roman" w:eastAsia="Times New Roman" w:cs="Times New Roman"/>
          <w:sz w:val="24"/>
          <w:szCs w:val="24"/>
          <w:position w:val="3"/>
        </w:rPr>
        <w:t>Q</w:t>
      </w:r>
      <w:r>
        <w:rPr>
          <w:rFonts w:ascii="Times New Roman" w:hAnsi="Times New Roman" w:eastAsia="Times New Roman" w:cs="Times New Roman"/>
          <w:sz w:val="15"/>
          <w:szCs w:val="15"/>
          <w:position w:val="2"/>
        </w:rPr>
        <w:t>CH4_</w:t>
      </w:r>
      <w:r>
        <w:rPr>
          <w:rFonts w:ascii="SimSun" w:hAnsi="SimSun" w:eastAsia="SimSun" w:cs="SimSun"/>
          <w:sz w:val="12"/>
          <w:szCs w:val="12"/>
          <w:position w:val="1"/>
        </w:rPr>
        <w:t>露天</w:t>
      </w:r>
      <w:r>
        <w:rPr>
          <w:rFonts w:ascii="Times New Roman" w:hAnsi="Times New Roman" w:eastAsia="Times New Roman" w:cs="Times New Roman"/>
          <w:sz w:val="24"/>
          <w:szCs w:val="24"/>
          <w:position w:val="3"/>
        </w:rPr>
        <w:t>+Q</w:t>
      </w:r>
      <w:r>
        <w:rPr>
          <w:rFonts w:ascii="Times New Roman" w:hAnsi="Times New Roman" w:eastAsia="Times New Roman" w:cs="Times New Roman"/>
          <w:sz w:val="15"/>
          <w:szCs w:val="15"/>
          <w:position w:val="2"/>
        </w:rPr>
        <w:t>CH4_</w:t>
      </w:r>
      <w:r>
        <w:rPr>
          <w:rFonts w:ascii="SimSun" w:hAnsi="SimSun" w:eastAsia="SimSun" w:cs="SimSun"/>
          <w:sz w:val="12"/>
          <w:szCs w:val="12"/>
          <w:position w:val="1"/>
        </w:rPr>
        <w:t>矿后</w:t>
      </w:r>
      <w:r>
        <w:rPr>
          <w:rFonts w:ascii="Times New Roman" w:hAnsi="Times New Roman" w:eastAsia="Times New Roman" w:cs="Times New Roman"/>
          <w:sz w:val="24"/>
          <w:szCs w:val="24"/>
          <w:position w:val="3"/>
        </w:rPr>
        <w:t>-Q</w:t>
      </w:r>
      <w:r>
        <w:rPr>
          <w:rFonts w:ascii="Times New Roman" w:hAnsi="Times New Roman" w:eastAsia="Times New Roman" w:cs="Times New Roman"/>
          <w:sz w:val="15"/>
          <w:szCs w:val="15"/>
          <w:position w:val="2"/>
        </w:rPr>
        <w:t>CH4_</w:t>
      </w:r>
      <w:r>
        <w:rPr>
          <w:rFonts w:ascii="SimSun" w:hAnsi="SimSun" w:eastAsia="SimSun" w:cs="SimSun"/>
          <w:sz w:val="12"/>
          <w:szCs w:val="12"/>
          <w:position w:val="1"/>
        </w:rPr>
        <w:t>利用</w:t>
      </w:r>
      <w:r>
        <w:rPr>
          <w:rFonts w:ascii="SimSun" w:hAnsi="SimSun" w:eastAsia="SimSun" w:cs="SimSun"/>
          <w:sz w:val="24"/>
          <w:szCs w:val="24"/>
          <w:position w:val="3"/>
        </w:rPr>
        <w:t>）</w:t>
      </w:r>
      <w:r>
        <w:rPr>
          <w:rFonts w:ascii="SimSun" w:hAnsi="SimSun" w:eastAsia="SimSun" w:cs="SimSun"/>
          <w:sz w:val="24"/>
          <w:szCs w:val="24"/>
          <w:spacing w:val="-76"/>
          <w:position w:val="3"/>
        </w:rPr>
        <w:t xml:space="preserve"> </w:t>
      </w:r>
      <w:r>
        <w:rPr>
          <w:rFonts w:ascii="SimSun" w:hAnsi="SimSun" w:eastAsia="SimSun" w:cs="SimSun"/>
          <w:sz w:val="24"/>
          <w:szCs w:val="24"/>
          <w:position w:val="3"/>
        </w:rPr>
        <w:t>×</w:t>
      </w:r>
      <w:r>
        <w:rPr>
          <w:rFonts w:ascii="Times New Roman" w:hAnsi="Times New Roman" w:eastAsia="Times New Roman" w:cs="Times New Roman"/>
          <w:sz w:val="24"/>
          <w:szCs w:val="24"/>
          <w:position w:val="3"/>
        </w:rPr>
        <w:t>0.67</w:t>
      </w:r>
      <w:r>
        <w:rPr>
          <w:rFonts w:ascii="SimSun" w:hAnsi="SimSun" w:eastAsia="SimSun" w:cs="SimSun"/>
          <w:sz w:val="24"/>
          <w:szCs w:val="24"/>
          <w:position w:val="3"/>
        </w:rPr>
        <w:t>×</w:t>
      </w:r>
      <w:r>
        <w:rPr>
          <w:rFonts w:ascii="Times New Roman" w:hAnsi="Times New Roman" w:eastAsia="Times New Roman" w:cs="Times New Roman"/>
          <w:sz w:val="24"/>
          <w:szCs w:val="24"/>
          <w:position w:val="3"/>
        </w:rPr>
        <w:t>10</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GWPCH4</w:t>
      </w:r>
    </w:p>
    <w:p>
      <w:pPr>
        <w:ind w:left="14"/>
        <w:spacing w:before="163" w:line="218"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E</w:t>
      </w:r>
      <w:r>
        <w:rPr>
          <w:rFonts w:ascii="Times New Roman" w:hAnsi="Times New Roman" w:eastAsia="Times New Roman" w:cs="Times New Roman"/>
          <w:sz w:val="15"/>
          <w:szCs w:val="15"/>
          <w:position w:val="-1"/>
        </w:rPr>
        <w:t>CH4_</w:t>
      </w:r>
      <w:r>
        <w:rPr>
          <w:rFonts w:ascii="SimSun" w:hAnsi="SimSun" w:eastAsia="SimSun" w:cs="SimSun"/>
          <w:sz w:val="12"/>
          <w:szCs w:val="12"/>
          <w:position w:val="-3"/>
        </w:rPr>
        <w:t>逃逸</w:t>
      </w:r>
      <w:r>
        <w:rPr>
          <w:rFonts w:ascii="SimSun" w:hAnsi="SimSun" w:eastAsia="SimSun" w:cs="SimSun"/>
          <w:sz w:val="24"/>
          <w:szCs w:val="24"/>
        </w:rPr>
        <w:t>—煤炭生产企业甲烷逃逸排放总量，单位为吨二氧化碳当量（</w:t>
      </w:r>
      <w:r>
        <w:rPr>
          <w:rFonts w:ascii="Times New Roman" w:hAnsi="Times New Roman" w:eastAsia="Times New Roman" w:cs="Times New Roman"/>
          <w:sz w:val="24"/>
          <w:szCs w:val="24"/>
        </w:rPr>
        <w:t>tC</w:t>
      </w:r>
      <w:r>
        <w:rPr>
          <w:rFonts w:ascii="Times New Roman" w:hAnsi="Times New Roman" w:eastAsia="Times New Roman" w:cs="Times New Roman"/>
          <w:sz w:val="24"/>
          <w:szCs w:val="24"/>
          <w:spacing w:val="-1"/>
        </w:rPr>
        <w:t>O2e</w:t>
      </w:r>
      <w:r>
        <w:rPr>
          <w:rFonts w:ascii="SimSun" w:hAnsi="SimSun" w:eastAsia="SimSun" w:cs="SimSun"/>
          <w:sz w:val="24"/>
          <w:szCs w:val="24"/>
          <w:spacing w:val="-1"/>
        </w:rPr>
        <w:t>）</w:t>
      </w:r>
    </w:p>
    <w:p>
      <w:pPr>
        <w:ind w:left="728"/>
        <w:spacing w:before="155" w:line="215" w:lineRule="auto"/>
        <w:rPr>
          <w:rFonts w:ascii="SimSun" w:hAnsi="SimSun" w:eastAsia="SimSun" w:cs="SimSun"/>
          <w:sz w:val="24"/>
          <w:szCs w:val="24"/>
        </w:rPr>
      </w:pP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1"/>
        </w:rPr>
        <w:t>CH4_</w:t>
      </w:r>
      <w:r>
        <w:rPr>
          <w:rFonts w:ascii="SimSun" w:hAnsi="SimSun" w:eastAsia="SimSun" w:cs="SimSun"/>
          <w:sz w:val="12"/>
          <w:szCs w:val="12"/>
          <w:position w:val="-3"/>
        </w:rPr>
        <w:t>露天</w:t>
      </w:r>
      <w:r>
        <w:rPr>
          <w:rFonts w:ascii="SimSun" w:hAnsi="SimSun" w:eastAsia="SimSun" w:cs="SimSun"/>
          <w:sz w:val="24"/>
          <w:szCs w:val="24"/>
        </w:rPr>
        <w:t>—露天开采甲烷逃逸排放量</w:t>
      </w:r>
      <w:r>
        <w:rPr>
          <w:rFonts w:ascii="SimSun" w:hAnsi="SimSun" w:eastAsia="SimSun" w:cs="SimSun"/>
          <w:sz w:val="24"/>
          <w:szCs w:val="24"/>
          <w:spacing w:val="-1"/>
        </w:rPr>
        <w:t>，单位为万立方米（</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，常温常压下）</w:t>
      </w:r>
    </w:p>
    <w:p>
      <w:pPr>
        <w:ind w:left="728" w:right="39"/>
        <w:spacing w:before="160" w:line="332"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position w:val="-1"/>
        </w:rPr>
        <w:t>CH4_</w:t>
      </w:r>
      <w:r>
        <w:rPr>
          <w:rFonts w:ascii="SimSun" w:hAnsi="SimSun" w:eastAsia="SimSun" w:cs="SimSun"/>
          <w:sz w:val="12"/>
          <w:szCs w:val="12"/>
          <w:spacing w:val="-1"/>
          <w:position w:val="-3"/>
        </w:rPr>
        <w:t>矿后</w:t>
      </w:r>
      <w:r>
        <w:rPr>
          <w:rFonts w:ascii="SimSun" w:hAnsi="SimSun" w:eastAsia="SimSun" w:cs="SimSun"/>
          <w:sz w:val="24"/>
          <w:szCs w:val="24"/>
          <w:spacing w:val="-1"/>
        </w:rPr>
        <w:t>—矿后活动的甲烷逃逸排放量，单位为万立方米（</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3"/>
          <w:position w:val="8"/>
        </w:rPr>
        <w:t xml:space="preserve"> </w:t>
      </w:r>
      <w:r>
        <w:rPr>
          <w:rFonts w:ascii="SimSun" w:hAnsi="SimSun" w:eastAsia="SimSun" w:cs="SimSun"/>
          <w:sz w:val="24"/>
          <w:szCs w:val="24"/>
          <w:spacing w:val="-1"/>
        </w:rPr>
        <w:t>，常温常压下）</w:t>
      </w:r>
      <w:r>
        <w:rPr>
          <w:rFonts w:ascii="SimSun" w:hAnsi="SimSun" w:eastAsia="SimSun" w:cs="SimSun"/>
          <w:sz w:val="24"/>
          <w:szCs w:val="24"/>
        </w:rPr>
        <w:t xml:space="preserve"> </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1"/>
        </w:rPr>
        <w:t>CH</w:t>
      </w:r>
      <w:r>
        <w:rPr>
          <w:rFonts w:ascii="Times New Roman" w:hAnsi="Times New Roman" w:eastAsia="Times New Roman" w:cs="Times New Roman"/>
          <w:sz w:val="15"/>
          <w:szCs w:val="15"/>
          <w:spacing w:val="2"/>
          <w:position w:val="-1"/>
        </w:rPr>
        <w:t>4_</w:t>
      </w:r>
      <w:r>
        <w:rPr>
          <w:rFonts w:ascii="SimSun" w:hAnsi="SimSun" w:eastAsia="SimSun" w:cs="SimSun"/>
          <w:sz w:val="12"/>
          <w:szCs w:val="12"/>
          <w:spacing w:val="2"/>
          <w:position w:val="-3"/>
        </w:rPr>
        <w:t>利用</w:t>
      </w:r>
      <w:r>
        <w:rPr>
          <w:rFonts w:ascii="SimSun" w:hAnsi="SimSun" w:eastAsia="SimSun" w:cs="SimSun"/>
          <w:sz w:val="24"/>
          <w:szCs w:val="24"/>
          <w:spacing w:val="2"/>
        </w:rPr>
        <w:t>—甲烷回收利用量，单位为万立方米（本项目为</w:t>
      </w:r>
      <w:r>
        <w:rPr>
          <w:rFonts w:ascii="Times New Roman" w:hAnsi="Times New Roman" w:eastAsia="Times New Roman" w:cs="Times New Roman"/>
          <w:sz w:val="24"/>
          <w:szCs w:val="24"/>
          <w:spacing w:val="2"/>
        </w:rPr>
        <w:t>0</w:t>
      </w:r>
      <w:r>
        <w:rPr>
          <w:rFonts w:ascii="SimSun" w:hAnsi="SimSun" w:eastAsia="SimSun" w:cs="SimSun"/>
          <w:sz w:val="24"/>
          <w:szCs w:val="24"/>
          <w:spacing w:val="2"/>
        </w:rPr>
        <w:t>）</w:t>
      </w:r>
    </w:p>
    <w:p>
      <w:pPr>
        <w:ind w:left="728"/>
        <w:spacing w:before="18" w:line="210" w:lineRule="auto"/>
        <w:rPr>
          <w:rFonts w:ascii="SimSun" w:hAnsi="SimSun" w:eastAsia="SimSun" w:cs="SimSun"/>
          <w:sz w:val="24"/>
          <w:szCs w:val="24"/>
        </w:rPr>
      </w:pPr>
      <w:r>
        <w:rPr>
          <w:rFonts w:ascii="Times New Roman" w:hAnsi="Times New Roman" w:eastAsia="Times New Roman" w:cs="Times New Roman"/>
          <w:sz w:val="24"/>
          <w:szCs w:val="24"/>
          <w:spacing w:val="-1"/>
        </w:rPr>
        <w:t>0.67</w:t>
      </w:r>
      <w:r>
        <w:rPr>
          <w:rFonts w:ascii="SimSun" w:hAnsi="SimSun" w:eastAsia="SimSun" w:cs="SimSun"/>
          <w:sz w:val="24"/>
          <w:szCs w:val="24"/>
          <w:spacing w:val="-1"/>
        </w:rPr>
        <w:t>—甲烷在</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20</w:t>
      </w:r>
      <w:r>
        <w:rPr>
          <w:rFonts w:ascii="SimSun" w:hAnsi="SimSun" w:eastAsia="SimSun" w:cs="SimSun"/>
          <w:sz w:val="24"/>
          <w:szCs w:val="24"/>
          <w:spacing w:val="-1"/>
        </w:rPr>
        <w:t>º</w:t>
      </w:r>
      <w:r>
        <w:rPr>
          <w:rFonts w:ascii="Times New Roman" w:hAnsi="Times New Roman" w:eastAsia="Times New Roman" w:cs="Times New Roman"/>
          <w:sz w:val="24"/>
          <w:szCs w:val="24"/>
          <w:spacing w:val="-1"/>
        </w:rPr>
        <w:t>C</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个大气压下的密度，单位为千克每立方米（</w:t>
      </w:r>
      <w:r>
        <w:rPr>
          <w:rFonts w:ascii="Times New Roman" w:hAnsi="Times New Roman" w:eastAsia="Times New Roman" w:cs="Times New Roman"/>
          <w:sz w:val="24"/>
          <w:szCs w:val="24"/>
          <w:spacing w:val="-1"/>
        </w:rPr>
        <w:t>kg/m</w:t>
      </w:r>
      <w:r>
        <w:rPr>
          <w:rFonts w:ascii="Times New Roman" w:hAnsi="Times New Roman" w:eastAsia="Times New Roman" w:cs="Times New Roman"/>
          <w:sz w:val="15"/>
          <w:szCs w:val="15"/>
          <w:spacing w:val="-1"/>
          <w:position w:val="8"/>
        </w:rPr>
        <w:t>3</w:t>
      </w:r>
      <w:r>
        <w:rPr>
          <w:rFonts w:ascii="SimSun" w:hAnsi="SimSun" w:eastAsia="SimSun" w:cs="SimSun"/>
          <w:sz w:val="24"/>
          <w:szCs w:val="24"/>
          <w:spacing w:val="-1"/>
        </w:rPr>
        <w:t>）</w:t>
      </w:r>
    </w:p>
    <w:p>
      <w:pPr>
        <w:ind w:left="728"/>
        <w:spacing w:before="165" w:line="219" w:lineRule="auto"/>
        <w:rPr>
          <w:rFonts w:ascii="SimSun" w:hAnsi="SimSun" w:eastAsia="SimSun" w:cs="SimSun"/>
          <w:sz w:val="24"/>
          <w:szCs w:val="24"/>
        </w:rPr>
      </w:pPr>
      <w:r>
        <w:rPr>
          <w:rFonts w:ascii="Times New Roman" w:hAnsi="Times New Roman" w:eastAsia="Times New Roman" w:cs="Times New Roman"/>
          <w:sz w:val="24"/>
          <w:szCs w:val="24"/>
        </w:rPr>
        <w:t>GWP</w:t>
      </w:r>
      <w:r>
        <w:rPr>
          <w:rFonts w:ascii="Times New Roman" w:hAnsi="Times New Roman" w:eastAsia="Times New Roman" w:cs="Times New Roman"/>
          <w:sz w:val="15"/>
          <w:szCs w:val="15"/>
          <w:position w:val="-1"/>
        </w:rPr>
        <w:t>CH4</w:t>
      </w:r>
      <w:r>
        <w:rPr>
          <w:rFonts w:ascii="SimSun" w:hAnsi="SimSun" w:eastAsia="SimSun" w:cs="SimSun"/>
          <w:sz w:val="24"/>
          <w:szCs w:val="24"/>
        </w:rPr>
        <w:t>—甲烷相比二氧化碳的全球变暖潜势（</w:t>
      </w:r>
      <w:r>
        <w:rPr>
          <w:rFonts w:ascii="Times New Roman" w:hAnsi="Times New Roman" w:eastAsia="Times New Roman" w:cs="Times New Roman"/>
          <w:sz w:val="24"/>
          <w:szCs w:val="24"/>
        </w:rPr>
        <w:t>GWP</w:t>
      </w:r>
      <w:r>
        <w:rPr>
          <w:rFonts w:ascii="SimSun" w:hAnsi="SimSun" w:eastAsia="SimSun" w:cs="SimSun"/>
          <w:sz w:val="24"/>
          <w:szCs w:val="24"/>
        </w:rPr>
        <w:t>）值，缺省值</w:t>
      </w:r>
      <w:r>
        <w:rPr>
          <w:rFonts w:ascii="SimSun" w:hAnsi="SimSun" w:eastAsia="SimSun" w:cs="SimSun"/>
          <w:sz w:val="24"/>
          <w:szCs w:val="24"/>
          <w:spacing w:val="-1"/>
        </w:rPr>
        <w:t>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21</w:t>
      </w:r>
      <w:r>
        <w:rPr>
          <w:rFonts w:ascii="SimSun" w:hAnsi="SimSun" w:eastAsia="SimSun" w:cs="SimSun"/>
          <w:sz w:val="24"/>
          <w:szCs w:val="24"/>
          <w:spacing w:val="-1"/>
        </w:rPr>
        <w:t>。</w:t>
      </w:r>
    </w:p>
    <w:p>
      <w:pPr>
        <w:ind w:left="490"/>
        <w:spacing w:before="157" w:line="218" w:lineRule="auto"/>
        <w:rPr>
          <w:rFonts w:ascii="SimSun" w:hAnsi="SimSun" w:eastAsia="SimSun" w:cs="SimSun"/>
          <w:sz w:val="24"/>
          <w:szCs w:val="24"/>
        </w:rPr>
      </w:pPr>
      <w:r>
        <w:rPr>
          <w:rFonts w:ascii="SimSun" w:hAnsi="SimSun" w:eastAsia="SimSun" w:cs="SimSun"/>
          <w:sz w:val="24"/>
          <w:szCs w:val="24"/>
          <w:spacing w:val="-1"/>
        </w:rPr>
        <w:t>其中露天开采甲烷逃逸量计算如下：</w:t>
      </w:r>
    </w:p>
    <w:p>
      <w:pPr>
        <w:ind w:left="3020"/>
        <w:spacing w:line="323"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position w:val="2"/>
        </w:rPr>
        <w:t>Q</w:t>
      </w:r>
      <w:r>
        <w:rPr>
          <w:rFonts w:ascii="Times New Roman" w:hAnsi="Times New Roman" w:eastAsia="Times New Roman" w:cs="Times New Roman"/>
          <w:sz w:val="15"/>
          <w:szCs w:val="15"/>
          <w:position w:val="1"/>
        </w:rPr>
        <w:t>CH</w:t>
      </w:r>
      <w:r>
        <w:rPr>
          <w:rFonts w:ascii="Times New Roman" w:hAnsi="Times New Roman" w:eastAsia="Times New Roman" w:cs="Times New Roman"/>
          <w:sz w:val="15"/>
          <w:szCs w:val="15"/>
          <w:spacing w:val="1"/>
          <w:position w:val="1"/>
        </w:rPr>
        <w:t>4</w:t>
      </w:r>
      <w:r>
        <w:rPr>
          <w:rFonts w:ascii="Times New Roman" w:hAnsi="Times New Roman" w:eastAsia="Times New Roman" w:cs="Times New Roman"/>
          <w:sz w:val="24"/>
          <w:szCs w:val="24"/>
          <w:spacing w:val="1"/>
          <w:position w:val="2"/>
        </w:rPr>
        <w:t>=</w:t>
      </w:r>
      <w:r>
        <w:rPr>
          <w:rFonts w:ascii="Times New Roman" w:hAnsi="Times New Roman" w:eastAsia="Times New Roman" w:cs="Times New Roman"/>
          <w:sz w:val="24"/>
          <w:szCs w:val="24"/>
          <w:spacing w:val="-11"/>
          <w:position w:val="2"/>
        </w:rPr>
        <w:t xml:space="preserve"> </w:t>
      </w:r>
      <w:r>
        <w:rPr>
          <w:rFonts w:ascii="SimSun" w:hAnsi="SimSun" w:eastAsia="SimSun" w:cs="SimSun"/>
          <w:sz w:val="24"/>
          <w:szCs w:val="24"/>
          <w:spacing w:val="-51"/>
          <w:position w:val="2"/>
        </w:rPr>
        <w:t>Σ</w:t>
      </w:r>
      <w:r>
        <w:rPr>
          <w:rFonts w:ascii="Times New Roman" w:hAnsi="Times New Roman" w:eastAsia="Times New Roman" w:cs="Times New Roman"/>
          <w:sz w:val="15"/>
          <w:szCs w:val="15"/>
          <w:position w:val="1"/>
        </w:rPr>
        <w:t>i</w:t>
      </w:r>
      <w:r>
        <w:rPr>
          <w:rFonts w:ascii="Times New Roman" w:hAnsi="Times New Roman" w:eastAsia="Times New Roman" w:cs="Times New Roman"/>
          <w:sz w:val="24"/>
          <w:szCs w:val="24"/>
          <w:position w:val="2"/>
        </w:rPr>
        <w:t>AD</w:t>
      </w:r>
      <w:r>
        <w:rPr>
          <w:rFonts w:ascii="Times New Roman" w:hAnsi="Times New Roman" w:eastAsia="Times New Roman" w:cs="Times New Roman"/>
          <w:sz w:val="15"/>
          <w:szCs w:val="15"/>
          <w:position w:val="1"/>
        </w:rPr>
        <w:t>i</w:t>
      </w:r>
      <w:r>
        <w:rPr>
          <w:rFonts w:ascii="Times New Roman" w:hAnsi="Times New Roman" w:eastAsia="Times New Roman" w:cs="Times New Roman"/>
          <w:sz w:val="15"/>
          <w:szCs w:val="15"/>
          <w:spacing w:val="7"/>
          <w:position w:val="1"/>
        </w:rPr>
        <w:t xml:space="preserve"> </w:t>
      </w:r>
      <w:r>
        <w:rPr>
          <w:rFonts w:ascii="SimSun" w:hAnsi="SimSun" w:eastAsia="SimSun" w:cs="SimSun"/>
          <w:sz w:val="24"/>
          <w:szCs w:val="24"/>
          <w:spacing w:val="-9"/>
          <w:position w:val="2"/>
        </w:rPr>
        <w:t>×</w:t>
      </w:r>
      <w:r>
        <w:rPr>
          <w:rFonts w:ascii="Times New Roman" w:hAnsi="Times New Roman" w:eastAsia="Times New Roman" w:cs="Times New Roman"/>
          <w:sz w:val="24"/>
          <w:szCs w:val="24"/>
          <w:spacing w:val="-9"/>
          <w:position w:val="2"/>
        </w:rPr>
        <w:t>EF</w:t>
      </w:r>
      <w:r>
        <w:rPr>
          <w:rFonts w:ascii="Times New Roman" w:hAnsi="Times New Roman" w:eastAsia="Times New Roman" w:cs="Times New Roman"/>
          <w:sz w:val="24"/>
          <w:szCs w:val="24"/>
          <w:spacing w:val="18"/>
          <w:w w:val="101"/>
          <w:position w:val="2"/>
        </w:rPr>
        <w:t xml:space="preserve"> </w:t>
      </w:r>
      <w:r>
        <w:rPr>
          <w:rFonts w:ascii="SimSun" w:hAnsi="SimSun" w:eastAsia="SimSun" w:cs="SimSun"/>
          <w:sz w:val="24"/>
          <w:szCs w:val="24"/>
          <w:spacing w:val="-9"/>
          <w:position w:val="2"/>
        </w:rPr>
        <w:t>露天</w:t>
      </w:r>
      <w:r>
        <w:rPr>
          <w:rFonts w:ascii="SimSun" w:hAnsi="SimSun" w:eastAsia="SimSun" w:cs="SimSun"/>
          <w:sz w:val="24"/>
          <w:szCs w:val="24"/>
          <w:spacing w:val="-56"/>
          <w:position w:val="2"/>
        </w:rPr>
        <w:t xml:space="preserve"> </w:t>
      </w:r>
      <w:r>
        <w:rPr>
          <w:rFonts w:ascii="Times New Roman" w:hAnsi="Times New Roman" w:eastAsia="Times New Roman" w:cs="Times New Roman"/>
          <w:sz w:val="15"/>
          <w:szCs w:val="15"/>
          <w:spacing w:val="-9"/>
          <w:position w:val="1"/>
        </w:rPr>
        <w:t>i </w:t>
      </w:r>
      <w:r>
        <w:rPr>
          <w:rFonts w:ascii="SimSun" w:hAnsi="SimSun" w:eastAsia="SimSun" w:cs="SimSun"/>
          <w:sz w:val="24"/>
          <w:szCs w:val="24"/>
          <w:spacing w:val="-22"/>
          <w:position w:val="2"/>
        </w:rPr>
        <w:t>×</w:t>
      </w:r>
      <w:r>
        <w:rPr>
          <w:rFonts w:ascii="SimSun" w:hAnsi="SimSun" w:eastAsia="SimSun" w:cs="SimSun"/>
          <w:sz w:val="24"/>
          <w:szCs w:val="24"/>
          <w:spacing w:val="-92"/>
          <w:position w:val="2"/>
        </w:rPr>
        <w:t xml:space="preserve"> </w:t>
      </w:r>
      <w:r>
        <w:rPr>
          <w:rFonts w:ascii="Times New Roman" w:hAnsi="Times New Roman" w:eastAsia="Times New Roman" w:cs="Times New Roman"/>
          <w:sz w:val="24"/>
          <w:szCs w:val="24"/>
          <w:spacing w:val="-22"/>
          <w:position w:val="2"/>
        </w:rPr>
        <w:t>10</w:t>
      </w:r>
      <w:r>
        <w:rPr>
          <w:rFonts w:ascii="Times New Roman" w:hAnsi="Times New Roman" w:eastAsia="Times New Roman" w:cs="Times New Roman"/>
          <w:sz w:val="15"/>
          <w:szCs w:val="15"/>
          <w:spacing w:val="1"/>
          <w:position w:val="10"/>
        </w:rPr>
        <w:t>-4</w:t>
      </w:r>
    </w:p>
    <w:p>
      <w:pPr>
        <w:ind w:left="14"/>
        <w:spacing w:before="299" w:line="212"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w:t>
      </w:r>
      <w:r>
        <w:rPr>
          <w:rFonts w:ascii="Times New Roman" w:hAnsi="Times New Roman" w:eastAsia="Times New Roman" w:cs="Times New Roman"/>
          <w:sz w:val="15"/>
          <w:szCs w:val="15"/>
          <w:spacing w:val="-1"/>
          <w:position w:val="-1"/>
        </w:rPr>
        <w:t>CH4</w:t>
      </w:r>
      <w:r>
        <w:rPr>
          <w:rFonts w:ascii="SimSun" w:hAnsi="SimSun" w:eastAsia="SimSun" w:cs="SimSun"/>
          <w:sz w:val="24"/>
          <w:szCs w:val="24"/>
          <w:spacing w:val="-1"/>
        </w:rPr>
        <w:t>—露天开采甲烷逃逸排放量，单位为万立方米（</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4</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15"/>
          <w:szCs w:val="15"/>
          <w:spacing w:val="3"/>
          <w:position w:val="8"/>
        </w:rPr>
        <w:t xml:space="preserve"> </w:t>
      </w:r>
      <w:r>
        <w:rPr>
          <w:rFonts w:ascii="SimSun" w:hAnsi="SimSun" w:eastAsia="SimSun" w:cs="SimSun"/>
          <w:sz w:val="24"/>
          <w:szCs w:val="24"/>
          <w:spacing w:val="-1"/>
        </w:rPr>
        <w:t>，指常温常压下）</w:t>
      </w:r>
    </w:p>
    <w:p>
      <w:pPr>
        <w:ind w:left="726"/>
        <w:spacing w:before="163" w:line="219" w:lineRule="auto"/>
        <w:rPr>
          <w:rFonts w:ascii="SimSun" w:hAnsi="SimSun" w:eastAsia="SimSun" w:cs="SimSun"/>
          <w:sz w:val="24"/>
          <w:szCs w:val="24"/>
        </w:rPr>
      </w:pPr>
      <w:r>
        <w:rPr>
          <w:rFonts w:ascii="Times New Roman" w:hAnsi="Times New Roman" w:eastAsia="Times New Roman" w:cs="Times New Roman"/>
          <w:sz w:val="24"/>
          <w:szCs w:val="24"/>
          <w:spacing w:val="1"/>
        </w:rPr>
        <w:t>i</w:t>
      </w:r>
      <w:r>
        <w:rPr>
          <w:rFonts w:ascii="SimSun" w:hAnsi="SimSun" w:eastAsia="SimSun" w:cs="SimSun"/>
          <w:sz w:val="24"/>
          <w:szCs w:val="24"/>
          <w:spacing w:val="1"/>
        </w:rPr>
        <w:t>—以露天开采的各个矿井的编号</w:t>
      </w:r>
      <w:r>
        <w:rPr>
          <w:rFonts w:ascii="SimSun" w:hAnsi="SimSun" w:eastAsia="SimSun" w:cs="SimSun"/>
          <w:sz w:val="24"/>
          <w:szCs w:val="24"/>
          <w:spacing w:val="-29"/>
        </w:rPr>
        <w:t>，（</w:t>
      </w:r>
      <w:r>
        <w:rPr>
          <w:rFonts w:ascii="SimSun" w:hAnsi="SimSun" w:eastAsia="SimSun" w:cs="SimSun"/>
          <w:sz w:val="24"/>
          <w:szCs w:val="24"/>
          <w:spacing w:val="1"/>
        </w:rPr>
        <w:t>本项目为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1"/>
        </w:rPr>
        <w:t>1</w:t>
      </w:r>
      <w:r>
        <w:rPr>
          <w:rFonts w:ascii="SimSun" w:hAnsi="SimSun" w:eastAsia="SimSun" w:cs="SimSun"/>
          <w:sz w:val="24"/>
          <w:szCs w:val="24"/>
          <w:spacing w:val="1"/>
        </w:rPr>
        <w:t>）</w:t>
      </w:r>
    </w:p>
    <w:p>
      <w:pPr>
        <w:ind w:left="721"/>
        <w:spacing w:before="158" w:line="219" w:lineRule="auto"/>
        <w:rPr>
          <w:rFonts w:ascii="SimSun" w:hAnsi="SimSun" w:eastAsia="SimSun" w:cs="SimSun"/>
          <w:sz w:val="24"/>
          <w:szCs w:val="24"/>
        </w:rPr>
      </w:pPr>
      <w:r>
        <w:rPr>
          <w:rFonts w:ascii="Times New Roman" w:hAnsi="Times New Roman" w:eastAsia="Times New Roman" w:cs="Times New Roman"/>
          <w:sz w:val="24"/>
          <w:szCs w:val="24"/>
          <w:spacing w:val="-2"/>
        </w:rPr>
        <w:t>AD</w:t>
      </w:r>
      <w:r>
        <w:rPr>
          <w:rFonts w:ascii="Times New Roman" w:hAnsi="Times New Roman" w:eastAsia="Times New Roman" w:cs="Times New Roman"/>
          <w:sz w:val="15"/>
          <w:szCs w:val="15"/>
          <w:spacing w:val="-2"/>
          <w:position w:val="-1"/>
        </w:rPr>
        <w:t>i</w:t>
      </w:r>
      <w:r>
        <w:rPr>
          <w:rFonts w:ascii="SimSun" w:hAnsi="SimSun" w:eastAsia="SimSun" w:cs="SimSun"/>
          <w:sz w:val="24"/>
          <w:szCs w:val="24"/>
          <w:spacing w:val="-2"/>
        </w:rPr>
        <w:t>—矿井</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当年的原煤产量，单位为吨</w:t>
      </w:r>
    </w:p>
    <w:p>
      <w:pPr>
        <w:ind w:left="490" w:right="946" w:firstLine="234"/>
        <w:spacing w:before="153" w:line="335" w:lineRule="auto"/>
        <w:rPr>
          <w:rFonts w:ascii="SimSun" w:hAnsi="SimSun" w:eastAsia="SimSun" w:cs="SimSun"/>
          <w:sz w:val="24"/>
          <w:szCs w:val="24"/>
        </w:rPr>
      </w:pPr>
      <w:r>
        <w:rPr>
          <w:rFonts w:ascii="Times New Roman" w:hAnsi="Times New Roman" w:eastAsia="Times New Roman" w:cs="Times New Roman"/>
          <w:sz w:val="24"/>
          <w:szCs w:val="24"/>
          <w:spacing w:val="-2"/>
        </w:rPr>
        <w:t>EF</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2"/>
        </w:rPr>
        <w:t>露天—以露天矿</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i</w:t>
      </w:r>
      <w:r>
        <w:rPr>
          <w:rFonts w:ascii="Times New Roman" w:hAnsi="Times New Roman" w:eastAsia="Times New Roman" w:cs="Times New Roman"/>
          <w:sz w:val="24"/>
          <w:szCs w:val="24"/>
          <w:spacing w:val="29"/>
          <w:w w:val="101"/>
        </w:rPr>
        <w:t xml:space="preserve"> </w:t>
      </w:r>
      <w:r>
        <w:rPr>
          <w:rFonts w:ascii="SimSun" w:hAnsi="SimSun" w:eastAsia="SimSun" w:cs="SimSun"/>
          <w:sz w:val="24"/>
          <w:szCs w:val="24"/>
          <w:spacing w:val="-2"/>
        </w:rPr>
        <w:t>的甲烷排放因子，单位为立方米每吨原煤（</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/t</w:t>
      </w:r>
      <w:r>
        <w:rPr>
          <w:rFonts w:ascii="SimSun" w:hAnsi="SimSun" w:eastAsia="SimSun" w:cs="SimSun"/>
          <w:sz w:val="24"/>
          <w:szCs w:val="24"/>
          <w:spacing w:val="-2"/>
        </w:rPr>
        <w:t>）</w:t>
      </w:r>
      <w:r>
        <w:rPr>
          <w:rFonts w:ascii="SimSun" w:hAnsi="SimSun" w:eastAsia="SimSun" w:cs="SimSun"/>
          <w:sz w:val="24"/>
          <w:szCs w:val="24"/>
          <w:spacing w:val="-2"/>
        </w:rPr>
        <w:t>本次项目露天矿原煤产量为</w:t>
      </w:r>
      <w:r>
        <w:rPr>
          <w:rFonts w:ascii="SimSun" w:hAnsi="SimSun" w:eastAsia="SimSun" w:cs="SimSun"/>
          <w:sz w:val="24"/>
          <w:szCs w:val="24"/>
          <w:spacing w:val="-46"/>
        </w:rPr>
        <w:t xml:space="preserve"> </w:t>
      </w:r>
      <w:r>
        <w:rPr>
          <w:rFonts w:ascii="SimSun" w:hAnsi="SimSun" w:eastAsia="SimSun" w:cs="SimSun"/>
          <w:sz w:val="24"/>
          <w:szCs w:val="24"/>
          <w:spacing w:val="-2"/>
        </w:rPr>
        <w:t>500</w:t>
      </w:r>
      <w:r>
        <w:rPr>
          <w:rFonts w:ascii="SimSun" w:hAnsi="SimSun" w:eastAsia="SimSun" w:cs="SimSun"/>
          <w:sz w:val="24"/>
          <w:szCs w:val="24"/>
          <w:spacing w:val="-45"/>
        </w:rPr>
        <w:t xml:space="preserve"> </w:t>
      </w:r>
      <w:r>
        <w:rPr>
          <w:rFonts w:ascii="SimSun" w:hAnsi="SimSun" w:eastAsia="SimSun" w:cs="SimSun"/>
          <w:sz w:val="24"/>
          <w:szCs w:val="24"/>
          <w:spacing w:val="-2"/>
        </w:rPr>
        <w:t>万吨/年，</w:t>
      </w:r>
      <w:r>
        <w:rPr>
          <w:rFonts w:ascii="SimSun" w:hAnsi="SimSun" w:eastAsia="SimSun" w:cs="SimSun"/>
          <w:sz w:val="24"/>
          <w:szCs w:val="24"/>
          <w:spacing w:val="-3"/>
        </w:rPr>
        <w:t>排放因子可采用缺省值</w:t>
      </w:r>
      <w:r>
        <w:rPr>
          <w:rFonts w:ascii="SimSun" w:hAnsi="SimSun" w:eastAsia="SimSun" w:cs="SimSun"/>
          <w:sz w:val="24"/>
          <w:szCs w:val="24"/>
          <w:spacing w:val="-48"/>
        </w:rPr>
        <w:t xml:space="preserve"> </w:t>
      </w:r>
      <w:r>
        <w:rPr>
          <w:rFonts w:ascii="SimSun" w:hAnsi="SimSun" w:eastAsia="SimSun" w:cs="SimSun"/>
          <w:sz w:val="24"/>
          <w:szCs w:val="24"/>
          <w:spacing w:val="-3"/>
        </w:rPr>
        <w:t>2m</w:t>
      </w:r>
      <w:r>
        <w:rPr>
          <w:rFonts w:ascii="SimSun" w:hAnsi="SimSun" w:eastAsia="SimSun" w:cs="SimSun"/>
          <w:sz w:val="12"/>
          <w:szCs w:val="12"/>
          <w:spacing w:val="-3"/>
          <w:position w:val="11"/>
        </w:rPr>
        <w:t>3</w:t>
      </w:r>
      <w:r>
        <w:rPr>
          <w:rFonts w:ascii="SimSun" w:hAnsi="SimSun" w:eastAsia="SimSun" w:cs="SimSun"/>
          <w:sz w:val="24"/>
          <w:szCs w:val="24"/>
          <w:spacing w:val="-3"/>
        </w:rPr>
        <w:t>/t。</w:t>
      </w:r>
    </w:p>
    <w:p>
      <w:pPr>
        <w:ind w:left="489"/>
        <w:spacing w:before="11" w:line="219" w:lineRule="auto"/>
        <w:rPr>
          <w:rFonts w:ascii="SimSun" w:hAnsi="SimSun" w:eastAsia="SimSun" w:cs="SimSun"/>
          <w:sz w:val="24"/>
          <w:szCs w:val="24"/>
        </w:rPr>
      </w:pPr>
      <w:r>
        <w:rPr>
          <w:rFonts w:ascii="SimSun" w:hAnsi="SimSun" w:eastAsia="SimSun" w:cs="SimSun"/>
          <w:sz w:val="24"/>
          <w:szCs w:val="24"/>
          <w:spacing w:val="-2"/>
        </w:rPr>
        <w:t>计算结果：</w:t>
      </w:r>
    </w:p>
    <w:p>
      <w:pPr>
        <w:ind w:left="485"/>
        <w:spacing w:before="111" w:line="323" w:lineRule="exact"/>
        <w:rPr>
          <w:rFonts w:ascii="Times New Roman" w:hAnsi="Times New Roman" w:eastAsia="Times New Roman" w:cs="Times New Roman"/>
          <w:sz w:val="16"/>
          <w:szCs w:val="16"/>
        </w:rPr>
      </w:pPr>
      <w:r>
        <w:rPr>
          <w:rFonts w:ascii="Times New Roman" w:hAnsi="Times New Roman" w:eastAsia="Times New Roman" w:cs="Times New Roman"/>
          <w:sz w:val="24"/>
          <w:szCs w:val="24"/>
          <w:position w:val="4"/>
        </w:rPr>
        <w:t>E</w:t>
      </w:r>
      <w:r>
        <w:rPr>
          <w:rFonts w:ascii="Times New Roman" w:hAnsi="Times New Roman" w:eastAsia="Times New Roman" w:cs="Times New Roman"/>
          <w:sz w:val="16"/>
          <w:szCs w:val="16"/>
          <w:position w:val="4"/>
        </w:rPr>
        <w:t>CH4-</w:t>
      </w:r>
      <w:r>
        <w:rPr>
          <w:rFonts w:ascii="SimSun" w:hAnsi="SimSun" w:eastAsia="SimSun" w:cs="SimSun"/>
          <w:sz w:val="12"/>
          <w:szCs w:val="12"/>
          <w:position w:val="4"/>
        </w:rPr>
        <w:t>逃逸</w:t>
      </w:r>
      <w:r>
        <w:rPr>
          <w:rFonts w:ascii="Times New Roman" w:hAnsi="Times New Roman" w:eastAsia="Times New Roman" w:cs="Times New Roman"/>
          <w:sz w:val="24"/>
          <w:szCs w:val="24"/>
          <w:position w:val="4"/>
        </w:rPr>
        <w:t>=Q</w:t>
      </w:r>
      <w:r>
        <w:rPr>
          <w:rFonts w:ascii="Times New Roman" w:hAnsi="Times New Roman" w:eastAsia="Times New Roman" w:cs="Times New Roman"/>
          <w:sz w:val="16"/>
          <w:szCs w:val="16"/>
          <w:position w:val="4"/>
        </w:rPr>
        <w:t>CH4-</w:t>
      </w:r>
      <w:r>
        <w:rPr>
          <w:rFonts w:ascii="SimSun" w:hAnsi="SimSun" w:eastAsia="SimSun" w:cs="SimSun"/>
          <w:sz w:val="12"/>
          <w:szCs w:val="12"/>
          <w:position w:val="4"/>
        </w:rPr>
        <w:t>露天</w:t>
      </w:r>
      <w:r>
        <w:rPr>
          <w:rFonts w:ascii="Times New Roman" w:hAnsi="Times New Roman" w:eastAsia="Times New Roman" w:cs="Times New Roman"/>
          <w:sz w:val="24"/>
          <w:szCs w:val="24"/>
          <w:position w:val="4"/>
        </w:rPr>
        <w:t>×0.67×10×GWP</w:t>
      </w:r>
      <w:r>
        <w:rPr>
          <w:rFonts w:ascii="Times New Roman" w:hAnsi="Times New Roman" w:eastAsia="Times New Roman" w:cs="Times New Roman"/>
          <w:sz w:val="16"/>
          <w:szCs w:val="16"/>
          <w:spacing w:val="-1"/>
          <w:position w:val="4"/>
        </w:rPr>
        <w:t>CH4</w:t>
      </w:r>
    </w:p>
    <w:p>
      <w:pPr>
        <w:ind w:left="1324"/>
        <w:spacing w:before="116"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position w:val="1"/>
        </w:rPr>
        <w:t>=5000000×2×10</w:t>
      </w:r>
      <w:r>
        <w:rPr>
          <w:rFonts w:ascii="Times New Roman" w:hAnsi="Times New Roman" w:eastAsia="Times New Roman" w:cs="Times New Roman"/>
          <w:sz w:val="15"/>
          <w:szCs w:val="15"/>
          <w:position w:val="8"/>
        </w:rPr>
        <w:t>-4</w:t>
      </w:r>
      <w:r>
        <w:rPr>
          <w:rFonts w:ascii="Times New Roman" w:hAnsi="Times New Roman" w:eastAsia="Times New Roman" w:cs="Times New Roman"/>
          <w:sz w:val="24"/>
          <w:szCs w:val="24"/>
          <w:position w:val="1"/>
        </w:rPr>
        <w:t>×0.67×10×21</w:t>
      </w:r>
    </w:p>
    <w:p>
      <w:pPr>
        <w:ind w:left="1324"/>
        <w:spacing w:before="117" w:line="322" w:lineRule="exact"/>
        <w:rPr>
          <w:rFonts w:ascii="SimSun" w:hAnsi="SimSun" w:eastAsia="SimSun" w:cs="SimSun"/>
          <w:sz w:val="24"/>
          <w:szCs w:val="24"/>
        </w:rPr>
      </w:pPr>
      <w:r>
        <w:rPr>
          <w:rFonts w:ascii="Times New Roman" w:hAnsi="Times New Roman" w:eastAsia="Times New Roman" w:cs="Times New Roman"/>
          <w:sz w:val="24"/>
          <w:szCs w:val="24"/>
          <w:spacing w:val="-5"/>
          <w:position w:val="1"/>
        </w:rPr>
        <w:t>=</w:t>
      </w:r>
      <w:r>
        <w:rPr>
          <w:rFonts w:ascii="Times New Roman" w:hAnsi="Times New Roman" w:eastAsia="Times New Roman" w:cs="Times New Roman"/>
          <w:sz w:val="24"/>
          <w:szCs w:val="24"/>
          <w:spacing w:val="-29"/>
          <w:position w:val="1"/>
        </w:rPr>
        <w:t xml:space="preserve"> </w:t>
      </w:r>
      <w:r>
        <w:rPr>
          <w:rFonts w:ascii="Times New Roman" w:hAnsi="Times New Roman" w:eastAsia="Times New Roman" w:cs="Times New Roman"/>
          <w:sz w:val="24"/>
          <w:szCs w:val="24"/>
          <w:spacing w:val="-5"/>
          <w:position w:val="1"/>
        </w:rPr>
        <w:t>140700</w:t>
      </w:r>
      <w:r>
        <w:rPr>
          <w:rFonts w:ascii="Times New Roman" w:hAnsi="Times New Roman" w:eastAsia="Times New Roman" w:cs="Times New Roman"/>
          <w:sz w:val="24"/>
          <w:szCs w:val="24"/>
          <w:spacing w:val="24"/>
          <w:position w:val="1"/>
        </w:rPr>
        <w:t xml:space="preserve"> </w:t>
      </w:r>
      <w:r>
        <w:rPr>
          <w:rFonts w:ascii="SimSun" w:hAnsi="SimSun" w:eastAsia="SimSun" w:cs="SimSun"/>
          <w:sz w:val="24"/>
          <w:szCs w:val="24"/>
          <w:spacing w:val="-5"/>
          <w:position w:val="1"/>
        </w:rPr>
        <w:t>吨</w:t>
      </w:r>
      <w:r>
        <w:rPr>
          <w:rFonts w:ascii="SimSun" w:hAnsi="SimSun" w:eastAsia="SimSun" w:cs="SimSun"/>
          <w:sz w:val="24"/>
          <w:szCs w:val="24"/>
          <w:spacing w:val="-52"/>
          <w:position w:val="1"/>
        </w:rPr>
        <w:t xml:space="preserve"> </w:t>
      </w:r>
      <w:r>
        <w:rPr>
          <w:rFonts w:ascii="Times New Roman" w:hAnsi="Times New Roman" w:eastAsia="Times New Roman" w:cs="Times New Roman"/>
          <w:sz w:val="24"/>
          <w:szCs w:val="24"/>
          <w:spacing w:val="-5"/>
          <w:position w:val="1"/>
        </w:rPr>
        <w:t>CO</w:t>
      </w:r>
      <w:r>
        <w:rPr>
          <w:rFonts w:ascii="Times New Roman" w:hAnsi="Times New Roman" w:eastAsia="Times New Roman" w:cs="Times New Roman"/>
          <w:sz w:val="15"/>
          <w:szCs w:val="15"/>
          <w:spacing w:val="-5"/>
        </w:rPr>
        <w:t>2</w:t>
      </w:r>
      <w:r>
        <w:rPr>
          <w:rFonts w:ascii="Times New Roman" w:hAnsi="Times New Roman" w:eastAsia="Times New Roman" w:cs="Times New Roman"/>
          <w:sz w:val="24"/>
          <w:szCs w:val="24"/>
          <w:spacing w:val="-5"/>
          <w:position w:val="1"/>
        </w:rPr>
        <w:t>/</w:t>
      </w:r>
      <w:r>
        <w:rPr>
          <w:rFonts w:ascii="SimSun" w:hAnsi="SimSun" w:eastAsia="SimSun" w:cs="SimSun"/>
          <w:sz w:val="24"/>
          <w:szCs w:val="24"/>
          <w:spacing w:val="-5"/>
          <w:position w:val="1"/>
        </w:rPr>
        <w:t>年</w:t>
      </w:r>
    </w:p>
    <w:p>
      <w:pPr>
        <w:ind w:left="494"/>
        <w:spacing w:before="162" w:line="219" w:lineRule="auto"/>
        <w:rPr>
          <w:rFonts w:ascii="SimSun" w:hAnsi="SimSun" w:eastAsia="SimSun" w:cs="SimSun"/>
          <w:sz w:val="24"/>
          <w:szCs w:val="24"/>
        </w:rPr>
      </w:pPr>
      <w:r>
        <w:rPr>
          <w:rFonts w:ascii="SimSun" w:hAnsi="SimSun" w:eastAsia="SimSun" w:cs="SimSun"/>
          <w:sz w:val="24"/>
          <w:szCs w:val="24"/>
          <w:spacing w:val="-1"/>
        </w:rPr>
        <w:t>3、购入电力对应二氧化碳的排放‘</w:t>
      </w:r>
    </w:p>
    <w:p>
      <w:pPr>
        <w:ind w:left="487"/>
        <w:spacing w:before="154" w:line="219" w:lineRule="auto"/>
        <w:rPr>
          <w:rFonts w:ascii="SimSun" w:hAnsi="SimSun" w:eastAsia="SimSun" w:cs="SimSun"/>
          <w:sz w:val="24"/>
          <w:szCs w:val="24"/>
        </w:rPr>
      </w:pPr>
      <w:r>
        <w:rPr>
          <w:rFonts w:ascii="SimSun" w:hAnsi="SimSun" w:eastAsia="SimSun" w:cs="SimSun"/>
          <w:sz w:val="24"/>
          <w:szCs w:val="24"/>
          <w:spacing w:val="-1"/>
        </w:rPr>
        <w:t>购入对应的二氧化碳排放按下式计算：</w:t>
      </w:r>
    </w:p>
    <w:p>
      <w:pPr>
        <w:ind w:left="3456"/>
        <w:spacing w:before="2" w:line="323" w:lineRule="exact"/>
        <w:rPr>
          <w:rFonts w:ascii="SimSun" w:hAnsi="SimSun" w:eastAsia="SimSun" w:cs="SimSun"/>
          <w:sz w:val="12"/>
          <w:szCs w:val="12"/>
        </w:rPr>
      </w:pPr>
      <w:r>
        <w:rPr>
          <w:rFonts w:ascii="Times New Roman" w:hAnsi="Times New Roman" w:eastAsia="Times New Roman" w:cs="Times New Roman"/>
          <w:sz w:val="24"/>
          <w:szCs w:val="24"/>
          <w:spacing w:val="-4"/>
          <w:position w:val="3"/>
        </w:rPr>
        <w:t>E </w:t>
      </w:r>
      <w:r>
        <w:rPr>
          <w:rFonts w:ascii="SimSun" w:hAnsi="SimSun" w:eastAsia="SimSun" w:cs="SimSun"/>
          <w:sz w:val="12"/>
          <w:szCs w:val="12"/>
          <w:spacing w:val="-4"/>
          <w:position w:val="1"/>
        </w:rPr>
        <w:t>购入电</w:t>
      </w:r>
      <w:r>
        <w:rPr>
          <w:rFonts w:ascii="Times New Roman" w:hAnsi="Times New Roman" w:eastAsia="Times New Roman" w:cs="Times New Roman"/>
          <w:sz w:val="24"/>
          <w:szCs w:val="24"/>
          <w:spacing w:val="-4"/>
          <w:position w:val="3"/>
        </w:rPr>
        <w:t>=AD </w:t>
      </w:r>
      <w:r>
        <w:rPr>
          <w:rFonts w:ascii="SimSun" w:hAnsi="SimSun" w:eastAsia="SimSun" w:cs="SimSun"/>
          <w:sz w:val="12"/>
          <w:szCs w:val="12"/>
          <w:spacing w:val="-4"/>
          <w:position w:val="1"/>
        </w:rPr>
        <w:t>购入电</w:t>
      </w:r>
      <w:r>
        <w:rPr>
          <w:rFonts w:ascii="SimSun" w:hAnsi="SimSun" w:eastAsia="SimSun" w:cs="SimSun"/>
          <w:sz w:val="12"/>
          <w:szCs w:val="12"/>
          <w:spacing w:val="-5"/>
          <w:position w:val="1"/>
        </w:rPr>
        <w:t xml:space="preserve"> </w:t>
      </w:r>
      <w:r>
        <w:rPr>
          <w:rFonts w:ascii="SimSun" w:hAnsi="SimSun" w:eastAsia="SimSun" w:cs="SimSun"/>
          <w:sz w:val="24"/>
          <w:szCs w:val="24"/>
          <w:spacing w:val="-4"/>
          <w:position w:val="3"/>
        </w:rPr>
        <w:t>×</w:t>
      </w:r>
      <w:r>
        <w:rPr>
          <w:rFonts w:ascii="Times New Roman" w:hAnsi="Times New Roman" w:eastAsia="Times New Roman" w:cs="Times New Roman"/>
          <w:sz w:val="24"/>
          <w:szCs w:val="24"/>
          <w:spacing w:val="-4"/>
          <w:position w:val="3"/>
        </w:rPr>
        <w:t>EF</w:t>
      </w:r>
      <w:r>
        <w:rPr>
          <w:rFonts w:ascii="Times New Roman" w:hAnsi="Times New Roman" w:eastAsia="Times New Roman" w:cs="Times New Roman"/>
          <w:sz w:val="24"/>
          <w:szCs w:val="24"/>
          <w:spacing w:val="22"/>
          <w:w w:val="101"/>
          <w:position w:val="3"/>
        </w:rPr>
        <w:t xml:space="preserve"> </w:t>
      </w:r>
      <w:r>
        <w:rPr>
          <w:rFonts w:ascii="SimSun" w:hAnsi="SimSun" w:eastAsia="SimSun" w:cs="SimSun"/>
          <w:sz w:val="12"/>
          <w:szCs w:val="12"/>
          <w:spacing w:val="-4"/>
          <w:position w:val="1"/>
        </w:rPr>
        <w:t>电</w:t>
      </w:r>
    </w:p>
    <w:p>
      <w:pPr>
        <w:ind w:left="14"/>
        <w:spacing w:before="298" w:line="219" w:lineRule="auto"/>
        <w:rPr>
          <w:rFonts w:ascii="SimSun" w:hAnsi="SimSun" w:eastAsia="SimSun" w:cs="SimSun"/>
          <w:sz w:val="24"/>
          <w:szCs w:val="24"/>
        </w:rPr>
      </w:pPr>
      <w:r>
        <w:rPr>
          <w:rFonts w:ascii="SimSun" w:hAnsi="SimSun" w:eastAsia="SimSun" w:cs="SimSun"/>
          <w:sz w:val="24"/>
          <w:szCs w:val="24"/>
        </w:rPr>
        <w:t>式中：</w:t>
      </w:r>
      <w:r>
        <w:rPr>
          <w:rFonts w:ascii="Times New Roman" w:hAnsi="Times New Roman" w:eastAsia="Times New Roman" w:cs="Times New Roman"/>
          <w:sz w:val="24"/>
          <w:szCs w:val="24"/>
        </w:rPr>
        <w:t>E </w:t>
      </w:r>
      <w:r>
        <w:rPr>
          <w:rFonts w:ascii="SimSun" w:hAnsi="SimSun" w:eastAsia="SimSun" w:cs="SimSun"/>
          <w:sz w:val="12"/>
          <w:szCs w:val="12"/>
          <w:position w:val="-3"/>
        </w:rPr>
        <w:t>购入电</w:t>
      </w:r>
      <w:r>
        <w:rPr>
          <w:rFonts w:ascii="SimSun" w:hAnsi="SimSun" w:eastAsia="SimSun" w:cs="SimSun"/>
          <w:sz w:val="24"/>
          <w:szCs w:val="24"/>
        </w:rPr>
        <w:t>—购入对应的二氧化碳排放，单位为吨二氧化碳（</w:t>
      </w:r>
      <w:r>
        <w:rPr>
          <w:rFonts w:ascii="Times New Roman" w:hAnsi="Times New Roman" w:eastAsia="Times New Roman" w:cs="Times New Roman"/>
          <w:sz w:val="24"/>
          <w:szCs w:val="24"/>
        </w:rPr>
        <w:t>t</w:t>
      </w:r>
      <w:r>
        <w:rPr>
          <w:rFonts w:ascii="Times New Roman" w:hAnsi="Times New Roman" w:eastAsia="Times New Roman" w:cs="Times New Roman"/>
          <w:sz w:val="15"/>
          <w:szCs w:val="15"/>
          <w:position w:val="-1"/>
        </w:rPr>
        <w:t>CO</w:t>
      </w:r>
      <w:r>
        <w:rPr>
          <w:rFonts w:ascii="Times New Roman" w:hAnsi="Times New Roman" w:eastAsia="Times New Roman" w:cs="Times New Roman"/>
          <w:sz w:val="15"/>
          <w:szCs w:val="15"/>
          <w:spacing w:val="-1"/>
          <w:position w:val="-1"/>
        </w:rPr>
        <w:t>2</w:t>
      </w:r>
      <w:r>
        <w:rPr>
          <w:rFonts w:ascii="SimSun" w:hAnsi="SimSun" w:eastAsia="SimSun" w:cs="SimSun"/>
          <w:sz w:val="24"/>
          <w:szCs w:val="24"/>
          <w:spacing w:val="-1"/>
        </w:rPr>
        <w:t>）</w:t>
      </w:r>
    </w:p>
    <w:p>
      <w:pPr>
        <w:ind w:left="721"/>
        <w:spacing w:before="157" w:line="219" w:lineRule="auto"/>
        <w:rPr>
          <w:rFonts w:ascii="SimSun" w:hAnsi="SimSun" w:eastAsia="SimSun" w:cs="SimSun"/>
          <w:sz w:val="24"/>
          <w:szCs w:val="24"/>
        </w:rPr>
      </w:pPr>
      <w:r>
        <w:rPr>
          <w:rFonts w:ascii="Times New Roman" w:hAnsi="Times New Roman" w:eastAsia="Times New Roman" w:cs="Times New Roman"/>
          <w:sz w:val="24"/>
          <w:szCs w:val="24"/>
        </w:rPr>
        <w:t>AD </w:t>
      </w:r>
      <w:r>
        <w:rPr>
          <w:rFonts w:ascii="SimSun" w:hAnsi="SimSun" w:eastAsia="SimSun" w:cs="SimSun"/>
          <w:sz w:val="12"/>
          <w:szCs w:val="12"/>
          <w:position w:val="-3"/>
        </w:rPr>
        <w:t>购入电</w:t>
      </w:r>
      <w:r>
        <w:rPr>
          <w:rFonts w:ascii="SimSun" w:hAnsi="SimSun" w:eastAsia="SimSun" w:cs="SimSun"/>
          <w:sz w:val="24"/>
          <w:szCs w:val="24"/>
        </w:rPr>
        <w:t>—购入电力量，单位为兆瓦时（</w:t>
      </w:r>
      <w:r>
        <w:rPr>
          <w:rFonts w:ascii="Times New Roman" w:hAnsi="Times New Roman" w:eastAsia="Times New Roman" w:cs="Times New Roman"/>
          <w:sz w:val="24"/>
          <w:szCs w:val="24"/>
        </w:rPr>
        <w:t>MWh</w:t>
      </w:r>
      <w:r>
        <w:rPr>
          <w:rFonts w:ascii="SimSun" w:hAnsi="SimSun" w:eastAsia="SimSun" w:cs="SimSun"/>
          <w:sz w:val="24"/>
          <w:szCs w:val="24"/>
        </w:rPr>
        <w:t>）</w:t>
      </w:r>
    </w:p>
    <w:p>
      <w:pPr>
        <w:spacing w:line="219" w:lineRule="auto"/>
        <w:sectPr>
          <w:headerReference w:type="default" r:id="rId79"/>
          <w:footerReference w:type="default" r:id="rId397"/>
          <w:pgSz w:w="11906" w:h="16838"/>
          <w:pgMar w:top="1170" w:right="1417" w:bottom="1080" w:left="1416" w:header="837" w:footer="918" w:gutter="0"/>
        </w:sectPr>
        <w:rPr>
          <w:rFonts w:ascii="SimSun" w:hAnsi="SimSun" w:eastAsia="SimSun" w:cs="SimSun"/>
          <w:sz w:val="24"/>
          <w:szCs w:val="24"/>
        </w:rPr>
      </w:pPr>
    </w:p>
    <w:p>
      <w:pPr>
        <w:pStyle w:val="BodyText"/>
        <w:spacing w:line="312" w:lineRule="auto"/>
        <w:rPr/>
      </w:pPr>
      <w:r/>
    </w:p>
    <w:p>
      <w:pPr>
        <w:ind w:left="595"/>
        <w:spacing w:before="78" w:line="223" w:lineRule="auto"/>
        <w:rPr>
          <w:rFonts w:ascii="SimSun" w:hAnsi="SimSun" w:eastAsia="SimSun" w:cs="SimSun"/>
          <w:sz w:val="24"/>
          <w:szCs w:val="24"/>
        </w:rPr>
      </w:pPr>
      <w:r>
        <w:rPr>
          <w:rFonts w:ascii="Times New Roman" w:hAnsi="Times New Roman" w:eastAsia="Times New Roman" w:cs="Times New Roman"/>
          <w:sz w:val="24"/>
          <w:szCs w:val="24"/>
        </w:rPr>
        <w:t>EF</w:t>
      </w:r>
      <w:r>
        <w:rPr>
          <w:rFonts w:ascii="Times New Roman" w:hAnsi="Times New Roman" w:eastAsia="Times New Roman" w:cs="Times New Roman"/>
          <w:sz w:val="24"/>
          <w:szCs w:val="24"/>
          <w:spacing w:val="20"/>
        </w:rPr>
        <w:t xml:space="preserve"> </w:t>
      </w:r>
      <w:r>
        <w:rPr>
          <w:rFonts w:ascii="SimSun" w:hAnsi="SimSun" w:eastAsia="SimSun" w:cs="SimSun"/>
          <w:sz w:val="12"/>
          <w:szCs w:val="12"/>
          <w:position w:val="-3"/>
        </w:rPr>
        <w:t>电</w:t>
      </w:r>
      <w:r>
        <w:rPr>
          <w:rFonts w:ascii="SimSun" w:hAnsi="SimSun" w:eastAsia="SimSun" w:cs="SimSun"/>
          <w:sz w:val="24"/>
          <w:szCs w:val="24"/>
        </w:rPr>
        <w:t>—电力的平均排放因子，单位为吨二氧化</w:t>
      </w:r>
      <w:r>
        <w:rPr>
          <w:rFonts w:ascii="SimSun" w:hAnsi="SimSun" w:eastAsia="SimSun" w:cs="SimSun"/>
          <w:sz w:val="24"/>
          <w:szCs w:val="24"/>
          <w:spacing w:val="-1"/>
        </w:rPr>
        <w:t>碳每兆瓦时（</w:t>
      </w:r>
      <w:r>
        <w:rPr>
          <w:rFonts w:ascii="Times New Roman" w:hAnsi="Times New Roman" w:eastAsia="Times New Roman" w:cs="Times New Roman"/>
          <w:sz w:val="24"/>
          <w:szCs w:val="24"/>
          <w:spacing w:val="-1"/>
        </w:rPr>
        <w:t>t</w:t>
      </w:r>
      <w:r>
        <w:rPr>
          <w:rFonts w:ascii="Times New Roman" w:hAnsi="Times New Roman" w:eastAsia="Times New Roman" w:cs="Times New Roman"/>
          <w:sz w:val="15"/>
          <w:szCs w:val="15"/>
          <w:spacing w:val="-1"/>
          <w:position w:val="-1"/>
        </w:rPr>
        <w:t>CO2</w:t>
      </w:r>
      <w:r>
        <w:rPr>
          <w:rFonts w:ascii="Times New Roman" w:hAnsi="Times New Roman" w:eastAsia="Times New Roman" w:cs="Times New Roman"/>
          <w:sz w:val="24"/>
          <w:szCs w:val="24"/>
          <w:spacing w:val="-1"/>
        </w:rPr>
        <w:t>/MWh</w:t>
      </w:r>
      <w:r>
        <w:rPr>
          <w:rFonts w:ascii="SimSun" w:hAnsi="SimSun" w:eastAsia="SimSun" w:cs="SimSun"/>
          <w:sz w:val="24"/>
          <w:szCs w:val="24"/>
          <w:spacing w:val="-1"/>
        </w:rPr>
        <w:t>）。</w:t>
      </w:r>
    </w:p>
    <w:p>
      <w:pPr>
        <w:ind w:left="599"/>
        <w:spacing w:before="151" w:line="219" w:lineRule="auto"/>
        <w:rPr>
          <w:rFonts w:ascii="SimSun" w:hAnsi="SimSun" w:eastAsia="SimSun" w:cs="SimSun"/>
          <w:sz w:val="24"/>
          <w:szCs w:val="24"/>
        </w:rPr>
      </w:pPr>
      <w:r>
        <w:rPr>
          <w:rFonts w:ascii="SimSun" w:hAnsi="SimSun" w:eastAsia="SimSun" w:cs="SimSun"/>
          <w:sz w:val="24"/>
          <w:szCs w:val="24"/>
          <w:spacing w:val="-1"/>
        </w:rPr>
        <w:t>根据生态环境部“环办气候（</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号</w:t>
      </w:r>
      <w:r>
        <w:rPr>
          <w:rFonts w:ascii="SimSun" w:hAnsi="SimSun" w:eastAsia="SimSun" w:cs="SimSun"/>
          <w:sz w:val="24"/>
          <w:szCs w:val="24"/>
          <w:spacing w:val="-88"/>
        </w:rPr>
        <w:t xml:space="preserve"> </w:t>
      </w:r>
      <w:r>
        <w:rPr>
          <w:rFonts w:ascii="SimSun" w:hAnsi="SimSun" w:eastAsia="SimSun" w:cs="SimSun"/>
          <w:sz w:val="24"/>
          <w:szCs w:val="24"/>
          <w:spacing w:val="-1"/>
        </w:rPr>
        <w:t>”电网排放因子为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0.61</w:t>
      </w:r>
      <w:r>
        <w:rPr>
          <w:rFonts w:ascii="Times New Roman" w:hAnsi="Times New Roman" w:eastAsia="Times New Roman" w:cs="Times New Roman"/>
          <w:sz w:val="24"/>
          <w:szCs w:val="24"/>
          <w:spacing w:val="-2"/>
        </w:rPr>
        <w:t>01t</w:t>
      </w:r>
      <w:r>
        <w:rPr>
          <w:rFonts w:ascii="Times New Roman" w:hAnsi="Times New Roman" w:eastAsia="Times New Roman" w:cs="Times New Roman"/>
          <w:sz w:val="15"/>
          <w:szCs w:val="15"/>
          <w:spacing w:val="-2"/>
          <w:position w:val="-1"/>
        </w:rPr>
        <w:t>CO2</w:t>
      </w:r>
      <w:r>
        <w:rPr>
          <w:rFonts w:ascii="Times New Roman" w:hAnsi="Times New Roman" w:eastAsia="Times New Roman" w:cs="Times New Roman"/>
          <w:sz w:val="24"/>
          <w:szCs w:val="24"/>
          <w:spacing w:val="-2"/>
        </w:rPr>
        <w:t>/MWh</w:t>
      </w:r>
      <w:r>
        <w:rPr>
          <w:rFonts w:ascii="SimSun" w:hAnsi="SimSun" w:eastAsia="SimSun" w:cs="SimSun"/>
          <w:sz w:val="24"/>
          <w:szCs w:val="24"/>
          <w:spacing w:val="-2"/>
        </w:rPr>
        <w:t>。</w:t>
      </w:r>
    </w:p>
    <w:p>
      <w:pPr>
        <w:ind w:left="595"/>
        <w:spacing w:before="110" w:line="323" w:lineRule="exact"/>
        <w:rPr>
          <w:rFonts w:ascii="SimSun" w:hAnsi="SimSun" w:eastAsia="SimSun" w:cs="SimSun"/>
          <w:sz w:val="8"/>
          <w:szCs w:val="8"/>
        </w:rPr>
      </w:pPr>
      <w:r>
        <w:rPr>
          <w:rFonts w:ascii="Times New Roman" w:hAnsi="Times New Roman" w:eastAsia="Times New Roman" w:cs="Times New Roman"/>
          <w:sz w:val="24"/>
          <w:szCs w:val="24"/>
          <w:position w:val="3"/>
        </w:rPr>
        <w:t>E</w:t>
      </w:r>
      <w:r>
        <w:rPr>
          <w:rFonts w:ascii="Times New Roman" w:hAnsi="Times New Roman" w:eastAsia="Times New Roman" w:cs="Times New Roman"/>
          <w:sz w:val="15"/>
          <w:szCs w:val="15"/>
          <w:position w:val="2"/>
        </w:rPr>
        <w:t>CO</w:t>
      </w:r>
      <w:r>
        <w:rPr>
          <w:rFonts w:ascii="Times New Roman" w:hAnsi="Times New Roman" w:eastAsia="Times New Roman" w:cs="Times New Roman"/>
          <w:sz w:val="15"/>
          <w:szCs w:val="15"/>
          <w:spacing w:val="6"/>
          <w:position w:val="2"/>
        </w:rPr>
        <w:t>2-</w:t>
      </w:r>
      <w:r>
        <w:rPr>
          <w:rFonts w:ascii="SimSun" w:hAnsi="SimSun" w:eastAsia="SimSun" w:cs="SimSun"/>
          <w:sz w:val="8"/>
          <w:szCs w:val="8"/>
          <w:spacing w:val="6"/>
          <w:position w:val="2"/>
        </w:rPr>
        <w:t>购入电</w:t>
      </w:r>
      <w:r>
        <w:rPr>
          <w:rFonts w:ascii="Times New Roman" w:hAnsi="Times New Roman" w:eastAsia="Times New Roman" w:cs="Times New Roman"/>
          <w:sz w:val="24"/>
          <w:szCs w:val="24"/>
          <w:spacing w:val="6"/>
          <w:position w:val="3"/>
        </w:rPr>
        <w:t>=</w:t>
      </w:r>
      <w:r>
        <w:rPr>
          <w:rFonts w:ascii="Times New Roman" w:hAnsi="Times New Roman" w:eastAsia="Times New Roman" w:cs="Times New Roman"/>
          <w:sz w:val="24"/>
          <w:szCs w:val="24"/>
          <w:position w:val="3"/>
        </w:rPr>
        <w:t>AD</w:t>
      </w:r>
      <w:r>
        <w:rPr>
          <w:rFonts w:ascii="SimSun" w:hAnsi="SimSun" w:eastAsia="SimSun" w:cs="SimSun"/>
          <w:sz w:val="8"/>
          <w:szCs w:val="8"/>
          <w:spacing w:val="6"/>
          <w:position w:val="1"/>
        </w:rPr>
        <w:t>电力</w:t>
      </w:r>
      <w:r>
        <w:rPr>
          <w:rFonts w:ascii="Times New Roman" w:hAnsi="Times New Roman" w:eastAsia="Times New Roman" w:cs="Times New Roman"/>
          <w:sz w:val="24"/>
          <w:szCs w:val="24"/>
          <w:spacing w:val="6"/>
          <w:position w:val="3"/>
        </w:rPr>
        <w:t>×</w:t>
      </w:r>
      <w:r>
        <w:rPr>
          <w:rFonts w:ascii="Times New Roman" w:hAnsi="Times New Roman" w:eastAsia="Times New Roman" w:cs="Times New Roman"/>
          <w:sz w:val="24"/>
          <w:szCs w:val="24"/>
          <w:position w:val="3"/>
        </w:rPr>
        <w:t>EF</w:t>
      </w:r>
      <w:r>
        <w:rPr>
          <w:rFonts w:ascii="SimSun" w:hAnsi="SimSun" w:eastAsia="SimSun" w:cs="SimSun"/>
          <w:sz w:val="8"/>
          <w:szCs w:val="8"/>
          <w:spacing w:val="6"/>
          <w:position w:val="1"/>
        </w:rPr>
        <w:t>电</w:t>
      </w:r>
    </w:p>
    <w:p>
      <w:pPr>
        <w:pStyle w:val="BodyText"/>
        <w:ind w:left="1362"/>
        <w:spacing w:before="116"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2"/>
        </w:rPr>
        <w:t>=3539</w:t>
      </w:r>
      <w:r>
        <w:rPr>
          <w:sz w:val="24"/>
          <w:szCs w:val="24"/>
          <w:spacing w:val="-1"/>
          <w:position w:val="2"/>
        </w:rPr>
        <w:t>×</w:t>
      </w:r>
      <w:r>
        <w:rPr>
          <w:rFonts w:ascii="Times New Roman" w:hAnsi="Times New Roman" w:eastAsia="Times New Roman" w:cs="Times New Roman"/>
          <w:sz w:val="24"/>
          <w:szCs w:val="24"/>
          <w:spacing w:val="-1"/>
          <w:position w:val="2"/>
        </w:rPr>
        <w:t>10MWh×0.6101</w:t>
      </w:r>
    </w:p>
    <w:p>
      <w:pPr>
        <w:ind w:left="1314"/>
        <w:spacing w:before="116" w:line="323" w:lineRule="exact"/>
        <w:rPr>
          <w:rFonts w:ascii="Times New Roman" w:hAnsi="Times New Roman" w:eastAsia="Times New Roman" w:cs="Times New Roman"/>
          <w:sz w:val="15"/>
          <w:szCs w:val="15"/>
        </w:rPr>
      </w:pPr>
      <w:r>
        <w:rPr>
          <w:rFonts w:ascii="Times New Roman" w:hAnsi="Times New Roman" w:eastAsia="Times New Roman" w:cs="Times New Roman"/>
          <w:sz w:val="24"/>
          <w:szCs w:val="24"/>
          <w:position w:val="2"/>
        </w:rPr>
        <w:t>=21591tCO</w:t>
      </w:r>
      <w:r>
        <w:rPr>
          <w:rFonts w:ascii="Times New Roman" w:hAnsi="Times New Roman" w:eastAsia="Times New Roman" w:cs="Times New Roman"/>
          <w:sz w:val="15"/>
          <w:szCs w:val="15"/>
          <w:position w:val="1"/>
        </w:rPr>
        <w:t>2</w:t>
      </w:r>
    </w:p>
    <w:p>
      <w:pPr>
        <w:ind w:left="594"/>
        <w:spacing w:before="162"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0"/>
        </w:rPr>
        <w:t xml:space="preserve"> </w:t>
      </w:r>
      <w:r>
        <w:rPr>
          <w:rFonts w:ascii="SimSun" w:hAnsi="SimSun" w:eastAsia="SimSun" w:cs="SimSun"/>
          <w:sz w:val="24"/>
          <w:szCs w:val="24"/>
          <w:spacing w:val="-3"/>
        </w:rPr>
        <w:t>、购入热力对应二氧化碳的排放</w:t>
      </w:r>
    </w:p>
    <w:p>
      <w:pPr>
        <w:ind w:left="597"/>
        <w:spacing w:before="154" w:line="219" w:lineRule="auto"/>
        <w:rPr>
          <w:rFonts w:ascii="SimSun" w:hAnsi="SimSun" w:eastAsia="SimSun" w:cs="SimSun"/>
          <w:sz w:val="24"/>
          <w:szCs w:val="24"/>
        </w:rPr>
      </w:pPr>
      <w:r>
        <w:rPr>
          <w:rFonts w:ascii="SimSun" w:hAnsi="SimSun" w:eastAsia="SimSun" w:cs="SimSun"/>
          <w:sz w:val="24"/>
          <w:szCs w:val="24"/>
          <w:spacing w:val="-1"/>
        </w:rPr>
        <w:t>购入热力对应的二氧化碳排放按下式计算：</w:t>
      </w:r>
    </w:p>
    <w:p>
      <w:pPr>
        <w:ind w:left="595"/>
        <w:spacing w:before="112" w:line="323" w:lineRule="exact"/>
        <w:rPr>
          <w:rFonts w:ascii="SimSun" w:hAnsi="SimSun" w:eastAsia="SimSun" w:cs="SimSun"/>
          <w:sz w:val="12"/>
          <w:szCs w:val="12"/>
        </w:rPr>
      </w:pPr>
      <w:r>
        <w:rPr>
          <w:rFonts w:ascii="Times New Roman" w:hAnsi="Times New Roman" w:eastAsia="Times New Roman" w:cs="Times New Roman"/>
          <w:sz w:val="24"/>
          <w:szCs w:val="24"/>
          <w:spacing w:val="-4"/>
          <w:position w:val="3"/>
        </w:rPr>
        <w:t>E </w:t>
      </w:r>
      <w:r>
        <w:rPr>
          <w:rFonts w:ascii="SimSun" w:hAnsi="SimSun" w:eastAsia="SimSun" w:cs="SimSun"/>
          <w:sz w:val="12"/>
          <w:szCs w:val="12"/>
          <w:spacing w:val="-4"/>
          <w:position w:val="1"/>
        </w:rPr>
        <w:t>购入热</w:t>
      </w:r>
      <w:r>
        <w:rPr>
          <w:rFonts w:ascii="Times New Roman" w:hAnsi="Times New Roman" w:eastAsia="Times New Roman" w:cs="Times New Roman"/>
          <w:sz w:val="24"/>
          <w:szCs w:val="24"/>
          <w:spacing w:val="-4"/>
          <w:position w:val="3"/>
        </w:rPr>
        <w:t>=AD </w:t>
      </w:r>
      <w:r>
        <w:rPr>
          <w:rFonts w:ascii="SimSun" w:hAnsi="SimSun" w:eastAsia="SimSun" w:cs="SimSun"/>
          <w:sz w:val="12"/>
          <w:szCs w:val="12"/>
          <w:spacing w:val="-4"/>
          <w:position w:val="1"/>
        </w:rPr>
        <w:t>购入热</w:t>
      </w:r>
      <w:r>
        <w:rPr>
          <w:rFonts w:ascii="SimSun" w:hAnsi="SimSun" w:eastAsia="SimSun" w:cs="SimSun"/>
          <w:sz w:val="12"/>
          <w:szCs w:val="12"/>
          <w:spacing w:val="-5"/>
          <w:position w:val="1"/>
        </w:rPr>
        <w:t xml:space="preserve"> </w:t>
      </w:r>
      <w:r>
        <w:rPr>
          <w:rFonts w:ascii="SimSun" w:hAnsi="SimSun" w:eastAsia="SimSun" w:cs="SimSun"/>
          <w:sz w:val="24"/>
          <w:szCs w:val="24"/>
          <w:spacing w:val="-4"/>
          <w:position w:val="3"/>
        </w:rPr>
        <w:t>×</w:t>
      </w:r>
      <w:r>
        <w:rPr>
          <w:rFonts w:ascii="Times New Roman" w:hAnsi="Times New Roman" w:eastAsia="Times New Roman" w:cs="Times New Roman"/>
          <w:sz w:val="24"/>
          <w:szCs w:val="24"/>
          <w:spacing w:val="-4"/>
          <w:position w:val="3"/>
        </w:rPr>
        <w:t>EF</w:t>
      </w:r>
      <w:r>
        <w:rPr>
          <w:rFonts w:ascii="Times New Roman" w:hAnsi="Times New Roman" w:eastAsia="Times New Roman" w:cs="Times New Roman"/>
          <w:sz w:val="24"/>
          <w:szCs w:val="24"/>
          <w:spacing w:val="10"/>
          <w:position w:val="3"/>
        </w:rPr>
        <w:t xml:space="preserve"> </w:t>
      </w:r>
      <w:r>
        <w:rPr>
          <w:rFonts w:ascii="SimSun" w:hAnsi="SimSun" w:eastAsia="SimSun" w:cs="SimSun"/>
          <w:sz w:val="12"/>
          <w:szCs w:val="12"/>
          <w:spacing w:val="-4"/>
          <w:position w:val="1"/>
        </w:rPr>
        <w:t>热</w:t>
      </w:r>
    </w:p>
    <w:p>
      <w:pPr>
        <w:ind w:left="595"/>
        <w:spacing w:before="162" w:line="219" w:lineRule="auto"/>
        <w:rPr>
          <w:rFonts w:ascii="SimSun" w:hAnsi="SimSun" w:eastAsia="SimSun" w:cs="SimSun"/>
          <w:sz w:val="24"/>
          <w:szCs w:val="24"/>
        </w:rPr>
      </w:pPr>
      <w:r>
        <w:rPr>
          <w:rFonts w:ascii="Times New Roman" w:hAnsi="Times New Roman" w:eastAsia="Times New Roman" w:cs="Times New Roman"/>
          <w:sz w:val="24"/>
          <w:szCs w:val="24"/>
        </w:rPr>
        <w:t>E </w:t>
      </w:r>
      <w:r>
        <w:rPr>
          <w:rFonts w:ascii="SimSun" w:hAnsi="SimSun" w:eastAsia="SimSun" w:cs="SimSun"/>
          <w:sz w:val="12"/>
          <w:szCs w:val="12"/>
          <w:position w:val="-3"/>
        </w:rPr>
        <w:t>购入热</w:t>
      </w:r>
      <w:r>
        <w:rPr>
          <w:rFonts w:ascii="SimSun" w:hAnsi="SimSun" w:eastAsia="SimSun" w:cs="SimSun"/>
          <w:sz w:val="24"/>
          <w:szCs w:val="24"/>
        </w:rPr>
        <w:t>—购入热力对应的二氧化碳排放，单位为吨二氧化碳（</w:t>
      </w:r>
      <w:r>
        <w:rPr>
          <w:rFonts w:ascii="Times New Roman" w:hAnsi="Times New Roman" w:eastAsia="Times New Roman" w:cs="Times New Roman"/>
          <w:sz w:val="24"/>
          <w:szCs w:val="24"/>
        </w:rPr>
        <w:t>t</w:t>
      </w:r>
      <w:r>
        <w:rPr>
          <w:rFonts w:ascii="Times New Roman" w:hAnsi="Times New Roman" w:eastAsia="Times New Roman" w:cs="Times New Roman"/>
          <w:sz w:val="24"/>
          <w:szCs w:val="24"/>
          <w:spacing w:val="-1"/>
        </w:rPr>
        <w:t>CO2</w:t>
      </w:r>
      <w:r>
        <w:rPr>
          <w:rFonts w:ascii="SimSun" w:hAnsi="SimSun" w:eastAsia="SimSun" w:cs="SimSun"/>
          <w:sz w:val="24"/>
          <w:szCs w:val="24"/>
          <w:spacing w:val="-1"/>
        </w:rPr>
        <w:t>）</w:t>
      </w:r>
    </w:p>
    <w:p>
      <w:pPr>
        <w:ind w:left="592"/>
        <w:spacing w:before="154" w:line="221" w:lineRule="auto"/>
        <w:rPr>
          <w:rFonts w:ascii="SimSun" w:hAnsi="SimSun" w:eastAsia="SimSun" w:cs="SimSun"/>
          <w:sz w:val="24"/>
          <w:szCs w:val="24"/>
        </w:rPr>
      </w:pPr>
      <w:r>
        <w:rPr>
          <w:rFonts w:ascii="Times New Roman" w:hAnsi="Times New Roman" w:eastAsia="Times New Roman" w:cs="Times New Roman"/>
          <w:sz w:val="24"/>
          <w:szCs w:val="24"/>
        </w:rPr>
        <w:t>AD </w:t>
      </w:r>
      <w:r>
        <w:rPr>
          <w:rFonts w:ascii="SimSun" w:hAnsi="SimSun" w:eastAsia="SimSun" w:cs="SimSun"/>
          <w:sz w:val="12"/>
          <w:szCs w:val="12"/>
          <w:position w:val="-3"/>
        </w:rPr>
        <w:t>购入热</w:t>
      </w:r>
      <w:r>
        <w:rPr>
          <w:rFonts w:ascii="SimSun" w:hAnsi="SimSun" w:eastAsia="SimSun" w:cs="SimSun"/>
          <w:sz w:val="24"/>
          <w:szCs w:val="24"/>
        </w:rPr>
        <w:t>—核算报告期内购入热力量，单位为吉焦（</w:t>
      </w:r>
      <w:r>
        <w:rPr>
          <w:rFonts w:ascii="Times New Roman" w:hAnsi="Times New Roman" w:eastAsia="Times New Roman" w:cs="Times New Roman"/>
          <w:sz w:val="24"/>
          <w:szCs w:val="24"/>
          <w:spacing w:val="-1"/>
        </w:rPr>
        <w:t>GJ</w:t>
      </w:r>
      <w:r>
        <w:rPr>
          <w:rFonts w:ascii="SimSun" w:hAnsi="SimSun" w:eastAsia="SimSun" w:cs="SimSun"/>
          <w:sz w:val="24"/>
          <w:szCs w:val="24"/>
          <w:spacing w:val="-1"/>
        </w:rPr>
        <w:t>）</w:t>
      </w:r>
    </w:p>
    <w:p>
      <w:pPr>
        <w:ind w:left="124" w:right="1" w:firstLine="477"/>
        <w:spacing w:before="154" w:line="338" w:lineRule="auto"/>
        <w:rPr>
          <w:rFonts w:ascii="SimSun" w:hAnsi="SimSun" w:eastAsia="SimSun" w:cs="SimSun"/>
          <w:sz w:val="24"/>
          <w:szCs w:val="24"/>
        </w:rPr>
      </w:pPr>
      <w:r>
        <w:rPr>
          <w:rFonts w:ascii="SimSun" w:hAnsi="SimSun" w:eastAsia="SimSun" w:cs="SimSun"/>
          <w:sz w:val="24"/>
          <w:szCs w:val="24"/>
          <w:spacing w:val="-10"/>
        </w:rPr>
        <w:t>按《温室气体排放核算与报告要求第</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11</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0"/>
        </w:rPr>
        <w:t>部分：煤炭生产企业》（</w:t>
      </w:r>
      <w:r>
        <w:rPr>
          <w:rFonts w:ascii="Times New Roman" w:hAnsi="Times New Roman" w:eastAsia="Times New Roman" w:cs="Times New Roman"/>
          <w:sz w:val="24"/>
          <w:szCs w:val="24"/>
          <w:spacing w:val="-10"/>
        </w:rPr>
        <w:t>GB/T32151.</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0"/>
        </w:rPr>
        <w:t>11-201</w:t>
      </w:r>
      <w:r>
        <w:rPr>
          <w:rFonts w:ascii="Times New Roman" w:hAnsi="Times New Roman" w:eastAsia="Times New Roman" w:cs="Times New Roman"/>
          <w:sz w:val="24"/>
          <w:szCs w:val="24"/>
          <w:spacing w:val="-11"/>
        </w:rPr>
        <w:t>8</w:t>
      </w:r>
      <w:r>
        <w:rPr>
          <w:rFonts w:ascii="SimSun" w:hAnsi="SimSun" w:eastAsia="SimSun" w:cs="SimSun"/>
          <w:sz w:val="24"/>
          <w:szCs w:val="24"/>
          <w:spacing w:val="-11"/>
        </w:rPr>
        <w:t>）</w:t>
      </w:r>
      <w:r>
        <w:rPr>
          <w:rFonts w:ascii="SimSun" w:hAnsi="SimSun" w:eastAsia="SimSun" w:cs="SimSun"/>
          <w:sz w:val="24"/>
          <w:szCs w:val="24"/>
          <w:spacing w:val="-2"/>
        </w:rPr>
        <w:t>热力的平均二氧化碳排放因子为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11t</w:t>
      </w:r>
      <w:r>
        <w:rPr>
          <w:rFonts w:ascii="Times New Roman" w:hAnsi="Times New Roman" w:eastAsia="Times New Roman" w:cs="Times New Roman"/>
          <w:sz w:val="24"/>
          <w:szCs w:val="24"/>
          <w:spacing w:val="-3"/>
        </w:rPr>
        <w:t>CO</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24"/>
          <w:szCs w:val="24"/>
          <w:spacing w:val="-3"/>
        </w:rPr>
        <w:t>/GJ</w:t>
      </w:r>
      <w:r>
        <w:rPr>
          <w:rFonts w:ascii="SimSun" w:hAnsi="SimSun" w:eastAsia="SimSun" w:cs="SimSun"/>
          <w:sz w:val="24"/>
          <w:szCs w:val="24"/>
          <w:spacing w:val="-3"/>
        </w:rPr>
        <w:t>。</w:t>
      </w:r>
    </w:p>
    <w:p>
      <w:pPr>
        <w:ind w:left="600"/>
        <w:spacing w:before="1" w:line="218" w:lineRule="auto"/>
        <w:rPr>
          <w:rFonts w:ascii="SimSun" w:hAnsi="SimSun" w:eastAsia="SimSun" w:cs="SimSun"/>
          <w:sz w:val="24"/>
          <w:szCs w:val="24"/>
        </w:rPr>
      </w:pPr>
      <w:r>
        <w:rPr>
          <w:rFonts w:ascii="SimSun" w:hAnsi="SimSun" w:eastAsia="SimSun" w:cs="SimSun"/>
          <w:sz w:val="24"/>
          <w:szCs w:val="24"/>
          <w:spacing w:val="-1"/>
        </w:rPr>
        <w:t>本项目购入热力对应的二氧化碳排放为：</w:t>
      </w:r>
    </w:p>
    <w:p>
      <w:pPr>
        <w:ind w:left="595"/>
        <w:spacing w:before="112" w:line="323" w:lineRule="exact"/>
        <w:rPr>
          <w:rFonts w:ascii="Times New Roman" w:hAnsi="Times New Roman" w:eastAsia="Times New Roman" w:cs="Times New Roman"/>
          <w:sz w:val="24"/>
          <w:szCs w:val="24"/>
        </w:rPr>
      </w:pPr>
      <w:r>
        <w:rPr>
          <w:rFonts w:ascii="Times New Roman" w:hAnsi="Times New Roman" w:eastAsia="Times New Roman" w:cs="Times New Roman"/>
          <w:sz w:val="24"/>
          <w:szCs w:val="24"/>
          <w:spacing w:val="-1"/>
          <w:position w:val="3"/>
        </w:rPr>
        <w:t>E </w:t>
      </w:r>
      <w:r>
        <w:rPr>
          <w:rFonts w:ascii="SimSun" w:hAnsi="SimSun" w:eastAsia="SimSun" w:cs="SimSun"/>
          <w:sz w:val="12"/>
          <w:szCs w:val="12"/>
          <w:spacing w:val="-1"/>
        </w:rPr>
        <w:t>购入热</w:t>
      </w:r>
      <w:r>
        <w:rPr>
          <w:rFonts w:ascii="Times New Roman" w:hAnsi="Times New Roman" w:eastAsia="Times New Roman" w:cs="Times New Roman"/>
          <w:sz w:val="24"/>
          <w:szCs w:val="24"/>
          <w:spacing w:val="-1"/>
          <w:position w:val="3"/>
        </w:rPr>
        <w:t>=246615GJ/a</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0.</w:t>
      </w:r>
      <w:r>
        <w:rPr>
          <w:rFonts w:ascii="Times New Roman" w:hAnsi="Times New Roman" w:eastAsia="Times New Roman" w:cs="Times New Roman"/>
          <w:sz w:val="24"/>
          <w:szCs w:val="24"/>
          <w:spacing w:val="-30"/>
          <w:position w:val="3"/>
        </w:rPr>
        <w:t xml:space="preserve"> </w:t>
      </w:r>
      <w:r>
        <w:rPr>
          <w:rFonts w:ascii="Times New Roman" w:hAnsi="Times New Roman" w:eastAsia="Times New Roman" w:cs="Times New Roman"/>
          <w:sz w:val="24"/>
          <w:szCs w:val="24"/>
          <w:spacing w:val="-1"/>
          <w:position w:val="3"/>
        </w:rPr>
        <w:t>11tCO2/GJ=27128tCO</w:t>
      </w:r>
      <w:r>
        <w:rPr>
          <w:rFonts w:ascii="Times New Roman" w:hAnsi="Times New Roman" w:eastAsia="Times New Roman" w:cs="Times New Roman"/>
          <w:sz w:val="15"/>
          <w:szCs w:val="15"/>
          <w:spacing w:val="-1"/>
          <w:position w:val="2"/>
        </w:rPr>
        <w:t>2</w:t>
      </w:r>
      <w:r>
        <w:rPr>
          <w:rFonts w:ascii="Times New Roman" w:hAnsi="Times New Roman" w:eastAsia="Times New Roman" w:cs="Times New Roman"/>
          <w:sz w:val="24"/>
          <w:szCs w:val="24"/>
          <w:spacing w:val="-1"/>
          <w:position w:val="3"/>
        </w:rPr>
        <w:t>/a</w:t>
      </w:r>
    </w:p>
    <w:p>
      <w:pPr>
        <w:ind w:left="600"/>
        <w:spacing w:before="161" w:line="219" w:lineRule="auto"/>
        <w:rPr>
          <w:rFonts w:ascii="SimSun" w:hAnsi="SimSun" w:eastAsia="SimSun" w:cs="SimSun"/>
          <w:sz w:val="24"/>
          <w:szCs w:val="24"/>
        </w:rPr>
      </w:pPr>
      <w:r>
        <w:rPr>
          <w:rFonts w:ascii="SimSun" w:hAnsi="SimSun" w:eastAsia="SimSun" w:cs="SimSun"/>
          <w:sz w:val="24"/>
          <w:szCs w:val="24"/>
          <w:spacing w:val="-3"/>
        </w:rPr>
        <w:t>本项目温室气体排放量见表</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3"/>
        </w:rPr>
        <w:t>12-3-1</w:t>
      </w:r>
      <w:r>
        <w:rPr>
          <w:rFonts w:ascii="SimSun" w:hAnsi="SimSun" w:eastAsia="SimSun" w:cs="SimSun"/>
          <w:sz w:val="24"/>
          <w:szCs w:val="24"/>
          <w:spacing w:val="-3"/>
        </w:rPr>
        <w:t>。</w:t>
      </w:r>
    </w:p>
    <w:p>
      <w:pPr>
        <w:ind w:left="3213"/>
        <w:spacing w:before="285" w:line="222" w:lineRule="auto"/>
        <w:rPr>
          <w:rFonts w:ascii="SimHei" w:hAnsi="SimHei" w:eastAsia="SimHei" w:cs="SimHei"/>
          <w:sz w:val="24"/>
          <w:szCs w:val="24"/>
        </w:rPr>
      </w:pPr>
      <w:r>
        <w:rPr>
          <w:rFonts w:ascii="SimHei" w:hAnsi="SimHei" w:eastAsia="SimHei" w:cs="SimHei"/>
          <w:sz w:val="24"/>
          <w:szCs w:val="24"/>
          <w:spacing w:val="-1"/>
        </w:rPr>
        <w:t>企业温室气体排放量汇总表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rPr>
        <w:t>表</w:t>
      </w:r>
      <w:r>
        <w:rPr>
          <w:rFonts w:ascii="SimSun" w:hAnsi="SimSun" w:eastAsia="SimSun" w:cs="SimSun"/>
          <w:sz w:val="20"/>
          <w:szCs w:val="20"/>
          <w:spacing w:val="-20"/>
        </w:rPr>
        <w:t xml:space="preserve"> </w:t>
      </w:r>
      <w:r>
        <w:rPr>
          <w:rFonts w:ascii="Times New Roman" w:hAnsi="Times New Roman" w:eastAsia="Times New Roman" w:cs="Times New Roman"/>
          <w:sz w:val="20"/>
          <w:szCs w:val="20"/>
        </w:rPr>
        <w:t>12-3-1</w:t>
      </w:r>
    </w:p>
    <w:tbl>
      <w:tblPr>
        <w:tblStyle w:val="TableNormal"/>
        <w:tblW w:w="928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370"/>
        <w:gridCol w:w="3365"/>
        <w:gridCol w:w="2547"/>
      </w:tblGrid>
      <w:tr>
        <w:trPr>
          <w:trHeight w:val="553" w:hRule="atLeast"/>
        </w:trPr>
        <w:tc>
          <w:tcPr>
            <w:tcW w:w="6735" w:type="dxa"/>
            <w:vAlign w:val="top"/>
            <w:gridSpan w:val="2"/>
          </w:tcPr>
          <w:p>
            <w:pPr>
              <w:ind w:left="3057"/>
              <w:spacing w:before="167" w:line="228" w:lineRule="auto"/>
              <w:rPr>
                <w:rFonts w:ascii="SimSun" w:hAnsi="SimSun" w:eastAsia="SimSun" w:cs="SimSun"/>
                <w:sz w:val="20"/>
                <w:szCs w:val="20"/>
              </w:rPr>
            </w:pPr>
            <w:r>
              <w:rPr>
                <w:rFonts w:ascii="SimSun" w:hAnsi="SimSun" w:eastAsia="SimSun" w:cs="SimSun"/>
                <w:sz w:val="20"/>
                <w:szCs w:val="20"/>
                <w:spacing w:val="7"/>
              </w:rPr>
              <w:t>源类别</w:t>
            </w:r>
          </w:p>
        </w:tc>
        <w:tc>
          <w:tcPr>
            <w:tcW w:w="2547" w:type="dxa"/>
            <w:vAlign w:val="top"/>
          </w:tcPr>
          <w:p>
            <w:pPr>
              <w:ind w:left="962"/>
              <w:spacing w:before="33" w:line="229" w:lineRule="auto"/>
              <w:rPr>
                <w:rFonts w:ascii="SimSun" w:hAnsi="SimSun" w:eastAsia="SimSun" w:cs="SimSun"/>
                <w:sz w:val="20"/>
                <w:szCs w:val="20"/>
              </w:rPr>
            </w:pPr>
            <w:r>
              <w:rPr>
                <w:rFonts w:ascii="SimSun" w:hAnsi="SimSun" w:eastAsia="SimSun" w:cs="SimSun"/>
                <w:sz w:val="20"/>
                <w:szCs w:val="20"/>
                <w:spacing w:val="6"/>
              </w:rPr>
              <w:t>排放量</w:t>
            </w:r>
          </w:p>
          <w:p>
            <w:pPr>
              <w:ind w:left="658"/>
              <w:spacing w:before="22" w:line="220" w:lineRule="auto"/>
              <w:rPr>
                <w:rFonts w:ascii="SimSun" w:hAnsi="SimSun" w:eastAsia="SimSun" w:cs="SimSun"/>
                <w:sz w:val="20"/>
                <w:szCs w:val="20"/>
              </w:rPr>
            </w:pPr>
            <w:r>
              <w:rPr>
                <w:rFonts w:ascii="SimSun" w:hAnsi="SimSun" w:eastAsia="SimSun" w:cs="SimSun"/>
                <w:sz w:val="20"/>
                <w:szCs w:val="20"/>
                <w:spacing w:val="5"/>
              </w:rPr>
              <w:t>（单位：吨）</w:t>
            </w:r>
          </w:p>
        </w:tc>
      </w:tr>
      <w:tr>
        <w:trPr>
          <w:trHeight w:val="275" w:hRule="atLeast"/>
        </w:trPr>
        <w:tc>
          <w:tcPr>
            <w:tcW w:w="3370"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ind w:left="852"/>
              <w:spacing w:before="65" w:line="229" w:lineRule="auto"/>
              <w:rPr>
                <w:rFonts w:ascii="SimSun" w:hAnsi="SimSun" w:eastAsia="SimSun" w:cs="SimSun"/>
                <w:sz w:val="20"/>
                <w:szCs w:val="20"/>
              </w:rPr>
            </w:pPr>
            <w:r>
              <w:rPr>
                <w:rFonts w:ascii="SimSun" w:hAnsi="SimSun" w:eastAsia="SimSun" w:cs="SimSun"/>
                <w:sz w:val="20"/>
                <w:szCs w:val="20"/>
                <w:spacing w:val="8"/>
              </w:rPr>
              <w:t>温室气体排放总量</w:t>
            </w:r>
          </w:p>
        </w:tc>
        <w:tc>
          <w:tcPr>
            <w:tcW w:w="3365" w:type="dxa"/>
            <w:vAlign w:val="top"/>
          </w:tcPr>
          <w:p>
            <w:pPr>
              <w:ind w:left="428"/>
              <w:spacing w:before="29" w:line="217" w:lineRule="auto"/>
              <w:rPr>
                <w:rFonts w:ascii="SimSun" w:hAnsi="SimSun" w:eastAsia="SimSun" w:cs="SimSun"/>
                <w:sz w:val="20"/>
                <w:szCs w:val="20"/>
              </w:rPr>
            </w:pPr>
            <w:r>
              <w:rPr>
                <w:rFonts w:ascii="SimSun" w:hAnsi="SimSun" w:eastAsia="SimSun" w:cs="SimSun"/>
                <w:sz w:val="20"/>
                <w:szCs w:val="20"/>
                <w:spacing w:val="9"/>
              </w:rPr>
              <w:t>化石燃料燃烧二氧化碳排放</w:t>
            </w:r>
          </w:p>
        </w:tc>
        <w:tc>
          <w:tcPr>
            <w:tcW w:w="2547" w:type="dxa"/>
            <w:vAlign w:val="top"/>
          </w:tcPr>
          <w:p>
            <w:pPr>
              <w:pStyle w:val="TableText"/>
              <w:ind w:left="988"/>
              <w:spacing w:before="51" w:line="195" w:lineRule="auto"/>
              <w:rPr/>
            </w:pPr>
            <w:r>
              <w:rPr>
                <w:spacing w:val="3"/>
              </w:rPr>
              <w:t>5645.9</w:t>
            </w:r>
          </w:p>
        </w:tc>
      </w:tr>
      <w:tr>
        <w:trPr>
          <w:trHeight w:val="277" w:hRule="atLeast"/>
        </w:trPr>
        <w:tc>
          <w:tcPr>
            <w:tcW w:w="3370" w:type="dxa"/>
            <w:vAlign w:val="top"/>
            <w:vMerge w:val="continue"/>
            <w:tcBorders>
              <w:top w:val="nil"/>
              <w:bottom w:val="nil"/>
            </w:tcBorders>
          </w:tcPr>
          <w:p>
            <w:pPr>
              <w:rPr>
                <w:rFonts w:ascii="Arial"/>
                <w:sz w:val="21"/>
              </w:rPr>
            </w:pPr>
            <w:r/>
          </w:p>
        </w:tc>
        <w:tc>
          <w:tcPr>
            <w:tcW w:w="3365" w:type="dxa"/>
            <w:vAlign w:val="top"/>
          </w:tcPr>
          <w:p>
            <w:pPr>
              <w:ind w:left="1083"/>
              <w:spacing w:before="33" w:line="216" w:lineRule="auto"/>
              <w:rPr>
                <w:rFonts w:ascii="SimSun" w:hAnsi="SimSun" w:eastAsia="SimSun" w:cs="SimSun"/>
                <w:sz w:val="20"/>
                <w:szCs w:val="20"/>
              </w:rPr>
            </w:pPr>
            <w:r>
              <w:rPr>
                <w:rFonts w:ascii="SimSun" w:hAnsi="SimSun" w:eastAsia="SimSun" w:cs="SimSun"/>
                <w:sz w:val="20"/>
                <w:szCs w:val="20"/>
                <w:spacing w:val="3"/>
              </w:rPr>
              <w:t>甲烷逃逸排放</w:t>
            </w:r>
          </w:p>
        </w:tc>
        <w:tc>
          <w:tcPr>
            <w:tcW w:w="2547" w:type="dxa"/>
            <w:vAlign w:val="top"/>
          </w:tcPr>
          <w:p>
            <w:pPr>
              <w:pStyle w:val="TableText"/>
              <w:ind w:left="978"/>
              <w:spacing w:before="52" w:line="195" w:lineRule="auto"/>
              <w:rPr/>
            </w:pPr>
            <w:r>
              <w:rPr/>
              <w:t>140700</w:t>
            </w:r>
          </w:p>
        </w:tc>
      </w:tr>
      <w:tr>
        <w:trPr>
          <w:trHeight w:val="278" w:hRule="atLeast"/>
        </w:trPr>
        <w:tc>
          <w:tcPr>
            <w:tcW w:w="3370" w:type="dxa"/>
            <w:vAlign w:val="top"/>
            <w:vMerge w:val="continue"/>
            <w:tcBorders>
              <w:top w:val="nil"/>
              <w:bottom w:val="nil"/>
            </w:tcBorders>
          </w:tcPr>
          <w:p>
            <w:pPr>
              <w:rPr>
                <w:rFonts w:ascii="Arial"/>
                <w:sz w:val="21"/>
              </w:rPr>
            </w:pPr>
            <w:r/>
          </w:p>
        </w:tc>
        <w:tc>
          <w:tcPr>
            <w:tcW w:w="3365" w:type="dxa"/>
            <w:vAlign w:val="top"/>
          </w:tcPr>
          <w:p>
            <w:pPr>
              <w:ind w:left="317"/>
              <w:spacing w:before="31" w:line="218" w:lineRule="auto"/>
              <w:rPr>
                <w:rFonts w:ascii="SimSun" w:hAnsi="SimSun" w:eastAsia="SimSun" w:cs="SimSun"/>
                <w:sz w:val="20"/>
                <w:szCs w:val="20"/>
              </w:rPr>
            </w:pPr>
            <w:r>
              <w:rPr>
                <w:rFonts w:ascii="SimSun" w:hAnsi="SimSun" w:eastAsia="SimSun" w:cs="SimSun"/>
                <w:sz w:val="20"/>
                <w:szCs w:val="20"/>
                <w:spacing w:val="9"/>
              </w:rPr>
              <w:t>购入电力对应的二氧化碳排放</w:t>
            </w:r>
          </w:p>
        </w:tc>
        <w:tc>
          <w:tcPr>
            <w:tcW w:w="2547" w:type="dxa"/>
            <w:vAlign w:val="top"/>
          </w:tcPr>
          <w:p>
            <w:pPr>
              <w:pStyle w:val="TableText"/>
              <w:ind w:left="1011"/>
              <w:spacing w:before="53" w:line="195" w:lineRule="auto"/>
              <w:rPr/>
            </w:pPr>
            <w:r>
              <w:rPr>
                <w:spacing w:val="4"/>
              </w:rPr>
              <w:t>21591</w:t>
            </w:r>
          </w:p>
        </w:tc>
      </w:tr>
      <w:tr>
        <w:trPr>
          <w:trHeight w:val="275" w:hRule="atLeast"/>
        </w:trPr>
        <w:tc>
          <w:tcPr>
            <w:tcW w:w="3370" w:type="dxa"/>
            <w:vAlign w:val="top"/>
            <w:vMerge w:val="continue"/>
            <w:tcBorders>
              <w:top w:val="nil"/>
              <w:bottom w:val="nil"/>
            </w:tcBorders>
          </w:tcPr>
          <w:p>
            <w:pPr>
              <w:rPr>
                <w:rFonts w:ascii="Arial"/>
                <w:sz w:val="21"/>
              </w:rPr>
            </w:pPr>
            <w:r/>
          </w:p>
        </w:tc>
        <w:tc>
          <w:tcPr>
            <w:tcW w:w="3365" w:type="dxa"/>
            <w:vAlign w:val="top"/>
          </w:tcPr>
          <w:p>
            <w:pPr>
              <w:ind w:left="317"/>
              <w:spacing w:before="32" w:line="215" w:lineRule="auto"/>
              <w:rPr>
                <w:rFonts w:ascii="SimSun" w:hAnsi="SimSun" w:eastAsia="SimSun" w:cs="SimSun"/>
                <w:sz w:val="20"/>
                <w:szCs w:val="20"/>
              </w:rPr>
            </w:pPr>
            <w:r>
              <w:rPr>
                <w:rFonts w:ascii="SimSun" w:hAnsi="SimSun" w:eastAsia="SimSun" w:cs="SimSun"/>
                <w:sz w:val="20"/>
                <w:szCs w:val="20"/>
                <w:spacing w:val="9"/>
              </w:rPr>
              <w:t>购入热力对应的二氧化碳排放</w:t>
            </w:r>
          </w:p>
        </w:tc>
        <w:tc>
          <w:tcPr>
            <w:tcW w:w="2547" w:type="dxa"/>
            <w:vAlign w:val="top"/>
          </w:tcPr>
          <w:p>
            <w:pPr>
              <w:pStyle w:val="TableText"/>
              <w:ind w:left="1011"/>
              <w:spacing w:before="53" w:line="195" w:lineRule="auto"/>
              <w:rPr/>
            </w:pPr>
            <w:r>
              <w:rPr>
                <w:spacing w:val="4"/>
              </w:rPr>
              <w:t>27128</w:t>
            </w:r>
          </w:p>
        </w:tc>
      </w:tr>
      <w:tr>
        <w:trPr>
          <w:trHeight w:val="282" w:hRule="atLeast"/>
        </w:trPr>
        <w:tc>
          <w:tcPr>
            <w:tcW w:w="3370" w:type="dxa"/>
            <w:vAlign w:val="top"/>
            <w:vMerge w:val="continue"/>
            <w:tcBorders>
              <w:top w:val="nil"/>
            </w:tcBorders>
          </w:tcPr>
          <w:p>
            <w:pPr>
              <w:rPr>
                <w:rFonts w:ascii="Arial"/>
                <w:sz w:val="21"/>
              </w:rPr>
            </w:pPr>
            <w:r/>
          </w:p>
        </w:tc>
        <w:tc>
          <w:tcPr>
            <w:tcW w:w="3365" w:type="dxa"/>
            <w:vAlign w:val="top"/>
          </w:tcPr>
          <w:p>
            <w:pPr>
              <w:ind w:left="1477"/>
              <w:spacing w:before="33" w:line="220" w:lineRule="auto"/>
              <w:rPr>
                <w:rFonts w:ascii="SimSun" w:hAnsi="SimSun" w:eastAsia="SimSun" w:cs="SimSun"/>
                <w:sz w:val="20"/>
                <w:szCs w:val="20"/>
              </w:rPr>
            </w:pPr>
            <w:r>
              <w:rPr>
                <w:rFonts w:ascii="SimSun" w:hAnsi="SimSun" w:eastAsia="SimSun" w:cs="SimSun"/>
                <w:sz w:val="20"/>
                <w:szCs w:val="20"/>
                <w:spacing w:val="4"/>
              </w:rPr>
              <w:t>合计</w:t>
            </w:r>
          </w:p>
        </w:tc>
        <w:tc>
          <w:tcPr>
            <w:tcW w:w="2547" w:type="dxa"/>
            <w:vAlign w:val="top"/>
          </w:tcPr>
          <w:p>
            <w:pPr>
              <w:pStyle w:val="TableText"/>
              <w:ind w:left="899"/>
              <w:spacing w:before="54" w:line="195" w:lineRule="auto"/>
              <w:rPr/>
            </w:pPr>
            <w:r>
              <w:rPr>
                <w:spacing w:val="1"/>
              </w:rPr>
              <w:t>195064.9</w:t>
            </w:r>
          </w:p>
        </w:tc>
      </w:tr>
    </w:tbl>
    <w:p>
      <w:pPr>
        <w:ind w:left="594"/>
        <w:spacing w:before="144" w:line="220" w:lineRule="auto"/>
        <w:rPr>
          <w:rFonts w:ascii="SimSun" w:hAnsi="SimSun" w:eastAsia="SimSun" w:cs="SimSun"/>
          <w:sz w:val="24"/>
          <w:szCs w:val="24"/>
        </w:rPr>
      </w:pP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、减排措施及建议</w:t>
      </w:r>
    </w:p>
    <w:p>
      <w:pPr>
        <w:ind w:left="120" w:right="39" w:firstLine="485"/>
        <w:spacing w:before="152" w:line="28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）本项目通过购入效率高、能耗少、成本低的先进设备，实现</w:t>
      </w:r>
      <w:r>
        <w:rPr>
          <w:rFonts w:ascii="SimSun" w:hAnsi="SimSun" w:eastAsia="SimSun" w:cs="SimSun"/>
          <w:sz w:val="24"/>
          <w:szCs w:val="24"/>
          <w:spacing w:val="-4"/>
        </w:rPr>
        <w:t>煤炭开采电气化，</w:t>
      </w:r>
      <w:r>
        <w:rPr>
          <w:rFonts w:ascii="SimSun" w:hAnsi="SimSun" w:eastAsia="SimSun" w:cs="SimSun"/>
          <w:sz w:val="24"/>
          <w:szCs w:val="24"/>
        </w:rPr>
        <w:t>使项目单位生产总值温室气体排放量及单位</w:t>
      </w:r>
      <w:r>
        <w:rPr>
          <w:rFonts w:ascii="SimSun" w:hAnsi="SimSun" w:eastAsia="SimSun" w:cs="SimSun"/>
          <w:sz w:val="24"/>
          <w:szCs w:val="24"/>
          <w:spacing w:val="-1"/>
        </w:rPr>
        <w:t>产品温室气体排放量减少。</w:t>
      </w:r>
    </w:p>
    <w:p>
      <w:pPr>
        <w:ind w:left="606"/>
        <w:spacing w:before="155"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）优化场地内短途运输路线，尽量避免燃油车辆无效运输，减少耗油量。</w:t>
      </w:r>
    </w:p>
    <w:p>
      <w:pPr>
        <w:ind w:left="129" w:right="120" w:firstLine="477"/>
        <w:spacing w:before="152"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）加强行业内技术交流，对大型设备设施供应厂家进行定期研讨，制定企业电</w:t>
      </w:r>
      <w:r>
        <w:rPr>
          <w:rFonts w:ascii="SimSun" w:hAnsi="SimSun" w:eastAsia="SimSun" w:cs="SimSun"/>
          <w:sz w:val="24"/>
          <w:szCs w:val="24"/>
          <w:spacing w:val="-4"/>
        </w:rPr>
        <w:t>能替代计划。</w:t>
      </w:r>
    </w:p>
    <w:p>
      <w:pPr>
        <w:ind w:left="119" w:right="177" w:firstLine="486"/>
        <w:spacing w:before="154"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）尽可能安排集中连续生产，应杜绝大</w:t>
      </w:r>
      <w:r>
        <w:rPr>
          <w:rFonts w:ascii="SimSun" w:hAnsi="SimSun" w:eastAsia="SimSun" w:cs="SimSun"/>
          <w:sz w:val="24"/>
          <w:szCs w:val="24"/>
          <w:spacing w:val="-1"/>
        </w:rPr>
        <w:t>功率设备频繁启动，必要时安装软启动</w:t>
      </w:r>
      <w:r>
        <w:rPr>
          <w:rFonts w:ascii="SimSun" w:hAnsi="SimSun" w:eastAsia="SimSun" w:cs="SimSun"/>
          <w:sz w:val="24"/>
          <w:szCs w:val="24"/>
          <w:spacing w:val="-1"/>
        </w:rPr>
        <w:t>装置，减少设备启停对用电的影响。</w:t>
      </w:r>
    </w:p>
    <w:p>
      <w:pPr>
        <w:ind w:left="606"/>
        <w:spacing w:before="15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）在水分条件好的区域进行植被恢复，提升区域生态碳汇能力。</w:t>
      </w:r>
    </w:p>
    <w:p>
      <w:pPr>
        <w:spacing w:line="219" w:lineRule="auto"/>
        <w:sectPr>
          <w:headerReference w:type="default" r:id="rId84"/>
          <w:footerReference w:type="default" r:id="rId398"/>
          <w:pgSz w:w="11906" w:h="16838"/>
          <w:pgMar w:top="1170" w:right="1311" w:bottom="1080" w:left="1305" w:header="837" w:footer="918" w:gutter="0"/>
        </w:sectPr>
        <w:rPr>
          <w:rFonts w:ascii="SimSun" w:hAnsi="SimSun" w:eastAsia="SimSun" w:cs="SimSun"/>
          <w:sz w:val="24"/>
          <w:szCs w:val="24"/>
        </w:rPr>
      </w:pPr>
    </w:p>
    <w:p>
      <w:pPr>
        <w:pStyle w:val="BodyText"/>
        <w:spacing w:line="369" w:lineRule="auto"/>
        <w:rPr/>
      </w:pPr>
      <w:r/>
    </w:p>
    <w:p>
      <w:pPr>
        <w:ind w:left="120"/>
        <w:spacing w:before="98" w:line="222" w:lineRule="auto"/>
        <w:outlineLvl w:val="1"/>
        <w:rPr>
          <w:rFonts w:ascii="SimHei" w:hAnsi="SimHei" w:eastAsia="SimHei" w:cs="SimHei"/>
          <w:sz w:val="30"/>
          <w:szCs w:val="30"/>
        </w:rPr>
      </w:pPr>
      <w:bookmarkStart w:name="bookmark30" w:id="53"/>
      <w:bookmarkEnd w:id="53"/>
      <w:r>
        <w:rPr>
          <w:rFonts w:ascii="Times New Roman" w:hAnsi="Times New Roman" w:eastAsia="Times New Roman" w:cs="Times New Roman"/>
          <w:sz w:val="30"/>
          <w:szCs w:val="30"/>
          <w:b/>
          <w:bCs/>
          <w:spacing w:val="-3"/>
        </w:rPr>
        <w:t>5.3  </w:t>
      </w:r>
      <w:r>
        <w:rPr>
          <w:rFonts w:ascii="SimHei" w:hAnsi="SimHei" w:eastAsia="SimHei" w:cs="SimHei"/>
          <w:sz w:val="30"/>
          <w:szCs w:val="30"/>
          <w:b/>
          <w:bCs/>
          <w:spacing w:val="-3"/>
        </w:rPr>
        <w:t>地表水环境影响分析与评价</w:t>
      </w:r>
    </w:p>
    <w:p>
      <w:pPr>
        <w:ind w:left="11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5.3.1 </w:t>
      </w:r>
      <w:r>
        <w:rPr>
          <w:rFonts w:ascii="SimHei" w:hAnsi="SimHei" w:eastAsia="SimHei" w:cs="SimHei"/>
          <w:sz w:val="28"/>
          <w:szCs w:val="28"/>
          <w:b/>
          <w:bCs/>
          <w:spacing w:val="-2"/>
        </w:rPr>
        <w:t>施工期地表水环境影响评价</w:t>
      </w:r>
    </w:p>
    <w:p>
      <w:pPr>
        <w:ind w:left="121" w:right="118" w:firstLine="479"/>
        <w:spacing w:before="168" w:line="341" w:lineRule="auto"/>
        <w:rPr>
          <w:rFonts w:ascii="SimSun" w:hAnsi="SimSun" w:eastAsia="SimSun" w:cs="SimSun"/>
          <w:sz w:val="24"/>
          <w:szCs w:val="24"/>
        </w:rPr>
      </w:pPr>
      <w:r>
        <w:rPr>
          <w:rFonts w:ascii="SimSun" w:hAnsi="SimSun" w:eastAsia="SimSun" w:cs="SimSun"/>
          <w:sz w:val="24"/>
          <w:szCs w:val="24"/>
          <w:spacing w:val="-2"/>
        </w:rPr>
        <w:t>本项目主要工程内容为露天区开采范围调整，工业场地依托现有露天区工业场地，</w:t>
      </w:r>
      <w:r>
        <w:rPr>
          <w:rFonts w:ascii="SimSun" w:hAnsi="SimSun" w:eastAsia="SimSun" w:cs="SimSun"/>
          <w:sz w:val="24"/>
          <w:szCs w:val="24"/>
        </w:rPr>
        <w:t>无新增占地，无施工期工程。本次主要针对运营</w:t>
      </w:r>
      <w:r>
        <w:rPr>
          <w:rFonts w:ascii="SimSun" w:hAnsi="SimSun" w:eastAsia="SimSun" w:cs="SimSun"/>
          <w:sz w:val="24"/>
          <w:szCs w:val="24"/>
          <w:spacing w:val="-1"/>
        </w:rPr>
        <w:t>期地表水环境影响进行评价。</w:t>
      </w:r>
    </w:p>
    <w:p>
      <w:pPr>
        <w:ind w:left="119"/>
        <w:spacing w:before="8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5.3.2 </w:t>
      </w:r>
      <w:r>
        <w:rPr>
          <w:rFonts w:ascii="SimHei" w:hAnsi="SimHei" w:eastAsia="SimHei" w:cs="SimHei"/>
          <w:sz w:val="28"/>
          <w:szCs w:val="28"/>
          <w:b/>
          <w:bCs/>
          <w:spacing w:val="-2"/>
        </w:rPr>
        <w:t>运营期地表水环境影响评价</w:t>
      </w:r>
    </w:p>
    <w:p>
      <w:pPr>
        <w:ind w:left="634"/>
        <w:spacing w:before="171" w:line="219" w:lineRule="auto"/>
        <w:rPr>
          <w:rFonts w:ascii="SimSun" w:hAnsi="SimSun" w:eastAsia="SimSun" w:cs="SimSun"/>
          <w:sz w:val="24"/>
          <w:szCs w:val="24"/>
        </w:rPr>
      </w:pPr>
      <w:r>
        <w:rPr>
          <w:rFonts w:ascii="SimSun" w:hAnsi="SimSun" w:eastAsia="SimSun" w:cs="SimSun"/>
          <w:sz w:val="24"/>
          <w:szCs w:val="24"/>
          <w:spacing w:val="-2"/>
        </w:rPr>
        <w:t>白音华四号露天矿（露天区）运营期污废水主要包括矿坑水及生活污水。</w:t>
      </w:r>
    </w:p>
    <w:p>
      <w:pPr>
        <w:ind w:left="118"/>
        <w:spacing w:before="187" w:line="222" w:lineRule="auto"/>
        <w:rPr>
          <w:rFonts w:ascii="SimHei" w:hAnsi="SimHei" w:eastAsia="SimHei" w:cs="SimHei"/>
          <w:sz w:val="24"/>
          <w:szCs w:val="24"/>
        </w:rPr>
      </w:pPr>
      <w:r>
        <w:rPr>
          <w:rFonts w:ascii="Times New Roman" w:hAnsi="Times New Roman" w:eastAsia="Times New Roman" w:cs="Times New Roman"/>
          <w:sz w:val="24"/>
          <w:szCs w:val="24"/>
          <w:b/>
          <w:bCs/>
          <w:spacing w:val="-3"/>
        </w:rPr>
        <w:t>5.3.2.1</w:t>
      </w:r>
      <w:r>
        <w:rPr>
          <w:rFonts w:ascii="Times New Roman" w:hAnsi="Times New Roman" w:eastAsia="Times New Roman" w:cs="Times New Roman"/>
          <w:sz w:val="24"/>
          <w:szCs w:val="24"/>
          <w:b/>
          <w:bCs/>
          <w:spacing w:val="27"/>
        </w:rPr>
        <w:t xml:space="preserve"> </w:t>
      </w:r>
      <w:r>
        <w:rPr>
          <w:rFonts w:ascii="SimHei" w:hAnsi="SimHei" w:eastAsia="SimHei" w:cs="SimHei"/>
          <w:sz w:val="24"/>
          <w:szCs w:val="24"/>
          <w:b/>
          <w:bCs/>
          <w:spacing w:val="-3"/>
        </w:rPr>
        <w:t>改建后矿井水量及处置措施</w:t>
      </w:r>
    </w:p>
    <w:p>
      <w:pPr>
        <w:ind w:left="118" w:right="27" w:firstLine="515"/>
        <w:spacing w:before="157" w:line="339" w:lineRule="auto"/>
        <w:jc w:val="both"/>
        <w:rPr>
          <w:rFonts w:ascii="SimSun" w:hAnsi="SimSun" w:eastAsia="SimSun" w:cs="SimSun"/>
          <w:sz w:val="24"/>
          <w:szCs w:val="24"/>
        </w:rPr>
      </w:pPr>
      <w:r>
        <w:rPr>
          <w:rFonts w:ascii="SimSun" w:hAnsi="SimSun" w:eastAsia="SimSun" w:cs="SimSun"/>
          <w:sz w:val="24"/>
          <w:szCs w:val="24"/>
          <w:spacing w:val="-3"/>
        </w:rPr>
        <w:t>白音华四号露天矿（露天区）矿坑水进入现有矿井（坑）水处理站。矿井（坑）水</w:t>
      </w:r>
      <w:r>
        <w:rPr>
          <w:rFonts w:ascii="SimSun" w:hAnsi="SimSun" w:eastAsia="SimSun" w:cs="SimSun"/>
          <w:sz w:val="24"/>
          <w:szCs w:val="24"/>
          <w:spacing w:val="-6"/>
        </w:rPr>
        <w:t>处理站处理规模</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18000m</w:t>
      </w:r>
      <w:r>
        <w:rPr>
          <w:rFonts w:ascii="Times New Roman" w:hAnsi="Times New Roman" w:eastAsia="Times New Roman" w:cs="Times New Roman"/>
          <w:sz w:val="15"/>
          <w:szCs w:val="15"/>
          <w:spacing w:val="-6"/>
          <w:position w:val="8"/>
        </w:rPr>
        <w:t>3</w:t>
      </w:r>
      <w:r>
        <w:rPr>
          <w:rFonts w:ascii="Times New Roman" w:hAnsi="Times New Roman" w:eastAsia="Times New Roman" w:cs="Times New Roman"/>
          <w:sz w:val="24"/>
          <w:szCs w:val="24"/>
          <w:spacing w:val="-6"/>
        </w:rPr>
        <w:t>/d</w:t>
      </w:r>
      <w:r>
        <w:rPr>
          <w:rFonts w:ascii="SimSun" w:hAnsi="SimSun" w:eastAsia="SimSun" w:cs="SimSun"/>
          <w:sz w:val="24"/>
          <w:szCs w:val="24"/>
          <w:spacing w:val="-6"/>
        </w:rPr>
        <w:t>（</w:t>
      </w:r>
      <w:r>
        <w:rPr>
          <w:rFonts w:ascii="Times New Roman" w:hAnsi="Times New Roman" w:eastAsia="Times New Roman" w:cs="Times New Roman"/>
          <w:sz w:val="24"/>
          <w:szCs w:val="24"/>
          <w:spacing w:val="-6"/>
        </w:rPr>
        <w:t>750t/h</w:t>
      </w:r>
      <w:r>
        <w:rPr>
          <w:rFonts w:ascii="SimSun" w:hAnsi="SimSun" w:eastAsia="SimSun" w:cs="SimSun"/>
          <w:sz w:val="24"/>
          <w:szCs w:val="24"/>
          <w:spacing w:val="-23"/>
        </w:rPr>
        <w:t>），</w:t>
      </w:r>
      <w:r>
        <w:rPr>
          <w:rFonts w:ascii="SimSun" w:hAnsi="SimSun" w:eastAsia="SimSun" w:cs="SimSun"/>
          <w:sz w:val="24"/>
          <w:szCs w:val="24"/>
          <w:spacing w:val="-7"/>
        </w:rPr>
        <w:t>处理工艺“絮凝沉淀</w:t>
      </w:r>
      <w:r>
        <w:rPr>
          <w:rFonts w:ascii="Times New Roman" w:hAnsi="Times New Roman" w:eastAsia="Times New Roman" w:cs="Times New Roman"/>
          <w:sz w:val="24"/>
          <w:szCs w:val="24"/>
          <w:spacing w:val="-7"/>
        </w:rPr>
        <w:t>+</w:t>
      </w:r>
      <w:r>
        <w:rPr>
          <w:rFonts w:ascii="SimSun" w:hAnsi="SimSun" w:eastAsia="SimSun" w:cs="SimSun"/>
          <w:sz w:val="24"/>
          <w:szCs w:val="24"/>
          <w:spacing w:val="-7"/>
        </w:rPr>
        <w:t>气浮处理</w:t>
      </w:r>
      <w:r>
        <w:rPr>
          <w:rFonts w:ascii="Times New Roman" w:hAnsi="Times New Roman" w:eastAsia="Times New Roman" w:cs="Times New Roman"/>
          <w:sz w:val="24"/>
          <w:szCs w:val="24"/>
          <w:spacing w:val="-7"/>
        </w:rPr>
        <w:t>+</w:t>
      </w:r>
      <w:r>
        <w:rPr>
          <w:rFonts w:ascii="SimSun" w:hAnsi="SimSun" w:eastAsia="SimSun" w:cs="SimSun"/>
          <w:sz w:val="24"/>
          <w:szCs w:val="24"/>
          <w:spacing w:val="-7"/>
        </w:rPr>
        <w:t>一体化净水器</w:t>
      </w:r>
      <w:r>
        <w:rPr>
          <w:rFonts w:ascii="SimSun" w:hAnsi="SimSun" w:eastAsia="SimSun" w:cs="SimSun"/>
          <w:sz w:val="24"/>
          <w:szCs w:val="24"/>
          <w:spacing w:val="-88"/>
        </w:rPr>
        <w:t xml:space="preserve"> </w:t>
      </w:r>
      <w:r>
        <w:rPr>
          <w:rFonts w:ascii="SimSun" w:hAnsi="SimSun" w:eastAsia="SimSun" w:cs="SimSun"/>
          <w:sz w:val="24"/>
          <w:szCs w:val="24"/>
          <w:spacing w:val="-7"/>
        </w:rPr>
        <w:t>”。</w:t>
      </w:r>
      <w:r>
        <w:rPr>
          <w:rFonts w:ascii="SimSun" w:hAnsi="SimSun" w:eastAsia="SimSun" w:cs="SimSun"/>
          <w:sz w:val="24"/>
          <w:szCs w:val="24"/>
          <w:spacing w:val="-2"/>
        </w:rPr>
        <w:t>该处理站处理白音华四号露天矿（井工区）的矿井水及白音华四号露天矿（露天区）的</w:t>
      </w:r>
      <w:r>
        <w:rPr>
          <w:rFonts w:ascii="SimSun" w:hAnsi="SimSun" w:eastAsia="SimSun" w:cs="SimSun"/>
          <w:sz w:val="24"/>
          <w:szCs w:val="24"/>
          <w:spacing w:val="-2"/>
        </w:rPr>
        <w:t>矿（坑）水。白音华四号露天矿（井工区）正常涌水量为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2208m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92m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/h</w:t>
      </w:r>
      <w:r>
        <w:rPr>
          <w:rFonts w:ascii="SimSun" w:hAnsi="SimSun" w:eastAsia="SimSun" w:cs="SimSun"/>
          <w:sz w:val="24"/>
          <w:szCs w:val="24"/>
          <w:spacing w:val="16"/>
        </w:rPr>
        <w:t>），</w:t>
      </w:r>
      <w:r>
        <w:rPr>
          <w:rFonts w:ascii="SimSun" w:hAnsi="SimSun" w:eastAsia="SimSun" w:cs="SimSun"/>
          <w:sz w:val="24"/>
          <w:szCs w:val="24"/>
          <w:spacing w:val="-3"/>
        </w:rPr>
        <w:t>白音华</w:t>
      </w:r>
      <w:r>
        <w:rPr>
          <w:rFonts w:ascii="SimSun" w:hAnsi="SimSun" w:eastAsia="SimSun" w:cs="SimSun"/>
          <w:sz w:val="24"/>
          <w:szCs w:val="24"/>
          <w:spacing w:val="1"/>
        </w:rPr>
        <w:t>四号露天矿（露天区）矿坑排水量为</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9456m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394m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）。经处理后的矿井水，出水</w:t>
      </w:r>
      <w:r>
        <w:rPr>
          <w:rFonts w:ascii="SimSun" w:hAnsi="SimSun" w:eastAsia="SimSun" w:cs="SimSun"/>
          <w:sz w:val="24"/>
          <w:szCs w:val="24"/>
          <w:spacing w:val="-2"/>
        </w:rPr>
        <w:t>水质满足《城市污水再生利用城市杂用水水质》（</w:t>
      </w:r>
      <w:r>
        <w:rPr>
          <w:rFonts w:ascii="Times New Roman" w:hAnsi="Times New Roman" w:eastAsia="Times New Roman" w:cs="Times New Roman"/>
          <w:sz w:val="24"/>
          <w:szCs w:val="24"/>
          <w:spacing w:val="-2"/>
        </w:rPr>
        <w:t>GB/T18920-2020</w:t>
      </w:r>
      <w:r>
        <w:rPr>
          <w:rFonts w:ascii="SimSun" w:hAnsi="SimSun" w:eastAsia="SimSun" w:cs="SimSun"/>
          <w:sz w:val="24"/>
          <w:szCs w:val="24"/>
          <w:spacing w:val="-2"/>
        </w:rPr>
        <w:t>）标准限值要求。出</w:t>
      </w:r>
      <w:r>
        <w:rPr>
          <w:rFonts w:ascii="SimSun" w:hAnsi="SimSun" w:eastAsia="SimSun" w:cs="SimSun"/>
          <w:sz w:val="24"/>
          <w:szCs w:val="24"/>
          <w:spacing w:val="-2"/>
        </w:rPr>
        <w:t>水部分用于生活、生产、消防、冲洗、道路绿化洒水等，剩余部分送至白音华四号露天</w:t>
      </w:r>
      <w:r>
        <w:rPr>
          <w:rFonts w:ascii="SimSun" w:hAnsi="SimSun" w:eastAsia="SimSun" w:cs="SimSun"/>
          <w:sz w:val="24"/>
          <w:szCs w:val="24"/>
          <w:spacing w:val="-2"/>
        </w:rPr>
        <w:t>矿（井工区）矿井水深度处理站，采取“超滤</w:t>
      </w:r>
      <w:r>
        <w:rPr>
          <w:rFonts w:ascii="SimSun" w:hAnsi="SimSun" w:eastAsia="SimSun" w:cs="SimSun"/>
          <w:sz w:val="24"/>
          <w:szCs w:val="24"/>
          <w:spacing w:val="-88"/>
        </w:rPr>
        <w:t xml:space="preserve"> </w:t>
      </w:r>
      <w:r>
        <w:rPr>
          <w:rFonts w:ascii="SimSun" w:hAnsi="SimSun" w:eastAsia="SimSun" w:cs="SimSun"/>
          <w:sz w:val="24"/>
          <w:szCs w:val="24"/>
          <w:spacing w:val="-2"/>
        </w:rPr>
        <w:t>”工艺处</w:t>
      </w:r>
      <w:r>
        <w:rPr>
          <w:rFonts w:ascii="SimSun" w:hAnsi="SimSun" w:eastAsia="SimSun" w:cs="SimSun"/>
          <w:sz w:val="24"/>
          <w:szCs w:val="24"/>
          <w:spacing w:val="-3"/>
        </w:rPr>
        <w:t>理后，全部回用于井工矿生产用</w:t>
      </w:r>
      <w:r>
        <w:rPr>
          <w:rFonts w:ascii="SimSun" w:hAnsi="SimSun" w:eastAsia="SimSun" w:cs="SimSun"/>
          <w:sz w:val="24"/>
          <w:szCs w:val="24"/>
          <w:spacing w:val="-2"/>
        </w:rPr>
        <w:t>水，部分输送至金山电厂用于电厂生产用水，矿井（坑）水全部回用，不外排。改建前</w:t>
      </w:r>
      <w:r>
        <w:rPr>
          <w:rFonts w:ascii="SimSun" w:hAnsi="SimSun" w:eastAsia="SimSun" w:cs="SimSun"/>
          <w:sz w:val="24"/>
          <w:szCs w:val="24"/>
        </w:rPr>
        <w:t>后涌水量保持不变，因此现有的矿井（坑）水处理站满足矿井</w:t>
      </w:r>
      <w:r>
        <w:rPr>
          <w:rFonts w:ascii="SimSun" w:hAnsi="SimSun" w:eastAsia="SimSun" w:cs="SimSun"/>
          <w:sz w:val="24"/>
          <w:szCs w:val="24"/>
          <w:spacing w:val="-1"/>
        </w:rPr>
        <w:t>（坑）水处理的需求。</w:t>
      </w:r>
    </w:p>
    <w:p>
      <w:pPr>
        <w:ind w:left="118"/>
        <w:spacing w:before="27" w:line="222" w:lineRule="auto"/>
        <w:rPr>
          <w:rFonts w:ascii="SimHei" w:hAnsi="SimHei" w:eastAsia="SimHei" w:cs="SimHei"/>
          <w:sz w:val="24"/>
          <w:szCs w:val="24"/>
        </w:rPr>
      </w:pPr>
      <w:r>
        <w:rPr>
          <w:rFonts w:ascii="Times New Roman" w:hAnsi="Times New Roman" w:eastAsia="Times New Roman" w:cs="Times New Roman"/>
          <w:sz w:val="24"/>
          <w:szCs w:val="24"/>
          <w:b/>
          <w:bCs/>
          <w:spacing w:val="-3"/>
        </w:rPr>
        <w:t>5.3.2.2</w:t>
      </w:r>
      <w:r>
        <w:rPr>
          <w:rFonts w:ascii="Times New Roman" w:hAnsi="Times New Roman" w:eastAsia="Times New Roman" w:cs="Times New Roman"/>
          <w:sz w:val="24"/>
          <w:szCs w:val="24"/>
          <w:b/>
          <w:bCs/>
          <w:spacing w:val="30"/>
        </w:rPr>
        <w:t xml:space="preserve"> </w:t>
      </w:r>
      <w:r>
        <w:rPr>
          <w:rFonts w:ascii="SimHei" w:hAnsi="SimHei" w:eastAsia="SimHei" w:cs="SimHei"/>
          <w:sz w:val="24"/>
          <w:szCs w:val="24"/>
          <w:b/>
          <w:bCs/>
          <w:spacing w:val="-3"/>
        </w:rPr>
        <w:t>改建后生活污水量及处置措施</w:t>
      </w:r>
    </w:p>
    <w:p>
      <w:pPr>
        <w:ind w:left="119" w:right="112" w:firstLine="485"/>
        <w:spacing w:before="164" w:line="338" w:lineRule="auto"/>
        <w:rPr>
          <w:rFonts w:ascii="SimSun" w:hAnsi="SimSun" w:eastAsia="SimSun" w:cs="SimSun"/>
          <w:sz w:val="24"/>
          <w:szCs w:val="24"/>
        </w:rPr>
      </w:pPr>
      <w:r>
        <w:rPr>
          <w:rFonts w:ascii="SimSun" w:hAnsi="SimSun" w:eastAsia="SimSun" w:cs="SimSun"/>
          <w:sz w:val="24"/>
          <w:szCs w:val="24"/>
        </w:rPr>
        <w:t>露天区生活污水主要包括露天工业场地生活污水，其产生</w:t>
      </w:r>
      <w:r>
        <w:rPr>
          <w:rFonts w:ascii="SimSun" w:hAnsi="SimSun" w:eastAsia="SimSun" w:cs="SimSun"/>
          <w:sz w:val="24"/>
          <w:szCs w:val="24"/>
          <w:spacing w:val="-1"/>
        </w:rPr>
        <w:t>量共为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422m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
        </w:rPr>
        <w:t>。改建后</w:t>
      </w:r>
      <w:r>
        <w:rPr>
          <w:rFonts w:ascii="SimSun" w:hAnsi="SimSun" w:eastAsia="SimSun" w:cs="SimSun"/>
          <w:sz w:val="24"/>
          <w:szCs w:val="24"/>
          <w:spacing w:val="-2"/>
        </w:rPr>
        <w:t>由于劳动定员保持不变，因此生活污水的产生量保持一致。露天生活污水处理站共两个</w:t>
      </w:r>
      <w:r>
        <w:rPr>
          <w:rFonts w:ascii="SimSun" w:hAnsi="SimSun" w:eastAsia="SimSun" w:cs="SimSun"/>
          <w:sz w:val="24"/>
          <w:szCs w:val="24"/>
          <w:spacing w:val="-2"/>
        </w:rPr>
        <w:t>（</w:t>
      </w:r>
      <w:r>
        <w:rPr>
          <w:rFonts w:ascii="Times New Roman" w:hAnsi="Times New Roman" w:eastAsia="Times New Roman" w:cs="Times New Roman"/>
          <w:sz w:val="24"/>
          <w:szCs w:val="24"/>
          <w:spacing w:val="-2"/>
        </w:rPr>
        <w:t>1 </w:t>
      </w:r>
      <w:r>
        <w:rPr>
          <w:rFonts w:ascii="SimSun" w:hAnsi="SimSun" w:eastAsia="SimSun" w:cs="SimSun"/>
          <w:sz w:val="24"/>
          <w:szCs w:val="24"/>
          <w:spacing w:val="-2"/>
        </w:rPr>
        <w:t>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 </w:t>
      </w:r>
      <w:r>
        <w:rPr>
          <w:rFonts w:ascii="SimSun" w:hAnsi="SimSun" w:eastAsia="SimSun" w:cs="SimSun"/>
          <w:sz w:val="24"/>
          <w:szCs w:val="24"/>
          <w:spacing w:val="-2"/>
        </w:rPr>
        <w:t>备</w:t>
      </w:r>
      <w:r>
        <w:rPr>
          <w:rFonts w:ascii="SimSun" w:hAnsi="SimSun" w:eastAsia="SimSun" w:cs="SimSun"/>
          <w:sz w:val="24"/>
          <w:szCs w:val="24"/>
          <w:spacing w:val="8"/>
        </w:rPr>
        <w:t>），</w:t>
      </w:r>
      <w:r>
        <w:rPr>
          <w:rFonts w:ascii="SimSun" w:hAnsi="SimSun" w:eastAsia="SimSun" w:cs="SimSun"/>
          <w:sz w:val="24"/>
          <w:szCs w:val="24"/>
          <w:spacing w:val="-2"/>
        </w:rPr>
        <w:t>生活污水处理站处理规模为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1200m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50m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/h</w:t>
      </w:r>
      <w:r>
        <w:rPr>
          <w:rFonts w:ascii="SimSun" w:hAnsi="SimSun" w:eastAsia="SimSun" w:cs="SimSun"/>
          <w:sz w:val="24"/>
          <w:szCs w:val="24"/>
          <w:spacing w:val="8"/>
        </w:rPr>
        <w:t>）；</w:t>
      </w:r>
      <w:r>
        <w:rPr>
          <w:rFonts w:ascii="SimSun" w:hAnsi="SimSun" w:eastAsia="SimSun" w:cs="SimSun"/>
          <w:sz w:val="24"/>
          <w:szCs w:val="24"/>
          <w:spacing w:val="-2"/>
        </w:rPr>
        <w:t>备用生活污水处理站</w:t>
      </w:r>
      <w:r>
        <w:rPr>
          <w:rFonts w:ascii="SimSun" w:hAnsi="SimSun" w:eastAsia="SimSun" w:cs="SimSun"/>
          <w:sz w:val="24"/>
          <w:szCs w:val="24"/>
          <w:spacing w:val="1"/>
        </w:rPr>
        <w:t>规模为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480m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Times New Roman" w:hAnsi="Times New Roman" w:eastAsia="Times New Roman" w:cs="Times New Roman"/>
          <w:sz w:val="24"/>
          <w:szCs w:val="24"/>
          <w:spacing w:val="1"/>
        </w:rPr>
        <w:t>20m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/h</w:t>
      </w:r>
      <w:r>
        <w:rPr>
          <w:rFonts w:ascii="SimSun" w:hAnsi="SimSun" w:eastAsia="SimSun" w:cs="SimSun"/>
          <w:sz w:val="24"/>
          <w:szCs w:val="24"/>
          <w:spacing w:val="1"/>
        </w:rPr>
        <w:t>）。处理工艺均为生物接触氧化工艺，处理后的水达到《城市</w:t>
      </w:r>
      <w:r>
        <w:rPr>
          <w:rFonts w:ascii="SimSun" w:hAnsi="SimSun" w:eastAsia="SimSun" w:cs="SimSun"/>
          <w:sz w:val="24"/>
          <w:szCs w:val="24"/>
          <w:spacing w:val="1"/>
        </w:rPr>
        <w:t>污水再生利用 城市杂用水水质》（</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/T18920-2020</w:t>
      </w:r>
      <w:r>
        <w:rPr>
          <w:rFonts w:ascii="SimSun" w:hAnsi="SimSun" w:eastAsia="SimSun" w:cs="SimSun"/>
          <w:sz w:val="24"/>
          <w:szCs w:val="24"/>
          <w:spacing w:val="1"/>
        </w:rPr>
        <w:t>）标准，回用于</w:t>
      </w:r>
      <w:r>
        <w:rPr>
          <w:rFonts w:ascii="SimSun" w:hAnsi="SimSun" w:eastAsia="SimSun" w:cs="SimSun"/>
          <w:sz w:val="24"/>
          <w:szCs w:val="24"/>
        </w:rPr>
        <w:t>道路、绿化洒水、</w:t>
      </w:r>
      <w:r>
        <w:rPr>
          <w:rFonts w:ascii="SimSun" w:hAnsi="SimSun" w:eastAsia="SimSun" w:cs="SimSun"/>
          <w:sz w:val="24"/>
          <w:szCs w:val="24"/>
          <w:spacing w:val="-2"/>
        </w:rPr>
        <w:t>汽车冲洗水及地面输煤系统洒水，污水全部综合利用，不外排。由于改建后露天区生活</w:t>
      </w:r>
      <w:r>
        <w:rPr>
          <w:rFonts w:ascii="SimSun" w:hAnsi="SimSun" w:eastAsia="SimSun" w:cs="SimSun"/>
          <w:sz w:val="24"/>
          <w:szCs w:val="24"/>
        </w:rPr>
        <w:t>污水量不变，因此现有的露天区生活污水处理站满足改建</w:t>
      </w:r>
      <w:r>
        <w:rPr>
          <w:rFonts w:ascii="SimSun" w:hAnsi="SimSun" w:eastAsia="SimSun" w:cs="SimSun"/>
          <w:sz w:val="24"/>
          <w:szCs w:val="24"/>
          <w:spacing w:val="-1"/>
        </w:rPr>
        <w:t>后生活污水的处理需求。</w:t>
      </w:r>
    </w:p>
    <w:p>
      <w:pPr>
        <w:ind w:left="608"/>
        <w:spacing w:line="219" w:lineRule="auto"/>
        <w:rPr>
          <w:rFonts w:ascii="SimSun" w:hAnsi="SimSun" w:eastAsia="SimSun" w:cs="SimSun"/>
          <w:sz w:val="24"/>
          <w:szCs w:val="24"/>
        </w:rPr>
      </w:pPr>
      <w:r>
        <w:rPr>
          <w:rFonts w:ascii="SimSun" w:hAnsi="SimSun" w:eastAsia="SimSun" w:cs="SimSun"/>
          <w:sz w:val="24"/>
          <w:szCs w:val="24"/>
          <w:spacing w:val="-1"/>
        </w:rPr>
        <w:t>改建后，生活污水经处理后全部回用，不外排，对环境的影响较小。</w:t>
      </w:r>
    </w:p>
    <w:p>
      <w:pPr>
        <w:ind w:left="119"/>
        <w:spacing w:before="24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5.3.3 </w:t>
      </w:r>
      <w:r>
        <w:rPr>
          <w:rFonts w:ascii="SimHei" w:hAnsi="SimHei" w:eastAsia="SimHei" w:cs="SimHei"/>
          <w:sz w:val="28"/>
          <w:szCs w:val="28"/>
          <w:b/>
          <w:bCs/>
          <w:spacing w:val="-2"/>
        </w:rPr>
        <w:t>本项目废水污染物排放信息</w:t>
      </w:r>
    </w:p>
    <w:p>
      <w:pPr>
        <w:ind w:left="600"/>
        <w:spacing w:before="168" w:line="219" w:lineRule="auto"/>
        <w:rPr>
          <w:rFonts w:ascii="SimSun" w:hAnsi="SimSun" w:eastAsia="SimSun" w:cs="SimSun"/>
          <w:sz w:val="24"/>
          <w:szCs w:val="24"/>
        </w:rPr>
      </w:pPr>
      <w:r>
        <w:rPr>
          <w:rFonts w:ascii="SimSun" w:hAnsi="SimSun" w:eastAsia="SimSun" w:cs="SimSun"/>
          <w:sz w:val="24"/>
          <w:szCs w:val="24"/>
          <w:spacing w:val="-1"/>
        </w:rPr>
        <w:t>本项目废水污染物排放信息表见表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5-3-1</w:t>
      </w:r>
      <w:r>
        <w:rPr>
          <w:rFonts w:ascii="SimSun" w:hAnsi="SimSun" w:eastAsia="SimSun" w:cs="SimSun"/>
          <w:sz w:val="24"/>
          <w:szCs w:val="24"/>
          <w:spacing w:val="-1"/>
        </w:rPr>
        <w:t>。</w:t>
      </w:r>
    </w:p>
    <w:p>
      <w:pPr>
        <w:ind w:left="2488"/>
        <w:spacing w:before="285" w:line="221" w:lineRule="auto"/>
        <w:rPr>
          <w:rFonts w:ascii="SimHei" w:hAnsi="SimHei" w:eastAsia="SimHei" w:cs="SimHei"/>
          <w:sz w:val="24"/>
          <w:szCs w:val="24"/>
        </w:rPr>
      </w:pPr>
      <w:r>
        <w:rPr>
          <w:rFonts w:ascii="SimHei" w:hAnsi="SimHei" w:eastAsia="SimHei" w:cs="SimHei"/>
          <w:sz w:val="24"/>
          <w:szCs w:val="24"/>
          <w:b/>
          <w:bCs/>
          <w:spacing w:val="-3"/>
        </w:rPr>
        <w:t>废水类别、污染物及污染治理设施信息表</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5-3-1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9"/>
        <w:gridCol w:w="892"/>
        <w:gridCol w:w="1022"/>
        <w:gridCol w:w="1144"/>
        <w:gridCol w:w="684"/>
        <w:gridCol w:w="5119"/>
      </w:tblGrid>
      <w:tr>
        <w:trPr>
          <w:trHeight w:val="333" w:hRule="atLeast"/>
        </w:trPr>
        <w:tc>
          <w:tcPr>
            <w:tcW w:w="429" w:type="dxa"/>
            <w:vAlign w:val="top"/>
          </w:tcPr>
          <w:p>
            <w:pPr>
              <w:ind w:left="112"/>
              <w:spacing w:before="60" w:line="229" w:lineRule="auto"/>
              <w:rPr>
                <w:rFonts w:ascii="SimSun" w:hAnsi="SimSun" w:eastAsia="SimSun" w:cs="SimSun"/>
                <w:sz w:val="20"/>
                <w:szCs w:val="20"/>
              </w:rPr>
            </w:pPr>
            <w:r>
              <w:rPr>
                <w:rFonts w:ascii="SimSun" w:hAnsi="SimSun" w:eastAsia="SimSun" w:cs="SimSun"/>
                <w:sz w:val="20"/>
                <w:szCs w:val="20"/>
                <w:spacing w:val="1"/>
              </w:rPr>
              <w:t>序</w:t>
            </w:r>
          </w:p>
        </w:tc>
        <w:tc>
          <w:tcPr>
            <w:tcW w:w="892" w:type="dxa"/>
            <w:vAlign w:val="top"/>
          </w:tcPr>
          <w:p>
            <w:pPr>
              <w:ind w:left="134"/>
              <w:spacing w:before="59" w:line="228" w:lineRule="auto"/>
              <w:rPr>
                <w:rFonts w:ascii="SimSun" w:hAnsi="SimSun" w:eastAsia="SimSun" w:cs="SimSun"/>
                <w:sz w:val="20"/>
                <w:szCs w:val="20"/>
              </w:rPr>
            </w:pPr>
            <w:r>
              <w:rPr>
                <w:rFonts w:ascii="SimSun" w:hAnsi="SimSun" w:eastAsia="SimSun" w:cs="SimSun"/>
                <w:sz w:val="20"/>
                <w:szCs w:val="20"/>
                <w:spacing w:val="7"/>
              </w:rPr>
              <w:t>废水类</w:t>
            </w:r>
          </w:p>
        </w:tc>
        <w:tc>
          <w:tcPr>
            <w:tcW w:w="1022" w:type="dxa"/>
            <w:vAlign w:val="top"/>
          </w:tcPr>
          <w:p>
            <w:pPr>
              <w:ind w:left="201"/>
              <w:spacing w:before="59" w:line="228" w:lineRule="auto"/>
              <w:rPr>
                <w:rFonts w:ascii="SimSun" w:hAnsi="SimSun" w:eastAsia="SimSun" w:cs="SimSun"/>
                <w:sz w:val="20"/>
                <w:szCs w:val="20"/>
              </w:rPr>
            </w:pPr>
            <w:r>
              <w:rPr>
                <w:rFonts w:ascii="SimSun" w:hAnsi="SimSun" w:eastAsia="SimSun" w:cs="SimSun"/>
                <w:sz w:val="20"/>
                <w:szCs w:val="20"/>
                <w:spacing w:val="6"/>
              </w:rPr>
              <w:t>产生位</w:t>
            </w:r>
          </w:p>
        </w:tc>
        <w:tc>
          <w:tcPr>
            <w:tcW w:w="1144" w:type="dxa"/>
            <w:vAlign w:val="top"/>
          </w:tcPr>
          <w:p>
            <w:pPr>
              <w:ind w:left="157"/>
              <w:spacing w:before="60" w:line="228" w:lineRule="auto"/>
              <w:rPr>
                <w:rFonts w:ascii="SimSun" w:hAnsi="SimSun" w:eastAsia="SimSun" w:cs="SimSun"/>
                <w:sz w:val="20"/>
                <w:szCs w:val="20"/>
              </w:rPr>
            </w:pPr>
            <w:r>
              <w:rPr>
                <w:rFonts w:ascii="SimSun" w:hAnsi="SimSun" w:eastAsia="SimSun" w:cs="SimSun"/>
                <w:sz w:val="20"/>
                <w:szCs w:val="20"/>
                <w:spacing w:val="6"/>
              </w:rPr>
              <w:t>污染物种</w:t>
            </w:r>
          </w:p>
        </w:tc>
        <w:tc>
          <w:tcPr>
            <w:tcW w:w="684" w:type="dxa"/>
            <w:vAlign w:val="top"/>
          </w:tcPr>
          <w:p>
            <w:pPr>
              <w:ind w:left="135"/>
              <w:spacing w:before="60" w:line="229" w:lineRule="auto"/>
              <w:rPr>
                <w:rFonts w:ascii="SimSun" w:hAnsi="SimSun" w:eastAsia="SimSun" w:cs="SimSun"/>
                <w:sz w:val="20"/>
                <w:szCs w:val="20"/>
              </w:rPr>
            </w:pPr>
            <w:r>
              <w:rPr>
                <w:rFonts w:ascii="SimSun" w:hAnsi="SimSun" w:eastAsia="SimSun" w:cs="SimSun"/>
                <w:sz w:val="20"/>
                <w:szCs w:val="20"/>
                <w:spacing w:val="4"/>
              </w:rPr>
              <w:t>排放</w:t>
            </w:r>
          </w:p>
        </w:tc>
        <w:tc>
          <w:tcPr>
            <w:tcW w:w="5119" w:type="dxa"/>
            <w:vAlign w:val="top"/>
          </w:tcPr>
          <w:p>
            <w:pPr>
              <w:ind w:left="1932"/>
              <w:spacing w:before="60" w:line="228" w:lineRule="auto"/>
              <w:rPr>
                <w:rFonts w:ascii="SimSun" w:hAnsi="SimSun" w:eastAsia="SimSun" w:cs="SimSun"/>
                <w:sz w:val="20"/>
                <w:szCs w:val="20"/>
              </w:rPr>
            </w:pPr>
            <w:r>
              <w:rPr>
                <w:rFonts w:ascii="SimSun" w:hAnsi="SimSun" w:eastAsia="SimSun" w:cs="SimSun"/>
                <w:sz w:val="20"/>
                <w:szCs w:val="20"/>
                <w:spacing w:val="7"/>
              </w:rPr>
              <w:t>污染治理设施</w:t>
            </w:r>
          </w:p>
        </w:tc>
      </w:tr>
    </w:tbl>
    <w:p>
      <w:pPr>
        <w:pStyle w:val="BodyText"/>
        <w:spacing w:line="73" w:lineRule="exact"/>
        <w:rPr>
          <w:sz w:val="6"/>
        </w:rPr>
      </w:pPr>
      <w:r/>
    </w:p>
    <w:p>
      <w:pPr>
        <w:spacing w:line="73" w:lineRule="exact"/>
        <w:sectPr>
          <w:headerReference w:type="default" r:id="rId97"/>
          <w:footerReference w:type="default" r:id="rId399"/>
          <w:pgSz w:w="11906" w:h="16838"/>
          <w:pgMar w:top="1170" w:right="1304" w:bottom="1080" w:left="1305" w:header="837" w:footer="918" w:gutter="0"/>
        </w:sectPr>
        <w:rPr>
          <w:sz w:val="6"/>
          <w:szCs w:val="6"/>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29"/>
        <w:gridCol w:w="892"/>
        <w:gridCol w:w="1022"/>
        <w:gridCol w:w="1144"/>
        <w:gridCol w:w="684"/>
        <w:gridCol w:w="1458"/>
        <w:gridCol w:w="3661"/>
      </w:tblGrid>
      <w:tr>
        <w:trPr>
          <w:trHeight w:val="661" w:hRule="atLeast"/>
        </w:trPr>
        <w:tc>
          <w:tcPr>
            <w:tcW w:w="429" w:type="dxa"/>
            <w:vAlign w:val="top"/>
          </w:tcPr>
          <w:p>
            <w:pPr>
              <w:ind w:left="118"/>
              <w:spacing w:before="62" w:line="229" w:lineRule="auto"/>
              <w:rPr>
                <w:rFonts w:ascii="SimSun" w:hAnsi="SimSun" w:eastAsia="SimSun" w:cs="SimSun"/>
                <w:sz w:val="20"/>
                <w:szCs w:val="20"/>
              </w:rPr>
            </w:pPr>
            <w:r>
              <w:rPr>
                <w:rFonts w:ascii="SimSun" w:hAnsi="SimSun" w:eastAsia="SimSun" w:cs="SimSun"/>
                <w:sz w:val="20"/>
                <w:szCs w:val="20"/>
              </w:rPr>
              <w:t>号</w:t>
            </w:r>
          </w:p>
        </w:tc>
        <w:tc>
          <w:tcPr>
            <w:tcW w:w="892" w:type="dxa"/>
            <w:vAlign w:val="top"/>
          </w:tcPr>
          <w:p>
            <w:pPr>
              <w:ind w:left="347"/>
              <w:spacing w:before="63" w:line="228" w:lineRule="auto"/>
              <w:rPr>
                <w:rFonts w:ascii="SimSun" w:hAnsi="SimSun" w:eastAsia="SimSun" w:cs="SimSun"/>
                <w:sz w:val="20"/>
                <w:szCs w:val="20"/>
              </w:rPr>
            </w:pPr>
            <w:r>
              <w:rPr>
                <w:rFonts w:ascii="SimSun" w:hAnsi="SimSun" w:eastAsia="SimSun" w:cs="SimSun"/>
                <w:sz w:val="20"/>
                <w:szCs w:val="20"/>
              </w:rPr>
              <w:t>别</w:t>
            </w:r>
          </w:p>
        </w:tc>
        <w:tc>
          <w:tcPr>
            <w:tcW w:w="1022" w:type="dxa"/>
            <w:vAlign w:val="top"/>
          </w:tcPr>
          <w:p>
            <w:pPr>
              <w:ind w:left="408"/>
              <w:spacing w:before="63" w:line="233" w:lineRule="auto"/>
              <w:rPr>
                <w:rFonts w:ascii="SimSun" w:hAnsi="SimSun" w:eastAsia="SimSun" w:cs="SimSun"/>
                <w:sz w:val="20"/>
                <w:szCs w:val="20"/>
              </w:rPr>
            </w:pPr>
            <w:r>
              <w:rPr>
                <w:rFonts w:ascii="SimSun" w:hAnsi="SimSun" w:eastAsia="SimSun" w:cs="SimSun"/>
                <w:sz w:val="20"/>
                <w:szCs w:val="20"/>
                <w:spacing w:val="2"/>
              </w:rPr>
              <w:t>置</w:t>
            </w:r>
          </w:p>
        </w:tc>
        <w:tc>
          <w:tcPr>
            <w:tcW w:w="1144" w:type="dxa"/>
            <w:vAlign w:val="top"/>
          </w:tcPr>
          <w:p>
            <w:pPr>
              <w:ind w:left="470"/>
              <w:spacing w:before="62" w:line="228" w:lineRule="auto"/>
              <w:rPr>
                <w:rFonts w:ascii="SimSun" w:hAnsi="SimSun" w:eastAsia="SimSun" w:cs="SimSun"/>
                <w:sz w:val="20"/>
                <w:szCs w:val="20"/>
              </w:rPr>
            </w:pPr>
            <w:r>
              <w:rPr>
                <w:rFonts w:ascii="SimSun" w:hAnsi="SimSun" w:eastAsia="SimSun" w:cs="SimSun"/>
                <w:sz w:val="20"/>
                <w:szCs w:val="20"/>
              </w:rPr>
              <w:t>类</w:t>
            </w:r>
          </w:p>
        </w:tc>
        <w:tc>
          <w:tcPr>
            <w:tcW w:w="684" w:type="dxa"/>
            <w:vAlign w:val="top"/>
          </w:tcPr>
          <w:p>
            <w:pPr>
              <w:ind w:left="138"/>
              <w:spacing w:before="63" w:line="228" w:lineRule="auto"/>
              <w:rPr>
                <w:rFonts w:ascii="SimSun" w:hAnsi="SimSun" w:eastAsia="SimSun" w:cs="SimSun"/>
                <w:sz w:val="20"/>
                <w:szCs w:val="20"/>
              </w:rPr>
            </w:pPr>
            <w:r>
              <w:rPr>
                <w:rFonts w:ascii="SimSun" w:hAnsi="SimSun" w:eastAsia="SimSun" w:cs="SimSun"/>
                <w:sz w:val="20"/>
                <w:szCs w:val="20"/>
                <w:spacing w:val="3"/>
              </w:rPr>
              <w:t>去向</w:t>
            </w:r>
          </w:p>
        </w:tc>
        <w:tc>
          <w:tcPr>
            <w:tcW w:w="1458" w:type="dxa"/>
            <w:vAlign w:val="top"/>
          </w:tcPr>
          <w:p>
            <w:pPr>
              <w:ind w:left="416" w:right="202" w:hanging="205"/>
              <w:spacing w:before="61" w:line="272" w:lineRule="auto"/>
              <w:rPr>
                <w:rFonts w:ascii="SimSun" w:hAnsi="SimSun" w:eastAsia="SimSun" w:cs="SimSun"/>
                <w:sz w:val="20"/>
                <w:szCs w:val="20"/>
              </w:rPr>
            </w:pPr>
            <w:r>
              <w:rPr>
                <w:rFonts w:ascii="SimSun" w:hAnsi="SimSun" w:eastAsia="SimSun" w:cs="SimSun"/>
                <w:sz w:val="20"/>
                <w:szCs w:val="20"/>
                <w:spacing w:val="7"/>
              </w:rPr>
              <w:t>污染治理设</w:t>
            </w:r>
            <w:r>
              <w:rPr>
                <w:rFonts w:ascii="SimSun" w:hAnsi="SimSun" w:eastAsia="SimSun" w:cs="SimSun"/>
                <w:sz w:val="20"/>
                <w:szCs w:val="20"/>
                <w:spacing w:val="7"/>
              </w:rPr>
              <w:t>置名称</w:t>
            </w:r>
          </w:p>
        </w:tc>
        <w:tc>
          <w:tcPr>
            <w:tcW w:w="3661" w:type="dxa"/>
            <w:vAlign w:val="top"/>
          </w:tcPr>
          <w:p>
            <w:pPr>
              <w:ind w:left="997"/>
              <w:spacing w:before="226" w:line="228" w:lineRule="auto"/>
              <w:rPr>
                <w:rFonts w:ascii="SimSun" w:hAnsi="SimSun" w:eastAsia="SimSun" w:cs="SimSun"/>
                <w:sz w:val="20"/>
                <w:szCs w:val="20"/>
              </w:rPr>
            </w:pPr>
            <w:r>
              <w:rPr>
                <w:rFonts w:ascii="SimSun" w:hAnsi="SimSun" w:eastAsia="SimSun" w:cs="SimSun"/>
                <w:sz w:val="20"/>
                <w:szCs w:val="20"/>
                <w:spacing w:val="8"/>
              </w:rPr>
              <w:t>污染治理设施工艺</w:t>
            </w:r>
          </w:p>
        </w:tc>
      </w:tr>
      <w:tr>
        <w:trPr>
          <w:trHeight w:val="656" w:hRule="atLeast"/>
        </w:trPr>
        <w:tc>
          <w:tcPr>
            <w:tcW w:w="429" w:type="dxa"/>
            <w:vAlign w:val="top"/>
          </w:tcPr>
          <w:p>
            <w:pPr>
              <w:pStyle w:val="TableText"/>
              <w:ind w:left="182"/>
              <w:spacing w:before="255" w:line="195" w:lineRule="auto"/>
              <w:rPr/>
            </w:pPr>
            <w:r>
              <w:rPr/>
              <w:t>1</w:t>
            </w:r>
          </w:p>
        </w:tc>
        <w:tc>
          <w:tcPr>
            <w:tcW w:w="892" w:type="dxa"/>
            <w:vAlign w:val="top"/>
          </w:tcPr>
          <w:p>
            <w:pPr>
              <w:ind w:left="134"/>
              <w:spacing w:before="219" w:line="228" w:lineRule="auto"/>
              <w:rPr>
                <w:rFonts w:ascii="SimSun" w:hAnsi="SimSun" w:eastAsia="SimSun" w:cs="SimSun"/>
                <w:sz w:val="20"/>
                <w:szCs w:val="20"/>
              </w:rPr>
            </w:pPr>
            <w:r>
              <w:rPr>
                <w:rFonts w:ascii="SimSun" w:hAnsi="SimSun" w:eastAsia="SimSun" w:cs="SimSun"/>
                <w:sz w:val="20"/>
                <w:szCs w:val="20"/>
                <w:spacing w:val="7"/>
              </w:rPr>
              <w:t>矿坑水</w:t>
            </w:r>
          </w:p>
        </w:tc>
        <w:tc>
          <w:tcPr>
            <w:tcW w:w="1022" w:type="dxa"/>
            <w:vAlign w:val="top"/>
          </w:tcPr>
          <w:p>
            <w:pPr>
              <w:ind w:left="303"/>
              <w:spacing w:before="219" w:line="228" w:lineRule="auto"/>
              <w:rPr>
                <w:rFonts w:ascii="SimSun" w:hAnsi="SimSun" w:eastAsia="SimSun" w:cs="SimSun"/>
                <w:sz w:val="20"/>
                <w:szCs w:val="20"/>
              </w:rPr>
            </w:pPr>
            <w:r>
              <w:rPr>
                <w:rFonts w:ascii="SimSun" w:hAnsi="SimSun" w:eastAsia="SimSun" w:cs="SimSun"/>
                <w:sz w:val="20"/>
                <w:szCs w:val="20"/>
                <w:spacing w:val="5"/>
              </w:rPr>
              <w:t>矿坑</w:t>
            </w:r>
          </w:p>
        </w:tc>
        <w:tc>
          <w:tcPr>
            <w:tcW w:w="1144" w:type="dxa"/>
            <w:vAlign w:val="top"/>
          </w:tcPr>
          <w:p>
            <w:pPr>
              <w:pStyle w:val="TableText"/>
              <w:ind w:right="13"/>
              <w:spacing w:before="94" w:line="183" w:lineRule="auto"/>
              <w:jc w:val="right"/>
              <w:rPr>
                <w:rFonts w:ascii="SimSun" w:hAnsi="SimSun" w:eastAsia="SimSun" w:cs="SimSun"/>
              </w:rPr>
            </w:pPr>
            <w:r>
              <w:rPr>
                <w:spacing w:val="-5"/>
              </w:rPr>
              <w:t>SS</w:t>
            </w:r>
            <w:r>
              <w:rPr>
                <w:rFonts w:ascii="SimSun" w:hAnsi="SimSun" w:eastAsia="SimSun" w:cs="SimSun"/>
                <w:spacing w:val="-5"/>
              </w:rPr>
              <w:t>、</w:t>
            </w:r>
            <w:r>
              <w:rPr>
                <w:spacing w:val="-5"/>
              </w:rPr>
              <w:t>COD</w:t>
            </w:r>
            <w:r>
              <w:rPr>
                <w:rFonts w:ascii="SimSun" w:hAnsi="SimSun" w:eastAsia="SimSun" w:cs="SimSun"/>
                <w:spacing w:val="-5"/>
              </w:rPr>
              <w:t>、</w:t>
            </w:r>
          </w:p>
          <w:p>
            <w:pPr>
              <w:ind w:left="262"/>
              <w:spacing w:before="89" w:line="228" w:lineRule="auto"/>
              <w:rPr>
                <w:rFonts w:ascii="SimSun" w:hAnsi="SimSun" w:eastAsia="SimSun" w:cs="SimSun"/>
                <w:sz w:val="20"/>
                <w:szCs w:val="20"/>
              </w:rPr>
            </w:pPr>
            <w:r>
              <w:rPr>
                <w:rFonts w:ascii="SimSun" w:hAnsi="SimSun" w:eastAsia="SimSun" w:cs="SimSun"/>
                <w:sz w:val="20"/>
                <w:szCs w:val="20"/>
                <w:spacing w:val="6"/>
              </w:rPr>
              <w:t>石油类</w:t>
            </w:r>
          </w:p>
        </w:tc>
        <w:tc>
          <w:tcPr>
            <w:tcW w:w="684" w:type="dxa"/>
            <w:vAlign w:val="top"/>
          </w:tcPr>
          <w:p>
            <w:pPr>
              <w:ind w:left="237" w:right="133" w:hanging="99"/>
              <w:spacing w:before="58" w:line="271" w:lineRule="auto"/>
              <w:rPr>
                <w:rFonts w:ascii="SimSun" w:hAnsi="SimSun" w:eastAsia="SimSun" w:cs="SimSun"/>
                <w:sz w:val="20"/>
                <w:szCs w:val="20"/>
              </w:rPr>
            </w:pPr>
            <w:r>
              <w:rPr>
                <w:rFonts w:ascii="SimSun" w:hAnsi="SimSun" w:eastAsia="SimSun" w:cs="SimSun"/>
                <w:sz w:val="20"/>
                <w:szCs w:val="20"/>
                <w:spacing w:val="3"/>
              </w:rPr>
              <w:t>不排</w:t>
            </w:r>
            <w:r>
              <w:rPr>
                <w:rFonts w:ascii="SimSun" w:hAnsi="SimSun" w:eastAsia="SimSun" w:cs="SimSun"/>
                <w:sz w:val="20"/>
                <w:szCs w:val="20"/>
              </w:rPr>
              <w:t>放</w:t>
            </w:r>
          </w:p>
        </w:tc>
        <w:tc>
          <w:tcPr>
            <w:tcW w:w="1458" w:type="dxa"/>
            <w:vAlign w:val="top"/>
          </w:tcPr>
          <w:p>
            <w:pPr>
              <w:ind w:left="421" w:right="103" w:hanging="309"/>
              <w:spacing w:before="58" w:line="271" w:lineRule="auto"/>
              <w:rPr>
                <w:rFonts w:ascii="SimSun" w:hAnsi="SimSun" w:eastAsia="SimSun" w:cs="SimSun"/>
                <w:sz w:val="20"/>
                <w:szCs w:val="20"/>
              </w:rPr>
            </w:pPr>
            <w:r>
              <w:rPr>
                <w:rFonts w:ascii="SimSun" w:hAnsi="SimSun" w:eastAsia="SimSun" w:cs="SimSun"/>
                <w:sz w:val="20"/>
                <w:szCs w:val="20"/>
                <w:spacing w:val="6"/>
              </w:rPr>
              <w:t>矿井（坑）水</w:t>
            </w:r>
            <w:r>
              <w:rPr>
                <w:rFonts w:ascii="SimSun" w:hAnsi="SimSun" w:eastAsia="SimSun" w:cs="SimSun"/>
                <w:sz w:val="20"/>
                <w:szCs w:val="20"/>
                <w:spacing w:val="5"/>
              </w:rPr>
              <w:t>处理站</w:t>
            </w:r>
          </w:p>
        </w:tc>
        <w:tc>
          <w:tcPr>
            <w:tcW w:w="3661" w:type="dxa"/>
            <w:vAlign w:val="top"/>
          </w:tcPr>
          <w:p>
            <w:pPr>
              <w:pStyle w:val="TableText"/>
              <w:ind w:left="316"/>
              <w:spacing w:before="58" w:line="228" w:lineRule="auto"/>
              <w:rPr>
                <w:rFonts w:ascii="SimSun" w:hAnsi="SimSun" w:eastAsia="SimSun" w:cs="SimSun"/>
              </w:rPr>
            </w:pPr>
            <w:r>
              <w:rPr>
                <w:spacing w:val="5"/>
              </w:rPr>
              <w:t>18000m</w:t>
            </w:r>
            <w:r>
              <w:rPr>
                <w:sz w:val="13"/>
                <w:szCs w:val="13"/>
                <w:spacing w:val="5"/>
                <w:position w:val="6"/>
              </w:rPr>
              <w:t>3</w:t>
            </w:r>
            <w:r>
              <w:rPr>
                <w:spacing w:val="5"/>
              </w:rPr>
              <w:t>/d </w:t>
            </w:r>
            <w:r>
              <w:rPr>
                <w:rFonts w:ascii="SimSun" w:hAnsi="SimSun" w:eastAsia="SimSun" w:cs="SimSun"/>
                <w:spacing w:val="5"/>
              </w:rPr>
              <w:t>矿井（坑）水处理站。</w:t>
            </w:r>
          </w:p>
          <w:p>
            <w:pPr>
              <w:pStyle w:val="TableText"/>
              <w:ind w:left="107"/>
              <w:spacing w:before="77" w:line="227" w:lineRule="auto"/>
              <w:rPr/>
            </w:pPr>
            <w:r>
              <w:rPr>
                <w:spacing w:val="13"/>
              </w:rPr>
              <w:t>“</w:t>
            </w:r>
            <w:r>
              <w:rPr>
                <w:rFonts w:ascii="SimSun" w:hAnsi="SimSun" w:eastAsia="SimSun" w:cs="SimSun"/>
                <w:spacing w:val="13"/>
              </w:rPr>
              <w:t>絮凝沉淀</w:t>
            </w:r>
            <w:r>
              <w:rPr>
                <w:spacing w:val="13"/>
              </w:rPr>
              <w:t>+</w:t>
            </w:r>
            <w:r>
              <w:rPr>
                <w:rFonts w:ascii="SimSun" w:hAnsi="SimSun" w:eastAsia="SimSun" w:cs="SimSun"/>
                <w:spacing w:val="13"/>
              </w:rPr>
              <w:t>气浮处理</w:t>
            </w:r>
            <w:r>
              <w:rPr>
                <w:spacing w:val="13"/>
              </w:rPr>
              <w:t>+</w:t>
            </w:r>
            <w:r>
              <w:rPr>
                <w:rFonts w:ascii="SimSun" w:hAnsi="SimSun" w:eastAsia="SimSun" w:cs="SimSun"/>
                <w:spacing w:val="13"/>
              </w:rPr>
              <w:t>一体化净水器</w:t>
            </w:r>
            <w:r>
              <w:rPr>
                <w:spacing w:val="13"/>
              </w:rPr>
              <w:t>”</w:t>
            </w:r>
          </w:p>
        </w:tc>
      </w:tr>
      <w:tr>
        <w:trPr>
          <w:trHeight w:val="1322" w:hRule="atLeast"/>
        </w:trPr>
        <w:tc>
          <w:tcPr>
            <w:tcW w:w="429" w:type="dxa"/>
            <w:vAlign w:val="top"/>
          </w:tcPr>
          <w:p>
            <w:pPr>
              <w:spacing w:line="263" w:lineRule="auto"/>
              <w:rPr>
                <w:rFonts w:ascii="Arial"/>
                <w:sz w:val="21"/>
              </w:rPr>
            </w:pPr>
            <w:r/>
          </w:p>
          <w:p>
            <w:pPr>
              <w:spacing w:line="264" w:lineRule="auto"/>
              <w:rPr>
                <w:rFonts w:ascii="Arial"/>
                <w:sz w:val="21"/>
              </w:rPr>
            </w:pPr>
            <w:r/>
          </w:p>
          <w:p>
            <w:pPr>
              <w:pStyle w:val="TableText"/>
              <w:ind w:left="162"/>
              <w:spacing w:before="58" w:line="195" w:lineRule="auto"/>
              <w:rPr/>
            </w:pPr>
            <w:r>
              <w:rPr/>
              <w:t>2</w:t>
            </w:r>
          </w:p>
        </w:tc>
        <w:tc>
          <w:tcPr>
            <w:tcW w:w="892" w:type="dxa"/>
            <w:vAlign w:val="top"/>
          </w:tcPr>
          <w:p>
            <w:pPr>
              <w:spacing w:line="321" w:lineRule="auto"/>
              <w:rPr>
                <w:rFonts w:ascii="Arial"/>
                <w:sz w:val="21"/>
              </w:rPr>
            </w:pPr>
            <w:r/>
          </w:p>
          <w:p>
            <w:pPr>
              <w:ind w:left="346" w:right="130" w:hanging="209"/>
              <w:spacing w:before="65" w:line="303" w:lineRule="auto"/>
              <w:rPr>
                <w:rFonts w:ascii="SimSun" w:hAnsi="SimSun" w:eastAsia="SimSun" w:cs="SimSun"/>
                <w:sz w:val="20"/>
                <w:szCs w:val="20"/>
              </w:rPr>
            </w:pPr>
            <w:r>
              <w:rPr>
                <w:rFonts w:ascii="SimSun" w:hAnsi="SimSun" w:eastAsia="SimSun" w:cs="SimSun"/>
                <w:sz w:val="20"/>
                <w:szCs w:val="20"/>
                <w:spacing w:val="6"/>
              </w:rPr>
              <w:t>生活污</w:t>
            </w:r>
            <w:r>
              <w:rPr>
                <w:rFonts w:ascii="SimSun" w:hAnsi="SimSun" w:eastAsia="SimSun" w:cs="SimSun"/>
                <w:sz w:val="20"/>
                <w:szCs w:val="20"/>
              </w:rPr>
              <w:t>水</w:t>
            </w:r>
          </w:p>
        </w:tc>
        <w:tc>
          <w:tcPr>
            <w:tcW w:w="1022" w:type="dxa"/>
            <w:vAlign w:val="top"/>
          </w:tcPr>
          <w:p>
            <w:pPr>
              <w:ind w:left="206"/>
              <w:spacing w:before="226" w:line="228" w:lineRule="auto"/>
              <w:rPr>
                <w:rFonts w:ascii="SimSun" w:hAnsi="SimSun" w:eastAsia="SimSun" w:cs="SimSun"/>
                <w:sz w:val="20"/>
                <w:szCs w:val="20"/>
              </w:rPr>
            </w:pPr>
            <w:r>
              <w:rPr>
                <w:rFonts w:ascii="SimSun" w:hAnsi="SimSun" w:eastAsia="SimSun" w:cs="SimSun"/>
                <w:sz w:val="20"/>
                <w:szCs w:val="20"/>
                <w:spacing w:val="5"/>
              </w:rPr>
              <w:t>露天区</w:t>
            </w:r>
          </w:p>
          <w:p>
            <w:pPr>
              <w:ind w:left="203"/>
              <w:spacing w:before="79" w:line="228" w:lineRule="auto"/>
              <w:rPr>
                <w:rFonts w:ascii="SimSun" w:hAnsi="SimSun" w:eastAsia="SimSun" w:cs="SimSun"/>
                <w:sz w:val="20"/>
                <w:szCs w:val="20"/>
              </w:rPr>
            </w:pPr>
            <w:r>
              <w:rPr>
                <w:rFonts w:ascii="SimSun" w:hAnsi="SimSun" w:eastAsia="SimSun" w:cs="SimSun"/>
                <w:sz w:val="20"/>
                <w:szCs w:val="20"/>
                <w:spacing w:val="6"/>
              </w:rPr>
              <w:t>工业场</w:t>
            </w:r>
          </w:p>
          <w:p>
            <w:pPr>
              <w:ind w:left="410"/>
              <w:spacing w:before="79" w:line="237" w:lineRule="auto"/>
              <w:rPr>
                <w:rFonts w:ascii="SimSun" w:hAnsi="SimSun" w:eastAsia="SimSun" w:cs="SimSun"/>
                <w:sz w:val="20"/>
                <w:szCs w:val="20"/>
              </w:rPr>
            </w:pPr>
            <w:r>
              <w:rPr>
                <w:rFonts w:ascii="SimSun" w:hAnsi="SimSun" w:eastAsia="SimSun" w:cs="SimSun"/>
                <w:sz w:val="20"/>
                <w:szCs w:val="20"/>
              </w:rPr>
              <w:t>地</w:t>
            </w:r>
          </w:p>
        </w:tc>
        <w:tc>
          <w:tcPr>
            <w:tcW w:w="1144" w:type="dxa"/>
            <w:vAlign w:val="top"/>
          </w:tcPr>
          <w:p>
            <w:pPr>
              <w:pStyle w:val="TableText"/>
              <w:ind w:left="210" w:right="36" w:hanging="95"/>
              <w:spacing w:before="261" w:line="303" w:lineRule="auto"/>
              <w:rPr>
                <w:rFonts w:ascii="SimSun" w:hAnsi="SimSun" w:eastAsia="SimSun" w:cs="SimSun"/>
              </w:rPr>
            </w:pPr>
            <w:r>
              <w:rPr>
                <w:spacing w:val="-9"/>
              </w:rPr>
              <w:t>SS</w:t>
            </w:r>
            <w:r>
              <w:rPr>
                <w:rFonts w:ascii="SimSun" w:hAnsi="SimSun" w:eastAsia="SimSun" w:cs="SimSun"/>
                <w:spacing w:val="-9"/>
              </w:rPr>
              <w:t>、</w:t>
            </w:r>
            <w:r>
              <w:rPr>
                <w:spacing w:val="-9"/>
              </w:rPr>
              <w:t>COD</w:t>
            </w:r>
            <w:r>
              <w:rPr>
                <w:rFonts w:ascii="SimSun" w:hAnsi="SimSun" w:eastAsia="SimSun" w:cs="SimSun"/>
                <w:spacing w:val="-9"/>
              </w:rPr>
              <w:t>、</w:t>
            </w:r>
            <w:r>
              <w:rPr>
                <w:rFonts w:ascii="SimSun" w:hAnsi="SimSun" w:eastAsia="SimSun" w:cs="SimSun"/>
                <w:spacing w:val="3"/>
              </w:rPr>
              <w:t xml:space="preserve"> </w:t>
            </w:r>
            <w:r>
              <w:rPr/>
              <w:t>BOD</w:t>
            </w:r>
            <w:r>
              <w:rPr>
                <w:sz w:val="13"/>
                <w:szCs w:val="13"/>
                <w:spacing w:val="9"/>
                <w:position w:val="-1"/>
              </w:rPr>
              <w:t>5</w:t>
            </w:r>
            <w:r>
              <w:rPr>
                <w:rFonts w:ascii="SimSun" w:hAnsi="SimSun" w:eastAsia="SimSun" w:cs="SimSun"/>
                <w:spacing w:val="9"/>
              </w:rPr>
              <w:t>、</w:t>
            </w:r>
          </w:p>
          <w:p>
            <w:pPr>
              <w:pStyle w:val="TableText"/>
              <w:ind w:left="267"/>
              <w:spacing w:line="208" w:lineRule="auto"/>
              <w:rPr/>
            </w:pPr>
            <w:r>
              <w:rPr/>
              <w:t>NH</w:t>
            </w:r>
            <w:r>
              <w:rPr>
                <w:sz w:val="13"/>
                <w:szCs w:val="13"/>
                <w:spacing w:val="10"/>
              </w:rPr>
              <w:t>3</w:t>
            </w:r>
            <w:r>
              <w:rPr>
                <w:spacing w:val="10"/>
              </w:rPr>
              <w:t>-N</w:t>
            </w:r>
          </w:p>
        </w:tc>
        <w:tc>
          <w:tcPr>
            <w:tcW w:w="684" w:type="dxa"/>
            <w:vAlign w:val="top"/>
          </w:tcPr>
          <w:p>
            <w:pPr>
              <w:spacing w:line="323" w:lineRule="auto"/>
              <w:rPr>
                <w:rFonts w:ascii="Arial"/>
                <w:sz w:val="21"/>
              </w:rPr>
            </w:pPr>
            <w:r/>
          </w:p>
          <w:p>
            <w:pPr>
              <w:ind w:left="237" w:right="133" w:hanging="99"/>
              <w:spacing w:before="65" w:line="303" w:lineRule="auto"/>
              <w:rPr>
                <w:rFonts w:ascii="SimSun" w:hAnsi="SimSun" w:eastAsia="SimSun" w:cs="SimSun"/>
                <w:sz w:val="20"/>
                <w:szCs w:val="20"/>
              </w:rPr>
            </w:pPr>
            <w:r>
              <w:rPr>
                <w:rFonts w:ascii="SimSun" w:hAnsi="SimSun" w:eastAsia="SimSun" w:cs="SimSun"/>
                <w:sz w:val="20"/>
                <w:szCs w:val="20"/>
                <w:spacing w:val="3"/>
              </w:rPr>
              <w:t>不排</w:t>
            </w:r>
            <w:r>
              <w:rPr>
                <w:rFonts w:ascii="SimSun" w:hAnsi="SimSun" w:eastAsia="SimSun" w:cs="SimSun"/>
                <w:sz w:val="20"/>
                <w:szCs w:val="20"/>
              </w:rPr>
              <w:t>放</w:t>
            </w:r>
          </w:p>
        </w:tc>
        <w:tc>
          <w:tcPr>
            <w:tcW w:w="1458" w:type="dxa"/>
            <w:vAlign w:val="top"/>
          </w:tcPr>
          <w:p>
            <w:pPr>
              <w:ind w:left="214"/>
              <w:spacing w:before="226" w:line="228" w:lineRule="auto"/>
              <w:rPr>
                <w:rFonts w:ascii="SimSun" w:hAnsi="SimSun" w:eastAsia="SimSun" w:cs="SimSun"/>
                <w:sz w:val="20"/>
                <w:szCs w:val="20"/>
              </w:rPr>
            </w:pPr>
            <w:r>
              <w:rPr>
                <w:rFonts w:ascii="SimSun" w:hAnsi="SimSun" w:eastAsia="SimSun" w:cs="SimSun"/>
                <w:sz w:val="20"/>
                <w:szCs w:val="20"/>
                <w:spacing w:val="6"/>
              </w:rPr>
              <w:t>露天区生活</w:t>
            </w:r>
          </w:p>
          <w:p>
            <w:pPr>
              <w:ind w:left="211"/>
              <w:spacing w:before="78" w:line="228" w:lineRule="auto"/>
              <w:rPr>
                <w:rFonts w:ascii="SimSun" w:hAnsi="SimSun" w:eastAsia="SimSun" w:cs="SimSun"/>
                <w:sz w:val="20"/>
                <w:szCs w:val="20"/>
              </w:rPr>
            </w:pPr>
            <w:r>
              <w:rPr>
                <w:rFonts w:ascii="SimSun" w:hAnsi="SimSun" w:eastAsia="SimSun" w:cs="SimSun"/>
                <w:sz w:val="20"/>
                <w:szCs w:val="20"/>
                <w:spacing w:val="7"/>
              </w:rPr>
              <w:t>污水水处理</w:t>
            </w:r>
          </w:p>
          <w:p>
            <w:pPr>
              <w:ind w:left="630"/>
              <w:spacing w:before="79" w:line="231" w:lineRule="auto"/>
              <w:rPr>
                <w:rFonts w:ascii="SimSun" w:hAnsi="SimSun" w:eastAsia="SimSun" w:cs="SimSun"/>
                <w:sz w:val="20"/>
                <w:szCs w:val="20"/>
              </w:rPr>
            </w:pPr>
            <w:r>
              <w:rPr>
                <w:rFonts w:ascii="SimSun" w:hAnsi="SimSun" w:eastAsia="SimSun" w:cs="SimSun"/>
                <w:sz w:val="20"/>
                <w:szCs w:val="20"/>
              </w:rPr>
              <w:t>站</w:t>
            </w:r>
          </w:p>
        </w:tc>
        <w:tc>
          <w:tcPr>
            <w:tcW w:w="3661" w:type="dxa"/>
            <w:vAlign w:val="top"/>
          </w:tcPr>
          <w:p>
            <w:pPr>
              <w:spacing w:line="321" w:lineRule="auto"/>
              <w:rPr>
                <w:rFonts w:ascii="Arial"/>
                <w:sz w:val="21"/>
              </w:rPr>
            </w:pPr>
            <w:r/>
          </w:p>
          <w:p>
            <w:pPr>
              <w:pStyle w:val="TableText"/>
              <w:ind w:left="381"/>
              <w:spacing w:before="65" w:line="228" w:lineRule="auto"/>
              <w:rPr>
                <w:rFonts w:ascii="SimSun" w:hAnsi="SimSun" w:eastAsia="SimSun" w:cs="SimSun"/>
              </w:rPr>
            </w:pPr>
            <w:r>
              <w:rPr/>
              <w:t>MBR</w:t>
            </w:r>
            <w:r>
              <w:rPr>
                <w:spacing w:val="8"/>
              </w:rPr>
              <w:t>-50</w:t>
            </w:r>
            <w:r>
              <w:rPr>
                <w:spacing w:val="27"/>
              </w:rPr>
              <w:t xml:space="preserve"> </w:t>
            </w:r>
            <w:r>
              <w:rPr>
                <w:rFonts w:ascii="SimSun" w:hAnsi="SimSun" w:eastAsia="SimSun" w:cs="SimSun"/>
                <w:spacing w:val="8"/>
              </w:rPr>
              <w:t>型一体化污水处理装置</w:t>
            </w:r>
          </w:p>
          <w:p>
            <w:pPr>
              <w:pStyle w:val="TableText"/>
              <w:ind w:left="856"/>
              <w:spacing w:before="79" w:line="227" w:lineRule="auto"/>
              <w:rPr/>
            </w:pPr>
            <w:r>
              <w:rPr>
                <w:spacing w:val="17"/>
              </w:rPr>
              <w:t>“</w:t>
            </w:r>
            <w:r>
              <w:rPr>
                <w:rFonts w:ascii="SimSun" w:hAnsi="SimSun" w:eastAsia="SimSun" w:cs="SimSun"/>
                <w:spacing w:val="17"/>
              </w:rPr>
              <w:t>生物接触氧化工艺</w:t>
            </w:r>
            <w:r>
              <w:rPr>
                <w:spacing w:val="17"/>
              </w:rPr>
              <w:t>”</w:t>
            </w:r>
          </w:p>
        </w:tc>
      </w:tr>
    </w:tbl>
    <w:p>
      <w:pPr>
        <w:pStyle w:val="BodyText"/>
        <w:spacing w:line="291" w:lineRule="auto"/>
        <w:rPr/>
      </w:pPr>
      <w:r/>
    </w:p>
    <w:p>
      <w:pPr>
        <w:pStyle w:val="BodyText"/>
        <w:spacing w:line="292" w:lineRule="auto"/>
        <w:rPr/>
      </w:pPr>
      <w:r/>
    </w:p>
    <w:p>
      <w:pPr>
        <w:ind w:left="119"/>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5.3.4 </w:t>
      </w:r>
      <w:r>
        <w:rPr>
          <w:rFonts w:ascii="SimHei" w:hAnsi="SimHei" w:eastAsia="SimHei" w:cs="SimHei"/>
          <w:sz w:val="28"/>
          <w:szCs w:val="28"/>
          <w:b/>
          <w:bCs/>
          <w:spacing w:val="-2"/>
        </w:rPr>
        <w:t>地表述环境影响评价自查表</w:t>
      </w:r>
    </w:p>
    <w:p>
      <w:pPr>
        <w:ind w:left="600"/>
        <w:spacing w:before="170" w:line="218" w:lineRule="auto"/>
        <w:rPr>
          <w:rFonts w:ascii="Times New Roman" w:hAnsi="Times New Roman" w:eastAsia="Times New Roman" w:cs="Times New Roman"/>
          <w:sz w:val="24"/>
          <w:szCs w:val="24"/>
        </w:rPr>
      </w:pPr>
      <w:r>
        <w:rPr>
          <w:rFonts w:ascii="SimSun" w:hAnsi="SimSun" w:eastAsia="SimSun" w:cs="SimSun"/>
          <w:sz w:val="24"/>
          <w:szCs w:val="24"/>
          <w:spacing w:val="-1"/>
        </w:rPr>
        <w:t>本项目地表水环境影响评价自查表见表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5-3-2.</w:t>
      </w:r>
    </w:p>
    <w:p>
      <w:pPr>
        <w:ind w:left="3451"/>
        <w:spacing w:before="282" w:line="222" w:lineRule="auto"/>
        <w:rPr>
          <w:rFonts w:ascii="SimHei" w:hAnsi="SimHei" w:eastAsia="SimHei" w:cs="SimHei"/>
          <w:sz w:val="24"/>
          <w:szCs w:val="24"/>
        </w:rPr>
      </w:pPr>
      <w:r>
        <w:rPr>
          <w:rFonts w:ascii="SimHei" w:hAnsi="SimHei" w:eastAsia="SimHei" w:cs="SimHei"/>
          <w:sz w:val="24"/>
          <w:szCs w:val="24"/>
          <w:b/>
          <w:bCs/>
          <w:spacing w:val="-3"/>
        </w:rPr>
        <w:t>地表水影响评价自查表</w:t>
      </w:r>
    </w:p>
    <w:p>
      <w:pPr>
        <w:ind w:left="117"/>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5-3-2</w:t>
      </w:r>
    </w:p>
    <w:tbl>
      <w:tblPr>
        <w:tblStyle w:val="TableNormal"/>
        <w:tblW w:w="9131" w:type="dxa"/>
        <w:tblInd w:w="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6"/>
        <w:gridCol w:w="1549"/>
        <w:gridCol w:w="1844"/>
        <w:gridCol w:w="895"/>
        <w:gridCol w:w="4567"/>
      </w:tblGrid>
      <w:tr>
        <w:trPr>
          <w:trHeight w:val="335" w:hRule="atLeast"/>
        </w:trPr>
        <w:tc>
          <w:tcPr>
            <w:tcW w:w="1825" w:type="dxa"/>
            <w:vAlign w:val="top"/>
            <w:gridSpan w:val="2"/>
          </w:tcPr>
          <w:p>
            <w:pPr>
              <w:ind w:left="500"/>
              <w:spacing w:before="62" w:line="228" w:lineRule="auto"/>
              <w:rPr>
                <w:rFonts w:ascii="SimSun" w:hAnsi="SimSun" w:eastAsia="SimSun" w:cs="SimSun"/>
                <w:sz w:val="20"/>
                <w:szCs w:val="20"/>
              </w:rPr>
            </w:pPr>
            <w:r>
              <w:rPr>
                <w:rFonts w:ascii="SimSun" w:hAnsi="SimSun" w:eastAsia="SimSun" w:cs="SimSun"/>
                <w:sz w:val="20"/>
                <w:szCs w:val="20"/>
                <w:spacing w:val="6"/>
              </w:rPr>
              <w:t>工作内容</w:t>
            </w:r>
          </w:p>
        </w:tc>
        <w:tc>
          <w:tcPr>
            <w:tcW w:w="7306" w:type="dxa"/>
            <w:vAlign w:val="top"/>
            <w:gridSpan w:val="3"/>
          </w:tcPr>
          <w:p>
            <w:pPr>
              <w:ind w:left="3271"/>
              <w:spacing w:before="62" w:line="228" w:lineRule="auto"/>
              <w:rPr>
                <w:rFonts w:ascii="SimSun" w:hAnsi="SimSun" w:eastAsia="SimSun" w:cs="SimSun"/>
                <w:sz w:val="20"/>
                <w:szCs w:val="20"/>
              </w:rPr>
            </w:pPr>
            <w:r>
              <w:rPr>
                <w:rFonts w:ascii="SimSun" w:hAnsi="SimSun" w:eastAsia="SimSun" w:cs="SimSun"/>
                <w:sz w:val="20"/>
                <w:szCs w:val="20"/>
                <w:spacing w:val="-2"/>
              </w:rPr>
              <w:t>自查项目</w:t>
            </w:r>
          </w:p>
        </w:tc>
      </w:tr>
      <w:tr>
        <w:trPr>
          <w:trHeight w:val="331" w:hRule="atLeast"/>
        </w:trPr>
        <w:tc>
          <w:tcPr>
            <w:tcW w:w="276" w:type="dxa"/>
            <w:vAlign w:val="top"/>
            <w:vMerge w:val="restart"/>
            <w:textDirection w:val="tbRlV"/>
            <w:tcBorders>
              <w:bottom w:val="nil"/>
            </w:tcBorders>
          </w:tcPr>
          <w:p>
            <w:pPr>
              <w:ind w:left="1299"/>
              <w:spacing w:before="31"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36"/>
              </w:rPr>
              <w:t xml:space="preserve"> </w:t>
            </w:r>
            <w:r>
              <w:rPr>
                <w:rFonts w:ascii="SimSun" w:hAnsi="SimSun" w:eastAsia="SimSun" w:cs="SimSun"/>
                <w:sz w:val="20"/>
                <w:szCs w:val="20"/>
                <w:spacing w:val="8"/>
              </w:rPr>
              <w:t>响</w:t>
            </w:r>
            <w:r>
              <w:rPr>
                <w:rFonts w:ascii="SimSun" w:hAnsi="SimSun" w:eastAsia="SimSun" w:cs="SimSun"/>
                <w:sz w:val="20"/>
                <w:szCs w:val="20"/>
                <w:spacing w:val="-38"/>
              </w:rPr>
              <w:t xml:space="preserve"> </w:t>
            </w:r>
            <w:r>
              <w:rPr>
                <w:rFonts w:ascii="SimSun" w:hAnsi="SimSun" w:eastAsia="SimSun" w:cs="SimSun"/>
                <w:sz w:val="20"/>
                <w:szCs w:val="20"/>
                <w:spacing w:val="8"/>
              </w:rPr>
              <w:t>识</w:t>
            </w:r>
            <w:r>
              <w:rPr>
                <w:rFonts w:ascii="SimSun" w:hAnsi="SimSun" w:eastAsia="SimSun" w:cs="SimSun"/>
                <w:sz w:val="20"/>
                <w:szCs w:val="20"/>
                <w:spacing w:val="-35"/>
              </w:rPr>
              <w:t xml:space="preserve"> </w:t>
            </w:r>
            <w:r>
              <w:rPr>
                <w:rFonts w:ascii="SimSun" w:hAnsi="SimSun" w:eastAsia="SimSun" w:cs="SimSun"/>
                <w:sz w:val="20"/>
                <w:szCs w:val="20"/>
                <w:spacing w:val="8"/>
              </w:rPr>
              <w:t>别</w:t>
            </w:r>
          </w:p>
        </w:tc>
        <w:tc>
          <w:tcPr>
            <w:tcW w:w="1549" w:type="dxa"/>
            <w:vAlign w:val="top"/>
          </w:tcPr>
          <w:p>
            <w:pPr>
              <w:ind w:left="358"/>
              <w:spacing w:before="58" w:line="228" w:lineRule="auto"/>
              <w:rPr>
                <w:rFonts w:ascii="SimSun" w:hAnsi="SimSun" w:eastAsia="SimSun" w:cs="SimSun"/>
                <w:sz w:val="20"/>
                <w:szCs w:val="20"/>
              </w:rPr>
            </w:pPr>
            <w:r>
              <w:rPr>
                <w:rFonts w:ascii="SimSun" w:hAnsi="SimSun" w:eastAsia="SimSun" w:cs="SimSun"/>
                <w:sz w:val="20"/>
                <w:szCs w:val="20"/>
                <w:spacing w:val="7"/>
              </w:rPr>
              <w:t>影响类型</w:t>
            </w:r>
          </w:p>
        </w:tc>
        <w:tc>
          <w:tcPr>
            <w:tcW w:w="7306" w:type="dxa"/>
            <w:vAlign w:val="top"/>
            <w:gridSpan w:val="3"/>
          </w:tcPr>
          <w:p>
            <w:pPr>
              <w:pStyle w:val="TableText"/>
              <w:ind w:left="33"/>
              <w:spacing w:before="58" w:line="228" w:lineRule="auto"/>
              <w:rPr/>
            </w:pPr>
            <w:r>
              <w:rPr>
                <w:rFonts w:ascii="SimSun" w:hAnsi="SimSun" w:eastAsia="SimSun" w:cs="SimSun"/>
                <w:spacing w:val="9"/>
              </w:rPr>
              <w:t>水污染影响型</w:t>
            </w:r>
            <w:r>
              <w:rPr>
                <w:rFonts w:ascii="MS UI Gothic" w:hAnsi="MS UI Gothic" w:eastAsia="MS UI Gothic" w:cs="MS UI Gothic"/>
                <w:spacing w:val="9"/>
              </w:rPr>
              <w:t>☑</w:t>
            </w:r>
            <w:r>
              <w:rPr>
                <w:rFonts w:ascii="SimSun" w:hAnsi="SimSun" w:eastAsia="SimSun" w:cs="SimSun"/>
                <w:spacing w:val="9"/>
              </w:rPr>
              <w:t>；水文要素影响型</w:t>
            </w:r>
            <w:r>
              <w:rPr>
                <w:spacing w:val="9"/>
              </w:rPr>
              <w:t>□</w:t>
            </w:r>
          </w:p>
        </w:tc>
      </w:tr>
      <w:tr>
        <w:trPr>
          <w:trHeight w:val="983"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spacing w:line="315" w:lineRule="auto"/>
              <w:rPr>
                <w:rFonts w:ascii="Arial"/>
                <w:sz w:val="21"/>
              </w:rPr>
            </w:pPr>
            <w:r/>
          </w:p>
          <w:p>
            <w:pPr>
              <w:ind w:left="44"/>
              <w:spacing w:before="65" w:line="228" w:lineRule="auto"/>
              <w:rPr>
                <w:rFonts w:ascii="SimSun" w:hAnsi="SimSun" w:eastAsia="SimSun" w:cs="SimSun"/>
                <w:sz w:val="20"/>
                <w:szCs w:val="20"/>
              </w:rPr>
            </w:pPr>
            <w:r>
              <w:rPr>
                <w:rFonts w:ascii="SimSun" w:hAnsi="SimSun" w:eastAsia="SimSun" w:cs="SimSun"/>
                <w:sz w:val="20"/>
                <w:szCs w:val="20"/>
                <w:spacing w:val="8"/>
              </w:rPr>
              <w:t>水环境保护目标</w:t>
            </w:r>
          </w:p>
        </w:tc>
        <w:tc>
          <w:tcPr>
            <w:tcW w:w="7306" w:type="dxa"/>
            <w:vAlign w:val="top"/>
            <w:gridSpan w:val="3"/>
          </w:tcPr>
          <w:p>
            <w:pPr>
              <w:pStyle w:val="TableText"/>
              <w:ind w:left="30"/>
              <w:spacing w:before="58" w:line="228" w:lineRule="auto"/>
              <w:rPr>
                <w:rFonts w:ascii="SimSun" w:hAnsi="SimSun" w:eastAsia="SimSun" w:cs="SimSun"/>
              </w:rPr>
            </w:pPr>
            <w:r>
              <w:rPr>
                <w:rFonts w:ascii="SimSun" w:hAnsi="SimSun" w:eastAsia="SimSun" w:cs="SimSun"/>
                <w:spacing w:val="7"/>
              </w:rPr>
              <w:t>饮用水水源保护区</w:t>
            </w:r>
            <w:r>
              <w:rPr>
                <w:spacing w:val="7"/>
              </w:rPr>
              <w:t>□</w:t>
            </w:r>
            <w:r>
              <w:rPr>
                <w:spacing w:val="-23"/>
              </w:rPr>
              <w:t xml:space="preserve"> </w:t>
            </w:r>
            <w:r>
              <w:rPr>
                <w:rFonts w:ascii="SimSun" w:hAnsi="SimSun" w:eastAsia="SimSun" w:cs="SimSun"/>
                <w:spacing w:val="7"/>
              </w:rPr>
              <w:t>；饮用水取水口</w:t>
            </w:r>
            <w:r>
              <w:rPr>
                <w:spacing w:val="7"/>
              </w:rPr>
              <w:t>□</w:t>
            </w:r>
            <w:r>
              <w:rPr>
                <w:spacing w:val="-23"/>
              </w:rPr>
              <w:t xml:space="preserve"> </w:t>
            </w:r>
            <w:r>
              <w:rPr>
                <w:rFonts w:ascii="SimSun" w:hAnsi="SimSun" w:eastAsia="SimSun" w:cs="SimSun"/>
                <w:spacing w:val="7"/>
              </w:rPr>
              <w:t>；涉水的</w:t>
            </w:r>
            <w:r>
              <w:rPr>
                <w:rFonts w:ascii="SimSun" w:hAnsi="SimSun" w:eastAsia="SimSun" w:cs="SimSun"/>
                <w:spacing w:val="6"/>
              </w:rPr>
              <w:t>自然保护区</w:t>
            </w:r>
            <w:r>
              <w:rPr>
                <w:spacing w:val="6"/>
              </w:rPr>
              <w:t>□</w:t>
            </w:r>
            <w:r>
              <w:rPr>
                <w:spacing w:val="-25"/>
              </w:rPr>
              <w:t xml:space="preserve"> </w:t>
            </w:r>
            <w:r>
              <w:rPr>
                <w:rFonts w:ascii="SimSun" w:hAnsi="SimSun" w:eastAsia="SimSun" w:cs="SimSun"/>
                <w:spacing w:val="6"/>
              </w:rPr>
              <w:t>；重要湿地</w:t>
            </w:r>
            <w:r>
              <w:rPr>
                <w:spacing w:val="6"/>
              </w:rPr>
              <w:t>□</w:t>
            </w:r>
            <w:r>
              <w:rPr>
                <w:spacing w:val="-23"/>
              </w:rPr>
              <w:t xml:space="preserve"> </w:t>
            </w:r>
            <w:r>
              <w:rPr>
                <w:rFonts w:ascii="SimSun" w:hAnsi="SimSun" w:eastAsia="SimSun" w:cs="SimSun"/>
                <w:spacing w:val="6"/>
              </w:rPr>
              <w:t>;</w:t>
            </w:r>
          </w:p>
          <w:p>
            <w:pPr>
              <w:pStyle w:val="TableText"/>
              <w:ind w:left="35" w:right="30" w:hanging="4"/>
              <w:spacing w:before="78" w:line="272" w:lineRule="auto"/>
              <w:rPr/>
            </w:pPr>
            <w:r>
              <w:rPr>
                <w:rFonts w:ascii="SimSun" w:hAnsi="SimSun" w:eastAsia="SimSun" w:cs="SimSun"/>
                <w:spacing w:val="8"/>
              </w:rPr>
              <w:t>重点保护与珍稀水生生物的栖息地</w:t>
            </w:r>
            <w:r>
              <w:rPr>
                <w:spacing w:val="8"/>
              </w:rPr>
              <w:t>□</w:t>
            </w:r>
            <w:r>
              <w:rPr>
                <w:spacing w:val="-13"/>
              </w:rPr>
              <w:t xml:space="preserve"> </w:t>
            </w:r>
            <w:r>
              <w:rPr>
                <w:rFonts w:ascii="SimSun" w:hAnsi="SimSun" w:eastAsia="SimSun" w:cs="SimSun"/>
                <w:spacing w:val="8"/>
              </w:rPr>
              <w:t>；重要水生生物的自然产卵场及索饵场、越</w:t>
            </w:r>
            <w:r>
              <w:rPr>
                <w:rFonts w:ascii="SimSun" w:hAnsi="SimSun" w:eastAsia="SimSun" w:cs="SimSun"/>
                <w:spacing w:val="7"/>
              </w:rPr>
              <w:t>冬场和洄游通道、天然渔场等渔业水体</w:t>
            </w:r>
            <w:r>
              <w:rPr>
                <w:spacing w:val="7"/>
              </w:rPr>
              <w:t>□</w:t>
            </w:r>
            <w:r>
              <w:rPr>
                <w:spacing w:val="-9"/>
              </w:rPr>
              <w:t xml:space="preserve"> </w:t>
            </w:r>
            <w:r>
              <w:rPr>
                <w:rFonts w:ascii="SimSun" w:hAnsi="SimSun" w:eastAsia="SimSun" w:cs="SimSun"/>
                <w:spacing w:val="7"/>
              </w:rPr>
              <w:t>；涉水的风景名胜区</w:t>
            </w:r>
            <w:r>
              <w:rPr>
                <w:spacing w:val="7"/>
              </w:rPr>
              <w:t>□</w:t>
            </w:r>
            <w:r>
              <w:rPr>
                <w:spacing w:val="-23"/>
              </w:rPr>
              <w:t xml:space="preserve"> </w:t>
            </w:r>
            <w:r>
              <w:rPr>
                <w:rFonts w:ascii="SimSun" w:hAnsi="SimSun" w:eastAsia="SimSun" w:cs="SimSun"/>
                <w:spacing w:val="7"/>
              </w:rPr>
              <w:t>；其他</w:t>
            </w:r>
            <w:r>
              <w:rPr>
                <w:spacing w:val="7"/>
              </w:rPr>
              <w:t>□</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restart"/>
            <w:tcBorders>
              <w:bottom w:val="nil"/>
            </w:tcBorders>
          </w:tcPr>
          <w:p>
            <w:pPr>
              <w:spacing w:line="320" w:lineRule="auto"/>
              <w:rPr>
                <w:rFonts w:ascii="Arial"/>
                <w:sz w:val="21"/>
              </w:rPr>
            </w:pPr>
            <w:r/>
          </w:p>
          <w:p>
            <w:pPr>
              <w:ind w:left="358"/>
              <w:spacing w:before="65" w:line="228" w:lineRule="auto"/>
              <w:rPr>
                <w:rFonts w:ascii="SimSun" w:hAnsi="SimSun" w:eastAsia="SimSun" w:cs="SimSun"/>
                <w:sz w:val="20"/>
                <w:szCs w:val="20"/>
              </w:rPr>
            </w:pPr>
            <w:r>
              <w:rPr>
                <w:rFonts w:ascii="SimSun" w:hAnsi="SimSun" w:eastAsia="SimSun" w:cs="SimSun"/>
                <w:sz w:val="20"/>
                <w:szCs w:val="20"/>
                <w:spacing w:val="7"/>
              </w:rPr>
              <w:t>影响途径</w:t>
            </w:r>
          </w:p>
        </w:tc>
        <w:tc>
          <w:tcPr>
            <w:tcW w:w="2739" w:type="dxa"/>
            <w:vAlign w:val="top"/>
            <w:gridSpan w:val="2"/>
          </w:tcPr>
          <w:p>
            <w:pPr>
              <w:ind w:left="33"/>
              <w:spacing w:before="56" w:line="228" w:lineRule="auto"/>
              <w:rPr>
                <w:rFonts w:ascii="SimSun" w:hAnsi="SimSun" w:eastAsia="SimSun" w:cs="SimSun"/>
                <w:sz w:val="20"/>
                <w:szCs w:val="20"/>
              </w:rPr>
            </w:pPr>
            <w:r>
              <w:rPr>
                <w:rFonts w:ascii="SimSun" w:hAnsi="SimSun" w:eastAsia="SimSun" w:cs="SimSun"/>
                <w:sz w:val="20"/>
                <w:szCs w:val="20"/>
                <w:spacing w:val="7"/>
              </w:rPr>
              <w:t>水污染影响型</w:t>
            </w:r>
          </w:p>
        </w:tc>
        <w:tc>
          <w:tcPr>
            <w:tcW w:w="4567" w:type="dxa"/>
            <w:vAlign w:val="top"/>
          </w:tcPr>
          <w:p>
            <w:pPr>
              <w:ind w:left="32"/>
              <w:spacing w:before="56" w:line="228" w:lineRule="auto"/>
              <w:rPr>
                <w:rFonts w:ascii="SimSun" w:hAnsi="SimSun" w:eastAsia="SimSun" w:cs="SimSun"/>
                <w:sz w:val="20"/>
                <w:szCs w:val="20"/>
              </w:rPr>
            </w:pPr>
            <w:r>
              <w:rPr>
                <w:rFonts w:ascii="SimSun" w:hAnsi="SimSun" w:eastAsia="SimSun" w:cs="SimSun"/>
                <w:sz w:val="20"/>
                <w:szCs w:val="20"/>
                <w:spacing w:val="8"/>
              </w:rPr>
              <w:t>水文要素影响型</w:t>
            </w:r>
          </w:p>
        </w:tc>
      </w:tr>
      <w:tr>
        <w:trPr>
          <w:trHeight w:val="65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2739" w:type="dxa"/>
            <w:vAlign w:val="top"/>
            <w:gridSpan w:val="2"/>
          </w:tcPr>
          <w:p>
            <w:pPr>
              <w:pStyle w:val="TableText"/>
              <w:ind w:left="38" w:right="27" w:hanging="6"/>
              <w:spacing w:before="57" w:line="272" w:lineRule="auto"/>
              <w:rPr>
                <w:rFonts w:ascii="MS UI Gothic" w:hAnsi="MS UI Gothic" w:eastAsia="MS UI Gothic" w:cs="MS UI Gothic"/>
              </w:rPr>
            </w:pPr>
            <w:r>
              <w:rPr>
                <w:rFonts w:ascii="SimSun" w:hAnsi="SimSun" w:eastAsia="SimSun" w:cs="SimSun"/>
                <w:spacing w:val="2"/>
              </w:rPr>
              <w:t>直接排放</w:t>
            </w:r>
            <w:r>
              <w:rPr>
                <w:spacing w:val="2"/>
              </w:rPr>
              <w:t>□</w:t>
            </w:r>
            <w:r>
              <w:rPr>
                <w:rFonts w:ascii="SimSun" w:hAnsi="SimSun" w:eastAsia="SimSun" w:cs="SimSun"/>
                <w:spacing w:val="2"/>
              </w:rPr>
              <w:t>；间接排放</w:t>
            </w:r>
            <w:r>
              <w:rPr>
                <w:spacing w:val="2"/>
              </w:rPr>
              <w:t>□</w:t>
            </w:r>
            <w:r>
              <w:rPr>
                <w:rFonts w:ascii="SimSun" w:hAnsi="SimSun" w:eastAsia="SimSun" w:cs="SimSun"/>
                <w:spacing w:val="2"/>
              </w:rPr>
              <w:t>；其他</w:t>
            </w:r>
            <w:r>
              <w:rPr>
                <w:rFonts w:ascii="MS UI Gothic" w:hAnsi="MS UI Gothic" w:eastAsia="MS UI Gothic" w:cs="MS UI Gothic"/>
              </w:rPr>
              <w:t>☑</w:t>
            </w:r>
          </w:p>
        </w:tc>
        <w:tc>
          <w:tcPr>
            <w:tcW w:w="4567" w:type="dxa"/>
            <w:vAlign w:val="top"/>
          </w:tcPr>
          <w:p>
            <w:pPr>
              <w:pStyle w:val="TableText"/>
              <w:ind w:left="32"/>
              <w:spacing w:before="219" w:line="228" w:lineRule="auto"/>
              <w:rPr/>
            </w:pPr>
            <w:r>
              <w:rPr>
                <w:rFonts w:ascii="SimSun" w:hAnsi="SimSun" w:eastAsia="SimSun" w:cs="SimSun"/>
                <w:spacing w:val="3"/>
              </w:rPr>
              <w:t>水温</w:t>
            </w:r>
            <w:r>
              <w:rPr>
                <w:spacing w:val="3"/>
              </w:rPr>
              <w:t>□</w:t>
            </w:r>
            <w:r>
              <w:rPr>
                <w:spacing w:val="-10"/>
              </w:rPr>
              <w:t xml:space="preserve"> </w:t>
            </w:r>
            <w:r>
              <w:rPr>
                <w:rFonts w:ascii="SimSun" w:hAnsi="SimSun" w:eastAsia="SimSun" w:cs="SimSun"/>
                <w:spacing w:val="3"/>
              </w:rPr>
              <w:t>；径流</w:t>
            </w:r>
            <w:r>
              <w:rPr>
                <w:spacing w:val="3"/>
              </w:rPr>
              <w:t>□</w:t>
            </w:r>
            <w:r>
              <w:rPr>
                <w:spacing w:val="-21"/>
              </w:rPr>
              <w:t xml:space="preserve"> </w:t>
            </w:r>
            <w:r>
              <w:rPr>
                <w:rFonts w:ascii="SimSun" w:hAnsi="SimSun" w:eastAsia="SimSun" w:cs="SimSun"/>
                <w:spacing w:val="3"/>
              </w:rPr>
              <w:t>；水域面积</w:t>
            </w:r>
            <w:r>
              <w:rPr>
                <w:spacing w:val="3"/>
              </w:rPr>
              <w:t>□</w:t>
            </w:r>
          </w:p>
        </w:tc>
      </w:tr>
      <w:tr>
        <w:trPr>
          <w:trHeight w:val="1307"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spacing w:line="479" w:lineRule="auto"/>
              <w:rPr>
                <w:rFonts w:ascii="Arial"/>
                <w:sz w:val="21"/>
              </w:rPr>
            </w:pPr>
            <w:r/>
          </w:p>
          <w:p>
            <w:pPr>
              <w:ind w:left="358"/>
              <w:spacing w:before="65" w:line="228" w:lineRule="auto"/>
              <w:rPr>
                <w:rFonts w:ascii="SimSun" w:hAnsi="SimSun" w:eastAsia="SimSun" w:cs="SimSun"/>
                <w:sz w:val="20"/>
                <w:szCs w:val="20"/>
              </w:rPr>
            </w:pPr>
            <w:r>
              <w:rPr>
                <w:rFonts w:ascii="SimSun" w:hAnsi="SimSun" w:eastAsia="SimSun" w:cs="SimSun"/>
                <w:sz w:val="20"/>
                <w:szCs w:val="20"/>
                <w:spacing w:val="7"/>
              </w:rPr>
              <w:t>影响因子</w:t>
            </w:r>
          </w:p>
        </w:tc>
        <w:tc>
          <w:tcPr>
            <w:tcW w:w="2739" w:type="dxa"/>
            <w:vAlign w:val="top"/>
            <w:gridSpan w:val="2"/>
          </w:tcPr>
          <w:p>
            <w:pPr>
              <w:pStyle w:val="TableText"/>
              <w:ind w:left="30" w:right="25" w:firstLine="2"/>
              <w:spacing w:before="57" w:line="286" w:lineRule="auto"/>
              <w:rPr/>
            </w:pPr>
            <w:r>
              <w:rPr>
                <w:rFonts w:ascii="SimSun" w:hAnsi="SimSun" w:eastAsia="SimSun" w:cs="SimSun"/>
                <w:spacing w:val="9"/>
              </w:rPr>
              <w:t>持久性污染物</w:t>
            </w:r>
            <w:r>
              <w:rPr>
                <w:spacing w:val="9"/>
              </w:rPr>
              <w:t>□</w:t>
            </w:r>
            <w:r>
              <w:rPr>
                <w:spacing w:val="-17"/>
              </w:rPr>
              <w:t xml:space="preserve"> </w:t>
            </w:r>
            <w:r>
              <w:rPr>
                <w:rFonts w:ascii="SimSun" w:hAnsi="SimSun" w:eastAsia="SimSun" w:cs="SimSun"/>
                <w:spacing w:val="9"/>
              </w:rPr>
              <w:t>；有毒有害污</w:t>
            </w:r>
            <w:r>
              <w:rPr>
                <w:rFonts w:ascii="SimSun" w:hAnsi="SimSun" w:eastAsia="SimSun" w:cs="SimSun"/>
                <w:spacing w:val="-1"/>
              </w:rPr>
              <w:t>染物</w:t>
            </w:r>
            <w:r>
              <w:rPr>
                <w:spacing w:val="-1"/>
              </w:rPr>
              <w:t>□</w:t>
            </w:r>
            <w:r>
              <w:rPr>
                <w:rFonts w:ascii="SimSun" w:hAnsi="SimSun" w:eastAsia="SimSun" w:cs="SimSun"/>
                <w:spacing w:val="-1"/>
              </w:rPr>
              <w:t>；非持久性污染物</w:t>
            </w:r>
            <w:r>
              <w:rPr>
                <w:spacing w:val="-1"/>
              </w:rPr>
              <w:t>□</w:t>
            </w:r>
            <w:r>
              <w:rPr>
                <w:rFonts w:ascii="SimSun" w:hAnsi="SimSun" w:eastAsia="SimSun" w:cs="SimSun"/>
                <w:spacing w:val="-1"/>
              </w:rPr>
              <w:t>；</w:t>
            </w:r>
            <w:r>
              <w:rPr>
                <w:spacing w:val="-1"/>
              </w:rPr>
              <w:t>pH</w:t>
            </w:r>
            <w:r>
              <w:rPr>
                <w:rFonts w:ascii="SimSun" w:hAnsi="SimSun" w:eastAsia="SimSun" w:cs="SimSun"/>
                <w:spacing w:val="-1"/>
              </w:rPr>
              <w:t>值</w:t>
            </w:r>
            <w:r>
              <w:rPr>
                <w:spacing w:val="-1"/>
              </w:rPr>
              <w:t>□</w:t>
            </w:r>
            <w:r>
              <w:rPr>
                <w:spacing w:val="-25"/>
              </w:rPr>
              <w:t xml:space="preserve"> </w:t>
            </w:r>
            <w:r>
              <w:rPr>
                <w:rFonts w:ascii="SimSun" w:hAnsi="SimSun" w:eastAsia="SimSun" w:cs="SimSun"/>
                <w:spacing w:val="-1"/>
              </w:rPr>
              <w:t>；热污染</w:t>
            </w:r>
            <w:r>
              <w:rPr>
                <w:spacing w:val="-1"/>
              </w:rPr>
              <w:t>□</w:t>
            </w:r>
            <w:r>
              <w:rPr>
                <w:spacing w:val="-23"/>
              </w:rPr>
              <w:t xml:space="preserve"> </w:t>
            </w:r>
            <w:r>
              <w:rPr>
                <w:rFonts w:ascii="SimSun" w:hAnsi="SimSun" w:eastAsia="SimSun" w:cs="SimSun"/>
                <w:spacing w:val="-1"/>
              </w:rPr>
              <w:t>；富营养化</w:t>
            </w:r>
            <w:r>
              <w:rPr>
                <w:spacing w:val="-1"/>
              </w:rPr>
              <w:t>□</w:t>
            </w:r>
            <w:r>
              <w:rPr>
                <w:spacing w:val="-25"/>
              </w:rPr>
              <w:t xml:space="preserve"> </w:t>
            </w:r>
            <w:r>
              <w:rPr>
                <w:rFonts w:ascii="SimSun" w:hAnsi="SimSun" w:eastAsia="SimSun" w:cs="SimSun"/>
                <w:spacing w:val="-1"/>
              </w:rPr>
              <w:t>;</w:t>
            </w:r>
            <w:r>
              <w:rPr>
                <w:rFonts w:ascii="SimSun" w:hAnsi="SimSun" w:eastAsia="SimSun" w:cs="SimSun"/>
                <w:spacing w:val="5"/>
              </w:rPr>
              <w:t>其他</w:t>
            </w:r>
            <w:r>
              <w:rPr>
                <w:spacing w:val="5"/>
              </w:rPr>
              <w:t>□</w:t>
            </w:r>
          </w:p>
        </w:tc>
        <w:tc>
          <w:tcPr>
            <w:tcW w:w="4567" w:type="dxa"/>
            <w:vAlign w:val="top"/>
          </w:tcPr>
          <w:p>
            <w:pPr>
              <w:spacing w:line="316" w:lineRule="auto"/>
              <w:rPr>
                <w:rFonts w:ascii="Arial"/>
                <w:sz w:val="21"/>
              </w:rPr>
            </w:pPr>
            <w:r/>
          </w:p>
          <w:p>
            <w:pPr>
              <w:pStyle w:val="TableText"/>
              <w:ind w:left="32"/>
              <w:spacing w:before="65" w:line="228" w:lineRule="auto"/>
              <w:rPr>
                <w:rFonts w:ascii="SimSun" w:hAnsi="SimSun" w:eastAsia="SimSun" w:cs="SimSun"/>
              </w:rPr>
            </w:pPr>
            <w:r>
              <w:rPr>
                <w:rFonts w:ascii="SimSun" w:hAnsi="SimSun" w:eastAsia="SimSun" w:cs="SimSun"/>
                <w:spacing w:val="2"/>
              </w:rPr>
              <w:t>水温</w:t>
            </w:r>
            <w:r>
              <w:rPr>
                <w:spacing w:val="2"/>
              </w:rPr>
              <w:t>□</w:t>
            </w:r>
            <w:r>
              <w:rPr>
                <w:spacing w:val="-6"/>
              </w:rPr>
              <w:t xml:space="preserve"> </w:t>
            </w:r>
            <w:r>
              <w:rPr>
                <w:rFonts w:ascii="SimSun" w:hAnsi="SimSun" w:eastAsia="SimSun" w:cs="SimSun"/>
                <w:spacing w:val="2"/>
              </w:rPr>
              <w:t>；水位（水深）</w:t>
            </w:r>
            <w:r>
              <w:rPr>
                <w:rFonts w:ascii="SimSun" w:hAnsi="SimSun" w:eastAsia="SimSun" w:cs="SimSun"/>
                <w:spacing w:val="-77"/>
              </w:rPr>
              <w:t xml:space="preserve"> </w:t>
            </w:r>
            <w:r>
              <w:rPr>
                <w:spacing w:val="2"/>
              </w:rPr>
              <w:t>□</w:t>
            </w:r>
            <w:r>
              <w:rPr>
                <w:spacing w:val="-21"/>
              </w:rPr>
              <w:t xml:space="preserve"> </w:t>
            </w:r>
            <w:r>
              <w:rPr>
                <w:rFonts w:ascii="SimSun" w:hAnsi="SimSun" w:eastAsia="SimSun" w:cs="SimSun"/>
                <w:spacing w:val="2"/>
              </w:rPr>
              <w:t>；流速</w:t>
            </w:r>
            <w:r>
              <w:rPr>
                <w:spacing w:val="2"/>
              </w:rPr>
              <w:t>□</w:t>
            </w:r>
            <w:r>
              <w:rPr>
                <w:spacing w:val="-22"/>
              </w:rPr>
              <w:t xml:space="preserve"> </w:t>
            </w:r>
            <w:r>
              <w:rPr>
                <w:rFonts w:ascii="SimSun" w:hAnsi="SimSun" w:eastAsia="SimSun" w:cs="SimSun"/>
                <w:spacing w:val="2"/>
              </w:rPr>
              <w:t>;</w:t>
            </w:r>
          </w:p>
          <w:p>
            <w:pPr>
              <w:pStyle w:val="TableText"/>
              <w:ind w:left="31"/>
              <w:spacing w:before="80" w:line="225" w:lineRule="auto"/>
              <w:rPr/>
            </w:pPr>
            <w:r>
              <w:rPr>
                <w:rFonts w:ascii="SimSun" w:hAnsi="SimSun" w:eastAsia="SimSun" w:cs="SimSun"/>
                <w:spacing w:val="3"/>
              </w:rPr>
              <w:t>流量</w:t>
            </w:r>
            <w:r>
              <w:rPr>
                <w:spacing w:val="3"/>
              </w:rPr>
              <w:t>□</w:t>
            </w:r>
            <w:r>
              <w:rPr>
                <w:spacing w:val="-21"/>
              </w:rPr>
              <w:t xml:space="preserve"> </w:t>
            </w:r>
            <w:r>
              <w:rPr>
                <w:rFonts w:ascii="SimSun" w:hAnsi="SimSun" w:eastAsia="SimSun" w:cs="SimSun"/>
                <w:spacing w:val="3"/>
              </w:rPr>
              <w:t>；其他</w:t>
            </w:r>
            <w:r>
              <w:rPr>
                <w:spacing w:val="3"/>
              </w:rPr>
              <w:t>□</w:t>
            </w:r>
          </w:p>
        </w:tc>
      </w:tr>
      <w:tr>
        <w:trPr>
          <w:trHeight w:val="331" w:hRule="atLeast"/>
        </w:trPr>
        <w:tc>
          <w:tcPr>
            <w:tcW w:w="1825" w:type="dxa"/>
            <w:vAlign w:val="top"/>
            <w:gridSpan w:val="2"/>
            <w:vMerge w:val="restart"/>
            <w:tcBorders>
              <w:bottom w:val="nil"/>
            </w:tcBorders>
          </w:tcPr>
          <w:p>
            <w:pPr>
              <w:spacing w:line="322" w:lineRule="auto"/>
              <w:rPr>
                <w:rFonts w:ascii="Arial"/>
                <w:sz w:val="21"/>
              </w:rPr>
            </w:pPr>
            <w:r/>
          </w:p>
          <w:p>
            <w:pPr>
              <w:ind w:left="496"/>
              <w:spacing w:before="65" w:line="226" w:lineRule="auto"/>
              <w:rPr>
                <w:rFonts w:ascii="SimSun" w:hAnsi="SimSun" w:eastAsia="SimSun" w:cs="SimSun"/>
                <w:sz w:val="20"/>
                <w:szCs w:val="20"/>
              </w:rPr>
            </w:pPr>
            <w:r>
              <w:rPr>
                <w:rFonts w:ascii="SimSun" w:hAnsi="SimSun" w:eastAsia="SimSun" w:cs="SimSun"/>
                <w:sz w:val="20"/>
                <w:szCs w:val="20"/>
                <w:spacing w:val="7"/>
              </w:rPr>
              <w:t>评价等级</w:t>
            </w:r>
          </w:p>
        </w:tc>
        <w:tc>
          <w:tcPr>
            <w:tcW w:w="2739" w:type="dxa"/>
            <w:vAlign w:val="top"/>
            <w:gridSpan w:val="2"/>
          </w:tcPr>
          <w:p>
            <w:pPr>
              <w:ind w:left="33"/>
              <w:spacing w:before="60" w:line="228" w:lineRule="auto"/>
              <w:rPr>
                <w:rFonts w:ascii="SimSun" w:hAnsi="SimSun" w:eastAsia="SimSun" w:cs="SimSun"/>
                <w:sz w:val="20"/>
                <w:szCs w:val="20"/>
              </w:rPr>
            </w:pPr>
            <w:r>
              <w:rPr>
                <w:rFonts w:ascii="SimSun" w:hAnsi="SimSun" w:eastAsia="SimSun" w:cs="SimSun"/>
                <w:sz w:val="20"/>
                <w:szCs w:val="20"/>
                <w:spacing w:val="7"/>
              </w:rPr>
              <w:t>水污染影响型</w:t>
            </w:r>
          </w:p>
        </w:tc>
        <w:tc>
          <w:tcPr>
            <w:tcW w:w="4567" w:type="dxa"/>
            <w:vAlign w:val="top"/>
          </w:tcPr>
          <w:p>
            <w:pPr>
              <w:ind w:left="32"/>
              <w:spacing w:before="60" w:line="228" w:lineRule="auto"/>
              <w:rPr>
                <w:rFonts w:ascii="SimSun" w:hAnsi="SimSun" w:eastAsia="SimSun" w:cs="SimSun"/>
                <w:sz w:val="20"/>
                <w:szCs w:val="20"/>
              </w:rPr>
            </w:pPr>
            <w:r>
              <w:rPr>
                <w:rFonts w:ascii="SimSun" w:hAnsi="SimSun" w:eastAsia="SimSun" w:cs="SimSun"/>
                <w:sz w:val="20"/>
                <w:szCs w:val="20"/>
                <w:spacing w:val="8"/>
              </w:rPr>
              <w:t>水文要素影响型</w:t>
            </w:r>
          </w:p>
        </w:tc>
      </w:tr>
      <w:tr>
        <w:trPr>
          <w:trHeight w:val="657" w:hRule="atLeast"/>
        </w:trPr>
        <w:tc>
          <w:tcPr>
            <w:tcW w:w="1825" w:type="dxa"/>
            <w:vAlign w:val="top"/>
            <w:gridSpan w:val="2"/>
            <w:vMerge w:val="continue"/>
            <w:tcBorders>
              <w:top w:val="nil"/>
            </w:tcBorders>
          </w:tcPr>
          <w:p>
            <w:pPr>
              <w:rPr>
                <w:rFonts w:ascii="Arial"/>
                <w:sz w:val="21"/>
              </w:rPr>
            </w:pPr>
            <w:r/>
          </w:p>
        </w:tc>
        <w:tc>
          <w:tcPr>
            <w:tcW w:w="2739" w:type="dxa"/>
            <w:vAlign w:val="top"/>
            <w:gridSpan w:val="2"/>
          </w:tcPr>
          <w:p>
            <w:pPr>
              <w:pStyle w:val="TableText"/>
              <w:ind w:left="34" w:right="30"/>
              <w:spacing w:before="59" w:line="271" w:lineRule="auto"/>
              <w:rPr>
                <w:rFonts w:ascii="MS UI Gothic" w:hAnsi="MS UI Gothic" w:eastAsia="MS UI Gothic" w:cs="MS UI Gothic"/>
              </w:rPr>
            </w:pPr>
            <w:r>
              <w:rPr>
                <w:rFonts w:ascii="SimSun" w:hAnsi="SimSun" w:eastAsia="SimSun" w:cs="SimSun"/>
                <w:spacing w:val="3"/>
              </w:rPr>
              <w:t>一级</w:t>
            </w:r>
            <w:r>
              <w:rPr>
                <w:spacing w:val="3"/>
              </w:rPr>
              <w:t>□</w:t>
            </w:r>
            <w:r>
              <w:rPr>
                <w:spacing w:val="-15"/>
              </w:rPr>
              <w:t xml:space="preserve"> </w:t>
            </w:r>
            <w:r>
              <w:rPr>
                <w:rFonts w:ascii="SimSun" w:hAnsi="SimSun" w:eastAsia="SimSun" w:cs="SimSun"/>
                <w:spacing w:val="3"/>
              </w:rPr>
              <w:t>；二级</w:t>
            </w:r>
            <w:r>
              <w:rPr>
                <w:spacing w:val="3"/>
              </w:rPr>
              <w:t>□</w:t>
            </w:r>
            <w:r>
              <w:rPr>
                <w:spacing w:val="-23"/>
              </w:rPr>
              <w:t xml:space="preserve"> </w:t>
            </w:r>
            <w:r>
              <w:rPr>
                <w:rFonts w:ascii="SimSun" w:hAnsi="SimSun" w:eastAsia="SimSun" w:cs="SimSun"/>
                <w:spacing w:val="3"/>
              </w:rPr>
              <w:t>；三级</w:t>
            </w:r>
            <w:r>
              <w:rPr>
                <w:rFonts w:ascii="SimSun" w:hAnsi="SimSun" w:eastAsia="SimSun" w:cs="SimSun"/>
                <w:spacing w:val="-43"/>
              </w:rPr>
              <w:t xml:space="preserve"> </w:t>
            </w:r>
            <w:r>
              <w:rPr>
                <w:spacing w:val="3"/>
              </w:rPr>
              <w:t>A□</w:t>
            </w:r>
            <w:r>
              <w:rPr>
                <w:rFonts w:ascii="SimSun" w:hAnsi="SimSun" w:eastAsia="SimSun" w:cs="SimSun"/>
                <w:spacing w:val="3"/>
              </w:rPr>
              <w:t>；三</w:t>
            </w:r>
            <w:r>
              <w:rPr>
                <w:rFonts w:ascii="SimSun" w:hAnsi="SimSun" w:eastAsia="SimSun" w:cs="SimSun"/>
                <w:spacing w:val="4"/>
              </w:rPr>
              <w:t>级</w:t>
            </w:r>
            <w:r>
              <w:rPr>
                <w:rFonts w:ascii="SimSun" w:hAnsi="SimSun" w:eastAsia="SimSun" w:cs="SimSun"/>
                <w:spacing w:val="-44"/>
              </w:rPr>
              <w:t xml:space="preserve"> </w:t>
            </w:r>
            <w:r>
              <w:rPr>
                <w:spacing w:val="4"/>
              </w:rPr>
              <w:t>B</w:t>
            </w:r>
            <w:r>
              <w:rPr>
                <w:rFonts w:ascii="MS UI Gothic" w:hAnsi="MS UI Gothic" w:eastAsia="MS UI Gothic" w:cs="MS UI Gothic"/>
                <w:spacing w:val="4"/>
              </w:rPr>
              <w:t>☑</w:t>
            </w:r>
          </w:p>
        </w:tc>
        <w:tc>
          <w:tcPr>
            <w:tcW w:w="4567" w:type="dxa"/>
            <w:vAlign w:val="top"/>
          </w:tcPr>
          <w:p>
            <w:pPr>
              <w:pStyle w:val="TableText"/>
              <w:ind w:left="33"/>
              <w:spacing w:before="223" w:line="230" w:lineRule="auto"/>
              <w:rPr/>
            </w:pPr>
            <w:r>
              <w:rPr>
                <w:rFonts w:ascii="SimSun" w:hAnsi="SimSun" w:eastAsia="SimSun" w:cs="SimSun"/>
                <w:spacing w:val="2"/>
              </w:rPr>
              <w:t>一级</w:t>
            </w:r>
            <w:r>
              <w:rPr>
                <w:spacing w:val="2"/>
              </w:rPr>
              <w:t>□</w:t>
            </w:r>
            <w:r>
              <w:rPr>
                <w:spacing w:val="-14"/>
              </w:rPr>
              <w:t xml:space="preserve"> </w:t>
            </w:r>
            <w:r>
              <w:rPr>
                <w:rFonts w:ascii="SimSun" w:hAnsi="SimSun" w:eastAsia="SimSun" w:cs="SimSun"/>
                <w:spacing w:val="2"/>
              </w:rPr>
              <w:t>；二级</w:t>
            </w:r>
            <w:r>
              <w:rPr>
                <w:spacing w:val="2"/>
              </w:rPr>
              <w:t>□</w:t>
            </w:r>
            <w:r>
              <w:rPr>
                <w:spacing w:val="-20"/>
              </w:rPr>
              <w:t xml:space="preserve"> </w:t>
            </w:r>
            <w:r>
              <w:rPr>
                <w:rFonts w:ascii="SimSun" w:hAnsi="SimSun" w:eastAsia="SimSun" w:cs="SimSun"/>
                <w:spacing w:val="2"/>
              </w:rPr>
              <w:t>；三级</w:t>
            </w:r>
            <w:r>
              <w:rPr>
                <w:spacing w:val="2"/>
              </w:rPr>
              <w:t>□</w:t>
            </w:r>
          </w:p>
        </w:tc>
      </w:tr>
      <w:tr>
        <w:trPr>
          <w:trHeight w:val="331" w:hRule="atLeast"/>
        </w:trPr>
        <w:tc>
          <w:tcPr>
            <w:tcW w:w="276" w:type="dxa"/>
            <w:vAlign w:val="top"/>
            <w:vMerge w:val="restart"/>
            <w:textDirection w:val="tbRlV"/>
            <w:tcBorders>
              <w:bottom w:val="nil"/>
            </w:tcBorders>
          </w:tcPr>
          <w:p>
            <w:pPr>
              <w:ind w:left="1414"/>
              <w:spacing w:before="30" w:line="216" w:lineRule="auto"/>
              <w:rPr>
                <w:rFonts w:ascii="SimSun" w:hAnsi="SimSun" w:eastAsia="SimSun" w:cs="SimSun"/>
                <w:sz w:val="20"/>
                <w:szCs w:val="20"/>
              </w:rPr>
            </w:pPr>
            <w:r>
              <w:rPr>
                <w:rFonts w:ascii="SimSun" w:hAnsi="SimSun" w:eastAsia="SimSun" w:cs="SimSun"/>
                <w:sz w:val="20"/>
                <w:szCs w:val="20"/>
                <w:spacing w:val="8"/>
              </w:rPr>
              <w:t>现</w:t>
            </w:r>
            <w:r>
              <w:rPr>
                <w:rFonts w:ascii="SimSun" w:hAnsi="SimSun" w:eastAsia="SimSun" w:cs="SimSun"/>
                <w:sz w:val="20"/>
                <w:szCs w:val="20"/>
                <w:spacing w:val="19"/>
              </w:rPr>
              <w:t xml:space="preserve"> </w:t>
            </w:r>
            <w:r>
              <w:rPr>
                <w:rFonts w:ascii="SimSun" w:hAnsi="SimSun" w:eastAsia="SimSun" w:cs="SimSun"/>
                <w:sz w:val="20"/>
                <w:szCs w:val="20"/>
                <w:spacing w:val="8"/>
              </w:rPr>
              <w:t>状</w:t>
            </w:r>
            <w:r>
              <w:rPr>
                <w:rFonts w:ascii="SimSun" w:hAnsi="SimSun" w:eastAsia="SimSun" w:cs="SimSun"/>
                <w:sz w:val="20"/>
                <w:szCs w:val="20"/>
                <w:spacing w:val="18"/>
              </w:rPr>
              <w:t xml:space="preserve"> </w:t>
            </w:r>
            <w:r>
              <w:rPr>
                <w:rFonts w:ascii="SimSun" w:hAnsi="SimSun" w:eastAsia="SimSun" w:cs="SimSun"/>
                <w:sz w:val="20"/>
                <w:szCs w:val="20"/>
                <w:spacing w:val="8"/>
              </w:rPr>
              <w:t>调</w:t>
            </w:r>
            <w:r>
              <w:rPr>
                <w:rFonts w:ascii="SimSun" w:hAnsi="SimSun" w:eastAsia="SimSun" w:cs="SimSun"/>
                <w:sz w:val="20"/>
                <w:szCs w:val="20"/>
                <w:spacing w:val="-11"/>
              </w:rPr>
              <w:t xml:space="preserve"> </w:t>
            </w:r>
            <w:r>
              <w:rPr>
                <w:rFonts w:ascii="SimSun" w:hAnsi="SimSun" w:eastAsia="SimSun" w:cs="SimSun"/>
                <w:sz w:val="20"/>
                <w:szCs w:val="20"/>
                <w:spacing w:val="8"/>
              </w:rPr>
              <w:t>查</w:t>
            </w:r>
          </w:p>
        </w:tc>
        <w:tc>
          <w:tcPr>
            <w:tcW w:w="1549" w:type="dxa"/>
            <w:vAlign w:val="top"/>
            <w:vMerge w:val="restart"/>
            <w:tcBorders>
              <w:bottom w:val="nil"/>
            </w:tcBorders>
          </w:tcPr>
          <w:p>
            <w:pPr>
              <w:spacing w:line="242" w:lineRule="auto"/>
              <w:rPr>
                <w:rFonts w:ascii="Arial"/>
                <w:sz w:val="21"/>
              </w:rPr>
            </w:pPr>
            <w:r/>
          </w:p>
          <w:p>
            <w:pPr>
              <w:spacing w:line="242" w:lineRule="auto"/>
              <w:rPr>
                <w:rFonts w:ascii="Arial"/>
                <w:sz w:val="21"/>
              </w:rPr>
            </w:pPr>
            <w:r/>
          </w:p>
          <w:p>
            <w:pPr>
              <w:ind w:left="265"/>
              <w:spacing w:before="65" w:line="228" w:lineRule="auto"/>
              <w:rPr>
                <w:rFonts w:ascii="SimSun" w:hAnsi="SimSun" w:eastAsia="SimSun" w:cs="SimSun"/>
                <w:sz w:val="20"/>
                <w:szCs w:val="20"/>
              </w:rPr>
            </w:pPr>
            <w:r>
              <w:rPr>
                <w:rFonts w:ascii="SimSun" w:hAnsi="SimSun" w:eastAsia="SimSun" w:cs="SimSun"/>
                <w:sz w:val="20"/>
                <w:szCs w:val="20"/>
                <w:spacing w:val="5"/>
              </w:rPr>
              <w:t>区域污染源</w:t>
            </w:r>
          </w:p>
        </w:tc>
        <w:tc>
          <w:tcPr>
            <w:tcW w:w="2739" w:type="dxa"/>
            <w:vAlign w:val="top"/>
            <w:gridSpan w:val="2"/>
          </w:tcPr>
          <w:p>
            <w:pPr>
              <w:ind w:left="32"/>
              <w:spacing w:before="58" w:line="228" w:lineRule="auto"/>
              <w:rPr>
                <w:rFonts w:ascii="SimSun" w:hAnsi="SimSun" w:eastAsia="SimSun" w:cs="SimSun"/>
                <w:sz w:val="20"/>
                <w:szCs w:val="20"/>
              </w:rPr>
            </w:pPr>
            <w:r>
              <w:rPr>
                <w:rFonts w:ascii="SimSun" w:hAnsi="SimSun" w:eastAsia="SimSun" w:cs="SimSun"/>
                <w:sz w:val="20"/>
                <w:szCs w:val="20"/>
                <w:spacing w:val="6"/>
              </w:rPr>
              <w:t>调查项目</w:t>
            </w:r>
          </w:p>
        </w:tc>
        <w:tc>
          <w:tcPr>
            <w:tcW w:w="4567" w:type="dxa"/>
            <w:vAlign w:val="top"/>
          </w:tcPr>
          <w:p>
            <w:pPr>
              <w:ind w:left="32"/>
              <w:spacing w:before="58" w:line="228" w:lineRule="auto"/>
              <w:rPr>
                <w:rFonts w:ascii="SimSun" w:hAnsi="SimSun" w:eastAsia="SimSun" w:cs="SimSun"/>
                <w:sz w:val="20"/>
                <w:szCs w:val="20"/>
              </w:rPr>
            </w:pPr>
            <w:r>
              <w:rPr>
                <w:rFonts w:ascii="SimSun" w:hAnsi="SimSun" w:eastAsia="SimSun" w:cs="SimSun"/>
                <w:sz w:val="20"/>
                <w:szCs w:val="20"/>
                <w:spacing w:val="6"/>
              </w:rPr>
              <w:t>数据来源</w:t>
            </w:r>
          </w:p>
        </w:tc>
      </w:tr>
      <w:tr>
        <w:trPr>
          <w:trHeight w:val="983"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1844" w:type="dxa"/>
            <w:vAlign w:val="top"/>
          </w:tcPr>
          <w:p>
            <w:pPr>
              <w:pStyle w:val="TableText"/>
              <w:ind w:left="33" w:right="27" w:firstLine="20"/>
              <w:spacing w:before="221" w:line="302" w:lineRule="auto"/>
              <w:rPr/>
            </w:pPr>
            <w:r>
              <w:rPr>
                <w:rFonts w:ascii="SimSun" w:hAnsi="SimSun" w:eastAsia="SimSun" w:cs="SimSun"/>
                <w:spacing w:val="4"/>
              </w:rPr>
              <w:t>已建</w:t>
            </w:r>
            <w:r>
              <w:rPr>
                <w:spacing w:val="4"/>
              </w:rPr>
              <w:t>□</w:t>
            </w:r>
            <w:r>
              <w:rPr>
                <w:spacing w:val="-9"/>
              </w:rPr>
              <w:t xml:space="preserve"> </w:t>
            </w:r>
            <w:r>
              <w:rPr>
                <w:rFonts w:ascii="SimSun" w:hAnsi="SimSun" w:eastAsia="SimSun" w:cs="SimSun"/>
                <w:spacing w:val="4"/>
              </w:rPr>
              <w:t>；在建</w:t>
            </w:r>
            <w:r>
              <w:rPr>
                <w:spacing w:val="4"/>
              </w:rPr>
              <w:t>□</w:t>
            </w:r>
            <w:r>
              <w:rPr>
                <w:spacing w:val="-13"/>
              </w:rPr>
              <w:t xml:space="preserve"> </w:t>
            </w:r>
            <w:r>
              <w:rPr>
                <w:rFonts w:ascii="SimSun" w:hAnsi="SimSun" w:eastAsia="SimSun" w:cs="SimSun"/>
                <w:spacing w:val="4"/>
              </w:rPr>
              <w:t>；拟</w:t>
            </w:r>
            <w:r>
              <w:rPr>
                <w:rFonts w:ascii="SimSun" w:hAnsi="SimSun" w:eastAsia="SimSun" w:cs="SimSun"/>
                <w:spacing w:val="2"/>
              </w:rPr>
              <w:t>建</w:t>
            </w:r>
            <w:r>
              <w:rPr>
                <w:spacing w:val="2"/>
              </w:rPr>
              <w:t>□</w:t>
            </w:r>
            <w:r>
              <w:rPr>
                <w:spacing w:val="-22"/>
              </w:rPr>
              <w:t xml:space="preserve"> </w:t>
            </w:r>
            <w:r>
              <w:rPr>
                <w:rFonts w:ascii="SimSun" w:hAnsi="SimSun" w:eastAsia="SimSun" w:cs="SimSun"/>
                <w:spacing w:val="2"/>
              </w:rPr>
              <w:t>；其他</w:t>
            </w:r>
            <w:r>
              <w:rPr>
                <w:spacing w:val="2"/>
              </w:rPr>
              <w:t>□</w:t>
            </w:r>
          </w:p>
        </w:tc>
        <w:tc>
          <w:tcPr>
            <w:tcW w:w="895" w:type="dxa"/>
            <w:vAlign w:val="top"/>
          </w:tcPr>
          <w:p>
            <w:pPr>
              <w:ind w:left="34"/>
              <w:spacing w:before="58" w:line="226" w:lineRule="auto"/>
              <w:rPr>
                <w:rFonts w:ascii="SimSun" w:hAnsi="SimSun" w:eastAsia="SimSun" w:cs="SimSun"/>
                <w:sz w:val="20"/>
                <w:szCs w:val="20"/>
              </w:rPr>
            </w:pPr>
            <w:r>
              <w:rPr>
                <w:rFonts w:ascii="SimSun" w:hAnsi="SimSun" w:eastAsia="SimSun" w:cs="SimSun"/>
                <w:sz w:val="20"/>
                <w:szCs w:val="20"/>
                <w:spacing w:val="-2"/>
              </w:rPr>
              <w:t>拟</w:t>
            </w:r>
            <w:r>
              <w:rPr>
                <w:rFonts w:ascii="SimSun" w:hAnsi="SimSun" w:eastAsia="SimSun" w:cs="SimSun"/>
                <w:sz w:val="20"/>
                <w:szCs w:val="20"/>
                <w:spacing w:val="22"/>
              </w:rPr>
              <w:t xml:space="preserve"> </w:t>
            </w:r>
            <w:r>
              <w:rPr>
                <w:rFonts w:ascii="SimSun" w:hAnsi="SimSun" w:eastAsia="SimSun" w:cs="SimSun"/>
                <w:sz w:val="20"/>
                <w:szCs w:val="20"/>
                <w:spacing w:val="-2"/>
              </w:rPr>
              <w:t>替</w:t>
            </w:r>
            <w:r>
              <w:rPr>
                <w:rFonts w:ascii="SimSun" w:hAnsi="SimSun" w:eastAsia="SimSun" w:cs="SimSun"/>
                <w:sz w:val="20"/>
                <w:szCs w:val="20"/>
                <w:spacing w:val="10"/>
              </w:rPr>
              <w:t xml:space="preserve"> </w:t>
            </w:r>
            <w:r>
              <w:rPr>
                <w:rFonts w:ascii="SimSun" w:hAnsi="SimSun" w:eastAsia="SimSun" w:cs="SimSun"/>
                <w:sz w:val="20"/>
                <w:szCs w:val="20"/>
                <w:spacing w:val="-2"/>
              </w:rPr>
              <w:t>代</w:t>
            </w:r>
          </w:p>
          <w:p>
            <w:pPr>
              <w:pStyle w:val="TableText"/>
              <w:ind w:left="34" w:right="27" w:firstLine="17"/>
              <w:spacing w:before="82" w:line="271" w:lineRule="auto"/>
              <w:rPr/>
            </w:pPr>
            <w:r>
              <w:rPr>
                <w:rFonts w:ascii="SimSun" w:hAnsi="SimSun" w:eastAsia="SimSun" w:cs="SimSun"/>
                <w:spacing w:val="-7"/>
              </w:rPr>
              <w:t>的</w:t>
            </w:r>
            <w:r>
              <w:rPr>
                <w:rFonts w:ascii="SimSun" w:hAnsi="SimSun" w:eastAsia="SimSun" w:cs="SimSun"/>
                <w:spacing w:val="15"/>
              </w:rPr>
              <w:t xml:space="preserve"> </w:t>
            </w:r>
            <w:r>
              <w:rPr>
                <w:rFonts w:ascii="SimSun" w:hAnsi="SimSun" w:eastAsia="SimSun" w:cs="SimSun"/>
                <w:spacing w:val="-7"/>
              </w:rPr>
              <w:t>污</w:t>
            </w:r>
            <w:r>
              <w:rPr>
                <w:rFonts w:ascii="SimSun" w:hAnsi="SimSun" w:eastAsia="SimSun" w:cs="SimSun"/>
                <w:spacing w:val="15"/>
              </w:rPr>
              <w:t xml:space="preserve"> </w:t>
            </w:r>
            <w:r>
              <w:rPr>
                <w:rFonts w:ascii="SimSun" w:hAnsi="SimSun" w:eastAsia="SimSun" w:cs="SimSun"/>
                <w:spacing w:val="-7"/>
              </w:rPr>
              <w:t>染</w:t>
            </w:r>
            <w:r>
              <w:rPr>
                <w:rFonts w:ascii="SimSun" w:hAnsi="SimSun" w:eastAsia="SimSun" w:cs="SimSun"/>
                <w:spacing w:val="2"/>
              </w:rPr>
              <w:t>源</w:t>
            </w:r>
            <w:r>
              <w:rPr>
                <w:spacing w:val="2"/>
              </w:rPr>
              <w:t>□</w:t>
            </w:r>
          </w:p>
        </w:tc>
        <w:tc>
          <w:tcPr>
            <w:tcW w:w="4567" w:type="dxa"/>
            <w:vAlign w:val="top"/>
          </w:tcPr>
          <w:p>
            <w:pPr>
              <w:pStyle w:val="TableText"/>
              <w:ind w:left="31" w:right="183" w:hanging="1"/>
              <w:spacing w:before="221" w:line="302" w:lineRule="auto"/>
              <w:rPr/>
            </w:pPr>
            <w:r>
              <w:rPr>
                <w:rFonts w:ascii="SimSun" w:hAnsi="SimSun" w:eastAsia="SimSun" w:cs="SimSun"/>
                <w:spacing w:val="2"/>
              </w:rPr>
              <w:t>排污许可证</w:t>
            </w:r>
            <w:r>
              <w:rPr>
                <w:spacing w:val="2"/>
              </w:rPr>
              <w:t>□</w:t>
            </w:r>
            <w:r>
              <w:rPr>
                <w:spacing w:val="-16"/>
              </w:rPr>
              <w:t xml:space="preserve"> </w:t>
            </w:r>
            <w:r>
              <w:rPr>
                <w:rFonts w:ascii="SimSun" w:hAnsi="SimSun" w:eastAsia="SimSun" w:cs="SimSun"/>
                <w:spacing w:val="2"/>
              </w:rPr>
              <w:t>；环评</w:t>
            </w:r>
            <w:r>
              <w:rPr>
                <w:spacing w:val="2"/>
              </w:rPr>
              <w:t>□</w:t>
            </w:r>
            <w:r>
              <w:rPr>
                <w:spacing w:val="-21"/>
              </w:rPr>
              <w:t xml:space="preserve"> </w:t>
            </w:r>
            <w:r>
              <w:rPr>
                <w:rFonts w:ascii="SimSun" w:hAnsi="SimSun" w:eastAsia="SimSun" w:cs="SimSun"/>
                <w:spacing w:val="2"/>
              </w:rPr>
              <w:t>；环保验收</w:t>
            </w:r>
            <w:r>
              <w:rPr>
                <w:spacing w:val="2"/>
              </w:rPr>
              <w:t>□</w:t>
            </w:r>
            <w:r>
              <w:rPr>
                <w:spacing w:val="-23"/>
              </w:rPr>
              <w:t xml:space="preserve"> </w:t>
            </w:r>
            <w:r>
              <w:rPr>
                <w:rFonts w:ascii="SimSun" w:hAnsi="SimSun" w:eastAsia="SimSun" w:cs="SimSun"/>
                <w:spacing w:val="2"/>
              </w:rPr>
              <w:t>；既有实测</w:t>
            </w:r>
            <w:r>
              <w:rPr>
                <w:spacing w:val="2"/>
              </w:rPr>
              <w:t>□</w:t>
            </w:r>
            <w:r>
              <w:rPr>
                <w:spacing w:val="-22"/>
              </w:rPr>
              <w:t xml:space="preserve"> </w:t>
            </w:r>
            <w:r>
              <w:rPr>
                <w:rFonts w:ascii="SimSun" w:hAnsi="SimSun" w:eastAsia="SimSun" w:cs="SimSun"/>
                <w:spacing w:val="2"/>
              </w:rPr>
              <w:t>;</w:t>
            </w:r>
            <w:r>
              <w:rPr>
                <w:rFonts w:ascii="SimSun" w:hAnsi="SimSun" w:eastAsia="SimSun" w:cs="SimSun"/>
                <w:spacing w:val="5"/>
              </w:rPr>
              <w:t>现场监测</w:t>
            </w:r>
            <w:r>
              <w:rPr>
                <w:spacing w:val="5"/>
              </w:rPr>
              <w:t>□</w:t>
            </w:r>
            <w:r>
              <w:rPr>
                <w:spacing w:val="-9"/>
              </w:rPr>
              <w:t xml:space="preserve"> </w:t>
            </w:r>
            <w:r>
              <w:rPr>
                <w:rFonts w:ascii="SimSun" w:hAnsi="SimSun" w:eastAsia="SimSun" w:cs="SimSun"/>
                <w:spacing w:val="5"/>
              </w:rPr>
              <w:t>；入河排放口数据</w:t>
            </w:r>
            <w:r>
              <w:rPr>
                <w:spacing w:val="5"/>
              </w:rPr>
              <w:t>□</w:t>
            </w:r>
            <w:r>
              <w:rPr>
                <w:spacing w:val="-23"/>
              </w:rPr>
              <w:t xml:space="preserve"> </w:t>
            </w:r>
            <w:r>
              <w:rPr>
                <w:rFonts w:ascii="SimSun" w:hAnsi="SimSun" w:eastAsia="SimSun" w:cs="SimSun"/>
                <w:spacing w:val="5"/>
              </w:rPr>
              <w:t>；其他</w:t>
            </w:r>
            <w:r>
              <w:rPr>
                <w:spacing w:val="5"/>
              </w:rPr>
              <w:t>□</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restart"/>
            <w:tcBorders>
              <w:bottom w:val="nil"/>
            </w:tcBorders>
          </w:tcPr>
          <w:p>
            <w:pPr>
              <w:spacing w:line="242" w:lineRule="auto"/>
              <w:rPr>
                <w:rFonts w:ascii="Arial"/>
                <w:sz w:val="21"/>
              </w:rPr>
            </w:pPr>
            <w:r/>
          </w:p>
          <w:p>
            <w:pPr>
              <w:spacing w:line="243" w:lineRule="auto"/>
              <w:rPr>
                <w:rFonts w:ascii="Arial"/>
                <w:sz w:val="21"/>
              </w:rPr>
            </w:pPr>
            <w:r/>
          </w:p>
          <w:p>
            <w:pPr>
              <w:ind w:left="461" w:right="41" w:hanging="416"/>
              <w:spacing w:before="65" w:line="303" w:lineRule="auto"/>
              <w:rPr>
                <w:rFonts w:ascii="SimSun" w:hAnsi="SimSun" w:eastAsia="SimSun" w:cs="SimSun"/>
                <w:sz w:val="20"/>
                <w:szCs w:val="20"/>
              </w:rPr>
            </w:pPr>
            <w:r>
              <w:rPr>
                <w:rFonts w:ascii="SimSun" w:hAnsi="SimSun" w:eastAsia="SimSun" w:cs="SimSun"/>
                <w:sz w:val="20"/>
                <w:szCs w:val="20"/>
                <w:spacing w:val="8"/>
              </w:rPr>
              <w:t>受影响水体水环</w:t>
            </w:r>
            <w:r>
              <w:rPr>
                <w:rFonts w:ascii="SimSun" w:hAnsi="SimSun" w:eastAsia="SimSun" w:cs="SimSun"/>
                <w:sz w:val="20"/>
                <w:szCs w:val="20"/>
                <w:spacing w:val="6"/>
              </w:rPr>
              <w:t>境质量</w:t>
            </w:r>
          </w:p>
        </w:tc>
        <w:tc>
          <w:tcPr>
            <w:tcW w:w="2739" w:type="dxa"/>
            <w:vAlign w:val="top"/>
            <w:gridSpan w:val="2"/>
          </w:tcPr>
          <w:p>
            <w:pPr>
              <w:ind w:left="32"/>
              <w:spacing w:before="59" w:line="228" w:lineRule="auto"/>
              <w:rPr>
                <w:rFonts w:ascii="SimSun" w:hAnsi="SimSun" w:eastAsia="SimSun" w:cs="SimSun"/>
                <w:sz w:val="20"/>
                <w:szCs w:val="20"/>
              </w:rPr>
            </w:pPr>
            <w:r>
              <w:rPr>
                <w:rFonts w:ascii="SimSun" w:hAnsi="SimSun" w:eastAsia="SimSun" w:cs="SimSun"/>
                <w:sz w:val="20"/>
                <w:szCs w:val="20"/>
                <w:spacing w:val="6"/>
              </w:rPr>
              <w:t>调查时期</w:t>
            </w:r>
          </w:p>
        </w:tc>
        <w:tc>
          <w:tcPr>
            <w:tcW w:w="4567" w:type="dxa"/>
            <w:vAlign w:val="top"/>
          </w:tcPr>
          <w:p>
            <w:pPr>
              <w:ind w:left="32"/>
              <w:spacing w:before="59" w:line="228" w:lineRule="auto"/>
              <w:rPr>
                <w:rFonts w:ascii="SimSun" w:hAnsi="SimSun" w:eastAsia="SimSun" w:cs="SimSun"/>
                <w:sz w:val="20"/>
                <w:szCs w:val="20"/>
              </w:rPr>
            </w:pPr>
            <w:r>
              <w:rPr>
                <w:rFonts w:ascii="SimSun" w:hAnsi="SimSun" w:eastAsia="SimSun" w:cs="SimSun"/>
                <w:sz w:val="20"/>
                <w:szCs w:val="20"/>
                <w:spacing w:val="6"/>
              </w:rPr>
              <w:t>数据来源</w:t>
            </w:r>
          </w:p>
        </w:tc>
      </w:tr>
      <w:tr>
        <w:trPr>
          <w:trHeight w:val="130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2739" w:type="dxa"/>
            <w:vAlign w:val="top"/>
            <w:gridSpan w:val="2"/>
          </w:tcPr>
          <w:p>
            <w:pPr>
              <w:pStyle w:val="TableText"/>
              <w:ind w:left="30" w:right="75"/>
              <w:spacing w:before="60" w:line="301" w:lineRule="auto"/>
              <w:rPr/>
            </w:pPr>
            <w:r>
              <w:rPr>
                <w:rFonts w:ascii="SimSun" w:hAnsi="SimSun" w:eastAsia="SimSun" w:cs="SimSun"/>
                <w:spacing w:val="-5"/>
              </w:rPr>
              <w:t>丰水期</w:t>
            </w:r>
            <w:r>
              <w:rPr>
                <w:spacing w:val="-5"/>
              </w:rPr>
              <w:t>□</w:t>
            </w:r>
            <w:r>
              <w:rPr>
                <w:rFonts w:ascii="SimSun" w:hAnsi="SimSun" w:eastAsia="SimSun" w:cs="SimSun"/>
                <w:spacing w:val="-5"/>
              </w:rPr>
              <w:t>；平水期</w:t>
            </w:r>
            <w:r>
              <w:rPr>
                <w:spacing w:val="-5"/>
              </w:rPr>
              <w:t>□</w:t>
            </w:r>
            <w:r>
              <w:rPr>
                <w:rFonts w:ascii="SimSun" w:hAnsi="SimSun" w:eastAsia="SimSun" w:cs="SimSun"/>
                <w:spacing w:val="-5"/>
              </w:rPr>
              <w:t>；枯水期</w:t>
            </w:r>
            <w:r>
              <w:rPr>
                <w:spacing w:val="-5"/>
              </w:rPr>
              <w:t>□</w:t>
            </w:r>
            <w:r>
              <w:rPr>
                <w:spacing w:val="-12"/>
              </w:rPr>
              <w:t xml:space="preserve"> </w:t>
            </w:r>
            <w:r>
              <w:rPr>
                <w:rFonts w:ascii="SimSun" w:hAnsi="SimSun" w:eastAsia="SimSun" w:cs="SimSun"/>
                <w:spacing w:val="-5"/>
              </w:rPr>
              <w:t>;</w:t>
            </w:r>
            <w:r>
              <w:rPr>
                <w:rFonts w:ascii="SimSun" w:hAnsi="SimSun" w:eastAsia="SimSun" w:cs="SimSun"/>
                <w:spacing w:val="7"/>
              </w:rPr>
              <w:t>冰封期</w:t>
            </w:r>
            <w:r>
              <w:rPr>
                <w:spacing w:val="7"/>
              </w:rPr>
              <w:t>□</w:t>
            </w:r>
          </w:p>
          <w:p>
            <w:pPr>
              <w:pStyle w:val="TableText"/>
              <w:ind w:left="37" w:right="27" w:hanging="7"/>
              <w:spacing w:line="286" w:lineRule="auto"/>
              <w:rPr/>
            </w:pPr>
            <w:r>
              <w:rPr>
                <w:rFonts w:ascii="SimSun" w:hAnsi="SimSun" w:eastAsia="SimSun" w:cs="SimSun"/>
                <w:spacing w:val="2"/>
              </w:rPr>
              <w:t>春季</w:t>
            </w:r>
            <w:r>
              <w:rPr>
                <w:spacing w:val="2"/>
              </w:rPr>
              <w:t>□</w:t>
            </w:r>
            <w:r>
              <w:rPr>
                <w:spacing w:val="-13"/>
              </w:rPr>
              <w:t xml:space="preserve"> </w:t>
            </w:r>
            <w:r>
              <w:rPr>
                <w:rFonts w:ascii="SimSun" w:hAnsi="SimSun" w:eastAsia="SimSun" w:cs="SimSun"/>
                <w:spacing w:val="2"/>
              </w:rPr>
              <w:t>；夏季</w:t>
            </w:r>
            <w:r>
              <w:rPr>
                <w:spacing w:val="2"/>
              </w:rPr>
              <w:t>□</w:t>
            </w:r>
            <w:r>
              <w:rPr>
                <w:spacing w:val="-28"/>
              </w:rPr>
              <w:t xml:space="preserve"> </w:t>
            </w:r>
            <w:r>
              <w:rPr>
                <w:rFonts w:ascii="SimSun" w:hAnsi="SimSun" w:eastAsia="SimSun" w:cs="SimSun"/>
                <w:spacing w:val="2"/>
              </w:rPr>
              <w:t>；秋季</w:t>
            </w:r>
            <w:r>
              <w:rPr>
                <w:spacing w:val="2"/>
              </w:rPr>
              <w:t>□</w:t>
            </w:r>
            <w:r>
              <w:rPr>
                <w:spacing w:val="-25"/>
              </w:rPr>
              <w:t xml:space="preserve"> </w:t>
            </w:r>
            <w:r>
              <w:rPr>
                <w:rFonts w:ascii="SimSun" w:hAnsi="SimSun" w:eastAsia="SimSun" w:cs="SimSun"/>
                <w:spacing w:val="2"/>
              </w:rPr>
              <w:t>；冬季</w:t>
            </w:r>
            <w:r>
              <w:rPr/>
              <w:t>□</w:t>
            </w:r>
          </w:p>
        </w:tc>
        <w:tc>
          <w:tcPr>
            <w:tcW w:w="4567" w:type="dxa"/>
            <w:vAlign w:val="top"/>
          </w:tcPr>
          <w:p>
            <w:pPr>
              <w:rPr>
                <w:rFonts w:ascii="Arial"/>
                <w:sz w:val="21"/>
              </w:rPr>
            </w:pPr>
            <w:r/>
          </w:p>
          <w:p>
            <w:pPr>
              <w:spacing w:line="241" w:lineRule="auto"/>
              <w:rPr>
                <w:rFonts w:ascii="Arial"/>
                <w:sz w:val="21"/>
              </w:rPr>
            </w:pPr>
            <w:r/>
          </w:p>
          <w:p>
            <w:pPr>
              <w:pStyle w:val="TableText"/>
              <w:ind w:left="32"/>
              <w:spacing w:before="65" w:line="225" w:lineRule="auto"/>
              <w:rPr/>
            </w:pPr>
            <w:r>
              <w:rPr>
                <w:rFonts w:ascii="SimSun" w:hAnsi="SimSun" w:eastAsia="SimSun" w:cs="SimSun"/>
                <w:spacing w:val="6"/>
              </w:rPr>
              <w:t>生态环境保护主管部门</w:t>
            </w:r>
            <w:r>
              <w:rPr>
                <w:spacing w:val="6"/>
              </w:rPr>
              <w:t>□</w:t>
            </w:r>
            <w:r>
              <w:rPr>
                <w:spacing w:val="-16"/>
              </w:rPr>
              <w:t xml:space="preserve"> </w:t>
            </w:r>
            <w:r>
              <w:rPr>
                <w:rFonts w:ascii="SimSun" w:hAnsi="SimSun" w:eastAsia="SimSun" w:cs="SimSun"/>
                <w:spacing w:val="6"/>
              </w:rPr>
              <w:t>；补充监测</w:t>
            </w:r>
            <w:r>
              <w:rPr>
                <w:spacing w:val="6"/>
              </w:rPr>
              <w:t>□</w:t>
            </w:r>
            <w:r>
              <w:rPr>
                <w:spacing w:val="-21"/>
              </w:rPr>
              <w:t xml:space="preserve"> </w:t>
            </w:r>
            <w:r>
              <w:rPr>
                <w:rFonts w:ascii="SimSun" w:hAnsi="SimSun" w:eastAsia="SimSun" w:cs="SimSun"/>
                <w:spacing w:val="6"/>
              </w:rPr>
              <w:t>；其他</w:t>
            </w:r>
            <w:r>
              <w:rPr>
                <w:spacing w:val="6"/>
              </w:rPr>
              <w:t>□</w:t>
            </w:r>
          </w:p>
        </w:tc>
      </w:tr>
      <w:tr>
        <w:trPr>
          <w:trHeight w:val="65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ind w:left="359" w:right="41" w:hanging="302"/>
              <w:spacing w:before="61" w:line="270" w:lineRule="auto"/>
              <w:rPr>
                <w:rFonts w:ascii="SimSun" w:hAnsi="SimSun" w:eastAsia="SimSun" w:cs="SimSun"/>
                <w:sz w:val="20"/>
                <w:szCs w:val="20"/>
              </w:rPr>
            </w:pPr>
            <w:r>
              <w:rPr>
                <w:rFonts w:ascii="SimSun" w:hAnsi="SimSun" w:eastAsia="SimSun" w:cs="SimSun"/>
                <w:sz w:val="20"/>
                <w:szCs w:val="20"/>
                <w:spacing w:val="6"/>
              </w:rPr>
              <w:t>区域水资源开发</w:t>
            </w:r>
            <w:r>
              <w:rPr>
                <w:rFonts w:ascii="SimSun" w:hAnsi="SimSun" w:eastAsia="SimSun" w:cs="SimSun"/>
                <w:sz w:val="20"/>
                <w:szCs w:val="20"/>
                <w:spacing w:val="7"/>
              </w:rPr>
              <w:t>利用状况</w:t>
            </w:r>
          </w:p>
        </w:tc>
        <w:tc>
          <w:tcPr>
            <w:tcW w:w="7306" w:type="dxa"/>
            <w:vAlign w:val="top"/>
            <w:gridSpan w:val="3"/>
          </w:tcPr>
          <w:p>
            <w:pPr>
              <w:pStyle w:val="TableText"/>
              <w:ind w:left="34"/>
              <w:spacing w:before="226" w:line="228" w:lineRule="auto"/>
              <w:rPr/>
            </w:pPr>
            <w:r>
              <w:rPr>
                <w:rFonts w:ascii="SimSun" w:hAnsi="SimSun" w:eastAsia="SimSun" w:cs="SimSun"/>
                <w:spacing w:val="5"/>
              </w:rPr>
              <w:t>未开发</w:t>
            </w:r>
            <w:r>
              <w:rPr>
                <w:spacing w:val="5"/>
              </w:rPr>
              <w:t>□</w:t>
            </w:r>
            <w:r>
              <w:rPr>
                <w:spacing w:val="-10"/>
              </w:rPr>
              <w:t xml:space="preserve"> </w:t>
            </w:r>
            <w:r>
              <w:rPr>
                <w:rFonts w:ascii="SimSun" w:hAnsi="SimSun" w:eastAsia="SimSun" w:cs="SimSun"/>
                <w:spacing w:val="5"/>
              </w:rPr>
              <w:t>；开发量</w:t>
            </w:r>
            <w:r>
              <w:rPr>
                <w:rFonts w:ascii="SimSun" w:hAnsi="SimSun" w:eastAsia="SimSun" w:cs="SimSun"/>
                <w:spacing w:val="-44"/>
              </w:rPr>
              <w:t xml:space="preserve"> </w:t>
            </w:r>
            <w:r>
              <w:rPr>
                <w:spacing w:val="5"/>
              </w:rPr>
              <w:t>40%</w:t>
            </w:r>
            <w:r>
              <w:rPr>
                <w:rFonts w:ascii="SimSun" w:hAnsi="SimSun" w:eastAsia="SimSun" w:cs="SimSun"/>
                <w:spacing w:val="5"/>
              </w:rPr>
              <w:t>以下</w:t>
            </w:r>
            <w:r>
              <w:rPr>
                <w:spacing w:val="5"/>
              </w:rPr>
              <w:t>□</w:t>
            </w:r>
            <w:r>
              <w:rPr>
                <w:spacing w:val="-23"/>
              </w:rPr>
              <w:t xml:space="preserve"> </w:t>
            </w:r>
            <w:r>
              <w:rPr>
                <w:rFonts w:ascii="SimSun" w:hAnsi="SimSun" w:eastAsia="SimSun" w:cs="SimSun"/>
                <w:spacing w:val="5"/>
              </w:rPr>
              <w:t>；开发量</w:t>
            </w:r>
            <w:r>
              <w:rPr>
                <w:rFonts w:ascii="SimSun" w:hAnsi="SimSun" w:eastAsia="SimSun" w:cs="SimSun"/>
                <w:spacing w:val="-46"/>
              </w:rPr>
              <w:t xml:space="preserve"> </w:t>
            </w:r>
            <w:r>
              <w:rPr>
                <w:spacing w:val="5"/>
              </w:rPr>
              <w:t>40%</w:t>
            </w:r>
            <w:r>
              <w:rPr>
                <w:rFonts w:ascii="SimSun" w:hAnsi="SimSun" w:eastAsia="SimSun" w:cs="SimSun"/>
                <w:spacing w:val="5"/>
              </w:rPr>
              <w:t>以上</w:t>
            </w:r>
            <w:r>
              <w:rPr>
                <w:spacing w:val="5"/>
              </w:rPr>
              <w:t>□</w:t>
            </w:r>
          </w:p>
        </w:tc>
      </w:tr>
      <w:tr>
        <w:trPr>
          <w:trHeight w:val="333"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ind w:left="149"/>
              <w:spacing w:before="60" w:line="228" w:lineRule="auto"/>
              <w:rPr>
                <w:rFonts w:ascii="SimSun" w:hAnsi="SimSun" w:eastAsia="SimSun" w:cs="SimSun"/>
                <w:sz w:val="20"/>
                <w:szCs w:val="20"/>
              </w:rPr>
            </w:pPr>
            <w:r>
              <w:rPr>
                <w:rFonts w:ascii="SimSun" w:hAnsi="SimSun" w:eastAsia="SimSun" w:cs="SimSun"/>
                <w:sz w:val="20"/>
                <w:szCs w:val="20"/>
                <w:spacing w:val="7"/>
              </w:rPr>
              <w:t>水文情势调查</w:t>
            </w:r>
          </w:p>
        </w:tc>
        <w:tc>
          <w:tcPr>
            <w:tcW w:w="2739" w:type="dxa"/>
            <w:vAlign w:val="top"/>
            <w:gridSpan w:val="2"/>
          </w:tcPr>
          <w:p>
            <w:pPr>
              <w:ind w:left="32"/>
              <w:spacing w:before="61" w:line="228" w:lineRule="auto"/>
              <w:rPr>
                <w:rFonts w:ascii="SimSun" w:hAnsi="SimSun" w:eastAsia="SimSun" w:cs="SimSun"/>
                <w:sz w:val="20"/>
                <w:szCs w:val="20"/>
              </w:rPr>
            </w:pPr>
            <w:r>
              <w:rPr>
                <w:rFonts w:ascii="SimSun" w:hAnsi="SimSun" w:eastAsia="SimSun" w:cs="SimSun"/>
                <w:sz w:val="20"/>
                <w:szCs w:val="20"/>
                <w:spacing w:val="6"/>
              </w:rPr>
              <w:t>调查时期</w:t>
            </w:r>
          </w:p>
        </w:tc>
        <w:tc>
          <w:tcPr>
            <w:tcW w:w="4567" w:type="dxa"/>
            <w:vAlign w:val="top"/>
          </w:tcPr>
          <w:p>
            <w:pPr>
              <w:ind w:left="32"/>
              <w:spacing w:before="60" w:line="228" w:lineRule="auto"/>
              <w:rPr>
                <w:rFonts w:ascii="SimSun" w:hAnsi="SimSun" w:eastAsia="SimSun" w:cs="SimSun"/>
                <w:sz w:val="20"/>
                <w:szCs w:val="20"/>
              </w:rPr>
            </w:pPr>
            <w:r>
              <w:rPr>
                <w:rFonts w:ascii="SimSun" w:hAnsi="SimSun" w:eastAsia="SimSun" w:cs="SimSun"/>
                <w:sz w:val="20"/>
                <w:szCs w:val="20"/>
                <w:spacing w:val="6"/>
              </w:rPr>
              <w:t>数据来源</w:t>
            </w:r>
          </w:p>
        </w:tc>
      </w:tr>
    </w:tbl>
    <w:p>
      <w:pPr>
        <w:pStyle w:val="BodyText"/>
        <w:rPr/>
      </w:pPr>
      <w:r/>
    </w:p>
    <w:p>
      <w:pPr>
        <w:sectPr>
          <w:footerReference w:type="default" r:id="rId400"/>
          <w:pgSz w:w="11906" w:h="16838"/>
          <w:pgMar w:top="1170" w:right="1304" w:bottom="1080" w:left="1305" w:header="837" w:footer="918" w:gutter="0"/>
        </w:sectPr>
        <w:rPr/>
      </w:pPr>
    </w:p>
    <w:p>
      <w:pPr>
        <w:spacing w:before="6"/>
        <w:rPr/>
      </w:p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6"/>
        <w:gridCol w:w="1549"/>
        <w:gridCol w:w="2065"/>
        <w:gridCol w:w="674"/>
        <w:gridCol w:w="2250"/>
        <w:gridCol w:w="643"/>
        <w:gridCol w:w="1674"/>
      </w:tblGrid>
      <w:tr>
        <w:trPr>
          <w:trHeight w:val="1315" w:hRule="atLeast"/>
        </w:trPr>
        <w:tc>
          <w:tcPr>
            <w:tcW w:w="276" w:type="dxa"/>
            <w:vAlign w:val="top"/>
            <w:vMerge w:val="restart"/>
            <w:tcBorders>
              <w:top w:val="nil"/>
              <w:bottom w:val="nil"/>
            </w:tcBorders>
          </w:tcPr>
          <w:p>
            <w:pPr>
              <w:rPr>
                <w:rFonts w:ascii="Arial"/>
                <w:sz w:val="21"/>
              </w:rPr>
            </w:pPr>
            <w:r/>
          </w:p>
        </w:tc>
        <w:tc>
          <w:tcPr>
            <w:tcW w:w="1549" w:type="dxa"/>
            <w:vAlign w:val="top"/>
            <w:tcBorders>
              <w:top w:val="nil"/>
            </w:tcBorders>
          </w:tcPr>
          <w:p>
            <w:pPr>
              <w:rPr>
                <w:rFonts w:ascii="Arial"/>
                <w:sz w:val="21"/>
              </w:rPr>
            </w:pPr>
            <w:r/>
          </w:p>
        </w:tc>
        <w:tc>
          <w:tcPr>
            <w:tcW w:w="2739" w:type="dxa"/>
            <w:vAlign w:val="top"/>
            <w:gridSpan w:val="2"/>
          </w:tcPr>
          <w:p>
            <w:pPr>
              <w:pStyle w:val="TableText"/>
              <w:ind w:left="30" w:right="75"/>
              <w:spacing w:before="63" w:line="300" w:lineRule="auto"/>
              <w:rPr>
                <w:rFonts w:ascii="SimSun" w:hAnsi="SimSun" w:eastAsia="SimSun" w:cs="SimSun"/>
              </w:rPr>
            </w:pPr>
            <w:r>
              <w:rPr>
                <w:rFonts w:ascii="SimSun" w:hAnsi="SimSun" w:eastAsia="SimSun" w:cs="SimSun"/>
                <w:spacing w:val="-5"/>
              </w:rPr>
              <w:t>丰水期</w:t>
            </w:r>
            <w:r>
              <w:rPr>
                <w:spacing w:val="-5"/>
              </w:rPr>
              <w:t>□</w:t>
            </w:r>
            <w:r>
              <w:rPr>
                <w:rFonts w:ascii="SimSun" w:hAnsi="SimSun" w:eastAsia="SimSun" w:cs="SimSun"/>
                <w:spacing w:val="-5"/>
              </w:rPr>
              <w:t>；平水期</w:t>
            </w:r>
            <w:r>
              <w:rPr>
                <w:spacing w:val="-5"/>
              </w:rPr>
              <w:t>□</w:t>
            </w:r>
            <w:r>
              <w:rPr>
                <w:rFonts w:ascii="SimSun" w:hAnsi="SimSun" w:eastAsia="SimSun" w:cs="SimSun"/>
                <w:spacing w:val="-5"/>
              </w:rPr>
              <w:t>；枯水期</w:t>
            </w:r>
            <w:r>
              <w:rPr>
                <w:spacing w:val="-5"/>
              </w:rPr>
              <w:t>□</w:t>
            </w:r>
            <w:r>
              <w:rPr>
                <w:spacing w:val="-12"/>
              </w:rPr>
              <w:t xml:space="preserve"> </w:t>
            </w:r>
            <w:r>
              <w:rPr>
                <w:rFonts w:ascii="SimSun" w:hAnsi="SimSun" w:eastAsia="SimSun" w:cs="SimSun"/>
                <w:spacing w:val="-5"/>
              </w:rPr>
              <w:t>;</w:t>
            </w:r>
            <w:r>
              <w:rPr>
                <w:rFonts w:ascii="SimSun" w:hAnsi="SimSun" w:eastAsia="SimSun" w:cs="SimSun"/>
                <w:spacing w:val="6"/>
              </w:rPr>
              <w:t>冰封期</w:t>
            </w:r>
          </w:p>
          <w:p>
            <w:pPr>
              <w:pStyle w:val="TableText"/>
              <w:ind w:left="37" w:right="27" w:hanging="7"/>
              <w:spacing w:before="1" w:line="289" w:lineRule="auto"/>
              <w:rPr/>
            </w:pPr>
            <w:r>
              <w:rPr>
                <w:rFonts w:ascii="SimSun" w:hAnsi="SimSun" w:eastAsia="SimSun" w:cs="SimSun"/>
                <w:spacing w:val="2"/>
              </w:rPr>
              <w:t>春季</w:t>
            </w:r>
            <w:r>
              <w:rPr>
                <w:spacing w:val="2"/>
              </w:rPr>
              <w:t>□</w:t>
            </w:r>
            <w:r>
              <w:rPr>
                <w:spacing w:val="-13"/>
              </w:rPr>
              <w:t xml:space="preserve"> </w:t>
            </w:r>
            <w:r>
              <w:rPr>
                <w:rFonts w:ascii="SimSun" w:hAnsi="SimSun" w:eastAsia="SimSun" w:cs="SimSun"/>
                <w:spacing w:val="2"/>
              </w:rPr>
              <w:t>；夏季</w:t>
            </w:r>
            <w:r>
              <w:rPr>
                <w:spacing w:val="2"/>
              </w:rPr>
              <w:t>□</w:t>
            </w:r>
            <w:r>
              <w:rPr>
                <w:spacing w:val="-28"/>
              </w:rPr>
              <w:t xml:space="preserve"> </w:t>
            </w:r>
            <w:r>
              <w:rPr>
                <w:rFonts w:ascii="SimSun" w:hAnsi="SimSun" w:eastAsia="SimSun" w:cs="SimSun"/>
                <w:spacing w:val="2"/>
              </w:rPr>
              <w:t>；秋季</w:t>
            </w:r>
            <w:r>
              <w:rPr>
                <w:spacing w:val="2"/>
              </w:rPr>
              <w:t>□</w:t>
            </w:r>
            <w:r>
              <w:rPr>
                <w:spacing w:val="-25"/>
              </w:rPr>
              <w:t xml:space="preserve"> </w:t>
            </w:r>
            <w:r>
              <w:rPr>
                <w:rFonts w:ascii="SimSun" w:hAnsi="SimSun" w:eastAsia="SimSun" w:cs="SimSun"/>
                <w:spacing w:val="2"/>
              </w:rPr>
              <w:t>；冬季</w:t>
            </w:r>
            <w:r>
              <w:rPr/>
              <w:t>□</w:t>
            </w:r>
          </w:p>
        </w:tc>
        <w:tc>
          <w:tcPr>
            <w:tcW w:w="4567" w:type="dxa"/>
            <w:vAlign w:val="top"/>
            <w:gridSpan w:val="3"/>
          </w:tcPr>
          <w:p>
            <w:pPr>
              <w:spacing w:line="241" w:lineRule="auto"/>
              <w:rPr>
                <w:rFonts w:ascii="Arial"/>
                <w:sz w:val="21"/>
              </w:rPr>
            </w:pPr>
            <w:r/>
          </w:p>
          <w:p>
            <w:pPr>
              <w:spacing w:line="241" w:lineRule="auto"/>
              <w:rPr>
                <w:rFonts w:ascii="Arial"/>
                <w:sz w:val="21"/>
              </w:rPr>
            </w:pPr>
            <w:r/>
          </w:p>
          <w:p>
            <w:pPr>
              <w:pStyle w:val="TableText"/>
              <w:ind w:left="32"/>
              <w:spacing w:before="65" w:line="225" w:lineRule="auto"/>
              <w:rPr/>
            </w:pPr>
            <w:r>
              <w:rPr>
                <w:rFonts w:ascii="SimSun" w:hAnsi="SimSun" w:eastAsia="SimSun" w:cs="SimSun"/>
                <w:spacing w:val="6"/>
              </w:rPr>
              <w:t>水行政主管部门</w:t>
            </w:r>
            <w:r>
              <w:rPr>
                <w:spacing w:val="6"/>
              </w:rPr>
              <w:t>□</w:t>
            </w:r>
            <w:r>
              <w:rPr>
                <w:spacing w:val="-28"/>
              </w:rPr>
              <w:t xml:space="preserve"> </w:t>
            </w:r>
            <w:r>
              <w:rPr>
                <w:rFonts w:ascii="SimSun" w:hAnsi="SimSun" w:eastAsia="SimSun" w:cs="SimSun"/>
                <w:spacing w:val="6"/>
              </w:rPr>
              <w:t>；补充监测</w:t>
            </w:r>
            <w:r>
              <w:rPr>
                <w:spacing w:val="6"/>
              </w:rPr>
              <w:t>□</w:t>
            </w:r>
            <w:r>
              <w:rPr>
                <w:spacing w:val="-23"/>
              </w:rPr>
              <w:t xml:space="preserve"> </w:t>
            </w:r>
            <w:r>
              <w:rPr>
                <w:rFonts w:ascii="SimSun" w:hAnsi="SimSun" w:eastAsia="SimSun" w:cs="SimSun"/>
                <w:spacing w:val="6"/>
              </w:rPr>
              <w:t>；其他</w:t>
            </w:r>
            <w:r>
              <w:rPr>
                <w:spacing w:val="6"/>
              </w:rPr>
              <w:t>□</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restart"/>
            <w:tcBorders>
              <w:bottom w:val="nil"/>
            </w:tcBorders>
          </w:tcPr>
          <w:p>
            <w:pPr>
              <w:spacing w:line="322" w:lineRule="auto"/>
              <w:rPr>
                <w:rFonts w:ascii="Arial"/>
                <w:sz w:val="21"/>
              </w:rPr>
            </w:pPr>
            <w:r/>
          </w:p>
          <w:p>
            <w:pPr>
              <w:spacing w:line="322" w:lineRule="auto"/>
              <w:rPr>
                <w:rFonts w:ascii="Arial"/>
                <w:sz w:val="21"/>
              </w:rPr>
            </w:pPr>
            <w:r/>
          </w:p>
          <w:p>
            <w:pPr>
              <w:ind w:left="358"/>
              <w:spacing w:before="65" w:line="228" w:lineRule="auto"/>
              <w:rPr>
                <w:rFonts w:ascii="SimSun" w:hAnsi="SimSun" w:eastAsia="SimSun" w:cs="SimSun"/>
                <w:sz w:val="20"/>
                <w:szCs w:val="20"/>
              </w:rPr>
            </w:pPr>
            <w:r>
              <w:rPr>
                <w:rFonts w:ascii="SimSun" w:hAnsi="SimSun" w:eastAsia="SimSun" w:cs="SimSun"/>
                <w:sz w:val="20"/>
                <w:szCs w:val="20"/>
                <w:spacing w:val="7"/>
              </w:rPr>
              <w:t>补充监测</w:t>
            </w:r>
          </w:p>
        </w:tc>
        <w:tc>
          <w:tcPr>
            <w:tcW w:w="2065" w:type="dxa"/>
            <w:vAlign w:val="top"/>
          </w:tcPr>
          <w:p>
            <w:pPr>
              <w:ind w:left="31"/>
              <w:spacing w:before="55" w:line="228" w:lineRule="auto"/>
              <w:rPr>
                <w:rFonts w:ascii="SimSun" w:hAnsi="SimSun" w:eastAsia="SimSun" w:cs="SimSun"/>
                <w:sz w:val="20"/>
                <w:szCs w:val="20"/>
              </w:rPr>
            </w:pPr>
            <w:r>
              <w:rPr>
                <w:rFonts w:ascii="SimSun" w:hAnsi="SimSun" w:eastAsia="SimSun" w:cs="SimSun"/>
                <w:sz w:val="20"/>
                <w:szCs w:val="20"/>
                <w:spacing w:val="7"/>
              </w:rPr>
              <w:t>监测时期</w:t>
            </w:r>
          </w:p>
        </w:tc>
        <w:tc>
          <w:tcPr>
            <w:tcW w:w="2924" w:type="dxa"/>
            <w:vAlign w:val="top"/>
            <w:gridSpan w:val="2"/>
          </w:tcPr>
          <w:p>
            <w:pPr>
              <w:ind w:left="33"/>
              <w:spacing w:before="55" w:line="228" w:lineRule="auto"/>
              <w:rPr>
                <w:rFonts w:ascii="SimSun" w:hAnsi="SimSun" w:eastAsia="SimSun" w:cs="SimSun"/>
                <w:sz w:val="20"/>
                <w:szCs w:val="20"/>
              </w:rPr>
            </w:pPr>
            <w:r>
              <w:rPr>
                <w:rFonts w:ascii="SimSun" w:hAnsi="SimSun" w:eastAsia="SimSun" w:cs="SimSun"/>
                <w:sz w:val="20"/>
                <w:szCs w:val="20"/>
                <w:spacing w:val="7"/>
              </w:rPr>
              <w:t>监测因子</w:t>
            </w:r>
          </w:p>
        </w:tc>
        <w:tc>
          <w:tcPr>
            <w:tcW w:w="2317" w:type="dxa"/>
            <w:vAlign w:val="top"/>
            <w:gridSpan w:val="2"/>
          </w:tcPr>
          <w:p>
            <w:pPr>
              <w:ind w:left="37"/>
              <w:spacing w:before="55" w:line="228" w:lineRule="auto"/>
              <w:rPr>
                <w:rFonts w:ascii="SimSun" w:hAnsi="SimSun" w:eastAsia="SimSun" w:cs="SimSun"/>
                <w:sz w:val="20"/>
                <w:szCs w:val="20"/>
              </w:rPr>
            </w:pPr>
            <w:r>
              <w:rPr>
                <w:rFonts w:ascii="SimSun" w:hAnsi="SimSun" w:eastAsia="SimSun" w:cs="SimSun"/>
                <w:sz w:val="20"/>
                <w:szCs w:val="20"/>
                <w:spacing w:val="8"/>
              </w:rPr>
              <w:t>监测断面或点位</w:t>
            </w:r>
          </w:p>
        </w:tc>
      </w:tr>
      <w:tr>
        <w:trPr>
          <w:trHeight w:val="1307" w:hRule="atLeast"/>
        </w:trPr>
        <w:tc>
          <w:tcPr>
            <w:tcW w:w="276" w:type="dxa"/>
            <w:vAlign w:val="top"/>
            <w:vMerge w:val="continue"/>
            <w:tcBorders>
              <w:top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2065" w:type="dxa"/>
            <w:vAlign w:val="top"/>
          </w:tcPr>
          <w:p>
            <w:pPr>
              <w:pStyle w:val="TableText"/>
              <w:ind w:left="30" w:right="73" w:firstLine="1"/>
              <w:spacing w:before="53" w:line="287" w:lineRule="auto"/>
              <w:jc w:val="both"/>
              <w:rPr/>
            </w:pPr>
            <w:r>
              <w:rPr>
                <w:rFonts w:ascii="SimSun" w:hAnsi="SimSun" w:eastAsia="SimSun" w:cs="SimSun"/>
              </w:rPr>
              <w:t>丰水期</w:t>
            </w:r>
            <w:r>
              <w:rPr/>
              <w:t>□</w:t>
            </w:r>
            <w:r>
              <w:rPr>
                <w:spacing w:val="-18"/>
              </w:rPr>
              <w:t xml:space="preserve"> </w:t>
            </w:r>
            <w:r>
              <w:rPr>
                <w:rFonts w:ascii="SimSun" w:hAnsi="SimSun" w:eastAsia="SimSun" w:cs="SimSun"/>
              </w:rPr>
              <w:t>；平水期</w:t>
            </w:r>
            <w:r>
              <w:rPr>
                <w:rFonts w:ascii="MS UI Gothic" w:hAnsi="MS UI Gothic" w:eastAsia="MS UI Gothic" w:cs="MS UI Gothic"/>
              </w:rPr>
              <w:t>☑</w:t>
            </w:r>
            <w:r>
              <w:rPr>
                <w:rFonts w:ascii="SimSun" w:hAnsi="SimSun" w:eastAsia="SimSun" w:cs="SimSun"/>
              </w:rPr>
              <w:t>;</w:t>
            </w:r>
            <w:r>
              <w:rPr>
                <w:rFonts w:ascii="SimSun" w:hAnsi="SimSun" w:eastAsia="SimSun" w:cs="SimSun"/>
                <w:spacing w:val="7"/>
              </w:rPr>
              <w:t>枯水期</w:t>
            </w:r>
            <w:r>
              <w:rPr>
                <w:spacing w:val="7"/>
              </w:rPr>
              <w:t>□</w:t>
            </w:r>
            <w:r>
              <w:rPr>
                <w:spacing w:val="-25"/>
              </w:rPr>
              <w:t xml:space="preserve"> </w:t>
            </w:r>
            <w:r>
              <w:rPr>
                <w:rFonts w:ascii="SimSun" w:hAnsi="SimSun" w:eastAsia="SimSun" w:cs="SimSun"/>
                <w:spacing w:val="1"/>
              </w:rPr>
              <w:t>；；</w:t>
            </w:r>
            <w:r>
              <w:rPr>
                <w:rFonts w:ascii="SimSun" w:hAnsi="SimSun" w:eastAsia="SimSun" w:cs="SimSun"/>
                <w:spacing w:val="7"/>
              </w:rPr>
              <w:t>冰封期</w:t>
            </w:r>
            <w:r>
              <w:rPr>
                <w:spacing w:val="7"/>
              </w:rPr>
              <w:t>□</w:t>
            </w:r>
            <w:r>
              <w:rPr>
                <w:rFonts w:ascii="SimSun" w:hAnsi="SimSun" w:eastAsia="SimSun" w:cs="SimSun"/>
                <w:spacing w:val="-12"/>
              </w:rPr>
              <w:t>春季</w:t>
            </w:r>
            <w:r>
              <w:rPr>
                <w:spacing w:val="-12"/>
              </w:rPr>
              <w:t>□</w:t>
            </w:r>
            <w:r>
              <w:rPr>
                <w:rFonts w:ascii="SimSun" w:hAnsi="SimSun" w:eastAsia="SimSun" w:cs="SimSun"/>
                <w:spacing w:val="-12"/>
              </w:rPr>
              <w:t>；夏季</w:t>
            </w:r>
            <w:r>
              <w:rPr>
                <w:spacing w:val="-12"/>
              </w:rPr>
              <w:t>□</w:t>
            </w:r>
            <w:r>
              <w:rPr>
                <w:rFonts w:ascii="SimSun" w:hAnsi="SimSun" w:eastAsia="SimSun" w:cs="SimSun"/>
                <w:spacing w:val="-12"/>
              </w:rPr>
              <w:t>；秋季</w:t>
            </w:r>
            <w:r>
              <w:rPr>
                <w:spacing w:val="-12"/>
              </w:rPr>
              <w:t>□</w:t>
            </w:r>
            <w:r>
              <w:rPr>
                <w:spacing w:val="-14"/>
              </w:rPr>
              <w:t xml:space="preserve"> </w:t>
            </w:r>
            <w:r>
              <w:rPr>
                <w:rFonts w:ascii="SimSun" w:hAnsi="SimSun" w:eastAsia="SimSun" w:cs="SimSun"/>
                <w:spacing w:val="-12"/>
              </w:rPr>
              <w:t>;</w:t>
            </w:r>
            <w:r>
              <w:rPr>
                <w:rFonts w:ascii="SimSun" w:hAnsi="SimSun" w:eastAsia="SimSun" w:cs="SimSun"/>
                <w:spacing w:val="4"/>
              </w:rPr>
              <w:t>冬季</w:t>
            </w:r>
            <w:r>
              <w:rPr>
                <w:rFonts w:ascii="SimSun" w:hAnsi="SimSun" w:eastAsia="SimSun" w:cs="SimSun"/>
                <w:spacing w:val="-43"/>
              </w:rPr>
              <w:t xml:space="preserve"> </w:t>
            </w:r>
            <w:r>
              <w:rPr>
                <w:spacing w:val="4"/>
              </w:rPr>
              <w:t>R</w:t>
            </w:r>
          </w:p>
        </w:tc>
        <w:tc>
          <w:tcPr>
            <w:tcW w:w="2924" w:type="dxa"/>
            <w:vAlign w:val="top"/>
            <w:gridSpan w:val="2"/>
          </w:tcPr>
          <w:p>
            <w:pPr>
              <w:rPr>
                <w:rFonts w:ascii="Arial"/>
                <w:sz w:val="21"/>
              </w:rPr>
            </w:pPr>
            <w:r/>
          </w:p>
        </w:tc>
        <w:tc>
          <w:tcPr>
            <w:tcW w:w="2317" w:type="dxa"/>
            <w:vAlign w:val="top"/>
            <w:gridSpan w:val="2"/>
          </w:tcPr>
          <w:p>
            <w:pPr>
              <w:spacing w:line="314" w:lineRule="auto"/>
              <w:rPr>
                <w:rFonts w:ascii="Arial"/>
                <w:sz w:val="21"/>
              </w:rPr>
            </w:pPr>
            <w:r/>
          </w:p>
          <w:p>
            <w:pPr>
              <w:pStyle w:val="TableText"/>
              <w:ind w:left="46" w:right="394" w:hanging="9"/>
              <w:spacing w:before="65" w:line="303" w:lineRule="auto"/>
              <w:rPr>
                <w:rFonts w:ascii="SimSun" w:hAnsi="SimSun" w:eastAsia="SimSun" w:cs="SimSun"/>
              </w:rPr>
            </w:pPr>
            <w:r>
              <w:rPr>
                <w:rFonts w:ascii="SimSun" w:hAnsi="SimSun" w:eastAsia="SimSun" w:cs="SimSun"/>
                <w:spacing w:val="8"/>
              </w:rPr>
              <w:t>监测断面或点位个数</w:t>
            </w:r>
            <w:r>
              <w:rPr>
                <w:rFonts w:ascii="SimSun" w:hAnsi="SimSun" w:eastAsia="SimSun" w:cs="SimSun"/>
                <w:spacing w:val="2"/>
              </w:rPr>
              <w:t>（</w:t>
            </w:r>
            <w:r>
              <w:rPr>
                <w:spacing w:val="2"/>
              </w:rPr>
              <w:t>1</w:t>
            </w:r>
            <w:r>
              <w:rPr>
                <w:rFonts w:ascii="SimSun" w:hAnsi="SimSun" w:eastAsia="SimSun" w:cs="SimSun"/>
                <w:spacing w:val="2"/>
              </w:rPr>
              <w:t>）个</w:t>
            </w:r>
          </w:p>
        </w:tc>
      </w:tr>
      <w:tr>
        <w:trPr>
          <w:trHeight w:val="331" w:hRule="atLeast"/>
        </w:trPr>
        <w:tc>
          <w:tcPr>
            <w:tcW w:w="276" w:type="dxa"/>
            <w:vAlign w:val="top"/>
            <w:vMerge w:val="restart"/>
            <w:textDirection w:val="tbRlV"/>
            <w:tcBorders>
              <w:bottom w:val="nil"/>
            </w:tcBorders>
          </w:tcPr>
          <w:p>
            <w:pPr>
              <w:ind w:left="2549"/>
              <w:spacing w:before="30" w:line="215" w:lineRule="auto"/>
              <w:rPr>
                <w:rFonts w:ascii="SimSun" w:hAnsi="SimSun" w:eastAsia="SimSun" w:cs="SimSun"/>
                <w:sz w:val="20"/>
                <w:szCs w:val="20"/>
              </w:rPr>
            </w:pPr>
            <w:r>
              <w:rPr>
                <w:rFonts w:ascii="SimSun" w:hAnsi="SimSun" w:eastAsia="SimSun" w:cs="SimSun"/>
                <w:sz w:val="20"/>
                <w:szCs w:val="20"/>
                <w:spacing w:val="8"/>
              </w:rPr>
              <w:t>现</w:t>
            </w:r>
            <w:r>
              <w:rPr>
                <w:rFonts w:ascii="SimSun" w:hAnsi="SimSun" w:eastAsia="SimSun" w:cs="SimSun"/>
                <w:sz w:val="20"/>
                <w:szCs w:val="20"/>
                <w:spacing w:val="17"/>
              </w:rPr>
              <w:t xml:space="preserve"> </w:t>
            </w:r>
            <w:r>
              <w:rPr>
                <w:rFonts w:ascii="SimSun" w:hAnsi="SimSun" w:eastAsia="SimSun" w:cs="SimSun"/>
                <w:sz w:val="20"/>
                <w:szCs w:val="20"/>
                <w:spacing w:val="8"/>
              </w:rPr>
              <w:t>状</w:t>
            </w:r>
            <w:r>
              <w:rPr>
                <w:rFonts w:ascii="SimSun" w:hAnsi="SimSun" w:eastAsia="SimSun" w:cs="SimSun"/>
                <w:sz w:val="20"/>
                <w:szCs w:val="20"/>
                <w:spacing w:val="17"/>
              </w:rPr>
              <w:t xml:space="preserve"> </w:t>
            </w:r>
            <w:r>
              <w:rPr>
                <w:rFonts w:ascii="SimSun" w:hAnsi="SimSun" w:eastAsia="SimSun" w:cs="SimSun"/>
                <w:sz w:val="20"/>
                <w:szCs w:val="20"/>
                <w:spacing w:val="8"/>
              </w:rPr>
              <w:t>评</w:t>
            </w:r>
            <w:r>
              <w:rPr>
                <w:rFonts w:ascii="SimSun" w:hAnsi="SimSun" w:eastAsia="SimSun" w:cs="SimSun"/>
                <w:sz w:val="20"/>
                <w:szCs w:val="20"/>
                <w:spacing w:val="-8"/>
              </w:rPr>
              <w:t xml:space="preserve"> </w:t>
            </w:r>
            <w:r>
              <w:rPr>
                <w:rFonts w:ascii="SimSun" w:hAnsi="SimSun" w:eastAsia="SimSun" w:cs="SimSun"/>
                <w:sz w:val="20"/>
                <w:szCs w:val="20"/>
                <w:spacing w:val="8"/>
              </w:rPr>
              <w:t>价</w:t>
            </w:r>
          </w:p>
        </w:tc>
        <w:tc>
          <w:tcPr>
            <w:tcW w:w="1549" w:type="dxa"/>
            <w:vAlign w:val="top"/>
          </w:tcPr>
          <w:p>
            <w:pPr>
              <w:ind w:left="357"/>
              <w:spacing w:before="58" w:line="226" w:lineRule="auto"/>
              <w:rPr>
                <w:rFonts w:ascii="SimSun" w:hAnsi="SimSun" w:eastAsia="SimSun" w:cs="SimSun"/>
                <w:sz w:val="20"/>
                <w:szCs w:val="20"/>
              </w:rPr>
            </w:pPr>
            <w:r>
              <w:rPr>
                <w:rFonts w:ascii="SimSun" w:hAnsi="SimSun" w:eastAsia="SimSun" w:cs="SimSun"/>
                <w:sz w:val="20"/>
                <w:szCs w:val="20"/>
                <w:spacing w:val="7"/>
              </w:rPr>
              <w:t>评价范围</w:t>
            </w:r>
          </w:p>
        </w:tc>
        <w:tc>
          <w:tcPr>
            <w:tcW w:w="7306" w:type="dxa"/>
            <w:vAlign w:val="top"/>
            <w:gridSpan w:val="5"/>
          </w:tcPr>
          <w:p>
            <w:pPr>
              <w:pStyle w:val="TableText"/>
              <w:ind w:left="30"/>
              <w:spacing w:before="58" w:line="228" w:lineRule="auto"/>
              <w:rPr>
                <w:sz w:val="13"/>
                <w:szCs w:val="13"/>
              </w:rPr>
            </w:pPr>
            <w:r>
              <w:rPr>
                <w:rFonts w:ascii="SimSun" w:hAnsi="SimSun" w:eastAsia="SimSun" w:cs="SimSun"/>
                <w:spacing w:val="10"/>
              </w:rPr>
              <w:t>河流：长度（</w:t>
            </w:r>
            <w:r>
              <w:rPr>
                <w:spacing w:val="10"/>
              </w:rPr>
              <w:t>/</w:t>
            </w:r>
            <w:r>
              <w:rPr>
                <w:rFonts w:ascii="SimSun" w:hAnsi="SimSun" w:eastAsia="SimSun" w:cs="SimSun"/>
                <w:spacing w:val="10"/>
              </w:rPr>
              <w:t>）</w:t>
            </w:r>
            <w:r>
              <w:rPr/>
              <w:t>km</w:t>
            </w:r>
            <w:r>
              <w:rPr>
                <w:rFonts w:ascii="SimSun" w:hAnsi="SimSun" w:eastAsia="SimSun" w:cs="SimSun"/>
                <w:spacing w:val="10"/>
              </w:rPr>
              <w:t>；湖库、河口及近岸海域：面积</w:t>
            </w:r>
            <w:r>
              <w:rPr>
                <w:rFonts w:ascii="SimSun" w:hAnsi="SimSun" w:eastAsia="SimSun" w:cs="SimSun"/>
                <w:spacing w:val="9"/>
              </w:rPr>
              <w:t>（</w:t>
            </w:r>
            <w:r>
              <w:rPr>
                <w:spacing w:val="9"/>
              </w:rPr>
              <w:t>/</w:t>
            </w:r>
            <w:r>
              <w:rPr>
                <w:rFonts w:ascii="SimSun" w:hAnsi="SimSun" w:eastAsia="SimSun" w:cs="SimSun"/>
                <w:spacing w:val="9"/>
              </w:rPr>
              <w:t>）</w:t>
            </w:r>
            <w:r>
              <w:rPr/>
              <w:t>km</w:t>
            </w:r>
            <w:r>
              <w:rPr>
                <w:sz w:val="13"/>
                <w:szCs w:val="13"/>
                <w:spacing w:val="9"/>
                <w:position w:val="6"/>
              </w:rPr>
              <w:t>2</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ind w:left="357"/>
              <w:spacing w:before="58" w:line="226" w:lineRule="auto"/>
              <w:rPr>
                <w:rFonts w:ascii="SimSun" w:hAnsi="SimSun" w:eastAsia="SimSun" w:cs="SimSun"/>
                <w:sz w:val="20"/>
                <w:szCs w:val="20"/>
              </w:rPr>
            </w:pPr>
            <w:r>
              <w:rPr>
                <w:rFonts w:ascii="SimSun" w:hAnsi="SimSun" w:eastAsia="SimSun" w:cs="SimSun"/>
                <w:sz w:val="20"/>
                <w:szCs w:val="20"/>
                <w:spacing w:val="7"/>
              </w:rPr>
              <w:t>评价因子</w:t>
            </w:r>
          </w:p>
        </w:tc>
        <w:tc>
          <w:tcPr>
            <w:tcW w:w="7306" w:type="dxa"/>
            <w:vAlign w:val="top"/>
            <w:gridSpan w:val="5"/>
          </w:tcPr>
          <w:p>
            <w:pPr>
              <w:rPr>
                <w:rFonts w:ascii="Arial"/>
                <w:sz w:val="21"/>
              </w:rPr>
            </w:pPr>
            <w:r/>
          </w:p>
        </w:tc>
      </w:tr>
      <w:tr>
        <w:trPr>
          <w:trHeight w:val="983"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spacing w:line="318" w:lineRule="auto"/>
              <w:rPr>
                <w:rFonts w:ascii="Arial"/>
                <w:sz w:val="21"/>
              </w:rPr>
            </w:pPr>
            <w:r/>
          </w:p>
          <w:p>
            <w:pPr>
              <w:ind w:left="357"/>
              <w:spacing w:before="65" w:line="226" w:lineRule="auto"/>
              <w:rPr>
                <w:rFonts w:ascii="SimSun" w:hAnsi="SimSun" w:eastAsia="SimSun" w:cs="SimSun"/>
                <w:sz w:val="20"/>
                <w:szCs w:val="20"/>
              </w:rPr>
            </w:pPr>
            <w:r>
              <w:rPr>
                <w:rFonts w:ascii="SimSun" w:hAnsi="SimSun" w:eastAsia="SimSun" w:cs="SimSun"/>
                <w:sz w:val="20"/>
                <w:szCs w:val="20"/>
                <w:spacing w:val="7"/>
              </w:rPr>
              <w:t>评价标准</w:t>
            </w:r>
          </w:p>
        </w:tc>
        <w:tc>
          <w:tcPr>
            <w:tcW w:w="7306" w:type="dxa"/>
            <w:vAlign w:val="top"/>
            <w:gridSpan w:val="5"/>
          </w:tcPr>
          <w:p>
            <w:pPr>
              <w:pStyle w:val="TableText"/>
              <w:ind w:left="30"/>
              <w:spacing w:before="58" w:line="228" w:lineRule="auto"/>
              <w:rPr/>
            </w:pPr>
            <w:r>
              <w:rPr>
                <w:rFonts w:ascii="SimSun" w:hAnsi="SimSun" w:eastAsia="SimSun" w:cs="SimSun"/>
                <w:spacing w:val="-1"/>
              </w:rPr>
              <w:t>河流、湖库、河口：</w:t>
            </w:r>
            <w:r>
              <w:rPr>
                <w:spacing w:val="-1"/>
              </w:rPr>
              <w:t>Ⅰ</w:t>
            </w:r>
            <w:r>
              <w:rPr>
                <w:rFonts w:ascii="SimSun" w:hAnsi="SimSun" w:eastAsia="SimSun" w:cs="SimSun"/>
                <w:spacing w:val="-1"/>
              </w:rPr>
              <w:t>类□;</w:t>
            </w:r>
            <w:r>
              <w:rPr>
                <w:rFonts w:ascii="SimSun" w:hAnsi="SimSun" w:eastAsia="SimSun" w:cs="SimSun"/>
                <w:spacing w:val="73"/>
                <w:w w:val="101"/>
              </w:rPr>
              <w:t xml:space="preserve"> </w:t>
            </w:r>
            <w:r>
              <w:rPr>
                <w:spacing w:val="-1"/>
              </w:rPr>
              <w:t>Ⅱ</w:t>
            </w:r>
            <w:r>
              <w:rPr>
                <w:rFonts w:ascii="SimSun" w:hAnsi="SimSun" w:eastAsia="SimSun" w:cs="SimSun"/>
                <w:spacing w:val="-1"/>
              </w:rPr>
              <w:t>类□;</w:t>
            </w:r>
            <w:r>
              <w:rPr>
                <w:rFonts w:ascii="SimSun" w:hAnsi="SimSun" w:eastAsia="SimSun" w:cs="SimSun"/>
                <w:spacing w:val="58"/>
              </w:rPr>
              <w:t xml:space="preserve"> </w:t>
            </w:r>
            <w:r>
              <w:rPr>
                <w:spacing w:val="-1"/>
              </w:rPr>
              <w:t>Ⅲ</w:t>
            </w:r>
            <w:r>
              <w:rPr>
                <w:rFonts w:ascii="SimSun" w:hAnsi="SimSun" w:eastAsia="SimSun" w:cs="SimSun"/>
                <w:spacing w:val="-1"/>
              </w:rPr>
              <w:t>类</w:t>
            </w:r>
            <w:r>
              <w:rPr>
                <w:rFonts w:ascii="MS Gothic" w:hAnsi="MS Gothic" w:eastAsia="MS Gothic" w:cs="MS Gothic"/>
                <w:spacing w:val="-1"/>
              </w:rPr>
              <w:t>☑</w:t>
            </w:r>
            <w:r>
              <w:rPr>
                <w:rFonts w:ascii="SimSun" w:hAnsi="SimSun" w:eastAsia="SimSun" w:cs="SimSun"/>
                <w:spacing w:val="-1"/>
              </w:rPr>
              <w:t>;</w:t>
            </w:r>
            <w:r>
              <w:rPr>
                <w:rFonts w:ascii="SimSun" w:hAnsi="SimSun" w:eastAsia="SimSun" w:cs="SimSun"/>
                <w:spacing w:val="63"/>
              </w:rPr>
              <w:t xml:space="preserve"> </w:t>
            </w:r>
            <w:r>
              <w:rPr>
                <w:spacing w:val="-1"/>
              </w:rPr>
              <w:t>Ⅳ</w:t>
            </w:r>
            <w:r>
              <w:rPr>
                <w:rFonts w:ascii="SimSun" w:hAnsi="SimSun" w:eastAsia="SimSun" w:cs="SimSun"/>
                <w:spacing w:val="-1"/>
              </w:rPr>
              <w:t>类</w:t>
            </w:r>
            <w:r>
              <w:rPr>
                <w:spacing w:val="-1"/>
              </w:rPr>
              <w:t>□</w:t>
            </w:r>
            <w:r>
              <w:rPr>
                <w:spacing w:val="-25"/>
              </w:rPr>
              <w:t xml:space="preserve"> </w:t>
            </w:r>
            <w:r>
              <w:rPr>
                <w:rFonts w:ascii="SimSun" w:hAnsi="SimSun" w:eastAsia="SimSun" w:cs="SimSun"/>
                <w:spacing w:val="-1"/>
              </w:rPr>
              <w:t>;</w:t>
            </w:r>
            <w:r>
              <w:rPr>
                <w:rFonts w:ascii="SimSun" w:hAnsi="SimSun" w:eastAsia="SimSun" w:cs="SimSun"/>
                <w:spacing w:val="57"/>
              </w:rPr>
              <w:t xml:space="preserve"> </w:t>
            </w:r>
            <w:r>
              <w:rPr>
                <w:spacing w:val="-1"/>
              </w:rPr>
              <w:t>Ⅴ</w:t>
            </w:r>
            <w:r>
              <w:rPr>
                <w:rFonts w:ascii="SimSun" w:hAnsi="SimSun" w:eastAsia="SimSun" w:cs="SimSun"/>
                <w:spacing w:val="-1"/>
              </w:rPr>
              <w:t>类</w:t>
            </w:r>
            <w:r>
              <w:rPr>
                <w:spacing w:val="-1"/>
              </w:rPr>
              <w:t>□</w:t>
            </w:r>
          </w:p>
          <w:p>
            <w:pPr>
              <w:pStyle w:val="TableText"/>
              <w:ind w:left="30"/>
              <w:spacing w:before="79" w:line="228" w:lineRule="auto"/>
              <w:rPr/>
            </w:pPr>
            <w:r>
              <w:rPr>
                <w:rFonts w:ascii="SimSun" w:hAnsi="SimSun" w:eastAsia="SimSun" w:cs="SimSun"/>
                <w:spacing w:val="5"/>
              </w:rPr>
              <w:t>近岸海域：第一类</w:t>
            </w:r>
            <w:r>
              <w:rPr>
                <w:spacing w:val="5"/>
              </w:rPr>
              <w:t>□</w:t>
            </w:r>
            <w:r>
              <w:rPr>
                <w:spacing w:val="-8"/>
              </w:rPr>
              <w:t xml:space="preserve"> </w:t>
            </w:r>
            <w:r>
              <w:rPr>
                <w:rFonts w:ascii="SimSun" w:hAnsi="SimSun" w:eastAsia="SimSun" w:cs="SimSun"/>
                <w:spacing w:val="5"/>
              </w:rPr>
              <w:t>；第二类</w:t>
            </w:r>
            <w:r>
              <w:rPr>
                <w:spacing w:val="5"/>
              </w:rPr>
              <w:t>□</w:t>
            </w:r>
            <w:r>
              <w:rPr>
                <w:spacing w:val="-23"/>
              </w:rPr>
              <w:t xml:space="preserve"> </w:t>
            </w:r>
            <w:r>
              <w:rPr>
                <w:rFonts w:ascii="SimSun" w:hAnsi="SimSun" w:eastAsia="SimSun" w:cs="SimSun"/>
                <w:spacing w:val="5"/>
              </w:rPr>
              <w:t>；第三类</w:t>
            </w:r>
            <w:r>
              <w:rPr>
                <w:spacing w:val="5"/>
              </w:rPr>
              <w:t>□</w:t>
            </w:r>
            <w:r>
              <w:rPr>
                <w:spacing w:val="-26"/>
              </w:rPr>
              <w:t xml:space="preserve"> </w:t>
            </w:r>
            <w:r>
              <w:rPr>
                <w:rFonts w:ascii="SimSun" w:hAnsi="SimSun" w:eastAsia="SimSun" w:cs="SimSun"/>
                <w:spacing w:val="5"/>
              </w:rPr>
              <w:t>；第四类</w:t>
            </w:r>
            <w:r>
              <w:rPr>
                <w:spacing w:val="5"/>
              </w:rPr>
              <w:t>□</w:t>
            </w:r>
          </w:p>
          <w:p>
            <w:pPr>
              <w:pStyle w:val="TableText"/>
              <w:ind w:left="31"/>
              <w:spacing w:before="77" w:line="226" w:lineRule="auto"/>
              <w:rPr>
                <w:rFonts w:ascii="SimSun" w:hAnsi="SimSun" w:eastAsia="SimSun" w:cs="SimSun"/>
              </w:rPr>
            </w:pPr>
            <w:r>
              <w:rPr>
                <w:rFonts w:ascii="SimSun" w:hAnsi="SimSun" w:eastAsia="SimSun" w:cs="SimSun"/>
                <w:spacing w:val="7"/>
              </w:rPr>
              <w:t>规划年评价标准（</w:t>
            </w:r>
            <w:r>
              <w:rPr>
                <w:spacing w:val="7"/>
              </w:rPr>
              <w:t>/</w:t>
            </w:r>
            <w:r>
              <w:rPr>
                <w:rFonts w:ascii="SimSun" w:hAnsi="SimSun" w:eastAsia="SimSun" w:cs="SimSun"/>
                <w:spacing w:val="7"/>
              </w:rPr>
              <w:t>）</w:t>
            </w:r>
          </w:p>
        </w:tc>
      </w:tr>
      <w:tr>
        <w:trPr>
          <w:trHeight w:val="65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ind w:left="357"/>
              <w:spacing w:before="220" w:line="226" w:lineRule="auto"/>
              <w:rPr>
                <w:rFonts w:ascii="SimSun" w:hAnsi="SimSun" w:eastAsia="SimSun" w:cs="SimSun"/>
                <w:sz w:val="20"/>
                <w:szCs w:val="20"/>
              </w:rPr>
            </w:pPr>
            <w:r>
              <w:rPr>
                <w:rFonts w:ascii="SimSun" w:hAnsi="SimSun" w:eastAsia="SimSun" w:cs="SimSun"/>
                <w:sz w:val="20"/>
                <w:szCs w:val="20"/>
                <w:spacing w:val="7"/>
              </w:rPr>
              <w:t>评价时期</w:t>
            </w:r>
          </w:p>
        </w:tc>
        <w:tc>
          <w:tcPr>
            <w:tcW w:w="7306" w:type="dxa"/>
            <w:vAlign w:val="top"/>
            <w:gridSpan w:val="5"/>
          </w:tcPr>
          <w:p>
            <w:pPr>
              <w:pStyle w:val="TableText"/>
              <w:ind w:left="31"/>
              <w:spacing w:before="56" w:line="228" w:lineRule="auto"/>
              <w:rPr/>
            </w:pPr>
            <w:r>
              <w:rPr>
                <w:rFonts w:ascii="SimSun" w:hAnsi="SimSun" w:eastAsia="SimSun" w:cs="SimSun"/>
                <w:spacing w:val="6"/>
              </w:rPr>
              <w:t>丰水期</w:t>
            </w:r>
            <w:r>
              <w:rPr>
                <w:spacing w:val="6"/>
              </w:rPr>
              <w:t>□</w:t>
            </w:r>
            <w:r>
              <w:rPr>
                <w:spacing w:val="-23"/>
              </w:rPr>
              <w:t xml:space="preserve"> </w:t>
            </w:r>
            <w:r>
              <w:rPr>
                <w:rFonts w:ascii="SimSun" w:hAnsi="SimSun" w:eastAsia="SimSun" w:cs="SimSun"/>
                <w:spacing w:val="6"/>
              </w:rPr>
              <w:t>；平水期□；枯水期</w:t>
            </w:r>
            <w:r>
              <w:rPr>
                <w:spacing w:val="6"/>
              </w:rPr>
              <w:t>□</w:t>
            </w:r>
            <w:r>
              <w:rPr>
                <w:spacing w:val="-23"/>
              </w:rPr>
              <w:t xml:space="preserve"> </w:t>
            </w:r>
            <w:r>
              <w:rPr>
                <w:rFonts w:ascii="SimSun" w:hAnsi="SimSun" w:eastAsia="SimSun" w:cs="SimSun"/>
                <w:spacing w:val="6"/>
              </w:rPr>
              <w:t>；冰封期</w:t>
            </w:r>
            <w:r>
              <w:rPr>
                <w:spacing w:val="6"/>
              </w:rPr>
              <w:t>□</w:t>
            </w:r>
          </w:p>
          <w:p>
            <w:pPr>
              <w:pStyle w:val="TableText"/>
              <w:ind w:left="30"/>
              <w:spacing w:before="79" w:line="228" w:lineRule="auto"/>
              <w:rPr/>
            </w:pPr>
            <w:r>
              <w:rPr>
                <w:rFonts w:ascii="SimSun" w:hAnsi="SimSun" w:eastAsia="SimSun" w:cs="SimSun"/>
                <w:spacing w:val="8"/>
              </w:rPr>
              <w:t>春季</w:t>
            </w:r>
            <w:r>
              <w:rPr>
                <w:spacing w:val="8"/>
              </w:rPr>
              <w:t>R</w:t>
            </w:r>
            <w:r>
              <w:rPr>
                <w:rFonts w:ascii="SimSun" w:hAnsi="SimSun" w:eastAsia="SimSun" w:cs="SimSun"/>
                <w:spacing w:val="8"/>
              </w:rPr>
              <w:t>；夏季</w:t>
            </w:r>
            <w:r>
              <w:rPr>
                <w:spacing w:val="8"/>
              </w:rPr>
              <w:t>□</w:t>
            </w:r>
            <w:r>
              <w:rPr>
                <w:spacing w:val="-20"/>
              </w:rPr>
              <w:t xml:space="preserve"> </w:t>
            </w:r>
            <w:r>
              <w:rPr>
                <w:rFonts w:ascii="SimSun" w:hAnsi="SimSun" w:eastAsia="SimSun" w:cs="SimSun"/>
                <w:spacing w:val="8"/>
              </w:rPr>
              <w:t>；秋季</w:t>
            </w:r>
            <w:r>
              <w:rPr>
                <w:spacing w:val="8"/>
              </w:rPr>
              <w:t>□</w:t>
            </w:r>
            <w:r>
              <w:rPr>
                <w:spacing w:val="-23"/>
              </w:rPr>
              <w:t xml:space="preserve"> </w:t>
            </w:r>
            <w:r>
              <w:rPr>
                <w:rFonts w:ascii="SimSun" w:hAnsi="SimSun" w:eastAsia="SimSun" w:cs="SimSun"/>
                <w:spacing w:val="8"/>
              </w:rPr>
              <w:t>；冬季</w:t>
            </w:r>
            <w:r>
              <w:rPr>
                <w:spacing w:val="8"/>
              </w:rPr>
              <w:t>□</w:t>
            </w:r>
          </w:p>
        </w:tc>
      </w:tr>
      <w:tr>
        <w:trPr>
          <w:trHeight w:val="3915"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ind w:left="357"/>
              <w:spacing w:before="65" w:line="226" w:lineRule="auto"/>
              <w:rPr>
                <w:rFonts w:ascii="SimSun" w:hAnsi="SimSun" w:eastAsia="SimSun" w:cs="SimSun"/>
                <w:sz w:val="20"/>
                <w:szCs w:val="20"/>
              </w:rPr>
            </w:pPr>
            <w:r>
              <w:rPr>
                <w:rFonts w:ascii="SimSun" w:hAnsi="SimSun" w:eastAsia="SimSun" w:cs="SimSun"/>
                <w:sz w:val="20"/>
                <w:szCs w:val="20"/>
                <w:spacing w:val="7"/>
              </w:rPr>
              <w:t>评价结论</w:t>
            </w:r>
          </w:p>
        </w:tc>
        <w:tc>
          <w:tcPr>
            <w:tcW w:w="5632" w:type="dxa"/>
            <w:vAlign w:val="top"/>
            <w:gridSpan w:val="4"/>
          </w:tcPr>
          <w:p>
            <w:pPr>
              <w:pStyle w:val="TableText"/>
              <w:ind w:left="32" w:right="19"/>
              <w:spacing w:before="58" w:line="301" w:lineRule="auto"/>
              <w:rPr/>
            </w:pPr>
            <w:r>
              <w:rPr>
                <w:rFonts w:ascii="SimSun" w:hAnsi="SimSun" w:eastAsia="SimSun" w:cs="SimSun"/>
                <w:spacing w:val="14"/>
              </w:rPr>
              <w:t>水环境功能区或水功能区、近岸海域环境功能区水质达标状</w:t>
            </w:r>
            <w:r>
              <w:rPr>
                <w:rFonts w:ascii="SimSun" w:hAnsi="SimSun" w:eastAsia="SimSun" w:cs="SimSun"/>
                <w:spacing w:val="5"/>
              </w:rPr>
              <w:t>况：达标</w:t>
            </w:r>
            <w:r>
              <w:rPr>
                <w:spacing w:val="5"/>
              </w:rPr>
              <w:t>□</w:t>
            </w:r>
            <w:r>
              <w:rPr>
                <w:spacing w:val="-19"/>
              </w:rPr>
              <w:t xml:space="preserve"> </w:t>
            </w:r>
            <w:r>
              <w:rPr>
                <w:rFonts w:ascii="SimSun" w:hAnsi="SimSun" w:eastAsia="SimSun" w:cs="SimSun"/>
                <w:spacing w:val="5"/>
              </w:rPr>
              <w:t>；不达标</w:t>
            </w:r>
            <w:r>
              <w:rPr>
                <w:spacing w:val="5"/>
              </w:rPr>
              <w:t>□</w:t>
            </w:r>
          </w:p>
          <w:p>
            <w:pPr>
              <w:pStyle w:val="TableText"/>
              <w:ind w:left="33"/>
              <w:spacing w:line="227" w:lineRule="auto"/>
              <w:rPr/>
            </w:pPr>
            <w:r>
              <w:rPr>
                <w:rFonts w:ascii="SimSun" w:hAnsi="SimSun" w:eastAsia="SimSun" w:cs="SimSun"/>
                <w:spacing w:val="8"/>
              </w:rPr>
              <w:t>水环境控制单元或断面水质达标状况：达标</w:t>
            </w:r>
            <w:r>
              <w:rPr>
                <w:spacing w:val="8"/>
              </w:rPr>
              <w:t>□</w:t>
            </w:r>
            <w:r>
              <w:rPr>
                <w:spacing w:val="-22"/>
              </w:rPr>
              <w:t xml:space="preserve"> </w:t>
            </w:r>
            <w:r>
              <w:rPr>
                <w:rFonts w:ascii="SimSun" w:hAnsi="SimSun" w:eastAsia="SimSun" w:cs="SimSun"/>
                <w:spacing w:val="8"/>
              </w:rPr>
              <w:t>；不达标</w:t>
            </w:r>
            <w:r>
              <w:rPr>
                <w:spacing w:val="8"/>
              </w:rPr>
              <w:t>□</w:t>
            </w:r>
          </w:p>
          <w:p>
            <w:pPr>
              <w:pStyle w:val="TableText"/>
              <w:ind w:left="33"/>
              <w:spacing w:before="79" w:line="228" w:lineRule="auto"/>
              <w:rPr/>
            </w:pPr>
            <w:r>
              <w:rPr>
                <w:rFonts w:ascii="SimSun" w:hAnsi="SimSun" w:eastAsia="SimSun" w:cs="SimSun"/>
                <w:spacing w:val="7"/>
              </w:rPr>
              <w:t>水环境保护目标质量状况：达标</w:t>
            </w:r>
            <w:r>
              <w:rPr>
                <w:spacing w:val="7"/>
              </w:rPr>
              <w:t>□</w:t>
            </w:r>
            <w:r>
              <w:rPr>
                <w:spacing w:val="-10"/>
              </w:rPr>
              <w:t xml:space="preserve"> </w:t>
            </w:r>
            <w:r>
              <w:rPr>
                <w:rFonts w:ascii="SimSun" w:hAnsi="SimSun" w:eastAsia="SimSun" w:cs="SimSun"/>
                <w:spacing w:val="7"/>
              </w:rPr>
              <w:t>；不达标</w:t>
            </w:r>
            <w:r>
              <w:rPr>
                <w:spacing w:val="7"/>
              </w:rPr>
              <w:t>□</w:t>
            </w:r>
          </w:p>
          <w:p>
            <w:pPr>
              <w:pStyle w:val="TableText"/>
              <w:ind w:left="31" w:right="23" w:hanging="1"/>
              <w:spacing w:before="80" w:line="300" w:lineRule="auto"/>
              <w:rPr/>
            </w:pPr>
            <w:r>
              <w:rPr>
                <w:rFonts w:ascii="SimSun" w:hAnsi="SimSun" w:eastAsia="SimSun" w:cs="SimSun"/>
                <w:spacing w:val="8"/>
              </w:rPr>
              <w:t>对照断面、控制断面等代表性断面的水质状况：达标</w:t>
            </w:r>
            <w:r>
              <w:rPr>
                <w:spacing w:val="8"/>
              </w:rPr>
              <w:t>□</w:t>
            </w:r>
            <w:r>
              <w:rPr>
                <w:spacing w:val="-15"/>
              </w:rPr>
              <w:t xml:space="preserve"> </w:t>
            </w:r>
            <w:r>
              <w:rPr>
                <w:rFonts w:ascii="SimSun" w:hAnsi="SimSun" w:eastAsia="SimSun" w:cs="SimSun"/>
                <w:spacing w:val="8"/>
              </w:rPr>
              <w:t>；不达</w:t>
            </w:r>
            <w:r>
              <w:rPr>
                <w:rFonts w:ascii="SimSun" w:hAnsi="SimSun" w:eastAsia="SimSun" w:cs="SimSun"/>
                <w:spacing w:val="8"/>
              </w:rPr>
              <w:t>标</w:t>
            </w:r>
            <w:r>
              <w:rPr>
                <w:spacing w:val="8"/>
              </w:rPr>
              <w:t>□</w:t>
            </w:r>
          </w:p>
          <w:p>
            <w:pPr>
              <w:pStyle w:val="TableText"/>
              <w:ind w:left="30"/>
              <w:spacing w:line="226" w:lineRule="auto"/>
              <w:rPr/>
            </w:pPr>
            <w:r>
              <w:rPr>
                <w:rFonts w:ascii="SimSun" w:hAnsi="SimSun" w:eastAsia="SimSun" w:cs="SimSun"/>
                <w:spacing w:val="8"/>
              </w:rPr>
              <w:t>底泥污染评价</w:t>
            </w:r>
            <w:r>
              <w:rPr>
                <w:spacing w:val="8"/>
              </w:rPr>
              <w:t>□</w:t>
            </w:r>
          </w:p>
          <w:p>
            <w:pPr>
              <w:pStyle w:val="TableText"/>
              <w:ind w:left="33" w:right="1697"/>
              <w:spacing w:before="81" w:line="301" w:lineRule="auto"/>
              <w:rPr/>
            </w:pPr>
            <w:r>
              <w:rPr>
                <w:rFonts w:ascii="SimSun" w:hAnsi="SimSun" w:eastAsia="SimSun" w:cs="SimSun"/>
                <w:spacing w:val="9"/>
              </w:rPr>
              <w:t>水资源与开发利用程度及其水文情势评价</w:t>
            </w:r>
            <w:r>
              <w:rPr>
                <w:spacing w:val="9"/>
              </w:rPr>
              <w:t>□</w:t>
            </w:r>
            <w:r>
              <w:rPr>
                <w:rFonts w:ascii="SimSun" w:hAnsi="SimSun" w:eastAsia="SimSun" w:cs="SimSun"/>
                <w:spacing w:val="8"/>
              </w:rPr>
              <w:t>水环境质量回顾评价</w:t>
            </w:r>
            <w:r>
              <w:rPr>
                <w:spacing w:val="8"/>
              </w:rPr>
              <w:t>□</w:t>
            </w:r>
          </w:p>
          <w:p>
            <w:pPr>
              <w:pStyle w:val="TableText"/>
              <w:ind w:left="31"/>
              <w:spacing w:before="2" w:line="280" w:lineRule="auto"/>
              <w:jc w:val="both"/>
              <w:rPr/>
            </w:pPr>
            <w:r>
              <w:rPr>
                <w:rFonts w:ascii="SimSun" w:hAnsi="SimSun" w:eastAsia="SimSun" w:cs="SimSun"/>
                <w:spacing w:val="7"/>
              </w:rPr>
              <w:t>流域（区域）水资源（包括水能资源）与开发利用总体状况、</w:t>
            </w:r>
            <w:r>
              <w:rPr>
                <w:rFonts w:ascii="SimSun" w:hAnsi="SimSun" w:eastAsia="SimSun" w:cs="SimSun"/>
                <w:spacing w:val="5"/>
              </w:rPr>
              <w:t>生态流量管理要求与现状满足程度、建设项目占用水域空间的</w:t>
            </w:r>
            <w:r>
              <w:rPr>
                <w:rFonts w:ascii="SimSun" w:hAnsi="SimSun" w:eastAsia="SimSun" w:cs="SimSun"/>
                <w:spacing w:val="7"/>
              </w:rPr>
              <w:t>水流状况与河湖演变状况</w:t>
            </w:r>
            <w:r>
              <w:rPr>
                <w:spacing w:val="7"/>
              </w:rPr>
              <w:t>□</w:t>
            </w:r>
          </w:p>
        </w:tc>
        <w:tc>
          <w:tcPr>
            <w:tcW w:w="1674" w:type="dxa"/>
            <w:vAlign w:val="top"/>
          </w:tcPr>
          <w:p>
            <w:pPr>
              <w:spacing w:line="268" w:lineRule="auto"/>
              <w:rPr>
                <w:rFonts w:ascii="Arial"/>
                <w:sz w:val="21"/>
              </w:rPr>
            </w:pPr>
            <w:r/>
          </w:p>
          <w:p>
            <w:pPr>
              <w:spacing w:line="268"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spacing w:line="269" w:lineRule="auto"/>
              <w:rPr>
                <w:rFonts w:ascii="Arial"/>
                <w:sz w:val="21"/>
              </w:rPr>
            </w:pPr>
            <w:r/>
          </w:p>
          <w:p>
            <w:pPr>
              <w:pStyle w:val="TableText"/>
              <w:ind w:left="35"/>
              <w:spacing w:before="65" w:line="228" w:lineRule="auto"/>
              <w:rPr/>
            </w:pPr>
            <w:r>
              <w:rPr>
                <w:rFonts w:ascii="SimSun" w:hAnsi="SimSun" w:eastAsia="SimSun" w:cs="SimSun"/>
                <w:spacing w:val="6"/>
              </w:rPr>
              <w:t>达标区</w:t>
            </w:r>
            <w:r>
              <w:rPr>
                <w:spacing w:val="6"/>
              </w:rPr>
              <w:t>□</w:t>
            </w:r>
          </w:p>
          <w:p>
            <w:pPr>
              <w:pStyle w:val="TableText"/>
              <w:ind w:left="39"/>
              <w:spacing w:before="79" w:line="228" w:lineRule="auto"/>
              <w:rPr/>
            </w:pPr>
            <w:r>
              <w:rPr>
                <w:rFonts w:ascii="SimSun" w:hAnsi="SimSun" w:eastAsia="SimSun" w:cs="SimSun"/>
                <w:spacing w:val="6"/>
              </w:rPr>
              <w:t>不达标区</w:t>
            </w:r>
            <w:r>
              <w:rPr>
                <w:spacing w:val="6"/>
              </w:rPr>
              <w:t>□</w:t>
            </w:r>
          </w:p>
        </w:tc>
      </w:tr>
      <w:tr>
        <w:trPr>
          <w:trHeight w:val="331" w:hRule="atLeast"/>
        </w:trPr>
        <w:tc>
          <w:tcPr>
            <w:tcW w:w="276" w:type="dxa"/>
            <w:vAlign w:val="top"/>
            <w:vMerge w:val="restart"/>
            <w:textDirection w:val="tbRlV"/>
            <w:tcBorders>
              <w:bottom w:val="nil"/>
            </w:tcBorders>
          </w:tcPr>
          <w:p>
            <w:pPr>
              <w:ind w:left="1299"/>
              <w:spacing w:before="30"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34"/>
              </w:rPr>
              <w:t xml:space="preserve"> </w:t>
            </w:r>
            <w:r>
              <w:rPr>
                <w:rFonts w:ascii="SimSun" w:hAnsi="SimSun" w:eastAsia="SimSun" w:cs="SimSun"/>
                <w:sz w:val="20"/>
                <w:szCs w:val="20"/>
                <w:spacing w:val="8"/>
              </w:rPr>
              <w:t>响</w:t>
            </w:r>
            <w:r>
              <w:rPr>
                <w:rFonts w:ascii="SimSun" w:hAnsi="SimSun" w:eastAsia="SimSun" w:cs="SimSun"/>
                <w:sz w:val="20"/>
                <w:szCs w:val="20"/>
                <w:spacing w:val="-37"/>
              </w:rPr>
              <w:t xml:space="preserve"> </w:t>
            </w:r>
            <w:r>
              <w:rPr>
                <w:rFonts w:ascii="SimSun" w:hAnsi="SimSun" w:eastAsia="SimSun" w:cs="SimSun"/>
                <w:sz w:val="20"/>
                <w:szCs w:val="20"/>
                <w:spacing w:val="8"/>
              </w:rPr>
              <w:t>预</w:t>
            </w:r>
            <w:r>
              <w:rPr>
                <w:rFonts w:ascii="SimSun" w:hAnsi="SimSun" w:eastAsia="SimSun" w:cs="SimSun"/>
                <w:sz w:val="20"/>
                <w:szCs w:val="20"/>
                <w:spacing w:val="-35"/>
              </w:rPr>
              <w:t xml:space="preserve"> </w:t>
            </w:r>
            <w:r>
              <w:rPr>
                <w:rFonts w:ascii="SimSun" w:hAnsi="SimSun" w:eastAsia="SimSun" w:cs="SimSun"/>
                <w:sz w:val="20"/>
                <w:szCs w:val="20"/>
                <w:spacing w:val="8"/>
              </w:rPr>
              <w:t>测</w:t>
            </w:r>
          </w:p>
        </w:tc>
        <w:tc>
          <w:tcPr>
            <w:tcW w:w="1549" w:type="dxa"/>
            <w:vAlign w:val="top"/>
          </w:tcPr>
          <w:p>
            <w:pPr>
              <w:ind w:left="360"/>
              <w:spacing w:before="58" w:line="228" w:lineRule="auto"/>
              <w:rPr>
                <w:rFonts w:ascii="SimSun" w:hAnsi="SimSun" w:eastAsia="SimSun" w:cs="SimSun"/>
                <w:sz w:val="20"/>
                <w:szCs w:val="20"/>
              </w:rPr>
            </w:pPr>
            <w:r>
              <w:rPr>
                <w:rFonts w:ascii="SimSun" w:hAnsi="SimSun" w:eastAsia="SimSun" w:cs="SimSun"/>
                <w:sz w:val="20"/>
                <w:szCs w:val="20"/>
                <w:spacing w:val="6"/>
              </w:rPr>
              <w:t>预测范围</w:t>
            </w:r>
          </w:p>
        </w:tc>
        <w:tc>
          <w:tcPr>
            <w:tcW w:w="7306" w:type="dxa"/>
            <w:vAlign w:val="top"/>
            <w:gridSpan w:val="5"/>
          </w:tcPr>
          <w:p>
            <w:pPr>
              <w:pStyle w:val="TableText"/>
              <w:ind w:left="30"/>
              <w:spacing w:before="58" w:line="228" w:lineRule="auto"/>
              <w:rPr>
                <w:sz w:val="13"/>
                <w:szCs w:val="13"/>
              </w:rPr>
            </w:pPr>
            <w:r>
              <w:rPr>
                <w:rFonts w:ascii="SimSun" w:hAnsi="SimSun" w:eastAsia="SimSun" w:cs="SimSun"/>
                <w:spacing w:val="10"/>
              </w:rPr>
              <w:t>河流：长度</w:t>
            </w:r>
            <w:r>
              <w:rPr>
                <w:rFonts w:ascii="SimSun" w:hAnsi="SimSun" w:eastAsia="SimSun" w:cs="SimSun"/>
                <w:spacing w:val="-10"/>
              </w:rPr>
              <w:t>（）</w:t>
            </w:r>
            <w:r>
              <w:rPr>
                <w:rFonts w:ascii="SimSun" w:hAnsi="SimSun" w:eastAsia="SimSun" w:cs="SimSun"/>
                <w:spacing w:val="-53"/>
              </w:rPr>
              <w:t xml:space="preserve"> </w:t>
            </w:r>
            <w:r>
              <w:rPr/>
              <w:t>km</w:t>
            </w:r>
            <w:r>
              <w:rPr>
                <w:rFonts w:ascii="SimSun" w:hAnsi="SimSun" w:eastAsia="SimSun" w:cs="SimSun"/>
                <w:spacing w:val="10"/>
              </w:rPr>
              <w:t>；湖库、河口及近岸海域：面积</w:t>
            </w:r>
            <w:r>
              <w:rPr>
                <w:rFonts w:ascii="SimSun" w:hAnsi="SimSun" w:eastAsia="SimSun" w:cs="SimSun"/>
                <w:spacing w:val="-10"/>
              </w:rPr>
              <w:t>（）</w:t>
            </w:r>
            <w:r>
              <w:rPr>
                <w:rFonts w:ascii="SimSun" w:hAnsi="SimSun" w:eastAsia="SimSun" w:cs="SimSun"/>
                <w:spacing w:val="-57"/>
              </w:rPr>
              <w:t xml:space="preserve"> </w:t>
            </w:r>
            <w:r>
              <w:rPr/>
              <w:t>km</w:t>
            </w:r>
            <w:r>
              <w:rPr>
                <w:sz w:val="13"/>
                <w:szCs w:val="13"/>
                <w:spacing w:val="10"/>
                <w:position w:val="6"/>
              </w:rPr>
              <w:t>2</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ind w:left="360"/>
              <w:spacing w:before="58" w:line="228" w:lineRule="auto"/>
              <w:rPr>
                <w:rFonts w:ascii="SimSun" w:hAnsi="SimSun" w:eastAsia="SimSun" w:cs="SimSun"/>
                <w:sz w:val="20"/>
                <w:szCs w:val="20"/>
              </w:rPr>
            </w:pPr>
            <w:r>
              <w:rPr>
                <w:rFonts w:ascii="SimSun" w:hAnsi="SimSun" w:eastAsia="SimSun" w:cs="SimSun"/>
                <w:sz w:val="20"/>
                <w:szCs w:val="20"/>
                <w:spacing w:val="6"/>
              </w:rPr>
              <w:t>预测因子</w:t>
            </w:r>
          </w:p>
        </w:tc>
        <w:tc>
          <w:tcPr>
            <w:tcW w:w="7306" w:type="dxa"/>
            <w:vAlign w:val="top"/>
            <w:gridSpan w:val="5"/>
          </w:tcPr>
          <w:p>
            <w:pPr>
              <w:rPr>
                <w:rFonts w:ascii="Arial"/>
                <w:sz w:val="21"/>
              </w:rPr>
            </w:pPr>
            <w:r/>
          </w:p>
        </w:tc>
      </w:tr>
      <w:tr>
        <w:trPr>
          <w:trHeight w:val="984"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spacing w:line="318" w:lineRule="auto"/>
              <w:rPr>
                <w:rFonts w:ascii="Arial"/>
                <w:sz w:val="21"/>
              </w:rPr>
            </w:pPr>
            <w:r/>
          </w:p>
          <w:p>
            <w:pPr>
              <w:ind w:left="360"/>
              <w:spacing w:before="65" w:line="228" w:lineRule="auto"/>
              <w:rPr>
                <w:rFonts w:ascii="SimSun" w:hAnsi="SimSun" w:eastAsia="SimSun" w:cs="SimSun"/>
                <w:sz w:val="20"/>
                <w:szCs w:val="20"/>
              </w:rPr>
            </w:pPr>
            <w:r>
              <w:rPr>
                <w:rFonts w:ascii="SimSun" w:hAnsi="SimSun" w:eastAsia="SimSun" w:cs="SimSun"/>
                <w:sz w:val="20"/>
                <w:szCs w:val="20"/>
                <w:spacing w:val="6"/>
              </w:rPr>
              <w:t>预测时期</w:t>
            </w:r>
          </w:p>
        </w:tc>
        <w:tc>
          <w:tcPr>
            <w:tcW w:w="7306" w:type="dxa"/>
            <w:vAlign w:val="top"/>
            <w:gridSpan w:val="5"/>
          </w:tcPr>
          <w:p>
            <w:pPr>
              <w:pStyle w:val="TableText"/>
              <w:ind w:left="31"/>
              <w:spacing w:before="58" w:line="228" w:lineRule="auto"/>
              <w:rPr/>
            </w:pPr>
            <w:r>
              <w:rPr>
                <w:rFonts w:ascii="SimSun" w:hAnsi="SimSun" w:eastAsia="SimSun" w:cs="SimSun"/>
                <w:spacing w:val="4"/>
              </w:rPr>
              <w:t>丰水期</w:t>
            </w:r>
            <w:r>
              <w:rPr>
                <w:spacing w:val="4"/>
              </w:rPr>
              <w:t>□</w:t>
            </w:r>
            <w:r>
              <w:rPr>
                <w:spacing w:val="-17"/>
              </w:rPr>
              <w:t xml:space="preserve"> </w:t>
            </w:r>
            <w:r>
              <w:rPr>
                <w:rFonts w:ascii="SimSun" w:hAnsi="SimSun" w:eastAsia="SimSun" w:cs="SimSun"/>
                <w:spacing w:val="4"/>
              </w:rPr>
              <w:t>；平水期</w:t>
            </w:r>
            <w:r>
              <w:rPr>
                <w:spacing w:val="4"/>
              </w:rPr>
              <w:t>□</w:t>
            </w:r>
            <w:r>
              <w:rPr>
                <w:spacing w:val="-23"/>
              </w:rPr>
              <w:t xml:space="preserve"> </w:t>
            </w:r>
            <w:r>
              <w:rPr>
                <w:rFonts w:ascii="SimSun" w:hAnsi="SimSun" w:eastAsia="SimSun" w:cs="SimSun"/>
                <w:spacing w:val="4"/>
              </w:rPr>
              <w:t>；枯水期</w:t>
            </w:r>
            <w:r>
              <w:rPr>
                <w:spacing w:val="4"/>
              </w:rPr>
              <w:t>□</w:t>
            </w:r>
            <w:r>
              <w:rPr>
                <w:spacing w:val="-23"/>
              </w:rPr>
              <w:t xml:space="preserve"> </w:t>
            </w:r>
            <w:r>
              <w:rPr>
                <w:rFonts w:ascii="SimSun" w:hAnsi="SimSun" w:eastAsia="SimSun" w:cs="SimSun"/>
                <w:spacing w:val="4"/>
              </w:rPr>
              <w:t>；冰封期</w:t>
            </w:r>
            <w:r>
              <w:rPr>
                <w:spacing w:val="4"/>
              </w:rPr>
              <w:t>□</w:t>
            </w:r>
          </w:p>
          <w:p>
            <w:pPr>
              <w:pStyle w:val="TableText"/>
              <w:ind w:left="30"/>
              <w:spacing w:before="79" w:line="228" w:lineRule="auto"/>
              <w:rPr/>
            </w:pPr>
            <w:r>
              <w:rPr>
                <w:rFonts w:ascii="SimSun" w:hAnsi="SimSun" w:eastAsia="SimSun" w:cs="SimSun"/>
                <w:spacing w:val="3"/>
              </w:rPr>
              <w:t>春季</w:t>
            </w:r>
            <w:r>
              <w:rPr>
                <w:spacing w:val="3"/>
              </w:rPr>
              <w:t>□</w:t>
            </w:r>
            <w:r>
              <w:rPr>
                <w:spacing w:val="-22"/>
              </w:rPr>
              <w:t xml:space="preserve"> </w:t>
            </w:r>
            <w:r>
              <w:rPr>
                <w:rFonts w:ascii="SimSun" w:hAnsi="SimSun" w:eastAsia="SimSun" w:cs="SimSun"/>
                <w:spacing w:val="3"/>
              </w:rPr>
              <w:t>；夏季</w:t>
            </w:r>
            <w:r>
              <w:rPr>
                <w:spacing w:val="3"/>
              </w:rPr>
              <w:t>□</w:t>
            </w:r>
            <w:r>
              <w:rPr>
                <w:spacing w:val="-23"/>
              </w:rPr>
              <w:t xml:space="preserve"> </w:t>
            </w:r>
            <w:r>
              <w:rPr>
                <w:rFonts w:ascii="SimSun" w:hAnsi="SimSun" w:eastAsia="SimSun" w:cs="SimSun"/>
                <w:spacing w:val="3"/>
              </w:rPr>
              <w:t>；秋季</w:t>
            </w:r>
            <w:r>
              <w:rPr>
                <w:spacing w:val="3"/>
              </w:rPr>
              <w:t>□</w:t>
            </w:r>
            <w:r>
              <w:rPr>
                <w:spacing w:val="-25"/>
              </w:rPr>
              <w:t xml:space="preserve"> </w:t>
            </w:r>
            <w:r>
              <w:rPr>
                <w:rFonts w:ascii="SimSun" w:hAnsi="SimSun" w:eastAsia="SimSun" w:cs="SimSun"/>
                <w:spacing w:val="3"/>
              </w:rPr>
              <w:t>；冬季</w:t>
            </w:r>
            <w:r>
              <w:rPr>
                <w:spacing w:val="3"/>
              </w:rPr>
              <w:t>□</w:t>
            </w:r>
          </w:p>
          <w:p>
            <w:pPr>
              <w:pStyle w:val="TableText"/>
              <w:ind w:left="34"/>
              <w:spacing w:before="79" w:line="228" w:lineRule="auto"/>
              <w:rPr/>
            </w:pPr>
            <w:r>
              <w:rPr>
                <w:rFonts w:ascii="SimSun" w:hAnsi="SimSun" w:eastAsia="SimSun" w:cs="SimSun"/>
                <w:spacing w:val="7"/>
              </w:rPr>
              <w:t>设计水文条件</w:t>
            </w:r>
            <w:r>
              <w:rPr>
                <w:spacing w:val="7"/>
              </w:rPr>
              <w:t>□</w:t>
            </w:r>
          </w:p>
        </w:tc>
      </w:tr>
      <w:tr>
        <w:trPr>
          <w:trHeight w:val="130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tcPr>
          <w:p>
            <w:pPr>
              <w:rPr>
                <w:rFonts w:ascii="Arial"/>
                <w:sz w:val="21"/>
              </w:rPr>
            </w:pPr>
            <w:r/>
          </w:p>
          <w:p>
            <w:pPr>
              <w:rPr>
                <w:rFonts w:ascii="Arial"/>
                <w:sz w:val="21"/>
              </w:rPr>
            </w:pPr>
            <w:r/>
          </w:p>
          <w:p>
            <w:pPr>
              <w:ind w:left="360"/>
              <w:spacing w:before="65" w:line="228" w:lineRule="auto"/>
              <w:rPr>
                <w:rFonts w:ascii="SimSun" w:hAnsi="SimSun" w:eastAsia="SimSun" w:cs="SimSun"/>
                <w:sz w:val="20"/>
                <w:szCs w:val="20"/>
              </w:rPr>
            </w:pPr>
            <w:r>
              <w:rPr>
                <w:rFonts w:ascii="SimSun" w:hAnsi="SimSun" w:eastAsia="SimSun" w:cs="SimSun"/>
                <w:sz w:val="20"/>
                <w:szCs w:val="20"/>
                <w:spacing w:val="6"/>
              </w:rPr>
              <w:t>预测情景</w:t>
            </w:r>
          </w:p>
        </w:tc>
        <w:tc>
          <w:tcPr>
            <w:tcW w:w="7306" w:type="dxa"/>
            <w:vAlign w:val="top"/>
            <w:gridSpan w:val="5"/>
          </w:tcPr>
          <w:p>
            <w:pPr>
              <w:pStyle w:val="TableText"/>
              <w:ind w:left="33"/>
              <w:spacing w:before="58" w:line="228" w:lineRule="auto"/>
              <w:rPr/>
            </w:pPr>
            <w:r>
              <w:rPr>
                <w:rFonts w:ascii="SimSun" w:hAnsi="SimSun" w:eastAsia="SimSun" w:cs="SimSun"/>
                <w:spacing w:val="5"/>
              </w:rPr>
              <w:t>建设期</w:t>
            </w:r>
            <w:r>
              <w:rPr>
                <w:spacing w:val="5"/>
              </w:rPr>
              <w:t>□</w:t>
            </w:r>
            <w:r>
              <w:rPr>
                <w:spacing w:val="-12"/>
              </w:rPr>
              <w:t xml:space="preserve"> </w:t>
            </w:r>
            <w:r>
              <w:rPr>
                <w:rFonts w:ascii="SimSun" w:hAnsi="SimSun" w:eastAsia="SimSun" w:cs="SimSun"/>
                <w:spacing w:val="5"/>
              </w:rPr>
              <w:t>；生产运行期</w:t>
            </w:r>
            <w:r>
              <w:rPr>
                <w:spacing w:val="5"/>
              </w:rPr>
              <w:t>□</w:t>
            </w:r>
            <w:r>
              <w:rPr>
                <w:spacing w:val="-23"/>
              </w:rPr>
              <w:t xml:space="preserve"> </w:t>
            </w:r>
            <w:r>
              <w:rPr>
                <w:rFonts w:ascii="SimSun" w:hAnsi="SimSun" w:eastAsia="SimSun" w:cs="SimSun"/>
                <w:spacing w:val="5"/>
              </w:rPr>
              <w:t>；服务期满后</w:t>
            </w:r>
            <w:r>
              <w:rPr>
                <w:spacing w:val="5"/>
              </w:rPr>
              <w:t>□</w:t>
            </w:r>
          </w:p>
          <w:p>
            <w:pPr>
              <w:pStyle w:val="TableText"/>
              <w:ind w:left="35"/>
              <w:spacing w:before="80" w:line="228" w:lineRule="auto"/>
              <w:rPr/>
            </w:pPr>
            <w:r>
              <w:rPr>
                <w:rFonts w:ascii="SimSun" w:hAnsi="SimSun" w:eastAsia="SimSun" w:cs="SimSun"/>
                <w:spacing w:val="6"/>
              </w:rPr>
              <w:t>正常工况</w:t>
            </w:r>
            <w:r>
              <w:rPr>
                <w:spacing w:val="6"/>
              </w:rPr>
              <w:t>□</w:t>
            </w:r>
            <w:r>
              <w:rPr>
                <w:spacing w:val="-23"/>
              </w:rPr>
              <w:t xml:space="preserve"> </w:t>
            </w:r>
            <w:r>
              <w:rPr>
                <w:rFonts w:ascii="SimSun" w:hAnsi="SimSun" w:eastAsia="SimSun" w:cs="SimSun"/>
                <w:spacing w:val="6"/>
              </w:rPr>
              <w:t>；非正常工况</w:t>
            </w:r>
            <w:r>
              <w:rPr>
                <w:spacing w:val="6"/>
              </w:rPr>
              <w:t>□</w:t>
            </w:r>
          </w:p>
          <w:p>
            <w:pPr>
              <w:pStyle w:val="TableText"/>
              <w:ind w:left="32"/>
              <w:spacing w:before="78" w:line="228" w:lineRule="auto"/>
              <w:rPr/>
            </w:pPr>
            <w:r>
              <w:rPr>
                <w:rFonts w:ascii="SimSun" w:hAnsi="SimSun" w:eastAsia="SimSun" w:cs="SimSun"/>
                <w:spacing w:val="8"/>
              </w:rPr>
              <w:t>污染控制和减缓措施方案</w:t>
            </w:r>
            <w:r>
              <w:rPr>
                <w:spacing w:val="8"/>
              </w:rPr>
              <w:t>□</w:t>
            </w:r>
          </w:p>
          <w:p>
            <w:pPr>
              <w:pStyle w:val="TableText"/>
              <w:ind w:left="46"/>
              <w:spacing w:before="79" w:line="228" w:lineRule="auto"/>
              <w:rPr/>
            </w:pPr>
            <w:r>
              <w:rPr>
                <w:rFonts w:ascii="SimSun" w:hAnsi="SimSun" w:eastAsia="SimSun" w:cs="SimSun"/>
                <w:spacing w:val="8"/>
              </w:rPr>
              <w:t>区（流）域环境质量改善目标要求情景</w:t>
            </w:r>
            <w:r>
              <w:rPr>
                <w:spacing w:val="8"/>
              </w:rPr>
              <w:t>□</w:t>
            </w:r>
          </w:p>
        </w:tc>
      </w:tr>
      <w:tr>
        <w:trPr>
          <w:trHeight w:val="657"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ind w:left="360"/>
              <w:spacing w:before="222" w:line="228" w:lineRule="auto"/>
              <w:rPr>
                <w:rFonts w:ascii="SimSun" w:hAnsi="SimSun" w:eastAsia="SimSun" w:cs="SimSun"/>
                <w:sz w:val="20"/>
                <w:szCs w:val="20"/>
              </w:rPr>
            </w:pPr>
            <w:r>
              <w:rPr>
                <w:rFonts w:ascii="SimSun" w:hAnsi="SimSun" w:eastAsia="SimSun" w:cs="SimSun"/>
                <w:sz w:val="20"/>
                <w:szCs w:val="20"/>
                <w:spacing w:val="6"/>
              </w:rPr>
              <w:t>预测方法</w:t>
            </w:r>
          </w:p>
        </w:tc>
        <w:tc>
          <w:tcPr>
            <w:tcW w:w="7306" w:type="dxa"/>
            <w:vAlign w:val="top"/>
            <w:gridSpan w:val="5"/>
          </w:tcPr>
          <w:p>
            <w:pPr>
              <w:pStyle w:val="TableText"/>
              <w:ind w:left="32"/>
              <w:spacing w:before="62" w:line="225" w:lineRule="auto"/>
              <w:rPr/>
            </w:pPr>
            <w:r>
              <w:rPr>
                <w:rFonts w:ascii="SimSun" w:hAnsi="SimSun" w:eastAsia="SimSun" w:cs="SimSun"/>
                <w:spacing w:val="4"/>
              </w:rPr>
              <w:t>数值解</w:t>
            </w:r>
            <w:r>
              <w:rPr>
                <w:spacing w:val="4"/>
              </w:rPr>
              <w:t>□</w:t>
            </w:r>
            <w:r>
              <w:rPr>
                <w:spacing w:val="-22"/>
              </w:rPr>
              <w:t xml:space="preserve"> </w:t>
            </w:r>
            <w:r>
              <w:rPr>
                <w:rFonts w:ascii="SimSun" w:hAnsi="SimSun" w:eastAsia="SimSun" w:cs="SimSun"/>
                <w:spacing w:val="4"/>
              </w:rPr>
              <w:t>：解析解</w:t>
            </w:r>
            <w:r>
              <w:rPr>
                <w:spacing w:val="4"/>
              </w:rPr>
              <w:t>□</w:t>
            </w:r>
            <w:r>
              <w:rPr>
                <w:spacing w:val="-23"/>
              </w:rPr>
              <w:t xml:space="preserve"> </w:t>
            </w:r>
            <w:r>
              <w:rPr>
                <w:rFonts w:ascii="SimSun" w:hAnsi="SimSun" w:eastAsia="SimSun" w:cs="SimSun"/>
                <w:spacing w:val="4"/>
              </w:rPr>
              <w:t>；其他</w:t>
            </w:r>
            <w:r>
              <w:rPr>
                <w:spacing w:val="4"/>
              </w:rPr>
              <w:t>□</w:t>
            </w:r>
          </w:p>
          <w:p>
            <w:pPr>
              <w:pStyle w:val="TableText"/>
              <w:ind w:left="36"/>
              <w:spacing w:before="80" w:line="225" w:lineRule="auto"/>
              <w:rPr/>
            </w:pPr>
            <w:r>
              <w:rPr>
                <w:rFonts w:ascii="SimSun" w:hAnsi="SimSun" w:eastAsia="SimSun" w:cs="SimSun"/>
                <w:spacing w:val="5"/>
              </w:rPr>
              <w:t>导则推荐模式</w:t>
            </w:r>
            <w:r>
              <w:rPr>
                <w:spacing w:val="5"/>
              </w:rPr>
              <w:t>□</w:t>
            </w:r>
            <w:r>
              <w:rPr>
                <w:spacing w:val="-20"/>
              </w:rPr>
              <w:t xml:space="preserve"> </w:t>
            </w:r>
            <w:r>
              <w:rPr>
                <w:rFonts w:ascii="SimSun" w:hAnsi="SimSun" w:eastAsia="SimSun" w:cs="SimSun"/>
                <w:spacing w:val="5"/>
              </w:rPr>
              <w:t>：其他</w:t>
            </w:r>
            <w:r>
              <w:rPr>
                <w:spacing w:val="5"/>
              </w:rPr>
              <w:t>□</w:t>
            </w:r>
          </w:p>
        </w:tc>
      </w:tr>
      <w:tr>
        <w:trPr>
          <w:trHeight w:val="983" w:hRule="atLeast"/>
        </w:trPr>
        <w:tc>
          <w:tcPr>
            <w:tcW w:w="276" w:type="dxa"/>
            <w:vAlign w:val="top"/>
            <w:vMerge w:val="restart"/>
            <w:textDirection w:val="tbRlV"/>
            <w:tcBorders>
              <w:bottom w:val="nil"/>
            </w:tcBorders>
          </w:tcPr>
          <w:p>
            <w:pPr>
              <w:ind w:left="91"/>
              <w:spacing w:before="30" w:line="215"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19"/>
              </w:rPr>
              <w:t xml:space="preserve"> </w:t>
            </w:r>
            <w:r>
              <w:rPr>
                <w:rFonts w:ascii="SimSun" w:hAnsi="SimSun" w:eastAsia="SimSun" w:cs="SimSun"/>
                <w:sz w:val="20"/>
                <w:szCs w:val="20"/>
                <w:spacing w:val="8"/>
              </w:rPr>
              <w:t>响</w:t>
            </w:r>
            <w:r>
              <w:rPr>
                <w:rFonts w:ascii="SimSun" w:hAnsi="SimSun" w:eastAsia="SimSun" w:cs="SimSun"/>
                <w:sz w:val="20"/>
                <w:szCs w:val="20"/>
                <w:spacing w:val="18"/>
              </w:rPr>
              <w:t xml:space="preserve"> </w:t>
            </w:r>
            <w:r>
              <w:rPr>
                <w:rFonts w:ascii="SimSun" w:hAnsi="SimSun" w:eastAsia="SimSun" w:cs="SimSun"/>
                <w:sz w:val="20"/>
                <w:szCs w:val="20"/>
                <w:spacing w:val="8"/>
              </w:rPr>
              <w:t>评</w:t>
            </w:r>
            <w:r>
              <w:rPr>
                <w:rFonts w:ascii="SimSun" w:hAnsi="SimSun" w:eastAsia="SimSun" w:cs="SimSun"/>
                <w:sz w:val="20"/>
                <w:szCs w:val="20"/>
                <w:spacing w:val="-9"/>
              </w:rPr>
              <w:t xml:space="preserve"> </w:t>
            </w:r>
            <w:r>
              <w:rPr>
                <w:rFonts w:ascii="SimSun" w:hAnsi="SimSun" w:eastAsia="SimSun" w:cs="SimSun"/>
                <w:sz w:val="20"/>
                <w:szCs w:val="20"/>
                <w:spacing w:val="8"/>
              </w:rPr>
              <w:t>价</w:t>
            </w:r>
          </w:p>
        </w:tc>
        <w:tc>
          <w:tcPr>
            <w:tcW w:w="1549" w:type="dxa"/>
            <w:vAlign w:val="top"/>
          </w:tcPr>
          <w:p>
            <w:pPr>
              <w:ind w:left="44"/>
              <w:spacing w:before="59" w:line="228" w:lineRule="auto"/>
              <w:rPr>
                <w:rFonts w:ascii="SimSun" w:hAnsi="SimSun" w:eastAsia="SimSun" w:cs="SimSun"/>
                <w:sz w:val="20"/>
                <w:szCs w:val="20"/>
              </w:rPr>
            </w:pPr>
            <w:r>
              <w:rPr>
                <w:rFonts w:ascii="SimSun" w:hAnsi="SimSun" w:eastAsia="SimSun" w:cs="SimSun"/>
                <w:sz w:val="20"/>
                <w:szCs w:val="20"/>
                <w:spacing w:val="8"/>
              </w:rPr>
              <w:t>水污染控制和水</w:t>
            </w:r>
          </w:p>
          <w:p>
            <w:pPr>
              <w:ind w:left="41"/>
              <w:spacing w:before="79" w:line="228" w:lineRule="auto"/>
              <w:rPr>
                <w:rFonts w:ascii="SimSun" w:hAnsi="SimSun" w:eastAsia="SimSun" w:cs="SimSun"/>
                <w:sz w:val="20"/>
                <w:szCs w:val="20"/>
              </w:rPr>
            </w:pPr>
            <w:r>
              <w:rPr>
                <w:rFonts w:ascii="SimSun" w:hAnsi="SimSun" w:eastAsia="SimSun" w:cs="SimSun"/>
                <w:sz w:val="20"/>
                <w:szCs w:val="20"/>
                <w:spacing w:val="8"/>
              </w:rPr>
              <w:t>环境影响减缓措</w:t>
            </w:r>
          </w:p>
          <w:p>
            <w:pPr>
              <w:ind w:left="146"/>
              <w:spacing w:before="80" w:line="226" w:lineRule="auto"/>
              <w:rPr>
                <w:rFonts w:ascii="SimSun" w:hAnsi="SimSun" w:eastAsia="SimSun" w:cs="SimSun"/>
                <w:sz w:val="20"/>
                <w:szCs w:val="20"/>
              </w:rPr>
            </w:pPr>
            <w:r>
              <w:rPr>
                <w:rFonts w:ascii="SimSun" w:hAnsi="SimSun" w:eastAsia="SimSun" w:cs="SimSun"/>
                <w:sz w:val="20"/>
                <w:szCs w:val="20"/>
                <w:spacing w:val="8"/>
              </w:rPr>
              <w:t>施有效性评价</w:t>
            </w:r>
          </w:p>
        </w:tc>
        <w:tc>
          <w:tcPr>
            <w:tcW w:w="7306" w:type="dxa"/>
            <w:vAlign w:val="top"/>
            <w:gridSpan w:val="5"/>
          </w:tcPr>
          <w:p>
            <w:pPr>
              <w:spacing w:line="319" w:lineRule="auto"/>
              <w:rPr>
                <w:rFonts w:ascii="Arial"/>
                <w:sz w:val="21"/>
              </w:rPr>
            </w:pPr>
            <w:r/>
          </w:p>
          <w:p>
            <w:pPr>
              <w:pStyle w:val="TableText"/>
              <w:ind w:left="46"/>
              <w:spacing w:before="65" w:line="226" w:lineRule="auto"/>
              <w:rPr/>
            </w:pPr>
            <w:r>
              <w:rPr>
                <w:rFonts w:ascii="SimSun" w:hAnsi="SimSun" w:eastAsia="SimSun" w:cs="SimSun"/>
                <w:spacing w:val="7"/>
              </w:rPr>
              <w:t>区（流）域水环境质量改善目标</w:t>
            </w:r>
            <w:r>
              <w:rPr>
                <w:spacing w:val="7"/>
              </w:rPr>
              <w:t>□</w:t>
            </w:r>
            <w:r>
              <w:rPr>
                <w:spacing w:val="-17"/>
              </w:rPr>
              <w:t xml:space="preserve"> </w:t>
            </w:r>
            <w:r>
              <w:rPr>
                <w:rFonts w:ascii="SimSun" w:hAnsi="SimSun" w:eastAsia="SimSun" w:cs="SimSun"/>
                <w:spacing w:val="7"/>
              </w:rPr>
              <w:t>；替代削减源</w:t>
            </w:r>
            <w:r>
              <w:rPr>
                <w:spacing w:val="7"/>
              </w:rPr>
              <w:t>□</w:t>
            </w:r>
          </w:p>
        </w:tc>
      </w:tr>
      <w:tr>
        <w:trPr>
          <w:trHeight w:val="333"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ind w:left="44"/>
              <w:spacing w:before="61" w:line="226" w:lineRule="auto"/>
              <w:rPr>
                <w:rFonts w:ascii="SimSun" w:hAnsi="SimSun" w:eastAsia="SimSun" w:cs="SimSun"/>
                <w:sz w:val="20"/>
                <w:szCs w:val="20"/>
              </w:rPr>
            </w:pPr>
            <w:r>
              <w:rPr>
                <w:rFonts w:ascii="SimSun" w:hAnsi="SimSun" w:eastAsia="SimSun" w:cs="SimSun"/>
                <w:sz w:val="20"/>
                <w:szCs w:val="20"/>
                <w:spacing w:val="8"/>
              </w:rPr>
              <w:t>水环境影响评价</w:t>
            </w:r>
          </w:p>
        </w:tc>
        <w:tc>
          <w:tcPr>
            <w:tcW w:w="7306" w:type="dxa"/>
            <w:vAlign w:val="top"/>
            <w:gridSpan w:val="5"/>
          </w:tcPr>
          <w:p>
            <w:pPr>
              <w:pStyle w:val="TableText"/>
              <w:ind w:left="30"/>
              <w:spacing w:before="60" w:line="228" w:lineRule="auto"/>
              <w:rPr/>
            </w:pPr>
            <w:r>
              <w:rPr>
                <w:rFonts w:ascii="SimSun" w:hAnsi="SimSun" w:eastAsia="SimSun" w:cs="SimSun"/>
                <w:spacing w:val="9"/>
              </w:rPr>
              <w:t>排放口混合区外满足水环境管理要求</w:t>
            </w:r>
            <w:r>
              <w:rPr>
                <w:spacing w:val="9"/>
              </w:rPr>
              <w:t>□</w:t>
            </w:r>
          </w:p>
        </w:tc>
      </w:tr>
    </w:tbl>
    <w:p>
      <w:pPr>
        <w:pStyle w:val="BodyText"/>
        <w:spacing w:line="152" w:lineRule="exact"/>
        <w:rPr>
          <w:sz w:val="13"/>
        </w:rPr>
      </w:pPr>
      <w:r/>
    </w:p>
    <w:p>
      <w:pPr>
        <w:spacing w:line="152" w:lineRule="exact"/>
        <w:sectPr>
          <w:headerReference w:type="default" r:id="rId199"/>
          <w:footerReference w:type="default" r:id="rId401"/>
          <w:pgSz w:w="11906" w:h="16838"/>
          <w:pgMar w:top="1170" w:right="1383" w:bottom="1080" w:left="1384" w:header="837" w:footer="918" w:gutter="0"/>
        </w:sectPr>
        <w:rPr>
          <w:sz w:val="13"/>
          <w:szCs w:val="13"/>
        </w:rPr>
      </w:pPr>
    </w:p>
    <w:p>
      <w:pPr>
        <w:spacing w:before="6"/>
        <w:rPr/>
      </w:p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76"/>
        <w:gridCol w:w="1549"/>
        <w:gridCol w:w="1312"/>
        <w:gridCol w:w="753"/>
        <w:gridCol w:w="674"/>
        <w:gridCol w:w="1427"/>
        <w:gridCol w:w="1427"/>
        <w:gridCol w:w="1713"/>
      </w:tblGrid>
      <w:tr>
        <w:trPr>
          <w:trHeight w:val="3595" w:hRule="atLeast"/>
        </w:trPr>
        <w:tc>
          <w:tcPr>
            <w:tcW w:w="276" w:type="dxa"/>
            <w:vAlign w:val="top"/>
            <w:vMerge w:val="restart"/>
            <w:tcBorders>
              <w:top w:val="nil"/>
              <w:bottom w:val="nil"/>
            </w:tcBorders>
          </w:tcPr>
          <w:p>
            <w:pPr>
              <w:rPr>
                <w:rFonts w:ascii="Arial"/>
                <w:sz w:val="21"/>
              </w:rPr>
            </w:pPr>
            <w:r/>
          </w:p>
        </w:tc>
        <w:tc>
          <w:tcPr>
            <w:tcW w:w="1549" w:type="dxa"/>
            <w:vAlign w:val="top"/>
          </w:tcPr>
          <w:p>
            <w:pPr>
              <w:rPr>
                <w:rFonts w:ascii="Arial"/>
                <w:sz w:val="21"/>
              </w:rPr>
            </w:pPr>
            <w:r/>
          </w:p>
        </w:tc>
        <w:tc>
          <w:tcPr>
            <w:tcW w:w="7306" w:type="dxa"/>
            <w:vAlign w:val="top"/>
            <w:gridSpan w:val="6"/>
          </w:tcPr>
          <w:p>
            <w:pPr>
              <w:pStyle w:val="TableText"/>
              <w:ind w:left="33"/>
              <w:spacing w:before="62" w:line="228" w:lineRule="auto"/>
              <w:rPr/>
            </w:pPr>
            <w:r>
              <w:rPr>
                <w:rFonts w:ascii="SimSun" w:hAnsi="SimSun" w:eastAsia="SimSun" w:cs="SimSun"/>
                <w:spacing w:val="9"/>
              </w:rPr>
              <w:t>水环境功能区或水功能区、近岸海域环境功能区水质达标</w:t>
            </w:r>
            <w:r>
              <w:rPr>
                <w:spacing w:val="9"/>
              </w:rPr>
              <w:t>□</w:t>
            </w:r>
          </w:p>
          <w:p>
            <w:pPr>
              <w:pStyle w:val="TableText"/>
              <w:ind w:left="30"/>
              <w:spacing w:before="79" w:line="228" w:lineRule="auto"/>
              <w:rPr/>
            </w:pPr>
            <w:r>
              <w:rPr>
                <w:rFonts w:ascii="SimSun" w:hAnsi="SimSun" w:eastAsia="SimSun" w:cs="SimSun"/>
                <w:spacing w:val="9"/>
              </w:rPr>
              <w:t>满足水环境保护目标水域水环境质量要求</w:t>
            </w:r>
            <w:r>
              <w:rPr>
                <w:spacing w:val="9"/>
              </w:rPr>
              <w:t>□</w:t>
            </w:r>
          </w:p>
          <w:p>
            <w:pPr>
              <w:pStyle w:val="TableText"/>
              <w:ind w:left="33"/>
              <w:spacing w:before="77" w:line="228" w:lineRule="auto"/>
              <w:rPr/>
            </w:pPr>
            <w:r>
              <w:rPr>
                <w:rFonts w:ascii="SimSun" w:hAnsi="SimSun" w:eastAsia="SimSun" w:cs="SimSun"/>
                <w:spacing w:val="8"/>
              </w:rPr>
              <w:t>水环境控制单元或断面水质达标</w:t>
            </w:r>
            <w:r>
              <w:rPr>
                <w:spacing w:val="8"/>
              </w:rPr>
              <w:t>□</w:t>
            </w:r>
          </w:p>
          <w:p>
            <w:pPr>
              <w:pStyle w:val="TableText"/>
              <w:ind w:left="30" w:right="30"/>
              <w:spacing w:before="80" w:line="301" w:lineRule="auto"/>
              <w:rPr/>
            </w:pPr>
            <w:r>
              <w:rPr>
                <w:rFonts w:ascii="SimSun" w:hAnsi="SimSun" w:eastAsia="SimSun" w:cs="SimSun"/>
                <w:spacing w:val="7"/>
              </w:rPr>
              <w:t>满足重点水污染物排放总量控制指标要求，重点行业建设项目，主</w:t>
            </w:r>
            <w:r>
              <w:rPr>
                <w:rFonts w:ascii="SimSun" w:hAnsi="SimSun" w:eastAsia="SimSun" w:cs="SimSun"/>
                <w:spacing w:val="6"/>
              </w:rPr>
              <w:t>要污染物排放</w:t>
            </w:r>
            <w:r>
              <w:rPr>
                <w:rFonts w:ascii="SimSun" w:hAnsi="SimSun" w:eastAsia="SimSun" w:cs="SimSun"/>
                <w:spacing w:val="9"/>
              </w:rPr>
              <w:t>满足等量或减量替代要求</w:t>
            </w:r>
            <w:r>
              <w:rPr>
                <w:spacing w:val="9"/>
              </w:rPr>
              <w:t>□</w:t>
            </w:r>
          </w:p>
          <w:p>
            <w:pPr>
              <w:pStyle w:val="TableText"/>
              <w:ind w:left="30"/>
              <w:spacing w:line="227" w:lineRule="auto"/>
              <w:rPr/>
            </w:pPr>
            <w:r>
              <w:rPr>
                <w:rFonts w:ascii="SimSun" w:hAnsi="SimSun" w:eastAsia="SimSun" w:cs="SimSun"/>
                <w:spacing w:val="9"/>
              </w:rPr>
              <w:t>满足区（流）域水环境质量改善目标要求</w:t>
            </w:r>
            <w:r>
              <w:rPr>
                <w:spacing w:val="9"/>
              </w:rPr>
              <w:t>□</w:t>
            </w:r>
          </w:p>
          <w:p>
            <w:pPr>
              <w:pStyle w:val="TableText"/>
              <w:ind w:left="31" w:right="30" w:firstLine="1"/>
              <w:spacing w:before="80" w:line="300" w:lineRule="auto"/>
              <w:rPr/>
            </w:pPr>
            <w:r>
              <w:rPr>
                <w:rFonts w:ascii="SimSun" w:hAnsi="SimSun" w:eastAsia="SimSun" w:cs="SimSun"/>
                <w:spacing w:val="7"/>
              </w:rPr>
              <w:t>水文要素影响型建设项目同时应包括水文情势变化评价、主</w:t>
            </w:r>
            <w:r>
              <w:rPr>
                <w:rFonts w:ascii="SimSun" w:hAnsi="SimSun" w:eastAsia="SimSun" w:cs="SimSun"/>
                <w:spacing w:val="6"/>
              </w:rPr>
              <w:t>要水文特征值影响评</w:t>
            </w:r>
            <w:r>
              <w:rPr>
                <w:rFonts w:ascii="SimSun" w:hAnsi="SimSun" w:eastAsia="SimSun" w:cs="SimSun"/>
                <w:spacing w:val="8"/>
              </w:rPr>
              <w:t>价、生态流量符合性评价</w:t>
            </w:r>
            <w:r>
              <w:rPr>
                <w:spacing w:val="8"/>
              </w:rPr>
              <w:t>□</w:t>
            </w:r>
          </w:p>
          <w:p>
            <w:pPr>
              <w:pStyle w:val="TableText"/>
              <w:ind w:left="47" w:right="30" w:hanging="17"/>
              <w:spacing w:line="301" w:lineRule="auto"/>
              <w:rPr/>
            </w:pPr>
            <w:r>
              <w:rPr>
                <w:rFonts w:ascii="SimSun" w:hAnsi="SimSun" w:eastAsia="SimSun" w:cs="SimSun"/>
                <w:spacing w:val="7"/>
              </w:rPr>
              <w:t>对于新设或调整入河（湖库、近岸海域）排放口的建设项目，应包</w:t>
            </w:r>
            <w:r>
              <w:rPr>
                <w:rFonts w:ascii="SimSun" w:hAnsi="SimSun" w:eastAsia="SimSun" w:cs="SimSun"/>
                <w:spacing w:val="6"/>
              </w:rPr>
              <w:t>括排放口设置</w:t>
            </w:r>
            <w:r>
              <w:rPr>
                <w:rFonts w:ascii="SimSun" w:hAnsi="SimSun" w:eastAsia="SimSun" w:cs="SimSun"/>
                <w:spacing w:val="6"/>
              </w:rPr>
              <w:t>的环境合理性评价</w:t>
            </w:r>
            <w:r>
              <w:rPr>
                <w:spacing w:val="6"/>
              </w:rPr>
              <w:t>□</w:t>
            </w:r>
          </w:p>
          <w:p>
            <w:pPr>
              <w:pStyle w:val="TableText"/>
              <w:ind w:left="30"/>
              <w:spacing w:line="226" w:lineRule="auto"/>
              <w:rPr/>
            </w:pPr>
            <w:r>
              <w:rPr>
                <w:rFonts w:ascii="SimSun" w:hAnsi="SimSun" w:eastAsia="SimSun" w:cs="SimSun"/>
                <w:spacing w:val="9"/>
              </w:rPr>
              <w:t>满足生态保护红线、水环境质量底线、资源利用上线和环境准入清单管理要求</w:t>
            </w:r>
            <w:r>
              <w:rPr>
                <w:spacing w:val="9"/>
              </w:rPr>
              <w:t>□</w:t>
            </w:r>
          </w:p>
        </w:tc>
      </w:tr>
      <w:tr>
        <w:trPr>
          <w:trHeight w:val="330" w:hRule="atLeast"/>
        </w:trPr>
        <w:tc>
          <w:tcPr>
            <w:tcW w:w="276" w:type="dxa"/>
            <w:vAlign w:val="top"/>
            <w:vMerge w:val="continue"/>
            <w:tcBorders>
              <w:top w:val="nil"/>
              <w:bottom w:val="nil"/>
            </w:tcBorders>
          </w:tcPr>
          <w:p>
            <w:pPr>
              <w:rPr>
                <w:rFonts w:ascii="Arial"/>
                <w:sz w:val="21"/>
              </w:rPr>
            </w:pPr>
            <w:r/>
          </w:p>
        </w:tc>
        <w:tc>
          <w:tcPr>
            <w:tcW w:w="1549" w:type="dxa"/>
            <w:vAlign w:val="top"/>
            <w:vMerge w:val="restart"/>
            <w:tcBorders>
              <w:bottom w:val="nil"/>
            </w:tcBorders>
          </w:tcPr>
          <w:p>
            <w:pPr>
              <w:spacing w:line="332" w:lineRule="auto"/>
              <w:rPr>
                <w:rFonts w:ascii="Arial"/>
                <w:sz w:val="21"/>
              </w:rPr>
            </w:pPr>
            <w:r/>
          </w:p>
          <w:p>
            <w:pPr>
              <w:spacing w:line="332" w:lineRule="auto"/>
              <w:rPr>
                <w:rFonts w:ascii="Arial"/>
                <w:sz w:val="21"/>
              </w:rPr>
            </w:pPr>
            <w:r/>
          </w:p>
          <w:p>
            <w:pPr>
              <w:ind w:left="671" w:right="41" w:hanging="628"/>
              <w:spacing w:before="65" w:line="303" w:lineRule="auto"/>
              <w:rPr>
                <w:rFonts w:ascii="SimSun" w:hAnsi="SimSun" w:eastAsia="SimSun" w:cs="SimSun"/>
                <w:sz w:val="20"/>
                <w:szCs w:val="20"/>
              </w:rPr>
            </w:pPr>
            <w:r>
              <w:rPr>
                <w:rFonts w:ascii="SimSun" w:hAnsi="SimSun" w:eastAsia="SimSun" w:cs="SimSun"/>
                <w:sz w:val="20"/>
                <w:szCs w:val="20"/>
                <w:spacing w:val="8"/>
              </w:rPr>
              <w:t>污染源排放量核</w:t>
            </w:r>
            <w:r>
              <w:rPr>
                <w:rFonts w:ascii="SimSun" w:hAnsi="SimSun" w:eastAsia="SimSun" w:cs="SimSun"/>
                <w:sz w:val="20"/>
                <w:szCs w:val="20"/>
              </w:rPr>
              <w:t>算</w:t>
            </w:r>
          </w:p>
        </w:tc>
        <w:tc>
          <w:tcPr>
            <w:tcW w:w="2065" w:type="dxa"/>
            <w:vAlign w:val="top"/>
            <w:gridSpan w:val="2"/>
          </w:tcPr>
          <w:p>
            <w:pPr>
              <w:ind w:left="515"/>
              <w:spacing w:before="58" w:line="228" w:lineRule="auto"/>
              <w:rPr>
                <w:rFonts w:ascii="SimSun" w:hAnsi="SimSun" w:eastAsia="SimSun" w:cs="SimSun"/>
                <w:sz w:val="20"/>
                <w:szCs w:val="20"/>
              </w:rPr>
            </w:pPr>
            <w:r>
              <w:rPr>
                <w:rFonts w:ascii="SimSun" w:hAnsi="SimSun" w:eastAsia="SimSun" w:cs="SimSun"/>
                <w:sz w:val="20"/>
                <w:szCs w:val="20"/>
                <w:spacing w:val="7"/>
              </w:rPr>
              <w:t>污染物名称</w:t>
            </w:r>
          </w:p>
        </w:tc>
        <w:tc>
          <w:tcPr>
            <w:tcW w:w="2101" w:type="dxa"/>
            <w:vAlign w:val="top"/>
            <w:gridSpan w:val="2"/>
          </w:tcPr>
          <w:p>
            <w:pPr>
              <w:pStyle w:val="TableText"/>
              <w:ind w:left="397"/>
              <w:spacing w:before="57" w:line="229" w:lineRule="auto"/>
              <w:rPr>
                <w:rFonts w:ascii="SimSun" w:hAnsi="SimSun" w:eastAsia="SimSun" w:cs="SimSun"/>
              </w:rPr>
            </w:pPr>
            <w:r>
              <w:rPr>
                <w:rFonts w:ascii="SimSun" w:hAnsi="SimSun" w:eastAsia="SimSun" w:cs="SimSun"/>
                <w:spacing w:val="4"/>
              </w:rPr>
              <w:t>排放量</w:t>
            </w:r>
            <w:r>
              <w:rPr>
                <w:spacing w:val="4"/>
              </w:rPr>
              <w:t>/</w:t>
            </w:r>
            <w:r>
              <w:rPr>
                <w:rFonts w:ascii="SimSun" w:hAnsi="SimSun" w:eastAsia="SimSun" w:cs="SimSun"/>
                <w:spacing w:val="4"/>
              </w:rPr>
              <w:t>（</w:t>
            </w:r>
            <w:r>
              <w:rPr>
                <w:spacing w:val="4"/>
              </w:rPr>
              <w:t>t/a</w:t>
            </w:r>
            <w:r>
              <w:rPr>
                <w:rFonts w:ascii="SimSun" w:hAnsi="SimSun" w:eastAsia="SimSun" w:cs="SimSun"/>
                <w:spacing w:val="4"/>
              </w:rPr>
              <w:t>）</w:t>
            </w:r>
          </w:p>
        </w:tc>
        <w:tc>
          <w:tcPr>
            <w:tcW w:w="3140" w:type="dxa"/>
            <w:vAlign w:val="top"/>
            <w:gridSpan w:val="2"/>
          </w:tcPr>
          <w:p>
            <w:pPr>
              <w:pStyle w:val="TableText"/>
              <w:ind w:left="688"/>
              <w:spacing w:before="57" w:line="221" w:lineRule="auto"/>
              <w:rPr>
                <w:rFonts w:ascii="SimSun" w:hAnsi="SimSun" w:eastAsia="SimSun" w:cs="SimSun"/>
              </w:rPr>
            </w:pPr>
            <w:r>
              <w:rPr>
                <w:rFonts w:ascii="SimSun" w:hAnsi="SimSun" w:eastAsia="SimSun" w:cs="SimSun"/>
                <w:spacing w:val="6"/>
              </w:rPr>
              <w:t>排放浓度</w:t>
            </w:r>
            <w:r>
              <w:rPr>
                <w:spacing w:val="6"/>
              </w:rPr>
              <w:t>/</w:t>
            </w:r>
            <w:r>
              <w:rPr>
                <w:rFonts w:ascii="SimSun" w:hAnsi="SimSun" w:eastAsia="SimSun" w:cs="SimSun"/>
                <w:spacing w:val="6"/>
              </w:rPr>
              <w:t>（</w:t>
            </w:r>
            <w:r>
              <w:rPr/>
              <w:t>mg</w:t>
            </w:r>
            <w:r>
              <w:rPr>
                <w:spacing w:val="6"/>
              </w:rPr>
              <w:t>/L</w:t>
            </w:r>
            <w:r>
              <w:rPr>
                <w:rFonts w:ascii="SimSun" w:hAnsi="SimSun" w:eastAsia="SimSun" w:cs="SimSun"/>
                <w:spacing w:val="6"/>
              </w:rPr>
              <w:t>）</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pStyle w:val="TableText"/>
              <w:ind w:left="926"/>
              <w:spacing w:before="94" w:line="195" w:lineRule="auto"/>
              <w:rPr/>
            </w:pPr>
            <w:r>
              <w:rPr>
                <w:spacing w:val="-3"/>
              </w:rPr>
              <w:t>SS</w:t>
            </w:r>
          </w:p>
        </w:tc>
        <w:tc>
          <w:tcPr>
            <w:tcW w:w="2101" w:type="dxa"/>
            <w:vAlign w:val="top"/>
            <w:gridSpan w:val="2"/>
          </w:tcPr>
          <w:p>
            <w:pPr>
              <w:pStyle w:val="TableText"/>
              <w:ind w:left="1003"/>
              <w:spacing w:before="94" w:line="195" w:lineRule="auto"/>
              <w:rPr/>
            </w:pPr>
            <w:r>
              <w:rPr/>
              <w:t>0</w:t>
            </w:r>
          </w:p>
        </w:tc>
        <w:tc>
          <w:tcPr>
            <w:tcW w:w="3140" w:type="dxa"/>
            <w:vAlign w:val="top"/>
            <w:gridSpan w:val="2"/>
          </w:tcPr>
          <w:p>
            <w:pPr>
              <w:pStyle w:val="TableText"/>
              <w:ind w:left="1473"/>
              <w:spacing w:before="94" w:line="195" w:lineRule="auto"/>
              <w:rPr/>
            </w:pPr>
            <w:r>
              <w:rPr/>
              <w:t>50</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pStyle w:val="TableText"/>
              <w:ind w:left="777"/>
              <w:spacing w:before="94" w:line="202" w:lineRule="auto"/>
              <w:rPr>
                <w:sz w:val="13"/>
                <w:szCs w:val="13"/>
              </w:rPr>
            </w:pPr>
            <w:r>
              <w:rPr/>
              <w:t>BOD</w:t>
            </w:r>
            <w:r>
              <w:rPr>
                <w:sz w:val="13"/>
                <w:szCs w:val="13"/>
                <w:spacing w:val="16"/>
                <w:position w:val="-1"/>
              </w:rPr>
              <w:t>5</w:t>
            </w:r>
          </w:p>
        </w:tc>
        <w:tc>
          <w:tcPr>
            <w:tcW w:w="2101" w:type="dxa"/>
            <w:vAlign w:val="top"/>
            <w:gridSpan w:val="2"/>
          </w:tcPr>
          <w:p>
            <w:pPr>
              <w:pStyle w:val="TableText"/>
              <w:ind w:left="1003"/>
              <w:spacing w:before="94" w:line="195" w:lineRule="auto"/>
              <w:rPr/>
            </w:pPr>
            <w:r>
              <w:rPr/>
              <w:t>0</w:t>
            </w:r>
          </w:p>
        </w:tc>
        <w:tc>
          <w:tcPr>
            <w:tcW w:w="3140" w:type="dxa"/>
            <w:vAlign w:val="top"/>
            <w:gridSpan w:val="2"/>
          </w:tcPr>
          <w:p>
            <w:pPr>
              <w:pStyle w:val="TableText"/>
              <w:ind w:left="1473"/>
              <w:spacing w:before="94" w:line="195" w:lineRule="auto"/>
              <w:rPr/>
            </w:pPr>
            <w:r>
              <w:rPr/>
              <w:t>50</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pStyle w:val="TableText"/>
              <w:ind w:left="812"/>
              <w:spacing w:before="94" w:line="195" w:lineRule="auto"/>
              <w:rPr/>
            </w:pPr>
            <w:r>
              <w:rPr>
                <w:spacing w:val="3"/>
              </w:rPr>
              <w:t>COD</w:t>
            </w:r>
          </w:p>
        </w:tc>
        <w:tc>
          <w:tcPr>
            <w:tcW w:w="2101" w:type="dxa"/>
            <w:vAlign w:val="top"/>
            <w:gridSpan w:val="2"/>
          </w:tcPr>
          <w:p>
            <w:pPr>
              <w:pStyle w:val="TableText"/>
              <w:ind w:left="1003"/>
              <w:spacing w:before="94" w:line="195" w:lineRule="auto"/>
              <w:rPr/>
            </w:pPr>
            <w:r>
              <w:rPr/>
              <w:t>0</w:t>
            </w:r>
          </w:p>
        </w:tc>
        <w:tc>
          <w:tcPr>
            <w:tcW w:w="3140" w:type="dxa"/>
            <w:vAlign w:val="top"/>
            <w:gridSpan w:val="2"/>
          </w:tcPr>
          <w:p>
            <w:pPr>
              <w:pStyle w:val="TableText"/>
              <w:ind w:left="1432"/>
              <w:spacing w:before="94" w:line="195" w:lineRule="auto"/>
              <w:rPr/>
            </w:pPr>
            <w:r>
              <w:rPr>
                <w:spacing w:val="-3"/>
              </w:rPr>
              <w:t>100</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pStyle w:val="TableText"/>
              <w:ind w:left="730"/>
              <w:spacing w:before="97" w:line="209" w:lineRule="auto"/>
              <w:rPr/>
            </w:pPr>
            <w:r>
              <w:rPr/>
              <w:t>NH</w:t>
            </w:r>
            <w:r>
              <w:rPr>
                <w:sz w:val="13"/>
                <w:szCs w:val="13"/>
                <w:spacing w:val="9"/>
              </w:rPr>
              <w:t>3</w:t>
            </w:r>
            <w:r>
              <w:rPr>
                <w:spacing w:val="9"/>
              </w:rPr>
              <w:t>-N</w:t>
            </w:r>
          </w:p>
        </w:tc>
        <w:tc>
          <w:tcPr>
            <w:tcW w:w="2101" w:type="dxa"/>
            <w:vAlign w:val="top"/>
            <w:gridSpan w:val="2"/>
          </w:tcPr>
          <w:p>
            <w:pPr>
              <w:pStyle w:val="TableText"/>
              <w:ind w:left="1003"/>
              <w:spacing w:before="94" w:line="195" w:lineRule="auto"/>
              <w:rPr/>
            </w:pPr>
            <w:r>
              <w:rPr/>
              <w:t>0</w:t>
            </w:r>
          </w:p>
        </w:tc>
        <w:tc>
          <w:tcPr>
            <w:tcW w:w="3140" w:type="dxa"/>
            <w:vAlign w:val="top"/>
            <w:gridSpan w:val="2"/>
          </w:tcPr>
          <w:p>
            <w:pPr>
              <w:pStyle w:val="TableText"/>
              <w:ind w:left="1487"/>
              <w:spacing w:before="94" w:line="195" w:lineRule="auto"/>
              <w:rPr/>
            </w:pPr>
            <w:r>
              <w:rPr>
                <w:spacing w:val="-8"/>
              </w:rPr>
              <w:t>15</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2065" w:type="dxa"/>
            <w:vAlign w:val="top"/>
            <w:gridSpan w:val="2"/>
          </w:tcPr>
          <w:p>
            <w:pPr>
              <w:ind w:left="722"/>
              <w:spacing w:before="58" w:line="228" w:lineRule="auto"/>
              <w:rPr>
                <w:rFonts w:ascii="SimSun" w:hAnsi="SimSun" w:eastAsia="SimSun" w:cs="SimSun"/>
                <w:sz w:val="20"/>
                <w:szCs w:val="20"/>
              </w:rPr>
            </w:pPr>
            <w:r>
              <w:rPr>
                <w:rFonts w:ascii="SimSun" w:hAnsi="SimSun" w:eastAsia="SimSun" w:cs="SimSun"/>
                <w:sz w:val="20"/>
                <w:szCs w:val="20"/>
                <w:spacing w:val="6"/>
              </w:rPr>
              <w:t>石油类</w:t>
            </w:r>
          </w:p>
        </w:tc>
        <w:tc>
          <w:tcPr>
            <w:tcW w:w="2101" w:type="dxa"/>
            <w:vAlign w:val="top"/>
            <w:gridSpan w:val="2"/>
          </w:tcPr>
          <w:p>
            <w:pPr>
              <w:pStyle w:val="TableText"/>
              <w:ind w:left="1003"/>
              <w:spacing w:before="94" w:line="195" w:lineRule="auto"/>
              <w:rPr/>
            </w:pPr>
            <w:r>
              <w:rPr/>
              <w:t>0</w:t>
            </w:r>
          </w:p>
        </w:tc>
        <w:tc>
          <w:tcPr>
            <w:tcW w:w="3140" w:type="dxa"/>
            <w:vAlign w:val="top"/>
            <w:gridSpan w:val="2"/>
          </w:tcPr>
          <w:p>
            <w:pPr>
              <w:pStyle w:val="TableText"/>
              <w:ind w:left="1521"/>
              <w:spacing w:before="97" w:line="192" w:lineRule="auto"/>
              <w:rPr/>
            </w:pPr>
            <w:r>
              <w:rPr/>
              <w:t>5</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restart"/>
            <w:tcBorders>
              <w:bottom w:val="nil"/>
            </w:tcBorders>
          </w:tcPr>
          <w:p>
            <w:pPr>
              <w:ind w:left="50"/>
              <w:spacing w:before="227" w:line="226" w:lineRule="auto"/>
              <w:rPr>
                <w:rFonts w:ascii="SimSun" w:hAnsi="SimSun" w:eastAsia="SimSun" w:cs="SimSun"/>
                <w:sz w:val="20"/>
                <w:szCs w:val="20"/>
              </w:rPr>
            </w:pPr>
            <w:r>
              <w:rPr>
                <w:rFonts w:ascii="SimSun" w:hAnsi="SimSun" w:eastAsia="SimSun" w:cs="SimSun"/>
                <w:sz w:val="20"/>
                <w:szCs w:val="20"/>
                <w:spacing w:val="7"/>
              </w:rPr>
              <w:t>替代源排放情况</w:t>
            </w:r>
          </w:p>
        </w:tc>
        <w:tc>
          <w:tcPr>
            <w:tcW w:w="1312" w:type="dxa"/>
            <w:vAlign w:val="top"/>
          </w:tcPr>
          <w:p>
            <w:pPr>
              <w:ind w:left="32"/>
              <w:spacing w:before="59" w:line="228" w:lineRule="auto"/>
              <w:rPr>
                <w:rFonts w:ascii="SimSun" w:hAnsi="SimSun" w:eastAsia="SimSun" w:cs="SimSun"/>
                <w:sz w:val="20"/>
                <w:szCs w:val="20"/>
              </w:rPr>
            </w:pPr>
            <w:r>
              <w:rPr>
                <w:rFonts w:ascii="SimSun" w:hAnsi="SimSun" w:eastAsia="SimSun" w:cs="SimSun"/>
                <w:sz w:val="20"/>
                <w:szCs w:val="20"/>
                <w:spacing w:val="7"/>
              </w:rPr>
              <w:t>污染源名称</w:t>
            </w:r>
          </w:p>
        </w:tc>
        <w:tc>
          <w:tcPr>
            <w:tcW w:w="1427" w:type="dxa"/>
            <w:vAlign w:val="top"/>
            <w:gridSpan w:val="2"/>
          </w:tcPr>
          <w:p>
            <w:pPr>
              <w:ind w:left="34"/>
              <w:spacing w:before="58" w:line="228" w:lineRule="auto"/>
              <w:rPr>
                <w:rFonts w:ascii="SimSun" w:hAnsi="SimSun" w:eastAsia="SimSun" w:cs="SimSun"/>
                <w:sz w:val="20"/>
                <w:szCs w:val="20"/>
              </w:rPr>
            </w:pPr>
            <w:r>
              <w:rPr>
                <w:rFonts w:ascii="SimSun" w:hAnsi="SimSun" w:eastAsia="SimSun" w:cs="SimSun"/>
                <w:sz w:val="20"/>
                <w:szCs w:val="20"/>
                <w:spacing w:val="-7"/>
              </w:rPr>
              <w:t>排污许可证编号</w:t>
            </w:r>
          </w:p>
        </w:tc>
        <w:tc>
          <w:tcPr>
            <w:tcW w:w="1427" w:type="dxa"/>
            <w:vAlign w:val="top"/>
          </w:tcPr>
          <w:p>
            <w:pPr>
              <w:ind w:left="32"/>
              <w:spacing w:before="59" w:line="228" w:lineRule="auto"/>
              <w:rPr>
                <w:rFonts w:ascii="SimSun" w:hAnsi="SimSun" w:eastAsia="SimSun" w:cs="SimSun"/>
                <w:sz w:val="20"/>
                <w:szCs w:val="20"/>
              </w:rPr>
            </w:pPr>
            <w:r>
              <w:rPr>
                <w:rFonts w:ascii="SimSun" w:hAnsi="SimSun" w:eastAsia="SimSun" w:cs="SimSun"/>
                <w:sz w:val="20"/>
                <w:szCs w:val="20"/>
                <w:spacing w:val="7"/>
              </w:rPr>
              <w:t>污染物名称</w:t>
            </w:r>
          </w:p>
        </w:tc>
        <w:tc>
          <w:tcPr>
            <w:tcW w:w="1427" w:type="dxa"/>
            <w:vAlign w:val="top"/>
          </w:tcPr>
          <w:p>
            <w:pPr>
              <w:pStyle w:val="TableText"/>
              <w:ind w:left="36"/>
              <w:spacing w:before="58" w:line="229" w:lineRule="auto"/>
              <w:rPr>
                <w:rFonts w:ascii="SimSun" w:hAnsi="SimSun" w:eastAsia="SimSun" w:cs="SimSun"/>
              </w:rPr>
            </w:pPr>
            <w:r>
              <w:rPr>
                <w:rFonts w:ascii="SimSun" w:hAnsi="SimSun" w:eastAsia="SimSun" w:cs="SimSun"/>
                <w:spacing w:val="4"/>
              </w:rPr>
              <w:t>排放量</w:t>
            </w:r>
            <w:r>
              <w:rPr>
                <w:spacing w:val="4"/>
              </w:rPr>
              <w:t>/</w:t>
            </w:r>
            <w:r>
              <w:rPr>
                <w:rFonts w:ascii="SimSun" w:hAnsi="SimSun" w:eastAsia="SimSun" w:cs="SimSun"/>
                <w:spacing w:val="4"/>
              </w:rPr>
              <w:t>（</w:t>
            </w:r>
            <w:r>
              <w:rPr>
                <w:spacing w:val="4"/>
              </w:rPr>
              <w:t>t/a</w:t>
            </w:r>
            <w:r>
              <w:rPr>
                <w:rFonts w:ascii="SimSun" w:hAnsi="SimSun" w:eastAsia="SimSun" w:cs="SimSun"/>
                <w:spacing w:val="4"/>
              </w:rPr>
              <w:t>）</w:t>
            </w:r>
          </w:p>
        </w:tc>
        <w:tc>
          <w:tcPr>
            <w:tcW w:w="1713" w:type="dxa"/>
            <w:vAlign w:val="top"/>
          </w:tcPr>
          <w:p>
            <w:pPr>
              <w:pStyle w:val="TableText"/>
              <w:spacing w:before="58" w:line="221" w:lineRule="auto"/>
              <w:jc w:val="right"/>
              <w:rPr>
                <w:rFonts w:ascii="SimSun" w:hAnsi="SimSun" w:eastAsia="SimSun" w:cs="SimSun"/>
              </w:rPr>
            </w:pPr>
            <w:r>
              <w:rPr>
                <w:rFonts w:ascii="SimSun" w:hAnsi="SimSun" w:eastAsia="SimSun" w:cs="SimSun"/>
                <w:spacing w:val="-2"/>
              </w:rPr>
              <w:t>排放浓度</w:t>
            </w:r>
            <w:r>
              <w:rPr>
                <w:spacing w:val="-2"/>
              </w:rPr>
              <w:t>/</w:t>
            </w:r>
            <w:r>
              <w:rPr>
                <w:rFonts w:ascii="SimSun" w:hAnsi="SimSun" w:eastAsia="SimSun" w:cs="SimSun"/>
                <w:spacing w:val="-2"/>
              </w:rPr>
              <w:t>（</w:t>
            </w:r>
            <w:r>
              <w:rPr>
                <w:spacing w:val="-2"/>
              </w:rPr>
              <w:t>mg/L</w:t>
            </w:r>
            <w:r>
              <w:rPr>
                <w:rFonts w:ascii="SimSun" w:hAnsi="SimSun" w:eastAsia="SimSun" w:cs="SimSun"/>
                <w:spacing w:val="-2"/>
              </w:rPr>
              <w:t>）</w:t>
            </w:r>
          </w:p>
        </w:tc>
      </w:tr>
      <w:tr>
        <w:trPr>
          <w:trHeight w:val="331" w:hRule="atLeast"/>
        </w:trPr>
        <w:tc>
          <w:tcPr>
            <w:tcW w:w="276" w:type="dxa"/>
            <w:vAlign w:val="top"/>
            <w:vMerge w:val="continue"/>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1312" w:type="dxa"/>
            <w:vAlign w:val="top"/>
          </w:tcPr>
          <w:p>
            <w:pPr>
              <w:pStyle w:val="TableText"/>
              <w:ind w:left="41"/>
              <w:spacing w:before="58"/>
              <w:rPr>
                <w:rFonts w:ascii="SimSun" w:hAnsi="SimSun" w:eastAsia="SimSun" w:cs="SimSun"/>
              </w:rPr>
            </w:pPr>
            <w:r>
              <w:rPr>
                <w:rFonts w:ascii="SimSun" w:hAnsi="SimSun" w:eastAsia="SimSun" w:cs="SimSun"/>
                <w:spacing w:val="-2"/>
              </w:rPr>
              <w:t>（</w:t>
            </w:r>
            <w:r>
              <w:rPr>
                <w:spacing w:val="-2"/>
              </w:rPr>
              <w:t>/</w:t>
            </w:r>
            <w:r>
              <w:rPr>
                <w:rFonts w:ascii="SimSun" w:hAnsi="SimSun" w:eastAsia="SimSun" w:cs="SimSun"/>
                <w:spacing w:val="-2"/>
              </w:rPr>
              <w:t>）</w:t>
            </w:r>
          </w:p>
        </w:tc>
        <w:tc>
          <w:tcPr>
            <w:tcW w:w="1427" w:type="dxa"/>
            <w:vAlign w:val="top"/>
            <w:gridSpan w:val="2"/>
          </w:tcPr>
          <w:p>
            <w:pPr>
              <w:pStyle w:val="TableText"/>
              <w:ind w:left="44"/>
              <w:spacing w:before="58"/>
              <w:rPr>
                <w:rFonts w:ascii="SimSun" w:hAnsi="SimSun" w:eastAsia="SimSun" w:cs="SimSun"/>
              </w:rPr>
            </w:pPr>
            <w:r>
              <w:rPr>
                <w:rFonts w:ascii="SimSun" w:hAnsi="SimSun" w:eastAsia="SimSun" w:cs="SimSun"/>
                <w:spacing w:val="-3"/>
              </w:rPr>
              <w:t>（</w:t>
            </w:r>
            <w:r>
              <w:rPr>
                <w:spacing w:val="-3"/>
              </w:rPr>
              <w:t>/</w:t>
            </w:r>
            <w:r>
              <w:rPr>
                <w:rFonts w:ascii="SimSun" w:hAnsi="SimSun" w:eastAsia="SimSun" w:cs="SimSun"/>
                <w:spacing w:val="-3"/>
              </w:rPr>
              <w:t>）</w:t>
            </w:r>
          </w:p>
        </w:tc>
        <w:tc>
          <w:tcPr>
            <w:tcW w:w="1427" w:type="dxa"/>
            <w:vAlign w:val="top"/>
          </w:tcPr>
          <w:p>
            <w:pPr>
              <w:pStyle w:val="TableText"/>
              <w:ind w:left="40"/>
              <w:spacing w:before="58"/>
              <w:rPr>
                <w:rFonts w:ascii="SimSun" w:hAnsi="SimSun" w:eastAsia="SimSun" w:cs="SimSun"/>
              </w:rPr>
            </w:pPr>
            <w:r>
              <w:rPr>
                <w:rFonts w:ascii="SimSun" w:hAnsi="SimSun" w:eastAsia="SimSun" w:cs="SimSun"/>
                <w:spacing w:val="-1"/>
              </w:rPr>
              <w:t>（</w:t>
            </w:r>
            <w:r>
              <w:rPr>
                <w:spacing w:val="-1"/>
              </w:rPr>
              <w:t>/</w:t>
            </w:r>
            <w:r>
              <w:rPr>
                <w:rFonts w:ascii="SimSun" w:hAnsi="SimSun" w:eastAsia="SimSun" w:cs="SimSun"/>
                <w:spacing w:val="-1"/>
              </w:rPr>
              <w:t>）</w:t>
            </w:r>
          </w:p>
        </w:tc>
        <w:tc>
          <w:tcPr>
            <w:tcW w:w="1427" w:type="dxa"/>
            <w:vAlign w:val="top"/>
          </w:tcPr>
          <w:p>
            <w:pPr>
              <w:pStyle w:val="TableText"/>
              <w:ind w:left="46"/>
              <w:spacing w:before="58"/>
              <w:rPr>
                <w:rFonts w:ascii="SimSun" w:hAnsi="SimSun" w:eastAsia="SimSun" w:cs="SimSun"/>
              </w:rPr>
            </w:pPr>
            <w:r>
              <w:rPr>
                <w:rFonts w:ascii="SimSun" w:hAnsi="SimSun" w:eastAsia="SimSun" w:cs="SimSun"/>
                <w:spacing w:val="-3"/>
              </w:rPr>
              <w:t>（</w:t>
            </w:r>
            <w:r>
              <w:rPr>
                <w:spacing w:val="-3"/>
              </w:rPr>
              <w:t>/</w:t>
            </w:r>
            <w:r>
              <w:rPr>
                <w:rFonts w:ascii="SimSun" w:hAnsi="SimSun" w:eastAsia="SimSun" w:cs="SimSun"/>
                <w:spacing w:val="-3"/>
              </w:rPr>
              <w:t>）</w:t>
            </w:r>
          </w:p>
        </w:tc>
        <w:tc>
          <w:tcPr>
            <w:tcW w:w="1713" w:type="dxa"/>
            <w:vAlign w:val="top"/>
          </w:tcPr>
          <w:p>
            <w:pPr>
              <w:pStyle w:val="TableText"/>
              <w:ind w:left="42"/>
              <w:spacing w:before="58"/>
              <w:rPr>
                <w:rFonts w:ascii="SimSun" w:hAnsi="SimSun" w:eastAsia="SimSun" w:cs="SimSun"/>
              </w:rPr>
            </w:pPr>
            <w:r>
              <w:rPr>
                <w:rFonts w:ascii="SimSun" w:hAnsi="SimSun" w:eastAsia="SimSun" w:cs="SimSun"/>
                <w:spacing w:val="-1"/>
              </w:rPr>
              <w:t>（</w:t>
            </w:r>
            <w:r>
              <w:rPr>
                <w:spacing w:val="-1"/>
              </w:rPr>
              <w:t>/</w:t>
            </w:r>
            <w:r>
              <w:rPr>
                <w:rFonts w:ascii="SimSun" w:hAnsi="SimSun" w:eastAsia="SimSun" w:cs="SimSun"/>
                <w:spacing w:val="-1"/>
              </w:rPr>
              <w:t>）</w:t>
            </w:r>
          </w:p>
        </w:tc>
      </w:tr>
      <w:tr>
        <w:trPr>
          <w:trHeight w:val="654" w:hRule="atLeast"/>
        </w:trPr>
        <w:tc>
          <w:tcPr>
            <w:tcW w:w="276" w:type="dxa"/>
            <w:vAlign w:val="top"/>
            <w:vMerge w:val="continue"/>
            <w:tcBorders>
              <w:top w:val="nil"/>
            </w:tcBorders>
          </w:tcPr>
          <w:p>
            <w:pPr>
              <w:rPr>
                <w:rFonts w:ascii="Arial"/>
                <w:sz w:val="21"/>
              </w:rPr>
            </w:pPr>
            <w:r/>
          </w:p>
        </w:tc>
        <w:tc>
          <w:tcPr>
            <w:tcW w:w="1549" w:type="dxa"/>
            <w:vAlign w:val="top"/>
          </w:tcPr>
          <w:p>
            <w:pPr>
              <w:ind w:left="148"/>
              <w:spacing w:before="222" w:line="228" w:lineRule="auto"/>
              <w:rPr>
                <w:rFonts w:ascii="SimSun" w:hAnsi="SimSun" w:eastAsia="SimSun" w:cs="SimSun"/>
                <w:sz w:val="20"/>
                <w:szCs w:val="20"/>
              </w:rPr>
            </w:pPr>
            <w:r>
              <w:rPr>
                <w:rFonts w:ascii="SimSun" w:hAnsi="SimSun" w:eastAsia="SimSun" w:cs="SimSun"/>
                <w:sz w:val="20"/>
                <w:szCs w:val="20"/>
                <w:spacing w:val="7"/>
              </w:rPr>
              <w:t>生态流量确定</w:t>
            </w:r>
          </w:p>
        </w:tc>
        <w:tc>
          <w:tcPr>
            <w:tcW w:w="7306" w:type="dxa"/>
            <w:vAlign w:val="top"/>
            <w:gridSpan w:val="6"/>
          </w:tcPr>
          <w:p>
            <w:pPr>
              <w:pStyle w:val="TableText"/>
              <w:ind w:left="32"/>
              <w:spacing w:before="59" w:line="225" w:lineRule="auto"/>
              <w:rPr/>
            </w:pPr>
            <w:r>
              <w:rPr>
                <w:rFonts w:ascii="SimSun" w:hAnsi="SimSun" w:eastAsia="SimSun" w:cs="SimSun"/>
                <w:spacing w:val="7"/>
              </w:rPr>
              <w:t>生态流量：一般水期</w:t>
            </w:r>
            <w:r>
              <w:rPr>
                <w:rFonts w:ascii="SimSun" w:hAnsi="SimSun" w:eastAsia="SimSun" w:cs="SimSun"/>
                <w:spacing w:val="-11"/>
              </w:rPr>
              <w:t>（）</w:t>
            </w:r>
            <w:r>
              <w:rPr>
                <w:rFonts w:ascii="SimSun" w:hAnsi="SimSun" w:eastAsia="SimSun" w:cs="SimSun"/>
                <w:spacing w:val="-50"/>
              </w:rPr>
              <w:t xml:space="preserve"> </w:t>
            </w:r>
            <w:r>
              <w:rPr>
                <w:spacing w:val="7"/>
              </w:rPr>
              <w:t>m</w:t>
            </w:r>
            <w:r>
              <w:rPr>
                <w:sz w:val="13"/>
                <w:szCs w:val="13"/>
                <w:spacing w:val="7"/>
                <w:position w:val="6"/>
              </w:rPr>
              <w:t>3</w:t>
            </w:r>
            <w:r>
              <w:rPr>
                <w:spacing w:val="7"/>
              </w:rPr>
              <w:t>/s</w:t>
            </w:r>
            <w:r>
              <w:rPr>
                <w:rFonts w:ascii="SimSun" w:hAnsi="SimSun" w:eastAsia="SimSun" w:cs="SimSun"/>
                <w:spacing w:val="7"/>
              </w:rPr>
              <w:t>；鱼类繁殖期</w:t>
            </w:r>
            <w:r>
              <w:rPr>
                <w:rFonts w:ascii="SimSun" w:hAnsi="SimSun" w:eastAsia="SimSun" w:cs="SimSun"/>
                <w:spacing w:val="-11"/>
              </w:rPr>
              <w:t>（）</w:t>
            </w:r>
            <w:r>
              <w:rPr>
                <w:rFonts w:ascii="SimSun" w:hAnsi="SimSun" w:eastAsia="SimSun" w:cs="SimSun"/>
                <w:spacing w:val="-57"/>
              </w:rPr>
              <w:t xml:space="preserve"> </w:t>
            </w:r>
            <w:r>
              <w:rPr>
                <w:spacing w:val="7"/>
              </w:rPr>
              <w:t>m</w:t>
            </w:r>
            <w:r>
              <w:rPr>
                <w:sz w:val="13"/>
                <w:szCs w:val="13"/>
                <w:spacing w:val="7"/>
                <w:position w:val="6"/>
              </w:rPr>
              <w:t>3</w:t>
            </w:r>
            <w:r>
              <w:rPr>
                <w:spacing w:val="7"/>
              </w:rPr>
              <w:t>/s</w:t>
            </w:r>
            <w:r>
              <w:rPr>
                <w:rFonts w:ascii="SimSun" w:hAnsi="SimSun" w:eastAsia="SimSun" w:cs="SimSun"/>
                <w:spacing w:val="7"/>
              </w:rPr>
              <w:t>；其他</w:t>
            </w:r>
            <w:r>
              <w:rPr>
                <w:rFonts w:ascii="SimSun" w:hAnsi="SimSun" w:eastAsia="SimSun" w:cs="SimSun"/>
                <w:spacing w:val="-11"/>
              </w:rPr>
              <w:t>（）</w:t>
            </w:r>
            <w:r>
              <w:rPr>
                <w:rFonts w:ascii="SimSun" w:hAnsi="SimSun" w:eastAsia="SimSun" w:cs="SimSun"/>
                <w:spacing w:val="-55"/>
              </w:rPr>
              <w:t xml:space="preserve"> </w:t>
            </w:r>
            <w:r>
              <w:rPr>
                <w:spacing w:val="7"/>
              </w:rPr>
              <w:t>m</w:t>
            </w:r>
            <w:r>
              <w:rPr>
                <w:sz w:val="13"/>
                <w:szCs w:val="13"/>
                <w:spacing w:val="7"/>
                <w:position w:val="6"/>
              </w:rPr>
              <w:t>3</w:t>
            </w:r>
            <w:r>
              <w:rPr>
                <w:spacing w:val="6"/>
              </w:rPr>
              <w:t>/s</w:t>
            </w:r>
          </w:p>
          <w:p>
            <w:pPr>
              <w:pStyle w:val="TableText"/>
              <w:ind w:left="32"/>
              <w:spacing w:before="82" w:line="225" w:lineRule="auto"/>
              <w:rPr/>
            </w:pPr>
            <w:r>
              <w:rPr>
                <w:rFonts w:ascii="SimSun" w:hAnsi="SimSun" w:eastAsia="SimSun" w:cs="SimSun"/>
                <w:spacing w:val="6"/>
              </w:rPr>
              <w:t>生态水位：一般水期</w:t>
            </w:r>
            <w:r>
              <w:rPr>
                <w:rFonts w:ascii="SimSun" w:hAnsi="SimSun" w:eastAsia="SimSun" w:cs="SimSun"/>
                <w:spacing w:val="-10"/>
              </w:rPr>
              <w:t>（）</w:t>
            </w:r>
            <w:r>
              <w:rPr>
                <w:rFonts w:ascii="SimSun" w:hAnsi="SimSun" w:eastAsia="SimSun" w:cs="SimSun"/>
                <w:spacing w:val="-55"/>
              </w:rPr>
              <w:t xml:space="preserve"> </w:t>
            </w:r>
            <w:r>
              <w:rPr>
                <w:spacing w:val="6"/>
              </w:rPr>
              <w:t>m</w:t>
            </w:r>
            <w:r>
              <w:rPr>
                <w:spacing w:val="-23"/>
              </w:rPr>
              <w:t xml:space="preserve"> </w:t>
            </w:r>
            <w:r>
              <w:rPr>
                <w:rFonts w:ascii="SimSun" w:hAnsi="SimSun" w:eastAsia="SimSun" w:cs="SimSun"/>
                <w:spacing w:val="6"/>
              </w:rPr>
              <w:t>；鱼类繁殖期</w:t>
            </w:r>
            <w:r>
              <w:rPr>
                <w:rFonts w:ascii="SimSun" w:hAnsi="SimSun" w:eastAsia="SimSun" w:cs="SimSun"/>
                <w:spacing w:val="-10"/>
              </w:rPr>
              <w:t>（）</w:t>
            </w:r>
            <w:r>
              <w:rPr>
                <w:rFonts w:ascii="SimSun" w:hAnsi="SimSun" w:eastAsia="SimSun" w:cs="SimSun"/>
                <w:spacing w:val="-57"/>
              </w:rPr>
              <w:t xml:space="preserve"> </w:t>
            </w:r>
            <w:r>
              <w:rPr>
                <w:spacing w:val="6"/>
              </w:rPr>
              <w:t>m</w:t>
            </w:r>
            <w:r>
              <w:rPr>
                <w:spacing w:val="-26"/>
              </w:rPr>
              <w:t xml:space="preserve"> </w:t>
            </w:r>
            <w:r>
              <w:rPr>
                <w:rFonts w:ascii="SimSun" w:hAnsi="SimSun" w:eastAsia="SimSun" w:cs="SimSun"/>
                <w:spacing w:val="6"/>
              </w:rPr>
              <w:t>；其他</w:t>
            </w:r>
            <w:r>
              <w:rPr>
                <w:rFonts w:ascii="SimSun" w:hAnsi="SimSun" w:eastAsia="SimSun" w:cs="SimSun"/>
                <w:spacing w:val="-10"/>
              </w:rPr>
              <w:t>（）</w:t>
            </w:r>
            <w:r>
              <w:rPr>
                <w:rFonts w:ascii="SimSun" w:hAnsi="SimSun" w:eastAsia="SimSun" w:cs="SimSun"/>
                <w:spacing w:val="-54"/>
              </w:rPr>
              <w:t xml:space="preserve"> </w:t>
            </w:r>
            <w:r>
              <w:rPr>
                <w:spacing w:val="6"/>
              </w:rPr>
              <w:t>m</w:t>
            </w:r>
          </w:p>
        </w:tc>
      </w:tr>
      <w:tr>
        <w:trPr>
          <w:trHeight w:val="657" w:hRule="atLeast"/>
        </w:trPr>
        <w:tc>
          <w:tcPr>
            <w:tcW w:w="276" w:type="dxa"/>
            <w:vAlign w:val="top"/>
            <w:vMerge w:val="restart"/>
            <w:textDirection w:val="tbRlV"/>
            <w:tcBorders>
              <w:bottom w:val="nil"/>
            </w:tcBorders>
          </w:tcPr>
          <w:p>
            <w:pPr>
              <w:ind w:left="765"/>
              <w:spacing w:before="31" w:line="217" w:lineRule="auto"/>
              <w:rPr>
                <w:rFonts w:ascii="SimSun" w:hAnsi="SimSun" w:eastAsia="SimSun" w:cs="SimSun"/>
                <w:sz w:val="20"/>
                <w:szCs w:val="20"/>
              </w:rPr>
            </w:pPr>
            <w:r>
              <w:rPr>
                <w:rFonts w:ascii="SimSun" w:hAnsi="SimSun" w:eastAsia="SimSun" w:cs="SimSun"/>
                <w:sz w:val="20"/>
                <w:szCs w:val="20"/>
                <w:spacing w:val="8"/>
              </w:rPr>
              <w:t>防</w:t>
            </w:r>
            <w:r>
              <w:rPr>
                <w:rFonts w:ascii="SimSun" w:hAnsi="SimSun" w:eastAsia="SimSun" w:cs="SimSun"/>
                <w:sz w:val="20"/>
                <w:szCs w:val="20"/>
                <w:spacing w:val="19"/>
              </w:rPr>
              <w:t xml:space="preserve"> </w:t>
            </w:r>
            <w:r>
              <w:rPr>
                <w:rFonts w:ascii="SimSun" w:hAnsi="SimSun" w:eastAsia="SimSun" w:cs="SimSun"/>
                <w:sz w:val="20"/>
                <w:szCs w:val="20"/>
                <w:spacing w:val="8"/>
              </w:rPr>
              <w:t>治</w:t>
            </w:r>
            <w:r>
              <w:rPr>
                <w:rFonts w:ascii="SimSun" w:hAnsi="SimSun" w:eastAsia="SimSun" w:cs="SimSun"/>
                <w:sz w:val="20"/>
                <w:szCs w:val="20"/>
                <w:spacing w:val="15"/>
              </w:rPr>
              <w:t xml:space="preserve"> </w:t>
            </w:r>
            <w:r>
              <w:rPr>
                <w:rFonts w:ascii="SimSun" w:hAnsi="SimSun" w:eastAsia="SimSun" w:cs="SimSun"/>
                <w:sz w:val="20"/>
                <w:szCs w:val="20"/>
                <w:spacing w:val="8"/>
              </w:rPr>
              <w:t>措</w:t>
            </w:r>
            <w:r>
              <w:rPr>
                <w:rFonts w:ascii="SimSun" w:hAnsi="SimSun" w:eastAsia="SimSun" w:cs="SimSun"/>
                <w:sz w:val="20"/>
                <w:szCs w:val="20"/>
                <w:spacing w:val="-8"/>
              </w:rPr>
              <w:t xml:space="preserve"> </w:t>
            </w:r>
            <w:r>
              <w:rPr>
                <w:rFonts w:ascii="SimSun" w:hAnsi="SimSun" w:eastAsia="SimSun" w:cs="SimSun"/>
                <w:sz w:val="20"/>
                <w:szCs w:val="20"/>
                <w:spacing w:val="8"/>
              </w:rPr>
              <w:t>施</w:t>
            </w:r>
          </w:p>
        </w:tc>
        <w:tc>
          <w:tcPr>
            <w:tcW w:w="1549" w:type="dxa"/>
            <w:vAlign w:val="top"/>
          </w:tcPr>
          <w:p>
            <w:pPr>
              <w:ind w:left="358"/>
              <w:spacing w:before="225" w:line="228" w:lineRule="auto"/>
              <w:rPr>
                <w:rFonts w:ascii="SimSun" w:hAnsi="SimSun" w:eastAsia="SimSun" w:cs="SimSun"/>
                <w:sz w:val="20"/>
                <w:szCs w:val="20"/>
              </w:rPr>
            </w:pPr>
            <w:r>
              <w:rPr>
                <w:rFonts w:ascii="SimSun" w:hAnsi="SimSun" w:eastAsia="SimSun" w:cs="SimSun"/>
                <w:sz w:val="20"/>
                <w:szCs w:val="20"/>
                <w:spacing w:val="7"/>
              </w:rPr>
              <w:t>环保措施</w:t>
            </w:r>
          </w:p>
        </w:tc>
        <w:tc>
          <w:tcPr>
            <w:tcW w:w="7306" w:type="dxa"/>
            <w:vAlign w:val="top"/>
            <w:gridSpan w:val="6"/>
          </w:tcPr>
          <w:p>
            <w:pPr>
              <w:pStyle w:val="TableText"/>
              <w:ind w:left="32" w:right="30"/>
              <w:spacing w:before="62" w:line="270" w:lineRule="auto"/>
              <w:rPr/>
            </w:pPr>
            <w:r>
              <w:rPr>
                <w:rFonts w:ascii="SimSun" w:hAnsi="SimSun" w:eastAsia="SimSun" w:cs="SimSun"/>
                <w:spacing w:val="5"/>
              </w:rPr>
              <w:t>污水处理设施</w:t>
            </w:r>
            <w:r>
              <w:rPr>
                <w:rFonts w:ascii="MS UI Gothic" w:hAnsi="MS UI Gothic" w:eastAsia="MS UI Gothic" w:cs="MS UI Gothic"/>
                <w:spacing w:val="5"/>
              </w:rPr>
              <w:t>☑</w:t>
            </w:r>
            <w:r>
              <w:rPr>
                <w:rFonts w:ascii="SimSun" w:hAnsi="SimSun" w:eastAsia="SimSun" w:cs="SimSun"/>
                <w:spacing w:val="5"/>
              </w:rPr>
              <w:t>；水文减缓设施</w:t>
            </w:r>
            <w:r>
              <w:rPr>
                <w:spacing w:val="5"/>
              </w:rPr>
              <w:t>□</w:t>
            </w:r>
            <w:r>
              <w:rPr>
                <w:spacing w:val="-12"/>
              </w:rPr>
              <w:t xml:space="preserve"> </w:t>
            </w:r>
            <w:r>
              <w:rPr>
                <w:rFonts w:ascii="SimSun" w:hAnsi="SimSun" w:eastAsia="SimSun" w:cs="SimSun"/>
                <w:spacing w:val="5"/>
              </w:rPr>
              <w:t>；生态流量保障设施</w:t>
            </w:r>
            <w:r>
              <w:rPr>
                <w:spacing w:val="5"/>
              </w:rPr>
              <w:t>□</w:t>
            </w:r>
            <w:r>
              <w:rPr>
                <w:spacing w:val="-23"/>
              </w:rPr>
              <w:t xml:space="preserve"> </w:t>
            </w:r>
            <w:r>
              <w:rPr>
                <w:rFonts w:ascii="SimSun" w:hAnsi="SimSun" w:eastAsia="SimSun" w:cs="SimSun"/>
                <w:spacing w:val="5"/>
              </w:rPr>
              <w:t>；区域削减</w:t>
            </w:r>
            <w:r>
              <w:rPr>
                <w:spacing w:val="5"/>
              </w:rPr>
              <w:t>□</w:t>
            </w:r>
            <w:r>
              <w:rPr>
                <w:spacing w:val="-21"/>
              </w:rPr>
              <w:t xml:space="preserve"> </w:t>
            </w:r>
            <w:r>
              <w:rPr>
                <w:rFonts w:ascii="SimSun" w:hAnsi="SimSun" w:eastAsia="SimSun" w:cs="SimSun"/>
                <w:spacing w:val="5"/>
              </w:rPr>
              <w:t>；依托其他</w:t>
            </w:r>
            <w:r>
              <w:rPr>
                <w:rFonts w:ascii="SimSun" w:hAnsi="SimSun" w:eastAsia="SimSun" w:cs="SimSun"/>
                <w:spacing w:val="4"/>
              </w:rPr>
              <w:t>工程措施</w:t>
            </w:r>
            <w:r>
              <w:rPr>
                <w:spacing w:val="4"/>
              </w:rPr>
              <w:t>□</w:t>
            </w:r>
            <w:r>
              <w:rPr>
                <w:spacing w:val="-18"/>
              </w:rPr>
              <w:t xml:space="preserve"> </w:t>
            </w:r>
            <w:r>
              <w:rPr>
                <w:rFonts w:ascii="SimSun" w:hAnsi="SimSun" w:eastAsia="SimSun" w:cs="SimSun"/>
                <w:spacing w:val="4"/>
              </w:rPr>
              <w:t>；其他</w:t>
            </w:r>
            <w:r>
              <w:rPr>
                <w:spacing w:val="4"/>
              </w:rPr>
              <w:t>□</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restart"/>
            <w:tcBorders>
              <w:bottom w:val="nil"/>
            </w:tcBorders>
          </w:tcPr>
          <w:p>
            <w:pPr>
              <w:spacing w:line="329" w:lineRule="auto"/>
              <w:rPr>
                <w:rFonts w:ascii="Arial"/>
                <w:sz w:val="21"/>
              </w:rPr>
            </w:pPr>
            <w:r/>
          </w:p>
          <w:p>
            <w:pPr>
              <w:spacing w:line="329" w:lineRule="auto"/>
              <w:rPr>
                <w:rFonts w:ascii="Arial"/>
                <w:sz w:val="21"/>
              </w:rPr>
            </w:pPr>
            <w:r/>
          </w:p>
          <w:p>
            <w:pPr>
              <w:ind w:left="359"/>
              <w:spacing w:before="65" w:line="229" w:lineRule="auto"/>
              <w:rPr>
                <w:rFonts w:ascii="SimSun" w:hAnsi="SimSun" w:eastAsia="SimSun" w:cs="SimSun"/>
                <w:sz w:val="20"/>
                <w:szCs w:val="20"/>
              </w:rPr>
            </w:pPr>
            <w:r>
              <w:rPr>
                <w:rFonts w:ascii="SimSun" w:hAnsi="SimSun" w:eastAsia="SimSun" w:cs="SimSun"/>
                <w:sz w:val="20"/>
                <w:szCs w:val="20"/>
                <w:spacing w:val="7"/>
              </w:rPr>
              <w:t>监测计划</w:t>
            </w:r>
          </w:p>
        </w:tc>
        <w:tc>
          <w:tcPr>
            <w:tcW w:w="2065" w:type="dxa"/>
            <w:vAlign w:val="top"/>
            <w:gridSpan w:val="2"/>
          </w:tcPr>
          <w:p>
            <w:pPr>
              <w:rPr>
                <w:rFonts w:ascii="Arial"/>
                <w:sz w:val="21"/>
              </w:rPr>
            </w:pPr>
            <w:r/>
          </w:p>
        </w:tc>
        <w:tc>
          <w:tcPr>
            <w:tcW w:w="2101" w:type="dxa"/>
            <w:vAlign w:val="top"/>
            <w:gridSpan w:val="2"/>
          </w:tcPr>
          <w:p>
            <w:pPr>
              <w:ind w:left="637"/>
              <w:spacing w:before="63" w:line="228" w:lineRule="auto"/>
              <w:rPr>
                <w:rFonts w:ascii="SimSun" w:hAnsi="SimSun" w:eastAsia="SimSun" w:cs="SimSun"/>
                <w:sz w:val="20"/>
                <w:szCs w:val="20"/>
              </w:rPr>
            </w:pPr>
            <w:r>
              <w:rPr>
                <w:rFonts w:ascii="SimSun" w:hAnsi="SimSun" w:eastAsia="SimSun" w:cs="SimSun"/>
                <w:sz w:val="20"/>
                <w:szCs w:val="20"/>
                <w:spacing w:val="7"/>
              </w:rPr>
              <w:t>环境质量</w:t>
            </w:r>
          </w:p>
        </w:tc>
        <w:tc>
          <w:tcPr>
            <w:tcW w:w="3140" w:type="dxa"/>
            <w:vAlign w:val="top"/>
            <w:gridSpan w:val="2"/>
          </w:tcPr>
          <w:p>
            <w:pPr>
              <w:ind w:left="1261"/>
              <w:spacing w:before="63" w:line="228" w:lineRule="auto"/>
              <w:rPr>
                <w:rFonts w:ascii="SimSun" w:hAnsi="SimSun" w:eastAsia="SimSun" w:cs="SimSun"/>
                <w:sz w:val="20"/>
                <w:szCs w:val="20"/>
              </w:rPr>
            </w:pPr>
            <w:r>
              <w:rPr>
                <w:rFonts w:ascii="SimSun" w:hAnsi="SimSun" w:eastAsia="SimSun" w:cs="SimSun"/>
                <w:sz w:val="20"/>
                <w:szCs w:val="20"/>
                <w:spacing w:val="6"/>
              </w:rPr>
              <w:t>污染源</w:t>
            </w:r>
          </w:p>
        </w:tc>
      </w:tr>
      <w:tr>
        <w:trPr>
          <w:trHeight w:val="657"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ind w:left="617"/>
              <w:spacing w:before="225" w:line="227" w:lineRule="auto"/>
              <w:rPr>
                <w:rFonts w:ascii="SimSun" w:hAnsi="SimSun" w:eastAsia="SimSun" w:cs="SimSun"/>
                <w:sz w:val="20"/>
                <w:szCs w:val="20"/>
              </w:rPr>
            </w:pPr>
            <w:r>
              <w:rPr>
                <w:rFonts w:ascii="SimSun" w:hAnsi="SimSun" w:eastAsia="SimSun" w:cs="SimSun"/>
                <w:sz w:val="20"/>
                <w:szCs w:val="20"/>
                <w:spacing w:val="7"/>
              </w:rPr>
              <w:t>监测方式</w:t>
            </w:r>
          </w:p>
        </w:tc>
        <w:tc>
          <w:tcPr>
            <w:tcW w:w="2101" w:type="dxa"/>
            <w:vAlign w:val="top"/>
            <w:gridSpan w:val="2"/>
          </w:tcPr>
          <w:p>
            <w:pPr>
              <w:pStyle w:val="TableText"/>
              <w:ind w:left="32"/>
              <w:spacing w:before="63" w:line="228" w:lineRule="auto"/>
              <w:rPr>
                <w:rFonts w:ascii="SimSun" w:hAnsi="SimSun" w:eastAsia="SimSun" w:cs="SimSun"/>
              </w:rPr>
            </w:pPr>
            <w:r>
              <w:rPr>
                <w:rFonts w:ascii="SimSun" w:hAnsi="SimSun" w:eastAsia="SimSun" w:cs="SimSun"/>
                <w:spacing w:val="-3"/>
              </w:rPr>
              <w:t>手动</w:t>
            </w:r>
            <w:r>
              <w:rPr>
                <w:spacing w:val="-3"/>
              </w:rPr>
              <w:t>□</w:t>
            </w:r>
            <w:r>
              <w:rPr>
                <w:spacing w:val="-23"/>
              </w:rPr>
              <w:t xml:space="preserve"> </w:t>
            </w:r>
            <w:r>
              <w:rPr>
                <w:rFonts w:ascii="SimSun" w:hAnsi="SimSun" w:eastAsia="SimSun" w:cs="SimSun"/>
                <w:spacing w:val="-3"/>
              </w:rPr>
              <w:t>；自动</w:t>
            </w:r>
            <w:r>
              <w:rPr>
                <w:spacing w:val="-3"/>
              </w:rPr>
              <w:t>□</w:t>
            </w:r>
            <w:r>
              <w:rPr>
                <w:rFonts w:ascii="SimSun" w:hAnsi="SimSun" w:eastAsia="SimSun" w:cs="SimSun"/>
                <w:spacing w:val="-3"/>
              </w:rPr>
              <w:t>；无监测</w:t>
            </w:r>
          </w:p>
          <w:p>
            <w:pPr>
              <w:pStyle w:val="TableText"/>
              <w:ind w:left="39"/>
              <w:spacing w:before="160" w:line="141" w:lineRule="exact"/>
              <w:rPr/>
            </w:pPr>
            <w:r>
              <w:rPr/>
              <w:t>□</w:t>
            </w:r>
          </w:p>
        </w:tc>
        <w:tc>
          <w:tcPr>
            <w:tcW w:w="3140" w:type="dxa"/>
            <w:vAlign w:val="top"/>
            <w:gridSpan w:val="2"/>
          </w:tcPr>
          <w:p>
            <w:pPr>
              <w:pStyle w:val="TableText"/>
              <w:ind w:left="36"/>
              <w:spacing w:before="226" w:line="228" w:lineRule="auto"/>
              <w:rPr/>
            </w:pPr>
            <w:r>
              <w:rPr>
                <w:rFonts w:ascii="SimSun" w:hAnsi="SimSun" w:eastAsia="SimSun" w:cs="SimSun"/>
                <w:spacing w:val="2"/>
              </w:rPr>
              <w:t>手动</w:t>
            </w:r>
            <w:r>
              <w:rPr>
                <w:rFonts w:ascii="MS UI Gothic" w:hAnsi="MS UI Gothic" w:eastAsia="MS UI Gothic" w:cs="MS UI Gothic"/>
                <w:spacing w:val="2"/>
              </w:rPr>
              <w:t>☑</w:t>
            </w:r>
            <w:r>
              <w:rPr>
                <w:rFonts w:ascii="SimSun" w:hAnsi="SimSun" w:eastAsia="SimSun" w:cs="SimSun"/>
                <w:spacing w:val="2"/>
              </w:rPr>
              <w:t>；</w:t>
            </w:r>
            <w:r>
              <w:rPr>
                <w:rFonts w:ascii="SimSun" w:hAnsi="SimSun" w:eastAsia="SimSun" w:cs="SimSun"/>
                <w:spacing w:val="-49"/>
              </w:rPr>
              <w:t xml:space="preserve"> </w:t>
            </w:r>
            <w:r>
              <w:rPr>
                <w:rFonts w:ascii="SimSun" w:hAnsi="SimSun" w:eastAsia="SimSun" w:cs="SimSun"/>
                <w:spacing w:val="2"/>
              </w:rPr>
              <w:t>自动</w:t>
            </w:r>
            <w:r>
              <w:rPr>
                <w:spacing w:val="2"/>
              </w:rPr>
              <w:t>□</w:t>
            </w:r>
            <w:r>
              <w:rPr>
                <w:spacing w:val="-25"/>
              </w:rPr>
              <w:t xml:space="preserve"> </w:t>
            </w:r>
            <w:r>
              <w:rPr>
                <w:rFonts w:ascii="SimSun" w:hAnsi="SimSun" w:eastAsia="SimSun" w:cs="SimSun"/>
                <w:spacing w:val="2"/>
              </w:rPr>
              <w:t>；无监测</w:t>
            </w:r>
            <w:r>
              <w:rPr>
                <w:spacing w:val="2"/>
              </w:rPr>
              <w:t>□</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bottom w:val="nil"/>
            </w:tcBorders>
          </w:tcPr>
          <w:p>
            <w:pPr>
              <w:rPr>
                <w:rFonts w:ascii="Arial"/>
                <w:sz w:val="21"/>
              </w:rPr>
            </w:pPr>
            <w:r/>
          </w:p>
        </w:tc>
        <w:tc>
          <w:tcPr>
            <w:tcW w:w="2065" w:type="dxa"/>
            <w:vAlign w:val="top"/>
            <w:gridSpan w:val="2"/>
          </w:tcPr>
          <w:p>
            <w:pPr>
              <w:ind w:left="617"/>
              <w:spacing w:before="63" w:line="228" w:lineRule="auto"/>
              <w:rPr>
                <w:rFonts w:ascii="SimSun" w:hAnsi="SimSun" w:eastAsia="SimSun" w:cs="SimSun"/>
                <w:sz w:val="20"/>
                <w:szCs w:val="20"/>
              </w:rPr>
            </w:pPr>
            <w:r>
              <w:rPr>
                <w:rFonts w:ascii="SimSun" w:hAnsi="SimSun" w:eastAsia="SimSun" w:cs="SimSun"/>
                <w:sz w:val="20"/>
                <w:szCs w:val="20"/>
                <w:spacing w:val="7"/>
              </w:rPr>
              <w:t>监测点位</w:t>
            </w:r>
          </w:p>
        </w:tc>
        <w:tc>
          <w:tcPr>
            <w:tcW w:w="2101" w:type="dxa"/>
            <w:vAlign w:val="top"/>
            <w:gridSpan w:val="2"/>
          </w:tcPr>
          <w:p>
            <w:pPr>
              <w:pStyle w:val="TableText"/>
              <w:ind w:left="42"/>
              <w:spacing w:before="63" w:line="238" w:lineRule="auto"/>
              <w:rPr>
                <w:rFonts w:ascii="SimSun" w:hAnsi="SimSun" w:eastAsia="SimSun" w:cs="SimSun"/>
              </w:rPr>
            </w:pPr>
            <w:r>
              <w:rPr>
                <w:rFonts w:ascii="SimSun" w:hAnsi="SimSun" w:eastAsia="SimSun" w:cs="SimSun"/>
                <w:spacing w:val="-2"/>
              </w:rPr>
              <w:t>（</w:t>
            </w:r>
            <w:r>
              <w:rPr>
                <w:spacing w:val="-2"/>
              </w:rPr>
              <w:t>/</w:t>
            </w:r>
            <w:r>
              <w:rPr>
                <w:rFonts w:ascii="SimSun" w:hAnsi="SimSun" w:eastAsia="SimSun" w:cs="SimSun"/>
                <w:spacing w:val="-2"/>
              </w:rPr>
              <w:t>）</w:t>
            </w:r>
          </w:p>
        </w:tc>
        <w:tc>
          <w:tcPr>
            <w:tcW w:w="3140" w:type="dxa"/>
            <w:vAlign w:val="top"/>
            <w:gridSpan w:val="2"/>
          </w:tcPr>
          <w:p>
            <w:pPr>
              <w:pStyle w:val="TableText"/>
              <w:ind w:left="46"/>
              <w:spacing w:before="63" w:line="238" w:lineRule="auto"/>
              <w:rPr>
                <w:rFonts w:ascii="SimSun" w:hAnsi="SimSun" w:eastAsia="SimSun" w:cs="SimSun"/>
              </w:rPr>
            </w:pPr>
            <w:r>
              <w:rPr>
                <w:rFonts w:ascii="SimSun" w:hAnsi="SimSun" w:eastAsia="SimSun" w:cs="SimSun"/>
                <w:spacing w:val="-3"/>
              </w:rPr>
              <w:t>（</w:t>
            </w:r>
            <w:r>
              <w:rPr>
                <w:spacing w:val="-3"/>
              </w:rPr>
              <w:t>/</w:t>
            </w:r>
            <w:r>
              <w:rPr>
                <w:rFonts w:ascii="SimSun" w:hAnsi="SimSun" w:eastAsia="SimSun" w:cs="SimSun"/>
                <w:spacing w:val="-3"/>
              </w:rPr>
              <w:t>）</w:t>
            </w:r>
          </w:p>
        </w:tc>
      </w:tr>
      <w:tr>
        <w:trPr>
          <w:trHeight w:val="331" w:hRule="atLeast"/>
        </w:trPr>
        <w:tc>
          <w:tcPr>
            <w:tcW w:w="276" w:type="dxa"/>
            <w:vAlign w:val="top"/>
            <w:vMerge w:val="continue"/>
            <w:textDirection w:val="tbRlV"/>
            <w:tcBorders>
              <w:top w:val="nil"/>
              <w:bottom w:val="nil"/>
            </w:tcBorders>
          </w:tcPr>
          <w:p>
            <w:pPr>
              <w:rPr>
                <w:rFonts w:ascii="Arial"/>
                <w:sz w:val="21"/>
              </w:rPr>
            </w:pPr>
            <w:r/>
          </w:p>
        </w:tc>
        <w:tc>
          <w:tcPr>
            <w:tcW w:w="1549" w:type="dxa"/>
            <w:vAlign w:val="top"/>
            <w:vMerge w:val="continue"/>
            <w:tcBorders>
              <w:top w:val="nil"/>
            </w:tcBorders>
          </w:tcPr>
          <w:p>
            <w:pPr>
              <w:rPr>
                <w:rFonts w:ascii="Arial"/>
                <w:sz w:val="21"/>
              </w:rPr>
            </w:pPr>
            <w:r/>
          </w:p>
        </w:tc>
        <w:tc>
          <w:tcPr>
            <w:tcW w:w="2065" w:type="dxa"/>
            <w:vAlign w:val="top"/>
            <w:gridSpan w:val="2"/>
          </w:tcPr>
          <w:p>
            <w:pPr>
              <w:ind w:left="617"/>
              <w:spacing w:before="63" w:line="228" w:lineRule="auto"/>
              <w:rPr>
                <w:rFonts w:ascii="SimSun" w:hAnsi="SimSun" w:eastAsia="SimSun" w:cs="SimSun"/>
                <w:sz w:val="20"/>
                <w:szCs w:val="20"/>
              </w:rPr>
            </w:pPr>
            <w:r>
              <w:rPr>
                <w:rFonts w:ascii="SimSun" w:hAnsi="SimSun" w:eastAsia="SimSun" w:cs="SimSun"/>
                <w:sz w:val="20"/>
                <w:szCs w:val="20"/>
                <w:spacing w:val="7"/>
              </w:rPr>
              <w:t>监测因子</w:t>
            </w:r>
          </w:p>
        </w:tc>
        <w:tc>
          <w:tcPr>
            <w:tcW w:w="2101" w:type="dxa"/>
            <w:vAlign w:val="top"/>
            <w:gridSpan w:val="2"/>
          </w:tcPr>
          <w:p>
            <w:pPr>
              <w:pStyle w:val="TableText"/>
              <w:ind w:left="42"/>
              <w:spacing w:before="63" w:line="238" w:lineRule="auto"/>
              <w:rPr>
                <w:rFonts w:ascii="SimSun" w:hAnsi="SimSun" w:eastAsia="SimSun" w:cs="SimSun"/>
              </w:rPr>
            </w:pPr>
            <w:r>
              <w:rPr>
                <w:rFonts w:ascii="SimSun" w:hAnsi="SimSun" w:eastAsia="SimSun" w:cs="SimSun"/>
                <w:spacing w:val="-2"/>
              </w:rPr>
              <w:t>（</w:t>
            </w:r>
            <w:r>
              <w:rPr>
                <w:spacing w:val="-2"/>
              </w:rPr>
              <w:t>/</w:t>
            </w:r>
            <w:r>
              <w:rPr>
                <w:rFonts w:ascii="SimSun" w:hAnsi="SimSun" w:eastAsia="SimSun" w:cs="SimSun"/>
                <w:spacing w:val="-2"/>
              </w:rPr>
              <w:t>）</w:t>
            </w:r>
          </w:p>
        </w:tc>
        <w:tc>
          <w:tcPr>
            <w:tcW w:w="3140" w:type="dxa"/>
            <w:vAlign w:val="top"/>
            <w:gridSpan w:val="2"/>
          </w:tcPr>
          <w:p>
            <w:pPr>
              <w:pStyle w:val="TableText"/>
              <w:ind w:left="46"/>
              <w:spacing w:before="63" w:line="238" w:lineRule="auto"/>
              <w:rPr>
                <w:rFonts w:ascii="SimSun" w:hAnsi="SimSun" w:eastAsia="SimSun" w:cs="SimSun"/>
              </w:rPr>
            </w:pPr>
            <w:r>
              <w:rPr>
                <w:rFonts w:ascii="SimSun" w:hAnsi="SimSun" w:eastAsia="SimSun" w:cs="SimSun"/>
                <w:spacing w:val="-3"/>
              </w:rPr>
              <w:t>（</w:t>
            </w:r>
            <w:r>
              <w:rPr>
                <w:spacing w:val="-3"/>
              </w:rPr>
              <w:t>/</w:t>
            </w:r>
            <w:r>
              <w:rPr>
                <w:rFonts w:ascii="SimSun" w:hAnsi="SimSun" w:eastAsia="SimSun" w:cs="SimSun"/>
                <w:spacing w:val="-3"/>
              </w:rPr>
              <w:t>）</w:t>
            </w:r>
          </w:p>
        </w:tc>
      </w:tr>
      <w:tr>
        <w:trPr>
          <w:trHeight w:val="331" w:hRule="atLeast"/>
        </w:trPr>
        <w:tc>
          <w:tcPr>
            <w:tcW w:w="276" w:type="dxa"/>
            <w:vAlign w:val="top"/>
            <w:vMerge w:val="continue"/>
            <w:textDirection w:val="tbRlV"/>
            <w:tcBorders>
              <w:top w:val="nil"/>
            </w:tcBorders>
          </w:tcPr>
          <w:p>
            <w:pPr>
              <w:rPr>
                <w:rFonts w:ascii="Arial"/>
                <w:sz w:val="21"/>
              </w:rPr>
            </w:pPr>
            <w:r/>
          </w:p>
        </w:tc>
        <w:tc>
          <w:tcPr>
            <w:tcW w:w="1549" w:type="dxa"/>
            <w:vAlign w:val="top"/>
          </w:tcPr>
          <w:p>
            <w:pPr>
              <w:ind w:left="43"/>
              <w:spacing w:before="63" w:line="228" w:lineRule="auto"/>
              <w:rPr>
                <w:rFonts w:ascii="SimSun" w:hAnsi="SimSun" w:eastAsia="SimSun" w:cs="SimSun"/>
                <w:sz w:val="20"/>
                <w:szCs w:val="20"/>
              </w:rPr>
            </w:pPr>
            <w:r>
              <w:rPr>
                <w:rFonts w:ascii="SimSun" w:hAnsi="SimSun" w:eastAsia="SimSun" w:cs="SimSun"/>
                <w:sz w:val="20"/>
                <w:szCs w:val="20"/>
                <w:spacing w:val="8"/>
              </w:rPr>
              <w:t>污染物排放清单</w:t>
            </w:r>
          </w:p>
        </w:tc>
        <w:tc>
          <w:tcPr>
            <w:tcW w:w="7306" w:type="dxa"/>
            <w:vAlign w:val="top"/>
            <w:gridSpan w:val="6"/>
          </w:tcPr>
          <w:p>
            <w:pPr>
              <w:pStyle w:val="TableText"/>
              <w:ind w:left="26"/>
              <w:spacing w:before="101" w:line="192" w:lineRule="auto"/>
              <w:rPr/>
            </w:pPr>
            <w:r>
              <w:rPr>
                <w:spacing w:val="4"/>
              </w:rPr>
              <w:t>R</w:t>
            </w:r>
          </w:p>
        </w:tc>
      </w:tr>
      <w:tr>
        <w:trPr>
          <w:trHeight w:val="331" w:hRule="atLeast"/>
        </w:trPr>
        <w:tc>
          <w:tcPr>
            <w:tcW w:w="1825" w:type="dxa"/>
            <w:vAlign w:val="top"/>
            <w:gridSpan w:val="2"/>
          </w:tcPr>
          <w:p>
            <w:pPr>
              <w:ind w:left="496"/>
              <w:spacing w:before="63" w:line="226" w:lineRule="auto"/>
              <w:rPr>
                <w:rFonts w:ascii="SimSun" w:hAnsi="SimSun" w:eastAsia="SimSun" w:cs="SimSun"/>
                <w:sz w:val="20"/>
                <w:szCs w:val="20"/>
              </w:rPr>
            </w:pPr>
            <w:r>
              <w:rPr>
                <w:rFonts w:ascii="SimSun" w:hAnsi="SimSun" w:eastAsia="SimSun" w:cs="SimSun"/>
                <w:sz w:val="20"/>
                <w:szCs w:val="20"/>
                <w:spacing w:val="7"/>
              </w:rPr>
              <w:t>评价结论</w:t>
            </w:r>
          </w:p>
        </w:tc>
        <w:tc>
          <w:tcPr>
            <w:tcW w:w="7306" w:type="dxa"/>
            <w:vAlign w:val="top"/>
            <w:gridSpan w:val="6"/>
          </w:tcPr>
          <w:p>
            <w:pPr>
              <w:pStyle w:val="TableText"/>
              <w:ind w:left="32"/>
              <w:spacing w:before="62" w:line="228" w:lineRule="auto"/>
              <w:rPr/>
            </w:pPr>
            <w:r>
              <w:rPr>
                <w:rFonts w:ascii="SimSun" w:hAnsi="SimSun" w:eastAsia="SimSun" w:cs="SimSun"/>
                <w:spacing w:val="8"/>
              </w:rPr>
              <w:t>可以接受</w:t>
            </w:r>
            <w:r>
              <w:rPr>
                <w:rFonts w:ascii="MS UI Gothic" w:hAnsi="MS UI Gothic" w:eastAsia="MS UI Gothic" w:cs="MS UI Gothic"/>
                <w:spacing w:val="8"/>
              </w:rPr>
              <w:t>☑</w:t>
            </w:r>
            <w:r>
              <w:rPr>
                <w:rFonts w:ascii="SimSun" w:hAnsi="SimSun" w:eastAsia="SimSun" w:cs="SimSun"/>
                <w:spacing w:val="8"/>
              </w:rPr>
              <w:t>；不可以接受</w:t>
            </w:r>
            <w:r>
              <w:rPr>
                <w:spacing w:val="8"/>
              </w:rPr>
              <w:t>□</w:t>
            </w:r>
          </w:p>
        </w:tc>
      </w:tr>
      <w:tr>
        <w:trPr>
          <w:trHeight w:val="283" w:hRule="atLeast"/>
        </w:trPr>
        <w:tc>
          <w:tcPr>
            <w:tcW w:w="9131" w:type="dxa"/>
            <w:vAlign w:val="top"/>
            <w:gridSpan w:val="8"/>
          </w:tcPr>
          <w:p>
            <w:pPr>
              <w:pStyle w:val="TableText"/>
              <w:ind w:left="34"/>
              <w:spacing w:line="272" w:lineRule="exact"/>
              <w:rPr>
                <w:rFonts w:ascii="SimSun" w:hAnsi="SimSun" w:eastAsia="SimSun" w:cs="SimSun"/>
              </w:rPr>
            </w:pPr>
            <w:r>
              <w:rPr>
                <w:rFonts w:ascii="SimSun" w:hAnsi="SimSun" w:eastAsia="SimSun" w:cs="SimSun"/>
                <w:spacing w:val="5"/>
              </w:rPr>
              <w:t>注：</w:t>
            </w:r>
            <w:r>
              <w:rPr>
                <w:spacing w:val="5"/>
              </w:rPr>
              <w:t>“</w:t>
            </w:r>
            <w:r>
              <w:rPr>
                <w:spacing w:val="-31"/>
              </w:rPr>
              <w:t xml:space="preserve"> </w:t>
            </w:r>
            <w:r>
              <w:rPr>
                <w:spacing w:val="5"/>
              </w:rPr>
              <w:t>□”</w:t>
            </w:r>
            <w:r>
              <w:rPr>
                <w:rFonts w:ascii="SimSun" w:hAnsi="SimSun" w:eastAsia="SimSun" w:cs="SimSun"/>
                <w:spacing w:val="5"/>
              </w:rPr>
              <w:t>为勾选项，可</w:t>
            </w:r>
            <w:r>
              <w:rPr>
                <w:spacing w:val="5"/>
              </w:rPr>
              <w:t>√</w:t>
            </w:r>
            <w:r>
              <w:rPr>
                <w:spacing w:val="-21"/>
              </w:rPr>
              <w:t xml:space="preserve"> </w:t>
            </w:r>
            <w:r>
              <w:rPr>
                <w:rFonts w:ascii="SimSun" w:hAnsi="SimSun" w:eastAsia="SimSun" w:cs="SimSun"/>
                <w:spacing w:val="5"/>
              </w:rPr>
              <w:t>;</w:t>
            </w:r>
            <w:r>
              <w:rPr>
                <w:rFonts w:ascii="SimSun" w:hAnsi="SimSun" w:eastAsia="SimSun" w:cs="SimSun"/>
                <w:spacing w:val="59"/>
              </w:rPr>
              <w:t xml:space="preserve"> </w:t>
            </w:r>
            <w:r>
              <w:rPr>
                <w:spacing w:val="5"/>
              </w:rPr>
              <w:t>“  </w:t>
            </w:r>
            <w:r>
              <w:rPr>
                <w:rFonts w:ascii="SimSun" w:hAnsi="SimSun" w:eastAsia="SimSun" w:cs="SimSun"/>
                <w:spacing w:val="5"/>
              </w:rPr>
              <w:t>() </w:t>
            </w:r>
            <w:r>
              <w:rPr>
                <w:spacing w:val="5"/>
              </w:rPr>
              <w:t>”</w:t>
            </w:r>
            <w:r>
              <w:rPr>
                <w:rFonts w:ascii="SimSun" w:hAnsi="SimSun" w:eastAsia="SimSun" w:cs="SimSun"/>
                <w:spacing w:val="5"/>
              </w:rPr>
              <w:t>为内容填写项；</w:t>
            </w:r>
            <w:r>
              <w:rPr>
                <w:spacing w:val="5"/>
              </w:rPr>
              <w:t>“</w:t>
            </w:r>
            <w:r>
              <w:rPr>
                <w:rFonts w:ascii="SimSun" w:hAnsi="SimSun" w:eastAsia="SimSun" w:cs="SimSun"/>
                <w:spacing w:val="5"/>
              </w:rPr>
              <w:t>备注</w:t>
            </w:r>
            <w:r>
              <w:rPr>
                <w:spacing w:val="5"/>
              </w:rPr>
              <w:t>”</w:t>
            </w:r>
            <w:r>
              <w:rPr>
                <w:rFonts w:ascii="SimSun" w:hAnsi="SimSun" w:eastAsia="SimSun" w:cs="SimSun"/>
                <w:spacing w:val="5"/>
              </w:rPr>
              <w:t>为其他补充内</w:t>
            </w:r>
            <w:r>
              <w:rPr>
                <w:rFonts w:ascii="SimSun" w:hAnsi="SimSun" w:eastAsia="SimSun" w:cs="SimSun"/>
                <w:spacing w:val="4"/>
              </w:rPr>
              <w:t>容。</w:t>
            </w:r>
          </w:p>
        </w:tc>
      </w:tr>
    </w:tbl>
    <w:p>
      <w:pPr>
        <w:pStyle w:val="BodyText"/>
        <w:spacing w:line="279" w:lineRule="auto"/>
        <w:rPr/>
      </w:pPr>
      <w:r/>
    </w:p>
    <w:p>
      <w:pPr>
        <w:pStyle w:val="BodyText"/>
        <w:spacing w:line="280" w:lineRule="auto"/>
        <w:rPr/>
      </w:pPr>
      <w:r/>
    </w:p>
    <w:p>
      <w:pPr>
        <w:ind w:left="41"/>
        <w:spacing w:before="98" w:line="222" w:lineRule="auto"/>
        <w:outlineLvl w:val="1"/>
        <w:rPr>
          <w:rFonts w:ascii="SimHei" w:hAnsi="SimHei" w:eastAsia="SimHei" w:cs="SimHei"/>
          <w:sz w:val="30"/>
          <w:szCs w:val="30"/>
        </w:rPr>
      </w:pPr>
      <w:bookmarkStart w:name="bookmark31" w:id="54"/>
      <w:bookmarkEnd w:id="54"/>
      <w:r>
        <w:rPr>
          <w:rFonts w:ascii="Times New Roman" w:hAnsi="Times New Roman" w:eastAsia="Times New Roman" w:cs="Times New Roman"/>
          <w:sz w:val="30"/>
          <w:szCs w:val="30"/>
          <w:b/>
          <w:bCs/>
          <w:spacing w:val="-3"/>
        </w:rPr>
        <w:t>5.4  </w:t>
      </w:r>
      <w:r>
        <w:rPr>
          <w:rFonts w:ascii="SimHei" w:hAnsi="SimHei" w:eastAsia="SimHei" w:cs="SimHei"/>
          <w:sz w:val="30"/>
          <w:szCs w:val="30"/>
          <w:b/>
          <w:bCs/>
          <w:spacing w:val="-3"/>
        </w:rPr>
        <w:t>地下水环境影响预测与评价</w:t>
      </w:r>
    </w:p>
    <w:p>
      <w:pPr>
        <w:ind w:left="64"/>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5.4.1</w:t>
      </w:r>
      <w:r>
        <w:rPr>
          <w:rFonts w:ascii="SimHei" w:hAnsi="SimHei" w:eastAsia="SimHei" w:cs="SimHei"/>
          <w:sz w:val="28"/>
          <w:szCs w:val="28"/>
          <w:b/>
          <w:bCs/>
          <w:spacing w:val="-2"/>
        </w:rPr>
        <w:t>区域地质及矿田地质</w:t>
      </w:r>
    </w:p>
    <w:p>
      <w:pPr>
        <w:ind w:left="39"/>
        <w:spacing w:before="16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5.4.1.1</w:t>
      </w:r>
      <w:r>
        <w:rPr>
          <w:rFonts w:ascii="SimHei" w:hAnsi="SimHei" w:eastAsia="SimHei" w:cs="SimHei"/>
          <w:sz w:val="24"/>
          <w:szCs w:val="24"/>
          <w:b/>
          <w:bCs/>
          <w:spacing w:val="-2"/>
        </w:rPr>
        <w:t>区域地层及构造</w:t>
      </w:r>
    </w:p>
    <w:p>
      <w:pPr>
        <w:ind w:left="539"/>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、区域地层</w:t>
      </w:r>
    </w:p>
    <w:p>
      <w:pPr>
        <w:ind w:left="52" w:right="33" w:firstLine="502"/>
        <w:spacing w:before="156" w:line="339" w:lineRule="auto"/>
        <w:rPr>
          <w:rFonts w:ascii="SimSun" w:hAnsi="SimSun" w:eastAsia="SimSun" w:cs="SimSun"/>
          <w:sz w:val="24"/>
          <w:szCs w:val="24"/>
        </w:rPr>
      </w:pPr>
      <w:r>
        <w:rPr>
          <w:rFonts w:ascii="SimSun" w:hAnsi="SimSun" w:eastAsia="SimSun" w:cs="SimSun"/>
          <w:sz w:val="24"/>
          <w:szCs w:val="24"/>
          <w:spacing w:val="-3"/>
        </w:rPr>
        <w:t>白音华煤田为隐伏煤田。根据《内蒙古自治区岩石地层》分区，本区内出主要为中</w:t>
      </w:r>
      <w:r>
        <w:rPr>
          <w:rFonts w:ascii="SimSun" w:hAnsi="SimSun" w:eastAsia="SimSun" w:cs="SimSun"/>
          <w:sz w:val="24"/>
          <w:szCs w:val="24"/>
          <w:spacing w:val="-2"/>
        </w:rPr>
        <w:t>晚元古代及古生代地层，属于北疆</w:t>
      </w:r>
      <w:r>
        <w:rPr>
          <w:rFonts w:ascii="Times New Roman" w:hAnsi="Times New Roman" w:eastAsia="Times New Roman" w:cs="Times New Roman"/>
          <w:sz w:val="24"/>
          <w:szCs w:val="24"/>
          <w:spacing w:val="-2"/>
        </w:rPr>
        <w:t>—</w:t>
      </w:r>
      <w:r>
        <w:rPr>
          <w:rFonts w:ascii="SimSun" w:hAnsi="SimSun" w:eastAsia="SimSun" w:cs="SimSun"/>
          <w:sz w:val="24"/>
          <w:szCs w:val="24"/>
          <w:spacing w:val="-2"/>
        </w:rPr>
        <w:t>兴安地层</w:t>
      </w:r>
      <w:r>
        <w:rPr>
          <w:rFonts w:ascii="SimSun" w:hAnsi="SimSun" w:eastAsia="SimSun" w:cs="SimSun"/>
          <w:sz w:val="24"/>
          <w:szCs w:val="24"/>
          <w:spacing w:val="-3"/>
        </w:rPr>
        <w:t>大区（</w:t>
      </w:r>
      <w:r>
        <w:rPr>
          <w:rFonts w:ascii="Times New Roman" w:hAnsi="Times New Roman" w:eastAsia="Times New Roman" w:cs="Times New Roman"/>
          <w:sz w:val="24"/>
          <w:szCs w:val="24"/>
          <w:spacing w:val="-3"/>
        </w:rPr>
        <w:t>I</w:t>
      </w:r>
      <w:r>
        <w:rPr>
          <w:rFonts w:ascii="SimSun" w:hAnsi="SimSun" w:eastAsia="SimSun" w:cs="SimSun"/>
          <w:sz w:val="24"/>
          <w:szCs w:val="24"/>
          <w:spacing w:val="-3"/>
        </w:rPr>
        <w:t>）兴安地层区（</w:t>
      </w:r>
      <w:r>
        <w:rPr>
          <w:rFonts w:ascii="Times New Roman" w:hAnsi="Times New Roman" w:eastAsia="Times New Roman" w:cs="Times New Roman"/>
          <w:sz w:val="24"/>
          <w:szCs w:val="24"/>
          <w:spacing w:val="-3"/>
        </w:rPr>
        <w:t>I</w:t>
      </w:r>
      <w:r>
        <w:rPr>
          <w:rFonts w:ascii="Times New Roman" w:hAnsi="Times New Roman" w:eastAsia="Times New Roman" w:cs="Times New Roman"/>
          <w:sz w:val="15"/>
          <w:szCs w:val="15"/>
          <w:spacing w:val="-3"/>
          <w:position w:val="-1"/>
        </w:rPr>
        <w:t>2 </w:t>
      </w:r>
      <w:r>
        <w:rPr>
          <w:rFonts w:ascii="SimSun" w:hAnsi="SimSun" w:eastAsia="SimSun" w:cs="SimSun"/>
          <w:sz w:val="24"/>
          <w:szCs w:val="24"/>
          <w:spacing w:val="-3"/>
        </w:rPr>
        <w:t>）中的东乌</w:t>
      </w:r>
      <w:r>
        <w:rPr>
          <w:rFonts w:ascii="Times New Roman" w:hAnsi="Times New Roman" w:eastAsia="Times New Roman" w:cs="Times New Roman"/>
          <w:sz w:val="24"/>
          <w:szCs w:val="24"/>
          <w:spacing w:val="-3"/>
        </w:rPr>
        <w:t>—</w:t>
      </w:r>
      <w:r>
        <w:rPr>
          <w:rFonts w:ascii="SimSun" w:hAnsi="SimSun" w:eastAsia="SimSun" w:cs="SimSun"/>
          <w:sz w:val="24"/>
          <w:szCs w:val="24"/>
          <w:spacing w:val="-3"/>
        </w:rPr>
        <w:t>呼</w:t>
      </w:r>
    </w:p>
    <w:p>
      <w:pPr>
        <w:spacing w:line="339" w:lineRule="auto"/>
        <w:sectPr>
          <w:footerReference w:type="default" r:id="rId402"/>
          <w:pgSz w:w="11906" w:h="16838"/>
          <w:pgMar w:top="1170" w:right="1383" w:bottom="1080" w:left="1384" w:header="837" w:footer="918" w:gutter="0"/>
        </w:sectPr>
        <w:rPr>
          <w:rFonts w:ascii="SimSun" w:hAnsi="SimSun" w:eastAsia="SimSun" w:cs="SimSun"/>
          <w:sz w:val="24"/>
          <w:szCs w:val="24"/>
        </w:rPr>
      </w:pPr>
    </w:p>
    <w:p>
      <w:pPr>
        <w:pStyle w:val="BodyText"/>
        <w:spacing w:line="313" w:lineRule="auto"/>
        <w:rPr/>
      </w:pPr>
      <w:r/>
    </w:p>
    <w:p>
      <w:pPr>
        <w:ind w:left="136" w:right="191" w:hanging="15"/>
        <w:spacing w:before="78" w:line="283" w:lineRule="auto"/>
        <w:rPr>
          <w:rFonts w:ascii="SimSun" w:hAnsi="SimSun" w:eastAsia="SimSun" w:cs="SimSun"/>
          <w:sz w:val="24"/>
          <w:szCs w:val="24"/>
        </w:rPr>
      </w:pPr>
      <w:r>
        <w:rPr>
          <w:rFonts w:ascii="SimSun" w:hAnsi="SimSun" w:eastAsia="SimSun" w:cs="SimSun"/>
          <w:sz w:val="24"/>
          <w:szCs w:val="24"/>
          <w:spacing w:val="1"/>
        </w:rPr>
        <w:t>玛地层分区（</w:t>
      </w:r>
      <w:r>
        <w:rPr>
          <w:rFonts w:ascii="Times New Roman" w:hAnsi="Times New Roman" w:eastAsia="Times New Roman" w:cs="Times New Roman"/>
          <w:sz w:val="24"/>
          <w:szCs w:val="24"/>
          <w:spacing w:val="1"/>
        </w:rPr>
        <w:t>I</w:t>
      </w:r>
      <w:r>
        <w:rPr>
          <w:rFonts w:ascii="Times New Roman" w:hAnsi="Times New Roman" w:eastAsia="Times New Roman" w:cs="Times New Roman"/>
          <w:sz w:val="15"/>
          <w:szCs w:val="15"/>
          <w:spacing w:val="1"/>
          <w:position w:val="-1"/>
        </w:rPr>
        <w:t>2</w:t>
      </w:r>
      <w:r>
        <w:rPr>
          <w:rFonts w:ascii="Times New Roman" w:hAnsi="Times New Roman" w:eastAsia="Times New Roman" w:cs="Times New Roman"/>
          <w:sz w:val="15"/>
          <w:szCs w:val="15"/>
          <w:spacing w:val="1"/>
          <w:position w:val="7"/>
        </w:rPr>
        <w:t>3 </w:t>
      </w:r>
      <w:r>
        <w:rPr>
          <w:rFonts w:ascii="SimSun" w:hAnsi="SimSun" w:eastAsia="SimSun" w:cs="SimSun"/>
          <w:sz w:val="24"/>
          <w:szCs w:val="24"/>
          <w:spacing w:val="1"/>
        </w:rPr>
        <w:t>）。中生代地层单位属于滨太平洋地层</w:t>
      </w:r>
      <w:r>
        <w:rPr>
          <w:rFonts w:ascii="SimSun" w:hAnsi="SimSun" w:eastAsia="SimSun" w:cs="SimSun"/>
          <w:sz w:val="24"/>
          <w:szCs w:val="24"/>
        </w:rPr>
        <w:t>区（</w:t>
      </w:r>
      <w:r>
        <w:rPr>
          <w:rFonts w:ascii="Times New Roman" w:hAnsi="Times New Roman" w:eastAsia="Times New Roman" w:cs="Times New Roman"/>
          <w:sz w:val="24"/>
          <w:szCs w:val="24"/>
        </w:rPr>
        <w:t>5</w:t>
      </w:r>
      <w:r>
        <w:rPr>
          <w:rFonts w:ascii="SimSun" w:hAnsi="SimSun" w:eastAsia="SimSun" w:cs="SimSun"/>
          <w:sz w:val="24"/>
          <w:szCs w:val="24"/>
        </w:rPr>
        <w:t>）大兴安岭</w:t>
      </w:r>
      <w:r>
        <w:rPr>
          <w:rFonts w:ascii="Times New Roman" w:hAnsi="Times New Roman" w:eastAsia="Times New Roman" w:cs="Times New Roman"/>
          <w:sz w:val="24"/>
          <w:szCs w:val="24"/>
        </w:rPr>
        <w:t>—</w:t>
      </w:r>
      <w:r>
        <w:rPr>
          <w:rFonts w:ascii="SimSun" w:hAnsi="SimSun" w:eastAsia="SimSun" w:cs="SimSun"/>
          <w:sz w:val="24"/>
          <w:szCs w:val="24"/>
        </w:rPr>
        <w:t>燕山地层分</w:t>
      </w:r>
      <w:r>
        <w:rPr>
          <w:rFonts w:ascii="SimSun" w:hAnsi="SimSun" w:eastAsia="SimSun" w:cs="SimSun"/>
          <w:sz w:val="24"/>
          <w:szCs w:val="24"/>
          <w:spacing w:val="-2"/>
        </w:rPr>
        <w:t>区（</w:t>
      </w:r>
      <w:r>
        <w:rPr>
          <w:rFonts w:ascii="Times New Roman" w:hAnsi="Times New Roman" w:eastAsia="Times New Roman" w:cs="Times New Roman"/>
          <w:sz w:val="24"/>
          <w:szCs w:val="24"/>
          <w:spacing w:val="-2"/>
        </w:rPr>
        <w:t>5</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15"/>
          <w:szCs w:val="15"/>
          <w:spacing w:val="-2"/>
          <w:position w:val="8"/>
        </w:rPr>
        <w:t>2 </w:t>
      </w:r>
      <w:r>
        <w:rPr>
          <w:rFonts w:ascii="SimSun" w:hAnsi="SimSun" w:eastAsia="SimSun" w:cs="SimSun"/>
          <w:sz w:val="24"/>
          <w:szCs w:val="24"/>
          <w:spacing w:val="-2"/>
        </w:rPr>
        <w:t>）中的博克图</w:t>
      </w:r>
      <w:r>
        <w:rPr>
          <w:rFonts w:ascii="Times New Roman" w:hAnsi="Times New Roman" w:eastAsia="Times New Roman" w:cs="Times New Roman"/>
          <w:sz w:val="24"/>
          <w:szCs w:val="24"/>
          <w:spacing w:val="-2"/>
        </w:rPr>
        <w:t>—</w:t>
      </w:r>
      <w:r>
        <w:rPr>
          <w:rFonts w:ascii="SimSun" w:hAnsi="SimSun" w:eastAsia="SimSun" w:cs="SimSun"/>
          <w:sz w:val="24"/>
          <w:szCs w:val="24"/>
          <w:spacing w:val="-2"/>
        </w:rPr>
        <w:t>二连浩特地层小区。如图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5-4-</w:t>
      </w:r>
      <w:r>
        <w:rPr>
          <w:rFonts w:ascii="Times New Roman" w:hAnsi="Times New Roman" w:eastAsia="Times New Roman" w:cs="Times New Roman"/>
          <w:sz w:val="24"/>
          <w:szCs w:val="24"/>
          <w:spacing w:val="-3"/>
        </w:rPr>
        <w:t>1 </w:t>
      </w:r>
      <w:r>
        <w:rPr>
          <w:rFonts w:ascii="SimSun" w:hAnsi="SimSun" w:eastAsia="SimSun" w:cs="SimSun"/>
          <w:sz w:val="24"/>
          <w:szCs w:val="24"/>
          <w:spacing w:val="-3"/>
        </w:rPr>
        <w:t>所示。</w:t>
      </w:r>
    </w:p>
    <w:p>
      <w:pPr>
        <w:ind w:firstLine="110"/>
        <w:spacing w:line="6936" w:lineRule="exact"/>
        <w:rPr/>
      </w:pPr>
      <w:r>
        <w:rPr>
          <w:position w:val="-138"/>
        </w:rPr>
        <w:drawing>
          <wp:inline distT="0" distB="0" distL="0" distR="0">
            <wp:extent cx="5757671" cy="4404360"/>
            <wp:effectExtent l="0" t="0" r="0" b="0"/>
            <wp:docPr id="302" name="IM 302"/>
            <wp:cNvGraphicFramePr/>
            <a:graphic>
              <a:graphicData uri="http://schemas.openxmlformats.org/drawingml/2006/picture">
                <pic:pic>
                  <pic:nvPicPr>
                    <pic:cNvPr id="302" name="IM 302"/>
                    <pic:cNvPicPr/>
                  </pic:nvPicPr>
                  <pic:blipFill>
                    <a:blip r:embed="rId405"/>
                    <a:stretch>
                      <a:fillRect/>
                    </a:stretch>
                  </pic:blipFill>
                  <pic:spPr>
                    <a:xfrm rot="0">
                      <a:off x="0" y="0"/>
                      <a:ext cx="5757671" cy="4404360"/>
                    </a:xfrm>
                    <a:prstGeom prst="rect">
                      <a:avLst/>
                    </a:prstGeom>
                  </pic:spPr>
                </pic:pic>
              </a:graphicData>
            </a:graphic>
          </wp:inline>
        </w:drawing>
      </w:r>
    </w:p>
    <w:p>
      <w:pPr>
        <w:ind w:left="3128"/>
        <w:spacing w:before="221" w:line="229" w:lineRule="auto"/>
        <w:rPr>
          <w:rFonts w:ascii="SimHei" w:hAnsi="SimHei" w:eastAsia="SimHei" w:cs="SimHei"/>
          <w:sz w:val="20"/>
          <w:szCs w:val="20"/>
        </w:rPr>
      </w:pPr>
      <w:r>
        <w:rPr>
          <w:rFonts w:ascii="SimHei" w:hAnsi="SimHei" w:eastAsia="SimHei" w:cs="SimHei"/>
          <w:sz w:val="20"/>
          <w:szCs w:val="20"/>
          <w:spacing w:val="6"/>
        </w:rPr>
        <w:t>图</w:t>
      </w:r>
      <w:r>
        <w:rPr>
          <w:rFonts w:ascii="SimHei" w:hAnsi="SimHei" w:eastAsia="SimHei" w:cs="SimHei"/>
          <w:sz w:val="20"/>
          <w:szCs w:val="20"/>
          <w:spacing w:val="-36"/>
        </w:rPr>
        <w:t xml:space="preserve"> </w:t>
      </w:r>
      <w:r>
        <w:rPr>
          <w:rFonts w:ascii="Times New Roman" w:hAnsi="Times New Roman" w:eastAsia="Times New Roman" w:cs="Times New Roman"/>
          <w:sz w:val="20"/>
          <w:szCs w:val="20"/>
          <w:spacing w:val="6"/>
        </w:rPr>
        <w:t>5-4-1 </w:t>
      </w:r>
      <w:r>
        <w:rPr>
          <w:rFonts w:ascii="SimHei" w:hAnsi="SimHei" w:eastAsia="SimHei" w:cs="SimHei"/>
          <w:sz w:val="20"/>
          <w:szCs w:val="20"/>
          <w:spacing w:val="6"/>
        </w:rPr>
        <w:t>井田地层区划位置示意图</w:t>
      </w:r>
    </w:p>
    <w:p>
      <w:pPr>
        <w:ind w:left="120" w:firstLine="513"/>
        <w:spacing w:before="298" w:line="340" w:lineRule="auto"/>
        <w:jc w:val="both"/>
        <w:rPr>
          <w:rFonts w:ascii="SimSun" w:hAnsi="SimSun" w:eastAsia="SimSun" w:cs="SimSun"/>
          <w:sz w:val="24"/>
          <w:szCs w:val="24"/>
        </w:rPr>
      </w:pPr>
      <w:r>
        <w:rPr>
          <w:rFonts w:ascii="SimSun" w:hAnsi="SimSun" w:eastAsia="SimSun" w:cs="SimSun"/>
          <w:sz w:val="24"/>
          <w:szCs w:val="24"/>
          <w:spacing w:val="-4"/>
        </w:rPr>
        <w:t>白音华盆地周围出露的地层有古生界二叠系下统哲斯组、格根敖包组等低级变质岩，</w:t>
      </w:r>
      <w:r>
        <w:rPr>
          <w:rFonts w:ascii="SimSun" w:hAnsi="SimSun" w:eastAsia="SimSun" w:cs="SimSun"/>
          <w:sz w:val="24"/>
          <w:szCs w:val="24"/>
          <w:spacing w:val="-2"/>
        </w:rPr>
        <w:t>白垩系下统龙江组凝灰岩，白垩系上统玄武岩、安山岩；盆地内沉积了白垩系下统大磨</w:t>
      </w:r>
      <w:r>
        <w:rPr>
          <w:rFonts w:ascii="SimSun" w:hAnsi="SimSun" w:eastAsia="SimSun" w:cs="SimSun"/>
          <w:sz w:val="24"/>
          <w:szCs w:val="24"/>
          <w:spacing w:val="-1"/>
        </w:rPr>
        <w:t>拐河组及新生界第四系、新近系。详见区域地层特征简表</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5-4-1</w:t>
      </w:r>
      <w:r>
        <w:rPr>
          <w:rFonts w:ascii="SimSun" w:hAnsi="SimSun" w:eastAsia="SimSun" w:cs="SimSun"/>
          <w:sz w:val="24"/>
          <w:szCs w:val="24"/>
          <w:spacing w:val="-1"/>
        </w:rPr>
        <w:t>。</w:t>
      </w:r>
    </w:p>
    <w:p>
      <w:pPr>
        <w:ind w:left="3826"/>
        <w:spacing w:before="52" w:line="229" w:lineRule="auto"/>
        <w:rPr>
          <w:rFonts w:ascii="SimHei" w:hAnsi="SimHei" w:eastAsia="SimHei" w:cs="SimHei"/>
          <w:sz w:val="20"/>
          <w:szCs w:val="20"/>
        </w:rPr>
      </w:pPr>
      <w:r>
        <w:rPr>
          <w:rFonts w:ascii="SimHei" w:hAnsi="SimHei" w:eastAsia="SimHei" w:cs="SimHei"/>
          <w:sz w:val="20"/>
          <w:szCs w:val="20"/>
          <w:spacing w:val="7"/>
        </w:rPr>
        <w:t>区域地层特征简表</w:t>
      </w:r>
    </w:p>
    <w:p>
      <w:pPr>
        <w:ind w:left="117"/>
        <w:spacing w:before="20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5-4-1</w:t>
      </w:r>
    </w:p>
    <w:p>
      <w:pPr>
        <w:spacing w:line="20" w:lineRule="exact"/>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3"/>
        <w:gridCol w:w="506"/>
        <w:gridCol w:w="518"/>
        <w:gridCol w:w="897"/>
        <w:gridCol w:w="643"/>
        <w:gridCol w:w="921"/>
        <w:gridCol w:w="5349"/>
      </w:tblGrid>
      <w:tr>
        <w:trPr>
          <w:trHeight w:val="517" w:hRule="atLeast"/>
        </w:trPr>
        <w:tc>
          <w:tcPr>
            <w:tcW w:w="453" w:type="dxa"/>
            <w:vAlign w:val="top"/>
          </w:tcPr>
          <w:p>
            <w:pPr>
              <w:ind w:left="130"/>
              <w:spacing w:before="149" w:line="229" w:lineRule="auto"/>
              <w:rPr>
                <w:rFonts w:ascii="SimSun" w:hAnsi="SimSun" w:eastAsia="SimSun" w:cs="SimSun"/>
                <w:sz w:val="20"/>
                <w:szCs w:val="20"/>
              </w:rPr>
            </w:pPr>
            <w:r>
              <w:rPr>
                <w:rFonts w:ascii="SimSun" w:hAnsi="SimSun" w:eastAsia="SimSun" w:cs="SimSun"/>
                <w:sz w:val="20"/>
                <w:szCs w:val="20"/>
              </w:rPr>
              <w:t>界</w:t>
            </w:r>
          </w:p>
        </w:tc>
        <w:tc>
          <w:tcPr>
            <w:tcW w:w="506" w:type="dxa"/>
            <w:vAlign w:val="top"/>
          </w:tcPr>
          <w:p>
            <w:pPr>
              <w:ind w:left="156"/>
              <w:spacing w:before="148" w:line="230" w:lineRule="auto"/>
              <w:rPr>
                <w:rFonts w:ascii="SimSun" w:hAnsi="SimSun" w:eastAsia="SimSun" w:cs="SimSun"/>
                <w:sz w:val="20"/>
                <w:szCs w:val="20"/>
              </w:rPr>
            </w:pPr>
            <w:r>
              <w:rPr>
                <w:rFonts w:ascii="SimSun" w:hAnsi="SimSun" w:eastAsia="SimSun" w:cs="SimSun"/>
                <w:sz w:val="20"/>
                <w:szCs w:val="20"/>
              </w:rPr>
              <w:t>系</w:t>
            </w:r>
          </w:p>
        </w:tc>
        <w:tc>
          <w:tcPr>
            <w:tcW w:w="518" w:type="dxa"/>
            <w:vAlign w:val="top"/>
          </w:tcPr>
          <w:p>
            <w:pPr>
              <w:ind w:left="162"/>
              <w:spacing w:before="149" w:line="229" w:lineRule="auto"/>
              <w:rPr>
                <w:rFonts w:ascii="SimSun" w:hAnsi="SimSun" w:eastAsia="SimSun" w:cs="SimSun"/>
                <w:sz w:val="20"/>
                <w:szCs w:val="20"/>
              </w:rPr>
            </w:pPr>
            <w:r>
              <w:rPr>
                <w:rFonts w:ascii="SimSun" w:hAnsi="SimSun" w:eastAsia="SimSun" w:cs="SimSun"/>
                <w:sz w:val="20"/>
                <w:szCs w:val="20"/>
              </w:rPr>
              <w:t>统</w:t>
            </w:r>
          </w:p>
        </w:tc>
        <w:tc>
          <w:tcPr>
            <w:tcW w:w="897" w:type="dxa"/>
            <w:vAlign w:val="top"/>
          </w:tcPr>
          <w:p>
            <w:pPr>
              <w:ind w:left="350"/>
              <w:spacing w:before="149" w:line="238" w:lineRule="auto"/>
              <w:rPr>
                <w:rFonts w:ascii="SimSun" w:hAnsi="SimSun" w:eastAsia="SimSun" w:cs="SimSun"/>
                <w:sz w:val="20"/>
                <w:szCs w:val="20"/>
              </w:rPr>
            </w:pPr>
            <w:r>
              <w:rPr>
                <w:rFonts w:ascii="SimSun" w:hAnsi="SimSun" w:eastAsia="SimSun" w:cs="SimSun"/>
                <w:sz w:val="20"/>
                <w:szCs w:val="20"/>
              </w:rPr>
              <w:t>组</w:t>
            </w:r>
          </w:p>
        </w:tc>
        <w:tc>
          <w:tcPr>
            <w:tcW w:w="643" w:type="dxa"/>
            <w:vAlign w:val="top"/>
          </w:tcPr>
          <w:p>
            <w:pPr>
              <w:ind w:left="117"/>
              <w:spacing w:before="148" w:line="228" w:lineRule="auto"/>
              <w:rPr>
                <w:rFonts w:ascii="SimSun" w:hAnsi="SimSun" w:eastAsia="SimSun" w:cs="SimSun"/>
                <w:sz w:val="20"/>
                <w:szCs w:val="20"/>
              </w:rPr>
            </w:pPr>
            <w:r>
              <w:rPr>
                <w:rFonts w:ascii="SimSun" w:hAnsi="SimSun" w:eastAsia="SimSun" w:cs="SimSun"/>
                <w:sz w:val="20"/>
                <w:szCs w:val="20"/>
                <w:spacing w:val="3"/>
              </w:rPr>
              <w:t>符号</w:t>
            </w:r>
          </w:p>
        </w:tc>
        <w:tc>
          <w:tcPr>
            <w:tcW w:w="921" w:type="dxa"/>
            <w:vAlign w:val="top"/>
          </w:tcPr>
          <w:p>
            <w:pPr>
              <w:pStyle w:val="TableText"/>
              <w:ind w:left="312" w:right="253" w:hanging="55"/>
              <w:spacing w:before="29" w:line="234" w:lineRule="auto"/>
              <w:rPr/>
            </w:pPr>
            <w:r>
              <w:rPr>
                <w:rFonts w:ascii="SimSun" w:hAnsi="SimSun" w:eastAsia="SimSun" w:cs="SimSun"/>
                <w:spacing w:val="2"/>
              </w:rPr>
              <w:t>厚度</w:t>
            </w:r>
            <w:r>
              <w:rPr>
                <w:spacing w:val="1"/>
              </w:rPr>
              <w:t>(m)</w:t>
            </w:r>
          </w:p>
        </w:tc>
        <w:tc>
          <w:tcPr>
            <w:tcW w:w="5349" w:type="dxa"/>
            <w:vAlign w:val="top"/>
          </w:tcPr>
          <w:p>
            <w:pPr>
              <w:ind w:left="2261"/>
              <w:spacing w:before="149" w:line="228" w:lineRule="auto"/>
              <w:rPr>
                <w:rFonts w:ascii="SimSun" w:hAnsi="SimSun" w:eastAsia="SimSun" w:cs="SimSun"/>
                <w:sz w:val="20"/>
                <w:szCs w:val="20"/>
              </w:rPr>
            </w:pPr>
            <w:r>
              <w:rPr>
                <w:rFonts w:ascii="SimSun" w:hAnsi="SimSun" w:eastAsia="SimSun" w:cs="SimSun"/>
                <w:sz w:val="20"/>
                <w:szCs w:val="20"/>
                <w:spacing w:val="6"/>
              </w:rPr>
              <w:t>主要岩性</w:t>
            </w:r>
          </w:p>
        </w:tc>
      </w:tr>
      <w:tr>
        <w:trPr>
          <w:trHeight w:val="815" w:hRule="atLeast"/>
        </w:trPr>
        <w:tc>
          <w:tcPr>
            <w:tcW w:w="453" w:type="dxa"/>
            <w:vAlign w:val="top"/>
            <w:vMerge w:val="restart"/>
            <w:textDirection w:val="tbRlV"/>
            <w:tcBorders>
              <w:bottom w:val="nil"/>
            </w:tcBorders>
          </w:tcPr>
          <w:p>
            <w:pPr>
              <w:ind w:left="983"/>
              <w:spacing w:before="121" w:line="216" w:lineRule="auto"/>
              <w:rPr>
                <w:rFonts w:ascii="SimSun" w:hAnsi="SimSun" w:eastAsia="SimSun" w:cs="SimSun"/>
                <w:sz w:val="20"/>
                <w:szCs w:val="20"/>
              </w:rPr>
            </w:pPr>
            <w:r>
              <w:rPr>
                <w:rFonts w:ascii="SimSun" w:hAnsi="SimSun" w:eastAsia="SimSun" w:cs="SimSun"/>
                <w:sz w:val="20"/>
                <w:szCs w:val="20"/>
                <w:spacing w:val="8"/>
              </w:rPr>
              <w:t>新</w:t>
            </w:r>
            <w:r>
              <w:rPr>
                <w:rFonts w:ascii="SimSun" w:hAnsi="SimSun" w:eastAsia="SimSun" w:cs="SimSun"/>
                <w:sz w:val="20"/>
                <w:szCs w:val="20"/>
                <w:spacing w:val="-37"/>
              </w:rPr>
              <w:t xml:space="preserve"> </w:t>
            </w:r>
            <w:r>
              <w:rPr>
                <w:rFonts w:ascii="SimSun" w:hAnsi="SimSun" w:eastAsia="SimSun" w:cs="SimSun"/>
                <w:sz w:val="20"/>
                <w:szCs w:val="20"/>
                <w:spacing w:val="8"/>
              </w:rPr>
              <w:t>生</w:t>
            </w:r>
            <w:r>
              <w:rPr>
                <w:rFonts w:ascii="SimSun" w:hAnsi="SimSun" w:eastAsia="SimSun" w:cs="SimSun"/>
                <w:sz w:val="20"/>
                <w:szCs w:val="20"/>
                <w:spacing w:val="-35"/>
              </w:rPr>
              <w:t xml:space="preserve"> </w:t>
            </w:r>
            <w:r>
              <w:rPr>
                <w:rFonts w:ascii="SimSun" w:hAnsi="SimSun" w:eastAsia="SimSun" w:cs="SimSun"/>
                <w:sz w:val="20"/>
                <w:szCs w:val="20"/>
                <w:spacing w:val="8"/>
              </w:rPr>
              <w:t>界</w:t>
            </w:r>
          </w:p>
        </w:tc>
        <w:tc>
          <w:tcPr>
            <w:tcW w:w="506" w:type="dxa"/>
            <w:vAlign w:val="top"/>
            <w:vMerge w:val="restart"/>
            <w:textDirection w:val="tbRlV"/>
            <w:tcBorders>
              <w:bottom w:val="nil"/>
            </w:tcBorders>
          </w:tcPr>
          <w:p>
            <w:pPr>
              <w:ind w:left="572"/>
              <w:spacing w:before="147" w:line="216" w:lineRule="auto"/>
              <w:rPr>
                <w:rFonts w:ascii="SimSun" w:hAnsi="SimSun" w:eastAsia="SimSun" w:cs="SimSun"/>
                <w:sz w:val="20"/>
                <w:szCs w:val="20"/>
              </w:rPr>
            </w:pPr>
            <w:r>
              <w:rPr>
                <w:rFonts w:ascii="SimSun" w:hAnsi="SimSun" w:eastAsia="SimSun" w:cs="SimSun"/>
                <w:sz w:val="20"/>
                <w:szCs w:val="20"/>
                <w:spacing w:val="8"/>
              </w:rPr>
              <w:t>第</w:t>
            </w:r>
            <w:r>
              <w:rPr>
                <w:rFonts w:ascii="SimSun" w:hAnsi="SimSun" w:eastAsia="SimSun" w:cs="SimSun"/>
                <w:sz w:val="20"/>
                <w:szCs w:val="20"/>
                <w:spacing w:val="-37"/>
              </w:rPr>
              <w:t xml:space="preserve"> </w:t>
            </w:r>
            <w:r>
              <w:rPr>
                <w:rFonts w:ascii="SimSun" w:hAnsi="SimSun" w:eastAsia="SimSun" w:cs="SimSun"/>
                <w:sz w:val="20"/>
                <w:szCs w:val="20"/>
                <w:spacing w:val="8"/>
              </w:rPr>
              <w:t>四</w:t>
            </w:r>
            <w:r>
              <w:rPr>
                <w:rFonts w:ascii="SimSun" w:hAnsi="SimSun" w:eastAsia="SimSun" w:cs="SimSun"/>
                <w:sz w:val="20"/>
                <w:szCs w:val="20"/>
                <w:spacing w:val="-37"/>
              </w:rPr>
              <w:t xml:space="preserve"> </w:t>
            </w:r>
            <w:r>
              <w:rPr>
                <w:rFonts w:ascii="SimSun" w:hAnsi="SimSun" w:eastAsia="SimSun" w:cs="SimSun"/>
                <w:sz w:val="20"/>
                <w:szCs w:val="20"/>
                <w:spacing w:val="8"/>
              </w:rPr>
              <w:t>系</w:t>
            </w:r>
          </w:p>
        </w:tc>
        <w:tc>
          <w:tcPr>
            <w:tcW w:w="518" w:type="dxa"/>
            <w:vAlign w:val="top"/>
            <w:textDirection w:val="tbRlV"/>
          </w:tcPr>
          <w:p>
            <w:pPr>
              <w:ind w:left="25"/>
              <w:spacing w:before="154" w:line="216" w:lineRule="auto"/>
              <w:rPr>
                <w:rFonts w:ascii="SimSun" w:hAnsi="SimSun" w:eastAsia="SimSun" w:cs="SimSun"/>
                <w:sz w:val="20"/>
                <w:szCs w:val="20"/>
              </w:rPr>
            </w:pPr>
            <w:r>
              <w:rPr>
                <w:rFonts w:ascii="SimSun" w:hAnsi="SimSun" w:eastAsia="SimSun" w:cs="SimSun"/>
                <w:sz w:val="20"/>
                <w:szCs w:val="20"/>
                <w:spacing w:val="8"/>
              </w:rPr>
              <w:t>全</w:t>
            </w:r>
            <w:r>
              <w:rPr>
                <w:rFonts w:ascii="SimSun" w:hAnsi="SimSun" w:eastAsia="SimSun" w:cs="SimSun"/>
                <w:sz w:val="20"/>
                <w:szCs w:val="20"/>
                <w:spacing w:val="-34"/>
              </w:rPr>
              <w:t xml:space="preserve"> </w:t>
            </w:r>
            <w:r>
              <w:rPr>
                <w:rFonts w:ascii="SimSun" w:hAnsi="SimSun" w:eastAsia="SimSun" w:cs="SimSun"/>
                <w:sz w:val="20"/>
                <w:szCs w:val="20"/>
                <w:spacing w:val="8"/>
              </w:rPr>
              <w:t>新</w:t>
            </w:r>
            <w:r>
              <w:rPr>
                <w:rFonts w:ascii="SimSun" w:hAnsi="SimSun" w:eastAsia="SimSun" w:cs="SimSun"/>
                <w:sz w:val="20"/>
                <w:szCs w:val="20"/>
                <w:spacing w:val="-38"/>
              </w:rPr>
              <w:t xml:space="preserve"> </w:t>
            </w:r>
            <w:r>
              <w:rPr>
                <w:rFonts w:ascii="SimSun" w:hAnsi="SimSun" w:eastAsia="SimSun" w:cs="SimSun"/>
                <w:sz w:val="20"/>
                <w:szCs w:val="20"/>
                <w:spacing w:val="8"/>
              </w:rPr>
              <w:t>统</w:t>
            </w:r>
          </w:p>
        </w:tc>
        <w:tc>
          <w:tcPr>
            <w:tcW w:w="897" w:type="dxa"/>
            <w:vAlign w:val="top"/>
          </w:tcPr>
          <w:p>
            <w:pPr>
              <w:rPr>
                <w:rFonts w:ascii="Arial"/>
                <w:sz w:val="21"/>
              </w:rPr>
            </w:pPr>
            <w:r/>
          </w:p>
        </w:tc>
        <w:tc>
          <w:tcPr>
            <w:tcW w:w="643" w:type="dxa"/>
            <w:vAlign w:val="top"/>
          </w:tcPr>
          <w:p>
            <w:pPr>
              <w:spacing w:line="275" w:lineRule="auto"/>
              <w:rPr>
                <w:rFonts w:ascii="Arial"/>
                <w:sz w:val="21"/>
              </w:rPr>
            </w:pPr>
            <w:r/>
          </w:p>
          <w:p>
            <w:pPr>
              <w:pStyle w:val="TableText"/>
              <w:ind w:left="215"/>
              <w:spacing w:before="57" w:line="197" w:lineRule="auto"/>
              <w:rPr>
                <w:sz w:val="13"/>
                <w:szCs w:val="13"/>
              </w:rPr>
            </w:pPr>
            <w:r>
              <w:rPr>
                <w:spacing w:val="1"/>
              </w:rPr>
              <w:t>Q</w:t>
            </w:r>
            <w:r>
              <w:rPr>
                <w:sz w:val="13"/>
                <w:szCs w:val="13"/>
                <w:spacing w:val="1"/>
                <w:position w:val="-1"/>
              </w:rPr>
              <w:t>h</w:t>
            </w:r>
          </w:p>
        </w:tc>
        <w:tc>
          <w:tcPr>
            <w:tcW w:w="921" w:type="dxa"/>
            <w:vAlign w:val="top"/>
          </w:tcPr>
          <w:p>
            <w:pPr>
              <w:pStyle w:val="TableText"/>
              <w:ind w:left="204"/>
              <w:spacing w:before="299" w:line="264" w:lineRule="exact"/>
              <w:rPr/>
            </w:pPr>
            <w:r>
              <w:rPr>
                <w:spacing w:val="3"/>
                <w:position w:val="1"/>
              </w:rPr>
              <w:t>5</w:t>
            </w:r>
            <w:r>
              <w:rPr>
                <w:rFonts w:ascii="SimSun" w:hAnsi="SimSun" w:eastAsia="SimSun" w:cs="SimSun"/>
                <w:spacing w:val="3"/>
                <w:position w:val="1"/>
              </w:rPr>
              <w:t>～</w:t>
            </w:r>
            <w:r>
              <w:rPr>
                <w:spacing w:val="3"/>
                <w:position w:val="1"/>
              </w:rPr>
              <w:t>40</w:t>
            </w:r>
          </w:p>
        </w:tc>
        <w:tc>
          <w:tcPr>
            <w:tcW w:w="5349" w:type="dxa"/>
            <w:vAlign w:val="top"/>
          </w:tcPr>
          <w:p>
            <w:pPr>
              <w:ind w:left="161"/>
              <w:spacing w:before="25" w:line="228" w:lineRule="auto"/>
              <w:rPr>
                <w:rFonts w:ascii="SimSun" w:hAnsi="SimSun" w:eastAsia="SimSun" w:cs="SimSun"/>
                <w:sz w:val="20"/>
                <w:szCs w:val="20"/>
              </w:rPr>
            </w:pPr>
            <w:r>
              <w:rPr>
                <w:rFonts w:ascii="SimSun" w:hAnsi="SimSun" w:eastAsia="SimSun" w:cs="SimSun"/>
                <w:sz w:val="20"/>
                <w:szCs w:val="20"/>
                <w:spacing w:val="9"/>
              </w:rPr>
              <w:t>上部由深灰、灰褐色粉细砂及砂质粘土、含砾砂组成，</w:t>
            </w:r>
          </w:p>
          <w:p>
            <w:pPr>
              <w:pStyle w:val="TableText"/>
              <w:ind w:left="116"/>
              <w:spacing w:before="26" w:line="227" w:lineRule="auto"/>
              <w:rPr>
                <w:rFonts w:ascii="SimSun" w:hAnsi="SimSun" w:eastAsia="SimSun" w:cs="SimSun"/>
              </w:rPr>
            </w:pPr>
            <w:r>
              <w:rPr>
                <w:rFonts w:ascii="SimSun" w:hAnsi="SimSun" w:eastAsia="SimSun" w:cs="SimSun"/>
                <w:spacing w:val="3"/>
              </w:rPr>
              <w:t>厚度</w:t>
            </w:r>
            <w:r>
              <w:rPr>
                <w:rFonts w:ascii="SimSun" w:hAnsi="SimSun" w:eastAsia="SimSun" w:cs="SimSun"/>
                <w:spacing w:val="-11"/>
              </w:rPr>
              <w:t xml:space="preserve"> </w:t>
            </w:r>
            <w:r>
              <w:rPr>
                <w:spacing w:val="3"/>
              </w:rPr>
              <w:t>10</w:t>
            </w:r>
            <w:r>
              <w:rPr>
                <w:rFonts w:ascii="SimSun" w:hAnsi="SimSun" w:eastAsia="SimSun" w:cs="SimSun"/>
                <w:spacing w:val="3"/>
              </w:rPr>
              <w:t>～</w:t>
            </w:r>
            <w:r>
              <w:rPr>
                <w:spacing w:val="3"/>
              </w:rPr>
              <w:t>20m</w:t>
            </w:r>
            <w:r>
              <w:rPr>
                <w:rFonts w:ascii="SimSun" w:hAnsi="SimSun" w:eastAsia="SimSun" w:cs="SimSun"/>
                <w:spacing w:val="3"/>
              </w:rPr>
              <w:t>；中部为冲洪积砾石层，厚度</w:t>
            </w:r>
            <w:r>
              <w:rPr>
                <w:rFonts w:ascii="SimSun" w:hAnsi="SimSun" w:eastAsia="SimSun" w:cs="SimSun"/>
                <w:spacing w:val="-35"/>
              </w:rPr>
              <w:t xml:space="preserve"> </w:t>
            </w:r>
            <w:r>
              <w:rPr>
                <w:spacing w:val="3"/>
              </w:rPr>
              <w:t>5-10m</w:t>
            </w:r>
            <w:r>
              <w:rPr>
                <w:rFonts w:ascii="SimSun" w:hAnsi="SimSun" w:eastAsia="SimSun" w:cs="SimSun"/>
                <w:spacing w:val="3"/>
              </w:rPr>
              <w:t>；下部</w:t>
            </w:r>
          </w:p>
          <w:p>
            <w:pPr>
              <w:pStyle w:val="TableText"/>
              <w:ind w:left="735"/>
              <w:spacing w:before="25" w:line="217" w:lineRule="auto"/>
              <w:rPr>
                <w:rFonts w:ascii="SimSun" w:hAnsi="SimSun" w:eastAsia="SimSun" w:cs="SimSun"/>
              </w:rPr>
            </w:pPr>
            <w:r>
              <w:rPr>
                <w:rFonts w:ascii="SimSun" w:hAnsi="SimSun" w:eastAsia="SimSun" w:cs="SimSun"/>
                <w:spacing w:val="10"/>
              </w:rPr>
              <w:t>岩性为褐色、灰色砂质粘土厚度</w:t>
            </w:r>
            <w:r>
              <w:rPr>
                <w:spacing w:val="10"/>
              </w:rPr>
              <w:t>3</w:t>
            </w:r>
            <w:r>
              <w:rPr>
                <w:rFonts w:ascii="SimSun" w:hAnsi="SimSun" w:eastAsia="SimSun" w:cs="SimSun"/>
                <w:spacing w:val="10"/>
              </w:rPr>
              <w:t>～</w:t>
            </w:r>
            <w:r>
              <w:rPr>
                <w:spacing w:val="10"/>
              </w:rPr>
              <w:t>10m</w:t>
            </w:r>
            <w:r>
              <w:rPr>
                <w:rFonts w:ascii="SimSun" w:hAnsi="SimSun" w:eastAsia="SimSun" w:cs="SimSun"/>
                <w:spacing w:val="10"/>
              </w:rPr>
              <w:t>。</w:t>
            </w:r>
          </w:p>
        </w:tc>
      </w:tr>
      <w:tr>
        <w:trPr>
          <w:trHeight w:val="1088" w:hRule="atLeast"/>
        </w:trPr>
        <w:tc>
          <w:tcPr>
            <w:tcW w:w="453" w:type="dxa"/>
            <w:vAlign w:val="top"/>
            <w:vMerge w:val="continue"/>
            <w:textDirection w:val="tbRlV"/>
            <w:tcBorders>
              <w:top w:val="nil"/>
              <w:bottom w:val="nil"/>
            </w:tcBorders>
          </w:tcPr>
          <w:p>
            <w:pPr>
              <w:rPr>
                <w:rFonts w:ascii="Arial"/>
                <w:sz w:val="21"/>
              </w:rPr>
            </w:pPr>
            <w:r/>
          </w:p>
        </w:tc>
        <w:tc>
          <w:tcPr>
            <w:tcW w:w="506" w:type="dxa"/>
            <w:vAlign w:val="top"/>
            <w:vMerge w:val="continue"/>
            <w:textDirection w:val="tbRlV"/>
            <w:tcBorders>
              <w:top w:val="nil"/>
            </w:tcBorders>
          </w:tcPr>
          <w:p>
            <w:pPr>
              <w:rPr>
                <w:rFonts w:ascii="Arial"/>
                <w:sz w:val="21"/>
              </w:rPr>
            </w:pPr>
            <w:r/>
          </w:p>
        </w:tc>
        <w:tc>
          <w:tcPr>
            <w:tcW w:w="518" w:type="dxa"/>
            <w:vAlign w:val="top"/>
            <w:textDirection w:val="tbRlV"/>
          </w:tcPr>
          <w:p>
            <w:pPr>
              <w:ind w:left="163"/>
              <w:spacing w:before="153" w:line="216" w:lineRule="auto"/>
              <w:rPr>
                <w:rFonts w:ascii="SimSun" w:hAnsi="SimSun" w:eastAsia="SimSun" w:cs="SimSun"/>
                <w:sz w:val="20"/>
                <w:szCs w:val="20"/>
              </w:rPr>
            </w:pPr>
            <w:r>
              <w:rPr>
                <w:rFonts w:ascii="SimSun" w:hAnsi="SimSun" w:eastAsia="SimSun" w:cs="SimSun"/>
                <w:sz w:val="20"/>
                <w:szCs w:val="20"/>
                <w:spacing w:val="8"/>
              </w:rPr>
              <w:t>更</w:t>
            </w:r>
            <w:r>
              <w:rPr>
                <w:rFonts w:ascii="SimSun" w:hAnsi="SimSun" w:eastAsia="SimSun" w:cs="SimSun"/>
                <w:sz w:val="20"/>
                <w:szCs w:val="20"/>
                <w:spacing w:val="-37"/>
              </w:rPr>
              <w:t xml:space="preserve"> </w:t>
            </w:r>
            <w:r>
              <w:rPr>
                <w:rFonts w:ascii="SimSun" w:hAnsi="SimSun" w:eastAsia="SimSun" w:cs="SimSun"/>
                <w:sz w:val="20"/>
                <w:szCs w:val="20"/>
                <w:spacing w:val="8"/>
              </w:rPr>
              <w:t>新</w:t>
            </w:r>
            <w:r>
              <w:rPr>
                <w:rFonts w:ascii="SimSun" w:hAnsi="SimSun" w:eastAsia="SimSun" w:cs="SimSun"/>
                <w:sz w:val="20"/>
                <w:szCs w:val="20"/>
                <w:spacing w:val="-35"/>
              </w:rPr>
              <w:t xml:space="preserve"> </w:t>
            </w:r>
            <w:r>
              <w:rPr>
                <w:rFonts w:ascii="SimSun" w:hAnsi="SimSun" w:eastAsia="SimSun" w:cs="SimSun"/>
                <w:sz w:val="20"/>
                <w:szCs w:val="20"/>
                <w:spacing w:val="8"/>
              </w:rPr>
              <w:t>统</w:t>
            </w:r>
          </w:p>
        </w:tc>
        <w:tc>
          <w:tcPr>
            <w:tcW w:w="897" w:type="dxa"/>
            <w:vAlign w:val="top"/>
          </w:tcPr>
          <w:p>
            <w:pPr>
              <w:rPr>
                <w:rFonts w:ascii="Arial"/>
                <w:sz w:val="21"/>
              </w:rPr>
            </w:pPr>
            <w:r/>
          </w:p>
        </w:tc>
        <w:tc>
          <w:tcPr>
            <w:tcW w:w="643" w:type="dxa"/>
            <w:vAlign w:val="top"/>
          </w:tcPr>
          <w:p>
            <w:pPr>
              <w:spacing w:line="412" w:lineRule="auto"/>
              <w:rPr>
                <w:rFonts w:ascii="Arial"/>
                <w:sz w:val="21"/>
              </w:rPr>
            </w:pPr>
            <w:r/>
          </w:p>
          <w:p>
            <w:pPr>
              <w:pStyle w:val="TableText"/>
              <w:ind w:left="215"/>
              <w:spacing w:before="58" w:line="202" w:lineRule="auto"/>
              <w:rPr>
                <w:sz w:val="13"/>
                <w:szCs w:val="13"/>
              </w:rPr>
            </w:pPr>
            <w:r>
              <w:rPr>
                <w:spacing w:val="1"/>
              </w:rPr>
              <w:t>Q</w:t>
            </w:r>
            <w:r>
              <w:rPr>
                <w:sz w:val="13"/>
                <w:szCs w:val="13"/>
                <w:spacing w:val="1"/>
                <w:position w:val="-1"/>
              </w:rPr>
              <w:t>p</w:t>
            </w:r>
          </w:p>
        </w:tc>
        <w:tc>
          <w:tcPr>
            <w:tcW w:w="921" w:type="dxa"/>
            <w:vAlign w:val="top"/>
          </w:tcPr>
          <w:p>
            <w:pPr>
              <w:spacing w:line="369" w:lineRule="auto"/>
              <w:rPr>
                <w:rFonts w:ascii="Arial"/>
                <w:sz w:val="21"/>
              </w:rPr>
            </w:pPr>
            <w:r/>
          </w:p>
          <w:p>
            <w:pPr>
              <w:pStyle w:val="TableText"/>
              <w:ind w:left="149"/>
              <w:spacing w:before="65" w:line="264" w:lineRule="exact"/>
              <w:rPr/>
            </w:pPr>
            <w:r>
              <w:rPr>
                <w:spacing w:val="4"/>
                <w:position w:val="1"/>
              </w:rPr>
              <w:t>30</w:t>
            </w:r>
            <w:r>
              <w:rPr>
                <w:rFonts w:ascii="SimSun" w:hAnsi="SimSun" w:eastAsia="SimSun" w:cs="SimSun"/>
                <w:spacing w:val="4"/>
                <w:position w:val="1"/>
              </w:rPr>
              <w:t>～</w:t>
            </w:r>
            <w:r>
              <w:rPr>
                <w:spacing w:val="4"/>
                <w:position w:val="1"/>
              </w:rPr>
              <w:t>60</w:t>
            </w:r>
          </w:p>
        </w:tc>
        <w:tc>
          <w:tcPr>
            <w:tcW w:w="5349" w:type="dxa"/>
            <w:vAlign w:val="top"/>
          </w:tcPr>
          <w:p>
            <w:pPr>
              <w:ind w:left="159"/>
              <w:spacing w:before="28" w:line="226" w:lineRule="auto"/>
              <w:rPr>
                <w:rFonts w:ascii="SimSun" w:hAnsi="SimSun" w:eastAsia="SimSun" w:cs="SimSun"/>
                <w:sz w:val="20"/>
                <w:szCs w:val="20"/>
              </w:rPr>
            </w:pPr>
            <w:r>
              <w:rPr>
                <w:rFonts w:ascii="SimSun" w:hAnsi="SimSun" w:eastAsia="SimSun" w:cs="SimSun"/>
                <w:sz w:val="20"/>
                <w:szCs w:val="20"/>
                <w:spacing w:val="9"/>
              </w:rPr>
              <w:t>岩性为一套灰绿、灰褐及灰白色的泥砾、漂砾。砾石的</w:t>
            </w:r>
          </w:p>
          <w:p>
            <w:pPr>
              <w:pStyle w:val="TableText"/>
              <w:ind w:left="217"/>
              <w:spacing w:before="25" w:line="228" w:lineRule="auto"/>
              <w:rPr>
                <w:rFonts w:ascii="SimSun" w:hAnsi="SimSun" w:eastAsia="SimSun" w:cs="SimSun"/>
              </w:rPr>
            </w:pPr>
            <w:r>
              <w:rPr>
                <w:rFonts w:ascii="SimSun" w:hAnsi="SimSun" w:eastAsia="SimSun" w:cs="SimSun"/>
                <w:spacing w:val="7"/>
              </w:rPr>
              <w:t>分选性与磨圆度极差，砾径一般</w:t>
            </w:r>
            <w:r>
              <w:rPr>
                <w:rFonts w:ascii="SimSun" w:hAnsi="SimSun" w:eastAsia="SimSun" w:cs="SimSun"/>
                <w:spacing w:val="-21"/>
              </w:rPr>
              <w:t xml:space="preserve"> </w:t>
            </w:r>
            <w:r>
              <w:rPr>
                <w:spacing w:val="7"/>
              </w:rPr>
              <w:t>10</w:t>
            </w:r>
            <w:r>
              <w:rPr>
                <w:rFonts w:ascii="SimSun" w:hAnsi="SimSun" w:eastAsia="SimSun" w:cs="SimSun"/>
                <w:spacing w:val="7"/>
              </w:rPr>
              <w:t>～</w:t>
            </w:r>
            <w:r>
              <w:rPr>
                <w:spacing w:val="7"/>
              </w:rPr>
              <w:t>20</w:t>
            </w:r>
            <w:r>
              <w:rPr/>
              <w:t>cm</w:t>
            </w:r>
            <w:r>
              <w:rPr>
                <w:spacing w:val="-24"/>
              </w:rPr>
              <w:t xml:space="preserve"> </w:t>
            </w:r>
            <w:r>
              <w:rPr>
                <w:rFonts w:ascii="SimSun" w:hAnsi="SimSun" w:eastAsia="SimSun" w:cs="SimSun"/>
                <w:spacing w:val="7"/>
              </w:rPr>
              <w:t>，最大可达</w:t>
            </w:r>
          </w:p>
          <w:p>
            <w:pPr>
              <w:pStyle w:val="TableText"/>
              <w:ind w:right="13"/>
              <w:spacing w:before="24" w:line="228" w:lineRule="auto"/>
              <w:jc w:val="right"/>
              <w:rPr>
                <w:rFonts w:ascii="SimSun" w:hAnsi="SimSun" w:eastAsia="SimSun" w:cs="SimSun"/>
              </w:rPr>
            </w:pPr>
            <w:r>
              <w:rPr/>
              <w:t>50</w:t>
            </w:r>
            <w:r>
              <w:rPr>
                <w:rFonts w:ascii="SimSun" w:hAnsi="SimSun" w:eastAsia="SimSun" w:cs="SimSun"/>
              </w:rPr>
              <w:t>～</w:t>
            </w:r>
            <w:r>
              <w:rPr/>
              <w:t>100cm</w:t>
            </w:r>
            <w:r>
              <w:rPr>
                <w:rFonts w:ascii="SimSun" w:hAnsi="SimSun" w:eastAsia="SimSun" w:cs="SimSun"/>
              </w:rPr>
              <w:t>。泥砾已半胶结，砾石可见沟痕，深</w:t>
            </w:r>
            <w:r>
              <w:rPr>
                <w:rFonts w:ascii="SimSun" w:hAnsi="SimSun" w:eastAsia="SimSun" w:cs="SimSun"/>
                <w:spacing w:val="-1"/>
              </w:rPr>
              <w:t>度</w:t>
            </w:r>
            <w:r>
              <w:rPr>
                <w:rFonts w:ascii="SimSun" w:hAnsi="SimSun" w:eastAsia="SimSun" w:cs="SimSun"/>
                <w:spacing w:val="-41"/>
              </w:rPr>
              <w:t xml:space="preserve"> </w:t>
            </w:r>
            <w:r>
              <w:rPr>
                <w:spacing w:val="-1"/>
              </w:rPr>
              <w:t>2~3mm</w:t>
            </w:r>
            <w:r>
              <w:rPr>
                <w:rFonts w:ascii="SimSun" w:hAnsi="SimSun" w:eastAsia="SimSun" w:cs="SimSun"/>
                <w:spacing w:val="-1"/>
              </w:rPr>
              <w:t>。</w:t>
            </w:r>
          </w:p>
          <w:p>
            <w:pPr>
              <w:pStyle w:val="TableText"/>
              <w:ind w:left="367"/>
              <w:spacing w:before="27" w:line="215" w:lineRule="auto"/>
              <w:rPr>
                <w:rFonts w:ascii="SimSun" w:hAnsi="SimSun" w:eastAsia="SimSun" w:cs="SimSun"/>
              </w:rPr>
            </w:pPr>
            <w:r>
              <w:rPr>
                <w:rFonts w:ascii="SimSun" w:hAnsi="SimSun" w:eastAsia="SimSun" w:cs="SimSun"/>
                <w:spacing w:val="7"/>
              </w:rPr>
              <w:t>砾石成分与周边山区的岩石相似。厚度</w:t>
            </w:r>
            <w:r>
              <w:rPr>
                <w:rFonts w:ascii="SimSun" w:hAnsi="SimSun" w:eastAsia="SimSun" w:cs="SimSun"/>
                <w:spacing w:val="-17"/>
              </w:rPr>
              <w:t xml:space="preserve"> </w:t>
            </w:r>
            <w:r>
              <w:rPr>
                <w:spacing w:val="7"/>
              </w:rPr>
              <w:t>10</w:t>
            </w:r>
            <w:r>
              <w:rPr>
                <w:rFonts w:ascii="SimSun" w:hAnsi="SimSun" w:eastAsia="SimSun" w:cs="SimSun"/>
                <w:spacing w:val="7"/>
              </w:rPr>
              <w:t>～</w:t>
            </w:r>
            <w:r>
              <w:rPr>
                <w:spacing w:val="7"/>
              </w:rPr>
              <w:t>60m</w:t>
            </w:r>
            <w:r>
              <w:rPr>
                <w:rFonts w:ascii="SimSun" w:hAnsi="SimSun" w:eastAsia="SimSun" w:cs="SimSun"/>
                <w:spacing w:val="7"/>
              </w:rPr>
              <w:t>。</w:t>
            </w:r>
          </w:p>
        </w:tc>
      </w:tr>
      <w:tr>
        <w:trPr>
          <w:trHeight w:val="815" w:hRule="atLeast"/>
        </w:trPr>
        <w:tc>
          <w:tcPr>
            <w:tcW w:w="453" w:type="dxa"/>
            <w:vAlign w:val="top"/>
            <w:vMerge w:val="continue"/>
            <w:textDirection w:val="tbRlV"/>
            <w:tcBorders>
              <w:top w:val="nil"/>
            </w:tcBorders>
          </w:tcPr>
          <w:p>
            <w:pPr>
              <w:rPr>
                <w:rFonts w:ascii="Arial"/>
                <w:sz w:val="21"/>
              </w:rPr>
            </w:pPr>
            <w:r/>
          </w:p>
        </w:tc>
        <w:tc>
          <w:tcPr>
            <w:tcW w:w="506" w:type="dxa"/>
            <w:vAlign w:val="top"/>
            <w:textDirection w:val="tbRlV"/>
          </w:tcPr>
          <w:p>
            <w:pPr>
              <w:ind w:left="30"/>
              <w:spacing w:before="147" w:line="217" w:lineRule="auto"/>
              <w:rPr>
                <w:rFonts w:ascii="SimSun" w:hAnsi="SimSun" w:eastAsia="SimSun" w:cs="SimSun"/>
                <w:sz w:val="20"/>
                <w:szCs w:val="20"/>
              </w:rPr>
            </w:pPr>
            <w:r>
              <w:rPr>
                <w:rFonts w:ascii="SimSun" w:hAnsi="SimSun" w:eastAsia="SimSun" w:cs="SimSun"/>
                <w:sz w:val="20"/>
                <w:szCs w:val="20"/>
                <w:spacing w:val="8"/>
              </w:rPr>
              <w:t>新</w:t>
            </w:r>
            <w:r>
              <w:rPr>
                <w:rFonts w:ascii="SimSun" w:hAnsi="SimSun" w:eastAsia="SimSun" w:cs="SimSun"/>
                <w:sz w:val="20"/>
                <w:szCs w:val="20"/>
                <w:spacing w:val="-37"/>
              </w:rPr>
              <w:t xml:space="preserve"> </w:t>
            </w:r>
            <w:r>
              <w:rPr>
                <w:rFonts w:ascii="SimSun" w:hAnsi="SimSun" w:eastAsia="SimSun" w:cs="SimSun"/>
                <w:sz w:val="20"/>
                <w:szCs w:val="20"/>
                <w:spacing w:val="8"/>
              </w:rPr>
              <w:t>近</w:t>
            </w:r>
            <w:r>
              <w:rPr>
                <w:rFonts w:ascii="SimSun" w:hAnsi="SimSun" w:eastAsia="SimSun" w:cs="SimSun"/>
                <w:sz w:val="20"/>
                <w:szCs w:val="20"/>
                <w:spacing w:val="-35"/>
              </w:rPr>
              <w:t xml:space="preserve"> </w:t>
            </w:r>
            <w:r>
              <w:rPr>
                <w:rFonts w:ascii="SimSun" w:hAnsi="SimSun" w:eastAsia="SimSun" w:cs="SimSun"/>
                <w:sz w:val="20"/>
                <w:szCs w:val="20"/>
                <w:spacing w:val="8"/>
              </w:rPr>
              <w:t>系</w:t>
            </w:r>
          </w:p>
        </w:tc>
        <w:tc>
          <w:tcPr>
            <w:tcW w:w="518" w:type="dxa"/>
            <w:vAlign w:val="top"/>
            <w:textDirection w:val="tbRlV"/>
          </w:tcPr>
          <w:p>
            <w:pPr>
              <w:ind w:left="30"/>
              <w:spacing w:before="153" w:line="216" w:lineRule="auto"/>
              <w:rPr>
                <w:rFonts w:ascii="SimSun" w:hAnsi="SimSun" w:eastAsia="SimSun" w:cs="SimSun"/>
                <w:sz w:val="20"/>
                <w:szCs w:val="20"/>
              </w:rPr>
            </w:pPr>
            <w:r>
              <w:rPr>
                <w:rFonts w:ascii="SimSun" w:hAnsi="SimSun" w:eastAsia="SimSun" w:cs="SimSun"/>
                <w:sz w:val="20"/>
                <w:szCs w:val="20"/>
                <w:spacing w:val="8"/>
              </w:rPr>
              <w:t>上</w:t>
            </w:r>
            <w:r>
              <w:rPr>
                <w:rFonts w:ascii="SimSun" w:hAnsi="SimSun" w:eastAsia="SimSun" w:cs="SimSun"/>
                <w:sz w:val="20"/>
                <w:szCs w:val="20"/>
                <w:spacing w:val="-37"/>
              </w:rPr>
              <w:t xml:space="preserve"> </w:t>
            </w:r>
            <w:r>
              <w:rPr>
                <w:rFonts w:ascii="SimSun" w:hAnsi="SimSun" w:eastAsia="SimSun" w:cs="SimSun"/>
                <w:sz w:val="20"/>
                <w:szCs w:val="20"/>
                <w:spacing w:val="8"/>
              </w:rPr>
              <w:t>新</w:t>
            </w:r>
            <w:r>
              <w:rPr>
                <w:rFonts w:ascii="SimSun" w:hAnsi="SimSun" w:eastAsia="SimSun" w:cs="SimSun"/>
                <w:sz w:val="20"/>
                <w:szCs w:val="20"/>
                <w:spacing w:val="-35"/>
              </w:rPr>
              <w:t xml:space="preserve"> </w:t>
            </w:r>
            <w:r>
              <w:rPr>
                <w:rFonts w:ascii="SimSun" w:hAnsi="SimSun" w:eastAsia="SimSun" w:cs="SimSun"/>
                <w:sz w:val="20"/>
                <w:szCs w:val="20"/>
                <w:spacing w:val="8"/>
              </w:rPr>
              <w:t>统</w:t>
            </w:r>
          </w:p>
        </w:tc>
        <w:tc>
          <w:tcPr>
            <w:tcW w:w="897" w:type="dxa"/>
            <w:vAlign w:val="top"/>
          </w:tcPr>
          <w:p>
            <w:pPr>
              <w:rPr>
                <w:rFonts w:ascii="Arial"/>
                <w:sz w:val="21"/>
              </w:rPr>
            </w:pPr>
            <w:r/>
          </w:p>
        </w:tc>
        <w:tc>
          <w:tcPr>
            <w:tcW w:w="643" w:type="dxa"/>
            <w:vAlign w:val="top"/>
          </w:tcPr>
          <w:p>
            <w:pPr>
              <w:spacing w:line="402" w:lineRule="auto"/>
              <w:rPr>
                <w:rFonts w:ascii="Arial"/>
                <w:sz w:val="21"/>
              </w:rPr>
            </w:pPr>
            <w:r/>
          </w:p>
          <w:p>
            <w:pPr>
              <w:pStyle w:val="TableText"/>
              <w:ind w:left="205"/>
              <w:spacing w:before="58" w:line="199" w:lineRule="auto"/>
              <w:rPr>
                <w:sz w:val="13"/>
                <w:szCs w:val="13"/>
              </w:rPr>
            </w:pPr>
            <w:r>
              <w:rPr>
                <w:spacing w:val="6"/>
              </w:rPr>
              <w:t>N</w:t>
            </w:r>
            <w:r>
              <w:rPr>
                <w:sz w:val="13"/>
                <w:szCs w:val="13"/>
                <w:spacing w:val="6"/>
                <w:position w:val="-1"/>
              </w:rPr>
              <w:t>2</w:t>
            </w:r>
          </w:p>
        </w:tc>
        <w:tc>
          <w:tcPr>
            <w:tcW w:w="921" w:type="dxa"/>
            <w:vAlign w:val="top"/>
          </w:tcPr>
          <w:p>
            <w:pPr>
              <w:pStyle w:val="TableText"/>
              <w:ind w:left="145"/>
              <w:spacing w:before="301" w:line="264" w:lineRule="exact"/>
              <w:rPr/>
            </w:pPr>
            <w:r>
              <w:rPr>
                <w:spacing w:val="5"/>
                <w:position w:val="1"/>
              </w:rPr>
              <w:t>20</w:t>
            </w:r>
            <w:r>
              <w:rPr>
                <w:rFonts w:ascii="SimSun" w:hAnsi="SimSun" w:eastAsia="SimSun" w:cs="SimSun"/>
                <w:spacing w:val="5"/>
                <w:position w:val="1"/>
              </w:rPr>
              <w:t>～</w:t>
            </w:r>
            <w:r>
              <w:rPr>
                <w:spacing w:val="5"/>
                <w:position w:val="1"/>
              </w:rPr>
              <w:t>80</w:t>
            </w:r>
          </w:p>
        </w:tc>
        <w:tc>
          <w:tcPr>
            <w:tcW w:w="5349" w:type="dxa"/>
            <w:vAlign w:val="top"/>
          </w:tcPr>
          <w:p>
            <w:pPr>
              <w:ind w:left="183"/>
              <w:spacing w:before="29" w:line="227" w:lineRule="auto"/>
              <w:rPr>
                <w:rFonts w:ascii="SimSun" w:hAnsi="SimSun" w:eastAsia="SimSun" w:cs="SimSun"/>
                <w:sz w:val="20"/>
                <w:szCs w:val="20"/>
              </w:rPr>
            </w:pPr>
            <w:r>
              <w:rPr>
                <w:rFonts w:ascii="SimSun" w:hAnsi="SimSun" w:eastAsia="SimSun" w:cs="SimSun"/>
                <w:sz w:val="20"/>
                <w:szCs w:val="20"/>
                <w:spacing w:val="8"/>
              </w:rPr>
              <w:t>以棕红色泥岩为主，含钙质结核，局部为灰白色砂岩及</w:t>
            </w:r>
          </w:p>
          <w:p>
            <w:pPr>
              <w:ind w:right="14"/>
              <w:spacing w:before="25" w:line="227" w:lineRule="auto"/>
              <w:jc w:val="right"/>
              <w:rPr>
                <w:rFonts w:ascii="SimSun" w:hAnsi="SimSun" w:eastAsia="SimSun" w:cs="SimSun"/>
                <w:sz w:val="20"/>
                <w:szCs w:val="20"/>
              </w:rPr>
            </w:pPr>
            <w:r>
              <w:rPr>
                <w:rFonts w:ascii="SimSun" w:hAnsi="SimSun" w:eastAsia="SimSun" w:cs="SimSun"/>
                <w:sz w:val="20"/>
                <w:szCs w:val="20"/>
                <w:spacing w:val="8"/>
              </w:rPr>
              <w:t>砂砾岩，以泥质胶结为主，砾石磨圆度较差，次棱角状，</w:t>
            </w:r>
          </w:p>
          <w:p>
            <w:pPr>
              <w:pStyle w:val="TableText"/>
              <w:ind w:left="1947"/>
              <w:spacing w:before="28" w:line="212" w:lineRule="auto"/>
              <w:rPr>
                <w:rFonts w:ascii="SimSun" w:hAnsi="SimSun" w:eastAsia="SimSun" w:cs="SimSun"/>
              </w:rPr>
            </w:pPr>
            <w:r>
              <w:rPr>
                <w:rFonts w:ascii="SimSun" w:hAnsi="SimSun" w:eastAsia="SimSun" w:cs="SimSun"/>
                <w:spacing w:val="4"/>
              </w:rPr>
              <w:t>厚度</w:t>
            </w:r>
            <w:r>
              <w:rPr>
                <w:rFonts w:ascii="SimSun" w:hAnsi="SimSun" w:eastAsia="SimSun" w:cs="SimSun"/>
                <w:spacing w:val="-40"/>
              </w:rPr>
              <w:t xml:space="preserve"> </w:t>
            </w:r>
            <w:r>
              <w:rPr>
                <w:spacing w:val="4"/>
              </w:rPr>
              <w:t>20</w:t>
            </w:r>
            <w:r>
              <w:rPr>
                <w:rFonts w:ascii="SimSun" w:hAnsi="SimSun" w:eastAsia="SimSun" w:cs="SimSun"/>
                <w:spacing w:val="4"/>
              </w:rPr>
              <w:t>～</w:t>
            </w:r>
            <w:r>
              <w:rPr>
                <w:spacing w:val="4"/>
              </w:rPr>
              <w:t>80m</w:t>
            </w:r>
            <w:r>
              <w:rPr>
                <w:rFonts w:ascii="SimSun" w:hAnsi="SimSun" w:eastAsia="SimSun" w:cs="SimSun"/>
                <w:spacing w:val="4"/>
              </w:rPr>
              <w:t>。</w:t>
            </w:r>
          </w:p>
        </w:tc>
      </w:tr>
      <w:tr>
        <w:trPr>
          <w:trHeight w:val="277" w:hRule="atLeast"/>
        </w:trPr>
        <w:tc>
          <w:tcPr>
            <w:tcW w:w="453" w:type="dxa"/>
            <w:vAlign w:val="top"/>
          </w:tcPr>
          <w:p>
            <w:pPr>
              <w:ind w:left="145"/>
              <w:spacing w:before="38" w:line="211" w:lineRule="auto"/>
              <w:rPr>
                <w:rFonts w:ascii="SimSun" w:hAnsi="SimSun" w:eastAsia="SimSun" w:cs="SimSun"/>
                <w:sz w:val="20"/>
                <w:szCs w:val="20"/>
              </w:rPr>
            </w:pPr>
            <w:r>
              <w:rPr>
                <w:rFonts w:ascii="SimSun" w:hAnsi="SimSun" w:eastAsia="SimSun" w:cs="SimSun"/>
                <w:sz w:val="20"/>
                <w:szCs w:val="20"/>
              </w:rPr>
              <w:t>中</w:t>
            </w:r>
          </w:p>
        </w:tc>
        <w:tc>
          <w:tcPr>
            <w:tcW w:w="506" w:type="dxa"/>
            <w:vAlign w:val="top"/>
          </w:tcPr>
          <w:p>
            <w:pPr>
              <w:ind w:left="182"/>
              <w:spacing w:before="38" w:line="211" w:lineRule="auto"/>
              <w:rPr>
                <w:rFonts w:ascii="SimSun" w:hAnsi="SimSun" w:eastAsia="SimSun" w:cs="SimSun"/>
                <w:sz w:val="20"/>
                <w:szCs w:val="20"/>
              </w:rPr>
            </w:pPr>
            <w:r>
              <w:rPr>
                <w:rFonts w:ascii="SimSun" w:hAnsi="SimSun" w:eastAsia="SimSun" w:cs="SimSun"/>
                <w:sz w:val="20"/>
                <w:szCs w:val="20"/>
              </w:rPr>
              <w:t>白</w:t>
            </w:r>
          </w:p>
        </w:tc>
        <w:tc>
          <w:tcPr>
            <w:tcW w:w="518" w:type="dxa"/>
            <w:vAlign w:val="top"/>
          </w:tcPr>
          <w:p>
            <w:pPr>
              <w:ind w:left="164"/>
              <w:spacing w:before="38" w:line="211" w:lineRule="auto"/>
              <w:rPr>
                <w:rFonts w:ascii="SimSun" w:hAnsi="SimSun" w:eastAsia="SimSun" w:cs="SimSun"/>
                <w:sz w:val="20"/>
                <w:szCs w:val="20"/>
              </w:rPr>
            </w:pPr>
            <w:r>
              <w:rPr>
                <w:rFonts w:ascii="SimSun" w:hAnsi="SimSun" w:eastAsia="SimSun" w:cs="SimSun"/>
                <w:sz w:val="20"/>
                <w:szCs w:val="20"/>
              </w:rPr>
              <w:t>下</w:t>
            </w:r>
          </w:p>
        </w:tc>
        <w:tc>
          <w:tcPr>
            <w:tcW w:w="897" w:type="dxa"/>
            <w:vAlign w:val="top"/>
          </w:tcPr>
          <w:p>
            <w:pPr>
              <w:ind w:left="139"/>
              <w:spacing w:before="38" w:line="211" w:lineRule="auto"/>
              <w:rPr>
                <w:rFonts w:ascii="SimSun" w:hAnsi="SimSun" w:eastAsia="SimSun" w:cs="SimSun"/>
                <w:sz w:val="20"/>
                <w:szCs w:val="20"/>
              </w:rPr>
            </w:pPr>
            <w:r>
              <w:rPr>
                <w:rFonts w:ascii="SimSun" w:hAnsi="SimSun" w:eastAsia="SimSun" w:cs="SimSun"/>
                <w:sz w:val="20"/>
                <w:szCs w:val="20"/>
                <w:spacing w:val="6"/>
              </w:rPr>
              <w:t>大磨拐</w:t>
            </w:r>
          </w:p>
        </w:tc>
        <w:tc>
          <w:tcPr>
            <w:tcW w:w="643" w:type="dxa"/>
            <w:vAlign w:val="top"/>
          </w:tcPr>
          <w:p>
            <w:pPr>
              <w:pStyle w:val="TableText"/>
              <w:ind w:left="158"/>
              <w:spacing w:before="70" w:line="205" w:lineRule="auto"/>
              <w:rPr/>
            </w:pPr>
            <w:r>
              <w:rPr>
                <w:spacing w:val="2"/>
              </w:rPr>
              <w:t>K</w:t>
            </w:r>
            <w:r>
              <w:rPr>
                <w:sz w:val="13"/>
                <w:szCs w:val="13"/>
                <w:spacing w:val="2"/>
                <w:position w:val="-1"/>
              </w:rPr>
              <w:t>1</w:t>
            </w:r>
            <w:r>
              <w:rPr>
                <w:spacing w:val="2"/>
              </w:rPr>
              <w:t>d</w:t>
            </w:r>
          </w:p>
        </w:tc>
        <w:tc>
          <w:tcPr>
            <w:tcW w:w="921" w:type="dxa"/>
            <w:vAlign w:val="top"/>
          </w:tcPr>
          <w:p>
            <w:pPr>
              <w:pStyle w:val="TableText"/>
              <w:ind w:left="192"/>
              <w:spacing w:before="73" w:line="195" w:lineRule="auto"/>
              <w:rPr/>
            </w:pPr>
            <w:r>
              <w:rPr>
                <w:spacing w:val="4"/>
              </w:rPr>
              <w:t>&gt;1344</w:t>
            </w:r>
          </w:p>
        </w:tc>
        <w:tc>
          <w:tcPr>
            <w:tcW w:w="5349" w:type="dxa"/>
            <w:vAlign w:val="top"/>
          </w:tcPr>
          <w:p>
            <w:pPr>
              <w:ind w:left="162"/>
              <w:spacing w:before="38" w:line="211" w:lineRule="auto"/>
              <w:rPr>
                <w:rFonts w:ascii="SimSun" w:hAnsi="SimSun" w:eastAsia="SimSun" w:cs="SimSun"/>
                <w:sz w:val="20"/>
                <w:szCs w:val="20"/>
              </w:rPr>
            </w:pPr>
            <w:r>
              <w:rPr>
                <w:rFonts w:ascii="SimSun" w:hAnsi="SimSun" w:eastAsia="SimSun" w:cs="SimSun"/>
                <w:sz w:val="20"/>
                <w:szCs w:val="20"/>
                <w:spacing w:val="9"/>
              </w:rPr>
              <w:t>五段：灰白～灰绿色砂砾岩、中粗砂岩为主，夹细、粉</w:t>
            </w:r>
          </w:p>
        </w:tc>
      </w:tr>
    </w:tbl>
    <w:p>
      <w:pPr>
        <w:pStyle w:val="BodyText"/>
        <w:spacing w:line="106" w:lineRule="exact"/>
        <w:rPr>
          <w:sz w:val="9"/>
        </w:rPr>
      </w:pPr>
      <w:r/>
    </w:p>
    <w:p>
      <w:pPr>
        <w:spacing w:line="106" w:lineRule="exact"/>
        <w:sectPr>
          <w:headerReference w:type="default" r:id="rId403"/>
          <w:footerReference w:type="default" r:id="rId404"/>
          <w:pgSz w:w="11906" w:h="16838"/>
          <w:pgMar w:top="1170" w:right="1231" w:bottom="1080" w:left="1305" w:header="837" w:footer="918" w:gutter="0"/>
        </w:sectPr>
        <w:rPr>
          <w:sz w:val="9"/>
          <w:szCs w:val="9"/>
        </w:rPr>
      </w:pPr>
    </w:p>
    <w:p>
      <w:pPr>
        <w:spacing w:before="6"/>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53"/>
        <w:gridCol w:w="506"/>
        <w:gridCol w:w="518"/>
        <w:gridCol w:w="897"/>
        <w:gridCol w:w="643"/>
        <w:gridCol w:w="921"/>
        <w:gridCol w:w="5349"/>
      </w:tblGrid>
      <w:tr>
        <w:trPr>
          <w:trHeight w:val="2729" w:hRule="atLeast"/>
        </w:trPr>
        <w:tc>
          <w:tcPr>
            <w:tcW w:w="453" w:type="dxa"/>
            <w:vAlign w:val="top"/>
            <w:vMerge w:val="restart"/>
            <w:textDirection w:val="tbRlV"/>
            <w:tcBorders>
              <w:bottom w:val="nil"/>
            </w:tcBorders>
          </w:tcPr>
          <w:p>
            <w:pPr>
              <w:ind w:left="33"/>
              <w:spacing w:before="122" w:line="215" w:lineRule="auto"/>
              <w:rPr>
                <w:rFonts w:ascii="SimSun" w:hAnsi="SimSun" w:eastAsia="SimSun" w:cs="SimSun"/>
                <w:sz w:val="20"/>
                <w:szCs w:val="20"/>
              </w:rPr>
            </w:pPr>
            <w:r>
              <w:rPr>
                <w:rFonts w:ascii="SimSun" w:hAnsi="SimSun" w:eastAsia="SimSun" w:cs="SimSun"/>
                <w:sz w:val="20"/>
                <w:szCs w:val="20"/>
                <w:spacing w:val="8"/>
              </w:rPr>
              <w:t>生</w:t>
            </w:r>
            <w:r>
              <w:rPr>
                <w:rFonts w:ascii="SimSun" w:hAnsi="SimSun" w:eastAsia="SimSun" w:cs="SimSun"/>
                <w:sz w:val="20"/>
                <w:szCs w:val="20"/>
                <w:spacing w:val="-35"/>
              </w:rPr>
              <w:t xml:space="preserve"> </w:t>
            </w:r>
            <w:r>
              <w:rPr>
                <w:rFonts w:ascii="SimSun" w:hAnsi="SimSun" w:eastAsia="SimSun" w:cs="SimSun"/>
                <w:sz w:val="20"/>
                <w:szCs w:val="20"/>
                <w:spacing w:val="8"/>
              </w:rPr>
              <w:t>界</w:t>
            </w:r>
          </w:p>
        </w:tc>
        <w:tc>
          <w:tcPr>
            <w:tcW w:w="506" w:type="dxa"/>
            <w:vAlign w:val="top"/>
            <w:vMerge w:val="restart"/>
            <w:textDirection w:val="tbRlV"/>
            <w:tcBorders>
              <w:bottom w:val="nil"/>
            </w:tcBorders>
          </w:tcPr>
          <w:p>
            <w:pPr>
              <w:ind w:left="33"/>
              <w:spacing w:before="147" w:line="217" w:lineRule="auto"/>
              <w:rPr>
                <w:rFonts w:ascii="SimSun" w:hAnsi="SimSun" w:eastAsia="SimSun" w:cs="SimSun"/>
                <w:sz w:val="20"/>
                <w:szCs w:val="20"/>
              </w:rPr>
            </w:pPr>
            <w:r>
              <w:rPr>
                <w:rFonts w:ascii="SimSun" w:hAnsi="SimSun" w:eastAsia="SimSun" w:cs="SimSun"/>
                <w:sz w:val="20"/>
                <w:szCs w:val="20"/>
                <w:spacing w:val="8"/>
              </w:rPr>
              <w:t>垩</w:t>
            </w:r>
            <w:r>
              <w:rPr>
                <w:rFonts w:ascii="SimSun" w:hAnsi="SimSun" w:eastAsia="SimSun" w:cs="SimSun"/>
                <w:sz w:val="20"/>
                <w:szCs w:val="20"/>
                <w:spacing w:val="-35"/>
              </w:rPr>
              <w:t xml:space="preserve"> </w:t>
            </w:r>
            <w:r>
              <w:rPr>
                <w:rFonts w:ascii="SimSun" w:hAnsi="SimSun" w:eastAsia="SimSun" w:cs="SimSun"/>
                <w:sz w:val="20"/>
                <w:szCs w:val="20"/>
                <w:spacing w:val="8"/>
              </w:rPr>
              <w:t>系</w:t>
            </w:r>
          </w:p>
        </w:tc>
        <w:tc>
          <w:tcPr>
            <w:tcW w:w="518" w:type="dxa"/>
            <w:vAlign w:val="top"/>
            <w:vMerge w:val="restart"/>
            <w:tcBorders>
              <w:bottom w:val="nil"/>
            </w:tcBorders>
          </w:tcPr>
          <w:p>
            <w:pPr>
              <w:ind w:left="162"/>
              <w:spacing w:before="33" w:line="229" w:lineRule="auto"/>
              <w:rPr>
                <w:rFonts w:ascii="SimSun" w:hAnsi="SimSun" w:eastAsia="SimSun" w:cs="SimSun"/>
                <w:sz w:val="20"/>
                <w:szCs w:val="20"/>
              </w:rPr>
            </w:pPr>
            <w:r>
              <w:rPr>
                <w:rFonts w:ascii="SimSun" w:hAnsi="SimSun" w:eastAsia="SimSun" w:cs="SimSun"/>
                <w:sz w:val="20"/>
                <w:szCs w:val="20"/>
              </w:rPr>
              <w:t>统</w:t>
            </w:r>
          </w:p>
        </w:tc>
        <w:tc>
          <w:tcPr>
            <w:tcW w:w="897" w:type="dxa"/>
            <w:vAlign w:val="top"/>
          </w:tcPr>
          <w:p>
            <w:pPr>
              <w:ind w:left="243"/>
              <w:spacing w:before="33" w:line="230" w:lineRule="auto"/>
              <w:rPr>
                <w:rFonts w:ascii="SimSun" w:hAnsi="SimSun" w:eastAsia="SimSun" w:cs="SimSun"/>
                <w:sz w:val="20"/>
                <w:szCs w:val="20"/>
              </w:rPr>
            </w:pPr>
            <w:r>
              <w:rPr>
                <w:rFonts w:ascii="SimSun" w:hAnsi="SimSun" w:eastAsia="SimSun" w:cs="SimSun"/>
                <w:sz w:val="20"/>
                <w:szCs w:val="20"/>
                <w:spacing w:val="5"/>
              </w:rPr>
              <w:t>河组</w:t>
            </w:r>
          </w:p>
        </w:tc>
        <w:tc>
          <w:tcPr>
            <w:tcW w:w="643" w:type="dxa"/>
            <w:vAlign w:val="top"/>
          </w:tcPr>
          <w:p>
            <w:pPr>
              <w:rPr>
                <w:rFonts w:ascii="Arial"/>
                <w:sz w:val="21"/>
              </w:rPr>
            </w:pPr>
            <w:r/>
          </w:p>
        </w:tc>
        <w:tc>
          <w:tcPr>
            <w:tcW w:w="921" w:type="dxa"/>
            <w:vAlign w:val="top"/>
          </w:tcPr>
          <w:p>
            <w:pPr>
              <w:rPr>
                <w:rFonts w:ascii="Arial"/>
                <w:sz w:val="21"/>
              </w:rPr>
            </w:pPr>
            <w:r/>
          </w:p>
        </w:tc>
        <w:tc>
          <w:tcPr>
            <w:tcW w:w="5349" w:type="dxa"/>
            <w:vAlign w:val="top"/>
          </w:tcPr>
          <w:p>
            <w:pPr>
              <w:ind w:left="1524"/>
              <w:spacing w:before="34" w:line="228" w:lineRule="auto"/>
              <w:rPr>
                <w:rFonts w:ascii="SimSun" w:hAnsi="SimSun" w:eastAsia="SimSun" w:cs="SimSun"/>
                <w:sz w:val="20"/>
                <w:szCs w:val="20"/>
              </w:rPr>
            </w:pPr>
            <w:r>
              <w:rPr>
                <w:rFonts w:ascii="SimSun" w:hAnsi="SimSun" w:eastAsia="SimSun" w:cs="SimSun"/>
                <w:sz w:val="20"/>
                <w:szCs w:val="20"/>
                <w:spacing w:val="8"/>
              </w:rPr>
              <w:t>砂岩和泥岩或炭质泥岩。</w:t>
            </w:r>
          </w:p>
          <w:p>
            <w:pPr>
              <w:ind w:left="179"/>
              <w:spacing w:before="26" w:line="227" w:lineRule="auto"/>
              <w:rPr>
                <w:rFonts w:ascii="SimSun" w:hAnsi="SimSun" w:eastAsia="SimSun" w:cs="SimSun"/>
                <w:sz w:val="20"/>
                <w:szCs w:val="20"/>
              </w:rPr>
            </w:pPr>
            <w:r>
              <w:rPr>
                <w:rFonts w:ascii="SimSun" w:hAnsi="SimSun" w:eastAsia="SimSun" w:cs="SimSun"/>
                <w:sz w:val="20"/>
                <w:szCs w:val="20"/>
                <w:spacing w:val="8"/>
              </w:rPr>
              <w:t>四段：深灰色厚层泥岩、粉砂岩质泥岩，夹灰色砂砾岩</w:t>
            </w:r>
          </w:p>
          <w:p>
            <w:pPr>
              <w:ind w:left="2158"/>
              <w:spacing w:before="25" w:line="228" w:lineRule="auto"/>
              <w:rPr>
                <w:rFonts w:ascii="SimSun" w:hAnsi="SimSun" w:eastAsia="SimSun" w:cs="SimSun"/>
                <w:sz w:val="20"/>
                <w:szCs w:val="20"/>
              </w:rPr>
            </w:pPr>
            <w:r>
              <w:rPr>
                <w:rFonts w:ascii="SimSun" w:hAnsi="SimSun" w:eastAsia="SimSun" w:cs="SimSun"/>
                <w:sz w:val="20"/>
                <w:szCs w:val="20"/>
                <w:spacing w:val="5"/>
              </w:rPr>
              <w:t>或粗砂岩。</w:t>
            </w:r>
          </w:p>
          <w:p>
            <w:pPr>
              <w:ind w:left="159"/>
              <w:spacing w:before="26" w:line="226" w:lineRule="auto"/>
              <w:rPr>
                <w:rFonts w:ascii="SimSun" w:hAnsi="SimSun" w:eastAsia="SimSun" w:cs="SimSun"/>
                <w:sz w:val="20"/>
                <w:szCs w:val="20"/>
              </w:rPr>
            </w:pPr>
            <w:r>
              <w:rPr>
                <w:rFonts w:ascii="SimSun" w:hAnsi="SimSun" w:eastAsia="SimSun" w:cs="SimSun"/>
                <w:sz w:val="20"/>
                <w:szCs w:val="20"/>
                <w:spacing w:val="9"/>
              </w:rPr>
              <w:t>三段：为灰～深灰色粉砂岩、泥岩、细砂岩及灰白、浅</w:t>
            </w:r>
          </w:p>
          <w:p>
            <w:pPr>
              <w:ind w:left="161"/>
              <w:spacing w:before="26" w:line="227" w:lineRule="auto"/>
              <w:rPr>
                <w:rFonts w:ascii="SimSun" w:hAnsi="SimSun" w:eastAsia="SimSun" w:cs="SimSun"/>
                <w:sz w:val="20"/>
                <w:szCs w:val="20"/>
              </w:rPr>
            </w:pPr>
            <w:r>
              <w:rPr>
                <w:rFonts w:ascii="SimSun" w:hAnsi="SimSun" w:eastAsia="SimSun" w:cs="SimSun"/>
                <w:sz w:val="20"/>
                <w:szCs w:val="20"/>
                <w:spacing w:val="9"/>
              </w:rPr>
              <w:t>灰色砂砾岩、粗砂岩，含巨厚煤层，为区域重要含煤层</w:t>
            </w:r>
          </w:p>
          <w:p>
            <w:pPr>
              <w:ind w:left="2470"/>
              <w:spacing w:before="27" w:line="229" w:lineRule="auto"/>
              <w:rPr>
                <w:rFonts w:ascii="SimSun" w:hAnsi="SimSun" w:eastAsia="SimSun" w:cs="SimSun"/>
                <w:sz w:val="20"/>
                <w:szCs w:val="20"/>
              </w:rPr>
            </w:pPr>
            <w:r>
              <w:rPr>
                <w:rFonts w:ascii="SimSun" w:hAnsi="SimSun" w:eastAsia="SimSun" w:cs="SimSun"/>
                <w:sz w:val="20"/>
                <w:szCs w:val="20"/>
              </w:rPr>
              <w:t>位。</w:t>
            </w:r>
          </w:p>
          <w:p>
            <w:pPr>
              <w:ind w:left="162"/>
              <w:spacing w:before="23" w:line="226" w:lineRule="auto"/>
              <w:rPr>
                <w:rFonts w:ascii="SimSun" w:hAnsi="SimSun" w:eastAsia="SimSun" w:cs="SimSun"/>
                <w:sz w:val="20"/>
                <w:szCs w:val="20"/>
              </w:rPr>
            </w:pPr>
            <w:r>
              <w:rPr>
                <w:rFonts w:ascii="SimSun" w:hAnsi="SimSun" w:eastAsia="SimSun" w:cs="SimSun"/>
                <w:sz w:val="20"/>
                <w:szCs w:val="20"/>
                <w:spacing w:val="9"/>
              </w:rPr>
              <w:t>二段：深灰、黑灰色泥岩，夹有浅灰、褐色泥岩和粉砂</w:t>
            </w:r>
          </w:p>
          <w:p>
            <w:pPr>
              <w:ind w:left="2470"/>
              <w:spacing w:before="29" w:line="228" w:lineRule="auto"/>
              <w:rPr>
                <w:rFonts w:ascii="SimSun" w:hAnsi="SimSun" w:eastAsia="SimSun" w:cs="SimSun"/>
                <w:sz w:val="20"/>
                <w:szCs w:val="20"/>
              </w:rPr>
            </w:pPr>
            <w:r>
              <w:rPr>
                <w:rFonts w:ascii="SimSun" w:hAnsi="SimSun" w:eastAsia="SimSun" w:cs="SimSun"/>
                <w:sz w:val="20"/>
                <w:szCs w:val="20"/>
              </w:rPr>
              <w:t>岩。</w:t>
            </w:r>
          </w:p>
          <w:p>
            <w:pPr>
              <w:ind w:left="162"/>
              <w:spacing w:before="24" w:line="226" w:lineRule="auto"/>
              <w:rPr>
                <w:rFonts w:ascii="SimSun" w:hAnsi="SimSun" w:eastAsia="SimSun" w:cs="SimSun"/>
                <w:sz w:val="20"/>
                <w:szCs w:val="20"/>
              </w:rPr>
            </w:pPr>
            <w:r>
              <w:rPr>
                <w:rFonts w:ascii="SimSun" w:hAnsi="SimSun" w:eastAsia="SimSun" w:cs="SimSun"/>
                <w:sz w:val="20"/>
                <w:szCs w:val="20"/>
                <w:spacing w:val="9"/>
              </w:rPr>
              <w:t>一段：浅灰、深灰色砂砾岩、粉砂岩夹深灰绿色泥岩与</w:t>
            </w:r>
          </w:p>
          <w:p>
            <w:pPr>
              <w:ind w:left="2056"/>
              <w:spacing w:before="29" w:line="214" w:lineRule="auto"/>
              <w:rPr>
                <w:rFonts w:ascii="SimSun" w:hAnsi="SimSun" w:eastAsia="SimSun" w:cs="SimSun"/>
                <w:sz w:val="20"/>
                <w:szCs w:val="20"/>
              </w:rPr>
            </w:pPr>
            <w:r>
              <w:rPr>
                <w:rFonts w:ascii="SimSun" w:hAnsi="SimSun" w:eastAsia="SimSun" w:cs="SimSun"/>
                <w:sz w:val="20"/>
                <w:szCs w:val="20"/>
                <w:spacing w:val="5"/>
              </w:rPr>
              <w:t>劣质油页岩。</w:t>
            </w:r>
          </w:p>
        </w:tc>
      </w:tr>
      <w:tr>
        <w:trPr>
          <w:trHeight w:val="1363" w:hRule="atLeast"/>
        </w:trPr>
        <w:tc>
          <w:tcPr>
            <w:tcW w:w="453" w:type="dxa"/>
            <w:vAlign w:val="top"/>
            <w:vMerge w:val="continue"/>
            <w:textDirection w:val="tbRlV"/>
            <w:tcBorders>
              <w:top w:val="nil"/>
            </w:tcBorders>
          </w:tcPr>
          <w:p>
            <w:pPr>
              <w:rPr>
                <w:rFonts w:ascii="Arial"/>
                <w:sz w:val="21"/>
              </w:rPr>
            </w:pPr>
            <w:r/>
          </w:p>
        </w:tc>
        <w:tc>
          <w:tcPr>
            <w:tcW w:w="506" w:type="dxa"/>
            <w:vAlign w:val="top"/>
            <w:vMerge w:val="continue"/>
            <w:textDirection w:val="tbRlV"/>
            <w:tcBorders>
              <w:top w:val="nil"/>
            </w:tcBorders>
          </w:tcPr>
          <w:p>
            <w:pPr>
              <w:rPr>
                <w:rFonts w:ascii="Arial"/>
                <w:sz w:val="21"/>
              </w:rPr>
            </w:pPr>
            <w:r/>
          </w:p>
        </w:tc>
        <w:tc>
          <w:tcPr>
            <w:tcW w:w="518" w:type="dxa"/>
            <w:vAlign w:val="top"/>
            <w:vMerge w:val="continue"/>
            <w:tcBorders>
              <w:top w:val="nil"/>
            </w:tcBorders>
          </w:tcPr>
          <w:p>
            <w:pPr>
              <w:rPr>
                <w:rFonts w:ascii="Arial"/>
                <w:sz w:val="21"/>
              </w:rPr>
            </w:pPr>
            <w:r/>
          </w:p>
        </w:tc>
        <w:tc>
          <w:tcPr>
            <w:tcW w:w="897" w:type="dxa"/>
            <w:vAlign w:val="top"/>
          </w:tcPr>
          <w:p>
            <w:pPr>
              <w:spacing w:line="252" w:lineRule="auto"/>
              <w:rPr>
                <w:rFonts w:ascii="Arial"/>
                <w:sz w:val="21"/>
              </w:rPr>
            </w:pPr>
            <w:r/>
          </w:p>
          <w:p>
            <w:pPr>
              <w:spacing w:line="252" w:lineRule="auto"/>
              <w:rPr>
                <w:rFonts w:ascii="Arial"/>
                <w:sz w:val="21"/>
              </w:rPr>
            </w:pPr>
            <w:r/>
          </w:p>
          <w:p>
            <w:pPr>
              <w:ind w:left="138"/>
              <w:spacing w:before="65" w:line="228" w:lineRule="auto"/>
              <w:rPr>
                <w:rFonts w:ascii="SimSun" w:hAnsi="SimSun" w:eastAsia="SimSun" w:cs="SimSun"/>
                <w:sz w:val="20"/>
                <w:szCs w:val="20"/>
              </w:rPr>
            </w:pPr>
            <w:r>
              <w:rPr>
                <w:rFonts w:ascii="SimSun" w:hAnsi="SimSun" w:eastAsia="SimSun" w:cs="SimSun"/>
                <w:sz w:val="20"/>
                <w:szCs w:val="20"/>
                <w:spacing w:val="6"/>
              </w:rPr>
              <w:t>龙江组</w:t>
            </w:r>
          </w:p>
        </w:tc>
        <w:tc>
          <w:tcPr>
            <w:tcW w:w="643" w:type="dxa"/>
            <w:vAlign w:val="top"/>
          </w:tcPr>
          <w:p>
            <w:pPr>
              <w:spacing w:line="272" w:lineRule="auto"/>
              <w:rPr>
                <w:rFonts w:ascii="Arial"/>
                <w:sz w:val="21"/>
              </w:rPr>
            </w:pPr>
            <w:r/>
          </w:p>
          <w:p>
            <w:pPr>
              <w:spacing w:line="272" w:lineRule="auto"/>
              <w:rPr>
                <w:rFonts w:ascii="Arial"/>
                <w:sz w:val="21"/>
              </w:rPr>
            </w:pPr>
            <w:r/>
          </w:p>
          <w:p>
            <w:pPr>
              <w:pStyle w:val="TableText"/>
              <w:ind w:left="154"/>
              <w:spacing w:before="58" w:line="201" w:lineRule="auto"/>
              <w:rPr/>
            </w:pPr>
            <w:r>
              <w:rPr>
                <w:spacing w:val="4"/>
              </w:rPr>
              <w:t>K</w:t>
            </w:r>
            <w:r>
              <w:rPr>
                <w:sz w:val="13"/>
                <w:szCs w:val="13"/>
                <w:spacing w:val="4"/>
                <w:position w:val="-1"/>
              </w:rPr>
              <w:t>1</w:t>
            </w:r>
            <w:r>
              <w:rPr/>
              <w:t>lj</w:t>
            </w:r>
          </w:p>
        </w:tc>
        <w:tc>
          <w:tcPr>
            <w:tcW w:w="921" w:type="dxa"/>
            <w:vAlign w:val="top"/>
          </w:tcPr>
          <w:p>
            <w:pPr>
              <w:spacing w:line="274" w:lineRule="auto"/>
              <w:rPr>
                <w:rFonts w:ascii="Arial"/>
                <w:sz w:val="21"/>
              </w:rPr>
            </w:pPr>
            <w:r/>
          </w:p>
          <w:p>
            <w:pPr>
              <w:spacing w:line="274" w:lineRule="auto"/>
              <w:rPr>
                <w:rFonts w:ascii="Arial"/>
                <w:sz w:val="21"/>
              </w:rPr>
            </w:pPr>
            <w:r/>
          </w:p>
          <w:p>
            <w:pPr>
              <w:pStyle w:val="TableText"/>
              <w:ind w:left="268"/>
              <w:spacing w:before="57" w:line="195" w:lineRule="auto"/>
              <w:rPr/>
            </w:pPr>
            <w:r>
              <w:rPr>
                <w:spacing w:val="-1"/>
              </w:rPr>
              <w:t>1250</w:t>
            </w:r>
          </w:p>
        </w:tc>
        <w:tc>
          <w:tcPr>
            <w:tcW w:w="5349" w:type="dxa"/>
            <w:vAlign w:val="top"/>
          </w:tcPr>
          <w:p>
            <w:pPr>
              <w:ind w:left="159"/>
              <w:spacing w:before="28" w:line="228" w:lineRule="auto"/>
              <w:rPr>
                <w:rFonts w:ascii="SimSun" w:hAnsi="SimSun" w:eastAsia="SimSun" w:cs="SimSun"/>
                <w:sz w:val="20"/>
                <w:szCs w:val="20"/>
              </w:rPr>
            </w:pPr>
            <w:r>
              <w:rPr>
                <w:rFonts w:ascii="SimSun" w:hAnsi="SimSun" w:eastAsia="SimSun" w:cs="SimSun"/>
                <w:sz w:val="20"/>
                <w:szCs w:val="20"/>
                <w:spacing w:val="9"/>
              </w:rPr>
              <w:t>岩性组合为：上部为流纹质火山碎屑凝灰岩、流纹岩夹</w:t>
            </w:r>
          </w:p>
          <w:p>
            <w:pPr>
              <w:ind w:left="165"/>
              <w:spacing w:before="24" w:line="228" w:lineRule="auto"/>
              <w:rPr>
                <w:rFonts w:ascii="SimSun" w:hAnsi="SimSun" w:eastAsia="SimSun" w:cs="SimSun"/>
                <w:sz w:val="20"/>
                <w:szCs w:val="20"/>
              </w:rPr>
            </w:pPr>
            <w:r>
              <w:rPr>
                <w:rFonts w:ascii="SimSun" w:hAnsi="SimSun" w:eastAsia="SimSun" w:cs="SimSun"/>
                <w:sz w:val="20"/>
                <w:szCs w:val="20"/>
                <w:spacing w:val="9"/>
              </w:rPr>
              <w:t>黑曜岩、松脂岩、珍珠岩。含植物化石；中部为中性火</w:t>
            </w:r>
          </w:p>
          <w:p>
            <w:pPr>
              <w:ind w:left="178"/>
              <w:spacing w:before="26" w:line="228" w:lineRule="auto"/>
              <w:rPr>
                <w:rFonts w:ascii="SimSun" w:hAnsi="SimSun" w:eastAsia="SimSun" w:cs="SimSun"/>
                <w:sz w:val="20"/>
                <w:szCs w:val="20"/>
              </w:rPr>
            </w:pPr>
            <w:r>
              <w:rPr>
                <w:rFonts w:ascii="SimSun" w:hAnsi="SimSun" w:eastAsia="SimSun" w:cs="SimSun"/>
                <w:sz w:val="20"/>
                <w:szCs w:val="20"/>
                <w:spacing w:val="8"/>
              </w:rPr>
              <w:t>山岩组：安山岩和安山玢岩；下部为火山碎屑岩组：凝</w:t>
            </w:r>
          </w:p>
          <w:p>
            <w:pPr>
              <w:ind w:left="161"/>
              <w:spacing w:before="26" w:line="227" w:lineRule="auto"/>
              <w:rPr>
                <w:rFonts w:ascii="SimSun" w:hAnsi="SimSun" w:eastAsia="SimSun" w:cs="SimSun"/>
                <w:sz w:val="20"/>
                <w:szCs w:val="20"/>
              </w:rPr>
            </w:pPr>
            <w:r>
              <w:rPr>
                <w:rFonts w:ascii="SimSun" w:hAnsi="SimSun" w:eastAsia="SimSun" w:cs="SimSun"/>
                <w:sz w:val="20"/>
                <w:szCs w:val="20"/>
                <w:spacing w:val="9"/>
              </w:rPr>
              <w:t>灰质砂砾岩、含角砾岩屑晶屑凝灰岩、火山角砾岩和凝</w:t>
            </w:r>
          </w:p>
          <w:p>
            <w:pPr>
              <w:ind w:left="1632"/>
              <w:spacing w:before="25" w:line="217" w:lineRule="auto"/>
              <w:rPr>
                <w:rFonts w:ascii="SimSun" w:hAnsi="SimSun" w:eastAsia="SimSun" w:cs="SimSun"/>
                <w:sz w:val="20"/>
                <w:szCs w:val="20"/>
              </w:rPr>
            </w:pPr>
            <w:r>
              <w:rPr>
                <w:rFonts w:ascii="SimSun" w:hAnsi="SimSun" w:eastAsia="SimSun" w:cs="SimSun"/>
                <w:sz w:val="20"/>
                <w:szCs w:val="20"/>
                <w:spacing w:val="7"/>
              </w:rPr>
              <w:t>灰质砂岩含植物化石。</w:t>
            </w:r>
          </w:p>
        </w:tc>
      </w:tr>
      <w:tr>
        <w:trPr>
          <w:trHeight w:val="819" w:hRule="atLeast"/>
        </w:trPr>
        <w:tc>
          <w:tcPr>
            <w:tcW w:w="453" w:type="dxa"/>
            <w:vAlign w:val="top"/>
            <w:vMerge w:val="restart"/>
            <w:textDirection w:val="tbRlV"/>
            <w:tcBorders>
              <w:bottom w:val="nil"/>
            </w:tcBorders>
          </w:tcPr>
          <w:p>
            <w:pPr>
              <w:ind w:left="443"/>
              <w:spacing w:before="122" w:line="215" w:lineRule="auto"/>
              <w:rPr>
                <w:rFonts w:ascii="SimSun" w:hAnsi="SimSun" w:eastAsia="SimSun" w:cs="SimSun"/>
                <w:sz w:val="20"/>
                <w:szCs w:val="20"/>
              </w:rPr>
            </w:pPr>
            <w:r>
              <w:rPr>
                <w:rFonts w:ascii="SimSun" w:hAnsi="SimSun" w:eastAsia="SimSun" w:cs="SimSun"/>
                <w:sz w:val="20"/>
                <w:szCs w:val="20"/>
                <w:spacing w:val="8"/>
              </w:rPr>
              <w:t>古</w:t>
            </w:r>
            <w:r>
              <w:rPr>
                <w:rFonts w:ascii="SimSun" w:hAnsi="SimSun" w:eastAsia="SimSun" w:cs="SimSun"/>
                <w:sz w:val="20"/>
                <w:szCs w:val="20"/>
                <w:spacing w:val="-37"/>
              </w:rPr>
              <w:t xml:space="preserve"> </w:t>
            </w:r>
            <w:r>
              <w:rPr>
                <w:rFonts w:ascii="SimSun" w:hAnsi="SimSun" w:eastAsia="SimSun" w:cs="SimSun"/>
                <w:sz w:val="20"/>
                <w:szCs w:val="20"/>
                <w:spacing w:val="8"/>
              </w:rPr>
              <w:t>生</w:t>
            </w:r>
            <w:r>
              <w:rPr>
                <w:rFonts w:ascii="SimSun" w:hAnsi="SimSun" w:eastAsia="SimSun" w:cs="SimSun"/>
                <w:sz w:val="20"/>
                <w:szCs w:val="20"/>
                <w:spacing w:val="-37"/>
              </w:rPr>
              <w:t xml:space="preserve"> </w:t>
            </w:r>
            <w:r>
              <w:rPr>
                <w:rFonts w:ascii="SimSun" w:hAnsi="SimSun" w:eastAsia="SimSun" w:cs="SimSun"/>
                <w:sz w:val="20"/>
                <w:szCs w:val="20"/>
                <w:spacing w:val="8"/>
              </w:rPr>
              <w:t>界</w:t>
            </w:r>
          </w:p>
        </w:tc>
        <w:tc>
          <w:tcPr>
            <w:tcW w:w="506" w:type="dxa"/>
            <w:vAlign w:val="top"/>
            <w:vMerge w:val="restart"/>
            <w:textDirection w:val="tbRlV"/>
            <w:tcBorders>
              <w:bottom w:val="nil"/>
            </w:tcBorders>
          </w:tcPr>
          <w:p>
            <w:pPr>
              <w:ind w:left="482"/>
              <w:spacing w:before="147" w:line="215" w:lineRule="auto"/>
              <w:rPr>
                <w:rFonts w:ascii="SimSun" w:hAnsi="SimSun" w:eastAsia="SimSun" w:cs="SimSun"/>
                <w:sz w:val="20"/>
                <w:szCs w:val="20"/>
              </w:rPr>
            </w:pPr>
            <w:r>
              <w:rPr>
                <w:rFonts w:ascii="SimSun" w:hAnsi="SimSun" w:eastAsia="SimSun" w:cs="SimSun"/>
                <w:sz w:val="20"/>
                <w:szCs w:val="20"/>
                <w:spacing w:val="-13"/>
              </w:rPr>
              <w:t>二 叠</w:t>
            </w:r>
            <w:r>
              <w:rPr>
                <w:rFonts w:ascii="SimSun" w:hAnsi="SimSun" w:eastAsia="SimSun" w:cs="SimSun"/>
                <w:sz w:val="20"/>
                <w:szCs w:val="20"/>
                <w:spacing w:val="-37"/>
              </w:rPr>
              <w:t xml:space="preserve"> </w:t>
            </w:r>
            <w:r>
              <w:rPr>
                <w:rFonts w:ascii="SimSun" w:hAnsi="SimSun" w:eastAsia="SimSun" w:cs="SimSun"/>
                <w:sz w:val="20"/>
                <w:szCs w:val="20"/>
                <w:spacing w:val="-13"/>
              </w:rPr>
              <w:t>系</w:t>
            </w:r>
          </w:p>
        </w:tc>
        <w:tc>
          <w:tcPr>
            <w:tcW w:w="518" w:type="dxa"/>
            <w:vAlign w:val="top"/>
            <w:vMerge w:val="restart"/>
            <w:textDirection w:val="tbRlV"/>
            <w:tcBorders>
              <w:bottom w:val="nil"/>
            </w:tcBorders>
          </w:tcPr>
          <w:p>
            <w:pPr>
              <w:ind w:left="580"/>
              <w:spacing w:before="154" w:line="212" w:lineRule="auto"/>
              <w:rPr>
                <w:rFonts w:ascii="SimSun" w:hAnsi="SimSun" w:eastAsia="SimSun" w:cs="SimSun"/>
                <w:sz w:val="20"/>
                <w:szCs w:val="20"/>
              </w:rPr>
            </w:pPr>
            <w:r>
              <w:rPr>
                <w:rFonts w:ascii="SimSun" w:hAnsi="SimSun" w:eastAsia="SimSun" w:cs="SimSun"/>
                <w:sz w:val="20"/>
                <w:szCs w:val="20"/>
                <w:spacing w:val="8"/>
              </w:rPr>
              <w:t>下</w:t>
            </w:r>
            <w:r>
              <w:rPr>
                <w:rFonts w:ascii="SimSun" w:hAnsi="SimSun" w:eastAsia="SimSun" w:cs="SimSun"/>
                <w:sz w:val="20"/>
                <w:szCs w:val="20"/>
                <w:spacing w:val="-38"/>
              </w:rPr>
              <w:t xml:space="preserve"> </w:t>
            </w:r>
            <w:r>
              <w:rPr>
                <w:rFonts w:ascii="SimSun" w:hAnsi="SimSun" w:eastAsia="SimSun" w:cs="SimSun"/>
                <w:sz w:val="20"/>
                <w:szCs w:val="20"/>
                <w:spacing w:val="8"/>
              </w:rPr>
              <w:t>统</w:t>
            </w:r>
          </w:p>
        </w:tc>
        <w:tc>
          <w:tcPr>
            <w:tcW w:w="897" w:type="dxa"/>
            <w:vAlign w:val="top"/>
          </w:tcPr>
          <w:p>
            <w:pPr>
              <w:ind w:left="140"/>
              <w:spacing w:before="305" w:line="228" w:lineRule="auto"/>
              <w:rPr>
                <w:rFonts w:ascii="SimSun" w:hAnsi="SimSun" w:eastAsia="SimSun" w:cs="SimSun"/>
                <w:sz w:val="20"/>
                <w:szCs w:val="20"/>
              </w:rPr>
            </w:pPr>
            <w:r>
              <w:rPr>
                <w:rFonts w:ascii="SimSun" w:hAnsi="SimSun" w:eastAsia="SimSun" w:cs="SimSun"/>
                <w:sz w:val="20"/>
                <w:szCs w:val="20"/>
                <w:spacing w:val="5"/>
              </w:rPr>
              <w:t>哲斯组</w:t>
            </w:r>
          </w:p>
        </w:tc>
        <w:tc>
          <w:tcPr>
            <w:tcW w:w="643" w:type="dxa"/>
            <w:vAlign w:val="top"/>
          </w:tcPr>
          <w:p>
            <w:pPr>
              <w:spacing w:line="284" w:lineRule="auto"/>
              <w:rPr>
                <w:rFonts w:ascii="Arial"/>
                <w:sz w:val="21"/>
              </w:rPr>
            </w:pPr>
            <w:r/>
          </w:p>
          <w:p>
            <w:pPr>
              <w:pStyle w:val="TableText"/>
              <w:ind w:left="142"/>
              <w:spacing w:before="58" w:line="206" w:lineRule="auto"/>
              <w:rPr/>
            </w:pPr>
            <w:r>
              <w:rPr>
                <w:spacing w:val="5"/>
              </w:rPr>
              <w:t>P</w:t>
            </w:r>
            <w:r>
              <w:rPr>
                <w:sz w:val="13"/>
                <w:szCs w:val="13"/>
                <w:spacing w:val="5"/>
              </w:rPr>
              <w:t>1</w:t>
            </w:r>
            <w:r>
              <w:rPr/>
              <w:t>zs</w:t>
            </w:r>
          </w:p>
        </w:tc>
        <w:tc>
          <w:tcPr>
            <w:tcW w:w="921" w:type="dxa"/>
            <w:vAlign w:val="top"/>
          </w:tcPr>
          <w:p>
            <w:pPr>
              <w:spacing w:line="281" w:lineRule="auto"/>
              <w:rPr>
                <w:rFonts w:ascii="Arial"/>
                <w:sz w:val="21"/>
              </w:rPr>
            </w:pPr>
            <w:r/>
          </w:p>
          <w:p>
            <w:pPr>
              <w:pStyle w:val="TableText"/>
              <w:ind w:left="192"/>
              <w:spacing w:before="57" w:line="195" w:lineRule="auto"/>
              <w:rPr/>
            </w:pPr>
            <w:r>
              <w:rPr>
                <w:spacing w:val="4"/>
              </w:rPr>
              <w:t>&gt;1075</w:t>
            </w:r>
          </w:p>
        </w:tc>
        <w:tc>
          <w:tcPr>
            <w:tcW w:w="5349" w:type="dxa"/>
            <w:vAlign w:val="top"/>
          </w:tcPr>
          <w:p>
            <w:pPr>
              <w:ind w:left="161"/>
              <w:spacing w:before="33" w:line="223" w:lineRule="auto"/>
              <w:rPr>
                <w:rFonts w:ascii="SimSun" w:hAnsi="SimSun" w:eastAsia="SimSun" w:cs="SimSun"/>
                <w:sz w:val="20"/>
                <w:szCs w:val="20"/>
              </w:rPr>
            </w:pPr>
            <w:r>
              <w:rPr>
                <w:rFonts w:ascii="SimSun" w:hAnsi="SimSun" w:eastAsia="SimSun" w:cs="SimSun"/>
                <w:sz w:val="20"/>
                <w:szCs w:val="20"/>
                <w:spacing w:val="9"/>
              </w:rPr>
              <w:t>上部为黄绿色、灰绿色砾岩、硬砂岩、长石砂岩互层、</w:t>
            </w:r>
          </w:p>
          <w:p>
            <w:pPr>
              <w:ind w:left="161"/>
              <w:spacing w:before="28" w:line="228" w:lineRule="auto"/>
              <w:rPr>
                <w:rFonts w:ascii="SimSun" w:hAnsi="SimSun" w:eastAsia="SimSun" w:cs="SimSun"/>
                <w:sz w:val="20"/>
                <w:szCs w:val="20"/>
              </w:rPr>
            </w:pPr>
            <w:r>
              <w:rPr>
                <w:rFonts w:ascii="SimSun" w:hAnsi="SimSun" w:eastAsia="SimSun" w:cs="SimSun"/>
                <w:sz w:val="20"/>
                <w:szCs w:val="20"/>
                <w:spacing w:val="9"/>
              </w:rPr>
              <w:t>泥灰岩，含丰富的动物化石，下部为硅质岩及生物碎屑</w:t>
            </w:r>
          </w:p>
          <w:p>
            <w:pPr>
              <w:ind w:left="2472"/>
              <w:spacing w:before="24" w:line="215" w:lineRule="auto"/>
              <w:rPr>
                <w:rFonts w:ascii="SimSun" w:hAnsi="SimSun" w:eastAsia="SimSun" w:cs="SimSun"/>
                <w:sz w:val="20"/>
                <w:szCs w:val="20"/>
              </w:rPr>
            </w:pPr>
            <w:r>
              <w:rPr>
                <w:rFonts w:ascii="SimSun" w:hAnsi="SimSun" w:eastAsia="SimSun" w:cs="SimSun"/>
                <w:sz w:val="20"/>
                <w:szCs w:val="20"/>
                <w:spacing w:val="3"/>
              </w:rPr>
              <w:t>灰岩</w:t>
            </w:r>
          </w:p>
        </w:tc>
      </w:tr>
      <w:tr>
        <w:trPr>
          <w:trHeight w:val="824" w:hRule="atLeast"/>
        </w:trPr>
        <w:tc>
          <w:tcPr>
            <w:tcW w:w="453" w:type="dxa"/>
            <w:vAlign w:val="top"/>
            <w:vMerge w:val="continue"/>
            <w:textDirection w:val="tbRlV"/>
            <w:tcBorders>
              <w:top w:val="nil"/>
            </w:tcBorders>
          </w:tcPr>
          <w:p>
            <w:pPr>
              <w:rPr>
                <w:rFonts w:ascii="Arial"/>
                <w:sz w:val="21"/>
              </w:rPr>
            </w:pPr>
            <w:r/>
          </w:p>
        </w:tc>
        <w:tc>
          <w:tcPr>
            <w:tcW w:w="506" w:type="dxa"/>
            <w:vAlign w:val="top"/>
            <w:vMerge w:val="continue"/>
            <w:textDirection w:val="tbRlV"/>
            <w:tcBorders>
              <w:top w:val="nil"/>
            </w:tcBorders>
          </w:tcPr>
          <w:p>
            <w:pPr>
              <w:rPr>
                <w:rFonts w:ascii="Arial"/>
                <w:sz w:val="21"/>
              </w:rPr>
            </w:pPr>
            <w:r/>
          </w:p>
        </w:tc>
        <w:tc>
          <w:tcPr>
            <w:tcW w:w="518" w:type="dxa"/>
            <w:vAlign w:val="top"/>
            <w:vMerge w:val="continue"/>
            <w:textDirection w:val="tbRlV"/>
            <w:tcBorders>
              <w:top w:val="nil"/>
            </w:tcBorders>
          </w:tcPr>
          <w:p>
            <w:pPr>
              <w:rPr>
                <w:rFonts w:ascii="Arial"/>
                <w:sz w:val="21"/>
              </w:rPr>
            </w:pPr>
            <w:r/>
          </w:p>
        </w:tc>
        <w:tc>
          <w:tcPr>
            <w:tcW w:w="897" w:type="dxa"/>
            <w:vAlign w:val="top"/>
          </w:tcPr>
          <w:p>
            <w:pPr>
              <w:ind w:left="243" w:right="134" w:hanging="104"/>
              <w:spacing w:before="167" w:line="255" w:lineRule="auto"/>
              <w:rPr>
                <w:rFonts w:ascii="SimSun" w:hAnsi="SimSun" w:eastAsia="SimSun" w:cs="SimSun"/>
                <w:sz w:val="20"/>
                <w:szCs w:val="20"/>
              </w:rPr>
            </w:pPr>
            <w:r>
              <w:rPr>
                <w:rFonts w:ascii="SimSun" w:hAnsi="SimSun" w:eastAsia="SimSun" w:cs="SimSun"/>
                <w:sz w:val="20"/>
                <w:szCs w:val="20"/>
                <w:spacing w:val="5"/>
              </w:rPr>
              <w:t>葛根敖</w:t>
            </w:r>
            <w:r>
              <w:rPr>
                <w:rFonts w:ascii="SimSun" w:hAnsi="SimSun" w:eastAsia="SimSun" w:cs="SimSun"/>
                <w:sz w:val="20"/>
                <w:szCs w:val="20"/>
                <w:spacing w:val="4"/>
              </w:rPr>
              <w:t>包组</w:t>
            </w:r>
          </w:p>
        </w:tc>
        <w:tc>
          <w:tcPr>
            <w:tcW w:w="643" w:type="dxa"/>
            <w:vAlign w:val="top"/>
          </w:tcPr>
          <w:p>
            <w:pPr>
              <w:spacing w:line="283" w:lineRule="auto"/>
              <w:rPr>
                <w:rFonts w:ascii="Arial"/>
                <w:sz w:val="21"/>
              </w:rPr>
            </w:pPr>
            <w:r/>
          </w:p>
          <w:p>
            <w:pPr>
              <w:pStyle w:val="TableText"/>
              <w:ind w:left="175"/>
              <w:spacing w:before="57" w:line="194" w:lineRule="auto"/>
              <w:rPr/>
            </w:pPr>
            <w:r>
              <w:rPr>
                <w:spacing w:val="3"/>
              </w:rPr>
              <w:t>P</w:t>
            </w:r>
            <w:r>
              <w:rPr>
                <w:sz w:val="13"/>
                <w:szCs w:val="13"/>
                <w:spacing w:val="3"/>
                <w:position w:val="-1"/>
              </w:rPr>
              <w:t>1</w:t>
            </w:r>
            <w:r>
              <w:rPr>
                <w:spacing w:val="3"/>
              </w:rPr>
              <w:t>g</w:t>
            </w:r>
          </w:p>
        </w:tc>
        <w:tc>
          <w:tcPr>
            <w:tcW w:w="921" w:type="dxa"/>
            <w:vAlign w:val="top"/>
          </w:tcPr>
          <w:p>
            <w:pPr>
              <w:spacing w:line="280" w:lineRule="auto"/>
              <w:rPr>
                <w:rFonts w:ascii="Arial"/>
                <w:sz w:val="21"/>
              </w:rPr>
            </w:pPr>
            <w:r/>
          </w:p>
          <w:p>
            <w:pPr>
              <w:pStyle w:val="TableText"/>
              <w:ind w:left="192"/>
              <w:spacing w:before="58" w:line="195" w:lineRule="auto"/>
              <w:rPr/>
            </w:pPr>
            <w:r>
              <w:rPr>
                <w:spacing w:val="4"/>
              </w:rPr>
              <w:t>&gt;1943</w:t>
            </w:r>
          </w:p>
        </w:tc>
        <w:tc>
          <w:tcPr>
            <w:tcW w:w="5349" w:type="dxa"/>
            <w:vAlign w:val="top"/>
          </w:tcPr>
          <w:p>
            <w:pPr>
              <w:ind w:left="161"/>
              <w:spacing w:before="29" w:line="228" w:lineRule="auto"/>
              <w:rPr>
                <w:rFonts w:ascii="SimSun" w:hAnsi="SimSun" w:eastAsia="SimSun" w:cs="SimSun"/>
                <w:sz w:val="20"/>
                <w:szCs w:val="20"/>
              </w:rPr>
            </w:pPr>
            <w:r>
              <w:rPr>
                <w:rFonts w:ascii="SimSun" w:hAnsi="SimSun" w:eastAsia="SimSun" w:cs="SimSun"/>
                <w:sz w:val="20"/>
                <w:szCs w:val="20"/>
                <w:spacing w:val="9"/>
              </w:rPr>
              <w:t>上部岩性为长石砂岩、粉砂岩、流纹岩、变质泥岩等，</w:t>
            </w:r>
          </w:p>
          <w:p>
            <w:pPr>
              <w:ind w:left="271"/>
              <w:spacing w:before="26" w:line="227" w:lineRule="auto"/>
              <w:rPr>
                <w:rFonts w:ascii="SimSun" w:hAnsi="SimSun" w:eastAsia="SimSun" w:cs="SimSun"/>
                <w:sz w:val="20"/>
                <w:szCs w:val="20"/>
              </w:rPr>
            </w:pPr>
            <w:r>
              <w:rPr>
                <w:rFonts w:ascii="SimSun" w:hAnsi="SimSun" w:eastAsia="SimSun" w:cs="SimSun"/>
                <w:sz w:val="20"/>
                <w:szCs w:val="20"/>
                <w:spacing w:val="9"/>
              </w:rPr>
              <w:t>下部为砂质板岩和岩屑、晶屑变质粉砂岩，总厚度为</w:t>
            </w:r>
          </w:p>
          <w:p>
            <w:pPr>
              <w:pStyle w:val="TableText"/>
              <w:ind w:left="2299"/>
              <w:spacing w:before="61" w:line="186" w:lineRule="auto"/>
              <w:rPr>
                <w:rFonts w:ascii="SimSun" w:hAnsi="SimSun" w:eastAsia="SimSun" w:cs="SimSun"/>
              </w:rPr>
            </w:pPr>
            <w:r>
              <w:rPr/>
              <w:t>1943m</w:t>
            </w:r>
            <w:r>
              <w:rPr>
                <w:rFonts w:ascii="SimSun" w:hAnsi="SimSun" w:eastAsia="SimSun" w:cs="SimSun"/>
              </w:rPr>
              <w:t>。</w:t>
            </w:r>
          </w:p>
        </w:tc>
      </w:tr>
    </w:tbl>
    <w:p>
      <w:pPr>
        <w:pStyle w:val="BodyText"/>
        <w:spacing w:line="250" w:lineRule="auto"/>
        <w:rPr/>
      </w:pPr>
      <w:r/>
    </w:p>
    <w:p>
      <w:pPr>
        <w:pStyle w:val="BodyText"/>
        <w:spacing w:line="251" w:lineRule="auto"/>
        <w:rPr/>
      </w:pPr>
      <w:r/>
    </w:p>
    <w:p>
      <w:pPr>
        <w:ind w:left="141" w:right="110" w:firstLine="493"/>
        <w:spacing w:before="78" w:line="339" w:lineRule="auto"/>
        <w:rPr>
          <w:rFonts w:ascii="SimSun" w:hAnsi="SimSun" w:eastAsia="SimSun" w:cs="SimSun"/>
          <w:sz w:val="24"/>
          <w:szCs w:val="24"/>
        </w:rPr>
      </w:pPr>
      <w:r>
        <w:rPr>
          <w:rFonts w:ascii="SimSun" w:hAnsi="SimSun" w:eastAsia="SimSun" w:cs="SimSun"/>
          <w:sz w:val="24"/>
          <w:szCs w:val="24"/>
          <w:spacing w:val="-3"/>
        </w:rPr>
        <w:t>白音华煤田大地构造位置属华北板块，华北北部陆缘增生带，宝音图</w:t>
      </w:r>
      <w:r>
        <w:rPr>
          <w:rFonts w:ascii="Times New Roman" w:hAnsi="Times New Roman" w:eastAsia="Times New Roman" w:cs="Times New Roman"/>
          <w:sz w:val="24"/>
          <w:szCs w:val="24"/>
          <w:spacing w:val="-3"/>
        </w:rPr>
        <w:t>—</w:t>
      </w:r>
      <w:r>
        <w:rPr>
          <w:rFonts w:ascii="SimSun" w:hAnsi="SimSun" w:eastAsia="SimSun" w:cs="SimSun"/>
          <w:sz w:val="24"/>
          <w:szCs w:val="24"/>
          <w:spacing w:val="-3"/>
        </w:rPr>
        <w:t>锡林浩特火</w:t>
      </w:r>
      <w:r>
        <w:rPr>
          <w:rFonts w:ascii="SimSun" w:hAnsi="SimSun" w:eastAsia="SimSun" w:cs="SimSun"/>
          <w:sz w:val="24"/>
          <w:szCs w:val="24"/>
          <w:spacing w:val="-4"/>
        </w:rPr>
        <w:t>山型被动陆缘的中部。</w:t>
      </w:r>
    </w:p>
    <w:p>
      <w:pPr>
        <w:ind w:left="120" w:right="25" w:firstLine="513"/>
        <w:spacing w:before="3" w:line="300" w:lineRule="auto"/>
        <w:jc w:val="both"/>
        <w:rPr>
          <w:rFonts w:ascii="SimSun" w:hAnsi="SimSun" w:eastAsia="SimSun" w:cs="SimSun"/>
          <w:sz w:val="24"/>
          <w:szCs w:val="24"/>
        </w:rPr>
      </w:pPr>
      <w:r>
        <w:rPr>
          <w:rFonts w:ascii="SimSun" w:hAnsi="SimSun" w:eastAsia="SimSun" w:cs="SimSun"/>
          <w:sz w:val="24"/>
          <w:szCs w:val="24"/>
          <w:spacing w:val="-3"/>
        </w:rPr>
        <w:t>白音华煤田是大兴安岭以西煤盆地之一，位于二连坳陷（亦称二连盆地群）东端乌</w:t>
      </w:r>
      <w:r>
        <w:rPr>
          <w:rFonts w:ascii="SimSun" w:hAnsi="SimSun" w:eastAsia="SimSun" w:cs="SimSun"/>
          <w:sz w:val="24"/>
          <w:szCs w:val="24"/>
          <w:spacing w:val="1"/>
        </w:rPr>
        <w:t>尼特断陷带中，如图</w:t>
      </w:r>
      <w:r>
        <w:rPr>
          <w:rFonts w:ascii="Times New Roman" w:hAnsi="Times New Roman" w:eastAsia="Times New Roman" w:cs="Times New Roman"/>
          <w:sz w:val="24"/>
          <w:szCs w:val="24"/>
          <w:spacing w:val="1"/>
        </w:rPr>
        <w:t>5-4-2 </w:t>
      </w:r>
      <w:r>
        <w:rPr>
          <w:rFonts w:ascii="SimSun" w:hAnsi="SimSun" w:eastAsia="SimSun" w:cs="SimSun"/>
          <w:sz w:val="24"/>
          <w:szCs w:val="24"/>
          <w:spacing w:val="1"/>
        </w:rPr>
        <w:t>所示。大地构造位置属天山</w:t>
      </w:r>
      <w:r>
        <w:rPr>
          <w:rFonts w:ascii="Times New Roman" w:hAnsi="Times New Roman" w:eastAsia="Times New Roman" w:cs="Times New Roman"/>
          <w:sz w:val="24"/>
          <w:szCs w:val="24"/>
          <w:spacing w:val="1"/>
        </w:rPr>
        <w:t>-</w:t>
      </w:r>
      <w:r>
        <w:rPr>
          <w:rFonts w:ascii="SimSun" w:hAnsi="SimSun" w:eastAsia="SimSun" w:cs="SimSun"/>
          <w:sz w:val="24"/>
          <w:szCs w:val="24"/>
          <w:spacing w:val="1"/>
        </w:rPr>
        <w:t>内蒙古中部</w:t>
      </w:r>
      <w:r>
        <w:rPr>
          <w:rFonts w:ascii="Times New Roman" w:hAnsi="Times New Roman" w:eastAsia="Times New Roman" w:cs="Times New Roman"/>
          <w:sz w:val="24"/>
          <w:szCs w:val="24"/>
          <w:spacing w:val="1"/>
        </w:rPr>
        <w:t>-</w:t>
      </w:r>
      <w:r>
        <w:rPr>
          <w:rFonts w:ascii="SimSun" w:hAnsi="SimSun" w:eastAsia="SimSun" w:cs="SimSun"/>
          <w:sz w:val="24"/>
          <w:szCs w:val="24"/>
          <w:spacing w:val="1"/>
        </w:rPr>
        <w:t>兴安地槽褶皱</w:t>
      </w:r>
      <w:r>
        <w:rPr>
          <w:rFonts w:ascii="SimSun" w:hAnsi="SimSun" w:eastAsia="SimSun" w:cs="SimSun"/>
          <w:sz w:val="24"/>
          <w:szCs w:val="24"/>
        </w:rPr>
        <w:t>区（</w:t>
      </w:r>
      <w:r>
        <w:rPr>
          <w:rFonts w:ascii="Times New Roman" w:hAnsi="Times New Roman" w:eastAsia="Times New Roman" w:cs="Times New Roman"/>
          <w:sz w:val="24"/>
          <w:szCs w:val="24"/>
        </w:rPr>
        <w:t>1</w:t>
      </w:r>
      <w:r>
        <w:rPr>
          <w:rFonts w:ascii="SimSun" w:hAnsi="SimSun" w:eastAsia="SimSun" w:cs="SimSun"/>
          <w:sz w:val="24"/>
          <w:szCs w:val="24"/>
          <w:spacing w:val="-3"/>
        </w:rPr>
        <w:t>级）、内蒙古中部地槽褶皱系（</w:t>
      </w:r>
      <w:r>
        <w:rPr>
          <w:rFonts w:ascii="Times New Roman" w:hAnsi="Times New Roman" w:eastAsia="Times New Roman" w:cs="Times New Roman"/>
          <w:sz w:val="24"/>
          <w:szCs w:val="24"/>
          <w:spacing w:val="-3"/>
        </w:rPr>
        <w:t>II</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级）、爱力格庙</w:t>
      </w:r>
      <w:r>
        <w:rPr>
          <w:rFonts w:ascii="Times New Roman" w:hAnsi="Times New Roman" w:eastAsia="Times New Roman" w:cs="Times New Roman"/>
          <w:sz w:val="24"/>
          <w:szCs w:val="24"/>
          <w:spacing w:val="-3"/>
        </w:rPr>
        <w:t>-</w:t>
      </w:r>
      <w:r>
        <w:rPr>
          <w:rFonts w:ascii="SimSun" w:hAnsi="SimSun" w:eastAsia="SimSun" w:cs="SimSun"/>
          <w:sz w:val="24"/>
          <w:szCs w:val="24"/>
          <w:spacing w:val="-3"/>
        </w:rPr>
        <w:t>锡林浩特中间地块（</w:t>
      </w:r>
      <w:r>
        <w:rPr>
          <w:rFonts w:ascii="Times New Roman" w:hAnsi="Times New Roman" w:eastAsia="Times New Roman" w:cs="Times New Roman"/>
          <w:sz w:val="24"/>
          <w:szCs w:val="24"/>
          <w:spacing w:val="-3"/>
        </w:rPr>
        <w:t>III</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3"/>
        </w:rPr>
        <w:t>级）的中部。</w:t>
      </w:r>
    </w:p>
    <w:p>
      <w:pPr>
        <w:ind w:firstLine="110"/>
        <w:spacing w:line="4408" w:lineRule="exact"/>
        <w:rPr/>
      </w:pPr>
      <w:r>
        <w:rPr>
          <w:position w:val="-88"/>
        </w:rPr>
        <w:drawing>
          <wp:inline distT="0" distB="0" distL="0" distR="0">
            <wp:extent cx="5757671" cy="2799587"/>
            <wp:effectExtent l="0" t="0" r="0" b="0"/>
            <wp:docPr id="304" name="IM 304"/>
            <wp:cNvGraphicFramePr/>
            <a:graphic>
              <a:graphicData uri="http://schemas.openxmlformats.org/drawingml/2006/picture">
                <pic:pic>
                  <pic:nvPicPr>
                    <pic:cNvPr id="304" name="IM 304"/>
                    <pic:cNvPicPr/>
                  </pic:nvPicPr>
                  <pic:blipFill>
                    <a:blip r:embed="rId408"/>
                    <a:stretch>
                      <a:fillRect/>
                    </a:stretch>
                  </pic:blipFill>
                  <pic:spPr>
                    <a:xfrm rot="0">
                      <a:off x="0" y="0"/>
                      <a:ext cx="5757671" cy="2799587"/>
                    </a:xfrm>
                    <a:prstGeom prst="rect">
                      <a:avLst/>
                    </a:prstGeom>
                  </pic:spPr>
                </pic:pic>
              </a:graphicData>
            </a:graphic>
          </wp:inline>
        </w:drawing>
      </w:r>
    </w:p>
    <w:p>
      <w:pPr>
        <w:ind w:left="3022"/>
        <w:spacing w:before="231" w:line="230" w:lineRule="auto"/>
        <w:rPr>
          <w:rFonts w:ascii="SimHei" w:hAnsi="SimHei" w:eastAsia="SimHei" w:cs="SimHei"/>
          <w:sz w:val="20"/>
          <w:szCs w:val="20"/>
        </w:rPr>
      </w:pPr>
      <w:r>
        <w:rPr>
          <w:rFonts w:ascii="SimHei" w:hAnsi="SimHei" w:eastAsia="SimHei" w:cs="SimHei"/>
          <w:sz w:val="20"/>
          <w:szCs w:val="20"/>
          <w:spacing w:val="4"/>
        </w:rPr>
        <w:t>图</w:t>
      </w:r>
      <w:r>
        <w:rPr>
          <w:rFonts w:ascii="SimHei" w:hAnsi="SimHei" w:eastAsia="SimHei" w:cs="SimHei"/>
          <w:sz w:val="20"/>
          <w:szCs w:val="20"/>
          <w:spacing w:val="-29"/>
        </w:rPr>
        <w:t xml:space="preserve"> </w:t>
      </w:r>
      <w:r>
        <w:rPr>
          <w:rFonts w:ascii="Times New Roman" w:hAnsi="Times New Roman" w:eastAsia="Times New Roman" w:cs="Times New Roman"/>
          <w:sz w:val="20"/>
          <w:szCs w:val="20"/>
          <w:spacing w:val="4"/>
        </w:rPr>
        <w:t>5-4-2</w:t>
      </w:r>
      <w:r>
        <w:rPr>
          <w:rFonts w:ascii="Times New Roman" w:hAnsi="Times New Roman" w:eastAsia="Times New Roman" w:cs="Times New Roman"/>
          <w:sz w:val="20"/>
          <w:szCs w:val="20"/>
          <w:spacing w:val="38"/>
        </w:rPr>
        <w:t xml:space="preserve"> </w:t>
      </w:r>
      <w:r>
        <w:rPr>
          <w:rFonts w:ascii="SimHei" w:hAnsi="SimHei" w:eastAsia="SimHei" w:cs="SimHei"/>
          <w:sz w:val="20"/>
          <w:szCs w:val="20"/>
          <w:spacing w:val="4"/>
        </w:rPr>
        <w:t>白音华煤田构造位置示意图</w:t>
      </w:r>
    </w:p>
    <w:p>
      <w:pPr>
        <w:ind w:left="600"/>
        <w:spacing w:before="298" w:line="217" w:lineRule="auto"/>
        <w:rPr>
          <w:rFonts w:ascii="SimSun" w:hAnsi="SimSun" w:eastAsia="SimSun" w:cs="SimSun"/>
          <w:sz w:val="24"/>
          <w:szCs w:val="24"/>
        </w:rPr>
      </w:pPr>
      <w:r>
        <w:rPr>
          <w:rFonts w:ascii="SimSun" w:hAnsi="SimSun" w:eastAsia="SimSun" w:cs="SimSun"/>
          <w:sz w:val="24"/>
          <w:szCs w:val="24"/>
          <w:spacing w:val="-1"/>
        </w:rPr>
        <w:t>煤田边界断层有</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9 </w:t>
      </w:r>
      <w:r>
        <w:rPr>
          <w:rFonts w:ascii="SimSun" w:hAnsi="SimSun" w:eastAsia="SimSun" w:cs="SimSun"/>
          <w:sz w:val="24"/>
          <w:szCs w:val="24"/>
          <w:spacing w:val="-1"/>
        </w:rPr>
        <w:t>条，具有同沉积性质，它们控制了盆地的形成与发展。</w:t>
      </w:r>
    </w:p>
    <w:p>
      <w:pPr>
        <w:spacing w:line="217" w:lineRule="auto"/>
        <w:sectPr>
          <w:headerReference w:type="default" r:id="rId406"/>
          <w:footerReference w:type="default" r:id="rId407"/>
          <w:pgSz w:w="11906" w:h="16838"/>
          <w:pgMar w:top="1170" w:right="1307" w:bottom="1080" w:left="1305" w:header="837" w:footer="918" w:gutter="0"/>
        </w:sectPr>
        <w:rPr>
          <w:rFonts w:ascii="SimSun" w:hAnsi="SimSun" w:eastAsia="SimSun" w:cs="SimSun"/>
          <w:sz w:val="24"/>
          <w:szCs w:val="24"/>
        </w:rPr>
      </w:pPr>
    </w:p>
    <w:p>
      <w:pPr>
        <w:pStyle w:val="BodyText"/>
        <w:spacing w:line="441" w:lineRule="auto"/>
        <w:rPr/>
      </w:pPr>
      <w:r/>
    </w:p>
    <w:p>
      <w:pPr>
        <w:ind w:left="3369"/>
        <w:spacing w:before="78" w:line="221" w:lineRule="auto"/>
        <w:rPr>
          <w:rFonts w:ascii="SimHei" w:hAnsi="SimHei" w:eastAsia="SimHei" w:cs="SimHei"/>
          <w:sz w:val="24"/>
          <w:szCs w:val="24"/>
        </w:rPr>
      </w:pPr>
      <w:r>
        <w:rPr>
          <w:rFonts w:ascii="SimHei" w:hAnsi="SimHei" w:eastAsia="SimHei" w:cs="SimHei"/>
          <w:sz w:val="24"/>
          <w:szCs w:val="24"/>
          <w:b/>
          <w:bCs/>
          <w:spacing w:val="-6"/>
        </w:rPr>
        <w:t>白音华煤田断层特征表</w:t>
      </w:r>
    </w:p>
    <w:p>
      <w:pPr>
        <w:ind w:left="9"/>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5-4-2</w:t>
      </w:r>
    </w:p>
    <w:p>
      <w:pPr>
        <w:spacing w:line="22" w:lineRule="exact"/>
        <w:rPr/>
      </w:pPr>
      <w:r/>
    </w:p>
    <w:tbl>
      <w:tblPr>
        <w:tblStyle w:val="TableNormal"/>
        <w:tblW w:w="9074"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02"/>
        <w:gridCol w:w="895"/>
        <w:gridCol w:w="1077"/>
        <w:gridCol w:w="1569"/>
        <w:gridCol w:w="734"/>
        <w:gridCol w:w="837"/>
        <w:gridCol w:w="837"/>
        <w:gridCol w:w="727"/>
        <w:gridCol w:w="681"/>
        <w:gridCol w:w="1115"/>
      </w:tblGrid>
      <w:tr>
        <w:trPr>
          <w:trHeight w:val="273" w:hRule="atLeast"/>
        </w:trPr>
        <w:tc>
          <w:tcPr>
            <w:tcW w:w="602" w:type="dxa"/>
            <w:vAlign w:val="top"/>
            <w:vMerge w:val="restart"/>
            <w:tcBorders>
              <w:bottom w:val="nil"/>
            </w:tcBorders>
          </w:tcPr>
          <w:p>
            <w:pPr>
              <w:ind w:left="96"/>
              <w:spacing w:before="165" w:line="228" w:lineRule="auto"/>
              <w:rPr>
                <w:rFonts w:ascii="SimSun" w:hAnsi="SimSun" w:eastAsia="SimSun" w:cs="SimSun"/>
                <w:sz w:val="20"/>
                <w:szCs w:val="20"/>
              </w:rPr>
            </w:pPr>
            <w:r>
              <w:rPr>
                <w:rFonts w:ascii="SimSun" w:hAnsi="SimSun" w:eastAsia="SimSun" w:cs="SimSun"/>
                <w:sz w:val="20"/>
                <w:szCs w:val="20"/>
                <w:spacing w:val="3"/>
              </w:rPr>
              <w:t>编号</w:t>
            </w:r>
          </w:p>
        </w:tc>
        <w:tc>
          <w:tcPr>
            <w:tcW w:w="895" w:type="dxa"/>
            <w:vAlign w:val="top"/>
            <w:vMerge w:val="restart"/>
            <w:tcBorders>
              <w:bottom w:val="nil"/>
            </w:tcBorders>
          </w:tcPr>
          <w:p>
            <w:pPr>
              <w:ind w:left="243"/>
              <w:spacing w:before="166" w:line="228" w:lineRule="auto"/>
              <w:rPr>
                <w:rFonts w:ascii="SimSun" w:hAnsi="SimSun" w:eastAsia="SimSun" w:cs="SimSun"/>
                <w:sz w:val="20"/>
                <w:szCs w:val="20"/>
              </w:rPr>
            </w:pPr>
            <w:r>
              <w:rPr>
                <w:rFonts w:ascii="SimSun" w:hAnsi="SimSun" w:eastAsia="SimSun" w:cs="SimSun"/>
                <w:sz w:val="20"/>
                <w:szCs w:val="20"/>
                <w:spacing w:val="3"/>
              </w:rPr>
              <w:t>性质</w:t>
            </w:r>
          </w:p>
        </w:tc>
        <w:tc>
          <w:tcPr>
            <w:tcW w:w="1077" w:type="dxa"/>
            <w:vAlign w:val="top"/>
            <w:vMerge w:val="restart"/>
            <w:tcBorders>
              <w:bottom w:val="nil"/>
            </w:tcBorders>
          </w:tcPr>
          <w:p>
            <w:pPr>
              <w:ind w:left="122"/>
              <w:spacing w:before="31" w:line="228" w:lineRule="auto"/>
              <w:rPr>
                <w:rFonts w:ascii="SimSun" w:hAnsi="SimSun" w:eastAsia="SimSun" w:cs="SimSun"/>
                <w:sz w:val="20"/>
                <w:szCs w:val="20"/>
              </w:rPr>
            </w:pPr>
            <w:r>
              <w:rPr>
                <w:rFonts w:ascii="SimSun" w:hAnsi="SimSun" w:eastAsia="SimSun" w:cs="SimSun"/>
                <w:sz w:val="20"/>
                <w:szCs w:val="20"/>
                <w:spacing w:val="7"/>
              </w:rPr>
              <w:t>延伸长度</w:t>
            </w:r>
          </w:p>
          <w:p>
            <w:pPr>
              <w:pStyle w:val="TableText"/>
              <w:ind w:left="208"/>
              <w:spacing w:before="23" w:line="220" w:lineRule="auto"/>
              <w:rPr>
                <w:rFonts w:ascii="SimSun" w:hAnsi="SimSun" w:eastAsia="SimSun" w:cs="SimSun"/>
              </w:rPr>
            </w:pPr>
            <w:r>
              <w:rPr>
                <w:rFonts w:ascii="SimSun" w:hAnsi="SimSun" w:eastAsia="SimSun" w:cs="SimSun"/>
                <w:spacing w:val="1"/>
              </w:rPr>
              <w:t>（</w:t>
            </w:r>
            <w:r>
              <w:rPr/>
              <w:t>km</w:t>
            </w:r>
            <w:r>
              <w:rPr>
                <w:rFonts w:ascii="SimSun" w:hAnsi="SimSun" w:eastAsia="SimSun" w:cs="SimSun"/>
                <w:spacing w:val="1"/>
              </w:rPr>
              <w:t>）</w:t>
            </w:r>
          </w:p>
        </w:tc>
        <w:tc>
          <w:tcPr>
            <w:tcW w:w="3140" w:type="dxa"/>
            <w:vAlign w:val="top"/>
            <w:gridSpan w:val="3"/>
          </w:tcPr>
          <w:p>
            <w:pPr>
              <w:ind w:left="1365"/>
              <w:spacing w:before="29" w:line="216" w:lineRule="auto"/>
              <w:rPr>
                <w:rFonts w:ascii="SimSun" w:hAnsi="SimSun" w:eastAsia="SimSun" w:cs="SimSun"/>
                <w:sz w:val="20"/>
                <w:szCs w:val="20"/>
              </w:rPr>
            </w:pPr>
            <w:r>
              <w:rPr>
                <w:rFonts w:ascii="SimSun" w:hAnsi="SimSun" w:eastAsia="SimSun" w:cs="SimSun"/>
                <w:sz w:val="20"/>
                <w:szCs w:val="20"/>
                <w:spacing w:val="4"/>
              </w:rPr>
              <w:t>产状</w:t>
            </w:r>
          </w:p>
        </w:tc>
        <w:tc>
          <w:tcPr>
            <w:tcW w:w="837" w:type="dxa"/>
            <w:vAlign w:val="top"/>
            <w:vMerge w:val="restart"/>
            <w:tcBorders>
              <w:bottom w:val="nil"/>
            </w:tcBorders>
          </w:tcPr>
          <w:p>
            <w:pPr>
              <w:pStyle w:val="TableText"/>
              <w:spacing w:before="165" w:line="229" w:lineRule="auto"/>
              <w:jc w:val="right"/>
              <w:rPr>
                <w:rFonts w:ascii="SimSun" w:hAnsi="SimSun" w:eastAsia="SimSun" w:cs="SimSun"/>
              </w:rPr>
            </w:pPr>
            <w:r>
              <w:rPr>
                <w:rFonts w:ascii="SimSun" w:hAnsi="SimSun" w:eastAsia="SimSun" w:cs="SimSun"/>
                <w:spacing w:val="-27"/>
              </w:rPr>
              <w:t>落差（</w:t>
            </w:r>
            <w:r>
              <w:rPr>
                <w:spacing w:val="-27"/>
              </w:rPr>
              <w:t>m</w:t>
            </w:r>
            <w:r>
              <w:rPr>
                <w:rFonts w:ascii="SimSun" w:hAnsi="SimSun" w:eastAsia="SimSun" w:cs="SimSun"/>
                <w:spacing w:val="-27"/>
              </w:rPr>
              <w:t>）</w:t>
            </w:r>
          </w:p>
        </w:tc>
        <w:tc>
          <w:tcPr>
            <w:tcW w:w="727" w:type="dxa"/>
            <w:vAlign w:val="top"/>
            <w:vMerge w:val="restart"/>
            <w:tcBorders>
              <w:bottom w:val="nil"/>
            </w:tcBorders>
          </w:tcPr>
          <w:p>
            <w:pPr>
              <w:ind w:left="265" w:right="46" w:hanging="209"/>
              <w:spacing w:before="31" w:line="235" w:lineRule="auto"/>
              <w:rPr>
                <w:rFonts w:ascii="SimSun" w:hAnsi="SimSun" w:eastAsia="SimSun" w:cs="SimSun"/>
                <w:sz w:val="20"/>
                <w:szCs w:val="20"/>
              </w:rPr>
            </w:pPr>
            <w:r>
              <w:rPr>
                <w:rFonts w:ascii="SimSun" w:hAnsi="SimSun" w:eastAsia="SimSun" w:cs="SimSun"/>
                <w:sz w:val="20"/>
                <w:szCs w:val="20"/>
                <w:spacing w:val="6"/>
              </w:rPr>
              <w:t>上盘地</w:t>
            </w:r>
            <w:r>
              <w:rPr>
                <w:rFonts w:ascii="SimSun" w:hAnsi="SimSun" w:eastAsia="SimSun" w:cs="SimSun"/>
                <w:sz w:val="20"/>
                <w:szCs w:val="20"/>
              </w:rPr>
              <w:t>层</w:t>
            </w:r>
          </w:p>
        </w:tc>
        <w:tc>
          <w:tcPr>
            <w:tcW w:w="681" w:type="dxa"/>
            <w:vAlign w:val="top"/>
            <w:vMerge w:val="restart"/>
            <w:tcBorders>
              <w:bottom w:val="nil"/>
            </w:tcBorders>
          </w:tcPr>
          <w:p>
            <w:pPr>
              <w:ind w:left="238" w:right="22" w:hanging="199"/>
              <w:spacing w:before="31" w:line="235" w:lineRule="auto"/>
              <w:rPr>
                <w:rFonts w:ascii="SimSun" w:hAnsi="SimSun" w:eastAsia="SimSun" w:cs="SimSun"/>
                <w:sz w:val="20"/>
                <w:szCs w:val="20"/>
              </w:rPr>
            </w:pPr>
            <w:r>
              <w:rPr>
                <w:rFonts w:ascii="SimSun" w:hAnsi="SimSun" w:eastAsia="SimSun" w:cs="SimSun"/>
                <w:sz w:val="20"/>
                <w:szCs w:val="20"/>
                <w:spacing w:val="4"/>
              </w:rPr>
              <w:t>下盘地</w:t>
            </w:r>
            <w:r>
              <w:rPr>
                <w:rFonts w:ascii="SimSun" w:hAnsi="SimSun" w:eastAsia="SimSun" w:cs="SimSun"/>
                <w:sz w:val="20"/>
                <w:szCs w:val="20"/>
              </w:rPr>
              <w:t>层</w:t>
            </w:r>
          </w:p>
        </w:tc>
        <w:tc>
          <w:tcPr>
            <w:tcW w:w="1115" w:type="dxa"/>
            <w:vAlign w:val="top"/>
            <w:vMerge w:val="restart"/>
            <w:tcBorders>
              <w:bottom w:val="nil"/>
            </w:tcBorders>
          </w:tcPr>
          <w:p>
            <w:pPr>
              <w:ind w:left="145"/>
              <w:spacing w:before="166" w:line="228" w:lineRule="auto"/>
              <w:rPr>
                <w:rFonts w:ascii="SimSun" w:hAnsi="SimSun" w:eastAsia="SimSun" w:cs="SimSun"/>
                <w:sz w:val="20"/>
                <w:szCs w:val="20"/>
              </w:rPr>
            </w:pPr>
            <w:r>
              <w:rPr>
                <w:rFonts w:ascii="SimSun" w:hAnsi="SimSun" w:eastAsia="SimSun" w:cs="SimSun"/>
                <w:sz w:val="20"/>
                <w:szCs w:val="20"/>
                <w:spacing w:val="6"/>
              </w:rPr>
              <w:t>可靠程度</w:t>
            </w:r>
          </w:p>
        </w:tc>
      </w:tr>
      <w:tr>
        <w:trPr>
          <w:trHeight w:val="273" w:hRule="atLeast"/>
        </w:trPr>
        <w:tc>
          <w:tcPr>
            <w:tcW w:w="602" w:type="dxa"/>
            <w:vAlign w:val="top"/>
            <w:vMerge w:val="continue"/>
            <w:tcBorders>
              <w:top w:val="nil"/>
            </w:tcBorders>
          </w:tcPr>
          <w:p>
            <w:pPr>
              <w:rPr>
                <w:rFonts w:ascii="Arial"/>
                <w:sz w:val="21"/>
              </w:rPr>
            </w:pPr>
            <w:r/>
          </w:p>
        </w:tc>
        <w:tc>
          <w:tcPr>
            <w:tcW w:w="895" w:type="dxa"/>
            <w:vAlign w:val="top"/>
            <w:vMerge w:val="continue"/>
            <w:tcBorders>
              <w:top w:val="nil"/>
            </w:tcBorders>
          </w:tcPr>
          <w:p>
            <w:pPr>
              <w:rPr>
                <w:rFonts w:ascii="Arial"/>
                <w:sz w:val="21"/>
              </w:rPr>
            </w:pPr>
            <w:r/>
          </w:p>
        </w:tc>
        <w:tc>
          <w:tcPr>
            <w:tcW w:w="1077" w:type="dxa"/>
            <w:vAlign w:val="top"/>
            <w:vMerge w:val="continue"/>
            <w:tcBorders>
              <w:top w:val="nil"/>
            </w:tcBorders>
          </w:tcPr>
          <w:p>
            <w:pPr>
              <w:rPr>
                <w:rFonts w:ascii="Arial"/>
                <w:sz w:val="21"/>
              </w:rPr>
            </w:pPr>
            <w:r/>
          </w:p>
        </w:tc>
        <w:tc>
          <w:tcPr>
            <w:tcW w:w="1569" w:type="dxa"/>
            <w:vAlign w:val="top"/>
          </w:tcPr>
          <w:p>
            <w:pPr>
              <w:ind w:left="578"/>
              <w:spacing w:before="26" w:line="218" w:lineRule="auto"/>
              <w:rPr>
                <w:rFonts w:ascii="SimSun" w:hAnsi="SimSun" w:eastAsia="SimSun" w:cs="SimSun"/>
                <w:sz w:val="20"/>
                <w:szCs w:val="20"/>
              </w:rPr>
            </w:pPr>
            <w:r>
              <w:rPr>
                <w:rFonts w:ascii="SimSun" w:hAnsi="SimSun" w:eastAsia="SimSun" w:cs="SimSun"/>
                <w:sz w:val="20"/>
                <w:szCs w:val="20"/>
                <w:spacing w:val="3"/>
              </w:rPr>
              <w:t>走向</w:t>
            </w:r>
          </w:p>
        </w:tc>
        <w:tc>
          <w:tcPr>
            <w:tcW w:w="734" w:type="dxa"/>
            <w:vAlign w:val="top"/>
          </w:tcPr>
          <w:p>
            <w:pPr>
              <w:ind w:left="158"/>
              <w:spacing w:before="26" w:line="218" w:lineRule="auto"/>
              <w:rPr>
                <w:rFonts w:ascii="SimSun" w:hAnsi="SimSun" w:eastAsia="SimSun" w:cs="SimSun"/>
                <w:sz w:val="20"/>
                <w:szCs w:val="20"/>
              </w:rPr>
            </w:pPr>
            <w:r>
              <w:rPr>
                <w:rFonts w:ascii="SimSun" w:hAnsi="SimSun" w:eastAsia="SimSun" w:cs="SimSun"/>
                <w:sz w:val="20"/>
                <w:szCs w:val="20"/>
                <w:spacing w:val="4"/>
              </w:rPr>
              <w:t>倾向</w:t>
            </w:r>
          </w:p>
        </w:tc>
        <w:tc>
          <w:tcPr>
            <w:tcW w:w="837" w:type="dxa"/>
            <w:vAlign w:val="top"/>
          </w:tcPr>
          <w:p>
            <w:pPr>
              <w:ind w:left="214"/>
              <w:spacing w:before="26" w:line="218" w:lineRule="auto"/>
              <w:rPr>
                <w:rFonts w:ascii="SimSun" w:hAnsi="SimSun" w:eastAsia="SimSun" w:cs="SimSun"/>
                <w:sz w:val="20"/>
                <w:szCs w:val="20"/>
              </w:rPr>
            </w:pPr>
            <w:r>
              <w:rPr>
                <w:rFonts w:ascii="SimSun" w:hAnsi="SimSun" w:eastAsia="SimSun" w:cs="SimSun"/>
                <w:sz w:val="20"/>
                <w:szCs w:val="20"/>
                <w:spacing w:val="4"/>
              </w:rPr>
              <w:t>倾角</w:t>
            </w:r>
          </w:p>
        </w:tc>
        <w:tc>
          <w:tcPr>
            <w:tcW w:w="837" w:type="dxa"/>
            <w:vAlign w:val="top"/>
            <w:vMerge w:val="continue"/>
            <w:tcBorders>
              <w:top w:val="nil"/>
            </w:tcBorders>
          </w:tcPr>
          <w:p>
            <w:pPr>
              <w:rPr>
                <w:rFonts w:ascii="Arial"/>
                <w:sz w:val="21"/>
              </w:rPr>
            </w:pPr>
            <w:r/>
          </w:p>
        </w:tc>
        <w:tc>
          <w:tcPr>
            <w:tcW w:w="727" w:type="dxa"/>
            <w:vAlign w:val="top"/>
            <w:vMerge w:val="continue"/>
            <w:tcBorders>
              <w:top w:val="nil"/>
            </w:tcBorders>
          </w:tcPr>
          <w:p>
            <w:pPr>
              <w:rPr>
                <w:rFonts w:ascii="Arial"/>
                <w:sz w:val="21"/>
              </w:rPr>
            </w:pPr>
            <w:r/>
          </w:p>
        </w:tc>
        <w:tc>
          <w:tcPr>
            <w:tcW w:w="681" w:type="dxa"/>
            <w:vAlign w:val="top"/>
            <w:vMerge w:val="continue"/>
            <w:tcBorders>
              <w:top w:val="nil"/>
            </w:tcBorders>
          </w:tcPr>
          <w:p>
            <w:pPr>
              <w:rPr>
                <w:rFonts w:ascii="Arial"/>
                <w:sz w:val="21"/>
              </w:rPr>
            </w:pPr>
            <w:r/>
          </w:p>
        </w:tc>
        <w:tc>
          <w:tcPr>
            <w:tcW w:w="1115" w:type="dxa"/>
            <w:vAlign w:val="top"/>
            <w:vMerge w:val="continue"/>
            <w:tcBorders>
              <w:top w:val="nil"/>
            </w:tcBorders>
          </w:tcPr>
          <w:p>
            <w:pPr>
              <w:rPr>
                <w:rFonts w:ascii="Arial"/>
                <w:sz w:val="21"/>
              </w:rPr>
            </w:pPr>
            <w:r/>
          </w:p>
        </w:tc>
      </w:tr>
      <w:tr>
        <w:trPr>
          <w:trHeight w:val="270" w:hRule="atLeast"/>
        </w:trPr>
        <w:tc>
          <w:tcPr>
            <w:tcW w:w="602" w:type="dxa"/>
            <w:vAlign w:val="top"/>
          </w:tcPr>
          <w:p>
            <w:pPr>
              <w:pStyle w:val="TableText"/>
              <w:ind w:left="132"/>
              <w:spacing w:before="63" w:line="195" w:lineRule="auto"/>
              <w:rPr/>
            </w:pPr>
            <w:r>
              <w:rPr>
                <w:spacing w:val="3"/>
              </w:rPr>
              <w:t>F14</w:t>
            </w:r>
          </w:p>
        </w:tc>
        <w:tc>
          <w:tcPr>
            <w:tcW w:w="895" w:type="dxa"/>
            <w:vAlign w:val="top"/>
          </w:tcPr>
          <w:p>
            <w:pPr>
              <w:ind w:left="134"/>
              <w:spacing w:before="27" w:line="215" w:lineRule="auto"/>
              <w:rPr>
                <w:rFonts w:ascii="SimSun" w:hAnsi="SimSun" w:eastAsia="SimSun" w:cs="SimSun"/>
                <w:sz w:val="20"/>
                <w:szCs w:val="20"/>
              </w:rPr>
            </w:pPr>
            <w:r>
              <w:rPr>
                <w:rFonts w:ascii="SimSun" w:hAnsi="SimSun" w:eastAsia="SimSun" w:cs="SimSun"/>
                <w:sz w:val="20"/>
                <w:szCs w:val="20"/>
                <w:spacing w:val="7"/>
              </w:rPr>
              <w:t>平移正</w:t>
            </w:r>
          </w:p>
        </w:tc>
        <w:tc>
          <w:tcPr>
            <w:tcW w:w="1077" w:type="dxa"/>
            <w:vAlign w:val="top"/>
          </w:tcPr>
          <w:p>
            <w:pPr>
              <w:pStyle w:val="TableText"/>
              <w:ind w:left="438"/>
              <w:spacing w:before="63" w:line="195" w:lineRule="auto"/>
              <w:rPr/>
            </w:pPr>
            <w:r>
              <w:rPr/>
              <w:t>60</w:t>
            </w:r>
          </w:p>
        </w:tc>
        <w:tc>
          <w:tcPr>
            <w:tcW w:w="1569" w:type="dxa"/>
            <w:vAlign w:val="top"/>
          </w:tcPr>
          <w:p>
            <w:pPr>
              <w:pStyle w:val="TableText"/>
              <w:ind w:left="312"/>
              <w:spacing w:before="63" w:line="195" w:lineRule="auto"/>
              <w:rPr/>
            </w:pPr>
            <w:r>
              <w:rPr>
                <w:spacing w:val="5"/>
              </w:rPr>
              <w:t>N25-75°W</w:t>
            </w:r>
          </w:p>
        </w:tc>
        <w:tc>
          <w:tcPr>
            <w:tcW w:w="734" w:type="dxa"/>
            <w:vAlign w:val="top"/>
          </w:tcPr>
          <w:p>
            <w:pPr>
              <w:pStyle w:val="TableText"/>
              <w:ind w:left="219"/>
              <w:spacing w:before="66" w:line="192" w:lineRule="auto"/>
              <w:rPr/>
            </w:pPr>
            <w:r>
              <w:rPr>
                <w:spacing w:val="7"/>
              </w:rPr>
              <w:t>NE</w:t>
            </w:r>
          </w:p>
        </w:tc>
        <w:tc>
          <w:tcPr>
            <w:tcW w:w="837" w:type="dxa"/>
            <w:vAlign w:val="top"/>
          </w:tcPr>
          <w:p>
            <w:pPr>
              <w:pStyle w:val="TableText"/>
              <w:ind w:left="276"/>
              <w:spacing w:before="63" w:line="195" w:lineRule="auto"/>
              <w:rPr/>
            </w:pPr>
            <w:r>
              <w:rPr>
                <w:spacing w:val="1"/>
              </w:rPr>
              <w:t>75°</w:t>
            </w:r>
          </w:p>
        </w:tc>
        <w:tc>
          <w:tcPr>
            <w:tcW w:w="837" w:type="dxa"/>
            <w:vAlign w:val="top"/>
          </w:tcPr>
          <w:p>
            <w:pPr>
              <w:pStyle w:val="TableText"/>
              <w:ind w:left="376"/>
              <w:spacing w:before="63" w:line="195" w:lineRule="auto"/>
              <w:rPr/>
            </w:pPr>
            <w:r>
              <w:rPr/>
              <w:t>?</w:t>
            </w:r>
          </w:p>
        </w:tc>
        <w:tc>
          <w:tcPr>
            <w:tcW w:w="727" w:type="dxa"/>
            <w:vAlign w:val="top"/>
          </w:tcPr>
          <w:p>
            <w:pPr>
              <w:pStyle w:val="TableText"/>
              <w:ind w:left="110"/>
              <w:spacing w:before="63" w:line="195" w:lineRule="auto"/>
              <w:rPr/>
            </w:pPr>
            <w:r>
              <w:rPr>
                <w:spacing w:val="3"/>
              </w:rPr>
              <w:t>J3-K1</w:t>
            </w:r>
          </w:p>
        </w:tc>
        <w:tc>
          <w:tcPr>
            <w:tcW w:w="681" w:type="dxa"/>
            <w:vAlign w:val="top"/>
          </w:tcPr>
          <w:p>
            <w:pPr>
              <w:pStyle w:val="TableText"/>
              <w:ind w:left="224"/>
              <w:spacing w:before="63" w:line="195" w:lineRule="auto"/>
              <w:rPr/>
            </w:pPr>
            <w:r>
              <w:rPr>
                <w:spacing w:val="1"/>
              </w:rPr>
              <w:t>C2</w:t>
            </w:r>
          </w:p>
        </w:tc>
        <w:tc>
          <w:tcPr>
            <w:tcW w:w="1115" w:type="dxa"/>
            <w:vAlign w:val="top"/>
            <w:vMerge w:val="restart"/>
            <w:tcBorders>
              <w:bottom w:val="nil"/>
            </w:tcBorders>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ind w:left="146"/>
              <w:spacing w:before="65" w:line="228" w:lineRule="auto"/>
              <w:rPr>
                <w:rFonts w:ascii="SimSun" w:hAnsi="SimSun" w:eastAsia="SimSun" w:cs="SimSun"/>
                <w:sz w:val="20"/>
                <w:szCs w:val="20"/>
              </w:rPr>
            </w:pPr>
            <w:r>
              <w:rPr>
                <w:rFonts w:ascii="SimSun" w:hAnsi="SimSun" w:eastAsia="SimSun" w:cs="SimSun"/>
                <w:sz w:val="20"/>
                <w:szCs w:val="20"/>
                <w:spacing w:val="6"/>
              </w:rPr>
              <w:t>综合推断</w:t>
            </w:r>
          </w:p>
        </w:tc>
      </w:tr>
      <w:tr>
        <w:trPr>
          <w:trHeight w:val="273" w:hRule="atLeast"/>
        </w:trPr>
        <w:tc>
          <w:tcPr>
            <w:tcW w:w="602" w:type="dxa"/>
            <w:vAlign w:val="top"/>
          </w:tcPr>
          <w:p>
            <w:pPr>
              <w:pStyle w:val="TableText"/>
              <w:ind w:left="132"/>
              <w:spacing w:before="64" w:line="195" w:lineRule="auto"/>
              <w:rPr/>
            </w:pPr>
            <w:r>
              <w:rPr>
                <w:spacing w:val="3"/>
              </w:rPr>
              <w:t>F36</w:t>
            </w:r>
          </w:p>
        </w:tc>
        <w:tc>
          <w:tcPr>
            <w:tcW w:w="895" w:type="dxa"/>
            <w:vAlign w:val="top"/>
          </w:tcPr>
          <w:p>
            <w:pPr>
              <w:ind w:left="134"/>
              <w:spacing w:before="29" w:line="216" w:lineRule="auto"/>
              <w:rPr>
                <w:rFonts w:ascii="SimSun" w:hAnsi="SimSun" w:eastAsia="SimSun" w:cs="SimSun"/>
                <w:sz w:val="20"/>
                <w:szCs w:val="20"/>
              </w:rPr>
            </w:pPr>
            <w:r>
              <w:rPr>
                <w:rFonts w:ascii="SimSun" w:hAnsi="SimSun" w:eastAsia="SimSun" w:cs="SimSun"/>
                <w:sz w:val="20"/>
                <w:szCs w:val="20"/>
                <w:spacing w:val="7"/>
              </w:rPr>
              <w:t>平移正</w:t>
            </w:r>
          </w:p>
        </w:tc>
        <w:tc>
          <w:tcPr>
            <w:tcW w:w="1077" w:type="dxa"/>
            <w:vAlign w:val="top"/>
          </w:tcPr>
          <w:p>
            <w:pPr>
              <w:pStyle w:val="TableText"/>
              <w:ind w:left="454"/>
              <w:spacing w:before="64" w:line="195" w:lineRule="auto"/>
              <w:rPr/>
            </w:pPr>
            <w:r>
              <w:rPr>
                <w:spacing w:val="-8"/>
              </w:rPr>
              <w:t>19</w:t>
            </w:r>
          </w:p>
        </w:tc>
        <w:tc>
          <w:tcPr>
            <w:tcW w:w="1569" w:type="dxa"/>
            <w:vAlign w:val="top"/>
          </w:tcPr>
          <w:p>
            <w:pPr>
              <w:pStyle w:val="TableText"/>
              <w:ind w:left="456"/>
              <w:spacing w:before="64" w:line="195" w:lineRule="auto"/>
              <w:rPr/>
            </w:pPr>
            <w:r>
              <w:rPr>
                <w:spacing w:val="6"/>
              </w:rPr>
              <w:t>N50°W</w:t>
            </w:r>
          </w:p>
        </w:tc>
        <w:tc>
          <w:tcPr>
            <w:tcW w:w="734" w:type="dxa"/>
            <w:vAlign w:val="top"/>
          </w:tcPr>
          <w:p>
            <w:pPr>
              <w:pStyle w:val="TableText"/>
              <w:ind w:left="219"/>
              <w:spacing w:before="67" w:line="192" w:lineRule="auto"/>
              <w:rPr/>
            </w:pPr>
            <w:r>
              <w:rPr>
                <w:spacing w:val="7"/>
              </w:rPr>
              <w:t>NE</w:t>
            </w:r>
          </w:p>
        </w:tc>
        <w:tc>
          <w:tcPr>
            <w:tcW w:w="837" w:type="dxa"/>
            <w:vAlign w:val="top"/>
          </w:tcPr>
          <w:p>
            <w:pPr>
              <w:pStyle w:val="TableText"/>
              <w:ind w:left="276"/>
              <w:spacing w:before="64" w:line="195" w:lineRule="auto"/>
              <w:rPr/>
            </w:pPr>
            <w:r>
              <w:rPr>
                <w:spacing w:val="1"/>
              </w:rPr>
              <w:t>75°</w:t>
            </w:r>
          </w:p>
        </w:tc>
        <w:tc>
          <w:tcPr>
            <w:tcW w:w="837" w:type="dxa"/>
            <w:vAlign w:val="top"/>
          </w:tcPr>
          <w:p>
            <w:pPr>
              <w:pStyle w:val="TableText"/>
              <w:ind w:left="231"/>
              <w:spacing w:before="64" w:line="195" w:lineRule="auto"/>
              <w:rPr/>
            </w:pPr>
            <w:r>
              <w:rPr>
                <w:spacing w:val="-1"/>
              </w:rPr>
              <w:t>1260</w:t>
            </w:r>
          </w:p>
        </w:tc>
        <w:tc>
          <w:tcPr>
            <w:tcW w:w="727" w:type="dxa"/>
            <w:vAlign w:val="top"/>
          </w:tcPr>
          <w:p>
            <w:pPr>
              <w:pStyle w:val="TableText"/>
              <w:ind w:left="168"/>
              <w:spacing w:before="29" w:line="216" w:lineRule="auto"/>
              <w:rPr>
                <w:rFonts w:ascii="SimSun" w:hAnsi="SimSun" w:eastAsia="SimSun" w:cs="SimSun"/>
              </w:rPr>
            </w:pPr>
            <w:r>
              <w:rPr>
                <w:spacing w:val="1"/>
              </w:rPr>
              <w:t>J3</w:t>
            </w:r>
            <w:r>
              <w:rPr>
                <w:rFonts w:ascii="SimSun" w:hAnsi="SimSun" w:eastAsia="SimSun" w:cs="SimSun"/>
                <w:spacing w:val="1"/>
              </w:rPr>
              <w:t>？</w:t>
            </w:r>
          </w:p>
        </w:tc>
        <w:tc>
          <w:tcPr>
            <w:tcW w:w="681" w:type="dxa"/>
            <w:vAlign w:val="top"/>
          </w:tcPr>
          <w:p>
            <w:pPr>
              <w:pStyle w:val="TableText"/>
              <w:ind w:left="224"/>
              <w:spacing w:before="64" w:line="195" w:lineRule="auto"/>
              <w:rPr/>
            </w:pPr>
            <w:r>
              <w:rPr>
                <w:spacing w:val="1"/>
              </w:rPr>
              <w:t>C2</w:t>
            </w:r>
          </w:p>
        </w:tc>
        <w:tc>
          <w:tcPr>
            <w:tcW w:w="1115" w:type="dxa"/>
            <w:vAlign w:val="top"/>
            <w:vMerge w:val="continue"/>
            <w:tcBorders>
              <w:top w:val="nil"/>
              <w:bottom w:val="nil"/>
            </w:tcBorders>
          </w:tcPr>
          <w:p>
            <w:pPr>
              <w:rPr>
                <w:rFonts w:ascii="Arial"/>
                <w:sz w:val="21"/>
              </w:rPr>
            </w:pPr>
            <w:r/>
          </w:p>
        </w:tc>
      </w:tr>
      <w:tr>
        <w:trPr>
          <w:trHeight w:val="273" w:hRule="atLeast"/>
        </w:trPr>
        <w:tc>
          <w:tcPr>
            <w:tcW w:w="602" w:type="dxa"/>
            <w:vAlign w:val="top"/>
          </w:tcPr>
          <w:p>
            <w:pPr>
              <w:pStyle w:val="TableText"/>
              <w:ind w:left="101"/>
              <w:spacing w:before="64" w:line="195" w:lineRule="auto"/>
              <w:rPr/>
            </w:pPr>
            <w:r>
              <w:rPr>
                <w:spacing w:val="3"/>
              </w:rPr>
              <w:t>F3-2</w:t>
            </w:r>
          </w:p>
        </w:tc>
        <w:tc>
          <w:tcPr>
            <w:tcW w:w="895" w:type="dxa"/>
            <w:vAlign w:val="top"/>
          </w:tcPr>
          <w:p>
            <w:pPr>
              <w:ind w:left="348"/>
              <w:spacing w:before="29" w:line="216" w:lineRule="auto"/>
              <w:rPr>
                <w:rFonts w:ascii="SimSun" w:hAnsi="SimSun" w:eastAsia="SimSun" w:cs="SimSun"/>
                <w:sz w:val="20"/>
                <w:szCs w:val="20"/>
              </w:rPr>
            </w:pPr>
            <w:r>
              <w:rPr>
                <w:rFonts w:ascii="SimSun" w:hAnsi="SimSun" w:eastAsia="SimSun" w:cs="SimSun"/>
                <w:sz w:val="20"/>
                <w:szCs w:val="20"/>
              </w:rPr>
              <w:t>正</w:t>
            </w:r>
          </w:p>
        </w:tc>
        <w:tc>
          <w:tcPr>
            <w:tcW w:w="1077" w:type="dxa"/>
            <w:vAlign w:val="top"/>
          </w:tcPr>
          <w:p>
            <w:pPr>
              <w:pStyle w:val="TableText"/>
              <w:ind w:left="434"/>
              <w:spacing w:before="64" w:line="195" w:lineRule="auto"/>
              <w:rPr/>
            </w:pPr>
            <w:r>
              <w:rPr>
                <w:spacing w:val="2"/>
              </w:rPr>
              <w:t>22</w:t>
            </w:r>
          </w:p>
        </w:tc>
        <w:tc>
          <w:tcPr>
            <w:tcW w:w="1569" w:type="dxa"/>
            <w:vAlign w:val="top"/>
          </w:tcPr>
          <w:p>
            <w:pPr>
              <w:pStyle w:val="TableText"/>
              <w:ind w:left="490"/>
              <w:spacing w:before="64" w:line="195" w:lineRule="auto"/>
              <w:rPr/>
            </w:pPr>
            <w:r>
              <w:rPr>
                <w:spacing w:val="5"/>
              </w:rPr>
              <w:t>N40°E</w:t>
            </w:r>
          </w:p>
        </w:tc>
        <w:tc>
          <w:tcPr>
            <w:tcW w:w="734" w:type="dxa"/>
            <w:vAlign w:val="top"/>
          </w:tcPr>
          <w:p>
            <w:pPr>
              <w:pStyle w:val="TableText"/>
              <w:ind w:left="183"/>
              <w:spacing w:before="67" w:line="192" w:lineRule="auto"/>
              <w:rPr/>
            </w:pPr>
            <w:r>
              <w:rPr>
                <w:spacing w:val="8"/>
              </w:rPr>
              <w:t>NW</w:t>
            </w:r>
          </w:p>
        </w:tc>
        <w:tc>
          <w:tcPr>
            <w:tcW w:w="837" w:type="dxa"/>
            <w:vAlign w:val="top"/>
          </w:tcPr>
          <w:p>
            <w:pPr>
              <w:pStyle w:val="TableText"/>
              <w:ind w:left="276"/>
              <w:spacing w:before="64" w:line="195" w:lineRule="auto"/>
              <w:rPr/>
            </w:pPr>
            <w:r>
              <w:rPr>
                <w:spacing w:val="1"/>
              </w:rPr>
              <w:t>75°</w:t>
            </w:r>
          </w:p>
        </w:tc>
        <w:tc>
          <w:tcPr>
            <w:tcW w:w="837" w:type="dxa"/>
            <w:vAlign w:val="top"/>
          </w:tcPr>
          <w:p>
            <w:pPr>
              <w:pStyle w:val="TableText"/>
              <w:ind w:left="210"/>
              <w:spacing w:before="64" w:line="195" w:lineRule="auto"/>
              <w:rPr/>
            </w:pPr>
            <w:r>
              <w:rPr>
                <w:spacing w:val="4"/>
              </w:rPr>
              <w:t>2456</w:t>
            </w:r>
          </w:p>
        </w:tc>
        <w:tc>
          <w:tcPr>
            <w:tcW w:w="727" w:type="dxa"/>
            <w:vAlign w:val="top"/>
          </w:tcPr>
          <w:p>
            <w:pPr>
              <w:pStyle w:val="TableText"/>
              <w:ind w:left="110"/>
              <w:spacing w:before="64" w:line="195" w:lineRule="auto"/>
              <w:rPr/>
            </w:pPr>
            <w:r>
              <w:rPr>
                <w:spacing w:val="3"/>
              </w:rPr>
              <w:t>J3-K1</w:t>
            </w:r>
          </w:p>
        </w:tc>
        <w:tc>
          <w:tcPr>
            <w:tcW w:w="681" w:type="dxa"/>
            <w:vAlign w:val="top"/>
          </w:tcPr>
          <w:p>
            <w:pPr>
              <w:pStyle w:val="TableText"/>
              <w:ind w:left="224"/>
              <w:spacing w:before="64" w:line="195" w:lineRule="auto"/>
              <w:rPr/>
            </w:pPr>
            <w:r>
              <w:rPr>
                <w:spacing w:val="1"/>
              </w:rPr>
              <w:t>C2</w:t>
            </w:r>
          </w:p>
        </w:tc>
        <w:tc>
          <w:tcPr>
            <w:tcW w:w="1115" w:type="dxa"/>
            <w:vAlign w:val="top"/>
            <w:vMerge w:val="continue"/>
            <w:tcBorders>
              <w:top w:val="nil"/>
              <w:bottom w:val="nil"/>
            </w:tcBorders>
          </w:tcPr>
          <w:p>
            <w:pPr>
              <w:rPr>
                <w:rFonts w:ascii="Arial"/>
                <w:sz w:val="21"/>
              </w:rPr>
            </w:pPr>
            <w:r/>
          </w:p>
        </w:tc>
      </w:tr>
      <w:tr>
        <w:trPr>
          <w:trHeight w:val="270" w:hRule="atLeast"/>
        </w:trPr>
        <w:tc>
          <w:tcPr>
            <w:tcW w:w="602" w:type="dxa"/>
            <w:vAlign w:val="top"/>
          </w:tcPr>
          <w:p>
            <w:pPr>
              <w:pStyle w:val="TableText"/>
              <w:ind w:left="101"/>
              <w:spacing w:before="62" w:line="195" w:lineRule="auto"/>
              <w:rPr/>
            </w:pPr>
            <w:r>
              <w:rPr>
                <w:spacing w:val="3"/>
              </w:rPr>
              <w:t>F3-3</w:t>
            </w:r>
          </w:p>
        </w:tc>
        <w:tc>
          <w:tcPr>
            <w:tcW w:w="895" w:type="dxa"/>
            <w:vAlign w:val="top"/>
          </w:tcPr>
          <w:p>
            <w:pPr>
              <w:ind w:left="348"/>
              <w:spacing w:before="27" w:line="215" w:lineRule="auto"/>
              <w:rPr>
                <w:rFonts w:ascii="SimSun" w:hAnsi="SimSun" w:eastAsia="SimSun" w:cs="SimSun"/>
                <w:sz w:val="20"/>
                <w:szCs w:val="20"/>
              </w:rPr>
            </w:pPr>
            <w:r>
              <w:rPr>
                <w:rFonts w:ascii="SimSun" w:hAnsi="SimSun" w:eastAsia="SimSun" w:cs="SimSun"/>
                <w:sz w:val="20"/>
                <w:szCs w:val="20"/>
              </w:rPr>
              <w:t>正</w:t>
            </w:r>
          </w:p>
        </w:tc>
        <w:tc>
          <w:tcPr>
            <w:tcW w:w="1077" w:type="dxa"/>
            <w:vAlign w:val="top"/>
          </w:tcPr>
          <w:p>
            <w:pPr>
              <w:pStyle w:val="TableText"/>
              <w:ind w:left="454"/>
              <w:spacing w:before="62" w:line="195" w:lineRule="auto"/>
              <w:rPr/>
            </w:pPr>
            <w:r>
              <w:rPr>
                <w:spacing w:val="-8"/>
              </w:rPr>
              <w:t>11</w:t>
            </w:r>
          </w:p>
        </w:tc>
        <w:tc>
          <w:tcPr>
            <w:tcW w:w="1569" w:type="dxa"/>
            <w:vAlign w:val="top"/>
          </w:tcPr>
          <w:p>
            <w:pPr>
              <w:pStyle w:val="TableText"/>
              <w:ind w:left="490"/>
              <w:spacing w:before="62" w:line="195" w:lineRule="auto"/>
              <w:rPr/>
            </w:pPr>
            <w:r>
              <w:rPr>
                <w:spacing w:val="5"/>
              </w:rPr>
              <w:t>N30°E</w:t>
            </w:r>
          </w:p>
        </w:tc>
        <w:tc>
          <w:tcPr>
            <w:tcW w:w="734" w:type="dxa"/>
            <w:vAlign w:val="top"/>
          </w:tcPr>
          <w:p>
            <w:pPr>
              <w:pStyle w:val="TableText"/>
              <w:ind w:left="183"/>
              <w:spacing w:before="65" w:line="192" w:lineRule="auto"/>
              <w:rPr/>
            </w:pPr>
            <w:r>
              <w:rPr>
                <w:spacing w:val="8"/>
              </w:rPr>
              <w:t>NW</w:t>
            </w:r>
          </w:p>
        </w:tc>
        <w:tc>
          <w:tcPr>
            <w:tcW w:w="837" w:type="dxa"/>
            <w:vAlign w:val="top"/>
          </w:tcPr>
          <w:p>
            <w:pPr>
              <w:pStyle w:val="TableText"/>
              <w:ind w:left="276"/>
              <w:spacing w:before="62" w:line="195" w:lineRule="auto"/>
              <w:rPr/>
            </w:pPr>
            <w:r>
              <w:rPr>
                <w:spacing w:val="1"/>
              </w:rPr>
              <w:t>75°</w:t>
            </w:r>
          </w:p>
        </w:tc>
        <w:tc>
          <w:tcPr>
            <w:tcW w:w="837" w:type="dxa"/>
            <w:vAlign w:val="top"/>
          </w:tcPr>
          <w:p>
            <w:pPr>
              <w:pStyle w:val="TableText"/>
              <w:ind w:left="210"/>
              <w:spacing w:before="62" w:line="195" w:lineRule="auto"/>
              <w:rPr/>
            </w:pPr>
            <w:r>
              <w:rPr>
                <w:spacing w:val="4"/>
              </w:rPr>
              <w:t>2456</w:t>
            </w:r>
          </w:p>
        </w:tc>
        <w:tc>
          <w:tcPr>
            <w:tcW w:w="727" w:type="dxa"/>
            <w:vAlign w:val="top"/>
          </w:tcPr>
          <w:p>
            <w:pPr>
              <w:pStyle w:val="TableText"/>
              <w:ind w:left="110"/>
              <w:spacing w:before="62" w:line="195" w:lineRule="auto"/>
              <w:rPr/>
            </w:pPr>
            <w:r>
              <w:rPr>
                <w:spacing w:val="3"/>
              </w:rPr>
              <w:t>J3-K1</w:t>
            </w:r>
          </w:p>
        </w:tc>
        <w:tc>
          <w:tcPr>
            <w:tcW w:w="681" w:type="dxa"/>
            <w:vAlign w:val="top"/>
          </w:tcPr>
          <w:p>
            <w:pPr>
              <w:pStyle w:val="TableText"/>
              <w:ind w:left="224"/>
              <w:spacing w:before="62" w:line="195" w:lineRule="auto"/>
              <w:rPr/>
            </w:pPr>
            <w:r>
              <w:rPr>
                <w:spacing w:val="1"/>
              </w:rPr>
              <w:t>C2</w:t>
            </w:r>
          </w:p>
        </w:tc>
        <w:tc>
          <w:tcPr>
            <w:tcW w:w="1115" w:type="dxa"/>
            <w:vAlign w:val="top"/>
            <w:vMerge w:val="continue"/>
            <w:tcBorders>
              <w:top w:val="nil"/>
              <w:bottom w:val="nil"/>
            </w:tcBorders>
          </w:tcPr>
          <w:p>
            <w:pPr>
              <w:rPr>
                <w:rFonts w:ascii="Arial"/>
                <w:sz w:val="21"/>
              </w:rPr>
            </w:pPr>
            <w:r/>
          </w:p>
        </w:tc>
      </w:tr>
      <w:tr>
        <w:trPr>
          <w:trHeight w:val="270" w:hRule="atLeast"/>
        </w:trPr>
        <w:tc>
          <w:tcPr>
            <w:tcW w:w="602" w:type="dxa"/>
            <w:vAlign w:val="top"/>
          </w:tcPr>
          <w:p>
            <w:pPr>
              <w:pStyle w:val="TableText"/>
              <w:ind w:left="101"/>
              <w:spacing w:before="66" w:line="195" w:lineRule="auto"/>
              <w:rPr/>
            </w:pPr>
            <w:r>
              <w:rPr>
                <w:spacing w:val="3"/>
              </w:rPr>
              <w:t>F3-4</w:t>
            </w:r>
          </w:p>
        </w:tc>
        <w:tc>
          <w:tcPr>
            <w:tcW w:w="895" w:type="dxa"/>
            <w:vAlign w:val="top"/>
          </w:tcPr>
          <w:p>
            <w:pPr>
              <w:ind w:left="348"/>
              <w:spacing w:before="30" w:line="212" w:lineRule="auto"/>
              <w:rPr>
                <w:rFonts w:ascii="SimSun" w:hAnsi="SimSun" w:eastAsia="SimSun" w:cs="SimSun"/>
                <w:sz w:val="20"/>
                <w:szCs w:val="20"/>
              </w:rPr>
            </w:pPr>
            <w:r>
              <w:rPr>
                <w:rFonts w:ascii="SimSun" w:hAnsi="SimSun" w:eastAsia="SimSun" w:cs="SimSun"/>
                <w:sz w:val="20"/>
                <w:szCs w:val="20"/>
              </w:rPr>
              <w:t>正</w:t>
            </w:r>
          </w:p>
        </w:tc>
        <w:tc>
          <w:tcPr>
            <w:tcW w:w="1077" w:type="dxa"/>
            <w:vAlign w:val="top"/>
          </w:tcPr>
          <w:p>
            <w:pPr>
              <w:pStyle w:val="TableText"/>
              <w:ind w:left="438"/>
              <w:spacing w:before="66" w:line="195" w:lineRule="auto"/>
              <w:rPr/>
            </w:pPr>
            <w:r>
              <w:rPr/>
              <w:t>37</w:t>
            </w:r>
          </w:p>
        </w:tc>
        <w:tc>
          <w:tcPr>
            <w:tcW w:w="1569" w:type="dxa"/>
            <w:vAlign w:val="top"/>
          </w:tcPr>
          <w:p>
            <w:pPr>
              <w:pStyle w:val="TableText"/>
              <w:ind w:left="490"/>
              <w:spacing w:before="66" w:line="195" w:lineRule="auto"/>
              <w:rPr/>
            </w:pPr>
            <w:r>
              <w:rPr>
                <w:spacing w:val="5"/>
              </w:rPr>
              <w:t>N45°E</w:t>
            </w:r>
          </w:p>
        </w:tc>
        <w:tc>
          <w:tcPr>
            <w:tcW w:w="734" w:type="dxa"/>
            <w:vAlign w:val="top"/>
          </w:tcPr>
          <w:p>
            <w:pPr>
              <w:pStyle w:val="TableText"/>
              <w:ind w:left="254"/>
              <w:spacing w:before="66" w:line="195" w:lineRule="auto"/>
              <w:rPr/>
            </w:pPr>
            <w:r>
              <w:rPr>
                <w:spacing w:val="-4"/>
              </w:rPr>
              <w:t>SE</w:t>
            </w:r>
          </w:p>
        </w:tc>
        <w:tc>
          <w:tcPr>
            <w:tcW w:w="837" w:type="dxa"/>
            <w:vAlign w:val="top"/>
          </w:tcPr>
          <w:p>
            <w:pPr>
              <w:pStyle w:val="TableText"/>
              <w:ind w:left="276"/>
              <w:spacing w:before="66" w:line="195" w:lineRule="auto"/>
              <w:rPr/>
            </w:pPr>
            <w:r>
              <w:rPr>
                <w:spacing w:val="1"/>
              </w:rPr>
              <w:t>75°</w:t>
            </w:r>
          </w:p>
        </w:tc>
        <w:tc>
          <w:tcPr>
            <w:tcW w:w="837" w:type="dxa"/>
            <w:vAlign w:val="top"/>
          </w:tcPr>
          <w:p>
            <w:pPr>
              <w:pStyle w:val="TableText"/>
              <w:ind w:left="210"/>
              <w:spacing w:before="66" w:line="195" w:lineRule="auto"/>
              <w:rPr/>
            </w:pPr>
            <w:r>
              <w:rPr>
                <w:spacing w:val="4"/>
              </w:rPr>
              <w:t>2456</w:t>
            </w:r>
          </w:p>
        </w:tc>
        <w:tc>
          <w:tcPr>
            <w:tcW w:w="727" w:type="dxa"/>
            <w:vAlign w:val="top"/>
          </w:tcPr>
          <w:p>
            <w:pPr>
              <w:pStyle w:val="TableText"/>
              <w:ind w:left="110"/>
              <w:spacing w:before="66" w:line="195" w:lineRule="auto"/>
              <w:rPr/>
            </w:pPr>
            <w:r>
              <w:rPr>
                <w:spacing w:val="3"/>
              </w:rPr>
              <w:t>J3-K1</w:t>
            </w:r>
          </w:p>
        </w:tc>
        <w:tc>
          <w:tcPr>
            <w:tcW w:w="681" w:type="dxa"/>
            <w:vAlign w:val="top"/>
          </w:tcPr>
          <w:p>
            <w:pPr>
              <w:pStyle w:val="TableText"/>
              <w:ind w:left="224"/>
              <w:spacing w:before="66" w:line="195" w:lineRule="auto"/>
              <w:rPr/>
            </w:pPr>
            <w:r>
              <w:rPr>
                <w:spacing w:val="1"/>
              </w:rPr>
              <w:t>C2</w:t>
            </w:r>
          </w:p>
        </w:tc>
        <w:tc>
          <w:tcPr>
            <w:tcW w:w="1115" w:type="dxa"/>
            <w:vAlign w:val="top"/>
            <w:vMerge w:val="continue"/>
            <w:tcBorders>
              <w:top w:val="nil"/>
              <w:bottom w:val="nil"/>
            </w:tcBorders>
          </w:tcPr>
          <w:p>
            <w:pPr>
              <w:rPr>
                <w:rFonts w:ascii="Arial"/>
                <w:sz w:val="21"/>
              </w:rPr>
            </w:pPr>
            <w:r/>
          </w:p>
        </w:tc>
      </w:tr>
      <w:tr>
        <w:trPr>
          <w:trHeight w:val="273" w:hRule="atLeast"/>
        </w:trPr>
        <w:tc>
          <w:tcPr>
            <w:tcW w:w="602" w:type="dxa"/>
            <w:vAlign w:val="top"/>
          </w:tcPr>
          <w:p>
            <w:pPr>
              <w:pStyle w:val="TableText"/>
              <w:ind w:left="101"/>
              <w:spacing w:before="67" w:line="195" w:lineRule="auto"/>
              <w:rPr/>
            </w:pPr>
            <w:r>
              <w:rPr>
                <w:spacing w:val="3"/>
              </w:rPr>
              <w:t>F1-8</w:t>
            </w:r>
          </w:p>
        </w:tc>
        <w:tc>
          <w:tcPr>
            <w:tcW w:w="895" w:type="dxa"/>
            <w:vAlign w:val="top"/>
          </w:tcPr>
          <w:p>
            <w:pPr>
              <w:ind w:left="348"/>
              <w:spacing w:before="31" w:line="214" w:lineRule="auto"/>
              <w:rPr>
                <w:rFonts w:ascii="SimSun" w:hAnsi="SimSun" w:eastAsia="SimSun" w:cs="SimSun"/>
                <w:sz w:val="20"/>
                <w:szCs w:val="20"/>
              </w:rPr>
            </w:pPr>
            <w:r>
              <w:rPr>
                <w:rFonts w:ascii="SimSun" w:hAnsi="SimSun" w:eastAsia="SimSun" w:cs="SimSun"/>
                <w:sz w:val="20"/>
                <w:szCs w:val="20"/>
              </w:rPr>
              <w:t>正</w:t>
            </w:r>
          </w:p>
        </w:tc>
        <w:tc>
          <w:tcPr>
            <w:tcW w:w="1077" w:type="dxa"/>
            <w:vAlign w:val="top"/>
          </w:tcPr>
          <w:p>
            <w:pPr>
              <w:pStyle w:val="TableText"/>
              <w:ind w:left="438"/>
              <w:spacing w:before="67" w:line="195" w:lineRule="auto"/>
              <w:rPr/>
            </w:pPr>
            <w:r>
              <w:rPr/>
              <w:t>31</w:t>
            </w:r>
          </w:p>
        </w:tc>
        <w:tc>
          <w:tcPr>
            <w:tcW w:w="1569" w:type="dxa"/>
            <w:vAlign w:val="top"/>
          </w:tcPr>
          <w:p>
            <w:pPr>
              <w:pStyle w:val="TableText"/>
              <w:ind w:left="490"/>
              <w:spacing w:before="67" w:line="195" w:lineRule="auto"/>
              <w:rPr/>
            </w:pPr>
            <w:r>
              <w:rPr>
                <w:spacing w:val="5"/>
              </w:rPr>
              <w:t>N50°E</w:t>
            </w:r>
          </w:p>
        </w:tc>
        <w:tc>
          <w:tcPr>
            <w:tcW w:w="734" w:type="dxa"/>
            <w:vAlign w:val="top"/>
          </w:tcPr>
          <w:p>
            <w:pPr>
              <w:pStyle w:val="TableText"/>
              <w:ind w:left="183"/>
              <w:spacing w:before="69" w:line="192" w:lineRule="auto"/>
              <w:rPr/>
            </w:pPr>
            <w:r>
              <w:rPr>
                <w:spacing w:val="8"/>
              </w:rPr>
              <w:t>NW</w:t>
            </w:r>
          </w:p>
        </w:tc>
        <w:tc>
          <w:tcPr>
            <w:tcW w:w="837" w:type="dxa"/>
            <w:vAlign w:val="top"/>
          </w:tcPr>
          <w:p>
            <w:pPr>
              <w:pStyle w:val="TableText"/>
              <w:ind w:left="276"/>
              <w:spacing w:before="67" w:line="195" w:lineRule="auto"/>
              <w:rPr/>
            </w:pPr>
            <w:r>
              <w:rPr>
                <w:spacing w:val="1"/>
              </w:rPr>
              <w:t>75°</w:t>
            </w:r>
          </w:p>
        </w:tc>
        <w:tc>
          <w:tcPr>
            <w:tcW w:w="837" w:type="dxa"/>
            <w:vAlign w:val="top"/>
          </w:tcPr>
          <w:p>
            <w:pPr>
              <w:pStyle w:val="TableText"/>
              <w:ind w:left="210"/>
              <w:spacing w:before="67" w:line="195" w:lineRule="auto"/>
              <w:rPr/>
            </w:pPr>
            <w:r>
              <w:rPr>
                <w:spacing w:val="4"/>
              </w:rPr>
              <w:t>2456</w:t>
            </w:r>
          </w:p>
        </w:tc>
        <w:tc>
          <w:tcPr>
            <w:tcW w:w="727" w:type="dxa"/>
            <w:vAlign w:val="top"/>
          </w:tcPr>
          <w:p>
            <w:pPr>
              <w:pStyle w:val="TableText"/>
              <w:ind w:left="110"/>
              <w:spacing w:before="67" w:line="195" w:lineRule="auto"/>
              <w:rPr/>
            </w:pPr>
            <w:r>
              <w:rPr>
                <w:spacing w:val="3"/>
              </w:rPr>
              <w:t>J3-K1</w:t>
            </w:r>
          </w:p>
        </w:tc>
        <w:tc>
          <w:tcPr>
            <w:tcW w:w="681" w:type="dxa"/>
            <w:vAlign w:val="top"/>
          </w:tcPr>
          <w:p>
            <w:pPr>
              <w:pStyle w:val="TableText"/>
              <w:ind w:left="224"/>
              <w:spacing w:before="67" w:line="195" w:lineRule="auto"/>
              <w:rPr/>
            </w:pPr>
            <w:r>
              <w:rPr>
                <w:spacing w:val="1"/>
              </w:rPr>
              <w:t>C2</w:t>
            </w:r>
          </w:p>
        </w:tc>
        <w:tc>
          <w:tcPr>
            <w:tcW w:w="1115" w:type="dxa"/>
            <w:vAlign w:val="top"/>
            <w:vMerge w:val="continue"/>
            <w:tcBorders>
              <w:top w:val="nil"/>
              <w:bottom w:val="nil"/>
            </w:tcBorders>
          </w:tcPr>
          <w:p>
            <w:pPr>
              <w:rPr>
                <w:rFonts w:ascii="Arial"/>
                <w:sz w:val="21"/>
              </w:rPr>
            </w:pPr>
            <w:r/>
          </w:p>
        </w:tc>
      </w:tr>
      <w:tr>
        <w:trPr>
          <w:trHeight w:val="275" w:hRule="atLeast"/>
        </w:trPr>
        <w:tc>
          <w:tcPr>
            <w:tcW w:w="602" w:type="dxa"/>
            <w:vAlign w:val="top"/>
          </w:tcPr>
          <w:p>
            <w:pPr>
              <w:pStyle w:val="TableText"/>
              <w:ind w:left="101"/>
              <w:spacing w:before="67" w:line="195" w:lineRule="auto"/>
              <w:rPr/>
            </w:pPr>
            <w:r>
              <w:rPr>
                <w:spacing w:val="3"/>
              </w:rPr>
              <w:t>F1-9</w:t>
            </w:r>
          </w:p>
        </w:tc>
        <w:tc>
          <w:tcPr>
            <w:tcW w:w="895" w:type="dxa"/>
            <w:vAlign w:val="top"/>
          </w:tcPr>
          <w:p>
            <w:pPr>
              <w:ind w:left="348"/>
              <w:spacing w:before="32" w:line="215" w:lineRule="auto"/>
              <w:rPr>
                <w:rFonts w:ascii="SimSun" w:hAnsi="SimSun" w:eastAsia="SimSun" w:cs="SimSun"/>
                <w:sz w:val="20"/>
                <w:szCs w:val="20"/>
              </w:rPr>
            </w:pPr>
            <w:r>
              <w:rPr>
                <w:rFonts w:ascii="SimSun" w:hAnsi="SimSun" w:eastAsia="SimSun" w:cs="SimSun"/>
                <w:sz w:val="20"/>
                <w:szCs w:val="20"/>
              </w:rPr>
              <w:t>正</w:t>
            </w:r>
          </w:p>
        </w:tc>
        <w:tc>
          <w:tcPr>
            <w:tcW w:w="1077" w:type="dxa"/>
            <w:vAlign w:val="top"/>
          </w:tcPr>
          <w:p>
            <w:pPr>
              <w:pStyle w:val="TableText"/>
              <w:ind w:left="433"/>
              <w:spacing w:before="67" w:line="195" w:lineRule="auto"/>
              <w:rPr/>
            </w:pPr>
            <w:r>
              <w:rPr>
                <w:spacing w:val="3"/>
              </w:rPr>
              <w:t>41</w:t>
            </w:r>
          </w:p>
        </w:tc>
        <w:tc>
          <w:tcPr>
            <w:tcW w:w="1569" w:type="dxa"/>
            <w:vAlign w:val="top"/>
          </w:tcPr>
          <w:p>
            <w:pPr>
              <w:pStyle w:val="TableText"/>
              <w:ind w:left="490"/>
              <w:spacing w:before="67" w:line="195" w:lineRule="auto"/>
              <w:rPr/>
            </w:pPr>
            <w:r>
              <w:rPr>
                <w:spacing w:val="5"/>
              </w:rPr>
              <w:t>N23°E</w:t>
            </w:r>
          </w:p>
        </w:tc>
        <w:tc>
          <w:tcPr>
            <w:tcW w:w="734" w:type="dxa"/>
            <w:vAlign w:val="top"/>
          </w:tcPr>
          <w:p>
            <w:pPr>
              <w:pStyle w:val="TableText"/>
              <w:ind w:left="183"/>
              <w:spacing w:before="70" w:line="192" w:lineRule="auto"/>
              <w:rPr/>
            </w:pPr>
            <w:r>
              <w:rPr>
                <w:spacing w:val="8"/>
              </w:rPr>
              <w:t>NW</w:t>
            </w:r>
          </w:p>
        </w:tc>
        <w:tc>
          <w:tcPr>
            <w:tcW w:w="837" w:type="dxa"/>
            <w:vAlign w:val="top"/>
          </w:tcPr>
          <w:p>
            <w:pPr>
              <w:pStyle w:val="TableText"/>
              <w:ind w:left="276"/>
              <w:spacing w:before="67" w:line="195" w:lineRule="auto"/>
              <w:rPr/>
            </w:pPr>
            <w:r>
              <w:rPr>
                <w:spacing w:val="1"/>
              </w:rPr>
              <w:t>75°</w:t>
            </w:r>
          </w:p>
        </w:tc>
        <w:tc>
          <w:tcPr>
            <w:tcW w:w="837" w:type="dxa"/>
            <w:vAlign w:val="top"/>
          </w:tcPr>
          <w:p>
            <w:pPr>
              <w:pStyle w:val="TableText"/>
              <w:ind w:left="210"/>
              <w:spacing w:before="67" w:line="195" w:lineRule="auto"/>
              <w:rPr/>
            </w:pPr>
            <w:r>
              <w:rPr>
                <w:spacing w:val="4"/>
              </w:rPr>
              <w:t>2456</w:t>
            </w:r>
          </w:p>
        </w:tc>
        <w:tc>
          <w:tcPr>
            <w:tcW w:w="727" w:type="dxa"/>
            <w:vAlign w:val="top"/>
          </w:tcPr>
          <w:p>
            <w:pPr>
              <w:pStyle w:val="TableText"/>
              <w:ind w:left="110"/>
              <w:spacing w:before="67" w:line="195" w:lineRule="auto"/>
              <w:rPr/>
            </w:pPr>
            <w:r>
              <w:rPr>
                <w:spacing w:val="3"/>
              </w:rPr>
              <w:t>J3-K1</w:t>
            </w:r>
          </w:p>
        </w:tc>
        <w:tc>
          <w:tcPr>
            <w:tcW w:w="681" w:type="dxa"/>
            <w:vAlign w:val="top"/>
          </w:tcPr>
          <w:p>
            <w:pPr>
              <w:pStyle w:val="TableText"/>
              <w:ind w:left="224"/>
              <w:spacing w:before="67" w:line="195" w:lineRule="auto"/>
              <w:rPr/>
            </w:pPr>
            <w:r>
              <w:rPr>
                <w:spacing w:val="1"/>
              </w:rPr>
              <w:t>C2</w:t>
            </w:r>
          </w:p>
        </w:tc>
        <w:tc>
          <w:tcPr>
            <w:tcW w:w="1115" w:type="dxa"/>
            <w:vAlign w:val="top"/>
            <w:vMerge w:val="continue"/>
            <w:tcBorders>
              <w:top w:val="nil"/>
            </w:tcBorders>
          </w:tcPr>
          <w:p>
            <w:pPr>
              <w:rPr>
                <w:rFonts w:ascii="Arial"/>
                <w:sz w:val="21"/>
              </w:rPr>
            </w:pPr>
            <w:r/>
          </w:p>
        </w:tc>
      </w:tr>
    </w:tbl>
    <w:p>
      <w:pPr>
        <w:ind w:left="487"/>
        <w:spacing w:before="144" w:line="219"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、岩浆岩</w:t>
      </w:r>
    </w:p>
    <w:p>
      <w:pPr>
        <w:ind w:left="10" w:right="66" w:firstLine="498"/>
        <w:spacing w:before="152" w:line="339" w:lineRule="auto"/>
        <w:rPr>
          <w:rFonts w:ascii="SimSun" w:hAnsi="SimSun" w:eastAsia="SimSun" w:cs="SimSun"/>
          <w:sz w:val="24"/>
          <w:szCs w:val="24"/>
        </w:rPr>
      </w:pPr>
      <w:r>
        <w:rPr>
          <w:rFonts w:ascii="SimSun" w:hAnsi="SimSun" w:eastAsia="SimSun" w:cs="SimSun"/>
          <w:sz w:val="24"/>
          <w:szCs w:val="24"/>
          <w:spacing w:val="-2"/>
        </w:rPr>
        <w:t>区域所见岩浆岩可分为三期，即：华力西晚期侵入岩、印支期侵入岩和</w:t>
      </w:r>
      <w:r>
        <w:rPr>
          <w:rFonts w:ascii="SimSun" w:hAnsi="SimSun" w:eastAsia="SimSun" w:cs="SimSun"/>
          <w:sz w:val="24"/>
          <w:szCs w:val="24"/>
          <w:spacing w:val="-3"/>
        </w:rPr>
        <w:t>燕山早期侵</w:t>
      </w:r>
      <w:r>
        <w:rPr>
          <w:rFonts w:ascii="SimSun" w:hAnsi="SimSun" w:eastAsia="SimSun" w:cs="SimSun"/>
          <w:sz w:val="24"/>
          <w:szCs w:val="24"/>
          <w:spacing w:val="-2"/>
        </w:rPr>
        <w:t>入岩。其中燕山早期侵入岩及印支期侵入岩出露面积较大，前者分布于煤田东部及西部</w:t>
      </w:r>
      <w:r>
        <w:rPr>
          <w:rFonts w:ascii="SimSun" w:hAnsi="SimSun" w:eastAsia="SimSun" w:cs="SimSun"/>
          <w:sz w:val="24"/>
          <w:szCs w:val="24"/>
          <w:spacing w:val="-2"/>
        </w:rPr>
        <w:t>山地，后者则主要出露于煤田西部，华力西晚期侵入岩零星分布于图幅周边，出露面积</w:t>
      </w:r>
      <w:r>
        <w:rPr>
          <w:rFonts w:ascii="SimSun" w:hAnsi="SimSun" w:eastAsia="SimSun" w:cs="SimSun"/>
          <w:sz w:val="24"/>
          <w:szCs w:val="24"/>
        </w:rPr>
        <w:t>很小。上述岩浆岩均分布于煤盆地外围，且均为成煤期前侵</w:t>
      </w:r>
      <w:r>
        <w:rPr>
          <w:rFonts w:ascii="SimSun" w:hAnsi="SimSun" w:eastAsia="SimSun" w:cs="SimSun"/>
          <w:sz w:val="24"/>
          <w:szCs w:val="24"/>
          <w:spacing w:val="-1"/>
        </w:rPr>
        <w:t>入，与煤层关系不大。</w:t>
      </w:r>
    </w:p>
    <w:p>
      <w:pPr>
        <w:ind w:left="10"/>
        <w:spacing w:before="1"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5.3.1.2</w:t>
      </w:r>
      <w:r>
        <w:rPr>
          <w:rFonts w:ascii="SimHei" w:hAnsi="SimHei" w:eastAsia="SimHei" w:cs="SimHei"/>
          <w:sz w:val="24"/>
          <w:szCs w:val="24"/>
          <w:b/>
          <w:bCs/>
          <w:spacing w:val="-2"/>
        </w:rPr>
        <w:t>井田地层及构造</w:t>
      </w:r>
    </w:p>
    <w:p>
      <w:pPr>
        <w:ind w:left="510"/>
        <w:spacing w:before="152" w:line="219"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、井田地层</w:t>
      </w:r>
    </w:p>
    <w:p>
      <w:pPr>
        <w:ind w:left="17" w:right="66" w:firstLine="503"/>
        <w:spacing w:before="154" w:line="335" w:lineRule="auto"/>
        <w:rPr>
          <w:rFonts w:ascii="SimSun" w:hAnsi="SimSun" w:eastAsia="SimSun" w:cs="SimSun"/>
          <w:sz w:val="24"/>
          <w:szCs w:val="24"/>
        </w:rPr>
      </w:pPr>
      <w:r>
        <w:rPr>
          <w:rFonts w:ascii="SimSun" w:hAnsi="SimSun" w:eastAsia="SimSun" w:cs="SimSun"/>
          <w:sz w:val="24"/>
          <w:szCs w:val="24"/>
          <w:spacing w:val="-3"/>
        </w:rPr>
        <w:t>由井田内发育的地层自上而下有：第四系（</w:t>
      </w:r>
      <w:r>
        <w:rPr>
          <w:rFonts w:ascii="Times New Roman" w:hAnsi="Times New Roman" w:eastAsia="Times New Roman" w:cs="Times New Roman"/>
          <w:sz w:val="24"/>
          <w:szCs w:val="24"/>
          <w:spacing w:val="-3"/>
        </w:rPr>
        <w:t>Q</w:t>
      </w:r>
      <w:r>
        <w:rPr>
          <w:rFonts w:ascii="SimSun" w:hAnsi="SimSun" w:eastAsia="SimSun" w:cs="SimSun"/>
          <w:sz w:val="24"/>
          <w:szCs w:val="24"/>
          <w:spacing w:val="9"/>
        </w:rPr>
        <w:t>），</w:t>
      </w:r>
      <w:r>
        <w:rPr>
          <w:rFonts w:ascii="SimSun" w:hAnsi="SimSun" w:eastAsia="SimSun" w:cs="SimSun"/>
          <w:sz w:val="24"/>
          <w:szCs w:val="24"/>
          <w:spacing w:val="-4"/>
        </w:rPr>
        <w:t>新近系上新统（</w:t>
      </w:r>
      <w:r>
        <w:rPr>
          <w:rFonts w:ascii="Times New Roman" w:hAnsi="Times New Roman" w:eastAsia="Times New Roman" w:cs="Times New Roman"/>
          <w:sz w:val="24"/>
          <w:szCs w:val="24"/>
          <w:spacing w:val="-4"/>
        </w:rPr>
        <w:t>N2</w:t>
      </w:r>
      <w:r>
        <w:rPr>
          <w:rFonts w:ascii="SimSun" w:hAnsi="SimSun" w:eastAsia="SimSun" w:cs="SimSun"/>
          <w:sz w:val="24"/>
          <w:szCs w:val="24"/>
          <w:spacing w:val="9"/>
        </w:rPr>
        <w:t>），</w:t>
      </w:r>
      <w:r>
        <w:rPr>
          <w:rFonts w:ascii="SimSun" w:hAnsi="SimSun" w:eastAsia="SimSun" w:cs="SimSun"/>
          <w:sz w:val="24"/>
          <w:szCs w:val="24"/>
          <w:spacing w:val="-4"/>
        </w:rPr>
        <w:t>白垩系下</w:t>
      </w:r>
      <w:r>
        <w:rPr>
          <w:rFonts w:ascii="SimSun" w:hAnsi="SimSun" w:eastAsia="SimSun" w:cs="SimSun"/>
          <w:sz w:val="24"/>
          <w:szCs w:val="24"/>
          <w:spacing w:val="-2"/>
        </w:rPr>
        <w:t>统大磨拐组（</w:t>
      </w:r>
      <w:r>
        <w:rPr>
          <w:rFonts w:ascii="Times New Roman" w:hAnsi="Times New Roman" w:eastAsia="Times New Roman" w:cs="Times New Roman"/>
          <w:sz w:val="24"/>
          <w:szCs w:val="24"/>
          <w:spacing w:val="-2"/>
        </w:rPr>
        <w:t>K</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p>
    <w:p>
      <w:pPr>
        <w:ind w:left="498"/>
        <w:spacing w:before="10" w:line="21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）第四系（</w:t>
      </w:r>
      <w:r>
        <w:rPr>
          <w:rFonts w:ascii="Times New Roman" w:hAnsi="Times New Roman" w:eastAsia="Times New Roman" w:cs="Times New Roman"/>
          <w:sz w:val="24"/>
          <w:szCs w:val="24"/>
          <w:spacing w:val="-2"/>
        </w:rPr>
        <w:t>Q</w:t>
      </w:r>
      <w:r>
        <w:rPr>
          <w:rFonts w:ascii="SimSun" w:hAnsi="SimSun" w:eastAsia="SimSun" w:cs="SimSun"/>
          <w:sz w:val="24"/>
          <w:szCs w:val="24"/>
          <w:spacing w:val="-2"/>
        </w:rPr>
        <w:t>）</w:t>
      </w:r>
    </w:p>
    <w:p>
      <w:pPr>
        <w:ind w:left="11" w:right="65" w:firstLine="480"/>
        <w:spacing w:before="165" w:line="339" w:lineRule="auto"/>
        <w:rPr>
          <w:rFonts w:ascii="SimSun" w:hAnsi="SimSun" w:eastAsia="SimSun" w:cs="SimSun"/>
          <w:sz w:val="24"/>
          <w:szCs w:val="24"/>
        </w:rPr>
      </w:pPr>
      <w:r>
        <w:rPr>
          <w:rFonts w:ascii="SimSun" w:hAnsi="SimSun" w:eastAsia="SimSun" w:cs="SimSun"/>
          <w:sz w:val="24"/>
          <w:szCs w:val="24"/>
          <w:spacing w:val="-1"/>
        </w:rPr>
        <w:t>褐黑色腐植土、浅黄</w:t>
      </w:r>
      <w:r>
        <w:rPr>
          <w:rFonts w:ascii="Times New Roman" w:hAnsi="Times New Roman" w:eastAsia="Times New Roman" w:cs="Times New Roman"/>
          <w:sz w:val="24"/>
          <w:szCs w:val="24"/>
          <w:spacing w:val="-1"/>
        </w:rPr>
        <w:t>-</w:t>
      </w:r>
      <w:r>
        <w:rPr>
          <w:rFonts w:ascii="SimSun" w:hAnsi="SimSun" w:eastAsia="SimSun" w:cs="SimSun"/>
          <w:sz w:val="24"/>
          <w:szCs w:val="24"/>
          <w:spacing w:val="-1"/>
        </w:rPr>
        <w:t>褐黄色砂土、浅黄</w:t>
      </w:r>
      <w:r>
        <w:rPr>
          <w:rFonts w:ascii="Times New Roman" w:hAnsi="Times New Roman" w:eastAsia="Times New Roman" w:cs="Times New Roman"/>
          <w:sz w:val="24"/>
          <w:szCs w:val="24"/>
          <w:spacing w:val="-1"/>
        </w:rPr>
        <w:t>-</w:t>
      </w:r>
      <w:r>
        <w:rPr>
          <w:rFonts w:ascii="SimSun" w:hAnsi="SimSun" w:eastAsia="SimSun" w:cs="SimSun"/>
          <w:sz w:val="24"/>
          <w:szCs w:val="24"/>
          <w:spacing w:val="-1"/>
        </w:rPr>
        <w:t>灰白</w:t>
      </w:r>
      <w:r>
        <w:rPr>
          <w:rFonts w:ascii="Times New Roman" w:hAnsi="Times New Roman" w:eastAsia="Times New Roman" w:cs="Times New Roman"/>
          <w:sz w:val="24"/>
          <w:szCs w:val="24"/>
          <w:spacing w:val="-1"/>
        </w:rPr>
        <w:t>-</w:t>
      </w:r>
      <w:r>
        <w:rPr>
          <w:rFonts w:ascii="SimSun" w:hAnsi="SimSun" w:eastAsia="SimSun" w:cs="SimSun"/>
          <w:sz w:val="24"/>
          <w:szCs w:val="24"/>
          <w:spacing w:val="-2"/>
        </w:rPr>
        <w:t>浅灰色细砂、灰</w:t>
      </w:r>
      <w:r>
        <w:rPr>
          <w:rFonts w:ascii="Times New Roman" w:hAnsi="Times New Roman" w:eastAsia="Times New Roman" w:cs="Times New Roman"/>
          <w:sz w:val="24"/>
          <w:szCs w:val="24"/>
          <w:spacing w:val="-2"/>
        </w:rPr>
        <w:t>-</w:t>
      </w:r>
      <w:r>
        <w:rPr>
          <w:rFonts w:ascii="SimSun" w:hAnsi="SimSun" w:eastAsia="SimSun" w:cs="SimSun"/>
          <w:sz w:val="24"/>
          <w:szCs w:val="24"/>
          <w:spacing w:val="-2"/>
        </w:rPr>
        <w:t>褐色粗砂、浅黄</w:t>
      </w:r>
      <w:r>
        <w:rPr>
          <w:rFonts w:ascii="Times New Roman" w:hAnsi="Times New Roman" w:eastAsia="Times New Roman" w:cs="Times New Roman"/>
          <w:sz w:val="24"/>
          <w:szCs w:val="24"/>
          <w:spacing w:val="-2"/>
        </w:rPr>
        <w:t>-</w:t>
      </w:r>
      <w:r>
        <w:rPr>
          <w:rFonts w:ascii="SimSun" w:hAnsi="SimSun" w:eastAsia="SimSun" w:cs="SimSun"/>
          <w:sz w:val="24"/>
          <w:szCs w:val="24"/>
          <w:spacing w:val="-2"/>
        </w:rPr>
        <w:t>灰</w:t>
      </w:r>
      <w:r>
        <w:rPr>
          <w:rFonts w:ascii="Times New Roman" w:hAnsi="Times New Roman" w:eastAsia="Times New Roman" w:cs="Times New Roman"/>
          <w:sz w:val="24"/>
          <w:szCs w:val="24"/>
          <w:spacing w:val="-2"/>
        </w:rPr>
        <w:t>-</w:t>
      </w:r>
      <w:r>
        <w:rPr>
          <w:rFonts w:ascii="SimSun" w:hAnsi="SimSun" w:eastAsia="SimSun" w:cs="SimSun"/>
          <w:sz w:val="24"/>
          <w:szCs w:val="24"/>
          <w:spacing w:val="-1"/>
        </w:rPr>
        <w:t>褐灰色粉砂、土黄</w:t>
      </w:r>
      <w:r>
        <w:rPr>
          <w:rFonts w:ascii="Times New Roman" w:hAnsi="Times New Roman" w:eastAsia="Times New Roman" w:cs="Times New Roman"/>
          <w:sz w:val="24"/>
          <w:szCs w:val="24"/>
          <w:spacing w:val="-1"/>
        </w:rPr>
        <w:t>-</w:t>
      </w:r>
      <w:r>
        <w:rPr>
          <w:rFonts w:ascii="SimSun" w:hAnsi="SimSun" w:eastAsia="SimSun" w:cs="SimSun"/>
          <w:sz w:val="24"/>
          <w:szCs w:val="24"/>
          <w:spacing w:val="-1"/>
        </w:rPr>
        <w:t>棕红色亚砂土（局部含铁质</w:t>
      </w:r>
      <w:r>
        <w:rPr>
          <w:rFonts w:ascii="SimSun" w:hAnsi="SimSun" w:eastAsia="SimSun" w:cs="SimSun"/>
          <w:sz w:val="24"/>
          <w:szCs w:val="24"/>
          <w:spacing w:val="-2"/>
        </w:rPr>
        <w:t>结核）、灰白</w:t>
      </w:r>
      <w:r>
        <w:rPr>
          <w:rFonts w:ascii="Times New Roman" w:hAnsi="Times New Roman" w:eastAsia="Times New Roman" w:cs="Times New Roman"/>
          <w:sz w:val="24"/>
          <w:szCs w:val="24"/>
          <w:spacing w:val="-2"/>
        </w:rPr>
        <w:t>-</w:t>
      </w:r>
      <w:r>
        <w:rPr>
          <w:rFonts w:ascii="SimSun" w:hAnsi="SimSun" w:eastAsia="SimSun" w:cs="SimSun"/>
          <w:sz w:val="24"/>
          <w:szCs w:val="24"/>
          <w:spacing w:val="-2"/>
        </w:rPr>
        <w:t>黄色砂砾和少量土黄</w:t>
      </w:r>
      <w:r>
        <w:rPr>
          <w:rFonts w:ascii="Times New Roman" w:hAnsi="Times New Roman" w:eastAsia="Times New Roman" w:cs="Times New Roman"/>
          <w:sz w:val="24"/>
          <w:szCs w:val="24"/>
          <w:spacing w:val="-2"/>
        </w:rPr>
        <w:t>-</w:t>
      </w:r>
      <w:r>
        <w:rPr>
          <w:rFonts w:ascii="SimSun" w:hAnsi="SimSun" w:eastAsia="SimSun" w:cs="SimSun"/>
          <w:sz w:val="24"/>
          <w:szCs w:val="24"/>
          <w:spacing w:val="-2"/>
        </w:rPr>
        <w:t>浅黄</w:t>
      </w:r>
      <w:r>
        <w:rPr>
          <w:rFonts w:ascii="SimSun" w:hAnsi="SimSun" w:eastAsia="SimSun" w:cs="SimSun"/>
          <w:sz w:val="24"/>
          <w:szCs w:val="24"/>
          <w:spacing w:val="-2"/>
        </w:rPr>
        <w:t>色亚粘土、黄土等组成。该层厚度一般是东南厚、西北薄，并由东北往西南逐步增厚，</w:t>
      </w:r>
      <w:r>
        <w:rPr>
          <w:rFonts w:ascii="SimSun" w:hAnsi="SimSun" w:eastAsia="SimSun" w:cs="SimSun"/>
          <w:sz w:val="24"/>
          <w:szCs w:val="24"/>
          <w:spacing w:val="-3"/>
        </w:rPr>
        <w:t>全区厚度为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3"/>
        </w:rPr>
        <w:t>12.90</w:t>
      </w:r>
      <w:r>
        <w:rPr>
          <w:rFonts w:ascii="SimSun" w:hAnsi="SimSun" w:eastAsia="SimSun" w:cs="SimSun"/>
          <w:sz w:val="24"/>
          <w:szCs w:val="24"/>
          <w:spacing w:val="-3"/>
        </w:rPr>
        <w:t>～</w:t>
      </w:r>
      <w:r>
        <w:rPr>
          <w:rFonts w:ascii="Times New Roman" w:hAnsi="Times New Roman" w:eastAsia="Times New Roman" w:cs="Times New Roman"/>
          <w:sz w:val="24"/>
          <w:szCs w:val="24"/>
          <w:spacing w:val="-3"/>
        </w:rPr>
        <w:t>62.50m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，平均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28.92m</w:t>
      </w:r>
      <w:r>
        <w:rPr>
          <w:rFonts w:ascii="SimSun" w:hAnsi="SimSun" w:eastAsia="SimSun" w:cs="SimSun"/>
          <w:sz w:val="24"/>
          <w:szCs w:val="24"/>
          <w:spacing w:val="-3"/>
        </w:rPr>
        <w:t>。</w:t>
      </w:r>
    </w:p>
    <w:p>
      <w:pPr>
        <w:ind w:left="498"/>
        <w:spacing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）新近系上新统（</w:t>
      </w:r>
      <w:r>
        <w:rPr>
          <w:rFonts w:ascii="Times New Roman" w:hAnsi="Times New Roman" w:eastAsia="Times New Roman" w:cs="Times New Roman"/>
          <w:sz w:val="24"/>
          <w:szCs w:val="24"/>
          <w:spacing w:val="-1"/>
        </w:rPr>
        <w:t>N</w:t>
      </w:r>
      <w:r>
        <w:rPr>
          <w:rFonts w:ascii="Times New Roman" w:hAnsi="Times New Roman" w:eastAsia="Times New Roman" w:cs="Times New Roman"/>
          <w:sz w:val="15"/>
          <w:szCs w:val="15"/>
          <w:spacing w:val="-1"/>
          <w:position w:val="-1"/>
        </w:rPr>
        <w:t>2</w:t>
      </w:r>
      <w:r>
        <w:rPr>
          <w:rFonts w:ascii="SimSun" w:hAnsi="SimSun" w:eastAsia="SimSun" w:cs="SimSun"/>
          <w:sz w:val="24"/>
          <w:szCs w:val="24"/>
          <w:spacing w:val="-1"/>
        </w:rPr>
        <w:t>）</w:t>
      </w:r>
    </w:p>
    <w:p>
      <w:pPr>
        <w:ind w:left="6" w:firstLine="489"/>
        <w:spacing w:before="157" w:line="338" w:lineRule="auto"/>
        <w:rPr>
          <w:rFonts w:ascii="SimSun" w:hAnsi="SimSun" w:eastAsia="SimSun" w:cs="SimSun"/>
          <w:sz w:val="24"/>
          <w:szCs w:val="24"/>
        </w:rPr>
      </w:pPr>
      <w:r>
        <w:rPr>
          <w:rFonts w:ascii="SimSun" w:hAnsi="SimSun" w:eastAsia="SimSun" w:cs="SimSun"/>
          <w:sz w:val="24"/>
          <w:szCs w:val="24"/>
          <w:spacing w:val="-2"/>
        </w:rPr>
        <w:t>一般发育有综红</w:t>
      </w:r>
      <w:r>
        <w:rPr>
          <w:rFonts w:ascii="Times New Roman" w:hAnsi="Times New Roman" w:eastAsia="Times New Roman" w:cs="Times New Roman"/>
          <w:sz w:val="24"/>
          <w:szCs w:val="24"/>
          <w:spacing w:val="-2"/>
        </w:rPr>
        <w:t>-</w:t>
      </w:r>
      <w:r>
        <w:rPr>
          <w:rFonts w:ascii="SimSun" w:hAnsi="SimSun" w:eastAsia="SimSun" w:cs="SimSun"/>
          <w:sz w:val="24"/>
          <w:szCs w:val="24"/>
          <w:spacing w:val="-2"/>
        </w:rPr>
        <w:t>深红</w:t>
      </w:r>
      <w:r>
        <w:rPr>
          <w:rFonts w:ascii="Times New Roman" w:hAnsi="Times New Roman" w:eastAsia="Times New Roman" w:cs="Times New Roman"/>
          <w:sz w:val="24"/>
          <w:szCs w:val="24"/>
          <w:spacing w:val="-2"/>
        </w:rPr>
        <w:t>-</w:t>
      </w:r>
      <w:r>
        <w:rPr>
          <w:rFonts w:ascii="SimSun" w:hAnsi="SimSun" w:eastAsia="SimSun" w:cs="SimSun"/>
          <w:sz w:val="24"/>
          <w:szCs w:val="24"/>
          <w:spacing w:val="-2"/>
        </w:rPr>
        <w:t>灰</w:t>
      </w:r>
      <w:r>
        <w:rPr>
          <w:rFonts w:ascii="Times New Roman" w:hAnsi="Times New Roman" w:eastAsia="Times New Roman" w:cs="Times New Roman"/>
          <w:sz w:val="24"/>
          <w:szCs w:val="24"/>
          <w:spacing w:val="-2"/>
        </w:rPr>
        <w:t>-</w:t>
      </w:r>
      <w:r>
        <w:rPr>
          <w:rFonts w:ascii="SimSun" w:hAnsi="SimSun" w:eastAsia="SimSun" w:cs="SimSun"/>
          <w:sz w:val="24"/>
          <w:szCs w:val="24"/>
          <w:spacing w:val="-2"/>
        </w:rPr>
        <w:t>浅黄</w:t>
      </w:r>
      <w:r>
        <w:rPr>
          <w:rFonts w:ascii="Times New Roman" w:hAnsi="Times New Roman" w:eastAsia="Times New Roman" w:cs="Times New Roman"/>
          <w:sz w:val="24"/>
          <w:szCs w:val="24"/>
          <w:spacing w:val="-2"/>
        </w:rPr>
        <w:t>-</w:t>
      </w:r>
      <w:r>
        <w:rPr>
          <w:rFonts w:ascii="SimSun" w:hAnsi="SimSun" w:eastAsia="SimSun" w:cs="SimSun"/>
          <w:sz w:val="24"/>
          <w:szCs w:val="24"/>
          <w:spacing w:val="-2"/>
        </w:rPr>
        <w:t>褐</w:t>
      </w:r>
      <w:r>
        <w:rPr>
          <w:rFonts w:ascii="Times New Roman" w:hAnsi="Times New Roman" w:eastAsia="Times New Roman" w:cs="Times New Roman"/>
          <w:sz w:val="24"/>
          <w:szCs w:val="24"/>
          <w:spacing w:val="-2"/>
        </w:rPr>
        <w:t>-</w:t>
      </w:r>
      <w:r>
        <w:rPr>
          <w:rFonts w:ascii="SimSun" w:hAnsi="SimSun" w:eastAsia="SimSun" w:cs="SimSun"/>
          <w:sz w:val="24"/>
          <w:szCs w:val="24"/>
          <w:spacing w:val="-2"/>
        </w:rPr>
        <w:t>褐黄色粘土或砂质粘土，底部含灰白</w:t>
      </w:r>
      <w:r>
        <w:rPr>
          <w:rFonts w:ascii="Times New Roman" w:hAnsi="Times New Roman" w:eastAsia="Times New Roman" w:cs="Times New Roman"/>
          <w:sz w:val="24"/>
          <w:szCs w:val="24"/>
          <w:spacing w:val="-2"/>
        </w:rPr>
        <w:t>-</w:t>
      </w:r>
      <w:r>
        <w:rPr>
          <w:rFonts w:ascii="SimSun" w:hAnsi="SimSun" w:eastAsia="SimSun" w:cs="SimSun"/>
          <w:sz w:val="24"/>
          <w:szCs w:val="24"/>
          <w:spacing w:val="-2"/>
        </w:rPr>
        <w:t>灰黄色砂砾</w:t>
      </w:r>
      <w:r>
        <w:rPr>
          <w:rFonts w:ascii="SimSun" w:hAnsi="SimSun" w:eastAsia="SimSun" w:cs="SimSun"/>
          <w:sz w:val="24"/>
          <w:szCs w:val="24"/>
          <w:spacing w:val="-1"/>
        </w:rPr>
        <w:t>层，局部含锰质结核，粘土塑性强，有滑感，但风干</w:t>
      </w:r>
      <w:r>
        <w:rPr>
          <w:rFonts w:ascii="SimSun" w:hAnsi="SimSun" w:eastAsia="SimSun" w:cs="SimSun"/>
          <w:sz w:val="24"/>
          <w:szCs w:val="24"/>
          <w:spacing w:val="-2"/>
        </w:rPr>
        <w:t>后易碎，为一套氧化环境下的河湖</w:t>
      </w:r>
      <w:r>
        <w:rPr>
          <w:rFonts w:ascii="SimSun" w:hAnsi="SimSun" w:eastAsia="SimSun" w:cs="SimSun"/>
          <w:sz w:val="24"/>
          <w:szCs w:val="24"/>
          <w:spacing w:val="-3"/>
        </w:rPr>
        <w:t>相沉积。与哈尔鄂博组相当（见王璞等《中国地层典</w:t>
      </w:r>
      <w:r>
        <w:rPr>
          <w:rFonts w:ascii="Times New Roman" w:hAnsi="Times New Roman" w:eastAsia="Times New Roman" w:cs="Times New Roman"/>
          <w:sz w:val="24"/>
          <w:szCs w:val="24"/>
          <w:spacing w:val="-3"/>
        </w:rPr>
        <w:t>—</w:t>
      </w:r>
      <w:r>
        <w:rPr>
          <w:rFonts w:ascii="SimSun" w:hAnsi="SimSun" w:eastAsia="SimSun" w:cs="SimSun"/>
          <w:sz w:val="24"/>
          <w:szCs w:val="24"/>
          <w:spacing w:val="-3"/>
        </w:rPr>
        <w:t>第</w:t>
      </w:r>
      <w:r>
        <w:rPr>
          <w:rFonts w:ascii="SimSun" w:hAnsi="SimSun" w:eastAsia="SimSun" w:cs="SimSun"/>
          <w:sz w:val="24"/>
          <w:szCs w:val="24"/>
          <w:spacing w:val="-4"/>
        </w:rPr>
        <w:t>三系》</w:t>
      </w:r>
      <w:r>
        <w:rPr>
          <w:rFonts w:ascii="Times New Roman" w:hAnsi="Times New Roman" w:eastAsia="Times New Roman" w:cs="Times New Roman"/>
          <w:sz w:val="24"/>
          <w:szCs w:val="24"/>
          <w:spacing w:val="-4"/>
        </w:rPr>
        <w:t>1999 </w:t>
      </w:r>
      <w:r>
        <w:rPr>
          <w:rFonts w:ascii="SimSun" w:hAnsi="SimSun" w:eastAsia="SimSun" w:cs="SimSun"/>
          <w:sz w:val="24"/>
          <w:szCs w:val="24"/>
          <w:spacing w:val="-4"/>
        </w:rPr>
        <w:t>年</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4"/>
        </w:rPr>
        <w:t>11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月北京版</w:t>
      </w:r>
      <w:r>
        <w:rPr>
          <w:rFonts w:ascii="SimSun" w:hAnsi="SimSun" w:eastAsia="SimSun" w:cs="SimSun"/>
          <w:sz w:val="24"/>
          <w:szCs w:val="24"/>
          <w:spacing w:val="-38"/>
        </w:rPr>
        <w:t>），</w:t>
      </w:r>
      <w:r>
        <w:rPr>
          <w:rFonts w:ascii="SimSun" w:hAnsi="SimSun" w:eastAsia="SimSun" w:cs="SimSun"/>
          <w:sz w:val="24"/>
          <w:szCs w:val="24"/>
          <w:spacing w:val="3"/>
        </w:rPr>
        <w:t>但由于没有可靠的古生物方面的依据，所以暂不建组。该层</w:t>
      </w:r>
      <w:r>
        <w:rPr>
          <w:rFonts w:ascii="SimSun" w:hAnsi="SimSun" w:eastAsia="SimSun" w:cs="SimSun"/>
          <w:sz w:val="24"/>
          <w:szCs w:val="24"/>
          <w:spacing w:val="2"/>
        </w:rPr>
        <w:t>厚度变化较大，西南</w:t>
      </w:r>
      <w:r>
        <w:rPr>
          <w:rFonts w:ascii="Times New Roman" w:hAnsi="Times New Roman" w:eastAsia="Times New Roman" w:cs="Times New Roman"/>
          <w:sz w:val="24"/>
          <w:szCs w:val="24"/>
          <w:spacing w:val="2"/>
        </w:rPr>
        <w:t>-</w:t>
      </w:r>
      <w:r>
        <w:rPr>
          <w:rFonts w:ascii="SimSun" w:hAnsi="SimSun" w:eastAsia="SimSun" w:cs="SimSun"/>
          <w:sz w:val="24"/>
          <w:szCs w:val="24"/>
          <w:spacing w:val="2"/>
        </w:rPr>
        <w:t>东北</w:t>
      </w:r>
      <w:r>
        <w:rPr>
          <w:rFonts w:ascii="SimSun" w:hAnsi="SimSun" w:eastAsia="SimSun" w:cs="SimSun"/>
          <w:sz w:val="24"/>
          <w:szCs w:val="24"/>
          <w:spacing w:val="2"/>
        </w:rPr>
        <w:t>方向呈透镜状，东南</w:t>
      </w:r>
      <w:r>
        <w:rPr>
          <w:rFonts w:ascii="Times New Roman" w:hAnsi="Times New Roman" w:eastAsia="Times New Roman" w:cs="Times New Roman"/>
          <w:sz w:val="24"/>
          <w:szCs w:val="24"/>
          <w:spacing w:val="2"/>
        </w:rPr>
        <w:t>-</w:t>
      </w:r>
      <w:r>
        <w:rPr>
          <w:rFonts w:ascii="SimSun" w:hAnsi="SimSun" w:eastAsia="SimSun" w:cs="SimSun"/>
          <w:sz w:val="24"/>
          <w:szCs w:val="24"/>
          <w:spacing w:val="2"/>
        </w:rPr>
        <w:t>西北方向为中部厚，东南部较厚，西北部变薄。全区厚度为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4.3</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48.88m</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，平均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22.80m</w:t>
      </w:r>
      <w:r>
        <w:rPr>
          <w:rFonts w:ascii="SimSun" w:hAnsi="SimSun" w:eastAsia="SimSun" w:cs="SimSun"/>
          <w:sz w:val="24"/>
          <w:szCs w:val="24"/>
          <w:spacing w:val="-3"/>
        </w:rPr>
        <w:t>。</w:t>
      </w:r>
    </w:p>
    <w:p>
      <w:pPr>
        <w:ind w:left="498"/>
        <w:spacing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）白垩系下统大磨拐组（</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p>
    <w:p>
      <w:pPr>
        <w:ind w:left="12" w:firstLine="506"/>
        <w:spacing w:before="153" w:line="341" w:lineRule="auto"/>
        <w:rPr>
          <w:rFonts w:ascii="SimSun" w:hAnsi="SimSun" w:eastAsia="SimSun" w:cs="SimSun"/>
          <w:sz w:val="24"/>
          <w:szCs w:val="24"/>
        </w:rPr>
      </w:pPr>
      <w:r>
        <w:rPr>
          <w:rFonts w:ascii="SimSun" w:hAnsi="SimSun" w:eastAsia="SimSun" w:cs="SimSun"/>
          <w:sz w:val="24"/>
          <w:szCs w:val="24"/>
          <w:spacing w:val="-1"/>
        </w:rPr>
        <w:t>以灰、深灰、灰绿色粉砂岩、粘土岩为主。次为浅灰色砂岩、砂砾岩。胶结松散，</w:t>
      </w:r>
      <w:r>
        <w:rPr>
          <w:rFonts w:ascii="SimSun" w:hAnsi="SimSun" w:eastAsia="SimSun" w:cs="SimSun"/>
          <w:sz w:val="24"/>
          <w:szCs w:val="24"/>
          <w:spacing w:val="-3"/>
        </w:rPr>
        <w:t>风化易碎。中部含主要煤层，与下伏地层不整合接触。地层厚度：原</w:t>
      </w:r>
      <w:r>
        <w:rPr>
          <w:rFonts w:ascii="SimSun" w:hAnsi="SimSun" w:eastAsia="SimSun" w:cs="SimSun"/>
          <w:sz w:val="24"/>
          <w:szCs w:val="24"/>
          <w:spacing w:val="-4"/>
        </w:rPr>
        <w:t>普查报告近</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600m</w:t>
      </w:r>
      <w:r>
        <w:rPr>
          <w:rFonts w:ascii="SimSun" w:hAnsi="SimSun" w:eastAsia="SimSun" w:cs="SimSun"/>
          <w:sz w:val="24"/>
          <w:szCs w:val="24"/>
          <w:spacing w:val="-4"/>
        </w:rPr>
        <w:t>，</w:t>
      </w:r>
    </w:p>
    <w:p>
      <w:pPr>
        <w:spacing w:line="341" w:lineRule="auto"/>
        <w:sectPr>
          <w:headerReference w:type="default" r:id="rId409"/>
          <w:footerReference w:type="default" r:id="rId410"/>
          <w:pgSz w:w="11906" w:h="16838"/>
          <w:pgMar w:top="1170" w:right="1351" w:bottom="1080" w:left="1413" w:header="837" w:footer="918" w:gutter="0"/>
        </w:sectPr>
        <w:rPr>
          <w:rFonts w:ascii="SimSun" w:hAnsi="SimSun" w:eastAsia="SimSun" w:cs="SimSun"/>
          <w:sz w:val="24"/>
          <w:szCs w:val="24"/>
        </w:rPr>
      </w:pPr>
    </w:p>
    <w:p>
      <w:pPr>
        <w:pStyle w:val="BodyText"/>
        <w:spacing w:line="311" w:lineRule="auto"/>
        <w:rPr/>
      </w:pPr>
      <w:r/>
    </w:p>
    <w:p>
      <w:pPr>
        <w:ind w:left="8" w:right="205"/>
        <w:spacing w:before="78" w:line="339" w:lineRule="auto"/>
        <w:rPr>
          <w:rFonts w:ascii="SimSun" w:hAnsi="SimSun" w:eastAsia="SimSun" w:cs="SimSun"/>
          <w:sz w:val="24"/>
          <w:szCs w:val="24"/>
        </w:rPr>
      </w:pPr>
      <w:r>
        <w:rPr>
          <w:rFonts w:ascii="SimSun" w:hAnsi="SimSun" w:eastAsia="SimSun" w:cs="SimSun"/>
          <w:sz w:val="24"/>
          <w:szCs w:val="24"/>
          <w:spacing w:val="-1"/>
        </w:rPr>
        <w:t>勘探为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424.80m</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1"/>
        </w:rPr>
        <w:t>。含煤</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1-12 </w:t>
      </w:r>
      <w:r>
        <w:rPr>
          <w:rFonts w:ascii="SimSun" w:hAnsi="SimSun" w:eastAsia="SimSun" w:cs="SimSun"/>
          <w:sz w:val="24"/>
          <w:szCs w:val="24"/>
          <w:spacing w:val="-1"/>
        </w:rPr>
        <w:t>层，煤层累计厚度最大为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68.88m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。勘探</w:t>
      </w:r>
      <w:r>
        <w:rPr>
          <w:rFonts w:ascii="SimSun" w:hAnsi="SimSun" w:eastAsia="SimSun" w:cs="SimSun"/>
          <w:sz w:val="24"/>
          <w:szCs w:val="24"/>
          <w:spacing w:val="-2"/>
        </w:rPr>
        <w:t>仍将其划分为</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2"/>
        </w:rPr>
        <w:t>5 </w:t>
      </w:r>
      <w:r>
        <w:rPr>
          <w:rFonts w:ascii="SimSun" w:hAnsi="SimSun" w:eastAsia="SimSun" w:cs="SimSun"/>
          <w:sz w:val="24"/>
          <w:szCs w:val="24"/>
          <w:spacing w:val="-2"/>
        </w:rPr>
        <w:t>个</w:t>
      </w:r>
      <w:r>
        <w:rPr>
          <w:rFonts w:ascii="SimSun" w:hAnsi="SimSun" w:eastAsia="SimSun" w:cs="SimSun"/>
          <w:sz w:val="24"/>
          <w:szCs w:val="24"/>
          <w:spacing w:val="-3"/>
        </w:rPr>
        <w:t>岩段，但未见第五段，以三段、二段全区发育，</w:t>
      </w:r>
      <w:r>
        <w:rPr>
          <w:rFonts w:ascii="SimSun" w:hAnsi="SimSun" w:eastAsia="SimSun" w:cs="SimSun"/>
          <w:sz w:val="24"/>
          <w:szCs w:val="24"/>
          <w:spacing w:val="-53"/>
        </w:rPr>
        <w:t xml:space="preserve"> </w:t>
      </w:r>
      <w:r>
        <w:rPr>
          <w:rFonts w:ascii="SimSun" w:hAnsi="SimSun" w:eastAsia="SimSun" w:cs="SimSun"/>
          <w:sz w:val="24"/>
          <w:szCs w:val="24"/>
          <w:spacing w:val="-3"/>
        </w:rPr>
        <w:t>自上而下：</w:t>
      </w:r>
    </w:p>
    <w:p>
      <w:pPr>
        <w:ind w:left="8" w:right="192" w:firstLine="480"/>
        <w:spacing w:before="1" w:line="338" w:lineRule="auto"/>
        <w:rPr>
          <w:rFonts w:ascii="SimSun" w:hAnsi="SimSun" w:eastAsia="SimSun" w:cs="SimSun"/>
          <w:sz w:val="24"/>
          <w:szCs w:val="24"/>
        </w:rPr>
      </w:pPr>
      <w:r>
        <w:rPr>
          <w:rFonts w:ascii="SimSun" w:hAnsi="SimSun" w:eastAsia="SimSun" w:cs="SimSun"/>
          <w:sz w:val="24"/>
          <w:szCs w:val="24"/>
          <w:spacing w:val="-2"/>
        </w:rPr>
        <w:t>第四段（</w:t>
      </w:r>
      <w:r>
        <w:rPr>
          <w:rFonts w:ascii="Times New Roman" w:hAnsi="Times New Roman" w:eastAsia="Times New Roman" w:cs="Times New Roman"/>
          <w:sz w:val="24"/>
          <w:szCs w:val="24"/>
          <w:spacing w:val="-2"/>
        </w:rPr>
        <w:t>K</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24"/>
          <w:szCs w:val="24"/>
          <w:spacing w:val="-2"/>
        </w:rPr>
        <w:t>d</w:t>
      </w:r>
      <w:r>
        <w:rPr>
          <w:rFonts w:ascii="Times New Roman" w:hAnsi="Times New Roman" w:eastAsia="Times New Roman" w:cs="Times New Roman"/>
          <w:sz w:val="15"/>
          <w:szCs w:val="15"/>
          <w:spacing w:val="-2"/>
          <w:position w:val="8"/>
        </w:rPr>
        <w:t>4 </w:t>
      </w:r>
      <w:r>
        <w:rPr>
          <w:rFonts w:ascii="SimSun" w:hAnsi="SimSun" w:eastAsia="SimSun" w:cs="SimSun"/>
          <w:sz w:val="24"/>
          <w:szCs w:val="24"/>
          <w:spacing w:val="-27"/>
        </w:rPr>
        <w:t>）：</w:t>
      </w:r>
      <w:r>
        <w:rPr>
          <w:rFonts w:ascii="SimSun" w:hAnsi="SimSun" w:eastAsia="SimSun" w:cs="SimSun"/>
          <w:sz w:val="24"/>
          <w:szCs w:val="24"/>
          <w:spacing w:val="-2"/>
        </w:rPr>
        <w:t>为灰</w:t>
      </w:r>
      <w:r>
        <w:rPr>
          <w:rFonts w:ascii="Times New Roman" w:hAnsi="Times New Roman" w:eastAsia="Times New Roman" w:cs="Times New Roman"/>
          <w:sz w:val="24"/>
          <w:szCs w:val="24"/>
          <w:spacing w:val="-2"/>
        </w:rPr>
        <w:t>-</w:t>
      </w:r>
      <w:r>
        <w:rPr>
          <w:rFonts w:ascii="SimSun" w:hAnsi="SimSun" w:eastAsia="SimSun" w:cs="SimSun"/>
          <w:sz w:val="24"/>
          <w:szCs w:val="24"/>
          <w:spacing w:val="-2"/>
        </w:rPr>
        <w:t>深灰色巨厚层状粉砂岩、粉砂质泥岩</w:t>
      </w:r>
      <w:r>
        <w:rPr>
          <w:rFonts w:ascii="SimSun" w:hAnsi="SimSun" w:eastAsia="SimSun" w:cs="SimSun"/>
          <w:sz w:val="24"/>
          <w:szCs w:val="24"/>
          <w:spacing w:val="-3"/>
        </w:rPr>
        <w:t>，偶夹细砂岩、钙质粉</w:t>
      </w:r>
      <w:r>
        <w:rPr>
          <w:rFonts w:ascii="SimSun" w:hAnsi="SimSun" w:eastAsia="SimSun" w:cs="SimSun"/>
          <w:sz w:val="24"/>
          <w:szCs w:val="24"/>
          <w:spacing w:val="-1"/>
        </w:rPr>
        <w:t>砂岩、泥灰岩等薄层。可见钙质和菱铁质结核，显水平层理，富含植物</w:t>
      </w:r>
      <w:r>
        <w:rPr>
          <w:rFonts w:ascii="SimSun" w:hAnsi="SimSun" w:eastAsia="SimSun" w:cs="SimSun"/>
          <w:sz w:val="24"/>
          <w:szCs w:val="24"/>
          <w:spacing w:val="-2"/>
        </w:rPr>
        <w:t>化石，夹叶木、</w:t>
      </w:r>
      <w:r>
        <w:rPr>
          <w:rFonts w:ascii="SimSun" w:hAnsi="SimSun" w:eastAsia="SimSun" w:cs="SimSun"/>
          <w:sz w:val="24"/>
          <w:szCs w:val="24"/>
        </w:rPr>
        <w:t>楔拜拉、似银杏、坚叶杉、拉发尔蕨、枝脉蕨等。在区</w:t>
      </w:r>
      <w:r>
        <w:rPr>
          <w:rFonts w:ascii="SimSun" w:hAnsi="SimSun" w:eastAsia="SimSun" w:cs="SimSun"/>
          <w:sz w:val="24"/>
          <w:szCs w:val="24"/>
          <w:spacing w:val="-1"/>
        </w:rPr>
        <w:t>外东北部沉积较厚大于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260m</w:t>
      </w:r>
      <w:r>
        <w:rPr>
          <w:rFonts w:ascii="SimSun" w:hAnsi="SimSun" w:eastAsia="SimSun" w:cs="SimSun"/>
          <w:sz w:val="24"/>
          <w:szCs w:val="24"/>
          <w:spacing w:val="-1"/>
        </w:rPr>
        <w:t>。</w:t>
      </w:r>
    </w:p>
    <w:p>
      <w:pPr>
        <w:ind w:left="8" w:right="120" w:firstLine="480"/>
        <w:spacing w:before="3" w:line="338" w:lineRule="auto"/>
        <w:rPr>
          <w:rFonts w:ascii="SimSun" w:hAnsi="SimSun" w:eastAsia="SimSun" w:cs="SimSun"/>
          <w:sz w:val="24"/>
          <w:szCs w:val="24"/>
        </w:rPr>
      </w:pPr>
      <w:r>
        <w:rPr>
          <w:rFonts w:ascii="SimSun" w:hAnsi="SimSun" w:eastAsia="SimSun" w:cs="SimSun"/>
          <w:sz w:val="24"/>
          <w:szCs w:val="24"/>
          <w:spacing w:val="-4"/>
        </w:rPr>
        <w:t>第三段（</w:t>
      </w:r>
      <w:r>
        <w:rPr>
          <w:rFonts w:ascii="Times New Roman" w:hAnsi="Times New Roman" w:eastAsia="Times New Roman" w:cs="Times New Roman"/>
          <w:sz w:val="24"/>
          <w:szCs w:val="24"/>
          <w:spacing w:val="-4"/>
        </w:rPr>
        <w:t>K</w:t>
      </w:r>
      <w:r>
        <w:rPr>
          <w:rFonts w:ascii="Times New Roman" w:hAnsi="Times New Roman" w:eastAsia="Times New Roman" w:cs="Times New Roman"/>
          <w:sz w:val="15"/>
          <w:szCs w:val="15"/>
          <w:spacing w:val="-4"/>
          <w:position w:val="-1"/>
        </w:rPr>
        <w:t>1</w:t>
      </w:r>
      <w:r>
        <w:rPr>
          <w:rFonts w:ascii="Times New Roman" w:hAnsi="Times New Roman" w:eastAsia="Times New Roman" w:cs="Times New Roman"/>
          <w:sz w:val="24"/>
          <w:szCs w:val="24"/>
          <w:spacing w:val="-4"/>
        </w:rPr>
        <w:t>d</w:t>
      </w:r>
      <w:r>
        <w:rPr>
          <w:rFonts w:ascii="Times New Roman" w:hAnsi="Times New Roman" w:eastAsia="Times New Roman" w:cs="Times New Roman"/>
          <w:sz w:val="15"/>
          <w:szCs w:val="15"/>
          <w:spacing w:val="-4"/>
          <w:position w:val="8"/>
        </w:rPr>
        <w:t>3 </w:t>
      </w:r>
      <w:r>
        <w:rPr>
          <w:rFonts w:ascii="SimSun" w:hAnsi="SimSun" w:eastAsia="SimSun" w:cs="SimSun"/>
          <w:sz w:val="24"/>
          <w:szCs w:val="24"/>
          <w:spacing w:val="-30"/>
        </w:rPr>
        <w:t>）：</w:t>
      </w:r>
      <w:r>
        <w:rPr>
          <w:rFonts w:ascii="SimSun" w:hAnsi="SimSun" w:eastAsia="SimSun" w:cs="SimSun"/>
          <w:sz w:val="24"/>
          <w:szCs w:val="24"/>
          <w:spacing w:val="-4"/>
        </w:rPr>
        <w:t>本段地层颜色以灰、深灰为主，上部颜色较浅（灰、灰白、深</w:t>
      </w:r>
      <w:r>
        <w:rPr>
          <w:rFonts w:ascii="SimSun" w:hAnsi="SimSun" w:eastAsia="SimSun" w:cs="SimSun"/>
          <w:sz w:val="24"/>
          <w:szCs w:val="24"/>
          <w:spacing w:val="-5"/>
        </w:rPr>
        <w:t>灰、</w:t>
      </w:r>
      <w:r>
        <w:rPr>
          <w:rFonts w:ascii="SimSun" w:hAnsi="SimSun" w:eastAsia="SimSun" w:cs="SimSun"/>
          <w:sz w:val="24"/>
          <w:szCs w:val="24"/>
          <w:spacing w:val="-2"/>
        </w:rPr>
        <w:t>灰绿</w:t>
      </w:r>
      <w:r>
        <w:rPr>
          <w:rFonts w:ascii="SimSun" w:hAnsi="SimSun" w:eastAsia="SimSun" w:cs="SimSun"/>
          <w:sz w:val="24"/>
          <w:szCs w:val="24"/>
          <w:spacing w:val="7"/>
        </w:rPr>
        <w:t>），</w:t>
      </w:r>
      <w:r>
        <w:rPr>
          <w:rFonts w:ascii="SimSun" w:hAnsi="SimSun" w:eastAsia="SimSun" w:cs="SimSun"/>
          <w:sz w:val="24"/>
          <w:szCs w:val="24"/>
          <w:spacing w:val="-2"/>
        </w:rPr>
        <w:t>下部颜色较深（深灰、灰黑）粉砂岩、泥岩、各粒级砂岩与煤层互层。含三个</w:t>
      </w:r>
      <w:r>
        <w:rPr>
          <w:rFonts w:ascii="SimSun" w:hAnsi="SimSun" w:eastAsia="SimSun" w:cs="SimSun"/>
          <w:sz w:val="24"/>
          <w:szCs w:val="24"/>
        </w:rPr>
        <w:t>煤组，含煤</w:t>
      </w:r>
      <w:r>
        <w:rPr>
          <w:rFonts w:ascii="SimSun" w:hAnsi="SimSun" w:eastAsia="SimSun" w:cs="SimSun"/>
          <w:sz w:val="24"/>
          <w:szCs w:val="24"/>
          <w:spacing w:val="-10"/>
        </w:rPr>
        <w:t xml:space="preserve"> </w:t>
      </w:r>
      <w:r>
        <w:rPr>
          <w:rFonts w:ascii="Times New Roman" w:hAnsi="Times New Roman" w:eastAsia="Times New Roman" w:cs="Times New Roman"/>
          <w:sz w:val="24"/>
          <w:szCs w:val="24"/>
        </w:rPr>
        <w:t>12 </w:t>
      </w:r>
      <w:r>
        <w:rPr>
          <w:rFonts w:ascii="SimSun" w:hAnsi="SimSun" w:eastAsia="SimSun" w:cs="SimSun"/>
          <w:sz w:val="24"/>
          <w:szCs w:val="24"/>
        </w:rPr>
        <w:t>层，为本区唯一含煤段。含夹叶木、银杏、尼尔桑等植物化石和瓣鳃类</w:t>
      </w:r>
      <w:r>
        <w:rPr>
          <w:rFonts w:ascii="SimSun" w:hAnsi="SimSun" w:eastAsia="SimSun" w:cs="SimSun"/>
          <w:sz w:val="24"/>
          <w:szCs w:val="24"/>
          <w:spacing w:val="-2"/>
        </w:rPr>
        <w:t>等动物化石。粒度表现为粗细交替出现，但西南、东北两端则以细碎屑沉积为主；沉积</w:t>
      </w:r>
      <w:r>
        <w:rPr>
          <w:rFonts w:ascii="SimSun" w:hAnsi="SimSun" w:eastAsia="SimSun" w:cs="SimSun"/>
          <w:sz w:val="24"/>
          <w:szCs w:val="24"/>
          <w:spacing w:val="-2"/>
        </w:rPr>
        <w:t>旋回较明显；顶部层理不发育，中下部具明显水平层理并出现缓波状层理；含植物化石</w:t>
      </w:r>
      <w:r>
        <w:rPr>
          <w:rFonts w:ascii="SimSun" w:hAnsi="SimSun" w:eastAsia="SimSun" w:cs="SimSun"/>
          <w:sz w:val="24"/>
          <w:szCs w:val="24"/>
          <w:spacing w:val="-5"/>
        </w:rPr>
        <w:t>较丰富，以二、三煤组之间保存完整且含量最多</w:t>
      </w:r>
      <w:r>
        <w:rPr>
          <w:rFonts w:ascii="SimSun" w:hAnsi="SimSun" w:eastAsia="SimSun" w:cs="SimSun"/>
          <w:sz w:val="24"/>
          <w:szCs w:val="24"/>
          <w:spacing w:val="-6"/>
        </w:rPr>
        <w:t>；岩石成熟度普遍偏低，呈半胶结状态，</w:t>
      </w:r>
      <w:r>
        <w:rPr>
          <w:rFonts w:ascii="SimSun" w:hAnsi="SimSun" w:eastAsia="SimSun" w:cs="SimSun"/>
          <w:sz w:val="24"/>
          <w:szCs w:val="24"/>
          <w:spacing w:val="-1"/>
        </w:rPr>
        <w:t>砂、砂砾岩松软，泥岩风化易碎。</w:t>
      </w:r>
    </w:p>
    <w:p>
      <w:pPr>
        <w:ind w:left="11" w:right="205" w:firstLine="478"/>
        <w:spacing w:before="1" w:line="338" w:lineRule="auto"/>
        <w:jc w:val="both"/>
        <w:rPr>
          <w:rFonts w:ascii="SimSun" w:hAnsi="SimSun" w:eastAsia="SimSun" w:cs="SimSun"/>
          <w:sz w:val="24"/>
          <w:szCs w:val="24"/>
        </w:rPr>
      </w:pPr>
      <w:r>
        <w:rPr>
          <w:rFonts w:ascii="SimSun" w:hAnsi="SimSun" w:eastAsia="SimSun" w:cs="SimSun"/>
          <w:sz w:val="24"/>
          <w:szCs w:val="24"/>
          <w:spacing w:val="-3"/>
        </w:rPr>
        <w:t>第二段（</w:t>
      </w:r>
      <w:r>
        <w:rPr>
          <w:rFonts w:ascii="Times New Roman" w:hAnsi="Times New Roman" w:eastAsia="Times New Roman" w:cs="Times New Roman"/>
          <w:sz w:val="24"/>
          <w:szCs w:val="24"/>
          <w:spacing w:val="-3"/>
        </w:rPr>
        <w:t>K</w:t>
      </w:r>
      <w:r>
        <w:rPr>
          <w:rFonts w:ascii="Times New Roman" w:hAnsi="Times New Roman" w:eastAsia="Times New Roman" w:cs="Times New Roman"/>
          <w:sz w:val="15"/>
          <w:szCs w:val="15"/>
          <w:spacing w:val="-3"/>
          <w:position w:val="-1"/>
        </w:rPr>
        <w:t>1</w:t>
      </w:r>
      <w:r>
        <w:rPr>
          <w:rFonts w:ascii="Times New Roman" w:hAnsi="Times New Roman" w:eastAsia="Times New Roman" w:cs="Times New Roman"/>
          <w:sz w:val="24"/>
          <w:szCs w:val="24"/>
          <w:spacing w:val="-3"/>
        </w:rPr>
        <w:t>d</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13"/>
        </w:rPr>
        <w:t>）：</w:t>
      </w:r>
      <w:r>
        <w:rPr>
          <w:rFonts w:ascii="SimSun" w:hAnsi="SimSun" w:eastAsia="SimSun" w:cs="SimSun"/>
          <w:sz w:val="24"/>
          <w:szCs w:val="24"/>
          <w:spacing w:val="-3"/>
        </w:rPr>
        <w:t>以灰</w:t>
      </w:r>
      <w:r>
        <w:rPr>
          <w:rFonts w:ascii="Times New Roman" w:hAnsi="Times New Roman" w:eastAsia="Times New Roman" w:cs="Times New Roman"/>
          <w:sz w:val="24"/>
          <w:szCs w:val="24"/>
          <w:spacing w:val="-3"/>
        </w:rPr>
        <w:t>-</w:t>
      </w:r>
      <w:r>
        <w:rPr>
          <w:rFonts w:ascii="SimSun" w:hAnsi="SimSun" w:eastAsia="SimSun" w:cs="SimSun"/>
          <w:sz w:val="24"/>
          <w:szCs w:val="24"/>
          <w:spacing w:val="-3"/>
        </w:rPr>
        <w:t>深灰色巨厚层状细粉砂岩为主，夹细砂岩薄层。显细水平层</w:t>
      </w:r>
      <w:r>
        <w:rPr>
          <w:rFonts w:ascii="SimSun" w:hAnsi="SimSun" w:eastAsia="SimSun" w:cs="SimSun"/>
          <w:sz w:val="24"/>
          <w:szCs w:val="24"/>
          <w:spacing w:val="-2"/>
        </w:rPr>
        <w:t>理及缓波状层理，含钙质、菱铁质结核。含少量格拉多羊齿、夹叶木、坚直茨康斯基叶</w:t>
      </w:r>
      <w:r>
        <w:rPr>
          <w:rFonts w:ascii="SimSun" w:hAnsi="SimSun" w:eastAsia="SimSun" w:cs="SimSun"/>
          <w:sz w:val="24"/>
          <w:szCs w:val="24"/>
          <w:spacing w:val="-2"/>
        </w:rPr>
        <w:t>等化石。钻遇厚度</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2.86-221.75m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，平均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32.96m</w:t>
      </w:r>
      <w:r>
        <w:rPr>
          <w:rFonts w:ascii="SimSun" w:hAnsi="SimSun" w:eastAsia="SimSun" w:cs="SimSun"/>
          <w:sz w:val="24"/>
          <w:szCs w:val="24"/>
          <w:spacing w:val="-2"/>
        </w:rPr>
        <w:t>。</w:t>
      </w:r>
    </w:p>
    <w:p>
      <w:pPr>
        <w:ind w:left="9" w:firstLine="480"/>
        <w:spacing w:before="2" w:line="338" w:lineRule="auto"/>
        <w:rPr>
          <w:rFonts w:ascii="SimSun" w:hAnsi="SimSun" w:eastAsia="SimSun" w:cs="SimSun"/>
          <w:sz w:val="24"/>
          <w:szCs w:val="24"/>
        </w:rPr>
      </w:pPr>
      <w:r>
        <w:rPr>
          <w:rFonts w:ascii="SimSun" w:hAnsi="SimSun" w:eastAsia="SimSun" w:cs="SimSun"/>
          <w:sz w:val="24"/>
          <w:szCs w:val="24"/>
          <w:spacing w:val="-2"/>
        </w:rPr>
        <w:t>第一段（</w:t>
      </w:r>
      <w:r>
        <w:rPr>
          <w:rFonts w:ascii="Times New Roman" w:hAnsi="Times New Roman" w:eastAsia="Times New Roman" w:cs="Times New Roman"/>
          <w:sz w:val="24"/>
          <w:szCs w:val="24"/>
          <w:spacing w:val="-2"/>
        </w:rPr>
        <w:t>K</w:t>
      </w:r>
      <w:r>
        <w:rPr>
          <w:rFonts w:ascii="Times New Roman" w:hAnsi="Times New Roman" w:eastAsia="Times New Roman" w:cs="Times New Roman"/>
          <w:sz w:val="15"/>
          <w:szCs w:val="15"/>
          <w:spacing w:val="-2"/>
          <w:position w:val="-1"/>
        </w:rPr>
        <w:t>1</w:t>
      </w:r>
      <w:r>
        <w:rPr>
          <w:rFonts w:ascii="Times New Roman" w:hAnsi="Times New Roman" w:eastAsia="Times New Roman" w:cs="Times New Roman"/>
          <w:sz w:val="24"/>
          <w:szCs w:val="24"/>
          <w:spacing w:val="-2"/>
        </w:rPr>
        <w:t>d</w:t>
      </w:r>
      <w:r>
        <w:rPr>
          <w:rFonts w:ascii="Times New Roman" w:hAnsi="Times New Roman" w:eastAsia="Times New Roman" w:cs="Times New Roman"/>
          <w:sz w:val="15"/>
          <w:szCs w:val="15"/>
          <w:spacing w:val="-2"/>
          <w:position w:val="7"/>
        </w:rPr>
        <w:t>1 </w:t>
      </w:r>
      <w:r>
        <w:rPr>
          <w:rFonts w:ascii="SimSun" w:hAnsi="SimSun" w:eastAsia="SimSun" w:cs="SimSun"/>
          <w:sz w:val="24"/>
          <w:szCs w:val="24"/>
          <w:spacing w:val="7"/>
        </w:rPr>
        <w:t>）：</w:t>
      </w:r>
      <w:r>
        <w:rPr>
          <w:rFonts w:ascii="SimSun" w:hAnsi="SimSun" w:eastAsia="SimSun" w:cs="SimSun"/>
          <w:sz w:val="24"/>
          <w:szCs w:val="24"/>
          <w:spacing w:val="-2"/>
        </w:rPr>
        <w:t>以灰白、灰绿色砂砾岩与粗粒砂岩互层为主，夹深灰、绿灰色细</w:t>
      </w:r>
      <w:r>
        <w:rPr>
          <w:rFonts w:ascii="SimSun" w:hAnsi="SimSun" w:eastAsia="SimSun" w:cs="SimSun"/>
          <w:sz w:val="24"/>
          <w:szCs w:val="24"/>
          <w:spacing w:val="-14"/>
        </w:rPr>
        <w:t>粒砂岩。砾石成分以石英、燧石、变质粉砂岩为主。钻遇厚度</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4"/>
        </w:rPr>
        <w:t>66.06</w:t>
      </w:r>
      <w:r>
        <w:rPr>
          <w:rFonts w:ascii="SimSun" w:hAnsi="SimSun" w:eastAsia="SimSun" w:cs="SimSun"/>
          <w:sz w:val="24"/>
          <w:szCs w:val="24"/>
          <w:spacing w:val="-14"/>
        </w:rPr>
        <w:t>～</w:t>
      </w:r>
      <w:r>
        <w:rPr>
          <w:rFonts w:ascii="Times New Roman" w:hAnsi="Times New Roman" w:eastAsia="Times New Roman" w:cs="Times New Roman"/>
          <w:sz w:val="24"/>
          <w:szCs w:val="24"/>
          <w:spacing w:val="-14"/>
        </w:rPr>
        <w:t>125.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4"/>
        </w:rPr>
        <w:t>19m</w:t>
      </w:r>
      <w:r>
        <w:rPr>
          <w:rFonts w:ascii="SimSun" w:hAnsi="SimSun" w:eastAsia="SimSun" w:cs="SimSun"/>
          <w:sz w:val="24"/>
          <w:szCs w:val="24"/>
          <w:spacing w:val="-14"/>
        </w:rPr>
        <w:t>，平均</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4"/>
        </w:rPr>
        <w:t>88.36m</w:t>
      </w:r>
      <w:r>
        <w:rPr>
          <w:rFonts w:ascii="SimSun" w:hAnsi="SimSun" w:eastAsia="SimSun" w:cs="SimSun"/>
          <w:sz w:val="24"/>
          <w:szCs w:val="24"/>
          <w:spacing w:val="-14"/>
        </w:rPr>
        <w:t>。</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8"/>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、构造</w:t>
      </w:r>
    </w:p>
    <w:p>
      <w:pPr>
        <w:ind w:left="9" w:right="138" w:firstLine="479"/>
        <w:spacing w:before="155" w:line="336" w:lineRule="auto"/>
        <w:rPr>
          <w:rFonts w:ascii="SimSun" w:hAnsi="SimSun" w:eastAsia="SimSun" w:cs="SimSun"/>
          <w:sz w:val="24"/>
          <w:szCs w:val="24"/>
        </w:rPr>
      </w:pPr>
      <w:r>
        <w:rPr>
          <w:rFonts w:ascii="SimSun" w:hAnsi="SimSun" w:eastAsia="SimSun" w:cs="SimSun"/>
          <w:sz w:val="24"/>
          <w:szCs w:val="24"/>
          <w:spacing w:val="-3"/>
        </w:rPr>
        <w:t>勘查区内地层平缓（</w:t>
      </w:r>
      <w:r>
        <w:rPr>
          <w:rFonts w:ascii="Times New Roman" w:hAnsi="Times New Roman" w:eastAsia="Times New Roman" w:cs="Times New Roman"/>
          <w:sz w:val="24"/>
          <w:szCs w:val="24"/>
          <w:spacing w:val="-3"/>
        </w:rPr>
        <w:t>5</w:t>
      </w:r>
      <w:r>
        <w:rPr>
          <w:rFonts w:ascii="SimSun" w:hAnsi="SimSun" w:eastAsia="SimSun" w:cs="SimSun"/>
          <w:sz w:val="24"/>
          <w:szCs w:val="24"/>
          <w:spacing w:val="-3"/>
        </w:rPr>
        <w:t>～</w:t>
      </w:r>
      <w:r>
        <w:rPr>
          <w:rFonts w:ascii="Times New Roman" w:hAnsi="Times New Roman" w:eastAsia="Times New Roman" w:cs="Times New Roman"/>
          <w:sz w:val="24"/>
          <w:szCs w:val="24"/>
          <w:spacing w:val="-3"/>
        </w:rPr>
        <w:t>10°),</w:t>
      </w:r>
      <w:r>
        <w:rPr>
          <w:rFonts w:ascii="SimSun" w:hAnsi="SimSun" w:eastAsia="SimSun" w:cs="SimSun"/>
          <w:sz w:val="24"/>
          <w:szCs w:val="24"/>
          <w:spacing w:val="-3"/>
        </w:rPr>
        <w:t>构造简单，总体呈单斜构造，局部表现为缓波状起伏，</w:t>
      </w:r>
      <w:r>
        <w:rPr>
          <w:rFonts w:ascii="SimSun" w:hAnsi="SimSun" w:eastAsia="SimSun" w:cs="SimSun"/>
          <w:sz w:val="24"/>
          <w:szCs w:val="24"/>
          <w:spacing w:val="-1"/>
        </w:rPr>
        <w:t>地层总体走向</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
        </w:rPr>
        <w:t>N23°E</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，倾向</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N67°W</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F1</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号断层</w:t>
      </w:r>
      <w:r>
        <w:rPr>
          <w:rFonts w:ascii="SimSun" w:hAnsi="SimSun" w:eastAsia="SimSun" w:cs="SimSun"/>
          <w:sz w:val="24"/>
          <w:szCs w:val="24"/>
          <w:spacing w:val="-2"/>
        </w:rPr>
        <w:t>为区内发现唯一较大断层，其性质为正</w:t>
      </w:r>
      <w:r>
        <w:rPr>
          <w:rFonts w:ascii="SimSun" w:hAnsi="SimSun" w:eastAsia="SimSun" w:cs="SimSun"/>
          <w:sz w:val="24"/>
          <w:szCs w:val="24"/>
          <w:spacing w:val="-6"/>
        </w:rPr>
        <w:t>断层，走向</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6"/>
        </w:rPr>
        <w:t>N45°E</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，倾向</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6"/>
        </w:rPr>
        <w:t>SE</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，倾角</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60°</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w:t>
      </w:r>
      <w:r>
        <w:rPr>
          <w:rFonts w:ascii="SimSun" w:hAnsi="SimSun" w:eastAsia="SimSun" w:cs="SimSun"/>
          <w:sz w:val="24"/>
          <w:szCs w:val="24"/>
          <w:spacing w:val="65"/>
        </w:rPr>
        <w:t xml:space="preserve"> </w:t>
      </w:r>
      <w:r>
        <w:rPr>
          <w:rFonts w:ascii="SimSun" w:hAnsi="SimSun" w:eastAsia="SimSun" w:cs="SimSun"/>
          <w:sz w:val="24"/>
          <w:szCs w:val="24"/>
          <w:spacing w:val="-6"/>
        </w:rPr>
        <w:t>落差</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30</w:t>
      </w:r>
      <w:r>
        <w:rPr>
          <w:rFonts w:ascii="SimSun" w:hAnsi="SimSun" w:eastAsia="SimSun" w:cs="SimSun"/>
          <w:sz w:val="24"/>
          <w:szCs w:val="24"/>
          <w:spacing w:val="-6"/>
        </w:rPr>
        <w:t>～</w:t>
      </w:r>
      <w:r>
        <w:rPr>
          <w:rFonts w:ascii="Times New Roman" w:hAnsi="Times New Roman" w:eastAsia="Times New Roman" w:cs="Times New Roman"/>
          <w:sz w:val="24"/>
          <w:szCs w:val="24"/>
          <w:spacing w:val="-6"/>
        </w:rPr>
        <w:t>100m</w:t>
      </w:r>
      <w:r>
        <w:rPr>
          <w:rFonts w:ascii="SimSun" w:hAnsi="SimSun" w:eastAsia="SimSun" w:cs="SimSun"/>
          <w:sz w:val="24"/>
          <w:szCs w:val="24"/>
          <w:spacing w:val="-6"/>
        </w:rPr>
        <w:t>。</w:t>
      </w:r>
    </w:p>
    <w:p>
      <w:pPr>
        <w:ind w:left="507"/>
        <w:spacing w:before="9" w:line="219" w:lineRule="auto"/>
        <w:rPr>
          <w:rFonts w:ascii="SimSun" w:hAnsi="SimSun" w:eastAsia="SimSun" w:cs="SimSun"/>
          <w:sz w:val="24"/>
          <w:szCs w:val="24"/>
        </w:rPr>
      </w:pPr>
      <w:r>
        <w:rPr>
          <w:rFonts w:ascii="SimSun" w:hAnsi="SimSun" w:eastAsia="SimSun" w:cs="SimSun"/>
          <w:sz w:val="24"/>
          <w:szCs w:val="24"/>
          <w:spacing w:val="-3"/>
        </w:rPr>
        <w:t>区域地质图与地层综合柱状图见图</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5-4-3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5-4-4</w:t>
      </w:r>
      <w:r>
        <w:rPr>
          <w:rFonts w:ascii="SimSun" w:hAnsi="SimSun" w:eastAsia="SimSun" w:cs="SimSun"/>
          <w:sz w:val="24"/>
          <w:szCs w:val="24"/>
          <w:spacing w:val="-3"/>
        </w:rPr>
        <w:t>。</w:t>
      </w:r>
    </w:p>
    <w:p>
      <w:pPr>
        <w:ind w:left="33"/>
        <w:spacing w:before="24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5.4.2</w:t>
      </w:r>
      <w:r>
        <w:rPr>
          <w:rFonts w:ascii="SimHei" w:hAnsi="SimHei" w:eastAsia="SimHei" w:cs="SimHei"/>
          <w:sz w:val="28"/>
          <w:szCs w:val="28"/>
          <w:b/>
          <w:bCs/>
          <w:spacing w:val="-2"/>
        </w:rPr>
        <w:t>区域及井田水文地质条件</w:t>
      </w:r>
    </w:p>
    <w:p>
      <w:pPr>
        <w:ind w:left="8"/>
        <w:spacing w:before="171"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5.4.2.1</w:t>
      </w:r>
      <w:r>
        <w:rPr>
          <w:rFonts w:ascii="SimHei" w:hAnsi="SimHei" w:eastAsia="SimHei" w:cs="SimHei"/>
          <w:sz w:val="24"/>
          <w:szCs w:val="24"/>
          <w:b/>
          <w:bCs/>
          <w:spacing w:val="-2"/>
        </w:rPr>
        <w:t>区域环境水文地质条件概况</w:t>
      </w:r>
    </w:p>
    <w:p>
      <w:pPr>
        <w:ind w:left="9" w:right="205" w:firstLine="480"/>
        <w:spacing w:before="153" w:line="339" w:lineRule="auto"/>
        <w:jc w:val="both"/>
        <w:rPr>
          <w:rFonts w:ascii="SimSun" w:hAnsi="SimSun" w:eastAsia="SimSun" w:cs="SimSun"/>
          <w:sz w:val="24"/>
          <w:szCs w:val="24"/>
        </w:rPr>
      </w:pPr>
      <w:r>
        <w:rPr>
          <w:rFonts w:ascii="SimSun" w:hAnsi="SimSun" w:eastAsia="SimSun" w:cs="SimSun"/>
          <w:sz w:val="24"/>
          <w:szCs w:val="24"/>
          <w:spacing w:val="-2"/>
        </w:rPr>
        <w:t>根据内蒙古自治区地下水系统分区图，评价区地下水系统属于蒙北高原地下水系统</w:t>
      </w:r>
      <w:r>
        <w:rPr>
          <w:rFonts w:ascii="SimSun" w:hAnsi="SimSun" w:eastAsia="SimSun" w:cs="SimSun"/>
          <w:sz w:val="24"/>
          <w:szCs w:val="24"/>
          <w:spacing w:val="-2"/>
        </w:rPr>
        <w:t>区（</w:t>
      </w:r>
      <w:r>
        <w:rPr>
          <w:rFonts w:ascii="Times New Roman" w:hAnsi="Times New Roman" w:eastAsia="Times New Roman" w:cs="Times New Roman"/>
          <w:sz w:val="24"/>
          <w:szCs w:val="24"/>
          <w:spacing w:val="-2"/>
        </w:rPr>
        <w:t>D</w:t>
      </w:r>
      <w:r>
        <w:rPr>
          <w:rFonts w:ascii="SimSun" w:hAnsi="SimSun" w:eastAsia="SimSun" w:cs="SimSun"/>
          <w:sz w:val="24"/>
          <w:szCs w:val="24"/>
          <w:spacing w:val="-10"/>
        </w:rPr>
        <w:t>），</w:t>
      </w:r>
      <w:r>
        <w:rPr>
          <w:rFonts w:ascii="SimSun" w:hAnsi="SimSun" w:eastAsia="SimSun" w:cs="SimSun"/>
          <w:sz w:val="24"/>
          <w:szCs w:val="24"/>
          <w:spacing w:val="-2"/>
        </w:rPr>
        <w:t>一级地下水系统属于阴山北部高平原地下水系统区（</w:t>
      </w:r>
      <w:r>
        <w:rPr>
          <w:rFonts w:ascii="Times New Roman" w:hAnsi="Times New Roman" w:eastAsia="Times New Roman" w:cs="Times New Roman"/>
          <w:sz w:val="24"/>
          <w:szCs w:val="24"/>
          <w:spacing w:val="-2"/>
        </w:rPr>
        <w:t>D</w:t>
      </w:r>
      <w:r>
        <w:rPr>
          <w:rFonts w:ascii="Times New Roman" w:hAnsi="Times New Roman" w:eastAsia="Times New Roman" w:cs="Times New Roman"/>
          <w:sz w:val="15"/>
          <w:szCs w:val="15"/>
          <w:spacing w:val="-2"/>
          <w:position w:val="-1"/>
        </w:rPr>
        <w:t>01 </w:t>
      </w:r>
      <w:r>
        <w:rPr>
          <w:rFonts w:ascii="SimSun" w:hAnsi="SimSun" w:eastAsia="SimSun" w:cs="SimSun"/>
          <w:sz w:val="24"/>
          <w:szCs w:val="24"/>
          <w:spacing w:val="-10"/>
        </w:rPr>
        <w:t>），</w:t>
      </w:r>
      <w:r>
        <w:rPr>
          <w:rFonts w:ascii="SimSun" w:hAnsi="SimSun" w:eastAsia="SimSun" w:cs="SimSun"/>
          <w:sz w:val="24"/>
          <w:szCs w:val="24"/>
          <w:spacing w:val="-2"/>
        </w:rPr>
        <w:t>乌拉盖高音二级</w:t>
      </w:r>
      <w:r>
        <w:rPr>
          <w:rFonts w:ascii="SimSun" w:hAnsi="SimSun" w:eastAsia="SimSun" w:cs="SimSun"/>
          <w:sz w:val="24"/>
          <w:szCs w:val="24"/>
          <w:spacing w:val="-1"/>
        </w:rPr>
        <w:t>地下水系统区（</w:t>
      </w:r>
      <w:r>
        <w:rPr>
          <w:rFonts w:ascii="Times New Roman" w:hAnsi="Times New Roman" w:eastAsia="Times New Roman" w:cs="Times New Roman"/>
          <w:sz w:val="24"/>
          <w:szCs w:val="24"/>
          <w:spacing w:val="-1"/>
        </w:rPr>
        <w:t>D</w:t>
      </w:r>
      <w:r>
        <w:rPr>
          <w:rFonts w:ascii="Times New Roman" w:hAnsi="Times New Roman" w:eastAsia="Times New Roman" w:cs="Times New Roman"/>
          <w:sz w:val="15"/>
          <w:szCs w:val="15"/>
          <w:spacing w:val="-1"/>
          <w:position w:val="-1"/>
        </w:rPr>
        <w:t>01A</w:t>
      </w:r>
      <w:r>
        <w:rPr>
          <w:rFonts w:ascii="SimSun" w:hAnsi="SimSun" w:eastAsia="SimSun" w:cs="SimSun"/>
          <w:sz w:val="24"/>
          <w:szCs w:val="24"/>
          <w:spacing w:val="17"/>
        </w:rPr>
        <w:t>），</w:t>
      </w:r>
      <w:r>
        <w:rPr>
          <w:rFonts w:ascii="SimSun" w:hAnsi="SimSun" w:eastAsia="SimSun" w:cs="SimSun"/>
          <w:sz w:val="24"/>
          <w:szCs w:val="24"/>
          <w:spacing w:val="-1"/>
        </w:rPr>
        <w:t>白音华流域三级地下水系统。区域上主要水文</w:t>
      </w:r>
      <w:r>
        <w:rPr>
          <w:rFonts w:ascii="SimSun" w:hAnsi="SimSun" w:eastAsia="SimSun" w:cs="SimSun"/>
          <w:sz w:val="24"/>
          <w:szCs w:val="24"/>
          <w:spacing w:val="-2"/>
        </w:rPr>
        <w:t>地质类型有基岩</w:t>
      </w:r>
      <w:r>
        <w:rPr>
          <w:rFonts w:ascii="SimSun" w:hAnsi="SimSun" w:eastAsia="SimSun" w:cs="SimSun"/>
          <w:sz w:val="24"/>
          <w:szCs w:val="24"/>
          <w:spacing w:val="-2"/>
        </w:rPr>
        <w:t>裂隙水、白垩系碎屑岩类孔隙裂隙水和第四系松散岩类孔隙水。区域地下水系统划分详</w:t>
      </w:r>
      <w:r>
        <w:rPr>
          <w:rFonts w:ascii="SimSun" w:hAnsi="SimSun" w:eastAsia="SimSun" w:cs="SimSun"/>
          <w:sz w:val="24"/>
          <w:szCs w:val="24"/>
          <w:spacing w:val="-4"/>
        </w:rPr>
        <w:t>见图</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5-4-5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5-4-3</w:t>
      </w:r>
      <w:r>
        <w:rPr>
          <w:rFonts w:ascii="SimSun" w:hAnsi="SimSun" w:eastAsia="SimSun" w:cs="SimSun"/>
          <w:sz w:val="24"/>
          <w:szCs w:val="24"/>
          <w:spacing w:val="-4"/>
        </w:rPr>
        <w:t>。</w:t>
      </w:r>
    </w:p>
    <w:p>
      <w:pPr>
        <w:spacing w:line="339" w:lineRule="auto"/>
        <w:sectPr>
          <w:headerReference w:type="default" r:id="rId411"/>
          <w:footerReference w:type="default" r:id="rId412"/>
          <w:pgSz w:w="11906" w:h="16838"/>
          <w:pgMar w:top="1170" w:right="1212" w:bottom="1080" w:left="1416" w:header="837" w:footer="918" w:gutter="0"/>
        </w:sectPr>
        <w:rPr>
          <w:rFonts w:ascii="SimSun" w:hAnsi="SimSun" w:eastAsia="SimSun" w:cs="SimSun"/>
          <w:sz w:val="24"/>
          <w:szCs w:val="24"/>
        </w:rPr>
      </w:pPr>
    </w:p>
    <w:p>
      <w:pPr>
        <w:pStyle w:val="BodyText"/>
        <w:spacing w:line="246" w:lineRule="auto"/>
        <w:rPr/>
      </w:pPr>
      <w:r/>
    </w:p>
    <w:p>
      <w:pPr>
        <w:ind w:firstLine="515"/>
        <w:spacing w:line="5597" w:lineRule="exact"/>
        <w:rPr/>
      </w:pPr>
      <w:r>
        <w:rPr>
          <w:position w:val="-111"/>
        </w:rPr>
        <w:drawing>
          <wp:inline distT="0" distB="0" distL="0" distR="0">
            <wp:extent cx="5407151" cy="3553967"/>
            <wp:effectExtent l="0" t="0" r="0" b="0"/>
            <wp:docPr id="306" name="IM 306"/>
            <wp:cNvGraphicFramePr/>
            <a:graphic>
              <a:graphicData uri="http://schemas.openxmlformats.org/drawingml/2006/picture">
                <pic:pic>
                  <pic:nvPicPr>
                    <pic:cNvPr id="306" name="IM 306"/>
                    <pic:cNvPicPr/>
                  </pic:nvPicPr>
                  <pic:blipFill>
                    <a:blip r:embed="rId415"/>
                    <a:stretch>
                      <a:fillRect/>
                    </a:stretch>
                  </pic:blipFill>
                  <pic:spPr>
                    <a:xfrm rot="0">
                      <a:off x="0" y="0"/>
                      <a:ext cx="5407151" cy="3553967"/>
                    </a:xfrm>
                    <a:prstGeom prst="rect">
                      <a:avLst/>
                    </a:prstGeom>
                  </pic:spPr>
                </pic:pic>
              </a:graphicData>
            </a:graphic>
          </wp:inline>
        </w:drawing>
      </w:r>
    </w:p>
    <w:p>
      <w:pPr>
        <w:ind w:left="2824"/>
        <w:spacing w:before="276" w:line="221"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45"/>
        </w:rPr>
        <w:t xml:space="preserve"> </w:t>
      </w:r>
      <w:r>
        <w:rPr>
          <w:rFonts w:ascii="Times New Roman" w:hAnsi="Times New Roman" w:eastAsia="Times New Roman" w:cs="Times New Roman"/>
          <w:sz w:val="24"/>
          <w:szCs w:val="24"/>
          <w:b/>
          <w:bCs/>
          <w:spacing w:val="-3"/>
        </w:rPr>
        <w:t>5-4-5    </w:t>
      </w:r>
      <w:r>
        <w:rPr>
          <w:rFonts w:ascii="SimHei" w:hAnsi="SimHei" w:eastAsia="SimHei" w:cs="SimHei"/>
          <w:sz w:val="24"/>
          <w:szCs w:val="24"/>
          <w:b/>
          <w:bCs/>
          <w:spacing w:val="-3"/>
        </w:rPr>
        <w:t>区域地下水系统划分图</w:t>
      </w:r>
    </w:p>
    <w:p>
      <w:pPr>
        <w:ind w:left="3359"/>
        <w:spacing w:before="312" w:line="221" w:lineRule="auto"/>
        <w:rPr>
          <w:rFonts w:ascii="SimHei" w:hAnsi="SimHei" w:eastAsia="SimHei" w:cs="SimHei"/>
          <w:sz w:val="24"/>
          <w:szCs w:val="24"/>
        </w:rPr>
      </w:pPr>
      <w:r>
        <w:rPr>
          <w:rFonts w:ascii="SimHei" w:hAnsi="SimHei" w:eastAsia="SimHei" w:cs="SimHei"/>
          <w:sz w:val="24"/>
          <w:szCs w:val="24"/>
          <w:spacing w:val="-3"/>
        </w:rPr>
        <w:t>区域地下水系统划分表</w:t>
      </w:r>
    </w:p>
    <w:p>
      <w:pPr>
        <w:ind w:left="7"/>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5-4-3</w:t>
      </w:r>
    </w:p>
    <w:p>
      <w:pPr>
        <w:spacing w:line="22" w:lineRule="exact"/>
        <w:rPr/>
      </w:pPr>
      <w:r/>
    </w:p>
    <w:tbl>
      <w:tblPr>
        <w:tblStyle w:val="TableNormal"/>
        <w:tblW w:w="9059" w:type="dxa"/>
        <w:tblInd w:w="1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99"/>
        <w:gridCol w:w="1883"/>
        <w:gridCol w:w="2386"/>
        <w:gridCol w:w="3591"/>
      </w:tblGrid>
      <w:tr>
        <w:trPr>
          <w:trHeight w:val="272" w:hRule="atLeast"/>
        </w:trPr>
        <w:tc>
          <w:tcPr>
            <w:tcW w:w="3082" w:type="dxa"/>
            <w:vAlign w:val="top"/>
            <w:gridSpan w:val="2"/>
          </w:tcPr>
          <w:p>
            <w:pPr>
              <w:ind w:left="1020"/>
              <w:spacing w:before="29" w:line="215" w:lineRule="auto"/>
              <w:rPr>
                <w:rFonts w:ascii="SimSun" w:hAnsi="SimSun" w:eastAsia="SimSun" w:cs="SimSun"/>
                <w:sz w:val="20"/>
                <w:szCs w:val="20"/>
              </w:rPr>
            </w:pPr>
            <w:r>
              <w:rPr>
                <w:rFonts w:ascii="SimSun" w:hAnsi="SimSun" w:eastAsia="SimSun" w:cs="SimSun"/>
                <w:sz w:val="20"/>
                <w:szCs w:val="20"/>
                <w:spacing w:val="8"/>
              </w:rPr>
              <w:t>地下水系统</w:t>
            </w:r>
          </w:p>
        </w:tc>
        <w:tc>
          <w:tcPr>
            <w:tcW w:w="2386" w:type="dxa"/>
            <w:vAlign w:val="top"/>
            <w:vMerge w:val="restart"/>
            <w:tcBorders>
              <w:bottom w:val="nil"/>
            </w:tcBorders>
          </w:tcPr>
          <w:p>
            <w:pPr>
              <w:ind w:left="466"/>
              <w:spacing w:before="167" w:line="228" w:lineRule="auto"/>
              <w:rPr>
                <w:rFonts w:ascii="SimSun" w:hAnsi="SimSun" w:eastAsia="SimSun" w:cs="SimSun"/>
                <w:sz w:val="20"/>
                <w:szCs w:val="20"/>
              </w:rPr>
            </w:pPr>
            <w:r>
              <w:rPr>
                <w:rFonts w:ascii="SimSun" w:hAnsi="SimSun" w:eastAsia="SimSun" w:cs="SimSun"/>
                <w:sz w:val="20"/>
                <w:szCs w:val="20"/>
                <w:spacing w:val="8"/>
              </w:rPr>
              <w:t>二级地下水系统</w:t>
            </w:r>
          </w:p>
        </w:tc>
        <w:tc>
          <w:tcPr>
            <w:tcW w:w="3591" w:type="dxa"/>
            <w:vAlign w:val="top"/>
            <w:vMerge w:val="restart"/>
            <w:tcBorders>
              <w:bottom w:val="nil"/>
            </w:tcBorders>
          </w:tcPr>
          <w:p>
            <w:pPr>
              <w:ind w:left="1065"/>
              <w:spacing w:before="167" w:line="228" w:lineRule="auto"/>
              <w:rPr>
                <w:rFonts w:ascii="SimSun" w:hAnsi="SimSun" w:eastAsia="SimSun" w:cs="SimSun"/>
                <w:sz w:val="20"/>
                <w:szCs w:val="20"/>
              </w:rPr>
            </w:pPr>
            <w:r>
              <w:rPr>
                <w:rFonts w:ascii="SimSun" w:hAnsi="SimSun" w:eastAsia="SimSun" w:cs="SimSun"/>
                <w:sz w:val="20"/>
                <w:szCs w:val="20"/>
                <w:spacing w:val="8"/>
              </w:rPr>
              <w:t>三级地下水系统</w:t>
            </w:r>
          </w:p>
        </w:tc>
      </w:tr>
      <w:tr>
        <w:trPr>
          <w:trHeight w:val="272" w:hRule="atLeast"/>
        </w:trPr>
        <w:tc>
          <w:tcPr>
            <w:tcW w:w="1199" w:type="dxa"/>
            <w:vAlign w:val="top"/>
          </w:tcPr>
          <w:p>
            <w:pPr>
              <w:ind w:left="393"/>
              <w:spacing w:before="28" w:line="216" w:lineRule="auto"/>
              <w:rPr>
                <w:rFonts w:ascii="SimSun" w:hAnsi="SimSun" w:eastAsia="SimSun" w:cs="SimSun"/>
                <w:sz w:val="20"/>
                <w:szCs w:val="20"/>
              </w:rPr>
            </w:pPr>
            <w:r>
              <w:rPr>
                <w:rFonts w:ascii="SimSun" w:hAnsi="SimSun" w:eastAsia="SimSun" w:cs="SimSun"/>
                <w:sz w:val="20"/>
                <w:szCs w:val="20"/>
                <w:spacing w:val="5"/>
              </w:rPr>
              <w:t>代号</w:t>
            </w:r>
          </w:p>
        </w:tc>
        <w:tc>
          <w:tcPr>
            <w:tcW w:w="1883" w:type="dxa"/>
            <w:vAlign w:val="top"/>
          </w:tcPr>
          <w:p>
            <w:pPr>
              <w:ind w:left="736"/>
              <w:spacing w:before="28" w:line="216" w:lineRule="auto"/>
              <w:rPr>
                <w:rFonts w:ascii="SimSun" w:hAnsi="SimSun" w:eastAsia="SimSun" w:cs="SimSun"/>
                <w:sz w:val="20"/>
                <w:szCs w:val="20"/>
              </w:rPr>
            </w:pPr>
            <w:r>
              <w:rPr>
                <w:rFonts w:ascii="SimSun" w:hAnsi="SimSun" w:eastAsia="SimSun" w:cs="SimSun"/>
                <w:sz w:val="20"/>
                <w:szCs w:val="20"/>
                <w:spacing w:val="3"/>
              </w:rPr>
              <w:t>名称</w:t>
            </w:r>
          </w:p>
        </w:tc>
        <w:tc>
          <w:tcPr>
            <w:tcW w:w="2386" w:type="dxa"/>
            <w:vAlign w:val="top"/>
            <w:vMerge w:val="continue"/>
            <w:tcBorders>
              <w:top w:val="nil"/>
            </w:tcBorders>
          </w:tcPr>
          <w:p>
            <w:pPr>
              <w:rPr>
                <w:rFonts w:ascii="Arial"/>
                <w:sz w:val="21"/>
              </w:rPr>
            </w:pPr>
            <w:r/>
          </w:p>
        </w:tc>
        <w:tc>
          <w:tcPr>
            <w:tcW w:w="3591" w:type="dxa"/>
            <w:vAlign w:val="top"/>
            <w:vMerge w:val="continue"/>
            <w:tcBorders>
              <w:top w:val="nil"/>
            </w:tcBorders>
          </w:tcPr>
          <w:p>
            <w:pPr>
              <w:rPr>
                <w:rFonts w:ascii="Arial"/>
                <w:sz w:val="21"/>
              </w:rPr>
            </w:pPr>
            <w:r/>
          </w:p>
        </w:tc>
      </w:tr>
      <w:tr>
        <w:trPr>
          <w:trHeight w:val="544" w:hRule="atLeast"/>
        </w:trPr>
        <w:tc>
          <w:tcPr>
            <w:tcW w:w="1199" w:type="dxa"/>
            <w:vAlign w:val="top"/>
          </w:tcPr>
          <w:p>
            <w:pPr>
              <w:pStyle w:val="TableText"/>
              <w:ind w:left="524"/>
              <w:spacing w:before="205" w:line="192" w:lineRule="auto"/>
              <w:rPr/>
            </w:pPr>
            <w:r>
              <w:rPr>
                <w:spacing w:val="2"/>
              </w:rPr>
              <w:t>D</w:t>
            </w:r>
          </w:p>
        </w:tc>
        <w:tc>
          <w:tcPr>
            <w:tcW w:w="1883" w:type="dxa"/>
            <w:vAlign w:val="top"/>
          </w:tcPr>
          <w:p>
            <w:pPr>
              <w:ind w:left="112"/>
              <w:spacing w:before="29" w:line="228" w:lineRule="auto"/>
              <w:rPr>
                <w:rFonts w:ascii="SimSun" w:hAnsi="SimSun" w:eastAsia="SimSun" w:cs="SimSun"/>
                <w:sz w:val="20"/>
                <w:szCs w:val="20"/>
              </w:rPr>
            </w:pPr>
            <w:r>
              <w:rPr>
                <w:rFonts w:ascii="SimSun" w:hAnsi="SimSun" w:eastAsia="SimSun" w:cs="SimSun"/>
                <w:sz w:val="20"/>
                <w:szCs w:val="20"/>
                <w:spacing w:val="8"/>
              </w:rPr>
              <w:t>蒙北高原地下水系</w:t>
            </w:r>
          </w:p>
          <w:p>
            <w:pPr>
              <w:pStyle w:val="TableText"/>
              <w:ind w:left="349"/>
              <w:spacing w:before="25" w:line="215" w:lineRule="auto"/>
              <w:rPr>
                <w:rFonts w:ascii="SimSun" w:hAnsi="SimSun" w:eastAsia="SimSun" w:cs="SimSun"/>
              </w:rPr>
            </w:pPr>
            <w:r>
              <w:rPr>
                <w:rFonts w:ascii="SimSun" w:hAnsi="SimSun" w:eastAsia="SimSun" w:cs="SimSun"/>
                <w:spacing w:val="4"/>
              </w:rPr>
              <w:t>统区（</w:t>
            </w:r>
            <w:r>
              <w:rPr>
                <w:spacing w:val="4"/>
              </w:rPr>
              <w:t>D01</w:t>
            </w:r>
            <w:r>
              <w:rPr>
                <w:rFonts w:ascii="SimSun" w:hAnsi="SimSun" w:eastAsia="SimSun" w:cs="SimSun"/>
                <w:spacing w:val="4"/>
              </w:rPr>
              <w:t>）</w:t>
            </w:r>
          </w:p>
        </w:tc>
        <w:tc>
          <w:tcPr>
            <w:tcW w:w="2386" w:type="dxa"/>
            <w:vAlign w:val="top"/>
          </w:tcPr>
          <w:p>
            <w:pPr>
              <w:ind w:left="45"/>
              <w:spacing w:before="29" w:line="228" w:lineRule="auto"/>
              <w:rPr>
                <w:rFonts w:ascii="SimSun" w:hAnsi="SimSun" w:eastAsia="SimSun" w:cs="SimSun"/>
                <w:sz w:val="20"/>
                <w:szCs w:val="20"/>
              </w:rPr>
            </w:pPr>
            <w:r>
              <w:rPr>
                <w:rFonts w:ascii="SimSun" w:hAnsi="SimSun" w:eastAsia="SimSun" w:cs="SimSun"/>
                <w:sz w:val="20"/>
                <w:szCs w:val="20"/>
                <w:spacing w:val="9"/>
              </w:rPr>
              <w:t>乌拉盖高音二级地下水系</w:t>
            </w:r>
          </w:p>
          <w:p>
            <w:pPr>
              <w:pStyle w:val="TableText"/>
              <w:ind w:left="631"/>
              <w:spacing w:before="25" w:line="215" w:lineRule="auto"/>
              <w:rPr>
                <w:rFonts w:ascii="SimSun" w:hAnsi="SimSun" w:eastAsia="SimSun" w:cs="SimSun"/>
              </w:rPr>
            </w:pPr>
            <w:r>
              <w:rPr>
                <w:rFonts w:ascii="SimSun" w:hAnsi="SimSun" w:eastAsia="SimSun" w:cs="SimSun"/>
                <w:spacing w:val="4"/>
              </w:rPr>
              <w:t>统（</w:t>
            </w:r>
            <w:r>
              <w:rPr>
                <w:spacing w:val="4"/>
              </w:rPr>
              <w:t>D01A</w:t>
            </w:r>
            <w:r>
              <w:rPr>
                <w:rFonts w:ascii="SimSun" w:hAnsi="SimSun" w:eastAsia="SimSun" w:cs="SimSun"/>
                <w:spacing w:val="4"/>
              </w:rPr>
              <w:t>）</w:t>
            </w:r>
          </w:p>
        </w:tc>
        <w:tc>
          <w:tcPr>
            <w:tcW w:w="3591" w:type="dxa"/>
            <w:vAlign w:val="top"/>
          </w:tcPr>
          <w:p>
            <w:pPr>
              <w:ind w:left="779"/>
              <w:spacing w:before="163" w:line="228" w:lineRule="auto"/>
              <w:rPr>
                <w:rFonts w:ascii="SimSun" w:hAnsi="SimSun" w:eastAsia="SimSun" w:cs="SimSun"/>
                <w:sz w:val="20"/>
                <w:szCs w:val="20"/>
              </w:rPr>
            </w:pPr>
            <w:r>
              <w:rPr>
                <w:rFonts w:ascii="SimSun" w:hAnsi="SimSun" w:eastAsia="SimSun" w:cs="SimSun"/>
                <w:sz w:val="20"/>
                <w:szCs w:val="20"/>
                <w:spacing w:val="5"/>
              </w:rPr>
              <w:t>白音华流域地下水系统</w:t>
            </w:r>
          </w:p>
        </w:tc>
      </w:tr>
    </w:tbl>
    <w:p>
      <w:pPr>
        <w:pStyle w:val="BodyText"/>
        <w:spacing w:line="253" w:lineRule="auto"/>
        <w:rPr/>
      </w:pPr>
      <w:r/>
    </w:p>
    <w:p>
      <w:pPr>
        <w:pStyle w:val="BodyText"/>
        <w:spacing w:line="253" w:lineRule="auto"/>
        <w:rPr/>
      </w:pPr>
      <w:r/>
    </w:p>
    <w:p>
      <w:pPr>
        <w:ind w:left="9" w:right="103" w:firstLine="497"/>
        <w:spacing w:before="78" w:line="338" w:lineRule="auto"/>
        <w:jc w:val="both"/>
        <w:rPr>
          <w:rFonts w:ascii="SimSun" w:hAnsi="SimSun" w:eastAsia="SimSun" w:cs="SimSun"/>
          <w:sz w:val="24"/>
          <w:szCs w:val="24"/>
        </w:rPr>
      </w:pPr>
      <w:r>
        <w:rPr>
          <w:rFonts w:ascii="SimSun" w:hAnsi="SimSun" w:eastAsia="SimSun" w:cs="SimSun"/>
          <w:sz w:val="24"/>
          <w:szCs w:val="24"/>
          <w:spacing w:val="-2"/>
        </w:rPr>
        <w:t>区域水文地质条件受气候、地貌、岩性、地质构造、地表水体、新构造</w:t>
      </w:r>
      <w:r>
        <w:rPr>
          <w:rFonts w:ascii="SimSun" w:hAnsi="SimSun" w:eastAsia="SimSun" w:cs="SimSun"/>
          <w:sz w:val="24"/>
          <w:szCs w:val="24"/>
          <w:spacing w:val="-3"/>
        </w:rPr>
        <w:t>运动及人类</w:t>
      </w:r>
      <w:r>
        <w:rPr>
          <w:rFonts w:ascii="SimSun" w:hAnsi="SimSun" w:eastAsia="SimSun" w:cs="SimSun"/>
          <w:sz w:val="24"/>
          <w:szCs w:val="24"/>
          <w:spacing w:val="-2"/>
        </w:rPr>
        <w:t>活动等因素的综合控制。按区域含水岩类埋藏条件及其水力性质，地下水主要为松散岩</w:t>
      </w:r>
      <w:r>
        <w:rPr>
          <w:rFonts w:ascii="SimSun" w:hAnsi="SimSun" w:eastAsia="SimSun" w:cs="SimSun"/>
          <w:sz w:val="24"/>
          <w:szCs w:val="24"/>
        </w:rPr>
        <w:t>类孔隙潜水和碎屑岩类孔隙裂隙承压水、基岩</w:t>
      </w:r>
      <w:r>
        <w:rPr>
          <w:rFonts w:ascii="SimSun" w:hAnsi="SimSun" w:eastAsia="SimSun" w:cs="SimSun"/>
          <w:sz w:val="24"/>
          <w:szCs w:val="24"/>
          <w:spacing w:val="-1"/>
        </w:rPr>
        <w:t>裂隙水三类，分述如下：</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7"/>
        </w:rPr>
        <w:t>、区域含水层特征</w:t>
      </w:r>
    </w:p>
    <w:p>
      <w:pPr>
        <w:ind w:left="495"/>
        <w:spacing w:before="15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）第四系孔隙潜水含水层</w:t>
      </w:r>
    </w:p>
    <w:p>
      <w:pPr>
        <w:ind w:left="10" w:right="103" w:firstLine="479"/>
        <w:spacing w:before="156" w:line="338" w:lineRule="auto"/>
        <w:rPr>
          <w:rFonts w:ascii="SimSun" w:hAnsi="SimSun" w:eastAsia="SimSun" w:cs="SimSun"/>
          <w:sz w:val="24"/>
          <w:szCs w:val="24"/>
        </w:rPr>
      </w:pPr>
      <w:r>
        <w:rPr>
          <w:rFonts w:ascii="SimSun" w:hAnsi="SimSun" w:eastAsia="SimSun" w:cs="SimSun"/>
          <w:sz w:val="24"/>
          <w:szCs w:val="24"/>
          <w:spacing w:val="-2"/>
        </w:rPr>
        <w:t>含水层分布于高力罕河、彦吉嘎河两河谷平原之间的广大冲洪积平原区，由上更新</w:t>
      </w:r>
      <w:r>
        <w:rPr>
          <w:rFonts w:ascii="SimSun" w:hAnsi="SimSun" w:eastAsia="SimSun" w:cs="SimSun"/>
          <w:sz w:val="24"/>
          <w:szCs w:val="24"/>
          <w:spacing w:val="-2"/>
        </w:rPr>
        <w:t>统冲洪积中细砂含砾中粗砂组成，最大厚度</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39.80m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，单位涌水量</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0.0</w:t>
      </w:r>
      <w:r>
        <w:rPr>
          <w:rFonts w:ascii="Times New Roman" w:hAnsi="Times New Roman" w:eastAsia="Times New Roman" w:cs="Times New Roman"/>
          <w:sz w:val="24"/>
          <w:szCs w:val="24"/>
          <w:spacing w:val="-3"/>
        </w:rPr>
        <w:t>279</w:t>
      </w:r>
      <w:r>
        <w:rPr>
          <w:rFonts w:ascii="SimSun" w:hAnsi="SimSun" w:eastAsia="SimSun" w:cs="SimSun"/>
          <w:sz w:val="24"/>
          <w:szCs w:val="24"/>
          <w:spacing w:val="-3"/>
        </w:rPr>
        <w:t>～</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187l/s</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w:t>
      </w:r>
      <w:r>
        <w:rPr>
          <w:rFonts w:ascii="SimSun" w:hAnsi="SimSun" w:eastAsia="SimSun" w:cs="SimSun"/>
          <w:sz w:val="24"/>
          <w:szCs w:val="24"/>
          <w:spacing w:val="-1"/>
        </w:rPr>
        <w:t>渗透系数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0.564</w:t>
      </w:r>
      <w:r>
        <w:rPr>
          <w:rFonts w:ascii="SimSun" w:hAnsi="SimSun" w:eastAsia="SimSun" w:cs="SimSun"/>
          <w:sz w:val="24"/>
          <w:szCs w:val="24"/>
          <w:spacing w:val="-1"/>
        </w:rPr>
        <w:t>～</w:t>
      </w:r>
      <w:r>
        <w:rPr>
          <w:rFonts w:ascii="Times New Roman" w:hAnsi="Times New Roman" w:eastAsia="Times New Roman" w:cs="Times New Roman"/>
          <w:sz w:val="24"/>
          <w:szCs w:val="24"/>
          <w:spacing w:val="-1"/>
        </w:rPr>
        <w:t>2.727m/d</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。属弱～中等富水性含水层。第四系</w:t>
      </w:r>
      <w:r>
        <w:rPr>
          <w:rFonts w:ascii="SimSun" w:hAnsi="SimSun" w:eastAsia="SimSun" w:cs="SimSun"/>
          <w:sz w:val="24"/>
          <w:szCs w:val="24"/>
          <w:spacing w:val="-2"/>
        </w:rPr>
        <w:t>地层对比表见表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5-4-4</w:t>
      </w:r>
      <w:r>
        <w:rPr>
          <w:rFonts w:ascii="SimSun" w:hAnsi="SimSun" w:eastAsia="SimSun" w:cs="SimSun"/>
          <w:sz w:val="24"/>
          <w:szCs w:val="24"/>
          <w:spacing w:val="-2"/>
        </w:rPr>
        <w:t>。</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）大磨拐组裂隙承压含水岩组</w:t>
      </w:r>
    </w:p>
    <w:p>
      <w:pPr>
        <w:ind w:left="8" w:right="103" w:firstLine="480"/>
        <w:spacing w:before="155" w:line="340" w:lineRule="auto"/>
        <w:rPr>
          <w:rFonts w:ascii="SimSun" w:hAnsi="SimSun" w:eastAsia="SimSun" w:cs="SimSun"/>
          <w:sz w:val="24"/>
          <w:szCs w:val="24"/>
        </w:rPr>
      </w:pPr>
      <w:r>
        <w:rPr>
          <w:rFonts w:ascii="SimSun" w:hAnsi="SimSun" w:eastAsia="SimSun" w:cs="SimSun"/>
          <w:sz w:val="24"/>
          <w:szCs w:val="24"/>
          <w:spacing w:val="-2"/>
        </w:rPr>
        <w:t>包括一、二、三煤组三个含水岩组，与煤层分布范围一致。富水性受裂隙发育程度</w:t>
      </w:r>
      <w:r>
        <w:rPr>
          <w:rFonts w:ascii="SimSun" w:hAnsi="SimSun" w:eastAsia="SimSun" w:cs="SimSun"/>
          <w:sz w:val="24"/>
          <w:szCs w:val="24"/>
          <w:spacing w:val="-3"/>
        </w:rPr>
        <w:t>控制，三个含水岩组富水性在区域内表现为</w:t>
      </w:r>
      <w:r>
        <w:rPr>
          <w:rFonts w:ascii="Times New Roman" w:hAnsi="Times New Roman" w:eastAsia="Times New Roman" w:cs="Times New Roman"/>
          <w:sz w:val="24"/>
          <w:szCs w:val="24"/>
          <w:spacing w:val="-3"/>
        </w:rPr>
        <w:t>:</w:t>
      </w:r>
      <w:r>
        <w:rPr>
          <w:rFonts w:ascii="SimSun" w:hAnsi="SimSun" w:eastAsia="SimSun" w:cs="SimSun"/>
          <w:sz w:val="24"/>
          <w:szCs w:val="24"/>
          <w:spacing w:val="-3"/>
        </w:rPr>
        <w:t>一、二煤组含水岩组为中</w:t>
      </w:r>
      <w:r>
        <w:rPr>
          <w:rFonts w:ascii="SimSun" w:hAnsi="SimSun" w:eastAsia="SimSun" w:cs="SimSun"/>
          <w:sz w:val="24"/>
          <w:szCs w:val="24"/>
          <w:spacing w:val="-4"/>
        </w:rPr>
        <w:t>等，三煤组含水岩</w:t>
      </w:r>
      <w:r>
        <w:rPr>
          <w:rFonts w:ascii="SimSun" w:hAnsi="SimSun" w:eastAsia="SimSun" w:cs="SimSun"/>
          <w:sz w:val="24"/>
          <w:szCs w:val="24"/>
          <w:spacing w:val="-2"/>
        </w:rPr>
        <w:t>组为弱～强。</w:t>
      </w:r>
    </w:p>
    <w:p>
      <w:pPr>
        <w:spacing w:line="340" w:lineRule="auto"/>
        <w:sectPr>
          <w:headerReference w:type="default" r:id="rId413"/>
          <w:footerReference w:type="default" r:id="rId414"/>
          <w:pgSz w:w="11906" w:h="16838"/>
          <w:pgMar w:top="1170" w:right="1314" w:bottom="1080" w:left="1416" w:header="837" w:footer="918" w:gutter="0"/>
        </w:sectPr>
        <w:rPr>
          <w:rFonts w:ascii="SimSun" w:hAnsi="SimSun" w:eastAsia="SimSun" w:cs="SimSun"/>
          <w:sz w:val="24"/>
          <w:szCs w:val="24"/>
        </w:rPr>
      </w:pPr>
    </w:p>
    <w:p>
      <w:pPr>
        <w:pStyle w:val="BodyText"/>
        <w:spacing w:line="441" w:lineRule="auto"/>
        <w:rPr/>
      </w:pPr>
      <w:r/>
    </w:p>
    <w:p>
      <w:pPr>
        <w:ind w:left="3585"/>
        <w:spacing w:before="78" w:line="221" w:lineRule="auto"/>
        <w:rPr>
          <w:rFonts w:ascii="SimHei" w:hAnsi="SimHei" w:eastAsia="SimHei" w:cs="SimHei"/>
          <w:sz w:val="24"/>
          <w:szCs w:val="24"/>
        </w:rPr>
      </w:pPr>
      <w:r>
        <w:rPr>
          <w:rFonts w:ascii="SimHei" w:hAnsi="SimHei" w:eastAsia="SimHei" w:cs="SimHei"/>
          <w:sz w:val="24"/>
          <w:szCs w:val="24"/>
          <w:spacing w:val="-2"/>
        </w:rPr>
        <w:t>第四系地层对比表</w:t>
      </w:r>
    </w:p>
    <w:p>
      <w:pPr>
        <w:ind w:left="7"/>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5-4-4</w:t>
      </w:r>
    </w:p>
    <w:p>
      <w:pPr>
        <w:spacing w:line="22" w:lineRule="exact"/>
        <w:rPr/>
      </w:pPr>
      <w:r/>
    </w:p>
    <w:tbl>
      <w:tblPr>
        <w:tblStyle w:val="TableNormal"/>
        <w:tblW w:w="9074" w:type="dxa"/>
        <w:tblInd w:w="11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02"/>
        <w:gridCol w:w="4459"/>
        <w:gridCol w:w="3713"/>
      </w:tblGrid>
      <w:tr>
        <w:trPr>
          <w:trHeight w:val="273" w:hRule="atLeast"/>
        </w:trPr>
        <w:tc>
          <w:tcPr>
            <w:tcW w:w="902" w:type="dxa"/>
            <w:vAlign w:val="top"/>
          </w:tcPr>
          <w:p>
            <w:pPr>
              <w:ind w:left="245"/>
              <w:spacing w:before="29" w:line="216" w:lineRule="auto"/>
              <w:rPr>
                <w:rFonts w:ascii="SimSun" w:hAnsi="SimSun" w:eastAsia="SimSun" w:cs="SimSun"/>
                <w:sz w:val="20"/>
                <w:szCs w:val="20"/>
              </w:rPr>
            </w:pPr>
            <w:r>
              <w:rPr>
                <w:rFonts w:ascii="SimSun" w:hAnsi="SimSun" w:eastAsia="SimSun" w:cs="SimSun"/>
                <w:sz w:val="20"/>
                <w:szCs w:val="20"/>
                <w:spacing w:val="4"/>
              </w:rPr>
              <w:t>地层</w:t>
            </w:r>
          </w:p>
        </w:tc>
        <w:tc>
          <w:tcPr>
            <w:tcW w:w="4459" w:type="dxa"/>
            <w:vAlign w:val="top"/>
          </w:tcPr>
          <w:p>
            <w:pPr>
              <w:ind w:left="1608"/>
              <w:spacing w:before="29" w:line="216" w:lineRule="auto"/>
              <w:rPr>
                <w:rFonts w:ascii="SimSun" w:hAnsi="SimSun" w:eastAsia="SimSun" w:cs="SimSun"/>
                <w:sz w:val="20"/>
                <w:szCs w:val="20"/>
              </w:rPr>
            </w:pPr>
            <w:r>
              <w:rPr>
                <w:rFonts w:ascii="SimSun" w:hAnsi="SimSun" w:eastAsia="SimSun" w:cs="SimSun"/>
                <w:sz w:val="20"/>
                <w:szCs w:val="20"/>
                <w:spacing w:val="7"/>
              </w:rPr>
              <w:t>罕乌拉公社幅</w:t>
            </w:r>
          </w:p>
        </w:tc>
        <w:tc>
          <w:tcPr>
            <w:tcW w:w="3713" w:type="dxa"/>
            <w:vAlign w:val="top"/>
          </w:tcPr>
          <w:p>
            <w:pPr>
              <w:ind w:left="1366"/>
              <w:spacing w:before="29" w:line="216" w:lineRule="auto"/>
              <w:rPr>
                <w:rFonts w:ascii="SimSun" w:hAnsi="SimSun" w:eastAsia="SimSun" w:cs="SimSun"/>
                <w:sz w:val="20"/>
                <w:szCs w:val="20"/>
              </w:rPr>
            </w:pPr>
            <w:r>
              <w:rPr>
                <w:rFonts w:ascii="SimSun" w:hAnsi="SimSun" w:eastAsia="SimSun" w:cs="SimSun"/>
                <w:sz w:val="20"/>
                <w:szCs w:val="20"/>
                <w:spacing w:val="2"/>
              </w:rPr>
              <w:t>白音华煤田</w:t>
            </w:r>
          </w:p>
        </w:tc>
      </w:tr>
      <w:tr>
        <w:trPr>
          <w:trHeight w:val="2177" w:hRule="atLeast"/>
        </w:trPr>
        <w:tc>
          <w:tcPr>
            <w:tcW w:w="902" w:type="dxa"/>
            <w:vAlign w:val="top"/>
          </w:tcPr>
          <w:p>
            <w:pPr>
              <w:spacing w:line="303" w:lineRule="auto"/>
              <w:rPr>
                <w:rFonts w:ascii="Arial"/>
                <w:sz w:val="21"/>
              </w:rPr>
            </w:pPr>
            <w:r/>
          </w:p>
          <w:p>
            <w:pPr>
              <w:spacing w:line="303" w:lineRule="auto"/>
              <w:rPr>
                <w:rFonts w:ascii="Arial"/>
                <w:sz w:val="21"/>
              </w:rPr>
            </w:pPr>
            <w:r/>
          </w:p>
          <w:p>
            <w:pPr>
              <w:spacing w:line="303" w:lineRule="auto"/>
              <w:rPr>
                <w:rFonts w:ascii="Arial"/>
                <w:sz w:val="21"/>
              </w:rPr>
            </w:pPr>
            <w:r/>
          </w:p>
          <w:p>
            <w:pPr>
              <w:ind w:left="139"/>
              <w:spacing w:before="65" w:line="228" w:lineRule="auto"/>
              <w:rPr>
                <w:rFonts w:ascii="SimSun" w:hAnsi="SimSun" w:eastAsia="SimSun" w:cs="SimSun"/>
                <w:sz w:val="20"/>
                <w:szCs w:val="20"/>
              </w:rPr>
            </w:pPr>
            <w:r>
              <w:rPr>
                <w:rFonts w:ascii="SimSun" w:hAnsi="SimSun" w:eastAsia="SimSun" w:cs="SimSun"/>
                <w:sz w:val="20"/>
                <w:szCs w:val="20"/>
                <w:spacing w:val="6"/>
              </w:rPr>
              <w:t>全新统</w:t>
            </w:r>
          </w:p>
        </w:tc>
        <w:tc>
          <w:tcPr>
            <w:tcW w:w="4459" w:type="dxa"/>
            <w:vAlign w:val="top"/>
          </w:tcPr>
          <w:p>
            <w:pPr>
              <w:pStyle w:val="TableText"/>
              <w:spacing w:before="26" w:line="221" w:lineRule="auto"/>
              <w:jc w:val="right"/>
              <w:rPr>
                <w:rFonts w:ascii="SimSun" w:hAnsi="SimSun" w:eastAsia="SimSun" w:cs="SimSun"/>
              </w:rPr>
            </w:pPr>
            <w:r>
              <w:rPr>
                <w:rFonts w:ascii="SimSun" w:hAnsi="SimSun" w:eastAsia="SimSun" w:cs="SimSun"/>
                <w:spacing w:val="4"/>
              </w:rPr>
              <w:t>冲积（</w:t>
            </w:r>
            <w:r>
              <w:rPr>
                <w:spacing w:val="4"/>
              </w:rPr>
              <w:t>Q</w:t>
            </w:r>
            <w:r>
              <w:rPr>
                <w:sz w:val="13"/>
                <w:szCs w:val="13"/>
                <w:spacing w:val="4"/>
                <w:position w:val="-1"/>
              </w:rPr>
              <w:t>4</w:t>
            </w:r>
            <w:r>
              <w:rPr>
                <w:sz w:val="13"/>
                <w:szCs w:val="13"/>
                <w:spacing w:val="-6"/>
                <w:position w:val="-1"/>
              </w:rPr>
              <w:t xml:space="preserve"> </w:t>
            </w:r>
            <w:r>
              <w:rPr>
                <w:rFonts w:ascii="SimSun" w:hAnsi="SimSun" w:eastAsia="SimSun" w:cs="SimSun"/>
                <w:spacing w:val="17"/>
              </w:rPr>
              <w:t>）：</w:t>
            </w:r>
            <w:r>
              <w:rPr>
                <w:rFonts w:ascii="SimSun" w:hAnsi="SimSun" w:eastAsia="SimSun" w:cs="SimSun"/>
                <w:spacing w:val="4"/>
              </w:rPr>
              <w:t>中粗砂、细砂、粉土，厚度</w:t>
            </w:r>
            <w:r>
              <w:rPr>
                <w:spacing w:val="4"/>
              </w:rPr>
              <w:t>&lt;10m</w:t>
            </w:r>
            <w:r>
              <w:rPr>
                <w:rFonts w:ascii="SimSun" w:hAnsi="SimSun" w:eastAsia="SimSun" w:cs="SimSun"/>
                <w:spacing w:val="4"/>
              </w:rPr>
              <w:t>，</w:t>
            </w:r>
          </w:p>
          <w:p>
            <w:pPr>
              <w:pStyle w:val="TableText"/>
              <w:ind w:left="51"/>
              <w:spacing w:before="31" w:line="227" w:lineRule="auto"/>
              <w:rPr>
                <w:rFonts w:ascii="SimSun" w:hAnsi="SimSun" w:eastAsia="SimSun" w:cs="SimSun"/>
              </w:rPr>
            </w:pPr>
            <w:r>
              <w:rPr>
                <w:rFonts w:ascii="SimSun" w:hAnsi="SimSun" w:eastAsia="SimSun" w:cs="SimSun"/>
                <w:spacing w:val="7"/>
              </w:rPr>
              <w:t>地表</w:t>
            </w:r>
            <w:r>
              <w:rPr>
                <w:rFonts w:ascii="SimSun" w:hAnsi="SimSun" w:eastAsia="SimSun" w:cs="SimSun"/>
                <w:spacing w:val="-6"/>
              </w:rPr>
              <w:t xml:space="preserve"> </w:t>
            </w:r>
            <w:r>
              <w:rPr>
                <w:spacing w:val="7"/>
              </w:rPr>
              <w:t>1m </w:t>
            </w:r>
            <w:r>
              <w:rPr>
                <w:rFonts w:ascii="SimSun" w:hAnsi="SimSun" w:eastAsia="SimSun" w:cs="SimSun"/>
                <w:spacing w:val="7"/>
              </w:rPr>
              <w:t>左右为混有砾石的砂土及腐植层，广布</w:t>
            </w:r>
          </w:p>
          <w:p>
            <w:pPr>
              <w:spacing w:before="27" w:line="228" w:lineRule="auto"/>
              <w:jc w:val="right"/>
              <w:rPr>
                <w:rFonts w:ascii="SimSun" w:hAnsi="SimSun" w:eastAsia="SimSun" w:cs="SimSun"/>
                <w:sz w:val="20"/>
                <w:szCs w:val="20"/>
              </w:rPr>
            </w:pPr>
            <w:r>
              <w:rPr>
                <w:rFonts w:ascii="SimSun" w:hAnsi="SimSun" w:eastAsia="SimSun" w:cs="SimSun"/>
                <w:sz w:val="20"/>
                <w:szCs w:val="20"/>
                <w:spacing w:val="2"/>
              </w:rPr>
              <w:t>于冲积平原及河谷平原中，形成良好的天然牧场。</w:t>
            </w:r>
          </w:p>
          <w:p>
            <w:pPr>
              <w:pStyle w:val="TableText"/>
              <w:ind w:left="47"/>
              <w:spacing w:before="26" w:line="221" w:lineRule="auto"/>
              <w:rPr>
                <w:rFonts w:ascii="SimSun" w:hAnsi="SimSun" w:eastAsia="SimSun" w:cs="SimSun"/>
              </w:rPr>
            </w:pPr>
            <w:r>
              <w:rPr>
                <w:rFonts w:ascii="SimSun" w:hAnsi="SimSun" w:eastAsia="SimSun" w:cs="SimSun"/>
                <w:spacing w:val="6"/>
              </w:rPr>
              <w:t>风积（</w:t>
            </w:r>
            <w:r>
              <w:rPr>
                <w:spacing w:val="6"/>
              </w:rPr>
              <w:t>Q</w:t>
            </w:r>
            <w:r>
              <w:rPr>
                <w:sz w:val="13"/>
                <w:szCs w:val="13"/>
                <w:spacing w:val="6"/>
                <w:position w:val="-1"/>
              </w:rPr>
              <w:t>4 </w:t>
            </w:r>
            <w:r>
              <w:rPr>
                <w:rFonts w:ascii="SimSun" w:hAnsi="SimSun" w:eastAsia="SimSun" w:cs="SimSun"/>
                <w:spacing w:val="2"/>
              </w:rPr>
              <w:t>）：</w:t>
            </w:r>
            <w:r>
              <w:rPr>
                <w:rFonts w:ascii="SimSun" w:hAnsi="SimSun" w:eastAsia="SimSun" w:cs="SimSun"/>
                <w:spacing w:val="6"/>
              </w:rPr>
              <w:t>粉细砂，一般厚度＜</w:t>
            </w:r>
            <w:r>
              <w:rPr>
                <w:spacing w:val="6"/>
              </w:rPr>
              <w:t>10m</w:t>
            </w:r>
            <w:r>
              <w:rPr>
                <w:spacing w:val="-23"/>
              </w:rPr>
              <w:t xml:space="preserve"> </w:t>
            </w:r>
            <w:r>
              <w:rPr>
                <w:rFonts w:ascii="SimSun" w:hAnsi="SimSun" w:eastAsia="SimSun" w:cs="SimSun"/>
                <w:spacing w:val="6"/>
              </w:rPr>
              <w:t>。图幅南</w:t>
            </w:r>
          </w:p>
          <w:p>
            <w:pPr>
              <w:pStyle w:val="TableText"/>
              <w:ind w:left="49"/>
              <w:spacing w:before="32" w:line="227" w:lineRule="auto"/>
              <w:rPr>
                <w:rFonts w:ascii="SimSun" w:hAnsi="SimSun" w:eastAsia="SimSun" w:cs="SimSun"/>
              </w:rPr>
            </w:pPr>
            <w:r>
              <w:rPr>
                <w:rFonts w:ascii="SimSun" w:hAnsi="SimSun" w:eastAsia="SimSun" w:cs="SimSun"/>
                <w:spacing w:val="6"/>
              </w:rPr>
              <w:t>部厚度＞</w:t>
            </w:r>
            <w:r>
              <w:rPr>
                <w:spacing w:val="6"/>
              </w:rPr>
              <w:t>10m</w:t>
            </w:r>
            <w:r>
              <w:rPr>
                <w:spacing w:val="-19"/>
              </w:rPr>
              <w:t xml:space="preserve"> </w:t>
            </w:r>
            <w:r>
              <w:rPr>
                <w:rFonts w:ascii="SimSun" w:hAnsi="SimSun" w:eastAsia="SimSun" w:cs="SimSun"/>
                <w:spacing w:val="6"/>
              </w:rPr>
              <w:t>，呈</w:t>
            </w:r>
            <w:r>
              <w:rPr>
                <w:rFonts w:ascii="SimSun" w:hAnsi="SimSun" w:eastAsia="SimSun" w:cs="SimSun"/>
                <w:spacing w:val="-41"/>
              </w:rPr>
              <w:t xml:space="preserve"> </w:t>
            </w:r>
            <w:r>
              <w:rPr/>
              <w:t>EW</w:t>
            </w:r>
            <w:r>
              <w:rPr>
                <w:spacing w:val="34"/>
                <w:w w:val="101"/>
              </w:rPr>
              <w:t xml:space="preserve"> </w:t>
            </w:r>
            <w:r>
              <w:rPr>
                <w:rFonts w:ascii="SimSun" w:hAnsi="SimSun" w:eastAsia="SimSun" w:cs="SimSun"/>
                <w:spacing w:val="6"/>
              </w:rPr>
              <w:t>向条带状展布，多为固结</w:t>
            </w:r>
          </w:p>
          <w:p>
            <w:pPr>
              <w:ind w:left="1706"/>
              <w:spacing w:before="25" w:line="228" w:lineRule="auto"/>
              <w:rPr>
                <w:rFonts w:ascii="SimSun" w:hAnsi="SimSun" w:eastAsia="SimSun" w:cs="SimSun"/>
                <w:sz w:val="20"/>
                <w:szCs w:val="20"/>
              </w:rPr>
            </w:pPr>
            <w:r>
              <w:rPr>
                <w:rFonts w:ascii="SimSun" w:hAnsi="SimSun" w:eastAsia="SimSun" w:cs="SimSun"/>
                <w:sz w:val="20"/>
                <w:szCs w:val="20"/>
                <w:spacing w:val="6"/>
              </w:rPr>
              <w:t>砂丘状态。</w:t>
            </w:r>
          </w:p>
          <w:p>
            <w:pPr>
              <w:pStyle w:val="TableText"/>
              <w:ind w:left="21"/>
              <w:spacing w:before="27" w:line="221" w:lineRule="auto"/>
              <w:rPr>
                <w:rFonts w:ascii="SimSun" w:hAnsi="SimSun" w:eastAsia="SimSun" w:cs="SimSun"/>
              </w:rPr>
            </w:pPr>
            <w:r>
              <w:rPr>
                <w:rFonts w:ascii="SimSun" w:hAnsi="SimSun" w:eastAsia="SimSun" w:cs="SimSun"/>
                <w:spacing w:val="7"/>
              </w:rPr>
              <w:t>湖积（</w:t>
            </w:r>
            <w:r>
              <w:rPr>
                <w:spacing w:val="7"/>
              </w:rPr>
              <w:t>Q</w:t>
            </w:r>
            <w:r>
              <w:rPr>
                <w:sz w:val="13"/>
                <w:szCs w:val="13"/>
                <w:spacing w:val="7"/>
                <w:position w:val="-1"/>
              </w:rPr>
              <w:t>4 </w:t>
            </w:r>
            <w:r>
              <w:rPr>
                <w:rFonts w:ascii="SimSun" w:hAnsi="SimSun" w:eastAsia="SimSun" w:cs="SimSun"/>
                <w:spacing w:val="10"/>
              </w:rPr>
              <w:t>）：</w:t>
            </w:r>
            <w:r>
              <w:rPr>
                <w:rFonts w:ascii="SimSun" w:hAnsi="SimSun" w:eastAsia="SimSun" w:cs="SimSun"/>
                <w:spacing w:val="7"/>
              </w:rPr>
              <w:t>中粗砂、细砂、粉土、淤泥，厚度</w:t>
            </w:r>
          </w:p>
          <w:p>
            <w:pPr>
              <w:pStyle w:val="TableText"/>
              <w:ind w:left="959"/>
              <w:spacing w:before="32" w:line="216" w:lineRule="auto"/>
              <w:rPr>
                <w:rFonts w:ascii="SimSun" w:hAnsi="SimSun" w:eastAsia="SimSun" w:cs="SimSun"/>
              </w:rPr>
            </w:pPr>
            <w:r>
              <w:rPr>
                <w:rFonts w:ascii="SimSun" w:hAnsi="SimSun" w:eastAsia="SimSun" w:cs="SimSun"/>
                <w:spacing w:val="12"/>
              </w:rPr>
              <w:t>&lt;</w:t>
            </w:r>
            <w:r>
              <w:rPr>
                <w:spacing w:val="12"/>
              </w:rPr>
              <w:t>5m</w:t>
            </w:r>
            <w:r>
              <w:rPr>
                <w:spacing w:val="-20"/>
              </w:rPr>
              <w:t xml:space="preserve"> </w:t>
            </w:r>
            <w:r>
              <w:rPr>
                <w:rFonts w:ascii="SimSun" w:hAnsi="SimSun" w:eastAsia="SimSun" w:cs="SimSun"/>
                <w:spacing w:val="12"/>
              </w:rPr>
              <w:t>。分布于湖盆洼地中。</w:t>
            </w:r>
          </w:p>
        </w:tc>
        <w:tc>
          <w:tcPr>
            <w:tcW w:w="3713" w:type="dxa"/>
            <w:vAlign w:val="top"/>
          </w:tcPr>
          <w:p>
            <w:pPr>
              <w:pStyle w:val="TableText"/>
              <w:spacing w:before="298" w:line="221" w:lineRule="auto"/>
              <w:jc w:val="right"/>
              <w:rPr>
                <w:rFonts w:ascii="SimSun" w:hAnsi="SimSun" w:eastAsia="SimSun" w:cs="SimSun"/>
              </w:rPr>
            </w:pPr>
            <w:r>
              <w:rPr>
                <w:rFonts w:ascii="SimSun" w:hAnsi="SimSun" w:eastAsia="SimSun" w:cs="SimSun"/>
                <w:spacing w:val="-4"/>
              </w:rPr>
              <w:t>冲积（</w:t>
            </w:r>
            <w:r>
              <w:rPr>
                <w:spacing w:val="-4"/>
              </w:rPr>
              <w:t>Q</w:t>
            </w:r>
            <w:r>
              <w:rPr>
                <w:sz w:val="13"/>
                <w:szCs w:val="13"/>
                <w:spacing w:val="-4"/>
                <w:position w:val="-1"/>
              </w:rPr>
              <w:t>4</w:t>
            </w:r>
            <w:r>
              <w:rPr>
                <w:rFonts w:ascii="SimSun" w:hAnsi="SimSun" w:eastAsia="SimSun" w:cs="SimSun"/>
                <w:spacing w:val="-20"/>
              </w:rPr>
              <w:t>）：</w:t>
            </w:r>
            <w:r>
              <w:rPr>
                <w:rFonts w:ascii="SimSun" w:hAnsi="SimSun" w:eastAsia="SimSun" w:cs="SimSun"/>
                <w:spacing w:val="-4"/>
              </w:rPr>
              <w:t>灰黄色粗砂、中细砂、粉土，</w:t>
            </w:r>
          </w:p>
          <w:p>
            <w:pPr>
              <w:pStyle w:val="TableText"/>
              <w:ind w:left="1023"/>
              <w:spacing w:before="32" w:line="228" w:lineRule="auto"/>
              <w:rPr>
                <w:rFonts w:ascii="SimSun" w:hAnsi="SimSun" w:eastAsia="SimSun" w:cs="SimSun"/>
              </w:rPr>
            </w:pPr>
            <w:r>
              <w:rPr>
                <w:rFonts w:ascii="SimSun" w:hAnsi="SimSun" w:eastAsia="SimSun" w:cs="SimSun"/>
                <w:spacing w:val="3"/>
              </w:rPr>
              <w:t>厚度</w:t>
            </w:r>
            <w:r>
              <w:rPr>
                <w:rFonts w:ascii="SimSun" w:hAnsi="SimSun" w:eastAsia="SimSun" w:cs="SimSun"/>
                <w:spacing w:val="-29"/>
              </w:rPr>
              <w:t xml:space="preserve"> </w:t>
            </w:r>
            <w:r>
              <w:rPr>
                <w:spacing w:val="3"/>
              </w:rPr>
              <w:t>0.3</w:t>
            </w:r>
            <w:r>
              <w:rPr>
                <w:rFonts w:ascii="SimSun" w:hAnsi="SimSun" w:eastAsia="SimSun" w:cs="SimSun"/>
                <w:spacing w:val="3"/>
              </w:rPr>
              <w:t>～</w:t>
            </w:r>
            <w:r>
              <w:rPr>
                <w:spacing w:val="3"/>
              </w:rPr>
              <w:t>2.85m</w:t>
            </w:r>
            <w:r>
              <w:rPr>
                <w:rFonts w:ascii="SimSun" w:hAnsi="SimSun" w:eastAsia="SimSun" w:cs="SimSun"/>
                <w:spacing w:val="3"/>
              </w:rPr>
              <w:t>。</w:t>
            </w:r>
          </w:p>
          <w:p>
            <w:pPr>
              <w:pStyle w:val="TableText"/>
              <w:spacing w:before="26" w:line="221" w:lineRule="auto"/>
              <w:jc w:val="right"/>
              <w:rPr>
                <w:rFonts w:ascii="SimSun" w:hAnsi="SimSun" w:eastAsia="SimSun" w:cs="SimSun"/>
              </w:rPr>
            </w:pPr>
            <w:r>
              <w:rPr>
                <w:rFonts w:ascii="SimSun" w:hAnsi="SimSun" w:eastAsia="SimSun" w:cs="SimSun"/>
                <w:spacing w:val="-4"/>
              </w:rPr>
              <w:t>风积（</w:t>
            </w:r>
            <w:r>
              <w:rPr>
                <w:spacing w:val="-4"/>
              </w:rPr>
              <w:t>Q</w:t>
            </w:r>
            <w:r>
              <w:rPr>
                <w:sz w:val="13"/>
                <w:szCs w:val="13"/>
                <w:spacing w:val="-4"/>
                <w:position w:val="-1"/>
              </w:rPr>
              <w:t>4</w:t>
            </w:r>
            <w:r>
              <w:rPr>
                <w:rFonts w:ascii="SimSun" w:hAnsi="SimSun" w:eastAsia="SimSun" w:cs="SimSun"/>
                <w:spacing w:val="-20"/>
              </w:rPr>
              <w:t>）：</w:t>
            </w:r>
            <w:r>
              <w:rPr>
                <w:rFonts w:ascii="SimSun" w:hAnsi="SimSun" w:eastAsia="SimSun" w:cs="SimSun"/>
                <w:spacing w:val="-4"/>
              </w:rPr>
              <w:t>浅黄色粉、细砂，现代活动、</w:t>
            </w:r>
          </w:p>
          <w:p>
            <w:pPr>
              <w:pStyle w:val="TableText"/>
              <w:ind w:left="103"/>
              <w:spacing w:before="32" w:line="228" w:lineRule="auto"/>
              <w:rPr>
                <w:rFonts w:ascii="SimSun" w:hAnsi="SimSun" w:eastAsia="SimSun" w:cs="SimSun"/>
              </w:rPr>
            </w:pPr>
            <w:r>
              <w:rPr>
                <w:rFonts w:ascii="SimSun" w:hAnsi="SimSun" w:eastAsia="SimSun" w:cs="SimSun"/>
                <w:spacing w:val="8"/>
              </w:rPr>
              <w:t>半活动型砂丘、沙堆砂，厚度＜</w:t>
            </w:r>
            <w:r>
              <w:rPr>
                <w:spacing w:val="8"/>
              </w:rPr>
              <w:t>10m</w:t>
            </w:r>
            <w:r>
              <w:rPr>
                <w:rFonts w:ascii="SimSun" w:hAnsi="SimSun" w:eastAsia="SimSun" w:cs="SimSun"/>
                <w:spacing w:val="8"/>
              </w:rPr>
              <w:t>。</w:t>
            </w:r>
          </w:p>
          <w:p>
            <w:pPr>
              <w:pStyle w:val="TableText"/>
              <w:ind w:left="7"/>
              <w:spacing w:before="26" w:line="221" w:lineRule="auto"/>
              <w:rPr>
                <w:rFonts w:ascii="SimSun" w:hAnsi="SimSun" w:eastAsia="SimSun" w:cs="SimSun"/>
              </w:rPr>
            </w:pPr>
            <w:r>
              <w:rPr>
                <w:rFonts w:ascii="SimSun" w:hAnsi="SimSun" w:eastAsia="SimSun" w:cs="SimSun"/>
                <w:spacing w:val="5"/>
              </w:rPr>
              <w:t>湖积（</w:t>
            </w:r>
            <w:r>
              <w:rPr>
                <w:spacing w:val="5"/>
              </w:rPr>
              <w:t>Q</w:t>
            </w:r>
            <w:r>
              <w:rPr>
                <w:sz w:val="13"/>
                <w:szCs w:val="13"/>
                <w:spacing w:val="5"/>
                <w:position w:val="-1"/>
              </w:rPr>
              <w:t>4 </w:t>
            </w:r>
            <w:r>
              <w:rPr>
                <w:rFonts w:ascii="SimSun" w:hAnsi="SimSun" w:eastAsia="SimSun" w:cs="SimSun"/>
                <w:spacing w:val="-18"/>
              </w:rPr>
              <w:t>）：</w:t>
            </w:r>
            <w:r>
              <w:rPr>
                <w:rFonts w:ascii="SimSun" w:hAnsi="SimSun" w:eastAsia="SimSun" w:cs="SimSun"/>
                <w:spacing w:val="5"/>
              </w:rPr>
              <w:t>灰黄色中粗砂、细砂、灰黑</w:t>
            </w:r>
          </w:p>
          <w:p>
            <w:pPr>
              <w:pStyle w:val="TableText"/>
              <w:ind w:left="339"/>
              <w:spacing w:before="31" w:line="228" w:lineRule="auto"/>
              <w:rPr/>
            </w:pPr>
            <w:r>
              <w:rPr>
                <w:rFonts w:ascii="SimSun" w:hAnsi="SimSun" w:eastAsia="SimSun" w:cs="SimSun"/>
                <w:spacing w:val="5"/>
              </w:rPr>
              <w:t>色淤泥质粉土，厚度</w:t>
            </w:r>
            <w:r>
              <w:rPr>
                <w:rFonts w:ascii="SimSun" w:hAnsi="SimSun" w:eastAsia="SimSun" w:cs="SimSun"/>
                <w:spacing w:val="-36"/>
              </w:rPr>
              <w:t xml:space="preserve"> </w:t>
            </w:r>
            <w:r>
              <w:rPr>
                <w:spacing w:val="5"/>
              </w:rPr>
              <w:t>0.35</w:t>
            </w:r>
            <w:r>
              <w:rPr>
                <w:rFonts w:ascii="SimSun" w:hAnsi="SimSun" w:eastAsia="SimSun" w:cs="SimSun"/>
                <w:spacing w:val="5"/>
              </w:rPr>
              <w:t>～</w:t>
            </w:r>
            <w:r>
              <w:rPr>
                <w:spacing w:val="5"/>
              </w:rPr>
              <w:t>1.</w:t>
            </w:r>
            <w:r>
              <w:rPr>
                <w:spacing w:val="-25"/>
              </w:rPr>
              <w:t xml:space="preserve"> </w:t>
            </w:r>
            <w:r>
              <w:rPr>
                <w:spacing w:val="5"/>
              </w:rPr>
              <w:t>10m</w:t>
            </w:r>
          </w:p>
        </w:tc>
      </w:tr>
      <w:tr>
        <w:trPr>
          <w:trHeight w:val="817" w:hRule="atLeast"/>
        </w:trPr>
        <w:tc>
          <w:tcPr>
            <w:tcW w:w="902" w:type="dxa"/>
            <w:vAlign w:val="top"/>
          </w:tcPr>
          <w:p>
            <w:pPr>
              <w:ind w:left="142"/>
              <w:spacing w:before="300" w:line="228" w:lineRule="auto"/>
              <w:rPr>
                <w:rFonts w:ascii="SimSun" w:hAnsi="SimSun" w:eastAsia="SimSun" w:cs="SimSun"/>
                <w:sz w:val="20"/>
                <w:szCs w:val="20"/>
              </w:rPr>
            </w:pPr>
            <w:r>
              <w:rPr>
                <w:rFonts w:ascii="SimSun" w:hAnsi="SimSun" w:eastAsia="SimSun" w:cs="SimSun"/>
                <w:sz w:val="20"/>
                <w:szCs w:val="20"/>
                <w:spacing w:val="6"/>
              </w:rPr>
              <w:t>更新统</w:t>
            </w:r>
          </w:p>
        </w:tc>
        <w:tc>
          <w:tcPr>
            <w:tcW w:w="4459" w:type="dxa"/>
            <w:vAlign w:val="top"/>
          </w:tcPr>
          <w:p>
            <w:pPr>
              <w:pStyle w:val="TableText"/>
              <w:spacing w:before="28" w:line="221" w:lineRule="auto"/>
              <w:jc w:val="right"/>
              <w:rPr>
                <w:rFonts w:ascii="SimSun" w:hAnsi="SimSun" w:eastAsia="SimSun" w:cs="SimSun"/>
              </w:rPr>
            </w:pPr>
            <w:r>
              <w:rPr>
                <w:rFonts w:ascii="SimSun" w:hAnsi="SimSun" w:eastAsia="SimSun" w:cs="SimSun"/>
                <w:spacing w:val="-2"/>
              </w:rPr>
              <w:t>冲洪积层（</w:t>
            </w:r>
            <w:r>
              <w:rPr>
                <w:spacing w:val="-2"/>
              </w:rPr>
              <w:t>Q</w:t>
            </w:r>
            <w:r>
              <w:rPr>
                <w:sz w:val="13"/>
                <w:szCs w:val="13"/>
                <w:spacing w:val="-2"/>
                <w:position w:val="-1"/>
              </w:rPr>
              <w:t>3</w:t>
            </w:r>
            <w:r>
              <w:rPr>
                <w:rFonts w:ascii="SimSun" w:hAnsi="SimSun" w:eastAsia="SimSun" w:cs="SimSun"/>
                <w:spacing w:val="-35"/>
              </w:rPr>
              <w:t>）：</w:t>
            </w:r>
            <w:r>
              <w:rPr>
                <w:rFonts w:ascii="SimSun" w:hAnsi="SimSun" w:eastAsia="SimSun" w:cs="SimSun"/>
                <w:spacing w:val="-2"/>
              </w:rPr>
              <w:t>含砾中粗砂、砂砾，厚度＜</w:t>
            </w:r>
            <w:r>
              <w:rPr>
                <w:spacing w:val="-2"/>
              </w:rPr>
              <w:t>10m</w:t>
            </w:r>
            <w:r>
              <w:rPr>
                <w:rFonts w:ascii="SimSun" w:hAnsi="SimSun" w:eastAsia="SimSun" w:cs="SimSun"/>
                <w:spacing w:val="-2"/>
              </w:rPr>
              <w:t>。</w:t>
            </w:r>
          </w:p>
          <w:p>
            <w:pPr>
              <w:ind w:left="30"/>
              <w:spacing w:before="31" w:line="227" w:lineRule="auto"/>
              <w:rPr>
                <w:rFonts w:ascii="SimSun" w:hAnsi="SimSun" w:eastAsia="SimSun" w:cs="SimSun"/>
                <w:sz w:val="20"/>
                <w:szCs w:val="20"/>
              </w:rPr>
            </w:pPr>
            <w:r>
              <w:rPr>
                <w:rFonts w:ascii="SimSun" w:hAnsi="SimSun" w:eastAsia="SimSun" w:cs="SimSun"/>
                <w:sz w:val="20"/>
                <w:szCs w:val="20"/>
                <w:spacing w:val="9"/>
              </w:rPr>
              <w:t>分布于冲洪积平原、高力罕河及彦吉嘎河河谷平</w:t>
            </w:r>
          </w:p>
          <w:p>
            <w:pPr>
              <w:ind w:left="2029"/>
              <w:spacing w:before="27" w:line="215" w:lineRule="auto"/>
              <w:rPr>
                <w:rFonts w:ascii="SimSun" w:hAnsi="SimSun" w:eastAsia="SimSun" w:cs="SimSun"/>
                <w:sz w:val="20"/>
                <w:szCs w:val="20"/>
              </w:rPr>
            </w:pPr>
            <w:r>
              <w:rPr>
                <w:rFonts w:ascii="SimSun" w:hAnsi="SimSun" w:eastAsia="SimSun" w:cs="SimSun"/>
                <w:sz w:val="20"/>
                <w:szCs w:val="20"/>
                <w:spacing w:val="-3"/>
              </w:rPr>
              <w:t>原。</w:t>
            </w:r>
          </w:p>
        </w:tc>
        <w:tc>
          <w:tcPr>
            <w:tcW w:w="3713" w:type="dxa"/>
            <w:vAlign w:val="top"/>
          </w:tcPr>
          <w:p>
            <w:pPr>
              <w:pStyle w:val="TableText"/>
              <w:spacing w:before="165" w:line="221" w:lineRule="auto"/>
              <w:jc w:val="right"/>
              <w:rPr>
                <w:rFonts w:ascii="SimSun" w:hAnsi="SimSun" w:eastAsia="SimSun" w:cs="SimSun"/>
              </w:rPr>
            </w:pPr>
            <w:r>
              <w:rPr>
                <w:rFonts w:ascii="SimSun" w:hAnsi="SimSun" w:eastAsia="SimSun" w:cs="SimSun"/>
                <w:spacing w:val="4"/>
              </w:rPr>
              <w:t>冲洪积层（</w:t>
            </w:r>
            <w:r>
              <w:rPr>
                <w:spacing w:val="4"/>
              </w:rPr>
              <w:t>Q</w:t>
            </w:r>
            <w:r>
              <w:rPr>
                <w:sz w:val="13"/>
                <w:szCs w:val="13"/>
                <w:spacing w:val="4"/>
                <w:position w:val="-1"/>
              </w:rPr>
              <w:t>3</w:t>
            </w:r>
            <w:r>
              <w:rPr>
                <w:rFonts w:ascii="SimSun" w:hAnsi="SimSun" w:eastAsia="SimSun" w:cs="SimSun"/>
                <w:spacing w:val="4"/>
              </w:rPr>
              <w:t>）浅灰色、褐黄色中细砂及</w:t>
            </w:r>
          </w:p>
          <w:p>
            <w:pPr>
              <w:pStyle w:val="TableText"/>
              <w:ind w:left="284"/>
              <w:spacing w:before="31" w:line="228" w:lineRule="auto"/>
              <w:rPr>
                <w:rFonts w:ascii="SimSun" w:hAnsi="SimSun" w:eastAsia="SimSun" w:cs="SimSun"/>
              </w:rPr>
            </w:pPr>
            <w:r>
              <w:rPr>
                <w:rFonts w:ascii="SimSun" w:hAnsi="SimSun" w:eastAsia="SimSun" w:cs="SimSun"/>
                <w:spacing w:val="6"/>
              </w:rPr>
              <w:t>含砾中粗砂，厚度</w:t>
            </w:r>
            <w:r>
              <w:rPr>
                <w:rFonts w:ascii="SimSun" w:hAnsi="SimSun" w:eastAsia="SimSun" w:cs="SimSun"/>
                <w:spacing w:val="-38"/>
              </w:rPr>
              <w:t xml:space="preserve"> </w:t>
            </w:r>
            <w:r>
              <w:rPr>
                <w:spacing w:val="6"/>
              </w:rPr>
              <w:t>0.05</w:t>
            </w:r>
            <w:r>
              <w:rPr>
                <w:rFonts w:ascii="SimSun" w:hAnsi="SimSun" w:eastAsia="SimSun" w:cs="SimSun"/>
                <w:spacing w:val="6"/>
              </w:rPr>
              <w:t>～</w:t>
            </w:r>
            <w:r>
              <w:rPr>
                <w:spacing w:val="6"/>
              </w:rPr>
              <w:t>39.80m</w:t>
            </w:r>
            <w:r>
              <w:rPr>
                <w:rFonts w:ascii="SimSun" w:hAnsi="SimSun" w:eastAsia="SimSun" w:cs="SimSun"/>
                <w:spacing w:val="6"/>
              </w:rPr>
              <w:t>。</w:t>
            </w:r>
          </w:p>
        </w:tc>
      </w:tr>
      <w:tr>
        <w:trPr>
          <w:trHeight w:val="815" w:hRule="atLeast"/>
        </w:trPr>
        <w:tc>
          <w:tcPr>
            <w:tcW w:w="902" w:type="dxa"/>
            <w:vAlign w:val="top"/>
          </w:tcPr>
          <w:p>
            <w:pPr>
              <w:ind w:left="53"/>
              <w:spacing w:before="301" w:line="228" w:lineRule="auto"/>
              <w:rPr>
                <w:rFonts w:ascii="SimSun" w:hAnsi="SimSun" w:eastAsia="SimSun" w:cs="SimSun"/>
                <w:sz w:val="20"/>
                <w:szCs w:val="20"/>
              </w:rPr>
            </w:pPr>
            <w:r>
              <w:rPr>
                <w:rFonts w:ascii="SimSun" w:hAnsi="SimSun" w:eastAsia="SimSun" w:cs="SimSun"/>
                <w:sz w:val="20"/>
                <w:szCs w:val="20"/>
                <w:spacing w:val="2"/>
              </w:rPr>
              <w:t>中更新统</w:t>
            </w:r>
          </w:p>
        </w:tc>
        <w:tc>
          <w:tcPr>
            <w:tcW w:w="4459" w:type="dxa"/>
            <w:vAlign w:val="top"/>
          </w:tcPr>
          <w:p>
            <w:pPr>
              <w:pStyle w:val="TableText"/>
              <w:ind w:left="23"/>
              <w:spacing w:before="30" w:line="221" w:lineRule="auto"/>
              <w:rPr>
                <w:rFonts w:ascii="SimSun" w:hAnsi="SimSun" w:eastAsia="SimSun" w:cs="SimSun"/>
              </w:rPr>
            </w:pPr>
            <w:r>
              <w:rPr>
                <w:rFonts w:ascii="SimSun" w:hAnsi="SimSun" w:eastAsia="SimSun" w:cs="SimSun"/>
                <w:spacing w:val="8"/>
              </w:rPr>
              <w:t>冲湖积（</w:t>
            </w:r>
            <w:r>
              <w:rPr>
                <w:spacing w:val="8"/>
              </w:rPr>
              <w:t>Q</w:t>
            </w:r>
            <w:r>
              <w:rPr>
                <w:sz w:val="13"/>
                <w:szCs w:val="13"/>
                <w:spacing w:val="8"/>
                <w:position w:val="-1"/>
              </w:rPr>
              <w:t>2 </w:t>
            </w:r>
            <w:r>
              <w:rPr>
                <w:rFonts w:ascii="SimSun" w:hAnsi="SimSun" w:eastAsia="SimSun" w:cs="SimSun"/>
                <w:spacing w:val="-1"/>
              </w:rPr>
              <w:t>）：</w:t>
            </w:r>
            <w:r>
              <w:rPr>
                <w:rFonts w:ascii="SimSun" w:hAnsi="SimSun" w:eastAsia="SimSun" w:cs="SimSun"/>
                <w:spacing w:val="8"/>
              </w:rPr>
              <w:t>粘性土、淤泥质粉细砂、含泥粉</w:t>
            </w:r>
          </w:p>
          <w:p>
            <w:pPr>
              <w:pStyle w:val="TableText"/>
              <w:ind w:left="23"/>
              <w:spacing w:before="31" w:line="227" w:lineRule="auto"/>
              <w:rPr>
                <w:rFonts w:ascii="SimSun" w:hAnsi="SimSun" w:eastAsia="SimSun" w:cs="SimSun"/>
              </w:rPr>
            </w:pPr>
            <w:r>
              <w:rPr>
                <w:rFonts w:ascii="SimSun" w:hAnsi="SimSun" w:eastAsia="SimSun" w:cs="SimSun"/>
                <w:spacing w:val="7"/>
              </w:rPr>
              <w:t>细砂，局部见含砾中粗砂，厚度</w:t>
            </w:r>
            <w:r>
              <w:rPr>
                <w:rFonts w:ascii="SimSun" w:hAnsi="SimSun" w:eastAsia="SimSun" w:cs="SimSun"/>
                <w:spacing w:val="-28"/>
              </w:rPr>
              <w:t xml:space="preserve"> </w:t>
            </w:r>
            <w:r>
              <w:rPr>
                <w:spacing w:val="7"/>
              </w:rPr>
              <w:t>55m</w:t>
            </w:r>
            <w:r>
              <w:rPr>
                <w:spacing w:val="-26"/>
              </w:rPr>
              <w:t xml:space="preserve"> </w:t>
            </w:r>
            <w:r>
              <w:rPr>
                <w:rFonts w:ascii="SimSun" w:hAnsi="SimSun" w:eastAsia="SimSun" w:cs="SimSun"/>
                <w:spacing w:val="7"/>
              </w:rPr>
              <w:t>，分布于白</w:t>
            </w:r>
          </w:p>
          <w:p>
            <w:pPr>
              <w:ind w:left="869"/>
              <w:spacing w:before="25" w:line="214" w:lineRule="auto"/>
              <w:rPr>
                <w:rFonts w:ascii="SimSun" w:hAnsi="SimSun" w:eastAsia="SimSun" w:cs="SimSun"/>
                <w:sz w:val="20"/>
                <w:szCs w:val="20"/>
              </w:rPr>
            </w:pPr>
            <w:r>
              <w:rPr>
                <w:rFonts w:ascii="SimSun" w:hAnsi="SimSun" w:eastAsia="SimSun" w:cs="SimSun"/>
                <w:sz w:val="20"/>
                <w:szCs w:val="20"/>
                <w:spacing w:val="8"/>
              </w:rPr>
              <w:t>音华、高力罕盆地及古河道。</w:t>
            </w:r>
          </w:p>
        </w:tc>
        <w:tc>
          <w:tcPr>
            <w:tcW w:w="3713" w:type="dxa"/>
            <w:vAlign w:val="top"/>
          </w:tcPr>
          <w:p>
            <w:pPr>
              <w:pStyle w:val="TableText"/>
              <w:ind w:left="8"/>
              <w:spacing w:before="30" w:line="247" w:lineRule="auto"/>
              <w:rPr>
                <w:rFonts w:ascii="SimSun" w:hAnsi="SimSun" w:eastAsia="SimSun" w:cs="SimSun"/>
              </w:rPr>
            </w:pPr>
            <w:r>
              <w:rPr>
                <w:rFonts w:ascii="SimSun" w:hAnsi="SimSun" w:eastAsia="SimSun" w:cs="SimSun"/>
                <w:spacing w:val="3"/>
              </w:rPr>
              <w:t>冲湖积（</w:t>
            </w:r>
            <w:r>
              <w:rPr>
                <w:spacing w:val="3"/>
              </w:rPr>
              <w:t>Q</w:t>
            </w:r>
            <w:r>
              <w:rPr>
                <w:sz w:val="13"/>
                <w:szCs w:val="13"/>
                <w:spacing w:val="3"/>
                <w:position w:val="-1"/>
              </w:rPr>
              <w:t>2 </w:t>
            </w:r>
            <w:r>
              <w:rPr>
                <w:rFonts w:ascii="SimSun" w:hAnsi="SimSun" w:eastAsia="SimSun" w:cs="SimSun"/>
              </w:rPr>
              <w:t>）：</w:t>
            </w:r>
            <w:r>
              <w:rPr>
                <w:rFonts w:ascii="SimSun" w:hAnsi="SimSun" w:eastAsia="SimSun" w:cs="SimSun"/>
                <w:spacing w:val="3"/>
              </w:rPr>
              <w:t>灰褐色、灰白色粘性土、</w:t>
            </w:r>
            <w:r>
              <w:rPr>
                <w:rFonts w:ascii="SimSun" w:hAnsi="SimSun" w:eastAsia="SimSun" w:cs="SimSun"/>
                <w:spacing w:val="3"/>
              </w:rPr>
              <w:t>含泥粉细砂及灰黑色淤泥质粉细砂，厚度</w:t>
            </w:r>
          </w:p>
          <w:p>
            <w:pPr>
              <w:pStyle w:val="TableText"/>
              <w:ind w:left="1147"/>
              <w:spacing w:before="7" w:line="214" w:lineRule="auto"/>
              <w:rPr>
                <w:rFonts w:ascii="SimSun" w:hAnsi="SimSun" w:eastAsia="SimSun" w:cs="SimSun"/>
              </w:rPr>
            </w:pPr>
            <w:r>
              <w:rPr>
                <w:spacing w:val="2"/>
              </w:rPr>
              <w:t>2.90</w:t>
            </w:r>
            <w:r>
              <w:rPr>
                <w:rFonts w:ascii="SimSun" w:hAnsi="SimSun" w:eastAsia="SimSun" w:cs="SimSun"/>
                <w:spacing w:val="2"/>
              </w:rPr>
              <w:t>～</w:t>
            </w:r>
            <w:r>
              <w:rPr>
                <w:spacing w:val="2"/>
              </w:rPr>
              <w:t>67.</w:t>
            </w:r>
            <w:r>
              <w:rPr>
                <w:spacing w:val="-22"/>
              </w:rPr>
              <w:t xml:space="preserve"> </w:t>
            </w:r>
            <w:r>
              <w:rPr>
                <w:spacing w:val="2"/>
              </w:rPr>
              <w:t>15m</w:t>
            </w:r>
            <w:r>
              <w:rPr>
                <w:rFonts w:ascii="SimSun" w:hAnsi="SimSun" w:eastAsia="SimSun" w:cs="SimSun"/>
                <w:spacing w:val="2"/>
              </w:rPr>
              <w:t>。</w:t>
            </w:r>
          </w:p>
        </w:tc>
      </w:tr>
      <w:tr>
        <w:trPr>
          <w:trHeight w:val="820" w:hRule="atLeast"/>
        </w:trPr>
        <w:tc>
          <w:tcPr>
            <w:tcW w:w="902" w:type="dxa"/>
            <w:vAlign w:val="top"/>
          </w:tcPr>
          <w:p>
            <w:pPr>
              <w:ind w:left="40"/>
              <w:spacing w:before="302" w:line="228" w:lineRule="auto"/>
              <w:rPr>
                <w:rFonts w:ascii="SimSun" w:hAnsi="SimSun" w:eastAsia="SimSun" w:cs="SimSun"/>
                <w:sz w:val="20"/>
                <w:szCs w:val="20"/>
              </w:rPr>
            </w:pPr>
            <w:r>
              <w:rPr>
                <w:rFonts w:ascii="SimSun" w:hAnsi="SimSun" w:eastAsia="SimSun" w:cs="SimSun"/>
                <w:sz w:val="20"/>
                <w:szCs w:val="20"/>
                <w:spacing w:val="5"/>
              </w:rPr>
              <w:t>下更新统</w:t>
            </w:r>
          </w:p>
        </w:tc>
        <w:tc>
          <w:tcPr>
            <w:tcW w:w="4459" w:type="dxa"/>
            <w:vAlign w:val="top"/>
          </w:tcPr>
          <w:p>
            <w:pPr>
              <w:pStyle w:val="TableText"/>
              <w:ind w:left="32" w:hanging="29"/>
              <w:spacing w:before="166" w:line="247" w:lineRule="auto"/>
              <w:rPr>
                <w:rFonts w:ascii="SimSun" w:hAnsi="SimSun" w:eastAsia="SimSun" w:cs="SimSun"/>
              </w:rPr>
            </w:pPr>
            <w:r>
              <w:rPr>
                <w:rFonts w:ascii="SimSun" w:hAnsi="SimSun" w:eastAsia="SimSun" w:cs="SimSun"/>
                <w:spacing w:val="2"/>
              </w:rPr>
              <w:t>冰水堆积（</w:t>
            </w:r>
            <w:r>
              <w:rPr>
                <w:spacing w:val="2"/>
              </w:rPr>
              <w:t>Q</w:t>
            </w:r>
            <w:r>
              <w:rPr>
                <w:sz w:val="13"/>
                <w:szCs w:val="13"/>
                <w:spacing w:val="2"/>
                <w:position w:val="-1"/>
              </w:rPr>
              <w:t>1 </w:t>
            </w:r>
            <w:r>
              <w:rPr>
                <w:rFonts w:ascii="SimSun" w:hAnsi="SimSun" w:eastAsia="SimSun" w:cs="SimSun"/>
                <w:spacing w:val="-6"/>
              </w:rPr>
              <w:t>）：</w:t>
            </w:r>
            <w:r>
              <w:rPr>
                <w:rFonts w:ascii="SimSun" w:hAnsi="SimSun" w:eastAsia="SimSun" w:cs="SimSun"/>
                <w:spacing w:val="2"/>
              </w:rPr>
              <w:t>砂砾，厚度</w:t>
            </w:r>
            <w:r>
              <w:rPr>
                <w:rFonts w:ascii="SimSun" w:hAnsi="SimSun" w:eastAsia="SimSun" w:cs="SimSun"/>
                <w:spacing w:val="-40"/>
              </w:rPr>
              <w:t xml:space="preserve"> </w:t>
            </w:r>
            <w:r>
              <w:rPr>
                <w:spacing w:val="2"/>
              </w:rPr>
              <w:t>29.4m</w:t>
            </w:r>
            <w:r>
              <w:rPr>
                <w:rFonts w:ascii="SimSun" w:hAnsi="SimSun" w:eastAsia="SimSun" w:cs="SimSun"/>
                <w:spacing w:val="2"/>
              </w:rPr>
              <w:t>～</w:t>
            </w:r>
            <w:r>
              <w:rPr>
                <w:spacing w:val="2"/>
              </w:rPr>
              <w:t>69.4m</w:t>
            </w:r>
            <w:r>
              <w:rPr>
                <w:spacing w:val="-24"/>
              </w:rPr>
              <w:t xml:space="preserve"> </w:t>
            </w:r>
            <w:r>
              <w:rPr>
                <w:rFonts w:ascii="SimSun" w:hAnsi="SimSun" w:eastAsia="SimSun" w:cs="SimSun"/>
                <w:spacing w:val="2"/>
              </w:rPr>
              <w:t>。沿</w:t>
            </w:r>
            <w:r>
              <w:rPr>
                <w:rFonts w:ascii="SimSun" w:hAnsi="SimSun" w:eastAsia="SimSun" w:cs="SimSun"/>
                <w:spacing w:val="1"/>
              </w:rPr>
              <w:t>白音华盆地边缘</w:t>
            </w:r>
            <w:r>
              <w:rPr>
                <w:rFonts w:ascii="SimSun" w:hAnsi="SimSun" w:eastAsia="SimSun" w:cs="SimSun"/>
                <w:spacing w:val="-48"/>
              </w:rPr>
              <w:t xml:space="preserve"> </w:t>
            </w:r>
            <w:r>
              <w:rPr/>
              <w:t>NE</w:t>
            </w:r>
            <w:r>
              <w:rPr>
                <w:spacing w:val="31"/>
              </w:rPr>
              <w:t xml:space="preserve"> </w:t>
            </w:r>
            <w:r>
              <w:rPr>
                <w:rFonts w:ascii="SimSun" w:hAnsi="SimSun" w:eastAsia="SimSun" w:cs="SimSun"/>
                <w:spacing w:val="1"/>
              </w:rPr>
              <w:t>向断续展布，形成堆积台地。</w:t>
            </w:r>
          </w:p>
        </w:tc>
        <w:tc>
          <w:tcPr>
            <w:tcW w:w="3713" w:type="dxa"/>
            <w:vAlign w:val="top"/>
          </w:tcPr>
          <w:p>
            <w:pPr>
              <w:pStyle w:val="TableText"/>
              <w:spacing w:before="30" w:line="221" w:lineRule="auto"/>
              <w:jc w:val="right"/>
              <w:rPr>
                <w:rFonts w:ascii="SimSun" w:hAnsi="SimSun" w:eastAsia="SimSun" w:cs="SimSun"/>
              </w:rPr>
            </w:pPr>
            <w:r>
              <w:rPr>
                <w:rFonts w:ascii="SimSun" w:hAnsi="SimSun" w:eastAsia="SimSun" w:cs="SimSun"/>
                <w:spacing w:val="-3"/>
              </w:rPr>
              <w:t>冰水堆积（</w:t>
            </w:r>
            <w:r>
              <w:rPr>
                <w:spacing w:val="-3"/>
              </w:rPr>
              <w:t>Q</w:t>
            </w:r>
            <w:r>
              <w:rPr>
                <w:sz w:val="13"/>
                <w:szCs w:val="13"/>
                <w:spacing w:val="-3"/>
                <w:position w:val="-1"/>
              </w:rPr>
              <w:t>1</w:t>
            </w:r>
            <w:r>
              <w:rPr>
                <w:rFonts w:ascii="SimSun" w:hAnsi="SimSun" w:eastAsia="SimSun" w:cs="SimSun"/>
                <w:spacing w:val="-29"/>
              </w:rPr>
              <w:t>）：</w:t>
            </w:r>
            <w:r>
              <w:rPr>
                <w:rFonts w:ascii="SimSun" w:hAnsi="SimSun" w:eastAsia="SimSun" w:cs="SimSun"/>
                <w:spacing w:val="-3"/>
              </w:rPr>
              <w:t>黄褐色含砾粗砂、角砾，</w:t>
            </w:r>
          </w:p>
          <w:p>
            <w:pPr>
              <w:pStyle w:val="TableText"/>
              <w:ind w:right="1"/>
              <w:spacing w:before="31" w:line="228" w:lineRule="auto"/>
              <w:jc w:val="right"/>
              <w:rPr>
                <w:rFonts w:ascii="SimSun" w:hAnsi="SimSun" w:eastAsia="SimSun" w:cs="SimSun"/>
              </w:rPr>
            </w:pPr>
            <w:r>
              <w:rPr>
                <w:rFonts w:ascii="SimSun" w:hAnsi="SimSun" w:eastAsia="SimSun" w:cs="SimSun"/>
                <w:spacing w:val="3"/>
              </w:rPr>
              <w:t>厚度</w:t>
            </w:r>
            <w:r>
              <w:rPr>
                <w:rFonts w:ascii="SimSun" w:hAnsi="SimSun" w:eastAsia="SimSun" w:cs="SimSun"/>
                <w:spacing w:val="-30"/>
              </w:rPr>
              <w:t xml:space="preserve"> </w:t>
            </w:r>
            <w:r>
              <w:rPr>
                <w:spacing w:val="3"/>
              </w:rPr>
              <w:t>0.2</w:t>
            </w:r>
            <w:r>
              <w:rPr>
                <w:rFonts w:ascii="SimSun" w:hAnsi="SimSun" w:eastAsia="SimSun" w:cs="SimSun"/>
                <w:spacing w:val="3"/>
              </w:rPr>
              <w:t>～</w:t>
            </w:r>
            <w:r>
              <w:rPr>
                <w:spacing w:val="3"/>
              </w:rPr>
              <w:t>1.20m</w:t>
            </w:r>
            <w:r>
              <w:rPr>
                <w:rFonts w:ascii="SimSun" w:hAnsi="SimSun" w:eastAsia="SimSun" w:cs="SimSun"/>
                <w:spacing w:val="3"/>
              </w:rPr>
              <w:t>，断续不整合于第三系棕</w:t>
            </w:r>
          </w:p>
          <w:p>
            <w:pPr>
              <w:ind w:left="608"/>
              <w:spacing w:before="27" w:line="216" w:lineRule="auto"/>
              <w:rPr>
                <w:rFonts w:ascii="SimSun" w:hAnsi="SimSun" w:eastAsia="SimSun" w:cs="SimSun"/>
                <w:sz w:val="20"/>
                <w:szCs w:val="20"/>
              </w:rPr>
            </w:pPr>
            <w:r>
              <w:rPr>
                <w:rFonts w:ascii="SimSun" w:hAnsi="SimSun" w:eastAsia="SimSun" w:cs="SimSun"/>
                <w:sz w:val="20"/>
                <w:szCs w:val="20"/>
                <w:spacing w:val="7"/>
              </w:rPr>
              <w:t>红色粘土或白音华组之上。</w:t>
            </w:r>
          </w:p>
        </w:tc>
      </w:tr>
    </w:tbl>
    <w:p>
      <w:pPr>
        <w:pStyle w:val="BodyText"/>
        <w:spacing w:line="251" w:lineRule="auto"/>
        <w:rPr/>
      </w:pPr>
      <w:r/>
    </w:p>
    <w:p>
      <w:pPr>
        <w:pStyle w:val="BodyText"/>
        <w:spacing w:line="251" w:lineRule="auto"/>
        <w:rPr/>
      </w:pPr>
      <w:r/>
    </w:p>
    <w:p>
      <w:pPr>
        <w:ind w:left="485"/>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、区域隔水层特征</w:t>
      </w:r>
    </w:p>
    <w:p>
      <w:pPr>
        <w:ind w:left="10" w:right="32" w:firstLine="479"/>
        <w:spacing w:before="155" w:line="338" w:lineRule="auto"/>
        <w:rPr>
          <w:rFonts w:ascii="SimSun" w:hAnsi="SimSun" w:eastAsia="SimSun" w:cs="SimSun"/>
          <w:sz w:val="24"/>
          <w:szCs w:val="24"/>
        </w:rPr>
      </w:pPr>
      <w:r>
        <w:rPr>
          <w:rFonts w:ascii="SimSun" w:hAnsi="SimSun" w:eastAsia="SimSun" w:cs="SimSun"/>
          <w:sz w:val="24"/>
          <w:szCs w:val="24"/>
        </w:rPr>
        <w:t>第四系潜水含水层底部隔水层为中更新统冲湖积粘性土，第三系粘土及泥岩、</w:t>
      </w:r>
      <w:r>
        <w:rPr>
          <w:rFonts w:ascii="Times New Roman" w:hAnsi="Times New Roman" w:eastAsia="Times New Roman" w:cs="Times New Roman"/>
          <w:sz w:val="24"/>
          <w:szCs w:val="24"/>
        </w:rPr>
        <w:t>1 </w:t>
      </w:r>
      <w:r>
        <w:rPr>
          <w:rFonts w:ascii="SimSun" w:hAnsi="SimSun" w:eastAsia="SimSun" w:cs="SimSun"/>
          <w:sz w:val="24"/>
          <w:szCs w:val="24"/>
        </w:rPr>
        <w:t>煤</w:t>
      </w:r>
      <w:r>
        <w:rPr>
          <w:rFonts w:ascii="SimSun" w:hAnsi="SimSun" w:eastAsia="SimSun" w:cs="SimSun"/>
          <w:sz w:val="24"/>
          <w:szCs w:val="24"/>
          <w:spacing w:val="-4"/>
        </w:rPr>
        <w:t>组顶部泥岩，厚度</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4"/>
        </w:rPr>
        <w:t>49.66m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3 </w:t>
      </w:r>
      <w:r>
        <w:rPr>
          <w:rFonts w:ascii="SimSun" w:hAnsi="SimSun" w:eastAsia="SimSun" w:cs="SimSun"/>
          <w:sz w:val="24"/>
          <w:szCs w:val="24"/>
          <w:spacing w:val="-4"/>
        </w:rPr>
        <w:t>煤组含水岩组底板基本发育有稳定隔水层（局部地</w:t>
      </w:r>
      <w:r>
        <w:rPr>
          <w:rFonts w:ascii="SimSun" w:hAnsi="SimSun" w:eastAsia="SimSun" w:cs="SimSun"/>
          <w:sz w:val="24"/>
          <w:szCs w:val="24"/>
          <w:spacing w:val="-5"/>
        </w:rPr>
        <w:t>段缺失</w:t>
      </w:r>
      <w:r>
        <w:rPr>
          <w:rFonts w:ascii="SimSun" w:hAnsi="SimSun" w:eastAsia="SimSun" w:cs="SimSun"/>
          <w:sz w:val="24"/>
          <w:szCs w:val="24"/>
          <w:spacing w:val="-31"/>
        </w:rPr>
        <w:t>），</w:t>
      </w:r>
      <w:r>
        <w:rPr>
          <w:rFonts w:ascii="SimSun" w:hAnsi="SimSun" w:eastAsia="SimSun" w:cs="SimSun"/>
          <w:sz w:val="24"/>
          <w:szCs w:val="24"/>
          <w:spacing w:val="-5"/>
        </w:rPr>
        <w:t>岩性由泥岩、砂质泥岩、粉砂岩组成，厚度分别为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5"/>
        </w:rPr>
        <w:t>58.89m</w:t>
      </w:r>
      <w:r>
        <w:rPr>
          <w:rFonts w:ascii="SimSun" w:hAnsi="SimSun" w:eastAsia="SimSun" w:cs="SimSun"/>
          <w:sz w:val="24"/>
          <w:szCs w:val="24"/>
          <w:spacing w:val="-5"/>
        </w:rPr>
        <w:t>、</w:t>
      </w:r>
      <w:r>
        <w:rPr>
          <w:rFonts w:ascii="Times New Roman" w:hAnsi="Times New Roman" w:eastAsia="Times New Roman" w:cs="Times New Roman"/>
          <w:sz w:val="24"/>
          <w:szCs w:val="24"/>
          <w:spacing w:val="-6"/>
        </w:rPr>
        <w:t>45.75m</w:t>
      </w:r>
      <w:r>
        <w:rPr>
          <w:rFonts w:ascii="SimSun" w:hAnsi="SimSun" w:eastAsia="SimSun" w:cs="SimSun"/>
          <w:sz w:val="24"/>
          <w:szCs w:val="24"/>
          <w:spacing w:val="-6"/>
        </w:rPr>
        <w:t>、</w:t>
      </w:r>
      <w:r>
        <w:rPr>
          <w:rFonts w:ascii="Times New Roman" w:hAnsi="Times New Roman" w:eastAsia="Times New Roman" w:cs="Times New Roman"/>
          <w:sz w:val="24"/>
          <w:szCs w:val="24"/>
          <w:spacing w:val="-6"/>
        </w:rPr>
        <w:t>33.34m</w:t>
      </w:r>
      <w:r>
        <w:rPr>
          <w:rFonts w:ascii="SimSun" w:hAnsi="SimSun" w:eastAsia="SimSun" w:cs="SimSun"/>
          <w:sz w:val="24"/>
          <w:szCs w:val="24"/>
          <w:spacing w:val="-6"/>
        </w:rPr>
        <w:t>。</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、地下水补给、迳流、排泄</w:t>
      </w:r>
    </w:p>
    <w:p>
      <w:pPr>
        <w:ind w:left="38" w:right="117" w:firstLine="451"/>
        <w:spacing w:before="156" w:line="338" w:lineRule="auto"/>
        <w:rPr>
          <w:rFonts w:ascii="SimSun" w:hAnsi="SimSun" w:eastAsia="SimSun" w:cs="SimSun"/>
          <w:sz w:val="24"/>
          <w:szCs w:val="24"/>
        </w:rPr>
      </w:pPr>
      <w:r>
        <w:rPr>
          <w:rFonts w:ascii="SimSun" w:hAnsi="SimSun" w:eastAsia="SimSun" w:cs="SimSun"/>
          <w:sz w:val="24"/>
          <w:szCs w:val="24"/>
          <w:spacing w:val="-2"/>
        </w:rPr>
        <w:t>本区属白音华盆地水文地质单元的南西部分，前人对该单元作了概略研究，而区域</w:t>
      </w:r>
      <w:r>
        <w:rPr>
          <w:rFonts w:ascii="SimSun" w:hAnsi="SimSun" w:eastAsia="SimSun" w:cs="SimSun"/>
          <w:sz w:val="24"/>
          <w:szCs w:val="24"/>
          <w:spacing w:val="-1"/>
        </w:rPr>
        <w:t>内水文地质条件比较复杂，经勘查综合整理，按地下水赋存类型分别</w:t>
      </w:r>
      <w:r>
        <w:rPr>
          <w:rFonts w:ascii="SimSun" w:hAnsi="SimSun" w:eastAsia="SimSun" w:cs="SimSun"/>
          <w:sz w:val="24"/>
          <w:szCs w:val="24"/>
          <w:spacing w:val="-2"/>
        </w:rPr>
        <w:t>叙述如下：</w:t>
      </w:r>
    </w:p>
    <w:p>
      <w:pPr>
        <w:ind w:left="495"/>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）第四系孔隙潜水</w:t>
      </w:r>
    </w:p>
    <w:p>
      <w:pPr>
        <w:ind w:left="8" w:right="32" w:firstLine="480"/>
        <w:spacing w:before="158" w:line="338" w:lineRule="auto"/>
        <w:rPr>
          <w:rFonts w:ascii="SimSun" w:hAnsi="SimSun" w:eastAsia="SimSun" w:cs="SimSun"/>
          <w:sz w:val="24"/>
          <w:szCs w:val="24"/>
        </w:rPr>
      </w:pPr>
      <w:r>
        <w:rPr>
          <w:rFonts w:ascii="SimSun" w:hAnsi="SimSun" w:eastAsia="SimSun" w:cs="SimSun"/>
          <w:sz w:val="24"/>
          <w:szCs w:val="24"/>
          <w:spacing w:val="1"/>
        </w:rPr>
        <w:t>潜水在自然状态下靠大气降水、河流、基岩裂隙水侧</w:t>
      </w:r>
      <w:r>
        <w:rPr>
          <w:rFonts w:ascii="SimSun" w:hAnsi="SimSun" w:eastAsia="SimSun" w:cs="SimSun"/>
          <w:sz w:val="24"/>
          <w:szCs w:val="24"/>
        </w:rPr>
        <w:t>向补给，少量为水气凝结水。</w:t>
      </w:r>
      <w:r>
        <w:rPr>
          <w:rFonts w:ascii="SimSun" w:hAnsi="SimSun" w:eastAsia="SimSun" w:cs="SimSun"/>
          <w:sz w:val="24"/>
          <w:szCs w:val="24"/>
          <w:spacing w:val="-4"/>
        </w:rPr>
        <w:t>潜水面上覆地表岩性一般为粉细砂、粉质粘土、粉土，厚度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0.30</w:t>
      </w:r>
      <w:r>
        <w:rPr>
          <w:rFonts w:ascii="SimSun" w:hAnsi="SimSun" w:eastAsia="SimSun" w:cs="SimSun"/>
          <w:sz w:val="24"/>
          <w:szCs w:val="24"/>
          <w:spacing w:val="-4"/>
        </w:rPr>
        <w:t>～</w:t>
      </w:r>
      <w:r>
        <w:rPr>
          <w:rFonts w:ascii="Times New Roman" w:hAnsi="Times New Roman" w:eastAsia="Times New Roman" w:cs="Times New Roman"/>
          <w:sz w:val="24"/>
          <w:szCs w:val="24"/>
          <w:spacing w:val="-4"/>
        </w:rPr>
        <w:t>14.50m</w:t>
      </w:r>
      <w:r>
        <w:rPr>
          <w:rFonts w:ascii="SimSun" w:hAnsi="SimSun" w:eastAsia="SimSun" w:cs="SimSun"/>
          <w:sz w:val="24"/>
          <w:szCs w:val="24"/>
          <w:spacing w:val="-4"/>
        </w:rPr>
        <w:t>，多为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3.00m</w:t>
      </w:r>
      <w:r>
        <w:rPr>
          <w:rFonts w:ascii="SimSun" w:hAnsi="SimSun" w:eastAsia="SimSun" w:cs="SimSun"/>
          <w:sz w:val="24"/>
          <w:szCs w:val="24"/>
          <w:spacing w:val="-4"/>
        </w:rPr>
        <w:t>。</w:t>
      </w:r>
      <w:r>
        <w:rPr>
          <w:rFonts w:ascii="SimSun" w:hAnsi="SimSun" w:eastAsia="SimSun" w:cs="SimSun"/>
          <w:sz w:val="24"/>
          <w:szCs w:val="24"/>
          <w:spacing w:val="-2"/>
        </w:rPr>
        <w:t>大气降水在不同地段渗入补给强度各异，直接入渗补给潜水，其余降水形成地表迳流或</w:t>
      </w:r>
      <w:r>
        <w:rPr>
          <w:rFonts w:ascii="SimSun" w:hAnsi="SimSun" w:eastAsia="SimSun" w:cs="SimSun"/>
          <w:sz w:val="24"/>
          <w:szCs w:val="24"/>
          <w:spacing w:val="-3"/>
        </w:rPr>
        <w:t>湖泊。</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）白音华组裂隙承压水</w:t>
      </w:r>
    </w:p>
    <w:p>
      <w:pPr>
        <w:ind w:left="13" w:right="51" w:firstLine="510"/>
        <w:spacing w:before="154" w:line="339" w:lineRule="auto"/>
        <w:rPr>
          <w:rFonts w:ascii="SimSun" w:hAnsi="SimSun" w:eastAsia="SimSun" w:cs="SimSun"/>
          <w:sz w:val="24"/>
          <w:szCs w:val="24"/>
        </w:rPr>
      </w:pPr>
      <w:r>
        <w:rPr>
          <w:rFonts w:ascii="SimSun" w:hAnsi="SimSun" w:eastAsia="SimSun" w:cs="SimSun"/>
          <w:sz w:val="24"/>
          <w:szCs w:val="24"/>
          <w:spacing w:val="-4"/>
        </w:rPr>
        <w:t>白音华盆地上部普遍被第四系覆盖，第四系潜水底部为厚度</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4"/>
        </w:rPr>
        <w:t>49.66m </w:t>
      </w:r>
      <w:r>
        <w:rPr>
          <w:rFonts w:ascii="SimSun" w:hAnsi="SimSun" w:eastAsia="SimSun" w:cs="SimSun"/>
          <w:sz w:val="24"/>
          <w:szCs w:val="24"/>
          <w:spacing w:val="-4"/>
        </w:rPr>
        <w:t>粘性土、泥岩，</w:t>
      </w:r>
      <w:r>
        <w:rPr>
          <w:rFonts w:ascii="SimSun" w:hAnsi="SimSun" w:eastAsia="SimSun" w:cs="SimSun"/>
          <w:sz w:val="24"/>
          <w:szCs w:val="24"/>
          <w:spacing w:val="-1"/>
        </w:rPr>
        <w:t>故潜水很难垂向下渗补给承压水。</w:t>
      </w:r>
    </w:p>
    <w:p>
      <w:pPr>
        <w:ind w:left="9" w:right="117" w:firstLine="480"/>
        <w:spacing w:before="2" w:line="339" w:lineRule="auto"/>
        <w:rPr>
          <w:rFonts w:ascii="SimSun" w:hAnsi="SimSun" w:eastAsia="SimSun" w:cs="SimSun"/>
          <w:sz w:val="24"/>
          <w:szCs w:val="24"/>
        </w:rPr>
      </w:pPr>
      <w:r>
        <w:rPr>
          <w:rFonts w:ascii="SimSun" w:hAnsi="SimSun" w:eastAsia="SimSun" w:cs="SimSun"/>
          <w:sz w:val="24"/>
          <w:szCs w:val="24"/>
          <w:spacing w:val="-2"/>
        </w:rPr>
        <w:t>盆地东西两侧均为基岩，岩性为上侏罗统凝灰岩、下二迭统砂岩及花岗岩等，因此</w:t>
      </w:r>
      <w:r>
        <w:rPr>
          <w:rFonts w:ascii="SimSun" w:hAnsi="SimSun" w:eastAsia="SimSun" w:cs="SimSun"/>
          <w:sz w:val="24"/>
          <w:szCs w:val="24"/>
          <w:spacing w:val="-2"/>
        </w:rPr>
        <w:t>承压水含水层直接与基岩接触，彼此沟通，有利于基岩裂隙水侧向补给承压水。盆地水</w:t>
      </w:r>
    </w:p>
    <w:p>
      <w:pPr>
        <w:spacing w:line="339" w:lineRule="auto"/>
        <w:sectPr>
          <w:headerReference w:type="default" r:id="rId416"/>
          <w:footerReference w:type="default" r:id="rId417"/>
          <w:pgSz w:w="11906" w:h="16838"/>
          <w:pgMar w:top="1170" w:right="1299" w:bottom="1080" w:left="1416" w:header="837" w:footer="918" w:gutter="0"/>
        </w:sectPr>
        <w:rPr>
          <w:rFonts w:ascii="SimSun" w:hAnsi="SimSun" w:eastAsia="SimSun" w:cs="SimSun"/>
          <w:sz w:val="24"/>
          <w:szCs w:val="24"/>
        </w:rPr>
      </w:pPr>
    </w:p>
    <w:p>
      <w:pPr>
        <w:pStyle w:val="BodyText"/>
        <w:spacing w:line="311" w:lineRule="auto"/>
        <w:rPr/>
      </w:pPr>
      <w:r/>
    </w:p>
    <w:p>
      <w:pPr>
        <w:ind w:left="114" w:right="115" w:firstLine="4"/>
        <w:spacing w:before="78" w:line="339" w:lineRule="auto"/>
        <w:rPr>
          <w:rFonts w:ascii="SimSun" w:hAnsi="SimSun" w:eastAsia="SimSun" w:cs="SimSun"/>
          <w:sz w:val="24"/>
          <w:szCs w:val="24"/>
        </w:rPr>
      </w:pPr>
      <w:r>
        <w:rPr>
          <w:rFonts w:ascii="SimSun" w:hAnsi="SimSun" w:eastAsia="SimSun" w:cs="SimSun"/>
          <w:sz w:val="24"/>
          <w:szCs w:val="24"/>
          <w:spacing w:val="-2"/>
        </w:rPr>
        <w:t>力坡度为</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2"/>
        </w:rPr>
        <w:t>；边缘含水层颗粒较粗，一般为砂岩、砂砾岩，迳流条件较好；愈</w:t>
      </w:r>
      <w:r>
        <w:rPr>
          <w:rFonts w:ascii="SimSun" w:hAnsi="SimSun" w:eastAsia="SimSun" w:cs="SimSun"/>
          <w:sz w:val="24"/>
          <w:szCs w:val="24"/>
        </w:rPr>
        <w:t>往盆地中心，含水层颗粒愈细，迳流条件愈差，以地下</w:t>
      </w:r>
      <w:r>
        <w:rPr>
          <w:rFonts w:ascii="SimSun" w:hAnsi="SimSun" w:eastAsia="SimSun" w:cs="SimSun"/>
          <w:sz w:val="24"/>
          <w:szCs w:val="24"/>
          <w:spacing w:val="-1"/>
        </w:rPr>
        <w:t>迳流形式向北东排泄。</w:t>
      </w:r>
    </w:p>
    <w:p>
      <w:pPr>
        <w:ind w:left="113"/>
        <w:spacing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5.4.2.2</w:t>
      </w:r>
      <w:r>
        <w:rPr>
          <w:rFonts w:ascii="SimHei" w:hAnsi="SimHei" w:eastAsia="SimHei" w:cs="SimHei"/>
          <w:sz w:val="24"/>
          <w:szCs w:val="24"/>
          <w:b/>
          <w:bCs/>
          <w:spacing w:val="-2"/>
        </w:rPr>
        <w:t>井田水文地质条件</w:t>
      </w:r>
    </w:p>
    <w:p>
      <w:pPr>
        <w:ind w:left="115" w:right="25" w:firstLine="480"/>
        <w:spacing w:before="152" w:line="338" w:lineRule="auto"/>
        <w:jc w:val="both"/>
        <w:rPr>
          <w:rFonts w:ascii="SimSun" w:hAnsi="SimSun" w:eastAsia="SimSun" w:cs="SimSun"/>
          <w:sz w:val="24"/>
          <w:szCs w:val="24"/>
        </w:rPr>
      </w:pPr>
      <w:r>
        <w:rPr>
          <w:rFonts w:ascii="SimSun" w:hAnsi="SimSun" w:eastAsia="SimSun" w:cs="SimSun"/>
          <w:sz w:val="24"/>
          <w:szCs w:val="24"/>
          <w:spacing w:val="-2"/>
        </w:rPr>
        <w:t>本区地处白音华煤田中部，属白音华盆地水文地质单元的南西部分。根据地下水的</w:t>
      </w:r>
      <w:r>
        <w:rPr>
          <w:rFonts w:ascii="SimSun" w:hAnsi="SimSun" w:eastAsia="SimSun" w:cs="SimSun"/>
          <w:sz w:val="24"/>
          <w:szCs w:val="24"/>
          <w:spacing w:val="-2"/>
        </w:rPr>
        <w:t>埋藏条件及其水力特征，井田内主要地下水含水层可划分为第四系松散岩类孔隙潜水和</w:t>
      </w:r>
      <w:r>
        <w:rPr>
          <w:rFonts w:ascii="SimSun" w:hAnsi="SimSun" w:eastAsia="SimSun" w:cs="SimSun"/>
          <w:sz w:val="24"/>
          <w:szCs w:val="24"/>
          <w:spacing w:val="-6"/>
        </w:rPr>
        <w:t>白垩系碎屑岩类孔隙裂隙承压水，较厚层泥岩和粘土为隔水层。井田水文地质图见</w:t>
      </w:r>
      <w:r>
        <w:rPr>
          <w:rFonts w:ascii="Times New Roman" w:hAnsi="Times New Roman" w:eastAsia="Times New Roman" w:cs="Times New Roman"/>
          <w:sz w:val="24"/>
          <w:szCs w:val="24"/>
          <w:spacing w:val="-6"/>
        </w:rPr>
        <w:t>5-4-</w:t>
      </w:r>
      <w:r>
        <w:rPr>
          <w:rFonts w:ascii="Times New Roman" w:hAnsi="Times New Roman" w:eastAsia="Times New Roman" w:cs="Times New Roman"/>
          <w:sz w:val="24"/>
          <w:szCs w:val="24"/>
          <w:spacing w:val="-7"/>
        </w:rPr>
        <w:t>6</w:t>
      </w:r>
      <w:r>
        <w:rPr>
          <w:rFonts w:ascii="SimSun" w:hAnsi="SimSun" w:eastAsia="SimSun" w:cs="SimSun"/>
          <w:sz w:val="24"/>
          <w:szCs w:val="24"/>
          <w:spacing w:val="-7"/>
        </w:rPr>
        <w:t>。</w:t>
      </w:r>
    </w:p>
    <w:p>
      <w:pPr>
        <w:ind w:left="596"/>
        <w:spacing w:line="219" w:lineRule="auto"/>
        <w:rPr>
          <w:rFonts w:ascii="SimSun" w:hAnsi="SimSun" w:eastAsia="SimSun" w:cs="SimSun"/>
          <w:sz w:val="24"/>
          <w:szCs w:val="24"/>
        </w:rPr>
      </w:pPr>
      <w:r>
        <w:rPr>
          <w:rFonts w:ascii="SimSun" w:hAnsi="SimSun" w:eastAsia="SimSun" w:cs="SimSun"/>
          <w:sz w:val="24"/>
          <w:szCs w:val="24"/>
          <w:spacing w:val="-1"/>
        </w:rPr>
        <w:t>现将井田的主要含（隔）水层特征叙述如下：</w:t>
      </w:r>
    </w:p>
    <w:p>
      <w:pPr>
        <w:ind w:left="613"/>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1"/>
        </w:rPr>
        <w:t>、含水层</w:t>
      </w:r>
    </w:p>
    <w:p>
      <w:pPr>
        <w:ind w:left="114" w:right="110" w:firstLine="480"/>
        <w:spacing w:before="154" w:line="339" w:lineRule="auto"/>
        <w:rPr>
          <w:rFonts w:ascii="SimSun" w:hAnsi="SimSun" w:eastAsia="SimSun" w:cs="SimSun"/>
          <w:sz w:val="24"/>
          <w:szCs w:val="24"/>
        </w:rPr>
      </w:pPr>
      <w:r>
        <w:rPr>
          <w:rFonts w:ascii="SimSun" w:hAnsi="SimSun" w:eastAsia="SimSun" w:cs="SimSun"/>
          <w:sz w:val="24"/>
          <w:szCs w:val="24"/>
          <w:spacing w:val="-2"/>
        </w:rPr>
        <w:t>井田内对矿区开采可能充水的含水层有：第四系孔隙潜水含水层，一、二煤组裂隙</w:t>
      </w:r>
      <w:r>
        <w:rPr>
          <w:rFonts w:ascii="SimSun" w:hAnsi="SimSun" w:eastAsia="SimSun" w:cs="SimSun"/>
          <w:sz w:val="24"/>
          <w:szCs w:val="24"/>
          <w:spacing w:val="-1"/>
        </w:rPr>
        <w:t>承压含水岩组；三煤组裂隙承压含水岩组。</w:t>
      </w:r>
    </w:p>
    <w:p>
      <w:pPr>
        <w:ind w:left="6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）第四系孔隙潜水含水层组</w:t>
      </w:r>
    </w:p>
    <w:p>
      <w:pPr>
        <w:ind w:left="114" w:right="97" w:firstLine="480"/>
        <w:spacing w:before="156" w:line="338" w:lineRule="auto"/>
        <w:rPr>
          <w:rFonts w:ascii="SimSun" w:hAnsi="SimSun" w:eastAsia="SimSun" w:cs="SimSun"/>
          <w:sz w:val="24"/>
          <w:szCs w:val="24"/>
        </w:rPr>
      </w:pPr>
      <w:r>
        <w:rPr>
          <w:rFonts w:ascii="SimSun" w:hAnsi="SimSun" w:eastAsia="SimSun" w:cs="SimSun"/>
          <w:sz w:val="24"/>
          <w:szCs w:val="24"/>
          <w:spacing w:val="-1"/>
        </w:rPr>
        <w:t>含水岩性以灰黄色细、中砂为主，局部含砾，底部砾石含量</w:t>
      </w:r>
      <w:r>
        <w:rPr>
          <w:rFonts w:ascii="SimSun" w:hAnsi="SimSun" w:eastAsia="SimSun" w:cs="SimSun"/>
          <w:sz w:val="24"/>
          <w:szCs w:val="24"/>
          <w:spacing w:val="-2"/>
        </w:rPr>
        <w:t>高，颗粒级配较均匀。</w:t>
      </w:r>
      <w:r>
        <w:rPr>
          <w:rFonts w:ascii="SimSun" w:hAnsi="SimSun" w:eastAsia="SimSun" w:cs="SimSun"/>
          <w:sz w:val="24"/>
          <w:szCs w:val="24"/>
          <w:spacing w:val="-2"/>
        </w:rPr>
        <w:t>成因主要以冲洪积、风积为主。该含水层在本区普遍发育，分布连续，厚度稳定，埋深</w:t>
      </w:r>
      <w:r>
        <w:rPr>
          <w:rFonts w:ascii="SimSun" w:hAnsi="SimSun" w:eastAsia="SimSun" w:cs="SimSun"/>
          <w:sz w:val="24"/>
          <w:szCs w:val="24"/>
          <w:spacing w:val="-3"/>
        </w:rPr>
        <w:t>较浅。厚度</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9.6-45.65m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，平均</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19.31m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。潜水水位埋深较浅，渗透性较好。</w:t>
      </w:r>
    </w:p>
    <w:p>
      <w:pPr>
        <w:ind w:left="114" w:right="110" w:firstLine="509"/>
        <w:spacing w:before="4" w:line="337" w:lineRule="auto"/>
        <w:jc w:val="both"/>
        <w:rPr>
          <w:rFonts w:ascii="SimSun" w:hAnsi="SimSun" w:eastAsia="SimSun" w:cs="SimSun"/>
          <w:sz w:val="24"/>
          <w:szCs w:val="24"/>
        </w:rPr>
      </w:pPr>
      <w:r>
        <w:rPr>
          <w:rFonts w:ascii="SimSun" w:hAnsi="SimSun" w:eastAsia="SimSun" w:cs="SimSun"/>
          <w:sz w:val="24"/>
          <w:szCs w:val="24"/>
          <w:spacing w:val="-2"/>
        </w:rPr>
        <w:t>由简易水文观测孔及以往第四系多孔抽水试验</w:t>
      </w:r>
      <w:r>
        <w:rPr>
          <w:rFonts w:ascii="SimSun" w:hAnsi="SimSun" w:eastAsia="SimSun" w:cs="SimSun"/>
          <w:sz w:val="24"/>
          <w:szCs w:val="24"/>
          <w:spacing w:val="-3"/>
        </w:rPr>
        <w:t>孔数据获知：第四系潜水含水层厚度</w:t>
      </w:r>
      <w:r>
        <w:rPr>
          <w:rFonts w:ascii="Times New Roman" w:hAnsi="Times New Roman" w:eastAsia="Times New Roman" w:cs="Times New Roman"/>
          <w:sz w:val="24"/>
          <w:szCs w:val="24"/>
          <w:spacing w:val="-3"/>
        </w:rPr>
        <w:t>18.40m</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，水位埋深</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w:t>
      </w:r>
      <w:r>
        <w:rPr>
          <w:rFonts w:ascii="SimSun" w:hAnsi="SimSun" w:eastAsia="SimSun" w:cs="SimSun"/>
          <w:sz w:val="24"/>
          <w:szCs w:val="24"/>
          <w:spacing w:val="-3"/>
        </w:rPr>
        <w:t>～</w:t>
      </w:r>
      <w:r>
        <w:rPr>
          <w:rFonts w:ascii="Times New Roman" w:hAnsi="Times New Roman" w:eastAsia="Times New Roman" w:cs="Times New Roman"/>
          <w:sz w:val="24"/>
          <w:szCs w:val="24"/>
          <w:spacing w:val="-3"/>
        </w:rPr>
        <w:t>12.0m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，标高</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970.79</w:t>
      </w:r>
      <w:r>
        <w:rPr>
          <w:rFonts w:ascii="SimSun" w:hAnsi="SimSun" w:eastAsia="SimSun" w:cs="SimSun"/>
          <w:sz w:val="24"/>
          <w:szCs w:val="24"/>
          <w:spacing w:val="-3"/>
        </w:rPr>
        <w:t>～</w:t>
      </w:r>
      <w:r>
        <w:rPr>
          <w:rFonts w:ascii="Times New Roman" w:hAnsi="Times New Roman" w:eastAsia="Times New Roman" w:cs="Times New Roman"/>
          <w:sz w:val="24"/>
          <w:szCs w:val="24"/>
          <w:spacing w:val="-3"/>
        </w:rPr>
        <w:t>974.4m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，单位涌水量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0.635</w:t>
      </w:r>
      <w:r>
        <w:rPr>
          <w:rFonts w:ascii="SimSun" w:hAnsi="SimSun" w:eastAsia="SimSun" w:cs="SimSun"/>
          <w:sz w:val="24"/>
          <w:szCs w:val="24"/>
          <w:spacing w:val="-3"/>
        </w:rPr>
        <w:t>～</w:t>
      </w:r>
      <w:r>
        <w:rPr>
          <w:rFonts w:ascii="Times New Roman" w:hAnsi="Times New Roman" w:eastAsia="Times New Roman" w:cs="Times New Roman"/>
          <w:sz w:val="24"/>
          <w:szCs w:val="24"/>
          <w:spacing w:val="-3"/>
        </w:rPr>
        <w:t>0.901l/s</w:t>
      </w:r>
      <w:r>
        <w:rPr>
          <w:rFonts w:ascii="Times New Roman" w:hAnsi="Times New Roman" w:eastAsia="Times New Roman" w:cs="Times New Roman"/>
          <w:sz w:val="24"/>
          <w:szCs w:val="24"/>
          <w:spacing w:val="-34"/>
        </w:rPr>
        <w:t xml:space="preserve"> </w:t>
      </w:r>
      <w:r>
        <w:rPr>
          <w:rFonts w:ascii="Times New Roman" w:hAnsi="Times New Roman" w:eastAsia="Times New Roman" w:cs="Times New Roman"/>
          <w:sz w:val="24"/>
          <w:szCs w:val="24"/>
          <w:spacing w:val="-3"/>
        </w:rPr>
        <w:t>·m</w:t>
      </w:r>
      <w:r>
        <w:rPr>
          <w:rFonts w:ascii="SimSun" w:hAnsi="SimSun" w:eastAsia="SimSun" w:cs="SimSun"/>
          <w:sz w:val="24"/>
          <w:szCs w:val="24"/>
          <w:spacing w:val="-3"/>
        </w:rPr>
        <w:t>，</w:t>
      </w:r>
      <w:r>
        <w:rPr>
          <w:rFonts w:ascii="SimSun" w:hAnsi="SimSun" w:eastAsia="SimSun" w:cs="SimSun"/>
          <w:sz w:val="24"/>
          <w:szCs w:val="24"/>
          <w:spacing w:val="-2"/>
        </w:rPr>
        <w:t>渗透系数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16.66-18.34m/d</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。水质</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HCO</w:t>
      </w:r>
      <w:r>
        <w:rPr>
          <w:rFonts w:ascii="Times New Roman" w:hAnsi="Times New Roman" w:eastAsia="Times New Roman" w:cs="Times New Roman"/>
          <w:sz w:val="15"/>
          <w:szCs w:val="15"/>
          <w:spacing w:val="-2"/>
          <w:position w:val="-1"/>
        </w:rPr>
        <w:t>3</w:t>
      </w:r>
      <w:r>
        <w:rPr>
          <w:rFonts w:ascii="Times New Roman" w:hAnsi="Times New Roman" w:eastAsia="Times New Roman" w:cs="Times New Roman"/>
          <w:sz w:val="24"/>
          <w:szCs w:val="24"/>
          <w:spacing w:val="-2"/>
        </w:rPr>
        <w:t>·Cl−Ca</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24"/>
          <w:szCs w:val="24"/>
          <w:spacing w:val="-2"/>
        </w:rPr>
        <w:t>·Na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型，矿化度为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2"/>
        </w:rPr>
        <w:t>0.</w:t>
      </w:r>
      <w:r>
        <w:rPr>
          <w:rFonts w:ascii="Times New Roman" w:hAnsi="Times New Roman" w:eastAsia="Times New Roman" w:cs="Times New Roman"/>
          <w:sz w:val="24"/>
          <w:szCs w:val="24"/>
          <w:spacing w:val="-3"/>
        </w:rPr>
        <w:t>79g/l</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，属于淡水，</w:t>
      </w:r>
      <w:r>
        <w:rPr>
          <w:rFonts w:ascii="Times New Roman" w:hAnsi="Times New Roman" w:eastAsia="Times New Roman" w:cs="Times New Roman"/>
          <w:sz w:val="24"/>
          <w:szCs w:val="24"/>
          <w:spacing w:val="-3"/>
        </w:rPr>
        <w:t>PH</w:t>
      </w:r>
      <w:r>
        <w:rPr>
          <w:rFonts w:ascii="SimSun" w:hAnsi="SimSun" w:eastAsia="SimSun" w:cs="SimSun"/>
          <w:sz w:val="24"/>
          <w:szCs w:val="24"/>
          <w:spacing w:val="-6"/>
        </w:rPr>
        <w:t>值为</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6"/>
        </w:rPr>
        <w:t>8.15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，水温</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7℃</w:t>
      </w:r>
      <w:r>
        <w:rPr>
          <w:rFonts w:ascii="SimSun" w:hAnsi="SimSun" w:eastAsia="SimSun" w:cs="SimSun"/>
          <w:sz w:val="24"/>
          <w:szCs w:val="24"/>
          <w:spacing w:val="-6"/>
        </w:rPr>
        <w:t>。</w:t>
      </w:r>
    </w:p>
    <w:p>
      <w:pPr>
        <w:ind w:left="110" w:right="110" w:firstLine="487"/>
        <w:spacing w:before="2" w:line="337" w:lineRule="auto"/>
        <w:jc w:val="both"/>
        <w:rPr>
          <w:rFonts w:ascii="SimSun" w:hAnsi="SimSun" w:eastAsia="SimSun" w:cs="SimSun"/>
          <w:sz w:val="24"/>
          <w:szCs w:val="24"/>
        </w:rPr>
      </w:pPr>
      <w:r>
        <w:rPr>
          <w:rFonts w:ascii="SimSun" w:hAnsi="SimSun" w:eastAsia="SimSun" w:cs="SimSun"/>
          <w:sz w:val="24"/>
          <w:szCs w:val="24"/>
          <w:spacing w:val="5"/>
        </w:rPr>
        <w:t>从资料分析，本区潜水含水层的富水性属于含水中等的含水层。报告编制之前于</w:t>
      </w:r>
      <w:r>
        <w:rPr>
          <w:rFonts w:ascii="Times New Roman" w:hAnsi="Times New Roman" w:eastAsia="Times New Roman" w:cs="Times New Roman"/>
          <w:sz w:val="24"/>
          <w:szCs w:val="24"/>
          <w:spacing w:val="-1"/>
        </w:rPr>
        <w:t>2017 </w:t>
      </w:r>
      <w:r>
        <w:rPr>
          <w:rFonts w:ascii="SimSun" w:hAnsi="SimSun" w:eastAsia="SimSun" w:cs="SimSun"/>
          <w:sz w:val="24"/>
          <w:szCs w:val="24"/>
          <w:spacing w:val="-1"/>
        </w:rPr>
        <w:t>年做了详细的第四系潜水含水层水位观测，取得了一个水文年</w:t>
      </w:r>
      <w:r>
        <w:rPr>
          <w:rFonts w:ascii="Times New Roman" w:hAnsi="Times New Roman" w:eastAsia="Times New Roman" w:cs="Times New Roman"/>
          <w:sz w:val="24"/>
          <w:szCs w:val="24"/>
          <w:spacing w:val="-1"/>
        </w:rPr>
        <w:t>(</w:t>
      </w:r>
      <w:r>
        <w:rPr>
          <w:rFonts w:ascii="SimSun" w:hAnsi="SimSun" w:eastAsia="SimSun" w:cs="SimSun"/>
          <w:sz w:val="24"/>
          <w:szCs w:val="24"/>
          <w:spacing w:val="-1"/>
        </w:rPr>
        <w:t>枯、平、丰三期</w:t>
      </w:r>
      <w:r>
        <w:rPr>
          <w:rFonts w:ascii="Times New Roman" w:hAnsi="Times New Roman" w:eastAsia="Times New Roman" w:cs="Times New Roman"/>
          <w:sz w:val="24"/>
          <w:szCs w:val="24"/>
          <w:spacing w:val="-1"/>
        </w:rPr>
        <w:t>)</w:t>
      </w:r>
      <w:r>
        <w:rPr>
          <w:rFonts w:ascii="SimSun" w:hAnsi="SimSun" w:eastAsia="SimSun" w:cs="SimSun"/>
          <w:sz w:val="24"/>
          <w:szCs w:val="24"/>
          <w:spacing w:val="-1"/>
        </w:rPr>
        <w:t>的</w:t>
      </w:r>
      <w:r>
        <w:rPr>
          <w:rFonts w:ascii="SimSun" w:hAnsi="SimSun" w:eastAsia="SimSun" w:cs="SimSun"/>
          <w:sz w:val="24"/>
          <w:szCs w:val="24"/>
        </w:rPr>
        <w:t>地下水位变化数据，与勘探阶段相比水位有不同程度的下降</w:t>
      </w:r>
      <w:r>
        <w:rPr>
          <w:rFonts w:ascii="SimSun" w:hAnsi="SimSun" w:eastAsia="SimSun" w:cs="SimSun"/>
          <w:sz w:val="24"/>
          <w:szCs w:val="24"/>
          <w:spacing w:val="-1"/>
        </w:rPr>
        <w:t>，结果如下表：</w:t>
      </w:r>
    </w:p>
    <w:p>
      <w:pPr>
        <w:ind w:left="2322"/>
        <w:spacing w:before="137" w:line="210" w:lineRule="auto"/>
        <w:rPr>
          <w:rFonts w:ascii="Times New Roman" w:hAnsi="Times New Roman" w:eastAsia="Times New Roman" w:cs="Times New Roman"/>
          <w:sz w:val="24"/>
          <w:szCs w:val="24"/>
        </w:rPr>
      </w:pPr>
      <w:r>
        <w:rPr>
          <w:rFonts w:ascii="SimHei" w:hAnsi="SimHei" w:eastAsia="SimHei" w:cs="SimHei"/>
          <w:sz w:val="24"/>
          <w:szCs w:val="24"/>
          <w:spacing w:val="-5"/>
        </w:rPr>
        <w:t>第四系潜水水位一览表</w:t>
      </w:r>
      <w:r>
        <w:rPr>
          <w:rFonts w:ascii="Times New Roman" w:hAnsi="Times New Roman" w:eastAsia="Times New Roman" w:cs="Times New Roman"/>
          <w:sz w:val="24"/>
          <w:szCs w:val="24"/>
          <w:spacing w:val="-5"/>
        </w:rPr>
        <w:t>(</w:t>
      </w:r>
      <w:r>
        <w:rPr>
          <w:rFonts w:ascii="SimHei" w:hAnsi="SimHei" w:eastAsia="SimHei" w:cs="SimHei"/>
          <w:sz w:val="24"/>
          <w:szCs w:val="24"/>
          <w:spacing w:val="-5"/>
        </w:rPr>
        <w:t>观测日期：</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30"/>
        </w:rPr>
        <w:t xml:space="preserve"> </w:t>
      </w:r>
      <w:r>
        <w:rPr>
          <w:rFonts w:ascii="SimHei" w:hAnsi="SimHei" w:eastAsia="SimHei" w:cs="SimHei"/>
          <w:sz w:val="24"/>
          <w:szCs w:val="24"/>
          <w:spacing w:val="-5"/>
        </w:rPr>
        <w:t>月</w:t>
      </w:r>
      <w:r>
        <w:rPr>
          <w:rFonts w:ascii="SimHei" w:hAnsi="SimHei" w:eastAsia="SimHei" w:cs="SimHei"/>
          <w:sz w:val="24"/>
          <w:szCs w:val="24"/>
          <w:spacing w:val="-46"/>
        </w:rPr>
        <w:t xml:space="preserve"> </w:t>
      </w:r>
      <w:r>
        <w:rPr>
          <w:rFonts w:ascii="Times New Roman" w:hAnsi="Times New Roman" w:eastAsia="Times New Roman" w:cs="Times New Roman"/>
          <w:sz w:val="24"/>
          <w:szCs w:val="24"/>
          <w:spacing w:val="-5"/>
        </w:rPr>
        <w:t>8</w:t>
      </w:r>
      <w:r>
        <w:rPr>
          <w:rFonts w:ascii="Times New Roman" w:hAnsi="Times New Roman" w:eastAsia="Times New Roman" w:cs="Times New Roman"/>
          <w:sz w:val="24"/>
          <w:szCs w:val="24"/>
          <w:spacing w:val="47"/>
        </w:rPr>
        <w:t xml:space="preserve"> </w:t>
      </w:r>
      <w:r>
        <w:rPr>
          <w:rFonts w:ascii="SimHei" w:hAnsi="SimHei" w:eastAsia="SimHei" w:cs="SimHei"/>
          <w:sz w:val="24"/>
          <w:szCs w:val="24"/>
          <w:spacing w:val="-5"/>
        </w:rPr>
        <w:t>日</w:t>
      </w:r>
      <w:r>
        <w:rPr>
          <w:rFonts w:ascii="Times New Roman" w:hAnsi="Times New Roman" w:eastAsia="Times New Roman" w:cs="Times New Roman"/>
          <w:sz w:val="24"/>
          <w:szCs w:val="24"/>
          <w:spacing w:val="-5"/>
        </w:rPr>
        <w:t>)</w:t>
      </w:r>
    </w:p>
    <w:p>
      <w:pPr>
        <w:ind w:left="112"/>
        <w:spacing w:before="223"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5-4-5</w:t>
      </w:r>
    </w:p>
    <w:p>
      <w:pPr>
        <w:spacing w:line="23" w:lineRule="exact"/>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7"/>
        <w:gridCol w:w="1377"/>
        <w:gridCol w:w="1183"/>
        <w:gridCol w:w="1377"/>
        <w:gridCol w:w="1379"/>
        <w:gridCol w:w="2780"/>
      </w:tblGrid>
      <w:tr>
        <w:trPr>
          <w:trHeight w:val="328" w:hRule="atLeast"/>
        </w:trPr>
        <w:tc>
          <w:tcPr>
            <w:tcW w:w="1187" w:type="dxa"/>
            <w:vAlign w:val="top"/>
            <w:vMerge w:val="restart"/>
            <w:tcBorders>
              <w:bottom w:val="nil"/>
            </w:tcBorders>
          </w:tcPr>
          <w:p>
            <w:pPr>
              <w:ind w:left="384"/>
              <w:spacing w:before="221" w:line="228" w:lineRule="auto"/>
              <w:rPr>
                <w:rFonts w:ascii="SimSun" w:hAnsi="SimSun" w:eastAsia="SimSun" w:cs="SimSun"/>
                <w:sz w:val="20"/>
                <w:szCs w:val="20"/>
              </w:rPr>
            </w:pPr>
            <w:r>
              <w:rPr>
                <w:rFonts w:ascii="SimSun" w:hAnsi="SimSun" w:eastAsia="SimSun" w:cs="SimSun"/>
                <w:sz w:val="20"/>
                <w:szCs w:val="20"/>
                <w:spacing w:val="4"/>
              </w:rPr>
              <w:t>井号</w:t>
            </w:r>
          </w:p>
        </w:tc>
        <w:tc>
          <w:tcPr>
            <w:tcW w:w="2560" w:type="dxa"/>
            <w:vAlign w:val="top"/>
            <w:gridSpan w:val="2"/>
          </w:tcPr>
          <w:p>
            <w:pPr>
              <w:ind w:left="1075"/>
              <w:spacing w:before="55" w:line="228" w:lineRule="auto"/>
              <w:rPr>
                <w:rFonts w:ascii="SimSun" w:hAnsi="SimSun" w:eastAsia="SimSun" w:cs="SimSun"/>
                <w:sz w:val="20"/>
                <w:szCs w:val="20"/>
              </w:rPr>
            </w:pPr>
            <w:r>
              <w:rPr>
                <w:rFonts w:ascii="SimSun" w:hAnsi="SimSun" w:eastAsia="SimSun" w:cs="SimSun"/>
                <w:sz w:val="20"/>
                <w:szCs w:val="20"/>
                <w:spacing w:val="4"/>
              </w:rPr>
              <w:t>坐标</w:t>
            </w:r>
          </w:p>
        </w:tc>
        <w:tc>
          <w:tcPr>
            <w:tcW w:w="1377" w:type="dxa"/>
            <w:vAlign w:val="top"/>
            <w:vMerge w:val="restart"/>
            <w:tcBorders>
              <w:bottom w:val="nil"/>
            </w:tcBorders>
          </w:tcPr>
          <w:p>
            <w:pPr>
              <w:pStyle w:val="TableText"/>
              <w:ind w:left="125"/>
              <w:spacing w:before="221" w:line="221" w:lineRule="auto"/>
              <w:rPr/>
            </w:pPr>
            <w:r>
              <w:rPr>
                <w:rFonts w:ascii="SimSun" w:hAnsi="SimSun" w:eastAsia="SimSun" w:cs="SimSun"/>
                <w:spacing w:val="5"/>
              </w:rPr>
              <w:t>水位埋深</w:t>
            </w:r>
            <w:r>
              <w:rPr>
                <w:spacing w:val="5"/>
              </w:rPr>
              <w:t>(m)</w:t>
            </w:r>
          </w:p>
        </w:tc>
        <w:tc>
          <w:tcPr>
            <w:tcW w:w="1379" w:type="dxa"/>
            <w:vAlign w:val="top"/>
            <w:vMerge w:val="restart"/>
            <w:tcBorders>
              <w:bottom w:val="nil"/>
            </w:tcBorders>
          </w:tcPr>
          <w:p>
            <w:pPr>
              <w:pStyle w:val="TableText"/>
              <w:ind w:left="123"/>
              <w:spacing w:before="221" w:line="221" w:lineRule="auto"/>
              <w:rPr/>
            </w:pPr>
            <w:r>
              <w:rPr>
                <w:rFonts w:ascii="SimSun" w:hAnsi="SimSun" w:eastAsia="SimSun" w:cs="SimSun"/>
                <w:spacing w:val="6"/>
              </w:rPr>
              <w:t>水位标高</w:t>
            </w:r>
            <w:r>
              <w:rPr>
                <w:spacing w:val="6"/>
              </w:rPr>
              <w:t>(m)</w:t>
            </w:r>
          </w:p>
        </w:tc>
        <w:tc>
          <w:tcPr>
            <w:tcW w:w="2780" w:type="dxa"/>
            <w:vAlign w:val="top"/>
            <w:vMerge w:val="restart"/>
            <w:tcBorders>
              <w:bottom w:val="nil"/>
            </w:tcBorders>
          </w:tcPr>
          <w:p>
            <w:pPr>
              <w:ind w:left="1187"/>
              <w:spacing w:before="221"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3" w:hRule="atLeast"/>
        </w:trPr>
        <w:tc>
          <w:tcPr>
            <w:tcW w:w="1187" w:type="dxa"/>
            <w:vAlign w:val="top"/>
            <w:vMerge w:val="continue"/>
            <w:tcBorders>
              <w:top w:val="nil"/>
            </w:tcBorders>
          </w:tcPr>
          <w:p>
            <w:pPr>
              <w:rPr>
                <w:rFonts w:ascii="Arial"/>
                <w:sz w:val="21"/>
              </w:rPr>
            </w:pPr>
            <w:r/>
          </w:p>
        </w:tc>
        <w:tc>
          <w:tcPr>
            <w:tcW w:w="1377" w:type="dxa"/>
            <w:vAlign w:val="top"/>
          </w:tcPr>
          <w:p>
            <w:pPr>
              <w:pStyle w:val="TableText"/>
              <w:ind w:left="632"/>
              <w:spacing w:before="138" w:line="138" w:lineRule="exact"/>
              <w:rPr/>
            </w:pPr>
            <w:r>
              <w:rPr>
                <w:spacing w:val="1"/>
              </w:rPr>
              <w:t>x</w:t>
            </w:r>
          </w:p>
        </w:tc>
        <w:tc>
          <w:tcPr>
            <w:tcW w:w="1183" w:type="dxa"/>
            <w:vAlign w:val="top"/>
          </w:tcPr>
          <w:p>
            <w:pPr>
              <w:pStyle w:val="TableText"/>
              <w:ind w:left="535"/>
              <w:spacing w:before="138" w:line="140" w:lineRule="exact"/>
              <w:rPr/>
            </w:pPr>
            <w:r>
              <w:rPr>
                <w:spacing w:val="3"/>
                <w:position w:val="2"/>
              </w:rPr>
              <w:t>y</w:t>
            </w:r>
          </w:p>
        </w:tc>
        <w:tc>
          <w:tcPr>
            <w:tcW w:w="1377" w:type="dxa"/>
            <w:vAlign w:val="top"/>
            <w:vMerge w:val="continue"/>
            <w:tcBorders>
              <w:top w:val="nil"/>
            </w:tcBorders>
          </w:tcPr>
          <w:p>
            <w:pPr>
              <w:rPr>
                <w:rFonts w:ascii="Arial"/>
                <w:sz w:val="21"/>
              </w:rPr>
            </w:pPr>
            <w:r/>
          </w:p>
        </w:tc>
        <w:tc>
          <w:tcPr>
            <w:tcW w:w="1379" w:type="dxa"/>
            <w:vAlign w:val="top"/>
            <w:vMerge w:val="continue"/>
            <w:tcBorders>
              <w:top w:val="nil"/>
            </w:tcBorders>
          </w:tcPr>
          <w:p>
            <w:pPr>
              <w:rPr>
                <w:rFonts w:ascii="Arial"/>
                <w:sz w:val="21"/>
              </w:rPr>
            </w:pPr>
            <w:r/>
          </w:p>
        </w:tc>
        <w:tc>
          <w:tcPr>
            <w:tcW w:w="2780" w:type="dxa"/>
            <w:vAlign w:val="top"/>
            <w:vMerge w:val="continue"/>
            <w:tcBorders>
              <w:top w:val="nil"/>
            </w:tcBorders>
          </w:tcPr>
          <w:p>
            <w:pPr>
              <w:rPr>
                <w:rFonts w:ascii="Arial"/>
                <w:sz w:val="21"/>
              </w:rPr>
            </w:pPr>
            <w:r/>
          </w:p>
        </w:tc>
      </w:tr>
      <w:tr>
        <w:trPr>
          <w:trHeight w:val="651" w:hRule="atLeast"/>
        </w:trPr>
        <w:tc>
          <w:tcPr>
            <w:tcW w:w="1187" w:type="dxa"/>
            <w:vAlign w:val="top"/>
          </w:tcPr>
          <w:p>
            <w:pPr>
              <w:pStyle w:val="TableText"/>
              <w:ind w:left="561"/>
              <w:spacing w:before="256" w:line="195" w:lineRule="auto"/>
              <w:rPr/>
            </w:pPr>
            <w:r>
              <w:rPr/>
              <w:t>1</w:t>
            </w:r>
          </w:p>
        </w:tc>
        <w:tc>
          <w:tcPr>
            <w:tcW w:w="1377" w:type="dxa"/>
            <w:vAlign w:val="top"/>
          </w:tcPr>
          <w:p>
            <w:pPr>
              <w:pStyle w:val="TableText"/>
              <w:ind w:left="269"/>
              <w:spacing w:before="255" w:line="195" w:lineRule="auto"/>
              <w:rPr/>
            </w:pPr>
            <w:r>
              <w:rPr>
                <w:spacing w:val="4"/>
              </w:rPr>
              <w:t>20634044</w:t>
            </w:r>
          </w:p>
        </w:tc>
        <w:tc>
          <w:tcPr>
            <w:tcW w:w="1183" w:type="dxa"/>
            <w:vAlign w:val="top"/>
          </w:tcPr>
          <w:p>
            <w:pPr>
              <w:pStyle w:val="TableText"/>
              <w:ind w:left="223"/>
              <w:spacing w:before="255" w:line="195" w:lineRule="auto"/>
              <w:rPr/>
            </w:pPr>
            <w:r>
              <w:rPr>
                <w:spacing w:val="4"/>
              </w:rPr>
              <w:t>4982698</w:t>
            </w:r>
          </w:p>
        </w:tc>
        <w:tc>
          <w:tcPr>
            <w:tcW w:w="1377" w:type="dxa"/>
            <w:vAlign w:val="top"/>
          </w:tcPr>
          <w:p>
            <w:pPr>
              <w:pStyle w:val="TableText"/>
              <w:ind w:left="525"/>
              <w:spacing w:before="255" w:line="195" w:lineRule="auto"/>
              <w:rPr/>
            </w:pPr>
            <w:r>
              <w:rPr>
                <w:spacing w:val="-2"/>
              </w:rPr>
              <w:t>12.2</w:t>
            </w:r>
          </w:p>
        </w:tc>
        <w:tc>
          <w:tcPr>
            <w:tcW w:w="1379" w:type="dxa"/>
            <w:vAlign w:val="top"/>
          </w:tcPr>
          <w:p>
            <w:pPr>
              <w:pStyle w:val="TableText"/>
              <w:ind w:left="406"/>
              <w:spacing w:before="255" w:line="195" w:lineRule="auto"/>
              <w:rPr/>
            </w:pPr>
            <w:r>
              <w:rPr>
                <w:spacing w:val="3"/>
              </w:rPr>
              <w:t>967.65</w:t>
            </w:r>
          </w:p>
        </w:tc>
        <w:tc>
          <w:tcPr>
            <w:tcW w:w="2780" w:type="dxa"/>
            <w:vAlign w:val="top"/>
          </w:tcPr>
          <w:p>
            <w:pPr>
              <w:ind w:left="241" w:right="131" w:hanging="107"/>
              <w:spacing w:before="56" w:line="270" w:lineRule="auto"/>
              <w:rPr>
                <w:rFonts w:ascii="SimSun" w:hAnsi="SimSun" w:eastAsia="SimSun" w:cs="SimSun"/>
                <w:sz w:val="20"/>
                <w:szCs w:val="20"/>
              </w:rPr>
            </w:pPr>
            <w:r>
              <w:rPr>
                <w:rFonts w:ascii="SimSun" w:hAnsi="SimSun" w:eastAsia="SimSun" w:cs="SimSun"/>
                <w:sz w:val="20"/>
                <w:szCs w:val="20"/>
                <w:spacing w:val="9"/>
              </w:rPr>
              <w:t>毛脑豪，图幅界外，用于绘</w:t>
            </w:r>
            <w:r>
              <w:rPr>
                <w:rFonts w:ascii="SimSun" w:hAnsi="SimSun" w:eastAsia="SimSun" w:cs="SimSun"/>
                <w:sz w:val="20"/>
                <w:szCs w:val="20"/>
                <w:spacing w:val="9"/>
              </w:rPr>
              <w:t>制水位线，不在图中显示</w:t>
            </w:r>
          </w:p>
        </w:tc>
      </w:tr>
      <w:tr>
        <w:trPr>
          <w:trHeight w:val="326" w:hRule="atLeast"/>
        </w:trPr>
        <w:tc>
          <w:tcPr>
            <w:tcW w:w="1187" w:type="dxa"/>
            <w:vAlign w:val="top"/>
          </w:tcPr>
          <w:p>
            <w:pPr>
              <w:pStyle w:val="TableText"/>
              <w:ind w:left="541"/>
              <w:spacing w:before="94" w:line="195" w:lineRule="auto"/>
              <w:rPr/>
            </w:pPr>
            <w:r>
              <w:rPr/>
              <w:t>2</w:t>
            </w:r>
          </w:p>
        </w:tc>
        <w:tc>
          <w:tcPr>
            <w:tcW w:w="1377" w:type="dxa"/>
            <w:vAlign w:val="top"/>
          </w:tcPr>
          <w:p>
            <w:pPr>
              <w:pStyle w:val="TableText"/>
              <w:ind w:left="269"/>
              <w:spacing w:before="94" w:line="195" w:lineRule="auto"/>
              <w:rPr/>
            </w:pPr>
            <w:r>
              <w:rPr>
                <w:spacing w:val="4"/>
              </w:rPr>
              <w:t>20632717</w:t>
            </w:r>
          </w:p>
        </w:tc>
        <w:tc>
          <w:tcPr>
            <w:tcW w:w="1183" w:type="dxa"/>
            <w:vAlign w:val="top"/>
          </w:tcPr>
          <w:p>
            <w:pPr>
              <w:pStyle w:val="TableText"/>
              <w:ind w:left="223"/>
              <w:spacing w:before="94" w:line="195" w:lineRule="auto"/>
              <w:rPr/>
            </w:pPr>
            <w:r>
              <w:rPr>
                <w:spacing w:val="4"/>
              </w:rPr>
              <w:t>4982412</w:t>
            </w:r>
          </w:p>
        </w:tc>
        <w:tc>
          <w:tcPr>
            <w:tcW w:w="1377" w:type="dxa"/>
            <w:vAlign w:val="top"/>
          </w:tcPr>
          <w:p>
            <w:pPr>
              <w:pStyle w:val="TableText"/>
              <w:ind w:left="561"/>
              <w:spacing w:before="94" w:line="195" w:lineRule="auto"/>
              <w:rPr/>
            </w:pPr>
            <w:r>
              <w:rPr>
                <w:spacing w:val="1"/>
              </w:rPr>
              <w:t>7.3</w:t>
            </w:r>
          </w:p>
        </w:tc>
        <w:tc>
          <w:tcPr>
            <w:tcW w:w="1379" w:type="dxa"/>
            <w:vAlign w:val="top"/>
          </w:tcPr>
          <w:p>
            <w:pPr>
              <w:rPr>
                <w:rFonts w:ascii="Arial"/>
                <w:sz w:val="21"/>
              </w:rPr>
            </w:pPr>
            <w:r/>
          </w:p>
        </w:tc>
        <w:tc>
          <w:tcPr>
            <w:tcW w:w="2780" w:type="dxa"/>
            <w:vAlign w:val="top"/>
          </w:tcPr>
          <w:p>
            <w:pPr>
              <w:pStyle w:val="TableText"/>
              <w:ind w:left="1106"/>
              <w:spacing w:before="58" w:line="227" w:lineRule="auto"/>
              <w:rPr/>
            </w:pPr>
            <w:r>
              <w:rPr>
                <w:rFonts w:ascii="SimSun" w:hAnsi="SimSun" w:eastAsia="SimSun" w:cs="SimSun"/>
                <w:spacing w:val="2"/>
              </w:rPr>
              <w:t>板凳</w:t>
            </w:r>
            <w:r>
              <w:rPr>
                <w:rFonts w:ascii="SimSun" w:hAnsi="SimSun" w:eastAsia="SimSun" w:cs="SimSun"/>
                <w:spacing w:val="-19"/>
              </w:rPr>
              <w:t xml:space="preserve"> </w:t>
            </w:r>
            <w:r>
              <w:rPr>
                <w:spacing w:val="2"/>
              </w:rPr>
              <w:t>1</w:t>
            </w:r>
          </w:p>
        </w:tc>
      </w:tr>
      <w:tr>
        <w:trPr>
          <w:trHeight w:val="326" w:hRule="atLeast"/>
        </w:trPr>
        <w:tc>
          <w:tcPr>
            <w:tcW w:w="1187" w:type="dxa"/>
            <w:vAlign w:val="top"/>
          </w:tcPr>
          <w:p>
            <w:pPr>
              <w:pStyle w:val="TableText"/>
              <w:ind w:left="289"/>
              <w:spacing w:before="56" w:line="221" w:lineRule="auto"/>
              <w:rPr/>
            </w:pPr>
            <w:r>
              <w:rPr>
                <w:spacing w:val="3"/>
              </w:rPr>
              <w:t>3(</w:t>
            </w:r>
            <w:r>
              <w:rPr>
                <w:rFonts w:ascii="SimSun" w:hAnsi="SimSun" w:eastAsia="SimSun" w:cs="SimSun"/>
                <w:spacing w:val="3"/>
              </w:rPr>
              <w:t>观</w:t>
            </w:r>
            <w:r>
              <w:rPr>
                <w:rFonts w:ascii="SimSun" w:hAnsi="SimSun" w:eastAsia="SimSun" w:cs="SimSun"/>
                <w:spacing w:val="-44"/>
              </w:rPr>
              <w:t xml:space="preserve"> </w:t>
            </w:r>
            <w:r>
              <w:rPr>
                <w:spacing w:val="3"/>
              </w:rPr>
              <w:t>2)</w:t>
            </w:r>
          </w:p>
        </w:tc>
        <w:tc>
          <w:tcPr>
            <w:tcW w:w="1377" w:type="dxa"/>
            <w:vAlign w:val="top"/>
          </w:tcPr>
          <w:p>
            <w:pPr>
              <w:pStyle w:val="TableText"/>
              <w:ind w:left="269"/>
              <w:spacing w:before="92" w:line="195" w:lineRule="auto"/>
              <w:rPr/>
            </w:pPr>
            <w:r>
              <w:rPr>
                <w:spacing w:val="4"/>
              </w:rPr>
              <w:t>20632609</w:t>
            </w:r>
          </w:p>
        </w:tc>
        <w:tc>
          <w:tcPr>
            <w:tcW w:w="1183" w:type="dxa"/>
            <w:vAlign w:val="top"/>
          </w:tcPr>
          <w:p>
            <w:pPr>
              <w:pStyle w:val="TableText"/>
              <w:ind w:left="223"/>
              <w:spacing w:before="92" w:line="195" w:lineRule="auto"/>
              <w:rPr/>
            </w:pPr>
            <w:r>
              <w:rPr>
                <w:spacing w:val="4"/>
              </w:rPr>
              <w:t>4979504</w:t>
            </w:r>
          </w:p>
        </w:tc>
        <w:tc>
          <w:tcPr>
            <w:tcW w:w="1377" w:type="dxa"/>
            <w:vAlign w:val="top"/>
          </w:tcPr>
          <w:p>
            <w:pPr>
              <w:pStyle w:val="TableText"/>
              <w:ind w:left="561"/>
              <w:spacing w:before="92" w:line="195" w:lineRule="auto"/>
              <w:rPr/>
            </w:pPr>
            <w:r>
              <w:rPr/>
              <w:t>7.</w:t>
            </w:r>
            <w:r>
              <w:rPr>
                <w:spacing w:val="-25"/>
              </w:rPr>
              <w:t xml:space="preserve"> </w:t>
            </w:r>
            <w:r>
              <w:rPr/>
              <w:t>1</w:t>
            </w:r>
          </w:p>
        </w:tc>
        <w:tc>
          <w:tcPr>
            <w:tcW w:w="1379" w:type="dxa"/>
            <w:vAlign w:val="top"/>
          </w:tcPr>
          <w:p>
            <w:pPr>
              <w:pStyle w:val="TableText"/>
              <w:ind w:left="406"/>
              <w:spacing w:before="92" w:line="195" w:lineRule="auto"/>
              <w:rPr/>
            </w:pPr>
            <w:r>
              <w:rPr>
                <w:spacing w:val="3"/>
              </w:rPr>
              <w:t>975.50</w:t>
            </w:r>
          </w:p>
        </w:tc>
        <w:tc>
          <w:tcPr>
            <w:tcW w:w="2780" w:type="dxa"/>
            <w:vAlign w:val="top"/>
          </w:tcPr>
          <w:p>
            <w:pPr>
              <w:ind w:left="660"/>
              <w:spacing w:before="55"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6" w:hRule="atLeast"/>
        </w:trPr>
        <w:tc>
          <w:tcPr>
            <w:tcW w:w="1187" w:type="dxa"/>
            <w:vAlign w:val="top"/>
          </w:tcPr>
          <w:p>
            <w:pPr>
              <w:pStyle w:val="TableText"/>
              <w:ind w:left="283"/>
              <w:spacing w:before="56" w:line="221" w:lineRule="auto"/>
              <w:rPr/>
            </w:pPr>
            <w:r>
              <w:rPr>
                <w:spacing w:val="4"/>
              </w:rPr>
              <w:t>4(</w:t>
            </w:r>
            <w:r>
              <w:rPr>
                <w:rFonts w:ascii="SimSun" w:hAnsi="SimSun" w:eastAsia="SimSun" w:cs="SimSun"/>
                <w:spacing w:val="4"/>
              </w:rPr>
              <w:t>观</w:t>
            </w:r>
            <w:r>
              <w:rPr>
                <w:rFonts w:ascii="SimSun" w:hAnsi="SimSun" w:eastAsia="SimSun" w:cs="SimSun"/>
                <w:spacing w:val="-44"/>
              </w:rPr>
              <w:t xml:space="preserve"> </w:t>
            </w:r>
            <w:r>
              <w:rPr>
                <w:spacing w:val="4"/>
              </w:rPr>
              <w:t>2)</w:t>
            </w:r>
          </w:p>
        </w:tc>
        <w:tc>
          <w:tcPr>
            <w:tcW w:w="1377" w:type="dxa"/>
            <w:vAlign w:val="top"/>
          </w:tcPr>
          <w:p>
            <w:pPr>
              <w:pStyle w:val="TableText"/>
              <w:ind w:left="269"/>
              <w:spacing w:before="92" w:line="195" w:lineRule="auto"/>
              <w:rPr/>
            </w:pPr>
            <w:r>
              <w:rPr>
                <w:spacing w:val="4"/>
              </w:rPr>
              <w:t>20632732</w:t>
            </w:r>
          </w:p>
        </w:tc>
        <w:tc>
          <w:tcPr>
            <w:tcW w:w="1183" w:type="dxa"/>
            <w:vAlign w:val="top"/>
          </w:tcPr>
          <w:p>
            <w:pPr>
              <w:pStyle w:val="TableText"/>
              <w:ind w:left="223"/>
              <w:spacing w:before="92" w:line="195" w:lineRule="auto"/>
              <w:rPr/>
            </w:pPr>
            <w:r>
              <w:rPr>
                <w:spacing w:val="4"/>
              </w:rPr>
              <w:t>4979610</w:t>
            </w:r>
          </w:p>
        </w:tc>
        <w:tc>
          <w:tcPr>
            <w:tcW w:w="1377" w:type="dxa"/>
            <w:vAlign w:val="top"/>
          </w:tcPr>
          <w:p>
            <w:pPr>
              <w:pStyle w:val="TableText"/>
              <w:ind w:left="562"/>
              <w:spacing w:before="92" w:line="195" w:lineRule="auto"/>
              <w:rPr/>
            </w:pPr>
            <w:r>
              <w:rPr>
                <w:spacing w:val="1"/>
              </w:rPr>
              <w:t>6.0</w:t>
            </w:r>
          </w:p>
        </w:tc>
        <w:tc>
          <w:tcPr>
            <w:tcW w:w="1379" w:type="dxa"/>
            <w:vAlign w:val="top"/>
          </w:tcPr>
          <w:p>
            <w:pPr>
              <w:pStyle w:val="TableText"/>
              <w:ind w:left="406"/>
              <w:spacing w:before="92" w:line="195" w:lineRule="auto"/>
              <w:rPr/>
            </w:pPr>
            <w:r>
              <w:rPr>
                <w:spacing w:val="3"/>
              </w:rPr>
              <w:t>975.50</w:t>
            </w:r>
          </w:p>
        </w:tc>
        <w:tc>
          <w:tcPr>
            <w:tcW w:w="2780" w:type="dxa"/>
            <w:vAlign w:val="top"/>
          </w:tcPr>
          <w:p>
            <w:pPr>
              <w:ind w:left="660"/>
              <w:spacing w:before="56"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5" w:hRule="atLeast"/>
        </w:trPr>
        <w:tc>
          <w:tcPr>
            <w:tcW w:w="1187" w:type="dxa"/>
            <w:vAlign w:val="top"/>
          </w:tcPr>
          <w:p>
            <w:pPr>
              <w:pStyle w:val="TableText"/>
              <w:ind w:left="547"/>
              <w:spacing w:before="95" w:line="192" w:lineRule="auto"/>
              <w:rPr/>
            </w:pPr>
            <w:r>
              <w:rPr/>
              <w:t>5</w:t>
            </w:r>
          </w:p>
        </w:tc>
        <w:tc>
          <w:tcPr>
            <w:tcW w:w="1377" w:type="dxa"/>
            <w:vAlign w:val="top"/>
          </w:tcPr>
          <w:p>
            <w:pPr>
              <w:pStyle w:val="TableText"/>
              <w:ind w:left="269"/>
              <w:spacing w:before="92" w:line="195" w:lineRule="auto"/>
              <w:rPr/>
            </w:pPr>
            <w:r>
              <w:rPr>
                <w:spacing w:val="4"/>
              </w:rPr>
              <w:t>20631789</w:t>
            </w:r>
          </w:p>
        </w:tc>
        <w:tc>
          <w:tcPr>
            <w:tcW w:w="1183" w:type="dxa"/>
            <w:vAlign w:val="top"/>
          </w:tcPr>
          <w:p>
            <w:pPr>
              <w:pStyle w:val="TableText"/>
              <w:ind w:left="223"/>
              <w:spacing w:before="92" w:line="195" w:lineRule="auto"/>
              <w:rPr/>
            </w:pPr>
            <w:r>
              <w:rPr>
                <w:spacing w:val="4"/>
              </w:rPr>
              <w:t>4979903</w:t>
            </w:r>
          </w:p>
        </w:tc>
        <w:tc>
          <w:tcPr>
            <w:tcW w:w="1377" w:type="dxa"/>
            <w:vAlign w:val="top"/>
          </w:tcPr>
          <w:p>
            <w:pPr>
              <w:pStyle w:val="TableText"/>
              <w:ind w:left="557"/>
              <w:spacing w:before="92" w:line="195" w:lineRule="auto"/>
              <w:rPr/>
            </w:pPr>
            <w:r>
              <w:rPr>
                <w:spacing w:val="1"/>
              </w:rPr>
              <w:t>2.</w:t>
            </w:r>
            <w:r>
              <w:rPr>
                <w:spacing w:val="-25"/>
              </w:rPr>
              <w:t xml:space="preserve"> </w:t>
            </w:r>
            <w:r>
              <w:rPr>
                <w:spacing w:val="1"/>
              </w:rPr>
              <w:t>1</w:t>
            </w:r>
          </w:p>
        </w:tc>
        <w:tc>
          <w:tcPr>
            <w:tcW w:w="1379" w:type="dxa"/>
            <w:vAlign w:val="top"/>
          </w:tcPr>
          <w:p>
            <w:pPr>
              <w:pStyle w:val="TableText"/>
              <w:ind w:left="406"/>
              <w:spacing w:before="92" w:line="195" w:lineRule="auto"/>
              <w:rPr/>
            </w:pPr>
            <w:r>
              <w:rPr>
                <w:spacing w:val="3"/>
              </w:rPr>
              <w:t>973.50</w:t>
            </w:r>
          </w:p>
        </w:tc>
        <w:tc>
          <w:tcPr>
            <w:tcW w:w="2780" w:type="dxa"/>
            <w:vAlign w:val="top"/>
          </w:tcPr>
          <w:p>
            <w:pPr>
              <w:rPr>
                <w:rFonts w:ascii="Arial"/>
                <w:sz w:val="21"/>
              </w:rPr>
            </w:pPr>
            <w:r/>
          </w:p>
        </w:tc>
      </w:tr>
      <w:tr>
        <w:trPr>
          <w:trHeight w:val="326" w:hRule="atLeast"/>
        </w:trPr>
        <w:tc>
          <w:tcPr>
            <w:tcW w:w="1187" w:type="dxa"/>
            <w:vAlign w:val="top"/>
          </w:tcPr>
          <w:p>
            <w:pPr>
              <w:pStyle w:val="TableText"/>
              <w:ind w:left="546"/>
              <w:spacing w:before="93" w:line="195" w:lineRule="auto"/>
              <w:rPr/>
            </w:pPr>
            <w:r>
              <w:rPr/>
              <w:t>6</w:t>
            </w:r>
          </w:p>
        </w:tc>
        <w:tc>
          <w:tcPr>
            <w:tcW w:w="1377" w:type="dxa"/>
            <w:vAlign w:val="top"/>
          </w:tcPr>
          <w:p>
            <w:pPr>
              <w:pStyle w:val="TableText"/>
              <w:ind w:left="269"/>
              <w:spacing w:before="93" w:line="195" w:lineRule="auto"/>
              <w:rPr/>
            </w:pPr>
            <w:r>
              <w:rPr>
                <w:spacing w:val="4"/>
              </w:rPr>
              <w:t>20632567</w:t>
            </w:r>
          </w:p>
        </w:tc>
        <w:tc>
          <w:tcPr>
            <w:tcW w:w="1183" w:type="dxa"/>
            <w:vAlign w:val="top"/>
          </w:tcPr>
          <w:p>
            <w:pPr>
              <w:pStyle w:val="TableText"/>
              <w:ind w:left="223"/>
              <w:spacing w:before="93" w:line="195" w:lineRule="auto"/>
              <w:rPr/>
            </w:pPr>
            <w:r>
              <w:rPr>
                <w:spacing w:val="4"/>
              </w:rPr>
              <w:t>4982173</w:t>
            </w:r>
          </w:p>
        </w:tc>
        <w:tc>
          <w:tcPr>
            <w:tcW w:w="1377" w:type="dxa"/>
            <w:vAlign w:val="top"/>
          </w:tcPr>
          <w:p>
            <w:pPr>
              <w:pStyle w:val="TableText"/>
              <w:ind w:left="562"/>
              <w:spacing w:before="93" w:line="195" w:lineRule="auto"/>
              <w:rPr/>
            </w:pPr>
            <w:r>
              <w:rPr>
                <w:spacing w:val="1"/>
              </w:rPr>
              <w:t>6.3</w:t>
            </w:r>
          </w:p>
        </w:tc>
        <w:tc>
          <w:tcPr>
            <w:tcW w:w="1379" w:type="dxa"/>
            <w:vAlign w:val="top"/>
          </w:tcPr>
          <w:p>
            <w:pPr>
              <w:pStyle w:val="TableText"/>
              <w:ind w:left="406"/>
              <w:spacing w:before="93" w:line="195" w:lineRule="auto"/>
              <w:rPr/>
            </w:pPr>
            <w:r>
              <w:rPr>
                <w:spacing w:val="3"/>
              </w:rPr>
              <w:t>972.50</w:t>
            </w:r>
          </w:p>
        </w:tc>
        <w:tc>
          <w:tcPr>
            <w:tcW w:w="2780" w:type="dxa"/>
            <w:vAlign w:val="top"/>
          </w:tcPr>
          <w:p>
            <w:pPr>
              <w:rPr>
                <w:rFonts w:ascii="Arial"/>
                <w:sz w:val="21"/>
              </w:rPr>
            </w:pPr>
            <w:r/>
          </w:p>
        </w:tc>
      </w:tr>
      <w:tr>
        <w:trPr>
          <w:trHeight w:val="326" w:hRule="atLeast"/>
        </w:trPr>
        <w:tc>
          <w:tcPr>
            <w:tcW w:w="1187" w:type="dxa"/>
            <w:vAlign w:val="top"/>
          </w:tcPr>
          <w:p>
            <w:pPr>
              <w:pStyle w:val="TableText"/>
              <w:ind w:left="317"/>
              <w:spacing w:before="89" w:line="201" w:lineRule="auto"/>
              <w:rPr/>
            </w:pPr>
            <w:r>
              <w:rPr>
                <w:spacing w:val="3"/>
              </w:rPr>
              <w:t>7(17#)</w:t>
            </w:r>
          </w:p>
        </w:tc>
        <w:tc>
          <w:tcPr>
            <w:tcW w:w="1377" w:type="dxa"/>
            <w:vAlign w:val="top"/>
          </w:tcPr>
          <w:p>
            <w:pPr>
              <w:pStyle w:val="TableText"/>
              <w:ind w:left="273"/>
              <w:spacing w:before="93" w:line="195" w:lineRule="auto"/>
              <w:rPr/>
            </w:pPr>
            <w:r>
              <w:rPr>
                <w:spacing w:val="3"/>
              </w:rPr>
              <w:t>20631192</w:t>
            </w:r>
          </w:p>
        </w:tc>
        <w:tc>
          <w:tcPr>
            <w:tcW w:w="1183" w:type="dxa"/>
            <w:vAlign w:val="top"/>
          </w:tcPr>
          <w:p>
            <w:pPr>
              <w:pStyle w:val="TableText"/>
              <w:ind w:left="223"/>
              <w:spacing w:before="93" w:line="195" w:lineRule="auto"/>
              <w:rPr/>
            </w:pPr>
            <w:r>
              <w:rPr>
                <w:spacing w:val="4"/>
              </w:rPr>
              <w:t>4983942</w:t>
            </w:r>
          </w:p>
        </w:tc>
        <w:tc>
          <w:tcPr>
            <w:tcW w:w="1377" w:type="dxa"/>
            <w:vAlign w:val="top"/>
          </w:tcPr>
          <w:p>
            <w:pPr>
              <w:pStyle w:val="TableText"/>
              <w:ind w:left="562"/>
              <w:spacing w:before="93" w:line="195" w:lineRule="auto"/>
              <w:rPr/>
            </w:pPr>
            <w:r>
              <w:rPr>
                <w:spacing w:val="1"/>
              </w:rPr>
              <w:t>3.0</w:t>
            </w:r>
          </w:p>
        </w:tc>
        <w:tc>
          <w:tcPr>
            <w:tcW w:w="1379" w:type="dxa"/>
            <w:vAlign w:val="top"/>
          </w:tcPr>
          <w:p>
            <w:pPr>
              <w:pStyle w:val="TableText"/>
              <w:ind w:left="406"/>
              <w:spacing w:before="93" w:line="195" w:lineRule="auto"/>
              <w:rPr/>
            </w:pPr>
            <w:r>
              <w:rPr>
                <w:spacing w:val="3"/>
              </w:rPr>
              <w:t>968.96</w:t>
            </w:r>
          </w:p>
        </w:tc>
        <w:tc>
          <w:tcPr>
            <w:tcW w:w="2780" w:type="dxa"/>
            <w:vAlign w:val="top"/>
          </w:tcPr>
          <w:p>
            <w:pPr>
              <w:rPr>
                <w:rFonts w:ascii="Arial"/>
                <w:sz w:val="21"/>
              </w:rPr>
            </w:pPr>
            <w:r/>
          </w:p>
        </w:tc>
      </w:tr>
      <w:tr>
        <w:trPr>
          <w:trHeight w:val="326" w:hRule="atLeast"/>
        </w:trPr>
        <w:tc>
          <w:tcPr>
            <w:tcW w:w="1187" w:type="dxa"/>
            <w:vAlign w:val="top"/>
          </w:tcPr>
          <w:p>
            <w:pPr>
              <w:pStyle w:val="TableText"/>
              <w:ind w:left="550"/>
              <w:spacing w:before="94" w:line="195" w:lineRule="auto"/>
              <w:rPr/>
            </w:pPr>
            <w:r>
              <w:rPr/>
              <w:t>8</w:t>
            </w:r>
          </w:p>
        </w:tc>
        <w:tc>
          <w:tcPr>
            <w:tcW w:w="1377" w:type="dxa"/>
            <w:vAlign w:val="top"/>
          </w:tcPr>
          <w:p>
            <w:pPr>
              <w:pStyle w:val="TableText"/>
              <w:ind w:left="269"/>
              <w:spacing w:before="94" w:line="195" w:lineRule="auto"/>
              <w:rPr/>
            </w:pPr>
            <w:r>
              <w:rPr>
                <w:spacing w:val="4"/>
              </w:rPr>
              <w:t>20632348</w:t>
            </w:r>
          </w:p>
        </w:tc>
        <w:tc>
          <w:tcPr>
            <w:tcW w:w="1183" w:type="dxa"/>
            <w:vAlign w:val="top"/>
          </w:tcPr>
          <w:p>
            <w:pPr>
              <w:pStyle w:val="TableText"/>
              <w:ind w:left="223"/>
              <w:spacing w:before="94" w:line="195" w:lineRule="auto"/>
              <w:rPr/>
            </w:pPr>
            <w:r>
              <w:rPr>
                <w:spacing w:val="4"/>
              </w:rPr>
              <w:t>4983685</w:t>
            </w:r>
          </w:p>
        </w:tc>
        <w:tc>
          <w:tcPr>
            <w:tcW w:w="1377" w:type="dxa"/>
            <w:vAlign w:val="top"/>
          </w:tcPr>
          <w:p>
            <w:pPr>
              <w:pStyle w:val="TableText"/>
              <w:ind w:left="562"/>
              <w:spacing w:before="94" w:line="195" w:lineRule="auto"/>
              <w:rPr/>
            </w:pPr>
            <w:r>
              <w:rPr>
                <w:spacing w:val="1"/>
              </w:rPr>
              <w:t>6.3</w:t>
            </w:r>
          </w:p>
        </w:tc>
        <w:tc>
          <w:tcPr>
            <w:tcW w:w="1379" w:type="dxa"/>
            <w:vAlign w:val="top"/>
          </w:tcPr>
          <w:p>
            <w:pPr>
              <w:pStyle w:val="TableText"/>
              <w:ind w:left="406"/>
              <w:spacing w:before="94" w:line="195" w:lineRule="auto"/>
              <w:rPr/>
            </w:pPr>
            <w:r>
              <w:rPr>
                <w:spacing w:val="3"/>
              </w:rPr>
              <w:t>969.60</w:t>
            </w:r>
          </w:p>
        </w:tc>
        <w:tc>
          <w:tcPr>
            <w:tcW w:w="2780" w:type="dxa"/>
            <w:vAlign w:val="top"/>
          </w:tcPr>
          <w:p>
            <w:pPr>
              <w:pStyle w:val="TableText"/>
              <w:ind w:left="1106"/>
              <w:spacing w:before="58" w:line="227" w:lineRule="auto"/>
              <w:rPr/>
            </w:pPr>
            <w:r>
              <w:rPr>
                <w:rFonts w:ascii="SimSun" w:hAnsi="SimSun" w:eastAsia="SimSun" w:cs="SimSun"/>
                <w:spacing w:val="2"/>
              </w:rPr>
              <w:t>板凳</w:t>
            </w:r>
            <w:r>
              <w:rPr>
                <w:rFonts w:ascii="SimSun" w:hAnsi="SimSun" w:eastAsia="SimSun" w:cs="SimSun"/>
                <w:spacing w:val="-39"/>
              </w:rPr>
              <w:t xml:space="preserve"> </w:t>
            </w:r>
            <w:r>
              <w:rPr>
                <w:spacing w:val="2"/>
              </w:rPr>
              <w:t>2</w:t>
            </w:r>
          </w:p>
        </w:tc>
      </w:tr>
      <w:tr>
        <w:trPr>
          <w:trHeight w:val="326" w:hRule="atLeast"/>
        </w:trPr>
        <w:tc>
          <w:tcPr>
            <w:tcW w:w="1187" w:type="dxa"/>
            <w:vAlign w:val="top"/>
          </w:tcPr>
          <w:p>
            <w:pPr>
              <w:pStyle w:val="TableText"/>
              <w:ind w:left="545"/>
              <w:spacing w:before="94" w:line="195" w:lineRule="auto"/>
              <w:rPr/>
            </w:pPr>
            <w:r>
              <w:rPr/>
              <w:t>9</w:t>
            </w:r>
          </w:p>
        </w:tc>
        <w:tc>
          <w:tcPr>
            <w:tcW w:w="1377" w:type="dxa"/>
            <w:vAlign w:val="top"/>
          </w:tcPr>
          <w:p>
            <w:pPr>
              <w:pStyle w:val="TableText"/>
              <w:ind w:left="269"/>
              <w:spacing w:before="94" w:line="195" w:lineRule="auto"/>
              <w:rPr/>
            </w:pPr>
            <w:r>
              <w:rPr>
                <w:spacing w:val="4"/>
              </w:rPr>
              <w:t>20631566</w:t>
            </w:r>
          </w:p>
        </w:tc>
        <w:tc>
          <w:tcPr>
            <w:tcW w:w="1183" w:type="dxa"/>
            <w:vAlign w:val="top"/>
          </w:tcPr>
          <w:p>
            <w:pPr>
              <w:pStyle w:val="TableText"/>
              <w:ind w:left="223"/>
              <w:spacing w:before="94" w:line="195" w:lineRule="auto"/>
              <w:rPr/>
            </w:pPr>
            <w:r>
              <w:rPr>
                <w:spacing w:val="4"/>
              </w:rPr>
              <w:t>4981997</w:t>
            </w:r>
          </w:p>
        </w:tc>
        <w:tc>
          <w:tcPr>
            <w:tcW w:w="1377" w:type="dxa"/>
            <w:vAlign w:val="top"/>
          </w:tcPr>
          <w:p>
            <w:pPr>
              <w:pStyle w:val="TableText"/>
              <w:ind w:left="557"/>
              <w:spacing w:before="94" w:line="195" w:lineRule="auto"/>
              <w:rPr/>
            </w:pPr>
            <w:r>
              <w:rPr>
                <w:spacing w:val="2"/>
              </w:rPr>
              <w:t>2.2</w:t>
            </w:r>
          </w:p>
        </w:tc>
        <w:tc>
          <w:tcPr>
            <w:tcW w:w="1379" w:type="dxa"/>
            <w:vAlign w:val="top"/>
          </w:tcPr>
          <w:p>
            <w:pPr>
              <w:pStyle w:val="TableText"/>
              <w:ind w:left="406"/>
              <w:spacing w:before="94" w:line="195" w:lineRule="auto"/>
              <w:rPr/>
            </w:pPr>
            <w:r>
              <w:rPr>
                <w:spacing w:val="3"/>
              </w:rPr>
              <w:t>967.80</w:t>
            </w:r>
          </w:p>
        </w:tc>
        <w:tc>
          <w:tcPr>
            <w:tcW w:w="2780" w:type="dxa"/>
            <w:vAlign w:val="top"/>
          </w:tcPr>
          <w:p>
            <w:pPr>
              <w:rPr>
                <w:rFonts w:ascii="Arial"/>
                <w:sz w:val="21"/>
              </w:rPr>
            </w:pPr>
            <w:r/>
          </w:p>
        </w:tc>
      </w:tr>
    </w:tbl>
    <w:p>
      <w:pPr>
        <w:pStyle w:val="BodyText"/>
        <w:spacing w:line="78" w:lineRule="exact"/>
        <w:rPr>
          <w:sz w:val="6"/>
        </w:rPr>
      </w:pPr>
      <w:r/>
    </w:p>
    <w:p>
      <w:pPr>
        <w:spacing w:line="78" w:lineRule="exact"/>
        <w:sectPr>
          <w:headerReference w:type="default" r:id="rId418"/>
          <w:footerReference w:type="default" r:id="rId419"/>
          <w:pgSz w:w="11906" w:h="16838"/>
          <w:pgMar w:top="1170" w:right="1307" w:bottom="1080" w:left="1310" w:header="837" w:footer="918" w:gutter="0"/>
        </w:sectPr>
        <w:rPr>
          <w:sz w:val="6"/>
          <w:szCs w:val="6"/>
        </w:rPr>
      </w:pPr>
    </w:p>
    <w:p>
      <w:pPr>
        <w:spacing w:before="6"/>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7"/>
        <w:gridCol w:w="1377"/>
        <w:gridCol w:w="1183"/>
        <w:gridCol w:w="1377"/>
        <w:gridCol w:w="1379"/>
        <w:gridCol w:w="2780"/>
      </w:tblGrid>
      <w:tr>
        <w:trPr>
          <w:trHeight w:val="328" w:hRule="atLeast"/>
        </w:trPr>
        <w:tc>
          <w:tcPr>
            <w:tcW w:w="1187" w:type="dxa"/>
            <w:vAlign w:val="top"/>
            <w:vMerge w:val="restart"/>
            <w:tcBorders>
              <w:bottom w:val="nil"/>
            </w:tcBorders>
          </w:tcPr>
          <w:p>
            <w:pPr>
              <w:ind w:left="384"/>
              <w:spacing w:before="221" w:line="228" w:lineRule="auto"/>
              <w:rPr>
                <w:rFonts w:ascii="SimSun" w:hAnsi="SimSun" w:eastAsia="SimSun" w:cs="SimSun"/>
                <w:sz w:val="20"/>
                <w:szCs w:val="20"/>
              </w:rPr>
            </w:pPr>
            <w:r>
              <w:rPr>
                <w:rFonts w:ascii="SimSun" w:hAnsi="SimSun" w:eastAsia="SimSun" w:cs="SimSun"/>
                <w:sz w:val="20"/>
                <w:szCs w:val="20"/>
                <w:spacing w:val="4"/>
              </w:rPr>
              <w:t>井号</w:t>
            </w:r>
          </w:p>
        </w:tc>
        <w:tc>
          <w:tcPr>
            <w:tcW w:w="2560" w:type="dxa"/>
            <w:vAlign w:val="top"/>
            <w:gridSpan w:val="2"/>
          </w:tcPr>
          <w:p>
            <w:pPr>
              <w:ind w:left="1075"/>
              <w:spacing w:before="58" w:line="228" w:lineRule="auto"/>
              <w:rPr>
                <w:rFonts w:ascii="SimSun" w:hAnsi="SimSun" w:eastAsia="SimSun" w:cs="SimSun"/>
                <w:sz w:val="20"/>
                <w:szCs w:val="20"/>
              </w:rPr>
            </w:pPr>
            <w:r>
              <w:rPr>
                <w:rFonts w:ascii="SimSun" w:hAnsi="SimSun" w:eastAsia="SimSun" w:cs="SimSun"/>
                <w:sz w:val="20"/>
                <w:szCs w:val="20"/>
                <w:spacing w:val="4"/>
              </w:rPr>
              <w:t>坐标</w:t>
            </w:r>
          </w:p>
        </w:tc>
        <w:tc>
          <w:tcPr>
            <w:tcW w:w="1377" w:type="dxa"/>
            <w:vAlign w:val="top"/>
            <w:vMerge w:val="restart"/>
            <w:tcBorders>
              <w:bottom w:val="nil"/>
            </w:tcBorders>
          </w:tcPr>
          <w:p>
            <w:pPr>
              <w:pStyle w:val="TableText"/>
              <w:ind w:left="125"/>
              <w:spacing w:before="221" w:line="221" w:lineRule="auto"/>
              <w:rPr/>
            </w:pPr>
            <w:r>
              <w:rPr>
                <w:rFonts w:ascii="SimSun" w:hAnsi="SimSun" w:eastAsia="SimSun" w:cs="SimSun"/>
                <w:spacing w:val="5"/>
              </w:rPr>
              <w:t>水位埋深</w:t>
            </w:r>
            <w:r>
              <w:rPr>
                <w:spacing w:val="5"/>
              </w:rPr>
              <w:t>(m)</w:t>
            </w:r>
          </w:p>
        </w:tc>
        <w:tc>
          <w:tcPr>
            <w:tcW w:w="1379" w:type="dxa"/>
            <w:vAlign w:val="top"/>
            <w:vMerge w:val="restart"/>
            <w:tcBorders>
              <w:bottom w:val="nil"/>
            </w:tcBorders>
          </w:tcPr>
          <w:p>
            <w:pPr>
              <w:pStyle w:val="TableText"/>
              <w:ind w:left="123"/>
              <w:spacing w:before="221" w:line="221" w:lineRule="auto"/>
              <w:rPr/>
            </w:pPr>
            <w:r>
              <w:rPr>
                <w:rFonts w:ascii="SimSun" w:hAnsi="SimSun" w:eastAsia="SimSun" w:cs="SimSun"/>
                <w:spacing w:val="6"/>
              </w:rPr>
              <w:t>水位标高</w:t>
            </w:r>
            <w:r>
              <w:rPr>
                <w:spacing w:val="6"/>
              </w:rPr>
              <w:t>(m)</w:t>
            </w:r>
          </w:p>
        </w:tc>
        <w:tc>
          <w:tcPr>
            <w:tcW w:w="2780" w:type="dxa"/>
            <w:vAlign w:val="top"/>
            <w:vMerge w:val="restart"/>
            <w:tcBorders>
              <w:bottom w:val="nil"/>
            </w:tcBorders>
          </w:tcPr>
          <w:p>
            <w:pPr>
              <w:ind w:left="1187"/>
              <w:spacing w:before="221"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6" w:hRule="atLeast"/>
        </w:trPr>
        <w:tc>
          <w:tcPr>
            <w:tcW w:w="1187" w:type="dxa"/>
            <w:vAlign w:val="top"/>
            <w:vMerge w:val="continue"/>
            <w:tcBorders>
              <w:top w:val="nil"/>
            </w:tcBorders>
          </w:tcPr>
          <w:p>
            <w:pPr>
              <w:rPr>
                <w:rFonts w:ascii="Arial"/>
                <w:sz w:val="21"/>
              </w:rPr>
            </w:pPr>
            <w:r/>
          </w:p>
        </w:tc>
        <w:tc>
          <w:tcPr>
            <w:tcW w:w="1377" w:type="dxa"/>
            <w:vAlign w:val="top"/>
          </w:tcPr>
          <w:p>
            <w:pPr>
              <w:pStyle w:val="TableText"/>
              <w:ind w:left="632"/>
              <w:spacing w:before="140" w:line="138" w:lineRule="exact"/>
              <w:rPr/>
            </w:pPr>
            <w:r>
              <w:rPr>
                <w:spacing w:val="1"/>
              </w:rPr>
              <w:t>x</w:t>
            </w:r>
          </w:p>
        </w:tc>
        <w:tc>
          <w:tcPr>
            <w:tcW w:w="1183" w:type="dxa"/>
            <w:vAlign w:val="top"/>
          </w:tcPr>
          <w:p>
            <w:pPr>
              <w:pStyle w:val="TableText"/>
              <w:ind w:left="535"/>
              <w:spacing w:before="140" w:line="140" w:lineRule="exact"/>
              <w:rPr/>
            </w:pPr>
            <w:r>
              <w:rPr>
                <w:spacing w:val="3"/>
                <w:position w:val="2"/>
              </w:rPr>
              <w:t>y</w:t>
            </w:r>
          </w:p>
        </w:tc>
        <w:tc>
          <w:tcPr>
            <w:tcW w:w="1377" w:type="dxa"/>
            <w:vAlign w:val="top"/>
            <w:vMerge w:val="continue"/>
            <w:tcBorders>
              <w:top w:val="nil"/>
            </w:tcBorders>
          </w:tcPr>
          <w:p>
            <w:pPr>
              <w:rPr>
                <w:rFonts w:ascii="Arial"/>
                <w:sz w:val="21"/>
              </w:rPr>
            </w:pPr>
            <w:r/>
          </w:p>
        </w:tc>
        <w:tc>
          <w:tcPr>
            <w:tcW w:w="1379" w:type="dxa"/>
            <w:vAlign w:val="top"/>
            <w:vMerge w:val="continue"/>
            <w:tcBorders>
              <w:top w:val="nil"/>
            </w:tcBorders>
          </w:tcPr>
          <w:p>
            <w:pPr>
              <w:rPr>
                <w:rFonts w:ascii="Arial"/>
                <w:sz w:val="21"/>
              </w:rPr>
            </w:pPr>
            <w:r/>
          </w:p>
        </w:tc>
        <w:tc>
          <w:tcPr>
            <w:tcW w:w="2780" w:type="dxa"/>
            <w:vAlign w:val="top"/>
            <w:vMerge w:val="continue"/>
            <w:tcBorders>
              <w:top w:val="nil"/>
            </w:tcBorders>
          </w:tcPr>
          <w:p>
            <w:pPr>
              <w:rPr>
                <w:rFonts w:ascii="Arial"/>
                <w:sz w:val="21"/>
              </w:rPr>
            </w:pPr>
            <w:r/>
          </w:p>
        </w:tc>
      </w:tr>
      <w:tr>
        <w:trPr>
          <w:trHeight w:val="326" w:hRule="atLeast"/>
        </w:trPr>
        <w:tc>
          <w:tcPr>
            <w:tcW w:w="1187" w:type="dxa"/>
            <w:vAlign w:val="top"/>
          </w:tcPr>
          <w:p>
            <w:pPr>
              <w:pStyle w:val="TableText"/>
              <w:ind w:left="509"/>
              <w:spacing w:before="89" w:line="195" w:lineRule="auto"/>
              <w:rPr/>
            </w:pPr>
            <w:r>
              <w:rPr>
                <w:spacing w:val="-8"/>
              </w:rPr>
              <w:t>10</w:t>
            </w:r>
          </w:p>
        </w:tc>
        <w:tc>
          <w:tcPr>
            <w:tcW w:w="1377" w:type="dxa"/>
            <w:vAlign w:val="top"/>
          </w:tcPr>
          <w:p>
            <w:pPr>
              <w:pStyle w:val="TableText"/>
              <w:ind w:left="269"/>
              <w:spacing w:before="89" w:line="195" w:lineRule="auto"/>
              <w:rPr/>
            </w:pPr>
            <w:r>
              <w:rPr>
                <w:spacing w:val="4"/>
              </w:rPr>
              <w:t>20632643</w:t>
            </w:r>
          </w:p>
        </w:tc>
        <w:tc>
          <w:tcPr>
            <w:tcW w:w="1183" w:type="dxa"/>
            <w:vAlign w:val="top"/>
          </w:tcPr>
          <w:p>
            <w:pPr>
              <w:pStyle w:val="TableText"/>
              <w:ind w:left="223"/>
              <w:spacing w:before="89" w:line="195" w:lineRule="auto"/>
              <w:rPr/>
            </w:pPr>
            <w:r>
              <w:rPr>
                <w:spacing w:val="4"/>
              </w:rPr>
              <w:t>4983868</w:t>
            </w:r>
          </w:p>
        </w:tc>
        <w:tc>
          <w:tcPr>
            <w:tcW w:w="1377" w:type="dxa"/>
            <w:vAlign w:val="top"/>
          </w:tcPr>
          <w:p>
            <w:pPr>
              <w:pStyle w:val="TableText"/>
              <w:ind w:left="561"/>
              <w:spacing w:before="89" w:line="195" w:lineRule="auto"/>
              <w:rPr/>
            </w:pPr>
            <w:r>
              <w:rPr/>
              <w:t>7.</w:t>
            </w:r>
            <w:r>
              <w:rPr>
                <w:spacing w:val="-25"/>
              </w:rPr>
              <w:t xml:space="preserve"> </w:t>
            </w:r>
            <w:r>
              <w:rPr/>
              <w:t>1</w:t>
            </w:r>
          </w:p>
        </w:tc>
        <w:tc>
          <w:tcPr>
            <w:tcW w:w="1379" w:type="dxa"/>
            <w:vAlign w:val="top"/>
          </w:tcPr>
          <w:p>
            <w:pPr>
              <w:pStyle w:val="TableText"/>
              <w:ind w:left="406"/>
              <w:spacing w:before="89" w:line="195" w:lineRule="auto"/>
              <w:rPr/>
            </w:pPr>
            <w:r>
              <w:rPr>
                <w:spacing w:val="3"/>
              </w:rPr>
              <w:t>970.60</w:t>
            </w:r>
          </w:p>
        </w:tc>
        <w:tc>
          <w:tcPr>
            <w:tcW w:w="2780" w:type="dxa"/>
            <w:vAlign w:val="top"/>
          </w:tcPr>
          <w:p>
            <w:pPr>
              <w:ind w:left="1186"/>
              <w:spacing w:before="54" w:line="228" w:lineRule="auto"/>
              <w:rPr>
                <w:rFonts w:ascii="SimSun" w:hAnsi="SimSun" w:eastAsia="SimSun" w:cs="SimSun"/>
                <w:sz w:val="20"/>
                <w:szCs w:val="20"/>
              </w:rPr>
            </w:pPr>
            <w:r>
              <w:rPr>
                <w:rFonts w:ascii="SimSun" w:hAnsi="SimSun" w:eastAsia="SimSun" w:cs="SimSun"/>
                <w:sz w:val="20"/>
                <w:szCs w:val="20"/>
                <w:spacing w:val="3"/>
              </w:rPr>
              <w:t>乌拉</w:t>
            </w:r>
          </w:p>
        </w:tc>
      </w:tr>
      <w:tr>
        <w:trPr>
          <w:trHeight w:val="326" w:hRule="atLeast"/>
        </w:trPr>
        <w:tc>
          <w:tcPr>
            <w:tcW w:w="1187" w:type="dxa"/>
            <w:vAlign w:val="top"/>
          </w:tcPr>
          <w:p>
            <w:pPr>
              <w:pStyle w:val="TableText"/>
              <w:ind w:left="285"/>
              <w:spacing w:before="85" w:line="201" w:lineRule="auto"/>
              <w:rPr/>
            </w:pPr>
            <w:r>
              <w:rPr>
                <w:spacing w:val="-1"/>
              </w:rPr>
              <w:t>11(15#)</w:t>
            </w:r>
          </w:p>
        </w:tc>
        <w:tc>
          <w:tcPr>
            <w:tcW w:w="1377" w:type="dxa"/>
            <w:vAlign w:val="top"/>
          </w:tcPr>
          <w:p>
            <w:pPr>
              <w:pStyle w:val="TableText"/>
              <w:ind w:left="269"/>
              <w:spacing w:before="89" w:line="195" w:lineRule="auto"/>
              <w:rPr/>
            </w:pPr>
            <w:r>
              <w:rPr>
                <w:spacing w:val="4"/>
              </w:rPr>
              <w:t>20631035</w:t>
            </w:r>
          </w:p>
        </w:tc>
        <w:tc>
          <w:tcPr>
            <w:tcW w:w="1183" w:type="dxa"/>
            <w:vAlign w:val="top"/>
          </w:tcPr>
          <w:p>
            <w:pPr>
              <w:pStyle w:val="TableText"/>
              <w:ind w:left="223"/>
              <w:spacing w:before="89" w:line="195" w:lineRule="auto"/>
              <w:rPr/>
            </w:pPr>
            <w:r>
              <w:rPr>
                <w:spacing w:val="4"/>
              </w:rPr>
              <w:t>4984203</w:t>
            </w:r>
          </w:p>
        </w:tc>
        <w:tc>
          <w:tcPr>
            <w:tcW w:w="1377" w:type="dxa"/>
            <w:vAlign w:val="top"/>
          </w:tcPr>
          <w:p>
            <w:pPr>
              <w:pStyle w:val="TableText"/>
              <w:ind w:left="557"/>
              <w:spacing w:before="89" w:line="195" w:lineRule="auto"/>
              <w:rPr/>
            </w:pPr>
            <w:r>
              <w:rPr>
                <w:spacing w:val="2"/>
              </w:rPr>
              <w:t>2.5</w:t>
            </w:r>
          </w:p>
        </w:tc>
        <w:tc>
          <w:tcPr>
            <w:tcW w:w="1379" w:type="dxa"/>
            <w:vAlign w:val="top"/>
          </w:tcPr>
          <w:p>
            <w:pPr>
              <w:pStyle w:val="TableText"/>
              <w:ind w:left="406"/>
              <w:spacing w:before="89" w:line="195" w:lineRule="auto"/>
              <w:rPr/>
            </w:pPr>
            <w:r>
              <w:rPr>
                <w:spacing w:val="3"/>
              </w:rPr>
              <w:t>967.75</w:t>
            </w:r>
          </w:p>
        </w:tc>
        <w:tc>
          <w:tcPr>
            <w:tcW w:w="2780" w:type="dxa"/>
            <w:vAlign w:val="top"/>
          </w:tcPr>
          <w:p>
            <w:pPr>
              <w:rPr>
                <w:rFonts w:ascii="Arial"/>
                <w:sz w:val="21"/>
              </w:rPr>
            </w:pPr>
            <w:r/>
          </w:p>
        </w:tc>
      </w:tr>
      <w:tr>
        <w:trPr>
          <w:trHeight w:val="326" w:hRule="atLeast"/>
        </w:trPr>
        <w:tc>
          <w:tcPr>
            <w:tcW w:w="1187" w:type="dxa"/>
            <w:vAlign w:val="top"/>
          </w:tcPr>
          <w:p>
            <w:pPr>
              <w:pStyle w:val="TableText"/>
              <w:ind w:left="281"/>
              <w:spacing w:before="86" w:line="201" w:lineRule="auto"/>
              <w:rPr/>
            </w:pPr>
            <w:r>
              <w:rPr>
                <w:spacing w:val="1"/>
              </w:rPr>
              <w:t>12(15#)</w:t>
            </w:r>
          </w:p>
        </w:tc>
        <w:tc>
          <w:tcPr>
            <w:tcW w:w="1377" w:type="dxa"/>
            <w:vAlign w:val="top"/>
          </w:tcPr>
          <w:p>
            <w:pPr>
              <w:pStyle w:val="TableText"/>
              <w:ind w:left="269"/>
              <w:spacing w:before="90" w:line="195" w:lineRule="auto"/>
              <w:rPr/>
            </w:pPr>
            <w:r>
              <w:rPr>
                <w:spacing w:val="4"/>
              </w:rPr>
              <w:t>20630965</w:t>
            </w:r>
          </w:p>
        </w:tc>
        <w:tc>
          <w:tcPr>
            <w:tcW w:w="1183" w:type="dxa"/>
            <w:vAlign w:val="top"/>
          </w:tcPr>
          <w:p>
            <w:pPr>
              <w:pStyle w:val="TableText"/>
              <w:ind w:left="223"/>
              <w:spacing w:before="90" w:line="195" w:lineRule="auto"/>
              <w:rPr/>
            </w:pPr>
            <w:r>
              <w:rPr>
                <w:spacing w:val="4"/>
              </w:rPr>
              <w:t>4984234</w:t>
            </w:r>
          </w:p>
        </w:tc>
        <w:tc>
          <w:tcPr>
            <w:tcW w:w="1377" w:type="dxa"/>
            <w:vAlign w:val="top"/>
          </w:tcPr>
          <w:p>
            <w:pPr>
              <w:pStyle w:val="TableText"/>
              <w:ind w:left="557"/>
              <w:spacing w:before="90" w:line="195" w:lineRule="auto"/>
              <w:rPr/>
            </w:pPr>
            <w:r>
              <w:rPr>
                <w:spacing w:val="2"/>
              </w:rPr>
              <w:t>2.3</w:t>
            </w:r>
          </w:p>
        </w:tc>
        <w:tc>
          <w:tcPr>
            <w:tcW w:w="1379" w:type="dxa"/>
            <w:vAlign w:val="top"/>
          </w:tcPr>
          <w:p>
            <w:pPr>
              <w:pStyle w:val="TableText"/>
              <w:ind w:left="406"/>
              <w:spacing w:before="90" w:line="195" w:lineRule="auto"/>
              <w:rPr/>
            </w:pPr>
            <w:r>
              <w:rPr>
                <w:spacing w:val="3"/>
              </w:rPr>
              <w:t>967.71</w:t>
            </w:r>
          </w:p>
        </w:tc>
        <w:tc>
          <w:tcPr>
            <w:tcW w:w="2780" w:type="dxa"/>
            <w:vAlign w:val="top"/>
          </w:tcPr>
          <w:p>
            <w:pPr>
              <w:rPr>
                <w:rFonts w:ascii="Arial"/>
                <w:sz w:val="21"/>
              </w:rPr>
            </w:pPr>
            <w:r/>
          </w:p>
        </w:tc>
      </w:tr>
      <w:tr>
        <w:trPr>
          <w:trHeight w:val="326" w:hRule="atLeast"/>
        </w:trPr>
        <w:tc>
          <w:tcPr>
            <w:tcW w:w="1187" w:type="dxa"/>
            <w:vAlign w:val="top"/>
          </w:tcPr>
          <w:p>
            <w:pPr>
              <w:pStyle w:val="TableText"/>
              <w:ind w:left="281"/>
              <w:spacing w:before="86" w:line="201" w:lineRule="auto"/>
              <w:rPr/>
            </w:pPr>
            <w:r>
              <w:rPr>
                <w:spacing w:val="1"/>
              </w:rPr>
              <w:t>13(15#)</w:t>
            </w:r>
          </w:p>
        </w:tc>
        <w:tc>
          <w:tcPr>
            <w:tcW w:w="1377" w:type="dxa"/>
            <w:vAlign w:val="top"/>
          </w:tcPr>
          <w:p>
            <w:pPr>
              <w:pStyle w:val="TableText"/>
              <w:ind w:left="269"/>
              <w:spacing w:before="90" w:line="195" w:lineRule="auto"/>
              <w:rPr/>
            </w:pPr>
            <w:r>
              <w:rPr>
                <w:spacing w:val="4"/>
              </w:rPr>
              <w:t>20630908</w:t>
            </w:r>
          </w:p>
        </w:tc>
        <w:tc>
          <w:tcPr>
            <w:tcW w:w="1183" w:type="dxa"/>
            <w:vAlign w:val="top"/>
          </w:tcPr>
          <w:p>
            <w:pPr>
              <w:pStyle w:val="TableText"/>
              <w:ind w:left="223"/>
              <w:spacing w:before="90" w:line="195" w:lineRule="auto"/>
              <w:rPr/>
            </w:pPr>
            <w:r>
              <w:rPr>
                <w:spacing w:val="4"/>
              </w:rPr>
              <w:t>4984230</w:t>
            </w:r>
          </w:p>
        </w:tc>
        <w:tc>
          <w:tcPr>
            <w:tcW w:w="1377" w:type="dxa"/>
            <w:vAlign w:val="top"/>
          </w:tcPr>
          <w:p>
            <w:pPr>
              <w:pStyle w:val="TableText"/>
              <w:ind w:left="557"/>
              <w:spacing w:before="90" w:line="195" w:lineRule="auto"/>
              <w:rPr/>
            </w:pPr>
            <w:r>
              <w:rPr>
                <w:spacing w:val="2"/>
              </w:rPr>
              <w:t>2.2</w:t>
            </w:r>
          </w:p>
        </w:tc>
        <w:tc>
          <w:tcPr>
            <w:tcW w:w="1379" w:type="dxa"/>
            <w:vAlign w:val="top"/>
          </w:tcPr>
          <w:p>
            <w:pPr>
              <w:pStyle w:val="TableText"/>
              <w:ind w:left="406"/>
              <w:spacing w:before="90" w:line="195" w:lineRule="auto"/>
              <w:rPr/>
            </w:pPr>
            <w:r>
              <w:rPr>
                <w:spacing w:val="3"/>
              </w:rPr>
              <w:t>967.68</w:t>
            </w:r>
          </w:p>
        </w:tc>
        <w:tc>
          <w:tcPr>
            <w:tcW w:w="2780" w:type="dxa"/>
            <w:vAlign w:val="top"/>
          </w:tcPr>
          <w:p>
            <w:pPr>
              <w:rPr>
                <w:rFonts w:ascii="Arial"/>
                <w:sz w:val="21"/>
              </w:rPr>
            </w:pPr>
            <w:r/>
          </w:p>
        </w:tc>
      </w:tr>
      <w:tr>
        <w:trPr>
          <w:trHeight w:val="326" w:hRule="atLeast"/>
        </w:trPr>
        <w:tc>
          <w:tcPr>
            <w:tcW w:w="1187" w:type="dxa"/>
            <w:vAlign w:val="top"/>
          </w:tcPr>
          <w:p>
            <w:pPr>
              <w:pStyle w:val="TableText"/>
              <w:ind w:left="509"/>
              <w:spacing w:before="90" w:line="195" w:lineRule="auto"/>
              <w:rPr/>
            </w:pPr>
            <w:r>
              <w:rPr>
                <w:spacing w:val="-8"/>
              </w:rPr>
              <w:t>14</w:t>
            </w:r>
          </w:p>
        </w:tc>
        <w:tc>
          <w:tcPr>
            <w:tcW w:w="1377" w:type="dxa"/>
            <w:vAlign w:val="top"/>
          </w:tcPr>
          <w:p>
            <w:pPr>
              <w:pStyle w:val="TableText"/>
              <w:ind w:left="269"/>
              <w:spacing w:before="90" w:line="195" w:lineRule="auto"/>
              <w:rPr/>
            </w:pPr>
            <w:r>
              <w:rPr>
                <w:spacing w:val="4"/>
              </w:rPr>
              <w:t>20631431</w:t>
            </w:r>
          </w:p>
        </w:tc>
        <w:tc>
          <w:tcPr>
            <w:tcW w:w="1183" w:type="dxa"/>
            <w:vAlign w:val="top"/>
          </w:tcPr>
          <w:p>
            <w:pPr>
              <w:pStyle w:val="TableText"/>
              <w:ind w:left="223"/>
              <w:spacing w:before="90" w:line="195" w:lineRule="auto"/>
              <w:rPr/>
            </w:pPr>
            <w:r>
              <w:rPr>
                <w:spacing w:val="4"/>
              </w:rPr>
              <w:t>4980518</w:t>
            </w:r>
          </w:p>
        </w:tc>
        <w:tc>
          <w:tcPr>
            <w:tcW w:w="1377" w:type="dxa"/>
            <w:vAlign w:val="top"/>
          </w:tcPr>
          <w:p>
            <w:pPr>
              <w:pStyle w:val="TableText"/>
              <w:ind w:left="563"/>
              <w:spacing w:before="90" w:line="195" w:lineRule="auto"/>
              <w:rPr/>
            </w:pPr>
            <w:r>
              <w:rPr/>
              <w:t>5.2</w:t>
            </w:r>
          </w:p>
        </w:tc>
        <w:tc>
          <w:tcPr>
            <w:tcW w:w="1379" w:type="dxa"/>
            <w:vAlign w:val="top"/>
          </w:tcPr>
          <w:p>
            <w:pPr>
              <w:pStyle w:val="TableText"/>
              <w:ind w:left="406"/>
              <w:spacing w:before="90" w:line="195" w:lineRule="auto"/>
              <w:rPr/>
            </w:pPr>
            <w:r>
              <w:rPr>
                <w:spacing w:val="3"/>
              </w:rPr>
              <w:t>971.40</w:t>
            </w:r>
          </w:p>
        </w:tc>
        <w:tc>
          <w:tcPr>
            <w:tcW w:w="2780" w:type="dxa"/>
            <w:vAlign w:val="top"/>
          </w:tcPr>
          <w:p>
            <w:pPr>
              <w:rPr>
                <w:rFonts w:ascii="Arial"/>
                <w:sz w:val="21"/>
              </w:rPr>
            </w:pPr>
            <w:r/>
          </w:p>
        </w:tc>
      </w:tr>
      <w:tr>
        <w:trPr>
          <w:trHeight w:val="650" w:hRule="atLeast"/>
        </w:trPr>
        <w:tc>
          <w:tcPr>
            <w:tcW w:w="1187" w:type="dxa"/>
            <w:vAlign w:val="top"/>
          </w:tcPr>
          <w:p>
            <w:pPr>
              <w:pStyle w:val="TableText"/>
              <w:ind w:left="254"/>
              <w:spacing w:before="218" w:line="221" w:lineRule="auto"/>
              <w:rPr/>
            </w:pPr>
            <w:r>
              <w:rPr>
                <w:spacing w:val="-1"/>
              </w:rPr>
              <w:t>15(</w:t>
            </w:r>
            <w:r>
              <w:rPr>
                <w:rFonts w:ascii="SimSun" w:hAnsi="SimSun" w:eastAsia="SimSun" w:cs="SimSun"/>
                <w:spacing w:val="-1"/>
              </w:rPr>
              <w:t>观</w:t>
            </w:r>
            <w:r>
              <w:rPr>
                <w:rFonts w:ascii="SimSun" w:hAnsi="SimSun" w:eastAsia="SimSun" w:cs="SimSun"/>
                <w:spacing w:val="-35"/>
              </w:rPr>
              <w:t xml:space="preserve"> </w:t>
            </w:r>
            <w:r>
              <w:rPr>
                <w:spacing w:val="-1"/>
              </w:rPr>
              <w:t>5)</w:t>
            </w:r>
          </w:p>
        </w:tc>
        <w:tc>
          <w:tcPr>
            <w:tcW w:w="1377" w:type="dxa"/>
            <w:vAlign w:val="top"/>
          </w:tcPr>
          <w:p>
            <w:pPr>
              <w:pStyle w:val="TableText"/>
              <w:ind w:left="269"/>
              <w:spacing w:before="253" w:line="195" w:lineRule="auto"/>
              <w:rPr/>
            </w:pPr>
            <w:r>
              <w:rPr>
                <w:spacing w:val="4"/>
              </w:rPr>
              <w:t>20631868</w:t>
            </w:r>
          </w:p>
        </w:tc>
        <w:tc>
          <w:tcPr>
            <w:tcW w:w="1183" w:type="dxa"/>
            <w:vAlign w:val="top"/>
          </w:tcPr>
          <w:p>
            <w:pPr>
              <w:pStyle w:val="TableText"/>
              <w:ind w:left="223"/>
              <w:spacing w:before="253" w:line="195" w:lineRule="auto"/>
              <w:rPr/>
            </w:pPr>
            <w:r>
              <w:rPr>
                <w:spacing w:val="4"/>
              </w:rPr>
              <w:t>4982566</w:t>
            </w:r>
          </w:p>
        </w:tc>
        <w:tc>
          <w:tcPr>
            <w:tcW w:w="1377" w:type="dxa"/>
            <w:vAlign w:val="top"/>
          </w:tcPr>
          <w:p>
            <w:pPr>
              <w:pStyle w:val="TableText"/>
              <w:ind w:left="525"/>
              <w:spacing w:before="253" w:line="195" w:lineRule="auto"/>
              <w:rPr/>
            </w:pPr>
            <w:r>
              <w:rPr>
                <w:spacing w:val="-2"/>
              </w:rPr>
              <w:t>15.4</w:t>
            </w:r>
          </w:p>
        </w:tc>
        <w:tc>
          <w:tcPr>
            <w:tcW w:w="1379" w:type="dxa"/>
            <w:vAlign w:val="top"/>
          </w:tcPr>
          <w:p>
            <w:pPr>
              <w:pStyle w:val="TableText"/>
              <w:ind w:left="406"/>
              <w:spacing w:before="253" w:line="195" w:lineRule="auto"/>
              <w:rPr/>
            </w:pPr>
            <w:r>
              <w:rPr>
                <w:spacing w:val="3"/>
              </w:rPr>
              <w:t>959.65</w:t>
            </w:r>
          </w:p>
        </w:tc>
        <w:tc>
          <w:tcPr>
            <w:tcW w:w="2780" w:type="dxa"/>
            <w:vAlign w:val="top"/>
          </w:tcPr>
          <w:p>
            <w:pPr>
              <w:ind w:left="134"/>
              <w:spacing w:before="54" w:line="227" w:lineRule="auto"/>
              <w:rPr>
                <w:rFonts w:ascii="SimSun" w:hAnsi="SimSun" w:eastAsia="SimSun" w:cs="SimSun"/>
                <w:sz w:val="20"/>
                <w:szCs w:val="20"/>
              </w:rPr>
            </w:pPr>
            <w:r>
              <w:rPr>
                <w:rFonts w:ascii="SimSun" w:hAnsi="SimSun" w:eastAsia="SimSun" w:cs="SimSun"/>
                <w:sz w:val="20"/>
                <w:szCs w:val="20"/>
                <w:spacing w:val="9"/>
              </w:rPr>
              <w:t>石场，受疏干井影响，水位</w:t>
            </w:r>
          </w:p>
          <w:p>
            <w:pPr>
              <w:ind w:left="453"/>
              <w:spacing w:before="80" w:line="227" w:lineRule="auto"/>
              <w:rPr>
                <w:rFonts w:ascii="SimSun" w:hAnsi="SimSun" w:eastAsia="SimSun" w:cs="SimSun"/>
                <w:sz w:val="20"/>
                <w:szCs w:val="20"/>
              </w:rPr>
            </w:pPr>
            <w:r>
              <w:rPr>
                <w:rFonts w:ascii="SimSun" w:hAnsi="SimSun" w:eastAsia="SimSun" w:cs="SimSun"/>
                <w:sz w:val="20"/>
                <w:szCs w:val="20"/>
                <w:spacing w:val="7"/>
              </w:rPr>
              <w:t>异常不作绘图依据。</w:t>
            </w:r>
          </w:p>
        </w:tc>
      </w:tr>
      <w:tr>
        <w:trPr>
          <w:trHeight w:val="326" w:hRule="atLeast"/>
        </w:trPr>
        <w:tc>
          <w:tcPr>
            <w:tcW w:w="1187" w:type="dxa"/>
            <w:vAlign w:val="top"/>
          </w:tcPr>
          <w:p>
            <w:pPr>
              <w:pStyle w:val="TableText"/>
              <w:ind w:left="333"/>
              <w:spacing w:before="89" w:line="201" w:lineRule="auto"/>
              <w:rPr/>
            </w:pPr>
            <w:r>
              <w:rPr/>
              <w:t>16(5#)</w:t>
            </w:r>
          </w:p>
        </w:tc>
        <w:tc>
          <w:tcPr>
            <w:tcW w:w="1377" w:type="dxa"/>
            <w:vAlign w:val="top"/>
          </w:tcPr>
          <w:p>
            <w:pPr>
              <w:pStyle w:val="TableText"/>
              <w:ind w:left="269"/>
              <w:spacing w:before="93" w:line="195" w:lineRule="auto"/>
              <w:rPr/>
            </w:pPr>
            <w:r>
              <w:rPr>
                <w:spacing w:val="4"/>
              </w:rPr>
              <w:t>20629542</w:t>
            </w:r>
          </w:p>
        </w:tc>
        <w:tc>
          <w:tcPr>
            <w:tcW w:w="1183" w:type="dxa"/>
            <w:vAlign w:val="top"/>
          </w:tcPr>
          <w:p>
            <w:pPr>
              <w:pStyle w:val="TableText"/>
              <w:ind w:left="223"/>
              <w:spacing w:before="93" w:line="195" w:lineRule="auto"/>
              <w:rPr/>
            </w:pPr>
            <w:r>
              <w:rPr>
                <w:spacing w:val="4"/>
              </w:rPr>
              <w:t>4989041</w:t>
            </w:r>
          </w:p>
        </w:tc>
        <w:tc>
          <w:tcPr>
            <w:tcW w:w="1377" w:type="dxa"/>
            <w:vAlign w:val="top"/>
          </w:tcPr>
          <w:p>
            <w:pPr>
              <w:pStyle w:val="TableText"/>
              <w:ind w:left="566"/>
              <w:spacing w:before="93" w:line="195" w:lineRule="auto"/>
              <w:rPr/>
            </w:pPr>
            <w:r>
              <w:rPr/>
              <w:t>8.0</w:t>
            </w:r>
          </w:p>
        </w:tc>
        <w:tc>
          <w:tcPr>
            <w:tcW w:w="1379" w:type="dxa"/>
            <w:vAlign w:val="top"/>
          </w:tcPr>
          <w:p>
            <w:pPr>
              <w:pStyle w:val="TableText"/>
              <w:ind w:left="406"/>
              <w:spacing w:before="93" w:line="195" w:lineRule="auto"/>
              <w:rPr/>
            </w:pPr>
            <w:r>
              <w:rPr>
                <w:spacing w:val="3"/>
              </w:rPr>
              <w:t>961.51</w:t>
            </w:r>
          </w:p>
        </w:tc>
        <w:tc>
          <w:tcPr>
            <w:tcW w:w="2780" w:type="dxa"/>
            <w:vAlign w:val="top"/>
          </w:tcPr>
          <w:p>
            <w:pPr>
              <w:rPr>
                <w:rFonts w:ascii="Arial"/>
                <w:sz w:val="21"/>
              </w:rPr>
            </w:pPr>
            <w:r/>
          </w:p>
        </w:tc>
      </w:tr>
      <w:tr>
        <w:trPr>
          <w:trHeight w:val="326" w:hRule="atLeast"/>
        </w:trPr>
        <w:tc>
          <w:tcPr>
            <w:tcW w:w="1187" w:type="dxa"/>
            <w:vAlign w:val="top"/>
          </w:tcPr>
          <w:p>
            <w:pPr>
              <w:pStyle w:val="TableText"/>
              <w:ind w:left="333"/>
              <w:spacing w:before="89" w:line="201" w:lineRule="auto"/>
              <w:rPr/>
            </w:pPr>
            <w:r>
              <w:rPr/>
              <w:t>17(4#)</w:t>
            </w:r>
          </w:p>
        </w:tc>
        <w:tc>
          <w:tcPr>
            <w:tcW w:w="1377" w:type="dxa"/>
            <w:vAlign w:val="top"/>
          </w:tcPr>
          <w:p>
            <w:pPr>
              <w:pStyle w:val="TableText"/>
              <w:ind w:left="269"/>
              <w:spacing w:before="93" w:line="195" w:lineRule="auto"/>
              <w:rPr/>
            </w:pPr>
            <w:r>
              <w:rPr>
                <w:spacing w:val="4"/>
              </w:rPr>
              <w:t>20628466</w:t>
            </w:r>
          </w:p>
        </w:tc>
        <w:tc>
          <w:tcPr>
            <w:tcW w:w="1183" w:type="dxa"/>
            <w:vAlign w:val="top"/>
          </w:tcPr>
          <w:p>
            <w:pPr>
              <w:pStyle w:val="TableText"/>
              <w:ind w:left="223"/>
              <w:spacing w:before="93" w:line="195" w:lineRule="auto"/>
              <w:rPr/>
            </w:pPr>
            <w:r>
              <w:rPr>
                <w:spacing w:val="4"/>
              </w:rPr>
              <w:t>4987298</w:t>
            </w:r>
          </w:p>
        </w:tc>
        <w:tc>
          <w:tcPr>
            <w:tcW w:w="1377" w:type="dxa"/>
            <w:vAlign w:val="top"/>
          </w:tcPr>
          <w:p>
            <w:pPr>
              <w:pStyle w:val="TableText"/>
              <w:ind w:left="556"/>
              <w:spacing w:before="93" w:line="195" w:lineRule="auto"/>
              <w:rPr/>
            </w:pPr>
            <w:r>
              <w:rPr>
                <w:spacing w:val="3"/>
              </w:rPr>
              <w:t>4.0</w:t>
            </w:r>
          </w:p>
        </w:tc>
        <w:tc>
          <w:tcPr>
            <w:tcW w:w="1379" w:type="dxa"/>
            <w:vAlign w:val="top"/>
          </w:tcPr>
          <w:p>
            <w:pPr>
              <w:pStyle w:val="TableText"/>
              <w:ind w:left="406"/>
              <w:spacing w:before="93" w:line="195" w:lineRule="auto"/>
              <w:rPr/>
            </w:pPr>
            <w:r>
              <w:rPr>
                <w:spacing w:val="3"/>
              </w:rPr>
              <w:t>961.80</w:t>
            </w:r>
          </w:p>
        </w:tc>
        <w:tc>
          <w:tcPr>
            <w:tcW w:w="2780" w:type="dxa"/>
            <w:vAlign w:val="top"/>
          </w:tcPr>
          <w:p>
            <w:pPr>
              <w:rPr>
                <w:rFonts w:ascii="Arial"/>
                <w:sz w:val="21"/>
              </w:rPr>
            </w:pPr>
            <w:r/>
          </w:p>
        </w:tc>
      </w:tr>
      <w:tr>
        <w:trPr>
          <w:trHeight w:val="326" w:hRule="atLeast"/>
        </w:trPr>
        <w:tc>
          <w:tcPr>
            <w:tcW w:w="1187" w:type="dxa"/>
            <w:vAlign w:val="top"/>
          </w:tcPr>
          <w:p>
            <w:pPr>
              <w:pStyle w:val="TableText"/>
              <w:ind w:left="333"/>
              <w:spacing w:before="89" w:line="201" w:lineRule="auto"/>
              <w:rPr/>
            </w:pPr>
            <w:r>
              <w:rPr/>
              <w:t>18(3#)</w:t>
            </w:r>
          </w:p>
        </w:tc>
        <w:tc>
          <w:tcPr>
            <w:tcW w:w="1377" w:type="dxa"/>
            <w:vAlign w:val="top"/>
          </w:tcPr>
          <w:p>
            <w:pPr>
              <w:pStyle w:val="TableText"/>
              <w:ind w:left="269"/>
              <w:spacing w:before="93" w:line="195" w:lineRule="auto"/>
              <w:rPr/>
            </w:pPr>
            <w:r>
              <w:rPr>
                <w:spacing w:val="4"/>
              </w:rPr>
              <w:t>20627521</w:t>
            </w:r>
          </w:p>
        </w:tc>
        <w:tc>
          <w:tcPr>
            <w:tcW w:w="1183" w:type="dxa"/>
            <w:vAlign w:val="top"/>
          </w:tcPr>
          <w:p>
            <w:pPr>
              <w:pStyle w:val="TableText"/>
              <w:ind w:left="223"/>
              <w:spacing w:before="93" w:line="195" w:lineRule="auto"/>
              <w:rPr/>
            </w:pPr>
            <w:r>
              <w:rPr>
                <w:spacing w:val="4"/>
              </w:rPr>
              <w:t>4986307</w:t>
            </w:r>
          </w:p>
        </w:tc>
        <w:tc>
          <w:tcPr>
            <w:tcW w:w="1377" w:type="dxa"/>
            <w:vAlign w:val="top"/>
          </w:tcPr>
          <w:p>
            <w:pPr>
              <w:pStyle w:val="TableText"/>
              <w:ind w:left="561"/>
              <w:spacing w:before="93" w:line="195" w:lineRule="auto"/>
              <w:rPr/>
            </w:pPr>
            <w:r>
              <w:rPr>
                <w:spacing w:val="1"/>
              </w:rPr>
              <w:t>9.5</w:t>
            </w:r>
          </w:p>
        </w:tc>
        <w:tc>
          <w:tcPr>
            <w:tcW w:w="1379" w:type="dxa"/>
            <w:vAlign w:val="top"/>
          </w:tcPr>
          <w:p>
            <w:pPr>
              <w:pStyle w:val="TableText"/>
              <w:ind w:left="406"/>
              <w:spacing w:before="93" w:line="195" w:lineRule="auto"/>
              <w:rPr/>
            </w:pPr>
            <w:r>
              <w:rPr>
                <w:spacing w:val="3"/>
              </w:rPr>
              <w:t>963.00</w:t>
            </w:r>
          </w:p>
        </w:tc>
        <w:tc>
          <w:tcPr>
            <w:tcW w:w="2780" w:type="dxa"/>
            <w:vAlign w:val="top"/>
          </w:tcPr>
          <w:p>
            <w:pPr>
              <w:rPr>
                <w:rFonts w:ascii="Arial"/>
                <w:sz w:val="21"/>
              </w:rPr>
            </w:pPr>
            <w:r/>
          </w:p>
        </w:tc>
      </w:tr>
      <w:tr>
        <w:trPr>
          <w:trHeight w:val="326" w:hRule="atLeast"/>
        </w:trPr>
        <w:tc>
          <w:tcPr>
            <w:tcW w:w="1187" w:type="dxa"/>
            <w:vAlign w:val="top"/>
          </w:tcPr>
          <w:p>
            <w:pPr>
              <w:pStyle w:val="TableText"/>
              <w:ind w:left="333"/>
              <w:spacing w:before="89" w:line="201" w:lineRule="auto"/>
              <w:rPr/>
            </w:pPr>
            <w:r>
              <w:rPr/>
              <w:t>19(3#)</w:t>
            </w:r>
          </w:p>
        </w:tc>
        <w:tc>
          <w:tcPr>
            <w:tcW w:w="1377" w:type="dxa"/>
            <w:vAlign w:val="top"/>
          </w:tcPr>
          <w:p>
            <w:pPr>
              <w:pStyle w:val="TableText"/>
              <w:ind w:left="269"/>
              <w:spacing w:before="93" w:line="195" w:lineRule="auto"/>
              <w:rPr/>
            </w:pPr>
            <w:r>
              <w:rPr>
                <w:spacing w:val="4"/>
              </w:rPr>
              <w:t>20627435</w:t>
            </w:r>
          </w:p>
        </w:tc>
        <w:tc>
          <w:tcPr>
            <w:tcW w:w="1183" w:type="dxa"/>
            <w:vAlign w:val="top"/>
          </w:tcPr>
          <w:p>
            <w:pPr>
              <w:pStyle w:val="TableText"/>
              <w:ind w:left="223"/>
              <w:spacing w:before="93" w:line="195" w:lineRule="auto"/>
              <w:rPr/>
            </w:pPr>
            <w:r>
              <w:rPr>
                <w:spacing w:val="4"/>
              </w:rPr>
              <w:t>4986188</w:t>
            </w:r>
          </w:p>
        </w:tc>
        <w:tc>
          <w:tcPr>
            <w:tcW w:w="1377" w:type="dxa"/>
            <w:vAlign w:val="top"/>
          </w:tcPr>
          <w:p>
            <w:pPr>
              <w:pStyle w:val="TableText"/>
              <w:ind w:left="556"/>
              <w:spacing w:before="93" w:line="195" w:lineRule="auto"/>
              <w:rPr/>
            </w:pPr>
            <w:r>
              <w:rPr>
                <w:spacing w:val="3"/>
              </w:rPr>
              <w:t>4.0</w:t>
            </w:r>
          </w:p>
        </w:tc>
        <w:tc>
          <w:tcPr>
            <w:tcW w:w="1379" w:type="dxa"/>
            <w:vAlign w:val="top"/>
          </w:tcPr>
          <w:p>
            <w:pPr>
              <w:pStyle w:val="TableText"/>
              <w:ind w:left="406"/>
              <w:spacing w:before="93" w:line="195" w:lineRule="auto"/>
              <w:rPr/>
            </w:pPr>
            <w:r>
              <w:rPr>
                <w:spacing w:val="3"/>
              </w:rPr>
              <w:t>962.80</w:t>
            </w:r>
          </w:p>
        </w:tc>
        <w:tc>
          <w:tcPr>
            <w:tcW w:w="2780" w:type="dxa"/>
            <w:vAlign w:val="top"/>
          </w:tcPr>
          <w:p>
            <w:pPr>
              <w:rPr>
                <w:rFonts w:ascii="Arial"/>
                <w:sz w:val="21"/>
              </w:rPr>
            </w:pPr>
            <w:r/>
          </w:p>
        </w:tc>
      </w:tr>
      <w:tr>
        <w:trPr>
          <w:trHeight w:val="326" w:hRule="atLeast"/>
        </w:trPr>
        <w:tc>
          <w:tcPr>
            <w:tcW w:w="1187" w:type="dxa"/>
            <w:vAlign w:val="top"/>
          </w:tcPr>
          <w:p>
            <w:pPr>
              <w:pStyle w:val="TableText"/>
              <w:ind w:left="313"/>
              <w:spacing w:before="87" w:line="201" w:lineRule="auto"/>
              <w:rPr/>
            </w:pPr>
            <w:r>
              <w:rPr>
                <w:spacing w:val="4"/>
              </w:rPr>
              <w:t>20(2#)</w:t>
            </w:r>
          </w:p>
        </w:tc>
        <w:tc>
          <w:tcPr>
            <w:tcW w:w="1377" w:type="dxa"/>
            <w:vAlign w:val="top"/>
          </w:tcPr>
          <w:p>
            <w:pPr>
              <w:pStyle w:val="TableText"/>
              <w:ind w:left="269"/>
              <w:spacing w:before="91" w:line="195" w:lineRule="auto"/>
              <w:rPr/>
            </w:pPr>
            <w:r>
              <w:rPr>
                <w:spacing w:val="4"/>
              </w:rPr>
              <w:t>20626718</w:t>
            </w:r>
          </w:p>
        </w:tc>
        <w:tc>
          <w:tcPr>
            <w:tcW w:w="1183" w:type="dxa"/>
            <w:vAlign w:val="top"/>
          </w:tcPr>
          <w:p>
            <w:pPr>
              <w:pStyle w:val="TableText"/>
              <w:ind w:left="223"/>
              <w:spacing w:before="91" w:line="195" w:lineRule="auto"/>
              <w:rPr/>
            </w:pPr>
            <w:r>
              <w:rPr>
                <w:spacing w:val="4"/>
              </w:rPr>
              <w:t>4985514</w:t>
            </w:r>
          </w:p>
        </w:tc>
        <w:tc>
          <w:tcPr>
            <w:tcW w:w="1377" w:type="dxa"/>
            <w:vAlign w:val="top"/>
          </w:tcPr>
          <w:p>
            <w:pPr>
              <w:pStyle w:val="TableText"/>
              <w:ind w:left="557"/>
              <w:spacing w:before="91" w:line="195" w:lineRule="auto"/>
              <w:rPr/>
            </w:pPr>
            <w:r>
              <w:rPr>
                <w:spacing w:val="2"/>
              </w:rPr>
              <w:t>2.0</w:t>
            </w:r>
          </w:p>
        </w:tc>
        <w:tc>
          <w:tcPr>
            <w:tcW w:w="1379" w:type="dxa"/>
            <w:vAlign w:val="top"/>
          </w:tcPr>
          <w:p>
            <w:pPr>
              <w:pStyle w:val="TableText"/>
              <w:ind w:left="406"/>
              <w:spacing w:before="91" w:line="195" w:lineRule="auto"/>
              <w:rPr/>
            </w:pPr>
            <w:r>
              <w:rPr>
                <w:spacing w:val="3"/>
              </w:rPr>
              <w:t>963.10</w:t>
            </w:r>
          </w:p>
        </w:tc>
        <w:tc>
          <w:tcPr>
            <w:tcW w:w="2780" w:type="dxa"/>
            <w:vAlign w:val="top"/>
          </w:tcPr>
          <w:p>
            <w:pPr>
              <w:rPr>
                <w:rFonts w:ascii="Arial"/>
                <w:sz w:val="21"/>
              </w:rPr>
            </w:pPr>
            <w:r/>
          </w:p>
        </w:tc>
      </w:tr>
      <w:tr>
        <w:trPr>
          <w:trHeight w:val="326" w:hRule="atLeast"/>
        </w:trPr>
        <w:tc>
          <w:tcPr>
            <w:tcW w:w="1187" w:type="dxa"/>
            <w:vAlign w:val="top"/>
          </w:tcPr>
          <w:p>
            <w:pPr>
              <w:pStyle w:val="TableText"/>
              <w:ind w:left="260"/>
              <w:spacing w:before="87" w:line="201" w:lineRule="auto"/>
              <w:rPr/>
            </w:pPr>
            <w:r>
              <w:rPr>
                <w:spacing w:val="3"/>
              </w:rPr>
              <w:t>21(14#)</w:t>
            </w:r>
          </w:p>
        </w:tc>
        <w:tc>
          <w:tcPr>
            <w:tcW w:w="1377" w:type="dxa"/>
            <w:vAlign w:val="top"/>
          </w:tcPr>
          <w:p>
            <w:pPr>
              <w:pStyle w:val="TableText"/>
              <w:ind w:left="269"/>
              <w:spacing w:before="91" w:line="195" w:lineRule="auto"/>
              <w:rPr/>
            </w:pPr>
            <w:r>
              <w:rPr>
                <w:spacing w:val="4"/>
              </w:rPr>
              <w:t>20625709</w:t>
            </w:r>
          </w:p>
        </w:tc>
        <w:tc>
          <w:tcPr>
            <w:tcW w:w="1183" w:type="dxa"/>
            <w:vAlign w:val="top"/>
          </w:tcPr>
          <w:p>
            <w:pPr>
              <w:pStyle w:val="TableText"/>
              <w:ind w:left="223"/>
              <w:spacing w:before="91" w:line="195" w:lineRule="auto"/>
              <w:rPr/>
            </w:pPr>
            <w:r>
              <w:rPr>
                <w:spacing w:val="4"/>
              </w:rPr>
              <w:t>4984172</w:t>
            </w:r>
          </w:p>
        </w:tc>
        <w:tc>
          <w:tcPr>
            <w:tcW w:w="1377" w:type="dxa"/>
            <w:vAlign w:val="top"/>
          </w:tcPr>
          <w:p>
            <w:pPr>
              <w:pStyle w:val="TableText"/>
              <w:ind w:left="562"/>
              <w:spacing w:before="91" w:line="195" w:lineRule="auto"/>
              <w:rPr/>
            </w:pPr>
            <w:r>
              <w:rPr>
                <w:spacing w:val="1"/>
              </w:rPr>
              <w:t>3.0</w:t>
            </w:r>
          </w:p>
        </w:tc>
        <w:tc>
          <w:tcPr>
            <w:tcW w:w="1379" w:type="dxa"/>
            <w:vAlign w:val="top"/>
          </w:tcPr>
          <w:p>
            <w:pPr>
              <w:pStyle w:val="TableText"/>
              <w:ind w:left="406"/>
              <w:spacing w:before="91" w:line="195" w:lineRule="auto"/>
              <w:rPr/>
            </w:pPr>
            <w:r>
              <w:rPr>
                <w:spacing w:val="3"/>
              </w:rPr>
              <w:t>966.35</w:t>
            </w:r>
          </w:p>
        </w:tc>
        <w:tc>
          <w:tcPr>
            <w:tcW w:w="2780" w:type="dxa"/>
            <w:vAlign w:val="top"/>
          </w:tcPr>
          <w:p>
            <w:pPr>
              <w:rPr>
                <w:rFonts w:ascii="Arial"/>
                <w:sz w:val="21"/>
              </w:rPr>
            </w:pPr>
            <w:r/>
          </w:p>
        </w:tc>
      </w:tr>
      <w:tr>
        <w:trPr>
          <w:trHeight w:val="326" w:hRule="atLeast"/>
        </w:trPr>
        <w:tc>
          <w:tcPr>
            <w:tcW w:w="1187" w:type="dxa"/>
            <w:vAlign w:val="top"/>
          </w:tcPr>
          <w:p>
            <w:pPr>
              <w:pStyle w:val="TableText"/>
              <w:ind w:left="488"/>
              <w:spacing w:before="92" w:line="195" w:lineRule="auto"/>
              <w:rPr/>
            </w:pPr>
            <w:r>
              <w:rPr>
                <w:spacing w:val="2"/>
              </w:rPr>
              <w:t>22</w:t>
            </w:r>
          </w:p>
        </w:tc>
        <w:tc>
          <w:tcPr>
            <w:tcW w:w="1377" w:type="dxa"/>
            <w:vAlign w:val="top"/>
          </w:tcPr>
          <w:p>
            <w:pPr>
              <w:pStyle w:val="TableText"/>
              <w:ind w:left="269"/>
              <w:spacing w:before="92" w:line="195" w:lineRule="auto"/>
              <w:rPr/>
            </w:pPr>
            <w:r>
              <w:rPr>
                <w:spacing w:val="4"/>
              </w:rPr>
              <w:t>20628107</w:t>
            </w:r>
          </w:p>
        </w:tc>
        <w:tc>
          <w:tcPr>
            <w:tcW w:w="1183" w:type="dxa"/>
            <w:vAlign w:val="top"/>
          </w:tcPr>
          <w:p>
            <w:pPr>
              <w:pStyle w:val="TableText"/>
              <w:ind w:left="223"/>
              <w:spacing w:before="92" w:line="195" w:lineRule="auto"/>
              <w:rPr/>
            </w:pPr>
            <w:r>
              <w:rPr>
                <w:spacing w:val="4"/>
              </w:rPr>
              <w:t>4983801</w:t>
            </w:r>
          </w:p>
        </w:tc>
        <w:tc>
          <w:tcPr>
            <w:tcW w:w="1377" w:type="dxa"/>
            <w:vAlign w:val="top"/>
          </w:tcPr>
          <w:p>
            <w:pPr>
              <w:pStyle w:val="TableText"/>
              <w:ind w:left="556"/>
              <w:spacing w:before="92" w:line="195" w:lineRule="auto"/>
              <w:rPr/>
            </w:pPr>
            <w:r>
              <w:rPr>
                <w:spacing w:val="3"/>
              </w:rPr>
              <w:t>4.5</w:t>
            </w:r>
          </w:p>
        </w:tc>
        <w:tc>
          <w:tcPr>
            <w:tcW w:w="1379" w:type="dxa"/>
            <w:vAlign w:val="top"/>
          </w:tcPr>
          <w:p>
            <w:pPr>
              <w:pStyle w:val="TableText"/>
              <w:ind w:left="406"/>
              <w:spacing w:before="92" w:line="195" w:lineRule="auto"/>
              <w:rPr/>
            </w:pPr>
            <w:r>
              <w:rPr>
                <w:spacing w:val="3"/>
              </w:rPr>
              <w:t>964.30</w:t>
            </w:r>
          </w:p>
        </w:tc>
        <w:tc>
          <w:tcPr>
            <w:tcW w:w="2780" w:type="dxa"/>
            <w:vAlign w:val="top"/>
          </w:tcPr>
          <w:p>
            <w:pPr>
              <w:rPr>
                <w:rFonts w:ascii="Arial"/>
                <w:sz w:val="21"/>
              </w:rPr>
            </w:pPr>
            <w:r/>
          </w:p>
        </w:tc>
      </w:tr>
      <w:tr>
        <w:trPr>
          <w:trHeight w:val="326" w:hRule="atLeast"/>
        </w:trPr>
        <w:tc>
          <w:tcPr>
            <w:tcW w:w="1187" w:type="dxa"/>
            <w:vAlign w:val="top"/>
          </w:tcPr>
          <w:p>
            <w:pPr>
              <w:pStyle w:val="TableText"/>
              <w:ind w:left="488"/>
              <w:spacing w:before="92" w:line="195" w:lineRule="auto"/>
              <w:rPr/>
            </w:pPr>
            <w:r>
              <w:rPr>
                <w:spacing w:val="2"/>
              </w:rPr>
              <w:t>23</w:t>
            </w:r>
          </w:p>
        </w:tc>
        <w:tc>
          <w:tcPr>
            <w:tcW w:w="1377" w:type="dxa"/>
            <w:vAlign w:val="top"/>
          </w:tcPr>
          <w:p>
            <w:pPr>
              <w:pStyle w:val="TableText"/>
              <w:ind w:left="269"/>
              <w:spacing w:before="92" w:line="195" w:lineRule="auto"/>
              <w:rPr/>
            </w:pPr>
            <w:r>
              <w:rPr>
                <w:spacing w:val="4"/>
              </w:rPr>
              <w:t>20626060</w:t>
            </w:r>
          </w:p>
        </w:tc>
        <w:tc>
          <w:tcPr>
            <w:tcW w:w="1183" w:type="dxa"/>
            <w:vAlign w:val="top"/>
          </w:tcPr>
          <w:p>
            <w:pPr>
              <w:pStyle w:val="TableText"/>
              <w:ind w:left="223"/>
              <w:spacing w:before="92" w:line="195" w:lineRule="auto"/>
              <w:rPr/>
            </w:pPr>
            <w:r>
              <w:rPr>
                <w:spacing w:val="4"/>
              </w:rPr>
              <w:t>4983605</w:t>
            </w:r>
          </w:p>
        </w:tc>
        <w:tc>
          <w:tcPr>
            <w:tcW w:w="1377" w:type="dxa"/>
            <w:vAlign w:val="top"/>
          </w:tcPr>
          <w:p>
            <w:pPr>
              <w:pStyle w:val="TableText"/>
              <w:ind w:left="557"/>
              <w:spacing w:before="92" w:line="195" w:lineRule="auto"/>
              <w:rPr/>
            </w:pPr>
            <w:r>
              <w:rPr>
                <w:spacing w:val="2"/>
              </w:rPr>
              <w:t>2.7</w:t>
            </w:r>
          </w:p>
        </w:tc>
        <w:tc>
          <w:tcPr>
            <w:tcW w:w="1379" w:type="dxa"/>
            <w:vAlign w:val="top"/>
          </w:tcPr>
          <w:p>
            <w:pPr>
              <w:pStyle w:val="TableText"/>
              <w:ind w:left="406"/>
              <w:spacing w:before="92" w:line="195" w:lineRule="auto"/>
              <w:rPr/>
            </w:pPr>
            <w:r>
              <w:rPr>
                <w:spacing w:val="3"/>
              </w:rPr>
              <w:t>966.80</w:t>
            </w:r>
          </w:p>
        </w:tc>
        <w:tc>
          <w:tcPr>
            <w:tcW w:w="2780" w:type="dxa"/>
            <w:vAlign w:val="top"/>
          </w:tcPr>
          <w:p>
            <w:pPr>
              <w:rPr>
                <w:rFonts w:ascii="Arial"/>
                <w:sz w:val="21"/>
              </w:rPr>
            </w:pPr>
            <w:r/>
          </w:p>
        </w:tc>
      </w:tr>
      <w:tr>
        <w:trPr>
          <w:trHeight w:val="326" w:hRule="atLeast"/>
        </w:trPr>
        <w:tc>
          <w:tcPr>
            <w:tcW w:w="1187" w:type="dxa"/>
            <w:vAlign w:val="top"/>
          </w:tcPr>
          <w:p>
            <w:pPr>
              <w:pStyle w:val="TableText"/>
              <w:ind w:left="313"/>
              <w:spacing w:before="88" w:line="201" w:lineRule="auto"/>
              <w:rPr/>
            </w:pPr>
            <w:r>
              <w:rPr>
                <w:spacing w:val="4"/>
              </w:rPr>
              <w:t>24(1#)</w:t>
            </w:r>
          </w:p>
        </w:tc>
        <w:tc>
          <w:tcPr>
            <w:tcW w:w="1377" w:type="dxa"/>
            <w:vAlign w:val="top"/>
          </w:tcPr>
          <w:p>
            <w:pPr>
              <w:pStyle w:val="TableText"/>
              <w:ind w:left="269"/>
              <w:spacing w:before="92" w:line="195" w:lineRule="auto"/>
              <w:rPr/>
            </w:pPr>
            <w:r>
              <w:rPr>
                <w:spacing w:val="4"/>
              </w:rPr>
              <w:t>20625651</w:t>
            </w:r>
          </w:p>
        </w:tc>
        <w:tc>
          <w:tcPr>
            <w:tcW w:w="1183" w:type="dxa"/>
            <w:vAlign w:val="top"/>
          </w:tcPr>
          <w:p>
            <w:pPr>
              <w:pStyle w:val="TableText"/>
              <w:ind w:left="223"/>
              <w:spacing w:before="92" w:line="195" w:lineRule="auto"/>
              <w:rPr/>
            </w:pPr>
            <w:r>
              <w:rPr>
                <w:spacing w:val="4"/>
              </w:rPr>
              <w:t>4982083</w:t>
            </w:r>
          </w:p>
        </w:tc>
        <w:tc>
          <w:tcPr>
            <w:tcW w:w="1377" w:type="dxa"/>
            <w:vAlign w:val="top"/>
          </w:tcPr>
          <w:p>
            <w:pPr>
              <w:pStyle w:val="TableText"/>
              <w:ind w:left="557"/>
              <w:spacing w:before="92" w:line="195" w:lineRule="auto"/>
              <w:rPr/>
            </w:pPr>
            <w:r>
              <w:rPr>
                <w:spacing w:val="2"/>
              </w:rPr>
              <w:t>2.3</w:t>
            </w:r>
          </w:p>
        </w:tc>
        <w:tc>
          <w:tcPr>
            <w:tcW w:w="1379" w:type="dxa"/>
            <w:vAlign w:val="top"/>
          </w:tcPr>
          <w:p>
            <w:pPr>
              <w:pStyle w:val="TableText"/>
              <w:ind w:left="406"/>
              <w:spacing w:before="92" w:line="195" w:lineRule="auto"/>
              <w:rPr/>
            </w:pPr>
            <w:r>
              <w:rPr>
                <w:spacing w:val="3"/>
              </w:rPr>
              <w:t>970.70</w:t>
            </w:r>
          </w:p>
        </w:tc>
        <w:tc>
          <w:tcPr>
            <w:tcW w:w="2780" w:type="dxa"/>
            <w:vAlign w:val="top"/>
          </w:tcPr>
          <w:p>
            <w:pPr>
              <w:rPr>
                <w:rFonts w:ascii="Arial"/>
                <w:sz w:val="21"/>
              </w:rPr>
            </w:pPr>
            <w:r/>
          </w:p>
        </w:tc>
      </w:tr>
      <w:tr>
        <w:trPr>
          <w:trHeight w:val="326" w:hRule="atLeast"/>
        </w:trPr>
        <w:tc>
          <w:tcPr>
            <w:tcW w:w="1187" w:type="dxa"/>
            <w:vAlign w:val="top"/>
          </w:tcPr>
          <w:p>
            <w:pPr>
              <w:pStyle w:val="TableText"/>
              <w:ind w:left="488"/>
              <w:spacing w:before="92" w:line="195" w:lineRule="auto"/>
              <w:rPr/>
            </w:pPr>
            <w:r>
              <w:rPr>
                <w:spacing w:val="2"/>
              </w:rPr>
              <w:t>25</w:t>
            </w:r>
          </w:p>
        </w:tc>
        <w:tc>
          <w:tcPr>
            <w:tcW w:w="1377" w:type="dxa"/>
            <w:vAlign w:val="top"/>
          </w:tcPr>
          <w:p>
            <w:pPr>
              <w:pStyle w:val="TableText"/>
              <w:ind w:left="269"/>
              <w:spacing w:before="92" w:line="195" w:lineRule="auto"/>
              <w:rPr/>
            </w:pPr>
            <w:r>
              <w:rPr>
                <w:spacing w:val="4"/>
              </w:rPr>
              <w:t>20627312</w:t>
            </w:r>
          </w:p>
        </w:tc>
        <w:tc>
          <w:tcPr>
            <w:tcW w:w="1183" w:type="dxa"/>
            <w:vAlign w:val="top"/>
          </w:tcPr>
          <w:p>
            <w:pPr>
              <w:pStyle w:val="TableText"/>
              <w:ind w:left="223"/>
              <w:spacing w:before="92" w:line="195" w:lineRule="auto"/>
              <w:rPr/>
            </w:pPr>
            <w:r>
              <w:rPr>
                <w:spacing w:val="4"/>
              </w:rPr>
              <w:t>4981788</w:t>
            </w:r>
          </w:p>
        </w:tc>
        <w:tc>
          <w:tcPr>
            <w:tcW w:w="1377" w:type="dxa"/>
            <w:vAlign w:val="top"/>
          </w:tcPr>
          <w:p>
            <w:pPr>
              <w:pStyle w:val="TableText"/>
              <w:ind w:left="556"/>
              <w:spacing w:before="92" w:line="195" w:lineRule="auto"/>
              <w:rPr/>
            </w:pPr>
            <w:r>
              <w:rPr>
                <w:spacing w:val="3"/>
              </w:rPr>
              <w:t>4.6</w:t>
            </w:r>
          </w:p>
        </w:tc>
        <w:tc>
          <w:tcPr>
            <w:tcW w:w="1379" w:type="dxa"/>
            <w:vAlign w:val="top"/>
          </w:tcPr>
          <w:p>
            <w:pPr>
              <w:pStyle w:val="TableText"/>
              <w:ind w:left="406"/>
              <w:spacing w:before="92" w:line="195" w:lineRule="auto"/>
              <w:rPr/>
            </w:pPr>
            <w:r>
              <w:rPr>
                <w:spacing w:val="3"/>
              </w:rPr>
              <w:t>968.70</w:t>
            </w:r>
          </w:p>
        </w:tc>
        <w:tc>
          <w:tcPr>
            <w:tcW w:w="2780" w:type="dxa"/>
            <w:vAlign w:val="top"/>
          </w:tcPr>
          <w:p>
            <w:pPr>
              <w:rPr>
                <w:rFonts w:ascii="Arial"/>
                <w:sz w:val="21"/>
              </w:rPr>
            </w:pPr>
            <w:r/>
          </w:p>
        </w:tc>
      </w:tr>
      <w:tr>
        <w:trPr>
          <w:trHeight w:val="326" w:hRule="atLeast"/>
        </w:trPr>
        <w:tc>
          <w:tcPr>
            <w:tcW w:w="1187" w:type="dxa"/>
            <w:vAlign w:val="top"/>
          </w:tcPr>
          <w:p>
            <w:pPr>
              <w:pStyle w:val="TableText"/>
              <w:ind w:left="488"/>
              <w:spacing w:before="92" w:line="195" w:lineRule="auto"/>
              <w:rPr/>
            </w:pPr>
            <w:r>
              <w:rPr>
                <w:spacing w:val="2"/>
              </w:rPr>
              <w:t>26</w:t>
            </w:r>
          </w:p>
        </w:tc>
        <w:tc>
          <w:tcPr>
            <w:tcW w:w="1377" w:type="dxa"/>
            <w:vAlign w:val="top"/>
          </w:tcPr>
          <w:p>
            <w:pPr>
              <w:pStyle w:val="TableText"/>
              <w:ind w:left="269"/>
              <w:spacing w:before="92" w:line="195" w:lineRule="auto"/>
              <w:rPr/>
            </w:pPr>
            <w:r>
              <w:rPr>
                <w:spacing w:val="4"/>
              </w:rPr>
              <w:t>20627713</w:t>
            </w:r>
          </w:p>
        </w:tc>
        <w:tc>
          <w:tcPr>
            <w:tcW w:w="1183" w:type="dxa"/>
            <w:vAlign w:val="top"/>
          </w:tcPr>
          <w:p>
            <w:pPr>
              <w:pStyle w:val="TableText"/>
              <w:ind w:left="223"/>
              <w:spacing w:before="92" w:line="195" w:lineRule="auto"/>
              <w:rPr/>
            </w:pPr>
            <w:r>
              <w:rPr>
                <w:spacing w:val="4"/>
              </w:rPr>
              <w:t>4980691</w:t>
            </w:r>
          </w:p>
        </w:tc>
        <w:tc>
          <w:tcPr>
            <w:tcW w:w="1377" w:type="dxa"/>
            <w:vAlign w:val="top"/>
          </w:tcPr>
          <w:p>
            <w:pPr>
              <w:pStyle w:val="TableText"/>
              <w:ind w:left="562"/>
              <w:spacing w:before="92" w:line="195" w:lineRule="auto"/>
              <w:rPr/>
            </w:pPr>
            <w:r>
              <w:rPr>
                <w:spacing w:val="1"/>
              </w:rPr>
              <w:t>3.4</w:t>
            </w:r>
          </w:p>
        </w:tc>
        <w:tc>
          <w:tcPr>
            <w:tcW w:w="1379" w:type="dxa"/>
            <w:vAlign w:val="top"/>
          </w:tcPr>
          <w:p>
            <w:pPr>
              <w:pStyle w:val="TableText"/>
              <w:ind w:left="406"/>
              <w:spacing w:before="92" w:line="195" w:lineRule="auto"/>
              <w:rPr/>
            </w:pPr>
            <w:r>
              <w:rPr>
                <w:spacing w:val="3"/>
              </w:rPr>
              <w:t>968.50</w:t>
            </w:r>
          </w:p>
        </w:tc>
        <w:tc>
          <w:tcPr>
            <w:tcW w:w="2780" w:type="dxa"/>
            <w:vAlign w:val="top"/>
          </w:tcPr>
          <w:p>
            <w:pPr>
              <w:rPr>
                <w:rFonts w:ascii="Arial"/>
                <w:sz w:val="21"/>
              </w:rPr>
            </w:pPr>
            <w:r/>
          </w:p>
        </w:tc>
      </w:tr>
      <w:tr>
        <w:trPr>
          <w:trHeight w:val="323" w:hRule="atLeast"/>
        </w:trPr>
        <w:tc>
          <w:tcPr>
            <w:tcW w:w="1187" w:type="dxa"/>
            <w:vAlign w:val="top"/>
          </w:tcPr>
          <w:p>
            <w:pPr>
              <w:pStyle w:val="TableText"/>
              <w:ind w:left="488"/>
              <w:spacing w:before="93" w:line="195" w:lineRule="auto"/>
              <w:rPr/>
            </w:pPr>
            <w:r>
              <w:rPr>
                <w:spacing w:val="2"/>
              </w:rPr>
              <w:t>27</w:t>
            </w:r>
          </w:p>
        </w:tc>
        <w:tc>
          <w:tcPr>
            <w:tcW w:w="1377" w:type="dxa"/>
            <w:vAlign w:val="top"/>
          </w:tcPr>
          <w:p>
            <w:pPr>
              <w:pStyle w:val="TableText"/>
              <w:ind w:left="269"/>
              <w:spacing w:before="93" w:line="195" w:lineRule="auto"/>
              <w:rPr/>
            </w:pPr>
            <w:r>
              <w:rPr>
                <w:spacing w:val="4"/>
              </w:rPr>
              <w:t>20631323</w:t>
            </w:r>
          </w:p>
        </w:tc>
        <w:tc>
          <w:tcPr>
            <w:tcW w:w="1183" w:type="dxa"/>
            <w:vAlign w:val="top"/>
          </w:tcPr>
          <w:p>
            <w:pPr>
              <w:pStyle w:val="TableText"/>
              <w:ind w:left="223"/>
              <w:spacing w:before="93" w:line="195" w:lineRule="auto"/>
              <w:rPr/>
            </w:pPr>
            <w:r>
              <w:rPr>
                <w:spacing w:val="4"/>
              </w:rPr>
              <w:t>4978243</w:t>
            </w:r>
          </w:p>
        </w:tc>
        <w:tc>
          <w:tcPr>
            <w:tcW w:w="1377" w:type="dxa"/>
            <w:vAlign w:val="top"/>
          </w:tcPr>
          <w:p>
            <w:pPr>
              <w:pStyle w:val="TableText"/>
              <w:ind w:left="578"/>
              <w:spacing w:before="93" w:line="195" w:lineRule="auto"/>
              <w:rPr/>
            </w:pPr>
            <w:r>
              <w:rPr>
                <w:spacing w:val="-4"/>
              </w:rPr>
              <w:t>1.6</w:t>
            </w:r>
          </w:p>
        </w:tc>
        <w:tc>
          <w:tcPr>
            <w:tcW w:w="1379" w:type="dxa"/>
            <w:vAlign w:val="top"/>
          </w:tcPr>
          <w:p>
            <w:pPr>
              <w:pStyle w:val="TableText"/>
              <w:ind w:left="406"/>
              <w:spacing w:before="93" w:line="195" w:lineRule="auto"/>
              <w:rPr/>
            </w:pPr>
            <w:r>
              <w:rPr>
                <w:spacing w:val="3"/>
              </w:rPr>
              <w:t>980.40</w:t>
            </w:r>
          </w:p>
        </w:tc>
        <w:tc>
          <w:tcPr>
            <w:tcW w:w="2780" w:type="dxa"/>
            <w:vAlign w:val="top"/>
            <w:vMerge w:val="restart"/>
            <w:tcBorders>
              <w:bottom w:val="nil"/>
            </w:tcBorders>
          </w:tcPr>
          <w:p>
            <w:pPr>
              <w:ind w:left="154"/>
              <w:spacing w:before="59" w:line="226" w:lineRule="auto"/>
              <w:rPr>
                <w:rFonts w:ascii="SimSun" w:hAnsi="SimSun" w:eastAsia="SimSun" w:cs="SimSun"/>
                <w:sz w:val="20"/>
                <w:szCs w:val="20"/>
              </w:rPr>
            </w:pPr>
            <w:r>
              <w:rPr>
                <w:rFonts w:ascii="SimSun" w:hAnsi="SimSun" w:eastAsia="SimSun" w:cs="SimSun"/>
                <w:sz w:val="20"/>
                <w:szCs w:val="20"/>
                <w:spacing w:val="7"/>
              </w:rPr>
              <w:t>图幅界外，用于绘制水位线</w:t>
            </w:r>
          </w:p>
          <w:p>
            <w:pPr>
              <w:ind w:left="665"/>
              <w:spacing w:before="81" w:line="228" w:lineRule="auto"/>
              <w:rPr>
                <w:rFonts w:ascii="SimSun" w:hAnsi="SimSun" w:eastAsia="SimSun" w:cs="SimSun"/>
                <w:sz w:val="20"/>
                <w:szCs w:val="20"/>
              </w:rPr>
            </w:pPr>
            <w:r>
              <w:rPr>
                <w:rFonts w:ascii="SimSun" w:hAnsi="SimSun" w:eastAsia="SimSun" w:cs="SimSun"/>
                <w:sz w:val="20"/>
                <w:szCs w:val="20"/>
                <w:spacing w:val="6"/>
              </w:rPr>
              <w:t>不在图中显示。</w:t>
            </w:r>
          </w:p>
        </w:tc>
      </w:tr>
      <w:tr>
        <w:trPr>
          <w:trHeight w:val="326" w:hRule="atLeast"/>
        </w:trPr>
        <w:tc>
          <w:tcPr>
            <w:tcW w:w="1187" w:type="dxa"/>
            <w:vAlign w:val="top"/>
          </w:tcPr>
          <w:p>
            <w:pPr>
              <w:pStyle w:val="TableText"/>
              <w:ind w:left="488"/>
              <w:spacing w:before="96" w:line="195" w:lineRule="auto"/>
              <w:rPr/>
            </w:pPr>
            <w:r>
              <w:rPr>
                <w:spacing w:val="2"/>
              </w:rPr>
              <w:t>28</w:t>
            </w:r>
          </w:p>
        </w:tc>
        <w:tc>
          <w:tcPr>
            <w:tcW w:w="1377" w:type="dxa"/>
            <w:vAlign w:val="top"/>
          </w:tcPr>
          <w:p>
            <w:pPr>
              <w:pStyle w:val="TableText"/>
              <w:ind w:left="269"/>
              <w:spacing w:before="96" w:line="195" w:lineRule="auto"/>
              <w:rPr/>
            </w:pPr>
            <w:r>
              <w:rPr>
                <w:spacing w:val="4"/>
              </w:rPr>
              <w:t>20632396</w:t>
            </w:r>
          </w:p>
        </w:tc>
        <w:tc>
          <w:tcPr>
            <w:tcW w:w="1183" w:type="dxa"/>
            <w:vAlign w:val="top"/>
          </w:tcPr>
          <w:p>
            <w:pPr>
              <w:pStyle w:val="TableText"/>
              <w:ind w:left="223"/>
              <w:spacing w:before="96" w:line="195" w:lineRule="auto"/>
              <w:rPr/>
            </w:pPr>
            <w:r>
              <w:rPr>
                <w:spacing w:val="4"/>
              </w:rPr>
              <w:t>4978425</w:t>
            </w:r>
          </w:p>
        </w:tc>
        <w:tc>
          <w:tcPr>
            <w:tcW w:w="1377" w:type="dxa"/>
            <w:vAlign w:val="top"/>
          </w:tcPr>
          <w:p>
            <w:pPr>
              <w:pStyle w:val="TableText"/>
              <w:ind w:left="557"/>
              <w:spacing w:before="96" w:line="195" w:lineRule="auto"/>
              <w:rPr/>
            </w:pPr>
            <w:r>
              <w:rPr>
                <w:spacing w:val="2"/>
              </w:rPr>
              <w:t>2.5</w:t>
            </w:r>
          </w:p>
        </w:tc>
        <w:tc>
          <w:tcPr>
            <w:tcW w:w="1379" w:type="dxa"/>
            <w:vAlign w:val="top"/>
          </w:tcPr>
          <w:p>
            <w:pPr>
              <w:pStyle w:val="TableText"/>
              <w:ind w:left="406"/>
              <w:spacing w:before="96" w:line="195" w:lineRule="auto"/>
              <w:rPr/>
            </w:pPr>
            <w:r>
              <w:rPr>
                <w:spacing w:val="3"/>
              </w:rPr>
              <w:t>980.50</w:t>
            </w:r>
          </w:p>
        </w:tc>
        <w:tc>
          <w:tcPr>
            <w:tcW w:w="2780" w:type="dxa"/>
            <w:vAlign w:val="top"/>
            <w:vMerge w:val="continue"/>
            <w:tcBorders>
              <w:top w:val="nil"/>
            </w:tcBorders>
          </w:tcPr>
          <w:p>
            <w:pPr>
              <w:rPr>
                <w:rFonts w:ascii="Arial"/>
                <w:sz w:val="21"/>
              </w:rPr>
            </w:pPr>
            <w:r/>
          </w:p>
        </w:tc>
      </w:tr>
      <w:tr>
        <w:trPr>
          <w:trHeight w:val="328" w:hRule="atLeast"/>
        </w:trPr>
        <w:tc>
          <w:tcPr>
            <w:tcW w:w="1187" w:type="dxa"/>
            <w:vAlign w:val="top"/>
          </w:tcPr>
          <w:p>
            <w:pPr>
              <w:pStyle w:val="TableText"/>
              <w:ind w:left="234"/>
              <w:spacing w:before="60" w:line="221" w:lineRule="auto"/>
              <w:rPr/>
            </w:pPr>
            <w:r>
              <w:rPr>
                <w:spacing w:val="3"/>
              </w:rPr>
              <w:t>29(</w:t>
            </w:r>
            <w:r>
              <w:rPr>
                <w:rFonts w:ascii="SimSun" w:hAnsi="SimSun" w:eastAsia="SimSun" w:cs="SimSun"/>
                <w:spacing w:val="3"/>
              </w:rPr>
              <w:t>观</w:t>
            </w:r>
            <w:r>
              <w:rPr>
                <w:rFonts w:ascii="SimSun" w:hAnsi="SimSun" w:eastAsia="SimSun" w:cs="SimSun"/>
                <w:spacing w:val="-39"/>
              </w:rPr>
              <w:t xml:space="preserve"> </w:t>
            </w:r>
            <w:r>
              <w:rPr>
                <w:spacing w:val="3"/>
              </w:rPr>
              <w:t>2)</w:t>
            </w:r>
          </w:p>
        </w:tc>
        <w:tc>
          <w:tcPr>
            <w:tcW w:w="1377" w:type="dxa"/>
            <w:vAlign w:val="top"/>
          </w:tcPr>
          <w:p>
            <w:pPr>
              <w:pStyle w:val="TableText"/>
              <w:ind w:left="320"/>
              <w:spacing w:before="96" w:line="195" w:lineRule="auto"/>
              <w:rPr/>
            </w:pPr>
            <w:r>
              <w:rPr>
                <w:spacing w:val="4"/>
              </w:rPr>
              <w:t>4979423</w:t>
            </w:r>
          </w:p>
        </w:tc>
        <w:tc>
          <w:tcPr>
            <w:tcW w:w="1183" w:type="dxa"/>
            <w:vAlign w:val="top"/>
          </w:tcPr>
          <w:p>
            <w:pPr>
              <w:pStyle w:val="TableText"/>
              <w:ind w:left="168"/>
              <w:spacing w:before="96" w:line="195" w:lineRule="auto"/>
              <w:rPr/>
            </w:pPr>
            <w:r>
              <w:rPr>
                <w:spacing w:val="4"/>
              </w:rPr>
              <w:t>20632853</w:t>
            </w:r>
          </w:p>
        </w:tc>
        <w:tc>
          <w:tcPr>
            <w:tcW w:w="1377" w:type="dxa"/>
            <w:vAlign w:val="top"/>
          </w:tcPr>
          <w:p>
            <w:pPr>
              <w:pStyle w:val="TableText"/>
              <w:ind w:left="562"/>
              <w:spacing w:before="96" w:line="195" w:lineRule="auto"/>
              <w:rPr/>
            </w:pPr>
            <w:r>
              <w:rPr>
                <w:spacing w:val="1"/>
              </w:rPr>
              <w:t>6.3</w:t>
            </w:r>
          </w:p>
        </w:tc>
        <w:tc>
          <w:tcPr>
            <w:tcW w:w="1379" w:type="dxa"/>
            <w:vAlign w:val="top"/>
          </w:tcPr>
          <w:p>
            <w:pPr>
              <w:pStyle w:val="TableText"/>
              <w:ind w:left="406"/>
              <w:spacing w:before="96" w:line="195" w:lineRule="auto"/>
              <w:rPr/>
            </w:pPr>
            <w:r>
              <w:rPr>
                <w:spacing w:val="3"/>
              </w:rPr>
              <w:t>983.50</w:t>
            </w:r>
          </w:p>
        </w:tc>
        <w:tc>
          <w:tcPr>
            <w:tcW w:w="2780" w:type="dxa"/>
            <w:vAlign w:val="top"/>
          </w:tcPr>
          <w:p>
            <w:pPr>
              <w:ind w:left="869"/>
              <w:spacing w:before="60" w:line="228" w:lineRule="auto"/>
              <w:rPr>
                <w:rFonts w:ascii="SimSun" w:hAnsi="SimSun" w:eastAsia="SimSun" w:cs="SimSun"/>
                <w:sz w:val="20"/>
                <w:szCs w:val="20"/>
              </w:rPr>
            </w:pPr>
            <w:r>
              <w:rPr>
                <w:rFonts w:ascii="SimSun" w:hAnsi="SimSun" w:eastAsia="SimSun" w:cs="SimSun"/>
                <w:sz w:val="20"/>
                <w:szCs w:val="20"/>
                <w:spacing w:val="8"/>
              </w:rPr>
              <w:t>矿门口水井</w:t>
            </w:r>
          </w:p>
        </w:tc>
      </w:tr>
    </w:tbl>
    <w:p>
      <w:pPr>
        <w:ind w:left="2102"/>
        <w:spacing w:before="273" w:line="222" w:lineRule="auto"/>
        <w:rPr>
          <w:rFonts w:ascii="SimHei" w:hAnsi="SimHei" w:eastAsia="SimHei" w:cs="SimHei"/>
          <w:sz w:val="24"/>
          <w:szCs w:val="24"/>
        </w:rPr>
      </w:pPr>
      <w:r>
        <w:rPr>
          <w:rFonts w:ascii="SimHei" w:hAnsi="SimHei" w:eastAsia="SimHei" w:cs="SimHei"/>
          <w:sz w:val="24"/>
          <w:szCs w:val="24"/>
          <w:spacing w:val="-4"/>
        </w:rPr>
        <w:t>第四系潜水水位一览表（观测日期：</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5"/>
          <w:w w:val="101"/>
        </w:rPr>
        <w:t xml:space="preserve"> </w:t>
      </w:r>
      <w:r>
        <w:rPr>
          <w:rFonts w:ascii="SimHei" w:hAnsi="SimHei" w:eastAsia="SimHei" w:cs="SimHei"/>
          <w:sz w:val="24"/>
          <w:szCs w:val="24"/>
          <w:spacing w:val="-4"/>
        </w:rPr>
        <w:t>月</w:t>
      </w:r>
      <w:r>
        <w:rPr>
          <w:rFonts w:ascii="SimHei" w:hAnsi="SimHei" w:eastAsia="SimHei" w:cs="SimHei"/>
          <w:sz w:val="24"/>
          <w:szCs w:val="24"/>
          <w:spacing w:val="-55"/>
        </w:rPr>
        <w:t xml:space="preserve"> </w:t>
      </w:r>
      <w:r>
        <w:rPr>
          <w:rFonts w:ascii="Times New Roman" w:hAnsi="Times New Roman" w:eastAsia="Times New Roman" w:cs="Times New Roman"/>
          <w:sz w:val="24"/>
          <w:szCs w:val="24"/>
          <w:spacing w:val="-4"/>
        </w:rPr>
        <w:t>20</w:t>
      </w:r>
      <w:r>
        <w:rPr>
          <w:rFonts w:ascii="Times New Roman" w:hAnsi="Times New Roman" w:eastAsia="Times New Roman" w:cs="Times New Roman"/>
          <w:sz w:val="24"/>
          <w:szCs w:val="24"/>
          <w:spacing w:val="47"/>
        </w:rPr>
        <w:t xml:space="preserve"> </w:t>
      </w:r>
      <w:r>
        <w:rPr>
          <w:rFonts w:ascii="SimHei" w:hAnsi="SimHei" w:eastAsia="SimHei" w:cs="SimHei"/>
          <w:sz w:val="24"/>
          <w:szCs w:val="24"/>
          <w:spacing w:val="-4"/>
        </w:rPr>
        <w:t>日）</w:t>
      </w:r>
    </w:p>
    <w:p>
      <w:pPr>
        <w:ind w:left="112"/>
        <w:spacing w:before="209"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5-4-6</w:t>
      </w:r>
    </w:p>
    <w:p>
      <w:pPr>
        <w:spacing w:line="22" w:lineRule="exact"/>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7"/>
        <w:gridCol w:w="1377"/>
        <w:gridCol w:w="1183"/>
        <w:gridCol w:w="1377"/>
        <w:gridCol w:w="1379"/>
        <w:gridCol w:w="2780"/>
      </w:tblGrid>
      <w:tr>
        <w:trPr>
          <w:trHeight w:val="359" w:hRule="atLeast"/>
        </w:trPr>
        <w:tc>
          <w:tcPr>
            <w:tcW w:w="1187" w:type="dxa"/>
            <w:vAlign w:val="top"/>
            <w:vMerge w:val="restart"/>
            <w:tcBorders>
              <w:bottom w:val="nil"/>
            </w:tcBorders>
          </w:tcPr>
          <w:p>
            <w:pPr>
              <w:ind w:left="384"/>
              <w:spacing w:before="235" w:line="228" w:lineRule="auto"/>
              <w:rPr>
                <w:rFonts w:ascii="SimSun" w:hAnsi="SimSun" w:eastAsia="SimSun" w:cs="SimSun"/>
                <w:sz w:val="20"/>
                <w:szCs w:val="20"/>
              </w:rPr>
            </w:pPr>
            <w:r>
              <w:rPr>
                <w:rFonts w:ascii="SimSun" w:hAnsi="SimSun" w:eastAsia="SimSun" w:cs="SimSun"/>
                <w:sz w:val="20"/>
                <w:szCs w:val="20"/>
                <w:spacing w:val="4"/>
              </w:rPr>
              <w:t>井号</w:t>
            </w:r>
          </w:p>
        </w:tc>
        <w:tc>
          <w:tcPr>
            <w:tcW w:w="2560" w:type="dxa"/>
            <w:vAlign w:val="top"/>
            <w:gridSpan w:val="2"/>
          </w:tcPr>
          <w:p>
            <w:pPr>
              <w:ind w:left="1075"/>
              <w:spacing w:before="72" w:line="228" w:lineRule="auto"/>
              <w:rPr>
                <w:rFonts w:ascii="SimSun" w:hAnsi="SimSun" w:eastAsia="SimSun" w:cs="SimSun"/>
                <w:sz w:val="20"/>
                <w:szCs w:val="20"/>
              </w:rPr>
            </w:pPr>
            <w:r>
              <w:rPr>
                <w:rFonts w:ascii="SimSun" w:hAnsi="SimSun" w:eastAsia="SimSun" w:cs="SimSun"/>
                <w:sz w:val="20"/>
                <w:szCs w:val="20"/>
                <w:spacing w:val="4"/>
              </w:rPr>
              <w:t>坐标</w:t>
            </w:r>
          </w:p>
        </w:tc>
        <w:tc>
          <w:tcPr>
            <w:tcW w:w="1377" w:type="dxa"/>
            <w:vAlign w:val="top"/>
            <w:vMerge w:val="restart"/>
            <w:tcBorders>
              <w:bottom w:val="nil"/>
            </w:tcBorders>
          </w:tcPr>
          <w:p>
            <w:pPr>
              <w:pStyle w:val="TableText"/>
              <w:ind w:left="125"/>
              <w:spacing w:before="235" w:line="221" w:lineRule="auto"/>
              <w:rPr/>
            </w:pPr>
            <w:r>
              <w:rPr>
                <w:rFonts w:ascii="SimSun" w:hAnsi="SimSun" w:eastAsia="SimSun" w:cs="SimSun"/>
                <w:spacing w:val="5"/>
              </w:rPr>
              <w:t>水位埋深</w:t>
            </w:r>
            <w:r>
              <w:rPr>
                <w:spacing w:val="5"/>
              </w:rPr>
              <w:t>(m)</w:t>
            </w:r>
          </w:p>
        </w:tc>
        <w:tc>
          <w:tcPr>
            <w:tcW w:w="1379" w:type="dxa"/>
            <w:vAlign w:val="top"/>
            <w:vMerge w:val="restart"/>
            <w:tcBorders>
              <w:bottom w:val="nil"/>
            </w:tcBorders>
          </w:tcPr>
          <w:p>
            <w:pPr>
              <w:pStyle w:val="TableText"/>
              <w:ind w:left="123"/>
              <w:spacing w:before="235" w:line="221" w:lineRule="auto"/>
              <w:rPr/>
            </w:pPr>
            <w:r>
              <w:rPr>
                <w:rFonts w:ascii="SimSun" w:hAnsi="SimSun" w:eastAsia="SimSun" w:cs="SimSun"/>
                <w:spacing w:val="6"/>
              </w:rPr>
              <w:t>水位标高</w:t>
            </w:r>
            <w:r>
              <w:rPr>
                <w:spacing w:val="6"/>
              </w:rPr>
              <w:t>(m)</w:t>
            </w:r>
          </w:p>
        </w:tc>
        <w:tc>
          <w:tcPr>
            <w:tcW w:w="2780" w:type="dxa"/>
            <w:vAlign w:val="top"/>
            <w:vMerge w:val="restart"/>
            <w:tcBorders>
              <w:bottom w:val="nil"/>
            </w:tcBorders>
          </w:tcPr>
          <w:p>
            <w:pPr>
              <w:ind w:left="1187"/>
              <w:spacing w:before="235"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6" w:hRule="atLeast"/>
        </w:trPr>
        <w:tc>
          <w:tcPr>
            <w:tcW w:w="1187" w:type="dxa"/>
            <w:vAlign w:val="top"/>
            <w:vMerge w:val="continue"/>
            <w:tcBorders>
              <w:top w:val="nil"/>
            </w:tcBorders>
          </w:tcPr>
          <w:p>
            <w:pPr>
              <w:rPr>
                <w:rFonts w:ascii="Arial"/>
                <w:sz w:val="21"/>
              </w:rPr>
            </w:pPr>
            <w:r/>
          </w:p>
        </w:tc>
        <w:tc>
          <w:tcPr>
            <w:tcW w:w="1377" w:type="dxa"/>
            <w:vAlign w:val="top"/>
          </w:tcPr>
          <w:p>
            <w:pPr>
              <w:pStyle w:val="TableText"/>
              <w:ind w:left="632"/>
              <w:spacing w:before="138" w:line="138" w:lineRule="exact"/>
              <w:rPr/>
            </w:pPr>
            <w:r>
              <w:rPr>
                <w:spacing w:val="1"/>
              </w:rPr>
              <w:t>x</w:t>
            </w:r>
          </w:p>
        </w:tc>
        <w:tc>
          <w:tcPr>
            <w:tcW w:w="1183" w:type="dxa"/>
            <w:vAlign w:val="top"/>
          </w:tcPr>
          <w:p>
            <w:pPr>
              <w:pStyle w:val="TableText"/>
              <w:ind w:left="535"/>
              <w:spacing w:before="138" w:line="140" w:lineRule="exact"/>
              <w:rPr/>
            </w:pPr>
            <w:r>
              <w:rPr>
                <w:spacing w:val="3"/>
                <w:position w:val="2"/>
              </w:rPr>
              <w:t>y</w:t>
            </w:r>
          </w:p>
        </w:tc>
        <w:tc>
          <w:tcPr>
            <w:tcW w:w="1377" w:type="dxa"/>
            <w:vAlign w:val="top"/>
            <w:vMerge w:val="continue"/>
            <w:tcBorders>
              <w:top w:val="nil"/>
            </w:tcBorders>
          </w:tcPr>
          <w:p>
            <w:pPr>
              <w:rPr>
                <w:rFonts w:ascii="Arial"/>
                <w:sz w:val="21"/>
              </w:rPr>
            </w:pPr>
            <w:r/>
          </w:p>
        </w:tc>
        <w:tc>
          <w:tcPr>
            <w:tcW w:w="1379" w:type="dxa"/>
            <w:vAlign w:val="top"/>
            <w:vMerge w:val="continue"/>
            <w:tcBorders>
              <w:top w:val="nil"/>
            </w:tcBorders>
          </w:tcPr>
          <w:p>
            <w:pPr>
              <w:rPr>
                <w:rFonts w:ascii="Arial"/>
                <w:sz w:val="21"/>
              </w:rPr>
            </w:pPr>
            <w:r/>
          </w:p>
        </w:tc>
        <w:tc>
          <w:tcPr>
            <w:tcW w:w="2780" w:type="dxa"/>
            <w:vAlign w:val="top"/>
            <w:vMerge w:val="continue"/>
            <w:tcBorders>
              <w:top w:val="nil"/>
            </w:tcBorders>
          </w:tcPr>
          <w:p>
            <w:pPr>
              <w:rPr>
                <w:rFonts w:ascii="Arial"/>
                <w:sz w:val="21"/>
              </w:rPr>
            </w:pPr>
            <w:r/>
          </w:p>
        </w:tc>
      </w:tr>
      <w:tr>
        <w:trPr>
          <w:trHeight w:val="743" w:hRule="atLeast"/>
        </w:trPr>
        <w:tc>
          <w:tcPr>
            <w:tcW w:w="1187" w:type="dxa"/>
            <w:vAlign w:val="top"/>
          </w:tcPr>
          <w:p>
            <w:pPr>
              <w:pStyle w:val="TableText"/>
              <w:ind w:left="561"/>
              <w:spacing w:before="298" w:line="195" w:lineRule="auto"/>
              <w:rPr/>
            </w:pPr>
            <w:r>
              <w:rPr/>
              <w:t>1</w:t>
            </w:r>
          </w:p>
        </w:tc>
        <w:tc>
          <w:tcPr>
            <w:tcW w:w="1377" w:type="dxa"/>
            <w:vAlign w:val="top"/>
          </w:tcPr>
          <w:p>
            <w:pPr>
              <w:pStyle w:val="TableText"/>
              <w:ind w:left="269"/>
              <w:spacing w:before="298" w:line="195" w:lineRule="auto"/>
              <w:rPr/>
            </w:pPr>
            <w:r>
              <w:rPr>
                <w:spacing w:val="4"/>
              </w:rPr>
              <w:t>20634044</w:t>
            </w:r>
          </w:p>
        </w:tc>
        <w:tc>
          <w:tcPr>
            <w:tcW w:w="1183" w:type="dxa"/>
            <w:vAlign w:val="top"/>
          </w:tcPr>
          <w:p>
            <w:pPr>
              <w:pStyle w:val="TableText"/>
              <w:ind w:left="223"/>
              <w:spacing w:before="298" w:line="195" w:lineRule="auto"/>
              <w:rPr/>
            </w:pPr>
            <w:r>
              <w:rPr>
                <w:spacing w:val="4"/>
              </w:rPr>
              <w:t>4982698</w:t>
            </w:r>
          </w:p>
        </w:tc>
        <w:tc>
          <w:tcPr>
            <w:tcW w:w="1377" w:type="dxa"/>
            <w:vAlign w:val="top"/>
          </w:tcPr>
          <w:p>
            <w:pPr>
              <w:pStyle w:val="TableText"/>
              <w:ind w:left="525"/>
              <w:spacing w:before="298" w:line="195" w:lineRule="auto"/>
              <w:rPr/>
            </w:pPr>
            <w:r>
              <w:rPr>
                <w:spacing w:val="-2"/>
              </w:rPr>
              <w:t>12.0</w:t>
            </w:r>
          </w:p>
        </w:tc>
        <w:tc>
          <w:tcPr>
            <w:tcW w:w="1379" w:type="dxa"/>
            <w:vAlign w:val="top"/>
          </w:tcPr>
          <w:p>
            <w:pPr>
              <w:pStyle w:val="TableText"/>
              <w:ind w:left="406"/>
              <w:spacing w:before="298" w:line="195" w:lineRule="auto"/>
              <w:rPr/>
            </w:pPr>
            <w:r>
              <w:rPr>
                <w:spacing w:val="3"/>
              </w:rPr>
              <w:t>967.45</w:t>
            </w:r>
          </w:p>
        </w:tc>
        <w:tc>
          <w:tcPr>
            <w:tcW w:w="2780" w:type="dxa"/>
            <w:vAlign w:val="top"/>
          </w:tcPr>
          <w:p>
            <w:pPr>
              <w:ind w:left="241" w:right="131" w:hanging="107"/>
              <w:spacing w:before="100" w:line="292" w:lineRule="auto"/>
              <w:rPr>
                <w:rFonts w:ascii="SimSun" w:hAnsi="SimSun" w:eastAsia="SimSun" w:cs="SimSun"/>
                <w:sz w:val="20"/>
                <w:szCs w:val="20"/>
              </w:rPr>
            </w:pPr>
            <w:r>
              <w:rPr>
                <w:rFonts w:ascii="SimSun" w:hAnsi="SimSun" w:eastAsia="SimSun" w:cs="SimSun"/>
                <w:sz w:val="20"/>
                <w:szCs w:val="20"/>
                <w:spacing w:val="9"/>
              </w:rPr>
              <w:t>毛脑豪，图幅界外，用于绘</w:t>
            </w:r>
            <w:r>
              <w:rPr>
                <w:rFonts w:ascii="SimSun" w:hAnsi="SimSun" w:eastAsia="SimSun" w:cs="SimSun"/>
                <w:sz w:val="20"/>
                <w:szCs w:val="20"/>
                <w:spacing w:val="9"/>
              </w:rPr>
              <w:t>制水位线，不在图中显示</w:t>
            </w:r>
          </w:p>
        </w:tc>
      </w:tr>
      <w:tr>
        <w:trPr>
          <w:trHeight w:val="326" w:hRule="atLeast"/>
        </w:trPr>
        <w:tc>
          <w:tcPr>
            <w:tcW w:w="1187" w:type="dxa"/>
            <w:vAlign w:val="top"/>
          </w:tcPr>
          <w:p>
            <w:pPr>
              <w:pStyle w:val="TableText"/>
              <w:ind w:left="541"/>
              <w:spacing w:before="90" w:line="195" w:lineRule="auto"/>
              <w:rPr/>
            </w:pPr>
            <w:r>
              <w:rPr/>
              <w:t>2</w:t>
            </w:r>
          </w:p>
        </w:tc>
        <w:tc>
          <w:tcPr>
            <w:tcW w:w="1377" w:type="dxa"/>
            <w:vAlign w:val="top"/>
          </w:tcPr>
          <w:p>
            <w:pPr>
              <w:pStyle w:val="TableText"/>
              <w:ind w:left="269"/>
              <w:spacing w:before="90" w:line="195" w:lineRule="auto"/>
              <w:rPr/>
            </w:pPr>
            <w:r>
              <w:rPr>
                <w:spacing w:val="4"/>
              </w:rPr>
              <w:t>20632717</w:t>
            </w:r>
          </w:p>
        </w:tc>
        <w:tc>
          <w:tcPr>
            <w:tcW w:w="1183" w:type="dxa"/>
            <w:vAlign w:val="top"/>
          </w:tcPr>
          <w:p>
            <w:pPr>
              <w:pStyle w:val="TableText"/>
              <w:ind w:left="223"/>
              <w:spacing w:before="90" w:line="195" w:lineRule="auto"/>
              <w:rPr/>
            </w:pPr>
            <w:r>
              <w:rPr>
                <w:spacing w:val="4"/>
              </w:rPr>
              <w:t>4982412</w:t>
            </w:r>
          </w:p>
        </w:tc>
        <w:tc>
          <w:tcPr>
            <w:tcW w:w="1377" w:type="dxa"/>
            <w:vAlign w:val="top"/>
          </w:tcPr>
          <w:p>
            <w:pPr>
              <w:pStyle w:val="TableText"/>
              <w:ind w:left="561"/>
              <w:spacing w:before="90" w:line="195" w:lineRule="auto"/>
              <w:rPr/>
            </w:pPr>
            <w:r>
              <w:rPr>
                <w:spacing w:val="1"/>
              </w:rPr>
              <w:t>7.2</w:t>
            </w:r>
          </w:p>
        </w:tc>
        <w:tc>
          <w:tcPr>
            <w:tcW w:w="1379" w:type="dxa"/>
            <w:vAlign w:val="top"/>
          </w:tcPr>
          <w:p>
            <w:pPr>
              <w:rPr>
                <w:rFonts w:ascii="Arial"/>
                <w:sz w:val="21"/>
              </w:rPr>
            </w:pPr>
            <w:r/>
          </w:p>
        </w:tc>
        <w:tc>
          <w:tcPr>
            <w:tcW w:w="2780" w:type="dxa"/>
            <w:vAlign w:val="top"/>
          </w:tcPr>
          <w:p>
            <w:pPr>
              <w:pStyle w:val="TableText"/>
              <w:ind w:left="1106"/>
              <w:spacing w:before="54" w:line="227" w:lineRule="auto"/>
              <w:rPr/>
            </w:pPr>
            <w:r>
              <w:rPr>
                <w:rFonts w:ascii="SimSun" w:hAnsi="SimSun" w:eastAsia="SimSun" w:cs="SimSun"/>
                <w:spacing w:val="2"/>
              </w:rPr>
              <w:t>板凳</w:t>
            </w:r>
            <w:r>
              <w:rPr>
                <w:rFonts w:ascii="SimSun" w:hAnsi="SimSun" w:eastAsia="SimSun" w:cs="SimSun"/>
                <w:spacing w:val="-19"/>
              </w:rPr>
              <w:t xml:space="preserve"> </w:t>
            </w:r>
            <w:r>
              <w:rPr>
                <w:spacing w:val="2"/>
              </w:rPr>
              <w:t>1</w:t>
            </w:r>
          </w:p>
        </w:tc>
      </w:tr>
      <w:tr>
        <w:trPr>
          <w:trHeight w:val="326" w:hRule="atLeast"/>
        </w:trPr>
        <w:tc>
          <w:tcPr>
            <w:tcW w:w="1187" w:type="dxa"/>
            <w:vAlign w:val="top"/>
          </w:tcPr>
          <w:p>
            <w:pPr>
              <w:pStyle w:val="TableText"/>
              <w:ind w:left="289"/>
              <w:spacing w:before="55" w:line="221" w:lineRule="auto"/>
              <w:rPr/>
            </w:pPr>
            <w:r>
              <w:rPr>
                <w:spacing w:val="3"/>
              </w:rPr>
              <w:t>3(</w:t>
            </w:r>
            <w:r>
              <w:rPr>
                <w:rFonts w:ascii="SimSun" w:hAnsi="SimSun" w:eastAsia="SimSun" w:cs="SimSun"/>
                <w:spacing w:val="3"/>
              </w:rPr>
              <w:t>观</w:t>
            </w:r>
            <w:r>
              <w:rPr>
                <w:rFonts w:ascii="SimSun" w:hAnsi="SimSun" w:eastAsia="SimSun" w:cs="SimSun"/>
                <w:spacing w:val="-44"/>
              </w:rPr>
              <w:t xml:space="preserve"> </w:t>
            </w:r>
            <w:r>
              <w:rPr>
                <w:spacing w:val="3"/>
              </w:rPr>
              <w:t>2)</w:t>
            </w:r>
          </w:p>
        </w:tc>
        <w:tc>
          <w:tcPr>
            <w:tcW w:w="1377" w:type="dxa"/>
            <w:vAlign w:val="top"/>
          </w:tcPr>
          <w:p>
            <w:pPr>
              <w:pStyle w:val="TableText"/>
              <w:ind w:left="269"/>
              <w:spacing w:before="90" w:line="195" w:lineRule="auto"/>
              <w:rPr/>
            </w:pPr>
            <w:r>
              <w:rPr>
                <w:spacing w:val="4"/>
              </w:rPr>
              <w:t>20632609</w:t>
            </w:r>
          </w:p>
        </w:tc>
        <w:tc>
          <w:tcPr>
            <w:tcW w:w="1183" w:type="dxa"/>
            <w:vAlign w:val="top"/>
          </w:tcPr>
          <w:p>
            <w:pPr>
              <w:pStyle w:val="TableText"/>
              <w:ind w:left="223"/>
              <w:spacing w:before="90" w:line="195" w:lineRule="auto"/>
              <w:rPr/>
            </w:pPr>
            <w:r>
              <w:rPr>
                <w:spacing w:val="4"/>
              </w:rPr>
              <w:t>4979504</w:t>
            </w:r>
          </w:p>
        </w:tc>
        <w:tc>
          <w:tcPr>
            <w:tcW w:w="1377" w:type="dxa"/>
            <w:vAlign w:val="top"/>
          </w:tcPr>
          <w:p>
            <w:pPr>
              <w:pStyle w:val="TableText"/>
              <w:ind w:left="561"/>
              <w:spacing w:before="90" w:line="195" w:lineRule="auto"/>
              <w:rPr/>
            </w:pPr>
            <w:r>
              <w:rPr>
                <w:spacing w:val="1"/>
              </w:rPr>
              <w:t>7.0</w:t>
            </w:r>
          </w:p>
        </w:tc>
        <w:tc>
          <w:tcPr>
            <w:tcW w:w="1379" w:type="dxa"/>
            <w:vAlign w:val="top"/>
          </w:tcPr>
          <w:p>
            <w:pPr>
              <w:pStyle w:val="TableText"/>
              <w:ind w:left="406"/>
              <w:spacing w:before="90" w:line="195" w:lineRule="auto"/>
              <w:rPr/>
            </w:pPr>
            <w:r>
              <w:rPr>
                <w:spacing w:val="3"/>
              </w:rPr>
              <w:t>975.40</w:t>
            </w:r>
          </w:p>
        </w:tc>
        <w:tc>
          <w:tcPr>
            <w:tcW w:w="2780" w:type="dxa"/>
            <w:vAlign w:val="top"/>
          </w:tcPr>
          <w:p>
            <w:pPr>
              <w:ind w:left="660"/>
              <w:spacing w:before="54"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6" w:hRule="atLeast"/>
        </w:trPr>
        <w:tc>
          <w:tcPr>
            <w:tcW w:w="1187" w:type="dxa"/>
            <w:vAlign w:val="top"/>
          </w:tcPr>
          <w:p>
            <w:pPr>
              <w:pStyle w:val="TableText"/>
              <w:ind w:left="283"/>
              <w:spacing w:before="55" w:line="221" w:lineRule="auto"/>
              <w:rPr/>
            </w:pPr>
            <w:r>
              <w:rPr>
                <w:spacing w:val="4"/>
              </w:rPr>
              <w:t>4(</w:t>
            </w:r>
            <w:r>
              <w:rPr>
                <w:rFonts w:ascii="SimSun" w:hAnsi="SimSun" w:eastAsia="SimSun" w:cs="SimSun"/>
                <w:spacing w:val="4"/>
              </w:rPr>
              <w:t>观</w:t>
            </w:r>
            <w:r>
              <w:rPr>
                <w:rFonts w:ascii="SimSun" w:hAnsi="SimSun" w:eastAsia="SimSun" w:cs="SimSun"/>
                <w:spacing w:val="-44"/>
              </w:rPr>
              <w:t xml:space="preserve"> </w:t>
            </w:r>
            <w:r>
              <w:rPr>
                <w:spacing w:val="4"/>
              </w:rPr>
              <w:t>2)</w:t>
            </w:r>
          </w:p>
        </w:tc>
        <w:tc>
          <w:tcPr>
            <w:tcW w:w="1377" w:type="dxa"/>
            <w:vAlign w:val="top"/>
          </w:tcPr>
          <w:p>
            <w:pPr>
              <w:pStyle w:val="TableText"/>
              <w:ind w:left="269"/>
              <w:spacing w:before="91" w:line="195" w:lineRule="auto"/>
              <w:rPr/>
            </w:pPr>
            <w:r>
              <w:rPr>
                <w:spacing w:val="4"/>
              </w:rPr>
              <w:t>20632732</w:t>
            </w:r>
          </w:p>
        </w:tc>
        <w:tc>
          <w:tcPr>
            <w:tcW w:w="1183" w:type="dxa"/>
            <w:vAlign w:val="top"/>
          </w:tcPr>
          <w:p>
            <w:pPr>
              <w:pStyle w:val="TableText"/>
              <w:ind w:left="223"/>
              <w:spacing w:before="91" w:line="195" w:lineRule="auto"/>
              <w:rPr/>
            </w:pPr>
            <w:r>
              <w:rPr>
                <w:spacing w:val="4"/>
              </w:rPr>
              <w:t>4979610</w:t>
            </w:r>
          </w:p>
        </w:tc>
        <w:tc>
          <w:tcPr>
            <w:tcW w:w="1377" w:type="dxa"/>
            <w:vAlign w:val="top"/>
          </w:tcPr>
          <w:p>
            <w:pPr>
              <w:pStyle w:val="TableText"/>
              <w:ind w:left="563"/>
              <w:spacing w:before="91" w:line="195" w:lineRule="auto"/>
              <w:rPr/>
            </w:pPr>
            <w:r>
              <w:rPr/>
              <w:t>5.8</w:t>
            </w:r>
          </w:p>
        </w:tc>
        <w:tc>
          <w:tcPr>
            <w:tcW w:w="1379" w:type="dxa"/>
            <w:vAlign w:val="top"/>
          </w:tcPr>
          <w:p>
            <w:pPr>
              <w:pStyle w:val="TableText"/>
              <w:ind w:left="406"/>
              <w:spacing w:before="91" w:line="195" w:lineRule="auto"/>
              <w:rPr/>
            </w:pPr>
            <w:r>
              <w:rPr>
                <w:spacing w:val="3"/>
              </w:rPr>
              <w:t>975.30</w:t>
            </w:r>
          </w:p>
        </w:tc>
        <w:tc>
          <w:tcPr>
            <w:tcW w:w="2780" w:type="dxa"/>
            <w:vAlign w:val="top"/>
          </w:tcPr>
          <w:p>
            <w:pPr>
              <w:ind w:left="660"/>
              <w:spacing w:before="54"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6" w:hRule="atLeast"/>
        </w:trPr>
        <w:tc>
          <w:tcPr>
            <w:tcW w:w="1187" w:type="dxa"/>
            <w:vAlign w:val="top"/>
          </w:tcPr>
          <w:p>
            <w:pPr>
              <w:pStyle w:val="TableText"/>
              <w:ind w:left="547"/>
              <w:spacing w:before="94" w:line="192" w:lineRule="auto"/>
              <w:rPr/>
            </w:pPr>
            <w:r>
              <w:rPr/>
              <w:t>5</w:t>
            </w:r>
          </w:p>
        </w:tc>
        <w:tc>
          <w:tcPr>
            <w:tcW w:w="1377" w:type="dxa"/>
            <w:vAlign w:val="top"/>
          </w:tcPr>
          <w:p>
            <w:pPr>
              <w:pStyle w:val="TableText"/>
              <w:ind w:left="269"/>
              <w:spacing w:before="91" w:line="195" w:lineRule="auto"/>
              <w:rPr/>
            </w:pPr>
            <w:r>
              <w:rPr>
                <w:spacing w:val="4"/>
              </w:rPr>
              <w:t>20631789</w:t>
            </w:r>
          </w:p>
        </w:tc>
        <w:tc>
          <w:tcPr>
            <w:tcW w:w="1183" w:type="dxa"/>
            <w:vAlign w:val="top"/>
          </w:tcPr>
          <w:p>
            <w:pPr>
              <w:pStyle w:val="TableText"/>
              <w:ind w:left="223"/>
              <w:spacing w:before="91" w:line="195" w:lineRule="auto"/>
              <w:rPr/>
            </w:pPr>
            <w:r>
              <w:rPr>
                <w:spacing w:val="4"/>
              </w:rPr>
              <w:t>4979903</w:t>
            </w:r>
          </w:p>
        </w:tc>
        <w:tc>
          <w:tcPr>
            <w:tcW w:w="1377" w:type="dxa"/>
            <w:vAlign w:val="top"/>
          </w:tcPr>
          <w:p>
            <w:pPr>
              <w:pStyle w:val="TableText"/>
              <w:ind w:left="557"/>
              <w:spacing w:before="91" w:line="195" w:lineRule="auto"/>
              <w:rPr/>
            </w:pPr>
            <w:r>
              <w:rPr>
                <w:spacing w:val="2"/>
              </w:rPr>
              <w:t>2.0</w:t>
            </w:r>
          </w:p>
        </w:tc>
        <w:tc>
          <w:tcPr>
            <w:tcW w:w="1379" w:type="dxa"/>
            <w:vAlign w:val="top"/>
          </w:tcPr>
          <w:p>
            <w:pPr>
              <w:pStyle w:val="TableText"/>
              <w:ind w:left="406"/>
              <w:spacing w:before="91" w:line="195" w:lineRule="auto"/>
              <w:rPr/>
            </w:pPr>
            <w:r>
              <w:rPr>
                <w:spacing w:val="3"/>
              </w:rPr>
              <w:t>973.40</w:t>
            </w:r>
          </w:p>
        </w:tc>
        <w:tc>
          <w:tcPr>
            <w:tcW w:w="2780" w:type="dxa"/>
            <w:vAlign w:val="top"/>
          </w:tcPr>
          <w:p>
            <w:pPr>
              <w:rPr>
                <w:rFonts w:ascii="Arial"/>
                <w:sz w:val="21"/>
              </w:rPr>
            </w:pPr>
            <w:r/>
          </w:p>
        </w:tc>
      </w:tr>
      <w:tr>
        <w:trPr>
          <w:trHeight w:val="326" w:hRule="atLeast"/>
        </w:trPr>
        <w:tc>
          <w:tcPr>
            <w:tcW w:w="1187" w:type="dxa"/>
            <w:vAlign w:val="top"/>
          </w:tcPr>
          <w:p>
            <w:pPr>
              <w:pStyle w:val="TableText"/>
              <w:ind w:left="546"/>
              <w:spacing w:before="91" w:line="195" w:lineRule="auto"/>
              <w:rPr/>
            </w:pPr>
            <w:r>
              <w:rPr/>
              <w:t>6</w:t>
            </w:r>
          </w:p>
        </w:tc>
        <w:tc>
          <w:tcPr>
            <w:tcW w:w="1377" w:type="dxa"/>
            <w:vAlign w:val="top"/>
          </w:tcPr>
          <w:p>
            <w:pPr>
              <w:pStyle w:val="TableText"/>
              <w:ind w:left="269"/>
              <w:spacing w:before="91" w:line="195" w:lineRule="auto"/>
              <w:rPr/>
            </w:pPr>
            <w:r>
              <w:rPr>
                <w:spacing w:val="4"/>
              </w:rPr>
              <w:t>20632567</w:t>
            </w:r>
          </w:p>
        </w:tc>
        <w:tc>
          <w:tcPr>
            <w:tcW w:w="1183" w:type="dxa"/>
            <w:vAlign w:val="top"/>
          </w:tcPr>
          <w:p>
            <w:pPr>
              <w:pStyle w:val="TableText"/>
              <w:ind w:left="223"/>
              <w:spacing w:before="91" w:line="195" w:lineRule="auto"/>
              <w:rPr/>
            </w:pPr>
            <w:r>
              <w:rPr>
                <w:spacing w:val="4"/>
              </w:rPr>
              <w:t>4982173</w:t>
            </w:r>
          </w:p>
        </w:tc>
        <w:tc>
          <w:tcPr>
            <w:tcW w:w="1377" w:type="dxa"/>
            <w:vAlign w:val="top"/>
          </w:tcPr>
          <w:p>
            <w:pPr>
              <w:pStyle w:val="TableText"/>
              <w:ind w:left="562"/>
              <w:spacing w:before="91" w:line="195" w:lineRule="auto"/>
              <w:rPr/>
            </w:pPr>
            <w:r>
              <w:rPr>
                <w:spacing w:val="-1"/>
              </w:rPr>
              <w:t>6.</w:t>
            </w:r>
            <w:r>
              <w:rPr>
                <w:spacing w:val="-25"/>
              </w:rPr>
              <w:t xml:space="preserve"> </w:t>
            </w:r>
            <w:r>
              <w:rPr>
                <w:spacing w:val="-1"/>
              </w:rPr>
              <w:t>1</w:t>
            </w:r>
          </w:p>
        </w:tc>
        <w:tc>
          <w:tcPr>
            <w:tcW w:w="1379" w:type="dxa"/>
            <w:vAlign w:val="top"/>
          </w:tcPr>
          <w:p>
            <w:pPr>
              <w:pStyle w:val="TableText"/>
              <w:ind w:left="406"/>
              <w:spacing w:before="91" w:line="195" w:lineRule="auto"/>
              <w:rPr/>
            </w:pPr>
            <w:r>
              <w:rPr>
                <w:spacing w:val="3"/>
              </w:rPr>
              <w:t>972.30</w:t>
            </w:r>
          </w:p>
        </w:tc>
        <w:tc>
          <w:tcPr>
            <w:tcW w:w="2780" w:type="dxa"/>
            <w:vAlign w:val="top"/>
          </w:tcPr>
          <w:p>
            <w:pPr>
              <w:rPr>
                <w:rFonts w:ascii="Arial"/>
                <w:sz w:val="21"/>
              </w:rPr>
            </w:pPr>
            <w:r/>
          </w:p>
        </w:tc>
      </w:tr>
      <w:tr>
        <w:trPr>
          <w:trHeight w:val="323" w:hRule="atLeast"/>
        </w:trPr>
        <w:tc>
          <w:tcPr>
            <w:tcW w:w="1187" w:type="dxa"/>
            <w:vAlign w:val="top"/>
          </w:tcPr>
          <w:p>
            <w:pPr>
              <w:pStyle w:val="TableText"/>
              <w:ind w:left="317"/>
              <w:spacing w:before="87" w:line="201" w:lineRule="auto"/>
              <w:rPr/>
            </w:pPr>
            <w:r>
              <w:rPr>
                <w:spacing w:val="3"/>
              </w:rPr>
              <w:t>7(17#)</w:t>
            </w:r>
          </w:p>
        </w:tc>
        <w:tc>
          <w:tcPr>
            <w:tcW w:w="1377" w:type="dxa"/>
            <w:vAlign w:val="top"/>
          </w:tcPr>
          <w:p>
            <w:pPr>
              <w:pStyle w:val="TableText"/>
              <w:ind w:left="273"/>
              <w:spacing w:before="91" w:line="195" w:lineRule="auto"/>
              <w:rPr/>
            </w:pPr>
            <w:r>
              <w:rPr>
                <w:spacing w:val="3"/>
              </w:rPr>
              <w:t>20631192</w:t>
            </w:r>
          </w:p>
        </w:tc>
        <w:tc>
          <w:tcPr>
            <w:tcW w:w="1183" w:type="dxa"/>
            <w:vAlign w:val="top"/>
          </w:tcPr>
          <w:p>
            <w:pPr>
              <w:pStyle w:val="TableText"/>
              <w:ind w:left="223"/>
              <w:spacing w:before="91" w:line="195" w:lineRule="auto"/>
              <w:rPr/>
            </w:pPr>
            <w:r>
              <w:rPr>
                <w:spacing w:val="4"/>
              </w:rPr>
              <w:t>4983942</w:t>
            </w:r>
          </w:p>
        </w:tc>
        <w:tc>
          <w:tcPr>
            <w:tcW w:w="1377" w:type="dxa"/>
            <w:vAlign w:val="top"/>
          </w:tcPr>
          <w:p>
            <w:pPr>
              <w:pStyle w:val="TableText"/>
              <w:ind w:left="557"/>
              <w:spacing w:before="91" w:line="195" w:lineRule="auto"/>
              <w:rPr/>
            </w:pPr>
            <w:r>
              <w:rPr>
                <w:spacing w:val="2"/>
              </w:rPr>
              <w:t>2.9</w:t>
            </w:r>
          </w:p>
        </w:tc>
        <w:tc>
          <w:tcPr>
            <w:tcW w:w="1379" w:type="dxa"/>
            <w:vAlign w:val="top"/>
          </w:tcPr>
          <w:p>
            <w:pPr>
              <w:pStyle w:val="TableText"/>
              <w:ind w:left="406"/>
              <w:spacing w:before="91" w:line="195" w:lineRule="auto"/>
              <w:rPr/>
            </w:pPr>
            <w:r>
              <w:rPr>
                <w:spacing w:val="3"/>
              </w:rPr>
              <w:t>968.86</w:t>
            </w:r>
          </w:p>
        </w:tc>
        <w:tc>
          <w:tcPr>
            <w:tcW w:w="2780" w:type="dxa"/>
            <w:vAlign w:val="top"/>
          </w:tcPr>
          <w:p>
            <w:pPr>
              <w:rPr>
                <w:rFonts w:ascii="Arial"/>
                <w:sz w:val="21"/>
              </w:rPr>
            </w:pPr>
            <w:r/>
          </w:p>
        </w:tc>
      </w:tr>
      <w:tr>
        <w:trPr>
          <w:trHeight w:val="326" w:hRule="atLeast"/>
        </w:trPr>
        <w:tc>
          <w:tcPr>
            <w:tcW w:w="1187" w:type="dxa"/>
            <w:vAlign w:val="top"/>
          </w:tcPr>
          <w:p>
            <w:pPr>
              <w:pStyle w:val="TableText"/>
              <w:ind w:left="550"/>
              <w:spacing w:before="94" w:line="195" w:lineRule="auto"/>
              <w:rPr/>
            </w:pPr>
            <w:r>
              <w:rPr/>
              <w:t>8</w:t>
            </w:r>
          </w:p>
        </w:tc>
        <w:tc>
          <w:tcPr>
            <w:tcW w:w="1377" w:type="dxa"/>
            <w:vAlign w:val="top"/>
          </w:tcPr>
          <w:p>
            <w:pPr>
              <w:pStyle w:val="TableText"/>
              <w:ind w:left="269"/>
              <w:spacing w:before="94" w:line="195" w:lineRule="auto"/>
              <w:rPr/>
            </w:pPr>
            <w:r>
              <w:rPr>
                <w:spacing w:val="4"/>
              </w:rPr>
              <w:t>20632348</w:t>
            </w:r>
          </w:p>
        </w:tc>
        <w:tc>
          <w:tcPr>
            <w:tcW w:w="1183" w:type="dxa"/>
            <w:vAlign w:val="top"/>
          </w:tcPr>
          <w:p>
            <w:pPr>
              <w:pStyle w:val="TableText"/>
              <w:ind w:left="223"/>
              <w:spacing w:before="94" w:line="195" w:lineRule="auto"/>
              <w:rPr/>
            </w:pPr>
            <w:r>
              <w:rPr>
                <w:spacing w:val="4"/>
              </w:rPr>
              <w:t>4983685</w:t>
            </w:r>
          </w:p>
        </w:tc>
        <w:tc>
          <w:tcPr>
            <w:tcW w:w="1377" w:type="dxa"/>
            <w:vAlign w:val="top"/>
          </w:tcPr>
          <w:p>
            <w:pPr>
              <w:pStyle w:val="TableText"/>
              <w:ind w:left="562"/>
              <w:spacing w:before="94" w:line="195" w:lineRule="auto"/>
              <w:rPr/>
            </w:pPr>
            <w:r>
              <w:rPr>
                <w:spacing w:val="1"/>
              </w:rPr>
              <w:t>6.2</w:t>
            </w:r>
          </w:p>
        </w:tc>
        <w:tc>
          <w:tcPr>
            <w:tcW w:w="1379" w:type="dxa"/>
            <w:vAlign w:val="top"/>
          </w:tcPr>
          <w:p>
            <w:pPr>
              <w:pStyle w:val="TableText"/>
              <w:ind w:left="406"/>
              <w:spacing w:before="94" w:line="195" w:lineRule="auto"/>
              <w:rPr/>
            </w:pPr>
            <w:r>
              <w:rPr>
                <w:spacing w:val="3"/>
              </w:rPr>
              <w:t>969.50</w:t>
            </w:r>
          </w:p>
        </w:tc>
        <w:tc>
          <w:tcPr>
            <w:tcW w:w="2780" w:type="dxa"/>
            <w:vAlign w:val="top"/>
          </w:tcPr>
          <w:p>
            <w:pPr>
              <w:pStyle w:val="TableText"/>
              <w:ind w:left="1106"/>
              <w:spacing w:before="58" w:line="227" w:lineRule="auto"/>
              <w:rPr/>
            </w:pPr>
            <w:r>
              <w:rPr>
                <w:rFonts w:ascii="SimSun" w:hAnsi="SimSun" w:eastAsia="SimSun" w:cs="SimSun"/>
                <w:spacing w:val="2"/>
              </w:rPr>
              <w:t>板凳</w:t>
            </w:r>
            <w:r>
              <w:rPr>
                <w:rFonts w:ascii="SimSun" w:hAnsi="SimSun" w:eastAsia="SimSun" w:cs="SimSun"/>
                <w:spacing w:val="-39"/>
              </w:rPr>
              <w:t xml:space="preserve"> </w:t>
            </w:r>
            <w:r>
              <w:rPr>
                <w:spacing w:val="2"/>
              </w:rPr>
              <w:t>2</w:t>
            </w:r>
          </w:p>
        </w:tc>
      </w:tr>
      <w:tr>
        <w:trPr>
          <w:trHeight w:val="325" w:hRule="atLeast"/>
        </w:trPr>
        <w:tc>
          <w:tcPr>
            <w:tcW w:w="1187" w:type="dxa"/>
            <w:vAlign w:val="top"/>
          </w:tcPr>
          <w:p>
            <w:pPr>
              <w:pStyle w:val="TableText"/>
              <w:ind w:left="545"/>
              <w:spacing w:before="95" w:line="195" w:lineRule="auto"/>
              <w:rPr/>
            </w:pPr>
            <w:r>
              <w:rPr/>
              <w:t>9</w:t>
            </w:r>
          </w:p>
        </w:tc>
        <w:tc>
          <w:tcPr>
            <w:tcW w:w="1377" w:type="dxa"/>
            <w:vAlign w:val="top"/>
          </w:tcPr>
          <w:p>
            <w:pPr>
              <w:pStyle w:val="TableText"/>
              <w:ind w:left="269"/>
              <w:spacing w:before="95" w:line="195" w:lineRule="auto"/>
              <w:rPr/>
            </w:pPr>
            <w:r>
              <w:rPr>
                <w:spacing w:val="4"/>
              </w:rPr>
              <w:t>20631566</w:t>
            </w:r>
          </w:p>
        </w:tc>
        <w:tc>
          <w:tcPr>
            <w:tcW w:w="1183" w:type="dxa"/>
            <w:vAlign w:val="top"/>
          </w:tcPr>
          <w:p>
            <w:pPr>
              <w:pStyle w:val="TableText"/>
              <w:ind w:left="223"/>
              <w:spacing w:before="95" w:line="195" w:lineRule="auto"/>
              <w:rPr/>
            </w:pPr>
            <w:r>
              <w:rPr>
                <w:spacing w:val="4"/>
              </w:rPr>
              <w:t>4981997</w:t>
            </w:r>
          </w:p>
        </w:tc>
        <w:tc>
          <w:tcPr>
            <w:tcW w:w="1377" w:type="dxa"/>
            <w:vAlign w:val="top"/>
          </w:tcPr>
          <w:p>
            <w:pPr>
              <w:pStyle w:val="TableText"/>
              <w:ind w:left="557"/>
              <w:spacing w:before="95" w:line="195" w:lineRule="auto"/>
              <w:rPr/>
            </w:pPr>
            <w:r>
              <w:rPr>
                <w:spacing w:val="2"/>
              </w:rPr>
              <w:t>2.0</w:t>
            </w:r>
          </w:p>
        </w:tc>
        <w:tc>
          <w:tcPr>
            <w:tcW w:w="1379" w:type="dxa"/>
            <w:vAlign w:val="top"/>
          </w:tcPr>
          <w:p>
            <w:pPr>
              <w:pStyle w:val="TableText"/>
              <w:ind w:left="406"/>
              <w:spacing w:before="95" w:line="195" w:lineRule="auto"/>
              <w:rPr/>
            </w:pPr>
            <w:r>
              <w:rPr>
                <w:spacing w:val="3"/>
              </w:rPr>
              <w:t>967.60</w:t>
            </w:r>
          </w:p>
        </w:tc>
        <w:tc>
          <w:tcPr>
            <w:tcW w:w="2780" w:type="dxa"/>
            <w:vAlign w:val="top"/>
          </w:tcPr>
          <w:p>
            <w:pPr>
              <w:rPr>
                <w:rFonts w:ascii="Arial"/>
                <w:sz w:val="21"/>
              </w:rPr>
            </w:pPr>
            <w:r/>
          </w:p>
        </w:tc>
      </w:tr>
      <w:tr>
        <w:trPr>
          <w:trHeight w:val="326" w:hRule="atLeast"/>
        </w:trPr>
        <w:tc>
          <w:tcPr>
            <w:tcW w:w="1187" w:type="dxa"/>
            <w:vAlign w:val="top"/>
          </w:tcPr>
          <w:p>
            <w:pPr>
              <w:pStyle w:val="TableText"/>
              <w:ind w:left="509"/>
              <w:spacing w:before="96" w:line="195" w:lineRule="auto"/>
              <w:rPr/>
            </w:pPr>
            <w:r>
              <w:rPr>
                <w:spacing w:val="-8"/>
              </w:rPr>
              <w:t>10</w:t>
            </w:r>
          </w:p>
        </w:tc>
        <w:tc>
          <w:tcPr>
            <w:tcW w:w="1377" w:type="dxa"/>
            <w:vAlign w:val="top"/>
          </w:tcPr>
          <w:p>
            <w:pPr>
              <w:pStyle w:val="TableText"/>
              <w:ind w:left="269"/>
              <w:spacing w:before="96" w:line="195" w:lineRule="auto"/>
              <w:rPr/>
            </w:pPr>
            <w:r>
              <w:rPr>
                <w:spacing w:val="4"/>
              </w:rPr>
              <w:t>20632643</w:t>
            </w:r>
          </w:p>
        </w:tc>
        <w:tc>
          <w:tcPr>
            <w:tcW w:w="1183" w:type="dxa"/>
            <w:vAlign w:val="top"/>
          </w:tcPr>
          <w:p>
            <w:pPr>
              <w:pStyle w:val="TableText"/>
              <w:ind w:left="223"/>
              <w:spacing w:before="96" w:line="195" w:lineRule="auto"/>
              <w:rPr/>
            </w:pPr>
            <w:r>
              <w:rPr>
                <w:spacing w:val="4"/>
              </w:rPr>
              <w:t>4983868</w:t>
            </w:r>
          </w:p>
        </w:tc>
        <w:tc>
          <w:tcPr>
            <w:tcW w:w="1377" w:type="dxa"/>
            <w:vAlign w:val="top"/>
          </w:tcPr>
          <w:p>
            <w:pPr>
              <w:pStyle w:val="TableText"/>
              <w:ind w:left="561"/>
              <w:spacing w:before="96" w:line="195" w:lineRule="auto"/>
              <w:rPr/>
            </w:pPr>
            <w:r>
              <w:rPr>
                <w:spacing w:val="1"/>
              </w:rPr>
              <w:t>7.0</w:t>
            </w:r>
          </w:p>
        </w:tc>
        <w:tc>
          <w:tcPr>
            <w:tcW w:w="1379" w:type="dxa"/>
            <w:vAlign w:val="top"/>
          </w:tcPr>
          <w:p>
            <w:pPr>
              <w:pStyle w:val="TableText"/>
              <w:ind w:left="406"/>
              <w:spacing w:before="96" w:line="195" w:lineRule="auto"/>
              <w:rPr/>
            </w:pPr>
            <w:r>
              <w:rPr>
                <w:spacing w:val="3"/>
              </w:rPr>
              <w:t>970.50</w:t>
            </w:r>
          </w:p>
        </w:tc>
        <w:tc>
          <w:tcPr>
            <w:tcW w:w="2780" w:type="dxa"/>
            <w:vAlign w:val="top"/>
          </w:tcPr>
          <w:p>
            <w:pPr>
              <w:ind w:left="1186"/>
              <w:spacing w:before="60" w:line="228" w:lineRule="auto"/>
              <w:rPr>
                <w:rFonts w:ascii="SimSun" w:hAnsi="SimSun" w:eastAsia="SimSun" w:cs="SimSun"/>
                <w:sz w:val="20"/>
                <w:szCs w:val="20"/>
              </w:rPr>
            </w:pPr>
            <w:r>
              <w:rPr>
                <w:rFonts w:ascii="SimSun" w:hAnsi="SimSun" w:eastAsia="SimSun" w:cs="SimSun"/>
                <w:sz w:val="20"/>
                <w:szCs w:val="20"/>
                <w:spacing w:val="3"/>
              </w:rPr>
              <w:t>乌拉</w:t>
            </w:r>
          </w:p>
        </w:tc>
      </w:tr>
      <w:tr>
        <w:trPr>
          <w:trHeight w:val="326" w:hRule="atLeast"/>
        </w:trPr>
        <w:tc>
          <w:tcPr>
            <w:tcW w:w="1187" w:type="dxa"/>
            <w:vAlign w:val="top"/>
          </w:tcPr>
          <w:p>
            <w:pPr>
              <w:pStyle w:val="TableText"/>
              <w:ind w:left="285"/>
              <w:spacing w:before="92" w:line="201" w:lineRule="auto"/>
              <w:rPr/>
            </w:pPr>
            <w:r>
              <w:rPr>
                <w:spacing w:val="-1"/>
              </w:rPr>
              <w:t>11(15#)</w:t>
            </w:r>
          </w:p>
        </w:tc>
        <w:tc>
          <w:tcPr>
            <w:tcW w:w="1377" w:type="dxa"/>
            <w:vAlign w:val="top"/>
          </w:tcPr>
          <w:p>
            <w:pPr>
              <w:pStyle w:val="TableText"/>
              <w:ind w:left="269"/>
              <w:spacing w:before="96" w:line="195" w:lineRule="auto"/>
              <w:rPr/>
            </w:pPr>
            <w:r>
              <w:rPr>
                <w:spacing w:val="4"/>
              </w:rPr>
              <w:t>20631035</w:t>
            </w:r>
          </w:p>
        </w:tc>
        <w:tc>
          <w:tcPr>
            <w:tcW w:w="1183" w:type="dxa"/>
            <w:vAlign w:val="top"/>
          </w:tcPr>
          <w:p>
            <w:pPr>
              <w:pStyle w:val="TableText"/>
              <w:ind w:left="223"/>
              <w:spacing w:before="96" w:line="195" w:lineRule="auto"/>
              <w:rPr/>
            </w:pPr>
            <w:r>
              <w:rPr>
                <w:spacing w:val="4"/>
              </w:rPr>
              <w:t>4984203</w:t>
            </w:r>
          </w:p>
        </w:tc>
        <w:tc>
          <w:tcPr>
            <w:tcW w:w="1377" w:type="dxa"/>
            <w:vAlign w:val="top"/>
          </w:tcPr>
          <w:p>
            <w:pPr>
              <w:pStyle w:val="TableText"/>
              <w:ind w:left="557"/>
              <w:spacing w:before="96" w:line="195" w:lineRule="auto"/>
              <w:rPr/>
            </w:pPr>
            <w:r>
              <w:rPr>
                <w:spacing w:val="2"/>
              </w:rPr>
              <w:t>2.3</w:t>
            </w:r>
          </w:p>
        </w:tc>
        <w:tc>
          <w:tcPr>
            <w:tcW w:w="1379" w:type="dxa"/>
            <w:vAlign w:val="top"/>
          </w:tcPr>
          <w:p>
            <w:pPr>
              <w:pStyle w:val="TableText"/>
              <w:ind w:left="406"/>
              <w:spacing w:before="96" w:line="195" w:lineRule="auto"/>
              <w:rPr/>
            </w:pPr>
            <w:r>
              <w:rPr>
                <w:spacing w:val="3"/>
              </w:rPr>
              <w:t>967.55</w:t>
            </w:r>
          </w:p>
        </w:tc>
        <w:tc>
          <w:tcPr>
            <w:tcW w:w="2780" w:type="dxa"/>
            <w:vAlign w:val="top"/>
          </w:tcPr>
          <w:p>
            <w:pPr>
              <w:rPr>
                <w:rFonts w:ascii="Arial"/>
                <w:sz w:val="21"/>
              </w:rPr>
            </w:pPr>
            <w:r/>
          </w:p>
        </w:tc>
      </w:tr>
      <w:tr>
        <w:trPr>
          <w:trHeight w:val="326" w:hRule="atLeast"/>
        </w:trPr>
        <w:tc>
          <w:tcPr>
            <w:tcW w:w="1187" w:type="dxa"/>
            <w:vAlign w:val="top"/>
          </w:tcPr>
          <w:p>
            <w:pPr>
              <w:pStyle w:val="TableText"/>
              <w:ind w:left="281"/>
              <w:spacing w:before="90" w:line="201" w:lineRule="auto"/>
              <w:rPr/>
            </w:pPr>
            <w:r>
              <w:rPr>
                <w:spacing w:val="1"/>
              </w:rPr>
              <w:t>12(15#)</w:t>
            </w:r>
          </w:p>
        </w:tc>
        <w:tc>
          <w:tcPr>
            <w:tcW w:w="1377" w:type="dxa"/>
            <w:vAlign w:val="top"/>
          </w:tcPr>
          <w:p>
            <w:pPr>
              <w:pStyle w:val="TableText"/>
              <w:ind w:left="269"/>
              <w:spacing w:before="94" w:line="195" w:lineRule="auto"/>
              <w:rPr/>
            </w:pPr>
            <w:r>
              <w:rPr>
                <w:spacing w:val="4"/>
              </w:rPr>
              <w:t>20630965</w:t>
            </w:r>
          </w:p>
        </w:tc>
        <w:tc>
          <w:tcPr>
            <w:tcW w:w="1183" w:type="dxa"/>
            <w:vAlign w:val="top"/>
          </w:tcPr>
          <w:p>
            <w:pPr>
              <w:pStyle w:val="TableText"/>
              <w:ind w:left="223"/>
              <w:spacing w:before="94" w:line="195" w:lineRule="auto"/>
              <w:rPr/>
            </w:pPr>
            <w:r>
              <w:rPr>
                <w:spacing w:val="4"/>
              </w:rPr>
              <w:t>4984234</w:t>
            </w:r>
          </w:p>
        </w:tc>
        <w:tc>
          <w:tcPr>
            <w:tcW w:w="1377" w:type="dxa"/>
            <w:vAlign w:val="top"/>
          </w:tcPr>
          <w:p>
            <w:pPr>
              <w:pStyle w:val="TableText"/>
              <w:ind w:left="557"/>
              <w:spacing w:before="94" w:line="195" w:lineRule="auto"/>
              <w:rPr/>
            </w:pPr>
            <w:r>
              <w:rPr>
                <w:spacing w:val="2"/>
              </w:rPr>
              <w:t>2.2</w:t>
            </w:r>
          </w:p>
        </w:tc>
        <w:tc>
          <w:tcPr>
            <w:tcW w:w="1379" w:type="dxa"/>
            <w:vAlign w:val="top"/>
          </w:tcPr>
          <w:p>
            <w:pPr>
              <w:pStyle w:val="TableText"/>
              <w:ind w:left="406"/>
              <w:spacing w:before="94" w:line="195" w:lineRule="auto"/>
              <w:rPr/>
            </w:pPr>
            <w:r>
              <w:rPr>
                <w:spacing w:val="3"/>
              </w:rPr>
              <w:t>967.61</w:t>
            </w:r>
          </w:p>
        </w:tc>
        <w:tc>
          <w:tcPr>
            <w:tcW w:w="2780" w:type="dxa"/>
            <w:vAlign w:val="top"/>
          </w:tcPr>
          <w:p>
            <w:pPr>
              <w:rPr>
                <w:rFonts w:ascii="Arial"/>
                <w:sz w:val="21"/>
              </w:rPr>
            </w:pPr>
            <w:r/>
          </w:p>
        </w:tc>
      </w:tr>
      <w:tr>
        <w:trPr>
          <w:trHeight w:val="326" w:hRule="atLeast"/>
        </w:trPr>
        <w:tc>
          <w:tcPr>
            <w:tcW w:w="1187" w:type="dxa"/>
            <w:vAlign w:val="top"/>
          </w:tcPr>
          <w:p>
            <w:pPr>
              <w:pStyle w:val="TableText"/>
              <w:ind w:left="281"/>
              <w:spacing w:before="90" w:line="201" w:lineRule="auto"/>
              <w:rPr/>
            </w:pPr>
            <w:r>
              <w:rPr>
                <w:spacing w:val="1"/>
              </w:rPr>
              <w:t>13(15#)</w:t>
            </w:r>
          </w:p>
        </w:tc>
        <w:tc>
          <w:tcPr>
            <w:tcW w:w="1377" w:type="dxa"/>
            <w:vAlign w:val="top"/>
          </w:tcPr>
          <w:p>
            <w:pPr>
              <w:pStyle w:val="TableText"/>
              <w:ind w:left="269"/>
              <w:spacing w:before="94" w:line="195" w:lineRule="auto"/>
              <w:rPr/>
            </w:pPr>
            <w:r>
              <w:rPr>
                <w:spacing w:val="4"/>
              </w:rPr>
              <w:t>20630908</w:t>
            </w:r>
          </w:p>
        </w:tc>
        <w:tc>
          <w:tcPr>
            <w:tcW w:w="1183" w:type="dxa"/>
            <w:vAlign w:val="top"/>
          </w:tcPr>
          <w:p>
            <w:pPr>
              <w:pStyle w:val="TableText"/>
              <w:ind w:left="223"/>
              <w:spacing w:before="94" w:line="195" w:lineRule="auto"/>
              <w:rPr/>
            </w:pPr>
            <w:r>
              <w:rPr>
                <w:spacing w:val="4"/>
              </w:rPr>
              <w:t>4984230</w:t>
            </w:r>
          </w:p>
        </w:tc>
        <w:tc>
          <w:tcPr>
            <w:tcW w:w="1377" w:type="dxa"/>
            <w:vAlign w:val="top"/>
          </w:tcPr>
          <w:p>
            <w:pPr>
              <w:pStyle w:val="TableText"/>
              <w:ind w:left="557"/>
              <w:spacing w:before="94" w:line="195" w:lineRule="auto"/>
              <w:rPr/>
            </w:pPr>
            <w:r>
              <w:rPr>
                <w:spacing w:val="2"/>
              </w:rPr>
              <w:t>2.0</w:t>
            </w:r>
          </w:p>
        </w:tc>
        <w:tc>
          <w:tcPr>
            <w:tcW w:w="1379" w:type="dxa"/>
            <w:vAlign w:val="top"/>
          </w:tcPr>
          <w:p>
            <w:pPr>
              <w:pStyle w:val="TableText"/>
              <w:ind w:left="406"/>
              <w:spacing w:before="94" w:line="195" w:lineRule="auto"/>
              <w:rPr/>
            </w:pPr>
            <w:r>
              <w:rPr>
                <w:spacing w:val="3"/>
              </w:rPr>
              <w:t>967.48</w:t>
            </w:r>
          </w:p>
        </w:tc>
        <w:tc>
          <w:tcPr>
            <w:tcW w:w="2780" w:type="dxa"/>
            <w:vAlign w:val="top"/>
          </w:tcPr>
          <w:p>
            <w:pPr>
              <w:rPr>
                <w:rFonts w:ascii="Arial"/>
                <w:sz w:val="21"/>
              </w:rPr>
            </w:pPr>
            <w:r/>
          </w:p>
        </w:tc>
      </w:tr>
    </w:tbl>
    <w:p>
      <w:pPr>
        <w:pStyle w:val="BodyText"/>
        <w:rPr/>
      </w:pPr>
      <w:r/>
    </w:p>
    <w:p>
      <w:pPr>
        <w:sectPr>
          <w:footerReference w:type="default" r:id="rId420"/>
          <w:pgSz w:w="11906" w:h="16838"/>
          <w:pgMar w:top="1170" w:right="1307" w:bottom="1080" w:left="1310" w:header="837" w:footer="918" w:gutter="0"/>
        </w:sectPr>
        <w:rPr/>
      </w:pPr>
    </w:p>
    <w:p>
      <w:pPr>
        <w:spacing w:before="6"/>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87"/>
        <w:gridCol w:w="1377"/>
        <w:gridCol w:w="1183"/>
        <w:gridCol w:w="1377"/>
        <w:gridCol w:w="1379"/>
        <w:gridCol w:w="2780"/>
      </w:tblGrid>
      <w:tr>
        <w:trPr>
          <w:trHeight w:val="362" w:hRule="atLeast"/>
        </w:trPr>
        <w:tc>
          <w:tcPr>
            <w:tcW w:w="1187" w:type="dxa"/>
            <w:vAlign w:val="top"/>
            <w:vMerge w:val="restart"/>
            <w:tcBorders>
              <w:bottom w:val="nil"/>
            </w:tcBorders>
          </w:tcPr>
          <w:p>
            <w:pPr>
              <w:ind w:left="384"/>
              <w:spacing w:before="238" w:line="228" w:lineRule="auto"/>
              <w:rPr>
                <w:rFonts w:ascii="SimSun" w:hAnsi="SimSun" w:eastAsia="SimSun" w:cs="SimSun"/>
                <w:sz w:val="20"/>
                <w:szCs w:val="20"/>
              </w:rPr>
            </w:pPr>
            <w:r>
              <w:rPr>
                <w:rFonts w:ascii="SimSun" w:hAnsi="SimSun" w:eastAsia="SimSun" w:cs="SimSun"/>
                <w:sz w:val="20"/>
                <w:szCs w:val="20"/>
                <w:spacing w:val="4"/>
              </w:rPr>
              <w:t>井号</w:t>
            </w:r>
          </w:p>
        </w:tc>
        <w:tc>
          <w:tcPr>
            <w:tcW w:w="2560" w:type="dxa"/>
            <w:vAlign w:val="top"/>
            <w:gridSpan w:val="2"/>
          </w:tcPr>
          <w:p>
            <w:pPr>
              <w:ind w:left="1075"/>
              <w:spacing w:before="72" w:line="228" w:lineRule="auto"/>
              <w:rPr>
                <w:rFonts w:ascii="SimSun" w:hAnsi="SimSun" w:eastAsia="SimSun" w:cs="SimSun"/>
                <w:sz w:val="20"/>
                <w:szCs w:val="20"/>
              </w:rPr>
            </w:pPr>
            <w:r>
              <w:rPr>
                <w:rFonts w:ascii="SimSun" w:hAnsi="SimSun" w:eastAsia="SimSun" w:cs="SimSun"/>
                <w:sz w:val="20"/>
                <w:szCs w:val="20"/>
                <w:spacing w:val="4"/>
              </w:rPr>
              <w:t>坐标</w:t>
            </w:r>
          </w:p>
        </w:tc>
        <w:tc>
          <w:tcPr>
            <w:tcW w:w="1377" w:type="dxa"/>
            <w:vAlign w:val="top"/>
            <w:vMerge w:val="restart"/>
            <w:tcBorders>
              <w:bottom w:val="nil"/>
            </w:tcBorders>
          </w:tcPr>
          <w:p>
            <w:pPr>
              <w:pStyle w:val="TableText"/>
              <w:ind w:left="125"/>
              <w:spacing w:before="237" w:line="221" w:lineRule="auto"/>
              <w:rPr/>
            </w:pPr>
            <w:r>
              <w:rPr>
                <w:rFonts w:ascii="SimSun" w:hAnsi="SimSun" w:eastAsia="SimSun" w:cs="SimSun"/>
                <w:spacing w:val="5"/>
              </w:rPr>
              <w:t>水位埋深</w:t>
            </w:r>
            <w:r>
              <w:rPr>
                <w:spacing w:val="5"/>
              </w:rPr>
              <w:t>(m)</w:t>
            </w:r>
          </w:p>
        </w:tc>
        <w:tc>
          <w:tcPr>
            <w:tcW w:w="1379" w:type="dxa"/>
            <w:vAlign w:val="top"/>
            <w:vMerge w:val="restart"/>
            <w:tcBorders>
              <w:bottom w:val="nil"/>
            </w:tcBorders>
          </w:tcPr>
          <w:p>
            <w:pPr>
              <w:pStyle w:val="TableText"/>
              <w:ind w:left="123"/>
              <w:spacing w:before="237" w:line="221" w:lineRule="auto"/>
              <w:rPr/>
            </w:pPr>
            <w:r>
              <w:rPr>
                <w:rFonts w:ascii="SimSun" w:hAnsi="SimSun" w:eastAsia="SimSun" w:cs="SimSun"/>
                <w:spacing w:val="6"/>
              </w:rPr>
              <w:t>水位标高</w:t>
            </w:r>
            <w:r>
              <w:rPr>
                <w:spacing w:val="6"/>
              </w:rPr>
              <w:t>(m)</w:t>
            </w:r>
          </w:p>
        </w:tc>
        <w:tc>
          <w:tcPr>
            <w:tcW w:w="2780" w:type="dxa"/>
            <w:vAlign w:val="top"/>
            <w:vMerge w:val="restart"/>
            <w:tcBorders>
              <w:bottom w:val="nil"/>
            </w:tcBorders>
          </w:tcPr>
          <w:p>
            <w:pPr>
              <w:ind w:left="1187"/>
              <w:spacing w:before="237"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4" w:hRule="atLeast"/>
        </w:trPr>
        <w:tc>
          <w:tcPr>
            <w:tcW w:w="1187" w:type="dxa"/>
            <w:vAlign w:val="top"/>
            <w:vMerge w:val="continue"/>
            <w:tcBorders>
              <w:top w:val="nil"/>
            </w:tcBorders>
          </w:tcPr>
          <w:p>
            <w:pPr>
              <w:rPr>
                <w:rFonts w:ascii="Arial"/>
                <w:sz w:val="21"/>
              </w:rPr>
            </w:pPr>
            <w:r/>
          </w:p>
        </w:tc>
        <w:tc>
          <w:tcPr>
            <w:tcW w:w="1377" w:type="dxa"/>
            <w:vAlign w:val="top"/>
          </w:tcPr>
          <w:p>
            <w:pPr>
              <w:pStyle w:val="TableText"/>
              <w:ind w:left="632"/>
              <w:spacing w:before="138" w:line="138" w:lineRule="exact"/>
              <w:rPr/>
            </w:pPr>
            <w:r>
              <w:rPr>
                <w:spacing w:val="1"/>
              </w:rPr>
              <w:t>x</w:t>
            </w:r>
          </w:p>
        </w:tc>
        <w:tc>
          <w:tcPr>
            <w:tcW w:w="1183" w:type="dxa"/>
            <w:vAlign w:val="top"/>
          </w:tcPr>
          <w:p>
            <w:pPr>
              <w:pStyle w:val="TableText"/>
              <w:ind w:left="535"/>
              <w:spacing w:before="138" w:line="139" w:lineRule="exact"/>
              <w:rPr/>
            </w:pPr>
            <w:r>
              <w:rPr>
                <w:spacing w:val="3"/>
                <w:position w:val="2"/>
              </w:rPr>
              <w:t>y</w:t>
            </w:r>
          </w:p>
        </w:tc>
        <w:tc>
          <w:tcPr>
            <w:tcW w:w="1377" w:type="dxa"/>
            <w:vAlign w:val="top"/>
            <w:vMerge w:val="continue"/>
            <w:tcBorders>
              <w:top w:val="nil"/>
            </w:tcBorders>
          </w:tcPr>
          <w:p>
            <w:pPr>
              <w:rPr>
                <w:rFonts w:ascii="Arial"/>
                <w:sz w:val="21"/>
              </w:rPr>
            </w:pPr>
            <w:r/>
          </w:p>
        </w:tc>
        <w:tc>
          <w:tcPr>
            <w:tcW w:w="1379" w:type="dxa"/>
            <w:vAlign w:val="top"/>
            <w:vMerge w:val="continue"/>
            <w:tcBorders>
              <w:top w:val="nil"/>
            </w:tcBorders>
          </w:tcPr>
          <w:p>
            <w:pPr>
              <w:rPr>
                <w:rFonts w:ascii="Arial"/>
                <w:sz w:val="21"/>
              </w:rPr>
            </w:pPr>
            <w:r/>
          </w:p>
        </w:tc>
        <w:tc>
          <w:tcPr>
            <w:tcW w:w="2780" w:type="dxa"/>
            <w:vAlign w:val="top"/>
            <w:vMerge w:val="continue"/>
            <w:tcBorders>
              <w:top w:val="nil"/>
            </w:tcBorders>
          </w:tcPr>
          <w:p>
            <w:pPr>
              <w:rPr>
                <w:rFonts w:ascii="Arial"/>
                <w:sz w:val="21"/>
              </w:rPr>
            </w:pPr>
            <w:r/>
          </w:p>
        </w:tc>
      </w:tr>
      <w:tr>
        <w:trPr>
          <w:trHeight w:val="326" w:hRule="atLeast"/>
        </w:trPr>
        <w:tc>
          <w:tcPr>
            <w:tcW w:w="1187" w:type="dxa"/>
            <w:vAlign w:val="top"/>
          </w:tcPr>
          <w:p>
            <w:pPr>
              <w:pStyle w:val="TableText"/>
              <w:ind w:left="509"/>
              <w:spacing w:before="91" w:line="195" w:lineRule="auto"/>
              <w:rPr/>
            </w:pPr>
            <w:r>
              <w:rPr>
                <w:spacing w:val="-8"/>
              </w:rPr>
              <w:t>14</w:t>
            </w:r>
          </w:p>
        </w:tc>
        <w:tc>
          <w:tcPr>
            <w:tcW w:w="1377" w:type="dxa"/>
            <w:vAlign w:val="top"/>
          </w:tcPr>
          <w:p>
            <w:pPr>
              <w:pStyle w:val="TableText"/>
              <w:ind w:left="269"/>
              <w:spacing w:before="91" w:line="195" w:lineRule="auto"/>
              <w:rPr/>
            </w:pPr>
            <w:r>
              <w:rPr>
                <w:spacing w:val="4"/>
              </w:rPr>
              <w:t>20631431</w:t>
            </w:r>
          </w:p>
        </w:tc>
        <w:tc>
          <w:tcPr>
            <w:tcW w:w="1183" w:type="dxa"/>
            <w:vAlign w:val="top"/>
          </w:tcPr>
          <w:p>
            <w:pPr>
              <w:pStyle w:val="TableText"/>
              <w:ind w:left="223"/>
              <w:spacing w:before="91" w:line="195" w:lineRule="auto"/>
              <w:rPr/>
            </w:pPr>
            <w:r>
              <w:rPr>
                <w:spacing w:val="4"/>
              </w:rPr>
              <w:t>4980518</w:t>
            </w:r>
          </w:p>
        </w:tc>
        <w:tc>
          <w:tcPr>
            <w:tcW w:w="1377" w:type="dxa"/>
            <w:vAlign w:val="top"/>
          </w:tcPr>
          <w:p>
            <w:pPr>
              <w:pStyle w:val="TableText"/>
              <w:ind w:left="563"/>
              <w:spacing w:before="91" w:line="195" w:lineRule="auto"/>
              <w:rPr/>
            </w:pPr>
            <w:r>
              <w:rPr>
                <w:spacing w:val="-1"/>
              </w:rPr>
              <w:t>5.</w:t>
            </w:r>
            <w:r>
              <w:rPr>
                <w:spacing w:val="-25"/>
              </w:rPr>
              <w:t xml:space="preserve"> </w:t>
            </w:r>
            <w:r>
              <w:rPr>
                <w:spacing w:val="-1"/>
              </w:rPr>
              <w:t>1</w:t>
            </w:r>
          </w:p>
        </w:tc>
        <w:tc>
          <w:tcPr>
            <w:tcW w:w="1379" w:type="dxa"/>
            <w:vAlign w:val="top"/>
          </w:tcPr>
          <w:p>
            <w:pPr>
              <w:pStyle w:val="TableText"/>
              <w:ind w:left="406"/>
              <w:spacing w:before="91" w:line="195" w:lineRule="auto"/>
              <w:rPr/>
            </w:pPr>
            <w:r>
              <w:rPr>
                <w:spacing w:val="3"/>
              </w:rPr>
              <w:t>971.30</w:t>
            </w:r>
          </w:p>
        </w:tc>
        <w:tc>
          <w:tcPr>
            <w:tcW w:w="2780" w:type="dxa"/>
            <w:vAlign w:val="top"/>
          </w:tcPr>
          <w:p>
            <w:pPr>
              <w:rPr>
                <w:rFonts w:ascii="Arial"/>
                <w:sz w:val="21"/>
              </w:rPr>
            </w:pPr>
            <w:r/>
          </w:p>
        </w:tc>
      </w:tr>
      <w:tr>
        <w:trPr>
          <w:trHeight w:val="652" w:hRule="atLeast"/>
        </w:trPr>
        <w:tc>
          <w:tcPr>
            <w:tcW w:w="1187" w:type="dxa"/>
            <w:vAlign w:val="top"/>
          </w:tcPr>
          <w:p>
            <w:pPr>
              <w:pStyle w:val="TableText"/>
              <w:ind w:left="254"/>
              <w:spacing w:before="218" w:line="221" w:lineRule="auto"/>
              <w:rPr/>
            </w:pPr>
            <w:r>
              <w:rPr>
                <w:spacing w:val="-1"/>
              </w:rPr>
              <w:t>15(</w:t>
            </w:r>
            <w:r>
              <w:rPr>
                <w:rFonts w:ascii="SimSun" w:hAnsi="SimSun" w:eastAsia="SimSun" w:cs="SimSun"/>
                <w:spacing w:val="-1"/>
              </w:rPr>
              <w:t>观</w:t>
            </w:r>
            <w:r>
              <w:rPr>
                <w:rFonts w:ascii="SimSun" w:hAnsi="SimSun" w:eastAsia="SimSun" w:cs="SimSun"/>
                <w:spacing w:val="-35"/>
              </w:rPr>
              <w:t xml:space="preserve"> </w:t>
            </w:r>
            <w:r>
              <w:rPr>
                <w:spacing w:val="-1"/>
              </w:rPr>
              <w:t>5)</w:t>
            </w:r>
          </w:p>
        </w:tc>
        <w:tc>
          <w:tcPr>
            <w:tcW w:w="1377" w:type="dxa"/>
            <w:vAlign w:val="top"/>
          </w:tcPr>
          <w:p>
            <w:pPr>
              <w:pStyle w:val="TableText"/>
              <w:ind w:left="269"/>
              <w:spacing w:before="254" w:line="195" w:lineRule="auto"/>
              <w:rPr/>
            </w:pPr>
            <w:r>
              <w:rPr>
                <w:spacing w:val="4"/>
              </w:rPr>
              <w:t>20631868</w:t>
            </w:r>
          </w:p>
        </w:tc>
        <w:tc>
          <w:tcPr>
            <w:tcW w:w="1183" w:type="dxa"/>
            <w:vAlign w:val="top"/>
          </w:tcPr>
          <w:p>
            <w:pPr>
              <w:pStyle w:val="TableText"/>
              <w:ind w:left="223"/>
              <w:spacing w:before="254" w:line="195" w:lineRule="auto"/>
              <w:rPr/>
            </w:pPr>
            <w:r>
              <w:rPr>
                <w:spacing w:val="4"/>
              </w:rPr>
              <w:t>4982566</w:t>
            </w:r>
          </w:p>
        </w:tc>
        <w:tc>
          <w:tcPr>
            <w:tcW w:w="1377" w:type="dxa"/>
            <w:vAlign w:val="top"/>
          </w:tcPr>
          <w:p>
            <w:pPr>
              <w:pStyle w:val="TableText"/>
              <w:ind w:left="525"/>
              <w:spacing w:before="254" w:line="195" w:lineRule="auto"/>
              <w:rPr/>
            </w:pPr>
            <w:r>
              <w:rPr>
                <w:spacing w:val="-2"/>
              </w:rPr>
              <w:t>15.2</w:t>
            </w:r>
          </w:p>
        </w:tc>
        <w:tc>
          <w:tcPr>
            <w:tcW w:w="1379" w:type="dxa"/>
            <w:vAlign w:val="top"/>
          </w:tcPr>
          <w:p>
            <w:pPr>
              <w:pStyle w:val="TableText"/>
              <w:ind w:left="406"/>
              <w:spacing w:before="254" w:line="195" w:lineRule="auto"/>
              <w:rPr/>
            </w:pPr>
            <w:r>
              <w:rPr>
                <w:spacing w:val="3"/>
              </w:rPr>
              <w:t>959.45</w:t>
            </w:r>
          </w:p>
        </w:tc>
        <w:tc>
          <w:tcPr>
            <w:tcW w:w="2780" w:type="dxa"/>
            <w:vAlign w:val="top"/>
          </w:tcPr>
          <w:p>
            <w:pPr>
              <w:ind w:left="346" w:right="131" w:hanging="212"/>
              <w:spacing w:before="54" w:line="271" w:lineRule="auto"/>
              <w:rPr>
                <w:rFonts w:ascii="SimSun" w:hAnsi="SimSun" w:eastAsia="SimSun" w:cs="SimSun"/>
                <w:sz w:val="20"/>
                <w:szCs w:val="20"/>
              </w:rPr>
            </w:pPr>
            <w:r>
              <w:rPr>
                <w:rFonts w:ascii="SimSun" w:hAnsi="SimSun" w:eastAsia="SimSun" w:cs="SimSun"/>
                <w:sz w:val="20"/>
                <w:szCs w:val="20"/>
                <w:spacing w:val="9"/>
              </w:rPr>
              <w:t>石场，受疏干井影响，水位</w:t>
            </w:r>
            <w:r>
              <w:rPr>
                <w:rFonts w:ascii="SimSun" w:hAnsi="SimSun" w:eastAsia="SimSun" w:cs="SimSun"/>
                <w:sz w:val="20"/>
                <w:szCs w:val="20"/>
                <w:spacing w:val="7"/>
              </w:rPr>
              <w:t>异常，不作绘图依据。</w:t>
            </w:r>
          </w:p>
        </w:tc>
      </w:tr>
      <w:tr>
        <w:trPr>
          <w:trHeight w:val="333" w:hRule="atLeast"/>
        </w:trPr>
        <w:tc>
          <w:tcPr>
            <w:tcW w:w="1187" w:type="dxa"/>
            <w:vAlign w:val="top"/>
          </w:tcPr>
          <w:p>
            <w:pPr>
              <w:pStyle w:val="TableText"/>
              <w:ind w:left="333"/>
              <w:spacing w:before="90" w:line="201" w:lineRule="auto"/>
              <w:rPr/>
            </w:pPr>
            <w:r>
              <w:rPr/>
              <w:t>16(5#)</w:t>
            </w:r>
          </w:p>
        </w:tc>
        <w:tc>
          <w:tcPr>
            <w:tcW w:w="1377" w:type="dxa"/>
            <w:vAlign w:val="top"/>
          </w:tcPr>
          <w:p>
            <w:pPr>
              <w:pStyle w:val="TableText"/>
              <w:ind w:left="269"/>
              <w:spacing w:before="94" w:line="195" w:lineRule="auto"/>
              <w:rPr/>
            </w:pPr>
            <w:r>
              <w:rPr>
                <w:spacing w:val="4"/>
              </w:rPr>
              <w:t>20629542</w:t>
            </w:r>
          </w:p>
        </w:tc>
        <w:tc>
          <w:tcPr>
            <w:tcW w:w="1183" w:type="dxa"/>
            <w:vAlign w:val="top"/>
          </w:tcPr>
          <w:p>
            <w:pPr>
              <w:pStyle w:val="TableText"/>
              <w:ind w:left="223"/>
              <w:spacing w:before="94" w:line="195" w:lineRule="auto"/>
              <w:rPr/>
            </w:pPr>
            <w:r>
              <w:rPr>
                <w:spacing w:val="4"/>
              </w:rPr>
              <w:t>4989041</w:t>
            </w:r>
          </w:p>
        </w:tc>
        <w:tc>
          <w:tcPr>
            <w:tcW w:w="1377" w:type="dxa"/>
            <w:vAlign w:val="top"/>
          </w:tcPr>
          <w:p>
            <w:pPr>
              <w:pStyle w:val="TableText"/>
              <w:ind w:left="561"/>
              <w:spacing w:before="94" w:line="195" w:lineRule="auto"/>
              <w:rPr/>
            </w:pPr>
            <w:r>
              <w:rPr>
                <w:spacing w:val="1"/>
              </w:rPr>
              <w:t>7.8</w:t>
            </w:r>
          </w:p>
        </w:tc>
        <w:tc>
          <w:tcPr>
            <w:tcW w:w="1379" w:type="dxa"/>
            <w:vAlign w:val="top"/>
          </w:tcPr>
          <w:p>
            <w:pPr>
              <w:pStyle w:val="TableText"/>
              <w:ind w:left="406"/>
              <w:spacing w:before="94" w:line="195" w:lineRule="auto"/>
              <w:rPr/>
            </w:pPr>
            <w:r>
              <w:rPr>
                <w:spacing w:val="3"/>
              </w:rPr>
              <w:t>961.31</w:t>
            </w:r>
          </w:p>
        </w:tc>
        <w:tc>
          <w:tcPr>
            <w:tcW w:w="2780" w:type="dxa"/>
            <w:vAlign w:val="top"/>
          </w:tcPr>
          <w:p>
            <w:pPr>
              <w:rPr>
                <w:rFonts w:ascii="Arial"/>
                <w:sz w:val="21"/>
              </w:rPr>
            </w:pPr>
            <w:r/>
          </w:p>
        </w:tc>
      </w:tr>
      <w:tr>
        <w:trPr>
          <w:trHeight w:val="335" w:hRule="atLeast"/>
        </w:trPr>
        <w:tc>
          <w:tcPr>
            <w:tcW w:w="1187" w:type="dxa"/>
            <w:vAlign w:val="top"/>
          </w:tcPr>
          <w:p>
            <w:pPr>
              <w:pStyle w:val="TableText"/>
              <w:ind w:left="333"/>
              <w:spacing w:before="90" w:line="201" w:lineRule="auto"/>
              <w:rPr/>
            </w:pPr>
            <w:r>
              <w:rPr/>
              <w:t>17(4#)</w:t>
            </w:r>
          </w:p>
        </w:tc>
        <w:tc>
          <w:tcPr>
            <w:tcW w:w="1377" w:type="dxa"/>
            <w:vAlign w:val="top"/>
          </w:tcPr>
          <w:p>
            <w:pPr>
              <w:pStyle w:val="TableText"/>
              <w:ind w:left="269"/>
              <w:spacing w:before="94" w:line="195" w:lineRule="auto"/>
              <w:rPr/>
            </w:pPr>
            <w:r>
              <w:rPr>
                <w:spacing w:val="4"/>
              </w:rPr>
              <w:t>20628466</w:t>
            </w:r>
          </w:p>
        </w:tc>
        <w:tc>
          <w:tcPr>
            <w:tcW w:w="1183" w:type="dxa"/>
            <w:vAlign w:val="top"/>
          </w:tcPr>
          <w:p>
            <w:pPr>
              <w:pStyle w:val="TableText"/>
              <w:ind w:left="223"/>
              <w:spacing w:before="94" w:line="195" w:lineRule="auto"/>
              <w:rPr/>
            </w:pPr>
            <w:r>
              <w:rPr>
                <w:spacing w:val="4"/>
              </w:rPr>
              <w:t>4987298</w:t>
            </w:r>
          </w:p>
        </w:tc>
        <w:tc>
          <w:tcPr>
            <w:tcW w:w="1377" w:type="dxa"/>
            <w:vAlign w:val="top"/>
          </w:tcPr>
          <w:p>
            <w:pPr>
              <w:pStyle w:val="TableText"/>
              <w:ind w:left="562"/>
              <w:spacing w:before="94" w:line="195" w:lineRule="auto"/>
              <w:rPr/>
            </w:pPr>
            <w:r>
              <w:rPr>
                <w:spacing w:val="1"/>
              </w:rPr>
              <w:t>3.9</w:t>
            </w:r>
          </w:p>
        </w:tc>
        <w:tc>
          <w:tcPr>
            <w:tcW w:w="1379" w:type="dxa"/>
            <w:vAlign w:val="top"/>
          </w:tcPr>
          <w:p>
            <w:pPr>
              <w:pStyle w:val="TableText"/>
              <w:ind w:left="406"/>
              <w:spacing w:before="94" w:line="195" w:lineRule="auto"/>
              <w:rPr/>
            </w:pPr>
            <w:r>
              <w:rPr>
                <w:spacing w:val="3"/>
              </w:rPr>
              <w:t>961.70</w:t>
            </w:r>
          </w:p>
        </w:tc>
        <w:tc>
          <w:tcPr>
            <w:tcW w:w="2780" w:type="dxa"/>
            <w:vAlign w:val="top"/>
          </w:tcPr>
          <w:p>
            <w:pPr>
              <w:rPr>
                <w:rFonts w:ascii="Arial"/>
                <w:sz w:val="21"/>
              </w:rPr>
            </w:pPr>
            <w:r/>
          </w:p>
        </w:tc>
      </w:tr>
      <w:tr>
        <w:trPr>
          <w:trHeight w:val="335" w:hRule="atLeast"/>
        </w:trPr>
        <w:tc>
          <w:tcPr>
            <w:tcW w:w="1187" w:type="dxa"/>
            <w:vAlign w:val="top"/>
          </w:tcPr>
          <w:p>
            <w:pPr>
              <w:pStyle w:val="TableText"/>
              <w:ind w:left="333"/>
              <w:spacing w:before="91" w:line="201" w:lineRule="auto"/>
              <w:rPr/>
            </w:pPr>
            <w:r>
              <w:rPr/>
              <w:t>18(3#)</w:t>
            </w:r>
          </w:p>
        </w:tc>
        <w:tc>
          <w:tcPr>
            <w:tcW w:w="1377" w:type="dxa"/>
            <w:vAlign w:val="top"/>
          </w:tcPr>
          <w:p>
            <w:pPr>
              <w:pStyle w:val="TableText"/>
              <w:ind w:left="269"/>
              <w:spacing w:before="95" w:line="195" w:lineRule="auto"/>
              <w:rPr/>
            </w:pPr>
            <w:r>
              <w:rPr>
                <w:spacing w:val="4"/>
              </w:rPr>
              <w:t>20627521</w:t>
            </w:r>
          </w:p>
        </w:tc>
        <w:tc>
          <w:tcPr>
            <w:tcW w:w="1183" w:type="dxa"/>
            <w:vAlign w:val="top"/>
          </w:tcPr>
          <w:p>
            <w:pPr>
              <w:pStyle w:val="TableText"/>
              <w:ind w:left="223"/>
              <w:spacing w:before="95" w:line="195" w:lineRule="auto"/>
              <w:rPr/>
            </w:pPr>
            <w:r>
              <w:rPr>
                <w:spacing w:val="4"/>
              </w:rPr>
              <w:t>4986307</w:t>
            </w:r>
          </w:p>
        </w:tc>
        <w:tc>
          <w:tcPr>
            <w:tcW w:w="1377" w:type="dxa"/>
            <w:vAlign w:val="top"/>
          </w:tcPr>
          <w:p>
            <w:pPr>
              <w:pStyle w:val="TableText"/>
              <w:ind w:left="561"/>
              <w:spacing w:before="95" w:line="195" w:lineRule="auto"/>
              <w:rPr/>
            </w:pPr>
            <w:r>
              <w:rPr>
                <w:spacing w:val="1"/>
              </w:rPr>
              <w:t>9.4</w:t>
            </w:r>
          </w:p>
        </w:tc>
        <w:tc>
          <w:tcPr>
            <w:tcW w:w="1379" w:type="dxa"/>
            <w:vAlign w:val="top"/>
          </w:tcPr>
          <w:p>
            <w:pPr>
              <w:pStyle w:val="TableText"/>
              <w:ind w:left="406"/>
              <w:spacing w:before="95" w:line="195" w:lineRule="auto"/>
              <w:rPr/>
            </w:pPr>
            <w:r>
              <w:rPr>
                <w:spacing w:val="3"/>
              </w:rPr>
              <w:t>962.90</w:t>
            </w:r>
          </w:p>
        </w:tc>
        <w:tc>
          <w:tcPr>
            <w:tcW w:w="2780" w:type="dxa"/>
            <w:vAlign w:val="top"/>
          </w:tcPr>
          <w:p>
            <w:pPr>
              <w:rPr>
                <w:rFonts w:ascii="Arial"/>
                <w:sz w:val="21"/>
              </w:rPr>
            </w:pPr>
            <w:r/>
          </w:p>
        </w:tc>
      </w:tr>
      <w:tr>
        <w:trPr>
          <w:trHeight w:val="333" w:hRule="atLeast"/>
        </w:trPr>
        <w:tc>
          <w:tcPr>
            <w:tcW w:w="1187" w:type="dxa"/>
            <w:vAlign w:val="top"/>
          </w:tcPr>
          <w:p>
            <w:pPr>
              <w:pStyle w:val="TableText"/>
              <w:ind w:left="333"/>
              <w:spacing w:before="90" w:line="201" w:lineRule="auto"/>
              <w:rPr/>
            </w:pPr>
            <w:r>
              <w:rPr/>
              <w:t>19(3#)</w:t>
            </w:r>
          </w:p>
        </w:tc>
        <w:tc>
          <w:tcPr>
            <w:tcW w:w="1377" w:type="dxa"/>
            <w:vAlign w:val="top"/>
          </w:tcPr>
          <w:p>
            <w:pPr>
              <w:pStyle w:val="TableText"/>
              <w:ind w:left="269"/>
              <w:spacing w:before="94" w:line="195" w:lineRule="auto"/>
              <w:rPr/>
            </w:pPr>
            <w:r>
              <w:rPr>
                <w:spacing w:val="4"/>
              </w:rPr>
              <w:t>20627435</w:t>
            </w:r>
          </w:p>
        </w:tc>
        <w:tc>
          <w:tcPr>
            <w:tcW w:w="1183" w:type="dxa"/>
            <w:vAlign w:val="top"/>
          </w:tcPr>
          <w:p>
            <w:pPr>
              <w:pStyle w:val="TableText"/>
              <w:ind w:left="223"/>
              <w:spacing w:before="94" w:line="195" w:lineRule="auto"/>
              <w:rPr/>
            </w:pPr>
            <w:r>
              <w:rPr>
                <w:spacing w:val="4"/>
              </w:rPr>
              <w:t>4986188</w:t>
            </w:r>
          </w:p>
        </w:tc>
        <w:tc>
          <w:tcPr>
            <w:tcW w:w="1377" w:type="dxa"/>
            <w:vAlign w:val="top"/>
          </w:tcPr>
          <w:p>
            <w:pPr>
              <w:pStyle w:val="TableText"/>
              <w:ind w:left="562"/>
              <w:spacing w:before="94" w:line="195" w:lineRule="auto"/>
              <w:rPr/>
            </w:pPr>
            <w:r>
              <w:rPr>
                <w:spacing w:val="1"/>
              </w:rPr>
              <w:t>3.8</w:t>
            </w:r>
          </w:p>
        </w:tc>
        <w:tc>
          <w:tcPr>
            <w:tcW w:w="1379" w:type="dxa"/>
            <w:vAlign w:val="top"/>
          </w:tcPr>
          <w:p>
            <w:pPr>
              <w:pStyle w:val="TableText"/>
              <w:ind w:left="406"/>
              <w:spacing w:before="94" w:line="195" w:lineRule="auto"/>
              <w:rPr/>
            </w:pPr>
            <w:r>
              <w:rPr>
                <w:spacing w:val="3"/>
              </w:rPr>
              <w:t>962.60</w:t>
            </w:r>
          </w:p>
        </w:tc>
        <w:tc>
          <w:tcPr>
            <w:tcW w:w="2780" w:type="dxa"/>
            <w:vAlign w:val="top"/>
          </w:tcPr>
          <w:p>
            <w:pPr>
              <w:rPr>
                <w:rFonts w:ascii="Arial"/>
                <w:sz w:val="21"/>
              </w:rPr>
            </w:pPr>
            <w:r/>
          </w:p>
        </w:tc>
      </w:tr>
      <w:tr>
        <w:trPr>
          <w:trHeight w:val="335" w:hRule="atLeast"/>
        </w:trPr>
        <w:tc>
          <w:tcPr>
            <w:tcW w:w="1187" w:type="dxa"/>
            <w:vAlign w:val="top"/>
          </w:tcPr>
          <w:p>
            <w:pPr>
              <w:pStyle w:val="TableText"/>
              <w:ind w:left="313"/>
              <w:spacing w:before="92" w:line="201" w:lineRule="auto"/>
              <w:rPr/>
            </w:pPr>
            <w:r>
              <w:rPr>
                <w:spacing w:val="4"/>
              </w:rPr>
              <w:t>20(2#)</w:t>
            </w:r>
          </w:p>
        </w:tc>
        <w:tc>
          <w:tcPr>
            <w:tcW w:w="1377" w:type="dxa"/>
            <w:vAlign w:val="top"/>
          </w:tcPr>
          <w:p>
            <w:pPr>
              <w:pStyle w:val="TableText"/>
              <w:ind w:left="269"/>
              <w:spacing w:before="96" w:line="195" w:lineRule="auto"/>
              <w:rPr/>
            </w:pPr>
            <w:r>
              <w:rPr>
                <w:spacing w:val="4"/>
              </w:rPr>
              <w:t>20626718</w:t>
            </w:r>
          </w:p>
        </w:tc>
        <w:tc>
          <w:tcPr>
            <w:tcW w:w="1183" w:type="dxa"/>
            <w:vAlign w:val="top"/>
          </w:tcPr>
          <w:p>
            <w:pPr>
              <w:pStyle w:val="TableText"/>
              <w:ind w:left="223"/>
              <w:spacing w:before="96" w:line="195" w:lineRule="auto"/>
              <w:rPr/>
            </w:pPr>
            <w:r>
              <w:rPr>
                <w:spacing w:val="4"/>
              </w:rPr>
              <w:t>4985514</w:t>
            </w:r>
          </w:p>
        </w:tc>
        <w:tc>
          <w:tcPr>
            <w:tcW w:w="1377" w:type="dxa"/>
            <w:vAlign w:val="top"/>
          </w:tcPr>
          <w:p>
            <w:pPr>
              <w:pStyle w:val="TableText"/>
              <w:ind w:left="578"/>
              <w:spacing w:before="96" w:line="195" w:lineRule="auto"/>
              <w:rPr/>
            </w:pPr>
            <w:r>
              <w:rPr>
                <w:spacing w:val="-4"/>
              </w:rPr>
              <w:t>1.9</w:t>
            </w:r>
          </w:p>
        </w:tc>
        <w:tc>
          <w:tcPr>
            <w:tcW w:w="1379" w:type="dxa"/>
            <w:vAlign w:val="top"/>
          </w:tcPr>
          <w:p>
            <w:pPr>
              <w:pStyle w:val="TableText"/>
              <w:ind w:left="406"/>
              <w:spacing w:before="96" w:line="195" w:lineRule="auto"/>
              <w:rPr/>
            </w:pPr>
            <w:r>
              <w:rPr>
                <w:spacing w:val="3"/>
              </w:rPr>
              <w:t>963.00</w:t>
            </w:r>
          </w:p>
        </w:tc>
        <w:tc>
          <w:tcPr>
            <w:tcW w:w="2780" w:type="dxa"/>
            <w:vAlign w:val="top"/>
          </w:tcPr>
          <w:p>
            <w:pPr>
              <w:rPr>
                <w:rFonts w:ascii="Arial"/>
                <w:sz w:val="21"/>
              </w:rPr>
            </w:pPr>
            <w:r/>
          </w:p>
        </w:tc>
      </w:tr>
      <w:tr>
        <w:trPr>
          <w:trHeight w:val="333" w:hRule="atLeast"/>
        </w:trPr>
        <w:tc>
          <w:tcPr>
            <w:tcW w:w="1187" w:type="dxa"/>
            <w:vAlign w:val="top"/>
          </w:tcPr>
          <w:p>
            <w:pPr>
              <w:pStyle w:val="TableText"/>
              <w:ind w:left="260"/>
              <w:spacing w:before="93" w:line="201" w:lineRule="auto"/>
              <w:rPr/>
            </w:pPr>
            <w:r>
              <w:rPr>
                <w:spacing w:val="3"/>
              </w:rPr>
              <w:t>21(14#)</w:t>
            </w:r>
          </w:p>
        </w:tc>
        <w:tc>
          <w:tcPr>
            <w:tcW w:w="1377" w:type="dxa"/>
            <w:vAlign w:val="top"/>
          </w:tcPr>
          <w:p>
            <w:pPr>
              <w:pStyle w:val="TableText"/>
              <w:ind w:left="269"/>
              <w:spacing w:before="97" w:line="195" w:lineRule="auto"/>
              <w:rPr/>
            </w:pPr>
            <w:r>
              <w:rPr>
                <w:spacing w:val="4"/>
              </w:rPr>
              <w:t>20625709</w:t>
            </w:r>
          </w:p>
        </w:tc>
        <w:tc>
          <w:tcPr>
            <w:tcW w:w="1183" w:type="dxa"/>
            <w:vAlign w:val="top"/>
          </w:tcPr>
          <w:p>
            <w:pPr>
              <w:pStyle w:val="TableText"/>
              <w:ind w:left="223"/>
              <w:spacing w:before="97" w:line="195" w:lineRule="auto"/>
              <w:rPr/>
            </w:pPr>
            <w:r>
              <w:rPr>
                <w:spacing w:val="4"/>
              </w:rPr>
              <w:t>4984172</w:t>
            </w:r>
          </w:p>
        </w:tc>
        <w:tc>
          <w:tcPr>
            <w:tcW w:w="1377" w:type="dxa"/>
            <w:vAlign w:val="top"/>
          </w:tcPr>
          <w:p>
            <w:pPr>
              <w:pStyle w:val="TableText"/>
              <w:ind w:left="557"/>
              <w:spacing w:before="97" w:line="195" w:lineRule="auto"/>
              <w:rPr/>
            </w:pPr>
            <w:r>
              <w:rPr>
                <w:spacing w:val="2"/>
              </w:rPr>
              <w:t>2.8</w:t>
            </w:r>
          </w:p>
        </w:tc>
        <w:tc>
          <w:tcPr>
            <w:tcW w:w="1379" w:type="dxa"/>
            <w:vAlign w:val="top"/>
          </w:tcPr>
          <w:p>
            <w:pPr>
              <w:pStyle w:val="TableText"/>
              <w:ind w:left="406"/>
              <w:spacing w:before="97" w:line="195" w:lineRule="auto"/>
              <w:rPr/>
            </w:pPr>
            <w:r>
              <w:rPr>
                <w:spacing w:val="3"/>
              </w:rPr>
              <w:t>966.15</w:t>
            </w:r>
          </w:p>
        </w:tc>
        <w:tc>
          <w:tcPr>
            <w:tcW w:w="2780" w:type="dxa"/>
            <w:vAlign w:val="top"/>
          </w:tcPr>
          <w:p>
            <w:pPr>
              <w:rPr>
                <w:rFonts w:ascii="Arial"/>
                <w:sz w:val="21"/>
              </w:rPr>
            </w:pPr>
            <w:r/>
          </w:p>
        </w:tc>
      </w:tr>
      <w:tr>
        <w:trPr>
          <w:trHeight w:val="333" w:hRule="atLeast"/>
        </w:trPr>
        <w:tc>
          <w:tcPr>
            <w:tcW w:w="1187" w:type="dxa"/>
            <w:vAlign w:val="top"/>
          </w:tcPr>
          <w:p>
            <w:pPr>
              <w:pStyle w:val="TableText"/>
              <w:ind w:left="488"/>
              <w:spacing w:before="98" w:line="195" w:lineRule="auto"/>
              <w:rPr/>
            </w:pPr>
            <w:r>
              <w:rPr>
                <w:spacing w:val="2"/>
              </w:rPr>
              <w:t>22</w:t>
            </w:r>
          </w:p>
        </w:tc>
        <w:tc>
          <w:tcPr>
            <w:tcW w:w="1377" w:type="dxa"/>
            <w:vAlign w:val="top"/>
          </w:tcPr>
          <w:p>
            <w:pPr>
              <w:pStyle w:val="TableText"/>
              <w:ind w:left="269"/>
              <w:spacing w:before="98" w:line="195" w:lineRule="auto"/>
              <w:rPr/>
            </w:pPr>
            <w:r>
              <w:rPr>
                <w:spacing w:val="4"/>
              </w:rPr>
              <w:t>20628107</w:t>
            </w:r>
          </w:p>
        </w:tc>
        <w:tc>
          <w:tcPr>
            <w:tcW w:w="1183" w:type="dxa"/>
            <w:vAlign w:val="top"/>
          </w:tcPr>
          <w:p>
            <w:pPr>
              <w:pStyle w:val="TableText"/>
              <w:ind w:left="223"/>
              <w:spacing w:before="98" w:line="195" w:lineRule="auto"/>
              <w:rPr/>
            </w:pPr>
            <w:r>
              <w:rPr>
                <w:spacing w:val="4"/>
              </w:rPr>
              <w:t>4983801</w:t>
            </w:r>
          </w:p>
        </w:tc>
        <w:tc>
          <w:tcPr>
            <w:tcW w:w="1377" w:type="dxa"/>
            <w:vAlign w:val="top"/>
          </w:tcPr>
          <w:p>
            <w:pPr>
              <w:pStyle w:val="TableText"/>
              <w:ind w:left="556"/>
              <w:spacing w:before="98" w:line="195" w:lineRule="auto"/>
              <w:rPr/>
            </w:pPr>
            <w:r>
              <w:rPr>
                <w:spacing w:val="3"/>
              </w:rPr>
              <w:t>4.4</w:t>
            </w:r>
          </w:p>
        </w:tc>
        <w:tc>
          <w:tcPr>
            <w:tcW w:w="1379" w:type="dxa"/>
            <w:vAlign w:val="top"/>
          </w:tcPr>
          <w:p>
            <w:pPr>
              <w:pStyle w:val="TableText"/>
              <w:ind w:left="406"/>
              <w:spacing w:before="98" w:line="195" w:lineRule="auto"/>
              <w:rPr/>
            </w:pPr>
            <w:r>
              <w:rPr>
                <w:spacing w:val="3"/>
              </w:rPr>
              <w:t>964.20</w:t>
            </w:r>
          </w:p>
        </w:tc>
        <w:tc>
          <w:tcPr>
            <w:tcW w:w="2780" w:type="dxa"/>
            <w:vAlign w:val="top"/>
          </w:tcPr>
          <w:p>
            <w:pPr>
              <w:rPr>
                <w:rFonts w:ascii="Arial"/>
                <w:sz w:val="21"/>
              </w:rPr>
            </w:pPr>
            <w:r/>
          </w:p>
        </w:tc>
      </w:tr>
      <w:tr>
        <w:trPr>
          <w:trHeight w:val="336" w:hRule="atLeast"/>
        </w:trPr>
        <w:tc>
          <w:tcPr>
            <w:tcW w:w="1187" w:type="dxa"/>
            <w:vAlign w:val="top"/>
          </w:tcPr>
          <w:p>
            <w:pPr>
              <w:pStyle w:val="TableText"/>
              <w:ind w:left="488"/>
              <w:spacing w:before="100" w:line="195" w:lineRule="auto"/>
              <w:rPr/>
            </w:pPr>
            <w:r>
              <w:rPr>
                <w:spacing w:val="2"/>
              </w:rPr>
              <w:t>23</w:t>
            </w:r>
          </w:p>
        </w:tc>
        <w:tc>
          <w:tcPr>
            <w:tcW w:w="1377" w:type="dxa"/>
            <w:vAlign w:val="top"/>
          </w:tcPr>
          <w:p>
            <w:pPr>
              <w:pStyle w:val="TableText"/>
              <w:ind w:left="269"/>
              <w:spacing w:before="100" w:line="195" w:lineRule="auto"/>
              <w:rPr/>
            </w:pPr>
            <w:r>
              <w:rPr>
                <w:spacing w:val="4"/>
              </w:rPr>
              <w:t>20626060</w:t>
            </w:r>
          </w:p>
        </w:tc>
        <w:tc>
          <w:tcPr>
            <w:tcW w:w="1183" w:type="dxa"/>
            <w:vAlign w:val="top"/>
          </w:tcPr>
          <w:p>
            <w:pPr>
              <w:pStyle w:val="TableText"/>
              <w:ind w:left="223"/>
              <w:spacing w:before="100" w:line="195" w:lineRule="auto"/>
              <w:rPr/>
            </w:pPr>
            <w:r>
              <w:rPr>
                <w:spacing w:val="4"/>
              </w:rPr>
              <w:t>4983605</w:t>
            </w:r>
          </w:p>
        </w:tc>
        <w:tc>
          <w:tcPr>
            <w:tcW w:w="1377" w:type="dxa"/>
            <w:vAlign w:val="top"/>
          </w:tcPr>
          <w:p>
            <w:pPr>
              <w:pStyle w:val="TableText"/>
              <w:ind w:left="557"/>
              <w:spacing w:before="100" w:line="195" w:lineRule="auto"/>
              <w:rPr/>
            </w:pPr>
            <w:r>
              <w:rPr>
                <w:spacing w:val="2"/>
              </w:rPr>
              <w:t>2.5</w:t>
            </w:r>
          </w:p>
        </w:tc>
        <w:tc>
          <w:tcPr>
            <w:tcW w:w="1379" w:type="dxa"/>
            <w:vAlign w:val="top"/>
          </w:tcPr>
          <w:p>
            <w:pPr>
              <w:pStyle w:val="TableText"/>
              <w:ind w:left="406"/>
              <w:spacing w:before="100" w:line="195" w:lineRule="auto"/>
              <w:rPr/>
            </w:pPr>
            <w:r>
              <w:rPr>
                <w:spacing w:val="3"/>
              </w:rPr>
              <w:t>966.60</w:t>
            </w:r>
          </w:p>
        </w:tc>
        <w:tc>
          <w:tcPr>
            <w:tcW w:w="2780" w:type="dxa"/>
            <w:vAlign w:val="top"/>
          </w:tcPr>
          <w:p>
            <w:pPr>
              <w:rPr>
                <w:rFonts w:ascii="Arial"/>
                <w:sz w:val="21"/>
              </w:rPr>
            </w:pPr>
            <w:r/>
          </w:p>
        </w:tc>
      </w:tr>
      <w:tr>
        <w:trPr>
          <w:trHeight w:val="336" w:hRule="atLeast"/>
        </w:trPr>
        <w:tc>
          <w:tcPr>
            <w:tcW w:w="1187" w:type="dxa"/>
            <w:vAlign w:val="top"/>
          </w:tcPr>
          <w:p>
            <w:pPr>
              <w:pStyle w:val="TableText"/>
              <w:ind w:left="313"/>
              <w:spacing w:before="96" w:line="201" w:lineRule="auto"/>
              <w:rPr/>
            </w:pPr>
            <w:r>
              <w:rPr>
                <w:spacing w:val="4"/>
              </w:rPr>
              <w:t>24(1#)</w:t>
            </w:r>
          </w:p>
        </w:tc>
        <w:tc>
          <w:tcPr>
            <w:tcW w:w="1377" w:type="dxa"/>
            <w:vAlign w:val="top"/>
          </w:tcPr>
          <w:p>
            <w:pPr>
              <w:pStyle w:val="TableText"/>
              <w:ind w:left="269"/>
              <w:spacing w:before="100" w:line="195" w:lineRule="auto"/>
              <w:rPr/>
            </w:pPr>
            <w:r>
              <w:rPr>
                <w:spacing w:val="4"/>
              </w:rPr>
              <w:t>20625651</w:t>
            </w:r>
          </w:p>
        </w:tc>
        <w:tc>
          <w:tcPr>
            <w:tcW w:w="1183" w:type="dxa"/>
            <w:vAlign w:val="top"/>
          </w:tcPr>
          <w:p>
            <w:pPr>
              <w:pStyle w:val="TableText"/>
              <w:ind w:left="223"/>
              <w:spacing w:before="100" w:line="195" w:lineRule="auto"/>
              <w:rPr/>
            </w:pPr>
            <w:r>
              <w:rPr>
                <w:spacing w:val="4"/>
              </w:rPr>
              <w:t>4982083</w:t>
            </w:r>
          </w:p>
        </w:tc>
        <w:tc>
          <w:tcPr>
            <w:tcW w:w="1377" w:type="dxa"/>
            <w:vAlign w:val="top"/>
          </w:tcPr>
          <w:p>
            <w:pPr>
              <w:pStyle w:val="TableText"/>
              <w:ind w:left="557"/>
              <w:spacing w:before="100" w:line="195" w:lineRule="auto"/>
              <w:rPr/>
            </w:pPr>
            <w:r>
              <w:rPr>
                <w:spacing w:val="2"/>
              </w:rPr>
              <w:t>2.2</w:t>
            </w:r>
          </w:p>
        </w:tc>
        <w:tc>
          <w:tcPr>
            <w:tcW w:w="1379" w:type="dxa"/>
            <w:vAlign w:val="top"/>
          </w:tcPr>
          <w:p>
            <w:pPr>
              <w:pStyle w:val="TableText"/>
              <w:ind w:left="406"/>
              <w:spacing w:before="100" w:line="195" w:lineRule="auto"/>
              <w:rPr/>
            </w:pPr>
            <w:r>
              <w:rPr>
                <w:spacing w:val="3"/>
              </w:rPr>
              <w:t>970.60</w:t>
            </w:r>
          </w:p>
        </w:tc>
        <w:tc>
          <w:tcPr>
            <w:tcW w:w="2780" w:type="dxa"/>
            <w:vAlign w:val="top"/>
          </w:tcPr>
          <w:p>
            <w:pPr>
              <w:rPr>
                <w:rFonts w:ascii="Arial"/>
                <w:sz w:val="21"/>
              </w:rPr>
            </w:pPr>
            <w:r/>
          </w:p>
        </w:tc>
      </w:tr>
      <w:tr>
        <w:trPr>
          <w:trHeight w:val="333" w:hRule="atLeast"/>
        </w:trPr>
        <w:tc>
          <w:tcPr>
            <w:tcW w:w="1187" w:type="dxa"/>
            <w:vAlign w:val="top"/>
          </w:tcPr>
          <w:p>
            <w:pPr>
              <w:pStyle w:val="TableText"/>
              <w:ind w:left="488"/>
              <w:spacing w:before="98" w:line="195" w:lineRule="auto"/>
              <w:rPr/>
            </w:pPr>
            <w:r>
              <w:rPr>
                <w:spacing w:val="2"/>
              </w:rPr>
              <w:t>25</w:t>
            </w:r>
          </w:p>
        </w:tc>
        <w:tc>
          <w:tcPr>
            <w:tcW w:w="1377" w:type="dxa"/>
            <w:vAlign w:val="top"/>
          </w:tcPr>
          <w:p>
            <w:pPr>
              <w:pStyle w:val="TableText"/>
              <w:ind w:left="269"/>
              <w:spacing w:before="98" w:line="195" w:lineRule="auto"/>
              <w:rPr/>
            </w:pPr>
            <w:r>
              <w:rPr>
                <w:spacing w:val="4"/>
              </w:rPr>
              <w:t>20627312</w:t>
            </w:r>
          </w:p>
        </w:tc>
        <w:tc>
          <w:tcPr>
            <w:tcW w:w="1183" w:type="dxa"/>
            <w:vAlign w:val="top"/>
          </w:tcPr>
          <w:p>
            <w:pPr>
              <w:pStyle w:val="TableText"/>
              <w:ind w:left="223"/>
              <w:spacing w:before="98" w:line="195" w:lineRule="auto"/>
              <w:rPr/>
            </w:pPr>
            <w:r>
              <w:rPr>
                <w:spacing w:val="4"/>
              </w:rPr>
              <w:t>4981788</w:t>
            </w:r>
          </w:p>
        </w:tc>
        <w:tc>
          <w:tcPr>
            <w:tcW w:w="1377" w:type="dxa"/>
            <w:vAlign w:val="top"/>
          </w:tcPr>
          <w:p>
            <w:pPr>
              <w:pStyle w:val="TableText"/>
              <w:ind w:left="556"/>
              <w:spacing w:before="98" w:line="195" w:lineRule="auto"/>
              <w:rPr/>
            </w:pPr>
            <w:r>
              <w:rPr>
                <w:spacing w:val="3"/>
              </w:rPr>
              <w:t>4.4</w:t>
            </w:r>
          </w:p>
        </w:tc>
        <w:tc>
          <w:tcPr>
            <w:tcW w:w="1379" w:type="dxa"/>
            <w:vAlign w:val="top"/>
          </w:tcPr>
          <w:p>
            <w:pPr>
              <w:pStyle w:val="TableText"/>
              <w:ind w:left="406"/>
              <w:spacing w:before="98" w:line="195" w:lineRule="auto"/>
              <w:rPr/>
            </w:pPr>
            <w:r>
              <w:rPr>
                <w:spacing w:val="3"/>
              </w:rPr>
              <w:t>968.50</w:t>
            </w:r>
          </w:p>
        </w:tc>
        <w:tc>
          <w:tcPr>
            <w:tcW w:w="2780" w:type="dxa"/>
            <w:vAlign w:val="top"/>
          </w:tcPr>
          <w:p>
            <w:pPr>
              <w:rPr>
                <w:rFonts w:ascii="Arial"/>
                <w:sz w:val="21"/>
              </w:rPr>
            </w:pPr>
            <w:r/>
          </w:p>
        </w:tc>
      </w:tr>
      <w:tr>
        <w:trPr>
          <w:trHeight w:val="336" w:hRule="atLeast"/>
        </w:trPr>
        <w:tc>
          <w:tcPr>
            <w:tcW w:w="1187" w:type="dxa"/>
            <w:vAlign w:val="top"/>
          </w:tcPr>
          <w:p>
            <w:pPr>
              <w:pStyle w:val="TableText"/>
              <w:ind w:left="488"/>
              <w:spacing w:before="98" w:line="195" w:lineRule="auto"/>
              <w:rPr/>
            </w:pPr>
            <w:r>
              <w:rPr>
                <w:spacing w:val="2"/>
              </w:rPr>
              <w:t>26</w:t>
            </w:r>
          </w:p>
        </w:tc>
        <w:tc>
          <w:tcPr>
            <w:tcW w:w="1377" w:type="dxa"/>
            <w:vAlign w:val="top"/>
          </w:tcPr>
          <w:p>
            <w:pPr>
              <w:pStyle w:val="TableText"/>
              <w:ind w:left="269"/>
              <w:spacing w:before="98" w:line="195" w:lineRule="auto"/>
              <w:rPr/>
            </w:pPr>
            <w:r>
              <w:rPr>
                <w:spacing w:val="4"/>
              </w:rPr>
              <w:t>20627713</w:t>
            </w:r>
          </w:p>
        </w:tc>
        <w:tc>
          <w:tcPr>
            <w:tcW w:w="1183" w:type="dxa"/>
            <w:vAlign w:val="top"/>
          </w:tcPr>
          <w:p>
            <w:pPr>
              <w:pStyle w:val="TableText"/>
              <w:ind w:left="223"/>
              <w:spacing w:before="98" w:line="195" w:lineRule="auto"/>
              <w:rPr/>
            </w:pPr>
            <w:r>
              <w:rPr>
                <w:spacing w:val="4"/>
              </w:rPr>
              <w:t>4980691</w:t>
            </w:r>
          </w:p>
        </w:tc>
        <w:tc>
          <w:tcPr>
            <w:tcW w:w="1377" w:type="dxa"/>
            <w:vAlign w:val="top"/>
          </w:tcPr>
          <w:p>
            <w:pPr>
              <w:pStyle w:val="TableText"/>
              <w:ind w:left="562"/>
              <w:spacing w:before="98" w:line="195" w:lineRule="auto"/>
              <w:rPr/>
            </w:pPr>
            <w:r>
              <w:rPr>
                <w:spacing w:val="1"/>
              </w:rPr>
              <w:t>3.3</w:t>
            </w:r>
          </w:p>
        </w:tc>
        <w:tc>
          <w:tcPr>
            <w:tcW w:w="1379" w:type="dxa"/>
            <w:vAlign w:val="top"/>
          </w:tcPr>
          <w:p>
            <w:pPr>
              <w:pStyle w:val="TableText"/>
              <w:ind w:left="406"/>
              <w:spacing w:before="98" w:line="195" w:lineRule="auto"/>
              <w:rPr/>
            </w:pPr>
            <w:r>
              <w:rPr>
                <w:spacing w:val="3"/>
              </w:rPr>
              <w:t>968.40</w:t>
            </w:r>
          </w:p>
        </w:tc>
        <w:tc>
          <w:tcPr>
            <w:tcW w:w="2780" w:type="dxa"/>
            <w:vAlign w:val="top"/>
          </w:tcPr>
          <w:p>
            <w:pPr>
              <w:rPr>
                <w:rFonts w:ascii="Arial"/>
                <w:sz w:val="21"/>
              </w:rPr>
            </w:pPr>
            <w:r/>
          </w:p>
        </w:tc>
      </w:tr>
      <w:tr>
        <w:trPr>
          <w:trHeight w:val="472" w:hRule="atLeast"/>
        </w:trPr>
        <w:tc>
          <w:tcPr>
            <w:tcW w:w="1187" w:type="dxa"/>
            <w:vAlign w:val="top"/>
          </w:tcPr>
          <w:p>
            <w:pPr>
              <w:pStyle w:val="TableText"/>
              <w:ind w:left="488"/>
              <w:spacing w:before="167" w:line="195" w:lineRule="auto"/>
              <w:rPr/>
            </w:pPr>
            <w:r>
              <w:rPr>
                <w:spacing w:val="2"/>
              </w:rPr>
              <w:t>27</w:t>
            </w:r>
          </w:p>
        </w:tc>
        <w:tc>
          <w:tcPr>
            <w:tcW w:w="1377" w:type="dxa"/>
            <w:vAlign w:val="top"/>
          </w:tcPr>
          <w:p>
            <w:pPr>
              <w:pStyle w:val="TableText"/>
              <w:ind w:left="269"/>
              <w:spacing w:before="167" w:line="195" w:lineRule="auto"/>
              <w:rPr/>
            </w:pPr>
            <w:r>
              <w:rPr>
                <w:spacing w:val="4"/>
              </w:rPr>
              <w:t>20631323</w:t>
            </w:r>
          </w:p>
        </w:tc>
        <w:tc>
          <w:tcPr>
            <w:tcW w:w="1183" w:type="dxa"/>
            <w:vAlign w:val="top"/>
          </w:tcPr>
          <w:p>
            <w:pPr>
              <w:pStyle w:val="TableText"/>
              <w:ind w:left="223"/>
              <w:spacing w:before="167" w:line="195" w:lineRule="auto"/>
              <w:rPr/>
            </w:pPr>
            <w:r>
              <w:rPr>
                <w:spacing w:val="4"/>
              </w:rPr>
              <w:t>4978243</w:t>
            </w:r>
          </w:p>
        </w:tc>
        <w:tc>
          <w:tcPr>
            <w:tcW w:w="1377" w:type="dxa"/>
            <w:vAlign w:val="top"/>
          </w:tcPr>
          <w:p>
            <w:pPr>
              <w:pStyle w:val="TableText"/>
              <w:ind w:left="578"/>
              <w:spacing w:before="167" w:line="195" w:lineRule="auto"/>
              <w:rPr/>
            </w:pPr>
            <w:r>
              <w:rPr>
                <w:spacing w:val="-4"/>
              </w:rPr>
              <w:t>1.5</w:t>
            </w:r>
          </w:p>
        </w:tc>
        <w:tc>
          <w:tcPr>
            <w:tcW w:w="1379" w:type="dxa"/>
            <w:vAlign w:val="top"/>
          </w:tcPr>
          <w:p>
            <w:pPr>
              <w:pStyle w:val="TableText"/>
              <w:ind w:left="406"/>
              <w:spacing w:before="167" w:line="195" w:lineRule="auto"/>
              <w:rPr/>
            </w:pPr>
            <w:r>
              <w:rPr>
                <w:spacing w:val="3"/>
              </w:rPr>
              <w:t>980.30</w:t>
            </w:r>
          </w:p>
        </w:tc>
        <w:tc>
          <w:tcPr>
            <w:tcW w:w="2780" w:type="dxa"/>
            <w:vAlign w:val="top"/>
            <w:vMerge w:val="restart"/>
            <w:tcBorders>
              <w:bottom w:val="nil"/>
            </w:tcBorders>
          </w:tcPr>
          <w:p>
            <w:pPr>
              <w:ind w:right="10"/>
              <w:spacing w:before="206" w:line="226" w:lineRule="auto"/>
              <w:jc w:val="right"/>
              <w:rPr>
                <w:rFonts w:ascii="SimSun" w:hAnsi="SimSun" w:eastAsia="SimSun" w:cs="SimSun"/>
                <w:sz w:val="20"/>
                <w:szCs w:val="20"/>
              </w:rPr>
            </w:pPr>
            <w:r>
              <w:rPr>
                <w:rFonts w:ascii="SimSun" w:hAnsi="SimSun" w:eastAsia="SimSun" w:cs="SimSun"/>
                <w:sz w:val="20"/>
                <w:szCs w:val="20"/>
                <w:spacing w:val="2"/>
              </w:rPr>
              <w:t>图幅界外，用于绘制水位线，</w:t>
            </w:r>
          </w:p>
          <w:p>
            <w:pPr>
              <w:ind w:left="665"/>
              <w:spacing w:before="81" w:line="228" w:lineRule="auto"/>
              <w:rPr>
                <w:rFonts w:ascii="SimSun" w:hAnsi="SimSun" w:eastAsia="SimSun" w:cs="SimSun"/>
                <w:sz w:val="20"/>
                <w:szCs w:val="20"/>
              </w:rPr>
            </w:pPr>
            <w:r>
              <w:rPr>
                <w:rFonts w:ascii="SimSun" w:hAnsi="SimSun" w:eastAsia="SimSun" w:cs="SimSun"/>
                <w:sz w:val="20"/>
                <w:szCs w:val="20"/>
                <w:spacing w:val="6"/>
              </w:rPr>
              <w:t>不在图中显示。</w:t>
            </w:r>
          </w:p>
        </w:tc>
      </w:tr>
      <w:tr>
        <w:trPr>
          <w:trHeight w:val="470" w:hRule="atLeast"/>
        </w:trPr>
        <w:tc>
          <w:tcPr>
            <w:tcW w:w="1187" w:type="dxa"/>
            <w:vAlign w:val="top"/>
          </w:tcPr>
          <w:p>
            <w:pPr>
              <w:pStyle w:val="TableText"/>
              <w:ind w:left="488"/>
              <w:spacing w:before="166" w:line="195" w:lineRule="auto"/>
              <w:rPr/>
            </w:pPr>
            <w:r>
              <w:rPr>
                <w:spacing w:val="2"/>
              </w:rPr>
              <w:t>28</w:t>
            </w:r>
          </w:p>
        </w:tc>
        <w:tc>
          <w:tcPr>
            <w:tcW w:w="1377" w:type="dxa"/>
            <w:vAlign w:val="top"/>
          </w:tcPr>
          <w:p>
            <w:pPr>
              <w:pStyle w:val="TableText"/>
              <w:ind w:left="269"/>
              <w:spacing w:before="166" w:line="195" w:lineRule="auto"/>
              <w:rPr/>
            </w:pPr>
            <w:r>
              <w:rPr>
                <w:spacing w:val="4"/>
              </w:rPr>
              <w:t>20632396</w:t>
            </w:r>
          </w:p>
        </w:tc>
        <w:tc>
          <w:tcPr>
            <w:tcW w:w="1183" w:type="dxa"/>
            <w:vAlign w:val="top"/>
          </w:tcPr>
          <w:p>
            <w:pPr>
              <w:pStyle w:val="TableText"/>
              <w:ind w:left="223"/>
              <w:spacing w:before="166" w:line="195" w:lineRule="auto"/>
              <w:rPr/>
            </w:pPr>
            <w:r>
              <w:rPr>
                <w:spacing w:val="4"/>
              </w:rPr>
              <w:t>4978425</w:t>
            </w:r>
          </w:p>
        </w:tc>
        <w:tc>
          <w:tcPr>
            <w:tcW w:w="1377" w:type="dxa"/>
            <w:vAlign w:val="top"/>
          </w:tcPr>
          <w:p>
            <w:pPr>
              <w:pStyle w:val="TableText"/>
              <w:ind w:left="557"/>
              <w:spacing w:before="166" w:line="195" w:lineRule="auto"/>
              <w:rPr/>
            </w:pPr>
            <w:r>
              <w:rPr>
                <w:spacing w:val="2"/>
              </w:rPr>
              <w:t>2.3</w:t>
            </w:r>
          </w:p>
        </w:tc>
        <w:tc>
          <w:tcPr>
            <w:tcW w:w="1379" w:type="dxa"/>
            <w:vAlign w:val="top"/>
          </w:tcPr>
          <w:p>
            <w:pPr>
              <w:pStyle w:val="TableText"/>
              <w:ind w:left="406"/>
              <w:spacing w:before="166" w:line="195" w:lineRule="auto"/>
              <w:rPr/>
            </w:pPr>
            <w:r>
              <w:rPr>
                <w:spacing w:val="3"/>
              </w:rPr>
              <w:t>980.30</w:t>
            </w:r>
          </w:p>
        </w:tc>
        <w:tc>
          <w:tcPr>
            <w:tcW w:w="2780" w:type="dxa"/>
            <w:vAlign w:val="top"/>
            <w:vMerge w:val="continue"/>
            <w:tcBorders>
              <w:top w:val="nil"/>
            </w:tcBorders>
          </w:tcPr>
          <w:p>
            <w:pPr>
              <w:rPr>
                <w:rFonts w:ascii="Arial"/>
                <w:sz w:val="21"/>
              </w:rPr>
            </w:pPr>
            <w:r/>
          </w:p>
        </w:tc>
      </w:tr>
      <w:tr>
        <w:trPr>
          <w:trHeight w:val="482" w:hRule="atLeast"/>
        </w:trPr>
        <w:tc>
          <w:tcPr>
            <w:tcW w:w="1187" w:type="dxa"/>
            <w:vAlign w:val="top"/>
          </w:tcPr>
          <w:p>
            <w:pPr>
              <w:pStyle w:val="TableText"/>
              <w:ind w:left="234"/>
              <w:spacing w:before="135" w:line="221" w:lineRule="auto"/>
              <w:rPr/>
            </w:pPr>
            <w:r>
              <w:rPr>
                <w:spacing w:val="3"/>
              </w:rPr>
              <w:t>29(</w:t>
            </w:r>
            <w:r>
              <w:rPr>
                <w:rFonts w:ascii="SimSun" w:hAnsi="SimSun" w:eastAsia="SimSun" w:cs="SimSun"/>
                <w:spacing w:val="3"/>
              </w:rPr>
              <w:t>观</w:t>
            </w:r>
            <w:r>
              <w:rPr>
                <w:rFonts w:ascii="SimSun" w:hAnsi="SimSun" w:eastAsia="SimSun" w:cs="SimSun"/>
                <w:spacing w:val="-39"/>
              </w:rPr>
              <w:t xml:space="preserve"> </w:t>
            </w:r>
            <w:r>
              <w:rPr>
                <w:spacing w:val="3"/>
              </w:rPr>
              <w:t>2)</w:t>
            </w:r>
          </w:p>
        </w:tc>
        <w:tc>
          <w:tcPr>
            <w:tcW w:w="1377" w:type="dxa"/>
            <w:vAlign w:val="top"/>
          </w:tcPr>
          <w:p>
            <w:pPr>
              <w:pStyle w:val="TableText"/>
              <w:ind w:left="320"/>
              <w:spacing w:before="171" w:line="195" w:lineRule="auto"/>
              <w:rPr/>
            </w:pPr>
            <w:r>
              <w:rPr>
                <w:spacing w:val="4"/>
              </w:rPr>
              <w:t>4979423</w:t>
            </w:r>
          </w:p>
        </w:tc>
        <w:tc>
          <w:tcPr>
            <w:tcW w:w="1183" w:type="dxa"/>
            <w:vAlign w:val="top"/>
          </w:tcPr>
          <w:p>
            <w:pPr>
              <w:pStyle w:val="TableText"/>
              <w:ind w:left="168"/>
              <w:spacing w:before="171" w:line="195" w:lineRule="auto"/>
              <w:rPr/>
            </w:pPr>
            <w:r>
              <w:rPr>
                <w:spacing w:val="4"/>
              </w:rPr>
              <w:t>20632853</w:t>
            </w:r>
          </w:p>
        </w:tc>
        <w:tc>
          <w:tcPr>
            <w:tcW w:w="1377" w:type="dxa"/>
            <w:vAlign w:val="top"/>
          </w:tcPr>
          <w:p>
            <w:pPr>
              <w:pStyle w:val="TableText"/>
              <w:ind w:left="562"/>
              <w:spacing w:before="171" w:line="195" w:lineRule="auto"/>
              <w:rPr/>
            </w:pPr>
            <w:r>
              <w:rPr>
                <w:spacing w:val="-1"/>
              </w:rPr>
              <w:t>6.</w:t>
            </w:r>
            <w:r>
              <w:rPr>
                <w:spacing w:val="-25"/>
              </w:rPr>
              <w:t xml:space="preserve"> </w:t>
            </w:r>
            <w:r>
              <w:rPr>
                <w:spacing w:val="-1"/>
              </w:rPr>
              <w:t>1</w:t>
            </w:r>
          </w:p>
        </w:tc>
        <w:tc>
          <w:tcPr>
            <w:tcW w:w="1379" w:type="dxa"/>
            <w:vAlign w:val="top"/>
          </w:tcPr>
          <w:p>
            <w:pPr>
              <w:pStyle w:val="TableText"/>
              <w:ind w:left="406"/>
              <w:spacing w:before="171" w:line="195" w:lineRule="auto"/>
              <w:rPr/>
            </w:pPr>
            <w:r>
              <w:rPr>
                <w:spacing w:val="3"/>
              </w:rPr>
              <w:t>983.30</w:t>
            </w:r>
          </w:p>
        </w:tc>
        <w:tc>
          <w:tcPr>
            <w:tcW w:w="2780" w:type="dxa"/>
            <w:vAlign w:val="top"/>
          </w:tcPr>
          <w:p>
            <w:pPr>
              <w:ind w:left="869"/>
              <w:spacing w:before="134" w:line="228" w:lineRule="auto"/>
              <w:rPr>
                <w:rFonts w:ascii="SimSun" w:hAnsi="SimSun" w:eastAsia="SimSun" w:cs="SimSun"/>
                <w:sz w:val="20"/>
                <w:szCs w:val="20"/>
              </w:rPr>
            </w:pPr>
            <w:r>
              <w:rPr>
                <w:rFonts w:ascii="SimSun" w:hAnsi="SimSun" w:eastAsia="SimSun" w:cs="SimSun"/>
                <w:sz w:val="20"/>
                <w:szCs w:val="20"/>
                <w:spacing w:val="8"/>
              </w:rPr>
              <w:t>矿门口水井</w:t>
            </w:r>
          </w:p>
        </w:tc>
      </w:tr>
    </w:tbl>
    <w:p>
      <w:pPr>
        <w:ind w:left="2310"/>
        <w:spacing w:before="274" w:line="210" w:lineRule="auto"/>
        <w:rPr>
          <w:rFonts w:ascii="Times New Roman" w:hAnsi="Times New Roman" w:eastAsia="Times New Roman" w:cs="Times New Roman"/>
          <w:sz w:val="24"/>
          <w:szCs w:val="24"/>
        </w:rPr>
      </w:pPr>
      <w:r>
        <w:rPr>
          <w:rFonts w:ascii="SimHei" w:hAnsi="SimHei" w:eastAsia="SimHei" w:cs="SimHei"/>
          <w:sz w:val="24"/>
          <w:szCs w:val="24"/>
          <w:b/>
          <w:bCs/>
          <w:spacing w:val="-6"/>
        </w:rPr>
        <w:t>第四系潜水水位一览表</w:t>
      </w:r>
      <w:r>
        <w:rPr>
          <w:rFonts w:ascii="Times New Roman" w:hAnsi="Times New Roman" w:eastAsia="Times New Roman" w:cs="Times New Roman"/>
          <w:sz w:val="24"/>
          <w:szCs w:val="24"/>
          <w:b/>
          <w:bCs/>
          <w:spacing w:val="-6"/>
        </w:rPr>
        <w:t>(</w:t>
      </w:r>
      <w:r>
        <w:rPr>
          <w:rFonts w:ascii="SimHei" w:hAnsi="SimHei" w:eastAsia="SimHei" w:cs="SimHei"/>
          <w:sz w:val="24"/>
          <w:szCs w:val="24"/>
          <w:b/>
          <w:bCs/>
          <w:spacing w:val="-6"/>
        </w:rPr>
        <w:t>观测日期：</w:t>
      </w:r>
      <w:r>
        <w:rPr>
          <w:rFonts w:ascii="Times New Roman" w:hAnsi="Times New Roman" w:eastAsia="Times New Roman" w:cs="Times New Roman"/>
          <w:sz w:val="24"/>
          <w:szCs w:val="24"/>
          <w:b/>
          <w:bCs/>
          <w:spacing w:val="-6"/>
        </w:rPr>
        <w:t>8</w:t>
      </w:r>
      <w:r>
        <w:rPr>
          <w:rFonts w:ascii="Times New Roman" w:hAnsi="Times New Roman" w:eastAsia="Times New Roman" w:cs="Times New Roman"/>
          <w:sz w:val="24"/>
          <w:szCs w:val="24"/>
          <w:b/>
          <w:bCs/>
          <w:spacing w:val="33"/>
        </w:rPr>
        <w:t xml:space="preserve"> </w:t>
      </w:r>
      <w:r>
        <w:rPr>
          <w:rFonts w:ascii="SimHei" w:hAnsi="SimHei" w:eastAsia="SimHei" w:cs="SimHei"/>
          <w:sz w:val="24"/>
          <w:szCs w:val="24"/>
          <w:b/>
          <w:bCs/>
          <w:spacing w:val="-6"/>
        </w:rPr>
        <w:t>月</w:t>
      </w:r>
      <w:r>
        <w:rPr>
          <w:rFonts w:ascii="SimHei" w:hAnsi="SimHei" w:eastAsia="SimHei" w:cs="SimHei"/>
          <w:sz w:val="24"/>
          <w:szCs w:val="24"/>
          <w:spacing w:val="-51"/>
        </w:rPr>
        <w:t xml:space="preserve"> </w:t>
      </w:r>
      <w:r>
        <w:rPr>
          <w:rFonts w:ascii="Times New Roman" w:hAnsi="Times New Roman" w:eastAsia="Times New Roman" w:cs="Times New Roman"/>
          <w:sz w:val="24"/>
          <w:szCs w:val="24"/>
          <w:b/>
          <w:bCs/>
          <w:spacing w:val="-6"/>
        </w:rPr>
        <w:t>6</w:t>
      </w:r>
      <w:r>
        <w:rPr>
          <w:rFonts w:ascii="Times New Roman" w:hAnsi="Times New Roman" w:eastAsia="Times New Roman" w:cs="Times New Roman"/>
          <w:sz w:val="24"/>
          <w:szCs w:val="24"/>
          <w:b/>
          <w:bCs/>
          <w:spacing w:val="46"/>
          <w:w w:val="101"/>
        </w:rPr>
        <w:t xml:space="preserve"> </w:t>
      </w:r>
      <w:r>
        <w:rPr>
          <w:rFonts w:ascii="SimHei" w:hAnsi="SimHei" w:eastAsia="SimHei" w:cs="SimHei"/>
          <w:sz w:val="24"/>
          <w:szCs w:val="24"/>
          <w:b/>
          <w:bCs/>
          <w:spacing w:val="-6"/>
        </w:rPr>
        <w:t>日</w:t>
      </w:r>
      <w:r>
        <w:rPr>
          <w:rFonts w:ascii="Times New Roman" w:hAnsi="Times New Roman" w:eastAsia="Times New Roman" w:cs="Times New Roman"/>
          <w:sz w:val="24"/>
          <w:szCs w:val="24"/>
          <w:b/>
          <w:bCs/>
          <w:spacing w:val="-6"/>
        </w:rPr>
        <w:t>)</w:t>
      </w:r>
    </w:p>
    <w:p>
      <w:pPr>
        <w:ind w:left="112"/>
        <w:spacing w:before="223"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5-4-7</w:t>
      </w:r>
    </w:p>
    <w:p>
      <w:pPr>
        <w:spacing w:line="20" w:lineRule="exact"/>
        <w:rPr/>
      </w:pPr>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11"/>
        <w:gridCol w:w="1406"/>
        <w:gridCol w:w="1204"/>
        <w:gridCol w:w="1403"/>
        <w:gridCol w:w="1406"/>
        <w:gridCol w:w="2655"/>
      </w:tblGrid>
      <w:tr>
        <w:trPr>
          <w:trHeight w:val="328" w:hRule="atLeast"/>
        </w:trPr>
        <w:tc>
          <w:tcPr>
            <w:tcW w:w="1211" w:type="dxa"/>
            <w:vAlign w:val="top"/>
            <w:vMerge w:val="restart"/>
            <w:tcBorders>
              <w:bottom w:val="nil"/>
            </w:tcBorders>
          </w:tcPr>
          <w:p>
            <w:pPr>
              <w:ind w:left="396"/>
              <w:spacing w:before="221" w:line="228" w:lineRule="auto"/>
              <w:rPr>
                <w:rFonts w:ascii="SimSun" w:hAnsi="SimSun" w:eastAsia="SimSun" w:cs="SimSun"/>
                <w:sz w:val="20"/>
                <w:szCs w:val="20"/>
              </w:rPr>
            </w:pPr>
            <w:r>
              <w:rPr>
                <w:rFonts w:ascii="SimSun" w:hAnsi="SimSun" w:eastAsia="SimSun" w:cs="SimSun"/>
                <w:sz w:val="20"/>
                <w:szCs w:val="20"/>
                <w:spacing w:val="4"/>
              </w:rPr>
              <w:t>井号</w:t>
            </w:r>
          </w:p>
        </w:tc>
        <w:tc>
          <w:tcPr>
            <w:tcW w:w="2610" w:type="dxa"/>
            <w:vAlign w:val="top"/>
            <w:gridSpan w:val="2"/>
          </w:tcPr>
          <w:p>
            <w:pPr>
              <w:ind w:left="1099"/>
              <w:spacing w:before="58" w:line="228" w:lineRule="auto"/>
              <w:rPr>
                <w:rFonts w:ascii="SimSun" w:hAnsi="SimSun" w:eastAsia="SimSun" w:cs="SimSun"/>
                <w:sz w:val="20"/>
                <w:szCs w:val="20"/>
              </w:rPr>
            </w:pPr>
            <w:r>
              <w:rPr>
                <w:rFonts w:ascii="SimSun" w:hAnsi="SimSun" w:eastAsia="SimSun" w:cs="SimSun"/>
                <w:sz w:val="20"/>
                <w:szCs w:val="20"/>
                <w:spacing w:val="4"/>
              </w:rPr>
              <w:t>坐标</w:t>
            </w:r>
          </w:p>
        </w:tc>
        <w:tc>
          <w:tcPr>
            <w:tcW w:w="1403" w:type="dxa"/>
            <w:vAlign w:val="top"/>
            <w:vMerge w:val="restart"/>
            <w:tcBorders>
              <w:bottom w:val="nil"/>
            </w:tcBorders>
          </w:tcPr>
          <w:p>
            <w:pPr>
              <w:pStyle w:val="TableText"/>
              <w:ind w:left="137"/>
              <w:spacing w:before="221" w:line="221" w:lineRule="auto"/>
              <w:rPr/>
            </w:pPr>
            <w:r>
              <w:rPr>
                <w:rFonts w:ascii="SimSun" w:hAnsi="SimSun" w:eastAsia="SimSun" w:cs="SimSun"/>
                <w:spacing w:val="6"/>
              </w:rPr>
              <w:t>水位埋深</w:t>
            </w:r>
            <w:r>
              <w:rPr>
                <w:spacing w:val="6"/>
              </w:rPr>
              <w:t>(m)</w:t>
            </w:r>
          </w:p>
        </w:tc>
        <w:tc>
          <w:tcPr>
            <w:tcW w:w="1406" w:type="dxa"/>
            <w:vAlign w:val="top"/>
            <w:vMerge w:val="restart"/>
            <w:tcBorders>
              <w:bottom w:val="nil"/>
            </w:tcBorders>
          </w:tcPr>
          <w:p>
            <w:pPr>
              <w:pStyle w:val="TableText"/>
              <w:ind w:left="140"/>
              <w:spacing w:before="221" w:line="221" w:lineRule="auto"/>
              <w:rPr/>
            </w:pPr>
            <w:r>
              <w:rPr>
                <w:rFonts w:ascii="SimSun" w:hAnsi="SimSun" w:eastAsia="SimSun" w:cs="SimSun"/>
                <w:spacing w:val="5"/>
              </w:rPr>
              <w:t>水位标高</w:t>
            </w:r>
            <w:r>
              <w:rPr>
                <w:spacing w:val="5"/>
              </w:rPr>
              <w:t>(m)</w:t>
            </w:r>
          </w:p>
        </w:tc>
        <w:tc>
          <w:tcPr>
            <w:tcW w:w="2655" w:type="dxa"/>
            <w:vAlign w:val="top"/>
            <w:vMerge w:val="restart"/>
            <w:tcBorders>
              <w:bottom w:val="nil"/>
            </w:tcBorders>
          </w:tcPr>
          <w:p>
            <w:pPr>
              <w:ind w:left="1125"/>
              <w:spacing w:before="221"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5" w:hRule="atLeast"/>
        </w:trPr>
        <w:tc>
          <w:tcPr>
            <w:tcW w:w="1211" w:type="dxa"/>
            <w:vAlign w:val="top"/>
            <w:vMerge w:val="continue"/>
            <w:tcBorders>
              <w:top w:val="nil"/>
            </w:tcBorders>
          </w:tcPr>
          <w:p>
            <w:pPr>
              <w:rPr>
                <w:rFonts w:ascii="Arial"/>
                <w:sz w:val="21"/>
              </w:rPr>
            </w:pPr>
            <w:r/>
          </w:p>
        </w:tc>
        <w:tc>
          <w:tcPr>
            <w:tcW w:w="1406" w:type="dxa"/>
            <w:vAlign w:val="top"/>
          </w:tcPr>
          <w:p>
            <w:pPr>
              <w:pStyle w:val="TableText"/>
              <w:ind w:left="649"/>
              <w:spacing w:before="140" w:line="138" w:lineRule="exact"/>
              <w:rPr/>
            </w:pPr>
            <w:r>
              <w:rPr>
                <w:spacing w:val="1"/>
              </w:rPr>
              <w:t>x</w:t>
            </w:r>
          </w:p>
        </w:tc>
        <w:tc>
          <w:tcPr>
            <w:tcW w:w="1204" w:type="dxa"/>
            <w:vAlign w:val="top"/>
          </w:tcPr>
          <w:p>
            <w:pPr>
              <w:pStyle w:val="TableText"/>
              <w:ind w:left="544"/>
              <w:spacing w:before="140" w:line="140" w:lineRule="exact"/>
              <w:rPr/>
            </w:pPr>
            <w:r>
              <w:rPr>
                <w:spacing w:val="3"/>
                <w:position w:val="2"/>
              </w:rPr>
              <w:t>y</w:t>
            </w:r>
          </w:p>
        </w:tc>
        <w:tc>
          <w:tcPr>
            <w:tcW w:w="1403" w:type="dxa"/>
            <w:vAlign w:val="top"/>
            <w:vMerge w:val="continue"/>
            <w:tcBorders>
              <w:top w:val="nil"/>
            </w:tcBorders>
          </w:tcPr>
          <w:p>
            <w:pPr>
              <w:rPr>
                <w:rFonts w:ascii="Arial"/>
                <w:sz w:val="21"/>
              </w:rPr>
            </w:pPr>
            <w:r/>
          </w:p>
        </w:tc>
        <w:tc>
          <w:tcPr>
            <w:tcW w:w="1406" w:type="dxa"/>
            <w:vAlign w:val="top"/>
            <w:vMerge w:val="continue"/>
            <w:tcBorders>
              <w:top w:val="nil"/>
            </w:tcBorders>
          </w:tcPr>
          <w:p>
            <w:pPr>
              <w:rPr>
                <w:rFonts w:ascii="Arial"/>
                <w:sz w:val="21"/>
              </w:rPr>
            </w:pPr>
            <w:r/>
          </w:p>
        </w:tc>
        <w:tc>
          <w:tcPr>
            <w:tcW w:w="2655" w:type="dxa"/>
            <w:vAlign w:val="top"/>
            <w:vMerge w:val="continue"/>
            <w:tcBorders>
              <w:top w:val="nil"/>
            </w:tcBorders>
          </w:tcPr>
          <w:p>
            <w:pPr>
              <w:rPr>
                <w:rFonts w:ascii="Arial"/>
                <w:sz w:val="21"/>
              </w:rPr>
            </w:pPr>
            <w:r/>
          </w:p>
        </w:tc>
      </w:tr>
      <w:tr>
        <w:trPr>
          <w:trHeight w:val="652" w:hRule="atLeast"/>
        </w:trPr>
        <w:tc>
          <w:tcPr>
            <w:tcW w:w="1211" w:type="dxa"/>
            <w:vAlign w:val="top"/>
          </w:tcPr>
          <w:p>
            <w:pPr>
              <w:pStyle w:val="TableText"/>
              <w:ind w:left="573"/>
              <w:spacing w:before="254" w:line="195" w:lineRule="auto"/>
              <w:rPr/>
            </w:pPr>
            <w:r>
              <w:rPr/>
              <w:t>1</w:t>
            </w:r>
          </w:p>
        </w:tc>
        <w:tc>
          <w:tcPr>
            <w:tcW w:w="1406" w:type="dxa"/>
            <w:vAlign w:val="top"/>
          </w:tcPr>
          <w:p>
            <w:pPr>
              <w:pStyle w:val="TableText"/>
              <w:ind w:left="283"/>
              <w:spacing w:before="253" w:line="195" w:lineRule="auto"/>
              <w:rPr/>
            </w:pPr>
            <w:r>
              <w:rPr>
                <w:spacing w:val="4"/>
              </w:rPr>
              <w:t>20634044</w:t>
            </w:r>
          </w:p>
        </w:tc>
        <w:tc>
          <w:tcPr>
            <w:tcW w:w="1204" w:type="dxa"/>
            <w:vAlign w:val="top"/>
          </w:tcPr>
          <w:p>
            <w:pPr>
              <w:pStyle w:val="TableText"/>
              <w:ind w:left="234"/>
              <w:spacing w:before="253" w:line="195" w:lineRule="auto"/>
              <w:rPr/>
            </w:pPr>
            <w:r>
              <w:rPr>
                <w:spacing w:val="4"/>
              </w:rPr>
              <w:t>4982698</w:t>
            </w:r>
          </w:p>
        </w:tc>
        <w:tc>
          <w:tcPr>
            <w:tcW w:w="1403" w:type="dxa"/>
            <w:vAlign w:val="top"/>
          </w:tcPr>
          <w:p>
            <w:pPr>
              <w:pStyle w:val="TableText"/>
              <w:ind w:left="540"/>
              <w:spacing w:before="253" w:line="195" w:lineRule="auto"/>
              <w:rPr/>
            </w:pPr>
            <w:r>
              <w:rPr>
                <w:spacing w:val="-3"/>
              </w:rPr>
              <w:t>12.4</w:t>
            </w:r>
          </w:p>
        </w:tc>
        <w:tc>
          <w:tcPr>
            <w:tcW w:w="1406" w:type="dxa"/>
            <w:vAlign w:val="top"/>
          </w:tcPr>
          <w:p>
            <w:pPr>
              <w:pStyle w:val="TableText"/>
              <w:ind w:left="416"/>
              <w:spacing w:before="253" w:line="195" w:lineRule="auto"/>
              <w:rPr/>
            </w:pPr>
            <w:r>
              <w:rPr>
                <w:spacing w:val="3"/>
              </w:rPr>
              <w:t>967.85</w:t>
            </w:r>
          </w:p>
        </w:tc>
        <w:tc>
          <w:tcPr>
            <w:tcW w:w="2655" w:type="dxa"/>
            <w:vAlign w:val="top"/>
          </w:tcPr>
          <w:p>
            <w:pPr>
              <w:ind w:left="179" w:right="104" w:hanging="64"/>
              <w:spacing w:before="57" w:line="270" w:lineRule="auto"/>
              <w:rPr>
                <w:rFonts w:ascii="SimSun" w:hAnsi="SimSun" w:eastAsia="SimSun" w:cs="SimSun"/>
                <w:sz w:val="20"/>
                <w:szCs w:val="20"/>
              </w:rPr>
            </w:pPr>
            <w:r>
              <w:rPr>
                <w:rFonts w:ascii="SimSun" w:hAnsi="SimSun" w:eastAsia="SimSun" w:cs="SimSun"/>
                <w:sz w:val="20"/>
                <w:szCs w:val="20"/>
                <w:spacing w:val="2"/>
              </w:rPr>
              <w:t>毛脑豪，图幅界外，用于绘</w:t>
            </w:r>
            <w:r>
              <w:rPr>
                <w:rFonts w:ascii="SimSun" w:hAnsi="SimSun" w:eastAsia="SimSun" w:cs="SimSun"/>
                <w:sz w:val="20"/>
                <w:szCs w:val="20"/>
                <w:spacing w:val="9"/>
              </w:rPr>
              <w:t>制水位线，不在图中显示</w:t>
            </w:r>
          </w:p>
        </w:tc>
      </w:tr>
      <w:tr>
        <w:trPr>
          <w:trHeight w:val="326" w:hRule="atLeast"/>
        </w:trPr>
        <w:tc>
          <w:tcPr>
            <w:tcW w:w="1211" w:type="dxa"/>
            <w:vAlign w:val="top"/>
          </w:tcPr>
          <w:p>
            <w:pPr>
              <w:pStyle w:val="TableText"/>
              <w:ind w:left="553"/>
              <w:spacing w:before="91" w:line="195" w:lineRule="auto"/>
              <w:rPr/>
            </w:pPr>
            <w:r>
              <w:rPr/>
              <w:t>2</w:t>
            </w:r>
          </w:p>
        </w:tc>
        <w:tc>
          <w:tcPr>
            <w:tcW w:w="1406" w:type="dxa"/>
            <w:vAlign w:val="top"/>
          </w:tcPr>
          <w:p>
            <w:pPr>
              <w:pStyle w:val="TableText"/>
              <w:ind w:left="283"/>
              <w:spacing w:before="91" w:line="195" w:lineRule="auto"/>
              <w:rPr/>
            </w:pPr>
            <w:r>
              <w:rPr>
                <w:spacing w:val="4"/>
              </w:rPr>
              <w:t>20632717</w:t>
            </w:r>
          </w:p>
        </w:tc>
        <w:tc>
          <w:tcPr>
            <w:tcW w:w="1204" w:type="dxa"/>
            <w:vAlign w:val="top"/>
          </w:tcPr>
          <w:p>
            <w:pPr>
              <w:pStyle w:val="TableText"/>
              <w:ind w:left="234"/>
              <w:spacing w:before="91" w:line="195" w:lineRule="auto"/>
              <w:rPr/>
            </w:pPr>
            <w:r>
              <w:rPr>
                <w:spacing w:val="4"/>
              </w:rPr>
              <w:t>4982412</w:t>
            </w:r>
          </w:p>
        </w:tc>
        <w:tc>
          <w:tcPr>
            <w:tcW w:w="1403" w:type="dxa"/>
            <w:vAlign w:val="top"/>
          </w:tcPr>
          <w:p>
            <w:pPr>
              <w:pStyle w:val="TableText"/>
              <w:ind w:left="576"/>
              <w:spacing w:before="91" w:line="195" w:lineRule="auto"/>
              <w:rPr/>
            </w:pPr>
            <w:r>
              <w:rPr>
                <w:spacing w:val="1"/>
              </w:rPr>
              <w:t>7.6</w:t>
            </w:r>
          </w:p>
        </w:tc>
        <w:tc>
          <w:tcPr>
            <w:tcW w:w="1406" w:type="dxa"/>
            <w:vAlign w:val="top"/>
          </w:tcPr>
          <w:p>
            <w:pPr>
              <w:rPr>
                <w:rFonts w:ascii="Arial"/>
                <w:sz w:val="21"/>
              </w:rPr>
            </w:pPr>
            <w:r/>
          </w:p>
        </w:tc>
        <w:tc>
          <w:tcPr>
            <w:tcW w:w="2655" w:type="dxa"/>
            <w:vAlign w:val="top"/>
          </w:tcPr>
          <w:p>
            <w:pPr>
              <w:pStyle w:val="TableText"/>
              <w:ind w:left="1044"/>
              <w:spacing w:before="55" w:line="227" w:lineRule="auto"/>
              <w:rPr/>
            </w:pPr>
            <w:r>
              <w:rPr>
                <w:rFonts w:ascii="SimSun" w:hAnsi="SimSun" w:eastAsia="SimSun" w:cs="SimSun"/>
                <w:spacing w:val="2"/>
              </w:rPr>
              <w:t>板凳</w:t>
            </w:r>
            <w:r>
              <w:rPr>
                <w:rFonts w:ascii="SimSun" w:hAnsi="SimSun" w:eastAsia="SimSun" w:cs="SimSun"/>
                <w:spacing w:val="-19"/>
              </w:rPr>
              <w:t xml:space="preserve"> </w:t>
            </w:r>
            <w:r>
              <w:rPr>
                <w:spacing w:val="2"/>
              </w:rPr>
              <w:t>1</w:t>
            </w:r>
          </w:p>
        </w:tc>
      </w:tr>
      <w:tr>
        <w:trPr>
          <w:trHeight w:val="326" w:hRule="atLeast"/>
        </w:trPr>
        <w:tc>
          <w:tcPr>
            <w:tcW w:w="1211" w:type="dxa"/>
            <w:vAlign w:val="top"/>
          </w:tcPr>
          <w:p>
            <w:pPr>
              <w:pStyle w:val="TableText"/>
              <w:ind w:left="301"/>
              <w:spacing w:before="55" w:line="221" w:lineRule="auto"/>
              <w:rPr/>
            </w:pPr>
            <w:r>
              <w:rPr>
                <w:spacing w:val="3"/>
              </w:rPr>
              <w:t>3(</w:t>
            </w:r>
            <w:r>
              <w:rPr>
                <w:rFonts w:ascii="SimSun" w:hAnsi="SimSun" w:eastAsia="SimSun" w:cs="SimSun"/>
                <w:spacing w:val="3"/>
              </w:rPr>
              <w:t>观</w:t>
            </w:r>
            <w:r>
              <w:rPr>
                <w:rFonts w:ascii="SimSun" w:hAnsi="SimSun" w:eastAsia="SimSun" w:cs="SimSun"/>
                <w:spacing w:val="-44"/>
              </w:rPr>
              <w:t xml:space="preserve"> </w:t>
            </w:r>
            <w:r>
              <w:rPr>
                <w:spacing w:val="3"/>
              </w:rPr>
              <w:t>2)</w:t>
            </w:r>
          </w:p>
        </w:tc>
        <w:tc>
          <w:tcPr>
            <w:tcW w:w="1406" w:type="dxa"/>
            <w:vAlign w:val="top"/>
          </w:tcPr>
          <w:p>
            <w:pPr>
              <w:pStyle w:val="TableText"/>
              <w:ind w:left="283"/>
              <w:spacing w:before="91" w:line="195" w:lineRule="auto"/>
              <w:rPr/>
            </w:pPr>
            <w:r>
              <w:rPr>
                <w:spacing w:val="4"/>
              </w:rPr>
              <w:t>20632609</w:t>
            </w:r>
          </w:p>
        </w:tc>
        <w:tc>
          <w:tcPr>
            <w:tcW w:w="1204" w:type="dxa"/>
            <w:vAlign w:val="top"/>
          </w:tcPr>
          <w:p>
            <w:pPr>
              <w:pStyle w:val="TableText"/>
              <w:ind w:left="234"/>
              <w:spacing w:before="91" w:line="195" w:lineRule="auto"/>
              <w:rPr/>
            </w:pPr>
            <w:r>
              <w:rPr>
                <w:spacing w:val="4"/>
              </w:rPr>
              <w:t>4979504</w:t>
            </w:r>
          </w:p>
        </w:tc>
        <w:tc>
          <w:tcPr>
            <w:tcW w:w="1403" w:type="dxa"/>
            <w:vAlign w:val="top"/>
          </w:tcPr>
          <w:p>
            <w:pPr>
              <w:pStyle w:val="TableText"/>
              <w:ind w:left="576"/>
              <w:spacing w:before="94" w:line="192" w:lineRule="auto"/>
              <w:rPr/>
            </w:pPr>
            <w:r>
              <w:rPr>
                <w:spacing w:val="1"/>
              </w:rPr>
              <w:t>7.5</w:t>
            </w:r>
          </w:p>
        </w:tc>
        <w:tc>
          <w:tcPr>
            <w:tcW w:w="1406" w:type="dxa"/>
            <w:vAlign w:val="top"/>
          </w:tcPr>
          <w:p>
            <w:pPr>
              <w:pStyle w:val="TableText"/>
              <w:ind w:left="416"/>
              <w:spacing w:before="91" w:line="195" w:lineRule="auto"/>
              <w:rPr/>
            </w:pPr>
            <w:r>
              <w:rPr>
                <w:spacing w:val="3"/>
              </w:rPr>
              <w:t>975.90</w:t>
            </w:r>
          </w:p>
        </w:tc>
        <w:tc>
          <w:tcPr>
            <w:tcW w:w="2655" w:type="dxa"/>
            <w:vAlign w:val="top"/>
          </w:tcPr>
          <w:p>
            <w:pPr>
              <w:ind w:left="598"/>
              <w:spacing w:before="55"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6" w:hRule="atLeast"/>
        </w:trPr>
        <w:tc>
          <w:tcPr>
            <w:tcW w:w="1211" w:type="dxa"/>
            <w:vAlign w:val="top"/>
          </w:tcPr>
          <w:p>
            <w:pPr>
              <w:pStyle w:val="TableText"/>
              <w:ind w:left="295"/>
              <w:spacing w:before="55" w:line="221" w:lineRule="auto"/>
              <w:rPr/>
            </w:pPr>
            <w:r>
              <w:rPr>
                <w:spacing w:val="4"/>
              </w:rPr>
              <w:t>4(</w:t>
            </w:r>
            <w:r>
              <w:rPr>
                <w:rFonts w:ascii="SimSun" w:hAnsi="SimSun" w:eastAsia="SimSun" w:cs="SimSun"/>
                <w:spacing w:val="4"/>
              </w:rPr>
              <w:t>观</w:t>
            </w:r>
            <w:r>
              <w:rPr>
                <w:rFonts w:ascii="SimSun" w:hAnsi="SimSun" w:eastAsia="SimSun" w:cs="SimSun"/>
                <w:spacing w:val="-44"/>
              </w:rPr>
              <w:t xml:space="preserve"> </w:t>
            </w:r>
            <w:r>
              <w:rPr>
                <w:spacing w:val="4"/>
              </w:rPr>
              <w:t>2)</w:t>
            </w:r>
          </w:p>
        </w:tc>
        <w:tc>
          <w:tcPr>
            <w:tcW w:w="1406" w:type="dxa"/>
            <w:vAlign w:val="top"/>
          </w:tcPr>
          <w:p>
            <w:pPr>
              <w:pStyle w:val="TableText"/>
              <w:ind w:left="283"/>
              <w:spacing w:before="91" w:line="195" w:lineRule="auto"/>
              <w:rPr/>
            </w:pPr>
            <w:r>
              <w:rPr>
                <w:spacing w:val="4"/>
              </w:rPr>
              <w:t>20632732</w:t>
            </w:r>
          </w:p>
        </w:tc>
        <w:tc>
          <w:tcPr>
            <w:tcW w:w="1204" w:type="dxa"/>
            <w:vAlign w:val="top"/>
          </w:tcPr>
          <w:p>
            <w:pPr>
              <w:pStyle w:val="TableText"/>
              <w:ind w:left="234"/>
              <w:spacing w:before="91" w:line="195" w:lineRule="auto"/>
              <w:rPr/>
            </w:pPr>
            <w:r>
              <w:rPr>
                <w:spacing w:val="4"/>
              </w:rPr>
              <w:t>4979610</w:t>
            </w:r>
          </w:p>
        </w:tc>
        <w:tc>
          <w:tcPr>
            <w:tcW w:w="1403" w:type="dxa"/>
            <w:vAlign w:val="top"/>
          </w:tcPr>
          <w:p>
            <w:pPr>
              <w:pStyle w:val="TableText"/>
              <w:ind w:left="577"/>
              <w:spacing w:before="91" w:line="195" w:lineRule="auto"/>
              <w:rPr/>
            </w:pPr>
            <w:r>
              <w:rPr>
                <w:spacing w:val="1"/>
              </w:rPr>
              <w:t>6.5</w:t>
            </w:r>
          </w:p>
        </w:tc>
        <w:tc>
          <w:tcPr>
            <w:tcW w:w="1406" w:type="dxa"/>
            <w:vAlign w:val="top"/>
          </w:tcPr>
          <w:p>
            <w:pPr>
              <w:pStyle w:val="TableText"/>
              <w:ind w:left="416"/>
              <w:spacing w:before="91" w:line="195" w:lineRule="auto"/>
              <w:rPr/>
            </w:pPr>
            <w:r>
              <w:rPr>
                <w:spacing w:val="3"/>
              </w:rPr>
              <w:t>976.00</w:t>
            </w:r>
          </w:p>
        </w:tc>
        <w:tc>
          <w:tcPr>
            <w:tcW w:w="2655" w:type="dxa"/>
            <w:vAlign w:val="top"/>
          </w:tcPr>
          <w:p>
            <w:pPr>
              <w:ind w:left="598"/>
              <w:spacing w:before="55" w:line="228" w:lineRule="auto"/>
              <w:rPr>
                <w:rFonts w:ascii="SimSun" w:hAnsi="SimSun" w:eastAsia="SimSun" w:cs="SimSun"/>
                <w:sz w:val="20"/>
                <w:szCs w:val="20"/>
              </w:rPr>
            </w:pPr>
            <w:r>
              <w:rPr>
                <w:rFonts w:ascii="SimSun" w:hAnsi="SimSun" w:eastAsia="SimSun" w:cs="SimSun"/>
                <w:sz w:val="20"/>
                <w:szCs w:val="20"/>
                <w:spacing w:val="8"/>
              </w:rPr>
              <w:t>矿门口水井西侧</w:t>
            </w:r>
          </w:p>
        </w:tc>
      </w:tr>
      <w:tr>
        <w:trPr>
          <w:trHeight w:val="326" w:hRule="atLeast"/>
        </w:trPr>
        <w:tc>
          <w:tcPr>
            <w:tcW w:w="1211" w:type="dxa"/>
            <w:vAlign w:val="top"/>
          </w:tcPr>
          <w:p>
            <w:pPr>
              <w:pStyle w:val="TableText"/>
              <w:ind w:left="559"/>
              <w:spacing w:before="94" w:line="192" w:lineRule="auto"/>
              <w:rPr/>
            </w:pPr>
            <w:r>
              <w:rPr/>
              <w:t>5</w:t>
            </w:r>
          </w:p>
        </w:tc>
        <w:tc>
          <w:tcPr>
            <w:tcW w:w="1406" w:type="dxa"/>
            <w:vAlign w:val="top"/>
          </w:tcPr>
          <w:p>
            <w:pPr>
              <w:pStyle w:val="TableText"/>
              <w:ind w:left="283"/>
              <w:spacing w:before="91" w:line="195" w:lineRule="auto"/>
              <w:rPr/>
            </w:pPr>
            <w:r>
              <w:rPr>
                <w:spacing w:val="4"/>
              </w:rPr>
              <w:t>20631789</w:t>
            </w:r>
          </w:p>
        </w:tc>
        <w:tc>
          <w:tcPr>
            <w:tcW w:w="1204" w:type="dxa"/>
            <w:vAlign w:val="top"/>
          </w:tcPr>
          <w:p>
            <w:pPr>
              <w:pStyle w:val="TableText"/>
              <w:ind w:left="234"/>
              <w:spacing w:before="91" w:line="195" w:lineRule="auto"/>
              <w:rPr/>
            </w:pPr>
            <w:r>
              <w:rPr>
                <w:spacing w:val="4"/>
              </w:rPr>
              <w:t>4979903</w:t>
            </w:r>
          </w:p>
        </w:tc>
        <w:tc>
          <w:tcPr>
            <w:tcW w:w="1403" w:type="dxa"/>
            <w:vAlign w:val="top"/>
          </w:tcPr>
          <w:p>
            <w:pPr>
              <w:pStyle w:val="TableText"/>
              <w:ind w:left="572"/>
              <w:spacing w:before="91" w:line="195" w:lineRule="auto"/>
              <w:rPr/>
            </w:pPr>
            <w:r>
              <w:rPr>
                <w:spacing w:val="2"/>
              </w:rPr>
              <w:t>2.6</w:t>
            </w:r>
          </w:p>
        </w:tc>
        <w:tc>
          <w:tcPr>
            <w:tcW w:w="1406" w:type="dxa"/>
            <w:vAlign w:val="top"/>
          </w:tcPr>
          <w:p>
            <w:pPr>
              <w:pStyle w:val="TableText"/>
              <w:ind w:left="416"/>
              <w:spacing w:before="91" w:line="195" w:lineRule="auto"/>
              <w:rPr/>
            </w:pPr>
            <w:r>
              <w:rPr>
                <w:spacing w:val="3"/>
              </w:rPr>
              <w:t>974.00</w:t>
            </w:r>
          </w:p>
        </w:tc>
        <w:tc>
          <w:tcPr>
            <w:tcW w:w="2655" w:type="dxa"/>
            <w:vAlign w:val="top"/>
          </w:tcPr>
          <w:p>
            <w:pPr>
              <w:rPr>
                <w:rFonts w:ascii="Arial"/>
                <w:sz w:val="21"/>
              </w:rPr>
            </w:pPr>
            <w:r/>
          </w:p>
        </w:tc>
      </w:tr>
      <w:tr>
        <w:trPr>
          <w:trHeight w:val="326" w:hRule="atLeast"/>
        </w:trPr>
        <w:tc>
          <w:tcPr>
            <w:tcW w:w="1211" w:type="dxa"/>
            <w:vAlign w:val="top"/>
          </w:tcPr>
          <w:p>
            <w:pPr>
              <w:pStyle w:val="TableText"/>
              <w:ind w:left="558"/>
              <w:spacing w:before="92" w:line="195" w:lineRule="auto"/>
              <w:rPr/>
            </w:pPr>
            <w:r>
              <w:rPr/>
              <w:t>6</w:t>
            </w:r>
          </w:p>
        </w:tc>
        <w:tc>
          <w:tcPr>
            <w:tcW w:w="1406" w:type="dxa"/>
            <w:vAlign w:val="top"/>
          </w:tcPr>
          <w:p>
            <w:pPr>
              <w:pStyle w:val="TableText"/>
              <w:ind w:left="283"/>
              <w:spacing w:before="92" w:line="195" w:lineRule="auto"/>
              <w:rPr/>
            </w:pPr>
            <w:r>
              <w:rPr>
                <w:spacing w:val="4"/>
              </w:rPr>
              <w:t>20632567</w:t>
            </w:r>
          </w:p>
        </w:tc>
        <w:tc>
          <w:tcPr>
            <w:tcW w:w="1204" w:type="dxa"/>
            <w:vAlign w:val="top"/>
          </w:tcPr>
          <w:p>
            <w:pPr>
              <w:pStyle w:val="TableText"/>
              <w:ind w:left="234"/>
              <w:spacing w:before="92" w:line="195" w:lineRule="auto"/>
              <w:rPr/>
            </w:pPr>
            <w:r>
              <w:rPr>
                <w:spacing w:val="4"/>
              </w:rPr>
              <w:t>4982173</w:t>
            </w:r>
          </w:p>
        </w:tc>
        <w:tc>
          <w:tcPr>
            <w:tcW w:w="1403" w:type="dxa"/>
            <w:vAlign w:val="top"/>
          </w:tcPr>
          <w:p>
            <w:pPr>
              <w:pStyle w:val="TableText"/>
              <w:ind w:left="577"/>
              <w:spacing w:before="92" w:line="195" w:lineRule="auto"/>
              <w:rPr/>
            </w:pPr>
            <w:r>
              <w:rPr>
                <w:spacing w:val="1"/>
              </w:rPr>
              <w:t>6.7</w:t>
            </w:r>
          </w:p>
        </w:tc>
        <w:tc>
          <w:tcPr>
            <w:tcW w:w="1406" w:type="dxa"/>
            <w:vAlign w:val="top"/>
          </w:tcPr>
          <w:p>
            <w:pPr>
              <w:pStyle w:val="TableText"/>
              <w:ind w:left="416"/>
              <w:spacing w:before="92" w:line="195" w:lineRule="auto"/>
              <w:rPr/>
            </w:pPr>
            <w:r>
              <w:rPr>
                <w:spacing w:val="3"/>
              </w:rPr>
              <w:t>972.90</w:t>
            </w:r>
          </w:p>
        </w:tc>
        <w:tc>
          <w:tcPr>
            <w:tcW w:w="2655" w:type="dxa"/>
            <w:vAlign w:val="top"/>
          </w:tcPr>
          <w:p>
            <w:pPr>
              <w:rPr>
                <w:rFonts w:ascii="Arial"/>
                <w:sz w:val="21"/>
              </w:rPr>
            </w:pPr>
            <w:r/>
          </w:p>
        </w:tc>
      </w:tr>
      <w:tr>
        <w:trPr>
          <w:trHeight w:val="323" w:hRule="atLeast"/>
        </w:trPr>
        <w:tc>
          <w:tcPr>
            <w:tcW w:w="1211" w:type="dxa"/>
            <w:vAlign w:val="top"/>
          </w:tcPr>
          <w:p>
            <w:pPr>
              <w:pStyle w:val="TableText"/>
              <w:ind w:left="329"/>
              <w:spacing w:before="88" w:line="201" w:lineRule="auto"/>
              <w:rPr/>
            </w:pPr>
            <w:r>
              <w:rPr>
                <w:spacing w:val="3"/>
              </w:rPr>
              <w:t>7(17#)</w:t>
            </w:r>
          </w:p>
        </w:tc>
        <w:tc>
          <w:tcPr>
            <w:tcW w:w="1406" w:type="dxa"/>
            <w:vAlign w:val="top"/>
          </w:tcPr>
          <w:p>
            <w:pPr>
              <w:pStyle w:val="TableText"/>
              <w:ind w:left="285"/>
              <w:spacing w:before="92" w:line="195" w:lineRule="auto"/>
              <w:rPr/>
            </w:pPr>
            <w:r>
              <w:rPr>
                <w:spacing w:val="3"/>
              </w:rPr>
              <w:t>20631192</w:t>
            </w:r>
          </w:p>
        </w:tc>
        <w:tc>
          <w:tcPr>
            <w:tcW w:w="1204" w:type="dxa"/>
            <w:vAlign w:val="top"/>
          </w:tcPr>
          <w:p>
            <w:pPr>
              <w:pStyle w:val="TableText"/>
              <w:ind w:left="234"/>
              <w:spacing w:before="92" w:line="195" w:lineRule="auto"/>
              <w:rPr/>
            </w:pPr>
            <w:r>
              <w:rPr>
                <w:spacing w:val="4"/>
              </w:rPr>
              <w:t>4983942</w:t>
            </w:r>
          </w:p>
        </w:tc>
        <w:tc>
          <w:tcPr>
            <w:tcW w:w="1403" w:type="dxa"/>
            <w:vAlign w:val="top"/>
          </w:tcPr>
          <w:p>
            <w:pPr>
              <w:pStyle w:val="TableText"/>
              <w:ind w:left="576"/>
              <w:spacing w:before="92" w:line="195" w:lineRule="auto"/>
              <w:rPr/>
            </w:pPr>
            <w:r>
              <w:rPr>
                <w:spacing w:val="1"/>
              </w:rPr>
              <w:t>3.3</w:t>
            </w:r>
          </w:p>
        </w:tc>
        <w:tc>
          <w:tcPr>
            <w:tcW w:w="1406" w:type="dxa"/>
            <w:vAlign w:val="top"/>
          </w:tcPr>
          <w:p>
            <w:pPr>
              <w:pStyle w:val="TableText"/>
              <w:ind w:left="416"/>
              <w:spacing w:before="92" w:line="195" w:lineRule="auto"/>
              <w:rPr/>
            </w:pPr>
            <w:r>
              <w:rPr>
                <w:spacing w:val="3"/>
              </w:rPr>
              <w:t>969.26</w:t>
            </w:r>
          </w:p>
        </w:tc>
        <w:tc>
          <w:tcPr>
            <w:tcW w:w="2655" w:type="dxa"/>
            <w:vAlign w:val="top"/>
          </w:tcPr>
          <w:p>
            <w:pPr>
              <w:rPr>
                <w:rFonts w:ascii="Arial"/>
                <w:sz w:val="21"/>
              </w:rPr>
            </w:pPr>
            <w:r/>
          </w:p>
        </w:tc>
      </w:tr>
      <w:tr>
        <w:trPr>
          <w:trHeight w:val="326" w:hRule="atLeast"/>
        </w:trPr>
        <w:tc>
          <w:tcPr>
            <w:tcW w:w="1211" w:type="dxa"/>
            <w:vAlign w:val="top"/>
          </w:tcPr>
          <w:p>
            <w:pPr>
              <w:pStyle w:val="TableText"/>
              <w:ind w:left="562"/>
              <w:spacing w:before="95" w:line="195" w:lineRule="auto"/>
              <w:rPr/>
            </w:pPr>
            <w:r>
              <w:rPr/>
              <w:t>8</w:t>
            </w:r>
          </w:p>
        </w:tc>
        <w:tc>
          <w:tcPr>
            <w:tcW w:w="1406" w:type="dxa"/>
            <w:vAlign w:val="top"/>
          </w:tcPr>
          <w:p>
            <w:pPr>
              <w:pStyle w:val="TableText"/>
              <w:ind w:left="283"/>
              <w:spacing w:before="95" w:line="195" w:lineRule="auto"/>
              <w:rPr/>
            </w:pPr>
            <w:r>
              <w:rPr>
                <w:spacing w:val="4"/>
              </w:rPr>
              <w:t>20632348</w:t>
            </w:r>
          </w:p>
        </w:tc>
        <w:tc>
          <w:tcPr>
            <w:tcW w:w="1204" w:type="dxa"/>
            <w:vAlign w:val="top"/>
          </w:tcPr>
          <w:p>
            <w:pPr>
              <w:pStyle w:val="TableText"/>
              <w:ind w:left="234"/>
              <w:spacing w:before="95" w:line="195" w:lineRule="auto"/>
              <w:rPr/>
            </w:pPr>
            <w:r>
              <w:rPr>
                <w:spacing w:val="4"/>
              </w:rPr>
              <w:t>4983685</w:t>
            </w:r>
          </w:p>
        </w:tc>
        <w:tc>
          <w:tcPr>
            <w:tcW w:w="1403" w:type="dxa"/>
            <w:vAlign w:val="top"/>
          </w:tcPr>
          <w:p>
            <w:pPr>
              <w:pStyle w:val="TableText"/>
              <w:ind w:left="577"/>
              <w:spacing w:before="95" w:line="195" w:lineRule="auto"/>
              <w:rPr/>
            </w:pPr>
            <w:r>
              <w:rPr>
                <w:spacing w:val="1"/>
              </w:rPr>
              <w:t>6.5</w:t>
            </w:r>
          </w:p>
        </w:tc>
        <w:tc>
          <w:tcPr>
            <w:tcW w:w="1406" w:type="dxa"/>
            <w:vAlign w:val="top"/>
          </w:tcPr>
          <w:p>
            <w:pPr>
              <w:pStyle w:val="TableText"/>
              <w:ind w:left="416"/>
              <w:spacing w:before="95" w:line="195" w:lineRule="auto"/>
              <w:rPr/>
            </w:pPr>
            <w:r>
              <w:rPr>
                <w:spacing w:val="3"/>
              </w:rPr>
              <w:t>969.80</w:t>
            </w:r>
          </w:p>
        </w:tc>
        <w:tc>
          <w:tcPr>
            <w:tcW w:w="2655" w:type="dxa"/>
            <w:vAlign w:val="top"/>
          </w:tcPr>
          <w:p>
            <w:pPr>
              <w:pStyle w:val="TableText"/>
              <w:ind w:left="1044"/>
              <w:spacing w:before="59" w:line="227" w:lineRule="auto"/>
              <w:rPr/>
            </w:pPr>
            <w:r>
              <w:rPr>
                <w:rFonts w:ascii="SimSun" w:hAnsi="SimSun" w:eastAsia="SimSun" w:cs="SimSun"/>
                <w:spacing w:val="2"/>
              </w:rPr>
              <w:t>板凳</w:t>
            </w:r>
            <w:r>
              <w:rPr>
                <w:rFonts w:ascii="SimSun" w:hAnsi="SimSun" w:eastAsia="SimSun" w:cs="SimSun"/>
                <w:spacing w:val="-39"/>
              </w:rPr>
              <w:t xml:space="preserve"> </w:t>
            </w:r>
            <w:r>
              <w:rPr>
                <w:spacing w:val="2"/>
              </w:rPr>
              <w:t>2</w:t>
            </w:r>
          </w:p>
        </w:tc>
      </w:tr>
      <w:tr>
        <w:trPr>
          <w:trHeight w:val="326" w:hRule="atLeast"/>
        </w:trPr>
        <w:tc>
          <w:tcPr>
            <w:tcW w:w="1211" w:type="dxa"/>
            <w:vAlign w:val="top"/>
          </w:tcPr>
          <w:p>
            <w:pPr>
              <w:pStyle w:val="TableText"/>
              <w:ind w:left="557"/>
              <w:spacing w:before="95" w:line="195" w:lineRule="auto"/>
              <w:rPr/>
            </w:pPr>
            <w:r>
              <w:rPr/>
              <w:t>9</w:t>
            </w:r>
          </w:p>
        </w:tc>
        <w:tc>
          <w:tcPr>
            <w:tcW w:w="1406" w:type="dxa"/>
            <w:vAlign w:val="top"/>
          </w:tcPr>
          <w:p>
            <w:pPr>
              <w:pStyle w:val="TableText"/>
              <w:ind w:left="283"/>
              <w:spacing w:before="95" w:line="195" w:lineRule="auto"/>
              <w:rPr/>
            </w:pPr>
            <w:r>
              <w:rPr>
                <w:spacing w:val="4"/>
              </w:rPr>
              <w:t>20631566</w:t>
            </w:r>
          </w:p>
        </w:tc>
        <w:tc>
          <w:tcPr>
            <w:tcW w:w="1204" w:type="dxa"/>
            <w:vAlign w:val="top"/>
          </w:tcPr>
          <w:p>
            <w:pPr>
              <w:pStyle w:val="TableText"/>
              <w:ind w:left="234"/>
              <w:spacing w:before="95" w:line="195" w:lineRule="auto"/>
              <w:rPr/>
            </w:pPr>
            <w:r>
              <w:rPr>
                <w:spacing w:val="4"/>
              </w:rPr>
              <w:t>4981997</w:t>
            </w:r>
          </w:p>
        </w:tc>
        <w:tc>
          <w:tcPr>
            <w:tcW w:w="1403" w:type="dxa"/>
            <w:vAlign w:val="top"/>
          </w:tcPr>
          <w:p>
            <w:pPr>
              <w:pStyle w:val="TableText"/>
              <w:ind w:left="572"/>
              <w:spacing w:before="95" w:line="195" w:lineRule="auto"/>
              <w:rPr/>
            </w:pPr>
            <w:r>
              <w:rPr>
                <w:spacing w:val="2"/>
              </w:rPr>
              <w:t>2.4</w:t>
            </w:r>
          </w:p>
        </w:tc>
        <w:tc>
          <w:tcPr>
            <w:tcW w:w="1406" w:type="dxa"/>
            <w:vAlign w:val="top"/>
          </w:tcPr>
          <w:p>
            <w:pPr>
              <w:pStyle w:val="TableText"/>
              <w:ind w:left="416"/>
              <w:spacing w:before="95" w:line="195" w:lineRule="auto"/>
              <w:rPr/>
            </w:pPr>
            <w:r>
              <w:rPr>
                <w:spacing w:val="3"/>
              </w:rPr>
              <w:t>968.00</w:t>
            </w:r>
          </w:p>
        </w:tc>
        <w:tc>
          <w:tcPr>
            <w:tcW w:w="2655" w:type="dxa"/>
            <w:vAlign w:val="top"/>
          </w:tcPr>
          <w:p>
            <w:pPr>
              <w:rPr>
                <w:rFonts w:ascii="Arial"/>
                <w:sz w:val="21"/>
              </w:rPr>
            </w:pPr>
            <w:r/>
          </w:p>
        </w:tc>
      </w:tr>
      <w:tr>
        <w:trPr>
          <w:trHeight w:val="326" w:hRule="atLeast"/>
        </w:trPr>
        <w:tc>
          <w:tcPr>
            <w:tcW w:w="1211" w:type="dxa"/>
            <w:vAlign w:val="top"/>
          </w:tcPr>
          <w:p>
            <w:pPr>
              <w:pStyle w:val="TableText"/>
              <w:ind w:left="521"/>
              <w:spacing w:before="95" w:line="195" w:lineRule="auto"/>
              <w:rPr/>
            </w:pPr>
            <w:r>
              <w:rPr>
                <w:spacing w:val="-8"/>
              </w:rPr>
              <w:t>10</w:t>
            </w:r>
          </w:p>
        </w:tc>
        <w:tc>
          <w:tcPr>
            <w:tcW w:w="1406" w:type="dxa"/>
            <w:vAlign w:val="top"/>
          </w:tcPr>
          <w:p>
            <w:pPr>
              <w:pStyle w:val="TableText"/>
              <w:ind w:left="283"/>
              <w:spacing w:before="95" w:line="195" w:lineRule="auto"/>
              <w:rPr/>
            </w:pPr>
            <w:r>
              <w:rPr>
                <w:spacing w:val="4"/>
              </w:rPr>
              <w:t>20632643</w:t>
            </w:r>
          </w:p>
        </w:tc>
        <w:tc>
          <w:tcPr>
            <w:tcW w:w="1204" w:type="dxa"/>
            <w:vAlign w:val="top"/>
          </w:tcPr>
          <w:p>
            <w:pPr>
              <w:pStyle w:val="TableText"/>
              <w:ind w:left="234"/>
              <w:spacing w:before="95" w:line="195" w:lineRule="auto"/>
              <w:rPr/>
            </w:pPr>
            <w:r>
              <w:rPr>
                <w:spacing w:val="4"/>
              </w:rPr>
              <w:t>4983868</w:t>
            </w:r>
          </w:p>
        </w:tc>
        <w:tc>
          <w:tcPr>
            <w:tcW w:w="1403" w:type="dxa"/>
            <w:vAlign w:val="top"/>
          </w:tcPr>
          <w:p>
            <w:pPr>
              <w:pStyle w:val="TableText"/>
              <w:ind w:left="576"/>
              <w:spacing w:before="95" w:line="195" w:lineRule="auto"/>
              <w:rPr/>
            </w:pPr>
            <w:r>
              <w:rPr>
                <w:spacing w:val="1"/>
              </w:rPr>
              <w:t>7.4</w:t>
            </w:r>
          </w:p>
        </w:tc>
        <w:tc>
          <w:tcPr>
            <w:tcW w:w="1406" w:type="dxa"/>
            <w:vAlign w:val="top"/>
          </w:tcPr>
          <w:p>
            <w:pPr>
              <w:pStyle w:val="TableText"/>
              <w:ind w:left="416"/>
              <w:spacing w:before="95" w:line="195" w:lineRule="auto"/>
              <w:rPr/>
            </w:pPr>
            <w:r>
              <w:rPr>
                <w:spacing w:val="3"/>
              </w:rPr>
              <w:t>970.90</w:t>
            </w:r>
          </w:p>
        </w:tc>
        <w:tc>
          <w:tcPr>
            <w:tcW w:w="2655" w:type="dxa"/>
            <w:vAlign w:val="top"/>
          </w:tcPr>
          <w:p>
            <w:pPr>
              <w:ind w:left="1124"/>
              <w:spacing w:before="60" w:line="228" w:lineRule="auto"/>
              <w:rPr>
                <w:rFonts w:ascii="SimSun" w:hAnsi="SimSun" w:eastAsia="SimSun" w:cs="SimSun"/>
                <w:sz w:val="20"/>
                <w:szCs w:val="20"/>
              </w:rPr>
            </w:pPr>
            <w:r>
              <w:rPr>
                <w:rFonts w:ascii="SimSun" w:hAnsi="SimSun" w:eastAsia="SimSun" w:cs="SimSun"/>
                <w:sz w:val="20"/>
                <w:szCs w:val="20"/>
                <w:spacing w:val="3"/>
              </w:rPr>
              <w:t>乌拉</w:t>
            </w:r>
          </w:p>
        </w:tc>
      </w:tr>
      <w:tr>
        <w:trPr>
          <w:trHeight w:val="326" w:hRule="atLeast"/>
        </w:trPr>
        <w:tc>
          <w:tcPr>
            <w:tcW w:w="1211" w:type="dxa"/>
            <w:vAlign w:val="top"/>
          </w:tcPr>
          <w:p>
            <w:pPr>
              <w:pStyle w:val="TableText"/>
              <w:ind w:left="297"/>
              <w:spacing w:before="92" w:line="201" w:lineRule="auto"/>
              <w:rPr/>
            </w:pPr>
            <w:r>
              <w:rPr>
                <w:spacing w:val="-1"/>
              </w:rPr>
              <w:t>11(15#)</w:t>
            </w:r>
          </w:p>
        </w:tc>
        <w:tc>
          <w:tcPr>
            <w:tcW w:w="1406" w:type="dxa"/>
            <w:vAlign w:val="top"/>
          </w:tcPr>
          <w:p>
            <w:pPr>
              <w:pStyle w:val="TableText"/>
              <w:ind w:left="283"/>
              <w:spacing w:before="96" w:line="195" w:lineRule="auto"/>
              <w:rPr/>
            </w:pPr>
            <w:r>
              <w:rPr>
                <w:spacing w:val="4"/>
              </w:rPr>
              <w:t>20631035</w:t>
            </w:r>
          </w:p>
        </w:tc>
        <w:tc>
          <w:tcPr>
            <w:tcW w:w="1204" w:type="dxa"/>
            <w:vAlign w:val="top"/>
          </w:tcPr>
          <w:p>
            <w:pPr>
              <w:pStyle w:val="TableText"/>
              <w:ind w:left="234"/>
              <w:spacing w:before="96" w:line="195" w:lineRule="auto"/>
              <w:rPr/>
            </w:pPr>
            <w:r>
              <w:rPr>
                <w:spacing w:val="4"/>
              </w:rPr>
              <w:t>4984203</w:t>
            </w:r>
          </w:p>
        </w:tc>
        <w:tc>
          <w:tcPr>
            <w:tcW w:w="1403" w:type="dxa"/>
            <w:vAlign w:val="top"/>
          </w:tcPr>
          <w:p>
            <w:pPr>
              <w:pStyle w:val="TableText"/>
              <w:ind w:left="572"/>
              <w:spacing w:before="96" w:line="195" w:lineRule="auto"/>
              <w:rPr/>
            </w:pPr>
            <w:r>
              <w:rPr>
                <w:spacing w:val="2"/>
              </w:rPr>
              <w:t>2.9</w:t>
            </w:r>
          </w:p>
        </w:tc>
        <w:tc>
          <w:tcPr>
            <w:tcW w:w="1406" w:type="dxa"/>
            <w:vAlign w:val="top"/>
          </w:tcPr>
          <w:p>
            <w:pPr>
              <w:pStyle w:val="TableText"/>
              <w:ind w:left="416"/>
              <w:spacing w:before="96" w:line="195" w:lineRule="auto"/>
              <w:rPr/>
            </w:pPr>
            <w:r>
              <w:rPr>
                <w:spacing w:val="3"/>
              </w:rPr>
              <w:t>968.15</w:t>
            </w:r>
          </w:p>
        </w:tc>
        <w:tc>
          <w:tcPr>
            <w:tcW w:w="2655" w:type="dxa"/>
            <w:vAlign w:val="top"/>
          </w:tcPr>
          <w:p>
            <w:pPr>
              <w:rPr>
                <w:rFonts w:ascii="Arial"/>
                <w:sz w:val="21"/>
              </w:rPr>
            </w:pPr>
            <w:r/>
          </w:p>
        </w:tc>
      </w:tr>
      <w:tr>
        <w:trPr>
          <w:trHeight w:val="326" w:hRule="atLeast"/>
        </w:trPr>
        <w:tc>
          <w:tcPr>
            <w:tcW w:w="1211" w:type="dxa"/>
            <w:vAlign w:val="top"/>
          </w:tcPr>
          <w:p>
            <w:pPr>
              <w:pStyle w:val="TableText"/>
              <w:ind w:left="293"/>
              <w:spacing w:before="89" w:line="201" w:lineRule="auto"/>
              <w:rPr/>
            </w:pPr>
            <w:r>
              <w:rPr>
                <w:spacing w:val="1"/>
              </w:rPr>
              <w:t>12(15#)</w:t>
            </w:r>
          </w:p>
        </w:tc>
        <w:tc>
          <w:tcPr>
            <w:tcW w:w="1406" w:type="dxa"/>
            <w:vAlign w:val="top"/>
          </w:tcPr>
          <w:p>
            <w:pPr>
              <w:pStyle w:val="TableText"/>
              <w:ind w:left="283"/>
              <w:spacing w:before="93" w:line="195" w:lineRule="auto"/>
              <w:rPr/>
            </w:pPr>
            <w:r>
              <w:rPr>
                <w:spacing w:val="4"/>
              </w:rPr>
              <w:t>20630965</w:t>
            </w:r>
          </w:p>
        </w:tc>
        <w:tc>
          <w:tcPr>
            <w:tcW w:w="1204" w:type="dxa"/>
            <w:vAlign w:val="top"/>
          </w:tcPr>
          <w:p>
            <w:pPr>
              <w:pStyle w:val="TableText"/>
              <w:ind w:left="234"/>
              <w:spacing w:before="93" w:line="195" w:lineRule="auto"/>
              <w:rPr/>
            </w:pPr>
            <w:r>
              <w:rPr>
                <w:spacing w:val="4"/>
              </w:rPr>
              <w:t>4984234</w:t>
            </w:r>
          </w:p>
        </w:tc>
        <w:tc>
          <w:tcPr>
            <w:tcW w:w="1403" w:type="dxa"/>
            <w:vAlign w:val="top"/>
          </w:tcPr>
          <w:p>
            <w:pPr>
              <w:pStyle w:val="TableText"/>
              <w:ind w:left="572"/>
              <w:spacing w:before="93" w:line="195" w:lineRule="auto"/>
              <w:rPr/>
            </w:pPr>
            <w:r>
              <w:rPr>
                <w:spacing w:val="2"/>
              </w:rPr>
              <w:t>2.8</w:t>
            </w:r>
          </w:p>
        </w:tc>
        <w:tc>
          <w:tcPr>
            <w:tcW w:w="1406" w:type="dxa"/>
            <w:vAlign w:val="top"/>
          </w:tcPr>
          <w:p>
            <w:pPr>
              <w:pStyle w:val="TableText"/>
              <w:ind w:left="416"/>
              <w:spacing w:before="93" w:line="195" w:lineRule="auto"/>
              <w:rPr/>
            </w:pPr>
            <w:r>
              <w:rPr>
                <w:spacing w:val="3"/>
              </w:rPr>
              <w:t>968.21</w:t>
            </w:r>
          </w:p>
        </w:tc>
        <w:tc>
          <w:tcPr>
            <w:tcW w:w="2655" w:type="dxa"/>
            <w:vAlign w:val="top"/>
          </w:tcPr>
          <w:p>
            <w:pPr>
              <w:rPr>
                <w:rFonts w:ascii="Arial"/>
                <w:sz w:val="21"/>
              </w:rPr>
            </w:pPr>
            <w:r/>
          </w:p>
        </w:tc>
      </w:tr>
      <w:tr>
        <w:trPr>
          <w:trHeight w:val="326" w:hRule="atLeast"/>
        </w:trPr>
        <w:tc>
          <w:tcPr>
            <w:tcW w:w="1211" w:type="dxa"/>
            <w:vAlign w:val="top"/>
          </w:tcPr>
          <w:p>
            <w:pPr>
              <w:pStyle w:val="TableText"/>
              <w:ind w:left="293"/>
              <w:spacing w:before="90" w:line="201" w:lineRule="auto"/>
              <w:rPr/>
            </w:pPr>
            <w:r>
              <w:rPr>
                <w:spacing w:val="1"/>
              </w:rPr>
              <w:t>13(15#)</w:t>
            </w:r>
          </w:p>
        </w:tc>
        <w:tc>
          <w:tcPr>
            <w:tcW w:w="1406" w:type="dxa"/>
            <w:vAlign w:val="top"/>
          </w:tcPr>
          <w:p>
            <w:pPr>
              <w:pStyle w:val="TableText"/>
              <w:ind w:left="283"/>
              <w:spacing w:before="94" w:line="195" w:lineRule="auto"/>
              <w:rPr/>
            </w:pPr>
            <w:r>
              <w:rPr>
                <w:spacing w:val="4"/>
              </w:rPr>
              <w:t>20630908</w:t>
            </w:r>
          </w:p>
        </w:tc>
        <w:tc>
          <w:tcPr>
            <w:tcW w:w="1204" w:type="dxa"/>
            <w:vAlign w:val="top"/>
          </w:tcPr>
          <w:p>
            <w:pPr>
              <w:pStyle w:val="TableText"/>
              <w:ind w:left="234"/>
              <w:spacing w:before="94" w:line="195" w:lineRule="auto"/>
              <w:rPr/>
            </w:pPr>
            <w:r>
              <w:rPr>
                <w:spacing w:val="4"/>
              </w:rPr>
              <w:t>4984230</w:t>
            </w:r>
          </w:p>
        </w:tc>
        <w:tc>
          <w:tcPr>
            <w:tcW w:w="1403" w:type="dxa"/>
            <w:vAlign w:val="top"/>
          </w:tcPr>
          <w:p>
            <w:pPr>
              <w:pStyle w:val="TableText"/>
              <w:ind w:left="572"/>
              <w:spacing w:before="94" w:line="195" w:lineRule="auto"/>
              <w:rPr/>
            </w:pPr>
            <w:r>
              <w:rPr>
                <w:spacing w:val="2"/>
              </w:rPr>
              <w:t>2.5</w:t>
            </w:r>
          </w:p>
        </w:tc>
        <w:tc>
          <w:tcPr>
            <w:tcW w:w="1406" w:type="dxa"/>
            <w:vAlign w:val="top"/>
          </w:tcPr>
          <w:p>
            <w:pPr>
              <w:pStyle w:val="TableText"/>
              <w:ind w:left="416"/>
              <w:spacing w:before="94" w:line="195" w:lineRule="auto"/>
              <w:rPr/>
            </w:pPr>
            <w:r>
              <w:rPr>
                <w:spacing w:val="3"/>
              </w:rPr>
              <w:t>967.98</w:t>
            </w:r>
          </w:p>
        </w:tc>
        <w:tc>
          <w:tcPr>
            <w:tcW w:w="2655" w:type="dxa"/>
            <w:vAlign w:val="top"/>
          </w:tcPr>
          <w:p>
            <w:pPr>
              <w:rPr>
                <w:rFonts w:ascii="Arial"/>
                <w:sz w:val="21"/>
              </w:rPr>
            </w:pPr>
            <w:r/>
          </w:p>
        </w:tc>
      </w:tr>
      <w:tr>
        <w:trPr>
          <w:trHeight w:val="326" w:hRule="atLeast"/>
        </w:trPr>
        <w:tc>
          <w:tcPr>
            <w:tcW w:w="1211" w:type="dxa"/>
            <w:vAlign w:val="top"/>
          </w:tcPr>
          <w:p>
            <w:pPr>
              <w:pStyle w:val="TableText"/>
              <w:ind w:left="521"/>
              <w:spacing w:before="94" w:line="195" w:lineRule="auto"/>
              <w:rPr/>
            </w:pPr>
            <w:r>
              <w:rPr>
                <w:spacing w:val="-8"/>
              </w:rPr>
              <w:t>14</w:t>
            </w:r>
          </w:p>
        </w:tc>
        <w:tc>
          <w:tcPr>
            <w:tcW w:w="1406" w:type="dxa"/>
            <w:vAlign w:val="top"/>
          </w:tcPr>
          <w:p>
            <w:pPr>
              <w:pStyle w:val="TableText"/>
              <w:ind w:left="283"/>
              <w:spacing w:before="94" w:line="195" w:lineRule="auto"/>
              <w:rPr/>
            </w:pPr>
            <w:r>
              <w:rPr>
                <w:spacing w:val="4"/>
              </w:rPr>
              <w:t>20631431</w:t>
            </w:r>
          </w:p>
        </w:tc>
        <w:tc>
          <w:tcPr>
            <w:tcW w:w="1204" w:type="dxa"/>
            <w:vAlign w:val="top"/>
          </w:tcPr>
          <w:p>
            <w:pPr>
              <w:pStyle w:val="TableText"/>
              <w:ind w:left="234"/>
              <w:spacing w:before="94" w:line="195" w:lineRule="auto"/>
              <w:rPr/>
            </w:pPr>
            <w:r>
              <w:rPr>
                <w:spacing w:val="4"/>
              </w:rPr>
              <w:t>4980518</w:t>
            </w:r>
          </w:p>
        </w:tc>
        <w:tc>
          <w:tcPr>
            <w:tcW w:w="1403" w:type="dxa"/>
            <w:vAlign w:val="top"/>
          </w:tcPr>
          <w:p>
            <w:pPr>
              <w:pStyle w:val="TableText"/>
              <w:ind w:left="578"/>
              <w:spacing w:before="97" w:line="192" w:lineRule="auto"/>
              <w:rPr/>
            </w:pPr>
            <w:r>
              <w:rPr/>
              <w:t>5.5</w:t>
            </w:r>
          </w:p>
        </w:tc>
        <w:tc>
          <w:tcPr>
            <w:tcW w:w="1406" w:type="dxa"/>
            <w:vAlign w:val="top"/>
          </w:tcPr>
          <w:p>
            <w:pPr>
              <w:pStyle w:val="TableText"/>
              <w:ind w:left="416"/>
              <w:spacing w:before="94" w:line="195" w:lineRule="auto"/>
              <w:rPr/>
            </w:pPr>
            <w:r>
              <w:rPr>
                <w:spacing w:val="3"/>
              </w:rPr>
              <w:t>971.70</w:t>
            </w:r>
          </w:p>
        </w:tc>
        <w:tc>
          <w:tcPr>
            <w:tcW w:w="2655" w:type="dxa"/>
            <w:vAlign w:val="top"/>
          </w:tcPr>
          <w:p>
            <w:pPr>
              <w:rPr>
                <w:rFonts w:ascii="Arial"/>
                <w:sz w:val="21"/>
              </w:rPr>
            </w:pPr>
            <w:r/>
          </w:p>
        </w:tc>
      </w:tr>
      <w:tr>
        <w:trPr>
          <w:trHeight w:val="326" w:hRule="atLeast"/>
        </w:trPr>
        <w:tc>
          <w:tcPr>
            <w:tcW w:w="1211" w:type="dxa"/>
            <w:vAlign w:val="top"/>
          </w:tcPr>
          <w:p>
            <w:pPr>
              <w:pStyle w:val="TableText"/>
              <w:ind w:left="269"/>
              <w:spacing w:before="58" w:line="221" w:lineRule="auto"/>
              <w:rPr/>
            </w:pPr>
            <w:r>
              <w:rPr>
                <w:spacing w:val="-2"/>
              </w:rPr>
              <w:t>15(</w:t>
            </w:r>
            <w:r>
              <w:rPr>
                <w:rFonts w:ascii="SimSun" w:hAnsi="SimSun" w:eastAsia="SimSun" w:cs="SimSun"/>
                <w:spacing w:val="-2"/>
              </w:rPr>
              <w:t>观</w:t>
            </w:r>
            <w:r>
              <w:rPr>
                <w:rFonts w:ascii="SimSun" w:hAnsi="SimSun" w:eastAsia="SimSun" w:cs="SimSun"/>
                <w:spacing w:val="-32"/>
              </w:rPr>
              <w:t xml:space="preserve"> </w:t>
            </w:r>
            <w:r>
              <w:rPr>
                <w:spacing w:val="-2"/>
              </w:rPr>
              <w:t>5)</w:t>
            </w:r>
          </w:p>
        </w:tc>
        <w:tc>
          <w:tcPr>
            <w:tcW w:w="1406" w:type="dxa"/>
            <w:vAlign w:val="top"/>
          </w:tcPr>
          <w:p>
            <w:pPr>
              <w:pStyle w:val="TableText"/>
              <w:ind w:left="283"/>
              <w:spacing w:before="94" w:line="195" w:lineRule="auto"/>
              <w:rPr/>
            </w:pPr>
            <w:r>
              <w:rPr>
                <w:spacing w:val="4"/>
              </w:rPr>
              <w:t>20631868</w:t>
            </w:r>
          </w:p>
        </w:tc>
        <w:tc>
          <w:tcPr>
            <w:tcW w:w="1204" w:type="dxa"/>
            <w:vAlign w:val="top"/>
          </w:tcPr>
          <w:p>
            <w:pPr>
              <w:pStyle w:val="TableText"/>
              <w:ind w:left="234"/>
              <w:spacing w:before="94" w:line="195" w:lineRule="auto"/>
              <w:rPr/>
            </w:pPr>
            <w:r>
              <w:rPr>
                <w:spacing w:val="4"/>
              </w:rPr>
              <w:t>4982566</w:t>
            </w:r>
          </w:p>
        </w:tc>
        <w:tc>
          <w:tcPr>
            <w:tcW w:w="1403" w:type="dxa"/>
            <w:vAlign w:val="top"/>
          </w:tcPr>
          <w:p>
            <w:pPr>
              <w:pStyle w:val="TableText"/>
              <w:ind w:left="540"/>
              <w:spacing w:before="94" w:line="195" w:lineRule="auto"/>
              <w:rPr/>
            </w:pPr>
            <w:r>
              <w:rPr>
                <w:spacing w:val="-3"/>
              </w:rPr>
              <w:t>15.6</w:t>
            </w:r>
          </w:p>
        </w:tc>
        <w:tc>
          <w:tcPr>
            <w:tcW w:w="1406" w:type="dxa"/>
            <w:vAlign w:val="top"/>
          </w:tcPr>
          <w:p>
            <w:pPr>
              <w:pStyle w:val="TableText"/>
              <w:ind w:left="416"/>
              <w:spacing w:before="94" w:line="195" w:lineRule="auto"/>
              <w:rPr/>
            </w:pPr>
            <w:r>
              <w:rPr>
                <w:spacing w:val="3"/>
              </w:rPr>
              <w:t>959.85</w:t>
            </w:r>
          </w:p>
        </w:tc>
        <w:tc>
          <w:tcPr>
            <w:tcW w:w="2655" w:type="dxa"/>
            <w:vAlign w:val="top"/>
          </w:tcPr>
          <w:p>
            <w:pPr>
              <w:rPr>
                <w:rFonts w:ascii="Arial"/>
                <w:sz w:val="21"/>
              </w:rPr>
            </w:pPr>
            <w:r/>
          </w:p>
        </w:tc>
      </w:tr>
      <w:tr>
        <w:trPr>
          <w:trHeight w:val="326" w:hRule="atLeast"/>
        </w:trPr>
        <w:tc>
          <w:tcPr>
            <w:tcW w:w="1211" w:type="dxa"/>
            <w:vAlign w:val="top"/>
          </w:tcPr>
          <w:p>
            <w:pPr>
              <w:pStyle w:val="TableText"/>
              <w:ind w:left="345"/>
              <w:spacing w:before="90" w:line="201" w:lineRule="auto"/>
              <w:rPr/>
            </w:pPr>
            <w:r>
              <w:rPr/>
              <w:t>16(5#)</w:t>
            </w:r>
          </w:p>
        </w:tc>
        <w:tc>
          <w:tcPr>
            <w:tcW w:w="1406" w:type="dxa"/>
            <w:vAlign w:val="top"/>
          </w:tcPr>
          <w:p>
            <w:pPr>
              <w:pStyle w:val="TableText"/>
              <w:ind w:left="283"/>
              <w:spacing w:before="94" w:line="195" w:lineRule="auto"/>
              <w:rPr/>
            </w:pPr>
            <w:r>
              <w:rPr>
                <w:spacing w:val="4"/>
              </w:rPr>
              <w:t>20629542</w:t>
            </w:r>
          </w:p>
        </w:tc>
        <w:tc>
          <w:tcPr>
            <w:tcW w:w="1204" w:type="dxa"/>
            <w:vAlign w:val="top"/>
          </w:tcPr>
          <w:p>
            <w:pPr>
              <w:pStyle w:val="TableText"/>
              <w:ind w:left="234"/>
              <w:spacing w:before="94" w:line="195" w:lineRule="auto"/>
              <w:rPr/>
            </w:pPr>
            <w:r>
              <w:rPr>
                <w:spacing w:val="4"/>
              </w:rPr>
              <w:t>4989041</w:t>
            </w:r>
          </w:p>
        </w:tc>
        <w:tc>
          <w:tcPr>
            <w:tcW w:w="1403" w:type="dxa"/>
            <w:vAlign w:val="top"/>
          </w:tcPr>
          <w:p>
            <w:pPr>
              <w:pStyle w:val="TableText"/>
              <w:ind w:left="581"/>
              <w:spacing w:before="94" w:line="195" w:lineRule="auto"/>
              <w:rPr/>
            </w:pPr>
            <w:r>
              <w:rPr/>
              <w:t>8.5</w:t>
            </w:r>
          </w:p>
        </w:tc>
        <w:tc>
          <w:tcPr>
            <w:tcW w:w="1406" w:type="dxa"/>
            <w:vAlign w:val="top"/>
          </w:tcPr>
          <w:p>
            <w:pPr>
              <w:pStyle w:val="TableText"/>
              <w:ind w:left="416"/>
              <w:spacing w:before="94" w:line="195" w:lineRule="auto"/>
              <w:rPr/>
            </w:pPr>
            <w:r>
              <w:rPr>
                <w:spacing w:val="3"/>
              </w:rPr>
              <w:t>962.01</w:t>
            </w:r>
          </w:p>
        </w:tc>
        <w:tc>
          <w:tcPr>
            <w:tcW w:w="2655" w:type="dxa"/>
            <w:vAlign w:val="top"/>
          </w:tcPr>
          <w:p>
            <w:pPr>
              <w:rPr>
                <w:rFonts w:ascii="Arial"/>
                <w:sz w:val="21"/>
              </w:rPr>
            </w:pPr>
            <w:r/>
          </w:p>
        </w:tc>
      </w:tr>
    </w:tbl>
    <w:p>
      <w:pPr>
        <w:pStyle w:val="BodyText"/>
        <w:spacing w:line="140" w:lineRule="exact"/>
        <w:rPr>
          <w:sz w:val="12"/>
        </w:rPr>
      </w:pPr>
      <w:r/>
    </w:p>
    <w:p>
      <w:pPr>
        <w:spacing w:line="140" w:lineRule="exact"/>
        <w:sectPr>
          <w:headerReference w:type="default" r:id="rId421"/>
          <w:footerReference w:type="default" r:id="rId422"/>
          <w:pgSz w:w="11906" w:h="16838"/>
          <w:pgMar w:top="1170" w:right="1304" w:bottom="1080" w:left="1310" w:header="837" w:footer="918" w:gutter="0"/>
        </w:sectPr>
        <w:rPr>
          <w:sz w:val="12"/>
          <w:szCs w:val="12"/>
        </w:rPr>
      </w:pPr>
    </w:p>
    <w:p>
      <w:pPr>
        <w:spacing w:before="6"/>
        <w:rPr/>
      </w:pPr>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211"/>
        <w:gridCol w:w="1406"/>
        <w:gridCol w:w="1204"/>
        <w:gridCol w:w="1403"/>
        <w:gridCol w:w="1406"/>
        <w:gridCol w:w="2655"/>
      </w:tblGrid>
      <w:tr>
        <w:trPr>
          <w:trHeight w:val="328" w:hRule="atLeast"/>
        </w:trPr>
        <w:tc>
          <w:tcPr>
            <w:tcW w:w="1211" w:type="dxa"/>
            <w:vAlign w:val="top"/>
            <w:vMerge w:val="restart"/>
            <w:tcBorders>
              <w:bottom w:val="nil"/>
            </w:tcBorders>
          </w:tcPr>
          <w:p>
            <w:pPr>
              <w:ind w:left="396"/>
              <w:spacing w:before="221" w:line="228" w:lineRule="auto"/>
              <w:rPr>
                <w:rFonts w:ascii="SimSun" w:hAnsi="SimSun" w:eastAsia="SimSun" w:cs="SimSun"/>
                <w:sz w:val="20"/>
                <w:szCs w:val="20"/>
              </w:rPr>
            </w:pPr>
            <w:r>
              <w:rPr>
                <w:rFonts w:ascii="SimSun" w:hAnsi="SimSun" w:eastAsia="SimSun" w:cs="SimSun"/>
                <w:sz w:val="20"/>
                <w:szCs w:val="20"/>
                <w:spacing w:val="4"/>
              </w:rPr>
              <w:t>井号</w:t>
            </w:r>
          </w:p>
        </w:tc>
        <w:tc>
          <w:tcPr>
            <w:tcW w:w="2610" w:type="dxa"/>
            <w:vAlign w:val="top"/>
            <w:gridSpan w:val="2"/>
          </w:tcPr>
          <w:p>
            <w:pPr>
              <w:ind w:left="1099"/>
              <w:spacing w:before="58" w:line="228" w:lineRule="auto"/>
              <w:rPr>
                <w:rFonts w:ascii="SimSun" w:hAnsi="SimSun" w:eastAsia="SimSun" w:cs="SimSun"/>
                <w:sz w:val="20"/>
                <w:szCs w:val="20"/>
              </w:rPr>
            </w:pPr>
            <w:r>
              <w:rPr>
                <w:rFonts w:ascii="SimSun" w:hAnsi="SimSun" w:eastAsia="SimSun" w:cs="SimSun"/>
                <w:sz w:val="20"/>
                <w:szCs w:val="20"/>
                <w:spacing w:val="4"/>
              </w:rPr>
              <w:t>坐标</w:t>
            </w:r>
          </w:p>
        </w:tc>
        <w:tc>
          <w:tcPr>
            <w:tcW w:w="1403" w:type="dxa"/>
            <w:vAlign w:val="top"/>
            <w:vMerge w:val="restart"/>
            <w:tcBorders>
              <w:bottom w:val="nil"/>
            </w:tcBorders>
          </w:tcPr>
          <w:p>
            <w:pPr>
              <w:pStyle w:val="TableText"/>
              <w:ind w:left="137"/>
              <w:spacing w:before="221" w:line="221" w:lineRule="auto"/>
              <w:rPr/>
            </w:pPr>
            <w:r>
              <w:rPr>
                <w:rFonts w:ascii="SimSun" w:hAnsi="SimSun" w:eastAsia="SimSun" w:cs="SimSun"/>
                <w:spacing w:val="6"/>
              </w:rPr>
              <w:t>水位埋深</w:t>
            </w:r>
            <w:r>
              <w:rPr>
                <w:spacing w:val="6"/>
              </w:rPr>
              <w:t>(m)</w:t>
            </w:r>
          </w:p>
        </w:tc>
        <w:tc>
          <w:tcPr>
            <w:tcW w:w="1406" w:type="dxa"/>
            <w:vAlign w:val="top"/>
            <w:vMerge w:val="restart"/>
            <w:tcBorders>
              <w:bottom w:val="nil"/>
            </w:tcBorders>
          </w:tcPr>
          <w:p>
            <w:pPr>
              <w:pStyle w:val="TableText"/>
              <w:ind w:left="140"/>
              <w:spacing w:before="221" w:line="221" w:lineRule="auto"/>
              <w:rPr/>
            </w:pPr>
            <w:r>
              <w:rPr>
                <w:rFonts w:ascii="SimSun" w:hAnsi="SimSun" w:eastAsia="SimSun" w:cs="SimSun"/>
                <w:spacing w:val="5"/>
              </w:rPr>
              <w:t>水位标高</w:t>
            </w:r>
            <w:r>
              <w:rPr>
                <w:spacing w:val="5"/>
              </w:rPr>
              <w:t>(m)</w:t>
            </w:r>
          </w:p>
        </w:tc>
        <w:tc>
          <w:tcPr>
            <w:tcW w:w="2655" w:type="dxa"/>
            <w:vAlign w:val="top"/>
            <w:vMerge w:val="restart"/>
            <w:tcBorders>
              <w:bottom w:val="nil"/>
            </w:tcBorders>
          </w:tcPr>
          <w:p>
            <w:pPr>
              <w:ind w:left="1125"/>
              <w:spacing w:before="221"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6" w:hRule="atLeast"/>
        </w:trPr>
        <w:tc>
          <w:tcPr>
            <w:tcW w:w="1211" w:type="dxa"/>
            <w:vAlign w:val="top"/>
            <w:vMerge w:val="continue"/>
            <w:tcBorders>
              <w:top w:val="nil"/>
            </w:tcBorders>
          </w:tcPr>
          <w:p>
            <w:pPr>
              <w:rPr>
                <w:rFonts w:ascii="Arial"/>
                <w:sz w:val="21"/>
              </w:rPr>
            </w:pPr>
            <w:r/>
          </w:p>
        </w:tc>
        <w:tc>
          <w:tcPr>
            <w:tcW w:w="1406" w:type="dxa"/>
            <w:vAlign w:val="top"/>
          </w:tcPr>
          <w:p>
            <w:pPr>
              <w:pStyle w:val="TableText"/>
              <w:ind w:left="649"/>
              <w:spacing w:before="140" w:line="138" w:lineRule="exact"/>
              <w:rPr/>
            </w:pPr>
            <w:r>
              <w:rPr>
                <w:spacing w:val="1"/>
              </w:rPr>
              <w:t>x</w:t>
            </w:r>
          </w:p>
        </w:tc>
        <w:tc>
          <w:tcPr>
            <w:tcW w:w="1204" w:type="dxa"/>
            <w:vAlign w:val="top"/>
          </w:tcPr>
          <w:p>
            <w:pPr>
              <w:pStyle w:val="TableText"/>
              <w:ind w:left="544"/>
              <w:spacing w:before="140" w:line="140" w:lineRule="exact"/>
              <w:rPr/>
            </w:pPr>
            <w:r>
              <w:rPr>
                <w:spacing w:val="3"/>
                <w:position w:val="2"/>
              </w:rPr>
              <w:t>y</w:t>
            </w:r>
          </w:p>
        </w:tc>
        <w:tc>
          <w:tcPr>
            <w:tcW w:w="1403" w:type="dxa"/>
            <w:vAlign w:val="top"/>
            <w:vMerge w:val="continue"/>
            <w:tcBorders>
              <w:top w:val="nil"/>
            </w:tcBorders>
          </w:tcPr>
          <w:p>
            <w:pPr>
              <w:rPr>
                <w:rFonts w:ascii="Arial"/>
                <w:sz w:val="21"/>
              </w:rPr>
            </w:pPr>
            <w:r/>
          </w:p>
        </w:tc>
        <w:tc>
          <w:tcPr>
            <w:tcW w:w="1406" w:type="dxa"/>
            <w:vAlign w:val="top"/>
            <w:vMerge w:val="continue"/>
            <w:tcBorders>
              <w:top w:val="nil"/>
            </w:tcBorders>
          </w:tcPr>
          <w:p>
            <w:pPr>
              <w:rPr>
                <w:rFonts w:ascii="Arial"/>
                <w:sz w:val="21"/>
              </w:rPr>
            </w:pPr>
            <w:r/>
          </w:p>
        </w:tc>
        <w:tc>
          <w:tcPr>
            <w:tcW w:w="2655" w:type="dxa"/>
            <w:vAlign w:val="top"/>
            <w:vMerge w:val="continue"/>
            <w:tcBorders>
              <w:top w:val="nil"/>
            </w:tcBorders>
          </w:tcPr>
          <w:p>
            <w:pPr>
              <w:rPr>
                <w:rFonts w:ascii="Arial"/>
                <w:sz w:val="21"/>
              </w:rPr>
            </w:pPr>
            <w:r/>
          </w:p>
        </w:tc>
      </w:tr>
      <w:tr>
        <w:trPr>
          <w:trHeight w:val="326" w:hRule="atLeast"/>
        </w:trPr>
        <w:tc>
          <w:tcPr>
            <w:tcW w:w="1211" w:type="dxa"/>
            <w:vAlign w:val="top"/>
          </w:tcPr>
          <w:p>
            <w:pPr>
              <w:pStyle w:val="TableText"/>
              <w:ind w:left="345"/>
              <w:spacing w:before="85" w:line="201" w:lineRule="auto"/>
              <w:rPr/>
            </w:pPr>
            <w:r>
              <w:rPr/>
              <w:t>17(4#)</w:t>
            </w:r>
          </w:p>
        </w:tc>
        <w:tc>
          <w:tcPr>
            <w:tcW w:w="1406" w:type="dxa"/>
            <w:vAlign w:val="top"/>
          </w:tcPr>
          <w:p>
            <w:pPr>
              <w:pStyle w:val="TableText"/>
              <w:ind w:left="283"/>
              <w:spacing w:before="89" w:line="195" w:lineRule="auto"/>
              <w:rPr/>
            </w:pPr>
            <w:r>
              <w:rPr>
                <w:spacing w:val="4"/>
              </w:rPr>
              <w:t>20628466</w:t>
            </w:r>
          </w:p>
        </w:tc>
        <w:tc>
          <w:tcPr>
            <w:tcW w:w="1204" w:type="dxa"/>
            <w:vAlign w:val="top"/>
          </w:tcPr>
          <w:p>
            <w:pPr>
              <w:pStyle w:val="TableText"/>
              <w:ind w:left="234"/>
              <w:spacing w:before="89" w:line="195" w:lineRule="auto"/>
              <w:rPr/>
            </w:pPr>
            <w:r>
              <w:rPr>
                <w:spacing w:val="4"/>
              </w:rPr>
              <w:t>4987298</w:t>
            </w:r>
          </w:p>
        </w:tc>
        <w:tc>
          <w:tcPr>
            <w:tcW w:w="1403" w:type="dxa"/>
            <w:vAlign w:val="top"/>
          </w:tcPr>
          <w:p>
            <w:pPr>
              <w:pStyle w:val="TableText"/>
              <w:ind w:left="571"/>
              <w:spacing w:before="89" w:line="195" w:lineRule="auto"/>
              <w:rPr/>
            </w:pPr>
            <w:r>
              <w:rPr>
                <w:spacing w:val="3"/>
              </w:rPr>
              <w:t>4.5</w:t>
            </w:r>
          </w:p>
        </w:tc>
        <w:tc>
          <w:tcPr>
            <w:tcW w:w="1406" w:type="dxa"/>
            <w:vAlign w:val="top"/>
          </w:tcPr>
          <w:p>
            <w:pPr>
              <w:pStyle w:val="TableText"/>
              <w:ind w:left="416"/>
              <w:spacing w:before="89" w:line="195" w:lineRule="auto"/>
              <w:rPr/>
            </w:pPr>
            <w:r>
              <w:rPr>
                <w:spacing w:val="3"/>
              </w:rPr>
              <w:t>962.30</w:t>
            </w:r>
          </w:p>
        </w:tc>
        <w:tc>
          <w:tcPr>
            <w:tcW w:w="2655" w:type="dxa"/>
            <w:vAlign w:val="top"/>
          </w:tcPr>
          <w:p>
            <w:pPr>
              <w:rPr>
                <w:rFonts w:ascii="Arial"/>
                <w:sz w:val="21"/>
              </w:rPr>
            </w:pPr>
            <w:r/>
          </w:p>
        </w:tc>
      </w:tr>
      <w:tr>
        <w:trPr>
          <w:trHeight w:val="326" w:hRule="atLeast"/>
        </w:trPr>
        <w:tc>
          <w:tcPr>
            <w:tcW w:w="1211" w:type="dxa"/>
            <w:vAlign w:val="top"/>
          </w:tcPr>
          <w:p>
            <w:pPr>
              <w:pStyle w:val="TableText"/>
              <w:ind w:left="345"/>
              <w:spacing w:before="85" w:line="201" w:lineRule="auto"/>
              <w:rPr/>
            </w:pPr>
            <w:r>
              <w:rPr/>
              <w:t>18(3#)</w:t>
            </w:r>
          </w:p>
        </w:tc>
        <w:tc>
          <w:tcPr>
            <w:tcW w:w="1406" w:type="dxa"/>
            <w:vAlign w:val="top"/>
          </w:tcPr>
          <w:p>
            <w:pPr>
              <w:pStyle w:val="TableText"/>
              <w:ind w:left="283"/>
              <w:spacing w:before="89" w:line="195" w:lineRule="auto"/>
              <w:rPr/>
            </w:pPr>
            <w:r>
              <w:rPr>
                <w:spacing w:val="4"/>
              </w:rPr>
              <w:t>20627521</w:t>
            </w:r>
          </w:p>
        </w:tc>
        <w:tc>
          <w:tcPr>
            <w:tcW w:w="1204" w:type="dxa"/>
            <w:vAlign w:val="top"/>
          </w:tcPr>
          <w:p>
            <w:pPr>
              <w:pStyle w:val="TableText"/>
              <w:ind w:left="234"/>
              <w:spacing w:before="89" w:line="195" w:lineRule="auto"/>
              <w:rPr/>
            </w:pPr>
            <w:r>
              <w:rPr>
                <w:spacing w:val="4"/>
              </w:rPr>
              <w:t>4986307</w:t>
            </w:r>
          </w:p>
        </w:tc>
        <w:tc>
          <w:tcPr>
            <w:tcW w:w="1403" w:type="dxa"/>
            <w:vAlign w:val="top"/>
          </w:tcPr>
          <w:p>
            <w:pPr>
              <w:pStyle w:val="TableText"/>
              <w:ind w:left="540"/>
              <w:spacing w:before="89" w:line="195" w:lineRule="auto"/>
              <w:rPr/>
            </w:pPr>
            <w:r>
              <w:rPr>
                <w:spacing w:val="-3"/>
              </w:rPr>
              <w:t>10.0</w:t>
            </w:r>
          </w:p>
        </w:tc>
        <w:tc>
          <w:tcPr>
            <w:tcW w:w="1406" w:type="dxa"/>
            <w:vAlign w:val="top"/>
          </w:tcPr>
          <w:p>
            <w:pPr>
              <w:pStyle w:val="TableText"/>
              <w:ind w:left="416"/>
              <w:spacing w:before="89" w:line="195" w:lineRule="auto"/>
              <w:rPr/>
            </w:pPr>
            <w:r>
              <w:rPr>
                <w:spacing w:val="3"/>
              </w:rPr>
              <w:t>963.50</w:t>
            </w:r>
          </w:p>
        </w:tc>
        <w:tc>
          <w:tcPr>
            <w:tcW w:w="2655" w:type="dxa"/>
            <w:vAlign w:val="top"/>
          </w:tcPr>
          <w:p>
            <w:pPr>
              <w:rPr>
                <w:rFonts w:ascii="Arial"/>
                <w:sz w:val="21"/>
              </w:rPr>
            </w:pPr>
            <w:r/>
          </w:p>
        </w:tc>
      </w:tr>
      <w:tr>
        <w:trPr>
          <w:trHeight w:val="326" w:hRule="atLeast"/>
        </w:trPr>
        <w:tc>
          <w:tcPr>
            <w:tcW w:w="1211" w:type="dxa"/>
            <w:vAlign w:val="top"/>
          </w:tcPr>
          <w:p>
            <w:pPr>
              <w:pStyle w:val="TableText"/>
              <w:ind w:left="345"/>
              <w:spacing w:before="86" w:line="201" w:lineRule="auto"/>
              <w:rPr/>
            </w:pPr>
            <w:r>
              <w:rPr/>
              <w:t>19(3#)</w:t>
            </w:r>
          </w:p>
        </w:tc>
        <w:tc>
          <w:tcPr>
            <w:tcW w:w="1406" w:type="dxa"/>
            <w:vAlign w:val="top"/>
          </w:tcPr>
          <w:p>
            <w:pPr>
              <w:pStyle w:val="TableText"/>
              <w:ind w:left="283"/>
              <w:spacing w:before="90" w:line="195" w:lineRule="auto"/>
              <w:rPr/>
            </w:pPr>
            <w:r>
              <w:rPr>
                <w:spacing w:val="4"/>
              </w:rPr>
              <w:t>20627435</w:t>
            </w:r>
          </w:p>
        </w:tc>
        <w:tc>
          <w:tcPr>
            <w:tcW w:w="1204" w:type="dxa"/>
            <w:vAlign w:val="top"/>
          </w:tcPr>
          <w:p>
            <w:pPr>
              <w:pStyle w:val="TableText"/>
              <w:ind w:left="234"/>
              <w:spacing w:before="90" w:line="195" w:lineRule="auto"/>
              <w:rPr/>
            </w:pPr>
            <w:r>
              <w:rPr>
                <w:spacing w:val="4"/>
              </w:rPr>
              <w:t>4986188</w:t>
            </w:r>
          </w:p>
        </w:tc>
        <w:tc>
          <w:tcPr>
            <w:tcW w:w="1403" w:type="dxa"/>
            <w:vAlign w:val="top"/>
          </w:tcPr>
          <w:p>
            <w:pPr>
              <w:pStyle w:val="TableText"/>
              <w:ind w:left="571"/>
              <w:spacing w:before="90" w:line="195" w:lineRule="auto"/>
              <w:rPr/>
            </w:pPr>
            <w:r>
              <w:rPr>
                <w:spacing w:val="3"/>
              </w:rPr>
              <w:t>4.2</w:t>
            </w:r>
          </w:p>
        </w:tc>
        <w:tc>
          <w:tcPr>
            <w:tcW w:w="1406" w:type="dxa"/>
            <w:vAlign w:val="top"/>
          </w:tcPr>
          <w:p>
            <w:pPr>
              <w:pStyle w:val="TableText"/>
              <w:ind w:left="416"/>
              <w:spacing w:before="90" w:line="195" w:lineRule="auto"/>
              <w:rPr/>
            </w:pPr>
            <w:r>
              <w:rPr>
                <w:spacing w:val="3"/>
              </w:rPr>
              <w:t>963.00</w:t>
            </w:r>
          </w:p>
        </w:tc>
        <w:tc>
          <w:tcPr>
            <w:tcW w:w="2655" w:type="dxa"/>
            <w:vAlign w:val="top"/>
          </w:tcPr>
          <w:p>
            <w:pPr>
              <w:rPr>
                <w:rFonts w:ascii="Arial"/>
                <w:sz w:val="21"/>
              </w:rPr>
            </w:pPr>
            <w:r/>
          </w:p>
        </w:tc>
      </w:tr>
      <w:tr>
        <w:trPr>
          <w:trHeight w:val="325" w:hRule="atLeast"/>
        </w:trPr>
        <w:tc>
          <w:tcPr>
            <w:tcW w:w="1211" w:type="dxa"/>
            <w:vAlign w:val="top"/>
          </w:tcPr>
          <w:p>
            <w:pPr>
              <w:pStyle w:val="TableText"/>
              <w:ind w:left="325"/>
              <w:spacing w:before="86" w:line="201" w:lineRule="auto"/>
              <w:rPr/>
            </w:pPr>
            <w:r>
              <w:rPr>
                <w:spacing w:val="4"/>
              </w:rPr>
              <w:t>20(2#)</w:t>
            </w:r>
          </w:p>
        </w:tc>
        <w:tc>
          <w:tcPr>
            <w:tcW w:w="1406" w:type="dxa"/>
            <w:vAlign w:val="top"/>
          </w:tcPr>
          <w:p>
            <w:pPr>
              <w:pStyle w:val="TableText"/>
              <w:ind w:left="283"/>
              <w:spacing w:before="90" w:line="195" w:lineRule="auto"/>
              <w:rPr/>
            </w:pPr>
            <w:r>
              <w:rPr>
                <w:spacing w:val="4"/>
              </w:rPr>
              <w:t>20626718</w:t>
            </w:r>
          </w:p>
        </w:tc>
        <w:tc>
          <w:tcPr>
            <w:tcW w:w="1204" w:type="dxa"/>
            <w:vAlign w:val="top"/>
          </w:tcPr>
          <w:p>
            <w:pPr>
              <w:pStyle w:val="TableText"/>
              <w:ind w:left="234"/>
              <w:spacing w:before="90" w:line="195" w:lineRule="auto"/>
              <w:rPr/>
            </w:pPr>
            <w:r>
              <w:rPr>
                <w:spacing w:val="4"/>
              </w:rPr>
              <w:t>4985514</w:t>
            </w:r>
          </w:p>
        </w:tc>
        <w:tc>
          <w:tcPr>
            <w:tcW w:w="1403" w:type="dxa"/>
            <w:vAlign w:val="top"/>
          </w:tcPr>
          <w:p>
            <w:pPr>
              <w:pStyle w:val="TableText"/>
              <w:ind w:left="572"/>
              <w:spacing w:before="90" w:line="195" w:lineRule="auto"/>
              <w:rPr/>
            </w:pPr>
            <w:r>
              <w:rPr>
                <w:spacing w:val="2"/>
              </w:rPr>
              <w:t>2.4</w:t>
            </w:r>
          </w:p>
        </w:tc>
        <w:tc>
          <w:tcPr>
            <w:tcW w:w="1406" w:type="dxa"/>
            <w:vAlign w:val="top"/>
          </w:tcPr>
          <w:p>
            <w:pPr>
              <w:pStyle w:val="TableText"/>
              <w:ind w:left="416"/>
              <w:spacing w:before="90" w:line="195" w:lineRule="auto"/>
              <w:rPr/>
            </w:pPr>
            <w:r>
              <w:rPr>
                <w:spacing w:val="3"/>
              </w:rPr>
              <w:t>963.50</w:t>
            </w:r>
          </w:p>
        </w:tc>
        <w:tc>
          <w:tcPr>
            <w:tcW w:w="2655" w:type="dxa"/>
            <w:vAlign w:val="top"/>
          </w:tcPr>
          <w:p>
            <w:pPr>
              <w:rPr>
                <w:rFonts w:ascii="Arial"/>
                <w:sz w:val="21"/>
              </w:rPr>
            </w:pPr>
            <w:r/>
          </w:p>
        </w:tc>
      </w:tr>
      <w:tr>
        <w:trPr>
          <w:trHeight w:val="326" w:hRule="atLeast"/>
        </w:trPr>
        <w:tc>
          <w:tcPr>
            <w:tcW w:w="1211" w:type="dxa"/>
            <w:vAlign w:val="top"/>
          </w:tcPr>
          <w:p>
            <w:pPr>
              <w:pStyle w:val="TableText"/>
              <w:ind w:left="272"/>
              <w:spacing w:before="87" w:line="201" w:lineRule="auto"/>
              <w:rPr/>
            </w:pPr>
            <w:r>
              <w:rPr>
                <w:spacing w:val="3"/>
              </w:rPr>
              <w:t>21(14#)</w:t>
            </w:r>
          </w:p>
        </w:tc>
        <w:tc>
          <w:tcPr>
            <w:tcW w:w="1406" w:type="dxa"/>
            <w:vAlign w:val="top"/>
          </w:tcPr>
          <w:p>
            <w:pPr>
              <w:pStyle w:val="TableText"/>
              <w:ind w:left="283"/>
              <w:spacing w:before="91" w:line="195" w:lineRule="auto"/>
              <w:rPr/>
            </w:pPr>
            <w:r>
              <w:rPr>
                <w:spacing w:val="4"/>
              </w:rPr>
              <w:t>20625709</w:t>
            </w:r>
          </w:p>
        </w:tc>
        <w:tc>
          <w:tcPr>
            <w:tcW w:w="1204" w:type="dxa"/>
            <w:vAlign w:val="top"/>
          </w:tcPr>
          <w:p>
            <w:pPr>
              <w:pStyle w:val="TableText"/>
              <w:ind w:left="234"/>
              <w:spacing w:before="91" w:line="195" w:lineRule="auto"/>
              <w:rPr/>
            </w:pPr>
            <w:r>
              <w:rPr>
                <w:spacing w:val="4"/>
              </w:rPr>
              <w:t>4984172</w:t>
            </w:r>
          </w:p>
        </w:tc>
        <w:tc>
          <w:tcPr>
            <w:tcW w:w="1403" w:type="dxa"/>
            <w:vAlign w:val="top"/>
          </w:tcPr>
          <w:p>
            <w:pPr>
              <w:pStyle w:val="TableText"/>
              <w:ind w:left="576"/>
              <w:spacing w:before="91" w:line="195" w:lineRule="auto"/>
              <w:rPr/>
            </w:pPr>
            <w:r>
              <w:rPr>
                <w:spacing w:val="1"/>
              </w:rPr>
              <w:t>3.2</w:t>
            </w:r>
          </w:p>
        </w:tc>
        <w:tc>
          <w:tcPr>
            <w:tcW w:w="1406" w:type="dxa"/>
            <w:vAlign w:val="top"/>
          </w:tcPr>
          <w:p>
            <w:pPr>
              <w:pStyle w:val="TableText"/>
              <w:ind w:left="416"/>
              <w:spacing w:before="91" w:line="195" w:lineRule="auto"/>
              <w:rPr/>
            </w:pPr>
            <w:r>
              <w:rPr>
                <w:spacing w:val="3"/>
              </w:rPr>
              <w:t>966.55</w:t>
            </w:r>
          </w:p>
        </w:tc>
        <w:tc>
          <w:tcPr>
            <w:tcW w:w="2655" w:type="dxa"/>
            <w:vAlign w:val="top"/>
          </w:tcPr>
          <w:p>
            <w:pPr>
              <w:rPr>
                <w:rFonts w:ascii="Arial"/>
                <w:sz w:val="21"/>
              </w:rPr>
            </w:pPr>
            <w:r/>
          </w:p>
        </w:tc>
      </w:tr>
      <w:tr>
        <w:trPr>
          <w:trHeight w:val="326" w:hRule="atLeast"/>
        </w:trPr>
        <w:tc>
          <w:tcPr>
            <w:tcW w:w="1211" w:type="dxa"/>
            <w:vAlign w:val="top"/>
          </w:tcPr>
          <w:p>
            <w:pPr>
              <w:pStyle w:val="TableText"/>
              <w:ind w:left="500"/>
              <w:spacing w:before="91" w:line="195" w:lineRule="auto"/>
              <w:rPr/>
            </w:pPr>
            <w:r>
              <w:rPr>
                <w:spacing w:val="2"/>
              </w:rPr>
              <w:t>22</w:t>
            </w:r>
          </w:p>
        </w:tc>
        <w:tc>
          <w:tcPr>
            <w:tcW w:w="1406" w:type="dxa"/>
            <w:vAlign w:val="top"/>
          </w:tcPr>
          <w:p>
            <w:pPr>
              <w:pStyle w:val="TableText"/>
              <w:ind w:left="283"/>
              <w:spacing w:before="91" w:line="195" w:lineRule="auto"/>
              <w:rPr/>
            </w:pPr>
            <w:r>
              <w:rPr>
                <w:spacing w:val="4"/>
              </w:rPr>
              <w:t>20628107</w:t>
            </w:r>
          </w:p>
        </w:tc>
        <w:tc>
          <w:tcPr>
            <w:tcW w:w="1204" w:type="dxa"/>
            <w:vAlign w:val="top"/>
          </w:tcPr>
          <w:p>
            <w:pPr>
              <w:pStyle w:val="TableText"/>
              <w:ind w:left="234"/>
              <w:spacing w:before="91" w:line="195" w:lineRule="auto"/>
              <w:rPr/>
            </w:pPr>
            <w:r>
              <w:rPr>
                <w:spacing w:val="4"/>
              </w:rPr>
              <w:t>4983801</w:t>
            </w:r>
          </w:p>
        </w:tc>
        <w:tc>
          <w:tcPr>
            <w:tcW w:w="1403" w:type="dxa"/>
            <w:vAlign w:val="top"/>
          </w:tcPr>
          <w:p>
            <w:pPr>
              <w:pStyle w:val="TableText"/>
              <w:ind w:left="571"/>
              <w:spacing w:before="91" w:line="195" w:lineRule="auto"/>
              <w:rPr/>
            </w:pPr>
            <w:r>
              <w:rPr>
                <w:spacing w:val="3"/>
              </w:rPr>
              <w:t>4.8</w:t>
            </w:r>
          </w:p>
        </w:tc>
        <w:tc>
          <w:tcPr>
            <w:tcW w:w="1406" w:type="dxa"/>
            <w:vAlign w:val="top"/>
          </w:tcPr>
          <w:p>
            <w:pPr>
              <w:pStyle w:val="TableText"/>
              <w:ind w:left="416"/>
              <w:spacing w:before="91" w:line="195" w:lineRule="auto"/>
              <w:rPr/>
            </w:pPr>
            <w:r>
              <w:rPr>
                <w:spacing w:val="3"/>
              </w:rPr>
              <w:t>964.60</w:t>
            </w:r>
          </w:p>
        </w:tc>
        <w:tc>
          <w:tcPr>
            <w:tcW w:w="2655" w:type="dxa"/>
            <w:vAlign w:val="top"/>
          </w:tcPr>
          <w:p>
            <w:pPr>
              <w:rPr>
                <w:rFonts w:ascii="Arial"/>
                <w:sz w:val="21"/>
              </w:rPr>
            </w:pPr>
            <w:r/>
          </w:p>
        </w:tc>
      </w:tr>
      <w:tr>
        <w:trPr>
          <w:trHeight w:val="326" w:hRule="atLeast"/>
        </w:trPr>
        <w:tc>
          <w:tcPr>
            <w:tcW w:w="1211" w:type="dxa"/>
            <w:vAlign w:val="top"/>
          </w:tcPr>
          <w:p>
            <w:pPr>
              <w:pStyle w:val="TableText"/>
              <w:ind w:left="500"/>
              <w:spacing w:before="91" w:line="195" w:lineRule="auto"/>
              <w:rPr/>
            </w:pPr>
            <w:r>
              <w:rPr>
                <w:spacing w:val="2"/>
              </w:rPr>
              <w:t>23</w:t>
            </w:r>
          </w:p>
        </w:tc>
        <w:tc>
          <w:tcPr>
            <w:tcW w:w="1406" w:type="dxa"/>
            <w:vAlign w:val="top"/>
          </w:tcPr>
          <w:p>
            <w:pPr>
              <w:pStyle w:val="TableText"/>
              <w:ind w:left="283"/>
              <w:spacing w:before="91" w:line="195" w:lineRule="auto"/>
              <w:rPr/>
            </w:pPr>
            <w:r>
              <w:rPr>
                <w:spacing w:val="4"/>
              </w:rPr>
              <w:t>20626060</w:t>
            </w:r>
          </w:p>
        </w:tc>
        <w:tc>
          <w:tcPr>
            <w:tcW w:w="1204" w:type="dxa"/>
            <w:vAlign w:val="top"/>
          </w:tcPr>
          <w:p>
            <w:pPr>
              <w:pStyle w:val="TableText"/>
              <w:ind w:left="234"/>
              <w:spacing w:before="91" w:line="195" w:lineRule="auto"/>
              <w:rPr/>
            </w:pPr>
            <w:r>
              <w:rPr>
                <w:spacing w:val="4"/>
              </w:rPr>
              <w:t>4983605</w:t>
            </w:r>
          </w:p>
        </w:tc>
        <w:tc>
          <w:tcPr>
            <w:tcW w:w="1403" w:type="dxa"/>
            <w:vAlign w:val="top"/>
          </w:tcPr>
          <w:p>
            <w:pPr>
              <w:pStyle w:val="TableText"/>
              <w:ind w:left="576"/>
              <w:spacing w:before="91" w:line="195" w:lineRule="auto"/>
              <w:rPr/>
            </w:pPr>
            <w:r>
              <w:rPr>
                <w:spacing w:val="1"/>
              </w:rPr>
              <w:t>3.0</w:t>
            </w:r>
          </w:p>
        </w:tc>
        <w:tc>
          <w:tcPr>
            <w:tcW w:w="1406" w:type="dxa"/>
            <w:vAlign w:val="top"/>
          </w:tcPr>
          <w:p>
            <w:pPr>
              <w:pStyle w:val="TableText"/>
              <w:ind w:left="416"/>
              <w:spacing w:before="91" w:line="195" w:lineRule="auto"/>
              <w:rPr/>
            </w:pPr>
            <w:r>
              <w:rPr>
                <w:spacing w:val="3"/>
              </w:rPr>
              <w:t>967.10</w:t>
            </w:r>
          </w:p>
        </w:tc>
        <w:tc>
          <w:tcPr>
            <w:tcW w:w="2655" w:type="dxa"/>
            <w:vAlign w:val="top"/>
          </w:tcPr>
          <w:p>
            <w:pPr>
              <w:rPr>
                <w:rFonts w:ascii="Arial"/>
                <w:sz w:val="21"/>
              </w:rPr>
            </w:pPr>
            <w:r/>
          </w:p>
        </w:tc>
      </w:tr>
      <w:tr>
        <w:trPr>
          <w:trHeight w:val="323" w:hRule="atLeast"/>
        </w:trPr>
        <w:tc>
          <w:tcPr>
            <w:tcW w:w="1211" w:type="dxa"/>
            <w:vAlign w:val="top"/>
          </w:tcPr>
          <w:p>
            <w:pPr>
              <w:pStyle w:val="TableText"/>
              <w:ind w:left="325"/>
              <w:spacing w:before="88" w:line="201" w:lineRule="auto"/>
              <w:rPr/>
            </w:pPr>
            <w:r>
              <w:rPr>
                <w:spacing w:val="4"/>
              </w:rPr>
              <w:t>24(1#)</w:t>
            </w:r>
          </w:p>
        </w:tc>
        <w:tc>
          <w:tcPr>
            <w:tcW w:w="1406" w:type="dxa"/>
            <w:vAlign w:val="top"/>
          </w:tcPr>
          <w:p>
            <w:pPr>
              <w:pStyle w:val="TableText"/>
              <w:ind w:left="283"/>
              <w:spacing w:before="92" w:line="195" w:lineRule="auto"/>
              <w:rPr/>
            </w:pPr>
            <w:r>
              <w:rPr>
                <w:spacing w:val="4"/>
              </w:rPr>
              <w:t>20625651</w:t>
            </w:r>
          </w:p>
        </w:tc>
        <w:tc>
          <w:tcPr>
            <w:tcW w:w="1204" w:type="dxa"/>
            <w:vAlign w:val="top"/>
          </w:tcPr>
          <w:p>
            <w:pPr>
              <w:pStyle w:val="TableText"/>
              <w:ind w:left="234"/>
              <w:spacing w:before="92" w:line="195" w:lineRule="auto"/>
              <w:rPr/>
            </w:pPr>
            <w:r>
              <w:rPr>
                <w:spacing w:val="4"/>
              </w:rPr>
              <w:t>4982083</w:t>
            </w:r>
          </w:p>
        </w:tc>
        <w:tc>
          <w:tcPr>
            <w:tcW w:w="1403" w:type="dxa"/>
            <w:vAlign w:val="top"/>
          </w:tcPr>
          <w:p>
            <w:pPr>
              <w:pStyle w:val="TableText"/>
              <w:ind w:left="572"/>
              <w:spacing w:before="92" w:line="195" w:lineRule="auto"/>
              <w:rPr/>
            </w:pPr>
            <w:r>
              <w:rPr>
                <w:spacing w:val="2"/>
              </w:rPr>
              <w:t>2.5</w:t>
            </w:r>
          </w:p>
        </w:tc>
        <w:tc>
          <w:tcPr>
            <w:tcW w:w="1406" w:type="dxa"/>
            <w:vAlign w:val="top"/>
          </w:tcPr>
          <w:p>
            <w:pPr>
              <w:pStyle w:val="TableText"/>
              <w:ind w:left="416"/>
              <w:spacing w:before="92" w:line="195" w:lineRule="auto"/>
              <w:rPr/>
            </w:pPr>
            <w:r>
              <w:rPr>
                <w:spacing w:val="3"/>
              </w:rPr>
              <w:t>970.90</w:t>
            </w:r>
          </w:p>
        </w:tc>
        <w:tc>
          <w:tcPr>
            <w:tcW w:w="2655" w:type="dxa"/>
            <w:vAlign w:val="top"/>
          </w:tcPr>
          <w:p>
            <w:pPr>
              <w:rPr>
                <w:rFonts w:ascii="Arial"/>
                <w:sz w:val="21"/>
              </w:rPr>
            </w:pPr>
            <w:r/>
          </w:p>
        </w:tc>
      </w:tr>
      <w:tr>
        <w:trPr>
          <w:trHeight w:val="326" w:hRule="atLeast"/>
        </w:trPr>
        <w:tc>
          <w:tcPr>
            <w:tcW w:w="1211" w:type="dxa"/>
            <w:vAlign w:val="top"/>
          </w:tcPr>
          <w:p>
            <w:pPr>
              <w:pStyle w:val="TableText"/>
              <w:ind w:left="500"/>
              <w:spacing w:before="95" w:line="195" w:lineRule="auto"/>
              <w:rPr/>
            </w:pPr>
            <w:r>
              <w:rPr>
                <w:spacing w:val="2"/>
              </w:rPr>
              <w:t>25</w:t>
            </w:r>
          </w:p>
        </w:tc>
        <w:tc>
          <w:tcPr>
            <w:tcW w:w="1406" w:type="dxa"/>
            <w:vAlign w:val="top"/>
          </w:tcPr>
          <w:p>
            <w:pPr>
              <w:pStyle w:val="TableText"/>
              <w:ind w:left="283"/>
              <w:spacing w:before="95" w:line="195" w:lineRule="auto"/>
              <w:rPr/>
            </w:pPr>
            <w:r>
              <w:rPr>
                <w:spacing w:val="4"/>
              </w:rPr>
              <w:t>20627312</w:t>
            </w:r>
          </w:p>
        </w:tc>
        <w:tc>
          <w:tcPr>
            <w:tcW w:w="1204" w:type="dxa"/>
            <w:vAlign w:val="top"/>
          </w:tcPr>
          <w:p>
            <w:pPr>
              <w:pStyle w:val="TableText"/>
              <w:ind w:left="234"/>
              <w:spacing w:before="95" w:line="195" w:lineRule="auto"/>
              <w:rPr/>
            </w:pPr>
            <w:r>
              <w:rPr>
                <w:spacing w:val="4"/>
              </w:rPr>
              <w:t>4981788</w:t>
            </w:r>
          </w:p>
        </w:tc>
        <w:tc>
          <w:tcPr>
            <w:tcW w:w="1403" w:type="dxa"/>
            <w:vAlign w:val="top"/>
          </w:tcPr>
          <w:p>
            <w:pPr>
              <w:pStyle w:val="TableText"/>
              <w:ind w:left="578"/>
              <w:spacing w:before="95" w:line="195" w:lineRule="auto"/>
              <w:rPr/>
            </w:pPr>
            <w:r>
              <w:rPr/>
              <w:t>5.0</w:t>
            </w:r>
          </w:p>
        </w:tc>
        <w:tc>
          <w:tcPr>
            <w:tcW w:w="1406" w:type="dxa"/>
            <w:vAlign w:val="top"/>
          </w:tcPr>
          <w:p>
            <w:pPr>
              <w:pStyle w:val="TableText"/>
              <w:ind w:left="416"/>
              <w:spacing w:before="95" w:line="195" w:lineRule="auto"/>
              <w:rPr/>
            </w:pPr>
            <w:r>
              <w:rPr>
                <w:spacing w:val="3"/>
              </w:rPr>
              <w:t>969.10</w:t>
            </w:r>
          </w:p>
        </w:tc>
        <w:tc>
          <w:tcPr>
            <w:tcW w:w="2655" w:type="dxa"/>
            <w:vAlign w:val="top"/>
          </w:tcPr>
          <w:p>
            <w:pPr>
              <w:rPr>
                <w:rFonts w:ascii="Arial"/>
                <w:sz w:val="21"/>
              </w:rPr>
            </w:pPr>
            <w:r/>
          </w:p>
        </w:tc>
      </w:tr>
      <w:tr>
        <w:trPr>
          <w:trHeight w:val="326" w:hRule="atLeast"/>
        </w:trPr>
        <w:tc>
          <w:tcPr>
            <w:tcW w:w="1211" w:type="dxa"/>
            <w:vAlign w:val="top"/>
          </w:tcPr>
          <w:p>
            <w:pPr>
              <w:pStyle w:val="TableText"/>
              <w:ind w:left="500"/>
              <w:spacing w:before="95" w:line="195" w:lineRule="auto"/>
              <w:rPr/>
            </w:pPr>
            <w:r>
              <w:rPr>
                <w:spacing w:val="2"/>
              </w:rPr>
              <w:t>26</w:t>
            </w:r>
          </w:p>
        </w:tc>
        <w:tc>
          <w:tcPr>
            <w:tcW w:w="1406" w:type="dxa"/>
            <w:vAlign w:val="top"/>
          </w:tcPr>
          <w:p>
            <w:pPr>
              <w:pStyle w:val="TableText"/>
              <w:ind w:left="283"/>
              <w:spacing w:before="95" w:line="195" w:lineRule="auto"/>
              <w:rPr/>
            </w:pPr>
            <w:r>
              <w:rPr>
                <w:spacing w:val="4"/>
              </w:rPr>
              <w:t>20627713</w:t>
            </w:r>
          </w:p>
        </w:tc>
        <w:tc>
          <w:tcPr>
            <w:tcW w:w="1204" w:type="dxa"/>
            <w:vAlign w:val="top"/>
          </w:tcPr>
          <w:p>
            <w:pPr>
              <w:pStyle w:val="TableText"/>
              <w:ind w:left="234"/>
              <w:spacing w:before="95" w:line="195" w:lineRule="auto"/>
              <w:rPr/>
            </w:pPr>
            <w:r>
              <w:rPr>
                <w:spacing w:val="4"/>
              </w:rPr>
              <w:t>4980691</w:t>
            </w:r>
          </w:p>
        </w:tc>
        <w:tc>
          <w:tcPr>
            <w:tcW w:w="1403" w:type="dxa"/>
            <w:vAlign w:val="top"/>
          </w:tcPr>
          <w:p>
            <w:pPr>
              <w:pStyle w:val="TableText"/>
              <w:ind w:left="576"/>
              <w:spacing w:before="95" w:line="195" w:lineRule="auto"/>
              <w:rPr/>
            </w:pPr>
            <w:r>
              <w:rPr>
                <w:spacing w:val="1"/>
              </w:rPr>
              <w:t>3.7</w:t>
            </w:r>
          </w:p>
        </w:tc>
        <w:tc>
          <w:tcPr>
            <w:tcW w:w="1406" w:type="dxa"/>
            <w:vAlign w:val="top"/>
          </w:tcPr>
          <w:p>
            <w:pPr>
              <w:pStyle w:val="TableText"/>
              <w:ind w:left="416"/>
              <w:spacing w:before="95" w:line="195" w:lineRule="auto"/>
              <w:rPr/>
            </w:pPr>
            <w:r>
              <w:rPr>
                <w:spacing w:val="3"/>
              </w:rPr>
              <w:t>968.80</w:t>
            </w:r>
          </w:p>
        </w:tc>
        <w:tc>
          <w:tcPr>
            <w:tcW w:w="2655" w:type="dxa"/>
            <w:vAlign w:val="top"/>
          </w:tcPr>
          <w:p>
            <w:pPr>
              <w:rPr>
                <w:rFonts w:ascii="Arial"/>
                <w:sz w:val="21"/>
              </w:rPr>
            </w:pPr>
            <w:r/>
          </w:p>
        </w:tc>
      </w:tr>
      <w:tr>
        <w:trPr>
          <w:trHeight w:val="326" w:hRule="atLeast"/>
        </w:trPr>
        <w:tc>
          <w:tcPr>
            <w:tcW w:w="1211" w:type="dxa"/>
            <w:vAlign w:val="top"/>
          </w:tcPr>
          <w:p>
            <w:pPr>
              <w:pStyle w:val="TableText"/>
              <w:ind w:left="500"/>
              <w:spacing w:before="95" w:line="195" w:lineRule="auto"/>
              <w:rPr/>
            </w:pPr>
            <w:r>
              <w:rPr>
                <w:spacing w:val="2"/>
              </w:rPr>
              <w:t>27</w:t>
            </w:r>
          </w:p>
        </w:tc>
        <w:tc>
          <w:tcPr>
            <w:tcW w:w="1406" w:type="dxa"/>
            <w:vAlign w:val="top"/>
          </w:tcPr>
          <w:p>
            <w:pPr>
              <w:pStyle w:val="TableText"/>
              <w:ind w:left="283"/>
              <w:spacing w:before="95" w:line="195" w:lineRule="auto"/>
              <w:rPr/>
            </w:pPr>
            <w:r>
              <w:rPr>
                <w:spacing w:val="4"/>
              </w:rPr>
              <w:t>20631323</w:t>
            </w:r>
          </w:p>
        </w:tc>
        <w:tc>
          <w:tcPr>
            <w:tcW w:w="1204" w:type="dxa"/>
            <w:vAlign w:val="top"/>
          </w:tcPr>
          <w:p>
            <w:pPr>
              <w:pStyle w:val="TableText"/>
              <w:ind w:left="234"/>
              <w:spacing w:before="95" w:line="195" w:lineRule="auto"/>
              <w:rPr/>
            </w:pPr>
            <w:r>
              <w:rPr>
                <w:spacing w:val="4"/>
              </w:rPr>
              <w:t>4978243</w:t>
            </w:r>
          </w:p>
        </w:tc>
        <w:tc>
          <w:tcPr>
            <w:tcW w:w="1403" w:type="dxa"/>
            <w:vAlign w:val="top"/>
          </w:tcPr>
          <w:p>
            <w:pPr>
              <w:pStyle w:val="TableText"/>
              <w:ind w:left="572"/>
              <w:spacing w:before="95" w:line="195" w:lineRule="auto"/>
              <w:rPr/>
            </w:pPr>
            <w:r>
              <w:rPr>
                <w:spacing w:val="2"/>
              </w:rPr>
              <w:t>2.0</w:t>
            </w:r>
          </w:p>
        </w:tc>
        <w:tc>
          <w:tcPr>
            <w:tcW w:w="1406" w:type="dxa"/>
            <w:vAlign w:val="top"/>
          </w:tcPr>
          <w:p>
            <w:pPr>
              <w:pStyle w:val="TableText"/>
              <w:ind w:left="416"/>
              <w:spacing w:before="95" w:line="195" w:lineRule="auto"/>
              <w:rPr/>
            </w:pPr>
            <w:r>
              <w:rPr>
                <w:spacing w:val="3"/>
              </w:rPr>
              <w:t>980.80</w:t>
            </w:r>
          </w:p>
        </w:tc>
        <w:tc>
          <w:tcPr>
            <w:tcW w:w="2655" w:type="dxa"/>
            <w:vAlign w:val="top"/>
            <w:vMerge w:val="restart"/>
            <w:tcBorders>
              <w:bottom w:val="nil"/>
            </w:tcBorders>
          </w:tcPr>
          <w:p>
            <w:pPr>
              <w:ind w:left="390" w:right="169" w:hanging="190"/>
              <w:spacing w:before="59" w:line="271" w:lineRule="auto"/>
              <w:rPr>
                <w:rFonts w:ascii="SimSun" w:hAnsi="SimSun" w:eastAsia="SimSun" w:cs="SimSun"/>
                <w:sz w:val="20"/>
                <w:szCs w:val="20"/>
              </w:rPr>
            </w:pPr>
            <w:r>
              <w:rPr>
                <w:rFonts w:ascii="SimSun" w:hAnsi="SimSun" w:eastAsia="SimSun" w:cs="SimSun"/>
                <w:sz w:val="20"/>
                <w:szCs w:val="20"/>
                <w:spacing w:val="7"/>
              </w:rPr>
              <w:t>图幅界外，用于绘制水位</w:t>
            </w:r>
            <w:r>
              <w:rPr>
                <w:rFonts w:ascii="SimSun" w:hAnsi="SimSun" w:eastAsia="SimSun" w:cs="SimSun"/>
                <w:sz w:val="20"/>
                <w:szCs w:val="20"/>
                <w:spacing w:val="7"/>
              </w:rPr>
              <w:t>线，不在图中显示。</w:t>
            </w:r>
          </w:p>
        </w:tc>
      </w:tr>
      <w:tr>
        <w:trPr>
          <w:trHeight w:val="326" w:hRule="atLeast"/>
        </w:trPr>
        <w:tc>
          <w:tcPr>
            <w:tcW w:w="1211" w:type="dxa"/>
            <w:vAlign w:val="top"/>
          </w:tcPr>
          <w:p>
            <w:pPr>
              <w:pStyle w:val="TableText"/>
              <w:ind w:left="500"/>
              <w:spacing w:before="95" w:line="195" w:lineRule="auto"/>
              <w:rPr/>
            </w:pPr>
            <w:r>
              <w:rPr>
                <w:spacing w:val="2"/>
              </w:rPr>
              <w:t>28</w:t>
            </w:r>
          </w:p>
        </w:tc>
        <w:tc>
          <w:tcPr>
            <w:tcW w:w="1406" w:type="dxa"/>
            <w:vAlign w:val="top"/>
          </w:tcPr>
          <w:p>
            <w:pPr>
              <w:pStyle w:val="TableText"/>
              <w:ind w:left="283"/>
              <w:spacing w:before="95" w:line="195" w:lineRule="auto"/>
              <w:rPr/>
            </w:pPr>
            <w:r>
              <w:rPr>
                <w:spacing w:val="4"/>
              </w:rPr>
              <w:t>20632396</w:t>
            </w:r>
          </w:p>
        </w:tc>
        <w:tc>
          <w:tcPr>
            <w:tcW w:w="1204" w:type="dxa"/>
            <w:vAlign w:val="top"/>
          </w:tcPr>
          <w:p>
            <w:pPr>
              <w:pStyle w:val="TableText"/>
              <w:ind w:left="234"/>
              <w:spacing w:before="95" w:line="195" w:lineRule="auto"/>
              <w:rPr/>
            </w:pPr>
            <w:r>
              <w:rPr>
                <w:spacing w:val="4"/>
              </w:rPr>
              <w:t>4978425</w:t>
            </w:r>
          </w:p>
        </w:tc>
        <w:tc>
          <w:tcPr>
            <w:tcW w:w="1403" w:type="dxa"/>
            <w:vAlign w:val="top"/>
          </w:tcPr>
          <w:p>
            <w:pPr>
              <w:pStyle w:val="TableText"/>
              <w:ind w:left="576"/>
              <w:spacing w:before="95" w:line="195" w:lineRule="auto"/>
              <w:rPr/>
            </w:pPr>
            <w:r>
              <w:rPr>
                <w:spacing w:val="1"/>
              </w:rPr>
              <w:t>3.0</w:t>
            </w:r>
          </w:p>
        </w:tc>
        <w:tc>
          <w:tcPr>
            <w:tcW w:w="1406" w:type="dxa"/>
            <w:vAlign w:val="top"/>
          </w:tcPr>
          <w:p>
            <w:pPr>
              <w:pStyle w:val="TableText"/>
              <w:ind w:left="416"/>
              <w:spacing w:before="95" w:line="195" w:lineRule="auto"/>
              <w:rPr/>
            </w:pPr>
            <w:r>
              <w:rPr>
                <w:spacing w:val="3"/>
              </w:rPr>
              <w:t>981.00</w:t>
            </w:r>
          </w:p>
        </w:tc>
        <w:tc>
          <w:tcPr>
            <w:tcW w:w="2655" w:type="dxa"/>
            <w:vAlign w:val="top"/>
            <w:vMerge w:val="continue"/>
            <w:tcBorders>
              <w:top w:val="nil"/>
            </w:tcBorders>
          </w:tcPr>
          <w:p>
            <w:pPr>
              <w:rPr>
                <w:rFonts w:ascii="Arial"/>
                <w:sz w:val="21"/>
              </w:rPr>
            </w:pPr>
            <w:r/>
          </w:p>
        </w:tc>
      </w:tr>
      <w:tr>
        <w:trPr>
          <w:trHeight w:val="328" w:hRule="atLeast"/>
        </w:trPr>
        <w:tc>
          <w:tcPr>
            <w:tcW w:w="1211" w:type="dxa"/>
            <w:vAlign w:val="top"/>
          </w:tcPr>
          <w:p>
            <w:pPr>
              <w:pStyle w:val="TableText"/>
              <w:ind w:left="248"/>
              <w:spacing w:before="57" w:line="221" w:lineRule="auto"/>
              <w:rPr/>
            </w:pPr>
            <w:r>
              <w:rPr>
                <w:spacing w:val="3"/>
              </w:rPr>
              <w:t>29(</w:t>
            </w:r>
            <w:r>
              <w:rPr>
                <w:rFonts w:ascii="SimSun" w:hAnsi="SimSun" w:eastAsia="SimSun" w:cs="SimSun"/>
                <w:spacing w:val="3"/>
              </w:rPr>
              <w:t>观</w:t>
            </w:r>
            <w:r>
              <w:rPr>
                <w:rFonts w:ascii="SimSun" w:hAnsi="SimSun" w:eastAsia="SimSun" w:cs="SimSun"/>
                <w:spacing w:val="-41"/>
              </w:rPr>
              <w:t xml:space="preserve"> </w:t>
            </w:r>
            <w:r>
              <w:rPr>
                <w:spacing w:val="3"/>
              </w:rPr>
              <w:t>2)</w:t>
            </w:r>
          </w:p>
        </w:tc>
        <w:tc>
          <w:tcPr>
            <w:tcW w:w="1406" w:type="dxa"/>
            <w:vAlign w:val="top"/>
          </w:tcPr>
          <w:p>
            <w:pPr>
              <w:pStyle w:val="TableText"/>
              <w:ind w:left="332"/>
              <w:spacing w:before="93" w:line="195" w:lineRule="auto"/>
              <w:rPr/>
            </w:pPr>
            <w:r>
              <w:rPr>
                <w:spacing w:val="4"/>
              </w:rPr>
              <w:t>4979423</w:t>
            </w:r>
          </w:p>
        </w:tc>
        <w:tc>
          <w:tcPr>
            <w:tcW w:w="1204" w:type="dxa"/>
            <w:vAlign w:val="top"/>
          </w:tcPr>
          <w:p>
            <w:pPr>
              <w:pStyle w:val="TableText"/>
              <w:ind w:left="180"/>
              <w:spacing w:before="93" w:line="195" w:lineRule="auto"/>
              <w:rPr/>
            </w:pPr>
            <w:r>
              <w:rPr>
                <w:spacing w:val="4"/>
              </w:rPr>
              <w:t>20632853</w:t>
            </w:r>
          </w:p>
        </w:tc>
        <w:tc>
          <w:tcPr>
            <w:tcW w:w="1403" w:type="dxa"/>
            <w:vAlign w:val="top"/>
          </w:tcPr>
          <w:p>
            <w:pPr>
              <w:pStyle w:val="TableText"/>
              <w:ind w:left="577"/>
              <w:spacing w:before="93" w:line="195" w:lineRule="auto"/>
              <w:rPr/>
            </w:pPr>
            <w:r>
              <w:rPr>
                <w:spacing w:val="1"/>
              </w:rPr>
              <w:t>6.5</w:t>
            </w:r>
          </w:p>
        </w:tc>
        <w:tc>
          <w:tcPr>
            <w:tcW w:w="1406" w:type="dxa"/>
            <w:vAlign w:val="top"/>
          </w:tcPr>
          <w:p>
            <w:pPr>
              <w:pStyle w:val="TableText"/>
              <w:ind w:left="416"/>
              <w:spacing w:before="93" w:line="195" w:lineRule="auto"/>
              <w:rPr/>
            </w:pPr>
            <w:r>
              <w:rPr>
                <w:spacing w:val="3"/>
              </w:rPr>
              <w:t>983.70</w:t>
            </w:r>
          </w:p>
        </w:tc>
        <w:tc>
          <w:tcPr>
            <w:tcW w:w="2655" w:type="dxa"/>
            <w:vAlign w:val="top"/>
          </w:tcPr>
          <w:p>
            <w:pPr>
              <w:ind w:left="807"/>
              <w:spacing w:before="57" w:line="228" w:lineRule="auto"/>
              <w:rPr>
                <w:rFonts w:ascii="SimSun" w:hAnsi="SimSun" w:eastAsia="SimSun" w:cs="SimSun"/>
                <w:sz w:val="20"/>
                <w:szCs w:val="20"/>
              </w:rPr>
            </w:pPr>
            <w:r>
              <w:rPr>
                <w:rFonts w:ascii="SimSun" w:hAnsi="SimSun" w:eastAsia="SimSun" w:cs="SimSun"/>
                <w:sz w:val="20"/>
                <w:szCs w:val="20"/>
                <w:spacing w:val="8"/>
              </w:rPr>
              <w:t>矿门口水井</w:t>
            </w:r>
          </w:p>
        </w:tc>
      </w:tr>
    </w:tbl>
    <w:p>
      <w:pPr>
        <w:pStyle w:val="BodyText"/>
        <w:spacing w:line="252" w:lineRule="auto"/>
        <w:rPr/>
      </w:pPr>
      <w:r/>
    </w:p>
    <w:p>
      <w:pPr>
        <w:pStyle w:val="BodyText"/>
        <w:spacing w:line="253" w:lineRule="auto"/>
        <w:rPr/>
      </w:pPr>
      <w:r/>
    </w:p>
    <w:p>
      <w:pPr>
        <w:ind w:left="601"/>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）大磨拐组裂隙承压含水岩组</w:t>
      </w:r>
    </w:p>
    <w:p>
      <w:pPr>
        <w:ind w:left="118" w:right="99" w:firstLine="476"/>
        <w:spacing w:before="153" w:line="339" w:lineRule="auto"/>
        <w:rPr>
          <w:rFonts w:ascii="SimSun" w:hAnsi="SimSun" w:eastAsia="SimSun" w:cs="SimSun"/>
          <w:sz w:val="24"/>
          <w:szCs w:val="24"/>
        </w:rPr>
      </w:pPr>
      <w:r>
        <w:rPr>
          <w:rFonts w:ascii="SimSun" w:hAnsi="SimSun" w:eastAsia="SimSun" w:cs="SimSun"/>
          <w:sz w:val="24"/>
          <w:szCs w:val="24"/>
          <w:spacing w:val="-1"/>
        </w:rPr>
        <w:t>根据本区勘探资料，大磨拐组裂隙承压含水层划分为两个承</w:t>
      </w:r>
      <w:r>
        <w:rPr>
          <w:rFonts w:ascii="SimSun" w:hAnsi="SimSun" w:eastAsia="SimSun" w:cs="SimSun"/>
          <w:sz w:val="24"/>
          <w:szCs w:val="24"/>
          <w:spacing w:val="-2"/>
        </w:rPr>
        <w:t>压裂隙含水岩组：一、</w:t>
      </w:r>
      <w:r>
        <w:rPr>
          <w:rFonts w:ascii="SimSun" w:hAnsi="SimSun" w:eastAsia="SimSun" w:cs="SimSun"/>
          <w:sz w:val="24"/>
          <w:szCs w:val="24"/>
          <w:spacing w:val="-1"/>
        </w:rPr>
        <w:t>二煤组承压裂隙含水岩组；三煤组承压裂隙含水岩组。</w:t>
      </w:r>
    </w:p>
    <w:p>
      <w:pPr>
        <w:ind w:left="114" w:right="112" w:firstLine="483"/>
        <w:spacing w:before="1" w:line="338" w:lineRule="auto"/>
        <w:jc w:val="both"/>
        <w:rPr>
          <w:rFonts w:ascii="SimSun" w:hAnsi="SimSun" w:eastAsia="SimSun" w:cs="SimSun"/>
          <w:sz w:val="24"/>
          <w:szCs w:val="24"/>
        </w:rPr>
      </w:pPr>
      <w:r>
        <w:rPr>
          <w:rFonts w:ascii="SimSun" w:hAnsi="SimSun" w:eastAsia="SimSun" w:cs="SimSun"/>
          <w:sz w:val="24"/>
          <w:szCs w:val="24"/>
          <w:spacing w:val="-2"/>
        </w:rPr>
        <w:t>该两组含水岩组岩性主要为煤层、粗、细砂岩及砂砾岩，如煤层顶底板为此三种岩</w:t>
      </w:r>
      <w:r>
        <w:rPr>
          <w:rFonts w:ascii="SimSun" w:hAnsi="SimSun" w:eastAsia="SimSun" w:cs="SimSun"/>
          <w:sz w:val="24"/>
          <w:szCs w:val="24"/>
          <w:spacing w:val="-2"/>
        </w:rPr>
        <w:t>石亦归并其中。褐煤质纯、硬脆。浅灰色、绿灰色砂岩、砂砾岩为半胶结岩层，胶结物</w:t>
      </w:r>
      <w:r>
        <w:rPr>
          <w:rFonts w:ascii="SimSun" w:hAnsi="SimSun" w:eastAsia="SimSun" w:cs="SimSun"/>
          <w:sz w:val="24"/>
          <w:szCs w:val="24"/>
          <w:spacing w:val="-2"/>
        </w:rPr>
        <w:t>为泥质及凝灰质，胶结松散。在地应力作用下产生纵横交错的裂隙，为地下水的运动和</w:t>
      </w:r>
      <w:r>
        <w:rPr>
          <w:rFonts w:ascii="SimSun" w:hAnsi="SimSun" w:eastAsia="SimSun" w:cs="SimSun"/>
          <w:sz w:val="24"/>
          <w:szCs w:val="24"/>
          <w:spacing w:val="-2"/>
        </w:rPr>
        <w:t>积聚提供了条件，地下水活动对裂隙的沟通和扩大起了一定的作用。含水岩组中夹有薄</w:t>
      </w:r>
      <w:r>
        <w:rPr>
          <w:rFonts w:ascii="SimSun" w:hAnsi="SimSun" w:eastAsia="SimSun" w:cs="SimSun"/>
          <w:sz w:val="24"/>
          <w:szCs w:val="24"/>
          <w:spacing w:val="-1"/>
        </w:rPr>
        <w:t>层泥岩、炭质泥岩、粉砂质泥岩及粉砂岩。</w:t>
      </w:r>
    </w:p>
    <w:p>
      <w:pPr>
        <w:ind w:left="613"/>
        <w:spacing w:line="219"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SimSun" w:hAnsi="SimSun" w:eastAsia="SimSun" w:cs="SimSun"/>
          <w:sz w:val="24"/>
          <w:szCs w:val="24"/>
          <w:spacing w:val="-2"/>
        </w:rPr>
        <w:t>）一、二煤组裂隙承压含水岩组：</w:t>
      </w:r>
    </w:p>
    <w:p>
      <w:pPr>
        <w:ind w:left="114" w:right="46" w:firstLine="483"/>
        <w:spacing w:before="158" w:line="338" w:lineRule="auto"/>
        <w:rPr>
          <w:rFonts w:ascii="SimSun" w:hAnsi="SimSun" w:eastAsia="SimSun" w:cs="SimSun"/>
          <w:sz w:val="24"/>
          <w:szCs w:val="24"/>
        </w:rPr>
      </w:pPr>
      <w:r>
        <w:rPr>
          <w:rFonts w:ascii="SimSun" w:hAnsi="SimSun" w:eastAsia="SimSun" w:cs="SimSun"/>
          <w:sz w:val="24"/>
          <w:szCs w:val="24"/>
          <w:spacing w:val="-6"/>
        </w:rPr>
        <w:t>该组含水层主要为一层、一下层和二层煤及其顶底板</w:t>
      </w:r>
      <w:r>
        <w:rPr>
          <w:rFonts w:ascii="SimSun" w:hAnsi="SimSun" w:eastAsia="SimSun" w:cs="SimSun"/>
          <w:sz w:val="24"/>
          <w:szCs w:val="24"/>
          <w:spacing w:val="-7"/>
        </w:rPr>
        <w:t>砂岩。该岩组在本区普遍发育，</w:t>
      </w:r>
      <w:r>
        <w:rPr>
          <w:rFonts w:ascii="SimSun" w:hAnsi="SimSun" w:eastAsia="SimSun" w:cs="SimSun"/>
          <w:sz w:val="24"/>
          <w:szCs w:val="24"/>
          <w:spacing w:val="-4"/>
        </w:rPr>
        <w:t>顶板埋深</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157.50</w:t>
      </w:r>
      <w:r>
        <w:rPr>
          <w:rFonts w:ascii="SimSun" w:hAnsi="SimSun" w:eastAsia="SimSun" w:cs="SimSun"/>
          <w:sz w:val="24"/>
          <w:szCs w:val="24"/>
          <w:spacing w:val="-4"/>
        </w:rPr>
        <w:t>～</w:t>
      </w:r>
      <w:r>
        <w:rPr>
          <w:rFonts w:ascii="Times New Roman" w:hAnsi="Times New Roman" w:eastAsia="Times New Roman" w:cs="Times New Roman"/>
          <w:sz w:val="24"/>
          <w:szCs w:val="24"/>
          <w:spacing w:val="-4"/>
        </w:rPr>
        <w:t>333.20m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，含水层厚度最大</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66.4m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，最小为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22.25m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，平均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27.60m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。隐</w:t>
      </w:r>
      <w:r>
        <w:rPr>
          <w:rFonts w:ascii="SimSun" w:hAnsi="SimSun" w:eastAsia="SimSun" w:cs="SimSun"/>
          <w:sz w:val="24"/>
          <w:szCs w:val="24"/>
          <w:spacing w:val="-1"/>
        </w:rPr>
        <w:t>伏露头位于井田东侧。</w:t>
      </w:r>
    </w:p>
    <w:p>
      <w:pPr>
        <w:ind w:left="600"/>
        <w:spacing w:before="1" w:line="218" w:lineRule="auto"/>
        <w:rPr>
          <w:rFonts w:ascii="SimSun" w:hAnsi="SimSun" w:eastAsia="SimSun" w:cs="SimSun"/>
          <w:sz w:val="24"/>
          <w:szCs w:val="24"/>
        </w:rPr>
      </w:pPr>
      <w:r>
        <w:rPr>
          <w:rFonts w:ascii="SimSun" w:hAnsi="SimSun" w:eastAsia="SimSun" w:cs="SimSun"/>
          <w:sz w:val="24"/>
          <w:szCs w:val="24"/>
          <w:spacing w:val="-1"/>
        </w:rPr>
        <w:t>露头直接隐伏于新近系粘土之下，够成该含水岩组的隔水边界。</w:t>
      </w:r>
    </w:p>
    <w:p>
      <w:pPr>
        <w:ind w:left="115" w:right="112" w:firstLine="482"/>
        <w:spacing w:before="156" w:line="338" w:lineRule="auto"/>
        <w:rPr>
          <w:rFonts w:ascii="SimSun" w:hAnsi="SimSun" w:eastAsia="SimSun" w:cs="SimSun"/>
          <w:sz w:val="24"/>
          <w:szCs w:val="24"/>
        </w:rPr>
      </w:pPr>
      <w:r>
        <w:rPr>
          <w:rFonts w:ascii="SimSun" w:hAnsi="SimSun" w:eastAsia="SimSun" w:cs="SimSun"/>
          <w:sz w:val="24"/>
          <w:szCs w:val="24"/>
          <w:spacing w:val="-2"/>
        </w:rPr>
        <w:t>该含水岩组中一层煤厚度较大，裂隙发育，为该含水岩组的主要赋水部位。补勘阶</w:t>
      </w:r>
      <w:r>
        <w:rPr>
          <w:rFonts w:ascii="SimSun" w:hAnsi="SimSun" w:eastAsia="SimSun" w:cs="SimSun"/>
          <w:sz w:val="24"/>
          <w:szCs w:val="24"/>
          <w:spacing w:val="-2"/>
        </w:rPr>
        <w:t>段对该含水岩组做了重点研究，共布置了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4 </w:t>
      </w:r>
      <w:r>
        <w:rPr>
          <w:rFonts w:ascii="SimSun" w:hAnsi="SimSun" w:eastAsia="SimSun" w:cs="SimSun"/>
          <w:sz w:val="24"/>
          <w:szCs w:val="24"/>
          <w:spacing w:val="-2"/>
        </w:rPr>
        <w:t>个基岩裂隙抽水试验孔</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3-12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C7</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12-10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4"/>
        </w:rPr>
        <w:t>13-10</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，总工程量</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1153.4m</w:t>
      </w:r>
      <w:r>
        <w:rPr>
          <w:rFonts w:ascii="SimSun" w:hAnsi="SimSun" w:eastAsia="SimSun" w:cs="SimSun"/>
          <w:sz w:val="24"/>
          <w:szCs w:val="24"/>
          <w:spacing w:val="-4"/>
        </w:rPr>
        <w:t>。</w:t>
      </w:r>
    </w:p>
    <w:p>
      <w:pPr>
        <w:ind w:left="115" w:right="115" w:firstLine="474"/>
        <w:spacing w:before="2" w:line="338" w:lineRule="auto"/>
        <w:jc w:val="both"/>
        <w:rPr>
          <w:rFonts w:ascii="SimSun" w:hAnsi="SimSun" w:eastAsia="SimSun" w:cs="SimSun"/>
          <w:sz w:val="24"/>
          <w:szCs w:val="24"/>
        </w:rPr>
      </w:pPr>
      <w:r>
        <w:rPr>
          <w:rFonts w:ascii="Times New Roman" w:hAnsi="Times New Roman" w:eastAsia="Times New Roman" w:cs="Times New Roman"/>
          <w:sz w:val="24"/>
          <w:szCs w:val="24"/>
          <w:spacing w:val="-2"/>
        </w:rPr>
        <w:t>2014 </w:t>
      </w:r>
      <w:r>
        <w:rPr>
          <w:rFonts w:ascii="SimSun" w:hAnsi="SimSun" w:eastAsia="SimSun" w:cs="SimSun"/>
          <w:sz w:val="24"/>
          <w:szCs w:val="24"/>
          <w:spacing w:val="-2"/>
        </w:rPr>
        <w:t>年对一煤层做了专门单孔抽水试验</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16-14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6-2</w:t>
      </w:r>
      <w:r>
        <w:rPr>
          <w:rFonts w:ascii="Times New Roman" w:hAnsi="Times New Roman" w:eastAsia="Times New Roman" w:cs="Times New Roman"/>
          <w:sz w:val="24"/>
          <w:szCs w:val="24"/>
          <w:spacing w:val="-3"/>
        </w:rPr>
        <w:t>0 </w:t>
      </w:r>
      <w:r>
        <w:rPr>
          <w:rFonts w:ascii="SimSun" w:hAnsi="SimSun" w:eastAsia="SimSun" w:cs="SimSun"/>
          <w:sz w:val="24"/>
          <w:szCs w:val="24"/>
          <w:spacing w:val="-3"/>
        </w:rPr>
        <w:t>孔。</w:t>
      </w:r>
      <w:r>
        <w:rPr>
          <w:rFonts w:ascii="Times New Roman" w:hAnsi="Times New Roman" w:eastAsia="Times New Roman" w:cs="Times New Roman"/>
          <w:sz w:val="24"/>
          <w:szCs w:val="24"/>
          <w:spacing w:val="-3"/>
        </w:rPr>
        <w:t>3-12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孔水头埋深</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64.0m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w:t>
      </w:r>
      <w:r>
        <w:rPr>
          <w:rFonts w:ascii="SimSun" w:hAnsi="SimSun" w:eastAsia="SimSun" w:cs="SimSun"/>
          <w:sz w:val="24"/>
          <w:szCs w:val="24"/>
        </w:rPr>
        <w:t>标高</w:t>
      </w:r>
      <w:r>
        <w:rPr>
          <w:rFonts w:ascii="SimSun" w:hAnsi="SimSun" w:eastAsia="SimSun" w:cs="SimSun"/>
          <w:sz w:val="24"/>
          <w:szCs w:val="24"/>
          <w:spacing w:val="-32"/>
        </w:rPr>
        <w:t xml:space="preserve"> </w:t>
      </w:r>
      <w:r>
        <w:rPr>
          <w:rFonts w:ascii="Times New Roman" w:hAnsi="Times New Roman" w:eastAsia="Times New Roman" w:cs="Times New Roman"/>
          <w:sz w:val="24"/>
          <w:szCs w:val="24"/>
        </w:rPr>
        <w:t>971.432m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，该孔距露天坑约</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2500m</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，由于露天矿多年疏干排水，使承压水水位下</w:t>
      </w:r>
      <w:r>
        <w:rPr>
          <w:rFonts w:ascii="SimSun" w:hAnsi="SimSun" w:eastAsia="SimSun" w:cs="SimSun"/>
          <w:sz w:val="24"/>
          <w:szCs w:val="24"/>
          <w:spacing w:val="-6"/>
        </w:rPr>
        <w:t>降。</w:t>
      </w:r>
    </w:p>
    <w:p>
      <w:pPr>
        <w:ind w:left="594"/>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3"/>
        </w:rPr>
        <w:t>C7 </w:t>
      </w:r>
      <w:r>
        <w:rPr>
          <w:rFonts w:ascii="SimSun" w:hAnsi="SimSun" w:eastAsia="SimSun" w:cs="SimSun"/>
          <w:sz w:val="24"/>
          <w:szCs w:val="24"/>
          <w:spacing w:val="-3"/>
        </w:rPr>
        <w:t>孔水头埋深</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65.0m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，标高</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971.848m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。据露天坑较近，约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2500m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，水位下降。</w:t>
      </w:r>
    </w:p>
    <w:p>
      <w:pPr>
        <w:spacing w:line="219" w:lineRule="auto"/>
        <w:sectPr>
          <w:footerReference w:type="default" r:id="rId423"/>
          <w:pgSz w:w="11906" w:h="16838"/>
          <w:pgMar w:top="1170" w:right="1304" w:bottom="1080" w:left="1310" w:header="837" w:footer="918" w:gutter="0"/>
        </w:sectPr>
        <w:rPr>
          <w:rFonts w:ascii="SimSun" w:hAnsi="SimSun" w:eastAsia="SimSun" w:cs="SimSun"/>
          <w:sz w:val="24"/>
          <w:szCs w:val="24"/>
        </w:rPr>
      </w:pPr>
    </w:p>
    <w:p>
      <w:pPr>
        <w:pStyle w:val="BodyText"/>
        <w:spacing w:line="311" w:lineRule="auto"/>
        <w:rPr/>
      </w:pPr>
      <w:r/>
    </w:p>
    <w:p>
      <w:pPr>
        <w:ind w:left="114" w:right="115" w:firstLine="499"/>
        <w:spacing w:before="78" w:line="337" w:lineRule="auto"/>
        <w:rPr>
          <w:rFonts w:ascii="SimSun" w:hAnsi="SimSun" w:eastAsia="SimSun" w:cs="SimSun"/>
          <w:sz w:val="24"/>
          <w:szCs w:val="24"/>
        </w:rPr>
      </w:pPr>
      <w:r>
        <w:rPr>
          <w:rFonts w:ascii="Times New Roman" w:hAnsi="Times New Roman" w:eastAsia="Times New Roman" w:cs="Times New Roman"/>
          <w:sz w:val="24"/>
          <w:szCs w:val="24"/>
        </w:rPr>
        <w:t>12-10</w:t>
      </w:r>
      <w:r>
        <w:rPr>
          <w:rFonts w:ascii="Times New Roman" w:hAnsi="Times New Roman" w:eastAsia="Times New Roman" w:cs="Times New Roman"/>
          <w:sz w:val="24"/>
          <w:szCs w:val="24"/>
          <w:spacing w:val="35"/>
          <w:w w:val="101"/>
        </w:rPr>
        <w:t xml:space="preserve"> </w:t>
      </w:r>
      <w:r>
        <w:rPr>
          <w:rFonts w:ascii="SimSun" w:hAnsi="SimSun" w:eastAsia="SimSun" w:cs="SimSun"/>
          <w:sz w:val="24"/>
          <w:szCs w:val="24"/>
        </w:rPr>
        <w:t>孔水头高出地表</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2.81m</w:t>
      </w:r>
      <w:r>
        <w:rPr>
          <w:rFonts w:ascii="Times New Roman" w:hAnsi="Times New Roman" w:eastAsia="Times New Roman" w:cs="Times New Roman"/>
          <w:sz w:val="24"/>
          <w:szCs w:val="24"/>
          <w:spacing w:val="-18"/>
        </w:rPr>
        <w:t xml:space="preserve"> </w:t>
      </w:r>
      <w:r>
        <w:rPr>
          <w:rFonts w:ascii="SimSun" w:hAnsi="SimSun" w:eastAsia="SimSun" w:cs="SimSun"/>
          <w:sz w:val="24"/>
          <w:szCs w:val="24"/>
        </w:rPr>
        <w:t>，标高</w:t>
      </w:r>
      <w:r>
        <w:rPr>
          <w:rFonts w:ascii="SimSun" w:hAnsi="SimSun" w:eastAsia="SimSun" w:cs="SimSun"/>
          <w:sz w:val="24"/>
          <w:szCs w:val="24"/>
          <w:spacing w:val="-39"/>
        </w:rPr>
        <w:t xml:space="preserve"> </w:t>
      </w:r>
      <w:r>
        <w:rPr>
          <w:rFonts w:ascii="Times New Roman" w:hAnsi="Times New Roman" w:eastAsia="Times New Roman" w:cs="Times New Roman"/>
          <w:sz w:val="24"/>
          <w:szCs w:val="24"/>
        </w:rPr>
        <w:t>965.990m</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，单位涌水量</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0.03l/s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24"/>
          <w:szCs w:val="24"/>
          <w:spacing w:val="-23"/>
        </w:rPr>
        <w:t xml:space="preserve"> </w:t>
      </w:r>
      <w:r>
        <w:rPr>
          <w:rFonts w:ascii="SimSun" w:hAnsi="SimSun" w:eastAsia="SimSun" w:cs="SimSun"/>
          <w:sz w:val="24"/>
          <w:szCs w:val="24"/>
        </w:rPr>
        <w:t>，渗透系数</w:t>
      </w:r>
      <w:r>
        <w:rPr>
          <w:rFonts w:ascii="Times New Roman" w:hAnsi="Times New Roman" w:eastAsia="Times New Roman" w:cs="Times New Roman"/>
          <w:sz w:val="24"/>
          <w:szCs w:val="24"/>
          <w:spacing w:val="-1"/>
        </w:rPr>
        <w:t>0.0534m/d</w:t>
      </w:r>
      <w:r>
        <w:rPr>
          <w:rFonts w:ascii="SimSun" w:hAnsi="SimSun" w:eastAsia="SimSun" w:cs="SimSun"/>
          <w:sz w:val="24"/>
          <w:szCs w:val="24"/>
          <w:spacing w:val="-1"/>
        </w:rPr>
        <w:t>。</w:t>
      </w:r>
    </w:p>
    <w:p>
      <w:pPr>
        <w:ind w:left="123" w:right="115" w:firstLine="490"/>
        <w:spacing w:before="4" w:line="339" w:lineRule="auto"/>
        <w:rPr>
          <w:rFonts w:ascii="SimSun" w:hAnsi="SimSun" w:eastAsia="SimSun" w:cs="SimSun"/>
          <w:sz w:val="24"/>
          <w:szCs w:val="24"/>
        </w:rPr>
      </w:pPr>
      <w:r>
        <w:rPr>
          <w:rFonts w:ascii="Times New Roman" w:hAnsi="Times New Roman" w:eastAsia="Times New Roman" w:cs="Times New Roman"/>
          <w:sz w:val="24"/>
          <w:szCs w:val="24"/>
          <w:spacing w:val="-3"/>
        </w:rPr>
        <w:t>13-10 </w:t>
      </w:r>
      <w:r>
        <w:rPr>
          <w:rFonts w:ascii="SimSun" w:hAnsi="SimSun" w:eastAsia="SimSun" w:cs="SimSun"/>
          <w:sz w:val="24"/>
          <w:szCs w:val="24"/>
          <w:spacing w:val="-3"/>
        </w:rPr>
        <w:t>孔水头埋深</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3.5m</w:t>
      </w:r>
      <w:r>
        <w:rPr>
          <w:rFonts w:ascii="SimSun" w:hAnsi="SimSun" w:eastAsia="SimSun" w:cs="SimSun"/>
          <w:sz w:val="24"/>
          <w:szCs w:val="24"/>
          <w:spacing w:val="-3"/>
        </w:rPr>
        <w:t>，标高</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965.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117m</w:t>
      </w:r>
      <w:r>
        <w:rPr>
          <w:rFonts w:ascii="SimSun" w:hAnsi="SimSun" w:eastAsia="SimSun" w:cs="SimSun"/>
          <w:sz w:val="24"/>
          <w:szCs w:val="24"/>
          <w:spacing w:val="-4"/>
        </w:rPr>
        <w:t>。该孔在钻探过程中无涌水、漏水和耗水现</w:t>
      </w:r>
      <w:r>
        <w:rPr>
          <w:rFonts w:ascii="SimSun" w:hAnsi="SimSun" w:eastAsia="SimSun" w:cs="SimSun"/>
          <w:sz w:val="24"/>
          <w:szCs w:val="24"/>
          <w:spacing w:val="-2"/>
        </w:rPr>
        <w:t>象，水量极小，未取得数据。</w:t>
      </w:r>
    </w:p>
    <w:p>
      <w:pPr>
        <w:ind w:left="595"/>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6-20 </w:t>
      </w:r>
      <w:r>
        <w:rPr>
          <w:rFonts w:ascii="SimSun" w:hAnsi="SimSun" w:eastAsia="SimSun" w:cs="SimSun"/>
          <w:sz w:val="24"/>
          <w:szCs w:val="24"/>
          <w:spacing w:val="-3"/>
        </w:rPr>
        <w:t>孔初始水位埋深</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3"/>
        </w:rPr>
        <w:t>16.2m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，单位涌水量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0.0022l/s</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，渗透系数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0.0388m/d</w:t>
      </w:r>
      <w:r>
        <w:rPr>
          <w:rFonts w:ascii="SimSun" w:hAnsi="SimSun" w:eastAsia="SimSun" w:cs="SimSun"/>
          <w:sz w:val="24"/>
          <w:szCs w:val="24"/>
          <w:spacing w:val="-3"/>
        </w:rPr>
        <w:t>。</w:t>
      </w:r>
    </w:p>
    <w:p>
      <w:pPr>
        <w:ind w:left="613"/>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3"/>
        </w:rPr>
        <w:t>16-14 </w:t>
      </w:r>
      <w:r>
        <w:rPr>
          <w:rFonts w:ascii="SimSun" w:hAnsi="SimSun" w:eastAsia="SimSun" w:cs="SimSun"/>
          <w:sz w:val="24"/>
          <w:szCs w:val="24"/>
          <w:spacing w:val="-3"/>
        </w:rPr>
        <w:t>孔初始水位埋深</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16.8m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，单位涌水量</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0.0025l/s</w:t>
      </w:r>
      <w:r>
        <w:rPr>
          <w:rFonts w:ascii="Times New Roman" w:hAnsi="Times New Roman" w:eastAsia="Times New Roman" w:cs="Times New Roman"/>
          <w:sz w:val="24"/>
          <w:szCs w:val="24"/>
          <w:spacing w:val="-35"/>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，渗透系数</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4"/>
        </w:rPr>
        <w:t>0305m/d</w:t>
      </w:r>
      <w:r>
        <w:rPr>
          <w:rFonts w:ascii="SimSun" w:hAnsi="SimSun" w:eastAsia="SimSun" w:cs="SimSun"/>
          <w:sz w:val="24"/>
          <w:szCs w:val="24"/>
          <w:spacing w:val="-4"/>
        </w:rPr>
        <w:t>。</w:t>
      </w:r>
    </w:p>
    <w:p>
      <w:pPr>
        <w:ind w:left="130" w:right="115" w:firstLine="491"/>
        <w:spacing w:before="153" w:line="339" w:lineRule="auto"/>
        <w:rPr>
          <w:rFonts w:ascii="SimSun" w:hAnsi="SimSun" w:eastAsia="SimSun" w:cs="SimSun"/>
          <w:sz w:val="24"/>
          <w:szCs w:val="24"/>
        </w:rPr>
      </w:pPr>
      <w:r>
        <w:rPr>
          <w:rFonts w:ascii="SimSun" w:hAnsi="SimSun" w:eastAsia="SimSun" w:cs="SimSun"/>
          <w:sz w:val="24"/>
          <w:szCs w:val="24"/>
          <w:spacing w:val="-2"/>
        </w:rPr>
        <w:t>以上单孔抽水试验的抽水层段均以一层煤为主，抽</w:t>
      </w:r>
      <w:r>
        <w:rPr>
          <w:rFonts w:ascii="SimSun" w:hAnsi="SimSun" w:eastAsia="SimSun" w:cs="SimSun"/>
          <w:sz w:val="24"/>
          <w:szCs w:val="24"/>
          <w:spacing w:val="-3"/>
        </w:rPr>
        <w:t>水成果分析认为，该含水岩组裂</w:t>
      </w:r>
      <w:r>
        <w:rPr>
          <w:rFonts w:ascii="SimSun" w:hAnsi="SimSun" w:eastAsia="SimSun" w:cs="SimSun"/>
          <w:sz w:val="24"/>
          <w:szCs w:val="24"/>
          <w:spacing w:val="-1"/>
        </w:rPr>
        <w:t>隙发育不均，向井田深部裂隙发育较差，煤层露头地段裂隙较发育，渗透性较好。</w:t>
      </w:r>
    </w:p>
    <w:p>
      <w:pPr>
        <w:ind w:left="118" w:right="116" w:firstLine="475"/>
        <w:spacing w:before="2" w:line="338" w:lineRule="auto"/>
        <w:jc w:val="both"/>
        <w:rPr>
          <w:rFonts w:ascii="SimSun" w:hAnsi="SimSun" w:eastAsia="SimSun" w:cs="SimSun"/>
          <w:sz w:val="24"/>
          <w:szCs w:val="24"/>
        </w:rPr>
      </w:pPr>
      <w:r>
        <w:rPr>
          <w:rFonts w:ascii="SimSun" w:hAnsi="SimSun" w:eastAsia="SimSun" w:cs="SimSun"/>
          <w:sz w:val="24"/>
          <w:szCs w:val="24"/>
          <w:spacing w:val="-1"/>
        </w:rPr>
        <w:t>勘探阶段</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8-5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孔抽水层段以二</w:t>
      </w:r>
      <w:r>
        <w:rPr>
          <w:rFonts w:ascii="Times New Roman" w:hAnsi="Times New Roman" w:eastAsia="Times New Roman" w:cs="Times New Roman"/>
          <w:sz w:val="24"/>
          <w:szCs w:val="24"/>
          <w:spacing w:val="-1"/>
        </w:rPr>
        <w:t>-2 </w:t>
      </w:r>
      <w:r>
        <w:rPr>
          <w:rFonts w:ascii="SimSun" w:hAnsi="SimSun" w:eastAsia="SimSun" w:cs="SimSun"/>
          <w:sz w:val="24"/>
          <w:szCs w:val="24"/>
          <w:spacing w:val="-1"/>
        </w:rPr>
        <w:t>层为主，水头埋深</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w:t>
      </w:r>
      <w:r>
        <w:rPr>
          <w:rFonts w:ascii="Times New Roman" w:hAnsi="Times New Roman" w:eastAsia="Times New Roman" w:cs="Times New Roman"/>
          <w:sz w:val="24"/>
          <w:szCs w:val="24"/>
          <w:spacing w:val="-2"/>
        </w:rPr>
        <w:t>9.70m</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，标高</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932.021m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，单位</w:t>
      </w:r>
      <w:r>
        <w:rPr>
          <w:rFonts w:ascii="SimSun" w:hAnsi="SimSun" w:eastAsia="SimSun" w:cs="SimSun"/>
          <w:sz w:val="24"/>
          <w:szCs w:val="24"/>
          <w:spacing w:val="-6"/>
        </w:rPr>
        <w:t>涌水量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0.000073l/s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6"/>
        </w:rPr>
        <w:t>·m</w:t>
      </w:r>
      <w:r>
        <w:rPr>
          <w:rFonts w:ascii="SimSun" w:hAnsi="SimSun" w:eastAsia="SimSun" w:cs="SimSun"/>
          <w:sz w:val="24"/>
          <w:szCs w:val="24"/>
          <w:spacing w:val="-6"/>
        </w:rPr>
        <w:t>，渗透系数</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0.001143m/d</w:t>
      </w:r>
      <w:r>
        <w:rPr>
          <w:rFonts w:ascii="SimSun" w:hAnsi="SimSun" w:eastAsia="SimSun" w:cs="SimSun"/>
          <w:sz w:val="24"/>
          <w:szCs w:val="24"/>
          <w:spacing w:val="-6"/>
        </w:rPr>
        <w:t>。抽水层段为二</w:t>
      </w:r>
      <w:r>
        <w:rPr>
          <w:rFonts w:ascii="Times New Roman" w:hAnsi="Times New Roman" w:eastAsia="Times New Roman" w:cs="Times New Roman"/>
          <w:sz w:val="24"/>
          <w:szCs w:val="24"/>
          <w:spacing w:val="-6"/>
        </w:rPr>
        <w:t>-2 </w:t>
      </w:r>
      <w:r>
        <w:rPr>
          <w:rFonts w:ascii="SimSun" w:hAnsi="SimSun" w:eastAsia="SimSun" w:cs="SimSun"/>
          <w:sz w:val="24"/>
          <w:szCs w:val="24"/>
          <w:spacing w:val="-6"/>
        </w:rPr>
        <w:t>层，水质为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6"/>
        </w:rPr>
        <w:t>HCO·C</w:t>
      </w:r>
      <w:r>
        <w:rPr>
          <w:rFonts w:ascii="Times New Roman" w:hAnsi="Times New Roman" w:eastAsia="Times New Roman" w:cs="Times New Roman"/>
          <w:sz w:val="24"/>
          <w:szCs w:val="24"/>
          <w:spacing w:val="-7"/>
        </w:rPr>
        <w:t>L−Ca</w:t>
      </w:r>
      <w:r>
        <w:rPr>
          <w:rFonts w:ascii="Times New Roman" w:hAnsi="Times New Roman" w:eastAsia="Times New Roman" w:cs="Times New Roman"/>
          <w:sz w:val="15"/>
          <w:szCs w:val="15"/>
          <w:spacing w:val="-7"/>
          <w:position w:val="7"/>
        </w:rPr>
        <w:t>2+</w:t>
      </w:r>
      <w:r>
        <w:rPr>
          <w:rFonts w:ascii="SimSun" w:hAnsi="SimSun" w:eastAsia="SimSun" w:cs="SimSun"/>
          <w:sz w:val="24"/>
          <w:szCs w:val="24"/>
          <w:spacing w:val="-4"/>
        </w:rPr>
        <w:t>型，矿化度</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4"/>
        </w:rPr>
        <w:t>0.41g/l</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，属于淡水，</w:t>
      </w:r>
      <w:r>
        <w:rPr>
          <w:rFonts w:ascii="Times New Roman" w:hAnsi="Times New Roman" w:eastAsia="Times New Roman" w:cs="Times New Roman"/>
          <w:sz w:val="24"/>
          <w:szCs w:val="24"/>
          <w:spacing w:val="-4"/>
        </w:rPr>
        <w:t>PH </w:t>
      </w:r>
      <w:r>
        <w:rPr>
          <w:rFonts w:ascii="SimSun" w:hAnsi="SimSun" w:eastAsia="SimSun" w:cs="SimSun"/>
          <w:sz w:val="24"/>
          <w:szCs w:val="24"/>
          <w:spacing w:val="-4"/>
        </w:rPr>
        <w:t>值</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6.6</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，水温</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w:t>
      </w:r>
      <w:r>
        <w:rPr>
          <w:rFonts w:ascii="SimSun" w:hAnsi="SimSun" w:eastAsia="SimSun" w:cs="SimSun"/>
          <w:sz w:val="24"/>
          <w:szCs w:val="24"/>
          <w:spacing w:val="-4"/>
        </w:rPr>
        <w:t>。</w:t>
      </w:r>
    </w:p>
    <w:p>
      <w:pPr>
        <w:ind w:left="114" w:right="115" w:firstLine="509"/>
        <w:spacing w:before="2" w:line="338" w:lineRule="auto"/>
        <w:jc w:val="both"/>
        <w:rPr>
          <w:rFonts w:ascii="SimSun" w:hAnsi="SimSun" w:eastAsia="SimSun" w:cs="SimSun"/>
          <w:sz w:val="24"/>
          <w:szCs w:val="24"/>
        </w:rPr>
      </w:pPr>
      <w:r>
        <w:rPr>
          <w:rFonts w:ascii="SimSun" w:hAnsi="SimSun" w:eastAsia="SimSun" w:cs="SimSun"/>
          <w:sz w:val="24"/>
          <w:szCs w:val="24"/>
          <w:spacing w:val="-2"/>
        </w:rPr>
        <w:t>由抽水试验成果可看出该含水层渗透性很小，富水性较低。二</w:t>
      </w:r>
      <w:r>
        <w:rPr>
          <w:rFonts w:ascii="Times New Roman" w:hAnsi="Times New Roman" w:eastAsia="Times New Roman" w:cs="Times New Roman"/>
          <w:sz w:val="24"/>
          <w:szCs w:val="24"/>
          <w:spacing w:val="-2"/>
        </w:rPr>
        <w:t>-1 </w:t>
      </w:r>
      <w:r>
        <w:rPr>
          <w:rFonts w:ascii="SimSun" w:hAnsi="SimSun" w:eastAsia="SimSun" w:cs="SimSun"/>
          <w:sz w:val="24"/>
          <w:szCs w:val="24"/>
          <w:spacing w:val="-2"/>
        </w:rPr>
        <w:t>层、二</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层和二</w:t>
      </w:r>
      <w:r>
        <w:rPr>
          <w:rFonts w:ascii="Times New Roman" w:hAnsi="Times New Roman" w:eastAsia="Times New Roman" w:cs="Times New Roman"/>
          <w:sz w:val="24"/>
          <w:szCs w:val="24"/>
          <w:spacing w:val="-3"/>
        </w:rPr>
        <w:t>-3</w:t>
      </w:r>
      <w:r>
        <w:rPr>
          <w:rFonts w:ascii="SimSun" w:hAnsi="SimSun" w:eastAsia="SimSun" w:cs="SimSun"/>
          <w:sz w:val="24"/>
          <w:szCs w:val="24"/>
          <w:spacing w:val="-2"/>
        </w:rPr>
        <w:t>层这三个煤层厚度相差不大，层间距也比较接近，其顶底板岩性也比较相近，多以泥岩</w:t>
      </w:r>
      <w:r>
        <w:rPr>
          <w:rFonts w:ascii="SimSun" w:hAnsi="SimSun" w:eastAsia="SimSun" w:cs="SimSun"/>
          <w:sz w:val="24"/>
          <w:szCs w:val="24"/>
          <w:spacing w:val="-1"/>
        </w:rPr>
        <w:t>和页岩为主，可判定此三层在该含水岩组中不占主导地位。</w:t>
      </w:r>
    </w:p>
    <w:p>
      <w:pPr>
        <w:ind w:left="115" w:right="115" w:firstLine="481"/>
        <w:spacing w:before="2" w:line="338" w:lineRule="auto"/>
        <w:rPr>
          <w:rFonts w:ascii="SimSun" w:hAnsi="SimSun" w:eastAsia="SimSun" w:cs="SimSun"/>
          <w:sz w:val="24"/>
          <w:szCs w:val="24"/>
        </w:rPr>
      </w:pPr>
      <w:r>
        <w:rPr>
          <w:rFonts w:ascii="SimSun" w:hAnsi="SimSun" w:eastAsia="SimSun" w:cs="SimSun"/>
          <w:sz w:val="24"/>
          <w:szCs w:val="24"/>
          <w:spacing w:val="-2"/>
        </w:rPr>
        <w:t>综合分析，一、二煤组含水岩组富水性在平面和纵向上均有差异，判定本区一、二</w:t>
      </w:r>
      <w:r>
        <w:rPr>
          <w:rFonts w:ascii="SimSun" w:hAnsi="SimSun" w:eastAsia="SimSun" w:cs="SimSun"/>
          <w:sz w:val="24"/>
          <w:szCs w:val="24"/>
          <w:spacing w:val="-1"/>
        </w:rPr>
        <w:t>煤组含水岩组属于中等富水性含水岩组。</w:t>
      </w:r>
    </w:p>
    <w:p>
      <w:pPr>
        <w:ind w:left="590"/>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）三煤组裂隙承压含水岩组</w:t>
      </w:r>
    </w:p>
    <w:p>
      <w:pPr>
        <w:ind w:left="115" w:right="29" w:firstLine="480"/>
        <w:spacing w:before="152" w:line="339" w:lineRule="auto"/>
        <w:rPr>
          <w:rFonts w:ascii="SimSun" w:hAnsi="SimSun" w:eastAsia="SimSun" w:cs="SimSun"/>
          <w:sz w:val="24"/>
          <w:szCs w:val="24"/>
        </w:rPr>
      </w:pPr>
      <w:r>
        <w:rPr>
          <w:rFonts w:ascii="SimSun" w:hAnsi="SimSun" w:eastAsia="SimSun" w:cs="SimSun"/>
          <w:sz w:val="24"/>
          <w:szCs w:val="24"/>
          <w:spacing w:val="-11"/>
        </w:rPr>
        <w:t>此组含水层主要为三层及其顶底板砂岩。厚度最大</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1"/>
        </w:rPr>
        <w:t>3.</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1"/>
        </w:rPr>
        <w:t>15m</w:t>
      </w:r>
      <w:r>
        <w:rPr>
          <w:rFonts w:ascii="SimSun" w:hAnsi="SimSun" w:eastAsia="SimSun" w:cs="SimSun"/>
          <w:sz w:val="24"/>
          <w:szCs w:val="24"/>
          <w:spacing w:val="-11"/>
        </w:rPr>
        <w:t>，最</w:t>
      </w:r>
      <w:r>
        <w:rPr>
          <w:rFonts w:ascii="SimSun" w:hAnsi="SimSun" w:eastAsia="SimSun" w:cs="SimSun"/>
          <w:sz w:val="24"/>
          <w:szCs w:val="24"/>
          <w:spacing w:val="-12"/>
        </w:rPr>
        <w:t>小为</w:t>
      </w:r>
      <w:r>
        <w:rPr>
          <w:rFonts w:ascii="SimSun" w:hAnsi="SimSun" w:eastAsia="SimSun" w:cs="SimSun"/>
          <w:sz w:val="24"/>
          <w:szCs w:val="24"/>
          <w:spacing w:val="-36"/>
        </w:rPr>
        <w:t xml:space="preserve"> </w:t>
      </w:r>
      <w:r>
        <w:rPr>
          <w:rFonts w:ascii="Times New Roman" w:hAnsi="Times New Roman" w:eastAsia="Times New Roman" w:cs="Times New Roman"/>
          <w:sz w:val="24"/>
          <w:szCs w:val="24"/>
          <w:spacing w:val="-12"/>
        </w:rPr>
        <w:t>1.5m</w:t>
      </w:r>
      <w:r>
        <w:rPr>
          <w:rFonts w:ascii="SimSun" w:hAnsi="SimSun" w:eastAsia="SimSun" w:cs="SimSun"/>
          <w:sz w:val="24"/>
          <w:szCs w:val="24"/>
          <w:spacing w:val="-12"/>
        </w:rPr>
        <w:t>，平均</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2"/>
        </w:rPr>
        <w:t>1.79m</w:t>
      </w:r>
      <w:r>
        <w:rPr>
          <w:rFonts w:ascii="SimSun" w:hAnsi="SimSun" w:eastAsia="SimSun" w:cs="SimSun"/>
          <w:sz w:val="24"/>
          <w:szCs w:val="24"/>
          <w:spacing w:val="-12"/>
        </w:rPr>
        <w:t>。</w:t>
      </w:r>
      <w:r>
        <w:rPr>
          <w:rFonts w:ascii="SimSun" w:hAnsi="SimSun" w:eastAsia="SimSun" w:cs="SimSun"/>
          <w:sz w:val="24"/>
          <w:szCs w:val="24"/>
          <w:spacing w:val="-2"/>
        </w:rPr>
        <w:t>该含水岩组在全区发育稳定，分布连续，厚度均匀，但由于三层厚度较薄，并且其顶底</w:t>
      </w:r>
      <w:r>
        <w:rPr>
          <w:rFonts w:ascii="SimSun" w:hAnsi="SimSun" w:eastAsia="SimSun" w:cs="SimSun"/>
          <w:sz w:val="24"/>
          <w:szCs w:val="24"/>
        </w:rPr>
        <w:t>板岩性多为泥岩和页岩，该层的富水性较差</w:t>
      </w:r>
      <w:r>
        <w:rPr>
          <w:rFonts w:ascii="SimSun" w:hAnsi="SimSun" w:eastAsia="SimSun" w:cs="SimSun"/>
          <w:sz w:val="24"/>
          <w:szCs w:val="24"/>
          <w:spacing w:val="-1"/>
        </w:rPr>
        <w:t>。该含水岩组的顶板于二</w:t>
      </w:r>
      <w:r>
        <w:rPr>
          <w:rFonts w:ascii="Times New Roman" w:hAnsi="Times New Roman" w:eastAsia="Times New Roman" w:cs="Times New Roman"/>
          <w:sz w:val="24"/>
          <w:szCs w:val="24"/>
          <w:spacing w:val="-1"/>
        </w:rPr>
        <w:t>-3</w:t>
      </w:r>
      <w:r>
        <w:rPr>
          <w:rFonts w:ascii="SimSun" w:hAnsi="SimSun" w:eastAsia="SimSun" w:cs="SimSun"/>
          <w:sz w:val="24"/>
          <w:szCs w:val="24"/>
          <w:spacing w:val="-1"/>
        </w:rPr>
        <w:t>层底板的间距较</w:t>
      </w:r>
      <w:r>
        <w:rPr>
          <w:rFonts w:ascii="SimSun" w:hAnsi="SimSun" w:eastAsia="SimSun" w:cs="SimSun"/>
          <w:sz w:val="24"/>
          <w:szCs w:val="24"/>
          <w:spacing w:val="-3"/>
        </w:rPr>
        <w:t>大，平均</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41.66m</w:t>
      </w:r>
      <w:r>
        <w:rPr>
          <w:rFonts w:ascii="SimSun" w:hAnsi="SimSun" w:eastAsia="SimSun" w:cs="SimSun"/>
          <w:sz w:val="24"/>
          <w:szCs w:val="24"/>
          <w:spacing w:val="-3"/>
        </w:rPr>
        <w:t>，厚度稳定，为露天矿底部间接充水含水层，和其上部</w:t>
      </w:r>
      <w:r>
        <w:rPr>
          <w:rFonts w:ascii="SimSun" w:hAnsi="SimSun" w:eastAsia="SimSun" w:cs="SimSun"/>
          <w:sz w:val="24"/>
          <w:szCs w:val="24"/>
          <w:spacing w:val="-4"/>
        </w:rPr>
        <w:t>含水岩组的水力</w:t>
      </w:r>
      <w:r>
        <w:rPr>
          <w:rFonts w:ascii="SimSun" w:hAnsi="SimSun" w:eastAsia="SimSun" w:cs="SimSun"/>
          <w:sz w:val="24"/>
          <w:szCs w:val="24"/>
          <w:spacing w:val="-3"/>
        </w:rPr>
        <w:t>联系不大。</w:t>
      </w:r>
    </w:p>
    <w:p>
      <w:pPr>
        <w:ind w:left="114" w:right="115" w:firstLine="482"/>
        <w:spacing w:before="3" w:line="329" w:lineRule="auto"/>
        <w:jc w:val="both"/>
        <w:rPr>
          <w:rFonts w:ascii="SimSun" w:hAnsi="SimSun" w:eastAsia="SimSun" w:cs="SimSun"/>
          <w:sz w:val="24"/>
          <w:szCs w:val="24"/>
        </w:rPr>
      </w:pPr>
      <w:r>
        <w:rPr>
          <w:rFonts w:ascii="SimSun" w:hAnsi="SimSun" w:eastAsia="SimSun" w:cs="SimSun"/>
          <w:sz w:val="24"/>
          <w:szCs w:val="24"/>
          <w:spacing w:val="5"/>
        </w:rPr>
        <w:t>依据</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5"/>
        </w:rPr>
        <w:t>号露天</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5"/>
        </w:rPr>
        <w:t>472</w:t>
      </w:r>
      <w:r>
        <w:rPr>
          <w:rFonts w:ascii="Times New Roman" w:hAnsi="Times New Roman" w:eastAsia="Times New Roman" w:cs="Times New Roman"/>
          <w:sz w:val="24"/>
          <w:szCs w:val="24"/>
          <w:spacing w:val="40"/>
        </w:rPr>
        <w:t xml:space="preserve"> </w:t>
      </w:r>
      <w:r>
        <w:rPr>
          <w:rFonts w:ascii="SimSun" w:hAnsi="SimSun" w:eastAsia="SimSun" w:cs="SimSun"/>
          <w:sz w:val="24"/>
          <w:szCs w:val="24"/>
          <w:spacing w:val="5"/>
        </w:rPr>
        <w:t>队资料，该岩组进行了</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5"/>
        </w:rPr>
        <w:t>11-3</w:t>
      </w:r>
      <w:r>
        <w:rPr>
          <w:rFonts w:ascii="Times New Roman" w:hAnsi="Times New Roman" w:eastAsia="Times New Roman" w:cs="Times New Roman"/>
          <w:sz w:val="24"/>
          <w:szCs w:val="24"/>
          <w:spacing w:val="24"/>
          <w:w w:val="101"/>
        </w:rPr>
        <w:t xml:space="preserve"> </w:t>
      </w:r>
      <w:r>
        <w:rPr>
          <w:rFonts w:ascii="SimSun" w:hAnsi="SimSun" w:eastAsia="SimSun" w:cs="SimSun"/>
          <w:sz w:val="24"/>
          <w:szCs w:val="24"/>
          <w:spacing w:val="5"/>
        </w:rPr>
        <w:t>孔</w:t>
      </w:r>
      <w:r>
        <w:rPr>
          <w:rFonts w:ascii="SimSun" w:hAnsi="SimSun" w:eastAsia="SimSun" w:cs="SimSun"/>
          <w:sz w:val="24"/>
          <w:szCs w:val="24"/>
          <w:spacing w:val="4"/>
        </w:rPr>
        <w:t>单孔抽水试验。单位涌水量由</w:t>
      </w:r>
      <w:r>
        <w:rPr>
          <w:rFonts w:ascii="Times New Roman" w:hAnsi="Times New Roman" w:eastAsia="Times New Roman" w:cs="Times New Roman"/>
          <w:sz w:val="24"/>
          <w:szCs w:val="24"/>
          <w:spacing w:val="-3"/>
        </w:rPr>
        <w:t>0.991l/s</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，渗透系数为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0.311m/d</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。水质为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3"/>
        </w:rPr>
        <w:t>Cl·HCO</w:t>
      </w:r>
      <w:r>
        <w:rPr>
          <w:rFonts w:ascii="Times New Roman" w:hAnsi="Times New Roman" w:eastAsia="Times New Roman" w:cs="Times New Roman"/>
          <w:sz w:val="15"/>
          <w:szCs w:val="15"/>
          <w:spacing w:val="-3"/>
        </w:rPr>
        <w:t>3</w:t>
      </w:r>
      <w:r>
        <w:rPr>
          <w:rFonts w:ascii="Times New Roman" w:hAnsi="Times New Roman" w:eastAsia="Times New Roman" w:cs="Times New Roman"/>
          <w:sz w:val="24"/>
          <w:szCs w:val="24"/>
          <w:spacing w:val="-3"/>
        </w:rPr>
        <w:t>-Na</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3"/>
        </w:rPr>
        <w:t>型，矿化度为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1.493g</w:t>
      </w:r>
      <w:r>
        <w:rPr>
          <w:rFonts w:ascii="Times New Roman" w:hAnsi="Times New Roman" w:eastAsia="Times New Roman" w:cs="Times New Roman"/>
          <w:sz w:val="24"/>
          <w:szCs w:val="24"/>
          <w:spacing w:val="-4"/>
        </w:rPr>
        <w:t>/l</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，均属弱</w:t>
      </w:r>
      <w:r>
        <w:rPr>
          <w:rFonts w:ascii="SimSun" w:hAnsi="SimSun" w:eastAsia="SimSun" w:cs="SimSun"/>
          <w:sz w:val="24"/>
          <w:szCs w:val="24"/>
          <w:spacing w:val="-3"/>
        </w:rPr>
        <w:t>矿化水。</w:t>
      </w:r>
      <w:r>
        <w:rPr>
          <w:rFonts w:ascii="Times New Roman" w:hAnsi="Times New Roman" w:eastAsia="Times New Roman" w:cs="Times New Roman"/>
          <w:sz w:val="24"/>
          <w:szCs w:val="24"/>
          <w:spacing w:val="-3"/>
        </w:rPr>
        <w:t>F</w:t>
      </w:r>
      <w:r>
        <w:rPr>
          <w:rFonts w:ascii="Times New Roman" w:hAnsi="Times New Roman" w:eastAsia="Times New Roman" w:cs="Times New Roman"/>
          <w:sz w:val="15"/>
          <w:szCs w:val="15"/>
          <w:spacing w:val="-3"/>
        </w:rPr>
        <w:t>-</w:t>
      </w:r>
      <w:r>
        <w:rPr>
          <w:rFonts w:ascii="SimSun" w:hAnsi="SimSun" w:eastAsia="SimSun" w:cs="SimSun"/>
          <w:sz w:val="24"/>
          <w:szCs w:val="24"/>
          <w:spacing w:val="-3"/>
        </w:rPr>
        <w:t>含量</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0.60mg/l</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。总硬度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420.38mg/l</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，为硬水。</w:t>
      </w:r>
      <w:r>
        <w:rPr>
          <w:rFonts w:ascii="Times New Roman" w:hAnsi="Times New Roman" w:eastAsia="Times New Roman" w:cs="Times New Roman"/>
          <w:sz w:val="24"/>
          <w:szCs w:val="24"/>
          <w:spacing w:val="-3"/>
        </w:rPr>
        <w:t>PH </w:t>
      </w:r>
      <w:r>
        <w:rPr>
          <w:rFonts w:ascii="SimSun" w:hAnsi="SimSun" w:eastAsia="SimSun" w:cs="SimSun"/>
          <w:sz w:val="24"/>
          <w:szCs w:val="24"/>
          <w:spacing w:val="-3"/>
        </w:rPr>
        <w:t>值为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7.62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，属中性水。水温</w:t>
      </w:r>
      <w:r>
        <w:rPr>
          <w:rFonts w:ascii="Times New Roman" w:hAnsi="Times New Roman" w:eastAsia="Times New Roman" w:cs="Times New Roman"/>
          <w:sz w:val="24"/>
          <w:szCs w:val="24"/>
          <w:spacing w:val="-3"/>
        </w:rPr>
        <w:t>7℃</w:t>
      </w:r>
      <w:r>
        <w:rPr>
          <w:rFonts w:ascii="SimSun" w:hAnsi="SimSun" w:eastAsia="SimSun" w:cs="SimSun"/>
          <w:sz w:val="24"/>
          <w:szCs w:val="24"/>
          <w:spacing w:val="-3"/>
        </w:rPr>
        <w:t>。</w:t>
      </w:r>
    </w:p>
    <w:p>
      <w:pPr>
        <w:ind w:left="597"/>
        <w:spacing w:before="46" w:line="219" w:lineRule="auto"/>
        <w:rPr>
          <w:rFonts w:ascii="SimSun" w:hAnsi="SimSun" w:eastAsia="SimSun" w:cs="SimSun"/>
          <w:sz w:val="24"/>
          <w:szCs w:val="24"/>
        </w:rPr>
      </w:pPr>
      <w:r>
        <w:rPr>
          <w:rFonts w:ascii="SimSun" w:hAnsi="SimSun" w:eastAsia="SimSun" w:cs="SimSun"/>
          <w:sz w:val="24"/>
          <w:szCs w:val="24"/>
          <w:spacing w:val="-1"/>
        </w:rPr>
        <w:t>从上述资料分析，三煤组的富水性属于弱含水岩组。</w:t>
      </w:r>
    </w:p>
    <w:p>
      <w:pPr>
        <w:ind w:left="3809"/>
        <w:spacing w:before="283" w:line="221" w:lineRule="auto"/>
        <w:rPr>
          <w:rFonts w:ascii="SimHei" w:hAnsi="SimHei" w:eastAsia="SimHei" w:cs="SimHei"/>
          <w:sz w:val="24"/>
          <w:szCs w:val="24"/>
        </w:rPr>
      </w:pPr>
      <w:r>
        <w:rPr>
          <w:rFonts w:ascii="SimHei" w:hAnsi="SimHei" w:eastAsia="SimHei" w:cs="SimHei"/>
          <w:sz w:val="24"/>
          <w:szCs w:val="24"/>
          <w:b/>
          <w:bCs/>
          <w:spacing w:val="-4"/>
        </w:rPr>
        <w:t>抽水试验成果表</w:t>
      </w:r>
    </w:p>
    <w:p>
      <w:pPr>
        <w:ind w:left="112"/>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5-4-8</w:t>
      </w:r>
    </w:p>
    <w:p>
      <w:pPr>
        <w:spacing w:line="23" w:lineRule="exact"/>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60"/>
        <w:gridCol w:w="2998"/>
        <w:gridCol w:w="1744"/>
        <w:gridCol w:w="1161"/>
        <w:gridCol w:w="2324"/>
      </w:tblGrid>
      <w:tr>
        <w:trPr>
          <w:trHeight w:val="650" w:hRule="atLeast"/>
        </w:trPr>
        <w:tc>
          <w:tcPr>
            <w:tcW w:w="1060" w:type="dxa"/>
            <w:vAlign w:val="top"/>
          </w:tcPr>
          <w:p>
            <w:pPr>
              <w:ind w:left="325"/>
              <w:spacing w:before="218" w:line="229" w:lineRule="auto"/>
              <w:rPr>
                <w:rFonts w:ascii="SimSun" w:hAnsi="SimSun" w:eastAsia="SimSun" w:cs="SimSun"/>
                <w:sz w:val="20"/>
                <w:szCs w:val="20"/>
              </w:rPr>
            </w:pPr>
            <w:r>
              <w:rPr>
                <w:rFonts w:ascii="SimSun" w:hAnsi="SimSun" w:eastAsia="SimSun" w:cs="SimSun"/>
                <w:sz w:val="20"/>
                <w:szCs w:val="20"/>
                <w:spacing w:val="4"/>
              </w:rPr>
              <w:t>孔号</w:t>
            </w:r>
          </w:p>
        </w:tc>
        <w:tc>
          <w:tcPr>
            <w:tcW w:w="2998" w:type="dxa"/>
            <w:vAlign w:val="top"/>
          </w:tcPr>
          <w:p>
            <w:pPr>
              <w:ind w:left="1083"/>
              <w:spacing w:before="218" w:line="228" w:lineRule="auto"/>
              <w:rPr>
                <w:rFonts w:ascii="SimSun" w:hAnsi="SimSun" w:eastAsia="SimSun" w:cs="SimSun"/>
                <w:sz w:val="20"/>
                <w:szCs w:val="20"/>
              </w:rPr>
            </w:pPr>
            <w:r>
              <w:rPr>
                <w:rFonts w:ascii="SimSun" w:hAnsi="SimSun" w:eastAsia="SimSun" w:cs="SimSun"/>
                <w:sz w:val="20"/>
                <w:szCs w:val="20"/>
                <w:spacing w:val="7"/>
              </w:rPr>
              <w:t>抽水层位</w:t>
            </w:r>
          </w:p>
        </w:tc>
        <w:tc>
          <w:tcPr>
            <w:tcW w:w="1744" w:type="dxa"/>
            <w:vAlign w:val="top"/>
          </w:tcPr>
          <w:p>
            <w:pPr>
              <w:ind w:left="353"/>
              <w:spacing w:before="55" w:line="228" w:lineRule="auto"/>
              <w:rPr>
                <w:rFonts w:ascii="SimSun" w:hAnsi="SimSun" w:eastAsia="SimSun" w:cs="SimSun"/>
                <w:sz w:val="20"/>
                <w:szCs w:val="20"/>
              </w:rPr>
            </w:pPr>
            <w:r>
              <w:rPr>
                <w:rFonts w:ascii="SimSun" w:hAnsi="SimSun" w:eastAsia="SimSun" w:cs="SimSun"/>
                <w:sz w:val="20"/>
                <w:szCs w:val="20"/>
                <w:spacing w:val="7"/>
              </w:rPr>
              <w:t>单位涌水量</w:t>
            </w:r>
          </w:p>
          <w:p>
            <w:pPr>
              <w:pStyle w:val="TableText"/>
              <w:ind w:left="591"/>
              <w:spacing w:before="111" w:line="201" w:lineRule="auto"/>
              <w:rPr/>
            </w:pPr>
            <w:r>
              <w:rPr>
                <w:spacing w:val="-2"/>
              </w:rPr>
              <w:t>(l/s</w:t>
            </w:r>
            <w:r>
              <w:rPr>
                <w:spacing w:val="-22"/>
              </w:rPr>
              <w:t xml:space="preserve"> </w:t>
            </w:r>
            <w:r>
              <w:rPr>
                <w:spacing w:val="-2"/>
              </w:rPr>
              <w:t>·m)</w:t>
            </w:r>
          </w:p>
        </w:tc>
        <w:tc>
          <w:tcPr>
            <w:tcW w:w="1161" w:type="dxa"/>
            <w:vAlign w:val="top"/>
          </w:tcPr>
          <w:p>
            <w:pPr>
              <w:pStyle w:val="TableText"/>
              <w:ind w:left="352" w:right="158" w:hanging="184"/>
              <w:spacing w:before="56" w:line="286" w:lineRule="auto"/>
              <w:rPr/>
            </w:pPr>
            <w:r>
              <w:rPr>
                <w:rFonts w:ascii="SimSun" w:hAnsi="SimSun" w:eastAsia="SimSun" w:cs="SimSun"/>
                <w:spacing w:val="7"/>
              </w:rPr>
              <w:t>渗透系数</w:t>
            </w:r>
            <w:r>
              <w:rPr>
                <w:spacing w:val="2"/>
              </w:rPr>
              <w:t>(m/d)</w:t>
            </w:r>
          </w:p>
        </w:tc>
        <w:tc>
          <w:tcPr>
            <w:tcW w:w="2324" w:type="dxa"/>
            <w:vAlign w:val="top"/>
          </w:tcPr>
          <w:p>
            <w:pPr>
              <w:ind w:left="960"/>
              <w:spacing w:before="218"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4" w:hRule="atLeast"/>
        </w:trPr>
        <w:tc>
          <w:tcPr>
            <w:tcW w:w="1060" w:type="dxa"/>
            <w:vAlign w:val="top"/>
          </w:tcPr>
          <w:p>
            <w:pPr>
              <w:pStyle w:val="TableText"/>
              <w:ind w:left="449"/>
              <w:spacing w:before="93" w:line="195" w:lineRule="auto"/>
              <w:rPr/>
            </w:pPr>
            <w:r>
              <w:rPr>
                <w:spacing w:val="-7"/>
              </w:rPr>
              <w:t>1a</w:t>
            </w:r>
          </w:p>
        </w:tc>
        <w:tc>
          <w:tcPr>
            <w:tcW w:w="2998" w:type="dxa"/>
            <w:vAlign w:val="top"/>
          </w:tcPr>
          <w:p>
            <w:pPr>
              <w:ind w:left="769"/>
              <w:spacing w:before="57" w:line="228" w:lineRule="auto"/>
              <w:rPr>
                <w:rFonts w:ascii="SimSun" w:hAnsi="SimSun" w:eastAsia="SimSun" w:cs="SimSun"/>
                <w:sz w:val="20"/>
                <w:szCs w:val="20"/>
              </w:rPr>
            </w:pPr>
            <w:r>
              <w:rPr>
                <w:rFonts w:ascii="SimSun" w:hAnsi="SimSun" w:eastAsia="SimSun" w:cs="SimSun"/>
                <w:sz w:val="20"/>
                <w:szCs w:val="20"/>
                <w:spacing w:val="8"/>
              </w:rPr>
              <w:t>第四系孔隙潜水</w:t>
            </w:r>
          </w:p>
        </w:tc>
        <w:tc>
          <w:tcPr>
            <w:tcW w:w="1744" w:type="dxa"/>
            <w:vAlign w:val="top"/>
          </w:tcPr>
          <w:p>
            <w:pPr>
              <w:pStyle w:val="TableText"/>
              <w:ind w:left="641"/>
              <w:spacing w:before="93" w:line="195" w:lineRule="auto"/>
              <w:rPr/>
            </w:pPr>
            <w:r>
              <w:rPr>
                <w:spacing w:val="3"/>
              </w:rPr>
              <w:t>0.635</w:t>
            </w:r>
          </w:p>
        </w:tc>
        <w:tc>
          <w:tcPr>
            <w:tcW w:w="1161" w:type="dxa"/>
            <w:vAlign w:val="top"/>
          </w:tcPr>
          <w:p>
            <w:pPr>
              <w:pStyle w:val="TableText"/>
              <w:ind w:left="366"/>
              <w:spacing w:before="93" w:line="195" w:lineRule="auto"/>
              <w:rPr/>
            </w:pPr>
            <w:r>
              <w:rPr>
                <w:spacing w:val="-1"/>
              </w:rPr>
              <w:t>16.66</w:t>
            </w:r>
          </w:p>
        </w:tc>
        <w:tc>
          <w:tcPr>
            <w:tcW w:w="2324" w:type="dxa"/>
            <w:vAlign w:val="top"/>
          </w:tcPr>
          <w:p>
            <w:pPr>
              <w:ind w:left="772"/>
              <w:spacing w:before="57" w:line="228" w:lineRule="auto"/>
              <w:rPr>
                <w:rFonts w:ascii="SimSun" w:hAnsi="SimSun" w:eastAsia="SimSun" w:cs="SimSun"/>
                <w:sz w:val="20"/>
                <w:szCs w:val="20"/>
              </w:rPr>
            </w:pPr>
            <w:r>
              <w:rPr>
                <w:rFonts w:ascii="SimSun" w:hAnsi="SimSun" w:eastAsia="SimSun" w:cs="SimSun"/>
                <w:sz w:val="20"/>
                <w:szCs w:val="20"/>
                <w:spacing w:val="1"/>
              </w:rPr>
              <w:t>以往多孔</w:t>
            </w:r>
          </w:p>
        </w:tc>
      </w:tr>
      <w:tr>
        <w:trPr>
          <w:trHeight w:val="325" w:hRule="atLeast"/>
        </w:trPr>
        <w:tc>
          <w:tcPr>
            <w:tcW w:w="1060" w:type="dxa"/>
            <w:vAlign w:val="top"/>
          </w:tcPr>
          <w:p>
            <w:pPr>
              <w:pStyle w:val="TableText"/>
              <w:ind w:left="416"/>
              <w:spacing w:before="98" w:line="192" w:lineRule="auto"/>
              <w:rPr/>
            </w:pPr>
            <w:r>
              <w:rPr>
                <w:spacing w:val="2"/>
              </w:rPr>
              <w:t>Ea</w:t>
            </w:r>
          </w:p>
        </w:tc>
        <w:tc>
          <w:tcPr>
            <w:tcW w:w="2998" w:type="dxa"/>
            <w:vAlign w:val="top"/>
          </w:tcPr>
          <w:p>
            <w:pPr>
              <w:ind w:left="769"/>
              <w:spacing w:before="59" w:line="228" w:lineRule="auto"/>
              <w:rPr>
                <w:rFonts w:ascii="SimSun" w:hAnsi="SimSun" w:eastAsia="SimSun" w:cs="SimSun"/>
                <w:sz w:val="20"/>
                <w:szCs w:val="20"/>
              </w:rPr>
            </w:pPr>
            <w:r>
              <w:rPr>
                <w:rFonts w:ascii="SimSun" w:hAnsi="SimSun" w:eastAsia="SimSun" w:cs="SimSun"/>
                <w:sz w:val="20"/>
                <w:szCs w:val="20"/>
                <w:spacing w:val="8"/>
              </w:rPr>
              <w:t>第四系孔隙潜水</w:t>
            </w:r>
          </w:p>
        </w:tc>
        <w:tc>
          <w:tcPr>
            <w:tcW w:w="1744" w:type="dxa"/>
            <w:vAlign w:val="top"/>
          </w:tcPr>
          <w:p>
            <w:pPr>
              <w:pStyle w:val="TableText"/>
              <w:ind w:left="641"/>
              <w:spacing w:before="96" w:line="195" w:lineRule="auto"/>
              <w:rPr/>
            </w:pPr>
            <w:r>
              <w:rPr>
                <w:spacing w:val="3"/>
              </w:rPr>
              <w:t>0.901</w:t>
            </w:r>
          </w:p>
        </w:tc>
        <w:tc>
          <w:tcPr>
            <w:tcW w:w="1161" w:type="dxa"/>
            <w:vAlign w:val="top"/>
          </w:tcPr>
          <w:p>
            <w:pPr>
              <w:pStyle w:val="TableText"/>
              <w:ind w:left="366"/>
              <w:spacing w:before="96" w:line="195" w:lineRule="auto"/>
              <w:rPr/>
            </w:pPr>
            <w:r>
              <w:rPr>
                <w:spacing w:val="-1"/>
              </w:rPr>
              <w:t>18.34</w:t>
            </w:r>
          </w:p>
        </w:tc>
        <w:tc>
          <w:tcPr>
            <w:tcW w:w="2324" w:type="dxa"/>
            <w:vAlign w:val="top"/>
          </w:tcPr>
          <w:p>
            <w:pPr>
              <w:ind w:left="772"/>
              <w:spacing w:before="59" w:line="228" w:lineRule="auto"/>
              <w:rPr>
                <w:rFonts w:ascii="SimSun" w:hAnsi="SimSun" w:eastAsia="SimSun" w:cs="SimSun"/>
                <w:sz w:val="20"/>
                <w:szCs w:val="20"/>
              </w:rPr>
            </w:pPr>
            <w:r>
              <w:rPr>
                <w:rFonts w:ascii="SimSun" w:hAnsi="SimSun" w:eastAsia="SimSun" w:cs="SimSun"/>
                <w:sz w:val="20"/>
                <w:szCs w:val="20"/>
                <w:spacing w:val="1"/>
              </w:rPr>
              <w:t>以往多孔</w:t>
            </w:r>
          </w:p>
        </w:tc>
      </w:tr>
    </w:tbl>
    <w:p>
      <w:pPr>
        <w:pStyle w:val="BodyText"/>
        <w:spacing w:line="87" w:lineRule="exact"/>
        <w:rPr>
          <w:sz w:val="7"/>
        </w:rPr>
      </w:pPr>
      <w:r/>
    </w:p>
    <w:p>
      <w:pPr>
        <w:spacing w:line="87" w:lineRule="exact"/>
        <w:sectPr>
          <w:headerReference w:type="default" r:id="rId424"/>
          <w:footerReference w:type="default" r:id="rId425"/>
          <w:pgSz w:w="11906" w:h="16838"/>
          <w:pgMar w:top="1170" w:right="1302" w:bottom="1080" w:left="1310" w:header="837" w:footer="918" w:gutter="0"/>
        </w:sectPr>
        <w:rPr>
          <w:sz w:val="7"/>
          <w:szCs w:val="7"/>
        </w:rPr>
      </w:pPr>
    </w:p>
    <w:p>
      <w:pPr>
        <w:spacing w:before="6"/>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60"/>
        <w:gridCol w:w="2998"/>
        <w:gridCol w:w="1744"/>
        <w:gridCol w:w="1161"/>
        <w:gridCol w:w="2324"/>
      </w:tblGrid>
      <w:tr>
        <w:trPr>
          <w:trHeight w:val="653" w:hRule="atLeast"/>
        </w:trPr>
        <w:tc>
          <w:tcPr>
            <w:tcW w:w="1060" w:type="dxa"/>
            <w:vAlign w:val="top"/>
          </w:tcPr>
          <w:p>
            <w:pPr>
              <w:ind w:left="325"/>
              <w:spacing w:before="221" w:line="229" w:lineRule="auto"/>
              <w:rPr>
                <w:rFonts w:ascii="SimSun" w:hAnsi="SimSun" w:eastAsia="SimSun" w:cs="SimSun"/>
                <w:sz w:val="20"/>
                <w:szCs w:val="20"/>
              </w:rPr>
            </w:pPr>
            <w:r>
              <w:rPr>
                <w:rFonts w:ascii="SimSun" w:hAnsi="SimSun" w:eastAsia="SimSun" w:cs="SimSun"/>
                <w:sz w:val="20"/>
                <w:szCs w:val="20"/>
                <w:spacing w:val="4"/>
              </w:rPr>
              <w:t>孔号</w:t>
            </w:r>
          </w:p>
        </w:tc>
        <w:tc>
          <w:tcPr>
            <w:tcW w:w="2998" w:type="dxa"/>
            <w:vAlign w:val="top"/>
          </w:tcPr>
          <w:p>
            <w:pPr>
              <w:ind w:left="1083"/>
              <w:spacing w:before="220" w:line="228" w:lineRule="auto"/>
              <w:rPr>
                <w:rFonts w:ascii="SimSun" w:hAnsi="SimSun" w:eastAsia="SimSun" w:cs="SimSun"/>
                <w:sz w:val="20"/>
                <w:szCs w:val="20"/>
              </w:rPr>
            </w:pPr>
            <w:r>
              <w:rPr>
                <w:rFonts w:ascii="SimSun" w:hAnsi="SimSun" w:eastAsia="SimSun" w:cs="SimSun"/>
                <w:sz w:val="20"/>
                <w:szCs w:val="20"/>
                <w:spacing w:val="7"/>
              </w:rPr>
              <w:t>抽水层位</w:t>
            </w:r>
          </w:p>
        </w:tc>
        <w:tc>
          <w:tcPr>
            <w:tcW w:w="1744" w:type="dxa"/>
            <w:vAlign w:val="top"/>
          </w:tcPr>
          <w:p>
            <w:pPr>
              <w:ind w:left="353"/>
              <w:spacing w:before="57" w:line="228" w:lineRule="auto"/>
              <w:rPr>
                <w:rFonts w:ascii="SimSun" w:hAnsi="SimSun" w:eastAsia="SimSun" w:cs="SimSun"/>
                <w:sz w:val="20"/>
                <w:szCs w:val="20"/>
              </w:rPr>
            </w:pPr>
            <w:r>
              <w:rPr>
                <w:rFonts w:ascii="SimSun" w:hAnsi="SimSun" w:eastAsia="SimSun" w:cs="SimSun"/>
                <w:sz w:val="20"/>
                <w:szCs w:val="20"/>
                <w:spacing w:val="7"/>
              </w:rPr>
              <w:t>单位涌水量</w:t>
            </w:r>
          </w:p>
          <w:p>
            <w:pPr>
              <w:pStyle w:val="TableText"/>
              <w:ind w:left="591"/>
              <w:spacing w:before="109" w:line="201" w:lineRule="auto"/>
              <w:rPr/>
            </w:pPr>
            <w:r>
              <w:rPr>
                <w:spacing w:val="-2"/>
              </w:rPr>
              <w:t>(l/s</w:t>
            </w:r>
            <w:r>
              <w:rPr>
                <w:spacing w:val="-22"/>
              </w:rPr>
              <w:t xml:space="preserve"> </w:t>
            </w:r>
            <w:r>
              <w:rPr>
                <w:spacing w:val="-2"/>
              </w:rPr>
              <w:t>·m)</w:t>
            </w:r>
          </w:p>
        </w:tc>
        <w:tc>
          <w:tcPr>
            <w:tcW w:w="1161" w:type="dxa"/>
            <w:vAlign w:val="top"/>
          </w:tcPr>
          <w:p>
            <w:pPr>
              <w:pStyle w:val="TableText"/>
              <w:ind w:left="352" w:right="158" w:hanging="184"/>
              <w:spacing w:before="57" w:line="287" w:lineRule="auto"/>
              <w:rPr/>
            </w:pPr>
            <w:r>
              <w:rPr>
                <w:rFonts w:ascii="SimSun" w:hAnsi="SimSun" w:eastAsia="SimSun" w:cs="SimSun"/>
                <w:spacing w:val="7"/>
              </w:rPr>
              <w:t>渗透系数</w:t>
            </w:r>
            <w:r>
              <w:rPr>
                <w:spacing w:val="2"/>
              </w:rPr>
              <w:t>(m/d)</w:t>
            </w:r>
          </w:p>
        </w:tc>
        <w:tc>
          <w:tcPr>
            <w:tcW w:w="2324" w:type="dxa"/>
            <w:vAlign w:val="top"/>
          </w:tcPr>
          <w:p>
            <w:pPr>
              <w:ind w:left="960"/>
              <w:spacing w:before="221"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25" w:hRule="atLeast"/>
        </w:trPr>
        <w:tc>
          <w:tcPr>
            <w:tcW w:w="1060" w:type="dxa"/>
            <w:vAlign w:val="top"/>
          </w:tcPr>
          <w:p>
            <w:pPr>
              <w:pStyle w:val="TableText"/>
              <w:ind w:left="398"/>
              <w:spacing w:before="90" w:line="195" w:lineRule="auto"/>
              <w:rPr/>
            </w:pPr>
            <w:r>
              <w:rPr>
                <w:spacing w:val="-1"/>
              </w:rPr>
              <w:t>8-5</w:t>
            </w:r>
          </w:p>
        </w:tc>
        <w:tc>
          <w:tcPr>
            <w:tcW w:w="2998" w:type="dxa"/>
            <w:vAlign w:val="top"/>
          </w:tcPr>
          <w:p>
            <w:pPr>
              <w:ind w:left="247"/>
              <w:spacing w:before="54" w:line="228" w:lineRule="auto"/>
              <w:rPr>
                <w:rFonts w:ascii="SimSun" w:hAnsi="SimSun" w:eastAsia="SimSun" w:cs="SimSun"/>
                <w:sz w:val="20"/>
                <w:szCs w:val="20"/>
              </w:rPr>
            </w:pPr>
            <w:r>
              <w:rPr>
                <w:rFonts w:ascii="SimSun" w:hAnsi="SimSun" w:eastAsia="SimSun" w:cs="SimSun"/>
                <w:sz w:val="20"/>
                <w:szCs w:val="20"/>
                <w:spacing w:val="8"/>
              </w:rPr>
              <w:t>二煤组含水岩组承压裂隙水</w:t>
            </w:r>
          </w:p>
        </w:tc>
        <w:tc>
          <w:tcPr>
            <w:tcW w:w="1744" w:type="dxa"/>
            <w:vAlign w:val="top"/>
          </w:tcPr>
          <w:p>
            <w:pPr>
              <w:pStyle w:val="TableText"/>
              <w:ind w:left="482"/>
              <w:spacing w:before="90" w:line="195" w:lineRule="auto"/>
              <w:rPr/>
            </w:pPr>
            <w:r>
              <w:rPr>
                <w:spacing w:val="3"/>
              </w:rPr>
              <w:t>0.000073</w:t>
            </w:r>
          </w:p>
        </w:tc>
        <w:tc>
          <w:tcPr>
            <w:tcW w:w="1161" w:type="dxa"/>
            <w:vAlign w:val="top"/>
          </w:tcPr>
          <w:p>
            <w:pPr>
              <w:pStyle w:val="TableText"/>
              <w:ind w:left="195"/>
              <w:spacing w:before="90" w:line="195" w:lineRule="auto"/>
              <w:rPr/>
            </w:pPr>
            <w:r>
              <w:rPr>
                <w:spacing w:val="2"/>
              </w:rPr>
              <w:t>0.001143</w:t>
            </w:r>
          </w:p>
        </w:tc>
        <w:tc>
          <w:tcPr>
            <w:tcW w:w="2324" w:type="dxa"/>
            <w:vAlign w:val="top"/>
          </w:tcPr>
          <w:p>
            <w:pPr>
              <w:ind w:left="772"/>
              <w:spacing w:before="54" w:line="228" w:lineRule="auto"/>
              <w:rPr>
                <w:rFonts w:ascii="SimSun" w:hAnsi="SimSun" w:eastAsia="SimSun" w:cs="SimSun"/>
                <w:sz w:val="20"/>
                <w:szCs w:val="20"/>
              </w:rPr>
            </w:pPr>
            <w:r>
              <w:rPr>
                <w:rFonts w:ascii="SimSun" w:hAnsi="SimSun" w:eastAsia="SimSun" w:cs="SimSun"/>
                <w:sz w:val="20"/>
                <w:szCs w:val="20"/>
                <w:spacing w:val="1"/>
              </w:rPr>
              <w:t>以往单孔</w:t>
            </w:r>
          </w:p>
        </w:tc>
      </w:tr>
      <w:tr>
        <w:trPr>
          <w:trHeight w:val="326" w:hRule="atLeast"/>
        </w:trPr>
        <w:tc>
          <w:tcPr>
            <w:tcW w:w="1060" w:type="dxa"/>
            <w:vAlign w:val="top"/>
          </w:tcPr>
          <w:p>
            <w:pPr>
              <w:pStyle w:val="TableText"/>
              <w:ind w:left="305"/>
              <w:spacing w:before="92" w:line="195" w:lineRule="auto"/>
              <w:rPr/>
            </w:pPr>
            <w:r>
              <w:rPr>
                <w:spacing w:val="-1"/>
              </w:rPr>
              <w:t>12-10</w:t>
            </w:r>
          </w:p>
        </w:tc>
        <w:tc>
          <w:tcPr>
            <w:tcW w:w="2998" w:type="dxa"/>
            <w:vAlign w:val="top"/>
          </w:tcPr>
          <w:p>
            <w:pPr>
              <w:ind w:left="247"/>
              <w:spacing w:before="55" w:line="228" w:lineRule="auto"/>
              <w:rPr>
                <w:rFonts w:ascii="SimSun" w:hAnsi="SimSun" w:eastAsia="SimSun" w:cs="SimSun"/>
                <w:sz w:val="20"/>
                <w:szCs w:val="20"/>
              </w:rPr>
            </w:pPr>
            <w:r>
              <w:rPr>
                <w:rFonts w:ascii="SimSun" w:hAnsi="SimSun" w:eastAsia="SimSun" w:cs="SimSun"/>
                <w:sz w:val="20"/>
                <w:szCs w:val="20"/>
                <w:spacing w:val="8"/>
              </w:rPr>
              <w:t>一煤组含水岩组承压裂隙水</w:t>
            </w:r>
          </w:p>
        </w:tc>
        <w:tc>
          <w:tcPr>
            <w:tcW w:w="1744" w:type="dxa"/>
            <w:vAlign w:val="top"/>
          </w:tcPr>
          <w:p>
            <w:pPr>
              <w:pStyle w:val="TableText"/>
              <w:ind w:left="694"/>
              <w:spacing w:before="92" w:line="195" w:lineRule="auto"/>
              <w:rPr/>
            </w:pPr>
            <w:r>
              <w:rPr>
                <w:spacing w:val="2"/>
              </w:rPr>
              <w:t>0.03</w:t>
            </w:r>
          </w:p>
        </w:tc>
        <w:tc>
          <w:tcPr>
            <w:tcW w:w="1161" w:type="dxa"/>
            <w:vAlign w:val="top"/>
          </w:tcPr>
          <w:p>
            <w:pPr>
              <w:pStyle w:val="TableText"/>
              <w:ind w:left="294"/>
              <w:spacing w:before="92" w:line="195" w:lineRule="auto"/>
              <w:rPr/>
            </w:pPr>
            <w:r>
              <w:rPr>
                <w:spacing w:val="3"/>
              </w:rPr>
              <w:t>0.0534</w:t>
            </w:r>
          </w:p>
        </w:tc>
        <w:tc>
          <w:tcPr>
            <w:tcW w:w="2324" w:type="dxa"/>
            <w:vAlign w:val="top"/>
          </w:tcPr>
          <w:p>
            <w:pPr>
              <w:ind w:left="748"/>
              <w:spacing w:before="55" w:line="228" w:lineRule="auto"/>
              <w:rPr>
                <w:rFonts w:ascii="SimSun" w:hAnsi="SimSun" w:eastAsia="SimSun" w:cs="SimSun"/>
                <w:sz w:val="20"/>
                <w:szCs w:val="20"/>
              </w:rPr>
            </w:pPr>
            <w:r>
              <w:rPr>
                <w:rFonts w:ascii="SimSun" w:hAnsi="SimSun" w:eastAsia="SimSun" w:cs="SimSun"/>
                <w:sz w:val="20"/>
                <w:szCs w:val="20"/>
                <w:spacing w:val="7"/>
              </w:rPr>
              <w:t>补勘单孔</w:t>
            </w:r>
          </w:p>
        </w:tc>
      </w:tr>
      <w:tr>
        <w:trPr>
          <w:trHeight w:val="325" w:hRule="atLeast"/>
        </w:trPr>
        <w:tc>
          <w:tcPr>
            <w:tcW w:w="1060" w:type="dxa"/>
            <w:vAlign w:val="top"/>
          </w:tcPr>
          <w:p>
            <w:pPr>
              <w:pStyle w:val="TableText"/>
              <w:ind w:left="342"/>
              <w:spacing w:before="92" w:line="195" w:lineRule="auto"/>
              <w:rPr/>
            </w:pPr>
            <w:r>
              <w:rPr>
                <w:spacing w:val="1"/>
              </w:rPr>
              <w:t>6-20</w:t>
            </w:r>
          </w:p>
        </w:tc>
        <w:tc>
          <w:tcPr>
            <w:tcW w:w="2998" w:type="dxa"/>
            <w:vAlign w:val="top"/>
          </w:tcPr>
          <w:p>
            <w:pPr>
              <w:ind w:left="247"/>
              <w:spacing w:before="56" w:line="228" w:lineRule="auto"/>
              <w:rPr>
                <w:rFonts w:ascii="SimSun" w:hAnsi="SimSun" w:eastAsia="SimSun" w:cs="SimSun"/>
                <w:sz w:val="20"/>
                <w:szCs w:val="20"/>
              </w:rPr>
            </w:pPr>
            <w:r>
              <w:rPr>
                <w:rFonts w:ascii="SimSun" w:hAnsi="SimSun" w:eastAsia="SimSun" w:cs="SimSun"/>
                <w:sz w:val="20"/>
                <w:szCs w:val="20"/>
                <w:spacing w:val="8"/>
              </w:rPr>
              <w:t>一煤组含水岩组承压裂隙水</w:t>
            </w:r>
          </w:p>
        </w:tc>
        <w:tc>
          <w:tcPr>
            <w:tcW w:w="1744" w:type="dxa"/>
            <w:vAlign w:val="top"/>
          </w:tcPr>
          <w:p>
            <w:pPr>
              <w:pStyle w:val="TableText"/>
              <w:ind w:left="586"/>
              <w:spacing w:before="92" w:line="195" w:lineRule="auto"/>
              <w:rPr/>
            </w:pPr>
            <w:r>
              <w:rPr>
                <w:spacing w:val="3"/>
              </w:rPr>
              <w:t>0.0022</w:t>
            </w:r>
          </w:p>
        </w:tc>
        <w:tc>
          <w:tcPr>
            <w:tcW w:w="1161" w:type="dxa"/>
            <w:vAlign w:val="top"/>
          </w:tcPr>
          <w:p>
            <w:pPr>
              <w:pStyle w:val="TableText"/>
              <w:ind w:left="294"/>
              <w:spacing w:before="92" w:line="195" w:lineRule="auto"/>
              <w:rPr/>
            </w:pPr>
            <w:r>
              <w:rPr>
                <w:spacing w:val="3"/>
              </w:rPr>
              <w:t>0.0388</w:t>
            </w:r>
          </w:p>
        </w:tc>
        <w:tc>
          <w:tcPr>
            <w:tcW w:w="2324" w:type="dxa"/>
            <w:vAlign w:val="top"/>
          </w:tcPr>
          <w:p>
            <w:pPr>
              <w:pStyle w:val="TableText"/>
              <w:ind w:left="821"/>
              <w:spacing w:before="56" w:line="228" w:lineRule="auto"/>
              <w:rPr>
                <w:rFonts w:ascii="SimSun" w:hAnsi="SimSun" w:eastAsia="SimSun" w:cs="SimSun"/>
              </w:rPr>
            </w:pPr>
            <w:r>
              <w:rPr>
                <w:spacing w:val="3"/>
              </w:rPr>
              <w:t>2014</w:t>
            </w:r>
            <w:r>
              <w:rPr>
                <w:spacing w:val="11"/>
              </w:rPr>
              <w:t xml:space="preserve"> </w:t>
            </w:r>
            <w:r>
              <w:rPr>
                <w:rFonts w:ascii="SimSun" w:hAnsi="SimSun" w:eastAsia="SimSun" w:cs="SimSun"/>
                <w:spacing w:val="3"/>
              </w:rPr>
              <w:t>年</w:t>
            </w:r>
          </w:p>
        </w:tc>
      </w:tr>
      <w:tr>
        <w:trPr>
          <w:trHeight w:val="328" w:hRule="atLeast"/>
        </w:trPr>
        <w:tc>
          <w:tcPr>
            <w:tcW w:w="1060" w:type="dxa"/>
            <w:vAlign w:val="top"/>
          </w:tcPr>
          <w:p>
            <w:pPr>
              <w:pStyle w:val="TableText"/>
              <w:ind w:left="305"/>
              <w:spacing w:before="93" w:line="195" w:lineRule="auto"/>
              <w:rPr/>
            </w:pPr>
            <w:r>
              <w:rPr>
                <w:spacing w:val="-1"/>
              </w:rPr>
              <w:t>16-14</w:t>
            </w:r>
          </w:p>
        </w:tc>
        <w:tc>
          <w:tcPr>
            <w:tcW w:w="2998" w:type="dxa"/>
            <w:vAlign w:val="top"/>
          </w:tcPr>
          <w:p>
            <w:pPr>
              <w:ind w:left="247"/>
              <w:spacing w:before="57" w:line="228" w:lineRule="auto"/>
              <w:rPr>
                <w:rFonts w:ascii="SimSun" w:hAnsi="SimSun" w:eastAsia="SimSun" w:cs="SimSun"/>
                <w:sz w:val="20"/>
                <w:szCs w:val="20"/>
              </w:rPr>
            </w:pPr>
            <w:r>
              <w:rPr>
                <w:rFonts w:ascii="SimSun" w:hAnsi="SimSun" w:eastAsia="SimSun" w:cs="SimSun"/>
                <w:sz w:val="20"/>
                <w:szCs w:val="20"/>
                <w:spacing w:val="8"/>
              </w:rPr>
              <w:t>一煤组含水岩组承压裂隙水</w:t>
            </w:r>
          </w:p>
        </w:tc>
        <w:tc>
          <w:tcPr>
            <w:tcW w:w="1744" w:type="dxa"/>
            <w:vAlign w:val="top"/>
          </w:tcPr>
          <w:p>
            <w:pPr>
              <w:pStyle w:val="TableText"/>
              <w:ind w:left="586"/>
              <w:spacing w:before="93" w:line="195" w:lineRule="auto"/>
              <w:rPr/>
            </w:pPr>
            <w:r>
              <w:rPr>
                <w:spacing w:val="3"/>
              </w:rPr>
              <w:t>0.0025</w:t>
            </w:r>
          </w:p>
        </w:tc>
        <w:tc>
          <w:tcPr>
            <w:tcW w:w="1161" w:type="dxa"/>
            <w:vAlign w:val="top"/>
          </w:tcPr>
          <w:p>
            <w:pPr>
              <w:pStyle w:val="TableText"/>
              <w:ind w:left="294"/>
              <w:spacing w:before="93" w:line="195" w:lineRule="auto"/>
              <w:rPr/>
            </w:pPr>
            <w:r>
              <w:rPr>
                <w:spacing w:val="3"/>
              </w:rPr>
              <w:t>0.0305</w:t>
            </w:r>
          </w:p>
        </w:tc>
        <w:tc>
          <w:tcPr>
            <w:tcW w:w="2324" w:type="dxa"/>
            <w:vAlign w:val="top"/>
          </w:tcPr>
          <w:p>
            <w:pPr>
              <w:pStyle w:val="TableText"/>
              <w:ind w:left="821"/>
              <w:spacing w:before="57" w:line="228" w:lineRule="auto"/>
              <w:rPr>
                <w:rFonts w:ascii="SimSun" w:hAnsi="SimSun" w:eastAsia="SimSun" w:cs="SimSun"/>
              </w:rPr>
            </w:pPr>
            <w:r>
              <w:rPr>
                <w:spacing w:val="3"/>
              </w:rPr>
              <w:t>2014</w:t>
            </w:r>
            <w:r>
              <w:rPr>
                <w:spacing w:val="11"/>
              </w:rPr>
              <w:t xml:space="preserve"> </w:t>
            </w:r>
            <w:r>
              <w:rPr>
                <w:rFonts w:ascii="SimSun" w:hAnsi="SimSun" w:eastAsia="SimSun" w:cs="SimSun"/>
                <w:spacing w:val="3"/>
              </w:rPr>
              <w:t>年</w:t>
            </w:r>
          </w:p>
        </w:tc>
      </w:tr>
    </w:tbl>
    <w:p>
      <w:pPr>
        <w:pStyle w:val="BodyText"/>
        <w:spacing w:line="251" w:lineRule="auto"/>
        <w:rPr/>
      </w:pPr>
      <w:r/>
    </w:p>
    <w:p>
      <w:pPr>
        <w:pStyle w:val="BodyText"/>
        <w:spacing w:line="251" w:lineRule="auto"/>
        <w:rPr/>
      </w:pPr>
      <w:r/>
    </w:p>
    <w:p>
      <w:pPr>
        <w:ind w:left="590"/>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、隔水层</w:t>
      </w:r>
    </w:p>
    <w:p>
      <w:pPr>
        <w:ind w:left="114" w:right="122" w:firstLine="483"/>
        <w:spacing w:before="155" w:line="332" w:lineRule="auto"/>
        <w:rPr>
          <w:rFonts w:ascii="SimSun" w:hAnsi="SimSun" w:eastAsia="SimSun" w:cs="SimSun"/>
          <w:sz w:val="24"/>
          <w:szCs w:val="24"/>
        </w:rPr>
      </w:pPr>
      <w:r>
        <w:rPr>
          <w:rFonts w:ascii="SimSun" w:hAnsi="SimSun" w:eastAsia="SimSun" w:cs="SimSun"/>
          <w:sz w:val="24"/>
          <w:szCs w:val="24"/>
        </w:rPr>
        <w:t>该井田分布有三个隔水层</w:t>
      </w:r>
      <w:r>
        <w:rPr>
          <w:rFonts w:ascii="Times New Roman" w:hAnsi="Times New Roman" w:eastAsia="Times New Roman" w:cs="Times New Roman"/>
          <w:sz w:val="24"/>
          <w:szCs w:val="24"/>
        </w:rPr>
        <w:t>(</w:t>
      </w:r>
      <w:r>
        <w:rPr>
          <w:rFonts w:ascii="SimSun" w:hAnsi="SimSun" w:eastAsia="SimSun" w:cs="SimSun"/>
          <w:sz w:val="24"/>
          <w:szCs w:val="24"/>
        </w:rPr>
        <w:t>岩组</w:t>
      </w:r>
      <w:r>
        <w:rPr>
          <w:rFonts w:ascii="Times New Roman" w:hAnsi="Times New Roman" w:eastAsia="Times New Roman" w:cs="Times New Roman"/>
          <w:sz w:val="24"/>
          <w:szCs w:val="24"/>
        </w:rPr>
        <w:t>)</w:t>
      </w:r>
      <w:r>
        <w:rPr>
          <w:rFonts w:ascii="SimSun" w:hAnsi="SimSun" w:eastAsia="SimSun" w:cs="SimSun"/>
          <w:sz w:val="24"/>
          <w:szCs w:val="24"/>
        </w:rPr>
        <w:t>：即一、二煤组含水岩组顶部隔水层；三煤组含水</w:t>
      </w:r>
      <w:r>
        <w:rPr>
          <w:rFonts w:ascii="SimSun" w:hAnsi="SimSun" w:eastAsia="SimSun" w:cs="SimSun"/>
          <w:sz w:val="24"/>
          <w:szCs w:val="24"/>
          <w:spacing w:val="-1"/>
        </w:rPr>
        <w:t>岩组顶部隔水层；三煤组含水岩组底部隔水层。</w:t>
      </w:r>
    </w:p>
    <w:p>
      <w:pPr>
        <w:ind w:left="601"/>
        <w:spacing w:before="1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）一、二煤组含水岩组顶部隔水层</w:t>
      </w:r>
    </w:p>
    <w:p>
      <w:pPr>
        <w:ind w:left="114" w:right="91" w:firstLine="484"/>
        <w:spacing w:before="158" w:line="338" w:lineRule="auto"/>
        <w:rPr>
          <w:rFonts w:ascii="SimSun" w:hAnsi="SimSun" w:eastAsia="SimSun" w:cs="SimSun"/>
          <w:sz w:val="24"/>
          <w:szCs w:val="24"/>
        </w:rPr>
      </w:pPr>
      <w:r>
        <w:rPr>
          <w:rFonts w:ascii="SimSun" w:hAnsi="SimSun" w:eastAsia="SimSun" w:cs="SimSun"/>
          <w:sz w:val="24"/>
          <w:szCs w:val="24"/>
        </w:rPr>
        <w:t>该隔水层</w:t>
      </w:r>
      <w:r>
        <w:rPr>
          <w:rFonts w:ascii="Times New Roman" w:hAnsi="Times New Roman" w:eastAsia="Times New Roman" w:cs="Times New Roman"/>
          <w:sz w:val="24"/>
          <w:szCs w:val="24"/>
        </w:rPr>
        <w:t>(</w:t>
      </w:r>
      <w:r>
        <w:rPr>
          <w:rFonts w:ascii="SimSun" w:hAnsi="SimSun" w:eastAsia="SimSun" w:cs="SimSun"/>
          <w:sz w:val="24"/>
          <w:szCs w:val="24"/>
        </w:rPr>
        <w:t>岩组</w:t>
      </w:r>
      <w:r>
        <w:rPr>
          <w:rFonts w:ascii="Times New Roman" w:hAnsi="Times New Roman" w:eastAsia="Times New Roman" w:cs="Times New Roman"/>
          <w:sz w:val="24"/>
          <w:szCs w:val="24"/>
        </w:rPr>
        <w:t>)</w:t>
      </w:r>
      <w:r>
        <w:rPr>
          <w:rFonts w:ascii="SimSun" w:hAnsi="SimSun" w:eastAsia="SimSun" w:cs="SimSun"/>
          <w:sz w:val="24"/>
          <w:szCs w:val="24"/>
        </w:rPr>
        <w:t>分别由第四系孔隙潜水含水层底部中更新统冲洪积粘性土、新近系</w:t>
      </w:r>
      <w:r>
        <w:rPr>
          <w:rFonts w:ascii="SimSun" w:hAnsi="SimSun" w:eastAsia="SimSun" w:cs="SimSun"/>
          <w:sz w:val="24"/>
          <w:szCs w:val="24"/>
          <w:spacing w:val="-1"/>
        </w:rPr>
        <w:t>上新统粘土、一层煤顶板泥岩组成。第四系粘土颜色以黄色为主，可塑，隔水性较好，</w:t>
      </w:r>
      <w:r>
        <w:rPr>
          <w:rFonts w:ascii="SimSun" w:hAnsi="SimSun" w:eastAsia="SimSun" w:cs="SimSun"/>
          <w:sz w:val="24"/>
          <w:szCs w:val="24"/>
          <w:spacing w:val="-1"/>
        </w:rPr>
        <w:t>在井田内分布不均，厚度从</w:t>
      </w:r>
      <w:r>
        <w:rPr>
          <w:rFonts w:ascii="Times New Roman" w:hAnsi="Times New Roman" w:eastAsia="Times New Roman" w:cs="Times New Roman"/>
          <w:sz w:val="24"/>
          <w:szCs w:val="24"/>
          <w:spacing w:val="-1"/>
        </w:rPr>
        <w:t>0</w:t>
      </w:r>
      <w:r>
        <w:rPr>
          <w:rFonts w:ascii="SimSun" w:hAnsi="SimSun" w:eastAsia="SimSun" w:cs="SimSun"/>
          <w:sz w:val="24"/>
          <w:szCs w:val="24"/>
          <w:spacing w:val="-1"/>
        </w:rPr>
        <w:t>～</w:t>
      </w:r>
      <w:r>
        <w:rPr>
          <w:rFonts w:ascii="Times New Roman" w:hAnsi="Times New Roman" w:eastAsia="Times New Roman" w:cs="Times New Roman"/>
          <w:sz w:val="24"/>
          <w:szCs w:val="24"/>
          <w:spacing w:val="-1"/>
        </w:rPr>
        <w:t>44.58m</w:t>
      </w:r>
      <w:r>
        <w:rPr>
          <w:rFonts w:ascii="Times New Roman" w:hAnsi="Times New Roman" w:eastAsia="Times New Roman" w:cs="Times New Roman"/>
          <w:sz w:val="24"/>
          <w:szCs w:val="24"/>
          <w:spacing w:val="-19"/>
        </w:rPr>
        <w:t xml:space="preserve"> </w:t>
      </w:r>
      <w:r>
        <w:rPr>
          <w:rFonts w:ascii="SimSun" w:hAnsi="SimSun" w:eastAsia="SimSun" w:cs="SimSun"/>
          <w:sz w:val="24"/>
          <w:szCs w:val="24"/>
          <w:spacing w:val="-1"/>
        </w:rPr>
        <w:t>。新近系粘土隔水层以棕红色为主，可塑</w:t>
      </w:r>
      <w:r>
        <w:rPr>
          <w:rFonts w:ascii="Times New Roman" w:hAnsi="Times New Roman" w:eastAsia="Times New Roman" w:cs="Times New Roman"/>
          <w:sz w:val="24"/>
          <w:szCs w:val="24"/>
          <w:spacing w:val="-1"/>
        </w:rPr>
        <w:t>-</w:t>
      </w:r>
      <w:r>
        <w:rPr>
          <w:rFonts w:ascii="SimSun" w:hAnsi="SimSun" w:eastAsia="SimSun" w:cs="SimSun"/>
          <w:sz w:val="24"/>
          <w:szCs w:val="24"/>
          <w:spacing w:val="-1"/>
        </w:rPr>
        <w:t>硬塑，</w:t>
      </w:r>
      <w:r>
        <w:rPr>
          <w:rFonts w:ascii="SimSun" w:hAnsi="SimSun" w:eastAsia="SimSun" w:cs="SimSun"/>
          <w:sz w:val="24"/>
          <w:szCs w:val="24"/>
          <w:spacing w:val="-1"/>
        </w:rPr>
        <w:t>干强度较高，光滑，在井田内分布连续，厚度稳定，厚度</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4.30m</w:t>
      </w:r>
      <w:r>
        <w:rPr>
          <w:rFonts w:ascii="SimSun" w:hAnsi="SimSun" w:eastAsia="SimSun" w:cs="SimSun"/>
          <w:sz w:val="24"/>
          <w:szCs w:val="24"/>
          <w:spacing w:val="-1"/>
        </w:rPr>
        <w:t>～</w:t>
      </w:r>
      <w:r>
        <w:rPr>
          <w:rFonts w:ascii="Times New Roman" w:hAnsi="Times New Roman" w:eastAsia="Times New Roman" w:cs="Times New Roman"/>
          <w:sz w:val="24"/>
          <w:szCs w:val="24"/>
          <w:spacing w:val="-1"/>
        </w:rPr>
        <w:t>48.88m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。隔水性较好</w:t>
      </w:r>
      <w:r>
        <w:rPr>
          <w:rFonts w:ascii="SimSun" w:hAnsi="SimSun" w:eastAsia="SimSun" w:cs="SimSun"/>
          <w:sz w:val="24"/>
          <w:szCs w:val="24"/>
          <w:spacing w:val="-2"/>
        </w:rPr>
        <w:t>一煤层顶板为深灰色泥岩，泥岩厚度分别为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8.8</w:t>
      </w:r>
      <w:r>
        <w:rPr>
          <w:rFonts w:ascii="SimSun" w:hAnsi="SimSun" w:eastAsia="SimSun" w:cs="SimSun"/>
          <w:sz w:val="24"/>
          <w:szCs w:val="24"/>
          <w:spacing w:val="-2"/>
        </w:rPr>
        <w:t>～</w:t>
      </w:r>
      <w:r>
        <w:rPr>
          <w:rFonts w:ascii="Times New Roman" w:hAnsi="Times New Roman" w:eastAsia="Times New Roman" w:cs="Times New Roman"/>
          <w:sz w:val="24"/>
          <w:szCs w:val="24"/>
          <w:spacing w:val="-2"/>
        </w:rPr>
        <w:t>222m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，隔水性良好。</w:t>
      </w:r>
    </w:p>
    <w:p>
      <w:pPr>
        <w:ind w:left="601"/>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）三煤组含水岩组顶部隔水层</w:t>
      </w:r>
    </w:p>
    <w:p>
      <w:pPr>
        <w:ind w:left="117" w:right="48" w:firstLine="480"/>
        <w:spacing w:before="156" w:line="338" w:lineRule="auto"/>
        <w:rPr>
          <w:rFonts w:ascii="SimSun" w:hAnsi="SimSun" w:eastAsia="SimSun" w:cs="SimSun"/>
          <w:sz w:val="24"/>
          <w:szCs w:val="24"/>
        </w:rPr>
      </w:pPr>
      <w:r>
        <w:rPr>
          <w:rFonts w:ascii="SimSun" w:hAnsi="SimSun" w:eastAsia="SimSun" w:cs="SimSun"/>
          <w:sz w:val="24"/>
          <w:szCs w:val="24"/>
          <w:spacing w:val="-1"/>
        </w:rPr>
        <w:t>该含水岩组以二</w:t>
      </w:r>
      <w:r>
        <w:rPr>
          <w:rFonts w:ascii="Times New Roman" w:hAnsi="Times New Roman" w:eastAsia="Times New Roman" w:cs="Times New Roman"/>
          <w:sz w:val="24"/>
          <w:szCs w:val="24"/>
          <w:spacing w:val="-1"/>
        </w:rPr>
        <w:t>-3</w:t>
      </w:r>
      <w:r>
        <w:rPr>
          <w:rFonts w:ascii="SimSun" w:hAnsi="SimSun" w:eastAsia="SimSun" w:cs="SimSun"/>
          <w:sz w:val="24"/>
          <w:szCs w:val="24"/>
          <w:spacing w:val="-1"/>
        </w:rPr>
        <w:t>层底板至三层顶板的的泥岩和页岩为主，层间距最大为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51.64m</w:t>
      </w:r>
      <w:r>
        <w:rPr>
          <w:rFonts w:ascii="SimSun" w:hAnsi="SimSun" w:eastAsia="SimSun" w:cs="SimSun"/>
          <w:sz w:val="24"/>
          <w:szCs w:val="24"/>
          <w:spacing w:val="-1"/>
        </w:rPr>
        <w:t>，</w:t>
      </w:r>
      <w:r>
        <w:rPr>
          <w:rFonts w:ascii="SimSun" w:hAnsi="SimSun" w:eastAsia="SimSun" w:cs="SimSun"/>
          <w:sz w:val="24"/>
          <w:szCs w:val="24"/>
          <w:spacing w:val="-3"/>
        </w:rPr>
        <w:t>最小为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25.05m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，平均为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41.66m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，隔水性</w:t>
      </w:r>
      <w:r>
        <w:rPr>
          <w:rFonts w:ascii="SimSun" w:hAnsi="SimSun" w:eastAsia="SimSun" w:cs="SimSun"/>
          <w:sz w:val="24"/>
          <w:szCs w:val="24"/>
          <w:spacing w:val="-4"/>
        </w:rPr>
        <w:t>良好。</w:t>
      </w:r>
    </w:p>
    <w:p>
      <w:pPr>
        <w:ind w:left="601"/>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）三煤组含水岩组底部隔水层</w:t>
      </w:r>
    </w:p>
    <w:p>
      <w:pPr>
        <w:ind w:left="114" w:right="115" w:firstLine="480"/>
        <w:spacing w:before="156" w:line="338" w:lineRule="auto"/>
        <w:rPr>
          <w:rFonts w:ascii="SimSun" w:hAnsi="SimSun" w:eastAsia="SimSun" w:cs="SimSun"/>
          <w:sz w:val="24"/>
          <w:szCs w:val="24"/>
        </w:rPr>
      </w:pPr>
      <w:r>
        <w:rPr>
          <w:rFonts w:ascii="SimSun" w:hAnsi="SimSun" w:eastAsia="SimSun" w:cs="SimSun"/>
          <w:sz w:val="24"/>
          <w:szCs w:val="24"/>
          <w:spacing w:val="-4"/>
        </w:rPr>
        <w:t>三煤组含水岩组底板以下揭露岩层厚度最大为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69.</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15m</w:t>
      </w:r>
      <w:r>
        <w:rPr>
          <w:rFonts w:ascii="SimSun" w:hAnsi="SimSun" w:eastAsia="SimSun" w:cs="SimSun"/>
          <w:sz w:val="24"/>
          <w:szCs w:val="24"/>
          <w:spacing w:val="-4"/>
        </w:rPr>
        <w:t>，岩性均为</w:t>
      </w:r>
      <w:r>
        <w:rPr>
          <w:rFonts w:ascii="SimSun" w:hAnsi="SimSun" w:eastAsia="SimSun" w:cs="SimSun"/>
          <w:sz w:val="24"/>
          <w:szCs w:val="24"/>
          <w:spacing w:val="-5"/>
        </w:rPr>
        <w:t>泥岩和页岩，本次</w:t>
      </w:r>
      <w:r>
        <w:rPr>
          <w:rFonts w:ascii="SimSun" w:hAnsi="SimSun" w:eastAsia="SimSun" w:cs="SimSun"/>
          <w:sz w:val="24"/>
          <w:szCs w:val="24"/>
          <w:spacing w:val="-1"/>
        </w:rPr>
        <w:t>勘查钻孔终孔深度不一，从揭露的厚度和岩性看，隔水性良好。</w:t>
      </w:r>
    </w:p>
    <w:p>
      <w:pPr>
        <w:ind w:left="59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、地下水的补径排条件</w:t>
      </w:r>
    </w:p>
    <w:p>
      <w:pPr>
        <w:ind w:left="114" w:right="115" w:firstLine="480"/>
        <w:spacing w:before="156" w:line="338" w:lineRule="auto"/>
        <w:rPr>
          <w:rFonts w:ascii="SimSun" w:hAnsi="SimSun" w:eastAsia="SimSun" w:cs="SimSun"/>
          <w:sz w:val="24"/>
          <w:szCs w:val="24"/>
        </w:rPr>
      </w:pPr>
      <w:r>
        <w:rPr>
          <w:rFonts w:ascii="SimSun" w:hAnsi="SimSun" w:eastAsia="SimSun" w:cs="SimSun"/>
          <w:sz w:val="24"/>
          <w:szCs w:val="24"/>
          <w:spacing w:val="-2"/>
        </w:rPr>
        <w:t>井田属白音华盆地水文地质单元的南西部分，经本次勘查综合整理，按地下水赋存</w:t>
      </w:r>
      <w:r>
        <w:rPr>
          <w:rFonts w:ascii="SimSun" w:hAnsi="SimSun" w:eastAsia="SimSun" w:cs="SimSun"/>
          <w:sz w:val="24"/>
          <w:szCs w:val="24"/>
          <w:spacing w:val="-2"/>
        </w:rPr>
        <w:t>类型分别叙述如下：</w:t>
      </w:r>
    </w:p>
    <w:p>
      <w:pPr>
        <w:ind w:left="601"/>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）第四系孔隙潜水</w:t>
      </w:r>
    </w:p>
    <w:p>
      <w:pPr>
        <w:ind w:left="114" w:right="115" w:firstLine="481"/>
        <w:spacing w:before="155" w:line="339" w:lineRule="auto"/>
        <w:rPr>
          <w:rFonts w:ascii="SimSun" w:hAnsi="SimSun" w:eastAsia="SimSun" w:cs="SimSun"/>
          <w:sz w:val="24"/>
          <w:szCs w:val="24"/>
        </w:rPr>
      </w:pPr>
      <w:r>
        <w:rPr>
          <w:rFonts w:ascii="SimSun" w:hAnsi="SimSun" w:eastAsia="SimSun" w:cs="SimSun"/>
          <w:sz w:val="24"/>
          <w:szCs w:val="24"/>
          <w:spacing w:val="-2"/>
        </w:rPr>
        <w:t>本区的第四系孔隙潜水主要靠大气降水、河流补给，由于第四系孔隙潜水含水层的</w:t>
      </w:r>
      <w:r>
        <w:rPr>
          <w:rFonts w:ascii="SimSun" w:hAnsi="SimSun" w:eastAsia="SimSun" w:cs="SimSun"/>
          <w:sz w:val="24"/>
          <w:szCs w:val="24"/>
          <w:spacing w:val="-2"/>
        </w:rPr>
        <w:t>底部为分布稳定的粘土隔水层，因此，基岩裂隙承压水在露天区内对第四系孔隙潜水无</w:t>
      </w:r>
      <w:r>
        <w:rPr>
          <w:rFonts w:ascii="SimSun" w:hAnsi="SimSun" w:eastAsia="SimSun" w:cs="SimSun"/>
          <w:sz w:val="24"/>
          <w:szCs w:val="24"/>
          <w:spacing w:val="-2"/>
        </w:rPr>
        <w:t>补给。大气降水在不同地段渗入补给强度各异，大部份直接入渗补给潜水，其余降水形</w:t>
      </w:r>
      <w:r>
        <w:rPr>
          <w:rFonts w:ascii="SimSun" w:hAnsi="SimSun" w:eastAsia="SimSun" w:cs="SimSun"/>
          <w:sz w:val="24"/>
          <w:szCs w:val="24"/>
          <w:spacing w:val="-2"/>
        </w:rPr>
        <w:t>成地表迳流排泄或形成湖泊。降水集中在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6</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7</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8 </w:t>
      </w:r>
      <w:r>
        <w:rPr>
          <w:rFonts w:ascii="SimSun" w:hAnsi="SimSun" w:eastAsia="SimSun" w:cs="SimSun"/>
          <w:sz w:val="24"/>
          <w:szCs w:val="24"/>
          <w:spacing w:val="-2"/>
        </w:rPr>
        <w:t>三个月，</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月份为化冻期，因此，潜</w:t>
      </w:r>
      <w:r>
        <w:rPr>
          <w:rFonts w:ascii="SimSun" w:hAnsi="SimSun" w:eastAsia="SimSun" w:cs="SimSun"/>
          <w:sz w:val="24"/>
          <w:szCs w:val="24"/>
          <w:spacing w:val="-1"/>
        </w:rPr>
        <w:t>水位在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月和</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月出现两次不同程度的高峰。本区内的河流彦吉嘎河最低侵蚀基准</w:t>
      </w:r>
      <w:r>
        <w:rPr>
          <w:rFonts w:ascii="SimSun" w:hAnsi="SimSun" w:eastAsia="SimSun" w:cs="SimSun"/>
          <w:sz w:val="24"/>
          <w:szCs w:val="24"/>
          <w:spacing w:val="-1"/>
        </w:rPr>
        <w:t>面标高为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968.8m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2004 </w:t>
      </w:r>
      <w:r>
        <w:rPr>
          <w:rFonts w:ascii="SimSun" w:hAnsi="SimSun" w:eastAsia="SimSun" w:cs="SimSun"/>
          <w:sz w:val="24"/>
          <w:szCs w:val="24"/>
          <w:spacing w:val="-1"/>
        </w:rPr>
        <w:t>年～</w:t>
      </w:r>
      <w:r>
        <w:rPr>
          <w:rFonts w:ascii="Times New Roman" w:hAnsi="Times New Roman" w:eastAsia="Times New Roman" w:cs="Times New Roman"/>
          <w:sz w:val="24"/>
          <w:szCs w:val="24"/>
          <w:spacing w:val="-1"/>
        </w:rPr>
        <w:t>2005 </w:t>
      </w:r>
      <w:r>
        <w:rPr>
          <w:rFonts w:ascii="SimSun" w:hAnsi="SimSun" w:eastAsia="SimSun" w:cs="SimSun"/>
          <w:sz w:val="24"/>
          <w:szCs w:val="24"/>
          <w:spacing w:val="-1"/>
        </w:rPr>
        <w:t>年彦吉嘎</w:t>
      </w:r>
      <w:r>
        <w:rPr>
          <w:rFonts w:ascii="SimSun" w:hAnsi="SimSun" w:eastAsia="SimSun" w:cs="SimSun"/>
          <w:sz w:val="24"/>
          <w:szCs w:val="24"/>
          <w:spacing w:val="-2"/>
        </w:rPr>
        <w:t>河流量观测结果见下表：</w:t>
      </w:r>
    </w:p>
    <w:p>
      <w:pPr>
        <w:spacing w:line="339" w:lineRule="auto"/>
        <w:sectPr>
          <w:footerReference w:type="default" r:id="rId426"/>
          <w:pgSz w:w="11906" w:h="16838"/>
          <w:pgMar w:top="1170" w:right="1302" w:bottom="1080" w:left="1310" w:header="837" w:footer="918" w:gutter="0"/>
        </w:sectPr>
        <w:rPr>
          <w:rFonts w:ascii="SimSun" w:hAnsi="SimSun" w:eastAsia="SimSun" w:cs="SimSun"/>
          <w:sz w:val="24"/>
          <w:szCs w:val="24"/>
        </w:rPr>
      </w:pPr>
    </w:p>
    <w:p>
      <w:pPr>
        <w:pStyle w:val="BodyText"/>
        <w:spacing w:line="441" w:lineRule="auto"/>
        <w:rPr/>
      </w:pPr>
      <w:r/>
    </w:p>
    <w:p>
      <w:pPr>
        <w:ind w:left="3445"/>
        <w:spacing w:before="78" w:line="221" w:lineRule="auto"/>
        <w:rPr>
          <w:rFonts w:ascii="SimHei" w:hAnsi="SimHei" w:eastAsia="SimHei" w:cs="SimHei"/>
          <w:sz w:val="24"/>
          <w:szCs w:val="24"/>
        </w:rPr>
      </w:pPr>
      <w:r>
        <w:rPr>
          <w:rFonts w:ascii="SimHei" w:hAnsi="SimHei" w:eastAsia="SimHei" w:cs="SimHei"/>
          <w:sz w:val="24"/>
          <w:szCs w:val="24"/>
          <w:b/>
          <w:bCs/>
          <w:spacing w:val="-3"/>
        </w:rPr>
        <w:t>彦吉嘎河河流量观测表</w:t>
      </w:r>
    </w:p>
    <w:p>
      <w:pPr>
        <w:ind w:left="112"/>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5-4-9</w:t>
      </w:r>
    </w:p>
    <w:p>
      <w:pPr>
        <w:spacing w:line="22" w:lineRule="exact"/>
        <w:rPr/>
      </w:pPr>
      <w:r/>
    </w:p>
    <w:tbl>
      <w:tblPr>
        <w:tblStyle w:val="TableNormal"/>
        <w:tblW w:w="9285"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092"/>
        <w:gridCol w:w="3058"/>
        <w:gridCol w:w="3135"/>
      </w:tblGrid>
      <w:tr>
        <w:trPr>
          <w:trHeight w:val="328" w:hRule="atLeast"/>
        </w:trPr>
        <w:tc>
          <w:tcPr>
            <w:tcW w:w="3092" w:type="dxa"/>
            <w:vAlign w:val="top"/>
          </w:tcPr>
          <w:p>
            <w:pPr>
              <w:ind w:left="1128"/>
              <w:spacing w:before="55" w:line="228" w:lineRule="auto"/>
              <w:rPr>
                <w:rFonts w:ascii="SimSun" w:hAnsi="SimSun" w:eastAsia="SimSun" w:cs="SimSun"/>
                <w:sz w:val="20"/>
                <w:szCs w:val="20"/>
              </w:rPr>
            </w:pPr>
            <w:r>
              <w:rPr>
                <w:rFonts w:ascii="SimSun" w:hAnsi="SimSun" w:eastAsia="SimSun" w:cs="SimSun"/>
                <w:sz w:val="20"/>
                <w:szCs w:val="20"/>
                <w:spacing w:val="7"/>
              </w:rPr>
              <w:t>观测日期</w:t>
            </w:r>
          </w:p>
        </w:tc>
        <w:tc>
          <w:tcPr>
            <w:tcW w:w="3058" w:type="dxa"/>
            <w:vAlign w:val="top"/>
          </w:tcPr>
          <w:p>
            <w:pPr>
              <w:ind w:left="1325"/>
              <w:spacing w:before="55" w:line="229" w:lineRule="auto"/>
              <w:rPr>
                <w:rFonts w:ascii="SimSun" w:hAnsi="SimSun" w:eastAsia="SimSun" w:cs="SimSun"/>
                <w:sz w:val="20"/>
                <w:szCs w:val="20"/>
              </w:rPr>
            </w:pPr>
            <w:r>
              <w:rPr>
                <w:rFonts w:ascii="SimSun" w:hAnsi="SimSun" w:eastAsia="SimSun" w:cs="SimSun"/>
                <w:sz w:val="20"/>
                <w:szCs w:val="20"/>
                <w:spacing w:val="4"/>
              </w:rPr>
              <w:t>方法</w:t>
            </w:r>
          </w:p>
        </w:tc>
        <w:tc>
          <w:tcPr>
            <w:tcW w:w="3135" w:type="dxa"/>
            <w:vAlign w:val="top"/>
          </w:tcPr>
          <w:p>
            <w:pPr>
              <w:pStyle w:val="TableText"/>
              <w:ind w:left="1097"/>
              <w:spacing w:before="55" w:line="221" w:lineRule="auto"/>
              <w:rPr/>
            </w:pPr>
            <w:r>
              <w:rPr>
                <w:rFonts w:ascii="SimSun" w:hAnsi="SimSun" w:eastAsia="SimSun" w:cs="SimSun"/>
                <w:spacing w:val="4"/>
              </w:rPr>
              <w:t>流量</w:t>
            </w:r>
            <w:r>
              <w:rPr>
                <w:spacing w:val="4"/>
              </w:rPr>
              <w:t>(m</w:t>
            </w:r>
            <w:r>
              <w:rPr>
                <w:sz w:val="13"/>
                <w:szCs w:val="13"/>
                <w:spacing w:val="4"/>
                <w:position w:val="6"/>
              </w:rPr>
              <w:t>3</w:t>
            </w:r>
            <w:r>
              <w:rPr>
                <w:spacing w:val="4"/>
              </w:rPr>
              <w:t>/h)</w:t>
            </w:r>
          </w:p>
        </w:tc>
      </w:tr>
      <w:tr>
        <w:trPr>
          <w:trHeight w:val="323" w:hRule="atLeast"/>
        </w:trPr>
        <w:tc>
          <w:tcPr>
            <w:tcW w:w="3092" w:type="dxa"/>
            <w:vAlign w:val="top"/>
          </w:tcPr>
          <w:p>
            <w:pPr>
              <w:pStyle w:val="TableText"/>
              <w:ind w:left="680"/>
              <w:spacing w:before="53" w:line="228" w:lineRule="auto"/>
              <w:rPr>
                <w:rFonts w:ascii="SimSun" w:hAnsi="SimSun" w:eastAsia="SimSun" w:cs="SimSun"/>
              </w:rPr>
            </w:pPr>
            <w:r>
              <w:rPr/>
              <w:t>2004 </w:t>
            </w:r>
            <w:r>
              <w:rPr>
                <w:rFonts w:ascii="SimSun" w:hAnsi="SimSun" w:eastAsia="SimSun" w:cs="SimSun"/>
              </w:rPr>
              <w:t>年</w:t>
            </w:r>
            <w:r>
              <w:rPr>
                <w:rFonts w:ascii="SimSun" w:hAnsi="SimSun" w:eastAsia="SimSun" w:cs="SimSun"/>
                <w:spacing w:val="-14"/>
              </w:rPr>
              <w:t xml:space="preserve"> </w:t>
            </w:r>
            <w:r>
              <w:rPr/>
              <w:t>10</w:t>
            </w:r>
            <w:r>
              <w:rPr>
                <w:spacing w:val="14"/>
                <w:w w:val="101"/>
              </w:rPr>
              <w:t xml:space="preserve"> </w:t>
            </w:r>
            <w:r>
              <w:rPr>
                <w:rFonts w:ascii="SimSun" w:hAnsi="SimSun" w:eastAsia="SimSun" w:cs="SimSun"/>
              </w:rPr>
              <w:t>月</w:t>
            </w:r>
            <w:r>
              <w:rPr>
                <w:rFonts w:ascii="SimSun" w:hAnsi="SimSun" w:eastAsia="SimSun" w:cs="SimSun"/>
                <w:spacing w:val="-41"/>
              </w:rPr>
              <w:t xml:space="preserve"> </w:t>
            </w:r>
            <w:r>
              <w:rPr/>
              <w:t>20  </w:t>
            </w:r>
            <w:r>
              <w:rPr>
                <w:rFonts w:ascii="SimSun" w:hAnsi="SimSun" w:eastAsia="SimSun" w:cs="SimSun"/>
              </w:rPr>
              <w:t>日</w:t>
            </w:r>
          </w:p>
        </w:tc>
        <w:tc>
          <w:tcPr>
            <w:tcW w:w="3058" w:type="dxa"/>
            <w:vAlign w:val="top"/>
          </w:tcPr>
          <w:p>
            <w:pPr>
              <w:ind w:left="1218"/>
              <w:spacing w:before="54" w:line="228" w:lineRule="auto"/>
              <w:rPr>
                <w:rFonts w:ascii="SimSun" w:hAnsi="SimSun" w:eastAsia="SimSun" w:cs="SimSun"/>
                <w:sz w:val="20"/>
                <w:szCs w:val="20"/>
              </w:rPr>
            </w:pPr>
            <w:r>
              <w:rPr>
                <w:rFonts w:ascii="SimSun" w:hAnsi="SimSun" w:eastAsia="SimSun" w:cs="SimSun"/>
                <w:sz w:val="20"/>
                <w:szCs w:val="20"/>
                <w:spacing w:val="6"/>
              </w:rPr>
              <w:t>浮标法</w:t>
            </w:r>
          </w:p>
        </w:tc>
        <w:tc>
          <w:tcPr>
            <w:tcW w:w="3135" w:type="dxa"/>
            <w:vAlign w:val="top"/>
          </w:tcPr>
          <w:p>
            <w:pPr>
              <w:pStyle w:val="TableText"/>
              <w:ind w:left="1223"/>
              <w:spacing w:before="89" w:line="186" w:lineRule="auto"/>
              <w:rPr/>
            </w:pPr>
            <w:r>
              <w:rPr>
                <w:spacing w:val="-4"/>
              </w:rPr>
              <w:t>1285</w:t>
            </w:r>
            <w:r>
              <w:rPr>
                <w:spacing w:val="-19"/>
              </w:rPr>
              <w:t xml:space="preserve"> </w:t>
            </w:r>
            <w:r>
              <w:rPr>
                <w:rFonts w:ascii="SimSun" w:hAnsi="SimSun" w:eastAsia="SimSun" w:cs="SimSun"/>
                <w:spacing w:val="-4"/>
              </w:rPr>
              <w:t>．</w:t>
            </w:r>
            <w:r>
              <w:rPr>
                <w:spacing w:val="-4"/>
              </w:rPr>
              <w:t>2</w:t>
            </w:r>
          </w:p>
        </w:tc>
      </w:tr>
      <w:tr>
        <w:trPr>
          <w:trHeight w:val="325" w:hRule="atLeast"/>
        </w:trPr>
        <w:tc>
          <w:tcPr>
            <w:tcW w:w="3092" w:type="dxa"/>
            <w:vAlign w:val="top"/>
          </w:tcPr>
          <w:p>
            <w:pPr>
              <w:pStyle w:val="TableText"/>
              <w:ind w:left="680"/>
              <w:spacing w:before="56" w:line="228" w:lineRule="auto"/>
              <w:rPr>
                <w:rFonts w:ascii="SimSun" w:hAnsi="SimSun" w:eastAsia="SimSun" w:cs="SimSun"/>
              </w:rPr>
            </w:pPr>
            <w:r>
              <w:rPr/>
              <w:t>2004 </w:t>
            </w:r>
            <w:r>
              <w:rPr>
                <w:rFonts w:ascii="SimSun" w:hAnsi="SimSun" w:eastAsia="SimSun" w:cs="SimSun"/>
              </w:rPr>
              <w:t>年</w:t>
            </w:r>
            <w:r>
              <w:rPr>
                <w:rFonts w:ascii="SimSun" w:hAnsi="SimSun" w:eastAsia="SimSun" w:cs="SimSun"/>
                <w:spacing w:val="-14"/>
              </w:rPr>
              <w:t xml:space="preserve"> </w:t>
            </w:r>
            <w:r>
              <w:rPr/>
              <w:t>10</w:t>
            </w:r>
            <w:r>
              <w:rPr>
                <w:spacing w:val="14"/>
                <w:w w:val="101"/>
              </w:rPr>
              <w:t xml:space="preserve"> </w:t>
            </w:r>
            <w:r>
              <w:rPr>
                <w:rFonts w:ascii="SimSun" w:hAnsi="SimSun" w:eastAsia="SimSun" w:cs="SimSun"/>
              </w:rPr>
              <w:t>月</w:t>
            </w:r>
            <w:r>
              <w:rPr>
                <w:rFonts w:ascii="SimSun" w:hAnsi="SimSun" w:eastAsia="SimSun" w:cs="SimSun"/>
                <w:spacing w:val="-41"/>
              </w:rPr>
              <w:t xml:space="preserve"> </w:t>
            </w:r>
            <w:r>
              <w:rPr/>
              <w:t>20  </w:t>
            </w:r>
            <w:r>
              <w:rPr>
                <w:rFonts w:ascii="SimSun" w:hAnsi="SimSun" w:eastAsia="SimSun" w:cs="SimSun"/>
              </w:rPr>
              <w:t>日</w:t>
            </w:r>
          </w:p>
        </w:tc>
        <w:tc>
          <w:tcPr>
            <w:tcW w:w="3058" w:type="dxa"/>
            <w:vAlign w:val="top"/>
          </w:tcPr>
          <w:p>
            <w:pPr>
              <w:ind w:left="1218"/>
              <w:spacing w:before="57" w:line="228" w:lineRule="auto"/>
              <w:rPr>
                <w:rFonts w:ascii="SimSun" w:hAnsi="SimSun" w:eastAsia="SimSun" w:cs="SimSun"/>
                <w:sz w:val="20"/>
                <w:szCs w:val="20"/>
              </w:rPr>
            </w:pPr>
            <w:r>
              <w:rPr>
                <w:rFonts w:ascii="SimSun" w:hAnsi="SimSun" w:eastAsia="SimSun" w:cs="SimSun"/>
                <w:sz w:val="20"/>
                <w:szCs w:val="20"/>
                <w:spacing w:val="6"/>
              </w:rPr>
              <w:t>浮标法</w:t>
            </w:r>
          </w:p>
        </w:tc>
        <w:tc>
          <w:tcPr>
            <w:tcW w:w="3135" w:type="dxa"/>
            <w:vAlign w:val="top"/>
          </w:tcPr>
          <w:p>
            <w:pPr>
              <w:pStyle w:val="TableText"/>
              <w:ind w:left="1223"/>
              <w:spacing w:before="93" w:line="186" w:lineRule="auto"/>
              <w:rPr/>
            </w:pPr>
            <w:r>
              <w:rPr>
                <w:spacing w:val="-3"/>
              </w:rPr>
              <w:t>1237</w:t>
            </w:r>
            <w:r>
              <w:rPr>
                <w:spacing w:val="-22"/>
              </w:rPr>
              <w:t xml:space="preserve"> </w:t>
            </w:r>
            <w:r>
              <w:rPr>
                <w:rFonts w:ascii="SimSun" w:hAnsi="SimSun" w:eastAsia="SimSun" w:cs="SimSun"/>
                <w:spacing w:val="-3"/>
              </w:rPr>
              <w:t>．</w:t>
            </w:r>
            <w:r>
              <w:rPr>
                <w:spacing w:val="-3"/>
              </w:rPr>
              <w:t>0</w:t>
            </w:r>
          </w:p>
        </w:tc>
      </w:tr>
      <w:tr>
        <w:trPr>
          <w:trHeight w:val="325" w:hRule="atLeast"/>
        </w:trPr>
        <w:tc>
          <w:tcPr>
            <w:tcW w:w="3092" w:type="dxa"/>
            <w:vAlign w:val="top"/>
          </w:tcPr>
          <w:p>
            <w:pPr>
              <w:pStyle w:val="TableText"/>
              <w:ind w:left="680"/>
              <w:spacing w:before="57" w:line="228" w:lineRule="auto"/>
              <w:rPr>
                <w:rFonts w:ascii="SimSun" w:hAnsi="SimSun" w:eastAsia="SimSun" w:cs="SimSun"/>
              </w:rPr>
            </w:pPr>
            <w:r>
              <w:rPr/>
              <w:t>2004 </w:t>
            </w:r>
            <w:r>
              <w:rPr>
                <w:rFonts w:ascii="SimSun" w:hAnsi="SimSun" w:eastAsia="SimSun" w:cs="SimSun"/>
              </w:rPr>
              <w:t>年</w:t>
            </w:r>
            <w:r>
              <w:rPr>
                <w:rFonts w:ascii="SimSun" w:hAnsi="SimSun" w:eastAsia="SimSun" w:cs="SimSun"/>
                <w:spacing w:val="-14"/>
              </w:rPr>
              <w:t xml:space="preserve"> </w:t>
            </w:r>
            <w:r>
              <w:rPr/>
              <w:t>10</w:t>
            </w:r>
            <w:r>
              <w:rPr>
                <w:spacing w:val="14"/>
                <w:w w:val="101"/>
              </w:rPr>
              <w:t xml:space="preserve"> </w:t>
            </w:r>
            <w:r>
              <w:rPr>
                <w:rFonts w:ascii="SimSun" w:hAnsi="SimSun" w:eastAsia="SimSun" w:cs="SimSun"/>
              </w:rPr>
              <w:t>月</w:t>
            </w:r>
            <w:r>
              <w:rPr>
                <w:rFonts w:ascii="SimSun" w:hAnsi="SimSun" w:eastAsia="SimSun" w:cs="SimSun"/>
                <w:spacing w:val="-41"/>
              </w:rPr>
              <w:t xml:space="preserve"> </w:t>
            </w:r>
            <w:r>
              <w:rPr/>
              <w:t>20  </w:t>
            </w:r>
            <w:r>
              <w:rPr>
                <w:rFonts w:ascii="SimSun" w:hAnsi="SimSun" w:eastAsia="SimSun" w:cs="SimSun"/>
              </w:rPr>
              <w:t>日</w:t>
            </w:r>
          </w:p>
        </w:tc>
        <w:tc>
          <w:tcPr>
            <w:tcW w:w="3058" w:type="dxa"/>
            <w:vAlign w:val="top"/>
          </w:tcPr>
          <w:p>
            <w:pPr>
              <w:ind w:left="1218"/>
              <w:spacing w:before="58" w:line="228" w:lineRule="auto"/>
              <w:rPr>
                <w:rFonts w:ascii="SimSun" w:hAnsi="SimSun" w:eastAsia="SimSun" w:cs="SimSun"/>
                <w:sz w:val="20"/>
                <w:szCs w:val="20"/>
              </w:rPr>
            </w:pPr>
            <w:r>
              <w:rPr>
                <w:rFonts w:ascii="SimSun" w:hAnsi="SimSun" w:eastAsia="SimSun" w:cs="SimSun"/>
                <w:sz w:val="20"/>
                <w:szCs w:val="20"/>
                <w:spacing w:val="6"/>
              </w:rPr>
              <w:t>浮标法</w:t>
            </w:r>
          </w:p>
        </w:tc>
        <w:tc>
          <w:tcPr>
            <w:tcW w:w="3135" w:type="dxa"/>
            <w:vAlign w:val="top"/>
          </w:tcPr>
          <w:p>
            <w:pPr>
              <w:pStyle w:val="TableText"/>
              <w:ind w:left="1223"/>
              <w:spacing w:before="94" w:line="186" w:lineRule="auto"/>
              <w:rPr/>
            </w:pPr>
            <w:r>
              <w:rPr>
                <w:spacing w:val="-3"/>
              </w:rPr>
              <w:t>1172</w:t>
            </w:r>
            <w:r>
              <w:rPr>
                <w:spacing w:val="-21"/>
              </w:rPr>
              <w:t xml:space="preserve"> </w:t>
            </w:r>
            <w:r>
              <w:rPr>
                <w:rFonts w:ascii="SimSun" w:hAnsi="SimSun" w:eastAsia="SimSun" w:cs="SimSun"/>
                <w:spacing w:val="-3"/>
              </w:rPr>
              <w:t>．</w:t>
            </w:r>
            <w:r>
              <w:rPr>
                <w:spacing w:val="-3"/>
              </w:rPr>
              <w:t>8</w:t>
            </w:r>
          </w:p>
        </w:tc>
      </w:tr>
      <w:tr>
        <w:trPr>
          <w:trHeight w:val="327" w:hRule="atLeast"/>
        </w:trPr>
        <w:tc>
          <w:tcPr>
            <w:tcW w:w="3092" w:type="dxa"/>
            <w:vAlign w:val="top"/>
          </w:tcPr>
          <w:p>
            <w:pPr>
              <w:pStyle w:val="TableText"/>
              <w:ind w:left="728"/>
              <w:spacing w:before="58" w:line="228" w:lineRule="auto"/>
              <w:rPr>
                <w:rFonts w:ascii="SimSun" w:hAnsi="SimSun" w:eastAsia="SimSun" w:cs="SimSun"/>
              </w:rPr>
            </w:pPr>
            <w:r>
              <w:rPr/>
              <w:t>2004 </w:t>
            </w:r>
            <w:r>
              <w:rPr>
                <w:rFonts w:ascii="SimSun" w:hAnsi="SimSun" w:eastAsia="SimSun" w:cs="SimSun"/>
              </w:rPr>
              <w:t>年</w:t>
            </w:r>
            <w:r>
              <w:rPr>
                <w:rFonts w:ascii="SimSun" w:hAnsi="SimSun" w:eastAsia="SimSun" w:cs="SimSun"/>
                <w:spacing w:val="-35"/>
              </w:rPr>
              <w:t xml:space="preserve"> </w:t>
            </w:r>
            <w:r>
              <w:rPr/>
              <w:t>7</w:t>
            </w:r>
            <w:r>
              <w:rPr>
                <w:spacing w:val="17"/>
              </w:rPr>
              <w:t xml:space="preserve"> </w:t>
            </w:r>
            <w:r>
              <w:rPr>
                <w:rFonts w:ascii="SimSun" w:hAnsi="SimSun" w:eastAsia="SimSun" w:cs="SimSun"/>
              </w:rPr>
              <w:t>月</w:t>
            </w:r>
            <w:r>
              <w:rPr>
                <w:rFonts w:ascii="SimSun" w:hAnsi="SimSun" w:eastAsia="SimSun" w:cs="SimSun"/>
                <w:spacing w:val="-23"/>
              </w:rPr>
              <w:t xml:space="preserve"> </w:t>
            </w:r>
            <w:r>
              <w:rPr/>
              <w:t>10  </w:t>
            </w:r>
            <w:r>
              <w:rPr>
                <w:rFonts w:ascii="SimSun" w:hAnsi="SimSun" w:eastAsia="SimSun" w:cs="SimSun"/>
              </w:rPr>
              <w:t>日</w:t>
            </w:r>
          </w:p>
        </w:tc>
        <w:tc>
          <w:tcPr>
            <w:tcW w:w="3058" w:type="dxa"/>
            <w:vAlign w:val="top"/>
          </w:tcPr>
          <w:p>
            <w:pPr>
              <w:ind w:left="1218"/>
              <w:spacing w:before="59" w:line="228" w:lineRule="auto"/>
              <w:rPr>
                <w:rFonts w:ascii="SimSun" w:hAnsi="SimSun" w:eastAsia="SimSun" w:cs="SimSun"/>
                <w:sz w:val="20"/>
                <w:szCs w:val="20"/>
              </w:rPr>
            </w:pPr>
            <w:r>
              <w:rPr>
                <w:rFonts w:ascii="SimSun" w:hAnsi="SimSun" w:eastAsia="SimSun" w:cs="SimSun"/>
                <w:sz w:val="20"/>
                <w:szCs w:val="20"/>
                <w:spacing w:val="6"/>
              </w:rPr>
              <w:t>浮标法</w:t>
            </w:r>
          </w:p>
        </w:tc>
        <w:tc>
          <w:tcPr>
            <w:tcW w:w="3135" w:type="dxa"/>
            <w:vAlign w:val="top"/>
          </w:tcPr>
          <w:p>
            <w:pPr>
              <w:pStyle w:val="TableText"/>
              <w:ind w:left="1223"/>
              <w:spacing w:before="95" w:line="186" w:lineRule="auto"/>
              <w:rPr/>
            </w:pPr>
            <w:r>
              <w:rPr>
                <w:spacing w:val="-3"/>
              </w:rPr>
              <w:t>1576</w:t>
            </w:r>
            <w:r>
              <w:rPr>
                <w:spacing w:val="-22"/>
              </w:rPr>
              <w:t xml:space="preserve"> </w:t>
            </w:r>
            <w:r>
              <w:rPr>
                <w:rFonts w:ascii="SimSun" w:hAnsi="SimSun" w:eastAsia="SimSun" w:cs="SimSun"/>
                <w:spacing w:val="-3"/>
              </w:rPr>
              <w:t>．</w:t>
            </w:r>
            <w:r>
              <w:rPr>
                <w:spacing w:val="-3"/>
              </w:rPr>
              <w:t>0</w:t>
            </w:r>
          </w:p>
        </w:tc>
      </w:tr>
    </w:tbl>
    <w:p>
      <w:pPr>
        <w:pStyle w:val="BodyText"/>
        <w:spacing w:line="253" w:lineRule="auto"/>
        <w:rPr/>
      </w:pPr>
      <w:r/>
    </w:p>
    <w:p>
      <w:pPr>
        <w:pStyle w:val="BodyText"/>
        <w:spacing w:line="253" w:lineRule="auto"/>
        <w:rPr/>
      </w:pPr>
      <w:r/>
    </w:p>
    <w:p>
      <w:pPr>
        <w:ind w:left="114" w:right="112" w:firstLine="483"/>
        <w:spacing w:before="78" w:line="338" w:lineRule="auto"/>
        <w:jc w:val="both"/>
        <w:rPr>
          <w:rFonts w:ascii="SimSun" w:hAnsi="SimSun" w:eastAsia="SimSun" w:cs="SimSun"/>
          <w:sz w:val="24"/>
          <w:szCs w:val="24"/>
        </w:rPr>
      </w:pP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月和</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8</w:t>
      </w:r>
      <w:r>
        <w:rPr>
          <w:rFonts w:ascii="SimSun" w:hAnsi="SimSun" w:eastAsia="SimSun" w:cs="SimSun"/>
          <w:sz w:val="24"/>
          <w:szCs w:val="24"/>
          <w:spacing w:val="-4"/>
        </w:rPr>
        <w:t>、</w:t>
      </w:r>
      <w:r>
        <w:rPr>
          <w:rFonts w:ascii="Times New Roman" w:hAnsi="Times New Roman" w:eastAsia="Times New Roman" w:cs="Times New Roman"/>
          <w:sz w:val="24"/>
          <w:szCs w:val="24"/>
          <w:spacing w:val="-4"/>
        </w:rPr>
        <w:t>9</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月份河水上涨，水位高于潜水</w:t>
      </w:r>
      <w:r>
        <w:rPr>
          <w:rFonts w:ascii="SimSun" w:hAnsi="SimSun" w:eastAsia="SimSun" w:cs="SimSun"/>
          <w:sz w:val="24"/>
          <w:szCs w:val="24"/>
          <w:spacing w:val="-5"/>
        </w:rPr>
        <w:t>位，丰水期河流补给潜水；枯水期潜水则</w:t>
      </w:r>
      <w:r>
        <w:rPr>
          <w:rFonts w:ascii="SimSun" w:hAnsi="SimSun" w:eastAsia="SimSun" w:cs="SimSun"/>
          <w:sz w:val="24"/>
          <w:szCs w:val="24"/>
          <w:spacing w:val="-2"/>
        </w:rPr>
        <w:t>向河流排泄。彦吉嘎河流量较大，流量稳定，并且从矿区内通过，是矿区内第四系孔隙</w:t>
      </w:r>
      <w:r>
        <w:rPr>
          <w:rFonts w:ascii="SimSun" w:hAnsi="SimSun" w:eastAsia="SimSun" w:cs="SimSun"/>
          <w:sz w:val="24"/>
          <w:szCs w:val="24"/>
          <w:spacing w:val="-2"/>
        </w:rPr>
        <w:t>潜水含水层的主要补给源，建议在河流改道设计中充分考虑河水入渗的影响。河流改道</w:t>
      </w:r>
      <w:r>
        <w:rPr>
          <w:rFonts w:ascii="SimSun" w:hAnsi="SimSun" w:eastAsia="SimSun" w:cs="SimSun"/>
          <w:sz w:val="24"/>
          <w:szCs w:val="24"/>
          <w:spacing w:val="-1"/>
        </w:rPr>
        <w:t>后进行了防渗处理，并且在井田外绕过，对潜水补给较差。</w:t>
      </w:r>
    </w:p>
    <w:p>
      <w:pPr>
        <w:ind w:left="114" w:right="112" w:firstLine="480"/>
        <w:spacing w:before="1" w:line="336" w:lineRule="auto"/>
        <w:jc w:val="both"/>
        <w:rPr>
          <w:rFonts w:ascii="SimSun" w:hAnsi="SimSun" w:eastAsia="SimSun" w:cs="SimSun"/>
          <w:sz w:val="24"/>
          <w:szCs w:val="24"/>
        </w:rPr>
      </w:pPr>
      <w:r>
        <w:rPr>
          <w:rFonts w:ascii="SimSun" w:hAnsi="SimSun" w:eastAsia="SimSun" w:cs="SimSun"/>
          <w:sz w:val="24"/>
          <w:szCs w:val="24"/>
          <w:spacing w:val="-4"/>
        </w:rPr>
        <w:t>潜水含水层一般分布稳定、连续，水力坡度</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w:t>
      </w:r>
      <w:r>
        <w:rPr>
          <w:rFonts w:ascii="Times New Roman" w:hAnsi="Times New Roman" w:eastAsia="Times New Roman" w:cs="Times New Roman"/>
          <w:sz w:val="24"/>
          <w:szCs w:val="24"/>
          <w:spacing w:val="-4"/>
        </w:rPr>
        <w:t>3‰</w:t>
      </w:r>
      <w:r>
        <w:rPr>
          <w:rFonts w:ascii="SimSun" w:hAnsi="SimSun" w:eastAsia="SimSun" w:cs="SimSun"/>
          <w:sz w:val="24"/>
          <w:szCs w:val="24"/>
          <w:spacing w:val="-4"/>
        </w:rPr>
        <w:t>，总体由南向北径流，通过河谷</w:t>
      </w:r>
      <w:r>
        <w:rPr>
          <w:rFonts w:ascii="SimSun" w:hAnsi="SimSun" w:eastAsia="SimSun" w:cs="SimSun"/>
          <w:sz w:val="24"/>
          <w:szCs w:val="24"/>
        </w:rPr>
        <w:t>平原以地下径流形式向北排泄，另外由潜水面蒸发、植物蒸腾及人工排泄</w:t>
      </w:r>
      <w:r>
        <w:rPr>
          <w:rFonts w:ascii="Times New Roman" w:hAnsi="Times New Roman" w:eastAsia="Times New Roman" w:cs="Times New Roman"/>
          <w:sz w:val="24"/>
          <w:szCs w:val="24"/>
        </w:rPr>
        <w:t>(</w:t>
      </w:r>
      <w:r>
        <w:rPr>
          <w:rFonts w:ascii="SimSun" w:hAnsi="SimSun" w:eastAsia="SimSun" w:cs="SimSun"/>
          <w:sz w:val="24"/>
          <w:szCs w:val="24"/>
        </w:rPr>
        <w:t>农牧业用水</w:t>
      </w:r>
      <w:r>
        <w:rPr>
          <w:rFonts w:ascii="Times New Roman" w:hAnsi="Times New Roman" w:eastAsia="Times New Roman" w:cs="Times New Roman"/>
          <w:sz w:val="24"/>
          <w:szCs w:val="24"/>
        </w:rPr>
        <w:t>)</w:t>
      </w:r>
      <w:r>
        <w:rPr>
          <w:rFonts w:ascii="SimSun" w:hAnsi="SimSun" w:eastAsia="SimSun" w:cs="SimSun"/>
          <w:sz w:val="24"/>
          <w:szCs w:val="24"/>
          <w:spacing w:val="-2"/>
        </w:rPr>
        <w:t>等形式进行排泄。</w:t>
      </w:r>
    </w:p>
    <w:p>
      <w:pPr>
        <w:ind w:left="601"/>
        <w:spacing w:before="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）大磨拐组裂隙承压水</w:t>
      </w:r>
    </w:p>
    <w:p>
      <w:pPr>
        <w:ind w:left="114" w:right="112" w:firstLine="480"/>
        <w:spacing w:before="153" w:line="339" w:lineRule="auto"/>
        <w:rPr>
          <w:rFonts w:ascii="SimSun" w:hAnsi="SimSun" w:eastAsia="SimSun" w:cs="SimSun"/>
          <w:sz w:val="24"/>
          <w:szCs w:val="24"/>
        </w:rPr>
      </w:pPr>
      <w:r>
        <w:rPr>
          <w:rFonts w:ascii="SimSun" w:hAnsi="SimSun" w:eastAsia="SimSun" w:cs="SimSun"/>
          <w:sz w:val="24"/>
          <w:szCs w:val="24"/>
          <w:spacing w:val="-2"/>
        </w:rPr>
        <w:t>井田上部普遍被第四系地层覆盖，第四系潜水底部为厚度稳定的粘性土，故潜水很</w:t>
      </w:r>
      <w:r>
        <w:rPr>
          <w:rFonts w:ascii="SimSun" w:hAnsi="SimSun" w:eastAsia="SimSun" w:cs="SimSun"/>
          <w:sz w:val="24"/>
          <w:szCs w:val="24"/>
          <w:spacing w:val="-1"/>
        </w:rPr>
        <w:t>难向下渗透补给承压水。</w:t>
      </w:r>
    </w:p>
    <w:p>
      <w:pPr>
        <w:ind w:left="114" w:right="27" w:firstLine="514"/>
        <w:spacing w:before="2" w:line="338" w:lineRule="auto"/>
        <w:jc w:val="both"/>
        <w:rPr>
          <w:rFonts w:ascii="SimSun" w:hAnsi="SimSun" w:eastAsia="SimSun" w:cs="SimSun"/>
          <w:sz w:val="24"/>
          <w:szCs w:val="24"/>
        </w:rPr>
      </w:pPr>
      <w:r>
        <w:rPr>
          <w:rFonts w:ascii="SimSun" w:hAnsi="SimSun" w:eastAsia="SimSun" w:cs="SimSun"/>
          <w:sz w:val="24"/>
          <w:szCs w:val="24"/>
          <w:spacing w:val="-3"/>
        </w:rPr>
        <w:t>白音华盆地东西两侧出露地层为上侏罗统凝灰岩、下二迭统砂岩及花岗岩等，直接</w:t>
      </w:r>
      <w:r>
        <w:rPr>
          <w:rFonts w:ascii="SimSun" w:hAnsi="SimSun" w:eastAsia="SimSun" w:cs="SimSun"/>
          <w:sz w:val="24"/>
          <w:szCs w:val="24"/>
          <w:spacing w:val="-5"/>
        </w:rPr>
        <w:t>受大气降水补给，白音华组裂隙承压水含水层</w:t>
      </w:r>
      <w:r>
        <w:rPr>
          <w:rFonts w:ascii="SimSun" w:hAnsi="SimSun" w:eastAsia="SimSun" w:cs="SimSun"/>
          <w:sz w:val="24"/>
          <w:szCs w:val="24"/>
          <w:spacing w:val="-6"/>
        </w:rPr>
        <w:t>直接与东西两侧出露岩层接触，彼此沟通，</w:t>
      </w:r>
      <w:r>
        <w:rPr>
          <w:rFonts w:ascii="SimSun" w:hAnsi="SimSun" w:eastAsia="SimSun" w:cs="SimSun"/>
          <w:sz w:val="24"/>
          <w:szCs w:val="24"/>
          <w:spacing w:val="-1"/>
        </w:rPr>
        <w:t>有利于侧向补给白音华组裂隙承压水。露天区水力坡度为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2"/>
        </w:rPr>
        <w:t>1‰</w:t>
      </w:r>
      <w:r>
        <w:rPr>
          <w:rFonts w:ascii="SimSun" w:hAnsi="SimSun" w:eastAsia="SimSun" w:cs="SimSun"/>
          <w:sz w:val="24"/>
          <w:szCs w:val="24"/>
          <w:spacing w:val="-2"/>
        </w:rPr>
        <w:t>；含水层一般为砂</w:t>
      </w:r>
      <w:r>
        <w:rPr>
          <w:rFonts w:ascii="SimSun" w:hAnsi="SimSun" w:eastAsia="SimSun" w:cs="SimSun"/>
          <w:sz w:val="24"/>
          <w:szCs w:val="24"/>
          <w:spacing w:val="-5"/>
        </w:rPr>
        <w:t>岩、中粗砂和细砂，迳流条件较好，故白音华</w:t>
      </w:r>
      <w:r>
        <w:rPr>
          <w:rFonts w:ascii="SimSun" w:hAnsi="SimSun" w:eastAsia="SimSun" w:cs="SimSun"/>
          <w:sz w:val="24"/>
          <w:szCs w:val="24"/>
          <w:spacing w:val="-6"/>
        </w:rPr>
        <w:t>组裂隙承压水以地下迳流形式向北东排泄。</w:t>
      </w:r>
    </w:p>
    <w:p>
      <w:pPr>
        <w:ind w:left="589"/>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4</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、矿井充水条件</w:t>
      </w:r>
    </w:p>
    <w:p>
      <w:pPr>
        <w:ind w:left="114" w:right="112" w:firstLine="480"/>
        <w:spacing w:before="154" w:line="338" w:lineRule="auto"/>
        <w:rPr>
          <w:rFonts w:ascii="SimSun" w:hAnsi="SimSun" w:eastAsia="SimSun" w:cs="SimSun"/>
          <w:sz w:val="24"/>
          <w:szCs w:val="24"/>
        </w:rPr>
      </w:pPr>
      <w:r>
        <w:rPr>
          <w:rFonts w:ascii="SimSun" w:hAnsi="SimSun" w:eastAsia="SimSun" w:cs="SimSun"/>
          <w:sz w:val="24"/>
          <w:szCs w:val="24"/>
          <w:spacing w:val="-2"/>
        </w:rPr>
        <w:t>矿区地下水的补给、迳流、排泄条件及其所处的地段决定了矿井的充水途径、充水</w:t>
      </w:r>
      <w:r>
        <w:rPr>
          <w:rFonts w:ascii="SimSun" w:hAnsi="SimSun" w:eastAsia="SimSun" w:cs="SimSun"/>
          <w:sz w:val="24"/>
          <w:szCs w:val="24"/>
          <w:spacing w:val="-2"/>
        </w:rPr>
        <w:t>方式及充水规模的大小。当矿井开拓至各煤层时，各煤层含水岩组裂隙承压水沿裂隙直</w:t>
      </w:r>
      <w:r>
        <w:rPr>
          <w:rFonts w:ascii="SimSun" w:hAnsi="SimSun" w:eastAsia="SimSun" w:cs="SimSun"/>
          <w:sz w:val="24"/>
          <w:szCs w:val="24"/>
          <w:spacing w:val="1"/>
        </w:rPr>
        <w:t>接涌入矿井。随矿井开采深度的增加和疏干时间的</w:t>
      </w:r>
      <w:r>
        <w:rPr>
          <w:rFonts w:ascii="SimSun" w:hAnsi="SimSun" w:eastAsia="SimSun" w:cs="SimSun"/>
          <w:sz w:val="24"/>
          <w:szCs w:val="24"/>
        </w:rPr>
        <w:t>延续，特别是矿井东部边界</w:t>
      </w:r>
      <w:r>
        <w:rPr>
          <w:rFonts w:ascii="Times New Roman" w:hAnsi="Times New Roman" w:eastAsia="Times New Roman" w:cs="Times New Roman"/>
          <w:sz w:val="24"/>
          <w:szCs w:val="24"/>
        </w:rPr>
        <w:t>(</w:t>
      </w:r>
      <w:r>
        <w:rPr>
          <w:rFonts w:ascii="SimSun" w:hAnsi="SimSun" w:eastAsia="SimSun" w:cs="SimSun"/>
          <w:sz w:val="24"/>
          <w:szCs w:val="24"/>
        </w:rPr>
        <w:t>浅部</w:t>
      </w:r>
      <w:r>
        <w:rPr>
          <w:rFonts w:ascii="Times New Roman" w:hAnsi="Times New Roman" w:eastAsia="Times New Roman" w:cs="Times New Roman"/>
          <w:sz w:val="24"/>
          <w:szCs w:val="24"/>
        </w:rPr>
        <w:t>)</w:t>
      </w:r>
      <w:r>
        <w:rPr>
          <w:rFonts w:ascii="SimSun" w:hAnsi="SimSun" w:eastAsia="SimSun" w:cs="SimSun"/>
          <w:sz w:val="24"/>
          <w:szCs w:val="24"/>
        </w:rPr>
        <w:t>为</w:t>
      </w:r>
      <w:r>
        <w:rPr>
          <w:rFonts w:ascii="SimSun" w:hAnsi="SimSun" w:eastAsia="SimSun" w:cs="SimSun"/>
          <w:sz w:val="24"/>
          <w:szCs w:val="24"/>
        </w:rPr>
        <w:t>露天矿的永久帮，切断了一、二煤组含水层的补</w:t>
      </w:r>
      <w:r>
        <w:rPr>
          <w:rFonts w:ascii="SimSun" w:hAnsi="SimSun" w:eastAsia="SimSun" w:cs="SimSun"/>
          <w:sz w:val="24"/>
          <w:szCs w:val="24"/>
          <w:spacing w:val="-1"/>
        </w:rPr>
        <w:t>给，涌水量不断减小。</w:t>
      </w:r>
    </w:p>
    <w:p>
      <w:pPr>
        <w:ind w:left="118" w:right="112" w:firstLine="476"/>
        <w:spacing w:before="3" w:line="339" w:lineRule="auto"/>
        <w:rPr>
          <w:rFonts w:ascii="SimSun" w:hAnsi="SimSun" w:eastAsia="SimSun" w:cs="SimSun"/>
          <w:sz w:val="24"/>
          <w:szCs w:val="24"/>
        </w:rPr>
      </w:pPr>
      <w:r>
        <w:rPr>
          <w:rFonts w:ascii="SimSun" w:hAnsi="SimSun" w:eastAsia="SimSun" w:cs="SimSun"/>
          <w:sz w:val="24"/>
          <w:szCs w:val="24"/>
          <w:spacing w:val="-2"/>
        </w:rPr>
        <w:t>地表河流和上部潜水含水层与下部各煤层之间发育有巨厚的隔水层，通常潜水不会</w:t>
      </w:r>
      <w:r>
        <w:rPr>
          <w:rFonts w:ascii="SimSun" w:hAnsi="SimSun" w:eastAsia="SimSun" w:cs="SimSun"/>
          <w:sz w:val="24"/>
          <w:szCs w:val="24"/>
          <w:spacing w:val="-2"/>
        </w:rPr>
        <w:t>涌入煤层含水岩组。</w:t>
      </w:r>
    </w:p>
    <w:p>
      <w:pPr>
        <w:ind w:left="114" w:right="112" w:firstLine="480"/>
        <w:spacing w:before="4" w:line="338" w:lineRule="auto"/>
        <w:jc w:val="both"/>
        <w:rPr>
          <w:rFonts w:ascii="SimSun" w:hAnsi="SimSun" w:eastAsia="SimSun" w:cs="SimSun"/>
          <w:sz w:val="24"/>
          <w:szCs w:val="24"/>
        </w:rPr>
      </w:pPr>
      <w:r>
        <w:rPr>
          <w:rFonts w:ascii="SimSun" w:hAnsi="SimSun" w:eastAsia="SimSun" w:cs="SimSun"/>
          <w:sz w:val="24"/>
          <w:szCs w:val="24"/>
          <w:spacing w:val="-1"/>
        </w:rPr>
        <w:t>三煤组含水岩组与一、二煤组层间距最大</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1"/>
        </w:rPr>
        <w:t>51.6m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，最小</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25.05m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，平均为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41.66m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w:t>
      </w:r>
      <w:r>
        <w:rPr>
          <w:rFonts w:ascii="SimSun" w:hAnsi="SimSun" w:eastAsia="SimSun" w:cs="SimSun"/>
          <w:sz w:val="24"/>
          <w:szCs w:val="24"/>
          <w:spacing w:val="-2"/>
        </w:rPr>
        <w:t>岩性均为泥岩和页岩，隔水性较好，而且煤层薄、富水性较差，且无其他水源补给，因</w:t>
      </w:r>
      <w:r>
        <w:rPr>
          <w:rFonts w:ascii="SimSun" w:hAnsi="SimSun" w:eastAsia="SimSun" w:cs="SimSun"/>
          <w:sz w:val="24"/>
          <w:szCs w:val="24"/>
          <w:spacing w:val="-1"/>
        </w:rPr>
        <w:t>而和可采煤层无明显水力联系。</w:t>
      </w:r>
    </w:p>
    <w:p>
      <w:pPr>
        <w:spacing w:line="338" w:lineRule="auto"/>
        <w:sectPr>
          <w:headerReference w:type="default" r:id="rId421"/>
          <w:footerReference w:type="default" r:id="rId427"/>
          <w:pgSz w:w="11906" w:h="16838"/>
          <w:pgMar w:top="1170" w:right="1304" w:bottom="1080" w:left="1310" w:header="837" w:footer="918" w:gutter="0"/>
        </w:sectPr>
        <w:rPr>
          <w:rFonts w:ascii="SimSun" w:hAnsi="SimSun" w:eastAsia="SimSun" w:cs="SimSun"/>
          <w:sz w:val="24"/>
          <w:szCs w:val="24"/>
        </w:rPr>
      </w:pPr>
    </w:p>
    <w:p>
      <w:pPr>
        <w:pStyle w:val="BodyText"/>
        <w:spacing w:line="392" w:lineRule="auto"/>
        <w:rPr/>
      </w:pPr>
      <w:r/>
    </w:p>
    <w:p>
      <w:pPr>
        <w:ind w:left="40"/>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5.4.3</w:t>
      </w:r>
      <w:r>
        <w:rPr>
          <w:rFonts w:ascii="SimHei" w:hAnsi="SimHei" w:eastAsia="SimHei" w:cs="SimHei"/>
          <w:sz w:val="28"/>
          <w:szCs w:val="28"/>
          <w:b/>
          <w:bCs/>
          <w:spacing w:val="-2"/>
        </w:rPr>
        <w:t>建设期地下水环境影响分析与防治措施</w:t>
      </w:r>
    </w:p>
    <w:p>
      <w:pPr>
        <w:ind w:left="39"/>
        <w:spacing w:before="16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5.4.3.1</w:t>
      </w:r>
      <w:r>
        <w:rPr>
          <w:rFonts w:ascii="SimHei" w:hAnsi="SimHei" w:eastAsia="SimHei" w:cs="SimHei"/>
          <w:sz w:val="24"/>
          <w:szCs w:val="24"/>
          <w:b/>
          <w:bCs/>
          <w:spacing w:val="-2"/>
        </w:rPr>
        <w:t>建设期地下水环境影响分析</w:t>
      </w:r>
    </w:p>
    <w:p>
      <w:pPr>
        <w:ind w:left="41" w:right="33" w:firstLine="480"/>
        <w:spacing w:before="154" w:line="339" w:lineRule="auto"/>
        <w:rPr>
          <w:rFonts w:ascii="SimSun" w:hAnsi="SimSun" w:eastAsia="SimSun" w:cs="SimSun"/>
          <w:sz w:val="24"/>
          <w:szCs w:val="24"/>
        </w:rPr>
      </w:pPr>
      <w:r>
        <w:rPr>
          <w:rFonts w:ascii="SimSun" w:hAnsi="SimSun" w:eastAsia="SimSun" w:cs="SimSun"/>
          <w:sz w:val="24"/>
          <w:szCs w:val="24"/>
          <w:spacing w:val="-2"/>
        </w:rPr>
        <w:t>本项目工业场地依托现有工程，不涉及新增占地，无施工期工程内容，本次评价主</w:t>
      </w:r>
      <w:r>
        <w:rPr>
          <w:rFonts w:ascii="SimSun" w:hAnsi="SimSun" w:eastAsia="SimSun" w:cs="SimSun"/>
          <w:sz w:val="24"/>
          <w:szCs w:val="24"/>
          <w:spacing w:val="-1"/>
        </w:rPr>
        <w:t>要针对运营期地下水进行环境影响评价。</w:t>
      </w:r>
    </w:p>
    <w:p>
      <w:pPr>
        <w:ind w:left="40"/>
        <w:spacing w:before="90"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5.4.4</w:t>
      </w:r>
      <w:r>
        <w:rPr>
          <w:rFonts w:ascii="SimHei" w:hAnsi="SimHei" w:eastAsia="SimHei" w:cs="SimHei"/>
          <w:sz w:val="28"/>
          <w:szCs w:val="28"/>
          <w:b/>
          <w:bCs/>
          <w:spacing w:val="-2"/>
        </w:rPr>
        <w:t>运营期煤炭开采对地下水环境影响分析</w:t>
      </w:r>
    </w:p>
    <w:p>
      <w:pPr>
        <w:ind w:left="39"/>
        <w:spacing w:before="16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5.4.4.1</w:t>
      </w:r>
      <w:r>
        <w:rPr>
          <w:rFonts w:ascii="SimHei" w:hAnsi="SimHei" w:eastAsia="SimHei" w:cs="SimHei"/>
          <w:sz w:val="24"/>
          <w:szCs w:val="24"/>
          <w:b/>
          <w:bCs/>
          <w:spacing w:val="-2"/>
        </w:rPr>
        <w:t>露天采对地下水环境影响分析</w:t>
      </w:r>
    </w:p>
    <w:p>
      <w:pPr>
        <w:ind w:left="539"/>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、矿区煤炭开采对含水层影响半径预测</w:t>
      </w:r>
    </w:p>
    <w:p>
      <w:pPr>
        <w:ind w:left="44" w:right="33" w:firstLine="481"/>
        <w:spacing w:before="156" w:line="335" w:lineRule="auto"/>
        <w:rPr>
          <w:rFonts w:ascii="SimSun" w:hAnsi="SimSun" w:eastAsia="SimSun" w:cs="SimSun"/>
          <w:sz w:val="24"/>
          <w:szCs w:val="24"/>
        </w:rPr>
      </w:pPr>
      <w:r>
        <w:rPr>
          <w:rFonts w:ascii="SimSun" w:hAnsi="SimSun" w:eastAsia="SimSun" w:cs="SimSun"/>
          <w:sz w:val="24"/>
          <w:szCs w:val="24"/>
          <w:spacing w:val="1"/>
        </w:rPr>
        <w:t>露天开采主要破坏第四系潜水含水层、白垩系下统大磨拐组（</w:t>
      </w:r>
      <w:r>
        <w:rPr>
          <w:rFonts w:ascii="Times New Roman" w:hAnsi="Times New Roman" w:eastAsia="Times New Roman" w:cs="Times New Roman"/>
          <w:sz w:val="24"/>
          <w:szCs w:val="24"/>
          <w:spacing w:val="1"/>
        </w:rPr>
        <w:t>K</w:t>
      </w:r>
      <w:r>
        <w:rPr>
          <w:rFonts w:ascii="Times New Roman" w:hAnsi="Times New Roman" w:eastAsia="Times New Roman" w:cs="Times New Roman"/>
          <w:sz w:val="15"/>
          <w:szCs w:val="15"/>
          <w:spacing w:val="1"/>
          <w:position w:val="-1"/>
        </w:rPr>
        <w:t>1</w:t>
      </w:r>
      <w:r>
        <w:rPr>
          <w:rFonts w:ascii="Times New Roman" w:hAnsi="Times New Roman" w:eastAsia="Times New Roman" w:cs="Times New Roman"/>
          <w:sz w:val="24"/>
          <w:szCs w:val="24"/>
          <w:spacing w:val="1"/>
        </w:rPr>
        <w:t>d</w:t>
      </w:r>
      <w:r>
        <w:rPr>
          <w:rFonts w:ascii="SimSun" w:hAnsi="SimSun" w:eastAsia="SimSun" w:cs="SimSun"/>
          <w:sz w:val="24"/>
          <w:szCs w:val="24"/>
          <w:spacing w:val="1"/>
        </w:rPr>
        <w:t>）一、二煤组裂</w:t>
      </w:r>
      <w:r>
        <w:rPr>
          <w:rFonts w:ascii="SimSun" w:hAnsi="SimSun" w:eastAsia="SimSun" w:cs="SimSun"/>
          <w:sz w:val="24"/>
          <w:szCs w:val="24"/>
          <w:spacing w:val="-2"/>
        </w:rPr>
        <w:t>隙承压含水岩组。露天开采的影响，导通区域周围将产生地下水水位下降漏斗，其影响</w:t>
      </w:r>
      <w:r>
        <w:rPr>
          <w:rFonts w:ascii="SimSun" w:hAnsi="SimSun" w:eastAsia="SimSun" w:cs="SimSun"/>
          <w:sz w:val="24"/>
          <w:szCs w:val="24"/>
          <w:spacing w:val="-2"/>
        </w:rPr>
        <w:t>半径按下式估算：</w:t>
      </w:r>
    </w:p>
    <w:p>
      <w:pPr>
        <w:ind w:left="3683"/>
        <w:spacing w:line="230" w:lineRule="exact"/>
        <w:rPr/>
      </w:pPr>
      <w:r>
        <w:rPr>
          <w:position w:val="-5"/>
        </w:rPr>
        <w:drawing>
          <wp:inline distT="0" distB="0" distL="0" distR="0">
            <wp:extent cx="1129284" cy="146304"/>
            <wp:effectExtent l="0" t="0" r="0" b="0"/>
            <wp:docPr id="308" name="IM 308"/>
            <wp:cNvGraphicFramePr/>
            <a:graphic>
              <a:graphicData uri="http://schemas.openxmlformats.org/drawingml/2006/picture">
                <pic:pic>
                  <pic:nvPicPr>
                    <pic:cNvPr id="308" name="IM 308"/>
                    <pic:cNvPicPr/>
                  </pic:nvPicPr>
                  <pic:blipFill>
                    <a:blip r:embed="rId429"/>
                    <a:stretch>
                      <a:fillRect/>
                    </a:stretch>
                  </pic:blipFill>
                  <pic:spPr>
                    <a:xfrm rot="0">
                      <a:off x="0" y="0"/>
                      <a:ext cx="1129284" cy="146304"/>
                    </a:xfrm>
                    <a:prstGeom prst="rect">
                      <a:avLst/>
                    </a:prstGeom>
                  </pic:spPr>
                </pic:pic>
              </a:graphicData>
            </a:graphic>
          </wp:inline>
        </w:drawing>
      </w:r>
    </w:p>
    <w:p>
      <w:pPr>
        <w:ind w:left="45"/>
        <w:spacing w:before="111" w:line="219"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R—</w:t>
      </w:r>
      <w:r>
        <w:rPr>
          <w:rFonts w:ascii="SimSun" w:hAnsi="SimSun" w:eastAsia="SimSun" w:cs="SimSun"/>
          <w:sz w:val="24"/>
          <w:szCs w:val="24"/>
          <w:spacing w:val="-2"/>
        </w:rPr>
        <w:t>影响半径，</w:t>
      </w:r>
      <w:r>
        <w:rPr>
          <w:rFonts w:ascii="Times New Roman" w:hAnsi="Times New Roman" w:eastAsia="Times New Roman" w:cs="Times New Roman"/>
          <w:sz w:val="24"/>
          <w:szCs w:val="24"/>
          <w:spacing w:val="-2"/>
        </w:rPr>
        <w:t>m</w:t>
      </w:r>
      <w:r>
        <w:rPr>
          <w:rFonts w:ascii="SimSun" w:hAnsi="SimSun" w:eastAsia="SimSun" w:cs="SimSun"/>
          <w:sz w:val="24"/>
          <w:szCs w:val="24"/>
          <w:spacing w:val="-2"/>
        </w:rPr>
        <w:t>；</w:t>
      </w:r>
    </w:p>
    <w:p>
      <w:pPr>
        <w:ind w:left="766"/>
        <w:spacing w:before="137" w:line="219" w:lineRule="auto"/>
        <w:rPr>
          <w:rFonts w:ascii="SimSun" w:hAnsi="SimSun" w:eastAsia="SimSun" w:cs="SimSun"/>
          <w:sz w:val="24"/>
          <w:szCs w:val="24"/>
        </w:rPr>
      </w:pPr>
      <w:r>
        <w:rPr>
          <w:rFonts w:ascii="Times New Roman" w:hAnsi="Times New Roman" w:eastAsia="Times New Roman" w:cs="Times New Roman"/>
          <w:sz w:val="24"/>
          <w:szCs w:val="24"/>
          <w:spacing w:val="-2"/>
        </w:rPr>
        <w:t>S—</w:t>
      </w:r>
      <w:r>
        <w:rPr>
          <w:rFonts w:ascii="SimSun" w:hAnsi="SimSun" w:eastAsia="SimSun" w:cs="SimSun"/>
          <w:sz w:val="24"/>
          <w:szCs w:val="24"/>
          <w:spacing w:val="-2"/>
        </w:rPr>
        <w:t>水位降深，</w:t>
      </w:r>
      <w:r>
        <w:rPr>
          <w:rFonts w:ascii="Times New Roman" w:hAnsi="Times New Roman" w:eastAsia="Times New Roman" w:cs="Times New Roman"/>
          <w:sz w:val="24"/>
          <w:szCs w:val="24"/>
          <w:spacing w:val="-2"/>
        </w:rPr>
        <w:t>m</w:t>
      </w:r>
      <w:r>
        <w:rPr>
          <w:rFonts w:ascii="SimSun" w:hAnsi="SimSun" w:eastAsia="SimSun" w:cs="SimSun"/>
          <w:sz w:val="24"/>
          <w:szCs w:val="24"/>
          <w:spacing w:val="-2"/>
        </w:rPr>
        <w:t>；</w:t>
      </w:r>
    </w:p>
    <w:p>
      <w:pPr>
        <w:ind w:left="755"/>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H—</w:t>
      </w:r>
      <w:r>
        <w:rPr>
          <w:rFonts w:ascii="SimSun" w:hAnsi="SimSun" w:eastAsia="SimSun" w:cs="SimSun"/>
          <w:sz w:val="24"/>
          <w:szCs w:val="24"/>
          <w:spacing w:val="-1"/>
        </w:rPr>
        <w:t>含水层厚度，</w:t>
      </w:r>
      <w:r>
        <w:rPr>
          <w:rFonts w:ascii="Times New Roman" w:hAnsi="Times New Roman" w:eastAsia="Times New Roman" w:cs="Times New Roman"/>
          <w:sz w:val="24"/>
          <w:szCs w:val="24"/>
          <w:spacing w:val="-1"/>
        </w:rPr>
        <w:t>m</w:t>
      </w:r>
      <w:r>
        <w:rPr>
          <w:rFonts w:ascii="SimSun" w:hAnsi="SimSun" w:eastAsia="SimSun" w:cs="SimSun"/>
          <w:sz w:val="24"/>
          <w:szCs w:val="24"/>
          <w:spacing w:val="-1"/>
        </w:rPr>
        <w:t>；</w:t>
      </w:r>
    </w:p>
    <w:p>
      <w:pPr>
        <w:ind w:left="755"/>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1"/>
        </w:rPr>
        <w:t>K—</w:t>
      </w:r>
      <w:r>
        <w:rPr>
          <w:rFonts w:ascii="SimSun" w:hAnsi="SimSun" w:eastAsia="SimSun" w:cs="SimSun"/>
          <w:sz w:val="24"/>
          <w:szCs w:val="24"/>
          <w:spacing w:val="-1"/>
        </w:rPr>
        <w:t>渗透系数，</w:t>
      </w:r>
      <w:r>
        <w:rPr>
          <w:rFonts w:ascii="Times New Roman" w:hAnsi="Times New Roman" w:eastAsia="Times New Roman" w:cs="Times New Roman"/>
          <w:sz w:val="24"/>
          <w:szCs w:val="24"/>
          <w:spacing w:val="-1"/>
        </w:rPr>
        <w:t>m/d</w:t>
      </w:r>
      <w:r>
        <w:rPr>
          <w:rFonts w:ascii="SimSun" w:hAnsi="SimSun" w:eastAsia="SimSun" w:cs="SimSun"/>
          <w:sz w:val="24"/>
          <w:szCs w:val="24"/>
          <w:spacing w:val="-1"/>
        </w:rPr>
        <w:t>。</w:t>
      </w:r>
    </w:p>
    <w:p>
      <w:pPr>
        <w:ind w:left="520"/>
        <w:spacing w:before="155" w:line="219" w:lineRule="auto"/>
        <w:rPr>
          <w:rFonts w:ascii="SimSun" w:hAnsi="SimSun" w:eastAsia="SimSun" w:cs="SimSun"/>
          <w:sz w:val="24"/>
          <w:szCs w:val="24"/>
        </w:rPr>
      </w:pPr>
      <w:r>
        <w:rPr>
          <w:rFonts w:ascii="SimSun" w:hAnsi="SimSun" w:eastAsia="SimSun" w:cs="SimSun"/>
          <w:sz w:val="24"/>
          <w:szCs w:val="24"/>
          <w:spacing w:val="-1"/>
        </w:rPr>
        <w:t>根据公式计算，影响半径计算参数和计算结果见表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5-4-10</w:t>
      </w:r>
      <w:r>
        <w:rPr>
          <w:rFonts w:ascii="SimSun" w:hAnsi="SimSun" w:eastAsia="SimSun" w:cs="SimSun"/>
          <w:sz w:val="24"/>
          <w:szCs w:val="24"/>
          <w:spacing w:val="-1"/>
        </w:rPr>
        <w:t>。</w:t>
      </w:r>
    </w:p>
    <w:p>
      <w:pPr>
        <w:ind w:left="1932"/>
        <w:spacing w:before="283" w:line="222" w:lineRule="auto"/>
        <w:rPr>
          <w:rFonts w:ascii="SimHei" w:hAnsi="SimHei" w:eastAsia="SimHei" w:cs="SimHei"/>
          <w:sz w:val="24"/>
          <w:szCs w:val="24"/>
        </w:rPr>
      </w:pPr>
      <w:r>
        <w:rPr>
          <w:rFonts w:ascii="SimHei" w:hAnsi="SimHei" w:eastAsia="SimHei" w:cs="SimHei"/>
          <w:sz w:val="24"/>
          <w:szCs w:val="24"/>
          <w:b/>
          <w:bCs/>
          <w:spacing w:val="-3"/>
        </w:rPr>
        <w:t>露天开采对地下水影响半径计算参数和计算结果表</w:t>
      </w:r>
    </w:p>
    <w:p>
      <w:pPr>
        <w:ind w:left="38"/>
        <w:spacing w:before="209"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2"/>
        </w:rPr>
        <w:t>5-4-10</w:t>
      </w:r>
    </w:p>
    <w:p>
      <w:pPr>
        <w:spacing w:line="23" w:lineRule="exact"/>
        <w:rPr/>
      </w:p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51"/>
        <w:gridCol w:w="1218"/>
        <w:gridCol w:w="1379"/>
        <w:gridCol w:w="1382"/>
        <w:gridCol w:w="1485"/>
        <w:gridCol w:w="1487"/>
        <w:gridCol w:w="1429"/>
      </w:tblGrid>
      <w:tr>
        <w:trPr>
          <w:trHeight w:val="553" w:hRule="atLeast"/>
        </w:trPr>
        <w:tc>
          <w:tcPr>
            <w:tcW w:w="751" w:type="dxa"/>
            <w:vAlign w:val="top"/>
          </w:tcPr>
          <w:p>
            <w:pPr>
              <w:ind w:left="272" w:right="59" w:hanging="207"/>
              <w:spacing w:before="33" w:line="235" w:lineRule="auto"/>
              <w:rPr>
                <w:rFonts w:ascii="SimSun" w:hAnsi="SimSun" w:eastAsia="SimSun" w:cs="SimSun"/>
                <w:sz w:val="20"/>
                <w:szCs w:val="20"/>
              </w:rPr>
            </w:pPr>
            <w:r>
              <w:rPr>
                <w:rFonts w:ascii="SimSun" w:hAnsi="SimSun" w:eastAsia="SimSun" w:cs="SimSun"/>
                <w:sz w:val="20"/>
                <w:szCs w:val="20"/>
                <w:spacing w:val="6"/>
              </w:rPr>
              <w:t>井田名</w:t>
            </w:r>
            <w:r>
              <w:rPr>
                <w:rFonts w:ascii="SimSun" w:hAnsi="SimSun" w:eastAsia="SimSun" w:cs="SimSun"/>
                <w:sz w:val="20"/>
                <w:szCs w:val="20"/>
                <w:spacing w:val="1"/>
              </w:rPr>
              <w:t>称</w:t>
            </w:r>
          </w:p>
        </w:tc>
        <w:tc>
          <w:tcPr>
            <w:tcW w:w="1218" w:type="dxa"/>
            <w:vAlign w:val="top"/>
          </w:tcPr>
          <w:p>
            <w:pPr>
              <w:ind w:left="296"/>
              <w:spacing w:before="167" w:line="228" w:lineRule="auto"/>
              <w:rPr>
                <w:rFonts w:ascii="SimSun" w:hAnsi="SimSun" w:eastAsia="SimSun" w:cs="SimSun"/>
                <w:sz w:val="20"/>
                <w:szCs w:val="20"/>
              </w:rPr>
            </w:pPr>
            <w:r>
              <w:rPr>
                <w:rFonts w:ascii="SimSun" w:hAnsi="SimSun" w:eastAsia="SimSun" w:cs="SimSun"/>
                <w:sz w:val="20"/>
                <w:szCs w:val="20"/>
                <w:spacing w:val="6"/>
              </w:rPr>
              <w:t>含水层</w:t>
            </w:r>
          </w:p>
        </w:tc>
        <w:tc>
          <w:tcPr>
            <w:tcW w:w="1379" w:type="dxa"/>
            <w:vAlign w:val="top"/>
          </w:tcPr>
          <w:p>
            <w:pPr>
              <w:ind w:left="484"/>
              <w:spacing w:before="168" w:line="229" w:lineRule="auto"/>
              <w:rPr>
                <w:rFonts w:ascii="SimSun" w:hAnsi="SimSun" w:eastAsia="SimSun" w:cs="SimSun"/>
                <w:sz w:val="20"/>
                <w:szCs w:val="20"/>
              </w:rPr>
            </w:pPr>
            <w:r>
              <w:rPr>
                <w:rFonts w:ascii="SimSun" w:hAnsi="SimSun" w:eastAsia="SimSun" w:cs="SimSun"/>
                <w:sz w:val="20"/>
                <w:szCs w:val="20"/>
                <w:spacing w:val="4"/>
              </w:rPr>
              <w:t>钻孔</w:t>
            </w:r>
          </w:p>
        </w:tc>
        <w:tc>
          <w:tcPr>
            <w:tcW w:w="1382" w:type="dxa"/>
            <w:vAlign w:val="top"/>
          </w:tcPr>
          <w:p>
            <w:pPr>
              <w:ind w:left="276"/>
              <w:spacing w:before="47" w:line="228" w:lineRule="auto"/>
              <w:rPr>
                <w:rFonts w:ascii="SimSun" w:hAnsi="SimSun" w:eastAsia="SimSun" w:cs="SimSun"/>
                <w:sz w:val="20"/>
                <w:szCs w:val="20"/>
              </w:rPr>
            </w:pPr>
            <w:r>
              <w:rPr>
                <w:rFonts w:ascii="SimSun" w:hAnsi="SimSun" w:eastAsia="SimSun" w:cs="SimSun"/>
                <w:sz w:val="20"/>
                <w:szCs w:val="20"/>
                <w:spacing w:val="6"/>
              </w:rPr>
              <w:t>水位降深</w:t>
            </w:r>
          </w:p>
          <w:p>
            <w:pPr>
              <w:pStyle w:val="TableText"/>
              <w:ind w:left="492"/>
              <w:spacing w:before="42" w:line="201" w:lineRule="auto"/>
              <w:rPr/>
            </w:pPr>
            <w:r>
              <w:rPr>
                <w:spacing w:val="1"/>
              </w:rPr>
              <w:t>S(m)</w:t>
            </w:r>
          </w:p>
        </w:tc>
        <w:tc>
          <w:tcPr>
            <w:tcW w:w="1485" w:type="dxa"/>
            <w:vAlign w:val="top"/>
          </w:tcPr>
          <w:p>
            <w:pPr>
              <w:ind w:left="224"/>
              <w:spacing w:before="167" w:line="228" w:lineRule="auto"/>
              <w:rPr>
                <w:rFonts w:ascii="SimSun" w:hAnsi="SimSun" w:eastAsia="SimSun" w:cs="SimSun"/>
                <w:sz w:val="20"/>
                <w:szCs w:val="20"/>
              </w:rPr>
            </w:pPr>
            <w:r>
              <w:rPr>
                <w:rFonts w:ascii="SimSun" w:hAnsi="SimSun" w:eastAsia="SimSun" w:cs="SimSun"/>
                <w:sz w:val="20"/>
                <w:szCs w:val="20"/>
                <w:spacing w:val="8"/>
              </w:rPr>
              <w:t>含水层厚度</w:t>
            </w:r>
          </w:p>
        </w:tc>
        <w:tc>
          <w:tcPr>
            <w:tcW w:w="1487" w:type="dxa"/>
            <w:vAlign w:val="top"/>
          </w:tcPr>
          <w:p>
            <w:pPr>
              <w:pStyle w:val="TableText"/>
              <w:ind w:left="435" w:right="321" w:hanging="104"/>
              <w:spacing w:before="48" w:line="242" w:lineRule="auto"/>
              <w:rPr/>
            </w:pPr>
            <w:r>
              <w:rPr>
                <w:rFonts w:ascii="SimSun" w:hAnsi="SimSun" w:eastAsia="SimSun" w:cs="SimSun"/>
                <w:spacing w:val="7"/>
              </w:rPr>
              <w:t>渗透系数</w:t>
            </w:r>
            <w:r>
              <w:rPr>
                <w:spacing w:val="4"/>
              </w:rPr>
              <w:t>K(m/d)</w:t>
            </w:r>
          </w:p>
        </w:tc>
        <w:tc>
          <w:tcPr>
            <w:tcW w:w="1429" w:type="dxa"/>
            <w:vAlign w:val="top"/>
          </w:tcPr>
          <w:p>
            <w:pPr>
              <w:ind w:left="300"/>
              <w:spacing w:before="47" w:line="228" w:lineRule="auto"/>
              <w:rPr>
                <w:rFonts w:ascii="SimSun" w:hAnsi="SimSun" w:eastAsia="SimSun" w:cs="SimSun"/>
                <w:sz w:val="20"/>
                <w:szCs w:val="20"/>
              </w:rPr>
            </w:pPr>
            <w:r>
              <w:rPr>
                <w:rFonts w:ascii="SimSun" w:hAnsi="SimSun" w:eastAsia="SimSun" w:cs="SimSun"/>
                <w:sz w:val="20"/>
                <w:szCs w:val="20"/>
                <w:spacing w:val="7"/>
              </w:rPr>
              <w:t>影响半径</w:t>
            </w:r>
          </w:p>
          <w:p>
            <w:pPr>
              <w:pStyle w:val="TableText"/>
              <w:ind w:left="492"/>
              <w:spacing w:before="42" w:line="201" w:lineRule="auto"/>
              <w:rPr/>
            </w:pPr>
            <w:r>
              <w:rPr>
                <w:spacing w:val="3"/>
              </w:rPr>
              <w:t>R(m)</w:t>
            </w:r>
          </w:p>
        </w:tc>
      </w:tr>
      <w:tr>
        <w:trPr>
          <w:trHeight w:val="275" w:hRule="atLeast"/>
        </w:trPr>
        <w:tc>
          <w:tcPr>
            <w:tcW w:w="751" w:type="dxa"/>
            <w:vAlign w:val="top"/>
            <w:vMerge w:val="restart"/>
            <w:tcBorders>
              <w:bottom w:val="nil"/>
            </w:tcBorders>
          </w:tcPr>
          <w:p>
            <w:pPr>
              <w:spacing w:line="245" w:lineRule="auto"/>
              <w:rPr>
                <w:rFonts w:ascii="Arial"/>
                <w:sz w:val="21"/>
              </w:rPr>
            </w:pPr>
            <w:r/>
          </w:p>
          <w:p>
            <w:pPr>
              <w:ind w:left="85" w:right="59" w:firstLine="10"/>
              <w:spacing w:before="65" w:line="250" w:lineRule="auto"/>
              <w:rPr>
                <w:rFonts w:ascii="SimSun" w:hAnsi="SimSun" w:eastAsia="SimSun" w:cs="SimSun"/>
                <w:sz w:val="20"/>
                <w:szCs w:val="20"/>
              </w:rPr>
            </w:pPr>
            <w:r>
              <w:rPr>
                <w:rFonts w:ascii="SimSun" w:hAnsi="SimSun" w:eastAsia="SimSun" w:cs="SimSun"/>
                <w:sz w:val="20"/>
                <w:szCs w:val="20"/>
                <w:spacing w:val="-4"/>
              </w:rPr>
              <w:t>白音华</w:t>
            </w:r>
            <w:r>
              <w:rPr>
                <w:rFonts w:ascii="SimSun" w:hAnsi="SimSun" w:eastAsia="SimSun" w:cs="SimSun"/>
                <w:sz w:val="20"/>
                <w:szCs w:val="20"/>
              </w:rPr>
              <w:t>四号矿</w:t>
            </w:r>
          </w:p>
          <w:p>
            <w:pPr>
              <w:ind w:left="70"/>
              <w:spacing w:line="228" w:lineRule="auto"/>
              <w:rPr>
                <w:rFonts w:ascii="SimSun" w:hAnsi="SimSun" w:eastAsia="SimSun" w:cs="SimSun"/>
                <w:sz w:val="20"/>
                <w:szCs w:val="20"/>
              </w:rPr>
            </w:pPr>
            <w:r>
              <w:rPr>
                <w:rFonts w:ascii="SimSun" w:hAnsi="SimSun" w:eastAsia="SimSun" w:cs="SimSun"/>
                <w:sz w:val="20"/>
                <w:szCs w:val="20"/>
                <w:spacing w:val="5"/>
              </w:rPr>
              <w:t>露天区</w:t>
            </w:r>
          </w:p>
        </w:tc>
        <w:tc>
          <w:tcPr>
            <w:tcW w:w="1218" w:type="dxa"/>
            <w:vAlign w:val="top"/>
            <w:vMerge w:val="restart"/>
            <w:tcBorders>
              <w:bottom w:val="nil"/>
            </w:tcBorders>
          </w:tcPr>
          <w:p>
            <w:pPr>
              <w:ind w:left="295" w:right="84" w:hanging="208"/>
              <w:spacing w:before="33" w:line="237" w:lineRule="auto"/>
              <w:rPr>
                <w:rFonts w:ascii="SimSun" w:hAnsi="SimSun" w:eastAsia="SimSun" w:cs="SimSun"/>
                <w:sz w:val="20"/>
                <w:szCs w:val="20"/>
              </w:rPr>
            </w:pPr>
            <w:r>
              <w:rPr>
                <w:rFonts w:ascii="SimSun" w:hAnsi="SimSun" w:eastAsia="SimSun" w:cs="SimSun"/>
                <w:sz w:val="20"/>
                <w:szCs w:val="20"/>
                <w:spacing w:val="8"/>
              </w:rPr>
              <w:t>第四系潜水</w:t>
            </w:r>
            <w:r>
              <w:rPr>
                <w:rFonts w:ascii="SimSun" w:hAnsi="SimSun" w:eastAsia="SimSun" w:cs="SimSun"/>
                <w:sz w:val="20"/>
                <w:szCs w:val="20"/>
                <w:spacing w:val="6"/>
              </w:rPr>
              <w:t>含水层</w:t>
            </w:r>
          </w:p>
        </w:tc>
        <w:tc>
          <w:tcPr>
            <w:tcW w:w="1379" w:type="dxa"/>
            <w:vAlign w:val="top"/>
          </w:tcPr>
          <w:p>
            <w:pPr>
              <w:pStyle w:val="TableText"/>
              <w:ind w:left="455"/>
              <w:spacing w:before="29" w:line="217" w:lineRule="auto"/>
              <w:rPr/>
            </w:pPr>
            <w:r>
              <w:rPr>
                <w:rFonts w:ascii="SimSun" w:hAnsi="SimSun" w:eastAsia="SimSun" w:cs="SimSun"/>
                <w:spacing w:val="2"/>
              </w:rPr>
              <w:t>水</w:t>
            </w:r>
            <w:r>
              <w:rPr>
                <w:rFonts w:ascii="SimSun" w:hAnsi="SimSun" w:eastAsia="SimSun" w:cs="SimSun"/>
                <w:spacing w:val="-44"/>
              </w:rPr>
              <w:t xml:space="preserve"> </w:t>
            </w:r>
            <w:r>
              <w:rPr/>
              <w:t>Ea</w:t>
            </w:r>
          </w:p>
        </w:tc>
        <w:tc>
          <w:tcPr>
            <w:tcW w:w="1382" w:type="dxa"/>
            <w:vAlign w:val="top"/>
          </w:tcPr>
          <w:p>
            <w:pPr>
              <w:pStyle w:val="TableText"/>
              <w:ind w:left="475"/>
              <w:spacing w:before="66" w:line="195" w:lineRule="auto"/>
              <w:rPr/>
            </w:pPr>
            <w:r>
              <w:rPr>
                <w:spacing w:val="-1"/>
              </w:rPr>
              <w:t>10.55</w:t>
            </w:r>
          </w:p>
        </w:tc>
        <w:tc>
          <w:tcPr>
            <w:tcW w:w="1485" w:type="dxa"/>
            <w:vAlign w:val="top"/>
          </w:tcPr>
          <w:p>
            <w:pPr>
              <w:pStyle w:val="TableText"/>
              <w:ind w:left="528"/>
              <w:spacing w:before="66" w:line="195" w:lineRule="auto"/>
              <w:rPr/>
            </w:pPr>
            <w:r>
              <w:rPr>
                <w:spacing w:val="-1"/>
              </w:rPr>
              <w:t>10.55</w:t>
            </w:r>
          </w:p>
        </w:tc>
        <w:tc>
          <w:tcPr>
            <w:tcW w:w="1487" w:type="dxa"/>
            <w:vAlign w:val="top"/>
          </w:tcPr>
          <w:p>
            <w:pPr>
              <w:pStyle w:val="TableText"/>
              <w:ind w:left="529"/>
              <w:spacing w:before="66" w:line="195" w:lineRule="auto"/>
              <w:rPr/>
            </w:pPr>
            <w:r>
              <w:rPr>
                <w:spacing w:val="-1"/>
              </w:rPr>
              <w:t>18.34</w:t>
            </w:r>
          </w:p>
        </w:tc>
        <w:tc>
          <w:tcPr>
            <w:tcW w:w="1429" w:type="dxa"/>
            <w:vAlign w:val="top"/>
          </w:tcPr>
          <w:p>
            <w:pPr>
              <w:pStyle w:val="TableText"/>
              <w:ind w:left="426"/>
              <w:spacing w:before="66" w:line="195" w:lineRule="auto"/>
              <w:rPr/>
            </w:pPr>
            <w:r>
              <w:rPr>
                <w:spacing w:val="3"/>
              </w:rPr>
              <w:t>293.50</w:t>
            </w:r>
          </w:p>
        </w:tc>
      </w:tr>
      <w:tr>
        <w:trPr>
          <w:trHeight w:val="277" w:hRule="atLeast"/>
        </w:trPr>
        <w:tc>
          <w:tcPr>
            <w:tcW w:w="751" w:type="dxa"/>
            <w:vAlign w:val="top"/>
            <w:vMerge w:val="continue"/>
            <w:tcBorders>
              <w:top w:val="nil"/>
              <w:bottom w:val="nil"/>
            </w:tcBorders>
          </w:tcPr>
          <w:p>
            <w:pPr>
              <w:rPr>
                <w:rFonts w:ascii="Arial"/>
                <w:sz w:val="21"/>
              </w:rPr>
            </w:pPr>
            <w:r/>
          </w:p>
        </w:tc>
        <w:tc>
          <w:tcPr>
            <w:tcW w:w="1218" w:type="dxa"/>
            <w:vAlign w:val="top"/>
            <w:vMerge w:val="continue"/>
            <w:tcBorders>
              <w:top w:val="nil"/>
            </w:tcBorders>
          </w:tcPr>
          <w:p>
            <w:pPr>
              <w:rPr>
                <w:rFonts w:ascii="Arial"/>
                <w:sz w:val="21"/>
              </w:rPr>
            </w:pPr>
            <w:r/>
          </w:p>
        </w:tc>
        <w:tc>
          <w:tcPr>
            <w:tcW w:w="1379" w:type="dxa"/>
            <w:vAlign w:val="top"/>
          </w:tcPr>
          <w:p>
            <w:pPr>
              <w:pStyle w:val="TableText"/>
              <w:ind w:left="484"/>
              <w:spacing w:before="30" w:line="218" w:lineRule="auto"/>
              <w:rPr/>
            </w:pPr>
            <w:r>
              <w:rPr>
                <w:rFonts w:ascii="SimSun" w:hAnsi="SimSun" w:eastAsia="SimSun" w:cs="SimSun"/>
                <w:spacing w:val="-1"/>
              </w:rPr>
              <w:t>水</w:t>
            </w:r>
            <w:r>
              <w:rPr>
                <w:rFonts w:ascii="SimSun" w:hAnsi="SimSun" w:eastAsia="SimSun" w:cs="SimSun"/>
                <w:spacing w:val="-45"/>
              </w:rPr>
              <w:t xml:space="preserve"> </w:t>
            </w:r>
            <w:r>
              <w:rPr>
                <w:spacing w:val="-1"/>
              </w:rPr>
              <w:t>Ia</w:t>
            </w:r>
          </w:p>
        </w:tc>
        <w:tc>
          <w:tcPr>
            <w:tcW w:w="1382" w:type="dxa"/>
            <w:vAlign w:val="top"/>
          </w:tcPr>
          <w:p>
            <w:pPr>
              <w:pStyle w:val="TableText"/>
              <w:ind w:left="563"/>
              <w:spacing w:before="66" w:line="195" w:lineRule="auto"/>
              <w:rPr/>
            </w:pPr>
            <w:r>
              <w:rPr>
                <w:spacing w:val="2"/>
              </w:rPr>
              <w:t>6.5</w:t>
            </w:r>
          </w:p>
        </w:tc>
        <w:tc>
          <w:tcPr>
            <w:tcW w:w="1485" w:type="dxa"/>
            <w:vAlign w:val="top"/>
          </w:tcPr>
          <w:p>
            <w:pPr>
              <w:pStyle w:val="TableText"/>
              <w:ind w:left="618"/>
              <w:spacing w:before="66" w:line="195" w:lineRule="auto"/>
              <w:rPr/>
            </w:pPr>
            <w:r>
              <w:rPr>
                <w:spacing w:val="1"/>
              </w:rPr>
              <w:t>6.5</w:t>
            </w:r>
          </w:p>
        </w:tc>
        <w:tc>
          <w:tcPr>
            <w:tcW w:w="1487" w:type="dxa"/>
            <w:vAlign w:val="top"/>
          </w:tcPr>
          <w:p>
            <w:pPr>
              <w:pStyle w:val="TableText"/>
              <w:ind w:left="529"/>
              <w:spacing w:before="66" w:line="195" w:lineRule="auto"/>
              <w:rPr/>
            </w:pPr>
            <w:r>
              <w:rPr>
                <w:spacing w:val="-1"/>
              </w:rPr>
              <w:t>16.66</w:t>
            </w:r>
          </w:p>
        </w:tc>
        <w:tc>
          <w:tcPr>
            <w:tcW w:w="1429" w:type="dxa"/>
            <w:vAlign w:val="top"/>
          </w:tcPr>
          <w:p>
            <w:pPr>
              <w:pStyle w:val="TableText"/>
              <w:ind w:left="446"/>
              <w:spacing w:before="66" w:line="195" w:lineRule="auto"/>
              <w:rPr/>
            </w:pPr>
            <w:r>
              <w:rPr/>
              <w:t>135.28</w:t>
            </w:r>
          </w:p>
        </w:tc>
      </w:tr>
      <w:tr>
        <w:trPr>
          <w:trHeight w:val="246" w:hRule="atLeast"/>
        </w:trPr>
        <w:tc>
          <w:tcPr>
            <w:tcW w:w="751" w:type="dxa"/>
            <w:vAlign w:val="top"/>
            <w:vMerge w:val="continue"/>
            <w:tcBorders>
              <w:top w:val="nil"/>
              <w:bottom w:val="nil"/>
            </w:tcBorders>
          </w:tcPr>
          <w:p>
            <w:pPr>
              <w:rPr>
                <w:rFonts w:ascii="Arial"/>
                <w:sz w:val="21"/>
              </w:rPr>
            </w:pPr>
            <w:r/>
          </w:p>
        </w:tc>
        <w:tc>
          <w:tcPr>
            <w:tcW w:w="1218" w:type="dxa"/>
            <w:vAlign w:val="top"/>
            <w:vMerge w:val="restart"/>
            <w:tcBorders>
              <w:bottom w:val="nil"/>
            </w:tcBorders>
          </w:tcPr>
          <w:p>
            <w:pPr>
              <w:ind w:left="35"/>
              <w:spacing w:before="32" w:line="228" w:lineRule="auto"/>
              <w:rPr>
                <w:rFonts w:ascii="SimSun" w:hAnsi="SimSun" w:eastAsia="SimSun" w:cs="SimSun"/>
                <w:sz w:val="20"/>
                <w:szCs w:val="20"/>
              </w:rPr>
            </w:pPr>
            <w:r>
              <w:rPr>
                <w:rFonts w:ascii="SimSun" w:hAnsi="SimSun" w:eastAsia="SimSun" w:cs="SimSun"/>
                <w:sz w:val="20"/>
                <w:szCs w:val="20"/>
                <w:spacing w:val="-10"/>
              </w:rPr>
              <w:t>一、二煤组裂</w:t>
            </w:r>
          </w:p>
          <w:p>
            <w:pPr>
              <w:ind w:left="101"/>
              <w:spacing w:before="23" w:line="228" w:lineRule="auto"/>
              <w:rPr>
                <w:rFonts w:ascii="SimSun" w:hAnsi="SimSun" w:eastAsia="SimSun" w:cs="SimSun"/>
                <w:sz w:val="20"/>
                <w:szCs w:val="20"/>
              </w:rPr>
            </w:pPr>
            <w:r>
              <w:rPr>
                <w:rFonts w:ascii="SimSun" w:hAnsi="SimSun" w:eastAsia="SimSun" w:cs="SimSun"/>
                <w:sz w:val="20"/>
                <w:szCs w:val="20"/>
                <w:spacing w:val="5"/>
              </w:rPr>
              <w:t>隙承压含水</w:t>
            </w:r>
          </w:p>
          <w:p>
            <w:pPr>
              <w:ind w:left="507"/>
              <w:spacing w:before="26" w:line="220" w:lineRule="auto"/>
              <w:rPr>
                <w:rFonts w:ascii="SimSun" w:hAnsi="SimSun" w:eastAsia="SimSun" w:cs="SimSun"/>
                <w:sz w:val="20"/>
                <w:szCs w:val="20"/>
              </w:rPr>
            </w:pPr>
            <w:r>
              <w:rPr>
                <w:rFonts w:ascii="SimSun" w:hAnsi="SimSun" w:eastAsia="SimSun" w:cs="SimSun"/>
                <w:sz w:val="20"/>
                <w:szCs w:val="20"/>
              </w:rPr>
              <w:t>层</w:t>
            </w:r>
          </w:p>
        </w:tc>
        <w:tc>
          <w:tcPr>
            <w:tcW w:w="1379" w:type="dxa"/>
            <w:vAlign w:val="top"/>
          </w:tcPr>
          <w:p>
            <w:pPr>
              <w:pStyle w:val="TableText"/>
              <w:ind w:left="558"/>
              <w:spacing w:before="53" w:line="190" w:lineRule="auto"/>
              <w:rPr/>
            </w:pPr>
            <w:r>
              <w:rPr>
                <w:spacing w:val="-1"/>
              </w:rPr>
              <w:t>8-2</w:t>
            </w:r>
          </w:p>
        </w:tc>
        <w:tc>
          <w:tcPr>
            <w:tcW w:w="1382" w:type="dxa"/>
            <w:vAlign w:val="top"/>
          </w:tcPr>
          <w:p>
            <w:pPr>
              <w:pStyle w:val="TableText"/>
              <w:ind w:left="463"/>
              <w:spacing w:before="53" w:line="190" w:lineRule="auto"/>
              <w:rPr/>
            </w:pPr>
            <w:r>
              <w:rPr>
                <w:spacing w:val="2"/>
              </w:rPr>
              <w:t>80.27</w:t>
            </w:r>
          </w:p>
        </w:tc>
        <w:tc>
          <w:tcPr>
            <w:tcW w:w="1485" w:type="dxa"/>
            <w:vAlign w:val="top"/>
          </w:tcPr>
          <w:p>
            <w:pPr>
              <w:pStyle w:val="TableText"/>
              <w:ind w:left="528"/>
              <w:spacing w:before="53" w:line="190" w:lineRule="auto"/>
              <w:rPr/>
            </w:pPr>
            <w:r>
              <w:rPr>
                <w:spacing w:val="-1"/>
              </w:rPr>
              <w:t>12.05</w:t>
            </w:r>
          </w:p>
        </w:tc>
        <w:tc>
          <w:tcPr>
            <w:tcW w:w="1487" w:type="dxa"/>
            <w:vAlign w:val="top"/>
          </w:tcPr>
          <w:p>
            <w:pPr>
              <w:pStyle w:val="TableText"/>
              <w:ind w:left="512"/>
              <w:spacing w:before="53" w:line="190" w:lineRule="auto"/>
              <w:rPr/>
            </w:pPr>
            <w:r>
              <w:rPr>
                <w:spacing w:val="3"/>
              </w:rPr>
              <w:t>0.798</w:t>
            </w:r>
          </w:p>
        </w:tc>
        <w:tc>
          <w:tcPr>
            <w:tcW w:w="1429" w:type="dxa"/>
            <w:vAlign w:val="top"/>
          </w:tcPr>
          <w:p>
            <w:pPr>
              <w:pStyle w:val="TableText"/>
              <w:ind w:left="425"/>
              <w:spacing w:before="53" w:line="190" w:lineRule="auto"/>
              <w:rPr/>
            </w:pPr>
            <w:r>
              <w:rPr>
                <w:spacing w:val="3"/>
              </w:rPr>
              <w:t>497.83</w:t>
            </w:r>
          </w:p>
        </w:tc>
      </w:tr>
      <w:tr>
        <w:trPr>
          <w:trHeight w:val="246" w:hRule="atLeast"/>
        </w:trPr>
        <w:tc>
          <w:tcPr>
            <w:tcW w:w="751" w:type="dxa"/>
            <w:vAlign w:val="top"/>
            <w:vMerge w:val="continue"/>
            <w:tcBorders>
              <w:top w:val="nil"/>
              <w:bottom w:val="nil"/>
            </w:tcBorders>
          </w:tcPr>
          <w:p>
            <w:pPr>
              <w:rPr>
                <w:rFonts w:ascii="Arial"/>
                <w:sz w:val="21"/>
              </w:rPr>
            </w:pPr>
            <w:r/>
          </w:p>
        </w:tc>
        <w:tc>
          <w:tcPr>
            <w:tcW w:w="1218" w:type="dxa"/>
            <w:vAlign w:val="top"/>
            <w:vMerge w:val="continue"/>
            <w:tcBorders>
              <w:top w:val="nil"/>
              <w:bottom w:val="nil"/>
            </w:tcBorders>
          </w:tcPr>
          <w:p>
            <w:pPr>
              <w:rPr>
                <w:rFonts w:ascii="Arial"/>
                <w:sz w:val="21"/>
              </w:rPr>
            </w:pPr>
            <w:r/>
          </w:p>
        </w:tc>
        <w:tc>
          <w:tcPr>
            <w:tcW w:w="1379" w:type="dxa"/>
            <w:vAlign w:val="top"/>
          </w:tcPr>
          <w:p>
            <w:pPr>
              <w:pStyle w:val="TableText"/>
              <w:ind w:left="532"/>
              <w:spacing w:before="54" w:line="189" w:lineRule="auto"/>
              <w:rPr/>
            </w:pPr>
            <w:r>
              <w:rPr>
                <w:spacing w:val="3"/>
              </w:rPr>
              <w:t>B-2</w:t>
            </w:r>
          </w:p>
        </w:tc>
        <w:tc>
          <w:tcPr>
            <w:tcW w:w="1382" w:type="dxa"/>
            <w:vAlign w:val="top"/>
          </w:tcPr>
          <w:p>
            <w:pPr>
              <w:pStyle w:val="TableText"/>
              <w:ind w:left="459"/>
              <w:spacing w:before="54" w:line="189" w:lineRule="auto"/>
              <w:rPr/>
            </w:pPr>
            <w:r>
              <w:rPr>
                <w:spacing w:val="3"/>
              </w:rPr>
              <w:t>69.76</w:t>
            </w:r>
          </w:p>
        </w:tc>
        <w:tc>
          <w:tcPr>
            <w:tcW w:w="1485" w:type="dxa"/>
            <w:vAlign w:val="top"/>
          </w:tcPr>
          <w:p>
            <w:pPr>
              <w:pStyle w:val="TableText"/>
              <w:ind w:left="508"/>
              <w:spacing w:before="54" w:line="189" w:lineRule="auto"/>
              <w:rPr/>
            </w:pPr>
            <w:r>
              <w:rPr>
                <w:spacing w:val="3"/>
              </w:rPr>
              <w:t>25.70</w:t>
            </w:r>
          </w:p>
        </w:tc>
        <w:tc>
          <w:tcPr>
            <w:tcW w:w="1487" w:type="dxa"/>
            <w:vAlign w:val="top"/>
          </w:tcPr>
          <w:p>
            <w:pPr>
              <w:pStyle w:val="TableText"/>
              <w:ind w:left="563"/>
              <w:spacing w:before="54" w:line="189" w:lineRule="auto"/>
              <w:rPr/>
            </w:pPr>
            <w:r>
              <w:rPr>
                <w:spacing w:val="3"/>
              </w:rPr>
              <w:t>3.47</w:t>
            </w:r>
          </w:p>
        </w:tc>
        <w:tc>
          <w:tcPr>
            <w:tcW w:w="1429" w:type="dxa"/>
            <w:vAlign w:val="top"/>
          </w:tcPr>
          <w:p>
            <w:pPr>
              <w:pStyle w:val="TableText"/>
              <w:ind w:left="393"/>
              <w:spacing w:before="54" w:line="189" w:lineRule="auto"/>
              <w:rPr/>
            </w:pPr>
            <w:r>
              <w:rPr>
                <w:spacing w:val="1"/>
              </w:rPr>
              <w:t>1317.55</w:t>
            </w:r>
          </w:p>
        </w:tc>
      </w:tr>
      <w:tr>
        <w:trPr>
          <w:trHeight w:val="323" w:hRule="atLeast"/>
        </w:trPr>
        <w:tc>
          <w:tcPr>
            <w:tcW w:w="751" w:type="dxa"/>
            <w:vAlign w:val="top"/>
            <w:vMerge w:val="continue"/>
            <w:tcBorders>
              <w:top w:val="nil"/>
            </w:tcBorders>
          </w:tcPr>
          <w:p>
            <w:pPr>
              <w:rPr>
                <w:rFonts w:ascii="Arial"/>
                <w:sz w:val="21"/>
              </w:rPr>
            </w:pPr>
            <w:r/>
          </w:p>
        </w:tc>
        <w:tc>
          <w:tcPr>
            <w:tcW w:w="1218" w:type="dxa"/>
            <w:vAlign w:val="top"/>
            <w:vMerge w:val="continue"/>
            <w:tcBorders>
              <w:top w:val="nil"/>
            </w:tcBorders>
          </w:tcPr>
          <w:p>
            <w:pPr>
              <w:rPr>
                <w:rFonts w:ascii="Arial"/>
                <w:sz w:val="21"/>
              </w:rPr>
            </w:pPr>
            <w:r/>
          </w:p>
        </w:tc>
        <w:tc>
          <w:tcPr>
            <w:tcW w:w="1379" w:type="dxa"/>
            <w:vAlign w:val="top"/>
          </w:tcPr>
          <w:p>
            <w:pPr>
              <w:pStyle w:val="TableText"/>
              <w:ind w:left="532"/>
              <w:spacing w:before="92" w:line="192" w:lineRule="auto"/>
              <w:rPr/>
            </w:pPr>
            <w:r>
              <w:rPr>
                <w:spacing w:val="3"/>
              </w:rPr>
              <w:t>B-5</w:t>
            </w:r>
          </w:p>
        </w:tc>
        <w:tc>
          <w:tcPr>
            <w:tcW w:w="1382" w:type="dxa"/>
            <w:vAlign w:val="top"/>
          </w:tcPr>
          <w:p>
            <w:pPr>
              <w:pStyle w:val="TableText"/>
              <w:ind w:left="422"/>
              <w:spacing w:before="89" w:line="195" w:lineRule="auto"/>
              <w:rPr/>
            </w:pPr>
            <w:r>
              <w:rPr/>
              <w:t>152.95</w:t>
            </w:r>
          </w:p>
        </w:tc>
        <w:tc>
          <w:tcPr>
            <w:tcW w:w="1485" w:type="dxa"/>
            <w:vAlign w:val="top"/>
          </w:tcPr>
          <w:p>
            <w:pPr>
              <w:pStyle w:val="TableText"/>
              <w:ind w:left="508"/>
              <w:spacing w:before="89" w:line="195" w:lineRule="auto"/>
              <w:rPr/>
            </w:pPr>
            <w:r>
              <w:rPr>
                <w:spacing w:val="3"/>
              </w:rPr>
              <w:t>27.75</w:t>
            </w:r>
          </w:p>
        </w:tc>
        <w:tc>
          <w:tcPr>
            <w:tcW w:w="1487" w:type="dxa"/>
            <w:vAlign w:val="top"/>
          </w:tcPr>
          <w:p>
            <w:pPr>
              <w:pStyle w:val="TableText"/>
              <w:ind w:left="512"/>
              <w:spacing w:before="89" w:line="195" w:lineRule="auto"/>
              <w:rPr/>
            </w:pPr>
            <w:r>
              <w:rPr>
                <w:spacing w:val="3"/>
              </w:rPr>
              <w:t>0.060</w:t>
            </w:r>
          </w:p>
        </w:tc>
        <w:tc>
          <w:tcPr>
            <w:tcW w:w="1429" w:type="dxa"/>
            <w:vAlign w:val="top"/>
          </w:tcPr>
          <w:p>
            <w:pPr>
              <w:pStyle w:val="TableText"/>
              <w:ind w:left="430"/>
              <w:spacing w:before="89" w:line="195" w:lineRule="auto"/>
              <w:rPr/>
            </w:pPr>
            <w:r>
              <w:rPr>
                <w:spacing w:val="3"/>
              </w:rPr>
              <w:t>394.72</w:t>
            </w:r>
          </w:p>
        </w:tc>
      </w:tr>
    </w:tbl>
    <w:p>
      <w:pPr>
        <w:pStyle w:val="BodyText"/>
        <w:spacing w:line="251" w:lineRule="auto"/>
        <w:rPr/>
      </w:pPr>
      <w:r/>
    </w:p>
    <w:p>
      <w:pPr>
        <w:pStyle w:val="BodyText"/>
        <w:spacing w:line="252" w:lineRule="auto"/>
        <w:rPr/>
      </w:pPr>
      <w:r/>
    </w:p>
    <w:p>
      <w:pPr>
        <w:ind w:left="40" w:right="33" w:firstLine="480"/>
        <w:spacing w:before="79" w:line="338" w:lineRule="auto"/>
        <w:jc w:val="both"/>
        <w:rPr>
          <w:rFonts w:ascii="SimSun" w:hAnsi="SimSun" w:eastAsia="SimSun" w:cs="SimSun"/>
          <w:sz w:val="24"/>
          <w:szCs w:val="24"/>
        </w:rPr>
      </w:pPr>
      <w:r>
        <w:rPr>
          <w:rFonts w:ascii="SimSun" w:hAnsi="SimSun" w:eastAsia="SimSun" w:cs="SimSun"/>
          <w:sz w:val="24"/>
          <w:szCs w:val="24"/>
          <w:spacing w:val="-1"/>
        </w:rPr>
        <w:t>计算得本项目露天开采对下第四系潜水含水层地下水最大影响半径为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293.5</w:t>
      </w:r>
      <w:r>
        <w:rPr>
          <w:rFonts w:ascii="Times New Roman" w:hAnsi="Times New Roman" w:eastAsia="Times New Roman" w:cs="Times New Roman"/>
          <w:sz w:val="24"/>
          <w:szCs w:val="24"/>
          <w:spacing w:val="-2"/>
        </w:rPr>
        <w:t>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，对</w:t>
      </w:r>
      <w:r>
        <w:rPr>
          <w:rFonts w:ascii="SimSun" w:hAnsi="SimSun" w:eastAsia="SimSun" w:cs="SimSun"/>
          <w:sz w:val="24"/>
          <w:szCs w:val="24"/>
          <w:spacing w:val="-4"/>
        </w:rPr>
        <w:t>一、二煤组裂隙承压含水层地下水最大影响半径为</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4"/>
        </w:rPr>
        <w:t>1317.55m</w:t>
      </w:r>
      <w:r>
        <w:rPr>
          <w:rFonts w:ascii="SimSun" w:hAnsi="SimSun" w:eastAsia="SimSun" w:cs="SimSun"/>
          <w:sz w:val="24"/>
          <w:szCs w:val="24"/>
          <w:spacing w:val="-4"/>
        </w:rPr>
        <w:t>。即煤炭开采对第四系潜水</w:t>
      </w:r>
      <w:r>
        <w:rPr>
          <w:rFonts w:ascii="SimSun" w:hAnsi="SimSun" w:eastAsia="SimSun" w:cs="SimSun"/>
          <w:sz w:val="24"/>
          <w:szCs w:val="24"/>
          <w:spacing w:val="-3"/>
        </w:rPr>
        <w:t>影响区域主要集中在采止线外</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293.50m</w:t>
      </w:r>
      <w:r>
        <w:rPr>
          <w:rFonts w:ascii="Times New Roman" w:hAnsi="Times New Roman" w:eastAsia="Times New Roman" w:cs="Times New Roman"/>
          <w:sz w:val="24"/>
          <w:szCs w:val="24"/>
          <w:spacing w:val="37"/>
          <w:w w:val="101"/>
        </w:rPr>
        <w:t xml:space="preserve"> </w:t>
      </w:r>
      <w:r>
        <w:rPr>
          <w:rFonts w:ascii="SimSun" w:hAnsi="SimSun" w:eastAsia="SimSun" w:cs="SimSun"/>
          <w:sz w:val="24"/>
          <w:szCs w:val="24"/>
          <w:spacing w:val="-3"/>
        </w:rPr>
        <w:t>以内的区域，对一、二煤组裂隙承压含水层影响</w:t>
      </w:r>
      <w:r>
        <w:rPr>
          <w:rFonts w:ascii="SimSun" w:hAnsi="SimSun" w:eastAsia="SimSun" w:cs="SimSun"/>
          <w:sz w:val="24"/>
          <w:szCs w:val="24"/>
          <w:spacing w:val="-2"/>
        </w:rPr>
        <w:t>区域主要集中在采止线外</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1317.55</w:t>
      </w:r>
      <w:r>
        <w:rPr>
          <w:rFonts w:ascii="Times New Roman" w:hAnsi="Times New Roman" w:eastAsia="Times New Roman" w:cs="Times New Roman"/>
          <w:sz w:val="24"/>
          <w:szCs w:val="24"/>
          <w:spacing w:val="36"/>
          <w:w w:val="101"/>
        </w:rPr>
        <w:t xml:space="preserve"> </w:t>
      </w:r>
      <w:r>
        <w:rPr>
          <w:rFonts w:ascii="SimSun" w:hAnsi="SimSun" w:eastAsia="SimSun" w:cs="SimSun"/>
          <w:sz w:val="24"/>
          <w:szCs w:val="24"/>
          <w:spacing w:val="-2"/>
        </w:rPr>
        <w:t>以内的区域，其它区域基本不受煤炭开采影响。</w:t>
      </w:r>
    </w:p>
    <w:p>
      <w:pPr>
        <w:ind w:left="516"/>
        <w:spacing w:line="218"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、煤炭开采对各含水层的影响分析</w:t>
      </w:r>
    </w:p>
    <w:p>
      <w:pPr>
        <w:ind w:left="43" w:right="33" w:firstLine="511"/>
        <w:spacing w:before="157" w:line="338" w:lineRule="auto"/>
        <w:rPr>
          <w:rFonts w:ascii="SimSun" w:hAnsi="SimSun" w:eastAsia="SimSun" w:cs="SimSun"/>
          <w:sz w:val="24"/>
          <w:szCs w:val="24"/>
        </w:rPr>
      </w:pPr>
      <w:r>
        <w:rPr>
          <w:rFonts w:ascii="SimSun" w:hAnsi="SimSun" w:eastAsia="SimSun" w:cs="SimSun"/>
          <w:sz w:val="24"/>
          <w:szCs w:val="24"/>
          <w:spacing w:val="-3"/>
        </w:rPr>
        <w:t>白音华矿井属白音华盆地水文地质单元的南西部分，含水层主要包括第四系孔隙潜</w:t>
      </w:r>
      <w:r>
        <w:rPr>
          <w:rFonts w:ascii="SimSun" w:hAnsi="SimSun" w:eastAsia="SimSun" w:cs="SimSun"/>
          <w:sz w:val="24"/>
          <w:szCs w:val="24"/>
          <w:spacing w:val="-1"/>
        </w:rPr>
        <w:t>水含水层和白垩系裂隙承压含水岩组。</w:t>
      </w:r>
    </w:p>
    <w:p>
      <w:pPr>
        <w:ind w:left="527"/>
        <w:spacing w:before="1"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）采煤对各含水层的影响分析</w:t>
      </w:r>
    </w:p>
    <w:p>
      <w:pPr>
        <w:spacing w:line="218" w:lineRule="auto"/>
        <w:sectPr>
          <w:headerReference w:type="default" r:id="rId199"/>
          <w:footerReference w:type="default" r:id="rId428"/>
          <w:pgSz w:w="11906" w:h="16838"/>
          <w:pgMar w:top="1170" w:right="1383" w:bottom="1080" w:left="1384" w:header="837" w:footer="918" w:gutter="0"/>
        </w:sectPr>
        <w:rPr>
          <w:rFonts w:ascii="SimSun" w:hAnsi="SimSun" w:eastAsia="SimSun" w:cs="SimSun"/>
          <w:sz w:val="24"/>
          <w:szCs w:val="24"/>
        </w:rPr>
      </w:pPr>
    </w:p>
    <w:p>
      <w:pPr>
        <w:pStyle w:val="BodyText"/>
        <w:spacing w:line="312" w:lineRule="auto"/>
        <w:rPr/>
      </w:pPr>
      <w:r/>
    </w:p>
    <w:p>
      <w:pPr>
        <w:ind w:left="488"/>
        <w:spacing w:before="78" w:line="217" w:lineRule="auto"/>
        <w:rPr>
          <w:rFonts w:ascii="SimSun" w:hAnsi="SimSun" w:eastAsia="SimSun" w:cs="SimSun"/>
          <w:sz w:val="24"/>
          <w:szCs w:val="24"/>
        </w:rPr>
      </w:pPr>
      <w:r>
        <w:rPr>
          <w:rFonts w:ascii="SimSun" w:hAnsi="SimSun" w:eastAsia="SimSun" w:cs="SimSun"/>
          <w:sz w:val="24"/>
          <w:szCs w:val="24"/>
          <w:spacing w:val="-1"/>
        </w:rPr>
        <w:t>①第四系松散岩类孔隙潜水含水层</w:t>
      </w:r>
    </w:p>
    <w:p>
      <w:pPr>
        <w:ind w:left="9" w:right="66" w:firstLine="480"/>
        <w:spacing w:before="161" w:line="338" w:lineRule="auto"/>
        <w:rPr>
          <w:rFonts w:ascii="SimSun" w:hAnsi="SimSun" w:eastAsia="SimSun" w:cs="SimSun"/>
          <w:sz w:val="24"/>
          <w:szCs w:val="24"/>
        </w:rPr>
      </w:pPr>
      <w:r>
        <w:rPr>
          <w:rFonts w:ascii="SimSun" w:hAnsi="SimSun" w:eastAsia="SimSun" w:cs="SimSun"/>
          <w:sz w:val="24"/>
          <w:szCs w:val="24"/>
          <w:spacing w:val="-2"/>
        </w:rPr>
        <w:t>本井田浅部含水层为第四系孔隙潜水含水层，岩性主要以灰黄色细、中砂为主，该</w:t>
      </w:r>
      <w:r>
        <w:rPr>
          <w:rFonts w:ascii="SimSun" w:hAnsi="SimSun" w:eastAsia="SimSun" w:cs="SimSun"/>
          <w:sz w:val="24"/>
          <w:szCs w:val="24"/>
          <w:spacing w:val="-2"/>
        </w:rPr>
        <w:t>含水层在本区普遍发育，分布连续，厚度稳定，埋深较浅。随着露天开采，第四系潜水</w:t>
      </w:r>
      <w:r>
        <w:rPr>
          <w:rFonts w:ascii="SimSun" w:hAnsi="SimSun" w:eastAsia="SimSun" w:cs="SimSun"/>
          <w:sz w:val="24"/>
          <w:szCs w:val="24"/>
          <w:spacing w:val="-1"/>
        </w:rPr>
        <w:t>含水层被开采剥离破坏，形成以露天采坑为中心的降落漏斗。</w:t>
      </w:r>
    </w:p>
    <w:p>
      <w:pPr>
        <w:ind w:left="487"/>
        <w:spacing w:line="217" w:lineRule="auto"/>
        <w:rPr>
          <w:rFonts w:ascii="SimSun" w:hAnsi="SimSun" w:eastAsia="SimSun" w:cs="SimSun"/>
          <w:sz w:val="24"/>
          <w:szCs w:val="24"/>
        </w:rPr>
      </w:pPr>
      <w:r>
        <w:rPr>
          <w:rFonts w:ascii="SimSun" w:hAnsi="SimSun" w:eastAsia="SimSun" w:cs="SimSun"/>
          <w:sz w:val="24"/>
          <w:szCs w:val="24"/>
          <w:spacing w:val="-1"/>
        </w:rPr>
        <w:t>②白垩系大磨拐河组裂隙承压含水岩组</w:t>
      </w:r>
    </w:p>
    <w:p>
      <w:pPr>
        <w:ind w:left="9" w:right="1" w:firstLine="514"/>
        <w:spacing w:before="156" w:line="339" w:lineRule="auto"/>
        <w:rPr>
          <w:rFonts w:ascii="SimSun" w:hAnsi="SimSun" w:eastAsia="SimSun" w:cs="SimSun"/>
          <w:sz w:val="24"/>
          <w:szCs w:val="24"/>
        </w:rPr>
      </w:pPr>
      <w:r>
        <w:rPr>
          <w:rFonts w:ascii="SimSun" w:hAnsi="SimSun" w:eastAsia="SimSun" w:cs="SimSun"/>
          <w:sz w:val="24"/>
          <w:szCs w:val="24"/>
          <w:spacing w:val="-3"/>
        </w:rPr>
        <w:t>白垩系下统大磨拐河组为本区的含煤地层。该含水岩组岩性主要为煤层、粗、细砂</w:t>
      </w:r>
      <w:r>
        <w:rPr>
          <w:rFonts w:ascii="SimSun" w:hAnsi="SimSun" w:eastAsia="SimSun" w:cs="SimSun"/>
          <w:sz w:val="24"/>
          <w:szCs w:val="24"/>
          <w:spacing w:val="-6"/>
        </w:rPr>
        <w:t>岩及砂砾岩，根据勘探资料，大磨拐河组裂隙承压含水层划分为两个承压裂隙含水岩组：</w:t>
      </w:r>
    </w:p>
    <w:p>
      <w:pPr>
        <w:ind w:left="11" w:right="66" w:firstLine="1"/>
        <w:spacing w:before="2" w:line="337" w:lineRule="auto"/>
        <w:rPr>
          <w:rFonts w:ascii="SimSun" w:hAnsi="SimSun" w:eastAsia="SimSun" w:cs="SimSun"/>
          <w:sz w:val="24"/>
          <w:szCs w:val="24"/>
        </w:rPr>
      </w:pPr>
      <w:r>
        <w:rPr>
          <w:rFonts w:ascii="SimSun" w:hAnsi="SimSun" w:eastAsia="SimSun" w:cs="SimSun"/>
          <w:sz w:val="24"/>
          <w:szCs w:val="24"/>
          <w:spacing w:val="-2"/>
        </w:rPr>
        <w:t>一、二煤组承压裂隙含水岩组；三煤组裂隙承压含水岩组。其中，一、二煤组含水岩组</w:t>
      </w:r>
      <w:r>
        <w:rPr>
          <w:rFonts w:ascii="SimSun" w:hAnsi="SimSun" w:eastAsia="SimSun" w:cs="SimSun"/>
          <w:sz w:val="24"/>
          <w:szCs w:val="24"/>
          <w:spacing w:val="-1"/>
        </w:rPr>
        <w:t>属于中等富水性含水岩组；三煤组的富水性属于弱含水岩组。</w:t>
      </w:r>
    </w:p>
    <w:p>
      <w:pPr>
        <w:ind w:left="12" w:right="66" w:firstLine="478"/>
        <w:spacing w:before="3" w:line="338" w:lineRule="auto"/>
        <w:jc w:val="both"/>
        <w:rPr>
          <w:rFonts w:ascii="SimSun" w:hAnsi="SimSun" w:eastAsia="SimSun" w:cs="SimSun"/>
          <w:sz w:val="24"/>
          <w:szCs w:val="24"/>
        </w:rPr>
      </w:pPr>
      <w:r>
        <w:rPr>
          <w:rFonts w:ascii="SimSun" w:hAnsi="SimSun" w:eastAsia="SimSun" w:cs="SimSun"/>
          <w:sz w:val="24"/>
          <w:szCs w:val="24"/>
          <w:spacing w:val="-2"/>
        </w:rPr>
        <w:t>本项目露天采掘场将会剥离白垩系一、二煤组含水层岩组，一、二煤组裂隙承压含</w:t>
      </w:r>
      <w:r>
        <w:rPr>
          <w:rFonts w:ascii="SimSun" w:hAnsi="SimSun" w:eastAsia="SimSun" w:cs="SimSun"/>
          <w:sz w:val="24"/>
          <w:szCs w:val="24"/>
          <w:spacing w:val="-2"/>
        </w:rPr>
        <w:t>水岩组地下水将直接进入采掘场，影响范围内的水位将会逐渐下降，形成以采掘场为中</w:t>
      </w:r>
      <w:r>
        <w:rPr>
          <w:rFonts w:ascii="SimSun" w:hAnsi="SimSun" w:eastAsia="SimSun" w:cs="SimSun"/>
          <w:sz w:val="24"/>
          <w:szCs w:val="24"/>
          <w:spacing w:val="12"/>
        </w:rPr>
        <w:t>心的降落漏斗。根据预测，开采一、二煤组含水层</w:t>
      </w:r>
      <w:r>
        <w:rPr>
          <w:rFonts w:ascii="SimSun" w:hAnsi="SimSun" w:eastAsia="SimSun" w:cs="SimSun"/>
          <w:sz w:val="24"/>
          <w:szCs w:val="24"/>
          <w:spacing w:val="11"/>
        </w:rPr>
        <w:t>岩组形成的降落漏洞半径最大为</w:t>
      </w:r>
      <w:r>
        <w:rPr>
          <w:rFonts w:ascii="Times New Roman" w:hAnsi="Times New Roman" w:eastAsia="Times New Roman" w:cs="Times New Roman"/>
          <w:sz w:val="24"/>
          <w:szCs w:val="24"/>
          <w:spacing w:val="-2"/>
        </w:rPr>
        <w:t>1317.55m</w:t>
      </w:r>
      <w:r>
        <w:rPr>
          <w:rFonts w:ascii="SimSun" w:hAnsi="SimSun" w:eastAsia="SimSun" w:cs="SimSun"/>
          <w:sz w:val="24"/>
          <w:szCs w:val="24"/>
          <w:spacing w:val="-2"/>
        </w:rPr>
        <w:t>。此外，本项目西侧的井工矿开采也会造成白垩系含水层的疏干，疏干范围最</w:t>
      </w:r>
      <w:r>
        <w:rPr>
          <w:rFonts w:ascii="SimSun" w:hAnsi="SimSun" w:eastAsia="SimSun" w:cs="SimSun"/>
          <w:sz w:val="24"/>
          <w:szCs w:val="24"/>
          <w:spacing w:val="-1"/>
        </w:rPr>
        <w:t>终为两者影响叠加后的范围。</w:t>
      </w:r>
    </w:p>
    <w:p>
      <w:pPr>
        <w:ind w:left="8"/>
        <w:spacing w:before="1"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5.4.4.2</w:t>
      </w:r>
      <w:r>
        <w:rPr>
          <w:rFonts w:ascii="SimHei" w:hAnsi="SimHei" w:eastAsia="SimHei" w:cs="SimHei"/>
          <w:sz w:val="24"/>
          <w:szCs w:val="24"/>
          <w:b/>
          <w:bCs/>
          <w:spacing w:val="-2"/>
        </w:rPr>
        <w:t>煤炭开采对地下水流场的影响分析</w:t>
      </w:r>
    </w:p>
    <w:p>
      <w:pPr>
        <w:ind w:left="9" w:right="66" w:firstLine="485"/>
        <w:spacing w:before="151" w:line="339" w:lineRule="auto"/>
        <w:jc w:val="both"/>
        <w:rPr>
          <w:rFonts w:ascii="SimSun" w:hAnsi="SimSun" w:eastAsia="SimSun" w:cs="SimSun"/>
          <w:sz w:val="24"/>
          <w:szCs w:val="24"/>
        </w:rPr>
      </w:pPr>
      <w:r>
        <w:rPr>
          <w:rFonts w:ascii="SimSun" w:hAnsi="SimSun" w:eastAsia="SimSun" w:cs="SimSun"/>
          <w:sz w:val="24"/>
          <w:szCs w:val="24"/>
          <w:spacing w:val="-2"/>
        </w:rPr>
        <w:t>露天开采主要揭露含水层为第四系潜水含水层、白垩系承压含水层，以上两个含水</w:t>
      </w:r>
      <w:r>
        <w:rPr>
          <w:rFonts w:ascii="SimSun" w:hAnsi="SimSun" w:eastAsia="SimSun" w:cs="SimSun"/>
          <w:sz w:val="24"/>
          <w:szCs w:val="24"/>
          <w:spacing w:val="-2"/>
        </w:rPr>
        <w:t>层的地下水径流方向发生变化，不再向下游径流，转而汇入采掘场内，形成以采掘场为</w:t>
      </w:r>
      <w:r>
        <w:rPr>
          <w:rFonts w:ascii="SimSun" w:hAnsi="SimSun" w:eastAsia="SimSun" w:cs="SimSun"/>
          <w:sz w:val="24"/>
          <w:szCs w:val="24"/>
          <w:spacing w:val="-1"/>
        </w:rPr>
        <w:t>中心的地下水降落漏斗。根据预测，第四系潜水含水层的影响范围约为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293.50m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w:t>
      </w:r>
      <w:r>
        <w:rPr>
          <w:rFonts w:ascii="SimSun" w:hAnsi="SimSun" w:eastAsia="SimSun" w:cs="SimSun"/>
          <w:sz w:val="24"/>
          <w:szCs w:val="24"/>
          <w:spacing w:val="-2"/>
        </w:rPr>
        <w:t>白垩</w:t>
      </w:r>
      <w:r>
        <w:rPr>
          <w:rFonts w:ascii="SimSun" w:hAnsi="SimSun" w:eastAsia="SimSun" w:cs="SimSun"/>
          <w:sz w:val="24"/>
          <w:szCs w:val="24"/>
          <w:spacing w:val="-2"/>
        </w:rPr>
        <w:t>系含水层的影响范围最大为</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1317.55m</w:t>
      </w:r>
      <w:r>
        <w:rPr>
          <w:rFonts w:ascii="SimSun" w:hAnsi="SimSun" w:eastAsia="SimSun" w:cs="SimSun"/>
          <w:sz w:val="24"/>
          <w:szCs w:val="24"/>
          <w:spacing w:val="-2"/>
        </w:rPr>
        <w:t>。</w:t>
      </w:r>
    </w:p>
    <w:p>
      <w:pPr>
        <w:ind w:left="10" w:right="66" w:firstLine="479"/>
        <w:spacing w:before="2" w:line="338" w:lineRule="auto"/>
        <w:jc w:val="both"/>
        <w:rPr>
          <w:rFonts w:ascii="SimSun" w:hAnsi="SimSun" w:eastAsia="SimSun" w:cs="SimSun"/>
          <w:sz w:val="24"/>
          <w:szCs w:val="24"/>
        </w:rPr>
      </w:pPr>
      <w:r>
        <w:rPr>
          <w:rFonts w:ascii="SimSun" w:hAnsi="SimSun" w:eastAsia="SimSun" w:cs="SimSun"/>
          <w:sz w:val="24"/>
          <w:szCs w:val="24"/>
          <w:spacing w:val="-4"/>
        </w:rPr>
        <w:t>根据实际地下水长观孔监测结果，</w:t>
      </w:r>
      <w:r>
        <w:rPr>
          <w:rFonts w:ascii="Times New Roman" w:hAnsi="Times New Roman" w:eastAsia="Times New Roman" w:cs="Times New Roman"/>
          <w:sz w:val="24"/>
          <w:szCs w:val="24"/>
          <w:spacing w:val="-4"/>
        </w:rPr>
        <w:t>2019</w:t>
      </w:r>
      <w:r>
        <w:rPr>
          <w:rFonts w:ascii="SimSun" w:hAnsi="SimSun" w:eastAsia="SimSun" w:cs="SimSun"/>
          <w:sz w:val="24"/>
          <w:szCs w:val="24"/>
          <w:spacing w:val="-4"/>
        </w:rPr>
        <w:t>～</w:t>
      </w:r>
      <w:r>
        <w:rPr>
          <w:rFonts w:ascii="Times New Roman" w:hAnsi="Times New Roman" w:eastAsia="Times New Roman" w:cs="Times New Roman"/>
          <w:sz w:val="24"/>
          <w:szCs w:val="24"/>
          <w:spacing w:val="-4"/>
        </w:rPr>
        <w:t>2024</w:t>
      </w:r>
      <w:r>
        <w:rPr>
          <w:rFonts w:ascii="Times New Roman" w:hAnsi="Times New Roman" w:eastAsia="Times New Roman" w:cs="Times New Roman"/>
          <w:sz w:val="24"/>
          <w:szCs w:val="24"/>
          <w:spacing w:val="41"/>
          <w:w w:val="101"/>
        </w:rPr>
        <w:t xml:space="preserve"> </w:t>
      </w:r>
      <w:r>
        <w:rPr>
          <w:rFonts w:ascii="SimSun" w:hAnsi="SimSun" w:eastAsia="SimSun" w:cs="SimSun"/>
          <w:sz w:val="24"/>
          <w:szCs w:val="24"/>
          <w:spacing w:val="-4"/>
        </w:rPr>
        <w:t>区域第四系潜水水位稳定，未出现明</w:t>
      </w:r>
      <w:r>
        <w:rPr>
          <w:rFonts w:ascii="SimSun" w:hAnsi="SimSun" w:eastAsia="SimSun" w:cs="SimSun"/>
          <w:sz w:val="24"/>
          <w:szCs w:val="24"/>
          <w:spacing w:val="1"/>
        </w:rPr>
        <w:t>显波动。本次评价认为，本项目自</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08 </w:t>
      </w:r>
      <w:r>
        <w:rPr>
          <w:rFonts w:ascii="SimSun" w:hAnsi="SimSun" w:eastAsia="SimSun" w:cs="SimSun"/>
          <w:sz w:val="24"/>
          <w:szCs w:val="24"/>
          <w:spacing w:val="1"/>
        </w:rPr>
        <w:t>年开采以来已经开采十几年，近几年潜水含</w:t>
      </w:r>
      <w:r>
        <w:rPr>
          <w:rFonts w:ascii="SimSun" w:hAnsi="SimSun" w:eastAsia="SimSun" w:cs="SimSun"/>
          <w:sz w:val="24"/>
          <w:szCs w:val="24"/>
        </w:rPr>
        <w:t>水层</w:t>
      </w:r>
      <w:r>
        <w:rPr>
          <w:rFonts w:ascii="SimSun" w:hAnsi="SimSun" w:eastAsia="SimSun" w:cs="SimSun"/>
          <w:sz w:val="24"/>
          <w:szCs w:val="24"/>
          <w:spacing w:val="-1"/>
        </w:rPr>
        <w:t>重新进入动态平衡，地下水水位稳定。</w:t>
      </w:r>
    </w:p>
    <w:p>
      <w:pPr>
        <w:ind w:left="8"/>
        <w:spacing w:before="1"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5.4.4.3</w:t>
      </w:r>
      <w:r>
        <w:rPr>
          <w:rFonts w:ascii="SimHei" w:hAnsi="SimHei" w:eastAsia="SimHei" w:cs="SimHei"/>
          <w:sz w:val="24"/>
          <w:szCs w:val="24"/>
          <w:b/>
          <w:bCs/>
          <w:spacing w:val="-2"/>
        </w:rPr>
        <w:t>煤炭开采对地下水资源的影响</w:t>
      </w:r>
    </w:p>
    <w:p>
      <w:pPr>
        <w:ind w:left="8" w:firstLine="481"/>
        <w:spacing w:before="149" w:line="339" w:lineRule="auto"/>
        <w:jc w:val="both"/>
        <w:rPr>
          <w:rFonts w:ascii="SimSun" w:hAnsi="SimSun" w:eastAsia="SimSun" w:cs="SimSun"/>
          <w:sz w:val="24"/>
          <w:szCs w:val="24"/>
        </w:rPr>
      </w:pPr>
      <w:r>
        <w:rPr>
          <w:rFonts w:ascii="SimSun" w:hAnsi="SimSun" w:eastAsia="SimSun" w:cs="SimSun"/>
          <w:sz w:val="24"/>
          <w:szCs w:val="24"/>
          <w:spacing w:val="-2"/>
        </w:rPr>
        <w:t>本项目所在区与具有供水意义的含水层为第四系潜水含水层，第四系潜水主要靠大</w:t>
      </w:r>
      <w:r>
        <w:rPr>
          <w:rFonts w:ascii="SimSun" w:hAnsi="SimSun" w:eastAsia="SimSun" w:cs="SimSun"/>
          <w:sz w:val="24"/>
          <w:szCs w:val="24"/>
          <w:spacing w:val="-6"/>
        </w:rPr>
        <w:t>气降水、河流补给，由于第四系孔隙潜水含水层的底部为分布稳定的粘土隔水层，因此，</w:t>
      </w:r>
      <w:r>
        <w:rPr>
          <w:rFonts w:ascii="SimSun" w:hAnsi="SimSun" w:eastAsia="SimSun" w:cs="SimSun"/>
          <w:sz w:val="24"/>
          <w:szCs w:val="24"/>
          <w:spacing w:val="-2"/>
        </w:rPr>
        <w:t>基岩裂隙承压水在露天区内对第四系孔隙潜水无补给。露天矿开采直接对第四系含水层</w:t>
      </w:r>
      <w:r>
        <w:rPr>
          <w:rFonts w:ascii="SimSun" w:hAnsi="SimSun" w:eastAsia="SimSun" w:cs="SimSun"/>
          <w:sz w:val="24"/>
          <w:szCs w:val="24"/>
          <w:spacing w:val="-2"/>
        </w:rPr>
        <w:t>造成破坏，含水层中地下水向坑内排泄并被疏排，形成以采区为中心的降落漏斗，含水</w:t>
      </w:r>
      <w:r>
        <w:rPr>
          <w:rFonts w:ascii="SimSun" w:hAnsi="SimSun" w:eastAsia="SimSun" w:cs="SimSun"/>
          <w:sz w:val="24"/>
          <w:szCs w:val="24"/>
          <w:spacing w:val="-1"/>
        </w:rPr>
        <w:t>层中地下水位也会逐年下降，降至含水层及开采煤层底板标高。</w:t>
      </w:r>
    </w:p>
    <w:p>
      <w:pPr>
        <w:ind w:left="10" w:right="66" w:firstLine="479"/>
        <w:spacing w:before="2" w:line="339" w:lineRule="auto"/>
        <w:jc w:val="both"/>
        <w:rPr>
          <w:rFonts w:ascii="SimSun" w:hAnsi="SimSun" w:eastAsia="SimSun" w:cs="SimSun"/>
          <w:sz w:val="24"/>
          <w:szCs w:val="24"/>
        </w:rPr>
      </w:pPr>
      <w:r>
        <w:rPr>
          <w:rFonts w:ascii="SimSun" w:hAnsi="SimSun" w:eastAsia="SimSun" w:cs="SimSun"/>
          <w:sz w:val="24"/>
          <w:szCs w:val="24"/>
          <w:spacing w:val="1"/>
        </w:rPr>
        <w:t>根据</w:t>
      </w:r>
      <w:r>
        <w:rPr>
          <w:rFonts w:ascii="Times New Roman" w:hAnsi="Times New Roman" w:eastAsia="Times New Roman" w:cs="Times New Roman"/>
          <w:sz w:val="24"/>
          <w:szCs w:val="24"/>
          <w:spacing w:val="1"/>
        </w:rPr>
        <w:t>“3.3.5  </w:t>
      </w:r>
      <w:r>
        <w:rPr>
          <w:rFonts w:ascii="SimSun" w:hAnsi="SimSun" w:eastAsia="SimSun" w:cs="SimSun"/>
          <w:sz w:val="24"/>
          <w:szCs w:val="24"/>
          <w:spacing w:val="1"/>
        </w:rPr>
        <w:t>地下水影响回顾性评价</w:t>
      </w:r>
      <w:r>
        <w:rPr>
          <w:rFonts w:ascii="Times New Roman" w:hAnsi="Times New Roman" w:eastAsia="Times New Roman" w:cs="Times New Roman"/>
          <w:sz w:val="24"/>
          <w:szCs w:val="24"/>
          <w:spacing w:val="1"/>
        </w:rPr>
        <w:t>”</w:t>
      </w:r>
      <w:r>
        <w:rPr>
          <w:rFonts w:ascii="SimSun" w:hAnsi="SimSun" w:eastAsia="SimSun" w:cs="SimSun"/>
          <w:sz w:val="24"/>
          <w:szCs w:val="24"/>
          <w:spacing w:val="1"/>
        </w:rPr>
        <w:t>章节</w:t>
      </w:r>
      <w:r>
        <w:rPr>
          <w:rFonts w:ascii="SimSun" w:hAnsi="SimSun" w:eastAsia="SimSun" w:cs="SimSun"/>
          <w:sz w:val="24"/>
          <w:szCs w:val="24"/>
        </w:rPr>
        <w:t>，</w:t>
      </w:r>
      <w:r>
        <w:rPr>
          <w:rFonts w:ascii="Times New Roman" w:hAnsi="Times New Roman" w:eastAsia="Times New Roman" w:cs="Times New Roman"/>
          <w:sz w:val="24"/>
          <w:szCs w:val="24"/>
        </w:rPr>
        <w:t>2023</w:t>
      </w:r>
      <w:r>
        <w:rPr>
          <w:rFonts w:ascii="SimSun" w:hAnsi="SimSun" w:eastAsia="SimSun" w:cs="SimSun"/>
          <w:sz w:val="24"/>
          <w:szCs w:val="24"/>
        </w:rPr>
        <w:t>～</w:t>
      </w:r>
      <w:r>
        <w:rPr>
          <w:rFonts w:ascii="Times New Roman" w:hAnsi="Times New Roman" w:eastAsia="Times New Roman" w:cs="Times New Roman"/>
          <w:sz w:val="24"/>
          <w:szCs w:val="24"/>
        </w:rPr>
        <w:t>2024 </w:t>
      </w:r>
      <w:r>
        <w:rPr>
          <w:rFonts w:ascii="SimSun" w:hAnsi="SimSun" w:eastAsia="SimSun" w:cs="SimSun"/>
          <w:sz w:val="24"/>
          <w:szCs w:val="24"/>
        </w:rPr>
        <w:t>年本项目开采造成第四系潜</w:t>
      </w:r>
      <w:r>
        <w:rPr>
          <w:rFonts w:ascii="SimSun" w:hAnsi="SimSun" w:eastAsia="SimSun" w:cs="SimSun"/>
          <w:sz w:val="24"/>
          <w:szCs w:val="24"/>
          <w:spacing w:val="-1"/>
        </w:rPr>
        <w:t>水含水层水量损失平均值为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3016.88m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SimSun" w:hAnsi="SimSun" w:eastAsia="SimSun" w:cs="SimSun"/>
          <w:sz w:val="24"/>
          <w:szCs w:val="24"/>
          <w:spacing w:val="-1"/>
        </w:rPr>
        <w:t>，</w:t>
      </w:r>
      <w:r>
        <w:rPr>
          <w:rFonts w:ascii="SimSun" w:hAnsi="SimSun" w:eastAsia="SimSun" w:cs="SimSun"/>
          <w:sz w:val="24"/>
          <w:szCs w:val="24"/>
          <w:spacing w:val="-2"/>
        </w:rPr>
        <w:t>总的地下水损失量平均值为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3528.21 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。为</w:t>
      </w:r>
      <w:r>
        <w:rPr>
          <w:rFonts w:ascii="SimSun" w:hAnsi="SimSun" w:eastAsia="SimSun" w:cs="SimSun"/>
          <w:sz w:val="24"/>
          <w:szCs w:val="24"/>
          <w:spacing w:val="-2"/>
        </w:rPr>
        <w:t>了合理利用水资源，露天矿采用处理后的疏干水作为露天矿的生产、消防用水水源，剩</w:t>
      </w:r>
      <w:r>
        <w:rPr>
          <w:rFonts w:ascii="SimSun" w:hAnsi="SimSun" w:eastAsia="SimSun" w:cs="SimSun"/>
          <w:sz w:val="24"/>
          <w:szCs w:val="24"/>
        </w:rPr>
        <w:t>余疏干水排至电厂使用。是项目建设过程中对区</w:t>
      </w:r>
      <w:r>
        <w:rPr>
          <w:rFonts w:ascii="SimSun" w:hAnsi="SimSun" w:eastAsia="SimSun" w:cs="SimSun"/>
          <w:sz w:val="24"/>
          <w:szCs w:val="24"/>
          <w:spacing w:val="-1"/>
        </w:rPr>
        <w:t>域水资源的一种保护措施。</w:t>
      </w:r>
    </w:p>
    <w:p>
      <w:pPr>
        <w:spacing w:line="339" w:lineRule="auto"/>
        <w:sectPr>
          <w:headerReference w:type="default" r:id="rId94"/>
          <w:footerReference w:type="default" r:id="rId430"/>
          <w:pgSz w:w="11906" w:h="16838"/>
          <w:pgMar w:top="1170" w:right="1351" w:bottom="1080" w:left="1416" w:header="837" w:footer="918" w:gutter="0"/>
        </w:sectPr>
        <w:rPr>
          <w:rFonts w:ascii="SimSun" w:hAnsi="SimSun" w:eastAsia="SimSun" w:cs="SimSun"/>
          <w:sz w:val="24"/>
          <w:szCs w:val="24"/>
        </w:rPr>
      </w:pPr>
    </w:p>
    <w:p>
      <w:pPr>
        <w:pStyle w:val="BodyText"/>
        <w:spacing w:line="314" w:lineRule="auto"/>
        <w:rPr/>
      </w:pPr>
      <w:r/>
    </w:p>
    <w:p>
      <w:pPr>
        <w:ind w:left="13" w:right="66" w:firstLine="493"/>
        <w:spacing w:before="78" w:line="338" w:lineRule="auto"/>
        <w:jc w:val="both"/>
        <w:rPr>
          <w:rFonts w:ascii="SimSun" w:hAnsi="SimSun" w:eastAsia="SimSun" w:cs="SimSun"/>
          <w:sz w:val="24"/>
          <w:szCs w:val="24"/>
        </w:rPr>
      </w:pPr>
      <w:r>
        <w:rPr>
          <w:rFonts w:ascii="SimSun" w:hAnsi="SimSun" w:eastAsia="SimSun" w:cs="SimSun"/>
          <w:sz w:val="24"/>
          <w:szCs w:val="24"/>
          <w:spacing w:val="-2"/>
        </w:rPr>
        <w:t>区域潜水位随着潜水蒸发逐年下降，最终降至沉陷坑地表以下。在积水</w:t>
      </w:r>
      <w:r>
        <w:rPr>
          <w:rFonts w:ascii="SimSun" w:hAnsi="SimSun" w:eastAsia="SimSun" w:cs="SimSun"/>
          <w:sz w:val="24"/>
          <w:szCs w:val="24"/>
          <w:spacing w:val="-3"/>
        </w:rPr>
        <w:t>区周围潜水</w:t>
      </w:r>
      <w:r>
        <w:rPr>
          <w:rFonts w:ascii="SimSun" w:hAnsi="SimSun" w:eastAsia="SimSun" w:cs="SimSun"/>
          <w:sz w:val="24"/>
          <w:szCs w:val="24"/>
          <w:spacing w:val="-2"/>
        </w:rPr>
        <w:t>不再向下游径流，而是随着积水区蒸发排泄损失而不断向积水坑汇流。矿区开发地表沉</w:t>
      </w:r>
      <w:r>
        <w:rPr>
          <w:rFonts w:ascii="SimSun" w:hAnsi="SimSun" w:eastAsia="SimSun" w:cs="SimSun"/>
          <w:sz w:val="24"/>
          <w:szCs w:val="24"/>
          <w:spacing w:val="-1"/>
        </w:rPr>
        <w:t>陷形成积水区会使下游（即矿区北侧）潜水的补给量减少。</w:t>
      </w:r>
    </w:p>
    <w:p>
      <w:pPr>
        <w:ind w:left="8"/>
        <w:spacing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5.4.4.4</w:t>
      </w:r>
      <w:r>
        <w:rPr>
          <w:rFonts w:ascii="SimHei" w:hAnsi="SimHei" w:eastAsia="SimHei" w:cs="SimHei"/>
          <w:sz w:val="24"/>
          <w:szCs w:val="24"/>
          <w:b/>
          <w:bCs/>
          <w:spacing w:val="-2"/>
        </w:rPr>
        <w:t>采煤对地表植被的影响分析</w:t>
      </w:r>
    </w:p>
    <w:p>
      <w:pPr>
        <w:ind w:left="12" w:right="66" w:firstLine="481"/>
        <w:spacing w:before="155" w:line="338" w:lineRule="auto"/>
        <w:jc w:val="both"/>
        <w:rPr>
          <w:rFonts w:ascii="SimSun" w:hAnsi="SimSun" w:eastAsia="SimSun" w:cs="SimSun"/>
          <w:sz w:val="24"/>
          <w:szCs w:val="24"/>
        </w:rPr>
      </w:pPr>
      <w:r>
        <w:rPr>
          <w:rFonts w:ascii="SimSun" w:hAnsi="SimSun" w:eastAsia="SimSun" w:cs="SimSun"/>
          <w:sz w:val="24"/>
          <w:szCs w:val="24"/>
          <w:spacing w:val="-2"/>
        </w:rPr>
        <w:t>受露天开采影响，会以露天采坑为中心形成地下水降落漏洞，在地下水影响影响范</w:t>
      </w:r>
      <w:r>
        <w:rPr>
          <w:rFonts w:ascii="SimSun" w:hAnsi="SimSun" w:eastAsia="SimSun" w:cs="SimSun"/>
          <w:sz w:val="24"/>
          <w:szCs w:val="24"/>
          <w:spacing w:val="-2"/>
        </w:rPr>
        <w:t>围内植被以草原草甸植被为主，植被根系较浅，其生长需水主要依靠自然降水，受地下</w:t>
      </w:r>
      <w:r>
        <w:rPr>
          <w:rFonts w:ascii="SimSun" w:hAnsi="SimSun" w:eastAsia="SimSun" w:cs="SimSun"/>
          <w:sz w:val="24"/>
          <w:szCs w:val="24"/>
          <w:spacing w:val="-1"/>
        </w:rPr>
        <w:t>水水位下降影响较小，地下水位降低对其生长影响影响较小。</w:t>
      </w:r>
    </w:p>
    <w:p>
      <w:pPr>
        <w:ind w:left="8"/>
        <w:spacing w:before="1"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5.4.4.5</w:t>
      </w:r>
      <w:r>
        <w:rPr>
          <w:rFonts w:ascii="SimHei" w:hAnsi="SimHei" w:eastAsia="SimHei" w:cs="SimHei"/>
          <w:sz w:val="24"/>
          <w:szCs w:val="24"/>
          <w:b/>
          <w:bCs/>
          <w:spacing w:val="-2"/>
        </w:rPr>
        <w:t>煤炭开采对地表河流的影响分析</w:t>
      </w:r>
    </w:p>
    <w:p>
      <w:pPr>
        <w:ind w:left="11" w:right="66" w:firstLine="479"/>
        <w:spacing w:before="151" w:line="339" w:lineRule="auto"/>
        <w:rPr>
          <w:rFonts w:ascii="SimSun" w:hAnsi="SimSun" w:eastAsia="SimSun" w:cs="SimSun"/>
          <w:sz w:val="24"/>
          <w:szCs w:val="24"/>
        </w:rPr>
      </w:pPr>
      <w:r>
        <w:rPr>
          <w:rFonts w:ascii="SimSun" w:hAnsi="SimSun" w:eastAsia="SimSun" w:cs="SimSun"/>
          <w:sz w:val="24"/>
          <w:szCs w:val="24"/>
          <w:spacing w:val="-2"/>
        </w:rPr>
        <w:t>本矿井主要涉及地表水体为彦吉嘎河，该河流源于西乌珠穆沁旗罕乌拉苏木的巴彦</w:t>
      </w:r>
      <w:r>
        <w:rPr>
          <w:rFonts w:ascii="SimSun" w:hAnsi="SimSun" w:eastAsia="SimSun" w:cs="SimSun"/>
          <w:sz w:val="24"/>
          <w:szCs w:val="24"/>
        </w:rPr>
        <w:t>乌拉山，原彦吉嘎河自西南向东北穿越本井田，最终汇</w:t>
      </w:r>
      <w:r>
        <w:rPr>
          <w:rFonts w:ascii="SimSun" w:hAnsi="SimSun" w:eastAsia="SimSun" w:cs="SimSun"/>
          <w:sz w:val="24"/>
          <w:szCs w:val="24"/>
          <w:spacing w:val="-1"/>
        </w:rPr>
        <w:t>入乌拉盖河，属乌拉盖水系。</w:t>
      </w:r>
    </w:p>
    <w:p>
      <w:pPr>
        <w:ind w:left="9" w:firstLine="514"/>
        <w:spacing w:before="1" w:line="338" w:lineRule="auto"/>
        <w:jc w:val="both"/>
        <w:rPr>
          <w:rFonts w:ascii="SimSun" w:hAnsi="SimSun" w:eastAsia="SimSun" w:cs="SimSun"/>
          <w:sz w:val="24"/>
          <w:szCs w:val="24"/>
        </w:rPr>
      </w:pPr>
      <w:r>
        <w:rPr>
          <w:rFonts w:ascii="SimSun" w:hAnsi="SimSun" w:eastAsia="SimSun" w:cs="SimSun"/>
          <w:sz w:val="24"/>
          <w:szCs w:val="24"/>
          <w:spacing w:val="-3"/>
        </w:rPr>
        <w:t>白音华海州露天煤矿有限公司于</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3"/>
        </w:rPr>
        <w:t>2006  </w:t>
      </w:r>
      <w:r>
        <w:rPr>
          <w:rFonts w:ascii="SimSun" w:hAnsi="SimSun" w:eastAsia="SimSun" w:cs="SimSun"/>
          <w:sz w:val="24"/>
          <w:szCs w:val="24"/>
          <w:spacing w:val="-3"/>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7  </w:t>
      </w:r>
      <w:r>
        <w:rPr>
          <w:rFonts w:ascii="SimSun" w:hAnsi="SimSun" w:eastAsia="SimSun" w:cs="SimSun"/>
          <w:sz w:val="24"/>
          <w:szCs w:val="24"/>
          <w:spacing w:val="-3"/>
        </w:rPr>
        <w:t>月，报送了《彦吉嘎河改道设计简要说</w:t>
      </w:r>
      <w:r>
        <w:rPr>
          <w:rFonts w:ascii="SimSun" w:hAnsi="SimSun" w:eastAsia="SimSun" w:cs="SimSun"/>
          <w:sz w:val="24"/>
          <w:szCs w:val="24"/>
          <w:spacing w:val="-4"/>
        </w:rPr>
        <w:t>明》并取得批复，</w:t>
      </w:r>
      <w:r>
        <w:rPr>
          <w:rFonts w:ascii="Times New Roman" w:hAnsi="Times New Roman" w:eastAsia="Times New Roman" w:cs="Times New Roman"/>
          <w:sz w:val="24"/>
          <w:szCs w:val="24"/>
          <w:spacing w:val="-4"/>
        </w:rPr>
        <w:t>2006  </w:t>
      </w:r>
      <w:r>
        <w:rPr>
          <w:rFonts w:ascii="SimSun" w:hAnsi="SimSun" w:eastAsia="SimSun" w:cs="SimSun"/>
          <w:sz w:val="24"/>
          <w:szCs w:val="24"/>
          <w:spacing w:val="-4"/>
        </w:rPr>
        <w:t>年</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4"/>
        </w:rPr>
        <w:t>10  </w:t>
      </w:r>
      <w:r>
        <w:rPr>
          <w:rFonts w:ascii="SimSun" w:hAnsi="SimSun" w:eastAsia="SimSun" w:cs="SimSun"/>
          <w:sz w:val="24"/>
          <w:szCs w:val="24"/>
          <w:spacing w:val="-4"/>
        </w:rPr>
        <w:t>月开始对煤矿内的彦吉嘎河河道全面改道并于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2007  </w:t>
      </w:r>
      <w:r>
        <w:rPr>
          <w:rFonts w:ascii="SimSun" w:hAnsi="SimSun" w:eastAsia="SimSun" w:cs="SimSun"/>
          <w:sz w:val="24"/>
          <w:szCs w:val="24"/>
          <w:spacing w:val="-4"/>
        </w:rPr>
        <w:t>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w:t>
      </w:r>
      <w:r>
        <w:rPr>
          <w:rFonts w:ascii="SimSun" w:hAnsi="SimSun" w:eastAsia="SimSun" w:cs="SimSun"/>
          <w:sz w:val="24"/>
          <w:szCs w:val="24"/>
          <w:spacing w:val="-1"/>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w:t>
      </w:r>
      <w:r>
        <w:rPr>
          <w:rFonts w:ascii="Times New Roman" w:hAnsi="Times New Roman" w:eastAsia="Times New Roman" w:cs="Times New Roman"/>
          <w:sz w:val="24"/>
          <w:szCs w:val="24"/>
          <w:spacing w:val="25"/>
          <w:w w:val="101"/>
        </w:rPr>
        <w:t xml:space="preserve">  </w:t>
      </w:r>
      <w:r>
        <w:rPr>
          <w:rFonts w:ascii="SimSun" w:hAnsi="SimSun" w:eastAsia="SimSun" w:cs="SimSun"/>
          <w:sz w:val="24"/>
          <w:szCs w:val="24"/>
          <w:spacing w:val="-1"/>
        </w:rPr>
        <w:t>日对该工程进行了验收，在煤矿东部</w:t>
      </w:r>
      <w:r>
        <w:rPr>
          <w:rFonts w:ascii="SimSun" w:hAnsi="SimSun" w:eastAsia="SimSun" w:cs="SimSun"/>
          <w:sz w:val="24"/>
          <w:szCs w:val="24"/>
          <w:spacing w:val="-2"/>
        </w:rPr>
        <w:t>开挖建设新河道，使原在煤矿内通过的河道</w:t>
      </w:r>
      <w:r>
        <w:rPr>
          <w:rFonts w:ascii="SimSun" w:hAnsi="SimSun" w:eastAsia="SimSun" w:cs="SimSun"/>
          <w:sz w:val="24"/>
          <w:szCs w:val="24"/>
          <w:spacing w:val="-6"/>
        </w:rPr>
        <w:t>改流绕过煤矿界外通过。人工改河道自露天矿工业场地起，绕过露天矿采区及外排土场，</w:t>
      </w:r>
      <w:r>
        <w:rPr>
          <w:rFonts w:ascii="SimSun" w:hAnsi="SimSun" w:eastAsia="SimSun" w:cs="SimSun"/>
          <w:sz w:val="24"/>
          <w:szCs w:val="24"/>
          <w:spacing w:val="-2"/>
        </w:rPr>
        <w:t>汇入矿田北侧彦吉嘎河道下游，人工改河道长度</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9318m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，具体情况见图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5-4-7</w:t>
      </w:r>
      <w:r>
        <w:rPr>
          <w:rFonts w:ascii="SimSun" w:hAnsi="SimSun" w:eastAsia="SimSun" w:cs="SimSun"/>
          <w:sz w:val="24"/>
          <w:szCs w:val="24"/>
          <w:spacing w:val="-2"/>
        </w:rPr>
        <w:t>。</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）煤矿开发对河流流量影响</w:t>
      </w:r>
    </w:p>
    <w:p>
      <w:pPr>
        <w:ind w:left="9" w:right="66" w:firstLine="488"/>
        <w:spacing w:before="155" w:line="339" w:lineRule="auto"/>
        <w:rPr>
          <w:rFonts w:ascii="SimSun" w:hAnsi="SimSun" w:eastAsia="SimSun" w:cs="SimSun"/>
          <w:sz w:val="24"/>
          <w:szCs w:val="24"/>
        </w:rPr>
      </w:pPr>
      <w:r>
        <w:rPr>
          <w:rFonts w:ascii="SimSun" w:hAnsi="SimSun" w:eastAsia="SimSun" w:cs="SimSun"/>
          <w:sz w:val="24"/>
          <w:szCs w:val="24"/>
          <w:spacing w:val="-2"/>
        </w:rPr>
        <w:t>改道后的主河道采用水泥土衬砌为主，并加</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2"/>
        </w:rPr>
        <w:t>2.0cm </w:t>
      </w:r>
      <w:r>
        <w:rPr>
          <w:rFonts w:ascii="SimSun" w:hAnsi="SimSun" w:eastAsia="SimSun" w:cs="SimSun"/>
          <w:sz w:val="24"/>
          <w:szCs w:val="24"/>
          <w:spacing w:val="-2"/>
        </w:rPr>
        <w:t>水泥砂浆护面，衬砌总厚度采用</w:t>
      </w:r>
      <w:r>
        <w:rPr>
          <w:rFonts w:ascii="Times New Roman" w:hAnsi="Times New Roman" w:eastAsia="Times New Roman" w:cs="Times New Roman"/>
          <w:sz w:val="24"/>
          <w:szCs w:val="24"/>
          <w:spacing w:val="-1"/>
        </w:rPr>
        <w:t>8</w:t>
      </w:r>
      <w:r>
        <w:rPr>
          <w:rFonts w:ascii="SimSun" w:hAnsi="SimSun" w:eastAsia="SimSun" w:cs="SimSun"/>
          <w:sz w:val="24"/>
          <w:szCs w:val="24"/>
          <w:spacing w:val="-1"/>
        </w:rPr>
        <w:t>～</w:t>
      </w:r>
      <w:r>
        <w:rPr>
          <w:rFonts w:ascii="Times New Roman" w:hAnsi="Times New Roman" w:eastAsia="Times New Roman" w:cs="Times New Roman"/>
          <w:sz w:val="24"/>
          <w:szCs w:val="24"/>
          <w:spacing w:val="-1"/>
        </w:rPr>
        <w:t>10cm </w:t>
      </w:r>
      <w:r>
        <w:rPr>
          <w:rFonts w:ascii="SimSun" w:hAnsi="SimSun" w:eastAsia="SimSun" w:cs="SimSun"/>
          <w:sz w:val="24"/>
          <w:szCs w:val="24"/>
          <w:spacing w:val="-1"/>
        </w:rPr>
        <w:t>为防止裂缝、减少渗漏，衬砌料内掺加适量聚丙烯纤</w:t>
      </w:r>
      <w:r>
        <w:rPr>
          <w:rFonts w:ascii="SimSun" w:hAnsi="SimSun" w:eastAsia="SimSun" w:cs="SimSun"/>
          <w:sz w:val="24"/>
          <w:szCs w:val="24"/>
          <w:spacing w:val="-2"/>
        </w:rPr>
        <w:t>维和防冻减水剂。改道河</w:t>
      </w:r>
      <w:r>
        <w:rPr>
          <w:rFonts w:ascii="SimSun" w:hAnsi="SimSun" w:eastAsia="SimSun" w:cs="SimSun"/>
          <w:sz w:val="24"/>
          <w:szCs w:val="24"/>
        </w:rPr>
        <w:t>段地表河流与地下水之间水力联系较弱</w:t>
      </w:r>
      <w:r>
        <w:rPr>
          <w:rFonts w:ascii="SimSun" w:hAnsi="SimSun" w:eastAsia="SimSun" w:cs="SimSun"/>
          <w:sz w:val="24"/>
          <w:szCs w:val="24"/>
          <w:spacing w:val="54"/>
        </w:rPr>
        <w:t xml:space="preserve"> </w:t>
      </w:r>
      <w:r>
        <w:rPr>
          <w:rFonts w:ascii="SimSun" w:hAnsi="SimSun" w:eastAsia="SimSun" w:cs="SimSun"/>
          <w:sz w:val="24"/>
          <w:szCs w:val="24"/>
        </w:rPr>
        <w:t>，不会受到煤炭开采影响。对于自然河段仍与</w:t>
      </w:r>
      <w:r>
        <w:rPr>
          <w:rFonts w:ascii="SimSun" w:hAnsi="SimSun" w:eastAsia="SimSun" w:cs="SimSun"/>
          <w:sz w:val="24"/>
          <w:szCs w:val="24"/>
          <w:spacing w:val="-2"/>
        </w:rPr>
        <w:t>区域地下水有着水力联系，根据影响半径预测，露天开采对第四系潜水含水层的影响半</w:t>
      </w:r>
      <w:r>
        <w:rPr>
          <w:rFonts w:ascii="SimSun" w:hAnsi="SimSun" w:eastAsia="SimSun" w:cs="SimSun"/>
          <w:sz w:val="24"/>
          <w:szCs w:val="24"/>
          <w:spacing w:val="-2"/>
        </w:rPr>
        <w:t>径约</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293.50m</w:t>
      </w:r>
      <w:r>
        <w:rPr>
          <w:rFonts w:ascii="SimSun" w:hAnsi="SimSun" w:eastAsia="SimSun" w:cs="SimSun"/>
          <w:sz w:val="24"/>
          <w:szCs w:val="24"/>
          <w:spacing w:val="-2"/>
        </w:rPr>
        <w:t>，彦吉嘎河改道终点下游部分河段在影响范围内（见图</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5-4-7</w:t>
      </w:r>
      <w:r>
        <w:rPr>
          <w:rFonts w:ascii="SimSun" w:hAnsi="SimSun" w:eastAsia="SimSun" w:cs="SimSun"/>
          <w:sz w:val="24"/>
          <w:szCs w:val="24"/>
          <w:spacing w:val="-15"/>
        </w:rPr>
        <w:t>），</w:t>
      </w:r>
      <w:r>
        <w:rPr>
          <w:rFonts w:ascii="SimSun" w:hAnsi="SimSun" w:eastAsia="SimSun" w:cs="SimSun"/>
          <w:sz w:val="24"/>
          <w:szCs w:val="24"/>
          <w:spacing w:val="-3"/>
        </w:rPr>
        <w:t>受露天区</w:t>
      </w:r>
      <w:r>
        <w:rPr>
          <w:rFonts w:ascii="SimSun" w:hAnsi="SimSun" w:eastAsia="SimSun" w:cs="SimSun"/>
          <w:sz w:val="24"/>
          <w:szCs w:val="24"/>
          <w:spacing w:val="-2"/>
        </w:rPr>
        <w:t>煤矿开采影响地下水水位下降，河流与第四系潜层地下水的补给关系会发生改变，彦吉</w:t>
      </w:r>
      <w:r>
        <w:rPr>
          <w:rFonts w:ascii="SimSun" w:hAnsi="SimSun" w:eastAsia="SimSun" w:cs="SimSun"/>
          <w:sz w:val="24"/>
          <w:szCs w:val="24"/>
          <w:spacing w:val="-2"/>
        </w:rPr>
        <w:t>嘎河向通过补给第四系潜层地下水进而进入露天采坑内，河流的水资源量可能会受到煤</w:t>
      </w:r>
      <w:r>
        <w:rPr>
          <w:rFonts w:ascii="SimSun" w:hAnsi="SimSun" w:eastAsia="SimSun" w:cs="SimSun"/>
          <w:sz w:val="24"/>
          <w:szCs w:val="24"/>
          <w:spacing w:val="-2"/>
        </w:rPr>
        <w:t>炭露天开采影响 。</w:t>
      </w:r>
    </w:p>
    <w:p>
      <w:pPr>
        <w:spacing w:line="339" w:lineRule="auto"/>
        <w:sectPr>
          <w:footerReference w:type="default" r:id="rId431"/>
          <w:pgSz w:w="11906" w:h="16838"/>
          <w:pgMar w:top="1170" w:right="1351" w:bottom="1080" w:left="1416" w:header="837" w:footer="918" w:gutter="0"/>
        </w:sectPr>
        <w:rPr>
          <w:rFonts w:ascii="SimSun" w:hAnsi="SimSun" w:eastAsia="SimSun" w:cs="SimSun"/>
          <w:sz w:val="24"/>
          <w:szCs w:val="24"/>
        </w:rPr>
      </w:pPr>
    </w:p>
    <w:p>
      <w:pPr>
        <w:pStyle w:val="BodyText"/>
        <w:spacing w:line="246" w:lineRule="auto"/>
        <w:rPr/>
      </w:pPr>
      <w:r/>
    </w:p>
    <w:p>
      <w:pPr>
        <w:ind w:firstLine="770"/>
        <w:spacing w:line="11371" w:lineRule="exact"/>
        <w:rPr/>
      </w:pPr>
      <w:r>
        <w:rPr>
          <w:position w:val="-227"/>
        </w:rPr>
        <w:drawing>
          <wp:inline distT="0" distB="0" distL="0" distR="0">
            <wp:extent cx="4782311" cy="7220711"/>
            <wp:effectExtent l="0" t="0" r="0" b="0"/>
            <wp:docPr id="310" name="IM 310"/>
            <wp:cNvGraphicFramePr/>
            <a:graphic>
              <a:graphicData uri="http://schemas.openxmlformats.org/drawingml/2006/picture">
                <pic:pic>
                  <pic:nvPicPr>
                    <pic:cNvPr id="310" name="IM 310"/>
                    <pic:cNvPicPr/>
                  </pic:nvPicPr>
                  <pic:blipFill>
                    <a:blip r:embed="rId433"/>
                    <a:stretch>
                      <a:fillRect/>
                    </a:stretch>
                  </pic:blipFill>
                  <pic:spPr>
                    <a:xfrm rot="0">
                      <a:off x="0" y="0"/>
                      <a:ext cx="4782311" cy="7220711"/>
                    </a:xfrm>
                    <a:prstGeom prst="rect">
                      <a:avLst/>
                    </a:prstGeom>
                  </pic:spPr>
                </pic:pic>
              </a:graphicData>
            </a:graphic>
          </wp:inline>
        </w:drawing>
      </w:r>
    </w:p>
    <w:p>
      <w:pPr>
        <w:ind w:left="2704"/>
        <w:spacing w:before="270" w:line="222" w:lineRule="auto"/>
        <w:rPr>
          <w:rFonts w:ascii="SimHei" w:hAnsi="SimHei" w:eastAsia="SimHei" w:cs="SimHei"/>
          <w:sz w:val="24"/>
          <w:szCs w:val="24"/>
        </w:rPr>
      </w:pPr>
      <w:bookmarkStart w:name="bookmark96" w:id="55"/>
      <w:bookmarkEnd w:id="55"/>
      <w:r>
        <w:rPr>
          <w:rFonts w:ascii="SimHei" w:hAnsi="SimHei" w:eastAsia="SimHei" w:cs="SimHei"/>
          <w:sz w:val="24"/>
          <w:szCs w:val="24"/>
          <w:b/>
          <w:bCs/>
          <w:spacing w:val="-3"/>
        </w:rPr>
        <w:t>图</w:t>
      </w:r>
      <w:r>
        <w:rPr>
          <w:rFonts w:ascii="SimHei" w:hAnsi="SimHei" w:eastAsia="SimHei" w:cs="SimHei"/>
          <w:sz w:val="24"/>
          <w:szCs w:val="24"/>
          <w:spacing w:val="-44"/>
        </w:rPr>
        <w:t xml:space="preserve"> </w:t>
      </w:r>
      <w:r>
        <w:rPr>
          <w:rFonts w:ascii="Times New Roman" w:hAnsi="Times New Roman" w:eastAsia="Times New Roman" w:cs="Times New Roman"/>
          <w:sz w:val="24"/>
          <w:szCs w:val="24"/>
          <w:b/>
          <w:bCs/>
          <w:spacing w:val="-3"/>
        </w:rPr>
        <w:t>5-4-7    </w:t>
      </w:r>
      <w:r>
        <w:rPr>
          <w:rFonts w:ascii="SimHei" w:hAnsi="SimHei" w:eastAsia="SimHei" w:cs="SimHei"/>
          <w:sz w:val="24"/>
          <w:szCs w:val="24"/>
          <w:b/>
          <w:bCs/>
          <w:spacing w:val="-3"/>
        </w:rPr>
        <w:t>露天开采地下水影响范围</w:t>
      </w:r>
    </w:p>
    <w:p>
      <w:pPr>
        <w:spacing w:line="222" w:lineRule="auto"/>
        <w:sectPr>
          <w:headerReference w:type="default" r:id="rId79"/>
          <w:footerReference w:type="default" r:id="rId432"/>
          <w:pgSz w:w="11906" w:h="16838"/>
          <w:pgMar w:top="1170" w:right="1417" w:bottom="1080" w:left="1416" w:header="837" w:footer="918" w:gutter="0"/>
        </w:sectPr>
        <w:rPr>
          <w:rFonts w:ascii="SimHei" w:hAnsi="SimHei" w:eastAsia="SimHei" w:cs="SimHei"/>
          <w:sz w:val="24"/>
          <w:szCs w:val="24"/>
        </w:rPr>
      </w:pPr>
    </w:p>
    <w:p>
      <w:pPr>
        <w:pStyle w:val="BodyText"/>
        <w:spacing w:line="246" w:lineRule="auto"/>
        <w:rPr/>
      </w:pPr>
      <w:r/>
    </w:p>
    <w:p>
      <w:pPr>
        <w:ind w:firstLine="2"/>
        <w:spacing w:line="4241" w:lineRule="exact"/>
        <w:rPr/>
      </w:pPr>
      <w:r>
        <w:rPr>
          <w:position w:val="-84"/>
        </w:rPr>
        <w:drawing>
          <wp:inline distT="0" distB="0" distL="0" distR="0">
            <wp:extent cx="5760720" cy="2692907"/>
            <wp:effectExtent l="0" t="0" r="0" b="0"/>
            <wp:docPr id="312" name="IM 312"/>
            <wp:cNvGraphicFramePr/>
            <a:graphic>
              <a:graphicData uri="http://schemas.openxmlformats.org/drawingml/2006/picture">
                <pic:pic>
                  <pic:nvPicPr>
                    <pic:cNvPr id="312" name="IM 312"/>
                    <pic:cNvPicPr/>
                  </pic:nvPicPr>
                  <pic:blipFill>
                    <a:blip r:embed="rId435"/>
                    <a:stretch>
                      <a:fillRect/>
                    </a:stretch>
                  </pic:blipFill>
                  <pic:spPr>
                    <a:xfrm rot="0">
                      <a:off x="0" y="0"/>
                      <a:ext cx="5760720" cy="2692907"/>
                    </a:xfrm>
                    <a:prstGeom prst="rect">
                      <a:avLst/>
                    </a:prstGeom>
                  </pic:spPr>
                </pic:pic>
              </a:graphicData>
            </a:graphic>
          </wp:inline>
        </w:drawing>
      </w:r>
    </w:p>
    <w:p>
      <w:pPr>
        <w:ind w:left="3126"/>
        <w:spacing w:before="270" w:line="222" w:lineRule="auto"/>
        <w:rPr>
          <w:rFonts w:ascii="SimHei" w:hAnsi="SimHei" w:eastAsia="SimHei" w:cs="SimHei"/>
          <w:sz w:val="24"/>
          <w:szCs w:val="24"/>
        </w:rPr>
      </w:pPr>
      <w:r>
        <w:rPr>
          <w:rFonts w:ascii="SimHei" w:hAnsi="SimHei" w:eastAsia="SimHei" w:cs="SimHei"/>
          <w:sz w:val="24"/>
          <w:szCs w:val="24"/>
          <w:b/>
          <w:bCs/>
          <w:spacing w:val="-4"/>
        </w:rPr>
        <w:t>图</w:t>
      </w:r>
      <w:r>
        <w:rPr>
          <w:rFonts w:ascii="SimHei" w:hAnsi="SimHei" w:eastAsia="SimHei" w:cs="SimHei"/>
          <w:sz w:val="24"/>
          <w:szCs w:val="24"/>
          <w:spacing w:val="-38"/>
        </w:rPr>
        <w:t xml:space="preserve"> </w:t>
      </w:r>
      <w:r>
        <w:rPr>
          <w:rFonts w:ascii="Times New Roman" w:hAnsi="Times New Roman" w:eastAsia="Times New Roman" w:cs="Times New Roman"/>
          <w:sz w:val="24"/>
          <w:szCs w:val="24"/>
          <w:b/>
          <w:bCs/>
          <w:spacing w:val="-4"/>
        </w:rPr>
        <w:t>5-4-8  </w:t>
      </w:r>
      <w:r>
        <w:rPr>
          <w:rFonts w:ascii="SimHei" w:hAnsi="SimHei" w:eastAsia="SimHei" w:cs="SimHei"/>
          <w:sz w:val="24"/>
          <w:szCs w:val="24"/>
          <w:b/>
          <w:bCs/>
          <w:spacing w:val="-4"/>
        </w:rPr>
        <w:t>改道后河段现状图</w:t>
      </w:r>
    </w:p>
    <w:p>
      <w:pPr>
        <w:ind w:left="16" w:right="13" w:firstLine="478"/>
        <w:spacing w:before="183" w:line="340" w:lineRule="auto"/>
        <w:rPr>
          <w:rFonts w:ascii="SimSun" w:hAnsi="SimSun" w:eastAsia="SimSun" w:cs="SimSun"/>
          <w:sz w:val="24"/>
          <w:szCs w:val="24"/>
        </w:rPr>
      </w:pPr>
      <w:r>
        <w:rPr>
          <w:rFonts w:ascii="SimSun" w:hAnsi="SimSun" w:eastAsia="SimSun" w:cs="SimSun"/>
          <w:sz w:val="24"/>
          <w:szCs w:val="24"/>
          <w:spacing w:val="-2"/>
        </w:rPr>
        <w:t>露天开采对河流水资源量的影响主要为，地表水向采坑内排泄量增加，本次评价按</w:t>
      </w:r>
      <w:r>
        <w:rPr>
          <w:rFonts w:ascii="SimSun" w:hAnsi="SimSun" w:eastAsia="SimSun" w:cs="SimSun"/>
          <w:sz w:val="24"/>
          <w:szCs w:val="24"/>
          <w:spacing w:val="-1"/>
        </w:rPr>
        <w:t>照如下公式计算河流向采坑的补给量：</w:t>
      </w:r>
    </w:p>
    <w:p>
      <w:pPr>
        <w:ind w:left="3531"/>
        <w:spacing w:before="56" w:line="196" w:lineRule="auto"/>
        <w:rPr>
          <w:rFonts w:ascii="Malgun Gothic" w:hAnsi="Malgun Gothic" w:eastAsia="Malgun Gothic" w:cs="Malgun Gothic"/>
          <w:sz w:val="24"/>
          <w:szCs w:val="24"/>
        </w:rPr>
      </w:pPr>
      <w:r>
        <w:rPr>
          <w:rFonts w:ascii="Malgun Gothic" w:hAnsi="Malgun Gothic" w:eastAsia="Malgun Gothic" w:cs="Malgun Gothic"/>
          <w:sz w:val="24"/>
          <w:szCs w:val="24"/>
          <w:spacing w:val="-28"/>
          <w:w w:val="89"/>
          <w:position w:val="-2"/>
        </w:rPr>
        <w:t>푄</w:t>
      </w:r>
      <w:r>
        <w:rPr>
          <w:rFonts w:ascii="Malgun Gothic" w:hAnsi="Malgun Gothic" w:eastAsia="Malgun Gothic" w:cs="Malgun Gothic"/>
          <w:sz w:val="24"/>
          <w:szCs w:val="24"/>
          <w:spacing w:val="-53"/>
          <w:position w:val="-2"/>
        </w:rPr>
        <w:t xml:space="preserve"> </w:t>
      </w:r>
      <w:r>
        <w:rPr>
          <w:rFonts w:ascii="SimSun" w:hAnsi="SimSun" w:eastAsia="SimSun" w:cs="SimSun"/>
          <w:sz w:val="17"/>
          <w:szCs w:val="17"/>
          <w:i/>
          <w:iCs/>
          <w:spacing w:val="-28"/>
          <w:w w:val="89"/>
          <w:position w:val="-2"/>
        </w:rPr>
        <w:t>侧</w:t>
      </w:r>
      <w:r>
        <w:rPr>
          <w:rFonts w:ascii="SimSun" w:hAnsi="SimSun" w:eastAsia="SimSun" w:cs="SimSun"/>
          <w:sz w:val="17"/>
          <w:szCs w:val="17"/>
          <w:spacing w:val="-28"/>
          <w:w w:val="89"/>
          <w:position w:val="-2"/>
        </w:rPr>
        <w:t xml:space="preserve"> </w:t>
      </w:r>
      <w:r>
        <w:rPr>
          <w:rFonts w:ascii="Malgun Gothic" w:hAnsi="Malgun Gothic" w:eastAsia="Malgun Gothic" w:cs="Malgun Gothic"/>
          <w:sz w:val="24"/>
          <w:szCs w:val="24"/>
          <w:spacing w:val="-28"/>
          <w:w w:val="89"/>
        </w:rPr>
        <w:t>= 퐵·푀·퐾·퐼·푐표푠훼</w:t>
      </w:r>
    </w:p>
    <w:p>
      <w:pPr>
        <w:ind w:left="14"/>
        <w:spacing w:before="72" w:line="217"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Q </w:t>
      </w:r>
      <w:r>
        <w:rPr>
          <w:rFonts w:ascii="SimSun" w:hAnsi="SimSun" w:eastAsia="SimSun" w:cs="SimSun"/>
          <w:sz w:val="12"/>
          <w:szCs w:val="12"/>
          <w:spacing w:val="-1"/>
          <w:position w:val="-3"/>
        </w:rPr>
        <w:t>侧</w:t>
      </w:r>
      <w:r>
        <w:rPr>
          <w:rFonts w:ascii="SimSun" w:hAnsi="SimSun" w:eastAsia="SimSun" w:cs="SimSun"/>
          <w:sz w:val="24"/>
          <w:szCs w:val="24"/>
          <w:spacing w:val="-1"/>
        </w:rPr>
        <w:t>—为侧向补给量（</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SimSun" w:hAnsi="SimSun" w:eastAsia="SimSun" w:cs="SimSun"/>
          <w:sz w:val="24"/>
          <w:szCs w:val="24"/>
          <w:spacing w:val="2"/>
        </w:rPr>
        <w:t>）；</w:t>
      </w:r>
    </w:p>
    <w:p>
      <w:pPr>
        <w:ind w:left="724"/>
        <w:spacing w:before="119" w:line="219" w:lineRule="auto"/>
        <w:rPr>
          <w:rFonts w:ascii="SimSun" w:hAnsi="SimSun" w:eastAsia="SimSun" w:cs="SimSun"/>
          <w:sz w:val="24"/>
          <w:szCs w:val="24"/>
        </w:rPr>
      </w:pPr>
      <w:r>
        <w:rPr>
          <w:rFonts w:ascii="Times New Roman" w:hAnsi="Times New Roman" w:eastAsia="Times New Roman" w:cs="Times New Roman"/>
          <w:sz w:val="24"/>
          <w:szCs w:val="24"/>
          <w:spacing w:val="-2"/>
        </w:rPr>
        <w:t>B</w:t>
      </w:r>
      <w:r>
        <w:rPr>
          <w:rFonts w:ascii="SimSun" w:hAnsi="SimSun" w:eastAsia="SimSun" w:cs="SimSun"/>
          <w:sz w:val="24"/>
          <w:szCs w:val="24"/>
          <w:spacing w:val="-2"/>
        </w:rPr>
        <w:t>—侧向补给断面长度（</w:t>
      </w:r>
      <w:r>
        <w:rPr>
          <w:rFonts w:ascii="Times New Roman" w:hAnsi="Times New Roman" w:eastAsia="Times New Roman" w:cs="Times New Roman"/>
          <w:sz w:val="24"/>
          <w:szCs w:val="24"/>
          <w:spacing w:val="-2"/>
        </w:rPr>
        <w:t>m</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w:t>
      </w:r>
      <w:r>
        <w:rPr>
          <w:rFonts w:ascii="SimSun" w:hAnsi="SimSun" w:eastAsia="SimSun" w:cs="SimSun"/>
          <w:sz w:val="24"/>
          <w:szCs w:val="24"/>
          <w:spacing w:val="-2"/>
        </w:rPr>
        <w:t>影响范围内河流单侧宽度为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1110m</w:t>
      </w:r>
      <w:r>
        <w:rPr>
          <w:rFonts w:ascii="SimSun" w:hAnsi="SimSun" w:eastAsia="SimSun" w:cs="SimSun"/>
          <w:sz w:val="24"/>
          <w:szCs w:val="24"/>
          <w:spacing w:val="-2"/>
        </w:rPr>
        <w:t>；</w:t>
      </w:r>
    </w:p>
    <w:p>
      <w:pPr>
        <w:ind w:left="724"/>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M</w:t>
      </w:r>
      <w:r>
        <w:rPr>
          <w:rFonts w:ascii="SimSun" w:hAnsi="SimSun" w:eastAsia="SimSun" w:cs="SimSun"/>
          <w:sz w:val="24"/>
          <w:szCs w:val="24"/>
          <w:spacing w:val="-1"/>
        </w:rPr>
        <w:t>—含水层厚度（</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13"/>
        </w:rPr>
        <w:t>），</w:t>
      </w:r>
      <w:r>
        <w:rPr>
          <w:rFonts w:ascii="SimSun" w:hAnsi="SimSun" w:eastAsia="SimSun" w:cs="SimSun"/>
          <w:sz w:val="24"/>
          <w:szCs w:val="24"/>
          <w:spacing w:val="-1"/>
        </w:rPr>
        <w:t>含水层平均厚度为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8.</w:t>
      </w:r>
      <w:r>
        <w:rPr>
          <w:rFonts w:ascii="Times New Roman" w:hAnsi="Times New Roman" w:eastAsia="Times New Roman" w:cs="Times New Roman"/>
          <w:sz w:val="24"/>
          <w:szCs w:val="24"/>
          <w:spacing w:val="-2"/>
        </w:rPr>
        <w:t>53m</w:t>
      </w:r>
      <w:r>
        <w:rPr>
          <w:rFonts w:ascii="SimSun" w:hAnsi="SimSun" w:eastAsia="SimSun" w:cs="SimSun"/>
          <w:sz w:val="24"/>
          <w:szCs w:val="24"/>
          <w:spacing w:val="-2"/>
        </w:rPr>
        <w:t>；</w:t>
      </w:r>
    </w:p>
    <w:p>
      <w:pPr>
        <w:ind w:left="724"/>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2"/>
        </w:rPr>
        <w:t>K</w:t>
      </w:r>
      <w:r>
        <w:rPr>
          <w:rFonts w:ascii="SimSun" w:hAnsi="SimSun" w:eastAsia="SimSun" w:cs="SimSun"/>
          <w:sz w:val="24"/>
          <w:szCs w:val="24"/>
          <w:spacing w:val="-2"/>
        </w:rPr>
        <w:t>—含水层渗透系数（</w:t>
      </w:r>
      <w:r>
        <w:rPr>
          <w:rFonts w:ascii="Times New Roman" w:hAnsi="Times New Roman" w:eastAsia="Times New Roman" w:cs="Times New Roman"/>
          <w:sz w:val="24"/>
          <w:szCs w:val="24"/>
          <w:spacing w:val="-2"/>
        </w:rPr>
        <w:t>m/d</w:t>
      </w:r>
      <w:r>
        <w:rPr>
          <w:rFonts w:ascii="SimSun" w:hAnsi="SimSun" w:eastAsia="SimSun" w:cs="SimSun"/>
          <w:sz w:val="24"/>
          <w:szCs w:val="24"/>
          <w:spacing w:val="12"/>
        </w:rPr>
        <w:t>），</w:t>
      </w:r>
      <w:r>
        <w:rPr>
          <w:rFonts w:ascii="SimSun" w:hAnsi="SimSun" w:eastAsia="SimSun" w:cs="SimSun"/>
          <w:sz w:val="24"/>
          <w:szCs w:val="24"/>
          <w:spacing w:val="-2"/>
        </w:rPr>
        <w:t>加权平均系数为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17.70m/d</w:t>
      </w:r>
      <w:r>
        <w:rPr>
          <w:rFonts w:ascii="SimSun" w:hAnsi="SimSun" w:eastAsia="SimSun" w:cs="SimSun"/>
          <w:sz w:val="24"/>
          <w:szCs w:val="24"/>
          <w:spacing w:val="-2"/>
        </w:rPr>
        <w:t>；</w:t>
      </w:r>
    </w:p>
    <w:p>
      <w:pPr>
        <w:ind w:left="14" w:right="13" w:firstLine="711"/>
        <w:spacing w:before="155" w:line="338" w:lineRule="auto"/>
        <w:rPr>
          <w:rFonts w:ascii="SimSun" w:hAnsi="SimSun" w:eastAsia="SimSun" w:cs="SimSun"/>
          <w:sz w:val="24"/>
          <w:szCs w:val="24"/>
        </w:rPr>
      </w:pPr>
      <w:r>
        <w:rPr>
          <w:rFonts w:ascii="Times New Roman" w:hAnsi="Times New Roman" w:eastAsia="Times New Roman" w:cs="Times New Roman"/>
          <w:sz w:val="24"/>
          <w:szCs w:val="24"/>
          <w:spacing w:val="3"/>
        </w:rPr>
        <w:t>I</w:t>
      </w:r>
      <w:r>
        <w:rPr>
          <w:rFonts w:ascii="SimSun" w:hAnsi="SimSun" w:eastAsia="SimSun" w:cs="SimSun"/>
          <w:sz w:val="24"/>
          <w:szCs w:val="24"/>
          <w:spacing w:val="3"/>
        </w:rPr>
        <w:t>—露天开采后水力坡度，本次评价以河床标高与第四系含水</w:t>
      </w:r>
      <w:r>
        <w:rPr>
          <w:rFonts w:ascii="SimSun" w:hAnsi="SimSun" w:eastAsia="SimSun" w:cs="SimSun"/>
          <w:sz w:val="24"/>
          <w:szCs w:val="24"/>
          <w:spacing w:val="2"/>
        </w:rPr>
        <w:t>层底板标高差与到</w:t>
      </w:r>
      <w:r>
        <w:rPr>
          <w:rFonts w:ascii="SimSun" w:hAnsi="SimSun" w:eastAsia="SimSun" w:cs="SimSun"/>
          <w:sz w:val="24"/>
          <w:szCs w:val="24"/>
          <w:spacing w:val="-1"/>
        </w:rPr>
        <w:t>露天采坑中心距离的比值作为水力坡度，改道终点河底高程为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960</w:t>
      </w:r>
      <w:r>
        <w:rPr>
          <w:rFonts w:ascii="Times New Roman" w:hAnsi="Times New Roman" w:eastAsia="Times New Roman" w:cs="Times New Roman"/>
          <w:sz w:val="24"/>
          <w:szCs w:val="24"/>
          <w:spacing w:val="-2"/>
        </w:rPr>
        <w:t>.46m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，附近区域第四</w:t>
      </w:r>
      <w:r>
        <w:rPr>
          <w:rFonts w:ascii="SimSun" w:hAnsi="SimSun" w:eastAsia="SimSun" w:cs="SimSun"/>
          <w:sz w:val="24"/>
          <w:szCs w:val="24"/>
          <w:spacing w:val="-2"/>
        </w:rPr>
        <w:t>系底板平均标高为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932.33m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，到采坑中心的距离约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，计算的水力坡度</w:t>
      </w:r>
      <w:r>
        <w:rPr>
          <w:rFonts w:ascii="SimSun" w:hAnsi="SimSun" w:eastAsia="SimSun" w:cs="SimSun"/>
          <w:sz w:val="24"/>
          <w:szCs w:val="24"/>
          <w:spacing w:val="-3"/>
        </w:rPr>
        <w:t>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0.014</w:t>
      </w:r>
      <w:r>
        <w:rPr>
          <w:rFonts w:ascii="SimSun" w:hAnsi="SimSun" w:eastAsia="SimSun" w:cs="SimSun"/>
          <w:sz w:val="24"/>
          <w:szCs w:val="24"/>
          <w:spacing w:val="-3"/>
        </w:rPr>
        <w:t>；</w:t>
      </w:r>
    </w:p>
    <w:p>
      <w:pPr>
        <w:ind w:left="730"/>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α</w:t>
      </w:r>
      <w:r>
        <w:rPr>
          <w:rFonts w:ascii="SimSun" w:hAnsi="SimSun" w:eastAsia="SimSun" w:cs="SimSun"/>
          <w:sz w:val="24"/>
          <w:szCs w:val="24"/>
          <w:spacing w:val="-2"/>
        </w:rPr>
        <w:t>—为地下水流向与补给断面垂向夹角，河流与采坑边界的夹角为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w:t>
      </w:r>
    </w:p>
    <w:p>
      <w:pPr>
        <w:ind w:left="8" w:right="13" w:firstLine="482"/>
        <w:spacing w:before="153" w:line="339" w:lineRule="auto"/>
        <w:jc w:val="both"/>
        <w:rPr>
          <w:rFonts w:ascii="SimSun" w:hAnsi="SimSun" w:eastAsia="SimSun" w:cs="SimSun"/>
          <w:sz w:val="24"/>
          <w:szCs w:val="24"/>
        </w:rPr>
      </w:pPr>
      <w:r>
        <w:rPr>
          <w:rFonts w:ascii="SimSun" w:hAnsi="SimSun" w:eastAsia="SimSun" w:cs="SimSun"/>
          <w:sz w:val="24"/>
          <w:szCs w:val="24"/>
          <w:spacing w:val="1"/>
        </w:rPr>
        <w:t>经计算，露天开采后彦吉嘎河向采坑内的侧向排泄量约为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2255.36m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，彦吉嘎河</w:t>
      </w:r>
      <w:r>
        <w:rPr>
          <w:rFonts w:ascii="SimSun" w:hAnsi="SimSun" w:eastAsia="SimSun" w:cs="SimSun"/>
          <w:sz w:val="24"/>
          <w:szCs w:val="24"/>
          <w:spacing w:val="-1"/>
        </w:rPr>
        <w:t>平均径流量</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/s</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1"/>
        </w:rPr>
        <w:t>，第四系含水层侧向径流补</w:t>
      </w:r>
      <w:r>
        <w:rPr>
          <w:rFonts w:ascii="SimSun" w:hAnsi="SimSun" w:eastAsia="SimSun" w:cs="SimSun"/>
          <w:sz w:val="24"/>
          <w:szCs w:val="24"/>
          <w:spacing w:val="-2"/>
        </w:rPr>
        <w:t>给量占平均径流量的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2.6%</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，煤矿开采对</w:t>
      </w:r>
      <w:r>
        <w:rPr>
          <w:rFonts w:ascii="SimSun" w:hAnsi="SimSun" w:eastAsia="SimSun" w:cs="SimSun"/>
          <w:sz w:val="24"/>
          <w:szCs w:val="24"/>
          <w:spacing w:val="-2"/>
        </w:rPr>
        <w:t>彦吉嘎河的水资源量有一定影响。根据井田设计，新规划的露天采区采坑服务年限约为</w:t>
      </w:r>
      <w:r>
        <w:rPr>
          <w:rFonts w:ascii="Times New Roman" w:hAnsi="Times New Roman" w:eastAsia="Times New Roman" w:cs="Times New Roman"/>
          <w:sz w:val="24"/>
          <w:szCs w:val="24"/>
          <w:spacing w:val="1"/>
        </w:rPr>
        <w:t>9.5 </w:t>
      </w:r>
      <w:r>
        <w:rPr>
          <w:rFonts w:ascii="SimSun" w:hAnsi="SimSun" w:eastAsia="SimSun" w:cs="SimSun"/>
          <w:sz w:val="24"/>
          <w:szCs w:val="24"/>
          <w:spacing w:val="1"/>
        </w:rPr>
        <w:t>年，煤炭开采完后遗留采坑不再回填。煤炭开采结束后不再对地下水进行扰动，区</w:t>
      </w:r>
      <w:r>
        <w:rPr>
          <w:rFonts w:ascii="SimSun" w:hAnsi="SimSun" w:eastAsia="SimSun" w:cs="SimSun"/>
          <w:sz w:val="24"/>
          <w:szCs w:val="24"/>
          <w:spacing w:val="-2"/>
        </w:rPr>
        <w:t>域地下水会重新进入一种动态平衡状态，</w:t>
      </w:r>
      <w:r>
        <w:rPr>
          <w:rFonts w:ascii="SimSun" w:hAnsi="SimSun" w:eastAsia="SimSun" w:cs="SimSun"/>
          <w:sz w:val="24"/>
          <w:szCs w:val="24"/>
          <w:spacing w:val="-66"/>
        </w:rPr>
        <w:t xml:space="preserve"> </w:t>
      </w:r>
      <w:r>
        <w:rPr>
          <w:rFonts w:ascii="SimSun" w:hAnsi="SimSun" w:eastAsia="SimSun" w:cs="SimSun"/>
          <w:sz w:val="24"/>
          <w:szCs w:val="24"/>
          <w:spacing w:val="-2"/>
        </w:rPr>
        <w:t>自然河段不再受露天开采影响。</w:t>
      </w:r>
    </w:p>
    <w:p>
      <w:pPr>
        <w:ind w:left="11" w:firstLine="479"/>
        <w:spacing w:before="2" w:line="338" w:lineRule="auto"/>
        <w:rPr>
          <w:rFonts w:ascii="SimSun" w:hAnsi="SimSun" w:eastAsia="SimSun" w:cs="SimSun"/>
          <w:sz w:val="24"/>
          <w:szCs w:val="24"/>
        </w:rPr>
      </w:pPr>
      <w:r>
        <w:rPr>
          <w:rFonts w:ascii="SimSun" w:hAnsi="SimSun" w:eastAsia="SimSun" w:cs="SimSun"/>
          <w:sz w:val="24"/>
          <w:szCs w:val="24"/>
          <w:spacing w:val="-1"/>
        </w:rPr>
        <w:t>本次评价建议需要采取相应的措施，以减轻露天开采对彦</w:t>
      </w:r>
      <w:r>
        <w:rPr>
          <w:rFonts w:ascii="SimSun" w:hAnsi="SimSun" w:eastAsia="SimSun" w:cs="SimSun"/>
          <w:sz w:val="24"/>
          <w:szCs w:val="24"/>
          <w:spacing w:val="-2"/>
        </w:rPr>
        <w:t>吉嘎河河流流量的影响。</w:t>
      </w:r>
      <w:r>
        <w:rPr>
          <w:rFonts w:ascii="SimSun" w:hAnsi="SimSun" w:eastAsia="SimSun" w:cs="SimSun"/>
          <w:sz w:val="24"/>
          <w:szCs w:val="24"/>
          <w:spacing w:val="-2"/>
        </w:rPr>
        <w:t>可以采取的措施如下：</w:t>
      </w:r>
    </w:p>
    <w:p>
      <w:pPr>
        <w:ind w:left="495"/>
        <w:spacing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）对受影响的自然河段采取防渗的措施。</w:t>
      </w:r>
    </w:p>
    <w:p>
      <w:pPr>
        <w:ind w:left="12" w:right="13" w:firstLine="479"/>
        <w:spacing w:before="154" w:line="340" w:lineRule="auto"/>
        <w:rPr>
          <w:rFonts w:ascii="SimSun" w:hAnsi="SimSun" w:eastAsia="SimSun" w:cs="SimSun"/>
          <w:sz w:val="24"/>
          <w:szCs w:val="24"/>
        </w:rPr>
      </w:pPr>
      <w:r>
        <w:rPr>
          <w:rFonts w:ascii="SimSun" w:hAnsi="SimSun" w:eastAsia="SimSun" w:cs="SimSun"/>
          <w:sz w:val="24"/>
          <w:szCs w:val="24"/>
          <w:spacing w:val="-2"/>
        </w:rPr>
        <w:t>待露天开采推进到靠近彦吉嘎河自然河段前，可以对受影响的自然河段进行防渗处</w:t>
      </w:r>
      <w:r>
        <w:rPr>
          <w:rFonts w:ascii="SimSun" w:hAnsi="SimSun" w:eastAsia="SimSun" w:cs="SimSun"/>
          <w:sz w:val="24"/>
          <w:szCs w:val="24"/>
        </w:rPr>
        <w:t>理，受影响自然河段长度约</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870m</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，防渗措施可以与彦吉嘎河已</w:t>
      </w:r>
      <w:r>
        <w:rPr>
          <w:rFonts w:ascii="SimSun" w:hAnsi="SimSun" w:eastAsia="SimSun" w:cs="SimSun"/>
          <w:sz w:val="24"/>
          <w:szCs w:val="24"/>
          <w:spacing w:val="-1"/>
        </w:rPr>
        <w:t>经改道河段相同，渗透</w:t>
      </w:r>
    </w:p>
    <w:p>
      <w:pPr>
        <w:spacing w:line="340" w:lineRule="auto"/>
        <w:sectPr>
          <w:headerReference w:type="default" r:id="rId10"/>
          <w:footerReference w:type="default" r:id="rId434"/>
          <w:pgSz w:w="11906" w:h="16838"/>
          <w:pgMar w:top="1170" w:right="1404" w:bottom="1080" w:left="1416" w:header="837" w:footer="918" w:gutter="0"/>
        </w:sectPr>
        <w:rPr>
          <w:rFonts w:ascii="SimSun" w:hAnsi="SimSun" w:eastAsia="SimSun" w:cs="SimSun"/>
          <w:sz w:val="24"/>
          <w:szCs w:val="24"/>
        </w:rPr>
      </w:pPr>
    </w:p>
    <w:p>
      <w:pPr>
        <w:pStyle w:val="BodyText"/>
        <w:spacing w:line="314" w:lineRule="auto"/>
        <w:rPr/>
      </w:pPr>
      <w:r/>
    </w:p>
    <w:p>
      <w:pPr>
        <w:ind w:left="10" w:right="85" w:firstLine="3"/>
        <w:spacing w:before="78" w:line="338" w:lineRule="auto"/>
        <w:jc w:val="both"/>
        <w:rPr>
          <w:rFonts w:ascii="SimSun" w:hAnsi="SimSun" w:eastAsia="SimSun" w:cs="SimSun"/>
          <w:sz w:val="24"/>
          <w:szCs w:val="24"/>
        </w:rPr>
      </w:pPr>
      <w:bookmarkStart w:name="bookmark97" w:id="56"/>
      <w:bookmarkEnd w:id="56"/>
      <w:r>
        <w:rPr>
          <w:rFonts w:ascii="SimSun" w:hAnsi="SimSun" w:eastAsia="SimSun" w:cs="SimSun"/>
          <w:sz w:val="24"/>
          <w:szCs w:val="24"/>
          <w:spacing w:val="-1"/>
        </w:rPr>
        <w:t>系数应控制在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1.0</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7"/>
        </w:rPr>
        <w:t>-6</w:t>
      </w:r>
      <w:r>
        <w:rPr>
          <w:rFonts w:ascii="Times New Roman" w:hAnsi="Times New Roman" w:eastAsia="Times New Roman" w:cs="Times New Roman"/>
          <w:sz w:val="24"/>
          <w:szCs w:val="24"/>
          <w:spacing w:val="-1"/>
        </w:rPr>
        <w:t>cm/s</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1"/>
        </w:rPr>
        <w:t>以内。采取自然河段防渗措施后， 可以有效降低河</w:t>
      </w:r>
      <w:r>
        <w:rPr>
          <w:rFonts w:ascii="SimSun" w:hAnsi="SimSun" w:eastAsia="SimSun" w:cs="SimSun"/>
          <w:sz w:val="24"/>
          <w:szCs w:val="24"/>
          <w:spacing w:val="-2"/>
        </w:rPr>
        <w:t>流与地</w:t>
      </w:r>
      <w:r>
        <w:rPr>
          <w:rFonts w:ascii="SimSun" w:hAnsi="SimSun" w:eastAsia="SimSun" w:cs="SimSun"/>
          <w:sz w:val="24"/>
          <w:szCs w:val="24"/>
          <w:spacing w:val="-2"/>
        </w:rPr>
        <w:t>下水的水力联系，避免露天开采造成河流水资源量损失。根据《内蒙古自治区河湖保护</w:t>
      </w:r>
      <w:r>
        <w:rPr>
          <w:rFonts w:ascii="SimSun" w:hAnsi="SimSun" w:eastAsia="SimSun" w:cs="SimSun"/>
          <w:sz w:val="24"/>
          <w:szCs w:val="24"/>
        </w:rPr>
        <w:t>和管理条例》，对彦吉嘎河进行防渗处理需要征求相关</w:t>
      </w:r>
      <w:r>
        <w:rPr>
          <w:rFonts w:ascii="SimSun" w:hAnsi="SimSun" w:eastAsia="SimSun" w:cs="SimSun"/>
          <w:sz w:val="24"/>
          <w:szCs w:val="24"/>
          <w:spacing w:val="-1"/>
        </w:rPr>
        <w:t>主管部门同意后才能进行。</w:t>
      </w:r>
    </w:p>
    <w:p>
      <w:pPr>
        <w:ind w:left="495"/>
        <w:spacing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）采取帷幕注浆的措施。</w:t>
      </w:r>
    </w:p>
    <w:p>
      <w:pPr>
        <w:ind w:left="8" w:firstLine="489"/>
        <w:spacing w:before="160" w:line="338" w:lineRule="auto"/>
        <w:rPr>
          <w:rFonts w:ascii="SimSun" w:hAnsi="SimSun" w:eastAsia="SimSun" w:cs="SimSun"/>
          <w:sz w:val="24"/>
          <w:szCs w:val="24"/>
        </w:rPr>
      </w:pPr>
      <w:r>
        <w:rPr>
          <w:rFonts w:ascii="SimSun" w:hAnsi="SimSun" w:eastAsia="SimSun" w:cs="SimSun"/>
          <w:sz w:val="24"/>
          <w:szCs w:val="24"/>
          <w:spacing w:val="-2"/>
        </w:rPr>
        <w:t>帷幕注浆就是在地下建造一道人工的、不透水的连续墙体，主要用于控制地下水渗</w:t>
      </w:r>
      <w:r>
        <w:rPr>
          <w:rFonts w:ascii="SimSun" w:hAnsi="SimSun" w:eastAsia="SimSun" w:cs="SimSun"/>
          <w:sz w:val="24"/>
          <w:szCs w:val="24"/>
          <w:spacing w:val="-2"/>
        </w:rPr>
        <w:t>流。待露天开采推进到靠近彦吉嘎河自然河段时，应适时在彦吉嘎河留设保护煤柱区内</w:t>
      </w:r>
      <w:r>
        <w:rPr>
          <w:rFonts w:ascii="SimSun" w:hAnsi="SimSun" w:eastAsia="SimSun" w:cs="SimSun"/>
          <w:sz w:val="24"/>
          <w:szCs w:val="24"/>
          <w:spacing w:val="-3"/>
        </w:rPr>
        <w:t>（见图</w:t>
      </w:r>
      <w:r>
        <w:rPr>
          <w:rFonts w:ascii="Times New Roman" w:hAnsi="Times New Roman" w:eastAsia="Times New Roman" w:cs="Times New Roman"/>
          <w:sz w:val="24"/>
          <w:szCs w:val="24"/>
          <w:spacing w:val="-3"/>
        </w:rPr>
        <w:t>5-4-10</w:t>
      </w:r>
      <w:r>
        <w:rPr>
          <w:rFonts w:ascii="SimSun" w:hAnsi="SimSun" w:eastAsia="SimSun" w:cs="SimSun"/>
          <w:sz w:val="24"/>
          <w:szCs w:val="24"/>
          <w:spacing w:val="-3"/>
        </w:rPr>
        <w:t>）采取帷幕注浆的措施，降低矿坑疏排水量，减少露天开采</w:t>
      </w:r>
      <w:r>
        <w:rPr>
          <w:rFonts w:ascii="SimSun" w:hAnsi="SimSun" w:eastAsia="SimSun" w:cs="SimSun"/>
          <w:sz w:val="24"/>
          <w:szCs w:val="24"/>
          <w:spacing w:val="-4"/>
        </w:rPr>
        <w:t>对河流的影响。</w:t>
      </w:r>
      <w:r>
        <w:rPr>
          <w:rFonts w:ascii="SimSun" w:hAnsi="SimSun" w:eastAsia="SimSun" w:cs="SimSun"/>
          <w:sz w:val="24"/>
          <w:szCs w:val="24"/>
          <w:spacing w:val="-4"/>
        </w:rPr>
        <w:t>采取帷幕注浆措施区域应保证渗透系数控制在</w:t>
      </w:r>
      <w:r>
        <w:rPr>
          <w:rFonts w:ascii="SimSun" w:hAnsi="SimSun" w:eastAsia="SimSun" w:cs="SimSun"/>
          <w:sz w:val="24"/>
          <w:szCs w:val="24"/>
          <w:spacing w:val="-14"/>
        </w:rPr>
        <w:t xml:space="preserve"> </w:t>
      </w:r>
      <w:r>
        <w:rPr>
          <w:rFonts w:ascii="Times New Roman" w:hAnsi="Times New Roman" w:eastAsia="Times New Roman" w:cs="Times New Roman"/>
          <w:sz w:val="24"/>
          <w:szCs w:val="24"/>
          <w:spacing w:val="-4"/>
        </w:rPr>
        <w:t>1.0</w:t>
      </w:r>
      <w:r>
        <w:rPr>
          <w:rFonts w:ascii="SimSun" w:hAnsi="SimSun" w:eastAsia="SimSun" w:cs="SimSun"/>
          <w:sz w:val="24"/>
          <w:szCs w:val="24"/>
          <w:spacing w:val="-4"/>
        </w:rPr>
        <w:t>×</w:t>
      </w:r>
      <w:r>
        <w:rPr>
          <w:rFonts w:ascii="Times New Roman" w:hAnsi="Times New Roman" w:eastAsia="Times New Roman" w:cs="Times New Roman"/>
          <w:sz w:val="24"/>
          <w:szCs w:val="24"/>
          <w:spacing w:val="-4"/>
        </w:rPr>
        <w:t>10</w:t>
      </w:r>
      <w:r>
        <w:rPr>
          <w:rFonts w:ascii="Times New Roman" w:hAnsi="Times New Roman" w:eastAsia="Times New Roman" w:cs="Times New Roman"/>
          <w:sz w:val="15"/>
          <w:szCs w:val="15"/>
          <w:spacing w:val="-4"/>
          <w:position w:val="8"/>
        </w:rPr>
        <w:t>-6</w:t>
      </w:r>
      <w:r>
        <w:rPr>
          <w:rFonts w:ascii="Times New Roman" w:hAnsi="Times New Roman" w:eastAsia="Times New Roman" w:cs="Times New Roman"/>
          <w:sz w:val="24"/>
          <w:szCs w:val="24"/>
          <w:spacing w:val="-4"/>
        </w:rPr>
        <w:t>cm/s</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以内，露天采坑内的涌水量</w:t>
      </w:r>
      <w:r>
        <w:rPr>
          <w:rFonts w:ascii="SimSun" w:hAnsi="SimSun" w:eastAsia="SimSun" w:cs="SimSun"/>
          <w:sz w:val="24"/>
          <w:szCs w:val="24"/>
          <w:spacing w:val="-2"/>
        </w:rPr>
        <w:t>大幅度减少，同时定期监测彦吉嘎河流量，确保河流流量不降低。在北部露天采区开采</w:t>
      </w:r>
      <w:r>
        <w:rPr>
          <w:rFonts w:ascii="SimSun" w:hAnsi="SimSun" w:eastAsia="SimSun" w:cs="SimSun"/>
          <w:sz w:val="24"/>
          <w:szCs w:val="24"/>
          <w:spacing w:val="-2"/>
        </w:rPr>
        <w:t>前，应由具有相应资质的单位编制帷幕注浆措施设计报告，具体工程情况以经评审后的</w:t>
      </w:r>
      <w:r>
        <w:rPr>
          <w:rFonts w:ascii="SimSun" w:hAnsi="SimSun" w:eastAsia="SimSun" w:cs="SimSun"/>
          <w:sz w:val="24"/>
          <w:szCs w:val="24"/>
          <w:spacing w:val="-2"/>
        </w:rPr>
        <w:t>设计报告为准。</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）煤矿开发对河道的影响</w:t>
      </w:r>
    </w:p>
    <w:p>
      <w:pPr>
        <w:ind w:left="4" w:firstLine="491"/>
        <w:spacing w:before="148" w:line="339" w:lineRule="auto"/>
        <w:rPr>
          <w:rFonts w:ascii="SimSun" w:hAnsi="SimSun" w:eastAsia="SimSun" w:cs="SimSun"/>
          <w:sz w:val="24"/>
          <w:szCs w:val="24"/>
        </w:rPr>
      </w:pPr>
      <w:r>
        <w:rPr>
          <w:rFonts w:ascii="SimSun" w:hAnsi="SimSun" w:eastAsia="SimSun" w:cs="SimSun"/>
          <w:sz w:val="24"/>
          <w:szCs w:val="24"/>
          <w:spacing w:val="1"/>
        </w:rPr>
        <w:t>辽宁省地质勘查院有限责任公司于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年编制了《内蒙古白音华海州露</w:t>
      </w:r>
      <w:r>
        <w:rPr>
          <w:rFonts w:ascii="SimSun" w:hAnsi="SimSun" w:eastAsia="SimSun" w:cs="SimSun"/>
          <w:sz w:val="24"/>
          <w:szCs w:val="24"/>
        </w:rPr>
        <w:t>天煤矿有</w:t>
      </w:r>
      <w:r>
        <w:rPr>
          <w:rFonts w:ascii="SimSun" w:hAnsi="SimSun" w:eastAsia="SimSun" w:cs="SimSun"/>
          <w:sz w:val="24"/>
          <w:szCs w:val="24"/>
          <w:spacing w:val="-1"/>
        </w:rPr>
        <w:t>限公司露天矿北帮到界边帮与彦吉嘎河安全距离论</w:t>
      </w:r>
      <w:r>
        <w:rPr>
          <w:rFonts w:ascii="SimSun" w:hAnsi="SimSun" w:eastAsia="SimSun" w:cs="SimSun"/>
          <w:sz w:val="24"/>
          <w:szCs w:val="24"/>
          <w:spacing w:val="-2"/>
        </w:rPr>
        <w:t>证报告》（以下简称《安全距离论证</w:t>
      </w:r>
      <w:r>
        <w:rPr>
          <w:rFonts w:ascii="SimSun" w:hAnsi="SimSun" w:eastAsia="SimSun" w:cs="SimSun"/>
          <w:sz w:val="24"/>
          <w:szCs w:val="24"/>
          <w:spacing w:val="-1"/>
        </w:rPr>
        <w:t>报告》</w:t>
      </w:r>
      <w:r>
        <w:rPr>
          <w:rFonts w:ascii="SimSun" w:hAnsi="SimSun" w:eastAsia="SimSun" w:cs="SimSun"/>
          <w:sz w:val="24"/>
          <w:szCs w:val="24"/>
          <w:spacing w:val="-21"/>
        </w:rPr>
        <w:t>），</w:t>
      </w:r>
      <w:r>
        <w:rPr>
          <w:rFonts w:ascii="SimSun" w:hAnsi="SimSun" w:eastAsia="SimSun" w:cs="SimSun"/>
          <w:sz w:val="24"/>
          <w:szCs w:val="24"/>
          <w:spacing w:val="-1"/>
        </w:rPr>
        <w:t>对原北部采掘场方案北帮稳定性进行了分析，原北部采掘场方案见图</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5-4-8</w:t>
      </w:r>
      <w:r>
        <w:rPr>
          <w:rFonts w:ascii="SimSun" w:hAnsi="SimSun" w:eastAsia="SimSun" w:cs="SimSun"/>
          <w:sz w:val="24"/>
          <w:szCs w:val="24"/>
          <w:spacing w:val="-1"/>
        </w:rPr>
        <w:t>。</w:t>
      </w:r>
      <w:r>
        <w:rPr>
          <w:rFonts w:ascii="SimSun" w:hAnsi="SimSun" w:eastAsia="SimSun" w:cs="SimSun"/>
          <w:sz w:val="24"/>
          <w:szCs w:val="24"/>
        </w:rPr>
        <w:t xml:space="preserve"> </w:t>
      </w:r>
      <w:r>
        <w:rPr>
          <w:rFonts w:ascii="SimSun" w:hAnsi="SimSun" w:eastAsia="SimSun" w:cs="SimSun"/>
          <w:sz w:val="24"/>
          <w:szCs w:val="24"/>
        </w:rPr>
        <w:t>《安全距离论证报告》通过现场调研露天矿边坡</w:t>
      </w:r>
      <w:r>
        <w:rPr>
          <w:rFonts w:ascii="SimSun" w:hAnsi="SimSun" w:eastAsia="SimSun" w:cs="SimSun"/>
          <w:sz w:val="24"/>
          <w:szCs w:val="24"/>
          <w:spacing w:val="-1"/>
        </w:rPr>
        <w:t>及河道情况，使用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SEM</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1"/>
        </w:rPr>
        <w:t>电镜扫描该区</w:t>
      </w:r>
      <w:r>
        <w:rPr>
          <w:rFonts w:ascii="SimSun" w:hAnsi="SimSun" w:eastAsia="SimSun" w:cs="SimSun"/>
          <w:sz w:val="24"/>
          <w:szCs w:val="24"/>
          <w:spacing w:val="-1"/>
        </w:rPr>
        <w:t>岩土体，分析岩石抗剪强度及渗透参数；通过渗透</w:t>
      </w:r>
      <w:r>
        <w:rPr>
          <w:rFonts w:ascii="SimSun" w:hAnsi="SimSun" w:eastAsia="SimSun" w:cs="SimSun"/>
          <w:sz w:val="24"/>
          <w:szCs w:val="24"/>
          <w:spacing w:val="-2"/>
        </w:rPr>
        <w:t>物理模型试验，分析含水率及孔隙水</w:t>
      </w:r>
      <w:r>
        <w:rPr>
          <w:rFonts w:ascii="SimSun" w:hAnsi="SimSun" w:eastAsia="SimSun" w:cs="SimSun"/>
          <w:sz w:val="24"/>
          <w:szCs w:val="24"/>
          <w:spacing w:val="8"/>
        </w:rPr>
        <w:t>压力变化，判定岩层隔水层物理特性；构建</w:t>
      </w:r>
      <w:r>
        <w:rPr>
          <w:rFonts w:ascii="SimSun" w:hAnsi="SimSun" w:eastAsia="SimSun" w:cs="SimSun"/>
          <w:sz w:val="24"/>
          <w:szCs w:val="24"/>
          <w:spacing w:val="7"/>
        </w:rPr>
        <w:t>三维边坡工程地质模型及</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FLAC</w:t>
      </w:r>
      <w:r>
        <w:rPr>
          <w:rFonts w:ascii="Times New Roman" w:hAnsi="Times New Roman" w:eastAsia="Times New Roman" w:cs="Times New Roman"/>
          <w:sz w:val="24"/>
          <w:szCs w:val="24"/>
          <w:spacing w:val="7"/>
        </w:rPr>
        <w:t>3D(</w:t>
      </w:r>
      <w:r>
        <w:rPr>
          <w:rFonts w:ascii="Times New Roman" w:hAnsi="Times New Roman" w:eastAsia="Times New Roman" w:cs="Times New Roman"/>
          <w:sz w:val="24"/>
          <w:szCs w:val="24"/>
        </w:rPr>
        <w:t>Three </w:t>
      </w:r>
      <w:r>
        <w:rPr>
          <w:rFonts w:ascii="Times New Roman" w:hAnsi="Times New Roman" w:eastAsia="Times New Roman" w:cs="Times New Roman"/>
          <w:sz w:val="24"/>
          <w:szCs w:val="24"/>
        </w:rPr>
        <w:t>Dimensional Fast Lagrangian Analysis of</w:t>
      </w:r>
      <w:r>
        <w:rPr>
          <w:rFonts w:ascii="Times New Roman" w:hAnsi="Times New Roman" w:eastAsia="Times New Roman" w:cs="Times New Roman"/>
          <w:sz w:val="24"/>
          <w:szCs w:val="24"/>
          <w:spacing w:val="-14"/>
        </w:rPr>
        <w:t xml:space="preserve"> </w:t>
      </w:r>
      <w:r>
        <w:rPr>
          <w:rFonts w:ascii="Times New Roman" w:hAnsi="Times New Roman" w:eastAsia="Times New Roman" w:cs="Times New Roman"/>
          <w:sz w:val="24"/>
          <w:szCs w:val="24"/>
        </w:rPr>
        <w:t>Continu</w:t>
      </w:r>
      <w:r>
        <w:rPr>
          <w:rFonts w:ascii="Times New Roman" w:hAnsi="Times New Roman" w:eastAsia="Times New Roman" w:cs="Times New Roman"/>
          <w:sz w:val="24"/>
          <w:szCs w:val="24"/>
          <w:spacing w:val="-1"/>
        </w:rPr>
        <w:t>a)</w:t>
      </w:r>
      <w:r>
        <w:rPr>
          <w:rFonts w:ascii="SimSun" w:hAnsi="SimSun" w:eastAsia="SimSun" w:cs="SimSun"/>
          <w:sz w:val="24"/>
          <w:szCs w:val="24"/>
          <w:spacing w:val="-1"/>
        </w:rPr>
        <w:t>分析，测定边坡角稳定性系数，分析了</w:t>
      </w:r>
      <w:r>
        <w:rPr>
          <w:rFonts w:ascii="SimSun" w:hAnsi="SimSun" w:eastAsia="SimSun" w:cs="SimSun"/>
          <w:sz w:val="24"/>
          <w:szCs w:val="24"/>
          <w:spacing w:val="-1"/>
        </w:rPr>
        <w:t>水岩作用对边坡稳定性的影响，分析结论认为，综</w:t>
      </w:r>
      <w:r>
        <w:rPr>
          <w:rFonts w:ascii="SimSun" w:hAnsi="SimSun" w:eastAsia="SimSun" w:cs="SimSun"/>
          <w:sz w:val="24"/>
          <w:szCs w:val="24"/>
          <w:spacing w:val="-2"/>
        </w:rPr>
        <w:t>合考虑保护河道、确保采场边坡的稳</w:t>
      </w:r>
      <w:r>
        <w:rPr>
          <w:rFonts w:ascii="SimSun" w:hAnsi="SimSun" w:eastAsia="SimSun" w:cs="SimSun"/>
          <w:sz w:val="24"/>
          <w:szCs w:val="24"/>
          <w:spacing w:val="-1"/>
        </w:rPr>
        <w:t>定与安全和采矿权开采范围等因素，最终确定以矿</w:t>
      </w:r>
      <w:r>
        <w:rPr>
          <w:rFonts w:ascii="SimSun" w:hAnsi="SimSun" w:eastAsia="SimSun" w:cs="SimSun"/>
          <w:sz w:val="24"/>
          <w:szCs w:val="24"/>
          <w:spacing w:val="-2"/>
        </w:rPr>
        <w:t>界为北帮地表界的边坡方案（南部采</w:t>
      </w:r>
      <w:r>
        <w:rPr>
          <w:rFonts w:ascii="SimSun" w:hAnsi="SimSun" w:eastAsia="SimSun" w:cs="SimSun"/>
          <w:sz w:val="24"/>
          <w:szCs w:val="24"/>
          <w:spacing w:val="-4"/>
        </w:rPr>
        <w:t>掘场</w:t>
      </w:r>
      <w:r>
        <w:rPr>
          <w:rFonts w:ascii="SimSun" w:hAnsi="SimSun" w:eastAsia="SimSun" w:cs="SimSun"/>
          <w:sz w:val="24"/>
          <w:szCs w:val="24"/>
          <w:spacing w:val="-10"/>
        </w:rPr>
        <w:t>），</w:t>
      </w:r>
      <w:r>
        <w:rPr>
          <w:rFonts w:ascii="SimSun" w:hAnsi="SimSun" w:eastAsia="SimSun" w:cs="SimSun"/>
          <w:sz w:val="24"/>
          <w:szCs w:val="24"/>
          <w:spacing w:val="-4"/>
        </w:rPr>
        <w:t>该方案采场距离河道最小距离约为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80m</w:t>
      </w:r>
      <w:r>
        <w:rPr>
          <w:rFonts w:ascii="SimSun" w:hAnsi="SimSun" w:eastAsia="SimSun" w:cs="SimSun"/>
          <w:sz w:val="24"/>
          <w:szCs w:val="24"/>
          <w:spacing w:val="-4"/>
        </w:rPr>
        <w:t>，边坡角为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4"/>
        </w:rPr>
        <w:t>°。该方案可靠，可以有</w:t>
      </w:r>
      <w:r>
        <w:rPr>
          <w:rFonts w:ascii="SimSun" w:hAnsi="SimSun" w:eastAsia="SimSun" w:cs="SimSun"/>
          <w:sz w:val="24"/>
          <w:szCs w:val="24"/>
          <w:spacing w:val="-1"/>
        </w:rPr>
        <w:t>效防治边坡滑动、保护河流 。</w:t>
      </w:r>
    </w:p>
    <w:p>
      <w:pPr>
        <w:spacing w:line="339" w:lineRule="auto"/>
        <w:sectPr>
          <w:headerReference w:type="default" r:id="rId6"/>
          <w:footerReference w:type="default" r:id="rId436"/>
          <w:pgSz w:w="11906" w:h="16838"/>
          <w:pgMar w:top="1170" w:right="1332" w:bottom="1080" w:left="1416" w:header="837" w:footer="918" w:gutter="0"/>
        </w:sectPr>
        <w:rPr>
          <w:rFonts w:ascii="SimSun" w:hAnsi="SimSun" w:eastAsia="SimSun" w:cs="SimSun"/>
          <w:sz w:val="24"/>
          <w:szCs w:val="24"/>
        </w:rPr>
      </w:pPr>
    </w:p>
    <w:p>
      <w:pPr>
        <w:pStyle w:val="BodyText"/>
        <w:spacing w:line="256" w:lineRule="auto"/>
        <w:rPr/>
      </w:pPr>
      <w:r/>
    </w:p>
    <w:p>
      <w:pPr>
        <w:ind w:firstLine="155"/>
        <w:spacing w:line="6384" w:lineRule="exact"/>
        <w:rPr/>
      </w:pPr>
      <w:r>
        <w:rPr>
          <w:position w:val="-127"/>
        </w:rPr>
        <w:drawing>
          <wp:inline distT="0" distB="0" distL="0" distR="0">
            <wp:extent cx="5554979" cy="4053839"/>
            <wp:effectExtent l="0" t="0" r="0" b="0"/>
            <wp:docPr id="314" name="IM 314"/>
            <wp:cNvGraphicFramePr/>
            <a:graphic>
              <a:graphicData uri="http://schemas.openxmlformats.org/drawingml/2006/picture">
                <pic:pic>
                  <pic:nvPicPr>
                    <pic:cNvPr id="314" name="IM 314"/>
                    <pic:cNvPicPr/>
                  </pic:nvPicPr>
                  <pic:blipFill>
                    <a:blip r:embed="rId438"/>
                    <a:stretch>
                      <a:fillRect/>
                    </a:stretch>
                  </pic:blipFill>
                  <pic:spPr>
                    <a:xfrm rot="0">
                      <a:off x="0" y="0"/>
                      <a:ext cx="5554979" cy="4053839"/>
                    </a:xfrm>
                    <a:prstGeom prst="rect">
                      <a:avLst/>
                    </a:prstGeom>
                  </pic:spPr>
                </pic:pic>
              </a:graphicData>
            </a:graphic>
          </wp:inline>
        </w:drawing>
      </w:r>
    </w:p>
    <w:p>
      <w:pPr>
        <w:ind w:left="1979"/>
        <w:spacing w:before="268" w:line="221"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36"/>
        </w:rPr>
        <w:t xml:space="preserve"> </w:t>
      </w:r>
      <w:r>
        <w:rPr>
          <w:rFonts w:ascii="Times New Roman" w:hAnsi="Times New Roman" w:eastAsia="Times New Roman" w:cs="Times New Roman"/>
          <w:sz w:val="24"/>
          <w:szCs w:val="24"/>
          <w:b/>
          <w:bCs/>
          <w:spacing w:val="-3"/>
        </w:rPr>
        <w:t>5-4-8    </w:t>
      </w:r>
      <w:r>
        <w:rPr>
          <w:rFonts w:ascii="SimHei" w:hAnsi="SimHei" w:eastAsia="SimHei" w:cs="SimHei"/>
          <w:sz w:val="24"/>
          <w:szCs w:val="24"/>
          <w:b/>
          <w:bCs/>
          <w:spacing w:val="-3"/>
        </w:rPr>
        <w:t>《安全距离论证报告》采掘场开采方案</w:t>
      </w:r>
    </w:p>
    <w:p>
      <w:pPr>
        <w:ind w:left="8" w:firstLine="480"/>
        <w:spacing w:before="186" w:line="339" w:lineRule="auto"/>
        <w:jc w:val="both"/>
        <w:rPr>
          <w:rFonts w:ascii="SimSun" w:hAnsi="SimSun" w:eastAsia="SimSun" w:cs="SimSun"/>
          <w:sz w:val="24"/>
          <w:szCs w:val="24"/>
        </w:rPr>
      </w:pPr>
      <w:r>
        <w:rPr>
          <w:rFonts w:ascii="SimSun" w:hAnsi="SimSun" w:eastAsia="SimSun" w:cs="SimSun"/>
          <w:sz w:val="24"/>
          <w:szCs w:val="24"/>
          <w:spacing w:val="-1"/>
        </w:rPr>
        <w:t>根据本次论证的露天开采设计，新增露天区采掘场东部包含《安全距离论证报告》</w:t>
      </w:r>
      <w:r>
        <w:rPr>
          <w:rFonts w:ascii="SimSun" w:hAnsi="SimSun" w:eastAsia="SimSun" w:cs="SimSun"/>
          <w:sz w:val="24"/>
          <w:szCs w:val="24"/>
          <w:spacing w:val="-6"/>
        </w:rPr>
        <w:t>中的采掘场区域，见图</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6"/>
        </w:rPr>
        <w:t>5-4-9</w:t>
      </w:r>
      <w:r>
        <w:rPr>
          <w:rFonts w:ascii="SimSun" w:hAnsi="SimSun" w:eastAsia="SimSun" w:cs="SimSun"/>
          <w:sz w:val="24"/>
          <w:szCs w:val="24"/>
          <w:spacing w:val="-6"/>
        </w:rPr>
        <w:t>。新增采掘场边坡角设计为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6"/>
        </w:rPr>
        <w:t>°</w:t>
      </w:r>
      <w:r>
        <w:rPr>
          <w:rFonts w:ascii="SimSun" w:hAnsi="SimSun" w:eastAsia="SimSun" w:cs="SimSun"/>
          <w:sz w:val="24"/>
          <w:szCs w:val="24"/>
          <w:spacing w:val="-91"/>
        </w:rPr>
        <w:t xml:space="preserve"> </w:t>
      </w:r>
      <w:r>
        <w:rPr>
          <w:rFonts w:ascii="SimSun" w:hAnsi="SimSun" w:eastAsia="SimSun" w:cs="SimSun"/>
          <w:sz w:val="24"/>
          <w:szCs w:val="24"/>
          <w:spacing w:val="-6"/>
        </w:rPr>
        <w:t>,</w:t>
      </w:r>
      <w:r>
        <w:rPr>
          <w:rFonts w:ascii="SimSun" w:hAnsi="SimSun" w:eastAsia="SimSun" w:cs="SimSun"/>
          <w:sz w:val="24"/>
          <w:szCs w:val="24"/>
          <w:spacing w:val="38"/>
        </w:rPr>
        <w:t xml:space="preserve"> </w:t>
      </w:r>
      <w:r>
        <w:rPr>
          <w:rFonts w:ascii="SimSun" w:hAnsi="SimSun" w:eastAsia="SimSun" w:cs="SimSun"/>
          <w:sz w:val="24"/>
          <w:szCs w:val="24"/>
          <w:spacing w:val="-6"/>
        </w:rPr>
        <w:t>与原采掘场边坡角一致。</w:t>
      </w:r>
      <w:r>
        <w:rPr>
          <w:rFonts w:ascii="SimSun" w:hAnsi="SimSun" w:eastAsia="SimSun" w:cs="SimSun"/>
          <w:sz w:val="24"/>
          <w:szCs w:val="24"/>
          <w:spacing w:val="1"/>
        </w:rPr>
        <w:t>本次评价考虑到同一区域内地质条件、岩石力学性质不会发生 较大变化，本次评价要</w:t>
      </w:r>
      <w:r>
        <w:rPr>
          <w:rFonts w:ascii="SimSun" w:hAnsi="SimSun" w:eastAsia="SimSun" w:cs="SimSun"/>
          <w:sz w:val="24"/>
          <w:szCs w:val="24"/>
          <w:spacing w:val="-2"/>
        </w:rPr>
        <w:t>求新增露天采掘场北帮地表界距离河道管理范围最小距离应大于</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80m</w:t>
      </w:r>
      <w:r>
        <w:rPr>
          <w:rFonts w:ascii="SimSun" w:hAnsi="SimSun" w:eastAsia="SimSun" w:cs="SimSun"/>
          <w:sz w:val="24"/>
          <w:szCs w:val="24"/>
          <w:spacing w:val="-2"/>
        </w:rPr>
        <w:t>，并加强观测，发</w:t>
      </w:r>
      <w:r>
        <w:rPr>
          <w:rFonts w:ascii="SimSun" w:hAnsi="SimSun" w:eastAsia="SimSun" w:cs="SimSun"/>
          <w:sz w:val="24"/>
          <w:szCs w:val="24"/>
          <w:spacing w:val="-2"/>
        </w:rPr>
        <w:t>现河流形态、水文情势、水生态系统及防洪功能等受影响时及时优化开采布局或采取保</w:t>
      </w:r>
      <w:r>
        <w:rPr>
          <w:rFonts w:ascii="SimSun" w:hAnsi="SimSun" w:eastAsia="SimSun" w:cs="SimSun"/>
          <w:sz w:val="24"/>
          <w:szCs w:val="24"/>
          <w:spacing w:val="-2"/>
        </w:rPr>
        <w:t>护措施确保不对河流生态功能造成影响。此外，露天采场沿河底部的煤层开采境界距离</w:t>
      </w:r>
      <w:r>
        <w:rPr>
          <w:rFonts w:ascii="SimSun" w:hAnsi="SimSun" w:eastAsia="SimSun" w:cs="SimSun"/>
          <w:sz w:val="24"/>
          <w:szCs w:val="24"/>
          <w:spacing w:val="-1"/>
        </w:rPr>
        <w:t>河道管理范围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503 </w:t>
      </w:r>
      <w:r>
        <w:rPr>
          <w:rFonts w:ascii="SimSun" w:hAnsi="SimSun" w:eastAsia="SimSun" w:cs="SimSun"/>
          <w:sz w:val="24"/>
          <w:szCs w:val="24"/>
          <w:spacing w:val="-1"/>
        </w:rPr>
        <w:t>米，也能够进一步确保不对河床所在区域含水层造成疏排影响。</w:t>
      </w:r>
    </w:p>
    <w:p>
      <w:pPr>
        <w:spacing w:line="339" w:lineRule="auto"/>
        <w:sectPr>
          <w:footerReference w:type="default" r:id="rId437"/>
          <w:pgSz w:w="11906" w:h="16838"/>
          <w:pgMar w:top="1170" w:right="1332" w:bottom="1080" w:left="1416" w:header="837" w:footer="918" w:gutter="0"/>
        </w:sectPr>
        <w:rPr>
          <w:rFonts w:ascii="SimSun" w:hAnsi="SimSun" w:eastAsia="SimSun" w:cs="SimSun"/>
          <w:sz w:val="24"/>
          <w:szCs w:val="24"/>
        </w:rPr>
      </w:pPr>
    </w:p>
    <w:p>
      <w:pPr>
        <w:pStyle w:val="BodyText"/>
        <w:spacing w:line="260" w:lineRule="auto"/>
        <w:rPr/>
      </w:pPr>
      <w:r/>
    </w:p>
    <w:p>
      <w:pPr>
        <w:pStyle w:val="BodyText"/>
        <w:ind w:firstLine="215"/>
        <w:spacing w:line="5460" w:lineRule="exact"/>
        <w:rPr/>
      </w:pPr>
      <w:r>
        <w:rPr>
          <w:position w:val="-109"/>
        </w:rPr>
        <w:pict>
          <v:group id="_x0000_s1256" style="mso-position-vertical-relative:line;mso-position-horizontal-relative:char;width:432.15pt;height:273pt;" filled="false" stroked="false" coordsize="8642,5460" coordorigin="0,0">
            <v:shape id="_x0000_s1258" style="position:absolute;left:14;top:14;width:8614;height:5432;" filled="false" stroked="false" type="#_x0000_t75">
              <v:imagedata o:title="" r:id="rId440"/>
            </v:shape>
            <v:shape id="_x0000_s1260" style="position:absolute;left:-20;top:-20;width:8682;height:5500;" filled="false" stroked="false" type="#_x0000_t202">
              <v:fill on="false"/>
              <v:stroke on="false"/>
              <v:path/>
              <v:imagedata o:title=""/>
              <o:lock v:ext="edit" aspectratio="false"/>
              <v:textbox inset="0mm,0mm,0mm,0mm">
                <w:txbxContent>
                  <w:p>
                    <w:pPr>
                      <w:spacing w:line="20" w:lineRule="exact"/>
                      <w:rPr/>
                    </w:pPr>
                    <w:r/>
                  </w:p>
                  <w:tbl>
                    <w:tblPr>
                      <w:tblStyle w:val="TableNormal"/>
                      <w:tblW w:w="8637" w:type="dxa"/>
                      <w:tblInd w:w="22" w:type="dxa"/>
                      <w:tblLayout w:type="fixed"/>
                      <w:tblBorders>
                        <w:left w:val="single" w:color="000000" w:sz="2" w:space="0"/>
                        <w:bottom w:val="single" w:color="000000" w:sz="2" w:space="0"/>
                        <w:right w:val="single" w:color="000000" w:sz="2" w:space="0"/>
                        <w:top w:val="single" w:color="000000" w:sz="2" w:space="0"/>
                      </w:tblBorders>
                    </w:tblPr>
                    <w:tblGrid>
                      <w:gridCol w:w="8637"/>
                    </w:tblGrid>
                    <w:tr>
                      <w:trPr>
                        <w:trHeight w:val="5450" w:hRule="atLeast"/>
                      </w:trPr>
                      <w:tc>
                        <w:tcPr>
                          <w:tcW w:w="8637" w:type="dxa"/>
                          <w:vAlign w:val="top"/>
                        </w:tcPr>
                        <w:p>
                          <w:pPr>
                            <w:rPr>
                              <w:rFonts w:ascii="Arial"/>
                              <w:sz w:val="21"/>
                            </w:rPr>
                          </w:pPr>
                          <w:r/>
                        </w:p>
                      </w:tc>
                    </w:tr>
                  </w:tbl>
                  <w:p>
                    <w:pPr>
                      <w:rPr>
                        <w:rFonts w:ascii="Arial"/>
                        <w:sz w:val="21"/>
                      </w:rPr>
                    </w:pPr>
                    <w:r/>
                  </w:p>
                </w:txbxContent>
              </v:textbox>
            </v:shape>
          </v:group>
        </w:pict>
      </w:r>
    </w:p>
    <w:p>
      <w:pPr>
        <w:ind w:left="2219"/>
        <w:spacing w:before="288" w:line="221"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37"/>
        </w:rPr>
        <w:t xml:space="preserve"> </w:t>
      </w:r>
      <w:r>
        <w:rPr>
          <w:rFonts w:ascii="Times New Roman" w:hAnsi="Times New Roman" w:eastAsia="Times New Roman" w:cs="Times New Roman"/>
          <w:sz w:val="24"/>
          <w:szCs w:val="24"/>
          <w:b/>
          <w:bCs/>
          <w:spacing w:val="-3"/>
        </w:rPr>
        <w:t>5-4-9    </w:t>
      </w:r>
      <w:r>
        <w:rPr>
          <w:rFonts w:ascii="SimHei" w:hAnsi="SimHei" w:eastAsia="SimHei" w:cs="SimHei"/>
          <w:sz w:val="24"/>
          <w:szCs w:val="24"/>
          <w:b/>
          <w:bCs/>
          <w:spacing w:val="-3"/>
        </w:rPr>
        <w:t>本次评价北部露天采掘场设置方案</w:t>
      </w:r>
    </w:p>
    <w:p>
      <w:pPr>
        <w:ind w:firstLine="112"/>
        <w:spacing w:before="55" w:line="5561" w:lineRule="exact"/>
        <w:rPr/>
      </w:pPr>
      <w:r>
        <w:rPr>
          <w:position w:val="-111"/>
        </w:rPr>
        <w:drawing>
          <wp:inline distT="0" distB="0" distL="0" distR="0">
            <wp:extent cx="5614416" cy="3531107"/>
            <wp:effectExtent l="0" t="0" r="0" b="0"/>
            <wp:docPr id="316" name="IM 316"/>
            <wp:cNvGraphicFramePr/>
            <a:graphic>
              <a:graphicData uri="http://schemas.openxmlformats.org/drawingml/2006/picture">
                <pic:pic>
                  <pic:nvPicPr>
                    <pic:cNvPr id="316" name="IM 316"/>
                    <pic:cNvPicPr/>
                  </pic:nvPicPr>
                  <pic:blipFill>
                    <a:blip r:embed="rId441"/>
                    <a:stretch>
                      <a:fillRect/>
                    </a:stretch>
                  </pic:blipFill>
                  <pic:spPr>
                    <a:xfrm rot="0">
                      <a:off x="0" y="0"/>
                      <a:ext cx="5614416" cy="3531107"/>
                    </a:xfrm>
                    <a:prstGeom prst="rect">
                      <a:avLst/>
                    </a:prstGeom>
                  </pic:spPr>
                </pic:pic>
              </a:graphicData>
            </a:graphic>
          </wp:inline>
        </w:drawing>
      </w:r>
    </w:p>
    <w:p>
      <w:pPr>
        <w:ind w:left="2159"/>
        <w:spacing w:before="275" w:line="222" w:lineRule="auto"/>
        <w:rPr>
          <w:rFonts w:ascii="SimHei" w:hAnsi="SimHei" w:eastAsia="SimHei" w:cs="SimHei"/>
          <w:sz w:val="24"/>
          <w:szCs w:val="24"/>
        </w:rPr>
      </w:pPr>
      <w:r>
        <w:rPr>
          <w:rFonts w:ascii="SimHei" w:hAnsi="SimHei" w:eastAsia="SimHei" w:cs="SimHei"/>
          <w:sz w:val="24"/>
          <w:szCs w:val="24"/>
          <w:b/>
          <w:bCs/>
          <w:spacing w:val="-3"/>
        </w:rPr>
        <w:t>图</w:t>
      </w:r>
      <w:r>
        <w:rPr>
          <w:rFonts w:ascii="SimHei" w:hAnsi="SimHei" w:eastAsia="SimHei" w:cs="SimHei"/>
          <w:sz w:val="24"/>
          <w:szCs w:val="24"/>
          <w:spacing w:val="-34"/>
        </w:rPr>
        <w:t xml:space="preserve"> </w:t>
      </w:r>
      <w:r>
        <w:rPr>
          <w:rFonts w:ascii="Times New Roman" w:hAnsi="Times New Roman" w:eastAsia="Times New Roman" w:cs="Times New Roman"/>
          <w:sz w:val="24"/>
          <w:szCs w:val="24"/>
          <w:b/>
          <w:bCs/>
          <w:spacing w:val="-3"/>
        </w:rPr>
        <w:t>5-4-10    </w:t>
      </w:r>
      <w:r>
        <w:rPr>
          <w:rFonts w:ascii="SimHei" w:hAnsi="SimHei" w:eastAsia="SimHei" w:cs="SimHei"/>
          <w:sz w:val="24"/>
          <w:szCs w:val="24"/>
          <w:b/>
          <w:bCs/>
          <w:spacing w:val="-3"/>
        </w:rPr>
        <w:t>河道管理范围保护煤柱留设示意图</w:t>
      </w:r>
    </w:p>
    <w:p>
      <w:pPr>
        <w:ind w:left="8"/>
        <w:spacing w:before="184"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5.4.4.6</w:t>
      </w:r>
      <w:r>
        <w:rPr>
          <w:rFonts w:ascii="SimHei" w:hAnsi="SimHei" w:eastAsia="SimHei" w:cs="SimHei"/>
          <w:sz w:val="24"/>
          <w:szCs w:val="24"/>
          <w:b/>
          <w:bCs/>
          <w:spacing w:val="-2"/>
        </w:rPr>
        <w:t>煤炭开采对具有供水意义含水层及居民饮用水源井影响分析</w:t>
      </w:r>
    </w:p>
    <w:p>
      <w:pPr>
        <w:ind w:left="508"/>
        <w:spacing w:before="152" w:line="219" w:lineRule="auto"/>
        <w:rPr>
          <w:rFonts w:ascii="SimSun" w:hAnsi="SimSun" w:eastAsia="SimSun" w:cs="SimSun"/>
          <w:sz w:val="24"/>
          <w:szCs w:val="24"/>
        </w:rPr>
      </w:pP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3"/>
        </w:rPr>
        <w:t>、煤炭开采对具有供水意义含水层的影响分析</w:t>
      </w:r>
    </w:p>
    <w:p>
      <w:pPr>
        <w:ind w:left="507"/>
        <w:spacing w:before="157" w:line="219" w:lineRule="auto"/>
        <w:rPr>
          <w:rFonts w:ascii="SimSun" w:hAnsi="SimSun" w:eastAsia="SimSun" w:cs="SimSun"/>
          <w:sz w:val="24"/>
          <w:szCs w:val="24"/>
        </w:rPr>
      </w:pPr>
      <w:r>
        <w:rPr>
          <w:rFonts w:ascii="SimSun" w:hAnsi="SimSun" w:eastAsia="SimSun" w:cs="SimSun"/>
          <w:sz w:val="24"/>
          <w:szCs w:val="24"/>
          <w:spacing w:val="-2"/>
        </w:rPr>
        <w:t>区域内具有供水意义的含水层为第四系潜水含水层。</w:t>
      </w:r>
    </w:p>
    <w:p>
      <w:pPr>
        <w:spacing w:line="219" w:lineRule="auto"/>
        <w:sectPr>
          <w:headerReference w:type="default" r:id="rId79"/>
          <w:footerReference w:type="default" r:id="rId439"/>
          <w:pgSz w:w="11906" w:h="16838"/>
          <w:pgMar w:top="1170" w:right="1417" w:bottom="1080" w:left="1416" w:header="837" w:footer="918" w:gutter="0"/>
        </w:sectPr>
        <w:rPr>
          <w:rFonts w:ascii="SimSun" w:hAnsi="SimSun" w:eastAsia="SimSun" w:cs="SimSun"/>
          <w:sz w:val="24"/>
          <w:szCs w:val="24"/>
        </w:rPr>
      </w:pPr>
    </w:p>
    <w:p>
      <w:pPr>
        <w:pStyle w:val="BodyText"/>
        <w:spacing w:line="309" w:lineRule="auto"/>
        <w:rPr/>
      </w:pPr>
      <w:r/>
    </w:p>
    <w:p>
      <w:pPr>
        <w:ind w:left="256" w:right="20" w:firstLine="480"/>
        <w:spacing w:before="78" w:line="339" w:lineRule="auto"/>
        <w:jc w:val="both"/>
        <w:rPr>
          <w:rFonts w:ascii="SimSun" w:hAnsi="SimSun" w:eastAsia="SimSun" w:cs="SimSun"/>
          <w:sz w:val="24"/>
          <w:szCs w:val="24"/>
        </w:rPr>
      </w:pPr>
      <w:bookmarkStart w:name="bookmark98" w:id="57"/>
      <w:bookmarkEnd w:id="57"/>
      <w:r>
        <w:rPr>
          <w:rFonts w:ascii="SimSun" w:hAnsi="SimSun" w:eastAsia="SimSun" w:cs="SimSun"/>
          <w:sz w:val="24"/>
          <w:szCs w:val="24"/>
          <w:spacing w:val="-3"/>
        </w:rPr>
        <w:t>本项目露天开采会破坏第四系潜水含水层，形成以采掘场为中心的地下水降落漏斗。</w:t>
      </w:r>
      <w:r>
        <w:rPr>
          <w:rFonts w:ascii="SimSun" w:hAnsi="SimSun" w:eastAsia="SimSun" w:cs="SimSun"/>
          <w:sz w:val="24"/>
          <w:szCs w:val="24"/>
          <w:spacing w:val="-3"/>
        </w:rPr>
        <w:t>根据预测，第四系潜水含水层的影响范围约为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293.50km</w:t>
      </w:r>
      <w:r>
        <w:rPr>
          <w:rFonts w:ascii="SimSun" w:hAnsi="SimSun" w:eastAsia="SimSun" w:cs="SimSun"/>
          <w:sz w:val="24"/>
          <w:szCs w:val="24"/>
          <w:spacing w:val="-3"/>
        </w:rPr>
        <w:t>，白垩系含水层的影</w:t>
      </w:r>
      <w:r>
        <w:rPr>
          <w:rFonts w:ascii="SimSun" w:hAnsi="SimSun" w:eastAsia="SimSun" w:cs="SimSun"/>
          <w:sz w:val="24"/>
          <w:szCs w:val="24"/>
          <w:spacing w:val="-4"/>
        </w:rPr>
        <w:t>响范围最大</w:t>
      </w:r>
      <w:r>
        <w:rPr>
          <w:rFonts w:ascii="SimSun" w:hAnsi="SimSun" w:eastAsia="SimSun" w:cs="SimSun"/>
          <w:sz w:val="24"/>
          <w:szCs w:val="24"/>
          <w:spacing w:val="-2"/>
        </w:rPr>
        <w:t>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1317.55m</w:t>
      </w:r>
      <w:r>
        <w:rPr>
          <w:rFonts w:ascii="SimSun" w:hAnsi="SimSun" w:eastAsia="SimSun" w:cs="SimSun"/>
          <w:sz w:val="24"/>
          <w:szCs w:val="24"/>
          <w:spacing w:val="-2"/>
        </w:rPr>
        <w:t>。根据实际地下水长观孔监测结果，</w:t>
      </w:r>
      <w:r>
        <w:rPr>
          <w:rFonts w:ascii="Times New Roman" w:hAnsi="Times New Roman" w:eastAsia="Times New Roman" w:cs="Times New Roman"/>
          <w:sz w:val="24"/>
          <w:szCs w:val="24"/>
          <w:spacing w:val="-2"/>
        </w:rPr>
        <w:t>2019</w:t>
      </w:r>
      <w:r>
        <w:rPr>
          <w:rFonts w:ascii="SimSun" w:hAnsi="SimSun" w:eastAsia="SimSun" w:cs="SimSun"/>
          <w:sz w:val="24"/>
          <w:szCs w:val="24"/>
          <w:spacing w:val="-2"/>
        </w:rPr>
        <w:t>～</w:t>
      </w:r>
      <w:r>
        <w:rPr>
          <w:rFonts w:ascii="Times New Roman" w:hAnsi="Times New Roman" w:eastAsia="Times New Roman" w:cs="Times New Roman"/>
          <w:sz w:val="24"/>
          <w:szCs w:val="24"/>
          <w:spacing w:val="-2"/>
        </w:rPr>
        <w:t>2024</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区域第四系潜水水位稳定，</w:t>
      </w:r>
      <w:r>
        <w:rPr>
          <w:rFonts w:ascii="SimSun" w:hAnsi="SimSun" w:eastAsia="SimSun" w:cs="SimSun"/>
          <w:sz w:val="24"/>
          <w:szCs w:val="24"/>
          <w:spacing w:val="-2"/>
        </w:rPr>
        <w:t>未出现明显波动，本次评价认为近几年潜水含水层重新进入动态平衡，无明显的下降趋</w:t>
      </w:r>
      <w:r>
        <w:rPr>
          <w:rFonts w:ascii="SimSun" w:hAnsi="SimSun" w:eastAsia="SimSun" w:cs="SimSun"/>
          <w:sz w:val="24"/>
          <w:szCs w:val="24"/>
          <w:spacing w:val="-1"/>
        </w:rPr>
        <w:t>势，地下水水位稳定。</w:t>
      </w:r>
    </w:p>
    <w:p>
      <w:pPr>
        <w:ind w:left="732"/>
        <w:spacing w:line="218"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、煤炭开采对居民饮用水水源影响分析</w:t>
      </w:r>
    </w:p>
    <w:p>
      <w:pPr>
        <w:ind w:left="260" w:right="225" w:firstLine="521"/>
        <w:spacing w:before="156" w:line="341" w:lineRule="auto"/>
        <w:rPr>
          <w:rFonts w:ascii="SimSun" w:hAnsi="SimSun" w:eastAsia="SimSun" w:cs="SimSun"/>
          <w:sz w:val="24"/>
          <w:szCs w:val="24"/>
        </w:rPr>
      </w:pPr>
      <w:r>
        <w:rPr>
          <w:rFonts w:ascii="SimSun" w:hAnsi="SimSun" w:eastAsia="SimSun" w:cs="SimSun"/>
          <w:sz w:val="24"/>
          <w:szCs w:val="24"/>
          <w:spacing w:val="-3"/>
        </w:rPr>
        <w:t>目前，煤矿范围内的居民均已搬迁完毕，根据调查，矿区周边的居民水井水位暂时</w:t>
      </w:r>
      <w:r>
        <w:rPr>
          <w:rFonts w:ascii="SimSun" w:hAnsi="SimSun" w:eastAsia="SimSun" w:cs="SimSun"/>
          <w:sz w:val="24"/>
          <w:szCs w:val="24"/>
          <w:spacing w:val="-1"/>
        </w:rPr>
        <w:t>未出现明显下降的情况，煤矿开采对居民饮用水水源影响较小。</w:t>
      </w:r>
    </w:p>
    <w:p>
      <w:pPr>
        <w:spacing w:before="84"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5.4.5  </w:t>
      </w:r>
      <w:r>
        <w:rPr>
          <w:rFonts w:ascii="SimHei" w:hAnsi="SimHei" w:eastAsia="SimHei" w:cs="SimHei"/>
          <w:sz w:val="28"/>
          <w:szCs w:val="28"/>
          <w:b/>
          <w:bCs/>
          <w:spacing w:val="-2"/>
        </w:rPr>
        <w:t>煤炭开采对地下水水质的影响分析</w:t>
      </w:r>
    </w:p>
    <w:p>
      <w:pPr>
        <w:ind w:left="255"/>
        <w:spacing w:before="171"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5.4.5.1</w:t>
      </w:r>
      <w:r>
        <w:rPr>
          <w:rFonts w:ascii="SimHei" w:hAnsi="SimHei" w:eastAsia="SimHei" w:cs="SimHei"/>
          <w:sz w:val="24"/>
          <w:szCs w:val="24"/>
          <w:b/>
          <w:bCs/>
          <w:spacing w:val="-2"/>
        </w:rPr>
        <w:t>场地包气带防污性能调查与评价</w:t>
      </w:r>
    </w:p>
    <w:p>
      <w:pPr>
        <w:ind w:left="256" w:right="225" w:firstLine="480"/>
        <w:spacing w:before="154" w:line="338" w:lineRule="auto"/>
        <w:jc w:val="both"/>
        <w:rPr>
          <w:rFonts w:ascii="SimSun" w:hAnsi="SimSun" w:eastAsia="SimSun" w:cs="SimSun"/>
          <w:sz w:val="24"/>
          <w:szCs w:val="24"/>
        </w:rPr>
      </w:pPr>
      <w:r>
        <w:rPr>
          <w:rFonts w:ascii="SimSun" w:hAnsi="SimSun" w:eastAsia="SimSun" w:cs="SimSun"/>
          <w:sz w:val="24"/>
          <w:szCs w:val="24"/>
          <w:spacing w:val="-2"/>
        </w:rPr>
        <w:t>本次评价的工业场地、矿井（坑）水处理厂位于彦吉嘎河冲积平原之上，地势较平</w:t>
      </w:r>
      <w:r>
        <w:rPr>
          <w:rFonts w:ascii="SimSun" w:hAnsi="SimSun" w:eastAsia="SimSun" w:cs="SimSun"/>
          <w:sz w:val="24"/>
          <w:szCs w:val="24"/>
          <w:spacing w:val="-2"/>
        </w:rPr>
        <w:t>坦，整个场地为中部高、东西两侧低、北高南低的地形。区内揭露的第四系含水层埋深</w:t>
      </w:r>
      <w:r>
        <w:rPr>
          <w:rFonts w:ascii="SimSun" w:hAnsi="SimSun" w:eastAsia="SimSun" w:cs="SimSun"/>
          <w:sz w:val="24"/>
          <w:szCs w:val="24"/>
          <w:spacing w:val="-1"/>
        </w:rPr>
        <w:t>较浅，与地形地貌有密切的关系。</w:t>
      </w:r>
    </w:p>
    <w:p>
      <w:pPr>
        <w:ind w:left="255" w:right="225" w:firstLine="481"/>
        <w:spacing w:before="6" w:line="338" w:lineRule="auto"/>
        <w:jc w:val="both"/>
        <w:rPr>
          <w:rFonts w:ascii="SimSun" w:hAnsi="SimSun" w:eastAsia="SimSun" w:cs="SimSun"/>
          <w:sz w:val="24"/>
          <w:szCs w:val="24"/>
        </w:rPr>
      </w:pPr>
      <w:r>
        <w:rPr>
          <w:rFonts w:ascii="SimSun" w:hAnsi="SimSun" w:eastAsia="SimSun" w:cs="SimSun"/>
          <w:sz w:val="24"/>
          <w:szCs w:val="24"/>
          <w:spacing w:val="-2"/>
        </w:rPr>
        <w:t>《内蒙古海州露天能源有限责任公司白音华四号露天矿二期工程（井工矿）环境影</w:t>
      </w:r>
      <w:r>
        <w:rPr>
          <w:rFonts w:ascii="SimSun" w:hAnsi="SimSun" w:eastAsia="SimSun" w:cs="SimSun"/>
          <w:sz w:val="24"/>
          <w:szCs w:val="24"/>
          <w:spacing w:val="-2"/>
        </w:rPr>
        <w:t>响后评价报告书》采用渗水试验对井工区工业场地包气带防污性能进行了调查。渗水试</w:t>
      </w:r>
      <w:r>
        <w:rPr>
          <w:rFonts w:ascii="SimSun" w:hAnsi="SimSun" w:eastAsia="SimSun" w:cs="SimSun"/>
          <w:sz w:val="24"/>
          <w:szCs w:val="24"/>
          <w:spacing w:val="-1"/>
        </w:rPr>
        <w:t>验采用单环法进行，具体方法为：在试验土层中嵌入一个高为</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1"/>
        </w:rPr>
        <w:t>30cm</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，直径</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35.75cm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1"/>
        </w:rPr>
        <w:t>的</w:t>
      </w:r>
      <w:r>
        <w:rPr>
          <w:rFonts w:ascii="SimSun" w:hAnsi="SimSun" w:eastAsia="SimSun" w:cs="SimSun"/>
          <w:sz w:val="24"/>
          <w:szCs w:val="24"/>
        </w:rPr>
        <w:t>铁环，铁环入土深度大于</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10cm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，试验开始后，持续向铁环内注入清水，</w:t>
      </w:r>
      <w:r>
        <w:rPr>
          <w:rFonts w:ascii="SimSun" w:hAnsi="SimSun" w:eastAsia="SimSun" w:cs="SimSun"/>
          <w:sz w:val="24"/>
          <w:szCs w:val="24"/>
          <w:spacing w:val="-1"/>
        </w:rPr>
        <w:t>使铁环内水柱</w:t>
      </w:r>
      <w:r>
        <w:rPr>
          <w:rFonts w:ascii="SimSun" w:hAnsi="SimSun" w:eastAsia="SimSun" w:cs="SimSun"/>
          <w:sz w:val="24"/>
          <w:szCs w:val="24"/>
          <w:spacing w:val="-4"/>
        </w:rPr>
        <w:t>保持在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4"/>
        </w:rPr>
        <w:t>10cm</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高度上，系统记录每</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 </w:t>
      </w:r>
      <w:r>
        <w:rPr>
          <w:rFonts w:ascii="SimSun" w:hAnsi="SimSun" w:eastAsia="SimSun" w:cs="SimSun"/>
          <w:sz w:val="24"/>
          <w:szCs w:val="24"/>
          <w:spacing w:val="-4"/>
        </w:rPr>
        <w:t>分钟内的注水量，求得各个时间段内的平均渗透速</w:t>
      </w:r>
      <w:r>
        <w:rPr>
          <w:rFonts w:ascii="SimSun" w:hAnsi="SimSun" w:eastAsia="SimSun" w:cs="SimSun"/>
          <w:sz w:val="24"/>
          <w:szCs w:val="24"/>
          <w:spacing w:val="-2"/>
        </w:rPr>
        <w:t>度，渗透速度随时间逐渐减小，及至减小到趋于稳定，此时的渗透速度即为所求的渗透</w:t>
      </w:r>
      <w:r>
        <w:rPr>
          <w:rFonts w:ascii="SimSun" w:hAnsi="SimSun" w:eastAsia="SimSun" w:cs="SimSun"/>
          <w:sz w:val="24"/>
          <w:szCs w:val="24"/>
          <w:spacing w:val="-3"/>
        </w:rPr>
        <w:t>系数值。</w:t>
      </w:r>
    </w:p>
    <w:p>
      <w:pPr>
        <w:ind w:left="258" w:right="159" w:firstLine="478"/>
        <w:spacing w:before="2" w:line="339" w:lineRule="auto"/>
        <w:rPr>
          <w:rFonts w:ascii="SimSun" w:hAnsi="SimSun" w:eastAsia="SimSun" w:cs="SimSun"/>
          <w:sz w:val="24"/>
          <w:szCs w:val="24"/>
        </w:rPr>
      </w:pPr>
      <w:r>
        <w:rPr>
          <w:rFonts w:ascii="SimSun" w:hAnsi="SimSun" w:eastAsia="SimSun" w:cs="SimSun"/>
          <w:sz w:val="24"/>
          <w:szCs w:val="24"/>
          <w:spacing w:val="-1"/>
        </w:rPr>
        <w:t>根据上述试验方法，在野外试验中，系统记录</w:t>
      </w:r>
      <w:r>
        <w:rPr>
          <w:rFonts w:ascii="SimSun" w:hAnsi="SimSun" w:eastAsia="SimSun" w:cs="SimSun"/>
          <w:sz w:val="24"/>
          <w:szCs w:val="24"/>
          <w:spacing w:val="-2"/>
        </w:rPr>
        <w:t>了每</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2"/>
        </w:rPr>
        <w:t>20 </w:t>
      </w:r>
      <w:r>
        <w:rPr>
          <w:rFonts w:ascii="SimSun" w:hAnsi="SimSun" w:eastAsia="SimSun" w:cs="SimSun"/>
          <w:sz w:val="24"/>
          <w:szCs w:val="24"/>
          <w:spacing w:val="-2"/>
        </w:rPr>
        <w:t>分钟的注水量（即渗水量</w:t>
      </w:r>
      <w:r>
        <w:rPr>
          <w:rFonts w:ascii="SimSun" w:hAnsi="SimSun" w:eastAsia="SimSun" w:cs="SimSun"/>
          <w:sz w:val="24"/>
          <w:szCs w:val="24"/>
          <w:spacing w:val="-33"/>
        </w:rPr>
        <w:t>），</w:t>
      </w:r>
      <w:r>
        <w:rPr>
          <w:rFonts w:ascii="SimSun" w:hAnsi="SimSun" w:eastAsia="SimSun" w:cs="SimSun"/>
          <w:sz w:val="24"/>
          <w:szCs w:val="24"/>
          <w:spacing w:val="-1"/>
        </w:rPr>
        <w:t>求得各个时间段内的平均渗透速度，计算公式为：</w:t>
      </w:r>
    </w:p>
    <w:p>
      <w:pPr>
        <w:pStyle w:val="BodyText"/>
        <w:ind w:left="4338"/>
        <w:spacing w:before="31" w:line="176" w:lineRule="auto"/>
        <w:rPr>
          <w:rFonts w:ascii="Malgun Gothic" w:hAnsi="Malgun Gothic" w:eastAsia="Malgun Gothic" w:cs="Malgun Gothic"/>
          <w:sz w:val="24"/>
          <w:szCs w:val="24"/>
        </w:rPr>
      </w:pPr>
      <w:r>
        <w:rPr>
          <w:rFonts w:ascii="Malgun Gothic" w:hAnsi="Malgun Gothic" w:eastAsia="Malgun Gothic" w:cs="Malgun Gothic"/>
          <w:sz w:val="24"/>
          <w:szCs w:val="24"/>
          <w:spacing w:val="-22"/>
          <w:w w:val="86"/>
        </w:rPr>
        <w:t>푉</w:t>
      </w:r>
      <w:r>
        <w:rPr>
          <w:rFonts w:ascii="Malgun Gothic" w:hAnsi="Malgun Gothic" w:eastAsia="Malgun Gothic" w:cs="Malgun Gothic"/>
          <w:sz w:val="24"/>
          <w:szCs w:val="24"/>
          <w:spacing w:val="5"/>
        </w:rPr>
        <w:t xml:space="preserve"> </w:t>
      </w:r>
      <w:r>
        <w:rPr>
          <w:rFonts w:ascii="Malgun Gothic" w:hAnsi="Malgun Gothic" w:eastAsia="Malgun Gothic" w:cs="Malgun Gothic"/>
          <w:sz w:val="24"/>
          <w:szCs w:val="24"/>
          <w:spacing w:val="-22"/>
          <w:w w:val="86"/>
        </w:rPr>
        <w:t>=</w:t>
      </w:r>
      <w:r>
        <w:rPr>
          <w:rFonts w:ascii="Malgun Gothic" w:hAnsi="Malgun Gothic" w:eastAsia="Malgun Gothic" w:cs="Malgun Gothic"/>
          <w:sz w:val="24"/>
          <w:szCs w:val="24"/>
          <w:spacing w:val="-3"/>
        </w:rPr>
        <w:t xml:space="preserve"> </w:t>
      </w:r>
      <w:r>
        <w:rPr>
          <w:rFonts w:ascii="Malgun Gothic" w:hAnsi="Malgun Gothic" w:eastAsia="Malgun Gothic" w:cs="Malgun Gothic"/>
          <w:sz w:val="24"/>
          <w:szCs w:val="24"/>
          <w:spacing w:val="-22"/>
          <w:w w:val="86"/>
        </w:rPr>
        <w:t>Q</w:t>
      </w:r>
      <w:r>
        <w:rPr>
          <w:sz w:val="29"/>
          <w:szCs w:val="29"/>
          <w:spacing w:val="17"/>
          <w:w w:val="125"/>
        </w:rPr>
        <w:t>/</w:t>
      </w:r>
      <w:r>
        <w:rPr>
          <w:rFonts w:ascii="Malgun Gothic" w:hAnsi="Malgun Gothic" w:eastAsia="Malgun Gothic" w:cs="Malgun Gothic"/>
          <w:sz w:val="24"/>
          <w:szCs w:val="24"/>
          <w:spacing w:val="17"/>
          <w:w w:val="125"/>
        </w:rPr>
        <w:t>F</w:t>
      </w:r>
    </w:p>
    <w:p>
      <w:pPr>
        <w:ind w:left="261"/>
        <w:spacing w:before="102" w:line="219"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V</w:t>
      </w:r>
      <w:r>
        <w:rPr>
          <w:rFonts w:ascii="SimSun" w:hAnsi="SimSun" w:eastAsia="SimSun" w:cs="SimSun"/>
          <w:sz w:val="24"/>
          <w:szCs w:val="24"/>
          <w:spacing w:val="-1"/>
        </w:rPr>
        <w:t>—时间段内的平均渗透速度（</w:t>
      </w:r>
      <w:r>
        <w:rPr>
          <w:rFonts w:ascii="Times New Roman" w:hAnsi="Times New Roman" w:eastAsia="Times New Roman" w:cs="Times New Roman"/>
          <w:sz w:val="24"/>
          <w:szCs w:val="24"/>
          <w:spacing w:val="-1"/>
        </w:rPr>
        <w:t>cm/20min</w:t>
      </w:r>
      <w:r>
        <w:rPr>
          <w:rFonts w:ascii="SimSun" w:hAnsi="SimSun" w:eastAsia="SimSun" w:cs="SimSun"/>
          <w:sz w:val="24"/>
          <w:szCs w:val="24"/>
          <w:spacing w:val="5"/>
        </w:rPr>
        <w:t>）；</w:t>
      </w:r>
    </w:p>
    <w:p>
      <w:pPr>
        <w:ind w:left="975"/>
        <w:spacing w:before="154" w:line="212" w:lineRule="auto"/>
        <w:rPr>
          <w:rFonts w:ascii="SimSun" w:hAnsi="SimSun" w:eastAsia="SimSun" w:cs="SimSun"/>
          <w:sz w:val="24"/>
          <w:szCs w:val="24"/>
        </w:rPr>
      </w:pPr>
      <w:r>
        <w:rPr>
          <w:rFonts w:ascii="Times New Roman" w:hAnsi="Times New Roman" w:eastAsia="Times New Roman" w:cs="Times New Roman"/>
          <w:sz w:val="24"/>
          <w:szCs w:val="24"/>
          <w:spacing w:val="-1"/>
        </w:rPr>
        <w:t>Q</w:t>
      </w:r>
      <w:r>
        <w:rPr>
          <w:rFonts w:ascii="SimSun" w:hAnsi="SimSun" w:eastAsia="SimSun" w:cs="SimSun"/>
          <w:sz w:val="24"/>
          <w:szCs w:val="24"/>
          <w:spacing w:val="-1"/>
        </w:rPr>
        <w:t>—时间段内的渗水量（</w:t>
      </w:r>
      <w:r>
        <w:rPr>
          <w:rFonts w:ascii="Times New Roman" w:hAnsi="Times New Roman" w:eastAsia="Times New Roman" w:cs="Times New Roman"/>
          <w:sz w:val="24"/>
          <w:szCs w:val="24"/>
          <w:spacing w:val="-1"/>
        </w:rPr>
        <w:t>cm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/20min</w:t>
      </w:r>
      <w:r>
        <w:rPr>
          <w:rFonts w:ascii="SimSun" w:hAnsi="SimSun" w:eastAsia="SimSun" w:cs="SimSun"/>
          <w:sz w:val="24"/>
          <w:szCs w:val="24"/>
          <w:spacing w:val="6"/>
        </w:rPr>
        <w:t>）；</w:t>
      </w:r>
    </w:p>
    <w:p>
      <w:pPr>
        <w:ind w:left="971"/>
        <w:spacing w:before="164" w:line="220" w:lineRule="auto"/>
        <w:rPr>
          <w:rFonts w:ascii="SimSun" w:hAnsi="SimSun" w:eastAsia="SimSun" w:cs="SimSun"/>
          <w:sz w:val="24"/>
          <w:szCs w:val="24"/>
        </w:rPr>
      </w:pPr>
      <w:r>
        <w:rPr>
          <w:rFonts w:ascii="Times New Roman" w:hAnsi="Times New Roman" w:eastAsia="Times New Roman" w:cs="Times New Roman"/>
          <w:sz w:val="24"/>
          <w:szCs w:val="24"/>
          <w:spacing w:val="-3"/>
        </w:rPr>
        <w:t>F</w:t>
      </w:r>
      <w:r>
        <w:rPr>
          <w:rFonts w:ascii="SimSun" w:hAnsi="SimSun" w:eastAsia="SimSun" w:cs="SimSun"/>
          <w:sz w:val="24"/>
          <w:szCs w:val="24"/>
          <w:spacing w:val="-3"/>
        </w:rPr>
        <w:t>—铁环底面积（</w:t>
      </w:r>
      <w:r>
        <w:rPr>
          <w:rFonts w:ascii="Times New Roman" w:hAnsi="Times New Roman" w:eastAsia="Times New Roman" w:cs="Times New Roman"/>
          <w:sz w:val="24"/>
          <w:szCs w:val="24"/>
          <w:spacing w:val="-3"/>
        </w:rPr>
        <w:t>cm</w:t>
      </w:r>
      <w:r>
        <w:rPr>
          <w:rFonts w:ascii="Times New Roman" w:hAnsi="Times New Roman" w:eastAsia="Times New Roman" w:cs="Times New Roman"/>
          <w:sz w:val="15"/>
          <w:szCs w:val="15"/>
          <w:spacing w:val="-3"/>
          <w:position w:val="7"/>
        </w:rPr>
        <w:t>2 </w:t>
      </w:r>
      <w:r>
        <w:rPr>
          <w:rFonts w:ascii="SimSun" w:hAnsi="SimSun" w:eastAsia="SimSun" w:cs="SimSun"/>
          <w:sz w:val="24"/>
          <w:szCs w:val="24"/>
          <w:spacing w:val="-3"/>
        </w:rPr>
        <w:t>）。</w:t>
      </w:r>
    </w:p>
    <w:p>
      <w:pPr>
        <w:ind w:left="3709"/>
        <w:spacing w:before="282" w:line="222" w:lineRule="auto"/>
        <w:rPr>
          <w:rFonts w:ascii="SimHei" w:hAnsi="SimHei" w:eastAsia="SimHei" w:cs="SimHei"/>
          <w:sz w:val="24"/>
          <w:szCs w:val="24"/>
        </w:rPr>
      </w:pPr>
      <w:r>
        <w:rPr>
          <w:rFonts w:ascii="SimHei" w:hAnsi="SimHei" w:eastAsia="SimHei" w:cs="SimHei"/>
          <w:sz w:val="24"/>
          <w:szCs w:val="24"/>
          <w:b/>
          <w:bCs/>
          <w:spacing w:val="-3"/>
        </w:rPr>
        <w:t>渗透系数计算结果表</w:t>
      </w:r>
    </w:p>
    <w:p>
      <w:pPr>
        <w:ind w:left="254"/>
        <w:spacing w:before="209"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5"/>
        </w:rPr>
        <w:t xml:space="preserve"> </w:t>
      </w:r>
      <w:r>
        <w:rPr>
          <w:rFonts w:ascii="Times New Roman" w:hAnsi="Times New Roman" w:eastAsia="Times New Roman" w:cs="Times New Roman"/>
          <w:sz w:val="20"/>
          <w:szCs w:val="20"/>
          <w:spacing w:val="2"/>
        </w:rPr>
        <w:t>5-4-11</w:t>
      </w:r>
    </w:p>
    <w:p>
      <w:pPr>
        <w:spacing w:line="22" w:lineRule="exact"/>
        <w:rPr/>
      </w:pPr>
      <w:r/>
    </w:p>
    <w:tbl>
      <w:tblPr>
        <w:tblStyle w:val="TableNormal"/>
        <w:tblW w:w="9290" w:type="dxa"/>
        <w:tblInd w:w="25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49"/>
        <w:gridCol w:w="1135"/>
        <w:gridCol w:w="1132"/>
        <w:gridCol w:w="1135"/>
        <w:gridCol w:w="1276"/>
        <w:gridCol w:w="1878"/>
        <w:gridCol w:w="1885"/>
      </w:tblGrid>
      <w:tr>
        <w:trPr>
          <w:trHeight w:val="442" w:hRule="atLeast"/>
        </w:trPr>
        <w:tc>
          <w:tcPr>
            <w:tcW w:w="849" w:type="dxa"/>
            <w:vAlign w:val="top"/>
          </w:tcPr>
          <w:p>
            <w:pPr>
              <w:ind w:left="115"/>
              <w:spacing w:before="115" w:line="228" w:lineRule="auto"/>
              <w:rPr>
                <w:rFonts w:ascii="SimSun" w:hAnsi="SimSun" w:eastAsia="SimSun" w:cs="SimSun"/>
                <w:sz w:val="20"/>
                <w:szCs w:val="20"/>
              </w:rPr>
            </w:pPr>
            <w:r>
              <w:rPr>
                <w:rFonts w:ascii="SimSun" w:hAnsi="SimSun" w:eastAsia="SimSun" w:cs="SimSun"/>
                <w:sz w:val="20"/>
                <w:szCs w:val="20"/>
                <w:spacing w:val="6"/>
              </w:rPr>
              <w:t>包气带</w:t>
            </w:r>
          </w:p>
        </w:tc>
        <w:tc>
          <w:tcPr>
            <w:tcW w:w="1135" w:type="dxa"/>
            <w:vAlign w:val="top"/>
          </w:tcPr>
          <w:p>
            <w:pPr>
              <w:ind w:left="151"/>
              <w:spacing w:before="115" w:line="229" w:lineRule="auto"/>
              <w:rPr>
                <w:rFonts w:ascii="SimSun" w:hAnsi="SimSun" w:eastAsia="SimSun" w:cs="SimSun"/>
                <w:sz w:val="20"/>
                <w:szCs w:val="20"/>
              </w:rPr>
            </w:pPr>
            <w:r>
              <w:rPr>
                <w:rFonts w:ascii="SimSun" w:hAnsi="SimSun" w:eastAsia="SimSun" w:cs="SimSun"/>
                <w:sz w:val="20"/>
                <w:szCs w:val="20"/>
                <w:spacing w:val="7"/>
              </w:rPr>
              <w:t>铁环底面</w:t>
            </w:r>
          </w:p>
        </w:tc>
        <w:tc>
          <w:tcPr>
            <w:tcW w:w="1132" w:type="dxa"/>
            <w:vAlign w:val="top"/>
          </w:tcPr>
          <w:p>
            <w:pPr>
              <w:ind w:left="150"/>
              <w:spacing w:before="115" w:line="229" w:lineRule="auto"/>
              <w:rPr>
                <w:rFonts w:ascii="SimSun" w:hAnsi="SimSun" w:eastAsia="SimSun" w:cs="SimSun"/>
                <w:sz w:val="20"/>
                <w:szCs w:val="20"/>
              </w:rPr>
            </w:pPr>
            <w:r>
              <w:rPr>
                <w:rFonts w:ascii="SimSun" w:hAnsi="SimSun" w:eastAsia="SimSun" w:cs="SimSun"/>
                <w:sz w:val="20"/>
                <w:szCs w:val="20"/>
                <w:spacing w:val="7"/>
              </w:rPr>
              <w:t>试验时间</w:t>
            </w:r>
          </w:p>
        </w:tc>
        <w:tc>
          <w:tcPr>
            <w:tcW w:w="1135" w:type="dxa"/>
            <w:vAlign w:val="top"/>
          </w:tcPr>
          <w:p>
            <w:pPr>
              <w:ind w:left="163"/>
              <w:spacing w:before="115" w:line="229" w:lineRule="auto"/>
              <w:rPr>
                <w:rFonts w:ascii="SimSun" w:hAnsi="SimSun" w:eastAsia="SimSun" w:cs="SimSun"/>
                <w:sz w:val="20"/>
                <w:szCs w:val="20"/>
              </w:rPr>
            </w:pPr>
            <w:r>
              <w:rPr>
                <w:rFonts w:ascii="SimSun" w:hAnsi="SimSun" w:eastAsia="SimSun" w:cs="SimSun"/>
                <w:sz w:val="20"/>
                <w:szCs w:val="20"/>
                <w:spacing w:val="4"/>
              </w:rPr>
              <w:t>时间间隔</w:t>
            </w:r>
          </w:p>
        </w:tc>
        <w:tc>
          <w:tcPr>
            <w:tcW w:w="1276" w:type="dxa"/>
            <w:vAlign w:val="top"/>
          </w:tcPr>
          <w:p>
            <w:pPr>
              <w:ind w:left="127"/>
              <w:spacing w:before="115" w:line="228" w:lineRule="auto"/>
              <w:rPr>
                <w:rFonts w:ascii="SimSun" w:hAnsi="SimSun" w:eastAsia="SimSun" w:cs="SimSun"/>
                <w:sz w:val="20"/>
                <w:szCs w:val="20"/>
              </w:rPr>
            </w:pPr>
            <w:r>
              <w:rPr>
                <w:rFonts w:ascii="SimSun" w:hAnsi="SimSun" w:eastAsia="SimSun" w:cs="SimSun"/>
                <w:sz w:val="20"/>
                <w:szCs w:val="20"/>
                <w:spacing w:val="6"/>
              </w:rPr>
              <w:t>时间段内渗</w:t>
            </w:r>
          </w:p>
        </w:tc>
        <w:tc>
          <w:tcPr>
            <w:tcW w:w="1878" w:type="dxa"/>
            <w:vAlign w:val="top"/>
          </w:tcPr>
          <w:p>
            <w:pPr>
              <w:ind w:left="219"/>
              <w:spacing w:before="115" w:line="228" w:lineRule="auto"/>
              <w:rPr>
                <w:rFonts w:ascii="SimSun" w:hAnsi="SimSun" w:eastAsia="SimSun" w:cs="SimSun"/>
                <w:sz w:val="20"/>
                <w:szCs w:val="20"/>
              </w:rPr>
            </w:pPr>
            <w:r>
              <w:rPr>
                <w:rFonts w:ascii="SimSun" w:hAnsi="SimSun" w:eastAsia="SimSun" w:cs="SimSun"/>
                <w:sz w:val="20"/>
                <w:szCs w:val="20"/>
                <w:spacing w:val="7"/>
              </w:rPr>
              <w:t>时间段内渗透速</w:t>
            </w:r>
          </w:p>
        </w:tc>
        <w:tc>
          <w:tcPr>
            <w:tcW w:w="1885" w:type="dxa"/>
            <w:vAlign w:val="top"/>
          </w:tcPr>
          <w:p>
            <w:pPr>
              <w:ind w:left="373"/>
              <w:spacing w:before="115" w:line="228" w:lineRule="auto"/>
              <w:rPr>
                <w:rFonts w:ascii="SimSun" w:hAnsi="SimSun" w:eastAsia="SimSun" w:cs="SimSun"/>
                <w:sz w:val="20"/>
                <w:szCs w:val="20"/>
              </w:rPr>
            </w:pPr>
            <w:r>
              <w:rPr>
                <w:rFonts w:ascii="SimSun" w:hAnsi="SimSun" w:eastAsia="SimSun" w:cs="SimSun"/>
                <w:sz w:val="20"/>
                <w:szCs w:val="20"/>
                <w:spacing w:val="7"/>
              </w:rPr>
              <w:t>换算渗透速度</w:t>
            </w:r>
          </w:p>
        </w:tc>
      </w:tr>
      <w:tr>
        <w:trPr>
          <w:trHeight w:val="263" w:hRule="atLeast"/>
        </w:trPr>
        <w:tc>
          <w:tcPr>
            <w:tcW w:w="849" w:type="dxa"/>
            <w:vAlign w:val="top"/>
            <w:vMerge w:val="restart"/>
            <w:tcBorders>
              <w:bottom w:val="nil"/>
            </w:tcBorders>
          </w:tcPr>
          <w:p>
            <w:pPr>
              <w:ind w:left="325" w:right="107" w:hanging="210"/>
              <w:spacing w:before="287" w:line="263" w:lineRule="auto"/>
              <w:rPr>
                <w:rFonts w:ascii="SimSun" w:hAnsi="SimSun" w:eastAsia="SimSun" w:cs="SimSun"/>
                <w:sz w:val="20"/>
                <w:szCs w:val="20"/>
              </w:rPr>
            </w:pPr>
            <w:r>
              <w:rPr>
                <w:rFonts w:ascii="SimSun" w:hAnsi="SimSun" w:eastAsia="SimSun" w:cs="SimSun"/>
                <w:sz w:val="20"/>
                <w:szCs w:val="20"/>
                <w:spacing w:val="7"/>
              </w:rPr>
              <w:t>粉质粘</w:t>
            </w:r>
            <w:r>
              <w:rPr>
                <w:rFonts w:ascii="SimSun" w:hAnsi="SimSun" w:eastAsia="SimSun" w:cs="SimSun"/>
                <w:sz w:val="20"/>
                <w:szCs w:val="20"/>
              </w:rPr>
              <w:t>土</w:t>
            </w:r>
          </w:p>
        </w:tc>
        <w:tc>
          <w:tcPr>
            <w:tcW w:w="1135" w:type="dxa"/>
            <w:vAlign w:val="top"/>
            <w:vMerge w:val="restart"/>
            <w:tcBorders>
              <w:bottom w:val="nil"/>
            </w:tcBorders>
          </w:tcPr>
          <w:p>
            <w:pPr>
              <w:spacing w:line="400" w:lineRule="auto"/>
              <w:rPr>
                <w:rFonts w:ascii="Arial"/>
                <w:sz w:val="21"/>
              </w:rPr>
            </w:pPr>
            <w:r/>
          </w:p>
          <w:p>
            <w:pPr>
              <w:pStyle w:val="TableText"/>
              <w:ind w:left="377"/>
              <w:spacing w:before="57" w:line="195" w:lineRule="auto"/>
              <w:rPr/>
            </w:pPr>
            <w:r>
              <w:rPr>
                <w:spacing w:val="-1"/>
              </w:rPr>
              <w:t>1000</w:t>
            </w:r>
          </w:p>
        </w:tc>
        <w:tc>
          <w:tcPr>
            <w:tcW w:w="1132" w:type="dxa"/>
            <w:vAlign w:val="top"/>
          </w:tcPr>
          <w:p>
            <w:pPr>
              <w:pStyle w:val="TableText"/>
              <w:ind w:left="516"/>
              <w:spacing w:before="59" w:line="195" w:lineRule="auto"/>
              <w:rPr/>
            </w:pPr>
            <w:r>
              <w:rPr/>
              <w:t>0</w:t>
            </w:r>
          </w:p>
        </w:tc>
        <w:tc>
          <w:tcPr>
            <w:tcW w:w="1135" w:type="dxa"/>
            <w:vAlign w:val="top"/>
          </w:tcPr>
          <w:p>
            <w:pPr>
              <w:rPr>
                <w:rFonts w:ascii="Arial"/>
                <w:sz w:val="21"/>
              </w:rPr>
            </w:pPr>
            <w:r/>
          </w:p>
        </w:tc>
        <w:tc>
          <w:tcPr>
            <w:tcW w:w="1276" w:type="dxa"/>
            <w:vAlign w:val="top"/>
          </w:tcPr>
          <w:p>
            <w:pPr>
              <w:rPr>
                <w:rFonts w:ascii="Arial"/>
                <w:sz w:val="21"/>
              </w:rPr>
            </w:pPr>
            <w:r/>
          </w:p>
        </w:tc>
        <w:tc>
          <w:tcPr>
            <w:tcW w:w="1878" w:type="dxa"/>
            <w:vAlign w:val="top"/>
          </w:tcPr>
          <w:p>
            <w:pPr>
              <w:rPr>
                <w:rFonts w:ascii="Arial"/>
                <w:sz w:val="21"/>
              </w:rPr>
            </w:pPr>
            <w:r/>
          </w:p>
        </w:tc>
        <w:tc>
          <w:tcPr>
            <w:tcW w:w="1885" w:type="dxa"/>
            <w:vAlign w:val="top"/>
          </w:tcPr>
          <w:p>
            <w:pPr>
              <w:rPr>
                <w:rFonts w:ascii="Arial"/>
                <w:sz w:val="21"/>
              </w:rPr>
            </w:pPr>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60"/>
              <w:spacing w:before="57" w:line="195" w:lineRule="auto"/>
              <w:rPr/>
            </w:pPr>
            <w:r>
              <w:rPr>
                <w:spacing w:val="2"/>
              </w:rPr>
              <w:t>20</w:t>
            </w:r>
          </w:p>
        </w:tc>
        <w:tc>
          <w:tcPr>
            <w:tcW w:w="1135" w:type="dxa"/>
            <w:vAlign w:val="top"/>
          </w:tcPr>
          <w:p>
            <w:pPr>
              <w:pStyle w:val="TableText"/>
              <w:ind w:left="464"/>
              <w:spacing w:before="57" w:line="195" w:lineRule="auto"/>
              <w:rPr/>
            </w:pPr>
            <w:r>
              <w:rPr>
                <w:spacing w:val="2"/>
              </w:rPr>
              <w:t>20</w:t>
            </w:r>
          </w:p>
        </w:tc>
        <w:tc>
          <w:tcPr>
            <w:tcW w:w="1276" w:type="dxa"/>
            <w:vAlign w:val="top"/>
          </w:tcPr>
          <w:p>
            <w:pPr>
              <w:pStyle w:val="TableText"/>
              <w:ind w:left="501"/>
              <w:spacing w:before="57" w:line="195" w:lineRule="auto"/>
              <w:rPr/>
            </w:pPr>
            <w:r>
              <w:rPr>
                <w:spacing w:val="-3"/>
              </w:rPr>
              <w:t>125</w:t>
            </w:r>
          </w:p>
        </w:tc>
        <w:tc>
          <w:tcPr>
            <w:tcW w:w="1878" w:type="dxa"/>
            <w:vAlign w:val="top"/>
          </w:tcPr>
          <w:p>
            <w:pPr>
              <w:pStyle w:val="TableText"/>
              <w:ind w:left="708"/>
              <w:spacing w:before="57" w:line="195" w:lineRule="auto"/>
              <w:rPr/>
            </w:pPr>
            <w:r>
              <w:rPr>
                <w:spacing w:val="3"/>
              </w:rPr>
              <w:t>0.125</w:t>
            </w:r>
          </w:p>
        </w:tc>
        <w:tc>
          <w:tcPr>
            <w:tcW w:w="1885" w:type="dxa"/>
            <w:vAlign w:val="top"/>
          </w:tcPr>
          <w:p>
            <w:pPr>
              <w:pStyle w:val="TableText"/>
              <w:ind w:left="611"/>
              <w:spacing w:before="40" w:line="213" w:lineRule="auto"/>
              <w:rPr>
                <w:sz w:val="13"/>
                <w:szCs w:val="13"/>
              </w:rPr>
            </w:pPr>
            <w:r>
              <w:rPr/>
              <w:t>1.0×10</w:t>
            </w:r>
            <w:r>
              <w:rPr>
                <w:sz w:val="13"/>
                <w:szCs w:val="13"/>
                <w:position w:val="6"/>
              </w:rPr>
              <w:t>-4</w:t>
            </w:r>
          </w:p>
        </w:tc>
      </w:tr>
      <w:tr>
        <w:trPr>
          <w:trHeight w:val="260"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59"/>
              <w:spacing w:before="60" w:line="195" w:lineRule="auto"/>
              <w:rPr/>
            </w:pPr>
            <w:r>
              <w:rPr>
                <w:spacing w:val="3"/>
              </w:rPr>
              <w:t>40</w:t>
            </w:r>
          </w:p>
        </w:tc>
        <w:tc>
          <w:tcPr>
            <w:tcW w:w="1135" w:type="dxa"/>
            <w:vAlign w:val="top"/>
          </w:tcPr>
          <w:p>
            <w:pPr>
              <w:pStyle w:val="TableText"/>
              <w:ind w:left="464"/>
              <w:spacing w:before="60" w:line="195" w:lineRule="auto"/>
              <w:rPr/>
            </w:pPr>
            <w:r>
              <w:rPr>
                <w:spacing w:val="2"/>
              </w:rPr>
              <w:t>20</w:t>
            </w:r>
          </w:p>
        </w:tc>
        <w:tc>
          <w:tcPr>
            <w:tcW w:w="1276" w:type="dxa"/>
            <w:vAlign w:val="top"/>
          </w:tcPr>
          <w:p>
            <w:pPr>
              <w:pStyle w:val="TableText"/>
              <w:ind w:left="537"/>
              <w:spacing w:before="60" w:line="195" w:lineRule="auto"/>
              <w:rPr/>
            </w:pPr>
            <w:r>
              <w:rPr>
                <w:spacing w:val="1"/>
              </w:rPr>
              <w:t>70</w:t>
            </w:r>
          </w:p>
        </w:tc>
        <w:tc>
          <w:tcPr>
            <w:tcW w:w="1878" w:type="dxa"/>
            <w:vAlign w:val="top"/>
          </w:tcPr>
          <w:p>
            <w:pPr>
              <w:pStyle w:val="TableText"/>
              <w:ind w:left="593"/>
              <w:spacing w:before="40" w:line="216" w:lineRule="auto"/>
              <w:rPr>
                <w:sz w:val="13"/>
                <w:szCs w:val="13"/>
              </w:rPr>
            </w:pPr>
            <w:r>
              <w:rPr>
                <w:spacing w:val="2"/>
              </w:rPr>
              <w:t>7.0×10</w:t>
            </w:r>
            <w:r>
              <w:rPr>
                <w:sz w:val="13"/>
                <w:szCs w:val="13"/>
                <w:spacing w:val="2"/>
                <w:position w:val="6"/>
              </w:rPr>
              <w:t>-2</w:t>
            </w:r>
          </w:p>
        </w:tc>
        <w:tc>
          <w:tcPr>
            <w:tcW w:w="1885" w:type="dxa"/>
            <w:vAlign w:val="top"/>
          </w:tcPr>
          <w:p>
            <w:pPr>
              <w:pStyle w:val="TableText"/>
              <w:ind w:left="596"/>
              <w:spacing w:before="42" w:line="214" w:lineRule="auto"/>
              <w:rPr>
                <w:sz w:val="13"/>
                <w:szCs w:val="13"/>
              </w:rPr>
            </w:pPr>
            <w:r>
              <w:rPr>
                <w:spacing w:val="2"/>
              </w:rPr>
              <w:t>5.8×10</w:t>
            </w:r>
            <w:r>
              <w:rPr>
                <w:sz w:val="13"/>
                <w:szCs w:val="13"/>
                <w:spacing w:val="2"/>
                <w:position w:val="6"/>
              </w:rPr>
              <w:t>-5</w:t>
            </w:r>
          </w:p>
        </w:tc>
      </w:tr>
      <w:tr>
        <w:trPr>
          <w:trHeight w:val="265" w:hRule="atLeast"/>
        </w:trPr>
        <w:tc>
          <w:tcPr>
            <w:tcW w:w="849" w:type="dxa"/>
            <w:vAlign w:val="top"/>
            <w:vMerge w:val="continue"/>
            <w:tcBorders>
              <w:top w:val="nil"/>
            </w:tcBorders>
          </w:tcPr>
          <w:p>
            <w:pPr>
              <w:rPr>
                <w:rFonts w:ascii="Arial"/>
                <w:sz w:val="21"/>
              </w:rPr>
            </w:pPr>
            <w:r/>
          </w:p>
        </w:tc>
        <w:tc>
          <w:tcPr>
            <w:tcW w:w="1135" w:type="dxa"/>
            <w:vAlign w:val="top"/>
            <w:vMerge w:val="continue"/>
            <w:tcBorders>
              <w:top w:val="nil"/>
            </w:tcBorders>
          </w:tcPr>
          <w:p>
            <w:pPr>
              <w:rPr>
                <w:rFonts w:ascii="Arial"/>
                <w:sz w:val="21"/>
              </w:rPr>
            </w:pPr>
            <w:r/>
          </w:p>
        </w:tc>
        <w:tc>
          <w:tcPr>
            <w:tcW w:w="1132" w:type="dxa"/>
            <w:vAlign w:val="top"/>
          </w:tcPr>
          <w:p>
            <w:pPr>
              <w:pStyle w:val="TableText"/>
              <w:ind w:left="465"/>
              <w:spacing w:before="62" w:line="195" w:lineRule="auto"/>
              <w:rPr/>
            </w:pPr>
            <w:r>
              <w:rPr/>
              <w:t>60</w:t>
            </w:r>
          </w:p>
        </w:tc>
        <w:tc>
          <w:tcPr>
            <w:tcW w:w="1135" w:type="dxa"/>
            <w:vAlign w:val="top"/>
          </w:tcPr>
          <w:p>
            <w:pPr>
              <w:pStyle w:val="TableText"/>
              <w:ind w:left="464"/>
              <w:spacing w:before="62" w:line="195" w:lineRule="auto"/>
              <w:rPr/>
            </w:pPr>
            <w:r>
              <w:rPr>
                <w:spacing w:val="2"/>
              </w:rPr>
              <w:t>20</w:t>
            </w:r>
          </w:p>
        </w:tc>
        <w:tc>
          <w:tcPr>
            <w:tcW w:w="1276" w:type="dxa"/>
            <w:vAlign w:val="top"/>
          </w:tcPr>
          <w:p>
            <w:pPr>
              <w:pStyle w:val="TableText"/>
              <w:ind w:left="538"/>
              <w:spacing w:before="62" w:line="195" w:lineRule="auto"/>
              <w:rPr/>
            </w:pPr>
            <w:r>
              <w:rPr/>
              <w:t>65</w:t>
            </w:r>
          </w:p>
        </w:tc>
        <w:tc>
          <w:tcPr>
            <w:tcW w:w="1878" w:type="dxa"/>
            <w:vAlign w:val="top"/>
          </w:tcPr>
          <w:p>
            <w:pPr>
              <w:pStyle w:val="TableText"/>
              <w:ind w:left="594"/>
              <w:spacing w:before="42" w:line="216" w:lineRule="auto"/>
              <w:rPr>
                <w:sz w:val="13"/>
                <w:szCs w:val="13"/>
              </w:rPr>
            </w:pPr>
            <w:r>
              <w:rPr>
                <w:spacing w:val="2"/>
              </w:rPr>
              <w:t>6.5×10</w:t>
            </w:r>
            <w:r>
              <w:rPr>
                <w:sz w:val="13"/>
                <w:szCs w:val="13"/>
                <w:spacing w:val="2"/>
                <w:position w:val="6"/>
              </w:rPr>
              <w:t>-2</w:t>
            </w:r>
          </w:p>
        </w:tc>
        <w:tc>
          <w:tcPr>
            <w:tcW w:w="1885" w:type="dxa"/>
            <w:vAlign w:val="top"/>
          </w:tcPr>
          <w:p>
            <w:pPr>
              <w:pStyle w:val="TableText"/>
              <w:ind w:left="596"/>
              <w:spacing w:before="43" w:line="214" w:lineRule="auto"/>
              <w:rPr>
                <w:sz w:val="13"/>
                <w:szCs w:val="13"/>
              </w:rPr>
            </w:pPr>
            <w:r>
              <w:rPr>
                <w:spacing w:val="2"/>
              </w:rPr>
              <w:t>5.4×10</w:t>
            </w:r>
            <w:r>
              <w:rPr>
                <w:sz w:val="13"/>
                <w:szCs w:val="13"/>
                <w:spacing w:val="2"/>
                <w:position w:val="6"/>
              </w:rPr>
              <w:t>-5</w:t>
            </w:r>
          </w:p>
        </w:tc>
      </w:tr>
    </w:tbl>
    <w:p>
      <w:pPr>
        <w:pStyle w:val="BodyText"/>
        <w:spacing w:line="167" w:lineRule="exact"/>
        <w:rPr>
          <w:sz w:val="14"/>
        </w:rPr>
      </w:pPr>
      <w:r/>
    </w:p>
    <w:p>
      <w:pPr>
        <w:spacing w:line="167" w:lineRule="exact"/>
        <w:sectPr>
          <w:headerReference w:type="default" r:id="rId442"/>
          <w:footerReference w:type="default" r:id="rId443"/>
          <w:pgSz w:w="11906" w:h="16838"/>
          <w:pgMar w:top="1170" w:right="1191" w:bottom="1080" w:left="1168" w:header="837" w:footer="918" w:gutter="0"/>
        </w:sectPr>
        <w:rPr>
          <w:sz w:val="14"/>
          <w:szCs w:val="14"/>
        </w:rPr>
      </w:pPr>
    </w:p>
    <w:p>
      <w:pPr>
        <w:spacing w:before="6"/>
        <w:rPr/>
      </w:pPr>
      <w:r/>
    </w:p>
    <w:tbl>
      <w:tblPr>
        <w:tblStyle w:val="TableNormal"/>
        <w:tblW w:w="9290" w:type="dxa"/>
        <w:tblInd w:w="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49"/>
        <w:gridCol w:w="1135"/>
        <w:gridCol w:w="1132"/>
        <w:gridCol w:w="1135"/>
        <w:gridCol w:w="1276"/>
        <w:gridCol w:w="1878"/>
        <w:gridCol w:w="1885"/>
      </w:tblGrid>
      <w:tr>
        <w:trPr>
          <w:trHeight w:val="268" w:hRule="atLeast"/>
        </w:trPr>
        <w:tc>
          <w:tcPr>
            <w:tcW w:w="849" w:type="dxa"/>
            <w:vAlign w:val="top"/>
            <w:vMerge w:val="restart"/>
            <w:tcBorders>
              <w:bottom w:val="nil"/>
            </w:tcBorders>
          </w:tcPr>
          <w:p>
            <w:pPr>
              <w:rPr>
                <w:rFonts w:ascii="Arial"/>
                <w:sz w:val="21"/>
              </w:rPr>
            </w:pPr>
            <w:r/>
          </w:p>
        </w:tc>
        <w:tc>
          <w:tcPr>
            <w:tcW w:w="1135" w:type="dxa"/>
            <w:vAlign w:val="top"/>
            <w:vMerge w:val="restart"/>
            <w:tcBorders>
              <w:bottom w:val="nil"/>
            </w:tcBorders>
          </w:tcPr>
          <w:p>
            <w:pPr>
              <w:rPr>
                <w:rFonts w:ascii="Arial"/>
                <w:sz w:val="21"/>
              </w:rPr>
            </w:pPr>
            <w:r/>
          </w:p>
        </w:tc>
        <w:tc>
          <w:tcPr>
            <w:tcW w:w="1132" w:type="dxa"/>
            <w:vAlign w:val="top"/>
          </w:tcPr>
          <w:p>
            <w:pPr>
              <w:pStyle w:val="TableText"/>
              <w:ind w:left="469"/>
              <w:spacing w:before="62" w:line="195" w:lineRule="auto"/>
              <w:rPr/>
            </w:pPr>
            <w:r>
              <w:rPr>
                <w:spacing w:val="-2"/>
              </w:rPr>
              <w:t>80</w:t>
            </w:r>
          </w:p>
        </w:tc>
        <w:tc>
          <w:tcPr>
            <w:tcW w:w="1135" w:type="dxa"/>
            <w:vAlign w:val="top"/>
          </w:tcPr>
          <w:p>
            <w:pPr>
              <w:pStyle w:val="TableText"/>
              <w:ind w:left="464"/>
              <w:spacing w:before="62" w:line="195" w:lineRule="auto"/>
              <w:rPr/>
            </w:pPr>
            <w:r>
              <w:rPr>
                <w:spacing w:val="2"/>
              </w:rPr>
              <w:t>20</w:t>
            </w:r>
          </w:p>
        </w:tc>
        <w:tc>
          <w:tcPr>
            <w:tcW w:w="1276" w:type="dxa"/>
            <w:vAlign w:val="top"/>
          </w:tcPr>
          <w:p>
            <w:pPr>
              <w:pStyle w:val="TableText"/>
              <w:ind w:left="538"/>
              <w:spacing w:before="62" w:line="195" w:lineRule="auto"/>
              <w:rPr/>
            </w:pPr>
            <w:r>
              <w:rPr/>
              <w:t>65</w:t>
            </w:r>
          </w:p>
        </w:tc>
        <w:tc>
          <w:tcPr>
            <w:tcW w:w="1878" w:type="dxa"/>
            <w:vAlign w:val="top"/>
          </w:tcPr>
          <w:p>
            <w:pPr>
              <w:pStyle w:val="TableText"/>
              <w:ind w:left="594"/>
              <w:spacing w:before="42" w:line="216" w:lineRule="auto"/>
              <w:rPr>
                <w:sz w:val="13"/>
                <w:szCs w:val="13"/>
              </w:rPr>
            </w:pPr>
            <w:r>
              <w:rPr>
                <w:spacing w:val="2"/>
              </w:rPr>
              <w:t>6.5×10</w:t>
            </w:r>
            <w:r>
              <w:rPr>
                <w:sz w:val="13"/>
                <w:szCs w:val="13"/>
                <w:spacing w:val="2"/>
                <w:position w:val="6"/>
              </w:rPr>
              <w:t>-2</w:t>
            </w:r>
          </w:p>
        </w:tc>
        <w:tc>
          <w:tcPr>
            <w:tcW w:w="1885" w:type="dxa"/>
            <w:vAlign w:val="top"/>
          </w:tcPr>
          <w:p>
            <w:pPr>
              <w:pStyle w:val="TableText"/>
              <w:ind w:left="596"/>
              <w:spacing w:before="44" w:line="214" w:lineRule="auto"/>
              <w:rPr>
                <w:sz w:val="13"/>
                <w:szCs w:val="13"/>
              </w:rPr>
            </w:pPr>
            <w:r>
              <w:rPr>
                <w:spacing w:val="2"/>
              </w:rPr>
              <w:t>5.4×10</w:t>
            </w:r>
            <w:r>
              <w:rPr>
                <w:sz w:val="13"/>
                <w:szCs w:val="13"/>
                <w:spacing w:val="2"/>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28"/>
              <w:spacing w:before="55" w:line="195" w:lineRule="auto"/>
              <w:rPr/>
            </w:pPr>
            <w:r>
              <w:rPr>
                <w:spacing w:val="-3"/>
              </w:rPr>
              <w:t>100</w:t>
            </w:r>
          </w:p>
        </w:tc>
        <w:tc>
          <w:tcPr>
            <w:tcW w:w="1135" w:type="dxa"/>
            <w:vAlign w:val="top"/>
          </w:tcPr>
          <w:p>
            <w:pPr>
              <w:pStyle w:val="TableText"/>
              <w:ind w:left="464"/>
              <w:spacing w:before="55" w:line="195" w:lineRule="auto"/>
              <w:rPr/>
            </w:pPr>
            <w:r>
              <w:rPr>
                <w:spacing w:val="2"/>
              </w:rPr>
              <w:t>20</w:t>
            </w:r>
          </w:p>
        </w:tc>
        <w:tc>
          <w:tcPr>
            <w:tcW w:w="1276" w:type="dxa"/>
            <w:vAlign w:val="top"/>
          </w:tcPr>
          <w:p>
            <w:pPr>
              <w:pStyle w:val="TableText"/>
              <w:ind w:left="538"/>
              <w:spacing w:before="55" w:line="195" w:lineRule="auto"/>
              <w:rPr/>
            </w:pPr>
            <w:r>
              <w:rPr/>
              <w:t>60</w:t>
            </w:r>
          </w:p>
        </w:tc>
        <w:tc>
          <w:tcPr>
            <w:tcW w:w="1878" w:type="dxa"/>
            <w:vAlign w:val="top"/>
          </w:tcPr>
          <w:p>
            <w:pPr>
              <w:pStyle w:val="TableText"/>
              <w:ind w:left="594"/>
              <w:spacing w:before="38" w:line="213" w:lineRule="auto"/>
              <w:rPr>
                <w:sz w:val="13"/>
                <w:szCs w:val="13"/>
              </w:rPr>
            </w:pPr>
            <w:r>
              <w:rPr>
                <w:spacing w:val="2"/>
              </w:rPr>
              <w:t>6.0×10</w:t>
            </w:r>
            <w:r>
              <w:rPr>
                <w:sz w:val="13"/>
                <w:szCs w:val="13"/>
                <w:spacing w:val="2"/>
                <w:position w:val="6"/>
              </w:rPr>
              <w:t>-2</w:t>
            </w:r>
          </w:p>
        </w:tc>
        <w:tc>
          <w:tcPr>
            <w:tcW w:w="1885" w:type="dxa"/>
            <w:vAlign w:val="top"/>
          </w:tcPr>
          <w:p>
            <w:pPr>
              <w:pStyle w:val="TableText"/>
              <w:ind w:left="596"/>
              <w:spacing w:before="40" w:line="211" w:lineRule="auto"/>
              <w:rPr>
                <w:sz w:val="13"/>
                <w:szCs w:val="13"/>
              </w:rPr>
            </w:pPr>
            <w:r>
              <w:rPr>
                <w:spacing w:val="2"/>
              </w:rPr>
              <w:t>5.0×10</w:t>
            </w:r>
            <w:r>
              <w:rPr>
                <w:sz w:val="13"/>
                <w:szCs w:val="13"/>
                <w:spacing w:val="2"/>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28"/>
              <w:spacing w:before="58" w:line="195" w:lineRule="auto"/>
              <w:rPr/>
            </w:pPr>
            <w:r>
              <w:rPr>
                <w:spacing w:val="-3"/>
              </w:rPr>
              <w:t>120</w:t>
            </w:r>
          </w:p>
        </w:tc>
        <w:tc>
          <w:tcPr>
            <w:tcW w:w="1135" w:type="dxa"/>
            <w:vAlign w:val="top"/>
          </w:tcPr>
          <w:p>
            <w:pPr>
              <w:pStyle w:val="TableText"/>
              <w:ind w:left="464"/>
              <w:spacing w:before="58" w:line="195" w:lineRule="auto"/>
              <w:rPr/>
            </w:pPr>
            <w:r>
              <w:rPr>
                <w:spacing w:val="2"/>
              </w:rPr>
              <w:t>20</w:t>
            </w:r>
          </w:p>
        </w:tc>
        <w:tc>
          <w:tcPr>
            <w:tcW w:w="1276" w:type="dxa"/>
            <w:vAlign w:val="top"/>
          </w:tcPr>
          <w:p>
            <w:pPr>
              <w:pStyle w:val="TableText"/>
              <w:ind w:left="538"/>
              <w:spacing w:before="58" w:line="195" w:lineRule="auto"/>
              <w:rPr/>
            </w:pPr>
            <w:r>
              <w:rPr/>
              <w:t>60</w:t>
            </w:r>
          </w:p>
        </w:tc>
        <w:tc>
          <w:tcPr>
            <w:tcW w:w="1878" w:type="dxa"/>
            <w:vAlign w:val="top"/>
          </w:tcPr>
          <w:p>
            <w:pPr>
              <w:pStyle w:val="TableText"/>
              <w:ind w:left="594"/>
              <w:spacing w:before="38" w:line="216" w:lineRule="auto"/>
              <w:rPr>
                <w:sz w:val="13"/>
                <w:szCs w:val="13"/>
              </w:rPr>
            </w:pPr>
            <w:r>
              <w:rPr>
                <w:spacing w:val="2"/>
              </w:rPr>
              <w:t>6.0×10</w:t>
            </w:r>
            <w:r>
              <w:rPr>
                <w:sz w:val="13"/>
                <w:szCs w:val="13"/>
                <w:spacing w:val="2"/>
                <w:position w:val="6"/>
              </w:rPr>
              <w:t>-2</w:t>
            </w:r>
          </w:p>
        </w:tc>
        <w:tc>
          <w:tcPr>
            <w:tcW w:w="1885" w:type="dxa"/>
            <w:vAlign w:val="top"/>
          </w:tcPr>
          <w:p>
            <w:pPr>
              <w:pStyle w:val="TableText"/>
              <w:ind w:left="596"/>
              <w:spacing w:before="40" w:line="214" w:lineRule="auto"/>
              <w:rPr>
                <w:sz w:val="13"/>
                <w:szCs w:val="13"/>
              </w:rPr>
            </w:pPr>
            <w:r>
              <w:rPr>
                <w:spacing w:val="2"/>
              </w:rPr>
              <w:t>5.0×10</w:t>
            </w:r>
            <w:r>
              <w:rPr>
                <w:sz w:val="13"/>
                <w:szCs w:val="13"/>
                <w:spacing w:val="2"/>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28"/>
              <w:spacing w:before="59" w:line="195" w:lineRule="auto"/>
              <w:rPr/>
            </w:pPr>
            <w:r>
              <w:rPr>
                <w:spacing w:val="-3"/>
              </w:rPr>
              <w:t>140</w:t>
            </w:r>
          </w:p>
        </w:tc>
        <w:tc>
          <w:tcPr>
            <w:tcW w:w="1135" w:type="dxa"/>
            <w:vAlign w:val="top"/>
          </w:tcPr>
          <w:p>
            <w:pPr>
              <w:pStyle w:val="TableText"/>
              <w:ind w:left="464"/>
              <w:spacing w:before="59" w:line="195" w:lineRule="auto"/>
              <w:rPr/>
            </w:pPr>
            <w:r>
              <w:rPr>
                <w:spacing w:val="2"/>
              </w:rPr>
              <w:t>20</w:t>
            </w:r>
          </w:p>
        </w:tc>
        <w:tc>
          <w:tcPr>
            <w:tcW w:w="1276" w:type="dxa"/>
            <w:vAlign w:val="top"/>
          </w:tcPr>
          <w:p>
            <w:pPr>
              <w:pStyle w:val="TableText"/>
              <w:ind w:left="538"/>
              <w:spacing w:before="59" w:line="195" w:lineRule="auto"/>
              <w:rPr/>
            </w:pPr>
            <w:r>
              <w:rPr/>
              <w:t>60</w:t>
            </w:r>
          </w:p>
        </w:tc>
        <w:tc>
          <w:tcPr>
            <w:tcW w:w="1878" w:type="dxa"/>
            <w:vAlign w:val="top"/>
          </w:tcPr>
          <w:p>
            <w:pPr>
              <w:pStyle w:val="TableText"/>
              <w:ind w:left="594"/>
              <w:spacing w:before="39" w:line="216" w:lineRule="auto"/>
              <w:rPr>
                <w:sz w:val="13"/>
                <w:szCs w:val="13"/>
              </w:rPr>
            </w:pPr>
            <w:r>
              <w:rPr>
                <w:spacing w:val="2"/>
              </w:rPr>
              <w:t>6.0×10</w:t>
            </w:r>
            <w:r>
              <w:rPr>
                <w:sz w:val="13"/>
                <w:szCs w:val="13"/>
                <w:spacing w:val="2"/>
                <w:position w:val="6"/>
              </w:rPr>
              <w:t>-2</w:t>
            </w:r>
          </w:p>
        </w:tc>
        <w:tc>
          <w:tcPr>
            <w:tcW w:w="1885" w:type="dxa"/>
            <w:vAlign w:val="top"/>
          </w:tcPr>
          <w:p>
            <w:pPr>
              <w:pStyle w:val="TableText"/>
              <w:ind w:left="596"/>
              <w:spacing w:before="40" w:line="214" w:lineRule="auto"/>
              <w:rPr>
                <w:sz w:val="13"/>
                <w:szCs w:val="13"/>
              </w:rPr>
            </w:pPr>
            <w:r>
              <w:rPr>
                <w:spacing w:val="2"/>
              </w:rPr>
              <w:t>5.0×10</w:t>
            </w:r>
            <w:r>
              <w:rPr>
                <w:sz w:val="13"/>
                <w:szCs w:val="13"/>
                <w:spacing w:val="2"/>
                <w:position w:val="6"/>
              </w:rPr>
              <w:t>-5</w:t>
            </w:r>
          </w:p>
        </w:tc>
      </w:tr>
      <w:tr>
        <w:trPr>
          <w:trHeight w:val="263"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28"/>
              <w:spacing w:before="59" w:line="195" w:lineRule="auto"/>
              <w:rPr/>
            </w:pPr>
            <w:r>
              <w:rPr>
                <w:spacing w:val="-3"/>
              </w:rPr>
              <w:t>160</w:t>
            </w:r>
          </w:p>
        </w:tc>
        <w:tc>
          <w:tcPr>
            <w:tcW w:w="1135" w:type="dxa"/>
            <w:vAlign w:val="top"/>
          </w:tcPr>
          <w:p>
            <w:pPr>
              <w:pStyle w:val="TableText"/>
              <w:ind w:left="464"/>
              <w:spacing w:before="59" w:line="195" w:lineRule="auto"/>
              <w:rPr/>
            </w:pPr>
            <w:r>
              <w:rPr>
                <w:spacing w:val="2"/>
              </w:rPr>
              <w:t>20</w:t>
            </w:r>
          </w:p>
        </w:tc>
        <w:tc>
          <w:tcPr>
            <w:tcW w:w="1276" w:type="dxa"/>
            <w:vAlign w:val="top"/>
          </w:tcPr>
          <w:p>
            <w:pPr>
              <w:pStyle w:val="TableText"/>
              <w:ind w:left="538"/>
              <w:spacing w:before="59" w:line="195" w:lineRule="auto"/>
              <w:rPr/>
            </w:pPr>
            <w:r>
              <w:rPr/>
              <w:t>60</w:t>
            </w:r>
          </w:p>
        </w:tc>
        <w:tc>
          <w:tcPr>
            <w:tcW w:w="1878" w:type="dxa"/>
            <w:vAlign w:val="top"/>
          </w:tcPr>
          <w:p>
            <w:pPr>
              <w:pStyle w:val="TableText"/>
              <w:ind w:left="594"/>
              <w:spacing w:before="39" w:line="216" w:lineRule="auto"/>
              <w:rPr>
                <w:sz w:val="13"/>
                <w:szCs w:val="13"/>
              </w:rPr>
            </w:pPr>
            <w:r>
              <w:rPr>
                <w:spacing w:val="2"/>
              </w:rPr>
              <w:t>6.0×10</w:t>
            </w:r>
            <w:r>
              <w:rPr>
                <w:sz w:val="13"/>
                <w:szCs w:val="13"/>
                <w:spacing w:val="2"/>
                <w:position w:val="6"/>
              </w:rPr>
              <w:t>-2</w:t>
            </w:r>
          </w:p>
        </w:tc>
        <w:tc>
          <w:tcPr>
            <w:tcW w:w="1885" w:type="dxa"/>
            <w:vAlign w:val="top"/>
          </w:tcPr>
          <w:p>
            <w:pPr>
              <w:pStyle w:val="TableText"/>
              <w:ind w:left="596"/>
              <w:spacing w:before="41" w:line="214" w:lineRule="auto"/>
              <w:rPr>
                <w:sz w:val="13"/>
                <w:szCs w:val="13"/>
              </w:rPr>
            </w:pPr>
            <w:r>
              <w:rPr>
                <w:spacing w:val="2"/>
              </w:rPr>
              <w:t>5.0×10</w:t>
            </w:r>
            <w:r>
              <w:rPr>
                <w:sz w:val="13"/>
                <w:szCs w:val="13"/>
                <w:spacing w:val="2"/>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28"/>
              <w:spacing w:before="57" w:line="195" w:lineRule="auto"/>
              <w:rPr/>
            </w:pPr>
            <w:r>
              <w:rPr>
                <w:spacing w:val="-3"/>
              </w:rPr>
              <w:t>180</w:t>
            </w:r>
          </w:p>
        </w:tc>
        <w:tc>
          <w:tcPr>
            <w:tcW w:w="1135" w:type="dxa"/>
            <w:vAlign w:val="top"/>
          </w:tcPr>
          <w:p>
            <w:pPr>
              <w:pStyle w:val="TableText"/>
              <w:ind w:left="464"/>
              <w:spacing w:before="57" w:line="195" w:lineRule="auto"/>
              <w:rPr/>
            </w:pPr>
            <w:r>
              <w:rPr>
                <w:spacing w:val="2"/>
              </w:rPr>
              <w:t>20</w:t>
            </w:r>
          </w:p>
        </w:tc>
        <w:tc>
          <w:tcPr>
            <w:tcW w:w="1276" w:type="dxa"/>
            <w:vAlign w:val="top"/>
          </w:tcPr>
          <w:p>
            <w:pPr>
              <w:pStyle w:val="TableText"/>
              <w:ind w:left="539"/>
              <w:spacing w:before="60" w:line="192" w:lineRule="auto"/>
              <w:rPr/>
            </w:pPr>
            <w:r>
              <w:rPr/>
              <w:t>55</w:t>
            </w:r>
          </w:p>
        </w:tc>
        <w:tc>
          <w:tcPr>
            <w:tcW w:w="1878" w:type="dxa"/>
            <w:vAlign w:val="top"/>
          </w:tcPr>
          <w:p>
            <w:pPr>
              <w:pStyle w:val="TableText"/>
              <w:ind w:left="595"/>
              <w:spacing w:before="40" w:line="213" w:lineRule="auto"/>
              <w:rPr>
                <w:sz w:val="13"/>
                <w:szCs w:val="13"/>
              </w:rPr>
            </w:pPr>
            <w:r>
              <w:rPr>
                <w:spacing w:val="2"/>
              </w:rPr>
              <w:t>5.5×10</w:t>
            </w:r>
            <w:r>
              <w:rPr>
                <w:sz w:val="13"/>
                <w:szCs w:val="13"/>
                <w:spacing w:val="2"/>
                <w:position w:val="6"/>
              </w:rPr>
              <w:t>-2</w:t>
            </w:r>
          </w:p>
        </w:tc>
        <w:tc>
          <w:tcPr>
            <w:tcW w:w="1885" w:type="dxa"/>
            <w:vAlign w:val="top"/>
          </w:tcPr>
          <w:p>
            <w:pPr>
              <w:pStyle w:val="TableText"/>
              <w:ind w:left="590"/>
              <w:spacing w:before="42" w:line="211" w:lineRule="auto"/>
              <w:rPr>
                <w:sz w:val="13"/>
                <w:szCs w:val="13"/>
              </w:rPr>
            </w:pPr>
            <w:r>
              <w:rPr>
                <w:spacing w:val="3"/>
              </w:rPr>
              <w:t>4.6×10</w:t>
            </w:r>
            <w:r>
              <w:rPr>
                <w:sz w:val="13"/>
                <w:szCs w:val="13"/>
                <w:spacing w:val="3"/>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08"/>
              <w:spacing w:before="60" w:line="195" w:lineRule="auto"/>
              <w:rPr/>
            </w:pPr>
            <w:r>
              <w:rPr>
                <w:spacing w:val="3"/>
              </w:rPr>
              <w:t>200</w:t>
            </w:r>
          </w:p>
        </w:tc>
        <w:tc>
          <w:tcPr>
            <w:tcW w:w="1135" w:type="dxa"/>
            <w:vAlign w:val="top"/>
          </w:tcPr>
          <w:p>
            <w:pPr>
              <w:pStyle w:val="TableText"/>
              <w:ind w:left="464"/>
              <w:spacing w:before="60" w:line="195" w:lineRule="auto"/>
              <w:rPr/>
            </w:pPr>
            <w:r>
              <w:rPr>
                <w:spacing w:val="2"/>
              </w:rPr>
              <w:t>20</w:t>
            </w:r>
          </w:p>
        </w:tc>
        <w:tc>
          <w:tcPr>
            <w:tcW w:w="1276" w:type="dxa"/>
            <w:vAlign w:val="top"/>
          </w:tcPr>
          <w:p>
            <w:pPr>
              <w:pStyle w:val="TableText"/>
              <w:ind w:left="539"/>
              <w:spacing w:before="63" w:line="192" w:lineRule="auto"/>
              <w:rPr/>
            </w:pPr>
            <w:r>
              <w:rPr/>
              <w:t>55</w:t>
            </w:r>
          </w:p>
        </w:tc>
        <w:tc>
          <w:tcPr>
            <w:tcW w:w="1878" w:type="dxa"/>
            <w:vAlign w:val="top"/>
          </w:tcPr>
          <w:p>
            <w:pPr>
              <w:pStyle w:val="TableText"/>
              <w:ind w:left="595"/>
              <w:spacing w:before="40" w:line="216" w:lineRule="auto"/>
              <w:rPr>
                <w:sz w:val="13"/>
                <w:szCs w:val="13"/>
              </w:rPr>
            </w:pPr>
            <w:r>
              <w:rPr>
                <w:spacing w:val="2"/>
              </w:rPr>
              <w:t>5.5×10</w:t>
            </w:r>
            <w:r>
              <w:rPr>
                <w:sz w:val="13"/>
                <w:szCs w:val="13"/>
                <w:spacing w:val="2"/>
                <w:position w:val="6"/>
              </w:rPr>
              <w:t>-2</w:t>
            </w:r>
          </w:p>
        </w:tc>
        <w:tc>
          <w:tcPr>
            <w:tcW w:w="1885" w:type="dxa"/>
            <w:vAlign w:val="top"/>
          </w:tcPr>
          <w:p>
            <w:pPr>
              <w:pStyle w:val="TableText"/>
              <w:ind w:left="590"/>
              <w:spacing w:before="42" w:line="214" w:lineRule="auto"/>
              <w:rPr>
                <w:sz w:val="13"/>
                <w:szCs w:val="13"/>
              </w:rPr>
            </w:pPr>
            <w:r>
              <w:rPr>
                <w:spacing w:val="3"/>
              </w:rPr>
              <w:t>4.6×10</w:t>
            </w:r>
            <w:r>
              <w:rPr>
                <w:sz w:val="13"/>
                <w:szCs w:val="13"/>
                <w:spacing w:val="3"/>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08"/>
              <w:spacing w:before="61" w:line="195" w:lineRule="auto"/>
              <w:rPr/>
            </w:pPr>
            <w:r>
              <w:rPr>
                <w:spacing w:val="3"/>
              </w:rPr>
              <w:t>220</w:t>
            </w:r>
          </w:p>
        </w:tc>
        <w:tc>
          <w:tcPr>
            <w:tcW w:w="1135" w:type="dxa"/>
            <w:vAlign w:val="top"/>
          </w:tcPr>
          <w:p>
            <w:pPr>
              <w:pStyle w:val="TableText"/>
              <w:ind w:left="464"/>
              <w:spacing w:before="61" w:line="195" w:lineRule="auto"/>
              <w:rPr/>
            </w:pPr>
            <w:r>
              <w:rPr>
                <w:spacing w:val="2"/>
              </w:rPr>
              <w:t>20</w:t>
            </w:r>
          </w:p>
        </w:tc>
        <w:tc>
          <w:tcPr>
            <w:tcW w:w="1276" w:type="dxa"/>
            <w:vAlign w:val="top"/>
          </w:tcPr>
          <w:p>
            <w:pPr>
              <w:pStyle w:val="TableText"/>
              <w:ind w:left="539"/>
              <w:spacing w:before="64" w:line="192" w:lineRule="auto"/>
              <w:rPr/>
            </w:pPr>
            <w:r>
              <w:rPr/>
              <w:t>55</w:t>
            </w:r>
          </w:p>
        </w:tc>
        <w:tc>
          <w:tcPr>
            <w:tcW w:w="1878" w:type="dxa"/>
            <w:vAlign w:val="top"/>
          </w:tcPr>
          <w:p>
            <w:pPr>
              <w:pStyle w:val="TableText"/>
              <w:ind w:left="595"/>
              <w:spacing w:before="41" w:line="216" w:lineRule="auto"/>
              <w:rPr>
                <w:sz w:val="13"/>
                <w:szCs w:val="13"/>
              </w:rPr>
            </w:pPr>
            <w:r>
              <w:rPr>
                <w:spacing w:val="2"/>
              </w:rPr>
              <w:t>5.5×10</w:t>
            </w:r>
            <w:r>
              <w:rPr>
                <w:sz w:val="13"/>
                <w:szCs w:val="13"/>
                <w:spacing w:val="2"/>
                <w:position w:val="6"/>
              </w:rPr>
              <w:t>-2</w:t>
            </w:r>
          </w:p>
        </w:tc>
        <w:tc>
          <w:tcPr>
            <w:tcW w:w="1885" w:type="dxa"/>
            <w:vAlign w:val="top"/>
          </w:tcPr>
          <w:p>
            <w:pPr>
              <w:pStyle w:val="TableText"/>
              <w:ind w:left="590"/>
              <w:spacing w:before="42" w:line="214" w:lineRule="auto"/>
              <w:rPr>
                <w:sz w:val="13"/>
                <w:szCs w:val="13"/>
              </w:rPr>
            </w:pPr>
            <w:r>
              <w:rPr>
                <w:spacing w:val="3"/>
              </w:rPr>
              <w:t>4.6×10</w:t>
            </w:r>
            <w:r>
              <w:rPr>
                <w:sz w:val="13"/>
                <w:szCs w:val="13"/>
                <w:spacing w:val="3"/>
                <w:position w:val="6"/>
              </w:rPr>
              <w:t>-5</w:t>
            </w:r>
          </w:p>
        </w:tc>
      </w:tr>
      <w:tr>
        <w:trPr>
          <w:trHeight w:val="264"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08"/>
              <w:spacing w:before="61" w:line="195" w:lineRule="auto"/>
              <w:rPr/>
            </w:pPr>
            <w:r>
              <w:rPr>
                <w:spacing w:val="3"/>
              </w:rPr>
              <w:t>240</w:t>
            </w:r>
          </w:p>
        </w:tc>
        <w:tc>
          <w:tcPr>
            <w:tcW w:w="1135" w:type="dxa"/>
            <w:vAlign w:val="top"/>
          </w:tcPr>
          <w:p>
            <w:pPr>
              <w:pStyle w:val="TableText"/>
              <w:ind w:left="464"/>
              <w:spacing w:before="61" w:line="195" w:lineRule="auto"/>
              <w:rPr/>
            </w:pPr>
            <w:r>
              <w:rPr>
                <w:spacing w:val="2"/>
              </w:rPr>
              <w:t>20</w:t>
            </w:r>
          </w:p>
        </w:tc>
        <w:tc>
          <w:tcPr>
            <w:tcW w:w="1276" w:type="dxa"/>
            <w:vAlign w:val="top"/>
          </w:tcPr>
          <w:p>
            <w:pPr>
              <w:pStyle w:val="TableText"/>
              <w:ind w:left="539"/>
              <w:spacing w:before="64" w:line="192" w:lineRule="auto"/>
              <w:rPr/>
            </w:pPr>
            <w:r>
              <w:rPr/>
              <w:t>55</w:t>
            </w:r>
          </w:p>
        </w:tc>
        <w:tc>
          <w:tcPr>
            <w:tcW w:w="1878" w:type="dxa"/>
            <w:vAlign w:val="top"/>
          </w:tcPr>
          <w:p>
            <w:pPr>
              <w:pStyle w:val="TableText"/>
              <w:ind w:left="595"/>
              <w:spacing w:before="41" w:line="216" w:lineRule="auto"/>
              <w:rPr>
                <w:sz w:val="13"/>
                <w:szCs w:val="13"/>
              </w:rPr>
            </w:pPr>
            <w:r>
              <w:rPr>
                <w:spacing w:val="2"/>
              </w:rPr>
              <w:t>5.5×10</w:t>
            </w:r>
            <w:r>
              <w:rPr>
                <w:sz w:val="13"/>
                <w:szCs w:val="13"/>
                <w:spacing w:val="2"/>
                <w:position w:val="6"/>
              </w:rPr>
              <w:t>-2</w:t>
            </w:r>
          </w:p>
        </w:tc>
        <w:tc>
          <w:tcPr>
            <w:tcW w:w="1885" w:type="dxa"/>
            <w:vAlign w:val="top"/>
          </w:tcPr>
          <w:p>
            <w:pPr>
              <w:pStyle w:val="TableText"/>
              <w:ind w:left="590"/>
              <w:spacing w:before="43" w:line="214" w:lineRule="auto"/>
              <w:rPr>
                <w:sz w:val="13"/>
                <w:szCs w:val="13"/>
              </w:rPr>
            </w:pPr>
            <w:r>
              <w:rPr>
                <w:spacing w:val="3"/>
              </w:rPr>
              <w:t>4.6×10</w:t>
            </w:r>
            <w:r>
              <w:rPr>
                <w:sz w:val="13"/>
                <w:szCs w:val="13"/>
                <w:spacing w:val="3"/>
                <w:position w:val="6"/>
              </w:rPr>
              <w:t>-5</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12"/>
              <w:spacing w:before="58" w:line="195" w:lineRule="auto"/>
              <w:rPr/>
            </w:pPr>
            <w:r>
              <w:rPr>
                <w:spacing w:val="2"/>
              </w:rPr>
              <w:t>300</w:t>
            </w:r>
          </w:p>
        </w:tc>
        <w:tc>
          <w:tcPr>
            <w:tcW w:w="1135" w:type="dxa"/>
            <w:vAlign w:val="top"/>
          </w:tcPr>
          <w:p>
            <w:pPr>
              <w:pStyle w:val="TableText"/>
              <w:ind w:left="464"/>
              <w:spacing w:before="58" w:line="195" w:lineRule="auto"/>
              <w:rPr/>
            </w:pPr>
            <w:r>
              <w:rPr>
                <w:spacing w:val="2"/>
              </w:rPr>
              <w:t>20</w:t>
            </w:r>
          </w:p>
        </w:tc>
        <w:tc>
          <w:tcPr>
            <w:tcW w:w="1276" w:type="dxa"/>
            <w:vAlign w:val="top"/>
          </w:tcPr>
          <w:p>
            <w:pPr>
              <w:pStyle w:val="TableText"/>
              <w:ind w:left="485"/>
              <w:spacing w:before="58" w:line="195" w:lineRule="auto"/>
              <w:rPr/>
            </w:pPr>
            <w:r>
              <w:rPr>
                <w:spacing w:val="2"/>
              </w:rPr>
              <w:t>360</w:t>
            </w:r>
          </w:p>
        </w:tc>
        <w:tc>
          <w:tcPr>
            <w:tcW w:w="1878" w:type="dxa"/>
            <w:vAlign w:val="top"/>
          </w:tcPr>
          <w:p>
            <w:pPr>
              <w:pStyle w:val="TableText"/>
              <w:ind w:left="761"/>
              <w:spacing w:before="58" w:line="195" w:lineRule="auto"/>
              <w:rPr/>
            </w:pPr>
            <w:r>
              <w:rPr>
                <w:spacing w:val="2"/>
              </w:rPr>
              <w:t>0.36</w:t>
            </w:r>
          </w:p>
        </w:tc>
        <w:tc>
          <w:tcPr>
            <w:tcW w:w="1885" w:type="dxa"/>
            <w:vAlign w:val="top"/>
          </w:tcPr>
          <w:p>
            <w:pPr>
              <w:pStyle w:val="TableText"/>
              <w:ind w:left="595"/>
              <w:spacing w:before="41" w:line="213" w:lineRule="auto"/>
              <w:rPr>
                <w:sz w:val="13"/>
                <w:szCs w:val="13"/>
              </w:rPr>
            </w:pPr>
            <w:r>
              <w:rPr>
                <w:spacing w:val="2"/>
              </w:rPr>
              <w:t>3.0×10</w:t>
            </w:r>
            <w:r>
              <w:rPr>
                <w:sz w:val="13"/>
                <w:szCs w:val="13"/>
                <w:spacing w:val="2"/>
                <w:position w:val="6"/>
              </w:rPr>
              <w:t>-4</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12"/>
              <w:spacing w:before="61" w:line="195" w:lineRule="auto"/>
              <w:rPr/>
            </w:pPr>
            <w:r>
              <w:rPr>
                <w:spacing w:val="2"/>
              </w:rPr>
              <w:t>320</w:t>
            </w:r>
          </w:p>
        </w:tc>
        <w:tc>
          <w:tcPr>
            <w:tcW w:w="1135" w:type="dxa"/>
            <w:vAlign w:val="top"/>
          </w:tcPr>
          <w:p>
            <w:pPr>
              <w:pStyle w:val="TableText"/>
              <w:ind w:left="464"/>
              <w:spacing w:before="61" w:line="195" w:lineRule="auto"/>
              <w:rPr/>
            </w:pPr>
            <w:r>
              <w:rPr>
                <w:spacing w:val="2"/>
              </w:rPr>
              <w:t>20</w:t>
            </w:r>
          </w:p>
        </w:tc>
        <w:tc>
          <w:tcPr>
            <w:tcW w:w="1276" w:type="dxa"/>
            <w:vAlign w:val="top"/>
          </w:tcPr>
          <w:p>
            <w:pPr>
              <w:pStyle w:val="TableText"/>
              <w:ind w:left="485"/>
              <w:spacing w:before="61" w:line="195" w:lineRule="auto"/>
              <w:rPr/>
            </w:pPr>
            <w:r>
              <w:rPr>
                <w:spacing w:val="2"/>
              </w:rPr>
              <w:t>360</w:t>
            </w:r>
          </w:p>
        </w:tc>
        <w:tc>
          <w:tcPr>
            <w:tcW w:w="1878" w:type="dxa"/>
            <w:vAlign w:val="top"/>
          </w:tcPr>
          <w:p>
            <w:pPr>
              <w:pStyle w:val="TableText"/>
              <w:ind w:left="761"/>
              <w:spacing w:before="61" w:line="195" w:lineRule="auto"/>
              <w:rPr/>
            </w:pPr>
            <w:r>
              <w:rPr>
                <w:spacing w:val="2"/>
              </w:rPr>
              <w:t>0.36</w:t>
            </w:r>
          </w:p>
        </w:tc>
        <w:tc>
          <w:tcPr>
            <w:tcW w:w="1885" w:type="dxa"/>
            <w:vAlign w:val="top"/>
          </w:tcPr>
          <w:p>
            <w:pPr>
              <w:pStyle w:val="TableText"/>
              <w:ind w:left="595"/>
              <w:spacing w:before="41" w:line="216" w:lineRule="auto"/>
              <w:rPr>
                <w:sz w:val="13"/>
                <w:szCs w:val="13"/>
              </w:rPr>
            </w:pPr>
            <w:r>
              <w:rPr>
                <w:spacing w:val="2"/>
              </w:rPr>
              <w:t>3.0×10</w:t>
            </w:r>
            <w:r>
              <w:rPr>
                <w:sz w:val="13"/>
                <w:szCs w:val="13"/>
                <w:spacing w:val="2"/>
                <w:position w:val="6"/>
              </w:rPr>
              <w:t>-4</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12"/>
              <w:spacing w:before="62" w:line="195" w:lineRule="auto"/>
              <w:rPr/>
            </w:pPr>
            <w:r>
              <w:rPr>
                <w:spacing w:val="2"/>
              </w:rPr>
              <w:t>340</w:t>
            </w:r>
          </w:p>
        </w:tc>
        <w:tc>
          <w:tcPr>
            <w:tcW w:w="1135" w:type="dxa"/>
            <w:vAlign w:val="top"/>
          </w:tcPr>
          <w:p>
            <w:pPr>
              <w:pStyle w:val="TableText"/>
              <w:ind w:left="464"/>
              <w:spacing w:before="62" w:line="195" w:lineRule="auto"/>
              <w:rPr/>
            </w:pPr>
            <w:r>
              <w:rPr>
                <w:spacing w:val="2"/>
              </w:rPr>
              <w:t>20</w:t>
            </w:r>
          </w:p>
        </w:tc>
        <w:tc>
          <w:tcPr>
            <w:tcW w:w="1276" w:type="dxa"/>
            <w:vAlign w:val="top"/>
          </w:tcPr>
          <w:p>
            <w:pPr>
              <w:pStyle w:val="TableText"/>
              <w:ind w:left="485"/>
              <w:spacing w:before="62" w:line="195" w:lineRule="auto"/>
              <w:rPr/>
            </w:pPr>
            <w:r>
              <w:rPr>
                <w:spacing w:val="2"/>
              </w:rPr>
              <w:t>350</w:t>
            </w:r>
          </w:p>
        </w:tc>
        <w:tc>
          <w:tcPr>
            <w:tcW w:w="1878" w:type="dxa"/>
            <w:vAlign w:val="top"/>
          </w:tcPr>
          <w:p>
            <w:pPr>
              <w:pStyle w:val="TableText"/>
              <w:ind w:left="761"/>
              <w:spacing w:before="62" w:line="195" w:lineRule="auto"/>
              <w:rPr/>
            </w:pPr>
            <w:r>
              <w:rPr>
                <w:spacing w:val="2"/>
              </w:rPr>
              <w:t>0.35</w:t>
            </w:r>
          </w:p>
        </w:tc>
        <w:tc>
          <w:tcPr>
            <w:tcW w:w="1885" w:type="dxa"/>
            <w:vAlign w:val="top"/>
          </w:tcPr>
          <w:p>
            <w:pPr>
              <w:pStyle w:val="TableText"/>
              <w:ind w:left="591"/>
              <w:spacing w:before="42" w:line="216" w:lineRule="auto"/>
              <w:rPr>
                <w:sz w:val="13"/>
                <w:szCs w:val="13"/>
              </w:rPr>
            </w:pPr>
            <w:r>
              <w:rPr>
                <w:spacing w:val="3"/>
              </w:rPr>
              <w:t>2.9×10</w:t>
            </w:r>
            <w:r>
              <w:rPr>
                <w:sz w:val="13"/>
                <w:szCs w:val="13"/>
                <w:spacing w:val="3"/>
                <w:position w:val="6"/>
              </w:rPr>
              <w:t>-4</w:t>
            </w:r>
          </w:p>
        </w:tc>
      </w:tr>
      <w:tr>
        <w:trPr>
          <w:trHeight w:val="264"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12"/>
              <w:spacing w:before="62" w:line="195" w:lineRule="auto"/>
              <w:rPr/>
            </w:pPr>
            <w:r>
              <w:rPr>
                <w:spacing w:val="2"/>
              </w:rPr>
              <w:t>360</w:t>
            </w:r>
          </w:p>
        </w:tc>
        <w:tc>
          <w:tcPr>
            <w:tcW w:w="1135" w:type="dxa"/>
            <w:vAlign w:val="top"/>
          </w:tcPr>
          <w:p>
            <w:pPr>
              <w:pStyle w:val="TableText"/>
              <w:ind w:left="464"/>
              <w:spacing w:before="62" w:line="195" w:lineRule="auto"/>
              <w:rPr/>
            </w:pPr>
            <w:r>
              <w:rPr>
                <w:spacing w:val="2"/>
              </w:rPr>
              <w:t>20</w:t>
            </w:r>
          </w:p>
        </w:tc>
        <w:tc>
          <w:tcPr>
            <w:tcW w:w="1276" w:type="dxa"/>
            <w:vAlign w:val="top"/>
          </w:tcPr>
          <w:p>
            <w:pPr>
              <w:pStyle w:val="TableText"/>
              <w:ind w:left="485"/>
              <w:spacing w:before="62" w:line="195" w:lineRule="auto"/>
              <w:rPr/>
            </w:pPr>
            <w:r>
              <w:rPr>
                <w:spacing w:val="2"/>
              </w:rPr>
              <w:t>350</w:t>
            </w:r>
          </w:p>
        </w:tc>
        <w:tc>
          <w:tcPr>
            <w:tcW w:w="1878" w:type="dxa"/>
            <w:vAlign w:val="top"/>
          </w:tcPr>
          <w:p>
            <w:pPr>
              <w:pStyle w:val="TableText"/>
              <w:ind w:left="761"/>
              <w:spacing w:before="62" w:line="195" w:lineRule="auto"/>
              <w:rPr/>
            </w:pPr>
            <w:r>
              <w:rPr>
                <w:spacing w:val="2"/>
              </w:rPr>
              <w:t>0.35</w:t>
            </w:r>
          </w:p>
        </w:tc>
        <w:tc>
          <w:tcPr>
            <w:tcW w:w="1885" w:type="dxa"/>
            <w:vAlign w:val="top"/>
          </w:tcPr>
          <w:p>
            <w:pPr>
              <w:pStyle w:val="TableText"/>
              <w:ind w:left="591"/>
              <w:spacing w:before="42" w:line="216" w:lineRule="auto"/>
              <w:rPr>
                <w:sz w:val="13"/>
                <w:szCs w:val="13"/>
              </w:rPr>
            </w:pPr>
            <w:r>
              <w:rPr>
                <w:spacing w:val="3"/>
              </w:rPr>
              <w:t>2.9×10</w:t>
            </w:r>
            <w:r>
              <w:rPr>
                <w:sz w:val="13"/>
                <w:szCs w:val="13"/>
                <w:spacing w:val="3"/>
                <w:position w:val="6"/>
              </w:rPr>
              <w:t>-4</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08"/>
              <w:spacing w:before="59" w:line="195" w:lineRule="auto"/>
              <w:rPr/>
            </w:pPr>
            <w:r>
              <w:rPr>
                <w:spacing w:val="3"/>
              </w:rPr>
              <w:t>200</w:t>
            </w:r>
          </w:p>
        </w:tc>
        <w:tc>
          <w:tcPr>
            <w:tcW w:w="1135" w:type="dxa"/>
            <w:vAlign w:val="top"/>
          </w:tcPr>
          <w:p>
            <w:pPr>
              <w:pStyle w:val="TableText"/>
              <w:ind w:left="464"/>
              <w:spacing w:before="59" w:line="195" w:lineRule="auto"/>
              <w:rPr/>
            </w:pPr>
            <w:r>
              <w:rPr>
                <w:spacing w:val="2"/>
              </w:rPr>
              <w:t>20</w:t>
            </w:r>
          </w:p>
        </w:tc>
        <w:tc>
          <w:tcPr>
            <w:tcW w:w="1276" w:type="dxa"/>
            <w:vAlign w:val="top"/>
          </w:tcPr>
          <w:p>
            <w:pPr>
              <w:pStyle w:val="TableText"/>
              <w:ind w:left="485"/>
              <w:spacing w:before="59" w:line="195" w:lineRule="auto"/>
              <w:rPr/>
            </w:pPr>
            <w:r>
              <w:rPr>
                <w:spacing w:val="2"/>
              </w:rPr>
              <w:t>375</w:t>
            </w:r>
          </w:p>
        </w:tc>
        <w:tc>
          <w:tcPr>
            <w:tcW w:w="1878" w:type="dxa"/>
            <w:vAlign w:val="top"/>
          </w:tcPr>
          <w:p>
            <w:pPr>
              <w:pStyle w:val="TableText"/>
              <w:ind w:left="708"/>
              <w:spacing w:before="59" w:line="195" w:lineRule="auto"/>
              <w:rPr/>
            </w:pPr>
            <w:r>
              <w:rPr>
                <w:spacing w:val="3"/>
              </w:rPr>
              <w:t>0.375</w:t>
            </w:r>
          </w:p>
        </w:tc>
        <w:tc>
          <w:tcPr>
            <w:tcW w:w="1885" w:type="dxa"/>
            <w:vAlign w:val="top"/>
          </w:tcPr>
          <w:p>
            <w:pPr>
              <w:pStyle w:val="TableText"/>
              <w:ind w:left="595"/>
              <w:spacing w:before="42" w:line="213" w:lineRule="auto"/>
              <w:rPr>
                <w:sz w:val="13"/>
                <w:szCs w:val="13"/>
              </w:rPr>
            </w:pPr>
            <w:r>
              <w:rPr>
                <w:spacing w:val="-1"/>
              </w:rPr>
              <w:t>3.</w:t>
            </w:r>
            <w:r>
              <w:rPr>
                <w:spacing w:val="-21"/>
              </w:rPr>
              <w:t xml:space="preserve"> </w:t>
            </w:r>
            <w:r>
              <w:rPr>
                <w:spacing w:val="-1"/>
              </w:rPr>
              <w:t>1×10</w:t>
            </w:r>
            <w:r>
              <w:rPr>
                <w:sz w:val="13"/>
                <w:szCs w:val="13"/>
                <w:spacing w:val="-1"/>
                <w:position w:val="6"/>
              </w:rPr>
              <w:t>-4</w:t>
            </w:r>
          </w:p>
        </w:tc>
      </w:tr>
      <w:tr>
        <w:trPr>
          <w:trHeight w:val="261" w:hRule="atLeast"/>
        </w:trPr>
        <w:tc>
          <w:tcPr>
            <w:tcW w:w="849" w:type="dxa"/>
            <w:vAlign w:val="top"/>
            <w:vMerge w:val="continue"/>
            <w:tcBorders>
              <w:top w:val="nil"/>
              <w:bottom w:val="nil"/>
            </w:tcBorders>
          </w:tcPr>
          <w:p>
            <w:pPr>
              <w:rPr>
                <w:rFonts w:ascii="Arial"/>
                <w:sz w:val="21"/>
              </w:rPr>
            </w:pPr>
            <w:r/>
          </w:p>
        </w:tc>
        <w:tc>
          <w:tcPr>
            <w:tcW w:w="1135" w:type="dxa"/>
            <w:vAlign w:val="top"/>
            <w:vMerge w:val="continue"/>
            <w:tcBorders>
              <w:top w:val="nil"/>
              <w:bottom w:val="nil"/>
            </w:tcBorders>
          </w:tcPr>
          <w:p>
            <w:pPr>
              <w:rPr>
                <w:rFonts w:ascii="Arial"/>
                <w:sz w:val="21"/>
              </w:rPr>
            </w:pPr>
            <w:r/>
          </w:p>
        </w:tc>
        <w:tc>
          <w:tcPr>
            <w:tcW w:w="1132" w:type="dxa"/>
            <w:vAlign w:val="top"/>
          </w:tcPr>
          <w:p>
            <w:pPr>
              <w:pStyle w:val="TableText"/>
              <w:ind w:left="408"/>
              <w:spacing w:before="62" w:line="195" w:lineRule="auto"/>
              <w:rPr/>
            </w:pPr>
            <w:r>
              <w:rPr>
                <w:spacing w:val="3"/>
              </w:rPr>
              <w:t>220</w:t>
            </w:r>
          </w:p>
        </w:tc>
        <w:tc>
          <w:tcPr>
            <w:tcW w:w="1135" w:type="dxa"/>
            <w:vAlign w:val="top"/>
          </w:tcPr>
          <w:p>
            <w:pPr>
              <w:pStyle w:val="TableText"/>
              <w:ind w:left="464"/>
              <w:spacing w:before="62" w:line="195" w:lineRule="auto"/>
              <w:rPr/>
            </w:pPr>
            <w:r>
              <w:rPr>
                <w:spacing w:val="2"/>
              </w:rPr>
              <w:t>20</w:t>
            </w:r>
          </w:p>
        </w:tc>
        <w:tc>
          <w:tcPr>
            <w:tcW w:w="1276" w:type="dxa"/>
            <w:vAlign w:val="top"/>
          </w:tcPr>
          <w:p>
            <w:pPr>
              <w:pStyle w:val="TableText"/>
              <w:ind w:left="485"/>
              <w:spacing w:before="62" w:line="195" w:lineRule="auto"/>
              <w:rPr/>
            </w:pPr>
            <w:r>
              <w:rPr>
                <w:spacing w:val="2"/>
              </w:rPr>
              <w:t>330</w:t>
            </w:r>
          </w:p>
        </w:tc>
        <w:tc>
          <w:tcPr>
            <w:tcW w:w="1878" w:type="dxa"/>
            <w:vAlign w:val="top"/>
          </w:tcPr>
          <w:p>
            <w:pPr>
              <w:pStyle w:val="TableText"/>
              <w:ind w:left="761"/>
              <w:spacing w:before="62" w:line="195" w:lineRule="auto"/>
              <w:rPr/>
            </w:pPr>
            <w:r>
              <w:rPr>
                <w:spacing w:val="2"/>
              </w:rPr>
              <w:t>0.33</w:t>
            </w:r>
          </w:p>
        </w:tc>
        <w:tc>
          <w:tcPr>
            <w:tcW w:w="1885" w:type="dxa"/>
            <w:vAlign w:val="top"/>
          </w:tcPr>
          <w:p>
            <w:pPr>
              <w:pStyle w:val="TableText"/>
              <w:ind w:left="591"/>
              <w:spacing w:before="42" w:line="216" w:lineRule="auto"/>
              <w:rPr>
                <w:sz w:val="13"/>
                <w:szCs w:val="13"/>
              </w:rPr>
            </w:pPr>
            <w:r>
              <w:rPr>
                <w:spacing w:val="3"/>
              </w:rPr>
              <w:t>2.8×10</w:t>
            </w:r>
            <w:r>
              <w:rPr>
                <w:sz w:val="13"/>
                <w:szCs w:val="13"/>
                <w:spacing w:val="3"/>
                <w:position w:val="6"/>
              </w:rPr>
              <w:t>-4</w:t>
            </w:r>
          </w:p>
        </w:tc>
      </w:tr>
      <w:tr>
        <w:trPr>
          <w:trHeight w:val="266" w:hRule="atLeast"/>
        </w:trPr>
        <w:tc>
          <w:tcPr>
            <w:tcW w:w="849" w:type="dxa"/>
            <w:vAlign w:val="top"/>
            <w:vMerge w:val="continue"/>
            <w:tcBorders>
              <w:top w:val="nil"/>
            </w:tcBorders>
          </w:tcPr>
          <w:p>
            <w:pPr>
              <w:rPr>
                <w:rFonts w:ascii="Arial"/>
                <w:sz w:val="21"/>
              </w:rPr>
            </w:pPr>
            <w:r/>
          </w:p>
        </w:tc>
        <w:tc>
          <w:tcPr>
            <w:tcW w:w="1135" w:type="dxa"/>
            <w:vAlign w:val="top"/>
            <w:vMerge w:val="continue"/>
            <w:tcBorders>
              <w:top w:val="nil"/>
            </w:tcBorders>
          </w:tcPr>
          <w:p>
            <w:pPr>
              <w:rPr>
                <w:rFonts w:ascii="Arial"/>
                <w:sz w:val="21"/>
              </w:rPr>
            </w:pPr>
            <w:r/>
          </w:p>
        </w:tc>
        <w:tc>
          <w:tcPr>
            <w:tcW w:w="1132" w:type="dxa"/>
            <w:vAlign w:val="top"/>
          </w:tcPr>
          <w:p>
            <w:pPr>
              <w:pStyle w:val="TableText"/>
              <w:ind w:left="408"/>
              <w:spacing w:before="63" w:line="195" w:lineRule="auto"/>
              <w:rPr/>
            </w:pPr>
            <w:r>
              <w:rPr>
                <w:spacing w:val="3"/>
              </w:rPr>
              <w:t>240</w:t>
            </w:r>
          </w:p>
        </w:tc>
        <w:tc>
          <w:tcPr>
            <w:tcW w:w="1135" w:type="dxa"/>
            <w:vAlign w:val="top"/>
          </w:tcPr>
          <w:p>
            <w:pPr>
              <w:pStyle w:val="TableText"/>
              <w:ind w:left="464"/>
              <w:spacing w:before="63" w:line="195" w:lineRule="auto"/>
              <w:rPr/>
            </w:pPr>
            <w:r>
              <w:rPr>
                <w:spacing w:val="2"/>
              </w:rPr>
              <w:t>20</w:t>
            </w:r>
          </w:p>
        </w:tc>
        <w:tc>
          <w:tcPr>
            <w:tcW w:w="1276" w:type="dxa"/>
            <w:vAlign w:val="top"/>
          </w:tcPr>
          <w:p>
            <w:pPr>
              <w:pStyle w:val="TableText"/>
              <w:ind w:left="485"/>
              <w:spacing w:before="63" w:line="195" w:lineRule="auto"/>
              <w:rPr/>
            </w:pPr>
            <w:r>
              <w:rPr>
                <w:spacing w:val="2"/>
              </w:rPr>
              <w:t>300</w:t>
            </w:r>
          </w:p>
        </w:tc>
        <w:tc>
          <w:tcPr>
            <w:tcW w:w="1878" w:type="dxa"/>
            <w:vAlign w:val="top"/>
          </w:tcPr>
          <w:p>
            <w:pPr>
              <w:pStyle w:val="TableText"/>
              <w:ind w:left="813"/>
              <w:spacing w:before="63" w:line="195" w:lineRule="auto"/>
              <w:rPr/>
            </w:pPr>
            <w:r>
              <w:rPr>
                <w:spacing w:val="1"/>
              </w:rPr>
              <w:t>0.3</w:t>
            </w:r>
          </w:p>
        </w:tc>
        <w:tc>
          <w:tcPr>
            <w:tcW w:w="1885" w:type="dxa"/>
            <w:vAlign w:val="top"/>
          </w:tcPr>
          <w:p>
            <w:pPr>
              <w:pStyle w:val="TableText"/>
              <w:ind w:left="591"/>
              <w:spacing w:before="43" w:line="216" w:lineRule="auto"/>
              <w:rPr>
                <w:sz w:val="13"/>
                <w:szCs w:val="13"/>
              </w:rPr>
            </w:pPr>
            <w:r>
              <w:rPr>
                <w:spacing w:val="3"/>
              </w:rPr>
              <w:t>2.5×10</w:t>
            </w:r>
            <w:r>
              <w:rPr>
                <w:sz w:val="13"/>
                <w:szCs w:val="13"/>
                <w:spacing w:val="3"/>
                <w:position w:val="6"/>
              </w:rPr>
              <w:t>-4</w:t>
            </w:r>
          </w:p>
        </w:tc>
      </w:tr>
    </w:tbl>
    <w:p>
      <w:pPr>
        <w:ind w:left="9" w:right="225" w:firstLine="480"/>
        <w:spacing w:before="148" w:line="338" w:lineRule="auto"/>
        <w:jc w:val="both"/>
        <w:rPr>
          <w:rFonts w:ascii="SimSun" w:hAnsi="SimSun" w:eastAsia="SimSun" w:cs="SimSun"/>
          <w:sz w:val="24"/>
          <w:szCs w:val="24"/>
        </w:rPr>
      </w:pPr>
      <w:r>
        <w:rPr>
          <w:rFonts w:ascii="SimSun" w:hAnsi="SimSun" w:eastAsia="SimSun" w:cs="SimSun"/>
          <w:sz w:val="24"/>
          <w:szCs w:val="24"/>
        </w:rPr>
        <w:t>根据计算，工作区包气带的渗透系数一般为</w:t>
      </w:r>
      <w:r>
        <w:rPr>
          <w:rFonts w:ascii="SimSun" w:hAnsi="SimSun" w:eastAsia="SimSun" w:cs="SimSun"/>
          <w:sz w:val="24"/>
          <w:szCs w:val="24"/>
          <w:spacing w:val="-54"/>
        </w:rPr>
        <w:t xml:space="preserve"> </w:t>
      </w:r>
      <w:r>
        <w:rPr>
          <w:rFonts w:ascii="Times New Roman" w:hAnsi="Times New Roman" w:eastAsia="Times New Roman" w:cs="Times New Roman"/>
          <w:sz w:val="24"/>
          <w:szCs w:val="24"/>
        </w:rPr>
        <w:t>4.6</w:t>
      </w:r>
      <w:r>
        <w:rPr>
          <w:rFonts w:ascii="SimSun" w:hAnsi="SimSun" w:eastAsia="SimSun" w:cs="SimSun"/>
          <w:sz w:val="24"/>
          <w:szCs w:val="24"/>
        </w:rPr>
        <w:t>×</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
        </w:rPr>
        <w:t>0</w:t>
      </w:r>
      <w:r>
        <w:rPr>
          <w:rFonts w:ascii="Times New Roman" w:hAnsi="Times New Roman" w:eastAsia="Times New Roman" w:cs="Times New Roman"/>
          <w:sz w:val="15"/>
          <w:szCs w:val="15"/>
          <w:spacing w:val="-1"/>
          <w:position w:val="8"/>
        </w:rPr>
        <w:t>-5</w:t>
      </w:r>
      <w:r>
        <w:rPr>
          <w:rFonts w:ascii="SimSun" w:hAnsi="SimSun" w:eastAsia="SimSun" w:cs="SimSun"/>
          <w:sz w:val="24"/>
          <w:szCs w:val="24"/>
          <w:spacing w:val="-1"/>
        </w:rPr>
        <w:t>～</w:t>
      </w:r>
      <w:r>
        <w:rPr>
          <w:rFonts w:ascii="Times New Roman" w:hAnsi="Times New Roman" w:eastAsia="Times New Roman" w:cs="Times New Roman"/>
          <w:sz w:val="24"/>
          <w:szCs w:val="24"/>
          <w:spacing w:val="-1"/>
        </w:rPr>
        <w:t>5.2</w:t>
      </w:r>
      <w:r>
        <w:rPr>
          <w:rFonts w:ascii="SimSun" w:hAnsi="SimSun" w:eastAsia="SimSun" w:cs="SimSun"/>
          <w:sz w:val="24"/>
          <w:szCs w:val="24"/>
          <w:spacing w:val="-1"/>
        </w:rPr>
        <w:t>×</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-4</w:t>
      </w:r>
      <w:r>
        <w:rPr>
          <w:rFonts w:ascii="Times New Roman" w:hAnsi="Times New Roman" w:eastAsia="Times New Roman" w:cs="Times New Roman"/>
          <w:sz w:val="24"/>
          <w:szCs w:val="24"/>
          <w:spacing w:val="-1"/>
        </w:rPr>
        <w:t>cm/s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，岩性为冲湖</w:t>
      </w:r>
      <w:r>
        <w:rPr>
          <w:rFonts w:ascii="SimSun" w:hAnsi="SimSun" w:eastAsia="SimSun" w:cs="SimSun"/>
          <w:sz w:val="24"/>
          <w:szCs w:val="24"/>
          <w:spacing w:val="-2"/>
        </w:rPr>
        <w:t>积粉质粘土、粉土层，计算结果与经验值比较基本相近。依据《环境影响评价技术导则</w:t>
      </w:r>
      <w:r>
        <w:rPr>
          <w:rFonts w:ascii="SimSun" w:hAnsi="SimSun" w:eastAsia="SimSun" w:cs="SimSun"/>
          <w:sz w:val="24"/>
          <w:szCs w:val="24"/>
          <w:spacing w:val="-1"/>
        </w:rPr>
        <w:t>地下水环境》（</w:t>
      </w:r>
      <w:r>
        <w:rPr>
          <w:rFonts w:ascii="Times New Roman" w:hAnsi="Times New Roman" w:eastAsia="Times New Roman" w:cs="Times New Roman"/>
          <w:sz w:val="24"/>
          <w:szCs w:val="24"/>
          <w:spacing w:val="-1"/>
        </w:rPr>
        <w:t>HJ610-2016</w:t>
      </w:r>
      <w:r>
        <w:rPr>
          <w:rFonts w:ascii="SimSun" w:hAnsi="SimSun" w:eastAsia="SimSun" w:cs="SimSun"/>
          <w:sz w:val="24"/>
          <w:szCs w:val="24"/>
          <w:spacing w:val="-1"/>
        </w:rPr>
        <w:t>）中包气带渗透性能的评判标准可知，场地包气带渗</w:t>
      </w:r>
      <w:r>
        <w:rPr>
          <w:rFonts w:ascii="SimSun" w:hAnsi="SimSun" w:eastAsia="SimSun" w:cs="SimSun"/>
          <w:sz w:val="24"/>
          <w:szCs w:val="24"/>
          <w:spacing w:val="-2"/>
        </w:rPr>
        <w:t>透性能</w:t>
      </w:r>
      <w:r>
        <w:rPr>
          <w:rFonts w:ascii="SimSun" w:hAnsi="SimSun" w:eastAsia="SimSun" w:cs="SimSun"/>
          <w:sz w:val="24"/>
          <w:szCs w:val="24"/>
          <w:spacing w:val="-3"/>
        </w:rPr>
        <w:t>均属于“强</w:t>
      </w:r>
      <w:r>
        <w:rPr>
          <w:rFonts w:ascii="SimSun" w:hAnsi="SimSun" w:eastAsia="SimSun" w:cs="SimSun"/>
          <w:sz w:val="24"/>
          <w:szCs w:val="24"/>
          <w:spacing w:val="-85"/>
        </w:rPr>
        <w:t xml:space="preserve"> </w:t>
      </w:r>
      <w:r>
        <w:rPr>
          <w:rFonts w:ascii="SimSun" w:hAnsi="SimSun" w:eastAsia="SimSun" w:cs="SimSun"/>
          <w:sz w:val="24"/>
          <w:szCs w:val="24"/>
          <w:spacing w:val="-3"/>
        </w:rPr>
        <w:t>”，防污性能“弱</w:t>
      </w:r>
      <w:r>
        <w:rPr>
          <w:rFonts w:ascii="SimSun" w:hAnsi="SimSun" w:eastAsia="SimSun" w:cs="SimSun"/>
          <w:sz w:val="24"/>
          <w:szCs w:val="24"/>
          <w:spacing w:val="-88"/>
        </w:rPr>
        <w:t xml:space="preserve"> </w:t>
      </w:r>
      <w:r>
        <w:rPr>
          <w:rFonts w:ascii="SimSun" w:hAnsi="SimSun" w:eastAsia="SimSun" w:cs="SimSun"/>
          <w:sz w:val="24"/>
          <w:szCs w:val="24"/>
          <w:spacing w:val="-3"/>
        </w:rPr>
        <w:t>”。</w:t>
      </w:r>
    </w:p>
    <w:p>
      <w:pPr>
        <w:ind w:left="8" w:right="225" w:firstLine="481"/>
        <w:spacing w:before="1" w:line="338" w:lineRule="auto"/>
        <w:jc w:val="both"/>
        <w:rPr>
          <w:rFonts w:ascii="SimSun" w:hAnsi="SimSun" w:eastAsia="SimSun" w:cs="SimSun"/>
          <w:sz w:val="24"/>
          <w:szCs w:val="24"/>
        </w:rPr>
      </w:pPr>
      <w:r>
        <w:rPr>
          <w:rFonts w:ascii="SimSun" w:hAnsi="SimSun" w:eastAsia="SimSun" w:cs="SimSun"/>
          <w:sz w:val="24"/>
          <w:szCs w:val="24"/>
        </w:rPr>
        <w:t>本次评价对露天区工业场地危废库、油脂库布置了</w:t>
      </w:r>
      <w:r>
        <w:rPr>
          <w:rFonts w:ascii="Times New Roman" w:hAnsi="Times New Roman" w:eastAsia="Times New Roman" w:cs="Times New Roman"/>
          <w:sz w:val="24"/>
          <w:szCs w:val="24"/>
        </w:rPr>
        <w:t>2 </w:t>
      </w:r>
      <w:r>
        <w:rPr>
          <w:rFonts w:ascii="SimSun" w:hAnsi="SimSun" w:eastAsia="SimSun" w:cs="SimSun"/>
          <w:sz w:val="24"/>
          <w:szCs w:val="24"/>
        </w:rPr>
        <w:t>个土壤柱状样监测点，取样深</w:t>
      </w:r>
      <w:r>
        <w:rPr>
          <w:rFonts w:ascii="SimSun" w:hAnsi="SimSun" w:eastAsia="SimSun" w:cs="SimSun"/>
          <w:sz w:val="24"/>
          <w:szCs w:val="24"/>
          <w:spacing w:val="-3"/>
        </w:rPr>
        <w:t>度分别为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0</w:t>
      </w:r>
      <w:r>
        <w:rPr>
          <w:rFonts w:ascii="SimSun" w:hAnsi="SimSun" w:eastAsia="SimSun" w:cs="SimSun"/>
          <w:sz w:val="24"/>
          <w:szCs w:val="24"/>
          <w:spacing w:val="-3"/>
        </w:rPr>
        <w:t>～</w:t>
      </w:r>
      <w:r>
        <w:rPr>
          <w:rFonts w:ascii="Times New Roman" w:hAnsi="Times New Roman" w:eastAsia="Times New Roman" w:cs="Times New Roman"/>
          <w:sz w:val="24"/>
          <w:szCs w:val="24"/>
          <w:spacing w:val="-3"/>
        </w:rPr>
        <w:t>0.5m</w:t>
      </w:r>
      <w:r>
        <w:rPr>
          <w:rFonts w:ascii="SimSun" w:hAnsi="SimSun" w:eastAsia="SimSun" w:cs="SimSun"/>
          <w:sz w:val="24"/>
          <w:szCs w:val="24"/>
          <w:spacing w:val="-3"/>
        </w:rPr>
        <w:t>、</w:t>
      </w:r>
      <w:r>
        <w:rPr>
          <w:rFonts w:ascii="Times New Roman" w:hAnsi="Times New Roman" w:eastAsia="Times New Roman" w:cs="Times New Roman"/>
          <w:sz w:val="24"/>
          <w:szCs w:val="24"/>
          <w:spacing w:val="-3"/>
        </w:rPr>
        <w:t>0.5</w:t>
      </w:r>
      <w:r>
        <w:rPr>
          <w:rFonts w:ascii="SimSun" w:hAnsi="SimSun" w:eastAsia="SimSun" w:cs="SimSun"/>
          <w:sz w:val="24"/>
          <w:szCs w:val="24"/>
          <w:spacing w:val="-3"/>
        </w:rPr>
        <w:t>～</w:t>
      </w:r>
      <w:r>
        <w:rPr>
          <w:rFonts w:ascii="Times New Roman" w:hAnsi="Times New Roman" w:eastAsia="Times New Roman" w:cs="Times New Roman"/>
          <w:sz w:val="24"/>
          <w:szCs w:val="24"/>
          <w:spacing w:val="-3"/>
        </w:rPr>
        <w:t>1.5m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w:t>
      </w:r>
      <w:r>
        <w:rPr>
          <w:rFonts w:ascii="Times New Roman" w:hAnsi="Times New Roman" w:eastAsia="Times New Roman" w:cs="Times New Roman"/>
          <w:sz w:val="24"/>
          <w:szCs w:val="24"/>
          <w:spacing w:val="-4"/>
        </w:rPr>
        <w:t>1.5</w:t>
      </w:r>
      <w:r>
        <w:rPr>
          <w:rFonts w:ascii="SimSun" w:hAnsi="SimSun" w:eastAsia="SimSun" w:cs="SimSun"/>
          <w:sz w:val="24"/>
          <w:szCs w:val="24"/>
          <w:spacing w:val="-4"/>
        </w:rPr>
        <w:t>～</w:t>
      </w:r>
      <w:r>
        <w:rPr>
          <w:rFonts w:ascii="Times New Roman" w:hAnsi="Times New Roman" w:eastAsia="Times New Roman" w:cs="Times New Roman"/>
          <w:sz w:val="24"/>
          <w:szCs w:val="24"/>
          <w:spacing w:val="-4"/>
        </w:rPr>
        <w:t>3.0m</w:t>
      </w:r>
      <w:r>
        <w:rPr>
          <w:rFonts w:ascii="SimSun" w:hAnsi="SimSun" w:eastAsia="SimSun" w:cs="SimSun"/>
          <w:sz w:val="24"/>
          <w:szCs w:val="24"/>
          <w:spacing w:val="-4"/>
        </w:rPr>
        <w:t>。根据监测结果显示，各监测指标均满足《土</w:t>
      </w:r>
      <w:r>
        <w:rPr>
          <w:rFonts w:ascii="SimSun" w:hAnsi="SimSun" w:eastAsia="SimSun" w:cs="SimSun"/>
          <w:sz w:val="24"/>
          <w:szCs w:val="24"/>
        </w:rPr>
        <w:t>壤环境质量标准 建设用地土壤污染风险管控标准（试行）》（</w:t>
      </w:r>
      <w:r>
        <w:rPr>
          <w:rFonts w:ascii="Times New Roman" w:hAnsi="Times New Roman" w:eastAsia="Times New Roman" w:cs="Times New Roman"/>
          <w:sz w:val="24"/>
          <w:szCs w:val="24"/>
        </w:rPr>
        <w:t>GB36600-2018</w:t>
      </w:r>
      <w:r>
        <w:rPr>
          <w:rFonts w:ascii="SimSun" w:hAnsi="SimSun" w:eastAsia="SimSun" w:cs="SimSun"/>
          <w:sz w:val="24"/>
          <w:szCs w:val="24"/>
        </w:rPr>
        <w:t>）第二类</w:t>
      </w:r>
      <w:r>
        <w:rPr>
          <w:rFonts w:ascii="SimSun" w:hAnsi="SimSun" w:eastAsia="SimSun" w:cs="SimSun"/>
          <w:sz w:val="24"/>
          <w:szCs w:val="24"/>
        </w:rPr>
        <w:t>建设用地筛选值标准要求。说明工业场地暂时未发生</w:t>
      </w:r>
      <w:r>
        <w:rPr>
          <w:rFonts w:ascii="SimSun" w:hAnsi="SimSun" w:eastAsia="SimSun" w:cs="SimSun"/>
          <w:sz w:val="24"/>
          <w:szCs w:val="24"/>
          <w:spacing w:val="-1"/>
        </w:rPr>
        <w:t>跑冒滴漏等污染现象。</w:t>
      </w:r>
    </w:p>
    <w:p>
      <w:pPr>
        <w:ind w:left="8"/>
        <w:spacing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5.4.5.2</w:t>
      </w:r>
      <w:r>
        <w:rPr>
          <w:rFonts w:ascii="SimHei" w:hAnsi="SimHei" w:eastAsia="SimHei" w:cs="SimHei"/>
          <w:sz w:val="24"/>
          <w:szCs w:val="24"/>
          <w:b/>
          <w:bCs/>
          <w:spacing w:val="-2"/>
        </w:rPr>
        <w:t>地下水环境影响识别</w:t>
      </w:r>
    </w:p>
    <w:p>
      <w:pPr>
        <w:ind w:left="7" w:right="225" w:firstLine="487"/>
        <w:spacing w:before="155" w:line="338" w:lineRule="auto"/>
        <w:jc w:val="both"/>
        <w:rPr>
          <w:rFonts w:ascii="SimSun" w:hAnsi="SimSun" w:eastAsia="SimSun" w:cs="SimSun"/>
          <w:sz w:val="24"/>
          <w:szCs w:val="24"/>
        </w:rPr>
      </w:pPr>
      <w:r>
        <w:rPr>
          <w:rFonts w:ascii="SimSun" w:hAnsi="SimSun" w:eastAsia="SimSun" w:cs="SimSun"/>
          <w:sz w:val="24"/>
          <w:szCs w:val="24"/>
          <w:spacing w:val="-2"/>
        </w:rPr>
        <w:t>露天矿有两座矿井水处理站，位于露天矿矿井（坑）水处理厂厂区；在工业场地设</w:t>
      </w:r>
      <w:r>
        <w:rPr>
          <w:rFonts w:ascii="SimSun" w:hAnsi="SimSun" w:eastAsia="SimSun" w:cs="SimSun"/>
          <w:sz w:val="24"/>
          <w:szCs w:val="24"/>
          <w:spacing w:val="-1"/>
        </w:rPr>
        <w:t>置有生活污水处理站以及一座加油站。本项</w:t>
      </w:r>
      <w:r>
        <w:rPr>
          <w:rFonts w:ascii="SimSun" w:hAnsi="SimSun" w:eastAsia="SimSun" w:cs="SimSun"/>
          <w:sz w:val="24"/>
          <w:szCs w:val="24"/>
          <w:spacing w:val="-2"/>
        </w:rPr>
        <w:t>目在事故状态下有可能对地下水水质产生污</w:t>
      </w:r>
      <w:r>
        <w:rPr>
          <w:rFonts w:ascii="SimSun" w:hAnsi="SimSun" w:eastAsia="SimSun" w:cs="SimSun"/>
          <w:sz w:val="24"/>
          <w:szCs w:val="24"/>
          <w:spacing w:val="-1"/>
        </w:rPr>
        <w:t>染的主要为工业场地的生活污水处理站、矿</w:t>
      </w:r>
      <w:r>
        <w:rPr>
          <w:rFonts w:ascii="SimSun" w:hAnsi="SimSun" w:eastAsia="SimSun" w:cs="SimSun"/>
          <w:sz w:val="24"/>
          <w:szCs w:val="24"/>
          <w:spacing w:val="-2"/>
        </w:rPr>
        <w:t>坑水处理站跑冒滴漏，以及加油站储罐区油</w:t>
      </w:r>
      <w:r>
        <w:rPr>
          <w:rFonts w:ascii="SimSun" w:hAnsi="SimSun" w:eastAsia="SimSun" w:cs="SimSun"/>
          <w:sz w:val="24"/>
          <w:szCs w:val="24"/>
          <w:spacing w:val="-2"/>
        </w:rPr>
        <w:t>品渗漏污染。</w:t>
      </w:r>
    </w:p>
    <w:p>
      <w:pPr>
        <w:ind w:left="10" w:right="225" w:firstLine="484"/>
        <w:spacing w:line="336" w:lineRule="auto"/>
        <w:jc w:val="both"/>
        <w:rPr>
          <w:rFonts w:ascii="SimSun" w:hAnsi="SimSun" w:eastAsia="SimSun" w:cs="SimSun"/>
          <w:sz w:val="24"/>
          <w:szCs w:val="24"/>
        </w:rPr>
      </w:pPr>
      <w:r>
        <w:rPr>
          <w:rFonts w:ascii="SimSun" w:hAnsi="SimSun" w:eastAsia="SimSun" w:cs="SimSun"/>
          <w:sz w:val="24"/>
          <w:szCs w:val="24"/>
          <w:spacing w:val="-2"/>
        </w:rPr>
        <w:t>西侧白音华四号井工矿后评价报告对包气带的防污性能进行了评价，根据计算，调</w:t>
      </w:r>
      <w:r>
        <w:rPr>
          <w:rFonts w:ascii="SimSun" w:hAnsi="SimSun" w:eastAsia="SimSun" w:cs="SimSun"/>
          <w:sz w:val="24"/>
          <w:szCs w:val="24"/>
          <w:spacing w:val="1"/>
        </w:rPr>
        <w:t>查区包气带的渗透系数一般为 4.6×10</w:t>
      </w:r>
      <w:r>
        <w:rPr>
          <w:rFonts w:ascii="SimSun" w:hAnsi="SimSun" w:eastAsia="SimSun" w:cs="SimSun"/>
          <w:sz w:val="12"/>
          <w:szCs w:val="12"/>
          <w:spacing w:val="1"/>
          <w:position w:val="11"/>
        </w:rPr>
        <w:t>-5</w:t>
      </w:r>
      <w:r>
        <w:rPr>
          <w:rFonts w:ascii="SimSun" w:hAnsi="SimSun" w:eastAsia="SimSun" w:cs="SimSun"/>
          <w:sz w:val="24"/>
          <w:szCs w:val="24"/>
          <w:spacing w:val="1"/>
        </w:rPr>
        <w:t>～5.2×10</w:t>
      </w:r>
      <w:r>
        <w:rPr>
          <w:rFonts w:ascii="SimSun" w:hAnsi="SimSun" w:eastAsia="SimSun" w:cs="SimSun"/>
          <w:sz w:val="12"/>
          <w:szCs w:val="12"/>
          <w:spacing w:val="1"/>
          <w:position w:val="11"/>
        </w:rPr>
        <w:t>-4</w:t>
      </w:r>
      <w:r>
        <w:rPr>
          <w:rFonts w:ascii="SimSun" w:hAnsi="SimSun" w:eastAsia="SimSun" w:cs="SimSun"/>
          <w:sz w:val="24"/>
          <w:szCs w:val="24"/>
        </w:rPr>
        <w:t>cm</w:t>
      </w:r>
      <w:r>
        <w:rPr>
          <w:rFonts w:ascii="SimSun" w:hAnsi="SimSun" w:eastAsia="SimSun" w:cs="SimSun"/>
          <w:sz w:val="24"/>
          <w:szCs w:val="24"/>
          <w:spacing w:val="1"/>
        </w:rPr>
        <w:t>/s，岩性为冲湖积粉质粘土、粉</w:t>
      </w:r>
      <w:r>
        <w:rPr>
          <w:rFonts w:ascii="SimSun" w:hAnsi="SimSun" w:eastAsia="SimSun" w:cs="SimSun"/>
          <w:sz w:val="24"/>
          <w:szCs w:val="24"/>
          <w:spacing w:val="-1"/>
        </w:rPr>
        <w:t>土层，计算结果与经验值比较基本相近。</w:t>
      </w:r>
    </w:p>
    <w:p>
      <w:pPr>
        <w:ind w:left="8"/>
        <w:spacing w:before="9"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5.4.5.3</w:t>
      </w:r>
      <w:r>
        <w:rPr>
          <w:rFonts w:ascii="SimHei" w:hAnsi="SimHei" w:eastAsia="SimHei" w:cs="SimHei"/>
          <w:sz w:val="24"/>
          <w:szCs w:val="24"/>
          <w:b/>
          <w:bCs/>
          <w:spacing w:val="-2"/>
        </w:rPr>
        <w:t>地面正常工况对地下水的影响分析</w:t>
      </w:r>
    </w:p>
    <w:p>
      <w:pPr>
        <w:ind w:left="9" w:right="121" w:firstLine="485"/>
        <w:spacing w:before="154" w:line="339" w:lineRule="auto"/>
        <w:tabs>
          <w:tab w:val="left" w:pos="9175"/>
        </w:tabs>
        <w:jc w:val="both"/>
        <w:rPr>
          <w:rFonts w:ascii="SimSun" w:hAnsi="SimSun" w:eastAsia="SimSun" w:cs="SimSun"/>
          <w:sz w:val="24"/>
          <w:szCs w:val="24"/>
        </w:rPr>
      </w:pPr>
      <w:r>
        <w:rPr>
          <w:rFonts w:ascii="SimSun" w:hAnsi="SimSun" w:eastAsia="SimSun" w:cs="SimSun"/>
          <w:sz w:val="24"/>
          <w:szCs w:val="24"/>
          <w:spacing w:val="-3"/>
        </w:rPr>
        <w:t>露天矿项目建设</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座矿坑水处理站，</w:t>
      </w:r>
      <w:r>
        <w:rPr>
          <w:rFonts w:ascii="Times New Roman" w:hAnsi="Times New Roman" w:eastAsia="Times New Roman" w:cs="Times New Roman"/>
          <w:sz w:val="24"/>
          <w:szCs w:val="24"/>
          <w:spacing w:val="-3"/>
        </w:rPr>
        <w:t>1 </w:t>
      </w:r>
      <w:r>
        <w:rPr>
          <w:rFonts w:ascii="SimSun" w:hAnsi="SimSun" w:eastAsia="SimSun" w:cs="SimSun"/>
          <w:sz w:val="24"/>
          <w:szCs w:val="24"/>
          <w:spacing w:val="-3"/>
        </w:rPr>
        <w:t>用，</w:t>
      </w:r>
      <w:r>
        <w:rPr>
          <w:rFonts w:ascii="Times New Roman" w:hAnsi="Times New Roman" w:eastAsia="Times New Roman" w:cs="Times New Roman"/>
          <w:sz w:val="24"/>
          <w:szCs w:val="24"/>
          <w:spacing w:val="-3"/>
        </w:rPr>
        <w:t>1 </w:t>
      </w:r>
      <w:r>
        <w:rPr>
          <w:rFonts w:ascii="SimSun" w:hAnsi="SimSun" w:eastAsia="SimSun" w:cs="SimSun"/>
          <w:sz w:val="24"/>
          <w:szCs w:val="24"/>
          <w:spacing w:val="-3"/>
        </w:rPr>
        <w:t>备。处理规模分别为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8640m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/d</w:t>
      </w:r>
      <w:r>
        <w:rPr>
          <w:rFonts w:ascii="SimSun" w:hAnsi="SimSun" w:eastAsia="SimSun" w:cs="SimSun"/>
          <w:sz w:val="24"/>
          <w:szCs w:val="24"/>
          <w:spacing w:val="-3"/>
        </w:rPr>
        <w:t>（备用）</w:t>
      </w:r>
      <w:r>
        <w:rPr>
          <w:rFonts w:ascii="SimSun" w:hAnsi="SimSun" w:eastAsia="SimSun" w:cs="SimSun"/>
          <w:sz w:val="24"/>
          <w:szCs w:val="24"/>
          <w:spacing w:val="-1"/>
        </w:rPr>
        <w:t>和</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18000m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，采用絮凝沉淀</w:t>
      </w:r>
      <w:r>
        <w:rPr>
          <w:rFonts w:ascii="Times New Roman" w:hAnsi="Times New Roman" w:eastAsia="Times New Roman" w:cs="Times New Roman"/>
          <w:sz w:val="24"/>
          <w:szCs w:val="24"/>
          <w:spacing w:val="-1"/>
        </w:rPr>
        <w:t>+</w:t>
      </w:r>
      <w:r>
        <w:rPr>
          <w:rFonts w:ascii="SimSun" w:hAnsi="SimSun" w:eastAsia="SimSun" w:cs="SimSun"/>
          <w:sz w:val="24"/>
          <w:szCs w:val="24"/>
          <w:spacing w:val="-1"/>
        </w:rPr>
        <w:t>气浮处理</w:t>
      </w:r>
      <w:r>
        <w:rPr>
          <w:rFonts w:ascii="Times New Roman" w:hAnsi="Times New Roman" w:eastAsia="Times New Roman" w:cs="Times New Roman"/>
          <w:sz w:val="24"/>
          <w:szCs w:val="24"/>
          <w:spacing w:val="-1"/>
        </w:rPr>
        <w:t>+</w:t>
      </w:r>
      <w:r>
        <w:rPr>
          <w:rFonts w:ascii="SimSun" w:hAnsi="SimSun" w:eastAsia="SimSun" w:cs="SimSun"/>
          <w:sz w:val="24"/>
          <w:szCs w:val="24"/>
          <w:spacing w:val="-1"/>
        </w:rPr>
        <w:t>一体化净</w:t>
      </w:r>
      <w:r>
        <w:rPr>
          <w:rFonts w:ascii="SimSun" w:hAnsi="SimSun" w:eastAsia="SimSun" w:cs="SimSun"/>
          <w:sz w:val="24"/>
          <w:szCs w:val="24"/>
          <w:spacing w:val="-2"/>
        </w:rPr>
        <w:t>水器工艺。处理后全部回用于矿内生</w:t>
      </w:r>
      <w:r>
        <w:rPr>
          <w:rFonts w:ascii="SimSun" w:hAnsi="SimSun" w:eastAsia="SimSun" w:cs="SimSun"/>
          <w:sz w:val="24"/>
          <w:szCs w:val="24"/>
          <w:spacing w:val="-2"/>
        </w:rPr>
        <w:t>产用水、采场洒水和道路洒水等，剩余部分矿坑水排至金山电厂作为补充水使用。无外</w:t>
      </w:r>
      <w:r>
        <w:rPr>
          <w:rFonts w:ascii="SimSun" w:hAnsi="SimSun" w:eastAsia="SimSun" w:cs="SimSun"/>
          <w:sz w:val="24"/>
          <w:szCs w:val="24"/>
        </w:rPr>
        <w:t>排废水。生活污水产生量为</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422m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27"/>
        </w:rPr>
        <w:t xml:space="preserve"> </w:t>
      </w:r>
      <w:r>
        <w:rPr>
          <w:rFonts w:ascii="SimSun" w:hAnsi="SimSun" w:eastAsia="SimSun" w:cs="SimSun"/>
          <w:sz w:val="24"/>
          <w:szCs w:val="24"/>
        </w:rPr>
        <w:t>，处理规模</w:t>
      </w:r>
      <w:r>
        <w:rPr>
          <w:rFonts w:ascii="SimSun" w:hAnsi="SimSun" w:eastAsia="SimSun" w:cs="SimSun"/>
          <w:sz w:val="24"/>
          <w:szCs w:val="24"/>
          <w:spacing w:val="-44"/>
        </w:rPr>
        <w:t xml:space="preserve"> </w:t>
      </w:r>
      <w:r>
        <w:rPr>
          <w:rFonts w:ascii="Times New Roman" w:hAnsi="Times New Roman" w:eastAsia="Times New Roman" w:cs="Times New Roman"/>
          <w:sz w:val="24"/>
          <w:szCs w:val="24"/>
        </w:rPr>
        <w:t>50m</w:t>
      </w:r>
      <w:r>
        <w:rPr>
          <w:rFonts w:ascii="Times New Roman" w:hAnsi="Times New Roman" w:eastAsia="Times New Roman" w:cs="Times New Roman"/>
          <w:sz w:val="15"/>
          <w:szCs w:val="15"/>
          <w:position w:val="7"/>
        </w:rPr>
        <w:t>3</w:t>
      </w:r>
      <w:r>
        <w:rPr>
          <w:rFonts w:ascii="Times New Roman" w:hAnsi="Times New Roman" w:eastAsia="Times New Roman" w:cs="Times New Roman"/>
          <w:sz w:val="24"/>
          <w:szCs w:val="24"/>
        </w:rPr>
        <w:t>/h</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，采用</w:t>
      </w:r>
      <w:r>
        <w:rPr>
          <w:rFonts w:ascii="Times New Roman" w:hAnsi="Times New Roman" w:eastAsia="Times New Roman" w:cs="Times New Roman"/>
          <w:sz w:val="24"/>
          <w:szCs w:val="24"/>
          <w:spacing w:val="-1"/>
        </w:rPr>
        <w:t>MBR </w:t>
      </w:r>
      <w:r>
        <w:rPr>
          <w:rFonts w:ascii="SimSun" w:hAnsi="SimSun" w:eastAsia="SimSun" w:cs="SimSun"/>
          <w:sz w:val="24"/>
          <w:szCs w:val="24"/>
          <w:spacing w:val="-1"/>
        </w:rPr>
        <w:t>一体化处理装置，</w:t>
      </w:r>
      <w:r>
        <w:rPr>
          <w:rFonts w:ascii="SimSun" w:hAnsi="SimSun" w:eastAsia="SimSun" w:cs="SimSun"/>
          <w:sz w:val="24"/>
          <w:szCs w:val="24"/>
          <w:spacing w:val="-2"/>
        </w:rPr>
        <w:t>处理后回用于绿化洒水、道路及采掘场降尘洒水，不外排。加油站设有防雷及防静电接</w:t>
      </w:r>
    </w:p>
    <w:p>
      <w:pPr>
        <w:spacing w:line="339" w:lineRule="auto"/>
        <w:sectPr>
          <w:headerReference w:type="default" r:id="rId444"/>
          <w:footerReference w:type="default" r:id="rId445"/>
          <w:pgSz w:w="11906" w:h="16838"/>
          <w:pgMar w:top="1170" w:right="1191" w:bottom="1080" w:left="1416" w:header="837" w:footer="918" w:gutter="0"/>
        </w:sectPr>
        <w:rPr>
          <w:rFonts w:ascii="SimSun" w:hAnsi="SimSun" w:eastAsia="SimSun" w:cs="SimSun"/>
          <w:sz w:val="24"/>
          <w:szCs w:val="24"/>
        </w:rPr>
      </w:pPr>
    </w:p>
    <w:p>
      <w:pPr>
        <w:pStyle w:val="BodyText"/>
        <w:spacing w:line="314" w:lineRule="auto"/>
        <w:rPr/>
      </w:pPr>
      <w:r/>
    </w:p>
    <w:p>
      <w:pPr>
        <w:ind w:left="14" w:right="33" w:hanging="5"/>
        <w:spacing w:before="78" w:line="338" w:lineRule="auto"/>
        <w:jc w:val="both"/>
        <w:rPr>
          <w:rFonts w:ascii="SimSun" w:hAnsi="SimSun" w:eastAsia="SimSun" w:cs="SimSun"/>
          <w:sz w:val="24"/>
          <w:szCs w:val="24"/>
        </w:rPr>
      </w:pPr>
      <w:r>
        <w:rPr>
          <w:rFonts w:ascii="SimSun" w:hAnsi="SimSun" w:eastAsia="SimSun" w:cs="SimSun"/>
          <w:sz w:val="24"/>
          <w:szCs w:val="24"/>
          <w:spacing w:val="-2"/>
        </w:rPr>
        <w:t>地，钢制油罐罐体、罐室的金属构件以及呼吸阀、油量孔等金属附件做可靠的电气连接</w:t>
      </w:r>
      <w:r>
        <w:rPr>
          <w:rFonts w:ascii="SimSun" w:hAnsi="SimSun" w:eastAsia="SimSun" w:cs="SimSun"/>
          <w:sz w:val="24"/>
          <w:szCs w:val="24"/>
          <w:spacing w:val="2"/>
        </w:rPr>
        <w:t>并接地，接地电阻不大于</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4Ω</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。加油站电气设备及照明采用防爆设备同时要满足</w:t>
      </w:r>
      <w:r>
        <w:rPr>
          <w:rFonts w:ascii="Times New Roman" w:hAnsi="Times New Roman" w:eastAsia="Times New Roman" w:cs="Times New Roman"/>
          <w:sz w:val="24"/>
          <w:szCs w:val="24"/>
          <w:spacing w:val="2"/>
        </w:rPr>
        <w:t>“</w:t>
      </w:r>
      <w:r>
        <w:rPr>
          <w:rFonts w:ascii="SimSun" w:hAnsi="SimSun" w:eastAsia="SimSun" w:cs="SimSun"/>
          <w:sz w:val="24"/>
          <w:szCs w:val="24"/>
          <w:spacing w:val="2"/>
        </w:rPr>
        <w:t>三防</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rPr>
        <w:t xml:space="preserve"> </w:t>
      </w:r>
      <w:r>
        <w:rPr>
          <w:rFonts w:ascii="SimSun" w:hAnsi="SimSun" w:eastAsia="SimSun" w:cs="SimSun"/>
          <w:sz w:val="24"/>
          <w:szCs w:val="24"/>
          <w:spacing w:val="-2"/>
        </w:rPr>
        <w:t>（防尘、防水、防腐蚀）的要求。</w:t>
      </w:r>
    </w:p>
    <w:p>
      <w:pPr>
        <w:ind w:left="11" w:firstLine="482"/>
        <w:spacing w:before="2" w:line="340" w:lineRule="auto"/>
        <w:jc w:val="both"/>
        <w:rPr>
          <w:rFonts w:ascii="SimSun" w:hAnsi="SimSun" w:eastAsia="SimSun" w:cs="SimSun"/>
          <w:sz w:val="24"/>
          <w:szCs w:val="24"/>
        </w:rPr>
      </w:pPr>
      <w:r>
        <w:rPr>
          <w:rFonts w:ascii="SimSun" w:hAnsi="SimSun" w:eastAsia="SimSun" w:cs="SimSun"/>
          <w:sz w:val="24"/>
          <w:szCs w:val="24"/>
          <w:spacing w:val="-6"/>
        </w:rPr>
        <w:t>正常运行情况下，工业场地污废水经处理达标后全部回用不外排，工业场地采用雨、</w:t>
      </w:r>
      <w:r>
        <w:rPr>
          <w:rFonts w:ascii="SimSun" w:hAnsi="SimSun" w:eastAsia="SimSun" w:cs="SimSun"/>
          <w:sz w:val="24"/>
          <w:szCs w:val="24"/>
          <w:spacing w:val="-2"/>
        </w:rPr>
        <w:t>污分流制排水系统。污水收集与处理系统均采取了有效的防渗措施。因此，正常情况下</w:t>
      </w:r>
      <w:r>
        <w:rPr>
          <w:rFonts w:ascii="SimSun" w:hAnsi="SimSun" w:eastAsia="SimSun" w:cs="SimSun"/>
          <w:sz w:val="24"/>
          <w:szCs w:val="24"/>
          <w:spacing w:val="-2"/>
        </w:rPr>
        <w:t>工业场地、矿坑水处理站、生活污水处理站以及加油站罐区，不会对地下水环境造成影</w:t>
      </w:r>
      <w:r>
        <w:rPr>
          <w:rFonts w:ascii="SimSun" w:hAnsi="SimSun" w:eastAsia="SimSun" w:cs="SimSun"/>
          <w:sz w:val="24"/>
          <w:szCs w:val="24"/>
          <w:spacing w:val="-6"/>
        </w:rPr>
        <w:t>响。</w:t>
      </w:r>
    </w:p>
    <w:p>
      <w:pPr>
        <w:ind w:left="8"/>
        <w:spacing w:before="22"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5.4.5.4 </w:t>
      </w:r>
      <w:r>
        <w:rPr>
          <w:rFonts w:ascii="SimHei" w:hAnsi="SimHei" w:eastAsia="SimHei" w:cs="SimHei"/>
          <w:sz w:val="24"/>
          <w:szCs w:val="24"/>
          <w:b/>
          <w:bCs/>
          <w:spacing w:val="-2"/>
        </w:rPr>
        <w:t>地下水防渗措施及有效性评价</w:t>
      </w:r>
    </w:p>
    <w:p>
      <w:pPr>
        <w:ind w:left="12" w:right="24" w:firstLine="483"/>
        <w:spacing w:before="163" w:line="29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）矿坑水处理站水处理过程中的池、管道及地面已经采取防渗处理，进行一系</w:t>
      </w:r>
      <w:r>
        <w:rPr>
          <w:rFonts w:ascii="SimSun" w:hAnsi="SimSun" w:eastAsia="SimSun" w:cs="SimSun"/>
          <w:sz w:val="24"/>
          <w:szCs w:val="24"/>
          <w:spacing w:val="-2"/>
        </w:rPr>
        <w:t>列环氧自流平地坪，混凝土地面涂装环氧自流平地坪能有效降低地面的渗透性，防渗层</w:t>
      </w:r>
      <w:r>
        <w:rPr>
          <w:rFonts w:ascii="SimSun" w:hAnsi="SimSun" w:eastAsia="SimSun" w:cs="SimSun"/>
          <w:sz w:val="24"/>
          <w:szCs w:val="24"/>
          <w:spacing w:val="-2"/>
        </w:rPr>
        <w:t>大于</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2"/>
        </w:rPr>
        <w:t>1m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厚粘土层（渗透系数≤</w:t>
      </w:r>
      <w:r>
        <w:rPr>
          <w:rFonts w:ascii="Times New Roman" w:hAnsi="Times New Roman" w:eastAsia="Times New Roman" w:cs="Times New Roman"/>
          <w:sz w:val="24"/>
          <w:szCs w:val="24"/>
          <w:spacing w:val="-2"/>
        </w:rPr>
        <w:t>10</w:t>
      </w:r>
      <w:r>
        <w:rPr>
          <w:rFonts w:ascii="Times New Roman" w:hAnsi="Times New Roman" w:eastAsia="Times New Roman" w:cs="Times New Roman"/>
          <w:sz w:val="15"/>
          <w:szCs w:val="15"/>
          <w:spacing w:val="-2"/>
          <w:position w:val="7"/>
        </w:rPr>
        <w:t>-7</w:t>
      </w:r>
      <w:r>
        <w:rPr>
          <w:rFonts w:ascii="Times New Roman" w:hAnsi="Times New Roman" w:eastAsia="Times New Roman" w:cs="Times New Roman"/>
          <w:sz w:val="24"/>
          <w:szCs w:val="24"/>
          <w:spacing w:val="-2"/>
        </w:rPr>
        <w:t>cm/s</w:t>
      </w:r>
      <w:r>
        <w:rPr>
          <w:rFonts w:ascii="SimSun" w:hAnsi="SimSun" w:eastAsia="SimSun" w:cs="SimSun"/>
          <w:sz w:val="24"/>
          <w:szCs w:val="24"/>
          <w:spacing w:val="4"/>
        </w:rPr>
        <w:t>），</w:t>
      </w:r>
      <w:r>
        <w:rPr>
          <w:rFonts w:ascii="SimSun" w:hAnsi="SimSun" w:eastAsia="SimSun" w:cs="SimSun"/>
          <w:sz w:val="24"/>
          <w:szCs w:val="24"/>
          <w:spacing w:val="-2"/>
        </w:rPr>
        <w:t>可有效</w:t>
      </w:r>
      <w:r>
        <w:rPr>
          <w:rFonts w:ascii="SimSun" w:hAnsi="SimSun" w:eastAsia="SimSun" w:cs="SimSun"/>
          <w:sz w:val="24"/>
          <w:szCs w:val="24"/>
          <w:spacing w:val="-3"/>
        </w:rPr>
        <w:t>阻断污染物进入地下水环境的途径。</w:t>
      </w:r>
    </w:p>
    <w:p>
      <w:pPr>
        <w:ind w:left="5" w:right="18" w:firstLine="490"/>
        <w:spacing w:before="153" w:line="315" w:lineRule="auto"/>
        <w:rPr>
          <w:rFonts w:ascii="SimSun" w:hAnsi="SimSun" w:eastAsia="SimSun" w:cs="SimSun"/>
          <w:sz w:val="24"/>
          <w:szCs w:val="24"/>
        </w:rPr>
      </w:pPr>
      <w:r>
        <w:rPr>
          <w:rFonts w:ascii="SimSun" w:hAnsi="SimSun" w:eastAsia="SimSun" w:cs="SimSun"/>
          <w:sz w:val="24"/>
          <w:szCs w:val="24"/>
          <w:spacing w:val="8"/>
        </w:rPr>
        <w:t>（</w:t>
      </w:r>
      <w:r>
        <w:rPr>
          <w:rFonts w:ascii="Times New Roman" w:hAnsi="Times New Roman" w:eastAsia="Times New Roman" w:cs="Times New Roman"/>
          <w:sz w:val="24"/>
          <w:szCs w:val="24"/>
          <w:spacing w:val="8"/>
        </w:rPr>
        <w:t>2</w:t>
      </w:r>
      <w:r>
        <w:rPr>
          <w:rFonts w:ascii="SimSun" w:hAnsi="SimSun" w:eastAsia="SimSun" w:cs="SimSun"/>
          <w:sz w:val="24"/>
          <w:szCs w:val="24"/>
          <w:spacing w:val="8"/>
        </w:rPr>
        <w:t>）生活污水排入工业场地生活污水处理站处理。污水站池体上部覆土厚度为</w:t>
      </w:r>
      <w:r>
        <w:rPr>
          <w:rFonts w:ascii="Times New Roman" w:hAnsi="Times New Roman" w:eastAsia="Times New Roman" w:cs="Times New Roman"/>
          <w:sz w:val="24"/>
          <w:szCs w:val="24"/>
        </w:rPr>
        <w:t>2000mm</w:t>
      </w:r>
      <w:r>
        <w:rPr>
          <w:rFonts w:ascii="SimSun" w:hAnsi="SimSun" w:eastAsia="SimSun" w:cs="SimSun"/>
          <w:sz w:val="24"/>
          <w:szCs w:val="24"/>
        </w:rPr>
        <w:t>；池体采用</w:t>
      </w:r>
      <w:r>
        <w:rPr>
          <w:rFonts w:ascii="Times New Roman" w:hAnsi="Times New Roman" w:eastAsia="Times New Roman" w:cs="Times New Roman"/>
          <w:sz w:val="24"/>
          <w:szCs w:val="24"/>
        </w:rPr>
        <w:t>C30</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rPr>
        <w:t>级配防水砼浇筑，抗渗等级</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P6</w:t>
      </w:r>
      <w:r>
        <w:rPr>
          <w:rFonts w:ascii="SimSun" w:hAnsi="SimSun" w:eastAsia="SimSun" w:cs="SimSun"/>
          <w:sz w:val="24"/>
          <w:szCs w:val="24"/>
        </w:rPr>
        <w:t>，垫层采用</w:t>
      </w:r>
      <w:r>
        <w:rPr>
          <w:rFonts w:ascii="Times New Roman" w:hAnsi="Times New Roman" w:eastAsia="Times New Roman" w:cs="Times New Roman"/>
          <w:sz w:val="24"/>
          <w:szCs w:val="24"/>
        </w:rPr>
        <w:t>C10 </w:t>
      </w:r>
      <w:r>
        <w:rPr>
          <w:rFonts w:ascii="SimSun" w:hAnsi="SimSun" w:eastAsia="SimSun" w:cs="SimSun"/>
          <w:sz w:val="24"/>
          <w:szCs w:val="24"/>
        </w:rPr>
        <w:t>砼；池顶板厚度</w:t>
      </w:r>
      <w:r>
        <w:rPr>
          <w:rFonts w:ascii="SimSun" w:hAnsi="SimSun" w:eastAsia="SimSun" w:cs="SimSun"/>
          <w:sz w:val="24"/>
          <w:szCs w:val="24"/>
          <w:spacing w:val="-8"/>
        </w:rPr>
        <w:t>为</w:t>
      </w:r>
      <w:r>
        <w:rPr>
          <w:rFonts w:ascii="Times New Roman" w:hAnsi="Times New Roman" w:eastAsia="Times New Roman" w:cs="Times New Roman"/>
          <w:sz w:val="24"/>
          <w:szCs w:val="24"/>
          <w:spacing w:val="-8"/>
        </w:rPr>
        <w:t>200mm</w:t>
      </w:r>
      <w:r>
        <w:rPr>
          <w:rFonts w:ascii="SimSun" w:hAnsi="SimSun" w:eastAsia="SimSun" w:cs="SimSun"/>
          <w:sz w:val="24"/>
          <w:szCs w:val="24"/>
          <w:spacing w:val="-8"/>
        </w:rPr>
        <w:t>，池壁厚度为</w:t>
      </w:r>
      <w:r>
        <w:rPr>
          <w:rFonts w:ascii="Times New Roman" w:hAnsi="Times New Roman" w:eastAsia="Times New Roman" w:cs="Times New Roman"/>
          <w:sz w:val="24"/>
          <w:szCs w:val="24"/>
          <w:spacing w:val="-8"/>
        </w:rPr>
        <w:t>400mm</w:t>
      </w:r>
      <w:r>
        <w:rPr>
          <w:rFonts w:ascii="SimSun" w:hAnsi="SimSun" w:eastAsia="SimSun" w:cs="SimSun"/>
          <w:sz w:val="24"/>
          <w:szCs w:val="24"/>
          <w:spacing w:val="-8"/>
        </w:rPr>
        <w:t>，池底厚度</w:t>
      </w:r>
      <w:r>
        <w:rPr>
          <w:rFonts w:ascii="SimSun" w:hAnsi="SimSun" w:eastAsia="SimSun" w:cs="SimSun"/>
          <w:sz w:val="24"/>
          <w:szCs w:val="24"/>
          <w:spacing w:val="-9"/>
        </w:rPr>
        <w:t>为</w:t>
      </w:r>
      <w:r>
        <w:rPr>
          <w:rFonts w:ascii="Times New Roman" w:hAnsi="Times New Roman" w:eastAsia="Times New Roman" w:cs="Times New Roman"/>
          <w:sz w:val="24"/>
          <w:szCs w:val="24"/>
          <w:spacing w:val="-9"/>
        </w:rPr>
        <w:t>500mm</w:t>
      </w:r>
      <w:r>
        <w:rPr>
          <w:rFonts w:ascii="SimSun" w:hAnsi="SimSun" w:eastAsia="SimSun" w:cs="SimSun"/>
          <w:sz w:val="24"/>
          <w:szCs w:val="24"/>
          <w:spacing w:val="-9"/>
        </w:rPr>
        <w:t>；池体钢筋保护层厚度：池壁为</w:t>
      </w:r>
      <w:r>
        <w:rPr>
          <w:rFonts w:ascii="Times New Roman" w:hAnsi="Times New Roman" w:eastAsia="Times New Roman" w:cs="Times New Roman"/>
          <w:sz w:val="24"/>
          <w:szCs w:val="24"/>
          <w:spacing w:val="-9"/>
        </w:rPr>
        <w:t>30mm</w:t>
      </w:r>
      <w:r>
        <w:rPr>
          <w:rFonts w:ascii="SimSun" w:hAnsi="SimSun" w:eastAsia="SimSun" w:cs="SimSun"/>
          <w:sz w:val="24"/>
          <w:szCs w:val="24"/>
          <w:spacing w:val="-9"/>
        </w:rPr>
        <w:t>，</w:t>
      </w:r>
      <w:r>
        <w:rPr>
          <w:rFonts w:ascii="SimSun" w:hAnsi="SimSun" w:eastAsia="SimSun" w:cs="SimSun"/>
          <w:sz w:val="24"/>
          <w:szCs w:val="24"/>
          <w:spacing w:val="-1"/>
        </w:rPr>
        <w:t>基础为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40mm</w:t>
      </w:r>
      <w:r>
        <w:rPr>
          <w:rFonts w:ascii="SimSun" w:hAnsi="SimSun" w:eastAsia="SimSun" w:cs="SimSun"/>
          <w:sz w:val="24"/>
          <w:szCs w:val="24"/>
          <w:spacing w:val="-1"/>
        </w:rPr>
        <w:t>；水池内表面抹防水砂浆</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20mm</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1"/>
        </w:rPr>
        <w:t>厚防渗效果相当于渗透系数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w:t>
      </w:r>
      <w:r>
        <w:rPr>
          <w:rFonts w:ascii="SimSun" w:hAnsi="SimSun" w:eastAsia="SimSun" w:cs="SimSun"/>
          <w:sz w:val="24"/>
          <w:szCs w:val="24"/>
          <w:spacing w:val="-2"/>
        </w:rPr>
        <w:t>×</w:t>
      </w:r>
      <w:r>
        <w:rPr>
          <w:rFonts w:ascii="Times New Roman" w:hAnsi="Times New Roman" w:eastAsia="Times New Roman" w:cs="Times New Roman"/>
          <w:sz w:val="24"/>
          <w:szCs w:val="24"/>
          <w:spacing w:val="-2"/>
        </w:rPr>
        <w:t>10</w:t>
      </w:r>
      <w:r>
        <w:rPr>
          <w:rFonts w:ascii="Times New Roman" w:hAnsi="Times New Roman" w:eastAsia="Times New Roman" w:cs="Times New Roman"/>
          <w:sz w:val="15"/>
          <w:szCs w:val="15"/>
          <w:spacing w:val="-2"/>
          <w:position w:val="8"/>
        </w:rPr>
        <w:t>-8</w:t>
      </w:r>
      <w:r>
        <w:rPr>
          <w:rFonts w:ascii="Times New Roman" w:hAnsi="Times New Roman" w:eastAsia="Times New Roman" w:cs="Times New Roman"/>
          <w:sz w:val="24"/>
          <w:szCs w:val="24"/>
          <w:spacing w:val="-2"/>
        </w:rPr>
        <w:t>cm/s</w:t>
      </w:r>
      <w:r>
        <w:rPr>
          <w:rFonts w:ascii="SimSun" w:hAnsi="SimSun" w:eastAsia="SimSun" w:cs="SimSun"/>
          <w:sz w:val="24"/>
          <w:szCs w:val="24"/>
          <w:spacing w:val="-4"/>
        </w:rPr>
        <w:t>和厚度</w:t>
      </w:r>
      <w:r>
        <w:rPr>
          <w:rFonts w:ascii="SimSun" w:hAnsi="SimSun" w:eastAsia="SimSun" w:cs="SimSun"/>
          <w:sz w:val="24"/>
          <w:szCs w:val="24"/>
          <w:spacing w:val="-28"/>
        </w:rPr>
        <w:t xml:space="preserve"> </w:t>
      </w:r>
      <w:r>
        <w:rPr>
          <w:rFonts w:ascii="Times New Roman" w:hAnsi="Times New Roman" w:eastAsia="Times New Roman" w:cs="Times New Roman"/>
          <w:sz w:val="24"/>
          <w:szCs w:val="24"/>
          <w:spacing w:val="-4"/>
        </w:rPr>
        <w:t>1.5m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的粘土层的防渗性能。</w:t>
      </w:r>
    </w:p>
    <w:p>
      <w:pPr>
        <w:ind w:left="9" w:right="85" w:firstLine="486"/>
        <w:spacing w:before="154" w:line="30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）危废间：防渗满足《危险废物贮存污染控制标准</w:t>
      </w:r>
      <w:r>
        <w:rPr>
          <w:rFonts w:ascii="SimSun" w:hAnsi="SimSun" w:eastAsia="SimSun" w:cs="SimSun"/>
          <w:sz w:val="24"/>
          <w:szCs w:val="24"/>
          <w:spacing w:val="1"/>
        </w:rPr>
        <w:t>》（</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18597</w:t>
      </w:r>
      <w:r>
        <w:rPr>
          <w:rFonts w:ascii="SimSun" w:hAnsi="SimSun" w:eastAsia="SimSun" w:cs="SimSun"/>
          <w:sz w:val="24"/>
          <w:szCs w:val="24"/>
          <w:spacing w:val="1"/>
        </w:rPr>
        <w:t>—</w:t>
      </w:r>
      <w:r>
        <w:rPr>
          <w:rFonts w:ascii="Times New Roman" w:hAnsi="Times New Roman" w:eastAsia="Times New Roman" w:cs="Times New Roman"/>
          <w:sz w:val="24"/>
          <w:szCs w:val="24"/>
          <w:spacing w:val="1"/>
        </w:rPr>
        <w:t>2023</w:t>
      </w:r>
      <w:r>
        <w:rPr>
          <w:rFonts w:ascii="SimSun" w:hAnsi="SimSun" w:eastAsia="SimSun" w:cs="SimSun"/>
          <w:sz w:val="24"/>
          <w:szCs w:val="24"/>
          <w:spacing w:val="10"/>
        </w:rPr>
        <w:t>），</w:t>
      </w:r>
      <w:r>
        <w:rPr>
          <w:rFonts w:ascii="SimSun" w:hAnsi="SimSun" w:eastAsia="SimSun" w:cs="SimSun"/>
          <w:sz w:val="24"/>
          <w:szCs w:val="24"/>
          <w:spacing w:val="1"/>
        </w:rPr>
        <w:t>采</w:t>
      </w:r>
      <w:r>
        <w:rPr>
          <w:rFonts w:ascii="SimSun" w:hAnsi="SimSun" w:eastAsia="SimSun" w:cs="SimSun"/>
          <w:sz w:val="24"/>
          <w:szCs w:val="24"/>
          <w:spacing w:val="-2"/>
        </w:rPr>
        <w:t>用黏土铺底，上铺铺金刚砂层，然后铺设两布一膜，再混凝土层进行硬化，最后涂环氧</w:t>
      </w:r>
      <w:r>
        <w:rPr>
          <w:rFonts w:ascii="SimSun" w:hAnsi="SimSun" w:eastAsia="SimSun" w:cs="SimSun"/>
          <w:sz w:val="24"/>
          <w:szCs w:val="24"/>
          <w:spacing w:val="-2"/>
        </w:rPr>
        <w:t>树脂防腐防渗。防渗系数</w:t>
      </w:r>
      <w:r>
        <w:rPr>
          <w:rFonts w:ascii="Times New Roman" w:hAnsi="Times New Roman" w:eastAsia="Times New Roman" w:cs="Times New Roman"/>
          <w:sz w:val="24"/>
          <w:szCs w:val="24"/>
          <w:spacing w:val="-2"/>
        </w:rPr>
        <w:t>≤1.0×10</w:t>
      </w:r>
      <w:r>
        <w:rPr>
          <w:rFonts w:ascii="Times New Roman" w:hAnsi="Times New Roman" w:eastAsia="Times New Roman" w:cs="Times New Roman"/>
          <w:sz w:val="15"/>
          <w:szCs w:val="15"/>
          <w:spacing w:val="-2"/>
          <w:position w:val="8"/>
        </w:rPr>
        <w:t>-10</w:t>
      </w:r>
      <w:r>
        <w:rPr>
          <w:rFonts w:ascii="Times New Roman" w:hAnsi="Times New Roman" w:eastAsia="Times New Roman" w:cs="Times New Roman"/>
          <w:sz w:val="24"/>
          <w:szCs w:val="24"/>
          <w:spacing w:val="-2"/>
        </w:rPr>
        <w:t>cm/s</w:t>
      </w:r>
      <w:r>
        <w:rPr>
          <w:rFonts w:ascii="SimSun" w:hAnsi="SimSun" w:eastAsia="SimSun" w:cs="SimSun"/>
          <w:sz w:val="24"/>
          <w:szCs w:val="24"/>
          <w:spacing w:val="-2"/>
        </w:rPr>
        <w:t>；危废库内设置导流</w:t>
      </w:r>
      <w:r>
        <w:rPr>
          <w:rFonts w:ascii="SimSun" w:hAnsi="SimSun" w:eastAsia="SimSun" w:cs="SimSun"/>
          <w:sz w:val="24"/>
          <w:szCs w:val="24"/>
          <w:spacing w:val="-3"/>
        </w:rPr>
        <w:t>槽和集液池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个，设置换气</w:t>
      </w:r>
      <w:r>
        <w:rPr>
          <w:rFonts w:ascii="SimSun" w:hAnsi="SimSun" w:eastAsia="SimSun" w:cs="SimSun"/>
          <w:sz w:val="24"/>
          <w:szCs w:val="24"/>
          <w:spacing w:val="-5"/>
        </w:rPr>
        <w:t>孔。</w:t>
      </w:r>
    </w:p>
    <w:p>
      <w:pPr>
        <w:ind w:left="15" w:right="85" w:firstLine="480"/>
        <w:spacing w:before="153" w:line="279"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4</w:t>
      </w:r>
      <w:r>
        <w:rPr>
          <w:rFonts w:ascii="SimSun" w:hAnsi="SimSun" w:eastAsia="SimSun" w:cs="SimSun"/>
          <w:sz w:val="24"/>
          <w:szCs w:val="24"/>
          <w:spacing w:val="-5"/>
        </w:rPr>
        <w:t>）加油站区域：企业已对加油区及储油区进行防渗处理，防渗层为</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5"/>
        </w:rPr>
        <w:t>1m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厚粘土层</w:t>
      </w:r>
      <w:r>
        <w:rPr>
          <w:rFonts w:ascii="SimSun" w:hAnsi="SimSun" w:eastAsia="SimSun" w:cs="SimSun"/>
          <w:sz w:val="24"/>
          <w:szCs w:val="24"/>
          <w:spacing w:val="-1"/>
        </w:rPr>
        <w:t>（渗透系数≤</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-7</w:t>
      </w:r>
      <w:r>
        <w:rPr>
          <w:rFonts w:ascii="Times New Roman" w:hAnsi="Times New Roman" w:eastAsia="Times New Roman" w:cs="Times New Roman"/>
          <w:sz w:val="24"/>
          <w:szCs w:val="24"/>
          <w:spacing w:val="-1"/>
        </w:rPr>
        <w:t>cm/s</w:t>
      </w:r>
      <w:r>
        <w:rPr>
          <w:rFonts w:ascii="SimSun" w:hAnsi="SimSun" w:eastAsia="SimSun" w:cs="SimSun"/>
          <w:sz w:val="24"/>
          <w:szCs w:val="24"/>
          <w:spacing w:val="7"/>
        </w:rPr>
        <w:t>），</w:t>
      </w:r>
      <w:r>
        <w:rPr>
          <w:rFonts w:ascii="SimSun" w:hAnsi="SimSun" w:eastAsia="SimSun" w:cs="SimSun"/>
          <w:sz w:val="24"/>
          <w:szCs w:val="24"/>
          <w:spacing w:val="-1"/>
        </w:rPr>
        <w:t>地面辅助有厚高密度聚乙烯。</w:t>
      </w:r>
    </w:p>
    <w:p>
      <w:pPr>
        <w:ind w:left="28" w:right="85" w:firstLine="467"/>
        <w:spacing w:before="152" w:line="280" w:lineRule="auto"/>
        <w:rPr>
          <w:rFonts w:ascii="SimSun" w:hAnsi="SimSun" w:eastAsia="SimSun" w:cs="SimSun"/>
          <w:sz w:val="24"/>
          <w:szCs w:val="24"/>
        </w:rPr>
      </w:pPr>
      <w:r>
        <w:rPr>
          <w:rFonts w:ascii="SimSun" w:hAnsi="SimSun" w:eastAsia="SimSun" w:cs="SimSun"/>
          <w:sz w:val="24"/>
          <w:szCs w:val="24"/>
          <w:spacing w:val="-5"/>
        </w:rPr>
        <w:t>（</w:t>
      </w:r>
      <w:r>
        <w:rPr>
          <w:rFonts w:ascii="Times New Roman" w:hAnsi="Times New Roman" w:eastAsia="Times New Roman" w:cs="Times New Roman"/>
          <w:sz w:val="24"/>
          <w:szCs w:val="24"/>
          <w:spacing w:val="-5"/>
        </w:rPr>
        <w:t>5</w:t>
      </w:r>
      <w:r>
        <w:rPr>
          <w:rFonts w:ascii="SimSun" w:hAnsi="SimSun" w:eastAsia="SimSun" w:cs="SimSun"/>
          <w:sz w:val="24"/>
          <w:szCs w:val="24"/>
          <w:spacing w:val="-5"/>
        </w:rPr>
        <w:t>）机械车间：车间地面已采取防渗措施，防渗层大于</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5"/>
        </w:rPr>
        <w:t>1m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厚粘土层（渗透系数≤</w:t>
      </w:r>
      <w:r>
        <w:rPr>
          <w:rFonts w:ascii="SimSun" w:hAnsi="SimSun" w:eastAsia="SimSun" w:cs="SimSun"/>
          <w:sz w:val="24"/>
          <w:szCs w:val="24"/>
        </w:rPr>
        <w:t xml:space="preserve"> </w:t>
      </w:r>
      <w:r>
        <w:rPr>
          <w:rFonts w:ascii="Times New Roman" w:hAnsi="Times New Roman" w:eastAsia="Times New Roman" w:cs="Times New Roman"/>
          <w:sz w:val="24"/>
          <w:szCs w:val="24"/>
          <w:spacing w:val="-15"/>
        </w:rPr>
        <w:t>10</w:t>
      </w:r>
      <w:r>
        <w:rPr>
          <w:rFonts w:ascii="Times New Roman" w:hAnsi="Times New Roman" w:eastAsia="Times New Roman" w:cs="Times New Roman"/>
          <w:sz w:val="15"/>
          <w:szCs w:val="15"/>
          <w:position w:val="8"/>
        </w:rPr>
        <w:t>-7</w:t>
      </w:r>
      <w:r>
        <w:rPr>
          <w:rFonts w:ascii="Times New Roman" w:hAnsi="Times New Roman" w:eastAsia="Times New Roman" w:cs="Times New Roman"/>
          <w:sz w:val="24"/>
          <w:szCs w:val="24"/>
        </w:rPr>
        <w:t>cm/s</w:t>
      </w:r>
      <w:r>
        <w:rPr>
          <w:rFonts w:ascii="SimSun" w:hAnsi="SimSun" w:eastAsia="SimSun" w:cs="SimSun"/>
          <w:sz w:val="24"/>
          <w:szCs w:val="24"/>
          <w:spacing w:val="5"/>
        </w:rPr>
        <w:t>），</w:t>
      </w:r>
      <w:r>
        <w:rPr>
          <w:rFonts w:ascii="SimSun" w:hAnsi="SimSun" w:eastAsia="SimSun" w:cs="SimSun"/>
          <w:sz w:val="24"/>
          <w:szCs w:val="24"/>
        </w:rPr>
        <w:t>可有效阻断污染物进入地下水环</w:t>
      </w:r>
      <w:r>
        <w:rPr>
          <w:rFonts w:ascii="SimSun" w:hAnsi="SimSun" w:eastAsia="SimSun" w:cs="SimSun"/>
          <w:sz w:val="24"/>
          <w:szCs w:val="24"/>
          <w:spacing w:val="-1"/>
        </w:rPr>
        <w:t>境的途径。</w:t>
      </w:r>
    </w:p>
    <w:p>
      <w:pPr>
        <w:ind w:left="12" w:right="85" w:firstLine="477"/>
        <w:spacing w:before="154" w:line="339" w:lineRule="auto"/>
        <w:rPr>
          <w:rFonts w:ascii="SimSun" w:hAnsi="SimSun" w:eastAsia="SimSun" w:cs="SimSun"/>
          <w:sz w:val="24"/>
          <w:szCs w:val="24"/>
        </w:rPr>
      </w:pPr>
      <w:r>
        <w:rPr>
          <w:rFonts w:ascii="SimSun" w:hAnsi="SimSun" w:eastAsia="SimSun" w:cs="SimSun"/>
          <w:sz w:val="24"/>
          <w:szCs w:val="24"/>
          <w:spacing w:val="-2"/>
        </w:rPr>
        <w:t>通过调查，项目基本落实了地下水污染防治措施，措施有效阻止了污染物对地下水</w:t>
      </w:r>
      <w:r>
        <w:rPr>
          <w:rFonts w:ascii="SimSun" w:hAnsi="SimSun" w:eastAsia="SimSun" w:cs="SimSun"/>
          <w:sz w:val="24"/>
          <w:szCs w:val="24"/>
          <w:spacing w:val="-3"/>
        </w:rPr>
        <w:t>水质的污染。</w:t>
      </w:r>
    </w:p>
    <w:p>
      <w:pPr>
        <w:ind w:left="8"/>
        <w:spacing w:before="1" w:line="220" w:lineRule="auto"/>
        <w:rPr>
          <w:rFonts w:ascii="SimHei" w:hAnsi="SimHei" w:eastAsia="SimHei" w:cs="SimHei"/>
          <w:sz w:val="24"/>
          <w:szCs w:val="24"/>
        </w:rPr>
      </w:pPr>
      <w:r>
        <w:rPr>
          <w:rFonts w:ascii="Times New Roman" w:hAnsi="Times New Roman" w:eastAsia="Times New Roman" w:cs="Times New Roman"/>
          <w:sz w:val="24"/>
          <w:szCs w:val="24"/>
          <w:b/>
          <w:bCs/>
          <w:spacing w:val="-2"/>
        </w:rPr>
        <w:t>5.4.5.5</w:t>
      </w:r>
      <w:r>
        <w:rPr>
          <w:rFonts w:ascii="SimHei" w:hAnsi="SimHei" w:eastAsia="SimHei" w:cs="SimHei"/>
          <w:sz w:val="24"/>
          <w:szCs w:val="24"/>
          <w:b/>
          <w:bCs/>
          <w:spacing w:val="-2"/>
        </w:rPr>
        <w:t>地面生产非正常工况对含水层水质的影响预测</w:t>
      </w:r>
    </w:p>
    <w:p>
      <w:pPr>
        <w:ind w:left="8" w:right="85" w:firstLine="481"/>
        <w:spacing w:before="153" w:line="340" w:lineRule="auto"/>
        <w:jc w:val="both"/>
        <w:rPr>
          <w:rFonts w:ascii="SimSun" w:hAnsi="SimSun" w:eastAsia="SimSun" w:cs="SimSun"/>
          <w:sz w:val="24"/>
          <w:szCs w:val="24"/>
        </w:rPr>
      </w:pPr>
      <w:r>
        <w:rPr>
          <w:rFonts w:ascii="SimSun" w:hAnsi="SimSun" w:eastAsia="SimSun" w:cs="SimSun"/>
          <w:sz w:val="24"/>
          <w:szCs w:val="24"/>
          <w:spacing w:val="-2"/>
        </w:rPr>
        <w:t>本项目对可能造成地下水水质污染的设施均采取了有效的防渗措施，此外根据现场</w:t>
      </w:r>
      <w:r>
        <w:rPr>
          <w:rFonts w:ascii="SimSun" w:hAnsi="SimSun" w:eastAsia="SimSun" w:cs="SimSun"/>
          <w:sz w:val="24"/>
          <w:szCs w:val="24"/>
          <w:spacing w:val="-2"/>
        </w:rPr>
        <w:t>地下水水质与土壤环境质量质量调查可知，地下水与土壤均未受到污染。本次评价不再</w:t>
      </w:r>
      <w:r>
        <w:rPr>
          <w:rFonts w:ascii="SimSun" w:hAnsi="SimSun" w:eastAsia="SimSun" w:cs="SimSun"/>
          <w:sz w:val="24"/>
          <w:szCs w:val="24"/>
        </w:rPr>
        <w:t>对非正常情况下生活污水处理站等情况对含水层</w:t>
      </w:r>
      <w:r>
        <w:rPr>
          <w:rFonts w:ascii="SimSun" w:hAnsi="SimSun" w:eastAsia="SimSun" w:cs="SimSun"/>
          <w:sz w:val="24"/>
          <w:szCs w:val="24"/>
          <w:spacing w:val="-1"/>
        </w:rPr>
        <w:t>水质的影响进行预测。</w:t>
      </w:r>
    </w:p>
    <w:p>
      <w:pPr>
        <w:spacing w:line="340" w:lineRule="auto"/>
        <w:sectPr>
          <w:headerReference w:type="default" r:id="rId6"/>
          <w:footerReference w:type="default" r:id="rId446"/>
          <w:pgSz w:w="11906" w:h="16838"/>
          <w:pgMar w:top="1170" w:right="1332" w:bottom="1080" w:left="1416" w:header="837" w:footer="918" w:gutter="0"/>
        </w:sectPr>
        <w:rPr>
          <w:rFonts w:ascii="SimSun" w:hAnsi="SimSun" w:eastAsia="SimSun" w:cs="SimSun"/>
          <w:sz w:val="24"/>
          <w:szCs w:val="24"/>
        </w:rPr>
      </w:pPr>
    </w:p>
    <w:p>
      <w:pPr>
        <w:pStyle w:val="BodyText"/>
        <w:spacing w:line="369" w:lineRule="auto"/>
        <w:rPr/>
      </w:pPr>
      <w:r/>
    </w:p>
    <w:p>
      <w:pPr>
        <w:ind w:left="10"/>
        <w:spacing w:before="98" w:line="222" w:lineRule="auto"/>
        <w:outlineLvl w:val="1"/>
        <w:rPr>
          <w:rFonts w:ascii="SimHei" w:hAnsi="SimHei" w:eastAsia="SimHei" w:cs="SimHei"/>
          <w:sz w:val="30"/>
          <w:szCs w:val="30"/>
        </w:rPr>
      </w:pPr>
      <w:bookmarkStart w:name="bookmark33" w:id="58"/>
      <w:bookmarkEnd w:id="58"/>
      <w:r>
        <w:rPr>
          <w:rFonts w:ascii="Times New Roman" w:hAnsi="Times New Roman" w:eastAsia="Times New Roman" w:cs="Times New Roman"/>
          <w:sz w:val="30"/>
          <w:szCs w:val="30"/>
          <w:b/>
          <w:bCs/>
          <w:spacing w:val="-3"/>
        </w:rPr>
        <w:t>5.5  </w:t>
      </w:r>
      <w:r>
        <w:rPr>
          <w:rFonts w:ascii="SimHei" w:hAnsi="SimHei" w:eastAsia="SimHei" w:cs="SimHei"/>
          <w:sz w:val="30"/>
          <w:szCs w:val="30"/>
          <w:b/>
          <w:bCs/>
          <w:spacing w:val="-3"/>
        </w:rPr>
        <w:t>声环境影响分析与评价</w:t>
      </w:r>
    </w:p>
    <w:p>
      <w:pPr>
        <w:ind w:left="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5.5.1 </w:t>
      </w:r>
      <w:r>
        <w:rPr>
          <w:rFonts w:ascii="SimHei" w:hAnsi="SimHei" w:eastAsia="SimHei" w:cs="SimHei"/>
          <w:sz w:val="28"/>
          <w:szCs w:val="28"/>
          <w:b/>
          <w:bCs/>
          <w:spacing w:val="-2"/>
        </w:rPr>
        <w:t>建设期声环境影响评价</w:t>
      </w:r>
    </w:p>
    <w:p>
      <w:pPr>
        <w:ind w:left="11" w:right="5" w:firstLine="479"/>
        <w:spacing w:before="56" w:line="360" w:lineRule="auto"/>
        <w:rPr>
          <w:rFonts w:ascii="SimSun" w:hAnsi="SimSun" w:eastAsia="SimSun" w:cs="SimSun"/>
          <w:sz w:val="24"/>
          <w:szCs w:val="24"/>
        </w:rPr>
      </w:pPr>
      <w:r>
        <w:rPr>
          <w:rFonts w:ascii="SimSun" w:hAnsi="SimSun" w:eastAsia="SimSun" w:cs="SimSun"/>
          <w:sz w:val="24"/>
          <w:szCs w:val="24"/>
          <w:spacing w:val="-2"/>
        </w:rPr>
        <w:t>本项目主要工程内容为露天区开采范围调整，工业场地依托现有露天区工业场地，</w:t>
      </w:r>
      <w:r>
        <w:rPr>
          <w:rFonts w:ascii="SimSun" w:hAnsi="SimSun" w:eastAsia="SimSun" w:cs="SimSun"/>
          <w:sz w:val="24"/>
          <w:szCs w:val="24"/>
        </w:rPr>
        <w:t>无新增占地，无施工期工程。本次主要针对运</w:t>
      </w:r>
      <w:r>
        <w:rPr>
          <w:rFonts w:ascii="SimSun" w:hAnsi="SimSun" w:eastAsia="SimSun" w:cs="SimSun"/>
          <w:sz w:val="24"/>
          <w:szCs w:val="24"/>
          <w:spacing w:val="-1"/>
        </w:rPr>
        <w:t>营期噪声环境影响进行评价。</w:t>
      </w:r>
    </w:p>
    <w:p>
      <w:pPr>
        <w:ind w:left="9"/>
        <w:spacing w:before="203"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5.5.2 </w:t>
      </w:r>
      <w:r>
        <w:rPr>
          <w:rFonts w:ascii="SimHei" w:hAnsi="SimHei" w:eastAsia="SimHei" w:cs="SimHei"/>
          <w:sz w:val="28"/>
          <w:szCs w:val="28"/>
          <w:b/>
          <w:bCs/>
          <w:spacing w:val="-2"/>
        </w:rPr>
        <w:t>运营期声环境影响评价</w:t>
      </w:r>
    </w:p>
    <w:p>
      <w:pPr>
        <w:ind w:left="8"/>
        <w:spacing w:before="202"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5.5.2.1 </w:t>
      </w:r>
      <w:r>
        <w:rPr>
          <w:rFonts w:ascii="SimHei" w:hAnsi="SimHei" w:eastAsia="SimHei" w:cs="SimHei"/>
          <w:sz w:val="24"/>
          <w:szCs w:val="24"/>
          <w:b/>
          <w:bCs/>
          <w:spacing w:val="-2"/>
        </w:rPr>
        <w:t>噪声源概况及源强分析</w:t>
      </w:r>
    </w:p>
    <w:p>
      <w:pPr>
        <w:ind w:left="10" w:firstLine="483"/>
        <w:spacing w:before="160" w:line="338" w:lineRule="auto"/>
        <w:jc w:val="both"/>
        <w:rPr>
          <w:rFonts w:ascii="SimSun" w:hAnsi="SimSun" w:eastAsia="SimSun" w:cs="SimSun"/>
          <w:sz w:val="24"/>
          <w:szCs w:val="24"/>
        </w:rPr>
      </w:pPr>
      <w:r>
        <w:rPr>
          <w:rFonts w:ascii="SimSun" w:hAnsi="SimSun" w:eastAsia="SimSun" w:cs="SimSun"/>
          <w:sz w:val="24"/>
          <w:szCs w:val="24"/>
          <w:spacing w:val="-3"/>
        </w:rPr>
        <w:t>声环境质量现状表明，各厂界各监测点声级值昼间在</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3"/>
        </w:rPr>
        <w:t>46.5~49.0dB</w:t>
      </w:r>
      <w:r>
        <w:rPr>
          <w:rFonts w:ascii="SimSun" w:hAnsi="SimSun" w:eastAsia="SimSun" w:cs="SimSun"/>
          <w:sz w:val="24"/>
          <w:szCs w:val="24"/>
          <w:spacing w:val="-3"/>
        </w:rPr>
        <w:t>（</w:t>
      </w:r>
      <w:r>
        <w:rPr>
          <w:rFonts w:ascii="Times New Roman" w:hAnsi="Times New Roman" w:eastAsia="Times New Roman" w:cs="Times New Roman"/>
          <w:sz w:val="24"/>
          <w:szCs w:val="24"/>
          <w:spacing w:val="-3"/>
        </w:rPr>
        <w:t>A</w:t>
      </w:r>
      <w:r>
        <w:rPr>
          <w:rFonts w:ascii="SimSun" w:hAnsi="SimSun" w:eastAsia="SimSun" w:cs="SimSun"/>
          <w:sz w:val="24"/>
          <w:szCs w:val="24"/>
          <w:spacing w:val="-3"/>
        </w:rPr>
        <w:t>）之间，夜间</w:t>
      </w:r>
      <w:r>
        <w:rPr>
          <w:rFonts w:ascii="SimSun" w:hAnsi="SimSun" w:eastAsia="SimSun" w:cs="SimSun"/>
          <w:sz w:val="24"/>
          <w:szCs w:val="24"/>
        </w:rPr>
        <w:t>声级值在</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39.5~44.0dB(A)</w:t>
      </w:r>
      <w:r>
        <w:rPr>
          <w:rFonts w:ascii="SimSun" w:hAnsi="SimSun" w:eastAsia="SimSun" w:cs="SimSun"/>
          <w:sz w:val="24"/>
          <w:szCs w:val="24"/>
        </w:rPr>
        <w:t>之间，满足《声环境质量标</w:t>
      </w:r>
      <w:r>
        <w:rPr>
          <w:rFonts w:ascii="SimSun" w:hAnsi="SimSun" w:eastAsia="SimSun" w:cs="SimSun"/>
          <w:sz w:val="24"/>
          <w:szCs w:val="24"/>
          <w:spacing w:val="-1"/>
        </w:rPr>
        <w:t>准》（</w:t>
      </w:r>
      <w:r>
        <w:rPr>
          <w:rFonts w:ascii="Times New Roman" w:hAnsi="Times New Roman" w:eastAsia="Times New Roman" w:cs="Times New Roman"/>
          <w:sz w:val="24"/>
          <w:szCs w:val="24"/>
          <w:spacing w:val="-1"/>
        </w:rPr>
        <w:t>GB3096-2008</w:t>
      </w:r>
      <w:r>
        <w:rPr>
          <w:rFonts w:ascii="SimSun" w:hAnsi="SimSun" w:eastAsia="SimSun" w:cs="SimSun"/>
          <w:sz w:val="24"/>
          <w:szCs w:val="24"/>
          <w:spacing w:val="-1"/>
        </w:rPr>
        <w:t>）</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类区标准</w:t>
      </w:r>
      <w:r>
        <w:rPr>
          <w:rFonts w:ascii="SimSun" w:hAnsi="SimSun" w:eastAsia="SimSun" w:cs="SimSun"/>
          <w:sz w:val="24"/>
          <w:szCs w:val="24"/>
          <w:spacing w:val="-2"/>
        </w:rPr>
        <w:t>要求，区域声环境质量较好。根据工程分析，运营期主要主要是采掘场范围调整引起噪</w:t>
      </w:r>
      <w:r>
        <w:rPr>
          <w:rFonts w:ascii="SimSun" w:hAnsi="SimSun" w:eastAsia="SimSun" w:cs="SimSun"/>
          <w:sz w:val="24"/>
          <w:szCs w:val="24"/>
          <w:spacing w:val="-2"/>
        </w:rPr>
        <w:t>声影响范围的变化。</w:t>
      </w:r>
    </w:p>
    <w:p>
      <w:pPr>
        <w:ind w:left="8"/>
        <w:spacing w:before="35"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5.5.2.2  </w:t>
      </w:r>
      <w:r>
        <w:rPr>
          <w:rFonts w:ascii="SimHei" w:hAnsi="SimHei" w:eastAsia="SimHei" w:cs="SimHei"/>
          <w:sz w:val="24"/>
          <w:szCs w:val="24"/>
          <w:b/>
          <w:bCs/>
          <w:spacing w:val="-2"/>
        </w:rPr>
        <w:t>噪声影响预测方法及内容</w:t>
      </w:r>
    </w:p>
    <w:p>
      <w:pPr>
        <w:ind w:left="15"/>
        <w:spacing w:before="162" w:line="219" w:lineRule="auto"/>
        <w:rPr>
          <w:rFonts w:ascii="SimSun" w:hAnsi="SimSun" w:eastAsia="SimSun" w:cs="SimSun"/>
          <w:sz w:val="24"/>
          <w:szCs w:val="24"/>
        </w:rPr>
      </w:pPr>
      <w:r>
        <w:rPr>
          <w:rFonts w:ascii="SimSun" w:hAnsi="SimSun" w:eastAsia="SimSun" w:cs="SimSun"/>
          <w:sz w:val="24"/>
          <w:szCs w:val="24"/>
          <w:spacing w:val="-3"/>
        </w:rPr>
        <w:t>（1）预测模式</w:t>
      </w:r>
    </w:p>
    <w:p>
      <w:pPr>
        <w:ind w:left="11" w:firstLine="479"/>
        <w:spacing w:before="153" w:line="339" w:lineRule="auto"/>
        <w:rPr>
          <w:rFonts w:ascii="SimSun" w:hAnsi="SimSun" w:eastAsia="SimSun" w:cs="SimSun"/>
          <w:sz w:val="24"/>
          <w:szCs w:val="24"/>
        </w:rPr>
      </w:pPr>
      <w:r>
        <w:rPr>
          <w:rFonts w:ascii="SimSun" w:hAnsi="SimSun" w:eastAsia="SimSun" w:cs="SimSun"/>
          <w:sz w:val="24"/>
          <w:szCs w:val="24"/>
          <w:spacing w:val="-2"/>
        </w:rPr>
        <w:t>本次评价预测模式采用《环境影响评价技术导</w:t>
      </w:r>
      <w:r>
        <w:rPr>
          <w:rFonts w:ascii="SimSun" w:hAnsi="SimSun" w:eastAsia="SimSun" w:cs="SimSun"/>
          <w:sz w:val="24"/>
          <w:szCs w:val="24"/>
          <w:spacing w:val="-3"/>
        </w:rPr>
        <w:t>则 声环境》（</w:t>
      </w:r>
      <w:r>
        <w:rPr>
          <w:rFonts w:ascii="Times New Roman" w:hAnsi="Times New Roman" w:eastAsia="Times New Roman" w:cs="Times New Roman"/>
          <w:sz w:val="24"/>
          <w:szCs w:val="24"/>
          <w:spacing w:val="-3"/>
        </w:rPr>
        <w:t>HJ2.4-2021</w:t>
      </w:r>
      <w:r>
        <w:rPr>
          <w:rFonts w:ascii="SimSun" w:hAnsi="SimSun" w:eastAsia="SimSun" w:cs="SimSun"/>
          <w:sz w:val="24"/>
          <w:szCs w:val="24"/>
          <w:spacing w:val="-3"/>
        </w:rPr>
        <w:t>）中的噪声</w:t>
      </w:r>
      <w:r>
        <w:rPr>
          <w:rFonts w:ascii="SimSun" w:hAnsi="SimSun" w:eastAsia="SimSun" w:cs="SimSun"/>
          <w:sz w:val="24"/>
          <w:szCs w:val="24"/>
          <w:spacing w:val="-2"/>
        </w:rPr>
        <w:t>预测计算模式。</w:t>
      </w:r>
    </w:p>
    <w:p>
      <w:pPr>
        <w:ind w:left="10" w:right="12" w:firstLine="497"/>
        <w:spacing w:before="1" w:line="321" w:lineRule="auto"/>
        <w:rPr>
          <w:rFonts w:ascii="SimSun" w:hAnsi="SimSun" w:eastAsia="SimSun" w:cs="SimSun"/>
          <w:sz w:val="24"/>
          <w:szCs w:val="24"/>
        </w:rPr>
      </w:pPr>
      <w:r>
        <w:rPr>
          <w:rFonts w:ascii="Times New Roman" w:hAnsi="Times New Roman" w:eastAsia="Times New Roman" w:cs="Times New Roman"/>
          <w:sz w:val="24"/>
          <w:szCs w:val="24"/>
          <w:spacing w:val="1"/>
        </w:rPr>
        <w:t>1</w:t>
      </w:r>
      <w:r>
        <w:rPr>
          <w:rFonts w:ascii="SimSun" w:hAnsi="SimSun" w:eastAsia="SimSun" w:cs="SimSun"/>
          <w:sz w:val="24"/>
          <w:szCs w:val="24"/>
          <w:spacing w:val="1"/>
        </w:rPr>
        <w:t>）在环境影响评价中，应根据声源声功率级或参考位置处的声压级</w:t>
      </w:r>
      <w:r>
        <w:rPr>
          <w:rFonts w:ascii="SimSun" w:hAnsi="SimSun" w:eastAsia="SimSun" w:cs="SimSun"/>
          <w:sz w:val="24"/>
          <w:szCs w:val="24"/>
        </w:rPr>
        <w:t>、户外声传播</w:t>
      </w:r>
      <w:r>
        <w:rPr>
          <w:rFonts w:ascii="SimSun" w:hAnsi="SimSun" w:eastAsia="SimSun" w:cs="SimSun"/>
          <w:sz w:val="24"/>
          <w:szCs w:val="24"/>
          <w:spacing w:val="-1"/>
        </w:rPr>
        <w:t>衰减，计算预测点的声级，计算公式如下：</w:t>
      </w:r>
    </w:p>
    <w:p>
      <w:pPr>
        <w:ind w:left="2256"/>
        <w:spacing w:line="323" w:lineRule="exact"/>
        <w:rPr>
          <w:rFonts w:ascii="SimSun" w:hAnsi="SimSun" w:eastAsia="SimSun" w:cs="SimSun"/>
          <w:sz w:val="24"/>
          <w:szCs w:val="24"/>
        </w:rPr>
      </w:pPr>
      <w:r>
        <w:rPr>
          <w:rFonts w:ascii="Times New Roman" w:hAnsi="Times New Roman" w:eastAsia="Times New Roman" w:cs="Times New Roman"/>
          <w:sz w:val="24"/>
          <w:szCs w:val="24"/>
          <w:position w:val="3"/>
        </w:rPr>
        <w:t>L(r)=Lw+Dc-(Adiv+Aatm+Ag+Abar+A</w:t>
      </w:r>
      <w:r>
        <w:rPr>
          <w:rFonts w:ascii="Times New Roman" w:hAnsi="Times New Roman" w:eastAsia="Times New Roman" w:cs="Times New Roman"/>
          <w:sz w:val="24"/>
          <w:szCs w:val="24"/>
          <w:spacing w:val="-1"/>
          <w:position w:val="3"/>
        </w:rPr>
        <w:t>misc)</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1</w:t>
      </w:r>
      <w:r>
        <w:rPr>
          <w:rFonts w:ascii="SimSun" w:hAnsi="SimSun" w:eastAsia="SimSun" w:cs="SimSun"/>
          <w:sz w:val="24"/>
          <w:szCs w:val="24"/>
          <w:spacing w:val="-1"/>
          <w:position w:val="3"/>
        </w:rPr>
        <w:t>）</w:t>
      </w:r>
    </w:p>
    <w:p>
      <w:pPr>
        <w:ind w:left="2042"/>
        <w:spacing w:before="116" w:line="323" w:lineRule="exact"/>
        <w:rPr>
          <w:rFonts w:ascii="SimSun" w:hAnsi="SimSun" w:eastAsia="SimSun" w:cs="SimSun"/>
          <w:sz w:val="24"/>
          <w:szCs w:val="24"/>
        </w:rPr>
      </w:pPr>
      <w:r>
        <w:rPr>
          <w:rFonts w:ascii="Times New Roman" w:hAnsi="Times New Roman" w:eastAsia="Times New Roman" w:cs="Times New Roman"/>
          <w:sz w:val="24"/>
          <w:szCs w:val="24"/>
          <w:position w:val="3"/>
        </w:rPr>
        <w:t>Lp(r)=Lp(r0)+Dc-(Adiv+Aatm+Ag+Abar+</w:t>
      </w:r>
      <w:r>
        <w:rPr>
          <w:rFonts w:ascii="Times New Roman" w:hAnsi="Times New Roman" w:eastAsia="Times New Roman" w:cs="Times New Roman"/>
          <w:sz w:val="24"/>
          <w:szCs w:val="24"/>
          <w:spacing w:val="-1"/>
          <w:position w:val="3"/>
        </w:rPr>
        <w:t>Amisc)</w:t>
      </w:r>
      <w:r>
        <w:rPr>
          <w:rFonts w:ascii="SimSun" w:hAnsi="SimSun" w:eastAsia="SimSun" w:cs="SimSun"/>
          <w:sz w:val="24"/>
          <w:szCs w:val="24"/>
          <w:spacing w:val="-1"/>
          <w:position w:val="3"/>
        </w:rPr>
        <w:t>（</w:t>
      </w:r>
      <w:r>
        <w:rPr>
          <w:rFonts w:ascii="Times New Roman" w:hAnsi="Times New Roman" w:eastAsia="Times New Roman" w:cs="Times New Roman"/>
          <w:sz w:val="24"/>
          <w:szCs w:val="24"/>
          <w:spacing w:val="-1"/>
          <w:position w:val="3"/>
        </w:rPr>
        <w:t>2</w:t>
      </w:r>
      <w:r>
        <w:rPr>
          <w:rFonts w:ascii="SimSun" w:hAnsi="SimSun" w:eastAsia="SimSun" w:cs="SimSun"/>
          <w:sz w:val="24"/>
          <w:szCs w:val="24"/>
          <w:spacing w:val="-1"/>
          <w:position w:val="3"/>
        </w:rPr>
        <w:t>）</w:t>
      </w:r>
    </w:p>
    <w:p>
      <w:pPr>
        <w:ind w:left="494"/>
        <w:spacing w:before="162" w:line="21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L(r)  </w:t>
      </w:r>
      <w:r>
        <w:rPr>
          <w:rFonts w:ascii="SimSun" w:hAnsi="SimSun" w:eastAsia="SimSun" w:cs="SimSun"/>
          <w:sz w:val="24"/>
          <w:szCs w:val="24"/>
          <w:spacing w:val="-1"/>
        </w:rPr>
        <w:t>——预测点处声压级，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4"/>
        <w:spacing w:before="166" w:line="212" w:lineRule="auto"/>
        <w:rPr>
          <w:rFonts w:ascii="SimSun" w:hAnsi="SimSun" w:eastAsia="SimSun" w:cs="SimSun"/>
          <w:sz w:val="24"/>
          <w:szCs w:val="24"/>
        </w:rPr>
      </w:pPr>
      <w:r>
        <w:rPr>
          <w:rFonts w:ascii="Times New Roman" w:hAnsi="Times New Roman" w:eastAsia="Times New Roman" w:cs="Times New Roman"/>
          <w:sz w:val="24"/>
          <w:szCs w:val="24"/>
          <w:spacing w:val="-1"/>
        </w:rPr>
        <w:t>Lp(r)  </w:t>
      </w:r>
      <w:r>
        <w:rPr>
          <w:rFonts w:ascii="SimSun" w:hAnsi="SimSun" w:eastAsia="SimSun" w:cs="SimSun"/>
          <w:sz w:val="24"/>
          <w:szCs w:val="24"/>
          <w:spacing w:val="-1"/>
        </w:rPr>
        <w:t>——预测点处声压级，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4"/>
        <w:spacing w:before="166" w:line="210" w:lineRule="auto"/>
        <w:rPr>
          <w:rFonts w:ascii="SimSun" w:hAnsi="SimSun" w:eastAsia="SimSun" w:cs="SimSun"/>
          <w:sz w:val="24"/>
          <w:szCs w:val="24"/>
        </w:rPr>
      </w:pPr>
      <w:r>
        <w:rPr>
          <w:rFonts w:ascii="Times New Roman" w:hAnsi="Times New Roman" w:eastAsia="Times New Roman" w:cs="Times New Roman"/>
          <w:sz w:val="24"/>
          <w:szCs w:val="24"/>
        </w:rPr>
        <w:t>Lp(r)  </w:t>
      </w:r>
      <w:r>
        <w:rPr>
          <w:rFonts w:ascii="SimSun" w:hAnsi="SimSun" w:eastAsia="SimSun" w:cs="SimSun"/>
          <w:sz w:val="24"/>
          <w:szCs w:val="24"/>
        </w:rPr>
        <w:t>——参考位置</w:t>
      </w:r>
      <w:r>
        <w:rPr>
          <w:rFonts w:ascii="SimSun" w:hAnsi="SimSun" w:eastAsia="SimSun" w:cs="SimSun"/>
          <w:sz w:val="24"/>
          <w:szCs w:val="24"/>
          <w:spacing w:val="-59"/>
        </w:rPr>
        <w:t xml:space="preserve"> </w:t>
      </w:r>
      <w:r>
        <w:rPr>
          <w:rFonts w:ascii="Times New Roman" w:hAnsi="Times New Roman" w:eastAsia="Times New Roman" w:cs="Times New Roman"/>
          <w:sz w:val="24"/>
          <w:szCs w:val="24"/>
        </w:rPr>
        <w:t>r0 </w:t>
      </w:r>
      <w:r>
        <w:rPr>
          <w:rFonts w:ascii="SimSun" w:hAnsi="SimSun" w:eastAsia="SimSun" w:cs="SimSun"/>
          <w:sz w:val="24"/>
          <w:szCs w:val="24"/>
        </w:rPr>
        <w:t>处的声</w:t>
      </w:r>
      <w:r>
        <w:rPr>
          <w:rFonts w:ascii="SimSun" w:hAnsi="SimSun" w:eastAsia="SimSun" w:cs="SimSun"/>
          <w:sz w:val="24"/>
          <w:szCs w:val="24"/>
          <w:spacing w:val="-1"/>
        </w:rPr>
        <w:t>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4"/>
        <w:spacing w:before="167" w:line="219" w:lineRule="auto"/>
        <w:rPr>
          <w:rFonts w:ascii="SimSun" w:hAnsi="SimSun" w:eastAsia="SimSun" w:cs="SimSun"/>
          <w:sz w:val="24"/>
          <w:szCs w:val="24"/>
        </w:rPr>
      </w:pPr>
      <w:r>
        <w:rPr>
          <w:rFonts w:ascii="Times New Roman" w:hAnsi="Times New Roman" w:eastAsia="Times New Roman" w:cs="Times New Roman"/>
          <w:sz w:val="24"/>
          <w:szCs w:val="24"/>
          <w:spacing w:val="-1"/>
        </w:rPr>
        <w:t>Lw</w:t>
      </w:r>
      <w:r>
        <w:rPr>
          <w:rFonts w:ascii="SimSun" w:hAnsi="SimSun" w:eastAsia="SimSun" w:cs="SimSun"/>
          <w:sz w:val="24"/>
          <w:szCs w:val="24"/>
          <w:spacing w:val="-1"/>
        </w:rPr>
        <w:t>——由点声源产生的声功率级（</w:t>
      </w:r>
      <w:r>
        <w:rPr>
          <w:rFonts w:ascii="Times New Roman" w:hAnsi="Times New Roman" w:eastAsia="Times New Roman" w:cs="Times New Roman"/>
          <w:sz w:val="24"/>
          <w:szCs w:val="24"/>
          <w:spacing w:val="-1"/>
        </w:rPr>
        <w:t>A </w:t>
      </w:r>
      <w:r>
        <w:rPr>
          <w:rFonts w:ascii="SimSun" w:hAnsi="SimSun" w:eastAsia="SimSun" w:cs="SimSun"/>
          <w:sz w:val="24"/>
          <w:szCs w:val="24"/>
          <w:spacing w:val="-1"/>
        </w:rPr>
        <w:t>计权或倍频带</w:t>
      </w:r>
      <w:r>
        <w:rPr>
          <w:rFonts w:ascii="SimSun" w:hAnsi="SimSun" w:eastAsia="SimSun" w:cs="SimSun"/>
          <w:sz w:val="24"/>
          <w:szCs w:val="24"/>
          <w:spacing w:val="9"/>
        </w:rPr>
        <w:t>），</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489" w:firstLine="714"/>
        <w:spacing w:before="153" w:line="339" w:lineRule="auto"/>
        <w:rPr>
          <w:rFonts w:ascii="SimSun" w:hAnsi="SimSun" w:eastAsia="SimSun" w:cs="SimSun"/>
          <w:sz w:val="24"/>
          <w:szCs w:val="24"/>
        </w:rPr>
      </w:pPr>
      <w:r>
        <w:rPr>
          <w:rFonts w:ascii="Times New Roman" w:hAnsi="Times New Roman" w:eastAsia="Times New Roman" w:cs="Times New Roman"/>
          <w:sz w:val="24"/>
          <w:szCs w:val="24"/>
          <w:spacing w:val="-3"/>
        </w:rPr>
        <w:t>Dc</w:t>
      </w:r>
      <w:r>
        <w:rPr>
          <w:rFonts w:ascii="SimSun" w:hAnsi="SimSun" w:eastAsia="SimSun" w:cs="SimSun"/>
          <w:sz w:val="24"/>
          <w:szCs w:val="24"/>
          <w:spacing w:val="-3"/>
        </w:rPr>
        <w:t>——指向性校正，它描述点声源的等效连续声压级与产生声功率级</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3"/>
        </w:rPr>
        <w:t>Lw</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的</w:t>
      </w:r>
      <w:r>
        <w:rPr>
          <w:rFonts w:ascii="SimSun" w:hAnsi="SimSun" w:eastAsia="SimSun" w:cs="SimSun"/>
          <w:sz w:val="24"/>
          <w:szCs w:val="24"/>
          <w:spacing w:val="-1"/>
        </w:rPr>
        <w:t>全向点声源在规定方向的声级的偏差程度，</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1"/>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1"/>
        </w:rPr>
        <w:t>Adiv</w:t>
      </w:r>
      <w:r>
        <w:rPr>
          <w:rFonts w:ascii="SimSun" w:hAnsi="SimSun" w:eastAsia="SimSun" w:cs="SimSun"/>
          <w:sz w:val="24"/>
          <w:szCs w:val="24"/>
          <w:spacing w:val="-1"/>
        </w:rPr>
        <w:t>——几何发散引起的衰减，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1"/>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Aatm</w:t>
      </w:r>
      <w:r>
        <w:rPr>
          <w:rFonts w:ascii="SimSun" w:hAnsi="SimSun" w:eastAsia="SimSun" w:cs="SimSun"/>
          <w:sz w:val="24"/>
          <w:szCs w:val="24"/>
          <w:spacing w:val="-1"/>
        </w:rPr>
        <w:t>——大气吸收引起的衰减，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1"/>
        <w:spacing w:before="157" w:line="210" w:lineRule="auto"/>
        <w:rPr>
          <w:rFonts w:ascii="SimSun" w:hAnsi="SimSun" w:eastAsia="SimSun" w:cs="SimSun"/>
          <w:sz w:val="24"/>
          <w:szCs w:val="24"/>
        </w:rPr>
      </w:pPr>
      <w:r>
        <w:rPr>
          <w:rFonts w:ascii="Times New Roman" w:hAnsi="Times New Roman" w:eastAsia="Times New Roman" w:cs="Times New Roman"/>
          <w:sz w:val="24"/>
          <w:szCs w:val="24"/>
          <w:spacing w:val="-1"/>
        </w:rPr>
        <w:t>Agr</w:t>
      </w:r>
      <w:r>
        <w:rPr>
          <w:rFonts w:ascii="SimSun" w:hAnsi="SimSun" w:eastAsia="SimSun" w:cs="SimSun"/>
          <w:sz w:val="24"/>
          <w:szCs w:val="24"/>
          <w:spacing w:val="-1"/>
        </w:rPr>
        <w:t>——地面效应吸收引起的衰减，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201"/>
        <w:spacing w:before="167" w:line="219" w:lineRule="auto"/>
        <w:rPr>
          <w:rFonts w:ascii="SimSun" w:hAnsi="SimSun" w:eastAsia="SimSun" w:cs="SimSun"/>
          <w:sz w:val="24"/>
          <w:szCs w:val="24"/>
        </w:rPr>
      </w:pPr>
      <w:r>
        <w:rPr>
          <w:rFonts w:ascii="Times New Roman" w:hAnsi="Times New Roman" w:eastAsia="Times New Roman" w:cs="Times New Roman"/>
          <w:sz w:val="24"/>
          <w:szCs w:val="24"/>
        </w:rPr>
        <w:t>Abar</w:t>
      </w:r>
      <w:r>
        <w:rPr>
          <w:rFonts w:ascii="SimSun" w:hAnsi="SimSun" w:eastAsia="SimSun" w:cs="SimSun"/>
          <w:sz w:val="24"/>
          <w:szCs w:val="24"/>
        </w:rPr>
        <w:t>——声屏障引起的衰减，</w:t>
      </w:r>
      <w:r>
        <w:rPr>
          <w:rFonts w:ascii="Times New Roman" w:hAnsi="Times New Roman" w:eastAsia="Times New Roman" w:cs="Times New Roman"/>
          <w:sz w:val="24"/>
          <w:szCs w:val="24"/>
        </w:rPr>
        <w:t>dB</w:t>
      </w:r>
      <w:r>
        <w:rPr>
          <w:rFonts w:ascii="SimSun" w:hAnsi="SimSun" w:eastAsia="SimSun" w:cs="SimSun"/>
          <w:sz w:val="24"/>
          <w:szCs w:val="24"/>
        </w:rPr>
        <w:t>；</w:t>
      </w:r>
      <w:r>
        <w:rPr>
          <w:rFonts w:ascii="Times New Roman" w:hAnsi="Times New Roman" w:eastAsia="Times New Roman" w:cs="Times New Roman"/>
          <w:sz w:val="24"/>
          <w:szCs w:val="24"/>
        </w:rPr>
        <w:t>Amis </w:t>
      </w:r>
      <w:r>
        <w:rPr>
          <w:rFonts w:ascii="SimSun" w:hAnsi="SimSun" w:eastAsia="SimSun" w:cs="SimSun"/>
          <w:sz w:val="24"/>
          <w:szCs w:val="24"/>
        </w:rPr>
        <w:t>面效应引起的衰减，</w:t>
      </w:r>
      <w:r>
        <w:rPr>
          <w:rFonts w:ascii="Times New Roman" w:hAnsi="Times New Roman" w:eastAsia="Times New Roman" w:cs="Times New Roman"/>
          <w:sz w:val="24"/>
          <w:szCs w:val="24"/>
        </w:rPr>
        <w:t>d</w:t>
      </w:r>
      <w:r>
        <w:rPr>
          <w:rFonts w:ascii="Times New Roman" w:hAnsi="Times New Roman" w:eastAsia="Times New Roman" w:cs="Times New Roman"/>
          <w:sz w:val="24"/>
          <w:szCs w:val="24"/>
          <w:spacing w:val="-1"/>
        </w:rPr>
        <w:t>B</w:t>
      </w:r>
      <w:r>
        <w:rPr>
          <w:rFonts w:ascii="SimSun" w:hAnsi="SimSun" w:eastAsia="SimSun" w:cs="SimSun"/>
          <w:sz w:val="24"/>
          <w:szCs w:val="24"/>
          <w:spacing w:val="-1"/>
        </w:rPr>
        <w:t>。</w:t>
      </w:r>
    </w:p>
    <w:p>
      <w:pPr>
        <w:ind w:left="10" w:firstLine="480"/>
        <w:spacing w:before="154" w:line="329" w:lineRule="auto"/>
        <w:rPr>
          <w:rFonts w:ascii="SimSun" w:hAnsi="SimSun" w:eastAsia="SimSun" w:cs="SimSun"/>
          <w:sz w:val="24"/>
          <w:szCs w:val="24"/>
        </w:rPr>
      </w:pPr>
      <w:r>
        <w:rPr>
          <w:rFonts w:ascii="SimSun" w:hAnsi="SimSun" w:eastAsia="SimSun" w:cs="SimSun"/>
          <w:sz w:val="24"/>
          <w:szCs w:val="24"/>
          <w:spacing w:val="-4"/>
        </w:rPr>
        <w:t>预测点的</w:t>
      </w:r>
      <w:r>
        <w:rPr>
          <w:rFonts w:ascii="SimSun" w:hAnsi="SimSun" w:eastAsia="SimSun" w:cs="SimSun"/>
          <w:sz w:val="24"/>
          <w:szCs w:val="24"/>
          <w:spacing w:val="-59"/>
        </w:rPr>
        <w:t xml:space="preserve"> </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4"/>
        </w:rPr>
        <w:t>声级</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LA(r)</w:t>
      </w:r>
      <w:r>
        <w:rPr>
          <w:rFonts w:ascii="SimSun" w:hAnsi="SimSun" w:eastAsia="SimSun" w:cs="SimSun"/>
          <w:sz w:val="24"/>
          <w:szCs w:val="24"/>
          <w:spacing w:val="-4"/>
        </w:rPr>
        <w:t>可按式（</w:t>
      </w:r>
      <w:r>
        <w:rPr>
          <w:rFonts w:ascii="Times New Roman" w:hAnsi="Times New Roman" w:eastAsia="Times New Roman" w:cs="Times New Roman"/>
          <w:sz w:val="24"/>
          <w:szCs w:val="24"/>
          <w:spacing w:val="-4"/>
        </w:rPr>
        <w:t>A.3</w:t>
      </w:r>
      <w:r>
        <w:rPr>
          <w:rFonts w:ascii="SimSun" w:hAnsi="SimSun" w:eastAsia="SimSun" w:cs="SimSun"/>
          <w:sz w:val="24"/>
          <w:szCs w:val="24"/>
          <w:spacing w:val="-4"/>
        </w:rPr>
        <w:t>）计算，即将</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4"/>
        </w:rPr>
        <w:t>8 </w:t>
      </w:r>
      <w:r>
        <w:rPr>
          <w:rFonts w:ascii="SimSun" w:hAnsi="SimSun" w:eastAsia="SimSun" w:cs="SimSun"/>
          <w:sz w:val="24"/>
          <w:szCs w:val="24"/>
          <w:spacing w:val="-4"/>
        </w:rPr>
        <w:t>个倍频带声压级合成，计算出预</w:t>
      </w:r>
      <w:r>
        <w:rPr>
          <w:rFonts w:ascii="SimSun" w:hAnsi="SimSun" w:eastAsia="SimSun" w:cs="SimSun"/>
          <w:sz w:val="24"/>
          <w:szCs w:val="24"/>
          <w:spacing w:val="-2"/>
        </w:rPr>
        <w:t>测点的</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2"/>
        </w:rPr>
        <w:t>声级</w:t>
      </w:r>
      <w:r>
        <w:rPr>
          <w:rFonts w:ascii="Times New Roman" w:hAnsi="Times New Roman" w:eastAsia="Times New Roman" w:cs="Times New Roman"/>
          <w:sz w:val="24"/>
          <w:szCs w:val="24"/>
          <w:spacing w:val="-2"/>
        </w:rPr>
        <w:t>[LA(r)]</w:t>
      </w:r>
      <w:r>
        <w:rPr>
          <w:rFonts w:ascii="SimSun" w:hAnsi="SimSun" w:eastAsia="SimSun" w:cs="SimSun"/>
          <w:sz w:val="24"/>
          <w:szCs w:val="24"/>
          <w:spacing w:val="-2"/>
        </w:rPr>
        <w:t>按公式（</w:t>
      </w:r>
      <w:r>
        <w:rPr>
          <w:rFonts w:ascii="Times New Roman" w:hAnsi="Times New Roman" w:eastAsia="Times New Roman" w:cs="Times New Roman"/>
          <w:sz w:val="24"/>
          <w:szCs w:val="24"/>
          <w:spacing w:val="-2"/>
        </w:rPr>
        <w:t>3</w:t>
      </w:r>
      <w:r>
        <w:rPr>
          <w:rFonts w:ascii="SimSun" w:hAnsi="SimSun" w:eastAsia="SimSun" w:cs="SimSun"/>
          <w:sz w:val="24"/>
          <w:szCs w:val="24"/>
          <w:spacing w:val="-2"/>
        </w:rPr>
        <w:t>）计算：</w:t>
      </w:r>
    </w:p>
    <w:p>
      <w:pPr>
        <w:spacing w:line="329" w:lineRule="auto"/>
        <w:sectPr>
          <w:headerReference w:type="default" r:id="rId79"/>
          <w:footerReference w:type="default" r:id="rId447"/>
          <w:pgSz w:w="11906" w:h="16838"/>
          <w:pgMar w:top="1170" w:right="1417" w:bottom="1080" w:left="1416" w:header="837" w:footer="918" w:gutter="0"/>
        </w:sectPr>
        <w:rPr>
          <w:rFonts w:ascii="SimSun" w:hAnsi="SimSun" w:eastAsia="SimSun" w:cs="SimSun"/>
          <w:sz w:val="24"/>
          <w:szCs w:val="24"/>
        </w:rPr>
      </w:pPr>
    </w:p>
    <w:p>
      <w:pPr>
        <w:pStyle w:val="BodyText"/>
        <w:spacing w:line="279" w:lineRule="auto"/>
        <w:rPr/>
      </w:pPr>
      <w:r>
        <w:drawing>
          <wp:anchor distT="0" distB="0" distL="0" distR="0" simplePos="0" relativeHeight="272448512" behindDoc="0" locked="0" layoutInCell="1" allowOverlap="1">
            <wp:simplePos x="0" y="0"/>
            <wp:positionH relativeFrom="column">
              <wp:posOffset>1927860</wp:posOffset>
            </wp:positionH>
            <wp:positionV relativeFrom="paragraph">
              <wp:posOffset>157219</wp:posOffset>
            </wp:positionV>
            <wp:extent cx="1513332" cy="371856"/>
            <wp:effectExtent l="0" t="0" r="0" b="0"/>
            <wp:wrapNone/>
            <wp:docPr id="318" name="IM 318"/>
            <wp:cNvGraphicFramePr/>
            <a:graphic>
              <a:graphicData uri="http://schemas.openxmlformats.org/drawingml/2006/picture">
                <pic:pic>
                  <pic:nvPicPr>
                    <pic:cNvPr id="318" name="IM 318"/>
                    <pic:cNvPicPr/>
                  </pic:nvPicPr>
                  <pic:blipFill>
                    <a:blip r:embed="rId450"/>
                    <a:stretch>
                      <a:fillRect/>
                    </a:stretch>
                  </pic:blipFill>
                  <pic:spPr>
                    <a:xfrm rot="0">
                      <a:off x="0" y="0"/>
                      <a:ext cx="1513332" cy="371856"/>
                    </a:xfrm>
                    <a:prstGeom prst="rect">
                      <a:avLst/>
                    </a:prstGeom>
                  </pic:spPr>
                </pic:pic>
              </a:graphicData>
            </a:graphic>
          </wp:anchor>
        </w:drawing>
      </w:r>
      <w:r/>
    </w:p>
    <w:p>
      <w:pPr>
        <w:pStyle w:val="BodyText"/>
        <w:spacing w:line="280" w:lineRule="auto"/>
        <w:rPr/>
      </w:pPr>
      <w:r/>
    </w:p>
    <w:p>
      <w:pPr>
        <w:ind w:left="5451"/>
        <w:spacing w:before="78" w:line="232" w:lineRule="auto"/>
        <w:rPr>
          <w:rFonts w:ascii="SimSun" w:hAnsi="SimSun" w:eastAsia="SimSun" w:cs="SimSun"/>
          <w:sz w:val="24"/>
          <w:szCs w:val="24"/>
        </w:rPr>
      </w:pPr>
      <w:r>
        <w:rPr>
          <w:rFonts w:ascii="SimSun" w:hAnsi="SimSun" w:eastAsia="SimSun" w:cs="SimSun"/>
          <w:sz w:val="24"/>
          <w:szCs w:val="24"/>
          <w:spacing w:val="-6"/>
        </w:rPr>
        <w:t>（</w:t>
      </w:r>
      <w:r>
        <w:rPr>
          <w:rFonts w:ascii="Times New Roman" w:hAnsi="Times New Roman" w:eastAsia="Times New Roman" w:cs="Times New Roman"/>
          <w:sz w:val="24"/>
          <w:szCs w:val="24"/>
          <w:spacing w:val="-6"/>
        </w:rPr>
        <w:t>3</w:t>
      </w:r>
      <w:r>
        <w:rPr>
          <w:rFonts w:ascii="SimSun" w:hAnsi="SimSun" w:eastAsia="SimSun" w:cs="SimSun"/>
          <w:sz w:val="24"/>
          <w:szCs w:val="24"/>
          <w:spacing w:val="-6"/>
        </w:rPr>
        <w:t>）</w:t>
      </w:r>
    </w:p>
    <w:p>
      <w:pPr>
        <w:pStyle w:val="BodyText"/>
        <w:spacing w:line="319" w:lineRule="auto"/>
        <w:rPr/>
      </w:pPr>
      <w:r/>
    </w:p>
    <w:p>
      <w:pPr>
        <w:ind w:left="455"/>
        <w:spacing w:before="78" w:line="220" w:lineRule="auto"/>
        <w:rPr>
          <w:rFonts w:ascii="SimSun" w:hAnsi="SimSun" w:eastAsia="SimSun" w:cs="SimSun"/>
          <w:sz w:val="24"/>
          <w:szCs w:val="24"/>
        </w:rPr>
      </w:pPr>
      <w:r>
        <w:rPr>
          <w:rFonts w:ascii="SimSun" w:hAnsi="SimSun" w:eastAsia="SimSun" w:cs="SimSun"/>
          <w:sz w:val="24"/>
          <w:szCs w:val="24"/>
          <w:spacing w:val="-1"/>
        </w:rPr>
        <w:t>式中：</w:t>
      </w:r>
      <w:r>
        <w:rPr>
          <w:rFonts w:ascii="Times New Roman" w:hAnsi="Times New Roman" w:eastAsia="Times New Roman" w:cs="Times New Roman"/>
          <w:sz w:val="24"/>
          <w:szCs w:val="24"/>
          <w:spacing w:val="-1"/>
        </w:rPr>
        <w:t>LA</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）——距声源</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r </w:t>
      </w:r>
      <w:r>
        <w:rPr>
          <w:rFonts w:ascii="SimSun" w:hAnsi="SimSun" w:eastAsia="SimSun" w:cs="SimSun"/>
          <w:sz w:val="24"/>
          <w:szCs w:val="24"/>
          <w:spacing w:val="-1"/>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声级，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2"/>
        </w:rPr>
        <w:t>）；</w:t>
      </w:r>
    </w:p>
    <w:p>
      <w:pPr>
        <w:ind w:left="1166"/>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1"/>
        </w:rPr>
        <w:t>Ln</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SimSun" w:hAnsi="SimSun" w:eastAsia="SimSun" w:cs="SimSun"/>
          <w:sz w:val="24"/>
          <w:szCs w:val="24"/>
          <w:spacing w:val="-1"/>
        </w:rPr>
        <w:t>）——预测点（</w:t>
      </w:r>
      <w:r>
        <w:rPr>
          <w:rFonts w:ascii="Times New Roman" w:hAnsi="Times New Roman" w:eastAsia="Times New Roman" w:cs="Times New Roman"/>
          <w:sz w:val="24"/>
          <w:szCs w:val="24"/>
          <w:spacing w:val="-1"/>
        </w:rPr>
        <w:t>r </w:t>
      </w:r>
      <w:r>
        <w:rPr>
          <w:rFonts w:ascii="SimSun" w:hAnsi="SimSun" w:eastAsia="SimSun" w:cs="SimSun"/>
          <w:sz w:val="24"/>
          <w:szCs w:val="24"/>
          <w:spacing w:val="-1"/>
        </w:rPr>
        <w:t>处，第</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倍频带声压级，</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1166"/>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1"/>
        </w:rPr>
        <w:t>Li</w:t>
      </w:r>
      <w:r>
        <w:rPr>
          <w:rFonts w:ascii="SimSun" w:hAnsi="SimSun" w:eastAsia="SimSun" w:cs="SimSun"/>
          <w:sz w:val="24"/>
          <w:szCs w:val="24"/>
          <w:spacing w:val="-1"/>
        </w:rPr>
        <w:t>——第</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倍频带的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 </w:t>
      </w:r>
      <w:r>
        <w:rPr>
          <w:rFonts w:ascii="SimSun" w:hAnsi="SimSun" w:eastAsia="SimSun" w:cs="SimSun"/>
          <w:sz w:val="24"/>
          <w:szCs w:val="24"/>
          <w:spacing w:val="-1"/>
        </w:rPr>
        <w:t>计权网络修正值，</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488"/>
        <w:spacing w:before="153" w:line="219" w:lineRule="auto"/>
        <w:rPr>
          <w:rFonts w:ascii="SimSun" w:hAnsi="SimSun" w:eastAsia="SimSun" w:cs="SimSun"/>
          <w:sz w:val="24"/>
          <w:szCs w:val="24"/>
        </w:rPr>
      </w:pPr>
      <w:r>
        <w:rPr>
          <w:rFonts w:ascii="SimSun" w:hAnsi="SimSun" w:eastAsia="SimSun" w:cs="SimSun"/>
          <w:sz w:val="24"/>
          <w:szCs w:val="24"/>
          <w:spacing w:val="-1"/>
        </w:rPr>
        <w:t>在只考虑几何发散衰减时，可按公式（</w:t>
      </w:r>
      <w:r>
        <w:rPr>
          <w:rFonts w:ascii="Times New Roman" w:hAnsi="Times New Roman" w:eastAsia="Times New Roman" w:cs="Times New Roman"/>
          <w:sz w:val="24"/>
          <w:szCs w:val="24"/>
          <w:spacing w:val="-1"/>
        </w:rPr>
        <w:t>4</w:t>
      </w:r>
      <w:r>
        <w:rPr>
          <w:rFonts w:ascii="SimSun" w:hAnsi="SimSun" w:eastAsia="SimSun" w:cs="SimSun"/>
          <w:sz w:val="24"/>
          <w:szCs w:val="24"/>
          <w:spacing w:val="-1"/>
        </w:rPr>
        <w:t>）计算：</w:t>
      </w:r>
    </w:p>
    <w:p>
      <w:pPr>
        <w:ind w:left="3129"/>
        <w:spacing w:before="112" w:line="323" w:lineRule="exact"/>
        <w:rPr>
          <w:rFonts w:ascii="SimSun" w:hAnsi="SimSun" w:eastAsia="SimSun" w:cs="SimSun"/>
          <w:sz w:val="24"/>
          <w:szCs w:val="24"/>
        </w:rPr>
      </w:pPr>
      <w:r>
        <w:rPr>
          <w:rFonts w:ascii="Times New Roman" w:hAnsi="Times New Roman" w:eastAsia="Times New Roman" w:cs="Times New Roman"/>
          <w:sz w:val="24"/>
          <w:szCs w:val="24"/>
          <w:spacing w:val="-1"/>
          <w:position w:val="1"/>
        </w:rPr>
        <w:t>LA</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r</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=LA</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r</w:t>
      </w:r>
      <w:r>
        <w:rPr>
          <w:rFonts w:ascii="Times New Roman" w:hAnsi="Times New Roman" w:eastAsia="Times New Roman" w:cs="Times New Roman"/>
          <w:sz w:val="15"/>
          <w:szCs w:val="15"/>
          <w:spacing w:val="-1"/>
          <w:position w:val="1"/>
        </w:rPr>
        <w:t>0</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-A</w:t>
      </w:r>
      <w:r>
        <w:rPr>
          <w:rFonts w:ascii="Times New Roman" w:hAnsi="Times New Roman" w:eastAsia="Times New Roman" w:cs="Times New Roman"/>
          <w:sz w:val="15"/>
          <w:szCs w:val="15"/>
          <w:spacing w:val="-1"/>
        </w:rPr>
        <w:t>div</w:t>
      </w:r>
      <w:r>
        <w:rPr>
          <w:rFonts w:ascii="SimSun" w:hAnsi="SimSun" w:eastAsia="SimSun" w:cs="SimSun"/>
          <w:sz w:val="24"/>
          <w:szCs w:val="24"/>
          <w:spacing w:val="-1"/>
          <w:position w:val="1"/>
        </w:rPr>
        <w:t>（</w:t>
      </w:r>
      <w:r>
        <w:rPr>
          <w:rFonts w:ascii="Times New Roman" w:hAnsi="Times New Roman" w:eastAsia="Times New Roman" w:cs="Times New Roman"/>
          <w:sz w:val="24"/>
          <w:szCs w:val="24"/>
          <w:spacing w:val="-1"/>
          <w:position w:val="1"/>
        </w:rPr>
        <w:t>4</w:t>
      </w:r>
      <w:r>
        <w:rPr>
          <w:rFonts w:ascii="SimSun" w:hAnsi="SimSun" w:eastAsia="SimSun" w:cs="SimSun"/>
          <w:sz w:val="24"/>
          <w:szCs w:val="24"/>
          <w:spacing w:val="-1"/>
          <w:position w:val="1"/>
        </w:rPr>
        <w:t>）</w:t>
      </w:r>
    </w:p>
    <w:p>
      <w:pPr>
        <w:ind w:left="494"/>
        <w:spacing w:before="162" w:line="220" w:lineRule="auto"/>
        <w:rPr>
          <w:rFonts w:ascii="SimSun" w:hAnsi="SimSun" w:eastAsia="SimSun" w:cs="SimSun"/>
          <w:sz w:val="24"/>
          <w:szCs w:val="24"/>
        </w:rPr>
      </w:pPr>
      <w:r>
        <w:rPr>
          <w:rFonts w:ascii="SimSun" w:hAnsi="SimSun" w:eastAsia="SimSun" w:cs="SimSun"/>
          <w:sz w:val="24"/>
          <w:szCs w:val="24"/>
          <w:spacing w:val="-2"/>
        </w:rPr>
        <w:t>式中：</w:t>
      </w:r>
      <w:r>
        <w:rPr>
          <w:rFonts w:ascii="Times New Roman" w:hAnsi="Times New Roman" w:eastAsia="Times New Roman" w:cs="Times New Roman"/>
          <w:sz w:val="24"/>
          <w:szCs w:val="24"/>
          <w:spacing w:val="-2"/>
        </w:rPr>
        <w:t>LA</w:t>
      </w:r>
      <w:r>
        <w:rPr>
          <w:rFonts w:ascii="SimSun" w:hAnsi="SimSun" w:eastAsia="SimSun" w:cs="SimSun"/>
          <w:sz w:val="24"/>
          <w:szCs w:val="24"/>
          <w:spacing w:val="-2"/>
        </w:rPr>
        <w:t>（</w:t>
      </w:r>
      <w:r>
        <w:rPr>
          <w:rFonts w:ascii="Times New Roman" w:hAnsi="Times New Roman" w:eastAsia="Times New Roman" w:cs="Times New Roman"/>
          <w:sz w:val="24"/>
          <w:szCs w:val="24"/>
          <w:spacing w:val="-2"/>
        </w:rPr>
        <w:t>r</w:t>
      </w:r>
      <w:r>
        <w:rPr>
          <w:rFonts w:ascii="SimSun" w:hAnsi="SimSun" w:eastAsia="SimSun" w:cs="SimSun"/>
          <w:sz w:val="24"/>
          <w:szCs w:val="24"/>
          <w:spacing w:val="-2"/>
        </w:rPr>
        <w:t>）——距声源</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r </w:t>
      </w:r>
      <w:r>
        <w:rPr>
          <w:rFonts w:ascii="SimSun" w:hAnsi="SimSun" w:eastAsia="SimSun" w:cs="SimSun"/>
          <w:sz w:val="24"/>
          <w:szCs w:val="24"/>
          <w:spacing w:val="-2"/>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声级，</w:t>
      </w:r>
      <w:r>
        <w:rPr>
          <w:rFonts w:ascii="Times New Roman" w:hAnsi="Times New Roman" w:eastAsia="Times New Roman" w:cs="Times New Roman"/>
          <w:sz w:val="24"/>
          <w:szCs w:val="24"/>
          <w:spacing w:val="-2"/>
        </w:rPr>
        <w:t>dB</w:t>
      </w:r>
      <w:r>
        <w:rPr>
          <w:rFonts w:ascii="SimSun" w:hAnsi="SimSun" w:eastAsia="SimSun" w:cs="SimSun"/>
          <w:sz w:val="24"/>
          <w:szCs w:val="24"/>
          <w:spacing w:val="-2"/>
        </w:rPr>
        <w:t>（</w:t>
      </w:r>
      <w:r>
        <w:rPr>
          <w:rFonts w:ascii="Times New Roman" w:hAnsi="Times New Roman" w:eastAsia="Times New Roman" w:cs="Times New Roman"/>
          <w:sz w:val="24"/>
          <w:szCs w:val="24"/>
          <w:spacing w:val="-2"/>
        </w:rPr>
        <w:t>A</w:t>
      </w:r>
      <w:r>
        <w:rPr>
          <w:rFonts w:ascii="SimSun" w:hAnsi="SimSun" w:eastAsia="SimSun" w:cs="SimSun"/>
          <w:sz w:val="24"/>
          <w:szCs w:val="24"/>
          <w:spacing w:val="8"/>
        </w:rPr>
        <w:t>）；</w:t>
      </w:r>
    </w:p>
    <w:p>
      <w:pPr>
        <w:ind w:left="1204"/>
        <w:spacing w:before="154" w:line="219" w:lineRule="auto"/>
        <w:rPr>
          <w:rFonts w:ascii="SimSun" w:hAnsi="SimSun" w:eastAsia="SimSun" w:cs="SimSun"/>
          <w:sz w:val="24"/>
          <w:szCs w:val="24"/>
        </w:rPr>
      </w:pPr>
      <w:r>
        <w:rPr>
          <w:rFonts w:ascii="Times New Roman" w:hAnsi="Times New Roman" w:eastAsia="Times New Roman" w:cs="Times New Roman"/>
          <w:sz w:val="24"/>
          <w:szCs w:val="24"/>
        </w:rPr>
        <w:t>LA</w:t>
      </w:r>
      <w:r>
        <w:rPr>
          <w:rFonts w:ascii="SimSun" w:hAnsi="SimSun" w:eastAsia="SimSun" w:cs="SimSun"/>
          <w:sz w:val="24"/>
          <w:szCs w:val="24"/>
          <w:spacing w:val="1"/>
        </w:rPr>
        <w:t>（</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rPr>
        <w:t>0</w:t>
      </w:r>
      <w:r>
        <w:rPr>
          <w:rFonts w:ascii="SimSun" w:hAnsi="SimSun" w:eastAsia="SimSun" w:cs="SimSun"/>
          <w:sz w:val="24"/>
          <w:szCs w:val="24"/>
          <w:spacing w:val="1"/>
        </w:rPr>
        <w:t>）——参考位置</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r</w:t>
      </w:r>
      <w:r>
        <w:rPr>
          <w:rFonts w:ascii="Times New Roman" w:hAnsi="Times New Roman" w:eastAsia="Times New Roman" w:cs="Times New Roman"/>
          <w:sz w:val="15"/>
          <w:szCs w:val="15"/>
          <w:spacing w:val="1"/>
        </w:rPr>
        <w:t>0</w:t>
      </w:r>
      <w:r>
        <w:rPr>
          <w:rFonts w:ascii="SimSun" w:hAnsi="SimSun" w:eastAsia="SimSun" w:cs="SimSun"/>
          <w:sz w:val="24"/>
          <w:szCs w:val="24"/>
          <w:spacing w:val="1"/>
        </w:rPr>
        <w:t>处的</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声级，</w:t>
      </w:r>
      <w:r>
        <w:rPr>
          <w:rFonts w:ascii="Times New Roman" w:hAnsi="Times New Roman" w:eastAsia="Times New Roman" w:cs="Times New Roman"/>
          <w:sz w:val="24"/>
          <w:szCs w:val="24"/>
        </w:rPr>
        <w:t>dB</w:t>
      </w:r>
      <w:r>
        <w:rPr>
          <w:rFonts w:ascii="SimSun" w:hAnsi="SimSun" w:eastAsia="SimSun" w:cs="SimSun"/>
          <w:sz w:val="24"/>
          <w:szCs w:val="24"/>
          <w:spacing w:val="1"/>
        </w:rPr>
        <w:t>（</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1201"/>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1"/>
        </w:rPr>
        <w:t>Adiv</w:t>
      </w:r>
      <w:r>
        <w:rPr>
          <w:rFonts w:ascii="SimSun" w:hAnsi="SimSun" w:eastAsia="SimSun" w:cs="SimSun"/>
          <w:sz w:val="24"/>
          <w:szCs w:val="24"/>
          <w:spacing w:val="-1"/>
        </w:rPr>
        <w:t>——几何发散引起的衰减，</w:t>
      </w:r>
      <w:r>
        <w:rPr>
          <w:rFonts w:ascii="Times New Roman" w:hAnsi="Times New Roman" w:eastAsia="Times New Roman" w:cs="Times New Roman"/>
          <w:sz w:val="24"/>
          <w:szCs w:val="24"/>
          <w:spacing w:val="-1"/>
        </w:rPr>
        <w:t>dB</w:t>
      </w:r>
      <w:r>
        <w:rPr>
          <w:rFonts w:ascii="SimSun" w:hAnsi="SimSun" w:eastAsia="SimSun" w:cs="SimSun"/>
          <w:sz w:val="24"/>
          <w:szCs w:val="24"/>
          <w:spacing w:val="-1"/>
        </w:rPr>
        <w:t>。</w:t>
      </w:r>
    </w:p>
    <w:p>
      <w:pPr>
        <w:ind w:left="8"/>
        <w:spacing w:before="188"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5.5.2.3  </w:t>
      </w:r>
      <w:r>
        <w:rPr>
          <w:rFonts w:ascii="SimHei" w:hAnsi="SimHei" w:eastAsia="SimHei" w:cs="SimHei"/>
          <w:sz w:val="24"/>
          <w:szCs w:val="24"/>
          <w:b/>
          <w:bCs/>
          <w:spacing w:val="-2"/>
        </w:rPr>
        <w:t>噪声预测结果与评价</w:t>
      </w:r>
    </w:p>
    <w:p>
      <w:pPr>
        <w:ind w:left="8" w:right="60" w:firstLine="480"/>
        <w:spacing w:before="163" w:line="338" w:lineRule="auto"/>
        <w:jc w:val="both"/>
        <w:rPr>
          <w:rFonts w:ascii="SimSun" w:hAnsi="SimSun" w:eastAsia="SimSun" w:cs="SimSun"/>
          <w:sz w:val="24"/>
          <w:szCs w:val="24"/>
        </w:rPr>
      </w:pPr>
      <w:r>
        <w:rPr>
          <w:rFonts w:ascii="SimSun" w:hAnsi="SimSun" w:eastAsia="SimSun" w:cs="SimSun"/>
          <w:sz w:val="24"/>
          <w:szCs w:val="24"/>
        </w:rPr>
        <w:t>采掘场噪声源主要为剥离及采煤作业和煤炭运输过程中的大型机器设备如推土机、</w:t>
      </w:r>
      <w:r>
        <w:rPr>
          <w:rFonts w:ascii="SimSun" w:hAnsi="SimSun" w:eastAsia="SimSun" w:cs="SimSun"/>
          <w:sz w:val="24"/>
          <w:szCs w:val="24"/>
          <w:spacing w:val="-6"/>
        </w:rPr>
        <w:t>挖掘机、装载机、卡车等机械噪声，主要机械设备在采掘场内作业，由于机械设备众多，</w:t>
      </w:r>
      <w:r>
        <w:rPr>
          <w:rFonts w:ascii="SimSun" w:hAnsi="SimSun" w:eastAsia="SimSun" w:cs="SimSun"/>
          <w:sz w:val="24"/>
          <w:szCs w:val="24"/>
          <w:spacing w:val="-2"/>
        </w:rPr>
        <w:t>位置不固定，噪声大多是不连续的，且受边坡影响，目前没有合适的噪声预测模式。故</w:t>
      </w:r>
      <w:r>
        <w:rPr>
          <w:rFonts w:ascii="SimSun" w:hAnsi="SimSun" w:eastAsia="SimSun" w:cs="SimSun"/>
          <w:sz w:val="24"/>
          <w:szCs w:val="24"/>
        </w:rPr>
        <w:t>本次采掘场噪声预测主要通过各机械设备工作时</w:t>
      </w:r>
      <w:r>
        <w:rPr>
          <w:rFonts w:ascii="SimSun" w:hAnsi="SimSun" w:eastAsia="SimSun" w:cs="SimSun"/>
          <w:sz w:val="24"/>
          <w:szCs w:val="24"/>
          <w:spacing w:val="-1"/>
        </w:rPr>
        <w:t>影响距离来进行分析。</w:t>
      </w:r>
    </w:p>
    <w:p>
      <w:pPr>
        <w:ind w:left="488"/>
        <w:spacing w:line="218" w:lineRule="auto"/>
        <w:rPr>
          <w:rFonts w:ascii="SimSun" w:hAnsi="SimSun" w:eastAsia="SimSun" w:cs="SimSun"/>
          <w:sz w:val="24"/>
          <w:szCs w:val="24"/>
        </w:rPr>
      </w:pPr>
      <w:r>
        <w:rPr>
          <w:rFonts w:ascii="SimSun" w:hAnsi="SimSun" w:eastAsia="SimSun" w:cs="SimSun"/>
          <w:sz w:val="24"/>
          <w:szCs w:val="24"/>
          <w:spacing w:val="-1"/>
        </w:rPr>
        <w:t>采掘场各机械随距离衰减预测结果见表</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5-5-1</w:t>
      </w:r>
      <w:r>
        <w:rPr>
          <w:rFonts w:ascii="SimSun" w:hAnsi="SimSun" w:eastAsia="SimSun" w:cs="SimSun"/>
          <w:sz w:val="24"/>
          <w:szCs w:val="24"/>
          <w:spacing w:val="-1"/>
        </w:rPr>
        <w:t>。</w:t>
      </w:r>
    </w:p>
    <w:p>
      <w:pPr>
        <w:ind w:left="2629"/>
        <w:spacing w:before="285" w:line="221" w:lineRule="auto"/>
        <w:rPr>
          <w:rFonts w:ascii="SimHei" w:hAnsi="SimHei" w:eastAsia="SimHei" w:cs="SimHei"/>
          <w:sz w:val="24"/>
          <w:szCs w:val="24"/>
        </w:rPr>
      </w:pPr>
      <w:r>
        <w:rPr>
          <w:rFonts w:ascii="SimHei" w:hAnsi="SimHei" w:eastAsia="SimHei" w:cs="SimHei"/>
          <w:sz w:val="24"/>
          <w:szCs w:val="24"/>
          <w:spacing w:val="-1"/>
        </w:rPr>
        <w:t>主要机械噪声随距离衰减预测结果表</w:t>
      </w:r>
    </w:p>
    <w:p>
      <w:pPr>
        <w:ind w:left="7"/>
        <w:spacing w:before="68" w:line="226" w:lineRule="auto"/>
        <w:rPr>
          <w:rFonts w:ascii="SimSun" w:hAnsi="SimSun" w:eastAsia="SimSun" w:cs="SimSun"/>
          <w:sz w:val="20"/>
          <w:szCs w:val="20"/>
        </w:rPr>
      </w:pPr>
      <w:r>
        <w:rPr>
          <w:rFonts w:ascii="SimSun" w:hAnsi="SimSun" w:eastAsia="SimSun" w:cs="SimSun"/>
          <w:sz w:val="20"/>
          <w:szCs w:val="20"/>
          <w:spacing w:val="4"/>
        </w:rPr>
        <w:t>表</w:t>
      </w:r>
      <w:r>
        <w:rPr>
          <w:rFonts w:ascii="SimSun" w:hAnsi="SimSun" w:eastAsia="SimSun" w:cs="SimSun"/>
          <w:sz w:val="20"/>
          <w:szCs w:val="20"/>
          <w:spacing w:val="-25"/>
        </w:rPr>
        <w:t xml:space="preserve"> </w:t>
      </w:r>
      <w:r>
        <w:rPr>
          <w:rFonts w:ascii="Times New Roman" w:hAnsi="Times New Roman" w:eastAsia="Times New Roman" w:cs="Times New Roman"/>
          <w:sz w:val="20"/>
          <w:szCs w:val="20"/>
          <w:spacing w:val="4"/>
        </w:rPr>
        <w:t>5-5-1</w:t>
      </w:r>
      <w:r>
        <w:rPr>
          <w:rFonts w:ascii="Times New Roman" w:hAnsi="Times New Roman" w:eastAsia="Times New Roman" w:cs="Times New Roman"/>
          <w:sz w:val="20"/>
          <w:szCs w:val="20"/>
          <w:spacing w:val="1"/>
        </w:rPr>
        <w:t xml:space="preserve">                                </w:t>
      </w:r>
      <w:r>
        <w:rPr>
          <w:rFonts w:ascii="Times New Roman" w:hAnsi="Times New Roman" w:eastAsia="Times New Roman" w:cs="Times New Roman"/>
          <w:sz w:val="20"/>
          <w:szCs w:val="20"/>
        </w:rPr>
        <w:t xml:space="preserve">                                                                                                      </w:t>
      </w:r>
      <w:r>
        <w:rPr>
          <w:rFonts w:ascii="SimSun" w:hAnsi="SimSun" w:eastAsia="SimSun" w:cs="SimSun"/>
          <w:sz w:val="20"/>
          <w:szCs w:val="20"/>
          <w:spacing w:val="4"/>
        </w:rPr>
        <w:t>单位：</w:t>
      </w:r>
      <w:r>
        <w:rPr>
          <w:rFonts w:ascii="Times New Roman" w:hAnsi="Times New Roman" w:eastAsia="Times New Roman" w:cs="Times New Roman"/>
          <w:sz w:val="20"/>
          <w:szCs w:val="20"/>
        </w:rPr>
        <w:t>dB</w:t>
      </w:r>
      <w:r>
        <w:rPr>
          <w:rFonts w:ascii="SimSun" w:hAnsi="SimSun" w:eastAsia="SimSun" w:cs="SimSun"/>
          <w:sz w:val="20"/>
          <w:szCs w:val="20"/>
          <w:spacing w:val="4"/>
        </w:rPr>
        <w:t>（</w:t>
      </w:r>
      <w:r>
        <w:rPr>
          <w:rFonts w:ascii="Times New Roman" w:hAnsi="Times New Roman" w:eastAsia="Times New Roman" w:cs="Times New Roman"/>
          <w:sz w:val="20"/>
          <w:szCs w:val="20"/>
          <w:spacing w:val="4"/>
        </w:rPr>
        <w:t>A</w:t>
      </w:r>
      <w:r>
        <w:rPr>
          <w:rFonts w:ascii="SimSun" w:hAnsi="SimSun" w:eastAsia="SimSun" w:cs="SimSun"/>
          <w:sz w:val="20"/>
          <w:szCs w:val="20"/>
          <w:spacing w:val="4"/>
        </w:rPr>
        <w:t>）</w:t>
      </w:r>
    </w:p>
    <w:tbl>
      <w:tblPr>
        <w:tblStyle w:val="TableNormal"/>
        <w:tblW w:w="9088" w:type="dxa"/>
        <w:tblInd w:w="108"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559"/>
        <w:gridCol w:w="849"/>
        <w:gridCol w:w="868"/>
        <w:gridCol w:w="964"/>
        <w:gridCol w:w="967"/>
        <w:gridCol w:w="967"/>
        <w:gridCol w:w="964"/>
        <w:gridCol w:w="969"/>
        <w:gridCol w:w="981"/>
      </w:tblGrid>
      <w:tr>
        <w:trPr>
          <w:trHeight w:val="347" w:hRule="atLeast"/>
        </w:trPr>
        <w:tc>
          <w:tcPr>
            <w:tcW w:w="1559" w:type="dxa"/>
            <w:vAlign w:val="top"/>
            <w:vMerge w:val="restart"/>
            <w:tcBorders>
              <w:bottom w:val="nil"/>
            </w:tcBorders>
          </w:tcPr>
          <w:p>
            <w:pPr>
              <w:ind w:left="369"/>
              <w:spacing w:before="226" w:line="228" w:lineRule="auto"/>
              <w:rPr>
                <w:rFonts w:ascii="SimSun" w:hAnsi="SimSun" w:eastAsia="SimSun" w:cs="SimSun"/>
                <w:sz w:val="20"/>
                <w:szCs w:val="20"/>
              </w:rPr>
            </w:pPr>
            <w:r>
              <w:rPr>
                <w:rFonts w:ascii="SimSun" w:hAnsi="SimSun" w:eastAsia="SimSun" w:cs="SimSun"/>
                <w:sz w:val="20"/>
                <w:szCs w:val="20"/>
                <w:spacing w:val="6"/>
              </w:rPr>
              <w:t>声源名称</w:t>
            </w:r>
          </w:p>
        </w:tc>
        <w:tc>
          <w:tcPr>
            <w:tcW w:w="7529" w:type="dxa"/>
            <w:vAlign w:val="top"/>
            <w:gridSpan w:val="8"/>
          </w:tcPr>
          <w:p>
            <w:pPr>
              <w:pStyle w:val="TableText"/>
              <w:ind w:left="2950"/>
              <w:spacing w:before="65" w:line="228" w:lineRule="auto"/>
              <w:rPr>
                <w:rFonts w:ascii="SimSun" w:hAnsi="SimSun" w:eastAsia="SimSun" w:cs="SimSun"/>
              </w:rPr>
            </w:pPr>
            <w:r>
              <w:rPr>
                <w:rFonts w:ascii="SimSun" w:hAnsi="SimSun" w:eastAsia="SimSun" w:cs="SimSun"/>
                <w:spacing w:val="7"/>
              </w:rPr>
              <w:t>距声源距离（</w:t>
            </w:r>
            <w:r>
              <w:rPr>
                <w:spacing w:val="7"/>
              </w:rPr>
              <w:t>m</w:t>
            </w:r>
            <w:r>
              <w:rPr>
                <w:rFonts w:ascii="SimSun" w:hAnsi="SimSun" w:eastAsia="SimSun" w:cs="SimSun"/>
                <w:spacing w:val="7"/>
              </w:rPr>
              <w:t>）</w:t>
            </w:r>
          </w:p>
        </w:tc>
      </w:tr>
      <w:tr>
        <w:trPr>
          <w:trHeight w:val="316" w:hRule="atLeast"/>
        </w:trPr>
        <w:tc>
          <w:tcPr>
            <w:tcW w:w="1559" w:type="dxa"/>
            <w:vAlign w:val="top"/>
            <w:vMerge w:val="continue"/>
            <w:tcBorders>
              <w:top w:val="nil"/>
            </w:tcBorders>
          </w:tcPr>
          <w:p>
            <w:pPr>
              <w:rPr>
                <w:rFonts w:ascii="Arial"/>
                <w:sz w:val="21"/>
              </w:rPr>
            </w:pPr>
            <w:r/>
          </w:p>
        </w:tc>
        <w:tc>
          <w:tcPr>
            <w:tcW w:w="849" w:type="dxa"/>
            <w:vAlign w:val="top"/>
          </w:tcPr>
          <w:p>
            <w:pPr>
              <w:pStyle w:val="TableText"/>
              <w:ind w:left="339"/>
              <w:spacing w:before="84" w:line="195" w:lineRule="auto"/>
              <w:rPr/>
            </w:pPr>
            <w:r>
              <w:rPr>
                <w:spacing w:val="-8"/>
              </w:rPr>
              <w:t>10</w:t>
            </w:r>
          </w:p>
        </w:tc>
        <w:tc>
          <w:tcPr>
            <w:tcW w:w="868" w:type="dxa"/>
            <w:vAlign w:val="top"/>
          </w:tcPr>
          <w:p>
            <w:pPr>
              <w:pStyle w:val="TableText"/>
              <w:ind w:left="329"/>
              <w:spacing w:before="84" w:line="195" w:lineRule="auto"/>
              <w:rPr/>
            </w:pPr>
            <w:r>
              <w:rPr>
                <w:spacing w:val="2"/>
              </w:rPr>
              <w:t>20</w:t>
            </w:r>
          </w:p>
        </w:tc>
        <w:tc>
          <w:tcPr>
            <w:tcW w:w="964" w:type="dxa"/>
            <w:vAlign w:val="top"/>
          </w:tcPr>
          <w:p>
            <w:pPr>
              <w:pStyle w:val="TableText"/>
              <w:ind w:left="382"/>
              <w:spacing w:before="84" w:line="195" w:lineRule="auto"/>
              <w:rPr/>
            </w:pPr>
            <w:r>
              <w:rPr/>
              <w:t>30</w:t>
            </w:r>
          </w:p>
        </w:tc>
        <w:tc>
          <w:tcPr>
            <w:tcW w:w="967" w:type="dxa"/>
            <w:vAlign w:val="top"/>
          </w:tcPr>
          <w:p>
            <w:pPr>
              <w:pStyle w:val="TableText"/>
              <w:ind w:left="387"/>
              <w:spacing w:before="84" w:line="195" w:lineRule="auto"/>
              <w:rPr/>
            </w:pPr>
            <w:r>
              <w:rPr/>
              <w:t>50</w:t>
            </w:r>
          </w:p>
        </w:tc>
        <w:tc>
          <w:tcPr>
            <w:tcW w:w="967" w:type="dxa"/>
            <w:vAlign w:val="top"/>
          </w:tcPr>
          <w:p>
            <w:pPr>
              <w:pStyle w:val="TableText"/>
              <w:ind w:left="346"/>
              <w:spacing w:before="84" w:line="195" w:lineRule="auto"/>
              <w:rPr/>
            </w:pPr>
            <w:r>
              <w:rPr>
                <w:spacing w:val="-3"/>
              </w:rPr>
              <w:t>100</w:t>
            </w:r>
          </w:p>
        </w:tc>
        <w:tc>
          <w:tcPr>
            <w:tcW w:w="964" w:type="dxa"/>
            <w:vAlign w:val="top"/>
          </w:tcPr>
          <w:p>
            <w:pPr>
              <w:pStyle w:val="TableText"/>
              <w:ind w:left="347"/>
              <w:spacing w:before="84" w:line="195" w:lineRule="auto"/>
              <w:rPr/>
            </w:pPr>
            <w:r>
              <w:rPr>
                <w:spacing w:val="-3"/>
              </w:rPr>
              <w:t>120</w:t>
            </w:r>
          </w:p>
        </w:tc>
        <w:tc>
          <w:tcPr>
            <w:tcW w:w="969" w:type="dxa"/>
            <w:vAlign w:val="top"/>
          </w:tcPr>
          <w:p>
            <w:pPr>
              <w:pStyle w:val="TableText"/>
              <w:ind w:left="347"/>
              <w:spacing w:before="84" w:line="195" w:lineRule="auto"/>
              <w:rPr/>
            </w:pPr>
            <w:r>
              <w:rPr>
                <w:spacing w:val="-3"/>
              </w:rPr>
              <w:t>150</w:t>
            </w:r>
          </w:p>
        </w:tc>
        <w:tc>
          <w:tcPr>
            <w:tcW w:w="981" w:type="dxa"/>
            <w:vAlign w:val="top"/>
          </w:tcPr>
          <w:p>
            <w:pPr>
              <w:pStyle w:val="TableText"/>
              <w:ind w:left="335"/>
              <w:spacing w:before="84" w:line="195" w:lineRule="auto"/>
              <w:rPr/>
            </w:pPr>
            <w:r>
              <w:rPr>
                <w:spacing w:val="3"/>
              </w:rPr>
              <w:t>200</w:t>
            </w:r>
          </w:p>
        </w:tc>
      </w:tr>
      <w:tr>
        <w:trPr>
          <w:trHeight w:val="316" w:hRule="atLeast"/>
        </w:trPr>
        <w:tc>
          <w:tcPr>
            <w:tcW w:w="1559" w:type="dxa"/>
            <w:vAlign w:val="top"/>
          </w:tcPr>
          <w:p>
            <w:pPr>
              <w:ind w:left="471"/>
              <w:spacing w:before="49" w:line="227" w:lineRule="auto"/>
              <w:rPr>
                <w:rFonts w:ascii="SimSun" w:hAnsi="SimSun" w:eastAsia="SimSun" w:cs="SimSun"/>
                <w:sz w:val="20"/>
                <w:szCs w:val="20"/>
              </w:rPr>
            </w:pPr>
            <w:r>
              <w:rPr>
                <w:rFonts w:ascii="SimSun" w:hAnsi="SimSun" w:eastAsia="SimSun" w:cs="SimSun"/>
                <w:sz w:val="20"/>
                <w:szCs w:val="20"/>
                <w:spacing w:val="6"/>
              </w:rPr>
              <w:t>推土机</w:t>
            </w:r>
          </w:p>
        </w:tc>
        <w:tc>
          <w:tcPr>
            <w:tcW w:w="849" w:type="dxa"/>
            <w:vAlign w:val="top"/>
          </w:tcPr>
          <w:p>
            <w:pPr>
              <w:pStyle w:val="TableText"/>
              <w:ind w:left="243"/>
              <w:spacing w:before="88" w:line="192" w:lineRule="auto"/>
              <w:rPr/>
            </w:pPr>
            <w:r>
              <w:rPr>
                <w:spacing w:val="2"/>
              </w:rPr>
              <w:t>77.5</w:t>
            </w:r>
          </w:p>
        </w:tc>
        <w:tc>
          <w:tcPr>
            <w:tcW w:w="868" w:type="dxa"/>
            <w:vAlign w:val="top"/>
          </w:tcPr>
          <w:p>
            <w:pPr>
              <w:pStyle w:val="TableText"/>
              <w:ind w:left="253"/>
              <w:spacing w:before="85" w:line="195" w:lineRule="auto"/>
              <w:rPr/>
            </w:pPr>
            <w:r>
              <w:rPr>
                <w:spacing w:val="2"/>
              </w:rPr>
              <w:t>74.5</w:t>
            </w:r>
          </w:p>
        </w:tc>
        <w:tc>
          <w:tcPr>
            <w:tcW w:w="964" w:type="dxa"/>
            <w:vAlign w:val="top"/>
          </w:tcPr>
          <w:p>
            <w:pPr>
              <w:pStyle w:val="TableText"/>
              <w:ind w:left="303"/>
              <w:spacing w:before="85" w:line="195" w:lineRule="auto"/>
              <w:rPr/>
            </w:pPr>
            <w:r>
              <w:rPr>
                <w:spacing w:val="2"/>
              </w:rPr>
              <w:t>68.4</w:t>
            </w:r>
          </w:p>
        </w:tc>
        <w:tc>
          <w:tcPr>
            <w:tcW w:w="967" w:type="dxa"/>
            <w:vAlign w:val="top"/>
          </w:tcPr>
          <w:p>
            <w:pPr>
              <w:pStyle w:val="TableText"/>
              <w:ind w:left="308"/>
              <w:spacing w:before="85" w:line="195" w:lineRule="auto"/>
              <w:rPr/>
            </w:pPr>
            <w:r>
              <w:rPr>
                <w:spacing w:val="2"/>
              </w:rPr>
              <w:t>59.4</w:t>
            </w:r>
          </w:p>
        </w:tc>
        <w:tc>
          <w:tcPr>
            <w:tcW w:w="967" w:type="dxa"/>
            <w:vAlign w:val="top"/>
          </w:tcPr>
          <w:p>
            <w:pPr>
              <w:pStyle w:val="TableText"/>
              <w:ind w:left="308"/>
              <w:spacing w:before="85" w:line="195" w:lineRule="auto"/>
              <w:rPr/>
            </w:pPr>
            <w:r>
              <w:rPr>
                <w:spacing w:val="1"/>
              </w:rPr>
              <w:t>52.7</w:t>
            </w:r>
          </w:p>
        </w:tc>
        <w:tc>
          <w:tcPr>
            <w:tcW w:w="964" w:type="dxa"/>
            <w:vAlign w:val="top"/>
          </w:tcPr>
          <w:p>
            <w:pPr>
              <w:pStyle w:val="TableText"/>
              <w:ind w:left="299"/>
              <w:spacing w:before="85" w:line="195" w:lineRule="auto"/>
              <w:rPr/>
            </w:pPr>
            <w:r>
              <w:rPr>
                <w:spacing w:val="3"/>
              </w:rPr>
              <w:t>49.5</w:t>
            </w:r>
          </w:p>
        </w:tc>
        <w:tc>
          <w:tcPr>
            <w:tcW w:w="969" w:type="dxa"/>
            <w:vAlign w:val="top"/>
          </w:tcPr>
          <w:p>
            <w:pPr>
              <w:pStyle w:val="TableText"/>
              <w:ind w:left="302"/>
              <w:spacing w:before="85" w:line="195" w:lineRule="auto"/>
              <w:rPr/>
            </w:pPr>
            <w:r>
              <w:rPr>
                <w:spacing w:val="3"/>
              </w:rPr>
              <w:t>47.2</w:t>
            </w:r>
          </w:p>
        </w:tc>
        <w:tc>
          <w:tcPr>
            <w:tcW w:w="981" w:type="dxa"/>
            <w:vAlign w:val="top"/>
          </w:tcPr>
          <w:p>
            <w:pPr>
              <w:pStyle w:val="TableText"/>
              <w:ind w:left="305"/>
              <w:spacing w:before="85" w:line="195" w:lineRule="auto"/>
              <w:rPr/>
            </w:pPr>
            <w:r>
              <w:rPr>
                <w:spacing w:val="4"/>
              </w:rPr>
              <w:t>43.8</w:t>
            </w:r>
          </w:p>
        </w:tc>
      </w:tr>
      <w:tr>
        <w:trPr>
          <w:trHeight w:val="313" w:hRule="atLeast"/>
        </w:trPr>
        <w:tc>
          <w:tcPr>
            <w:tcW w:w="1559" w:type="dxa"/>
            <w:vAlign w:val="top"/>
          </w:tcPr>
          <w:p>
            <w:pPr>
              <w:ind w:left="470"/>
              <w:spacing w:before="47" w:line="227" w:lineRule="auto"/>
              <w:rPr>
                <w:rFonts w:ascii="SimSun" w:hAnsi="SimSun" w:eastAsia="SimSun" w:cs="SimSun"/>
                <w:sz w:val="20"/>
                <w:szCs w:val="20"/>
              </w:rPr>
            </w:pPr>
            <w:r>
              <w:rPr>
                <w:rFonts w:ascii="SimSun" w:hAnsi="SimSun" w:eastAsia="SimSun" w:cs="SimSun"/>
                <w:sz w:val="20"/>
                <w:szCs w:val="20"/>
                <w:spacing w:val="7"/>
              </w:rPr>
              <w:t>挖掘机</w:t>
            </w:r>
          </w:p>
        </w:tc>
        <w:tc>
          <w:tcPr>
            <w:tcW w:w="849" w:type="dxa"/>
            <w:vAlign w:val="top"/>
          </w:tcPr>
          <w:p>
            <w:pPr>
              <w:pStyle w:val="TableText"/>
              <w:ind w:left="243"/>
              <w:spacing w:before="86" w:line="192" w:lineRule="auto"/>
              <w:rPr/>
            </w:pPr>
            <w:r>
              <w:rPr>
                <w:spacing w:val="2"/>
              </w:rPr>
              <w:t>77.5</w:t>
            </w:r>
          </w:p>
        </w:tc>
        <w:tc>
          <w:tcPr>
            <w:tcW w:w="868" w:type="dxa"/>
            <w:vAlign w:val="top"/>
          </w:tcPr>
          <w:p>
            <w:pPr>
              <w:pStyle w:val="TableText"/>
              <w:ind w:left="253"/>
              <w:spacing w:before="83" w:line="195" w:lineRule="auto"/>
              <w:rPr/>
            </w:pPr>
            <w:r>
              <w:rPr>
                <w:spacing w:val="2"/>
              </w:rPr>
              <w:t>74.5</w:t>
            </w:r>
          </w:p>
        </w:tc>
        <w:tc>
          <w:tcPr>
            <w:tcW w:w="964" w:type="dxa"/>
            <w:vAlign w:val="top"/>
          </w:tcPr>
          <w:p>
            <w:pPr>
              <w:pStyle w:val="TableText"/>
              <w:ind w:left="303"/>
              <w:spacing w:before="83" w:line="195" w:lineRule="auto"/>
              <w:rPr/>
            </w:pPr>
            <w:r>
              <w:rPr>
                <w:spacing w:val="2"/>
              </w:rPr>
              <w:t>68.4</w:t>
            </w:r>
          </w:p>
        </w:tc>
        <w:tc>
          <w:tcPr>
            <w:tcW w:w="967" w:type="dxa"/>
            <w:vAlign w:val="top"/>
          </w:tcPr>
          <w:p>
            <w:pPr>
              <w:pStyle w:val="TableText"/>
              <w:ind w:left="308"/>
              <w:spacing w:before="83" w:line="195" w:lineRule="auto"/>
              <w:rPr/>
            </w:pPr>
            <w:r>
              <w:rPr>
                <w:spacing w:val="2"/>
              </w:rPr>
              <w:t>59.4</w:t>
            </w:r>
          </w:p>
        </w:tc>
        <w:tc>
          <w:tcPr>
            <w:tcW w:w="967" w:type="dxa"/>
            <w:vAlign w:val="top"/>
          </w:tcPr>
          <w:p>
            <w:pPr>
              <w:pStyle w:val="TableText"/>
              <w:ind w:left="308"/>
              <w:spacing w:before="83" w:line="195" w:lineRule="auto"/>
              <w:rPr/>
            </w:pPr>
            <w:r>
              <w:rPr>
                <w:spacing w:val="1"/>
              </w:rPr>
              <w:t>52.7</w:t>
            </w:r>
          </w:p>
        </w:tc>
        <w:tc>
          <w:tcPr>
            <w:tcW w:w="964" w:type="dxa"/>
            <w:vAlign w:val="top"/>
          </w:tcPr>
          <w:p>
            <w:pPr>
              <w:pStyle w:val="TableText"/>
              <w:ind w:left="299"/>
              <w:spacing w:before="83" w:line="195" w:lineRule="auto"/>
              <w:rPr/>
            </w:pPr>
            <w:r>
              <w:rPr>
                <w:spacing w:val="3"/>
              </w:rPr>
              <w:t>49.5</w:t>
            </w:r>
          </w:p>
        </w:tc>
        <w:tc>
          <w:tcPr>
            <w:tcW w:w="969" w:type="dxa"/>
            <w:vAlign w:val="top"/>
          </w:tcPr>
          <w:p>
            <w:pPr>
              <w:pStyle w:val="TableText"/>
              <w:ind w:left="302"/>
              <w:spacing w:before="83" w:line="195" w:lineRule="auto"/>
              <w:rPr/>
            </w:pPr>
            <w:r>
              <w:rPr>
                <w:spacing w:val="3"/>
              </w:rPr>
              <w:t>47.2</w:t>
            </w:r>
          </w:p>
        </w:tc>
        <w:tc>
          <w:tcPr>
            <w:tcW w:w="981" w:type="dxa"/>
            <w:vAlign w:val="top"/>
          </w:tcPr>
          <w:p>
            <w:pPr>
              <w:pStyle w:val="TableText"/>
              <w:ind w:left="305"/>
              <w:spacing w:before="83" w:line="195" w:lineRule="auto"/>
              <w:rPr/>
            </w:pPr>
            <w:r>
              <w:rPr>
                <w:spacing w:val="4"/>
              </w:rPr>
              <w:t>43.8</w:t>
            </w:r>
          </w:p>
        </w:tc>
      </w:tr>
      <w:tr>
        <w:trPr>
          <w:trHeight w:val="318" w:hRule="atLeast"/>
        </w:trPr>
        <w:tc>
          <w:tcPr>
            <w:tcW w:w="1559" w:type="dxa"/>
            <w:vAlign w:val="top"/>
          </w:tcPr>
          <w:p>
            <w:pPr>
              <w:ind w:left="471"/>
              <w:spacing w:before="53" w:line="227" w:lineRule="auto"/>
              <w:rPr>
                <w:rFonts w:ascii="SimSun" w:hAnsi="SimSun" w:eastAsia="SimSun" w:cs="SimSun"/>
                <w:sz w:val="20"/>
                <w:szCs w:val="20"/>
              </w:rPr>
            </w:pPr>
            <w:r>
              <w:rPr>
                <w:rFonts w:ascii="SimSun" w:hAnsi="SimSun" w:eastAsia="SimSun" w:cs="SimSun"/>
                <w:sz w:val="20"/>
                <w:szCs w:val="20"/>
                <w:spacing w:val="6"/>
              </w:rPr>
              <w:t>装载机</w:t>
            </w:r>
          </w:p>
        </w:tc>
        <w:tc>
          <w:tcPr>
            <w:tcW w:w="849" w:type="dxa"/>
            <w:vAlign w:val="top"/>
          </w:tcPr>
          <w:p>
            <w:pPr>
              <w:pStyle w:val="TableText"/>
              <w:ind w:left="243"/>
              <w:spacing w:before="92" w:line="192" w:lineRule="auto"/>
              <w:rPr/>
            </w:pPr>
            <w:r>
              <w:rPr>
                <w:spacing w:val="2"/>
              </w:rPr>
              <w:t>75.5</w:t>
            </w:r>
          </w:p>
        </w:tc>
        <w:tc>
          <w:tcPr>
            <w:tcW w:w="868" w:type="dxa"/>
            <w:vAlign w:val="top"/>
          </w:tcPr>
          <w:p>
            <w:pPr>
              <w:pStyle w:val="TableText"/>
              <w:ind w:left="253"/>
              <w:spacing w:before="89" w:line="195" w:lineRule="auto"/>
              <w:rPr/>
            </w:pPr>
            <w:r>
              <w:rPr>
                <w:spacing w:val="2"/>
              </w:rPr>
              <w:t>72.5</w:t>
            </w:r>
          </w:p>
        </w:tc>
        <w:tc>
          <w:tcPr>
            <w:tcW w:w="964" w:type="dxa"/>
            <w:vAlign w:val="top"/>
          </w:tcPr>
          <w:p>
            <w:pPr>
              <w:pStyle w:val="TableText"/>
              <w:ind w:left="303"/>
              <w:spacing w:before="89" w:line="195" w:lineRule="auto"/>
              <w:rPr/>
            </w:pPr>
            <w:r>
              <w:rPr>
                <w:spacing w:val="2"/>
              </w:rPr>
              <w:t>66.4</w:t>
            </w:r>
          </w:p>
        </w:tc>
        <w:tc>
          <w:tcPr>
            <w:tcW w:w="967" w:type="dxa"/>
            <w:vAlign w:val="top"/>
          </w:tcPr>
          <w:p>
            <w:pPr>
              <w:pStyle w:val="TableText"/>
              <w:ind w:left="308"/>
              <w:spacing w:before="89" w:line="195" w:lineRule="auto"/>
              <w:rPr/>
            </w:pPr>
            <w:r>
              <w:rPr>
                <w:spacing w:val="2"/>
              </w:rPr>
              <w:t>58.4</w:t>
            </w:r>
          </w:p>
        </w:tc>
        <w:tc>
          <w:tcPr>
            <w:tcW w:w="967" w:type="dxa"/>
            <w:vAlign w:val="top"/>
          </w:tcPr>
          <w:p>
            <w:pPr>
              <w:pStyle w:val="TableText"/>
              <w:ind w:left="308"/>
              <w:spacing w:before="89" w:line="195" w:lineRule="auto"/>
              <w:rPr/>
            </w:pPr>
            <w:r>
              <w:rPr>
                <w:spacing w:val="1"/>
              </w:rPr>
              <w:t>50.7</w:t>
            </w:r>
          </w:p>
        </w:tc>
        <w:tc>
          <w:tcPr>
            <w:tcW w:w="964" w:type="dxa"/>
            <w:vAlign w:val="top"/>
          </w:tcPr>
          <w:p>
            <w:pPr>
              <w:pStyle w:val="TableText"/>
              <w:ind w:left="299"/>
              <w:spacing w:before="89" w:line="195" w:lineRule="auto"/>
              <w:rPr/>
            </w:pPr>
            <w:r>
              <w:rPr>
                <w:spacing w:val="3"/>
              </w:rPr>
              <w:t>47.5</w:t>
            </w:r>
          </w:p>
        </w:tc>
        <w:tc>
          <w:tcPr>
            <w:tcW w:w="969" w:type="dxa"/>
            <w:vAlign w:val="top"/>
          </w:tcPr>
          <w:p>
            <w:pPr>
              <w:pStyle w:val="TableText"/>
              <w:ind w:left="302"/>
              <w:spacing w:before="89" w:line="195" w:lineRule="auto"/>
              <w:rPr/>
            </w:pPr>
            <w:r>
              <w:rPr>
                <w:spacing w:val="2"/>
              </w:rPr>
              <w:t>45.</w:t>
            </w:r>
            <w:r>
              <w:rPr>
                <w:spacing w:val="-24"/>
              </w:rPr>
              <w:t xml:space="preserve"> </w:t>
            </w:r>
            <w:r>
              <w:rPr>
                <w:spacing w:val="2"/>
              </w:rPr>
              <w:t>1</w:t>
            </w:r>
          </w:p>
        </w:tc>
        <w:tc>
          <w:tcPr>
            <w:tcW w:w="981" w:type="dxa"/>
            <w:vAlign w:val="top"/>
          </w:tcPr>
          <w:p>
            <w:pPr>
              <w:pStyle w:val="TableText"/>
              <w:ind w:left="305"/>
              <w:spacing w:before="89" w:line="195" w:lineRule="auto"/>
              <w:rPr/>
            </w:pPr>
            <w:r>
              <w:rPr>
                <w:spacing w:val="4"/>
              </w:rPr>
              <w:t>41.8</w:t>
            </w:r>
          </w:p>
        </w:tc>
      </w:tr>
      <w:tr>
        <w:trPr>
          <w:trHeight w:val="316" w:hRule="atLeast"/>
        </w:trPr>
        <w:tc>
          <w:tcPr>
            <w:tcW w:w="1559" w:type="dxa"/>
            <w:vAlign w:val="top"/>
          </w:tcPr>
          <w:p>
            <w:pPr>
              <w:ind w:left="470"/>
              <w:spacing w:before="52" w:line="227" w:lineRule="auto"/>
              <w:rPr>
                <w:rFonts w:ascii="SimSun" w:hAnsi="SimSun" w:eastAsia="SimSun" w:cs="SimSun"/>
                <w:sz w:val="20"/>
                <w:szCs w:val="20"/>
              </w:rPr>
            </w:pPr>
            <w:r>
              <w:rPr>
                <w:rFonts w:ascii="SimSun" w:hAnsi="SimSun" w:eastAsia="SimSun" w:cs="SimSun"/>
                <w:sz w:val="20"/>
                <w:szCs w:val="20"/>
                <w:spacing w:val="7"/>
              </w:rPr>
              <w:t>平地机</w:t>
            </w:r>
          </w:p>
        </w:tc>
        <w:tc>
          <w:tcPr>
            <w:tcW w:w="849" w:type="dxa"/>
            <w:vAlign w:val="top"/>
          </w:tcPr>
          <w:p>
            <w:pPr>
              <w:pStyle w:val="TableText"/>
              <w:ind w:left="243"/>
              <w:spacing w:before="91" w:line="192" w:lineRule="auto"/>
              <w:rPr/>
            </w:pPr>
            <w:r>
              <w:rPr>
                <w:spacing w:val="2"/>
              </w:rPr>
              <w:t>77.5</w:t>
            </w:r>
          </w:p>
        </w:tc>
        <w:tc>
          <w:tcPr>
            <w:tcW w:w="868" w:type="dxa"/>
            <w:vAlign w:val="top"/>
          </w:tcPr>
          <w:p>
            <w:pPr>
              <w:pStyle w:val="TableText"/>
              <w:ind w:left="253"/>
              <w:spacing w:before="88" w:line="195" w:lineRule="auto"/>
              <w:rPr/>
            </w:pPr>
            <w:r>
              <w:rPr>
                <w:spacing w:val="2"/>
              </w:rPr>
              <w:t>74.5</w:t>
            </w:r>
          </w:p>
        </w:tc>
        <w:tc>
          <w:tcPr>
            <w:tcW w:w="964" w:type="dxa"/>
            <w:vAlign w:val="top"/>
          </w:tcPr>
          <w:p>
            <w:pPr>
              <w:pStyle w:val="TableText"/>
              <w:ind w:left="303"/>
              <w:spacing w:before="88" w:line="195" w:lineRule="auto"/>
              <w:rPr/>
            </w:pPr>
            <w:r>
              <w:rPr>
                <w:spacing w:val="2"/>
              </w:rPr>
              <w:t>68.4</w:t>
            </w:r>
          </w:p>
        </w:tc>
        <w:tc>
          <w:tcPr>
            <w:tcW w:w="967" w:type="dxa"/>
            <w:vAlign w:val="top"/>
          </w:tcPr>
          <w:p>
            <w:pPr>
              <w:pStyle w:val="TableText"/>
              <w:ind w:left="308"/>
              <w:spacing w:before="88" w:line="195" w:lineRule="auto"/>
              <w:rPr/>
            </w:pPr>
            <w:r>
              <w:rPr>
                <w:spacing w:val="2"/>
              </w:rPr>
              <w:t>59.4</w:t>
            </w:r>
          </w:p>
        </w:tc>
        <w:tc>
          <w:tcPr>
            <w:tcW w:w="967" w:type="dxa"/>
            <w:vAlign w:val="top"/>
          </w:tcPr>
          <w:p>
            <w:pPr>
              <w:pStyle w:val="TableText"/>
              <w:ind w:left="308"/>
              <w:spacing w:before="88" w:line="195" w:lineRule="auto"/>
              <w:rPr/>
            </w:pPr>
            <w:r>
              <w:rPr>
                <w:spacing w:val="1"/>
              </w:rPr>
              <w:t>52.7</w:t>
            </w:r>
          </w:p>
        </w:tc>
        <w:tc>
          <w:tcPr>
            <w:tcW w:w="964" w:type="dxa"/>
            <w:vAlign w:val="top"/>
          </w:tcPr>
          <w:p>
            <w:pPr>
              <w:pStyle w:val="TableText"/>
              <w:ind w:left="299"/>
              <w:spacing w:before="88" w:line="195" w:lineRule="auto"/>
              <w:rPr/>
            </w:pPr>
            <w:r>
              <w:rPr>
                <w:spacing w:val="3"/>
              </w:rPr>
              <w:t>49.5</w:t>
            </w:r>
          </w:p>
        </w:tc>
        <w:tc>
          <w:tcPr>
            <w:tcW w:w="969" w:type="dxa"/>
            <w:vAlign w:val="top"/>
          </w:tcPr>
          <w:p>
            <w:pPr>
              <w:pStyle w:val="TableText"/>
              <w:ind w:left="302"/>
              <w:spacing w:before="88" w:line="195" w:lineRule="auto"/>
              <w:rPr/>
            </w:pPr>
            <w:r>
              <w:rPr>
                <w:spacing w:val="3"/>
              </w:rPr>
              <w:t>47.2</w:t>
            </w:r>
          </w:p>
        </w:tc>
        <w:tc>
          <w:tcPr>
            <w:tcW w:w="981" w:type="dxa"/>
            <w:vAlign w:val="top"/>
          </w:tcPr>
          <w:p>
            <w:pPr>
              <w:pStyle w:val="TableText"/>
              <w:ind w:left="305"/>
              <w:spacing w:before="88" w:line="195" w:lineRule="auto"/>
              <w:rPr/>
            </w:pPr>
            <w:r>
              <w:rPr>
                <w:spacing w:val="4"/>
              </w:rPr>
              <w:t>43.8</w:t>
            </w:r>
          </w:p>
        </w:tc>
      </w:tr>
      <w:tr>
        <w:trPr>
          <w:trHeight w:val="321" w:hRule="atLeast"/>
        </w:trPr>
        <w:tc>
          <w:tcPr>
            <w:tcW w:w="1559" w:type="dxa"/>
            <w:vAlign w:val="top"/>
          </w:tcPr>
          <w:p>
            <w:pPr>
              <w:ind w:left="399"/>
              <w:spacing w:before="52" w:line="228" w:lineRule="auto"/>
              <w:rPr>
                <w:rFonts w:ascii="SimSun" w:hAnsi="SimSun" w:eastAsia="SimSun" w:cs="SimSun"/>
                <w:sz w:val="20"/>
                <w:szCs w:val="20"/>
              </w:rPr>
            </w:pPr>
            <w:r>
              <w:rPr>
                <w:rFonts w:ascii="SimSun" w:hAnsi="SimSun" w:eastAsia="SimSun" w:cs="SimSun"/>
                <w:sz w:val="20"/>
                <w:szCs w:val="20"/>
                <w:spacing w:val="-2"/>
              </w:rPr>
              <w:t>自卸卡车</w:t>
            </w:r>
          </w:p>
        </w:tc>
        <w:tc>
          <w:tcPr>
            <w:tcW w:w="849" w:type="dxa"/>
            <w:vAlign w:val="top"/>
          </w:tcPr>
          <w:p>
            <w:pPr>
              <w:pStyle w:val="TableText"/>
              <w:ind w:left="244"/>
              <w:spacing w:before="88" w:line="195" w:lineRule="auto"/>
              <w:rPr/>
            </w:pPr>
            <w:r>
              <w:rPr>
                <w:spacing w:val="2"/>
              </w:rPr>
              <w:t>68.8</w:t>
            </w:r>
          </w:p>
        </w:tc>
        <w:tc>
          <w:tcPr>
            <w:tcW w:w="868" w:type="dxa"/>
            <w:vAlign w:val="top"/>
          </w:tcPr>
          <w:p>
            <w:pPr>
              <w:pStyle w:val="TableText"/>
              <w:ind w:left="255"/>
              <w:spacing w:before="88" w:line="195" w:lineRule="auto"/>
              <w:rPr/>
            </w:pPr>
            <w:r>
              <w:rPr>
                <w:spacing w:val="2"/>
              </w:rPr>
              <w:t>65.5</w:t>
            </w:r>
          </w:p>
        </w:tc>
        <w:tc>
          <w:tcPr>
            <w:tcW w:w="964" w:type="dxa"/>
            <w:vAlign w:val="top"/>
          </w:tcPr>
          <w:p>
            <w:pPr>
              <w:pStyle w:val="TableText"/>
              <w:ind w:left="305"/>
              <w:spacing w:before="88" w:line="195" w:lineRule="auto"/>
              <w:rPr/>
            </w:pPr>
            <w:r>
              <w:rPr>
                <w:spacing w:val="2"/>
              </w:rPr>
              <w:t>59.4</w:t>
            </w:r>
          </w:p>
        </w:tc>
        <w:tc>
          <w:tcPr>
            <w:tcW w:w="967" w:type="dxa"/>
            <w:vAlign w:val="top"/>
          </w:tcPr>
          <w:p>
            <w:pPr>
              <w:pStyle w:val="TableText"/>
              <w:ind w:left="308"/>
              <w:spacing w:before="88" w:line="195" w:lineRule="auto"/>
              <w:rPr/>
            </w:pPr>
            <w:r>
              <w:rPr>
                <w:spacing w:val="2"/>
              </w:rPr>
              <w:t>51.4</w:t>
            </w:r>
          </w:p>
        </w:tc>
        <w:tc>
          <w:tcPr>
            <w:tcW w:w="967" w:type="dxa"/>
            <w:vAlign w:val="top"/>
          </w:tcPr>
          <w:p>
            <w:pPr>
              <w:pStyle w:val="TableText"/>
              <w:ind w:left="301"/>
              <w:spacing w:before="88" w:line="195" w:lineRule="auto"/>
              <w:rPr/>
            </w:pPr>
            <w:r>
              <w:rPr>
                <w:spacing w:val="3"/>
              </w:rPr>
              <w:t>43.7</w:t>
            </w:r>
          </w:p>
        </w:tc>
        <w:tc>
          <w:tcPr>
            <w:tcW w:w="964" w:type="dxa"/>
            <w:vAlign w:val="top"/>
          </w:tcPr>
          <w:p>
            <w:pPr>
              <w:pStyle w:val="TableText"/>
              <w:ind w:left="299"/>
              <w:spacing w:before="88" w:line="195" w:lineRule="auto"/>
              <w:rPr/>
            </w:pPr>
            <w:r>
              <w:rPr>
                <w:spacing w:val="3"/>
              </w:rPr>
              <w:t>40.8</w:t>
            </w:r>
          </w:p>
        </w:tc>
        <w:tc>
          <w:tcPr>
            <w:tcW w:w="969" w:type="dxa"/>
            <w:vAlign w:val="top"/>
          </w:tcPr>
          <w:p>
            <w:pPr>
              <w:pStyle w:val="TableText"/>
              <w:ind w:left="307"/>
              <w:spacing w:before="88" w:line="195" w:lineRule="auto"/>
              <w:rPr/>
            </w:pPr>
            <w:r>
              <w:rPr>
                <w:spacing w:val="1"/>
              </w:rPr>
              <w:t>38.</w:t>
            </w:r>
            <w:r>
              <w:rPr>
                <w:spacing w:val="-25"/>
              </w:rPr>
              <w:t xml:space="preserve"> </w:t>
            </w:r>
            <w:r>
              <w:rPr>
                <w:spacing w:val="1"/>
              </w:rPr>
              <w:t>1</w:t>
            </w:r>
          </w:p>
        </w:tc>
        <w:tc>
          <w:tcPr>
            <w:tcW w:w="981" w:type="dxa"/>
            <w:vAlign w:val="top"/>
          </w:tcPr>
          <w:p>
            <w:pPr>
              <w:pStyle w:val="TableText"/>
              <w:ind w:left="310"/>
              <w:spacing w:before="88" w:line="195" w:lineRule="auto"/>
              <w:rPr/>
            </w:pPr>
            <w:r>
              <w:rPr>
                <w:spacing w:val="3"/>
              </w:rPr>
              <w:t>34.8</w:t>
            </w:r>
          </w:p>
        </w:tc>
      </w:tr>
    </w:tbl>
    <w:p>
      <w:pPr>
        <w:ind w:left="7" w:right="127" w:firstLine="484"/>
        <w:spacing w:before="144" w:line="339" w:lineRule="auto"/>
        <w:rPr>
          <w:rFonts w:ascii="SimSun" w:hAnsi="SimSun" w:eastAsia="SimSun" w:cs="SimSun"/>
          <w:sz w:val="24"/>
          <w:szCs w:val="24"/>
        </w:rPr>
      </w:pPr>
      <w:r>
        <w:rPr>
          <w:rFonts w:ascii="SimSun" w:hAnsi="SimSun" w:eastAsia="SimSun" w:cs="SimSun"/>
          <w:sz w:val="24"/>
          <w:szCs w:val="24"/>
        </w:rPr>
        <w:t>从表</w:t>
      </w:r>
      <w:r>
        <w:rPr>
          <w:rFonts w:ascii="SimSun" w:hAnsi="SimSun" w:eastAsia="SimSun" w:cs="SimSun"/>
          <w:sz w:val="24"/>
          <w:szCs w:val="24"/>
          <w:spacing w:val="-46"/>
        </w:rPr>
        <w:t xml:space="preserve"> </w:t>
      </w:r>
      <w:r>
        <w:rPr>
          <w:rFonts w:ascii="SimSun" w:hAnsi="SimSun" w:eastAsia="SimSun" w:cs="SimSun"/>
          <w:sz w:val="24"/>
          <w:szCs w:val="24"/>
        </w:rPr>
        <w:t>5-5-1可以看出，昼间噪声源影响范围约</w:t>
      </w:r>
      <w:r>
        <w:rPr>
          <w:rFonts w:ascii="SimSun" w:hAnsi="SimSun" w:eastAsia="SimSun" w:cs="SimSun"/>
          <w:sz w:val="24"/>
          <w:szCs w:val="24"/>
          <w:spacing w:val="-46"/>
        </w:rPr>
        <w:t xml:space="preserve"> </w:t>
      </w:r>
      <w:r>
        <w:rPr>
          <w:rFonts w:ascii="SimSun" w:hAnsi="SimSun" w:eastAsia="SimSun" w:cs="SimSun"/>
          <w:sz w:val="24"/>
          <w:szCs w:val="24"/>
        </w:rPr>
        <w:t>50m，夜间噪声源</w:t>
      </w:r>
      <w:r>
        <w:rPr>
          <w:rFonts w:ascii="SimSun" w:hAnsi="SimSun" w:eastAsia="SimSun" w:cs="SimSun"/>
          <w:sz w:val="24"/>
          <w:szCs w:val="24"/>
          <w:spacing w:val="-1"/>
        </w:rPr>
        <w:t>影响范围约</w:t>
      </w:r>
      <w:r>
        <w:rPr>
          <w:rFonts w:ascii="SimSun" w:hAnsi="SimSun" w:eastAsia="SimSun" w:cs="SimSun"/>
          <w:sz w:val="24"/>
          <w:szCs w:val="24"/>
          <w:spacing w:val="-33"/>
        </w:rPr>
        <w:t xml:space="preserve"> </w:t>
      </w:r>
      <w:r>
        <w:rPr>
          <w:rFonts w:ascii="SimSun" w:hAnsi="SimSun" w:eastAsia="SimSun" w:cs="SimSun"/>
          <w:sz w:val="24"/>
          <w:szCs w:val="24"/>
          <w:spacing w:val="-1"/>
        </w:rPr>
        <w:t>120m</w:t>
      </w:r>
      <w:r>
        <w:rPr>
          <w:rFonts w:ascii="SimSun" w:hAnsi="SimSun" w:eastAsia="SimSun" w:cs="SimSun"/>
          <w:sz w:val="24"/>
          <w:szCs w:val="24"/>
          <w:spacing w:val="-1"/>
        </w:rPr>
        <w:t>处，本项目采掘场各噪声源只在昼间运行，</w:t>
      </w:r>
      <w:r>
        <w:rPr>
          <w:rFonts w:ascii="SimSun" w:hAnsi="SimSun" w:eastAsia="SimSun" w:cs="SimSun"/>
          <w:sz w:val="24"/>
          <w:szCs w:val="24"/>
          <w:spacing w:val="-2"/>
        </w:rPr>
        <w:t>各机械主要分布于露天采掘场底板各处，各</w:t>
      </w:r>
      <w:r>
        <w:rPr>
          <w:rFonts w:ascii="SimSun" w:hAnsi="SimSun" w:eastAsia="SimSun" w:cs="SimSun"/>
          <w:sz w:val="24"/>
          <w:szCs w:val="24"/>
          <w:spacing w:val="-2"/>
        </w:rPr>
        <w:t>主要机械一般距离采区矿田边界多在</w:t>
      </w:r>
      <w:r>
        <w:rPr>
          <w:rFonts w:ascii="SimSun" w:hAnsi="SimSun" w:eastAsia="SimSun" w:cs="SimSun"/>
          <w:sz w:val="24"/>
          <w:szCs w:val="24"/>
          <w:spacing w:val="-27"/>
        </w:rPr>
        <w:t xml:space="preserve"> </w:t>
      </w:r>
      <w:r>
        <w:rPr>
          <w:rFonts w:ascii="SimSun" w:hAnsi="SimSun" w:eastAsia="SimSun" w:cs="SimSun"/>
          <w:sz w:val="24"/>
          <w:szCs w:val="24"/>
          <w:spacing w:val="-2"/>
        </w:rPr>
        <w:t>100m</w:t>
      </w:r>
      <w:r>
        <w:rPr>
          <w:rFonts w:ascii="SimSun" w:hAnsi="SimSun" w:eastAsia="SimSun" w:cs="SimSun"/>
          <w:sz w:val="24"/>
          <w:szCs w:val="24"/>
          <w:spacing w:val="-24"/>
        </w:rPr>
        <w:t xml:space="preserve"> </w:t>
      </w:r>
      <w:r>
        <w:rPr>
          <w:rFonts w:ascii="SimSun" w:hAnsi="SimSun" w:eastAsia="SimSun" w:cs="SimSun"/>
          <w:sz w:val="24"/>
          <w:szCs w:val="24"/>
          <w:spacing w:val="-2"/>
        </w:rPr>
        <w:t>以上，同时这些噪声源大多是不连续的，且</w:t>
      </w:r>
      <w:r>
        <w:rPr>
          <w:rFonts w:ascii="SimSun" w:hAnsi="SimSun" w:eastAsia="SimSun" w:cs="SimSun"/>
          <w:sz w:val="24"/>
          <w:szCs w:val="24"/>
          <w:spacing w:val="-1"/>
        </w:rPr>
        <w:t>传播受到采掘场边坡的阻隔，本次调整开采范围后，采掘场周围</w:t>
      </w:r>
      <w:r>
        <w:rPr>
          <w:rFonts w:ascii="SimSun" w:hAnsi="SimSun" w:eastAsia="SimSun" w:cs="SimSun"/>
          <w:sz w:val="24"/>
          <w:szCs w:val="24"/>
          <w:spacing w:val="-45"/>
        </w:rPr>
        <w:t xml:space="preserve"> </w:t>
      </w:r>
      <w:r>
        <w:rPr>
          <w:rFonts w:ascii="SimSun" w:hAnsi="SimSun" w:eastAsia="SimSun" w:cs="SimSun"/>
          <w:sz w:val="24"/>
          <w:szCs w:val="24"/>
          <w:spacing w:val="-1"/>
        </w:rPr>
        <w:t>200m</w:t>
      </w:r>
      <w:r>
        <w:rPr>
          <w:rFonts w:ascii="SimSun" w:hAnsi="SimSun" w:eastAsia="SimSun" w:cs="SimSun"/>
          <w:sz w:val="24"/>
          <w:szCs w:val="24"/>
          <w:spacing w:val="-45"/>
        </w:rPr>
        <w:t xml:space="preserve"> </w:t>
      </w:r>
      <w:r>
        <w:rPr>
          <w:rFonts w:ascii="SimSun" w:hAnsi="SimSun" w:eastAsia="SimSun" w:cs="SimSun"/>
          <w:sz w:val="24"/>
          <w:szCs w:val="24"/>
          <w:spacing w:val="-1"/>
        </w:rPr>
        <w:t>范围内不涉及声</w:t>
      </w:r>
      <w:r>
        <w:rPr>
          <w:rFonts w:ascii="SimSun" w:hAnsi="SimSun" w:eastAsia="SimSun" w:cs="SimSun"/>
          <w:sz w:val="24"/>
          <w:szCs w:val="24"/>
        </w:rPr>
        <w:t>环境敏感目标，采掘场内各机械作业对采掘场</w:t>
      </w:r>
      <w:r>
        <w:rPr>
          <w:rFonts w:ascii="SimSun" w:hAnsi="SimSun" w:eastAsia="SimSun" w:cs="SimSun"/>
          <w:sz w:val="24"/>
          <w:szCs w:val="24"/>
          <w:spacing w:val="-1"/>
        </w:rPr>
        <w:t>外声环境影响不大。</w:t>
      </w:r>
    </w:p>
    <w:p>
      <w:pPr>
        <w:ind w:left="9"/>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5.4.3  </w:t>
      </w:r>
      <w:r>
        <w:rPr>
          <w:rFonts w:ascii="SimHei" w:hAnsi="SimHei" w:eastAsia="SimHei" w:cs="SimHei"/>
          <w:sz w:val="28"/>
          <w:szCs w:val="28"/>
          <w:b/>
          <w:bCs/>
          <w:spacing w:val="-2"/>
        </w:rPr>
        <w:t>声环境影响评价自查表</w:t>
      </w:r>
    </w:p>
    <w:p>
      <w:pPr>
        <w:pStyle w:val="BodyText"/>
        <w:spacing w:line="366" w:lineRule="auto"/>
        <w:rPr/>
      </w:pPr>
      <w:r/>
    </w:p>
    <w:p>
      <w:pPr>
        <w:ind w:left="490"/>
        <w:spacing w:before="79" w:line="218" w:lineRule="auto"/>
        <w:rPr>
          <w:rFonts w:ascii="SimSun" w:hAnsi="SimSun" w:eastAsia="SimSun" w:cs="SimSun"/>
          <w:sz w:val="24"/>
          <w:szCs w:val="24"/>
        </w:rPr>
      </w:pPr>
      <w:r>
        <w:rPr>
          <w:rFonts w:ascii="SimSun" w:hAnsi="SimSun" w:eastAsia="SimSun" w:cs="SimSun"/>
          <w:sz w:val="24"/>
          <w:szCs w:val="24"/>
          <w:spacing w:val="-1"/>
        </w:rPr>
        <w:t>本项目的声环境影响评价自查表见表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5-4-5</w:t>
      </w:r>
      <w:r>
        <w:rPr>
          <w:rFonts w:ascii="SimSun" w:hAnsi="SimSun" w:eastAsia="SimSun" w:cs="SimSun"/>
          <w:sz w:val="24"/>
          <w:szCs w:val="24"/>
          <w:spacing w:val="-1"/>
        </w:rPr>
        <w:t>。</w:t>
      </w:r>
    </w:p>
    <w:p>
      <w:pPr>
        <w:spacing w:line="218" w:lineRule="auto"/>
        <w:sectPr>
          <w:headerReference w:type="default" r:id="rId448"/>
          <w:footerReference w:type="default" r:id="rId449"/>
          <w:pgSz w:w="11906" w:h="16838"/>
          <w:pgMar w:top="1170" w:right="1290" w:bottom="1080" w:left="1416" w:header="837" w:footer="918" w:gutter="0"/>
        </w:sectPr>
        <w:rPr>
          <w:rFonts w:ascii="SimSun" w:hAnsi="SimSun" w:eastAsia="SimSun" w:cs="SimSun"/>
          <w:sz w:val="24"/>
          <w:szCs w:val="24"/>
        </w:rPr>
      </w:pPr>
    </w:p>
    <w:p>
      <w:pPr>
        <w:pStyle w:val="BodyText"/>
        <w:spacing w:line="440" w:lineRule="auto"/>
        <w:rPr/>
      </w:pPr>
      <w:r/>
    </w:p>
    <w:p>
      <w:pPr>
        <w:ind w:left="3695"/>
        <w:spacing w:before="78" w:line="222" w:lineRule="auto"/>
        <w:rPr>
          <w:rFonts w:ascii="SimHei" w:hAnsi="SimHei" w:eastAsia="SimHei" w:cs="SimHei"/>
          <w:sz w:val="24"/>
          <w:szCs w:val="24"/>
        </w:rPr>
      </w:pPr>
      <w:r>
        <w:rPr>
          <w:rFonts w:ascii="SimHei" w:hAnsi="SimHei" w:eastAsia="SimHei" w:cs="SimHei"/>
          <w:sz w:val="24"/>
          <w:szCs w:val="24"/>
          <w:spacing w:val="-2"/>
        </w:rPr>
        <w:t>声影响评价自查表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5-4-5</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607"/>
        <w:gridCol w:w="1897"/>
        <w:gridCol w:w="2476"/>
        <w:gridCol w:w="703"/>
        <w:gridCol w:w="698"/>
        <w:gridCol w:w="1909"/>
      </w:tblGrid>
      <w:tr>
        <w:trPr>
          <w:trHeight w:val="283" w:hRule="atLeast"/>
        </w:trPr>
        <w:tc>
          <w:tcPr>
            <w:tcW w:w="3504" w:type="dxa"/>
            <w:vAlign w:val="top"/>
            <w:gridSpan w:val="2"/>
          </w:tcPr>
          <w:p>
            <w:pPr>
              <w:ind w:left="1340"/>
              <w:spacing w:before="33" w:line="221" w:lineRule="auto"/>
              <w:rPr>
                <w:rFonts w:ascii="SimSun" w:hAnsi="SimSun" w:eastAsia="SimSun" w:cs="SimSun"/>
                <w:sz w:val="20"/>
                <w:szCs w:val="20"/>
              </w:rPr>
            </w:pPr>
            <w:r>
              <w:rPr>
                <w:rFonts w:ascii="SimSun" w:hAnsi="SimSun" w:eastAsia="SimSun" w:cs="SimSun"/>
                <w:sz w:val="20"/>
                <w:szCs w:val="20"/>
                <w:spacing w:val="6"/>
              </w:rPr>
              <w:t>工作内容</w:t>
            </w:r>
          </w:p>
        </w:tc>
        <w:tc>
          <w:tcPr>
            <w:tcW w:w="5786" w:type="dxa"/>
            <w:vAlign w:val="top"/>
            <w:gridSpan w:val="4"/>
          </w:tcPr>
          <w:p>
            <w:pPr>
              <w:ind w:left="2511"/>
              <w:spacing w:before="33" w:line="221" w:lineRule="auto"/>
              <w:rPr>
                <w:rFonts w:ascii="SimSun" w:hAnsi="SimSun" w:eastAsia="SimSun" w:cs="SimSun"/>
                <w:sz w:val="20"/>
                <w:szCs w:val="20"/>
              </w:rPr>
            </w:pPr>
            <w:r>
              <w:rPr>
                <w:rFonts w:ascii="SimSun" w:hAnsi="SimSun" w:eastAsia="SimSun" w:cs="SimSun"/>
                <w:sz w:val="20"/>
                <w:szCs w:val="20"/>
                <w:spacing w:val="-2"/>
              </w:rPr>
              <w:t>自查项目</w:t>
            </w:r>
          </w:p>
        </w:tc>
      </w:tr>
      <w:tr>
        <w:trPr>
          <w:trHeight w:val="331" w:hRule="atLeast"/>
        </w:trPr>
        <w:tc>
          <w:tcPr>
            <w:tcW w:w="1607" w:type="dxa"/>
            <w:vAlign w:val="top"/>
            <w:vMerge w:val="restart"/>
            <w:tcBorders>
              <w:bottom w:val="nil"/>
            </w:tcBorders>
          </w:tcPr>
          <w:p>
            <w:pPr>
              <w:ind w:left="719" w:right="174" w:hanging="542"/>
              <w:spacing w:before="57" w:line="251" w:lineRule="auto"/>
              <w:rPr>
                <w:rFonts w:ascii="SimSun" w:hAnsi="SimSun" w:eastAsia="SimSun" w:cs="SimSun"/>
                <w:sz w:val="20"/>
                <w:szCs w:val="20"/>
              </w:rPr>
            </w:pPr>
            <w:r>
              <w:rPr>
                <w:rFonts w:ascii="SimSun" w:hAnsi="SimSun" w:eastAsia="SimSun" w:cs="SimSun"/>
                <w:sz w:val="20"/>
                <w:szCs w:val="20"/>
                <w:spacing w:val="8"/>
              </w:rPr>
              <w:t>评价等级与范</w:t>
            </w:r>
            <w:r>
              <w:rPr>
                <w:rFonts w:ascii="SimSun" w:hAnsi="SimSun" w:eastAsia="SimSun" w:cs="SimSun"/>
                <w:sz w:val="20"/>
                <w:szCs w:val="20"/>
              </w:rPr>
              <w:t>围</w:t>
            </w:r>
          </w:p>
        </w:tc>
        <w:tc>
          <w:tcPr>
            <w:tcW w:w="1897" w:type="dxa"/>
            <w:vAlign w:val="top"/>
          </w:tcPr>
          <w:p>
            <w:pPr>
              <w:ind w:left="533"/>
              <w:spacing w:before="53" w:line="226" w:lineRule="auto"/>
              <w:rPr>
                <w:rFonts w:ascii="SimSun" w:hAnsi="SimSun" w:eastAsia="SimSun" w:cs="SimSun"/>
                <w:sz w:val="20"/>
                <w:szCs w:val="20"/>
              </w:rPr>
            </w:pPr>
            <w:r>
              <w:rPr>
                <w:rFonts w:ascii="SimSun" w:hAnsi="SimSun" w:eastAsia="SimSun" w:cs="SimSun"/>
                <w:sz w:val="20"/>
                <w:szCs w:val="20"/>
                <w:spacing w:val="7"/>
              </w:rPr>
              <w:t>评价等级</w:t>
            </w:r>
          </w:p>
        </w:tc>
        <w:tc>
          <w:tcPr>
            <w:tcW w:w="5786" w:type="dxa"/>
            <w:vAlign w:val="top"/>
            <w:gridSpan w:val="4"/>
          </w:tcPr>
          <w:p>
            <w:pPr>
              <w:pStyle w:val="TableText"/>
              <w:ind w:left="1892"/>
              <w:spacing w:before="55" w:line="230" w:lineRule="auto"/>
              <w:rPr/>
            </w:pPr>
            <w:r>
              <w:rPr>
                <w:rFonts w:ascii="SimSun" w:hAnsi="SimSun" w:eastAsia="SimSun" w:cs="SimSun"/>
                <w:spacing w:val="6"/>
              </w:rPr>
              <w:t>一级□ 二级</w:t>
            </w:r>
            <w:r>
              <w:rPr>
                <w:rFonts w:ascii="MS UI Gothic" w:hAnsi="MS UI Gothic" w:eastAsia="MS UI Gothic" w:cs="MS UI Gothic"/>
                <w:spacing w:val="6"/>
              </w:rPr>
              <w:t>☑</w:t>
            </w:r>
            <w:r>
              <w:rPr>
                <w:rFonts w:ascii="MS UI Gothic" w:hAnsi="MS UI Gothic" w:eastAsia="MS UI Gothic" w:cs="MS UI Gothic"/>
                <w:spacing w:val="60"/>
                <w:w w:val="101"/>
              </w:rPr>
              <w:t xml:space="preserve"> </w:t>
            </w:r>
            <w:r>
              <w:rPr>
                <w:rFonts w:ascii="SimSun" w:hAnsi="SimSun" w:eastAsia="SimSun" w:cs="SimSun"/>
                <w:spacing w:val="6"/>
              </w:rPr>
              <w:t>三级</w:t>
            </w:r>
            <w:r>
              <w:rPr>
                <w:spacing w:val="6"/>
              </w:rPr>
              <w:t>□</w:t>
            </w:r>
          </w:p>
        </w:tc>
      </w:tr>
      <w:tr>
        <w:trPr>
          <w:trHeight w:val="275" w:hRule="atLeast"/>
        </w:trPr>
        <w:tc>
          <w:tcPr>
            <w:tcW w:w="1607" w:type="dxa"/>
            <w:vAlign w:val="top"/>
            <w:vMerge w:val="continue"/>
            <w:tcBorders>
              <w:top w:val="nil"/>
            </w:tcBorders>
          </w:tcPr>
          <w:p>
            <w:pPr>
              <w:rPr>
                <w:rFonts w:ascii="Arial"/>
                <w:sz w:val="21"/>
              </w:rPr>
            </w:pPr>
            <w:r/>
          </w:p>
        </w:tc>
        <w:tc>
          <w:tcPr>
            <w:tcW w:w="1897" w:type="dxa"/>
            <w:vAlign w:val="top"/>
          </w:tcPr>
          <w:p>
            <w:pPr>
              <w:ind w:left="533"/>
              <w:spacing w:before="26" w:line="220" w:lineRule="auto"/>
              <w:rPr>
                <w:rFonts w:ascii="SimSun" w:hAnsi="SimSun" w:eastAsia="SimSun" w:cs="SimSun"/>
                <w:sz w:val="20"/>
                <w:szCs w:val="20"/>
              </w:rPr>
            </w:pPr>
            <w:r>
              <w:rPr>
                <w:rFonts w:ascii="SimSun" w:hAnsi="SimSun" w:eastAsia="SimSun" w:cs="SimSun"/>
                <w:sz w:val="20"/>
                <w:szCs w:val="20"/>
                <w:spacing w:val="7"/>
              </w:rPr>
              <w:t>评价范围</w:t>
            </w:r>
          </w:p>
        </w:tc>
        <w:tc>
          <w:tcPr>
            <w:tcW w:w="5786" w:type="dxa"/>
            <w:vAlign w:val="top"/>
            <w:gridSpan w:val="4"/>
          </w:tcPr>
          <w:p>
            <w:pPr>
              <w:pStyle w:val="TableText"/>
              <w:ind w:left="1208"/>
              <w:spacing w:before="26" w:line="220" w:lineRule="auto"/>
              <w:rPr/>
            </w:pPr>
            <w:r>
              <w:rPr>
                <w:spacing w:val="4"/>
              </w:rPr>
              <w:t>200m</w:t>
            </w:r>
            <w:r>
              <w:rPr>
                <w:rFonts w:ascii="MS UI Gothic" w:hAnsi="MS UI Gothic" w:eastAsia="MS UI Gothic" w:cs="MS UI Gothic"/>
                <w:spacing w:val="4"/>
              </w:rPr>
              <w:t>☑     </w:t>
            </w:r>
            <w:r>
              <w:rPr>
                <w:rFonts w:ascii="SimSun" w:hAnsi="SimSun" w:eastAsia="SimSun" w:cs="SimSun"/>
                <w:spacing w:val="4"/>
              </w:rPr>
              <w:t>大于</w:t>
            </w:r>
            <w:r>
              <w:rPr>
                <w:rFonts w:ascii="SimSun" w:hAnsi="SimSun" w:eastAsia="SimSun" w:cs="SimSun"/>
                <w:spacing w:val="-22"/>
              </w:rPr>
              <w:t xml:space="preserve"> </w:t>
            </w:r>
            <w:r>
              <w:rPr>
                <w:spacing w:val="4"/>
              </w:rPr>
              <w:t>200m□    </w:t>
            </w:r>
            <w:r>
              <w:rPr>
                <w:rFonts w:ascii="SimSun" w:hAnsi="SimSun" w:eastAsia="SimSun" w:cs="SimSun"/>
                <w:spacing w:val="4"/>
              </w:rPr>
              <w:t>小于</w:t>
            </w:r>
            <w:r>
              <w:rPr>
                <w:rFonts w:ascii="SimSun" w:hAnsi="SimSun" w:eastAsia="SimSun" w:cs="SimSun"/>
                <w:spacing w:val="-40"/>
              </w:rPr>
              <w:t xml:space="preserve"> </w:t>
            </w:r>
            <w:r>
              <w:rPr>
                <w:spacing w:val="4"/>
              </w:rPr>
              <w:t>200m□</w:t>
            </w:r>
          </w:p>
        </w:tc>
      </w:tr>
      <w:tr>
        <w:trPr>
          <w:trHeight w:val="331" w:hRule="atLeast"/>
        </w:trPr>
        <w:tc>
          <w:tcPr>
            <w:tcW w:w="1607" w:type="dxa"/>
            <w:vAlign w:val="top"/>
          </w:tcPr>
          <w:p>
            <w:pPr>
              <w:ind w:left="388"/>
              <w:spacing w:before="56" w:line="226" w:lineRule="auto"/>
              <w:rPr>
                <w:rFonts w:ascii="SimSun" w:hAnsi="SimSun" w:eastAsia="SimSun" w:cs="SimSun"/>
                <w:sz w:val="20"/>
                <w:szCs w:val="20"/>
              </w:rPr>
            </w:pPr>
            <w:r>
              <w:rPr>
                <w:rFonts w:ascii="SimSun" w:hAnsi="SimSun" w:eastAsia="SimSun" w:cs="SimSun"/>
                <w:sz w:val="20"/>
                <w:szCs w:val="20"/>
                <w:spacing w:val="7"/>
              </w:rPr>
              <w:t>评价因子</w:t>
            </w:r>
          </w:p>
        </w:tc>
        <w:tc>
          <w:tcPr>
            <w:tcW w:w="1897" w:type="dxa"/>
            <w:vAlign w:val="top"/>
          </w:tcPr>
          <w:p>
            <w:pPr>
              <w:ind w:left="533"/>
              <w:spacing w:before="56" w:line="226" w:lineRule="auto"/>
              <w:rPr>
                <w:rFonts w:ascii="SimSun" w:hAnsi="SimSun" w:eastAsia="SimSun" w:cs="SimSun"/>
                <w:sz w:val="20"/>
                <w:szCs w:val="20"/>
              </w:rPr>
            </w:pPr>
            <w:r>
              <w:rPr>
                <w:rFonts w:ascii="SimSun" w:hAnsi="SimSun" w:eastAsia="SimSun" w:cs="SimSun"/>
                <w:sz w:val="20"/>
                <w:szCs w:val="20"/>
                <w:spacing w:val="7"/>
              </w:rPr>
              <w:t>评价因子</w:t>
            </w:r>
          </w:p>
        </w:tc>
        <w:tc>
          <w:tcPr>
            <w:tcW w:w="5786" w:type="dxa"/>
            <w:vAlign w:val="top"/>
            <w:gridSpan w:val="4"/>
          </w:tcPr>
          <w:p>
            <w:pPr>
              <w:pStyle w:val="TableText"/>
              <w:ind w:left="206"/>
              <w:spacing w:before="55" w:line="228" w:lineRule="auto"/>
              <w:rPr/>
            </w:pPr>
            <w:r>
              <w:rPr>
                <w:rFonts w:ascii="SimSun" w:hAnsi="SimSun" w:eastAsia="SimSun" w:cs="SimSun"/>
                <w:spacing w:val="8"/>
              </w:rPr>
              <w:t>等效连续</w:t>
            </w:r>
            <w:r>
              <w:rPr>
                <w:spacing w:val="8"/>
              </w:rPr>
              <w:t>A</w:t>
            </w:r>
            <w:r>
              <w:rPr>
                <w:rFonts w:ascii="SimSun" w:hAnsi="SimSun" w:eastAsia="SimSun" w:cs="SimSun"/>
                <w:spacing w:val="8"/>
              </w:rPr>
              <w:t>声级</w:t>
            </w:r>
            <w:r>
              <w:rPr>
                <w:rFonts w:ascii="MS UI Gothic" w:hAnsi="MS UI Gothic" w:eastAsia="MS UI Gothic" w:cs="MS UI Gothic"/>
                <w:spacing w:val="8"/>
              </w:rPr>
              <w:t>☑</w:t>
            </w:r>
            <w:r>
              <w:rPr>
                <w:rFonts w:ascii="MS UI Gothic" w:hAnsi="MS UI Gothic" w:eastAsia="MS UI Gothic" w:cs="MS UI Gothic"/>
                <w:spacing w:val="60"/>
                <w:w w:val="101"/>
              </w:rPr>
              <w:t xml:space="preserve"> </w:t>
            </w:r>
            <w:r>
              <w:rPr>
                <w:rFonts w:ascii="SimSun" w:hAnsi="SimSun" w:eastAsia="SimSun" w:cs="SimSun"/>
                <w:spacing w:val="8"/>
              </w:rPr>
              <w:t>最大</w:t>
            </w:r>
            <w:r>
              <w:rPr>
                <w:spacing w:val="8"/>
              </w:rPr>
              <w:t>A</w:t>
            </w:r>
            <w:r>
              <w:rPr>
                <w:rFonts w:ascii="SimSun" w:hAnsi="SimSun" w:eastAsia="SimSun" w:cs="SimSun"/>
                <w:spacing w:val="8"/>
              </w:rPr>
              <w:t>声级</w:t>
            </w:r>
            <w:r>
              <w:rPr>
                <w:spacing w:val="8"/>
              </w:rPr>
              <w:t>□  </w:t>
            </w:r>
            <w:r>
              <w:rPr>
                <w:rFonts w:ascii="SimSun" w:hAnsi="SimSun" w:eastAsia="SimSun" w:cs="SimSun"/>
                <w:spacing w:val="8"/>
              </w:rPr>
              <w:t>计权等效连续感觉噪声级</w:t>
            </w:r>
            <w:r>
              <w:rPr>
                <w:spacing w:val="8"/>
              </w:rPr>
              <w:t>□</w:t>
            </w:r>
          </w:p>
        </w:tc>
      </w:tr>
      <w:tr>
        <w:trPr>
          <w:trHeight w:val="331" w:hRule="atLeast"/>
        </w:trPr>
        <w:tc>
          <w:tcPr>
            <w:tcW w:w="1607" w:type="dxa"/>
            <w:vAlign w:val="top"/>
          </w:tcPr>
          <w:p>
            <w:pPr>
              <w:ind w:left="388"/>
              <w:spacing w:before="56" w:line="226" w:lineRule="auto"/>
              <w:rPr>
                <w:rFonts w:ascii="SimSun" w:hAnsi="SimSun" w:eastAsia="SimSun" w:cs="SimSun"/>
                <w:sz w:val="20"/>
                <w:szCs w:val="20"/>
              </w:rPr>
            </w:pPr>
            <w:r>
              <w:rPr>
                <w:rFonts w:ascii="SimSun" w:hAnsi="SimSun" w:eastAsia="SimSun" w:cs="SimSun"/>
                <w:sz w:val="20"/>
                <w:szCs w:val="20"/>
                <w:spacing w:val="7"/>
              </w:rPr>
              <w:t>评价标准</w:t>
            </w:r>
          </w:p>
        </w:tc>
        <w:tc>
          <w:tcPr>
            <w:tcW w:w="1897" w:type="dxa"/>
            <w:vAlign w:val="top"/>
          </w:tcPr>
          <w:p>
            <w:pPr>
              <w:ind w:left="533"/>
              <w:spacing w:before="56" w:line="226" w:lineRule="auto"/>
              <w:rPr>
                <w:rFonts w:ascii="SimSun" w:hAnsi="SimSun" w:eastAsia="SimSun" w:cs="SimSun"/>
                <w:sz w:val="20"/>
                <w:szCs w:val="20"/>
              </w:rPr>
            </w:pPr>
            <w:r>
              <w:rPr>
                <w:rFonts w:ascii="SimSun" w:hAnsi="SimSun" w:eastAsia="SimSun" w:cs="SimSun"/>
                <w:sz w:val="20"/>
                <w:szCs w:val="20"/>
                <w:spacing w:val="7"/>
              </w:rPr>
              <w:t>评价标准</w:t>
            </w:r>
          </w:p>
        </w:tc>
        <w:tc>
          <w:tcPr>
            <w:tcW w:w="5786" w:type="dxa"/>
            <w:vAlign w:val="top"/>
            <w:gridSpan w:val="4"/>
          </w:tcPr>
          <w:p>
            <w:pPr>
              <w:pStyle w:val="TableText"/>
              <w:ind w:left="1322"/>
              <w:spacing w:before="56" w:line="228" w:lineRule="auto"/>
              <w:rPr/>
            </w:pPr>
            <w:r>
              <w:rPr>
                <w:rFonts w:ascii="SimSun" w:hAnsi="SimSun" w:eastAsia="SimSun" w:cs="SimSun"/>
                <w:spacing w:val="5"/>
              </w:rPr>
              <w:t>国家标准</w:t>
            </w:r>
            <w:r>
              <w:rPr>
                <w:rFonts w:ascii="MS UI Gothic" w:hAnsi="MS UI Gothic" w:eastAsia="MS UI Gothic" w:cs="MS UI Gothic"/>
                <w:spacing w:val="5"/>
              </w:rPr>
              <w:t>☑</w:t>
            </w:r>
            <w:r>
              <w:rPr>
                <w:rFonts w:ascii="MS UI Gothic" w:hAnsi="MS UI Gothic" w:eastAsia="MS UI Gothic" w:cs="MS UI Gothic"/>
                <w:spacing w:val="48"/>
                <w:w w:val="101"/>
              </w:rPr>
              <w:t xml:space="preserve"> </w:t>
            </w:r>
            <w:r>
              <w:rPr>
                <w:rFonts w:ascii="SimSun" w:hAnsi="SimSun" w:eastAsia="SimSun" w:cs="SimSun"/>
                <w:spacing w:val="5"/>
              </w:rPr>
              <w:t>地方标准</w:t>
            </w:r>
            <w:r>
              <w:rPr>
                <w:spacing w:val="5"/>
              </w:rPr>
              <w:t>□</w:t>
            </w:r>
            <w:r>
              <w:rPr>
                <w:spacing w:val="17"/>
                <w:w w:val="101"/>
              </w:rPr>
              <w:t xml:space="preserve">  </w:t>
            </w:r>
            <w:r>
              <w:rPr>
                <w:rFonts w:ascii="SimSun" w:hAnsi="SimSun" w:eastAsia="SimSun" w:cs="SimSun"/>
                <w:spacing w:val="5"/>
              </w:rPr>
              <w:t>国外标准</w:t>
            </w:r>
            <w:r>
              <w:rPr>
                <w:spacing w:val="5"/>
              </w:rPr>
              <w:t>□</w:t>
            </w:r>
          </w:p>
        </w:tc>
      </w:tr>
      <w:tr>
        <w:trPr>
          <w:trHeight w:val="331" w:hRule="atLeast"/>
        </w:trPr>
        <w:tc>
          <w:tcPr>
            <w:tcW w:w="1607" w:type="dxa"/>
            <w:vAlign w:val="top"/>
            <w:vMerge w:val="restart"/>
            <w:tcBorders>
              <w:bottom w:val="nil"/>
            </w:tcBorders>
          </w:tcPr>
          <w:p>
            <w:pPr>
              <w:spacing w:line="466" w:lineRule="auto"/>
              <w:rPr>
                <w:rFonts w:ascii="Arial"/>
                <w:sz w:val="21"/>
              </w:rPr>
            </w:pPr>
            <w:r/>
          </w:p>
          <w:p>
            <w:pPr>
              <w:ind w:left="391"/>
              <w:spacing w:before="65" w:line="226" w:lineRule="auto"/>
              <w:rPr>
                <w:rFonts w:ascii="SimSun" w:hAnsi="SimSun" w:eastAsia="SimSun" w:cs="SimSun"/>
                <w:sz w:val="20"/>
                <w:szCs w:val="20"/>
              </w:rPr>
            </w:pPr>
            <w:r>
              <w:rPr>
                <w:rFonts w:ascii="SimSun" w:hAnsi="SimSun" w:eastAsia="SimSun" w:cs="SimSun"/>
                <w:sz w:val="20"/>
                <w:szCs w:val="20"/>
                <w:spacing w:val="6"/>
              </w:rPr>
              <w:t>现状评价</w:t>
            </w:r>
          </w:p>
        </w:tc>
        <w:tc>
          <w:tcPr>
            <w:tcW w:w="1897" w:type="dxa"/>
            <w:vAlign w:val="top"/>
          </w:tcPr>
          <w:p>
            <w:pPr>
              <w:ind w:left="426"/>
              <w:spacing w:before="56" w:line="228" w:lineRule="auto"/>
              <w:rPr>
                <w:rFonts w:ascii="SimSun" w:hAnsi="SimSun" w:eastAsia="SimSun" w:cs="SimSun"/>
                <w:sz w:val="20"/>
                <w:szCs w:val="20"/>
              </w:rPr>
            </w:pPr>
            <w:r>
              <w:rPr>
                <w:rFonts w:ascii="SimSun" w:hAnsi="SimSun" w:eastAsia="SimSun" w:cs="SimSun"/>
                <w:sz w:val="20"/>
                <w:szCs w:val="20"/>
                <w:spacing w:val="8"/>
              </w:rPr>
              <w:t>环境功能区</w:t>
            </w:r>
          </w:p>
        </w:tc>
        <w:tc>
          <w:tcPr>
            <w:tcW w:w="5786" w:type="dxa"/>
            <w:vAlign w:val="top"/>
            <w:gridSpan w:val="4"/>
          </w:tcPr>
          <w:p>
            <w:pPr>
              <w:pStyle w:val="TableText"/>
              <w:ind w:left="249"/>
              <w:spacing w:before="55" w:line="228" w:lineRule="auto"/>
              <w:rPr/>
            </w:pPr>
            <w:r>
              <w:rPr>
                <w:spacing w:val="4"/>
              </w:rPr>
              <w:t>0 </w:t>
            </w:r>
            <w:r>
              <w:rPr>
                <w:rFonts w:ascii="SimSun" w:hAnsi="SimSun" w:eastAsia="SimSun" w:cs="SimSun"/>
                <w:spacing w:val="4"/>
              </w:rPr>
              <w:t>类区</w:t>
            </w:r>
            <w:r>
              <w:rPr>
                <w:spacing w:val="4"/>
              </w:rPr>
              <w:t>□</w:t>
            </w:r>
            <w:r>
              <w:rPr>
                <w:spacing w:val="9"/>
              </w:rPr>
              <w:t xml:space="preserve">    </w:t>
            </w:r>
            <w:r>
              <w:rPr>
                <w:spacing w:val="4"/>
              </w:rPr>
              <w:t>1 </w:t>
            </w:r>
            <w:r>
              <w:rPr>
                <w:rFonts w:ascii="SimSun" w:hAnsi="SimSun" w:eastAsia="SimSun" w:cs="SimSun"/>
                <w:spacing w:val="4"/>
              </w:rPr>
              <w:t>类区</w:t>
            </w:r>
            <w:r>
              <w:rPr>
                <w:spacing w:val="4"/>
              </w:rPr>
              <w:t>□    2 </w:t>
            </w:r>
            <w:r>
              <w:rPr>
                <w:rFonts w:ascii="SimSun" w:hAnsi="SimSun" w:eastAsia="SimSun" w:cs="SimSun"/>
                <w:spacing w:val="4"/>
              </w:rPr>
              <w:t>类区</w:t>
            </w:r>
            <w:r>
              <w:rPr>
                <w:rFonts w:ascii="MS UI Gothic" w:hAnsi="MS UI Gothic" w:eastAsia="MS UI Gothic" w:cs="MS UI Gothic"/>
                <w:spacing w:val="4"/>
              </w:rPr>
              <w:t>☑    </w:t>
            </w:r>
            <w:r>
              <w:rPr>
                <w:spacing w:val="4"/>
              </w:rPr>
              <w:t>3 </w:t>
            </w:r>
            <w:r>
              <w:rPr>
                <w:rFonts w:ascii="SimSun" w:hAnsi="SimSun" w:eastAsia="SimSun" w:cs="SimSun"/>
                <w:spacing w:val="4"/>
              </w:rPr>
              <w:t>类区</w:t>
            </w:r>
            <w:r>
              <w:rPr>
                <w:spacing w:val="4"/>
              </w:rPr>
              <w:t>□    </w:t>
            </w:r>
            <w:r>
              <w:rPr>
                <w:spacing w:val="3"/>
              </w:rPr>
              <w:t>4a</w:t>
            </w:r>
            <w:r>
              <w:rPr>
                <w:rFonts w:ascii="SimSun" w:hAnsi="SimSun" w:eastAsia="SimSun" w:cs="SimSun"/>
                <w:spacing w:val="3"/>
              </w:rPr>
              <w:t>类区</w:t>
            </w:r>
            <w:r>
              <w:rPr>
                <w:spacing w:val="3"/>
              </w:rPr>
              <w:t>□ 4b</w:t>
            </w:r>
            <w:r>
              <w:rPr>
                <w:rFonts w:ascii="SimSun" w:hAnsi="SimSun" w:eastAsia="SimSun" w:cs="SimSun"/>
                <w:spacing w:val="3"/>
              </w:rPr>
              <w:t>类区</w:t>
            </w:r>
            <w:r>
              <w:rPr>
                <w:spacing w:val="3"/>
              </w:rPr>
              <w:t>□</w:t>
            </w:r>
          </w:p>
        </w:tc>
      </w:tr>
      <w:tr>
        <w:trPr>
          <w:trHeight w:val="331" w:hRule="atLeast"/>
        </w:trPr>
        <w:tc>
          <w:tcPr>
            <w:tcW w:w="1607" w:type="dxa"/>
            <w:vAlign w:val="top"/>
            <w:vMerge w:val="continue"/>
            <w:tcBorders>
              <w:top w:val="nil"/>
              <w:bottom w:val="nil"/>
            </w:tcBorders>
          </w:tcPr>
          <w:p>
            <w:pPr>
              <w:rPr>
                <w:rFonts w:ascii="Arial"/>
                <w:sz w:val="21"/>
              </w:rPr>
            </w:pPr>
            <w:r/>
          </w:p>
        </w:tc>
        <w:tc>
          <w:tcPr>
            <w:tcW w:w="1897" w:type="dxa"/>
            <w:vAlign w:val="top"/>
          </w:tcPr>
          <w:p>
            <w:pPr>
              <w:ind w:left="533"/>
              <w:spacing w:before="56" w:line="226" w:lineRule="auto"/>
              <w:rPr>
                <w:rFonts w:ascii="SimSun" w:hAnsi="SimSun" w:eastAsia="SimSun" w:cs="SimSun"/>
                <w:sz w:val="20"/>
                <w:szCs w:val="20"/>
              </w:rPr>
            </w:pPr>
            <w:r>
              <w:rPr>
                <w:rFonts w:ascii="SimSun" w:hAnsi="SimSun" w:eastAsia="SimSun" w:cs="SimSun"/>
                <w:sz w:val="20"/>
                <w:szCs w:val="20"/>
                <w:spacing w:val="7"/>
              </w:rPr>
              <w:t>评价年度</w:t>
            </w:r>
          </w:p>
        </w:tc>
        <w:tc>
          <w:tcPr>
            <w:tcW w:w="5786" w:type="dxa"/>
            <w:vAlign w:val="top"/>
            <w:gridSpan w:val="4"/>
          </w:tcPr>
          <w:p>
            <w:pPr>
              <w:pStyle w:val="TableText"/>
              <w:ind w:left="1600"/>
              <w:spacing w:before="56" w:line="228" w:lineRule="auto"/>
              <w:rPr/>
            </w:pPr>
            <w:r>
              <w:rPr>
                <w:rFonts w:ascii="SimSun" w:hAnsi="SimSun" w:eastAsia="SimSun" w:cs="SimSun"/>
                <w:spacing w:val="5"/>
              </w:rPr>
              <w:t>初期</w:t>
            </w:r>
            <w:r>
              <w:rPr>
                <w:spacing w:val="5"/>
              </w:rPr>
              <w:t>□  </w:t>
            </w:r>
            <w:r>
              <w:rPr>
                <w:rFonts w:ascii="SimSun" w:hAnsi="SimSun" w:eastAsia="SimSun" w:cs="SimSun"/>
                <w:spacing w:val="5"/>
              </w:rPr>
              <w:t>近期</w:t>
            </w:r>
            <w:r>
              <w:rPr>
                <w:rFonts w:ascii="MS UI Gothic" w:hAnsi="MS UI Gothic" w:eastAsia="MS UI Gothic" w:cs="MS UI Gothic"/>
                <w:spacing w:val="5"/>
              </w:rPr>
              <w:t>☑  </w:t>
            </w:r>
            <w:r>
              <w:rPr>
                <w:rFonts w:ascii="SimSun" w:hAnsi="SimSun" w:eastAsia="SimSun" w:cs="SimSun"/>
                <w:spacing w:val="5"/>
              </w:rPr>
              <w:t>中期</w:t>
            </w:r>
            <w:r>
              <w:rPr>
                <w:spacing w:val="5"/>
              </w:rPr>
              <w:t>□</w:t>
            </w:r>
            <w:r>
              <w:rPr>
                <w:spacing w:val="6"/>
              </w:rPr>
              <w:t xml:space="preserve">  </w:t>
            </w:r>
            <w:r>
              <w:rPr>
                <w:rFonts w:ascii="SimSun" w:hAnsi="SimSun" w:eastAsia="SimSun" w:cs="SimSun"/>
                <w:spacing w:val="5"/>
              </w:rPr>
              <w:t>远期</w:t>
            </w:r>
            <w:r>
              <w:rPr>
                <w:spacing w:val="5"/>
              </w:rPr>
              <w:t>□</w:t>
            </w:r>
          </w:p>
        </w:tc>
      </w:tr>
      <w:tr>
        <w:trPr>
          <w:trHeight w:val="331" w:hRule="atLeast"/>
        </w:trPr>
        <w:tc>
          <w:tcPr>
            <w:tcW w:w="1607" w:type="dxa"/>
            <w:vAlign w:val="top"/>
            <w:vMerge w:val="continue"/>
            <w:tcBorders>
              <w:top w:val="nil"/>
              <w:bottom w:val="nil"/>
            </w:tcBorders>
          </w:tcPr>
          <w:p>
            <w:pPr>
              <w:rPr>
                <w:rFonts w:ascii="Arial"/>
                <w:sz w:val="21"/>
              </w:rPr>
            </w:pPr>
            <w:r/>
          </w:p>
        </w:tc>
        <w:tc>
          <w:tcPr>
            <w:tcW w:w="1897" w:type="dxa"/>
            <w:vAlign w:val="top"/>
          </w:tcPr>
          <w:p>
            <w:pPr>
              <w:ind w:left="325"/>
              <w:spacing w:before="55" w:line="228" w:lineRule="auto"/>
              <w:rPr>
                <w:rFonts w:ascii="SimSun" w:hAnsi="SimSun" w:eastAsia="SimSun" w:cs="SimSun"/>
                <w:sz w:val="20"/>
                <w:szCs w:val="20"/>
              </w:rPr>
            </w:pPr>
            <w:r>
              <w:rPr>
                <w:rFonts w:ascii="SimSun" w:hAnsi="SimSun" w:eastAsia="SimSun" w:cs="SimSun"/>
                <w:sz w:val="20"/>
                <w:szCs w:val="20"/>
                <w:spacing w:val="7"/>
              </w:rPr>
              <w:t>现状调查方法</w:t>
            </w:r>
          </w:p>
        </w:tc>
        <w:tc>
          <w:tcPr>
            <w:tcW w:w="5786" w:type="dxa"/>
            <w:vAlign w:val="top"/>
            <w:gridSpan w:val="4"/>
          </w:tcPr>
          <w:p>
            <w:pPr>
              <w:pStyle w:val="TableText"/>
              <w:ind w:left="631"/>
              <w:spacing w:before="55" w:line="228" w:lineRule="auto"/>
              <w:rPr>
                <w:rFonts w:ascii="MS UI Gothic" w:hAnsi="MS UI Gothic" w:eastAsia="MS UI Gothic" w:cs="MS UI Gothic"/>
              </w:rPr>
            </w:pPr>
            <w:r>
              <w:rPr>
                <w:rFonts w:ascii="SimSun" w:hAnsi="SimSun" w:eastAsia="SimSun" w:cs="SimSun"/>
                <w:spacing w:val="9"/>
              </w:rPr>
              <w:t>现场实测法</w:t>
            </w:r>
            <w:r>
              <w:rPr>
                <w:rFonts w:ascii="MS UI Gothic" w:hAnsi="MS UI Gothic" w:eastAsia="MS UI Gothic" w:cs="MS UI Gothic"/>
                <w:spacing w:val="9"/>
              </w:rPr>
              <w:t>☑</w:t>
            </w:r>
            <w:r>
              <w:rPr>
                <w:rFonts w:ascii="SimSun" w:hAnsi="SimSun" w:eastAsia="SimSun" w:cs="SimSun"/>
                <w:spacing w:val="9"/>
              </w:rPr>
              <w:t>现场实测加模型计算法</w:t>
            </w:r>
            <w:r>
              <w:rPr>
                <w:spacing w:val="9"/>
              </w:rPr>
              <w:t>□</w:t>
            </w:r>
            <w:r>
              <w:rPr>
                <w:rFonts w:ascii="SimSun" w:hAnsi="SimSun" w:eastAsia="SimSun" w:cs="SimSun"/>
                <w:spacing w:val="9"/>
              </w:rPr>
              <w:t>收集资料</w:t>
            </w:r>
            <w:r>
              <w:rPr>
                <w:rFonts w:ascii="MS UI Gothic" w:hAnsi="MS UI Gothic" w:eastAsia="MS UI Gothic" w:cs="MS UI Gothic"/>
                <w:spacing w:val="9"/>
              </w:rPr>
              <w:t>☑</w:t>
            </w:r>
          </w:p>
        </w:tc>
      </w:tr>
      <w:tr>
        <w:trPr>
          <w:trHeight w:val="278" w:hRule="atLeast"/>
        </w:trPr>
        <w:tc>
          <w:tcPr>
            <w:tcW w:w="1607" w:type="dxa"/>
            <w:vAlign w:val="top"/>
            <w:vMerge w:val="continue"/>
            <w:tcBorders>
              <w:top w:val="nil"/>
            </w:tcBorders>
          </w:tcPr>
          <w:p>
            <w:pPr>
              <w:rPr>
                <w:rFonts w:ascii="Arial"/>
                <w:sz w:val="21"/>
              </w:rPr>
            </w:pPr>
            <w:r/>
          </w:p>
        </w:tc>
        <w:tc>
          <w:tcPr>
            <w:tcW w:w="1897" w:type="dxa"/>
            <w:vAlign w:val="top"/>
          </w:tcPr>
          <w:p>
            <w:pPr>
              <w:ind w:left="536"/>
              <w:spacing w:before="29" w:line="220" w:lineRule="auto"/>
              <w:rPr>
                <w:rFonts w:ascii="SimSun" w:hAnsi="SimSun" w:eastAsia="SimSun" w:cs="SimSun"/>
                <w:sz w:val="20"/>
                <w:szCs w:val="20"/>
              </w:rPr>
            </w:pPr>
            <w:r>
              <w:rPr>
                <w:rFonts w:ascii="SimSun" w:hAnsi="SimSun" w:eastAsia="SimSun" w:cs="SimSun"/>
                <w:sz w:val="20"/>
                <w:szCs w:val="20"/>
                <w:spacing w:val="6"/>
              </w:rPr>
              <w:t>现状评价</w:t>
            </w:r>
          </w:p>
        </w:tc>
        <w:tc>
          <w:tcPr>
            <w:tcW w:w="3179" w:type="dxa"/>
            <w:vAlign w:val="top"/>
            <w:gridSpan w:val="2"/>
          </w:tcPr>
          <w:p>
            <w:pPr>
              <w:ind w:left="1070"/>
              <w:spacing w:before="29" w:line="220" w:lineRule="auto"/>
              <w:rPr>
                <w:rFonts w:ascii="SimSun" w:hAnsi="SimSun" w:eastAsia="SimSun" w:cs="SimSun"/>
                <w:sz w:val="20"/>
                <w:szCs w:val="20"/>
              </w:rPr>
            </w:pPr>
            <w:r>
              <w:rPr>
                <w:rFonts w:ascii="SimSun" w:hAnsi="SimSun" w:eastAsia="SimSun" w:cs="SimSun"/>
                <w:sz w:val="20"/>
                <w:szCs w:val="20"/>
                <w:spacing w:val="8"/>
              </w:rPr>
              <w:t>达标百分比</w:t>
            </w:r>
          </w:p>
        </w:tc>
        <w:tc>
          <w:tcPr>
            <w:tcW w:w="2607" w:type="dxa"/>
            <w:vAlign w:val="top"/>
            <w:gridSpan w:val="2"/>
          </w:tcPr>
          <w:p>
            <w:pPr>
              <w:pStyle w:val="TableText"/>
              <w:ind w:left="1078"/>
              <w:spacing w:before="65" w:line="195" w:lineRule="auto"/>
              <w:rPr/>
            </w:pPr>
            <w:r>
              <w:rPr>
                <w:spacing w:val="-1"/>
              </w:rPr>
              <w:t>100%</w:t>
            </w:r>
          </w:p>
        </w:tc>
      </w:tr>
      <w:tr>
        <w:trPr>
          <w:trHeight w:val="331" w:hRule="atLeast"/>
        </w:trPr>
        <w:tc>
          <w:tcPr>
            <w:tcW w:w="1607" w:type="dxa"/>
            <w:vAlign w:val="top"/>
          </w:tcPr>
          <w:p>
            <w:pPr>
              <w:ind w:left="291"/>
              <w:spacing w:before="56" w:line="228" w:lineRule="auto"/>
              <w:rPr>
                <w:rFonts w:ascii="SimSun" w:hAnsi="SimSun" w:eastAsia="SimSun" w:cs="SimSun"/>
                <w:sz w:val="20"/>
                <w:szCs w:val="20"/>
              </w:rPr>
            </w:pPr>
            <w:r>
              <w:rPr>
                <w:rFonts w:ascii="SimSun" w:hAnsi="SimSun" w:eastAsia="SimSun" w:cs="SimSun"/>
                <w:sz w:val="20"/>
                <w:szCs w:val="20"/>
                <w:spacing w:val="6"/>
              </w:rPr>
              <w:t>噪声源调查</w:t>
            </w:r>
          </w:p>
        </w:tc>
        <w:tc>
          <w:tcPr>
            <w:tcW w:w="1897" w:type="dxa"/>
            <w:vAlign w:val="top"/>
          </w:tcPr>
          <w:p>
            <w:pPr>
              <w:ind w:left="227"/>
              <w:spacing w:before="56" w:line="228" w:lineRule="auto"/>
              <w:rPr>
                <w:rFonts w:ascii="SimSun" w:hAnsi="SimSun" w:eastAsia="SimSun" w:cs="SimSun"/>
                <w:sz w:val="20"/>
                <w:szCs w:val="20"/>
              </w:rPr>
            </w:pPr>
            <w:r>
              <w:rPr>
                <w:rFonts w:ascii="SimSun" w:hAnsi="SimSun" w:eastAsia="SimSun" w:cs="SimSun"/>
                <w:sz w:val="20"/>
                <w:szCs w:val="20"/>
                <w:spacing w:val="7"/>
              </w:rPr>
              <w:t>噪声源调查方法</w:t>
            </w:r>
          </w:p>
        </w:tc>
        <w:tc>
          <w:tcPr>
            <w:tcW w:w="5786" w:type="dxa"/>
            <w:vAlign w:val="top"/>
            <w:gridSpan w:val="4"/>
          </w:tcPr>
          <w:p>
            <w:pPr>
              <w:pStyle w:val="TableText"/>
              <w:ind w:left="1303"/>
              <w:spacing w:before="56" w:line="227" w:lineRule="auto"/>
              <w:rPr/>
            </w:pPr>
            <w:r>
              <w:rPr>
                <w:rFonts w:ascii="SimSun" w:hAnsi="SimSun" w:eastAsia="SimSun" w:cs="SimSun"/>
                <w:spacing w:val="6"/>
              </w:rPr>
              <w:t>现场实测</w:t>
            </w:r>
            <w:r>
              <w:rPr>
                <w:spacing w:val="6"/>
              </w:rPr>
              <w:t>□</w:t>
            </w:r>
            <w:r>
              <w:rPr>
                <w:spacing w:val="17"/>
              </w:rPr>
              <w:t xml:space="preserve">  </w:t>
            </w:r>
            <w:r>
              <w:rPr>
                <w:rFonts w:ascii="SimSun" w:hAnsi="SimSun" w:eastAsia="SimSun" w:cs="SimSun"/>
                <w:spacing w:val="6"/>
              </w:rPr>
              <w:t>已有资料</w:t>
            </w:r>
            <w:r>
              <w:rPr>
                <w:rFonts w:ascii="MS UI Gothic" w:hAnsi="MS UI Gothic" w:eastAsia="MS UI Gothic" w:cs="MS UI Gothic"/>
                <w:spacing w:val="6"/>
              </w:rPr>
              <w:t>☑</w:t>
            </w:r>
            <w:r>
              <w:rPr>
                <w:rFonts w:ascii="MS UI Gothic" w:hAnsi="MS UI Gothic" w:eastAsia="MS UI Gothic" w:cs="MS UI Gothic"/>
                <w:spacing w:val="53"/>
                <w:w w:val="101"/>
              </w:rPr>
              <w:t xml:space="preserve"> </w:t>
            </w:r>
            <w:r>
              <w:rPr>
                <w:rFonts w:ascii="SimSun" w:hAnsi="SimSun" w:eastAsia="SimSun" w:cs="SimSun"/>
                <w:spacing w:val="6"/>
              </w:rPr>
              <w:t>研究成果</w:t>
            </w:r>
            <w:r>
              <w:rPr>
                <w:spacing w:val="6"/>
              </w:rPr>
              <w:t>□</w:t>
            </w:r>
          </w:p>
        </w:tc>
      </w:tr>
      <w:tr>
        <w:trPr>
          <w:trHeight w:val="331" w:hRule="atLeast"/>
        </w:trPr>
        <w:tc>
          <w:tcPr>
            <w:tcW w:w="1607" w:type="dxa"/>
            <w:vAlign w:val="top"/>
            <w:vMerge w:val="restart"/>
            <w:tcBorders>
              <w:bottom w:val="nil"/>
            </w:tcBorders>
          </w:tcPr>
          <w:p>
            <w:pPr>
              <w:spacing w:line="269" w:lineRule="auto"/>
              <w:rPr>
                <w:rFonts w:ascii="Arial"/>
                <w:sz w:val="21"/>
              </w:rPr>
            </w:pPr>
            <w:r/>
          </w:p>
          <w:p>
            <w:pPr>
              <w:spacing w:line="270" w:lineRule="auto"/>
              <w:rPr>
                <w:rFonts w:ascii="Arial"/>
                <w:sz w:val="21"/>
              </w:rPr>
            </w:pPr>
            <w:r/>
          </w:p>
          <w:p>
            <w:pPr>
              <w:ind w:left="389" w:right="174" w:hanging="207"/>
              <w:spacing w:before="65" w:line="300" w:lineRule="auto"/>
              <w:rPr>
                <w:rFonts w:ascii="SimSun" w:hAnsi="SimSun" w:eastAsia="SimSun" w:cs="SimSun"/>
                <w:sz w:val="20"/>
                <w:szCs w:val="20"/>
              </w:rPr>
            </w:pPr>
            <w:r>
              <w:rPr>
                <w:rFonts w:ascii="SimSun" w:hAnsi="SimSun" w:eastAsia="SimSun" w:cs="SimSun"/>
                <w:sz w:val="20"/>
                <w:szCs w:val="20"/>
                <w:spacing w:val="7"/>
              </w:rPr>
              <w:t>声环境影响预</w:t>
            </w:r>
            <w:r>
              <w:rPr>
                <w:rFonts w:ascii="SimSun" w:hAnsi="SimSun" w:eastAsia="SimSun" w:cs="SimSun"/>
                <w:sz w:val="20"/>
                <w:szCs w:val="20"/>
                <w:spacing w:val="7"/>
              </w:rPr>
              <w:t>测与评价</w:t>
            </w:r>
          </w:p>
        </w:tc>
        <w:tc>
          <w:tcPr>
            <w:tcW w:w="1897" w:type="dxa"/>
            <w:vAlign w:val="top"/>
          </w:tcPr>
          <w:p>
            <w:pPr>
              <w:ind w:left="536"/>
              <w:spacing w:before="56" w:line="228" w:lineRule="auto"/>
              <w:rPr>
                <w:rFonts w:ascii="SimSun" w:hAnsi="SimSun" w:eastAsia="SimSun" w:cs="SimSun"/>
                <w:sz w:val="20"/>
                <w:szCs w:val="20"/>
              </w:rPr>
            </w:pPr>
            <w:r>
              <w:rPr>
                <w:rFonts w:ascii="SimSun" w:hAnsi="SimSun" w:eastAsia="SimSun" w:cs="SimSun"/>
                <w:sz w:val="20"/>
                <w:szCs w:val="20"/>
                <w:spacing w:val="6"/>
              </w:rPr>
              <w:t>预测模型</w:t>
            </w:r>
          </w:p>
        </w:tc>
        <w:tc>
          <w:tcPr>
            <w:tcW w:w="5786" w:type="dxa"/>
            <w:vAlign w:val="top"/>
            <w:gridSpan w:val="4"/>
          </w:tcPr>
          <w:p>
            <w:pPr>
              <w:pStyle w:val="TableText"/>
              <w:ind w:left="1895"/>
              <w:spacing w:before="56" w:line="227" w:lineRule="auto"/>
              <w:rPr/>
            </w:pPr>
            <w:r>
              <w:rPr>
                <w:rFonts w:ascii="SimSun" w:hAnsi="SimSun" w:eastAsia="SimSun" w:cs="SimSun"/>
                <w:spacing w:val="8"/>
              </w:rPr>
              <w:t>导则推荐模型</w:t>
            </w:r>
            <w:r>
              <w:rPr>
                <w:rFonts w:ascii="MS UI Gothic" w:hAnsi="MS UI Gothic" w:eastAsia="MS UI Gothic" w:cs="MS UI Gothic"/>
                <w:spacing w:val="8"/>
              </w:rPr>
              <w:t>☑</w:t>
            </w:r>
            <w:r>
              <w:rPr>
                <w:rFonts w:ascii="SimSun" w:hAnsi="SimSun" w:eastAsia="SimSun" w:cs="SimSun"/>
                <w:spacing w:val="8"/>
              </w:rPr>
              <w:t>其他</w:t>
            </w:r>
            <w:r>
              <w:rPr>
                <w:spacing w:val="8"/>
              </w:rPr>
              <w:t>□</w:t>
            </w:r>
          </w:p>
        </w:tc>
      </w:tr>
      <w:tr>
        <w:trPr>
          <w:trHeight w:val="331" w:hRule="atLeast"/>
        </w:trPr>
        <w:tc>
          <w:tcPr>
            <w:tcW w:w="1607" w:type="dxa"/>
            <w:vAlign w:val="top"/>
            <w:vMerge w:val="continue"/>
            <w:tcBorders>
              <w:top w:val="nil"/>
              <w:bottom w:val="nil"/>
            </w:tcBorders>
          </w:tcPr>
          <w:p>
            <w:pPr>
              <w:rPr>
                <w:rFonts w:ascii="Arial"/>
                <w:sz w:val="21"/>
              </w:rPr>
            </w:pPr>
            <w:r/>
          </w:p>
        </w:tc>
        <w:tc>
          <w:tcPr>
            <w:tcW w:w="1897" w:type="dxa"/>
            <w:vAlign w:val="top"/>
          </w:tcPr>
          <w:p>
            <w:pPr>
              <w:ind w:left="536"/>
              <w:spacing w:before="56" w:line="228" w:lineRule="auto"/>
              <w:rPr>
                <w:rFonts w:ascii="SimSun" w:hAnsi="SimSun" w:eastAsia="SimSun" w:cs="SimSun"/>
                <w:sz w:val="20"/>
                <w:szCs w:val="20"/>
              </w:rPr>
            </w:pPr>
            <w:r>
              <w:rPr>
                <w:rFonts w:ascii="SimSun" w:hAnsi="SimSun" w:eastAsia="SimSun" w:cs="SimSun"/>
                <w:sz w:val="20"/>
                <w:szCs w:val="20"/>
                <w:spacing w:val="6"/>
              </w:rPr>
              <w:t>预测范围</w:t>
            </w:r>
          </w:p>
        </w:tc>
        <w:tc>
          <w:tcPr>
            <w:tcW w:w="5786" w:type="dxa"/>
            <w:vAlign w:val="top"/>
            <w:gridSpan w:val="4"/>
          </w:tcPr>
          <w:p>
            <w:pPr>
              <w:pStyle w:val="TableText"/>
              <w:ind w:left="1367"/>
              <w:spacing w:before="56" w:line="228" w:lineRule="auto"/>
              <w:rPr/>
            </w:pPr>
            <w:r>
              <w:rPr>
                <w:spacing w:val="5"/>
              </w:rPr>
              <w:t>200m</w:t>
            </w:r>
            <w:r>
              <w:rPr>
                <w:rFonts w:ascii="MS UI Gothic" w:hAnsi="MS UI Gothic" w:eastAsia="MS UI Gothic" w:cs="MS UI Gothic"/>
                <w:spacing w:val="5"/>
              </w:rPr>
              <w:t>☑</w:t>
            </w:r>
            <w:r>
              <w:rPr>
                <w:rFonts w:ascii="MS UI Gothic" w:hAnsi="MS UI Gothic" w:eastAsia="MS UI Gothic" w:cs="MS UI Gothic"/>
                <w:spacing w:val="55"/>
                <w:w w:val="101"/>
              </w:rPr>
              <w:t xml:space="preserve"> </w:t>
            </w:r>
            <w:r>
              <w:rPr>
                <w:rFonts w:ascii="SimSun" w:hAnsi="SimSun" w:eastAsia="SimSun" w:cs="SimSun"/>
                <w:spacing w:val="5"/>
              </w:rPr>
              <w:t>大于</w:t>
            </w:r>
            <w:r>
              <w:rPr>
                <w:rFonts w:ascii="SimSun" w:hAnsi="SimSun" w:eastAsia="SimSun" w:cs="SimSun"/>
                <w:spacing w:val="-43"/>
              </w:rPr>
              <w:t xml:space="preserve"> </w:t>
            </w:r>
            <w:r>
              <w:rPr>
                <w:spacing w:val="5"/>
              </w:rPr>
              <w:t>200m□  </w:t>
            </w:r>
            <w:r>
              <w:rPr>
                <w:rFonts w:ascii="SimSun" w:hAnsi="SimSun" w:eastAsia="SimSun" w:cs="SimSun"/>
                <w:spacing w:val="5"/>
              </w:rPr>
              <w:t>小于</w:t>
            </w:r>
            <w:r>
              <w:rPr>
                <w:rFonts w:ascii="SimSun" w:hAnsi="SimSun" w:eastAsia="SimSun" w:cs="SimSun"/>
                <w:spacing w:val="-41"/>
              </w:rPr>
              <w:t xml:space="preserve"> </w:t>
            </w:r>
            <w:r>
              <w:rPr>
                <w:spacing w:val="5"/>
              </w:rPr>
              <w:t>200m□</w:t>
            </w:r>
          </w:p>
        </w:tc>
      </w:tr>
      <w:tr>
        <w:trPr>
          <w:trHeight w:val="331" w:hRule="atLeast"/>
        </w:trPr>
        <w:tc>
          <w:tcPr>
            <w:tcW w:w="1607" w:type="dxa"/>
            <w:vAlign w:val="top"/>
            <w:vMerge w:val="continue"/>
            <w:tcBorders>
              <w:top w:val="nil"/>
              <w:bottom w:val="nil"/>
            </w:tcBorders>
          </w:tcPr>
          <w:p>
            <w:pPr>
              <w:rPr>
                <w:rFonts w:ascii="Arial"/>
                <w:sz w:val="21"/>
              </w:rPr>
            </w:pPr>
            <w:r/>
          </w:p>
        </w:tc>
        <w:tc>
          <w:tcPr>
            <w:tcW w:w="1897" w:type="dxa"/>
            <w:vAlign w:val="top"/>
          </w:tcPr>
          <w:p>
            <w:pPr>
              <w:ind w:left="536"/>
              <w:spacing w:before="56" w:line="228" w:lineRule="auto"/>
              <w:rPr>
                <w:rFonts w:ascii="SimSun" w:hAnsi="SimSun" w:eastAsia="SimSun" w:cs="SimSun"/>
                <w:sz w:val="20"/>
                <w:szCs w:val="20"/>
              </w:rPr>
            </w:pPr>
            <w:r>
              <w:rPr>
                <w:rFonts w:ascii="SimSun" w:hAnsi="SimSun" w:eastAsia="SimSun" w:cs="SimSun"/>
                <w:sz w:val="20"/>
                <w:szCs w:val="20"/>
                <w:spacing w:val="6"/>
              </w:rPr>
              <w:t>预测因子</w:t>
            </w:r>
          </w:p>
        </w:tc>
        <w:tc>
          <w:tcPr>
            <w:tcW w:w="5786" w:type="dxa"/>
            <w:vAlign w:val="top"/>
            <w:gridSpan w:val="4"/>
          </w:tcPr>
          <w:p>
            <w:pPr>
              <w:pStyle w:val="TableText"/>
              <w:ind w:left="206"/>
              <w:spacing w:before="56" w:line="228" w:lineRule="auto"/>
              <w:rPr/>
            </w:pPr>
            <w:r>
              <w:rPr>
                <w:rFonts w:ascii="SimSun" w:hAnsi="SimSun" w:eastAsia="SimSun" w:cs="SimSun"/>
                <w:spacing w:val="8"/>
              </w:rPr>
              <w:t>等效连续</w:t>
            </w:r>
            <w:r>
              <w:rPr>
                <w:spacing w:val="8"/>
              </w:rPr>
              <w:t>A</w:t>
            </w:r>
            <w:r>
              <w:rPr>
                <w:rFonts w:ascii="SimSun" w:hAnsi="SimSun" w:eastAsia="SimSun" w:cs="SimSun"/>
                <w:spacing w:val="8"/>
              </w:rPr>
              <w:t>声级</w:t>
            </w:r>
            <w:r>
              <w:rPr>
                <w:rFonts w:ascii="MS UI Gothic" w:hAnsi="MS UI Gothic" w:eastAsia="MS UI Gothic" w:cs="MS UI Gothic"/>
                <w:spacing w:val="8"/>
              </w:rPr>
              <w:t>☑</w:t>
            </w:r>
            <w:r>
              <w:rPr>
                <w:rFonts w:ascii="MS UI Gothic" w:hAnsi="MS UI Gothic" w:eastAsia="MS UI Gothic" w:cs="MS UI Gothic"/>
                <w:spacing w:val="60"/>
                <w:w w:val="101"/>
              </w:rPr>
              <w:t xml:space="preserve"> </w:t>
            </w:r>
            <w:r>
              <w:rPr>
                <w:rFonts w:ascii="SimSun" w:hAnsi="SimSun" w:eastAsia="SimSun" w:cs="SimSun"/>
                <w:spacing w:val="8"/>
              </w:rPr>
              <w:t>最大</w:t>
            </w:r>
            <w:r>
              <w:rPr>
                <w:spacing w:val="8"/>
              </w:rPr>
              <w:t>A</w:t>
            </w:r>
            <w:r>
              <w:rPr>
                <w:rFonts w:ascii="SimSun" w:hAnsi="SimSun" w:eastAsia="SimSun" w:cs="SimSun"/>
                <w:spacing w:val="8"/>
              </w:rPr>
              <w:t>声级</w:t>
            </w:r>
            <w:r>
              <w:rPr>
                <w:spacing w:val="8"/>
              </w:rPr>
              <w:t>□  </w:t>
            </w:r>
            <w:r>
              <w:rPr>
                <w:rFonts w:ascii="SimSun" w:hAnsi="SimSun" w:eastAsia="SimSun" w:cs="SimSun"/>
                <w:spacing w:val="8"/>
              </w:rPr>
              <w:t>计权等效连续感觉噪声级</w:t>
            </w:r>
            <w:r>
              <w:rPr>
                <w:spacing w:val="8"/>
              </w:rPr>
              <w:t>□</w:t>
            </w:r>
          </w:p>
        </w:tc>
      </w:tr>
      <w:tr>
        <w:trPr>
          <w:trHeight w:val="331" w:hRule="atLeast"/>
        </w:trPr>
        <w:tc>
          <w:tcPr>
            <w:tcW w:w="1607" w:type="dxa"/>
            <w:vAlign w:val="top"/>
            <w:vMerge w:val="continue"/>
            <w:tcBorders>
              <w:top w:val="nil"/>
              <w:bottom w:val="nil"/>
            </w:tcBorders>
          </w:tcPr>
          <w:p>
            <w:pPr>
              <w:rPr>
                <w:rFonts w:ascii="Arial"/>
                <w:sz w:val="21"/>
              </w:rPr>
            </w:pPr>
            <w:r/>
          </w:p>
        </w:tc>
        <w:tc>
          <w:tcPr>
            <w:tcW w:w="1897" w:type="dxa"/>
            <w:vAlign w:val="top"/>
          </w:tcPr>
          <w:p>
            <w:pPr>
              <w:ind w:left="220"/>
              <w:spacing w:before="56" w:line="228" w:lineRule="auto"/>
              <w:rPr>
                <w:rFonts w:ascii="SimSun" w:hAnsi="SimSun" w:eastAsia="SimSun" w:cs="SimSun"/>
                <w:sz w:val="20"/>
                <w:szCs w:val="20"/>
              </w:rPr>
            </w:pPr>
            <w:r>
              <w:rPr>
                <w:rFonts w:ascii="SimSun" w:hAnsi="SimSun" w:eastAsia="SimSun" w:cs="SimSun"/>
                <w:sz w:val="20"/>
                <w:szCs w:val="20"/>
                <w:spacing w:val="8"/>
              </w:rPr>
              <w:t>厂界噪声贡献值</w:t>
            </w:r>
          </w:p>
        </w:tc>
        <w:tc>
          <w:tcPr>
            <w:tcW w:w="5786" w:type="dxa"/>
            <w:vAlign w:val="top"/>
            <w:gridSpan w:val="4"/>
          </w:tcPr>
          <w:p>
            <w:pPr>
              <w:pStyle w:val="TableText"/>
              <w:ind w:left="2150"/>
              <w:spacing w:before="56" w:line="228" w:lineRule="auto"/>
              <w:rPr/>
            </w:pPr>
            <w:r>
              <w:rPr>
                <w:rFonts w:ascii="SimSun" w:hAnsi="SimSun" w:eastAsia="SimSun" w:cs="SimSun"/>
                <w:spacing w:val="5"/>
              </w:rPr>
              <w:t>达标</w:t>
            </w:r>
            <w:r>
              <w:rPr>
                <w:rFonts w:ascii="SimSun" w:hAnsi="SimSun" w:eastAsia="SimSun" w:cs="SimSun"/>
                <w:spacing w:val="27"/>
              </w:rPr>
              <w:t xml:space="preserve"> </w:t>
            </w:r>
            <w:r>
              <w:rPr>
                <w:rFonts w:ascii="MS UI Gothic" w:hAnsi="MS UI Gothic" w:eastAsia="MS UI Gothic" w:cs="MS UI Gothic"/>
                <w:spacing w:val="5"/>
              </w:rPr>
              <w:t>☑</w:t>
            </w:r>
            <w:r>
              <w:rPr>
                <w:rFonts w:ascii="SimSun" w:hAnsi="SimSun" w:eastAsia="SimSun" w:cs="SimSun"/>
                <w:spacing w:val="5"/>
              </w:rPr>
              <w:t>不达标</w:t>
            </w:r>
            <w:r>
              <w:rPr>
                <w:spacing w:val="5"/>
              </w:rPr>
              <w:t>□</w:t>
            </w:r>
          </w:p>
        </w:tc>
      </w:tr>
      <w:tr>
        <w:trPr>
          <w:trHeight w:val="654" w:hRule="atLeast"/>
        </w:trPr>
        <w:tc>
          <w:tcPr>
            <w:tcW w:w="1607" w:type="dxa"/>
            <w:vAlign w:val="top"/>
            <w:vMerge w:val="continue"/>
            <w:tcBorders>
              <w:top w:val="nil"/>
            </w:tcBorders>
          </w:tcPr>
          <w:p>
            <w:pPr>
              <w:rPr>
                <w:rFonts w:ascii="Arial"/>
                <w:sz w:val="21"/>
              </w:rPr>
            </w:pPr>
            <w:r/>
          </w:p>
        </w:tc>
        <w:tc>
          <w:tcPr>
            <w:tcW w:w="1897" w:type="dxa"/>
            <w:vAlign w:val="top"/>
          </w:tcPr>
          <w:p>
            <w:pPr>
              <w:ind w:left="646" w:right="107" w:hanging="528"/>
              <w:spacing w:before="56" w:line="271" w:lineRule="auto"/>
              <w:rPr>
                <w:rFonts w:ascii="SimSun" w:hAnsi="SimSun" w:eastAsia="SimSun" w:cs="SimSun"/>
                <w:sz w:val="20"/>
                <w:szCs w:val="20"/>
              </w:rPr>
            </w:pPr>
            <w:r>
              <w:rPr>
                <w:rFonts w:ascii="SimSun" w:hAnsi="SimSun" w:eastAsia="SimSun" w:cs="SimSun"/>
                <w:sz w:val="20"/>
                <w:szCs w:val="20"/>
                <w:spacing w:val="8"/>
              </w:rPr>
              <w:t>声环境保护目标处</w:t>
            </w:r>
            <w:r>
              <w:rPr>
                <w:rFonts w:ascii="SimSun" w:hAnsi="SimSun" w:eastAsia="SimSun" w:cs="SimSun"/>
                <w:sz w:val="20"/>
                <w:szCs w:val="20"/>
                <w:spacing w:val="3"/>
              </w:rPr>
              <w:t>噪声值</w:t>
            </w:r>
          </w:p>
        </w:tc>
        <w:tc>
          <w:tcPr>
            <w:tcW w:w="5786" w:type="dxa"/>
            <w:vAlign w:val="top"/>
            <w:gridSpan w:val="4"/>
          </w:tcPr>
          <w:p>
            <w:pPr>
              <w:pStyle w:val="TableText"/>
              <w:ind w:left="2150"/>
              <w:spacing w:before="217" w:line="228" w:lineRule="auto"/>
              <w:rPr/>
            </w:pPr>
            <w:r>
              <w:rPr>
                <w:rFonts w:ascii="SimSun" w:hAnsi="SimSun" w:eastAsia="SimSun" w:cs="SimSun"/>
                <w:spacing w:val="5"/>
              </w:rPr>
              <w:t>达标</w:t>
            </w:r>
            <w:r>
              <w:rPr>
                <w:rFonts w:ascii="SimSun" w:hAnsi="SimSun" w:eastAsia="SimSun" w:cs="SimSun"/>
                <w:spacing w:val="27"/>
              </w:rPr>
              <w:t xml:space="preserve"> </w:t>
            </w:r>
            <w:r>
              <w:rPr>
                <w:rFonts w:ascii="MS UI Gothic" w:hAnsi="MS UI Gothic" w:eastAsia="MS UI Gothic" w:cs="MS UI Gothic"/>
                <w:spacing w:val="5"/>
              </w:rPr>
              <w:t>☑</w:t>
            </w:r>
            <w:r>
              <w:rPr>
                <w:rFonts w:ascii="SimSun" w:hAnsi="SimSun" w:eastAsia="SimSun" w:cs="SimSun"/>
                <w:spacing w:val="5"/>
              </w:rPr>
              <w:t>不达标</w:t>
            </w:r>
            <w:r>
              <w:rPr>
                <w:spacing w:val="5"/>
              </w:rPr>
              <w:t>□</w:t>
            </w:r>
          </w:p>
        </w:tc>
      </w:tr>
      <w:tr>
        <w:trPr>
          <w:trHeight w:val="474" w:hRule="atLeast"/>
        </w:trPr>
        <w:tc>
          <w:tcPr>
            <w:tcW w:w="1607" w:type="dxa"/>
            <w:vAlign w:val="top"/>
            <w:vMerge w:val="restart"/>
            <w:tcBorders>
              <w:bottom w:val="nil"/>
            </w:tcBorders>
          </w:tcPr>
          <w:p>
            <w:pPr>
              <w:spacing w:line="393" w:lineRule="auto"/>
              <w:rPr>
                <w:rFonts w:ascii="Arial"/>
                <w:sz w:val="21"/>
              </w:rPr>
            </w:pPr>
            <w:r/>
          </w:p>
          <w:p>
            <w:pPr>
              <w:ind w:left="178"/>
              <w:spacing w:before="65" w:line="228" w:lineRule="auto"/>
              <w:rPr>
                <w:rFonts w:ascii="SimSun" w:hAnsi="SimSun" w:eastAsia="SimSun" w:cs="SimSun"/>
                <w:sz w:val="20"/>
                <w:szCs w:val="20"/>
              </w:rPr>
            </w:pPr>
            <w:r>
              <w:rPr>
                <w:rFonts w:ascii="SimSun" w:hAnsi="SimSun" w:eastAsia="SimSun" w:cs="SimSun"/>
                <w:sz w:val="20"/>
                <w:szCs w:val="20"/>
                <w:spacing w:val="8"/>
              </w:rPr>
              <w:t>环境监测计划</w:t>
            </w:r>
          </w:p>
        </w:tc>
        <w:tc>
          <w:tcPr>
            <w:tcW w:w="1897" w:type="dxa"/>
            <w:vAlign w:val="top"/>
          </w:tcPr>
          <w:p>
            <w:pPr>
              <w:ind w:left="534"/>
              <w:spacing w:before="129" w:line="229" w:lineRule="auto"/>
              <w:rPr>
                <w:rFonts w:ascii="SimSun" w:hAnsi="SimSun" w:eastAsia="SimSun" w:cs="SimSun"/>
                <w:sz w:val="20"/>
                <w:szCs w:val="20"/>
              </w:rPr>
            </w:pPr>
            <w:r>
              <w:rPr>
                <w:rFonts w:ascii="SimSun" w:hAnsi="SimSun" w:eastAsia="SimSun" w:cs="SimSun"/>
                <w:sz w:val="20"/>
                <w:szCs w:val="20"/>
                <w:spacing w:val="7"/>
              </w:rPr>
              <w:t>排放监测</w:t>
            </w:r>
          </w:p>
        </w:tc>
        <w:tc>
          <w:tcPr>
            <w:tcW w:w="5786" w:type="dxa"/>
            <w:vAlign w:val="top"/>
            <w:gridSpan w:val="4"/>
          </w:tcPr>
          <w:p>
            <w:pPr>
              <w:pStyle w:val="TableText"/>
              <w:ind w:left="176"/>
              <w:spacing w:before="129" w:line="228" w:lineRule="auto"/>
              <w:rPr/>
            </w:pPr>
            <w:r>
              <w:rPr>
                <w:rFonts w:ascii="SimSun" w:hAnsi="SimSun" w:eastAsia="SimSun" w:cs="SimSun"/>
                <w:spacing w:val="7"/>
              </w:rPr>
              <w:t>厂界监测</w:t>
            </w:r>
            <w:r>
              <w:rPr>
                <w:rFonts w:ascii="MS UI Gothic" w:hAnsi="MS UI Gothic" w:eastAsia="MS UI Gothic" w:cs="MS UI Gothic"/>
                <w:spacing w:val="7"/>
              </w:rPr>
              <w:t>☑</w:t>
            </w:r>
            <w:r>
              <w:rPr>
                <w:rFonts w:ascii="SimSun" w:hAnsi="SimSun" w:eastAsia="SimSun" w:cs="SimSun"/>
                <w:spacing w:val="7"/>
              </w:rPr>
              <w:t>固定位置监测</w:t>
            </w:r>
            <w:r>
              <w:rPr>
                <w:spacing w:val="7"/>
              </w:rPr>
              <w:t>□</w:t>
            </w:r>
            <w:r>
              <w:rPr>
                <w:spacing w:val="23"/>
                <w:w w:val="101"/>
              </w:rPr>
              <w:t xml:space="preserve">  </w:t>
            </w:r>
            <w:r>
              <w:rPr>
                <w:rFonts w:ascii="SimSun" w:hAnsi="SimSun" w:eastAsia="SimSun" w:cs="SimSun"/>
                <w:spacing w:val="7"/>
              </w:rPr>
              <w:t>自动监测</w:t>
            </w:r>
            <w:r>
              <w:rPr>
                <w:spacing w:val="7"/>
              </w:rPr>
              <w:t>□  </w:t>
            </w:r>
            <w:r>
              <w:rPr>
                <w:rFonts w:ascii="SimSun" w:hAnsi="SimSun" w:eastAsia="SimSun" w:cs="SimSun"/>
                <w:spacing w:val="7"/>
              </w:rPr>
              <w:t>手</w:t>
            </w:r>
            <w:r>
              <w:rPr>
                <w:rFonts w:ascii="SimSun" w:hAnsi="SimSun" w:eastAsia="SimSun" w:cs="SimSun"/>
                <w:spacing w:val="6"/>
              </w:rPr>
              <w:t>动监测</w:t>
            </w:r>
            <w:r>
              <w:rPr>
                <w:spacing w:val="6"/>
              </w:rPr>
              <w:t>□  </w:t>
            </w:r>
            <w:r>
              <w:rPr>
                <w:rFonts w:ascii="SimSun" w:hAnsi="SimSun" w:eastAsia="SimSun" w:cs="SimSun"/>
                <w:spacing w:val="6"/>
              </w:rPr>
              <w:t>无监测</w:t>
            </w:r>
            <w:r>
              <w:rPr>
                <w:spacing w:val="6"/>
              </w:rPr>
              <w:t>□</w:t>
            </w:r>
          </w:p>
        </w:tc>
      </w:tr>
      <w:tr>
        <w:trPr>
          <w:trHeight w:val="654" w:hRule="atLeast"/>
        </w:trPr>
        <w:tc>
          <w:tcPr>
            <w:tcW w:w="1607" w:type="dxa"/>
            <w:vAlign w:val="top"/>
            <w:vMerge w:val="continue"/>
            <w:tcBorders>
              <w:top w:val="nil"/>
            </w:tcBorders>
          </w:tcPr>
          <w:p>
            <w:pPr>
              <w:rPr>
                <w:rFonts w:ascii="Arial"/>
                <w:sz w:val="21"/>
              </w:rPr>
            </w:pPr>
            <w:r/>
          </w:p>
        </w:tc>
        <w:tc>
          <w:tcPr>
            <w:tcW w:w="1897" w:type="dxa"/>
            <w:vAlign w:val="top"/>
          </w:tcPr>
          <w:p>
            <w:pPr>
              <w:ind w:left="543" w:right="107" w:hanging="425"/>
              <w:spacing w:before="59" w:line="270" w:lineRule="auto"/>
              <w:rPr>
                <w:rFonts w:ascii="SimSun" w:hAnsi="SimSun" w:eastAsia="SimSun" w:cs="SimSun"/>
                <w:sz w:val="20"/>
                <w:szCs w:val="20"/>
              </w:rPr>
            </w:pPr>
            <w:r>
              <w:rPr>
                <w:rFonts w:ascii="SimSun" w:hAnsi="SimSun" w:eastAsia="SimSun" w:cs="SimSun"/>
                <w:sz w:val="20"/>
                <w:szCs w:val="20"/>
                <w:spacing w:val="8"/>
              </w:rPr>
              <w:t>声环境保护目标处</w:t>
            </w:r>
            <w:r>
              <w:rPr>
                <w:rFonts w:ascii="SimSun" w:hAnsi="SimSun" w:eastAsia="SimSun" w:cs="SimSun"/>
                <w:sz w:val="20"/>
                <w:szCs w:val="20"/>
                <w:spacing w:val="4"/>
              </w:rPr>
              <w:t>噪声监测</w:t>
            </w:r>
          </w:p>
        </w:tc>
        <w:tc>
          <w:tcPr>
            <w:tcW w:w="2476" w:type="dxa"/>
            <w:vAlign w:val="top"/>
          </w:tcPr>
          <w:p>
            <w:pPr>
              <w:pStyle w:val="TableText"/>
              <w:ind w:left="119"/>
              <w:spacing w:before="58" w:line="228" w:lineRule="auto"/>
              <w:rPr/>
            </w:pPr>
            <w:r>
              <w:rPr>
                <w:rFonts w:ascii="SimSun" w:hAnsi="SimSun" w:eastAsia="SimSun" w:cs="SimSun"/>
                <w:spacing w:val="11"/>
              </w:rPr>
              <w:t>监测因子</w:t>
            </w:r>
            <w:r>
              <w:rPr>
                <w:rFonts w:ascii="SimSun" w:hAnsi="SimSun" w:eastAsia="SimSun" w:cs="SimSun"/>
                <w:spacing w:val="-2"/>
              </w:rPr>
              <w:t>：（</w:t>
            </w:r>
            <w:r>
              <w:rPr>
                <w:rFonts w:ascii="SimSun" w:hAnsi="SimSun" w:eastAsia="SimSun" w:cs="SimSun"/>
                <w:spacing w:val="11"/>
              </w:rPr>
              <w:t>等效连续</w:t>
            </w:r>
            <w:r>
              <w:rPr>
                <w:spacing w:val="11"/>
              </w:rPr>
              <w:t>A</w:t>
            </w:r>
          </w:p>
          <w:p>
            <w:pPr>
              <w:ind w:left="880"/>
              <w:spacing w:before="80" w:line="228" w:lineRule="auto"/>
              <w:rPr>
                <w:rFonts w:ascii="SimSun" w:hAnsi="SimSun" w:eastAsia="SimSun" w:cs="SimSun"/>
                <w:sz w:val="20"/>
                <w:szCs w:val="20"/>
              </w:rPr>
            </w:pPr>
            <w:r>
              <w:rPr>
                <w:rFonts w:ascii="SimSun" w:hAnsi="SimSun" w:eastAsia="SimSun" w:cs="SimSun"/>
                <w:sz w:val="20"/>
                <w:szCs w:val="20"/>
                <w:spacing w:val="1"/>
              </w:rPr>
              <w:t>声级</w:t>
            </w:r>
            <w:r>
              <w:rPr>
                <w:rFonts w:ascii="SimSun" w:hAnsi="SimSun" w:eastAsia="SimSun" w:cs="SimSun"/>
                <w:sz w:val="20"/>
                <w:szCs w:val="20"/>
                <w:spacing w:val="10"/>
              </w:rPr>
              <w:t xml:space="preserve"> </w:t>
            </w:r>
            <w:r>
              <w:rPr>
                <w:rFonts w:ascii="SimSun" w:hAnsi="SimSun" w:eastAsia="SimSun" w:cs="SimSun"/>
                <w:sz w:val="20"/>
                <w:szCs w:val="20"/>
                <w:spacing w:val="1"/>
              </w:rPr>
              <w:t>）</w:t>
            </w:r>
          </w:p>
        </w:tc>
        <w:tc>
          <w:tcPr>
            <w:tcW w:w="1401" w:type="dxa"/>
            <w:vAlign w:val="top"/>
            <w:gridSpan w:val="2"/>
          </w:tcPr>
          <w:p>
            <w:pPr>
              <w:ind w:left="182"/>
              <w:spacing w:before="58" w:line="228" w:lineRule="auto"/>
              <w:rPr>
                <w:rFonts w:ascii="SimSun" w:hAnsi="SimSun" w:eastAsia="SimSun" w:cs="SimSun"/>
                <w:sz w:val="20"/>
                <w:szCs w:val="20"/>
              </w:rPr>
            </w:pPr>
            <w:r>
              <w:rPr>
                <w:rFonts w:ascii="SimSun" w:hAnsi="SimSun" w:eastAsia="SimSun" w:cs="SimSun"/>
                <w:sz w:val="20"/>
                <w:szCs w:val="20"/>
                <w:spacing w:val="8"/>
              </w:rPr>
              <w:t>监测点位数</w:t>
            </w:r>
          </w:p>
          <w:p>
            <w:pPr>
              <w:ind w:left="555"/>
              <w:spacing w:before="79" w:line="231" w:lineRule="auto"/>
              <w:rPr>
                <w:rFonts w:ascii="SimSun" w:hAnsi="SimSun" w:eastAsia="SimSun" w:cs="SimSun"/>
                <w:sz w:val="20"/>
                <w:szCs w:val="20"/>
              </w:rPr>
            </w:pPr>
            <w:r>
              <w:rPr>
                <w:rFonts w:ascii="SimSun" w:hAnsi="SimSun" w:eastAsia="SimSun" w:cs="SimSun"/>
                <w:sz w:val="20"/>
                <w:szCs w:val="20"/>
                <w:spacing w:val="-19"/>
              </w:rPr>
              <w:t>(  )</w:t>
            </w:r>
          </w:p>
        </w:tc>
        <w:tc>
          <w:tcPr>
            <w:tcW w:w="1909" w:type="dxa"/>
            <w:vAlign w:val="top"/>
          </w:tcPr>
          <w:p>
            <w:pPr>
              <w:ind w:left="541"/>
              <w:spacing w:before="219" w:line="228" w:lineRule="auto"/>
              <w:rPr>
                <w:rFonts w:ascii="MS UI Gothic" w:hAnsi="MS UI Gothic" w:eastAsia="MS UI Gothic" w:cs="MS UI Gothic"/>
                <w:sz w:val="20"/>
                <w:szCs w:val="20"/>
              </w:rPr>
            </w:pPr>
            <w:r>
              <w:rPr>
                <w:rFonts w:ascii="SimSun" w:hAnsi="SimSun" w:eastAsia="SimSun" w:cs="SimSun"/>
                <w:sz w:val="20"/>
                <w:szCs w:val="20"/>
                <w:spacing w:val="7"/>
              </w:rPr>
              <w:t>无监测</w:t>
            </w:r>
            <w:r>
              <w:rPr>
                <w:rFonts w:ascii="MS UI Gothic" w:hAnsi="MS UI Gothic" w:eastAsia="MS UI Gothic" w:cs="MS UI Gothic"/>
                <w:sz w:val="20"/>
                <w:szCs w:val="20"/>
                <w:spacing w:val="7"/>
              </w:rPr>
              <w:t>☑</w:t>
            </w:r>
          </w:p>
        </w:tc>
      </w:tr>
      <w:tr>
        <w:trPr>
          <w:trHeight w:val="474" w:hRule="atLeast"/>
        </w:trPr>
        <w:tc>
          <w:tcPr>
            <w:tcW w:w="1607" w:type="dxa"/>
            <w:vAlign w:val="top"/>
          </w:tcPr>
          <w:p>
            <w:pPr>
              <w:ind w:left="388"/>
              <w:spacing w:before="131" w:line="226" w:lineRule="auto"/>
              <w:rPr>
                <w:rFonts w:ascii="SimSun" w:hAnsi="SimSun" w:eastAsia="SimSun" w:cs="SimSun"/>
                <w:sz w:val="20"/>
                <w:szCs w:val="20"/>
              </w:rPr>
            </w:pPr>
            <w:r>
              <w:rPr>
                <w:rFonts w:ascii="SimSun" w:hAnsi="SimSun" w:eastAsia="SimSun" w:cs="SimSun"/>
                <w:sz w:val="20"/>
                <w:szCs w:val="20"/>
                <w:spacing w:val="7"/>
              </w:rPr>
              <w:t>评价结论</w:t>
            </w:r>
          </w:p>
        </w:tc>
        <w:tc>
          <w:tcPr>
            <w:tcW w:w="1897" w:type="dxa"/>
            <w:vAlign w:val="top"/>
          </w:tcPr>
          <w:p>
            <w:pPr>
              <w:ind w:left="534"/>
              <w:spacing w:before="131" w:line="228" w:lineRule="auto"/>
              <w:rPr>
                <w:rFonts w:ascii="SimSun" w:hAnsi="SimSun" w:eastAsia="SimSun" w:cs="SimSun"/>
                <w:sz w:val="20"/>
                <w:szCs w:val="20"/>
              </w:rPr>
            </w:pPr>
            <w:r>
              <w:rPr>
                <w:rFonts w:ascii="SimSun" w:hAnsi="SimSun" w:eastAsia="SimSun" w:cs="SimSun"/>
                <w:sz w:val="20"/>
                <w:szCs w:val="20"/>
                <w:spacing w:val="7"/>
              </w:rPr>
              <w:t>环境影响</w:t>
            </w:r>
          </w:p>
        </w:tc>
        <w:tc>
          <w:tcPr>
            <w:tcW w:w="5786" w:type="dxa"/>
            <w:vAlign w:val="top"/>
            <w:gridSpan w:val="4"/>
          </w:tcPr>
          <w:p>
            <w:pPr>
              <w:pStyle w:val="TableText"/>
              <w:ind w:left="1996"/>
              <w:spacing w:before="131" w:line="228" w:lineRule="auto"/>
              <w:rPr/>
            </w:pPr>
            <w:r>
              <w:rPr>
                <w:rFonts w:ascii="SimSun" w:hAnsi="SimSun" w:eastAsia="SimSun" w:cs="SimSun"/>
                <w:spacing w:val="6"/>
              </w:rPr>
              <w:t>可行</w:t>
            </w:r>
            <w:r>
              <w:rPr>
                <w:rFonts w:ascii="MS UI Gothic" w:hAnsi="MS UI Gothic" w:eastAsia="MS UI Gothic" w:cs="MS UI Gothic"/>
                <w:spacing w:val="6"/>
              </w:rPr>
              <w:t>☑</w:t>
            </w:r>
            <w:r>
              <w:rPr>
                <w:rFonts w:ascii="MS UI Gothic" w:hAnsi="MS UI Gothic" w:eastAsia="MS UI Gothic" w:cs="MS UI Gothic"/>
              </w:rPr>
              <w:t xml:space="preserve">       </w:t>
            </w:r>
            <w:r>
              <w:rPr>
                <w:rFonts w:ascii="SimSun" w:hAnsi="SimSun" w:eastAsia="SimSun" w:cs="SimSun"/>
                <w:spacing w:val="6"/>
              </w:rPr>
              <w:t>不可行</w:t>
            </w:r>
            <w:r>
              <w:rPr>
                <w:spacing w:val="6"/>
              </w:rPr>
              <w:t>□</w:t>
            </w:r>
          </w:p>
        </w:tc>
      </w:tr>
      <w:tr>
        <w:trPr>
          <w:trHeight w:val="477" w:hRule="atLeast"/>
        </w:trPr>
        <w:tc>
          <w:tcPr>
            <w:tcW w:w="9290" w:type="dxa"/>
            <w:vAlign w:val="top"/>
            <w:gridSpan w:val="6"/>
          </w:tcPr>
          <w:p>
            <w:pPr>
              <w:pStyle w:val="TableText"/>
              <w:ind w:left="2189"/>
              <w:spacing w:before="94" w:line="281" w:lineRule="exact"/>
              <w:rPr>
                <w:rFonts w:ascii="SimSun" w:hAnsi="SimSun" w:eastAsia="SimSun" w:cs="SimSun"/>
              </w:rPr>
            </w:pPr>
            <w:r>
              <w:rPr>
                <w:rFonts w:ascii="SimSun" w:hAnsi="SimSun" w:eastAsia="SimSun" w:cs="SimSun"/>
                <w:spacing w:val="-1"/>
              </w:rPr>
              <w:t>注：</w:t>
            </w:r>
            <w:r>
              <w:rPr>
                <w:spacing w:val="-1"/>
              </w:rPr>
              <w:t>“</w:t>
            </w:r>
            <w:r>
              <w:rPr>
                <w:spacing w:val="-34"/>
              </w:rPr>
              <w:t xml:space="preserve"> </w:t>
            </w:r>
            <w:r>
              <w:rPr>
                <w:spacing w:val="-1"/>
              </w:rPr>
              <w:t>□”  </w:t>
            </w:r>
            <w:r>
              <w:rPr>
                <w:rFonts w:ascii="SimSun" w:hAnsi="SimSun" w:eastAsia="SimSun" w:cs="SimSun"/>
                <w:spacing w:val="-1"/>
              </w:rPr>
              <w:t>为勾选项</w:t>
            </w:r>
            <w:r>
              <w:rPr>
                <w:rFonts w:ascii="SimSun" w:hAnsi="SimSun" w:eastAsia="SimSun" w:cs="SimSun"/>
                <w:spacing w:val="30"/>
              </w:rPr>
              <w:t xml:space="preserve"> </w:t>
            </w:r>
            <w:r>
              <w:rPr>
                <w:rFonts w:ascii="SimSun" w:hAnsi="SimSun" w:eastAsia="SimSun" w:cs="SimSun"/>
                <w:spacing w:val="-1"/>
              </w:rPr>
              <w:t>，可</w:t>
            </w:r>
            <w:r>
              <w:rPr>
                <w:spacing w:val="-1"/>
              </w:rPr>
              <w:t>√   </w:t>
            </w:r>
            <w:r>
              <w:rPr>
                <w:rFonts w:ascii="SimSun" w:hAnsi="SimSun" w:eastAsia="SimSun" w:cs="SimSun"/>
                <w:spacing w:val="-1"/>
              </w:rPr>
              <w:t>;</w:t>
            </w:r>
            <w:r>
              <w:rPr>
                <w:rFonts w:ascii="SimSun" w:hAnsi="SimSun" w:eastAsia="SimSun" w:cs="SimSun"/>
                <w:spacing w:val="58"/>
              </w:rPr>
              <w:t xml:space="preserve"> </w:t>
            </w:r>
            <w:r>
              <w:rPr>
                <w:spacing w:val="-1"/>
              </w:rPr>
              <w:t>“  </w:t>
            </w:r>
            <w:r>
              <w:rPr>
                <w:rFonts w:ascii="SimSun" w:hAnsi="SimSun" w:eastAsia="SimSun" w:cs="SimSun"/>
                <w:spacing w:val="-1"/>
              </w:rPr>
              <w:t>(</w:t>
            </w:r>
            <w:r>
              <w:rPr>
                <w:rFonts w:ascii="SimSun" w:hAnsi="SimSun" w:eastAsia="SimSun" w:cs="SimSun"/>
                <w:spacing w:val="68"/>
              </w:rPr>
              <w:t xml:space="preserve"> </w:t>
            </w:r>
            <w:r>
              <w:rPr>
                <w:rFonts w:ascii="SimSun" w:hAnsi="SimSun" w:eastAsia="SimSun" w:cs="SimSun"/>
                <w:spacing w:val="-1"/>
              </w:rPr>
              <w:t>)</w:t>
            </w:r>
            <w:r>
              <w:rPr>
                <w:rFonts w:ascii="SimSun" w:hAnsi="SimSun" w:eastAsia="SimSun" w:cs="SimSun"/>
                <w:spacing w:val="27"/>
              </w:rPr>
              <w:t xml:space="preserve"> </w:t>
            </w:r>
            <w:r>
              <w:rPr>
                <w:spacing w:val="-1"/>
              </w:rPr>
              <w:t>”  </w:t>
            </w:r>
            <w:r>
              <w:rPr>
                <w:rFonts w:ascii="SimSun" w:hAnsi="SimSun" w:eastAsia="SimSun" w:cs="SimSun"/>
                <w:spacing w:val="-1"/>
              </w:rPr>
              <w:t>为内</w:t>
            </w:r>
            <w:r>
              <w:rPr>
                <w:rFonts w:ascii="SimSun" w:hAnsi="SimSun" w:eastAsia="SimSun" w:cs="SimSun"/>
                <w:spacing w:val="-2"/>
              </w:rPr>
              <w:t>容填写项。</w:t>
            </w:r>
          </w:p>
        </w:tc>
      </w:tr>
    </w:tbl>
    <w:p>
      <w:pPr>
        <w:ind w:left="120"/>
        <w:spacing w:before="219" w:line="222" w:lineRule="auto"/>
        <w:outlineLvl w:val="1"/>
        <w:rPr>
          <w:rFonts w:ascii="SimHei" w:hAnsi="SimHei" w:eastAsia="SimHei" w:cs="SimHei"/>
          <w:sz w:val="30"/>
          <w:szCs w:val="30"/>
        </w:rPr>
      </w:pPr>
      <w:bookmarkStart w:name="bookmark34" w:id="59"/>
      <w:bookmarkEnd w:id="59"/>
      <w:r>
        <w:rPr>
          <w:rFonts w:ascii="Times New Roman" w:hAnsi="Times New Roman" w:eastAsia="Times New Roman" w:cs="Times New Roman"/>
          <w:sz w:val="30"/>
          <w:szCs w:val="30"/>
          <w:b/>
          <w:bCs/>
          <w:spacing w:val="-3"/>
        </w:rPr>
        <w:t>5.6  </w:t>
      </w:r>
      <w:r>
        <w:rPr>
          <w:rFonts w:ascii="SimHei" w:hAnsi="SimHei" w:eastAsia="SimHei" w:cs="SimHei"/>
          <w:sz w:val="30"/>
          <w:szCs w:val="30"/>
          <w:b/>
          <w:bCs/>
          <w:spacing w:val="-3"/>
        </w:rPr>
        <w:t>固体废弃物影响分析</w:t>
      </w:r>
    </w:p>
    <w:p>
      <w:pPr>
        <w:ind w:left="11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5.6.1.</w:t>
      </w:r>
      <w:r>
        <w:rPr>
          <w:rFonts w:ascii="SimHei" w:hAnsi="SimHei" w:eastAsia="SimHei" w:cs="SimHei"/>
          <w:sz w:val="28"/>
          <w:szCs w:val="28"/>
          <w:b/>
          <w:bCs/>
          <w:spacing w:val="-2"/>
        </w:rPr>
        <w:t>施工期固体废物影响评价</w:t>
      </w:r>
    </w:p>
    <w:p>
      <w:pPr>
        <w:ind w:left="121" w:right="118" w:firstLine="479"/>
        <w:spacing w:before="171" w:line="339" w:lineRule="auto"/>
        <w:rPr>
          <w:rFonts w:ascii="SimSun" w:hAnsi="SimSun" w:eastAsia="SimSun" w:cs="SimSun"/>
          <w:sz w:val="24"/>
          <w:szCs w:val="24"/>
        </w:rPr>
      </w:pPr>
      <w:r>
        <w:rPr>
          <w:rFonts w:ascii="SimSun" w:hAnsi="SimSun" w:eastAsia="SimSun" w:cs="SimSun"/>
          <w:sz w:val="24"/>
          <w:szCs w:val="24"/>
          <w:spacing w:val="-2"/>
        </w:rPr>
        <w:t>本项目主要工程内容为露天区开采范围调整，工业场地依托现有露天区工业场地，</w:t>
      </w:r>
      <w:r>
        <w:rPr>
          <w:rFonts w:ascii="SimSun" w:hAnsi="SimSun" w:eastAsia="SimSun" w:cs="SimSun"/>
          <w:sz w:val="24"/>
          <w:szCs w:val="24"/>
        </w:rPr>
        <w:t>无新增占地，无施工期工程。本次主要针对运营期</w:t>
      </w:r>
      <w:r>
        <w:rPr>
          <w:rFonts w:ascii="SimSun" w:hAnsi="SimSun" w:eastAsia="SimSun" w:cs="SimSun"/>
          <w:sz w:val="24"/>
          <w:szCs w:val="24"/>
          <w:spacing w:val="-1"/>
        </w:rPr>
        <w:t>固体废物环境影响进行评价。</w:t>
      </w:r>
    </w:p>
    <w:p>
      <w:pPr>
        <w:ind w:left="119"/>
        <w:spacing w:before="92"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5.6.2.</w:t>
      </w:r>
      <w:r>
        <w:rPr>
          <w:rFonts w:ascii="SimHei" w:hAnsi="SimHei" w:eastAsia="SimHei" w:cs="SimHei"/>
          <w:sz w:val="28"/>
          <w:szCs w:val="28"/>
          <w:b/>
          <w:bCs/>
          <w:spacing w:val="-2"/>
        </w:rPr>
        <w:t>运营期固体废物影响评价</w:t>
      </w:r>
    </w:p>
    <w:p>
      <w:pPr>
        <w:ind w:left="600"/>
        <w:spacing w:before="170" w:line="219" w:lineRule="auto"/>
        <w:rPr>
          <w:rFonts w:ascii="SimSun" w:hAnsi="SimSun" w:eastAsia="SimSun" w:cs="SimSun"/>
          <w:sz w:val="24"/>
          <w:szCs w:val="24"/>
        </w:rPr>
      </w:pPr>
      <w:r>
        <w:rPr>
          <w:rFonts w:ascii="SimSun" w:hAnsi="SimSun" w:eastAsia="SimSun" w:cs="SimSun"/>
          <w:sz w:val="24"/>
          <w:szCs w:val="24"/>
          <w:spacing w:val="-1"/>
        </w:rPr>
        <w:t>本项目固体废物产生量及处理处置方式见表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5-6-1</w:t>
      </w:r>
      <w:r>
        <w:rPr>
          <w:rFonts w:ascii="SimSun" w:hAnsi="SimSun" w:eastAsia="SimSun" w:cs="SimSun"/>
          <w:sz w:val="24"/>
          <w:szCs w:val="24"/>
          <w:spacing w:val="-1"/>
        </w:rPr>
        <w:t>。</w:t>
      </w:r>
    </w:p>
    <w:p>
      <w:pPr>
        <w:ind w:left="2980"/>
        <w:spacing w:before="282" w:line="222" w:lineRule="auto"/>
        <w:rPr>
          <w:rFonts w:ascii="SimHei" w:hAnsi="SimHei" w:eastAsia="SimHei" w:cs="SimHei"/>
          <w:sz w:val="24"/>
          <w:szCs w:val="24"/>
        </w:rPr>
      </w:pPr>
      <w:r>
        <w:rPr>
          <w:rFonts w:ascii="SimHei" w:hAnsi="SimHei" w:eastAsia="SimHei" w:cs="SimHei"/>
          <w:sz w:val="24"/>
          <w:szCs w:val="24"/>
          <w:b/>
          <w:bCs/>
          <w:spacing w:val="-4"/>
        </w:rPr>
        <w:t>固体废物产生及处置情况一览表</w:t>
      </w:r>
    </w:p>
    <w:p>
      <w:pPr>
        <w:ind w:left="117"/>
        <w:spacing w:before="96"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5-6-1</w:t>
      </w:r>
    </w:p>
    <w:p>
      <w:pPr>
        <w:spacing w:line="23" w:lineRule="exact"/>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70"/>
        <w:gridCol w:w="1144"/>
        <w:gridCol w:w="830"/>
        <w:gridCol w:w="1051"/>
        <w:gridCol w:w="1192"/>
        <w:gridCol w:w="3603"/>
      </w:tblGrid>
      <w:tr>
        <w:trPr>
          <w:trHeight w:val="552" w:hRule="atLeast"/>
        </w:trPr>
        <w:tc>
          <w:tcPr>
            <w:tcW w:w="1470" w:type="dxa"/>
            <w:vAlign w:val="top"/>
          </w:tcPr>
          <w:p>
            <w:pPr>
              <w:ind w:left="216"/>
              <w:spacing w:before="168" w:line="228" w:lineRule="auto"/>
              <w:rPr>
                <w:rFonts w:ascii="SimSun" w:hAnsi="SimSun" w:eastAsia="SimSun" w:cs="SimSun"/>
                <w:sz w:val="20"/>
                <w:szCs w:val="20"/>
              </w:rPr>
            </w:pPr>
            <w:r>
              <w:rPr>
                <w:rFonts w:ascii="SimSun" w:hAnsi="SimSun" w:eastAsia="SimSun" w:cs="SimSun"/>
                <w:sz w:val="20"/>
                <w:szCs w:val="20"/>
                <w:spacing w:val="7"/>
              </w:rPr>
              <w:t>污染物名称</w:t>
            </w:r>
          </w:p>
        </w:tc>
        <w:tc>
          <w:tcPr>
            <w:tcW w:w="1144" w:type="dxa"/>
            <w:vAlign w:val="top"/>
          </w:tcPr>
          <w:p>
            <w:pPr>
              <w:ind w:left="369"/>
              <w:spacing w:before="168" w:line="228" w:lineRule="auto"/>
              <w:rPr>
                <w:rFonts w:ascii="SimSun" w:hAnsi="SimSun" w:eastAsia="SimSun" w:cs="SimSun"/>
                <w:sz w:val="20"/>
                <w:szCs w:val="20"/>
              </w:rPr>
            </w:pPr>
            <w:r>
              <w:rPr>
                <w:rFonts w:ascii="SimSun" w:hAnsi="SimSun" w:eastAsia="SimSun" w:cs="SimSun"/>
                <w:sz w:val="20"/>
                <w:szCs w:val="20"/>
                <w:spacing w:val="3"/>
              </w:rPr>
              <w:t>性质</w:t>
            </w:r>
          </w:p>
        </w:tc>
        <w:tc>
          <w:tcPr>
            <w:tcW w:w="830" w:type="dxa"/>
            <w:vAlign w:val="top"/>
          </w:tcPr>
          <w:p>
            <w:pPr>
              <w:ind w:left="314" w:right="100" w:hanging="212"/>
              <w:spacing w:before="32" w:line="235" w:lineRule="auto"/>
              <w:rPr>
                <w:rFonts w:ascii="SimSun" w:hAnsi="SimSun" w:eastAsia="SimSun" w:cs="SimSun"/>
                <w:sz w:val="20"/>
                <w:szCs w:val="20"/>
              </w:rPr>
            </w:pPr>
            <w:r>
              <w:rPr>
                <w:rFonts w:ascii="SimSun" w:hAnsi="SimSun" w:eastAsia="SimSun" w:cs="SimSun"/>
                <w:sz w:val="20"/>
                <w:szCs w:val="20"/>
                <w:spacing w:val="7"/>
              </w:rPr>
              <w:t>废物种</w:t>
            </w:r>
            <w:r>
              <w:rPr>
                <w:rFonts w:ascii="SimSun" w:hAnsi="SimSun" w:eastAsia="SimSun" w:cs="SimSun"/>
                <w:sz w:val="20"/>
                <w:szCs w:val="20"/>
              </w:rPr>
              <w:t>类</w:t>
            </w:r>
          </w:p>
        </w:tc>
        <w:tc>
          <w:tcPr>
            <w:tcW w:w="1051" w:type="dxa"/>
            <w:vAlign w:val="top"/>
          </w:tcPr>
          <w:p>
            <w:pPr>
              <w:ind w:left="321"/>
              <w:spacing w:before="167" w:line="228" w:lineRule="auto"/>
              <w:rPr>
                <w:rFonts w:ascii="SimSun" w:hAnsi="SimSun" w:eastAsia="SimSun" w:cs="SimSun"/>
                <w:sz w:val="20"/>
                <w:szCs w:val="20"/>
              </w:rPr>
            </w:pPr>
            <w:r>
              <w:rPr>
                <w:rFonts w:ascii="SimSun" w:hAnsi="SimSun" w:eastAsia="SimSun" w:cs="SimSun"/>
                <w:sz w:val="20"/>
                <w:szCs w:val="20"/>
                <w:spacing w:val="5"/>
              </w:rPr>
              <w:t>代码</w:t>
            </w:r>
          </w:p>
        </w:tc>
        <w:tc>
          <w:tcPr>
            <w:tcW w:w="1192" w:type="dxa"/>
            <w:vAlign w:val="top"/>
          </w:tcPr>
          <w:p>
            <w:pPr>
              <w:ind w:left="497" w:right="68" w:hanging="412"/>
              <w:spacing w:before="32" w:line="235" w:lineRule="auto"/>
              <w:rPr>
                <w:rFonts w:ascii="SimSun" w:hAnsi="SimSun" w:eastAsia="SimSun" w:cs="SimSun"/>
                <w:sz w:val="20"/>
                <w:szCs w:val="20"/>
              </w:rPr>
            </w:pPr>
            <w:r>
              <w:rPr>
                <w:rFonts w:ascii="SimSun" w:hAnsi="SimSun" w:eastAsia="SimSun" w:cs="SimSun"/>
                <w:sz w:val="20"/>
                <w:szCs w:val="20"/>
                <w:spacing w:val="6"/>
              </w:rPr>
              <w:t>改建后产生</w:t>
            </w:r>
            <w:r>
              <w:rPr>
                <w:rFonts w:ascii="SimSun" w:hAnsi="SimSun" w:eastAsia="SimSun" w:cs="SimSun"/>
                <w:sz w:val="20"/>
                <w:szCs w:val="20"/>
              </w:rPr>
              <w:t>量</w:t>
            </w:r>
          </w:p>
        </w:tc>
        <w:tc>
          <w:tcPr>
            <w:tcW w:w="3603" w:type="dxa"/>
            <w:vAlign w:val="top"/>
          </w:tcPr>
          <w:p>
            <w:pPr>
              <w:ind w:left="1076"/>
              <w:spacing w:before="168" w:line="229" w:lineRule="auto"/>
              <w:rPr>
                <w:rFonts w:ascii="SimSun" w:hAnsi="SimSun" w:eastAsia="SimSun" w:cs="SimSun"/>
                <w:sz w:val="20"/>
                <w:szCs w:val="20"/>
              </w:rPr>
            </w:pPr>
            <w:r>
              <w:rPr>
                <w:rFonts w:ascii="SimSun" w:hAnsi="SimSun" w:eastAsia="SimSun" w:cs="SimSun"/>
                <w:sz w:val="20"/>
                <w:szCs w:val="20"/>
                <w:spacing w:val="8"/>
              </w:rPr>
              <w:t>处置及利用方式</w:t>
            </w:r>
          </w:p>
        </w:tc>
      </w:tr>
      <w:tr>
        <w:trPr>
          <w:trHeight w:val="536" w:hRule="atLeast"/>
        </w:trPr>
        <w:tc>
          <w:tcPr>
            <w:tcW w:w="1470" w:type="dxa"/>
            <w:vAlign w:val="top"/>
          </w:tcPr>
          <w:p>
            <w:pPr>
              <w:ind w:left="316"/>
              <w:spacing w:before="161" w:line="228" w:lineRule="auto"/>
              <w:rPr>
                <w:rFonts w:ascii="SimSun" w:hAnsi="SimSun" w:eastAsia="SimSun" w:cs="SimSun"/>
                <w:sz w:val="20"/>
                <w:szCs w:val="20"/>
              </w:rPr>
            </w:pPr>
            <w:r>
              <w:rPr>
                <w:rFonts w:ascii="SimSun" w:hAnsi="SimSun" w:eastAsia="SimSun" w:cs="SimSun"/>
                <w:sz w:val="20"/>
                <w:szCs w:val="20"/>
                <w:spacing w:val="7"/>
              </w:rPr>
              <w:t>选煤矸石</w:t>
            </w:r>
          </w:p>
        </w:tc>
        <w:tc>
          <w:tcPr>
            <w:tcW w:w="1144" w:type="dxa"/>
            <w:vAlign w:val="top"/>
            <w:vMerge w:val="restart"/>
            <w:tcBorders>
              <w:bottom w:val="nil"/>
            </w:tcBorders>
          </w:tcPr>
          <w:p>
            <w:pPr>
              <w:pStyle w:val="TableText"/>
              <w:ind w:left="384" w:right="65" w:hanging="315"/>
              <w:spacing w:before="302" w:line="252" w:lineRule="auto"/>
              <w:rPr>
                <w:rFonts w:ascii="SimSun" w:hAnsi="SimSun" w:eastAsia="SimSun" w:cs="SimSun"/>
              </w:rPr>
            </w:pPr>
            <w:r>
              <w:rPr>
                <w:rFonts w:ascii="SimSun" w:hAnsi="SimSun" w:eastAsia="SimSun" w:cs="SimSun"/>
                <w:spacing w:val="3"/>
              </w:rPr>
              <w:t>第</w:t>
            </w:r>
            <w:r>
              <w:rPr>
                <w:rFonts w:ascii="SimSun" w:hAnsi="SimSun" w:eastAsia="SimSun" w:cs="SimSun"/>
                <w:spacing w:val="-39"/>
              </w:rPr>
              <w:t xml:space="preserve"> </w:t>
            </w:r>
            <w:r>
              <w:rPr>
                <w:spacing w:val="3"/>
              </w:rPr>
              <w:t>I</w:t>
            </w:r>
            <w:r>
              <w:rPr>
                <w:spacing w:val="11"/>
              </w:rPr>
              <w:t xml:space="preserve"> </w:t>
            </w:r>
            <w:r>
              <w:rPr>
                <w:rFonts w:ascii="SimSun" w:hAnsi="SimSun" w:eastAsia="SimSun" w:cs="SimSun"/>
                <w:spacing w:val="3"/>
              </w:rPr>
              <w:t>类一般</w:t>
            </w:r>
            <w:r>
              <w:rPr>
                <w:rFonts w:ascii="SimSun" w:hAnsi="SimSun" w:eastAsia="SimSun" w:cs="SimSun"/>
                <w:spacing w:val="-5"/>
              </w:rPr>
              <w:t>固废</w:t>
            </w:r>
          </w:p>
        </w:tc>
        <w:tc>
          <w:tcPr>
            <w:tcW w:w="830" w:type="dxa"/>
            <w:vAlign w:val="top"/>
            <w:vMerge w:val="restart"/>
            <w:tcBorders>
              <w:bottom w:val="nil"/>
            </w:tcBorders>
          </w:tcPr>
          <w:p>
            <w:pPr>
              <w:spacing w:line="415" w:lineRule="auto"/>
              <w:rPr>
                <w:rFonts w:ascii="Arial"/>
                <w:sz w:val="21"/>
              </w:rPr>
            </w:pPr>
            <w:r/>
          </w:p>
          <w:p>
            <w:pPr>
              <w:pStyle w:val="TableText"/>
              <w:ind w:left="161"/>
              <w:spacing w:before="57" w:line="195" w:lineRule="auto"/>
              <w:rPr/>
            </w:pPr>
            <w:r>
              <w:rPr/>
              <w:t>SW</w:t>
            </w:r>
            <w:r>
              <w:rPr>
                <w:spacing w:val="4"/>
              </w:rPr>
              <w:t>04</w:t>
            </w:r>
          </w:p>
        </w:tc>
        <w:tc>
          <w:tcPr>
            <w:tcW w:w="1051" w:type="dxa"/>
            <w:vAlign w:val="top"/>
            <w:vMerge w:val="restart"/>
            <w:tcBorders>
              <w:bottom w:val="nil"/>
            </w:tcBorders>
          </w:tcPr>
          <w:p>
            <w:pPr>
              <w:spacing w:line="411" w:lineRule="auto"/>
              <w:rPr>
                <w:rFonts w:ascii="Arial"/>
                <w:sz w:val="21"/>
              </w:rPr>
            </w:pPr>
            <w:r/>
          </w:p>
          <w:p>
            <w:pPr>
              <w:pStyle w:val="TableText"/>
              <w:ind w:left="494"/>
              <w:spacing w:before="57" w:line="199" w:lineRule="auto"/>
              <w:rPr/>
            </w:pPr>
            <w:r>
              <w:rPr>
                <w:spacing w:val="2"/>
              </w:rPr>
              <w:t>/</w:t>
            </w:r>
          </w:p>
        </w:tc>
        <w:tc>
          <w:tcPr>
            <w:tcW w:w="1192" w:type="dxa"/>
            <w:vAlign w:val="top"/>
          </w:tcPr>
          <w:p>
            <w:pPr>
              <w:pStyle w:val="TableText"/>
              <w:ind w:left="238"/>
              <w:spacing w:before="161" w:line="228" w:lineRule="auto"/>
              <w:rPr/>
            </w:pPr>
            <w:r>
              <w:rPr>
                <w:spacing w:val="-1"/>
              </w:rPr>
              <w:t>50</w:t>
            </w:r>
            <w:r>
              <w:rPr>
                <w:spacing w:val="21"/>
              </w:rPr>
              <w:t xml:space="preserve"> </w:t>
            </w:r>
            <w:r>
              <w:rPr>
                <w:rFonts w:ascii="SimSun" w:hAnsi="SimSun" w:eastAsia="SimSun" w:cs="SimSun"/>
                <w:spacing w:val="-1"/>
              </w:rPr>
              <w:t>万</w:t>
            </w:r>
            <w:r>
              <w:rPr>
                <w:rFonts w:ascii="SimSun" w:hAnsi="SimSun" w:eastAsia="SimSun" w:cs="SimSun"/>
                <w:spacing w:val="-45"/>
              </w:rPr>
              <w:t xml:space="preserve"> </w:t>
            </w:r>
            <w:r>
              <w:rPr>
                <w:spacing w:val="-1"/>
              </w:rPr>
              <w:t>t/a</w:t>
            </w:r>
          </w:p>
        </w:tc>
        <w:tc>
          <w:tcPr>
            <w:tcW w:w="3603" w:type="dxa"/>
            <w:vAlign w:val="top"/>
          </w:tcPr>
          <w:p>
            <w:pPr>
              <w:ind w:left="1281"/>
              <w:spacing w:before="161" w:line="228" w:lineRule="auto"/>
              <w:rPr>
                <w:rFonts w:ascii="SimSun" w:hAnsi="SimSun" w:eastAsia="SimSun" w:cs="SimSun"/>
                <w:sz w:val="20"/>
                <w:szCs w:val="20"/>
              </w:rPr>
            </w:pPr>
            <w:r>
              <w:rPr>
                <w:rFonts w:ascii="SimSun" w:hAnsi="SimSun" w:eastAsia="SimSun" w:cs="SimSun"/>
                <w:sz w:val="20"/>
                <w:szCs w:val="20"/>
                <w:spacing w:val="7"/>
              </w:rPr>
              <w:t>充填沉陷区</w:t>
            </w:r>
          </w:p>
        </w:tc>
      </w:tr>
      <w:tr>
        <w:trPr>
          <w:trHeight w:val="548" w:hRule="atLeast"/>
        </w:trPr>
        <w:tc>
          <w:tcPr>
            <w:tcW w:w="1470" w:type="dxa"/>
            <w:vAlign w:val="top"/>
          </w:tcPr>
          <w:p>
            <w:pPr>
              <w:ind w:left="215"/>
              <w:spacing w:before="167" w:line="228" w:lineRule="auto"/>
              <w:rPr>
                <w:rFonts w:ascii="SimSun" w:hAnsi="SimSun" w:eastAsia="SimSun" w:cs="SimSun"/>
                <w:sz w:val="20"/>
                <w:szCs w:val="20"/>
              </w:rPr>
            </w:pPr>
            <w:r>
              <w:rPr>
                <w:rFonts w:ascii="SimSun" w:hAnsi="SimSun" w:eastAsia="SimSun" w:cs="SimSun"/>
                <w:sz w:val="20"/>
                <w:szCs w:val="20"/>
                <w:spacing w:val="8"/>
              </w:rPr>
              <w:t>土岩剥离物</w:t>
            </w:r>
          </w:p>
        </w:tc>
        <w:tc>
          <w:tcPr>
            <w:tcW w:w="1144" w:type="dxa"/>
            <w:vAlign w:val="top"/>
            <w:vMerge w:val="continue"/>
            <w:tcBorders>
              <w:top w:val="nil"/>
            </w:tcBorders>
          </w:tcPr>
          <w:p>
            <w:pPr>
              <w:rPr>
                <w:rFonts w:ascii="Arial"/>
                <w:sz w:val="21"/>
              </w:rPr>
            </w:pPr>
            <w:r/>
          </w:p>
        </w:tc>
        <w:tc>
          <w:tcPr>
            <w:tcW w:w="830" w:type="dxa"/>
            <w:vAlign w:val="top"/>
            <w:vMerge w:val="continue"/>
            <w:tcBorders>
              <w:top w:val="nil"/>
            </w:tcBorders>
          </w:tcPr>
          <w:p>
            <w:pPr>
              <w:rPr>
                <w:rFonts w:ascii="Arial"/>
                <w:sz w:val="21"/>
              </w:rPr>
            </w:pPr>
            <w:r/>
          </w:p>
        </w:tc>
        <w:tc>
          <w:tcPr>
            <w:tcW w:w="1051" w:type="dxa"/>
            <w:vAlign w:val="top"/>
            <w:vMerge w:val="continue"/>
            <w:tcBorders>
              <w:top w:val="nil"/>
            </w:tcBorders>
          </w:tcPr>
          <w:p>
            <w:pPr>
              <w:rPr>
                <w:rFonts w:ascii="Arial"/>
                <w:sz w:val="21"/>
              </w:rPr>
            </w:pPr>
            <w:r/>
          </w:p>
        </w:tc>
        <w:tc>
          <w:tcPr>
            <w:tcW w:w="1192" w:type="dxa"/>
            <w:vAlign w:val="top"/>
          </w:tcPr>
          <w:p>
            <w:pPr>
              <w:pStyle w:val="TableText"/>
              <w:ind w:left="46"/>
              <w:spacing w:before="167" w:line="228" w:lineRule="auto"/>
              <w:rPr/>
            </w:pPr>
            <w:r>
              <w:rPr>
                <w:spacing w:val="2"/>
              </w:rPr>
              <w:t>5295</w:t>
            </w:r>
            <w:r>
              <w:rPr>
                <w:spacing w:val="14"/>
                <w:w w:val="101"/>
              </w:rPr>
              <w:t xml:space="preserve"> </w:t>
            </w:r>
            <w:r>
              <w:rPr>
                <w:rFonts w:ascii="SimSun" w:hAnsi="SimSun" w:eastAsia="SimSun" w:cs="SimSun"/>
                <w:spacing w:val="2"/>
              </w:rPr>
              <w:t>万</w:t>
            </w:r>
            <w:r>
              <w:rPr>
                <w:rFonts w:ascii="SimSun" w:hAnsi="SimSun" w:eastAsia="SimSun" w:cs="SimSun"/>
                <w:spacing w:val="-44"/>
              </w:rPr>
              <w:t xml:space="preserve"> </w:t>
            </w:r>
            <w:r>
              <w:rPr>
                <w:spacing w:val="2"/>
              </w:rPr>
              <w:t>m</w:t>
            </w:r>
            <w:r>
              <w:rPr>
                <w:sz w:val="13"/>
                <w:szCs w:val="13"/>
                <w:spacing w:val="2"/>
                <w:position w:val="6"/>
              </w:rPr>
              <w:t>3</w:t>
            </w:r>
            <w:r>
              <w:rPr>
                <w:spacing w:val="2"/>
              </w:rPr>
              <w:t>/a</w:t>
            </w:r>
          </w:p>
        </w:tc>
        <w:tc>
          <w:tcPr>
            <w:tcW w:w="3603" w:type="dxa"/>
            <w:vAlign w:val="top"/>
          </w:tcPr>
          <w:p>
            <w:pPr>
              <w:ind w:left="45"/>
              <w:spacing w:before="32" w:line="228" w:lineRule="auto"/>
              <w:rPr>
                <w:rFonts w:ascii="SimSun" w:hAnsi="SimSun" w:eastAsia="SimSun" w:cs="SimSun"/>
                <w:sz w:val="20"/>
                <w:szCs w:val="20"/>
              </w:rPr>
            </w:pPr>
            <w:r>
              <w:rPr>
                <w:rFonts w:ascii="SimSun" w:hAnsi="SimSun" w:eastAsia="SimSun" w:cs="SimSun"/>
                <w:sz w:val="20"/>
                <w:szCs w:val="20"/>
                <w:spacing w:val="6"/>
              </w:rPr>
              <w:t>部分用于沉陷区充填，部分运送至内排</w:t>
            </w:r>
          </w:p>
          <w:p>
            <w:pPr>
              <w:ind w:left="1596"/>
              <w:spacing w:before="24" w:line="216" w:lineRule="auto"/>
              <w:rPr>
                <w:rFonts w:ascii="SimSun" w:hAnsi="SimSun" w:eastAsia="SimSun" w:cs="SimSun"/>
                <w:sz w:val="20"/>
                <w:szCs w:val="20"/>
              </w:rPr>
            </w:pPr>
            <w:r>
              <w:rPr>
                <w:rFonts w:ascii="SimSun" w:hAnsi="SimSun" w:eastAsia="SimSun" w:cs="SimSun"/>
                <w:sz w:val="20"/>
                <w:szCs w:val="20"/>
                <w:spacing w:val="4"/>
              </w:rPr>
              <w:t>土场</w:t>
            </w:r>
          </w:p>
        </w:tc>
      </w:tr>
      <w:tr>
        <w:trPr>
          <w:trHeight w:val="280" w:hRule="atLeast"/>
        </w:trPr>
        <w:tc>
          <w:tcPr>
            <w:tcW w:w="1470" w:type="dxa"/>
            <w:vAlign w:val="top"/>
          </w:tcPr>
          <w:p>
            <w:pPr>
              <w:ind w:left="319"/>
              <w:spacing w:before="33" w:line="218" w:lineRule="auto"/>
              <w:rPr>
                <w:rFonts w:ascii="SimSun" w:hAnsi="SimSun" w:eastAsia="SimSun" w:cs="SimSun"/>
                <w:sz w:val="20"/>
                <w:szCs w:val="20"/>
              </w:rPr>
            </w:pPr>
            <w:r>
              <w:rPr>
                <w:rFonts w:ascii="SimSun" w:hAnsi="SimSun" w:eastAsia="SimSun" w:cs="SimSun"/>
                <w:sz w:val="20"/>
                <w:szCs w:val="20"/>
                <w:spacing w:val="6"/>
              </w:rPr>
              <w:t>生活垃圾</w:t>
            </w:r>
          </w:p>
        </w:tc>
        <w:tc>
          <w:tcPr>
            <w:tcW w:w="1144" w:type="dxa"/>
            <w:vAlign w:val="top"/>
          </w:tcPr>
          <w:p>
            <w:pPr>
              <w:ind w:left="157"/>
              <w:spacing w:before="33" w:line="218" w:lineRule="auto"/>
              <w:rPr>
                <w:rFonts w:ascii="SimSun" w:hAnsi="SimSun" w:eastAsia="SimSun" w:cs="SimSun"/>
                <w:sz w:val="20"/>
                <w:szCs w:val="20"/>
              </w:rPr>
            </w:pPr>
            <w:r>
              <w:rPr>
                <w:rFonts w:ascii="SimSun" w:hAnsi="SimSun" w:eastAsia="SimSun" w:cs="SimSun"/>
                <w:sz w:val="20"/>
                <w:szCs w:val="20"/>
                <w:spacing w:val="6"/>
              </w:rPr>
              <w:t>生活垃圾</w:t>
            </w:r>
          </w:p>
        </w:tc>
        <w:tc>
          <w:tcPr>
            <w:tcW w:w="830" w:type="dxa"/>
            <w:vAlign w:val="top"/>
          </w:tcPr>
          <w:p>
            <w:pPr>
              <w:pStyle w:val="TableText"/>
              <w:ind w:left="383"/>
              <w:spacing w:before="66" w:line="199" w:lineRule="auto"/>
              <w:rPr/>
            </w:pPr>
            <w:r>
              <w:rPr>
                <w:spacing w:val="2"/>
              </w:rPr>
              <w:t>/</w:t>
            </w:r>
          </w:p>
        </w:tc>
        <w:tc>
          <w:tcPr>
            <w:tcW w:w="1051" w:type="dxa"/>
            <w:vAlign w:val="top"/>
          </w:tcPr>
          <w:p>
            <w:pPr>
              <w:pStyle w:val="TableText"/>
              <w:ind w:left="494"/>
              <w:spacing w:before="66" w:line="199" w:lineRule="auto"/>
              <w:rPr/>
            </w:pPr>
            <w:r>
              <w:rPr>
                <w:spacing w:val="2"/>
              </w:rPr>
              <w:t>/</w:t>
            </w:r>
          </w:p>
        </w:tc>
        <w:tc>
          <w:tcPr>
            <w:tcW w:w="1192" w:type="dxa"/>
            <w:vAlign w:val="top"/>
          </w:tcPr>
          <w:p>
            <w:pPr>
              <w:pStyle w:val="TableText"/>
              <w:ind w:left="208"/>
              <w:spacing w:before="66" w:line="199" w:lineRule="auto"/>
              <w:rPr/>
            </w:pPr>
            <w:r>
              <w:rPr>
                <w:spacing w:val="-1"/>
              </w:rPr>
              <w:t>200.</w:t>
            </w:r>
            <w:r>
              <w:rPr>
                <w:spacing w:val="-20"/>
              </w:rPr>
              <w:t xml:space="preserve"> </w:t>
            </w:r>
            <w:r>
              <w:rPr>
                <w:spacing w:val="-1"/>
              </w:rPr>
              <w:t>11t/a</w:t>
            </w:r>
          </w:p>
        </w:tc>
        <w:tc>
          <w:tcPr>
            <w:tcW w:w="3603" w:type="dxa"/>
            <w:vAlign w:val="top"/>
          </w:tcPr>
          <w:p>
            <w:pPr>
              <w:ind w:left="237"/>
              <w:spacing w:before="33" w:line="218" w:lineRule="auto"/>
              <w:rPr>
                <w:rFonts w:ascii="SimSun" w:hAnsi="SimSun" w:eastAsia="SimSun" w:cs="SimSun"/>
                <w:sz w:val="20"/>
                <w:szCs w:val="20"/>
              </w:rPr>
            </w:pPr>
            <w:r>
              <w:rPr>
                <w:rFonts w:ascii="SimSun" w:hAnsi="SimSun" w:eastAsia="SimSun" w:cs="SimSun"/>
                <w:sz w:val="20"/>
                <w:szCs w:val="20"/>
                <w:spacing w:val="8"/>
              </w:rPr>
              <w:t>统一收集，由西乌旗环卫部门处置</w:t>
            </w:r>
          </w:p>
        </w:tc>
      </w:tr>
    </w:tbl>
    <w:p>
      <w:pPr>
        <w:pStyle w:val="BodyText"/>
        <w:spacing w:line="156" w:lineRule="exact"/>
        <w:rPr>
          <w:sz w:val="13"/>
        </w:rPr>
      </w:pPr>
      <w:r/>
    </w:p>
    <w:p>
      <w:pPr>
        <w:spacing w:line="156" w:lineRule="exact"/>
        <w:sectPr>
          <w:headerReference w:type="default" r:id="rId97"/>
          <w:footerReference w:type="default" r:id="rId451"/>
          <w:pgSz w:w="11906" w:h="16838"/>
          <w:pgMar w:top="1170" w:right="1304" w:bottom="1080" w:left="1305" w:header="837" w:footer="918" w:gutter="0"/>
        </w:sectPr>
        <w:rPr>
          <w:sz w:val="13"/>
          <w:szCs w:val="13"/>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70"/>
        <w:gridCol w:w="1144"/>
        <w:gridCol w:w="830"/>
        <w:gridCol w:w="1051"/>
        <w:gridCol w:w="1192"/>
        <w:gridCol w:w="3603"/>
      </w:tblGrid>
      <w:tr>
        <w:trPr>
          <w:trHeight w:val="555" w:hRule="atLeast"/>
        </w:trPr>
        <w:tc>
          <w:tcPr>
            <w:tcW w:w="1470" w:type="dxa"/>
            <w:vAlign w:val="top"/>
          </w:tcPr>
          <w:p>
            <w:pPr>
              <w:ind w:left="531" w:right="104" w:hanging="421"/>
              <w:spacing w:before="33" w:line="236" w:lineRule="auto"/>
              <w:rPr>
                <w:rFonts w:ascii="SimSun" w:hAnsi="SimSun" w:eastAsia="SimSun" w:cs="SimSun"/>
                <w:sz w:val="20"/>
                <w:szCs w:val="20"/>
              </w:rPr>
            </w:pPr>
            <w:bookmarkStart w:name="bookmark99" w:id="60"/>
            <w:bookmarkEnd w:id="60"/>
            <w:r>
              <w:rPr>
                <w:rFonts w:ascii="SimSun" w:hAnsi="SimSun" w:eastAsia="SimSun" w:cs="SimSun"/>
                <w:sz w:val="20"/>
                <w:szCs w:val="20"/>
                <w:spacing w:val="8"/>
              </w:rPr>
              <w:t>矿井水处理站</w:t>
            </w:r>
            <w:r>
              <w:rPr>
                <w:rFonts w:ascii="SimSun" w:hAnsi="SimSun" w:eastAsia="SimSun" w:cs="SimSun"/>
                <w:sz w:val="20"/>
                <w:szCs w:val="20"/>
                <w:spacing w:val="4"/>
              </w:rPr>
              <w:t>煤泥</w:t>
            </w:r>
          </w:p>
        </w:tc>
        <w:tc>
          <w:tcPr>
            <w:tcW w:w="1144" w:type="dxa"/>
            <w:vAlign w:val="top"/>
          </w:tcPr>
          <w:p>
            <w:pPr>
              <w:pStyle w:val="TableText"/>
              <w:ind w:left="384" w:right="65" w:hanging="315"/>
              <w:spacing w:before="33" w:line="236" w:lineRule="auto"/>
              <w:rPr>
                <w:rFonts w:ascii="SimSun" w:hAnsi="SimSun" w:eastAsia="SimSun" w:cs="SimSun"/>
              </w:rPr>
            </w:pPr>
            <w:r>
              <w:rPr>
                <w:rFonts w:ascii="SimSun" w:hAnsi="SimSun" w:eastAsia="SimSun" w:cs="SimSun"/>
                <w:spacing w:val="3"/>
              </w:rPr>
              <w:t>第</w:t>
            </w:r>
            <w:r>
              <w:rPr>
                <w:rFonts w:ascii="SimSun" w:hAnsi="SimSun" w:eastAsia="SimSun" w:cs="SimSun"/>
                <w:spacing w:val="-39"/>
              </w:rPr>
              <w:t xml:space="preserve"> </w:t>
            </w:r>
            <w:r>
              <w:rPr>
                <w:spacing w:val="3"/>
              </w:rPr>
              <w:t>I</w:t>
            </w:r>
            <w:r>
              <w:rPr>
                <w:spacing w:val="11"/>
              </w:rPr>
              <w:t xml:space="preserve"> </w:t>
            </w:r>
            <w:r>
              <w:rPr>
                <w:rFonts w:ascii="SimSun" w:hAnsi="SimSun" w:eastAsia="SimSun" w:cs="SimSun"/>
                <w:spacing w:val="3"/>
              </w:rPr>
              <w:t>类一般</w:t>
            </w:r>
            <w:r>
              <w:rPr>
                <w:rFonts w:ascii="SimSun" w:hAnsi="SimSun" w:eastAsia="SimSun" w:cs="SimSun"/>
                <w:spacing w:val="-5"/>
              </w:rPr>
              <w:t>固废</w:t>
            </w:r>
          </w:p>
        </w:tc>
        <w:tc>
          <w:tcPr>
            <w:tcW w:w="830" w:type="dxa"/>
            <w:vAlign w:val="top"/>
          </w:tcPr>
          <w:p>
            <w:pPr>
              <w:pStyle w:val="TableText"/>
              <w:ind w:left="161"/>
              <w:spacing w:before="206" w:line="195" w:lineRule="auto"/>
              <w:rPr/>
            </w:pPr>
            <w:r>
              <w:rPr/>
              <w:t>SW</w:t>
            </w:r>
            <w:r>
              <w:rPr>
                <w:spacing w:val="4"/>
              </w:rPr>
              <w:t>07</w:t>
            </w:r>
          </w:p>
        </w:tc>
        <w:tc>
          <w:tcPr>
            <w:tcW w:w="1051" w:type="dxa"/>
            <w:vAlign w:val="top"/>
          </w:tcPr>
          <w:p>
            <w:pPr>
              <w:pStyle w:val="TableText"/>
              <w:ind w:left="494"/>
              <w:spacing w:before="202" w:line="199" w:lineRule="auto"/>
              <w:rPr/>
            </w:pPr>
            <w:r>
              <w:rPr>
                <w:spacing w:val="2"/>
              </w:rPr>
              <w:t>/</w:t>
            </w:r>
          </w:p>
        </w:tc>
        <w:tc>
          <w:tcPr>
            <w:tcW w:w="1192" w:type="dxa"/>
            <w:vAlign w:val="top"/>
          </w:tcPr>
          <w:p>
            <w:pPr>
              <w:pStyle w:val="TableText"/>
              <w:ind w:left="226"/>
              <w:spacing w:before="202" w:line="199" w:lineRule="auto"/>
              <w:rPr/>
            </w:pPr>
            <w:r>
              <w:rPr>
                <w:spacing w:val="1"/>
              </w:rPr>
              <w:t>171.62t/a</w:t>
            </w:r>
          </w:p>
        </w:tc>
        <w:tc>
          <w:tcPr>
            <w:tcW w:w="3603" w:type="dxa"/>
            <w:vAlign w:val="top"/>
          </w:tcPr>
          <w:p>
            <w:pPr>
              <w:ind w:left="967"/>
              <w:spacing w:before="170" w:line="228" w:lineRule="auto"/>
              <w:rPr>
                <w:rFonts w:ascii="SimSun" w:hAnsi="SimSun" w:eastAsia="SimSun" w:cs="SimSun"/>
                <w:sz w:val="20"/>
                <w:szCs w:val="20"/>
              </w:rPr>
            </w:pPr>
            <w:r>
              <w:rPr>
                <w:rFonts w:ascii="SimSun" w:hAnsi="SimSun" w:eastAsia="SimSun" w:cs="SimSun"/>
                <w:sz w:val="20"/>
                <w:szCs w:val="20"/>
                <w:spacing w:val="8"/>
              </w:rPr>
              <w:t>掺入产品煤后外售</w:t>
            </w:r>
          </w:p>
        </w:tc>
      </w:tr>
      <w:tr>
        <w:trPr>
          <w:trHeight w:val="546" w:hRule="atLeast"/>
        </w:trPr>
        <w:tc>
          <w:tcPr>
            <w:tcW w:w="1470" w:type="dxa"/>
            <w:vAlign w:val="top"/>
          </w:tcPr>
          <w:p>
            <w:pPr>
              <w:ind w:left="425" w:right="104" w:hanging="313"/>
              <w:spacing w:before="28" w:line="234" w:lineRule="auto"/>
              <w:rPr>
                <w:rFonts w:ascii="SimSun" w:hAnsi="SimSun" w:eastAsia="SimSun" w:cs="SimSun"/>
                <w:sz w:val="20"/>
                <w:szCs w:val="20"/>
              </w:rPr>
            </w:pPr>
            <w:r>
              <w:rPr>
                <w:rFonts w:ascii="SimSun" w:hAnsi="SimSun" w:eastAsia="SimSun" w:cs="SimSun"/>
                <w:sz w:val="20"/>
                <w:szCs w:val="20"/>
                <w:spacing w:val="7"/>
              </w:rPr>
              <w:t>生活污水处理</w:t>
            </w:r>
            <w:r>
              <w:rPr>
                <w:rFonts w:ascii="SimSun" w:hAnsi="SimSun" w:eastAsia="SimSun" w:cs="SimSun"/>
                <w:sz w:val="20"/>
                <w:szCs w:val="20"/>
                <w:spacing w:val="6"/>
              </w:rPr>
              <w:t>站污泥</w:t>
            </w:r>
          </w:p>
        </w:tc>
        <w:tc>
          <w:tcPr>
            <w:tcW w:w="1144" w:type="dxa"/>
            <w:vAlign w:val="top"/>
          </w:tcPr>
          <w:p>
            <w:pPr>
              <w:pStyle w:val="TableText"/>
              <w:ind w:left="384" w:right="65" w:hanging="315"/>
              <w:spacing w:before="28" w:line="234" w:lineRule="auto"/>
              <w:rPr>
                <w:rFonts w:ascii="SimSun" w:hAnsi="SimSun" w:eastAsia="SimSun" w:cs="SimSun"/>
              </w:rPr>
            </w:pPr>
            <w:r>
              <w:rPr>
                <w:rFonts w:ascii="SimSun" w:hAnsi="SimSun" w:eastAsia="SimSun" w:cs="SimSun"/>
                <w:spacing w:val="3"/>
              </w:rPr>
              <w:t>第</w:t>
            </w:r>
            <w:r>
              <w:rPr>
                <w:rFonts w:ascii="SimSun" w:hAnsi="SimSun" w:eastAsia="SimSun" w:cs="SimSun"/>
                <w:spacing w:val="-39"/>
              </w:rPr>
              <w:t xml:space="preserve"> </w:t>
            </w:r>
            <w:r>
              <w:rPr>
                <w:spacing w:val="3"/>
              </w:rPr>
              <w:t>I</w:t>
            </w:r>
            <w:r>
              <w:rPr>
                <w:spacing w:val="11"/>
              </w:rPr>
              <w:t xml:space="preserve"> </w:t>
            </w:r>
            <w:r>
              <w:rPr>
                <w:rFonts w:ascii="SimSun" w:hAnsi="SimSun" w:eastAsia="SimSun" w:cs="SimSun"/>
                <w:spacing w:val="3"/>
              </w:rPr>
              <w:t>类一般</w:t>
            </w:r>
            <w:r>
              <w:rPr>
                <w:rFonts w:ascii="SimSun" w:hAnsi="SimSun" w:eastAsia="SimSun" w:cs="SimSun"/>
                <w:spacing w:val="-5"/>
              </w:rPr>
              <w:t>固废</w:t>
            </w:r>
          </w:p>
        </w:tc>
        <w:tc>
          <w:tcPr>
            <w:tcW w:w="830" w:type="dxa"/>
            <w:vAlign w:val="top"/>
          </w:tcPr>
          <w:p>
            <w:pPr>
              <w:pStyle w:val="TableText"/>
              <w:ind w:left="161"/>
              <w:spacing w:before="200" w:line="195" w:lineRule="auto"/>
              <w:rPr/>
            </w:pPr>
            <w:r>
              <w:rPr/>
              <w:t>SW</w:t>
            </w:r>
            <w:r>
              <w:rPr>
                <w:spacing w:val="4"/>
              </w:rPr>
              <w:t>07</w:t>
            </w:r>
          </w:p>
        </w:tc>
        <w:tc>
          <w:tcPr>
            <w:tcW w:w="1051" w:type="dxa"/>
            <w:vAlign w:val="top"/>
          </w:tcPr>
          <w:p>
            <w:pPr>
              <w:pStyle w:val="TableText"/>
              <w:ind w:left="494"/>
              <w:spacing w:before="197" w:line="199" w:lineRule="auto"/>
              <w:rPr/>
            </w:pPr>
            <w:r>
              <w:rPr>
                <w:spacing w:val="2"/>
              </w:rPr>
              <w:t>/</w:t>
            </w:r>
          </w:p>
        </w:tc>
        <w:tc>
          <w:tcPr>
            <w:tcW w:w="1192" w:type="dxa"/>
            <w:vAlign w:val="top"/>
          </w:tcPr>
          <w:p>
            <w:pPr>
              <w:pStyle w:val="TableText"/>
              <w:ind w:left="331"/>
              <w:spacing w:before="197" w:line="199" w:lineRule="auto"/>
              <w:rPr/>
            </w:pPr>
            <w:r>
              <w:rPr/>
              <w:t>18.7t/a</w:t>
            </w:r>
          </w:p>
        </w:tc>
        <w:tc>
          <w:tcPr>
            <w:tcW w:w="3603" w:type="dxa"/>
            <w:vAlign w:val="top"/>
          </w:tcPr>
          <w:p>
            <w:pPr>
              <w:ind w:left="43"/>
              <w:spacing w:before="28" w:line="228" w:lineRule="auto"/>
              <w:rPr>
                <w:rFonts w:ascii="SimSun" w:hAnsi="SimSun" w:eastAsia="SimSun" w:cs="SimSun"/>
                <w:sz w:val="20"/>
                <w:szCs w:val="20"/>
              </w:rPr>
            </w:pPr>
            <w:r>
              <w:rPr>
                <w:rFonts w:ascii="SimSun" w:hAnsi="SimSun" w:eastAsia="SimSun" w:cs="SimSun"/>
                <w:sz w:val="20"/>
                <w:szCs w:val="20"/>
                <w:spacing w:val="6"/>
              </w:rPr>
              <w:t>压滤后，与生活垃圾一起，由西乌旗环</w:t>
            </w:r>
          </w:p>
          <w:p>
            <w:pPr>
              <w:ind w:left="1280"/>
              <w:spacing w:before="26" w:line="216" w:lineRule="auto"/>
              <w:rPr>
                <w:rFonts w:ascii="SimSun" w:hAnsi="SimSun" w:eastAsia="SimSun" w:cs="SimSun"/>
                <w:sz w:val="20"/>
                <w:szCs w:val="20"/>
              </w:rPr>
            </w:pPr>
            <w:r>
              <w:rPr>
                <w:rFonts w:ascii="SimSun" w:hAnsi="SimSun" w:eastAsia="SimSun" w:cs="SimSun"/>
                <w:sz w:val="20"/>
                <w:szCs w:val="20"/>
                <w:spacing w:val="8"/>
              </w:rPr>
              <w:t>卫部门处置</w:t>
            </w:r>
          </w:p>
        </w:tc>
      </w:tr>
      <w:tr>
        <w:trPr>
          <w:trHeight w:val="550" w:hRule="atLeast"/>
        </w:trPr>
        <w:tc>
          <w:tcPr>
            <w:tcW w:w="1470" w:type="dxa"/>
            <w:vAlign w:val="top"/>
          </w:tcPr>
          <w:p>
            <w:pPr>
              <w:ind w:left="316"/>
              <w:spacing w:before="168" w:line="228" w:lineRule="auto"/>
              <w:rPr>
                <w:rFonts w:ascii="SimSun" w:hAnsi="SimSun" w:eastAsia="SimSun" w:cs="SimSun"/>
                <w:sz w:val="20"/>
                <w:szCs w:val="20"/>
              </w:rPr>
            </w:pPr>
            <w:r>
              <w:rPr>
                <w:rFonts w:ascii="SimSun" w:hAnsi="SimSun" w:eastAsia="SimSun" w:cs="SimSun"/>
                <w:sz w:val="20"/>
                <w:szCs w:val="20"/>
                <w:spacing w:val="7"/>
              </w:rPr>
              <w:t>废矿物油</w:t>
            </w:r>
          </w:p>
        </w:tc>
        <w:tc>
          <w:tcPr>
            <w:tcW w:w="1144" w:type="dxa"/>
            <w:vAlign w:val="top"/>
            <w:vMerge w:val="restart"/>
            <w:tcBorders>
              <w:bottom w:val="nil"/>
            </w:tcBorders>
          </w:tcPr>
          <w:p>
            <w:pPr>
              <w:spacing w:line="379" w:lineRule="auto"/>
              <w:rPr>
                <w:rFonts w:ascii="Arial"/>
                <w:sz w:val="21"/>
              </w:rPr>
            </w:pPr>
            <w:r/>
          </w:p>
          <w:p>
            <w:pPr>
              <w:ind w:left="158"/>
              <w:spacing w:before="65" w:line="228" w:lineRule="auto"/>
              <w:rPr>
                <w:rFonts w:ascii="SimSun" w:hAnsi="SimSun" w:eastAsia="SimSun" w:cs="SimSun"/>
                <w:sz w:val="20"/>
                <w:szCs w:val="20"/>
              </w:rPr>
            </w:pPr>
            <w:r>
              <w:rPr>
                <w:rFonts w:ascii="SimSun" w:hAnsi="SimSun" w:eastAsia="SimSun" w:cs="SimSun"/>
                <w:sz w:val="20"/>
                <w:szCs w:val="20"/>
                <w:spacing w:val="6"/>
              </w:rPr>
              <w:t>危险废物</w:t>
            </w:r>
          </w:p>
        </w:tc>
        <w:tc>
          <w:tcPr>
            <w:tcW w:w="830" w:type="dxa"/>
            <w:vAlign w:val="top"/>
          </w:tcPr>
          <w:p>
            <w:pPr>
              <w:pStyle w:val="TableText"/>
              <w:ind w:left="134"/>
              <w:spacing w:before="204" w:line="195" w:lineRule="auto"/>
              <w:rPr/>
            </w:pPr>
            <w:r>
              <w:rPr/>
              <w:t>HW</w:t>
            </w:r>
            <w:r>
              <w:rPr>
                <w:spacing w:val="10"/>
              </w:rPr>
              <w:t>08</w:t>
            </w:r>
          </w:p>
        </w:tc>
        <w:tc>
          <w:tcPr>
            <w:tcW w:w="1051" w:type="dxa"/>
            <w:vAlign w:val="top"/>
          </w:tcPr>
          <w:p>
            <w:pPr>
              <w:pStyle w:val="TableText"/>
              <w:ind w:left="41"/>
              <w:spacing w:before="204" w:line="195" w:lineRule="auto"/>
              <w:rPr/>
            </w:pPr>
            <w:r>
              <w:rPr>
                <w:spacing w:val="3"/>
              </w:rPr>
              <w:t>900-249-08</w:t>
            </w:r>
          </w:p>
        </w:tc>
        <w:tc>
          <w:tcPr>
            <w:tcW w:w="1192" w:type="dxa"/>
            <w:vAlign w:val="top"/>
          </w:tcPr>
          <w:p>
            <w:pPr>
              <w:pStyle w:val="TableText"/>
              <w:ind w:left="311"/>
              <w:spacing w:before="200" w:line="199" w:lineRule="auto"/>
              <w:rPr/>
            </w:pPr>
            <w:r>
              <w:rPr>
                <w:spacing w:val="2"/>
              </w:rPr>
              <w:t>20t/a</w:t>
            </w:r>
          </w:p>
        </w:tc>
        <w:tc>
          <w:tcPr>
            <w:tcW w:w="3603" w:type="dxa"/>
            <w:vAlign w:val="top"/>
          </w:tcPr>
          <w:p>
            <w:pPr>
              <w:ind w:left="42"/>
              <w:spacing w:before="33" w:line="228" w:lineRule="auto"/>
              <w:rPr>
                <w:rFonts w:ascii="SimSun" w:hAnsi="SimSun" w:eastAsia="SimSun" w:cs="SimSun"/>
                <w:sz w:val="20"/>
                <w:szCs w:val="20"/>
              </w:rPr>
            </w:pPr>
            <w:r>
              <w:rPr>
                <w:rFonts w:ascii="SimSun" w:hAnsi="SimSun" w:eastAsia="SimSun" w:cs="SimSun"/>
                <w:sz w:val="20"/>
                <w:szCs w:val="20"/>
                <w:spacing w:val="6"/>
              </w:rPr>
              <w:t>放置在危废暂存间，交由具有资质的单</w:t>
            </w:r>
          </w:p>
          <w:p>
            <w:pPr>
              <w:ind w:left="1278"/>
              <w:spacing w:before="24" w:line="217" w:lineRule="auto"/>
              <w:rPr>
                <w:rFonts w:ascii="SimSun" w:hAnsi="SimSun" w:eastAsia="SimSun" w:cs="SimSun"/>
                <w:sz w:val="20"/>
                <w:szCs w:val="20"/>
              </w:rPr>
            </w:pPr>
            <w:r>
              <w:rPr>
                <w:rFonts w:ascii="SimSun" w:hAnsi="SimSun" w:eastAsia="SimSun" w:cs="SimSun"/>
                <w:sz w:val="20"/>
                <w:szCs w:val="20"/>
                <w:spacing w:val="8"/>
              </w:rPr>
              <w:t>位回收处理</w:t>
            </w:r>
          </w:p>
        </w:tc>
      </w:tr>
      <w:tr>
        <w:trPr>
          <w:trHeight w:val="553" w:hRule="atLeast"/>
        </w:trPr>
        <w:tc>
          <w:tcPr>
            <w:tcW w:w="1470" w:type="dxa"/>
            <w:vAlign w:val="top"/>
          </w:tcPr>
          <w:p>
            <w:pPr>
              <w:ind w:left="424"/>
              <w:spacing w:before="168" w:line="228" w:lineRule="auto"/>
              <w:rPr>
                <w:rFonts w:ascii="SimSun" w:hAnsi="SimSun" w:eastAsia="SimSun" w:cs="SimSun"/>
                <w:sz w:val="20"/>
                <w:szCs w:val="20"/>
              </w:rPr>
            </w:pPr>
            <w:r>
              <w:rPr>
                <w:rFonts w:ascii="SimSun" w:hAnsi="SimSun" w:eastAsia="SimSun" w:cs="SimSun"/>
                <w:sz w:val="20"/>
                <w:szCs w:val="20"/>
                <w:spacing w:val="7"/>
              </w:rPr>
              <w:t>废电瓶</w:t>
            </w:r>
          </w:p>
        </w:tc>
        <w:tc>
          <w:tcPr>
            <w:tcW w:w="1144" w:type="dxa"/>
            <w:vAlign w:val="top"/>
            <w:vMerge w:val="continue"/>
            <w:tcBorders>
              <w:top w:val="nil"/>
            </w:tcBorders>
          </w:tcPr>
          <w:p>
            <w:pPr>
              <w:rPr>
                <w:rFonts w:ascii="Arial"/>
                <w:sz w:val="21"/>
              </w:rPr>
            </w:pPr>
            <w:r/>
          </w:p>
        </w:tc>
        <w:tc>
          <w:tcPr>
            <w:tcW w:w="830" w:type="dxa"/>
            <w:vAlign w:val="top"/>
          </w:tcPr>
          <w:p>
            <w:pPr>
              <w:pStyle w:val="TableText"/>
              <w:ind w:left="134"/>
              <w:spacing w:before="203" w:line="195" w:lineRule="auto"/>
              <w:rPr/>
            </w:pPr>
            <w:r>
              <w:rPr/>
              <w:t>HW</w:t>
            </w:r>
            <w:r>
              <w:rPr>
                <w:spacing w:val="10"/>
              </w:rPr>
              <w:t>31</w:t>
            </w:r>
          </w:p>
        </w:tc>
        <w:tc>
          <w:tcPr>
            <w:tcW w:w="1051" w:type="dxa"/>
            <w:vAlign w:val="top"/>
          </w:tcPr>
          <w:p>
            <w:pPr>
              <w:pStyle w:val="TableText"/>
              <w:ind w:left="41"/>
              <w:spacing w:before="203" w:line="195" w:lineRule="auto"/>
              <w:rPr/>
            </w:pPr>
            <w:r>
              <w:rPr>
                <w:spacing w:val="3"/>
              </w:rPr>
              <w:t>900-052-31</w:t>
            </w:r>
          </w:p>
        </w:tc>
        <w:tc>
          <w:tcPr>
            <w:tcW w:w="1192" w:type="dxa"/>
            <w:vAlign w:val="top"/>
          </w:tcPr>
          <w:p>
            <w:pPr>
              <w:pStyle w:val="TableText"/>
              <w:ind w:left="361"/>
              <w:spacing w:before="199" w:line="199" w:lineRule="auto"/>
              <w:rPr/>
            </w:pPr>
            <w:r>
              <w:rPr>
                <w:spacing w:val="2"/>
              </w:rPr>
              <w:t>2.5t/a</w:t>
            </w:r>
          </w:p>
        </w:tc>
        <w:tc>
          <w:tcPr>
            <w:tcW w:w="3603" w:type="dxa"/>
            <w:vAlign w:val="top"/>
          </w:tcPr>
          <w:p>
            <w:pPr>
              <w:ind w:left="115" w:right="107" w:hanging="1"/>
              <w:spacing w:before="33" w:line="235" w:lineRule="auto"/>
              <w:rPr>
                <w:rFonts w:ascii="SimSun" w:hAnsi="SimSun" w:eastAsia="SimSun" w:cs="SimSun"/>
                <w:sz w:val="20"/>
                <w:szCs w:val="20"/>
              </w:rPr>
            </w:pPr>
            <w:r>
              <w:rPr>
                <w:rFonts w:ascii="SimSun" w:hAnsi="SimSun" w:eastAsia="SimSun" w:cs="SimSun"/>
                <w:sz w:val="20"/>
                <w:szCs w:val="20"/>
                <w:spacing w:val="11"/>
              </w:rPr>
              <w:t>放置在危废暂存间，交由具有资质的</w:t>
            </w:r>
            <w:r>
              <w:rPr>
                <w:rFonts w:ascii="SimSun" w:hAnsi="SimSun" w:eastAsia="SimSun" w:cs="SimSun"/>
                <w:sz w:val="20"/>
                <w:szCs w:val="20"/>
                <w:spacing w:val="7"/>
              </w:rPr>
              <w:t>单位回收处理</w:t>
            </w:r>
          </w:p>
        </w:tc>
      </w:tr>
    </w:tbl>
    <w:p>
      <w:pPr>
        <w:pStyle w:val="BodyText"/>
        <w:spacing w:line="266" w:lineRule="auto"/>
        <w:rPr/>
      </w:pPr>
      <w:r/>
    </w:p>
    <w:p>
      <w:pPr>
        <w:pStyle w:val="BodyText"/>
        <w:spacing w:line="267" w:lineRule="auto"/>
        <w:rPr/>
      </w:pPr>
      <w:r/>
    </w:p>
    <w:p>
      <w:pPr>
        <w:ind w:left="118"/>
        <w:spacing w:before="78"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5.6.2.1 </w:t>
      </w:r>
      <w:r>
        <w:rPr>
          <w:rFonts w:ascii="SimHei" w:hAnsi="SimHei" w:eastAsia="SimHei" w:cs="SimHei"/>
          <w:sz w:val="24"/>
          <w:szCs w:val="24"/>
          <w:b/>
          <w:bCs/>
          <w:spacing w:val="-2"/>
        </w:rPr>
        <w:t>矸石淋溶对水环境的影响分析</w:t>
      </w:r>
    </w:p>
    <w:p>
      <w:pPr>
        <w:ind w:left="611"/>
        <w:spacing w:before="161"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）矸石处置措施</w:t>
      </w:r>
    </w:p>
    <w:p>
      <w:pPr>
        <w:ind w:left="120" w:right="228" w:firstLine="484"/>
        <w:spacing w:before="152" w:line="339" w:lineRule="auto"/>
        <w:rPr>
          <w:rFonts w:ascii="SimSun" w:hAnsi="SimSun" w:eastAsia="SimSun" w:cs="SimSun"/>
          <w:sz w:val="24"/>
          <w:szCs w:val="24"/>
        </w:rPr>
      </w:pPr>
      <w:r>
        <w:rPr>
          <w:rFonts w:ascii="SimSun" w:hAnsi="SimSun" w:eastAsia="SimSun" w:cs="SimSun"/>
          <w:sz w:val="24"/>
          <w:szCs w:val="24"/>
          <w:spacing w:val="3"/>
        </w:rPr>
        <w:t>本项目产生产生选煤矸石及土岩剥离物，属</w:t>
      </w:r>
      <w:r>
        <w:rPr>
          <w:rFonts w:ascii="SimSun" w:hAnsi="SimSun" w:eastAsia="SimSun" w:cs="SimSun"/>
          <w:sz w:val="24"/>
          <w:szCs w:val="24"/>
          <w:spacing w:val="2"/>
        </w:rPr>
        <w:t>于</w:t>
      </w:r>
      <w:r>
        <w:rPr>
          <w:rFonts w:ascii="Times New Roman" w:hAnsi="Times New Roman" w:eastAsia="Times New Roman" w:cs="Times New Roman"/>
          <w:sz w:val="24"/>
          <w:szCs w:val="24"/>
          <w:spacing w:val="2"/>
        </w:rPr>
        <w:t>Ⅰ</w:t>
      </w:r>
      <w:r>
        <w:rPr>
          <w:rFonts w:ascii="SimSun" w:hAnsi="SimSun" w:eastAsia="SimSun" w:cs="SimSun"/>
          <w:sz w:val="24"/>
          <w:szCs w:val="24"/>
          <w:spacing w:val="2"/>
        </w:rPr>
        <w:t>类一般工业固体废物。风选车间矸</w:t>
      </w:r>
      <w:r>
        <w:rPr>
          <w:rFonts w:ascii="SimSun" w:hAnsi="SimSun" w:eastAsia="SimSun" w:cs="SimSun"/>
          <w:sz w:val="24"/>
          <w:szCs w:val="24"/>
          <w:spacing w:val="-2"/>
        </w:rPr>
        <w:t>石全部充填沉陷区。</w:t>
      </w:r>
    </w:p>
    <w:p>
      <w:pPr>
        <w:ind w:left="606"/>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）矸石成分分析</w:t>
      </w:r>
    </w:p>
    <w:p>
      <w:pPr>
        <w:ind w:left="618"/>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SimSun" w:hAnsi="SimSun" w:eastAsia="SimSun" w:cs="SimSun"/>
          <w:sz w:val="24"/>
          <w:szCs w:val="24"/>
          <w:spacing w:val="-4"/>
        </w:rPr>
        <w:t>）监测项目及频次</w:t>
      </w:r>
    </w:p>
    <w:p>
      <w:pPr>
        <w:ind w:left="125" w:right="224" w:firstLine="509"/>
        <w:spacing w:before="156" w:line="338" w:lineRule="auto"/>
        <w:rPr>
          <w:rFonts w:ascii="SimSun" w:hAnsi="SimSun" w:eastAsia="SimSun" w:cs="SimSun"/>
          <w:sz w:val="24"/>
          <w:szCs w:val="24"/>
        </w:rPr>
      </w:pPr>
      <w:r>
        <w:rPr>
          <w:rFonts w:ascii="SimSun" w:hAnsi="SimSun" w:eastAsia="SimSun" w:cs="SimSun"/>
          <w:sz w:val="24"/>
          <w:szCs w:val="24"/>
          <w:spacing w:val="-3"/>
        </w:rPr>
        <w:t>白音华四号露天矿二期工程（井工矿）位于本项目西侧，与本项目同属于白音华四</w:t>
      </w:r>
      <w:r>
        <w:rPr>
          <w:rFonts w:ascii="SimSun" w:hAnsi="SimSun" w:eastAsia="SimSun" w:cs="SimSun"/>
          <w:sz w:val="24"/>
          <w:szCs w:val="24"/>
          <w:spacing w:val="-1"/>
        </w:rPr>
        <w:t>号露天矿范围内，本次矸石成分分析利用井工矿内矸石浸出试验的分析结果。</w:t>
      </w:r>
    </w:p>
    <w:p>
      <w:pPr>
        <w:ind w:left="117" w:firstLine="481"/>
        <w:spacing w:before="4" w:line="338" w:lineRule="auto"/>
        <w:rPr>
          <w:rFonts w:ascii="SimSun" w:hAnsi="SimSun" w:eastAsia="SimSun" w:cs="SimSun"/>
          <w:sz w:val="24"/>
          <w:szCs w:val="24"/>
        </w:rPr>
      </w:pPr>
      <w:r>
        <w:rPr>
          <w:rFonts w:ascii="SimSun" w:hAnsi="SimSun" w:eastAsia="SimSun" w:cs="SimSun"/>
          <w:sz w:val="24"/>
          <w:szCs w:val="24"/>
          <w:spacing w:val="-2"/>
        </w:rPr>
        <w:t>根据《内蒙古海州露天能源有限责任公司白音华四号露天矿二期工程（井工矿）环</w:t>
      </w:r>
      <w:r>
        <w:rPr>
          <w:rFonts w:ascii="SimSun" w:hAnsi="SimSun" w:eastAsia="SimSun" w:cs="SimSun"/>
          <w:sz w:val="24"/>
          <w:szCs w:val="24"/>
          <w:spacing w:val="4"/>
        </w:rPr>
        <w:t xml:space="preserve"> </w:t>
      </w:r>
      <w:r>
        <w:rPr>
          <w:rFonts w:ascii="SimSun" w:hAnsi="SimSun" w:eastAsia="SimSun" w:cs="SimSun"/>
          <w:sz w:val="24"/>
          <w:szCs w:val="24"/>
          <w:spacing w:val="-2"/>
        </w:rPr>
        <w:t>境影响后评价报告书》，项目运行期间的选煤矸石取样（</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个批量）后进行了浸</w:t>
      </w:r>
      <w:r>
        <w:rPr>
          <w:rFonts w:ascii="SimSun" w:hAnsi="SimSun" w:eastAsia="SimSun" w:cs="SimSun"/>
          <w:sz w:val="24"/>
          <w:szCs w:val="24"/>
          <w:spacing w:val="-3"/>
        </w:rPr>
        <w:t>出试验。</w:t>
      </w:r>
      <w:r>
        <w:rPr>
          <w:rFonts w:ascii="SimSun" w:hAnsi="SimSun" w:eastAsia="SimSun" w:cs="SimSun"/>
          <w:sz w:val="24"/>
          <w:szCs w:val="24"/>
          <w:spacing w:val="-13"/>
        </w:rPr>
        <w:t>采样方法、制样、分样数、分样量等按照《工业固体废物</w:t>
      </w:r>
      <w:r>
        <w:rPr>
          <w:rFonts w:ascii="SimSun" w:hAnsi="SimSun" w:eastAsia="SimSun" w:cs="SimSun"/>
          <w:sz w:val="24"/>
          <w:szCs w:val="24"/>
          <w:spacing w:val="-14"/>
        </w:rPr>
        <w:t>采样制样技术规范》（</w:t>
      </w:r>
      <w:r>
        <w:rPr>
          <w:rFonts w:ascii="Times New Roman" w:hAnsi="Times New Roman" w:eastAsia="Times New Roman" w:cs="Times New Roman"/>
          <w:sz w:val="24"/>
          <w:szCs w:val="24"/>
          <w:spacing w:val="-14"/>
        </w:rPr>
        <w:t>HJ/T20-1998</w:t>
      </w:r>
      <w:r>
        <w:rPr>
          <w:rFonts w:ascii="SimSun" w:hAnsi="SimSun" w:eastAsia="SimSun" w:cs="SimSun"/>
          <w:sz w:val="24"/>
          <w:szCs w:val="24"/>
          <w:spacing w:val="-14"/>
        </w:rPr>
        <w:t>）</w:t>
      </w:r>
      <w:r>
        <w:rPr>
          <w:rFonts w:ascii="SimSun" w:hAnsi="SimSun" w:eastAsia="SimSun" w:cs="SimSun"/>
          <w:sz w:val="24"/>
          <w:szCs w:val="24"/>
          <w:spacing w:val="-1"/>
        </w:rPr>
        <w:t>进行，取项目连续运转一个班次作为一个批</w:t>
      </w:r>
      <w:r>
        <w:rPr>
          <w:rFonts w:ascii="SimSun" w:hAnsi="SimSun" w:eastAsia="SimSun" w:cs="SimSun"/>
          <w:sz w:val="24"/>
          <w:szCs w:val="24"/>
          <w:spacing w:val="-2"/>
        </w:rPr>
        <w:t>量，毒性浸出按照《固体废物浸出毒性浸出</w:t>
      </w:r>
      <w:r>
        <w:rPr>
          <w:rFonts w:ascii="SimSun" w:hAnsi="SimSun" w:eastAsia="SimSun" w:cs="SimSun"/>
          <w:sz w:val="24"/>
          <w:szCs w:val="24"/>
        </w:rPr>
        <w:t xml:space="preserve"> </w:t>
      </w:r>
      <w:r>
        <w:rPr>
          <w:rFonts w:ascii="SimSun" w:hAnsi="SimSun" w:eastAsia="SimSun" w:cs="SimSun"/>
          <w:sz w:val="24"/>
          <w:szCs w:val="24"/>
          <w:spacing w:val="-16"/>
        </w:rPr>
        <w:t>方法水平振荡法》（</w:t>
      </w:r>
      <w:r>
        <w:rPr>
          <w:rFonts w:ascii="Times New Roman" w:hAnsi="Times New Roman" w:eastAsia="Times New Roman" w:cs="Times New Roman"/>
          <w:sz w:val="24"/>
          <w:szCs w:val="24"/>
          <w:spacing w:val="-16"/>
        </w:rPr>
        <w:t>HJ557-2010</w:t>
      </w:r>
      <w:r>
        <w:rPr>
          <w:rFonts w:ascii="SimSun" w:hAnsi="SimSun" w:eastAsia="SimSun" w:cs="SimSun"/>
          <w:sz w:val="24"/>
          <w:szCs w:val="24"/>
          <w:spacing w:val="-16"/>
        </w:rPr>
        <w:t>）进行，检测方法按照《污水综合排放标准》（</w:t>
      </w:r>
      <w:r>
        <w:rPr>
          <w:rFonts w:ascii="Times New Roman" w:hAnsi="Times New Roman" w:eastAsia="Times New Roman" w:cs="Times New Roman"/>
          <w:sz w:val="24"/>
          <w:szCs w:val="24"/>
          <w:spacing w:val="-16"/>
        </w:rPr>
        <w:t>GB8978-1996</w:t>
      </w:r>
      <w:r>
        <w:rPr>
          <w:rFonts w:ascii="SimSun" w:hAnsi="SimSun" w:eastAsia="SimSun" w:cs="SimSun"/>
          <w:sz w:val="24"/>
          <w:szCs w:val="24"/>
          <w:spacing w:val="-16"/>
        </w:rPr>
        <w:t>）</w:t>
      </w:r>
      <w:r>
        <w:rPr>
          <w:rFonts w:ascii="SimSun" w:hAnsi="SimSun" w:eastAsia="SimSun" w:cs="SimSun"/>
          <w:sz w:val="24"/>
          <w:szCs w:val="24"/>
          <w:spacing w:val="-1"/>
        </w:rPr>
        <w:t>一级标准进行。监测结果见表</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1"/>
        </w:rPr>
        <w:t>5-6-2</w:t>
      </w:r>
      <w:r>
        <w:rPr>
          <w:rFonts w:ascii="SimSun" w:hAnsi="SimSun" w:eastAsia="SimSun" w:cs="SimSun"/>
          <w:sz w:val="24"/>
          <w:szCs w:val="24"/>
          <w:spacing w:val="-1"/>
        </w:rPr>
        <w:t>。</w:t>
      </w:r>
    </w:p>
    <w:p>
      <w:pPr>
        <w:ind w:left="595"/>
        <w:spacing w:line="220"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）监测结果</w:t>
      </w:r>
    </w:p>
    <w:p>
      <w:pPr>
        <w:ind w:left="3570"/>
        <w:spacing w:before="156" w:line="219" w:lineRule="auto"/>
        <w:rPr>
          <w:rFonts w:ascii="SimSun" w:hAnsi="SimSun" w:eastAsia="SimSun" w:cs="SimSun"/>
          <w:sz w:val="24"/>
          <w:szCs w:val="24"/>
        </w:rPr>
      </w:pPr>
      <w:r>
        <w:rPr>
          <w:rFonts w:ascii="SimSun" w:hAnsi="SimSun" w:eastAsia="SimSun" w:cs="SimSun"/>
          <w:sz w:val="24"/>
          <w:szCs w:val="24"/>
          <w:b/>
          <w:bCs/>
          <w:spacing w:val="-3"/>
        </w:rPr>
        <w:t>矸石浸出试验结果一览表</w:t>
      </w:r>
    </w:p>
    <w:p>
      <w:pPr>
        <w:ind w:left="117"/>
        <w:spacing w:before="39" w:line="221" w:lineRule="auto"/>
        <w:rPr>
          <w:rFonts w:ascii="Times New Roman" w:hAnsi="Times New Roman" w:eastAsia="Times New Roman" w:cs="Times New Roman"/>
          <w:sz w:val="20"/>
          <w:szCs w:val="20"/>
        </w:rPr>
      </w:pPr>
      <w:r>
        <w:rPr>
          <w:rFonts w:ascii="SimSun" w:hAnsi="SimSun" w:eastAsia="SimSun" w:cs="SimSun"/>
          <w:sz w:val="20"/>
          <w:szCs w:val="20"/>
          <w:spacing w:val="4"/>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4"/>
        </w:rPr>
        <w:t>5-6-2</w:t>
      </w:r>
      <w:r>
        <w:rPr>
          <w:rFonts w:ascii="Times New Roman" w:hAnsi="Times New Roman" w:eastAsia="Times New Roman" w:cs="Times New Roman"/>
          <w:sz w:val="20"/>
          <w:szCs w:val="20"/>
        </w:rPr>
        <w:t xml:space="preserve">                                                                                                                                               </w:t>
      </w:r>
      <w:r>
        <w:rPr>
          <w:rFonts w:ascii="SimSun" w:hAnsi="SimSun" w:eastAsia="SimSun" w:cs="SimSun"/>
          <w:sz w:val="20"/>
          <w:szCs w:val="20"/>
          <w:spacing w:val="4"/>
        </w:rPr>
        <w:t>单位：</w:t>
      </w:r>
      <w:r>
        <w:rPr>
          <w:rFonts w:ascii="Times New Roman" w:hAnsi="Times New Roman" w:eastAsia="Times New Roman" w:cs="Times New Roman"/>
          <w:sz w:val="20"/>
          <w:szCs w:val="20"/>
        </w:rPr>
        <w:t>mg</w:t>
      </w:r>
      <w:r>
        <w:rPr>
          <w:rFonts w:ascii="Times New Roman" w:hAnsi="Times New Roman" w:eastAsia="Times New Roman" w:cs="Times New Roman"/>
          <w:sz w:val="20"/>
          <w:szCs w:val="20"/>
          <w:spacing w:val="4"/>
        </w:rPr>
        <w:t>/L</w:t>
      </w:r>
    </w:p>
    <w:p>
      <w:pPr>
        <w:spacing w:line="56" w:lineRule="auto"/>
        <w:rPr>
          <w:rFonts w:ascii="Arial"/>
          <w:sz w:val="2"/>
        </w:rPr>
      </w:pPr>
      <w:r>
        <w:rPr>
          <w:rFonts w:ascii="Arial"/>
          <w:sz w:val="2"/>
        </w:rPr>
      </w:r>
    </w:p>
    <w:tbl>
      <w:tblPr>
        <w:tblStyle w:val="TableNormal"/>
        <w:tblW w:w="9126" w:type="dxa"/>
        <w:tblInd w:w="8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9"/>
        <w:gridCol w:w="1003"/>
        <w:gridCol w:w="1163"/>
        <w:gridCol w:w="1146"/>
        <w:gridCol w:w="1139"/>
        <w:gridCol w:w="1173"/>
        <w:gridCol w:w="1113"/>
        <w:gridCol w:w="1430"/>
      </w:tblGrid>
      <w:tr>
        <w:trPr>
          <w:trHeight w:val="522" w:hRule="atLeast"/>
        </w:trPr>
        <w:tc>
          <w:tcPr>
            <w:tcW w:w="959" w:type="dxa"/>
            <w:vAlign w:val="top"/>
          </w:tcPr>
          <w:p>
            <w:pPr>
              <w:ind w:left="66"/>
              <w:spacing w:before="154" w:line="228" w:lineRule="auto"/>
              <w:rPr>
                <w:rFonts w:ascii="SimSun" w:hAnsi="SimSun" w:eastAsia="SimSun" w:cs="SimSun"/>
                <w:sz w:val="20"/>
                <w:szCs w:val="20"/>
              </w:rPr>
            </w:pPr>
            <w:r>
              <w:rPr>
                <w:rFonts w:ascii="SimSun" w:hAnsi="SimSun" w:eastAsia="SimSun" w:cs="SimSun"/>
                <w:sz w:val="20"/>
                <w:szCs w:val="20"/>
                <w:spacing w:val="7"/>
              </w:rPr>
              <w:t>监测项目</w:t>
            </w:r>
          </w:p>
        </w:tc>
        <w:tc>
          <w:tcPr>
            <w:tcW w:w="1003" w:type="dxa"/>
            <w:vAlign w:val="top"/>
          </w:tcPr>
          <w:p>
            <w:pPr>
              <w:pStyle w:val="TableText"/>
              <w:ind w:left="416"/>
              <w:spacing w:before="189" w:line="195" w:lineRule="auto"/>
              <w:rPr/>
            </w:pPr>
            <w:r>
              <w:rPr>
                <w:spacing w:val="-8"/>
              </w:rPr>
              <w:t>1#</w:t>
            </w:r>
          </w:p>
        </w:tc>
        <w:tc>
          <w:tcPr>
            <w:tcW w:w="1163" w:type="dxa"/>
            <w:vAlign w:val="top"/>
          </w:tcPr>
          <w:p>
            <w:pPr>
              <w:pStyle w:val="TableText"/>
              <w:ind w:left="478"/>
              <w:spacing w:before="189" w:line="195" w:lineRule="auto"/>
              <w:rPr/>
            </w:pPr>
            <w:r>
              <w:rPr>
                <w:spacing w:val="2"/>
              </w:rPr>
              <w:t>2#</w:t>
            </w:r>
          </w:p>
        </w:tc>
        <w:tc>
          <w:tcPr>
            <w:tcW w:w="1146" w:type="dxa"/>
            <w:vAlign w:val="top"/>
          </w:tcPr>
          <w:p>
            <w:pPr>
              <w:pStyle w:val="TableText"/>
              <w:ind w:left="471"/>
              <w:spacing w:before="189" w:line="195" w:lineRule="auto"/>
              <w:rPr/>
            </w:pPr>
            <w:r>
              <w:rPr>
                <w:spacing w:val="1"/>
              </w:rPr>
              <w:t>3#</w:t>
            </w:r>
          </w:p>
        </w:tc>
        <w:tc>
          <w:tcPr>
            <w:tcW w:w="1139" w:type="dxa"/>
            <w:vAlign w:val="top"/>
          </w:tcPr>
          <w:p>
            <w:pPr>
              <w:pStyle w:val="TableText"/>
              <w:ind w:left="464"/>
              <w:spacing w:before="189" w:line="195" w:lineRule="auto"/>
              <w:rPr/>
            </w:pPr>
            <w:r>
              <w:rPr>
                <w:spacing w:val="3"/>
              </w:rPr>
              <w:t>4#</w:t>
            </w:r>
          </w:p>
        </w:tc>
        <w:tc>
          <w:tcPr>
            <w:tcW w:w="1173" w:type="dxa"/>
            <w:vAlign w:val="top"/>
          </w:tcPr>
          <w:p>
            <w:pPr>
              <w:pStyle w:val="TableText"/>
              <w:ind w:left="489"/>
              <w:spacing w:before="189" w:line="195" w:lineRule="auto"/>
              <w:rPr/>
            </w:pPr>
            <w:r>
              <w:rPr/>
              <w:t>5#</w:t>
            </w:r>
          </w:p>
        </w:tc>
        <w:tc>
          <w:tcPr>
            <w:tcW w:w="1113" w:type="dxa"/>
            <w:vAlign w:val="top"/>
          </w:tcPr>
          <w:p>
            <w:pPr>
              <w:pStyle w:val="TableText"/>
              <w:ind w:left="457"/>
              <w:spacing w:before="189" w:line="195" w:lineRule="auto"/>
              <w:rPr/>
            </w:pPr>
            <w:r>
              <w:rPr>
                <w:spacing w:val="1"/>
              </w:rPr>
              <w:t>6#</w:t>
            </w:r>
          </w:p>
        </w:tc>
        <w:tc>
          <w:tcPr>
            <w:tcW w:w="1430" w:type="dxa"/>
            <w:vAlign w:val="top"/>
          </w:tcPr>
          <w:p>
            <w:pPr>
              <w:pStyle w:val="TableText"/>
              <w:ind w:left="120"/>
              <w:spacing w:before="55" w:line="195" w:lineRule="auto"/>
              <w:rPr/>
            </w:pPr>
            <w:r>
              <w:rPr/>
              <w:t>GB</w:t>
            </w:r>
            <w:r>
              <w:rPr>
                <w:spacing w:val="5"/>
              </w:rPr>
              <w:t>8978-1996</w:t>
            </w:r>
          </w:p>
          <w:p>
            <w:pPr>
              <w:ind w:left="215"/>
              <w:spacing w:before="31" w:line="220" w:lineRule="auto"/>
              <w:rPr>
                <w:rFonts w:ascii="SimSun" w:hAnsi="SimSun" w:eastAsia="SimSun" w:cs="SimSun"/>
                <w:sz w:val="20"/>
                <w:szCs w:val="20"/>
              </w:rPr>
            </w:pPr>
            <w:r>
              <w:rPr>
                <w:rFonts w:ascii="SimSun" w:hAnsi="SimSun" w:eastAsia="SimSun" w:cs="SimSun"/>
                <w:sz w:val="20"/>
                <w:szCs w:val="20"/>
                <w:spacing w:val="4"/>
              </w:rPr>
              <w:t>中一级标准</w:t>
            </w:r>
          </w:p>
        </w:tc>
      </w:tr>
      <w:tr>
        <w:trPr>
          <w:trHeight w:val="278" w:hRule="atLeast"/>
        </w:trPr>
        <w:tc>
          <w:tcPr>
            <w:tcW w:w="959" w:type="dxa"/>
            <w:vAlign w:val="top"/>
          </w:tcPr>
          <w:p>
            <w:pPr>
              <w:pStyle w:val="TableText"/>
              <w:ind w:left="347"/>
              <w:spacing w:before="68" w:line="194" w:lineRule="auto"/>
              <w:rPr/>
            </w:pPr>
            <w:r>
              <w:rPr>
                <w:spacing w:val="6"/>
              </w:rPr>
              <w:t>pH</w:t>
            </w:r>
          </w:p>
        </w:tc>
        <w:tc>
          <w:tcPr>
            <w:tcW w:w="1003" w:type="dxa"/>
            <w:vAlign w:val="top"/>
          </w:tcPr>
          <w:p>
            <w:pPr>
              <w:pStyle w:val="TableText"/>
              <w:ind w:left="378"/>
              <w:spacing w:before="65" w:line="195" w:lineRule="auto"/>
              <w:rPr/>
            </w:pPr>
            <w:r>
              <w:rPr/>
              <w:t>8.2</w:t>
            </w:r>
          </w:p>
        </w:tc>
        <w:tc>
          <w:tcPr>
            <w:tcW w:w="1163" w:type="dxa"/>
            <w:vAlign w:val="top"/>
          </w:tcPr>
          <w:p>
            <w:pPr>
              <w:pStyle w:val="TableText"/>
              <w:ind w:left="457"/>
              <w:spacing w:before="65" w:line="195" w:lineRule="auto"/>
              <w:rPr/>
            </w:pPr>
            <w:r>
              <w:rPr/>
              <w:t>8.3</w:t>
            </w:r>
          </w:p>
        </w:tc>
        <w:tc>
          <w:tcPr>
            <w:tcW w:w="1146" w:type="dxa"/>
            <w:vAlign w:val="top"/>
          </w:tcPr>
          <w:p>
            <w:pPr>
              <w:pStyle w:val="TableText"/>
              <w:ind w:left="451"/>
              <w:spacing w:before="65" w:line="195" w:lineRule="auto"/>
              <w:rPr/>
            </w:pPr>
            <w:r>
              <w:rPr>
                <w:spacing w:val="-2"/>
              </w:rPr>
              <w:t>8.</w:t>
            </w:r>
            <w:r>
              <w:rPr>
                <w:spacing w:val="-25"/>
              </w:rPr>
              <w:t xml:space="preserve"> </w:t>
            </w:r>
            <w:r>
              <w:rPr>
                <w:spacing w:val="-2"/>
              </w:rPr>
              <w:t>1</w:t>
            </w:r>
          </w:p>
        </w:tc>
        <w:tc>
          <w:tcPr>
            <w:tcW w:w="1139" w:type="dxa"/>
            <w:vAlign w:val="top"/>
          </w:tcPr>
          <w:p>
            <w:pPr>
              <w:pStyle w:val="TableText"/>
              <w:ind w:left="445"/>
              <w:spacing w:before="65" w:line="195" w:lineRule="auto"/>
              <w:rPr/>
            </w:pPr>
            <w:r>
              <w:rPr/>
              <w:t>8.3</w:t>
            </w:r>
          </w:p>
        </w:tc>
        <w:tc>
          <w:tcPr>
            <w:tcW w:w="1173" w:type="dxa"/>
            <w:vAlign w:val="top"/>
          </w:tcPr>
          <w:p>
            <w:pPr>
              <w:pStyle w:val="TableText"/>
              <w:ind w:left="465"/>
              <w:spacing w:before="65" w:line="195" w:lineRule="auto"/>
              <w:rPr/>
            </w:pPr>
            <w:r>
              <w:rPr/>
              <w:t>8.2</w:t>
            </w:r>
          </w:p>
        </w:tc>
        <w:tc>
          <w:tcPr>
            <w:tcW w:w="1113" w:type="dxa"/>
            <w:vAlign w:val="top"/>
          </w:tcPr>
          <w:p>
            <w:pPr>
              <w:pStyle w:val="TableText"/>
              <w:ind w:left="437"/>
              <w:spacing w:before="65" w:line="195" w:lineRule="auto"/>
              <w:rPr/>
            </w:pPr>
            <w:r>
              <w:rPr/>
              <w:t>8.4</w:t>
            </w:r>
          </w:p>
        </w:tc>
        <w:tc>
          <w:tcPr>
            <w:tcW w:w="1430" w:type="dxa"/>
            <w:vAlign w:val="top"/>
          </w:tcPr>
          <w:p>
            <w:pPr>
              <w:pStyle w:val="TableText"/>
              <w:ind w:left="513"/>
              <w:spacing w:before="29" w:line="220" w:lineRule="auto"/>
              <w:rPr/>
            </w:pPr>
            <w:r>
              <w:rPr>
                <w:spacing w:val="3"/>
              </w:rPr>
              <w:t>6</w:t>
            </w:r>
            <w:r>
              <w:rPr>
                <w:rFonts w:ascii="SimSun" w:hAnsi="SimSun" w:eastAsia="SimSun" w:cs="SimSun"/>
                <w:spacing w:val="3"/>
              </w:rPr>
              <w:t>～</w:t>
            </w:r>
            <w:r>
              <w:rPr>
                <w:spacing w:val="3"/>
              </w:rPr>
              <w:t>9</w:t>
            </w:r>
          </w:p>
        </w:tc>
      </w:tr>
      <w:tr>
        <w:trPr>
          <w:trHeight w:val="275" w:hRule="atLeast"/>
        </w:trPr>
        <w:tc>
          <w:tcPr>
            <w:tcW w:w="959" w:type="dxa"/>
            <w:vAlign w:val="top"/>
          </w:tcPr>
          <w:p>
            <w:pPr>
              <w:ind w:left="169"/>
              <w:spacing w:before="29" w:line="217" w:lineRule="auto"/>
              <w:rPr>
                <w:rFonts w:ascii="SimSun" w:hAnsi="SimSun" w:eastAsia="SimSun" w:cs="SimSun"/>
                <w:sz w:val="20"/>
                <w:szCs w:val="20"/>
              </w:rPr>
            </w:pPr>
            <w:r>
              <w:rPr>
                <w:rFonts w:ascii="SimSun" w:hAnsi="SimSun" w:eastAsia="SimSun" w:cs="SimSun"/>
                <w:sz w:val="20"/>
                <w:szCs w:val="20"/>
                <w:spacing w:val="6"/>
              </w:rPr>
              <w:t>氟化物</w:t>
            </w:r>
          </w:p>
        </w:tc>
        <w:tc>
          <w:tcPr>
            <w:tcW w:w="1003" w:type="dxa"/>
            <w:vAlign w:val="top"/>
          </w:tcPr>
          <w:p>
            <w:pPr>
              <w:pStyle w:val="TableText"/>
              <w:ind w:left="321"/>
              <w:spacing w:before="66" w:line="195" w:lineRule="auto"/>
              <w:rPr/>
            </w:pPr>
            <w:r>
              <w:rPr>
                <w:spacing w:val="2"/>
              </w:rPr>
              <w:t>3.17</w:t>
            </w:r>
          </w:p>
        </w:tc>
        <w:tc>
          <w:tcPr>
            <w:tcW w:w="1163" w:type="dxa"/>
            <w:vAlign w:val="top"/>
          </w:tcPr>
          <w:p>
            <w:pPr>
              <w:pStyle w:val="TableText"/>
              <w:ind w:left="398"/>
              <w:spacing w:before="66" w:line="195" w:lineRule="auto"/>
              <w:rPr/>
            </w:pPr>
            <w:r>
              <w:rPr>
                <w:spacing w:val="3"/>
              </w:rPr>
              <w:t>2.36</w:t>
            </w:r>
          </w:p>
        </w:tc>
        <w:tc>
          <w:tcPr>
            <w:tcW w:w="1146" w:type="dxa"/>
            <w:vAlign w:val="top"/>
          </w:tcPr>
          <w:p>
            <w:pPr>
              <w:pStyle w:val="TableText"/>
              <w:ind w:left="390"/>
              <w:spacing w:before="66" w:line="195" w:lineRule="auto"/>
              <w:rPr/>
            </w:pPr>
            <w:r>
              <w:rPr>
                <w:spacing w:val="3"/>
              </w:rPr>
              <w:t>2.21</w:t>
            </w:r>
          </w:p>
        </w:tc>
        <w:tc>
          <w:tcPr>
            <w:tcW w:w="1139" w:type="dxa"/>
            <w:vAlign w:val="top"/>
          </w:tcPr>
          <w:p>
            <w:pPr>
              <w:pStyle w:val="TableText"/>
              <w:ind w:left="389"/>
              <w:spacing w:before="66" w:line="195" w:lineRule="auto"/>
              <w:rPr/>
            </w:pPr>
            <w:r>
              <w:rPr>
                <w:spacing w:val="2"/>
              </w:rPr>
              <w:t>2.27</w:t>
            </w:r>
          </w:p>
        </w:tc>
        <w:tc>
          <w:tcPr>
            <w:tcW w:w="1173" w:type="dxa"/>
            <w:vAlign w:val="top"/>
          </w:tcPr>
          <w:p>
            <w:pPr>
              <w:pStyle w:val="TableText"/>
              <w:ind w:left="457"/>
              <w:spacing w:before="66" w:line="195" w:lineRule="auto"/>
              <w:rPr/>
            </w:pPr>
            <w:r>
              <w:rPr>
                <w:spacing w:val="2"/>
              </w:rPr>
              <w:t>2.3</w:t>
            </w:r>
          </w:p>
        </w:tc>
        <w:tc>
          <w:tcPr>
            <w:tcW w:w="1113" w:type="dxa"/>
            <w:vAlign w:val="top"/>
          </w:tcPr>
          <w:p>
            <w:pPr>
              <w:pStyle w:val="TableText"/>
              <w:ind w:left="376"/>
              <w:spacing w:before="66" w:line="195" w:lineRule="auto"/>
              <w:rPr/>
            </w:pPr>
            <w:r>
              <w:rPr>
                <w:spacing w:val="-3"/>
              </w:rPr>
              <w:t>2.</w:t>
            </w:r>
            <w:r>
              <w:rPr>
                <w:spacing w:val="-25"/>
              </w:rPr>
              <w:t xml:space="preserve"> </w:t>
            </w:r>
            <w:r>
              <w:rPr>
                <w:spacing w:val="-3"/>
              </w:rPr>
              <w:t>12</w:t>
            </w:r>
          </w:p>
        </w:tc>
        <w:tc>
          <w:tcPr>
            <w:tcW w:w="1430" w:type="dxa"/>
            <w:vAlign w:val="top"/>
          </w:tcPr>
          <w:p>
            <w:pPr>
              <w:pStyle w:val="TableText"/>
              <w:ind w:left="632"/>
              <w:spacing w:before="66" w:line="195" w:lineRule="auto"/>
              <w:rPr/>
            </w:pPr>
            <w:r>
              <w:rPr>
                <w:spacing w:val="-8"/>
              </w:rPr>
              <w:t>10</w:t>
            </w:r>
          </w:p>
        </w:tc>
      </w:tr>
      <w:tr>
        <w:trPr>
          <w:trHeight w:val="278" w:hRule="atLeast"/>
        </w:trPr>
        <w:tc>
          <w:tcPr>
            <w:tcW w:w="959" w:type="dxa"/>
            <w:vAlign w:val="top"/>
          </w:tcPr>
          <w:p>
            <w:pPr>
              <w:ind w:left="379"/>
              <w:spacing w:before="30" w:line="219" w:lineRule="auto"/>
              <w:rPr>
                <w:rFonts w:ascii="SimSun" w:hAnsi="SimSun" w:eastAsia="SimSun" w:cs="SimSun"/>
                <w:sz w:val="20"/>
                <w:szCs w:val="20"/>
              </w:rPr>
            </w:pPr>
            <w:r>
              <w:rPr>
                <w:rFonts w:ascii="SimSun" w:hAnsi="SimSun" w:eastAsia="SimSun" w:cs="SimSun"/>
                <w:sz w:val="20"/>
                <w:szCs w:val="20"/>
                <w:spacing w:val="1"/>
              </w:rPr>
              <w:t>砷</w:t>
            </w:r>
          </w:p>
        </w:tc>
        <w:tc>
          <w:tcPr>
            <w:tcW w:w="1003" w:type="dxa"/>
            <w:vAlign w:val="top"/>
          </w:tcPr>
          <w:p>
            <w:pPr>
              <w:pStyle w:val="TableText"/>
              <w:ind w:left="154"/>
              <w:spacing w:before="46" w:line="216" w:lineRule="auto"/>
              <w:rPr>
                <w:sz w:val="13"/>
                <w:szCs w:val="13"/>
              </w:rPr>
            </w:pPr>
            <w:r>
              <w:rPr>
                <w:spacing w:val="2"/>
              </w:rPr>
              <w:t>5.3×10</w:t>
            </w:r>
            <w:r>
              <w:rPr>
                <w:sz w:val="13"/>
                <w:szCs w:val="13"/>
                <w:spacing w:val="2"/>
                <w:position w:val="6"/>
              </w:rPr>
              <w:t>-2</w:t>
            </w:r>
          </w:p>
        </w:tc>
        <w:tc>
          <w:tcPr>
            <w:tcW w:w="1163" w:type="dxa"/>
            <w:vAlign w:val="top"/>
          </w:tcPr>
          <w:p>
            <w:pPr>
              <w:pStyle w:val="TableText"/>
              <w:ind w:left="236"/>
              <w:spacing w:before="46" w:line="216" w:lineRule="auto"/>
              <w:rPr>
                <w:sz w:val="13"/>
                <w:szCs w:val="13"/>
              </w:rPr>
            </w:pPr>
            <w:r>
              <w:rPr>
                <w:spacing w:val="2"/>
              </w:rPr>
              <w:t>5.3×10</w:t>
            </w:r>
            <w:r>
              <w:rPr>
                <w:sz w:val="13"/>
                <w:szCs w:val="13"/>
                <w:spacing w:val="2"/>
                <w:position w:val="6"/>
              </w:rPr>
              <w:t>-2</w:t>
            </w:r>
          </w:p>
        </w:tc>
        <w:tc>
          <w:tcPr>
            <w:tcW w:w="1146" w:type="dxa"/>
            <w:vAlign w:val="top"/>
          </w:tcPr>
          <w:p>
            <w:pPr>
              <w:pStyle w:val="TableText"/>
              <w:ind w:left="228"/>
              <w:spacing w:before="46" w:line="216" w:lineRule="auto"/>
              <w:rPr>
                <w:sz w:val="13"/>
                <w:szCs w:val="13"/>
              </w:rPr>
            </w:pPr>
            <w:r>
              <w:rPr>
                <w:spacing w:val="2"/>
              </w:rPr>
              <w:t>5.2×10</w:t>
            </w:r>
            <w:r>
              <w:rPr>
                <w:sz w:val="13"/>
                <w:szCs w:val="13"/>
                <w:spacing w:val="2"/>
                <w:position w:val="6"/>
              </w:rPr>
              <w:t>-2</w:t>
            </w:r>
          </w:p>
        </w:tc>
        <w:tc>
          <w:tcPr>
            <w:tcW w:w="1139" w:type="dxa"/>
            <w:vAlign w:val="top"/>
          </w:tcPr>
          <w:p>
            <w:pPr>
              <w:pStyle w:val="TableText"/>
              <w:ind w:left="226"/>
              <w:spacing w:before="46" w:line="216" w:lineRule="auto"/>
              <w:rPr>
                <w:sz w:val="13"/>
                <w:szCs w:val="13"/>
              </w:rPr>
            </w:pPr>
            <w:r>
              <w:rPr>
                <w:spacing w:val="2"/>
              </w:rPr>
              <w:t>5.2×10</w:t>
            </w:r>
            <w:r>
              <w:rPr>
                <w:sz w:val="13"/>
                <w:szCs w:val="13"/>
                <w:spacing w:val="2"/>
                <w:position w:val="6"/>
              </w:rPr>
              <w:t>-2</w:t>
            </w:r>
          </w:p>
        </w:tc>
        <w:tc>
          <w:tcPr>
            <w:tcW w:w="1173" w:type="dxa"/>
            <w:vAlign w:val="top"/>
          </w:tcPr>
          <w:p>
            <w:pPr>
              <w:pStyle w:val="TableText"/>
              <w:ind w:left="239"/>
              <w:spacing w:before="46" w:line="216" w:lineRule="auto"/>
              <w:rPr>
                <w:sz w:val="13"/>
                <w:szCs w:val="13"/>
              </w:rPr>
            </w:pPr>
            <w:r>
              <w:rPr>
                <w:spacing w:val="-1"/>
              </w:rPr>
              <w:t>5.</w:t>
            </w:r>
            <w:r>
              <w:rPr>
                <w:spacing w:val="-20"/>
              </w:rPr>
              <w:t xml:space="preserve"> </w:t>
            </w:r>
            <w:r>
              <w:rPr>
                <w:spacing w:val="-1"/>
              </w:rPr>
              <w:t>1×10</w:t>
            </w:r>
            <w:r>
              <w:rPr>
                <w:sz w:val="13"/>
                <w:szCs w:val="13"/>
                <w:spacing w:val="-1"/>
                <w:position w:val="6"/>
              </w:rPr>
              <w:t>-2</w:t>
            </w:r>
          </w:p>
        </w:tc>
        <w:tc>
          <w:tcPr>
            <w:tcW w:w="1113" w:type="dxa"/>
            <w:vAlign w:val="top"/>
          </w:tcPr>
          <w:p>
            <w:pPr>
              <w:pStyle w:val="TableText"/>
              <w:ind w:left="214"/>
              <w:spacing w:before="46" w:line="216" w:lineRule="auto"/>
              <w:rPr>
                <w:sz w:val="13"/>
                <w:szCs w:val="13"/>
              </w:rPr>
            </w:pPr>
            <w:r>
              <w:rPr>
                <w:spacing w:val="-1"/>
              </w:rPr>
              <w:t>5.</w:t>
            </w:r>
            <w:r>
              <w:rPr>
                <w:spacing w:val="-23"/>
              </w:rPr>
              <w:t xml:space="preserve"> </w:t>
            </w:r>
            <w:r>
              <w:rPr>
                <w:spacing w:val="-1"/>
              </w:rPr>
              <w:t>1×10</w:t>
            </w:r>
            <w:r>
              <w:rPr>
                <w:sz w:val="13"/>
                <w:szCs w:val="13"/>
                <w:spacing w:val="-1"/>
                <w:position w:val="6"/>
              </w:rPr>
              <w:t>-2</w:t>
            </w:r>
          </w:p>
        </w:tc>
        <w:tc>
          <w:tcPr>
            <w:tcW w:w="1430" w:type="dxa"/>
            <w:vAlign w:val="top"/>
          </w:tcPr>
          <w:p>
            <w:pPr>
              <w:pStyle w:val="TableText"/>
              <w:ind w:left="588"/>
              <w:spacing w:before="66" w:line="195" w:lineRule="auto"/>
              <w:rPr/>
            </w:pPr>
            <w:r>
              <w:rPr>
                <w:spacing w:val="1"/>
              </w:rPr>
              <w:t>0.5</w:t>
            </w:r>
          </w:p>
        </w:tc>
      </w:tr>
      <w:tr>
        <w:trPr>
          <w:trHeight w:val="275" w:hRule="atLeast"/>
        </w:trPr>
        <w:tc>
          <w:tcPr>
            <w:tcW w:w="959" w:type="dxa"/>
            <w:vAlign w:val="top"/>
          </w:tcPr>
          <w:p>
            <w:pPr>
              <w:ind w:left="380"/>
              <w:spacing w:before="31" w:line="216" w:lineRule="auto"/>
              <w:rPr>
                <w:rFonts w:ascii="SimSun" w:hAnsi="SimSun" w:eastAsia="SimSun" w:cs="SimSun"/>
                <w:sz w:val="20"/>
                <w:szCs w:val="20"/>
              </w:rPr>
            </w:pPr>
            <w:r>
              <w:rPr>
                <w:rFonts w:ascii="SimSun" w:hAnsi="SimSun" w:eastAsia="SimSun" w:cs="SimSun"/>
                <w:sz w:val="20"/>
                <w:szCs w:val="20"/>
              </w:rPr>
              <w:t>汞</w:t>
            </w:r>
          </w:p>
        </w:tc>
        <w:tc>
          <w:tcPr>
            <w:tcW w:w="1003" w:type="dxa"/>
            <w:vAlign w:val="top"/>
          </w:tcPr>
          <w:p>
            <w:pPr>
              <w:pStyle w:val="TableText"/>
              <w:ind w:left="234"/>
              <w:spacing w:before="48" w:line="214" w:lineRule="auto"/>
              <w:rPr>
                <w:sz w:val="13"/>
                <w:szCs w:val="13"/>
              </w:rPr>
            </w:pPr>
            <w:r>
              <w:rPr>
                <w:spacing w:val="1"/>
              </w:rPr>
              <w:t>5×10</w:t>
            </w:r>
            <w:r>
              <w:rPr>
                <w:sz w:val="13"/>
                <w:szCs w:val="13"/>
                <w:spacing w:val="1"/>
                <w:position w:val="6"/>
              </w:rPr>
              <w:t>-5</w:t>
            </w:r>
          </w:p>
        </w:tc>
        <w:tc>
          <w:tcPr>
            <w:tcW w:w="1163" w:type="dxa"/>
            <w:vAlign w:val="top"/>
          </w:tcPr>
          <w:p>
            <w:pPr>
              <w:pStyle w:val="TableText"/>
              <w:ind w:left="313"/>
              <w:spacing w:before="48" w:line="214" w:lineRule="auto"/>
              <w:rPr>
                <w:sz w:val="13"/>
                <w:szCs w:val="13"/>
              </w:rPr>
            </w:pPr>
            <w:r>
              <w:rPr>
                <w:spacing w:val="2"/>
              </w:rPr>
              <w:t>5×10</w:t>
            </w:r>
            <w:r>
              <w:rPr>
                <w:sz w:val="13"/>
                <w:szCs w:val="13"/>
                <w:spacing w:val="2"/>
                <w:position w:val="6"/>
              </w:rPr>
              <w:t>-5</w:t>
            </w:r>
          </w:p>
        </w:tc>
        <w:tc>
          <w:tcPr>
            <w:tcW w:w="1146" w:type="dxa"/>
            <w:vAlign w:val="top"/>
          </w:tcPr>
          <w:p>
            <w:pPr>
              <w:pStyle w:val="TableText"/>
              <w:ind w:left="304"/>
              <w:spacing w:before="48" w:line="214" w:lineRule="auto"/>
              <w:rPr>
                <w:sz w:val="13"/>
                <w:szCs w:val="13"/>
              </w:rPr>
            </w:pPr>
            <w:r>
              <w:rPr>
                <w:spacing w:val="2"/>
              </w:rPr>
              <w:t>5×10</w:t>
            </w:r>
            <w:r>
              <w:rPr>
                <w:sz w:val="13"/>
                <w:szCs w:val="13"/>
                <w:spacing w:val="2"/>
                <w:position w:val="6"/>
              </w:rPr>
              <w:t>-5</w:t>
            </w:r>
          </w:p>
        </w:tc>
        <w:tc>
          <w:tcPr>
            <w:tcW w:w="1139" w:type="dxa"/>
            <w:vAlign w:val="top"/>
          </w:tcPr>
          <w:p>
            <w:pPr>
              <w:pStyle w:val="TableText"/>
              <w:ind w:left="303"/>
              <w:spacing w:before="48" w:line="214" w:lineRule="auto"/>
              <w:rPr>
                <w:sz w:val="13"/>
                <w:szCs w:val="13"/>
              </w:rPr>
            </w:pPr>
            <w:r>
              <w:rPr>
                <w:spacing w:val="2"/>
              </w:rPr>
              <w:t>5×10</w:t>
            </w:r>
            <w:r>
              <w:rPr>
                <w:sz w:val="13"/>
                <w:szCs w:val="13"/>
                <w:spacing w:val="2"/>
                <w:position w:val="6"/>
              </w:rPr>
              <w:t>-5</w:t>
            </w:r>
          </w:p>
        </w:tc>
        <w:tc>
          <w:tcPr>
            <w:tcW w:w="1173" w:type="dxa"/>
            <w:vAlign w:val="top"/>
          </w:tcPr>
          <w:p>
            <w:pPr>
              <w:pStyle w:val="TableText"/>
              <w:ind w:left="321"/>
              <w:spacing w:before="48" w:line="214" w:lineRule="auto"/>
              <w:rPr>
                <w:sz w:val="13"/>
                <w:szCs w:val="13"/>
              </w:rPr>
            </w:pPr>
            <w:r>
              <w:rPr>
                <w:spacing w:val="2"/>
              </w:rPr>
              <w:t>5×10</w:t>
            </w:r>
            <w:r>
              <w:rPr>
                <w:sz w:val="13"/>
                <w:szCs w:val="13"/>
                <w:spacing w:val="2"/>
                <w:position w:val="6"/>
              </w:rPr>
              <w:t>-5</w:t>
            </w:r>
          </w:p>
        </w:tc>
        <w:tc>
          <w:tcPr>
            <w:tcW w:w="1113" w:type="dxa"/>
            <w:vAlign w:val="top"/>
          </w:tcPr>
          <w:p>
            <w:pPr>
              <w:pStyle w:val="TableText"/>
              <w:ind w:left="290"/>
              <w:spacing w:before="48" w:line="214" w:lineRule="auto"/>
              <w:rPr>
                <w:sz w:val="13"/>
                <w:szCs w:val="13"/>
              </w:rPr>
            </w:pPr>
            <w:r>
              <w:rPr>
                <w:spacing w:val="2"/>
              </w:rPr>
              <w:t>5×10</w:t>
            </w:r>
            <w:r>
              <w:rPr>
                <w:sz w:val="13"/>
                <w:szCs w:val="13"/>
                <w:spacing w:val="2"/>
                <w:position w:val="6"/>
              </w:rPr>
              <w:t>-5</w:t>
            </w:r>
          </w:p>
        </w:tc>
        <w:tc>
          <w:tcPr>
            <w:tcW w:w="1430" w:type="dxa"/>
            <w:vAlign w:val="top"/>
          </w:tcPr>
          <w:p>
            <w:pPr>
              <w:pStyle w:val="TableText"/>
              <w:ind w:left="536"/>
              <w:spacing w:before="67" w:line="195" w:lineRule="auto"/>
              <w:rPr/>
            </w:pPr>
            <w:r>
              <w:rPr>
                <w:spacing w:val="2"/>
              </w:rPr>
              <w:t>0.05</w:t>
            </w:r>
          </w:p>
        </w:tc>
      </w:tr>
      <w:tr>
        <w:trPr>
          <w:trHeight w:val="278" w:hRule="atLeast"/>
        </w:trPr>
        <w:tc>
          <w:tcPr>
            <w:tcW w:w="959" w:type="dxa"/>
            <w:vAlign w:val="top"/>
          </w:tcPr>
          <w:p>
            <w:pPr>
              <w:ind w:left="378"/>
              <w:spacing w:before="33" w:line="216" w:lineRule="auto"/>
              <w:rPr>
                <w:rFonts w:ascii="SimSun" w:hAnsi="SimSun" w:eastAsia="SimSun" w:cs="SimSun"/>
                <w:sz w:val="20"/>
                <w:szCs w:val="20"/>
              </w:rPr>
            </w:pPr>
            <w:r>
              <w:rPr>
                <w:rFonts w:ascii="SimSun" w:hAnsi="SimSun" w:eastAsia="SimSun" w:cs="SimSun"/>
                <w:sz w:val="20"/>
                <w:szCs w:val="20"/>
                <w:spacing w:val="2"/>
              </w:rPr>
              <w:t>硒</w:t>
            </w:r>
          </w:p>
        </w:tc>
        <w:tc>
          <w:tcPr>
            <w:tcW w:w="1003" w:type="dxa"/>
            <w:vAlign w:val="top"/>
          </w:tcPr>
          <w:p>
            <w:pPr>
              <w:pStyle w:val="TableText"/>
              <w:ind w:left="152"/>
              <w:spacing w:before="50" w:line="216" w:lineRule="auto"/>
              <w:rPr>
                <w:sz w:val="13"/>
                <w:szCs w:val="13"/>
              </w:rPr>
            </w:pPr>
            <w:r>
              <w:rPr>
                <w:spacing w:val="2"/>
              </w:rPr>
              <w:t>7.0×10</w:t>
            </w:r>
            <w:r>
              <w:rPr>
                <w:sz w:val="13"/>
                <w:szCs w:val="13"/>
                <w:spacing w:val="2"/>
                <w:position w:val="6"/>
              </w:rPr>
              <w:t>-3</w:t>
            </w:r>
          </w:p>
        </w:tc>
        <w:tc>
          <w:tcPr>
            <w:tcW w:w="1163" w:type="dxa"/>
            <w:vAlign w:val="top"/>
          </w:tcPr>
          <w:p>
            <w:pPr>
              <w:pStyle w:val="TableText"/>
              <w:ind w:left="235"/>
              <w:spacing w:before="50" w:line="216" w:lineRule="auto"/>
              <w:rPr>
                <w:sz w:val="13"/>
                <w:szCs w:val="13"/>
              </w:rPr>
            </w:pPr>
            <w:r>
              <w:rPr>
                <w:spacing w:val="2"/>
              </w:rPr>
              <w:t>6.6×10</w:t>
            </w:r>
            <w:r>
              <w:rPr>
                <w:sz w:val="13"/>
                <w:szCs w:val="13"/>
                <w:spacing w:val="2"/>
                <w:position w:val="6"/>
              </w:rPr>
              <w:t>-3</w:t>
            </w:r>
          </w:p>
        </w:tc>
        <w:tc>
          <w:tcPr>
            <w:tcW w:w="1146" w:type="dxa"/>
            <w:vAlign w:val="top"/>
          </w:tcPr>
          <w:p>
            <w:pPr>
              <w:pStyle w:val="TableText"/>
              <w:ind w:left="230"/>
              <w:spacing w:before="50" w:line="216" w:lineRule="auto"/>
              <w:rPr>
                <w:sz w:val="13"/>
                <w:szCs w:val="13"/>
              </w:rPr>
            </w:pPr>
            <w:r>
              <w:rPr>
                <w:spacing w:val="2"/>
              </w:rPr>
              <w:t>8.0×10</w:t>
            </w:r>
            <w:r>
              <w:rPr>
                <w:sz w:val="13"/>
                <w:szCs w:val="13"/>
                <w:spacing w:val="2"/>
                <w:position w:val="6"/>
              </w:rPr>
              <w:t>-3</w:t>
            </w:r>
          </w:p>
        </w:tc>
        <w:tc>
          <w:tcPr>
            <w:tcW w:w="1139" w:type="dxa"/>
            <w:vAlign w:val="top"/>
          </w:tcPr>
          <w:p>
            <w:pPr>
              <w:pStyle w:val="TableText"/>
              <w:ind w:left="224"/>
              <w:spacing w:before="50" w:line="216" w:lineRule="auto"/>
              <w:rPr>
                <w:sz w:val="13"/>
                <w:szCs w:val="13"/>
              </w:rPr>
            </w:pPr>
            <w:r>
              <w:rPr>
                <w:spacing w:val="2"/>
              </w:rPr>
              <w:t>7.6×10</w:t>
            </w:r>
            <w:r>
              <w:rPr>
                <w:sz w:val="13"/>
                <w:szCs w:val="13"/>
                <w:spacing w:val="2"/>
                <w:position w:val="6"/>
              </w:rPr>
              <w:t>-3</w:t>
            </w:r>
          </w:p>
        </w:tc>
        <w:tc>
          <w:tcPr>
            <w:tcW w:w="1173" w:type="dxa"/>
            <w:vAlign w:val="top"/>
          </w:tcPr>
          <w:p>
            <w:pPr>
              <w:pStyle w:val="TableText"/>
              <w:ind w:left="238"/>
              <w:spacing w:before="50" w:line="216" w:lineRule="auto"/>
              <w:rPr>
                <w:sz w:val="13"/>
                <w:szCs w:val="13"/>
              </w:rPr>
            </w:pPr>
            <w:r>
              <w:rPr>
                <w:spacing w:val="3"/>
              </w:rPr>
              <w:t>6.9×10</w:t>
            </w:r>
            <w:r>
              <w:rPr>
                <w:sz w:val="13"/>
                <w:szCs w:val="13"/>
                <w:spacing w:val="3"/>
                <w:position w:val="6"/>
              </w:rPr>
              <w:t>-3</w:t>
            </w:r>
          </w:p>
        </w:tc>
        <w:tc>
          <w:tcPr>
            <w:tcW w:w="1113" w:type="dxa"/>
            <w:vAlign w:val="top"/>
          </w:tcPr>
          <w:p>
            <w:pPr>
              <w:pStyle w:val="TableText"/>
              <w:ind w:left="216"/>
              <w:spacing w:before="50" w:line="216" w:lineRule="auto"/>
              <w:rPr>
                <w:sz w:val="13"/>
                <w:szCs w:val="13"/>
              </w:rPr>
            </w:pPr>
            <w:r>
              <w:rPr>
                <w:spacing w:val="-1"/>
              </w:rPr>
              <w:t>8.</w:t>
            </w:r>
            <w:r>
              <w:rPr>
                <w:spacing w:val="-25"/>
              </w:rPr>
              <w:t xml:space="preserve"> </w:t>
            </w:r>
            <w:r>
              <w:rPr>
                <w:spacing w:val="-1"/>
              </w:rPr>
              <w:t>1×10</w:t>
            </w:r>
            <w:r>
              <w:rPr>
                <w:sz w:val="13"/>
                <w:szCs w:val="13"/>
                <w:spacing w:val="-1"/>
                <w:position w:val="6"/>
              </w:rPr>
              <w:t>-3</w:t>
            </w:r>
          </w:p>
        </w:tc>
        <w:tc>
          <w:tcPr>
            <w:tcW w:w="1430" w:type="dxa"/>
            <w:vAlign w:val="top"/>
          </w:tcPr>
          <w:p>
            <w:pPr>
              <w:pStyle w:val="TableText"/>
              <w:ind w:left="684"/>
              <w:spacing w:before="66" w:line="199" w:lineRule="auto"/>
              <w:rPr/>
            </w:pPr>
            <w:r>
              <w:rPr>
                <w:spacing w:val="2"/>
              </w:rPr>
              <w:t>/</w:t>
            </w:r>
          </w:p>
        </w:tc>
      </w:tr>
      <w:tr>
        <w:trPr>
          <w:trHeight w:val="278" w:hRule="atLeast"/>
        </w:trPr>
        <w:tc>
          <w:tcPr>
            <w:tcW w:w="959" w:type="dxa"/>
            <w:vAlign w:val="top"/>
          </w:tcPr>
          <w:p>
            <w:pPr>
              <w:ind w:left="379"/>
              <w:spacing w:before="31" w:line="218" w:lineRule="auto"/>
              <w:rPr>
                <w:rFonts w:ascii="SimSun" w:hAnsi="SimSun" w:eastAsia="SimSun" w:cs="SimSun"/>
                <w:sz w:val="20"/>
                <w:szCs w:val="20"/>
              </w:rPr>
            </w:pPr>
            <w:r>
              <w:rPr>
                <w:rFonts w:ascii="SimSun" w:hAnsi="SimSun" w:eastAsia="SimSun" w:cs="SimSun"/>
                <w:sz w:val="20"/>
                <w:szCs w:val="20"/>
              </w:rPr>
              <w:t>铜</w:t>
            </w:r>
          </w:p>
        </w:tc>
        <w:tc>
          <w:tcPr>
            <w:tcW w:w="1003" w:type="dxa"/>
            <w:vAlign w:val="top"/>
          </w:tcPr>
          <w:p>
            <w:pPr>
              <w:pStyle w:val="TableText"/>
              <w:ind w:left="320"/>
              <w:spacing w:before="68" w:line="195" w:lineRule="auto"/>
              <w:rPr/>
            </w:pPr>
            <w:r>
              <w:rPr>
                <w:spacing w:val="2"/>
              </w:rPr>
              <w:t>0.04</w:t>
            </w:r>
          </w:p>
        </w:tc>
        <w:tc>
          <w:tcPr>
            <w:tcW w:w="1163" w:type="dxa"/>
            <w:vAlign w:val="top"/>
          </w:tcPr>
          <w:p>
            <w:pPr>
              <w:pStyle w:val="TableText"/>
              <w:ind w:left="402"/>
              <w:spacing w:before="68" w:line="195" w:lineRule="auto"/>
              <w:rPr/>
            </w:pPr>
            <w:r>
              <w:rPr>
                <w:spacing w:val="2"/>
              </w:rPr>
              <w:t>0.05</w:t>
            </w:r>
          </w:p>
        </w:tc>
        <w:tc>
          <w:tcPr>
            <w:tcW w:w="1146" w:type="dxa"/>
            <w:vAlign w:val="top"/>
          </w:tcPr>
          <w:p>
            <w:pPr>
              <w:pStyle w:val="TableText"/>
              <w:ind w:left="393"/>
              <w:spacing w:before="68" w:line="195" w:lineRule="auto"/>
              <w:rPr/>
            </w:pPr>
            <w:r>
              <w:rPr>
                <w:spacing w:val="2"/>
              </w:rPr>
              <w:t>0.05</w:t>
            </w:r>
          </w:p>
        </w:tc>
        <w:tc>
          <w:tcPr>
            <w:tcW w:w="1139" w:type="dxa"/>
            <w:vAlign w:val="top"/>
          </w:tcPr>
          <w:p>
            <w:pPr>
              <w:pStyle w:val="TableText"/>
              <w:ind w:left="392"/>
              <w:spacing w:before="68" w:line="195" w:lineRule="auto"/>
              <w:rPr/>
            </w:pPr>
            <w:r>
              <w:rPr>
                <w:spacing w:val="2"/>
              </w:rPr>
              <w:t>0.07</w:t>
            </w:r>
          </w:p>
        </w:tc>
        <w:tc>
          <w:tcPr>
            <w:tcW w:w="1173" w:type="dxa"/>
            <w:vAlign w:val="top"/>
          </w:tcPr>
          <w:p>
            <w:pPr>
              <w:pStyle w:val="TableText"/>
              <w:ind w:left="405"/>
              <w:spacing w:before="68" w:line="195" w:lineRule="auto"/>
              <w:rPr/>
            </w:pPr>
            <w:r>
              <w:rPr>
                <w:spacing w:val="3"/>
              </w:rPr>
              <w:t>0.07</w:t>
            </w:r>
          </w:p>
        </w:tc>
        <w:tc>
          <w:tcPr>
            <w:tcW w:w="1113" w:type="dxa"/>
            <w:vAlign w:val="top"/>
          </w:tcPr>
          <w:p>
            <w:pPr>
              <w:pStyle w:val="TableText"/>
              <w:ind w:left="379"/>
              <w:spacing w:before="68" w:line="195" w:lineRule="auto"/>
              <w:rPr/>
            </w:pPr>
            <w:r>
              <w:rPr>
                <w:spacing w:val="2"/>
              </w:rPr>
              <w:t>0.08</w:t>
            </w:r>
          </w:p>
        </w:tc>
        <w:tc>
          <w:tcPr>
            <w:tcW w:w="1430" w:type="dxa"/>
            <w:vAlign w:val="top"/>
          </w:tcPr>
          <w:p>
            <w:pPr>
              <w:pStyle w:val="TableText"/>
              <w:ind w:left="588"/>
              <w:spacing w:before="68" w:line="195" w:lineRule="auto"/>
              <w:rPr/>
            </w:pPr>
            <w:r>
              <w:rPr>
                <w:spacing w:val="1"/>
              </w:rPr>
              <w:t>0.5</w:t>
            </w:r>
          </w:p>
        </w:tc>
      </w:tr>
      <w:tr>
        <w:trPr>
          <w:trHeight w:val="275" w:hRule="atLeast"/>
        </w:trPr>
        <w:tc>
          <w:tcPr>
            <w:tcW w:w="959" w:type="dxa"/>
            <w:vAlign w:val="top"/>
          </w:tcPr>
          <w:p>
            <w:pPr>
              <w:ind w:left="379"/>
              <w:spacing w:before="32" w:line="215" w:lineRule="auto"/>
              <w:rPr>
                <w:rFonts w:ascii="SimSun" w:hAnsi="SimSun" w:eastAsia="SimSun" w:cs="SimSun"/>
                <w:sz w:val="20"/>
                <w:szCs w:val="20"/>
              </w:rPr>
            </w:pPr>
            <w:r>
              <w:rPr>
                <w:rFonts w:ascii="SimSun" w:hAnsi="SimSun" w:eastAsia="SimSun" w:cs="SimSun"/>
                <w:sz w:val="20"/>
                <w:szCs w:val="20"/>
                <w:spacing w:val="1"/>
              </w:rPr>
              <w:t>锌</w:t>
            </w:r>
          </w:p>
        </w:tc>
        <w:tc>
          <w:tcPr>
            <w:tcW w:w="1003" w:type="dxa"/>
            <w:vAlign w:val="top"/>
          </w:tcPr>
          <w:p>
            <w:pPr>
              <w:pStyle w:val="TableText"/>
              <w:ind w:left="255"/>
              <w:spacing w:before="68" w:line="195" w:lineRule="auto"/>
              <w:rPr/>
            </w:pPr>
            <w:r>
              <w:rPr>
                <w:spacing w:val="3"/>
              </w:rPr>
              <w:t>0.01L</w:t>
            </w:r>
          </w:p>
        </w:tc>
        <w:tc>
          <w:tcPr>
            <w:tcW w:w="1163" w:type="dxa"/>
            <w:vAlign w:val="top"/>
          </w:tcPr>
          <w:p>
            <w:pPr>
              <w:pStyle w:val="TableText"/>
              <w:ind w:left="337"/>
              <w:spacing w:before="68" w:line="195" w:lineRule="auto"/>
              <w:rPr/>
            </w:pPr>
            <w:r>
              <w:rPr>
                <w:spacing w:val="3"/>
              </w:rPr>
              <w:t>0.01L</w:t>
            </w:r>
          </w:p>
        </w:tc>
        <w:tc>
          <w:tcPr>
            <w:tcW w:w="1146" w:type="dxa"/>
            <w:vAlign w:val="top"/>
          </w:tcPr>
          <w:p>
            <w:pPr>
              <w:pStyle w:val="TableText"/>
              <w:ind w:left="326"/>
              <w:spacing w:before="68" w:line="195" w:lineRule="auto"/>
              <w:rPr/>
            </w:pPr>
            <w:r>
              <w:rPr>
                <w:spacing w:val="3"/>
              </w:rPr>
              <w:t>0.01L</w:t>
            </w:r>
          </w:p>
        </w:tc>
        <w:tc>
          <w:tcPr>
            <w:tcW w:w="1139" w:type="dxa"/>
            <w:vAlign w:val="top"/>
          </w:tcPr>
          <w:p>
            <w:pPr>
              <w:pStyle w:val="TableText"/>
              <w:ind w:left="327"/>
              <w:spacing w:before="68" w:line="195" w:lineRule="auto"/>
              <w:rPr/>
            </w:pPr>
            <w:r>
              <w:rPr>
                <w:spacing w:val="3"/>
              </w:rPr>
              <w:t>0.01L</w:t>
            </w:r>
          </w:p>
        </w:tc>
        <w:tc>
          <w:tcPr>
            <w:tcW w:w="1173" w:type="dxa"/>
            <w:vAlign w:val="top"/>
          </w:tcPr>
          <w:p>
            <w:pPr>
              <w:pStyle w:val="TableText"/>
              <w:ind w:left="345"/>
              <w:spacing w:before="68" w:line="195" w:lineRule="auto"/>
              <w:rPr/>
            </w:pPr>
            <w:r>
              <w:rPr>
                <w:spacing w:val="2"/>
              </w:rPr>
              <w:t>0.01L</w:t>
            </w:r>
          </w:p>
        </w:tc>
        <w:tc>
          <w:tcPr>
            <w:tcW w:w="1113" w:type="dxa"/>
            <w:vAlign w:val="top"/>
          </w:tcPr>
          <w:p>
            <w:pPr>
              <w:pStyle w:val="TableText"/>
              <w:ind w:left="312"/>
              <w:spacing w:before="68" w:line="195" w:lineRule="auto"/>
              <w:rPr/>
            </w:pPr>
            <w:r>
              <w:rPr>
                <w:spacing w:val="3"/>
              </w:rPr>
              <w:t>0.01L</w:t>
            </w:r>
          </w:p>
        </w:tc>
        <w:tc>
          <w:tcPr>
            <w:tcW w:w="1430" w:type="dxa"/>
            <w:vAlign w:val="top"/>
          </w:tcPr>
          <w:p>
            <w:pPr>
              <w:pStyle w:val="TableText"/>
              <w:ind w:left="664"/>
              <w:spacing w:before="68" w:line="195" w:lineRule="auto"/>
              <w:rPr/>
            </w:pPr>
            <w:r>
              <w:rPr/>
              <w:t>2</w:t>
            </w:r>
          </w:p>
        </w:tc>
      </w:tr>
      <w:tr>
        <w:trPr>
          <w:trHeight w:val="278" w:hRule="atLeast"/>
        </w:trPr>
        <w:tc>
          <w:tcPr>
            <w:tcW w:w="959" w:type="dxa"/>
            <w:vAlign w:val="top"/>
          </w:tcPr>
          <w:p>
            <w:pPr>
              <w:ind w:left="379"/>
              <w:spacing w:before="36" w:line="214" w:lineRule="auto"/>
              <w:rPr>
                <w:rFonts w:ascii="SimSun" w:hAnsi="SimSun" w:eastAsia="SimSun" w:cs="SimSun"/>
                <w:sz w:val="20"/>
                <w:szCs w:val="20"/>
              </w:rPr>
            </w:pPr>
            <w:r>
              <w:rPr>
                <w:rFonts w:ascii="SimSun" w:hAnsi="SimSun" w:eastAsia="SimSun" w:cs="SimSun"/>
                <w:sz w:val="20"/>
                <w:szCs w:val="20"/>
              </w:rPr>
              <w:t>铅</w:t>
            </w:r>
          </w:p>
        </w:tc>
        <w:tc>
          <w:tcPr>
            <w:tcW w:w="1003" w:type="dxa"/>
            <w:vAlign w:val="top"/>
          </w:tcPr>
          <w:p>
            <w:pPr>
              <w:pStyle w:val="TableText"/>
              <w:ind w:left="149"/>
              <w:spacing w:before="51" w:line="216" w:lineRule="auto"/>
              <w:rPr>
                <w:sz w:val="13"/>
                <w:szCs w:val="13"/>
              </w:rPr>
            </w:pPr>
            <w:r>
              <w:rPr>
                <w:spacing w:val="3"/>
              </w:rPr>
              <w:t>2.3×10</w:t>
            </w:r>
            <w:r>
              <w:rPr>
                <w:sz w:val="13"/>
                <w:szCs w:val="13"/>
                <w:spacing w:val="3"/>
                <w:position w:val="6"/>
              </w:rPr>
              <w:t>-3</w:t>
            </w:r>
          </w:p>
        </w:tc>
        <w:tc>
          <w:tcPr>
            <w:tcW w:w="1163" w:type="dxa"/>
            <w:vAlign w:val="top"/>
          </w:tcPr>
          <w:p>
            <w:pPr>
              <w:pStyle w:val="TableText"/>
              <w:ind w:left="230"/>
              <w:spacing w:before="51" w:line="216" w:lineRule="auto"/>
              <w:rPr>
                <w:sz w:val="13"/>
                <w:szCs w:val="13"/>
              </w:rPr>
            </w:pPr>
            <w:r>
              <w:rPr>
                <w:spacing w:val="3"/>
              </w:rPr>
              <w:t>2.4×10</w:t>
            </w:r>
            <w:r>
              <w:rPr>
                <w:sz w:val="13"/>
                <w:szCs w:val="13"/>
                <w:spacing w:val="3"/>
                <w:position w:val="6"/>
              </w:rPr>
              <w:t>-3</w:t>
            </w:r>
          </w:p>
        </w:tc>
        <w:tc>
          <w:tcPr>
            <w:tcW w:w="1146" w:type="dxa"/>
            <w:vAlign w:val="top"/>
          </w:tcPr>
          <w:p>
            <w:pPr>
              <w:pStyle w:val="TableText"/>
              <w:ind w:left="222"/>
              <w:spacing w:before="51" w:line="216" w:lineRule="auto"/>
              <w:rPr>
                <w:sz w:val="13"/>
                <w:szCs w:val="13"/>
              </w:rPr>
            </w:pPr>
            <w:r>
              <w:rPr>
                <w:spacing w:val="3"/>
              </w:rPr>
              <w:t>2.4×10</w:t>
            </w:r>
            <w:r>
              <w:rPr>
                <w:sz w:val="13"/>
                <w:szCs w:val="13"/>
                <w:spacing w:val="3"/>
                <w:position w:val="6"/>
              </w:rPr>
              <w:t>-3</w:t>
            </w:r>
          </w:p>
        </w:tc>
        <w:tc>
          <w:tcPr>
            <w:tcW w:w="1139" w:type="dxa"/>
            <w:vAlign w:val="top"/>
          </w:tcPr>
          <w:p>
            <w:pPr>
              <w:pStyle w:val="TableText"/>
              <w:ind w:left="221"/>
              <w:spacing w:before="51" w:line="216" w:lineRule="auto"/>
              <w:rPr>
                <w:sz w:val="13"/>
                <w:szCs w:val="13"/>
              </w:rPr>
            </w:pPr>
            <w:r>
              <w:rPr>
                <w:spacing w:val="-1"/>
              </w:rPr>
              <w:t>2.</w:t>
            </w:r>
            <w:r>
              <w:rPr>
                <w:spacing w:val="-19"/>
              </w:rPr>
              <w:t xml:space="preserve"> </w:t>
            </w:r>
            <w:r>
              <w:rPr>
                <w:spacing w:val="-1"/>
              </w:rPr>
              <w:t>1×10</w:t>
            </w:r>
            <w:r>
              <w:rPr>
                <w:sz w:val="13"/>
                <w:szCs w:val="13"/>
                <w:spacing w:val="-1"/>
                <w:position w:val="6"/>
              </w:rPr>
              <w:t>-3</w:t>
            </w:r>
          </w:p>
        </w:tc>
        <w:tc>
          <w:tcPr>
            <w:tcW w:w="1173" w:type="dxa"/>
            <w:vAlign w:val="top"/>
          </w:tcPr>
          <w:p>
            <w:pPr>
              <w:pStyle w:val="TableText"/>
              <w:ind w:left="234"/>
              <w:spacing w:before="51" w:line="216" w:lineRule="auto"/>
              <w:rPr>
                <w:sz w:val="13"/>
                <w:szCs w:val="13"/>
              </w:rPr>
            </w:pPr>
            <w:r>
              <w:rPr/>
              <w:t>2.</w:t>
            </w:r>
            <w:r>
              <w:rPr>
                <w:spacing w:val="-22"/>
              </w:rPr>
              <w:t xml:space="preserve"> </w:t>
            </w:r>
            <w:r>
              <w:rPr/>
              <w:t>1×10</w:t>
            </w:r>
            <w:r>
              <w:rPr>
                <w:sz w:val="13"/>
                <w:szCs w:val="13"/>
                <w:position w:val="6"/>
              </w:rPr>
              <w:t>-3</w:t>
            </w:r>
          </w:p>
        </w:tc>
        <w:tc>
          <w:tcPr>
            <w:tcW w:w="1113" w:type="dxa"/>
            <w:vAlign w:val="top"/>
          </w:tcPr>
          <w:p>
            <w:pPr>
              <w:pStyle w:val="TableText"/>
              <w:ind w:left="208"/>
              <w:spacing w:before="51" w:line="216" w:lineRule="auto"/>
              <w:rPr>
                <w:sz w:val="13"/>
                <w:szCs w:val="13"/>
              </w:rPr>
            </w:pPr>
            <w:r>
              <w:rPr>
                <w:spacing w:val="3"/>
              </w:rPr>
              <w:t>2.4×10</w:t>
            </w:r>
            <w:r>
              <w:rPr>
                <w:sz w:val="13"/>
                <w:szCs w:val="13"/>
                <w:spacing w:val="3"/>
                <w:position w:val="6"/>
              </w:rPr>
              <w:t>-3</w:t>
            </w:r>
          </w:p>
        </w:tc>
        <w:tc>
          <w:tcPr>
            <w:tcW w:w="1430" w:type="dxa"/>
            <w:vAlign w:val="top"/>
          </w:tcPr>
          <w:p>
            <w:pPr>
              <w:pStyle w:val="TableText"/>
              <w:ind w:left="685"/>
              <w:spacing w:before="71" w:line="195" w:lineRule="auto"/>
              <w:rPr/>
            </w:pPr>
            <w:r>
              <w:rPr/>
              <w:t>1</w:t>
            </w:r>
          </w:p>
        </w:tc>
      </w:tr>
      <w:tr>
        <w:trPr>
          <w:trHeight w:val="278" w:hRule="atLeast"/>
        </w:trPr>
        <w:tc>
          <w:tcPr>
            <w:tcW w:w="959" w:type="dxa"/>
            <w:vAlign w:val="top"/>
          </w:tcPr>
          <w:p>
            <w:pPr>
              <w:ind w:left="378"/>
              <w:spacing w:before="34" w:line="216" w:lineRule="auto"/>
              <w:rPr>
                <w:rFonts w:ascii="SimSun" w:hAnsi="SimSun" w:eastAsia="SimSun" w:cs="SimSun"/>
                <w:sz w:val="20"/>
                <w:szCs w:val="20"/>
              </w:rPr>
            </w:pPr>
            <w:r>
              <w:rPr>
                <w:rFonts w:ascii="SimSun" w:hAnsi="SimSun" w:eastAsia="SimSun" w:cs="SimSun"/>
                <w:sz w:val="20"/>
                <w:szCs w:val="20"/>
                <w:spacing w:val="2"/>
              </w:rPr>
              <w:t>镉</w:t>
            </w:r>
          </w:p>
        </w:tc>
        <w:tc>
          <w:tcPr>
            <w:tcW w:w="1003" w:type="dxa"/>
            <w:vAlign w:val="top"/>
          </w:tcPr>
          <w:p>
            <w:pPr>
              <w:pStyle w:val="TableText"/>
              <w:ind w:left="152"/>
              <w:spacing w:before="51" w:line="214" w:lineRule="auto"/>
              <w:rPr>
                <w:sz w:val="13"/>
                <w:szCs w:val="13"/>
              </w:rPr>
            </w:pPr>
            <w:r>
              <w:rPr>
                <w:spacing w:val="2"/>
              </w:rPr>
              <w:t>7.9×10</w:t>
            </w:r>
            <w:r>
              <w:rPr>
                <w:sz w:val="13"/>
                <w:szCs w:val="13"/>
                <w:spacing w:val="2"/>
                <w:position w:val="6"/>
              </w:rPr>
              <w:t>-5</w:t>
            </w:r>
          </w:p>
        </w:tc>
        <w:tc>
          <w:tcPr>
            <w:tcW w:w="1163" w:type="dxa"/>
            <w:vAlign w:val="top"/>
          </w:tcPr>
          <w:p>
            <w:pPr>
              <w:pStyle w:val="TableText"/>
              <w:ind w:left="236"/>
              <w:spacing w:before="51" w:line="214" w:lineRule="auto"/>
              <w:rPr>
                <w:sz w:val="13"/>
                <w:szCs w:val="13"/>
              </w:rPr>
            </w:pPr>
            <w:r>
              <w:rPr>
                <w:spacing w:val="2"/>
              </w:rPr>
              <w:t>5.5×10</w:t>
            </w:r>
            <w:r>
              <w:rPr>
                <w:sz w:val="13"/>
                <w:szCs w:val="13"/>
                <w:spacing w:val="2"/>
                <w:position w:val="6"/>
              </w:rPr>
              <w:t>-5</w:t>
            </w:r>
          </w:p>
        </w:tc>
        <w:tc>
          <w:tcPr>
            <w:tcW w:w="1146" w:type="dxa"/>
            <w:vAlign w:val="top"/>
          </w:tcPr>
          <w:p>
            <w:pPr>
              <w:pStyle w:val="TableText"/>
              <w:ind w:left="226"/>
              <w:spacing w:before="51" w:line="214" w:lineRule="auto"/>
              <w:rPr>
                <w:sz w:val="13"/>
                <w:szCs w:val="13"/>
              </w:rPr>
            </w:pPr>
            <w:r>
              <w:rPr>
                <w:spacing w:val="2"/>
              </w:rPr>
              <w:t>6.7×10</w:t>
            </w:r>
            <w:r>
              <w:rPr>
                <w:sz w:val="13"/>
                <w:szCs w:val="13"/>
                <w:spacing w:val="2"/>
                <w:position w:val="6"/>
              </w:rPr>
              <w:t>-5</w:t>
            </w:r>
          </w:p>
        </w:tc>
        <w:tc>
          <w:tcPr>
            <w:tcW w:w="1139" w:type="dxa"/>
            <w:vAlign w:val="top"/>
          </w:tcPr>
          <w:p>
            <w:pPr>
              <w:pStyle w:val="TableText"/>
              <w:ind w:left="225"/>
              <w:spacing w:before="51" w:line="214" w:lineRule="auto"/>
              <w:rPr>
                <w:sz w:val="13"/>
                <w:szCs w:val="13"/>
              </w:rPr>
            </w:pPr>
            <w:r>
              <w:rPr>
                <w:spacing w:val="2"/>
              </w:rPr>
              <w:t>9.2×10</w:t>
            </w:r>
            <w:r>
              <w:rPr>
                <w:sz w:val="13"/>
                <w:szCs w:val="13"/>
                <w:spacing w:val="2"/>
                <w:position w:val="6"/>
              </w:rPr>
              <w:t>-5</w:t>
            </w:r>
          </w:p>
        </w:tc>
        <w:tc>
          <w:tcPr>
            <w:tcW w:w="1173" w:type="dxa"/>
            <w:vAlign w:val="top"/>
          </w:tcPr>
          <w:p>
            <w:pPr>
              <w:pStyle w:val="TableText"/>
              <w:ind w:left="238"/>
              <w:spacing w:before="51" w:line="214" w:lineRule="auto"/>
              <w:rPr>
                <w:sz w:val="13"/>
                <w:szCs w:val="13"/>
              </w:rPr>
            </w:pPr>
            <w:r>
              <w:rPr>
                <w:spacing w:val="3"/>
              </w:rPr>
              <w:t>9.2×10</w:t>
            </w:r>
            <w:r>
              <w:rPr>
                <w:sz w:val="13"/>
                <w:szCs w:val="13"/>
                <w:spacing w:val="3"/>
                <w:position w:val="6"/>
              </w:rPr>
              <w:t>-5</w:t>
            </w:r>
          </w:p>
        </w:tc>
        <w:tc>
          <w:tcPr>
            <w:tcW w:w="1113" w:type="dxa"/>
            <w:vAlign w:val="top"/>
          </w:tcPr>
          <w:p>
            <w:pPr>
              <w:pStyle w:val="TableText"/>
              <w:ind w:left="228"/>
              <w:spacing w:before="49" w:line="216" w:lineRule="auto"/>
              <w:rPr>
                <w:sz w:val="13"/>
                <w:szCs w:val="13"/>
              </w:rPr>
            </w:pPr>
            <w:r>
              <w:rPr/>
              <w:t>1.0×10</w:t>
            </w:r>
            <w:r>
              <w:rPr>
                <w:sz w:val="13"/>
                <w:szCs w:val="13"/>
                <w:position w:val="6"/>
              </w:rPr>
              <w:t>-4</w:t>
            </w:r>
          </w:p>
        </w:tc>
        <w:tc>
          <w:tcPr>
            <w:tcW w:w="1430" w:type="dxa"/>
            <w:vAlign w:val="top"/>
          </w:tcPr>
          <w:p>
            <w:pPr>
              <w:pStyle w:val="TableText"/>
              <w:ind w:left="588"/>
              <w:spacing w:before="69" w:line="195" w:lineRule="auto"/>
              <w:rPr/>
            </w:pPr>
            <w:r>
              <w:rPr/>
              <w:t>0.</w:t>
            </w:r>
            <w:r>
              <w:rPr>
                <w:spacing w:val="-25"/>
              </w:rPr>
              <w:t xml:space="preserve"> </w:t>
            </w:r>
            <w:r>
              <w:rPr/>
              <w:t>1</w:t>
            </w:r>
          </w:p>
        </w:tc>
      </w:tr>
      <w:tr>
        <w:trPr>
          <w:trHeight w:val="275" w:hRule="atLeast"/>
        </w:trPr>
        <w:tc>
          <w:tcPr>
            <w:tcW w:w="959" w:type="dxa"/>
            <w:vAlign w:val="top"/>
          </w:tcPr>
          <w:p>
            <w:pPr>
              <w:ind w:left="379"/>
              <w:spacing w:before="33" w:line="214" w:lineRule="auto"/>
              <w:rPr>
                <w:rFonts w:ascii="SimSun" w:hAnsi="SimSun" w:eastAsia="SimSun" w:cs="SimSun"/>
                <w:sz w:val="20"/>
                <w:szCs w:val="20"/>
              </w:rPr>
            </w:pPr>
            <w:r>
              <w:rPr>
                <w:rFonts w:ascii="SimSun" w:hAnsi="SimSun" w:eastAsia="SimSun" w:cs="SimSun"/>
                <w:sz w:val="20"/>
                <w:szCs w:val="20"/>
                <w:spacing w:val="1"/>
              </w:rPr>
              <w:t>镍</w:t>
            </w:r>
          </w:p>
        </w:tc>
        <w:tc>
          <w:tcPr>
            <w:tcW w:w="1003" w:type="dxa"/>
            <w:vAlign w:val="top"/>
          </w:tcPr>
          <w:p>
            <w:pPr>
              <w:pStyle w:val="TableText"/>
              <w:ind w:left="255"/>
              <w:spacing w:before="69" w:line="195" w:lineRule="auto"/>
              <w:rPr/>
            </w:pPr>
            <w:r>
              <w:rPr>
                <w:spacing w:val="3"/>
              </w:rPr>
              <w:t>0.01L</w:t>
            </w:r>
          </w:p>
        </w:tc>
        <w:tc>
          <w:tcPr>
            <w:tcW w:w="1163" w:type="dxa"/>
            <w:vAlign w:val="top"/>
          </w:tcPr>
          <w:p>
            <w:pPr>
              <w:pStyle w:val="TableText"/>
              <w:ind w:left="337"/>
              <w:spacing w:before="69" w:line="195" w:lineRule="auto"/>
              <w:rPr/>
            </w:pPr>
            <w:r>
              <w:rPr>
                <w:spacing w:val="3"/>
              </w:rPr>
              <w:t>0.01L</w:t>
            </w:r>
          </w:p>
        </w:tc>
        <w:tc>
          <w:tcPr>
            <w:tcW w:w="1146" w:type="dxa"/>
            <w:vAlign w:val="top"/>
          </w:tcPr>
          <w:p>
            <w:pPr>
              <w:pStyle w:val="TableText"/>
              <w:ind w:left="326"/>
              <w:spacing w:before="69" w:line="195" w:lineRule="auto"/>
              <w:rPr/>
            </w:pPr>
            <w:r>
              <w:rPr>
                <w:spacing w:val="3"/>
              </w:rPr>
              <w:t>0.01L</w:t>
            </w:r>
          </w:p>
        </w:tc>
        <w:tc>
          <w:tcPr>
            <w:tcW w:w="1139" w:type="dxa"/>
            <w:vAlign w:val="top"/>
          </w:tcPr>
          <w:p>
            <w:pPr>
              <w:pStyle w:val="TableText"/>
              <w:ind w:left="327"/>
              <w:spacing w:before="69" w:line="195" w:lineRule="auto"/>
              <w:rPr/>
            </w:pPr>
            <w:r>
              <w:rPr>
                <w:spacing w:val="3"/>
              </w:rPr>
              <w:t>0.01L</w:t>
            </w:r>
          </w:p>
        </w:tc>
        <w:tc>
          <w:tcPr>
            <w:tcW w:w="1173" w:type="dxa"/>
            <w:vAlign w:val="top"/>
          </w:tcPr>
          <w:p>
            <w:pPr>
              <w:pStyle w:val="TableText"/>
              <w:ind w:left="345"/>
              <w:spacing w:before="69" w:line="195" w:lineRule="auto"/>
              <w:rPr/>
            </w:pPr>
            <w:r>
              <w:rPr>
                <w:spacing w:val="2"/>
              </w:rPr>
              <w:t>0.01L</w:t>
            </w:r>
          </w:p>
        </w:tc>
        <w:tc>
          <w:tcPr>
            <w:tcW w:w="1113" w:type="dxa"/>
            <w:vAlign w:val="top"/>
          </w:tcPr>
          <w:p>
            <w:pPr>
              <w:pStyle w:val="TableText"/>
              <w:ind w:left="312"/>
              <w:spacing w:before="69" w:line="195" w:lineRule="auto"/>
              <w:rPr/>
            </w:pPr>
            <w:r>
              <w:rPr>
                <w:spacing w:val="3"/>
              </w:rPr>
              <w:t>0.01L</w:t>
            </w:r>
          </w:p>
        </w:tc>
        <w:tc>
          <w:tcPr>
            <w:tcW w:w="1430" w:type="dxa"/>
            <w:vAlign w:val="top"/>
          </w:tcPr>
          <w:p>
            <w:pPr>
              <w:pStyle w:val="TableText"/>
              <w:ind w:left="685"/>
              <w:spacing w:before="69" w:line="195" w:lineRule="auto"/>
              <w:rPr/>
            </w:pPr>
            <w:r>
              <w:rPr/>
              <w:t>1</w:t>
            </w:r>
          </w:p>
        </w:tc>
      </w:tr>
      <w:tr>
        <w:trPr>
          <w:trHeight w:val="278" w:hRule="atLeast"/>
        </w:trPr>
        <w:tc>
          <w:tcPr>
            <w:tcW w:w="959" w:type="dxa"/>
            <w:vAlign w:val="top"/>
          </w:tcPr>
          <w:p>
            <w:pPr>
              <w:ind w:left="277"/>
              <w:spacing w:before="34" w:line="216" w:lineRule="auto"/>
              <w:rPr>
                <w:rFonts w:ascii="SimSun" w:hAnsi="SimSun" w:eastAsia="SimSun" w:cs="SimSun"/>
                <w:sz w:val="20"/>
                <w:szCs w:val="20"/>
              </w:rPr>
            </w:pPr>
            <w:r>
              <w:rPr>
                <w:rFonts w:ascii="SimSun" w:hAnsi="SimSun" w:eastAsia="SimSun" w:cs="SimSun"/>
                <w:sz w:val="20"/>
                <w:szCs w:val="20"/>
                <w:spacing w:val="2"/>
              </w:rPr>
              <w:t>总铬</w:t>
            </w:r>
          </w:p>
        </w:tc>
        <w:tc>
          <w:tcPr>
            <w:tcW w:w="1003" w:type="dxa"/>
            <w:vAlign w:val="top"/>
          </w:tcPr>
          <w:p>
            <w:pPr>
              <w:pStyle w:val="TableText"/>
              <w:ind w:left="255"/>
              <w:spacing w:before="70" w:line="195" w:lineRule="auto"/>
              <w:rPr/>
            </w:pPr>
            <w:r>
              <w:rPr>
                <w:spacing w:val="3"/>
              </w:rPr>
              <w:t>0.03L</w:t>
            </w:r>
          </w:p>
        </w:tc>
        <w:tc>
          <w:tcPr>
            <w:tcW w:w="1163" w:type="dxa"/>
            <w:vAlign w:val="top"/>
          </w:tcPr>
          <w:p>
            <w:pPr>
              <w:pStyle w:val="TableText"/>
              <w:ind w:left="337"/>
              <w:spacing w:before="70" w:line="195" w:lineRule="auto"/>
              <w:rPr/>
            </w:pPr>
            <w:r>
              <w:rPr>
                <w:spacing w:val="3"/>
              </w:rPr>
              <w:t>0.03L</w:t>
            </w:r>
          </w:p>
        </w:tc>
        <w:tc>
          <w:tcPr>
            <w:tcW w:w="1146" w:type="dxa"/>
            <w:vAlign w:val="top"/>
          </w:tcPr>
          <w:p>
            <w:pPr>
              <w:pStyle w:val="TableText"/>
              <w:ind w:left="326"/>
              <w:spacing w:before="70" w:line="195" w:lineRule="auto"/>
              <w:rPr/>
            </w:pPr>
            <w:r>
              <w:rPr>
                <w:spacing w:val="3"/>
              </w:rPr>
              <w:t>0.03L</w:t>
            </w:r>
          </w:p>
        </w:tc>
        <w:tc>
          <w:tcPr>
            <w:tcW w:w="1139" w:type="dxa"/>
            <w:vAlign w:val="top"/>
          </w:tcPr>
          <w:p>
            <w:pPr>
              <w:pStyle w:val="TableText"/>
              <w:ind w:left="327"/>
              <w:spacing w:before="70" w:line="195" w:lineRule="auto"/>
              <w:rPr/>
            </w:pPr>
            <w:r>
              <w:rPr>
                <w:spacing w:val="3"/>
              </w:rPr>
              <w:t>0.03L</w:t>
            </w:r>
          </w:p>
        </w:tc>
        <w:tc>
          <w:tcPr>
            <w:tcW w:w="1173" w:type="dxa"/>
            <w:vAlign w:val="top"/>
          </w:tcPr>
          <w:p>
            <w:pPr>
              <w:pStyle w:val="TableText"/>
              <w:ind w:left="345"/>
              <w:spacing w:before="70" w:line="195" w:lineRule="auto"/>
              <w:rPr/>
            </w:pPr>
            <w:r>
              <w:rPr>
                <w:spacing w:val="2"/>
              </w:rPr>
              <w:t>0.03L</w:t>
            </w:r>
          </w:p>
        </w:tc>
        <w:tc>
          <w:tcPr>
            <w:tcW w:w="1113" w:type="dxa"/>
            <w:vAlign w:val="top"/>
          </w:tcPr>
          <w:p>
            <w:pPr>
              <w:pStyle w:val="TableText"/>
              <w:ind w:left="312"/>
              <w:spacing w:before="70" w:line="195" w:lineRule="auto"/>
              <w:rPr/>
            </w:pPr>
            <w:r>
              <w:rPr>
                <w:spacing w:val="3"/>
              </w:rPr>
              <w:t>0.03L</w:t>
            </w:r>
          </w:p>
        </w:tc>
        <w:tc>
          <w:tcPr>
            <w:tcW w:w="1430" w:type="dxa"/>
            <w:vAlign w:val="top"/>
          </w:tcPr>
          <w:p>
            <w:pPr>
              <w:pStyle w:val="TableText"/>
              <w:ind w:left="605"/>
              <w:spacing w:before="70" w:line="195" w:lineRule="auto"/>
              <w:rPr/>
            </w:pPr>
            <w:r>
              <w:rPr>
                <w:spacing w:val="-4"/>
              </w:rPr>
              <w:t>1.5</w:t>
            </w:r>
          </w:p>
        </w:tc>
      </w:tr>
      <w:tr>
        <w:trPr>
          <w:trHeight w:val="278" w:hRule="atLeast"/>
        </w:trPr>
        <w:tc>
          <w:tcPr>
            <w:tcW w:w="959" w:type="dxa"/>
            <w:vAlign w:val="top"/>
          </w:tcPr>
          <w:p>
            <w:pPr>
              <w:ind w:left="379"/>
              <w:spacing w:before="35" w:line="215" w:lineRule="auto"/>
              <w:rPr>
                <w:rFonts w:ascii="SimSun" w:hAnsi="SimSun" w:eastAsia="SimSun" w:cs="SimSun"/>
                <w:sz w:val="20"/>
                <w:szCs w:val="20"/>
              </w:rPr>
            </w:pPr>
            <w:r>
              <w:rPr>
                <w:rFonts w:ascii="SimSun" w:hAnsi="SimSun" w:eastAsia="SimSun" w:cs="SimSun"/>
                <w:sz w:val="20"/>
                <w:szCs w:val="20"/>
                <w:spacing w:val="1"/>
              </w:rPr>
              <w:t>铍</w:t>
            </w:r>
          </w:p>
        </w:tc>
        <w:tc>
          <w:tcPr>
            <w:tcW w:w="1003" w:type="dxa"/>
            <w:vAlign w:val="top"/>
          </w:tcPr>
          <w:p>
            <w:pPr>
              <w:pStyle w:val="TableText"/>
              <w:ind w:left="84"/>
              <w:spacing w:before="52" w:line="214" w:lineRule="auto"/>
              <w:rPr/>
            </w:pPr>
            <w:r>
              <w:rPr>
                <w:spacing w:val="3"/>
              </w:rPr>
              <w:t>2.0×10</w:t>
            </w:r>
            <w:r>
              <w:rPr>
                <w:sz w:val="13"/>
                <w:szCs w:val="13"/>
                <w:spacing w:val="3"/>
                <w:position w:val="6"/>
              </w:rPr>
              <w:t>-5</w:t>
            </w:r>
            <w:r>
              <w:rPr>
                <w:spacing w:val="3"/>
              </w:rPr>
              <w:t>L</w:t>
            </w:r>
          </w:p>
        </w:tc>
        <w:tc>
          <w:tcPr>
            <w:tcW w:w="1163" w:type="dxa"/>
            <w:vAlign w:val="top"/>
          </w:tcPr>
          <w:p>
            <w:pPr>
              <w:pStyle w:val="TableText"/>
              <w:ind w:left="166"/>
              <w:spacing w:before="52" w:line="214" w:lineRule="auto"/>
              <w:rPr/>
            </w:pPr>
            <w:r>
              <w:rPr>
                <w:spacing w:val="3"/>
              </w:rPr>
              <w:t>2.0×10</w:t>
            </w:r>
            <w:r>
              <w:rPr>
                <w:sz w:val="13"/>
                <w:szCs w:val="13"/>
                <w:spacing w:val="3"/>
                <w:position w:val="6"/>
              </w:rPr>
              <w:t>-5</w:t>
            </w:r>
            <w:r>
              <w:rPr>
                <w:spacing w:val="3"/>
              </w:rPr>
              <w:t>L</w:t>
            </w:r>
          </w:p>
        </w:tc>
        <w:tc>
          <w:tcPr>
            <w:tcW w:w="1146" w:type="dxa"/>
            <w:vAlign w:val="top"/>
          </w:tcPr>
          <w:p>
            <w:pPr>
              <w:pStyle w:val="TableText"/>
              <w:ind w:left="155"/>
              <w:spacing w:before="52" w:line="214" w:lineRule="auto"/>
              <w:rPr/>
            </w:pPr>
            <w:r>
              <w:rPr>
                <w:spacing w:val="4"/>
              </w:rPr>
              <w:t>2.0×10</w:t>
            </w:r>
            <w:r>
              <w:rPr>
                <w:sz w:val="13"/>
                <w:szCs w:val="13"/>
                <w:spacing w:val="4"/>
                <w:position w:val="6"/>
              </w:rPr>
              <w:t>-5</w:t>
            </w:r>
            <w:r>
              <w:rPr>
                <w:spacing w:val="4"/>
              </w:rPr>
              <w:t>L</w:t>
            </w:r>
          </w:p>
        </w:tc>
        <w:tc>
          <w:tcPr>
            <w:tcW w:w="1139" w:type="dxa"/>
            <w:vAlign w:val="top"/>
          </w:tcPr>
          <w:p>
            <w:pPr>
              <w:pStyle w:val="TableText"/>
              <w:ind w:left="156"/>
              <w:spacing w:before="52" w:line="214" w:lineRule="auto"/>
              <w:rPr/>
            </w:pPr>
            <w:r>
              <w:rPr>
                <w:spacing w:val="3"/>
              </w:rPr>
              <w:t>2.0×10</w:t>
            </w:r>
            <w:r>
              <w:rPr>
                <w:sz w:val="13"/>
                <w:szCs w:val="13"/>
                <w:spacing w:val="3"/>
                <w:position w:val="6"/>
              </w:rPr>
              <w:t>-5</w:t>
            </w:r>
            <w:r>
              <w:rPr>
                <w:spacing w:val="3"/>
              </w:rPr>
              <w:t>L</w:t>
            </w:r>
          </w:p>
        </w:tc>
        <w:tc>
          <w:tcPr>
            <w:tcW w:w="1173" w:type="dxa"/>
            <w:vAlign w:val="top"/>
          </w:tcPr>
          <w:p>
            <w:pPr>
              <w:pStyle w:val="TableText"/>
              <w:ind w:left="174"/>
              <w:spacing w:before="52" w:line="214" w:lineRule="auto"/>
              <w:rPr/>
            </w:pPr>
            <w:r>
              <w:rPr>
                <w:spacing w:val="3"/>
              </w:rPr>
              <w:t>2.0×10</w:t>
            </w:r>
            <w:r>
              <w:rPr>
                <w:sz w:val="13"/>
                <w:szCs w:val="13"/>
                <w:spacing w:val="3"/>
                <w:position w:val="6"/>
              </w:rPr>
              <w:t>-5</w:t>
            </w:r>
            <w:r>
              <w:rPr>
                <w:spacing w:val="3"/>
              </w:rPr>
              <w:t>L</w:t>
            </w:r>
          </w:p>
        </w:tc>
        <w:tc>
          <w:tcPr>
            <w:tcW w:w="1113" w:type="dxa"/>
            <w:vAlign w:val="top"/>
          </w:tcPr>
          <w:p>
            <w:pPr>
              <w:pStyle w:val="TableText"/>
              <w:ind w:left="141"/>
              <w:spacing w:before="52" w:line="214" w:lineRule="auto"/>
              <w:rPr/>
            </w:pPr>
            <w:r>
              <w:rPr>
                <w:spacing w:val="4"/>
              </w:rPr>
              <w:t>2.0×10</w:t>
            </w:r>
            <w:r>
              <w:rPr>
                <w:sz w:val="13"/>
                <w:szCs w:val="13"/>
                <w:spacing w:val="4"/>
                <w:position w:val="6"/>
              </w:rPr>
              <w:t>-5</w:t>
            </w:r>
            <w:r>
              <w:rPr>
                <w:spacing w:val="4"/>
              </w:rPr>
              <w:t>L</w:t>
            </w:r>
          </w:p>
        </w:tc>
        <w:tc>
          <w:tcPr>
            <w:tcW w:w="1430" w:type="dxa"/>
            <w:vAlign w:val="top"/>
          </w:tcPr>
          <w:p>
            <w:pPr>
              <w:pStyle w:val="TableText"/>
              <w:ind w:left="483"/>
              <w:spacing w:before="70" w:line="195" w:lineRule="auto"/>
              <w:rPr/>
            </w:pPr>
            <w:r>
              <w:rPr>
                <w:spacing w:val="3"/>
              </w:rPr>
              <w:t>0.005</w:t>
            </w:r>
          </w:p>
        </w:tc>
      </w:tr>
      <w:tr>
        <w:trPr>
          <w:trHeight w:val="278" w:hRule="atLeast"/>
        </w:trPr>
        <w:tc>
          <w:tcPr>
            <w:tcW w:w="959" w:type="dxa"/>
            <w:vAlign w:val="top"/>
          </w:tcPr>
          <w:p>
            <w:pPr>
              <w:ind w:left="379"/>
              <w:spacing w:before="35" w:line="215" w:lineRule="auto"/>
              <w:rPr>
                <w:rFonts w:ascii="SimSun" w:hAnsi="SimSun" w:eastAsia="SimSun" w:cs="SimSun"/>
                <w:sz w:val="20"/>
                <w:szCs w:val="20"/>
              </w:rPr>
            </w:pPr>
            <w:r>
              <w:rPr>
                <w:rFonts w:ascii="SimSun" w:hAnsi="SimSun" w:eastAsia="SimSun" w:cs="SimSun"/>
                <w:sz w:val="20"/>
                <w:szCs w:val="20"/>
                <w:spacing w:val="1"/>
              </w:rPr>
              <w:t>钡</w:t>
            </w:r>
          </w:p>
        </w:tc>
        <w:tc>
          <w:tcPr>
            <w:tcW w:w="1003" w:type="dxa"/>
            <w:vAlign w:val="top"/>
          </w:tcPr>
          <w:p>
            <w:pPr>
              <w:pStyle w:val="TableText"/>
              <w:ind w:left="84"/>
              <w:spacing w:before="50" w:line="216" w:lineRule="auto"/>
              <w:rPr/>
            </w:pPr>
            <w:r>
              <w:rPr>
                <w:spacing w:val="3"/>
              </w:rPr>
              <w:t>2.5×10</w:t>
            </w:r>
            <w:r>
              <w:rPr>
                <w:sz w:val="13"/>
                <w:szCs w:val="13"/>
                <w:spacing w:val="3"/>
                <w:position w:val="6"/>
              </w:rPr>
              <w:t>-3</w:t>
            </w:r>
            <w:r>
              <w:rPr>
                <w:spacing w:val="3"/>
              </w:rPr>
              <w:t>L</w:t>
            </w:r>
          </w:p>
        </w:tc>
        <w:tc>
          <w:tcPr>
            <w:tcW w:w="1163" w:type="dxa"/>
            <w:vAlign w:val="top"/>
          </w:tcPr>
          <w:p>
            <w:pPr>
              <w:pStyle w:val="TableText"/>
              <w:ind w:left="166"/>
              <w:spacing w:before="50" w:line="216" w:lineRule="auto"/>
              <w:rPr/>
            </w:pPr>
            <w:r>
              <w:rPr>
                <w:spacing w:val="3"/>
              </w:rPr>
              <w:t>2.5×10</w:t>
            </w:r>
            <w:r>
              <w:rPr>
                <w:sz w:val="13"/>
                <w:szCs w:val="13"/>
                <w:spacing w:val="3"/>
                <w:position w:val="6"/>
              </w:rPr>
              <w:t>-3</w:t>
            </w:r>
            <w:r>
              <w:rPr>
                <w:spacing w:val="3"/>
              </w:rPr>
              <w:t>L</w:t>
            </w:r>
          </w:p>
        </w:tc>
        <w:tc>
          <w:tcPr>
            <w:tcW w:w="1146" w:type="dxa"/>
            <w:vAlign w:val="top"/>
          </w:tcPr>
          <w:p>
            <w:pPr>
              <w:pStyle w:val="TableText"/>
              <w:ind w:left="155"/>
              <w:spacing w:before="50" w:line="216" w:lineRule="auto"/>
              <w:rPr/>
            </w:pPr>
            <w:r>
              <w:rPr>
                <w:spacing w:val="4"/>
              </w:rPr>
              <w:t>2.5×10</w:t>
            </w:r>
            <w:r>
              <w:rPr>
                <w:sz w:val="13"/>
                <w:szCs w:val="13"/>
                <w:spacing w:val="4"/>
                <w:position w:val="6"/>
              </w:rPr>
              <w:t>-3</w:t>
            </w:r>
            <w:r>
              <w:rPr>
                <w:spacing w:val="4"/>
              </w:rPr>
              <w:t>L</w:t>
            </w:r>
          </w:p>
        </w:tc>
        <w:tc>
          <w:tcPr>
            <w:tcW w:w="1139" w:type="dxa"/>
            <w:vAlign w:val="top"/>
          </w:tcPr>
          <w:p>
            <w:pPr>
              <w:pStyle w:val="TableText"/>
              <w:ind w:left="156"/>
              <w:spacing w:before="50" w:line="216" w:lineRule="auto"/>
              <w:rPr/>
            </w:pPr>
            <w:r>
              <w:rPr>
                <w:spacing w:val="3"/>
              </w:rPr>
              <w:t>2.5×10</w:t>
            </w:r>
            <w:r>
              <w:rPr>
                <w:sz w:val="13"/>
                <w:szCs w:val="13"/>
                <w:spacing w:val="3"/>
                <w:position w:val="6"/>
              </w:rPr>
              <w:t>-3</w:t>
            </w:r>
            <w:r>
              <w:rPr>
                <w:spacing w:val="3"/>
              </w:rPr>
              <w:t>L</w:t>
            </w:r>
          </w:p>
        </w:tc>
        <w:tc>
          <w:tcPr>
            <w:tcW w:w="1173" w:type="dxa"/>
            <w:vAlign w:val="top"/>
          </w:tcPr>
          <w:p>
            <w:pPr>
              <w:pStyle w:val="TableText"/>
              <w:ind w:left="174"/>
              <w:spacing w:before="50" w:line="216" w:lineRule="auto"/>
              <w:rPr/>
            </w:pPr>
            <w:r>
              <w:rPr>
                <w:spacing w:val="3"/>
              </w:rPr>
              <w:t>2.5×10</w:t>
            </w:r>
            <w:r>
              <w:rPr>
                <w:sz w:val="13"/>
                <w:szCs w:val="13"/>
                <w:spacing w:val="3"/>
                <w:position w:val="6"/>
              </w:rPr>
              <w:t>-3</w:t>
            </w:r>
            <w:r>
              <w:rPr>
                <w:spacing w:val="3"/>
              </w:rPr>
              <w:t>L</w:t>
            </w:r>
          </w:p>
        </w:tc>
        <w:tc>
          <w:tcPr>
            <w:tcW w:w="1113" w:type="dxa"/>
            <w:vAlign w:val="top"/>
          </w:tcPr>
          <w:p>
            <w:pPr>
              <w:pStyle w:val="TableText"/>
              <w:ind w:left="141"/>
              <w:spacing w:before="50" w:line="216" w:lineRule="auto"/>
              <w:rPr/>
            </w:pPr>
            <w:r>
              <w:rPr>
                <w:spacing w:val="4"/>
              </w:rPr>
              <w:t>2.5×10</w:t>
            </w:r>
            <w:r>
              <w:rPr>
                <w:sz w:val="13"/>
                <w:szCs w:val="13"/>
                <w:spacing w:val="4"/>
                <w:position w:val="6"/>
              </w:rPr>
              <w:t>-3</w:t>
            </w:r>
            <w:r>
              <w:rPr>
                <w:spacing w:val="4"/>
              </w:rPr>
              <w:t>L</w:t>
            </w:r>
          </w:p>
        </w:tc>
        <w:tc>
          <w:tcPr>
            <w:tcW w:w="1430" w:type="dxa"/>
            <w:vAlign w:val="top"/>
          </w:tcPr>
          <w:p>
            <w:pPr>
              <w:pStyle w:val="TableText"/>
              <w:ind w:left="684"/>
              <w:spacing w:before="66" w:line="199" w:lineRule="auto"/>
              <w:rPr/>
            </w:pPr>
            <w:r>
              <w:rPr>
                <w:spacing w:val="2"/>
              </w:rPr>
              <w:t>/</w:t>
            </w:r>
          </w:p>
        </w:tc>
      </w:tr>
    </w:tbl>
    <w:p>
      <w:pPr>
        <w:pStyle w:val="BodyText"/>
        <w:spacing w:line="106" w:lineRule="exact"/>
        <w:rPr>
          <w:sz w:val="9"/>
        </w:rPr>
      </w:pPr>
      <w:r/>
    </w:p>
    <w:p>
      <w:pPr>
        <w:spacing w:line="106" w:lineRule="exact"/>
        <w:sectPr>
          <w:headerReference w:type="default" r:id="rId452"/>
          <w:footerReference w:type="default" r:id="rId453"/>
          <w:pgSz w:w="11906" w:h="16838"/>
          <w:pgMar w:top="1170" w:right="1193" w:bottom="1080" w:left="1305" w:header="837" w:footer="918" w:gutter="0"/>
        </w:sectPr>
        <w:rPr>
          <w:sz w:val="9"/>
          <w:szCs w:val="9"/>
        </w:rPr>
      </w:pPr>
    </w:p>
    <w:p>
      <w:pPr>
        <w:spacing w:before="6"/>
        <w:rPr/>
      </w:pPr>
      <w:r/>
    </w:p>
    <w:tbl>
      <w:tblPr>
        <w:tblStyle w:val="TableNormal"/>
        <w:tblW w:w="912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59"/>
        <w:gridCol w:w="1003"/>
        <w:gridCol w:w="1163"/>
        <w:gridCol w:w="1146"/>
        <w:gridCol w:w="1139"/>
        <w:gridCol w:w="1173"/>
        <w:gridCol w:w="1113"/>
        <w:gridCol w:w="1430"/>
      </w:tblGrid>
      <w:tr>
        <w:trPr>
          <w:trHeight w:val="282" w:hRule="atLeast"/>
        </w:trPr>
        <w:tc>
          <w:tcPr>
            <w:tcW w:w="959" w:type="dxa"/>
            <w:vAlign w:val="top"/>
          </w:tcPr>
          <w:p>
            <w:pPr>
              <w:ind w:left="380"/>
              <w:spacing w:before="33" w:line="220" w:lineRule="auto"/>
              <w:rPr>
                <w:rFonts w:ascii="SimSun" w:hAnsi="SimSun" w:eastAsia="SimSun" w:cs="SimSun"/>
                <w:sz w:val="20"/>
                <w:szCs w:val="20"/>
              </w:rPr>
            </w:pPr>
            <w:bookmarkStart w:name="bookmark100" w:id="61"/>
            <w:bookmarkEnd w:id="61"/>
            <w:r>
              <w:rPr>
                <w:rFonts w:ascii="SimSun" w:hAnsi="SimSun" w:eastAsia="SimSun" w:cs="SimSun"/>
                <w:sz w:val="20"/>
                <w:szCs w:val="20"/>
              </w:rPr>
              <w:t>银</w:t>
            </w:r>
          </w:p>
        </w:tc>
        <w:tc>
          <w:tcPr>
            <w:tcW w:w="1003" w:type="dxa"/>
            <w:vAlign w:val="top"/>
          </w:tcPr>
          <w:p>
            <w:pPr>
              <w:pStyle w:val="TableText"/>
              <w:ind w:left="255"/>
              <w:spacing w:before="69" w:line="195" w:lineRule="auto"/>
              <w:rPr/>
            </w:pPr>
            <w:r>
              <w:rPr>
                <w:spacing w:val="3"/>
              </w:rPr>
              <w:t>0.03L</w:t>
            </w:r>
          </w:p>
        </w:tc>
        <w:tc>
          <w:tcPr>
            <w:tcW w:w="1163" w:type="dxa"/>
            <w:vAlign w:val="top"/>
          </w:tcPr>
          <w:p>
            <w:pPr>
              <w:pStyle w:val="TableText"/>
              <w:ind w:left="337"/>
              <w:spacing w:before="69" w:line="195" w:lineRule="auto"/>
              <w:rPr/>
            </w:pPr>
            <w:r>
              <w:rPr>
                <w:spacing w:val="3"/>
              </w:rPr>
              <w:t>0.03L</w:t>
            </w:r>
          </w:p>
        </w:tc>
        <w:tc>
          <w:tcPr>
            <w:tcW w:w="1146" w:type="dxa"/>
            <w:vAlign w:val="top"/>
          </w:tcPr>
          <w:p>
            <w:pPr>
              <w:pStyle w:val="TableText"/>
              <w:ind w:left="326"/>
              <w:spacing w:before="69" w:line="195" w:lineRule="auto"/>
              <w:rPr/>
            </w:pPr>
            <w:r>
              <w:rPr>
                <w:spacing w:val="3"/>
              </w:rPr>
              <w:t>0.03L</w:t>
            </w:r>
          </w:p>
        </w:tc>
        <w:tc>
          <w:tcPr>
            <w:tcW w:w="1139" w:type="dxa"/>
            <w:vAlign w:val="top"/>
          </w:tcPr>
          <w:p>
            <w:pPr>
              <w:pStyle w:val="TableText"/>
              <w:ind w:left="327"/>
              <w:spacing w:before="69" w:line="195" w:lineRule="auto"/>
              <w:rPr/>
            </w:pPr>
            <w:r>
              <w:rPr>
                <w:spacing w:val="3"/>
              </w:rPr>
              <w:t>0.03L</w:t>
            </w:r>
          </w:p>
        </w:tc>
        <w:tc>
          <w:tcPr>
            <w:tcW w:w="1173" w:type="dxa"/>
            <w:vAlign w:val="top"/>
          </w:tcPr>
          <w:p>
            <w:pPr>
              <w:pStyle w:val="TableText"/>
              <w:ind w:left="345"/>
              <w:spacing w:before="69" w:line="195" w:lineRule="auto"/>
              <w:rPr/>
            </w:pPr>
            <w:r>
              <w:rPr>
                <w:spacing w:val="2"/>
              </w:rPr>
              <w:t>0.03L</w:t>
            </w:r>
          </w:p>
        </w:tc>
        <w:tc>
          <w:tcPr>
            <w:tcW w:w="1113" w:type="dxa"/>
            <w:vAlign w:val="top"/>
          </w:tcPr>
          <w:p>
            <w:pPr>
              <w:pStyle w:val="TableText"/>
              <w:ind w:left="312"/>
              <w:spacing w:before="69" w:line="195" w:lineRule="auto"/>
              <w:rPr/>
            </w:pPr>
            <w:r>
              <w:rPr>
                <w:spacing w:val="3"/>
              </w:rPr>
              <w:t>0.03L</w:t>
            </w:r>
          </w:p>
        </w:tc>
        <w:tc>
          <w:tcPr>
            <w:tcW w:w="1430" w:type="dxa"/>
            <w:vAlign w:val="top"/>
          </w:tcPr>
          <w:p>
            <w:pPr>
              <w:pStyle w:val="TableText"/>
              <w:ind w:left="588"/>
              <w:spacing w:before="69" w:line="195" w:lineRule="auto"/>
              <w:rPr/>
            </w:pPr>
            <w:r>
              <w:rPr>
                <w:spacing w:val="1"/>
              </w:rPr>
              <w:t>0.5</w:t>
            </w:r>
          </w:p>
        </w:tc>
      </w:tr>
      <w:tr>
        <w:trPr>
          <w:trHeight w:val="278" w:hRule="atLeast"/>
        </w:trPr>
        <w:tc>
          <w:tcPr>
            <w:tcW w:w="959" w:type="dxa"/>
            <w:vAlign w:val="top"/>
          </w:tcPr>
          <w:p>
            <w:pPr>
              <w:ind w:left="379"/>
              <w:spacing w:before="29" w:line="220" w:lineRule="auto"/>
              <w:rPr>
                <w:rFonts w:ascii="SimSun" w:hAnsi="SimSun" w:eastAsia="SimSun" w:cs="SimSun"/>
                <w:sz w:val="20"/>
                <w:szCs w:val="20"/>
              </w:rPr>
            </w:pPr>
            <w:r>
              <w:rPr>
                <w:rFonts w:ascii="SimSun" w:hAnsi="SimSun" w:eastAsia="SimSun" w:cs="SimSun"/>
                <w:sz w:val="20"/>
                <w:szCs w:val="20"/>
              </w:rPr>
              <w:t>锰</w:t>
            </w:r>
          </w:p>
        </w:tc>
        <w:tc>
          <w:tcPr>
            <w:tcW w:w="1003" w:type="dxa"/>
            <w:vAlign w:val="top"/>
          </w:tcPr>
          <w:p>
            <w:pPr>
              <w:pStyle w:val="TableText"/>
              <w:ind w:left="320"/>
              <w:spacing w:before="65" w:line="195" w:lineRule="auto"/>
              <w:rPr/>
            </w:pPr>
            <w:r>
              <w:rPr>
                <w:spacing w:val="2"/>
              </w:rPr>
              <w:t>0.04</w:t>
            </w:r>
          </w:p>
        </w:tc>
        <w:tc>
          <w:tcPr>
            <w:tcW w:w="1163" w:type="dxa"/>
            <w:vAlign w:val="top"/>
          </w:tcPr>
          <w:p>
            <w:pPr>
              <w:pStyle w:val="TableText"/>
              <w:ind w:left="402"/>
              <w:spacing w:before="65" w:line="195" w:lineRule="auto"/>
              <w:rPr/>
            </w:pPr>
            <w:r>
              <w:rPr>
                <w:spacing w:val="2"/>
              </w:rPr>
              <w:t>0.04</w:t>
            </w:r>
          </w:p>
        </w:tc>
        <w:tc>
          <w:tcPr>
            <w:tcW w:w="1146" w:type="dxa"/>
            <w:vAlign w:val="top"/>
          </w:tcPr>
          <w:p>
            <w:pPr>
              <w:pStyle w:val="TableText"/>
              <w:ind w:left="393"/>
              <w:spacing w:before="65" w:line="195" w:lineRule="auto"/>
              <w:rPr/>
            </w:pPr>
            <w:r>
              <w:rPr>
                <w:spacing w:val="2"/>
              </w:rPr>
              <w:t>0.04</w:t>
            </w:r>
          </w:p>
        </w:tc>
        <w:tc>
          <w:tcPr>
            <w:tcW w:w="1139" w:type="dxa"/>
            <w:vAlign w:val="top"/>
          </w:tcPr>
          <w:p>
            <w:pPr>
              <w:pStyle w:val="TableText"/>
              <w:ind w:left="392"/>
              <w:spacing w:before="65" w:line="195" w:lineRule="auto"/>
              <w:rPr/>
            </w:pPr>
            <w:r>
              <w:rPr>
                <w:spacing w:val="2"/>
              </w:rPr>
              <w:t>0.04</w:t>
            </w:r>
          </w:p>
        </w:tc>
        <w:tc>
          <w:tcPr>
            <w:tcW w:w="1173" w:type="dxa"/>
            <w:vAlign w:val="top"/>
          </w:tcPr>
          <w:p>
            <w:pPr>
              <w:pStyle w:val="TableText"/>
              <w:ind w:left="405"/>
              <w:spacing w:before="65" w:line="195" w:lineRule="auto"/>
              <w:rPr/>
            </w:pPr>
            <w:r>
              <w:rPr>
                <w:spacing w:val="3"/>
              </w:rPr>
              <w:t>0.04</w:t>
            </w:r>
          </w:p>
        </w:tc>
        <w:tc>
          <w:tcPr>
            <w:tcW w:w="1113" w:type="dxa"/>
            <w:vAlign w:val="top"/>
          </w:tcPr>
          <w:p>
            <w:pPr>
              <w:pStyle w:val="TableText"/>
              <w:ind w:left="379"/>
              <w:spacing w:before="65" w:line="195" w:lineRule="auto"/>
              <w:rPr/>
            </w:pPr>
            <w:r>
              <w:rPr>
                <w:spacing w:val="2"/>
              </w:rPr>
              <w:t>0.04</w:t>
            </w:r>
          </w:p>
        </w:tc>
        <w:tc>
          <w:tcPr>
            <w:tcW w:w="1430" w:type="dxa"/>
            <w:vAlign w:val="top"/>
          </w:tcPr>
          <w:p>
            <w:pPr>
              <w:pStyle w:val="TableText"/>
              <w:ind w:left="664"/>
              <w:spacing w:before="66" w:line="195" w:lineRule="auto"/>
              <w:rPr/>
            </w:pPr>
            <w:r>
              <w:rPr/>
              <w:t>2</w:t>
            </w:r>
          </w:p>
        </w:tc>
      </w:tr>
      <w:tr>
        <w:trPr>
          <w:trHeight w:val="275" w:hRule="atLeast"/>
        </w:trPr>
        <w:tc>
          <w:tcPr>
            <w:tcW w:w="959" w:type="dxa"/>
            <w:vAlign w:val="top"/>
          </w:tcPr>
          <w:p>
            <w:pPr>
              <w:ind w:left="170"/>
              <w:spacing w:before="27" w:line="219" w:lineRule="auto"/>
              <w:rPr>
                <w:rFonts w:ascii="SimSun" w:hAnsi="SimSun" w:eastAsia="SimSun" w:cs="SimSun"/>
                <w:sz w:val="20"/>
                <w:szCs w:val="20"/>
              </w:rPr>
            </w:pPr>
            <w:r>
              <w:rPr>
                <w:rFonts w:ascii="SimSun" w:hAnsi="SimSun" w:eastAsia="SimSun" w:cs="SimSun"/>
                <w:sz w:val="20"/>
                <w:szCs w:val="20"/>
                <w:spacing w:val="6"/>
              </w:rPr>
              <w:t>六价铬</w:t>
            </w:r>
          </w:p>
        </w:tc>
        <w:tc>
          <w:tcPr>
            <w:tcW w:w="1003" w:type="dxa"/>
            <w:vAlign w:val="top"/>
          </w:tcPr>
          <w:p>
            <w:pPr>
              <w:pStyle w:val="TableText"/>
              <w:ind w:left="267"/>
              <w:spacing w:before="63" w:line="195" w:lineRule="auto"/>
              <w:rPr/>
            </w:pPr>
            <w:r>
              <w:rPr>
                <w:spacing w:val="3"/>
              </w:rPr>
              <w:t>0.005</w:t>
            </w:r>
          </w:p>
        </w:tc>
        <w:tc>
          <w:tcPr>
            <w:tcW w:w="1163" w:type="dxa"/>
            <w:vAlign w:val="top"/>
          </w:tcPr>
          <w:p>
            <w:pPr>
              <w:pStyle w:val="TableText"/>
              <w:ind w:left="349"/>
              <w:spacing w:before="63" w:line="195" w:lineRule="auto"/>
              <w:rPr/>
            </w:pPr>
            <w:r>
              <w:rPr>
                <w:spacing w:val="2"/>
              </w:rPr>
              <w:t>0.004</w:t>
            </w:r>
          </w:p>
        </w:tc>
        <w:tc>
          <w:tcPr>
            <w:tcW w:w="1146" w:type="dxa"/>
            <w:vAlign w:val="top"/>
          </w:tcPr>
          <w:p>
            <w:pPr>
              <w:pStyle w:val="TableText"/>
              <w:ind w:left="338"/>
              <w:spacing w:before="63" w:line="195" w:lineRule="auto"/>
              <w:rPr/>
            </w:pPr>
            <w:r>
              <w:rPr>
                <w:spacing w:val="3"/>
              </w:rPr>
              <w:t>0.005</w:t>
            </w:r>
          </w:p>
        </w:tc>
        <w:tc>
          <w:tcPr>
            <w:tcW w:w="1139" w:type="dxa"/>
            <w:vAlign w:val="top"/>
          </w:tcPr>
          <w:p>
            <w:pPr>
              <w:pStyle w:val="TableText"/>
              <w:ind w:left="337"/>
              <w:spacing w:before="63" w:line="195" w:lineRule="auto"/>
              <w:rPr/>
            </w:pPr>
            <w:r>
              <w:rPr>
                <w:spacing w:val="3"/>
              </w:rPr>
              <w:t>0.004</w:t>
            </w:r>
          </w:p>
        </w:tc>
        <w:tc>
          <w:tcPr>
            <w:tcW w:w="1173" w:type="dxa"/>
            <w:vAlign w:val="top"/>
          </w:tcPr>
          <w:p>
            <w:pPr>
              <w:pStyle w:val="TableText"/>
              <w:ind w:left="357"/>
              <w:spacing w:before="63" w:line="195" w:lineRule="auto"/>
              <w:rPr/>
            </w:pPr>
            <w:r>
              <w:rPr>
                <w:spacing w:val="2"/>
              </w:rPr>
              <w:t>0.004</w:t>
            </w:r>
          </w:p>
        </w:tc>
        <w:tc>
          <w:tcPr>
            <w:tcW w:w="1113" w:type="dxa"/>
            <w:vAlign w:val="top"/>
          </w:tcPr>
          <w:p>
            <w:pPr>
              <w:pStyle w:val="TableText"/>
              <w:ind w:left="324"/>
              <w:spacing w:before="63" w:line="195" w:lineRule="auto"/>
              <w:rPr/>
            </w:pPr>
            <w:r>
              <w:rPr>
                <w:spacing w:val="3"/>
              </w:rPr>
              <w:t>0.004</w:t>
            </w:r>
          </w:p>
        </w:tc>
        <w:tc>
          <w:tcPr>
            <w:tcW w:w="1430" w:type="dxa"/>
            <w:vAlign w:val="top"/>
          </w:tcPr>
          <w:p>
            <w:pPr>
              <w:pStyle w:val="TableText"/>
              <w:ind w:left="588"/>
              <w:spacing w:before="63" w:line="195" w:lineRule="auto"/>
              <w:rPr/>
            </w:pPr>
            <w:r>
              <w:rPr>
                <w:spacing w:val="1"/>
              </w:rPr>
              <w:t>0.5</w:t>
            </w:r>
          </w:p>
        </w:tc>
      </w:tr>
      <w:tr>
        <w:trPr>
          <w:trHeight w:val="278" w:hRule="atLeast"/>
        </w:trPr>
        <w:tc>
          <w:tcPr>
            <w:tcW w:w="959" w:type="dxa"/>
            <w:vAlign w:val="top"/>
          </w:tcPr>
          <w:p>
            <w:pPr>
              <w:ind w:left="167"/>
              <w:spacing w:before="30" w:line="219" w:lineRule="auto"/>
              <w:rPr>
                <w:rFonts w:ascii="SimSun" w:hAnsi="SimSun" w:eastAsia="SimSun" w:cs="SimSun"/>
                <w:sz w:val="20"/>
                <w:szCs w:val="20"/>
              </w:rPr>
            </w:pPr>
            <w:r>
              <w:rPr>
                <w:rFonts w:ascii="SimSun" w:hAnsi="SimSun" w:eastAsia="SimSun" w:cs="SimSun"/>
                <w:sz w:val="20"/>
                <w:szCs w:val="20"/>
                <w:spacing w:val="7"/>
              </w:rPr>
              <w:t>氰化物</w:t>
            </w:r>
          </w:p>
        </w:tc>
        <w:tc>
          <w:tcPr>
            <w:tcW w:w="1003" w:type="dxa"/>
            <w:vAlign w:val="top"/>
          </w:tcPr>
          <w:p>
            <w:pPr>
              <w:pStyle w:val="TableText"/>
              <w:ind w:left="205"/>
              <w:spacing w:before="66" w:line="195" w:lineRule="auto"/>
              <w:rPr/>
            </w:pPr>
            <w:r>
              <w:rPr>
                <w:spacing w:val="3"/>
              </w:rPr>
              <w:t>0.004L</w:t>
            </w:r>
          </w:p>
        </w:tc>
        <w:tc>
          <w:tcPr>
            <w:tcW w:w="1163" w:type="dxa"/>
            <w:vAlign w:val="top"/>
          </w:tcPr>
          <w:p>
            <w:pPr>
              <w:pStyle w:val="TableText"/>
              <w:ind w:left="284"/>
              <w:spacing w:before="66" w:line="195" w:lineRule="auto"/>
              <w:rPr/>
            </w:pPr>
            <w:r>
              <w:rPr>
                <w:spacing w:val="3"/>
              </w:rPr>
              <w:t>0.004L</w:t>
            </w:r>
          </w:p>
        </w:tc>
        <w:tc>
          <w:tcPr>
            <w:tcW w:w="1146" w:type="dxa"/>
            <w:vAlign w:val="top"/>
          </w:tcPr>
          <w:p>
            <w:pPr>
              <w:pStyle w:val="TableText"/>
              <w:ind w:left="278"/>
              <w:spacing w:before="66" w:line="195" w:lineRule="auto"/>
              <w:rPr/>
            </w:pPr>
            <w:r>
              <w:rPr>
                <w:spacing w:val="3"/>
              </w:rPr>
              <w:t>0.004L</w:t>
            </w:r>
          </w:p>
        </w:tc>
        <w:tc>
          <w:tcPr>
            <w:tcW w:w="1139" w:type="dxa"/>
            <w:vAlign w:val="top"/>
          </w:tcPr>
          <w:p>
            <w:pPr>
              <w:pStyle w:val="TableText"/>
              <w:ind w:left="272"/>
              <w:spacing w:before="66" w:line="195" w:lineRule="auto"/>
              <w:rPr/>
            </w:pPr>
            <w:r>
              <w:rPr>
                <w:spacing w:val="3"/>
              </w:rPr>
              <w:t>0.004L</w:t>
            </w:r>
          </w:p>
        </w:tc>
        <w:tc>
          <w:tcPr>
            <w:tcW w:w="1173" w:type="dxa"/>
            <w:vAlign w:val="top"/>
          </w:tcPr>
          <w:p>
            <w:pPr>
              <w:pStyle w:val="TableText"/>
              <w:ind w:left="292"/>
              <w:spacing w:before="66" w:line="195" w:lineRule="auto"/>
              <w:rPr/>
            </w:pPr>
            <w:r>
              <w:rPr>
                <w:spacing w:val="3"/>
              </w:rPr>
              <w:t>0.004L</w:t>
            </w:r>
          </w:p>
        </w:tc>
        <w:tc>
          <w:tcPr>
            <w:tcW w:w="1113" w:type="dxa"/>
            <w:vAlign w:val="top"/>
          </w:tcPr>
          <w:p>
            <w:pPr>
              <w:pStyle w:val="TableText"/>
              <w:ind w:left="264"/>
              <w:spacing w:before="66" w:line="195" w:lineRule="auto"/>
              <w:rPr/>
            </w:pPr>
            <w:r>
              <w:rPr>
                <w:spacing w:val="3"/>
              </w:rPr>
              <w:t>0.004L</w:t>
            </w:r>
          </w:p>
        </w:tc>
        <w:tc>
          <w:tcPr>
            <w:tcW w:w="1430" w:type="dxa"/>
            <w:vAlign w:val="top"/>
          </w:tcPr>
          <w:p>
            <w:pPr>
              <w:pStyle w:val="TableText"/>
              <w:ind w:left="588"/>
              <w:spacing w:before="66" w:line="195" w:lineRule="auto"/>
              <w:rPr/>
            </w:pPr>
            <w:r>
              <w:rPr>
                <w:spacing w:val="1"/>
              </w:rPr>
              <w:t>0.5</w:t>
            </w:r>
          </w:p>
        </w:tc>
      </w:tr>
      <w:tr>
        <w:trPr>
          <w:trHeight w:val="278" w:hRule="atLeast"/>
        </w:trPr>
        <w:tc>
          <w:tcPr>
            <w:tcW w:w="959" w:type="dxa"/>
            <w:vAlign w:val="top"/>
          </w:tcPr>
          <w:p>
            <w:pPr>
              <w:ind w:left="167"/>
              <w:spacing w:before="30" w:line="219" w:lineRule="auto"/>
              <w:rPr>
                <w:rFonts w:ascii="SimSun" w:hAnsi="SimSun" w:eastAsia="SimSun" w:cs="SimSun"/>
                <w:sz w:val="20"/>
                <w:szCs w:val="20"/>
              </w:rPr>
            </w:pPr>
            <w:r>
              <w:rPr>
                <w:rFonts w:ascii="SimSun" w:hAnsi="SimSun" w:eastAsia="SimSun" w:cs="SimSun"/>
                <w:sz w:val="20"/>
                <w:szCs w:val="20"/>
                <w:spacing w:val="7"/>
              </w:rPr>
              <w:t>挥发酚</w:t>
            </w:r>
          </w:p>
        </w:tc>
        <w:tc>
          <w:tcPr>
            <w:tcW w:w="1003" w:type="dxa"/>
            <w:vAlign w:val="top"/>
          </w:tcPr>
          <w:p>
            <w:pPr>
              <w:pStyle w:val="TableText"/>
              <w:ind w:left="212"/>
              <w:spacing w:before="67" w:line="195" w:lineRule="auto"/>
              <w:rPr/>
            </w:pPr>
            <w:r>
              <w:rPr>
                <w:spacing w:val="3"/>
              </w:rPr>
              <w:t>0.0017</w:t>
            </w:r>
          </w:p>
        </w:tc>
        <w:tc>
          <w:tcPr>
            <w:tcW w:w="1163" w:type="dxa"/>
            <w:vAlign w:val="top"/>
          </w:tcPr>
          <w:p>
            <w:pPr>
              <w:pStyle w:val="TableText"/>
              <w:ind w:left="349"/>
              <w:spacing w:before="67" w:line="195" w:lineRule="auto"/>
              <w:rPr/>
            </w:pPr>
            <w:r>
              <w:rPr>
                <w:spacing w:val="2"/>
              </w:rPr>
              <w:t>0.003</w:t>
            </w:r>
          </w:p>
        </w:tc>
        <w:tc>
          <w:tcPr>
            <w:tcW w:w="1146" w:type="dxa"/>
            <w:vAlign w:val="top"/>
          </w:tcPr>
          <w:p>
            <w:pPr>
              <w:pStyle w:val="TableText"/>
              <w:ind w:left="338"/>
              <w:spacing w:before="67" w:line="195" w:lineRule="auto"/>
              <w:rPr/>
            </w:pPr>
            <w:r>
              <w:rPr>
                <w:spacing w:val="3"/>
              </w:rPr>
              <w:t>0.002</w:t>
            </w:r>
          </w:p>
        </w:tc>
        <w:tc>
          <w:tcPr>
            <w:tcW w:w="1139" w:type="dxa"/>
            <w:vAlign w:val="top"/>
          </w:tcPr>
          <w:p>
            <w:pPr>
              <w:pStyle w:val="TableText"/>
              <w:ind w:left="284"/>
              <w:spacing w:before="67" w:line="195" w:lineRule="auto"/>
              <w:rPr/>
            </w:pPr>
            <w:r>
              <w:rPr>
                <w:spacing w:val="3"/>
              </w:rPr>
              <w:t>0.0024</w:t>
            </w:r>
          </w:p>
        </w:tc>
        <w:tc>
          <w:tcPr>
            <w:tcW w:w="1173" w:type="dxa"/>
            <w:vAlign w:val="top"/>
          </w:tcPr>
          <w:p>
            <w:pPr>
              <w:pStyle w:val="TableText"/>
              <w:ind w:left="302"/>
              <w:spacing w:before="67" w:line="195" w:lineRule="auto"/>
              <w:rPr/>
            </w:pPr>
            <w:r>
              <w:rPr>
                <w:spacing w:val="3"/>
              </w:rPr>
              <w:t>0.0015</w:t>
            </w:r>
          </w:p>
        </w:tc>
        <w:tc>
          <w:tcPr>
            <w:tcW w:w="1113" w:type="dxa"/>
            <w:vAlign w:val="top"/>
          </w:tcPr>
          <w:p>
            <w:pPr>
              <w:pStyle w:val="TableText"/>
              <w:ind w:left="273"/>
              <w:spacing w:before="67" w:line="195" w:lineRule="auto"/>
              <w:rPr/>
            </w:pPr>
            <w:r>
              <w:rPr>
                <w:spacing w:val="3"/>
              </w:rPr>
              <w:t>0.0005</w:t>
            </w:r>
          </w:p>
        </w:tc>
        <w:tc>
          <w:tcPr>
            <w:tcW w:w="1430" w:type="dxa"/>
            <w:vAlign w:val="top"/>
          </w:tcPr>
          <w:p>
            <w:pPr>
              <w:pStyle w:val="TableText"/>
              <w:ind w:left="588"/>
              <w:spacing w:before="67" w:line="195" w:lineRule="auto"/>
              <w:rPr/>
            </w:pPr>
            <w:r>
              <w:rPr>
                <w:spacing w:val="1"/>
              </w:rPr>
              <w:t>0.5</w:t>
            </w:r>
          </w:p>
        </w:tc>
      </w:tr>
      <w:tr>
        <w:trPr>
          <w:trHeight w:val="275" w:hRule="atLeast"/>
        </w:trPr>
        <w:tc>
          <w:tcPr>
            <w:tcW w:w="959" w:type="dxa"/>
            <w:vAlign w:val="top"/>
          </w:tcPr>
          <w:p>
            <w:pPr>
              <w:ind w:left="167"/>
              <w:spacing w:before="28" w:line="218" w:lineRule="auto"/>
              <w:rPr>
                <w:rFonts w:ascii="SimSun" w:hAnsi="SimSun" w:eastAsia="SimSun" w:cs="SimSun"/>
                <w:sz w:val="20"/>
                <w:szCs w:val="20"/>
              </w:rPr>
            </w:pPr>
            <w:r>
              <w:rPr>
                <w:rFonts w:ascii="SimSun" w:hAnsi="SimSun" w:eastAsia="SimSun" w:cs="SimSun"/>
                <w:sz w:val="20"/>
                <w:szCs w:val="20"/>
                <w:spacing w:val="7"/>
              </w:rPr>
              <w:t>硫化物</w:t>
            </w:r>
          </w:p>
        </w:tc>
        <w:tc>
          <w:tcPr>
            <w:tcW w:w="1003" w:type="dxa"/>
            <w:vAlign w:val="top"/>
          </w:tcPr>
          <w:p>
            <w:pPr>
              <w:pStyle w:val="TableText"/>
              <w:ind w:left="205"/>
              <w:spacing w:before="64" w:line="195" w:lineRule="auto"/>
              <w:rPr/>
            </w:pPr>
            <w:r>
              <w:rPr>
                <w:spacing w:val="3"/>
              </w:rPr>
              <w:t>0.005L</w:t>
            </w:r>
          </w:p>
        </w:tc>
        <w:tc>
          <w:tcPr>
            <w:tcW w:w="1163" w:type="dxa"/>
            <w:vAlign w:val="top"/>
          </w:tcPr>
          <w:p>
            <w:pPr>
              <w:pStyle w:val="TableText"/>
              <w:ind w:left="284"/>
              <w:spacing w:before="64" w:line="195" w:lineRule="auto"/>
              <w:rPr/>
            </w:pPr>
            <w:r>
              <w:rPr>
                <w:spacing w:val="3"/>
              </w:rPr>
              <w:t>0.005L</w:t>
            </w:r>
          </w:p>
        </w:tc>
        <w:tc>
          <w:tcPr>
            <w:tcW w:w="1146" w:type="dxa"/>
            <w:vAlign w:val="top"/>
          </w:tcPr>
          <w:p>
            <w:pPr>
              <w:pStyle w:val="TableText"/>
              <w:ind w:left="278"/>
              <w:spacing w:before="64" w:line="195" w:lineRule="auto"/>
              <w:rPr/>
            </w:pPr>
            <w:r>
              <w:rPr>
                <w:spacing w:val="3"/>
              </w:rPr>
              <w:t>0.005L</w:t>
            </w:r>
          </w:p>
        </w:tc>
        <w:tc>
          <w:tcPr>
            <w:tcW w:w="1139" w:type="dxa"/>
            <w:vAlign w:val="top"/>
          </w:tcPr>
          <w:p>
            <w:pPr>
              <w:pStyle w:val="TableText"/>
              <w:ind w:left="272"/>
              <w:spacing w:before="64" w:line="195" w:lineRule="auto"/>
              <w:rPr/>
            </w:pPr>
            <w:r>
              <w:rPr>
                <w:spacing w:val="3"/>
              </w:rPr>
              <w:t>0.005L</w:t>
            </w:r>
          </w:p>
        </w:tc>
        <w:tc>
          <w:tcPr>
            <w:tcW w:w="1173" w:type="dxa"/>
            <w:vAlign w:val="top"/>
          </w:tcPr>
          <w:p>
            <w:pPr>
              <w:pStyle w:val="TableText"/>
              <w:ind w:left="292"/>
              <w:spacing w:before="64" w:line="195" w:lineRule="auto"/>
              <w:rPr/>
            </w:pPr>
            <w:r>
              <w:rPr>
                <w:spacing w:val="3"/>
              </w:rPr>
              <w:t>0.005L</w:t>
            </w:r>
          </w:p>
        </w:tc>
        <w:tc>
          <w:tcPr>
            <w:tcW w:w="1113" w:type="dxa"/>
            <w:vAlign w:val="top"/>
          </w:tcPr>
          <w:p>
            <w:pPr>
              <w:pStyle w:val="TableText"/>
              <w:ind w:left="264"/>
              <w:spacing w:before="64" w:line="195" w:lineRule="auto"/>
              <w:rPr/>
            </w:pPr>
            <w:r>
              <w:rPr>
                <w:spacing w:val="3"/>
              </w:rPr>
              <w:t>0.005L</w:t>
            </w:r>
          </w:p>
        </w:tc>
        <w:tc>
          <w:tcPr>
            <w:tcW w:w="1430" w:type="dxa"/>
            <w:vAlign w:val="top"/>
          </w:tcPr>
          <w:p>
            <w:pPr>
              <w:pStyle w:val="TableText"/>
              <w:ind w:left="685"/>
              <w:spacing w:before="65" w:line="195" w:lineRule="auto"/>
              <w:rPr/>
            </w:pPr>
            <w:r>
              <w:rPr/>
              <w:t>1</w:t>
            </w:r>
          </w:p>
        </w:tc>
      </w:tr>
      <w:tr>
        <w:trPr>
          <w:trHeight w:val="278" w:hRule="atLeast"/>
        </w:trPr>
        <w:tc>
          <w:tcPr>
            <w:tcW w:w="959" w:type="dxa"/>
            <w:vAlign w:val="top"/>
          </w:tcPr>
          <w:p>
            <w:pPr>
              <w:ind w:left="174"/>
              <w:spacing w:before="31" w:line="218" w:lineRule="auto"/>
              <w:rPr>
                <w:rFonts w:ascii="SimSun" w:hAnsi="SimSun" w:eastAsia="SimSun" w:cs="SimSun"/>
                <w:sz w:val="20"/>
                <w:szCs w:val="20"/>
              </w:rPr>
            </w:pPr>
            <w:r>
              <w:rPr>
                <w:rFonts w:ascii="SimSun" w:hAnsi="SimSun" w:eastAsia="SimSun" w:cs="SimSun"/>
                <w:sz w:val="20"/>
                <w:szCs w:val="20"/>
                <w:spacing w:val="5"/>
              </w:rPr>
              <w:t>总硬度</w:t>
            </w:r>
          </w:p>
        </w:tc>
        <w:tc>
          <w:tcPr>
            <w:tcW w:w="1003" w:type="dxa"/>
            <w:vAlign w:val="top"/>
          </w:tcPr>
          <w:p>
            <w:pPr>
              <w:pStyle w:val="TableText"/>
              <w:ind w:left="400"/>
              <w:spacing w:before="68" w:line="195" w:lineRule="auto"/>
              <w:rPr/>
            </w:pPr>
            <w:r>
              <w:rPr/>
              <w:t>61</w:t>
            </w:r>
          </w:p>
        </w:tc>
        <w:tc>
          <w:tcPr>
            <w:tcW w:w="1163" w:type="dxa"/>
            <w:vAlign w:val="top"/>
          </w:tcPr>
          <w:p>
            <w:pPr>
              <w:pStyle w:val="TableText"/>
              <w:ind w:left="483"/>
              <w:spacing w:before="68" w:line="195" w:lineRule="auto"/>
              <w:rPr/>
            </w:pPr>
            <w:r>
              <w:rPr/>
              <w:t>58</w:t>
            </w:r>
          </w:p>
        </w:tc>
        <w:tc>
          <w:tcPr>
            <w:tcW w:w="1146" w:type="dxa"/>
            <w:vAlign w:val="top"/>
          </w:tcPr>
          <w:p>
            <w:pPr>
              <w:pStyle w:val="TableText"/>
              <w:ind w:left="472"/>
              <w:spacing w:before="71" w:line="192" w:lineRule="auto"/>
              <w:rPr/>
            </w:pPr>
            <w:r>
              <w:rPr>
                <w:spacing w:val="1"/>
              </w:rPr>
              <w:t>55</w:t>
            </w:r>
          </w:p>
        </w:tc>
        <w:tc>
          <w:tcPr>
            <w:tcW w:w="1139" w:type="dxa"/>
            <w:vAlign w:val="top"/>
          </w:tcPr>
          <w:p>
            <w:pPr>
              <w:pStyle w:val="TableText"/>
              <w:ind w:left="470"/>
              <w:spacing w:before="68" w:line="195" w:lineRule="auto"/>
              <w:rPr/>
            </w:pPr>
            <w:r>
              <w:rPr/>
              <w:t>64</w:t>
            </w:r>
          </w:p>
        </w:tc>
        <w:tc>
          <w:tcPr>
            <w:tcW w:w="1173" w:type="dxa"/>
            <w:vAlign w:val="top"/>
          </w:tcPr>
          <w:p>
            <w:pPr>
              <w:pStyle w:val="TableText"/>
              <w:ind w:left="488"/>
              <w:spacing w:before="68" w:line="195" w:lineRule="auto"/>
              <w:rPr/>
            </w:pPr>
            <w:r>
              <w:rPr/>
              <w:t>60</w:t>
            </w:r>
          </w:p>
        </w:tc>
        <w:tc>
          <w:tcPr>
            <w:tcW w:w="1113" w:type="dxa"/>
            <w:vAlign w:val="top"/>
          </w:tcPr>
          <w:p>
            <w:pPr>
              <w:pStyle w:val="TableText"/>
              <w:ind w:left="458"/>
              <w:spacing w:before="68" w:line="195" w:lineRule="auto"/>
              <w:rPr/>
            </w:pPr>
            <w:r>
              <w:rPr>
                <w:spacing w:val="1"/>
              </w:rPr>
              <w:t>59</w:t>
            </w:r>
          </w:p>
        </w:tc>
        <w:tc>
          <w:tcPr>
            <w:tcW w:w="1430" w:type="dxa"/>
            <w:vAlign w:val="top"/>
          </w:tcPr>
          <w:p>
            <w:pPr>
              <w:pStyle w:val="TableText"/>
              <w:ind w:left="684"/>
              <w:spacing w:before="64" w:line="199" w:lineRule="auto"/>
              <w:rPr/>
            </w:pPr>
            <w:r>
              <w:rPr>
                <w:spacing w:val="2"/>
              </w:rPr>
              <w:t>/</w:t>
            </w:r>
          </w:p>
        </w:tc>
      </w:tr>
      <w:tr>
        <w:trPr>
          <w:trHeight w:val="549" w:hRule="atLeast"/>
        </w:trPr>
        <w:tc>
          <w:tcPr>
            <w:tcW w:w="959" w:type="dxa"/>
            <w:vAlign w:val="top"/>
          </w:tcPr>
          <w:p>
            <w:pPr>
              <w:ind w:left="289" w:right="58" w:hanging="221"/>
              <w:spacing w:before="32" w:line="234" w:lineRule="auto"/>
              <w:rPr>
                <w:rFonts w:ascii="SimSun" w:hAnsi="SimSun" w:eastAsia="SimSun" w:cs="SimSun"/>
                <w:sz w:val="20"/>
                <w:szCs w:val="20"/>
              </w:rPr>
            </w:pPr>
            <w:r>
              <w:rPr>
                <w:rFonts w:ascii="SimSun" w:hAnsi="SimSun" w:eastAsia="SimSun" w:cs="SimSun"/>
                <w:sz w:val="20"/>
                <w:szCs w:val="20"/>
                <w:spacing w:val="6"/>
              </w:rPr>
              <w:t>溶解性总</w:t>
            </w:r>
            <w:r>
              <w:rPr>
                <w:rFonts w:ascii="SimSun" w:hAnsi="SimSun" w:eastAsia="SimSun" w:cs="SimSun"/>
                <w:sz w:val="20"/>
                <w:szCs w:val="20"/>
                <w:spacing w:val="-5"/>
              </w:rPr>
              <w:t>固体</w:t>
            </w:r>
          </w:p>
        </w:tc>
        <w:tc>
          <w:tcPr>
            <w:tcW w:w="1003" w:type="dxa"/>
            <w:vAlign w:val="top"/>
          </w:tcPr>
          <w:p>
            <w:pPr>
              <w:pStyle w:val="TableText"/>
              <w:ind w:left="361"/>
              <w:spacing w:before="202" w:line="195" w:lineRule="auto"/>
              <w:rPr/>
            </w:pPr>
            <w:r>
              <w:rPr>
                <w:spacing w:val="-3"/>
              </w:rPr>
              <w:t>160</w:t>
            </w:r>
          </w:p>
        </w:tc>
        <w:tc>
          <w:tcPr>
            <w:tcW w:w="1163" w:type="dxa"/>
            <w:vAlign w:val="top"/>
          </w:tcPr>
          <w:p>
            <w:pPr>
              <w:pStyle w:val="TableText"/>
              <w:ind w:left="422"/>
              <w:spacing w:before="202" w:line="195" w:lineRule="auto"/>
              <w:rPr/>
            </w:pPr>
            <w:r>
              <w:rPr>
                <w:spacing w:val="3"/>
              </w:rPr>
              <w:t>222</w:t>
            </w:r>
          </w:p>
        </w:tc>
        <w:tc>
          <w:tcPr>
            <w:tcW w:w="1146" w:type="dxa"/>
            <w:vAlign w:val="top"/>
          </w:tcPr>
          <w:p>
            <w:pPr>
              <w:pStyle w:val="TableText"/>
              <w:ind w:left="416"/>
              <w:spacing w:before="202" w:line="195" w:lineRule="auto"/>
              <w:rPr/>
            </w:pPr>
            <w:r>
              <w:rPr>
                <w:spacing w:val="3"/>
              </w:rPr>
              <w:t>203</w:t>
            </w:r>
          </w:p>
        </w:tc>
        <w:tc>
          <w:tcPr>
            <w:tcW w:w="1139" w:type="dxa"/>
            <w:vAlign w:val="top"/>
          </w:tcPr>
          <w:p>
            <w:pPr>
              <w:pStyle w:val="TableText"/>
              <w:ind w:left="433"/>
              <w:spacing w:before="202" w:line="195" w:lineRule="auto"/>
              <w:rPr/>
            </w:pPr>
            <w:r>
              <w:rPr>
                <w:spacing w:val="-3"/>
              </w:rPr>
              <w:t>147</w:t>
            </w:r>
          </w:p>
        </w:tc>
        <w:tc>
          <w:tcPr>
            <w:tcW w:w="1173" w:type="dxa"/>
            <w:vAlign w:val="top"/>
          </w:tcPr>
          <w:p>
            <w:pPr>
              <w:pStyle w:val="TableText"/>
              <w:ind w:left="451"/>
              <w:spacing w:before="202" w:line="195" w:lineRule="auto"/>
              <w:rPr/>
            </w:pPr>
            <w:r>
              <w:rPr>
                <w:spacing w:val="-3"/>
              </w:rPr>
              <w:t>197</w:t>
            </w:r>
          </w:p>
        </w:tc>
        <w:tc>
          <w:tcPr>
            <w:tcW w:w="1113" w:type="dxa"/>
            <w:vAlign w:val="top"/>
          </w:tcPr>
          <w:p>
            <w:pPr>
              <w:pStyle w:val="TableText"/>
              <w:ind w:left="422"/>
              <w:spacing w:before="202" w:line="195" w:lineRule="auto"/>
              <w:rPr/>
            </w:pPr>
            <w:r>
              <w:rPr>
                <w:spacing w:val="-3"/>
              </w:rPr>
              <w:t>135</w:t>
            </w:r>
          </w:p>
        </w:tc>
        <w:tc>
          <w:tcPr>
            <w:tcW w:w="1430" w:type="dxa"/>
            <w:vAlign w:val="top"/>
          </w:tcPr>
          <w:p>
            <w:pPr>
              <w:pStyle w:val="TableText"/>
              <w:ind w:left="684"/>
              <w:spacing w:before="198" w:line="199" w:lineRule="auto"/>
              <w:rPr/>
            </w:pPr>
            <w:r>
              <w:rPr>
                <w:spacing w:val="2"/>
              </w:rPr>
              <w:t>/</w:t>
            </w:r>
          </w:p>
        </w:tc>
      </w:tr>
      <w:tr>
        <w:trPr>
          <w:trHeight w:val="275" w:hRule="atLeast"/>
        </w:trPr>
        <w:tc>
          <w:tcPr>
            <w:tcW w:w="959" w:type="dxa"/>
            <w:vAlign w:val="top"/>
          </w:tcPr>
          <w:p>
            <w:pPr>
              <w:ind w:left="170"/>
              <w:spacing w:before="33" w:line="214" w:lineRule="auto"/>
              <w:rPr>
                <w:rFonts w:ascii="SimSun" w:hAnsi="SimSun" w:eastAsia="SimSun" w:cs="SimSun"/>
                <w:sz w:val="20"/>
                <w:szCs w:val="20"/>
              </w:rPr>
            </w:pPr>
            <w:r>
              <w:rPr>
                <w:rFonts w:ascii="SimSun" w:hAnsi="SimSun" w:eastAsia="SimSun" w:cs="SimSun"/>
                <w:sz w:val="20"/>
                <w:szCs w:val="20"/>
                <w:spacing w:val="6"/>
              </w:rPr>
              <w:t>硝酸盐</w:t>
            </w:r>
          </w:p>
        </w:tc>
        <w:tc>
          <w:tcPr>
            <w:tcW w:w="1003" w:type="dxa"/>
            <w:vAlign w:val="top"/>
          </w:tcPr>
          <w:p>
            <w:pPr>
              <w:pStyle w:val="TableText"/>
              <w:ind w:left="325"/>
              <w:spacing w:before="68" w:line="195" w:lineRule="auto"/>
              <w:rPr/>
            </w:pPr>
            <w:r>
              <w:rPr>
                <w:spacing w:val="-5"/>
              </w:rPr>
              <w:t>0.</w:t>
            </w:r>
            <w:r>
              <w:rPr>
                <w:spacing w:val="-25"/>
              </w:rPr>
              <w:t xml:space="preserve"> </w:t>
            </w:r>
            <w:r>
              <w:rPr>
                <w:spacing w:val="-5"/>
              </w:rPr>
              <w:t>11</w:t>
            </w:r>
          </w:p>
        </w:tc>
        <w:tc>
          <w:tcPr>
            <w:tcW w:w="1163" w:type="dxa"/>
            <w:vAlign w:val="top"/>
          </w:tcPr>
          <w:p>
            <w:pPr>
              <w:pStyle w:val="TableText"/>
              <w:ind w:left="404"/>
              <w:spacing w:before="68" w:line="195" w:lineRule="auto"/>
              <w:rPr/>
            </w:pPr>
            <w:r>
              <w:rPr>
                <w:spacing w:val="-5"/>
              </w:rPr>
              <w:t>0.</w:t>
            </w:r>
            <w:r>
              <w:rPr>
                <w:spacing w:val="-25"/>
              </w:rPr>
              <w:t xml:space="preserve"> </w:t>
            </w:r>
            <w:r>
              <w:rPr>
                <w:spacing w:val="-5"/>
              </w:rPr>
              <w:t>11</w:t>
            </w:r>
          </w:p>
        </w:tc>
        <w:tc>
          <w:tcPr>
            <w:tcW w:w="1146" w:type="dxa"/>
            <w:vAlign w:val="top"/>
          </w:tcPr>
          <w:p>
            <w:pPr>
              <w:pStyle w:val="TableText"/>
              <w:ind w:left="393"/>
              <w:spacing w:before="68" w:line="195" w:lineRule="auto"/>
              <w:rPr/>
            </w:pPr>
            <w:r>
              <w:rPr>
                <w:spacing w:val="-4"/>
              </w:rPr>
              <w:t>0.</w:t>
            </w:r>
            <w:r>
              <w:rPr>
                <w:spacing w:val="-25"/>
              </w:rPr>
              <w:t xml:space="preserve"> </w:t>
            </w:r>
            <w:r>
              <w:rPr>
                <w:spacing w:val="-4"/>
              </w:rPr>
              <w:t>12</w:t>
            </w:r>
          </w:p>
        </w:tc>
        <w:tc>
          <w:tcPr>
            <w:tcW w:w="1139" w:type="dxa"/>
            <w:vAlign w:val="top"/>
          </w:tcPr>
          <w:p>
            <w:pPr>
              <w:pStyle w:val="TableText"/>
              <w:ind w:left="392"/>
              <w:spacing w:before="68" w:line="195" w:lineRule="auto"/>
              <w:rPr/>
            </w:pPr>
            <w:r>
              <w:rPr>
                <w:spacing w:val="2"/>
              </w:rPr>
              <w:t>0.13</w:t>
            </w:r>
          </w:p>
        </w:tc>
        <w:tc>
          <w:tcPr>
            <w:tcW w:w="1173" w:type="dxa"/>
            <w:vAlign w:val="top"/>
          </w:tcPr>
          <w:p>
            <w:pPr>
              <w:pStyle w:val="TableText"/>
              <w:ind w:left="412"/>
              <w:spacing w:before="68" w:line="195" w:lineRule="auto"/>
              <w:rPr/>
            </w:pPr>
            <w:r>
              <w:rPr>
                <w:spacing w:val="-5"/>
              </w:rPr>
              <w:t>0.</w:t>
            </w:r>
            <w:r>
              <w:rPr>
                <w:spacing w:val="-25"/>
              </w:rPr>
              <w:t xml:space="preserve"> </w:t>
            </w:r>
            <w:r>
              <w:rPr>
                <w:spacing w:val="-5"/>
              </w:rPr>
              <w:t>11</w:t>
            </w:r>
          </w:p>
        </w:tc>
        <w:tc>
          <w:tcPr>
            <w:tcW w:w="1113" w:type="dxa"/>
            <w:vAlign w:val="top"/>
          </w:tcPr>
          <w:p>
            <w:pPr>
              <w:pStyle w:val="TableText"/>
              <w:ind w:left="379"/>
              <w:spacing w:before="68" w:line="195" w:lineRule="auto"/>
              <w:rPr/>
            </w:pPr>
            <w:r>
              <w:rPr>
                <w:spacing w:val="-4"/>
              </w:rPr>
              <w:t>0.</w:t>
            </w:r>
            <w:r>
              <w:rPr>
                <w:spacing w:val="-25"/>
              </w:rPr>
              <w:t xml:space="preserve"> </w:t>
            </w:r>
            <w:r>
              <w:rPr>
                <w:spacing w:val="-4"/>
              </w:rPr>
              <w:t>12</w:t>
            </w:r>
          </w:p>
        </w:tc>
        <w:tc>
          <w:tcPr>
            <w:tcW w:w="1430" w:type="dxa"/>
            <w:vAlign w:val="top"/>
          </w:tcPr>
          <w:p>
            <w:pPr>
              <w:pStyle w:val="TableText"/>
              <w:ind w:left="684"/>
              <w:spacing w:before="64" w:line="199" w:lineRule="auto"/>
              <w:rPr/>
            </w:pPr>
            <w:r>
              <w:rPr>
                <w:spacing w:val="2"/>
              </w:rPr>
              <w:t>/</w:t>
            </w:r>
          </w:p>
        </w:tc>
      </w:tr>
      <w:tr>
        <w:trPr>
          <w:trHeight w:val="278" w:hRule="atLeast"/>
        </w:trPr>
        <w:tc>
          <w:tcPr>
            <w:tcW w:w="959" w:type="dxa"/>
            <w:vAlign w:val="top"/>
          </w:tcPr>
          <w:p>
            <w:pPr>
              <w:ind w:left="67"/>
              <w:spacing w:before="36" w:line="214" w:lineRule="auto"/>
              <w:rPr>
                <w:rFonts w:ascii="SimSun" w:hAnsi="SimSun" w:eastAsia="SimSun" w:cs="SimSun"/>
                <w:sz w:val="20"/>
                <w:szCs w:val="20"/>
              </w:rPr>
            </w:pPr>
            <w:r>
              <w:rPr>
                <w:rFonts w:ascii="SimSun" w:hAnsi="SimSun" w:eastAsia="SimSun" w:cs="SimSun"/>
                <w:sz w:val="20"/>
                <w:szCs w:val="20"/>
                <w:spacing w:val="6"/>
              </w:rPr>
              <w:t>亚硝酸盐</w:t>
            </w:r>
          </w:p>
        </w:tc>
        <w:tc>
          <w:tcPr>
            <w:tcW w:w="1003" w:type="dxa"/>
            <w:vAlign w:val="top"/>
          </w:tcPr>
          <w:p>
            <w:pPr>
              <w:pStyle w:val="TableText"/>
              <w:ind w:left="267"/>
              <w:spacing w:before="71" w:line="195" w:lineRule="auto"/>
              <w:rPr/>
            </w:pPr>
            <w:r>
              <w:rPr>
                <w:spacing w:val="3"/>
              </w:rPr>
              <w:t>0.025</w:t>
            </w:r>
          </w:p>
        </w:tc>
        <w:tc>
          <w:tcPr>
            <w:tcW w:w="1163" w:type="dxa"/>
            <w:vAlign w:val="top"/>
          </w:tcPr>
          <w:p>
            <w:pPr>
              <w:pStyle w:val="TableText"/>
              <w:ind w:left="349"/>
              <w:spacing w:before="71" w:line="195" w:lineRule="auto"/>
              <w:rPr/>
            </w:pPr>
            <w:r>
              <w:rPr>
                <w:spacing w:val="2"/>
              </w:rPr>
              <w:t>0.026</w:t>
            </w:r>
          </w:p>
        </w:tc>
        <w:tc>
          <w:tcPr>
            <w:tcW w:w="1146" w:type="dxa"/>
            <w:vAlign w:val="top"/>
          </w:tcPr>
          <w:p>
            <w:pPr>
              <w:pStyle w:val="TableText"/>
              <w:ind w:left="338"/>
              <w:spacing w:before="71" w:line="195" w:lineRule="auto"/>
              <w:rPr/>
            </w:pPr>
            <w:r>
              <w:rPr>
                <w:spacing w:val="3"/>
              </w:rPr>
              <w:t>0.025</w:t>
            </w:r>
          </w:p>
        </w:tc>
        <w:tc>
          <w:tcPr>
            <w:tcW w:w="1139" w:type="dxa"/>
            <w:vAlign w:val="top"/>
          </w:tcPr>
          <w:p>
            <w:pPr>
              <w:pStyle w:val="TableText"/>
              <w:ind w:left="337"/>
              <w:spacing w:before="71" w:line="195" w:lineRule="auto"/>
              <w:rPr/>
            </w:pPr>
            <w:r>
              <w:rPr>
                <w:spacing w:val="3"/>
              </w:rPr>
              <w:t>0.026</w:t>
            </w:r>
          </w:p>
        </w:tc>
        <w:tc>
          <w:tcPr>
            <w:tcW w:w="1173" w:type="dxa"/>
            <w:vAlign w:val="top"/>
          </w:tcPr>
          <w:p>
            <w:pPr>
              <w:pStyle w:val="TableText"/>
              <w:ind w:left="357"/>
              <w:spacing w:before="71" w:line="195" w:lineRule="auto"/>
              <w:rPr/>
            </w:pPr>
            <w:r>
              <w:rPr>
                <w:spacing w:val="2"/>
              </w:rPr>
              <w:t>0.025</w:t>
            </w:r>
          </w:p>
        </w:tc>
        <w:tc>
          <w:tcPr>
            <w:tcW w:w="1113" w:type="dxa"/>
            <w:vAlign w:val="top"/>
          </w:tcPr>
          <w:p>
            <w:pPr>
              <w:pStyle w:val="TableText"/>
              <w:ind w:left="324"/>
              <w:spacing w:before="71" w:line="195" w:lineRule="auto"/>
              <w:rPr/>
            </w:pPr>
            <w:r>
              <w:rPr>
                <w:spacing w:val="3"/>
              </w:rPr>
              <w:t>0.025</w:t>
            </w:r>
          </w:p>
        </w:tc>
        <w:tc>
          <w:tcPr>
            <w:tcW w:w="1430" w:type="dxa"/>
            <w:vAlign w:val="top"/>
          </w:tcPr>
          <w:p>
            <w:pPr>
              <w:pStyle w:val="TableText"/>
              <w:ind w:left="684"/>
              <w:spacing w:before="68" w:line="199" w:lineRule="auto"/>
              <w:rPr/>
            </w:pPr>
            <w:r>
              <w:rPr>
                <w:spacing w:val="2"/>
              </w:rPr>
              <w:t>/</w:t>
            </w:r>
          </w:p>
        </w:tc>
      </w:tr>
      <w:tr>
        <w:trPr>
          <w:trHeight w:val="278" w:hRule="atLeast"/>
        </w:trPr>
        <w:tc>
          <w:tcPr>
            <w:tcW w:w="959" w:type="dxa"/>
            <w:vAlign w:val="top"/>
          </w:tcPr>
          <w:p>
            <w:pPr>
              <w:ind w:left="167"/>
              <w:spacing w:before="34" w:line="216" w:lineRule="auto"/>
              <w:rPr>
                <w:rFonts w:ascii="SimSun" w:hAnsi="SimSun" w:eastAsia="SimSun" w:cs="SimSun"/>
                <w:sz w:val="20"/>
                <w:szCs w:val="20"/>
              </w:rPr>
            </w:pPr>
            <w:r>
              <w:rPr>
                <w:rFonts w:ascii="SimSun" w:hAnsi="SimSun" w:eastAsia="SimSun" w:cs="SimSun"/>
                <w:sz w:val="20"/>
                <w:szCs w:val="20"/>
                <w:spacing w:val="7"/>
              </w:rPr>
              <w:t>硫酸盐</w:t>
            </w:r>
          </w:p>
        </w:tc>
        <w:tc>
          <w:tcPr>
            <w:tcW w:w="1003" w:type="dxa"/>
            <w:vAlign w:val="top"/>
          </w:tcPr>
          <w:p>
            <w:pPr>
              <w:pStyle w:val="TableText"/>
              <w:ind w:left="342"/>
              <w:spacing w:before="69" w:line="195" w:lineRule="auto"/>
              <w:rPr/>
            </w:pPr>
            <w:r>
              <w:rPr>
                <w:spacing w:val="-5"/>
              </w:rPr>
              <w:t>11.4</w:t>
            </w:r>
          </w:p>
        </w:tc>
        <w:tc>
          <w:tcPr>
            <w:tcW w:w="1163" w:type="dxa"/>
            <w:vAlign w:val="top"/>
          </w:tcPr>
          <w:p>
            <w:pPr>
              <w:pStyle w:val="TableText"/>
              <w:ind w:left="421"/>
              <w:spacing w:before="69" w:line="195" w:lineRule="auto"/>
              <w:rPr/>
            </w:pPr>
            <w:r>
              <w:rPr>
                <w:spacing w:val="-4"/>
              </w:rPr>
              <w:t>11.6</w:t>
            </w:r>
          </w:p>
        </w:tc>
        <w:tc>
          <w:tcPr>
            <w:tcW w:w="1146" w:type="dxa"/>
            <w:vAlign w:val="top"/>
          </w:tcPr>
          <w:p>
            <w:pPr>
              <w:pStyle w:val="TableText"/>
              <w:ind w:left="487"/>
              <w:spacing w:before="69" w:line="195" w:lineRule="auto"/>
              <w:rPr/>
            </w:pPr>
            <w:r>
              <w:rPr>
                <w:spacing w:val="-6"/>
              </w:rPr>
              <w:t>13</w:t>
            </w:r>
          </w:p>
        </w:tc>
        <w:tc>
          <w:tcPr>
            <w:tcW w:w="1139" w:type="dxa"/>
            <w:vAlign w:val="top"/>
          </w:tcPr>
          <w:p>
            <w:pPr>
              <w:pStyle w:val="TableText"/>
              <w:ind w:left="409"/>
              <w:spacing w:before="69" w:line="195" w:lineRule="auto"/>
              <w:rPr/>
            </w:pPr>
            <w:r>
              <w:rPr>
                <w:spacing w:val="-3"/>
              </w:rPr>
              <w:t>14.6</w:t>
            </w:r>
          </w:p>
        </w:tc>
        <w:tc>
          <w:tcPr>
            <w:tcW w:w="1173" w:type="dxa"/>
            <w:vAlign w:val="top"/>
          </w:tcPr>
          <w:p>
            <w:pPr>
              <w:pStyle w:val="TableText"/>
              <w:ind w:left="422"/>
              <w:spacing w:before="69" w:line="195" w:lineRule="auto"/>
              <w:rPr/>
            </w:pPr>
            <w:r>
              <w:rPr>
                <w:spacing w:val="-1"/>
              </w:rPr>
              <w:t>18.6</w:t>
            </w:r>
          </w:p>
        </w:tc>
        <w:tc>
          <w:tcPr>
            <w:tcW w:w="1113" w:type="dxa"/>
            <w:vAlign w:val="top"/>
          </w:tcPr>
          <w:p>
            <w:pPr>
              <w:pStyle w:val="TableText"/>
              <w:ind w:left="453"/>
              <w:spacing w:before="69" w:line="195" w:lineRule="auto"/>
              <w:rPr/>
            </w:pPr>
            <w:r>
              <w:rPr>
                <w:spacing w:val="4"/>
              </w:rPr>
              <w:t>22</w:t>
            </w:r>
          </w:p>
        </w:tc>
        <w:tc>
          <w:tcPr>
            <w:tcW w:w="1430" w:type="dxa"/>
            <w:vAlign w:val="top"/>
          </w:tcPr>
          <w:p>
            <w:pPr>
              <w:pStyle w:val="TableText"/>
              <w:ind w:left="684"/>
              <w:spacing w:before="65" w:line="199" w:lineRule="auto"/>
              <w:rPr/>
            </w:pPr>
            <w:r>
              <w:rPr>
                <w:spacing w:val="2"/>
              </w:rPr>
              <w:t>/</w:t>
            </w:r>
          </w:p>
        </w:tc>
      </w:tr>
      <w:tr>
        <w:trPr>
          <w:trHeight w:val="280" w:hRule="atLeast"/>
        </w:trPr>
        <w:tc>
          <w:tcPr>
            <w:tcW w:w="959" w:type="dxa"/>
            <w:vAlign w:val="top"/>
          </w:tcPr>
          <w:p>
            <w:pPr>
              <w:ind w:left="172"/>
              <w:spacing w:before="33" w:line="218" w:lineRule="auto"/>
              <w:rPr>
                <w:rFonts w:ascii="SimSun" w:hAnsi="SimSun" w:eastAsia="SimSun" w:cs="SimSun"/>
                <w:sz w:val="20"/>
                <w:szCs w:val="20"/>
              </w:rPr>
            </w:pPr>
            <w:r>
              <w:rPr>
                <w:rFonts w:ascii="SimSun" w:hAnsi="SimSun" w:eastAsia="SimSun" w:cs="SimSun"/>
                <w:sz w:val="20"/>
                <w:szCs w:val="20"/>
                <w:spacing w:val="5"/>
              </w:rPr>
              <w:t>氯化物</w:t>
            </w:r>
          </w:p>
        </w:tc>
        <w:tc>
          <w:tcPr>
            <w:tcW w:w="1003" w:type="dxa"/>
            <w:vAlign w:val="top"/>
          </w:tcPr>
          <w:p>
            <w:pPr>
              <w:pStyle w:val="TableText"/>
              <w:ind w:left="317"/>
              <w:spacing w:before="69" w:line="195" w:lineRule="auto"/>
              <w:rPr/>
            </w:pPr>
            <w:r>
              <w:rPr>
                <w:spacing w:val="3"/>
              </w:rPr>
              <w:t>20.7</w:t>
            </w:r>
          </w:p>
        </w:tc>
        <w:tc>
          <w:tcPr>
            <w:tcW w:w="1163" w:type="dxa"/>
            <w:vAlign w:val="top"/>
          </w:tcPr>
          <w:p>
            <w:pPr>
              <w:pStyle w:val="TableText"/>
              <w:ind w:left="407"/>
              <w:spacing w:before="69" w:line="195" w:lineRule="auto"/>
              <w:rPr/>
            </w:pPr>
            <w:r>
              <w:rPr>
                <w:spacing w:val="1"/>
              </w:rPr>
              <w:t>8.34</w:t>
            </w:r>
          </w:p>
        </w:tc>
        <w:tc>
          <w:tcPr>
            <w:tcW w:w="1146" w:type="dxa"/>
            <w:vAlign w:val="top"/>
          </w:tcPr>
          <w:p>
            <w:pPr>
              <w:pStyle w:val="TableText"/>
              <w:ind w:left="410"/>
              <w:spacing w:before="69" w:line="195" w:lineRule="auto"/>
              <w:rPr/>
            </w:pPr>
            <w:r>
              <w:rPr>
                <w:spacing w:val="-2"/>
              </w:rPr>
              <w:t>10.2</w:t>
            </w:r>
          </w:p>
        </w:tc>
        <w:tc>
          <w:tcPr>
            <w:tcW w:w="1139" w:type="dxa"/>
            <w:vAlign w:val="top"/>
          </w:tcPr>
          <w:p>
            <w:pPr>
              <w:pStyle w:val="TableText"/>
              <w:ind w:left="393"/>
              <w:spacing w:before="69" w:line="195" w:lineRule="auto"/>
              <w:rPr/>
            </w:pPr>
            <w:r>
              <w:rPr>
                <w:spacing w:val="-5"/>
              </w:rPr>
              <w:t>9.</w:t>
            </w:r>
            <w:r>
              <w:rPr>
                <w:spacing w:val="-24"/>
              </w:rPr>
              <w:t xml:space="preserve"> </w:t>
            </w:r>
            <w:r>
              <w:rPr>
                <w:spacing w:val="-5"/>
              </w:rPr>
              <w:t>11</w:t>
            </w:r>
          </w:p>
        </w:tc>
        <w:tc>
          <w:tcPr>
            <w:tcW w:w="1173" w:type="dxa"/>
            <w:vAlign w:val="top"/>
          </w:tcPr>
          <w:p>
            <w:pPr>
              <w:pStyle w:val="TableText"/>
              <w:ind w:left="422"/>
              <w:spacing w:before="69" w:line="195" w:lineRule="auto"/>
              <w:rPr/>
            </w:pPr>
            <w:r>
              <w:rPr>
                <w:spacing w:val="-1"/>
              </w:rPr>
              <w:t>15.2</w:t>
            </w:r>
          </w:p>
        </w:tc>
        <w:tc>
          <w:tcPr>
            <w:tcW w:w="1113" w:type="dxa"/>
            <w:vAlign w:val="top"/>
          </w:tcPr>
          <w:p>
            <w:pPr>
              <w:pStyle w:val="TableText"/>
              <w:ind w:left="396"/>
              <w:spacing w:before="69" w:line="195" w:lineRule="auto"/>
              <w:rPr/>
            </w:pPr>
            <w:r>
              <w:rPr>
                <w:spacing w:val="-3"/>
              </w:rPr>
              <w:t>14.</w:t>
            </w:r>
            <w:r>
              <w:rPr>
                <w:spacing w:val="-25"/>
              </w:rPr>
              <w:t xml:space="preserve"> </w:t>
            </w:r>
            <w:r>
              <w:rPr>
                <w:spacing w:val="-3"/>
              </w:rPr>
              <w:t>1</w:t>
            </w:r>
          </w:p>
        </w:tc>
        <w:tc>
          <w:tcPr>
            <w:tcW w:w="1430" w:type="dxa"/>
            <w:vAlign w:val="top"/>
          </w:tcPr>
          <w:p>
            <w:pPr>
              <w:pStyle w:val="TableText"/>
              <w:ind w:left="684"/>
              <w:spacing w:before="66" w:line="199" w:lineRule="auto"/>
              <w:rPr/>
            </w:pPr>
            <w:r>
              <w:rPr>
                <w:spacing w:val="2"/>
              </w:rPr>
              <w:t>/</w:t>
            </w:r>
          </w:p>
        </w:tc>
      </w:tr>
    </w:tbl>
    <w:p>
      <w:pPr>
        <w:ind w:left="36"/>
        <w:spacing w:before="170" w:line="228" w:lineRule="auto"/>
        <w:rPr>
          <w:rFonts w:ascii="SimSun" w:hAnsi="SimSun" w:eastAsia="SimSun" w:cs="SimSun"/>
          <w:sz w:val="20"/>
          <w:szCs w:val="20"/>
        </w:rPr>
      </w:pPr>
      <w:r>
        <w:rPr>
          <w:rFonts w:ascii="SimSun" w:hAnsi="SimSun" w:eastAsia="SimSun" w:cs="SimSun"/>
          <w:sz w:val="20"/>
          <w:szCs w:val="20"/>
          <w:spacing w:val="12"/>
        </w:rPr>
        <w:t>注：上表中</w:t>
      </w:r>
      <w:r>
        <w:rPr>
          <w:rFonts w:ascii="Times New Roman" w:hAnsi="Times New Roman" w:eastAsia="Times New Roman" w:cs="Times New Roman"/>
          <w:sz w:val="20"/>
          <w:szCs w:val="20"/>
          <w:spacing w:val="12"/>
        </w:rPr>
        <w:t>L </w:t>
      </w:r>
      <w:r>
        <w:rPr>
          <w:rFonts w:ascii="SimSun" w:hAnsi="SimSun" w:eastAsia="SimSun" w:cs="SimSun"/>
          <w:sz w:val="20"/>
          <w:szCs w:val="20"/>
          <w:spacing w:val="12"/>
        </w:rPr>
        <w:t>表示未检出</w:t>
      </w:r>
    </w:p>
    <w:p>
      <w:pPr>
        <w:ind w:left="38" w:firstLine="509"/>
        <w:spacing w:before="166" w:line="340" w:lineRule="auto"/>
        <w:jc w:val="both"/>
        <w:rPr>
          <w:rFonts w:ascii="SimSun" w:hAnsi="SimSun" w:eastAsia="SimSun" w:cs="SimSun"/>
          <w:sz w:val="24"/>
          <w:szCs w:val="24"/>
        </w:rPr>
      </w:pPr>
      <w:r>
        <w:rPr>
          <w:rFonts w:ascii="SimSun" w:hAnsi="SimSun" w:eastAsia="SimSun" w:cs="SimSun"/>
          <w:sz w:val="24"/>
          <w:szCs w:val="24"/>
          <w:spacing w:val="17"/>
        </w:rPr>
        <w:t>由上表可得</w:t>
      </w:r>
      <w:r>
        <w:rPr>
          <w:rFonts w:ascii="SimSun" w:hAnsi="SimSun" w:eastAsia="SimSun" w:cs="SimSun"/>
          <w:sz w:val="24"/>
          <w:szCs w:val="24"/>
          <w:spacing w:val="-53"/>
        </w:rPr>
        <w:t xml:space="preserve"> </w:t>
      </w:r>
      <w:r>
        <w:rPr>
          <w:rFonts w:ascii="SimSun" w:hAnsi="SimSun" w:eastAsia="SimSun" w:cs="SimSun"/>
          <w:sz w:val="24"/>
          <w:szCs w:val="24"/>
          <w:spacing w:val="17"/>
        </w:rPr>
        <w:t>，矸石浸出液中各污染物的浓度均未超过《污水综合排放标准》</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GB8978-1996</w:t>
      </w:r>
      <w:r>
        <w:rPr>
          <w:rFonts w:ascii="SimSun" w:hAnsi="SimSun" w:eastAsia="SimSun" w:cs="SimSun"/>
          <w:sz w:val="24"/>
          <w:szCs w:val="24"/>
          <w:spacing w:val="-2"/>
        </w:rPr>
        <w:t>）一级标准限值，且</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PH</w:t>
      </w:r>
      <w:r>
        <w:rPr>
          <w:rFonts w:ascii="Times New Roman" w:hAnsi="Times New Roman" w:eastAsia="Times New Roman" w:cs="Times New Roman"/>
          <w:sz w:val="24"/>
          <w:szCs w:val="24"/>
          <w:spacing w:val="-3"/>
        </w:rPr>
        <w:t xml:space="preserve"> </w:t>
      </w:r>
      <w:r>
        <w:rPr>
          <w:rFonts w:ascii="SimSun" w:hAnsi="SimSun" w:eastAsia="SimSun" w:cs="SimSun"/>
          <w:sz w:val="24"/>
          <w:szCs w:val="24"/>
          <w:spacing w:val="-3"/>
        </w:rPr>
        <w:t>值在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6~9 </w:t>
      </w:r>
      <w:r>
        <w:rPr>
          <w:rFonts w:ascii="SimSun" w:hAnsi="SimSun" w:eastAsia="SimSun" w:cs="SimSun"/>
          <w:sz w:val="24"/>
          <w:szCs w:val="24"/>
          <w:spacing w:val="-3"/>
        </w:rPr>
        <w:t>之间。根据《一般工业固体废物贮存、</w:t>
      </w:r>
      <w:r>
        <w:rPr>
          <w:rFonts w:ascii="SimSun" w:hAnsi="SimSun" w:eastAsia="SimSun" w:cs="SimSun"/>
          <w:sz w:val="24"/>
          <w:szCs w:val="24"/>
          <w:spacing w:val="1"/>
        </w:rPr>
        <w:t>处置场污染控制标准》（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18599-2020</w:t>
      </w:r>
      <w:r>
        <w:rPr>
          <w:rFonts w:ascii="SimSun" w:hAnsi="SimSun" w:eastAsia="SimSun" w:cs="SimSun"/>
          <w:sz w:val="24"/>
          <w:szCs w:val="24"/>
          <w:spacing w:val="1"/>
        </w:rPr>
        <w:t>）的规定，本项目矸石判定为第</w:t>
      </w:r>
      <w:r>
        <w:rPr>
          <w:rFonts w:ascii="Times New Roman" w:hAnsi="Times New Roman" w:eastAsia="Times New Roman" w:cs="Times New Roman"/>
          <w:sz w:val="24"/>
          <w:szCs w:val="24"/>
          <w:spacing w:val="1"/>
        </w:rPr>
        <w:t>Ⅰ</w:t>
      </w:r>
      <w:r>
        <w:rPr>
          <w:rFonts w:ascii="SimSun" w:hAnsi="SimSun" w:eastAsia="SimSun" w:cs="SimSun"/>
          <w:sz w:val="24"/>
          <w:szCs w:val="24"/>
          <w:spacing w:val="1"/>
        </w:rPr>
        <w:t>类一般工业固</w:t>
      </w:r>
      <w:r>
        <w:rPr>
          <w:rFonts w:ascii="SimSun" w:hAnsi="SimSun" w:eastAsia="SimSun" w:cs="SimSun"/>
          <w:sz w:val="24"/>
          <w:szCs w:val="24"/>
          <w:spacing w:val="-3"/>
        </w:rPr>
        <w:t>体废物。</w:t>
      </w:r>
    </w:p>
    <w:p>
      <w:pPr>
        <w:ind w:left="516"/>
        <w:spacing w:before="26"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5.6.2.2 </w:t>
      </w:r>
      <w:r>
        <w:rPr>
          <w:rFonts w:ascii="SimHei" w:hAnsi="SimHei" w:eastAsia="SimHei" w:cs="SimHei"/>
          <w:sz w:val="24"/>
          <w:szCs w:val="24"/>
          <w:b/>
          <w:bCs/>
          <w:spacing w:val="-2"/>
        </w:rPr>
        <w:t>矸石处置环境影响分析</w:t>
      </w:r>
    </w:p>
    <w:p>
      <w:pPr>
        <w:ind w:left="55" w:right="87" w:firstLine="461"/>
        <w:spacing w:before="158" w:line="339" w:lineRule="auto"/>
        <w:rPr>
          <w:rFonts w:ascii="SimSun" w:hAnsi="SimSun" w:eastAsia="SimSun" w:cs="SimSun"/>
          <w:sz w:val="24"/>
          <w:szCs w:val="24"/>
        </w:rPr>
      </w:pPr>
      <w:r>
        <w:rPr>
          <w:rFonts w:ascii="SimSun" w:hAnsi="SimSun" w:eastAsia="SimSun" w:cs="SimSun"/>
          <w:sz w:val="24"/>
          <w:szCs w:val="24"/>
          <w:spacing w:val="-2"/>
        </w:rPr>
        <w:t>矸石主要来源于露天区送往风选车间风选后的矸石。风选矸石</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2"/>
        </w:rPr>
        <w:t>50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2"/>
        </w:rPr>
        <w:t>t/a</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，排往沉陷</w:t>
      </w:r>
      <w:r>
        <w:rPr>
          <w:rFonts w:ascii="SimSun" w:hAnsi="SimSun" w:eastAsia="SimSun" w:cs="SimSun"/>
          <w:sz w:val="24"/>
          <w:szCs w:val="24"/>
          <w:spacing w:val="-7"/>
        </w:rPr>
        <w:t>区充填。</w:t>
      </w:r>
    </w:p>
    <w:p>
      <w:pPr>
        <w:ind w:left="44" w:right="85" w:firstLine="519"/>
        <w:spacing w:before="2" w:line="338" w:lineRule="auto"/>
        <w:jc w:val="both"/>
        <w:rPr>
          <w:rFonts w:ascii="SimSun" w:hAnsi="SimSun" w:eastAsia="SimSun" w:cs="SimSun"/>
          <w:sz w:val="24"/>
          <w:szCs w:val="24"/>
        </w:rPr>
      </w:pPr>
      <w:r>
        <w:rPr>
          <w:rFonts w:ascii="SimSun" w:hAnsi="SimSun" w:eastAsia="SimSun" w:cs="SimSun"/>
          <w:sz w:val="24"/>
          <w:szCs w:val="24"/>
          <w:spacing w:val="-3"/>
        </w:rPr>
        <w:t>目前矸石通过带式输送机至矸石仓存储，矸石仓矸石采用汽运运至沉陷区进行土地</w:t>
      </w:r>
      <w:r>
        <w:rPr>
          <w:rFonts w:ascii="SimSun" w:hAnsi="SimSun" w:eastAsia="SimSun" w:cs="SimSun"/>
          <w:sz w:val="24"/>
          <w:szCs w:val="24"/>
          <w:spacing w:val="-2"/>
        </w:rPr>
        <w:t>复垦。煤矿目前已形成沉陷区主要位于工业场地西侧、西北侧，正在采用变沉陷边充填</w:t>
      </w:r>
      <w:r>
        <w:rPr>
          <w:rFonts w:ascii="SimSun" w:hAnsi="SimSun" w:eastAsia="SimSun" w:cs="SimSun"/>
          <w:sz w:val="24"/>
          <w:szCs w:val="24"/>
          <w:spacing w:val="-2"/>
        </w:rPr>
        <w:t>的方式进行复垦。</w:t>
      </w:r>
    </w:p>
    <w:p>
      <w:pPr>
        <w:ind w:left="38" w:right="85" w:firstLine="479"/>
        <w:spacing w:before="2" w:line="338" w:lineRule="auto"/>
        <w:rPr>
          <w:rFonts w:ascii="SimSun" w:hAnsi="SimSun" w:eastAsia="SimSun" w:cs="SimSun"/>
          <w:sz w:val="24"/>
          <w:szCs w:val="24"/>
        </w:rPr>
      </w:pPr>
      <w:r>
        <w:rPr>
          <w:rFonts w:ascii="SimSun" w:hAnsi="SimSun" w:eastAsia="SimSun" w:cs="SimSun"/>
          <w:sz w:val="24"/>
          <w:szCs w:val="24"/>
          <w:spacing w:val="-2"/>
        </w:rPr>
        <w:t>矸石排放对环境的影响主要表现在对环境空气、水体和景观等环境要素影响上，其</w:t>
      </w:r>
      <w:r>
        <w:rPr>
          <w:rFonts w:ascii="SimSun" w:hAnsi="SimSun" w:eastAsia="SimSun" w:cs="SimSun"/>
          <w:sz w:val="24"/>
          <w:szCs w:val="24"/>
        </w:rPr>
        <w:t>影响程度与矸石的理化性质、矸石产量、矸石排</w:t>
      </w:r>
      <w:r>
        <w:rPr>
          <w:rFonts w:ascii="SimSun" w:hAnsi="SimSun" w:eastAsia="SimSun" w:cs="SimSun"/>
          <w:sz w:val="24"/>
          <w:szCs w:val="24"/>
          <w:spacing w:val="-1"/>
        </w:rPr>
        <w:t>放场地及处理方式有关。</w:t>
      </w:r>
    </w:p>
    <w:p>
      <w:pPr>
        <w:ind w:left="536"/>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1</w:t>
      </w:r>
      <w:r>
        <w:rPr>
          <w:rFonts w:ascii="SimSun" w:hAnsi="SimSun" w:eastAsia="SimSun" w:cs="SimSun"/>
          <w:sz w:val="24"/>
          <w:szCs w:val="24"/>
          <w:spacing w:val="-3"/>
        </w:rPr>
        <w:t>）排矸占地对生态环境的影响</w:t>
      </w:r>
    </w:p>
    <w:p>
      <w:pPr>
        <w:ind w:left="39" w:right="85" w:firstLine="480"/>
        <w:spacing w:before="153" w:line="339" w:lineRule="auto"/>
        <w:rPr>
          <w:rFonts w:ascii="SimSun" w:hAnsi="SimSun" w:eastAsia="SimSun" w:cs="SimSun"/>
          <w:sz w:val="24"/>
          <w:szCs w:val="24"/>
        </w:rPr>
      </w:pPr>
      <w:r>
        <w:rPr>
          <w:rFonts w:ascii="SimSun" w:hAnsi="SimSun" w:eastAsia="SimSun" w:cs="SimSun"/>
          <w:sz w:val="24"/>
          <w:szCs w:val="24"/>
          <w:spacing w:val="-2"/>
        </w:rPr>
        <w:t>本项目生产期间风选矸石全部运往沉陷区用于沉陷区充填，当充填至地表标高时覆</w:t>
      </w:r>
      <w:r>
        <w:rPr>
          <w:rFonts w:ascii="SimSun" w:hAnsi="SimSun" w:eastAsia="SimSun" w:cs="SimSun"/>
          <w:sz w:val="24"/>
          <w:szCs w:val="24"/>
          <w:spacing w:val="-1"/>
        </w:rPr>
        <w:t>土恢复植被，因此对沉陷区及周围景观影响很小。</w:t>
      </w:r>
    </w:p>
    <w:p>
      <w:pPr>
        <w:ind w:left="513"/>
        <w:spacing w:line="220"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）排矸对大气环境的影响及措施</w:t>
      </w:r>
    </w:p>
    <w:p>
      <w:pPr>
        <w:ind w:left="39" w:right="85" w:firstLine="480"/>
        <w:spacing w:before="155" w:line="338" w:lineRule="auto"/>
        <w:rPr>
          <w:rFonts w:ascii="SimSun" w:hAnsi="SimSun" w:eastAsia="SimSun" w:cs="SimSun"/>
          <w:sz w:val="24"/>
          <w:szCs w:val="24"/>
        </w:rPr>
      </w:pPr>
      <w:r>
        <w:rPr>
          <w:rFonts w:ascii="SimSun" w:hAnsi="SimSun" w:eastAsia="SimSun" w:cs="SimSun"/>
          <w:sz w:val="24"/>
          <w:szCs w:val="24"/>
          <w:spacing w:val="-2"/>
        </w:rPr>
        <w:t>本项目矸石主要用于沉陷区充填复垦，在沉陷区充填过程中扬尘将会对周围环境空</w:t>
      </w:r>
      <w:r>
        <w:rPr>
          <w:rFonts w:ascii="SimSun" w:hAnsi="SimSun" w:eastAsia="SimSun" w:cs="SimSun"/>
          <w:sz w:val="24"/>
          <w:szCs w:val="24"/>
          <w:spacing w:val="-2"/>
        </w:rPr>
        <w:t>气造成一定影响。固体物料起尘条件主要取决于其粒度、表面含水量和风速的大小。矸</w:t>
      </w:r>
      <w:r>
        <w:rPr>
          <w:rFonts w:ascii="SimSun" w:hAnsi="SimSun" w:eastAsia="SimSun" w:cs="SimSun"/>
          <w:sz w:val="24"/>
          <w:szCs w:val="24"/>
        </w:rPr>
        <w:t>石在堆放场的存放过程中，表面水分逐渐蒸发，遇到大</w:t>
      </w:r>
      <w:r>
        <w:rPr>
          <w:rFonts w:ascii="SimSun" w:hAnsi="SimSun" w:eastAsia="SimSun" w:cs="SimSun"/>
          <w:sz w:val="24"/>
          <w:szCs w:val="24"/>
          <w:spacing w:val="-1"/>
        </w:rPr>
        <w:t>风天气就易产生风蚀扬尘。</w:t>
      </w:r>
    </w:p>
    <w:p>
      <w:pPr>
        <w:ind w:left="38" w:right="85" w:firstLine="480"/>
        <w:spacing w:before="1" w:line="340" w:lineRule="auto"/>
        <w:jc w:val="both"/>
        <w:rPr>
          <w:rFonts w:ascii="SimSun" w:hAnsi="SimSun" w:eastAsia="SimSun" w:cs="SimSun"/>
          <w:sz w:val="24"/>
          <w:szCs w:val="24"/>
        </w:rPr>
      </w:pPr>
      <w:r>
        <w:rPr>
          <w:rFonts w:ascii="SimSun" w:hAnsi="SimSun" w:eastAsia="SimSun" w:cs="SimSun"/>
          <w:sz w:val="24"/>
          <w:szCs w:val="24"/>
          <w:spacing w:val="-2"/>
        </w:rPr>
        <w:t>沉陷区矸石充填复垦过程中主要采取作业面洒水降尘措施，充填过程中采取分层碾</w:t>
      </w:r>
      <w:r>
        <w:rPr>
          <w:rFonts w:ascii="SimSun" w:hAnsi="SimSun" w:eastAsia="SimSun" w:cs="SimSun"/>
          <w:sz w:val="24"/>
          <w:szCs w:val="24"/>
          <w:spacing w:val="-2"/>
        </w:rPr>
        <w:t>压措施，达到设计标高后覆盖土，及时采取播撒草籽措施，在采取相关措施后，本项目</w:t>
      </w:r>
      <w:r>
        <w:rPr>
          <w:rFonts w:ascii="SimSun" w:hAnsi="SimSun" w:eastAsia="SimSun" w:cs="SimSun"/>
          <w:sz w:val="24"/>
          <w:szCs w:val="24"/>
          <w:spacing w:val="-1"/>
        </w:rPr>
        <w:t>排矸扬尘仅对周围环境空气不利影响较小。</w:t>
      </w:r>
    </w:p>
    <w:p>
      <w:pPr>
        <w:spacing w:line="340" w:lineRule="auto"/>
        <w:sectPr>
          <w:headerReference w:type="default" r:id="rId454"/>
          <w:footerReference w:type="default" r:id="rId455"/>
          <w:pgSz w:w="11906" w:h="16838"/>
          <w:pgMar w:top="1170" w:right="1332" w:bottom="1080" w:left="1387" w:header="837" w:footer="918" w:gutter="0"/>
        </w:sectPr>
        <w:rPr>
          <w:rFonts w:ascii="SimSun" w:hAnsi="SimSun" w:eastAsia="SimSun" w:cs="SimSun"/>
          <w:sz w:val="24"/>
          <w:szCs w:val="24"/>
        </w:rPr>
      </w:pPr>
    </w:p>
    <w:p>
      <w:pPr>
        <w:pStyle w:val="BodyText"/>
        <w:spacing w:line="345" w:lineRule="auto"/>
        <w:rPr/>
      </w:pPr>
      <w:r/>
    </w:p>
    <w:p>
      <w:pPr>
        <w:ind w:left="8"/>
        <w:spacing w:before="78" w:line="222" w:lineRule="auto"/>
        <w:rPr>
          <w:rFonts w:ascii="SimHei" w:hAnsi="SimHei" w:eastAsia="SimHei" w:cs="SimHei"/>
          <w:sz w:val="24"/>
          <w:szCs w:val="24"/>
        </w:rPr>
      </w:pPr>
      <w:bookmarkStart w:name="bookmark101" w:id="62"/>
      <w:bookmarkEnd w:id="62"/>
      <w:r>
        <w:rPr>
          <w:rFonts w:ascii="Times New Roman" w:hAnsi="Times New Roman" w:eastAsia="Times New Roman" w:cs="Times New Roman"/>
          <w:sz w:val="24"/>
          <w:szCs w:val="24"/>
          <w:b/>
          <w:bCs/>
          <w:spacing w:val="-2"/>
        </w:rPr>
        <w:t>5.6.2.3 </w:t>
      </w:r>
      <w:r>
        <w:rPr>
          <w:rFonts w:ascii="SimHei" w:hAnsi="SimHei" w:eastAsia="SimHei" w:cs="SimHei"/>
          <w:sz w:val="24"/>
          <w:szCs w:val="24"/>
          <w:b/>
          <w:bCs/>
          <w:spacing w:val="-2"/>
        </w:rPr>
        <w:t>其他固废处置对环境的影响分析</w:t>
      </w:r>
    </w:p>
    <w:p>
      <w:pPr>
        <w:ind w:left="512"/>
        <w:spacing w:before="158" w:line="220" w:lineRule="auto"/>
        <w:rPr>
          <w:rFonts w:ascii="SimSun" w:hAnsi="SimSun" w:eastAsia="SimSun" w:cs="SimSun"/>
          <w:sz w:val="24"/>
          <w:szCs w:val="24"/>
        </w:rPr>
      </w:pPr>
      <w:r>
        <w:rPr>
          <w:rFonts w:ascii="Times New Roman" w:hAnsi="Times New Roman" w:eastAsia="Times New Roman" w:cs="Times New Roman"/>
          <w:sz w:val="24"/>
          <w:szCs w:val="24"/>
          <w:spacing w:val="-8"/>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8"/>
        </w:rPr>
        <w:t>、土岩剥离物</w:t>
      </w:r>
    </w:p>
    <w:p>
      <w:pPr>
        <w:ind w:left="493"/>
        <w:spacing w:before="155" w:line="219" w:lineRule="auto"/>
        <w:rPr>
          <w:rFonts w:ascii="SimSun" w:hAnsi="SimSun" w:eastAsia="SimSun" w:cs="SimSun"/>
          <w:sz w:val="24"/>
          <w:szCs w:val="24"/>
        </w:rPr>
      </w:pPr>
      <w:r>
        <w:rPr>
          <w:rFonts w:ascii="SimSun" w:hAnsi="SimSun" w:eastAsia="SimSun" w:cs="SimSun"/>
          <w:sz w:val="24"/>
          <w:szCs w:val="24"/>
        </w:rPr>
        <w:t>采掘场的土岩剥离物部分用于沉陷区充填，</w:t>
      </w:r>
      <w:r>
        <w:rPr>
          <w:rFonts w:ascii="SimSun" w:hAnsi="SimSun" w:eastAsia="SimSun" w:cs="SimSun"/>
          <w:sz w:val="24"/>
          <w:szCs w:val="24"/>
          <w:spacing w:val="-1"/>
        </w:rPr>
        <w:t>部分运送至内排土场。</w:t>
      </w:r>
    </w:p>
    <w:p>
      <w:pPr>
        <w:ind w:left="485"/>
        <w:spacing w:before="155" w:line="220"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、生活垃圾</w:t>
      </w:r>
    </w:p>
    <w:p>
      <w:pPr>
        <w:ind w:left="13" w:right="85" w:firstLine="482"/>
        <w:spacing w:before="152" w:line="339" w:lineRule="auto"/>
        <w:rPr>
          <w:rFonts w:ascii="SimSun" w:hAnsi="SimSun" w:eastAsia="SimSun" w:cs="SimSun"/>
          <w:sz w:val="24"/>
          <w:szCs w:val="24"/>
        </w:rPr>
      </w:pPr>
      <w:r>
        <w:rPr>
          <w:rFonts w:ascii="SimSun" w:hAnsi="SimSun" w:eastAsia="SimSun" w:cs="SimSun"/>
          <w:sz w:val="24"/>
          <w:szCs w:val="24"/>
          <w:spacing w:val="-2"/>
        </w:rPr>
        <w:t>生活垃圾的总产生量为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11t/a</w:t>
      </w:r>
      <w:r>
        <w:rPr>
          <w:rFonts w:ascii="SimSun" w:hAnsi="SimSun" w:eastAsia="SimSun" w:cs="SimSun"/>
          <w:sz w:val="24"/>
          <w:szCs w:val="24"/>
          <w:spacing w:val="-2"/>
        </w:rPr>
        <w:t>，工业场地</w:t>
      </w:r>
      <w:r>
        <w:rPr>
          <w:rFonts w:ascii="SimSun" w:hAnsi="SimSun" w:eastAsia="SimSun" w:cs="SimSun"/>
          <w:sz w:val="24"/>
          <w:szCs w:val="24"/>
          <w:spacing w:val="-3"/>
        </w:rPr>
        <w:t>内设置垃圾桶，配备垃圾车定时清运生</w:t>
      </w:r>
      <w:r>
        <w:rPr>
          <w:rFonts w:ascii="SimSun" w:hAnsi="SimSun" w:eastAsia="SimSun" w:cs="SimSun"/>
          <w:sz w:val="24"/>
          <w:szCs w:val="24"/>
          <w:spacing w:val="-1"/>
        </w:rPr>
        <w:t>活垃圾，生活垃圾统一收集委托西乌旗环卫部门处置统一收集处理。</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、生活污水处理站污泥</w:t>
      </w:r>
    </w:p>
    <w:p>
      <w:pPr>
        <w:ind w:left="11" w:right="85" w:firstLine="512"/>
        <w:spacing w:before="153" w:line="339" w:lineRule="auto"/>
        <w:rPr>
          <w:rFonts w:ascii="SimSun" w:hAnsi="SimSun" w:eastAsia="SimSun" w:cs="SimSun"/>
          <w:sz w:val="24"/>
          <w:szCs w:val="24"/>
        </w:rPr>
      </w:pPr>
      <w:r>
        <w:rPr>
          <w:rFonts w:ascii="SimSun" w:hAnsi="SimSun" w:eastAsia="SimSun" w:cs="SimSun"/>
          <w:sz w:val="24"/>
          <w:szCs w:val="24"/>
          <w:spacing w:val="-3"/>
        </w:rPr>
        <w:t>白音华四号矿生活污水处理站污泥产生量为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18.7t/a</w:t>
      </w:r>
      <w:r>
        <w:rPr>
          <w:rFonts w:ascii="SimSun" w:hAnsi="SimSun" w:eastAsia="SimSun" w:cs="SimSun"/>
          <w:sz w:val="24"/>
          <w:szCs w:val="24"/>
          <w:spacing w:val="-3"/>
        </w:rPr>
        <w:t>。白音华四号矿生活污水处</w:t>
      </w:r>
      <w:r>
        <w:rPr>
          <w:rFonts w:ascii="SimSun" w:hAnsi="SimSun" w:eastAsia="SimSun" w:cs="SimSun"/>
          <w:sz w:val="24"/>
          <w:szCs w:val="24"/>
          <w:spacing w:val="-4"/>
        </w:rPr>
        <w:t>理厂</w:t>
      </w:r>
      <w:r>
        <w:rPr>
          <w:rFonts w:ascii="SimSun" w:hAnsi="SimSun" w:eastAsia="SimSun" w:cs="SimSun"/>
          <w:sz w:val="24"/>
          <w:szCs w:val="24"/>
          <w:spacing w:val="-1"/>
        </w:rPr>
        <w:t>污泥经压滤后，与生活垃圾一起，由西乌旗环卫部门统一收集处置。</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、矿井水处理站煤泥</w:t>
      </w:r>
    </w:p>
    <w:p>
      <w:pPr>
        <w:ind w:left="14" w:right="85" w:firstLine="479"/>
        <w:spacing w:before="154" w:line="339" w:lineRule="auto"/>
        <w:rPr>
          <w:rFonts w:ascii="SimSun" w:hAnsi="SimSun" w:eastAsia="SimSun" w:cs="SimSun"/>
          <w:sz w:val="24"/>
          <w:szCs w:val="24"/>
        </w:rPr>
      </w:pPr>
      <w:r>
        <w:rPr>
          <w:rFonts w:ascii="SimSun" w:hAnsi="SimSun" w:eastAsia="SimSun" w:cs="SimSun"/>
          <w:sz w:val="24"/>
          <w:szCs w:val="24"/>
          <w:spacing w:val="-3"/>
        </w:rPr>
        <w:t>矿井（坑）水处理站煤泥的总产生量为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171.92t/a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，矿井（坑）水处理站煤泥处理方</w:t>
      </w:r>
      <w:r>
        <w:rPr>
          <w:rFonts w:ascii="SimSun" w:hAnsi="SimSun" w:eastAsia="SimSun" w:cs="SimSun"/>
          <w:sz w:val="24"/>
          <w:szCs w:val="24"/>
          <w:spacing w:val="-1"/>
        </w:rPr>
        <w:t>式均为定期与煤炭产品一同外运销售。</w:t>
      </w:r>
    </w:p>
    <w:p>
      <w:pPr>
        <w:ind w:left="491"/>
        <w:spacing w:line="220" w:lineRule="auto"/>
        <w:rPr>
          <w:rFonts w:ascii="SimSun" w:hAnsi="SimSun" w:eastAsia="SimSun" w:cs="SimSun"/>
          <w:sz w:val="24"/>
          <w:szCs w:val="24"/>
        </w:rPr>
      </w:pPr>
      <w:r>
        <w:rPr>
          <w:rFonts w:ascii="Times New Roman" w:hAnsi="Times New Roman" w:eastAsia="Times New Roman" w:cs="Times New Roman"/>
          <w:sz w:val="24"/>
          <w:szCs w:val="24"/>
          <w:spacing w:val="-7"/>
        </w:rPr>
        <w:t>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7"/>
        </w:rPr>
        <w:t>、危险废物</w:t>
      </w:r>
    </w:p>
    <w:p>
      <w:pPr>
        <w:ind w:left="8" w:firstLine="481"/>
        <w:spacing w:before="152" w:line="342" w:lineRule="auto"/>
        <w:rPr>
          <w:rFonts w:ascii="SimSun" w:hAnsi="SimSun" w:eastAsia="SimSun" w:cs="SimSun"/>
          <w:sz w:val="24"/>
          <w:szCs w:val="24"/>
        </w:rPr>
      </w:pPr>
      <w:r>
        <w:rPr>
          <w:rFonts w:ascii="SimSun" w:hAnsi="SimSun" w:eastAsia="SimSun" w:cs="SimSun"/>
          <w:sz w:val="24"/>
          <w:szCs w:val="24"/>
          <w:spacing w:val="-8"/>
        </w:rPr>
        <w:t>本项目运营期产生的危险废物包括废矿物油、废电瓶。其产生量分别为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8"/>
        </w:rPr>
        <w:t>20t/a</w:t>
      </w:r>
      <w:r>
        <w:rPr>
          <w:rFonts w:ascii="SimSun" w:hAnsi="SimSun" w:eastAsia="SimSun" w:cs="SimSun"/>
          <w:sz w:val="24"/>
          <w:szCs w:val="24"/>
          <w:spacing w:val="-8"/>
        </w:rPr>
        <w:t>、</w:t>
      </w:r>
      <w:r>
        <w:rPr>
          <w:rFonts w:ascii="Times New Roman" w:hAnsi="Times New Roman" w:eastAsia="Times New Roman" w:cs="Times New Roman"/>
          <w:sz w:val="24"/>
          <w:szCs w:val="24"/>
          <w:spacing w:val="-8"/>
        </w:rPr>
        <w:t>2.5t/a</w:t>
      </w:r>
      <w:r>
        <w:rPr>
          <w:rFonts w:ascii="SimSun" w:hAnsi="SimSun" w:eastAsia="SimSun" w:cs="SimSun"/>
          <w:sz w:val="24"/>
          <w:szCs w:val="24"/>
          <w:spacing w:val="-8"/>
        </w:rPr>
        <w:t>。</w:t>
      </w:r>
      <w:r>
        <w:rPr>
          <w:rFonts w:ascii="SimSun" w:hAnsi="SimSun" w:eastAsia="SimSun" w:cs="SimSun"/>
          <w:sz w:val="24"/>
          <w:szCs w:val="24"/>
        </w:rPr>
        <w:t>废矿物油及废电池均暂存在危废暂存间，定期交予具有</w:t>
      </w:r>
      <w:r>
        <w:rPr>
          <w:rFonts w:ascii="SimSun" w:hAnsi="SimSun" w:eastAsia="SimSun" w:cs="SimSun"/>
          <w:sz w:val="24"/>
          <w:szCs w:val="24"/>
          <w:spacing w:val="-1"/>
        </w:rPr>
        <w:t>资质的单位进行处置。</w:t>
      </w:r>
    </w:p>
    <w:p>
      <w:pPr>
        <w:ind w:left="10"/>
        <w:spacing w:before="231" w:line="222" w:lineRule="auto"/>
        <w:outlineLvl w:val="1"/>
        <w:rPr>
          <w:rFonts w:ascii="SimHei" w:hAnsi="SimHei" w:eastAsia="SimHei" w:cs="SimHei"/>
          <w:sz w:val="30"/>
          <w:szCs w:val="30"/>
        </w:rPr>
      </w:pPr>
      <w:bookmarkStart w:name="bookmark35" w:id="63"/>
      <w:bookmarkEnd w:id="63"/>
      <w:r>
        <w:rPr>
          <w:rFonts w:ascii="Times New Roman" w:hAnsi="Times New Roman" w:eastAsia="Times New Roman" w:cs="Times New Roman"/>
          <w:sz w:val="30"/>
          <w:szCs w:val="30"/>
          <w:b/>
          <w:bCs/>
          <w:spacing w:val="-3"/>
        </w:rPr>
        <w:t>5.7  </w:t>
      </w:r>
      <w:r>
        <w:rPr>
          <w:rFonts w:ascii="SimHei" w:hAnsi="SimHei" w:eastAsia="SimHei" w:cs="SimHei"/>
          <w:sz w:val="30"/>
          <w:szCs w:val="30"/>
          <w:b/>
          <w:bCs/>
          <w:spacing w:val="-3"/>
        </w:rPr>
        <w:t>土壤环境影响分析</w:t>
      </w:r>
    </w:p>
    <w:p>
      <w:pPr>
        <w:ind w:left="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5.7.1 </w:t>
      </w:r>
      <w:r>
        <w:rPr>
          <w:rFonts w:ascii="SimHei" w:hAnsi="SimHei" w:eastAsia="SimHei" w:cs="SimHei"/>
          <w:sz w:val="28"/>
          <w:szCs w:val="28"/>
          <w:b/>
          <w:bCs/>
          <w:spacing w:val="-2"/>
        </w:rPr>
        <w:t>生态影响型影响预测与评价</w:t>
      </w:r>
    </w:p>
    <w:p>
      <w:pPr>
        <w:ind w:left="9" w:right="85" w:firstLine="485"/>
        <w:spacing w:before="171" w:line="339" w:lineRule="auto"/>
        <w:rPr>
          <w:rFonts w:ascii="SimSun" w:hAnsi="SimSun" w:eastAsia="SimSun" w:cs="SimSun"/>
          <w:sz w:val="24"/>
          <w:szCs w:val="24"/>
        </w:rPr>
      </w:pPr>
      <w:r>
        <w:rPr>
          <w:rFonts w:ascii="SimSun" w:hAnsi="SimSun" w:eastAsia="SimSun" w:cs="SimSun"/>
          <w:sz w:val="24"/>
          <w:szCs w:val="24"/>
          <w:spacing w:val="-2"/>
        </w:rPr>
        <w:t>露天区开采对土壤产生的生态影响为地下水位变化引起的盐化影响，以及开采扬尘</w:t>
      </w:r>
      <w:r>
        <w:rPr>
          <w:rFonts w:ascii="SimSun" w:hAnsi="SimSun" w:eastAsia="SimSun" w:cs="SimSun"/>
          <w:sz w:val="24"/>
          <w:szCs w:val="24"/>
          <w:spacing w:val="-1"/>
        </w:rPr>
        <w:t>通过大气沉降、地表淋溶作用使周围土壤酸化和碱化。</w:t>
      </w:r>
    </w:p>
    <w:p>
      <w:pPr>
        <w:ind w:left="495"/>
        <w:spacing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）地下水位降对土壤产生的影响</w:t>
      </w:r>
    </w:p>
    <w:p>
      <w:pPr>
        <w:ind w:left="11" w:right="72" w:firstLine="507"/>
        <w:spacing w:before="153" w:line="339" w:lineRule="auto"/>
        <w:rPr>
          <w:rFonts w:ascii="SimSun" w:hAnsi="SimSun" w:eastAsia="SimSun" w:cs="SimSun"/>
          <w:sz w:val="24"/>
          <w:szCs w:val="24"/>
        </w:rPr>
      </w:pPr>
      <w:r>
        <w:rPr>
          <w:rFonts w:ascii="SimSun" w:hAnsi="SimSun" w:eastAsia="SimSun" w:cs="SimSun"/>
          <w:sz w:val="24"/>
          <w:szCs w:val="24"/>
          <w:spacing w:val="-2"/>
        </w:rPr>
        <w:t>由于本项目矿田周边分布多座煤矿企业，因露</w:t>
      </w:r>
      <w:r>
        <w:rPr>
          <w:rFonts w:ascii="SimSun" w:hAnsi="SimSun" w:eastAsia="SimSun" w:cs="SimSun"/>
          <w:sz w:val="24"/>
          <w:szCs w:val="24"/>
          <w:spacing w:val="-3"/>
        </w:rPr>
        <w:t>天煤矿开采对地下水累积影响，已造</w:t>
      </w:r>
      <w:r>
        <w:rPr>
          <w:rFonts w:ascii="SimSun" w:hAnsi="SimSun" w:eastAsia="SimSun" w:cs="SimSun"/>
          <w:sz w:val="24"/>
          <w:szCs w:val="24"/>
          <w:spacing w:val="-1"/>
        </w:rPr>
        <w:t>成项目区域潜水含水层消失，因此不会造成因地下水水位下降而</w:t>
      </w:r>
      <w:r>
        <w:rPr>
          <w:rFonts w:ascii="SimSun" w:hAnsi="SimSun" w:eastAsia="SimSun" w:cs="SimSun"/>
          <w:sz w:val="24"/>
          <w:szCs w:val="24"/>
          <w:spacing w:val="-2"/>
        </w:rPr>
        <w:t>导致的土壤盐化问题。</w:t>
      </w:r>
    </w:p>
    <w:p>
      <w:pPr>
        <w:ind w:left="507"/>
        <w:spacing w:before="1"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）开采扬尘对土壤产生的影响</w:t>
      </w:r>
    </w:p>
    <w:p>
      <w:pPr>
        <w:ind w:left="8" w:right="85" w:firstLine="486"/>
        <w:spacing w:before="156" w:line="338" w:lineRule="auto"/>
        <w:rPr>
          <w:rFonts w:ascii="SimSun" w:hAnsi="SimSun" w:eastAsia="SimSun" w:cs="SimSun"/>
          <w:sz w:val="24"/>
          <w:szCs w:val="24"/>
        </w:rPr>
      </w:pPr>
      <w:r>
        <w:rPr>
          <w:rFonts w:ascii="SimSun" w:hAnsi="SimSun" w:eastAsia="SimSun" w:cs="SimSun"/>
          <w:sz w:val="24"/>
          <w:szCs w:val="24"/>
          <w:spacing w:val="-2"/>
        </w:rPr>
        <w:t>露天矿岩土剥离物包括第四系第层、含煤地层；在矿田开采过程中，剥离物产生的</w:t>
      </w:r>
      <w:r>
        <w:rPr>
          <w:rFonts w:ascii="SimSun" w:hAnsi="SimSun" w:eastAsia="SimSun" w:cs="SimSun"/>
          <w:sz w:val="24"/>
          <w:szCs w:val="24"/>
          <w:spacing w:val="-2"/>
        </w:rPr>
        <w:t>扬尘会向开区周边扩散并通大气沉降作用和雨水淋溶对周围土壤产生影。根据同类项目</w:t>
      </w:r>
      <w:r>
        <w:rPr>
          <w:rFonts w:ascii="SimSun" w:hAnsi="SimSun" w:eastAsia="SimSun" w:cs="SimSun"/>
          <w:sz w:val="24"/>
          <w:szCs w:val="24"/>
        </w:rPr>
        <w:t>浸出实验结果，剥离物混合样</w:t>
      </w:r>
      <w:r>
        <w:rPr>
          <w:rFonts w:ascii="SimSun" w:hAnsi="SimSun" w:eastAsia="SimSun" w:cs="SimSun"/>
          <w:sz w:val="24"/>
          <w:szCs w:val="24"/>
          <w:spacing w:val="-56"/>
        </w:rPr>
        <w:t xml:space="preserve"> </w:t>
      </w:r>
      <w:r>
        <w:rPr>
          <w:rFonts w:ascii="Times New Roman" w:hAnsi="Times New Roman" w:eastAsia="Times New Roman" w:cs="Times New Roman"/>
          <w:sz w:val="24"/>
          <w:szCs w:val="24"/>
        </w:rPr>
        <w:t>pH </w:t>
      </w:r>
      <w:r>
        <w:rPr>
          <w:rFonts w:ascii="SimSun" w:hAnsi="SimSun" w:eastAsia="SimSun" w:cs="SimSun"/>
          <w:sz w:val="24"/>
          <w:szCs w:val="24"/>
        </w:rPr>
        <w:t>偏中性，因此剥离沉降物质不会对土壤产生酸化和碱</w:t>
      </w:r>
      <w:r>
        <w:rPr>
          <w:rFonts w:ascii="SimSun" w:hAnsi="SimSun" w:eastAsia="SimSun" w:cs="SimSun"/>
          <w:sz w:val="24"/>
          <w:szCs w:val="24"/>
          <w:spacing w:val="-3"/>
        </w:rPr>
        <w:t>化影响。</w:t>
      </w:r>
    </w:p>
    <w:p>
      <w:pPr>
        <w:ind w:left="9"/>
        <w:spacing w:before="9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5.7.2 </w:t>
      </w:r>
      <w:r>
        <w:rPr>
          <w:rFonts w:ascii="SimHei" w:hAnsi="SimHei" w:eastAsia="SimHei" w:cs="SimHei"/>
          <w:sz w:val="28"/>
          <w:szCs w:val="28"/>
          <w:b/>
          <w:bCs/>
          <w:spacing w:val="-2"/>
        </w:rPr>
        <w:t>污染影响型土壤环境影响分析</w:t>
      </w:r>
    </w:p>
    <w:p>
      <w:pPr>
        <w:ind w:left="508"/>
        <w:spacing w:before="168"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4"/>
        </w:rPr>
        <w:t>、矿田开采扬尘对土壤产生的影响</w:t>
      </w:r>
    </w:p>
    <w:p>
      <w:pPr>
        <w:spacing w:line="219" w:lineRule="auto"/>
        <w:sectPr>
          <w:headerReference w:type="default" r:id="rId6"/>
          <w:footerReference w:type="default" r:id="rId456"/>
          <w:pgSz w:w="11906" w:h="16838"/>
          <w:pgMar w:top="1170" w:right="1332" w:bottom="1080" w:left="1416" w:header="837" w:footer="918" w:gutter="0"/>
        </w:sectPr>
        <w:rPr>
          <w:rFonts w:ascii="SimSun" w:hAnsi="SimSun" w:eastAsia="SimSun" w:cs="SimSun"/>
          <w:sz w:val="24"/>
          <w:szCs w:val="24"/>
        </w:rPr>
      </w:pPr>
    </w:p>
    <w:p>
      <w:pPr>
        <w:pStyle w:val="BodyText"/>
        <w:spacing w:line="314" w:lineRule="auto"/>
        <w:rPr/>
      </w:pPr>
      <w:r/>
    </w:p>
    <w:p>
      <w:pPr>
        <w:ind w:left="8" w:right="66" w:firstLine="481"/>
        <w:spacing w:before="78" w:line="338" w:lineRule="auto"/>
        <w:jc w:val="both"/>
        <w:rPr>
          <w:rFonts w:ascii="SimSun" w:hAnsi="SimSun" w:eastAsia="SimSun" w:cs="SimSun"/>
          <w:sz w:val="24"/>
          <w:szCs w:val="24"/>
        </w:rPr>
      </w:pPr>
      <w:bookmarkStart w:name="bookmark102" w:id="64"/>
      <w:bookmarkEnd w:id="64"/>
      <w:r>
        <w:rPr>
          <w:rFonts w:ascii="SimSun" w:hAnsi="SimSun" w:eastAsia="SimSun" w:cs="SimSun"/>
          <w:sz w:val="24"/>
          <w:szCs w:val="24"/>
          <w:spacing w:val="-2"/>
        </w:rPr>
        <w:t>煤矿岩土剥离物包括第四系风积砂、冲洪积砂、砾石及砂土所构成；在矿田开采过</w:t>
      </w:r>
      <w:r>
        <w:rPr>
          <w:rFonts w:ascii="SimSun" w:hAnsi="SimSun" w:eastAsia="SimSun" w:cs="SimSun"/>
          <w:sz w:val="24"/>
          <w:szCs w:val="24"/>
          <w:spacing w:val="-2"/>
        </w:rPr>
        <w:t>程中，剥离物产生的扬尘会像开采区周边扩散，并通过大气沉降作用和雨水淋溶对周围</w:t>
      </w:r>
      <w:r>
        <w:rPr>
          <w:rFonts w:ascii="SimSun" w:hAnsi="SimSun" w:eastAsia="SimSun" w:cs="SimSun"/>
          <w:sz w:val="24"/>
          <w:szCs w:val="24"/>
          <w:spacing w:val="-2"/>
        </w:rPr>
        <w:t>土壤产生影响。</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、排土场对土壤环境影响分析</w:t>
      </w:r>
    </w:p>
    <w:p>
      <w:pPr>
        <w:ind w:left="9" w:firstLine="480"/>
        <w:spacing w:before="154" w:line="338" w:lineRule="auto"/>
        <w:rPr>
          <w:rFonts w:ascii="SimSun" w:hAnsi="SimSun" w:eastAsia="SimSun" w:cs="SimSun"/>
          <w:sz w:val="24"/>
          <w:szCs w:val="24"/>
        </w:rPr>
      </w:pPr>
      <w:r>
        <w:rPr>
          <w:rFonts w:ascii="SimSun" w:hAnsi="SimSun" w:eastAsia="SimSun" w:cs="SimSun"/>
          <w:sz w:val="24"/>
          <w:szCs w:val="24"/>
        </w:rPr>
        <w:t>排土场对周边土壤的影响途径包括大气沉降、排土场侵蚀同时对周边的地面漫流、</w:t>
      </w:r>
      <w:r>
        <w:rPr>
          <w:rFonts w:ascii="SimSun" w:hAnsi="SimSun" w:eastAsia="SimSun" w:cs="SimSun"/>
          <w:sz w:val="24"/>
          <w:szCs w:val="24"/>
          <w:spacing w:val="-1"/>
        </w:rPr>
        <w:t>垂直入渗。从现状环境质量监测，排土场各</w:t>
      </w:r>
      <w:r>
        <w:rPr>
          <w:rFonts w:ascii="SimSun" w:hAnsi="SimSun" w:eastAsia="SimSun" w:cs="SimSun"/>
          <w:sz w:val="24"/>
          <w:szCs w:val="24"/>
          <w:spacing w:val="-2"/>
        </w:rPr>
        <w:t>监测因子均未超过《土壤环境质量  建设用</w:t>
      </w:r>
      <w:r>
        <w:rPr>
          <w:rFonts w:ascii="SimSun" w:hAnsi="SimSun" w:eastAsia="SimSun" w:cs="SimSun"/>
          <w:sz w:val="24"/>
          <w:szCs w:val="24"/>
          <w:spacing w:val="-6"/>
        </w:rPr>
        <w:t>地土壤污染风险管控标准（试行）》（</w:t>
      </w:r>
      <w:r>
        <w:rPr>
          <w:rFonts w:ascii="Times New Roman" w:hAnsi="Times New Roman" w:eastAsia="Times New Roman" w:cs="Times New Roman"/>
          <w:sz w:val="24"/>
          <w:szCs w:val="24"/>
          <w:spacing w:val="-6"/>
        </w:rPr>
        <w:t>GB36600-2018</w:t>
      </w:r>
      <w:r>
        <w:rPr>
          <w:rFonts w:ascii="SimSun" w:hAnsi="SimSun" w:eastAsia="SimSun" w:cs="SimSun"/>
          <w:sz w:val="24"/>
          <w:szCs w:val="24"/>
          <w:spacing w:val="-7"/>
        </w:rPr>
        <w:t>）中第二类用地筛选值的限值要求，</w:t>
      </w:r>
      <w:r>
        <w:rPr>
          <w:rFonts w:ascii="SimSun" w:hAnsi="SimSun" w:eastAsia="SimSun" w:cs="SimSun"/>
          <w:sz w:val="24"/>
          <w:szCs w:val="24"/>
          <w:spacing w:val="2"/>
        </w:rPr>
        <w:t>盐类物质含量、</w:t>
      </w:r>
      <w:r>
        <w:rPr>
          <w:rFonts w:ascii="Times New Roman" w:hAnsi="Times New Roman" w:eastAsia="Times New Roman" w:cs="Times New Roman"/>
          <w:sz w:val="24"/>
          <w:szCs w:val="24"/>
        </w:rPr>
        <w:t>pH</w:t>
      </w:r>
      <w:r>
        <w:rPr>
          <w:rFonts w:ascii="Times New Roman" w:hAnsi="Times New Roman" w:eastAsia="Times New Roman" w:cs="Times New Roman"/>
          <w:sz w:val="24"/>
          <w:szCs w:val="24"/>
          <w:spacing w:val="2"/>
        </w:rPr>
        <w:t xml:space="preserve"> </w:t>
      </w:r>
      <w:r>
        <w:rPr>
          <w:rFonts w:ascii="SimSun" w:hAnsi="SimSun" w:eastAsia="SimSun" w:cs="SimSun"/>
          <w:sz w:val="24"/>
          <w:szCs w:val="24"/>
          <w:spacing w:val="2"/>
        </w:rPr>
        <w:t>值与周边土壤环境几乎一</w:t>
      </w:r>
      <w:r>
        <w:rPr>
          <w:rFonts w:ascii="SimSun" w:hAnsi="SimSun" w:eastAsia="SimSun" w:cs="SimSun"/>
          <w:sz w:val="24"/>
          <w:szCs w:val="24"/>
          <w:spacing w:val="1"/>
        </w:rPr>
        <w:t>致，因此本次工程剥离物也不会因堆放引</w:t>
      </w:r>
      <w:r>
        <w:rPr>
          <w:rFonts w:ascii="SimSun" w:hAnsi="SimSun" w:eastAsia="SimSun" w:cs="SimSun"/>
          <w:sz w:val="24"/>
          <w:szCs w:val="24"/>
          <w:spacing w:val="-1"/>
        </w:rPr>
        <w:t>起排土场区域</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值发生变化及土壤含盐量增加。</w:t>
      </w:r>
    </w:p>
    <w:p>
      <w:pPr>
        <w:ind w:left="489"/>
        <w:spacing w:before="2" w:line="220"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、剥离物对土壤影响分析</w:t>
      </w:r>
    </w:p>
    <w:p>
      <w:pPr>
        <w:ind w:left="10" w:right="66" w:firstLine="484"/>
        <w:spacing w:before="157" w:line="338" w:lineRule="auto"/>
        <w:rPr>
          <w:rFonts w:ascii="SimSun" w:hAnsi="SimSun" w:eastAsia="SimSun" w:cs="SimSun"/>
          <w:sz w:val="24"/>
          <w:szCs w:val="24"/>
        </w:rPr>
      </w:pPr>
      <w:r>
        <w:rPr>
          <w:rFonts w:ascii="SimSun" w:hAnsi="SimSun" w:eastAsia="SimSun" w:cs="SimSun"/>
          <w:sz w:val="24"/>
          <w:szCs w:val="24"/>
          <w:spacing w:val="-2"/>
        </w:rPr>
        <w:t>露天煤矿在开采过程中将剥离大量的固体废弃物，一般由砂石、泥岩、煤层夹矸等</w:t>
      </w:r>
      <w:r>
        <w:rPr>
          <w:rFonts w:ascii="SimSun" w:hAnsi="SimSun" w:eastAsia="SimSun" w:cs="SimSun"/>
          <w:sz w:val="24"/>
          <w:szCs w:val="24"/>
          <w:spacing w:val="-2"/>
        </w:rPr>
        <w:t>组成，剥离物的堆存对土壤会产生影响，其影响程度与剥离物的理化性质、排弃量、排</w:t>
      </w:r>
      <w:r>
        <w:rPr>
          <w:rFonts w:ascii="SimSun" w:hAnsi="SimSun" w:eastAsia="SimSun" w:cs="SimSun"/>
          <w:sz w:val="24"/>
          <w:szCs w:val="24"/>
          <w:spacing w:val="-1"/>
        </w:rPr>
        <w:t>土场场地及处理方式有关。</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）剥离物类别</w:t>
      </w:r>
    </w:p>
    <w:p>
      <w:pPr>
        <w:ind w:left="9" w:firstLine="480"/>
        <w:spacing w:before="157" w:line="338" w:lineRule="auto"/>
        <w:rPr>
          <w:rFonts w:ascii="SimSun" w:hAnsi="SimSun" w:eastAsia="SimSun" w:cs="SimSun"/>
          <w:sz w:val="24"/>
          <w:szCs w:val="24"/>
        </w:rPr>
      </w:pPr>
      <w:r>
        <w:rPr>
          <w:rFonts w:ascii="SimSun" w:hAnsi="SimSun" w:eastAsia="SimSun" w:cs="SimSun"/>
          <w:sz w:val="24"/>
          <w:szCs w:val="24"/>
          <w:spacing w:val="-2"/>
        </w:rPr>
        <w:t>根据收集的验收报告中关于剥离物固体废物监测结果及根据《露天矿地下水环境影</w:t>
      </w:r>
      <w:r>
        <w:rPr>
          <w:rFonts w:ascii="SimSun" w:hAnsi="SimSun" w:eastAsia="SimSun" w:cs="SimSun"/>
          <w:sz w:val="24"/>
          <w:szCs w:val="24"/>
          <w:spacing w:val="1"/>
        </w:rPr>
        <w:t>响评价若干问题的探讨》（黄劲松 宋鹭</w:t>
      </w:r>
      <w:r>
        <w:rPr>
          <w:rFonts w:ascii="SimSun" w:hAnsi="SimSun" w:eastAsia="SimSun" w:cs="SimSun"/>
          <w:sz w:val="24"/>
          <w:szCs w:val="24"/>
          <w:spacing w:val="9"/>
        </w:rPr>
        <w:t>），</w:t>
      </w:r>
      <w:r>
        <w:rPr>
          <w:rFonts w:ascii="SimSun" w:hAnsi="SimSun" w:eastAsia="SimSun" w:cs="SimSun"/>
          <w:sz w:val="24"/>
          <w:szCs w:val="24"/>
          <w:spacing w:val="1"/>
        </w:rPr>
        <w:t>我国现已开发的大型露天矿排土场均按一</w:t>
      </w:r>
      <w:r>
        <w:rPr>
          <w:rFonts w:ascii="SimSun" w:hAnsi="SimSun" w:eastAsia="SimSun" w:cs="SimSun"/>
          <w:sz w:val="24"/>
          <w:szCs w:val="24"/>
          <w:spacing w:val="3"/>
        </w:rPr>
        <w:t>类处置场进行设计，迄今位置未发生地下及地表</w:t>
      </w:r>
      <w:r>
        <w:rPr>
          <w:rFonts w:ascii="SimSun" w:hAnsi="SimSun" w:eastAsia="SimSun" w:cs="SimSun"/>
          <w:sz w:val="24"/>
          <w:szCs w:val="24"/>
          <w:spacing w:val="2"/>
        </w:rPr>
        <w:t>水污染事故。因此，本次剥离物按第</w:t>
      </w:r>
      <w:r>
        <w:rPr>
          <w:rFonts w:ascii="Times New Roman" w:hAnsi="Times New Roman" w:eastAsia="Times New Roman" w:cs="Times New Roman"/>
          <w:sz w:val="24"/>
          <w:szCs w:val="24"/>
          <w:spacing w:val="2"/>
        </w:rPr>
        <w:t>Ⅰ</w:t>
      </w:r>
      <w:r>
        <w:rPr>
          <w:rFonts w:ascii="SimSun" w:hAnsi="SimSun" w:eastAsia="SimSun" w:cs="SimSun"/>
          <w:sz w:val="24"/>
          <w:szCs w:val="24"/>
          <w:spacing w:val="-1"/>
        </w:rPr>
        <w:t>类一般工业固体废物。本工程排土场可按</w:t>
      </w:r>
      <w:r>
        <w:rPr>
          <w:rFonts w:ascii="SimSun" w:hAnsi="SimSun" w:eastAsia="SimSun" w:cs="SimSun"/>
          <w:sz w:val="24"/>
          <w:szCs w:val="24"/>
          <w:spacing w:val="-40"/>
        </w:rPr>
        <w:t xml:space="preserve"> </w:t>
      </w:r>
      <w:r>
        <w:rPr>
          <w:rFonts w:ascii="Times New Roman" w:hAnsi="Times New Roman" w:eastAsia="Times New Roman" w:cs="Times New Roman"/>
          <w:sz w:val="24"/>
          <w:szCs w:val="24"/>
          <w:spacing w:val="-1"/>
        </w:rPr>
        <w:t>I </w:t>
      </w:r>
      <w:r>
        <w:rPr>
          <w:rFonts w:ascii="SimSun" w:hAnsi="SimSun" w:eastAsia="SimSun" w:cs="SimSun"/>
          <w:sz w:val="24"/>
          <w:szCs w:val="24"/>
          <w:spacing w:val="-1"/>
        </w:rPr>
        <w:t>类贮存场设计，无须做防渗处理。剥离物成</w:t>
      </w:r>
      <w:r>
        <w:rPr>
          <w:rFonts w:ascii="SimSun" w:hAnsi="SimSun" w:eastAsia="SimSun" w:cs="SimSun"/>
          <w:sz w:val="24"/>
          <w:szCs w:val="24"/>
          <w:spacing w:val="-6"/>
        </w:rPr>
        <w:t>分与原生矿层覆盖物成分相同，只是剥离物在堆放过程中改变了原来的堆积次序，因此，</w:t>
      </w:r>
      <w:r>
        <w:rPr>
          <w:rFonts w:ascii="SimSun" w:hAnsi="SimSun" w:eastAsia="SimSun" w:cs="SimSun"/>
          <w:sz w:val="24"/>
          <w:szCs w:val="24"/>
          <w:spacing w:val="-1"/>
        </w:rPr>
        <w:t>排土场淋溶水不会造成土壤和地下水的重金属污染。</w:t>
      </w:r>
    </w:p>
    <w:p>
      <w:pPr>
        <w:ind w:left="495"/>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）对土壤环境的影响分析</w:t>
      </w:r>
    </w:p>
    <w:p>
      <w:pPr>
        <w:ind w:left="7" w:right="66" w:firstLine="484"/>
        <w:spacing w:before="151" w:line="339" w:lineRule="auto"/>
        <w:rPr>
          <w:rFonts w:ascii="SimSun" w:hAnsi="SimSun" w:eastAsia="SimSun" w:cs="SimSun"/>
          <w:sz w:val="24"/>
          <w:szCs w:val="24"/>
        </w:rPr>
      </w:pPr>
      <w:r>
        <w:rPr>
          <w:rFonts w:ascii="SimSun" w:hAnsi="SimSun" w:eastAsia="SimSun" w:cs="SimSun"/>
          <w:sz w:val="24"/>
          <w:szCs w:val="24"/>
          <w:spacing w:val="-2"/>
        </w:rPr>
        <w:t>剥离物对土壤的影响主要表现为雨季受到大气降水的冲刷和浸泡后，淋溶废水的产</w:t>
      </w:r>
      <w:r>
        <w:rPr>
          <w:rFonts w:ascii="SimSun" w:hAnsi="SimSun" w:eastAsia="SimSun" w:cs="SimSun"/>
          <w:sz w:val="24"/>
          <w:szCs w:val="24"/>
          <w:spacing w:val="-1"/>
        </w:rPr>
        <w:t>生将直接威胁土壤、地表及地下水环境，我</w:t>
      </w:r>
      <w:r>
        <w:rPr>
          <w:rFonts w:ascii="SimSun" w:hAnsi="SimSun" w:eastAsia="SimSun" w:cs="SimSun"/>
          <w:sz w:val="24"/>
          <w:szCs w:val="24"/>
          <w:spacing w:val="-2"/>
        </w:rPr>
        <w:t>国现已开发的大型露天矿排土场均按一类处</w:t>
      </w:r>
      <w:r>
        <w:rPr>
          <w:rFonts w:ascii="SimSun" w:hAnsi="SimSun" w:eastAsia="SimSun" w:cs="SimSun"/>
          <w:sz w:val="24"/>
          <w:szCs w:val="24"/>
          <w:spacing w:val="-1"/>
        </w:rPr>
        <w:t>置场进行设计，迄今为止未发生污染事故。</w:t>
      </w:r>
      <w:r>
        <w:rPr>
          <w:rFonts w:ascii="SimSun" w:hAnsi="SimSun" w:eastAsia="SimSun" w:cs="SimSun"/>
          <w:sz w:val="24"/>
          <w:szCs w:val="24"/>
          <w:spacing w:val="-2"/>
        </w:rPr>
        <w:t>浸出液中各指标的浓度均远远低于《土壤环</w:t>
      </w:r>
      <w:r>
        <w:rPr>
          <w:rFonts w:ascii="SimSun" w:hAnsi="SimSun" w:eastAsia="SimSun" w:cs="SimSun"/>
          <w:sz w:val="24"/>
          <w:szCs w:val="24"/>
          <w:spacing w:val="1"/>
        </w:rPr>
        <w:t>境质量  农用地土壤污染风险管控标准》（</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1"/>
        </w:rPr>
        <w:t>15618-2018</w:t>
      </w:r>
      <w:r>
        <w:rPr>
          <w:rFonts w:ascii="SimSun" w:hAnsi="SimSun" w:eastAsia="SimSun" w:cs="SimSun"/>
          <w:sz w:val="24"/>
          <w:szCs w:val="24"/>
          <w:spacing w:val="1"/>
        </w:rPr>
        <w:t>）中的风</w:t>
      </w:r>
      <w:r>
        <w:rPr>
          <w:rFonts w:ascii="SimSun" w:hAnsi="SimSun" w:eastAsia="SimSun" w:cs="SimSun"/>
          <w:sz w:val="24"/>
          <w:szCs w:val="24"/>
        </w:rPr>
        <w:t>险筛选值，剥离物</w:t>
      </w:r>
      <w:r>
        <w:rPr>
          <w:rFonts w:ascii="SimSun" w:hAnsi="SimSun" w:eastAsia="SimSun" w:cs="SimSun"/>
          <w:sz w:val="24"/>
          <w:szCs w:val="24"/>
          <w:spacing w:val="-1"/>
        </w:rPr>
        <w:t>的堆放对周边土壤环境影响较小。</w:t>
      </w:r>
    </w:p>
    <w:p>
      <w:pPr>
        <w:ind w:left="8" w:right="66"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在上述剥离物淋溶试验中，剥离物的淋溶是在剥离物被充分浸泡的状态下进行的，</w:t>
      </w:r>
      <w:r>
        <w:rPr>
          <w:rFonts w:ascii="SimSun" w:hAnsi="SimSun" w:eastAsia="SimSun" w:cs="SimSun"/>
          <w:sz w:val="24"/>
          <w:szCs w:val="24"/>
          <w:spacing w:val="-2"/>
        </w:rPr>
        <w:t>是剥离物成分最大限度的浸出状态。排土场四周修建排水设施后，从本区的气象、汇水</w:t>
      </w:r>
      <w:r>
        <w:rPr>
          <w:rFonts w:ascii="SimSun" w:hAnsi="SimSun" w:eastAsia="SimSun" w:cs="SimSun"/>
          <w:sz w:val="24"/>
          <w:szCs w:val="24"/>
          <w:spacing w:val="-2"/>
        </w:rPr>
        <w:t>范围、治理措施等条件来看，剥离物自然淋溶下达不到充分浸泡状态，对土壤、地表水</w:t>
      </w:r>
      <w:r>
        <w:rPr>
          <w:rFonts w:ascii="SimSun" w:hAnsi="SimSun" w:eastAsia="SimSun" w:cs="SimSun"/>
          <w:sz w:val="24"/>
          <w:szCs w:val="24"/>
          <w:spacing w:val="-1"/>
        </w:rPr>
        <w:t>及地下水的影响很小。</w:t>
      </w:r>
    </w:p>
    <w:p>
      <w:pPr>
        <w:ind w:left="483"/>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、工业场地及矿坑水对土壤的影响分析</w:t>
      </w:r>
    </w:p>
    <w:p>
      <w:pPr>
        <w:ind w:left="492"/>
        <w:spacing w:before="157" w:line="219" w:lineRule="auto"/>
        <w:rPr>
          <w:rFonts w:ascii="SimSun" w:hAnsi="SimSun" w:eastAsia="SimSun" w:cs="SimSun"/>
          <w:sz w:val="24"/>
          <w:szCs w:val="24"/>
        </w:rPr>
      </w:pPr>
      <w:r>
        <w:rPr>
          <w:rFonts w:ascii="SimSun" w:hAnsi="SimSun" w:eastAsia="SimSun" w:cs="SimSun"/>
          <w:sz w:val="24"/>
          <w:szCs w:val="24"/>
          <w:spacing w:val="-1"/>
        </w:rPr>
        <w:t>工业场地的主要污染物与污染因子见下表。</w:t>
      </w:r>
    </w:p>
    <w:p>
      <w:pPr>
        <w:spacing w:line="219" w:lineRule="auto"/>
        <w:sectPr>
          <w:headerReference w:type="default" r:id="rId94"/>
          <w:footerReference w:type="default" r:id="rId457"/>
          <w:pgSz w:w="11906" w:h="16838"/>
          <w:pgMar w:top="1170" w:right="1351" w:bottom="1080" w:left="1416" w:header="837" w:footer="918" w:gutter="0"/>
        </w:sectPr>
        <w:rPr>
          <w:rFonts w:ascii="SimSun" w:hAnsi="SimSun" w:eastAsia="SimSun" w:cs="SimSun"/>
          <w:sz w:val="24"/>
          <w:szCs w:val="24"/>
        </w:rPr>
      </w:pPr>
    </w:p>
    <w:p>
      <w:pPr>
        <w:ind w:left="2499"/>
        <w:spacing w:before="281" w:line="221" w:lineRule="auto"/>
        <w:rPr>
          <w:rFonts w:ascii="SimHei" w:hAnsi="SimHei" w:eastAsia="SimHei" w:cs="SimHei"/>
          <w:sz w:val="24"/>
          <w:szCs w:val="24"/>
        </w:rPr>
      </w:pPr>
      <w:bookmarkStart w:name="bookmark103" w:id="65"/>
      <w:bookmarkEnd w:id="65"/>
      <w:r>
        <w:rPr>
          <w:rFonts w:ascii="SimHei" w:hAnsi="SimHei" w:eastAsia="SimHei" w:cs="SimHei"/>
          <w:sz w:val="24"/>
          <w:szCs w:val="24"/>
          <w:spacing w:val="-1"/>
        </w:rPr>
        <w:t>工业场地土壤环境影响源及影响因子识别</w:t>
      </w:r>
    </w:p>
    <w:p>
      <w:pPr>
        <w:ind w:left="120"/>
        <w:spacing w:before="19" w:line="226"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5-7-3</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60"/>
        <w:gridCol w:w="2000"/>
        <w:gridCol w:w="1427"/>
        <w:gridCol w:w="2101"/>
        <w:gridCol w:w="1552"/>
        <w:gridCol w:w="1552"/>
      </w:tblGrid>
      <w:tr>
        <w:trPr>
          <w:trHeight w:val="658" w:hRule="atLeast"/>
        </w:trPr>
        <w:tc>
          <w:tcPr>
            <w:tcW w:w="660" w:type="dxa"/>
            <w:vAlign w:val="top"/>
          </w:tcPr>
          <w:p>
            <w:pPr>
              <w:ind w:left="122"/>
              <w:spacing w:before="223" w:line="229" w:lineRule="auto"/>
              <w:rPr>
                <w:rFonts w:ascii="SimSun" w:hAnsi="SimSun" w:eastAsia="SimSun" w:cs="SimSun"/>
                <w:sz w:val="20"/>
                <w:szCs w:val="20"/>
              </w:rPr>
            </w:pPr>
            <w:r>
              <w:rPr>
                <w:rFonts w:ascii="SimSun" w:hAnsi="SimSun" w:eastAsia="SimSun" w:cs="SimSun"/>
                <w:sz w:val="20"/>
                <w:szCs w:val="20"/>
                <w:b/>
                <w:bCs/>
                <w:spacing w:val="3"/>
              </w:rPr>
              <w:t>序号</w:t>
            </w:r>
          </w:p>
        </w:tc>
        <w:tc>
          <w:tcPr>
            <w:tcW w:w="2000" w:type="dxa"/>
            <w:vAlign w:val="top"/>
          </w:tcPr>
          <w:p>
            <w:pPr>
              <w:ind w:left="688"/>
              <w:spacing w:before="223" w:line="228" w:lineRule="auto"/>
              <w:rPr>
                <w:rFonts w:ascii="SimSun" w:hAnsi="SimSun" w:eastAsia="SimSun" w:cs="SimSun"/>
                <w:sz w:val="20"/>
                <w:szCs w:val="20"/>
              </w:rPr>
            </w:pPr>
            <w:r>
              <w:rPr>
                <w:rFonts w:ascii="SimSun" w:hAnsi="SimSun" w:eastAsia="SimSun" w:cs="SimSun"/>
                <w:sz w:val="20"/>
                <w:szCs w:val="20"/>
                <w:b/>
                <w:bCs/>
                <w:spacing w:val="4"/>
              </w:rPr>
              <w:t>污染源</w:t>
            </w:r>
          </w:p>
        </w:tc>
        <w:tc>
          <w:tcPr>
            <w:tcW w:w="1427" w:type="dxa"/>
            <w:vAlign w:val="top"/>
          </w:tcPr>
          <w:p>
            <w:pPr>
              <w:ind w:left="299"/>
              <w:spacing w:before="223" w:line="228" w:lineRule="auto"/>
              <w:rPr>
                <w:rFonts w:ascii="SimSun" w:hAnsi="SimSun" w:eastAsia="SimSun" w:cs="SimSun"/>
                <w:sz w:val="20"/>
                <w:szCs w:val="20"/>
              </w:rPr>
            </w:pPr>
            <w:r>
              <w:rPr>
                <w:rFonts w:ascii="SimSun" w:hAnsi="SimSun" w:eastAsia="SimSun" w:cs="SimSun"/>
                <w:sz w:val="20"/>
                <w:szCs w:val="20"/>
                <w:b/>
                <w:bCs/>
                <w:spacing w:val="6"/>
              </w:rPr>
              <w:t>污染途径</w:t>
            </w:r>
          </w:p>
        </w:tc>
        <w:tc>
          <w:tcPr>
            <w:tcW w:w="2101" w:type="dxa"/>
            <w:vAlign w:val="top"/>
          </w:tcPr>
          <w:p>
            <w:pPr>
              <w:ind w:left="530" w:right="209" w:hanging="314"/>
              <w:spacing w:before="60" w:line="271" w:lineRule="auto"/>
              <w:rPr>
                <w:rFonts w:ascii="SimSun" w:hAnsi="SimSun" w:eastAsia="SimSun" w:cs="SimSun"/>
                <w:sz w:val="20"/>
                <w:szCs w:val="20"/>
              </w:rPr>
            </w:pPr>
            <w:r>
              <w:rPr>
                <w:rFonts w:ascii="SimSun" w:hAnsi="SimSun" w:eastAsia="SimSun" w:cs="SimSun"/>
                <w:sz w:val="20"/>
                <w:szCs w:val="20"/>
                <w:b/>
                <w:bCs/>
                <w:spacing w:val="6"/>
              </w:rPr>
              <w:t>与土壤有关的全部</w:t>
            </w:r>
            <w:r>
              <w:rPr>
                <w:rFonts w:ascii="SimSun" w:hAnsi="SimSun" w:eastAsia="SimSun" w:cs="SimSun"/>
                <w:sz w:val="20"/>
                <w:szCs w:val="20"/>
                <w:b/>
                <w:bCs/>
                <w:spacing w:val="5"/>
              </w:rPr>
              <w:t>污染物指标</w:t>
            </w:r>
          </w:p>
        </w:tc>
        <w:tc>
          <w:tcPr>
            <w:tcW w:w="1552" w:type="dxa"/>
            <w:vAlign w:val="top"/>
          </w:tcPr>
          <w:p>
            <w:pPr>
              <w:ind w:left="586" w:right="146" w:hanging="439"/>
              <w:spacing w:before="60" w:line="271" w:lineRule="auto"/>
              <w:rPr>
                <w:rFonts w:ascii="SimSun" w:hAnsi="SimSun" w:eastAsia="SimSun" w:cs="SimSun"/>
                <w:sz w:val="20"/>
                <w:szCs w:val="20"/>
              </w:rPr>
            </w:pPr>
            <w:r>
              <w:rPr>
                <w:rFonts w:ascii="SimSun" w:hAnsi="SimSun" w:eastAsia="SimSun" w:cs="SimSun"/>
                <w:sz w:val="20"/>
                <w:szCs w:val="20"/>
                <w:b/>
                <w:bCs/>
                <w:spacing w:val="6"/>
              </w:rPr>
              <w:t>在土壤中特征</w:t>
            </w:r>
            <w:r>
              <w:rPr>
                <w:rFonts w:ascii="SimSun" w:hAnsi="SimSun" w:eastAsia="SimSun" w:cs="SimSun"/>
                <w:sz w:val="20"/>
                <w:szCs w:val="20"/>
                <w:b/>
                <w:bCs/>
                <w:spacing w:val="-6"/>
              </w:rPr>
              <w:t>因子</w:t>
            </w:r>
          </w:p>
        </w:tc>
        <w:tc>
          <w:tcPr>
            <w:tcW w:w="1552" w:type="dxa"/>
            <w:vAlign w:val="top"/>
          </w:tcPr>
          <w:p>
            <w:pPr>
              <w:ind w:left="572"/>
              <w:spacing w:before="223" w:line="229"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656" w:hRule="atLeast"/>
        </w:trPr>
        <w:tc>
          <w:tcPr>
            <w:tcW w:w="660" w:type="dxa"/>
            <w:vAlign w:val="top"/>
          </w:tcPr>
          <w:p>
            <w:pPr>
              <w:pStyle w:val="TableText"/>
              <w:ind w:left="300"/>
              <w:spacing w:before="256" w:line="195" w:lineRule="auto"/>
              <w:rPr/>
            </w:pPr>
            <w:r>
              <w:rPr/>
              <w:t>1</w:t>
            </w:r>
          </w:p>
        </w:tc>
        <w:tc>
          <w:tcPr>
            <w:tcW w:w="2000" w:type="dxa"/>
            <w:vAlign w:val="top"/>
          </w:tcPr>
          <w:p>
            <w:pPr>
              <w:ind w:left="268"/>
              <w:spacing w:before="220" w:line="228" w:lineRule="auto"/>
              <w:rPr>
                <w:rFonts w:ascii="SimSun" w:hAnsi="SimSun" w:eastAsia="SimSun" w:cs="SimSun"/>
                <w:sz w:val="20"/>
                <w:szCs w:val="20"/>
              </w:rPr>
            </w:pPr>
            <w:r>
              <w:rPr>
                <w:rFonts w:ascii="SimSun" w:hAnsi="SimSun" w:eastAsia="SimSun" w:cs="SimSun"/>
                <w:sz w:val="20"/>
                <w:szCs w:val="20"/>
                <w:spacing w:val="8"/>
              </w:rPr>
              <w:t>生活污水处理站</w:t>
            </w:r>
          </w:p>
        </w:tc>
        <w:tc>
          <w:tcPr>
            <w:tcW w:w="1427" w:type="dxa"/>
            <w:vAlign w:val="top"/>
          </w:tcPr>
          <w:p>
            <w:pPr>
              <w:ind w:left="298"/>
              <w:spacing w:before="220" w:line="228" w:lineRule="auto"/>
              <w:rPr>
                <w:rFonts w:ascii="SimSun" w:hAnsi="SimSun" w:eastAsia="SimSun" w:cs="SimSun"/>
                <w:sz w:val="20"/>
                <w:szCs w:val="20"/>
              </w:rPr>
            </w:pPr>
            <w:r>
              <w:rPr>
                <w:rFonts w:ascii="SimSun" w:hAnsi="SimSun" w:eastAsia="SimSun" w:cs="SimSun"/>
                <w:sz w:val="20"/>
                <w:szCs w:val="20"/>
                <w:spacing w:val="7"/>
              </w:rPr>
              <w:t>垂直入渗</w:t>
            </w:r>
          </w:p>
        </w:tc>
        <w:tc>
          <w:tcPr>
            <w:tcW w:w="2101" w:type="dxa"/>
            <w:vAlign w:val="top"/>
          </w:tcPr>
          <w:p>
            <w:pPr>
              <w:pStyle w:val="TableText"/>
              <w:ind w:right="10"/>
              <w:spacing w:before="93" w:line="188" w:lineRule="auto"/>
              <w:jc w:val="right"/>
              <w:rPr>
                <w:rFonts w:ascii="SimSun" w:hAnsi="SimSun" w:eastAsia="SimSun" w:cs="SimSun"/>
              </w:rPr>
            </w:pPr>
            <w:r>
              <w:rPr>
                <w:spacing w:val="-16"/>
              </w:rPr>
              <w:t>pH</w:t>
            </w:r>
            <w:r>
              <w:rPr>
                <w:rFonts w:ascii="SimSun" w:hAnsi="SimSun" w:eastAsia="SimSun" w:cs="SimSun"/>
                <w:spacing w:val="-16"/>
              </w:rPr>
              <w:t>、</w:t>
            </w:r>
            <w:r>
              <w:rPr>
                <w:spacing w:val="-16"/>
              </w:rPr>
              <w:t>SS</w:t>
            </w:r>
            <w:r>
              <w:rPr>
                <w:rFonts w:ascii="SimSun" w:hAnsi="SimSun" w:eastAsia="SimSun" w:cs="SimSun"/>
                <w:spacing w:val="-16"/>
              </w:rPr>
              <w:t>、</w:t>
            </w:r>
            <w:r>
              <w:rPr>
                <w:spacing w:val="-16"/>
              </w:rPr>
              <w:t>COD</w:t>
            </w:r>
            <w:r>
              <w:rPr>
                <w:rFonts w:ascii="SimSun" w:hAnsi="SimSun" w:eastAsia="SimSun" w:cs="SimSun"/>
                <w:spacing w:val="-16"/>
              </w:rPr>
              <w:t>、</w:t>
            </w:r>
            <w:r>
              <w:rPr>
                <w:spacing w:val="-16"/>
              </w:rPr>
              <w:t>BOD</w:t>
            </w:r>
            <w:r>
              <w:rPr>
                <w:sz w:val="13"/>
                <w:szCs w:val="13"/>
                <w:spacing w:val="5"/>
                <w:position w:val="-1"/>
              </w:rPr>
              <w:t>5</w:t>
            </w:r>
            <w:r>
              <w:rPr>
                <w:rFonts w:ascii="SimSun" w:hAnsi="SimSun" w:eastAsia="SimSun" w:cs="SimSun"/>
                <w:spacing w:val="5"/>
              </w:rPr>
              <w:t>、</w:t>
            </w:r>
          </w:p>
          <w:p>
            <w:pPr>
              <w:ind w:left="845"/>
              <w:spacing w:before="86" w:line="227" w:lineRule="auto"/>
              <w:rPr>
                <w:rFonts w:ascii="SimSun" w:hAnsi="SimSun" w:eastAsia="SimSun" w:cs="SimSun"/>
                <w:sz w:val="20"/>
                <w:szCs w:val="20"/>
              </w:rPr>
            </w:pPr>
            <w:r>
              <w:rPr>
                <w:rFonts w:ascii="SimSun" w:hAnsi="SimSun" w:eastAsia="SimSun" w:cs="SimSun"/>
                <w:sz w:val="20"/>
                <w:szCs w:val="20"/>
                <w:spacing w:val="4"/>
              </w:rPr>
              <w:t>氨氮</w:t>
            </w:r>
          </w:p>
        </w:tc>
        <w:tc>
          <w:tcPr>
            <w:tcW w:w="1552" w:type="dxa"/>
            <w:vAlign w:val="top"/>
          </w:tcPr>
          <w:p>
            <w:pPr>
              <w:pStyle w:val="TableText"/>
              <w:ind w:left="644"/>
              <w:spacing w:before="259" w:line="194" w:lineRule="auto"/>
              <w:rPr/>
            </w:pPr>
            <w:r>
              <w:rPr>
                <w:spacing w:val="6"/>
              </w:rPr>
              <w:t>pH</w:t>
            </w:r>
          </w:p>
        </w:tc>
        <w:tc>
          <w:tcPr>
            <w:tcW w:w="1552" w:type="dxa"/>
            <w:vAlign w:val="top"/>
          </w:tcPr>
          <w:p>
            <w:pPr>
              <w:ind w:left="271"/>
              <w:spacing w:before="220" w:line="228" w:lineRule="auto"/>
              <w:rPr>
                <w:rFonts w:ascii="SimSun" w:hAnsi="SimSun" w:eastAsia="SimSun" w:cs="SimSun"/>
                <w:sz w:val="20"/>
                <w:szCs w:val="20"/>
              </w:rPr>
            </w:pPr>
            <w:r>
              <w:rPr>
                <w:rFonts w:ascii="SimSun" w:hAnsi="SimSun" w:eastAsia="SimSun" w:cs="SimSun"/>
                <w:sz w:val="20"/>
                <w:szCs w:val="20"/>
                <w:spacing w:val="4"/>
              </w:rPr>
              <w:t>间断、事故</w:t>
            </w:r>
          </w:p>
        </w:tc>
      </w:tr>
      <w:tr>
        <w:trPr>
          <w:trHeight w:val="656" w:hRule="atLeast"/>
        </w:trPr>
        <w:tc>
          <w:tcPr>
            <w:tcW w:w="660" w:type="dxa"/>
            <w:vAlign w:val="top"/>
          </w:tcPr>
          <w:p>
            <w:pPr>
              <w:pStyle w:val="TableText"/>
              <w:ind w:left="280"/>
              <w:spacing w:before="257" w:line="195" w:lineRule="auto"/>
              <w:rPr/>
            </w:pPr>
            <w:r>
              <w:rPr/>
              <w:t>2</w:t>
            </w:r>
          </w:p>
        </w:tc>
        <w:tc>
          <w:tcPr>
            <w:tcW w:w="2000" w:type="dxa"/>
            <w:vAlign w:val="top"/>
          </w:tcPr>
          <w:p>
            <w:pPr>
              <w:ind w:left="107"/>
              <w:spacing w:before="221" w:line="227" w:lineRule="auto"/>
              <w:rPr>
                <w:rFonts w:ascii="SimSun" w:hAnsi="SimSun" w:eastAsia="SimSun" w:cs="SimSun"/>
                <w:sz w:val="20"/>
                <w:szCs w:val="20"/>
              </w:rPr>
            </w:pPr>
            <w:r>
              <w:rPr>
                <w:rFonts w:ascii="SimSun" w:hAnsi="SimSun" w:eastAsia="SimSun" w:cs="SimSun"/>
                <w:sz w:val="20"/>
                <w:szCs w:val="20"/>
                <w:spacing w:val="-3"/>
              </w:rPr>
              <w:t>机修间、危废暂存间</w:t>
            </w:r>
          </w:p>
        </w:tc>
        <w:tc>
          <w:tcPr>
            <w:tcW w:w="1427" w:type="dxa"/>
            <w:vAlign w:val="top"/>
          </w:tcPr>
          <w:p>
            <w:pPr>
              <w:ind w:left="403" w:right="107" w:hanging="290"/>
              <w:spacing w:before="58" w:line="271" w:lineRule="auto"/>
              <w:rPr>
                <w:rFonts w:ascii="SimSun" w:hAnsi="SimSun" w:eastAsia="SimSun" w:cs="SimSun"/>
                <w:sz w:val="20"/>
                <w:szCs w:val="20"/>
              </w:rPr>
            </w:pPr>
            <w:r>
              <w:rPr>
                <w:rFonts w:ascii="SimSun" w:hAnsi="SimSun" w:eastAsia="SimSun" w:cs="SimSun"/>
                <w:sz w:val="20"/>
                <w:szCs w:val="20"/>
              </w:rPr>
              <w:t>垂直入渗、地</w:t>
            </w:r>
            <w:r>
              <w:rPr>
                <w:rFonts w:ascii="SimSun" w:hAnsi="SimSun" w:eastAsia="SimSun" w:cs="SimSun"/>
                <w:sz w:val="20"/>
                <w:szCs w:val="20"/>
                <w:spacing w:val="6"/>
              </w:rPr>
              <w:t>面漫流</w:t>
            </w:r>
          </w:p>
        </w:tc>
        <w:tc>
          <w:tcPr>
            <w:tcW w:w="2101" w:type="dxa"/>
            <w:vAlign w:val="top"/>
          </w:tcPr>
          <w:p>
            <w:pPr>
              <w:pStyle w:val="TableText"/>
              <w:ind w:left="740" w:right="35" w:hanging="627"/>
              <w:spacing w:before="58" w:line="271" w:lineRule="auto"/>
              <w:rPr>
                <w:rFonts w:ascii="SimSun" w:hAnsi="SimSun" w:eastAsia="SimSun" w:cs="SimSun"/>
              </w:rPr>
            </w:pPr>
            <w:r>
              <w:rPr>
                <w:spacing w:val="-1"/>
              </w:rPr>
              <w:t>COD</w:t>
            </w:r>
            <w:r>
              <w:rPr>
                <w:spacing w:val="-25"/>
              </w:rPr>
              <w:t xml:space="preserve"> </w:t>
            </w:r>
            <w:r>
              <w:rPr>
                <w:rFonts w:ascii="SimSun" w:hAnsi="SimSun" w:eastAsia="SimSun" w:cs="SimSun"/>
                <w:spacing w:val="-1"/>
              </w:rPr>
              <w:t>、</w:t>
            </w:r>
            <w:r>
              <w:rPr>
                <w:spacing w:val="-1"/>
              </w:rPr>
              <w:t>BOD</w:t>
            </w:r>
            <w:r>
              <w:rPr>
                <w:sz w:val="13"/>
                <w:szCs w:val="13"/>
                <w:spacing w:val="-1"/>
                <w:position w:val="-1"/>
              </w:rPr>
              <w:t>5</w:t>
            </w:r>
            <w:r>
              <w:rPr>
                <w:sz w:val="13"/>
                <w:szCs w:val="13"/>
                <w:spacing w:val="-9"/>
                <w:position w:val="-1"/>
              </w:rPr>
              <w:t xml:space="preserve"> </w:t>
            </w:r>
            <w:r>
              <w:rPr>
                <w:rFonts w:ascii="SimSun" w:hAnsi="SimSun" w:eastAsia="SimSun" w:cs="SimSun"/>
                <w:spacing w:val="-1"/>
              </w:rPr>
              <w:t>、氨氮、</w:t>
            </w:r>
            <w:r>
              <w:rPr>
                <w:rFonts w:ascii="SimSun" w:hAnsi="SimSun" w:eastAsia="SimSun" w:cs="SimSun"/>
                <w:spacing w:val="6"/>
              </w:rPr>
              <w:t>石油类</w:t>
            </w:r>
          </w:p>
        </w:tc>
        <w:tc>
          <w:tcPr>
            <w:tcW w:w="1552" w:type="dxa"/>
            <w:vAlign w:val="top"/>
          </w:tcPr>
          <w:p>
            <w:pPr>
              <w:ind w:left="468"/>
              <w:spacing w:before="221" w:line="228" w:lineRule="auto"/>
              <w:rPr>
                <w:rFonts w:ascii="SimSun" w:hAnsi="SimSun" w:eastAsia="SimSun" w:cs="SimSun"/>
                <w:sz w:val="20"/>
                <w:szCs w:val="20"/>
              </w:rPr>
            </w:pPr>
            <w:r>
              <w:rPr>
                <w:rFonts w:ascii="SimSun" w:hAnsi="SimSun" w:eastAsia="SimSun" w:cs="SimSun"/>
                <w:sz w:val="20"/>
                <w:szCs w:val="20"/>
                <w:spacing w:val="6"/>
              </w:rPr>
              <w:t>石油类</w:t>
            </w:r>
          </w:p>
        </w:tc>
        <w:tc>
          <w:tcPr>
            <w:tcW w:w="1552" w:type="dxa"/>
            <w:vAlign w:val="top"/>
          </w:tcPr>
          <w:p>
            <w:pPr>
              <w:ind w:left="271"/>
              <w:spacing w:before="221" w:line="228" w:lineRule="auto"/>
              <w:rPr>
                <w:rFonts w:ascii="SimSun" w:hAnsi="SimSun" w:eastAsia="SimSun" w:cs="SimSun"/>
                <w:sz w:val="20"/>
                <w:szCs w:val="20"/>
              </w:rPr>
            </w:pPr>
            <w:r>
              <w:rPr>
                <w:rFonts w:ascii="SimSun" w:hAnsi="SimSun" w:eastAsia="SimSun" w:cs="SimSun"/>
                <w:sz w:val="20"/>
                <w:szCs w:val="20"/>
                <w:spacing w:val="4"/>
              </w:rPr>
              <w:t>间断、事故</w:t>
            </w:r>
          </w:p>
        </w:tc>
      </w:tr>
      <w:tr>
        <w:trPr>
          <w:trHeight w:val="661" w:hRule="atLeast"/>
        </w:trPr>
        <w:tc>
          <w:tcPr>
            <w:tcW w:w="660" w:type="dxa"/>
            <w:vAlign w:val="top"/>
          </w:tcPr>
          <w:p>
            <w:pPr>
              <w:pStyle w:val="TableText"/>
              <w:ind w:left="284"/>
              <w:spacing w:before="259" w:line="195" w:lineRule="auto"/>
              <w:rPr/>
            </w:pPr>
            <w:r>
              <w:rPr/>
              <w:t>3</w:t>
            </w:r>
          </w:p>
        </w:tc>
        <w:tc>
          <w:tcPr>
            <w:tcW w:w="2000" w:type="dxa"/>
            <w:vAlign w:val="top"/>
          </w:tcPr>
          <w:p>
            <w:pPr>
              <w:ind w:left="371"/>
              <w:spacing w:before="222" w:line="228" w:lineRule="auto"/>
              <w:rPr>
                <w:rFonts w:ascii="SimSun" w:hAnsi="SimSun" w:eastAsia="SimSun" w:cs="SimSun"/>
                <w:sz w:val="20"/>
                <w:szCs w:val="20"/>
              </w:rPr>
            </w:pPr>
            <w:r>
              <w:rPr>
                <w:rFonts w:ascii="SimSun" w:hAnsi="SimSun" w:eastAsia="SimSun" w:cs="SimSun"/>
                <w:sz w:val="20"/>
                <w:szCs w:val="20"/>
                <w:spacing w:val="8"/>
              </w:rPr>
              <w:t>矿井水处理站</w:t>
            </w:r>
          </w:p>
        </w:tc>
        <w:tc>
          <w:tcPr>
            <w:tcW w:w="1427" w:type="dxa"/>
            <w:vAlign w:val="top"/>
          </w:tcPr>
          <w:p>
            <w:pPr>
              <w:ind w:left="298"/>
              <w:spacing w:before="223" w:line="228" w:lineRule="auto"/>
              <w:rPr>
                <w:rFonts w:ascii="SimSun" w:hAnsi="SimSun" w:eastAsia="SimSun" w:cs="SimSun"/>
                <w:sz w:val="20"/>
                <w:szCs w:val="20"/>
              </w:rPr>
            </w:pPr>
            <w:r>
              <w:rPr>
                <w:rFonts w:ascii="SimSun" w:hAnsi="SimSun" w:eastAsia="SimSun" w:cs="SimSun"/>
                <w:sz w:val="20"/>
                <w:szCs w:val="20"/>
                <w:spacing w:val="7"/>
              </w:rPr>
              <w:t>垂直入渗</w:t>
            </w:r>
          </w:p>
        </w:tc>
        <w:tc>
          <w:tcPr>
            <w:tcW w:w="2101" w:type="dxa"/>
            <w:vAlign w:val="top"/>
          </w:tcPr>
          <w:p>
            <w:pPr>
              <w:pStyle w:val="TableText"/>
              <w:ind w:left="740" w:right="165" w:hanging="616"/>
              <w:spacing w:before="96" w:line="256" w:lineRule="auto"/>
              <w:rPr>
                <w:rFonts w:ascii="SimSun" w:hAnsi="SimSun" w:eastAsia="SimSun" w:cs="SimSun"/>
              </w:rPr>
            </w:pPr>
            <w:r>
              <w:rPr/>
              <w:t>pH</w:t>
            </w:r>
            <w:r>
              <w:rPr>
                <w:spacing w:val="-27"/>
              </w:rPr>
              <w:t xml:space="preserve"> </w:t>
            </w:r>
            <w:r>
              <w:rPr>
                <w:rFonts w:ascii="SimSun" w:hAnsi="SimSun" w:eastAsia="SimSun" w:cs="SimSun"/>
              </w:rPr>
              <w:t>、</w:t>
            </w:r>
            <w:r>
              <w:rPr/>
              <w:t>COD</w:t>
            </w:r>
            <w:r>
              <w:rPr>
                <w:spacing w:val="-22"/>
              </w:rPr>
              <w:t xml:space="preserve"> </w:t>
            </w:r>
            <w:r>
              <w:rPr>
                <w:rFonts w:ascii="SimSun" w:hAnsi="SimSun" w:eastAsia="SimSun" w:cs="SimSun"/>
              </w:rPr>
              <w:t>、</w:t>
            </w:r>
            <w:r>
              <w:rPr/>
              <w:t>BOD</w:t>
            </w:r>
            <w:r>
              <w:rPr>
                <w:sz w:val="13"/>
                <w:szCs w:val="13"/>
                <w:position w:val="-1"/>
              </w:rPr>
              <w:t>5</w:t>
            </w:r>
            <w:r>
              <w:rPr>
                <w:rFonts w:ascii="SimSun" w:hAnsi="SimSun" w:eastAsia="SimSun" w:cs="SimSun"/>
              </w:rPr>
              <w:t>、</w:t>
            </w:r>
            <w:r>
              <w:rPr>
                <w:rFonts w:ascii="SimSun" w:hAnsi="SimSun" w:eastAsia="SimSun" w:cs="SimSun"/>
                <w:spacing w:val="6"/>
              </w:rPr>
              <w:t>石油类</w:t>
            </w:r>
          </w:p>
        </w:tc>
        <w:tc>
          <w:tcPr>
            <w:tcW w:w="1552" w:type="dxa"/>
            <w:vAlign w:val="top"/>
          </w:tcPr>
          <w:p>
            <w:pPr>
              <w:pStyle w:val="TableText"/>
              <w:ind w:left="224"/>
              <w:spacing w:before="223" w:line="221" w:lineRule="auto"/>
              <w:rPr>
                <w:rFonts w:ascii="SimSun" w:hAnsi="SimSun" w:eastAsia="SimSun" w:cs="SimSun"/>
              </w:rPr>
            </w:pPr>
            <w:r>
              <w:rPr/>
              <w:t>pH</w:t>
            </w:r>
            <w:r>
              <w:rPr>
                <w:spacing w:val="-25"/>
              </w:rPr>
              <w:t xml:space="preserve"> </w:t>
            </w:r>
            <w:r>
              <w:rPr>
                <w:rFonts w:ascii="SimSun" w:hAnsi="SimSun" w:eastAsia="SimSun" w:cs="SimSun"/>
                <w:spacing w:val="6"/>
              </w:rPr>
              <w:t>、石油类</w:t>
            </w:r>
          </w:p>
        </w:tc>
        <w:tc>
          <w:tcPr>
            <w:tcW w:w="1552" w:type="dxa"/>
            <w:vAlign w:val="top"/>
          </w:tcPr>
          <w:p>
            <w:pPr>
              <w:ind w:left="271"/>
              <w:spacing w:before="222" w:line="228" w:lineRule="auto"/>
              <w:rPr>
                <w:rFonts w:ascii="SimSun" w:hAnsi="SimSun" w:eastAsia="SimSun" w:cs="SimSun"/>
                <w:sz w:val="20"/>
                <w:szCs w:val="20"/>
              </w:rPr>
            </w:pPr>
            <w:r>
              <w:rPr>
                <w:rFonts w:ascii="SimSun" w:hAnsi="SimSun" w:eastAsia="SimSun" w:cs="SimSun"/>
                <w:sz w:val="20"/>
                <w:szCs w:val="20"/>
                <w:spacing w:val="4"/>
              </w:rPr>
              <w:t>间断、事故</w:t>
            </w:r>
          </w:p>
        </w:tc>
      </w:tr>
    </w:tbl>
    <w:p>
      <w:pPr>
        <w:ind w:left="121" w:right="112" w:firstLine="483"/>
        <w:spacing w:before="145" w:line="338" w:lineRule="auto"/>
        <w:jc w:val="both"/>
        <w:rPr>
          <w:rFonts w:ascii="SimSun" w:hAnsi="SimSun" w:eastAsia="SimSun" w:cs="SimSun"/>
          <w:sz w:val="24"/>
          <w:szCs w:val="24"/>
        </w:rPr>
      </w:pPr>
      <w:r>
        <w:rPr>
          <w:rFonts w:ascii="SimSun" w:hAnsi="SimSun" w:eastAsia="SimSun" w:cs="SimSun"/>
          <w:sz w:val="24"/>
          <w:szCs w:val="24"/>
          <w:spacing w:val="-2"/>
        </w:rPr>
        <w:t>工业场地主要影响途径为垂直入渗，主要影响场地包括依托生活污水处理站以及机</w:t>
      </w:r>
      <w:r>
        <w:rPr>
          <w:rFonts w:ascii="SimSun" w:hAnsi="SimSun" w:eastAsia="SimSun" w:cs="SimSun"/>
          <w:sz w:val="24"/>
          <w:szCs w:val="24"/>
          <w:spacing w:val="-2"/>
        </w:rPr>
        <w:t>修车间、危废库。通过地下水章节分析，工业场地各污染设施采取防渗措施后防渗性能</w:t>
      </w:r>
      <w:r>
        <w:rPr>
          <w:rFonts w:ascii="SimSun" w:hAnsi="SimSun" w:eastAsia="SimSun" w:cs="SimSun"/>
          <w:sz w:val="24"/>
          <w:szCs w:val="24"/>
          <w:spacing w:val="-2"/>
        </w:rPr>
        <w:t>强，对土壤和地下水污染较轻。危废库按照相关建设标准对其底部进行了防渗处理，且</w:t>
      </w:r>
      <w:r>
        <w:rPr>
          <w:rFonts w:ascii="SimSun" w:hAnsi="SimSun" w:eastAsia="SimSun" w:cs="SimSun"/>
          <w:sz w:val="24"/>
          <w:szCs w:val="24"/>
        </w:rPr>
        <w:t>在暂存库内四周设施事故导流槽及收集池，一般情况</w:t>
      </w:r>
      <w:r>
        <w:rPr>
          <w:rFonts w:ascii="SimSun" w:hAnsi="SimSun" w:eastAsia="SimSun" w:cs="SimSun"/>
          <w:sz w:val="24"/>
          <w:szCs w:val="24"/>
          <w:spacing w:val="-1"/>
        </w:rPr>
        <w:t>不会对土壤造成污染。</w:t>
      </w:r>
    </w:p>
    <w:p>
      <w:pPr>
        <w:ind w:left="602"/>
        <w:spacing w:before="1" w:line="218" w:lineRule="auto"/>
        <w:rPr>
          <w:rFonts w:ascii="SimSun" w:hAnsi="SimSun" w:eastAsia="SimSun" w:cs="SimSun"/>
          <w:sz w:val="24"/>
          <w:szCs w:val="24"/>
        </w:rPr>
      </w:pPr>
      <w:r>
        <w:rPr>
          <w:rFonts w:ascii="SimSun" w:hAnsi="SimSun" w:eastAsia="SimSun" w:cs="SimSun"/>
          <w:sz w:val="24"/>
          <w:szCs w:val="24"/>
          <w:spacing w:val="-1"/>
        </w:rPr>
        <w:t>根据矿方提供资料，各产污节点实际采取防渗措施如下：</w:t>
      </w:r>
    </w:p>
    <w:p>
      <w:pPr>
        <w:ind w:left="121" w:right="124" w:firstLine="487"/>
        <w:spacing w:before="158"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）污水处理站：基础防渗层为</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2m</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厚粘土层 （防渗系数</w:t>
      </w:r>
      <w:r>
        <w:rPr>
          <w:rFonts w:ascii="Times New Roman" w:hAnsi="Times New Roman" w:eastAsia="Times New Roman" w:cs="Times New Roman"/>
          <w:sz w:val="24"/>
          <w:szCs w:val="24"/>
          <w:spacing w:val="-1"/>
        </w:rPr>
        <w:t>≤10</w:t>
      </w:r>
      <w:r>
        <w:rPr>
          <w:rFonts w:ascii="Times New Roman" w:hAnsi="Times New Roman" w:eastAsia="Times New Roman" w:cs="Times New Roman"/>
          <w:sz w:val="15"/>
          <w:szCs w:val="15"/>
          <w:spacing w:val="-1"/>
          <w:position w:val="8"/>
        </w:rPr>
        <w:t>-7</w:t>
      </w:r>
      <w:r>
        <w:rPr>
          <w:rFonts w:ascii="Times New Roman" w:hAnsi="Times New Roman" w:eastAsia="Times New Roman" w:cs="Times New Roman"/>
          <w:sz w:val="24"/>
          <w:szCs w:val="24"/>
          <w:spacing w:val="-1"/>
        </w:rPr>
        <w:t>cm/s</w:t>
      </w:r>
      <w:r>
        <w:rPr>
          <w:rFonts w:ascii="SimSun" w:hAnsi="SimSun" w:eastAsia="SimSun" w:cs="SimSun"/>
          <w:sz w:val="24"/>
          <w:szCs w:val="24"/>
          <w:spacing w:val="3"/>
        </w:rPr>
        <w:t>），</w:t>
      </w:r>
      <w:r>
        <w:rPr>
          <w:rFonts w:ascii="SimSun" w:hAnsi="SimSun" w:eastAsia="SimSun" w:cs="SimSun"/>
          <w:sz w:val="24"/>
          <w:szCs w:val="24"/>
          <w:spacing w:val="-1"/>
        </w:rPr>
        <w:t>地面</w:t>
      </w:r>
      <w:r>
        <w:rPr>
          <w:rFonts w:ascii="SimSun" w:hAnsi="SimSun" w:eastAsia="SimSun" w:cs="SimSun"/>
          <w:sz w:val="24"/>
          <w:szCs w:val="24"/>
          <w:spacing w:val="-2"/>
        </w:rPr>
        <w:t>铺设</w:t>
      </w:r>
      <w:r>
        <w:rPr>
          <w:rFonts w:ascii="Times New Roman" w:hAnsi="Times New Roman" w:eastAsia="Times New Roman" w:cs="Times New Roman"/>
          <w:sz w:val="24"/>
          <w:szCs w:val="24"/>
          <w:spacing w:val="-2"/>
        </w:rPr>
        <w:t>0.3m</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2"/>
        </w:rPr>
        <w:t>厚</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C35 </w:t>
      </w:r>
      <w:r>
        <w:rPr>
          <w:rFonts w:ascii="SimSun" w:hAnsi="SimSun" w:eastAsia="SimSun" w:cs="SimSun"/>
          <w:sz w:val="24"/>
          <w:szCs w:val="24"/>
          <w:spacing w:val="-2"/>
        </w:rPr>
        <w:t>抗渗混凝土，上层涂</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
        </w:rPr>
        <w:t>00mm</w:t>
      </w:r>
      <w:r>
        <w:rPr>
          <w:rFonts w:ascii="Times New Roman" w:hAnsi="Times New Roman" w:eastAsia="Times New Roman" w:cs="Times New Roman"/>
          <w:sz w:val="24"/>
          <w:szCs w:val="24"/>
          <w:spacing w:val="23"/>
          <w:w w:val="101"/>
        </w:rPr>
        <w:t xml:space="preserve"> </w:t>
      </w:r>
      <w:r>
        <w:rPr>
          <w:rFonts w:ascii="SimSun" w:hAnsi="SimSun" w:eastAsia="SimSun" w:cs="SimSun"/>
          <w:sz w:val="24"/>
          <w:szCs w:val="24"/>
          <w:spacing w:val="-3"/>
        </w:rPr>
        <w:t>防渗材料。</w:t>
      </w:r>
    </w:p>
    <w:p>
      <w:pPr>
        <w:ind w:left="125" w:right="48" w:firstLine="483"/>
        <w:spacing w:before="155"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）危废库及机修间：地面进行防渗，采用黏土铺底，上铺铺金刚砂层，然后铺</w:t>
      </w:r>
      <w:r>
        <w:rPr>
          <w:rFonts w:ascii="SimSun" w:hAnsi="SimSun" w:eastAsia="SimSun" w:cs="SimSun"/>
          <w:sz w:val="24"/>
          <w:szCs w:val="24"/>
          <w:spacing w:val="-5"/>
        </w:rPr>
        <w:t>设两布一膜，再混凝土层进行硬化，最后涂环氧树脂防</w:t>
      </w:r>
      <w:r>
        <w:rPr>
          <w:rFonts w:ascii="SimSun" w:hAnsi="SimSun" w:eastAsia="SimSun" w:cs="SimSun"/>
          <w:sz w:val="24"/>
          <w:szCs w:val="24"/>
          <w:spacing w:val="-6"/>
        </w:rPr>
        <w:t>腐防渗，防渗系数</w:t>
      </w:r>
      <w:r>
        <w:rPr>
          <w:rFonts w:ascii="Times New Roman" w:hAnsi="Times New Roman" w:eastAsia="Times New Roman" w:cs="Times New Roman"/>
          <w:sz w:val="24"/>
          <w:szCs w:val="24"/>
          <w:spacing w:val="-6"/>
        </w:rPr>
        <w:t>≤1.0×10</w:t>
      </w:r>
      <w:r>
        <w:rPr>
          <w:rFonts w:ascii="Times New Roman" w:hAnsi="Times New Roman" w:eastAsia="Times New Roman" w:cs="Times New Roman"/>
          <w:sz w:val="15"/>
          <w:szCs w:val="15"/>
          <w:spacing w:val="-6"/>
          <w:position w:val="8"/>
        </w:rPr>
        <w:t>-10</w:t>
      </w:r>
      <w:r>
        <w:rPr>
          <w:rFonts w:ascii="Times New Roman" w:hAnsi="Times New Roman" w:eastAsia="Times New Roman" w:cs="Times New Roman"/>
          <w:sz w:val="24"/>
          <w:szCs w:val="24"/>
          <w:spacing w:val="-6"/>
        </w:rPr>
        <w:t>cm/s</w:t>
      </w:r>
      <w:r>
        <w:rPr>
          <w:rFonts w:ascii="SimSun" w:hAnsi="SimSun" w:eastAsia="SimSun" w:cs="SimSun"/>
          <w:sz w:val="24"/>
          <w:szCs w:val="24"/>
          <w:spacing w:val="-6"/>
        </w:rPr>
        <w:t>；</w:t>
      </w:r>
      <w:r>
        <w:rPr>
          <w:rFonts w:ascii="SimSun" w:hAnsi="SimSun" w:eastAsia="SimSun" w:cs="SimSun"/>
          <w:sz w:val="24"/>
          <w:szCs w:val="24"/>
          <w:spacing w:val="-1"/>
        </w:rPr>
        <w:t>危废库内设置导流槽和集液池</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 </w:t>
      </w:r>
      <w:r>
        <w:rPr>
          <w:rFonts w:ascii="SimSun" w:hAnsi="SimSun" w:eastAsia="SimSun" w:cs="SimSun"/>
          <w:sz w:val="24"/>
          <w:szCs w:val="24"/>
          <w:spacing w:val="-1"/>
        </w:rPr>
        <w:t>个，设置换气孔。危废库房内外均设有视频监控</w:t>
      </w:r>
      <w:r>
        <w:rPr>
          <w:rFonts w:ascii="SimSun" w:hAnsi="SimSun" w:eastAsia="SimSun" w:cs="SimSun"/>
          <w:sz w:val="24"/>
          <w:szCs w:val="24"/>
          <w:spacing w:val="-2"/>
        </w:rPr>
        <w:t>设施。</w:t>
      </w:r>
    </w:p>
    <w:p>
      <w:pPr>
        <w:ind w:left="122" w:right="8" w:firstLine="514"/>
        <w:spacing w:before="155" w:line="338" w:lineRule="auto"/>
        <w:jc w:val="both"/>
        <w:rPr>
          <w:rFonts w:ascii="SimSun" w:hAnsi="SimSun" w:eastAsia="SimSun" w:cs="SimSun"/>
          <w:sz w:val="24"/>
          <w:szCs w:val="24"/>
        </w:rPr>
      </w:pPr>
      <w:r>
        <w:rPr>
          <w:rFonts w:ascii="SimSun" w:hAnsi="SimSun" w:eastAsia="SimSun" w:cs="SimSun"/>
          <w:sz w:val="24"/>
          <w:szCs w:val="24"/>
          <w:spacing w:val="-3"/>
        </w:rPr>
        <w:t>白音华四号矿运行至今未发生过土壤污染事故，根据本次现状调查，工业场地内土</w:t>
      </w:r>
      <w:r>
        <w:rPr>
          <w:rFonts w:ascii="SimSun" w:hAnsi="SimSun" w:eastAsia="SimSun" w:cs="SimSun"/>
          <w:sz w:val="24"/>
          <w:szCs w:val="24"/>
          <w:spacing w:val="-5"/>
        </w:rPr>
        <w:t>壤均满足《土壤环境质量  建设用地土壤污染风险管控标准（</w:t>
      </w:r>
      <w:r>
        <w:rPr>
          <w:rFonts w:ascii="SimSun" w:hAnsi="SimSun" w:eastAsia="SimSun" w:cs="SimSun"/>
          <w:sz w:val="24"/>
          <w:szCs w:val="24"/>
          <w:spacing w:val="-6"/>
        </w:rPr>
        <w:t>试行）》（</w:t>
      </w:r>
      <w:r>
        <w:rPr>
          <w:rFonts w:ascii="Times New Roman" w:hAnsi="Times New Roman" w:eastAsia="Times New Roman" w:cs="Times New Roman"/>
          <w:sz w:val="24"/>
          <w:szCs w:val="24"/>
          <w:spacing w:val="-6"/>
        </w:rPr>
        <w:t>GB36600-2018</w:t>
      </w:r>
      <w:r>
        <w:rPr>
          <w:rFonts w:ascii="SimSun" w:hAnsi="SimSun" w:eastAsia="SimSun" w:cs="SimSun"/>
          <w:sz w:val="24"/>
          <w:szCs w:val="24"/>
          <w:spacing w:val="-6"/>
        </w:rPr>
        <w:t>）</w:t>
      </w:r>
      <w:r>
        <w:rPr>
          <w:rFonts w:ascii="SimSun" w:hAnsi="SimSun" w:eastAsia="SimSun" w:cs="SimSun"/>
          <w:sz w:val="24"/>
          <w:szCs w:val="24"/>
          <w:spacing w:val="-1"/>
        </w:rPr>
        <w:t>中第二类用地筛选值的限值要求。</w:t>
      </w:r>
    </w:p>
    <w:p>
      <w:pPr>
        <w:ind w:left="604"/>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、地面漫流对土壤环境影响分析</w:t>
      </w:r>
    </w:p>
    <w:p>
      <w:pPr>
        <w:ind w:left="126" w:right="112" w:firstLine="477"/>
        <w:spacing w:before="156" w:line="338" w:lineRule="auto"/>
        <w:rPr>
          <w:rFonts w:ascii="SimSun" w:hAnsi="SimSun" w:eastAsia="SimSun" w:cs="SimSun"/>
          <w:sz w:val="24"/>
          <w:szCs w:val="24"/>
        </w:rPr>
      </w:pPr>
      <w:r>
        <w:rPr>
          <w:rFonts w:ascii="SimSun" w:hAnsi="SimSun" w:eastAsia="SimSun" w:cs="SimSun"/>
          <w:sz w:val="24"/>
          <w:szCs w:val="24"/>
          <w:spacing w:val="-2"/>
        </w:rPr>
        <w:t>本项目地面漫流污染源为内排土场，在降雨情况下汇入内排土场的雨水会发生地面</w:t>
      </w:r>
      <w:r>
        <w:rPr>
          <w:rFonts w:ascii="SimSun" w:hAnsi="SimSun" w:eastAsia="SimSun" w:cs="SimSun"/>
          <w:sz w:val="24"/>
          <w:szCs w:val="24"/>
          <w:spacing w:val="-1"/>
        </w:rPr>
        <w:t>漫流，带出露天矿岩土剥离物中的部分有毒有害物质。</w:t>
      </w:r>
    </w:p>
    <w:p>
      <w:pPr>
        <w:ind w:left="120" w:right="27" w:firstLine="480"/>
        <w:spacing w:before="5" w:line="338" w:lineRule="auto"/>
        <w:jc w:val="both"/>
        <w:rPr>
          <w:rFonts w:ascii="SimSun" w:hAnsi="SimSun" w:eastAsia="SimSun" w:cs="SimSun"/>
          <w:sz w:val="24"/>
          <w:szCs w:val="24"/>
        </w:rPr>
      </w:pPr>
      <w:r>
        <w:rPr>
          <w:rFonts w:ascii="SimSun" w:hAnsi="SimSun" w:eastAsia="SimSun" w:cs="SimSun"/>
          <w:sz w:val="24"/>
          <w:szCs w:val="24"/>
          <w:spacing w:val="-6"/>
        </w:rPr>
        <w:t>矿区气候属中温带半干旱大陆性高原气候，春季多风，夏季温热而短暂，降雨不匀；</w:t>
      </w:r>
      <w:r>
        <w:rPr>
          <w:rFonts w:ascii="SimSun" w:hAnsi="SimSun" w:eastAsia="SimSun" w:cs="SimSun"/>
          <w:sz w:val="24"/>
          <w:szCs w:val="24"/>
        </w:rPr>
        <w:t>秋季气温下降显著；冬季漫长寒冷，无霜期短，全旗年均降雨量为</w:t>
      </w:r>
      <w:r>
        <w:rPr>
          <w:rFonts w:ascii="SimSun" w:hAnsi="SimSun" w:eastAsia="SimSun" w:cs="SimSun"/>
          <w:sz w:val="24"/>
          <w:szCs w:val="24"/>
          <w:spacing w:val="-53"/>
        </w:rPr>
        <w:t xml:space="preserve"> </w:t>
      </w:r>
      <w:r>
        <w:rPr>
          <w:rFonts w:ascii="Times New Roman" w:hAnsi="Times New Roman" w:eastAsia="Times New Roman" w:cs="Times New Roman"/>
          <w:sz w:val="24"/>
          <w:szCs w:val="24"/>
        </w:rPr>
        <w:t>259.5 </w:t>
      </w:r>
      <w:r>
        <w:rPr>
          <w:rFonts w:ascii="SimSun" w:hAnsi="SimSun" w:eastAsia="SimSun" w:cs="SimSun"/>
          <w:sz w:val="24"/>
          <w:szCs w:val="24"/>
        </w:rPr>
        <w:t>毫米</w:t>
      </w:r>
      <w:r>
        <w:rPr>
          <w:rFonts w:ascii="SimSun" w:hAnsi="SimSun" w:eastAsia="SimSun" w:cs="SimSun"/>
          <w:sz w:val="24"/>
          <w:szCs w:val="24"/>
          <w:spacing w:val="-1"/>
        </w:rPr>
        <w:t>，年蒸发</w:t>
      </w:r>
      <w:r>
        <w:rPr>
          <w:rFonts w:ascii="SimSun" w:hAnsi="SimSun" w:eastAsia="SimSun" w:cs="SimSun"/>
          <w:sz w:val="24"/>
          <w:szCs w:val="24"/>
          <w:spacing w:val="-4"/>
        </w:rPr>
        <w:t>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1750.2mm</w:t>
      </w:r>
      <w:r>
        <w:rPr>
          <w:rFonts w:ascii="SimSun" w:hAnsi="SimSun" w:eastAsia="SimSun" w:cs="SimSun"/>
          <w:sz w:val="24"/>
          <w:szCs w:val="24"/>
          <w:spacing w:val="-4"/>
        </w:rPr>
        <w:t>，是降雨量的</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6.75 </w:t>
      </w:r>
      <w:r>
        <w:rPr>
          <w:rFonts w:ascii="SimSun" w:hAnsi="SimSun" w:eastAsia="SimSun" w:cs="SimSun"/>
          <w:sz w:val="24"/>
          <w:szCs w:val="24"/>
          <w:spacing w:val="-4"/>
        </w:rPr>
        <w:t>倍。降雨多在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6~8 </w:t>
      </w:r>
      <w:r>
        <w:rPr>
          <w:rFonts w:ascii="SimSun" w:hAnsi="SimSun" w:eastAsia="SimSun" w:cs="SimSun"/>
          <w:sz w:val="24"/>
          <w:szCs w:val="24"/>
          <w:spacing w:val="-4"/>
        </w:rPr>
        <w:t>三个月，占全年降雨总量的</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4"/>
        </w:rPr>
        <w:t>85.4</w:t>
      </w:r>
      <w:r>
        <w:rPr>
          <w:rFonts w:ascii="Times New Roman" w:hAnsi="Times New Roman" w:eastAsia="Times New Roman" w:cs="Times New Roman"/>
          <w:sz w:val="24"/>
          <w:szCs w:val="24"/>
          <w:spacing w:val="-5"/>
        </w:rPr>
        <w:t>%</w:t>
      </w:r>
      <w:r>
        <w:rPr>
          <w:rFonts w:ascii="SimSun" w:hAnsi="SimSun" w:eastAsia="SimSun" w:cs="SimSun"/>
          <w:sz w:val="24"/>
          <w:szCs w:val="24"/>
          <w:spacing w:val="-5"/>
        </w:rPr>
        <w:t>。</w:t>
      </w:r>
      <w:r>
        <w:rPr>
          <w:rFonts w:ascii="SimSun" w:hAnsi="SimSun" w:eastAsia="SimSun" w:cs="SimSun"/>
          <w:sz w:val="24"/>
          <w:szCs w:val="24"/>
          <w:spacing w:val="-1"/>
        </w:rPr>
        <w:t>降雨随季变化大，气象条件决定不会有大量</w:t>
      </w:r>
      <w:r>
        <w:rPr>
          <w:rFonts w:ascii="SimSun" w:hAnsi="SimSun" w:eastAsia="SimSun" w:cs="SimSun"/>
          <w:sz w:val="24"/>
          <w:szCs w:val="24"/>
          <w:spacing w:val="-2"/>
        </w:rPr>
        <w:t>的地表径流。因此，内排土场冲刷形成的地</w:t>
      </w:r>
      <w:r>
        <w:rPr>
          <w:rFonts w:ascii="SimSun" w:hAnsi="SimSun" w:eastAsia="SimSun" w:cs="SimSun"/>
          <w:sz w:val="24"/>
          <w:szCs w:val="24"/>
          <w:spacing w:val="-1"/>
        </w:rPr>
        <w:t>表径流水质与天然条件下地表径流总体上变</w:t>
      </w:r>
      <w:r>
        <w:rPr>
          <w:rFonts w:ascii="SimSun" w:hAnsi="SimSun" w:eastAsia="SimSun" w:cs="SimSun"/>
          <w:sz w:val="24"/>
          <w:szCs w:val="24"/>
          <w:spacing w:val="-2"/>
        </w:rPr>
        <w:t>化不大，且排土场内堆存的固废为采场的地</w:t>
      </w:r>
      <w:r>
        <w:rPr>
          <w:rFonts w:ascii="SimSun" w:hAnsi="SimSun" w:eastAsia="SimSun" w:cs="SimSun"/>
          <w:sz w:val="24"/>
          <w:szCs w:val="24"/>
          <w:spacing w:val="-1"/>
        </w:rPr>
        <w:t>表剥离物，成分与当地土壤天然基础层相同</w:t>
      </w:r>
      <w:r>
        <w:rPr>
          <w:rFonts w:ascii="SimSun" w:hAnsi="SimSun" w:eastAsia="SimSun" w:cs="SimSun"/>
          <w:sz w:val="24"/>
          <w:szCs w:val="24"/>
          <w:spacing w:val="-2"/>
        </w:rPr>
        <w:t>，基本不存在有毒有害物质，因此地表径流</w:t>
      </w:r>
      <w:r>
        <w:rPr>
          <w:rFonts w:ascii="SimSun" w:hAnsi="SimSun" w:eastAsia="SimSun" w:cs="SimSun"/>
          <w:sz w:val="24"/>
          <w:szCs w:val="24"/>
          <w:spacing w:val="-1"/>
        </w:rPr>
        <w:t>进入土壤并不会对周围土壤造成污染影响。</w:t>
      </w:r>
    </w:p>
    <w:p>
      <w:pPr>
        <w:ind w:left="603"/>
        <w:spacing w:before="1" w:line="220" w:lineRule="auto"/>
        <w:rPr>
          <w:rFonts w:ascii="SimSun" w:hAnsi="SimSun" w:eastAsia="SimSun" w:cs="SimSun"/>
          <w:sz w:val="24"/>
          <w:szCs w:val="24"/>
        </w:rPr>
      </w:pPr>
      <w:r>
        <w:rPr>
          <w:rFonts w:ascii="Times New Roman" w:hAnsi="Times New Roman" w:eastAsia="Times New Roman" w:cs="Times New Roman"/>
          <w:sz w:val="24"/>
          <w:szCs w:val="24"/>
          <w:spacing w:val="-3"/>
        </w:rPr>
        <w:t>6</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3"/>
        </w:rPr>
        <w:t>、垂直入渗对土壤环境的影响分析</w:t>
      </w:r>
    </w:p>
    <w:p>
      <w:pPr>
        <w:spacing w:line="220" w:lineRule="auto"/>
        <w:sectPr>
          <w:headerReference w:type="default" r:id="rId458"/>
          <w:footerReference w:type="default" r:id="rId459"/>
          <w:pgSz w:w="11906" w:h="16838"/>
          <w:pgMar w:top="1170" w:right="1304" w:bottom="1080" w:left="1303" w:header="837" w:footer="918" w:gutter="0"/>
        </w:sectPr>
        <w:rPr>
          <w:rFonts w:ascii="SimSun" w:hAnsi="SimSun" w:eastAsia="SimSun" w:cs="SimSun"/>
          <w:sz w:val="24"/>
          <w:szCs w:val="24"/>
        </w:rPr>
      </w:pPr>
    </w:p>
    <w:p>
      <w:pPr>
        <w:pStyle w:val="BodyText"/>
        <w:spacing w:line="311" w:lineRule="auto"/>
        <w:rPr/>
      </w:pPr>
      <w:r/>
    </w:p>
    <w:p>
      <w:pPr>
        <w:ind w:left="20" w:right="104" w:firstLine="479"/>
        <w:spacing w:before="78" w:line="339" w:lineRule="auto"/>
        <w:rPr>
          <w:rFonts w:ascii="SimSun" w:hAnsi="SimSun" w:eastAsia="SimSun" w:cs="SimSun"/>
          <w:sz w:val="24"/>
          <w:szCs w:val="24"/>
        </w:rPr>
      </w:pPr>
      <w:r>
        <w:rPr>
          <w:rFonts w:ascii="SimSun" w:hAnsi="SimSun" w:eastAsia="SimSun" w:cs="SimSun"/>
          <w:sz w:val="24"/>
          <w:szCs w:val="24"/>
          <w:spacing w:val="-2"/>
        </w:rPr>
        <w:t>工业场地土壤污染源包括危废暂存间、生活污水处理设施、机修间；排土场土壤污</w:t>
      </w:r>
      <w:r>
        <w:rPr>
          <w:rFonts w:ascii="SimSun" w:hAnsi="SimSun" w:eastAsia="SimSun" w:cs="SimSun"/>
          <w:sz w:val="24"/>
          <w:szCs w:val="24"/>
          <w:spacing w:val="-1"/>
        </w:rPr>
        <w:t>染源包括煤矿岩土剥离物堆存区。采掘场土壤污染源为集水池。</w:t>
      </w:r>
    </w:p>
    <w:p>
      <w:pPr>
        <w:ind w:left="15" w:right="104"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采掘场的集水池在事故情况下，会造成污水泄漏，通过垂直入渗污染土壤。煤矿已</w:t>
      </w:r>
      <w:r>
        <w:rPr>
          <w:rFonts w:ascii="SimSun" w:hAnsi="SimSun" w:eastAsia="SimSun" w:cs="SimSun"/>
          <w:sz w:val="24"/>
          <w:szCs w:val="24"/>
          <w:spacing w:val="-2"/>
        </w:rPr>
        <w:t>对集水池做了防渗处理，本次评价要求对防渗设施定期进行维护，防止发生防渗层破损</w:t>
      </w:r>
      <w:r>
        <w:rPr>
          <w:rFonts w:ascii="SimSun" w:hAnsi="SimSun" w:eastAsia="SimSun" w:cs="SimSun"/>
          <w:sz w:val="24"/>
          <w:szCs w:val="24"/>
          <w:spacing w:val="-3"/>
        </w:rPr>
        <w:t>情况。</w:t>
      </w:r>
    </w:p>
    <w:p>
      <w:pPr>
        <w:ind w:left="15" w:firstLine="482"/>
        <w:spacing w:before="3" w:line="338" w:lineRule="auto"/>
        <w:jc w:val="both"/>
        <w:rPr>
          <w:rFonts w:ascii="SimSun" w:hAnsi="SimSun" w:eastAsia="SimSun" w:cs="SimSun"/>
          <w:sz w:val="24"/>
          <w:szCs w:val="24"/>
        </w:rPr>
      </w:pPr>
      <w:r>
        <w:rPr>
          <w:rFonts w:ascii="SimSun" w:hAnsi="SimSun" w:eastAsia="SimSun" w:cs="SimSun"/>
          <w:sz w:val="24"/>
          <w:szCs w:val="24"/>
          <w:spacing w:val="-2"/>
        </w:rPr>
        <w:t>生活污水处理设施和危废库在事故情况下，会造成物料、污染物等的泄露，通过垂</w:t>
      </w:r>
      <w:r>
        <w:rPr>
          <w:rFonts w:ascii="SimSun" w:hAnsi="SimSun" w:eastAsia="SimSun" w:cs="SimSun"/>
          <w:sz w:val="24"/>
          <w:szCs w:val="24"/>
          <w:spacing w:val="-2"/>
        </w:rPr>
        <w:t>直入渗污染土壤。煤矿已对生活污水处理站和危废库严格按照《一般工业固体废物贮存</w:t>
      </w:r>
      <w:r>
        <w:rPr>
          <w:rFonts w:ascii="SimSun" w:hAnsi="SimSun" w:eastAsia="SimSun" w:cs="SimSun"/>
          <w:sz w:val="24"/>
          <w:szCs w:val="24"/>
          <w:spacing w:val="-16"/>
        </w:rPr>
        <w:t>和填埋污染控制标准》（</w:t>
      </w:r>
      <w:r>
        <w:rPr>
          <w:rFonts w:ascii="Times New Roman" w:hAnsi="Times New Roman" w:eastAsia="Times New Roman" w:cs="Times New Roman"/>
          <w:sz w:val="24"/>
          <w:szCs w:val="24"/>
          <w:spacing w:val="-16"/>
        </w:rPr>
        <w:t>GB</w:t>
      </w:r>
      <w:r>
        <w:rPr>
          <w:rFonts w:ascii="Times New Roman" w:hAnsi="Times New Roman" w:eastAsia="Times New Roman" w:cs="Times New Roman"/>
          <w:sz w:val="24"/>
          <w:szCs w:val="24"/>
          <w:spacing w:val="29"/>
        </w:rPr>
        <w:t xml:space="preserve"> </w:t>
      </w:r>
      <w:r>
        <w:rPr>
          <w:rFonts w:ascii="Times New Roman" w:hAnsi="Times New Roman" w:eastAsia="Times New Roman" w:cs="Times New Roman"/>
          <w:sz w:val="24"/>
          <w:szCs w:val="24"/>
          <w:spacing w:val="-16"/>
        </w:rPr>
        <w:t>18599-2020</w:t>
      </w:r>
      <w:r>
        <w:rPr>
          <w:rFonts w:ascii="SimSun" w:hAnsi="SimSun" w:eastAsia="SimSun" w:cs="SimSun"/>
          <w:sz w:val="24"/>
          <w:szCs w:val="24"/>
          <w:spacing w:val="-16"/>
        </w:rPr>
        <w:t>）、《危险废物贮存</w:t>
      </w:r>
      <w:r>
        <w:rPr>
          <w:rFonts w:ascii="SimSun" w:hAnsi="SimSun" w:eastAsia="SimSun" w:cs="SimSun"/>
          <w:sz w:val="24"/>
          <w:szCs w:val="24"/>
          <w:spacing w:val="-17"/>
        </w:rPr>
        <w:t>污染控制标准》（</w:t>
      </w:r>
      <w:r>
        <w:rPr>
          <w:rFonts w:ascii="Times New Roman" w:hAnsi="Times New Roman" w:eastAsia="Times New Roman" w:cs="Times New Roman"/>
          <w:sz w:val="24"/>
          <w:szCs w:val="24"/>
          <w:spacing w:val="-17"/>
        </w:rPr>
        <w:t>GB18597-2023</w:t>
      </w:r>
      <w:r>
        <w:rPr>
          <w:rFonts w:ascii="SimSun" w:hAnsi="SimSun" w:eastAsia="SimSun" w:cs="SimSun"/>
          <w:sz w:val="24"/>
          <w:szCs w:val="24"/>
          <w:spacing w:val="-17"/>
        </w:rPr>
        <w:t>）</w:t>
      </w:r>
      <w:r>
        <w:rPr>
          <w:rFonts w:ascii="SimSun" w:hAnsi="SimSun" w:eastAsia="SimSun" w:cs="SimSun"/>
          <w:sz w:val="24"/>
          <w:szCs w:val="24"/>
          <w:spacing w:val="-2"/>
        </w:rPr>
        <w:t>中相关要求做了防渗处理。本次环评要求且对防渗设施定期进行维护，防止发生防渗层</w:t>
      </w:r>
      <w:r>
        <w:rPr>
          <w:rFonts w:ascii="SimSun" w:hAnsi="SimSun" w:eastAsia="SimSun" w:cs="SimSun"/>
          <w:sz w:val="24"/>
          <w:szCs w:val="24"/>
          <w:spacing w:val="-2"/>
        </w:rPr>
        <w:t>破损情况。</w:t>
      </w:r>
    </w:p>
    <w:p>
      <w:pPr>
        <w:ind w:left="15" w:right="37" w:firstLine="480"/>
        <w:spacing w:before="2" w:line="339" w:lineRule="auto"/>
        <w:jc w:val="both"/>
        <w:rPr>
          <w:rFonts w:ascii="SimSun" w:hAnsi="SimSun" w:eastAsia="SimSun" w:cs="SimSun"/>
          <w:sz w:val="24"/>
          <w:szCs w:val="24"/>
        </w:rPr>
      </w:pPr>
      <w:r>
        <w:rPr>
          <w:rFonts w:ascii="SimSun" w:hAnsi="SimSun" w:eastAsia="SimSun" w:cs="SimSun"/>
          <w:sz w:val="24"/>
          <w:szCs w:val="24"/>
          <w:spacing w:val="-2"/>
        </w:rPr>
        <w:t>排土场堆存物质为煤矿岩土剥离物，剥离层包括第四系风积砂、冲洪积砂、砾石及</w:t>
      </w:r>
      <w:r>
        <w:rPr>
          <w:rFonts w:ascii="SimSun" w:hAnsi="SimSun" w:eastAsia="SimSun" w:cs="SimSun"/>
          <w:sz w:val="24"/>
          <w:szCs w:val="24"/>
          <w:spacing w:val="-2"/>
        </w:rPr>
        <w:t>砂土，剥离物属于第</w:t>
      </w:r>
      <w:r>
        <w:rPr>
          <w:rFonts w:ascii="Times New Roman" w:hAnsi="Times New Roman" w:eastAsia="Times New Roman" w:cs="Times New Roman"/>
          <w:sz w:val="24"/>
          <w:szCs w:val="24"/>
          <w:spacing w:val="-2"/>
        </w:rPr>
        <w:t>Ⅰ</w:t>
      </w:r>
      <w:r>
        <w:rPr>
          <w:rFonts w:ascii="SimSun" w:hAnsi="SimSun" w:eastAsia="SimSun" w:cs="SimSun"/>
          <w:sz w:val="24"/>
          <w:szCs w:val="24"/>
          <w:spacing w:val="-2"/>
        </w:rPr>
        <w:t>类一般工业固体废物，且为天然剥离层，与矿田内出露地层一致，</w:t>
      </w:r>
      <w:r>
        <w:rPr>
          <w:rFonts w:ascii="SimSun" w:hAnsi="SimSun" w:eastAsia="SimSun" w:cs="SimSun"/>
          <w:sz w:val="24"/>
          <w:szCs w:val="24"/>
          <w:spacing w:val="-1"/>
        </w:rPr>
        <w:t>垂直入渗对土壤环境质量造成的污染影响很小。</w:t>
      </w:r>
    </w:p>
    <w:p>
      <w:pPr>
        <w:ind w:left="16"/>
        <w:spacing w:before="8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5.7.3 </w:t>
      </w:r>
      <w:r>
        <w:rPr>
          <w:rFonts w:ascii="SimHei" w:hAnsi="SimHei" w:eastAsia="SimHei" w:cs="SimHei"/>
          <w:sz w:val="28"/>
          <w:szCs w:val="28"/>
          <w:b/>
          <w:bCs/>
          <w:spacing w:val="-2"/>
        </w:rPr>
        <w:t>土壤环境影响评价自查表</w:t>
      </w:r>
    </w:p>
    <w:p>
      <w:pPr>
        <w:ind w:left="497"/>
        <w:spacing w:before="61" w:line="218" w:lineRule="auto"/>
        <w:rPr>
          <w:rFonts w:ascii="SimSun" w:hAnsi="SimSun" w:eastAsia="SimSun" w:cs="SimSun"/>
          <w:sz w:val="24"/>
          <w:szCs w:val="24"/>
        </w:rPr>
      </w:pPr>
      <w:r>
        <w:rPr>
          <w:rFonts w:ascii="SimSun" w:hAnsi="SimSun" w:eastAsia="SimSun" w:cs="SimSun"/>
          <w:sz w:val="24"/>
          <w:szCs w:val="24"/>
          <w:spacing w:val="-1"/>
        </w:rPr>
        <w:t>本项目土壤环境影响评价自查表见下表。</w:t>
      </w:r>
    </w:p>
    <w:p>
      <w:pPr>
        <w:ind w:left="2687"/>
        <w:spacing w:before="189" w:line="218" w:lineRule="auto"/>
        <w:rPr>
          <w:rFonts w:ascii="SimSun" w:hAnsi="SimSun" w:eastAsia="SimSun" w:cs="SimSun"/>
          <w:sz w:val="24"/>
          <w:szCs w:val="24"/>
        </w:rPr>
      </w:pPr>
      <w:r>
        <w:rPr>
          <w:rFonts w:ascii="SimSun" w:hAnsi="SimSun" w:eastAsia="SimSun" w:cs="SimSun"/>
          <w:sz w:val="24"/>
          <w:szCs w:val="24"/>
          <w:b/>
          <w:bCs/>
          <w:spacing w:val="-3"/>
        </w:rPr>
        <w:t>污染影响型土壤环境影响评价自查表</w:t>
      </w:r>
    </w:p>
    <w:p>
      <w:pPr>
        <w:ind w:left="14"/>
        <w:spacing w:before="58"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5-7-6</w:t>
      </w:r>
    </w:p>
    <w:p>
      <w:pPr>
        <w:spacing w:line="22" w:lineRule="exact"/>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0"/>
        <w:gridCol w:w="1643"/>
        <w:gridCol w:w="1384"/>
        <w:gridCol w:w="1494"/>
        <w:gridCol w:w="2226"/>
        <w:gridCol w:w="1187"/>
        <w:gridCol w:w="739"/>
      </w:tblGrid>
      <w:tr>
        <w:trPr>
          <w:trHeight w:val="335" w:hRule="atLeast"/>
        </w:trPr>
        <w:tc>
          <w:tcPr>
            <w:tcW w:w="2053" w:type="dxa"/>
            <w:vAlign w:val="top"/>
            <w:gridSpan w:val="2"/>
          </w:tcPr>
          <w:p>
            <w:pPr>
              <w:ind w:left="612"/>
              <w:spacing w:before="59" w:line="228" w:lineRule="auto"/>
              <w:rPr>
                <w:rFonts w:ascii="SimSun" w:hAnsi="SimSun" w:eastAsia="SimSun" w:cs="SimSun"/>
                <w:sz w:val="20"/>
                <w:szCs w:val="20"/>
              </w:rPr>
            </w:pPr>
            <w:r>
              <w:rPr>
                <w:rFonts w:ascii="SimSun" w:hAnsi="SimSun" w:eastAsia="SimSun" w:cs="SimSun"/>
                <w:sz w:val="20"/>
                <w:szCs w:val="20"/>
                <w:b/>
                <w:bCs/>
                <w:spacing w:val="5"/>
              </w:rPr>
              <w:t>工作内容</w:t>
            </w:r>
          </w:p>
        </w:tc>
        <w:tc>
          <w:tcPr>
            <w:tcW w:w="6291" w:type="dxa"/>
            <w:vAlign w:val="top"/>
            <w:gridSpan w:val="4"/>
          </w:tcPr>
          <w:p>
            <w:pPr>
              <w:ind w:left="2732"/>
              <w:spacing w:before="59" w:line="228" w:lineRule="auto"/>
              <w:rPr>
                <w:rFonts w:ascii="SimSun" w:hAnsi="SimSun" w:eastAsia="SimSun" w:cs="SimSun"/>
                <w:sz w:val="20"/>
                <w:szCs w:val="20"/>
              </w:rPr>
            </w:pPr>
            <w:r>
              <w:rPr>
                <w:rFonts w:ascii="SimSun" w:hAnsi="SimSun" w:eastAsia="SimSun" w:cs="SimSun"/>
                <w:sz w:val="20"/>
                <w:szCs w:val="20"/>
                <w:b/>
                <w:bCs/>
                <w:spacing w:val="6"/>
              </w:rPr>
              <w:t>完成情况</w:t>
            </w:r>
          </w:p>
        </w:tc>
        <w:tc>
          <w:tcPr>
            <w:tcW w:w="739" w:type="dxa"/>
            <w:vAlign w:val="top"/>
          </w:tcPr>
          <w:p>
            <w:pPr>
              <w:ind w:left="164"/>
              <w:spacing w:before="60" w:line="229"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30" w:hRule="atLeast"/>
        </w:trPr>
        <w:tc>
          <w:tcPr>
            <w:tcW w:w="410" w:type="dxa"/>
            <w:vAlign w:val="top"/>
            <w:vMerge w:val="restart"/>
            <w:textDirection w:val="tbRlV"/>
            <w:tcBorders>
              <w:bottom w:val="nil"/>
            </w:tcBorders>
          </w:tcPr>
          <w:p>
            <w:pPr>
              <w:ind w:left="1073"/>
              <w:spacing w:before="98"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19"/>
              </w:rPr>
              <w:t xml:space="preserve"> </w:t>
            </w:r>
            <w:r>
              <w:rPr>
                <w:rFonts w:ascii="SimSun" w:hAnsi="SimSun" w:eastAsia="SimSun" w:cs="SimSun"/>
                <w:sz w:val="20"/>
                <w:szCs w:val="20"/>
                <w:spacing w:val="8"/>
              </w:rPr>
              <w:t>响</w:t>
            </w:r>
            <w:r>
              <w:rPr>
                <w:rFonts w:ascii="SimSun" w:hAnsi="SimSun" w:eastAsia="SimSun" w:cs="SimSun"/>
                <w:sz w:val="20"/>
                <w:szCs w:val="20"/>
                <w:spacing w:val="18"/>
              </w:rPr>
              <w:t xml:space="preserve"> </w:t>
            </w:r>
            <w:r>
              <w:rPr>
                <w:rFonts w:ascii="SimSun" w:hAnsi="SimSun" w:eastAsia="SimSun" w:cs="SimSun"/>
                <w:sz w:val="20"/>
                <w:szCs w:val="20"/>
                <w:spacing w:val="8"/>
              </w:rPr>
              <w:t>识</w:t>
            </w:r>
            <w:r>
              <w:rPr>
                <w:rFonts w:ascii="SimSun" w:hAnsi="SimSun" w:eastAsia="SimSun" w:cs="SimSun"/>
                <w:sz w:val="20"/>
                <w:szCs w:val="20"/>
                <w:spacing w:val="17"/>
              </w:rPr>
              <w:t xml:space="preserve"> </w:t>
            </w:r>
            <w:r>
              <w:rPr>
                <w:rFonts w:ascii="SimSun" w:hAnsi="SimSun" w:eastAsia="SimSun" w:cs="SimSun"/>
                <w:sz w:val="20"/>
                <w:szCs w:val="20"/>
                <w:spacing w:val="8"/>
              </w:rPr>
              <w:t>别</w:t>
            </w:r>
          </w:p>
        </w:tc>
        <w:tc>
          <w:tcPr>
            <w:tcW w:w="1643" w:type="dxa"/>
            <w:vAlign w:val="top"/>
          </w:tcPr>
          <w:p>
            <w:pPr>
              <w:ind w:left="404"/>
              <w:spacing w:before="55" w:line="228" w:lineRule="auto"/>
              <w:rPr>
                <w:rFonts w:ascii="SimSun" w:hAnsi="SimSun" w:eastAsia="SimSun" w:cs="SimSun"/>
                <w:sz w:val="20"/>
                <w:szCs w:val="20"/>
              </w:rPr>
            </w:pPr>
            <w:r>
              <w:rPr>
                <w:rFonts w:ascii="SimSun" w:hAnsi="SimSun" w:eastAsia="SimSun" w:cs="SimSun"/>
                <w:sz w:val="20"/>
                <w:szCs w:val="20"/>
                <w:spacing w:val="7"/>
              </w:rPr>
              <w:t>影响类型</w:t>
            </w:r>
          </w:p>
        </w:tc>
        <w:tc>
          <w:tcPr>
            <w:tcW w:w="6291" w:type="dxa"/>
            <w:vAlign w:val="top"/>
            <w:gridSpan w:val="4"/>
          </w:tcPr>
          <w:p>
            <w:pPr>
              <w:pStyle w:val="TableText"/>
              <w:ind w:left="1199"/>
              <w:spacing w:before="55" w:line="228" w:lineRule="auto"/>
              <w:rPr>
                <w:rFonts w:ascii="SimSun" w:hAnsi="SimSun" w:eastAsia="SimSun" w:cs="SimSun"/>
              </w:rPr>
            </w:pPr>
            <w:r>
              <w:rPr>
                <w:rFonts w:ascii="SimSun" w:hAnsi="SimSun" w:eastAsia="SimSun" w:cs="SimSun"/>
                <w:spacing w:val="7"/>
              </w:rPr>
              <w:t>污染影响型</w:t>
            </w:r>
            <w:r>
              <w:rPr>
                <w:rFonts w:ascii="MS UI Gothic" w:hAnsi="MS UI Gothic" w:eastAsia="MS UI Gothic" w:cs="MS UI Gothic"/>
                <w:spacing w:val="7"/>
              </w:rPr>
              <w:t>☑</w:t>
            </w:r>
            <w:r>
              <w:rPr>
                <w:rFonts w:ascii="SimSun" w:hAnsi="SimSun" w:eastAsia="SimSun" w:cs="SimSun"/>
                <w:spacing w:val="7"/>
              </w:rPr>
              <w:t>；生态影响型</w:t>
            </w:r>
            <w:r>
              <w:rPr>
                <w:spacing w:val="7"/>
              </w:rPr>
              <w:t>□</w:t>
            </w:r>
            <w:r>
              <w:rPr>
                <w:spacing w:val="-12"/>
              </w:rPr>
              <w:t xml:space="preserve"> </w:t>
            </w:r>
            <w:r>
              <w:rPr>
                <w:rFonts w:ascii="SimSun" w:hAnsi="SimSun" w:eastAsia="SimSun" w:cs="SimSun"/>
                <w:spacing w:val="7"/>
              </w:rPr>
              <w:t>；两种兼有</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6"/>
              <w:spacing w:before="56" w:line="228" w:lineRule="auto"/>
              <w:rPr>
                <w:rFonts w:ascii="SimSun" w:hAnsi="SimSun" w:eastAsia="SimSun" w:cs="SimSun"/>
                <w:sz w:val="20"/>
                <w:szCs w:val="20"/>
              </w:rPr>
            </w:pPr>
            <w:r>
              <w:rPr>
                <w:rFonts w:ascii="SimSun" w:hAnsi="SimSun" w:eastAsia="SimSun" w:cs="SimSun"/>
                <w:sz w:val="20"/>
                <w:szCs w:val="20"/>
                <w:spacing w:val="8"/>
              </w:rPr>
              <w:t>土地利用类型</w:t>
            </w:r>
          </w:p>
        </w:tc>
        <w:tc>
          <w:tcPr>
            <w:tcW w:w="6291" w:type="dxa"/>
            <w:vAlign w:val="top"/>
            <w:gridSpan w:val="4"/>
          </w:tcPr>
          <w:p>
            <w:pPr>
              <w:pStyle w:val="TableText"/>
              <w:ind w:left="1516"/>
              <w:spacing w:before="57" w:line="228" w:lineRule="auto"/>
              <w:rPr/>
            </w:pPr>
            <w:r>
              <w:rPr>
                <w:rFonts w:ascii="SimSun" w:hAnsi="SimSun" w:eastAsia="SimSun" w:cs="SimSun"/>
                <w:spacing w:val="8"/>
              </w:rPr>
              <w:t>建设用地</w:t>
            </w:r>
            <w:r>
              <w:rPr>
                <w:rFonts w:ascii="MS UI Gothic" w:hAnsi="MS UI Gothic" w:eastAsia="MS UI Gothic" w:cs="MS UI Gothic"/>
                <w:spacing w:val="8"/>
              </w:rPr>
              <w:t>☑</w:t>
            </w:r>
            <w:r>
              <w:rPr>
                <w:rFonts w:ascii="SimSun" w:hAnsi="SimSun" w:eastAsia="SimSun" w:cs="SimSun"/>
                <w:spacing w:val="8"/>
              </w:rPr>
              <w:t>；农用地□；未利用地</w:t>
            </w:r>
            <w:r>
              <w:rPr>
                <w:spacing w:val="8"/>
              </w:rPr>
              <w:t>□</w:t>
            </w:r>
          </w:p>
        </w:tc>
        <w:tc>
          <w:tcPr>
            <w:tcW w:w="739" w:type="dxa"/>
            <w:vAlign w:val="top"/>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38"/>
              <w:spacing w:before="56" w:line="228" w:lineRule="auto"/>
              <w:rPr>
                <w:rFonts w:ascii="SimSun" w:hAnsi="SimSun" w:eastAsia="SimSun" w:cs="SimSun"/>
                <w:sz w:val="20"/>
                <w:szCs w:val="20"/>
              </w:rPr>
            </w:pPr>
            <w:r>
              <w:rPr>
                <w:rFonts w:ascii="SimSun" w:hAnsi="SimSun" w:eastAsia="SimSun" w:cs="SimSun"/>
                <w:sz w:val="20"/>
                <w:szCs w:val="20"/>
                <w:spacing w:val="-2"/>
              </w:rPr>
              <w:t>占地规模</w:t>
            </w:r>
          </w:p>
        </w:tc>
        <w:tc>
          <w:tcPr>
            <w:tcW w:w="6291" w:type="dxa"/>
            <w:vAlign w:val="top"/>
            <w:gridSpan w:val="4"/>
          </w:tcPr>
          <w:p>
            <w:pPr>
              <w:pStyle w:val="TableText"/>
              <w:ind w:left="1895"/>
              <w:spacing w:before="57" w:line="228" w:lineRule="auto"/>
              <w:rPr>
                <w:sz w:val="13"/>
                <w:szCs w:val="13"/>
              </w:rPr>
            </w:pPr>
            <w:r>
              <w:rPr>
                <w:rFonts w:ascii="SimSun" w:hAnsi="SimSun" w:eastAsia="SimSun" w:cs="SimSun"/>
                <w:spacing w:val="5"/>
              </w:rPr>
              <w:t>工业场地占地面积</w:t>
            </w:r>
            <w:r>
              <w:rPr>
                <w:rFonts w:ascii="SimSun" w:hAnsi="SimSun" w:eastAsia="SimSun" w:cs="SimSun"/>
                <w:spacing w:val="-36"/>
              </w:rPr>
              <w:t xml:space="preserve"> </w:t>
            </w:r>
            <w:r>
              <w:rPr>
                <w:spacing w:val="5"/>
              </w:rPr>
              <w:t>26.01</w:t>
            </w:r>
            <w:r>
              <w:rPr/>
              <w:t>hm</w:t>
            </w:r>
            <w:r>
              <w:rPr>
                <w:sz w:val="13"/>
                <w:szCs w:val="13"/>
                <w:spacing w:val="5"/>
                <w:position w:val="6"/>
              </w:rPr>
              <w:t>2</w:t>
            </w:r>
          </w:p>
        </w:tc>
        <w:tc>
          <w:tcPr>
            <w:tcW w:w="739" w:type="dxa"/>
            <w:vAlign w:val="top"/>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6"/>
              <w:spacing w:before="57" w:line="228" w:lineRule="auto"/>
              <w:rPr>
                <w:rFonts w:ascii="SimSun" w:hAnsi="SimSun" w:eastAsia="SimSun" w:cs="SimSun"/>
                <w:sz w:val="20"/>
                <w:szCs w:val="20"/>
              </w:rPr>
            </w:pPr>
            <w:r>
              <w:rPr>
                <w:rFonts w:ascii="SimSun" w:hAnsi="SimSun" w:eastAsia="SimSun" w:cs="SimSun"/>
                <w:sz w:val="20"/>
                <w:szCs w:val="20"/>
                <w:spacing w:val="8"/>
              </w:rPr>
              <w:t>敏感目标信息</w:t>
            </w:r>
          </w:p>
        </w:tc>
        <w:tc>
          <w:tcPr>
            <w:tcW w:w="6291" w:type="dxa"/>
            <w:vAlign w:val="top"/>
            <w:gridSpan w:val="4"/>
          </w:tcPr>
          <w:p>
            <w:pPr>
              <w:ind w:left="2731"/>
              <w:spacing w:before="57" w:line="228" w:lineRule="auto"/>
              <w:rPr>
                <w:rFonts w:ascii="SimSun" w:hAnsi="SimSun" w:eastAsia="SimSun" w:cs="SimSun"/>
                <w:sz w:val="20"/>
                <w:szCs w:val="20"/>
              </w:rPr>
            </w:pPr>
            <w:r>
              <w:rPr>
                <w:rFonts w:ascii="SimSun" w:hAnsi="SimSun" w:eastAsia="SimSun" w:cs="SimSun"/>
                <w:sz w:val="20"/>
                <w:szCs w:val="20"/>
                <w:spacing w:val="8"/>
              </w:rPr>
              <w:t>牧草地，敏感</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4"/>
              <w:spacing w:before="58" w:line="228" w:lineRule="auto"/>
              <w:rPr>
                <w:rFonts w:ascii="SimSun" w:hAnsi="SimSun" w:eastAsia="SimSun" w:cs="SimSun"/>
                <w:sz w:val="20"/>
                <w:szCs w:val="20"/>
              </w:rPr>
            </w:pPr>
            <w:r>
              <w:rPr>
                <w:rFonts w:ascii="SimSun" w:hAnsi="SimSun" w:eastAsia="SimSun" w:cs="SimSun"/>
                <w:sz w:val="20"/>
                <w:szCs w:val="20"/>
                <w:spacing w:val="7"/>
              </w:rPr>
              <w:t>影响途径</w:t>
            </w:r>
          </w:p>
        </w:tc>
        <w:tc>
          <w:tcPr>
            <w:tcW w:w="6291" w:type="dxa"/>
            <w:vAlign w:val="top"/>
            <w:gridSpan w:val="4"/>
          </w:tcPr>
          <w:p>
            <w:pPr>
              <w:ind w:left="57"/>
              <w:spacing w:before="59" w:line="225" w:lineRule="auto"/>
              <w:rPr>
                <w:rFonts w:ascii="SimSun" w:hAnsi="SimSun" w:eastAsia="SimSun" w:cs="SimSun"/>
                <w:sz w:val="20"/>
                <w:szCs w:val="20"/>
              </w:rPr>
            </w:pPr>
            <w:r>
              <w:rPr>
                <w:rFonts w:ascii="SimSun" w:hAnsi="SimSun" w:eastAsia="SimSun" w:cs="SimSun"/>
                <w:sz w:val="20"/>
                <w:szCs w:val="20"/>
                <w:spacing w:val="6"/>
              </w:rPr>
              <w:t>大气沉降</w:t>
            </w:r>
            <w:r>
              <w:rPr>
                <w:rFonts w:ascii="MS UI Gothic" w:hAnsi="MS UI Gothic" w:eastAsia="MS UI Gothic" w:cs="MS UI Gothic"/>
                <w:sz w:val="20"/>
                <w:szCs w:val="20"/>
                <w:spacing w:val="6"/>
              </w:rPr>
              <w:t>☑</w:t>
            </w:r>
            <w:r>
              <w:rPr>
                <w:rFonts w:ascii="SimSun" w:hAnsi="SimSun" w:eastAsia="SimSun" w:cs="SimSun"/>
                <w:sz w:val="20"/>
                <w:szCs w:val="20"/>
                <w:spacing w:val="6"/>
              </w:rPr>
              <w:t>；地面漫流</w:t>
            </w:r>
            <w:r>
              <w:rPr>
                <w:rFonts w:ascii="MS UI Gothic" w:hAnsi="MS UI Gothic" w:eastAsia="MS UI Gothic" w:cs="MS UI Gothic"/>
                <w:sz w:val="20"/>
                <w:szCs w:val="20"/>
                <w:spacing w:val="6"/>
              </w:rPr>
              <w:t>☑  </w:t>
            </w:r>
            <w:r>
              <w:rPr>
                <w:rFonts w:ascii="SimSun" w:hAnsi="SimSun" w:eastAsia="SimSun" w:cs="SimSun"/>
                <w:sz w:val="20"/>
                <w:szCs w:val="20"/>
                <w:spacing w:val="6"/>
              </w:rPr>
              <w:t>；垂直入渗</w:t>
            </w:r>
            <w:r>
              <w:rPr>
                <w:rFonts w:ascii="MS UI Gothic" w:hAnsi="MS UI Gothic" w:eastAsia="MS UI Gothic" w:cs="MS UI Gothic"/>
                <w:sz w:val="20"/>
                <w:szCs w:val="20"/>
                <w:spacing w:val="6"/>
              </w:rPr>
              <w:t>☑</w:t>
            </w:r>
            <w:r>
              <w:rPr>
                <w:rFonts w:ascii="SimSun" w:hAnsi="SimSun" w:eastAsia="SimSun" w:cs="SimSun"/>
                <w:sz w:val="20"/>
                <w:szCs w:val="20"/>
                <w:spacing w:val="6"/>
              </w:rPr>
              <w:t>；地下水位  ；其他</w:t>
            </w:r>
            <w:r>
              <w:rPr>
                <w:rFonts w:ascii="SimSun" w:hAnsi="SimSun" w:eastAsia="SimSun" w:cs="SimSun"/>
                <w:sz w:val="20"/>
                <w:szCs w:val="20"/>
                <w:spacing w:val="22"/>
              </w:rPr>
              <w:t xml:space="preserve"> </w:t>
            </w:r>
            <w:r>
              <w:rPr>
                <w:rFonts w:ascii="SimSun" w:hAnsi="SimSun" w:eastAsia="SimSun" w:cs="SimSun"/>
                <w:sz w:val="20"/>
                <w:szCs w:val="20"/>
                <w:spacing w:val="6"/>
              </w:rPr>
              <w:t>(</w:t>
            </w:r>
            <w:r>
              <w:rPr>
                <w:rFonts w:ascii="SimSun" w:hAnsi="SimSun" w:eastAsia="SimSun" w:cs="SimSun"/>
                <w:sz w:val="20"/>
                <w:szCs w:val="20"/>
                <w:spacing w:val="35"/>
              </w:rPr>
              <w:t xml:space="preserve">  </w:t>
            </w:r>
            <w:r>
              <w:rPr>
                <w:rFonts w:ascii="SimSun" w:hAnsi="SimSun" w:eastAsia="SimSun" w:cs="SimSun"/>
                <w:sz w:val="20"/>
                <w:szCs w:val="20"/>
                <w:spacing w:val="6"/>
              </w:rPr>
              <w:t>)</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301"/>
              <w:spacing w:before="58" w:line="228" w:lineRule="auto"/>
              <w:rPr>
                <w:rFonts w:ascii="SimSun" w:hAnsi="SimSun" w:eastAsia="SimSun" w:cs="SimSun"/>
                <w:sz w:val="20"/>
                <w:szCs w:val="20"/>
              </w:rPr>
            </w:pPr>
            <w:r>
              <w:rPr>
                <w:rFonts w:ascii="SimSun" w:hAnsi="SimSun" w:eastAsia="SimSun" w:cs="SimSun"/>
                <w:sz w:val="20"/>
                <w:szCs w:val="20"/>
                <w:spacing w:val="8"/>
              </w:rPr>
              <w:t>全部污染物</w:t>
            </w:r>
          </w:p>
        </w:tc>
        <w:tc>
          <w:tcPr>
            <w:tcW w:w="6291" w:type="dxa"/>
            <w:vAlign w:val="top"/>
            <w:gridSpan w:val="4"/>
          </w:tcPr>
          <w:p>
            <w:pPr>
              <w:ind w:left="1470"/>
              <w:spacing w:before="59" w:line="228" w:lineRule="auto"/>
              <w:rPr>
                <w:rFonts w:ascii="SimSun" w:hAnsi="SimSun" w:eastAsia="SimSun" w:cs="SimSun"/>
                <w:sz w:val="20"/>
                <w:szCs w:val="20"/>
              </w:rPr>
            </w:pPr>
            <w:r>
              <w:rPr>
                <w:rFonts w:ascii="SimSun" w:hAnsi="SimSun" w:eastAsia="SimSun" w:cs="SimSun"/>
                <w:sz w:val="20"/>
                <w:szCs w:val="20"/>
                <w:spacing w:val="9"/>
              </w:rPr>
              <w:t>砷、锌、锅、总铬、镍、铜、铅、汞</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4"/>
              <w:spacing w:before="58" w:line="228" w:lineRule="auto"/>
              <w:rPr>
                <w:rFonts w:ascii="SimSun" w:hAnsi="SimSun" w:eastAsia="SimSun" w:cs="SimSun"/>
                <w:sz w:val="20"/>
                <w:szCs w:val="20"/>
              </w:rPr>
            </w:pPr>
            <w:r>
              <w:rPr>
                <w:rFonts w:ascii="SimSun" w:hAnsi="SimSun" w:eastAsia="SimSun" w:cs="SimSun"/>
                <w:sz w:val="20"/>
                <w:szCs w:val="20"/>
                <w:spacing w:val="7"/>
              </w:rPr>
              <w:t>特征因子</w:t>
            </w:r>
          </w:p>
        </w:tc>
        <w:tc>
          <w:tcPr>
            <w:tcW w:w="6291" w:type="dxa"/>
            <w:vAlign w:val="top"/>
            <w:gridSpan w:val="4"/>
          </w:tcPr>
          <w:p>
            <w:pPr>
              <w:pStyle w:val="TableText"/>
              <w:ind w:left="2592"/>
              <w:spacing w:before="59" w:line="221" w:lineRule="auto"/>
              <w:rPr>
                <w:rFonts w:ascii="SimSun" w:hAnsi="SimSun" w:eastAsia="SimSun" w:cs="SimSun"/>
              </w:rPr>
            </w:pPr>
            <w:r>
              <w:rPr/>
              <w:t>pH</w:t>
            </w:r>
            <w:r>
              <w:rPr>
                <w:spacing w:val="-29"/>
              </w:rPr>
              <w:t xml:space="preserve"> </w:t>
            </w:r>
            <w:r>
              <w:rPr>
                <w:rFonts w:ascii="SimSun" w:hAnsi="SimSun" w:eastAsia="SimSun" w:cs="SimSun"/>
                <w:spacing w:val="7"/>
              </w:rPr>
              <w:t>、石油烃</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99" w:right="87" w:hanging="10"/>
              <w:spacing w:before="59" w:line="271" w:lineRule="auto"/>
              <w:rPr>
                <w:rFonts w:ascii="SimSun" w:hAnsi="SimSun" w:eastAsia="SimSun" w:cs="SimSun"/>
                <w:sz w:val="20"/>
                <w:szCs w:val="20"/>
              </w:rPr>
            </w:pPr>
            <w:r>
              <w:rPr>
                <w:rFonts w:ascii="SimSun" w:hAnsi="SimSun" w:eastAsia="SimSun" w:cs="SimSun"/>
                <w:sz w:val="20"/>
                <w:szCs w:val="20"/>
                <w:spacing w:val="8"/>
              </w:rPr>
              <w:t>所属土壤环境影</w:t>
            </w:r>
            <w:r>
              <w:rPr>
                <w:rFonts w:ascii="SimSun" w:hAnsi="SimSun" w:eastAsia="SimSun" w:cs="SimSun"/>
                <w:sz w:val="20"/>
                <w:szCs w:val="20"/>
                <w:spacing w:val="7"/>
              </w:rPr>
              <w:t>响评价项目类别</w:t>
            </w:r>
          </w:p>
        </w:tc>
        <w:tc>
          <w:tcPr>
            <w:tcW w:w="6291" w:type="dxa"/>
            <w:vAlign w:val="top"/>
            <w:gridSpan w:val="4"/>
          </w:tcPr>
          <w:p>
            <w:pPr>
              <w:pStyle w:val="TableText"/>
              <w:ind w:left="1804"/>
              <w:spacing w:before="222" w:line="228" w:lineRule="auto"/>
              <w:rPr/>
            </w:pPr>
            <w:r>
              <w:rPr>
                <w:spacing w:val="-8"/>
              </w:rPr>
              <w:t>Ⅰ</w:t>
            </w:r>
            <w:r>
              <w:rPr>
                <w:rFonts w:ascii="SimSun" w:hAnsi="SimSun" w:eastAsia="SimSun" w:cs="SimSun"/>
                <w:spacing w:val="-8"/>
              </w:rPr>
              <w:t>类</w:t>
            </w:r>
            <w:r>
              <w:rPr>
                <w:spacing w:val="-8"/>
              </w:rPr>
              <w:t>□</w:t>
            </w:r>
            <w:r>
              <w:rPr>
                <w:spacing w:val="-17"/>
              </w:rPr>
              <w:t xml:space="preserve"> </w:t>
            </w:r>
            <w:r>
              <w:rPr>
                <w:rFonts w:ascii="SimSun" w:hAnsi="SimSun" w:eastAsia="SimSun" w:cs="SimSun"/>
                <w:spacing w:val="-8"/>
              </w:rPr>
              <w:t>;</w:t>
            </w:r>
            <w:r>
              <w:rPr>
                <w:rFonts w:ascii="SimSun" w:hAnsi="SimSun" w:eastAsia="SimSun" w:cs="SimSun"/>
                <w:spacing w:val="58"/>
              </w:rPr>
              <w:t xml:space="preserve"> </w:t>
            </w:r>
            <w:r>
              <w:rPr>
                <w:spacing w:val="-8"/>
              </w:rPr>
              <w:t>Ⅱ</w:t>
            </w:r>
            <w:r>
              <w:rPr>
                <w:rFonts w:ascii="SimSun" w:hAnsi="SimSun" w:eastAsia="SimSun" w:cs="SimSun"/>
                <w:spacing w:val="-8"/>
              </w:rPr>
              <w:t>类</w:t>
            </w:r>
            <w:r>
              <w:rPr>
                <w:rFonts w:ascii="MS UI Gothic" w:hAnsi="MS UI Gothic" w:eastAsia="MS UI Gothic" w:cs="MS UI Gothic"/>
                <w:spacing w:val="-8"/>
              </w:rPr>
              <w:t>☑</w:t>
            </w:r>
            <w:r>
              <w:rPr>
                <w:rFonts w:ascii="SimSun" w:hAnsi="SimSun" w:eastAsia="SimSun" w:cs="SimSun"/>
                <w:spacing w:val="-8"/>
              </w:rPr>
              <w:t>;</w:t>
            </w:r>
            <w:r>
              <w:rPr>
                <w:rFonts w:ascii="SimSun" w:hAnsi="SimSun" w:eastAsia="SimSun" w:cs="SimSun"/>
                <w:spacing w:val="61"/>
              </w:rPr>
              <w:t xml:space="preserve"> </w:t>
            </w:r>
            <w:r>
              <w:rPr>
                <w:spacing w:val="-8"/>
              </w:rPr>
              <w:t>Ⅲ</w:t>
            </w:r>
            <w:r>
              <w:rPr>
                <w:rFonts w:ascii="SimSun" w:hAnsi="SimSun" w:eastAsia="SimSun" w:cs="SimSun"/>
                <w:spacing w:val="-8"/>
              </w:rPr>
              <w:t>类</w:t>
            </w:r>
            <w:r>
              <w:rPr>
                <w:spacing w:val="-8"/>
              </w:rPr>
              <w:t>□</w:t>
            </w:r>
            <w:r>
              <w:rPr>
                <w:spacing w:val="-25"/>
              </w:rPr>
              <w:t xml:space="preserve"> </w:t>
            </w:r>
            <w:r>
              <w:rPr>
                <w:rFonts w:ascii="SimSun" w:hAnsi="SimSun" w:eastAsia="SimSun" w:cs="SimSun"/>
                <w:spacing w:val="-8"/>
              </w:rPr>
              <w:t>;</w:t>
            </w:r>
            <w:r>
              <w:rPr>
                <w:rFonts w:ascii="SimSun" w:hAnsi="SimSun" w:eastAsia="SimSun" w:cs="SimSun"/>
                <w:spacing w:val="60"/>
              </w:rPr>
              <w:t xml:space="preserve"> </w:t>
            </w:r>
            <w:r>
              <w:rPr>
                <w:spacing w:val="-8"/>
              </w:rPr>
              <w:t>Ⅳ</w:t>
            </w:r>
            <w:r>
              <w:rPr>
                <w:rFonts w:ascii="SimSun" w:hAnsi="SimSun" w:eastAsia="SimSun" w:cs="SimSun"/>
                <w:spacing w:val="-8"/>
              </w:rPr>
              <w:t>类</w:t>
            </w:r>
            <w:r>
              <w:rPr>
                <w:spacing w:val="-8"/>
              </w:rPr>
              <w:t>□</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405"/>
              <w:spacing w:before="59" w:line="228" w:lineRule="auto"/>
              <w:rPr>
                <w:rFonts w:ascii="SimSun" w:hAnsi="SimSun" w:eastAsia="SimSun" w:cs="SimSun"/>
                <w:sz w:val="20"/>
                <w:szCs w:val="20"/>
              </w:rPr>
            </w:pPr>
            <w:r>
              <w:rPr>
                <w:rFonts w:ascii="SimSun" w:hAnsi="SimSun" w:eastAsia="SimSun" w:cs="SimSun"/>
                <w:sz w:val="20"/>
                <w:szCs w:val="20"/>
                <w:spacing w:val="7"/>
              </w:rPr>
              <w:t>敏感程度</w:t>
            </w:r>
          </w:p>
        </w:tc>
        <w:tc>
          <w:tcPr>
            <w:tcW w:w="6291" w:type="dxa"/>
            <w:vAlign w:val="top"/>
            <w:gridSpan w:val="4"/>
          </w:tcPr>
          <w:p>
            <w:pPr>
              <w:pStyle w:val="TableText"/>
              <w:ind w:left="1870"/>
              <w:spacing w:before="59" w:line="228" w:lineRule="auto"/>
              <w:rPr/>
            </w:pPr>
            <w:r>
              <w:rPr>
                <w:rFonts w:ascii="SimSun" w:hAnsi="SimSun" w:eastAsia="SimSun" w:cs="SimSun"/>
                <w:spacing w:val="6"/>
              </w:rPr>
              <w:t>敏感</w:t>
            </w:r>
            <w:r>
              <w:rPr>
                <w:rFonts w:ascii="MS UI Gothic" w:hAnsi="MS UI Gothic" w:eastAsia="MS UI Gothic" w:cs="MS UI Gothic"/>
                <w:spacing w:val="6"/>
              </w:rPr>
              <w:t>☑</w:t>
            </w:r>
            <w:r>
              <w:rPr>
                <w:rFonts w:ascii="SimSun" w:hAnsi="SimSun" w:eastAsia="SimSun" w:cs="SimSun"/>
                <w:spacing w:val="6"/>
              </w:rPr>
              <w:t>；较敏感</w:t>
            </w:r>
            <w:r>
              <w:rPr>
                <w:spacing w:val="6"/>
              </w:rPr>
              <w:t>□</w:t>
            </w:r>
            <w:r>
              <w:rPr>
                <w:spacing w:val="-18"/>
              </w:rPr>
              <w:t xml:space="preserve"> </w:t>
            </w:r>
            <w:r>
              <w:rPr>
                <w:rFonts w:ascii="SimSun" w:hAnsi="SimSun" w:eastAsia="SimSun" w:cs="SimSun"/>
                <w:spacing w:val="6"/>
              </w:rPr>
              <w:t>；不敏感</w:t>
            </w:r>
            <w:r>
              <w:rPr>
                <w:spacing w:val="6"/>
              </w:rPr>
              <w:t>□</w:t>
            </w:r>
          </w:p>
        </w:tc>
        <w:tc>
          <w:tcPr>
            <w:tcW w:w="739" w:type="dxa"/>
            <w:vAlign w:val="top"/>
          </w:tcPr>
          <w:p>
            <w:pPr>
              <w:rPr>
                <w:rFonts w:ascii="Arial"/>
                <w:sz w:val="21"/>
              </w:rPr>
            </w:pPr>
            <w:r/>
          </w:p>
        </w:tc>
      </w:tr>
      <w:tr>
        <w:trPr>
          <w:trHeight w:val="331" w:hRule="atLeast"/>
        </w:trPr>
        <w:tc>
          <w:tcPr>
            <w:tcW w:w="2053" w:type="dxa"/>
            <w:vAlign w:val="top"/>
            <w:gridSpan w:val="2"/>
          </w:tcPr>
          <w:p>
            <w:pPr>
              <w:ind w:left="400"/>
              <w:spacing w:before="59" w:line="226" w:lineRule="auto"/>
              <w:rPr>
                <w:rFonts w:ascii="SimSun" w:hAnsi="SimSun" w:eastAsia="SimSun" w:cs="SimSun"/>
                <w:sz w:val="20"/>
                <w:szCs w:val="20"/>
              </w:rPr>
            </w:pPr>
            <w:r>
              <w:rPr>
                <w:rFonts w:ascii="SimSun" w:hAnsi="SimSun" w:eastAsia="SimSun" w:cs="SimSun"/>
                <w:sz w:val="20"/>
                <w:szCs w:val="20"/>
                <w:spacing w:val="8"/>
              </w:rPr>
              <w:t>评价工作等级</w:t>
            </w:r>
          </w:p>
        </w:tc>
        <w:tc>
          <w:tcPr>
            <w:tcW w:w="6291" w:type="dxa"/>
            <w:vAlign w:val="top"/>
            <w:gridSpan w:val="4"/>
          </w:tcPr>
          <w:p>
            <w:pPr>
              <w:pStyle w:val="TableText"/>
              <w:ind w:left="1558"/>
              <w:spacing w:before="59" w:line="230" w:lineRule="auto"/>
              <w:rPr/>
            </w:pPr>
            <w:r>
              <w:rPr>
                <w:rFonts w:ascii="SimSun" w:hAnsi="SimSun" w:eastAsia="SimSun" w:cs="SimSun"/>
                <w:spacing w:val="7"/>
              </w:rPr>
              <w:t>一级</w:t>
            </w:r>
            <w:r>
              <w:rPr>
                <w:spacing w:val="7"/>
              </w:rPr>
              <w:t>□</w:t>
            </w:r>
            <w:r>
              <w:rPr>
                <w:spacing w:val="-28"/>
              </w:rPr>
              <w:t xml:space="preserve"> </w:t>
            </w:r>
            <w:r>
              <w:rPr>
                <w:rFonts w:ascii="SimSun" w:hAnsi="SimSun" w:eastAsia="SimSun" w:cs="SimSun"/>
                <w:spacing w:val="7"/>
              </w:rPr>
              <w:t>；二级</w:t>
            </w:r>
            <w:r>
              <w:rPr>
                <w:rFonts w:ascii="MS UI Gothic" w:hAnsi="MS UI Gothic" w:eastAsia="MS UI Gothic" w:cs="MS UI Gothic"/>
                <w:spacing w:val="7"/>
              </w:rPr>
              <w:t>☑</w:t>
            </w:r>
            <w:r>
              <w:rPr>
                <w:rFonts w:ascii="SimSun" w:hAnsi="SimSun" w:eastAsia="SimSun" w:cs="SimSun"/>
                <w:spacing w:val="7"/>
              </w:rPr>
              <w:t>；生态影响型三级</w:t>
            </w:r>
            <w:r>
              <w:rPr>
                <w:spacing w:val="7"/>
              </w:rPr>
              <w:t>□</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410"/>
              <w:spacing w:before="97" w:line="207" w:lineRule="auto"/>
              <w:rPr>
                <w:rFonts w:ascii="SimSun" w:hAnsi="SimSun" w:eastAsia="SimSun" w:cs="SimSun"/>
                <w:sz w:val="20"/>
                <w:szCs w:val="20"/>
              </w:rPr>
            </w:pPr>
            <w:r>
              <w:rPr>
                <w:rFonts w:ascii="SimSun" w:hAnsi="SimSun" w:eastAsia="SimSun" w:cs="SimSun"/>
                <w:sz w:val="20"/>
                <w:szCs w:val="20"/>
                <w:spacing w:val="9"/>
              </w:rPr>
              <w:t>现</w:t>
            </w:r>
            <w:r>
              <w:rPr>
                <w:rFonts w:ascii="SimSun" w:hAnsi="SimSun" w:eastAsia="SimSun" w:cs="SimSun"/>
                <w:sz w:val="20"/>
                <w:szCs w:val="20"/>
                <w:spacing w:val="21"/>
              </w:rPr>
              <w:t xml:space="preserve"> </w:t>
            </w:r>
            <w:r>
              <w:rPr>
                <w:rFonts w:ascii="SimSun" w:hAnsi="SimSun" w:eastAsia="SimSun" w:cs="SimSun"/>
                <w:sz w:val="20"/>
                <w:szCs w:val="20"/>
                <w:spacing w:val="9"/>
              </w:rPr>
              <w:t>状</w:t>
            </w:r>
            <w:r>
              <w:rPr>
                <w:rFonts w:ascii="SimSun" w:hAnsi="SimSun" w:eastAsia="SimSun" w:cs="SimSun"/>
                <w:sz w:val="20"/>
                <w:szCs w:val="20"/>
                <w:spacing w:val="18"/>
              </w:rPr>
              <w:t xml:space="preserve"> </w:t>
            </w:r>
            <w:r>
              <w:rPr>
                <w:rFonts w:ascii="SimSun" w:hAnsi="SimSun" w:eastAsia="SimSun" w:cs="SimSun"/>
                <w:sz w:val="20"/>
                <w:szCs w:val="20"/>
                <w:spacing w:val="9"/>
              </w:rPr>
              <w:t>调 查</w:t>
            </w:r>
            <w:r>
              <w:rPr>
                <w:rFonts w:ascii="SimSun" w:hAnsi="SimSun" w:eastAsia="SimSun" w:cs="SimSun"/>
                <w:sz w:val="20"/>
                <w:szCs w:val="20"/>
                <w:spacing w:val="17"/>
              </w:rPr>
              <w:t xml:space="preserve"> </w:t>
            </w:r>
            <w:r>
              <w:rPr>
                <w:rFonts w:ascii="SimSun" w:hAnsi="SimSun" w:eastAsia="SimSun" w:cs="SimSun"/>
                <w:sz w:val="20"/>
                <w:szCs w:val="20"/>
                <w:spacing w:val="9"/>
                <w:position w:val="1"/>
              </w:rPr>
              <w:t>内</w:t>
            </w:r>
            <w:r>
              <w:rPr>
                <w:rFonts w:ascii="SimSun" w:hAnsi="SimSun" w:eastAsia="SimSun" w:cs="SimSun"/>
                <w:sz w:val="20"/>
                <w:szCs w:val="20"/>
                <w:spacing w:val="18"/>
                <w:position w:val="1"/>
              </w:rPr>
              <w:t xml:space="preserve"> </w:t>
            </w:r>
            <w:r>
              <w:rPr>
                <w:rFonts w:ascii="SimSun" w:hAnsi="SimSun" w:eastAsia="SimSun" w:cs="SimSun"/>
                <w:sz w:val="20"/>
                <w:szCs w:val="20"/>
                <w:spacing w:val="9"/>
              </w:rPr>
              <w:t>容</w:t>
            </w:r>
          </w:p>
        </w:tc>
        <w:tc>
          <w:tcPr>
            <w:tcW w:w="1643" w:type="dxa"/>
            <w:vAlign w:val="top"/>
          </w:tcPr>
          <w:p>
            <w:pPr>
              <w:ind w:left="413"/>
              <w:spacing w:before="59" w:line="226" w:lineRule="auto"/>
              <w:rPr>
                <w:rFonts w:ascii="SimSun" w:hAnsi="SimSun" w:eastAsia="SimSun" w:cs="SimSun"/>
                <w:sz w:val="20"/>
                <w:szCs w:val="20"/>
              </w:rPr>
            </w:pPr>
            <w:r>
              <w:rPr>
                <w:rFonts w:ascii="SimSun" w:hAnsi="SimSun" w:eastAsia="SimSun" w:cs="SimSun"/>
                <w:sz w:val="20"/>
                <w:szCs w:val="20"/>
                <w:spacing w:val="5"/>
              </w:rPr>
              <w:t>资料收集</w:t>
            </w:r>
          </w:p>
        </w:tc>
        <w:tc>
          <w:tcPr>
            <w:tcW w:w="6291" w:type="dxa"/>
            <w:vAlign w:val="top"/>
            <w:gridSpan w:val="4"/>
          </w:tcPr>
          <w:p>
            <w:pPr>
              <w:pStyle w:val="TableText"/>
              <w:ind w:left="1796"/>
              <w:spacing w:before="59" w:line="230" w:lineRule="auto"/>
              <w:rPr>
                <w:rFonts w:ascii="SimSun" w:hAnsi="SimSun" w:eastAsia="SimSun" w:cs="SimSun"/>
              </w:rPr>
            </w:pPr>
            <w:r>
              <w:rPr>
                <w:spacing w:val="-1"/>
              </w:rPr>
              <w:t>a</w:t>
            </w:r>
            <w:r>
              <w:rPr>
                <w:rFonts w:ascii="SimSun" w:hAnsi="SimSun" w:eastAsia="SimSun" w:cs="SimSun"/>
                <w:spacing w:val="-6"/>
              </w:rPr>
              <w:t>）</w:t>
            </w:r>
            <w:r>
              <w:rPr>
                <w:rFonts w:ascii="SimSun" w:hAnsi="SimSun" w:eastAsia="SimSun" w:cs="SimSun"/>
                <w:spacing w:val="24"/>
              </w:rPr>
              <w:t xml:space="preserve">  </w:t>
            </w:r>
            <w:r>
              <w:rPr>
                <w:rFonts w:ascii="SimSun" w:hAnsi="SimSun" w:eastAsia="SimSun" w:cs="SimSun"/>
                <w:spacing w:val="-6"/>
              </w:rPr>
              <w:t>；</w:t>
            </w:r>
            <w:r>
              <w:rPr>
                <w:spacing w:val="-1"/>
              </w:rPr>
              <w:t>b</w:t>
            </w:r>
            <w:r>
              <w:rPr>
                <w:rFonts w:ascii="SimSun" w:hAnsi="SimSun" w:eastAsia="SimSun" w:cs="SimSun"/>
                <w:spacing w:val="-6"/>
              </w:rPr>
              <w:t>）</w:t>
            </w:r>
            <w:r>
              <w:rPr>
                <w:rFonts w:ascii="SimSun" w:hAnsi="SimSun" w:eastAsia="SimSun" w:cs="SimSun"/>
                <w:spacing w:val="23"/>
              </w:rPr>
              <w:t xml:space="preserve">  </w:t>
            </w:r>
            <w:r>
              <w:rPr>
                <w:rFonts w:ascii="SimSun" w:hAnsi="SimSun" w:eastAsia="SimSun" w:cs="SimSun"/>
                <w:spacing w:val="-6"/>
              </w:rPr>
              <w:t>；</w:t>
            </w:r>
            <w:r>
              <w:rPr>
                <w:spacing w:val="-1"/>
              </w:rPr>
              <w:t>c</w:t>
            </w:r>
            <w:r>
              <w:rPr>
                <w:rFonts w:ascii="SimSun" w:hAnsi="SimSun" w:eastAsia="SimSun" w:cs="SimSun"/>
                <w:spacing w:val="-6"/>
              </w:rPr>
              <w:t>）</w:t>
            </w:r>
            <w:r>
              <w:rPr>
                <w:rFonts w:ascii="SimSun" w:hAnsi="SimSun" w:eastAsia="SimSun" w:cs="SimSun"/>
                <w:spacing w:val="23"/>
              </w:rPr>
              <w:t xml:space="preserve">  </w:t>
            </w:r>
            <w:r>
              <w:rPr>
                <w:rFonts w:ascii="SimSun" w:hAnsi="SimSun" w:eastAsia="SimSun" w:cs="SimSun"/>
                <w:spacing w:val="-6"/>
              </w:rPr>
              <w:t>；</w:t>
            </w:r>
            <w:r>
              <w:rPr>
                <w:spacing w:val="-1"/>
              </w:rPr>
              <w:t>d</w:t>
            </w:r>
            <w:r>
              <w:rPr>
                <w:rFonts w:ascii="SimSun" w:hAnsi="SimSun" w:eastAsia="SimSun" w:cs="SimSun"/>
                <w:spacing w:val="-1"/>
              </w:rPr>
              <w:t>）</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6"/>
              <w:spacing w:before="59" w:line="228" w:lineRule="auto"/>
              <w:rPr>
                <w:rFonts w:ascii="SimSun" w:hAnsi="SimSun" w:eastAsia="SimSun" w:cs="SimSun"/>
                <w:sz w:val="20"/>
                <w:szCs w:val="20"/>
              </w:rPr>
            </w:pPr>
            <w:r>
              <w:rPr>
                <w:rFonts w:ascii="SimSun" w:hAnsi="SimSun" w:eastAsia="SimSun" w:cs="SimSun"/>
                <w:sz w:val="20"/>
                <w:szCs w:val="20"/>
                <w:spacing w:val="6"/>
              </w:rPr>
              <w:t>理化特性</w:t>
            </w:r>
          </w:p>
        </w:tc>
        <w:tc>
          <w:tcPr>
            <w:tcW w:w="6291" w:type="dxa"/>
            <w:vAlign w:val="top"/>
            <w:gridSpan w:val="4"/>
          </w:tcPr>
          <w:p>
            <w:pPr>
              <w:ind w:left="1908"/>
              <w:spacing w:before="59" w:line="228" w:lineRule="auto"/>
              <w:rPr>
                <w:rFonts w:ascii="SimSun" w:hAnsi="SimSun" w:eastAsia="SimSun" w:cs="SimSun"/>
                <w:sz w:val="20"/>
                <w:szCs w:val="20"/>
              </w:rPr>
            </w:pPr>
            <w:r>
              <w:rPr>
                <w:rFonts w:ascii="SimSun" w:hAnsi="SimSun" w:eastAsia="SimSun" w:cs="SimSun"/>
                <w:sz w:val="20"/>
                <w:szCs w:val="20"/>
                <w:spacing w:val="7"/>
              </w:rPr>
              <w:t>固态、棕色，砂壤土，粒状</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restart"/>
            <w:tcBorders>
              <w:bottom w:val="nil"/>
            </w:tcBorders>
          </w:tcPr>
          <w:p>
            <w:pPr>
              <w:spacing w:line="328" w:lineRule="auto"/>
              <w:rPr>
                <w:rFonts w:ascii="Arial"/>
                <w:sz w:val="21"/>
              </w:rPr>
            </w:pPr>
            <w:r/>
          </w:p>
          <w:p>
            <w:pPr>
              <w:ind w:left="197"/>
              <w:spacing w:before="65" w:line="228" w:lineRule="auto"/>
              <w:rPr>
                <w:rFonts w:ascii="SimSun" w:hAnsi="SimSun" w:eastAsia="SimSun" w:cs="SimSun"/>
                <w:sz w:val="20"/>
                <w:szCs w:val="20"/>
              </w:rPr>
            </w:pPr>
            <w:r>
              <w:rPr>
                <w:rFonts w:ascii="SimSun" w:hAnsi="SimSun" w:eastAsia="SimSun" w:cs="SimSun"/>
                <w:sz w:val="20"/>
                <w:szCs w:val="20"/>
                <w:spacing w:val="7"/>
              </w:rPr>
              <w:t>现状监测点位</w:t>
            </w:r>
          </w:p>
        </w:tc>
        <w:tc>
          <w:tcPr>
            <w:tcW w:w="1384" w:type="dxa"/>
            <w:vAlign w:val="top"/>
          </w:tcPr>
          <w:p>
            <w:pPr>
              <w:rPr>
                <w:rFonts w:ascii="Arial"/>
                <w:sz w:val="21"/>
              </w:rPr>
            </w:pPr>
            <w:r/>
          </w:p>
        </w:tc>
        <w:tc>
          <w:tcPr>
            <w:tcW w:w="1494" w:type="dxa"/>
            <w:vAlign w:val="top"/>
          </w:tcPr>
          <w:p>
            <w:pPr>
              <w:ind w:left="260"/>
              <w:spacing w:before="59" w:line="228" w:lineRule="auto"/>
              <w:rPr>
                <w:rFonts w:ascii="SimSun" w:hAnsi="SimSun" w:eastAsia="SimSun" w:cs="SimSun"/>
                <w:sz w:val="20"/>
                <w:szCs w:val="20"/>
              </w:rPr>
            </w:pPr>
            <w:r>
              <w:rPr>
                <w:rFonts w:ascii="SimSun" w:hAnsi="SimSun" w:eastAsia="SimSun" w:cs="SimSun"/>
                <w:sz w:val="20"/>
                <w:szCs w:val="20"/>
                <w:spacing w:val="1"/>
              </w:rPr>
              <w:t>占地范围内</w:t>
            </w:r>
          </w:p>
        </w:tc>
        <w:tc>
          <w:tcPr>
            <w:tcW w:w="2226" w:type="dxa"/>
            <w:vAlign w:val="top"/>
          </w:tcPr>
          <w:p>
            <w:pPr>
              <w:ind w:left="628"/>
              <w:spacing w:before="60" w:line="228" w:lineRule="auto"/>
              <w:rPr>
                <w:rFonts w:ascii="SimSun" w:hAnsi="SimSun" w:eastAsia="SimSun" w:cs="SimSun"/>
                <w:sz w:val="20"/>
                <w:szCs w:val="20"/>
              </w:rPr>
            </w:pPr>
            <w:r>
              <w:rPr>
                <w:rFonts w:ascii="SimSun" w:hAnsi="SimSun" w:eastAsia="SimSun" w:cs="SimSun"/>
                <w:sz w:val="20"/>
                <w:szCs w:val="20"/>
                <w:spacing w:val="1"/>
              </w:rPr>
              <w:t>占地范围外</w:t>
            </w:r>
          </w:p>
        </w:tc>
        <w:tc>
          <w:tcPr>
            <w:tcW w:w="1187" w:type="dxa"/>
            <w:vAlign w:val="top"/>
          </w:tcPr>
          <w:p>
            <w:pPr>
              <w:ind w:left="389"/>
              <w:spacing w:before="60" w:line="228" w:lineRule="auto"/>
              <w:rPr>
                <w:rFonts w:ascii="SimSun" w:hAnsi="SimSun" w:eastAsia="SimSun" w:cs="SimSun"/>
                <w:sz w:val="20"/>
                <w:szCs w:val="20"/>
              </w:rPr>
            </w:pPr>
            <w:r>
              <w:rPr>
                <w:rFonts w:ascii="SimSun" w:hAnsi="SimSun" w:eastAsia="SimSun" w:cs="SimSun"/>
                <w:sz w:val="20"/>
                <w:szCs w:val="20"/>
                <w:spacing w:val="4"/>
              </w:rPr>
              <w:t>深度</w:t>
            </w:r>
          </w:p>
        </w:tc>
        <w:tc>
          <w:tcPr>
            <w:tcW w:w="739" w:type="dxa"/>
            <w:vAlign w:val="top"/>
            <w:vMerge w:val="restart"/>
            <w:tcBorders>
              <w:bottom w:val="nil"/>
            </w:tcBorders>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bottom w:val="nil"/>
            </w:tcBorders>
          </w:tcPr>
          <w:p>
            <w:pPr>
              <w:rPr>
                <w:rFonts w:ascii="Arial"/>
                <w:sz w:val="21"/>
              </w:rPr>
            </w:pPr>
            <w:r/>
          </w:p>
        </w:tc>
        <w:tc>
          <w:tcPr>
            <w:tcW w:w="1384" w:type="dxa"/>
            <w:vAlign w:val="top"/>
          </w:tcPr>
          <w:p>
            <w:pPr>
              <w:ind w:left="169"/>
              <w:spacing w:before="59" w:line="227" w:lineRule="auto"/>
              <w:rPr>
                <w:rFonts w:ascii="SimSun" w:hAnsi="SimSun" w:eastAsia="SimSun" w:cs="SimSun"/>
                <w:sz w:val="20"/>
                <w:szCs w:val="20"/>
              </w:rPr>
            </w:pPr>
            <w:r>
              <w:rPr>
                <w:rFonts w:ascii="SimSun" w:hAnsi="SimSun" w:eastAsia="SimSun" w:cs="SimSun"/>
                <w:sz w:val="20"/>
                <w:szCs w:val="20"/>
                <w:spacing w:val="8"/>
              </w:rPr>
              <w:t>表层样点数</w:t>
            </w:r>
          </w:p>
        </w:tc>
        <w:tc>
          <w:tcPr>
            <w:tcW w:w="1494" w:type="dxa"/>
            <w:vAlign w:val="top"/>
          </w:tcPr>
          <w:p>
            <w:pPr>
              <w:pStyle w:val="TableText"/>
              <w:ind w:left="715"/>
              <w:spacing w:before="95" w:line="195" w:lineRule="auto"/>
              <w:rPr/>
            </w:pPr>
            <w:r>
              <w:rPr/>
              <w:t>1</w:t>
            </w:r>
          </w:p>
        </w:tc>
        <w:tc>
          <w:tcPr>
            <w:tcW w:w="2226" w:type="dxa"/>
            <w:vAlign w:val="top"/>
          </w:tcPr>
          <w:p>
            <w:pPr>
              <w:pStyle w:val="TableText"/>
              <w:ind w:left="1063"/>
              <w:spacing w:before="95" w:line="195" w:lineRule="auto"/>
              <w:rPr/>
            </w:pPr>
            <w:r>
              <w:rPr/>
              <w:t>2</w:t>
            </w:r>
          </w:p>
        </w:tc>
        <w:tc>
          <w:tcPr>
            <w:tcW w:w="1187" w:type="dxa"/>
            <w:vAlign w:val="top"/>
          </w:tcPr>
          <w:p>
            <w:pPr>
              <w:pStyle w:val="TableText"/>
              <w:ind w:left="299"/>
              <w:spacing w:before="95" w:line="195" w:lineRule="auto"/>
              <w:rPr/>
            </w:pPr>
            <w:r>
              <w:rPr>
                <w:spacing w:val="3"/>
              </w:rPr>
              <w:t>0-0.2m</w:t>
            </w:r>
          </w:p>
        </w:tc>
        <w:tc>
          <w:tcPr>
            <w:tcW w:w="739" w:type="dxa"/>
            <w:vAlign w:val="top"/>
            <w:vMerge w:val="continue"/>
            <w:tcBorders>
              <w:top w:val="nil"/>
              <w:bottom w:val="nil"/>
            </w:tcBorders>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tcBorders>
          </w:tcPr>
          <w:p>
            <w:pPr>
              <w:rPr>
                <w:rFonts w:ascii="Arial"/>
                <w:sz w:val="21"/>
              </w:rPr>
            </w:pPr>
            <w:r/>
          </w:p>
        </w:tc>
        <w:tc>
          <w:tcPr>
            <w:tcW w:w="1384" w:type="dxa"/>
            <w:vAlign w:val="top"/>
          </w:tcPr>
          <w:p>
            <w:pPr>
              <w:ind w:left="170"/>
              <w:spacing w:before="59" w:line="228" w:lineRule="auto"/>
              <w:rPr>
                <w:rFonts w:ascii="SimSun" w:hAnsi="SimSun" w:eastAsia="SimSun" w:cs="SimSun"/>
                <w:sz w:val="20"/>
                <w:szCs w:val="20"/>
              </w:rPr>
            </w:pPr>
            <w:r>
              <w:rPr>
                <w:rFonts w:ascii="SimSun" w:hAnsi="SimSun" w:eastAsia="SimSun" w:cs="SimSun"/>
                <w:sz w:val="20"/>
                <w:szCs w:val="20"/>
                <w:spacing w:val="8"/>
              </w:rPr>
              <w:t>柱状样点数</w:t>
            </w:r>
          </w:p>
        </w:tc>
        <w:tc>
          <w:tcPr>
            <w:tcW w:w="1494" w:type="dxa"/>
            <w:vAlign w:val="top"/>
          </w:tcPr>
          <w:p>
            <w:pPr>
              <w:pStyle w:val="TableText"/>
              <w:ind w:left="699"/>
              <w:spacing w:before="95" w:line="195" w:lineRule="auto"/>
              <w:rPr/>
            </w:pPr>
            <w:r>
              <w:rPr/>
              <w:t>3</w:t>
            </w:r>
          </w:p>
        </w:tc>
        <w:tc>
          <w:tcPr>
            <w:tcW w:w="2226" w:type="dxa"/>
            <w:vAlign w:val="top"/>
          </w:tcPr>
          <w:p>
            <w:pPr>
              <w:pStyle w:val="TableText"/>
              <w:ind w:left="1066"/>
              <w:spacing w:before="95" w:line="195" w:lineRule="auto"/>
              <w:rPr/>
            </w:pPr>
            <w:r>
              <w:rPr/>
              <w:t>0</w:t>
            </w:r>
          </w:p>
        </w:tc>
        <w:tc>
          <w:tcPr>
            <w:tcW w:w="1187" w:type="dxa"/>
            <w:vAlign w:val="top"/>
          </w:tcPr>
          <w:p>
            <w:pPr>
              <w:pStyle w:val="TableText"/>
              <w:ind w:left="376"/>
              <w:spacing w:before="95" w:line="195" w:lineRule="auto"/>
              <w:rPr/>
            </w:pPr>
            <w:r>
              <w:rPr>
                <w:spacing w:val="3"/>
              </w:rPr>
              <w:t>0-3m</w:t>
            </w:r>
          </w:p>
        </w:tc>
        <w:tc>
          <w:tcPr>
            <w:tcW w:w="739" w:type="dxa"/>
            <w:vAlign w:val="top"/>
            <w:vMerge w:val="continue"/>
            <w:tcBorders>
              <w:top w:val="nil"/>
            </w:tcBorders>
          </w:tcPr>
          <w:p>
            <w:pPr>
              <w:rPr>
                <w:rFonts w:ascii="Arial"/>
                <w:sz w:val="21"/>
              </w:rPr>
            </w:pPr>
            <w:r/>
          </w:p>
        </w:tc>
      </w:tr>
      <w:tr>
        <w:trPr>
          <w:trHeight w:val="985"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spacing w:line="318" w:lineRule="auto"/>
              <w:rPr>
                <w:rFonts w:ascii="Arial"/>
                <w:sz w:val="21"/>
              </w:rPr>
            </w:pPr>
            <w:r/>
          </w:p>
          <w:p>
            <w:pPr>
              <w:ind w:left="197"/>
              <w:spacing w:before="65" w:line="228" w:lineRule="auto"/>
              <w:rPr>
                <w:rFonts w:ascii="SimSun" w:hAnsi="SimSun" w:eastAsia="SimSun" w:cs="SimSun"/>
                <w:sz w:val="20"/>
                <w:szCs w:val="20"/>
              </w:rPr>
            </w:pPr>
            <w:r>
              <w:rPr>
                <w:rFonts w:ascii="SimSun" w:hAnsi="SimSun" w:eastAsia="SimSun" w:cs="SimSun"/>
                <w:sz w:val="20"/>
                <w:szCs w:val="20"/>
                <w:spacing w:val="7"/>
              </w:rPr>
              <w:t>现状监测因子</w:t>
            </w:r>
          </w:p>
        </w:tc>
        <w:tc>
          <w:tcPr>
            <w:tcW w:w="6291" w:type="dxa"/>
            <w:vAlign w:val="top"/>
            <w:gridSpan w:val="4"/>
          </w:tcPr>
          <w:p>
            <w:pPr>
              <w:pStyle w:val="TableText"/>
              <w:ind w:left="9" w:hanging="9"/>
              <w:spacing w:before="58" w:line="282" w:lineRule="auto"/>
              <w:rPr/>
            </w:pPr>
            <w:r>
              <w:rPr/>
              <w:t>pH</w:t>
            </w:r>
            <w:r>
              <w:rPr>
                <w:spacing w:val="-16"/>
              </w:rPr>
              <w:t xml:space="preserve"> </w:t>
            </w:r>
            <w:r>
              <w:rPr>
                <w:rFonts w:ascii="SimSun" w:hAnsi="SimSun" w:eastAsia="SimSun" w:cs="SimSun"/>
                <w:spacing w:val="7"/>
              </w:rPr>
              <w:t>、镉、汞、砷、铅、铜、铬（六价）、镍、四氯化碳、氯仿、氯甲</w:t>
            </w:r>
            <w:r>
              <w:rPr>
                <w:rFonts w:ascii="SimSun" w:hAnsi="SimSun" w:eastAsia="SimSun" w:cs="SimSun"/>
                <w:spacing w:val="7"/>
              </w:rPr>
              <w:t>烷、</w:t>
            </w:r>
            <w:r>
              <w:rPr>
                <w:spacing w:val="7"/>
              </w:rPr>
              <w:t>1,</w:t>
            </w:r>
            <w:r>
              <w:rPr>
                <w:spacing w:val="-14"/>
              </w:rPr>
              <w:t xml:space="preserve"> </w:t>
            </w:r>
            <w:r>
              <w:rPr>
                <w:spacing w:val="7"/>
              </w:rPr>
              <w:t>1-</w:t>
            </w:r>
            <w:r>
              <w:rPr>
                <w:rFonts w:ascii="SimSun" w:hAnsi="SimSun" w:eastAsia="SimSun" w:cs="SimSun"/>
                <w:spacing w:val="7"/>
              </w:rPr>
              <w:t>二氯乙烷、</w:t>
            </w:r>
            <w:r>
              <w:rPr>
                <w:spacing w:val="7"/>
              </w:rPr>
              <w:t>1,2-</w:t>
            </w:r>
            <w:r>
              <w:rPr>
                <w:rFonts w:ascii="SimSun" w:hAnsi="SimSun" w:eastAsia="SimSun" w:cs="SimSun"/>
                <w:spacing w:val="7"/>
              </w:rPr>
              <w:t>二氯乙烷、</w:t>
            </w:r>
            <w:r>
              <w:rPr>
                <w:spacing w:val="7"/>
              </w:rPr>
              <w:t>1,</w:t>
            </w:r>
            <w:r>
              <w:rPr>
                <w:spacing w:val="-25"/>
              </w:rPr>
              <w:t xml:space="preserve"> </w:t>
            </w:r>
            <w:r>
              <w:rPr>
                <w:spacing w:val="7"/>
              </w:rPr>
              <w:t>1-</w:t>
            </w:r>
            <w:r>
              <w:rPr>
                <w:rFonts w:ascii="SimSun" w:hAnsi="SimSun" w:eastAsia="SimSun" w:cs="SimSun"/>
                <w:spacing w:val="7"/>
              </w:rPr>
              <w:t>二氯乙烯、顺</w:t>
            </w:r>
            <w:r>
              <w:rPr>
                <w:spacing w:val="7"/>
              </w:rPr>
              <w:t>-1,2-</w:t>
            </w:r>
            <w:r>
              <w:rPr>
                <w:rFonts w:ascii="SimSun" w:hAnsi="SimSun" w:eastAsia="SimSun" w:cs="SimSun"/>
                <w:spacing w:val="7"/>
              </w:rPr>
              <w:t>二氯乙烯、</w:t>
            </w:r>
            <w:r>
              <w:rPr>
                <w:rFonts w:ascii="SimSun" w:hAnsi="SimSun" w:eastAsia="SimSun" w:cs="SimSun"/>
                <w:spacing w:val="2"/>
              </w:rPr>
              <w:t>反</w:t>
            </w:r>
            <w:r>
              <w:rPr>
                <w:spacing w:val="2"/>
              </w:rPr>
              <w:t>-1,2-</w:t>
            </w:r>
            <w:r>
              <w:rPr>
                <w:rFonts w:ascii="SimSun" w:hAnsi="SimSun" w:eastAsia="SimSun" w:cs="SimSun"/>
                <w:spacing w:val="2"/>
              </w:rPr>
              <w:t>二氯乙烯、二氯甲烷、</w:t>
            </w:r>
            <w:r>
              <w:rPr>
                <w:spacing w:val="2"/>
              </w:rPr>
              <w:t>1,2-</w:t>
            </w:r>
            <w:r>
              <w:rPr>
                <w:rFonts w:ascii="SimSun" w:hAnsi="SimSun" w:eastAsia="SimSun" w:cs="SimSun"/>
                <w:spacing w:val="1"/>
              </w:rPr>
              <w:t>二氯丙烷、</w:t>
            </w:r>
            <w:r>
              <w:rPr>
                <w:spacing w:val="1"/>
              </w:rPr>
              <w:t>1,</w:t>
            </w:r>
            <w:r>
              <w:rPr>
                <w:spacing w:val="-25"/>
              </w:rPr>
              <w:t xml:space="preserve"> </w:t>
            </w:r>
            <w:r>
              <w:rPr>
                <w:spacing w:val="1"/>
              </w:rPr>
              <w:t>1,</w:t>
            </w:r>
            <w:r>
              <w:rPr>
                <w:spacing w:val="-25"/>
              </w:rPr>
              <w:t xml:space="preserve"> </w:t>
            </w:r>
            <w:r>
              <w:rPr>
                <w:spacing w:val="1"/>
              </w:rPr>
              <w:t>1,2-</w:t>
            </w:r>
            <w:r>
              <w:rPr>
                <w:rFonts w:ascii="SimSun" w:hAnsi="SimSun" w:eastAsia="SimSun" w:cs="SimSun"/>
                <w:spacing w:val="1"/>
              </w:rPr>
              <w:t>四氯乙烷、</w:t>
            </w:r>
            <w:r>
              <w:rPr>
                <w:spacing w:val="1"/>
              </w:rPr>
              <w:t>1,</w:t>
            </w:r>
            <w:r>
              <w:rPr>
                <w:spacing w:val="-25"/>
              </w:rPr>
              <w:t xml:space="preserve"> </w:t>
            </w:r>
            <w:r>
              <w:rPr>
                <w:spacing w:val="1"/>
              </w:rPr>
              <w:t>1,2,2-</w:t>
            </w:r>
          </w:p>
        </w:tc>
        <w:tc>
          <w:tcPr>
            <w:tcW w:w="739" w:type="dxa"/>
            <w:vAlign w:val="top"/>
          </w:tcPr>
          <w:p>
            <w:pPr>
              <w:rPr>
                <w:rFonts w:ascii="Arial"/>
                <w:sz w:val="21"/>
              </w:rPr>
            </w:pPr>
            <w:r/>
          </w:p>
        </w:tc>
      </w:tr>
    </w:tbl>
    <w:p>
      <w:pPr>
        <w:pStyle w:val="BodyText"/>
        <w:spacing w:line="191" w:lineRule="exact"/>
        <w:rPr>
          <w:sz w:val="16"/>
        </w:rPr>
      </w:pPr>
      <w:r/>
    </w:p>
    <w:p>
      <w:pPr>
        <w:spacing w:line="191" w:lineRule="exact"/>
        <w:sectPr>
          <w:headerReference w:type="default" r:id="rId460"/>
          <w:footerReference w:type="default" r:id="rId461"/>
          <w:pgSz w:w="11906" w:h="16838"/>
          <w:pgMar w:top="1170" w:right="1313" w:bottom="1080" w:left="1408" w:header="837" w:footer="918" w:gutter="0"/>
        </w:sectPr>
        <w:rPr>
          <w:sz w:val="16"/>
          <w:szCs w:val="16"/>
        </w:rPr>
      </w:pPr>
    </w:p>
    <w:p>
      <w:pPr>
        <w:spacing w:before="6"/>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0"/>
        <w:gridCol w:w="1643"/>
        <w:gridCol w:w="1144"/>
        <w:gridCol w:w="2427"/>
        <w:gridCol w:w="2720"/>
        <w:gridCol w:w="739"/>
      </w:tblGrid>
      <w:tr>
        <w:trPr>
          <w:trHeight w:val="335" w:hRule="atLeast"/>
        </w:trPr>
        <w:tc>
          <w:tcPr>
            <w:tcW w:w="2053" w:type="dxa"/>
            <w:vAlign w:val="top"/>
            <w:gridSpan w:val="2"/>
          </w:tcPr>
          <w:p>
            <w:pPr>
              <w:ind w:left="612"/>
              <w:spacing w:before="62" w:line="228" w:lineRule="auto"/>
              <w:rPr>
                <w:rFonts w:ascii="SimSun" w:hAnsi="SimSun" w:eastAsia="SimSun" w:cs="SimSun"/>
                <w:sz w:val="20"/>
                <w:szCs w:val="20"/>
              </w:rPr>
            </w:pPr>
            <w:bookmarkStart w:name="bookmark104" w:id="66"/>
            <w:bookmarkEnd w:id="66"/>
            <w:r>
              <w:rPr>
                <w:rFonts w:ascii="SimSun" w:hAnsi="SimSun" w:eastAsia="SimSun" w:cs="SimSun"/>
                <w:sz w:val="20"/>
                <w:szCs w:val="20"/>
                <w:b/>
                <w:bCs/>
                <w:spacing w:val="5"/>
              </w:rPr>
              <w:t>工作内容</w:t>
            </w:r>
          </w:p>
        </w:tc>
        <w:tc>
          <w:tcPr>
            <w:tcW w:w="6291" w:type="dxa"/>
            <w:vAlign w:val="top"/>
            <w:gridSpan w:val="3"/>
          </w:tcPr>
          <w:p>
            <w:pPr>
              <w:ind w:left="2732"/>
              <w:spacing w:before="62" w:line="228" w:lineRule="auto"/>
              <w:rPr>
                <w:rFonts w:ascii="SimSun" w:hAnsi="SimSun" w:eastAsia="SimSun" w:cs="SimSun"/>
                <w:sz w:val="20"/>
                <w:szCs w:val="20"/>
              </w:rPr>
            </w:pPr>
            <w:r>
              <w:rPr>
                <w:rFonts w:ascii="SimSun" w:hAnsi="SimSun" w:eastAsia="SimSun" w:cs="SimSun"/>
                <w:sz w:val="20"/>
                <w:szCs w:val="20"/>
                <w:b/>
                <w:bCs/>
                <w:spacing w:val="6"/>
              </w:rPr>
              <w:t>完成情况</w:t>
            </w:r>
          </w:p>
        </w:tc>
        <w:tc>
          <w:tcPr>
            <w:tcW w:w="739" w:type="dxa"/>
            <w:vAlign w:val="top"/>
          </w:tcPr>
          <w:p>
            <w:pPr>
              <w:ind w:left="164"/>
              <w:spacing w:before="62" w:line="229"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1635" w:hRule="atLeast"/>
        </w:trPr>
        <w:tc>
          <w:tcPr>
            <w:tcW w:w="410" w:type="dxa"/>
            <w:vAlign w:val="top"/>
          </w:tcPr>
          <w:p>
            <w:pPr>
              <w:rPr>
                <w:rFonts w:ascii="Arial"/>
                <w:sz w:val="21"/>
              </w:rPr>
            </w:pPr>
            <w:r/>
          </w:p>
        </w:tc>
        <w:tc>
          <w:tcPr>
            <w:tcW w:w="1643" w:type="dxa"/>
            <w:vAlign w:val="top"/>
          </w:tcPr>
          <w:p>
            <w:pPr>
              <w:rPr>
                <w:rFonts w:ascii="Arial"/>
                <w:sz w:val="21"/>
              </w:rPr>
            </w:pPr>
            <w:r/>
          </w:p>
        </w:tc>
        <w:tc>
          <w:tcPr>
            <w:tcW w:w="6291" w:type="dxa"/>
            <w:vAlign w:val="top"/>
            <w:gridSpan w:val="3"/>
          </w:tcPr>
          <w:p>
            <w:pPr>
              <w:pStyle w:val="TableText"/>
              <w:ind w:left="7" w:firstLine="21"/>
              <w:spacing w:before="59" w:line="289" w:lineRule="auto"/>
              <w:rPr>
                <w:rFonts w:ascii="SimSun" w:hAnsi="SimSun" w:eastAsia="SimSun" w:cs="SimSun"/>
              </w:rPr>
            </w:pPr>
            <w:r>
              <w:rPr>
                <w:rFonts w:ascii="SimSun" w:hAnsi="SimSun" w:eastAsia="SimSun" w:cs="SimSun"/>
                <w:spacing w:val="5"/>
              </w:rPr>
              <w:t>四氯乙烷、四氯乙烯、</w:t>
            </w:r>
            <w:r>
              <w:rPr>
                <w:spacing w:val="5"/>
              </w:rPr>
              <w:t>1,</w:t>
            </w:r>
            <w:r>
              <w:rPr>
                <w:spacing w:val="-16"/>
              </w:rPr>
              <w:t xml:space="preserve"> </w:t>
            </w:r>
            <w:r>
              <w:rPr>
                <w:spacing w:val="5"/>
              </w:rPr>
              <w:t>1,</w:t>
            </w:r>
            <w:r>
              <w:rPr>
                <w:spacing w:val="-28"/>
              </w:rPr>
              <w:t xml:space="preserve"> </w:t>
            </w:r>
            <w:r>
              <w:rPr>
                <w:spacing w:val="5"/>
              </w:rPr>
              <w:t>1-</w:t>
            </w:r>
            <w:r>
              <w:rPr>
                <w:rFonts w:ascii="SimSun" w:hAnsi="SimSun" w:eastAsia="SimSun" w:cs="SimSun"/>
                <w:spacing w:val="5"/>
              </w:rPr>
              <w:t>三氯乙烷、</w:t>
            </w:r>
            <w:r>
              <w:rPr>
                <w:spacing w:val="5"/>
              </w:rPr>
              <w:t>1,</w:t>
            </w:r>
            <w:r>
              <w:rPr>
                <w:spacing w:val="-25"/>
              </w:rPr>
              <w:t xml:space="preserve"> </w:t>
            </w:r>
            <w:r>
              <w:rPr>
                <w:spacing w:val="5"/>
              </w:rPr>
              <w:t>1,2-</w:t>
            </w:r>
            <w:r>
              <w:rPr>
                <w:rFonts w:ascii="SimSun" w:hAnsi="SimSun" w:eastAsia="SimSun" w:cs="SimSun"/>
                <w:spacing w:val="5"/>
              </w:rPr>
              <w:t>三氯乙烷、三氯乙烯、</w:t>
            </w:r>
            <w:r>
              <w:rPr>
                <w:rFonts w:ascii="SimSun" w:hAnsi="SimSun" w:eastAsia="SimSun" w:cs="SimSun"/>
              </w:rPr>
              <w:t xml:space="preserve"> </w:t>
            </w:r>
            <w:r>
              <w:rPr>
                <w:spacing w:val="5"/>
              </w:rPr>
              <w:t>1,2,3-</w:t>
            </w:r>
            <w:r>
              <w:rPr>
                <w:rFonts w:ascii="SimSun" w:hAnsi="SimSun" w:eastAsia="SimSun" w:cs="SimSun"/>
                <w:spacing w:val="5"/>
              </w:rPr>
              <w:t>三氯丙烷、氯乙烯、苯、氯苯、</w:t>
            </w:r>
            <w:r>
              <w:rPr>
                <w:spacing w:val="5"/>
              </w:rPr>
              <w:t>1</w:t>
            </w:r>
            <w:r>
              <w:rPr>
                <w:spacing w:val="4"/>
              </w:rPr>
              <w:t>,2-</w:t>
            </w:r>
            <w:r>
              <w:rPr>
                <w:rFonts w:ascii="SimSun" w:hAnsi="SimSun" w:eastAsia="SimSun" w:cs="SimSun"/>
                <w:spacing w:val="4"/>
              </w:rPr>
              <w:t>二氯苯、</w:t>
            </w:r>
            <w:r>
              <w:rPr>
                <w:spacing w:val="4"/>
              </w:rPr>
              <w:t>1,4-</w:t>
            </w:r>
            <w:r>
              <w:rPr>
                <w:rFonts w:ascii="SimSun" w:hAnsi="SimSun" w:eastAsia="SimSun" w:cs="SimSun"/>
                <w:spacing w:val="4"/>
              </w:rPr>
              <w:t>二氯苯、乙苯、</w:t>
            </w:r>
            <w:r>
              <w:rPr>
                <w:rFonts w:ascii="SimSun" w:hAnsi="SimSun" w:eastAsia="SimSun" w:cs="SimSun"/>
                <w:spacing w:val="7"/>
              </w:rPr>
              <w:t>苯乙烯、</w:t>
            </w:r>
            <w:r>
              <w:rPr>
                <w:rFonts w:ascii="SimSun" w:hAnsi="SimSun" w:eastAsia="SimSun" w:cs="SimSun"/>
                <w:spacing w:val="-59"/>
              </w:rPr>
              <w:t xml:space="preserve"> </w:t>
            </w:r>
            <w:r>
              <w:rPr>
                <w:rFonts w:ascii="SimSun" w:hAnsi="SimSun" w:eastAsia="SimSun" w:cs="SimSun"/>
                <w:spacing w:val="7"/>
              </w:rPr>
              <w:t>甲苯、间二甲苯</w:t>
            </w:r>
            <w:r>
              <w:rPr>
                <w:spacing w:val="7"/>
              </w:rPr>
              <w:t>+</w:t>
            </w:r>
            <w:r>
              <w:rPr>
                <w:rFonts w:ascii="SimSun" w:hAnsi="SimSun" w:eastAsia="SimSun" w:cs="SimSun"/>
                <w:spacing w:val="7"/>
              </w:rPr>
              <w:t>对二甲苯、邻</w:t>
            </w:r>
            <w:r>
              <w:rPr>
                <w:spacing w:val="7"/>
              </w:rPr>
              <w:t>-</w:t>
            </w:r>
            <w:r>
              <w:rPr>
                <w:rFonts w:ascii="SimSun" w:hAnsi="SimSun" w:eastAsia="SimSun" w:cs="SimSun"/>
                <w:spacing w:val="7"/>
              </w:rPr>
              <w:t>二甲苯、硝基苯、苯胺、</w:t>
            </w:r>
            <w:r>
              <w:rPr>
                <w:spacing w:val="6"/>
              </w:rPr>
              <w:t>2-</w:t>
            </w:r>
            <w:r>
              <w:rPr>
                <w:rFonts w:ascii="SimSun" w:hAnsi="SimSun" w:eastAsia="SimSun" w:cs="SimSun"/>
                <w:spacing w:val="3"/>
              </w:rPr>
              <w:t>氯酚、苯并（</w:t>
            </w:r>
            <w:r>
              <w:rPr>
                <w:spacing w:val="3"/>
              </w:rPr>
              <w:t>a</w:t>
            </w:r>
            <w:r>
              <w:rPr>
                <w:rFonts w:ascii="SimSun" w:hAnsi="SimSun" w:eastAsia="SimSun" w:cs="SimSun"/>
                <w:spacing w:val="3"/>
              </w:rPr>
              <w:t>）蒽、苯并（</w:t>
            </w:r>
            <w:r>
              <w:rPr>
                <w:spacing w:val="3"/>
              </w:rPr>
              <w:t>a</w:t>
            </w:r>
            <w:r>
              <w:rPr>
                <w:rFonts w:ascii="SimSun" w:hAnsi="SimSun" w:eastAsia="SimSun" w:cs="SimSun"/>
                <w:spacing w:val="3"/>
              </w:rPr>
              <w:t>）芘、苯并（</w:t>
            </w:r>
            <w:r>
              <w:rPr>
                <w:spacing w:val="3"/>
              </w:rPr>
              <w:t>b</w:t>
            </w:r>
            <w:r>
              <w:rPr>
                <w:rFonts w:ascii="SimSun" w:hAnsi="SimSun" w:eastAsia="SimSun" w:cs="SimSun"/>
                <w:spacing w:val="3"/>
              </w:rPr>
              <w:t>）荧蒽、苯并（</w:t>
            </w:r>
            <w:r>
              <w:rPr>
                <w:spacing w:val="3"/>
              </w:rPr>
              <w:t>k</w:t>
            </w:r>
            <w:r>
              <w:rPr>
                <w:rFonts w:ascii="SimSun" w:hAnsi="SimSun" w:eastAsia="SimSun" w:cs="SimSun"/>
                <w:spacing w:val="3"/>
              </w:rPr>
              <w:t>）荧蒽、</w:t>
            </w:r>
            <w:r>
              <w:rPr>
                <w:rFonts w:ascii="SimSun" w:hAnsi="SimSun" w:eastAsia="SimSun" w:cs="SimSun"/>
                <w:spacing w:val="5"/>
              </w:rPr>
              <w:t>䓛、二苯并（</w:t>
            </w:r>
            <w:r>
              <w:rPr>
                <w:spacing w:val="5"/>
              </w:rPr>
              <w:t>a</w:t>
            </w:r>
            <w:r>
              <w:rPr>
                <w:spacing w:val="-10"/>
              </w:rPr>
              <w:t xml:space="preserve"> </w:t>
            </w:r>
            <w:r>
              <w:rPr>
                <w:rFonts w:ascii="SimSun" w:hAnsi="SimSun" w:eastAsia="SimSun" w:cs="SimSun"/>
                <w:spacing w:val="5"/>
              </w:rPr>
              <w:t>，</w:t>
            </w:r>
            <w:r>
              <w:rPr>
                <w:spacing w:val="5"/>
              </w:rPr>
              <w:t>h</w:t>
            </w:r>
            <w:r>
              <w:rPr>
                <w:rFonts w:ascii="SimSun" w:hAnsi="SimSun" w:eastAsia="SimSun" w:cs="SimSun"/>
                <w:spacing w:val="5"/>
              </w:rPr>
              <w:t>）蒽、茚并（</w:t>
            </w:r>
            <w:r>
              <w:rPr>
                <w:spacing w:val="5"/>
              </w:rPr>
              <w:t>1,2,3-</w:t>
            </w:r>
            <w:r>
              <w:rPr/>
              <w:t>cd</w:t>
            </w:r>
            <w:r>
              <w:rPr>
                <w:rFonts w:ascii="SimSun" w:hAnsi="SimSun" w:eastAsia="SimSun" w:cs="SimSun"/>
                <w:spacing w:val="5"/>
              </w:rPr>
              <w:t>）芘、萘、石油烃</w:t>
            </w:r>
          </w:p>
        </w:tc>
        <w:tc>
          <w:tcPr>
            <w:tcW w:w="739" w:type="dxa"/>
            <w:vAlign w:val="top"/>
          </w:tcPr>
          <w:p>
            <w:pPr>
              <w:rPr>
                <w:rFonts w:ascii="Arial"/>
                <w:sz w:val="21"/>
              </w:rPr>
            </w:pPr>
            <w:r/>
          </w:p>
        </w:tc>
      </w:tr>
      <w:tr>
        <w:trPr>
          <w:trHeight w:val="330" w:hRule="atLeast"/>
        </w:trPr>
        <w:tc>
          <w:tcPr>
            <w:tcW w:w="410" w:type="dxa"/>
            <w:vAlign w:val="top"/>
            <w:vMerge w:val="restart"/>
            <w:textDirection w:val="tbRlV"/>
            <w:tcBorders>
              <w:bottom w:val="nil"/>
            </w:tcBorders>
          </w:tcPr>
          <w:p>
            <w:pPr>
              <w:ind w:left="230"/>
              <w:spacing w:before="97" w:line="215" w:lineRule="auto"/>
              <w:rPr>
                <w:rFonts w:ascii="SimSun" w:hAnsi="SimSun" w:eastAsia="SimSun" w:cs="SimSun"/>
                <w:sz w:val="20"/>
                <w:szCs w:val="20"/>
              </w:rPr>
            </w:pPr>
            <w:r>
              <w:rPr>
                <w:rFonts w:ascii="SimSun" w:hAnsi="SimSun" w:eastAsia="SimSun" w:cs="SimSun"/>
                <w:sz w:val="20"/>
                <w:szCs w:val="20"/>
                <w:spacing w:val="8"/>
              </w:rPr>
              <w:t>现</w:t>
            </w:r>
            <w:r>
              <w:rPr>
                <w:rFonts w:ascii="SimSun" w:hAnsi="SimSun" w:eastAsia="SimSun" w:cs="SimSun"/>
                <w:sz w:val="20"/>
                <w:szCs w:val="20"/>
                <w:spacing w:val="19"/>
              </w:rPr>
              <w:t xml:space="preserve"> </w:t>
            </w:r>
            <w:r>
              <w:rPr>
                <w:rFonts w:ascii="SimSun" w:hAnsi="SimSun" w:eastAsia="SimSun" w:cs="SimSun"/>
                <w:sz w:val="20"/>
                <w:szCs w:val="20"/>
                <w:spacing w:val="8"/>
              </w:rPr>
              <w:t>状</w:t>
            </w:r>
            <w:r>
              <w:rPr>
                <w:rFonts w:ascii="SimSun" w:hAnsi="SimSun" w:eastAsia="SimSun" w:cs="SimSun"/>
                <w:sz w:val="20"/>
                <w:szCs w:val="20"/>
                <w:spacing w:val="18"/>
              </w:rPr>
              <w:t xml:space="preserve"> </w:t>
            </w:r>
            <w:r>
              <w:rPr>
                <w:rFonts w:ascii="SimSun" w:hAnsi="SimSun" w:eastAsia="SimSun" w:cs="SimSun"/>
                <w:sz w:val="20"/>
                <w:szCs w:val="20"/>
                <w:spacing w:val="8"/>
              </w:rPr>
              <w:t>评</w:t>
            </w:r>
            <w:r>
              <w:rPr>
                <w:rFonts w:ascii="SimSun" w:hAnsi="SimSun" w:eastAsia="SimSun" w:cs="SimSun"/>
                <w:sz w:val="20"/>
                <w:szCs w:val="20"/>
                <w:spacing w:val="17"/>
              </w:rPr>
              <w:t xml:space="preserve"> </w:t>
            </w:r>
            <w:r>
              <w:rPr>
                <w:rFonts w:ascii="SimSun" w:hAnsi="SimSun" w:eastAsia="SimSun" w:cs="SimSun"/>
                <w:sz w:val="20"/>
                <w:szCs w:val="20"/>
                <w:spacing w:val="8"/>
              </w:rPr>
              <w:t>价</w:t>
            </w:r>
          </w:p>
        </w:tc>
        <w:tc>
          <w:tcPr>
            <w:tcW w:w="1643" w:type="dxa"/>
            <w:vAlign w:val="top"/>
          </w:tcPr>
          <w:p>
            <w:pPr>
              <w:ind w:left="403"/>
              <w:spacing w:before="58" w:line="226" w:lineRule="auto"/>
              <w:rPr>
                <w:rFonts w:ascii="SimSun" w:hAnsi="SimSun" w:eastAsia="SimSun" w:cs="SimSun"/>
                <w:sz w:val="20"/>
                <w:szCs w:val="20"/>
              </w:rPr>
            </w:pPr>
            <w:r>
              <w:rPr>
                <w:rFonts w:ascii="SimSun" w:hAnsi="SimSun" w:eastAsia="SimSun" w:cs="SimSun"/>
                <w:sz w:val="20"/>
                <w:szCs w:val="20"/>
                <w:spacing w:val="7"/>
              </w:rPr>
              <w:t>评价因子</w:t>
            </w:r>
          </w:p>
        </w:tc>
        <w:tc>
          <w:tcPr>
            <w:tcW w:w="6291" w:type="dxa"/>
            <w:vAlign w:val="top"/>
            <w:gridSpan w:val="3"/>
          </w:tcPr>
          <w:p>
            <w:pPr>
              <w:pStyle w:val="TableText"/>
              <w:ind w:left="2592"/>
              <w:spacing w:before="57" w:line="221" w:lineRule="auto"/>
              <w:rPr>
                <w:rFonts w:ascii="SimSun" w:hAnsi="SimSun" w:eastAsia="SimSun" w:cs="SimSun"/>
              </w:rPr>
            </w:pPr>
            <w:r>
              <w:rPr/>
              <w:t>pH</w:t>
            </w:r>
            <w:r>
              <w:rPr>
                <w:spacing w:val="-29"/>
              </w:rPr>
              <w:t xml:space="preserve"> </w:t>
            </w:r>
            <w:r>
              <w:rPr>
                <w:rFonts w:ascii="SimSun" w:hAnsi="SimSun" w:eastAsia="SimSun" w:cs="SimSun"/>
                <w:spacing w:val="7"/>
              </w:rPr>
              <w:t>、石油烃</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3"/>
              <w:spacing w:before="59" w:line="226" w:lineRule="auto"/>
              <w:rPr>
                <w:rFonts w:ascii="SimSun" w:hAnsi="SimSun" w:eastAsia="SimSun" w:cs="SimSun"/>
                <w:sz w:val="20"/>
                <w:szCs w:val="20"/>
              </w:rPr>
            </w:pPr>
            <w:r>
              <w:rPr>
                <w:rFonts w:ascii="SimSun" w:hAnsi="SimSun" w:eastAsia="SimSun" w:cs="SimSun"/>
                <w:sz w:val="20"/>
                <w:szCs w:val="20"/>
                <w:spacing w:val="7"/>
              </w:rPr>
              <w:t>评价标准</w:t>
            </w:r>
          </w:p>
        </w:tc>
        <w:tc>
          <w:tcPr>
            <w:tcW w:w="6291" w:type="dxa"/>
            <w:vAlign w:val="top"/>
            <w:gridSpan w:val="3"/>
          </w:tcPr>
          <w:p>
            <w:pPr>
              <w:pStyle w:val="TableText"/>
              <w:ind w:left="212"/>
              <w:spacing w:before="59" w:line="225" w:lineRule="auto"/>
              <w:rPr>
                <w:rFonts w:ascii="SimSun" w:hAnsi="SimSun" w:eastAsia="SimSun" w:cs="SimSun"/>
              </w:rPr>
            </w:pPr>
            <w:r>
              <w:rPr/>
              <w:t>GB</w:t>
            </w:r>
            <w:r>
              <w:rPr>
                <w:spacing w:val="30"/>
                <w:w w:val="101"/>
              </w:rPr>
              <w:t xml:space="preserve"> </w:t>
            </w:r>
            <w:r>
              <w:rPr>
                <w:spacing w:val="1"/>
              </w:rPr>
              <w:t>15618</w:t>
            </w:r>
            <w:r>
              <w:rPr>
                <w:rFonts w:ascii="MS UI Gothic" w:hAnsi="MS UI Gothic" w:eastAsia="MS UI Gothic" w:cs="MS UI Gothic"/>
                <w:spacing w:val="1"/>
              </w:rPr>
              <w:t>☑</w:t>
            </w:r>
            <w:r>
              <w:rPr>
                <w:rFonts w:ascii="SimSun" w:hAnsi="SimSun" w:eastAsia="SimSun" w:cs="SimSun"/>
                <w:spacing w:val="1"/>
              </w:rPr>
              <w:t>；</w:t>
            </w:r>
            <w:r>
              <w:rPr/>
              <w:t>GB</w:t>
            </w:r>
            <w:r>
              <w:rPr>
                <w:spacing w:val="1"/>
              </w:rPr>
              <w:t xml:space="preserve"> 36600</w:t>
            </w:r>
            <w:r>
              <w:rPr>
                <w:rFonts w:ascii="MS UI Gothic" w:hAnsi="MS UI Gothic" w:eastAsia="MS UI Gothic" w:cs="MS UI Gothic"/>
                <w:spacing w:val="1"/>
              </w:rPr>
              <w:t>☑</w:t>
            </w:r>
            <w:r>
              <w:rPr>
                <w:rFonts w:ascii="SimSun" w:hAnsi="SimSun" w:eastAsia="SimSun" w:cs="SimSun"/>
                <w:spacing w:val="1"/>
              </w:rPr>
              <w:t>；表</w:t>
            </w:r>
            <w:r>
              <w:rPr>
                <w:rFonts w:ascii="SimSun" w:hAnsi="SimSun" w:eastAsia="SimSun" w:cs="SimSun"/>
                <w:spacing w:val="-42"/>
              </w:rPr>
              <w:t xml:space="preserve"> </w:t>
            </w:r>
            <w:r>
              <w:rPr>
                <w:spacing w:val="1"/>
              </w:rPr>
              <w:t>D.</w:t>
            </w:r>
            <w:r>
              <w:rPr>
                <w:spacing w:val="-25"/>
              </w:rPr>
              <w:t xml:space="preserve"> </w:t>
            </w:r>
            <w:r>
              <w:rPr>
                <w:spacing w:val="1"/>
              </w:rPr>
              <w:t>1</w:t>
            </w:r>
            <w:r>
              <w:rPr>
                <w:spacing w:val="9"/>
              </w:rPr>
              <w:t xml:space="preserve">    </w:t>
            </w:r>
            <w:r>
              <w:rPr>
                <w:rFonts w:ascii="SimSun" w:hAnsi="SimSun" w:eastAsia="SimSun" w:cs="SimSun"/>
                <w:spacing w:val="1"/>
              </w:rPr>
              <w:t>；表 </w:t>
            </w:r>
            <w:r>
              <w:rPr>
                <w:spacing w:val="1"/>
              </w:rPr>
              <w:t>D.2     </w:t>
            </w:r>
            <w:r>
              <w:rPr>
                <w:rFonts w:ascii="SimSun" w:hAnsi="SimSun" w:eastAsia="SimSun" w:cs="SimSun"/>
                <w:spacing w:val="1"/>
              </w:rPr>
              <w:t>；其他 (     )</w:t>
            </w:r>
          </w:p>
        </w:tc>
        <w:tc>
          <w:tcPr>
            <w:tcW w:w="739" w:type="dxa"/>
            <w:vAlign w:val="top"/>
          </w:tcPr>
          <w:p>
            <w:pPr>
              <w:rPr>
                <w:rFonts w:ascii="Arial"/>
                <w:sz w:val="21"/>
              </w:rPr>
            </w:pPr>
            <w:r/>
          </w:p>
        </w:tc>
      </w:tr>
      <w:tr>
        <w:trPr>
          <w:trHeight w:val="981"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spacing w:line="318" w:lineRule="auto"/>
              <w:rPr>
                <w:rFonts w:ascii="Arial"/>
                <w:sz w:val="21"/>
              </w:rPr>
            </w:pPr>
            <w:r/>
          </w:p>
          <w:p>
            <w:pPr>
              <w:ind w:left="197"/>
              <w:spacing w:before="65" w:line="226" w:lineRule="auto"/>
              <w:rPr>
                <w:rFonts w:ascii="SimSun" w:hAnsi="SimSun" w:eastAsia="SimSun" w:cs="SimSun"/>
                <w:sz w:val="20"/>
                <w:szCs w:val="20"/>
              </w:rPr>
            </w:pPr>
            <w:r>
              <w:rPr>
                <w:rFonts w:ascii="SimSun" w:hAnsi="SimSun" w:eastAsia="SimSun" w:cs="SimSun"/>
                <w:sz w:val="20"/>
                <w:szCs w:val="20"/>
                <w:spacing w:val="7"/>
              </w:rPr>
              <w:t>现状评价结论</w:t>
            </w:r>
          </w:p>
        </w:tc>
        <w:tc>
          <w:tcPr>
            <w:tcW w:w="6291" w:type="dxa"/>
            <w:vAlign w:val="top"/>
            <w:gridSpan w:val="3"/>
          </w:tcPr>
          <w:p>
            <w:pPr>
              <w:pStyle w:val="TableText"/>
              <w:ind w:left="12" w:right="3" w:firstLine="1"/>
              <w:spacing w:before="57" w:line="281" w:lineRule="auto"/>
              <w:jc w:val="both"/>
              <w:rPr>
                <w:rFonts w:ascii="SimSun" w:hAnsi="SimSun" w:eastAsia="SimSun" w:cs="SimSun"/>
              </w:rPr>
            </w:pPr>
            <w:r>
              <w:rPr>
                <w:rFonts w:ascii="SimSun" w:hAnsi="SimSun" w:eastAsia="SimSun" w:cs="SimSun"/>
                <w:spacing w:val="-1"/>
              </w:rPr>
              <w:t>《</w:t>
            </w:r>
            <w:r>
              <w:rPr>
                <w:rFonts w:ascii="SimSun" w:hAnsi="SimSun" w:eastAsia="SimSun" w:cs="SimSun"/>
                <w:spacing w:val="-39"/>
              </w:rPr>
              <w:t xml:space="preserve"> </w:t>
            </w:r>
            <w:r>
              <w:rPr>
                <w:rFonts w:ascii="SimSun" w:hAnsi="SimSun" w:eastAsia="SimSun" w:cs="SimSun"/>
                <w:spacing w:val="-1"/>
              </w:rPr>
              <w:t>土</w:t>
            </w:r>
            <w:r>
              <w:rPr>
                <w:rFonts w:ascii="SimSun" w:hAnsi="SimSun" w:eastAsia="SimSun" w:cs="SimSun"/>
                <w:spacing w:val="-59"/>
              </w:rPr>
              <w:t xml:space="preserve"> </w:t>
            </w:r>
            <w:r>
              <w:rPr>
                <w:rFonts w:ascii="SimSun" w:hAnsi="SimSun" w:eastAsia="SimSun" w:cs="SimSun"/>
                <w:spacing w:val="-1"/>
              </w:rPr>
              <w:t>壤</w:t>
            </w:r>
            <w:r>
              <w:rPr>
                <w:rFonts w:ascii="SimSun" w:hAnsi="SimSun" w:eastAsia="SimSun" w:cs="SimSun"/>
                <w:spacing w:val="-56"/>
              </w:rPr>
              <w:t xml:space="preserve"> </w:t>
            </w:r>
            <w:r>
              <w:rPr>
                <w:rFonts w:ascii="SimSun" w:hAnsi="SimSun" w:eastAsia="SimSun" w:cs="SimSun"/>
                <w:spacing w:val="-1"/>
              </w:rPr>
              <w:t>环</w:t>
            </w:r>
            <w:r>
              <w:rPr>
                <w:rFonts w:ascii="SimSun" w:hAnsi="SimSun" w:eastAsia="SimSun" w:cs="SimSun"/>
                <w:spacing w:val="-57"/>
              </w:rPr>
              <w:t xml:space="preserve"> </w:t>
            </w:r>
            <w:r>
              <w:rPr>
                <w:rFonts w:ascii="SimSun" w:hAnsi="SimSun" w:eastAsia="SimSun" w:cs="SimSun"/>
                <w:spacing w:val="-1"/>
              </w:rPr>
              <w:t>境</w:t>
            </w:r>
            <w:r>
              <w:rPr>
                <w:rFonts w:ascii="SimSun" w:hAnsi="SimSun" w:eastAsia="SimSun" w:cs="SimSun"/>
                <w:spacing w:val="-58"/>
              </w:rPr>
              <w:t xml:space="preserve"> </w:t>
            </w:r>
            <w:r>
              <w:rPr>
                <w:rFonts w:ascii="SimSun" w:hAnsi="SimSun" w:eastAsia="SimSun" w:cs="SimSun"/>
                <w:spacing w:val="-1"/>
              </w:rPr>
              <w:t>质</w:t>
            </w:r>
            <w:r>
              <w:rPr>
                <w:rFonts w:ascii="SimSun" w:hAnsi="SimSun" w:eastAsia="SimSun" w:cs="SimSun"/>
                <w:spacing w:val="-58"/>
              </w:rPr>
              <w:t xml:space="preserve"> </w:t>
            </w:r>
            <w:r>
              <w:rPr>
                <w:rFonts w:ascii="SimSun" w:hAnsi="SimSun" w:eastAsia="SimSun" w:cs="SimSun"/>
                <w:spacing w:val="-1"/>
              </w:rPr>
              <w:t>量</w:t>
            </w:r>
            <w:r>
              <w:rPr>
                <w:rFonts w:ascii="SimSun" w:hAnsi="SimSun" w:eastAsia="SimSun" w:cs="SimSun"/>
                <w:spacing w:val="-54"/>
              </w:rPr>
              <w:t xml:space="preserve"> </w:t>
            </w:r>
            <w:r>
              <w:rPr>
                <w:rFonts w:ascii="SimSun" w:hAnsi="SimSun" w:eastAsia="SimSun" w:cs="SimSun"/>
                <w:spacing w:val="-1"/>
              </w:rPr>
              <w:t>建</w:t>
            </w:r>
            <w:r>
              <w:rPr>
                <w:rFonts w:ascii="SimSun" w:hAnsi="SimSun" w:eastAsia="SimSun" w:cs="SimSun"/>
                <w:spacing w:val="-55"/>
              </w:rPr>
              <w:t xml:space="preserve"> </w:t>
            </w:r>
            <w:r>
              <w:rPr>
                <w:rFonts w:ascii="SimSun" w:hAnsi="SimSun" w:eastAsia="SimSun" w:cs="SimSun"/>
                <w:spacing w:val="-1"/>
              </w:rPr>
              <w:t>设</w:t>
            </w:r>
            <w:r>
              <w:rPr>
                <w:rFonts w:ascii="SimSun" w:hAnsi="SimSun" w:eastAsia="SimSun" w:cs="SimSun"/>
                <w:spacing w:val="-57"/>
              </w:rPr>
              <w:t xml:space="preserve"> </w:t>
            </w:r>
            <w:r>
              <w:rPr>
                <w:rFonts w:ascii="SimSun" w:hAnsi="SimSun" w:eastAsia="SimSun" w:cs="SimSun"/>
                <w:spacing w:val="-1"/>
              </w:rPr>
              <w:t>用</w:t>
            </w:r>
            <w:r>
              <w:rPr>
                <w:rFonts w:ascii="SimSun" w:hAnsi="SimSun" w:eastAsia="SimSun" w:cs="SimSun"/>
                <w:spacing w:val="-61"/>
              </w:rPr>
              <w:t xml:space="preserve"> </w:t>
            </w:r>
            <w:r>
              <w:rPr>
                <w:rFonts w:ascii="SimSun" w:hAnsi="SimSun" w:eastAsia="SimSun" w:cs="SimSun"/>
                <w:spacing w:val="-1"/>
              </w:rPr>
              <w:t>地</w:t>
            </w:r>
            <w:r>
              <w:rPr>
                <w:rFonts w:ascii="SimSun" w:hAnsi="SimSun" w:eastAsia="SimSun" w:cs="SimSun"/>
                <w:spacing w:val="-52"/>
              </w:rPr>
              <w:t xml:space="preserve"> </w:t>
            </w:r>
            <w:r>
              <w:rPr>
                <w:rFonts w:ascii="SimSun" w:hAnsi="SimSun" w:eastAsia="SimSun" w:cs="SimSun"/>
                <w:spacing w:val="-1"/>
              </w:rPr>
              <w:t>土</w:t>
            </w:r>
            <w:r>
              <w:rPr>
                <w:rFonts w:ascii="SimSun" w:hAnsi="SimSun" w:eastAsia="SimSun" w:cs="SimSun"/>
                <w:spacing w:val="-61"/>
              </w:rPr>
              <w:t xml:space="preserve"> </w:t>
            </w:r>
            <w:r>
              <w:rPr>
                <w:rFonts w:ascii="SimSun" w:hAnsi="SimSun" w:eastAsia="SimSun" w:cs="SimSun"/>
                <w:spacing w:val="-1"/>
              </w:rPr>
              <w:t>壤</w:t>
            </w:r>
            <w:r>
              <w:rPr>
                <w:rFonts w:ascii="SimSun" w:hAnsi="SimSun" w:eastAsia="SimSun" w:cs="SimSun"/>
                <w:spacing w:val="-57"/>
              </w:rPr>
              <w:t xml:space="preserve"> </w:t>
            </w:r>
            <w:r>
              <w:rPr>
                <w:rFonts w:ascii="SimSun" w:hAnsi="SimSun" w:eastAsia="SimSun" w:cs="SimSun"/>
                <w:spacing w:val="-1"/>
              </w:rPr>
              <w:t>污</w:t>
            </w:r>
            <w:r>
              <w:rPr>
                <w:rFonts w:ascii="SimSun" w:hAnsi="SimSun" w:eastAsia="SimSun" w:cs="SimSun"/>
                <w:spacing w:val="-55"/>
              </w:rPr>
              <w:t xml:space="preserve"> </w:t>
            </w:r>
            <w:r>
              <w:rPr>
                <w:rFonts w:ascii="SimSun" w:hAnsi="SimSun" w:eastAsia="SimSun" w:cs="SimSun"/>
                <w:spacing w:val="-1"/>
              </w:rPr>
              <w:t>染</w:t>
            </w:r>
            <w:r>
              <w:rPr>
                <w:rFonts w:ascii="SimSun" w:hAnsi="SimSun" w:eastAsia="SimSun" w:cs="SimSun"/>
                <w:spacing w:val="-55"/>
              </w:rPr>
              <w:t xml:space="preserve"> </w:t>
            </w:r>
            <w:r>
              <w:rPr>
                <w:rFonts w:ascii="SimSun" w:hAnsi="SimSun" w:eastAsia="SimSun" w:cs="SimSun"/>
                <w:spacing w:val="-1"/>
              </w:rPr>
              <w:t>风</w:t>
            </w:r>
            <w:r>
              <w:rPr>
                <w:rFonts w:ascii="SimSun" w:hAnsi="SimSun" w:eastAsia="SimSun" w:cs="SimSun"/>
                <w:spacing w:val="-47"/>
              </w:rPr>
              <w:t xml:space="preserve"> </w:t>
            </w:r>
            <w:r>
              <w:rPr>
                <w:rFonts w:ascii="SimSun" w:hAnsi="SimSun" w:eastAsia="SimSun" w:cs="SimSun"/>
                <w:spacing w:val="-1"/>
              </w:rPr>
              <w:t>险</w:t>
            </w:r>
            <w:r>
              <w:rPr>
                <w:rFonts w:ascii="SimSun" w:hAnsi="SimSun" w:eastAsia="SimSun" w:cs="SimSun"/>
                <w:spacing w:val="-54"/>
              </w:rPr>
              <w:t xml:space="preserve"> </w:t>
            </w:r>
            <w:r>
              <w:rPr>
                <w:rFonts w:ascii="SimSun" w:hAnsi="SimSun" w:eastAsia="SimSun" w:cs="SimSun"/>
                <w:spacing w:val="-1"/>
              </w:rPr>
              <w:t>管</w:t>
            </w:r>
            <w:r>
              <w:rPr>
                <w:rFonts w:ascii="SimSun" w:hAnsi="SimSun" w:eastAsia="SimSun" w:cs="SimSun"/>
                <w:spacing w:val="-59"/>
              </w:rPr>
              <w:t xml:space="preserve"> </w:t>
            </w:r>
            <w:r>
              <w:rPr>
                <w:rFonts w:ascii="SimSun" w:hAnsi="SimSun" w:eastAsia="SimSun" w:cs="SimSun"/>
                <w:spacing w:val="-1"/>
              </w:rPr>
              <w:t>控</w:t>
            </w:r>
            <w:r>
              <w:rPr>
                <w:rFonts w:ascii="SimSun" w:hAnsi="SimSun" w:eastAsia="SimSun" w:cs="SimSun"/>
                <w:spacing w:val="-55"/>
              </w:rPr>
              <w:t xml:space="preserve"> </w:t>
            </w:r>
            <w:r>
              <w:rPr>
                <w:rFonts w:ascii="SimSun" w:hAnsi="SimSun" w:eastAsia="SimSun" w:cs="SimSun"/>
                <w:spacing w:val="-2"/>
              </w:rPr>
              <w:t>标</w:t>
            </w:r>
            <w:r>
              <w:rPr>
                <w:rFonts w:ascii="SimSun" w:hAnsi="SimSun" w:eastAsia="SimSun" w:cs="SimSun"/>
                <w:spacing w:val="-57"/>
              </w:rPr>
              <w:t xml:space="preserve"> </w:t>
            </w:r>
            <w:r>
              <w:rPr>
                <w:rFonts w:ascii="SimSun" w:hAnsi="SimSun" w:eastAsia="SimSun" w:cs="SimSun"/>
                <w:spacing w:val="-2"/>
              </w:rPr>
              <w:t>准</w:t>
            </w:r>
            <w:r>
              <w:rPr>
                <w:rFonts w:ascii="SimSun" w:hAnsi="SimSun" w:eastAsia="SimSun" w:cs="SimSun"/>
                <w:spacing w:val="-64"/>
              </w:rPr>
              <w:t xml:space="preserve"> </w:t>
            </w:r>
            <w:r>
              <w:rPr>
                <w:rFonts w:ascii="SimSun" w:hAnsi="SimSun" w:eastAsia="SimSun" w:cs="SimSun"/>
                <w:spacing w:val="-2"/>
              </w:rPr>
              <w:t>（试</w:t>
            </w:r>
            <w:r>
              <w:rPr>
                <w:rFonts w:ascii="SimSun" w:hAnsi="SimSun" w:eastAsia="SimSun" w:cs="SimSun"/>
                <w:spacing w:val="-53"/>
              </w:rPr>
              <w:t xml:space="preserve"> </w:t>
            </w:r>
            <w:r>
              <w:rPr>
                <w:rFonts w:ascii="SimSun" w:hAnsi="SimSun" w:eastAsia="SimSun" w:cs="SimSun"/>
                <w:spacing w:val="-2"/>
              </w:rPr>
              <w:t>行</w:t>
            </w:r>
            <w:r>
              <w:rPr>
                <w:rFonts w:ascii="SimSun" w:hAnsi="SimSun" w:eastAsia="SimSun" w:cs="SimSun"/>
                <w:spacing w:val="-36"/>
              </w:rPr>
              <w:t xml:space="preserve"> </w:t>
            </w:r>
            <w:r>
              <w:rPr>
                <w:rFonts w:ascii="SimSun" w:hAnsi="SimSun" w:eastAsia="SimSun" w:cs="SimSun"/>
                <w:spacing w:val="-2"/>
              </w:rPr>
              <w:t>）</w:t>
            </w:r>
            <w:r>
              <w:rPr>
                <w:rFonts w:ascii="SimSun" w:hAnsi="SimSun" w:eastAsia="SimSun" w:cs="SimSun"/>
                <w:spacing w:val="-42"/>
              </w:rPr>
              <w:t xml:space="preserve"> </w:t>
            </w:r>
            <w:r>
              <w:rPr>
                <w:rFonts w:ascii="SimSun" w:hAnsi="SimSun" w:eastAsia="SimSun" w:cs="SimSun"/>
                <w:spacing w:val="-2"/>
              </w:rPr>
              <w:t>》</w:t>
            </w:r>
            <w:r>
              <w:rPr>
                <w:rFonts w:ascii="SimSun" w:hAnsi="SimSun" w:eastAsia="SimSun" w:cs="SimSun"/>
              </w:rPr>
              <w:t xml:space="preserve"> </w:t>
            </w:r>
            <w:r>
              <w:rPr>
                <w:rFonts w:ascii="SimSun" w:hAnsi="SimSun" w:eastAsia="SimSun" w:cs="SimSun"/>
                <w:spacing w:val="1"/>
              </w:rPr>
              <w:t>（</w:t>
            </w:r>
            <w:r>
              <w:rPr/>
              <w:t>GB</w:t>
            </w:r>
            <w:r>
              <w:rPr>
                <w:spacing w:val="1"/>
              </w:rPr>
              <w:t>36600-2018</w:t>
            </w:r>
            <w:r>
              <w:rPr>
                <w:rFonts w:ascii="SimSun" w:hAnsi="SimSun" w:eastAsia="SimSun" w:cs="SimSun"/>
                <w:spacing w:val="1"/>
              </w:rPr>
              <w:t>）、《土壤环境质量农用地土</w:t>
            </w:r>
            <w:r>
              <w:rPr>
                <w:rFonts w:ascii="SimSun" w:hAnsi="SimSun" w:eastAsia="SimSun" w:cs="SimSun"/>
              </w:rPr>
              <w:t>壤污染风险管控标准（试</w:t>
            </w:r>
            <w:r>
              <w:rPr>
                <w:rFonts w:ascii="SimSun" w:hAnsi="SimSun" w:eastAsia="SimSun" w:cs="SimSun"/>
                <w:spacing w:val="6"/>
              </w:rPr>
              <w:t>行）》（</w:t>
            </w:r>
            <w:r>
              <w:rPr/>
              <w:t>GB</w:t>
            </w:r>
            <w:r>
              <w:rPr>
                <w:spacing w:val="6"/>
              </w:rPr>
              <w:t>15618-2018</w:t>
            </w:r>
            <w:r>
              <w:rPr>
                <w:rFonts w:ascii="SimSun" w:hAnsi="SimSun" w:eastAsia="SimSun" w:cs="SimSun"/>
                <w:spacing w:val="6"/>
              </w:rPr>
              <w:t>）</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402"/>
              <w:spacing w:before="97"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19"/>
              </w:rPr>
              <w:t xml:space="preserve"> </w:t>
            </w:r>
            <w:r>
              <w:rPr>
                <w:rFonts w:ascii="SimSun" w:hAnsi="SimSun" w:eastAsia="SimSun" w:cs="SimSun"/>
                <w:sz w:val="20"/>
                <w:szCs w:val="20"/>
                <w:spacing w:val="8"/>
              </w:rPr>
              <w:t>响</w:t>
            </w:r>
            <w:r>
              <w:rPr>
                <w:rFonts w:ascii="SimSun" w:hAnsi="SimSun" w:eastAsia="SimSun" w:cs="SimSun"/>
                <w:sz w:val="20"/>
                <w:szCs w:val="20"/>
                <w:spacing w:val="15"/>
              </w:rPr>
              <w:t xml:space="preserve"> </w:t>
            </w:r>
            <w:r>
              <w:rPr>
                <w:rFonts w:ascii="SimSun" w:hAnsi="SimSun" w:eastAsia="SimSun" w:cs="SimSun"/>
                <w:sz w:val="20"/>
                <w:szCs w:val="20"/>
                <w:spacing w:val="8"/>
              </w:rPr>
              <w:t>预</w:t>
            </w:r>
            <w:r>
              <w:rPr>
                <w:rFonts w:ascii="SimSun" w:hAnsi="SimSun" w:eastAsia="SimSun" w:cs="SimSun"/>
                <w:sz w:val="20"/>
                <w:szCs w:val="20"/>
                <w:spacing w:val="18"/>
              </w:rPr>
              <w:t xml:space="preserve"> </w:t>
            </w:r>
            <w:r>
              <w:rPr>
                <w:rFonts w:ascii="SimSun" w:hAnsi="SimSun" w:eastAsia="SimSun" w:cs="SimSun"/>
                <w:sz w:val="20"/>
                <w:szCs w:val="20"/>
                <w:spacing w:val="8"/>
              </w:rPr>
              <w:t>测</w:t>
            </w:r>
          </w:p>
        </w:tc>
        <w:tc>
          <w:tcPr>
            <w:tcW w:w="1643" w:type="dxa"/>
            <w:vAlign w:val="top"/>
          </w:tcPr>
          <w:p>
            <w:pPr>
              <w:ind w:left="406"/>
              <w:spacing w:before="61" w:line="228" w:lineRule="auto"/>
              <w:rPr>
                <w:rFonts w:ascii="SimSun" w:hAnsi="SimSun" w:eastAsia="SimSun" w:cs="SimSun"/>
                <w:sz w:val="20"/>
                <w:szCs w:val="20"/>
              </w:rPr>
            </w:pPr>
            <w:r>
              <w:rPr>
                <w:rFonts w:ascii="SimSun" w:hAnsi="SimSun" w:eastAsia="SimSun" w:cs="SimSun"/>
                <w:sz w:val="20"/>
                <w:szCs w:val="20"/>
                <w:spacing w:val="6"/>
              </w:rPr>
              <w:t>预测因子</w:t>
            </w:r>
          </w:p>
        </w:tc>
        <w:tc>
          <w:tcPr>
            <w:tcW w:w="6291" w:type="dxa"/>
            <w:vAlign w:val="top"/>
            <w:gridSpan w:val="3"/>
          </w:tcPr>
          <w:p>
            <w:pPr>
              <w:pStyle w:val="TableText"/>
              <w:ind w:left="2592"/>
              <w:spacing w:before="61" w:line="221" w:lineRule="auto"/>
              <w:rPr>
                <w:rFonts w:ascii="SimSun" w:hAnsi="SimSun" w:eastAsia="SimSun" w:cs="SimSun"/>
              </w:rPr>
            </w:pPr>
            <w:r>
              <w:rPr/>
              <w:t>pH</w:t>
            </w:r>
            <w:r>
              <w:rPr>
                <w:spacing w:val="-29"/>
              </w:rPr>
              <w:t xml:space="preserve"> </w:t>
            </w:r>
            <w:r>
              <w:rPr>
                <w:rFonts w:ascii="SimSun" w:hAnsi="SimSun" w:eastAsia="SimSun" w:cs="SimSun"/>
                <w:spacing w:val="7"/>
              </w:rPr>
              <w:t>、石油烃</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6"/>
              <w:spacing w:before="61" w:line="228" w:lineRule="auto"/>
              <w:rPr>
                <w:rFonts w:ascii="SimSun" w:hAnsi="SimSun" w:eastAsia="SimSun" w:cs="SimSun"/>
                <w:sz w:val="20"/>
                <w:szCs w:val="20"/>
              </w:rPr>
            </w:pPr>
            <w:r>
              <w:rPr>
                <w:rFonts w:ascii="SimSun" w:hAnsi="SimSun" w:eastAsia="SimSun" w:cs="SimSun"/>
                <w:sz w:val="20"/>
                <w:szCs w:val="20"/>
                <w:spacing w:val="6"/>
              </w:rPr>
              <w:t>预测方法</w:t>
            </w:r>
          </w:p>
        </w:tc>
        <w:tc>
          <w:tcPr>
            <w:tcW w:w="6291" w:type="dxa"/>
            <w:vAlign w:val="top"/>
            <w:gridSpan w:val="3"/>
          </w:tcPr>
          <w:p>
            <w:pPr>
              <w:pStyle w:val="TableText"/>
              <w:ind w:left="1343"/>
              <w:spacing w:before="69" w:line="213" w:lineRule="auto"/>
              <w:rPr>
                <w:rFonts w:ascii="SimSun" w:hAnsi="SimSun" w:eastAsia="SimSun" w:cs="SimSun"/>
              </w:rPr>
            </w:pPr>
            <w:r>
              <w:rPr>
                <w:rFonts w:ascii="SimSun" w:hAnsi="SimSun" w:eastAsia="SimSun" w:cs="SimSun"/>
                <w:spacing w:val="6"/>
              </w:rPr>
              <w:t>附录</w:t>
            </w:r>
            <w:r>
              <w:rPr>
                <w:rFonts w:ascii="SimSun" w:hAnsi="SimSun" w:eastAsia="SimSun" w:cs="SimSun"/>
                <w:spacing w:val="-29"/>
              </w:rPr>
              <w:t xml:space="preserve"> </w:t>
            </w:r>
            <w:r>
              <w:rPr>
                <w:spacing w:val="6"/>
              </w:rPr>
              <w:t>E</w:t>
            </w:r>
            <w:r>
              <w:rPr>
                <w:rFonts w:ascii="Segoe UI Symbol" w:hAnsi="Segoe UI Symbol" w:eastAsia="Segoe UI Symbol" w:cs="Segoe UI Symbol"/>
                <w:spacing w:val="6"/>
              </w:rPr>
              <w:t>☑</w:t>
            </w:r>
            <w:r>
              <w:rPr>
                <w:rFonts w:ascii="SimSun" w:hAnsi="SimSun" w:eastAsia="SimSun" w:cs="SimSun"/>
                <w:spacing w:val="6"/>
              </w:rPr>
              <w:t>；附录 </w:t>
            </w:r>
            <w:r>
              <w:rPr>
                <w:spacing w:val="6"/>
              </w:rPr>
              <w:t>F□</w:t>
            </w:r>
            <w:r>
              <w:rPr>
                <w:rFonts w:ascii="SimSun" w:hAnsi="SimSun" w:eastAsia="SimSun" w:cs="SimSun"/>
                <w:spacing w:val="6"/>
              </w:rPr>
              <w:t>；其他（定性分析）</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7"/>
              <w:spacing w:before="224" w:line="228" w:lineRule="auto"/>
              <w:rPr>
                <w:rFonts w:ascii="SimSun" w:hAnsi="SimSun" w:eastAsia="SimSun" w:cs="SimSun"/>
                <w:sz w:val="20"/>
                <w:szCs w:val="20"/>
              </w:rPr>
            </w:pPr>
            <w:r>
              <w:rPr>
                <w:rFonts w:ascii="SimSun" w:hAnsi="SimSun" w:eastAsia="SimSun" w:cs="SimSun"/>
                <w:sz w:val="20"/>
                <w:szCs w:val="20"/>
                <w:spacing w:val="7"/>
              </w:rPr>
              <w:t>预测分析内容</w:t>
            </w:r>
          </w:p>
        </w:tc>
        <w:tc>
          <w:tcPr>
            <w:tcW w:w="6291" w:type="dxa"/>
            <w:vAlign w:val="top"/>
            <w:gridSpan w:val="3"/>
          </w:tcPr>
          <w:p>
            <w:pPr>
              <w:pStyle w:val="TableText"/>
              <w:ind w:left="102"/>
              <w:spacing w:before="61" w:line="228" w:lineRule="auto"/>
              <w:rPr>
                <w:rFonts w:ascii="SimSun" w:hAnsi="SimSun" w:eastAsia="SimSun" w:cs="SimSun"/>
              </w:rPr>
            </w:pPr>
            <w:r>
              <w:rPr>
                <w:rFonts w:ascii="SimSun" w:hAnsi="SimSun" w:eastAsia="SimSun" w:cs="SimSun"/>
                <w:spacing w:val="8"/>
              </w:rPr>
              <w:t>影响范围（工业场地、污水处理厂等占地范围外延</w:t>
            </w:r>
            <w:r>
              <w:rPr>
                <w:rFonts w:ascii="SimSun" w:hAnsi="SimSun" w:eastAsia="SimSun" w:cs="SimSun"/>
                <w:spacing w:val="-40"/>
              </w:rPr>
              <w:t xml:space="preserve"> </w:t>
            </w:r>
            <w:r>
              <w:rPr>
                <w:spacing w:val="8"/>
              </w:rPr>
              <w:t>0.2</w:t>
            </w:r>
            <w:r>
              <w:rPr/>
              <w:t>km</w:t>
            </w:r>
            <w:r>
              <w:rPr>
                <w:spacing w:val="28"/>
                <w:w w:val="101"/>
              </w:rPr>
              <w:t xml:space="preserve"> </w:t>
            </w:r>
            <w:r>
              <w:rPr>
                <w:rFonts w:ascii="SimSun" w:hAnsi="SimSun" w:eastAsia="SimSun" w:cs="SimSun"/>
                <w:spacing w:val="8"/>
              </w:rPr>
              <w:t>的范围）</w:t>
            </w:r>
          </w:p>
          <w:p>
            <w:pPr>
              <w:ind w:left="2102"/>
              <w:spacing w:before="79" w:line="228" w:lineRule="auto"/>
              <w:rPr>
                <w:rFonts w:ascii="SimSun" w:hAnsi="SimSun" w:eastAsia="SimSun" w:cs="SimSun"/>
                <w:sz w:val="20"/>
                <w:szCs w:val="20"/>
              </w:rPr>
            </w:pPr>
            <w:r>
              <w:rPr>
                <w:rFonts w:ascii="SimSun" w:hAnsi="SimSun" w:eastAsia="SimSun" w:cs="SimSun"/>
                <w:sz w:val="20"/>
                <w:szCs w:val="20"/>
                <w:spacing w:val="7"/>
              </w:rPr>
              <w:t>影响程度（可接受  ）</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406"/>
              <w:spacing w:before="222" w:line="228" w:lineRule="auto"/>
              <w:rPr>
                <w:rFonts w:ascii="SimSun" w:hAnsi="SimSun" w:eastAsia="SimSun" w:cs="SimSun"/>
                <w:sz w:val="20"/>
                <w:szCs w:val="20"/>
              </w:rPr>
            </w:pPr>
            <w:r>
              <w:rPr>
                <w:rFonts w:ascii="SimSun" w:hAnsi="SimSun" w:eastAsia="SimSun" w:cs="SimSun"/>
                <w:sz w:val="20"/>
                <w:szCs w:val="20"/>
                <w:spacing w:val="6"/>
              </w:rPr>
              <w:t>预测结论</w:t>
            </w:r>
          </w:p>
        </w:tc>
        <w:tc>
          <w:tcPr>
            <w:tcW w:w="6291" w:type="dxa"/>
            <w:vAlign w:val="top"/>
            <w:gridSpan w:val="3"/>
          </w:tcPr>
          <w:p>
            <w:pPr>
              <w:pStyle w:val="TableText"/>
              <w:ind w:left="1602"/>
              <w:spacing w:before="66" w:line="216" w:lineRule="auto"/>
              <w:rPr>
                <w:rFonts w:ascii="SimSun" w:hAnsi="SimSun" w:eastAsia="SimSun" w:cs="SimSun"/>
              </w:rPr>
            </w:pPr>
            <w:r>
              <w:rPr>
                <w:rFonts w:ascii="SimSun" w:hAnsi="SimSun" w:eastAsia="SimSun" w:cs="SimSun"/>
                <w:spacing w:val="2"/>
              </w:rPr>
              <w:t>达标结论：</w:t>
            </w:r>
            <w:r>
              <w:rPr>
                <w:spacing w:val="2"/>
              </w:rPr>
              <w:t>a</w:t>
            </w:r>
            <w:r>
              <w:rPr>
                <w:rFonts w:ascii="SimSun" w:hAnsi="SimSun" w:eastAsia="SimSun" w:cs="SimSun"/>
                <w:spacing w:val="2"/>
              </w:rPr>
              <w:t>）</w:t>
            </w:r>
            <w:r>
              <w:rPr>
                <w:rFonts w:ascii="SimSun" w:hAnsi="SimSun" w:eastAsia="SimSun" w:cs="SimSun"/>
                <w:spacing w:val="-72"/>
              </w:rPr>
              <w:t xml:space="preserve"> </w:t>
            </w:r>
            <w:r>
              <w:rPr>
                <w:rFonts w:ascii="Segoe UI Symbol" w:hAnsi="Segoe UI Symbol" w:eastAsia="Segoe UI Symbol" w:cs="Segoe UI Symbol"/>
                <w:spacing w:val="2"/>
              </w:rPr>
              <w:t>☑</w:t>
            </w:r>
            <w:r>
              <w:rPr>
                <w:rFonts w:ascii="Segoe UI Symbol" w:hAnsi="Segoe UI Symbol" w:eastAsia="Segoe UI Symbol" w:cs="Segoe UI Symbol"/>
                <w:spacing w:val="11"/>
              </w:rPr>
              <w:t xml:space="preserve">  </w:t>
            </w:r>
            <w:r>
              <w:rPr>
                <w:rFonts w:ascii="SimSun" w:hAnsi="SimSun" w:eastAsia="SimSun" w:cs="SimSun"/>
                <w:spacing w:val="2"/>
              </w:rPr>
              <w:t>；</w:t>
            </w:r>
            <w:r>
              <w:rPr>
                <w:spacing w:val="2"/>
              </w:rPr>
              <w:t>b</w:t>
            </w:r>
            <w:r>
              <w:rPr>
                <w:rFonts w:ascii="SimSun" w:hAnsi="SimSun" w:eastAsia="SimSun" w:cs="SimSun"/>
                <w:spacing w:val="-6"/>
              </w:rPr>
              <w:t>）</w:t>
            </w:r>
            <w:r>
              <w:rPr>
                <w:rFonts w:ascii="SimSun" w:hAnsi="SimSun" w:eastAsia="SimSun" w:cs="SimSun"/>
                <w:spacing w:val="22"/>
              </w:rPr>
              <w:t xml:space="preserve">  </w:t>
            </w:r>
            <w:r>
              <w:rPr>
                <w:rFonts w:ascii="SimSun" w:hAnsi="SimSun" w:eastAsia="SimSun" w:cs="SimSun"/>
                <w:spacing w:val="-6"/>
              </w:rPr>
              <w:t>；</w:t>
            </w:r>
            <w:r>
              <w:rPr>
                <w:spacing w:val="2"/>
              </w:rPr>
              <w:t>c</w:t>
            </w:r>
            <w:r>
              <w:rPr>
                <w:rFonts w:ascii="SimSun" w:hAnsi="SimSun" w:eastAsia="SimSun" w:cs="SimSun"/>
                <w:spacing w:val="2"/>
              </w:rPr>
              <w:t>）</w:t>
            </w:r>
          </w:p>
          <w:p>
            <w:pPr>
              <w:pStyle w:val="TableText"/>
              <w:ind w:left="1980"/>
              <w:spacing w:before="72" w:line="228" w:lineRule="auto"/>
              <w:rPr/>
            </w:pPr>
            <w:r>
              <w:rPr>
                <w:rFonts w:ascii="SimSun" w:hAnsi="SimSun" w:eastAsia="SimSun" w:cs="SimSun"/>
                <w:spacing w:val="2"/>
              </w:rPr>
              <w:t>不达标结论：</w:t>
            </w:r>
            <w:r>
              <w:rPr>
                <w:spacing w:val="2"/>
              </w:rPr>
              <w:t>a</w:t>
            </w:r>
            <w:r>
              <w:rPr>
                <w:rFonts w:ascii="SimSun" w:hAnsi="SimSun" w:eastAsia="SimSun" w:cs="SimSun"/>
                <w:spacing w:val="2"/>
              </w:rPr>
              <w:t>）</w:t>
            </w:r>
            <w:r>
              <w:rPr>
                <w:rFonts w:ascii="SimSun" w:hAnsi="SimSun" w:eastAsia="SimSun" w:cs="SimSun"/>
                <w:spacing w:val="-68"/>
              </w:rPr>
              <w:t xml:space="preserve"> </w:t>
            </w:r>
            <w:r>
              <w:rPr>
                <w:spacing w:val="2"/>
              </w:rPr>
              <w:t>□</w:t>
            </w:r>
            <w:r>
              <w:rPr>
                <w:spacing w:val="-23"/>
              </w:rPr>
              <w:t xml:space="preserve"> </w:t>
            </w:r>
            <w:r>
              <w:rPr>
                <w:rFonts w:ascii="SimSun" w:hAnsi="SimSun" w:eastAsia="SimSun" w:cs="SimSun"/>
                <w:spacing w:val="2"/>
              </w:rPr>
              <w:t>；</w:t>
            </w:r>
            <w:r>
              <w:rPr>
                <w:spacing w:val="2"/>
              </w:rPr>
              <w:t>b</w:t>
            </w:r>
            <w:r>
              <w:rPr>
                <w:rFonts w:ascii="SimSun" w:hAnsi="SimSun" w:eastAsia="SimSun" w:cs="SimSun"/>
                <w:spacing w:val="2"/>
              </w:rPr>
              <w:t>）</w:t>
            </w:r>
            <w:r>
              <w:rPr>
                <w:rFonts w:ascii="SimSun" w:hAnsi="SimSun" w:eastAsia="SimSun" w:cs="SimSun"/>
                <w:spacing w:val="-75"/>
              </w:rPr>
              <w:t xml:space="preserve"> </w:t>
            </w:r>
            <w:r>
              <w:rPr>
                <w:spacing w:val="2"/>
              </w:rPr>
              <w:t>□</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240"/>
              <w:spacing w:before="97" w:line="217" w:lineRule="auto"/>
              <w:rPr>
                <w:rFonts w:ascii="SimSun" w:hAnsi="SimSun" w:eastAsia="SimSun" w:cs="SimSun"/>
                <w:sz w:val="20"/>
                <w:szCs w:val="20"/>
              </w:rPr>
            </w:pPr>
            <w:r>
              <w:rPr>
                <w:rFonts w:ascii="SimSun" w:hAnsi="SimSun" w:eastAsia="SimSun" w:cs="SimSun"/>
                <w:sz w:val="20"/>
                <w:szCs w:val="20"/>
                <w:spacing w:val="8"/>
              </w:rPr>
              <w:t>防</w:t>
            </w:r>
            <w:r>
              <w:rPr>
                <w:rFonts w:ascii="SimSun" w:hAnsi="SimSun" w:eastAsia="SimSun" w:cs="SimSun"/>
                <w:sz w:val="20"/>
                <w:szCs w:val="20"/>
                <w:spacing w:val="17"/>
              </w:rPr>
              <w:t xml:space="preserve"> </w:t>
            </w:r>
            <w:r>
              <w:rPr>
                <w:rFonts w:ascii="SimSun" w:hAnsi="SimSun" w:eastAsia="SimSun" w:cs="SimSun"/>
                <w:sz w:val="20"/>
                <w:szCs w:val="20"/>
                <w:spacing w:val="8"/>
              </w:rPr>
              <w:t>治</w:t>
            </w:r>
            <w:r>
              <w:rPr>
                <w:rFonts w:ascii="SimSun" w:hAnsi="SimSun" w:eastAsia="SimSun" w:cs="SimSun"/>
                <w:sz w:val="20"/>
                <w:szCs w:val="20"/>
                <w:spacing w:val="17"/>
              </w:rPr>
              <w:t xml:space="preserve"> </w:t>
            </w:r>
            <w:r>
              <w:rPr>
                <w:rFonts w:ascii="SimSun" w:hAnsi="SimSun" w:eastAsia="SimSun" w:cs="SimSun"/>
                <w:sz w:val="20"/>
                <w:szCs w:val="20"/>
                <w:spacing w:val="8"/>
              </w:rPr>
              <w:t>措</w:t>
            </w:r>
            <w:r>
              <w:rPr>
                <w:rFonts w:ascii="SimSun" w:hAnsi="SimSun" w:eastAsia="SimSun" w:cs="SimSun"/>
                <w:sz w:val="20"/>
                <w:szCs w:val="20"/>
                <w:spacing w:val="18"/>
              </w:rPr>
              <w:t xml:space="preserve"> </w:t>
            </w:r>
            <w:r>
              <w:rPr>
                <w:rFonts w:ascii="SimSun" w:hAnsi="SimSun" w:eastAsia="SimSun" w:cs="SimSun"/>
                <w:sz w:val="20"/>
                <w:szCs w:val="20"/>
                <w:spacing w:val="8"/>
              </w:rPr>
              <w:t>施</w:t>
            </w:r>
          </w:p>
        </w:tc>
        <w:tc>
          <w:tcPr>
            <w:tcW w:w="1643" w:type="dxa"/>
            <w:vAlign w:val="top"/>
          </w:tcPr>
          <w:p>
            <w:pPr>
              <w:ind w:left="417"/>
              <w:spacing w:before="60" w:line="228" w:lineRule="auto"/>
              <w:rPr>
                <w:rFonts w:ascii="SimSun" w:hAnsi="SimSun" w:eastAsia="SimSun" w:cs="SimSun"/>
                <w:sz w:val="20"/>
                <w:szCs w:val="20"/>
              </w:rPr>
            </w:pPr>
            <w:r>
              <w:rPr>
                <w:rFonts w:ascii="SimSun" w:hAnsi="SimSun" w:eastAsia="SimSun" w:cs="SimSun"/>
                <w:sz w:val="20"/>
                <w:szCs w:val="20"/>
                <w:spacing w:val="4"/>
              </w:rPr>
              <w:t>防控措施</w:t>
            </w:r>
          </w:p>
        </w:tc>
        <w:tc>
          <w:tcPr>
            <w:tcW w:w="6291" w:type="dxa"/>
            <w:vAlign w:val="top"/>
            <w:gridSpan w:val="3"/>
          </w:tcPr>
          <w:p>
            <w:pPr>
              <w:ind w:left="122"/>
              <w:spacing w:before="66" w:line="213" w:lineRule="auto"/>
              <w:rPr>
                <w:rFonts w:ascii="SimSun" w:hAnsi="SimSun" w:eastAsia="SimSun" w:cs="SimSun"/>
                <w:sz w:val="20"/>
                <w:szCs w:val="20"/>
              </w:rPr>
            </w:pPr>
            <w:r>
              <w:rPr>
                <w:rFonts w:ascii="SimSun" w:hAnsi="SimSun" w:eastAsia="SimSun" w:cs="SimSun"/>
                <w:sz w:val="20"/>
                <w:szCs w:val="20"/>
                <w:spacing w:val="6"/>
              </w:rPr>
              <w:t>土壤环境质量现状保障  ；源头控制</w:t>
            </w:r>
            <w:r>
              <w:rPr>
                <w:rFonts w:ascii="MS UI Gothic" w:hAnsi="MS UI Gothic" w:eastAsia="MS UI Gothic" w:cs="MS UI Gothic"/>
                <w:sz w:val="20"/>
                <w:szCs w:val="20"/>
                <w:spacing w:val="6"/>
              </w:rPr>
              <w:t>☑</w:t>
            </w:r>
            <w:r>
              <w:rPr>
                <w:rFonts w:ascii="SimSun" w:hAnsi="SimSun" w:eastAsia="SimSun" w:cs="SimSun"/>
                <w:sz w:val="20"/>
                <w:szCs w:val="20"/>
                <w:spacing w:val="6"/>
              </w:rPr>
              <w:t>；过程防控</w:t>
            </w:r>
            <w:r>
              <w:rPr>
                <w:rFonts w:ascii="Segoe UI Symbol" w:hAnsi="Segoe UI Symbol" w:eastAsia="Segoe UI Symbol" w:cs="Segoe UI Symbol"/>
                <w:sz w:val="20"/>
                <w:szCs w:val="20"/>
                <w:spacing w:val="6"/>
              </w:rPr>
              <w:t>☑</w:t>
            </w:r>
            <w:r>
              <w:rPr>
                <w:rFonts w:ascii="SimSun" w:hAnsi="SimSun" w:eastAsia="SimSun" w:cs="SimSun"/>
                <w:sz w:val="20"/>
                <w:szCs w:val="20"/>
                <w:spacing w:val="6"/>
              </w:rPr>
              <w:t>；其他 (  </w:t>
            </w:r>
            <w:r>
              <w:rPr>
                <w:rFonts w:ascii="SimSun" w:hAnsi="SimSun" w:eastAsia="SimSun" w:cs="SimSun"/>
                <w:sz w:val="20"/>
                <w:szCs w:val="20"/>
                <w:spacing w:val="5"/>
              </w:rPr>
              <w:t xml:space="preserve"> )</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restart"/>
            <w:tcBorders>
              <w:bottom w:val="nil"/>
            </w:tcBorders>
          </w:tcPr>
          <w:p>
            <w:pPr>
              <w:spacing w:line="324" w:lineRule="auto"/>
              <w:rPr>
                <w:rFonts w:ascii="Arial"/>
                <w:sz w:val="21"/>
              </w:rPr>
            </w:pPr>
            <w:r/>
          </w:p>
          <w:p>
            <w:pPr>
              <w:ind w:left="402"/>
              <w:spacing w:before="65" w:line="228" w:lineRule="auto"/>
              <w:rPr>
                <w:rFonts w:ascii="SimSun" w:hAnsi="SimSun" w:eastAsia="SimSun" w:cs="SimSun"/>
                <w:sz w:val="20"/>
                <w:szCs w:val="20"/>
              </w:rPr>
            </w:pPr>
            <w:r>
              <w:rPr>
                <w:rFonts w:ascii="SimSun" w:hAnsi="SimSun" w:eastAsia="SimSun" w:cs="SimSun"/>
                <w:sz w:val="20"/>
                <w:szCs w:val="20"/>
                <w:spacing w:val="7"/>
              </w:rPr>
              <w:t>跟踪监测</w:t>
            </w:r>
          </w:p>
        </w:tc>
        <w:tc>
          <w:tcPr>
            <w:tcW w:w="1144" w:type="dxa"/>
            <w:vAlign w:val="top"/>
          </w:tcPr>
          <w:p>
            <w:pPr>
              <w:ind w:left="158"/>
              <w:spacing w:before="59" w:line="228" w:lineRule="auto"/>
              <w:rPr>
                <w:rFonts w:ascii="SimSun" w:hAnsi="SimSun" w:eastAsia="SimSun" w:cs="SimSun"/>
                <w:sz w:val="20"/>
                <w:szCs w:val="20"/>
              </w:rPr>
            </w:pPr>
            <w:r>
              <w:rPr>
                <w:rFonts w:ascii="SimSun" w:hAnsi="SimSun" w:eastAsia="SimSun" w:cs="SimSun"/>
                <w:sz w:val="20"/>
                <w:szCs w:val="20"/>
                <w:spacing w:val="7"/>
              </w:rPr>
              <w:t>监测点数</w:t>
            </w:r>
          </w:p>
        </w:tc>
        <w:tc>
          <w:tcPr>
            <w:tcW w:w="2427" w:type="dxa"/>
            <w:vAlign w:val="top"/>
          </w:tcPr>
          <w:p>
            <w:pPr>
              <w:ind w:left="798"/>
              <w:spacing w:before="60" w:line="228" w:lineRule="auto"/>
              <w:rPr>
                <w:rFonts w:ascii="SimSun" w:hAnsi="SimSun" w:eastAsia="SimSun" w:cs="SimSun"/>
                <w:sz w:val="20"/>
                <w:szCs w:val="20"/>
              </w:rPr>
            </w:pPr>
            <w:r>
              <w:rPr>
                <w:rFonts w:ascii="SimSun" w:hAnsi="SimSun" w:eastAsia="SimSun" w:cs="SimSun"/>
                <w:sz w:val="20"/>
                <w:szCs w:val="20"/>
                <w:spacing w:val="7"/>
              </w:rPr>
              <w:t>监测指标</w:t>
            </w:r>
          </w:p>
        </w:tc>
        <w:tc>
          <w:tcPr>
            <w:tcW w:w="2720" w:type="dxa"/>
            <w:vAlign w:val="top"/>
          </w:tcPr>
          <w:p>
            <w:pPr>
              <w:ind w:left="948"/>
              <w:spacing w:before="59" w:line="228" w:lineRule="auto"/>
              <w:rPr>
                <w:rFonts w:ascii="SimSun" w:hAnsi="SimSun" w:eastAsia="SimSun" w:cs="SimSun"/>
                <w:sz w:val="20"/>
                <w:szCs w:val="20"/>
              </w:rPr>
            </w:pPr>
            <w:r>
              <w:rPr>
                <w:rFonts w:ascii="SimSun" w:hAnsi="SimSun" w:eastAsia="SimSun" w:cs="SimSun"/>
                <w:sz w:val="20"/>
                <w:szCs w:val="20"/>
                <w:spacing w:val="7"/>
              </w:rPr>
              <w:t>监测频次</w:t>
            </w:r>
          </w:p>
        </w:tc>
        <w:tc>
          <w:tcPr>
            <w:tcW w:w="739" w:type="dxa"/>
            <w:vAlign w:val="top"/>
            <w:vMerge w:val="restart"/>
            <w:tcBorders>
              <w:bottom w:val="nil"/>
            </w:tcBorders>
          </w:tcPr>
          <w:p>
            <w:pPr>
              <w:rPr>
                <w:rFonts w:ascii="Arial"/>
                <w:sz w:val="21"/>
              </w:rPr>
            </w:pPr>
            <w:r/>
          </w:p>
        </w:tc>
      </w:tr>
      <w:tr>
        <w:trPr>
          <w:trHeight w:val="657"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tcBorders>
          </w:tcPr>
          <w:p>
            <w:pPr>
              <w:rPr>
                <w:rFonts w:ascii="Arial"/>
                <w:sz w:val="21"/>
              </w:rPr>
            </w:pPr>
            <w:r/>
          </w:p>
        </w:tc>
        <w:tc>
          <w:tcPr>
            <w:tcW w:w="1144" w:type="dxa"/>
            <w:vAlign w:val="top"/>
          </w:tcPr>
          <w:p>
            <w:pPr>
              <w:pStyle w:val="TableText"/>
              <w:ind w:left="393"/>
              <w:spacing w:before="222" w:line="228" w:lineRule="auto"/>
              <w:rPr>
                <w:rFonts w:ascii="SimSun" w:hAnsi="SimSun" w:eastAsia="SimSun" w:cs="SimSun"/>
              </w:rPr>
            </w:pPr>
            <w:r>
              <w:rPr>
                <w:spacing w:val="-2"/>
              </w:rPr>
              <w:t>3</w:t>
            </w:r>
            <w:r>
              <w:rPr>
                <w:spacing w:val="9"/>
              </w:rPr>
              <w:t xml:space="preserve"> </w:t>
            </w:r>
            <w:r>
              <w:rPr>
                <w:rFonts w:ascii="SimSun" w:hAnsi="SimSun" w:eastAsia="SimSun" w:cs="SimSun"/>
                <w:spacing w:val="-2"/>
              </w:rPr>
              <w:t>个</w:t>
            </w:r>
          </w:p>
        </w:tc>
        <w:tc>
          <w:tcPr>
            <w:tcW w:w="2427" w:type="dxa"/>
            <w:vAlign w:val="top"/>
          </w:tcPr>
          <w:p>
            <w:pPr>
              <w:pStyle w:val="TableText"/>
              <w:ind w:left="62" w:hanging="61"/>
              <w:spacing w:before="59" w:line="271" w:lineRule="auto"/>
              <w:rPr>
                <w:rFonts w:ascii="SimSun" w:hAnsi="SimSun" w:eastAsia="SimSun" w:cs="SimSun"/>
              </w:rPr>
            </w:pPr>
            <w:r>
              <w:rPr>
                <w:spacing w:val="-4"/>
              </w:rPr>
              <w:t>pH</w:t>
            </w:r>
            <w:r>
              <w:rPr>
                <w:spacing w:val="-24"/>
              </w:rPr>
              <w:t xml:space="preserve"> </w:t>
            </w:r>
            <w:r>
              <w:rPr>
                <w:rFonts w:ascii="SimSun" w:hAnsi="SimSun" w:eastAsia="SimSun" w:cs="SimSun"/>
                <w:spacing w:val="-4"/>
              </w:rPr>
              <w:t>、镉、汞、砷、铅、铜、</w:t>
            </w:r>
            <w:r>
              <w:rPr>
                <w:rFonts w:ascii="SimSun" w:hAnsi="SimSun" w:eastAsia="SimSun" w:cs="SimSun"/>
                <w:spacing w:val="3"/>
              </w:rPr>
              <w:t>铬（六价）、镍、石油烃</w:t>
            </w:r>
          </w:p>
        </w:tc>
        <w:tc>
          <w:tcPr>
            <w:tcW w:w="2720" w:type="dxa"/>
            <w:vAlign w:val="top"/>
          </w:tcPr>
          <w:p>
            <w:pPr>
              <w:pStyle w:val="TableText"/>
              <w:ind w:left="988"/>
              <w:spacing w:before="222" w:line="228" w:lineRule="auto"/>
              <w:rPr>
                <w:rFonts w:ascii="SimSun" w:hAnsi="SimSun" w:eastAsia="SimSun" w:cs="SimSun"/>
              </w:rPr>
            </w:pPr>
            <w:r>
              <w:rPr>
                <w:spacing w:val="-4"/>
              </w:rPr>
              <w:t>1</w:t>
            </w:r>
            <w:r>
              <w:rPr>
                <w:spacing w:val="18"/>
              </w:rPr>
              <w:t xml:space="preserve"> </w:t>
            </w:r>
            <w:r>
              <w:rPr>
                <w:rFonts w:ascii="SimSun" w:hAnsi="SimSun" w:eastAsia="SimSun" w:cs="SimSun"/>
                <w:spacing w:val="-4"/>
              </w:rPr>
              <w:t>次</w:t>
            </w:r>
            <w:r>
              <w:rPr>
                <w:spacing w:val="-4"/>
              </w:rPr>
              <w:t>/5</w:t>
            </w:r>
            <w:r>
              <w:rPr>
                <w:spacing w:val="13"/>
              </w:rPr>
              <w:t xml:space="preserve"> </w:t>
            </w:r>
            <w:r>
              <w:rPr>
                <w:rFonts w:ascii="SimSun" w:hAnsi="SimSun" w:eastAsia="SimSun" w:cs="SimSun"/>
                <w:spacing w:val="-4"/>
              </w:rPr>
              <w:t>年</w:t>
            </w:r>
          </w:p>
        </w:tc>
        <w:tc>
          <w:tcPr>
            <w:tcW w:w="739" w:type="dxa"/>
            <w:vAlign w:val="top"/>
            <w:vMerge w:val="continue"/>
            <w:tcBorders>
              <w:top w:val="nil"/>
              <w:bottom w:val="nil"/>
            </w:tcBorders>
          </w:tcPr>
          <w:p>
            <w:pPr>
              <w:rPr>
                <w:rFonts w:ascii="Arial"/>
                <w:sz w:val="21"/>
              </w:rPr>
            </w:pPr>
            <w:r/>
          </w:p>
        </w:tc>
      </w:tr>
      <w:tr>
        <w:trPr>
          <w:trHeight w:val="331"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195"/>
              <w:spacing w:before="60" w:line="228" w:lineRule="auto"/>
              <w:rPr>
                <w:rFonts w:ascii="SimSun" w:hAnsi="SimSun" w:eastAsia="SimSun" w:cs="SimSun"/>
                <w:sz w:val="20"/>
                <w:szCs w:val="20"/>
              </w:rPr>
            </w:pPr>
            <w:r>
              <w:rPr>
                <w:rFonts w:ascii="SimSun" w:hAnsi="SimSun" w:eastAsia="SimSun" w:cs="SimSun"/>
                <w:sz w:val="20"/>
                <w:szCs w:val="20"/>
                <w:spacing w:val="8"/>
              </w:rPr>
              <w:t>信息公开指标</w:t>
            </w:r>
          </w:p>
        </w:tc>
        <w:tc>
          <w:tcPr>
            <w:tcW w:w="6291" w:type="dxa"/>
            <w:vAlign w:val="top"/>
            <w:gridSpan w:val="3"/>
          </w:tcPr>
          <w:p>
            <w:pPr>
              <w:ind w:left="946"/>
              <w:spacing w:before="60" w:line="227" w:lineRule="auto"/>
              <w:rPr>
                <w:rFonts w:ascii="SimSun" w:hAnsi="SimSun" w:eastAsia="SimSun" w:cs="SimSun"/>
                <w:sz w:val="20"/>
                <w:szCs w:val="20"/>
              </w:rPr>
            </w:pPr>
            <w:r>
              <w:rPr>
                <w:rFonts w:ascii="SimSun" w:hAnsi="SimSun" w:eastAsia="SimSun" w:cs="SimSun"/>
                <w:sz w:val="20"/>
                <w:szCs w:val="20"/>
                <w:spacing w:val="9"/>
              </w:rPr>
              <w:t>土壤跟踪监测数据通过公司网站的方式对外公示</w:t>
            </w:r>
          </w:p>
        </w:tc>
        <w:tc>
          <w:tcPr>
            <w:tcW w:w="739" w:type="dxa"/>
            <w:vAlign w:val="top"/>
            <w:vMerge w:val="continue"/>
            <w:tcBorders>
              <w:top w:val="nil"/>
            </w:tcBorders>
          </w:tcPr>
          <w:p>
            <w:pPr>
              <w:rPr>
                <w:rFonts w:ascii="Arial"/>
                <w:sz w:val="21"/>
              </w:rPr>
            </w:pPr>
            <w:r/>
          </w:p>
        </w:tc>
      </w:tr>
      <w:tr>
        <w:trPr>
          <w:trHeight w:val="981" w:hRule="atLeast"/>
        </w:trPr>
        <w:tc>
          <w:tcPr>
            <w:tcW w:w="2053" w:type="dxa"/>
            <w:vAlign w:val="top"/>
            <w:gridSpan w:val="2"/>
          </w:tcPr>
          <w:p>
            <w:pPr>
              <w:spacing w:line="320" w:lineRule="auto"/>
              <w:rPr>
                <w:rFonts w:ascii="Arial"/>
                <w:sz w:val="21"/>
              </w:rPr>
            </w:pPr>
            <w:r/>
          </w:p>
          <w:p>
            <w:pPr>
              <w:ind w:left="609"/>
              <w:spacing w:before="65" w:line="226" w:lineRule="auto"/>
              <w:rPr>
                <w:rFonts w:ascii="SimSun" w:hAnsi="SimSun" w:eastAsia="SimSun" w:cs="SimSun"/>
                <w:sz w:val="20"/>
                <w:szCs w:val="20"/>
              </w:rPr>
            </w:pPr>
            <w:r>
              <w:rPr>
                <w:rFonts w:ascii="SimSun" w:hAnsi="SimSun" w:eastAsia="SimSun" w:cs="SimSun"/>
                <w:sz w:val="20"/>
                <w:szCs w:val="20"/>
                <w:spacing w:val="7"/>
              </w:rPr>
              <w:t>评价结论</w:t>
            </w:r>
          </w:p>
        </w:tc>
        <w:tc>
          <w:tcPr>
            <w:tcW w:w="6291" w:type="dxa"/>
            <w:vAlign w:val="top"/>
            <w:gridSpan w:val="3"/>
          </w:tcPr>
          <w:p>
            <w:pPr>
              <w:ind w:right="1"/>
              <w:spacing w:before="60" w:line="224" w:lineRule="auto"/>
              <w:jc w:val="right"/>
              <w:rPr>
                <w:rFonts w:ascii="SimSun" w:hAnsi="SimSun" w:eastAsia="SimSun" w:cs="SimSun"/>
                <w:sz w:val="20"/>
                <w:szCs w:val="20"/>
              </w:rPr>
            </w:pPr>
            <w:r>
              <w:rPr>
                <w:rFonts w:ascii="SimSun" w:hAnsi="SimSun" w:eastAsia="SimSun" w:cs="SimSun"/>
                <w:sz w:val="20"/>
                <w:szCs w:val="20"/>
                <w:spacing w:val="9"/>
              </w:rPr>
              <w:t>本项目实施后只要严格执行本次环评提出的各项治理措施，做到达标</w:t>
            </w:r>
          </w:p>
          <w:p>
            <w:pPr>
              <w:ind w:right="1"/>
              <w:spacing w:before="83" w:line="224" w:lineRule="auto"/>
              <w:jc w:val="right"/>
              <w:rPr>
                <w:rFonts w:ascii="SimSun" w:hAnsi="SimSun" w:eastAsia="SimSun" w:cs="SimSun"/>
                <w:sz w:val="20"/>
                <w:szCs w:val="20"/>
              </w:rPr>
            </w:pPr>
            <w:r>
              <w:rPr>
                <w:rFonts w:ascii="SimSun" w:hAnsi="SimSun" w:eastAsia="SimSun" w:cs="SimSun"/>
                <w:sz w:val="20"/>
                <w:szCs w:val="20"/>
                <w:spacing w:val="9"/>
              </w:rPr>
              <w:t>排放，造成区域土壤累积影响的可能性较小，不会影响土地的使用功</w:t>
            </w:r>
          </w:p>
          <w:p>
            <w:pPr>
              <w:ind w:left="2004"/>
              <w:spacing w:before="83" w:line="228" w:lineRule="auto"/>
              <w:rPr>
                <w:rFonts w:ascii="SimSun" w:hAnsi="SimSun" w:eastAsia="SimSun" w:cs="SimSun"/>
                <w:sz w:val="20"/>
                <w:szCs w:val="20"/>
              </w:rPr>
            </w:pPr>
            <w:r>
              <w:rPr>
                <w:rFonts w:ascii="SimSun" w:hAnsi="SimSun" w:eastAsia="SimSun" w:cs="SimSun"/>
                <w:sz w:val="20"/>
                <w:szCs w:val="20"/>
                <w:spacing w:val="7"/>
              </w:rPr>
              <w:t>能，土壤环境可以承受。</w:t>
            </w:r>
          </w:p>
        </w:tc>
        <w:tc>
          <w:tcPr>
            <w:tcW w:w="739" w:type="dxa"/>
            <w:vAlign w:val="top"/>
          </w:tcPr>
          <w:p>
            <w:pPr>
              <w:rPr>
                <w:rFonts w:ascii="Arial"/>
                <w:sz w:val="21"/>
              </w:rPr>
            </w:pPr>
            <w:r/>
          </w:p>
        </w:tc>
      </w:tr>
      <w:tr>
        <w:trPr>
          <w:trHeight w:val="662" w:hRule="atLeast"/>
        </w:trPr>
        <w:tc>
          <w:tcPr>
            <w:tcW w:w="9083" w:type="dxa"/>
            <w:vAlign w:val="top"/>
            <w:gridSpan w:val="6"/>
          </w:tcPr>
          <w:p>
            <w:pPr>
              <w:pStyle w:val="TableText"/>
              <w:ind w:left="10"/>
              <w:spacing w:before="25" w:line="281" w:lineRule="exact"/>
              <w:rPr>
                <w:rFonts w:ascii="SimSun" w:hAnsi="SimSun" w:eastAsia="SimSun" w:cs="SimSun"/>
              </w:rPr>
            </w:pPr>
            <w:r>
              <w:rPr>
                <w:rFonts w:ascii="SimSun" w:hAnsi="SimSun" w:eastAsia="SimSun" w:cs="SimSun"/>
                <w:spacing w:val="2"/>
              </w:rPr>
              <w:t>注</w:t>
            </w:r>
            <w:r>
              <w:rPr>
                <w:rFonts w:ascii="SimSun" w:hAnsi="SimSun" w:eastAsia="SimSun" w:cs="SimSun"/>
                <w:spacing w:val="32"/>
              </w:rPr>
              <w:t xml:space="preserve"> </w:t>
            </w:r>
            <w:r>
              <w:rPr>
                <w:spacing w:val="2"/>
              </w:rPr>
              <w:t>1</w:t>
            </w:r>
            <w:r>
              <w:rPr>
                <w:spacing w:val="-25"/>
              </w:rPr>
              <w:t xml:space="preserve"> </w:t>
            </w:r>
            <w:r>
              <w:rPr>
                <w:rFonts w:ascii="SimSun" w:hAnsi="SimSun" w:eastAsia="SimSun" w:cs="SimSun"/>
                <w:spacing w:val="2"/>
              </w:rPr>
              <w:t>：</w:t>
            </w:r>
            <w:r>
              <w:rPr>
                <w:spacing w:val="2"/>
              </w:rPr>
              <w:t>“</w:t>
            </w:r>
            <w:r>
              <w:rPr>
                <w:spacing w:val="-34"/>
              </w:rPr>
              <w:t xml:space="preserve"> </w:t>
            </w:r>
            <w:r>
              <w:rPr>
                <w:spacing w:val="2"/>
              </w:rPr>
              <w:t>□”</w:t>
            </w:r>
            <w:r>
              <w:rPr>
                <w:rFonts w:ascii="SimSun" w:hAnsi="SimSun" w:eastAsia="SimSun" w:cs="SimSun"/>
                <w:spacing w:val="2"/>
              </w:rPr>
              <w:t>为勾选项，可</w:t>
            </w:r>
            <w:r>
              <w:rPr>
                <w:spacing w:val="2"/>
              </w:rPr>
              <w:t>√</w:t>
            </w:r>
            <w:r>
              <w:rPr>
                <w:spacing w:val="-23"/>
              </w:rPr>
              <w:t xml:space="preserve"> </w:t>
            </w:r>
            <w:r>
              <w:rPr>
                <w:rFonts w:ascii="SimSun" w:hAnsi="SimSun" w:eastAsia="SimSun" w:cs="SimSun"/>
                <w:spacing w:val="2"/>
              </w:rPr>
              <w:t>;</w:t>
            </w:r>
            <w:r>
              <w:rPr>
                <w:rFonts w:ascii="SimSun" w:hAnsi="SimSun" w:eastAsia="SimSun" w:cs="SimSun"/>
                <w:spacing w:val="57"/>
              </w:rPr>
              <w:t xml:space="preserve"> </w:t>
            </w:r>
            <w:r>
              <w:rPr>
                <w:spacing w:val="2"/>
              </w:rPr>
              <w:t>“  </w:t>
            </w:r>
            <w:r>
              <w:rPr>
                <w:rFonts w:ascii="SimSun" w:hAnsi="SimSun" w:eastAsia="SimSun" w:cs="SimSun"/>
                <w:spacing w:val="2"/>
              </w:rPr>
              <w:t>(</w:t>
            </w:r>
            <w:r>
              <w:rPr>
                <w:rFonts w:ascii="SimSun" w:hAnsi="SimSun" w:eastAsia="SimSun" w:cs="SimSun"/>
                <w:spacing w:val="66"/>
              </w:rPr>
              <w:t xml:space="preserve"> </w:t>
            </w:r>
            <w:r>
              <w:rPr>
                <w:rFonts w:ascii="SimSun" w:hAnsi="SimSun" w:eastAsia="SimSun" w:cs="SimSun"/>
                <w:spacing w:val="2"/>
              </w:rPr>
              <w:t>)</w:t>
            </w:r>
            <w:r>
              <w:rPr>
                <w:rFonts w:ascii="SimSun" w:hAnsi="SimSun" w:eastAsia="SimSun" w:cs="SimSun"/>
                <w:spacing w:val="27"/>
              </w:rPr>
              <w:t xml:space="preserve"> </w:t>
            </w:r>
            <w:r>
              <w:rPr>
                <w:spacing w:val="2"/>
              </w:rPr>
              <w:t>”</w:t>
            </w:r>
            <w:r>
              <w:rPr>
                <w:rFonts w:ascii="SimSun" w:hAnsi="SimSun" w:eastAsia="SimSun" w:cs="SimSun"/>
                <w:spacing w:val="2"/>
              </w:rPr>
              <w:t>为内容</w:t>
            </w:r>
            <w:r>
              <w:rPr>
                <w:rFonts w:ascii="SimSun" w:hAnsi="SimSun" w:eastAsia="SimSun" w:cs="SimSun"/>
                <w:spacing w:val="1"/>
              </w:rPr>
              <w:t>填写项；</w:t>
            </w:r>
            <w:r>
              <w:rPr>
                <w:spacing w:val="1"/>
              </w:rPr>
              <w:t>“</w:t>
            </w:r>
            <w:r>
              <w:rPr>
                <w:rFonts w:ascii="SimSun" w:hAnsi="SimSun" w:eastAsia="SimSun" w:cs="SimSun"/>
                <w:spacing w:val="1"/>
              </w:rPr>
              <w:t>备注</w:t>
            </w:r>
            <w:r>
              <w:rPr>
                <w:spacing w:val="1"/>
              </w:rPr>
              <w:t>”</w:t>
            </w:r>
            <w:r>
              <w:rPr>
                <w:rFonts w:ascii="SimSun" w:hAnsi="SimSun" w:eastAsia="SimSun" w:cs="SimSun"/>
                <w:spacing w:val="1"/>
              </w:rPr>
              <w:t>为其他补充内容。</w:t>
            </w:r>
          </w:p>
          <w:p>
            <w:pPr>
              <w:pStyle w:val="TableText"/>
              <w:ind w:left="10"/>
              <w:spacing w:before="82" w:line="225" w:lineRule="auto"/>
              <w:rPr>
                <w:rFonts w:ascii="SimSun" w:hAnsi="SimSun" w:eastAsia="SimSun" w:cs="SimSun"/>
              </w:rPr>
            </w:pPr>
            <w:r>
              <w:rPr>
                <w:rFonts w:ascii="SimSun" w:hAnsi="SimSun" w:eastAsia="SimSun" w:cs="SimSun"/>
                <w:spacing w:val="8"/>
              </w:rPr>
              <w:t>注 </w:t>
            </w:r>
            <w:r>
              <w:rPr>
                <w:spacing w:val="8"/>
              </w:rPr>
              <w:t>2</w:t>
            </w:r>
            <w:r>
              <w:rPr>
                <w:spacing w:val="-22"/>
              </w:rPr>
              <w:t xml:space="preserve"> </w:t>
            </w:r>
            <w:r>
              <w:rPr>
                <w:rFonts w:ascii="SimSun" w:hAnsi="SimSun" w:eastAsia="SimSun" w:cs="SimSun"/>
                <w:spacing w:val="8"/>
              </w:rPr>
              <w:t>：需要分别开展土壤环境影响评级工作的，分别填写自查表。</w:t>
            </w:r>
          </w:p>
        </w:tc>
      </w:tr>
    </w:tbl>
    <w:p>
      <w:pPr>
        <w:ind w:left="2687"/>
        <w:spacing w:before="43" w:line="218" w:lineRule="auto"/>
        <w:rPr>
          <w:rFonts w:ascii="SimSun" w:hAnsi="SimSun" w:eastAsia="SimSun" w:cs="SimSun"/>
          <w:sz w:val="24"/>
          <w:szCs w:val="24"/>
        </w:rPr>
      </w:pPr>
      <w:r>
        <w:rPr>
          <w:rFonts w:ascii="SimSun" w:hAnsi="SimSun" w:eastAsia="SimSun" w:cs="SimSun"/>
          <w:sz w:val="24"/>
          <w:szCs w:val="24"/>
          <w:b/>
          <w:bCs/>
          <w:spacing w:val="-3"/>
        </w:rPr>
        <w:t>生态影响型土壤环境影响评价自查表</w:t>
      </w:r>
    </w:p>
    <w:p>
      <w:pPr>
        <w:ind w:left="14"/>
        <w:spacing w:before="57" w:line="229"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5-7-7</w:t>
      </w:r>
    </w:p>
    <w:p>
      <w:pPr>
        <w:spacing w:line="20" w:lineRule="exact"/>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0"/>
        <w:gridCol w:w="1643"/>
        <w:gridCol w:w="6291"/>
        <w:gridCol w:w="739"/>
      </w:tblGrid>
      <w:tr>
        <w:trPr>
          <w:trHeight w:val="335" w:hRule="atLeast"/>
        </w:trPr>
        <w:tc>
          <w:tcPr>
            <w:tcW w:w="2053" w:type="dxa"/>
            <w:vAlign w:val="top"/>
            <w:gridSpan w:val="2"/>
          </w:tcPr>
          <w:p>
            <w:pPr>
              <w:ind w:left="612"/>
              <w:spacing w:before="62" w:line="228" w:lineRule="auto"/>
              <w:rPr>
                <w:rFonts w:ascii="SimSun" w:hAnsi="SimSun" w:eastAsia="SimSun" w:cs="SimSun"/>
                <w:sz w:val="20"/>
                <w:szCs w:val="20"/>
              </w:rPr>
            </w:pPr>
            <w:r>
              <w:rPr>
                <w:rFonts w:ascii="SimSun" w:hAnsi="SimSun" w:eastAsia="SimSun" w:cs="SimSun"/>
                <w:sz w:val="20"/>
                <w:szCs w:val="20"/>
                <w:b/>
                <w:bCs/>
                <w:spacing w:val="5"/>
              </w:rPr>
              <w:t>工作内容</w:t>
            </w:r>
          </w:p>
        </w:tc>
        <w:tc>
          <w:tcPr>
            <w:tcW w:w="6291" w:type="dxa"/>
            <w:vAlign w:val="top"/>
          </w:tcPr>
          <w:p>
            <w:pPr>
              <w:ind w:left="2732"/>
              <w:spacing w:before="62" w:line="228" w:lineRule="auto"/>
              <w:rPr>
                <w:rFonts w:ascii="SimSun" w:hAnsi="SimSun" w:eastAsia="SimSun" w:cs="SimSun"/>
                <w:sz w:val="20"/>
                <w:szCs w:val="20"/>
              </w:rPr>
            </w:pPr>
            <w:r>
              <w:rPr>
                <w:rFonts w:ascii="SimSun" w:hAnsi="SimSun" w:eastAsia="SimSun" w:cs="SimSun"/>
                <w:sz w:val="20"/>
                <w:szCs w:val="20"/>
                <w:b/>
                <w:bCs/>
                <w:spacing w:val="6"/>
              </w:rPr>
              <w:t>完成情况</w:t>
            </w:r>
          </w:p>
        </w:tc>
        <w:tc>
          <w:tcPr>
            <w:tcW w:w="739" w:type="dxa"/>
            <w:vAlign w:val="top"/>
          </w:tcPr>
          <w:p>
            <w:pPr>
              <w:ind w:left="164"/>
              <w:spacing w:before="62" w:line="229" w:lineRule="auto"/>
              <w:rPr>
                <w:rFonts w:ascii="SimSun" w:hAnsi="SimSun" w:eastAsia="SimSun" w:cs="SimSun"/>
                <w:sz w:val="20"/>
                <w:szCs w:val="20"/>
              </w:rPr>
            </w:pPr>
            <w:r>
              <w:rPr>
                <w:rFonts w:ascii="SimSun" w:hAnsi="SimSun" w:eastAsia="SimSun" w:cs="SimSun"/>
                <w:sz w:val="20"/>
                <w:szCs w:val="20"/>
                <w:b/>
                <w:bCs/>
                <w:spacing w:val="2"/>
              </w:rPr>
              <w:t>备注</w:t>
            </w:r>
          </w:p>
        </w:tc>
      </w:tr>
      <w:tr>
        <w:trPr>
          <w:trHeight w:val="331" w:hRule="atLeast"/>
        </w:trPr>
        <w:tc>
          <w:tcPr>
            <w:tcW w:w="410" w:type="dxa"/>
            <w:vAlign w:val="top"/>
            <w:vMerge w:val="restart"/>
            <w:textDirection w:val="tbRlV"/>
            <w:tcBorders>
              <w:bottom w:val="nil"/>
            </w:tcBorders>
          </w:tcPr>
          <w:p>
            <w:pPr>
              <w:ind w:left="1076"/>
              <w:spacing w:before="98"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19"/>
              </w:rPr>
              <w:t xml:space="preserve"> </w:t>
            </w:r>
            <w:r>
              <w:rPr>
                <w:rFonts w:ascii="SimSun" w:hAnsi="SimSun" w:eastAsia="SimSun" w:cs="SimSun"/>
                <w:sz w:val="20"/>
                <w:szCs w:val="20"/>
                <w:spacing w:val="8"/>
              </w:rPr>
              <w:t>响</w:t>
            </w:r>
            <w:r>
              <w:rPr>
                <w:rFonts w:ascii="SimSun" w:hAnsi="SimSun" w:eastAsia="SimSun" w:cs="SimSun"/>
                <w:sz w:val="20"/>
                <w:szCs w:val="20"/>
                <w:spacing w:val="15"/>
              </w:rPr>
              <w:t xml:space="preserve"> </w:t>
            </w:r>
            <w:r>
              <w:rPr>
                <w:rFonts w:ascii="SimSun" w:hAnsi="SimSun" w:eastAsia="SimSun" w:cs="SimSun"/>
                <w:sz w:val="20"/>
                <w:szCs w:val="20"/>
                <w:spacing w:val="8"/>
              </w:rPr>
              <w:t>识</w:t>
            </w:r>
            <w:r>
              <w:rPr>
                <w:rFonts w:ascii="SimSun" w:hAnsi="SimSun" w:eastAsia="SimSun" w:cs="SimSun"/>
                <w:sz w:val="20"/>
                <w:szCs w:val="20"/>
                <w:spacing w:val="18"/>
              </w:rPr>
              <w:t xml:space="preserve"> </w:t>
            </w:r>
            <w:r>
              <w:rPr>
                <w:rFonts w:ascii="SimSun" w:hAnsi="SimSun" w:eastAsia="SimSun" w:cs="SimSun"/>
                <w:sz w:val="20"/>
                <w:szCs w:val="20"/>
                <w:spacing w:val="8"/>
              </w:rPr>
              <w:t>别</w:t>
            </w:r>
          </w:p>
        </w:tc>
        <w:tc>
          <w:tcPr>
            <w:tcW w:w="1643" w:type="dxa"/>
            <w:vAlign w:val="top"/>
          </w:tcPr>
          <w:p>
            <w:pPr>
              <w:ind w:left="404"/>
              <w:spacing w:before="58" w:line="228" w:lineRule="auto"/>
              <w:rPr>
                <w:rFonts w:ascii="SimSun" w:hAnsi="SimSun" w:eastAsia="SimSun" w:cs="SimSun"/>
                <w:sz w:val="20"/>
                <w:szCs w:val="20"/>
              </w:rPr>
            </w:pPr>
            <w:r>
              <w:rPr>
                <w:rFonts w:ascii="SimSun" w:hAnsi="SimSun" w:eastAsia="SimSun" w:cs="SimSun"/>
                <w:sz w:val="20"/>
                <w:szCs w:val="20"/>
                <w:spacing w:val="7"/>
              </w:rPr>
              <w:t>影响类型</w:t>
            </w:r>
          </w:p>
        </w:tc>
        <w:tc>
          <w:tcPr>
            <w:tcW w:w="6291" w:type="dxa"/>
            <w:vAlign w:val="top"/>
          </w:tcPr>
          <w:p>
            <w:pPr>
              <w:pStyle w:val="TableText"/>
              <w:ind w:left="1199"/>
              <w:spacing w:before="58" w:line="228" w:lineRule="auto"/>
              <w:rPr>
                <w:rFonts w:ascii="SimSun" w:hAnsi="SimSun" w:eastAsia="SimSun" w:cs="SimSun"/>
              </w:rPr>
            </w:pPr>
            <w:r>
              <w:rPr>
                <w:rFonts w:ascii="SimSun" w:hAnsi="SimSun" w:eastAsia="SimSun" w:cs="SimSun"/>
                <w:spacing w:val="7"/>
              </w:rPr>
              <w:t>污染影响型</w:t>
            </w:r>
            <w:r>
              <w:rPr>
                <w:spacing w:val="7"/>
              </w:rPr>
              <w:t>□</w:t>
            </w:r>
            <w:r>
              <w:rPr>
                <w:spacing w:val="-12"/>
              </w:rPr>
              <w:t xml:space="preserve"> </w:t>
            </w:r>
            <w:r>
              <w:rPr>
                <w:rFonts w:ascii="SimSun" w:hAnsi="SimSun" w:eastAsia="SimSun" w:cs="SimSun"/>
                <w:spacing w:val="7"/>
              </w:rPr>
              <w:t>；生态影响型</w:t>
            </w:r>
            <w:r>
              <w:rPr>
                <w:rFonts w:ascii="MS UI Gothic" w:hAnsi="MS UI Gothic" w:eastAsia="MS UI Gothic" w:cs="MS UI Gothic"/>
                <w:spacing w:val="7"/>
              </w:rPr>
              <w:t>☑</w:t>
            </w:r>
            <w:r>
              <w:rPr>
                <w:rFonts w:ascii="SimSun" w:hAnsi="SimSun" w:eastAsia="SimSun" w:cs="SimSun"/>
                <w:spacing w:val="7"/>
              </w:rPr>
              <w:t>；两种兼有</w:t>
            </w:r>
          </w:p>
        </w:tc>
        <w:tc>
          <w:tcPr>
            <w:tcW w:w="739" w:type="dxa"/>
            <w:vAlign w:val="top"/>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6"/>
              <w:spacing w:before="58" w:line="228" w:lineRule="auto"/>
              <w:rPr>
                <w:rFonts w:ascii="SimSun" w:hAnsi="SimSun" w:eastAsia="SimSun" w:cs="SimSun"/>
                <w:sz w:val="20"/>
                <w:szCs w:val="20"/>
              </w:rPr>
            </w:pPr>
            <w:r>
              <w:rPr>
                <w:rFonts w:ascii="SimSun" w:hAnsi="SimSun" w:eastAsia="SimSun" w:cs="SimSun"/>
                <w:sz w:val="20"/>
                <w:szCs w:val="20"/>
                <w:spacing w:val="8"/>
              </w:rPr>
              <w:t>土地利用类型</w:t>
            </w:r>
          </w:p>
        </w:tc>
        <w:tc>
          <w:tcPr>
            <w:tcW w:w="6291" w:type="dxa"/>
            <w:vAlign w:val="top"/>
          </w:tcPr>
          <w:p>
            <w:pPr>
              <w:pStyle w:val="TableText"/>
              <w:ind w:left="1545"/>
              <w:spacing w:before="63" w:line="216" w:lineRule="auto"/>
              <w:rPr/>
            </w:pPr>
            <w:r>
              <w:rPr>
                <w:rFonts w:ascii="SimSun" w:hAnsi="SimSun" w:eastAsia="SimSun" w:cs="SimSun"/>
                <w:spacing w:val="8"/>
              </w:rPr>
              <w:t>建设用地</w:t>
            </w:r>
            <w:r>
              <w:rPr>
                <w:rFonts w:ascii="Segoe UI Symbol" w:hAnsi="Segoe UI Symbol" w:eastAsia="Segoe UI Symbol" w:cs="Segoe UI Symbol"/>
                <w:spacing w:val="8"/>
              </w:rPr>
              <w:t>☑</w:t>
            </w:r>
            <w:r>
              <w:rPr>
                <w:rFonts w:ascii="SimSun" w:hAnsi="SimSun" w:eastAsia="SimSun" w:cs="SimSun"/>
                <w:spacing w:val="8"/>
              </w:rPr>
              <w:t>；农用地</w:t>
            </w:r>
            <w:r>
              <w:rPr>
                <w:rFonts w:ascii="Segoe UI Symbol" w:hAnsi="Segoe UI Symbol" w:eastAsia="Segoe UI Symbol" w:cs="Segoe UI Symbol"/>
                <w:spacing w:val="8"/>
              </w:rPr>
              <w:t>☑</w:t>
            </w:r>
            <w:r>
              <w:rPr>
                <w:rFonts w:ascii="SimSun" w:hAnsi="SimSun" w:eastAsia="SimSun" w:cs="SimSun"/>
                <w:spacing w:val="8"/>
              </w:rPr>
              <w:t>；未利用地</w:t>
            </w:r>
            <w:r>
              <w:rPr>
                <w:spacing w:val="8"/>
              </w:rPr>
              <w:t>□</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38"/>
              <w:spacing w:before="59" w:line="228" w:lineRule="auto"/>
              <w:rPr>
                <w:rFonts w:ascii="SimSun" w:hAnsi="SimSun" w:eastAsia="SimSun" w:cs="SimSun"/>
                <w:sz w:val="20"/>
                <w:szCs w:val="20"/>
              </w:rPr>
            </w:pPr>
            <w:r>
              <w:rPr>
                <w:rFonts w:ascii="SimSun" w:hAnsi="SimSun" w:eastAsia="SimSun" w:cs="SimSun"/>
                <w:sz w:val="20"/>
                <w:szCs w:val="20"/>
                <w:spacing w:val="-2"/>
              </w:rPr>
              <w:t>占地规模</w:t>
            </w:r>
          </w:p>
        </w:tc>
        <w:tc>
          <w:tcPr>
            <w:tcW w:w="6291" w:type="dxa"/>
            <w:vAlign w:val="top"/>
          </w:tcPr>
          <w:p>
            <w:pPr>
              <w:pStyle w:val="TableText"/>
              <w:ind w:left="2300"/>
              <w:spacing w:before="59" w:line="228" w:lineRule="auto"/>
              <w:rPr>
                <w:sz w:val="13"/>
                <w:szCs w:val="13"/>
              </w:rPr>
            </w:pPr>
            <w:r>
              <w:rPr>
                <w:rFonts w:ascii="SimSun" w:hAnsi="SimSun" w:eastAsia="SimSun" w:cs="SimSun"/>
                <w:spacing w:val="4"/>
              </w:rPr>
              <w:t>矿田面积</w:t>
            </w:r>
            <w:r>
              <w:rPr>
                <w:rFonts w:ascii="SimSun" w:hAnsi="SimSun" w:eastAsia="SimSun" w:cs="SimSun"/>
                <w:spacing w:val="-19"/>
              </w:rPr>
              <w:t xml:space="preserve"> </w:t>
            </w:r>
            <w:r>
              <w:rPr>
                <w:spacing w:val="4"/>
              </w:rPr>
              <w:t>12.35</w:t>
            </w:r>
            <w:r>
              <w:rPr/>
              <w:t>km</w:t>
            </w:r>
            <w:r>
              <w:rPr>
                <w:sz w:val="13"/>
                <w:szCs w:val="13"/>
                <w:spacing w:val="4"/>
                <w:position w:val="6"/>
              </w:rPr>
              <w:t>2</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6"/>
              <w:spacing w:before="59" w:line="228" w:lineRule="auto"/>
              <w:rPr>
                <w:rFonts w:ascii="SimSun" w:hAnsi="SimSun" w:eastAsia="SimSun" w:cs="SimSun"/>
                <w:sz w:val="20"/>
                <w:szCs w:val="20"/>
              </w:rPr>
            </w:pPr>
            <w:r>
              <w:rPr>
                <w:rFonts w:ascii="SimSun" w:hAnsi="SimSun" w:eastAsia="SimSun" w:cs="SimSun"/>
                <w:sz w:val="20"/>
                <w:szCs w:val="20"/>
                <w:spacing w:val="8"/>
              </w:rPr>
              <w:t>敏感目标信息</w:t>
            </w:r>
          </w:p>
        </w:tc>
        <w:tc>
          <w:tcPr>
            <w:tcW w:w="6291" w:type="dxa"/>
            <w:vAlign w:val="top"/>
          </w:tcPr>
          <w:p>
            <w:pPr>
              <w:ind w:left="3258"/>
              <w:spacing w:before="60" w:line="228" w:lineRule="auto"/>
              <w:rPr>
                <w:rFonts w:ascii="SimSun" w:hAnsi="SimSun" w:eastAsia="SimSun" w:cs="SimSun"/>
                <w:sz w:val="20"/>
                <w:szCs w:val="20"/>
              </w:rPr>
            </w:pPr>
            <w:r>
              <w:rPr>
                <w:rFonts w:ascii="SimSun" w:hAnsi="SimSun" w:eastAsia="SimSun" w:cs="SimSun"/>
                <w:sz w:val="20"/>
                <w:szCs w:val="20"/>
              </w:rPr>
              <w:t>无</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4"/>
              <w:spacing w:before="59" w:line="228" w:lineRule="auto"/>
              <w:rPr>
                <w:rFonts w:ascii="SimSun" w:hAnsi="SimSun" w:eastAsia="SimSun" w:cs="SimSun"/>
                <w:sz w:val="20"/>
                <w:szCs w:val="20"/>
              </w:rPr>
            </w:pPr>
            <w:r>
              <w:rPr>
                <w:rFonts w:ascii="SimSun" w:hAnsi="SimSun" w:eastAsia="SimSun" w:cs="SimSun"/>
                <w:sz w:val="20"/>
                <w:szCs w:val="20"/>
                <w:spacing w:val="7"/>
              </w:rPr>
              <w:t>影响途径</w:t>
            </w:r>
          </w:p>
        </w:tc>
        <w:tc>
          <w:tcPr>
            <w:tcW w:w="6291" w:type="dxa"/>
            <w:vAlign w:val="top"/>
          </w:tcPr>
          <w:p>
            <w:pPr>
              <w:ind w:left="11"/>
              <w:spacing w:before="60" w:line="225" w:lineRule="auto"/>
              <w:rPr>
                <w:rFonts w:ascii="SimSun" w:hAnsi="SimSun" w:eastAsia="SimSun" w:cs="SimSun"/>
                <w:sz w:val="20"/>
                <w:szCs w:val="20"/>
              </w:rPr>
            </w:pPr>
            <w:r>
              <w:rPr>
                <w:rFonts w:ascii="SimSun" w:hAnsi="SimSun" w:eastAsia="SimSun" w:cs="SimSun"/>
                <w:sz w:val="20"/>
                <w:szCs w:val="20"/>
                <w:spacing w:val="5"/>
              </w:rPr>
              <w:t>大气沉降</w:t>
            </w:r>
            <w:r>
              <w:rPr>
                <w:rFonts w:ascii="MS UI Gothic" w:hAnsi="MS UI Gothic" w:eastAsia="MS UI Gothic" w:cs="MS UI Gothic"/>
                <w:sz w:val="20"/>
                <w:szCs w:val="20"/>
                <w:spacing w:val="5"/>
              </w:rPr>
              <w:t>☑</w:t>
            </w:r>
            <w:r>
              <w:rPr>
                <w:rFonts w:ascii="SimSun" w:hAnsi="SimSun" w:eastAsia="SimSun" w:cs="SimSun"/>
                <w:sz w:val="20"/>
                <w:szCs w:val="20"/>
                <w:spacing w:val="5"/>
              </w:rPr>
              <w:t>；地面漫流   ；垂直入渗</w:t>
            </w:r>
            <w:r>
              <w:rPr>
                <w:rFonts w:ascii="SimSun" w:hAnsi="SimSun" w:eastAsia="SimSun" w:cs="SimSun"/>
                <w:sz w:val="20"/>
                <w:szCs w:val="20"/>
                <w:spacing w:val="15"/>
              </w:rPr>
              <w:t xml:space="preserve">   </w:t>
            </w:r>
            <w:r>
              <w:rPr>
                <w:rFonts w:ascii="SimSun" w:hAnsi="SimSun" w:eastAsia="SimSun" w:cs="SimSun"/>
                <w:sz w:val="20"/>
                <w:szCs w:val="20"/>
                <w:spacing w:val="5"/>
              </w:rPr>
              <w:t>；地下水位</w:t>
            </w:r>
            <w:r>
              <w:rPr>
                <w:rFonts w:ascii="SimSun" w:hAnsi="SimSun" w:eastAsia="SimSun" w:cs="SimSun"/>
                <w:sz w:val="20"/>
                <w:szCs w:val="20"/>
                <w:spacing w:val="18"/>
              </w:rPr>
              <w:t xml:space="preserve">  </w:t>
            </w:r>
            <w:r>
              <w:rPr>
                <w:rFonts w:ascii="SimSun" w:hAnsi="SimSun" w:eastAsia="SimSun" w:cs="SimSun"/>
                <w:sz w:val="20"/>
                <w:szCs w:val="20"/>
                <w:spacing w:val="4"/>
              </w:rPr>
              <w:t>；其他</w:t>
            </w:r>
            <w:r>
              <w:rPr>
                <w:rFonts w:ascii="SimSun" w:hAnsi="SimSun" w:eastAsia="SimSun" w:cs="SimSun"/>
                <w:sz w:val="20"/>
                <w:szCs w:val="20"/>
                <w:spacing w:val="19"/>
              </w:rPr>
              <w:t xml:space="preserve"> </w:t>
            </w:r>
            <w:r>
              <w:rPr>
                <w:rFonts w:ascii="SimSun" w:hAnsi="SimSun" w:eastAsia="SimSun" w:cs="SimSun"/>
                <w:sz w:val="20"/>
                <w:szCs w:val="20"/>
                <w:spacing w:val="4"/>
              </w:rPr>
              <w:t>(</w:t>
            </w:r>
            <w:r>
              <w:rPr>
                <w:rFonts w:ascii="SimSun" w:hAnsi="SimSun" w:eastAsia="SimSun" w:cs="SimSun"/>
                <w:sz w:val="20"/>
                <w:szCs w:val="20"/>
                <w:spacing w:val="36"/>
              </w:rPr>
              <w:t xml:space="preserve">  </w:t>
            </w:r>
            <w:r>
              <w:rPr>
                <w:rFonts w:ascii="SimSun" w:hAnsi="SimSun" w:eastAsia="SimSun" w:cs="SimSun"/>
                <w:sz w:val="20"/>
                <w:szCs w:val="20"/>
                <w:spacing w:val="4"/>
              </w:rPr>
              <w:t>)</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301"/>
              <w:spacing w:before="59" w:line="228" w:lineRule="auto"/>
              <w:rPr>
                <w:rFonts w:ascii="SimSun" w:hAnsi="SimSun" w:eastAsia="SimSun" w:cs="SimSun"/>
                <w:sz w:val="20"/>
                <w:szCs w:val="20"/>
              </w:rPr>
            </w:pPr>
            <w:r>
              <w:rPr>
                <w:rFonts w:ascii="SimSun" w:hAnsi="SimSun" w:eastAsia="SimSun" w:cs="SimSun"/>
                <w:sz w:val="20"/>
                <w:szCs w:val="20"/>
                <w:spacing w:val="8"/>
              </w:rPr>
              <w:t>全部污染物</w:t>
            </w:r>
          </w:p>
        </w:tc>
        <w:tc>
          <w:tcPr>
            <w:tcW w:w="6291" w:type="dxa"/>
            <w:vAlign w:val="top"/>
          </w:tcPr>
          <w:p>
            <w:pPr>
              <w:pStyle w:val="TableText"/>
              <w:ind w:left="582"/>
              <w:spacing w:before="59" w:line="221" w:lineRule="auto"/>
              <w:rPr>
                <w:rFonts w:ascii="SimSun" w:hAnsi="SimSun" w:eastAsia="SimSun" w:cs="SimSun"/>
              </w:rPr>
            </w:pPr>
            <w:r>
              <w:rPr>
                <w:rFonts w:ascii="SimSun" w:hAnsi="SimSun" w:eastAsia="SimSun" w:cs="SimSun"/>
                <w:spacing w:val="9"/>
              </w:rPr>
              <w:t>砷、镉、铬、铜、铅、汞、镍、锌、</w:t>
            </w:r>
            <w:r>
              <w:rPr/>
              <w:t>pH</w:t>
            </w:r>
            <w:r>
              <w:rPr>
                <w:spacing w:val="9"/>
              </w:rPr>
              <w:t xml:space="preserve"> </w:t>
            </w:r>
            <w:r>
              <w:rPr>
                <w:rFonts w:ascii="SimSun" w:hAnsi="SimSun" w:eastAsia="SimSun" w:cs="SimSun"/>
                <w:spacing w:val="9"/>
              </w:rPr>
              <w:t>值和土壤含盐量</w:t>
            </w:r>
          </w:p>
        </w:tc>
        <w:tc>
          <w:tcPr>
            <w:tcW w:w="739" w:type="dxa"/>
            <w:vAlign w:val="top"/>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4"/>
              <w:spacing w:before="59" w:line="228" w:lineRule="auto"/>
              <w:rPr>
                <w:rFonts w:ascii="SimSun" w:hAnsi="SimSun" w:eastAsia="SimSun" w:cs="SimSun"/>
                <w:sz w:val="20"/>
                <w:szCs w:val="20"/>
              </w:rPr>
            </w:pPr>
            <w:r>
              <w:rPr>
                <w:rFonts w:ascii="SimSun" w:hAnsi="SimSun" w:eastAsia="SimSun" w:cs="SimSun"/>
                <w:sz w:val="20"/>
                <w:szCs w:val="20"/>
                <w:spacing w:val="7"/>
              </w:rPr>
              <w:t>特征因子</w:t>
            </w:r>
          </w:p>
        </w:tc>
        <w:tc>
          <w:tcPr>
            <w:tcW w:w="6291" w:type="dxa"/>
            <w:vAlign w:val="top"/>
          </w:tcPr>
          <w:p>
            <w:pPr>
              <w:pStyle w:val="TableText"/>
              <w:ind w:left="2383"/>
              <w:spacing w:before="59" w:line="221" w:lineRule="auto"/>
              <w:rPr>
                <w:rFonts w:ascii="SimSun" w:hAnsi="SimSun" w:eastAsia="SimSun" w:cs="SimSun"/>
              </w:rPr>
            </w:pPr>
            <w:r>
              <w:rPr/>
              <w:t>pH</w:t>
            </w:r>
            <w:r>
              <w:rPr>
                <w:spacing w:val="-23"/>
              </w:rPr>
              <w:t xml:space="preserve"> </w:t>
            </w:r>
            <w:r>
              <w:rPr>
                <w:rFonts w:ascii="SimSun" w:hAnsi="SimSun" w:eastAsia="SimSun" w:cs="SimSun"/>
                <w:spacing w:val="7"/>
              </w:rPr>
              <w:t>、土壤含盐量</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99" w:right="87" w:hanging="10"/>
              <w:spacing w:before="59" w:line="271" w:lineRule="auto"/>
              <w:rPr>
                <w:rFonts w:ascii="SimSun" w:hAnsi="SimSun" w:eastAsia="SimSun" w:cs="SimSun"/>
                <w:sz w:val="20"/>
                <w:szCs w:val="20"/>
              </w:rPr>
            </w:pPr>
            <w:r>
              <w:rPr>
                <w:rFonts w:ascii="SimSun" w:hAnsi="SimSun" w:eastAsia="SimSun" w:cs="SimSun"/>
                <w:sz w:val="20"/>
                <w:szCs w:val="20"/>
                <w:spacing w:val="8"/>
              </w:rPr>
              <w:t>所属土壤环境影</w:t>
            </w:r>
            <w:r>
              <w:rPr>
                <w:rFonts w:ascii="SimSun" w:hAnsi="SimSun" w:eastAsia="SimSun" w:cs="SimSun"/>
                <w:sz w:val="20"/>
                <w:szCs w:val="20"/>
                <w:spacing w:val="7"/>
              </w:rPr>
              <w:t>响评价项目类别</w:t>
            </w:r>
          </w:p>
        </w:tc>
        <w:tc>
          <w:tcPr>
            <w:tcW w:w="6291" w:type="dxa"/>
            <w:vAlign w:val="top"/>
          </w:tcPr>
          <w:p>
            <w:pPr>
              <w:pStyle w:val="TableText"/>
              <w:ind w:left="1804"/>
              <w:spacing w:before="221" w:line="228" w:lineRule="auto"/>
              <w:rPr/>
            </w:pPr>
            <w:r>
              <w:rPr>
                <w:spacing w:val="-8"/>
              </w:rPr>
              <w:t>Ⅰ</w:t>
            </w:r>
            <w:r>
              <w:rPr>
                <w:rFonts w:ascii="SimSun" w:hAnsi="SimSun" w:eastAsia="SimSun" w:cs="SimSun"/>
                <w:spacing w:val="-8"/>
              </w:rPr>
              <w:t>类</w:t>
            </w:r>
            <w:r>
              <w:rPr>
                <w:spacing w:val="-8"/>
              </w:rPr>
              <w:t>□</w:t>
            </w:r>
            <w:r>
              <w:rPr>
                <w:spacing w:val="-17"/>
              </w:rPr>
              <w:t xml:space="preserve"> </w:t>
            </w:r>
            <w:r>
              <w:rPr>
                <w:rFonts w:ascii="SimSun" w:hAnsi="SimSun" w:eastAsia="SimSun" w:cs="SimSun"/>
                <w:spacing w:val="-8"/>
              </w:rPr>
              <w:t>;</w:t>
            </w:r>
            <w:r>
              <w:rPr>
                <w:rFonts w:ascii="SimSun" w:hAnsi="SimSun" w:eastAsia="SimSun" w:cs="SimSun"/>
                <w:spacing w:val="58"/>
              </w:rPr>
              <w:t xml:space="preserve"> </w:t>
            </w:r>
            <w:r>
              <w:rPr>
                <w:spacing w:val="-8"/>
              </w:rPr>
              <w:t>Ⅱ</w:t>
            </w:r>
            <w:r>
              <w:rPr>
                <w:rFonts w:ascii="SimSun" w:hAnsi="SimSun" w:eastAsia="SimSun" w:cs="SimSun"/>
                <w:spacing w:val="-8"/>
              </w:rPr>
              <w:t>类</w:t>
            </w:r>
            <w:r>
              <w:rPr>
                <w:rFonts w:ascii="MS UI Gothic" w:hAnsi="MS UI Gothic" w:eastAsia="MS UI Gothic" w:cs="MS UI Gothic"/>
                <w:spacing w:val="-8"/>
              </w:rPr>
              <w:t>☑</w:t>
            </w:r>
            <w:r>
              <w:rPr>
                <w:rFonts w:ascii="SimSun" w:hAnsi="SimSun" w:eastAsia="SimSun" w:cs="SimSun"/>
                <w:spacing w:val="-8"/>
              </w:rPr>
              <w:t>;</w:t>
            </w:r>
            <w:r>
              <w:rPr>
                <w:rFonts w:ascii="SimSun" w:hAnsi="SimSun" w:eastAsia="SimSun" w:cs="SimSun"/>
                <w:spacing w:val="61"/>
              </w:rPr>
              <w:t xml:space="preserve"> </w:t>
            </w:r>
            <w:r>
              <w:rPr>
                <w:spacing w:val="-8"/>
              </w:rPr>
              <w:t>Ⅲ</w:t>
            </w:r>
            <w:r>
              <w:rPr>
                <w:rFonts w:ascii="SimSun" w:hAnsi="SimSun" w:eastAsia="SimSun" w:cs="SimSun"/>
                <w:spacing w:val="-8"/>
              </w:rPr>
              <w:t>类</w:t>
            </w:r>
            <w:r>
              <w:rPr>
                <w:spacing w:val="-8"/>
              </w:rPr>
              <w:t>□</w:t>
            </w:r>
            <w:r>
              <w:rPr>
                <w:spacing w:val="-25"/>
              </w:rPr>
              <w:t xml:space="preserve"> </w:t>
            </w:r>
            <w:r>
              <w:rPr>
                <w:rFonts w:ascii="SimSun" w:hAnsi="SimSun" w:eastAsia="SimSun" w:cs="SimSun"/>
                <w:spacing w:val="-8"/>
              </w:rPr>
              <w:t>;</w:t>
            </w:r>
            <w:r>
              <w:rPr>
                <w:rFonts w:ascii="SimSun" w:hAnsi="SimSun" w:eastAsia="SimSun" w:cs="SimSun"/>
                <w:spacing w:val="60"/>
              </w:rPr>
              <w:t xml:space="preserve"> </w:t>
            </w:r>
            <w:r>
              <w:rPr>
                <w:spacing w:val="-8"/>
              </w:rPr>
              <w:t>Ⅳ</w:t>
            </w:r>
            <w:r>
              <w:rPr>
                <w:rFonts w:ascii="SimSun" w:hAnsi="SimSun" w:eastAsia="SimSun" w:cs="SimSun"/>
                <w:spacing w:val="-8"/>
              </w:rPr>
              <w:t>类</w:t>
            </w:r>
            <w:r>
              <w:rPr>
                <w:spacing w:val="-8"/>
              </w:rPr>
              <w:t>□</w:t>
            </w:r>
          </w:p>
        </w:tc>
        <w:tc>
          <w:tcPr>
            <w:tcW w:w="739" w:type="dxa"/>
            <w:vAlign w:val="top"/>
          </w:tcPr>
          <w:p>
            <w:pPr>
              <w:rPr>
                <w:rFonts w:ascii="Arial"/>
                <w:sz w:val="21"/>
              </w:rPr>
            </w:pPr>
            <w:r/>
          </w:p>
        </w:tc>
      </w:tr>
      <w:tr>
        <w:trPr>
          <w:trHeight w:val="330"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405"/>
              <w:spacing w:before="58" w:line="228" w:lineRule="auto"/>
              <w:rPr>
                <w:rFonts w:ascii="SimSun" w:hAnsi="SimSun" w:eastAsia="SimSun" w:cs="SimSun"/>
                <w:sz w:val="20"/>
                <w:szCs w:val="20"/>
              </w:rPr>
            </w:pPr>
            <w:r>
              <w:rPr>
                <w:rFonts w:ascii="SimSun" w:hAnsi="SimSun" w:eastAsia="SimSun" w:cs="SimSun"/>
                <w:sz w:val="20"/>
                <w:szCs w:val="20"/>
                <w:spacing w:val="7"/>
              </w:rPr>
              <w:t>敏感程度</w:t>
            </w:r>
          </w:p>
        </w:tc>
        <w:tc>
          <w:tcPr>
            <w:tcW w:w="6291" w:type="dxa"/>
            <w:vAlign w:val="top"/>
          </w:tcPr>
          <w:p>
            <w:pPr>
              <w:pStyle w:val="TableText"/>
              <w:ind w:left="1829"/>
              <w:spacing w:before="58" w:line="228" w:lineRule="auto"/>
              <w:rPr>
                <w:rFonts w:ascii="SimSun" w:hAnsi="SimSun" w:eastAsia="SimSun" w:cs="SimSun"/>
              </w:rPr>
            </w:pPr>
            <w:r>
              <w:rPr>
                <w:rFonts w:ascii="SimSun" w:hAnsi="SimSun" w:eastAsia="SimSun" w:cs="SimSun"/>
                <w:spacing w:val="6"/>
              </w:rPr>
              <w:t>敏感</w:t>
            </w:r>
            <w:r>
              <w:rPr>
                <w:rFonts w:ascii="MS UI Gothic" w:hAnsi="MS UI Gothic" w:eastAsia="MS UI Gothic" w:cs="MS UI Gothic"/>
                <w:spacing w:val="6"/>
              </w:rPr>
              <w:t>☑</w:t>
            </w:r>
            <w:r>
              <w:rPr>
                <w:rFonts w:ascii="SimSun" w:hAnsi="SimSun" w:eastAsia="SimSun" w:cs="SimSun"/>
                <w:spacing w:val="6"/>
              </w:rPr>
              <w:t>；较敏感</w:t>
            </w:r>
            <w:r>
              <w:rPr>
                <w:spacing w:val="6"/>
              </w:rPr>
              <w:t>□</w:t>
            </w:r>
            <w:r>
              <w:rPr>
                <w:spacing w:val="-19"/>
              </w:rPr>
              <w:t xml:space="preserve"> </w:t>
            </w:r>
            <w:r>
              <w:rPr>
                <w:rFonts w:ascii="SimSun" w:hAnsi="SimSun" w:eastAsia="SimSun" w:cs="SimSun"/>
                <w:spacing w:val="6"/>
              </w:rPr>
              <w:t>；不敏感</w:t>
            </w:r>
          </w:p>
        </w:tc>
        <w:tc>
          <w:tcPr>
            <w:tcW w:w="739" w:type="dxa"/>
            <w:vAlign w:val="top"/>
          </w:tcPr>
          <w:p>
            <w:pPr>
              <w:rPr>
                <w:rFonts w:ascii="Arial"/>
                <w:sz w:val="21"/>
              </w:rPr>
            </w:pPr>
            <w:r/>
          </w:p>
        </w:tc>
      </w:tr>
      <w:tr>
        <w:trPr>
          <w:trHeight w:val="330" w:hRule="atLeast"/>
        </w:trPr>
        <w:tc>
          <w:tcPr>
            <w:tcW w:w="2053" w:type="dxa"/>
            <w:vAlign w:val="top"/>
            <w:gridSpan w:val="2"/>
          </w:tcPr>
          <w:p>
            <w:pPr>
              <w:ind w:left="400"/>
              <w:spacing w:before="59" w:line="226" w:lineRule="auto"/>
              <w:rPr>
                <w:rFonts w:ascii="SimSun" w:hAnsi="SimSun" w:eastAsia="SimSun" w:cs="SimSun"/>
                <w:sz w:val="20"/>
                <w:szCs w:val="20"/>
              </w:rPr>
            </w:pPr>
            <w:r>
              <w:rPr>
                <w:rFonts w:ascii="SimSun" w:hAnsi="SimSun" w:eastAsia="SimSun" w:cs="SimSun"/>
                <w:sz w:val="20"/>
                <w:szCs w:val="20"/>
                <w:spacing w:val="8"/>
              </w:rPr>
              <w:t>评价工作等级</w:t>
            </w:r>
          </w:p>
        </w:tc>
        <w:tc>
          <w:tcPr>
            <w:tcW w:w="6291" w:type="dxa"/>
            <w:vAlign w:val="top"/>
          </w:tcPr>
          <w:p>
            <w:pPr>
              <w:pStyle w:val="TableText"/>
              <w:ind w:left="1517"/>
              <w:spacing w:before="59" w:line="230" w:lineRule="auto"/>
              <w:rPr>
                <w:rFonts w:ascii="SimSun" w:hAnsi="SimSun" w:eastAsia="SimSun" w:cs="SimSun"/>
              </w:rPr>
            </w:pPr>
            <w:r>
              <w:rPr>
                <w:rFonts w:ascii="SimSun" w:hAnsi="SimSun" w:eastAsia="SimSun" w:cs="SimSun"/>
                <w:spacing w:val="7"/>
              </w:rPr>
              <w:t>一级</w:t>
            </w:r>
            <w:r>
              <w:rPr>
                <w:spacing w:val="7"/>
              </w:rPr>
              <w:t>□</w:t>
            </w:r>
            <w:r>
              <w:rPr>
                <w:spacing w:val="-26"/>
              </w:rPr>
              <w:t xml:space="preserve"> </w:t>
            </w:r>
            <w:r>
              <w:rPr>
                <w:rFonts w:ascii="SimSun" w:hAnsi="SimSun" w:eastAsia="SimSun" w:cs="SimSun"/>
                <w:spacing w:val="7"/>
              </w:rPr>
              <w:t>；二级</w:t>
            </w:r>
            <w:r>
              <w:rPr>
                <w:rFonts w:ascii="MS UI Gothic" w:hAnsi="MS UI Gothic" w:eastAsia="MS UI Gothic" w:cs="MS UI Gothic"/>
                <w:spacing w:val="7"/>
              </w:rPr>
              <w:t>☑</w:t>
            </w:r>
            <w:r>
              <w:rPr>
                <w:rFonts w:ascii="SimSun" w:hAnsi="SimSun" w:eastAsia="SimSun" w:cs="SimSun"/>
                <w:spacing w:val="7"/>
              </w:rPr>
              <w:t>；生态影响型三级</w:t>
            </w:r>
          </w:p>
        </w:tc>
        <w:tc>
          <w:tcPr>
            <w:tcW w:w="739" w:type="dxa"/>
            <w:vAlign w:val="top"/>
          </w:tcPr>
          <w:p>
            <w:pPr>
              <w:rPr>
                <w:rFonts w:ascii="Arial"/>
                <w:sz w:val="21"/>
              </w:rPr>
            </w:pPr>
            <w:r/>
          </w:p>
        </w:tc>
      </w:tr>
      <w:tr>
        <w:trPr>
          <w:trHeight w:val="333" w:hRule="atLeast"/>
        </w:trPr>
        <w:tc>
          <w:tcPr>
            <w:tcW w:w="410" w:type="dxa"/>
            <w:vAlign w:val="top"/>
          </w:tcPr>
          <w:p>
            <w:pPr>
              <w:ind w:left="108"/>
              <w:spacing w:before="61" w:line="228" w:lineRule="auto"/>
              <w:rPr>
                <w:rFonts w:ascii="SimSun" w:hAnsi="SimSun" w:eastAsia="SimSun" w:cs="SimSun"/>
                <w:sz w:val="20"/>
                <w:szCs w:val="20"/>
              </w:rPr>
            </w:pPr>
            <w:r>
              <w:rPr>
                <w:rFonts w:ascii="SimSun" w:hAnsi="SimSun" w:eastAsia="SimSun" w:cs="SimSun"/>
                <w:sz w:val="20"/>
                <w:szCs w:val="20"/>
              </w:rPr>
              <w:t>现</w:t>
            </w:r>
          </w:p>
        </w:tc>
        <w:tc>
          <w:tcPr>
            <w:tcW w:w="1643" w:type="dxa"/>
            <w:vAlign w:val="top"/>
          </w:tcPr>
          <w:p>
            <w:pPr>
              <w:ind w:left="413"/>
              <w:spacing w:before="60" w:line="226" w:lineRule="auto"/>
              <w:rPr>
                <w:rFonts w:ascii="SimSun" w:hAnsi="SimSun" w:eastAsia="SimSun" w:cs="SimSun"/>
                <w:sz w:val="20"/>
                <w:szCs w:val="20"/>
              </w:rPr>
            </w:pPr>
            <w:r>
              <w:rPr>
                <w:rFonts w:ascii="SimSun" w:hAnsi="SimSun" w:eastAsia="SimSun" w:cs="SimSun"/>
                <w:sz w:val="20"/>
                <w:szCs w:val="20"/>
                <w:spacing w:val="5"/>
              </w:rPr>
              <w:t>资料收集</w:t>
            </w:r>
          </w:p>
        </w:tc>
        <w:tc>
          <w:tcPr>
            <w:tcW w:w="6291" w:type="dxa"/>
            <w:vAlign w:val="top"/>
          </w:tcPr>
          <w:p>
            <w:pPr>
              <w:pStyle w:val="TableText"/>
              <w:ind w:left="1825"/>
              <w:spacing w:before="68" w:line="217" w:lineRule="auto"/>
              <w:rPr>
                <w:rFonts w:ascii="SimSun" w:hAnsi="SimSun" w:eastAsia="SimSun" w:cs="SimSun"/>
              </w:rPr>
            </w:pPr>
            <w:r>
              <w:rPr>
                <w:spacing w:val="-5"/>
              </w:rPr>
              <w:t>a</w:t>
            </w:r>
            <w:r>
              <w:rPr>
                <w:rFonts w:ascii="SimSun" w:hAnsi="SimSun" w:eastAsia="SimSun" w:cs="SimSun"/>
                <w:spacing w:val="-5"/>
              </w:rPr>
              <w:t>）</w:t>
            </w:r>
            <w:r>
              <w:rPr>
                <w:rFonts w:ascii="SimSun" w:hAnsi="SimSun" w:eastAsia="SimSun" w:cs="SimSun"/>
                <w:spacing w:val="-70"/>
              </w:rPr>
              <w:t xml:space="preserve"> </w:t>
            </w:r>
            <w:r>
              <w:rPr>
                <w:rFonts w:ascii="Segoe UI Symbol" w:hAnsi="Segoe UI Symbol" w:eastAsia="Segoe UI Symbol" w:cs="Segoe UI Symbol"/>
                <w:spacing w:val="-5"/>
              </w:rPr>
              <w:t>☑</w:t>
            </w:r>
            <w:r>
              <w:rPr>
                <w:rFonts w:ascii="Segoe UI Symbol" w:hAnsi="Segoe UI Symbol" w:eastAsia="Segoe UI Symbol" w:cs="Segoe UI Symbol"/>
                <w:spacing w:val="-29"/>
              </w:rPr>
              <w:t xml:space="preserve"> </w:t>
            </w:r>
            <w:r>
              <w:rPr>
                <w:rFonts w:ascii="SimSun" w:hAnsi="SimSun" w:eastAsia="SimSun" w:cs="SimSun"/>
                <w:spacing w:val="-5"/>
              </w:rPr>
              <w:t>；</w:t>
            </w:r>
            <w:r>
              <w:rPr>
                <w:spacing w:val="-5"/>
              </w:rPr>
              <w:t>b</w:t>
            </w:r>
            <w:r>
              <w:rPr>
                <w:rFonts w:ascii="SimSun" w:hAnsi="SimSun" w:eastAsia="SimSun" w:cs="SimSun"/>
                <w:spacing w:val="-5"/>
              </w:rPr>
              <w:t>）</w:t>
            </w:r>
            <w:r>
              <w:rPr>
                <w:rFonts w:ascii="SimSun" w:hAnsi="SimSun" w:eastAsia="SimSun" w:cs="SimSun"/>
                <w:spacing w:val="-73"/>
              </w:rPr>
              <w:t xml:space="preserve"> </w:t>
            </w:r>
            <w:r>
              <w:rPr>
                <w:rFonts w:ascii="Segoe UI Symbol" w:hAnsi="Segoe UI Symbol" w:eastAsia="Segoe UI Symbol" w:cs="Segoe UI Symbol"/>
                <w:spacing w:val="-5"/>
              </w:rPr>
              <w:t>☑</w:t>
            </w:r>
            <w:r>
              <w:rPr>
                <w:rFonts w:ascii="Segoe UI Symbol" w:hAnsi="Segoe UI Symbol" w:eastAsia="Segoe UI Symbol" w:cs="Segoe UI Symbol"/>
                <w:spacing w:val="-28"/>
              </w:rPr>
              <w:t xml:space="preserve"> </w:t>
            </w:r>
            <w:r>
              <w:rPr>
                <w:rFonts w:ascii="SimSun" w:hAnsi="SimSun" w:eastAsia="SimSun" w:cs="SimSun"/>
                <w:spacing w:val="-5"/>
              </w:rPr>
              <w:t>；</w:t>
            </w:r>
            <w:r>
              <w:rPr>
                <w:spacing w:val="-5"/>
              </w:rPr>
              <w:t>c</w:t>
            </w:r>
            <w:r>
              <w:rPr>
                <w:rFonts w:ascii="SimSun" w:hAnsi="SimSun" w:eastAsia="SimSun" w:cs="SimSun"/>
                <w:spacing w:val="-3"/>
              </w:rPr>
              <w:t>）</w:t>
            </w:r>
            <w:r>
              <w:rPr>
                <w:rFonts w:ascii="SimSun" w:hAnsi="SimSun" w:eastAsia="SimSun" w:cs="SimSun"/>
                <w:spacing w:val="24"/>
              </w:rPr>
              <w:t xml:space="preserve">  </w:t>
            </w:r>
            <w:r>
              <w:rPr>
                <w:rFonts w:ascii="SimSun" w:hAnsi="SimSun" w:eastAsia="SimSun" w:cs="SimSun"/>
                <w:spacing w:val="-3"/>
              </w:rPr>
              <w:t>；</w:t>
            </w:r>
            <w:r>
              <w:rPr>
                <w:spacing w:val="-5"/>
              </w:rPr>
              <w:t>d</w:t>
            </w:r>
            <w:r>
              <w:rPr>
                <w:rFonts w:ascii="SimSun" w:hAnsi="SimSun" w:eastAsia="SimSun" w:cs="SimSun"/>
                <w:spacing w:val="-5"/>
              </w:rPr>
              <w:t>）</w:t>
            </w:r>
          </w:p>
        </w:tc>
        <w:tc>
          <w:tcPr>
            <w:tcW w:w="739" w:type="dxa"/>
            <w:vAlign w:val="top"/>
          </w:tcPr>
          <w:p>
            <w:pPr>
              <w:rPr>
                <w:rFonts w:ascii="Arial"/>
                <w:sz w:val="21"/>
              </w:rPr>
            </w:pPr>
            <w:r/>
          </w:p>
        </w:tc>
      </w:tr>
    </w:tbl>
    <w:p>
      <w:pPr>
        <w:pStyle w:val="BodyText"/>
        <w:rPr/>
      </w:pPr>
      <w:r/>
    </w:p>
    <w:p>
      <w:pPr>
        <w:sectPr>
          <w:headerReference w:type="default" r:id="rId462"/>
          <w:footerReference w:type="default" r:id="rId463"/>
          <w:pgSz w:w="11906" w:h="16838"/>
          <w:pgMar w:top="1170" w:right="1407" w:bottom="1080" w:left="1408" w:header="837" w:footer="918" w:gutter="0"/>
        </w:sectPr>
        <w:rPr/>
      </w:pPr>
    </w:p>
    <w:p>
      <w:pPr>
        <w:spacing w:before="6"/>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10"/>
        <w:gridCol w:w="1643"/>
        <w:gridCol w:w="1144"/>
        <w:gridCol w:w="240"/>
        <w:gridCol w:w="1494"/>
        <w:gridCol w:w="693"/>
        <w:gridCol w:w="1533"/>
        <w:gridCol w:w="1187"/>
        <w:gridCol w:w="739"/>
      </w:tblGrid>
      <w:tr>
        <w:trPr>
          <w:trHeight w:val="335" w:hRule="atLeast"/>
        </w:trPr>
        <w:tc>
          <w:tcPr>
            <w:tcW w:w="410" w:type="dxa"/>
            <w:vAlign w:val="top"/>
            <w:vMerge w:val="restart"/>
            <w:textDirection w:val="tbRlV"/>
            <w:tcBorders>
              <w:bottom w:val="nil"/>
            </w:tcBorders>
          </w:tcPr>
          <w:p>
            <w:pPr>
              <w:ind w:left="62"/>
              <w:spacing w:before="97" w:line="216" w:lineRule="auto"/>
              <w:rPr>
                <w:rFonts w:ascii="SimSun" w:hAnsi="SimSun" w:eastAsia="SimSun" w:cs="SimSun"/>
                <w:sz w:val="20"/>
                <w:szCs w:val="20"/>
              </w:rPr>
            </w:pPr>
            <w:r>
              <w:rPr>
                <w:rFonts w:ascii="SimSun" w:hAnsi="SimSun" w:eastAsia="SimSun" w:cs="SimSun"/>
                <w:sz w:val="20"/>
                <w:szCs w:val="20"/>
                <w:spacing w:val="8"/>
              </w:rPr>
              <w:t>状</w:t>
            </w:r>
            <w:r>
              <w:rPr>
                <w:rFonts w:ascii="SimSun" w:hAnsi="SimSun" w:eastAsia="SimSun" w:cs="SimSun"/>
                <w:sz w:val="20"/>
                <w:szCs w:val="20"/>
                <w:spacing w:val="20"/>
              </w:rPr>
              <w:t xml:space="preserve"> </w:t>
            </w:r>
            <w:r>
              <w:rPr>
                <w:rFonts w:ascii="SimSun" w:hAnsi="SimSun" w:eastAsia="SimSun" w:cs="SimSun"/>
                <w:sz w:val="20"/>
                <w:szCs w:val="20"/>
                <w:spacing w:val="8"/>
              </w:rPr>
              <w:t>调</w:t>
            </w:r>
            <w:r>
              <w:rPr>
                <w:rFonts w:ascii="SimSun" w:hAnsi="SimSun" w:eastAsia="SimSun" w:cs="SimSun"/>
                <w:sz w:val="20"/>
                <w:szCs w:val="20"/>
                <w:spacing w:val="15"/>
              </w:rPr>
              <w:t xml:space="preserve"> </w:t>
            </w:r>
            <w:r>
              <w:rPr>
                <w:rFonts w:ascii="SimSun" w:hAnsi="SimSun" w:eastAsia="SimSun" w:cs="SimSun"/>
                <w:sz w:val="20"/>
                <w:szCs w:val="20"/>
                <w:spacing w:val="8"/>
              </w:rPr>
              <w:t>查</w:t>
            </w:r>
            <w:r>
              <w:rPr>
                <w:rFonts w:ascii="SimSun" w:hAnsi="SimSun" w:eastAsia="SimSun" w:cs="SimSun"/>
                <w:sz w:val="20"/>
                <w:szCs w:val="20"/>
                <w:spacing w:val="18"/>
              </w:rPr>
              <w:t xml:space="preserve"> </w:t>
            </w:r>
            <w:r>
              <w:rPr>
                <w:rFonts w:ascii="SimSun" w:hAnsi="SimSun" w:eastAsia="SimSun" w:cs="SimSun"/>
                <w:sz w:val="20"/>
                <w:szCs w:val="20"/>
                <w:spacing w:val="8"/>
              </w:rPr>
              <w:t>内</w:t>
            </w:r>
            <w:r>
              <w:rPr>
                <w:rFonts w:ascii="SimSun" w:hAnsi="SimSun" w:eastAsia="SimSun" w:cs="SimSun"/>
                <w:sz w:val="20"/>
                <w:szCs w:val="20"/>
                <w:spacing w:val="17"/>
              </w:rPr>
              <w:t xml:space="preserve"> </w:t>
            </w:r>
            <w:r>
              <w:rPr>
                <w:rFonts w:ascii="SimSun" w:hAnsi="SimSun" w:eastAsia="SimSun" w:cs="SimSun"/>
                <w:sz w:val="20"/>
                <w:szCs w:val="20"/>
                <w:spacing w:val="8"/>
              </w:rPr>
              <w:t>容</w:t>
            </w:r>
          </w:p>
        </w:tc>
        <w:tc>
          <w:tcPr>
            <w:tcW w:w="1643" w:type="dxa"/>
            <w:vAlign w:val="top"/>
          </w:tcPr>
          <w:p>
            <w:pPr>
              <w:ind w:left="406"/>
              <w:spacing w:before="62" w:line="228" w:lineRule="auto"/>
              <w:rPr>
                <w:rFonts w:ascii="SimSun" w:hAnsi="SimSun" w:eastAsia="SimSun" w:cs="SimSun"/>
                <w:sz w:val="20"/>
                <w:szCs w:val="20"/>
              </w:rPr>
            </w:pPr>
            <w:r>
              <w:rPr>
                <w:rFonts w:ascii="SimSun" w:hAnsi="SimSun" w:eastAsia="SimSun" w:cs="SimSun"/>
                <w:sz w:val="20"/>
                <w:szCs w:val="20"/>
                <w:spacing w:val="6"/>
              </w:rPr>
              <w:t>理化特性</w:t>
            </w:r>
          </w:p>
        </w:tc>
        <w:tc>
          <w:tcPr>
            <w:tcW w:w="6291" w:type="dxa"/>
            <w:vAlign w:val="top"/>
            <w:gridSpan w:val="6"/>
          </w:tcPr>
          <w:p>
            <w:pPr>
              <w:ind w:left="1908"/>
              <w:spacing w:before="62" w:line="228" w:lineRule="auto"/>
              <w:rPr>
                <w:rFonts w:ascii="SimSun" w:hAnsi="SimSun" w:eastAsia="SimSun" w:cs="SimSun"/>
                <w:sz w:val="20"/>
                <w:szCs w:val="20"/>
              </w:rPr>
            </w:pPr>
            <w:r>
              <w:rPr>
                <w:rFonts w:ascii="SimSun" w:hAnsi="SimSun" w:eastAsia="SimSun" w:cs="SimSun"/>
                <w:sz w:val="20"/>
                <w:szCs w:val="20"/>
                <w:spacing w:val="7"/>
              </w:rPr>
              <w:t>固态、棕色，砂壤土，粒状</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restart"/>
            <w:tcBorders>
              <w:bottom w:val="nil"/>
            </w:tcBorders>
          </w:tcPr>
          <w:p>
            <w:pPr>
              <w:spacing w:line="327" w:lineRule="auto"/>
              <w:rPr>
                <w:rFonts w:ascii="Arial"/>
                <w:sz w:val="21"/>
              </w:rPr>
            </w:pPr>
            <w:r/>
          </w:p>
          <w:p>
            <w:pPr>
              <w:ind w:left="197"/>
              <w:spacing w:before="65" w:line="228" w:lineRule="auto"/>
              <w:rPr>
                <w:rFonts w:ascii="SimSun" w:hAnsi="SimSun" w:eastAsia="SimSun" w:cs="SimSun"/>
                <w:sz w:val="20"/>
                <w:szCs w:val="20"/>
              </w:rPr>
            </w:pPr>
            <w:r>
              <w:rPr>
                <w:rFonts w:ascii="SimSun" w:hAnsi="SimSun" w:eastAsia="SimSun" w:cs="SimSun"/>
                <w:sz w:val="20"/>
                <w:szCs w:val="20"/>
                <w:spacing w:val="7"/>
              </w:rPr>
              <w:t>现状监测点位</w:t>
            </w:r>
          </w:p>
        </w:tc>
        <w:tc>
          <w:tcPr>
            <w:tcW w:w="1384" w:type="dxa"/>
            <w:vAlign w:val="top"/>
            <w:gridSpan w:val="2"/>
          </w:tcPr>
          <w:p>
            <w:pPr>
              <w:rPr>
                <w:rFonts w:ascii="Arial"/>
                <w:sz w:val="21"/>
              </w:rPr>
            </w:pPr>
            <w:r/>
          </w:p>
        </w:tc>
        <w:tc>
          <w:tcPr>
            <w:tcW w:w="1494" w:type="dxa"/>
            <w:vAlign w:val="top"/>
          </w:tcPr>
          <w:p>
            <w:pPr>
              <w:ind w:left="260"/>
              <w:spacing w:before="58" w:line="228" w:lineRule="auto"/>
              <w:rPr>
                <w:rFonts w:ascii="SimSun" w:hAnsi="SimSun" w:eastAsia="SimSun" w:cs="SimSun"/>
                <w:sz w:val="20"/>
                <w:szCs w:val="20"/>
              </w:rPr>
            </w:pPr>
            <w:r>
              <w:rPr>
                <w:rFonts w:ascii="SimSun" w:hAnsi="SimSun" w:eastAsia="SimSun" w:cs="SimSun"/>
                <w:sz w:val="20"/>
                <w:szCs w:val="20"/>
                <w:spacing w:val="1"/>
              </w:rPr>
              <w:t>占地范围内</w:t>
            </w:r>
          </w:p>
        </w:tc>
        <w:tc>
          <w:tcPr>
            <w:tcW w:w="2226" w:type="dxa"/>
            <w:vAlign w:val="top"/>
            <w:gridSpan w:val="2"/>
          </w:tcPr>
          <w:p>
            <w:pPr>
              <w:ind w:left="628"/>
              <w:spacing w:before="59" w:line="228" w:lineRule="auto"/>
              <w:rPr>
                <w:rFonts w:ascii="SimSun" w:hAnsi="SimSun" w:eastAsia="SimSun" w:cs="SimSun"/>
                <w:sz w:val="20"/>
                <w:szCs w:val="20"/>
              </w:rPr>
            </w:pPr>
            <w:r>
              <w:rPr>
                <w:rFonts w:ascii="SimSun" w:hAnsi="SimSun" w:eastAsia="SimSun" w:cs="SimSun"/>
                <w:sz w:val="20"/>
                <w:szCs w:val="20"/>
                <w:spacing w:val="1"/>
              </w:rPr>
              <w:t>占地范围外</w:t>
            </w:r>
          </w:p>
        </w:tc>
        <w:tc>
          <w:tcPr>
            <w:tcW w:w="1187" w:type="dxa"/>
            <w:vAlign w:val="top"/>
          </w:tcPr>
          <w:p>
            <w:pPr>
              <w:ind w:left="389"/>
              <w:spacing w:before="59" w:line="228" w:lineRule="auto"/>
              <w:rPr>
                <w:rFonts w:ascii="SimSun" w:hAnsi="SimSun" w:eastAsia="SimSun" w:cs="SimSun"/>
                <w:sz w:val="20"/>
                <w:szCs w:val="20"/>
              </w:rPr>
            </w:pPr>
            <w:r>
              <w:rPr>
                <w:rFonts w:ascii="SimSun" w:hAnsi="SimSun" w:eastAsia="SimSun" w:cs="SimSun"/>
                <w:sz w:val="20"/>
                <w:szCs w:val="20"/>
                <w:spacing w:val="4"/>
              </w:rPr>
              <w:t>深度</w:t>
            </w:r>
          </w:p>
        </w:tc>
        <w:tc>
          <w:tcPr>
            <w:tcW w:w="739" w:type="dxa"/>
            <w:vAlign w:val="top"/>
            <w:vMerge w:val="restart"/>
            <w:tcBorders>
              <w:bottom w:val="nil"/>
            </w:tcBorders>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bottom w:val="nil"/>
            </w:tcBorders>
          </w:tcPr>
          <w:p>
            <w:pPr>
              <w:rPr>
                <w:rFonts w:ascii="Arial"/>
                <w:sz w:val="21"/>
              </w:rPr>
            </w:pPr>
            <w:r/>
          </w:p>
        </w:tc>
        <w:tc>
          <w:tcPr>
            <w:tcW w:w="1384" w:type="dxa"/>
            <w:vAlign w:val="top"/>
            <w:gridSpan w:val="2"/>
          </w:tcPr>
          <w:p>
            <w:pPr>
              <w:ind w:left="169"/>
              <w:spacing w:before="58" w:line="227" w:lineRule="auto"/>
              <w:rPr>
                <w:rFonts w:ascii="SimSun" w:hAnsi="SimSun" w:eastAsia="SimSun" w:cs="SimSun"/>
                <w:sz w:val="20"/>
                <w:szCs w:val="20"/>
              </w:rPr>
            </w:pPr>
            <w:r>
              <w:rPr>
                <w:rFonts w:ascii="SimSun" w:hAnsi="SimSun" w:eastAsia="SimSun" w:cs="SimSun"/>
                <w:sz w:val="20"/>
                <w:szCs w:val="20"/>
                <w:spacing w:val="8"/>
              </w:rPr>
              <w:t>表层样点数</w:t>
            </w:r>
          </w:p>
        </w:tc>
        <w:tc>
          <w:tcPr>
            <w:tcW w:w="1494" w:type="dxa"/>
            <w:vAlign w:val="top"/>
          </w:tcPr>
          <w:p>
            <w:pPr>
              <w:pStyle w:val="TableText"/>
              <w:ind w:left="699"/>
              <w:spacing w:before="94" w:line="195" w:lineRule="auto"/>
              <w:rPr/>
            </w:pPr>
            <w:r>
              <w:rPr/>
              <w:t>3</w:t>
            </w:r>
          </w:p>
        </w:tc>
        <w:tc>
          <w:tcPr>
            <w:tcW w:w="2226" w:type="dxa"/>
            <w:vAlign w:val="top"/>
            <w:gridSpan w:val="2"/>
          </w:tcPr>
          <w:p>
            <w:pPr>
              <w:pStyle w:val="TableText"/>
              <w:ind w:left="1062"/>
              <w:spacing w:before="94" w:line="195" w:lineRule="auto"/>
              <w:rPr/>
            </w:pPr>
            <w:r>
              <w:rPr>
                <w:spacing w:val="1"/>
              </w:rPr>
              <w:t>4</w:t>
            </w:r>
          </w:p>
        </w:tc>
        <w:tc>
          <w:tcPr>
            <w:tcW w:w="1187" w:type="dxa"/>
            <w:vAlign w:val="top"/>
          </w:tcPr>
          <w:p>
            <w:pPr>
              <w:pStyle w:val="TableText"/>
              <w:ind w:left="299"/>
              <w:spacing w:before="94" w:line="195" w:lineRule="auto"/>
              <w:rPr/>
            </w:pPr>
            <w:r>
              <w:rPr>
                <w:spacing w:val="3"/>
              </w:rPr>
              <w:t>0-0.2m</w:t>
            </w:r>
          </w:p>
        </w:tc>
        <w:tc>
          <w:tcPr>
            <w:tcW w:w="739" w:type="dxa"/>
            <w:vAlign w:val="top"/>
            <w:vMerge w:val="continue"/>
            <w:tcBorders>
              <w:top w:val="nil"/>
              <w:bottom w:val="nil"/>
            </w:tcBorders>
          </w:tcPr>
          <w:p>
            <w:pPr>
              <w:rPr>
                <w:rFonts w:ascii="Arial"/>
                <w:sz w:val="21"/>
              </w:rPr>
            </w:pPr>
            <w:r/>
          </w:p>
        </w:tc>
      </w:tr>
      <w:tr>
        <w:trPr>
          <w:trHeight w:val="330"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tcBorders>
          </w:tcPr>
          <w:p>
            <w:pPr>
              <w:rPr>
                <w:rFonts w:ascii="Arial"/>
                <w:sz w:val="21"/>
              </w:rPr>
            </w:pPr>
            <w:r/>
          </w:p>
        </w:tc>
        <w:tc>
          <w:tcPr>
            <w:tcW w:w="1384" w:type="dxa"/>
            <w:vAlign w:val="top"/>
            <w:gridSpan w:val="2"/>
          </w:tcPr>
          <w:p>
            <w:pPr>
              <w:ind w:left="170"/>
              <w:spacing w:before="59" w:line="228" w:lineRule="auto"/>
              <w:rPr>
                <w:rFonts w:ascii="SimSun" w:hAnsi="SimSun" w:eastAsia="SimSun" w:cs="SimSun"/>
                <w:sz w:val="20"/>
                <w:szCs w:val="20"/>
              </w:rPr>
            </w:pPr>
            <w:r>
              <w:rPr>
                <w:rFonts w:ascii="SimSun" w:hAnsi="SimSun" w:eastAsia="SimSun" w:cs="SimSun"/>
                <w:sz w:val="20"/>
                <w:szCs w:val="20"/>
                <w:spacing w:val="8"/>
              </w:rPr>
              <w:t>柱状样点数</w:t>
            </w:r>
          </w:p>
        </w:tc>
        <w:tc>
          <w:tcPr>
            <w:tcW w:w="1494" w:type="dxa"/>
            <w:vAlign w:val="top"/>
          </w:tcPr>
          <w:p>
            <w:pPr>
              <w:pStyle w:val="TableText"/>
              <w:ind w:left="698"/>
              <w:spacing w:before="95" w:line="195" w:lineRule="auto"/>
              <w:rPr/>
            </w:pPr>
            <w:r>
              <w:rPr/>
              <w:t>0</w:t>
            </w:r>
          </w:p>
        </w:tc>
        <w:tc>
          <w:tcPr>
            <w:tcW w:w="2226" w:type="dxa"/>
            <w:vAlign w:val="top"/>
            <w:gridSpan w:val="2"/>
          </w:tcPr>
          <w:p>
            <w:pPr>
              <w:pStyle w:val="TableText"/>
              <w:ind w:left="1066"/>
              <w:spacing w:before="95" w:line="195" w:lineRule="auto"/>
              <w:rPr/>
            </w:pPr>
            <w:r>
              <w:rPr/>
              <w:t>0</w:t>
            </w:r>
          </w:p>
        </w:tc>
        <w:tc>
          <w:tcPr>
            <w:tcW w:w="1187" w:type="dxa"/>
            <w:vAlign w:val="top"/>
          </w:tcPr>
          <w:p>
            <w:pPr>
              <w:pStyle w:val="TableText"/>
              <w:ind w:left="376"/>
              <w:spacing w:before="95" w:line="195" w:lineRule="auto"/>
              <w:rPr/>
            </w:pPr>
            <w:r>
              <w:rPr>
                <w:spacing w:val="3"/>
              </w:rPr>
              <w:t>0-3m</w:t>
            </w:r>
          </w:p>
        </w:tc>
        <w:tc>
          <w:tcPr>
            <w:tcW w:w="739" w:type="dxa"/>
            <w:vAlign w:val="top"/>
            <w:vMerge w:val="continue"/>
            <w:tcBorders>
              <w:top w:val="nil"/>
            </w:tcBorders>
          </w:tcPr>
          <w:p>
            <w:pPr>
              <w:rPr>
                <w:rFonts w:ascii="Arial"/>
                <w:sz w:val="21"/>
              </w:rPr>
            </w:pPr>
            <w:r/>
          </w:p>
        </w:tc>
      </w:tr>
      <w:tr>
        <w:trPr>
          <w:trHeight w:val="331"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197"/>
              <w:spacing w:before="60" w:line="228" w:lineRule="auto"/>
              <w:rPr>
                <w:rFonts w:ascii="SimSun" w:hAnsi="SimSun" w:eastAsia="SimSun" w:cs="SimSun"/>
                <w:sz w:val="20"/>
                <w:szCs w:val="20"/>
              </w:rPr>
            </w:pPr>
            <w:r>
              <w:rPr>
                <w:rFonts w:ascii="SimSun" w:hAnsi="SimSun" w:eastAsia="SimSun" w:cs="SimSun"/>
                <w:sz w:val="20"/>
                <w:szCs w:val="20"/>
                <w:spacing w:val="7"/>
              </w:rPr>
              <w:t>现状监测因子</w:t>
            </w:r>
          </w:p>
        </w:tc>
        <w:tc>
          <w:tcPr>
            <w:tcW w:w="6291" w:type="dxa"/>
            <w:vAlign w:val="top"/>
            <w:gridSpan w:val="6"/>
          </w:tcPr>
          <w:p>
            <w:pPr>
              <w:pStyle w:val="TableText"/>
              <w:ind w:left="582"/>
              <w:spacing w:before="60" w:line="221" w:lineRule="auto"/>
              <w:rPr>
                <w:rFonts w:ascii="SimSun" w:hAnsi="SimSun" w:eastAsia="SimSun" w:cs="SimSun"/>
              </w:rPr>
            </w:pPr>
            <w:r>
              <w:rPr>
                <w:rFonts w:ascii="SimSun" w:hAnsi="SimSun" w:eastAsia="SimSun" w:cs="SimSun"/>
                <w:spacing w:val="9"/>
              </w:rPr>
              <w:t>砷、镉、铬、铜、铅、汞、镍、锌、</w:t>
            </w:r>
            <w:r>
              <w:rPr/>
              <w:t>pH</w:t>
            </w:r>
            <w:r>
              <w:rPr>
                <w:spacing w:val="9"/>
              </w:rPr>
              <w:t xml:space="preserve"> </w:t>
            </w:r>
            <w:r>
              <w:rPr>
                <w:rFonts w:ascii="SimSun" w:hAnsi="SimSun" w:eastAsia="SimSun" w:cs="SimSun"/>
                <w:spacing w:val="9"/>
              </w:rPr>
              <w:t>值和土壤含盐量</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70"/>
              <w:spacing w:before="97" w:line="215" w:lineRule="auto"/>
              <w:rPr>
                <w:rFonts w:ascii="SimSun" w:hAnsi="SimSun" w:eastAsia="SimSun" w:cs="SimSun"/>
                <w:sz w:val="20"/>
                <w:szCs w:val="20"/>
              </w:rPr>
            </w:pPr>
            <w:r>
              <w:rPr>
                <w:rFonts w:ascii="SimSun" w:hAnsi="SimSun" w:eastAsia="SimSun" w:cs="SimSun"/>
                <w:sz w:val="20"/>
                <w:szCs w:val="20"/>
                <w:spacing w:val="8"/>
              </w:rPr>
              <w:t>现</w:t>
            </w:r>
            <w:r>
              <w:rPr>
                <w:rFonts w:ascii="SimSun" w:hAnsi="SimSun" w:eastAsia="SimSun" w:cs="SimSun"/>
                <w:sz w:val="20"/>
                <w:szCs w:val="20"/>
                <w:spacing w:val="19"/>
              </w:rPr>
              <w:t xml:space="preserve"> </w:t>
            </w:r>
            <w:r>
              <w:rPr>
                <w:rFonts w:ascii="SimSun" w:hAnsi="SimSun" w:eastAsia="SimSun" w:cs="SimSun"/>
                <w:sz w:val="20"/>
                <w:szCs w:val="20"/>
                <w:spacing w:val="8"/>
              </w:rPr>
              <w:t>状</w:t>
            </w:r>
            <w:r>
              <w:rPr>
                <w:rFonts w:ascii="SimSun" w:hAnsi="SimSun" w:eastAsia="SimSun" w:cs="SimSun"/>
                <w:sz w:val="20"/>
                <w:szCs w:val="20"/>
                <w:spacing w:val="18"/>
              </w:rPr>
              <w:t xml:space="preserve"> </w:t>
            </w:r>
            <w:r>
              <w:rPr>
                <w:rFonts w:ascii="SimSun" w:hAnsi="SimSun" w:eastAsia="SimSun" w:cs="SimSun"/>
                <w:sz w:val="20"/>
                <w:szCs w:val="20"/>
                <w:spacing w:val="8"/>
              </w:rPr>
              <w:t>评</w:t>
            </w:r>
            <w:r>
              <w:rPr>
                <w:rFonts w:ascii="SimSun" w:hAnsi="SimSun" w:eastAsia="SimSun" w:cs="SimSun"/>
                <w:sz w:val="20"/>
                <w:szCs w:val="20"/>
                <w:spacing w:val="15"/>
              </w:rPr>
              <w:t xml:space="preserve"> </w:t>
            </w:r>
            <w:r>
              <w:rPr>
                <w:rFonts w:ascii="SimSun" w:hAnsi="SimSun" w:eastAsia="SimSun" w:cs="SimSun"/>
                <w:sz w:val="20"/>
                <w:szCs w:val="20"/>
                <w:spacing w:val="8"/>
              </w:rPr>
              <w:t>价</w:t>
            </w:r>
          </w:p>
        </w:tc>
        <w:tc>
          <w:tcPr>
            <w:tcW w:w="1643" w:type="dxa"/>
            <w:vAlign w:val="top"/>
          </w:tcPr>
          <w:p>
            <w:pPr>
              <w:ind w:left="403"/>
              <w:spacing w:before="60" w:line="226" w:lineRule="auto"/>
              <w:rPr>
                <w:rFonts w:ascii="SimSun" w:hAnsi="SimSun" w:eastAsia="SimSun" w:cs="SimSun"/>
                <w:sz w:val="20"/>
                <w:szCs w:val="20"/>
              </w:rPr>
            </w:pPr>
            <w:r>
              <w:rPr>
                <w:rFonts w:ascii="SimSun" w:hAnsi="SimSun" w:eastAsia="SimSun" w:cs="SimSun"/>
                <w:sz w:val="20"/>
                <w:szCs w:val="20"/>
                <w:spacing w:val="7"/>
              </w:rPr>
              <w:t>评价因子</w:t>
            </w:r>
          </w:p>
        </w:tc>
        <w:tc>
          <w:tcPr>
            <w:tcW w:w="6291" w:type="dxa"/>
            <w:vAlign w:val="top"/>
            <w:gridSpan w:val="6"/>
          </w:tcPr>
          <w:p>
            <w:pPr>
              <w:pStyle w:val="TableText"/>
              <w:ind w:left="1963"/>
              <w:spacing w:before="60" w:line="221" w:lineRule="auto"/>
              <w:rPr>
                <w:rFonts w:ascii="SimSun" w:hAnsi="SimSun" w:eastAsia="SimSun" w:cs="SimSun"/>
              </w:rPr>
            </w:pPr>
            <w:r>
              <w:rPr/>
              <w:t>pH</w:t>
            </w:r>
            <w:r>
              <w:rPr>
                <w:spacing w:val="-21"/>
              </w:rPr>
              <w:t xml:space="preserve"> </w:t>
            </w:r>
            <w:r>
              <w:rPr>
                <w:rFonts w:ascii="SimSun" w:hAnsi="SimSun" w:eastAsia="SimSun" w:cs="SimSun"/>
                <w:spacing w:val="8"/>
              </w:rPr>
              <w:t>、土壤含盐量、石油烃</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3"/>
              <w:spacing w:before="60" w:line="226" w:lineRule="auto"/>
              <w:rPr>
                <w:rFonts w:ascii="SimSun" w:hAnsi="SimSun" w:eastAsia="SimSun" w:cs="SimSun"/>
                <w:sz w:val="20"/>
                <w:szCs w:val="20"/>
              </w:rPr>
            </w:pPr>
            <w:r>
              <w:rPr>
                <w:rFonts w:ascii="SimSun" w:hAnsi="SimSun" w:eastAsia="SimSun" w:cs="SimSun"/>
                <w:sz w:val="20"/>
                <w:szCs w:val="20"/>
                <w:spacing w:val="7"/>
              </w:rPr>
              <w:t>评价标准</w:t>
            </w:r>
          </w:p>
        </w:tc>
        <w:tc>
          <w:tcPr>
            <w:tcW w:w="6291" w:type="dxa"/>
            <w:vAlign w:val="top"/>
            <w:gridSpan w:val="6"/>
          </w:tcPr>
          <w:p>
            <w:pPr>
              <w:pStyle w:val="TableText"/>
              <w:ind w:left="212"/>
              <w:spacing w:before="61" w:line="225" w:lineRule="auto"/>
              <w:rPr>
                <w:rFonts w:ascii="SimSun" w:hAnsi="SimSun" w:eastAsia="SimSun" w:cs="SimSun"/>
              </w:rPr>
            </w:pPr>
            <w:r>
              <w:rPr/>
              <w:t>GB</w:t>
            </w:r>
            <w:r>
              <w:rPr>
                <w:spacing w:val="35"/>
                <w:w w:val="101"/>
              </w:rPr>
              <w:t xml:space="preserve"> </w:t>
            </w:r>
            <w:r>
              <w:rPr/>
              <w:t>15618</w:t>
            </w:r>
            <w:r>
              <w:rPr>
                <w:rFonts w:ascii="MS UI Gothic" w:hAnsi="MS UI Gothic" w:eastAsia="MS UI Gothic" w:cs="MS UI Gothic"/>
              </w:rPr>
              <w:t>☑</w:t>
            </w:r>
            <w:r>
              <w:rPr>
                <w:rFonts w:ascii="SimSun" w:hAnsi="SimSun" w:eastAsia="SimSun" w:cs="SimSun"/>
              </w:rPr>
              <w:t>；</w:t>
            </w:r>
            <w:r>
              <w:rPr/>
              <w:t>GB 36600</w:t>
            </w:r>
            <w:r>
              <w:rPr>
                <w:spacing w:val="9"/>
              </w:rPr>
              <w:t xml:space="preserve">    </w:t>
            </w:r>
            <w:r>
              <w:rPr>
                <w:rFonts w:ascii="SimSun" w:hAnsi="SimSun" w:eastAsia="SimSun" w:cs="SimSun"/>
              </w:rPr>
              <w:t>；表</w:t>
            </w:r>
            <w:r>
              <w:rPr>
                <w:rFonts w:ascii="SimSun" w:hAnsi="SimSun" w:eastAsia="SimSun" w:cs="SimSun"/>
                <w:spacing w:val="-42"/>
              </w:rPr>
              <w:t xml:space="preserve"> </w:t>
            </w:r>
            <w:r>
              <w:rPr/>
              <w:t>D.</w:t>
            </w:r>
            <w:r>
              <w:rPr>
                <w:spacing w:val="-25"/>
              </w:rPr>
              <w:t xml:space="preserve"> </w:t>
            </w:r>
            <w:r>
              <w:rPr/>
              <w:t>1</w:t>
            </w:r>
            <w:r>
              <w:rPr>
                <w:spacing w:val="9"/>
              </w:rPr>
              <w:t xml:space="preserve">    </w:t>
            </w:r>
            <w:r>
              <w:rPr>
                <w:rFonts w:ascii="SimSun" w:hAnsi="SimSun" w:eastAsia="SimSun" w:cs="SimSun"/>
              </w:rPr>
              <w:t>；表 </w:t>
            </w:r>
            <w:r>
              <w:rPr/>
              <w:t>D.2     </w:t>
            </w:r>
            <w:r>
              <w:rPr>
                <w:rFonts w:ascii="SimSun" w:hAnsi="SimSun" w:eastAsia="SimSun" w:cs="SimSun"/>
              </w:rPr>
              <w:t>；其他 (     )</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197"/>
              <w:spacing w:before="224" w:line="226" w:lineRule="auto"/>
              <w:rPr>
                <w:rFonts w:ascii="SimSun" w:hAnsi="SimSun" w:eastAsia="SimSun" w:cs="SimSun"/>
                <w:sz w:val="20"/>
                <w:szCs w:val="20"/>
              </w:rPr>
            </w:pPr>
            <w:r>
              <w:rPr>
                <w:rFonts w:ascii="SimSun" w:hAnsi="SimSun" w:eastAsia="SimSun" w:cs="SimSun"/>
                <w:sz w:val="20"/>
                <w:szCs w:val="20"/>
                <w:spacing w:val="7"/>
              </w:rPr>
              <w:t>现状评价结论</w:t>
            </w:r>
          </w:p>
        </w:tc>
        <w:tc>
          <w:tcPr>
            <w:tcW w:w="6291" w:type="dxa"/>
            <w:vAlign w:val="top"/>
            <w:gridSpan w:val="6"/>
          </w:tcPr>
          <w:p>
            <w:pPr>
              <w:pStyle w:val="TableText"/>
              <w:ind w:left="19" w:right="14" w:hanging="8"/>
              <w:spacing w:before="59" w:line="271" w:lineRule="auto"/>
              <w:rPr>
                <w:rFonts w:ascii="SimSun" w:hAnsi="SimSun" w:eastAsia="SimSun" w:cs="SimSun"/>
              </w:rPr>
            </w:pPr>
            <w:r>
              <w:rPr>
                <w:rFonts w:ascii="SimSun" w:hAnsi="SimSun" w:eastAsia="SimSun" w:cs="SimSun"/>
                <w:spacing w:val="26"/>
              </w:rPr>
              <w:t>符合《</w:t>
            </w:r>
            <w:r>
              <w:rPr>
                <w:rFonts w:ascii="SimSun" w:hAnsi="SimSun" w:eastAsia="SimSun" w:cs="SimSun"/>
                <w:spacing w:val="-45"/>
              </w:rPr>
              <w:t xml:space="preserve"> </w:t>
            </w:r>
            <w:r>
              <w:rPr>
                <w:rFonts w:ascii="SimSun" w:hAnsi="SimSun" w:eastAsia="SimSun" w:cs="SimSun"/>
                <w:spacing w:val="26"/>
              </w:rPr>
              <w:t>土壤环境质量农用地土壤污染风险管控标准（试行</w:t>
            </w:r>
            <w:r>
              <w:rPr>
                <w:rFonts w:ascii="SimSun" w:hAnsi="SimSun" w:eastAsia="SimSun" w:cs="SimSun"/>
                <w:spacing w:val="-46"/>
              </w:rPr>
              <w:t xml:space="preserve"> </w:t>
            </w:r>
            <w:r>
              <w:rPr>
                <w:rFonts w:ascii="SimSun" w:hAnsi="SimSun" w:eastAsia="SimSun" w:cs="SimSun"/>
                <w:spacing w:val="26"/>
              </w:rPr>
              <w:t>）</w:t>
            </w:r>
            <w:r>
              <w:rPr>
                <w:rFonts w:ascii="SimSun" w:hAnsi="SimSun" w:eastAsia="SimSun" w:cs="SimSun"/>
                <w:spacing w:val="-52"/>
              </w:rPr>
              <w:t xml:space="preserve"> </w:t>
            </w:r>
            <w:r>
              <w:rPr>
                <w:rFonts w:ascii="SimSun" w:hAnsi="SimSun" w:eastAsia="SimSun" w:cs="SimSun"/>
                <w:spacing w:val="26"/>
              </w:rPr>
              <w:t>》</w:t>
            </w:r>
            <w:r>
              <w:rPr>
                <w:rFonts w:ascii="SimSun" w:hAnsi="SimSun" w:eastAsia="SimSun" w:cs="SimSun"/>
              </w:rPr>
              <w:t xml:space="preserve"> </w:t>
            </w:r>
            <w:r>
              <w:rPr>
                <w:rFonts w:ascii="SimSun" w:hAnsi="SimSun" w:eastAsia="SimSun" w:cs="SimSun"/>
                <w:spacing w:val="6"/>
              </w:rPr>
              <w:t>（</w:t>
            </w:r>
            <w:r>
              <w:rPr/>
              <w:t>GB</w:t>
            </w:r>
            <w:r>
              <w:rPr>
                <w:spacing w:val="6"/>
              </w:rPr>
              <w:t>15618-2018</w:t>
            </w:r>
            <w:r>
              <w:rPr>
                <w:rFonts w:ascii="SimSun" w:hAnsi="SimSun" w:eastAsia="SimSun" w:cs="SimSun"/>
                <w:spacing w:val="6"/>
              </w:rPr>
              <w:t>）限值要求</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401"/>
              <w:spacing w:before="97" w:line="216" w:lineRule="auto"/>
              <w:rPr>
                <w:rFonts w:ascii="SimSun" w:hAnsi="SimSun" w:eastAsia="SimSun" w:cs="SimSun"/>
                <w:sz w:val="20"/>
                <w:szCs w:val="20"/>
              </w:rPr>
            </w:pPr>
            <w:r>
              <w:rPr>
                <w:rFonts w:ascii="SimSun" w:hAnsi="SimSun" w:eastAsia="SimSun" w:cs="SimSun"/>
                <w:sz w:val="20"/>
                <w:szCs w:val="20"/>
                <w:spacing w:val="8"/>
              </w:rPr>
              <w:t>影</w:t>
            </w:r>
            <w:r>
              <w:rPr>
                <w:rFonts w:ascii="SimSun" w:hAnsi="SimSun" w:eastAsia="SimSun" w:cs="SimSun"/>
                <w:sz w:val="20"/>
                <w:szCs w:val="20"/>
                <w:spacing w:val="17"/>
              </w:rPr>
              <w:t xml:space="preserve"> </w:t>
            </w:r>
            <w:r>
              <w:rPr>
                <w:rFonts w:ascii="SimSun" w:hAnsi="SimSun" w:eastAsia="SimSun" w:cs="SimSun"/>
                <w:sz w:val="20"/>
                <w:szCs w:val="20"/>
                <w:spacing w:val="8"/>
              </w:rPr>
              <w:t>响</w:t>
            </w:r>
            <w:r>
              <w:rPr>
                <w:rFonts w:ascii="SimSun" w:hAnsi="SimSun" w:eastAsia="SimSun" w:cs="SimSun"/>
                <w:sz w:val="20"/>
                <w:szCs w:val="20"/>
                <w:spacing w:val="17"/>
              </w:rPr>
              <w:t xml:space="preserve"> </w:t>
            </w:r>
            <w:r>
              <w:rPr>
                <w:rFonts w:ascii="SimSun" w:hAnsi="SimSun" w:eastAsia="SimSun" w:cs="SimSun"/>
                <w:sz w:val="20"/>
                <w:szCs w:val="20"/>
                <w:spacing w:val="8"/>
              </w:rPr>
              <w:t>预</w:t>
            </w:r>
            <w:r>
              <w:rPr>
                <w:rFonts w:ascii="SimSun" w:hAnsi="SimSun" w:eastAsia="SimSun" w:cs="SimSun"/>
                <w:sz w:val="20"/>
                <w:szCs w:val="20"/>
                <w:spacing w:val="18"/>
              </w:rPr>
              <w:t xml:space="preserve"> </w:t>
            </w:r>
            <w:r>
              <w:rPr>
                <w:rFonts w:ascii="SimSun" w:hAnsi="SimSun" w:eastAsia="SimSun" w:cs="SimSun"/>
                <w:sz w:val="20"/>
                <w:szCs w:val="20"/>
                <w:spacing w:val="8"/>
              </w:rPr>
              <w:t>测</w:t>
            </w:r>
          </w:p>
        </w:tc>
        <w:tc>
          <w:tcPr>
            <w:tcW w:w="1643" w:type="dxa"/>
            <w:vAlign w:val="top"/>
          </w:tcPr>
          <w:p>
            <w:pPr>
              <w:ind w:left="406"/>
              <w:spacing w:before="60" w:line="228" w:lineRule="auto"/>
              <w:rPr>
                <w:rFonts w:ascii="SimSun" w:hAnsi="SimSun" w:eastAsia="SimSun" w:cs="SimSun"/>
                <w:sz w:val="20"/>
                <w:szCs w:val="20"/>
              </w:rPr>
            </w:pPr>
            <w:r>
              <w:rPr>
                <w:rFonts w:ascii="SimSun" w:hAnsi="SimSun" w:eastAsia="SimSun" w:cs="SimSun"/>
                <w:sz w:val="20"/>
                <w:szCs w:val="20"/>
                <w:spacing w:val="6"/>
              </w:rPr>
              <w:t>预测因子</w:t>
            </w:r>
          </w:p>
        </w:tc>
        <w:tc>
          <w:tcPr>
            <w:tcW w:w="6291" w:type="dxa"/>
            <w:vAlign w:val="top"/>
            <w:gridSpan w:val="6"/>
          </w:tcPr>
          <w:p>
            <w:pPr>
              <w:pStyle w:val="TableText"/>
              <w:ind w:left="2383"/>
              <w:spacing w:before="61" w:line="221" w:lineRule="auto"/>
              <w:rPr>
                <w:rFonts w:ascii="SimSun" w:hAnsi="SimSun" w:eastAsia="SimSun" w:cs="SimSun"/>
              </w:rPr>
            </w:pPr>
            <w:r>
              <w:rPr/>
              <w:t>pH</w:t>
            </w:r>
            <w:r>
              <w:rPr>
                <w:spacing w:val="-23"/>
              </w:rPr>
              <w:t xml:space="preserve"> </w:t>
            </w:r>
            <w:r>
              <w:rPr>
                <w:rFonts w:ascii="SimSun" w:hAnsi="SimSun" w:eastAsia="SimSun" w:cs="SimSun"/>
                <w:spacing w:val="7"/>
              </w:rPr>
              <w:t>、土壤含盐量</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406"/>
              <w:spacing w:before="60" w:line="228" w:lineRule="auto"/>
              <w:rPr>
                <w:rFonts w:ascii="SimSun" w:hAnsi="SimSun" w:eastAsia="SimSun" w:cs="SimSun"/>
                <w:sz w:val="20"/>
                <w:szCs w:val="20"/>
              </w:rPr>
            </w:pPr>
            <w:r>
              <w:rPr>
                <w:rFonts w:ascii="SimSun" w:hAnsi="SimSun" w:eastAsia="SimSun" w:cs="SimSun"/>
                <w:sz w:val="20"/>
                <w:szCs w:val="20"/>
                <w:spacing w:val="6"/>
              </w:rPr>
              <w:t>预测方法</w:t>
            </w:r>
          </w:p>
        </w:tc>
        <w:tc>
          <w:tcPr>
            <w:tcW w:w="6291" w:type="dxa"/>
            <w:vAlign w:val="top"/>
            <w:gridSpan w:val="6"/>
          </w:tcPr>
          <w:p>
            <w:pPr>
              <w:pStyle w:val="TableText"/>
              <w:ind w:left="1172"/>
              <w:spacing w:before="61" w:line="225" w:lineRule="auto"/>
              <w:rPr>
                <w:rFonts w:ascii="SimSun" w:hAnsi="SimSun" w:eastAsia="SimSun" w:cs="SimSun"/>
              </w:rPr>
            </w:pPr>
            <w:r>
              <w:rPr>
                <w:rFonts w:ascii="SimSun" w:hAnsi="SimSun" w:eastAsia="SimSun" w:cs="SimSun"/>
                <w:spacing w:val="4"/>
              </w:rPr>
              <w:t>附录</w:t>
            </w:r>
            <w:r>
              <w:rPr>
                <w:rFonts w:ascii="SimSun" w:hAnsi="SimSun" w:eastAsia="SimSun" w:cs="SimSun"/>
                <w:spacing w:val="-38"/>
              </w:rPr>
              <w:t xml:space="preserve"> </w:t>
            </w:r>
            <w:r>
              <w:rPr>
                <w:spacing w:val="4"/>
              </w:rPr>
              <w:t>E□</w:t>
            </w:r>
            <w:r>
              <w:rPr>
                <w:rFonts w:ascii="SimSun" w:hAnsi="SimSun" w:eastAsia="SimSun" w:cs="SimSun"/>
                <w:spacing w:val="4"/>
              </w:rPr>
              <w:t>；附录 </w:t>
            </w:r>
            <w:r>
              <w:rPr>
                <w:spacing w:val="4"/>
              </w:rPr>
              <w:t>F□</w:t>
            </w:r>
            <w:r>
              <w:rPr>
                <w:rFonts w:ascii="SimSun" w:hAnsi="SimSun" w:eastAsia="SimSun" w:cs="SimSun"/>
                <w:spacing w:val="4"/>
              </w:rPr>
              <w:t>；其他（</w:t>
            </w:r>
            <w:r>
              <w:rPr>
                <w:rFonts w:ascii="SimSun" w:hAnsi="SimSun" w:eastAsia="SimSun" w:cs="SimSun"/>
                <w:spacing w:val="9"/>
              </w:rPr>
              <w:t xml:space="preserve">    </w:t>
            </w:r>
            <w:r>
              <w:rPr>
                <w:rFonts w:ascii="SimSun" w:hAnsi="SimSun" w:eastAsia="SimSun" w:cs="SimSun"/>
                <w:spacing w:val="4"/>
              </w:rPr>
              <w:t>定性分析）</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tcPr>
          <w:p>
            <w:pPr>
              <w:ind w:left="197"/>
              <w:spacing w:before="221" w:line="228" w:lineRule="auto"/>
              <w:rPr>
                <w:rFonts w:ascii="SimSun" w:hAnsi="SimSun" w:eastAsia="SimSun" w:cs="SimSun"/>
                <w:sz w:val="20"/>
                <w:szCs w:val="20"/>
              </w:rPr>
            </w:pPr>
            <w:r>
              <w:rPr>
                <w:rFonts w:ascii="SimSun" w:hAnsi="SimSun" w:eastAsia="SimSun" w:cs="SimSun"/>
                <w:sz w:val="20"/>
                <w:szCs w:val="20"/>
                <w:spacing w:val="7"/>
              </w:rPr>
              <w:t>预测分析内容</w:t>
            </w:r>
          </w:p>
        </w:tc>
        <w:tc>
          <w:tcPr>
            <w:tcW w:w="6291" w:type="dxa"/>
            <w:vAlign w:val="top"/>
            <w:gridSpan w:val="6"/>
          </w:tcPr>
          <w:p>
            <w:pPr>
              <w:pStyle w:val="TableText"/>
              <w:ind w:left="496"/>
              <w:spacing w:before="60" w:line="228" w:lineRule="auto"/>
              <w:rPr>
                <w:rFonts w:ascii="SimSun" w:hAnsi="SimSun" w:eastAsia="SimSun" w:cs="SimSun"/>
              </w:rPr>
            </w:pPr>
            <w:r>
              <w:rPr>
                <w:rFonts w:ascii="SimSun" w:hAnsi="SimSun" w:eastAsia="SimSun" w:cs="SimSun"/>
                <w:spacing w:val="7"/>
              </w:rPr>
              <w:t>影响范围（矿田范围内全部及占地范围外延</w:t>
            </w:r>
            <w:r>
              <w:rPr>
                <w:rFonts w:ascii="SimSun" w:hAnsi="SimSun" w:eastAsia="SimSun" w:cs="SimSun"/>
                <w:spacing w:val="-17"/>
              </w:rPr>
              <w:t xml:space="preserve"> </w:t>
            </w:r>
            <w:r>
              <w:rPr>
                <w:spacing w:val="7"/>
              </w:rPr>
              <w:t>1</w:t>
            </w:r>
            <w:r>
              <w:rPr/>
              <w:t>km</w:t>
            </w:r>
            <w:r>
              <w:rPr>
                <w:spacing w:val="32"/>
              </w:rPr>
              <w:t xml:space="preserve"> </w:t>
            </w:r>
            <w:r>
              <w:rPr>
                <w:rFonts w:ascii="SimSun" w:hAnsi="SimSun" w:eastAsia="SimSun" w:cs="SimSun"/>
                <w:spacing w:val="7"/>
              </w:rPr>
              <w:t>的范围）</w:t>
            </w:r>
          </w:p>
          <w:p>
            <w:pPr>
              <w:ind w:left="2205"/>
              <w:spacing w:before="77" w:line="228" w:lineRule="auto"/>
              <w:rPr>
                <w:rFonts w:ascii="SimSun" w:hAnsi="SimSun" w:eastAsia="SimSun" w:cs="SimSun"/>
                <w:sz w:val="20"/>
                <w:szCs w:val="20"/>
              </w:rPr>
            </w:pPr>
            <w:r>
              <w:rPr>
                <w:rFonts w:ascii="SimSun" w:hAnsi="SimSun" w:eastAsia="SimSun" w:cs="SimSun"/>
                <w:sz w:val="20"/>
                <w:szCs w:val="20"/>
                <w:spacing w:val="7"/>
              </w:rPr>
              <w:t>影响程度（可接受）</w:t>
            </w:r>
          </w:p>
        </w:tc>
        <w:tc>
          <w:tcPr>
            <w:tcW w:w="739" w:type="dxa"/>
            <w:vAlign w:val="top"/>
          </w:tcPr>
          <w:p>
            <w:pPr>
              <w:rPr>
                <w:rFonts w:ascii="Arial"/>
                <w:sz w:val="21"/>
              </w:rPr>
            </w:pPr>
            <w:r/>
          </w:p>
        </w:tc>
      </w:tr>
      <w:tr>
        <w:trPr>
          <w:trHeight w:val="657"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406"/>
              <w:spacing w:before="221" w:line="228" w:lineRule="auto"/>
              <w:rPr>
                <w:rFonts w:ascii="SimSun" w:hAnsi="SimSun" w:eastAsia="SimSun" w:cs="SimSun"/>
                <w:sz w:val="20"/>
                <w:szCs w:val="20"/>
              </w:rPr>
            </w:pPr>
            <w:r>
              <w:rPr>
                <w:rFonts w:ascii="SimSun" w:hAnsi="SimSun" w:eastAsia="SimSun" w:cs="SimSun"/>
                <w:sz w:val="20"/>
                <w:szCs w:val="20"/>
                <w:spacing w:val="6"/>
              </w:rPr>
              <w:t>预测结论</w:t>
            </w:r>
          </w:p>
        </w:tc>
        <w:tc>
          <w:tcPr>
            <w:tcW w:w="6291" w:type="dxa"/>
            <w:vAlign w:val="top"/>
            <w:gridSpan w:val="6"/>
          </w:tcPr>
          <w:p>
            <w:pPr>
              <w:pStyle w:val="TableText"/>
              <w:ind w:left="1652"/>
              <w:spacing w:before="66" w:line="216" w:lineRule="auto"/>
              <w:rPr>
                <w:rFonts w:ascii="SimSun" w:hAnsi="SimSun" w:eastAsia="SimSun" w:cs="SimSun"/>
              </w:rPr>
            </w:pPr>
            <w:r>
              <w:rPr>
                <w:rFonts w:ascii="SimSun" w:hAnsi="SimSun" w:eastAsia="SimSun" w:cs="SimSun"/>
                <w:spacing w:val="1"/>
              </w:rPr>
              <w:t>达标结论：</w:t>
            </w:r>
            <w:r>
              <w:rPr>
                <w:spacing w:val="1"/>
              </w:rPr>
              <w:t>a</w:t>
            </w:r>
            <w:r>
              <w:rPr>
                <w:rFonts w:ascii="SimSun" w:hAnsi="SimSun" w:eastAsia="SimSun" w:cs="SimSun"/>
                <w:spacing w:val="1"/>
              </w:rPr>
              <w:t>）</w:t>
            </w:r>
            <w:r>
              <w:rPr>
                <w:rFonts w:ascii="SimSun" w:hAnsi="SimSun" w:eastAsia="SimSun" w:cs="SimSun"/>
                <w:spacing w:val="-69"/>
              </w:rPr>
              <w:t xml:space="preserve"> </w:t>
            </w:r>
            <w:r>
              <w:rPr>
                <w:rFonts w:ascii="Segoe UI Symbol" w:hAnsi="Segoe UI Symbol" w:eastAsia="Segoe UI Symbol" w:cs="Segoe UI Symbol"/>
                <w:spacing w:val="1"/>
              </w:rPr>
              <w:t>☑</w:t>
            </w:r>
            <w:r>
              <w:rPr>
                <w:rFonts w:ascii="Segoe UI Symbol" w:hAnsi="Segoe UI Symbol" w:eastAsia="Segoe UI Symbol" w:cs="Segoe UI Symbol"/>
                <w:spacing w:val="-29"/>
              </w:rPr>
              <w:t xml:space="preserve"> </w:t>
            </w:r>
            <w:r>
              <w:rPr>
                <w:rFonts w:ascii="SimSun" w:hAnsi="SimSun" w:eastAsia="SimSun" w:cs="SimSun"/>
                <w:spacing w:val="1"/>
              </w:rPr>
              <w:t>；</w:t>
            </w:r>
            <w:r>
              <w:rPr>
                <w:spacing w:val="1"/>
              </w:rPr>
              <w:t>b</w:t>
            </w:r>
            <w:r>
              <w:rPr>
                <w:rFonts w:ascii="SimSun" w:hAnsi="SimSun" w:eastAsia="SimSun" w:cs="SimSun"/>
                <w:spacing w:val="1"/>
              </w:rPr>
              <w:t>）</w:t>
            </w:r>
            <w:r>
              <w:rPr>
                <w:rFonts w:ascii="SimSun" w:hAnsi="SimSun" w:eastAsia="SimSun" w:cs="SimSun"/>
                <w:spacing w:val="22"/>
              </w:rPr>
              <w:t xml:space="preserve">  </w:t>
            </w:r>
            <w:r>
              <w:rPr>
                <w:rFonts w:ascii="SimSun" w:hAnsi="SimSun" w:eastAsia="SimSun" w:cs="SimSun"/>
                <w:spacing w:val="1"/>
              </w:rPr>
              <w:t>；</w:t>
            </w:r>
            <w:r>
              <w:rPr>
                <w:spacing w:val="1"/>
              </w:rPr>
              <w:t>c</w:t>
            </w:r>
            <w:r>
              <w:rPr>
                <w:rFonts w:ascii="SimSun" w:hAnsi="SimSun" w:eastAsia="SimSun" w:cs="SimSun"/>
                <w:spacing w:val="1"/>
              </w:rPr>
              <w:t>）</w:t>
            </w:r>
          </w:p>
          <w:p>
            <w:pPr>
              <w:pStyle w:val="TableText"/>
              <w:ind w:left="1980"/>
              <w:spacing w:before="72" w:line="228" w:lineRule="auto"/>
              <w:rPr/>
            </w:pPr>
            <w:r>
              <w:rPr>
                <w:rFonts w:ascii="SimSun" w:hAnsi="SimSun" w:eastAsia="SimSun" w:cs="SimSun"/>
                <w:spacing w:val="2"/>
              </w:rPr>
              <w:t>不达标结论：</w:t>
            </w:r>
            <w:r>
              <w:rPr>
                <w:spacing w:val="2"/>
              </w:rPr>
              <w:t>a</w:t>
            </w:r>
            <w:r>
              <w:rPr>
                <w:rFonts w:ascii="SimSun" w:hAnsi="SimSun" w:eastAsia="SimSun" w:cs="SimSun"/>
                <w:spacing w:val="2"/>
              </w:rPr>
              <w:t>）</w:t>
            </w:r>
            <w:r>
              <w:rPr>
                <w:rFonts w:ascii="SimSun" w:hAnsi="SimSun" w:eastAsia="SimSun" w:cs="SimSun"/>
                <w:spacing w:val="-68"/>
              </w:rPr>
              <w:t xml:space="preserve"> </w:t>
            </w:r>
            <w:r>
              <w:rPr>
                <w:spacing w:val="2"/>
              </w:rPr>
              <w:t>□</w:t>
            </w:r>
            <w:r>
              <w:rPr>
                <w:spacing w:val="-23"/>
              </w:rPr>
              <w:t xml:space="preserve"> </w:t>
            </w:r>
            <w:r>
              <w:rPr>
                <w:rFonts w:ascii="SimSun" w:hAnsi="SimSun" w:eastAsia="SimSun" w:cs="SimSun"/>
                <w:spacing w:val="2"/>
              </w:rPr>
              <w:t>；</w:t>
            </w:r>
            <w:r>
              <w:rPr>
                <w:spacing w:val="2"/>
              </w:rPr>
              <w:t>b</w:t>
            </w:r>
            <w:r>
              <w:rPr>
                <w:rFonts w:ascii="SimSun" w:hAnsi="SimSun" w:eastAsia="SimSun" w:cs="SimSun"/>
                <w:spacing w:val="2"/>
              </w:rPr>
              <w:t>）</w:t>
            </w:r>
            <w:r>
              <w:rPr>
                <w:rFonts w:ascii="SimSun" w:hAnsi="SimSun" w:eastAsia="SimSun" w:cs="SimSun"/>
                <w:spacing w:val="-75"/>
              </w:rPr>
              <w:t xml:space="preserve"> </w:t>
            </w:r>
            <w:r>
              <w:rPr>
                <w:spacing w:val="2"/>
              </w:rPr>
              <w:t>□</w:t>
            </w:r>
          </w:p>
        </w:tc>
        <w:tc>
          <w:tcPr>
            <w:tcW w:w="739" w:type="dxa"/>
            <w:vAlign w:val="top"/>
          </w:tcPr>
          <w:p>
            <w:pPr>
              <w:rPr>
                <w:rFonts w:ascii="Arial"/>
                <w:sz w:val="21"/>
              </w:rPr>
            </w:pPr>
            <w:r/>
          </w:p>
        </w:tc>
      </w:tr>
      <w:tr>
        <w:trPr>
          <w:trHeight w:val="331" w:hRule="atLeast"/>
        </w:trPr>
        <w:tc>
          <w:tcPr>
            <w:tcW w:w="410" w:type="dxa"/>
            <w:vAlign w:val="top"/>
            <w:vMerge w:val="restart"/>
            <w:textDirection w:val="tbRlV"/>
            <w:tcBorders>
              <w:bottom w:val="nil"/>
            </w:tcBorders>
          </w:tcPr>
          <w:p>
            <w:pPr>
              <w:ind w:left="400"/>
              <w:spacing w:before="97" w:line="217" w:lineRule="auto"/>
              <w:rPr>
                <w:rFonts w:ascii="SimSun" w:hAnsi="SimSun" w:eastAsia="SimSun" w:cs="SimSun"/>
                <w:sz w:val="20"/>
                <w:szCs w:val="20"/>
              </w:rPr>
            </w:pPr>
            <w:r>
              <w:rPr>
                <w:rFonts w:ascii="SimSun" w:hAnsi="SimSun" w:eastAsia="SimSun" w:cs="SimSun"/>
                <w:sz w:val="20"/>
                <w:szCs w:val="20"/>
                <w:spacing w:val="8"/>
              </w:rPr>
              <w:t>防</w:t>
            </w:r>
            <w:r>
              <w:rPr>
                <w:rFonts w:ascii="SimSun" w:hAnsi="SimSun" w:eastAsia="SimSun" w:cs="SimSun"/>
                <w:sz w:val="20"/>
                <w:szCs w:val="20"/>
                <w:spacing w:val="19"/>
              </w:rPr>
              <w:t xml:space="preserve"> </w:t>
            </w:r>
            <w:r>
              <w:rPr>
                <w:rFonts w:ascii="SimSun" w:hAnsi="SimSun" w:eastAsia="SimSun" w:cs="SimSun"/>
                <w:sz w:val="20"/>
                <w:szCs w:val="20"/>
                <w:spacing w:val="8"/>
              </w:rPr>
              <w:t>治</w:t>
            </w:r>
            <w:r>
              <w:rPr>
                <w:rFonts w:ascii="SimSun" w:hAnsi="SimSun" w:eastAsia="SimSun" w:cs="SimSun"/>
                <w:sz w:val="20"/>
                <w:szCs w:val="20"/>
                <w:spacing w:val="18"/>
              </w:rPr>
              <w:t xml:space="preserve"> </w:t>
            </w:r>
            <w:r>
              <w:rPr>
                <w:rFonts w:ascii="SimSun" w:hAnsi="SimSun" w:eastAsia="SimSun" w:cs="SimSun"/>
                <w:sz w:val="20"/>
                <w:szCs w:val="20"/>
                <w:spacing w:val="8"/>
              </w:rPr>
              <w:t>措</w:t>
            </w:r>
            <w:r>
              <w:rPr>
                <w:rFonts w:ascii="SimSun" w:hAnsi="SimSun" w:eastAsia="SimSun" w:cs="SimSun"/>
                <w:sz w:val="20"/>
                <w:szCs w:val="20"/>
                <w:spacing w:val="17"/>
              </w:rPr>
              <w:t xml:space="preserve"> </w:t>
            </w:r>
            <w:r>
              <w:rPr>
                <w:rFonts w:ascii="SimSun" w:hAnsi="SimSun" w:eastAsia="SimSun" w:cs="SimSun"/>
                <w:sz w:val="20"/>
                <w:szCs w:val="20"/>
                <w:spacing w:val="8"/>
              </w:rPr>
              <w:t>施</w:t>
            </w:r>
          </w:p>
        </w:tc>
        <w:tc>
          <w:tcPr>
            <w:tcW w:w="1643" w:type="dxa"/>
            <w:vAlign w:val="top"/>
          </w:tcPr>
          <w:p>
            <w:pPr>
              <w:ind w:left="417"/>
              <w:spacing w:before="59" w:line="228" w:lineRule="auto"/>
              <w:rPr>
                <w:rFonts w:ascii="SimSun" w:hAnsi="SimSun" w:eastAsia="SimSun" w:cs="SimSun"/>
                <w:sz w:val="20"/>
                <w:szCs w:val="20"/>
              </w:rPr>
            </w:pPr>
            <w:r>
              <w:rPr>
                <w:rFonts w:ascii="SimSun" w:hAnsi="SimSun" w:eastAsia="SimSun" w:cs="SimSun"/>
                <w:sz w:val="20"/>
                <w:szCs w:val="20"/>
                <w:spacing w:val="4"/>
              </w:rPr>
              <w:t>防控措施</w:t>
            </w:r>
          </w:p>
        </w:tc>
        <w:tc>
          <w:tcPr>
            <w:tcW w:w="6291" w:type="dxa"/>
            <w:vAlign w:val="top"/>
            <w:gridSpan w:val="6"/>
          </w:tcPr>
          <w:p>
            <w:pPr>
              <w:ind w:left="122"/>
              <w:spacing w:before="66" w:line="213" w:lineRule="auto"/>
              <w:rPr>
                <w:rFonts w:ascii="SimSun" w:hAnsi="SimSun" w:eastAsia="SimSun" w:cs="SimSun"/>
                <w:sz w:val="20"/>
                <w:szCs w:val="20"/>
              </w:rPr>
            </w:pPr>
            <w:r>
              <w:rPr>
                <w:rFonts w:ascii="SimSun" w:hAnsi="SimSun" w:eastAsia="SimSun" w:cs="SimSun"/>
                <w:sz w:val="20"/>
                <w:szCs w:val="20"/>
                <w:spacing w:val="6"/>
              </w:rPr>
              <w:t>土壤环境质量现状保障  ；源头控制</w:t>
            </w:r>
            <w:r>
              <w:rPr>
                <w:rFonts w:ascii="MS UI Gothic" w:hAnsi="MS UI Gothic" w:eastAsia="MS UI Gothic" w:cs="MS UI Gothic"/>
                <w:sz w:val="20"/>
                <w:szCs w:val="20"/>
                <w:spacing w:val="6"/>
              </w:rPr>
              <w:t>☑</w:t>
            </w:r>
            <w:r>
              <w:rPr>
                <w:rFonts w:ascii="SimSun" w:hAnsi="SimSun" w:eastAsia="SimSun" w:cs="SimSun"/>
                <w:sz w:val="20"/>
                <w:szCs w:val="20"/>
                <w:spacing w:val="6"/>
              </w:rPr>
              <w:t>；过程防控</w:t>
            </w:r>
            <w:r>
              <w:rPr>
                <w:rFonts w:ascii="Segoe UI Symbol" w:hAnsi="Segoe UI Symbol" w:eastAsia="Segoe UI Symbol" w:cs="Segoe UI Symbol"/>
                <w:sz w:val="20"/>
                <w:szCs w:val="20"/>
                <w:spacing w:val="6"/>
              </w:rPr>
              <w:t>☑</w:t>
            </w:r>
            <w:r>
              <w:rPr>
                <w:rFonts w:ascii="SimSun" w:hAnsi="SimSun" w:eastAsia="SimSun" w:cs="SimSun"/>
                <w:sz w:val="20"/>
                <w:szCs w:val="20"/>
                <w:spacing w:val="6"/>
              </w:rPr>
              <w:t>；其他 (  </w:t>
            </w:r>
            <w:r>
              <w:rPr>
                <w:rFonts w:ascii="SimSun" w:hAnsi="SimSun" w:eastAsia="SimSun" w:cs="SimSun"/>
                <w:sz w:val="20"/>
                <w:szCs w:val="20"/>
                <w:spacing w:val="5"/>
              </w:rPr>
              <w:t xml:space="preserve"> )</w:t>
            </w:r>
          </w:p>
        </w:tc>
        <w:tc>
          <w:tcPr>
            <w:tcW w:w="739" w:type="dxa"/>
            <w:vAlign w:val="top"/>
          </w:tcPr>
          <w:p>
            <w:pPr>
              <w:rPr>
                <w:rFonts w:ascii="Arial"/>
                <w:sz w:val="21"/>
              </w:rPr>
            </w:pPr>
            <w:r/>
          </w:p>
        </w:tc>
      </w:tr>
      <w:tr>
        <w:trPr>
          <w:trHeight w:val="33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ind w:left="402"/>
              <w:spacing w:before="65" w:line="228" w:lineRule="auto"/>
              <w:rPr>
                <w:rFonts w:ascii="SimSun" w:hAnsi="SimSun" w:eastAsia="SimSun" w:cs="SimSun"/>
                <w:sz w:val="20"/>
                <w:szCs w:val="20"/>
              </w:rPr>
            </w:pPr>
            <w:r>
              <w:rPr>
                <w:rFonts w:ascii="SimSun" w:hAnsi="SimSun" w:eastAsia="SimSun" w:cs="SimSun"/>
                <w:sz w:val="20"/>
                <w:szCs w:val="20"/>
                <w:spacing w:val="7"/>
              </w:rPr>
              <w:t>跟踪监测</w:t>
            </w:r>
          </w:p>
        </w:tc>
        <w:tc>
          <w:tcPr>
            <w:tcW w:w="1144" w:type="dxa"/>
            <w:vAlign w:val="top"/>
          </w:tcPr>
          <w:p>
            <w:pPr>
              <w:ind w:left="158"/>
              <w:spacing w:before="59" w:line="228" w:lineRule="auto"/>
              <w:rPr>
                <w:rFonts w:ascii="SimSun" w:hAnsi="SimSun" w:eastAsia="SimSun" w:cs="SimSun"/>
                <w:sz w:val="20"/>
                <w:szCs w:val="20"/>
              </w:rPr>
            </w:pPr>
            <w:r>
              <w:rPr>
                <w:rFonts w:ascii="SimSun" w:hAnsi="SimSun" w:eastAsia="SimSun" w:cs="SimSun"/>
                <w:sz w:val="20"/>
                <w:szCs w:val="20"/>
                <w:spacing w:val="7"/>
              </w:rPr>
              <w:t>监测点数</w:t>
            </w:r>
          </w:p>
        </w:tc>
        <w:tc>
          <w:tcPr>
            <w:tcW w:w="2427" w:type="dxa"/>
            <w:vAlign w:val="top"/>
            <w:gridSpan w:val="3"/>
          </w:tcPr>
          <w:p>
            <w:pPr>
              <w:ind w:left="798"/>
              <w:spacing w:before="59" w:line="228" w:lineRule="auto"/>
              <w:rPr>
                <w:rFonts w:ascii="SimSun" w:hAnsi="SimSun" w:eastAsia="SimSun" w:cs="SimSun"/>
                <w:sz w:val="20"/>
                <w:szCs w:val="20"/>
              </w:rPr>
            </w:pPr>
            <w:r>
              <w:rPr>
                <w:rFonts w:ascii="SimSun" w:hAnsi="SimSun" w:eastAsia="SimSun" w:cs="SimSun"/>
                <w:sz w:val="20"/>
                <w:szCs w:val="20"/>
                <w:spacing w:val="7"/>
              </w:rPr>
              <w:t>监测指标</w:t>
            </w:r>
          </w:p>
        </w:tc>
        <w:tc>
          <w:tcPr>
            <w:tcW w:w="2720" w:type="dxa"/>
            <w:vAlign w:val="top"/>
            <w:gridSpan w:val="2"/>
          </w:tcPr>
          <w:p>
            <w:pPr>
              <w:ind w:left="948"/>
              <w:spacing w:before="59" w:line="228" w:lineRule="auto"/>
              <w:rPr>
                <w:rFonts w:ascii="SimSun" w:hAnsi="SimSun" w:eastAsia="SimSun" w:cs="SimSun"/>
                <w:sz w:val="20"/>
                <w:szCs w:val="20"/>
              </w:rPr>
            </w:pPr>
            <w:r>
              <w:rPr>
                <w:rFonts w:ascii="SimSun" w:hAnsi="SimSun" w:eastAsia="SimSun" w:cs="SimSun"/>
                <w:sz w:val="20"/>
                <w:szCs w:val="20"/>
                <w:spacing w:val="7"/>
              </w:rPr>
              <w:t>监测频次</w:t>
            </w:r>
          </w:p>
        </w:tc>
        <w:tc>
          <w:tcPr>
            <w:tcW w:w="739" w:type="dxa"/>
            <w:vAlign w:val="top"/>
            <w:vMerge w:val="restart"/>
            <w:tcBorders>
              <w:bottom w:val="nil"/>
            </w:tcBorders>
          </w:tcPr>
          <w:p>
            <w:pPr>
              <w:rPr>
                <w:rFonts w:ascii="Arial"/>
                <w:sz w:val="21"/>
              </w:rPr>
            </w:pPr>
            <w:r/>
          </w:p>
        </w:tc>
      </w:tr>
      <w:tr>
        <w:trPr>
          <w:trHeight w:val="981" w:hRule="atLeast"/>
        </w:trPr>
        <w:tc>
          <w:tcPr>
            <w:tcW w:w="410" w:type="dxa"/>
            <w:vAlign w:val="top"/>
            <w:vMerge w:val="continue"/>
            <w:textDirection w:val="tbRlV"/>
            <w:tcBorders>
              <w:top w:val="nil"/>
              <w:bottom w:val="nil"/>
            </w:tcBorders>
          </w:tcPr>
          <w:p>
            <w:pPr>
              <w:rPr>
                <w:rFonts w:ascii="Arial"/>
                <w:sz w:val="21"/>
              </w:rPr>
            </w:pPr>
            <w:r/>
          </w:p>
        </w:tc>
        <w:tc>
          <w:tcPr>
            <w:tcW w:w="1643" w:type="dxa"/>
            <w:vAlign w:val="top"/>
            <w:vMerge w:val="continue"/>
            <w:tcBorders>
              <w:top w:val="nil"/>
            </w:tcBorders>
          </w:tcPr>
          <w:p>
            <w:pPr>
              <w:rPr>
                <w:rFonts w:ascii="Arial"/>
                <w:sz w:val="21"/>
              </w:rPr>
            </w:pPr>
            <w:r/>
          </w:p>
        </w:tc>
        <w:tc>
          <w:tcPr>
            <w:tcW w:w="1144" w:type="dxa"/>
            <w:vAlign w:val="top"/>
          </w:tcPr>
          <w:p>
            <w:pPr>
              <w:spacing w:line="318" w:lineRule="auto"/>
              <w:rPr>
                <w:rFonts w:ascii="Arial"/>
                <w:sz w:val="21"/>
              </w:rPr>
            </w:pPr>
            <w:r/>
          </w:p>
          <w:p>
            <w:pPr>
              <w:pStyle w:val="TableText"/>
              <w:ind w:left="393"/>
              <w:spacing w:before="65" w:line="228" w:lineRule="auto"/>
              <w:rPr>
                <w:rFonts w:ascii="SimSun" w:hAnsi="SimSun" w:eastAsia="SimSun" w:cs="SimSun"/>
              </w:rPr>
            </w:pPr>
            <w:r>
              <w:rPr>
                <w:spacing w:val="-2"/>
              </w:rPr>
              <w:t>3</w:t>
            </w:r>
            <w:r>
              <w:rPr>
                <w:spacing w:val="9"/>
              </w:rPr>
              <w:t xml:space="preserve"> </w:t>
            </w:r>
            <w:r>
              <w:rPr>
                <w:rFonts w:ascii="SimSun" w:hAnsi="SimSun" w:eastAsia="SimSun" w:cs="SimSun"/>
                <w:spacing w:val="-2"/>
              </w:rPr>
              <w:t>个</w:t>
            </w:r>
          </w:p>
        </w:tc>
        <w:tc>
          <w:tcPr>
            <w:tcW w:w="2427" w:type="dxa"/>
            <w:vAlign w:val="top"/>
            <w:gridSpan w:val="3"/>
          </w:tcPr>
          <w:p>
            <w:pPr>
              <w:spacing w:before="59" w:line="228" w:lineRule="auto"/>
              <w:jc w:val="right"/>
              <w:rPr>
                <w:rFonts w:ascii="SimSun" w:hAnsi="SimSun" w:eastAsia="SimSun" w:cs="SimSun"/>
                <w:sz w:val="20"/>
                <w:szCs w:val="20"/>
              </w:rPr>
            </w:pPr>
            <w:r>
              <w:rPr>
                <w:rFonts w:ascii="SimSun" w:hAnsi="SimSun" w:eastAsia="SimSun" w:cs="SimSun"/>
                <w:sz w:val="20"/>
                <w:szCs w:val="20"/>
                <w:spacing w:val="1"/>
              </w:rPr>
              <w:t>砷、镉、铬、铜、铅、汞、</w:t>
            </w:r>
          </w:p>
          <w:p>
            <w:pPr>
              <w:pStyle w:val="TableText"/>
              <w:ind w:left="14"/>
              <w:spacing w:before="78" w:line="221" w:lineRule="auto"/>
              <w:rPr>
                <w:rFonts w:ascii="SimSun" w:hAnsi="SimSun" w:eastAsia="SimSun" w:cs="SimSun"/>
              </w:rPr>
            </w:pPr>
            <w:r>
              <w:rPr>
                <w:rFonts w:ascii="SimSun" w:hAnsi="SimSun" w:eastAsia="SimSun" w:cs="SimSun"/>
                <w:spacing w:val="9"/>
              </w:rPr>
              <w:t>镍、锌、</w:t>
            </w:r>
            <w:r>
              <w:rPr/>
              <w:t>pH</w:t>
            </w:r>
            <w:r>
              <w:rPr>
                <w:spacing w:val="9"/>
              </w:rPr>
              <w:t xml:space="preserve"> </w:t>
            </w:r>
            <w:r>
              <w:rPr>
                <w:rFonts w:ascii="SimSun" w:hAnsi="SimSun" w:eastAsia="SimSun" w:cs="SimSun"/>
                <w:spacing w:val="9"/>
              </w:rPr>
              <w:t>值和土壤含盐</w:t>
            </w:r>
          </w:p>
          <w:p>
            <w:pPr>
              <w:ind w:left="1114"/>
              <w:spacing w:before="87" w:line="233" w:lineRule="auto"/>
              <w:rPr>
                <w:rFonts w:ascii="SimSun" w:hAnsi="SimSun" w:eastAsia="SimSun" w:cs="SimSun"/>
                <w:sz w:val="20"/>
                <w:szCs w:val="20"/>
              </w:rPr>
            </w:pPr>
            <w:r>
              <w:rPr>
                <w:rFonts w:ascii="SimSun" w:hAnsi="SimSun" w:eastAsia="SimSun" w:cs="SimSun"/>
                <w:sz w:val="20"/>
                <w:szCs w:val="20"/>
              </w:rPr>
              <w:t>量</w:t>
            </w:r>
          </w:p>
        </w:tc>
        <w:tc>
          <w:tcPr>
            <w:tcW w:w="2720" w:type="dxa"/>
            <w:vAlign w:val="top"/>
            <w:gridSpan w:val="2"/>
          </w:tcPr>
          <w:p>
            <w:pPr>
              <w:spacing w:line="318" w:lineRule="auto"/>
              <w:rPr>
                <w:rFonts w:ascii="Arial"/>
                <w:sz w:val="21"/>
              </w:rPr>
            </w:pPr>
            <w:r/>
          </w:p>
          <w:p>
            <w:pPr>
              <w:pStyle w:val="TableText"/>
              <w:ind w:left="988"/>
              <w:spacing w:before="65" w:line="228" w:lineRule="auto"/>
              <w:rPr>
                <w:rFonts w:ascii="SimSun" w:hAnsi="SimSun" w:eastAsia="SimSun" w:cs="SimSun"/>
              </w:rPr>
            </w:pPr>
            <w:r>
              <w:rPr>
                <w:spacing w:val="-4"/>
              </w:rPr>
              <w:t>1</w:t>
            </w:r>
            <w:r>
              <w:rPr>
                <w:spacing w:val="18"/>
              </w:rPr>
              <w:t xml:space="preserve"> </w:t>
            </w:r>
            <w:r>
              <w:rPr>
                <w:rFonts w:ascii="SimSun" w:hAnsi="SimSun" w:eastAsia="SimSun" w:cs="SimSun"/>
                <w:spacing w:val="-4"/>
              </w:rPr>
              <w:t>次</w:t>
            </w:r>
            <w:r>
              <w:rPr>
                <w:spacing w:val="-4"/>
              </w:rPr>
              <w:t>/5</w:t>
            </w:r>
            <w:r>
              <w:rPr>
                <w:spacing w:val="13"/>
              </w:rPr>
              <w:t xml:space="preserve"> </w:t>
            </w:r>
            <w:r>
              <w:rPr>
                <w:rFonts w:ascii="SimSun" w:hAnsi="SimSun" w:eastAsia="SimSun" w:cs="SimSun"/>
                <w:spacing w:val="-4"/>
              </w:rPr>
              <w:t>年</w:t>
            </w:r>
          </w:p>
        </w:tc>
        <w:tc>
          <w:tcPr>
            <w:tcW w:w="739" w:type="dxa"/>
            <w:vAlign w:val="top"/>
            <w:vMerge w:val="continue"/>
            <w:tcBorders>
              <w:top w:val="nil"/>
              <w:bottom w:val="nil"/>
            </w:tcBorders>
          </w:tcPr>
          <w:p>
            <w:pPr>
              <w:rPr>
                <w:rFonts w:ascii="Arial"/>
                <w:sz w:val="21"/>
              </w:rPr>
            </w:pPr>
            <w:r/>
          </w:p>
        </w:tc>
      </w:tr>
      <w:tr>
        <w:trPr>
          <w:trHeight w:val="331" w:hRule="atLeast"/>
        </w:trPr>
        <w:tc>
          <w:tcPr>
            <w:tcW w:w="410" w:type="dxa"/>
            <w:vAlign w:val="top"/>
            <w:vMerge w:val="continue"/>
            <w:textDirection w:val="tbRlV"/>
            <w:tcBorders>
              <w:top w:val="nil"/>
            </w:tcBorders>
          </w:tcPr>
          <w:p>
            <w:pPr>
              <w:rPr>
                <w:rFonts w:ascii="Arial"/>
                <w:sz w:val="21"/>
              </w:rPr>
            </w:pPr>
            <w:r/>
          </w:p>
        </w:tc>
        <w:tc>
          <w:tcPr>
            <w:tcW w:w="1643" w:type="dxa"/>
            <w:vAlign w:val="top"/>
          </w:tcPr>
          <w:p>
            <w:pPr>
              <w:ind w:left="195"/>
              <w:spacing w:before="61" w:line="228" w:lineRule="auto"/>
              <w:rPr>
                <w:rFonts w:ascii="SimSun" w:hAnsi="SimSun" w:eastAsia="SimSun" w:cs="SimSun"/>
                <w:sz w:val="20"/>
                <w:szCs w:val="20"/>
              </w:rPr>
            </w:pPr>
            <w:r>
              <w:rPr>
                <w:rFonts w:ascii="SimSun" w:hAnsi="SimSun" w:eastAsia="SimSun" w:cs="SimSun"/>
                <w:sz w:val="20"/>
                <w:szCs w:val="20"/>
                <w:spacing w:val="8"/>
              </w:rPr>
              <w:t>信息公开指标</w:t>
            </w:r>
          </w:p>
        </w:tc>
        <w:tc>
          <w:tcPr>
            <w:tcW w:w="6291" w:type="dxa"/>
            <w:vAlign w:val="top"/>
            <w:gridSpan w:val="6"/>
          </w:tcPr>
          <w:p>
            <w:pPr>
              <w:ind w:left="946"/>
              <w:spacing w:before="62" w:line="227" w:lineRule="auto"/>
              <w:rPr>
                <w:rFonts w:ascii="SimSun" w:hAnsi="SimSun" w:eastAsia="SimSun" w:cs="SimSun"/>
                <w:sz w:val="20"/>
                <w:szCs w:val="20"/>
              </w:rPr>
            </w:pPr>
            <w:r>
              <w:rPr>
                <w:rFonts w:ascii="SimSun" w:hAnsi="SimSun" w:eastAsia="SimSun" w:cs="SimSun"/>
                <w:sz w:val="20"/>
                <w:szCs w:val="20"/>
                <w:spacing w:val="9"/>
              </w:rPr>
              <w:t>土壤跟踪监测数据通过公司网站的方式对外公示</w:t>
            </w:r>
          </w:p>
        </w:tc>
        <w:tc>
          <w:tcPr>
            <w:tcW w:w="739" w:type="dxa"/>
            <w:vAlign w:val="top"/>
            <w:vMerge w:val="continue"/>
            <w:tcBorders>
              <w:top w:val="nil"/>
            </w:tcBorders>
          </w:tcPr>
          <w:p>
            <w:pPr>
              <w:rPr>
                <w:rFonts w:ascii="Arial"/>
                <w:sz w:val="21"/>
              </w:rPr>
            </w:pPr>
            <w:r/>
          </w:p>
        </w:tc>
      </w:tr>
      <w:tr>
        <w:trPr>
          <w:trHeight w:val="983" w:hRule="atLeast"/>
        </w:trPr>
        <w:tc>
          <w:tcPr>
            <w:tcW w:w="2053" w:type="dxa"/>
            <w:vAlign w:val="top"/>
            <w:gridSpan w:val="2"/>
          </w:tcPr>
          <w:p>
            <w:pPr>
              <w:spacing w:line="321" w:lineRule="auto"/>
              <w:rPr>
                <w:rFonts w:ascii="Arial"/>
                <w:sz w:val="21"/>
              </w:rPr>
            </w:pPr>
            <w:r/>
          </w:p>
          <w:p>
            <w:pPr>
              <w:ind w:left="609"/>
              <w:spacing w:before="65" w:line="226" w:lineRule="auto"/>
              <w:rPr>
                <w:rFonts w:ascii="SimSun" w:hAnsi="SimSun" w:eastAsia="SimSun" w:cs="SimSun"/>
                <w:sz w:val="20"/>
                <w:szCs w:val="20"/>
              </w:rPr>
            </w:pPr>
            <w:r>
              <w:rPr>
                <w:rFonts w:ascii="SimSun" w:hAnsi="SimSun" w:eastAsia="SimSun" w:cs="SimSun"/>
                <w:sz w:val="20"/>
                <w:szCs w:val="20"/>
                <w:spacing w:val="7"/>
              </w:rPr>
              <w:t>评价结论</w:t>
            </w:r>
          </w:p>
        </w:tc>
        <w:tc>
          <w:tcPr>
            <w:tcW w:w="6291" w:type="dxa"/>
            <w:vAlign w:val="top"/>
            <w:gridSpan w:val="6"/>
          </w:tcPr>
          <w:p>
            <w:pPr>
              <w:ind w:right="1"/>
              <w:spacing w:before="62" w:line="224" w:lineRule="auto"/>
              <w:jc w:val="right"/>
              <w:rPr>
                <w:rFonts w:ascii="SimSun" w:hAnsi="SimSun" w:eastAsia="SimSun" w:cs="SimSun"/>
                <w:sz w:val="20"/>
                <w:szCs w:val="20"/>
              </w:rPr>
            </w:pPr>
            <w:r>
              <w:rPr>
                <w:rFonts w:ascii="SimSun" w:hAnsi="SimSun" w:eastAsia="SimSun" w:cs="SimSun"/>
                <w:sz w:val="20"/>
                <w:szCs w:val="20"/>
                <w:spacing w:val="9"/>
              </w:rPr>
              <w:t>本项目实施后只要严格执行本次环评提出的各项治理措施，做到达标</w:t>
            </w:r>
          </w:p>
          <w:p>
            <w:pPr>
              <w:ind w:right="1"/>
              <w:spacing w:before="83" w:line="224" w:lineRule="auto"/>
              <w:jc w:val="right"/>
              <w:rPr>
                <w:rFonts w:ascii="SimSun" w:hAnsi="SimSun" w:eastAsia="SimSun" w:cs="SimSun"/>
                <w:sz w:val="20"/>
                <w:szCs w:val="20"/>
              </w:rPr>
            </w:pPr>
            <w:r>
              <w:rPr>
                <w:rFonts w:ascii="SimSun" w:hAnsi="SimSun" w:eastAsia="SimSun" w:cs="SimSun"/>
                <w:sz w:val="20"/>
                <w:szCs w:val="20"/>
                <w:spacing w:val="9"/>
              </w:rPr>
              <w:t>排放，造成区域土壤累积影响的可能性较小，不会影响土地的使用功</w:t>
            </w:r>
          </w:p>
          <w:p>
            <w:pPr>
              <w:ind w:left="2004"/>
              <w:spacing w:before="83" w:line="228" w:lineRule="auto"/>
              <w:rPr>
                <w:rFonts w:ascii="SimSun" w:hAnsi="SimSun" w:eastAsia="SimSun" w:cs="SimSun"/>
                <w:sz w:val="20"/>
                <w:szCs w:val="20"/>
              </w:rPr>
            </w:pPr>
            <w:r>
              <w:rPr>
                <w:rFonts w:ascii="SimSun" w:hAnsi="SimSun" w:eastAsia="SimSun" w:cs="SimSun"/>
                <w:sz w:val="20"/>
                <w:szCs w:val="20"/>
                <w:spacing w:val="7"/>
              </w:rPr>
              <w:t>能，土壤环境可以承受。</w:t>
            </w:r>
          </w:p>
        </w:tc>
        <w:tc>
          <w:tcPr>
            <w:tcW w:w="739" w:type="dxa"/>
            <w:vAlign w:val="top"/>
          </w:tcPr>
          <w:p>
            <w:pPr>
              <w:rPr>
                <w:rFonts w:ascii="Arial"/>
                <w:sz w:val="21"/>
              </w:rPr>
            </w:pPr>
            <w:r/>
          </w:p>
        </w:tc>
      </w:tr>
      <w:tr>
        <w:trPr>
          <w:trHeight w:val="662" w:hRule="atLeast"/>
        </w:trPr>
        <w:tc>
          <w:tcPr>
            <w:tcW w:w="9083" w:type="dxa"/>
            <w:vAlign w:val="top"/>
            <w:gridSpan w:val="9"/>
          </w:tcPr>
          <w:p>
            <w:pPr>
              <w:pStyle w:val="TableText"/>
              <w:ind w:left="10"/>
              <w:spacing w:before="25" w:line="281" w:lineRule="exact"/>
              <w:rPr>
                <w:rFonts w:ascii="SimSun" w:hAnsi="SimSun" w:eastAsia="SimSun" w:cs="SimSun"/>
              </w:rPr>
            </w:pPr>
            <w:r>
              <w:rPr>
                <w:rFonts w:ascii="SimSun" w:hAnsi="SimSun" w:eastAsia="SimSun" w:cs="SimSun"/>
                <w:spacing w:val="2"/>
              </w:rPr>
              <w:t>注</w:t>
            </w:r>
            <w:r>
              <w:rPr>
                <w:rFonts w:ascii="SimSun" w:hAnsi="SimSun" w:eastAsia="SimSun" w:cs="SimSun"/>
                <w:spacing w:val="32"/>
              </w:rPr>
              <w:t xml:space="preserve"> </w:t>
            </w:r>
            <w:r>
              <w:rPr>
                <w:spacing w:val="2"/>
              </w:rPr>
              <w:t>1</w:t>
            </w:r>
            <w:r>
              <w:rPr>
                <w:spacing w:val="-25"/>
              </w:rPr>
              <w:t xml:space="preserve"> </w:t>
            </w:r>
            <w:r>
              <w:rPr>
                <w:rFonts w:ascii="SimSun" w:hAnsi="SimSun" w:eastAsia="SimSun" w:cs="SimSun"/>
                <w:spacing w:val="2"/>
              </w:rPr>
              <w:t>：</w:t>
            </w:r>
            <w:r>
              <w:rPr>
                <w:spacing w:val="2"/>
              </w:rPr>
              <w:t>“</w:t>
            </w:r>
            <w:r>
              <w:rPr>
                <w:spacing w:val="-34"/>
              </w:rPr>
              <w:t xml:space="preserve"> </w:t>
            </w:r>
            <w:r>
              <w:rPr>
                <w:spacing w:val="2"/>
              </w:rPr>
              <w:t>□”</w:t>
            </w:r>
            <w:r>
              <w:rPr>
                <w:rFonts w:ascii="SimSun" w:hAnsi="SimSun" w:eastAsia="SimSun" w:cs="SimSun"/>
                <w:spacing w:val="2"/>
              </w:rPr>
              <w:t>为勾选项，可</w:t>
            </w:r>
            <w:r>
              <w:rPr>
                <w:spacing w:val="2"/>
              </w:rPr>
              <w:t>√</w:t>
            </w:r>
            <w:r>
              <w:rPr>
                <w:spacing w:val="-23"/>
              </w:rPr>
              <w:t xml:space="preserve"> </w:t>
            </w:r>
            <w:r>
              <w:rPr>
                <w:rFonts w:ascii="SimSun" w:hAnsi="SimSun" w:eastAsia="SimSun" w:cs="SimSun"/>
                <w:spacing w:val="2"/>
              </w:rPr>
              <w:t>;</w:t>
            </w:r>
            <w:r>
              <w:rPr>
                <w:rFonts w:ascii="SimSun" w:hAnsi="SimSun" w:eastAsia="SimSun" w:cs="SimSun"/>
                <w:spacing w:val="57"/>
              </w:rPr>
              <w:t xml:space="preserve"> </w:t>
            </w:r>
            <w:r>
              <w:rPr>
                <w:spacing w:val="2"/>
              </w:rPr>
              <w:t>“  </w:t>
            </w:r>
            <w:r>
              <w:rPr>
                <w:rFonts w:ascii="SimSun" w:hAnsi="SimSun" w:eastAsia="SimSun" w:cs="SimSun"/>
                <w:spacing w:val="2"/>
              </w:rPr>
              <w:t>(</w:t>
            </w:r>
            <w:r>
              <w:rPr>
                <w:rFonts w:ascii="SimSun" w:hAnsi="SimSun" w:eastAsia="SimSun" w:cs="SimSun"/>
                <w:spacing w:val="66"/>
              </w:rPr>
              <w:t xml:space="preserve"> </w:t>
            </w:r>
            <w:r>
              <w:rPr>
                <w:rFonts w:ascii="SimSun" w:hAnsi="SimSun" w:eastAsia="SimSun" w:cs="SimSun"/>
                <w:spacing w:val="2"/>
              </w:rPr>
              <w:t>)</w:t>
            </w:r>
            <w:r>
              <w:rPr>
                <w:rFonts w:ascii="SimSun" w:hAnsi="SimSun" w:eastAsia="SimSun" w:cs="SimSun"/>
                <w:spacing w:val="27"/>
              </w:rPr>
              <w:t xml:space="preserve"> </w:t>
            </w:r>
            <w:r>
              <w:rPr>
                <w:spacing w:val="2"/>
              </w:rPr>
              <w:t>”</w:t>
            </w:r>
            <w:r>
              <w:rPr>
                <w:rFonts w:ascii="SimSun" w:hAnsi="SimSun" w:eastAsia="SimSun" w:cs="SimSun"/>
                <w:spacing w:val="2"/>
              </w:rPr>
              <w:t>为内容</w:t>
            </w:r>
            <w:r>
              <w:rPr>
                <w:rFonts w:ascii="SimSun" w:hAnsi="SimSun" w:eastAsia="SimSun" w:cs="SimSun"/>
                <w:spacing w:val="1"/>
              </w:rPr>
              <w:t>填写项；</w:t>
            </w:r>
            <w:r>
              <w:rPr>
                <w:spacing w:val="1"/>
              </w:rPr>
              <w:t>“</w:t>
            </w:r>
            <w:r>
              <w:rPr>
                <w:rFonts w:ascii="SimSun" w:hAnsi="SimSun" w:eastAsia="SimSun" w:cs="SimSun"/>
                <w:spacing w:val="1"/>
              </w:rPr>
              <w:t>备注</w:t>
            </w:r>
            <w:r>
              <w:rPr>
                <w:spacing w:val="1"/>
              </w:rPr>
              <w:t>”</w:t>
            </w:r>
            <w:r>
              <w:rPr>
                <w:rFonts w:ascii="SimSun" w:hAnsi="SimSun" w:eastAsia="SimSun" w:cs="SimSun"/>
                <w:spacing w:val="1"/>
              </w:rPr>
              <w:t>为其他补充内容。</w:t>
            </w:r>
          </w:p>
          <w:p>
            <w:pPr>
              <w:pStyle w:val="TableText"/>
              <w:ind w:left="10"/>
              <w:spacing w:before="80" w:line="225" w:lineRule="auto"/>
              <w:rPr>
                <w:rFonts w:ascii="SimSun" w:hAnsi="SimSun" w:eastAsia="SimSun" w:cs="SimSun"/>
              </w:rPr>
            </w:pPr>
            <w:r>
              <w:rPr>
                <w:rFonts w:ascii="SimSun" w:hAnsi="SimSun" w:eastAsia="SimSun" w:cs="SimSun"/>
                <w:spacing w:val="8"/>
              </w:rPr>
              <w:t>注 </w:t>
            </w:r>
            <w:r>
              <w:rPr>
                <w:spacing w:val="8"/>
              </w:rPr>
              <w:t>2</w:t>
            </w:r>
            <w:r>
              <w:rPr>
                <w:spacing w:val="-22"/>
              </w:rPr>
              <w:t xml:space="preserve"> </w:t>
            </w:r>
            <w:r>
              <w:rPr>
                <w:rFonts w:ascii="SimSun" w:hAnsi="SimSun" w:eastAsia="SimSun" w:cs="SimSun"/>
                <w:spacing w:val="8"/>
              </w:rPr>
              <w:t>：需要分别开展土壤环境影响评级工作的，分别填写自查表。</w:t>
            </w:r>
          </w:p>
        </w:tc>
      </w:tr>
    </w:tbl>
    <w:p>
      <w:pPr>
        <w:pStyle w:val="BodyText"/>
        <w:rPr/>
      </w:pPr>
      <w:r/>
    </w:p>
    <w:p>
      <w:pPr>
        <w:sectPr>
          <w:footerReference w:type="default" r:id="rId464"/>
          <w:pgSz w:w="11906" w:h="16838"/>
          <w:pgMar w:top="1170" w:right="1407" w:bottom="1080" w:left="1408" w:header="837" w:footer="918" w:gutter="0"/>
        </w:sectPr>
        <w:rPr/>
      </w:pP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2751"/>
        <w:spacing w:before="117" w:line="222" w:lineRule="auto"/>
        <w:outlineLvl w:val="0"/>
        <w:rPr>
          <w:rFonts w:ascii="SimHei" w:hAnsi="SimHei" w:eastAsia="SimHei" w:cs="SimHei"/>
          <w:sz w:val="36"/>
          <w:szCs w:val="36"/>
        </w:rPr>
      </w:pPr>
      <w:bookmarkStart w:name="bookmark36" w:id="67"/>
      <w:bookmarkEnd w:id="67"/>
      <w:r>
        <w:rPr>
          <w:rFonts w:ascii="Times New Roman" w:hAnsi="Times New Roman" w:eastAsia="Times New Roman" w:cs="Times New Roman"/>
          <w:sz w:val="36"/>
          <w:szCs w:val="36"/>
          <w:spacing w:val="-2"/>
        </w:rPr>
        <w:t>6  </w:t>
      </w:r>
      <w:r>
        <w:rPr>
          <w:rFonts w:ascii="SimHei" w:hAnsi="SimHei" w:eastAsia="SimHei" w:cs="SimHei"/>
          <w:sz w:val="36"/>
          <w:szCs w:val="36"/>
          <w:spacing w:val="-2"/>
        </w:rPr>
        <w:t>环境风险预测与评价</w:t>
      </w:r>
    </w:p>
    <w:p>
      <w:pPr>
        <w:pStyle w:val="BodyText"/>
        <w:spacing w:line="398" w:lineRule="auto"/>
        <w:rPr/>
      </w:pPr>
      <w:r/>
    </w:p>
    <w:p>
      <w:pPr>
        <w:ind w:left="8" w:firstLine="480"/>
        <w:spacing w:before="78" w:line="339" w:lineRule="auto"/>
        <w:jc w:val="both"/>
        <w:rPr>
          <w:rFonts w:ascii="SimSun" w:hAnsi="SimSun" w:eastAsia="SimSun" w:cs="SimSun"/>
          <w:sz w:val="24"/>
          <w:szCs w:val="24"/>
        </w:rPr>
      </w:pPr>
      <w:r>
        <w:rPr>
          <w:rFonts w:ascii="SimSun" w:hAnsi="SimSun" w:eastAsia="SimSun" w:cs="SimSun"/>
          <w:sz w:val="24"/>
          <w:szCs w:val="24"/>
          <w:spacing w:val="-2"/>
        </w:rPr>
        <w:t>根据本项目的特点，通过调查及资料调查的方法，对建设项目环境风险进行详细分</w:t>
      </w:r>
      <w:r>
        <w:rPr>
          <w:rFonts w:ascii="SimSun" w:hAnsi="SimSun" w:eastAsia="SimSun" w:cs="SimSun"/>
          <w:sz w:val="24"/>
          <w:szCs w:val="24"/>
          <w:spacing w:val="-2"/>
        </w:rPr>
        <w:t>析，了解建设项目存在的风险及发生风险事故后所产生的事故后果，并提出相应的措施</w:t>
      </w:r>
      <w:r>
        <w:rPr>
          <w:rFonts w:ascii="SimSun" w:hAnsi="SimSun" w:eastAsia="SimSun" w:cs="SimSun"/>
          <w:sz w:val="24"/>
          <w:szCs w:val="24"/>
          <w:spacing w:val="-1"/>
        </w:rPr>
        <w:t>和计划以避免风险或减少风险发生后的事故损失。根据国家环境保护</w:t>
      </w:r>
      <w:r>
        <w:rPr>
          <w:rFonts w:ascii="SimSun" w:hAnsi="SimSun" w:eastAsia="SimSun" w:cs="SimSun"/>
          <w:sz w:val="24"/>
          <w:szCs w:val="24"/>
          <w:spacing w:val="-2"/>
        </w:rPr>
        <w:t>总局环发〔</w:t>
      </w:r>
      <w:r>
        <w:rPr>
          <w:rFonts w:ascii="Times New Roman" w:hAnsi="Times New Roman" w:eastAsia="Times New Roman" w:cs="Times New Roman"/>
          <w:sz w:val="24"/>
          <w:szCs w:val="24"/>
          <w:spacing w:val="-2"/>
        </w:rPr>
        <w:t>2012</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77</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3"/>
        </w:rPr>
        <w:t>号文《关于进一步加强环境影响评价管理防范环</w:t>
      </w:r>
      <w:r>
        <w:rPr>
          <w:rFonts w:ascii="SimSun" w:hAnsi="SimSun" w:eastAsia="SimSun" w:cs="SimSun"/>
          <w:sz w:val="24"/>
          <w:szCs w:val="24"/>
          <w:spacing w:val="-4"/>
        </w:rPr>
        <w:t>境风险的通知》及《建设项目环境风</w:t>
      </w:r>
      <w:r>
        <w:rPr>
          <w:rFonts w:ascii="SimSun" w:hAnsi="SimSun" w:eastAsia="SimSun" w:cs="SimSun"/>
          <w:sz w:val="24"/>
          <w:szCs w:val="24"/>
          <w:spacing w:val="-1"/>
        </w:rPr>
        <w:t>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1"/>
        </w:rPr>
        <w:t>）的规定和要求及本项目特点，本次评价主要针对</w:t>
      </w:r>
      <w:r>
        <w:rPr>
          <w:rFonts w:ascii="SimSun" w:hAnsi="SimSun" w:eastAsia="SimSun" w:cs="SimSun"/>
          <w:sz w:val="24"/>
          <w:szCs w:val="24"/>
          <w:spacing w:val="-2"/>
        </w:rPr>
        <w:t>建设</w:t>
      </w:r>
      <w:r>
        <w:rPr>
          <w:rFonts w:ascii="SimSun" w:hAnsi="SimSun" w:eastAsia="SimSun" w:cs="SimSun"/>
          <w:sz w:val="24"/>
          <w:szCs w:val="24"/>
          <w:spacing w:val="-2"/>
        </w:rPr>
        <w:t>项目的环境风险进行分析、预测和评估，提出环境风险预防、控制、减缓措施，明确环</w:t>
      </w:r>
      <w:r>
        <w:rPr>
          <w:rFonts w:ascii="SimSun" w:hAnsi="SimSun" w:eastAsia="SimSun" w:cs="SimSun"/>
          <w:sz w:val="24"/>
          <w:szCs w:val="24"/>
        </w:rPr>
        <w:t>境风险监控及应急建议要求，为建设项目环境风</w:t>
      </w:r>
      <w:r>
        <w:rPr>
          <w:rFonts w:ascii="SimSun" w:hAnsi="SimSun" w:eastAsia="SimSun" w:cs="SimSun"/>
          <w:sz w:val="24"/>
          <w:szCs w:val="24"/>
          <w:spacing w:val="-1"/>
        </w:rPr>
        <w:t>险防控提供科学依据。</w:t>
      </w:r>
    </w:p>
    <w:p>
      <w:pPr>
        <w:ind w:left="11"/>
        <w:spacing w:before="72" w:line="222" w:lineRule="auto"/>
        <w:outlineLvl w:val="1"/>
        <w:rPr>
          <w:rFonts w:ascii="SimHei" w:hAnsi="SimHei" w:eastAsia="SimHei" w:cs="SimHei"/>
          <w:sz w:val="30"/>
          <w:szCs w:val="30"/>
        </w:rPr>
      </w:pPr>
      <w:bookmarkStart w:name="bookmark37" w:id="68"/>
      <w:bookmarkEnd w:id="68"/>
      <w:r>
        <w:rPr>
          <w:rFonts w:ascii="Times New Roman" w:hAnsi="Times New Roman" w:eastAsia="Times New Roman" w:cs="Times New Roman"/>
          <w:sz w:val="30"/>
          <w:szCs w:val="30"/>
          <w:b/>
          <w:bCs/>
          <w:spacing w:val="-3"/>
        </w:rPr>
        <w:t>6.1 </w:t>
      </w:r>
      <w:r>
        <w:rPr>
          <w:rFonts w:ascii="SimHei" w:hAnsi="SimHei" w:eastAsia="SimHei" w:cs="SimHei"/>
          <w:sz w:val="30"/>
          <w:szCs w:val="30"/>
          <w:b/>
          <w:bCs/>
          <w:spacing w:val="-3"/>
        </w:rPr>
        <w:t>评价原则</w:t>
      </w:r>
    </w:p>
    <w:p>
      <w:pPr>
        <w:ind w:left="10" w:right="8" w:firstLine="479"/>
        <w:spacing w:before="164" w:line="339" w:lineRule="auto"/>
        <w:jc w:val="both"/>
        <w:rPr>
          <w:rFonts w:ascii="SimSun" w:hAnsi="SimSun" w:eastAsia="SimSun" w:cs="SimSun"/>
          <w:sz w:val="24"/>
          <w:szCs w:val="24"/>
        </w:rPr>
      </w:pPr>
      <w:r>
        <w:rPr>
          <w:rFonts w:ascii="SimSun" w:hAnsi="SimSun" w:eastAsia="SimSun" w:cs="SimSun"/>
          <w:sz w:val="24"/>
          <w:szCs w:val="24"/>
          <w:spacing w:val="-2"/>
        </w:rPr>
        <w:t>环境风险评价应以突发性事故导致的危险物质环境急性损害防控为目标，对建设项</w:t>
      </w:r>
      <w:r>
        <w:rPr>
          <w:rFonts w:ascii="SimSun" w:hAnsi="SimSun" w:eastAsia="SimSun" w:cs="SimSun"/>
          <w:sz w:val="24"/>
          <w:szCs w:val="24"/>
          <w:spacing w:val="-2"/>
        </w:rPr>
        <w:t>目的环境风险进行分析、预测和评估，提出环境风险预防、控制、减缓措施，明确环境</w:t>
      </w:r>
      <w:r>
        <w:rPr>
          <w:rFonts w:ascii="SimSun" w:hAnsi="SimSun" w:eastAsia="SimSun" w:cs="SimSun"/>
          <w:sz w:val="24"/>
          <w:szCs w:val="24"/>
          <w:spacing w:val="-1"/>
        </w:rPr>
        <w:t>风险监控及应急建议要求，为建设项目环境风险防控提供科学依据。</w:t>
      </w:r>
    </w:p>
    <w:p>
      <w:pPr>
        <w:ind w:left="11"/>
        <w:spacing w:before="72" w:line="222" w:lineRule="auto"/>
        <w:outlineLvl w:val="1"/>
        <w:rPr>
          <w:rFonts w:ascii="SimHei" w:hAnsi="SimHei" w:eastAsia="SimHei" w:cs="SimHei"/>
          <w:sz w:val="30"/>
          <w:szCs w:val="30"/>
        </w:rPr>
      </w:pPr>
      <w:bookmarkStart w:name="bookmark38" w:id="69"/>
      <w:bookmarkEnd w:id="69"/>
      <w:r>
        <w:rPr>
          <w:rFonts w:ascii="Times New Roman" w:hAnsi="Times New Roman" w:eastAsia="Times New Roman" w:cs="Times New Roman"/>
          <w:sz w:val="30"/>
          <w:szCs w:val="30"/>
          <w:b/>
          <w:bCs/>
          <w:spacing w:val="-3"/>
        </w:rPr>
        <w:t>6.2 </w:t>
      </w:r>
      <w:r>
        <w:rPr>
          <w:rFonts w:ascii="SimHei" w:hAnsi="SimHei" w:eastAsia="SimHei" w:cs="SimHei"/>
          <w:sz w:val="30"/>
          <w:szCs w:val="30"/>
          <w:b/>
          <w:bCs/>
          <w:spacing w:val="-3"/>
        </w:rPr>
        <w:t>评价工作程序</w:t>
      </w:r>
    </w:p>
    <w:p>
      <w:pPr>
        <w:ind w:left="488"/>
        <w:spacing w:before="164" w:line="218" w:lineRule="auto"/>
        <w:rPr>
          <w:rFonts w:ascii="SimSun" w:hAnsi="SimSun" w:eastAsia="SimSun" w:cs="SimSun"/>
          <w:sz w:val="24"/>
          <w:szCs w:val="24"/>
        </w:rPr>
      </w:pPr>
      <w:r>
        <w:rPr>
          <w:rFonts w:ascii="SimSun" w:hAnsi="SimSun" w:eastAsia="SimSun" w:cs="SimSun"/>
          <w:sz w:val="24"/>
          <w:szCs w:val="24"/>
          <w:spacing w:val="-2"/>
        </w:rPr>
        <w:t>评价工序程序见图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6-2-1</w:t>
      </w:r>
      <w:r>
        <w:rPr>
          <w:rFonts w:ascii="SimSun" w:hAnsi="SimSun" w:eastAsia="SimSun" w:cs="SimSun"/>
          <w:sz w:val="24"/>
          <w:szCs w:val="24"/>
          <w:spacing w:val="-2"/>
        </w:rPr>
        <w:t>。</w:t>
      </w:r>
    </w:p>
    <w:p>
      <w:pPr>
        <w:ind w:firstLine="1706"/>
        <w:spacing w:before="173" w:line="5172" w:lineRule="exact"/>
        <w:rPr/>
      </w:pPr>
      <w:r>
        <w:rPr>
          <w:position w:val="-103"/>
        </w:rPr>
        <w:drawing>
          <wp:inline distT="0" distB="0" distL="0" distR="0">
            <wp:extent cx="3581400" cy="3284220"/>
            <wp:effectExtent l="0" t="0" r="0" b="0"/>
            <wp:docPr id="320" name="IM 320"/>
            <wp:cNvGraphicFramePr/>
            <a:graphic>
              <a:graphicData uri="http://schemas.openxmlformats.org/drawingml/2006/picture">
                <pic:pic>
                  <pic:nvPicPr>
                    <pic:cNvPr id="320" name="IM 320"/>
                    <pic:cNvPicPr/>
                  </pic:nvPicPr>
                  <pic:blipFill>
                    <a:blip r:embed="rId467"/>
                    <a:stretch>
                      <a:fillRect/>
                    </a:stretch>
                  </pic:blipFill>
                  <pic:spPr>
                    <a:xfrm rot="0">
                      <a:off x="0" y="0"/>
                      <a:ext cx="3581400" cy="3284220"/>
                    </a:xfrm>
                    <a:prstGeom prst="rect">
                      <a:avLst/>
                    </a:prstGeom>
                  </pic:spPr>
                </pic:pic>
              </a:graphicData>
            </a:graphic>
          </wp:inline>
        </w:drawing>
      </w:r>
    </w:p>
    <w:p>
      <w:pPr>
        <w:ind w:left="3400"/>
        <w:spacing w:before="283" w:line="222" w:lineRule="auto"/>
        <w:rPr>
          <w:rFonts w:ascii="SimHei" w:hAnsi="SimHei" w:eastAsia="SimHei" w:cs="SimHei"/>
          <w:sz w:val="24"/>
          <w:szCs w:val="24"/>
        </w:rPr>
      </w:pPr>
      <w:r>
        <w:rPr>
          <w:rFonts w:ascii="SimHei" w:hAnsi="SimHei" w:eastAsia="SimHei" w:cs="SimHei"/>
          <w:sz w:val="24"/>
          <w:szCs w:val="24"/>
          <w:spacing w:val="-3"/>
        </w:rPr>
        <w:t>图</w:t>
      </w:r>
      <w:r>
        <w:rPr>
          <w:rFonts w:ascii="SimHei" w:hAnsi="SimHei" w:eastAsia="SimHei" w:cs="SimHei"/>
          <w:sz w:val="24"/>
          <w:szCs w:val="24"/>
          <w:spacing w:val="-47"/>
        </w:rPr>
        <w:t xml:space="preserve"> </w:t>
      </w:r>
      <w:r>
        <w:rPr>
          <w:rFonts w:ascii="Times New Roman" w:hAnsi="Times New Roman" w:eastAsia="Times New Roman" w:cs="Times New Roman"/>
          <w:sz w:val="24"/>
          <w:szCs w:val="24"/>
          <w:spacing w:val="-3"/>
        </w:rPr>
        <w:t>6-2-1 </w:t>
      </w:r>
      <w:r>
        <w:rPr>
          <w:rFonts w:ascii="SimHei" w:hAnsi="SimHei" w:eastAsia="SimHei" w:cs="SimHei"/>
          <w:sz w:val="24"/>
          <w:szCs w:val="24"/>
          <w:spacing w:val="-3"/>
        </w:rPr>
        <w:t>评价工作程序</w:t>
      </w:r>
    </w:p>
    <w:p>
      <w:pPr>
        <w:spacing w:line="222" w:lineRule="auto"/>
        <w:sectPr>
          <w:headerReference w:type="default" r:id="rId465"/>
          <w:footerReference w:type="default" r:id="rId466"/>
          <w:pgSz w:w="11906" w:h="16838"/>
          <w:pgMar w:top="1170" w:right="1408" w:bottom="1080" w:left="1416" w:header="837" w:footer="918" w:gutter="0"/>
        </w:sectPr>
        <w:rPr>
          <w:rFonts w:ascii="SimHei" w:hAnsi="SimHei" w:eastAsia="SimHei" w:cs="SimHei"/>
          <w:sz w:val="24"/>
          <w:szCs w:val="24"/>
        </w:rPr>
      </w:pPr>
    </w:p>
    <w:p>
      <w:pPr>
        <w:pStyle w:val="BodyText"/>
        <w:spacing w:line="425" w:lineRule="auto"/>
        <w:rPr/>
      </w:pPr>
      <w:r/>
    </w:p>
    <w:p>
      <w:pPr>
        <w:ind w:left="121"/>
        <w:spacing w:before="97" w:line="222" w:lineRule="auto"/>
        <w:outlineLvl w:val="1"/>
        <w:rPr>
          <w:rFonts w:ascii="SimHei" w:hAnsi="SimHei" w:eastAsia="SimHei" w:cs="SimHei"/>
          <w:sz w:val="30"/>
          <w:szCs w:val="30"/>
        </w:rPr>
      </w:pPr>
      <w:bookmarkStart w:name="bookmark105" w:id="70"/>
      <w:bookmarkEnd w:id="70"/>
      <w:bookmarkStart w:name="bookmark39" w:id="71"/>
      <w:bookmarkEnd w:id="71"/>
      <w:r>
        <w:rPr>
          <w:rFonts w:ascii="Times New Roman" w:hAnsi="Times New Roman" w:eastAsia="Times New Roman" w:cs="Times New Roman"/>
          <w:sz w:val="30"/>
          <w:szCs w:val="30"/>
          <w:b/>
          <w:bCs/>
          <w:spacing w:val="-3"/>
        </w:rPr>
        <w:t>6.3 </w:t>
      </w:r>
      <w:r>
        <w:rPr>
          <w:rFonts w:ascii="SimHei" w:hAnsi="SimHei" w:eastAsia="SimHei" w:cs="SimHei"/>
          <w:sz w:val="30"/>
          <w:szCs w:val="30"/>
          <w:b/>
          <w:bCs/>
          <w:spacing w:val="-3"/>
        </w:rPr>
        <w:t>风险调查</w:t>
      </w:r>
    </w:p>
    <w:p>
      <w:pPr>
        <w:ind w:left="120"/>
        <w:spacing w:before="25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6.3.1 </w:t>
      </w:r>
      <w:r>
        <w:rPr>
          <w:rFonts w:ascii="SimHei" w:hAnsi="SimHei" w:eastAsia="SimHei" w:cs="SimHei"/>
          <w:sz w:val="28"/>
          <w:szCs w:val="28"/>
          <w:b/>
          <w:bCs/>
          <w:spacing w:val="-2"/>
        </w:rPr>
        <w:t>建设项目风险源调查</w:t>
      </w:r>
    </w:p>
    <w:p>
      <w:pPr>
        <w:ind w:left="121" w:right="112" w:firstLine="478"/>
        <w:spacing w:before="170" w:line="340" w:lineRule="auto"/>
        <w:jc w:val="both"/>
        <w:rPr>
          <w:rFonts w:ascii="SimSun" w:hAnsi="SimSun" w:eastAsia="SimSun" w:cs="SimSun"/>
          <w:sz w:val="24"/>
          <w:szCs w:val="24"/>
        </w:rPr>
      </w:pPr>
      <w:r>
        <w:rPr>
          <w:rFonts w:ascii="SimSun" w:hAnsi="SimSun" w:eastAsia="SimSun" w:cs="SimSun"/>
          <w:sz w:val="24"/>
          <w:szCs w:val="24"/>
          <w:spacing w:val="-1"/>
        </w:rPr>
        <w:t>根据《建设项目环境风险评价技术导则》（</w:t>
      </w:r>
      <w:r>
        <w:rPr>
          <w:rFonts w:ascii="Times New Roman" w:hAnsi="Times New Roman" w:eastAsia="Times New Roman" w:cs="Times New Roman"/>
          <w:sz w:val="24"/>
          <w:szCs w:val="24"/>
          <w:spacing w:val="-1"/>
        </w:rPr>
        <w:t>HJ169-2018</w:t>
      </w:r>
      <w:r>
        <w:rPr>
          <w:rFonts w:ascii="SimSun" w:hAnsi="SimSun" w:eastAsia="SimSun" w:cs="SimSun"/>
          <w:sz w:val="24"/>
          <w:szCs w:val="24"/>
          <w:spacing w:val="-2"/>
        </w:rPr>
        <w:t>），</w:t>
      </w:r>
      <w:r>
        <w:rPr>
          <w:rFonts w:ascii="SimSun" w:hAnsi="SimSun" w:eastAsia="SimSun" w:cs="SimSun"/>
          <w:sz w:val="24"/>
          <w:szCs w:val="24"/>
          <w:spacing w:val="-1"/>
        </w:rPr>
        <w:t>分析建设项目</w:t>
      </w:r>
      <w:r>
        <w:rPr>
          <w:rFonts w:ascii="SimSun" w:hAnsi="SimSun" w:eastAsia="SimSun" w:cs="SimSun"/>
          <w:sz w:val="24"/>
          <w:szCs w:val="24"/>
          <w:spacing w:val="-2"/>
        </w:rPr>
        <w:t>生产、使</w:t>
      </w:r>
      <w:r>
        <w:rPr>
          <w:rFonts w:ascii="SimSun" w:hAnsi="SimSun" w:eastAsia="SimSun" w:cs="SimSun"/>
          <w:sz w:val="24"/>
          <w:szCs w:val="24"/>
          <w:spacing w:val="-2"/>
        </w:rPr>
        <w:t>用、储存过程中涉及的有毒有害、易燃易爆物质，本项目所涉及的风险物质为危废暂存</w:t>
      </w:r>
      <w:r>
        <w:rPr>
          <w:rFonts w:ascii="SimSun" w:hAnsi="SimSun" w:eastAsia="SimSun" w:cs="SimSun"/>
          <w:sz w:val="24"/>
          <w:szCs w:val="24"/>
          <w:spacing w:val="-1"/>
        </w:rPr>
        <w:t>间内储存的废矿物油、电瓶；加油站含柴油、汽油等。</w:t>
      </w:r>
    </w:p>
    <w:p>
      <w:pPr>
        <w:ind w:left="120"/>
        <w:spacing w:before="8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6.3.2 </w:t>
      </w:r>
      <w:r>
        <w:rPr>
          <w:rFonts w:ascii="SimHei" w:hAnsi="SimHei" w:eastAsia="SimHei" w:cs="SimHei"/>
          <w:sz w:val="28"/>
          <w:szCs w:val="28"/>
          <w:b/>
          <w:bCs/>
          <w:spacing w:val="-2"/>
        </w:rPr>
        <w:t>环境敏感目标调查</w:t>
      </w:r>
    </w:p>
    <w:p>
      <w:pPr>
        <w:ind w:left="3455"/>
        <w:spacing w:before="297" w:line="222" w:lineRule="auto"/>
        <w:rPr>
          <w:rFonts w:ascii="SimHei" w:hAnsi="SimHei" w:eastAsia="SimHei" w:cs="SimHei"/>
          <w:sz w:val="24"/>
          <w:szCs w:val="24"/>
        </w:rPr>
      </w:pPr>
      <w:r>
        <w:rPr>
          <w:rFonts w:ascii="SimHei" w:hAnsi="SimHei" w:eastAsia="SimHei" w:cs="SimHei"/>
          <w:sz w:val="24"/>
          <w:szCs w:val="24"/>
          <w:spacing w:val="-1"/>
        </w:rPr>
        <w:t>项目周边环境敏感目标</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6-3-1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5"/>
        <w:gridCol w:w="950"/>
        <w:gridCol w:w="1840"/>
        <w:gridCol w:w="1276"/>
        <w:gridCol w:w="415"/>
        <w:gridCol w:w="1233"/>
        <w:gridCol w:w="1593"/>
        <w:gridCol w:w="1038"/>
      </w:tblGrid>
      <w:tr>
        <w:trPr>
          <w:trHeight w:val="347" w:hRule="atLeast"/>
        </w:trPr>
        <w:tc>
          <w:tcPr>
            <w:tcW w:w="945" w:type="dxa"/>
            <w:vAlign w:val="top"/>
          </w:tcPr>
          <w:p>
            <w:pPr>
              <w:ind w:left="269"/>
              <w:spacing w:before="67" w:line="228" w:lineRule="auto"/>
              <w:rPr>
                <w:rFonts w:ascii="SimSun" w:hAnsi="SimSun" w:eastAsia="SimSun" w:cs="SimSun"/>
                <w:sz w:val="20"/>
                <w:szCs w:val="20"/>
              </w:rPr>
            </w:pPr>
            <w:r>
              <w:rPr>
                <w:rFonts w:ascii="SimSun" w:hAnsi="SimSun" w:eastAsia="SimSun" w:cs="SimSun"/>
                <w:sz w:val="20"/>
                <w:szCs w:val="20"/>
                <w:spacing w:val="4"/>
              </w:rPr>
              <w:t>类别</w:t>
            </w:r>
          </w:p>
        </w:tc>
        <w:tc>
          <w:tcPr>
            <w:tcW w:w="8345" w:type="dxa"/>
            <w:vAlign w:val="top"/>
            <w:gridSpan w:val="7"/>
          </w:tcPr>
          <w:p>
            <w:pPr>
              <w:ind w:left="3546"/>
              <w:spacing w:before="67" w:line="228" w:lineRule="auto"/>
              <w:rPr>
                <w:rFonts w:ascii="SimSun" w:hAnsi="SimSun" w:eastAsia="SimSun" w:cs="SimSun"/>
                <w:sz w:val="20"/>
                <w:szCs w:val="20"/>
              </w:rPr>
            </w:pPr>
            <w:r>
              <w:rPr>
                <w:rFonts w:ascii="SimSun" w:hAnsi="SimSun" w:eastAsia="SimSun" w:cs="SimSun"/>
                <w:sz w:val="20"/>
                <w:szCs w:val="20"/>
                <w:spacing w:val="8"/>
              </w:rPr>
              <w:t>环境敏感特性</w:t>
            </w:r>
          </w:p>
        </w:tc>
      </w:tr>
      <w:tr>
        <w:trPr>
          <w:trHeight w:val="326" w:hRule="atLeast"/>
        </w:trPr>
        <w:tc>
          <w:tcPr>
            <w:tcW w:w="945" w:type="dxa"/>
            <w:vAlign w:val="top"/>
            <w:vMerge w:val="restart"/>
            <w:tcBorders>
              <w:bottom w:val="nil"/>
            </w:tcBorders>
          </w:tcPr>
          <w:p>
            <w:pPr>
              <w:spacing w:line="357" w:lineRule="auto"/>
              <w:rPr>
                <w:rFonts w:ascii="Arial"/>
                <w:sz w:val="21"/>
              </w:rPr>
            </w:pPr>
            <w:r/>
          </w:p>
          <w:p>
            <w:pPr>
              <w:spacing w:line="358" w:lineRule="auto"/>
              <w:rPr>
                <w:rFonts w:ascii="Arial"/>
                <w:sz w:val="21"/>
              </w:rPr>
            </w:pPr>
            <w:r/>
          </w:p>
          <w:p>
            <w:pPr>
              <w:ind w:left="275" w:right="260" w:hanging="6"/>
              <w:spacing w:before="65" w:line="255" w:lineRule="auto"/>
              <w:rPr>
                <w:rFonts w:ascii="SimSun" w:hAnsi="SimSun" w:eastAsia="SimSun" w:cs="SimSun"/>
                <w:sz w:val="20"/>
                <w:szCs w:val="20"/>
              </w:rPr>
            </w:pPr>
            <w:r>
              <w:rPr>
                <w:rFonts w:ascii="SimSun" w:hAnsi="SimSun" w:eastAsia="SimSun" w:cs="SimSun"/>
                <w:sz w:val="20"/>
                <w:szCs w:val="20"/>
                <w:spacing w:val="4"/>
              </w:rPr>
              <w:t>环境</w:t>
            </w:r>
            <w:r>
              <w:rPr>
                <w:rFonts w:ascii="SimSun" w:hAnsi="SimSun" w:eastAsia="SimSun" w:cs="SimSun"/>
                <w:sz w:val="20"/>
                <w:szCs w:val="20"/>
                <w:spacing w:val="1"/>
              </w:rPr>
              <w:t>空气</w:t>
            </w:r>
          </w:p>
        </w:tc>
        <w:tc>
          <w:tcPr>
            <w:tcW w:w="8345" w:type="dxa"/>
            <w:vAlign w:val="top"/>
            <w:gridSpan w:val="7"/>
          </w:tcPr>
          <w:p>
            <w:pPr>
              <w:pStyle w:val="TableText"/>
              <w:ind w:left="3414"/>
              <w:spacing w:before="54" w:line="228" w:lineRule="auto"/>
              <w:rPr>
                <w:rFonts w:ascii="SimSun" w:hAnsi="SimSun" w:eastAsia="SimSun" w:cs="SimSun"/>
              </w:rPr>
            </w:pPr>
            <w:r>
              <w:rPr>
                <w:rFonts w:ascii="SimSun" w:hAnsi="SimSun" w:eastAsia="SimSun" w:cs="SimSun"/>
                <w:spacing w:val="3"/>
              </w:rPr>
              <w:t>厂址</w:t>
            </w:r>
            <w:r>
              <w:rPr>
                <w:rFonts w:ascii="SimSun" w:hAnsi="SimSun" w:eastAsia="SimSun" w:cs="SimSun"/>
                <w:spacing w:val="-35"/>
              </w:rPr>
              <w:t xml:space="preserve"> </w:t>
            </w:r>
            <w:r>
              <w:rPr>
                <w:spacing w:val="3"/>
              </w:rPr>
              <w:t>5000m</w:t>
            </w:r>
            <w:r>
              <w:rPr>
                <w:spacing w:val="17"/>
              </w:rPr>
              <w:t xml:space="preserve"> </w:t>
            </w:r>
            <w:r>
              <w:rPr>
                <w:rFonts w:ascii="SimSun" w:hAnsi="SimSun" w:eastAsia="SimSun" w:cs="SimSun"/>
                <w:spacing w:val="3"/>
              </w:rPr>
              <w:t>范围</w:t>
            </w:r>
          </w:p>
        </w:tc>
      </w:tr>
      <w:tr>
        <w:trPr>
          <w:trHeight w:val="350" w:hRule="atLeast"/>
        </w:trPr>
        <w:tc>
          <w:tcPr>
            <w:tcW w:w="945" w:type="dxa"/>
            <w:vAlign w:val="top"/>
            <w:vMerge w:val="continue"/>
            <w:tcBorders>
              <w:top w:val="nil"/>
              <w:bottom w:val="nil"/>
            </w:tcBorders>
          </w:tcPr>
          <w:p>
            <w:pPr>
              <w:rPr>
                <w:rFonts w:ascii="Arial"/>
                <w:sz w:val="21"/>
              </w:rPr>
            </w:pPr>
            <w:r/>
          </w:p>
        </w:tc>
        <w:tc>
          <w:tcPr>
            <w:tcW w:w="950" w:type="dxa"/>
            <w:vAlign w:val="top"/>
          </w:tcPr>
          <w:p>
            <w:pPr>
              <w:ind w:left="266"/>
              <w:spacing w:before="66" w:line="229" w:lineRule="auto"/>
              <w:rPr>
                <w:rFonts w:ascii="SimSun" w:hAnsi="SimSun" w:eastAsia="SimSun" w:cs="SimSun"/>
                <w:sz w:val="20"/>
                <w:szCs w:val="20"/>
              </w:rPr>
            </w:pPr>
            <w:r>
              <w:rPr>
                <w:rFonts w:ascii="SimSun" w:hAnsi="SimSun" w:eastAsia="SimSun" w:cs="SimSun"/>
                <w:sz w:val="20"/>
                <w:szCs w:val="20"/>
                <w:spacing w:val="5"/>
              </w:rPr>
              <w:t>序号</w:t>
            </w:r>
          </w:p>
        </w:tc>
        <w:tc>
          <w:tcPr>
            <w:tcW w:w="1840" w:type="dxa"/>
            <w:vAlign w:val="top"/>
          </w:tcPr>
          <w:p>
            <w:pPr>
              <w:ind w:left="295"/>
              <w:spacing w:before="65" w:line="228" w:lineRule="auto"/>
              <w:rPr>
                <w:rFonts w:ascii="SimSun" w:hAnsi="SimSun" w:eastAsia="SimSun" w:cs="SimSun"/>
                <w:sz w:val="20"/>
                <w:szCs w:val="20"/>
              </w:rPr>
            </w:pPr>
            <w:r>
              <w:rPr>
                <w:rFonts w:ascii="SimSun" w:hAnsi="SimSun" w:eastAsia="SimSun" w:cs="SimSun"/>
                <w:sz w:val="20"/>
                <w:szCs w:val="20"/>
                <w:spacing w:val="8"/>
              </w:rPr>
              <w:t>敏感目标名称</w:t>
            </w:r>
          </w:p>
        </w:tc>
        <w:tc>
          <w:tcPr>
            <w:tcW w:w="1276" w:type="dxa"/>
            <w:vAlign w:val="top"/>
          </w:tcPr>
          <w:p>
            <w:pPr>
              <w:ind w:left="223"/>
              <w:spacing w:before="66" w:line="229" w:lineRule="auto"/>
              <w:rPr>
                <w:rFonts w:ascii="SimSun" w:hAnsi="SimSun" w:eastAsia="SimSun" w:cs="SimSun"/>
                <w:sz w:val="20"/>
                <w:szCs w:val="20"/>
              </w:rPr>
            </w:pPr>
            <w:r>
              <w:rPr>
                <w:rFonts w:ascii="SimSun" w:hAnsi="SimSun" w:eastAsia="SimSun" w:cs="SimSun"/>
                <w:sz w:val="20"/>
                <w:szCs w:val="20"/>
                <w:spacing w:val="7"/>
              </w:rPr>
              <w:t>相对方位</w:t>
            </w:r>
          </w:p>
        </w:tc>
        <w:tc>
          <w:tcPr>
            <w:tcW w:w="1648" w:type="dxa"/>
            <w:vAlign w:val="top"/>
            <w:gridSpan w:val="2"/>
          </w:tcPr>
          <w:p>
            <w:pPr>
              <w:pStyle w:val="TableText"/>
              <w:ind w:left="345"/>
              <w:spacing w:before="66" w:line="221" w:lineRule="auto"/>
              <w:rPr/>
            </w:pPr>
            <w:r>
              <w:rPr>
                <w:rFonts w:ascii="SimSun" w:hAnsi="SimSun" w:eastAsia="SimSun" w:cs="SimSun"/>
                <w:spacing w:val="8"/>
              </w:rPr>
              <w:t>距离（</w:t>
            </w:r>
            <w:r>
              <w:rPr/>
              <w:t>km</w:t>
            </w:r>
            <w:r>
              <w:rPr>
                <w:spacing w:val="8"/>
              </w:rPr>
              <w:t>)</w:t>
            </w:r>
          </w:p>
        </w:tc>
        <w:tc>
          <w:tcPr>
            <w:tcW w:w="1593" w:type="dxa"/>
            <w:vAlign w:val="top"/>
          </w:tcPr>
          <w:p>
            <w:pPr>
              <w:ind w:left="593"/>
              <w:spacing w:before="66" w:line="229" w:lineRule="auto"/>
              <w:rPr>
                <w:rFonts w:ascii="SimSun" w:hAnsi="SimSun" w:eastAsia="SimSun" w:cs="SimSun"/>
                <w:sz w:val="20"/>
                <w:szCs w:val="20"/>
              </w:rPr>
            </w:pPr>
            <w:r>
              <w:rPr>
                <w:rFonts w:ascii="SimSun" w:hAnsi="SimSun" w:eastAsia="SimSun" w:cs="SimSun"/>
                <w:sz w:val="20"/>
                <w:szCs w:val="20"/>
                <w:spacing w:val="3"/>
              </w:rPr>
              <w:t>属性</w:t>
            </w:r>
          </w:p>
        </w:tc>
        <w:tc>
          <w:tcPr>
            <w:tcW w:w="1038" w:type="dxa"/>
            <w:vAlign w:val="top"/>
          </w:tcPr>
          <w:p>
            <w:pPr>
              <w:ind w:left="210"/>
              <w:spacing w:before="65" w:line="228" w:lineRule="auto"/>
              <w:rPr>
                <w:rFonts w:ascii="SimSun" w:hAnsi="SimSun" w:eastAsia="SimSun" w:cs="SimSun"/>
                <w:sz w:val="20"/>
                <w:szCs w:val="20"/>
              </w:rPr>
            </w:pPr>
            <w:r>
              <w:rPr>
                <w:rFonts w:ascii="SimSun" w:hAnsi="SimSun" w:eastAsia="SimSun" w:cs="SimSun"/>
                <w:sz w:val="20"/>
                <w:szCs w:val="20"/>
                <w:spacing w:val="6"/>
              </w:rPr>
              <w:t>人口数</w:t>
            </w:r>
          </w:p>
        </w:tc>
      </w:tr>
      <w:tr>
        <w:trPr>
          <w:trHeight w:val="324" w:hRule="atLeast"/>
        </w:trPr>
        <w:tc>
          <w:tcPr>
            <w:tcW w:w="945" w:type="dxa"/>
            <w:vAlign w:val="top"/>
            <w:vMerge w:val="continue"/>
            <w:tcBorders>
              <w:top w:val="nil"/>
              <w:bottom w:val="nil"/>
            </w:tcBorders>
          </w:tcPr>
          <w:p>
            <w:pPr>
              <w:rPr>
                <w:rFonts w:ascii="Arial"/>
                <w:sz w:val="21"/>
              </w:rPr>
            </w:pPr>
            <w:r/>
          </w:p>
        </w:tc>
        <w:tc>
          <w:tcPr>
            <w:tcW w:w="950" w:type="dxa"/>
            <w:vAlign w:val="top"/>
          </w:tcPr>
          <w:p>
            <w:pPr>
              <w:pStyle w:val="TableText"/>
              <w:ind w:left="442"/>
              <w:spacing w:before="90" w:line="195" w:lineRule="auto"/>
              <w:rPr/>
            </w:pPr>
            <w:r>
              <w:rPr/>
              <w:t>1</w:t>
            </w:r>
          </w:p>
        </w:tc>
        <w:tc>
          <w:tcPr>
            <w:tcW w:w="1840" w:type="dxa"/>
            <w:vAlign w:val="top"/>
          </w:tcPr>
          <w:p>
            <w:pPr>
              <w:ind w:left="608"/>
              <w:spacing w:before="54" w:line="228" w:lineRule="auto"/>
              <w:rPr>
                <w:rFonts w:ascii="SimSun" w:hAnsi="SimSun" w:eastAsia="SimSun" w:cs="SimSun"/>
                <w:sz w:val="20"/>
                <w:szCs w:val="20"/>
              </w:rPr>
            </w:pPr>
            <w:r>
              <w:rPr>
                <w:rFonts w:ascii="SimSun" w:hAnsi="SimSun" w:eastAsia="SimSun" w:cs="SimSun"/>
                <w:sz w:val="20"/>
                <w:szCs w:val="20"/>
                <w:spacing w:val="6"/>
              </w:rPr>
              <w:t>居民点</w:t>
            </w:r>
          </w:p>
        </w:tc>
        <w:tc>
          <w:tcPr>
            <w:tcW w:w="1276" w:type="dxa"/>
            <w:vAlign w:val="top"/>
          </w:tcPr>
          <w:p>
            <w:pPr>
              <w:ind w:left="226"/>
              <w:spacing w:before="54" w:line="228" w:lineRule="auto"/>
              <w:rPr>
                <w:rFonts w:ascii="SimSun" w:hAnsi="SimSun" w:eastAsia="SimSun" w:cs="SimSun"/>
                <w:sz w:val="20"/>
                <w:szCs w:val="20"/>
              </w:rPr>
            </w:pPr>
            <w:r>
              <w:rPr>
                <w:rFonts w:ascii="SimSun" w:hAnsi="SimSun" w:eastAsia="SimSun" w:cs="SimSun"/>
                <w:sz w:val="20"/>
                <w:szCs w:val="20"/>
                <w:spacing w:val="6"/>
              </w:rPr>
              <w:t>项目周边</w:t>
            </w:r>
          </w:p>
        </w:tc>
        <w:tc>
          <w:tcPr>
            <w:tcW w:w="1648" w:type="dxa"/>
            <w:vAlign w:val="top"/>
            <w:gridSpan w:val="2"/>
          </w:tcPr>
          <w:p>
            <w:pPr>
              <w:pStyle w:val="TableText"/>
              <w:ind w:left="300"/>
              <w:spacing w:before="53" w:line="228" w:lineRule="auto"/>
              <w:rPr>
                <w:rFonts w:ascii="SimSun" w:hAnsi="SimSun" w:eastAsia="SimSun" w:cs="SimSun"/>
              </w:rPr>
            </w:pPr>
            <w:r>
              <w:rPr>
                <w:spacing w:val="5"/>
              </w:rPr>
              <w:t>5</w:t>
            </w:r>
            <w:r>
              <w:rPr/>
              <w:t>km</w:t>
            </w:r>
            <w:r>
              <w:rPr>
                <w:spacing w:val="19"/>
                <w:w w:val="101"/>
              </w:rPr>
              <w:t xml:space="preserve"> </w:t>
            </w:r>
            <w:r>
              <w:rPr>
                <w:rFonts w:ascii="SimSun" w:hAnsi="SimSun" w:eastAsia="SimSun" w:cs="SimSun"/>
                <w:spacing w:val="5"/>
              </w:rPr>
              <w:t>范围内</w:t>
            </w:r>
          </w:p>
        </w:tc>
        <w:tc>
          <w:tcPr>
            <w:tcW w:w="1593" w:type="dxa"/>
            <w:vAlign w:val="top"/>
          </w:tcPr>
          <w:p>
            <w:pPr>
              <w:ind w:left="488"/>
              <w:spacing w:before="54" w:line="228" w:lineRule="auto"/>
              <w:rPr>
                <w:rFonts w:ascii="SimSun" w:hAnsi="SimSun" w:eastAsia="SimSun" w:cs="SimSun"/>
                <w:sz w:val="20"/>
                <w:szCs w:val="20"/>
              </w:rPr>
            </w:pPr>
            <w:r>
              <w:rPr>
                <w:rFonts w:ascii="SimSun" w:hAnsi="SimSun" w:eastAsia="SimSun" w:cs="SimSun"/>
                <w:sz w:val="20"/>
                <w:szCs w:val="20"/>
                <w:spacing w:val="6"/>
              </w:rPr>
              <w:t>居住区</w:t>
            </w:r>
          </w:p>
        </w:tc>
        <w:tc>
          <w:tcPr>
            <w:tcW w:w="1038" w:type="dxa"/>
            <w:vAlign w:val="top"/>
          </w:tcPr>
          <w:p>
            <w:pPr>
              <w:pStyle w:val="TableText"/>
              <w:ind w:left="486"/>
              <w:spacing w:before="86" w:line="199" w:lineRule="auto"/>
              <w:rPr/>
            </w:pPr>
            <w:r>
              <w:rPr>
                <w:spacing w:val="2"/>
              </w:rPr>
              <w:t>/</w:t>
            </w:r>
          </w:p>
        </w:tc>
      </w:tr>
      <w:tr>
        <w:trPr>
          <w:trHeight w:val="345" w:hRule="atLeast"/>
        </w:trPr>
        <w:tc>
          <w:tcPr>
            <w:tcW w:w="945" w:type="dxa"/>
            <w:vAlign w:val="top"/>
            <w:vMerge w:val="continue"/>
            <w:tcBorders>
              <w:top w:val="nil"/>
              <w:bottom w:val="nil"/>
            </w:tcBorders>
          </w:tcPr>
          <w:p>
            <w:pPr>
              <w:rPr>
                <w:rFonts w:ascii="Arial"/>
                <w:sz w:val="21"/>
              </w:rPr>
            </w:pPr>
            <w:r/>
          </w:p>
        </w:tc>
        <w:tc>
          <w:tcPr>
            <w:tcW w:w="7307" w:type="dxa"/>
            <w:vAlign w:val="top"/>
            <w:gridSpan w:val="6"/>
          </w:tcPr>
          <w:p>
            <w:pPr>
              <w:pStyle w:val="TableText"/>
              <w:ind w:left="2214"/>
              <w:spacing w:before="63" w:line="228" w:lineRule="auto"/>
              <w:rPr>
                <w:rFonts w:ascii="SimSun" w:hAnsi="SimSun" w:eastAsia="SimSun" w:cs="SimSun"/>
              </w:rPr>
            </w:pPr>
            <w:r>
              <w:rPr>
                <w:rFonts w:ascii="SimSun" w:hAnsi="SimSun" w:eastAsia="SimSun" w:cs="SimSun"/>
                <w:spacing w:val="6"/>
              </w:rPr>
              <w:t>厂址周边</w:t>
            </w:r>
            <w:r>
              <w:rPr>
                <w:rFonts w:ascii="SimSun" w:hAnsi="SimSun" w:eastAsia="SimSun" w:cs="SimSun"/>
                <w:spacing w:val="-24"/>
              </w:rPr>
              <w:t xml:space="preserve"> </w:t>
            </w:r>
            <w:r>
              <w:rPr>
                <w:spacing w:val="6"/>
              </w:rPr>
              <w:t>500m </w:t>
            </w:r>
            <w:r>
              <w:rPr>
                <w:rFonts w:ascii="SimSun" w:hAnsi="SimSun" w:eastAsia="SimSun" w:cs="SimSun"/>
                <w:spacing w:val="6"/>
              </w:rPr>
              <w:t>范围人口数小计</w:t>
            </w:r>
          </w:p>
        </w:tc>
        <w:tc>
          <w:tcPr>
            <w:tcW w:w="1038" w:type="dxa"/>
            <w:vAlign w:val="top"/>
          </w:tcPr>
          <w:p>
            <w:pPr>
              <w:pStyle w:val="TableText"/>
              <w:ind w:left="486"/>
              <w:spacing w:before="98" w:line="199" w:lineRule="auto"/>
              <w:rPr/>
            </w:pPr>
            <w:r>
              <w:rPr>
                <w:spacing w:val="2"/>
              </w:rPr>
              <w:t>/</w:t>
            </w:r>
          </w:p>
        </w:tc>
      </w:tr>
      <w:tr>
        <w:trPr>
          <w:trHeight w:val="345" w:hRule="atLeast"/>
        </w:trPr>
        <w:tc>
          <w:tcPr>
            <w:tcW w:w="945" w:type="dxa"/>
            <w:vAlign w:val="top"/>
            <w:vMerge w:val="continue"/>
            <w:tcBorders>
              <w:top w:val="nil"/>
              <w:bottom w:val="nil"/>
            </w:tcBorders>
          </w:tcPr>
          <w:p>
            <w:pPr>
              <w:rPr>
                <w:rFonts w:ascii="Arial"/>
                <w:sz w:val="21"/>
              </w:rPr>
            </w:pPr>
            <w:r/>
          </w:p>
        </w:tc>
        <w:tc>
          <w:tcPr>
            <w:tcW w:w="7307" w:type="dxa"/>
            <w:vAlign w:val="top"/>
            <w:gridSpan w:val="6"/>
          </w:tcPr>
          <w:p>
            <w:pPr>
              <w:pStyle w:val="TableText"/>
              <w:ind w:left="2159"/>
              <w:spacing w:before="63" w:line="228" w:lineRule="auto"/>
              <w:rPr>
                <w:rFonts w:ascii="SimSun" w:hAnsi="SimSun" w:eastAsia="SimSun" w:cs="SimSun"/>
              </w:rPr>
            </w:pPr>
            <w:r>
              <w:rPr>
                <w:rFonts w:ascii="SimSun" w:hAnsi="SimSun" w:eastAsia="SimSun" w:cs="SimSun"/>
                <w:spacing w:val="7"/>
              </w:rPr>
              <w:t>厂址周边</w:t>
            </w:r>
            <w:r>
              <w:rPr>
                <w:rFonts w:ascii="SimSun" w:hAnsi="SimSun" w:eastAsia="SimSun" w:cs="SimSun"/>
                <w:spacing w:val="-28"/>
              </w:rPr>
              <w:t xml:space="preserve"> </w:t>
            </w:r>
            <w:r>
              <w:rPr>
                <w:spacing w:val="7"/>
              </w:rPr>
              <w:t>5</w:t>
            </w:r>
            <w:r>
              <w:rPr/>
              <w:t>km</w:t>
            </w:r>
            <w:r>
              <w:rPr>
                <w:spacing w:val="17"/>
                <w:w w:val="101"/>
              </w:rPr>
              <w:t xml:space="preserve"> </w:t>
            </w:r>
            <w:r>
              <w:rPr>
                <w:rFonts w:ascii="SimSun" w:hAnsi="SimSun" w:eastAsia="SimSun" w:cs="SimSun"/>
                <w:spacing w:val="7"/>
              </w:rPr>
              <w:t>范围内人口数小计</w:t>
            </w:r>
          </w:p>
        </w:tc>
        <w:tc>
          <w:tcPr>
            <w:tcW w:w="1038" w:type="dxa"/>
            <w:vAlign w:val="top"/>
          </w:tcPr>
          <w:p>
            <w:pPr>
              <w:pStyle w:val="TableText"/>
              <w:ind w:left="486"/>
              <w:spacing w:before="98" w:line="199" w:lineRule="auto"/>
              <w:rPr/>
            </w:pPr>
            <w:r>
              <w:rPr>
                <w:spacing w:val="2"/>
              </w:rPr>
              <w:t>/</w:t>
            </w:r>
          </w:p>
        </w:tc>
      </w:tr>
      <w:tr>
        <w:trPr>
          <w:trHeight w:val="345" w:hRule="atLeast"/>
        </w:trPr>
        <w:tc>
          <w:tcPr>
            <w:tcW w:w="945" w:type="dxa"/>
            <w:vAlign w:val="top"/>
            <w:vMerge w:val="continue"/>
            <w:tcBorders>
              <w:top w:val="nil"/>
            </w:tcBorders>
          </w:tcPr>
          <w:p>
            <w:pPr>
              <w:rPr>
                <w:rFonts w:ascii="Arial"/>
                <w:sz w:val="21"/>
              </w:rPr>
            </w:pPr>
            <w:r/>
          </w:p>
        </w:tc>
        <w:tc>
          <w:tcPr>
            <w:tcW w:w="7307" w:type="dxa"/>
            <w:vAlign w:val="top"/>
            <w:gridSpan w:val="6"/>
          </w:tcPr>
          <w:p>
            <w:pPr>
              <w:pStyle w:val="TableText"/>
              <w:ind w:left="2598"/>
              <w:spacing w:before="64" w:line="228" w:lineRule="auto"/>
              <w:rPr>
                <w:rFonts w:ascii="SimSun" w:hAnsi="SimSun" w:eastAsia="SimSun" w:cs="SimSun"/>
              </w:rPr>
            </w:pPr>
            <w:r>
              <w:rPr>
                <w:rFonts w:ascii="SimSun" w:hAnsi="SimSun" w:eastAsia="SimSun" w:cs="SimSun"/>
                <w:spacing w:val="7"/>
              </w:rPr>
              <w:t>大气环境敏感程度</w:t>
            </w:r>
            <w:r>
              <w:rPr>
                <w:rFonts w:ascii="SimSun" w:hAnsi="SimSun" w:eastAsia="SimSun" w:cs="SimSun"/>
                <w:spacing w:val="-40"/>
              </w:rPr>
              <w:t xml:space="preserve"> </w:t>
            </w:r>
            <w:r>
              <w:rPr>
                <w:spacing w:val="7"/>
              </w:rPr>
              <w:t>E </w:t>
            </w:r>
            <w:r>
              <w:rPr>
                <w:rFonts w:ascii="SimSun" w:hAnsi="SimSun" w:eastAsia="SimSun" w:cs="SimSun"/>
                <w:spacing w:val="7"/>
              </w:rPr>
              <w:t>值</w:t>
            </w:r>
          </w:p>
        </w:tc>
        <w:tc>
          <w:tcPr>
            <w:tcW w:w="1038" w:type="dxa"/>
            <w:vAlign w:val="top"/>
          </w:tcPr>
          <w:p>
            <w:pPr>
              <w:pStyle w:val="TableText"/>
              <w:ind w:left="401"/>
              <w:spacing w:before="100" w:line="195" w:lineRule="auto"/>
              <w:rPr/>
            </w:pPr>
            <w:r>
              <w:rPr>
                <w:spacing w:val="2"/>
              </w:rPr>
              <w:t>E3</w:t>
            </w:r>
          </w:p>
        </w:tc>
      </w:tr>
      <w:tr>
        <w:trPr>
          <w:trHeight w:val="345" w:hRule="atLeast"/>
        </w:trPr>
        <w:tc>
          <w:tcPr>
            <w:tcW w:w="945" w:type="dxa"/>
            <w:vAlign w:val="top"/>
            <w:vMerge w:val="restart"/>
            <w:tcBorders>
              <w:bottom w:val="nil"/>
            </w:tcBorders>
          </w:tcPr>
          <w:p>
            <w:pPr>
              <w:spacing w:line="288" w:lineRule="auto"/>
              <w:rPr>
                <w:rFonts w:ascii="Arial"/>
                <w:sz w:val="21"/>
              </w:rPr>
            </w:pPr>
            <w:r/>
          </w:p>
          <w:p>
            <w:pPr>
              <w:spacing w:line="288" w:lineRule="auto"/>
              <w:rPr>
                <w:rFonts w:ascii="Arial"/>
                <w:sz w:val="21"/>
              </w:rPr>
            </w:pPr>
            <w:r/>
          </w:p>
          <w:p>
            <w:pPr>
              <w:spacing w:line="289" w:lineRule="auto"/>
              <w:rPr>
                <w:rFonts w:ascii="Arial"/>
                <w:sz w:val="21"/>
              </w:rPr>
            </w:pPr>
            <w:r/>
          </w:p>
          <w:p>
            <w:pPr>
              <w:ind w:left="161"/>
              <w:spacing w:before="65" w:line="228" w:lineRule="auto"/>
              <w:rPr>
                <w:rFonts w:ascii="SimSun" w:hAnsi="SimSun" w:eastAsia="SimSun" w:cs="SimSun"/>
                <w:sz w:val="20"/>
                <w:szCs w:val="20"/>
              </w:rPr>
            </w:pPr>
            <w:r>
              <w:rPr>
                <w:rFonts w:ascii="SimSun" w:hAnsi="SimSun" w:eastAsia="SimSun" w:cs="SimSun"/>
                <w:sz w:val="20"/>
                <w:szCs w:val="20"/>
                <w:spacing w:val="6"/>
              </w:rPr>
              <w:t>地表水</w:t>
            </w:r>
          </w:p>
        </w:tc>
        <w:tc>
          <w:tcPr>
            <w:tcW w:w="8345" w:type="dxa"/>
            <w:vAlign w:val="top"/>
            <w:gridSpan w:val="7"/>
          </w:tcPr>
          <w:p>
            <w:pPr>
              <w:ind w:left="3756"/>
              <w:spacing w:before="64" w:line="228" w:lineRule="auto"/>
              <w:rPr>
                <w:rFonts w:ascii="SimSun" w:hAnsi="SimSun" w:eastAsia="SimSun" w:cs="SimSun"/>
                <w:sz w:val="20"/>
                <w:szCs w:val="20"/>
              </w:rPr>
            </w:pPr>
            <w:r>
              <w:rPr>
                <w:rFonts w:ascii="SimSun" w:hAnsi="SimSun" w:eastAsia="SimSun" w:cs="SimSun"/>
                <w:sz w:val="20"/>
                <w:szCs w:val="20"/>
                <w:spacing w:val="6"/>
              </w:rPr>
              <w:t>受纳水体</w:t>
            </w:r>
          </w:p>
        </w:tc>
      </w:tr>
      <w:tr>
        <w:trPr>
          <w:trHeight w:val="338" w:hRule="atLeast"/>
        </w:trPr>
        <w:tc>
          <w:tcPr>
            <w:tcW w:w="945" w:type="dxa"/>
            <w:vAlign w:val="top"/>
            <w:vMerge w:val="continue"/>
            <w:tcBorders>
              <w:top w:val="nil"/>
              <w:bottom w:val="nil"/>
            </w:tcBorders>
          </w:tcPr>
          <w:p>
            <w:pPr>
              <w:rPr>
                <w:rFonts w:ascii="Arial"/>
                <w:sz w:val="21"/>
              </w:rPr>
            </w:pPr>
            <w:r/>
          </w:p>
        </w:tc>
        <w:tc>
          <w:tcPr>
            <w:tcW w:w="950" w:type="dxa"/>
            <w:vAlign w:val="top"/>
          </w:tcPr>
          <w:p>
            <w:pPr>
              <w:ind w:left="110"/>
              <w:spacing w:before="60" w:line="229" w:lineRule="auto"/>
              <w:rPr>
                <w:rFonts w:ascii="SimSun" w:hAnsi="SimSun" w:eastAsia="SimSun" w:cs="SimSun"/>
                <w:sz w:val="20"/>
                <w:szCs w:val="20"/>
              </w:rPr>
            </w:pPr>
            <w:r>
              <w:rPr>
                <w:rFonts w:ascii="SimSun" w:hAnsi="SimSun" w:eastAsia="SimSun" w:cs="SimSun"/>
                <w:sz w:val="20"/>
                <w:szCs w:val="20"/>
                <w:spacing w:val="5"/>
              </w:rPr>
              <w:t>序号</w:t>
            </w:r>
          </w:p>
        </w:tc>
        <w:tc>
          <w:tcPr>
            <w:tcW w:w="1840" w:type="dxa"/>
            <w:vAlign w:val="top"/>
          </w:tcPr>
          <w:p>
            <w:pPr>
              <w:ind w:left="298"/>
              <w:spacing w:before="60" w:line="228" w:lineRule="auto"/>
              <w:rPr>
                <w:rFonts w:ascii="SimSun" w:hAnsi="SimSun" w:eastAsia="SimSun" w:cs="SimSun"/>
                <w:sz w:val="20"/>
                <w:szCs w:val="20"/>
              </w:rPr>
            </w:pPr>
            <w:r>
              <w:rPr>
                <w:rFonts w:ascii="SimSun" w:hAnsi="SimSun" w:eastAsia="SimSun" w:cs="SimSun"/>
                <w:sz w:val="20"/>
                <w:szCs w:val="20"/>
                <w:spacing w:val="7"/>
              </w:rPr>
              <w:t>受纳水体名称</w:t>
            </w:r>
          </w:p>
        </w:tc>
        <w:tc>
          <w:tcPr>
            <w:tcW w:w="2924" w:type="dxa"/>
            <w:vAlign w:val="top"/>
            <w:gridSpan w:val="3"/>
          </w:tcPr>
          <w:p>
            <w:pPr>
              <w:ind w:left="523"/>
              <w:spacing w:before="60" w:line="228" w:lineRule="auto"/>
              <w:rPr>
                <w:rFonts w:ascii="SimSun" w:hAnsi="SimSun" w:eastAsia="SimSun" w:cs="SimSun"/>
                <w:sz w:val="20"/>
                <w:szCs w:val="20"/>
              </w:rPr>
            </w:pPr>
            <w:r>
              <w:rPr>
                <w:rFonts w:ascii="SimSun" w:hAnsi="SimSun" w:eastAsia="SimSun" w:cs="SimSun"/>
                <w:sz w:val="20"/>
                <w:szCs w:val="20"/>
                <w:spacing w:val="8"/>
              </w:rPr>
              <w:t>排放点水域环境功能</w:t>
            </w:r>
          </w:p>
        </w:tc>
        <w:tc>
          <w:tcPr>
            <w:tcW w:w="2631" w:type="dxa"/>
            <w:vAlign w:val="top"/>
            <w:gridSpan w:val="2"/>
          </w:tcPr>
          <w:p>
            <w:pPr>
              <w:pStyle w:val="TableText"/>
              <w:ind w:left="607"/>
              <w:spacing w:before="60" w:line="228" w:lineRule="auto"/>
              <w:rPr>
                <w:rFonts w:ascii="SimSun" w:hAnsi="SimSun" w:eastAsia="SimSun" w:cs="SimSun"/>
              </w:rPr>
            </w:pPr>
            <w:r>
              <w:rPr>
                <w:spacing w:val="3"/>
              </w:rPr>
              <w:t>24h</w:t>
            </w:r>
            <w:r>
              <w:rPr>
                <w:spacing w:val="36"/>
                <w:w w:val="101"/>
              </w:rPr>
              <w:t xml:space="preserve"> </w:t>
            </w:r>
            <w:r>
              <w:rPr>
                <w:rFonts w:ascii="SimSun" w:hAnsi="SimSun" w:eastAsia="SimSun" w:cs="SimSun"/>
                <w:spacing w:val="3"/>
              </w:rPr>
              <w:t>内流经范围</w:t>
            </w:r>
          </w:p>
        </w:tc>
      </w:tr>
      <w:tr>
        <w:trPr>
          <w:trHeight w:val="345" w:hRule="atLeast"/>
        </w:trPr>
        <w:tc>
          <w:tcPr>
            <w:tcW w:w="945" w:type="dxa"/>
            <w:vAlign w:val="top"/>
            <w:vMerge w:val="continue"/>
            <w:tcBorders>
              <w:top w:val="nil"/>
              <w:bottom w:val="nil"/>
            </w:tcBorders>
          </w:tcPr>
          <w:p>
            <w:pPr>
              <w:rPr>
                <w:rFonts w:ascii="Arial"/>
                <w:sz w:val="21"/>
              </w:rPr>
            </w:pPr>
            <w:r/>
          </w:p>
        </w:tc>
        <w:tc>
          <w:tcPr>
            <w:tcW w:w="950" w:type="dxa"/>
            <w:vAlign w:val="top"/>
          </w:tcPr>
          <w:p>
            <w:pPr>
              <w:pStyle w:val="TableText"/>
              <w:ind w:left="442"/>
              <w:spacing w:before="101" w:line="195" w:lineRule="auto"/>
              <w:rPr/>
            </w:pPr>
            <w:r>
              <w:rPr/>
              <w:t>1</w:t>
            </w:r>
          </w:p>
        </w:tc>
        <w:tc>
          <w:tcPr>
            <w:tcW w:w="1840" w:type="dxa"/>
            <w:vAlign w:val="top"/>
          </w:tcPr>
          <w:p>
            <w:pPr>
              <w:ind w:left="821"/>
              <w:spacing w:before="65" w:line="228" w:lineRule="auto"/>
              <w:rPr>
                <w:rFonts w:ascii="SimSun" w:hAnsi="SimSun" w:eastAsia="SimSun" w:cs="SimSun"/>
                <w:sz w:val="20"/>
                <w:szCs w:val="20"/>
              </w:rPr>
            </w:pPr>
            <w:r>
              <w:rPr>
                <w:rFonts w:ascii="SimSun" w:hAnsi="SimSun" w:eastAsia="SimSun" w:cs="SimSun"/>
                <w:sz w:val="20"/>
                <w:szCs w:val="20"/>
              </w:rPr>
              <w:t>无</w:t>
            </w:r>
          </w:p>
        </w:tc>
        <w:tc>
          <w:tcPr>
            <w:tcW w:w="2924" w:type="dxa"/>
            <w:vAlign w:val="top"/>
            <w:gridSpan w:val="3"/>
          </w:tcPr>
          <w:p>
            <w:pPr>
              <w:pStyle w:val="TableText"/>
              <w:ind w:left="1429"/>
              <w:spacing w:before="97" w:line="199" w:lineRule="auto"/>
              <w:rPr/>
            </w:pPr>
            <w:r>
              <w:rPr>
                <w:spacing w:val="2"/>
              </w:rPr>
              <w:t>/</w:t>
            </w:r>
          </w:p>
        </w:tc>
        <w:tc>
          <w:tcPr>
            <w:tcW w:w="2631" w:type="dxa"/>
            <w:vAlign w:val="top"/>
            <w:gridSpan w:val="2"/>
          </w:tcPr>
          <w:p>
            <w:pPr>
              <w:pStyle w:val="TableText"/>
              <w:ind w:left="1282"/>
              <w:spacing w:before="97" w:line="199" w:lineRule="auto"/>
              <w:rPr/>
            </w:pPr>
            <w:r>
              <w:rPr>
                <w:spacing w:val="2"/>
              </w:rPr>
              <w:t>/</w:t>
            </w:r>
          </w:p>
        </w:tc>
      </w:tr>
      <w:tr>
        <w:trPr>
          <w:trHeight w:val="362" w:hRule="atLeast"/>
        </w:trPr>
        <w:tc>
          <w:tcPr>
            <w:tcW w:w="945" w:type="dxa"/>
            <w:vAlign w:val="top"/>
            <w:vMerge w:val="continue"/>
            <w:tcBorders>
              <w:top w:val="nil"/>
              <w:bottom w:val="nil"/>
            </w:tcBorders>
          </w:tcPr>
          <w:p>
            <w:pPr>
              <w:rPr>
                <w:rFonts w:ascii="Arial"/>
                <w:sz w:val="21"/>
              </w:rPr>
            </w:pPr>
            <w:r/>
          </w:p>
        </w:tc>
        <w:tc>
          <w:tcPr>
            <w:tcW w:w="950" w:type="dxa"/>
            <w:vAlign w:val="top"/>
          </w:tcPr>
          <w:p>
            <w:pPr>
              <w:ind w:left="110"/>
              <w:spacing w:before="75" w:line="229" w:lineRule="auto"/>
              <w:rPr>
                <w:rFonts w:ascii="SimSun" w:hAnsi="SimSun" w:eastAsia="SimSun" w:cs="SimSun"/>
                <w:sz w:val="20"/>
                <w:szCs w:val="20"/>
              </w:rPr>
            </w:pPr>
            <w:r>
              <w:rPr>
                <w:rFonts w:ascii="SimSun" w:hAnsi="SimSun" w:eastAsia="SimSun" w:cs="SimSun"/>
                <w:sz w:val="20"/>
                <w:szCs w:val="20"/>
                <w:spacing w:val="5"/>
              </w:rPr>
              <w:t>序号</w:t>
            </w:r>
          </w:p>
        </w:tc>
        <w:tc>
          <w:tcPr>
            <w:tcW w:w="1840" w:type="dxa"/>
            <w:vAlign w:val="top"/>
          </w:tcPr>
          <w:p>
            <w:pPr>
              <w:ind w:left="295"/>
              <w:spacing w:before="75" w:line="228" w:lineRule="auto"/>
              <w:rPr>
                <w:rFonts w:ascii="SimSun" w:hAnsi="SimSun" w:eastAsia="SimSun" w:cs="SimSun"/>
                <w:sz w:val="20"/>
                <w:szCs w:val="20"/>
              </w:rPr>
            </w:pPr>
            <w:r>
              <w:rPr>
                <w:rFonts w:ascii="SimSun" w:hAnsi="SimSun" w:eastAsia="SimSun" w:cs="SimSun"/>
                <w:sz w:val="20"/>
                <w:szCs w:val="20"/>
                <w:spacing w:val="8"/>
              </w:rPr>
              <w:t>敏感目标名称</w:t>
            </w:r>
          </w:p>
        </w:tc>
        <w:tc>
          <w:tcPr>
            <w:tcW w:w="1691" w:type="dxa"/>
            <w:vAlign w:val="top"/>
            <w:gridSpan w:val="2"/>
          </w:tcPr>
          <w:p>
            <w:pPr>
              <w:ind w:left="110"/>
              <w:spacing w:before="75" w:line="228" w:lineRule="auto"/>
              <w:rPr>
                <w:rFonts w:ascii="SimSun" w:hAnsi="SimSun" w:eastAsia="SimSun" w:cs="SimSun"/>
                <w:sz w:val="20"/>
                <w:szCs w:val="20"/>
              </w:rPr>
            </w:pPr>
            <w:r>
              <w:rPr>
                <w:rFonts w:ascii="SimSun" w:hAnsi="SimSun" w:eastAsia="SimSun" w:cs="SimSun"/>
                <w:sz w:val="20"/>
                <w:szCs w:val="20"/>
                <w:spacing w:val="8"/>
              </w:rPr>
              <w:t>环境敏感特征</w:t>
            </w:r>
          </w:p>
        </w:tc>
        <w:tc>
          <w:tcPr>
            <w:tcW w:w="1233" w:type="dxa"/>
            <w:vAlign w:val="top"/>
          </w:tcPr>
          <w:p>
            <w:pPr>
              <w:ind w:left="205"/>
              <w:spacing w:before="75" w:line="228" w:lineRule="auto"/>
              <w:rPr>
                <w:rFonts w:ascii="SimSun" w:hAnsi="SimSun" w:eastAsia="SimSun" w:cs="SimSun"/>
                <w:sz w:val="20"/>
                <w:szCs w:val="20"/>
              </w:rPr>
            </w:pPr>
            <w:r>
              <w:rPr>
                <w:rFonts w:ascii="SimSun" w:hAnsi="SimSun" w:eastAsia="SimSun" w:cs="SimSun"/>
                <w:sz w:val="20"/>
                <w:szCs w:val="20"/>
                <w:spacing w:val="6"/>
              </w:rPr>
              <w:t>水质目标</w:t>
            </w:r>
          </w:p>
        </w:tc>
        <w:tc>
          <w:tcPr>
            <w:tcW w:w="2631" w:type="dxa"/>
            <w:vAlign w:val="top"/>
            <w:gridSpan w:val="2"/>
          </w:tcPr>
          <w:p>
            <w:pPr>
              <w:pStyle w:val="TableText"/>
              <w:ind w:left="581"/>
              <w:spacing w:before="75" w:line="228" w:lineRule="auto"/>
              <w:rPr/>
            </w:pPr>
            <w:r>
              <w:rPr>
                <w:rFonts w:ascii="SimSun" w:hAnsi="SimSun" w:eastAsia="SimSun" w:cs="SimSun"/>
                <w:spacing w:val="7"/>
              </w:rPr>
              <w:t>与排放点距离</w:t>
            </w:r>
            <w:r>
              <w:rPr>
                <w:spacing w:val="7"/>
              </w:rPr>
              <w:t>/m</w:t>
            </w:r>
          </w:p>
        </w:tc>
      </w:tr>
      <w:tr>
        <w:trPr>
          <w:trHeight w:val="345" w:hRule="atLeast"/>
        </w:trPr>
        <w:tc>
          <w:tcPr>
            <w:tcW w:w="945" w:type="dxa"/>
            <w:vAlign w:val="top"/>
            <w:vMerge w:val="continue"/>
            <w:tcBorders>
              <w:top w:val="nil"/>
              <w:bottom w:val="nil"/>
            </w:tcBorders>
          </w:tcPr>
          <w:p>
            <w:pPr>
              <w:rPr>
                <w:rFonts w:ascii="Arial"/>
                <w:sz w:val="21"/>
              </w:rPr>
            </w:pPr>
            <w:r/>
          </w:p>
        </w:tc>
        <w:tc>
          <w:tcPr>
            <w:tcW w:w="950" w:type="dxa"/>
            <w:vAlign w:val="top"/>
          </w:tcPr>
          <w:p>
            <w:pPr>
              <w:pStyle w:val="TableText"/>
              <w:ind w:left="442"/>
              <w:spacing w:before="102" w:line="195" w:lineRule="auto"/>
              <w:rPr/>
            </w:pPr>
            <w:r>
              <w:rPr/>
              <w:t>1</w:t>
            </w:r>
          </w:p>
        </w:tc>
        <w:tc>
          <w:tcPr>
            <w:tcW w:w="1840" w:type="dxa"/>
            <w:vAlign w:val="top"/>
          </w:tcPr>
          <w:p>
            <w:pPr>
              <w:ind w:left="503"/>
              <w:spacing w:before="65" w:line="227" w:lineRule="auto"/>
              <w:rPr>
                <w:rFonts w:ascii="SimSun" w:hAnsi="SimSun" w:eastAsia="SimSun" w:cs="SimSun"/>
                <w:sz w:val="20"/>
                <w:szCs w:val="20"/>
              </w:rPr>
            </w:pPr>
            <w:r>
              <w:rPr>
                <w:rFonts w:ascii="SimSun" w:hAnsi="SimSun" w:eastAsia="SimSun" w:cs="SimSun"/>
                <w:sz w:val="20"/>
                <w:szCs w:val="20"/>
                <w:spacing w:val="7"/>
              </w:rPr>
              <w:t>彦吉嘎河</w:t>
            </w:r>
          </w:p>
        </w:tc>
        <w:tc>
          <w:tcPr>
            <w:tcW w:w="1691" w:type="dxa"/>
            <w:vAlign w:val="top"/>
            <w:gridSpan w:val="2"/>
          </w:tcPr>
          <w:p>
            <w:pPr>
              <w:pStyle w:val="TableText"/>
              <w:ind w:left="734"/>
              <w:spacing w:before="102" w:line="195" w:lineRule="auto"/>
              <w:rPr/>
            </w:pPr>
            <w:r>
              <w:rPr>
                <w:spacing w:val="2"/>
              </w:rPr>
              <w:t>F2</w:t>
            </w:r>
          </w:p>
        </w:tc>
        <w:tc>
          <w:tcPr>
            <w:tcW w:w="1233" w:type="dxa"/>
            <w:vAlign w:val="top"/>
          </w:tcPr>
          <w:p>
            <w:pPr>
              <w:pStyle w:val="TableText"/>
              <w:ind w:left="384"/>
              <w:spacing w:before="65" w:line="228" w:lineRule="auto"/>
              <w:rPr>
                <w:rFonts w:ascii="SimSun" w:hAnsi="SimSun" w:eastAsia="SimSun" w:cs="SimSun"/>
              </w:rPr>
            </w:pPr>
            <w:r>
              <w:rPr/>
              <w:t>III</w:t>
            </w:r>
            <w:r>
              <w:rPr>
                <w:spacing w:val="13"/>
              </w:rPr>
              <w:t xml:space="preserve"> </w:t>
            </w:r>
            <w:r>
              <w:rPr>
                <w:rFonts w:ascii="SimSun" w:hAnsi="SimSun" w:eastAsia="SimSun" w:cs="SimSun"/>
                <w:spacing w:val="2"/>
              </w:rPr>
              <w:t>类</w:t>
            </w:r>
          </w:p>
        </w:tc>
        <w:tc>
          <w:tcPr>
            <w:tcW w:w="2631" w:type="dxa"/>
            <w:vAlign w:val="top"/>
            <w:gridSpan w:val="2"/>
          </w:tcPr>
          <w:p>
            <w:pPr>
              <w:pStyle w:val="TableText"/>
              <w:ind w:left="1282"/>
              <w:spacing w:before="98" w:line="199" w:lineRule="auto"/>
              <w:rPr/>
            </w:pPr>
            <w:r>
              <w:rPr>
                <w:spacing w:val="2"/>
              </w:rPr>
              <w:t>/</w:t>
            </w:r>
          </w:p>
        </w:tc>
      </w:tr>
      <w:tr>
        <w:trPr>
          <w:trHeight w:val="324" w:hRule="atLeast"/>
        </w:trPr>
        <w:tc>
          <w:tcPr>
            <w:tcW w:w="945" w:type="dxa"/>
            <w:vAlign w:val="top"/>
            <w:vMerge w:val="continue"/>
            <w:tcBorders>
              <w:top w:val="nil"/>
            </w:tcBorders>
          </w:tcPr>
          <w:p>
            <w:pPr>
              <w:rPr>
                <w:rFonts w:ascii="Arial"/>
                <w:sz w:val="21"/>
              </w:rPr>
            </w:pPr>
            <w:r/>
          </w:p>
        </w:tc>
        <w:tc>
          <w:tcPr>
            <w:tcW w:w="8345" w:type="dxa"/>
            <w:vAlign w:val="top"/>
            <w:gridSpan w:val="7"/>
          </w:tcPr>
          <w:p>
            <w:pPr>
              <w:pStyle w:val="TableText"/>
              <w:ind w:left="3087"/>
              <w:spacing w:before="54" w:line="228" w:lineRule="auto"/>
              <w:rPr/>
            </w:pPr>
            <w:r>
              <w:rPr>
                <w:rFonts w:ascii="SimSun" w:hAnsi="SimSun" w:eastAsia="SimSun" w:cs="SimSun"/>
                <w:spacing w:val="7"/>
              </w:rPr>
              <w:t>地表水环境敏感程度</w:t>
            </w:r>
            <w:r>
              <w:rPr>
                <w:rFonts w:ascii="SimSun" w:hAnsi="SimSun" w:eastAsia="SimSun" w:cs="SimSun"/>
                <w:spacing w:val="-36"/>
              </w:rPr>
              <w:t xml:space="preserve"> </w:t>
            </w:r>
            <w:r>
              <w:rPr>
                <w:spacing w:val="7"/>
              </w:rPr>
              <w:t>E1</w:t>
            </w:r>
          </w:p>
        </w:tc>
      </w:tr>
      <w:tr>
        <w:trPr>
          <w:trHeight w:val="822" w:hRule="atLeast"/>
        </w:trPr>
        <w:tc>
          <w:tcPr>
            <w:tcW w:w="945" w:type="dxa"/>
            <w:vAlign w:val="top"/>
            <w:vMerge w:val="restart"/>
            <w:tcBorders>
              <w:bottom w:val="nil"/>
            </w:tcBorders>
          </w:tcPr>
          <w:p>
            <w:pPr>
              <w:spacing w:line="286" w:lineRule="auto"/>
              <w:rPr>
                <w:rFonts w:ascii="Arial"/>
                <w:sz w:val="21"/>
              </w:rPr>
            </w:pPr>
            <w:r/>
          </w:p>
          <w:p>
            <w:pPr>
              <w:spacing w:line="287" w:lineRule="auto"/>
              <w:rPr>
                <w:rFonts w:ascii="Arial"/>
                <w:sz w:val="21"/>
              </w:rPr>
            </w:pPr>
            <w:r/>
          </w:p>
          <w:p>
            <w:pPr>
              <w:ind w:left="161"/>
              <w:spacing w:before="65" w:line="228" w:lineRule="auto"/>
              <w:rPr>
                <w:rFonts w:ascii="SimSun" w:hAnsi="SimSun" w:eastAsia="SimSun" w:cs="SimSun"/>
                <w:sz w:val="20"/>
                <w:szCs w:val="20"/>
              </w:rPr>
            </w:pPr>
            <w:r>
              <w:rPr>
                <w:rFonts w:ascii="SimSun" w:hAnsi="SimSun" w:eastAsia="SimSun" w:cs="SimSun"/>
                <w:sz w:val="20"/>
                <w:szCs w:val="20"/>
                <w:spacing w:val="6"/>
              </w:rPr>
              <w:t>地下水</w:t>
            </w:r>
          </w:p>
        </w:tc>
        <w:tc>
          <w:tcPr>
            <w:tcW w:w="950" w:type="dxa"/>
            <w:vAlign w:val="top"/>
          </w:tcPr>
          <w:p>
            <w:pPr>
              <w:ind w:left="266"/>
              <w:spacing w:before="306" w:line="229" w:lineRule="auto"/>
              <w:rPr>
                <w:rFonts w:ascii="SimSun" w:hAnsi="SimSun" w:eastAsia="SimSun" w:cs="SimSun"/>
                <w:sz w:val="20"/>
                <w:szCs w:val="20"/>
              </w:rPr>
            </w:pPr>
            <w:r>
              <w:rPr>
                <w:rFonts w:ascii="SimSun" w:hAnsi="SimSun" w:eastAsia="SimSun" w:cs="SimSun"/>
                <w:sz w:val="20"/>
                <w:szCs w:val="20"/>
                <w:spacing w:val="5"/>
              </w:rPr>
              <w:t>序号</w:t>
            </w:r>
          </w:p>
        </w:tc>
        <w:tc>
          <w:tcPr>
            <w:tcW w:w="1840" w:type="dxa"/>
            <w:vAlign w:val="top"/>
          </w:tcPr>
          <w:p>
            <w:pPr>
              <w:ind w:left="186"/>
              <w:spacing w:before="305" w:line="228" w:lineRule="auto"/>
              <w:rPr>
                <w:rFonts w:ascii="SimSun" w:hAnsi="SimSun" w:eastAsia="SimSun" w:cs="SimSun"/>
                <w:sz w:val="20"/>
                <w:szCs w:val="20"/>
              </w:rPr>
            </w:pPr>
            <w:r>
              <w:rPr>
                <w:rFonts w:ascii="SimSun" w:hAnsi="SimSun" w:eastAsia="SimSun" w:cs="SimSun"/>
                <w:sz w:val="20"/>
                <w:szCs w:val="20"/>
                <w:spacing w:val="8"/>
              </w:rPr>
              <w:t>环境敏感区名称</w:t>
            </w:r>
          </w:p>
        </w:tc>
        <w:tc>
          <w:tcPr>
            <w:tcW w:w="2924" w:type="dxa"/>
            <w:vAlign w:val="top"/>
            <w:gridSpan w:val="3"/>
          </w:tcPr>
          <w:p>
            <w:pPr>
              <w:ind w:left="837"/>
              <w:spacing w:before="305" w:line="228" w:lineRule="auto"/>
              <w:rPr>
                <w:rFonts w:ascii="SimSun" w:hAnsi="SimSun" w:eastAsia="SimSun" w:cs="SimSun"/>
                <w:sz w:val="20"/>
                <w:szCs w:val="20"/>
              </w:rPr>
            </w:pPr>
            <w:r>
              <w:rPr>
                <w:rFonts w:ascii="SimSun" w:hAnsi="SimSun" w:eastAsia="SimSun" w:cs="SimSun"/>
                <w:sz w:val="20"/>
                <w:szCs w:val="20"/>
                <w:spacing w:val="8"/>
              </w:rPr>
              <w:t>环境敏感特征</w:t>
            </w:r>
          </w:p>
        </w:tc>
        <w:tc>
          <w:tcPr>
            <w:tcW w:w="1593" w:type="dxa"/>
            <w:vAlign w:val="top"/>
          </w:tcPr>
          <w:p>
            <w:pPr>
              <w:ind w:left="593" w:right="269" w:hanging="316"/>
              <w:spacing w:before="170" w:line="252" w:lineRule="auto"/>
              <w:rPr>
                <w:rFonts w:ascii="SimSun" w:hAnsi="SimSun" w:eastAsia="SimSun" w:cs="SimSun"/>
                <w:sz w:val="20"/>
                <w:szCs w:val="20"/>
              </w:rPr>
            </w:pPr>
            <w:r>
              <w:rPr>
                <w:rFonts w:ascii="SimSun" w:hAnsi="SimSun" w:eastAsia="SimSun" w:cs="SimSun"/>
                <w:sz w:val="20"/>
                <w:szCs w:val="20"/>
                <w:spacing w:val="8"/>
              </w:rPr>
              <w:t>包气带防污</w:t>
            </w:r>
            <w:r>
              <w:rPr>
                <w:rFonts w:ascii="SimSun" w:hAnsi="SimSun" w:eastAsia="SimSun" w:cs="SimSun"/>
                <w:sz w:val="20"/>
                <w:szCs w:val="20"/>
                <w:spacing w:val="3"/>
              </w:rPr>
              <w:t>性能</w:t>
            </w:r>
          </w:p>
        </w:tc>
        <w:tc>
          <w:tcPr>
            <w:tcW w:w="1038" w:type="dxa"/>
            <w:vAlign w:val="top"/>
          </w:tcPr>
          <w:p>
            <w:pPr>
              <w:ind w:left="212"/>
              <w:spacing w:before="33" w:line="228" w:lineRule="auto"/>
              <w:rPr>
                <w:rFonts w:ascii="SimSun" w:hAnsi="SimSun" w:eastAsia="SimSun" w:cs="SimSun"/>
                <w:sz w:val="20"/>
                <w:szCs w:val="20"/>
              </w:rPr>
            </w:pPr>
            <w:r>
              <w:rPr>
                <w:rFonts w:ascii="SimSun" w:hAnsi="SimSun" w:eastAsia="SimSun" w:cs="SimSun"/>
                <w:sz w:val="20"/>
                <w:szCs w:val="20"/>
                <w:spacing w:val="5"/>
              </w:rPr>
              <w:t>与下游</w:t>
            </w:r>
          </w:p>
          <w:p>
            <w:pPr>
              <w:ind w:left="211"/>
              <w:spacing w:before="26" w:line="228" w:lineRule="auto"/>
              <w:rPr>
                <w:rFonts w:ascii="SimSun" w:hAnsi="SimSun" w:eastAsia="SimSun" w:cs="SimSun"/>
                <w:sz w:val="20"/>
                <w:szCs w:val="20"/>
              </w:rPr>
            </w:pPr>
            <w:r>
              <w:rPr>
                <w:rFonts w:ascii="SimSun" w:hAnsi="SimSun" w:eastAsia="SimSun" w:cs="SimSun"/>
                <w:sz w:val="20"/>
                <w:szCs w:val="20"/>
                <w:spacing w:val="6"/>
              </w:rPr>
              <w:t>厂界距</w:t>
            </w:r>
          </w:p>
          <w:p>
            <w:pPr>
              <w:pStyle w:val="TableText"/>
              <w:ind w:left="310"/>
              <w:spacing w:before="24" w:line="216" w:lineRule="auto"/>
              <w:rPr/>
            </w:pPr>
            <w:r>
              <w:rPr>
                <w:rFonts w:ascii="SimSun" w:hAnsi="SimSun" w:eastAsia="SimSun" w:cs="SimSun"/>
                <w:spacing w:val="2"/>
              </w:rPr>
              <w:t>离</w:t>
            </w:r>
            <w:r>
              <w:rPr>
                <w:spacing w:val="2"/>
              </w:rPr>
              <w:t>/m</w:t>
            </w:r>
          </w:p>
        </w:tc>
      </w:tr>
      <w:tr>
        <w:trPr>
          <w:trHeight w:val="321" w:hRule="atLeast"/>
        </w:trPr>
        <w:tc>
          <w:tcPr>
            <w:tcW w:w="945" w:type="dxa"/>
            <w:vAlign w:val="top"/>
            <w:vMerge w:val="continue"/>
            <w:tcBorders>
              <w:top w:val="nil"/>
              <w:bottom w:val="nil"/>
            </w:tcBorders>
          </w:tcPr>
          <w:p>
            <w:pPr>
              <w:rPr>
                <w:rFonts w:ascii="Arial"/>
                <w:sz w:val="21"/>
              </w:rPr>
            </w:pPr>
            <w:r/>
          </w:p>
        </w:tc>
        <w:tc>
          <w:tcPr>
            <w:tcW w:w="950" w:type="dxa"/>
            <w:vAlign w:val="top"/>
          </w:tcPr>
          <w:p>
            <w:pPr>
              <w:pStyle w:val="TableText"/>
              <w:ind w:left="442"/>
              <w:spacing w:before="91" w:line="195" w:lineRule="auto"/>
              <w:rPr/>
            </w:pPr>
            <w:r>
              <w:rPr/>
              <w:t>1</w:t>
            </w:r>
          </w:p>
        </w:tc>
        <w:tc>
          <w:tcPr>
            <w:tcW w:w="1840" w:type="dxa"/>
            <w:vAlign w:val="top"/>
          </w:tcPr>
          <w:p>
            <w:pPr>
              <w:ind w:left="189"/>
              <w:spacing w:before="54" w:line="228" w:lineRule="auto"/>
              <w:rPr>
                <w:rFonts w:ascii="SimSun" w:hAnsi="SimSun" w:eastAsia="SimSun" w:cs="SimSun"/>
                <w:sz w:val="20"/>
                <w:szCs w:val="20"/>
              </w:rPr>
            </w:pPr>
            <w:r>
              <w:rPr>
                <w:rFonts w:ascii="SimSun" w:hAnsi="SimSun" w:eastAsia="SimSun" w:cs="SimSun"/>
                <w:sz w:val="20"/>
                <w:szCs w:val="20"/>
                <w:spacing w:val="8"/>
              </w:rPr>
              <w:t>分散式居民水井</w:t>
            </w:r>
          </w:p>
        </w:tc>
        <w:tc>
          <w:tcPr>
            <w:tcW w:w="2924" w:type="dxa"/>
            <w:vAlign w:val="top"/>
            <w:gridSpan w:val="3"/>
          </w:tcPr>
          <w:p>
            <w:pPr>
              <w:pStyle w:val="TableText"/>
              <w:ind w:left="998"/>
              <w:spacing w:before="54" w:line="228" w:lineRule="auto"/>
              <w:rPr/>
            </w:pPr>
            <w:r>
              <w:rPr>
                <w:rFonts w:ascii="SimSun" w:hAnsi="SimSun" w:eastAsia="SimSun" w:cs="SimSun"/>
                <w:spacing w:val="4"/>
              </w:rPr>
              <w:t>较敏感</w:t>
            </w:r>
            <w:r>
              <w:rPr>
                <w:rFonts w:ascii="SimSun" w:hAnsi="SimSun" w:eastAsia="SimSun" w:cs="SimSun"/>
                <w:spacing w:val="-37"/>
              </w:rPr>
              <w:t xml:space="preserve"> </w:t>
            </w:r>
            <w:r>
              <w:rPr>
                <w:spacing w:val="4"/>
              </w:rPr>
              <w:t>G2</w:t>
            </w:r>
          </w:p>
        </w:tc>
        <w:tc>
          <w:tcPr>
            <w:tcW w:w="1593" w:type="dxa"/>
            <w:vAlign w:val="top"/>
          </w:tcPr>
          <w:p>
            <w:pPr>
              <w:pStyle w:val="TableText"/>
              <w:ind w:left="669"/>
              <w:spacing w:before="91" w:line="195" w:lineRule="auto"/>
              <w:rPr/>
            </w:pPr>
            <w:r>
              <w:rPr>
                <w:spacing w:val="2"/>
              </w:rPr>
              <w:t>D1</w:t>
            </w:r>
          </w:p>
        </w:tc>
        <w:tc>
          <w:tcPr>
            <w:tcW w:w="1038" w:type="dxa"/>
            <w:vAlign w:val="top"/>
          </w:tcPr>
          <w:p>
            <w:pPr>
              <w:pStyle w:val="TableText"/>
              <w:ind w:left="486"/>
              <w:spacing w:before="87" w:line="199" w:lineRule="auto"/>
              <w:rPr/>
            </w:pPr>
            <w:r>
              <w:rPr>
                <w:spacing w:val="2"/>
              </w:rPr>
              <w:t>/</w:t>
            </w:r>
          </w:p>
        </w:tc>
      </w:tr>
      <w:tr>
        <w:trPr>
          <w:trHeight w:val="350" w:hRule="atLeast"/>
        </w:trPr>
        <w:tc>
          <w:tcPr>
            <w:tcW w:w="945" w:type="dxa"/>
            <w:vAlign w:val="top"/>
            <w:vMerge w:val="continue"/>
            <w:tcBorders>
              <w:top w:val="nil"/>
            </w:tcBorders>
          </w:tcPr>
          <w:p>
            <w:pPr>
              <w:rPr>
                <w:rFonts w:ascii="Arial"/>
                <w:sz w:val="21"/>
              </w:rPr>
            </w:pPr>
            <w:r/>
          </w:p>
        </w:tc>
        <w:tc>
          <w:tcPr>
            <w:tcW w:w="7307" w:type="dxa"/>
            <w:vAlign w:val="top"/>
            <w:gridSpan w:val="6"/>
          </w:tcPr>
          <w:p>
            <w:pPr>
              <w:pStyle w:val="TableText"/>
              <w:ind w:left="2492"/>
              <w:spacing w:before="67" w:line="228" w:lineRule="auto"/>
              <w:rPr>
                <w:rFonts w:ascii="SimSun" w:hAnsi="SimSun" w:eastAsia="SimSun" w:cs="SimSun"/>
              </w:rPr>
            </w:pPr>
            <w:r>
              <w:rPr>
                <w:rFonts w:ascii="SimSun" w:hAnsi="SimSun" w:eastAsia="SimSun" w:cs="SimSun"/>
                <w:spacing w:val="7"/>
              </w:rPr>
              <w:t>地下水环境敏感程度</w:t>
            </w:r>
            <w:r>
              <w:rPr>
                <w:rFonts w:ascii="SimSun" w:hAnsi="SimSun" w:eastAsia="SimSun" w:cs="SimSun"/>
                <w:spacing w:val="-35"/>
              </w:rPr>
              <w:t xml:space="preserve"> </w:t>
            </w:r>
            <w:r>
              <w:rPr>
                <w:spacing w:val="7"/>
              </w:rPr>
              <w:t>E </w:t>
            </w:r>
            <w:r>
              <w:rPr>
                <w:rFonts w:ascii="SimSun" w:hAnsi="SimSun" w:eastAsia="SimSun" w:cs="SimSun"/>
                <w:spacing w:val="7"/>
              </w:rPr>
              <w:t>值</w:t>
            </w:r>
          </w:p>
        </w:tc>
        <w:tc>
          <w:tcPr>
            <w:tcW w:w="1038" w:type="dxa"/>
            <w:vAlign w:val="top"/>
          </w:tcPr>
          <w:p>
            <w:pPr>
              <w:pStyle w:val="TableText"/>
              <w:ind w:left="401"/>
              <w:spacing w:before="103" w:line="195" w:lineRule="auto"/>
              <w:rPr/>
            </w:pPr>
            <w:r>
              <w:rPr>
                <w:spacing w:val="3"/>
              </w:rPr>
              <w:t>E1</w:t>
            </w:r>
          </w:p>
        </w:tc>
      </w:tr>
    </w:tbl>
    <w:p>
      <w:pPr>
        <w:pStyle w:val="BodyText"/>
        <w:spacing w:line="361" w:lineRule="auto"/>
        <w:rPr/>
      </w:pPr>
      <w:r/>
    </w:p>
    <w:p>
      <w:pPr>
        <w:ind w:left="121"/>
        <w:spacing w:before="98" w:line="222" w:lineRule="auto"/>
        <w:outlineLvl w:val="1"/>
        <w:rPr>
          <w:rFonts w:ascii="SimHei" w:hAnsi="SimHei" w:eastAsia="SimHei" w:cs="SimHei"/>
          <w:sz w:val="30"/>
          <w:szCs w:val="30"/>
        </w:rPr>
      </w:pPr>
      <w:bookmarkStart w:name="bookmark40" w:id="72"/>
      <w:bookmarkEnd w:id="72"/>
      <w:r>
        <w:rPr>
          <w:rFonts w:ascii="Times New Roman" w:hAnsi="Times New Roman" w:eastAsia="Times New Roman" w:cs="Times New Roman"/>
          <w:sz w:val="30"/>
          <w:szCs w:val="30"/>
          <w:b/>
          <w:bCs/>
          <w:spacing w:val="-3"/>
        </w:rPr>
        <w:t>6.4 </w:t>
      </w:r>
      <w:r>
        <w:rPr>
          <w:rFonts w:ascii="SimHei" w:hAnsi="SimHei" w:eastAsia="SimHei" w:cs="SimHei"/>
          <w:sz w:val="30"/>
          <w:szCs w:val="30"/>
          <w:b/>
          <w:bCs/>
          <w:spacing w:val="-3"/>
        </w:rPr>
        <w:t>环境风险潜势初判</w:t>
      </w:r>
    </w:p>
    <w:p>
      <w:pPr>
        <w:ind w:left="125" w:right="112" w:firstLine="476"/>
        <w:spacing w:before="163" w:line="337" w:lineRule="auto"/>
        <w:jc w:val="both"/>
        <w:rPr>
          <w:rFonts w:ascii="SimSun" w:hAnsi="SimSun" w:eastAsia="SimSun" w:cs="SimSun"/>
          <w:sz w:val="24"/>
          <w:szCs w:val="24"/>
        </w:rPr>
      </w:pPr>
      <w:r>
        <w:rPr>
          <w:rFonts w:ascii="SimSun" w:hAnsi="SimSun" w:eastAsia="SimSun" w:cs="SimSun"/>
          <w:sz w:val="24"/>
          <w:szCs w:val="24"/>
          <w:spacing w:val="-2"/>
        </w:rPr>
        <w:t>参照《建设项目环境风险评价技术导则》（</w:t>
      </w:r>
      <w:r>
        <w:rPr>
          <w:rFonts w:ascii="Times New Roman" w:hAnsi="Times New Roman" w:eastAsia="Times New Roman" w:cs="Times New Roman"/>
          <w:sz w:val="24"/>
          <w:szCs w:val="24"/>
          <w:spacing w:val="-2"/>
        </w:rPr>
        <w:t>HJ/T169-2</w:t>
      </w:r>
      <w:r>
        <w:rPr>
          <w:rFonts w:ascii="Times New Roman" w:hAnsi="Times New Roman" w:eastAsia="Times New Roman" w:cs="Times New Roman"/>
          <w:sz w:val="24"/>
          <w:szCs w:val="24"/>
          <w:spacing w:val="-3"/>
        </w:rPr>
        <w:t>018</w:t>
      </w:r>
      <w:r>
        <w:rPr>
          <w:rFonts w:ascii="SimSun" w:hAnsi="SimSun" w:eastAsia="SimSun" w:cs="SimSun"/>
          <w:sz w:val="24"/>
          <w:szCs w:val="24"/>
          <w:spacing w:val="-3"/>
        </w:rPr>
        <w:t>）附录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33"/>
          <w:w w:val="101"/>
        </w:rPr>
        <w:t xml:space="preserve"> </w:t>
      </w:r>
      <w:r>
        <w:rPr>
          <w:rFonts w:ascii="SimSun" w:hAnsi="SimSun" w:eastAsia="SimSun" w:cs="SimSun"/>
          <w:sz w:val="24"/>
          <w:szCs w:val="24"/>
          <w:spacing w:val="-3"/>
        </w:rPr>
        <w:t>中危险物质的临</w:t>
      </w:r>
      <w:r>
        <w:rPr>
          <w:rFonts w:ascii="SimSun" w:hAnsi="SimSun" w:eastAsia="SimSun" w:cs="SimSun"/>
          <w:sz w:val="24"/>
          <w:szCs w:val="24"/>
          <w:spacing w:val="1"/>
        </w:rPr>
        <w:t>界量，定量分析危险物质数量与临界量的比值</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Q </w:t>
      </w:r>
      <w:r>
        <w:rPr>
          <w:rFonts w:ascii="SimSun" w:hAnsi="SimSun" w:eastAsia="SimSun" w:cs="SimSun"/>
          <w:sz w:val="24"/>
          <w:szCs w:val="24"/>
          <w:spacing w:val="1"/>
        </w:rPr>
        <w:t>和</w:t>
      </w:r>
      <w:r>
        <w:rPr>
          <w:rFonts w:ascii="SimSun" w:hAnsi="SimSun" w:eastAsia="SimSun" w:cs="SimSun"/>
          <w:sz w:val="24"/>
          <w:szCs w:val="24"/>
        </w:rPr>
        <w:t>所属行业及生产工艺特点</w:t>
      </w:r>
      <w:r>
        <w:rPr>
          <w:rFonts w:ascii="SimSun" w:hAnsi="SimSun" w:eastAsia="SimSun" w:cs="SimSun"/>
          <w:sz w:val="24"/>
          <w:szCs w:val="24"/>
          <w:spacing w:val="-49"/>
        </w:rPr>
        <w:t xml:space="preserve"> </w:t>
      </w:r>
      <w:r>
        <w:rPr>
          <w:rFonts w:ascii="Times New Roman" w:hAnsi="Times New Roman" w:eastAsia="Times New Roman" w:cs="Times New Roman"/>
          <w:sz w:val="24"/>
          <w:szCs w:val="24"/>
        </w:rPr>
        <w:t>M</w:t>
      </w:r>
      <w:r>
        <w:rPr>
          <w:rFonts w:ascii="Times New Roman" w:hAnsi="Times New Roman" w:eastAsia="Times New Roman" w:cs="Times New Roman"/>
          <w:sz w:val="24"/>
          <w:szCs w:val="24"/>
          <w:spacing w:val="-28"/>
        </w:rPr>
        <w:t xml:space="preserve"> </w:t>
      </w:r>
      <w:r>
        <w:rPr>
          <w:rFonts w:ascii="SimSun" w:hAnsi="SimSun" w:eastAsia="SimSun" w:cs="SimSun"/>
          <w:sz w:val="24"/>
          <w:szCs w:val="24"/>
        </w:rPr>
        <w:t>，按照</w:t>
      </w:r>
      <w:r>
        <w:rPr>
          <w:rFonts w:ascii="SimSun" w:hAnsi="SimSun" w:eastAsia="SimSun" w:cs="SimSun"/>
          <w:sz w:val="24"/>
          <w:szCs w:val="24"/>
          <w:spacing w:val="-1"/>
        </w:rPr>
        <w:t>附录</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C </w:t>
      </w:r>
      <w:r>
        <w:rPr>
          <w:rFonts w:ascii="SimSun" w:hAnsi="SimSun" w:eastAsia="SimSun" w:cs="SimSun"/>
          <w:sz w:val="24"/>
          <w:szCs w:val="24"/>
          <w:spacing w:val="-1"/>
        </w:rPr>
        <w:t>对危险物质及工艺系统危险性</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P </w:t>
      </w:r>
      <w:r>
        <w:rPr>
          <w:rFonts w:ascii="SimSun" w:hAnsi="SimSun" w:eastAsia="SimSun" w:cs="SimSun"/>
          <w:sz w:val="24"/>
          <w:szCs w:val="24"/>
          <w:spacing w:val="-1"/>
        </w:rPr>
        <w:t>等级进行判</w:t>
      </w:r>
      <w:r>
        <w:rPr>
          <w:rFonts w:ascii="SimSun" w:hAnsi="SimSun" w:eastAsia="SimSun" w:cs="SimSun"/>
          <w:sz w:val="24"/>
          <w:szCs w:val="24"/>
          <w:spacing w:val="-2"/>
        </w:rPr>
        <w:t>断。</w:t>
      </w:r>
    </w:p>
    <w:p>
      <w:pPr>
        <w:ind w:left="618"/>
        <w:spacing w:before="8" w:line="210"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、危险物质数量与临界量比值（</w:t>
      </w:r>
      <w:r>
        <w:rPr>
          <w:rFonts w:ascii="Times New Roman" w:hAnsi="Times New Roman" w:eastAsia="Times New Roman" w:cs="Times New Roman"/>
          <w:sz w:val="24"/>
          <w:szCs w:val="24"/>
          <w:spacing w:val="-4"/>
        </w:rPr>
        <w:t>Q</w:t>
      </w:r>
      <w:r>
        <w:rPr>
          <w:rFonts w:ascii="SimSun" w:hAnsi="SimSun" w:eastAsia="SimSun" w:cs="SimSun"/>
          <w:sz w:val="24"/>
          <w:szCs w:val="24"/>
          <w:spacing w:val="-4"/>
        </w:rPr>
        <w:t>）</w:t>
      </w:r>
    </w:p>
    <w:p>
      <w:pPr>
        <w:ind w:left="139" w:right="112" w:firstLine="460"/>
        <w:spacing w:before="165" w:line="338" w:lineRule="auto"/>
        <w:rPr>
          <w:rFonts w:ascii="SimSun" w:hAnsi="SimSun" w:eastAsia="SimSun" w:cs="SimSun"/>
          <w:sz w:val="24"/>
          <w:szCs w:val="24"/>
        </w:rPr>
      </w:pPr>
      <w:r>
        <w:rPr>
          <w:rFonts w:ascii="SimSun" w:hAnsi="SimSun" w:eastAsia="SimSun" w:cs="SimSun"/>
          <w:sz w:val="24"/>
          <w:szCs w:val="24"/>
          <w:spacing w:val="3"/>
        </w:rPr>
        <w:t>计算所涉及的每种危险物质在厂界内的最大存在总量与其在附录</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B</w:t>
      </w:r>
      <w:r>
        <w:rPr>
          <w:rFonts w:ascii="Times New Roman" w:hAnsi="Times New Roman" w:eastAsia="Times New Roman" w:cs="Times New Roman"/>
          <w:sz w:val="24"/>
          <w:szCs w:val="24"/>
          <w:spacing w:val="35"/>
        </w:rPr>
        <w:t xml:space="preserve"> </w:t>
      </w:r>
      <w:r>
        <w:rPr>
          <w:rFonts w:ascii="SimSun" w:hAnsi="SimSun" w:eastAsia="SimSun" w:cs="SimSun"/>
          <w:sz w:val="24"/>
          <w:szCs w:val="24"/>
          <w:spacing w:val="3"/>
        </w:rPr>
        <w:t>中对应</w:t>
      </w:r>
      <w:r>
        <w:rPr>
          <w:rFonts w:ascii="SimSun" w:hAnsi="SimSun" w:eastAsia="SimSun" w:cs="SimSun"/>
          <w:sz w:val="24"/>
          <w:szCs w:val="24"/>
          <w:spacing w:val="2"/>
        </w:rPr>
        <w:t>临界量</w:t>
      </w:r>
      <w:r>
        <w:rPr>
          <w:rFonts w:ascii="SimSun" w:hAnsi="SimSun" w:eastAsia="SimSun" w:cs="SimSun"/>
          <w:sz w:val="24"/>
          <w:szCs w:val="24"/>
          <w:spacing w:val="-2"/>
        </w:rPr>
        <w:t>的比值</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Q</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。在不同厂区的同一种物质，按其在厂界内的最大存</w:t>
      </w:r>
      <w:r>
        <w:rPr>
          <w:rFonts w:ascii="SimSun" w:hAnsi="SimSun" w:eastAsia="SimSun" w:cs="SimSun"/>
          <w:sz w:val="24"/>
          <w:szCs w:val="24"/>
          <w:spacing w:val="-3"/>
        </w:rPr>
        <w:t>在总量计算。</w:t>
      </w:r>
    </w:p>
    <w:p>
      <w:pPr>
        <w:spacing w:line="338" w:lineRule="auto"/>
        <w:sectPr>
          <w:headerReference w:type="default" r:id="rId468"/>
          <w:footerReference w:type="default" r:id="rId469"/>
          <w:pgSz w:w="11906" w:h="16838"/>
          <w:pgMar w:top="1114" w:right="1304" w:bottom="1080" w:left="1305" w:header="837" w:footer="918" w:gutter="0"/>
        </w:sectPr>
        <w:rPr>
          <w:rFonts w:ascii="SimSun" w:hAnsi="SimSun" w:eastAsia="SimSun" w:cs="SimSun"/>
          <w:sz w:val="24"/>
          <w:szCs w:val="24"/>
        </w:rPr>
      </w:pPr>
    </w:p>
    <w:p>
      <w:pPr>
        <w:pStyle w:val="BodyText"/>
        <w:spacing w:line="368" w:lineRule="auto"/>
        <w:rPr/>
      </w:pPr>
      <w:r/>
    </w:p>
    <w:p>
      <w:pPr>
        <w:ind w:left="16" w:right="85" w:firstLine="495"/>
        <w:spacing w:before="78" w:line="331" w:lineRule="auto"/>
        <w:rPr>
          <w:rFonts w:ascii="SimSun" w:hAnsi="SimSun" w:eastAsia="SimSun" w:cs="SimSun"/>
          <w:sz w:val="24"/>
          <w:szCs w:val="24"/>
        </w:rPr>
      </w:pPr>
      <w:r>
        <w:rPr>
          <w:rFonts w:ascii="SimSun" w:hAnsi="SimSun" w:eastAsia="SimSun" w:cs="SimSun"/>
          <w:sz w:val="24"/>
          <w:szCs w:val="24"/>
          <w:spacing w:val="-2"/>
        </w:rPr>
        <w:t>当只涉及一种危险物质时，计算该物质的总量与其临界量比值，即为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Q</w:t>
      </w:r>
      <w:r>
        <w:rPr>
          <w:rFonts w:ascii="SimSun" w:hAnsi="SimSun" w:eastAsia="SimSun" w:cs="SimSun"/>
          <w:sz w:val="24"/>
          <w:szCs w:val="24"/>
          <w:spacing w:val="-2"/>
        </w:rPr>
        <w:t>；</w:t>
      </w:r>
      <w:r>
        <w:rPr>
          <w:rFonts w:ascii="SimSun" w:hAnsi="SimSun" w:eastAsia="SimSun" w:cs="SimSun"/>
          <w:sz w:val="24"/>
          <w:szCs w:val="24"/>
          <w:spacing w:val="-3"/>
        </w:rPr>
        <w:t>当存在多</w:t>
      </w:r>
      <w:r>
        <w:rPr>
          <w:rFonts w:ascii="SimSun" w:hAnsi="SimSun" w:eastAsia="SimSun" w:cs="SimSun"/>
          <w:sz w:val="24"/>
          <w:szCs w:val="24"/>
          <w:spacing w:val="-1"/>
        </w:rPr>
        <w:t>种危险物质时，则按式（</w:t>
      </w:r>
      <w:r>
        <w:rPr>
          <w:rFonts w:ascii="Times New Roman" w:hAnsi="Times New Roman" w:eastAsia="Times New Roman" w:cs="Times New Roman"/>
          <w:sz w:val="24"/>
          <w:szCs w:val="24"/>
          <w:spacing w:val="-1"/>
        </w:rPr>
        <w:t>C.</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w:t>
      </w:r>
      <w:r>
        <w:rPr>
          <w:rFonts w:ascii="SimSun" w:hAnsi="SimSun" w:eastAsia="SimSun" w:cs="SimSun"/>
          <w:sz w:val="24"/>
          <w:szCs w:val="24"/>
          <w:spacing w:val="-1"/>
        </w:rPr>
        <w:t>）计算物质总量与</w:t>
      </w:r>
      <w:r>
        <w:rPr>
          <w:rFonts w:ascii="SimSun" w:hAnsi="SimSun" w:eastAsia="SimSun" w:cs="SimSun"/>
          <w:sz w:val="24"/>
          <w:szCs w:val="24"/>
          <w:spacing w:val="-2"/>
        </w:rPr>
        <w:t>其临界量比值（</w:t>
      </w:r>
      <w:r>
        <w:rPr>
          <w:rFonts w:ascii="Times New Roman" w:hAnsi="Times New Roman" w:eastAsia="Times New Roman" w:cs="Times New Roman"/>
          <w:sz w:val="24"/>
          <w:szCs w:val="24"/>
          <w:spacing w:val="-2"/>
        </w:rPr>
        <w:t>Q</w:t>
      </w:r>
      <w:r>
        <w:rPr>
          <w:rFonts w:ascii="SimSun" w:hAnsi="SimSun" w:eastAsia="SimSun" w:cs="SimSun"/>
          <w:sz w:val="24"/>
          <w:szCs w:val="24"/>
        </w:rPr>
        <w:t>）：</w:t>
      </w:r>
    </w:p>
    <w:p>
      <w:pPr>
        <w:ind w:firstLine="2963"/>
        <w:spacing w:before="36" w:line="859" w:lineRule="exact"/>
        <w:rPr/>
      </w:pPr>
      <w:r>
        <w:rPr>
          <w:position w:val="-17"/>
        </w:rPr>
        <w:drawing>
          <wp:inline distT="0" distB="0" distL="0" distR="0">
            <wp:extent cx="2002536" cy="545592"/>
            <wp:effectExtent l="0" t="0" r="0" b="0"/>
            <wp:docPr id="322" name="IM 322"/>
            <wp:cNvGraphicFramePr/>
            <a:graphic>
              <a:graphicData uri="http://schemas.openxmlformats.org/drawingml/2006/picture">
                <pic:pic>
                  <pic:nvPicPr>
                    <pic:cNvPr id="322" name="IM 322"/>
                    <pic:cNvPicPr/>
                  </pic:nvPicPr>
                  <pic:blipFill>
                    <a:blip r:embed="rId472"/>
                    <a:stretch>
                      <a:fillRect/>
                    </a:stretch>
                  </pic:blipFill>
                  <pic:spPr>
                    <a:xfrm rot="0">
                      <a:off x="0" y="0"/>
                      <a:ext cx="2002536" cy="545592"/>
                    </a:xfrm>
                    <a:prstGeom prst="rect">
                      <a:avLst/>
                    </a:prstGeom>
                  </pic:spPr>
                </pic:pic>
              </a:graphicData>
            </a:graphic>
          </wp:inline>
        </w:drawing>
      </w:r>
    </w:p>
    <w:p>
      <w:pPr>
        <w:ind w:left="501"/>
        <w:spacing w:before="146" w:line="212" w:lineRule="auto"/>
        <w:rPr>
          <w:rFonts w:ascii="SimSun" w:hAnsi="SimSun" w:eastAsia="SimSun" w:cs="SimSun"/>
          <w:sz w:val="24"/>
          <w:szCs w:val="24"/>
        </w:rPr>
      </w:pPr>
      <w:r>
        <w:rPr>
          <w:rFonts w:ascii="SimSun" w:hAnsi="SimSun" w:eastAsia="SimSun" w:cs="SimSun"/>
          <w:sz w:val="24"/>
          <w:szCs w:val="24"/>
          <w:spacing w:val="-3"/>
        </w:rPr>
        <w:t>式中：</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1"/>
        </w:rPr>
        <w:t>1 </w:t>
      </w:r>
      <w:r>
        <w:rPr>
          <w:rFonts w:ascii="SimSun" w:hAnsi="SimSun" w:eastAsia="SimSun" w:cs="SimSun"/>
          <w:sz w:val="24"/>
          <w:szCs w:val="24"/>
          <w:spacing w:val="-3"/>
        </w:rPr>
        <w:t>，</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position w:val="-1"/>
        </w:rPr>
        <w:t>2</w:t>
      </w:r>
      <w:r>
        <w:rPr>
          <w:rFonts w:ascii="Times New Roman" w:hAnsi="Times New Roman" w:eastAsia="Times New Roman" w:cs="Times New Roman"/>
          <w:sz w:val="15"/>
          <w:szCs w:val="15"/>
          <w:spacing w:val="-10"/>
          <w:position w:val="-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q</w:t>
      </w:r>
      <w:r>
        <w:rPr>
          <w:rFonts w:ascii="Times New Roman" w:hAnsi="Times New Roman" w:eastAsia="Times New Roman" w:cs="Times New Roman"/>
          <w:sz w:val="15"/>
          <w:szCs w:val="15"/>
          <w:spacing w:val="-3"/>
        </w:rPr>
        <w:t>n</w:t>
      </w:r>
      <w:r>
        <w:rPr>
          <w:rFonts w:ascii="Times New Roman" w:hAnsi="Times New Roman" w:eastAsia="Times New Roman" w:cs="Times New Roman"/>
          <w:sz w:val="24"/>
          <w:szCs w:val="24"/>
          <w:spacing w:val="-3"/>
        </w:rPr>
        <w:t>——</w:t>
      </w:r>
      <w:r>
        <w:rPr>
          <w:rFonts w:ascii="SimSun" w:hAnsi="SimSun" w:eastAsia="SimSun" w:cs="SimSun"/>
          <w:sz w:val="24"/>
          <w:szCs w:val="24"/>
          <w:spacing w:val="-3"/>
        </w:rPr>
        <w:t>每种危险物质的最大存在总量，</w:t>
      </w:r>
      <w:r>
        <w:rPr>
          <w:rFonts w:ascii="Times New Roman" w:hAnsi="Times New Roman" w:eastAsia="Times New Roman" w:cs="Times New Roman"/>
          <w:sz w:val="24"/>
          <w:szCs w:val="24"/>
          <w:spacing w:val="-3"/>
        </w:rPr>
        <w:t>t</w:t>
      </w:r>
      <w:r>
        <w:rPr>
          <w:rFonts w:ascii="SimSun" w:hAnsi="SimSun" w:eastAsia="SimSun" w:cs="SimSun"/>
          <w:sz w:val="24"/>
          <w:szCs w:val="24"/>
          <w:spacing w:val="-3"/>
        </w:rPr>
        <w:t>；</w:t>
      </w:r>
    </w:p>
    <w:p>
      <w:pPr>
        <w:ind w:left="1215"/>
        <w:spacing w:before="166" w:line="210" w:lineRule="auto"/>
        <w:rPr>
          <w:rFonts w:ascii="SimSun" w:hAnsi="SimSun" w:eastAsia="SimSun" w:cs="SimSun"/>
          <w:sz w:val="24"/>
          <w:szCs w:val="24"/>
        </w:rPr>
      </w:pP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1"/>
        </w:rPr>
        <w:t>1</w:t>
      </w:r>
      <w:r>
        <w:rPr>
          <w:rFonts w:ascii="Times New Roman" w:hAnsi="Times New Roman" w:eastAsia="Times New Roman" w:cs="Times New Roman"/>
          <w:sz w:val="24"/>
          <w:szCs w:val="24"/>
        </w:rPr>
        <w:t>,Q</w:t>
      </w:r>
      <w:r>
        <w:rPr>
          <w:rFonts w:ascii="Times New Roman" w:hAnsi="Times New Roman" w:eastAsia="Times New Roman" w:cs="Times New Roman"/>
          <w:sz w:val="15"/>
          <w:szCs w:val="15"/>
          <w:position w:val="-1"/>
        </w:rPr>
        <w:t>1</w:t>
      </w:r>
      <w:r>
        <w:rPr>
          <w:rFonts w:ascii="Times New Roman" w:hAnsi="Times New Roman" w:eastAsia="Times New Roman" w:cs="Times New Roman"/>
          <w:sz w:val="24"/>
          <w:szCs w:val="24"/>
        </w:rPr>
        <w:t>,...,Q</w:t>
      </w:r>
      <w:r>
        <w:rPr>
          <w:rFonts w:ascii="Times New Roman" w:hAnsi="Times New Roman" w:eastAsia="Times New Roman" w:cs="Times New Roman"/>
          <w:sz w:val="15"/>
          <w:szCs w:val="15"/>
        </w:rPr>
        <w:t>n</w:t>
      </w:r>
      <w:r>
        <w:rPr>
          <w:rFonts w:ascii="Times New Roman" w:hAnsi="Times New Roman" w:eastAsia="Times New Roman" w:cs="Times New Roman"/>
          <w:sz w:val="24"/>
          <w:szCs w:val="24"/>
        </w:rPr>
        <w:t>——</w:t>
      </w:r>
      <w:r>
        <w:rPr>
          <w:rFonts w:ascii="SimSun" w:hAnsi="SimSun" w:eastAsia="SimSun" w:cs="SimSun"/>
          <w:sz w:val="24"/>
          <w:szCs w:val="24"/>
        </w:rPr>
        <w:t>每种危险物质的临界量，</w:t>
      </w:r>
      <w:r>
        <w:rPr>
          <w:rFonts w:ascii="Times New Roman" w:hAnsi="Times New Roman" w:eastAsia="Times New Roman" w:cs="Times New Roman"/>
          <w:sz w:val="24"/>
          <w:szCs w:val="24"/>
        </w:rPr>
        <w:t>t</w:t>
      </w:r>
      <w:r>
        <w:rPr>
          <w:rFonts w:ascii="SimSun" w:hAnsi="SimSun" w:eastAsia="SimSun" w:cs="SimSun"/>
          <w:sz w:val="24"/>
          <w:szCs w:val="24"/>
        </w:rPr>
        <w:t>。</w:t>
      </w:r>
    </w:p>
    <w:p>
      <w:pPr>
        <w:ind w:left="1231"/>
        <w:spacing w:before="166" w:line="212" w:lineRule="auto"/>
        <w:rPr>
          <w:rFonts w:ascii="SimSun" w:hAnsi="SimSun" w:eastAsia="SimSun" w:cs="SimSun"/>
          <w:sz w:val="24"/>
          <w:szCs w:val="24"/>
        </w:rPr>
      </w:pPr>
      <w:r>
        <w:rPr>
          <w:rFonts w:ascii="SimSun" w:hAnsi="SimSun" w:eastAsia="SimSun" w:cs="SimSun"/>
          <w:sz w:val="24"/>
          <w:szCs w:val="24"/>
          <w:spacing w:val="-3"/>
        </w:rPr>
        <w:t>当</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Q</w:t>
      </w: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3"/>
        </w:rPr>
        <w:t>时，该项目环境风险潜势为</w:t>
      </w:r>
      <w:r>
        <w:rPr>
          <w:rFonts w:ascii="Times New Roman" w:hAnsi="Times New Roman" w:eastAsia="Times New Roman" w:cs="Times New Roman"/>
          <w:sz w:val="24"/>
          <w:szCs w:val="24"/>
          <w:spacing w:val="-3"/>
        </w:rPr>
        <w:t>Ⅰ</w:t>
      </w:r>
      <w:r>
        <w:rPr>
          <w:rFonts w:ascii="SimSun" w:hAnsi="SimSun" w:eastAsia="SimSun" w:cs="SimSun"/>
          <w:sz w:val="24"/>
          <w:szCs w:val="24"/>
          <w:spacing w:val="-3"/>
        </w:rPr>
        <w:t>。</w:t>
      </w:r>
    </w:p>
    <w:p>
      <w:pPr>
        <w:spacing w:before="163" w:line="212" w:lineRule="auto"/>
        <w:jc w:val="right"/>
        <w:rPr>
          <w:rFonts w:ascii="SimSun" w:hAnsi="SimSun" w:eastAsia="SimSun" w:cs="SimSun"/>
          <w:sz w:val="24"/>
          <w:szCs w:val="24"/>
        </w:rPr>
      </w:pPr>
      <w:r>
        <w:rPr>
          <w:rFonts w:ascii="SimSun" w:hAnsi="SimSun" w:eastAsia="SimSun" w:cs="SimSun"/>
          <w:sz w:val="24"/>
          <w:szCs w:val="24"/>
        </w:rPr>
        <w:t>当</w:t>
      </w:r>
      <w:r>
        <w:rPr>
          <w:rFonts w:ascii="SimSun" w:hAnsi="SimSun" w:eastAsia="SimSun" w:cs="SimSun"/>
          <w:sz w:val="24"/>
          <w:szCs w:val="24"/>
          <w:spacing w:val="-50"/>
        </w:rPr>
        <w:t xml:space="preserve"> </w:t>
      </w:r>
      <w:r>
        <w:rPr>
          <w:rFonts w:ascii="Times New Roman" w:hAnsi="Times New Roman" w:eastAsia="Times New Roman" w:cs="Times New Roman"/>
          <w:sz w:val="24"/>
          <w:szCs w:val="24"/>
        </w:rPr>
        <w:t>Q≥1</w:t>
      </w:r>
      <w:r>
        <w:rPr>
          <w:rFonts w:ascii="Times New Roman" w:hAnsi="Times New Roman" w:eastAsia="Times New Roman" w:cs="Times New Roman"/>
          <w:sz w:val="24"/>
          <w:szCs w:val="24"/>
          <w:spacing w:val="21"/>
        </w:rPr>
        <w:t xml:space="preserve"> </w:t>
      </w:r>
      <w:r>
        <w:rPr>
          <w:rFonts w:ascii="SimSun" w:hAnsi="SimSun" w:eastAsia="SimSun" w:cs="SimSun"/>
          <w:sz w:val="24"/>
          <w:szCs w:val="24"/>
        </w:rPr>
        <w:t>时，将</w:t>
      </w:r>
      <w:r>
        <w:rPr>
          <w:rFonts w:ascii="SimSun" w:hAnsi="SimSun" w:eastAsia="SimSun" w:cs="SimSun"/>
          <w:sz w:val="24"/>
          <w:szCs w:val="24"/>
          <w:spacing w:val="-52"/>
        </w:rPr>
        <w:t xml:space="preserve"> </w:t>
      </w:r>
      <w:r>
        <w:rPr>
          <w:rFonts w:ascii="Times New Roman" w:hAnsi="Times New Roman" w:eastAsia="Times New Roman" w:cs="Times New Roman"/>
          <w:sz w:val="24"/>
          <w:szCs w:val="24"/>
        </w:rPr>
        <w:t>Q </w:t>
      </w:r>
      <w:r>
        <w:rPr>
          <w:rFonts w:ascii="SimSun" w:hAnsi="SimSun" w:eastAsia="SimSun" w:cs="SimSun"/>
          <w:sz w:val="24"/>
          <w:szCs w:val="24"/>
        </w:rPr>
        <w:t>值划分为</w:t>
      </w:r>
      <w:r>
        <w:rPr>
          <w:rFonts w:ascii="SimSun" w:hAnsi="SimSun" w:eastAsia="SimSun" w:cs="SimSun"/>
          <w:sz w:val="24"/>
          <w:szCs w:val="24"/>
          <w:spacing w:val="-20"/>
        </w:rPr>
        <w:t>：（</w:t>
      </w:r>
      <w:r>
        <w:rPr>
          <w:rFonts w:ascii="Times New Roman" w:hAnsi="Times New Roman" w:eastAsia="Times New Roman" w:cs="Times New Roman"/>
          <w:sz w:val="24"/>
          <w:szCs w:val="24"/>
        </w:rPr>
        <w:t>1</w:t>
      </w:r>
      <w:r>
        <w:rPr>
          <w:rFonts w:ascii="SimSun" w:hAnsi="SimSun" w:eastAsia="SimSun" w:cs="SimSun"/>
          <w:sz w:val="24"/>
          <w:szCs w:val="24"/>
        </w:rPr>
        <w:t>）</w:t>
      </w:r>
      <w:r>
        <w:rPr>
          <w:rFonts w:ascii="Times New Roman" w:hAnsi="Times New Roman" w:eastAsia="Times New Roman" w:cs="Times New Roman"/>
          <w:sz w:val="24"/>
          <w:szCs w:val="24"/>
        </w:rPr>
        <w:t>1≤Q&lt;10</w:t>
      </w:r>
      <w:r>
        <w:rPr>
          <w:rFonts w:ascii="SimSun" w:hAnsi="SimSun" w:eastAsia="SimSun" w:cs="SimSun"/>
          <w:sz w:val="24"/>
          <w:szCs w:val="24"/>
          <w:spacing w:val="-20"/>
        </w:rPr>
        <w:t>；（</w:t>
      </w:r>
      <w:r>
        <w:rPr>
          <w:rFonts w:ascii="Times New Roman" w:hAnsi="Times New Roman" w:eastAsia="Times New Roman" w:cs="Times New Roman"/>
          <w:sz w:val="24"/>
          <w:szCs w:val="24"/>
        </w:rPr>
        <w:t>2</w:t>
      </w:r>
      <w:r>
        <w:rPr>
          <w:rFonts w:ascii="SimSun" w:hAnsi="SimSun" w:eastAsia="SimSun" w:cs="SimSun"/>
          <w:sz w:val="24"/>
          <w:szCs w:val="24"/>
        </w:rPr>
        <w:t>）</w:t>
      </w:r>
      <w:r>
        <w:rPr>
          <w:rFonts w:ascii="Times New Roman" w:hAnsi="Times New Roman" w:eastAsia="Times New Roman" w:cs="Times New Roman"/>
          <w:sz w:val="24"/>
          <w:szCs w:val="24"/>
        </w:rPr>
        <w:t>10≤Q</w:t>
      </w:r>
      <w:r>
        <w:rPr>
          <w:rFonts w:ascii="Times New Roman" w:hAnsi="Times New Roman" w:eastAsia="Times New Roman" w:cs="Times New Roman"/>
          <w:sz w:val="24"/>
          <w:szCs w:val="24"/>
          <w:spacing w:val="-1"/>
        </w:rPr>
        <w:t>&lt;100</w:t>
      </w:r>
      <w:r>
        <w:rPr>
          <w:rFonts w:ascii="SimSun" w:hAnsi="SimSun" w:eastAsia="SimSun" w:cs="SimSun"/>
          <w:sz w:val="24"/>
          <w:szCs w:val="24"/>
          <w:spacing w:val="-20"/>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Q≥100</w:t>
      </w:r>
      <w:r>
        <w:rPr>
          <w:rFonts w:ascii="SimSun" w:hAnsi="SimSun" w:eastAsia="SimSun" w:cs="SimSun"/>
          <w:sz w:val="24"/>
          <w:szCs w:val="24"/>
          <w:spacing w:val="-1"/>
        </w:rPr>
        <w:t>。</w:t>
      </w:r>
    </w:p>
    <w:p>
      <w:pPr>
        <w:ind w:left="16" w:firstLine="480"/>
        <w:spacing w:before="168" w:line="338" w:lineRule="auto"/>
        <w:jc w:val="both"/>
        <w:rPr>
          <w:rFonts w:ascii="SimSun" w:hAnsi="SimSun" w:eastAsia="SimSun" w:cs="SimSun"/>
          <w:sz w:val="24"/>
          <w:szCs w:val="24"/>
        </w:rPr>
      </w:pPr>
      <w:r>
        <w:rPr>
          <w:rFonts w:ascii="SimSun" w:hAnsi="SimSun" w:eastAsia="SimSun" w:cs="SimSun"/>
          <w:sz w:val="24"/>
          <w:szCs w:val="24"/>
          <w:spacing w:val="-6"/>
        </w:rPr>
        <w:t>本项目矿区所涉及的风险物质为危废暂存间内的机修废矿物油、电瓶；加油站柴油、</w:t>
      </w:r>
      <w:r>
        <w:rPr>
          <w:rFonts w:ascii="SimSun" w:hAnsi="SimSun" w:eastAsia="SimSun" w:cs="SimSun"/>
          <w:sz w:val="24"/>
          <w:szCs w:val="24"/>
          <w:spacing w:val="-3"/>
        </w:rPr>
        <w:t>汽油。本项目废矿物油产生量</w:t>
      </w:r>
      <w:r>
        <w:rPr>
          <w:rFonts w:ascii="SimSun" w:hAnsi="SimSun" w:eastAsia="SimSun" w:cs="SimSun"/>
          <w:sz w:val="24"/>
          <w:szCs w:val="24"/>
          <w:spacing w:val="-55"/>
        </w:rPr>
        <w:t xml:space="preserve"> </w:t>
      </w:r>
      <w:r>
        <w:rPr>
          <w:rFonts w:ascii="Times New Roman" w:hAnsi="Times New Roman" w:eastAsia="Times New Roman" w:cs="Times New Roman"/>
          <w:sz w:val="24"/>
          <w:szCs w:val="24"/>
          <w:color w:val="FF0000"/>
          <w:spacing w:val="-3"/>
        </w:rPr>
        <w:t>2</w:t>
      </w:r>
      <w:r>
        <w:rPr>
          <w:rFonts w:ascii="Times New Roman" w:hAnsi="Times New Roman" w:eastAsia="Times New Roman" w:cs="Times New Roman"/>
          <w:sz w:val="24"/>
          <w:szCs w:val="24"/>
          <w:spacing w:val="-3"/>
        </w:rPr>
        <w:t>0t/a</w:t>
      </w:r>
      <w:r>
        <w:rPr>
          <w:rFonts w:ascii="SimSun" w:hAnsi="SimSun" w:eastAsia="SimSun" w:cs="SimSun"/>
          <w:sz w:val="24"/>
          <w:szCs w:val="24"/>
          <w:spacing w:val="-3"/>
        </w:rPr>
        <w:t>，危废周总周期为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 </w:t>
      </w:r>
      <w:r>
        <w:rPr>
          <w:rFonts w:ascii="SimSun" w:hAnsi="SimSun" w:eastAsia="SimSun" w:cs="SimSun"/>
          <w:sz w:val="24"/>
          <w:szCs w:val="24"/>
          <w:spacing w:val="-3"/>
        </w:rPr>
        <w:t>个月，危废暂</w:t>
      </w:r>
      <w:r>
        <w:rPr>
          <w:rFonts w:ascii="SimSun" w:hAnsi="SimSun" w:eastAsia="SimSun" w:cs="SimSun"/>
          <w:sz w:val="24"/>
          <w:szCs w:val="24"/>
          <w:spacing w:val="-4"/>
        </w:rPr>
        <w:t>存间内废矿物油最</w:t>
      </w:r>
      <w:r>
        <w:rPr>
          <w:rFonts w:ascii="SimSun" w:hAnsi="SimSun" w:eastAsia="SimSun" w:cs="SimSun"/>
          <w:sz w:val="24"/>
          <w:szCs w:val="24"/>
          <w:spacing w:val="-3"/>
        </w:rPr>
        <w:t>大堆存量</w:t>
      </w:r>
      <w:r>
        <w:rPr>
          <w:rFonts w:ascii="SimSun" w:hAnsi="SimSun" w:eastAsia="SimSun" w:cs="SimSun"/>
          <w:sz w:val="24"/>
          <w:szCs w:val="24"/>
          <w:spacing w:val="-49"/>
        </w:rPr>
        <w:t xml:space="preserve"> </w:t>
      </w:r>
      <w:r>
        <w:rPr>
          <w:rFonts w:ascii="Times New Roman" w:hAnsi="Times New Roman" w:eastAsia="Times New Roman" w:cs="Times New Roman"/>
          <w:sz w:val="24"/>
          <w:szCs w:val="24"/>
          <w:color w:val="FF0000"/>
          <w:spacing w:val="-3"/>
        </w:rPr>
        <w:t>5</w:t>
      </w:r>
      <w:r>
        <w:rPr>
          <w:rFonts w:ascii="Times New Roman" w:hAnsi="Times New Roman" w:eastAsia="Times New Roman" w:cs="Times New Roman"/>
          <w:sz w:val="24"/>
          <w:szCs w:val="24"/>
          <w:spacing w:val="-3"/>
        </w:rPr>
        <w:t>t</w:t>
      </w:r>
      <w:r>
        <w:rPr>
          <w:rFonts w:ascii="SimSun" w:hAnsi="SimSun" w:eastAsia="SimSun" w:cs="SimSun"/>
          <w:sz w:val="24"/>
          <w:szCs w:val="24"/>
          <w:spacing w:val="-3"/>
        </w:rPr>
        <w:t>。</w:t>
      </w:r>
    </w:p>
    <w:p>
      <w:pPr>
        <w:ind w:left="497"/>
        <w:spacing w:line="210" w:lineRule="auto"/>
        <w:rPr>
          <w:rFonts w:ascii="SimSun" w:hAnsi="SimSun" w:eastAsia="SimSun" w:cs="SimSun"/>
          <w:sz w:val="24"/>
          <w:szCs w:val="24"/>
        </w:rPr>
      </w:pPr>
      <w:r>
        <w:rPr>
          <w:rFonts w:ascii="SimSun" w:hAnsi="SimSun" w:eastAsia="SimSun" w:cs="SimSun"/>
          <w:sz w:val="24"/>
          <w:szCs w:val="24"/>
          <w:spacing w:val="-2"/>
        </w:rPr>
        <w:t>本项目涉及的危险物质数量与临界量的比值</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Q</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6-4-1</w:t>
      </w:r>
      <w:r>
        <w:rPr>
          <w:rFonts w:ascii="SimSun" w:hAnsi="SimSun" w:eastAsia="SimSun" w:cs="SimSun"/>
          <w:sz w:val="24"/>
          <w:szCs w:val="24"/>
          <w:spacing w:val="-2"/>
        </w:rPr>
        <w:t>。</w:t>
      </w:r>
    </w:p>
    <w:p>
      <w:pPr>
        <w:ind w:left="15" w:right="85" w:firstLine="480"/>
        <w:spacing w:before="166" w:line="333" w:lineRule="auto"/>
        <w:rPr>
          <w:rFonts w:ascii="SimSun" w:hAnsi="SimSun" w:eastAsia="SimSun" w:cs="SimSun"/>
          <w:sz w:val="24"/>
          <w:szCs w:val="24"/>
        </w:rPr>
      </w:pPr>
      <w:r>
        <w:rPr>
          <w:rFonts w:ascii="SimSun" w:hAnsi="SimSun" w:eastAsia="SimSun" w:cs="SimSun"/>
          <w:sz w:val="24"/>
          <w:szCs w:val="24"/>
          <w:spacing w:val="16"/>
        </w:rPr>
        <w:t>通过计算</w:t>
      </w:r>
      <w:r>
        <w:rPr>
          <w:rFonts w:ascii="SimSun" w:hAnsi="SimSun" w:eastAsia="SimSun" w:cs="SimSun"/>
          <w:sz w:val="24"/>
          <w:szCs w:val="24"/>
          <w:spacing w:val="-64"/>
        </w:rPr>
        <w:t xml:space="preserve"> </w:t>
      </w:r>
      <w:r>
        <w:rPr>
          <w:rFonts w:ascii="SimSun" w:hAnsi="SimSun" w:eastAsia="SimSun" w:cs="SimSun"/>
          <w:sz w:val="24"/>
          <w:szCs w:val="24"/>
          <w:spacing w:val="16"/>
        </w:rPr>
        <w:t>，本项</w:t>
      </w:r>
      <w:r>
        <w:rPr>
          <w:rFonts w:ascii="SimSun" w:hAnsi="SimSun" w:eastAsia="SimSun" w:cs="SimSun"/>
          <w:sz w:val="24"/>
          <w:szCs w:val="24"/>
          <w:spacing w:val="-43"/>
        </w:rPr>
        <w:t xml:space="preserve"> </w:t>
      </w:r>
      <w:r>
        <w:rPr>
          <w:rFonts w:ascii="SimSun" w:hAnsi="SimSun" w:eastAsia="SimSun" w:cs="SimSun"/>
          <w:sz w:val="24"/>
          <w:szCs w:val="24"/>
          <w:spacing w:val="16"/>
        </w:rPr>
        <w:t>目危险物质数量与临界量的危废暂存间与加油站比值分别为</w:t>
      </w:r>
      <w:r>
        <w:rPr>
          <w:rFonts w:ascii="Times New Roman" w:hAnsi="Times New Roman" w:eastAsia="Times New Roman" w:cs="Times New Roman"/>
          <w:sz w:val="24"/>
          <w:szCs w:val="24"/>
          <w:spacing w:val="-3"/>
        </w:rPr>
        <w:t>Q=0.002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Q=0.12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Q </w:t>
      </w:r>
      <w:r>
        <w:rPr>
          <w:rFonts w:ascii="SimSun" w:hAnsi="SimSun" w:eastAsia="SimSun" w:cs="SimSun"/>
          <w:sz w:val="24"/>
          <w:szCs w:val="24"/>
          <w:spacing w:val="-3"/>
        </w:rPr>
        <w:t>值合计为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122&lt;1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，因此本项目环境风险潜</w:t>
      </w:r>
      <w:r>
        <w:rPr>
          <w:rFonts w:ascii="SimSun" w:hAnsi="SimSun" w:eastAsia="SimSun" w:cs="SimSun"/>
          <w:sz w:val="24"/>
          <w:szCs w:val="24"/>
          <w:spacing w:val="-4"/>
        </w:rPr>
        <w:t>势为</w:t>
      </w:r>
      <w:r>
        <w:rPr>
          <w:rFonts w:ascii="Times New Roman" w:hAnsi="Times New Roman" w:eastAsia="Times New Roman" w:cs="Times New Roman"/>
          <w:sz w:val="24"/>
          <w:szCs w:val="24"/>
          <w:spacing w:val="-4"/>
        </w:rPr>
        <w:t>Ⅰ</w:t>
      </w:r>
      <w:r>
        <w:rPr>
          <w:rFonts w:ascii="SimSun" w:hAnsi="SimSun" w:eastAsia="SimSun" w:cs="SimSun"/>
          <w:sz w:val="24"/>
          <w:szCs w:val="24"/>
          <w:spacing w:val="-4"/>
        </w:rPr>
        <w:t>。</w:t>
      </w:r>
    </w:p>
    <w:p>
      <w:pPr>
        <w:ind w:left="2875"/>
        <w:spacing w:before="142" w:line="212" w:lineRule="auto"/>
        <w:rPr>
          <w:rFonts w:ascii="Times New Roman" w:hAnsi="Times New Roman" w:eastAsia="Times New Roman" w:cs="Times New Roman"/>
          <w:sz w:val="24"/>
          <w:szCs w:val="24"/>
        </w:rPr>
      </w:pPr>
      <w:r>
        <w:rPr>
          <w:rFonts w:ascii="SimHei" w:hAnsi="SimHei" w:eastAsia="SimHei" w:cs="SimHei"/>
          <w:sz w:val="24"/>
          <w:szCs w:val="24"/>
          <w:spacing w:val="-1"/>
        </w:rPr>
        <w:t>危险物质数量与临界量的比值</w:t>
      </w:r>
      <w:r>
        <w:rPr>
          <w:rFonts w:ascii="SimHei" w:hAnsi="SimHei" w:eastAsia="SimHei" w:cs="SimHei"/>
          <w:sz w:val="24"/>
          <w:szCs w:val="24"/>
          <w:spacing w:val="-47"/>
        </w:rPr>
        <w:t xml:space="preserve"> </w:t>
      </w:r>
      <w:r>
        <w:rPr>
          <w:rFonts w:ascii="Times New Roman" w:hAnsi="Times New Roman" w:eastAsia="Times New Roman" w:cs="Times New Roman"/>
          <w:sz w:val="24"/>
          <w:szCs w:val="24"/>
          <w:spacing w:val="-1"/>
        </w:rPr>
        <w:t>Q</w:t>
      </w:r>
    </w:p>
    <w:p>
      <w:pPr>
        <w:ind w:left="14"/>
        <w:spacing w:before="83"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6-4-1</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35"/>
        <w:gridCol w:w="2238"/>
        <w:gridCol w:w="1516"/>
        <w:gridCol w:w="1501"/>
        <w:gridCol w:w="1494"/>
        <w:gridCol w:w="1499"/>
      </w:tblGrid>
      <w:tr>
        <w:trPr>
          <w:trHeight w:val="393" w:hRule="atLeast"/>
        </w:trPr>
        <w:tc>
          <w:tcPr>
            <w:tcW w:w="835" w:type="dxa"/>
            <w:vAlign w:val="top"/>
          </w:tcPr>
          <w:p>
            <w:pPr>
              <w:ind w:left="213"/>
              <w:spacing w:before="89" w:line="229" w:lineRule="auto"/>
              <w:rPr>
                <w:rFonts w:ascii="SimSun" w:hAnsi="SimSun" w:eastAsia="SimSun" w:cs="SimSun"/>
                <w:sz w:val="20"/>
                <w:szCs w:val="20"/>
              </w:rPr>
            </w:pPr>
            <w:r>
              <w:rPr>
                <w:rFonts w:ascii="SimSun" w:hAnsi="SimSun" w:eastAsia="SimSun" w:cs="SimSun"/>
                <w:sz w:val="20"/>
                <w:szCs w:val="20"/>
                <w:spacing w:val="5"/>
              </w:rPr>
              <w:t>序号</w:t>
            </w:r>
          </w:p>
        </w:tc>
        <w:tc>
          <w:tcPr>
            <w:tcW w:w="2238" w:type="dxa"/>
            <w:vAlign w:val="top"/>
          </w:tcPr>
          <w:p>
            <w:pPr>
              <w:ind w:left="704"/>
              <w:spacing w:before="89" w:line="228" w:lineRule="auto"/>
              <w:rPr>
                <w:rFonts w:ascii="SimSun" w:hAnsi="SimSun" w:eastAsia="SimSun" w:cs="SimSun"/>
                <w:sz w:val="20"/>
                <w:szCs w:val="20"/>
              </w:rPr>
            </w:pPr>
            <w:r>
              <w:rPr>
                <w:rFonts w:ascii="SimSun" w:hAnsi="SimSun" w:eastAsia="SimSun" w:cs="SimSun"/>
                <w:sz w:val="20"/>
                <w:szCs w:val="20"/>
                <w:spacing w:val="7"/>
              </w:rPr>
              <w:t>物质名称</w:t>
            </w:r>
          </w:p>
        </w:tc>
        <w:tc>
          <w:tcPr>
            <w:tcW w:w="1516" w:type="dxa"/>
            <w:vAlign w:val="top"/>
          </w:tcPr>
          <w:p>
            <w:pPr>
              <w:pStyle w:val="TableText"/>
              <w:ind w:left="426"/>
              <w:spacing w:before="89" w:line="229" w:lineRule="auto"/>
              <w:rPr>
                <w:rFonts w:ascii="SimSun" w:hAnsi="SimSun" w:eastAsia="SimSun" w:cs="SimSun"/>
              </w:rPr>
            </w:pPr>
            <w:r>
              <w:rPr/>
              <w:t>CAS</w:t>
            </w:r>
            <w:r>
              <w:rPr>
                <w:spacing w:val="14"/>
                <w:w w:val="101"/>
              </w:rPr>
              <w:t xml:space="preserve"> </w:t>
            </w:r>
            <w:r>
              <w:rPr>
                <w:rFonts w:ascii="SimSun" w:hAnsi="SimSun" w:eastAsia="SimSun" w:cs="SimSun"/>
                <w:spacing w:val="10"/>
              </w:rPr>
              <w:t>号</w:t>
            </w:r>
          </w:p>
        </w:tc>
        <w:tc>
          <w:tcPr>
            <w:tcW w:w="1501" w:type="dxa"/>
            <w:vAlign w:val="top"/>
          </w:tcPr>
          <w:p>
            <w:pPr>
              <w:pStyle w:val="TableText"/>
              <w:ind w:left="393"/>
              <w:spacing w:before="88" w:line="228" w:lineRule="auto"/>
              <w:rPr/>
            </w:pPr>
            <w:r>
              <w:rPr>
                <w:rFonts w:ascii="SimSun" w:hAnsi="SimSun" w:eastAsia="SimSun" w:cs="SimSun"/>
                <w:spacing w:val="3"/>
              </w:rPr>
              <w:t>临界量</w:t>
            </w:r>
            <w:r>
              <w:rPr>
                <w:spacing w:val="3"/>
              </w:rPr>
              <w:t>/t</w:t>
            </w:r>
          </w:p>
        </w:tc>
        <w:tc>
          <w:tcPr>
            <w:tcW w:w="1494" w:type="dxa"/>
            <w:vAlign w:val="top"/>
          </w:tcPr>
          <w:p>
            <w:pPr>
              <w:pStyle w:val="TableText"/>
              <w:ind w:left="380"/>
              <w:spacing w:before="88" w:line="228" w:lineRule="auto"/>
              <w:rPr/>
            </w:pPr>
            <w:r>
              <w:rPr>
                <w:rFonts w:ascii="SimSun" w:hAnsi="SimSun" w:eastAsia="SimSun" w:cs="SimSun"/>
                <w:spacing w:val="5"/>
              </w:rPr>
              <w:t>储存量</w:t>
            </w:r>
            <w:r>
              <w:rPr>
                <w:spacing w:val="5"/>
              </w:rPr>
              <w:t>/t</w:t>
            </w:r>
          </w:p>
        </w:tc>
        <w:tc>
          <w:tcPr>
            <w:tcW w:w="1499" w:type="dxa"/>
            <w:vAlign w:val="top"/>
          </w:tcPr>
          <w:p>
            <w:pPr>
              <w:pStyle w:val="TableText"/>
              <w:ind w:left="679"/>
              <w:spacing w:before="124" w:line="197" w:lineRule="auto"/>
              <w:rPr/>
            </w:pPr>
            <w:r>
              <w:rPr/>
              <w:t>Q</w:t>
            </w:r>
          </w:p>
        </w:tc>
      </w:tr>
      <w:tr>
        <w:trPr>
          <w:trHeight w:val="412" w:hRule="atLeast"/>
        </w:trPr>
        <w:tc>
          <w:tcPr>
            <w:tcW w:w="9083" w:type="dxa"/>
            <w:vAlign w:val="top"/>
            <w:gridSpan w:val="6"/>
          </w:tcPr>
          <w:p>
            <w:pPr>
              <w:ind w:left="4025"/>
              <w:spacing w:before="96" w:line="228" w:lineRule="auto"/>
              <w:rPr>
                <w:rFonts w:ascii="SimSun" w:hAnsi="SimSun" w:eastAsia="SimSun" w:cs="SimSun"/>
                <w:sz w:val="20"/>
                <w:szCs w:val="20"/>
              </w:rPr>
            </w:pPr>
            <w:r>
              <w:rPr>
                <w:rFonts w:ascii="SimSun" w:hAnsi="SimSun" w:eastAsia="SimSun" w:cs="SimSun"/>
                <w:sz w:val="20"/>
                <w:szCs w:val="20"/>
                <w:spacing w:val="7"/>
              </w:rPr>
              <w:t>危废暂存间</w:t>
            </w:r>
          </w:p>
        </w:tc>
      </w:tr>
      <w:tr>
        <w:trPr>
          <w:trHeight w:val="412" w:hRule="atLeast"/>
        </w:trPr>
        <w:tc>
          <w:tcPr>
            <w:tcW w:w="835" w:type="dxa"/>
            <w:vAlign w:val="top"/>
          </w:tcPr>
          <w:p>
            <w:pPr>
              <w:pStyle w:val="TableText"/>
              <w:ind w:left="386"/>
              <w:spacing w:before="135" w:line="195" w:lineRule="auto"/>
              <w:rPr/>
            </w:pPr>
            <w:r>
              <w:rPr/>
              <w:t>1</w:t>
            </w:r>
          </w:p>
        </w:tc>
        <w:tc>
          <w:tcPr>
            <w:tcW w:w="2238" w:type="dxa"/>
            <w:vAlign w:val="top"/>
          </w:tcPr>
          <w:p>
            <w:pPr>
              <w:ind w:left="703"/>
              <w:spacing w:before="96" w:line="228" w:lineRule="auto"/>
              <w:rPr>
                <w:rFonts w:ascii="SimSun" w:hAnsi="SimSun" w:eastAsia="SimSun" w:cs="SimSun"/>
                <w:sz w:val="20"/>
                <w:szCs w:val="20"/>
              </w:rPr>
            </w:pPr>
            <w:r>
              <w:rPr>
                <w:rFonts w:ascii="SimSun" w:hAnsi="SimSun" w:eastAsia="SimSun" w:cs="SimSun"/>
                <w:sz w:val="20"/>
                <w:szCs w:val="20"/>
                <w:spacing w:val="7"/>
              </w:rPr>
              <w:t>废矿物油</w:t>
            </w:r>
          </w:p>
        </w:tc>
        <w:tc>
          <w:tcPr>
            <w:tcW w:w="1516" w:type="dxa"/>
            <w:vAlign w:val="top"/>
          </w:tcPr>
          <w:p>
            <w:pPr>
              <w:pStyle w:val="TableText"/>
              <w:ind w:left="726"/>
              <w:spacing w:before="131" w:line="199" w:lineRule="auto"/>
              <w:rPr/>
            </w:pPr>
            <w:r>
              <w:rPr>
                <w:spacing w:val="2"/>
              </w:rPr>
              <w:t>/</w:t>
            </w:r>
          </w:p>
        </w:tc>
        <w:tc>
          <w:tcPr>
            <w:tcW w:w="1501" w:type="dxa"/>
            <w:vAlign w:val="top"/>
          </w:tcPr>
          <w:p>
            <w:pPr>
              <w:pStyle w:val="TableText"/>
              <w:ind w:left="541"/>
              <w:spacing w:before="135" w:line="195" w:lineRule="auto"/>
              <w:rPr/>
            </w:pPr>
            <w:r>
              <w:rPr>
                <w:spacing w:val="4"/>
              </w:rPr>
              <w:t>2500</w:t>
            </w:r>
          </w:p>
        </w:tc>
        <w:tc>
          <w:tcPr>
            <w:tcW w:w="1494" w:type="dxa"/>
            <w:vAlign w:val="top"/>
          </w:tcPr>
          <w:p>
            <w:pPr>
              <w:pStyle w:val="TableText"/>
              <w:ind w:left="702"/>
              <w:spacing w:before="138" w:line="192" w:lineRule="auto"/>
              <w:rPr/>
            </w:pPr>
            <w:r>
              <w:rPr/>
              <w:t>5</w:t>
            </w:r>
          </w:p>
        </w:tc>
        <w:tc>
          <w:tcPr>
            <w:tcW w:w="1499" w:type="dxa"/>
            <w:vAlign w:val="top"/>
          </w:tcPr>
          <w:p>
            <w:pPr>
              <w:pStyle w:val="TableText"/>
              <w:ind w:left="518"/>
              <w:spacing w:before="135" w:line="195" w:lineRule="auto"/>
              <w:rPr/>
            </w:pPr>
            <w:r>
              <w:rPr>
                <w:spacing w:val="2"/>
              </w:rPr>
              <w:t>0.002</w:t>
            </w:r>
          </w:p>
        </w:tc>
      </w:tr>
      <w:tr>
        <w:trPr>
          <w:trHeight w:val="414" w:hRule="atLeast"/>
        </w:trPr>
        <w:tc>
          <w:tcPr>
            <w:tcW w:w="9083" w:type="dxa"/>
            <w:vAlign w:val="top"/>
            <w:gridSpan w:val="6"/>
          </w:tcPr>
          <w:p>
            <w:pPr>
              <w:ind w:left="4231"/>
              <w:spacing w:before="97" w:line="231" w:lineRule="auto"/>
              <w:rPr>
                <w:rFonts w:ascii="SimSun" w:hAnsi="SimSun" w:eastAsia="SimSun" w:cs="SimSun"/>
                <w:sz w:val="20"/>
                <w:szCs w:val="20"/>
              </w:rPr>
            </w:pPr>
            <w:r>
              <w:rPr>
                <w:rFonts w:ascii="SimSun" w:hAnsi="SimSun" w:eastAsia="SimSun" w:cs="SimSun"/>
                <w:sz w:val="20"/>
                <w:szCs w:val="20"/>
                <w:spacing w:val="6"/>
              </w:rPr>
              <w:t>加油站</w:t>
            </w:r>
          </w:p>
        </w:tc>
      </w:tr>
      <w:tr>
        <w:trPr>
          <w:trHeight w:val="412" w:hRule="atLeast"/>
        </w:trPr>
        <w:tc>
          <w:tcPr>
            <w:tcW w:w="835" w:type="dxa"/>
            <w:vAlign w:val="top"/>
          </w:tcPr>
          <w:p>
            <w:pPr>
              <w:pStyle w:val="TableText"/>
              <w:ind w:left="386"/>
              <w:spacing w:before="134" w:line="195" w:lineRule="auto"/>
              <w:rPr/>
            </w:pPr>
            <w:r>
              <w:rPr/>
              <w:t>1</w:t>
            </w:r>
          </w:p>
        </w:tc>
        <w:tc>
          <w:tcPr>
            <w:tcW w:w="2238" w:type="dxa"/>
            <w:vAlign w:val="top"/>
          </w:tcPr>
          <w:p>
            <w:pPr>
              <w:ind w:left="912"/>
              <w:spacing w:before="99" w:line="228" w:lineRule="auto"/>
              <w:rPr>
                <w:rFonts w:ascii="SimSun" w:hAnsi="SimSun" w:eastAsia="SimSun" w:cs="SimSun"/>
                <w:sz w:val="20"/>
                <w:szCs w:val="20"/>
              </w:rPr>
            </w:pPr>
            <w:r>
              <w:rPr>
                <w:rFonts w:ascii="SimSun" w:hAnsi="SimSun" w:eastAsia="SimSun" w:cs="SimSun"/>
                <w:sz w:val="20"/>
                <w:szCs w:val="20"/>
                <w:spacing w:val="4"/>
              </w:rPr>
              <w:t>柴油</w:t>
            </w:r>
          </w:p>
        </w:tc>
        <w:tc>
          <w:tcPr>
            <w:tcW w:w="1516" w:type="dxa"/>
            <w:vAlign w:val="top"/>
          </w:tcPr>
          <w:p>
            <w:pPr>
              <w:pStyle w:val="TableText"/>
              <w:ind w:left="726"/>
              <w:spacing w:before="130" w:line="199" w:lineRule="auto"/>
              <w:rPr/>
            </w:pPr>
            <w:r>
              <w:rPr>
                <w:spacing w:val="2"/>
              </w:rPr>
              <w:t>/</w:t>
            </w:r>
          </w:p>
        </w:tc>
        <w:tc>
          <w:tcPr>
            <w:tcW w:w="1501" w:type="dxa"/>
            <w:vAlign w:val="top"/>
          </w:tcPr>
          <w:p>
            <w:pPr>
              <w:pStyle w:val="TableText"/>
              <w:ind w:left="541"/>
              <w:spacing w:before="134" w:line="195" w:lineRule="auto"/>
              <w:rPr/>
            </w:pPr>
            <w:r>
              <w:rPr>
                <w:spacing w:val="4"/>
              </w:rPr>
              <w:t>2500</w:t>
            </w:r>
          </w:p>
        </w:tc>
        <w:tc>
          <w:tcPr>
            <w:tcW w:w="1494" w:type="dxa"/>
            <w:vAlign w:val="top"/>
          </w:tcPr>
          <w:p>
            <w:pPr>
              <w:pStyle w:val="TableText"/>
              <w:ind w:left="649"/>
              <w:spacing w:before="134" w:line="195" w:lineRule="auto"/>
              <w:rPr/>
            </w:pPr>
            <w:r>
              <w:rPr/>
              <w:t>50</w:t>
            </w:r>
          </w:p>
        </w:tc>
        <w:tc>
          <w:tcPr>
            <w:tcW w:w="1499" w:type="dxa"/>
            <w:vAlign w:val="top"/>
          </w:tcPr>
          <w:p>
            <w:pPr>
              <w:pStyle w:val="TableText"/>
              <w:ind w:left="571"/>
              <w:spacing w:before="134" w:line="195" w:lineRule="auto"/>
              <w:rPr/>
            </w:pPr>
            <w:r>
              <w:rPr>
                <w:spacing w:val="2"/>
              </w:rPr>
              <w:t>0.02</w:t>
            </w:r>
          </w:p>
        </w:tc>
      </w:tr>
      <w:tr>
        <w:trPr>
          <w:trHeight w:val="412" w:hRule="atLeast"/>
        </w:trPr>
        <w:tc>
          <w:tcPr>
            <w:tcW w:w="835" w:type="dxa"/>
            <w:vAlign w:val="top"/>
          </w:tcPr>
          <w:p>
            <w:pPr>
              <w:pStyle w:val="TableText"/>
              <w:ind w:left="366"/>
              <w:spacing w:before="135" w:line="195" w:lineRule="auto"/>
              <w:rPr/>
            </w:pPr>
            <w:r>
              <w:rPr/>
              <w:t>2</w:t>
            </w:r>
          </w:p>
        </w:tc>
        <w:tc>
          <w:tcPr>
            <w:tcW w:w="2238" w:type="dxa"/>
            <w:vAlign w:val="top"/>
          </w:tcPr>
          <w:p>
            <w:pPr>
              <w:ind w:left="912"/>
              <w:spacing w:before="99" w:line="231" w:lineRule="auto"/>
              <w:rPr>
                <w:rFonts w:ascii="SimSun" w:hAnsi="SimSun" w:eastAsia="SimSun" w:cs="SimSun"/>
                <w:sz w:val="20"/>
                <w:szCs w:val="20"/>
              </w:rPr>
            </w:pPr>
            <w:r>
              <w:rPr>
                <w:rFonts w:ascii="SimSun" w:hAnsi="SimSun" w:eastAsia="SimSun" w:cs="SimSun"/>
                <w:sz w:val="20"/>
                <w:szCs w:val="20"/>
                <w:spacing w:val="4"/>
              </w:rPr>
              <w:t>汽油</w:t>
            </w:r>
          </w:p>
        </w:tc>
        <w:tc>
          <w:tcPr>
            <w:tcW w:w="1516" w:type="dxa"/>
            <w:vAlign w:val="top"/>
          </w:tcPr>
          <w:p>
            <w:pPr>
              <w:pStyle w:val="TableText"/>
              <w:ind w:left="726"/>
              <w:spacing w:before="131" w:line="199" w:lineRule="auto"/>
              <w:rPr/>
            </w:pPr>
            <w:r>
              <w:rPr>
                <w:spacing w:val="2"/>
              </w:rPr>
              <w:t>/</w:t>
            </w:r>
          </w:p>
        </w:tc>
        <w:tc>
          <w:tcPr>
            <w:tcW w:w="1501" w:type="dxa"/>
            <w:vAlign w:val="top"/>
          </w:tcPr>
          <w:p>
            <w:pPr>
              <w:pStyle w:val="TableText"/>
              <w:ind w:left="541"/>
              <w:spacing w:before="135" w:line="195" w:lineRule="auto"/>
              <w:rPr/>
            </w:pPr>
            <w:r>
              <w:rPr>
                <w:spacing w:val="4"/>
              </w:rPr>
              <w:t>2500</w:t>
            </w:r>
          </w:p>
        </w:tc>
        <w:tc>
          <w:tcPr>
            <w:tcW w:w="1494" w:type="dxa"/>
            <w:vAlign w:val="top"/>
          </w:tcPr>
          <w:p>
            <w:pPr>
              <w:pStyle w:val="TableText"/>
              <w:ind w:left="593"/>
              <w:spacing w:before="135" w:line="195" w:lineRule="auto"/>
              <w:rPr/>
            </w:pPr>
            <w:r>
              <w:rPr>
                <w:spacing w:val="3"/>
              </w:rPr>
              <w:t>250</w:t>
            </w:r>
          </w:p>
        </w:tc>
        <w:tc>
          <w:tcPr>
            <w:tcW w:w="1499" w:type="dxa"/>
            <w:vAlign w:val="top"/>
          </w:tcPr>
          <w:p>
            <w:pPr>
              <w:pStyle w:val="TableText"/>
              <w:ind w:left="621"/>
              <w:spacing w:before="135" w:line="195" w:lineRule="auto"/>
              <w:rPr/>
            </w:pPr>
            <w:r>
              <w:rPr/>
              <w:t>0.1</w:t>
            </w:r>
          </w:p>
        </w:tc>
      </w:tr>
      <w:tr>
        <w:trPr>
          <w:trHeight w:val="416" w:hRule="atLeast"/>
        </w:trPr>
        <w:tc>
          <w:tcPr>
            <w:tcW w:w="835" w:type="dxa"/>
            <w:vAlign w:val="top"/>
          </w:tcPr>
          <w:p>
            <w:pPr>
              <w:ind w:left="215"/>
              <w:spacing w:before="100" w:line="229" w:lineRule="auto"/>
              <w:rPr>
                <w:rFonts w:ascii="SimSun" w:hAnsi="SimSun" w:eastAsia="SimSun" w:cs="SimSun"/>
                <w:sz w:val="20"/>
                <w:szCs w:val="20"/>
              </w:rPr>
            </w:pPr>
            <w:r>
              <w:rPr>
                <w:rFonts w:ascii="SimSun" w:hAnsi="SimSun" w:eastAsia="SimSun" w:cs="SimSun"/>
                <w:sz w:val="20"/>
                <w:szCs w:val="20"/>
                <w:spacing w:val="4"/>
              </w:rPr>
              <w:t>合计</w:t>
            </w:r>
          </w:p>
        </w:tc>
        <w:tc>
          <w:tcPr>
            <w:tcW w:w="2238" w:type="dxa"/>
            <w:vAlign w:val="top"/>
          </w:tcPr>
          <w:p>
            <w:pPr>
              <w:rPr>
                <w:rFonts w:ascii="Arial"/>
                <w:sz w:val="21"/>
              </w:rPr>
            </w:pPr>
            <w:r/>
          </w:p>
        </w:tc>
        <w:tc>
          <w:tcPr>
            <w:tcW w:w="1516" w:type="dxa"/>
            <w:vAlign w:val="top"/>
          </w:tcPr>
          <w:p>
            <w:pPr>
              <w:rPr>
                <w:rFonts w:ascii="Arial"/>
                <w:sz w:val="21"/>
              </w:rPr>
            </w:pPr>
            <w:r/>
          </w:p>
        </w:tc>
        <w:tc>
          <w:tcPr>
            <w:tcW w:w="1501" w:type="dxa"/>
            <w:vAlign w:val="top"/>
          </w:tcPr>
          <w:p>
            <w:pPr>
              <w:rPr>
                <w:rFonts w:ascii="Arial"/>
                <w:sz w:val="21"/>
              </w:rPr>
            </w:pPr>
            <w:r/>
          </w:p>
        </w:tc>
        <w:tc>
          <w:tcPr>
            <w:tcW w:w="1494" w:type="dxa"/>
            <w:vAlign w:val="top"/>
          </w:tcPr>
          <w:p>
            <w:pPr>
              <w:rPr>
                <w:rFonts w:ascii="Arial"/>
                <w:sz w:val="21"/>
              </w:rPr>
            </w:pPr>
            <w:r/>
          </w:p>
        </w:tc>
        <w:tc>
          <w:tcPr>
            <w:tcW w:w="1499" w:type="dxa"/>
            <w:vAlign w:val="top"/>
          </w:tcPr>
          <w:p>
            <w:pPr>
              <w:pStyle w:val="TableText"/>
              <w:ind w:left="518"/>
              <w:spacing w:before="135" w:line="195" w:lineRule="auto"/>
              <w:rPr/>
            </w:pPr>
            <w:r>
              <w:rPr>
                <w:spacing w:val="-3"/>
              </w:rPr>
              <w:t>0.</w:t>
            </w:r>
            <w:r>
              <w:rPr>
                <w:spacing w:val="-22"/>
              </w:rPr>
              <w:t xml:space="preserve"> </w:t>
            </w:r>
            <w:r>
              <w:rPr>
                <w:spacing w:val="-3"/>
              </w:rPr>
              <w:t>122</w:t>
            </w:r>
          </w:p>
        </w:tc>
      </w:tr>
    </w:tbl>
    <w:p>
      <w:pPr>
        <w:ind w:left="15"/>
        <w:spacing w:before="29" w:line="228" w:lineRule="auto"/>
        <w:rPr>
          <w:rFonts w:ascii="SimSun" w:hAnsi="SimSun" w:eastAsia="SimSun" w:cs="SimSun"/>
          <w:sz w:val="20"/>
          <w:szCs w:val="20"/>
        </w:rPr>
      </w:pPr>
      <w:r>
        <w:rPr>
          <w:rFonts w:ascii="SimSun" w:hAnsi="SimSun" w:eastAsia="SimSun" w:cs="SimSun"/>
          <w:sz w:val="20"/>
          <w:szCs w:val="20"/>
          <w:spacing w:val="7"/>
        </w:rPr>
        <w:t>注：危废间内危废</w:t>
      </w:r>
      <w:r>
        <w:rPr>
          <w:rFonts w:ascii="SimSun" w:hAnsi="SimSun" w:eastAsia="SimSun" w:cs="SimSun"/>
          <w:sz w:val="20"/>
          <w:szCs w:val="20"/>
          <w:spacing w:val="-23"/>
        </w:rPr>
        <w:t xml:space="preserve"> </w:t>
      </w:r>
      <w:r>
        <w:rPr>
          <w:rFonts w:ascii="Times New Roman" w:hAnsi="Times New Roman" w:eastAsia="Times New Roman" w:cs="Times New Roman"/>
          <w:sz w:val="20"/>
          <w:szCs w:val="20"/>
          <w:spacing w:val="7"/>
        </w:rPr>
        <w:t>3 </w:t>
      </w:r>
      <w:r>
        <w:rPr>
          <w:rFonts w:ascii="SimSun" w:hAnsi="SimSun" w:eastAsia="SimSun" w:cs="SimSun"/>
          <w:sz w:val="20"/>
          <w:szCs w:val="20"/>
          <w:spacing w:val="7"/>
        </w:rPr>
        <w:t>个月周转一次</w:t>
      </w:r>
    </w:p>
    <w:p>
      <w:pPr>
        <w:ind w:left="18"/>
        <w:spacing w:before="216" w:line="222" w:lineRule="auto"/>
        <w:outlineLvl w:val="1"/>
        <w:rPr>
          <w:rFonts w:ascii="SimHei" w:hAnsi="SimHei" w:eastAsia="SimHei" w:cs="SimHei"/>
          <w:sz w:val="30"/>
          <w:szCs w:val="30"/>
        </w:rPr>
      </w:pPr>
      <w:bookmarkStart w:name="bookmark41" w:id="73"/>
      <w:bookmarkEnd w:id="73"/>
      <w:r>
        <w:rPr>
          <w:rFonts w:ascii="Times New Roman" w:hAnsi="Times New Roman" w:eastAsia="Times New Roman" w:cs="Times New Roman"/>
          <w:sz w:val="30"/>
          <w:szCs w:val="30"/>
          <w:b/>
          <w:bCs/>
          <w:spacing w:val="-3"/>
        </w:rPr>
        <w:t>6.5 </w:t>
      </w:r>
      <w:r>
        <w:rPr>
          <w:rFonts w:ascii="SimHei" w:hAnsi="SimHei" w:eastAsia="SimHei" w:cs="SimHei"/>
          <w:sz w:val="30"/>
          <w:szCs w:val="30"/>
          <w:b/>
          <w:bCs/>
          <w:spacing w:val="-3"/>
        </w:rPr>
        <w:t>环境风险识别</w:t>
      </w:r>
    </w:p>
    <w:p>
      <w:pPr>
        <w:ind w:left="19" w:right="85" w:firstLine="478"/>
        <w:spacing w:before="165" w:line="339" w:lineRule="auto"/>
        <w:jc w:val="both"/>
        <w:rPr>
          <w:rFonts w:ascii="SimSun" w:hAnsi="SimSun" w:eastAsia="SimSun" w:cs="SimSun"/>
          <w:sz w:val="24"/>
          <w:szCs w:val="24"/>
        </w:rPr>
      </w:pPr>
      <w:r>
        <w:rPr>
          <w:rFonts w:ascii="SimSun" w:hAnsi="SimSun" w:eastAsia="SimSun" w:cs="SimSun"/>
          <w:sz w:val="24"/>
          <w:szCs w:val="24"/>
          <w:spacing w:val="-2"/>
        </w:rPr>
        <w:t>本项目环境风险评价重点为危废暂存间废矿物油泄漏和加油站储油罐泄漏。本项目</w:t>
      </w:r>
      <w:r>
        <w:rPr>
          <w:rFonts w:ascii="SimSun" w:hAnsi="SimSun" w:eastAsia="SimSun" w:cs="SimSun"/>
          <w:sz w:val="24"/>
          <w:szCs w:val="24"/>
          <w:spacing w:val="1"/>
        </w:rPr>
        <w:t>设置一个危废暂存间，最大堆存容量为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20t</w:t>
      </w:r>
      <w:r>
        <w:rPr>
          <w:rFonts w:ascii="SimSun" w:hAnsi="SimSun" w:eastAsia="SimSun" w:cs="SimSun"/>
          <w:sz w:val="24"/>
          <w:szCs w:val="24"/>
          <w:spacing w:val="1"/>
        </w:rPr>
        <w:t>；加油站储油罐主要储存柴油与汽</w:t>
      </w:r>
      <w:r>
        <w:rPr>
          <w:rFonts w:ascii="SimSun" w:hAnsi="SimSun" w:eastAsia="SimSun" w:cs="SimSun"/>
          <w:sz w:val="24"/>
          <w:szCs w:val="24"/>
        </w:rPr>
        <w:t>油，最大</w:t>
      </w:r>
      <w:r>
        <w:rPr>
          <w:rFonts w:ascii="SimSun" w:hAnsi="SimSun" w:eastAsia="SimSun" w:cs="SimSun"/>
          <w:sz w:val="24"/>
          <w:szCs w:val="24"/>
          <w:spacing w:val="-2"/>
        </w:rPr>
        <w:t>容量分别为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50t</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250t</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。不涉及重大危险源。本项目风险识别</w:t>
      </w:r>
      <w:r>
        <w:rPr>
          <w:rFonts w:ascii="SimSun" w:hAnsi="SimSun" w:eastAsia="SimSun" w:cs="SimSun"/>
          <w:sz w:val="24"/>
          <w:szCs w:val="24"/>
          <w:spacing w:val="-3"/>
        </w:rPr>
        <w:t>具体内容见表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6-5-1</w:t>
      </w:r>
      <w:r>
        <w:rPr>
          <w:rFonts w:ascii="SimSun" w:hAnsi="SimSun" w:eastAsia="SimSun" w:cs="SimSun"/>
          <w:sz w:val="24"/>
          <w:szCs w:val="24"/>
          <w:spacing w:val="-3"/>
        </w:rPr>
        <w:t>。</w:t>
      </w:r>
    </w:p>
    <w:p>
      <w:pPr>
        <w:ind w:left="3232"/>
        <w:spacing w:before="124" w:line="222" w:lineRule="auto"/>
        <w:rPr>
          <w:rFonts w:ascii="SimHei" w:hAnsi="SimHei" w:eastAsia="SimHei" w:cs="SimHei"/>
          <w:sz w:val="24"/>
          <w:szCs w:val="24"/>
        </w:rPr>
      </w:pPr>
      <w:r>
        <w:rPr>
          <w:rFonts w:ascii="SimHei" w:hAnsi="SimHei" w:eastAsia="SimHei" w:cs="SimHei"/>
          <w:sz w:val="24"/>
          <w:szCs w:val="24"/>
          <w:spacing w:val="-1"/>
        </w:rPr>
        <w:t>建设项目环境风险识别表</w:t>
      </w:r>
    </w:p>
    <w:p>
      <w:pPr>
        <w:ind w:left="14"/>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6-5-1</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3"/>
        <w:gridCol w:w="1566"/>
        <w:gridCol w:w="1633"/>
        <w:gridCol w:w="1631"/>
        <w:gridCol w:w="1631"/>
        <w:gridCol w:w="2089"/>
      </w:tblGrid>
      <w:tr>
        <w:trPr>
          <w:trHeight w:val="571" w:hRule="atLeast"/>
        </w:trPr>
        <w:tc>
          <w:tcPr>
            <w:tcW w:w="533" w:type="dxa"/>
            <w:vAlign w:val="top"/>
          </w:tcPr>
          <w:p>
            <w:pPr>
              <w:ind w:left="57"/>
              <w:spacing w:before="177" w:line="229" w:lineRule="auto"/>
              <w:rPr>
                <w:rFonts w:ascii="SimSun" w:hAnsi="SimSun" w:eastAsia="SimSun" w:cs="SimSun"/>
                <w:sz w:val="20"/>
                <w:szCs w:val="20"/>
              </w:rPr>
            </w:pPr>
            <w:r>
              <w:rPr>
                <w:rFonts w:ascii="SimSun" w:hAnsi="SimSun" w:eastAsia="SimSun" w:cs="SimSun"/>
                <w:sz w:val="20"/>
                <w:szCs w:val="20"/>
                <w:spacing w:val="5"/>
              </w:rPr>
              <w:t>序号</w:t>
            </w:r>
          </w:p>
        </w:tc>
        <w:tc>
          <w:tcPr>
            <w:tcW w:w="1566" w:type="dxa"/>
            <w:vAlign w:val="top"/>
          </w:tcPr>
          <w:p>
            <w:pPr>
              <w:ind w:left="471"/>
              <w:spacing w:before="178" w:line="228" w:lineRule="auto"/>
              <w:rPr>
                <w:rFonts w:ascii="SimSun" w:hAnsi="SimSun" w:eastAsia="SimSun" w:cs="SimSun"/>
                <w:sz w:val="20"/>
                <w:szCs w:val="20"/>
              </w:rPr>
            </w:pPr>
            <w:r>
              <w:rPr>
                <w:rFonts w:ascii="SimSun" w:hAnsi="SimSun" w:eastAsia="SimSun" w:cs="SimSun"/>
                <w:sz w:val="20"/>
                <w:szCs w:val="20"/>
                <w:spacing w:val="6"/>
              </w:rPr>
              <w:t>风险源</w:t>
            </w:r>
          </w:p>
        </w:tc>
        <w:tc>
          <w:tcPr>
            <w:tcW w:w="1633" w:type="dxa"/>
            <w:vAlign w:val="top"/>
          </w:tcPr>
          <w:p>
            <w:pPr>
              <w:ind w:left="193"/>
              <w:spacing w:before="178" w:line="228" w:lineRule="auto"/>
              <w:rPr>
                <w:rFonts w:ascii="SimSun" w:hAnsi="SimSun" w:eastAsia="SimSun" w:cs="SimSun"/>
                <w:sz w:val="20"/>
                <w:szCs w:val="20"/>
              </w:rPr>
            </w:pPr>
            <w:r>
              <w:rPr>
                <w:rFonts w:ascii="SimSun" w:hAnsi="SimSun" w:eastAsia="SimSun" w:cs="SimSun"/>
                <w:sz w:val="20"/>
                <w:szCs w:val="20"/>
                <w:spacing w:val="7"/>
              </w:rPr>
              <w:t>主要危险物质</w:t>
            </w:r>
          </w:p>
        </w:tc>
        <w:tc>
          <w:tcPr>
            <w:tcW w:w="1631" w:type="dxa"/>
            <w:vAlign w:val="top"/>
          </w:tcPr>
          <w:p>
            <w:pPr>
              <w:ind w:left="190"/>
              <w:spacing w:before="177" w:line="228" w:lineRule="auto"/>
              <w:rPr>
                <w:rFonts w:ascii="SimSun" w:hAnsi="SimSun" w:eastAsia="SimSun" w:cs="SimSun"/>
                <w:sz w:val="20"/>
                <w:szCs w:val="20"/>
              </w:rPr>
            </w:pPr>
            <w:r>
              <w:rPr>
                <w:rFonts w:ascii="SimSun" w:hAnsi="SimSun" w:eastAsia="SimSun" w:cs="SimSun"/>
                <w:sz w:val="20"/>
                <w:szCs w:val="20"/>
                <w:spacing w:val="8"/>
              </w:rPr>
              <w:t>环境风险类型</w:t>
            </w:r>
          </w:p>
        </w:tc>
        <w:tc>
          <w:tcPr>
            <w:tcW w:w="1631" w:type="dxa"/>
            <w:vAlign w:val="top"/>
          </w:tcPr>
          <w:p>
            <w:pPr>
              <w:ind w:left="191"/>
              <w:spacing w:before="177" w:line="228" w:lineRule="auto"/>
              <w:rPr>
                <w:rFonts w:ascii="SimSun" w:hAnsi="SimSun" w:eastAsia="SimSun" w:cs="SimSun"/>
                <w:sz w:val="20"/>
                <w:szCs w:val="20"/>
              </w:rPr>
            </w:pPr>
            <w:r>
              <w:rPr>
                <w:rFonts w:ascii="SimSun" w:hAnsi="SimSun" w:eastAsia="SimSun" w:cs="SimSun"/>
                <w:sz w:val="20"/>
                <w:szCs w:val="20"/>
                <w:spacing w:val="8"/>
              </w:rPr>
              <w:t>环境影响途径</w:t>
            </w:r>
          </w:p>
        </w:tc>
        <w:tc>
          <w:tcPr>
            <w:tcW w:w="2089" w:type="dxa"/>
            <w:vAlign w:val="top"/>
          </w:tcPr>
          <w:p>
            <w:pPr>
              <w:ind w:left="732" w:right="97" w:hanging="625"/>
              <w:spacing w:before="43" w:line="239" w:lineRule="auto"/>
              <w:rPr>
                <w:rFonts w:ascii="SimSun" w:hAnsi="SimSun" w:eastAsia="SimSun" w:cs="SimSun"/>
                <w:sz w:val="20"/>
                <w:szCs w:val="20"/>
              </w:rPr>
            </w:pPr>
            <w:r>
              <w:rPr>
                <w:rFonts w:ascii="SimSun" w:hAnsi="SimSun" w:eastAsia="SimSun" w:cs="SimSun"/>
                <w:sz w:val="20"/>
                <w:szCs w:val="20"/>
                <w:spacing w:val="8"/>
              </w:rPr>
              <w:t>可能受影响的环境敏</w:t>
            </w:r>
            <w:r>
              <w:rPr>
                <w:rFonts w:ascii="SimSun" w:hAnsi="SimSun" w:eastAsia="SimSun" w:cs="SimSun"/>
                <w:sz w:val="20"/>
                <w:szCs w:val="20"/>
                <w:spacing w:val="6"/>
              </w:rPr>
              <w:t>感目标</w:t>
            </w:r>
          </w:p>
        </w:tc>
      </w:tr>
      <w:tr>
        <w:trPr>
          <w:trHeight w:val="470" w:hRule="atLeast"/>
        </w:trPr>
        <w:tc>
          <w:tcPr>
            <w:tcW w:w="533" w:type="dxa"/>
            <w:vAlign w:val="top"/>
          </w:tcPr>
          <w:p>
            <w:pPr>
              <w:pStyle w:val="TableText"/>
              <w:ind w:left="235"/>
              <w:spacing w:before="163" w:line="195" w:lineRule="auto"/>
              <w:rPr/>
            </w:pPr>
            <w:r>
              <w:rPr/>
              <w:t>1</w:t>
            </w:r>
          </w:p>
        </w:tc>
        <w:tc>
          <w:tcPr>
            <w:tcW w:w="1566" w:type="dxa"/>
            <w:vAlign w:val="top"/>
          </w:tcPr>
          <w:p>
            <w:pPr>
              <w:ind w:left="264"/>
              <w:spacing w:before="127" w:line="228" w:lineRule="auto"/>
              <w:rPr>
                <w:rFonts w:ascii="SimSun" w:hAnsi="SimSun" w:eastAsia="SimSun" w:cs="SimSun"/>
                <w:sz w:val="20"/>
                <w:szCs w:val="20"/>
              </w:rPr>
            </w:pPr>
            <w:r>
              <w:rPr>
                <w:rFonts w:ascii="SimSun" w:hAnsi="SimSun" w:eastAsia="SimSun" w:cs="SimSun"/>
                <w:sz w:val="20"/>
                <w:szCs w:val="20"/>
                <w:spacing w:val="7"/>
              </w:rPr>
              <w:t>危废暂存间</w:t>
            </w:r>
          </w:p>
        </w:tc>
        <w:tc>
          <w:tcPr>
            <w:tcW w:w="1633" w:type="dxa"/>
            <w:vAlign w:val="top"/>
          </w:tcPr>
          <w:p>
            <w:pPr>
              <w:ind w:left="399"/>
              <w:spacing w:before="127" w:line="228" w:lineRule="auto"/>
              <w:rPr>
                <w:rFonts w:ascii="SimSun" w:hAnsi="SimSun" w:eastAsia="SimSun" w:cs="SimSun"/>
                <w:sz w:val="20"/>
                <w:szCs w:val="20"/>
              </w:rPr>
            </w:pPr>
            <w:r>
              <w:rPr>
                <w:rFonts w:ascii="SimSun" w:hAnsi="SimSun" w:eastAsia="SimSun" w:cs="SimSun"/>
                <w:sz w:val="20"/>
                <w:szCs w:val="20"/>
                <w:spacing w:val="7"/>
              </w:rPr>
              <w:t>废矿物油</w:t>
            </w:r>
          </w:p>
        </w:tc>
        <w:tc>
          <w:tcPr>
            <w:tcW w:w="1631" w:type="dxa"/>
            <w:vAlign w:val="top"/>
          </w:tcPr>
          <w:p>
            <w:pPr>
              <w:ind w:left="192"/>
              <w:spacing w:before="127" w:line="228" w:lineRule="auto"/>
              <w:rPr>
                <w:rFonts w:ascii="SimSun" w:hAnsi="SimSun" w:eastAsia="SimSun" w:cs="SimSun"/>
                <w:sz w:val="20"/>
                <w:szCs w:val="20"/>
              </w:rPr>
            </w:pPr>
            <w:r>
              <w:rPr>
                <w:rFonts w:ascii="SimSun" w:hAnsi="SimSun" w:eastAsia="SimSun" w:cs="SimSun"/>
                <w:sz w:val="20"/>
                <w:szCs w:val="20"/>
                <w:spacing w:val="7"/>
              </w:rPr>
              <w:t>危险物质泄漏</w:t>
            </w:r>
          </w:p>
        </w:tc>
        <w:tc>
          <w:tcPr>
            <w:tcW w:w="1631" w:type="dxa"/>
            <w:vAlign w:val="top"/>
          </w:tcPr>
          <w:p>
            <w:pPr>
              <w:ind w:left="300"/>
              <w:spacing w:before="127" w:line="228" w:lineRule="auto"/>
              <w:rPr>
                <w:rFonts w:ascii="SimSun" w:hAnsi="SimSun" w:eastAsia="SimSun" w:cs="SimSun"/>
                <w:sz w:val="20"/>
                <w:szCs w:val="20"/>
              </w:rPr>
            </w:pPr>
            <w:r>
              <w:rPr>
                <w:rFonts w:ascii="SimSun" w:hAnsi="SimSun" w:eastAsia="SimSun" w:cs="SimSun"/>
                <w:sz w:val="20"/>
                <w:szCs w:val="20"/>
                <w:spacing w:val="7"/>
              </w:rPr>
              <w:t>漫流、下渗</w:t>
            </w:r>
          </w:p>
        </w:tc>
        <w:tc>
          <w:tcPr>
            <w:tcW w:w="2089" w:type="dxa"/>
            <w:vAlign w:val="top"/>
          </w:tcPr>
          <w:p>
            <w:pPr>
              <w:ind w:left="211"/>
              <w:spacing w:before="127" w:line="228" w:lineRule="auto"/>
              <w:rPr>
                <w:rFonts w:ascii="SimSun" w:hAnsi="SimSun" w:eastAsia="SimSun" w:cs="SimSun"/>
                <w:sz w:val="20"/>
                <w:szCs w:val="20"/>
              </w:rPr>
            </w:pPr>
            <w:r>
              <w:rPr>
                <w:rFonts w:ascii="SimSun" w:hAnsi="SimSun" w:eastAsia="SimSun" w:cs="SimSun"/>
                <w:sz w:val="20"/>
                <w:szCs w:val="20"/>
                <w:spacing w:val="8"/>
              </w:rPr>
              <w:t>工业场地下游地下</w:t>
            </w:r>
          </w:p>
        </w:tc>
      </w:tr>
    </w:tbl>
    <w:p>
      <w:pPr>
        <w:pStyle w:val="BodyText"/>
        <w:spacing w:line="121" w:lineRule="exact"/>
        <w:rPr>
          <w:sz w:val="10"/>
        </w:rPr>
      </w:pPr>
      <w:r/>
    </w:p>
    <w:p>
      <w:pPr>
        <w:spacing w:line="121" w:lineRule="exact"/>
        <w:sectPr>
          <w:headerReference w:type="default" r:id="rId470"/>
          <w:footerReference w:type="default" r:id="rId471"/>
          <w:pgSz w:w="11906" w:h="16838"/>
          <w:pgMar w:top="1114" w:right="1332" w:bottom="1080" w:left="1408" w:header="837" w:footer="918" w:gutter="0"/>
        </w:sectPr>
        <w:rPr>
          <w:sz w:val="10"/>
          <w:szCs w:val="10"/>
        </w:rPr>
      </w:pPr>
    </w:p>
    <w:p>
      <w:pPr>
        <w:spacing w:before="62"/>
        <w:rPr/>
      </w:p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33"/>
        <w:gridCol w:w="1566"/>
        <w:gridCol w:w="1633"/>
        <w:gridCol w:w="1631"/>
        <w:gridCol w:w="1631"/>
        <w:gridCol w:w="2089"/>
      </w:tblGrid>
      <w:tr>
        <w:trPr>
          <w:trHeight w:val="480" w:hRule="atLeast"/>
        </w:trPr>
        <w:tc>
          <w:tcPr>
            <w:tcW w:w="533" w:type="dxa"/>
            <w:vAlign w:val="top"/>
          </w:tcPr>
          <w:p>
            <w:pPr>
              <w:pStyle w:val="TableText"/>
              <w:ind w:left="215"/>
              <w:spacing w:before="170" w:line="195" w:lineRule="auto"/>
              <w:rPr/>
            </w:pPr>
            <w:r>
              <w:rPr/>
              <w:t>2</w:t>
            </w:r>
          </w:p>
        </w:tc>
        <w:tc>
          <w:tcPr>
            <w:tcW w:w="1566" w:type="dxa"/>
            <w:vAlign w:val="top"/>
          </w:tcPr>
          <w:p>
            <w:pPr>
              <w:ind w:left="156"/>
              <w:spacing w:before="134" w:line="228" w:lineRule="auto"/>
              <w:rPr>
                <w:rFonts w:ascii="SimSun" w:hAnsi="SimSun" w:eastAsia="SimSun" w:cs="SimSun"/>
                <w:sz w:val="20"/>
                <w:szCs w:val="20"/>
              </w:rPr>
            </w:pPr>
            <w:bookmarkStart w:name="bookmark106" w:id="74"/>
            <w:bookmarkEnd w:id="74"/>
            <w:r>
              <w:rPr>
                <w:rFonts w:ascii="SimSun" w:hAnsi="SimSun" w:eastAsia="SimSun" w:cs="SimSun"/>
                <w:sz w:val="20"/>
                <w:szCs w:val="20"/>
                <w:spacing w:val="8"/>
              </w:rPr>
              <w:t>加油站储油罐</w:t>
            </w:r>
          </w:p>
        </w:tc>
        <w:tc>
          <w:tcPr>
            <w:tcW w:w="1633" w:type="dxa"/>
            <w:vAlign w:val="top"/>
          </w:tcPr>
          <w:p>
            <w:pPr>
              <w:ind w:left="403"/>
              <w:spacing w:before="134" w:line="228" w:lineRule="auto"/>
              <w:rPr>
                <w:rFonts w:ascii="SimSun" w:hAnsi="SimSun" w:eastAsia="SimSun" w:cs="SimSun"/>
                <w:sz w:val="20"/>
                <w:szCs w:val="20"/>
              </w:rPr>
            </w:pPr>
            <w:r>
              <w:rPr>
                <w:rFonts w:ascii="SimSun" w:hAnsi="SimSun" w:eastAsia="SimSun" w:cs="SimSun"/>
                <w:sz w:val="20"/>
                <w:szCs w:val="20"/>
                <w:spacing w:val="6"/>
              </w:rPr>
              <w:t>油类物质</w:t>
            </w:r>
          </w:p>
        </w:tc>
        <w:tc>
          <w:tcPr>
            <w:tcW w:w="1631" w:type="dxa"/>
            <w:vAlign w:val="top"/>
          </w:tcPr>
          <w:p>
            <w:pPr>
              <w:ind w:left="193"/>
              <w:spacing w:before="134" w:line="228" w:lineRule="auto"/>
              <w:rPr>
                <w:rFonts w:ascii="SimSun" w:hAnsi="SimSun" w:eastAsia="SimSun" w:cs="SimSun"/>
                <w:sz w:val="20"/>
                <w:szCs w:val="20"/>
              </w:rPr>
            </w:pPr>
            <w:r>
              <w:rPr>
                <w:rFonts w:ascii="SimSun" w:hAnsi="SimSun" w:eastAsia="SimSun" w:cs="SimSun"/>
                <w:sz w:val="20"/>
                <w:szCs w:val="20"/>
                <w:spacing w:val="7"/>
              </w:rPr>
              <w:t>油类物质泄漏</w:t>
            </w:r>
          </w:p>
        </w:tc>
        <w:tc>
          <w:tcPr>
            <w:tcW w:w="1631" w:type="dxa"/>
            <w:vAlign w:val="top"/>
            <w:vMerge w:val="restart"/>
            <w:tcBorders>
              <w:bottom w:val="nil"/>
            </w:tcBorders>
          </w:tcPr>
          <w:p>
            <w:pPr>
              <w:rPr>
                <w:rFonts w:ascii="Arial"/>
                <w:sz w:val="21"/>
              </w:rPr>
            </w:pPr>
            <w:r/>
          </w:p>
        </w:tc>
        <w:tc>
          <w:tcPr>
            <w:tcW w:w="2089" w:type="dxa"/>
            <w:vAlign w:val="top"/>
            <w:vMerge w:val="restart"/>
            <w:tcBorders>
              <w:bottom w:val="nil"/>
            </w:tcBorders>
          </w:tcPr>
          <w:p>
            <w:pPr>
              <w:ind w:left="314"/>
              <w:spacing w:before="33" w:line="228" w:lineRule="auto"/>
              <w:rPr>
                <w:rFonts w:ascii="SimSun" w:hAnsi="SimSun" w:eastAsia="SimSun" w:cs="SimSun"/>
                <w:sz w:val="20"/>
                <w:szCs w:val="20"/>
              </w:rPr>
            </w:pPr>
            <w:r>
              <w:rPr>
                <w:rFonts w:ascii="SimSun" w:hAnsi="SimSun" w:eastAsia="SimSun" w:cs="SimSun"/>
                <w:sz w:val="20"/>
                <w:szCs w:val="20"/>
                <w:spacing w:val="8"/>
              </w:rPr>
              <w:t>水、地表水水质</w:t>
            </w:r>
          </w:p>
        </w:tc>
      </w:tr>
      <w:tr>
        <w:trPr>
          <w:trHeight w:val="335" w:hRule="atLeast"/>
        </w:trPr>
        <w:tc>
          <w:tcPr>
            <w:tcW w:w="533" w:type="dxa"/>
            <w:vAlign w:val="top"/>
          </w:tcPr>
          <w:p>
            <w:pPr>
              <w:pStyle w:val="TableText"/>
              <w:ind w:left="219"/>
              <w:spacing w:before="95" w:line="195" w:lineRule="auto"/>
              <w:rPr/>
            </w:pPr>
            <w:r>
              <w:rPr/>
              <w:t>3</w:t>
            </w:r>
          </w:p>
        </w:tc>
        <w:tc>
          <w:tcPr>
            <w:tcW w:w="1566" w:type="dxa"/>
            <w:vAlign w:val="top"/>
          </w:tcPr>
          <w:p>
            <w:pPr>
              <w:ind w:left="155"/>
              <w:spacing w:before="59" w:line="228" w:lineRule="auto"/>
              <w:rPr>
                <w:rFonts w:ascii="SimSun" w:hAnsi="SimSun" w:eastAsia="SimSun" w:cs="SimSun"/>
                <w:sz w:val="20"/>
                <w:szCs w:val="20"/>
              </w:rPr>
            </w:pPr>
            <w:r>
              <w:rPr>
                <w:rFonts w:ascii="SimSun" w:hAnsi="SimSun" w:eastAsia="SimSun" w:cs="SimSun"/>
                <w:sz w:val="20"/>
                <w:szCs w:val="20"/>
                <w:spacing w:val="8"/>
              </w:rPr>
              <w:t>矿井（坑）水</w:t>
            </w:r>
          </w:p>
        </w:tc>
        <w:tc>
          <w:tcPr>
            <w:tcW w:w="1633" w:type="dxa"/>
            <w:vAlign w:val="top"/>
          </w:tcPr>
          <w:p>
            <w:pPr>
              <w:pStyle w:val="TableText"/>
              <w:ind w:left="707"/>
              <w:spacing w:before="95" w:line="195" w:lineRule="auto"/>
              <w:rPr/>
            </w:pPr>
            <w:r>
              <w:rPr>
                <w:spacing w:val="-4"/>
              </w:rPr>
              <w:t>SS</w:t>
            </w:r>
          </w:p>
        </w:tc>
        <w:tc>
          <w:tcPr>
            <w:tcW w:w="1631" w:type="dxa"/>
            <w:vAlign w:val="top"/>
            <w:vMerge w:val="restart"/>
            <w:tcBorders>
              <w:bottom w:val="nil"/>
            </w:tcBorders>
          </w:tcPr>
          <w:p>
            <w:pPr>
              <w:spacing w:line="269" w:lineRule="auto"/>
              <w:rPr>
                <w:rFonts w:ascii="Arial"/>
                <w:sz w:val="21"/>
              </w:rPr>
            </w:pPr>
            <w:r/>
          </w:p>
          <w:p>
            <w:pPr>
              <w:ind w:left="192"/>
              <w:spacing w:before="65" w:line="228" w:lineRule="auto"/>
              <w:rPr>
                <w:rFonts w:ascii="SimSun" w:hAnsi="SimSun" w:eastAsia="SimSun" w:cs="SimSun"/>
                <w:sz w:val="20"/>
                <w:szCs w:val="20"/>
              </w:rPr>
            </w:pPr>
            <w:r>
              <w:rPr>
                <w:rFonts w:ascii="SimSun" w:hAnsi="SimSun" w:eastAsia="SimSun" w:cs="SimSun"/>
                <w:sz w:val="20"/>
                <w:szCs w:val="20"/>
                <w:spacing w:val="7"/>
              </w:rPr>
              <w:t>污染物质泄漏</w:t>
            </w:r>
          </w:p>
        </w:tc>
        <w:tc>
          <w:tcPr>
            <w:tcW w:w="1631" w:type="dxa"/>
            <w:vAlign w:val="top"/>
            <w:vMerge w:val="continue"/>
            <w:tcBorders>
              <w:top w:val="nil"/>
              <w:bottom w:val="nil"/>
            </w:tcBorders>
          </w:tcPr>
          <w:p>
            <w:pPr>
              <w:rPr>
                <w:rFonts w:ascii="Arial"/>
                <w:sz w:val="21"/>
              </w:rPr>
            </w:pPr>
            <w:r/>
          </w:p>
        </w:tc>
        <w:tc>
          <w:tcPr>
            <w:tcW w:w="2089" w:type="dxa"/>
            <w:vAlign w:val="top"/>
            <w:vMerge w:val="continue"/>
            <w:tcBorders>
              <w:top w:val="nil"/>
              <w:bottom w:val="nil"/>
            </w:tcBorders>
          </w:tcPr>
          <w:p>
            <w:pPr>
              <w:rPr>
                <w:rFonts w:ascii="Arial"/>
                <w:sz w:val="21"/>
              </w:rPr>
            </w:pPr>
            <w:r/>
          </w:p>
        </w:tc>
      </w:tr>
      <w:tr>
        <w:trPr>
          <w:trHeight w:val="552" w:hRule="atLeast"/>
        </w:trPr>
        <w:tc>
          <w:tcPr>
            <w:tcW w:w="533" w:type="dxa"/>
            <w:vAlign w:val="top"/>
          </w:tcPr>
          <w:p>
            <w:pPr>
              <w:pStyle w:val="TableText"/>
              <w:ind w:left="214"/>
              <w:spacing w:before="204" w:line="195" w:lineRule="auto"/>
              <w:rPr/>
            </w:pPr>
            <w:r>
              <w:rPr>
                <w:spacing w:val="1"/>
              </w:rPr>
              <w:t>4</w:t>
            </w:r>
          </w:p>
        </w:tc>
        <w:tc>
          <w:tcPr>
            <w:tcW w:w="1566" w:type="dxa"/>
            <w:vAlign w:val="top"/>
          </w:tcPr>
          <w:p>
            <w:pPr>
              <w:ind w:left="367"/>
              <w:spacing w:before="166" w:line="228" w:lineRule="auto"/>
              <w:rPr>
                <w:rFonts w:ascii="SimSun" w:hAnsi="SimSun" w:eastAsia="SimSun" w:cs="SimSun"/>
                <w:sz w:val="20"/>
                <w:szCs w:val="20"/>
              </w:rPr>
            </w:pPr>
            <w:r>
              <w:rPr>
                <w:rFonts w:ascii="SimSun" w:hAnsi="SimSun" w:eastAsia="SimSun" w:cs="SimSun"/>
                <w:sz w:val="20"/>
                <w:szCs w:val="20"/>
                <w:spacing w:val="6"/>
              </w:rPr>
              <w:t>生活污水</w:t>
            </w:r>
          </w:p>
        </w:tc>
        <w:tc>
          <w:tcPr>
            <w:tcW w:w="1633" w:type="dxa"/>
            <w:vAlign w:val="top"/>
          </w:tcPr>
          <w:p>
            <w:pPr>
              <w:pStyle w:val="TableText"/>
              <w:ind w:left="191" w:right="20" w:hanging="183"/>
              <w:spacing w:before="67" w:line="219" w:lineRule="auto"/>
              <w:rPr>
                <w:rFonts w:ascii="SimSun" w:hAnsi="SimSun" w:eastAsia="SimSun" w:cs="SimSun"/>
              </w:rPr>
            </w:pPr>
            <w:r>
              <w:rPr/>
              <w:t>COD</w:t>
            </w:r>
            <w:r>
              <w:rPr>
                <w:spacing w:val="-23"/>
              </w:rPr>
              <w:t xml:space="preserve"> </w:t>
            </w:r>
            <w:r>
              <w:rPr>
                <w:rFonts w:ascii="SimSun" w:hAnsi="SimSun" w:eastAsia="SimSun" w:cs="SimSun"/>
                <w:spacing w:val="5"/>
              </w:rPr>
              <w:t>、</w:t>
            </w:r>
            <w:r>
              <w:rPr/>
              <w:t>BOD</w:t>
            </w:r>
            <w:r>
              <w:rPr>
                <w:sz w:val="13"/>
                <w:szCs w:val="13"/>
                <w:spacing w:val="5"/>
                <w:position w:val="-1"/>
              </w:rPr>
              <w:t>5</w:t>
            </w:r>
            <w:r>
              <w:rPr>
                <w:sz w:val="13"/>
                <w:szCs w:val="13"/>
                <w:spacing w:val="-9"/>
                <w:position w:val="-1"/>
              </w:rPr>
              <w:t xml:space="preserve"> </w:t>
            </w:r>
            <w:r>
              <w:rPr>
                <w:rFonts w:ascii="SimSun" w:hAnsi="SimSun" w:eastAsia="SimSun" w:cs="SimSun"/>
                <w:spacing w:val="5"/>
              </w:rPr>
              <w:t>、</w:t>
            </w:r>
            <w:r>
              <w:rPr/>
              <w:t>SS</w:t>
            </w:r>
            <w:r>
              <w:rPr>
                <w:rFonts w:ascii="SimSun" w:hAnsi="SimSun" w:eastAsia="SimSun" w:cs="SimSun"/>
                <w:spacing w:val="8"/>
              </w:rPr>
              <w:t>和少量石油类</w:t>
            </w:r>
          </w:p>
        </w:tc>
        <w:tc>
          <w:tcPr>
            <w:tcW w:w="1631" w:type="dxa"/>
            <w:vAlign w:val="top"/>
            <w:vMerge w:val="continue"/>
            <w:tcBorders>
              <w:top w:val="nil"/>
            </w:tcBorders>
          </w:tcPr>
          <w:p>
            <w:pPr>
              <w:rPr>
                <w:rFonts w:ascii="Arial"/>
                <w:sz w:val="21"/>
              </w:rPr>
            </w:pPr>
            <w:r/>
          </w:p>
        </w:tc>
        <w:tc>
          <w:tcPr>
            <w:tcW w:w="1631" w:type="dxa"/>
            <w:vAlign w:val="top"/>
            <w:vMerge w:val="continue"/>
            <w:tcBorders>
              <w:top w:val="nil"/>
            </w:tcBorders>
          </w:tcPr>
          <w:p>
            <w:pPr>
              <w:rPr>
                <w:rFonts w:ascii="Arial"/>
                <w:sz w:val="21"/>
              </w:rPr>
            </w:pPr>
            <w:r/>
          </w:p>
        </w:tc>
        <w:tc>
          <w:tcPr>
            <w:tcW w:w="2089" w:type="dxa"/>
            <w:vAlign w:val="top"/>
            <w:vMerge w:val="continue"/>
            <w:tcBorders>
              <w:top w:val="nil"/>
            </w:tcBorders>
          </w:tcPr>
          <w:p>
            <w:pPr>
              <w:rPr>
                <w:rFonts w:ascii="Arial"/>
                <w:sz w:val="21"/>
              </w:rPr>
            </w:pPr>
            <w:r/>
          </w:p>
        </w:tc>
      </w:tr>
    </w:tbl>
    <w:p>
      <w:pPr>
        <w:pStyle w:val="BodyText"/>
        <w:spacing w:line="279" w:lineRule="auto"/>
        <w:rPr/>
      </w:pPr>
      <w:r/>
    </w:p>
    <w:p>
      <w:pPr>
        <w:pStyle w:val="BodyText"/>
        <w:spacing w:line="280" w:lineRule="auto"/>
        <w:rPr/>
      </w:pPr>
      <w:r/>
    </w:p>
    <w:p>
      <w:pPr>
        <w:ind w:left="18"/>
        <w:spacing w:before="98" w:line="222" w:lineRule="auto"/>
        <w:outlineLvl w:val="1"/>
        <w:rPr>
          <w:rFonts w:ascii="SimHei" w:hAnsi="SimHei" w:eastAsia="SimHei" w:cs="SimHei"/>
          <w:sz w:val="30"/>
          <w:szCs w:val="30"/>
        </w:rPr>
      </w:pPr>
      <w:bookmarkStart w:name="bookmark42" w:id="75"/>
      <w:bookmarkEnd w:id="75"/>
      <w:r>
        <w:rPr>
          <w:rFonts w:ascii="Times New Roman" w:hAnsi="Times New Roman" w:eastAsia="Times New Roman" w:cs="Times New Roman"/>
          <w:sz w:val="30"/>
          <w:szCs w:val="30"/>
          <w:b/>
          <w:bCs/>
          <w:spacing w:val="-3"/>
        </w:rPr>
        <w:t>6.6 </w:t>
      </w:r>
      <w:r>
        <w:rPr>
          <w:rFonts w:ascii="SimHei" w:hAnsi="SimHei" w:eastAsia="SimHei" w:cs="SimHei"/>
          <w:sz w:val="30"/>
          <w:szCs w:val="30"/>
          <w:b/>
          <w:bCs/>
          <w:spacing w:val="-3"/>
        </w:rPr>
        <w:t>环境风险分析</w:t>
      </w:r>
    </w:p>
    <w:p>
      <w:pPr>
        <w:ind w:left="16" w:right="72" w:firstLine="480"/>
        <w:spacing w:before="160" w:line="340" w:lineRule="auto"/>
        <w:jc w:val="both"/>
        <w:rPr>
          <w:rFonts w:ascii="SimSun" w:hAnsi="SimSun" w:eastAsia="SimSun" w:cs="SimSun"/>
          <w:sz w:val="24"/>
          <w:szCs w:val="24"/>
        </w:rPr>
      </w:pPr>
      <w:r>
        <w:rPr>
          <w:rFonts w:ascii="SimSun" w:hAnsi="SimSun" w:eastAsia="SimSun" w:cs="SimSun"/>
          <w:sz w:val="24"/>
          <w:szCs w:val="24"/>
          <w:spacing w:val="-1"/>
        </w:rPr>
        <w:t>本项目主要风险源为油品及事故废水。事故主要来源于危</w:t>
      </w:r>
      <w:r>
        <w:rPr>
          <w:rFonts w:ascii="SimSun" w:hAnsi="SimSun" w:eastAsia="SimSun" w:cs="SimSun"/>
          <w:sz w:val="24"/>
          <w:szCs w:val="24"/>
          <w:spacing w:val="-2"/>
        </w:rPr>
        <w:t>废暂存间（废矿物油）、</w:t>
      </w:r>
      <w:r>
        <w:rPr>
          <w:rFonts w:ascii="SimSun" w:hAnsi="SimSun" w:eastAsia="SimSun" w:cs="SimSun"/>
          <w:sz w:val="24"/>
          <w:szCs w:val="24"/>
          <w:spacing w:val="-2"/>
        </w:rPr>
        <w:t>加油站（汽油、柴油</w:t>
      </w:r>
      <w:r>
        <w:rPr>
          <w:rFonts w:ascii="SimSun" w:hAnsi="SimSun" w:eastAsia="SimSun" w:cs="SimSun"/>
          <w:sz w:val="24"/>
          <w:szCs w:val="24"/>
          <w:spacing w:val="6"/>
        </w:rPr>
        <w:t>），</w:t>
      </w:r>
      <w:r>
        <w:rPr>
          <w:rFonts w:ascii="SimSun" w:hAnsi="SimSun" w:eastAsia="SimSun" w:cs="SimSun"/>
          <w:sz w:val="24"/>
          <w:szCs w:val="24"/>
          <w:spacing w:val="-2"/>
        </w:rPr>
        <w:t>生活及矿井水处理站（矿坑水、生活污水）。一旦发生危废泄</w:t>
      </w:r>
      <w:r>
        <w:rPr>
          <w:rFonts w:ascii="SimSun" w:hAnsi="SimSun" w:eastAsia="SimSun" w:cs="SimSun"/>
          <w:sz w:val="24"/>
          <w:szCs w:val="24"/>
          <w:spacing w:val="-2"/>
        </w:rPr>
        <w:t>漏事故，可能渗入土壤环境、地下水水环境，从而对周边的土壤、地下水及环境空气产</w:t>
      </w:r>
      <w:r>
        <w:rPr>
          <w:rFonts w:ascii="SimSun" w:hAnsi="SimSun" w:eastAsia="SimSun" w:cs="SimSun"/>
          <w:sz w:val="24"/>
          <w:szCs w:val="24"/>
          <w:spacing w:val="-2"/>
        </w:rPr>
        <w:t>生一定的影响。</w:t>
      </w:r>
    </w:p>
    <w:p>
      <w:pPr>
        <w:ind w:left="17"/>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6.6.1  </w:t>
      </w:r>
      <w:r>
        <w:rPr>
          <w:rFonts w:ascii="SimHei" w:hAnsi="SimHei" w:eastAsia="SimHei" w:cs="SimHei"/>
          <w:sz w:val="28"/>
          <w:szCs w:val="28"/>
          <w:b/>
          <w:bCs/>
          <w:spacing w:val="-2"/>
        </w:rPr>
        <w:t>危废暂存间油桶泄漏环境风险分析</w:t>
      </w:r>
    </w:p>
    <w:p>
      <w:pPr>
        <w:ind w:left="515"/>
        <w:spacing w:before="171"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、对地下水和土壤的污染</w:t>
      </w:r>
    </w:p>
    <w:p>
      <w:pPr>
        <w:ind w:left="23" w:right="85" w:firstLine="471"/>
        <w:spacing w:before="155" w:line="338" w:lineRule="auto"/>
        <w:rPr>
          <w:rFonts w:ascii="SimSun" w:hAnsi="SimSun" w:eastAsia="SimSun" w:cs="SimSun"/>
          <w:sz w:val="24"/>
          <w:szCs w:val="24"/>
        </w:rPr>
      </w:pPr>
      <w:r>
        <w:rPr>
          <w:rFonts w:ascii="SimSun" w:hAnsi="SimSun" w:eastAsia="SimSun" w:cs="SimSun"/>
          <w:sz w:val="24"/>
          <w:szCs w:val="24"/>
          <w:spacing w:val="-2"/>
        </w:rPr>
        <w:t>废矿物油储存的油桶泄漏或渗漏对地下水的污染较为严重。由于这种渗漏穿过较厚</w:t>
      </w:r>
      <w:r>
        <w:rPr>
          <w:rFonts w:ascii="SimSun" w:hAnsi="SimSun" w:eastAsia="SimSun" w:cs="SimSun"/>
          <w:sz w:val="24"/>
          <w:szCs w:val="24"/>
          <w:spacing w:val="-2"/>
        </w:rPr>
        <w:t>的土壤层，使土壤层中吸附了大量的燃料油，土壤层吸附的燃料油不仅会造成植物生物</w:t>
      </w:r>
      <w:r>
        <w:rPr>
          <w:rFonts w:ascii="SimSun" w:hAnsi="SimSun" w:eastAsia="SimSun" w:cs="SimSun"/>
          <w:sz w:val="24"/>
          <w:szCs w:val="24"/>
          <w:spacing w:val="-2"/>
        </w:rPr>
        <w:t>的死亡，而且土壤层吸附的燃料油还会随着地表水的下渗对土壤层的冲刷作用补充到地</w:t>
      </w:r>
      <w:r>
        <w:rPr>
          <w:rFonts w:ascii="SimSun" w:hAnsi="SimSun" w:eastAsia="SimSun" w:cs="SimSun"/>
          <w:sz w:val="24"/>
          <w:szCs w:val="24"/>
          <w:spacing w:val="-6"/>
        </w:rPr>
        <w:t>下水。</w:t>
      </w:r>
    </w:p>
    <w:p>
      <w:pPr>
        <w:ind w:left="17" w:right="18" w:firstLine="481"/>
        <w:spacing w:before="2" w:line="338" w:lineRule="auto"/>
        <w:jc w:val="both"/>
        <w:rPr>
          <w:rFonts w:ascii="SimSun" w:hAnsi="SimSun" w:eastAsia="SimSun" w:cs="SimSun"/>
          <w:sz w:val="24"/>
          <w:szCs w:val="24"/>
        </w:rPr>
      </w:pPr>
      <w:r>
        <w:rPr>
          <w:rFonts w:ascii="SimSun" w:hAnsi="SimSun" w:eastAsia="SimSun" w:cs="SimSun"/>
          <w:sz w:val="24"/>
          <w:szCs w:val="24"/>
        </w:rPr>
        <w:t>危废暂存间内建设防治流体流散的设施和集油（水）坑，地面为混凝土地面，门、</w:t>
      </w:r>
      <w:r>
        <w:rPr>
          <w:rFonts w:ascii="SimSun" w:hAnsi="SimSun" w:eastAsia="SimSun" w:cs="SimSun"/>
          <w:sz w:val="24"/>
          <w:szCs w:val="24"/>
          <w:spacing w:val="-6"/>
        </w:rPr>
        <w:t>窗采用防火门窗。泄漏后的废液经泵抽入油桶，外委有资质单位处理。采取上述措施后，</w:t>
      </w:r>
      <w:r>
        <w:rPr>
          <w:rFonts w:ascii="SimSun" w:hAnsi="SimSun" w:eastAsia="SimSun" w:cs="SimSun"/>
          <w:sz w:val="24"/>
          <w:szCs w:val="24"/>
          <w:spacing w:val="-1"/>
        </w:rPr>
        <w:t>本项目生产过程中对地下水环境造成的影响不大。</w:t>
      </w:r>
    </w:p>
    <w:p>
      <w:pPr>
        <w:ind w:left="492"/>
        <w:spacing w:line="220"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、对大气环境的污染</w:t>
      </w:r>
    </w:p>
    <w:p>
      <w:pPr>
        <w:ind w:left="17" w:firstLine="478"/>
        <w:spacing w:before="157" w:line="338" w:lineRule="auto"/>
        <w:rPr>
          <w:rFonts w:ascii="SimSun" w:hAnsi="SimSun" w:eastAsia="SimSun" w:cs="SimSun"/>
          <w:sz w:val="24"/>
          <w:szCs w:val="24"/>
        </w:rPr>
      </w:pPr>
      <w:r>
        <w:rPr>
          <w:rFonts w:ascii="SimSun" w:hAnsi="SimSun" w:eastAsia="SimSun" w:cs="SimSun"/>
          <w:sz w:val="24"/>
          <w:szCs w:val="24"/>
          <w:spacing w:val="-6"/>
        </w:rPr>
        <w:t>废矿物油泄漏后经危废暂存间内导流槽收集至集油（水）坑内，不会扩散至外环境。</w:t>
      </w:r>
      <w:r>
        <w:rPr>
          <w:rFonts w:ascii="SimSun" w:hAnsi="SimSun" w:eastAsia="SimSun" w:cs="SimSun"/>
          <w:sz w:val="24"/>
          <w:szCs w:val="24"/>
        </w:rPr>
        <w:t>本项目密封铁皮桶均储存在危废暂存间内，虽然矿物油易挥发，但是由于泄漏量很小，</w:t>
      </w:r>
      <w:r>
        <w:rPr>
          <w:rFonts w:ascii="SimSun" w:hAnsi="SimSun" w:eastAsia="SimSun" w:cs="SimSun"/>
          <w:sz w:val="24"/>
          <w:szCs w:val="24"/>
        </w:rPr>
        <w:t>最终散逸到环境中的非甲烷总烃十分有限；除此以外本项目库房为防风、防雨、防晒、</w:t>
      </w:r>
      <w:r>
        <w:rPr>
          <w:rFonts w:ascii="SimSun" w:hAnsi="SimSun" w:eastAsia="SimSun" w:cs="SimSun"/>
          <w:sz w:val="24"/>
          <w:szCs w:val="24"/>
          <w:spacing w:val="-2"/>
        </w:rPr>
        <w:t>防渗漏的封闭库房，废矿物油盛放桶加盖密封，及时清运。因此废油桶的泄漏对大气环</w:t>
      </w:r>
      <w:r>
        <w:rPr>
          <w:rFonts w:ascii="SimSun" w:hAnsi="SimSun" w:eastAsia="SimSun" w:cs="SimSun"/>
          <w:sz w:val="24"/>
          <w:szCs w:val="24"/>
          <w:spacing w:val="-2"/>
        </w:rPr>
        <w:t>境影响较小。</w:t>
      </w:r>
    </w:p>
    <w:p>
      <w:pPr>
        <w:ind w:left="497"/>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、对环境敏感点的影响分析</w:t>
      </w:r>
    </w:p>
    <w:p>
      <w:pPr>
        <w:ind w:left="18" w:right="85" w:firstLine="478"/>
        <w:spacing w:before="156" w:line="340" w:lineRule="auto"/>
        <w:rPr>
          <w:rFonts w:ascii="SimSun" w:hAnsi="SimSun" w:eastAsia="SimSun" w:cs="SimSun"/>
          <w:sz w:val="24"/>
          <w:szCs w:val="24"/>
        </w:rPr>
      </w:pPr>
      <w:r>
        <w:rPr>
          <w:rFonts w:ascii="SimSun" w:hAnsi="SimSun" w:eastAsia="SimSun" w:cs="SimSun"/>
          <w:sz w:val="24"/>
          <w:szCs w:val="24"/>
          <w:spacing w:val="-2"/>
        </w:rPr>
        <w:t>根据现场调查，本项目危废暂存间下游及附近无环境敏感点，危废暂存间油桶泄漏</w:t>
      </w:r>
      <w:r>
        <w:rPr>
          <w:rFonts w:ascii="SimSun" w:hAnsi="SimSun" w:eastAsia="SimSun" w:cs="SimSun"/>
          <w:sz w:val="24"/>
          <w:szCs w:val="24"/>
          <w:spacing w:val="-2"/>
        </w:rPr>
        <w:t>后油品经集油（水）坑收集后，及时装入油桶内，泄漏的油品很少，不会对周边环境造</w:t>
      </w:r>
      <w:r>
        <w:rPr>
          <w:rFonts w:ascii="SimSun" w:hAnsi="SimSun" w:eastAsia="SimSun" w:cs="SimSun"/>
          <w:sz w:val="24"/>
          <w:szCs w:val="24"/>
          <w:spacing w:val="-3"/>
        </w:rPr>
        <w:t>成影响。</w:t>
      </w:r>
    </w:p>
    <w:p>
      <w:pPr>
        <w:ind w:left="17"/>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6.6.2 </w:t>
      </w:r>
      <w:r>
        <w:rPr>
          <w:rFonts w:ascii="SimHei" w:hAnsi="SimHei" w:eastAsia="SimHei" w:cs="SimHei"/>
          <w:sz w:val="28"/>
          <w:szCs w:val="28"/>
          <w:b/>
          <w:bCs/>
          <w:spacing w:val="-2"/>
        </w:rPr>
        <w:t>加油站储油罐泄漏环境风险分析</w:t>
      </w:r>
    </w:p>
    <w:p>
      <w:pPr>
        <w:ind w:left="515"/>
        <w:spacing w:before="172"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、对地下水和土壤的污染</w:t>
      </w:r>
    </w:p>
    <w:p>
      <w:pPr>
        <w:spacing w:line="219" w:lineRule="auto"/>
        <w:sectPr>
          <w:footerReference w:type="default" r:id="rId473"/>
          <w:pgSz w:w="11906" w:h="16838"/>
          <w:pgMar w:top="1114" w:right="1332" w:bottom="1080" w:left="1408" w:header="837" w:footer="918" w:gutter="0"/>
        </w:sectPr>
        <w:rPr>
          <w:rFonts w:ascii="SimSun" w:hAnsi="SimSun" w:eastAsia="SimSun" w:cs="SimSun"/>
          <w:sz w:val="24"/>
          <w:szCs w:val="24"/>
        </w:rPr>
      </w:pPr>
    </w:p>
    <w:p>
      <w:pPr>
        <w:pStyle w:val="BodyText"/>
        <w:spacing w:line="369" w:lineRule="auto"/>
        <w:rPr/>
      </w:pPr>
      <w:r/>
    </w:p>
    <w:p>
      <w:pPr>
        <w:ind w:left="9" w:firstLine="480"/>
        <w:spacing w:before="78" w:line="338" w:lineRule="auto"/>
        <w:jc w:val="both"/>
        <w:rPr>
          <w:rFonts w:ascii="SimSun" w:hAnsi="SimSun" w:eastAsia="SimSun" w:cs="SimSun"/>
          <w:sz w:val="24"/>
          <w:szCs w:val="24"/>
        </w:rPr>
      </w:pPr>
      <w:r>
        <w:rPr>
          <w:rFonts w:ascii="SimSun" w:hAnsi="SimSun" w:eastAsia="SimSun" w:cs="SimSun"/>
          <w:sz w:val="24"/>
          <w:szCs w:val="24"/>
          <w:spacing w:val="-2"/>
        </w:rPr>
        <w:t>汽油、柴油储罐泄漏或渗漏对地下水的污染较为严重。由于这种渗漏穿过较厚的土</w:t>
      </w:r>
      <w:r>
        <w:rPr>
          <w:rFonts w:ascii="SimSun" w:hAnsi="SimSun" w:eastAsia="SimSun" w:cs="SimSun"/>
          <w:sz w:val="24"/>
          <w:szCs w:val="24"/>
          <w:spacing w:val="-2"/>
        </w:rPr>
        <w:t>壤层，使土壤层中吸附了大量的燃料油，土壤层吸附的燃料油不仅会造成植物生物的死</w:t>
      </w:r>
      <w:r>
        <w:rPr>
          <w:rFonts w:ascii="SimSun" w:hAnsi="SimSun" w:eastAsia="SimSun" w:cs="SimSun"/>
          <w:sz w:val="24"/>
          <w:szCs w:val="24"/>
          <w:spacing w:val="-2"/>
        </w:rPr>
        <w:t>亡，而且土壤层吸附的燃料油还会随着地表水的下渗</w:t>
      </w:r>
      <w:r>
        <w:rPr>
          <w:rFonts w:ascii="SimSun" w:hAnsi="SimSun" w:eastAsia="SimSun" w:cs="SimSun"/>
          <w:sz w:val="24"/>
          <w:szCs w:val="24"/>
          <w:spacing w:val="-3"/>
        </w:rPr>
        <w:t>对土壤层的冲刷作用补充到地下水。</w:t>
      </w:r>
    </w:p>
    <w:p>
      <w:pPr>
        <w:ind w:left="8" w:right="212" w:firstLine="480"/>
        <w:spacing w:before="1" w:line="338" w:lineRule="auto"/>
        <w:rPr>
          <w:rFonts w:ascii="SimSun" w:hAnsi="SimSun" w:eastAsia="SimSun" w:cs="SimSun"/>
          <w:sz w:val="24"/>
          <w:szCs w:val="24"/>
        </w:rPr>
      </w:pPr>
      <w:r>
        <w:rPr>
          <w:rFonts w:ascii="SimSun" w:hAnsi="SimSun" w:eastAsia="SimSun" w:cs="SimSun"/>
          <w:sz w:val="24"/>
          <w:szCs w:val="24"/>
          <w:spacing w:val="1"/>
        </w:rPr>
        <w:t>加油站采用双层储罐防渗措施，此外供泄漏检测</w:t>
      </w:r>
      <w:r>
        <w:rPr>
          <w:rFonts w:ascii="SimSun" w:hAnsi="SimSun" w:eastAsia="SimSun" w:cs="SimSun"/>
          <w:sz w:val="24"/>
          <w:szCs w:val="24"/>
        </w:rPr>
        <w:t>器</w:t>
      </w:r>
      <w:r>
        <w:rPr>
          <w:rFonts w:ascii="SimSun" w:hAnsi="SimSun" w:eastAsia="SimSun" w:cs="SimSun"/>
          <w:sz w:val="24"/>
          <w:szCs w:val="24"/>
          <w:spacing w:val="-43"/>
        </w:rPr>
        <w:t xml:space="preserve"> </w:t>
      </w:r>
      <w:r>
        <w:rPr>
          <w:rFonts w:ascii="Times New Roman" w:hAnsi="Times New Roman" w:eastAsia="Times New Roman" w:cs="Times New Roman"/>
          <w:sz w:val="24"/>
          <w:szCs w:val="24"/>
        </w:rPr>
        <w:t>24</w:t>
      </w:r>
      <w:r>
        <w:rPr>
          <w:rFonts w:ascii="Times New Roman" w:hAnsi="Times New Roman" w:eastAsia="Times New Roman" w:cs="Times New Roman"/>
          <w:sz w:val="24"/>
          <w:szCs w:val="24"/>
          <w:spacing w:val="16"/>
        </w:rPr>
        <w:t xml:space="preserve"> </w:t>
      </w:r>
      <w:r>
        <w:rPr>
          <w:rFonts w:ascii="SimSun" w:hAnsi="SimSun" w:eastAsia="SimSun" w:cs="SimSun"/>
          <w:sz w:val="24"/>
          <w:szCs w:val="24"/>
        </w:rPr>
        <w:t>小时监控，防治渗漏对水资</w:t>
      </w:r>
      <w:r>
        <w:rPr>
          <w:rFonts w:ascii="SimSun" w:hAnsi="SimSun" w:eastAsia="SimSun" w:cs="SimSun"/>
          <w:sz w:val="24"/>
          <w:szCs w:val="24"/>
          <w:spacing w:val="-1"/>
        </w:rPr>
        <w:t>源及土壤造成的环境隐患。</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27"/>
        </w:rPr>
        <w:t xml:space="preserve"> </w:t>
      </w:r>
      <w:r>
        <w:rPr>
          <w:rFonts w:ascii="SimSun" w:hAnsi="SimSun" w:eastAsia="SimSun" w:cs="SimSun"/>
          <w:sz w:val="24"/>
          <w:szCs w:val="24"/>
          <w:spacing w:val="-4"/>
        </w:rPr>
        <w:t>、对大气环境的污染</w:t>
      </w:r>
    </w:p>
    <w:p>
      <w:pPr>
        <w:ind w:left="10" w:right="205" w:firstLine="480"/>
        <w:spacing w:before="152" w:line="339" w:lineRule="auto"/>
        <w:rPr>
          <w:rFonts w:ascii="SimSun" w:hAnsi="SimSun" w:eastAsia="SimSun" w:cs="SimSun"/>
          <w:sz w:val="24"/>
          <w:szCs w:val="24"/>
        </w:rPr>
      </w:pPr>
      <w:r>
        <w:rPr>
          <w:rFonts w:ascii="SimSun" w:hAnsi="SimSun" w:eastAsia="SimSun" w:cs="SimSun"/>
          <w:sz w:val="24"/>
          <w:szCs w:val="24"/>
          <w:spacing w:val="-2"/>
        </w:rPr>
        <w:t>本项目加油储罐应处于密闭状态，并有专员进行周期性全面检查其密封性，防止油</w:t>
      </w:r>
      <w:r>
        <w:rPr>
          <w:rFonts w:ascii="SimSun" w:hAnsi="SimSun" w:eastAsia="SimSun" w:cs="SimSun"/>
          <w:sz w:val="24"/>
          <w:szCs w:val="24"/>
          <w:spacing w:val="-1"/>
        </w:rPr>
        <w:t>气挥发至空气中。因此因加油储罐泄漏对大气环境影响较小。</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、对环境敏感点的影响分析</w:t>
      </w:r>
    </w:p>
    <w:p>
      <w:pPr>
        <w:ind w:left="8" w:right="205" w:firstLine="480"/>
        <w:spacing w:before="154" w:line="341" w:lineRule="auto"/>
        <w:rPr>
          <w:rFonts w:ascii="SimSun" w:hAnsi="SimSun" w:eastAsia="SimSun" w:cs="SimSun"/>
          <w:sz w:val="24"/>
          <w:szCs w:val="24"/>
        </w:rPr>
      </w:pPr>
      <w:r>
        <w:rPr>
          <w:rFonts w:ascii="SimSun" w:hAnsi="SimSun" w:eastAsia="SimSun" w:cs="SimSun"/>
          <w:sz w:val="24"/>
          <w:szCs w:val="24"/>
          <w:spacing w:val="-2"/>
        </w:rPr>
        <w:t>根据现场调查，本项目加油储罐下游及附近无环境敏感点，加油储罐为双层防渗设</w:t>
      </w:r>
      <w:r>
        <w:rPr>
          <w:rFonts w:ascii="SimSun" w:hAnsi="SimSun" w:eastAsia="SimSun" w:cs="SimSun"/>
          <w:sz w:val="24"/>
          <w:szCs w:val="24"/>
          <w:spacing w:val="-2"/>
        </w:rPr>
        <w:t>施，并有专员周期性全面检查其密封性，降低油品泄漏的可能性。因此对周边环境造成</w:t>
      </w:r>
      <w:r>
        <w:rPr>
          <w:rFonts w:ascii="SimSun" w:hAnsi="SimSun" w:eastAsia="SimSun" w:cs="SimSun"/>
          <w:sz w:val="24"/>
          <w:szCs w:val="24"/>
          <w:spacing w:val="-2"/>
        </w:rPr>
        <w:t>影响较小。</w:t>
      </w:r>
    </w:p>
    <w:p>
      <w:pPr>
        <w:ind w:left="10"/>
        <w:spacing w:before="8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6.6.3 </w:t>
      </w:r>
      <w:r>
        <w:rPr>
          <w:rFonts w:ascii="SimHei" w:hAnsi="SimHei" w:eastAsia="SimHei" w:cs="SimHei"/>
          <w:sz w:val="28"/>
          <w:szCs w:val="28"/>
          <w:b/>
          <w:bCs/>
          <w:spacing w:val="-2"/>
        </w:rPr>
        <w:t>污废水事故排放环境风险分析</w:t>
      </w:r>
    </w:p>
    <w:p>
      <w:pPr>
        <w:ind w:left="508"/>
        <w:spacing w:before="169"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4"/>
        </w:rPr>
        <w:t>、矿井产生突水时的环境风险影响分析</w:t>
      </w:r>
    </w:p>
    <w:p>
      <w:pPr>
        <w:ind w:left="10" w:right="120" w:firstLine="478"/>
        <w:spacing w:before="158" w:line="338" w:lineRule="auto"/>
        <w:rPr>
          <w:rFonts w:ascii="SimSun" w:hAnsi="SimSun" w:eastAsia="SimSun" w:cs="SimSun"/>
          <w:sz w:val="24"/>
          <w:szCs w:val="24"/>
        </w:rPr>
      </w:pPr>
      <w:r>
        <w:rPr>
          <w:rFonts w:ascii="SimSun" w:hAnsi="SimSun" w:eastAsia="SimSun" w:cs="SimSun"/>
          <w:sz w:val="24"/>
          <w:szCs w:val="24"/>
          <w:spacing w:val="-6"/>
        </w:rPr>
        <w:t>矿井发生突水事故，进入井巷的水体主要来自地下含水层，突水水量很难准确估算。</w:t>
      </w:r>
      <w:r>
        <w:rPr>
          <w:rFonts w:ascii="SimSun" w:hAnsi="SimSun" w:eastAsia="SimSun" w:cs="SimSun"/>
          <w:sz w:val="24"/>
          <w:szCs w:val="24"/>
          <w:spacing w:val="-2"/>
        </w:rPr>
        <w:t>其主要污染物是由煤粉组成的悬浮物，同时，发生突水事故中的矿井水人为扰动和污染</w:t>
      </w:r>
      <w:r>
        <w:rPr>
          <w:rFonts w:ascii="SimSun" w:hAnsi="SimSun" w:eastAsia="SimSun" w:cs="SimSun"/>
          <w:sz w:val="24"/>
          <w:szCs w:val="24"/>
        </w:rPr>
        <w:t>很少，其水质比正常生产过程中矿井水的水质为好，</w:t>
      </w:r>
      <w:r>
        <w:rPr>
          <w:rFonts w:ascii="SimSun" w:hAnsi="SimSun" w:eastAsia="SimSun" w:cs="SimSun"/>
          <w:sz w:val="24"/>
          <w:szCs w:val="24"/>
          <w:spacing w:val="-1"/>
        </w:rPr>
        <w:t>对地表水水质的影响有限。</w:t>
      </w:r>
    </w:p>
    <w:p>
      <w:pPr>
        <w:ind w:left="485"/>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
        </w:rPr>
        <w:t>、生活污水及矿井水处理处理设施非正常运行时的环境</w:t>
      </w:r>
      <w:r>
        <w:rPr>
          <w:rFonts w:ascii="SimSun" w:hAnsi="SimSun" w:eastAsia="SimSun" w:cs="SimSun"/>
          <w:sz w:val="24"/>
          <w:szCs w:val="24"/>
          <w:spacing w:val="-2"/>
        </w:rPr>
        <w:t>风险分析</w:t>
      </w:r>
    </w:p>
    <w:p>
      <w:pPr>
        <w:ind w:left="8" w:right="205" w:firstLine="496"/>
        <w:spacing w:before="155" w:line="340" w:lineRule="auto"/>
        <w:rPr>
          <w:rFonts w:ascii="SimSun" w:hAnsi="SimSun" w:eastAsia="SimSun" w:cs="SimSun"/>
          <w:sz w:val="24"/>
          <w:szCs w:val="24"/>
        </w:rPr>
      </w:pPr>
      <w:r>
        <w:rPr>
          <w:rFonts w:ascii="SimSun" w:hAnsi="SimSun" w:eastAsia="SimSun" w:cs="SimSun"/>
          <w:sz w:val="24"/>
          <w:szCs w:val="24"/>
          <w:spacing w:val="-2"/>
        </w:rPr>
        <w:t>当矿井（坑）正常排水，生活污水正常排放，而矿井（坑）水处理站、生活污</w:t>
      </w:r>
      <w:r>
        <w:rPr>
          <w:rFonts w:ascii="SimSun" w:hAnsi="SimSun" w:eastAsia="SimSun" w:cs="SimSun"/>
          <w:sz w:val="24"/>
          <w:szCs w:val="24"/>
          <w:spacing w:val="-3"/>
        </w:rPr>
        <w:t>水处</w:t>
      </w:r>
      <w:r>
        <w:rPr>
          <w:rFonts w:ascii="SimSun" w:hAnsi="SimSun" w:eastAsia="SimSun" w:cs="SimSun"/>
          <w:sz w:val="24"/>
          <w:szCs w:val="24"/>
          <w:spacing w:val="-2"/>
        </w:rPr>
        <w:t>理站非正常运行，矿井（坑）未经处理的矿井（坑）水及未经处理的生活污水将排入附</w:t>
      </w:r>
      <w:r>
        <w:rPr>
          <w:rFonts w:ascii="SimSun" w:hAnsi="SimSun" w:eastAsia="SimSun" w:cs="SimSun"/>
          <w:sz w:val="24"/>
          <w:szCs w:val="24"/>
          <w:spacing w:val="-1"/>
        </w:rPr>
        <w:t>近河流。在这种情况下将对表水水质造成较大不利影响。</w:t>
      </w:r>
    </w:p>
    <w:p>
      <w:pPr>
        <w:ind w:left="11"/>
        <w:spacing w:before="68" w:line="221" w:lineRule="auto"/>
        <w:outlineLvl w:val="1"/>
        <w:rPr>
          <w:rFonts w:ascii="SimHei" w:hAnsi="SimHei" w:eastAsia="SimHei" w:cs="SimHei"/>
          <w:sz w:val="30"/>
          <w:szCs w:val="30"/>
        </w:rPr>
      </w:pPr>
      <w:bookmarkStart w:name="bookmark43" w:id="76"/>
      <w:bookmarkEnd w:id="76"/>
      <w:r>
        <w:rPr>
          <w:rFonts w:ascii="Times New Roman" w:hAnsi="Times New Roman" w:eastAsia="Times New Roman" w:cs="Times New Roman"/>
          <w:sz w:val="30"/>
          <w:szCs w:val="30"/>
          <w:b/>
          <w:bCs/>
          <w:spacing w:val="-3"/>
        </w:rPr>
        <w:t>6.7 </w:t>
      </w:r>
      <w:r>
        <w:rPr>
          <w:rFonts w:ascii="SimHei" w:hAnsi="SimHei" w:eastAsia="SimHei" w:cs="SimHei"/>
          <w:sz w:val="30"/>
          <w:szCs w:val="30"/>
          <w:b/>
          <w:bCs/>
          <w:spacing w:val="-3"/>
        </w:rPr>
        <w:t>环境风险防治措施</w:t>
      </w:r>
    </w:p>
    <w:p>
      <w:pPr>
        <w:ind w:left="10"/>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6.7.1 </w:t>
      </w:r>
      <w:r>
        <w:rPr>
          <w:rFonts w:ascii="SimHei" w:hAnsi="SimHei" w:eastAsia="SimHei" w:cs="SimHei"/>
          <w:sz w:val="28"/>
          <w:szCs w:val="28"/>
          <w:b/>
          <w:bCs/>
          <w:spacing w:val="-2"/>
        </w:rPr>
        <w:t>危废暂存间油桶泄漏风险防治措施</w:t>
      </w:r>
    </w:p>
    <w:p>
      <w:pPr>
        <w:ind w:left="508"/>
        <w:spacing w:before="173"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、贮存管理要求</w:t>
      </w:r>
    </w:p>
    <w:p>
      <w:pPr>
        <w:ind w:left="8" w:right="138" w:firstLine="480"/>
        <w:spacing w:before="154" w:line="339" w:lineRule="auto"/>
        <w:rPr>
          <w:rFonts w:ascii="SimSun" w:hAnsi="SimSun" w:eastAsia="SimSun" w:cs="SimSun"/>
          <w:sz w:val="24"/>
          <w:szCs w:val="24"/>
        </w:rPr>
      </w:pPr>
      <w:r>
        <w:rPr>
          <w:rFonts w:ascii="SimSun" w:hAnsi="SimSun" w:eastAsia="SimSun" w:cs="SimSun"/>
          <w:sz w:val="24"/>
          <w:szCs w:val="24"/>
          <w:spacing w:val="-2"/>
        </w:rPr>
        <w:t>加强运行管理，定期检查，避免危废的泄漏；加强操作人员的岗位培训，严格遵守</w:t>
      </w:r>
      <w:r>
        <w:rPr>
          <w:rFonts w:ascii="SimSun" w:hAnsi="SimSun" w:eastAsia="SimSun" w:cs="SimSun"/>
          <w:sz w:val="24"/>
          <w:szCs w:val="24"/>
          <w:spacing w:val="-2"/>
        </w:rPr>
        <w:t>规程，对事故易发处按规定时间巡检，发现问题及早解决；该项目防火等消防安全措施</w:t>
      </w:r>
      <w:r>
        <w:rPr>
          <w:rFonts w:ascii="SimSun" w:hAnsi="SimSun" w:eastAsia="SimSun" w:cs="SimSun"/>
          <w:sz w:val="24"/>
          <w:szCs w:val="24"/>
          <w:spacing w:val="-2"/>
        </w:rPr>
        <w:t>必须到位；当发生泄漏时应及时控制油水的扩散范围，保护周围环境；同时明确泄漏可</w:t>
      </w:r>
      <w:r>
        <w:rPr>
          <w:rFonts w:ascii="SimSun" w:hAnsi="SimSun" w:eastAsia="SimSun" w:cs="SimSun"/>
          <w:sz w:val="24"/>
          <w:szCs w:val="24"/>
          <w:spacing w:val="-6"/>
        </w:rPr>
        <w:t>能导致的后果，泄漏危急周围环境的可能性，隔离泄漏区，周围设警告标志；加强管理，</w:t>
      </w:r>
      <w:r>
        <w:rPr>
          <w:rFonts w:ascii="SimSun" w:hAnsi="SimSun" w:eastAsia="SimSun" w:cs="SimSun"/>
          <w:sz w:val="24"/>
          <w:szCs w:val="24"/>
          <w:spacing w:val="-2"/>
        </w:rPr>
        <w:t>建立并严格执行安全生产责任制度，科学监控设备运行，消除故障隐患；制定定期巡查</w:t>
      </w:r>
      <w:r>
        <w:rPr>
          <w:rFonts w:ascii="SimSun" w:hAnsi="SimSun" w:eastAsia="SimSun" w:cs="SimSun"/>
          <w:sz w:val="24"/>
          <w:szCs w:val="24"/>
          <w:spacing w:val="-2"/>
        </w:rPr>
        <w:t>制度，发现异常及时处理和报告；建立应急响应机构，配备快捷的交通通讯工具，以便</w:t>
      </w:r>
      <w:r>
        <w:rPr>
          <w:rFonts w:ascii="SimSun" w:hAnsi="SimSun" w:eastAsia="SimSun" w:cs="SimSun"/>
          <w:sz w:val="24"/>
          <w:szCs w:val="24"/>
          <w:spacing w:val="-2"/>
        </w:rPr>
        <w:t>对泄漏事故及时作出反应和处理；储存于阴凉、通风的仓间内。远离火种、热源。仓间</w:t>
      </w:r>
    </w:p>
    <w:p>
      <w:pPr>
        <w:spacing w:line="339" w:lineRule="auto"/>
        <w:sectPr>
          <w:headerReference w:type="default" r:id="rId474"/>
          <w:footerReference w:type="default" r:id="rId475"/>
          <w:pgSz w:w="11906" w:h="16838"/>
          <w:pgMar w:top="1114" w:right="1212" w:bottom="1080" w:left="1416" w:header="837" w:footer="918" w:gutter="0"/>
        </w:sectPr>
        <w:rPr>
          <w:rFonts w:ascii="SimSun" w:hAnsi="SimSun" w:eastAsia="SimSun" w:cs="SimSun"/>
          <w:sz w:val="24"/>
          <w:szCs w:val="24"/>
        </w:rPr>
      </w:pPr>
    </w:p>
    <w:p>
      <w:pPr>
        <w:pStyle w:val="BodyText"/>
        <w:spacing w:line="367" w:lineRule="auto"/>
        <w:rPr/>
      </w:pPr>
      <w:r/>
    </w:p>
    <w:p>
      <w:pPr>
        <w:ind w:left="9" w:right="38" w:firstLine="1"/>
        <w:spacing w:before="78" w:line="339" w:lineRule="auto"/>
        <w:rPr>
          <w:rFonts w:ascii="SimSun" w:hAnsi="SimSun" w:eastAsia="SimSun" w:cs="SimSun"/>
          <w:sz w:val="24"/>
          <w:szCs w:val="24"/>
        </w:rPr>
      </w:pPr>
      <w:r>
        <w:rPr>
          <w:rFonts w:ascii="SimSun" w:hAnsi="SimSun" w:eastAsia="SimSun" w:cs="SimSun"/>
          <w:sz w:val="24"/>
          <w:szCs w:val="24"/>
          <w:spacing w:val="-3"/>
        </w:rPr>
        <w:t>温度不宜超过</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30℃</w:t>
      </w:r>
      <w:r>
        <w:rPr>
          <w:rFonts w:ascii="SimSun" w:hAnsi="SimSun" w:eastAsia="SimSun" w:cs="SimSun"/>
          <w:sz w:val="24"/>
          <w:szCs w:val="24"/>
          <w:spacing w:val="-3"/>
        </w:rPr>
        <w:t>。保持容器密闭。储存间</w:t>
      </w:r>
      <w:r>
        <w:rPr>
          <w:rFonts w:ascii="SimSun" w:hAnsi="SimSun" w:eastAsia="SimSun" w:cs="SimSun"/>
          <w:sz w:val="24"/>
          <w:szCs w:val="24"/>
          <w:spacing w:val="-4"/>
        </w:rPr>
        <w:t>内的照明、通风等设施应采用防爆型。配备</w:t>
      </w:r>
      <w:r>
        <w:rPr>
          <w:rFonts w:ascii="SimSun" w:hAnsi="SimSun" w:eastAsia="SimSun" w:cs="SimSun"/>
          <w:sz w:val="24"/>
          <w:szCs w:val="24"/>
          <w:spacing w:val="-1"/>
        </w:rPr>
        <w:t>相应品种和数量的消防器材。</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、贮存设施要求</w:t>
      </w:r>
    </w:p>
    <w:p>
      <w:pPr>
        <w:ind w:left="13" w:right="38" w:firstLine="477"/>
        <w:spacing w:before="155" w:line="338" w:lineRule="auto"/>
        <w:rPr>
          <w:rFonts w:ascii="SimSun" w:hAnsi="SimSun" w:eastAsia="SimSun" w:cs="SimSun"/>
          <w:sz w:val="24"/>
          <w:szCs w:val="24"/>
        </w:rPr>
      </w:pPr>
      <w:r>
        <w:rPr>
          <w:rFonts w:ascii="SimSun" w:hAnsi="SimSun" w:eastAsia="SimSun" w:cs="SimSun"/>
          <w:sz w:val="24"/>
          <w:szCs w:val="24"/>
          <w:spacing w:val="-2"/>
        </w:rPr>
        <w:t>贮存设施应避免高温和阳光直射；使用专用设施贮存，贮存前应进行检验，不应与</w:t>
      </w:r>
      <w:r>
        <w:rPr>
          <w:rFonts w:ascii="SimSun" w:hAnsi="SimSun" w:eastAsia="SimSun" w:cs="SimSun"/>
          <w:sz w:val="24"/>
          <w:szCs w:val="24"/>
          <w:spacing w:val="-2"/>
        </w:rPr>
        <w:t>不相容的废物混合，实行分类存放；盛装容器应有足够的膨胀余量，预留容积应不少于</w:t>
      </w:r>
      <w:r>
        <w:rPr>
          <w:rFonts w:ascii="SimSun" w:hAnsi="SimSun" w:eastAsia="SimSun" w:cs="SimSun"/>
          <w:sz w:val="24"/>
          <w:szCs w:val="24"/>
          <w:spacing w:val="-4"/>
        </w:rPr>
        <w:t>总容积的</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5%</w:t>
      </w:r>
      <w:r>
        <w:rPr>
          <w:rFonts w:ascii="SimSun" w:hAnsi="SimSun" w:eastAsia="SimSun" w:cs="SimSun"/>
          <w:sz w:val="24"/>
          <w:szCs w:val="24"/>
          <w:spacing w:val="-4"/>
        </w:rPr>
        <w:t>。</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、运输管理要求</w:t>
      </w:r>
    </w:p>
    <w:p>
      <w:pPr>
        <w:ind w:left="9" w:firstLine="482"/>
        <w:spacing w:before="158" w:line="338" w:lineRule="auto"/>
        <w:rPr>
          <w:rFonts w:ascii="SimSun" w:hAnsi="SimSun" w:eastAsia="SimSun" w:cs="SimSun"/>
          <w:sz w:val="24"/>
          <w:szCs w:val="24"/>
        </w:rPr>
      </w:pPr>
      <w:r>
        <w:rPr>
          <w:rFonts w:ascii="SimSun" w:hAnsi="SimSun" w:eastAsia="SimSun" w:cs="SimSun"/>
          <w:sz w:val="24"/>
          <w:szCs w:val="24"/>
          <w:spacing w:val="5"/>
        </w:rPr>
        <w:t>危险废物运输应由持有危险废物经营许可证的单位按照其许可证的经营范围组织</w:t>
      </w:r>
      <w:r>
        <w:rPr>
          <w:rFonts w:ascii="SimSun" w:hAnsi="SimSun" w:eastAsia="SimSun" w:cs="SimSun"/>
          <w:sz w:val="24"/>
          <w:szCs w:val="24"/>
          <w:spacing w:val="-2"/>
        </w:rPr>
        <w:t>实施，承担危险废物运输的单位应获得交通运输部门颁发的危险货物运输资质。危险废</w:t>
      </w:r>
      <w:r>
        <w:rPr>
          <w:rFonts w:ascii="SimSun" w:hAnsi="SimSun" w:eastAsia="SimSun" w:cs="SimSun"/>
          <w:sz w:val="24"/>
          <w:szCs w:val="24"/>
        </w:rPr>
        <w:t>物产生、经营企业在危废转移时转移运输应</w:t>
      </w:r>
      <w:r>
        <w:rPr>
          <w:rFonts w:ascii="SimSun" w:hAnsi="SimSun" w:eastAsia="SimSun" w:cs="SimSun"/>
          <w:sz w:val="24"/>
          <w:szCs w:val="24"/>
          <w:spacing w:val="-1"/>
        </w:rPr>
        <w:t>满足《危险废物收集 贮存 运输技术规范》</w:t>
      </w:r>
      <w:r>
        <w:rPr>
          <w:rFonts w:ascii="SimSun" w:hAnsi="SimSun" w:eastAsia="SimSun" w:cs="SimSun"/>
          <w:sz w:val="24"/>
          <w:szCs w:val="24"/>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HJ2025-2012)</w:t>
      </w:r>
      <w:r>
        <w:rPr>
          <w:rFonts w:ascii="SimSun" w:hAnsi="SimSun" w:eastAsia="SimSun" w:cs="SimSun"/>
          <w:sz w:val="24"/>
          <w:szCs w:val="24"/>
          <w:spacing w:val="-1"/>
        </w:rPr>
        <w:t>的相关要求。</w:t>
      </w:r>
    </w:p>
    <w:p>
      <w:pPr>
        <w:ind w:left="10" w:right="38" w:firstLine="480"/>
        <w:spacing w:before="2" w:line="340" w:lineRule="auto"/>
        <w:jc w:val="both"/>
        <w:rPr>
          <w:rFonts w:ascii="SimSun" w:hAnsi="SimSun" w:eastAsia="SimSun" w:cs="SimSun"/>
          <w:sz w:val="24"/>
          <w:szCs w:val="24"/>
        </w:rPr>
      </w:pPr>
      <w:r>
        <w:rPr>
          <w:rFonts w:ascii="SimSun" w:hAnsi="SimSun" w:eastAsia="SimSun" w:cs="SimSun"/>
          <w:sz w:val="24"/>
          <w:szCs w:val="24"/>
          <w:spacing w:val="-2"/>
        </w:rPr>
        <w:t>预防运输过程中泄漏措施主要有：提高运输司机技术水平；严禁超载运输；定期检</w:t>
      </w:r>
      <w:r>
        <w:rPr>
          <w:rFonts w:ascii="SimSun" w:hAnsi="SimSun" w:eastAsia="SimSun" w:cs="SimSun"/>
          <w:sz w:val="24"/>
          <w:szCs w:val="24"/>
          <w:spacing w:val="-2"/>
        </w:rPr>
        <w:t>测运输车辆是否正常运行；合理选择运输时间：加强运输车辆、人员的管理，提高运输</w:t>
      </w:r>
      <w:r>
        <w:rPr>
          <w:rFonts w:ascii="SimSun" w:hAnsi="SimSun" w:eastAsia="SimSun" w:cs="SimSun"/>
          <w:sz w:val="24"/>
          <w:szCs w:val="24"/>
          <w:spacing w:val="-2"/>
        </w:rPr>
        <w:t>人员安全意识。</w:t>
      </w:r>
    </w:p>
    <w:p>
      <w:pPr>
        <w:ind w:left="10"/>
        <w:spacing w:before="83"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6.7.2 </w:t>
      </w:r>
      <w:r>
        <w:rPr>
          <w:rFonts w:ascii="SimHei" w:hAnsi="SimHei" w:eastAsia="SimHei" w:cs="SimHei"/>
          <w:sz w:val="28"/>
          <w:szCs w:val="28"/>
          <w:b/>
          <w:bCs/>
          <w:spacing w:val="-2"/>
        </w:rPr>
        <w:t>加油站储油罐泄漏风险防治措施</w:t>
      </w:r>
    </w:p>
    <w:p>
      <w:pPr>
        <w:ind w:left="508"/>
        <w:spacing w:before="172"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、加强风险管理</w:t>
      </w:r>
    </w:p>
    <w:p>
      <w:pPr>
        <w:ind w:left="7" w:right="38" w:firstLine="484"/>
        <w:spacing w:before="151" w:line="339" w:lineRule="auto"/>
        <w:rPr>
          <w:rFonts w:ascii="SimSun" w:hAnsi="SimSun" w:eastAsia="SimSun" w:cs="SimSun"/>
          <w:sz w:val="24"/>
          <w:szCs w:val="24"/>
        </w:rPr>
      </w:pPr>
      <w:r>
        <w:rPr>
          <w:rFonts w:ascii="SimSun" w:hAnsi="SimSun" w:eastAsia="SimSun" w:cs="SimSun"/>
          <w:sz w:val="24"/>
          <w:szCs w:val="24"/>
          <w:spacing w:val="-2"/>
        </w:rPr>
        <w:t>建立安全生产岗位责任制，制定安全生产规章制度，安全操作规程、安全生产检查</w:t>
      </w:r>
      <w:r>
        <w:rPr>
          <w:rFonts w:ascii="SimSun" w:hAnsi="SimSun" w:eastAsia="SimSun" w:cs="SimSun"/>
          <w:sz w:val="24"/>
          <w:szCs w:val="24"/>
          <w:spacing w:val="2"/>
        </w:rPr>
        <w:t>制度、禁火管理制度、易燃易爆区管理、事故管理制度等，新员工上岗前要进行</w:t>
      </w:r>
      <w:r>
        <w:rPr>
          <w:rFonts w:ascii="Times New Roman" w:hAnsi="Times New Roman" w:eastAsia="Times New Roman" w:cs="Times New Roman"/>
          <w:sz w:val="24"/>
          <w:szCs w:val="24"/>
          <w:spacing w:val="2"/>
        </w:rPr>
        <w:t>“</w:t>
      </w:r>
      <w:r>
        <w:rPr>
          <w:rFonts w:ascii="SimSun" w:hAnsi="SimSun" w:eastAsia="SimSun" w:cs="SimSun"/>
          <w:sz w:val="24"/>
          <w:szCs w:val="24"/>
          <w:spacing w:val="2"/>
        </w:rPr>
        <w:t>安全</w:t>
      </w:r>
      <w:r>
        <w:rPr>
          <w:rFonts w:ascii="SimSun" w:hAnsi="SimSun" w:eastAsia="SimSun" w:cs="SimSun"/>
          <w:sz w:val="24"/>
          <w:szCs w:val="24"/>
          <w:spacing w:val="2"/>
        </w:rPr>
        <w:t>消防教育</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w:t>
      </w:r>
      <w:r>
        <w:rPr>
          <w:rFonts w:ascii="SimSun" w:hAnsi="SimSun" w:eastAsia="SimSun" w:cs="SimSun"/>
          <w:sz w:val="24"/>
          <w:szCs w:val="24"/>
          <w:spacing w:val="2"/>
        </w:rPr>
        <w:t>特殊工种教育</w:t>
      </w:r>
      <w:r>
        <w:rPr>
          <w:rFonts w:ascii="Times New Roman" w:hAnsi="Times New Roman" w:eastAsia="Times New Roman" w:cs="Times New Roman"/>
          <w:sz w:val="24"/>
          <w:szCs w:val="24"/>
          <w:spacing w:val="2"/>
        </w:rPr>
        <w:t>”</w:t>
      </w:r>
      <w:r>
        <w:rPr>
          <w:rFonts w:ascii="SimSun" w:hAnsi="SimSun" w:eastAsia="SimSun" w:cs="SimSun"/>
          <w:sz w:val="24"/>
          <w:szCs w:val="24"/>
          <w:spacing w:val="2"/>
        </w:rPr>
        <w:t>的培训工作。公司安全生产制度中</w:t>
      </w:r>
      <w:r>
        <w:rPr>
          <w:rFonts w:ascii="SimSun" w:hAnsi="SimSun" w:eastAsia="SimSun" w:cs="SimSun"/>
          <w:sz w:val="24"/>
          <w:szCs w:val="24"/>
          <w:spacing w:val="1"/>
        </w:rPr>
        <w:t>提出对员工定期进行安</w:t>
      </w:r>
      <w:r>
        <w:rPr>
          <w:rFonts w:ascii="SimSun" w:hAnsi="SimSun" w:eastAsia="SimSun" w:cs="SimSun"/>
          <w:sz w:val="24"/>
          <w:szCs w:val="24"/>
          <w:spacing w:val="-1"/>
        </w:rPr>
        <w:t>全教育、事故状态自救和互救方法宣传以及</w:t>
      </w:r>
      <w:r>
        <w:rPr>
          <w:rFonts w:ascii="SimSun" w:hAnsi="SimSun" w:eastAsia="SimSun" w:cs="SimSun"/>
          <w:sz w:val="24"/>
          <w:szCs w:val="24"/>
          <w:spacing w:val="-2"/>
        </w:rPr>
        <w:t>应急救援演习，提高事故应变能力和抢险实</w:t>
      </w:r>
      <w:r>
        <w:rPr>
          <w:rFonts w:ascii="SimSun" w:hAnsi="SimSun" w:eastAsia="SimSun" w:cs="SimSun"/>
          <w:sz w:val="24"/>
          <w:szCs w:val="24"/>
          <w:spacing w:val="-1"/>
        </w:rPr>
        <w:t>战能力。生产装置定期检查、维修，确保设</w:t>
      </w:r>
      <w:r>
        <w:rPr>
          <w:rFonts w:ascii="SimSun" w:hAnsi="SimSun" w:eastAsia="SimSun" w:cs="SimSun"/>
          <w:sz w:val="24"/>
          <w:szCs w:val="24"/>
          <w:spacing w:val="-2"/>
        </w:rPr>
        <w:t>备正常运行，减小事故发生的几率。区域设</w:t>
      </w:r>
      <w:r>
        <w:rPr>
          <w:rFonts w:ascii="SimSun" w:hAnsi="SimSun" w:eastAsia="SimSun" w:cs="SimSun"/>
          <w:sz w:val="24"/>
          <w:szCs w:val="24"/>
          <w:spacing w:val="-1"/>
        </w:rPr>
        <w:t>置《严禁烟火》标志，生产人员不准携带易</w:t>
      </w:r>
      <w:r>
        <w:rPr>
          <w:rFonts w:ascii="SimSun" w:hAnsi="SimSun" w:eastAsia="SimSun" w:cs="SimSun"/>
          <w:sz w:val="24"/>
          <w:szCs w:val="24"/>
          <w:spacing w:val="-2"/>
        </w:rPr>
        <w:t>燃物品进入车间区域，不准穿带有铁钉的鞋</w:t>
      </w:r>
      <w:r>
        <w:rPr>
          <w:rFonts w:ascii="SimSun" w:hAnsi="SimSun" w:eastAsia="SimSun" w:cs="SimSun"/>
          <w:sz w:val="24"/>
          <w:szCs w:val="24"/>
          <w:spacing w:val="-1"/>
        </w:rPr>
        <w:t>进入车间，不得用铁器相互敲打或敲打水泥建筑物等。</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、加强自动在线监测和控制</w:t>
      </w:r>
    </w:p>
    <w:p>
      <w:pPr>
        <w:ind w:left="488"/>
        <w:spacing w:before="154" w:line="219" w:lineRule="auto"/>
        <w:rPr>
          <w:rFonts w:ascii="SimSun" w:hAnsi="SimSun" w:eastAsia="SimSun" w:cs="SimSun"/>
          <w:sz w:val="24"/>
          <w:szCs w:val="24"/>
        </w:rPr>
      </w:pPr>
      <w:r>
        <w:rPr>
          <w:rFonts w:ascii="SimSun" w:hAnsi="SimSun" w:eastAsia="SimSun" w:cs="SimSun"/>
          <w:sz w:val="24"/>
          <w:szCs w:val="24"/>
        </w:rPr>
        <w:t>在汽油柴油罐上安装自动报警装置，出现泄露及时</w:t>
      </w:r>
      <w:r>
        <w:rPr>
          <w:rFonts w:ascii="SimSun" w:hAnsi="SimSun" w:eastAsia="SimSun" w:cs="SimSun"/>
          <w:sz w:val="24"/>
          <w:szCs w:val="24"/>
          <w:spacing w:val="-1"/>
        </w:rPr>
        <w:t>处理，确保居民安全。</w:t>
      </w:r>
    </w:p>
    <w:p>
      <w:pPr>
        <w:ind w:left="8" w:right="50" w:firstLine="481"/>
        <w:spacing w:before="153" w:line="342" w:lineRule="auto"/>
        <w:rPr>
          <w:rFonts w:ascii="SimSun" w:hAnsi="SimSun" w:eastAsia="SimSun" w:cs="SimSun"/>
          <w:sz w:val="24"/>
          <w:szCs w:val="24"/>
        </w:rPr>
      </w:pP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11"/>
        </w:rPr>
        <w:t xml:space="preserve"> </w:t>
      </w:r>
      <w:r>
        <w:rPr>
          <w:rFonts w:ascii="SimSun" w:hAnsi="SimSun" w:eastAsia="SimSun" w:cs="SimSun"/>
          <w:sz w:val="24"/>
          <w:szCs w:val="24"/>
        </w:rPr>
        <w:t>、当风险发生时，尽快切断电源，并向周围公众通告，并对这些居民进行及时疏</w:t>
      </w:r>
      <w:r>
        <w:rPr>
          <w:rFonts w:ascii="SimSun" w:hAnsi="SimSun" w:eastAsia="SimSun" w:cs="SimSun"/>
          <w:sz w:val="24"/>
          <w:szCs w:val="24"/>
        </w:rPr>
        <w:t>散，加油站及管线周围不允许非工作人员进入，确</w:t>
      </w:r>
      <w:r>
        <w:rPr>
          <w:rFonts w:ascii="SimSun" w:hAnsi="SimSun" w:eastAsia="SimSun" w:cs="SimSun"/>
          <w:sz w:val="24"/>
          <w:szCs w:val="24"/>
          <w:spacing w:val="-1"/>
        </w:rPr>
        <w:t>保事故抢险通道畅通。</w:t>
      </w:r>
    </w:p>
    <w:p>
      <w:pPr>
        <w:ind w:left="10"/>
        <w:spacing w:before="84"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6.7.3 </w:t>
      </w:r>
      <w:r>
        <w:rPr>
          <w:rFonts w:ascii="SimHei" w:hAnsi="SimHei" w:eastAsia="SimHei" w:cs="SimHei"/>
          <w:sz w:val="28"/>
          <w:szCs w:val="28"/>
          <w:b/>
          <w:bCs/>
          <w:spacing w:val="-2"/>
        </w:rPr>
        <w:t>污废水事故排放风险防治措施</w:t>
      </w:r>
    </w:p>
    <w:p>
      <w:pPr>
        <w:ind w:left="508"/>
        <w:spacing w:before="172"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、污废水处理站管理要求</w:t>
      </w:r>
    </w:p>
    <w:p>
      <w:pPr>
        <w:ind w:left="8" w:right="25" w:firstLine="480"/>
        <w:spacing w:before="154" w:line="342" w:lineRule="auto"/>
        <w:rPr>
          <w:rFonts w:ascii="SimSun" w:hAnsi="SimSun" w:eastAsia="SimSun" w:cs="SimSun"/>
          <w:sz w:val="24"/>
          <w:szCs w:val="24"/>
        </w:rPr>
      </w:pPr>
      <w:r>
        <w:rPr>
          <w:rFonts w:ascii="SimSun" w:hAnsi="SimSun" w:eastAsia="SimSun" w:cs="SimSun"/>
          <w:sz w:val="24"/>
          <w:szCs w:val="24"/>
          <w:spacing w:val="-1"/>
        </w:rPr>
        <w:t>对污水处理设施的操作人员和管理人员进行专业培训，使其熟</w:t>
      </w:r>
      <w:r>
        <w:rPr>
          <w:rFonts w:ascii="SimSun" w:hAnsi="SimSun" w:eastAsia="SimSun" w:cs="SimSun"/>
          <w:sz w:val="24"/>
          <w:szCs w:val="24"/>
          <w:spacing w:val="-2"/>
        </w:rPr>
        <w:t>悉设备的运行原理、</w:t>
      </w:r>
      <w:r>
        <w:rPr>
          <w:rFonts w:ascii="SimSun" w:hAnsi="SimSun" w:eastAsia="SimSun" w:cs="SimSun"/>
          <w:sz w:val="24"/>
          <w:szCs w:val="24"/>
          <w:spacing w:val="-2"/>
        </w:rPr>
        <w:t>操作方法和应急处理措施，提高其业务水平和应急处理能力；定期对进水、出水水质进</w:t>
      </w:r>
    </w:p>
    <w:p>
      <w:pPr>
        <w:spacing w:line="342" w:lineRule="auto"/>
        <w:sectPr>
          <w:headerReference w:type="default" r:id="rId476"/>
          <w:footerReference w:type="default" r:id="rId477"/>
          <w:pgSz w:w="11906" w:h="16838"/>
          <w:pgMar w:top="1114" w:right="1378" w:bottom="1080" w:left="1416" w:header="837" w:footer="918" w:gutter="0"/>
        </w:sectPr>
        <w:rPr>
          <w:rFonts w:ascii="SimSun" w:hAnsi="SimSun" w:eastAsia="SimSun" w:cs="SimSun"/>
          <w:sz w:val="24"/>
          <w:szCs w:val="24"/>
        </w:rPr>
      </w:pPr>
    </w:p>
    <w:p>
      <w:pPr>
        <w:pStyle w:val="BodyText"/>
        <w:spacing w:line="367" w:lineRule="auto"/>
        <w:rPr/>
      </w:pPr>
      <w:r/>
    </w:p>
    <w:p>
      <w:pPr>
        <w:ind w:left="15" w:right="205" w:hanging="2"/>
        <w:spacing w:before="78" w:line="339" w:lineRule="auto"/>
        <w:rPr>
          <w:rFonts w:ascii="SimSun" w:hAnsi="SimSun" w:eastAsia="SimSun" w:cs="SimSun"/>
          <w:sz w:val="24"/>
          <w:szCs w:val="24"/>
        </w:rPr>
      </w:pPr>
      <w:r>
        <w:rPr>
          <w:rFonts w:ascii="SimSun" w:hAnsi="SimSun" w:eastAsia="SimSun" w:cs="SimSun"/>
          <w:sz w:val="24"/>
          <w:szCs w:val="24"/>
          <w:spacing w:val="-2"/>
        </w:rPr>
        <w:t>行监测和分析，及时掌握水质变化情况，发现异常及时调整处理工艺，防止因水质突变</w:t>
      </w:r>
      <w:r>
        <w:rPr>
          <w:rFonts w:ascii="SimSun" w:hAnsi="SimSun" w:eastAsia="SimSun" w:cs="SimSun"/>
          <w:sz w:val="24"/>
          <w:szCs w:val="24"/>
          <w:spacing w:val="-2"/>
        </w:rPr>
        <w:t>导致处理设施失效。</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、水处理设施要求</w:t>
      </w:r>
    </w:p>
    <w:p>
      <w:pPr>
        <w:ind w:left="10" w:right="205" w:firstLine="478"/>
        <w:spacing w:before="151" w:line="340" w:lineRule="auto"/>
        <w:rPr>
          <w:rFonts w:ascii="SimSun" w:hAnsi="SimSun" w:eastAsia="SimSun" w:cs="SimSun"/>
          <w:sz w:val="24"/>
          <w:szCs w:val="24"/>
        </w:rPr>
      </w:pPr>
      <w:r>
        <w:rPr>
          <w:rFonts w:ascii="SimSun" w:hAnsi="SimSun" w:eastAsia="SimSun" w:cs="SimSun"/>
          <w:sz w:val="24"/>
          <w:szCs w:val="24"/>
          <w:spacing w:val="-2"/>
        </w:rPr>
        <w:t>采用高质量的设备、管道和阀门，确保污水处理设施的设计和建设符合相关标准和</w:t>
      </w:r>
      <w:r>
        <w:rPr>
          <w:rFonts w:ascii="SimSun" w:hAnsi="SimSun" w:eastAsia="SimSun" w:cs="SimSun"/>
          <w:sz w:val="24"/>
          <w:szCs w:val="24"/>
          <w:spacing w:val="-2"/>
        </w:rPr>
        <w:t>规范，具备足够的抗腐蚀、抗压能力，减少因设备故障导致的事故排放风险；建立设备</w:t>
      </w:r>
      <w:r>
        <w:rPr>
          <w:rFonts w:ascii="SimSun" w:hAnsi="SimSun" w:eastAsia="SimSun" w:cs="SimSun"/>
          <w:sz w:val="24"/>
          <w:szCs w:val="24"/>
          <w:spacing w:val="-2"/>
        </w:rPr>
        <w:t>维护保养制度，定期对污水处理设施的设备、管道、阀门等进行检查、维护和检修，及</w:t>
      </w:r>
      <w:r>
        <w:rPr>
          <w:rFonts w:ascii="SimSun" w:hAnsi="SimSun" w:eastAsia="SimSun" w:cs="SimSun"/>
          <w:sz w:val="24"/>
          <w:szCs w:val="24"/>
          <w:spacing w:val="-1"/>
        </w:rPr>
        <w:t>时发现并修复潜在的故障隐患，确保设备处于良好的运行状态。</w:t>
      </w:r>
    </w:p>
    <w:p>
      <w:pPr>
        <w:ind w:left="11"/>
        <w:spacing w:before="71" w:line="222" w:lineRule="auto"/>
        <w:outlineLvl w:val="1"/>
        <w:rPr>
          <w:rFonts w:ascii="SimHei" w:hAnsi="SimHei" w:eastAsia="SimHei" w:cs="SimHei"/>
          <w:sz w:val="30"/>
          <w:szCs w:val="30"/>
        </w:rPr>
      </w:pPr>
      <w:bookmarkStart w:name="bookmark44" w:id="77"/>
      <w:bookmarkEnd w:id="77"/>
      <w:r>
        <w:rPr>
          <w:rFonts w:ascii="Times New Roman" w:hAnsi="Times New Roman" w:eastAsia="Times New Roman" w:cs="Times New Roman"/>
          <w:sz w:val="30"/>
          <w:szCs w:val="30"/>
          <w:b/>
          <w:bCs/>
          <w:spacing w:val="-3"/>
        </w:rPr>
        <w:t>6.8 </w:t>
      </w:r>
      <w:r>
        <w:rPr>
          <w:rFonts w:ascii="SimHei" w:hAnsi="SimHei" w:eastAsia="SimHei" w:cs="SimHei"/>
          <w:sz w:val="30"/>
          <w:szCs w:val="30"/>
          <w:b/>
          <w:bCs/>
          <w:spacing w:val="-3"/>
        </w:rPr>
        <w:t>环境风险应急预案</w:t>
      </w:r>
    </w:p>
    <w:p>
      <w:pPr>
        <w:ind w:left="8" w:firstLine="483"/>
        <w:spacing w:before="169" w:line="338" w:lineRule="auto"/>
        <w:jc w:val="both"/>
        <w:rPr>
          <w:rFonts w:ascii="SimSun" w:hAnsi="SimSun" w:eastAsia="SimSun" w:cs="SimSun"/>
          <w:sz w:val="24"/>
          <w:szCs w:val="24"/>
        </w:rPr>
      </w:pPr>
      <w:r>
        <w:rPr>
          <w:rFonts w:ascii="SimSun" w:hAnsi="SimSun" w:eastAsia="SimSun" w:cs="SimSun"/>
          <w:sz w:val="24"/>
          <w:szCs w:val="24"/>
          <w:spacing w:val="-2"/>
        </w:rPr>
        <w:t>为了提高环境保护队伍应急反应能力，正确应对突发性环境污染、生态破坏等原因</w:t>
      </w:r>
      <w:r>
        <w:rPr>
          <w:rFonts w:ascii="SimSun" w:hAnsi="SimSun" w:eastAsia="SimSun" w:cs="SimSun"/>
          <w:sz w:val="24"/>
          <w:szCs w:val="24"/>
          <w:spacing w:val="-2"/>
        </w:rPr>
        <w:t>造成的局部或区域环境污染与破坏事故，确保事故发生</w:t>
      </w:r>
      <w:r>
        <w:rPr>
          <w:rFonts w:ascii="SimSun" w:hAnsi="SimSun" w:eastAsia="SimSun" w:cs="SimSun"/>
          <w:sz w:val="24"/>
          <w:szCs w:val="24"/>
          <w:spacing w:val="-3"/>
        </w:rPr>
        <w:t>能快速有效的进行现场应急处理、</w:t>
      </w:r>
      <w:r>
        <w:rPr>
          <w:rFonts w:ascii="SimSun" w:hAnsi="SimSun" w:eastAsia="SimSun" w:cs="SimSun"/>
          <w:sz w:val="24"/>
          <w:szCs w:val="24"/>
          <w:spacing w:val="-2"/>
        </w:rPr>
        <w:t>处置，保护矿区人民的生命、财产安全，白音华四号露天矿（露天区）已按相关文件要</w:t>
      </w:r>
      <w:r>
        <w:rPr>
          <w:rFonts w:ascii="SimSun" w:hAnsi="SimSun" w:eastAsia="SimSun" w:cs="SimSun"/>
          <w:sz w:val="24"/>
          <w:szCs w:val="24"/>
          <w:spacing w:val="-2"/>
        </w:rPr>
        <w:t>求编制了《突发环境事件应急预案》（备案号：</w:t>
      </w:r>
      <w:r>
        <w:rPr>
          <w:rFonts w:ascii="Times New Roman" w:hAnsi="Times New Roman" w:eastAsia="Times New Roman" w:cs="Times New Roman"/>
          <w:sz w:val="24"/>
          <w:szCs w:val="24"/>
          <w:spacing w:val="-2"/>
        </w:rPr>
        <w:t>026200-2022-009-L</w:t>
      </w:r>
      <w:r>
        <w:rPr>
          <w:rFonts w:ascii="SimSun" w:hAnsi="SimSun" w:eastAsia="SimSun" w:cs="SimSun"/>
          <w:sz w:val="24"/>
          <w:szCs w:val="24"/>
          <w:spacing w:val="3"/>
        </w:rPr>
        <w:t>），</w:t>
      </w:r>
      <w:r>
        <w:rPr>
          <w:rFonts w:ascii="SimSun" w:hAnsi="SimSun" w:eastAsia="SimSun" w:cs="SimSun"/>
          <w:sz w:val="24"/>
          <w:szCs w:val="24"/>
          <w:spacing w:val="-2"/>
        </w:rPr>
        <w:t>并已上报当地环</w:t>
      </w:r>
      <w:r>
        <w:rPr>
          <w:rFonts w:ascii="SimSun" w:hAnsi="SimSun" w:eastAsia="SimSun" w:cs="SimSun"/>
          <w:sz w:val="24"/>
          <w:szCs w:val="24"/>
          <w:spacing w:val="-2"/>
        </w:rPr>
        <w:t>境主管部门备案。除此以外，矿方建立相对完整的环境安全设备体系，以及投入了大量</w:t>
      </w:r>
      <w:r>
        <w:rPr>
          <w:rFonts w:ascii="SimSun" w:hAnsi="SimSun" w:eastAsia="SimSun" w:cs="SimSun"/>
          <w:sz w:val="24"/>
          <w:szCs w:val="24"/>
          <w:spacing w:val="-2"/>
        </w:rPr>
        <w:t>资金用于废气、废水、固废等配套环境污染防治设施的建设，其中包括消防设施（灭火</w:t>
      </w:r>
      <w:r>
        <w:rPr>
          <w:rFonts w:ascii="SimSun" w:hAnsi="SimSun" w:eastAsia="SimSun" w:cs="SimSun"/>
          <w:sz w:val="24"/>
          <w:szCs w:val="24"/>
          <w:spacing w:val="-2"/>
        </w:rPr>
        <w:t>器、消防水车等）、污废水处理站、废油脂暂存库、应急救援指挥中心等。针对主要风</w:t>
      </w:r>
      <w:r>
        <w:rPr>
          <w:rFonts w:ascii="SimSun" w:hAnsi="SimSun" w:eastAsia="SimSun" w:cs="SimSun"/>
          <w:sz w:val="24"/>
          <w:szCs w:val="24"/>
          <w:spacing w:val="-2"/>
        </w:rPr>
        <w:t>险源采取人工巡检、建立台账和定期检修维护等管理措施，基本能做到及时发现事故隐</w:t>
      </w:r>
      <w:r>
        <w:rPr>
          <w:rFonts w:ascii="SimSun" w:hAnsi="SimSun" w:eastAsia="SimSun" w:cs="SimSun"/>
          <w:sz w:val="24"/>
          <w:szCs w:val="24"/>
          <w:spacing w:val="-1"/>
        </w:rPr>
        <w:t>患、及时上报并及时处置，应急响应和措施如下：</w:t>
      </w:r>
    </w:p>
    <w:p>
      <w:pPr>
        <w:ind w:left="508"/>
        <w:spacing w:line="218"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2"/>
        </w:rPr>
        <w:t>、矿方设置了专门的机构负责建设期及运营期的环境安全，职责包括：</w:t>
      </w:r>
    </w:p>
    <w:p>
      <w:pPr>
        <w:ind w:left="9" w:right="254" w:firstLine="486"/>
        <w:spacing w:before="155"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）分析判断事故、事件或灾情的受影响区域、危害程度，确定相应预警级别、</w:t>
      </w:r>
      <w:r>
        <w:rPr>
          <w:rFonts w:ascii="SimSun" w:hAnsi="SimSun" w:eastAsia="SimSun" w:cs="SimSun"/>
          <w:sz w:val="24"/>
          <w:szCs w:val="24"/>
          <w:spacing w:val="-2"/>
        </w:rPr>
        <w:t>应急响应级别；</w:t>
      </w:r>
    </w:p>
    <w:p>
      <w:pPr>
        <w:ind w:left="12" w:right="205" w:firstLine="483"/>
        <w:spacing w:before="154"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）负责突发性环境事件应急处置的统一指挥和组织协调，组织指挥各方面力量</w:t>
      </w:r>
      <w:r>
        <w:rPr>
          <w:rFonts w:ascii="SimSun" w:hAnsi="SimSun" w:eastAsia="SimSun" w:cs="SimSun"/>
          <w:sz w:val="24"/>
          <w:szCs w:val="24"/>
          <w:spacing w:val="-2"/>
        </w:rPr>
        <w:t>处置事故，统一指挥对事故现场的救援，控制事故损失的扩大，随时掌握应急处理进展</w:t>
      </w:r>
      <w:r>
        <w:rPr>
          <w:rFonts w:ascii="SimSun" w:hAnsi="SimSun" w:eastAsia="SimSun" w:cs="SimSun"/>
          <w:sz w:val="24"/>
          <w:szCs w:val="24"/>
          <w:spacing w:val="-3"/>
        </w:rPr>
        <w:t>工作情况；</w:t>
      </w:r>
    </w:p>
    <w:p>
      <w:pPr>
        <w:ind w:left="21" w:right="219" w:firstLine="474"/>
        <w:spacing w:before="155" w:line="27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）协调各应急救援单位之间的关系，督促有关单位做好抢险救援工作、后勤保</w:t>
      </w:r>
      <w:r>
        <w:rPr>
          <w:rFonts w:ascii="SimSun" w:hAnsi="SimSun" w:eastAsia="SimSun" w:cs="SimSun"/>
          <w:sz w:val="24"/>
          <w:szCs w:val="24"/>
          <w:spacing w:val="-1"/>
        </w:rPr>
        <w:t>障、信息上报、善后处理以及恢复生产秩序的工作；</w:t>
      </w:r>
    </w:p>
    <w:p>
      <w:pPr>
        <w:ind w:left="11" w:right="210" w:firstLine="484"/>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）及时向锡林郭勒盟生态环境局西乌珠穆沁旗分局报告突发环境事件处置的进</w:t>
      </w:r>
      <w:r>
        <w:rPr>
          <w:rFonts w:ascii="SimSun" w:hAnsi="SimSun" w:eastAsia="SimSun" w:cs="SimSun"/>
          <w:sz w:val="24"/>
          <w:szCs w:val="24"/>
          <w:spacing w:val="-3"/>
        </w:rPr>
        <w:t>展情况；</w:t>
      </w:r>
    </w:p>
    <w:p>
      <w:pPr>
        <w:ind w:left="495"/>
        <w:spacing w:before="153"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）评估事态发展程度，决定升高或降低预警级别、应急响应级别；</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）根据事态发展，决定请求外部救援；</w:t>
      </w:r>
    </w:p>
    <w:p>
      <w:pPr>
        <w:ind w:left="9" w:right="219" w:firstLine="486"/>
        <w:spacing w:before="157"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）决定救援人员、员工从事故区域撤离，决定向周边可能受影响群众发出撤离</w:t>
      </w:r>
      <w:r>
        <w:rPr>
          <w:rFonts w:ascii="SimSun" w:hAnsi="SimSun" w:eastAsia="SimSun" w:cs="SimSun"/>
          <w:sz w:val="24"/>
          <w:szCs w:val="24"/>
          <w:spacing w:val="-1"/>
        </w:rPr>
        <w:t>通知，请求地方政府协助组织周边群众从事故影响区域撤离；</w:t>
      </w:r>
    </w:p>
    <w:p>
      <w:pPr>
        <w:spacing w:line="278" w:lineRule="auto"/>
        <w:sectPr>
          <w:headerReference w:type="default" r:id="rId474"/>
          <w:footerReference w:type="default" r:id="rId478"/>
          <w:pgSz w:w="11906" w:h="16838"/>
          <w:pgMar w:top="1114" w:right="1212" w:bottom="1080" w:left="1416" w:header="837" w:footer="918" w:gutter="0"/>
        </w:sectPr>
        <w:rPr>
          <w:rFonts w:ascii="SimSun" w:hAnsi="SimSun" w:eastAsia="SimSun" w:cs="SimSun"/>
          <w:sz w:val="24"/>
          <w:szCs w:val="24"/>
        </w:rPr>
      </w:pPr>
    </w:p>
    <w:p>
      <w:pPr>
        <w:pStyle w:val="BodyText"/>
        <w:spacing w:line="366" w:lineRule="auto"/>
        <w:rPr/>
      </w:pPr>
      <w:r/>
    </w:p>
    <w:p>
      <w:pPr>
        <w:ind w:left="12" w:right="99" w:firstLine="483"/>
        <w:spacing w:before="78"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）组织制定突发环境事件应急预案、负责组织预案的审批与更新、负责组织外</w:t>
      </w:r>
      <w:r>
        <w:rPr>
          <w:rFonts w:ascii="SimSun" w:hAnsi="SimSun" w:eastAsia="SimSun" w:cs="SimSun"/>
          <w:sz w:val="24"/>
          <w:szCs w:val="24"/>
          <w:spacing w:val="-4"/>
        </w:rPr>
        <w:t>部评审；</w:t>
      </w:r>
    </w:p>
    <w:p>
      <w:pPr>
        <w:ind w:left="495"/>
        <w:spacing w:before="153"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9</w:t>
      </w:r>
      <w:r>
        <w:rPr>
          <w:rFonts w:ascii="SimSun" w:hAnsi="SimSun" w:eastAsia="SimSun" w:cs="SimSun"/>
          <w:sz w:val="24"/>
          <w:szCs w:val="24"/>
          <w:spacing w:val="-2"/>
        </w:rPr>
        <w:t>）宣布应急恢复、应急结束。</w:t>
      </w:r>
    </w:p>
    <w:p>
      <w:pPr>
        <w:ind w:left="485"/>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3"/>
        </w:rPr>
        <w:t>、应急预案主要内容如下：</w:t>
      </w:r>
    </w:p>
    <w:p>
      <w:pPr>
        <w:ind w:left="488"/>
        <w:spacing w:before="156" w:line="217" w:lineRule="auto"/>
        <w:rPr>
          <w:rFonts w:ascii="SimSun" w:hAnsi="SimSun" w:eastAsia="SimSun" w:cs="SimSun"/>
          <w:sz w:val="24"/>
          <w:szCs w:val="24"/>
        </w:rPr>
      </w:pPr>
      <w:r>
        <w:rPr>
          <w:rFonts w:ascii="SimSun" w:hAnsi="SimSun" w:eastAsia="SimSun" w:cs="SimSun"/>
          <w:sz w:val="24"/>
          <w:szCs w:val="24"/>
          <w:spacing w:val="-2"/>
        </w:rPr>
        <w:t>①预防预警</w:t>
      </w:r>
    </w:p>
    <w:p>
      <w:pPr>
        <w:ind w:left="10" w:right="85" w:firstLine="482"/>
        <w:spacing w:before="156" w:line="339" w:lineRule="auto"/>
        <w:rPr>
          <w:rFonts w:ascii="SimSun" w:hAnsi="SimSun" w:eastAsia="SimSun" w:cs="SimSun"/>
          <w:sz w:val="24"/>
          <w:szCs w:val="24"/>
        </w:rPr>
      </w:pPr>
      <w:r>
        <w:rPr>
          <w:rFonts w:ascii="SimSun" w:hAnsi="SimSun" w:eastAsia="SimSun" w:cs="SimSun"/>
          <w:sz w:val="24"/>
          <w:szCs w:val="24"/>
          <w:spacing w:val="-2"/>
        </w:rPr>
        <w:t>企业应加强对各种可能发生的突发环境事件的风险目标监控，建立突发事件预警机</w:t>
      </w:r>
      <w:r>
        <w:rPr>
          <w:rFonts w:ascii="SimSun" w:hAnsi="SimSun" w:eastAsia="SimSun" w:cs="SimSun"/>
          <w:sz w:val="24"/>
          <w:szCs w:val="24"/>
          <w:spacing w:val="-1"/>
        </w:rPr>
        <w:t>制，做到</w:t>
      </w:r>
      <w:r>
        <w:rPr>
          <w:rFonts w:ascii="Times New Roman" w:hAnsi="Times New Roman" w:eastAsia="Times New Roman" w:cs="Times New Roman"/>
          <w:sz w:val="24"/>
          <w:szCs w:val="24"/>
          <w:spacing w:val="-1"/>
        </w:rPr>
        <w:t>"</w:t>
      </w:r>
      <w:r>
        <w:rPr>
          <w:rFonts w:ascii="SimSun" w:hAnsi="SimSun" w:eastAsia="SimSun" w:cs="SimSun"/>
          <w:sz w:val="24"/>
          <w:szCs w:val="24"/>
          <w:spacing w:val="-1"/>
        </w:rPr>
        <w:t>早发现、早报告、早处置</w:t>
      </w:r>
      <w:r>
        <w:rPr>
          <w:rFonts w:ascii="Times New Roman" w:hAnsi="Times New Roman" w:eastAsia="Times New Roman" w:cs="Times New Roman"/>
          <w:sz w:val="24"/>
          <w:szCs w:val="24"/>
          <w:spacing w:val="-1"/>
        </w:rPr>
        <w:t>"</w:t>
      </w:r>
      <w:r>
        <w:rPr>
          <w:rFonts w:ascii="SimSun" w:hAnsi="SimSun" w:eastAsia="SimSun" w:cs="SimSun"/>
          <w:sz w:val="24"/>
          <w:szCs w:val="24"/>
          <w:spacing w:val="-1"/>
        </w:rPr>
        <w:t>。</w:t>
      </w:r>
    </w:p>
    <w:p>
      <w:pPr>
        <w:ind w:left="22" w:right="85" w:firstLine="501"/>
        <w:spacing w:before="2" w:line="337" w:lineRule="auto"/>
        <w:rPr>
          <w:rFonts w:ascii="SimSun" w:hAnsi="SimSun" w:eastAsia="SimSun" w:cs="SimSun"/>
          <w:sz w:val="24"/>
          <w:szCs w:val="24"/>
        </w:rPr>
      </w:pPr>
      <w:r>
        <w:rPr>
          <w:rFonts w:ascii="SimSun" w:hAnsi="SimSun" w:eastAsia="SimSun" w:cs="SimSun"/>
          <w:sz w:val="24"/>
          <w:szCs w:val="24"/>
          <w:spacing w:val="-3"/>
        </w:rPr>
        <w:t>白音华四号露天矿为预防突发环境事件建立健全规章制度并落实，同时针对环境风</w:t>
      </w:r>
      <w:r>
        <w:rPr>
          <w:rFonts w:ascii="SimSun" w:hAnsi="SimSun" w:eastAsia="SimSun" w:cs="SimSun"/>
          <w:sz w:val="24"/>
          <w:szCs w:val="24"/>
          <w:spacing w:val="-1"/>
        </w:rPr>
        <w:t>险源制定了相应的预防措施并积极落实相应规章制度。</w:t>
      </w:r>
    </w:p>
    <w:p>
      <w:pPr>
        <w:ind w:left="487"/>
        <w:spacing w:before="1" w:line="217" w:lineRule="auto"/>
        <w:rPr>
          <w:rFonts w:ascii="SimSun" w:hAnsi="SimSun" w:eastAsia="SimSun" w:cs="SimSun"/>
          <w:sz w:val="24"/>
          <w:szCs w:val="24"/>
        </w:rPr>
      </w:pPr>
      <w:r>
        <w:rPr>
          <w:rFonts w:ascii="SimSun" w:hAnsi="SimSun" w:eastAsia="SimSun" w:cs="SimSun"/>
          <w:sz w:val="24"/>
          <w:szCs w:val="24"/>
          <w:spacing w:val="-2"/>
        </w:rPr>
        <w:t>②应急响应</w:t>
      </w:r>
    </w:p>
    <w:p>
      <w:pPr>
        <w:ind w:left="9" w:firstLine="480"/>
        <w:spacing w:before="160" w:line="338" w:lineRule="auto"/>
        <w:rPr>
          <w:rFonts w:ascii="SimSun" w:hAnsi="SimSun" w:eastAsia="SimSun" w:cs="SimSun"/>
          <w:sz w:val="24"/>
          <w:szCs w:val="24"/>
        </w:rPr>
      </w:pPr>
      <w:r>
        <w:rPr>
          <w:rFonts w:ascii="SimSun" w:hAnsi="SimSun" w:eastAsia="SimSun" w:cs="SimSun"/>
          <w:sz w:val="24"/>
          <w:szCs w:val="24"/>
          <w:spacing w:val="-6"/>
        </w:rPr>
        <w:t>针对突发环境事件严重性、紧急程度、危害程度、影响范围、公司内部（生产工段、</w:t>
      </w:r>
      <w:r>
        <w:rPr>
          <w:rFonts w:ascii="SimSun" w:hAnsi="SimSun" w:eastAsia="SimSun" w:cs="SimSun"/>
          <w:sz w:val="24"/>
          <w:szCs w:val="24"/>
          <w:spacing w:val="-2"/>
        </w:rPr>
        <w:t>厂房）控制事态的能力以及需要调动的应急资源，将突发环境事件分为不同的等级。响</w:t>
      </w:r>
      <w:r>
        <w:rPr>
          <w:rFonts w:ascii="SimSun" w:hAnsi="SimSun" w:eastAsia="SimSun" w:cs="SimSun"/>
          <w:sz w:val="24"/>
          <w:szCs w:val="24"/>
          <w:spacing w:val="-11"/>
        </w:rPr>
        <w:t>应级别由低到高分别为Ⅲ级响应（一般突发环境事件）、Ⅱ</w:t>
      </w:r>
      <w:r>
        <w:rPr>
          <w:rFonts w:ascii="SimSun" w:hAnsi="SimSun" w:eastAsia="SimSun" w:cs="SimSun"/>
          <w:sz w:val="24"/>
          <w:szCs w:val="24"/>
          <w:spacing w:val="-12"/>
        </w:rPr>
        <w:t>级响应（较大突发环境事件）、</w:t>
      </w:r>
      <w:r>
        <w:rPr>
          <w:rFonts w:ascii="SimSun" w:hAnsi="SimSun" w:eastAsia="SimSun" w:cs="SimSun"/>
          <w:sz w:val="24"/>
          <w:szCs w:val="24"/>
        </w:rPr>
        <w:t xml:space="preserve"> </w:t>
      </w:r>
      <w:r>
        <w:rPr>
          <w:rFonts w:ascii="SimSun" w:hAnsi="SimSun" w:eastAsia="SimSun" w:cs="SimSun"/>
          <w:sz w:val="24"/>
          <w:szCs w:val="24"/>
          <w:spacing w:val="-1"/>
        </w:rPr>
        <w:t>Ⅰ级响应（特大、重大突发环境事件）。</w:t>
      </w:r>
    </w:p>
    <w:p>
      <w:pPr>
        <w:ind w:left="8" w:right="18" w:firstLine="480"/>
        <w:spacing w:before="2" w:line="338" w:lineRule="auto"/>
        <w:jc w:val="both"/>
        <w:rPr>
          <w:rFonts w:ascii="SimSun" w:hAnsi="SimSun" w:eastAsia="SimSun" w:cs="SimSun"/>
          <w:sz w:val="24"/>
          <w:szCs w:val="24"/>
        </w:rPr>
      </w:pPr>
      <w:r>
        <w:rPr>
          <w:rFonts w:ascii="SimSun" w:hAnsi="SimSun" w:eastAsia="SimSun" w:cs="SimSun"/>
          <w:sz w:val="24"/>
          <w:szCs w:val="24"/>
          <w:spacing w:val="-6"/>
        </w:rPr>
        <w:t>Ⅲ级响应：一般突发环境事件时，应启动三级响应。三级应急响</w:t>
      </w:r>
      <w:r>
        <w:rPr>
          <w:rFonts w:ascii="SimSun" w:hAnsi="SimSun" w:eastAsia="SimSun" w:cs="SimSun"/>
          <w:sz w:val="24"/>
          <w:szCs w:val="24"/>
          <w:spacing w:val="-7"/>
        </w:rPr>
        <w:t>启动现场处置方案，</w:t>
      </w:r>
      <w:r>
        <w:rPr>
          <w:rFonts w:ascii="SimSun" w:hAnsi="SimSun" w:eastAsia="SimSun" w:cs="SimSun"/>
          <w:sz w:val="24"/>
          <w:szCs w:val="24"/>
          <w:spacing w:val="-2"/>
        </w:rPr>
        <w:t>及时告知部门负责人并进行有效监控根据事故发展决定是否上报和扩大应急。应急指挥</w:t>
      </w:r>
      <w:r>
        <w:rPr>
          <w:rFonts w:ascii="SimSun" w:hAnsi="SimSun" w:eastAsia="SimSun" w:cs="SimSun"/>
          <w:sz w:val="24"/>
          <w:szCs w:val="24"/>
        </w:rPr>
        <w:t>由公司安环部经理负责指挥，或者授权的部门其他</w:t>
      </w:r>
      <w:r>
        <w:rPr>
          <w:rFonts w:ascii="SimSun" w:hAnsi="SimSun" w:eastAsia="SimSun" w:cs="SimSun"/>
          <w:sz w:val="24"/>
          <w:szCs w:val="24"/>
          <w:spacing w:val="-1"/>
        </w:rPr>
        <w:t>负责人指挥应急处置。</w:t>
      </w:r>
    </w:p>
    <w:p>
      <w:pPr>
        <w:ind w:left="14" w:right="18" w:firstLine="516"/>
        <w:spacing w:before="2" w:line="338" w:lineRule="auto"/>
        <w:jc w:val="both"/>
        <w:rPr>
          <w:rFonts w:ascii="SimSun" w:hAnsi="SimSun" w:eastAsia="SimSun" w:cs="SimSun"/>
          <w:sz w:val="24"/>
          <w:szCs w:val="24"/>
        </w:rPr>
      </w:pPr>
      <w:r>
        <w:rPr>
          <w:rFonts w:ascii="SimSun" w:hAnsi="SimSun" w:eastAsia="SimSun" w:cs="SimSun"/>
          <w:sz w:val="24"/>
          <w:szCs w:val="24"/>
          <w:spacing w:val="-7"/>
        </w:rPr>
        <w:t>Ⅱ级响应：较大突发环境事件时，企业可通过自身</w:t>
      </w:r>
      <w:r>
        <w:rPr>
          <w:rFonts w:ascii="SimSun" w:hAnsi="SimSun" w:eastAsia="SimSun" w:cs="SimSun"/>
          <w:sz w:val="24"/>
          <w:szCs w:val="24"/>
          <w:spacing w:val="-8"/>
        </w:rPr>
        <w:t>的应急能力将事件控制在厂区内，</w:t>
      </w:r>
      <w:r>
        <w:rPr>
          <w:rFonts w:ascii="SimSun" w:hAnsi="SimSun" w:eastAsia="SimSun" w:cs="SimSun"/>
          <w:sz w:val="24"/>
          <w:szCs w:val="24"/>
          <w:spacing w:val="-6"/>
        </w:rPr>
        <w:t>则启动二级响应，由副总指挥负责指挥，组织相关应急小组开展应急工作，视现场</w:t>
      </w:r>
      <w:r>
        <w:rPr>
          <w:rFonts w:ascii="SimSun" w:hAnsi="SimSun" w:eastAsia="SimSun" w:cs="SimSun"/>
          <w:sz w:val="24"/>
          <w:szCs w:val="24"/>
          <w:spacing w:val="-7"/>
        </w:rPr>
        <w:t>情况，</w:t>
      </w:r>
      <w:r>
        <w:rPr>
          <w:rFonts w:ascii="SimSun" w:hAnsi="SimSun" w:eastAsia="SimSun" w:cs="SimSun"/>
          <w:sz w:val="24"/>
          <w:szCs w:val="24"/>
          <w:spacing w:val="-1"/>
        </w:rPr>
        <w:t>副总指挥可指令授予应急指挥小组某成员形式总指挥权。</w:t>
      </w:r>
    </w:p>
    <w:p>
      <w:pPr>
        <w:ind w:left="8" w:right="85" w:firstLine="558"/>
        <w:spacing w:before="4" w:line="338" w:lineRule="auto"/>
        <w:jc w:val="both"/>
        <w:rPr>
          <w:rFonts w:ascii="SimSun" w:hAnsi="SimSun" w:eastAsia="SimSun" w:cs="SimSun"/>
          <w:sz w:val="24"/>
          <w:szCs w:val="24"/>
        </w:rPr>
      </w:pPr>
      <w:r>
        <w:rPr>
          <w:rFonts w:ascii="SimSun" w:hAnsi="SimSun" w:eastAsia="SimSun" w:cs="SimSun"/>
          <w:sz w:val="24"/>
          <w:szCs w:val="24"/>
          <w:spacing w:val="-4"/>
        </w:rPr>
        <w:t>Ⅰ级响应：对于重大突发环境事件，事故影响超出企业控制范围，启动一应急对于</w:t>
      </w:r>
      <w:r>
        <w:rPr>
          <w:rFonts w:ascii="SimSun" w:hAnsi="SimSun" w:eastAsia="SimSun" w:cs="SimSun"/>
          <w:sz w:val="24"/>
          <w:szCs w:val="24"/>
          <w:spacing w:val="-2"/>
        </w:rPr>
        <w:t>厂外级环境事件，由应急总指挥执行；并应根据严重的程度，由公司安环部经理通报锡</w:t>
      </w:r>
      <w:r>
        <w:rPr>
          <w:rFonts w:ascii="SimSun" w:hAnsi="SimSun" w:eastAsia="SimSun" w:cs="SimSun"/>
          <w:sz w:val="24"/>
          <w:szCs w:val="24"/>
          <w:spacing w:val="-2"/>
        </w:rPr>
        <w:t>林郭勒盟生态环境局西乌珠穆沁旗分局，由相应部门决定启动相关预案、并采取的急措</w:t>
      </w:r>
      <w:r>
        <w:rPr>
          <w:rFonts w:ascii="SimSun" w:hAnsi="SimSun" w:eastAsia="SimSun" w:cs="SimSun"/>
          <w:sz w:val="24"/>
          <w:szCs w:val="24"/>
          <w:spacing w:val="-2"/>
        </w:rPr>
        <w:t>施。如西乌珠穆沁旗相关政府部门成立现场应急指挥办公室时，企业中心移交权并说明</w:t>
      </w:r>
      <w:r>
        <w:rPr>
          <w:rFonts w:ascii="SimSun" w:hAnsi="SimSun" w:eastAsia="SimSun" w:cs="SimSun"/>
          <w:sz w:val="24"/>
          <w:szCs w:val="24"/>
          <w:spacing w:val="-2"/>
        </w:rPr>
        <w:t>事故情况和已采取的措施，配合协助应急指挥。企业的应急抢险队全力配合政府应急队</w:t>
      </w:r>
      <w:r>
        <w:rPr>
          <w:rFonts w:ascii="SimSun" w:hAnsi="SimSun" w:eastAsia="SimSun" w:cs="SimSun"/>
          <w:sz w:val="24"/>
          <w:szCs w:val="24"/>
          <w:spacing w:val="-2"/>
        </w:rPr>
        <w:t>伍的工作。</w:t>
      </w:r>
    </w:p>
    <w:p>
      <w:pPr>
        <w:ind w:left="8" w:right="85" w:firstLine="480"/>
        <w:spacing w:before="2" w:line="338" w:lineRule="auto"/>
        <w:rPr>
          <w:rFonts w:ascii="SimSun" w:hAnsi="SimSun" w:eastAsia="SimSun" w:cs="SimSun"/>
          <w:sz w:val="24"/>
          <w:szCs w:val="24"/>
        </w:rPr>
      </w:pPr>
      <w:r>
        <w:rPr>
          <w:rFonts w:ascii="SimSun" w:hAnsi="SimSun" w:eastAsia="SimSun" w:cs="SimSun"/>
          <w:sz w:val="24"/>
          <w:szCs w:val="24"/>
          <w:spacing w:val="-2"/>
        </w:rPr>
        <w:t>根据事态发展，一旦事故超出本级应急处置能力时，应及时请求上一级应急救援指</w:t>
      </w:r>
      <w:r>
        <w:rPr>
          <w:rFonts w:ascii="SimSun" w:hAnsi="SimSun" w:eastAsia="SimSun" w:cs="SimSun"/>
          <w:sz w:val="24"/>
          <w:szCs w:val="24"/>
          <w:spacing w:val="-1"/>
        </w:rPr>
        <w:t>挥机构启动更高一级应急预案。</w:t>
      </w:r>
    </w:p>
    <w:p>
      <w:pPr>
        <w:ind w:left="487"/>
        <w:spacing w:line="217" w:lineRule="auto"/>
        <w:rPr>
          <w:rFonts w:ascii="SimSun" w:hAnsi="SimSun" w:eastAsia="SimSun" w:cs="SimSun"/>
          <w:sz w:val="24"/>
          <w:szCs w:val="24"/>
        </w:rPr>
      </w:pPr>
      <w:r>
        <w:rPr>
          <w:rFonts w:ascii="SimSun" w:hAnsi="SimSun" w:eastAsia="SimSun" w:cs="SimSun"/>
          <w:sz w:val="24"/>
          <w:szCs w:val="24"/>
          <w:spacing w:val="-2"/>
        </w:rPr>
        <w:t>③应急处置</w:t>
      </w:r>
    </w:p>
    <w:p>
      <w:pPr>
        <w:ind w:left="11" w:right="85" w:firstLine="477"/>
        <w:spacing w:before="157" w:line="340" w:lineRule="auto"/>
        <w:rPr>
          <w:rFonts w:ascii="SimSun" w:hAnsi="SimSun" w:eastAsia="SimSun" w:cs="SimSun"/>
          <w:sz w:val="24"/>
          <w:szCs w:val="24"/>
        </w:rPr>
      </w:pPr>
      <w:r>
        <w:rPr>
          <w:rFonts w:ascii="SimSun" w:hAnsi="SimSun" w:eastAsia="SimSun" w:cs="SimSun"/>
          <w:sz w:val="24"/>
          <w:szCs w:val="24"/>
          <w:spacing w:val="-2"/>
        </w:rPr>
        <w:t>对主要可能发生的环境风险事故，在做响应救援方案的同时还需要进行环境监测方</w:t>
      </w:r>
      <w:r>
        <w:rPr>
          <w:rFonts w:ascii="SimSun" w:hAnsi="SimSun" w:eastAsia="SimSun" w:cs="SimSun"/>
          <w:sz w:val="24"/>
          <w:szCs w:val="24"/>
          <w:spacing w:val="-2"/>
        </w:rPr>
        <w:t>案的编制。当环境风险事故发生时，通过监测结果，综合分析突发环境事件污染变化趋</w:t>
      </w:r>
    </w:p>
    <w:p>
      <w:pPr>
        <w:spacing w:line="340" w:lineRule="auto"/>
        <w:sectPr>
          <w:headerReference w:type="default" r:id="rId479"/>
          <w:footerReference w:type="default" r:id="rId480"/>
          <w:pgSz w:w="11906" w:h="16838"/>
          <w:pgMar w:top="1114" w:right="1332" w:bottom="1080" w:left="1416" w:header="837" w:footer="918" w:gutter="0"/>
        </w:sectPr>
        <w:rPr>
          <w:rFonts w:ascii="SimSun" w:hAnsi="SimSun" w:eastAsia="SimSun" w:cs="SimSun"/>
          <w:sz w:val="24"/>
          <w:szCs w:val="24"/>
        </w:rPr>
      </w:pPr>
    </w:p>
    <w:p>
      <w:pPr>
        <w:pStyle w:val="BodyText"/>
        <w:spacing w:line="367" w:lineRule="auto"/>
        <w:rPr/>
      </w:pPr>
      <w:r/>
    </w:p>
    <w:p>
      <w:pPr>
        <w:ind w:left="10" w:right="85" w:firstLine="4"/>
        <w:spacing w:before="78" w:line="339" w:lineRule="auto"/>
        <w:rPr>
          <w:rFonts w:ascii="SimSun" w:hAnsi="SimSun" w:eastAsia="SimSun" w:cs="SimSun"/>
          <w:sz w:val="24"/>
          <w:szCs w:val="24"/>
        </w:rPr>
      </w:pPr>
      <w:r>
        <w:rPr>
          <w:rFonts w:ascii="SimSun" w:hAnsi="SimSun" w:eastAsia="SimSun" w:cs="SimSun"/>
          <w:sz w:val="24"/>
          <w:szCs w:val="24"/>
          <w:spacing w:val="-2"/>
        </w:rPr>
        <w:t>势，并通过专家咨询和论证的方式，预测并报告突发环境事件的发展情况和污染物的变</w:t>
      </w:r>
      <w:r>
        <w:rPr>
          <w:rFonts w:ascii="SimSun" w:hAnsi="SimSun" w:eastAsia="SimSun" w:cs="SimSun"/>
          <w:sz w:val="24"/>
          <w:szCs w:val="24"/>
          <w:spacing w:val="-1"/>
        </w:rPr>
        <w:t>化情况，作为突发的环境时间应急决策的依据。</w:t>
      </w:r>
    </w:p>
    <w:p>
      <w:pPr>
        <w:ind w:left="491"/>
        <w:spacing w:line="219" w:lineRule="auto"/>
        <w:rPr>
          <w:rFonts w:ascii="SimSun" w:hAnsi="SimSun" w:eastAsia="SimSun" w:cs="SimSun"/>
          <w:sz w:val="24"/>
          <w:szCs w:val="24"/>
        </w:rPr>
      </w:pPr>
      <w:r>
        <w:rPr>
          <w:rFonts w:ascii="SimSun" w:hAnsi="SimSun" w:eastAsia="SimSun" w:cs="SimSun"/>
          <w:sz w:val="24"/>
          <w:szCs w:val="24"/>
          <w:spacing w:val="-2"/>
        </w:rPr>
        <w:t>人员隔离、疏散措施：</w:t>
      </w:r>
    </w:p>
    <w:p>
      <w:pPr>
        <w:ind w:left="8" w:right="85" w:firstLine="484"/>
        <w:spacing w:before="155" w:line="338" w:lineRule="auto"/>
        <w:rPr>
          <w:rFonts w:ascii="SimSun" w:hAnsi="SimSun" w:eastAsia="SimSun" w:cs="SimSun"/>
          <w:sz w:val="24"/>
          <w:szCs w:val="24"/>
        </w:rPr>
      </w:pPr>
      <w:r>
        <w:rPr>
          <w:rFonts w:ascii="SimSun" w:hAnsi="SimSun" w:eastAsia="SimSun" w:cs="SimSun"/>
          <w:sz w:val="24"/>
          <w:szCs w:val="24"/>
          <w:spacing w:val="-2"/>
        </w:rPr>
        <w:t>如果发生了与燃烧有关的环境事件，需要人员及时撤离现场，应急领导小组就要迅</w:t>
      </w:r>
      <w:r>
        <w:rPr>
          <w:rFonts w:ascii="SimSun" w:hAnsi="SimSun" w:eastAsia="SimSun" w:cs="SimSun"/>
          <w:sz w:val="24"/>
          <w:szCs w:val="24"/>
          <w:spacing w:val="-2"/>
        </w:rPr>
        <w:t>速制定撤离路线。设定撤离路线的原则一般是沿着上风向或侧风向撤离到危险涉及范围</w:t>
      </w:r>
      <w:r>
        <w:rPr>
          <w:rFonts w:ascii="SimSun" w:hAnsi="SimSun" w:eastAsia="SimSun" w:cs="SimSun"/>
          <w:sz w:val="24"/>
          <w:szCs w:val="24"/>
          <w:spacing w:val="-3"/>
        </w:rPr>
        <w:t>之外。</w:t>
      </w:r>
    </w:p>
    <w:p>
      <w:pPr>
        <w:ind w:left="494"/>
        <w:spacing w:line="219" w:lineRule="auto"/>
        <w:rPr>
          <w:rFonts w:ascii="SimSun" w:hAnsi="SimSun" w:eastAsia="SimSun" w:cs="SimSun"/>
          <w:sz w:val="24"/>
          <w:szCs w:val="24"/>
        </w:rPr>
      </w:pPr>
      <w:r>
        <w:rPr>
          <w:rFonts w:ascii="SimSun" w:hAnsi="SimSun" w:eastAsia="SimSun" w:cs="SimSun"/>
          <w:sz w:val="24"/>
          <w:szCs w:val="24"/>
          <w:spacing w:val="-2"/>
        </w:rPr>
        <w:t>受伤人员救治方案：</w:t>
      </w:r>
    </w:p>
    <w:p>
      <w:pPr>
        <w:ind w:left="10" w:right="85" w:firstLine="479"/>
        <w:spacing w:before="157" w:line="338" w:lineRule="auto"/>
        <w:rPr>
          <w:rFonts w:ascii="SimSun" w:hAnsi="SimSun" w:eastAsia="SimSun" w:cs="SimSun"/>
          <w:sz w:val="24"/>
          <w:szCs w:val="24"/>
        </w:rPr>
      </w:pPr>
      <w:r>
        <w:rPr>
          <w:rFonts w:ascii="SimSun" w:hAnsi="SimSun" w:eastAsia="SimSun" w:cs="SimSun"/>
          <w:sz w:val="24"/>
          <w:szCs w:val="24"/>
          <w:spacing w:val="-2"/>
        </w:rPr>
        <w:t>根据突发环境事件的级别，受伤人员的伤害程度以及附近疾病控制与医疗救治机构</w:t>
      </w:r>
      <w:r>
        <w:rPr>
          <w:rFonts w:ascii="SimSun" w:hAnsi="SimSun" w:eastAsia="SimSun" w:cs="SimSun"/>
          <w:sz w:val="24"/>
          <w:szCs w:val="24"/>
          <w:spacing w:val="-2"/>
        </w:rPr>
        <w:t>的设置和处理能力，该企业的应急救治方案具体如下：针对轻微的物理伤害、轻度化学</w:t>
      </w:r>
      <w:r>
        <w:rPr>
          <w:rFonts w:ascii="SimSun" w:hAnsi="SimSun" w:eastAsia="SimSun" w:cs="SimSun"/>
          <w:sz w:val="24"/>
          <w:szCs w:val="24"/>
          <w:spacing w:val="-2"/>
        </w:rPr>
        <w:t>灼伤以及轻微的中毒情况，在现场进行及时预处理后（物理伤害进行消毒止血；化学药</w:t>
      </w:r>
      <w:r>
        <w:rPr>
          <w:rFonts w:ascii="SimSun" w:hAnsi="SimSun" w:eastAsia="SimSun" w:cs="SimSun"/>
          <w:sz w:val="24"/>
          <w:szCs w:val="24"/>
          <w:spacing w:val="-2"/>
        </w:rPr>
        <w:t>品接触皮肤或进入眼内及时用清水冲洗；轻微的中毒要及时离开现场，接触新鲜空气，</w:t>
      </w:r>
      <w:r>
        <w:rPr>
          <w:rFonts w:ascii="SimSun" w:hAnsi="SimSun" w:eastAsia="SimSun" w:cs="SimSun"/>
          <w:sz w:val="24"/>
          <w:szCs w:val="24"/>
          <w:spacing w:val="-1"/>
        </w:rPr>
        <w:t>保持呼吸道通畅</w:t>
      </w:r>
      <w:r>
        <w:rPr>
          <w:rFonts w:ascii="SimSun" w:hAnsi="SimSun" w:eastAsia="SimSun" w:cs="SimSun"/>
          <w:sz w:val="24"/>
          <w:szCs w:val="24"/>
          <w:spacing w:val="5"/>
        </w:rPr>
        <w:t>），</w:t>
      </w:r>
      <w:r>
        <w:rPr>
          <w:rFonts w:ascii="SimSun" w:hAnsi="SimSun" w:eastAsia="SimSun" w:cs="SimSun"/>
          <w:sz w:val="24"/>
          <w:szCs w:val="24"/>
          <w:spacing w:val="-1"/>
        </w:rPr>
        <w:t>尽快送到附近医院做进一步的处理。</w:t>
      </w:r>
    </w:p>
    <w:p>
      <w:pPr>
        <w:ind w:left="7" w:right="85" w:firstLine="481"/>
        <w:spacing w:before="2" w:line="338" w:lineRule="auto"/>
        <w:rPr>
          <w:rFonts w:ascii="SimSun" w:hAnsi="SimSun" w:eastAsia="SimSun" w:cs="SimSun"/>
          <w:sz w:val="24"/>
          <w:szCs w:val="24"/>
        </w:rPr>
      </w:pPr>
      <w:r>
        <w:rPr>
          <w:rFonts w:ascii="SimSun" w:hAnsi="SimSun" w:eastAsia="SimSun" w:cs="SimSun"/>
          <w:sz w:val="24"/>
          <w:szCs w:val="24"/>
          <w:spacing w:val="-2"/>
        </w:rPr>
        <w:t>针对物理或化学伤害严重或中毒严重者，都要在临时处理的同时迅速送往附近医院</w:t>
      </w:r>
      <w:r>
        <w:rPr>
          <w:rFonts w:ascii="SimSun" w:hAnsi="SimSun" w:eastAsia="SimSun" w:cs="SimSun"/>
          <w:sz w:val="24"/>
          <w:szCs w:val="24"/>
          <w:spacing w:val="-2"/>
        </w:rPr>
        <w:t>进行治疗。</w:t>
      </w:r>
    </w:p>
    <w:p>
      <w:pPr>
        <w:ind w:left="487"/>
        <w:spacing w:before="1" w:line="217" w:lineRule="auto"/>
        <w:rPr>
          <w:rFonts w:ascii="SimSun" w:hAnsi="SimSun" w:eastAsia="SimSun" w:cs="SimSun"/>
          <w:sz w:val="24"/>
          <w:szCs w:val="24"/>
        </w:rPr>
      </w:pPr>
      <w:r>
        <w:rPr>
          <w:rFonts w:ascii="SimSun" w:hAnsi="SimSun" w:eastAsia="SimSun" w:cs="SimSun"/>
          <w:sz w:val="24"/>
          <w:szCs w:val="24"/>
          <w:spacing w:val="-2"/>
        </w:rPr>
        <w:t>④应急终止</w:t>
      </w:r>
    </w:p>
    <w:p>
      <w:pPr>
        <w:ind w:left="504"/>
        <w:spacing w:before="157" w:line="219" w:lineRule="auto"/>
        <w:rPr>
          <w:rFonts w:ascii="SimSun" w:hAnsi="SimSun" w:eastAsia="SimSun" w:cs="SimSun"/>
          <w:sz w:val="24"/>
          <w:szCs w:val="24"/>
        </w:rPr>
      </w:pPr>
      <w:r>
        <w:rPr>
          <w:rFonts w:ascii="SimSun" w:hAnsi="SimSun" w:eastAsia="SimSun" w:cs="SimSun"/>
          <w:sz w:val="24"/>
          <w:szCs w:val="24"/>
          <w:spacing w:val="-2"/>
        </w:rPr>
        <w:t>当完全符合下列条件时，即满足应急终止条件：</w:t>
      </w:r>
    </w:p>
    <w:p>
      <w:pPr>
        <w:ind w:left="481"/>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2"/>
        </w:rPr>
        <w:t>A</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2"/>
        </w:rPr>
        <w:t>、事件现场得到控制，事件条件消除时；</w:t>
      </w:r>
    </w:p>
    <w:p>
      <w:pPr>
        <w:ind w:left="484"/>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2"/>
        </w:rPr>
        <w:t>B</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2"/>
        </w:rPr>
        <w:t>、污染源的泄漏或释放已降至规定限值以内时；</w:t>
      </w:r>
    </w:p>
    <w:p>
      <w:pPr>
        <w:ind w:left="488"/>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2"/>
        </w:rPr>
        <w:t>C</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2"/>
        </w:rPr>
        <w:t>、事件所造成的危害已经被消除，无继发可能时；</w:t>
      </w:r>
    </w:p>
    <w:p>
      <w:pPr>
        <w:ind w:left="484"/>
        <w:spacing w:before="157" w:line="219" w:lineRule="auto"/>
        <w:rPr>
          <w:rFonts w:ascii="SimSun" w:hAnsi="SimSun" w:eastAsia="SimSun" w:cs="SimSun"/>
          <w:sz w:val="24"/>
          <w:szCs w:val="24"/>
        </w:rPr>
      </w:pP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2"/>
        </w:rPr>
        <w:t>、事件现场的各种专业应急处置行动已无继续的必要；</w:t>
      </w:r>
    </w:p>
    <w:p>
      <w:pPr>
        <w:ind w:left="9" w:right="94" w:firstLine="475"/>
        <w:spacing w:before="153" w:line="279" w:lineRule="auto"/>
        <w:rPr>
          <w:rFonts w:ascii="SimSun" w:hAnsi="SimSun" w:eastAsia="SimSun" w:cs="SimSun"/>
          <w:sz w:val="24"/>
          <w:szCs w:val="24"/>
        </w:rPr>
      </w:pPr>
      <w:r>
        <w:rPr>
          <w:rFonts w:ascii="Times New Roman" w:hAnsi="Times New Roman" w:eastAsia="Times New Roman" w:cs="Times New Roman"/>
          <w:sz w:val="24"/>
          <w:szCs w:val="24"/>
        </w:rPr>
        <w:t>E</w:t>
      </w:r>
      <w:r>
        <w:rPr>
          <w:rFonts w:ascii="Times New Roman" w:hAnsi="Times New Roman" w:eastAsia="Times New Roman" w:cs="Times New Roman"/>
          <w:sz w:val="24"/>
          <w:szCs w:val="24"/>
          <w:spacing w:val="-31"/>
        </w:rPr>
        <w:t xml:space="preserve"> </w:t>
      </w:r>
      <w:r>
        <w:rPr>
          <w:rFonts w:ascii="SimSun" w:hAnsi="SimSun" w:eastAsia="SimSun" w:cs="SimSun"/>
          <w:sz w:val="24"/>
          <w:szCs w:val="24"/>
        </w:rPr>
        <w:t>、采取了必要的防护措施以保护公众免受再次危害，并使事件可能引起的中长期</w:t>
      </w:r>
      <w:r>
        <w:rPr>
          <w:rFonts w:ascii="SimSun" w:hAnsi="SimSun" w:eastAsia="SimSun" w:cs="SimSun"/>
          <w:sz w:val="24"/>
          <w:szCs w:val="24"/>
          <w:spacing w:val="-1"/>
        </w:rPr>
        <w:t>影响趋于合理且尽量低的水平。</w:t>
      </w:r>
    </w:p>
    <w:p>
      <w:pPr>
        <w:ind w:left="9" w:right="92" w:firstLine="476"/>
        <w:spacing w:before="156" w:line="338" w:lineRule="auto"/>
        <w:rPr>
          <w:rFonts w:ascii="SimSun" w:hAnsi="SimSun" w:eastAsia="SimSun" w:cs="SimSun"/>
          <w:sz w:val="24"/>
          <w:szCs w:val="24"/>
        </w:rPr>
      </w:pPr>
      <w:r>
        <w:rPr>
          <w:rFonts w:ascii="Times New Roman" w:hAnsi="Times New Roman" w:eastAsia="Times New Roman" w:cs="Times New Roman"/>
          <w:sz w:val="24"/>
          <w:szCs w:val="24"/>
          <w:spacing w:val="1"/>
        </w:rPr>
        <w:t>Ⅱ</w:t>
      </w:r>
      <w:r>
        <w:rPr>
          <w:rFonts w:ascii="SimSun" w:hAnsi="SimSun" w:eastAsia="SimSun" w:cs="SimSun"/>
          <w:sz w:val="24"/>
          <w:szCs w:val="24"/>
          <w:spacing w:val="1"/>
        </w:rPr>
        <w:t>级应急响应由现场应急总指挥确认终止时机；现</w:t>
      </w:r>
      <w:r>
        <w:rPr>
          <w:rFonts w:ascii="SimSun" w:hAnsi="SimSun" w:eastAsia="SimSun" w:cs="SimSun"/>
          <w:sz w:val="24"/>
          <w:szCs w:val="24"/>
        </w:rPr>
        <w:t>场应急总指挥向各应急小组下达</w:t>
      </w:r>
      <w:r>
        <w:rPr>
          <w:rFonts w:ascii="SimSun" w:hAnsi="SimSun" w:eastAsia="SimSun" w:cs="SimSun"/>
          <w:sz w:val="24"/>
          <w:szCs w:val="24"/>
        </w:rPr>
        <w:t>应急终止命令；应急状态终止后，应急指挥中心总指挥负责</w:t>
      </w:r>
      <w:r>
        <w:rPr>
          <w:rFonts w:ascii="SimSun" w:hAnsi="SimSun" w:eastAsia="SimSun" w:cs="SimSun"/>
          <w:sz w:val="24"/>
          <w:szCs w:val="24"/>
          <w:spacing w:val="-1"/>
        </w:rPr>
        <w:t>继续指导后期处置工作。</w:t>
      </w:r>
    </w:p>
    <w:p>
      <w:pPr>
        <w:ind w:left="15" w:right="92" w:firstLine="470"/>
        <w:spacing w:before="2" w:line="338" w:lineRule="auto"/>
        <w:rPr>
          <w:rFonts w:ascii="SimSun" w:hAnsi="SimSun" w:eastAsia="SimSun" w:cs="SimSun"/>
          <w:sz w:val="24"/>
          <w:szCs w:val="24"/>
        </w:rPr>
      </w:pPr>
      <w:r>
        <w:rPr>
          <w:rFonts w:ascii="Times New Roman" w:hAnsi="Times New Roman" w:eastAsia="Times New Roman" w:cs="Times New Roman"/>
          <w:sz w:val="24"/>
          <w:szCs w:val="24"/>
          <w:spacing w:val="3"/>
        </w:rPr>
        <w:t>Ⅰ</w:t>
      </w:r>
      <w:r>
        <w:rPr>
          <w:rFonts w:ascii="SimSun" w:hAnsi="SimSun" w:eastAsia="SimSun" w:cs="SimSun"/>
          <w:sz w:val="24"/>
          <w:szCs w:val="24"/>
          <w:spacing w:val="3"/>
        </w:rPr>
        <w:t>级应急响应由旗生态环境局决定应急是否终止。响应终</w:t>
      </w:r>
      <w:r>
        <w:rPr>
          <w:rFonts w:ascii="SimSun" w:hAnsi="SimSun" w:eastAsia="SimSun" w:cs="SimSun"/>
          <w:sz w:val="24"/>
          <w:szCs w:val="24"/>
          <w:spacing w:val="2"/>
        </w:rPr>
        <w:t>止后指挥部下令解除响应</w:t>
      </w:r>
      <w:r>
        <w:rPr>
          <w:rFonts w:ascii="SimSun" w:hAnsi="SimSun" w:eastAsia="SimSun" w:cs="SimSun"/>
          <w:sz w:val="24"/>
          <w:szCs w:val="24"/>
          <w:spacing w:val="-1"/>
        </w:rPr>
        <w:t>并由应急响应办公室通知周边相关单位及居民应急响应已终止。</w:t>
      </w:r>
    </w:p>
    <w:p>
      <w:pPr>
        <w:ind w:left="487"/>
        <w:spacing w:line="217" w:lineRule="auto"/>
        <w:rPr>
          <w:rFonts w:ascii="SimSun" w:hAnsi="SimSun" w:eastAsia="SimSun" w:cs="SimSun"/>
          <w:sz w:val="24"/>
          <w:szCs w:val="24"/>
        </w:rPr>
      </w:pPr>
      <w:r>
        <w:rPr>
          <w:rFonts w:ascii="SimSun" w:hAnsi="SimSun" w:eastAsia="SimSun" w:cs="SimSun"/>
          <w:sz w:val="24"/>
          <w:szCs w:val="24"/>
          <w:spacing w:val="-2"/>
        </w:rPr>
        <w:t>⑤后期处置</w:t>
      </w:r>
    </w:p>
    <w:p>
      <w:pPr>
        <w:ind w:left="10" w:firstLine="479"/>
        <w:spacing w:before="156" w:line="339" w:lineRule="auto"/>
        <w:rPr>
          <w:rFonts w:ascii="SimSun" w:hAnsi="SimSun" w:eastAsia="SimSun" w:cs="SimSun"/>
          <w:sz w:val="24"/>
          <w:szCs w:val="24"/>
        </w:rPr>
      </w:pPr>
      <w:r>
        <w:rPr>
          <w:rFonts w:ascii="SimSun" w:hAnsi="SimSun" w:eastAsia="SimSun" w:cs="SimSun"/>
          <w:sz w:val="24"/>
          <w:szCs w:val="24"/>
          <w:spacing w:val="-2"/>
        </w:rPr>
        <w:t>应急终止后，各应急小组成员根据小组职责，对现场进行保护、清洁净化等后期工</w:t>
      </w:r>
      <w:r>
        <w:rPr>
          <w:rFonts w:ascii="SimSun" w:hAnsi="SimSun" w:eastAsia="SimSun" w:cs="SimSun"/>
          <w:sz w:val="24"/>
          <w:szCs w:val="24"/>
          <w:spacing w:val="-3"/>
        </w:rPr>
        <w:t>作，以便公司恢复正常的生产秩序。公司组织内</w:t>
      </w:r>
      <w:r>
        <w:rPr>
          <w:rFonts w:ascii="SimSun" w:hAnsi="SimSun" w:eastAsia="SimSun" w:cs="SimSun"/>
          <w:sz w:val="24"/>
          <w:szCs w:val="24"/>
          <w:spacing w:val="-4"/>
        </w:rPr>
        <w:t>部专家在调查结束后对突发环境事件 (</w:t>
      </w:r>
      <w:r>
        <w:rPr>
          <w:rFonts w:ascii="Times New Roman" w:hAnsi="Times New Roman" w:eastAsia="Times New Roman" w:cs="Times New Roman"/>
          <w:sz w:val="24"/>
          <w:szCs w:val="24"/>
          <w:spacing w:val="-4"/>
        </w:rPr>
        <w:t>Ⅰ</w:t>
      </w:r>
      <w:r>
        <w:rPr>
          <w:rFonts w:ascii="SimSun" w:hAnsi="SimSun" w:eastAsia="SimSun" w:cs="SimSun"/>
          <w:sz w:val="24"/>
          <w:szCs w:val="24"/>
          <w:spacing w:val="-3"/>
        </w:rPr>
        <w:t>级、</w:t>
      </w:r>
      <w:r>
        <w:rPr>
          <w:rFonts w:ascii="Times New Roman" w:hAnsi="Times New Roman" w:eastAsia="Times New Roman" w:cs="Times New Roman"/>
          <w:sz w:val="24"/>
          <w:szCs w:val="24"/>
          <w:spacing w:val="-3"/>
        </w:rPr>
        <w:t>Ⅱ</w:t>
      </w:r>
      <w:r>
        <w:rPr>
          <w:rFonts w:ascii="SimSun" w:hAnsi="SimSun" w:eastAsia="SimSun" w:cs="SimSun"/>
          <w:sz w:val="24"/>
          <w:szCs w:val="24"/>
          <w:spacing w:val="-3"/>
        </w:rPr>
        <w:t>级）做出评估，编制应急总结报告，提出修订应急预</w:t>
      </w:r>
      <w:r>
        <w:rPr>
          <w:rFonts w:ascii="SimSun" w:hAnsi="SimSun" w:eastAsia="SimSun" w:cs="SimSun"/>
          <w:sz w:val="24"/>
          <w:szCs w:val="24"/>
          <w:spacing w:val="-4"/>
        </w:rPr>
        <w:t>案的建议，通过分析、总结、</w:t>
      </w:r>
      <w:r>
        <w:rPr>
          <w:rFonts w:ascii="SimSun" w:hAnsi="SimSun" w:eastAsia="SimSun" w:cs="SimSun"/>
          <w:sz w:val="24"/>
          <w:szCs w:val="24"/>
          <w:spacing w:val="-1"/>
        </w:rPr>
        <w:t>完善应急预案的相关内容。</w:t>
      </w:r>
    </w:p>
    <w:p>
      <w:pPr>
        <w:ind w:left="487"/>
        <w:spacing w:line="217" w:lineRule="auto"/>
        <w:rPr>
          <w:rFonts w:ascii="SimSun" w:hAnsi="SimSun" w:eastAsia="SimSun" w:cs="SimSun"/>
          <w:sz w:val="24"/>
          <w:szCs w:val="24"/>
        </w:rPr>
      </w:pPr>
      <w:r>
        <w:rPr>
          <w:rFonts w:ascii="SimSun" w:hAnsi="SimSun" w:eastAsia="SimSun" w:cs="SimSun"/>
          <w:sz w:val="24"/>
          <w:szCs w:val="24"/>
          <w:spacing w:val="-2"/>
        </w:rPr>
        <w:t>⑥应急保障</w:t>
      </w:r>
    </w:p>
    <w:p>
      <w:pPr>
        <w:spacing w:line="217" w:lineRule="auto"/>
        <w:sectPr>
          <w:footerReference w:type="default" r:id="rId481"/>
          <w:pgSz w:w="11906" w:h="16838"/>
          <w:pgMar w:top="1114" w:right="1332" w:bottom="1080" w:left="1416" w:header="837" w:footer="918" w:gutter="0"/>
        </w:sectPr>
        <w:rPr>
          <w:rFonts w:ascii="SimSun" w:hAnsi="SimSun" w:eastAsia="SimSun" w:cs="SimSun"/>
          <w:sz w:val="24"/>
          <w:szCs w:val="24"/>
        </w:rPr>
      </w:pPr>
    </w:p>
    <w:p>
      <w:pPr>
        <w:pStyle w:val="BodyText"/>
        <w:spacing w:line="367" w:lineRule="auto"/>
        <w:rPr/>
      </w:pPr>
      <w:r/>
    </w:p>
    <w:p>
      <w:pPr>
        <w:ind w:left="27" w:firstLine="503"/>
        <w:spacing w:before="78" w:line="339" w:lineRule="auto"/>
        <w:rPr>
          <w:rFonts w:ascii="SimSun" w:hAnsi="SimSun" w:eastAsia="SimSun" w:cs="SimSun"/>
          <w:sz w:val="24"/>
          <w:szCs w:val="24"/>
        </w:rPr>
      </w:pPr>
      <w:r>
        <w:rPr>
          <w:rFonts w:ascii="SimSun" w:hAnsi="SimSun" w:eastAsia="SimSun" w:cs="SimSun"/>
          <w:sz w:val="24"/>
          <w:szCs w:val="24"/>
          <w:spacing w:val="-2"/>
        </w:rPr>
        <w:t>白音华四号露天矿制定了各项保障措施，如人力资源保障、资金</w:t>
      </w:r>
      <w:r>
        <w:rPr>
          <w:rFonts w:ascii="SimSun" w:hAnsi="SimSun" w:eastAsia="SimSun" w:cs="SimSun"/>
          <w:sz w:val="24"/>
          <w:szCs w:val="24"/>
          <w:spacing w:val="-3"/>
        </w:rPr>
        <w:t>保障、物资保障、</w:t>
      </w:r>
      <w:r>
        <w:rPr>
          <w:rFonts w:ascii="SimSun" w:hAnsi="SimSun" w:eastAsia="SimSun" w:cs="SimSun"/>
          <w:sz w:val="24"/>
          <w:szCs w:val="24"/>
          <w:spacing w:val="-1"/>
        </w:rPr>
        <w:t>医疗卫生保障、交通运输保障、通信与信息</w:t>
      </w:r>
      <w:r>
        <w:rPr>
          <w:rFonts w:ascii="SimSun" w:hAnsi="SimSun" w:eastAsia="SimSun" w:cs="SimSun"/>
          <w:sz w:val="24"/>
          <w:szCs w:val="24"/>
          <w:spacing w:val="-2"/>
        </w:rPr>
        <w:t>保障、科学技术保障及其他相关保障措施。</w:t>
      </w:r>
    </w:p>
    <w:p>
      <w:pPr>
        <w:ind w:left="494"/>
        <w:spacing w:line="217" w:lineRule="auto"/>
        <w:rPr>
          <w:rFonts w:ascii="SimSun" w:hAnsi="SimSun" w:eastAsia="SimSun" w:cs="SimSun"/>
          <w:sz w:val="24"/>
          <w:szCs w:val="24"/>
        </w:rPr>
      </w:pPr>
      <w:r>
        <w:rPr>
          <w:rFonts w:ascii="SimSun" w:hAnsi="SimSun" w:eastAsia="SimSun" w:cs="SimSun"/>
          <w:sz w:val="24"/>
          <w:szCs w:val="24"/>
          <w:spacing w:val="-2"/>
        </w:rPr>
        <w:t>⑦监督管理</w:t>
      </w:r>
    </w:p>
    <w:p>
      <w:pPr>
        <w:ind w:left="17" w:firstLine="482"/>
        <w:spacing w:before="155" w:line="339" w:lineRule="auto"/>
        <w:rPr>
          <w:rFonts w:ascii="SimSun" w:hAnsi="SimSun" w:eastAsia="SimSun" w:cs="SimSun"/>
          <w:sz w:val="24"/>
          <w:szCs w:val="24"/>
        </w:rPr>
      </w:pPr>
      <w:r>
        <w:rPr>
          <w:rFonts w:ascii="SimSun" w:hAnsi="SimSun" w:eastAsia="SimSun" w:cs="SimSun"/>
          <w:sz w:val="24"/>
          <w:szCs w:val="24"/>
          <w:spacing w:val="-1"/>
        </w:rPr>
        <w:t>首先，为保证公司应急指挥中心和各应急小组在发</w:t>
      </w:r>
      <w:r>
        <w:rPr>
          <w:rFonts w:ascii="SimSun" w:hAnsi="SimSun" w:eastAsia="SimSun" w:cs="SimSun"/>
          <w:sz w:val="24"/>
          <w:szCs w:val="24"/>
          <w:spacing w:val="-2"/>
        </w:rPr>
        <w:t>生环境事件时，能够正确指挥、</w:t>
      </w:r>
      <w:r>
        <w:rPr>
          <w:rFonts w:ascii="SimSun" w:hAnsi="SimSun" w:eastAsia="SimSun" w:cs="SimSun"/>
          <w:sz w:val="24"/>
          <w:szCs w:val="24"/>
          <w:spacing w:val="-2"/>
        </w:rPr>
        <w:t>有序进行救援，公司每年至少组织一次相关内容的演练和培训。以提高各小组应急技术</w:t>
      </w:r>
      <w:r>
        <w:rPr>
          <w:rFonts w:ascii="SimSun" w:hAnsi="SimSun" w:eastAsia="SimSun" w:cs="SimSun"/>
          <w:sz w:val="24"/>
          <w:szCs w:val="24"/>
          <w:spacing w:val="-2"/>
        </w:rPr>
        <w:t>的水平，掌握危险目标的抢险技术，重点岗位和专项应急措施的实施。突发环境事件应</w:t>
      </w:r>
      <w:r>
        <w:rPr>
          <w:rFonts w:ascii="SimSun" w:hAnsi="SimSun" w:eastAsia="SimSun" w:cs="SimSun"/>
          <w:sz w:val="24"/>
          <w:szCs w:val="24"/>
          <w:spacing w:val="-1"/>
        </w:rPr>
        <w:t>急预案演练中，公司应急演练每年至少一次。</w:t>
      </w:r>
    </w:p>
    <w:p>
      <w:pPr>
        <w:ind w:left="19" w:right="13" w:firstLine="478"/>
        <w:spacing w:before="1" w:line="338" w:lineRule="auto"/>
        <w:jc w:val="both"/>
        <w:rPr>
          <w:rFonts w:ascii="SimSun" w:hAnsi="SimSun" w:eastAsia="SimSun" w:cs="SimSun"/>
          <w:sz w:val="24"/>
          <w:szCs w:val="24"/>
        </w:rPr>
      </w:pPr>
      <w:r>
        <w:rPr>
          <w:rFonts w:ascii="SimSun" w:hAnsi="SimSun" w:eastAsia="SimSun" w:cs="SimSun"/>
          <w:sz w:val="24"/>
          <w:szCs w:val="24"/>
          <w:spacing w:val="-2"/>
        </w:rPr>
        <w:t>其次，为确保快速、有序和有效的应急能力，所有公司应急指挥部成员和各应急小</w:t>
      </w:r>
      <w:r>
        <w:rPr>
          <w:rFonts w:ascii="SimSun" w:hAnsi="SimSun" w:eastAsia="SimSun" w:cs="SimSun"/>
          <w:sz w:val="24"/>
          <w:szCs w:val="24"/>
          <w:spacing w:val="-2"/>
        </w:rPr>
        <w:t>组成员应认真学习本预案内容，明确在救援现场所担负的责任，积极参与公司组织的培</w:t>
      </w:r>
      <w:r>
        <w:rPr>
          <w:rFonts w:ascii="SimSun" w:hAnsi="SimSun" w:eastAsia="SimSun" w:cs="SimSun"/>
          <w:sz w:val="24"/>
          <w:szCs w:val="24"/>
          <w:spacing w:val="-3"/>
        </w:rPr>
        <w:t>训和宣教。</w:t>
      </w:r>
    </w:p>
    <w:p>
      <w:pPr>
        <w:ind w:left="24" w:right="13" w:firstLine="495"/>
        <w:spacing w:before="1" w:line="339" w:lineRule="auto"/>
        <w:rPr>
          <w:rFonts w:ascii="SimSun" w:hAnsi="SimSun" w:eastAsia="SimSun" w:cs="SimSun"/>
          <w:sz w:val="24"/>
          <w:szCs w:val="24"/>
        </w:rPr>
      </w:pPr>
      <w:r>
        <w:rPr>
          <w:rFonts w:ascii="SimSun" w:hAnsi="SimSun" w:eastAsia="SimSun" w:cs="SimSun"/>
          <w:sz w:val="24"/>
          <w:szCs w:val="24"/>
          <w:spacing w:val="-2"/>
        </w:rPr>
        <w:t>同时，公司制定了突发环境事件的预防与应急行动过程中相</w:t>
      </w:r>
      <w:r>
        <w:rPr>
          <w:rFonts w:ascii="SimSun" w:hAnsi="SimSun" w:eastAsia="SimSun" w:cs="SimSun"/>
          <w:sz w:val="24"/>
          <w:szCs w:val="24"/>
          <w:spacing w:val="-3"/>
        </w:rPr>
        <w:t>关人员的奖励、处罚和</w:t>
      </w:r>
      <w:r>
        <w:rPr>
          <w:rFonts w:ascii="SimSun" w:hAnsi="SimSun" w:eastAsia="SimSun" w:cs="SimSun"/>
          <w:sz w:val="24"/>
          <w:szCs w:val="24"/>
          <w:spacing w:val="-2"/>
        </w:rPr>
        <w:t>责任追究的条件和内容。</w:t>
      </w:r>
    </w:p>
    <w:p>
      <w:pPr>
        <w:ind w:left="18"/>
        <w:spacing w:before="73" w:line="222" w:lineRule="auto"/>
        <w:outlineLvl w:val="1"/>
        <w:rPr>
          <w:rFonts w:ascii="SimHei" w:hAnsi="SimHei" w:eastAsia="SimHei" w:cs="SimHei"/>
          <w:sz w:val="30"/>
          <w:szCs w:val="30"/>
        </w:rPr>
      </w:pPr>
      <w:bookmarkStart w:name="bookmark45" w:id="78"/>
      <w:bookmarkEnd w:id="78"/>
      <w:r>
        <w:rPr>
          <w:rFonts w:ascii="Times New Roman" w:hAnsi="Times New Roman" w:eastAsia="Times New Roman" w:cs="Times New Roman"/>
          <w:sz w:val="30"/>
          <w:szCs w:val="30"/>
          <w:b/>
          <w:bCs/>
          <w:spacing w:val="-3"/>
        </w:rPr>
        <w:t>6.9 </w:t>
      </w:r>
      <w:r>
        <w:rPr>
          <w:rFonts w:ascii="SimHei" w:hAnsi="SimHei" w:eastAsia="SimHei" w:cs="SimHei"/>
          <w:sz w:val="30"/>
          <w:szCs w:val="30"/>
          <w:b/>
          <w:bCs/>
          <w:spacing w:val="-3"/>
        </w:rPr>
        <w:t>环境风险评价结论</w:t>
      </w:r>
    </w:p>
    <w:p>
      <w:pPr>
        <w:ind w:left="15" w:right="13" w:firstLine="481"/>
        <w:spacing w:before="163" w:line="339" w:lineRule="auto"/>
        <w:jc w:val="both"/>
        <w:rPr>
          <w:rFonts w:ascii="SimSun" w:hAnsi="SimSun" w:eastAsia="SimSun" w:cs="SimSun"/>
          <w:sz w:val="24"/>
          <w:szCs w:val="24"/>
        </w:rPr>
      </w:pPr>
      <w:r>
        <w:rPr>
          <w:rFonts w:ascii="SimSun" w:hAnsi="SimSun" w:eastAsia="SimSun" w:cs="SimSun"/>
          <w:sz w:val="24"/>
          <w:szCs w:val="24"/>
          <w:spacing w:val="-2"/>
        </w:rPr>
        <w:t>本项目风险源项主要为危废暂存间泄漏、加油站储油罐泄漏、污废水事故排放。所</w:t>
      </w:r>
      <w:r>
        <w:rPr>
          <w:rFonts w:ascii="SimSun" w:hAnsi="SimSun" w:eastAsia="SimSun" w:cs="SimSun"/>
          <w:sz w:val="24"/>
          <w:szCs w:val="24"/>
          <w:spacing w:val="-2"/>
        </w:rPr>
        <w:t>在区域主要环境敏感目标为土壤，本项目环境风险可防控已根据本项目可能影响的范围</w:t>
      </w:r>
      <w:r>
        <w:rPr>
          <w:rFonts w:ascii="SimSun" w:hAnsi="SimSun" w:eastAsia="SimSun" w:cs="SimSun"/>
          <w:sz w:val="24"/>
          <w:szCs w:val="24"/>
          <w:spacing w:val="-2"/>
        </w:rPr>
        <w:t>和程度逐项提出缓解环境风险的建议措施。基于本次环境风险评价内容，建设项目环境</w:t>
      </w:r>
      <w:r>
        <w:rPr>
          <w:rFonts w:ascii="SimSun" w:hAnsi="SimSun" w:eastAsia="SimSun" w:cs="SimSun"/>
          <w:sz w:val="24"/>
          <w:szCs w:val="24"/>
          <w:spacing w:val="-2"/>
        </w:rPr>
        <w:t>风险简单分析内容汇总见表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6-9-1</w:t>
      </w:r>
      <w:r>
        <w:rPr>
          <w:rFonts w:ascii="SimSun" w:hAnsi="SimSun" w:eastAsia="SimSun" w:cs="SimSun"/>
          <w:sz w:val="24"/>
          <w:szCs w:val="24"/>
          <w:spacing w:val="-2"/>
        </w:rPr>
        <w:t>。</w:t>
      </w:r>
    </w:p>
    <w:p>
      <w:pPr>
        <w:ind w:left="3028"/>
        <w:spacing w:before="124" w:line="222" w:lineRule="auto"/>
        <w:rPr>
          <w:rFonts w:ascii="SimHei" w:hAnsi="SimHei" w:eastAsia="SimHei" w:cs="SimHei"/>
          <w:sz w:val="24"/>
          <w:szCs w:val="24"/>
        </w:rPr>
      </w:pPr>
      <w:r>
        <w:rPr>
          <w:rFonts w:ascii="SimHei" w:hAnsi="SimHei" w:eastAsia="SimHei" w:cs="SimHei"/>
          <w:sz w:val="24"/>
          <w:szCs w:val="24"/>
          <w:b/>
          <w:bCs/>
          <w:spacing w:val="-3"/>
        </w:rPr>
        <w:t>建设项目环境风险简单分析内容表</w:t>
      </w:r>
    </w:p>
    <w:p>
      <w:pPr>
        <w:ind w:left="14"/>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6-9-1</w:t>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880"/>
        <w:gridCol w:w="955"/>
        <w:gridCol w:w="1386"/>
        <w:gridCol w:w="1880"/>
        <w:gridCol w:w="806"/>
        <w:gridCol w:w="2176"/>
      </w:tblGrid>
      <w:tr>
        <w:trPr>
          <w:trHeight w:val="513" w:hRule="atLeast"/>
        </w:trPr>
        <w:tc>
          <w:tcPr>
            <w:tcW w:w="1880" w:type="dxa"/>
            <w:vAlign w:val="top"/>
          </w:tcPr>
          <w:p>
            <w:pPr>
              <w:ind w:left="317"/>
              <w:spacing w:before="149" w:line="228" w:lineRule="auto"/>
              <w:rPr>
                <w:rFonts w:ascii="SimSun" w:hAnsi="SimSun" w:eastAsia="SimSun" w:cs="SimSun"/>
                <w:sz w:val="20"/>
                <w:szCs w:val="20"/>
              </w:rPr>
            </w:pPr>
            <w:r>
              <w:rPr>
                <w:rFonts w:ascii="SimSun" w:hAnsi="SimSun" w:eastAsia="SimSun" w:cs="SimSun"/>
                <w:sz w:val="20"/>
                <w:szCs w:val="20"/>
                <w:spacing w:val="7"/>
              </w:rPr>
              <w:t>建设项目名称</w:t>
            </w:r>
          </w:p>
        </w:tc>
        <w:tc>
          <w:tcPr>
            <w:tcW w:w="7203" w:type="dxa"/>
            <w:vAlign w:val="top"/>
            <w:gridSpan w:val="5"/>
          </w:tcPr>
          <w:p>
            <w:pPr>
              <w:ind w:left="2271"/>
              <w:spacing w:before="148" w:line="228" w:lineRule="auto"/>
              <w:rPr>
                <w:rFonts w:ascii="SimSun" w:hAnsi="SimSun" w:eastAsia="SimSun" w:cs="SimSun"/>
                <w:sz w:val="20"/>
                <w:szCs w:val="20"/>
              </w:rPr>
            </w:pPr>
            <w:r>
              <w:rPr>
                <w:rFonts w:ascii="SimSun" w:hAnsi="SimSun" w:eastAsia="SimSun" w:cs="SimSun"/>
                <w:sz w:val="20"/>
                <w:szCs w:val="20"/>
                <w:spacing w:val="6"/>
              </w:rPr>
              <w:t>白音华四号露天矿（露天区）</w:t>
            </w:r>
          </w:p>
        </w:tc>
      </w:tr>
      <w:tr>
        <w:trPr>
          <w:trHeight w:val="513" w:hRule="atLeast"/>
        </w:trPr>
        <w:tc>
          <w:tcPr>
            <w:tcW w:w="1880" w:type="dxa"/>
            <w:vAlign w:val="top"/>
          </w:tcPr>
          <w:p>
            <w:pPr>
              <w:ind w:left="528"/>
              <w:spacing w:before="147" w:line="229" w:lineRule="auto"/>
              <w:rPr>
                <w:rFonts w:ascii="SimSun" w:hAnsi="SimSun" w:eastAsia="SimSun" w:cs="SimSun"/>
                <w:sz w:val="20"/>
                <w:szCs w:val="20"/>
              </w:rPr>
            </w:pPr>
            <w:r>
              <w:rPr>
                <w:rFonts w:ascii="SimSun" w:hAnsi="SimSun" w:eastAsia="SimSun" w:cs="SimSun"/>
                <w:sz w:val="20"/>
                <w:szCs w:val="20"/>
                <w:spacing w:val="6"/>
              </w:rPr>
              <w:t>建设地点</w:t>
            </w:r>
          </w:p>
        </w:tc>
        <w:tc>
          <w:tcPr>
            <w:tcW w:w="2341" w:type="dxa"/>
            <w:vAlign w:val="top"/>
            <w:gridSpan w:val="2"/>
          </w:tcPr>
          <w:p>
            <w:pPr>
              <w:pStyle w:val="TableText"/>
              <w:ind w:left="475"/>
              <w:spacing w:before="147" w:line="221" w:lineRule="auto"/>
              <w:rPr>
                <w:rFonts w:ascii="SimSun" w:hAnsi="SimSun" w:eastAsia="SimSun" w:cs="SimSun"/>
              </w:rPr>
            </w:pPr>
            <w:r>
              <w:rPr>
                <w:spacing w:val="6"/>
              </w:rPr>
              <w:t>(</w:t>
            </w:r>
            <w:r>
              <w:rPr>
                <w:rFonts w:ascii="SimSun" w:hAnsi="SimSun" w:eastAsia="SimSun" w:cs="SimSun"/>
                <w:spacing w:val="6"/>
              </w:rPr>
              <w:t>内蒙古</w:t>
            </w:r>
            <w:r>
              <w:rPr>
                <w:spacing w:val="6"/>
              </w:rPr>
              <w:t>)</w:t>
            </w:r>
            <w:r>
              <w:rPr>
                <w:rFonts w:ascii="SimSun" w:hAnsi="SimSun" w:eastAsia="SimSun" w:cs="SimSun"/>
                <w:spacing w:val="6"/>
              </w:rPr>
              <w:t>自治区</w:t>
            </w:r>
          </w:p>
        </w:tc>
        <w:tc>
          <w:tcPr>
            <w:tcW w:w="1880" w:type="dxa"/>
            <w:vAlign w:val="top"/>
          </w:tcPr>
          <w:p>
            <w:pPr>
              <w:pStyle w:val="TableText"/>
              <w:ind w:left="349"/>
              <w:spacing w:before="147" w:line="221" w:lineRule="auto"/>
              <w:rPr>
                <w:rFonts w:ascii="SimSun" w:hAnsi="SimSun" w:eastAsia="SimSun" w:cs="SimSun"/>
              </w:rPr>
            </w:pPr>
            <w:r>
              <w:rPr>
                <w:spacing w:val="6"/>
              </w:rPr>
              <w:t>(</w:t>
            </w:r>
            <w:r>
              <w:rPr>
                <w:rFonts w:ascii="SimSun" w:hAnsi="SimSun" w:eastAsia="SimSun" w:cs="SimSun"/>
                <w:spacing w:val="6"/>
              </w:rPr>
              <w:t>锡林郭勒</w:t>
            </w:r>
            <w:r>
              <w:rPr>
                <w:spacing w:val="6"/>
              </w:rPr>
              <w:t>)</w:t>
            </w:r>
            <w:r>
              <w:rPr>
                <w:rFonts w:ascii="SimSun" w:hAnsi="SimSun" w:eastAsia="SimSun" w:cs="SimSun"/>
                <w:spacing w:val="6"/>
              </w:rPr>
              <w:t>盟</w:t>
            </w:r>
          </w:p>
        </w:tc>
        <w:tc>
          <w:tcPr>
            <w:tcW w:w="2982" w:type="dxa"/>
            <w:vAlign w:val="top"/>
            <w:gridSpan w:val="2"/>
          </w:tcPr>
          <w:p>
            <w:pPr>
              <w:pStyle w:val="TableText"/>
              <w:ind w:left="797"/>
              <w:spacing w:before="147" w:line="221" w:lineRule="auto"/>
              <w:rPr>
                <w:rFonts w:ascii="SimSun" w:hAnsi="SimSun" w:eastAsia="SimSun" w:cs="SimSun"/>
              </w:rPr>
            </w:pPr>
            <w:r>
              <w:rPr>
                <w:spacing w:val="6"/>
              </w:rPr>
              <w:t>(</w:t>
            </w:r>
            <w:r>
              <w:rPr>
                <w:rFonts w:ascii="SimSun" w:hAnsi="SimSun" w:eastAsia="SimSun" w:cs="SimSun"/>
                <w:spacing w:val="6"/>
              </w:rPr>
              <w:t>西乌珠穆沁</w:t>
            </w:r>
            <w:r>
              <w:rPr>
                <w:spacing w:val="6"/>
              </w:rPr>
              <w:t>)</w:t>
            </w:r>
            <w:r>
              <w:rPr>
                <w:rFonts w:ascii="SimSun" w:hAnsi="SimSun" w:eastAsia="SimSun" w:cs="SimSun"/>
                <w:spacing w:val="6"/>
              </w:rPr>
              <w:t>旗</w:t>
            </w:r>
          </w:p>
        </w:tc>
      </w:tr>
      <w:tr>
        <w:trPr>
          <w:trHeight w:val="503" w:hRule="atLeast"/>
        </w:trPr>
        <w:tc>
          <w:tcPr>
            <w:tcW w:w="1880" w:type="dxa"/>
            <w:vAlign w:val="top"/>
          </w:tcPr>
          <w:p>
            <w:pPr>
              <w:ind w:left="526"/>
              <w:spacing w:before="145" w:line="228" w:lineRule="auto"/>
              <w:rPr>
                <w:rFonts w:ascii="SimSun" w:hAnsi="SimSun" w:eastAsia="SimSun" w:cs="SimSun"/>
                <w:sz w:val="20"/>
                <w:szCs w:val="20"/>
              </w:rPr>
            </w:pPr>
            <w:r>
              <w:rPr>
                <w:rFonts w:ascii="SimSun" w:hAnsi="SimSun" w:eastAsia="SimSun" w:cs="SimSun"/>
                <w:sz w:val="20"/>
                <w:szCs w:val="20"/>
                <w:spacing w:val="7"/>
              </w:rPr>
              <w:t>地理坐标</w:t>
            </w:r>
          </w:p>
        </w:tc>
        <w:tc>
          <w:tcPr>
            <w:tcW w:w="955" w:type="dxa"/>
            <w:vAlign w:val="top"/>
          </w:tcPr>
          <w:p>
            <w:pPr>
              <w:ind w:left="272"/>
              <w:spacing w:before="145" w:line="228" w:lineRule="auto"/>
              <w:rPr>
                <w:rFonts w:ascii="SimSun" w:hAnsi="SimSun" w:eastAsia="SimSun" w:cs="SimSun"/>
                <w:sz w:val="20"/>
                <w:szCs w:val="20"/>
              </w:rPr>
            </w:pPr>
            <w:r>
              <w:rPr>
                <w:rFonts w:ascii="SimSun" w:hAnsi="SimSun" w:eastAsia="SimSun" w:cs="SimSun"/>
                <w:sz w:val="20"/>
                <w:szCs w:val="20"/>
                <w:spacing w:val="3"/>
              </w:rPr>
              <w:t>经度</w:t>
            </w:r>
          </w:p>
        </w:tc>
        <w:tc>
          <w:tcPr>
            <w:tcW w:w="3266" w:type="dxa"/>
            <w:vAlign w:val="top"/>
            <w:gridSpan w:val="2"/>
          </w:tcPr>
          <w:p>
            <w:pPr>
              <w:pStyle w:val="TableText"/>
              <w:ind w:left="1221"/>
              <w:spacing w:before="180" w:line="195" w:lineRule="auto"/>
              <w:rPr/>
            </w:pPr>
            <w:r>
              <w:rPr>
                <w:spacing w:val="1"/>
              </w:rPr>
              <w:t>118.6132°</w:t>
            </w:r>
          </w:p>
        </w:tc>
        <w:tc>
          <w:tcPr>
            <w:tcW w:w="806" w:type="dxa"/>
            <w:vAlign w:val="top"/>
          </w:tcPr>
          <w:p>
            <w:pPr>
              <w:ind w:left="202"/>
              <w:spacing w:before="145" w:line="228" w:lineRule="auto"/>
              <w:rPr>
                <w:rFonts w:ascii="SimSun" w:hAnsi="SimSun" w:eastAsia="SimSun" w:cs="SimSun"/>
                <w:sz w:val="20"/>
                <w:szCs w:val="20"/>
              </w:rPr>
            </w:pPr>
            <w:r>
              <w:rPr>
                <w:rFonts w:ascii="SimSun" w:hAnsi="SimSun" w:eastAsia="SimSun" w:cs="SimSun"/>
                <w:sz w:val="20"/>
                <w:szCs w:val="20"/>
                <w:spacing w:val="4"/>
              </w:rPr>
              <w:t>纬度</w:t>
            </w:r>
          </w:p>
        </w:tc>
        <w:tc>
          <w:tcPr>
            <w:tcW w:w="2176" w:type="dxa"/>
            <w:vAlign w:val="top"/>
          </w:tcPr>
          <w:p>
            <w:pPr>
              <w:pStyle w:val="TableText"/>
              <w:ind w:left="706"/>
              <w:spacing w:before="180" w:line="195" w:lineRule="auto"/>
              <w:rPr/>
            </w:pPr>
            <w:r>
              <w:rPr>
                <w:spacing w:val="3"/>
              </w:rPr>
              <w:t>44.8993°</w:t>
            </w:r>
          </w:p>
        </w:tc>
      </w:tr>
      <w:tr>
        <w:trPr>
          <w:trHeight w:val="604" w:hRule="atLeast"/>
        </w:trPr>
        <w:tc>
          <w:tcPr>
            <w:tcW w:w="1880" w:type="dxa"/>
            <w:vAlign w:val="top"/>
          </w:tcPr>
          <w:p>
            <w:pPr>
              <w:ind w:left="838" w:right="98" w:hanging="730"/>
              <w:spacing w:before="58" w:line="247" w:lineRule="auto"/>
              <w:rPr>
                <w:rFonts w:ascii="SimSun" w:hAnsi="SimSun" w:eastAsia="SimSun" w:cs="SimSun"/>
                <w:sz w:val="20"/>
                <w:szCs w:val="20"/>
              </w:rPr>
            </w:pPr>
            <w:r>
              <w:rPr>
                <w:rFonts w:ascii="SimSun" w:hAnsi="SimSun" w:eastAsia="SimSun" w:cs="SimSun"/>
                <w:sz w:val="20"/>
                <w:szCs w:val="20"/>
                <w:spacing w:val="8"/>
              </w:rPr>
              <w:t>主要危险物质及分</w:t>
            </w:r>
            <w:r>
              <w:rPr>
                <w:rFonts w:ascii="SimSun" w:hAnsi="SimSun" w:eastAsia="SimSun" w:cs="SimSun"/>
                <w:sz w:val="20"/>
                <w:szCs w:val="20"/>
              </w:rPr>
              <w:t>布</w:t>
            </w:r>
          </w:p>
        </w:tc>
        <w:tc>
          <w:tcPr>
            <w:tcW w:w="7203" w:type="dxa"/>
            <w:vAlign w:val="top"/>
            <w:gridSpan w:val="5"/>
          </w:tcPr>
          <w:p>
            <w:pPr>
              <w:ind w:left="8" w:right="3" w:firstLine="2"/>
              <w:spacing w:before="58" w:line="247" w:lineRule="auto"/>
              <w:rPr>
                <w:rFonts w:ascii="SimSun" w:hAnsi="SimSun" w:eastAsia="SimSun" w:cs="SimSun"/>
                <w:sz w:val="20"/>
                <w:szCs w:val="20"/>
              </w:rPr>
            </w:pPr>
            <w:r>
              <w:rPr>
                <w:rFonts w:ascii="SimSun" w:hAnsi="SimSun" w:eastAsia="SimSun" w:cs="SimSun"/>
                <w:sz w:val="20"/>
                <w:szCs w:val="20"/>
                <w:spacing w:val="11"/>
              </w:rPr>
              <w:t>主要危险物质为废矿物油和油类物质，废矿物油储存于危废暂存间；油类物质</w:t>
            </w:r>
            <w:r>
              <w:rPr>
                <w:rFonts w:ascii="SimSun" w:hAnsi="SimSun" w:eastAsia="SimSun" w:cs="SimSun"/>
                <w:sz w:val="20"/>
                <w:szCs w:val="20"/>
                <w:spacing w:val="7"/>
              </w:rPr>
              <w:t>储存加油站储油罐。</w:t>
            </w:r>
          </w:p>
        </w:tc>
      </w:tr>
      <w:tr>
        <w:trPr>
          <w:trHeight w:val="1366" w:hRule="atLeast"/>
        </w:trPr>
        <w:tc>
          <w:tcPr>
            <w:tcW w:w="1880" w:type="dxa"/>
            <w:vAlign w:val="top"/>
          </w:tcPr>
          <w:p>
            <w:pPr>
              <w:spacing w:line="372" w:lineRule="auto"/>
              <w:rPr>
                <w:rFonts w:ascii="Arial"/>
                <w:sz w:val="21"/>
              </w:rPr>
            </w:pPr>
            <w:r/>
          </w:p>
          <w:p>
            <w:pPr>
              <w:ind w:left="635" w:right="98" w:hanging="529"/>
              <w:spacing w:before="65" w:line="254" w:lineRule="auto"/>
              <w:rPr>
                <w:rFonts w:ascii="SimSun" w:hAnsi="SimSun" w:eastAsia="SimSun" w:cs="SimSun"/>
                <w:sz w:val="20"/>
                <w:szCs w:val="20"/>
              </w:rPr>
            </w:pPr>
            <w:r>
              <w:rPr>
                <w:rFonts w:ascii="SimSun" w:hAnsi="SimSun" w:eastAsia="SimSun" w:cs="SimSun"/>
                <w:sz w:val="20"/>
                <w:szCs w:val="20"/>
                <w:spacing w:val="8"/>
              </w:rPr>
              <w:t>环境影响途径及危</w:t>
            </w:r>
            <w:r>
              <w:rPr>
                <w:rFonts w:ascii="SimSun" w:hAnsi="SimSun" w:eastAsia="SimSun" w:cs="SimSun"/>
                <w:sz w:val="20"/>
                <w:szCs w:val="20"/>
                <w:spacing w:val="5"/>
              </w:rPr>
              <w:t>害后果</w:t>
            </w:r>
          </w:p>
        </w:tc>
        <w:tc>
          <w:tcPr>
            <w:tcW w:w="7203" w:type="dxa"/>
            <w:vAlign w:val="top"/>
            <w:gridSpan w:val="5"/>
          </w:tcPr>
          <w:p>
            <w:pPr>
              <w:pStyle w:val="TableText"/>
              <w:ind w:left="12" w:right="5" w:firstLine="12"/>
              <w:spacing w:before="31"/>
              <w:rPr>
                <w:rFonts w:ascii="SimSun" w:hAnsi="SimSun" w:eastAsia="SimSun" w:cs="SimSun"/>
              </w:rPr>
            </w:pPr>
            <w:r>
              <w:rPr>
                <w:spacing w:val="7"/>
              </w:rPr>
              <w:t>1</w:t>
            </w:r>
            <w:r>
              <w:rPr>
                <w:spacing w:val="-26"/>
              </w:rPr>
              <w:t xml:space="preserve"> </w:t>
            </w:r>
            <w:r>
              <w:rPr>
                <w:rFonts w:ascii="SimSun" w:hAnsi="SimSun" w:eastAsia="SimSun" w:cs="SimSun"/>
                <w:spacing w:val="7"/>
              </w:rPr>
              <w:t>、最不利情况下，危废暂存间和加油站储油罐发生泄漏事故造成油类</w:t>
            </w:r>
            <w:r>
              <w:rPr>
                <w:rFonts w:ascii="SimSun" w:hAnsi="SimSun" w:eastAsia="SimSun" w:cs="SimSun"/>
                <w:spacing w:val="6"/>
              </w:rPr>
              <w:t>物质泄漏</w:t>
            </w:r>
            <w:r>
              <w:rPr>
                <w:rFonts w:ascii="SimSun" w:hAnsi="SimSun" w:eastAsia="SimSun" w:cs="SimSun"/>
                <w:spacing w:val="9"/>
              </w:rPr>
              <w:t>于地表，如果处理及时得当，则可有效地控制对周围环境的影响；</w:t>
            </w:r>
          </w:p>
          <w:p>
            <w:pPr>
              <w:pStyle w:val="TableText"/>
              <w:ind w:left="13" w:right="267" w:hanging="8"/>
              <w:spacing w:before="24"/>
              <w:rPr>
                <w:rFonts w:ascii="SimSun" w:hAnsi="SimSun" w:eastAsia="SimSun" w:cs="SimSun"/>
              </w:rPr>
            </w:pPr>
            <w:r>
              <w:rPr>
                <w:spacing w:val="9"/>
              </w:rPr>
              <w:t>2</w:t>
            </w:r>
            <w:r>
              <w:rPr>
                <w:spacing w:val="-26"/>
              </w:rPr>
              <w:t xml:space="preserve"> </w:t>
            </w:r>
            <w:r>
              <w:rPr>
                <w:rFonts w:ascii="SimSun" w:hAnsi="SimSun" w:eastAsia="SimSun" w:cs="SimSun"/>
                <w:spacing w:val="9"/>
              </w:rPr>
              <w:t>、油品泄漏后油气挥发遇明火后发生火灾事故，对油罐区域、现场</w:t>
            </w:r>
            <w:r>
              <w:rPr>
                <w:rFonts w:ascii="SimSun" w:hAnsi="SimSun" w:eastAsia="SimSun" w:cs="SimSun"/>
                <w:spacing w:val="8"/>
              </w:rPr>
              <w:t>工作人</w:t>
            </w:r>
            <w:r>
              <w:rPr>
                <w:rFonts w:ascii="SimSun" w:hAnsi="SimSun" w:eastAsia="SimSun" w:cs="SimSun"/>
                <w:spacing w:val="9"/>
              </w:rPr>
              <w:t>员和过往车辆将产生危害，工业广场内的加油站平面设计符合加油站设计规</w:t>
            </w:r>
            <w:r>
              <w:rPr>
                <w:rFonts w:ascii="SimSun" w:hAnsi="SimSun" w:eastAsia="SimSun" w:cs="SimSun"/>
                <w:spacing w:val="9"/>
              </w:rPr>
              <w:t>范中的相关规定，防火措施完善，发生火灾的危害程度是可以控制的。</w:t>
            </w:r>
          </w:p>
        </w:tc>
      </w:tr>
      <w:tr>
        <w:trPr>
          <w:trHeight w:val="1762" w:hRule="atLeast"/>
        </w:trPr>
        <w:tc>
          <w:tcPr>
            <w:tcW w:w="1880" w:type="dxa"/>
            <w:vAlign w:val="top"/>
          </w:tcPr>
          <w:p>
            <w:pPr>
              <w:spacing w:line="352" w:lineRule="auto"/>
              <w:rPr>
                <w:rFonts w:ascii="Arial"/>
                <w:sz w:val="21"/>
              </w:rPr>
            </w:pPr>
            <w:r/>
          </w:p>
          <w:p>
            <w:pPr>
              <w:spacing w:line="353" w:lineRule="auto"/>
              <w:rPr>
                <w:rFonts w:ascii="Arial"/>
                <w:sz w:val="21"/>
              </w:rPr>
            </w:pPr>
            <w:r/>
          </w:p>
          <w:p>
            <w:pPr>
              <w:ind w:left="107"/>
              <w:spacing w:before="65" w:line="228" w:lineRule="auto"/>
              <w:rPr>
                <w:rFonts w:ascii="SimSun" w:hAnsi="SimSun" w:eastAsia="SimSun" w:cs="SimSun"/>
                <w:sz w:val="20"/>
                <w:szCs w:val="20"/>
              </w:rPr>
            </w:pPr>
            <w:r>
              <w:rPr>
                <w:rFonts w:ascii="SimSun" w:hAnsi="SimSun" w:eastAsia="SimSun" w:cs="SimSun"/>
                <w:sz w:val="20"/>
                <w:szCs w:val="20"/>
                <w:spacing w:val="8"/>
              </w:rPr>
              <w:t>风险防范措施要求</w:t>
            </w:r>
          </w:p>
        </w:tc>
        <w:tc>
          <w:tcPr>
            <w:tcW w:w="7203" w:type="dxa"/>
            <w:vAlign w:val="top"/>
            <w:gridSpan w:val="5"/>
          </w:tcPr>
          <w:p>
            <w:pPr>
              <w:pStyle w:val="TableText"/>
              <w:ind w:left="10" w:right="5" w:firstLine="15"/>
              <w:spacing w:before="91" w:line="244" w:lineRule="auto"/>
              <w:rPr>
                <w:rFonts w:ascii="SimSun" w:hAnsi="SimSun" w:eastAsia="SimSun" w:cs="SimSun"/>
              </w:rPr>
            </w:pPr>
            <w:r>
              <w:rPr>
                <w:spacing w:val="7"/>
              </w:rPr>
              <w:t>1</w:t>
            </w:r>
            <w:r>
              <w:rPr>
                <w:spacing w:val="-26"/>
              </w:rPr>
              <w:t xml:space="preserve"> </w:t>
            </w:r>
            <w:r>
              <w:rPr>
                <w:rFonts w:ascii="SimSun" w:hAnsi="SimSun" w:eastAsia="SimSun" w:cs="SimSun"/>
                <w:spacing w:val="7"/>
              </w:rPr>
              <w:t>、设立标志，加强巡检，防止人为破坏。建成营运后，要提高操作人</w:t>
            </w:r>
            <w:r>
              <w:rPr>
                <w:rFonts w:ascii="SimSun" w:hAnsi="SimSun" w:eastAsia="SimSun" w:cs="SimSun"/>
                <w:spacing w:val="6"/>
              </w:rPr>
              <w:t>员的素质</w:t>
            </w:r>
            <w:r>
              <w:rPr>
                <w:rFonts w:ascii="SimSun" w:hAnsi="SimSun" w:eastAsia="SimSun" w:cs="SimSun"/>
                <w:spacing w:val="11"/>
              </w:rPr>
              <w:t>和管理水平，防止或减少事故风险的发生，定期对废矿物油外委转运处置，确</w:t>
            </w:r>
            <w:r>
              <w:rPr>
                <w:rFonts w:ascii="SimSun" w:hAnsi="SimSun" w:eastAsia="SimSun" w:cs="SimSun"/>
                <w:spacing w:val="8"/>
              </w:rPr>
              <w:t>保废油脂暂存库的正常运行。</w:t>
            </w:r>
          </w:p>
          <w:p>
            <w:pPr>
              <w:pStyle w:val="TableText"/>
              <w:ind w:left="5"/>
              <w:spacing w:before="26" w:line="228" w:lineRule="auto"/>
              <w:rPr>
                <w:rFonts w:ascii="SimSun" w:hAnsi="SimSun" w:eastAsia="SimSun" w:cs="SimSun"/>
              </w:rPr>
            </w:pPr>
            <w:r>
              <w:rPr>
                <w:spacing w:val="9"/>
              </w:rPr>
              <w:t>2</w:t>
            </w:r>
            <w:r>
              <w:rPr>
                <w:spacing w:val="-26"/>
              </w:rPr>
              <w:t xml:space="preserve"> </w:t>
            </w:r>
            <w:r>
              <w:rPr>
                <w:rFonts w:ascii="SimSun" w:hAnsi="SimSun" w:eastAsia="SimSun" w:cs="SimSun"/>
                <w:spacing w:val="9"/>
              </w:rPr>
              <w:t>、重视环境管理工作，加强监督，加油站区域</w:t>
            </w:r>
            <w:r>
              <w:rPr>
                <w:rFonts w:ascii="SimSun" w:hAnsi="SimSun" w:eastAsia="SimSun" w:cs="SimSun"/>
                <w:spacing w:val="8"/>
              </w:rPr>
              <w:t>禁止吸烟和产生明火行为。</w:t>
            </w:r>
          </w:p>
          <w:p>
            <w:pPr>
              <w:pStyle w:val="TableText"/>
              <w:ind w:left="9" w:right="5"/>
              <w:spacing w:before="24"/>
              <w:rPr>
                <w:rFonts w:ascii="SimSun" w:hAnsi="SimSun" w:eastAsia="SimSun" w:cs="SimSun"/>
              </w:rPr>
            </w:pPr>
            <w:r>
              <w:rPr>
                <w:spacing w:val="7"/>
              </w:rPr>
              <w:t>3</w:t>
            </w:r>
            <w:r>
              <w:rPr>
                <w:spacing w:val="-14"/>
              </w:rPr>
              <w:t xml:space="preserve"> </w:t>
            </w:r>
            <w:r>
              <w:rPr>
                <w:rFonts w:ascii="SimSun" w:hAnsi="SimSun" w:eastAsia="SimSun" w:cs="SimSun"/>
                <w:spacing w:val="7"/>
              </w:rPr>
              <w:t>、加油站区域制定《事故应急救援预案》和实施细则，组织加油站人员学习和</w:t>
            </w:r>
            <w:r>
              <w:rPr>
                <w:rFonts w:ascii="SimSun" w:hAnsi="SimSun" w:eastAsia="SimSun" w:cs="SimSun"/>
                <w:spacing w:val="9"/>
              </w:rPr>
              <w:t>演练，提高职工的实战能力，防患于未然，以便应急救援工作的顺利开展。</w:t>
            </w:r>
          </w:p>
        </w:tc>
      </w:tr>
    </w:tbl>
    <w:p>
      <w:pPr>
        <w:pStyle w:val="BodyText"/>
        <w:rPr/>
      </w:pPr>
      <w:r/>
    </w:p>
    <w:p>
      <w:pPr>
        <w:sectPr>
          <w:headerReference w:type="default" r:id="rId482"/>
          <w:footerReference w:type="default" r:id="rId483"/>
          <w:pgSz w:w="11906" w:h="16838"/>
          <w:pgMar w:top="1114" w:right="1404" w:bottom="1080" w:left="1408" w:header="837" w:footer="918" w:gutter="0"/>
        </w:sectPr>
        <w:rPr/>
      </w:pPr>
    </w:p>
    <w:p>
      <w:pPr>
        <w:spacing w:before="62"/>
        <w:rPr/>
      </w:pPr>
      <w:r/>
    </w:p>
    <w:tbl>
      <w:tblPr>
        <w:tblStyle w:val="TableNormal"/>
        <w:tblW w:w="9083" w:type="dxa"/>
        <w:tblInd w:w="2" w:type="dxa"/>
        <w:tblLayout w:type="fixed"/>
        <w:tblBorders>
          <w:left w:val="single" w:color="000000" w:sz="2" w:space="0"/>
          <w:bottom w:val="single" w:color="000000" w:sz="2" w:space="0"/>
          <w:right w:val="single" w:color="000000" w:sz="2" w:space="0"/>
          <w:top w:val="single" w:color="000000" w:sz="2" w:space="0"/>
        </w:tblBorders>
      </w:tblPr>
      <w:tblGrid>
        <w:gridCol w:w="9083"/>
      </w:tblGrid>
      <w:tr>
        <w:trPr>
          <w:trHeight w:val="513" w:hRule="atLeast"/>
        </w:trPr>
        <w:tc>
          <w:tcPr>
            <w:tcW w:w="9083" w:type="dxa"/>
            <w:vAlign w:val="top"/>
          </w:tcPr>
          <w:p>
            <w:pPr>
              <w:ind w:left="3919"/>
              <w:spacing w:before="148" w:line="225" w:lineRule="auto"/>
              <w:rPr>
                <w:rFonts w:ascii="SimSun" w:hAnsi="SimSun" w:eastAsia="SimSun" w:cs="SimSun"/>
                <w:sz w:val="20"/>
                <w:szCs w:val="20"/>
              </w:rPr>
            </w:pPr>
            <w:r>
              <w:rPr>
                <w:rFonts w:ascii="SimSun" w:hAnsi="SimSun" w:eastAsia="SimSun" w:cs="SimSun"/>
                <w:sz w:val="20"/>
                <w:szCs w:val="20"/>
                <w:spacing w:val="8"/>
              </w:rPr>
              <w:t>填表说明：无</w:t>
            </w:r>
          </w:p>
        </w:tc>
      </w:tr>
    </w:tbl>
    <w:p>
      <w:pPr>
        <w:pStyle w:val="BodyText"/>
        <w:spacing w:line="315" w:lineRule="auto"/>
        <w:rPr/>
      </w:pPr>
      <w:r/>
    </w:p>
    <w:p>
      <w:pPr>
        <w:pStyle w:val="BodyText"/>
        <w:spacing w:line="315" w:lineRule="auto"/>
        <w:rPr/>
      </w:pPr>
      <w:r/>
    </w:p>
    <w:p>
      <w:pPr>
        <w:ind w:left="2166"/>
        <w:spacing w:before="78" w:line="222" w:lineRule="auto"/>
        <w:rPr>
          <w:rFonts w:ascii="SimHei" w:hAnsi="SimHei" w:eastAsia="SimHei" w:cs="SimHei"/>
          <w:sz w:val="24"/>
          <w:szCs w:val="24"/>
        </w:rPr>
      </w:pPr>
      <w:r>
        <w:rPr>
          <w:rFonts w:ascii="SimHei" w:hAnsi="SimHei" w:eastAsia="SimHei" w:cs="SimHei"/>
          <w:sz w:val="24"/>
          <w:szCs w:val="24"/>
          <w:b/>
          <w:bCs/>
          <w:spacing w:val="-4"/>
        </w:rPr>
        <w:t>白音华四号露天矿（露天区）环境风险评价自查表</w:t>
      </w:r>
    </w:p>
    <w:p>
      <w:pPr>
        <w:ind w:left="14"/>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6-9-2</w:t>
      </w:r>
    </w:p>
    <w:tbl>
      <w:tblPr>
        <w:tblStyle w:val="TableNormal"/>
        <w:tblW w:w="9290" w:type="dxa"/>
        <w:tblInd w:w="36"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42"/>
        <w:gridCol w:w="1269"/>
        <w:gridCol w:w="1269"/>
        <w:gridCol w:w="734"/>
        <w:gridCol w:w="341"/>
        <w:gridCol w:w="206"/>
        <w:gridCol w:w="360"/>
        <w:gridCol w:w="338"/>
        <w:gridCol w:w="115"/>
        <w:gridCol w:w="105"/>
        <w:gridCol w:w="139"/>
        <w:gridCol w:w="348"/>
        <w:gridCol w:w="609"/>
        <w:gridCol w:w="161"/>
        <w:gridCol w:w="453"/>
        <w:gridCol w:w="108"/>
        <w:gridCol w:w="245"/>
        <w:gridCol w:w="223"/>
        <w:gridCol w:w="264"/>
        <w:gridCol w:w="70"/>
        <w:gridCol w:w="650"/>
        <w:gridCol w:w="741"/>
      </w:tblGrid>
      <w:tr>
        <w:trPr>
          <w:trHeight w:val="283" w:hRule="atLeast"/>
        </w:trPr>
        <w:tc>
          <w:tcPr>
            <w:tcW w:w="1811" w:type="dxa"/>
            <w:vAlign w:val="top"/>
            <w:gridSpan w:val="2"/>
          </w:tcPr>
          <w:p>
            <w:pPr>
              <w:ind w:left="492"/>
              <w:spacing w:before="33" w:line="221" w:lineRule="auto"/>
              <w:rPr>
                <w:rFonts w:ascii="SimSun" w:hAnsi="SimSun" w:eastAsia="SimSun" w:cs="SimSun"/>
                <w:sz w:val="20"/>
                <w:szCs w:val="20"/>
              </w:rPr>
            </w:pPr>
            <w:r>
              <w:rPr>
                <w:rFonts w:ascii="SimSun" w:hAnsi="SimSun" w:eastAsia="SimSun" w:cs="SimSun"/>
                <w:sz w:val="20"/>
                <w:szCs w:val="20"/>
                <w:spacing w:val="6"/>
              </w:rPr>
              <w:t>工作内容</w:t>
            </w:r>
          </w:p>
        </w:tc>
        <w:tc>
          <w:tcPr>
            <w:tcW w:w="7479" w:type="dxa"/>
            <w:vAlign w:val="top"/>
            <w:gridSpan w:val="20"/>
          </w:tcPr>
          <w:p>
            <w:pPr>
              <w:ind w:left="3325"/>
              <w:spacing w:before="33" w:line="221" w:lineRule="auto"/>
              <w:rPr>
                <w:rFonts w:ascii="SimSun" w:hAnsi="SimSun" w:eastAsia="SimSun" w:cs="SimSun"/>
                <w:sz w:val="20"/>
                <w:szCs w:val="20"/>
              </w:rPr>
            </w:pPr>
            <w:r>
              <w:rPr>
                <w:rFonts w:ascii="SimSun" w:hAnsi="SimSun" w:eastAsia="SimSun" w:cs="SimSun"/>
                <w:sz w:val="20"/>
                <w:szCs w:val="20"/>
                <w:spacing w:val="6"/>
              </w:rPr>
              <w:t>完成情况</w:t>
            </w:r>
          </w:p>
        </w:tc>
      </w:tr>
      <w:tr>
        <w:trPr>
          <w:trHeight w:val="278" w:hRule="atLeast"/>
        </w:trPr>
        <w:tc>
          <w:tcPr>
            <w:tcW w:w="542" w:type="dxa"/>
            <w:vAlign w:val="top"/>
            <w:vMerge w:val="restart"/>
            <w:textDirection w:val="tbRlV"/>
            <w:tcBorders>
              <w:bottom w:val="nil"/>
            </w:tcBorders>
          </w:tcPr>
          <w:p>
            <w:pPr>
              <w:ind w:left="465"/>
              <w:spacing w:before="166" w:line="216" w:lineRule="auto"/>
              <w:rPr>
                <w:rFonts w:ascii="SimSun" w:hAnsi="SimSun" w:eastAsia="SimSun" w:cs="SimSun"/>
                <w:sz w:val="20"/>
                <w:szCs w:val="20"/>
              </w:rPr>
            </w:pPr>
            <w:r>
              <w:rPr>
                <w:rFonts w:ascii="SimSun" w:hAnsi="SimSun" w:eastAsia="SimSun" w:cs="SimSun"/>
                <w:sz w:val="20"/>
                <w:szCs w:val="20"/>
                <w:spacing w:val="8"/>
              </w:rPr>
              <w:t>风</w:t>
            </w:r>
            <w:r>
              <w:rPr>
                <w:rFonts w:ascii="SimSun" w:hAnsi="SimSun" w:eastAsia="SimSun" w:cs="SimSun"/>
                <w:sz w:val="20"/>
                <w:szCs w:val="20"/>
                <w:spacing w:val="-34"/>
              </w:rPr>
              <w:t xml:space="preserve"> </w:t>
            </w:r>
            <w:r>
              <w:rPr>
                <w:rFonts w:ascii="SimSun" w:hAnsi="SimSun" w:eastAsia="SimSun" w:cs="SimSun"/>
                <w:sz w:val="20"/>
                <w:szCs w:val="20"/>
                <w:spacing w:val="8"/>
              </w:rPr>
              <w:t>险</w:t>
            </w:r>
            <w:r>
              <w:rPr>
                <w:rFonts w:ascii="SimSun" w:hAnsi="SimSun" w:eastAsia="SimSun" w:cs="SimSun"/>
                <w:sz w:val="20"/>
                <w:szCs w:val="20"/>
                <w:spacing w:val="-37"/>
              </w:rPr>
              <w:t xml:space="preserve"> </w:t>
            </w:r>
            <w:r>
              <w:rPr>
                <w:rFonts w:ascii="SimSun" w:hAnsi="SimSun" w:eastAsia="SimSun" w:cs="SimSun"/>
                <w:sz w:val="20"/>
                <w:szCs w:val="20"/>
                <w:spacing w:val="8"/>
              </w:rPr>
              <w:t>调</w:t>
            </w:r>
            <w:r>
              <w:rPr>
                <w:rFonts w:ascii="SimSun" w:hAnsi="SimSun" w:eastAsia="SimSun" w:cs="SimSun"/>
                <w:sz w:val="20"/>
                <w:szCs w:val="20"/>
                <w:spacing w:val="-35"/>
              </w:rPr>
              <w:t xml:space="preserve"> </w:t>
            </w:r>
            <w:r>
              <w:rPr>
                <w:rFonts w:ascii="SimSun" w:hAnsi="SimSun" w:eastAsia="SimSun" w:cs="SimSun"/>
                <w:sz w:val="20"/>
                <w:szCs w:val="20"/>
                <w:spacing w:val="8"/>
              </w:rPr>
              <w:t>查</w:t>
            </w:r>
          </w:p>
        </w:tc>
        <w:tc>
          <w:tcPr>
            <w:tcW w:w="1269" w:type="dxa"/>
            <w:vAlign w:val="top"/>
            <w:vMerge w:val="restart"/>
            <w:tcBorders>
              <w:bottom w:val="nil"/>
            </w:tcBorders>
          </w:tcPr>
          <w:p>
            <w:pPr>
              <w:ind w:left="217"/>
              <w:spacing w:before="168" w:line="228" w:lineRule="auto"/>
              <w:rPr>
                <w:rFonts w:ascii="SimSun" w:hAnsi="SimSun" w:eastAsia="SimSun" w:cs="SimSun"/>
                <w:sz w:val="20"/>
                <w:szCs w:val="20"/>
              </w:rPr>
            </w:pPr>
            <w:r>
              <w:rPr>
                <w:rFonts w:ascii="SimSun" w:hAnsi="SimSun" w:eastAsia="SimSun" w:cs="SimSun"/>
                <w:sz w:val="20"/>
                <w:szCs w:val="20"/>
                <w:spacing w:val="6"/>
              </w:rPr>
              <w:t>危险物质</w:t>
            </w:r>
          </w:p>
        </w:tc>
        <w:tc>
          <w:tcPr>
            <w:tcW w:w="1269" w:type="dxa"/>
            <w:vAlign w:val="top"/>
          </w:tcPr>
          <w:p>
            <w:pPr>
              <w:ind w:left="429"/>
              <w:spacing w:before="28" w:line="221" w:lineRule="auto"/>
              <w:rPr>
                <w:rFonts w:ascii="SimSun" w:hAnsi="SimSun" w:eastAsia="SimSun" w:cs="SimSun"/>
                <w:sz w:val="20"/>
                <w:szCs w:val="20"/>
              </w:rPr>
            </w:pPr>
            <w:r>
              <w:rPr>
                <w:rFonts w:ascii="SimSun" w:hAnsi="SimSun" w:eastAsia="SimSun" w:cs="SimSun"/>
                <w:sz w:val="20"/>
                <w:szCs w:val="20"/>
                <w:spacing w:val="3"/>
              </w:rPr>
              <w:t>名称</w:t>
            </w:r>
          </w:p>
        </w:tc>
        <w:tc>
          <w:tcPr>
            <w:tcW w:w="1281" w:type="dxa"/>
            <w:vAlign w:val="top"/>
            <w:gridSpan w:val="3"/>
          </w:tcPr>
          <w:p>
            <w:pPr>
              <w:ind w:left="224"/>
              <w:spacing w:before="28" w:line="221" w:lineRule="auto"/>
              <w:rPr>
                <w:rFonts w:ascii="SimSun" w:hAnsi="SimSun" w:eastAsia="SimSun" w:cs="SimSun"/>
                <w:sz w:val="20"/>
                <w:szCs w:val="20"/>
              </w:rPr>
            </w:pPr>
            <w:r>
              <w:rPr>
                <w:rFonts w:ascii="SimSun" w:hAnsi="SimSun" w:eastAsia="SimSun" w:cs="SimSun"/>
                <w:sz w:val="20"/>
                <w:szCs w:val="20"/>
                <w:spacing w:val="7"/>
              </w:rPr>
              <w:t>废矿物油</w:t>
            </w:r>
          </w:p>
        </w:tc>
        <w:tc>
          <w:tcPr>
            <w:tcW w:w="918" w:type="dxa"/>
            <w:vAlign w:val="top"/>
            <w:gridSpan w:val="4"/>
          </w:tcPr>
          <w:p>
            <w:pPr>
              <w:ind w:left="254"/>
              <w:spacing w:before="28" w:line="221" w:lineRule="auto"/>
              <w:rPr>
                <w:rFonts w:ascii="SimSun" w:hAnsi="SimSun" w:eastAsia="SimSun" w:cs="SimSun"/>
                <w:sz w:val="20"/>
                <w:szCs w:val="20"/>
              </w:rPr>
            </w:pPr>
            <w:r>
              <w:rPr>
                <w:rFonts w:ascii="SimSun" w:hAnsi="SimSun" w:eastAsia="SimSun" w:cs="SimSun"/>
                <w:sz w:val="20"/>
                <w:szCs w:val="20"/>
                <w:spacing w:val="4"/>
              </w:rPr>
              <w:t>柴油</w:t>
            </w:r>
          </w:p>
        </w:tc>
        <w:tc>
          <w:tcPr>
            <w:tcW w:w="1096" w:type="dxa"/>
            <w:vAlign w:val="top"/>
            <w:gridSpan w:val="3"/>
          </w:tcPr>
          <w:p>
            <w:pPr>
              <w:ind w:left="344"/>
              <w:spacing w:before="28" w:line="221" w:lineRule="auto"/>
              <w:rPr>
                <w:rFonts w:ascii="SimSun" w:hAnsi="SimSun" w:eastAsia="SimSun" w:cs="SimSun"/>
                <w:sz w:val="20"/>
                <w:szCs w:val="20"/>
              </w:rPr>
            </w:pPr>
            <w:r>
              <w:rPr>
                <w:rFonts w:ascii="SimSun" w:hAnsi="SimSun" w:eastAsia="SimSun" w:cs="SimSun"/>
                <w:sz w:val="20"/>
                <w:szCs w:val="20"/>
                <w:spacing w:val="4"/>
              </w:rPr>
              <w:t>汽油</w:t>
            </w:r>
          </w:p>
        </w:tc>
        <w:tc>
          <w:tcPr>
            <w:tcW w:w="722" w:type="dxa"/>
            <w:vAlign w:val="top"/>
            <w:gridSpan w:val="3"/>
          </w:tcPr>
          <w:p>
            <w:pPr>
              <w:rPr>
                <w:rFonts w:ascii="Arial"/>
                <w:sz w:val="21"/>
              </w:rPr>
            </w:pPr>
            <w:r/>
          </w:p>
        </w:tc>
        <w:tc>
          <w:tcPr>
            <w:tcW w:w="732" w:type="dxa"/>
            <w:vAlign w:val="top"/>
            <w:gridSpan w:val="3"/>
          </w:tcPr>
          <w:p>
            <w:pPr>
              <w:rPr>
                <w:rFonts w:ascii="Arial"/>
                <w:sz w:val="21"/>
              </w:rPr>
            </w:pPr>
            <w:r/>
          </w:p>
        </w:tc>
        <w:tc>
          <w:tcPr>
            <w:tcW w:w="720" w:type="dxa"/>
            <w:vAlign w:val="top"/>
            <w:gridSpan w:val="2"/>
          </w:tcPr>
          <w:p>
            <w:pPr>
              <w:rPr>
                <w:rFonts w:ascii="Arial"/>
                <w:sz w:val="21"/>
              </w:rPr>
            </w:pPr>
            <w:r/>
          </w:p>
        </w:tc>
        <w:tc>
          <w:tcPr>
            <w:tcW w:w="741" w:type="dxa"/>
            <w:vAlign w:val="top"/>
          </w:tcPr>
          <w:p>
            <w:pPr>
              <w:rPr>
                <w:rFonts w:ascii="Arial"/>
                <w:sz w:val="21"/>
              </w:rPr>
            </w:pPr>
            <w:r/>
          </w:p>
        </w:tc>
      </w:tr>
      <w:tr>
        <w:trPr>
          <w:trHeight w:val="275"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1269" w:type="dxa"/>
            <w:vAlign w:val="top"/>
          </w:tcPr>
          <w:p>
            <w:pPr>
              <w:pStyle w:val="TableText"/>
              <w:ind w:left="156"/>
              <w:spacing w:before="28" w:line="218" w:lineRule="auto"/>
              <w:rPr/>
            </w:pPr>
            <w:r>
              <w:rPr>
                <w:rFonts w:ascii="SimSun" w:hAnsi="SimSun" w:eastAsia="SimSun" w:cs="SimSun"/>
                <w:spacing w:val="6"/>
              </w:rPr>
              <w:t>存在总量</w:t>
            </w:r>
            <w:r>
              <w:rPr>
                <w:spacing w:val="6"/>
              </w:rPr>
              <w:t>/t</w:t>
            </w:r>
          </w:p>
        </w:tc>
        <w:tc>
          <w:tcPr>
            <w:tcW w:w="1281" w:type="dxa"/>
            <w:vAlign w:val="top"/>
            <w:gridSpan w:val="3"/>
          </w:tcPr>
          <w:p>
            <w:pPr>
              <w:pStyle w:val="TableText"/>
              <w:ind w:left="594"/>
              <w:spacing w:before="68" w:line="192" w:lineRule="auto"/>
              <w:rPr/>
            </w:pPr>
            <w:r>
              <w:rPr/>
              <w:t>5</w:t>
            </w:r>
          </w:p>
        </w:tc>
        <w:tc>
          <w:tcPr>
            <w:tcW w:w="918" w:type="dxa"/>
            <w:vAlign w:val="top"/>
            <w:gridSpan w:val="4"/>
          </w:tcPr>
          <w:p>
            <w:pPr>
              <w:pStyle w:val="TableText"/>
              <w:ind w:left="362"/>
              <w:spacing w:before="65" w:line="195" w:lineRule="auto"/>
              <w:rPr/>
            </w:pPr>
            <w:r>
              <w:rPr/>
              <w:t>50</w:t>
            </w:r>
          </w:p>
        </w:tc>
        <w:tc>
          <w:tcPr>
            <w:tcW w:w="1096" w:type="dxa"/>
            <w:vAlign w:val="top"/>
            <w:gridSpan w:val="3"/>
          </w:tcPr>
          <w:p>
            <w:pPr>
              <w:pStyle w:val="TableText"/>
              <w:ind w:left="393"/>
              <w:spacing w:before="65" w:line="195" w:lineRule="auto"/>
              <w:rPr/>
            </w:pPr>
            <w:r>
              <w:rPr>
                <w:spacing w:val="3"/>
              </w:rPr>
              <w:t>250</w:t>
            </w:r>
          </w:p>
        </w:tc>
        <w:tc>
          <w:tcPr>
            <w:tcW w:w="722" w:type="dxa"/>
            <w:vAlign w:val="top"/>
            <w:gridSpan w:val="3"/>
          </w:tcPr>
          <w:p>
            <w:pPr>
              <w:rPr>
                <w:rFonts w:ascii="Arial"/>
                <w:sz w:val="21"/>
              </w:rPr>
            </w:pPr>
            <w:r/>
          </w:p>
        </w:tc>
        <w:tc>
          <w:tcPr>
            <w:tcW w:w="732" w:type="dxa"/>
            <w:vAlign w:val="top"/>
            <w:gridSpan w:val="3"/>
          </w:tcPr>
          <w:p>
            <w:pPr>
              <w:rPr>
                <w:rFonts w:ascii="Arial"/>
                <w:sz w:val="21"/>
              </w:rPr>
            </w:pPr>
            <w:r/>
          </w:p>
        </w:tc>
        <w:tc>
          <w:tcPr>
            <w:tcW w:w="720" w:type="dxa"/>
            <w:vAlign w:val="top"/>
            <w:gridSpan w:val="2"/>
          </w:tcPr>
          <w:p>
            <w:pPr>
              <w:rPr>
                <w:rFonts w:ascii="Arial"/>
                <w:sz w:val="21"/>
              </w:rPr>
            </w:pPr>
            <w:r/>
          </w:p>
        </w:tc>
        <w:tc>
          <w:tcPr>
            <w:tcW w:w="741" w:type="dxa"/>
            <w:vAlign w:val="top"/>
          </w:tcPr>
          <w:p>
            <w:pPr>
              <w:rPr>
                <w:rFonts w:ascii="Arial"/>
                <w:sz w:val="21"/>
              </w:rPr>
            </w:pPr>
            <w:r/>
          </w:p>
        </w:tc>
      </w:tr>
      <w:tr>
        <w:trPr>
          <w:trHeight w:val="237"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restart"/>
            <w:tcBorders>
              <w:bottom w:val="nil"/>
            </w:tcBorders>
          </w:tcPr>
          <w:p>
            <w:pPr>
              <w:spacing w:line="262" w:lineRule="auto"/>
              <w:rPr>
                <w:rFonts w:ascii="Arial"/>
                <w:sz w:val="21"/>
              </w:rPr>
            </w:pPr>
            <w:r/>
          </w:p>
          <w:p>
            <w:pPr>
              <w:spacing w:line="263" w:lineRule="auto"/>
              <w:rPr>
                <w:rFonts w:ascii="Arial"/>
                <w:sz w:val="21"/>
              </w:rPr>
            </w:pPr>
            <w:r/>
          </w:p>
          <w:p>
            <w:pPr>
              <w:ind w:left="111"/>
              <w:spacing w:before="65" w:line="228" w:lineRule="auto"/>
              <w:rPr>
                <w:rFonts w:ascii="SimSun" w:hAnsi="SimSun" w:eastAsia="SimSun" w:cs="SimSun"/>
                <w:sz w:val="20"/>
                <w:szCs w:val="20"/>
              </w:rPr>
            </w:pPr>
            <w:r>
              <w:rPr>
                <w:rFonts w:ascii="SimSun" w:hAnsi="SimSun" w:eastAsia="SimSun" w:cs="SimSun"/>
                <w:sz w:val="20"/>
                <w:szCs w:val="20"/>
                <w:spacing w:val="8"/>
              </w:rPr>
              <w:t>环境敏感性</w:t>
            </w:r>
          </w:p>
        </w:tc>
        <w:tc>
          <w:tcPr>
            <w:tcW w:w="1269" w:type="dxa"/>
            <w:vAlign w:val="top"/>
            <w:vMerge w:val="restart"/>
            <w:tcBorders>
              <w:bottom w:val="nil"/>
            </w:tcBorders>
          </w:tcPr>
          <w:p>
            <w:pPr>
              <w:ind w:left="429"/>
              <w:spacing w:before="171" w:line="227" w:lineRule="auto"/>
              <w:rPr>
                <w:rFonts w:ascii="SimSun" w:hAnsi="SimSun" w:eastAsia="SimSun" w:cs="SimSun"/>
                <w:sz w:val="20"/>
                <w:szCs w:val="20"/>
              </w:rPr>
            </w:pPr>
            <w:r>
              <w:rPr>
                <w:rFonts w:ascii="SimSun" w:hAnsi="SimSun" w:eastAsia="SimSun" w:cs="SimSun"/>
                <w:sz w:val="20"/>
                <w:szCs w:val="20"/>
                <w:spacing w:val="3"/>
              </w:rPr>
              <w:t>大气</w:t>
            </w:r>
          </w:p>
        </w:tc>
        <w:tc>
          <w:tcPr>
            <w:tcW w:w="3295" w:type="dxa"/>
            <w:vAlign w:val="top"/>
            <w:gridSpan w:val="10"/>
          </w:tcPr>
          <w:p>
            <w:pPr>
              <w:pStyle w:val="TableText"/>
              <w:ind w:left="181"/>
              <w:spacing w:before="29" w:line="182" w:lineRule="auto"/>
              <w:rPr>
                <w:rFonts w:ascii="SimSun" w:hAnsi="SimSun" w:eastAsia="SimSun" w:cs="SimSun"/>
              </w:rPr>
            </w:pPr>
            <w:r>
              <w:rPr>
                <w:spacing w:val="5"/>
              </w:rPr>
              <w:t>500m </w:t>
            </w:r>
            <w:r>
              <w:rPr>
                <w:rFonts w:ascii="SimSun" w:hAnsi="SimSun" w:eastAsia="SimSun" w:cs="SimSun"/>
                <w:spacing w:val="5"/>
              </w:rPr>
              <w:t>范围内人口数  ＜</w:t>
            </w:r>
            <w:r>
              <w:rPr>
                <w:spacing w:val="5"/>
              </w:rPr>
              <w:t>500    </w:t>
            </w:r>
            <w:r>
              <w:rPr>
                <w:rFonts w:ascii="SimSun" w:hAnsi="SimSun" w:eastAsia="SimSun" w:cs="SimSun"/>
                <w:spacing w:val="5"/>
              </w:rPr>
              <w:t>人</w:t>
            </w:r>
          </w:p>
        </w:tc>
        <w:tc>
          <w:tcPr>
            <w:tcW w:w="2915" w:type="dxa"/>
            <w:vAlign w:val="top"/>
            <w:gridSpan w:val="9"/>
          </w:tcPr>
          <w:p>
            <w:pPr>
              <w:pStyle w:val="TableText"/>
              <w:ind w:left="117"/>
              <w:spacing w:before="29" w:line="182" w:lineRule="auto"/>
              <w:rPr>
                <w:rFonts w:ascii="SimSun" w:hAnsi="SimSun" w:eastAsia="SimSun" w:cs="SimSun"/>
              </w:rPr>
            </w:pPr>
            <w:r>
              <w:rPr>
                <w:spacing w:val="5"/>
              </w:rPr>
              <w:t>5</w:t>
            </w:r>
            <w:r>
              <w:rPr/>
              <w:t>km</w:t>
            </w:r>
            <w:r>
              <w:rPr>
                <w:spacing w:val="23"/>
                <w:w w:val="101"/>
              </w:rPr>
              <w:t xml:space="preserve"> </w:t>
            </w:r>
            <w:r>
              <w:rPr>
                <w:rFonts w:ascii="SimSun" w:hAnsi="SimSun" w:eastAsia="SimSun" w:cs="SimSun"/>
                <w:spacing w:val="5"/>
              </w:rPr>
              <w:t>范围内人口数</w:t>
            </w:r>
            <w:r>
              <w:rPr>
                <w:rFonts w:ascii="SimSun" w:hAnsi="SimSun" w:eastAsia="SimSun" w:cs="SimSun"/>
                <w:spacing w:val="8"/>
              </w:rPr>
              <w:t xml:space="preserve">     </w:t>
            </w:r>
            <w:r>
              <w:rPr>
                <w:rFonts w:ascii="SimSun" w:hAnsi="SimSun" w:eastAsia="SimSun" w:cs="SimSun"/>
                <w:spacing w:val="5"/>
              </w:rPr>
              <w:t>人</w:t>
            </w:r>
          </w:p>
        </w:tc>
      </w:tr>
      <w:tr>
        <w:trPr>
          <w:trHeight w:val="319"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bottom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4749" w:type="dxa"/>
            <w:vAlign w:val="top"/>
            <w:gridSpan w:val="16"/>
          </w:tcPr>
          <w:p>
            <w:pPr>
              <w:pStyle w:val="TableText"/>
              <w:ind w:left="302"/>
              <w:spacing w:before="71" w:line="219" w:lineRule="auto"/>
              <w:rPr>
                <w:rFonts w:ascii="SimSun" w:hAnsi="SimSun" w:eastAsia="SimSun" w:cs="SimSun"/>
              </w:rPr>
            </w:pPr>
            <w:r>
              <w:rPr>
                <w:rFonts w:ascii="SimSun" w:hAnsi="SimSun" w:eastAsia="SimSun" w:cs="SimSun"/>
                <w:spacing w:val="7"/>
              </w:rPr>
              <w:t>每公里管段周边</w:t>
            </w:r>
            <w:r>
              <w:rPr>
                <w:rFonts w:ascii="SimSun" w:hAnsi="SimSun" w:eastAsia="SimSun" w:cs="SimSun"/>
                <w:spacing w:val="-36"/>
              </w:rPr>
              <w:t xml:space="preserve"> </w:t>
            </w:r>
            <w:r>
              <w:rPr>
                <w:spacing w:val="7"/>
              </w:rPr>
              <w:t>200m</w:t>
            </w:r>
            <w:r>
              <w:rPr>
                <w:spacing w:val="17"/>
                <w:w w:val="101"/>
              </w:rPr>
              <w:t xml:space="preserve"> </w:t>
            </w:r>
            <w:r>
              <w:rPr>
                <w:rFonts w:ascii="SimSun" w:hAnsi="SimSun" w:eastAsia="SimSun" w:cs="SimSun"/>
                <w:spacing w:val="7"/>
              </w:rPr>
              <w:t>范围内人口数（最大）</w:t>
            </w:r>
          </w:p>
        </w:tc>
        <w:tc>
          <w:tcPr>
            <w:tcW w:w="1461" w:type="dxa"/>
            <w:vAlign w:val="top"/>
            <w:gridSpan w:val="3"/>
          </w:tcPr>
          <w:p>
            <w:pPr>
              <w:ind w:left="631"/>
              <w:spacing w:before="71" w:line="219" w:lineRule="auto"/>
              <w:rPr>
                <w:rFonts w:ascii="SimSun" w:hAnsi="SimSun" w:eastAsia="SimSun" w:cs="SimSun"/>
                <w:sz w:val="20"/>
                <w:szCs w:val="20"/>
              </w:rPr>
            </w:pPr>
            <w:r>
              <w:rPr>
                <w:rFonts w:ascii="SimSun" w:hAnsi="SimSun" w:eastAsia="SimSun" w:cs="SimSun"/>
                <w:sz w:val="20"/>
                <w:szCs w:val="20"/>
              </w:rPr>
              <w:t>人</w:t>
            </w:r>
          </w:p>
        </w:tc>
      </w:tr>
      <w:tr>
        <w:trPr>
          <w:trHeight w:val="275"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bottom w:val="nil"/>
            </w:tcBorders>
          </w:tcPr>
          <w:p>
            <w:pPr>
              <w:rPr>
                <w:rFonts w:ascii="Arial"/>
                <w:sz w:val="21"/>
              </w:rPr>
            </w:pPr>
            <w:r/>
          </w:p>
        </w:tc>
        <w:tc>
          <w:tcPr>
            <w:tcW w:w="1269" w:type="dxa"/>
            <w:vAlign w:val="top"/>
          </w:tcPr>
          <w:p>
            <w:pPr>
              <w:ind w:left="323"/>
              <w:spacing w:before="31" w:line="216" w:lineRule="auto"/>
              <w:rPr>
                <w:rFonts w:ascii="SimSun" w:hAnsi="SimSun" w:eastAsia="SimSun" w:cs="SimSun"/>
                <w:sz w:val="20"/>
                <w:szCs w:val="20"/>
              </w:rPr>
            </w:pPr>
            <w:r>
              <w:rPr>
                <w:rFonts w:ascii="SimSun" w:hAnsi="SimSun" w:eastAsia="SimSun" w:cs="SimSun"/>
                <w:sz w:val="20"/>
                <w:szCs w:val="20"/>
                <w:spacing w:val="6"/>
              </w:rPr>
              <w:t>地表水</w:t>
            </w:r>
          </w:p>
        </w:tc>
        <w:tc>
          <w:tcPr>
            <w:tcW w:w="1979" w:type="dxa"/>
            <w:vAlign w:val="top"/>
            <w:gridSpan w:val="5"/>
          </w:tcPr>
          <w:p>
            <w:pPr>
              <w:ind w:left="153"/>
              <w:spacing w:before="31" w:line="216" w:lineRule="auto"/>
              <w:rPr>
                <w:rFonts w:ascii="SimSun" w:hAnsi="SimSun" w:eastAsia="SimSun" w:cs="SimSun"/>
                <w:sz w:val="20"/>
                <w:szCs w:val="20"/>
              </w:rPr>
            </w:pPr>
            <w:r>
              <w:rPr>
                <w:rFonts w:ascii="SimSun" w:hAnsi="SimSun" w:eastAsia="SimSun" w:cs="SimSun"/>
                <w:sz w:val="20"/>
                <w:szCs w:val="20"/>
                <w:spacing w:val="8"/>
              </w:rPr>
              <w:t>地表水功能敏感性</w:t>
            </w:r>
          </w:p>
        </w:tc>
        <w:tc>
          <w:tcPr>
            <w:tcW w:w="1316" w:type="dxa"/>
            <w:vAlign w:val="top"/>
            <w:gridSpan w:val="5"/>
          </w:tcPr>
          <w:p>
            <w:pPr>
              <w:pStyle w:val="TableText"/>
              <w:ind w:left="456"/>
              <w:spacing w:before="66" w:line="195" w:lineRule="auto"/>
              <w:rPr/>
            </w:pPr>
            <w:r>
              <w:rPr>
                <w:spacing w:val="1"/>
              </w:rPr>
              <w:t>F1</w:t>
            </w:r>
            <w:r>
              <w:rPr>
                <w:spacing w:val="22"/>
              </w:rPr>
              <w:t xml:space="preserve"> </w:t>
            </w:r>
            <w:r>
              <w:rPr>
                <w:spacing w:val="1"/>
              </w:rPr>
              <w:t>□</w:t>
            </w:r>
          </w:p>
        </w:tc>
        <w:tc>
          <w:tcPr>
            <w:tcW w:w="1454" w:type="dxa"/>
            <w:vAlign w:val="top"/>
            <w:gridSpan w:val="6"/>
          </w:tcPr>
          <w:p>
            <w:pPr>
              <w:pStyle w:val="TableText"/>
              <w:ind w:left="484"/>
              <w:spacing w:before="31" w:line="216" w:lineRule="auto"/>
              <w:rPr>
                <w:rFonts w:ascii="MS UI Gothic" w:hAnsi="MS UI Gothic" w:eastAsia="MS UI Gothic" w:cs="MS UI Gothic"/>
              </w:rPr>
            </w:pPr>
            <w:r>
              <w:rPr>
                <w:spacing w:val="1"/>
              </w:rPr>
              <w:t>F2</w:t>
            </w:r>
            <w:r>
              <w:rPr>
                <w:spacing w:val="23"/>
                <w:w w:val="101"/>
              </w:rPr>
              <w:t xml:space="preserve"> </w:t>
            </w:r>
            <w:r>
              <w:rPr>
                <w:rFonts w:ascii="MS UI Gothic" w:hAnsi="MS UI Gothic" w:eastAsia="MS UI Gothic" w:cs="MS UI Gothic"/>
                <w:spacing w:val="1"/>
              </w:rPr>
              <w:t>☑</w:t>
            </w:r>
          </w:p>
        </w:tc>
        <w:tc>
          <w:tcPr>
            <w:tcW w:w="1461" w:type="dxa"/>
            <w:vAlign w:val="top"/>
            <w:gridSpan w:val="3"/>
          </w:tcPr>
          <w:p>
            <w:pPr>
              <w:pStyle w:val="TableText"/>
              <w:ind w:left="530"/>
              <w:spacing w:before="66" w:line="195" w:lineRule="auto"/>
              <w:rPr/>
            </w:pPr>
            <w:r>
              <w:rPr>
                <w:spacing w:val="1"/>
              </w:rPr>
              <w:t>F3</w:t>
            </w:r>
            <w:r>
              <w:rPr>
                <w:spacing w:val="19"/>
                <w:w w:val="101"/>
              </w:rPr>
              <w:t xml:space="preserve"> </w:t>
            </w:r>
            <w:r>
              <w:rPr>
                <w:spacing w:val="1"/>
              </w:rPr>
              <w:t>□</w:t>
            </w:r>
          </w:p>
        </w:tc>
      </w:tr>
      <w:tr>
        <w:trPr>
          <w:trHeight w:val="278"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bottom w:val="nil"/>
            </w:tcBorders>
          </w:tcPr>
          <w:p>
            <w:pPr>
              <w:rPr>
                <w:rFonts w:ascii="Arial"/>
                <w:sz w:val="21"/>
              </w:rPr>
            </w:pPr>
            <w:r/>
          </w:p>
        </w:tc>
        <w:tc>
          <w:tcPr>
            <w:tcW w:w="1269" w:type="dxa"/>
            <w:vAlign w:val="top"/>
            <w:vMerge w:val="restart"/>
            <w:tcBorders>
              <w:bottom w:val="nil"/>
            </w:tcBorders>
          </w:tcPr>
          <w:p>
            <w:pPr>
              <w:ind w:left="323"/>
              <w:spacing w:before="172" w:line="228" w:lineRule="auto"/>
              <w:rPr>
                <w:rFonts w:ascii="SimSun" w:hAnsi="SimSun" w:eastAsia="SimSun" w:cs="SimSun"/>
                <w:sz w:val="20"/>
                <w:szCs w:val="20"/>
              </w:rPr>
            </w:pPr>
            <w:r>
              <w:rPr>
                <w:rFonts w:ascii="SimSun" w:hAnsi="SimSun" w:eastAsia="SimSun" w:cs="SimSun"/>
                <w:sz w:val="20"/>
                <w:szCs w:val="20"/>
                <w:spacing w:val="6"/>
              </w:rPr>
              <w:t>地下水</w:t>
            </w:r>
          </w:p>
        </w:tc>
        <w:tc>
          <w:tcPr>
            <w:tcW w:w="1979" w:type="dxa"/>
            <w:vAlign w:val="top"/>
            <w:gridSpan w:val="5"/>
          </w:tcPr>
          <w:p>
            <w:pPr>
              <w:ind w:left="153"/>
              <w:spacing w:before="30" w:line="219" w:lineRule="auto"/>
              <w:rPr>
                <w:rFonts w:ascii="SimSun" w:hAnsi="SimSun" w:eastAsia="SimSun" w:cs="SimSun"/>
                <w:sz w:val="20"/>
                <w:szCs w:val="20"/>
              </w:rPr>
            </w:pPr>
            <w:r>
              <w:rPr>
                <w:rFonts w:ascii="SimSun" w:hAnsi="SimSun" w:eastAsia="SimSun" w:cs="SimSun"/>
                <w:sz w:val="20"/>
                <w:szCs w:val="20"/>
                <w:spacing w:val="8"/>
              </w:rPr>
              <w:t>地下水功能敏感性</w:t>
            </w:r>
          </w:p>
        </w:tc>
        <w:tc>
          <w:tcPr>
            <w:tcW w:w="1316" w:type="dxa"/>
            <w:vAlign w:val="top"/>
            <w:gridSpan w:val="5"/>
          </w:tcPr>
          <w:p>
            <w:pPr>
              <w:pStyle w:val="TableText"/>
              <w:ind w:left="444"/>
              <w:spacing w:before="67" w:line="195" w:lineRule="auto"/>
              <w:rPr/>
            </w:pPr>
            <w:r>
              <w:rPr/>
              <w:t>G1</w:t>
            </w:r>
            <w:r>
              <w:rPr>
                <w:spacing w:val="21"/>
                <w:w w:val="101"/>
              </w:rPr>
              <w:t xml:space="preserve"> </w:t>
            </w:r>
            <w:r>
              <w:rPr/>
              <w:t>□</w:t>
            </w:r>
          </w:p>
        </w:tc>
        <w:tc>
          <w:tcPr>
            <w:tcW w:w="1454" w:type="dxa"/>
            <w:vAlign w:val="top"/>
            <w:gridSpan w:val="6"/>
          </w:tcPr>
          <w:p>
            <w:pPr>
              <w:pStyle w:val="TableText"/>
              <w:ind w:left="445"/>
              <w:spacing w:before="30" w:line="219" w:lineRule="auto"/>
              <w:rPr>
                <w:rFonts w:ascii="MS Gothic" w:hAnsi="MS Gothic" w:eastAsia="MS Gothic" w:cs="MS Gothic"/>
              </w:rPr>
            </w:pPr>
            <w:r>
              <w:rPr>
                <w:spacing w:val="1"/>
              </w:rPr>
              <w:t>G2</w:t>
            </w:r>
            <w:r>
              <w:rPr>
                <w:spacing w:val="11"/>
              </w:rPr>
              <w:t xml:space="preserve">  </w:t>
            </w:r>
            <w:r>
              <w:rPr>
                <w:rFonts w:ascii="MS Gothic" w:hAnsi="MS Gothic" w:eastAsia="MS Gothic" w:cs="MS Gothic"/>
                <w:spacing w:val="1"/>
              </w:rPr>
              <w:t>☑</w:t>
            </w:r>
          </w:p>
        </w:tc>
        <w:tc>
          <w:tcPr>
            <w:tcW w:w="1461" w:type="dxa"/>
            <w:vAlign w:val="top"/>
            <w:gridSpan w:val="3"/>
          </w:tcPr>
          <w:p>
            <w:pPr>
              <w:pStyle w:val="TableText"/>
              <w:ind w:left="448"/>
              <w:spacing w:before="30" w:line="219" w:lineRule="auto"/>
              <w:rPr>
                <w:rFonts w:ascii="SimSun" w:hAnsi="SimSun" w:eastAsia="SimSun" w:cs="SimSun"/>
              </w:rPr>
            </w:pPr>
            <w:r>
              <w:rPr>
                <w:spacing w:val="1"/>
              </w:rPr>
              <w:t>G3</w:t>
            </w:r>
            <w:r>
              <w:rPr>
                <w:spacing w:val="16"/>
                <w:w w:val="101"/>
              </w:rPr>
              <w:t xml:space="preserve">  </w:t>
            </w:r>
            <w:r>
              <w:rPr>
                <w:rFonts w:ascii="SimSun" w:hAnsi="SimSun" w:eastAsia="SimSun" w:cs="SimSun"/>
                <w:spacing w:val="1"/>
              </w:rPr>
              <w:t>□</w:t>
            </w:r>
          </w:p>
        </w:tc>
      </w:tr>
      <w:tr>
        <w:trPr>
          <w:trHeight w:val="278" w:hRule="atLeast"/>
        </w:trPr>
        <w:tc>
          <w:tcPr>
            <w:tcW w:w="542" w:type="dxa"/>
            <w:vAlign w:val="top"/>
            <w:vMerge w:val="continue"/>
            <w:textDirection w:val="tbRlV"/>
            <w:tcBorders>
              <w:top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1979" w:type="dxa"/>
            <w:vAlign w:val="top"/>
            <w:gridSpan w:val="5"/>
          </w:tcPr>
          <w:p>
            <w:pPr>
              <w:ind w:left="256"/>
              <w:spacing w:before="31" w:line="218" w:lineRule="auto"/>
              <w:rPr>
                <w:rFonts w:ascii="SimSun" w:hAnsi="SimSun" w:eastAsia="SimSun" w:cs="SimSun"/>
                <w:sz w:val="20"/>
                <w:szCs w:val="20"/>
              </w:rPr>
            </w:pPr>
            <w:r>
              <w:rPr>
                <w:rFonts w:ascii="SimSun" w:hAnsi="SimSun" w:eastAsia="SimSun" w:cs="SimSun"/>
                <w:sz w:val="20"/>
                <w:szCs w:val="20"/>
                <w:spacing w:val="8"/>
              </w:rPr>
              <w:t>包气带防污性能</w:t>
            </w:r>
          </w:p>
        </w:tc>
        <w:tc>
          <w:tcPr>
            <w:tcW w:w="1316" w:type="dxa"/>
            <w:vAlign w:val="top"/>
            <w:gridSpan w:val="5"/>
          </w:tcPr>
          <w:p>
            <w:pPr>
              <w:pStyle w:val="TableText"/>
              <w:ind w:left="373"/>
              <w:spacing w:before="31" w:line="218" w:lineRule="auto"/>
              <w:rPr>
                <w:rFonts w:ascii="MS Gothic" w:hAnsi="MS Gothic" w:eastAsia="MS Gothic" w:cs="MS Gothic"/>
              </w:rPr>
            </w:pPr>
            <w:r>
              <w:rPr>
                <w:spacing w:val="2"/>
              </w:rPr>
              <w:t>D1</w:t>
            </w:r>
            <w:r>
              <w:rPr>
                <w:spacing w:val="10"/>
              </w:rPr>
              <w:t xml:space="preserve">  </w:t>
            </w:r>
            <w:r>
              <w:rPr>
                <w:rFonts w:ascii="MS Gothic" w:hAnsi="MS Gothic" w:eastAsia="MS Gothic" w:cs="MS Gothic"/>
                <w:spacing w:val="2"/>
              </w:rPr>
              <w:t>☑</w:t>
            </w:r>
          </w:p>
        </w:tc>
        <w:tc>
          <w:tcPr>
            <w:tcW w:w="1454" w:type="dxa"/>
            <w:vAlign w:val="top"/>
            <w:gridSpan w:val="6"/>
          </w:tcPr>
          <w:p>
            <w:pPr>
              <w:pStyle w:val="TableText"/>
              <w:ind w:left="497"/>
              <w:spacing w:before="31" w:line="218" w:lineRule="auto"/>
              <w:rPr>
                <w:rFonts w:ascii="SimSun" w:hAnsi="SimSun" w:eastAsia="SimSun" w:cs="SimSun"/>
              </w:rPr>
            </w:pPr>
            <w:r>
              <w:rPr>
                <w:spacing w:val="4"/>
              </w:rPr>
              <w:t>D2</w:t>
            </w:r>
            <w:r>
              <w:rPr>
                <w:rFonts w:ascii="SimSun" w:hAnsi="SimSun" w:eastAsia="SimSun" w:cs="SimSun"/>
                <w:spacing w:val="4"/>
              </w:rPr>
              <w:t>□</w:t>
            </w:r>
          </w:p>
        </w:tc>
        <w:tc>
          <w:tcPr>
            <w:tcW w:w="1461" w:type="dxa"/>
            <w:vAlign w:val="top"/>
            <w:gridSpan w:val="3"/>
          </w:tcPr>
          <w:p>
            <w:pPr>
              <w:pStyle w:val="TableText"/>
              <w:ind w:left="511"/>
              <w:spacing w:before="67" w:line="195" w:lineRule="auto"/>
              <w:rPr/>
            </w:pPr>
            <w:r>
              <w:rPr>
                <w:spacing w:val="2"/>
              </w:rPr>
              <w:t>D3</w:t>
            </w:r>
            <w:r>
              <w:rPr>
                <w:spacing w:val="17"/>
              </w:rPr>
              <w:t xml:space="preserve"> </w:t>
            </w:r>
            <w:r>
              <w:rPr>
                <w:spacing w:val="2"/>
              </w:rPr>
              <w:t>□</w:t>
            </w:r>
          </w:p>
        </w:tc>
      </w:tr>
      <w:tr>
        <w:trPr>
          <w:trHeight w:val="276" w:hRule="atLeast"/>
        </w:trPr>
        <w:tc>
          <w:tcPr>
            <w:tcW w:w="1811" w:type="dxa"/>
            <w:vAlign w:val="top"/>
            <w:gridSpan w:val="2"/>
            <w:vMerge w:val="restart"/>
            <w:tcBorders>
              <w:bottom w:val="nil"/>
            </w:tcBorders>
          </w:tcPr>
          <w:p>
            <w:pPr>
              <w:ind w:left="597" w:right="169" w:hanging="422"/>
              <w:spacing w:before="178" w:line="252" w:lineRule="auto"/>
              <w:rPr>
                <w:rFonts w:ascii="SimSun" w:hAnsi="SimSun" w:eastAsia="SimSun" w:cs="SimSun"/>
                <w:sz w:val="20"/>
                <w:szCs w:val="20"/>
              </w:rPr>
            </w:pPr>
            <w:r>
              <w:rPr>
                <w:rFonts w:ascii="SimSun" w:hAnsi="SimSun" w:eastAsia="SimSun" w:cs="SimSun"/>
                <w:sz w:val="20"/>
                <w:szCs w:val="20"/>
                <w:spacing w:val="8"/>
              </w:rPr>
              <w:t>物质及工艺系统</w:t>
            </w:r>
            <w:r>
              <w:rPr>
                <w:rFonts w:ascii="SimSun" w:hAnsi="SimSun" w:eastAsia="SimSun" w:cs="SimSun"/>
                <w:sz w:val="20"/>
                <w:szCs w:val="20"/>
                <w:spacing w:val="6"/>
              </w:rPr>
              <w:t>危险性</w:t>
            </w:r>
          </w:p>
        </w:tc>
        <w:tc>
          <w:tcPr>
            <w:tcW w:w="1269" w:type="dxa"/>
            <w:vAlign w:val="top"/>
          </w:tcPr>
          <w:p>
            <w:pPr>
              <w:pStyle w:val="TableText"/>
              <w:ind w:left="430"/>
              <w:spacing w:before="31" w:line="216" w:lineRule="auto"/>
              <w:rPr>
                <w:rFonts w:ascii="SimSun" w:hAnsi="SimSun" w:eastAsia="SimSun" w:cs="SimSun"/>
              </w:rPr>
            </w:pPr>
            <w:r>
              <w:rPr>
                <w:spacing w:val="-1"/>
              </w:rPr>
              <w:t>Q</w:t>
            </w:r>
            <w:r>
              <w:rPr>
                <w:spacing w:val="12"/>
              </w:rPr>
              <w:t xml:space="preserve"> </w:t>
            </w:r>
            <w:r>
              <w:rPr>
                <w:rFonts w:ascii="SimSun" w:hAnsi="SimSun" w:eastAsia="SimSun" w:cs="SimSun"/>
                <w:spacing w:val="-1"/>
              </w:rPr>
              <w:t>值</w:t>
            </w:r>
          </w:p>
        </w:tc>
        <w:tc>
          <w:tcPr>
            <w:tcW w:w="1979" w:type="dxa"/>
            <w:vAlign w:val="top"/>
            <w:gridSpan w:val="5"/>
          </w:tcPr>
          <w:p>
            <w:pPr>
              <w:pStyle w:val="TableText"/>
              <w:ind w:left="651"/>
              <w:spacing w:before="31" w:line="216" w:lineRule="auto"/>
              <w:rPr>
                <w:rFonts w:ascii="MS UI Gothic" w:hAnsi="MS UI Gothic" w:eastAsia="MS UI Gothic" w:cs="MS UI Gothic"/>
              </w:rPr>
            </w:pPr>
            <w:r>
              <w:rPr>
                <w:spacing w:val="6"/>
              </w:rPr>
              <w:t>Q</w:t>
            </w:r>
            <w:r>
              <w:rPr>
                <w:rFonts w:ascii="SimSun" w:hAnsi="SimSun" w:eastAsia="SimSun" w:cs="SimSun"/>
                <w:spacing w:val="6"/>
              </w:rPr>
              <w:t>＜</w:t>
            </w:r>
            <w:r>
              <w:rPr>
                <w:spacing w:val="6"/>
              </w:rPr>
              <w:t>1</w:t>
            </w:r>
            <w:r>
              <w:rPr>
                <w:rFonts w:ascii="MS UI Gothic" w:hAnsi="MS UI Gothic" w:eastAsia="MS UI Gothic" w:cs="MS UI Gothic"/>
                <w:spacing w:val="6"/>
              </w:rPr>
              <w:t>☑</w:t>
            </w:r>
          </w:p>
        </w:tc>
        <w:tc>
          <w:tcPr>
            <w:tcW w:w="1316" w:type="dxa"/>
            <w:vAlign w:val="top"/>
            <w:gridSpan w:val="5"/>
          </w:tcPr>
          <w:p>
            <w:pPr>
              <w:pStyle w:val="TableText"/>
              <w:ind w:left="194"/>
              <w:spacing w:before="31" w:line="216" w:lineRule="auto"/>
              <w:rPr/>
            </w:pPr>
            <w:r>
              <w:rPr>
                <w:spacing w:val="1"/>
              </w:rPr>
              <w:t>1≤Q</w:t>
            </w:r>
            <w:r>
              <w:rPr>
                <w:rFonts w:ascii="SimSun" w:hAnsi="SimSun" w:eastAsia="SimSun" w:cs="SimSun"/>
                <w:spacing w:val="1"/>
              </w:rPr>
              <w:t>＜</w:t>
            </w:r>
            <w:r>
              <w:rPr>
                <w:spacing w:val="1"/>
              </w:rPr>
              <w:t>10</w:t>
            </w:r>
            <w:r>
              <w:rPr>
                <w:spacing w:val="22"/>
                <w:w w:val="101"/>
              </w:rPr>
              <w:t xml:space="preserve"> </w:t>
            </w:r>
            <w:r>
              <w:rPr>
                <w:spacing w:val="1"/>
              </w:rPr>
              <w:t>□</w:t>
            </w:r>
          </w:p>
        </w:tc>
        <w:tc>
          <w:tcPr>
            <w:tcW w:w="1454" w:type="dxa"/>
            <w:vAlign w:val="top"/>
            <w:gridSpan w:val="6"/>
          </w:tcPr>
          <w:p>
            <w:pPr>
              <w:pStyle w:val="TableText"/>
              <w:ind w:left="186"/>
              <w:spacing w:before="31" w:line="216" w:lineRule="auto"/>
              <w:rPr/>
            </w:pPr>
            <w:r>
              <w:rPr>
                <w:spacing w:val="3"/>
              </w:rPr>
              <w:t>10≤Q</w:t>
            </w:r>
            <w:r>
              <w:rPr>
                <w:rFonts w:ascii="SimSun" w:hAnsi="SimSun" w:eastAsia="SimSun" w:cs="SimSun"/>
                <w:spacing w:val="3"/>
              </w:rPr>
              <w:t>＜</w:t>
            </w:r>
            <w:r>
              <w:rPr>
                <w:spacing w:val="3"/>
              </w:rPr>
              <w:t>100□</w:t>
            </w:r>
          </w:p>
        </w:tc>
        <w:tc>
          <w:tcPr>
            <w:tcW w:w="1461" w:type="dxa"/>
            <w:vAlign w:val="top"/>
            <w:gridSpan w:val="3"/>
          </w:tcPr>
          <w:p>
            <w:pPr>
              <w:pStyle w:val="TableText"/>
              <w:ind w:left="306"/>
              <w:spacing w:before="31" w:line="216" w:lineRule="auto"/>
              <w:rPr/>
            </w:pPr>
            <w:r>
              <w:rPr>
                <w:spacing w:val="3"/>
              </w:rPr>
              <w:t>Q</w:t>
            </w:r>
            <w:r>
              <w:rPr>
                <w:rFonts w:ascii="SimSun" w:hAnsi="SimSun" w:eastAsia="SimSun" w:cs="SimSun"/>
                <w:spacing w:val="3"/>
              </w:rPr>
              <w:t>＞</w:t>
            </w:r>
            <w:r>
              <w:rPr>
                <w:spacing w:val="3"/>
              </w:rPr>
              <w:t>100</w:t>
            </w:r>
            <w:r>
              <w:rPr>
                <w:spacing w:val="21"/>
              </w:rPr>
              <w:t xml:space="preserve"> </w:t>
            </w:r>
            <w:r>
              <w:rPr>
                <w:spacing w:val="3"/>
              </w:rPr>
              <w:t>□</w:t>
            </w:r>
          </w:p>
        </w:tc>
      </w:tr>
      <w:tr>
        <w:trPr>
          <w:trHeight w:val="278" w:hRule="atLeast"/>
        </w:trPr>
        <w:tc>
          <w:tcPr>
            <w:tcW w:w="1811" w:type="dxa"/>
            <w:vAlign w:val="top"/>
            <w:gridSpan w:val="2"/>
            <w:vMerge w:val="continue"/>
            <w:tcBorders>
              <w:top w:val="nil"/>
              <w:bottom w:val="nil"/>
            </w:tcBorders>
          </w:tcPr>
          <w:p>
            <w:pPr>
              <w:rPr>
                <w:rFonts w:ascii="Arial"/>
                <w:sz w:val="21"/>
              </w:rPr>
            </w:pPr>
            <w:r/>
          </w:p>
        </w:tc>
        <w:tc>
          <w:tcPr>
            <w:tcW w:w="1269" w:type="dxa"/>
            <w:vAlign w:val="top"/>
          </w:tcPr>
          <w:p>
            <w:pPr>
              <w:pStyle w:val="TableText"/>
              <w:ind w:left="409"/>
              <w:spacing w:before="31" w:line="218" w:lineRule="auto"/>
              <w:rPr>
                <w:rFonts w:ascii="SimSun" w:hAnsi="SimSun" w:eastAsia="SimSun" w:cs="SimSun"/>
              </w:rPr>
            </w:pPr>
            <w:r>
              <w:rPr>
                <w:spacing w:val="2"/>
              </w:rPr>
              <w:t>M</w:t>
            </w:r>
            <w:r>
              <w:rPr>
                <w:spacing w:val="7"/>
              </w:rPr>
              <w:t xml:space="preserve"> </w:t>
            </w:r>
            <w:r>
              <w:rPr>
                <w:rFonts w:ascii="SimSun" w:hAnsi="SimSun" w:eastAsia="SimSun" w:cs="SimSun"/>
                <w:spacing w:val="2"/>
              </w:rPr>
              <w:t>值</w:t>
            </w:r>
          </w:p>
        </w:tc>
        <w:tc>
          <w:tcPr>
            <w:tcW w:w="1979" w:type="dxa"/>
            <w:vAlign w:val="top"/>
            <w:gridSpan w:val="5"/>
          </w:tcPr>
          <w:p>
            <w:pPr>
              <w:pStyle w:val="TableText"/>
              <w:ind w:left="753"/>
              <w:spacing w:before="67" w:line="195" w:lineRule="auto"/>
              <w:rPr/>
            </w:pPr>
            <w:r>
              <w:rPr>
                <w:spacing w:val="2"/>
              </w:rPr>
              <w:t>M1</w:t>
            </w:r>
            <w:r>
              <w:rPr>
                <w:spacing w:val="19"/>
                <w:w w:val="101"/>
              </w:rPr>
              <w:t xml:space="preserve"> </w:t>
            </w:r>
            <w:r>
              <w:rPr>
                <w:spacing w:val="2"/>
              </w:rPr>
              <w:t>□</w:t>
            </w:r>
          </w:p>
        </w:tc>
        <w:tc>
          <w:tcPr>
            <w:tcW w:w="1316" w:type="dxa"/>
            <w:vAlign w:val="top"/>
            <w:gridSpan w:val="5"/>
          </w:tcPr>
          <w:p>
            <w:pPr>
              <w:pStyle w:val="TableText"/>
              <w:ind w:left="421"/>
              <w:spacing w:before="67" w:line="195" w:lineRule="auto"/>
              <w:rPr/>
            </w:pPr>
            <w:r>
              <w:rPr>
                <w:spacing w:val="2"/>
              </w:rPr>
              <w:t>M2</w:t>
            </w:r>
            <w:r>
              <w:rPr>
                <w:spacing w:val="24"/>
              </w:rPr>
              <w:t xml:space="preserve"> </w:t>
            </w:r>
            <w:r>
              <w:rPr>
                <w:spacing w:val="2"/>
              </w:rPr>
              <w:t>□</w:t>
            </w:r>
          </w:p>
        </w:tc>
        <w:tc>
          <w:tcPr>
            <w:tcW w:w="1454" w:type="dxa"/>
            <w:vAlign w:val="top"/>
            <w:gridSpan w:val="6"/>
          </w:tcPr>
          <w:p>
            <w:pPr>
              <w:pStyle w:val="TableText"/>
              <w:ind w:left="494"/>
              <w:spacing w:before="67" w:line="195" w:lineRule="auto"/>
              <w:rPr/>
            </w:pPr>
            <w:r>
              <w:rPr>
                <w:spacing w:val="2"/>
              </w:rPr>
              <w:t>M3</w:t>
            </w:r>
            <w:r>
              <w:rPr>
                <w:spacing w:val="19"/>
                <w:w w:val="101"/>
              </w:rPr>
              <w:t xml:space="preserve"> </w:t>
            </w:r>
            <w:r>
              <w:rPr>
                <w:spacing w:val="2"/>
              </w:rPr>
              <w:t>□</w:t>
            </w:r>
          </w:p>
        </w:tc>
        <w:tc>
          <w:tcPr>
            <w:tcW w:w="1461" w:type="dxa"/>
            <w:vAlign w:val="top"/>
            <w:gridSpan w:val="3"/>
          </w:tcPr>
          <w:p>
            <w:pPr>
              <w:pStyle w:val="TableText"/>
              <w:ind w:left="495"/>
              <w:spacing w:before="67" w:line="195" w:lineRule="auto"/>
              <w:rPr/>
            </w:pPr>
            <w:r>
              <w:rPr>
                <w:spacing w:val="2"/>
              </w:rPr>
              <w:t>M4</w:t>
            </w:r>
            <w:r>
              <w:rPr>
                <w:spacing w:val="19"/>
                <w:w w:val="101"/>
              </w:rPr>
              <w:t xml:space="preserve"> </w:t>
            </w:r>
            <w:r>
              <w:rPr>
                <w:spacing w:val="2"/>
              </w:rPr>
              <w:t>□</w:t>
            </w:r>
          </w:p>
        </w:tc>
      </w:tr>
      <w:tr>
        <w:trPr>
          <w:trHeight w:val="276" w:hRule="atLeast"/>
        </w:trPr>
        <w:tc>
          <w:tcPr>
            <w:tcW w:w="1811" w:type="dxa"/>
            <w:vAlign w:val="top"/>
            <w:gridSpan w:val="2"/>
            <w:vMerge w:val="continue"/>
            <w:tcBorders>
              <w:top w:val="nil"/>
            </w:tcBorders>
          </w:tcPr>
          <w:p>
            <w:pPr>
              <w:rPr>
                <w:rFonts w:ascii="Arial"/>
                <w:sz w:val="21"/>
              </w:rPr>
            </w:pPr>
            <w:r/>
          </w:p>
        </w:tc>
        <w:tc>
          <w:tcPr>
            <w:tcW w:w="1269" w:type="dxa"/>
            <w:vAlign w:val="top"/>
          </w:tcPr>
          <w:p>
            <w:pPr>
              <w:pStyle w:val="TableText"/>
              <w:ind w:left="441"/>
              <w:spacing w:before="31" w:line="216" w:lineRule="auto"/>
              <w:rPr>
                <w:rFonts w:ascii="SimSun" w:hAnsi="SimSun" w:eastAsia="SimSun" w:cs="SimSun"/>
              </w:rPr>
            </w:pPr>
            <w:r>
              <w:rPr>
                <w:spacing w:val="1"/>
              </w:rPr>
              <w:t>P</w:t>
            </w:r>
            <w:r>
              <w:rPr>
                <w:spacing w:val="14"/>
                <w:w w:val="101"/>
              </w:rPr>
              <w:t xml:space="preserve"> </w:t>
            </w:r>
            <w:r>
              <w:rPr>
                <w:rFonts w:ascii="SimSun" w:hAnsi="SimSun" w:eastAsia="SimSun" w:cs="SimSun"/>
                <w:spacing w:val="1"/>
              </w:rPr>
              <w:t>值</w:t>
            </w:r>
          </w:p>
        </w:tc>
        <w:tc>
          <w:tcPr>
            <w:tcW w:w="1979" w:type="dxa"/>
            <w:vAlign w:val="top"/>
            <w:gridSpan w:val="5"/>
          </w:tcPr>
          <w:p>
            <w:pPr>
              <w:pStyle w:val="TableText"/>
              <w:ind w:left="787"/>
              <w:spacing w:before="67" w:line="195" w:lineRule="auto"/>
              <w:rPr/>
            </w:pPr>
            <w:r>
              <w:rPr/>
              <w:t>P1</w:t>
            </w:r>
            <w:r>
              <w:rPr>
                <w:spacing w:val="22"/>
                <w:w w:val="101"/>
              </w:rPr>
              <w:t xml:space="preserve"> </w:t>
            </w:r>
            <w:r>
              <w:rPr/>
              <w:t>□</w:t>
            </w:r>
          </w:p>
        </w:tc>
        <w:tc>
          <w:tcPr>
            <w:tcW w:w="1316" w:type="dxa"/>
            <w:vAlign w:val="top"/>
            <w:gridSpan w:val="5"/>
          </w:tcPr>
          <w:p>
            <w:pPr>
              <w:pStyle w:val="TableText"/>
              <w:ind w:left="457"/>
              <w:spacing w:before="67" w:line="195" w:lineRule="auto"/>
              <w:rPr/>
            </w:pPr>
            <w:r>
              <w:rPr>
                <w:spacing w:val="1"/>
              </w:rPr>
              <w:t>P2</w:t>
            </w:r>
            <w:r>
              <w:rPr>
                <w:spacing w:val="22"/>
              </w:rPr>
              <w:t xml:space="preserve"> </w:t>
            </w:r>
            <w:r>
              <w:rPr>
                <w:spacing w:val="1"/>
              </w:rPr>
              <w:t>□</w:t>
            </w:r>
          </w:p>
        </w:tc>
        <w:tc>
          <w:tcPr>
            <w:tcW w:w="1454" w:type="dxa"/>
            <w:vAlign w:val="top"/>
            <w:gridSpan w:val="6"/>
          </w:tcPr>
          <w:p>
            <w:pPr>
              <w:pStyle w:val="TableText"/>
              <w:ind w:left="528"/>
              <w:spacing w:before="67" w:line="195" w:lineRule="auto"/>
              <w:rPr/>
            </w:pPr>
            <w:r>
              <w:rPr/>
              <w:t>P3</w:t>
            </w:r>
            <w:r>
              <w:rPr>
                <w:spacing w:val="22"/>
                <w:w w:val="101"/>
              </w:rPr>
              <w:t xml:space="preserve"> </w:t>
            </w:r>
            <w:r>
              <w:rPr/>
              <w:t>□</w:t>
            </w:r>
          </w:p>
        </w:tc>
        <w:tc>
          <w:tcPr>
            <w:tcW w:w="1461" w:type="dxa"/>
            <w:vAlign w:val="top"/>
            <w:gridSpan w:val="3"/>
          </w:tcPr>
          <w:p>
            <w:pPr>
              <w:pStyle w:val="TableText"/>
              <w:ind w:left="531"/>
              <w:spacing w:before="67" w:line="195" w:lineRule="auto"/>
              <w:rPr/>
            </w:pPr>
            <w:r>
              <w:rPr>
                <w:spacing w:val="1"/>
              </w:rPr>
              <w:t>P4</w:t>
            </w:r>
            <w:r>
              <w:rPr>
                <w:spacing w:val="19"/>
                <w:w w:val="101"/>
              </w:rPr>
              <w:t xml:space="preserve"> </w:t>
            </w:r>
            <w:r>
              <w:rPr>
                <w:spacing w:val="1"/>
              </w:rPr>
              <w:t>□</w:t>
            </w:r>
          </w:p>
        </w:tc>
      </w:tr>
      <w:tr>
        <w:trPr>
          <w:trHeight w:val="278" w:hRule="atLeast"/>
        </w:trPr>
        <w:tc>
          <w:tcPr>
            <w:tcW w:w="1811" w:type="dxa"/>
            <w:vAlign w:val="top"/>
            <w:gridSpan w:val="2"/>
            <w:vMerge w:val="restart"/>
            <w:tcBorders>
              <w:bottom w:val="nil"/>
            </w:tcBorders>
          </w:tcPr>
          <w:p>
            <w:pPr>
              <w:ind w:left="700" w:right="486" w:hanging="210"/>
              <w:spacing w:before="178" w:line="254" w:lineRule="auto"/>
              <w:rPr>
                <w:rFonts w:ascii="SimSun" w:hAnsi="SimSun" w:eastAsia="SimSun" w:cs="SimSun"/>
                <w:sz w:val="20"/>
                <w:szCs w:val="20"/>
              </w:rPr>
            </w:pPr>
            <w:r>
              <w:rPr>
                <w:rFonts w:ascii="SimSun" w:hAnsi="SimSun" w:eastAsia="SimSun" w:cs="SimSun"/>
                <w:sz w:val="20"/>
                <w:szCs w:val="20"/>
                <w:spacing w:val="7"/>
              </w:rPr>
              <w:t>环境敏感</w:t>
            </w:r>
            <w:r>
              <w:rPr>
                <w:rFonts w:ascii="SimSun" w:hAnsi="SimSun" w:eastAsia="SimSun" w:cs="SimSun"/>
                <w:sz w:val="20"/>
                <w:szCs w:val="20"/>
                <w:spacing w:val="5"/>
              </w:rPr>
              <w:t>程度</w:t>
            </w:r>
          </w:p>
        </w:tc>
        <w:tc>
          <w:tcPr>
            <w:tcW w:w="1269" w:type="dxa"/>
            <w:vAlign w:val="top"/>
          </w:tcPr>
          <w:p>
            <w:pPr>
              <w:ind w:left="429"/>
              <w:spacing w:before="33" w:line="216" w:lineRule="auto"/>
              <w:rPr>
                <w:rFonts w:ascii="SimSun" w:hAnsi="SimSun" w:eastAsia="SimSun" w:cs="SimSun"/>
                <w:sz w:val="20"/>
                <w:szCs w:val="20"/>
              </w:rPr>
            </w:pPr>
            <w:r>
              <w:rPr>
                <w:rFonts w:ascii="SimSun" w:hAnsi="SimSun" w:eastAsia="SimSun" w:cs="SimSun"/>
                <w:sz w:val="20"/>
                <w:szCs w:val="20"/>
                <w:spacing w:val="3"/>
              </w:rPr>
              <w:t>大气</w:t>
            </w:r>
          </w:p>
        </w:tc>
        <w:tc>
          <w:tcPr>
            <w:tcW w:w="2338" w:type="dxa"/>
            <w:vAlign w:val="top"/>
            <w:gridSpan w:val="8"/>
          </w:tcPr>
          <w:p>
            <w:pPr>
              <w:pStyle w:val="TableText"/>
              <w:ind w:left="960"/>
              <w:spacing w:before="69" w:line="195" w:lineRule="auto"/>
              <w:rPr/>
            </w:pPr>
            <w:r>
              <w:rPr>
                <w:spacing w:val="1"/>
              </w:rPr>
              <w:t>E1</w:t>
            </w:r>
            <w:r>
              <w:rPr>
                <w:spacing w:val="22"/>
              </w:rPr>
              <w:t xml:space="preserve"> </w:t>
            </w:r>
            <w:r>
              <w:rPr>
                <w:spacing w:val="1"/>
              </w:rPr>
              <w:t>□</w:t>
            </w:r>
          </w:p>
        </w:tc>
        <w:tc>
          <w:tcPr>
            <w:tcW w:w="1924" w:type="dxa"/>
            <w:vAlign w:val="top"/>
            <w:gridSpan w:val="6"/>
          </w:tcPr>
          <w:p>
            <w:pPr>
              <w:pStyle w:val="TableText"/>
              <w:ind w:left="758"/>
              <w:spacing w:before="69" w:line="195" w:lineRule="auto"/>
              <w:rPr/>
            </w:pPr>
            <w:r>
              <w:rPr>
                <w:spacing w:val="1"/>
              </w:rPr>
              <w:t>E2</w:t>
            </w:r>
            <w:r>
              <w:rPr>
                <w:spacing w:val="19"/>
                <w:w w:val="101"/>
              </w:rPr>
              <w:t xml:space="preserve"> </w:t>
            </w:r>
            <w:r>
              <w:rPr>
                <w:spacing w:val="1"/>
              </w:rPr>
              <w:t>□</w:t>
            </w:r>
          </w:p>
        </w:tc>
        <w:tc>
          <w:tcPr>
            <w:tcW w:w="1948" w:type="dxa"/>
            <w:vAlign w:val="top"/>
            <w:gridSpan w:val="5"/>
          </w:tcPr>
          <w:p>
            <w:pPr>
              <w:pStyle w:val="TableText"/>
              <w:ind w:left="752"/>
              <w:spacing w:before="33" w:line="216" w:lineRule="auto"/>
              <w:rPr>
                <w:rFonts w:ascii="MS UI Gothic" w:hAnsi="MS UI Gothic" w:eastAsia="MS UI Gothic" w:cs="MS UI Gothic"/>
              </w:rPr>
            </w:pPr>
            <w:r>
              <w:rPr>
                <w:spacing w:val="4"/>
              </w:rPr>
              <w:t>E3</w:t>
            </w:r>
            <w:r>
              <w:rPr>
                <w:rFonts w:ascii="MS UI Gothic" w:hAnsi="MS UI Gothic" w:eastAsia="MS UI Gothic" w:cs="MS UI Gothic"/>
                <w:spacing w:val="4"/>
              </w:rPr>
              <w:t>☑</w:t>
            </w:r>
          </w:p>
        </w:tc>
      </w:tr>
      <w:tr>
        <w:trPr>
          <w:trHeight w:val="278" w:hRule="atLeast"/>
        </w:trPr>
        <w:tc>
          <w:tcPr>
            <w:tcW w:w="1811" w:type="dxa"/>
            <w:vAlign w:val="top"/>
            <w:gridSpan w:val="2"/>
            <w:vMerge w:val="continue"/>
            <w:tcBorders>
              <w:top w:val="nil"/>
              <w:bottom w:val="nil"/>
            </w:tcBorders>
          </w:tcPr>
          <w:p>
            <w:pPr>
              <w:rPr>
                <w:rFonts w:ascii="Arial"/>
                <w:sz w:val="21"/>
              </w:rPr>
            </w:pPr>
            <w:r/>
          </w:p>
        </w:tc>
        <w:tc>
          <w:tcPr>
            <w:tcW w:w="1269" w:type="dxa"/>
            <w:vAlign w:val="top"/>
          </w:tcPr>
          <w:p>
            <w:pPr>
              <w:ind w:left="323"/>
              <w:spacing w:before="31" w:line="218" w:lineRule="auto"/>
              <w:rPr>
                <w:rFonts w:ascii="SimSun" w:hAnsi="SimSun" w:eastAsia="SimSun" w:cs="SimSun"/>
                <w:sz w:val="20"/>
                <w:szCs w:val="20"/>
              </w:rPr>
            </w:pPr>
            <w:r>
              <w:rPr>
                <w:rFonts w:ascii="SimSun" w:hAnsi="SimSun" w:eastAsia="SimSun" w:cs="SimSun"/>
                <w:sz w:val="20"/>
                <w:szCs w:val="20"/>
                <w:spacing w:val="6"/>
              </w:rPr>
              <w:t>地表水</w:t>
            </w:r>
          </w:p>
        </w:tc>
        <w:tc>
          <w:tcPr>
            <w:tcW w:w="2338" w:type="dxa"/>
            <w:vAlign w:val="top"/>
            <w:gridSpan w:val="8"/>
          </w:tcPr>
          <w:p>
            <w:pPr>
              <w:pStyle w:val="TableText"/>
              <w:ind w:left="922"/>
              <w:spacing w:before="31" w:line="218" w:lineRule="auto"/>
              <w:rPr>
                <w:rFonts w:ascii="MS UI Gothic" w:hAnsi="MS UI Gothic" w:eastAsia="MS UI Gothic" w:cs="MS UI Gothic"/>
              </w:rPr>
            </w:pPr>
            <w:r>
              <w:rPr>
                <w:spacing w:val="1"/>
              </w:rPr>
              <w:t>E1</w:t>
            </w:r>
            <w:r>
              <w:rPr>
                <w:spacing w:val="21"/>
              </w:rPr>
              <w:t xml:space="preserve"> </w:t>
            </w:r>
            <w:r>
              <w:rPr>
                <w:rFonts w:ascii="MS UI Gothic" w:hAnsi="MS UI Gothic" w:eastAsia="MS UI Gothic" w:cs="MS UI Gothic"/>
                <w:spacing w:val="1"/>
              </w:rPr>
              <w:t>☑</w:t>
            </w:r>
          </w:p>
        </w:tc>
        <w:tc>
          <w:tcPr>
            <w:tcW w:w="1924" w:type="dxa"/>
            <w:vAlign w:val="top"/>
            <w:gridSpan w:val="6"/>
          </w:tcPr>
          <w:p>
            <w:pPr>
              <w:pStyle w:val="TableText"/>
              <w:ind w:left="758"/>
              <w:spacing w:before="67" w:line="195" w:lineRule="auto"/>
              <w:rPr/>
            </w:pPr>
            <w:r>
              <w:rPr>
                <w:spacing w:val="1"/>
              </w:rPr>
              <w:t>E2</w:t>
            </w:r>
            <w:r>
              <w:rPr>
                <w:spacing w:val="19"/>
                <w:w w:val="101"/>
              </w:rPr>
              <w:t xml:space="preserve"> </w:t>
            </w:r>
            <w:r>
              <w:rPr>
                <w:spacing w:val="1"/>
              </w:rPr>
              <w:t>□</w:t>
            </w:r>
          </w:p>
        </w:tc>
        <w:tc>
          <w:tcPr>
            <w:tcW w:w="1948" w:type="dxa"/>
            <w:vAlign w:val="top"/>
            <w:gridSpan w:val="5"/>
          </w:tcPr>
          <w:p>
            <w:pPr>
              <w:pStyle w:val="TableText"/>
              <w:ind w:left="766"/>
              <w:spacing w:before="67" w:line="195" w:lineRule="auto"/>
              <w:rPr/>
            </w:pPr>
            <w:r>
              <w:rPr>
                <w:spacing w:val="1"/>
              </w:rPr>
              <w:t>E3</w:t>
            </w:r>
            <w:r>
              <w:rPr>
                <w:spacing w:val="19"/>
                <w:w w:val="101"/>
              </w:rPr>
              <w:t xml:space="preserve"> </w:t>
            </w:r>
            <w:r>
              <w:rPr>
                <w:spacing w:val="1"/>
              </w:rPr>
              <w:t>□</w:t>
            </w:r>
          </w:p>
        </w:tc>
      </w:tr>
      <w:tr>
        <w:trPr>
          <w:trHeight w:val="275" w:hRule="atLeast"/>
        </w:trPr>
        <w:tc>
          <w:tcPr>
            <w:tcW w:w="1811" w:type="dxa"/>
            <w:vAlign w:val="top"/>
            <w:gridSpan w:val="2"/>
            <w:vMerge w:val="continue"/>
            <w:tcBorders>
              <w:top w:val="nil"/>
            </w:tcBorders>
          </w:tcPr>
          <w:p>
            <w:pPr>
              <w:rPr>
                <w:rFonts w:ascii="Arial"/>
                <w:sz w:val="21"/>
              </w:rPr>
            </w:pPr>
            <w:r/>
          </w:p>
        </w:tc>
        <w:tc>
          <w:tcPr>
            <w:tcW w:w="1269" w:type="dxa"/>
            <w:vAlign w:val="top"/>
          </w:tcPr>
          <w:p>
            <w:pPr>
              <w:ind w:left="323"/>
              <w:spacing w:before="32" w:line="215" w:lineRule="auto"/>
              <w:rPr>
                <w:rFonts w:ascii="SimSun" w:hAnsi="SimSun" w:eastAsia="SimSun" w:cs="SimSun"/>
                <w:sz w:val="20"/>
                <w:szCs w:val="20"/>
              </w:rPr>
            </w:pPr>
            <w:r>
              <w:rPr>
                <w:rFonts w:ascii="SimSun" w:hAnsi="SimSun" w:eastAsia="SimSun" w:cs="SimSun"/>
                <w:sz w:val="20"/>
                <w:szCs w:val="20"/>
                <w:spacing w:val="6"/>
              </w:rPr>
              <w:t>地下水</w:t>
            </w:r>
          </w:p>
        </w:tc>
        <w:tc>
          <w:tcPr>
            <w:tcW w:w="2338" w:type="dxa"/>
            <w:vAlign w:val="top"/>
            <w:gridSpan w:val="8"/>
          </w:tcPr>
          <w:p>
            <w:pPr>
              <w:pStyle w:val="TableText"/>
              <w:ind w:left="896"/>
              <w:spacing w:before="32" w:line="215" w:lineRule="auto"/>
              <w:rPr>
                <w:rFonts w:ascii="MS Gothic" w:hAnsi="MS Gothic" w:eastAsia="MS Gothic" w:cs="MS Gothic"/>
              </w:rPr>
            </w:pPr>
            <w:r>
              <w:rPr/>
              <w:t>E1</w:t>
            </w:r>
            <w:r>
              <w:rPr>
                <w:spacing w:val="13"/>
                <w:w w:val="101"/>
              </w:rPr>
              <w:t xml:space="preserve">  </w:t>
            </w:r>
            <w:r>
              <w:rPr>
                <w:rFonts w:ascii="MS Gothic" w:hAnsi="MS Gothic" w:eastAsia="MS Gothic" w:cs="MS Gothic"/>
              </w:rPr>
              <w:t>☑</w:t>
            </w:r>
          </w:p>
        </w:tc>
        <w:tc>
          <w:tcPr>
            <w:tcW w:w="1924" w:type="dxa"/>
            <w:vAlign w:val="top"/>
            <w:gridSpan w:val="6"/>
          </w:tcPr>
          <w:p>
            <w:pPr>
              <w:pStyle w:val="TableText"/>
              <w:ind w:left="758"/>
              <w:spacing w:before="67" w:line="195" w:lineRule="auto"/>
              <w:rPr/>
            </w:pPr>
            <w:r>
              <w:rPr>
                <w:spacing w:val="1"/>
              </w:rPr>
              <w:t>E2</w:t>
            </w:r>
            <w:r>
              <w:rPr>
                <w:spacing w:val="19"/>
                <w:w w:val="101"/>
              </w:rPr>
              <w:t xml:space="preserve"> </w:t>
            </w:r>
            <w:r>
              <w:rPr>
                <w:spacing w:val="1"/>
              </w:rPr>
              <w:t>□</w:t>
            </w:r>
          </w:p>
        </w:tc>
        <w:tc>
          <w:tcPr>
            <w:tcW w:w="1948" w:type="dxa"/>
            <w:vAlign w:val="top"/>
            <w:gridSpan w:val="5"/>
          </w:tcPr>
          <w:p>
            <w:pPr>
              <w:pStyle w:val="TableText"/>
              <w:ind w:left="752"/>
              <w:spacing w:before="32" w:line="215" w:lineRule="auto"/>
              <w:rPr>
                <w:rFonts w:ascii="SimSun" w:hAnsi="SimSun" w:eastAsia="SimSun" w:cs="SimSun"/>
              </w:rPr>
            </w:pPr>
            <w:r>
              <w:rPr>
                <w:spacing w:val="4"/>
              </w:rPr>
              <w:t>E3</w:t>
            </w:r>
            <w:r>
              <w:rPr>
                <w:rFonts w:ascii="SimSun" w:hAnsi="SimSun" w:eastAsia="SimSun" w:cs="SimSun"/>
                <w:spacing w:val="4"/>
              </w:rPr>
              <w:t>□</w:t>
            </w:r>
          </w:p>
        </w:tc>
      </w:tr>
      <w:tr>
        <w:trPr>
          <w:trHeight w:val="278" w:hRule="atLeast"/>
        </w:trPr>
        <w:tc>
          <w:tcPr>
            <w:tcW w:w="1811" w:type="dxa"/>
            <w:vAlign w:val="top"/>
            <w:gridSpan w:val="2"/>
          </w:tcPr>
          <w:p>
            <w:pPr>
              <w:ind w:left="281"/>
              <w:spacing w:before="35" w:line="215" w:lineRule="auto"/>
              <w:rPr>
                <w:rFonts w:ascii="SimSun" w:hAnsi="SimSun" w:eastAsia="SimSun" w:cs="SimSun"/>
                <w:sz w:val="20"/>
                <w:szCs w:val="20"/>
              </w:rPr>
            </w:pPr>
            <w:r>
              <w:rPr>
                <w:rFonts w:ascii="SimSun" w:hAnsi="SimSun" w:eastAsia="SimSun" w:cs="SimSun"/>
                <w:sz w:val="20"/>
                <w:szCs w:val="20"/>
                <w:spacing w:val="8"/>
              </w:rPr>
              <w:t>环境风险潜势</w:t>
            </w:r>
          </w:p>
        </w:tc>
        <w:tc>
          <w:tcPr>
            <w:tcW w:w="2003" w:type="dxa"/>
            <w:vAlign w:val="top"/>
            <w:gridSpan w:val="2"/>
          </w:tcPr>
          <w:p>
            <w:pPr>
              <w:pStyle w:val="TableText"/>
              <w:ind w:left="764"/>
              <w:spacing w:before="62" w:line="204" w:lineRule="auto"/>
              <w:rPr/>
            </w:pPr>
            <w:r>
              <w:rPr>
                <w:spacing w:val="2"/>
                <w:position w:val="-1"/>
              </w:rPr>
              <w:t>Ⅳ</w:t>
            </w:r>
            <w:r>
              <w:rPr>
                <w:sz w:val="13"/>
                <w:szCs w:val="13"/>
                <w:spacing w:val="2"/>
                <w:position w:val="5"/>
              </w:rPr>
              <w:t>+  </w:t>
            </w:r>
            <w:r>
              <w:rPr>
                <w:spacing w:val="2"/>
                <w:position w:val="-1"/>
              </w:rPr>
              <w:t>□</w:t>
            </w:r>
          </w:p>
        </w:tc>
        <w:tc>
          <w:tcPr>
            <w:tcW w:w="1360" w:type="dxa"/>
            <w:vAlign w:val="top"/>
            <w:gridSpan w:val="5"/>
          </w:tcPr>
          <w:p>
            <w:pPr>
              <w:pStyle w:val="TableText"/>
              <w:ind w:left="479"/>
              <w:spacing w:before="73" w:line="192" w:lineRule="auto"/>
              <w:rPr/>
            </w:pPr>
            <w:r>
              <w:rPr>
                <w:spacing w:val="2"/>
              </w:rPr>
              <w:t>Ⅳ</w:t>
            </w:r>
            <w:r>
              <w:rPr>
                <w:spacing w:val="21"/>
              </w:rPr>
              <w:t xml:space="preserve"> </w:t>
            </w:r>
            <w:r>
              <w:rPr>
                <w:spacing w:val="2"/>
              </w:rPr>
              <w:t>□</w:t>
            </w:r>
          </w:p>
        </w:tc>
        <w:tc>
          <w:tcPr>
            <w:tcW w:w="1362" w:type="dxa"/>
            <w:vAlign w:val="top"/>
            <w:gridSpan w:val="5"/>
          </w:tcPr>
          <w:p>
            <w:pPr>
              <w:pStyle w:val="TableText"/>
              <w:ind w:left="495"/>
              <w:spacing w:before="73" w:line="192" w:lineRule="auto"/>
              <w:rPr/>
            </w:pPr>
            <w:r>
              <w:rPr>
                <w:spacing w:val="1"/>
              </w:rPr>
              <w:t>Ⅲ</w:t>
            </w:r>
            <w:r>
              <w:rPr>
                <w:spacing w:val="16"/>
                <w:w w:val="101"/>
              </w:rPr>
              <w:t xml:space="preserve"> </w:t>
            </w:r>
            <w:r>
              <w:rPr>
                <w:spacing w:val="1"/>
              </w:rPr>
              <w:t>□</w:t>
            </w:r>
          </w:p>
        </w:tc>
        <w:tc>
          <w:tcPr>
            <w:tcW w:w="1363" w:type="dxa"/>
            <w:vAlign w:val="top"/>
            <w:gridSpan w:val="6"/>
          </w:tcPr>
          <w:p>
            <w:pPr>
              <w:pStyle w:val="TableText"/>
              <w:ind w:left="529"/>
              <w:spacing w:before="73" w:line="192" w:lineRule="auto"/>
              <w:rPr/>
            </w:pPr>
            <w:r>
              <w:rPr/>
              <w:t>Ⅱ</w:t>
            </w:r>
            <w:r>
              <w:rPr>
                <w:spacing w:val="17"/>
              </w:rPr>
              <w:t xml:space="preserve"> </w:t>
            </w:r>
            <w:r>
              <w:rPr/>
              <w:t>□</w:t>
            </w:r>
          </w:p>
        </w:tc>
        <w:tc>
          <w:tcPr>
            <w:tcW w:w="1391" w:type="dxa"/>
            <w:vAlign w:val="top"/>
            <w:gridSpan w:val="2"/>
          </w:tcPr>
          <w:p>
            <w:pPr>
              <w:pStyle w:val="TableText"/>
              <w:ind w:left="532"/>
              <w:spacing w:before="35" w:line="215" w:lineRule="auto"/>
              <w:rPr>
                <w:rFonts w:ascii="MS UI Gothic" w:hAnsi="MS UI Gothic" w:eastAsia="MS UI Gothic" w:cs="MS UI Gothic"/>
              </w:rPr>
            </w:pPr>
            <w:r>
              <w:rPr>
                <w:spacing w:val="-2"/>
              </w:rPr>
              <w:t>I</w:t>
            </w:r>
            <w:r>
              <w:rPr>
                <w:spacing w:val="19"/>
                <w:w w:val="101"/>
              </w:rPr>
              <w:t xml:space="preserve"> </w:t>
            </w:r>
            <w:r>
              <w:rPr>
                <w:rFonts w:ascii="MS UI Gothic" w:hAnsi="MS UI Gothic" w:eastAsia="MS UI Gothic" w:cs="MS UI Gothic"/>
                <w:spacing w:val="-2"/>
              </w:rPr>
              <w:t>☑</w:t>
            </w:r>
          </w:p>
        </w:tc>
      </w:tr>
      <w:tr>
        <w:trPr>
          <w:trHeight w:val="278" w:hRule="atLeast"/>
        </w:trPr>
        <w:tc>
          <w:tcPr>
            <w:tcW w:w="1811" w:type="dxa"/>
            <w:vAlign w:val="top"/>
            <w:gridSpan w:val="2"/>
          </w:tcPr>
          <w:p>
            <w:pPr>
              <w:ind w:left="489"/>
              <w:spacing w:before="32" w:line="217" w:lineRule="auto"/>
              <w:rPr>
                <w:rFonts w:ascii="SimSun" w:hAnsi="SimSun" w:eastAsia="SimSun" w:cs="SimSun"/>
                <w:sz w:val="20"/>
                <w:szCs w:val="20"/>
              </w:rPr>
            </w:pPr>
            <w:r>
              <w:rPr>
                <w:rFonts w:ascii="SimSun" w:hAnsi="SimSun" w:eastAsia="SimSun" w:cs="SimSun"/>
                <w:sz w:val="20"/>
                <w:szCs w:val="20"/>
                <w:spacing w:val="7"/>
              </w:rPr>
              <w:t>评价等级</w:t>
            </w:r>
          </w:p>
        </w:tc>
        <w:tc>
          <w:tcPr>
            <w:tcW w:w="2344" w:type="dxa"/>
            <w:vAlign w:val="top"/>
            <w:gridSpan w:val="3"/>
          </w:tcPr>
          <w:p>
            <w:pPr>
              <w:pStyle w:val="TableText"/>
              <w:ind w:left="852"/>
              <w:spacing w:before="32" w:line="217" w:lineRule="auto"/>
              <w:rPr/>
            </w:pPr>
            <w:r>
              <w:rPr>
                <w:rFonts w:ascii="SimSun" w:hAnsi="SimSun" w:eastAsia="SimSun" w:cs="SimSun"/>
                <w:spacing w:val="2"/>
              </w:rPr>
              <w:t>一级</w:t>
            </w:r>
            <w:r>
              <w:rPr>
                <w:rFonts w:ascii="SimSun" w:hAnsi="SimSun" w:eastAsia="SimSun" w:cs="SimSun"/>
                <w:spacing w:val="22"/>
              </w:rPr>
              <w:t xml:space="preserve"> </w:t>
            </w:r>
            <w:r>
              <w:rPr>
                <w:spacing w:val="2"/>
              </w:rPr>
              <w:t>□</w:t>
            </w:r>
          </w:p>
        </w:tc>
        <w:tc>
          <w:tcPr>
            <w:tcW w:w="1611" w:type="dxa"/>
            <w:vAlign w:val="top"/>
            <w:gridSpan w:val="7"/>
          </w:tcPr>
          <w:p>
            <w:pPr>
              <w:pStyle w:val="TableText"/>
              <w:ind w:left="488"/>
              <w:spacing w:before="32" w:line="217" w:lineRule="auto"/>
              <w:rPr/>
            </w:pPr>
            <w:r>
              <w:rPr>
                <w:rFonts w:ascii="SimSun" w:hAnsi="SimSun" w:eastAsia="SimSun" w:cs="SimSun"/>
                <w:spacing w:val="2"/>
              </w:rPr>
              <w:t>二级</w:t>
            </w:r>
            <w:r>
              <w:rPr>
                <w:rFonts w:ascii="SimSun" w:hAnsi="SimSun" w:eastAsia="SimSun" w:cs="SimSun"/>
                <w:spacing w:val="22"/>
              </w:rPr>
              <w:t xml:space="preserve"> </w:t>
            </w:r>
            <w:r>
              <w:rPr>
                <w:spacing w:val="2"/>
              </w:rPr>
              <w:t>□</w:t>
            </w:r>
          </w:p>
        </w:tc>
        <w:tc>
          <w:tcPr>
            <w:tcW w:w="1799" w:type="dxa"/>
            <w:vAlign w:val="top"/>
            <w:gridSpan w:val="6"/>
          </w:tcPr>
          <w:p>
            <w:pPr>
              <w:pStyle w:val="TableText"/>
              <w:ind w:left="582"/>
              <w:spacing w:before="32" w:line="217" w:lineRule="auto"/>
              <w:rPr/>
            </w:pPr>
            <w:r>
              <w:rPr>
                <w:rFonts w:ascii="SimSun" w:hAnsi="SimSun" w:eastAsia="SimSun" w:cs="SimSun"/>
                <w:spacing w:val="3"/>
              </w:rPr>
              <w:t>三级</w:t>
            </w:r>
            <w:r>
              <w:rPr>
                <w:rFonts w:ascii="SimSun" w:hAnsi="SimSun" w:eastAsia="SimSun" w:cs="SimSun"/>
                <w:spacing w:val="20"/>
              </w:rPr>
              <w:t xml:space="preserve"> </w:t>
            </w:r>
            <w:r>
              <w:rPr>
                <w:spacing w:val="3"/>
              </w:rPr>
              <w:t>□</w:t>
            </w:r>
          </w:p>
        </w:tc>
        <w:tc>
          <w:tcPr>
            <w:tcW w:w="1725" w:type="dxa"/>
            <w:vAlign w:val="top"/>
            <w:gridSpan w:val="4"/>
          </w:tcPr>
          <w:p>
            <w:pPr>
              <w:ind w:left="347"/>
              <w:spacing w:before="32" w:line="217" w:lineRule="auto"/>
              <w:rPr>
                <w:rFonts w:ascii="MS UI Gothic" w:hAnsi="MS UI Gothic" w:eastAsia="MS UI Gothic" w:cs="MS UI Gothic"/>
                <w:sz w:val="20"/>
                <w:szCs w:val="20"/>
              </w:rPr>
            </w:pPr>
            <w:r>
              <w:rPr>
                <w:rFonts w:ascii="SimSun" w:hAnsi="SimSun" w:eastAsia="SimSun" w:cs="SimSun"/>
                <w:sz w:val="20"/>
                <w:szCs w:val="20"/>
                <w:spacing w:val="7"/>
              </w:rPr>
              <w:t>简单分析</w:t>
            </w:r>
            <w:r>
              <w:rPr>
                <w:rFonts w:ascii="MS UI Gothic" w:hAnsi="MS UI Gothic" w:eastAsia="MS UI Gothic" w:cs="MS UI Gothic"/>
                <w:sz w:val="20"/>
                <w:szCs w:val="20"/>
                <w:spacing w:val="7"/>
              </w:rPr>
              <w:t>☑</w:t>
            </w:r>
          </w:p>
        </w:tc>
      </w:tr>
      <w:tr>
        <w:trPr>
          <w:trHeight w:val="275" w:hRule="atLeast"/>
        </w:trPr>
        <w:tc>
          <w:tcPr>
            <w:tcW w:w="542" w:type="dxa"/>
            <w:vAlign w:val="top"/>
            <w:vMerge w:val="restart"/>
            <w:textDirection w:val="tbRlV"/>
            <w:tcBorders>
              <w:bottom w:val="nil"/>
            </w:tcBorders>
          </w:tcPr>
          <w:p>
            <w:pPr>
              <w:ind w:left="40"/>
              <w:spacing w:before="166" w:line="216" w:lineRule="auto"/>
              <w:rPr>
                <w:rFonts w:ascii="SimSun" w:hAnsi="SimSun" w:eastAsia="SimSun" w:cs="SimSun"/>
                <w:sz w:val="20"/>
                <w:szCs w:val="20"/>
              </w:rPr>
            </w:pPr>
            <w:r>
              <w:rPr>
                <w:rFonts w:ascii="SimSun" w:hAnsi="SimSun" w:eastAsia="SimSun" w:cs="SimSun"/>
                <w:sz w:val="20"/>
                <w:szCs w:val="20"/>
                <w:spacing w:val="8"/>
              </w:rPr>
              <w:t>风</w:t>
            </w:r>
            <w:r>
              <w:rPr>
                <w:rFonts w:ascii="SimSun" w:hAnsi="SimSun" w:eastAsia="SimSun" w:cs="SimSun"/>
                <w:sz w:val="20"/>
                <w:szCs w:val="20"/>
                <w:spacing w:val="-34"/>
              </w:rPr>
              <w:t xml:space="preserve"> </w:t>
            </w:r>
            <w:r>
              <w:rPr>
                <w:rFonts w:ascii="SimSun" w:hAnsi="SimSun" w:eastAsia="SimSun" w:cs="SimSun"/>
                <w:sz w:val="20"/>
                <w:szCs w:val="20"/>
                <w:spacing w:val="8"/>
              </w:rPr>
              <w:t>险</w:t>
            </w:r>
            <w:r>
              <w:rPr>
                <w:rFonts w:ascii="SimSun" w:hAnsi="SimSun" w:eastAsia="SimSun" w:cs="SimSun"/>
                <w:sz w:val="20"/>
                <w:szCs w:val="20"/>
                <w:spacing w:val="-37"/>
              </w:rPr>
              <w:t xml:space="preserve"> </w:t>
            </w:r>
            <w:r>
              <w:rPr>
                <w:rFonts w:ascii="SimSun" w:hAnsi="SimSun" w:eastAsia="SimSun" w:cs="SimSun"/>
                <w:sz w:val="20"/>
                <w:szCs w:val="20"/>
                <w:spacing w:val="8"/>
              </w:rPr>
              <w:t>识</w:t>
            </w:r>
            <w:r>
              <w:rPr>
                <w:rFonts w:ascii="SimSun" w:hAnsi="SimSun" w:eastAsia="SimSun" w:cs="SimSun"/>
                <w:sz w:val="20"/>
                <w:szCs w:val="20"/>
                <w:spacing w:val="-35"/>
              </w:rPr>
              <w:t xml:space="preserve"> </w:t>
            </w:r>
            <w:r>
              <w:rPr>
                <w:rFonts w:ascii="SimSun" w:hAnsi="SimSun" w:eastAsia="SimSun" w:cs="SimSun"/>
                <w:sz w:val="20"/>
                <w:szCs w:val="20"/>
                <w:spacing w:val="8"/>
              </w:rPr>
              <w:t>别</w:t>
            </w:r>
          </w:p>
        </w:tc>
        <w:tc>
          <w:tcPr>
            <w:tcW w:w="1269" w:type="dxa"/>
            <w:vAlign w:val="top"/>
          </w:tcPr>
          <w:p>
            <w:pPr>
              <w:ind w:left="111"/>
              <w:spacing w:before="33" w:line="214" w:lineRule="auto"/>
              <w:rPr>
                <w:rFonts w:ascii="SimSun" w:hAnsi="SimSun" w:eastAsia="SimSun" w:cs="SimSun"/>
                <w:sz w:val="20"/>
                <w:szCs w:val="20"/>
              </w:rPr>
            </w:pPr>
            <w:r>
              <w:rPr>
                <w:rFonts w:ascii="SimSun" w:hAnsi="SimSun" w:eastAsia="SimSun" w:cs="SimSun"/>
                <w:sz w:val="20"/>
                <w:szCs w:val="20"/>
                <w:spacing w:val="8"/>
              </w:rPr>
              <w:t>物质危险性</w:t>
            </w:r>
          </w:p>
        </w:tc>
        <w:tc>
          <w:tcPr>
            <w:tcW w:w="3955" w:type="dxa"/>
            <w:vAlign w:val="top"/>
            <w:gridSpan w:val="10"/>
          </w:tcPr>
          <w:p>
            <w:pPr>
              <w:ind w:left="1406"/>
              <w:spacing w:before="33" w:line="214" w:lineRule="auto"/>
              <w:rPr>
                <w:rFonts w:ascii="MS UI Gothic" w:hAnsi="MS UI Gothic" w:eastAsia="MS UI Gothic" w:cs="MS UI Gothic"/>
                <w:sz w:val="20"/>
                <w:szCs w:val="20"/>
              </w:rPr>
            </w:pPr>
            <w:r>
              <w:rPr>
                <w:rFonts w:ascii="SimSun" w:hAnsi="SimSun" w:eastAsia="SimSun" w:cs="SimSun"/>
                <w:sz w:val="20"/>
                <w:szCs w:val="20"/>
                <w:spacing w:val="5"/>
              </w:rPr>
              <w:t>有毒有害</w:t>
            </w:r>
            <w:r>
              <w:rPr>
                <w:rFonts w:ascii="SimSun" w:hAnsi="SimSun" w:eastAsia="SimSun" w:cs="SimSun"/>
                <w:sz w:val="20"/>
                <w:szCs w:val="20"/>
                <w:spacing w:val="26"/>
              </w:rPr>
              <w:t xml:space="preserve"> </w:t>
            </w:r>
            <w:r>
              <w:rPr>
                <w:rFonts w:ascii="MS UI Gothic" w:hAnsi="MS UI Gothic" w:eastAsia="MS UI Gothic" w:cs="MS UI Gothic"/>
                <w:sz w:val="20"/>
                <w:szCs w:val="20"/>
                <w:spacing w:val="5"/>
              </w:rPr>
              <w:t>☑</w:t>
            </w:r>
          </w:p>
        </w:tc>
        <w:tc>
          <w:tcPr>
            <w:tcW w:w="3524" w:type="dxa"/>
            <w:vAlign w:val="top"/>
            <w:gridSpan w:val="10"/>
          </w:tcPr>
          <w:p>
            <w:pPr>
              <w:pStyle w:val="TableText"/>
              <w:ind w:left="1244"/>
              <w:spacing w:before="33" w:line="214" w:lineRule="auto"/>
              <w:rPr/>
            </w:pPr>
            <w:r>
              <w:rPr>
                <w:rFonts w:ascii="SimSun" w:hAnsi="SimSun" w:eastAsia="SimSun" w:cs="SimSun"/>
                <w:spacing w:val="3"/>
              </w:rPr>
              <w:t>易燃易爆</w:t>
            </w:r>
            <w:r>
              <w:rPr>
                <w:rFonts w:ascii="SimSun" w:hAnsi="SimSun" w:eastAsia="SimSun" w:cs="SimSun"/>
                <w:spacing w:val="22"/>
              </w:rPr>
              <w:t xml:space="preserve"> </w:t>
            </w:r>
            <w:r>
              <w:rPr>
                <w:spacing w:val="3"/>
              </w:rPr>
              <w:t>□</w:t>
            </w:r>
          </w:p>
        </w:tc>
      </w:tr>
      <w:tr>
        <w:trPr>
          <w:trHeight w:val="551"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tcPr>
          <w:p>
            <w:pPr>
              <w:ind w:left="537" w:right="111" w:hanging="426"/>
              <w:spacing w:before="33" w:line="234" w:lineRule="auto"/>
              <w:rPr>
                <w:rFonts w:ascii="SimSun" w:hAnsi="SimSun" w:eastAsia="SimSun" w:cs="SimSun"/>
                <w:sz w:val="20"/>
                <w:szCs w:val="20"/>
              </w:rPr>
            </w:pPr>
            <w:r>
              <w:rPr>
                <w:rFonts w:ascii="SimSun" w:hAnsi="SimSun" w:eastAsia="SimSun" w:cs="SimSun"/>
                <w:sz w:val="20"/>
                <w:szCs w:val="20"/>
                <w:spacing w:val="8"/>
              </w:rPr>
              <w:t>环境风险类</w:t>
            </w:r>
            <w:r>
              <w:rPr>
                <w:rFonts w:ascii="SimSun" w:hAnsi="SimSun" w:eastAsia="SimSun" w:cs="SimSun"/>
                <w:sz w:val="20"/>
                <w:szCs w:val="20"/>
              </w:rPr>
              <w:t>型</w:t>
            </w:r>
          </w:p>
        </w:tc>
        <w:tc>
          <w:tcPr>
            <w:tcW w:w="3955" w:type="dxa"/>
            <w:vAlign w:val="top"/>
            <w:gridSpan w:val="10"/>
          </w:tcPr>
          <w:p>
            <w:pPr>
              <w:ind w:left="1617"/>
              <w:spacing w:before="170" w:line="229" w:lineRule="auto"/>
              <w:rPr>
                <w:rFonts w:ascii="MS UI Gothic" w:hAnsi="MS UI Gothic" w:eastAsia="MS UI Gothic" w:cs="MS UI Gothic"/>
                <w:sz w:val="20"/>
                <w:szCs w:val="20"/>
              </w:rPr>
            </w:pPr>
            <w:r>
              <w:rPr>
                <w:rFonts w:ascii="SimSun" w:hAnsi="SimSun" w:eastAsia="SimSun" w:cs="SimSun"/>
                <w:sz w:val="20"/>
                <w:szCs w:val="20"/>
                <w:spacing w:val="2"/>
              </w:rPr>
              <w:t>泄漏</w:t>
            </w:r>
            <w:r>
              <w:rPr>
                <w:rFonts w:ascii="SimSun" w:hAnsi="SimSun" w:eastAsia="SimSun" w:cs="SimSun"/>
                <w:sz w:val="20"/>
                <w:szCs w:val="20"/>
                <w:spacing w:val="21"/>
              </w:rPr>
              <w:t xml:space="preserve"> </w:t>
            </w:r>
            <w:r>
              <w:rPr>
                <w:rFonts w:ascii="MS UI Gothic" w:hAnsi="MS UI Gothic" w:eastAsia="MS UI Gothic" w:cs="MS UI Gothic"/>
                <w:sz w:val="20"/>
                <w:szCs w:val="20"/>
                <w:spacing w:val="2"/>
              </w:rPr>
              <w:t>☑</w:t>
            </w:r>
          </w:p>
        </w:tc>
        <w:tc>
          <w:tcPr>
            <w:tcW w:w="3524" w:type="dxa"/>
            <w:vAlign w:val="top"/>
            <w:gridSpan w:val="10"/>
          </w:tcPr>
          <w:p>
            <w:pPr>
              <w:pStyle w:val="TableText"/>
              <w:ind w:left="164"/>
              <w:spacing w:before="34" w:line="226" w:lineRule="auto"/>
              <w:rPr>
                <w:rFonts w:ascii="SimSun" w:hAnsi="SimSun" w:eastAsia="SimSun" w:cs="SimSun"/>
              </w:rPr>
            </w:pPr>
            <w:r>
              <w:rPr>
                <w:rFonts w:ascii="SimSun" w:hAnsi="SimSun" w:eastAsia="SimSun" w:cs="SimSun"/>
                <w:spacing w:val="8"/>
              </w:rPr>
              <w:t>火灾、爆炸引发伴生</w:t>
            </w:r>
            <w:r>
              <w:rPr>
                <w:spacing w:val="8"/>
              </w:rPr>
              <w:t>/</w:t>
            </w:r>
            <w:r>
              <w:rPr>
                <w:rFonts w:ascii="SimSun" w:hAnsi="SimSun" w:eastAsia="SimSun" w:cs="SimSun"/>
                <w:spacing w:val="8"/>
              </w:rPr>
              <w:t>次生污染物排</w:t>
            </w:r>
          </w:p>
          <w:p>
            <w:pPr>
              <w:pStyle w:val="TableText"/>
              <w:ind w:left="1542"/>
              <w:spacing w:before="28" w:line="216" w:lineRule="auto"/>
              <w:rPr/>
            </w:pPr>
            <w:r>
              <w:rPr>
                <w:rFonts w:ascii="SimSun" w:hAnsi="SimSun" w:eastAsia="SimSun" w:cs="SimSun"/>
              </w:rPr>
              <w:t>放</w:t>
            </w:r>
            <w:r>
              <w:rPr>
                <w:rFonts w:ascii="SimSun" w:hAnsi="SimSun" w:eastAsia="SimSun" w:cs="SimSun"/>
                <w:spacing w:val="22"/>
              </w:rPr>
              <w:t xml:space="preserve"> </w:t>
            </w:r>
            <w:r>
              <w:rPr/>
              <w:t>□</w:t>
            </w:r>
          </w:p>
        </w:tc>
      </w:tr>
      <w:tr>
        <w:trPr>
          <w:trHeight w:val="275" w:hRule="atLeast"/>
        </w:trPr>
        <w:tc>
          <w:tcPr>
            <w:tcW w:w="542" w:type="dxa"/>
            <w:vAlign w:val="top"/>
            <w:vMerge w:val="continue"/>
            <w:textDirection w:val="tbRlV"/>
            <w:tcBorders>
              <w:top w:val="nil"/>
            </w:tcBorders>
          </w:tcPr>
          <w:p>
            <w:pPr>
              <w:rPr>
                <w:rFonts w:ascii="Arial"/>
                <w:sz w:val="21"/>
              </w:rPr>
            </w:pPr>
            <w:r/>
          </w:p>
        </w:tc>
        <w:tc>
          <w:tcPr>
            <w:tcW w:w="1269" w:type="dxa"/>
            <w:vAlign w:val="top"/>
          </w:tcPr>
          <w:p>
            <w:pPr>
              <w:ind w:left="214"/>
              <w:spacing w:before="32" w:line="215" w:lineRule="auto"/>
              <w:rPr>
                <w:rFonts w:ascii="SimSun" w:hAnsi="SimSun" w:eastAsia="SimSun" w:cs="SimSun"/>
                <w:sz w:val="20"/>
                <w:szCs w:val="20"/>
              </w:rPr>
            </w:pPr>
            <w:r>
              <w:rPr>
                <w:rFonts w:ascii="SimSun" w:hAnsi="SimSun" w:eastAsia="SimSun" w:cs="SimSun"/>
                <w:sz w:val="20"/>
                <w:szCs w:val="20"/>
                <w:spacing w:val="7"/>
              </w:rPr>
              <w:t>影响途径</w:t>
            </w:r>
          </w:p>
        </w:tc>
        <w:tc>
          <w:tcPr>
            <w:tcW w:w="2910" w:type="dxa"/>
            <w:vAlign w:val="top"/>
            <w:gridSpan w:val="5"/>
          </w:tcPr>
          <w:p>
            <w:pPr>
              <w:ind w:left="1093"/>
              <w:spacing w:before="32" w:line="215" w:lineRule="auto"/>
              <w:rPr>
                <w:rFonts w:ascii="MS UI Gothic" w:hAnsi="MS UI Gothic" w:eastAsia="MS UI Gothic" w:cs="MS UI Gothic"/>
                <w:sz w:val="20"/>
                <w:szCs w:val="20"/>
              </w:rPr>
            </w:pPr>
            <w:r>
              <w:rPr>
                <w:rFonts w:ascii="SimSun" w:hAnsi="SimSun" w:eastAsia="SimSun" w:cs="SimSun"/>
                <w:sz w:val="20"/>
                <w:szCs w:val="20"/>
                <w:spacing w:val="2"/>
              </w:rPr>
              <w:t>大气</w:t>
            </w:r>
            <w:r>
              <w:rPr>
                <w:rFonts w:ascii="SimSun" w:hAnsi="SimSun" w:eastAsia="SimSun" w:cs="SimSun"/>
                <w:sz w:val="20"/>
                <w:szCs w:val="20"/>
                <w:spacing w:val="24"/>
              </w:rPr>
              <w:t xml:space="preserve"> </w:t>
            </w:r>
            <w:r>
              <w:rPr>
                <w:rFonts w:ascii="MS UI Gothic" w:hAnsi="MS UI Gothic" w:eastAsia="MS UI Gothic" w:cs="MS UI Gothic"/>
                <w:sz w:val="20"/>
                <w:szCs w:val="20"/>
                <w:spacing w:val="2"/>
              </w:rPr>
              <w:t>☑</w:t>
            </w:r>
          </w:p>
        </w:tc>
        <w:tc>
          <w:tcPr>
            <w:tcW w:w="2268" w:type="dxa"/>
            <w:vAlign w:val="top"/>
            <w:gridSpan w:val="8"/>
          </w:tcPr>
          <w:p>
            <w:pPr>
              <w:ind w:left="667"/>
              <w:spacing w:before="32" w:line="215" w:lineRule="auto"/>
              <w:rPr>
                <w:rFonts w:ascii="MS UI Gothic" w:hAnsi="MS UI Gothic" w:eastAsia="MS UI Gothic" w:cs="MS UI Gothic"/>
                <w:sz w:val="20"/>
                <w:szCs w:val="20"/>
              </w:rPr>
            </w:pPr>
            <w:r>
              <w:rPr>
                <w:rFonts w:ascii="SimSun" w:hAnsi="SimSun" w:eastAsia="SimSun" w:cs="SimSun"/>
                <w:sz w:val="20"/>
                <w:szCs w:val="20"/>
                <w:spacing w:val="5"/>
              </w:rPr>
              <w:t>地表水</w:t>
            </w:r>
            <w:r>
              <w:rPr>
                <w:rFonts w:ascii="SimSun" w:hAnsi="SimSun" w:eastAsia="SimSun" w:cs="SimSun"/>
                <w:sz w:val="20"/>
                <w:szCs w:val="20"/>
                <w:spacing w:val="19"/>
              </w:rPr>
              <w:t xml:space="preserve"> </w:t>
            </w:r>
            <w:r>
              <w:rPr>
                <w:rFonts w:ascii="MS UI Gothic" w:hAnsi="MS UI Gothic" w:eastAsia="MS UI Gothic" w:cs="MS UI Gothic"/>
                <w:sz w:val="20"/>
                <w:szCs w:val="20"/>
                <w:spacing w:val="5"/>
              </w:rPr>
              <w:t>☑</w:t>
            </w:r>
          </w:p>
        </w:tc>
        <w:tc>
          <w:tcPr>
            <w:tcW w:w="2301" w:type="dxa"/>
            <w:vAlign w:val="top"/>
            <w:gridSpan w:val="7"/>
          </w:tcPr>
          <w:p>
            <w:pPr>
              <w:ind w:left="679"/>
              <w:spacing w:before="32" w:line="215" w:lineRule="auto"/>
              <w:rPr>
                <w:rFonts w:ascii="MS UI Gothic" w:hAnsi="MS UI Gothic" w:eastAsia="MS UI Gothic" w:cs="MS UI Gothic"/>
                <w:sz w:val="20"/>
                <w:szCs w:val="20"/>
              </w:rPr>
            </w:pPr>
            <w:r>
              <w:rPr>
                <w:rFonts w:ascii="SimSun" w:hAnsi="SimSun" w:eastAsia="SimSun" w:cs="SimSun"/>
                <w:sz w:val="20"/>
                <w:szCs w:val="20"/>
                <w:spacing w:val="5"/>
              </w:rPr>
              <w:t>地下水</w:t>
            </w:r>
            <w:r>
              <w:rPr>
                <w:rFonts w:ascii="SimSun" w:hAnsi="SimSun" w:eastAsia="SimSun" w:cs="SimSun"/>
                <w:sz w:val="20"/>
                <w:szCs w:val="20"/>
                <w:spacing w:val="24"/>
              </w:rPr>
              <w:t xml:space="preserve"> </w:t>
            </w:r>
            <w:r>
              <w:rPr>
                <w:rFonts w:ascii="MS UI Gothic" w:hAnsi="MS UI Gothic" w:eastAsia="MS UI Gothic" w:cs="MS UI Gothic"/>
                <w:sz w:val="20"/>
                <w:szCs w:val="20"/>
                <w:spacing w:val="5"/>
              </w:rPr>
              <w:t>☑</w:t>
            </w:r>
          </w:p>
        </w:tc>
      </w:tr>
      <w:tr>
        <w:trPr>
          <w:trHeight w:val="278" w:hRule="atLeast"/>
        </w:trPr>
        <w:tc>
          <w:tcPr>
            <w:tcW w:w="1811" w:type="dxa"/>
            <w:vAlign w:val="top"/>
            <w:gridSpan w:val="2"/>
          </w:tcPr>
          <w:p>
            <w:pPr>
              <w:ind w:left="281"/>
              <w:spacing w:before="35" w:line="215" w:lineRule="auto"/>
              <w:rPr>
                <w:rFonts w:ascii="SimSun" w:hAnsi="SimSun" w:eastAsia="SimSun" w:cs="SimSun"/>
                <w:sz w:val="20"/>
                <w:szCs w:val="20"/>
              </w:rPr>
            </w:pPr>
            <w:r>
              <w:rPr>
                <w:rFonts w:ascii="SimSun" w:hAnsi="SimSun" w:eastAsia="SimSun" w:cs="SimSun"/>
                <w:sz w:val="20"/>
                <w:szCs w:val="20"/>
                <w:spacing w:val="8"/>
              </w:rPr>
              <w:t>事故情形分析</w:t>
            </w:r>
          </w:p>
        </w:tc>
        <w:tc>
          <w:tcPr>
            <w:tcW w:w="2344" w:type="dxa"/>
            <w:vAlign w:val="top"/>
            <w:gridSpan w:val="3"/>
          </w:tcPr>
          <w:p>
            <w:pPr>
              <w:ind w:left="545"/>
              <w:spacing w:before="35" w:line="215" w:lineRule="auto"/>
              <w:rPr>
                <w:rFonts w:ascii="SimSun" w:hAnsi="SimSun" w:eastAsia="SimSun" w:cs="SimSun"/>
                <w:sz w:val="20"/>
                <w:szCs w:val="20"/>
              </w:rPr>
            </w:pPr>
            <w:r>
              <w:rPr>
                <w:rFonts w:ascii="SimSun" w:hAnsi="SimSun" w:eastAsia="SimSun" w:cs="SimSun"/>
                <w:sz w:val="20"/>
                <w:szCs w:val="20"/>
                <w:spacing w:val="8"/>
              </w:rPr>
              <w:t>源强设定方法</w:t>
            </w:r>
          </w:p>
        </w:tc>
        <w:tc>
          <w:tcPr>
            <w:tcW w:w="1611" w:type="dxa"/>
            <w:vAlign w:val="top"/>
            <w:gridSpan w:val="7"/>
          </w:tcPr>
          <w:p>
            <w:pPr>
              <w:ind w:left="338"/>
              <w:spacing w:before="35" w:line="215" w:lineRule="auto"/>
              <w:rPr>
                <w:rFonts w:ascii="SimSun" w:hAnsi="SimSun" w:eastAsia="SimSun" w:cs="SimSun"/>
                <w:sz w:val="20"/>
                <w:szCs w:val="20"/>
              </w:rPr>
            </w:pPr>
            <w:r>
              <w:rPr>
                <w:rFonts w:ascii="SimSun" w:hAnsi="SimSun" w:eastAsia="SimSun" w:cs="SimSun"/>
                <w:sz w:val="20"/>
                <w:szCs w:val="20"/>
                <w:spacing w:val="5"/>
              </w:rPr>
              <w:t>计算法</w:t>
            </w:r>
            <w:r>
              <w:rPr>
                <w:rFonts w:ascii="SimSun" w:hAnsi="SimSun" w:eastAsia="SimSun" w:cs="SimSun"/>
                <w:sz w:val="20"/>
                <w:szCs w:val="20"/>
                <w:spacing w:val="34"/>
              </w:rPr>
              <w:t xml:space="preserve"> </w:t>
            </w:r>
            <w:r>
              <w:rPr>
                <w:rFonts w:ascii="SimSun" w:hAnsi="SimSun" w:eastAsia="SimSun" w:cs="SimSun"/>
                <w:sz w:val="20"/>
                <w:szCs w:val="20"/>
                <w:spacing w:val="5"/>
              </w:rPr>
              <w:t>□</w:t>
            </w:r>
          </w:p>
        </w:tc>
        <w:tc>
          <w:tcPr>
            <w:tcW w:w="1799" w:type="dxa"/>
            <w:vAlign w:val="top"/>
            <w:gridSpan w:val="6"/>
          </w:tcPr>
          <w:p>
            <w:pPr>
              <w:ind w:left="224"/>
              <w:spacing w:before="35" w:line="215" w:lineRule="auto"/>
              <w:rPr>
                <w:rFonts w:ascii="MS Gothic" w:hAnsi="MS Gothic" w:eastAsia="MS Gothic" w:cs="MS Gothic"/>
                <w:sz w:val="20"/>
                <w:szCs w:val="20"/>
              </w:rPr>
            </w:pPr>
            <w:r>
              <w:rPr>
                <w:rFonts w:ascii="SimSun" w:hAnsi="SimSun" w:eastAsia="SimSun" w:cs="SimSun"/>
                <w:sz w:val="20"/>
                <w:szCs w:val="20"/>
                <w:spacing w:val="6"/>
              </w:rPr>
              <w:t>经验估算法</w:t>
            </w:r>
            <w:r>
              <w:rPr>
                <w:rFonts w:ascii="SimSun" w:hAnsi="SimSun" w:eastAsia="SimSun" w:cs="SimSun"/>
                <w:sz w:val="20"/>
                <w:szCs w:val="20"/>
                <w:spacing w:val="26"/>
              </w:rPr>
              <w:t xml:space="preserve"> </w:t>
            </w:r>
            <w:r>
              <w:rPr>
                <w:rFonts w:ascii="MS Gothic" w:hAnsi="MS Gothic" w:eastAsia="MS Gothic" w:cs="MS Gothic"/>
                <w:sz w:val="20"/>
                <w:szCs w:val="20"/>
                <w:spacing w:val="6"/>
              </w:rPr>
              <w:t>☑</w:t>
            </w:r>
          </w:p>
        </w:tc>
        <w:tc>
          <w:tcPr>
            <w:tcW w:w="1725" w:type="dxa"/>
            <w:vAlign w:val="top"/>
            <w:gridSpan w:val="4"/>
          </w:tcPr>
          <w:p>
            <w:pPr>
              <w:pStyle w:val="TableText"/>
              <w:ind w:left="224"/>
              <w:spacing w:before="35" w:line="215" w:lineRule="auto"/>
              <w:rPr/>
            </w:pPr>
            <w:r>
              <w:rPr>
                <w:rFonts w:ascii="SimSun" w:hAnsi="SimSun" w:eastAsia="SimSun" w:cs="SimSun"/>
                <w:spacing w:val="6"/>
              </w:rPr>
              <w:t>其他估算法</w:t>
            </w:r>
            <w:r>
              <w:rPr>
                <w:rFonts w:ascii="SimSun" w:hAnsi="SimSun" w:eastAsia="SimSun" w:cs="SimSun"/>
                <w:spacing w:val="25"/>
              </w:rPr>
              <w:t xml:space="preserve"> </w:t>
            </w:r>
            <w:r>
              <w:rPr>
                <w:spacing w:val="6"/>
              </w:rPr>
              <w:t>□</w:t>
            </w:r>
          </w:p>
        </w:tc>
      </w:tr>
      <w:tr>
        <w:trPr>
          <w:trHeight w:val="275" w:hRule="atLeast"/>
        </w:trPr>
        <w:tc>
          <w:tcPr>
            <w:tcW w:w="542" w:type="dxa"/>
            <w:vAlign w:val="top"/>
            <w:vMerge w:val="restart"/>
            <w:textDirection w:val="tbRlV"/>
            <w:tcBorders>
              <w:bottom w:val="nil"/>
            </w:tcBorders>
          </w:tcPr>
          <w:p>
            <w:pPr>
              <w:ind w:left="35"/>
              <w:spacing w:before="167" w:line="215" w:lineRule="auto"/>
              <w:rPr>
                <w:rFonts w:ascii="SimSun" w:hAnsi="SimSun" w:eastAsia="SimSun" w:cs="SimSun"/>
                <w:sz w:val="20"/>
                <w:szCs w:val="20"/>
              </w:rPr>
            </w:pPr>
            <w:r>
              <w:rPr>
                <w:rFonts w:ascii="SimSun" w:hAnsi="SimSun" w:eastAsia="SimSun" w:cs="SimSun"/>
                <w:sz w:val="20"/>
                <w:szCs w:val="20"/>
                <w:spacing w:val="8"/>
              </w:rPr>
              <w:t>风</w:t>
            </w:r>
            <w:r>
              <w:rPr>
                <w:rFonts w:ascii="SimSun" w:hAnsi="SimSun" w:eastAsia="SimSun" w:cs="SimSun"/>
                <w:sz w:val="20"/>
                <w:szCs w:val="20"/>
                <w:spacing w:val="-34"/>
              </w:rPr>
              <w:t xml:space="preserve"> </w:t>
            </w:r>
            <w:r>
              <w:rPr>
                <w:rFonts w:ascii="SimSun" w:hAnsi="SimSun" w:eastAsia="SimSun" w:cs="SimSun"/>
                <w:sz w:val="20"/>
                <w:szCs w:val="20"/>
                <w:spacing w:val="8"/>
              </w:rPr>
              <w:t>险</w:t>
            </w:r>
            <w:r>
              <w:rPr>
                <w:rFonts w:ascii="SimSun" w:hAnsi="SimSun" w:eastAsia="SimSun" w:cs="SimSun"/>
                <w:sz w:val="20"/>
                <w:szCs w:val="20"/>
                <w:spacing w:val="-37"/>
              </w:rPr>
              <w:t xml:space="preserve"> </w:t>
            </w:r>
            <w:r>
              <w:rPr>
                <w:rFonts w:ascii="SimSun" w:hAnsi="SimSun" w:eastAsia="SimSun" w:cs="SimSun"/>
                <w:sz w:val="20"/>
                <w:szCs w:val="20"/>
                <w:spacing w:val="8"/>
              </w:rPr>
              <w:t>预</w:t>
            </w:r>
            <w:r>
              <w:rPr>
                <w:rFonts w:ascii="SimSun" w:hAnsi="SimSun" w:eastAsia="SimSun" w:cs="SimSun"/>
                <w:sz w:val="20"/>
                <w:szCs w:val="20"/>
                <w:spacing w:val="-35"/>
              </w:rPr>
              <w:t xml:space="preserve"> </w:t>
            </w:r>
            <w:r>
              <w:rPr>
                <w:rFonts w:ascii="SimSun" w:hAnsi="SimSun" w:eastAsia="SimSun" w:cs="SimSun"/>
                <w:sz w:val="20"/>
                <w:szCs w:val="20"/>
                <w:spacing w:val="8"/>
              </w:rPr>
              <w:t>测</w:t>
            </w:r>
            <w:r>
              <w:rPr>
                <w:rFonts w:ascii="SimSun" w:hAnsi="SimSun" w:eastAsia="SimSun" w:cs="SimSun"/>
                <w:sz w:val="20"/>
                <w:szCs w:val="20"/>
                <w:spacing w:val="-38"/>
              </w:rPr>
              <w:t xml:space="preserve"> </w:t>
            </w:r>
            <w:r>
              <w:rPr>
                <w:rFonts w:ascii="SimSun" w:hAnsi="SimSun" w:eastAsia="SimSun" w:cs="SimSun"/>
                <w:sz w:val="20"/>
                <w:szCs w:val="20"/>
                <w:spacing w:val="8"/>
              </w:rPr>
              <w:t>与</w:t>
            </w:r>
            <w:r>
              <w:rPr>
                <w:rFonts w:ascii="SimSun" w:hAnsi="SimSun" w:eastAsia="SimSun" w:cs="SimSun"/>
                <w:sz w:val="20"/>
                <w:szCs w:val="20"/>
                <w:spacing w:val="-35"/>
              </w:rPr>
              <w:t xml:space="preserve"> </w:t>
            </w:r>
            <w:r>
              <w:rPr>
                <w:rFonts w:ascii="SimSun" w:hAnsi="SimSun" w:eastAsia="SimSun" w:cs="SimSun"/>
                <w:sz w:val="20"/>
                <w:szCs w:val="20"/>
                <w:spacing w:val="8"/>
              </w:rPr>
              <w:t>评</w:t>
            </w:r>
            <w:r>
              <w:rPr>
                <w:rFonts w:ascii="SimSun" w:hAnsi="SimSun" w:eastAsia="SimSun" w:cs="SimSun"/>
                <w:sz w:val="20"/>
                <w:szCs w:val="20"/>
                <w:spacing w:val="-35"/>
              </w:rPr>
              <w:t xml:space="preserve"> </w:t>
            </w:r>
            <w:r>
              <w:rPr>
                <w:rFonts w:ascii="SimSun" w:hAnsi="SimSun" w:eastAsia="SimSun" w:cs="SimSun"/>
                <w:sz w:val="20"/>
                <w:szCs w:val="20"/>
                <w:spacing w:val="8"/>
              </w:rPr>
              <w:t>价</w:t>
            </w:r>
          </w:p>
        </w:tc>
        <w:tc>
          <w:tcPr>
            <w:tcW w:w="1269" w:type="dxa"/>
            <w:vAlign w:val="top"/>
            <w:vMerge w:val="restart"/>
            <w:tcBorders>
              <w:bottom w:val="nil"/>
            </w:tcBorders>
          </w:tcPr>
          <w:p>
            <w:pPr>
              <w:spacing w:line="249" w:lineRule="auto"/>
              <w:rPr>
                <w:rFonts w:ascii="Arial"/>
                <w:sz w:val="21"/>
              </w:rPr>
            </w:pPr>
            <w:r/>
          </w:p>
          <w:p>
            <w:pPr>
              <w:ind w:left="430"/>
              <w:spacing w:before="65" w:line="227" w:lineRule="auto"/>
              <w:rPr>
                <w:rFonts w:ascii="SimSun" w:hAnsi="SimSun" w:eastAsia="SimSun" w:cs="SimSun"/>
                <w:sz w:val="20"/>
                <w:szCs w:val="20"/>
              </w:rPr>
            </w:pPr>
            <w:r>
              <w:rPr>
                <w:rFonts w:ascii="SimSun" w:hAnsi="SimSun" w:eastAsia="SimSun" w:cs="SimSun"/>
                <w:sz w:val="20"/>
                <w:szCs w:val="20"/>
                <w:spacing w:val="3"/>
              </w:rPr>
              <w:t>大气</w:t>
            </w:r>
          </w:p>
        </w:tc>
        <w:tc>
          <w:tcPr>
            <w:tcW w:w="2344" w:type="dxa"/>
            <w:vAlign w:val="top"/>
            <w:gridSpan w:val="3"/>
          </w:tcPr>
          <w:p>
            <w:pPr>
              <w:ind w:left="757"/>
              <w:spacing w:before="35" w:line="212" w:lineRule="auto"/>
              <w:rPr>
                <w:rFonts w:ascii="SimSun" w:hAnsi="SimSun" w:eastAsia="SimSun" w:cs="SimSun"/>
                <w:sz w:val="20"/>
                <w:szCs w:val="20"/>
              </w:rPr>
            </w:pPr>
            <w:r>
              <w:rPr>
                <w:rFonts w:ascii="SimSun" w:hAnsi="SimSun" w:eastAsia="SimSun" w:cs="SimSun"/>
                <w:sz w:val="20"/>
                <w:szCs w:val="20"/>
                <w:spacing w:val="6"/>
              </w:rPr>
              <w:t>预测模型</w:t>
            </w:r>
          </w:p>
        </w:tc>
        <w:tc>
          <w:tcPr>
            <w:tcW w:w="1611" w:type="dxa"/>
            <w:vAlign w:val="top"/>
            <w:gridSpan w:val="7"/>
          </w:tcPr>
          <w:p>
            <w:pPr>
              <w:pStyle w:val="TableText"/>
              <w:ind w:left="458"/>
              <w:spacing w:before="71" w:line="195" w:lineRule="auto"/>
              <w:rPr/>
            </w:pPr>
            <w:r>
              <w:rPr/>
              <w:t>SLAB</w:t>
            </w:r>
            <w:r>
              <w:rPr>
                <w:spacing w:val="17"/>
                <w:w w:val="101"/>
              </w:rPr>
              <w:t xml:space="preserve"> </w:t>
            </w:r>
            <w:r>
              <w:rPr>
                <w:spacing w:val="10"/>
              </w:rPr>
              <w:t>□</w:t>
            </w:r>
          </w:p>
        </w:tc>
        <w:tc>
          <w:tcPr>
            <w:tcW w:w="1799" w:type="dxa"/>
            <w:vAlign w:val="top"/>
            <w:gridSpan w:val="6"/>
          </w:tcPr>
          <w:p>
            <w:pPr>
              <w:pStyle w:val="TableText"/>
              <w:ind w:left="461"/>
              <w:spacing w:before="71" w:line="195" w:lineRule="auto"/>
              <w:rPr/>
            </w:pPr>
            <w:r>
              <w:rPr/>
              <w:t>AFTOX</w:t>
            </w:r>
            <w:r>
              <w:rPr>
                <w:spacing w:val="17"/>
                <w:w w:val="101"/>
              </w:rPr>
              <w:t xml:space="preserve"> </w:t>
            </w:r>
            <w:r>
              <w:rPr>
                <w:spacing w:val="29"/>
              </w:rPr>
              <w:t>□</w:t>
            </w:r>
          </w:p>
        </w:tc>
        <w:tc>
          <w:tcPr>
            <w:tcW w:w="1725" w:type="dxa"/>
            <w:vAlign w:val="top"/>
            <w:gridSpan w:val="4"/>
          </w:tcPr>
          <w:p>
            <w:pPr>
              <w:pStyle w:val="TableText"/>
              <w:ind w:left="541"/>
              <w:spacing w:before="35" w:line="212" w:lineRule="auto"/>
              <w:rPr/>
            </w:pPr>
            <w:r>
              <w:rPr>
                <w:rFonts w:ascii="SimSun" w:hAnsi="SimSun" w:eastAsia="SimSun" w:cs="SimSun"/>
                <w:spacing w:val="2"/>
              </w:rPr>
              <w:t>其他</w:t>
            </w:r>
            <w:r>
              <w:rPr>
                <w:rFonts w:ascii="SimSun" w:hAnsi="SimSun" w:eastAsia="SimSun" w:cs="SimSun"/>
                <w:spacing w:val="22"/>
              </w:rPr>
              <w:t xml:space="preserve"> </w:t>
            </w:r>
            <w:r>
              <w:rPr>
                <w:spacing w:val="2"/>
              </w:rPr>
              <w:t>□</w:t>
            </w:r>
          </w:p>
        </w:tc>
      </w:tr>
      <w:tr>
        <w:trPr>
          <w:trHeight w:val="278"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bottom w:val="nil"/>
            </w:tcBorders>
          </w:tcPr>
          <w:p>
            <w:pPr>
              <w:rPr>
                <w:rFonts w:ascii="Arial"/>
                <w:sz w:val="21"/>
              </w:rPr>
            </w:pPr>
            <w:r/>
          </w:p>
        </w:tc>
        <w:tc>
          <w:tcPr>
            <w:tcW w:w="2344" w:type="dxa"/>
            <w:vAlign w:val="top"/>
            <w:gridSpan w:val="3"/>
            <w:vMerge w:val="restart"/>
            <w:tcBorders>
              <w:bottom w:val="nil"/>
            </w:tcBorders>
          </w:tcPr>
          <w:p>
            <w:pPr>
              <w:ind w:left="757"/>
              <w:spacing w:before="177" w:line="228" w:lineRule="auto"/>
              <w:rPr>
                <w:rFonts w:ascii="SimSun" w:hAnsi="SimSun" w:eastAsia="SimSun" w:cs="SimSun"/>
                <w:sz w:val="20"/>
                <w:szCs w:val="20"/>
              </w:rPr>
            </w:pPr>
            <w:r>
              <w:rPr>
                <w:rFonts w:ascii="SimSun" w:hAnsi="SimSun" w:eastAsia="SimSun" w:cs="SimSun"/>
                <w:sz w:val="20"/>
                <w:szCs w:val="20"/>
                <w:spacing w:val="6"/>
              </w:rPr>
              <w:t>预测结果</w:t>
            </w:r>
          </w:p>
        </w:tc>
        <w:tc>
          <w:tcPr>
            <w:tcW w:w="5135" w:type="dxa"/>
            <w:vAlign w:val="top"/>
            <w:gridSpan w:val="17"/>
          </w:tcPr>
          <w:p>
            <w:pPr>
              <w:pStyle w:val="TableText"/>
              <w:ind w:left="619"/>
              <w:spacing w:before="36" w:line="214" w:lineRule="auto"/>
              <w:rPr/>
            </w:pPr>
            <w:r>
              <w:rPr>
                <w:rFonts w:ascii="SimSun" w:hAnsi="SimSun" w:eastAsia="SimSun" w:cs="SimSun"/>
                <w:spacing w:val="7"/>
              </w:rPr>
              <w:t>大气毒性终点浓度</w:t>
            </w:r>
            <w:r>
              <w:rPr>
                <w:spacing w:val="7"/>
              </w:rPr>
              <w:t>-1  </w:t>
            </w:r>
            <w:r>
              <w:rPr>
                <w:rFonts w:ascii="SimSun" w:hAnsi="SimSun" w:eastAsia="SimSun" w:cs="SimSun"/>
                <w:spacing w:val="7"/>
              </w:rPr>
              <w:t>最大影响范围</w:t>
            </w:r>
            <w:r>
              <w:rPr>
                <w:rFonts w:ascii="SimSun" w:hAnsi="SimSun" w:eastAsia="SimSun" w:cs="SimSun"/>
                <w:spacing w:val="-88"/>
              </w:rPr>
              <w:t xml:space="preserve"> </w:t>
            </w:r>
            <w:r>
              <w:rPr>
                <w:rFonts w:ascii="SimSun" w:hAnsi="SimSun" w:eastAsia="SimSun" w:cs="SimSun"/>
                <w:u w:val="single" w:color="auto"/>
                <w:spacing w:val="5"/>
              </w:rPr>
              <w:t xml:space="preserve">     </w:t>
            </w:r>
            <w:r>
              <w:rPr>
                <w:rFonts w:ascii="SimSun" w:hAnsi="SimSun" w:eastAsia="SimSun" w:cs="SimSun"/>
                <w:spacing w:val="-98"/>
              </w:rPr>
              <w:t xml:space="preserve"> </w:t>
            </w:r>
            <w:r>
              <w:rPr>
                <w:spacing w:val="7"/>
              </w:rPr>
              <w:t>m</w:t>
            </w:r>
          </w:p>
        </w:tc>
      </w:tr>
      <w:tr>
        <w:trPr>
          <w:trHeight w:val="245"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2344" w:type="dxa"/>
            <w:vAlign w:val="top"/>
            <w:gridSpan w:val="3"/>
            <w:vMerge w:val="continue"/>
            <w:tcBorders>
              <w:top w:val="nil"/>
            </w:tcBorders>
          </w:tcPr>
          <w:p>
            <w:pPr>
              <w:rPr>
                <w:rFonts w:ascii="Arial"/>
                <w:sz w:val="21"/>
              </w:rPr>
            </w:pPr>
            <w:r/>
          </w:p>
        </w:tc>
        <w:tc>
          <w:tcPr>
            <w:tcW w:w="5135" w:type="dxa"/>
            <w:vAlign w:val="top"/>
            <w:gridSpan w:val="17"/>
          </w:tcPr>
          <w:p>
            <w:pPr>
              <w:pStyle w:val="TableText"/>
              <w:ind w:left="619"/>
              <w:spacing w:before="36" w:line="183" w:lineRule="auto"/>
              <w:rPr/>
            </w:pPr>
            <w:r>
              <w:rPr>
                <w:rFonts w:ascii="SimSun" w:hAnsi="SimSun" w:eastAsia="SimSun" w:cs="SimSun"/>
                <w:spacing w:val="7"/>
              </w:rPr>
              <w:t>大气毒性终点浓度</w:t>
            </w:r>
            <w:r>
              <w:rPr>
                <w:spacing w:val="7"/>
              </w:rPr>
              <w:t>-2  </w:t>
            </w:r>
            <w:r>
              <w:rPr>
                <w:rFonts w:ascii="SimSun" w:hAnsi="SimSun" w:eastAsia="SimSun" w:cs="SimSun"/>
                <w:spacing w:val="7"/>
              </w:rPr>
              <w:t>最大影响范围     </w:t>
            </w:r>
            <w:r>
              <w:rPr>
                <w:spacing w:val="7"/>
              </w:rPr>
              <w:t>m</w:t>
            </w:r>
          </w:p>
        </w:tc>
      </w:tr>
      <w:tr>
        <w:trPr>
          <w:trHeight w:val="314"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tcPr>
          <w:p>
            <w:pPr>
              <w:ind w:left="322"/>
              <w:spacing w:before="70" w:line="216" w:lineRule="auto"/>
              <w:rPr>
                <w:rFonts w:ascii="SimSun" w:hAnsi="SimSun" w:eastAsia="SimSun" w:cs="SimSun"/>
                <w:sz w:val="20"/>
                <w:szCs w:val="20"/>
              </w:rPr>
            </w:pPr>
            <w:r>
              <w:rPr>
                <w:rFonts w:ascii="SimSun" w:hAnsi="SimSun" w:eastAsia="SimSun" w:cs="SimSun"/>
                <w:sz w:val="20"/>
                <w:szCs w:val="20"/>
                <w:spacing w:val="6"/>
              </w:rPr>
              <w:t>地表水</w:t>
            </w:r>
          </w:p>
        </w:tc>
        <w:tc>
          <w:tcPr>
            <w:tcW w:w="7479" w:type="dxa"/>
            <w:vAlign w:val="top"/>
            <w:gridSpan w:val="20"/>
          </w:tcPr>
          <w:p>
            <w:pPr>
              <w:pStyle w:val="TableText"/>
              <w:ind w:left="1696"/>
              <w:spacing w:before="70" w:line="216" w:lineRule="auto"/>
              <w:rPr/>
            </w:pPr>
            <w:r>
              <w:rPr>
                <w:rFonts w:ascii="SimSun" w:hAnsi="SimSun" w:eastAsia="SimSun" w:cs="SimSun"/>
                <w:spacing w:val="6"/>
              </w:rPr>
              <w:t>最近环境敏感目标</w:t>
            </w:r>
            <w:r>
              <w:rPr>
                <w:rFonts w:ascii="SimSun" w:hAnsi="SimSun" w:eastAsia="SimSun" w:cs="SimSun"/>
                <w:spacing w:val="-93"/>
              </w:rPr>
              <w:t xml:space="preserve"> </w:t>
            </w:r>
            <w:r>
              <w:rPr>
                <w:rFonts w:ascii="SimSun" w:hAnsi="SimSun" w:eastAsia="SimSun" w:cs="SimSun"/>
                <w:u w:val="single" w:color="auto"/>
                <w:spacing w:val="5"/>
              </w:rPr>
              <w:t xml:space="preserve">      </w:t>
            </w:r>
            <w:r>
              <w:rPr>
                <w:rFonts w:ascii="SimSun" w:hAnsi="SimSun" w:eastAsia="SimSun" w:cs="SimSun"/>
                <w:spacing w:val="-73"/>
              </w:rPr>
              <w:t xml:space="preserve"> </w:t>
            </w:r>
            <w:r>
              <w:rPr>
                <w:rFonts w:ascii="SimSun" w:hAnsi="SimSun" w:eastAsia="SimSun" w:cs="SimSun"/>
                <w:spacing w:val="6"/>
              </w:rPr>
              <w:t>，到达时间</w:t>
            </w:r>
            <w:r>
              <w:rPr>
                <w:rFonts w:ascii="SimSun" w:hAnsi="SimSun" w:eastAsia="SimSun" w:cs="SimSun"/>
                <w:u w:val="single" w:color="auto"/>
                <w:spacing w:val="6"/>
              </w:rPr>
              <w:t xml:space="preserve">      </w:t>
            </w:r>
            <w:r>
              <w:rPr>
                <w:spacing w:val="6"/>
              </w:rPr>
              <w:t>h</w:t>
            </w:r>
          </w:p>
        </w:tc>
      </w:tr>
      <w:tr>
        <w:trPr>
          <w:trHeight w:val="278" w:hRule="atLeast"/>
        </w:trPr>
        <w:tc>
          <w:tcPr>
            <w:tcW w:w="542" w:type="dxa"/>
            <w:vAlign w:val="top"/>
            <w:vMerge w:val="continue"/>
            <w:textDirection w:val="tbRlV"/>
            <w:tcBorders>
              <w:top w:val="nil"/>
              <w:bottom w:val="nil"/>
            </w:tcBorders>
          </w:tcPr>
          <w:p>
            <w:pPr>
              <w:rPr>
                <w:rFonts w:ascii="Arial"/>
                <w:sz w:val="21"/>
              </w:rPr>
            </w:pPr>
            <w:r/>
          </w:p>
        </w:tc>
        <w:tc>
          <w:tcPr>
            <w:tcW w:w="1269" w:type="dxa"/>
            <w:vAlign w:val="top"/>
            <w:vMerge w:val="restart"/>
            <w:tcBorders>
              <w:bottom w:val="nil"/>
            </w:tcBorders>
          </w:tcPr>
          <w:p>
            <w:pPr>
              <w:ind w:left="322"/>
              <w:spacing w:before="283" w:line="228" w:lineRule="auto"/>
              <w:rPr>
                <w:rFonts w:ascii="SimSun" w:hAnsi="SimSun" w:eastAsia="SimSun" w:cs="SimSun"/>
                <w:sz w:val="20"/>
                <w:szCs w:val="20"/>
              </w:rPr>
            </w:pPr>
            <w:r>
              <w:rPr>
                <w:rFonts w:ascii="SimSun" w:hAnsi="SimSun" w:eastAsia="SimSun" w:cs="SimSun"/>
                <w:sz w:val="20"/>
                <w:szCs w:val="20"/>
                <w:spacing w:val="6"/>
              </w:rPr>
              <w:t>地下水</w:t>
            </w:r>
          </w:p>
        </w:tc>
        <w:tc>
          <w:tcPr>
            <w:tcW w:w="7479" w:type="dxa"/>
            <w:vAlign w:val="top"/>
            <w:gridSpan w:val="20"/>
          </w:tcPr>
          <w:p>
            <w:pPr>
              <w:pStyle w:val="TableText"/>
              <w:ind w:left="2331"/>
              <w:spacing w:before="31" w:line="218" w:lineRule="auto"/>
              <w:rPr/>
            </w:pPr>
            <w:r>
              <w:rPr>
                <w:rFonts w:ascii="SimSun" w:hAnsi="SimSun" w:eastAsia="SimSun" w:cs="SimSun"/>
                <w:spacing w:val="7"/>
              </w:rPr>
              <w:t>下游厂区边界到达时间</w:t>
            </w:r>
            <w:r>
              <w:rPr>
                <w:rFonts w:ascii="SimSun" w:hAnsi="SimSun" w:eastAsia="SimSun" w:cs="SimSun"/>
                <w:spacing w:val="-93"/>
              </w:rPr>
              <w:t xml:space="preserve"> </w:t>
            </w:r>
            <w:r>
              <w:rPr>
                <w:rFonts w:ascii="SimSun" w:hAnsi="SimSun" w:eastAsia="SimSun" w:cs="SimSun"/>
                <w:u w:val="single" w:color="auto"/>
                <w:spacing w:val="4"/>
              </w:rPr>
              <w:t xml:space="preserve">      </w:t>
            </w:r>
            <w:r>
              <w:rPr>
                <w:rFonts w:ascii="SimSun" w:hAnsi="SimSun" w:eastAsia="SimSun" w:cs="SimSun"/>
                <w:spacing w:val="-88"/>
              </w:rPr>
              <w:t xml:space="preserve"> </w:t>
            </w:r>
            <w:r>
              <w:rPr>
                <w:spacing w:val="7"/>
              </w:rPr>
              <w:t>d</w:t>
            </w:r>
          </w:p>
        </w:tc>
      </w:tr>
      <w:tr>
        <w:trPr>
          <w:trHeight w:val="498" w:hRule="atLeast"/>
        </w:trPr>
        <w:tc>
          <w:tcPr>
            <w:tcW w:w="542" w:type="dxa"/>
            <w:vAlign w:val="top"/>
            <w:vMerge w:val="continue"/>
            <w:textDirection w:val="tbRlV"/>
            <w:tcBorders>
              <w:top w:val="nil"/>
            </w:tcBorders>
          </w:tcPr>
          <w:p>
            <w:pPr>
              <w:rPr>
                <w:rFonts w:ascii="Arial"/>
                <w:sz w:val="21"/>
              </w:rPr>
            </w:pPr>
            <w:r/>
          </w:p>
        </w:tc>
        <w:tc>
          <w:tcPr>
            <w:tcW w:w="1269" w:type="dxa"/>
            <w:vAlign w:val="top"/>
            <w:vMerge w:val="continue"/>
            <w:tcBorders>
              <w:top w:val="nil"/>
            </w:tcBorders>
          </w:tcPr>
          <w:p>
            <w:pPr>
              <w:rPr>
                <w:rFonts w:ascii="Arial"/>
                <w:sz w:val="21"/>
              </w:rPr>
            </w:pPr>
            <w:r/>
          </w:p>
        </w:tc>
        <w:tc>
          <w:tcPr>
            <w:tcW w:w="7479" w:type="dxa"/>
            <w:vAlign w:val="top"/>
            <w:gridSpan w:val="20"/>
          </w:tcPr>
          <w:p>
            <w:pPr>
              <w:pStyle w:val="TableText"/>
              <w:ind w:left="1696"/>
              <w:spacing w:before="141" w:line="228" w:lineRule="auto"/>
              <w:rPr/>
            </w:pPr>
            <w:r>
              <w:rPr>
                <w:rFonts w:ascii="SimSun" w:hAnsi="SimSun" w:eastAsia="SimSun" w:cs="SimSun"/>
                <w:spacing w:val="6"/>
              </w:rPr>
              <w:t>最近环境敏感目标</w:t>
            </w:r>
            <w:r>
              <w:rPr>
                <w:rFonts w:ascii="SimSun" w:hAnsi="SimSun" w:eastAsia="SimSun" w:cs="SimSun"/>
                <w:spacing w:val="-97"/>
              </w:rPr>
              <w:t xml:space="preserve"> </w:t>
            </w:r>
            <w:r>
              <w:rPr>
                <w:rFonts w:ascii="SimSun" w:hAnsi="SimSun" w:eastAsia="SimSun" w:cs="SimSun"/>
                <w:u w:val="single" w:color="auto"/>
                <w:spacing w:val="5"/>
              </w:rPr>
              <w:t xml:space="preserve">      </w:t>
            </w:r>
            <w:r>
              <w:rPr>
                <w:rFonts w:ascii="SimSun" w:hAnsi="SimSun" w:eastAsia="SimSun" w:cs="SimSun"/>
                <w:spacing w:val="-74"/>
              </w:rPr>
              <w:t xml:space="preserve"> </w:t>
            </w:r>
            <w:r>
              <w:rPr>
                <w:rFonts w:ascii="SimSun" w:hAnsi="SimSun" w:eastAsia="SimSun" w:cs="SimSun"/>
                <w:spacing w:val="6"/>
              </w:rPr>
              <w:t>，到达时间</w:t>
            </w:r>
            <w:r>
              <w:rPr>
                <w:rFonts w:ascii="SimSun" w:hAnsi="SimSun" w:eastAsia="SimSun" w:cs="SimSun"/>
                <w:u w:val="single" w:color="auto"/>
                <w:spacing w:val="6"/>
              </w:rPr>
              <w:t xml:space="preserve">      </w:t>
            </w:r>
            <w:r>
              <w:rPr>
                <w:rFonts w:ascii="SimSun" w:hAnsi="SimSun" w:eastAsia="SimSun" w:cs="SimSun"/>
                <w:spacing w:val="-93"/>
              </w:rPr>
              <w:t xml:space="preserve"> </w:t>
            </w:r>
            <w:r>
              <w:rPr>
                <w:spacing w:val="6"/>
              </w:rPr>
              <w:t>d</w:t>
            </w:r>
          </w:p>
        </w:tc>
      </w:tr>
      <w:tr>
        <w:trPr>
          <w:trHeight w:val="822" w:hRule="atLeast"/>
        </w:trPr>
        <w:tc>
          <w:tcPr>
            <w:tcW w:w="1811" w:type="dxa"/>
            <w:vAlign w:val="top"/>
            <w:gridSpan w:val="2"/>
          </w:tcPr>
          <w:p>
            <w:pPr>
              <w:ind w:left="701" w:right="274" w:hanging="419"/>
              <w:spacing w:before="169" w:line="252" w:lineRule="auto"/>
              <w:rPr>
                <w:rFonts w:ascii="SimSun" w:hAnsi="SimSun" w:eastAsia="SimSun" w:cs="SimSun"/>
                <w:sz w:val="20"/>
                <w:szCs w:val="20"/>
              </w:rPr>
            </w:pPr>
            <w:r>
              <w:rPr>
                <w:rFonts w:ascii="SimSun" w:hAnsi="SimSun" w:eastAsia="SimSun" w:cs="SimSun"/>
                <w:sz w:val="20"/>
                <w:szCs w:val="20"/>
                <w:spacing w:val="8"/>
              </w:rPr>
              <w:t>重点风险防范</w:t>
            </w:r>
            <w:r>
              <w:rPr>
                <w:rFonts w:ascii="SimSun" w:hAnsi="SimSun" w:eastAsia="SimSun" w:cs="SimSun"/>
                <w:sz w:val="20"/>
                <w:szCs w:val="20"/>
                <w:spacing w:val="4"/>
              </w:rPr>
              <w:t>措施</w:t>
            </w:r>
          </w:p>
        </w:tc>
        <w:tc>
          <w:tcPr>
            <w:tcW w:w="7479" w:type="dxa"/>
            <w:vAlign w:val="top"/>
            <w:gridSpan w:val="20"/>
          </w:tcPr>
          <w:p>
            <w:pPr>
              <w:pStyle w:val="TableText"/>
              <w:ind w:left="115" w:right="107" w:hanging="2"/>
              <w:spacing w:before="32"/>
              <w:jc w:val="both"/>
              <w:rPr>
                <w:rFonts w:ascii="SimSun" w:hAnsi="SimSun" w:eastAsia="SimSun" w:cs="SimSun"/>
              </w:rPr>
            </w:pPr>
            <w:r>
              <w:rPr>
                <w:rFonts w:ascii="SimSun" w:hAnsi="SimSun" w:eastAsia="SimSun" w:cs="SimSun"/>
                <w:spacing w:val="7"/>
              </w:rPr>
              <w:t>消防设施（灭火器、消防水车等）、污废水处理站、危废暂存间、应急救援指挥</w:t>
            </w:r>
            <w:r>
              <w:rPr>
                <w:rFonts w:ascii="SimSun" w:hAnsi="SimSun" w:eastAsia="SimSun" w:cs="SimSun"/>
                <w:spacing w:val="5"/>
              </w:rPr>
              <w:t>中心等；按《危险废物贮存污染控制标准》（</w:t>
            </w:r>
            <w:r>
              <w:rPr/>
              <w:t>GB</w:t>
            </w:r>
            <w:r>
              <w:rPr>
                <w:spacing w:val="5"/>
              </w:rPr>
              <w:t>18597-2023</w:t>
            </w:r>
            <w:r>
              <w:rPr>
                <w:rFonts w:ascii="SimSun" w:hAnsi="SimSun" w:eastAsia="SimSun" w:cs="SimSun"/>
                <w:spacing w:val="5"/>
              </w:rPr>
              <w:t>）防渗要求，对危废</w:t>
            </w:r>
            <w:r>
              <w:rPr>
                <w:rFonts w:ascii="SimSun" w:hAnsi="SimSun" w:eastAsia="SimSun" w:cs="SimSun"/>
                <w:spacing w:val="7"/>
              </w:rPr>
              <w:t>暂存间地面及壁面采取严格防渗措施，确保暂存期不对环境产生影响。</w:t>
            </w:r>
          </w:p>
        </w:tc>
      </w:tr>
      <w:tr>
        <w:trPr>
          <w:trHeight w:val="1093" w:hRule="atLeast"/>
        </w:trPr>
        <w:tc>
          <w:tcPr>
            <w:tcW w:w="1811" w:type="dxa"/>
            <w:vAlign w:val="top"/>
            <w:gridSpan w:val="2"/>
          </w:tcPr>
          <w:p>
            <w:pPr>
              <w:spacing w:line="374" w:lineRule="auto"/>
              <w:rPr>
                <w:rFonts w:ascii="Arial"/>
                <w:sz w:val="21"/>
              </w:rPr>
            </w:pPr>
            <w:r/>
          </w:p>
          <w:p>
            <w:pPr>
              <w:ind w:left="175"/>
              <w:spacing w:before="65" w:line="226" w:lineRule="auto"/>
              <w:rPr>
                <w:rFonts w:ascii="SimSun" w:hAnsi="SimSun" w:eastAsia="SimSun" w:cs="SimSun"/>
                <w:sz w:val="20"/>
                <w:szCs w:val="20"/>
              </w:rPr>
            </w:pPr>
            <w:r>
              <w:rPr>
                <w:rFonts w:ascii="SimSun" w:hAnsi="SimSun" w:eastAsia="SimSun" w:cs="SimSun"/>
                <w:sz w:val="20"/>
                <w:szCs w:val="20"/>
                <w:spacing w:val="8"/>
              </w:rPr>
              <w:t>评价结论与建议</w:t>
            </w:r>
          </w:p>
        </w:tc>
        <w:tc>
          <w:tcPr>
            <w:tcW w:w="7479" w:type="dxa"/>
            <w:vAlign w:val="top"/>
            <w:gridSpan w:val="20"/>
          </w:tcPr>
          <w:p>
            <w:pPr>
              <w:ind w:left="108" w:right="109"/>
              <w:spacing w:before="34" w:line="242" w:lineRule="auto"/>
              <w:jc w:val="both"/>
              <w:rPr>
                <w:rFonts w:ascii="SimSun" w:hAnsi="SimSun" w:eastAsia="SimSun" w:cs="SimSun"/>
                <w:sz w:val="20"/>
                <w:szCs w:val="20"/>
              </w:rPr>
            </w:pPr>
            <w:r>
              <w:rPr>
                <w:rFonts w:ascii="SimSun" w:hAnsi="SimSun" w:eastAsia="SimSun" w:cs="SimSun"/>
                <w:sz w:val="20"/>
                <w:szCs w:val="20"/>
                <w:spacing w:val="7"/>
              </w:rPr>
              <w:t>根据本项目工程特点，识别本项目环境风险类型主要为危废暂存间和加油站储油</w:t>
            </w:r>
            <w:r>
              <w:rPr>
                <w:rFonts w:ascii="SimSun" w:hAnsi="SimSun" w:eastAsia="SimSun" w:cs="SimSun"/>
                <w:sz w:val="20"/>
                <w:szCs w:val="20"/>
                <w:spacing w:val="7"/>
              </w:rPr>
              <w:t>罐泄漏、污水事故排放的情景下导致对环境的污染。但整体而言，发生环境风险</w:t>
            </w:r>
            <w:r>
              <w:rPr>
                <w:rFonts w:ascii="SimSun" w:hAnsi="SimSun" w:eastAsia="SimSun" w:cs="SimSun"/>
                <w:sz w:val="20"/>
                <w:szCs w:val="20"/>
                <w:spacing w:val="7"/>
              </w:rPr>
              <w:t>事故的概率较低，在落实好环境风险防范措施的前提下，本项目环境风险可防可</w:t>
            </w:r>
            <w:r>
              <w:rPr>
                <w:rFonts w:ascii="SimSun" w:hAnsi="SimSun" w:eastAsia="SimSun" w:cs="SimSun"/>
                <w:sz w:val="20"/>
                <w:szCs w:val="20"/>
                <w:spacing w:val="9"/>
              </w:rPr>
              <w:t>控，环境风险值可控制在当地环境可接受水平范围内。</w:t>
            </w:r>
          </w:p>
        </w:tc>
      </w:tr>
      <w:tr>
        <w:trPr>
          <w:trHeight w:val="283" w:hRule="atLeast"/>
        </w:trPr>
        <w:tc>
          <w:tcPr>
            <w:tcW w:w="9290" w:type="dxa"/>
            <w:vAlign w:val="top"/>
            <w:gridSpan w:val="22"/>
          </w:tcPr>
          <w:p>
            <w:pPr>
              <w:pStyle w:val="TableText"/>
              <w:ind w:left="2875"/>
              <w:spacing w:before="34" w:line="220" w:lineRule="auto"/>
              <w:rPr>
                <w:rFonts w:ascii="SimSun" w:hAnsi="SimSun" w:eastAsia="SimSun" w:cs="SimSun"/>
              </w:rPr>
            </w:pPr>
            <w:r>
              <w:rPr>
                <w:rFonts w:ascii="SimSun" w:hAnsi="SimSun" w:eastAsia="SimSun" w:cs="SimSun"/>
                <w:spacing w:val="5"/>
              </w:rPr>
              <w:t>注：</w:t>
            </w:r>
            <w:r>
              <w:rPr>
                <w:spacing w:val="5"/>
              </w:rPr>
              <w:t>“</w:t>
            </w:r>
            <w:r>
              <w:rPr>
                <w:spacing w:val="-35"/>
              </w:rPr>
              <w:t xml:space="preserve"> </w:t>
            </w:r>
            <w:r>
              <w:rPr>
                <w:spacing w:val="5"/>
              </w:rPr>
              <w:t>□”</w:t>
            </w:r>
            <w:r>
              <w:rPr>
                <w:rFonts w:ascii="SimSun" w:hAnsi="SimSun" w:eastAsia="SimSun" w:cs="SimSun"/>
                <w:spacing w:val="5"/>
              </w:rPr>
              <w:t>为勾选项，</w:t>
            </w:r>
            <w:r>
              <w:rPr>
                <w:spacing w:val="5"/>
              </w:rPr>
              <w:t>“</w:t>
            </w:r>
            <w:r>
              <w:rPr>
                <w:spacing w:val="-46"/>
              </w:rPr>
              <w:t xml:space="preserve"> </w:t>
            </w:r>
            <w:r>
              <w:rPr>
                <w:u w:val="single" w:color="auto"/>
                <w:spacing w:val="5"/>
              </w:rPr>
              <w:t xml:space="preserve">        </w:t>
            </w:r>
            <w:r>
              <w:rPr>
                <w:spacing w:val="4"/>
              </w:rPr>
              <w:t xml:space="preserve">  ”</w:t>
            </w:r>
            <w:r>
              <w:rPr>
                <w:rFonts w:ascii="SimSun" w:hAnsi="SimSun" w:eastAsia="SimSun" w:cs="SimSun"/>
                <w:spacing w:val="4"/>
              </w:rPr>
              <w:t>为填写项。</w:t>
            </w:r>
          </w:p>
        </w:tc>
      </w:tr>
    </w:tbl>
    <w:p>
      <w:pPr>
        <w:ind w:left="520"/>
        <w:spacing w:before="299" w:line="120" w:lineRule="exact"/>
        <w:rPr>
          <w:rFonts w:ascii="SimSun" w:hAnsi="SimSun" w:eastAsia="SimSun" w:cs="SimSun"/>
          <w:sz w:val="24"/>
          <w:szCs w:val="24"/>
        </w:rPr>
      </w:pPr>
      <w:r>
        <w:rPr>
          <w:rFonts w:ascii="SimSun" w:hAnsi="SimSun" w:eastAsia="SimSun" w:cs="SimSun"/>
          <w:sz w:val="24"/>
          <w:szCs w:val="24"/>
          <w:position w:val="-2"/>
        </w:rPr>
        <w:t>。</w:t>
      </w:r>
    </w:p>
    <w:p>
      <w:pPr>
        <w:spacing w:line="120" w:lineRule="exact"/>
        <w:sectPr>
          <w:headerReference w:type="default" r:id="rId484"/>
          <w:footerReference w:type="default" r:id="rId485"/>
          <w:pgSz w:w="11906" w:h="16838"/>
          <w:pgMar w:top="1114" w:right="1167" w:bottom="1080" w:left="1408" w:header="837" w:footer="918" w:gutter="0"/>
        </w:sectPr>
        <w:rPr>
          <w:rFonts w:ascii="SimSun" w:hAnsi="SimSun" w:eastAsia="SimSun" w:cs="SimSun"/>
          <w:sz w:val="24"/>
          <w:szCs w:val="24"/>
        </w:rPr>
      </w:pPr>
    </w:p>
    <w:p>
      <w:pPr>
        <w:pStyle w:val="BodyText"/>
        <w:spacing w:line="296" w:lineRule="auto"/>
        <w:rPr/>
      </w:pPr>
      <w:r/>
    </w:p>
    <w:p>
      <w:pPr>
        <w:pStyle w:val="BodyText"/>
        <w:spacing w:line="297" w:lineRule="auto"/>
        <w:rPr/>
      </w:pPr>
      <w:r/>
    </w:p>
    <w:p>
      <w:pPr>
        <w:ind w:left="2029"/>
        <w:spacing w:before="117" w:line="222" w:lineRule="auto"/>
        <w:outlineLvl w:val="0"/>
        <w:rPr>
          <w:rFonts w:ascii="SimHei" w:hAnsi="SimHei" w:eastAsia="SimHei" w:cs="SimHei"/>
          <w:sz w:val="36"/>
          <w:szCs w:val="36"/>
        </w:rPr>
      </w:pPr>
      <w:bookmarkStart w:name="bookmark46" w:id="79"/>
      <w:bookmarkEnd w:id="79"/>
      <w:r>
        <w:rPr>
          <w:rFonts w:ascii="Times New Roman" w:hAnsi="Times New Roman" w:eastAsia="Times New Roman" w:cs="Times New Roman"/>
          <w:sz w:val="36"/>
          <w:szCs w:val="36"/>
          <w:spacing w:val="-1"/>
        </w:rPr>
        <w:t>7  </w:t>
      </w:r>
      <w:r>
        <w:rPr>
          <w:rFonts w:ascii="SimHei" w:hAnsi="SimHei" w:eastAsia="SimHei" w:cs="SimHei"/>
          <w:sz w:val="36"/>
          <w:szCs w:val="36"/>
          <w:spacing w:val="-1"/>
        </w:rPr>
        <w:t>环境保护措施及其可行性论证</w:t>
      </w:r>
    </w:p>
    <w:p>
      <w:pPr>
        <w:pStyle w:val="BodyText"/>
        <w:spacing w:line="456" w:lineRule="auto"/>
        <w:rPr/>
      </w:pPr>
      <w:r/>
    </w:p>
    <w:p>
      <w:pPr>
        <w:ind w:left="10"/>
        <w:spacing w:before="98" w:line="222" w:lineRule="auto"/>
        <w:outlineLvl w:val="1"/>
        <w:rPr>
          <w:rFonts w:ascii="SimHei" w:hAnsi="SimHei" w:eastAsia="SimHei" w:cs="SimHei"/>
          <w:sz w:val="30"/>
          <w:szCs w:val="30"/>
        </w:rPr>
      </w:pPr>
      <w:bookmarkStart w:name="bookmark47" w:id="80"/>
      <w:bookmarkEnd w:id="80"/>
      <w:r>
        <w:rPr>
          <w:rFonts w:ascii="Times New Roman" w:hAnsi="Times New Roman" w:eastAsia="Times New Roman" w:cs="Times New Roman"/>
          <w:sz w:val="30"/>
          <w:szCs w:val="30"/>
          <w:b/>
          <w:bCs/>
          <w:spacing w:val="-3"/>
        </w:rPr>
        <w:t>7.1  </w:t>
      </w:r>
      <w:r>
        <w:rPr>
          <w:rFonts w:ascii="SimHei" w:hAnsi="SimHei" w:eastAsia="SimHei" w:cs="SimHei"/>
          <w:sz w:val="30"/>
          <w:szCs w:val="30"/>
          <w:b/>
          <w:bCs/>
          <w:spacing w:val="-3"/>
        </w:rPr>
        <w:t>生态环境环保措施</w:t>
      </w:r>
    </w:p>
    <w:p>
      <w:pPr>
        <w:ind w:left="9"/>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7.1.1 </w:t>
      </w:r>
      <w:r>
        <w:rPr>
          <w:rFonts w:ascii="SimHei" w:hAnsi="SimHei" w:eastAsia="SimHei" w:cs="SimHei"/>
          <w:sz w:val="28"/>
          <w:szCs w:val="28"/>
          <w:b/>
          <w:bCs/>
          <w:spacing w:val="-2"/>
        </w:rPr>
        <w:t>生态保护管理措施</w:t>
      </w:r>
    </w:p>
    <w:p>
      <w:pPr>
        <w:ind w:left="508"/>
        <w:spacing w:before="171" w:line="220" w:lineRule="auto"/>
        <w:rPr>
          <w:rFonts w:ascii="SimSun" w:hAnsi="SimSun" w:eastAsia="SimSun" w:cs="SimSun"/>
          <w:sz w:val="24"/>
          <w:szCs w:val="24"/>
        </w:rPr>
      </w:pP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10"/>
        </w:rPr>
        <w:t>、人员培训</w:t>
      </w:r>
    </w:p>
    <w:p>
      <w:pPr>
        <w:ind w:left="8" w:firstLine="480"/>
        <w:spacing w:before="151" w:line="339" w:lineRule="auto"/>
        <w:rPr>
          <w:rFonts w:ascii="SimSun" w:hAnsi="SimSun" w:eastAsia="SimSun" w:cs="SimSun"/>
          <w:sz w:val="24"/>
          <w:szCs w:val="24"/>
        </w:rPr>
      </w:pPr>
      <w:r>
        <w:rPr>
          <w:rFonts w:ascii="SimSun" w:hAnsi="SimSun" w:eastAsia="SimSun" w:cs="SimSun"/>
          <w:sz w:val="24"/>
          <w:szCs w:val="24"/>
          <w:spacing w:val="-2"/>
        </w:rPr>
        <w:t>加强对工矿人员的培训，严格控制采矿范围，禁止随意开辟施工道路及场地，禁止</w:t>
      </w:r>
      <w:r>
        <w:rPr>
          <w:rFonts w:ascii="SimSun" w:hAnsi="SimSun" w:eastAsia="SimSun" w:cs="SimSun"/>
          <w:sz w:val="24"/>
          <w:szCs w:val="24"/>
          <w:spacing w:val="-2"/>
        </w:rPr>
        <w:t>对矿区以外地区进行碾压和破坏植被，不得偷猎、伤害、恐吓、袭击野生动物。采挖过</w:t>
      </w:r>
      <w:r>
        <w:rPr>
          <w:rFonts w:ascii="SimSun" w:hAnsi="SimSun" w:eastAsia="SimSun" w:cs="SimSun"/>
          <w:sz w:val="24"/>
          <w:szCs w:val="24"/>
          <w:spacing w:val="-5"/>
        </w:rPr>
        <w:t>程中，发现有野生动物的繁殖地时，应尽量避开</w:t>
      </w:r>
      <w:r>
        <w:rPr>
          <w:rFonts w:ascii="SimSun" w:hAnsi="SimSun" w:eastAsia="SimSun" w:cs="SimSun"/>
          <w:sz w:val="24"/>
          <w:szCs w:val="24"/>
          <w:spacing w:val="-6"/>
        </w:rPr>
        <w:t>，不得随意干扰和破坏野生动物的栖息、</w:t>
      </w:r>
      <w:r>
        <w:rPr>
          <w:rFonts w:ascii="SimSun" w:hAnsi="SimSun" w:eastAsia="SimSun" w:cs="SimSun"/>
          <w:sz w:val="24"/>
          <w:szCs w:val="24"/>
          <w:spacing w:val="-1"/>
        </w:rPr>
        <w:t>活动场所。运输及运营维护车辆严格按照规划的道路运行。</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、现场管理</w:t>
      </w:r>
    </w:p>
    <w:p>
      <w:pPr>
        <w:ind w:left="11" w:right="85" w:firstLine="480"/>
        <w:spacing w:before="154" w:line="339" w:lineRule="auto"/>
        <w:rPr>
          <w:rFonts w:ascii="SimSun" w:hAnsi="SimSun" w:eastAsia="SimSun" w:cs="SimSun"/>
          <w:sz w:val="24"/>
          <w:szCs w:val="24"/>
        </w:rPr>
      </w:pPr>
      <w:r>
        <w:rPr>
          <w:rFonts w:ascii="SimSun" w:hAnsi="SimSun" w:eastAsia="SimSun" w:cs="SimSun"/>
          <w:sz w:val="24"/>
          <w:szCs w:val="24"/>
          <w:spacing w:val="-2"/>
        </w:rPr>
        <w:t>按照设计方案及范围进行生产，对采区等设置围护，严禁项目区内随意排放倾倒建</w:t>
      </w:r>
      <w:r>
        <w:rPr>
          <w:rFonts w:ascii="SimSun" w:hAnsi="SimSun" w:eastAsia="SimSun" w:cs="SimSun"/>
          <w:sz w:val="24"/>
          <w:szCs w:val="24"/>
          <w:spacing w:val="-2"/>
        </w:rPr>
        <w:t>筑垃圾及生活垃圾等。</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、植被保护措施</w:t>
      </w:r>
    </w:p>
    <w:p>
      <w:pPr>
        <w:ind w:left="8" w:right="85" w:firstLine="480"/>
        <w:spacing w:before="156" w:line="338" w:lineRule="auto"/>
        <w:rPr>
          <w:rFonts w:ascii="SimSun" w:hAnsi="SimSun" w:eastAsia="SimSun" w:cs="SimSun"/>
          <w:sz w:val="24"/>
          <w:szCs w:val="24"/>
        </w:rPr>
      </w:pPr>
      <w:r>
        <w:rPr>
          <w:rFonts w:ascii="SimSun" w:hAnsi="SimSun" w:eastAsia="SimSun" w:cs="SimSun"/>
          <w:sz w:val="24"/>
          <w:szCs w:val="24"/>
          <w:spacing w:val="-2"/>
        </w:rPr>
        <w:t>运营期间破坏的地表植被，应严格按土地复垦有关规定，使之尽快恢复，应边采挖</w:t>
      </w:r>
      <w:r>
        <w:rPr>
          <w:rFonts w:ascii="SimSun" w:hAnsi="SimSun" w:eastAsia="SimSun" w:cs="SimSun"/>
          <w:sz w:val="24"/>
          <w:szCs w:val="24"/>
          <w:spacing w:val="-2"/>
        </w:rPr>
        <w:t>边恢复。植被恢复按照恢复治理方案实施。表土单独堆放妥善管理，一定范围的排土结</w:t>
      </w:r>
      <w:r>
        <w:rPr>
          <w:rFonts w:ascii="SimSun" w:hAnsi="SimSun" w:eastAsia="SimSun" w:cs="SimSun"/>
          <w:sz w:val="24"/>
          <w:szCs w:val="24"/>
          <w:spacing w:val="-2"/>
        </w:rPr>
        <w:t>束后，应及时清理平整土地，将原表土覆于平整后的土地上进行复垦绿化。在选择草种</w:t>
      </w:r>
      <w:r>
        <w:rPr>
          <w:rFonts w:ascii="SimSun" w:hAnsi="SimSun" w:eastAsia="SimSun" w:cs="SimSun"/>
          <w:sz w:val="24"/>
          <w:szCs w:val="24"/>
          <w:spacing w:val="-1"/>
        </w:rPr>
        <w:t>时必须选择当地乡土物种。</w:t>
      </w:r>
    </w:p>
    <w:p>
      <w:pPr>
        <w:ind w:left="483"/>
        <w:spacing w:line="220"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、野生动物保护措施</w:t>
      </w:r>
    </w:p>
    <w:p>
      <w:pPr>
        <w:ind w:left="10" w:right="85" w:firstLine="485"/>
        <w:spacing w:before="157" w:line="29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）加强法制教育和管理，全面贯彻执行《中华人民共和国野生动物保护法》等</w:t>
      </w:r>
      <w:r>
        <w:rPr>
          <w:rFonts w:ascii="SimSun" w:hAnsi="SimSun" w:eastAsia="SimSun" w:cs="SimSun"/>
          <w:sz w:val="24"/>
          <w:szCs w:val="24"/>
          <w:spacing w:val="-2"/>
        </w:rPr>
        <w:t>法律法规，增强工作人员的野生动物保护意识，严禁非法猎捕珍稀野生动物，禁止捕杀</w:t>
      </w:r>
      <w:r>
        <w:rPr>
          <w:rFonts w:ascii="SimSun" w:hAnsi="SimSun" w:eastAsia="SimSun" w:cs="SimSun"/>
          <w:sz w:val="24"/>
          <w:szCs w:val="24"/>
          <w:spacing w:val="-1"/>
        </w:rPr>
        <w:t>鸟类，以减轻对当地陆生野生动物的影响。</w:t>
      </w:r>
    </w:p>
    <w:p>
      <w:pPr>
        <w:ind w:left="10" w:right="85" w:firstLine="485"/>
        <w:spacing w:before="153" w:line="31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）项目对动物的影响主要是生产期间人员、车辆和机械产生的噪声对鸟类产生</w:t>
      </w:r>
      <w:r>
        <w:rPr>
          <w:rFonts w:ascii="SimSun" w:hAnsi="SimSun" w:eastAsia="SimSun" w:cs="SimSun"/>
          <w:sz w:val="24"/>
          <w:szCs w:val="24"/>
          <w:spacing w:val="-2"/>
        </w:rPr>
        <w:t>的驱赶作用和建设项目永久占地对动物栖息生境的影响，生产期间，应控制和降低施工</w:t>
      </w:r>
      <w:r>
        <w:rPr>
          <w:rFonts w:ascii="SimSun" w:hAnsi="SimSun" w:eastAsia="SimSun" w:cs="SimSun"/>
          <w:sz w:val="24"/>
          <w:szCs w:val="24"/>
          <w:spacing w:val="-2"/>
        </w:rPr>
        <w:t>噪声，尽量降低施工活动对野生动物的影响，特别是在鸟类繁殖期。工程占地在保证项</w:t>
      </w:r>
      <w:r>
        <w:rPr>
          <w:rFonts w:ascii="SimSun" w:hAnsi="SimSun" w:eastAsia="SimSun" w:cs="SimSun"/>
          <w:sz w:val="24"/>
          <w:szCs w:val="24"/>
          <w:spacing w:val="-2"/>
        </w:rPr>
        <w:t>目建成后正常使用功能的前提下，优化项目设计，减少项目工程占地，降低项目建设对</w:t>
      </w:r>
      <w:r>
        <w:rPr>
          <w:rFonts w:ascii="SimSun" w:hAnsi="SimSun" w:eastAsia="SimSun" w:cs="SimSun"/>
          <w:sz w:val="24"/>
          <w:szCs w:val="24"/>
          <w:spacing w:val="-1"/>
        </w:rPr>
        <w:t>保护区鸟类栖息生境的占用。</w:t>
      </w:r>
    </w:p>
    <w:p>
      <w:pPr>
        <w:ind w:left="9" w:right="99" w:firstLine="486"/>
        <w:spacing w:before="154"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）教育各位生产人员爱护爬行动物，设立警示标志和标志牌，禁止捕杀爬行动</w:t>
      </w:r>
      <w:r>
        <w:rPr>
          <w:rFonts w:ascii="SimSun" w:hAnsi="SimSun" w:eastAsia="SimSun" w:cs="SimSun"/>
          <w:sz w:val="24"/>
          <w:szCs w:val="24"/>
          <w:spacing w:val="-2"/>
        </w:rPr>
        <w:t>物的行为。</w:t>
      </w:r>
    </w:p>
    <w:p>
      <w:pPr>
        <w:ind w:left="491"/>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4"/>
        </w:rPr>
        <w:t>、对自然景观的保护措施</w:t>
      </w:r>
    </w:p>
    <w:p>
      <w:pPr>
        <w:ind w:left="491"/>
        <w:spacing w:before="154" w:line="219" w:lineRule="auto"/>
        <w:rPr>
          <w:rFonts w:ascii="SimSun" w:hAnsi="SimSun" w:eastAsia="SimSun" w:cs="SimSun"/>
          <w:sz w:val="24"/>
          <w:szCs w:val="24"/>
        </w:rPr>
      </w:pPr>
      <w:r>
        <w:rPr>
          <w:rFonts w:ascii="SimSun" w:hAnsi="SimSun" w:eastAsia="SimSun" w:cs="SimSun"/>
          <w:sz w:val="24"/>
          <w:szCs w:val="24"/>
          <w:spacing w:val="-1"/>
        </w:rPr>
        <w:t>生产期间矿区应有次序地动工，避免景观凌乱，影响区域风貌。</w:t>
      </w:r>
    </w:p>
    <w:p>
      <w:pPr>
        <w:spacing w:line="219" w:lineRule="auto"/>
        <w:sectPr>
          <w:headerReference w:type="default" r:id="rId479"/>
          <w:footerReference w:type="default" r:id="rId486"/>
          <w:pgSz w:w="11906" w:h="16838"/>
          <w:pgMar w:top="1114" w:right="1332" w:bottom="1080" w:left="1416" w:header="837" w:footer="918" w:gutter="0"/>
        </w:sectPr>
        <w:rPr>
          <w:rFonts w:ascii="SimSun" w:hAnsi="SimSun" w:eastAsia="SimSun" w:cs="SimSun"/>
          <w:sz w:val="24"/>
          <w:szCs w:val="24"/>
        </w:rPr>
      </w:pPr>
    </w:p>
    <w:p>
      <w:pPr>
        <w:pStyle w:val="BodyText"/>
        <w:spacing w:line="369" w:lineRule="auto"/>
        <w:rPr/>
      </w:pPr>
      <w:r/>
    </w:p>
    <w:p>
      <w:pPr>
        <w:ind w:left="9" w:right="181" w:firstLine="482"/>
        <w:spacing w:before="78" w:line="340" w:lineRule="auto"/>
        <w:jc w:val="both"/>
        <w:rPr>
          <w:rFonts w:ascii="SimSun" w:hAnsi="SimSun" w:eastAsia="SimSun" w:cs="SimSun"/>
          <w:sz w:val="24"/>
          <w:szCs w:val="24"/>
        </w:rPr>
      </w:pPr>
      <w:r>
        <w:rPr>
          <w:rFonts w:ascii="SimSun" w:hAnsi="SimSun" w:eastAsia="SimSun" w:cs="SimSun"/>
          <w:sz w:val="24"/>
          <w:szCs w:val="24"/>
          <w:spacing w:val="-2"/>
        </w:rPr>
        <w:t>建筑物力求做到与自然景观、生态环境相融洽，防止造成视线干扰和阻隔。建筑风</w:t>
      </w:r>
      <w:r>
        <w:rPr>
          <w:rFonts w:ascii="SimSun" w:hAnsi="SimSun" w:eastAsia="SimSun" w:cs="SimSun"/>
          <w:sz w:val="24"/>
          <w:szCs w:val="24"/>
          <w:spacing w:val="-2"/>
        </w:rPr>
        <w:t>格上色彩应以朴素、淡雅为宜，做到与周围自然景观相互协调。避免使用对比强烈、体</w:t>
      </w:r>
      <w:r>
        <w:rPr>
          <w:rFonts w:ascii="SimSun" w:hAnsi="SimSun" w:eastAsia="SimSun" w:cs="SimSun"/>
          <w:sz w:val="24"/>
          <w:szCs w:val="24"/>
          <w:spacing w:val="-2"/>
        </w:rPr>
        <w:t>量突兀的建筑造型。</w:t>
      </w:r>
    </w:p>
    <w:p>
      <w:pPr>
        <w:ind w:left="9"/>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7.1.2 </w:t>
      </w:r>
      <w:r>
        <w:rPr>
          <w:rFonts w:ascii="SimHei" w:hAnsi="SimHei" w:eastAsia="SimHei" w:cs="SimHei"/>
          <w:sz w:val="28"/>
          <w:szCs w:val="28"/>
          <w:b/>
          <w:bCs/>
          <w:spacing w:val="-2"/>
        </w:rPr>
        <w:t>生态环境整治措施</w:t>
      </w:r>
    </w:p>
    <w:p>
      <w:pPr>
        <w:ind w:left="8"/>
        <w:spacing w:before="201"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7.1.2.1 </w:t>
      </w:r>
      <w:r>
        <w:rPr>
          <w:rFonts w:ascii="SimHei" w:hAnsi="SimHei" w:eastAsia="SimHei" w:cs="SimHei"/>
          <w:sz w:val="24"/>
          <w:szCs w:val="24"/>
          <w:b/>
          <w:bCs/>
          <w:spacing w:val="-2"/>
        </w:rPr>
        <w:t>生态环境综合整治的原则与目标</w:t>
      </w:r>
    </w:p>
    <w:p>
      <w:pPr>
        <w:ind w:left="495"/>
        <w:spacing w:before="158"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）生态综合整治原则</w:t>
      </w:r>
    </w:p>
    <w:p>
      <w:pPr>
        <w:ind w:left="14" w:right="181" w:firstLine="475"/>
        <w:spacing w:before="155" w:line="338" w:lineRule="auto"/>
        <w:rPr>
          <w:rFonts w:ascii="SimSun" w:hAnsi="SimSun" w:eastAsia="SimSun" w:cs="SimSun"/>
          <w:sz w:val="24"/>
          <w:szCs w:val="24"/>
        </w:rPr>
      </w:pPr>
      <w:r>
        <w:rPr>
          <w:rFonts w:ascii="SimSun" w:hAnsi="SimSun" w:eastAsia="SimSun" w:cs="SimSun"/>
          <w:sz w:val="24"/>
          <w:szCs w:val="24"/>
          <w:spacing w:val="-2"/>
        </w:rPr>
        <w:t>根据煤矿开采接续工程特点、性质和评价区环境特征，以及《环境影响评价技术导</w:t>
      </w:r>
      <w:r>
        <w:rPr>
          <w:rFonts w:ascii="SimSun" w:hAnsi="SimSun" w:eastAsia="SimSun" w:cs="SimSun"/>
          <w:sz w:val="24"/>
          <w:szCs w:val="24"/>
          <w:spacing w:val="-1"/>
        </w:rPr>
        <w:t>则 生态影响》的规定，确定生态综合整治原则为：</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SimSun" w:hAnsi="SimSun" w:eastAsia="SimSun" w:cs="SimSun"/>
          <w:sz w:val="24"/>
          <w:szCs w:val="24"/>
          <w:spacing w:val="-5"/>
        </w:rPr>
        <w:t>）</w:t>
      </w:r>
      <w:r>
        <w:rPr>
          <w:rFonts w:ascii="SimSun" w:hAnsi="SimSun" w:eastAsia="SimSun" w:cs="SimSun"/>
          <w:sz w:val="24"/>
          <w:szCs w:val="24"/>
          <w:spacing w:val="-72"/>
        </w:rPr>
        <w:t xml:space="preserve"> </w:t>
      </w:r>
      <w:r>
        <w:rPr>
          <w:rFonts w:ascii="SimSun" w:hAnsi="SimSun" w:eastAsia="SimSun" w:cs="SimSun"/>
          <w:sz w:val="24"/>
          <w:szCs w:val="24"/>
          <w:spacing w:val="-5"/>
        </w:rPr>
        <w:t>自然资源的补偿原则</w:t>
      </w:r>
    </w:p>
    <w:p>
      <w:pPr>
        <w:ind w:left="10" w:right="181" w:firstLine="508"/>
        <w:spacing w:before="157" w:line="338" w:lineRule="auto"/>
        <w:rPr>
          <w:rFonts w:ascii="SimSun" w:hAnsi="SimSun" w:eastAsia="SimSun" w:cs="SimSun"/>
          <w:sz w:val="24"/>
          <w:szCs w:val="24"/>
        </w:rPr>
      </w:pPr>
      <w:r>
        <w:rPr>
          <w:rFonts w:ascii="SimSun" w:hAnsi="SimSun" w:eastAsia="SimSun" w:cs="SimSun"/>
          <w:sz w:val="24"/>
          <w:szCs w:val="24"/>
          <w:spacing w:val="-2"/>
        </w:rPr>
        <w:t>由于项目区自然资源会因为项目运行受到一定</w:t>
      </w:r>
      <w:r>
        <w:rPr>
          <w:rFonts w:ascii="SimSun" w:hAnsi="SimSun" w:eastAsia="SimSun" w:cs="SimSun"/>
          <w:sz w:val="24"/>
          <w:szCs w:val="24"/>
          <w:spacing w:val="-3"/>
        </w:rPr>
        <w:t>程度的损耗，而这种资源属于再生期</w:t>
      </w:r>
      <w:r>
        <w:rPr>
          <w:rFonts w:ascii="SimSun" w:hAnsi="SimSun" w:eastAsia="SimSun" w:cs="SimSun"/>
          <w:sz w:val="24"/>
          <w:szCs w:val="24"/>
          <w:spacing w:val="-2"/>
        </w:rPr>
        <w:t>长，恢复速度较慢的资源，它们除自身存在市场价值外，还具有生态和社会效益，因而</w:t>
      </w:r>
      <w:r>
        <w:rPr>
          <w:rFonts w:ascii="SimSun" w:hAnsi="SimSun" w:eastAsia="SimSun" w:cs="SimSun"/>
          <w:sz w:val="24"/>
          <w:szCs w:val="24"/>
          <w:spacing w:val="-1"/>
        </w:rPr>
        <w:t>必须执行自然资源损失的补偿原则。</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）受损区域的恢复原则</w:t>
      </w:r>
    </w:p>
    <w:p>
      <w:pPr>
        <w:ind w:left="10" w:right="168" w:firstLine="482"/>
        <w:spacing w:before="155" w:line="338" w:lineRule="auto"/>
        <w:rPr>
          <w:rFonts w:ascii="SimSun" w:hAnsi="SimSun" w:eastAsia="SimSun" w:cs="SimSun"/>
          <w:sz w:val="24"/>
          <w:szCs w:val="24"/>
        </w:rPr>
      </w:pPr>
      <w:r>
        <w:rPr>
          <w:rFonts w:ascii="SimSun" w:hAnsi="SimSun" w:eastAsia="SimSun" w:cs="SimSun"/>
          <w:sz w:val="24"/>
          <w:szCs w:val="24"/>
          <w:spacing w:val="-2"/>
        </w:rPr>
        <w:t>项目影响最大的区域是占地区（包括永久占地和临时占地）和直接影响区，用地格</w:t>
      </w:r>
      <w:r>
        <w:rPr>
          <w:rFonts w:ascii="SimSun" w:hAnsi="SimSun" w:eastAsia="SimSun" w:cs="SimSun"/>
          <w:sz w:val="24"/>
          <w:szCs w:val="24"/>
          <w:spacing w:val="-2"/>
        </w:rPr>
        <w:t>局的改变影响了原有自然体系的功能，如物种移动，因此应进行生态学设计，尽量减少</w:t>
      </w:r>
      <w:r>
        <w:rPr>
          <w:rFonts w:ascii="SimSun" w:hAnsi="SimSun" w:eastAsia="SimSun" w:cs="SimSun"/>
          <w:sz w:val="24"/>
          <w:szCs w:val="24"/>
          <w:spacing w:val="-1"/>
        </w:rPr>
        <w:t>这种功能的损失。根据区域环境特征，评价提出了一般影响地段采</w:t>
      </w:r>
      <w:r>
        <w:rPr>
          <w:rFonts w:ascii="SimSun" w:hAnsi="SimSun" w:eastAsia="SimSun" w:cs="SimSun"/>
          <w:sz w:val="24"/>
          <w:szCs w:val="24"/>
          <w:spacing w:val="-2"/>
        </w:rPr>
        <w:t>取自然恢复的原则。</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）人类需求与生态完整性维护相协调的原则</w:t>
      </w:r>
    </w:p>
    <w:p>
      <w:pPr>
        <w:ind w:left="10" w:right="181" w:firstLine="482"/>
        <w:spacing w:before="156" w:line="338" w:lineRule="auto"/>
        <w:rPr>
          <w:rFonts w:ascii="SimSun" w:hAnsi="SimSun" w:eastAsia="SimSun" w:cs="SimSun"/>
          <w:sz w:val="24"/>
          <w:szCs w:val="24"/>
        </w:rPr>
      </w:pPr>
      <w:r>
        <w:rPr>
          <w:rFonts w:ascii="SimSun" w:hAnsi="SimSun" w:eastAsia="SimSun" w:cs="SimSun"/>
          <w:sz w:val="24"/>
          <w:szCs w:val="24"/>
          <w:spacing w:val="-2"/>
        </w:rPr>
        <w:t>项目运行是人类利用自然资源满足需求的行为，这种行为往往与生态完整性的维护</w:t>
      </w:r>
      <w:r>
        <w:rPr>
          <w:rFonts w:ascii="SimSun" w:hAnsi="SimSun" w:eastAsia="SimSun" w:cs="SimSun"/>
          <w:sz w:val="24"/>
          <w:szCs w:val="24"/>
          <w:spacing w:val="-2"/>
        </w:rPr>
        <w:t>发生矛盾，生态保护措施就在于尽力减缓这种矛盾，在自然体系可以承受的范围内开发</w:t>
      </w:r>
      <w:r>
        <w:rPr>
          <w:rFonts w:ascii="SimSun" w:hAnsi="SimSun" w:eastAsia="SimSun" w:cs="SimSun"/>
          <w:sz w:val="24"/>
          <w:szCs w:val="24"/>
          <w:spacing w:val="-1"/>
        </w:rPr>
        <w:t>利用资源，为社会经济的进步服务。</w:t>
      </w:r>
    </w:p>
    <w:p>
      <w:pPr>
        <w:ind w:left="491"/>
        <w:spacing w:line="220" w:lineRule="auto"/>
        <w:rPr>
          <w:rFonts w:ascii="SimSun" w:hAnsi="SimSun" w:eastAsia="SimSun" w:cs="SimSun"/>
          <w:sz w:val="24"/>
          <w:szCs w:val="24"/>
        </w:rPr>
      </w:pPr>
      <w:r>
        <w:rPr>
          <w:rFonts w:ascii="Times New Roman" w:hAnsi="Times New Roman" w:eastAsia="Times New Roman" w:cs="Times New Roman"/>
          <w:sz w:val="24"/>
          <w:szCs w:val="24"/>
          <w:spacing w:val="-1"/>
        </w:rPr>
        <w:t>5</w:t>
      </w:r>
      <w:r>
        <w:rPr>
          <w:rFonts w:ascii="SimSun" w:hAnsi="SimSun" w:eastAsia="SimSun" w:cs="SimSun"/>
          <w:sz w:val="24"/>
          <w:szCs w:val="24"/>
          <w:spacing w:val="-1"/>
        </w:rPr>
        <w:t>）突出重点，分区治理的原则</w:t>
      </w:r>
    </w:p>
    <w:p>
      <w:pPr>
        <w:ind w:left="9" w:right="181" w:firstLine="481"/>
        <w:spacing w:before="155" w:line="338" w:lineRule="auto"/>
        <w:rPr>
          <w:rFonts w:ascii="SimSun" w:hAnsi="SimSun" w:eastAsia="SimSun" w:cs="SimSun"/>
          <w:sz w:val="24"/>
          <w:szCs w:val="24"/>
        </w:rPr>
      </w:pPr>
      <w:r>
        <w:rPr>
          <w:rFonts w:ascii="SimSun" w:hAnsi="SimSun" w:eastAsia="SimSun" w:cs="SimSun"/>
          <w:sz w:val="24"/>
          <w:szCs w:val="24"/>
          <w:spacing w:val="-2"/>
        </w:rPr>
        <w:t>按照采掘场、排土场的特点，根据不同分区的特点分别进行整治，并把整治的重点</w:t>
      </w:r>
      <w:r>
        <w:rPr>
          <w:rFonts w:ascii="SimSun" w:hAnsi="SimSun" w:eastAsia="SimSun" w:cs="SimSun"/>
          <w:sz w:val="24"/>
          <w:szCs w:val="24"/>
          <w:spacing w:val="-1"/>
        </w:rPr>
        <w:t>放在为采掘场和排土场的生态恢复</w:t>
      </w:r>
      <w:r>
        <w:rPr>
          <w:rFonts w:ascii="SimSun" w:hAnsi="SimSun" w:eastAsia="SimSun" w:cs="SimSun"/>
          <w:sz w:val="24"/>
          <w:szCs w:val="24"/>
          <w:color w:val="EE0000"/>
          <w:spacing w:val="-1"/>
        </w:rPr>
        <w:t>。</w:t>
      </w:r>
    </w:p>
    <w:p>
      <w:pPr>
        <w:ind w:left="490"/>
        <w:spacing w:line="220" w:lineRule="auto"/>
        <w:rPr>
          <w:rFonts w:ascii="SimSun" w:hAnsi="SimSun" w:eastAsia="SimSun" w:cs="SimSun"/>
          <w:sz w:val="24"/>
          <w:szCs w:val="24"/>
        </w:rPr>
      </w:pPr>
      <w:r>
        <w:rPr>
          <w:rFonts w:ascii="Times New Roman" w:hAnsi="Times New Roman" w:eastAsia="Times New Roman" w:cs="Times New Roman"/>
          <w:sz w:val="24"/>
          <w:szCs w:val="24"/>
          <w:spacing w:val="-2"/>
        </w:rPr>
        <w:t>6</w:t>
      </w:r>
      <w:r>
        <w:rPr>
          <w:rFonts w:ascii="SimSun" w:hAnsi="SimSun" w:eastAsia="SimSun" w:cs="SimSun"/>
          <w:sz w:val="24"/>
          <w:szCs w:val="24"/>
          <w:spacing w:val="-2"/>
        </w:rPr>
        <w:t>）近细远粗的原则</w:t>
      </w:r>
    </w:p>
    <w:p>
      <w:pPr>
        <w:ind w:left="13" w:right="181" w:firstLine="476"/>
        <w:spacing w:before="155" w:line="338" w:lineRule="auto"/>
        <w:rPr>
          <w:rFonts w:ascii="SimSun" w:hAnsi="SimSun" w:eastAsia="SimSun" w:cs="SimSun"/>
          <w:sz w:val="24"/>
          <w:szCs w:val="24"/>
        </w:rPr>
      </w:pPr>
      <w:r>
        <w:rPr>
          <w:rFonts w:ascii="SimSun" w:hAnsi="SimSun" w:eastAsia="SimSun" w:cs="SimSun"/>
          <w:sz w:val="24"/>
          <w:szCs w:val="24"/>
          <w:spacing w:val="-1"/>
        </w:rPr>
        <w:t>根据开采工艺，按照</w:t>
      </w:r>
      <w:r>
        <w:rPr>
          <w:rFonts w:ascii="Times New Roman" w:hAnsi="Times New Roman" w:eastAsia="Times New Roman" w:cs="Times New Roman"/>
          <w:sz w:val="24"/>
          <w:szCs w:val="24"/>
          <w:spacing w:val="-1"/>
        </w:rPr>
        <w:t>“</w:t>
      </w:r>
      <w:r>
        <w:rPr>
          <w:rFonts w:ascii="SimSun" w:hAnsi="SimSun" w:eastAsia="SimSun" w:cs="SimSun"/>
          <w:sz w:val="24"/>
          <w:szCs w:val="24"/>
          <w:spacing w:val="-1"/>
        </w:rPr>
        <w:t>近细远粗</w:t>
      </w:r>
      <w:r>
        <w:rPr>
          <w:rFonts w:ascii="Times New Roman" w:hAnsi="Times New Roman" w:eastAsia="Times New Roman" w:cs="Times New Roman"/>
          <w:sz w:val="24"/>
          <w:szCs w:val="24"/>
          <w:spacing w:val="-1"/>
        </w:rPr>
        <w:t>”</w:t>
      </w:r>
      <w:r>
        <w:rPr>
          <w:rFonts w:ascii="SimSun" w:hAnsi="SimSun" w:eastAsia="SimSun" w:cs="SimSun"/>
          <w:sz w:val="24"/>
          <w:szCs w:val="24"/>
          <w:spacing w:val="-1"/>
        </w:rPr>
        <w:t>的要求，重点对采掘场和排土场的生态整治措施进</w:t>
      </w:r>
      <w:r>
        <w:rPr>
          <w:rFonts w:ascii="SimSun" w:hAnsi="SimSun" w:eastAsia="SimSun" w:cs="SimSun"/>
          <w:sz w:val="24"/>
          <w:szCs w:val="24"/>
          <w:spacing w:val="-4"/>
        </w:rPr>
        <w:t>行布置。</w:t>
      </w:r>
    </w:p>
    <w:p>
      <w:pPr>
        <w:ind w:left="495"/>
        <w:spacing w:before="1" w:line="219" w:lineRule="auto"/>
        <w:rPr>
          <w:rFonts w:ascii="SimSun" w:hAnsi="SimSun" w:eastAsia="SimSun" w:cs="SimSun"/>
          <w:sz w:val="24"/>
          <w:szCs w:val="24"/>
        </w:rPr>
      </w:pPr>
      <w:r>
        <w:pict>
          <v:shape id="_x0000_s1280" style="position:absolute;margin-left:462.6pt;margin-top:14.8897pt;mso-position-vertical-relative:text;mso-position-horizontal-relative:text;width:0.15pt;height:22.1pt;z-index:275917824;" filled="false" strokecolor="#000000" strokeweight="0.12pt" coordsize="3,442" coordorigin="0,0" path="m1,1l1,440e">
            <v:stroke endcap="round" miterlimit="10"/>
          </v:shape>
        </w:pict>
      </w: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）规划期限及任务</w:t>
      </w:r>
    </w:p>
    <w:p>
      <w:pPr>
        <w:ind w:left="7" w:right="181" w:firstLine="482"/>
        <w:spacing w:before="157" w:line="339" w:lineRule="auto"/>
        <w:rPr>
          <w:rFonts w:ascii="SimSun" w:hAnsi="SimSun" w:eastAsia="SimSun" w:cs="SimSun"/>
          <w:sz w:val="24"/>
          <w:szCs w:val="24"/>
        </w:rPr>
      </w:pPr>
      <w:r>
        <w:rPr>
          <w:rFonts w:ascii="SimSun" w:hAnsi="SimSun" w:eastAsia="SimSun" w:cs="SimSun"/>
          <w:sz w:val="24"/>
          <w:szCs w:val="24"/>
          <w:spacing w:val="-1"/>
        </w:rPr>
        <w:t>本项目改建后，露天区剩余服务年限为</w:t>
      </w:r>
      <w:r>
        <w:rPr>
          <w:rFonts w:ascii="SimSun" w:hAnsi="SimSun" w:eastAsia="SimSun" w:cs="SimSun"/>
          <w:sz w:val="24"/>
          <w:szCs w:val="24"/>
          <w:spacing w:val="-50"/>
        </w:rPr>
        <w:t xml:space="preserve"> </w:t>
      </w:r>
      <w:r>
        <w:rPr>
          <w:rFonts w:ascii="Times New Roman" w:hAnsi="Times New Roman" w:eastAsia="Times New Roman" w:cs="Times New Roman"/>
          <w:sz w:val="24"/>
          <w:szCs w:val="24"/>
          <w:u w:val="single" w:color="auto"/>
          <w:color w:val="0101FF"/>
          <w:spacing w:val="-1"/>
        </w:rPr>
        <w:t>9</w:t>
      </w:r>
      <w:r>
        <w:rPr>
          <w:rFonts w:ascii="Times New Roman" w:hAnsi="Times New Roman" w:eastAsia="Times New Roman" w:cs="Times New Roman"/>
          <w:sz w:val="24"/>
          <w:szCs w:val="24"/>
          <w:spacing w:val="-1"/>
        </w:rPr>
        <w:t>.5</w:t>
      </w:r>
      <w:r>
        <w:rPr>
          <w:rFonts w:ascii="Times New Roman" w:hAnsi="Times New Roman" w:eastAsia="Times New Roman" w:cs="Times New Roman"/>
          <w:sz w:val="24"/>
          <w:szCs w:val="24"/>
          <w:spacing w:val="-2"/>
        </w:rPr>
        <w:t>a</w:t>
      </w:r>
      <w:r>
        <w:rPr>
          <w:rFonts w:ascii="SimSun" w:hAnsi="SimSun" w:eastAsia="SimSun" w:cs="SimSun"/>
          <w:sz w:val="24"/>
          <w:szCs w:val="24"/>
          <w:spacing w:val="-2"/>
        </w:rPr>
        <w:t>。采掘场开采阶段，对已完成的排土场</w:t>
      </w:r>
      <w:r>
        <w:rPr>
          <w:rFonts w:ascii="SimSun" w:hAnsi="SimSun" w:eastAsia="SimSun" w:cs="SimSun"/>
          <w:sz w:val="24"/>
          <w:szCs w:val="24"/>
          <w:spacing w:val="-1"/>
        </w:rPr>
        <w:t>进行生态整治规划与建设，对露天采掘场最</w:t>
      </w:r>
      <w:r>
        <w:rPr>
          <w:rFonts w:ascii="SimSun" w:hAnsi="SimSun" w:eastAsia="SimSun" w:cs="SimSun"/>
          <w:sz w:val="24"/>
          <w:szCs w:val="24"/>
          <w:spacing w:val="-2"/>
        </w:rPr>
        <w:t>终形成的采坑进行复垦。对各项生态工程全</w:t>
      </w:r>
      <w:r>
        <w:rPr>
          <w:rFonts w:ascii="SimSun" w:hAnsi="SimSun" w:eastAsia="SimSun" w:cs="SimSun"/>
          <w:sz w:val="24"/>
          <w:szCs w:val="24"/>
        </w:rPr>
        <w:t>部落实到位，前阶段实施的生态工程得到有效维</w:t>
      </w:r>
      <w:r>
        <w:rPr>
          <w:rFonts w:ascii="SimSun" w:hAnsi="SimSun" w:eastAsia="SimSun" w:cs="SimSun"/>
          <w:sz w:val="24"/>
          <w:szCs w:val="24"/>
          <w:spacing w:val="-1"/>
        </w:rPr>
        <w:t>护，生态良性循环。</w:t>
      </w:r>
    </w:p>
    <w:p>
      <w:pPr>
        <w:spacing w:line="339" w:lineRule="auto"/>
        <w:sectPr>
          <w:headerReference w:type="default" r:id="rId487"/>
          <w:footerReference w:type="default" r:id="rId488"/>
          <w:pgSz w:w="11906" w:h="16838"/>
          <w:pgMar w:top="1114" w:right="1236" w:bottom="1080" w:left="1416" w:header="837" w:footer="918" w:gutter="0"/>
        </w:sectPr>
        <w:rPr>
          <w:rFonts w:ascii="SimSun" w:hAnsi="SimSun" w:eastAsia="SimSun" w:cs="SimSun"/>
          <w:sz w:val="24"/>
          <w:szCs w:val="24"/>
        </w:rPr>
      </w:pPr>
    </w:p>
    <w:p>
      <w:pPr>
        <w:pStyle w:val="BodyText"/>
        <w:spacing w:line="367" w:lineRule="auto"/>
        <w:rPr/>
      </w:pPr>
      <w:r/>
    </w:p>
    <w:p>
      <w:pPr>
        <w:ind w:left="606"/>
        <w:spacing w:before="7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）生态整治的标准和依据</w:t>
      </w:r>
    </w:p>
    <w:p>
      <w:pPr>
        <w:ind w:left="598"/>
        <w:spacing w:before="156" w:line="219" w:lineRule="auto"/>
        <w:rPr>
          <w:rFonts w:ascii="SimSun" w:hAnsi="SimSun" w:eastAsia="SimSun" w:cs="SimSun"/>
          <w:sz w:val="24"/>
          <w:szCs w:val="24"/>
        </w:rPr>
      </w:pPr>
      <w:r>
        <w:rPr>
          <w:rFonts w:ascii="SimSun" w:hAnsi="SimSun" w:eastAsia="SimSun" w:cs="SimSun"/>
          <w:sz w:val="24"/>
          <w:szCs w:val="24"/>
        </w:rPr>
        <w:t>矿区位于锡林郭勒盟，根据《土地复垦质量控制标准》，制</w:t>
      </w:r>
      <w:r>
        <w:rPr>
          <w:rFonts w:ascii="SimSun" w:hAnsi="SimSun" w:eastAsia="SimSun" w:cs="SimSun"/>
          <w:sz w:val="24"/>
          <w:szCs w:val="24"/>
          <w:spacing w:val="-1"/>
        </w:rPr>
        <w:t>定生态恢复标准如下：</w:t>
      </w:r>
    </w:p>
    <w:p>
      <w:pPr>
        <w:ind w:left="600"/>
        <w:spacing w:before="155" w:line="219" w:lineRule="auto"/>
        <w:rPr>
          <w:rFonts w:ascii="SimSun" w:hAnsi="SimSun" w:eastAsia="SimSun" w:cs="SimSun"/>
          <w:sz w:val="24"/>
          <w:szCs w:val="24"/>
        </w:rPr>
      </w:pPr>
      <w:r>
        <w:rPr>
          <w:rFonts w:ascii="SimSun" w:hAnsi="SimSun" w:eastAsia="SimSun" w:cs="SimSun"/>
          <w:sz w:val="24"/>
          <w:szCs w:val="24"/>
          <w:spacing w:val="-2"/>
        </w:rPr>
        <w:t>林地恢复标准：</w:t>
      </w:r>
    </w:p>
    <w:p>
      <w:pPr>
        <w:ind w:left="121" w:right="205" w:firstLine="496"/>
        <w:spacing w:before="153" w:line="275"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）田面坡度≤</w:t>
      </w:r>
      <w:r>
        <w:rPr>
          <w:rFonts w:ascii="Times New Roman" w:hAnsi="Times New Roman" w:eastAsia="Times New Roman" w:cs="Times New Roman"/>
          <w:sz w:val="24"/>
          <w:szCs w:val="24"/>
          <w:spacing w:val="-5"/>
        </w:rPr>
        <w:t>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w:t>
      </w:r>
      <w:r>
        <w:rPr>
          <w:rFonts w:ascii="SimSun" w:hAnsi="SimSun" w:eastAsia="SimSun" w:cs="SimSun"/>
          <w:sz w:val="24"/>
          <w:szCs w:val="24"/>
          <w:spacing w:val="-91"/>
        </w:rPr>
        <w:t xml:space="preserve"> </w:t>
      </w:r>
      <w:r>
        <w:rPr>
          <w:rFonts w:ascii="SimSun" w:hAnsi="SimSun" w:eastAsia="SimSun" w:cs="SimSun"/>
          <w:sz w:val="24"/>
          <w:szCs w:val="24"/>
          <w:spacing w:val="-5"/>
        </w:rPr>
        <w:t>,</w:t>
      </w:r>
      <w:r>
        <w:rPr>
          <w:rFonts w:ascii="SimSun" w:hAnsi="SimSun" w:eastAsia="SimSun" w:cs="SimSun"/>
          <w:sz w:val="24"/>
          <w:szCs w:val="24"/>
          <w:spacing w:val="33"/>
        </w:rPr>
        <w:t xml:space="preserve"> </w:t>
      </w:r>
      <w:r>
        <w:rPr>
          <w:rFonts w:ascii="SimSun" w:hAnsi="SimSun" w:eastAsia="SimSun" w:cs="SimSun"/>
          <w:sz w:val="24"/>
          <w:szCs w:val="24"/>
          <w:spacing w:val="-5"/>
        </w:rPr>
        <w:t>有效土层厚度≥</w:t>
      </w:r>
      <w:r>
        <w:rPr>
          <w:rFonts w:ascii="Times New Roman" w:hAnsi="Times New Roman" w:eastAsia="Times New Roman" w:cs="Times New Roman"/>
          <w:sz w:val="24"/>
          <w:szCs w:val="24"/>
          <w:spacing w:val="-5"/>
        </w:rPr>
        <w:t>0.3m</w:t>
      </w:r>
      <w:r>
        <w:rPr>
          <w:rFonts w:ascii="SimSun" w:hAnsi="SimSun" w:eastAsia="SimSun" w:cs="SimSun"/>
          <w:sz w:val="24"/>
          <w:szCs w:val="24"/>
          <w:spacing w:val="-5"/>
        </w:rPr>
        <w:t>，土壤容重</w:t>
      </w:r>
      <w:r>
        <w:rPr>
          <w:rFonts w:ascii="SimSun" w:hAnsi="SimSun" w:eastAsia="SimSun" w:cs="SimSun"/>
          <w:sz w:val="24"/>
          <w:szCs w:val="24"/>
          <w:spacing w:val="-6"/>
        </w:rPr>
        <w:t>≤</w:t>
      </w:r>
      <w:r>
        <w:rPr>
          <w:rFonts w:ascii="Times New Roman" w:hAnsi="Times New Roman" w:eastAsia="Times New Roman" w:cs="Times New Roman"/>
          <w:sz w:val="24"/>
          <w:szCs w:val="24"/>
          <w:spacing w:val="-6"/>
        </w:rPr>
        <w:t>1.5g/cm3</w:t>
      </w:r>
      <w:r>
        <w:rPr>
          <w:rFonts w:ascii="SimSun" w:hAnsi="SimSun" w:eastAsia="SimSun" w:cs="SimSun"/>
          <w:sz w:val="24"/>
          <w:szCs w:val="24"/>
          <w:spacing w:val="-6"/>
        </w:rPr>
        <w:t>，土壤质地为砂土</w:t>
      </w:r>
      <w:r>
        <w:rPr>
          <w:rFonts w:ascii="SimSun" w:hAnsi="SimSun" w:eastAsia="SimSun" w:cs="SimSun"/>
          <w:sz w:val="24"/>
          <w:szCs w:val="24"/>
          <w:spacing w:val="-2"/>
        </w:rPr>
        <w:t>至壤质粘土，砾石含量≤</w:t>
      </w:r>
      <w:r>
        <w:rPr>
          <w:rFonts w:ascii="Times New Roman" w:hAnsi="Times New Roman" w:eastAsia="Times New Roman" w:cs="Times New Roman"/>
          <w:sz w:val="24"/>
          <w:szCs w:val="24"/>
          <w:spacing w:val="-2"/>
        </w:rPr>
        <w:t>25%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，土壤</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2"/>
        </w:rPr>
        <w:t>pH  </w:t>
      </w:r>
      <w:r>
        <w:rPr>
          <w:rFonts w:ascii="SimSun" w:hAnsi="SimSun" w:eastAsia="SimSun" w:cs="SimSun"/>
          <w:sz w:val="24"/>
          <w:szCs w:val="24"/>
          <w:spacing w:val="-2"/>
        </w:rPr>
        <w:t>值达到</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6.0</w:t>
      </w:r>
      <w:r>
        <w:rPr>
          <w:rFonts w:ascii="SimSun" w:hAnsi="SimSun" w:eastAsia="SimSun" w:cs="SimSun"/>
          <w:sz w:val="24"/>
          <w:szCs w:val="24"/>
          <w:spacing w:val="-2"/>
        </w:rPr>
        <w:t>～</w:t>
      </w:r>
      <w:r>
        <w:rPr>
          <w:rFonts w:ascii="Times New Roman" w:hAnsi="Times New Roman" w:eastAsia="Times New Roman" w:cs="Times New Roman"/>
          <w:sz w:val="24"/>
          <w:szCs w:val="24"/>
          <w:spacing w:val="-2"/>
        </w:rPr>
        <w:t>8.5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，土壤有机质＞</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
        </w:rPr>
        <w:t>%</w:t>
      </w:r>
      <w:r>
        <w:rPr>
          <w:rFonts w:ascii="SimSun" w:hAnsi="SimSun" w:eastAsia="SimSun" w:cs="SimSun"/>
          <w:sz w:val="24"/>
          <w:szCs w:val="24"/>
          <w:spacing w:val="-3"/>
        </w:rPr>
        <w:t>；</w:t>
      </w:r>
    </w:p>
    <w:p>
      <w:pPr>
        <w:ind w:left="595"/>
        <w:spacing w:before="167" w:line="219"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SimSun" w:hAnsi="SimSun" w:eastAsia="SimSun" w:cs="SimSun"/>
          <w:sz w:val="24"/>
          <w:szCs w:val="24"/>
          <w:spacing w:val="-7"/>
        </w:rPr>
        <w:t>）树种选择杨树、榆树，乔木树苗栽植间距为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2.5</w:t>
      </w:r>
      <w:r>
        <w:rPr>
          <w:rFonts w:ascii="SimSun" w:hAnsi="SimSun" w:eastAsia="SimSun" w:cs="SimSun"/>
          <w:sz w:val="24"/>
          <w:szCs w:val="24"/>
          <w:spacing w:val="-7"/>
        </w:rPr>
        <w:t>×</w:t>
      </w:r>
      <w:r>
        <w:rPr>
          <w:rFonts w:ascii="Times New Roman" w:hAnsi="Times New Roman" w:eastAsia="Times New Roman" w:cs="Times New Roman"/>
          <w:sz w:val="24"/>
          <w:szCs w:val="24"/>
          <w:spacing w:val="-7"/>
        </w:rPr>
        <w:t>2.5m</w:t>
      </w:r>
      <w:r>
        <w:rPr>
          <w:rFonts w:ascii="SimSun" w:hAnsi="SimSun" w:eastAsia="SimSun" w:cs="SimSun"/>
          <w:sz w:val="24"/>
          <w:szCs w:val="24"/>
          <w:spacing w:val="-7"/>
        </w:rPr>
        <w:t>，坑径、坑深</w:t>
      </w:r>
      <w:r>
        <w:rPr>
          <w:rFonts w:ascii="SimSun" w:hAnsi="SimSun" w:eastAsia="SimSun" w:cs="SimSun"/>
          <w:sz w:val="24"/>
          <w:szCs w:val="24"/>
          <w:spacing w:val="-8"/>
        </w:rPr>
        <w:t>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8"/>
        </w:rPr>
        <w:t>80</w:t>
      </w:r>
      <w:r>
        <w:rPr>
          <w:rFonts w:ascii="SimSun" w:hAnsi="SimSun" w:eastAsia="SimSun" w:cs="SimSun"/>
          <w:sz w:val="24"/>
          <w:szCs w:val="24"/>
          <w:spacing w:val="-8"/>
        </w:rPr>
        <w:t>×</w:t>
      </w:r>
      <w:r>
        <w:rPr>
          <w:rFonts w:ascii="Times New Roman" w:hAnsi="Times New Roman" w:eastAsia="Times New Roman" w:cs="Times New Roman"/>
          <w:sz w:val="24"/>
          <w:szCs w:val="24"/>
          <w:spacing w:val="-8"/>
        </w:rPr>
        <w:t>80cm</w:t>
      </w:r>
      <w:r>
        <w:rPr>
          <w:rFonts w:ascii="SimSun" w:hAnsi="SimSun" w:eastAsia="SimSun" w:cs="SimSun"/>
          <w:sz w:val="24"/>
          <w:szCs w:val="24"/>
          <w:spacing w:val="-8"/>
        </w:rPr>
        <w:t>；</w:t>
      </w:r>
    </w:p>
    <w:p>
      <w:pPr>
        <w:ind w:left="600"/>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）林木成活率达到</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80%</w:t>
      </w:r>
      <w:r>
        <w:rPr>
          <w:rFonts w:ascii="SimSun" w:hAnsi="SimSun" w:eastAsia="SimSun" w:cs="SimSun"/>
          <w:sz w:val="24"/>
          <w:szCs w:val="24"/>
          <w:spacing w:val="-1"/>
        </w:rPr>
        <w:t>以上，郁闭度≥</w:t>
      </w:r>
      <w:r>
        <w:rPr>
          <w:rFonts w:ascii="Times New Roman" w:hAnsi="Times New Roman" w:eastAsia="Times New Roman" w:cs="Times New Roman"/>
          <w:sz w:val="24"/>
          <w:szCs w:val="24"/>
          <w:spacing w:val="-1"/>
        </w:rPr>
        <w:t>0.3</w:t>
      </w:r>
      <w:r>
        <w:rPr>
          <w:rFonts w:ascii="SimSun" w:hAnsi="SimSun" w:eastAsia="SimSun" w:cs="SimSun"/>
          <w:sz w:val="24"/>
          <w:szCs w:val="24"/>
          <w:spacing w:val="-1"/>
        </w:rPr>
        <w:t>。</w:t>
      </w:r>
    </w:p>
    <w:p>
      <w:pPr>
        <w:ind w:left="601"/>
        <w:spacing w:before="157" w:line="219" w:lineRule="auto"/>
        <w:rPr>
          <w:rFonts w:ascii="SimSun" w:hAnsi="SimSun" w:eastAsia="SimSun" w:cs="SimSun"/>
          <w:sz w:val="24"/>
          <w:szCs w:val="24"/>
        </w:rPr>
      </w:pPr>
      <w:r>
        <w:rPr>
          <w:rFonts w:ascii="SimSun" w:hAnsi="SimSun" w:eastAsia="SimSun" w:cs="SimSun"/>
          <w:sz w:val="24"/>
          <w:szCs w:val="24"/>
          <w:spacing w:val="-2"/>
        </w:rPr>
        <w:t>草地恢复标准：</w:t>
      </w:r>
    </w:p>
    <w:p>
      <w:pPr>
        <w:ind w:left="121" w:right="205" w:firstLine="496"/>
        <w:spacing w:before="154" w:line="275"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）地面坡度≤</w:t>
      </w:r>
      <w:r>
        <w:rPr>
          <w:rFonts w:ascii="Times New Roman" w:hAnsi="Times New Roman" w:eastAsia="Times New Roman" w:cs="Times New Roman"/>
          <w:sz w:val="24"/>
          <w:szCs w:val="24"/>
          <w:spacing w:val="-5"/>
        </w:rPr>
        <w:t>25</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w:t>
      </w:r>
      <w:r>
        <w:rPr>
          <w:rFonts w:ascii="SimSun" w:hAnsi="SimSun" w:eastAsia="SimSun" w:cs="SimSun"/>
          <w:sz w:val="24"/>
          <w:szCs w:val="24"/>
          <w:spacing w:val="-91"/>
        </w:rPr>
        <w:t xml:space="preserve"> </w:t>
      </w:r>
      <w:r>
        <w:rPr>
          <w:rFonts w:ascii="SimSun" w:hAnsi="SimSun" w:eastAsia="SimSun" w:cs="SimSun"/>
          <w:sz w:val="24"/>
          <w:szCs w:val="24"/>
          <w:spacing w:val="-5"/>
        </w:rPr>
        <w:t>,</w:t>
      </w:r>
      <w:r>
        <w:rPr>
          <w:rFonts w:ascii="SimSun" w:hAnsi="SimSun" w:eastAsia="SimSun" w:cs="SimSun"/>
          <w:sz w:val="24"/>
          <w:szCs w:val="24"/>
          <w:spacing w:val="45"/>
        </w:rPr>
        <w:t xml:space="preserve"> </w:t>
      </w:r>
      <w:r>
        <w:rPr>
          <w:rFonts w:ascii="SimSun" w:hAnsi="SimSun" w:eastAsia="SimSun" w:cs="SimSun"/>
          <w:sz w:val="24"/>
          <w:szCs w:val="24"/>
          <w:spacing w:val="-5"/>
        </w:rPr>
        <w:t>有效土层厚度≥</w:t>
      </w:r>
      <w:r>
        <w:rPr>
          <w:rFonts w:ascii="Times New Roman" w:hAnsi="Times New Roman" w:eastAsia="Times New Roman" w:cs="Times New Roman"/>
          <w:sz w:val="24"/>
          <w:szCs w:val="24"/>
          <w:spacing w:val="-5"/>
        </w:rPr>
        <w:t>0.3m</w:t>
      </w:r>
      <w:r>
        <w:rPr>
          <w:rFonts w:ascii="SimSun" w:hAnsi="SimSun" w:eastAsia="SimSun" w:cs="SimSun"/>
          <w:sz w:val="24"/>
          <w:szCs w:val="24"/>
          <w:spacing w:val="-5"/>
        </w:rPr>
        <w:t>，土壤容重≤</w:t>
      </w:r>
      <w:r>
        <w:rPr>
          <w:rFonts w:ascii="Times New Roman" w:hAnsi="Times New Roman" w:eastAsia="Times New Roman" w:cs="Times New Roman"/>
          <w:sz w:val="24"/>
          <w:szCs w:val="24"/>
          <w:spacing w:val="-5"/>
        </w:rPr>
        <w:t>1.4g</w:t>
      </w:r>
      <w:r>
        <w:rPr>
          <w:rFonts w:ascii="Times New Roman" w:hAnsi="Times New Roman" w:eastAsia="Times New Roman" w:cs="Times New Roman"/>
          <w:sz w:val="24"/>
          <w:szCs w:val="24"/>
          <w:spacing w:val="-6"/>
        </w:rPr>
        <w:t>/cm</w:t>
      </w:r>
      <w:r>
        <w:rPr>
          <w:rFonts w:ascii="Times New Roman" w:hAnsi="Times New Roman" w:eastAsia="Times New Roman" w:cs="Times New Roman"/>
          <w:sz w:val="15"/>
          <w:szCs w:val="15"/>
          <w:spacing w:val="-6"/>
          <w:position w:val="8"/>
        </w:rPr>
        <w:t>3</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6"/>
        </w:rPr>
        <w:t>，土壤质地为砂土</w:t>
      </w:r>
      <w:r>
        <w:rPr>
          <w:rFonts w:ascii="SimSun" w:hAnsi="SimSun" w:eastAsia="SimSun" w:cs="SimSun"/>
          <w:sz w:val="24"/>
          <w:szCs w:val="24"/>
          <w:spacing w:val="-2"/>
        </w:rPr>
        <w:t>至壤质粘土，砾石含量≤</w:t>
      </w:r>
      <w:r>
        <w:rPr>
          <w:rFonts w:ascii="Times New Roman" w:hAnsi="Times New Roman" w:eastAsia="Times New Roman" w:cs="Times New Roman"/>
          <w:sz w:val="24"/>
          <w:szCs w:val="24"/>
          <w:spacing w:val="-2"/>
        </w:rPr>
        <w:t>10%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2"/>
        </w:rPr>
        <w:t>，土壤</w:t>
      </w:r>
      <w:r>
        <w:rPr>
          <w:rFonts w:ascii="SimSun" w:hAnsi="SimSun" w:eastAsia="SimSun" w:cs="SimSun"/>
          <w:sz w:val="24"/>
          <w:szCs w:val="24"/>
          <w:spacing w:val="-61"/>
        </w:rPr>
        <w:t xml:space="preserve"> </w:t>
      </w:r>
      <w:r>
        <w:rPr>
          <w:rFonts w:ascii="Times New Roman" w:hAnsi="Times New Roman" w:eastAsia="Times New Roman" w:cs="Times New Roman"/>
          <w:sz w:val="24"/>
          <w:szCs w:val="24"/>
          <w:spacing w:val="-2"/>
        </w:rPr>
        <w:t>pH  </w:t>
      </w:r>
      <w:r>
        <w:rPr>
          <w:rFonts w:ascii="SimSun" w:hAnsi="SimSun" w:eastAsia="SimSun" w:cs="SimSun"/>
          <w:sz w:val="24"/>
          <w:szCs w:val="24"/>
          <w:spacing w:val="-2"/>
        </w:rPr>
        <w:t>值达到</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5.5</w:t>
      </w:r>
      <w:r>
        <w:rPr>
          <w:rFonts w:ascii="SimSun" w:hAnsi="SimSun" w:eastAsia="SimSun" w:cs="SimSun"/>
          <w:sz w:val="24"/>
          <w:szCs w:val="24"/>
          <w:spacing w:val="-2"/>
        </w:rPr>
        <w:t>～</w:t>
      </w:r>
      <w:r>
        <w:rPr>
          <w:rFonts w:ascii="Times New Roman" w:hAnsi="Times New Roman" w:eastAsia="Times New Roman" w:cs="Times New Roman"/>
          <w:sz w:val="24"/>
          <w:szCs w:val="24"/>
          <w:spacing w:val="-2"/>
        </w:rPr>
        <w:t>8.5</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2"/>
        </w:rPr>
        <w:t>，土壤有机质＞</w:t>
      </w:r>
      <w:r>
        <w:rPr>
          <w:rFonts w:ascii="Times New Roman" w:hAnsi="Times New Roman" w:eastAsia="Times New Roman" w:cs="Times New Roman"/>
          <w:sz w:val="24"/>
          <w:szCs w:val="24"/>
          <w:spacing w:val="-3"/>
        </w:rPr>
        <w:t>1%</w:t>
      </w:r>
      <w:r>
        <w:rPr>
          <w:rFonts w:ascii="SimSun" w:hAnsi="SimSun" w:eastAsia="SimSun" w:cs="SimSun"/>
          <w:sz w:val="24"/>
          <w:szCs w:val="24"/>
          <w:spacing w:val="-3"/>
        </w:rPr>
        <w:t>；</w:t>
      </w:r>
    </w:p>
    <w:p>
      <w:pPr>
        <w:ind w:left="119" w:right="205" w:firstLine="475"/>
        <w:spacing w:before="167" w:line="298"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）选择抗旱、抗贫瘠优良草种，多种草类混合种植（例如：苜蓿、披碱草、黑麦</w:t>
      </w:r>
      <w:r>
        <w:rPr>
          <w:rFonts w:ascii="SimSun" w:hAnsi="SimSun" w:eastAsia="SimSun" w:cs="SimSun"/>
          <w:sz w:val="24"/>
          <w:szCs w:val="24"/>
          <w:spacing w:val="-3"/>
        </w:rPr>
        <w:t>草、羊草等</w:t>
      </w:r>
      <w:r>
        <w:rPr>
          <w:rFonts w:ascii="SimSun" w:hAnsi="SimSun" w:eastAsia="SimSun" w:cs="SimSun"/>
          <w:sz w:val="24"/>
          <w:szCs w:val="24"/>
          <w:spacing w:val="8"/>
        </w:rPr>
        <w:t>），</w:t>
      </w:r>
      <w:r>
        <w:rPr>
          <w:rFonts w:ascii="SimSun" w:hAnsi="SimSun" w:eastAsia="SimSun" w:cs="SimSun"/>
          <w:sz w:val="24"/>
          <w:szCs w:val="24"/>
          <w:spacing w:val="-3"/>
        </w:rPr>
        <w:t>且复垦牧草种子必须是一级种，要有“一签、三证</w:t>
      </w:r>
      <w:r>
        <w:rPr>
          <w:rFonts w:ascii="SimSun" w:hAnsi="SimSun" w:eastAsia="SimSun" w:cs="SimSun"/>
          <w:sz w:val="24"/>
          <w:szCs w:val="24"/>
          <w:spacing w:val="-87"/>
        </w:rPr>
        <w:t xml:space="preserve"> </w:t>
      </w:r>
      <w:r>
        <w:rPr>
          <w:rFonts w:ascii="SimSun" w:hAnsi="SimSun" w:eastAsia="SimSun" w:cs="SimSun"/>
          <w:sz w:val="24"/>
          <w:szCs w:val="24"/>
          <w:spacing w:val="-3"/>
        </w:rPr>
        <w:t>”，即要有标签、生</w:t>
      </w:r>
      <w:r>
        <w:rPr>
          <w:rFonts w:ascii="SimSun" w:hAnsi="SimSun" w:eastAsia="SimSun" w:cs="SimSun"/>
          <w:sz w:val="24"/>
          <w:szCs w:val="24"/>
          <w:spacing w:val="-1"/>
        </w:rPr>
        <w:t>产经营许可证、合格证和检疫证；</w:t>
      </w:r>
    </w:p>
    <w:p>
      <w:pPr>
        <w:ind w:left="600"/>
        <w:spacing w:before="157" w:line="219" w:lineRule="auto"/>
        <w:rPr>
          <w:rFonts w:ascii="SimSun" w:hAnsi="SimSun" w:eastAsia="SimSun" w:cs="SimSun"/>
          <w:sz w:val="24"/>
          <w:szCs w:val="24"/>
        </w:rPr>
      </w:pPr>
      <w:r>
        <w:rPr>
          <w:rFonts w:ascii="Times New Roman" w:hAnsi="Times New Roman" w:eastAsia="Times New Roman" w:cs="Times New Roman"/>
          <w:sz w:val="24"/>
          <w:szCs w:val="24"/>
        </w:rPr>
        <w:t>3</w:t>
      </w:r>
      <w:r>
        <w:rPr>
          <w:rFonts w:ascii="SimSun" w:hAnsi="SimSun" w:eastAsia="SimSun" w:cs="SimSun"/>
          <w:sz w:val="24"/>
          <w:szCs w:val="24"/>
        </w:rPr>
        <w:t>）</w:t>
      </w:r>
      <w:r>
        <w:rPr>
          <w:rFonts w:ascii="Times New Roman" w:hAnsi="Times New Roman" w:eastAsia="Times New Roman" w:cs="Times New Roman"/>
          <w:sz w:val="24"/>
          <w:szCs w:val="24"/>
        </w:rPr>
        <w:t>3-5  </w:t>
      </w:r>
      <w:r>
        <w:rPr>
          <w:rFonts w:ascii="SimSun" w:hAnsi="SimSun" w:eastAsia="SimSun" w:cs="SimSun"/>
          <w:sz w:val="24"/>
          <w:szCs w:val="24"/>
        </w:rPr>
        <w:t>年后复垦区单位面积产量达到周边地区中等产量水平，</w:t>
      </w:r>
      <w:r>
        <w:rPr>
          <w:rFonts w:ascii="SimSun" w:hAnsi="SimSun" w:eastAsia="SimSun" w:cs="SimSun"/>
          <w:sz w:val="24"/>
          <w:szCs w:val="24"/>
          <w:spacing w:val="-1"/>
        </w:rPr>
        <w:t>植被覆盖度≥</w:t>
      </w:r>
      <w:r>
        <w:rPr>
          <w:rFonts w:ascii="Times New Roman" w:hAnsi="Times New Roman" w:eastAsia="Times New Roman" w:cs="Times New Roman"/>
          <w:sz w:val="24"/>
          <w:szCs w:val="24"/>
          <w:spacing w:val="-1"/>
        </w:rPr>
        <w:t>50%</w:t>
      </w:r>
      <w:r>
        <w:rPr>
          <w:rFonts w:ascii="SimSun" w:hAnsi="SimSun" w:eastAsia="SimSun" w:cs="SimSun"/>
          <w:sz w:val="24"/>
          <w:szCs w:val="24"/>
          <w:spacing w:val="-1"/>
        </w:rPr>
        <w:t>。</w:t>
      </w:r>
    </w:p>
    <w:p>
      <w:pPr>
        <w:ind w:left="606"/>
        <w:spacing w:before="154"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）生态整治目标</w:t>
      </w:r>
    </w:p>
    <w:p>
      <w:pPr>
        <w:ind w:left="119" w:firstLine="480"/>
        <w:spacing w:before="154" w:line="340" w:lineRule="auto"/>
        <w:rPr>
          <w:rFonts w:ascii="SimSun" w:hAnsi="SimSun" w:eastAsia="SimSun" w:cs="SimSun"/>
          <w:sz w:val="24"/>
          <w:szCs w:val="24"/>
        </w:rPr>
      </w:pPr>
      <w:r>
        <w:rPr>
          <w:rFonts w:ascii="SimSun" w:hAnsi="SimSun" w:eastAsia="SimSun" w:cs="SimSun"/>
          <w:sz w:val="24"/>
          <w:szCs w:val="24"/>
          <w:spacing w:val="-2"/>
        </w:rPr>
        <w:t>根据露天区开采工艺、区域自然环境特征以及“</w:t>
      </w:r>
      <w:r>
        <w:rPr>
          <w:rFonts w:ascii="SimSun" w:hAnsi="SimSun" w:eastAsia="SimSun" w:cs="SimSun"/>
          <w:sz w:val="24"/>
          <w:szCs w:val="24"/>
          <w:spacing w:val="-75"/>
        </w:rPr>
        <w:t xml:space="preserve"> </w:t>
      </w:r>
      <w:r>
        <w:rPr>
          <w:rFonts w:ascii="SimSun" w:hAnsi="SimSun" w:eastAsia="SimSun" w:cs="SimSun"/>
          <w:sz w:val="24"/>
          <w:szCs w:val="24"/>
          <w:spacing w:val="-2"/>
        </w:rPr>
        <w:t>白音华煤炭矿区总体规划（修编）</w:t>
      </w:r>
      <w:r>
        <w:rPr>
          <w:rFonts w:ascii="SimSun" w:hAnsi="SimSun" w:eastAsia="SimSun" w:cs="SimSun"/>
          <w:sz w:val="24"/>
          <w:szCs w:val="24"/>
          <w:spacing w:val="-2"/>
        </w:rPr>
        <w:t>环境影响报告书</w:t>
      </w:r>
      <w:r>
        <w:rPr>
          <w:rFonts w:ascii="SimSun" w:hAnsi="SimSun" w:eastAsia="SimSun" w:cs="SimSun"/>
          <w:sz w:val="24"/>
          <w:szCs w:val="24"/>
          <w:spacing w:val="-88"/>
        </w:rPr>
        <w:t xml:space="preserve"> </w:t>
      </w:r>
      <w:r>
        <w:rPr>
          <w:rFonts w:ascii="SimSun" w:hAnsi="SimSun" w:eastAsia="SimSun" w:cs="SimSun"/>
          <w:sz w:val="24"/>
          <w:szCs w:val="24"/>
          <w:spacing w:val="-2"/>
        </w:rPr>
        <w:t>”中生态综合整治实施规划的阶段目</w:t>
      </w:r>
      <w:r>
        <w:rPr>
          <w:rFonts w:ascii="SimSun" w:hAnsi="SimSun" w:eastAsia="SimSun" w:cs="SimSun"/>
          <w:sz w:val="24"/>
          <w:szCs w:val="24"/>
          <w:spacing w:val="-3"/>
        </w:rPr>
        <w:t>标，参照本地区其他土地复垦和生</w:t>
      </w:r>
      <w:r>
        <w:rPr>
          <w:rFonts w:ascii="SimSun" w:hAnsi="SimSun" w:eastAsia="SimSun" w:cs="SimSun"/>
          <w:sz w:val="24"/>
          <w:szCs w:val="24"/>
          <w:spacing w:val="-3"/>
        </w:rPr>
        <w:t>态保护的实践经验，确定露天区开发不同挖损区达到的生态环境综合整治目标</w:t>
      </w:r>
      <w:r>
        <w:rPr>
          <w:rFonts w:ascii="SimSun" w:hAnsi="SimSun" w:eastAsia="SimSun" w:cs="SimSun"/>
          <w:sz w:val="24"/>
          <w:szCs w:val="24"/>
          <w:spacing w:val="-4"/>
        </w:rPr>
        <w:t>见表</w:t>
      </w:r>
      <w:r>
        <w:rPr>
          <w:rFonts w:ascii="Times New Roman" w:hAnsi="Times New Roman" w:eastAsia="Times New Roman" w:cs="Times New Roman"/>
          <w:sz w:val="24"/>
          <w:szCs w:val="24"/>
          <w:spacing w:val="-4"/>
        </w:rPr>
        <w:t>7-1-1</w:t>
      </w:r>
      <w:r>
        <w:rPr>
          <w:rFonts w:ascii="SimSun" w:hAnsi="SimSun" w:eastAsia="SimSun" w:cs="SimSun"/>
          <w:sz w:val="24"/>
          <w:szCs w:val="24"/>
          <w:spacing w:val="-4"/>
        </w:rPr>
        <w:t>。</w:t>
      </w:r>
    </w:p>
    <w:p>
      <w:pPr>
        <w:ind w:left="2984"/>
        <w:spacing w:before="122" w:line="222" w:lineRule="auto"/>
        <w:rPr>
          <w:rFonts w:ascii="SimHei" w:hAnsi="SimHei" w:eastAsia="SimHei" w:cs="SimHei"/>
          <w:sz w:val="24"/>
          <w:szCs w:val="24"/>
        </w:rPr>
      </w:pPr>
      <w:r>
        <w:rPr>
          <w:rFonts w:ascii="SimHei" w:hAnsi="SimHei" w:eastAsia="SimHei" w:cs="SimHei"/>
          <w:sz w:val="24"/>
          <w:szCs w:val="24"/>
          <w:spacing w:val="-2"/>
        </w:rPr>
        <w:t>露天区生态环境综合整治目标表</w:t>
      </w:r>
    </w:p>
    <w:p>
      <w:pPr>
        <w:ind w:left="117"/>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7-1-1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29"/>
        <w:gridCol w:w="1324"/>
        <w:gridCol w:w="1326"/>
        <w:gridCol w:w="1327"/>
        <w:gridCol w:w="1326"/>
        <w:gridCol w:w="1327"/>
        <w:gridCol w:w="1331"/>
      </w:tblGrid>
      <w:tr>
        <w:trPr>
          <w:trHeight w:val="553" w:hRule="atLeast"/>
        </w:trPr>
        <w:tc>
          <w:tcPr>
            <w:tcW w:w="2653" w:type="dxa"/>
            <w:vAlign w:val="top"/>
            <w:gridSpan w:val="2"/>
          </w:tcPr>
          <w:p>
            <w:pPr>
              <w:ind w:left="917"/>
              <w:spacing w:before="168" w:line="228" w:lineRule="auto"/>
              <w:rPr>
                <w:rFonts w:ascii="SimSun" w:hAnsi="SimSun" w:eastAsia="SimSun" w:cs="SimSun"/>
                <w:sz w:val="20"/>
                <w:szCs w:val="20"/>
              </w:rPr>
            </w:pPr>
            <w:r>
              <w:rPr>
                <w:rFonts w:ascii="SimSun" w:hAnsi="SimSun" w:eastAsia="SimSun" w:cs="SimSun"/>
                <w:sz w:val="20"/>
                <w:szCs w:val="20"/>
                <w:spacing w:val="6"/>
              </w:rPr>
              <w:t>治理分区</w:t>
            </w:r>
          </w:p>
        </w:tc>
        <w:tc>
          <w:tcPr>
            <w:tcW w:w="1326" w:type="dxa"/>
            <w:vAlign w:val="top"/>
          </w:tcPr>
          <w:p>
            <w:pPr>
              <w:ind w:left="459" w:right="136" w:hanging="316"/>
              <w:spacing w:before="33" w:line="235" w:lineRule="auto"/>
              <w:rPr>
                <w:rFonts w:ascii="SimSun" w:hAnsi="SimSun" w:eastAsia="SimSun" w:cs="SimSun"/>
                <w:sz w:val="20"/>
                <w:szCs w:val="20"/>
              </w:rPr>
            </w:pPr>
            <w:r>
              <w:rPr>
                <w:rFonts w:ascii="SimSun" w:hAnsi="SimSun" w:eastAsia="SimSun" w:cs="SimSun"/>
                <w:sz w:val="20"/>
                <w:szCs w:val="20"/>
                <w:spacing w:val="8"/>
              </w:rPr>
              <w:t>滑坡灾害治</w:t>
            </w:r>
            <w:r>
              <w:rPr>
                <w:rFonts w:ascii="SimSun" w:hAnsi="SimSun" w:eastAsia="SimSun" w:cs="SimSun"/>
                <w:sz w:val="20"/>
                <w:szCs w:val="20"/>
                <w:spacing w:val="3"/>
              </w:rPr>
              <w:t>理率</w:t>
            </w:r>
          </w:p>
        </w:tc>
        <w:tc>
          <w:tcPr>
            <w:tcW w:w="1327" w:type="dxa"/>
            <w:vAlign w:val="top"/>
          </w:tcPr>
          <w:p>
            <w:pPr>
              <w:ind w:left="461" w:right="138" w:hanging="316"/>
              <w:spacing w:before="33" w:line="235" w:lineRule="auto"/>
              <w:rPr>
                <w:rFonts w:ascii="SimSun" w:hAnsi="SimSun" w:eastAsia="SimSun" w:cs="SimSun"/>
                <w:sz w:val="20"/>
                <w:szCs w:val="20"/>
              </w:rPr>
            </w:pPr>
            <w:r>
              <w:rPr>
                <w:rFonts w:ascii="SimSun" w:hAnsi="SimSun" w:eastAsia="SimSun" w:cs="SimSun"/>
                <w:sz w:val="20"/>
                <w:szCs w:val="20"/>
                <w:spacing w:val="7"/>
              </w:rPr>
              <w:t>水土流失治</w:t>
            </w:r>
            <w:r>
              <w:rPr>
                <w:rFonts w:ascii="SimSun" w:hAnsi="SimSun" w:eastAsia="SimSun" w:cs="SimSun"/>
                <w:sz w:val="20"/>
                <w:szCs w:val="20"/>
                <w:spacing w:val="3"/>
              </w:rPr>
              <w:t>理度</w:t>
            </w:r>
          </w:p>
        </w:tc>
        <w:tc>
          <w:tcPr>
            <w:tcW w:w="1326" w:type="dxa"/>
            <w:vAlign w:val="top"/>
          </w:tcPr>
          <w:p>
            <w:pPr>
              <w:ind w:left="458" w:right="348" w:hanging="106"/>
              <w:spacing w:before="33" w:line="235" w:lineRule="auto"/>
              <w:rPr>
                <w:rFonts w:ascii="SimSun" w:hAnsi="SimSun" w:eastAsia="SimSun" w:cs="SimSun"/>
                <w:sz w:val="20"/>
                <w:szCs w:val="20"/>
              </w:rPr>
            </w:pPr>
            <w:r>
              <w:rPr>
                <w:rFonts w:ascii="SimSun" w:hAnsi="SimSun" w:eastAsia="SimSun" w:cs="SimSun"/>
                <w:sz w:val="20"/>
                <w:szCs w:val="20"/>
                <w:spacing w:val="6"/>
              </w:rPr>
              <w:t>土地复</w:t>
            </w:r>
            <w:r>
              <w:rPr>
                <w:rFonts w:ascii="SimSun" w:hAnsi="SimSun" w:eastAsia="SimSun" w:cs="SimSun"/>
                <w:sz w:val="20"/>
                <w:szCs w:val="20"/>
                <w:spacing w:val="5"/>
              </w:rPr>
              <w:t>垦率</w:t>
            </w:r>
          </w:p>
        </w:tc>
        <w:tc>
          <w:tcPr>
            <w:tcW w:w="1327" w:type="dxa"/>
            <w:vAlign w:val="top"/>
          </w:tcPr>
          <w:p>
            <w:pPr>
              <w:ind w:left="147"/>
              <w:spacing w:before="167" w:line="228" w:lineRule="auto"/>
              <w:rPr>
                <w:rFonts w:ascii="SimSun" w:hAnsi="SimSun" w:eastAsia="SimSun" w:cs="SimSun"/>
                <w:sz w:val="20"/>
                <w:szCs w:val="20"/>
              </w:rPr>
            </w:pPr>
            <w:r>
              <w:rPr>
                <w:rFonts w:ascii="SimSun" w:hAnsi="SimSun" w:eastAsia="SimSun" w:cs="SimSun"/>
                <w:sz w:val="20"/>
                <w:szCs w:val="20"/>
                <w:spacing w:val="8"/>
              </w:rPr>
              <w:t>植被覆盖度</w:t>
            </w:r>
          </w:p>
        </w:tc>
        <w:tc>
          <w:tcPr>
            <w:tcW w:w="1331" w:type="dxa"/>
            <w:vAlign w:val="top"/>
          </w:tcPr>
          <w:p>
            <w:pPr>
              <w:ind w:left="461"/>
              <w:spacing w:before="168"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275" w:hRule="atLeast"/>
        </w:trPr>
        <w:tc>
          <w:tcPr>
            <w:tcW w:w="1329" w:type="dxa"/>
            <w:vAlign w:val="top"/>
            <w:vMerge w:val="restart"/>
            <w:tcBorders>
              <w:bottom w:val="nil"/>
            </w:tcBorders>
          </w:tcPr>
          <w:p>
            <w:pPr>
              <w:ind w:left="275"/>
              <w:spacing w:before="169" w:line="228" w:lineRule="auto"/>
              <w:rPr>
                <w:rFonts w:ascii="SimSun" w:hAnsi="SimSun" w:eastAsia="SimSun" w:cs="SimSun"/>
                <w:sz w:val="20"/>
                <w:szCs w:val="20"/>
              </w:rPr>
            </w:pPr>
            <w:r>
              <w:rPr>
                <w:rFonts w:ascii="SimSun" w:hAnsi="SimSun" w:eastAsia="SimSun" w:cs="SimSun"/>
                <w:sz w:val="20"/>
                <w:szCs w:val="20"/>
                <w:spacing w:val="1"/>
              </w:rPr>
              <w:t>内排土场</w:t>
            </w:r>
          </w:p>
        </w:tc>
        <w:tc>
          <w:tcPr>
            <w:tcW w:w="1324" w:type="dxa"/>
            <w:vAlign w:val="top"/>
          </w:tcPr>
          <w:p>
            <w:pPr>
              <w:ind w:left="350"/>
              <w:spacing w:before="29" w:line="217" w:lineRule="auto"/>
              <w:rPr>
                <w:rFonts w:ascii="SimSun" w:hAnsi="SimSun" w:eastAsia="SimSun" w:cs="SimSun"/>
                <w:sz w:val="20"/>
                <w:szCs w:val="20"/>
              </w:rPr>
            </w:pPr>
            <w:r>
              <w:rPr>
                <w:rFonts w:ascii="SimSun" w:hAnsi="SimSun" w:eastAsia="SimSun" w:cs="SimSun"/>
                <w:sz w:val="20"/>
                <w:szCs w:val="20"/>
                <w:spacing w:val="7"/>
              </w:rPr>
              <w:t>边坡区</w:t>
            </w:r>
          </w:p>
        </w:tc>
        <w:tc>
          <w:tcPr>
            <w:tcW w:w="1326" w:type="dxa"/>
            <w:vAlign w:val="top"/>
          </w:tcPr>
          <w:p>
            <w:pPr>
              <w:pStyle w:val="TableText"/>
              <w:ind w:left="440"/>
              <w:spacing w:before="66" w:line="195" w:lineRule="auto"/>
              <w:rPr/>
            </w:pPr>
            <w:r>
              <w:rPr>
                <w:spacing w:val="-1"/>
              </w:rPr>
              <w:t>100%</w:t>
            </w:r>
          </w:p>
        </w:tc>
        <w:tc>
          <w:tcPr>
            <w:tcW w:w="1327" w:type="dxa"/>
            <w:vAlign w:val="top"/>
            <w:vMerge w:val="restart"/>
            <w:tcBorders>
              <w:bottom w:val="nil"/>
            </w:tcBorders>
          </w:tcPr>
          <w:p>
            <w:pPr>
              <w:spacing w:line="384" w:lineRule="auto"/>
              <w:rPr>
                <w:rFonts w:ascii="Arial"/>
                <w:sz w:val="21"/>
              </w:rPr>
            </w:pPr>
            <w:r/>
          </w:p>
          <w:p>
            <w:pPr>
              <w:pStyle w:val="TableText"/>
              <w:ind w:left="271"/>
              <w:spacing w:before="65" w:line="231" w:lineRule="auto"/>
              <w:rPr>
                <w:rFonts w:ascii="SimSun" w:hAnsi="SimSun" w:eastAsia="SimSun" w:cs="SimSun"/>
              </w:rPr>
            </w:pPr>
            <w:r>
              <w:rPr>
                <w:spacing w:val="4"/>
              </w:rPr>
              <w:t>85%</w:t>
            </w:r>
            <w:r>
              <w:rPr>
                <w:rFonts w:ascii="SimSun" w:hAnsi="SimSun" w:eastAsia="SimSun" w:cs="SimSun"/>
                <w:spacing w:val="4"/>
              </w:rPr>
              <w:t>以上</w:t>
            </w:r>
          </w:p>
        </w:tc>
        <w:tc>
          <w:tcPr>
            <w:tcW w:w="1326" w:type="dxa"/>
            <w:vAlign w:val="top"/>
            <w:vMerge w:val="restart"/>
            <w:tcBorders>
              <w:bottom w:val="nil"/>
            </w:tcBorders>
          </w:tcPr>
          <w:p>
            <w:pPr>
              <w:spacing w:line="428" w:lineRule="auto"/>
              <w:rPr>
                <w:rFonts w:ascii="Arial"/>
                <w:sz w:val="21"/>
              </w:rPr>
            </w:pPr>
            <w:r/>
          </w:p>
          <w:p>
            <w:pPr>
              <w:pStyle w:val="TableText"/>
              <w:ind w:left="439"/>
              <w:spacing w:before="57" w:line="195" w:lineRule="auto"/>
              <w:rPr/>
            </w:pPr>
            <w:r>
              <w:rPr>
                <w:spacing w:val="-1"/>
              </w:rPr>
              <w:t>100%</w:t>
            </w:r>
          </w:p>
        </w:tc>
        <w:tc>
          <w:tcPr>
            <w:tcW w:w="1327" w:type="dxa"/>
            <w:vAlign w:val="top"/>
            <w:vMerge w:val="restart"/>
            <w:tcBorders>
              <w:bottom w:val="nil"/>
            </w:tcBorders>
          </w:tcPr>
          <w:p>
            <w:pPr>
              <w:spacing w:line="384" w:lineRule="auto"/>
              <w:rPr>
                <w:rFonts w:ascii="Arial"/>
                <w:sz w:val="21"/>
              </w:rPr>
            </w:pPr>
            <w:r/>
          </w:p>
          <w:p>
            <w:pPr>
              <w:pStyle w:val="TableText"/>
              <w:ind w:left="270"/>
              <w:spacing w:before="65" w:line="231" w:lineRule="auto"/>
              <w:rPr>
                <w:rFonts w:ascii="SimSun" w:hAnsi="SimSun" w:eastAsia="SimSun" w:cs="SimSun"/>
              </w:rPr>
            </w:pPr>
            <w:r>
              <w:rPr>
                <w:spacing w:val="5"/>
              </w:rPr>
              <w:t>50%</w:t>
            </w:r>
            <w:r>
              <w:rPr>
                <w:rFonts w:ascii="SimSun" w:hAnsi="SimSun" w:eastAsia="SimSun" w:cs="SimSun"/>
                <w:spacing w:val="5"/>
              </w:rPr>
              <w:t>以上</w:t>
            </w:r>
          </w:p>
        </w:tc>
        <w:tc>
          <w:tcPr>
            <w:tcW w:w="1331" w:type="dxa"/>
            <w:vAlign w:val="top"/>
            <w:vMerge w:val="restart"/>
            <w:tcBorders>
              <w:bottom w:val="nil"/>
            </w:tcBorders>
          </w:tcPr>
          <w:p>
            <w:pPr>
              <w:spacing w:line="258" w:lineRule="auto"/>
              <w:rPr>
                <w:rFonts w:ascii="Arial"/>
                <w:sz w:val="21"/>
              </w:rPr>
            </w:pPr>
            <w:r/>
          </w:p>
          <w:p>
            <w:pPr>
              <w:spacing w:line="258" w:lineRule="auto"/>
              <w:rPr>
                <w:rFonts w:ascii="Arial"/>
                <w:sz w:val="21"/>
              </w:rPr>
            </w:pPr>
            <w:r/>
          </w:p>
          <w:p>
            <w:pPr>
              <w:pStyle w:val="TableText"/>
              <w:ind w:left="600"/>
              <w:spacing w:before="57" w:line="97" w:lineRule="exact"/>
              <w:rPr/>
            </w:pPr>
            <w:r>
              <w:rPr>
                <w:spacing w:val="1"/>
                <w:position w:val="-2"/>
              </w:rPr>
              <w:t>--</w:t>
            </w:r>
          </w:p>
        </w:tc>
      </w:tr>
      <w:tr>
        <w:trPr>
          <w:trHeight w:val="277" w:hRule="atLeast"/>
        </w:trPr>
        <w:tc>
          <w:tcPr>
            <w:tcW w:w="1329" w:type="dxa"/>
            <w:vAlign w:val="top"/>
            <w:vMerge w:val="continue"/>
            <w:tcBorders>
              <w:top w:val="nil"/>
            </w:tcBorders>
          </w:tcPr>
          <w:p>
            <w:pPr>
              <w:rPr>
                <w:rFonts w:ascii="Arial"/>
                <w:sz w:val="21"/>
              </w:rPr>
            </w:pPr>
            <w:r/>
          </w:p>
        </w:tc>
        <w:tc>
          <w:tcPr>
            <w:tcW w:w="1324" w:type="dxa"/>
            <w:vAlign w:val="top"/>
          </w:tcPr>
          <w:p>
            <w:pPr>
              <w:ind w:left="350"/>
              <w:spacing w:before="33" w:line="216" w:lineRule="auto"/>
              <w:rPr>
                <w:rFonts w:ascii="SimSun" w:hAnsi="SimSun" w:eastAsia="SimSun" w:cs="SimSun"/>
                <w:sz w:val="20"/>
                <w:szCs w:val="20"/>
              </w:rPr>
            </w:pPr>
            <w:r>
              <w:rPr>
                <w:rFonts w:ascii="SimSun" w:hAnsi="SimSun" w:eastAsia="SimSun" w:cs="SimSun"/>
                <w:sz w:val="20"/>
                <w:szCs w:val="20"/>
                <w:spacing w:val="7"/>
              </w:rPr>
              <w:t>平台区</w:t>
            </w:r>
          </w:p>
        </w:tc>
        <w:tc>
          <w:tcPr>
            <w:tcW w:w="1326" w:type="dxa"/>
            <w:vAlign w:val="top"/>
          </w:tcPr>
          <w:p>
            <w:pPr>
              <w:pStyle w:val="TableText"/>
              <w:ind w:left="440"/>
              <w:spacing w:before="69" w:line="195" w:lineRule="auto"/>
              <w:rPr/>
            </w:pPr>
            <w:r>
              <w:rPr>
                <w:spacing w:val="-1"/>
              </w:rPr>
              <w:t>100%</w:t>
            </w:r>
          </w:p>
        </w:tc>
        <w:tc>
          <w:tcPr>
            <w:tcW w:w="1327" w:type="dxa"/>
            <w:vAlign w:val="top"/>
            <w:vMerge w:val="continue"/>
            <w:tcBorders>
              <w:top w:val="nil"/>
              <w:bottom w:val="nil"/>
            </w:tcBorders>
          </w:tcPr>
          <w:p>
            <w:pPr>
              <w:rPr>
                <w:rFonts w:ascii="Arial"/>
                <w:sz w:val="21"/>
              </w:rPr>
            </w:pPr>
            <w:r/>
          </w:p>
        </w:tc>
        <w:tc>
          <w:tcPr>
            <w:tcW w:w="1326" w:type="dxa"/>
            <w:vAlign w:val="top"/>
            <w:vMerge w:val="continue"/>
            <w:tcBorders>
              <w:top w:val="nil"/>
              <w:bottom w:val="nil"/>
            </w:tcBorders>
          </w:tcPr>
          <w:p>
            <w:pPr>
              <w:rPr>
                <w:rFonts w:ascii="Arial"/>
                <w:sz w:val="21"/>
              </w:rPr>
            </w:pPr>
            <w:r/>
          </w:p>
        </w:tc>
        <w:tc>
          <w:tcPr>
            <w:tcW w:w="1327" w:type="dxa"/>
            <w:vAlign w:val="top"/>
            <w:vMerge w:val="continue"/>
            <w:tcBorders>
              <w:top w:val="nil"/>
              <w:bottom w:val="nil"/>
            </w:tcBorders>
          </w:tcPr>
          <w:p>
            <w:pPr>
              <w:rPr>
                <w:rFonts w:ascii="Arial"/>
                <w:sz w:val="21"/>
              </w:rPr>
            </w:pPr>
            <w:r/>
          </w:p>
        </w:tc>
        <w:tc>
          <w:tcPr>
            <w:tcW w:w="1331" w:type="dxa"/>
            <w:vAlign w:val="top"/>
            <w:vMerge w:val="continue"/>
            <w:tcBorders>
              <w:top w:val="nil"/>
              <w:bottom w:val="nil"/>
            </w:tcBorders>
          </w:tcPr>
          <w:p>
            <w:pPr>
              <w:rPr>
                <w:rFonts w:ascii="Arial"/>
                <w:sz w:val="21"/>
              </w:rPr>
            </w:pPr>
            <w:r/>
          </w:p>
        </w:tc>
      </w:tr>
      <w:tr>
        <w:trPr>
          <w:trHeight w:val="277" w:hRule="atLeast"/>
        </w:trPr>
        <w:tc>
          <w:tcPr>
            <w:tcW w:w="1329" w:type="dxa"/>
            <w:vAlign w:val="top"/>
            <w:vMerge w:val="restart"/>
            <w:tcBorders>
              <w:bottom w:val="nil"/>
            </w:tcBorders>
          </w:tcPr>
          <w:p>
            <w:pPr>
              <w:ind w:left="252"/>
              <w:spacing w:before="171" w:line="227" w:lineRule="auto"/>
              <w:rPr>
                <w:rFonts w:ascii="SimSun" w:hAnsi="SimSun" w:eastAsia="SimSun" w:cs="SimSun"/>
                <w:sz w:val="20"/>
                <w:szCs w:val="20"/>
              </w:rPr>
            </w:pPr>
            <w:r>
              <w:rPr>
                <w:rFonts w:ascii="SimSun" w:hAnsi="SimSun" w:eastAsia="SimSun" w:cs="SimSun"/>
                <w:sz w:val="20"/>
                <w:szCs w:val="20"/>
                <w:spacing w:val="6"/>
              </w:rPr>
              <w:t>最终采坑</w:t>
            </w:r>
          </w:p>
        </w:tc>
        <w:tc>
          <w:tcPr>
            <w:tcW w:w="1324" w:type="dxa"/>
            <w:vAlign w:val="top"/>
          </w:tcPr>
          <w:p>
            <w:pPr>
              <w:ind w:left="350"/>
              <w:spacing w:before="31" w:line="217" w:lineRule="auto"/>
              <w:rPr>
                <w:rFonts w:ascii="SimSun" w:hAnsi="SimSun" w:eastAsia="SimSun" w:cs="SimSun"/>
                <w:sz w:val="20"/>
                <w:szCs w:val="20"/>
              </w:rPr>
            </w:pPr>
            <w:r>
              <w:rPr>
                <w:rFonts w:ascii="SimSun" w:hAnsi="SimSun" w:eastAsia="SimSun" w:cs="SimSun"/>
                <w:sz w:val="20"/>
                <w:szCs w:val="20"/>
                <w:spacing w:val="7"/>
              </w:rPr>
              <w:t>边坡区</w:t>
            </w:r>
          </w:p>
        </w:tc>
        <w:tc>
          <w:tcPr>
            <w:tcW w:w="1326" w:type="dxa"/>
            <w:vAlign w:val="top"/>
          </w:tcPr>
          <w:p>
            <w:pPr>
              <w:pStyle w:val="TableText"/>
              <w:ind w:left="440"/>
              <w:spacing w:before="68" w:line="195" w:lineRule="auto"/>
              <w:rPr/>
            </w:pPr>
            <w:r>
              <w:rPr>
                <w:spacing w:val="-1"/>
              </w:rPr>
              <w:t>100%</w:t>
            </w:r>
          </w:p>
        </w:tc>
        <w:tc>
          <w:tcPr>
            <w:tcW w:w="1327" w:type="dxa"/>
            <w:vAlign w:val="top"/>
            <w:vMerge w:val="continue"/>
            <w:tcBorders>
              <w:top w:val="nil"/>
              <w:bottom w:val="nil"/>
            </w:tcBorders>
          </w:tcPr>
          <w:p>
            <w:pPr>
              <w:rPr>
                <w:rFonts w:ascii="Arial"/>
                <w:sz w:val="21"/>
              </w:rPr>
            </w:pPr>
            <w:r/>
          </w:p>
        </w:tc>
        <w:tc>
          <w:tcPr>
            <w:tcW w:w="1326" w:type="dxa"/>
            <w:vAlign w:val="top"/>
            <w:vMerge w:val="continue"/>
            <w:tcBorders>
              <w:top w:val="nil"/>
              <w:bottom w:val="nil"/>
            </w:tcBorders>
          </w:tcPr>
          <w:p>
            <w:pPr>
              <w:rPr>
                <w:rFonts w:ascii="Arial"/>
                <w:sz w:val="21"/>
              </w:rPr>
            </w:pPr>
            <w:r/>
          </w:p>
        </w:tc>
        <w:tc>
          <w:tcPr>
            <w:tcW w:w="1327" w:type="dxa"/>
            <w:vAlign w:val="top"/>
            <w:vMerge w:val="continue"/>
            <w:tcBorders>
              <w:top w:val="nil"/>
              <w:bottom w:val="nil"/>
            </w:tcBorders>
          </w:tcPr>
          <w:p>
            <w:pPr>
              <w:rPr>
                <w:rFonts w:ascii="Arial"/>
                <w:sz w:val="21"/>
              </w:rPr>
            </w:pPr>
            <w:r/>
          </w:p>
        </w:tc>
        <w:tc>
          <w:tcPr>
            <w:tcW w:w="1331" w:type="dxa"/>
            <w:vAlign w:val="top"/>
            <w:vMerge w:val="continue"/>
            <w:tcBorders>
              <w:top w:val="nil"/>
              <w:bottom w:val="nil"/>
            </w:tcBorders>
          </w:tcPr>
          <w:p>
            <w:pPr>
              <w:rPr>
                <w:rFonts w:ascii="Arial"/>
                <w:sz w:val="21"/>
              </w:rPr>
            </w:pPr>
            <w:r/>
          </w:p>
        </w:tc>
      </w:tr>
      <w:tr>
        <w:trPr>
          <w:trHeight w:val="280" w:hRule="atLeast"/>
        </w:trPr>
        <w:tc>
          <w:tcPr>
            <w:tcW w:w="1329" w:type="dxa"/>
            <w:vAlign w:val="top"/>
            <w:vMerge w:val="continue"/>
            <w:tcBorders>
              <w:top w:val="nil"/>
            </w:tcBorders>
          </w:tcPr>
          <w:p>
            <w:pPr>
              <w:rPr>
                <w:rFonts w:ascii="Arial"/>
                <w:sz w:val="21"/>
              </w:rPr>
            </w:pPr>
            <w:r/>
          </w:p>
        </w:tc>
        <w:tc>
          <w:tcPr>
            <w:tcW w:w="1324" w:type="dxa"/>
            <w:vAlign w:val="top"/>
          </w:tcPr>
          <w:p>
            <w:pPr>
              <w:ind w:left="350"/>
              <w:spacing w:before="33" w:line="218" w:lineRule="auto"/>
              <w:rPr>
                <w:rFonts w:ascii="SimSun" w:hAnsi="SimSun" w:eastAsia="SimSun" w:cs="SimSun"/>
                <w:sz w:val="20"/>
                <w:szCs w:val="20"/>
              </w:rPr>
            </w:pPr>
            <w:r>
              <w:rPr>
                <w:rFonts w:ascii="SimSun" w:hAnsi="SimSun" w:eastAsia="SimSun" w:cs="SimSun"/>
                <w:sz w:val="20"/>
                <w:szCs w:val="20"/>
                <w:spacing w:val="7"/>
              </w:rPr>
              <w:t>平台区</w:t>
            </w:r>
          </w:p>
        </w:tc>
        <w:tc>
          <w:tcPr>
            <w:tcW w:w="1326" w:type="dxa"/>
            <w:vAlign w:val="top"/>
          </w:tcPr>
          <w:p>
            <w:pPr>
              <w:pStyle w:val="TableText"/>
              <w:ind w:left="440"/>
              <w:spacing w:before="69" w:line="195" w:lineRule="auto"/>
              <w:rPr/>
            </w:pPr>
            <w:r>
              <w:rPr>
                <w:spacing w:val="-1"/>
              </w:rPr>
              <w:t>100%</w:t>
            </w:r>
          </w:p>
        </w:tc>
        <w:tc>
          <w:tcPr>
            <w:tcW w:w="1327" w:type="dxa"/>
            <w:vAlign w:val="top"/>
            <w:vMerge w:val="continue"/>
            <w:tcBorders>
              <w:top w:val="nil"/>
            </w:tcBorders>
          </w:tcPr>
          <w:p>
            <w:pPr>
              <w:rPr>
                <w:rFonts w:ascii="Arial"/>
                <w:sz w:val="21"/>
              </w:rPr>
            </w:pPr>
            <w:r/>
          </w:p>
        </w:tc>
        <w:tc>
          <w:tcPr>
            <w:tcW w:w="1326" w:type="dxa"/>
            <w:vAlign w:val="top"/>
            <w:vMerge w:val="continue"/>
            <w:tcBorders>
              <w:top w:val="nil"/>
            </w:tcBorders>
          </w:tcPr>
          <w:p>
            <w:pPr>
              <w:rPr>
                <w:rFonts w:ascii="Arial"/>
                <w:sz w:val="21"/>
              </w:rPr>
            </w:pPr>
            <w:r/>
          </w:p>
        </w:tc>
        <w:tc>
          <w:tcPr>
            <w:tcW w:w="1327" w:type="dxa"/>
            <w:vAlign w:val="top"/>
            <w:vMerge w:val="continue"/>
            <w:tcBorders>
              <w:top w:val="nil"/>
            </w:tcBorders>
          </w:tcPr>
          <w:p>
            <w:pPr>
              <w:rPr>
                <w:rFonts w:ascii="Arial"/>
                <w:sz w:val="21"/>
              </w:rPr>
            </w:pPr>
            <w:r/>
          </w:p>
        </w:tc>
        <w:tc>
          <w:tcPr>
            <w:tcW w:w="1331" w:type="dxa"/>
            <w:vAlign w:val="top"/>
            <w:vMerge w:val="continue"/>
            <w:tcBorders>
              <w:top w:val="nil"/>
            </w:tcBorders>
          </w:tcPr>
          <w:p>
            <w:pPr>
              <w:rPr>
                <w:rFonts w:ascii="Arial"/>
                <w:sz w:val="21"/>
              </w:rPr>
            </w:pPr>
            <w:r/>
          </w:p>
        </w:tc>
      </w:tr>
    </w:tbl>
    <w:p>
      <w:pPr>
        <w:pStyle w:val="BodyText"/>
        <w:spacing w:line="252" w:lineRule="auto"/>
        <w:rPr/>
      </w:pPr>
      <w:r/>
    </w:p>
    <w:p>
      <w:pPr>
        <w:pStyle w:val="BodyText"/>
        <w:spacing w:line="252" w:lineRule="auto"/>
        <w:rPr/>
      </w:pPr>
      <w:r/>
    </w:p>
    <w:p>
      <w:pPr>
        <w:ind w:left="123" w:right="205" w:firstLine="478"/>
        <w:spacing w:before="78" w:line="339" w:lineRule="auto"/>
        <w:rPr>
          <w:rFonts w:ascii="SimSun" w:hAnsi="SimSun" w:eastAsia="SimSun" w:cs="SimSun"/>
          <w:sz w:val="24"/>
          <w:szCs w:val="24"/>
        </w:rPr>
      </w:pPr>
      <w:r>
        <w:rPr>
          <w:rFonts w:ascii="SimSun" w:hAnsi="SimSun" w:eastAsia="SimSun" w:cs="SimSun"/>
          <w:sz w:val="24"/>
          <w:szCs w:val="24"/>
          <w:spacing w:val="-2"/>
        </w:rPr>
        <w:t>生态整治就是恢复系统的合理结构、高效的功能和协调的关系。生态恢复实质上就</w:t>
      </w:r>
      <w:r>
        <w:rPr>
          <w:rFonts w:ascii="SimSun" w:hAnsi="SimSun" w:eastAsia="SimSun" w:cs="SimSun"/>
          <w:sz w:val="24"/>
          <w:szCs w:val="24"/>
        </w:rPr>
        <w:t>是被破坏生态系统的有序演替过程，这个过程使</w:t>
      </w:r>
      <w:r>
        <w:rPr>
          <w:rFonts w:ascii="SimSun" w:hAnsi="SimSun" w:eastAsia="SimSun" w:cs="SimSun"/>
          <w:sz w:val="24"/>
          <w:szCs w:val="24"/>
          <w:spacing w:val="-1"/>
        </w:rPr>
        <w:t>生态系统恢复到相对稳定的状态。</w:t>
      </w:r>
    </w:p>
    <w:p>
      <w:pPr>
        <w:ind w:left="119" w:right="192" w:firstLine="481"/>
        <w:spacing w:before="2" w:line="338" w:lineRule="auto"/>
        <w:jc w:val="both"/>
        <w:rPr>
          <w:rFonts w:ascii="SimSun" w:hAnsi="SimSun" w:eastAsia="SimSun" w:cs="SimSun"/>
          <w:sz w:val="24"/>
          <w:szCs w:val="24"/>
        </w:rPr>
      </w:pPr>
      <w:r>
        <w:rPr>
          <w:rFonts w:ascii="SimSun" w:hAnsi="SimSun" w:eastAsia="SimSun" w:cs="SimSun"/>
          <w:sz w:val="24"/>
          <w:szCs w:val="24"/>
          <w:spacing w:val="-2"/>
        </w:rPr>
        <w:t>生态整治规划主要结合项目区生态特点进行综合布控，根据以往的防治经验和周边</w:t>
      </w:r>
      <w:r>
        <w:rPr>
          <w:rFonts w:ascii="SimSun" w:hAnsi="SimSun" w:eastAsia="SimSun" w:cs="SimSun"/>
          <w:sz w:val="24"/>
          <w:szCs w:val="24"/>
          <w:spacing w:val="-1"/>
        </w:rPr>
        <w:t>露天矿生产调研。参考本项目土地复垦方案，主要应做好四个方面的</w:t>
      </w:r>
      <w:r>
        <w:rPr>
          <w:rFonts w:ascii="SimSun" w:hAnsi="SimSun" w:eastAsia="SimSun" w:cs="SimSun"/>
          <w:sz w:val="24"/>
          <w:szCs w:val="24"/>
          <w:spacing w:val="-2"/>
        </w:rPr>
        <w:t>工作：水土保持、</w:t>
      </w:r>
      <w:r>
        <w:rPr>
          <w:rFonts w:ascii="SimSun" w:hAnsi="SimSun" w:eastAsia="SimSun" w:cs="SimSun"/>
          <w:sz w:val="24"/>
          <w:szCs w:val="24"/>
          <w:spacing w:val="-1"/>
        </w:rPr>
        <w:t>地貌（土壤）重构、植被重建、生态修复。</w:t>
      </w:r>
    </w:p>
    <w:p>
      <w:pPr>
        <w:ind w:left="598"/>
        <w:spacing w:line="217" w:lineRule="auto"/>
        <w:rPr>
          <w:rFonts w:ascii="SimSun" w:hAnsi="SimSun" w:eastAsia="SimSun" w:cs="SimSun"/>
          <w:sz w:val="24"/>
          <w:szCs w:val="24"/>
        </w:rPr>
      </w:pPr>
      <w:r>
        <w:rPr>
          <w:rFonts w:ascii="SimSun" w:hAnsi="SimSun" w:eastAsia="SimSun" w:cs="SimSun"/>
          <w:sz w:val="24"/>
          <w:szCs w:val="24"/>
          <w:spacing w:val="-2"/>
        </w:rPr>
        <w:t>①水土保持</w:t>
      </w:r>
    </w:p>
    <w:p>
      <w:pPr>
        <w:spacing w:line="217" w:lineRule="auto"/>
        <w:sectPr>
          <w:headerReference w:type="default" r:id="rId489"/>
          <w:footerReference w:type="default" r:id="rId490"/>
          <w:pgSz w:w="11906" w:h="16838"/>
          <w:pgMar w:top="1114" w:right="1212" w:bottom="1080" w:left="1305" w:header="837" w:footer="918" w:gutter="0"/>
        </w:sectPr>
        <w:rPr>
          <w:rFonts w:ascii="SimSun" w:hAnsi="SimSun" w:eastAsia="SimSun" w:cs="SimSun"/>
          <w:sz w:val="24"/>
          <w:szCs w:val="24"/>
        </w:rPr>
      </w:pPr>
    </w:p>
    <w:p>
      <w:pPr>
        <w:pStyle w:val="BodyText"/>
        <w:spacing w:line="369" w:lineRule="auto"/>
        <w:rPr/>
      </w:pPr>
      <w:r/>
    </w:p>
    <w:p>
      <w:pPr>
        <w:ind w:left="9" w:right="18" w:firstLine="482"/>
        <w:spacing w:before="78" w:line="338" w:lineRule="auto"/>
        <w:jc w:val="both"/>
        <w:rPr>
          <w:rFonts w:ascii="SimSun" w:hAnsi="SimSun" w:eastAsia="SimSun" w:cs="SimSun"/>
          <w:sz w:val="24"/>
          <w:szCs w:val="24"/>
        </w:rPr>
      </w:pPr>
      <w:r>
        <w:rPr>
          <w:rFonts w:ascii="SimSun" w:hAnsi="SimSun" w:eastAsia="SimSun" w:cs="SimSun"/>
          <w:sz w:val="24"/>
          <w:szCs w:val="24"/>
          <w:spacing w:val="-2"/>
        </w:rPr>
        <w:t>水土流失是该地区最重要的环境问题之一，水土保持是区域生态恢复的根本，水土</w:t>
      </w:r>
      <w:r>
        <w:rPr>
          <w:rFonts w:ascii="SimSun" w:hAnsi="SimSun" w:eastAsia="SimSun" w:cs="SimSun"/>
          <w:sz w:val="24"/>
          <w:szCs w:val="24"/>
          <w:spacing w:val="-6"/>
        </w:rPr>
        <w:t>保持措施布局以水土保持林建设为主，采掘场及排土场营造水土保持林，控制泥沙输出，</w:t>
      </w:r>
      <w:r>
        <w:rPr>
          <w:rFonts w:ascii="SimSun" w:hAnsi="SimSun" w:eastAsia="SimSun" w:cs="SimSun"/>
          <w:sz w:val="24"/>
          <w:szCs w:val="24"/>
          <w:spacing w:val="-1"/>
        </w:rPr>
        <w:t>减少对周边环境影响。</w:t>
      </w:r>
    </w:p>
    <w:p>
      <w:pPr>
        <w:ind w:left="487"/>
        <w:spacing w:line="217" w:lineRule="auto"/>
        <w:rPr>
          <w:rFonts w:ascii="SimSun" w:hAnsi="SimSun" w:eastAsia="SimSun" w:cs="SimSun"/>
          <w:sz w:val="24"/>
          <w:szCs w:val="24"/>
        </w:rPr>
      </w:pPr>
      <w:r>
        <w:rPr>
          <w:rFonts w:ascii="SimSun" w:hAnsi="SimSun" w:eastAsia="SimSun" w:cs="SimSun"/>
          <w:sz w:val="24"/>
          <w:szCs w:val="24"/>
          <w:spacing w:val="-1"/>
        </w:rPr>
        <w:t>②地貌（土壤）重构</w:t>
      </w:r>
    </w:p>
    <w:p>
      <w:pPr>
        <w:ind w:left="8" w:right="85" w:firstLine="481"/>
        <w:spacing w:before="162" w:line="338" w:lineRule="auto"/>
        <w:rPr>
          <w:rFonts w:ascii="SimSun" w:hAnsi="SimSun" w:eastAsia="SimSun" w:cs="SimSun"/>
          <w:sz w:val="24"/>
          <w:szCs w:val="24"/>
        </w:rPr>
      </w:pPr>
      <w:r>
        <w:rPr>
          <w:rFonts w:ascii="SimSun" w:hAnsi="SimSun" w:eastAsia="SimSun" w:cs="SimSun"/>
          <w:sz w:val="24"/>
          <w:szCs w:val="24"/>
          <w:spacing w:val="-2"/>
        </w:rPr>
        <w:t>保护好露天矿表层土是确保区域生态系统稳定，实施生态复垦和区域生态重建的关</w:t>
      </w:r>
      <w:r>
        <w:rPr>
          <w:rFonts w:ascii="SimSun" w:hAnsi="SimSun" w:eastAsia="SimSun" w:cs="SimSun"/>
          <w:sz w:val="24"/>
          <w:szCs w:val="24"/>
          <w:spacing w:val="-2"/>
        </w:rPr>
        <w:t>键。表土层含有丰富的有机物质和植物种子、块根、块茎等繁殖体是可以利用的宝贵资</w:t>
      </w:r>
      <w:r>
        <w:rPr>
          <w:rFonts w:ascii="SimSun" w:hAnsi="SimSun" w:eastAsia="SimSun" w:cs="SimSun"/>
          <w:sz w:val="24"/>
          <w:szCs w:val="24"/>
          <w:spacing w:val="-2"/>
        </w:rPr>
        <w:t>源。根据周边露天矿及本矿的土地复垦经验，矿区内有剥离意义的表土主要为可用于后</w:t>
      </w:r>
      <w:r>
        <w:rPr>
          <w:rFonts w:ascii="SimSun" w:hAnsi="SimSun" w:eastAsia="SimSun" w:cs="SimSun"/>
          <w:sz w:val="24"/>
          <w:szCs w:val="24"/>
          <w:spacing w:val="-3"/>
        </w:rPr>
        <w:t>期绿化覆土的表层土，剥离厚度根据地形地貌和土壤养分条件</w:t>
      </w:r>
      <w:r>
        <w:rPr>
          <w:rFonts w:ascii="SimSun" w:hAnsi="SimSun" w:eastAsia="SimSun" w:cs="SimSun"/>
          <w:sz w:val="24"/>
          <w:szCs w:val="24"/>
          <w:spacing w:val="-4"/>
        </w:rPr>
        <w:t>确定、一般为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0.5m</w:t>
      </w:r>
      <w:r>
        <w:rPr>
          <w:rFonts w:ascii="SimSun" w:hAnsi="SimSun" w:eastAsia="SimSun" w:cs="SimSun"/>
          <w:sz w:val="24"/>
          <w:szCs w:val="24"/>
          <w:spacing w:val="-4"/>
        </w:rPr>
        <w:t>，将该</w:t>
      </w:r>
      <w:r>
        <w:rPr>
          <w:rFonts w:ascii="SimSun" w:hAnsi="SimSun" w:eastAsia="SimSun" w:cs="SimSun"/>
          <w:sz w:val="24"/>
          <w:szCs w:val="24"/>
          <w:spacing w:val="-2"/>
        </w:rPr>
        <w:t>部分表土剥离堆存用于后期植被重建工作。表土经过扰动堆放后肥力损失严重，须采取</w:t>
      </w:r>
      <w:r>
        <w:rPr>
          <w:rFonts w:ascii="SimSun" w:hAnsi="SimSun" w:eastAsia="SimSun" w:cs="SimSun"/>
          <w:sz w:val="24"/>
          <w:szCs w:val="24"/>
          <w:spacing w:val="-1"/>
        </w:rPr>
        <w:t>一定的措施进行土壤改良与培肥。</w:t>
      </w:r>
    </w:p>
    <w:p>
      <w:pPr>
        <w:ind w:left="9" w:right="72"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根据项目区的特点，设计采用绿肥培肥措施改良土壤。绿肥是一种养分完全的生物</w:t>
      </w:r>
      <w:r>
        <w:rPr>
          <w:rFonts w:ascii="SimSun" w:hAnsi="SimSun" w:eastAsia="SimSun" w:cs="SimSun"/>
          <w:sz w:val="24"/>
          <w:szCs w:val="24"/>
          <w:spacing w:val="-2"/>
        </w:rPr>
        <w:t>肥源。其具有能够为农作物提供养分、减少养分损失、增加土壤有机质，改善土壤的物</w:t>
      </w:r>
      <w:r>
        <w:rPr>
          <w:rFonts w:ascii="SimSun" w:hAnsi="SimSun" w:eastAsia="SimSun" w:cs="SimSun"/>
          <w:sz w:val="24"/>
          <w:szCs w:val="24"/>
          <w:spacing w:val="-2"/>
        </w:rPr>
        <w:t>理性状，提高土壤保水、保肥和供肥能力等多重作用。绿肥植物种应选择在当地具有广</w:t>
      </w:r>
      <w:r>
        <w:rPr>
          <w:rFonts w:ascii="SimSun" w:hAnsi="SimSun" w:eastAsia="SimSun" w:cs="SimSun"/>
          <w:sz w:val="24"/>
          <w:szCs w:val="24"/>
          <w:spacing w:val="-2"/>
        </w:rPr>
        <w:t>泛种植历史、适生能力强、能够有效改善土壤环境的品种，种植后进行适当的管护，生</w:t>
      </w:r>
      <w:r>
        <w:rPr>
          <w:rFonts w:ascii="SimSun" w:hAnsi="SimSun" w:eastAsia="SimSun" w:cs="SimSun"/>
          <w:sz w:val="24"/>
          <w:szCs w:val="24"/>
          <w:spacing w:val="-1"/>
        </w:rPr>
        <w:t>长两年后将牧草茎叶及根整体翻入土中，增加土壤肥力，为最终复垦</w:t>
      </w:r>
      <w:r>
        <w:rPr>
          <w:rFonts w:ascii="SimSun" w:hAnsi="SimSun" w:eastAsia="SimSun" w:cs="SimSun"/>
          <w:sz w:val="24"/>
          <w:szCs w:val="24"/>
          <w:spacing w:val="-2"/>
        </w:rPr>
        <w:t>为耕地打好基础。</w:t>
      </w:r>
    </w:p>
    <w:p>
      <w:pPr>
        <w:ind w:left="487"/>
        <w:spacing w:line="217" w:lineRule="auto"/>
        <w:rPr>
          <w:rFonts w:ascii="SimSun" w:hAnsi="SimSun" w:eastAsia="SimSun" w:cs="SimSun"/>
          <w:sz w:val="24"/>
          <w:szCs w:val="24"/>
        </w:rPr>
      </w:pPr>
      <w:r>
        <w:rPr>
          <w:rFonts w:ascii="SimSun" w:hAnsi="SimSun" w:eastAsia="SimSun" w:cs="SimSun"/>
          <w:sz w:val="24"/>
          <w:szCs w:val="24"/>
          <w:spacing w:val="-2"/>
        </w:rPr>
        <w:t>③植被重建</w:t>
      </w:r>
    </w:p>
    <w:p>
      <w:pPr>
        <w:ind w:left="11" w:firstLine="477"/>
        <w:spacing w:before="161" w:line="338" w:lineRule="auto"/>
        <w:rPr>
          <w:rFonts w:ascii="SimSun" w:hAnsi="SimSun" w:eastAsia="SimSun" w:cs="SimSun"/>
          <w:sz w:val="24"/>
          <w:szCs w:val="24"/>
        </w:rPr>
      </w:pPr>
      <w:r>
        <w:rPr>
          <w:rFonts w:ascii="SimSun" w:hAnsi="SimSun" w:eastAsia="SimSun" w:cs="SimSun"/>
          <w:sz w:val="24"/>
          <w:szCs w:val="24"/>
          <w:spacing w:val="-2"/>
        </w:rPr>
        <w:t>矿区的植被重建是相对复杂、长期的过程，需要根据不同时期的条件来选择不同的</w:t>
      </w:r>
      <w:r>
        <w:rPr>
          <w:rFonts w:ascii="SimSun" w:hAnsi="SimSun" w:eastAsia="SimSun" w:cs="SimSun"/>
          <w:sz w:val="24"/>
          <w:szCs w:val="24"/>
          <w:spacing w:val="-6"/>
        </w:rPr>
        <w:t>生物措施。在恢复、重建植被时，按乔灌草结合的原则、先治坡后治台、先南坡后北坡、</w:t>
      </w:r>
      <w:r>
        <w:rPr>
          <w:rFonts w:ascii="SimSun" w:hAnsi="SimSun" w:eastAsia="SimSun" w:cs="SimSun"/>
          <w:sz w:val="24"/>
          <w:szCs w:val="24"/>
          <w:spacing w:val="-2"/>
        </w:rPr>
        <w:t>先覆土后建立人工植被的方法进行。边坡植被沿等高线布置，平台植被根据最终用地方</w:t>
      </w:r>
      <w:r>
        <w:rPr>
          <w:rFonts w:ascii="SimSun" w:hAnsi="SimSun" w:eastAsia="SimSun" w:cs="SimSun"/>
          <w:sz w:val="24"/>
          <w:szCs w:val="24"/>
          <w:spacing w:val="-2"/>
        </w:rPr>
        <w:t>向选择多种配置模式。</w:t>
      </w:r>
    </w:p>
    <w:p>
      <w:pPr>
        <w:ind w:left="487"/>
        <w:spacing w:line="217" w:lineRule="auto"/>
        <w:rPr>
          <w:rFonts w:ascii="SimSun" w:hAnsi="SimSun" w:eastAsia="SimSun" w:cs="SimSun"/>
          <w:sz w:val="24"/>
          <w:szCs w:val="24"/>
        </w:rPr>
      </w:pPr>
      <w:r>
        <w:rPr>
          <w:rFonts w:ascii="SimSun" w:hAnsi="SimSun" w:eastAsia="SimSun" w:cs="SimSun"/>
          <w:sz w:val="24"/>
          <w:szCs w:val="24"/>
          <w:spacing w:val="-2"/>
        </w:rPr>
        <w:t>④生态修复</w:t>
      </w:r>
    </w:p>
    <w:p>
      <w:pPr>
        <w:ind w:left="8" w:right="85" w:firstLine="480"/>
        <w:spacing w:before="158" w:line="340" w:lineRule="auto"/>
        <w:rPr>
          <w:rFonts w:ascii="SimSun" w:hAnsi="SimSun" w:eastAsia="SimSun" w:cs="SimSun"/>
          <w:sz w:val="24"/>
          <w:szCs w:val="24"/>
        </w:rPr>
      </w:pPr>
      <w:r>
        <w:rPr>
          <w:rFonts w:ascii="SimSun" w:hAnsi="SimSun" w:eastAsia="SimSun" w:cs="SimSun"/>
          <w:sz w:val="24"/>
          <w:szCs w:val="24"/>
          <w:spacing w:val="-2"/>
        </w:rPr>
        <w:t>遵循自然界群落演替规律并进行人为干预，进行矿区生态修复，调制群落演替、加</w:t>
      </w:r>
      <w:r>
        <w:rPr>
          <w:rFonts w:ascii="SimSun" w:hAnsi="SimSun" w:eastAsia="SimSun" w:cs="SimSun"/>
          <w:sz w:val="24"/>
          <w:szCs w:val="24"/>
          <w:spacing w:val="-2"/>
        </w:rPr>
        <w:t>速群落演替时间、改变演替方向，从而加快矿区及周边生态系统的稳定。生态修复最本</w:t>
      </w:r>
      <w:r>
        <w:rPr>
          <w:rFonts w:ascii="SimSun" w:hAnsi="SimSun" w:eastAsia="SimSun" w:cs="SimSun"/>
          <w:sz w:val="24"/>
          <w:szCs w:val="24"/>
          <w:spacing w:val="-1"/>
        </w:rPr>
        <w:t>质的就是恢复系统的必要功能并达到系统自维护状态。</w:t>
      </w:r>
    </w:p>
    <w:p>
      <w:pPr>
        <w:ind w:left="8"/>
        <w:spacing w:before="26"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7.1.2.2 </w:t>
      </w:r>
      <w:r>
        <w:rPr>
          <w:rFonts w:ascii="SimHei" w:hAnsi="SimHei" w:eastAsia="SimHei" w:cs="SimHei"/>
          <w:sz w:val="24"/>
          <w:szCs w:val="24"/>
          <w:b/>
          <w:bCs/>
          <w:spacing w:val="-2"/>
        </w:rPr>
        <w:t>生态整治方案</w:t>
      </w:r>
    </w:p>
    <w:p>
      <w:pPr>
        <w:ind w:left="495"/>
        <w:spacing w:before="160"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）生态整治方案规划</w:t>
      </w:r>
    </w:p>
    <w:p>
      <w:pPr>
        <w:ind w:left="8" w:right="85" w:firstLine="482"/>
        <w:spacing w:before="157" w:line="338" w:lineRule="auto"/>
        <w:rPr>
          <w:rFonts w:ascii="SimSun" w:hAnsi="SimSun" w:eastAsia="SimSun" w:cs="SimSun"/>
          <w:sz w:val="24"/>
          <w:szCs w:val="24"/>
        </w:rPr>
      </w:pPr>
      <w:r>
        <w:rPr>
          <w:rFonts w:ascii="SimSun" w:hAnsi="SimSun" w:eastAsia="SimSun" w:cs="SimSun"/>
          <w:sz w:val="24"/>
          <w:szCs w:val="24"/>
          <w:spacing w:val="-2"/>
        </w:rPr>
        <w:t>生态整治方案规划的意义在于结合相关技术规范、区域生态环境特点与工程推进次</w:t>
      </w:r>
      <w:r>
        <w:rPr>
          <w:rFonts w:ascii="SimSun" w:hAnsi="SimSun" w:eastAsia="SimSun" w:cs="SimSun"/>
          <w:sz w:val="24"/>
          <w:szCs w:val="24"/>
          <w:spacing w:val="-2"/>
        </w:rPr>
        <w:t>序，合理布局，合理分配各阶段生态整治任务，使各阶段生态整治任务衔接得当。依据</w:t>
      </w:r>
      <w:r>
        <w:rPr>
          <w:rFonts w:ascii="SimSun" w:hAnsi="SimSun" w:eastAsia="SimSun" w:cs="SimSun"/>
          <w:sz w:val="24"/>
          <w:szCs w:val="24"/>
          <w:spacing w:val="-1"/>
        </w:rPr>
        <w:t>近细远粗的原则，对正在开采的区域做生态整治方案规划。</w:t>
      </w:r>
    </w:p>
    <w:p>
      <w:pPr>
        <w:ind w:left="495"/>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）生态整治规划分区</w:t>
      </w:r>
    </w:p>
    <w:p>
      <w:pPr>
        <w:ind w:left="12" w:right="85" w:firstLine="477"/>
        <w:spacing w:before="152" w:line="340" w:lineRule="auto"/>
        <w:rPr>
          <w:rFonts w:ascii="SimSun" w:hAnsi="SimSun" w:eastAsia="SimSun" w:cs="SimSun"/>
          <w:sz w:val="24"/>
          <w:szCs w:val="24"/>
        </w:rPr>
      </w:pPr>
      <w:r>
        <w:rPr>
          <w:rFonts w:ascii="SimSun" w:hAnsi="SimSun" w:eastAsia="SimSun" w:cs="SimSun"/>
          <w:sz w:val="24"/>
          <w:szCs w:val="24"/>
          <w:spacing w:val="-2"/>
        </w:rPr>
        <w:t>根据露天区的开采时序、开采工艺、土地损坏形式等因素以及生态整治实施进度，</w:t>
      </w:r>
      <w:r>
        <w:rPr>
          <w:rFonts w:ascii="SimSun" w:hAnsi="SimSun" w:eastAsia="SimSun" w:cs="SimSun"/>
          <w:sz w:val="24"/>
          <w:szCs w:val="24"/>
          <w:spacing w:val="-2"/>
        </w:rPr>
        <w:t>从时间和空间上综合考虑，将生态整治分区划分挖损区和压占区。针对各个生态整治分</w:t>
      </w:r>
    </w:p>
    <w:p>
      <w:pPr>
        <w:spacing w:line="340" w:lineRule="auto"/>
        <w:sectPr>
          <w:headerReference w:type="default" r:id="rId479"/>
          <w:footerReference w:type="default" r:id="rId491"/>
          <w:pgSz w:w="11906" w:h="16838"/>
          <w:pgMar w:top="1114" w:right="1332" w:bottom="1080" w:left="1416" w:header="837" w:footer="918" w:gutter="0"/>
        </w:sectPr>
        <w:rPr>
          <w:rFonts w:ascii="SimSun" w:hAnsi="SimSun" w:eastAsia="SimSun" w:cs="SimSun"/>
          <w:sz w:val="24"/>
          <w:szCs w:val="24"/>
        </w:rPr>
      </w:pPr>
    </w:p>
    <w:p>
      <w:pPr>
        <w:pStyle w:val="BodyText"/>
        <w:spacing w:line="369" w:lineRule="auto"/>
        <w:rPr/>
      </w:pPr>
      <w:r/>
    </w:p>
    <w:p>
      <w:pPr>
        <w:ind w:left="9" w:right="63" w:firstLine="17"/>
        <w:spacing w:before="78" w:line="341" w:lineRule="auto"/>
        <w:rPr>
          <w:rFonts w:ascii="SimSun" w:hAnsi="SimSun" w:eastAsia="SimSun" w:cs="SimSun"/>
          <w:sz w:val="24"/>
          <w:szCs w:val="24"/>
        </w:rPr>
      </w:pPr>
      <w:r>
        <w:rPr>
          <w:rFonts w:ascii="SimSun" w:hAnsi="SimSun" w:eastAsia="SimSun" w:cs="SimSun"/>
          <w:sz w:val="24"/>
          <w:szCs w:val="24"/>
          <w:spacing w:val="-2"/>
        </w:rPr>
        <w:t>区的特点设计不同的生态整治措施：对于排土场主要生态整治措施是复垦工作和恢复植</w:t>
      </w:r>
      <w:r>
        <w:rPr>
          <w:rFonts w:ascii="SimSun" w:hAnsi="SimSun" w:eastAsia="SimSun" w:cs="SimSun"/>
          <w:sz w:val="24"/>
          <w:szCs w:val="24"/>
          <w:spacing w:val="-1"/>
        </w:rPr>
        <w:t>被，必须以恢复和改善被干扰土地的生态平衡为主要目的。</w:t>
      </w:r>
    </w:p>
    <w:p>
      <w:pPr>
        <w:ind w:left="8"/>
        <w:spacing w:before="23" w:line="222" w:lineRule="auto"/>
        <w:rPr>
          <w:rFonts w:ascii="SimHei" w:hAnsi="SimHei" w:eastAsia="SimHei" w:cs="SimHei"/>
          <w:sz w:val="24"/>
          <w:szCs w:val="24"/>
        </w:rPr>
      </w:pPr>
      <w:r>
        <w:rPr>
          <w:rFonts w:ascii="Times New Roman" w:hAnsi="Times New Roman" w:eastAsia="Times New Roman" w:cs="Times New Roman"/>
          <w:sz w:val="24"/>
          <w:szCs w:val="24"/>
          <w:b/>
          <w:bCs/>
          <w:spacing w:val="-2"/>
        </w:rPr>
        <w:t>7.1.2.3 </w:t>
      </w:r>
      <w:r>
        <w:rPr>
          <w:rFonts w:ascii="SimHei" w:hAnsi="SimHei" w:eastAsia="SimHei" w:cs="SimHei"/>
          <w:sz w:val="24"/>
          <w:szCs w:val="24"/>
          <w:b/>
          <w:bCs/>
          <w:spacing w:val="-2"/>
        </w:rPr>
        <w:t>生态环境整治措施</w:t>
      </w:r>
    </w:p>
    <w:p>
      <w:pPr>
        <w:ind w:left="495"/>
        <w:spacing w:before="160"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）预防控制措施</w:t>
      </w:r>
    </w:p>
    <w:p>
      <w:pPr>
        <w:ind w:left="10" w:right="63" w:firstLine="481"/>
        <w:spacing w:before="152" w:line="339" w:lineRule="auto"/>
        <w:rPr>
          <w:rFonts w:ascii="SimSun" w:hAnsi="SimSun" w:eastAsia="SimSun" w:cs="SimSun"/>
          <w:sz w:val="24"/>
          <w:szCs w:val="24"/>
        </w:rPr>
      </w:pPr>
      <w:r>
        <w:rPr>
          <w:rFonts w:ascii="SimSun" w:hAnsi="SimSun" w:eastAsia="SimSun" w:cs="SimSun"/>
          <w:sz w:val="24"/>
          <w:szCs w:val="24"/>
          <w:spacing w:val="-1"/>
        </w:rPr>
        <w:t>工程建设生产中，必须坚持</w:t>
      </w:r>
      <w:r>
        <w:rPr>
          <w:rFonts w:ascii="Times New Roman" w:hAnsi="Times New Roman" w:eastAsia="Times New Roman" w:cs="Times New Roman"/>
          <w:sz w:val="24"/>
          <w:szCs w:val="24"/>
          <w:spacing w:val="-1"/>
        </w:rPr>
        <w:t>“</w:t>
      </w:r>
      <w:r>
        <w:rPr>
          <w:rFonts w:ascii="SimSun" w:hAnsi="SimSun" w:eastAsia="SimSun" w:cs="SimSun"/>
          <w:sz w:val="24"/>
          <w:szCs w:val="24"/>
          <w:spacing w:val="-1"/>
        </w:rPr>
        <w:t>预防为主，防治结合</w:t>
      </w:r>
      <w:r>
        <w:rPr>
          <w:rFonts w:ascii="Times New Roman" w:hAnsi="Times New Roman" w:eastAsia="Times New Roman" w:cs="Times New Roman"/>
          <w:sz w:val="24"/>
          <w:szCs w:val="24"/>
          <w:spacing w:val="-1"/>
        </w:rPr>
        <w:t>”</w:t>
      </w:r>
      <w:r>
        <w:rPr>
          <w:rFonts w:ascii="SimSun" w:hAnsi="SimSun" w:eastAsia="SimSun" w:cs="SimSun"/>
          <w:sz w:val="24"/>
          <w:szCs w:val="24"/>
          <w:spacing w:val="-1"/>
        </w:rPr>
        <w:t>的水土保持工作方针，把预防控</w:t>
      </w:r>
      <w:r>
        <w:rPr>
          <w:rFonts w:ascii="SimSun" w:hAnsi="SimSun" w:eastAsia="SimSun" w:cs="SimSun"/>
          <w:sz w:val="24"/>
          <w:szCs w:val="24"/>
        </w:rPr>
        <w:t>制放在水土保持工作的首位，尽可能地减少工程建设造成</w:t>
      </w:r>
      <w:r>
        <w:rPr>
          <w:rFonts w:ascii="SimSun" w:hAnsi="SimSun" w:eastAsia="SimSun" w:cs="SimSun"/>
          <w:sz w:val="24"/>
          <w:szCs w:val="24"/>
          <w:spacing w:val="-1"/>
        </w:rPr>
        <w:t>的水土流失。具体措施为：</w:t>
      </w:r>
    </w:p>
    <w:p>
      <w:pPr>
        <w:ind w:left="9" w:right="71" w:firstLine="498"/>
        <w:spacing w:before="2" w:line="278" w:lineRule="auto"/>
        <w:rPr>
          <w:rFonts w:ascii="SimSun" w:hAnsi="SimSun" w:eastAsia="SimSun" w:cs="SimSun"/>
          <w:sz w:val="24"/>
          <w:szCs w:val="24"/>
        </w:rPr>
      </w:pPr>
      <w:r>
        <w:rPr>
          <w:rFonts w:ascii="Times New Roman" w:hAnsi="Times New Roman" w:eastAsia="Times New Roman" w:cs="Times New Roman"/>
          <w:sz w:val="24"/>
          <w:szCs w:val="24"/>
          <w:spacing w:val="1"/>
        </w:rPr>
        <w:t>1</w:t>
      </w:r>
      <w:r>
        <w:rPr>
          <w:rFonts w:ascii="SimSun" w:hAnsi="SimSun" w:eastAsia="SimSun" w:cs="SimSun"/>
          <w:sz w:val="24"/>
          <w:szCs w:val="24"/>
          <w:spacing w:val="1"/>
        </w:rPr>
        <w:t>）建设单位应加强现场管理，工程相应活动严格控制在工程用地范围内，尽可能</w:t>
      </w:r>
      <w:r>
        <w:rPr>
          <w:rFonts w:ascii="SimSun" w:hAnsi="SimSun" w:eastAsia="SimSun" w:cs="SimSun"/>
          <w:sz w:val="24"/>
          <w:szCs w:val="24"/>
          <w:spacing w:val="-1"/>
        </w:rPr>
        <w:t>减小对周边环境的影响。</w:t>
      </w:r>
    </w:p>
    <w:p>
      <w:pPr>
        <w:ind w:left="12" w:right="78" w:firstLine="472"/>
        <w:spacing w:before="155" w:line="27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）采掘场剥离外运，场地土方平整尽可能避开暴雨天气和大风天气施工，以减少</w:t>
      </w:r>
      <w:r>
        <w:rPr>
          <w:rFonts w:ascii="SimSun" w:hAnsi="SimSun" w:eastAsia="SimSun" w:cs="SimSun"/>
          <w:sz w:val="24"/>
          <w:szCs w:val="24"/>
          <w:spacing w:val="-3"/>
        </w:rPr>
        <w:t>水土流失。</w:t>
      </w:r>
    </w:p>
    <w:p>
      <w:pPr>
        <w:ind w:left="10" w:right="66" w:firstLine="479"/>
        <w:spacing w:before="152" w:line="280"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）加强大风天气的洒水抑尘措施以及裸露面的苫</w:t>
      </w:r>
      <w:r>
        <w:rPr>
          <w:rFonts w:ascii="SimSun" w:hAnsi="SimSun" w:eastAsia="SimSun" w:cs="SimSun"/>
          <w:sz w:val="24"/>
          <w:szCs w:val="24"/>
          <w:spacing w:val="1"/>
        </w:rPr>
        <w:t>盖措施，以防止运营期主要设备</w:t>
      </w:r>
      <w:r>
        <w:rPr>
          <w:rFonts w:ascii="SimSun" w:hAnsi="SimSun" w:eastAsia="SimSun" w:cs="SimSun"/>
          <w:sz w:val="24"/>
          <w:szCs w:val="24"/>
          <w:spacing w:val="-1"/>
        </w:rPr>
        <w:t>作业过程中水土流失加剧。</w:t>
      </w:r>
    </w:p>
    <w:p>
      <w:pPr>
        <w:ind w:left="8" w:right="78" w:firstLine="475"/>
        <w:spacing w:before="155" w:line="278"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）加强扰动区域生态恢复措施，及时对扰动区域进行生态整治，并对各项生态措</w:t>
      </w:r>
      <w:r>
        <w:rPr>
          <w:rFonts w:ascii="SimSun" w:hAnsi="SimSun" w:eastAsia="SimSun" w:cs="SimSun"/>
          <w:sz w:val="24"/>
          <w:szCs w:val="24"/>
          <w:spacing w:val="-1"/>
        </w:rPr>
        <w:t>施加强管护，确保布置的各项措施发挥其水土流失防治功能。</w:t>
      </w:r>
    </w:p>
    <w:p>
      <w:pPr>
        <w:ind w:left="495"/>
        <w:spacing w:before="158"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）生态治理措施</w:t>
      </w:r>
    </w:p>
    <w:p>
      <w:pPr>
        <w:ind w:left="508"/>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5"/>
        </w:rPr>
        <w:t>1</w:t>
      </w:r>
      <w:r>
        <w:rPr>
          <w:rFonts w:ascii="SimSun" w:hAnsi="SimSun" w:eastAsia="SimSun" w:cs="SimSun"/>
          <w:sz w:val="24"/>
          <w:szCs w:val="24"/>
          <w:spacing w:val="-5"/>
        </w:rPr>
        <w:t>）内排土场</w:t>
      </w:r>
    </w:p>
    <w:p>
      <w:pPr>
        <w:ind w:left="13" w:right="63" w:firstLine="477"/>
        <w:spacing w:before="154" w:line="339" w:lineRule="auto"/>
        <w:rPr>
          <w:rFonts w:ascii="SimSun" w:hAnsi="SimSun" w:eastAsia="SimSun" w:cs="SimSun"/>
          <w:sz w:val="24"/>
          <w:szCs w:val="24"/>
        </w:rPr>
      </w:pPr>
      <w:r>
        <w:rPr>
          <w:rFonts w:ascii="SimSun" w:hAnsi="SimSun" w:eastAsia="SimSun" w:cs="SimSun"/>
          <w:sz w:val="24"/>
          <w:szCs w:val="24"/>
          <w:spacing w:val="-2"/>
        </w:rPr>
        <w:t>本矿区内排土场生态修复采取地貌重塑、土壤重构、土壤改良、植被重建等措施进</w:t>
      </w:r>
      <w:r>
        <w:rPr>
          <w:rFonts w:ascii="SimSun" w:hAnsi="SimSun" w:eastAsia="SimSun" w:cs="SimSun"/>
          <w:sz w:val="24"/>
          <w:szCs w:val="24"/>
          <w:spacing w:val="-3"/>
        </w:rPr>
        <w:t>行生态修复。</w:t>
      </w:r>
    </w:p>
    <w:p>
      <w:pPr>
        <w:ind w:left="489"/>
        <w:spacing w:line="219" w:lineRule="auto"/>
        <w:rPr>
          <w:rFonts w:ascii="SimSun" w:hAnsi="SimSun" w:eastAsia="SimSun" w:cs="SimSun"/>
          <w:sz w:val="24"/>
          <w:szCs w:val="24"/>
        </w:rPr>
      </w:pPr>
      <w:r>
        <w:rPr>
          <w:rFonts w:ascii="SimSun" w:hAnsi="SimSun" w:eastAsia="SimSun" w:cs="SimSun"/>
          <w:sz w:val="24"/>
          <w:szCs w:val="24"/>
          <w:spacing w:val="-2"/>
        </w:rPr>
        <w:t>地层重建：</w:t>
      </w:r>
    </w:p>
    <w:p>
      <w:pPr>
        <w:ind w:left="7" w:firstLine="481"/>
        <w:spacing w:before="151" w:line="339" w:lineRule="auto"/>
        <w:rPr>
          <w:rFonts w:ascii="SimSun" w:hAnsi="SimSun" w:eastAsia="SimSun" w:cs="SimSun"/>
          <w:sz w:val="24"/>
          <w:szCs w:val="24"/>
        </w:rPr>
      </w:pPr>
      <w:r>
        <w:rPr>
          <w:rFonts w:ascii="SimSun" w:hAnsi="SimSun" w:eastAsia="SimSun" w:cs="SimSun"/>
          <w:sz w:val="24"/>
          <w:szCs w:val="24"/>
          <w:spacing w:val="-2"/>
        </w:rPr>
        <w:t>排土场地层结构应与周边原始自然地层近似、衔接协调，由下至上分为基底层、堆</w:t>
      </w:r>
      <w:r>
        <w:rPr>
          <w:rFonts w:ascii="SimSun" w:hAnsi="SimSun" w:eastAsia="SimSun" w:cs="SimSun"/>
          <w:sz w:val="24"/>
          <w:szCs w:val="24"/>
          <w:spacing w:val="-6"/>
        </w:rPr>
        <w:t>置层和表土层。其中，基底层应确保其稳定性，应清除表面不利于边坡稳定的松散岩土；</w:t>
      </w:r>
      <w:r>
        <w:rPr>
          <w:rFonts w:ascii="SimSun" w:hAnsi="SimSun" w:eastAsia="SimSun" w:cs="SimSun"/>
          <w:sz w:val="24"/>
          <w:szCs w:val="24"/>
          <w:spacing w:val="-1"/>
        </w:rPr>
        <w:t>堆置层为剥离岩土主要填充层，一般按照粗</w:t>
      </w:r>
      <w:r>
        <w:rPr>
          <w:rFonts w:ascii="SimSun" w:hAnsi="SimSun" w:eastAsia="SimSun" w:cs="SimSun"/>
          <w:sz w:val="24"/>
          <w:szCs w:val="24"/>
          <w:spacing w:val="-2"/>
        </w:rPr>
        <w:t>物料在下，细物料在上的原则由下至上逐层</w:t>
      </w:r>
      <w:r>
        <w:rPr>
          <w:rFonts w:ascii="SimSun" w:hAnsi="SimSun" w:eastAsia="SimSun" w:cs="SimSun"/>
          <w:sz w:val="24"/>
          <w:szCs w:val="24"/>
          <w:spacing w:val="-1"/>
        </w:rPr>
        <w:t>压实堆置；堆置层达到设计标高后，上覆表</w:t>
      </w:r>
      <w:r>
        <w:rPr>
          <w:rFonts w:ascii="SimSun" w:hAnsi="SimSun" w:eastAsia="SimSun" w:cs="SimSun"/>
          <w:sz w:val="24"/>
          <w:szCs w:val="24"/>
          <w:spacing w:val="-2"/>
        </w:rPr>
        <w:t>土。加强对废石等伴生资源的综合利用。在</w:t>
      </w:r>
      <w:r>
        <w:rPr>
          <w:rFonts w:ascii="SimSun" w:hAnsi="SimSun" w:eastAsia="SimSun" w:cs="SimSun"/>
          <w:sz w:val="24"/>
          <w:szCs w:val="24"/>
          <w:spacing w:val="-1"/>
        </w:rPr>
        <w:t>污染防控设计的前提下，可用于排土场地层重构。</w:t>
      </w:r>
    </w:p>
    <w:p>
      <w:pPr>
        <w:ind w:left="489"/>
        <w:spacing w:before="1" w:line="218" w:lineRule="auto"/>
        <w:rPr>
          <w:rFonts w:ascii="SimSun" w:hAnsi="SimSun" w:eastAsia="SimSun" w:cs="SimSun"/>
          <w:sz w:val="24"/>
          <w:szCs w:val="24"/>
        </w:rPr>
      </w:pPr>
      <w:r>
        <w:rPr>
          <w:rFonts w:ascii="SimSun" w:hAnsi="SimSun" w:eastAsia="SimSun" w:cs="SimSun"/>
          <w:sz w:val="24"/>
          <w:szCs w:val="24"/>
          <w:spacing w:val="-2"/>
        </w:rPr>
        <w:t>微地貌控制：</w:t>
      </w:r>
    </w:p>
    <w:p>
      <w:pPr>
        <w:ind w:left="9" w:right="63" w:firstLine="481"/>
        <w:spacing w:before="155" w:line="339" w:lineRule="auto"/>
        <w:rPr>
          <w:rFonts w:ascii="SimSun" w:hAnsi="SimSun" w:eastAsia="SimSun" w:cs="SimSun"/>
          <w:sz w:val="24"/>
          <w:szCs w:val="24"/>
        </w:rPr>
      </w:pPr>
      <w:r>
        <w:rPr>
          <w:rFonts w:ascii="SimSun" w:hAnsi="SimSun" w:eastAsia="SimSun" w:cs="SimSun"/>
          <w:sz w:val="24"/>
          <w:szCs w:val="24"/>
          <w:spacing w:val="-2"/>
        </w:rPr>
        <w:t>依据排土场实际条件及复垦目标，设计设置网格状斜坡如鱼鳞坑等微地貌，以增加</w:t>
      </w:r>
      <w:r>
        <w:rPr>
          <w:rFonts w:ascii="SimSun" w:hAnsi="SimSun" w:eastAsia="SimSun" w:cs="SimSun"/>
          <w:sz w:val="24"/>
          <w:szCs w:val="24"/>
          <w:spacing w:val="-1"/>
        </w:rPr>
        <w:t>排土场坡面粗糙度，降低土壤侵蚀。</w:t>
      </w:r>
    </w:p>
    <w:p>
      <w:pPr>
        <w:ind w:left="488"/>
        <w:spacing w:line="220" w:lineRule="auto"/>
        <w:rPr>
          <w:rFonts w:ascii="SimSun" w:hAnsi="SimSun" w:eastAsia="SimSun" w:cs="SimSun"/>
          <w:sz w:val="24"/>
          <w:szCs w:val="24"/>
        </w:rPr>
      </w:pPr>
      <w:r>
        <w:rPr>
          <w:rFonts w:ascii="SimSun" w:hAnsi="SimSun" w:eastAsia="SimSun" w:cs="SimSun"/>
          <w:sz w:val="24"/>
          <w:szCs w:val="24"/>
          <w:spacing w:val="-2"/>
        </w:rPr>
        <w:t>平台及边坡治理：</w:t>
      </w:r>
    </w:p>
    <w:p>
      <w:pPr>
        <w:ind w:left="488"/>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2"/>
        </w:rPr>
        <w:t>a.</w:t>
      </w:r>
      <w:r>
        <w:rPr>
          <w:rFonts w:ascii="SimSun" w:hAnsi="SimSun" w:eastAsia="SimSun" w:cs="SimSun"/>
          <w:sz w:val="24"/>
          <w:szCs w:val="24"/>
          <w:spacing w:val="-2"/>
        </w:rPr>
        <w:t>顶部平台</w:t>
      </w:r>
    </w:p>
    <w:p>
      <w:pPr>
        <w:ind w:left="5" w:right="63" w:firstLine="484"/>
        <w:spacing w:before="157" w:line="339" w:lineRule="auto"/>
        <w:rPr>
          <w:rFonts w:ascii="SimSun" w:hAnsi="SimSun" w:eastAsia="SimSun" w:cs="SimSun"/>
          <w:sz w:val="24"/>
          <w:szCs w:val="24"/>
        </w:rPr>
      </w:pPr>
      <w:r>
        <w:rPr>
          <w:rFonts w:ascii="SimSun" w:hAnsi="SimSun" w:eastAsia="SimSun" w:cs="SimSun"/>
          <w:sz w:val="24"/>
          <w:szCs w:val="24"/>
          <w:spacing w:val="-2"/>
        </w:rPr>
        <w:t>排土场顶部平台宜根据其实际面积和用途划分成格网以控制地表径流，格子边长为</w:t>
      </w:r>
      <w:r>
        <w:rPr>
          <w:rFonts w:ascii="Times New Roman" w:hAnsi="Times New Roman" w:eastAsia="Times New Roman" w:cs="Times New Roman"/>
          <w:sz w:val="24"/>
          <w:szCs w:val="24"/>
          <w:spacing w:val="-3"/>
        </w:rPr>
        <w:t>200×200m</w:t>
      </w:r>
      <w:r>
        <w:rPr>
          <w:rFonts w:ascii="SimSun" w:hAnsi="SimSun" w:eastAsia="SimSun" w:cs="SimSun"/>
          <w:sz w:val="24"/>
          <w:szCs w:val="24"/>
          <w:spacing w:val="-3"/>
        </w:rPr>
        <w:t>，格内坡度</w:t>
      </w:r>
      <w:r>
        <w:rPr>
          <w:rFonts w:ascii="Times New Roman" w:hAnsi="Times New Roman" w:eastAsia="Times New Roman" w:cs="Times New Roman"/>
          <w:sz w:val="24"/>
          <w:szCs w:val="24"/>
          <w:spacing w:val="-3"/>
        </w:rPr>
        <w:t>≤2°</w:t>
      </w:r>
      <w:r>
        <w:rPr>
          <w:rFonts w:ascii="SimSun" w:hAnsi="SimSun" w:eastAsia="SimSun" w:cs="SimSun"/>
          <w:sz w:val="24"/>
          <w:szCs w:val="24"/>
          <w:spacing w:val="-3"/>
        </w:rPr>
        <w:t>；四周修筑道路以方便机械进场作业，方</w:t>
      </w:r>
      <w:r>
        <w:rPr>
          <w:rFonts w:ascii="SimSun" w:hAnsi="SimSun" w:eastAsia="SimSun" w:cs="SimSun"/>
          <w:sz w:val="24"/>
          <w:szCs w:val="24"/>
          <w:spacing w:val="-4"/>
        </w:rPr>
        <w:t>格外围修筑宽度为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4"/>
        </w:rPr>
        <w:t>6m</w:t>
      </w:r>
      <w:r>
        <w:rPr>
          <w:rFonts w:ascii="SimSun" w:hAnsi="SimSun" w:eastAsia="SimSun" w:cs="SimSun"/>
          <w:sz w:val="24"/>
          <w:szCs w:val="24"/>
          <w:spacing w:val="-5"/>
        </w:rPr>
        <w:t>的双向主干道，方格间修筑宽度为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5"/>
        </w:rPr>
        <w:t>的横纵单向次干道，道路应比地面高出 </w:t>
      </w:r>
      <w:r>
        <w:rPr>
          <w:rFonts w:ascii="Times New Roman" w:hAnsi="Times New Roman" w:eastAsia="Times New Roman" w:cs="Times New Roman"/>
          <w:sz w:val="24"/>
          <w:szCs w:val="24"/>
          <w:spacing w:val="-5"/>
        </w:rPr>
        <w:t>0.50m</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5"/>
        </w:rPr>
        <w:t>以</w:t>
      </w:r>
    </w:p>
    <w:p>
      <w:pPr>
        <w:spacing w:line="339" w:lineRule="auto"/>
        <w:sectPr>
          <w:headerReference w:type="default" r:id="rId492"/>
          <w:footerReference w:type="default" r:id="rId493"/>
          <w:pgSz w:w="11906" w:h="16838"/>
          <w:pgMar w:top="1114" w:right="1353" w:bottom="1080" w:left="1416" w:header="837" w:footer="918" w:gutter="0"/>
        </w:sectPr>
        <w:rPr>
          <w:rFonts w:ascii="SimSun" w:hAnsi="SimSun" w:eastAsia="SimSun" w:cs="SimSun"/>
          <w:sz w:val="24"/>
          <w:szCs w:val="24"/>
        </w:rPr>
      </w:pPr>
    </w:p>
    <w:p>
      <w:pPr>
        <w:pStyle w:val="BodyText"/>
        <w:spacing w:line="369" w:lineRule="auto"/>
        <w:rPr/>
      </w:pPr>
      <w:r/>
    </w:p>
    <w:p>
      <w:pPr>
        <w:ind w:left="8" w:firstLine="1"/>
        <w:spacing w:before="78" w:line="338" w:lineRule="auto"/>
        <w:jc w:val="both"/>
        <w:rPr>
          <w:rFonts w:ascii="SimSun" w:hAnsi="SimSun" w:eastAsia="SimSun" w:cs="SimSun"/>
          <w:sz w:val="24"/>
          <w:szCs w:val="24"/>
        </w:rPr>
      </w:pPr>
      <w:r>
        <w:rPr>
          <w:rFonts w:ascii="SimSun" w:hAnsi="SimSun" w:eastAsia="SimSun" w:cs="SimSun"/>
          <w:sz w:val="24"/>
          <w:szCs w:val="24"/>
          <w:spacing w:val="-2"/>
        </w:rPr>
        <w:t>起到隔水作用。在排土场平台边缘设计挡水围埂，避免水流冲刷边坡，在平台内部设计</w:t>
      </w:r>
      <w:r>
        <w:rPr>
          <w:rFonts w:ascii="SimSun" w:hAnsi="SimSun" w:eastAsia="SimSun" w:cs="SimSun"/>
          <w:sz w:val="24"/>
          <w:szCs w:val="24"/>
          <w:spacing w:val="-10"/>
        </w:rPr>
        <w:t>网格围埂，分块拦蓄降雨，避免产生汇流。挡水围埂采用梯形断面，顶宽</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0"/>
        </w:rPr>
        <w:t>1.0m</w:t>
      </w:r>
      <w:r>
        <w:rPr>
          <w:rFonts w:ascii="SimSun" w:hAnsi="SimSun" w:eastAsia="SimSun" w:cs="SimSun"/>
          <w:sz w:val="24"/>
          <w:szCs w:val="24"/>
          <w:spacing w:val="-10"/>
        </w:rPr>
        <w:t>，高</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0"/>
        </w:rPr>
        <w:t>1.0m</w:t>
      </w:r>
      <w:r>
        <w:rPr>
          <w:rFonts w:ascii="SimSun" w:hAnsi="SimSun" w:eastAsia="SimSun" w:cs="SimSun"/>
          <w:sz w:val="24"/>
          <w:szCs w:val="24"/>
          <w:spacing w:val="-10"/>
        </w:rPr>
        <w:t>，</w:t>
      </w:r>
      <w:r>
        <w:rPr>
          <w:rFonts w:ascii="SimSun" w:hAnsi="SimSun" w:eastAsia="SimSun" w:cs="SimSun"/>
          <w:sz w:val="24"/>
          <w:szCs w:val="24"/>
          <w:spacing w:val="-6"/>
        </w:rPr>
        <w:t>边坡比</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w:t>
      </w: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；网格围埂采用梯形断面，顶宽</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6"/>
        </w:rPr>
        <w:t>0.5m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，高</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6"/>
        </w:rPr>
        <w:t>0.5m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6"/>
        </w:rPr>
        <w:t>，边坡比</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w:t>
      </w:r>
      <w:r>
        <w:rPr>
          <w:rFonts w:ascii="Times New Roman" w:hAnsi="Times New Roman" w:eastAsia="Times New Roman" w:cs="Times New Roman"/>
          <w:sz w:val="24"/>
          <w:szCs w:val="24"/>
          <w:spacing w:val="-7"/>
        </w:rPr>
        <w:t>1</w:t>
      </w:r>
      <w:r>
        <w:rPr>
          <w:rFonts w:ascii="SimSun" w:hAnsi="SimSun" w:eastAsia="SimSun" w:cs="SimSun"/>
          <w:sz w:val="24"/>
          <w:szCs w:val="24"/>
          <w:spacing w:val="-7"/>
        </w:rPr>
        <w:t>。</w:t>
      </w:r>
    </w:p>
    <w:p>
      <w:pPr>
        <w:ind w:left="9" w:right="66" w:firstLine="479"/>
        <w:spacing w:before="1" w:line="338" w:lineRule="auto"/>
        <w:jc w:val="both"/>
        <w:rPr>
          <w:rFonts w:ascii="SimSun" w:hAnsi="SimSun" w:eastAsia="SimSun" w:cs="SimSun"/>
          <w:sz w:val="24"/>
          <w:szCs w:val="24"/>
        </w:rPr>
      </w:pPr>
      <w:r>
        <w:rPr>
          <w:rFonts w:ascii="SimSun" w:hAnsi="SimSun" w:eastAsia="SimSun" w:cs="SimSun"/>
          <w:sz w:val="24"/>
          <w:szCs w:val="24"/>
          <w:spacing w:val="-2"/>
        </w:rPr>
        <w:t>表土临时堆场设于排土场上，临时堆土场应首先建挡土围埂，然后再堆放，以减轻</w:t>
      </w:r>
      <w:r>
        <w:rPr>
          <w:rFonts w:ascii="SimSun" w:hAnsi="SimSun" w:eastAsia="SimSun" w:cs="SimSun"/>
          <w:sz w:val="24"/>
          <w:szCs w:val="24"/>
          <w:spacing w:val="-2"/>
        </w:rPr>
        <w:t>排土对周边的扰动。经过实地调查，结合相邻矿区水土流失治理的成功经验，设计采用</w:t>
      </w:r>
      <w:r>
        <w:rPr>
          <w:rFonts w:ascii="SimSun" w:hAnsi="SimSun" w:eastAsia="SimSun" w:cs="SimSun"/>
          <w:sz w:val="24"/>
          <w:szCs w:val="24"/>
          <w:spacing w:val="-3"/>
        </w:rPr>
        <w:t>土围埂。</w:t>
      </w:r>
    </w:p>
    <w:p>
      <w:pPr>
        <w:ind w:left="479"/>
        <w:spacing w:line="220" w:lineRule="auto"/>
        <w:rPr>
          <w:rFonts w:ascii="SimSun" w:hAnsi="SimSun" w:eastAsia="SimSun" w:cs="SimSun"/>
          <w:sz w:val="24"/>
          <w:szCs w:val="24"/>
        </w:rPr>
      </w:pPr>
      <w:r>
        <w:rPr>
          <w:rFonts w:ascii="Times New Roman" w:hAnsi="Times New Roman" w:eastAsia="Times New Roman" w:cs="Times New Roman"/>
          <w:sz w:val="24"/>
          <w:szCs w:val="24"/>
        </w:rPr>
        <w:t>b.</w:t>
      </w:r>
      <w:r>
        <w:rPr>
          <w:rFonts w:ascii="SimSun" w:hAnsi="SimSun" w:eastAsia="SimSun" w:cs="SimSun"/>
          <w:sz w:val="24"/>
          <w:szCs w:val="24"/>
        </w:rPr>
        <w:t>边坡</w:t>
      </w:r>
    </w:p>
    <w:p>
      <w:pPr>
        <w:ind w:left="36" w:right="66" w:firstLine="451"/>
        <w:spacing w:before="157" w:line="338" w:lineRule="auto"/>
        <w:rPr>
          <w:rFonts w:ascii="SimSun" w:hAnsi="SimSun" w:eastAsia="SimSun" w:cs="SimSun"/>
          <w:sz w:val="24"/>
          <w:szCs w:val="24"/>
        </w:rPr>
      </w:pPr>
      <w:r>
        <w:rPr>
          <w:rFonts w:ascii="SimSun" w:hAnsi="SimSun" w:eastAsia="SimSun" w:cs="SimSun"/>
          <w:sz w:val="24"/>
          <w:szCs w:val="24"/>
          <w:spacing w:val="-2"/>
        </w:rPr>
        <w:t>对排土场台阶边坡进行修整、坡度应满足《内蒙古自治区人民政府办公厅关于印发</w:t>
      </w:r>
      <w:r>
        <w:rPr>
          <w:rFonts w:ascii="SimSun" w:hAnsi="SimSun" w:eastAsia="SimSun" w:cs="SimSun"/>
          <w:sz w:val="24"/>
          <w:szCs w:val="24"/>
          <w:spacing w:val="-3"/>
        </w:rPr>
        <w:t>自治区矿山环境治理实施方案的通知》（内政办字〔</w:t>
      </w:r>
      <w:r>
        <w:rPr>
          <w:rFonts w:ascii="Times New Roman" w:hAnsi="Times New Roman" w:eastAsia="Times New Roman" w:cs="Times New Roman"/>
          <w:sz w:val="24"/>
          <w:szCs w:val="24"/>
          <w:spacing w:val="-3"/>
        </w:rPr>
        <w:t>2020</w:t>
      </w:r>
      <w:r>
        <w:rPr>
          <w:rFonts w:ascii="SimSun" w:hAnsi="SimSun" w:eastAsia="SimSun" w:cs="SimSun"/>
          <w:sz w:val="24"/>
          <w:szCs w:val="24"/>
          <w:spacing w:val="-3"/>
        </w:rPr>
        <w:t>〕</w:t>
      </w:r>
      <w:r>
        <w:rPr>
          <w:rFonts w:ascii="Times New Roman" w:hAnsi="Times New Roman" w:eastAsia="Times New Roman" w:cs="Times New Roman"/>
          <w:sz w:val="24"/>
          <w:szCs w:val="24"/>
          <w:spacing w:val="-3"/>
        </w:rPr>
        <w:t>56  </w:t>
      </w:r>
      <w:r>
        <w:rPr>
          <w:rFonts w:ascii="SimSun" w:hAnsi="SimSun" w:eastAsia="SimSun" w:cs="SimSun"/>
          <w:sz w:val="24"/>
          <w:szCs w:val="24"/>
          <w:spacing w:val="-3"/>
        </w:rPr>
        <w:t>号）的要求、控制在</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25°</w:t>
      </w:r>
      <w:r>
        <w:rPr>
          <w:rFonts w:ascii="SimSun" w:hAnsi="SimSun" w:eastAsia="SimSun" w:cs="SimSun"/>
          <w:sz w:val="24"/>
          <w:szCs w:val="24"/>
          <w:spacing w:val="-1"/>
        </w:rPr>
        <w:t>以下。在排土场边坡布置沙柳网格、网格内种植灌木和草本植物，起护坡</w:t>
      </w:r>
      <w:r>
        <w:rPr>
          <w:rFonts w:ascii="SimSun" w:hAnsi="SimSun" w:eastAsia="SimSun" w:cs="SimSun"/>
          <w:sz w:val="24"/>
          <w:szCs w:val="24"/>
          <w:spacing w:val="-2"/>
        </w:rPr>
        <w:t>作用。</w:t>
      </w:r>
    </w:p>
    <w:p>
      <w:pPr>
        <w:ind w:left="7" w:right="66" w:firstLine="483"/>
        <w:spacing w:line="282" w:lineRule="auto"/>
        <w:rPr>
          <w:rFonts w:ascii="SimSun" w:hAnsi="SimSun" w:eastAsia="SimSun" w:cs="SimSun"/>
          <w:sz w:val="24"/>
          <w:szCs w:val="24"/>
        </w:rPr>
      </w:pPr>
      <w:r>
        <w:rPr>
          <w:rFonts w:ascii="SimSun" w:hAnsi="SimSun" w:eastAsia="SimSun" w:cs="SimSun"/>
          <w:sz w:val="24"/>
          <w:szCs w:val="24"/>
          <w:spacing w:val="-4"/>
        </w:rPr>
        <w:t>沙柳网格护坡，方格网尺寸为</w:t>
      </w:r>
      <w:r>
        <w:rPr>
          <w:rFonts w:ascii="SimSun" w:hAnsi="SimSun" w:eastAsia="SimSun" w:cs="SimSun"/>
          <w:sz w:val="24"/>
          <w:szCs w:val="24"/>
          <w:spacing w:val="-19"/>
        </w:rPr>
        <w:t xml:space="preserve"> </w:t>
      </w:r>
      <w:r>
        <w:rPr>
          <w:rFonts w:ascii="Times New Roman" w:hAnsi="Times New Roman" w:eastAsia="Times New Roman" w:cs="Times New Roman"/>
          <w:sz w:val="24"/>
          <w:szCs w:val="24"/>
          <w:spacing w:val="-4"/>
        </w:rPr>
        <w:t>120cm×120cm</w:t>
      </w:r>
      <w:r>
        <w:rPr>
          <w:rFonts w:ascii="SimSun" w:hAnsi="SimSun" w:eastAsia="SimSun" w:cs="SimSun"/>
          <w:sz w:val="24"/>
          <w:szCs w:val="24"/>
          <w:spacing w:val="-4"/>
        </w:rPr>
        <w:t>，然后种植沙柳、沙棘、播撒紫花苜蓿</w:t>
      </w:r>
      <w:r>
        <w:rPr>
          <w:rFonts w:ascii="SimSun" w:hAnsi="SimSun" w:eastAsia="SimSun" w:cs="SimSun"/>
          <w:sz w:val="24"/>
          <w:szCs w:val="24"/>
          <w:spacing w:val="-2"/>
        </w:rPr>
        <w:t>进行护坡。</w:t>
      </w:r>
    </w:p>
    <w:p>
      <w:pPr>
        <w:ind w:firstLine="1646"/>
        <w:spacing w:line="5732" w:lineRule="exact"/>
        <w:rPr/>
      </w:pPr>
      <w:r>
        <w:rPr>
          <w:position w:val="-114"/>
        </w:rPr>
        <w:drawing>
          <wp:inline distT="0" distB="0" distL="0" distR="0">
            <wp:extent cx="3666744" cy="3639311"/>
            <wp:effectExtent l="0" t="0" r="0" b="0"/>
            <wp:docPr id="324" name="IM 324"/>
            <wp:cNvGraphicFramePr/>
            <a:graphic>
              <a:graphicData uri="http://schemas.openxmlformats.org/drawingml/2006/picture">
                <pic:pic>
                  <pic:nvPicPr>
                    <pic:cNvPr id="324" name="IM 324"/>
                    <pic:cNvPicPr/>
                  </pic:nvPicPr>
                  <pic:blipFill>
                    <a:blip r:embed="rId496"/>
                    <a:stretch>
                      <a:fillRect/>
                    </a:stretch>
                  </pic:blipFill>
                  <pic:spPr>
                    <a:xfrm rot="0">
                      <a:off x="0" y="0"/>
                      <a:ext cx="3666744" cy="3639311"/>
                    </a:xfrm>
                    <a:prstGeom prst="rect">
                      <a:avLst/>
                    </a:prstGeom>
                  </pic:spPr>
                </pic:pic>
              </a:graphicData>
            </a:graphic>
          </wp:inline>
        </w:drawing>
      </w:r>
    </w:p>
    <w:p>
      <w:pPr>
        <w:ind w:left="2831"/>
        <w:spacing w:before="201"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45"/>
        </w:rPr>
        <w:t xml:space="preserve"> </w:t>
      </w:r>
      <w:r>
        <w:rPr>
          <w:rFonts w:ascii="Times New Roman" w:hAnsi="Times New Roman" w:eastAsia="Times New Roman" w:cs="Times New Roman"/>
          <w:sz w:val="24"/>
          <w:szCs w:val="24"/>
          <w:spacing w:val="-2"/>
        </w:rPr>
        <w:t>7-1-1    </w:t>
      </w:r>
      <w:r>
        <w:rPr>
          <w:rFonts w:ascii="SimHei" w:hAnsi="SimHei" w:eastAsia="SimHei" w:cs="SimHei"/>
          <w:sz w:val="24"/>
          <w:szCs w:val="24"/>
          <w:spacing w:val="-2"/>
        </w:rPr>
        <w:t>排土场边坡沙柳网格设计图</w:t>
      </w:r>
    </w:p>
    <w:p>
      <w:pPr>
        <w:ind w:left="488"/>
        <w:spacing w:before="283" w:line="219" w:lineRule="auto"/>
        <w:rPr>
          <w:rFonts w:ascii="SimSun" w:hAnsi="SimSun" w:eastAsia="SimSun" w:cs="SimSun"/>
          <w:sz w:val="24"/>
          <w:szCs w:val="24"/>
        </w:rPr>
      </w:pPr>
      <w:r>
        <w:rPr>
          <w:rFonts w:ascii="Times New Roman" w:hAnsi="Times New Roman" w:eastAsia="Times New Roman" w:cs="Times New Roman"/>
          <w:sz w:val="24"/>
          <w:szCs w:val="24"/>
          <w:spacing w:val="-1"/>
        </w:rPr>
        <w:t>c.</w:t>
      </w:r>
      <w:r>
        <w:rPr>
          <w:rFonts w:ascii="SimSun" w:hAnsi="SimSun" w:eastAsia="SimSun" w:cs="SimSun"/>
          <w:sz w:val="24"/>
          <w:szCs w:val="24"/>
          <w:spacing w:val="-1"/>
        </w:rPr>
        <w:t>截排水设计</w:t>
      </w:r>
    </w:p>
    <w:p>
      <w:pPr>
        <w:ind w:left="9" w:right="66" w:firstLine="482"/>
        <w:spacing w:before="159" w:line="339" w:lineRule="auto"/>
        <w:rPr>
          <w:rFonts w:ascii="SimSun" w:hAnsi="SimSun" w:eastAsia="SimSun" w:cs="SimSun"/>
          <w:sz w:val="24"/>
          <w:szCs w:val="24"/>
        </w:rPr>
      </w:pPr>
      <w:r>
        <w:rPr>
          <w:rFonts w:ascii="SimSun" w:hAnsi="SimSun" w:eastAsia="SimSun" w:cs="SimSun"/>
          <w:sz w:val="24"/>
          <w:szCs w:val="24"/>
          <w:spacing w:val="-2"/>
        </w:rPr>
        <w:t>为避免雨季降雨引起的水土流失，需在顶部平台构建近地表蓄水层，有利于植物生</w:t>
      </w:r>
      <w:r>
        <w:rPr>
          <w:rFonts w:ascii="SimSun" w:hAnsi="SimSun" w:eastAsia="SimSun" w:cs="SimSun"/>
          <w:sz w:val="24"/>
          <w:szCs w:val="24"/>
          <w:spacing w:val="-2"/>
        </w:rPr>
        <w:t>长所需的土壤水补给。此外，还可在坡面和台阶平台构建排水沟槽，上下相邻台阶间应</w:t>
      </w:r>
      <w:r>
        <w:rPr>
          <w:rFonts w:ascii="SimSun" w:hAnsi="SimSun" w:eastAsia="SimSun" w:cs="SimSun"/>
          <w:sz w:val="24"/>
          <w:szCs w:val="24"/>
          <w:spacing w:val="-2"/>
        </w:rPr>
        <w:t>做到一级一排，逐级排水，切忌一级多排，或越级排水，排水沟采用水泥砂浆抹面，断</w:t>
      </w:r>
      <w:r>
        <w:rPr>
          <w:rFonts w:ascii="SimSun" w:hAnsi="SimSun" w:eastAsia="SimSun" w:cs="SimSun"/>
          <w:sz w:val="24"/>
          <w:szCs w:val="24"/>
          <w:spacing w:val="-2"/>
        </w:rPr>
        <w:t>面采用梯形断面，在排土场坡脚处设置蓄水池，用于收集雨水及排土场排水。在排土场</w:t>
      </w:r>
    </w:p>
    <w:p>
      <w:pPr>
        <w:spacing w:line="339" w:lineRule="auto"/>
        <w:sectPr>
          <w:headerReference w:type="default" r:id="rId494"/>
          <w:footerReference w:type="default" r:id="rId495"/>
          <w:pgSz w:w="11906" w:h="16838"/>
          <w:pgMar w:top="1114" w:right="1351" w:bottom="1080" w:left="1416" w:header="837" w:footer="918" w:gutter="0"/>
        </w:sectPr>
        <w:rPr>
          <w:rFonts w:ascii="SimSun" w:hAnsi="SimSun" w:eastAsia="SimSun" w:cs="SimSun"/>
          <w:sz w:val="24"/>
          <w:szCs w:val="24"/>
        </w:rPr>
      </w:pPr>
    </w:p>
    <w:p>
      <w:pPr>
        <w:pStyle w:val="BodyText"/>
        <w:spacing w:line="369" w:lineRule="auto"/>
        <w:rPr/>
      </w:pPr>
      <w:r/>
    </w:p>
    <w:p>
      <w:pPr>
        <w:ind w:left="8" w:firstLine="3"/>
        <w:spacing w:before="78" w:line="301" w:lineRule="auto"/>
        <w:jc w:val="both"/>
        <w:rPr>
          <w:rFonts w:ascii="SimSun" w:hAnsi="SimSun" w:eastAsia="SimSun" w:cs="SimSun"/>
          <w:sz w:val="24"/>
          <w:szCs w:val="24"/>
        </w:rPr>
      </w:pPr>
      <w:r>
        <w:rPr>
          <w:rFonts w:ascii="SimSun" w:hAnsi="SimSun" w:eastAsia="SimSun" w:cs="SimSun"/>
          <w:sz w:val="24"/>
          <w:szCs w:val="24"/>
          <w:spacing w:val="-2"/>
        </w:rPr>
        <w:t>各级平台边缘修筑挡水围埂，拦截平台积水，防止雨水沿边坡面径流造成冲刷滑坡。在</w:t>
      </w:r>
      <w:r>
        <w:rPr>
          <w:rFonts w:ascii="SimSun" w:hAnsi="SimSun" w:eastAsia="SimSun" w:cs="SimSun"/>
          <w:sz w:val="24"/>
          <w:szCs w:val="24"/>
          <w:spacing w:val="-1"/>
        </w:rPr>
        <w:t>平台内侧修筑排水沟，坡面每间隔</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200m</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设急流槽一道。将排土场斜坡及平台汇水引入</w:t>
      </w:r>
      <w:r>
        <w:rPr>
          <w:rFonts w:ascii="SimSun" w:hAnsi="SimSun" w:eastAsia="SimSun" w:cs="SimSun"/>
          <w:sz w:val="24"/>
          <w:szCs w:val="24"/>
          <w:spacing w:val="-2"/>
        </w:rPr>
        <w:t>两侧的急流槽。</w:t>
      </w:r>
    </w:p>
    <w:p>
      <w:pPr>
        <w:ind w:firstLine="1055"/>
        <w:spacing w:line="2894" w:lineRule="exact"/>
        <w:rPr/>
      </w:pPr>
      <w:r>
        <w:rPr>
          <w:position w:val="-57"/>
        </w:rPr>
        <w:drawing>
          <wp:inline distT="0" distB="0" distL="0" distR="0">
            <wp:extent cx="4724400" cy="1837944"/>
            <wp:effectExtent l="0" t="0" r="0" b="0"/>
            <wp:docPr id="326" name="IM 326"/>
            <wp:cNvGraphicFramePr/>
            <a:graphic>
              <a:graphicData uri="http://schemas.openxmlformats.org/drawingml/2006/picture">
                <pic:pic>
                  <pic:nvPicPr>
                    <pic:cNvPr id="326" name="IM 326"/>
                    <pic:cNvPicPr/>
                  </pic:nvPicPr>
                  <pic:blipFill>
                    <a:blip r:embed="rId498"/>
                    <a:stretch>
                      <a:fillRect/>
                    </a:stretch>
                  </pic:blipFill>
                  <pic:spPr>
                    <a:xfrm rot="0">
                      <a:off x="0" y="0"/>
                      <a:ext cx="4724400" cy="1837944"/>
                    </a:xfrm>
                    <a:prstGeom prst="rect">
                      <a:avLst/>
                    </a:prstGeom>
                  </pic:spPr>
                </pic:pic>
              </a:graphicData>
            </a:graphic>
          </wp:inline>
        </w:drawing>
      </w:r>
    </w:p>
    <w:p>
      <w:pPr>
        <w:ind w:left="2711"/>
        <w:spacing w:before="318" w:line="222"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43"/>
        </w:rPr>
        <w:t xml:space="preserve"> </w:t>
      </w:r>
      <w:r>
        <w:rPr>
          <w:rFonts w:ascii="Times New Roman" w:hAnsi="Times New Roman" w:eastAsia="Times New Roman" w:cs="Times New Roman"/>
          <w:sz w:val="24"/>
          <w:szCs w:val="24"/>
          <w:spacing w:val="-2"/>
        </w:rPr>
        <w:t>7-1-2    </w:t>
      </w:r>
      <w:r>
        <w:rPr>
          <w:rFonts w:ascii="SimHei" w:hAnsi="SimHei" w:eastAsia="SimHei" w:cs="SimHei"/>
          <w:sz w:val="24"/>
          <w:szCs w:val="24"/>
          <w:spacing w:val="-2"/>
        </w:rPr>
        <w:t>排水沟及挡土围梗剖面示意图</w:t>
      </w:r>
    </w:p>
    <w:p>
      <w:pPr>
        <w:ind w:left="490"/>
        <w:spacing w:before="283" w:line="220" w:lineRule="auto"/>
        <w:rPr>
          <w:rFonts w:ascii="SimSun" w:hAnsi="SimSun" w:eastAsia="SimSun" w:cs="SimSun"/>
          <w:sz w:val="24"/>
          <w:szCs w:val="24"/>
        </w:rPr>
      </w:pPr>
      <w:r>
        <w:rPr>
          <w:rFonts w:ascii="SimSun" w:hAnsi="SimSun" w:eastAsia="SimSun" w:cs="SimSun"/>
          <w:sz w:val="24"/>
          <w:szCs w:val="24"/>
          <w:spacing w:val="-3"/>
        </w:rPr>
        <w:t>土壤重构：</w:t>
      </w:r>
    </w:p>
    <w:p>
      <w:pPr>
        <w:ind w:left="10" w:firstLine="479"/>
        <w:spacing w:before="154" w:line="336" w:lineRule="auto"/>
        <w:rPr>
          <w:rFonts w:ascii="SimSun" w:hAnsi="SimSun" w:eastAsia="SimSun" w:cs="SimSun"/>
          <w:sz w:val="24"/>
          <w:szCs w:val="24"/>
        </w:rPr>
      </w:pPr>
      <w:r>
        <w:rPr>
          <w:rFonts w:ascii="SimSun" w:hAnsi="SimSun" w:eastAsia="SimSun" w:cs="SimSun"/>
          <w:sz w:val="24"/>
          <w:szCs w:val="24"/>
          <w:spacing w:val="-2"/>
        </w:rPr>
        <w:t>通过对剥离表土的回填工艺重构土壤，宜沿等高线方向进行重构，以增加表土持水</w:t>
      </w:r>
      <w:r>
        <w:rPr>
          <w:rFonts w:ascii="SimSun" w:hAnsi="SimSun" w:eastAsia="SimSun" w:cs="SimSun"/>
          <w:sz w:val="24"/>
          <w:szCs w:val="24"/>
          <w:spacing w:val="-3"/>
        </w:rPr>
        <w:t>能力、减少土壤侵蚀；草地覆土厚度</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40cm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，林地覆土厚度</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60cm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，满足《矿山生态环境</w:t>
      </w:r>
      <w:r>
        <w:rPr>
          <w:rFonts w:ascii="SimSun" w:hAnsi="SimSun" w:eastAsia="SimSun" w:cs="SimSun"/>
          <w:sz w:val="24"/>
          <w:szCs w:val="24"/>
          <w:spacing w:val="-1"/>
        </w:rPr>
        <w:t>保护与恢复治理技术规范》</w:t>
      </w:r>
      <w:r>
        <w:rPr>
          <w:rFonts w:ascii="Times New Roman" w:hAnsi="Times New Roman" w:eastAsia="Times New Roman" w:cs="Times New Roman"/>
          <w:sz w:val="24"/>
          <w:szCs w:val="24"/>
          <w:spacing w:val="-1"/>
        </w:rPr>
        <w:t>(HJ 651-2013)  </w:t>
      </w:r>
      <w:r>
        <w:rPr>
          <w:rFonts w:ascii="SimSun" w:hAnsi="SimSun" w:eastAsia="SimSun" w:cs="SimSun"/>
          <w:sz w:val="24"/>
          <w:szCs w:val="24"/>
          <w:spacing w:val="-1"/>
        </w:rPr>
        <w:t>（试行）和《土地复垦质量控制标准》</w:t>
      </w:r>
      <w:r>
        <w:rPr>
          <w:rFonts w:ascii="Times New Roman" w:hAnsi="Times New Roman" w:eastAsia="Times New Roman" w:cs="Times New Roman"/>
          <w:sz w:val="24"/>
          <w:szCs w:val="24"/>
          <w:spacing w:val="-1"/>
        </w:rPr>
        <w:t>(TD/T</w:t>
      </w:r>
      <w:r>
        <w:rPr>
          <w:rFonts w:ascii="Times New Roman" w:hAnsi="Times New Roman" w:eastAsia="Times New Roman" w:cs="Times New Roman"/>
          <w:sz w:val="24"/>
          <w:szCs w:val="24"/>
          <w:spacing w:val="7"/>
        </w:rPr>
        <w:t xml:space="preserve"> </w:t>
      </w:r>
      <w:r>
        <w:rPr>
          <w:rFonts w:ascii="Times New Roman" w:hAnsi="Times New Roman" w:eastAsia="Times New Roman" w:cs="Times New Roman"/>
          <w:sz w:val="24"/>
          <w:szCs w:val="24"/>
          <w:spacing w:val="-1"/>
        </w:rPr>
        <w:t>1036-2013)  </w:t>
      </w:r>
      <w:r>
        <w:rPr>
          <w:rFonts w:ascii="SimSun" w:hAnsi="SimSun" w:eastAsia="SimSun" w:cs="SimSun"/>
          <w:sz w:val="24"/>
          <w:szCs w:val="24"/>
          <w:spacing w:val="-1"/>
        </w:rPr>
        <w:t>。</w:t>
      </w:r>
    </w:p>
    <w:p>
      <w:pPr>
        <w:ind w:left="491"/>
        <w:spacing w:before="14" w:line="219" w:lineRule="auto"/>
        <w:rPr>
          <w:rFonts w:ascii="SimSun" w:hAnsi="SimSun" w:eastAsia="SimSun" w:cs="SimSun"/>
          <w:sz w:val="24"/>
          <w:szCs w:val="24"/>
        </w:rPr>
      </w:pPr>
      <w:r>
        <w:rPr>
          <w:rFonts w:ascii="SimSun" w:hAnsi="SimSun" w:eastAsia="SimSun" w:cs="SimSun"/>
          <w:sz w:val="24"/>
          <w:szCs w:val="24"/>
          <w:spacing w:val="-2"/>
        </w:rPr>
        <w:t>草地生态恢复标准：</w:t>
      </w:r>
    </w:p>
    <w:p>
      <w:pPr>
        <w:ind w:left="490"/>
        <w:spacing w:before="154" w:line="220" w:lineRule="auto"/>
        <w:rPr>
          <w:rFonts w:ascii="SimSun" w:hAnsi="SimSun" w:eastAsia="SimSun" w:cs="SimSun"/>
          <w:sz w:val="24"/>
          <w:szCs w:val="24"/>
        </w:rPr>
      </w:pPr>
      <w:r>
        <w:rPr>
          <w:rFonts w:ascii="SimSun" w:hAnsi="SimSun" w:eastAsia="SimSun" w:cs="SimSun"/>
          <w:sz w:val="24"/>
          <w:szCs w:val="24"/>
          <w:spacing w:val="-1"/>
        </w:rPr>
        <w:t>土壤厚度，覆土厚度</w:t>
      </w:r>
      <w:r>
        <w:rPr>
          <w:rFonts w:ascii="Times New Roman" w:hAnsi="Times New Roman" w:eastAsia="Times New Roman" w:cs="Times New Roman"/>
          <w:sz w:val="24"/>
          <w:szCs w:val="24"/>
          <w:spacing w:val="-1"/>
        </w:rPr>
        <w:t>≥40cm</w:t>
      </w:r>
      <w:r>
        <w:rPr>
          <w:rFonts w:ascii="SimSun" w:hAnsi="SimSun" w:eastAsia="SimSun" w:cs="SimSun"/>
          <w:sz w:val="24"/>
          <w:szCs w:val="24"/>
          <w:spacing w:val="-1"/>
        </w:rPr>
        <w:t>。</w:t>
      </w:r>
    </w:p>
    <w:p>
      <w:pPr>
        <w:ind w:left="490"/>
        <w:spacing w:before="153" w:line="212" w:lineRule="auto"/>
        <w:rPr>
          <w:rFonts w:ascii="SimSun" w:hAnsi="SimSun" w:eastAsia="SimSun" w:cs="SimSun"/>
          <w:sz w:val="24"/>
          <w:szCs w:val="24"/>
        </w:rPr>
      </w:pPr>
      <w:r>
        <w:rPr>
          <w:rFonts w:ascii="SimSun" w:hAnsi="SimSun" w:eastAsia="SimSun" w:cs="SimSun"/>
          <w:sz w:val="24"/>
          <w:szCs w:val="24"/>
          <w:spacing w:val="-1"/>
        </w:rPr>
        <w:t>土壤酸碱度，覆土层土壤</w:t>
      </w:r>
      <w:r>
        <w:rPr>
          <w:rFonts w:ascii="SimSun" w:hAnsi="SimSun" w:eastAsia="SimSun" w:cs="SimSun"/>
          <w:sz w:val="24"/>
          <w:szCs w:val="24"/>
          <w:spacing w:val="-60"/>
        </w:rPr>
        <w:t xml:space="preserve"> </w:t>
      </w:r>
      <w:r>
        <w:rPr>
          <w:rFonts w:ascii="Times New Roman" w:hAnsi="Times New Roman" w:eastAsia="Times New Roman" w:cs="Times New Roman"/>
          <w:sz w:val="24"/>
          <w:szCs w:val="24"/>
          <w:spacing w:val="-1"/>
        </w:rPr>
        <w:t>pH </w:t>
      </w:r>
      <w:r>
        <w:rPr>
          <w:rFonts w:ascii="SimSun" w:hAnsi="SimSun" w:eastAsia="SimSun" w:cs="SimSun"/>
          <w:sz w:val="24"/>
          <w:szCs w:val="24"/>
          <w:spacing w:val="-1"/>
        </w:rPr>
        <w:t>值维持在</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1"/>
        </w:rPr>
        <w:t>8.0 </w:t>
      </w:r>
      <w:r>
        <w:rPr>
          <w:rFonts w:ascii="SimSun" w:hAnsi="SimSun" w:eastAsia="SimSun" w:cs="SimSun"/>
          <w:sz w:val="24"/>
          <w:szCs w:val="24"/>
          <w:spacing w:val="-1"/>
        </w:rPr>
        <w:t>左右。</w:t>
      </w:r>
    </w:p>
    <w:p>
      <w:pPr>
        <w:ind w:left="489"/>
        <w:spacing w:before="166" w:line="219" w:lineRule="auto"/>
        <w:rPr>
          <w:rFonts w:ascii="SimSun" w:hAnsi="SimSun" w:eastAsia="SimSun" w:cs="SimSun"/>
          <w:sz w:val="24"/>
          <w:szCs w:val="24"/>
        </w:rPr>
      </w:pPr>
      <w:r>
        <w:rPr>
          <w:rFonts w:ascii="SimSun" w:hAnsi="SimSun" w:eastAsia="SimSun" w:cs="SimSun"/>
          <w:sz w:val="24"/>
          <w:szCs w:val="24"/>
          <w:spacing w:val="-1"/>
        </w:rPr>
        <w:t>适宜植物，紫花苜蓿、沙打旺。</w:t>
      </w:r>
    </w:p>
    <w:p>
      <w:pPr>
        <w:ind w:left="492"/>
        <w:spacing w:before="155" w:line="219" w:lineRule="auto"/>
        <w:rPr>
          <w:rFonts w:ascii="SimSun" w:hAnsi="SimSun" w:eastAsia="SimSun" w:cs="SimSun"/>
          <w:sz w:val="24"/>
          <w:szCs w:val="24"/>
        </w:rPr>
      </w:pPr>
      <w:r>
        <w:rPr>
          <w:rFonts w:ascii="SimSun" w:hAnsi="SimSun" w:eastAsia="SimSun" w:cs="SimSun"/>
          <w:sz w:val="24"/>
          <w:szCs w:val="24"/>
          <w:spacing w:val="-1"/>
        </w:rPr>
        <w:t>灌溉水源，处理后的坑内排水、生活污水。</w:t>
      </w:r>
    </w:p>
    <w:p>
      <w:pPr>
        <w:ind w:left="490"/>
        <w:spacing w:before="154" w:line="219" w:lineRule="auto"/>
        <w:rPr>
          <w:rFonts w:ascii="SimSun" w:hAnsi="SimSun" w:eastAsia="SimSun" w:cs="SimSun"/>
          <w:sz w:val="24"/>
          <w:szCs w:val="24"/>
        </w:rPr>
      </w:pPr>
      <w:r>
        <w:rPr>
          <w:rFonts w:ascii="SimSun" w:hAnsi="SimSun" w:eastAsia="SimSun" w:cs="SimSun"/>
          <w:sz w:val="24"/>
          <w:szCs w:val="24"/>
          <w:spacing w:val="-2"/>
        </w:rPr>
        <w:t>林地生态恢复标准：</w:t>
      </w:r>
    </w:p>
    <w:p>
      <w:pPr>
        <w:ind w:left="490"/>
        <w:spacing w:before="157" w:line="220" w:lineRule="auto"/>
        <w:rPr>
          <w:rFonts w:ascii="SimSun" w:hAnsi="SimSun" w:eastAsia="SimSun" w:cs="SimSun"/>
          <w:sz w:val="24"/>
          <w:szCs w:val="24"/>
        </w:rPr>
      </w:pPr>
      <w:r>
        <w:rPr>
          <w:rFonts w:ascii="SimSun" w:hAnsi="SimSun" w:eastAsia="SimSun" w:cs="SimSun"/>
          <w:sz w:val="24"/>
          <w:szCs w:val="24"/>
          <w:spacing w:val="-1"/>
        </w:rPr>
        <w:t>土壤厚度，覆土厚度</w:t>
      </w:r>
      <w:r>
        <w:rPr>
          <w:rFonts w:ascii="Times New Roman" w:hAnsi="Times New Roman" w:eastAsia="Times New Roman" w:cs="Times New Roman"/>
          <w:sz w:val="24"/>
          <w:szCs w:val="24"/>
          <w:spacing w:val="-1"/>
        </w:rPr>
        <w:t>≥60cm</w:t>
      </w:r>
      <w:r>
        <w:rPr>
          <w:rFonts w:ascii="SimSun" w:hAnsi="SimSun" w:eastAsia="SimSun" w:cs="SimSun"/>
          <w:sz w:val="24"/>
          <w:szCs w:val="24"/>
          <w:spacing w:val="-1"/>
        </w:rPr>
        <w:t>。</w:t>
      </w:r>
    </w:p>
    <w:p>
      <w:pPr>
        <w:ind w:left="490"/>
        <w:spacing w:before="153" w:line="212" w:lineRule="auto"/>
        <w:rPr>
          <w:rFonts w:ascii="SimSun" w:hAnsi="SimSun" w:eastAsia="SimSun" w:cs="SimSun"/>
          <w:sz w:val="24"/>
          <w:szCs w:val="24"/>
        </w:rPr>
      </w:pPr>
      <w:r>
        <w:rPr>
          <w:rFonts w:ascii="SimSun" w:hAnsi="SimSun" w:eastAsia="SimSun" w:cs="SimSun"/>
          <w:sz w:val="24"/>
          <w:szCs w:val="24"/>
        </w:rPr>
        <w:t>土壤酸碱度，覆土层土壤 </w:t>
      </w:r>
      <w:r>
        <w:rPr>
          <w:rFonts w:ascii="Times New Roman" w:hAnsi="Times New Roman" w:eastAsia="Times New Roman" w:cs="Times New Roman"/>
          <w:sz w:val="24"/>
          <w:szCs w:val="24"/>
        </w:rPr>
        <w:t>pH  </w:t>
      </w:r>
      <w:r>
        <w:rPr>
          <w:rFonts w:ascii="SimSun" w:hAnsi="SimSun" w:eastAsia="SimSun" w:cs="SimSun"/>
          <w:sz w:val="24"/>
          <w:szCs w:val="24"/>
        </w:rPr>
        <w:t>值维持</w:t>
      </w:r>
      <w:r>
        <w:rPr>
          <w:rFonts w:ascii="SimSun" w:hAnsi="SimSun" w:eastAsia="SimSun" w:cs="SimSun"/>
          <w:sz w:val="24"/>
          <w:szCs w:val="24"/>
          <w:spacing w:val="-1"/>
        </w:rPr>
        <w:t>在 </w:t>
      </w:r>
      <w:r>
        <w:rPr>
          <w:rFonts w:ascii="Times New Roman" w:hAnsi="Times New Roman" w:eastAsia="Times New Roman" w:cs="Times New Roman"/>
          <w:sz w:val="24"/>
          <w:szCs w:val="24"/>
          <w:spacing w:val="-1"/>
        </w:rPr>
        <w:t>8.0  </w:t>
      </w:r>
      <w:r>
        <w:rPr>
          <w:rFonts w:ascii="SimSun" w:hAnsi="SimSun" w:eastAsia="SimSun" w:cs="SimSun"/>
          <w:sz w:val="24"/>
          <w:szCs w:val="24"/>
          <w:spacing w:val="-1"/>
        </w:rPr>
        <w:t>左右。</w:t>
      </w:r>
    </w:p>
    <w:p>
      <w:pPr>
        <w:ind w:left="489"/>
        <w:spacing w:before="163" w:line="219" w:lineRule="auto"/>
        <w:rPr>
          <w:rFonts w:ascii="SimSun" w:hAnsi="SimSun" w:eastAsia="SimSun" w:cs="SimSun"/>
          <w:sz w:val="24"/>
          <w:szCs w:val="24"/>
        </w:rPr>
      </w:pPr>
      <w:r>
        <w:rPr>
          <w:rFonts w:ascii="SimSun" w:hAnsi="SimSun" w:eastAsia="SimSun" w:cs="SimSun"/>
          <w:sz w:val="24"/>
          <w:szCs w:val="24"/>
          <w:spacing w:val="-1"/>
        </w:rPr>
        <w:t>适宜植物，柠条锦鸡儿、沙棘、沙柳、樟子松。</w:t>
      </w:r>
    </w:p>
    <w:p>
      <w:pPr>
        <w:ind w:left="492"/>
        <w:spacing w:before="158" w:line="219" w:lineRule="auto"/>
        <w:rPr>
          <w:rFonts w:ascii="SimSun" w:hAnsi="SimSun" w:eastAsia="SimSun" w:cs="SimSun"/>
          <w:sz w:val="24"/>
          <w:szCs w:val="24"/>
        </w:rPr>
      </w:pPr>
      <w:r>
        <w:rPr>
          <w:rFonts w:ascii="SimSun" w:hAnsi="SimSun" w:eastAsia="SimSun" w:cs="SimSun"/>
          <w:sz w:val="24"/>
          <w:szCs w:val="24"/>
          <w:spacing w:val="-1"/>
        </w:rPr>
        <w:t>灌溉水源，处理后的坑内排水、生活污水。</w:t>
      </w:r>
    </w:p>
    <w:p>
      <w:pPr>
        <w:ind w:left="495"/>
        <w:spacing w:before="155" w:line="219" w:lineRule="auto"/>
        <w:rPr>
          <w:rFonts w:ascii="SimSun" w:hAnsi="SimSun" w:eastAsia="SimSun" w:cs="SimSun"/>
          <w:sz w:val="24"/>
          <w:szCs w:val="24"/>
        </w:rPr>
      </w:pPr>
      <w:r>
        <w:rPr>
          <w:rFonts w:ascii="SimSun" w:hAnsi="SimSun" w:eastAsia="SimSun" w:cs="SimSun"/>
          <w:sz w:val="24"/>
          <w:szCs w:val="24"/>
          <w:spacing w:val="-4"/>
        </w:rPr>
        <w:t>管护标准：</w:t>
      </w:r>
    </w:p>
    <w:p>
      <w:pPr>
        <w:ind w:left="495"/>
        <w:spacing w:before="154" w:line="219" w:lineRule="auto"/>
        <w:rPr>
          <w:rFonts w:ascii="SimSun" w:hAnsi="SimSun" w:eastAsia="SimSun" w:cs="SimSun"/>
          <w:sz w:val="24"/>
          <w:szCs w:val="24"/>
        </w:rPr>
      </w:pPr>
      <w:r>
        <w:rPr>
          <w:rFonts w:ascii="SimSun" w:hAnsi="SimSun" w:eastAsia="SimSun" w:cs="SimSun"/>
          <w:sz w:val="24"/>
          <w:szCs w:val="24"/>
          <w:spacing w:val="-2"/>
        </w:rPr>
        <w:t>管护对象，内排土场。</w:t>
      </w:r>
    </w:p>
    <w:p>
      <w:pPr>
        <w:ind w:left="12" w:firstLine="482"/>
        <w:spacing w:before="156" w:line="338" w:lineRule="auto"/>
        <w:rPr>
          <w:rFonts w:ascii="SimSun" w:hAnsi="SimSun" w:eastAsia="SimSun" w:cs="SimSun"/>
          <w:sz w:val="24"/>
          <w:szCs w:val="24"/>
        </w:rPr>
      </w:pPr>
      <w:r>
        <w:rPr>
          <w:rFonts w:ascii="SimSun" w:hAnsi="SimSun" w:eastAsia="SimSun" w:cs="SimSun"/>
          <w:sz w:val="24"/>
          <w:szCs w:val="24"/>
          <w:spacing w:val="-2"/>
        </w:rPr>
        <w:t>管护期限，复垦后的植被管护是保证复垦植物良好生长的关键，尤其是复垦后的前</w:t>
      </w:r>
      <w:r>
        <w:rPr>
          <w:rFonts w:ascii="SimSun" w:hAnsi="SimSun" w:eastAsia="SimSun" w:cs="SimSun"/>
          <w:sz w:val="24"/>
          <w:szCs w:val="24"/>
          <w:spacing w:val="-2"/>
        </w:rPr>
        <w:t>期，因此确定管护期为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3 </w:t>
      </w:r>
      <w:r>
        <w:rPr>
          <w:rFonts w:ascii="SimSun" w:hAnsi="SimSun" w:eastAsia="SimSun" w:cs="SimSun"/>
          <w:sz w:val="24"/>
          <w:szCs w:val="24"/>
          <w:spacing w:val="-2"/>
        </w:rPr>
        <w:t>年。</w:t>
      </w:r>
    </w:p>
    <w:p>
      <w:pPr>
        <w:ind w:left="495"/>
        <w:spacing w:before="1" w:line="219" w:lineRule="auto"/>
        <w:rPr>
          <w:rFonts w:ascii="SimSun" w:hAnsi="SimSun" w:eastAsia="SimSun" w:cs="SimSun"/>
          <w:sz w:val="24"/>
          <w:szCs w:val="24"/>
        </w:rPr>
      </w:pPr>
      <w:r>
        <w:rPr>
          <w:rFonts w:ascii="SimSun" w:hAnsi="SimSun" w:eastAsia="SimSun" w:cs="SimSun"/>
          <w:sz w:val="24"/>
          <w:szCs w:val="24"/>
          <w:spacing w:val="-1"/>
        </w:rPr>
        <w:t>管护措施，病虫害防治、培土补植。</w:t>
      </w:r>
    </w:p>
    <w:p>
      <w:pPr>
        <w:spacing w:line="219" w:lineRule="auto"/>
        <w:sectPr>
          <w:headerReference w:type="default" r:id="rId3"/>
          <w:footerReference w:type="default" r:id="rId497"/>
          <w:pgSz w:w="11906" w:h="16838"/>
          <w:pgMar w:top="1114" w:right="1417" w:bottom="1080" w:left="1416" w:header="837" w:footer="918" w:gutter="0"/>
        </w:sectPr>
        <w:rPr>
          <w:rFonts w:ascii="SimSun" w:hAnsi="SimSun" w:eastAsia="SimSun" w:cs="SimSun"/>
          <w:sz w:val="24"/>
          <w:szCs w:val="24"/>
        </w:rPr>
      </w:pPr>
    </w:p>
    <w:p>
      <w:pPr>
        <w:pStyle w:val="BodyText"/>
        <w:spacing w:line="366" w:lineRule="auto"/>
        <w:rPr/>
      </w:pPr>
      <w:r/>
    </w:p>
    <w:p>
      <w:pPr>
        <w:ind w:left="8" w:firstLine="486"/>
        <w:spacing w:before="78" w:line="339" w:lineRule="auto"/>
        <w:jc w:val="both"/>
        <w:rPr>
          <w:rFonts w:ascii="SimSun" w:hAnsi="SimSun" w:eastAsia="SimSun" w:cs="SimSun"/>
          <w:sz w:val="24"/>
          <w:szCs w:val="24"/>
        </w:rPr>
      </w:pPr>
      <w:r>
        <w:rPr>
          <w:rFonts w:ascii="SimSun" w:hAnsi="SimSun" w:eastAsia="SimSun" w:cs="SimSun"/>
          <w:sz w:val="24"/>
          <w:szCs w:val="24"/>
          <w:spacing w:val="-3"/>
        </w:rPr>
        <w:t>管护质量标准，植物长势良好，无枯黄现象；病虫害控制在</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3"/>
        </w:rPr>
        <w:t>10%</w:t>
      </w:r>
      <w:r>
        <w:rPr>
          <w:rFonts w:ascii="SimSun" w:hAnsi="SimSun" w:eastAsia="SimSun" w:cs="SimSun"/>
          <w:sz w:val="24"/>
          <w:szCs w:val="24"/>
          <w:spacing w:val="-3"/>
        </w:rPr>
        <w:t>以下，不至成灾；</w:t>
      </w:r>
      <w:r>
        <w:rPr>
          <w:rFonts w:ascii="SimSun" w:hAnsi="SimSun" w:eastAsia="SimSun" w:cs="SimSun"/>
          <w:sz w:val="24"/>
          <w:szCs w:val="24"/>
          <w:spacing w:val="-2"/>
        </w:rPr>
        <w:t>及时清除枯死树木，补栽林木，无超过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200m</w:t>
      </w:r>
      <w:r>
        <w:rPr>
          <w:rFonts w:ascii="Times New Roman" w:hAnsi="Times New Roman" w:eastAsia="Times New Roman" w:cs="Times New Roman"/>
          <w:sz w:val="15"/>
          <w:szCs w:val="15"/>
          <w:spacing w:val="-2"/>
          <w:position w:val="8"/>
        </w:rPr>
        <w:t>2</w:t>
      </w:r>
      <w:r>
        <w:rPr>
          <w:rFonts w:ascii="Times New Roman" w:hAnsi="Times New Roman" w:eastAsia="Times New Roman" w:cs="Times New Roman"/>
          <w:sz w:val="15"/>
          <w:szCs w:val="15"/>
          <w:spacing w:val="36"/>
          <w:w w:val="101"/>
          <w:position w:val="8"/>
        </w:rPr>
        <w:t xml:space="preserve"> </w:t>
      </w:r>
      <w:r>
        <w:rPr>
          <w:rFonts w:ascii="SimSun" w:hAnsi="SimSun" w:eastAsia="SimSun" w:cs="SimSun"/>
          <w:sz w:val="24"/>
          <w:szCs w:val="24"/>
          <w:spacing w:val="-3"/>
        </w:rPr>
        <w:t>以上的集中裸露地；防火措施得当，全年</w:t>
      </w:r>
      <w:r>
        <w:rPr>
          <w:rFonts w:ascii="SimSun" w:hAnsi="SimSun" w:eastAsia="SimSun" w:cs="SimSun"/>
          <w:sz w:val="24"/>
          <w:szCs w:val="24"/>
        </w:rPr>
        <w:t>杜绝发生大的火灾事故，未发生过火面积超过</w:t>
      </w:r>
      <w:r>
        <w:rPr>
          <w:rFonts w:ascii="SimSun" w:hAnsi="SimSun" w:eastAsia="SimSun" w:cs="SimSun"/>
          <w:sz w:val="24"/>
          <w:szCs w:val="24"/>
          <w:spacing w:val="-25"/>
        </w:rPr>
        <w:t xml:space="preserve"> </w:t>
      </w:r>
      <w:r>
        <w:rPr>
          <w:rFonts w:ascii="Times New Roman" w:hAnsi="Times New Roman" w:eastAsia="Times New Roman" w:cs="Times New Roman"/>
          <w:sz w:val="24"/>
          <w:szCs w:val="24"/>
        </w:rPr>
        <w:t>1000m</w:t>
      </w:r>
      <w:r>
        <w:rPr>
          <w:rFonts w:ascii="Times New Roman" w:hAnsi="Times New Roman" w:eastAsia="Times New Roman" w:cs="Times New Roman"/>
          <w:sz w:val="15"/>
          <w:szCs w:val="15"/>
          <w:position w:val="8"/>
        </w:rPr>
        <w:t>2</w:t>
      </w:r>
      <w:r>
        <w:rPr>
          <w:rFonts w:ascii="Times New Roman" w:hAnsi="Times New Roman" w:eastAsia="Times New Roman" w:cs="Times New Roman"/>
          <w:sz w:val="15"/>
          <w:szCs w:val="15"/>
          <w:spacing w:val="31"/>
          <w:w w:val="101"/>
          <w:position w:val="8"/>
        </w:rPr>
        <w:t xml:space="preserve"> </w:t>
      </w:r>
      <w:r>
        <w:rPr>
          <w:rFonts w:ascii="SimSun" w:hAnsi="SimSun" w:eastAsia="SimSun" w:cs="SimSun"/>
          <w:sz w:val="24"/>
          <w:szCs w:val="24"/>
        </w:rPr>
        <w:t>的火灾；维持</w:t>
      </w:r>
      <w:r>
        <w:rPr>
          <w:rFonts w:ascii="SimSun" w:hAnsi="SimSun" w:eastAsia="SimSun" w:cs="SimSun"/>
          <w:sz w:val="24"/>
          <w:szCs w:val="24"/>
          <w:spacing w:val="-1"/>
        </w:rPr>
        <w:t>层次丰富、稳定的</w:t>
      </w:r>
      <w:r>
        <w:rPr>
          <w:rFonts w:ascii="SimSun" w:hAnsi="SimSun" w:eastAsia="SimSun" w:cs="SimSun"/>
          <w:sz w:val="24"/>
          <w:szCs w:val="24"/>
          <w:spacing w:val="-1"/>
        </w:rPr>
        <w:t>植物群落结构，维护良好的自然生态景观。</w:t>
      </w:r>
    </w:p>
    <w:p>
      <w:pPr>
        <w:ind w:left="490"/>
        <w:spacing w:line="219" w:lineRule="auto"/>
        <w:rPr>
          <w:rFonts w:ascii="SimSun" w:hAnsi="SimSun" w:eastAsia="SimSun" w:cs="SimSun"/>
          <w:sz w:val="24"/>
          <w:szCs w:val="24"/>
        </w:rPr>
      </w:pPr>
      <w:r>
        <w:rPr>
          <w:rFonts w:ascii="SimSun" w:hAnsi="SimSun" w:eastAsia="SimSun" w:cs="SimSun"/>
          <w:sz w:val="24"/>
          <w:szCs w:val="24"/>
          <w:spacing w:val="-3"/>
        </w:rPr>
        <w:t>植被重建：</w:t>
      </w:r>
    </w:p>
    <w:p>
      <w:pPr>
        <w:ind w:left="9" w:right="13" w:firstLine="487"/>
        <w:spacing w:before="157" w:line="338" w:lineRule="auto"/>
        <w:rPr>
          <w:rFonts w:ascii="SimSun" w:hAnsi="SimSun" w:eastAsia="SimSun" w:cs="SimSun"/>
          <w:sz w:val="24"/>
          <w:szCs w:val="24"/>
        </w:rPr>
      </w:pPr>
      <w:r>
        <w:rPr>
          <w:rFonts w:ascii="SimSun" w:hAnsi="SimSun" w:eastAsia="SimSun" w:cs="SimSun"/>
          <w:sz w:val="24"/>
          <w:szCs w:val="24"/>
          <w:spacing w:val="-2"/>
        </w:rPr>
        <w:t>营建乔、灌、草结合的多树种、多结构、多功能的复层生态景观群落，可有效增加</w:t>
      </w:r>
      <w:r>
        <w:rPr>
          <w:rFonts w:ascii="SimSun" w:hAnsi="SimSun" w:eastAsia="SimSun" w:cs="SimSun"/>
          <w:sz w:val="24"/>
          <w:szCs w:val="24"/>
          <w:spacing w:val="-2"/>
        </w:rPr>
        <w:t>绿量和绿叶面积，挖掘单位面积上的潜在生态力，提高叶面积指数。应根据排土场部位</w:t>
      </w:r>
      <w:r>
        <w:rPr>
          <w:rFonts w:ascii="SimSun" w:hAnsi="SimSun" w:eastAsia="SimSun" w:cs="SimSun"/>
          <w:sz w:val="24"/>
          <w:szCs w:val="24"/>
          <w:spacing w:val="-2"/>
        </w:rPr>
        <w:t>和土地修复方向进行植物配置。排土场平台周边宜营造防护林，可有效防风固土，防护</w:t>
      </w:r>
      <w:r>
        <w:rPr>
          <w:rFonts w:ascii="SimSun" w:hAnsi="SimSun" w:eastAsia="SimSun" w:cs="SimSun"/>
          <w:sz w:val="24"/>
          <w:szCs w:val="24"/>
          <w:spacing w:val="-2"/>
        </w:rPr>
        <w:t>排土场内部的植物群落。排土场平台内部根据修复方向配置植物群落：土地修复方向为</w:t>
      </w:r>
      <w:r>
        <w:rPr>
          <w:rFonts w:ascii="SimSun" w:hAnsi="SimSun" w:eastAsia="SimSun" w:cs="SimSun"/>
          <w:sz w:val="24"/>
          <w:szCs w:val="24"/>
          <w:spacing w:val="-2"/>
        </w:rPr>
        <w:t>林地、园地时，配置以木本植物为主的乔灌混交林或经济林。由于排土场边坡水土流失</w:t>
      </w:r>
      <w:r>
        <w:rPr>
          <w:rFonts w:ascii="SimSun" w:hAnsi="SimSun" w:eastAsia="SimSun" w:cs="SimSun"/>
          <w:sz w:val="24"/>
          <w:szCs w:val="24"/>
        </w:rPr>
        <w:t>问题严重，植被群落配置应以水土保持为主、兼</w:t>
      </w:r>
      <w:r>
        <w:rPr>
          <w:rFonts w:ascii="SimSun" w:hAnsi="SimSun" w:eastAsia="SimSun" w:cs="SimSun"/>
          <w:sz w:val="24"/>
          <w:szCs w:val="24"/>
          <w:spacing w:val="-1"/>
        </w:rPr>
        <w:t>具生态景观效果为原则。</w:t>
      </w:r>
    </w:p>
    <w:p>
      <w:pPr>
        <w:ind w:left="8" w:right="13" w:firstLine="480"/>
        <w:spacing w:before="2" w:line="338" w:lineRule="auto"/>
        <w:rPr>
          <w:rFonts w:ascii="SimSun" w:hAnsi="SimSun" w:eastAsia="SimSun" w:cs="SimSun"/>
          <w:sz w:val="24"/>
          <w:szCs w:val="24"/>
        </w:rPr>
      </w:pPr>
      <w:r>
        <w:rPr>
          <w:rFonts w:ascii="SimSun" w:hAnsi="SimSun" w:eastAsia="SimSun" w:cs="SimSun"/>
          <w:sz w:val="24"/>
          <w:szCs w:val="24"/>
          <w:spacing w:val="-2"/>
        </w:rPr>
        <w:t>根据本地区气候干旱、少雨的特点，树木和牧草种植密度不宜过大，在草业复垦措</w:t>
      </w:r>
      <w:r>
        <w:rPr>
          <w:rFonts w:ascii="SimSun" w:hAnsi="SimSun" w:eastAsia="SimSun" w:cs="SimSun"/>
          <w:sz w:val="24"/>
          <w:szCs w:val="24"/>
          <w:spacing w:val="-1"/>
        </w:rPr>
        <w:t>施上应主要以豆科与禾本科植物套种。</w:t>
      </w:r>
    </w:p>
    <w:p>
      <w:pPr>
        <w:ind w:left="9" w:right="13" w:firstLine="483"/>
        <w:spacing w:before="1" w:line="338" w:lineRule="auto"/>
        <w:jc w:val="both"/>
        <w:rPr>
          <w:rFonts w:ascii="SimSun" w:hAnsi="SimSun" w:eastAsia="SimSun" w:cs="SimSun"/>
          <w:sz w:val="24"/>
          <w:szCs w:val="24"/>
        </w:rPr>
      </w:pPr>
      <w:r>
        <w:rPr>
          <w:rFonts w:ascii="SimSun" w:hAnsi="SimSun" w:eastAsia="SimSun" w:cs="SimSun"/>
          <w:sz w:val="24"/>
          <w:szCs w:val="24"/>
          <w:spacing w:val="-2"/>
        </w:rPr>
        <w:t>不同用地类型，结合植物种的生物学特性，合理种植。在排土场的平缓地区，大面</w:t>
      </w:r>
      <w:r>
        <w:rPr>
          <w:rFonts w:ascii="SimSun" w:hAnsi="SimSun" w:eastAsia="SimSun" w:cs="SimSun"/>
          <w:sz w:val="24"/>
          <w:szCs w:val="24"/>
          <w:spacing w:val="-2"/>
        </w:rPr>
        <w:t>积种植能固氮的豆科植物如沙打旺、苜蓿、草木樨等，增加土壤有机质，培肥地力，改</w:t>
      </w:r>
      <w:r>
        <w:rPr>
          <w:rFonts w:ascii="SimSun" w:hAnsi="SimSun" w:eastAsia="SimSun" w:cs="SimSun"/>
          <w:sz w:val="24"/>
          <w:szCs w:val="24"/>
          <w:spacing w:val="-2"/>
        </w:rPr>
        <w:t>良土壤，达到农林牧可利用状态。在排土场内边坡上进行沙棘、豆科与禾本科植物的混</w:t>
      </w:r>
      <w:r>
        <w:rPr>
          <w:rFonts w:ascii="SimSun" w:hAnsi="SimSun" w:eastAsia="SimSun" w:cs="SimSun"/>
          <w:sz w:val="24"/>
          <w:szCs w:val="24"/>
        </w:rPr>
        <w:t>合种植，适当栽植乔木，以达到防风固坡的</w:t>
      </w:r>
      <w:r>
        <w:rPr>
          <w:rFonts w:ascii="SimSun" w:hAnsi="SimSun" w:eastAsia="SimSun" w:cs="SimSun"/>
          <w:sz w:val="24"/>
          <w:szCs w:val="24"/>
          <w:spacing w:val="-1"/>
        </w:rPr>
        <w:t>目的，发展永久性植被。</w:t>
      </w:r>
    </w:p>
    <w:p>
      <w:pPr>
        <w:ind w:left="9" w:right="13" w:firstLine="480"/>
        <w:spacing w:before="4" w:line="338" w:lineRule="auto"/>
        <w:jc w:val="both"/>
        <w:rPr>
          <w:rFonts w:ascii="SimSun" w:hAnsi="SimSun" w:eastAsia="SimSun" w:cs="SimSun"/>
          <w:sz w:val="24"/>
          <w:szCs w:val="24"/>
        </w:rPr>
      </w:pPr>
      <w:r>
        <w:rPr>
          <w:rFonts w:ascii="SimSun" w:hAnsi="SimSun" w:eastAsia="SimSun" w:cs="SimSun"/>
          <w:sz w:val="24"/>
          <w:szCs w:val="24"/>
          <w:spacing w:val="-2"/>
        </w:rPr>
        <w:t>乔灌草相结合，形成立体化景观生态结构针对生态建设主要生态组合问题，在土地</w:t>
      </w:r>
      <w:r>
        <w:rPr>
          <w:rFonts w:ascii="SimSun" w:hAnsi="SimSun" w:eastAsia="SimSun" w:cs="SimSun"/>
          <w:sz w:val="24"/>
          <w:szCs w:val="24"/>
          <w:spacing w:val="-2"/>
        </w:rPr>
        <w:t>复垦时就要考虑种植乔灌草立体结构，增加自然景观，在长时间内有较好的效益。适应</w:t>
      </w:r>
      <w:r>
        <w:rPr>
          <w:rFonts w:ascii="SimSun" w:hAnsi="SimSun" w:eastAsia="SimSun" w:cs="SimSun"/>
          <w:sz w:val="24"/>
          <w:szCs w:val="24"/>
          <w:spacing w:val="-2"/>
        </w:rPr>
        <w:t>性强的灌木、乔木和常绿树种如刺槐、沙棘、柠条、油松、榆树等，草本植物有紫花苜</w:t>
      </w:r>
      <w:r>
        <w:rPr>
          <w:rFonts w:ascii="SimSun" w:hAnsi="SimSun" w:eastAsia="SimSun" w:cs="SimSun"/>
          <w:sz w:val="24"/>
          <w:szCs w:val="24"/>
          <w:spacing w:val="-2"/>
        </w:rPr>
        <w:t>蓿、草木樨、沙打旺，羊柴、冰草、披碱草、早熟禾等。在这些植物中，豆科牧草、沙</w:t>
      </w:r>
      <w:r>
        <w:rPr>
          <w:rFonts w:ascii="SimSun" w:hAnsi="SimSun" w:eastAsia="SimSun" w:cs="SimSun"/>
          <w:sz w:val="24"/>
          <w:szCs w:val="24"/>
        </w:rPr>
        <w:t>棘每年每公顷可固定空气中氮素约</w:t>
      </w:r>
      <w:r>
        <w:rPr>
          <w:rFonts w:ascii="SimSun" w:hAnsi="SimSun" w:eastAsia="SimSun" w:cs="SimSun"/>
          <w:sz w:val="24"/>
          <w:szCs w:val="24"/>
          <w:spacing w:val="-27"/>
        </w:rPr>
        <w:t xml:space="preserve"> </w:t>
      </w:r>
      <w:r>
        <w:rPr>
          <w:rFonts w:ascii="Times New Roman" w:hAnsi="Times New Roman" w:eastAsia="Times New Roman" w:cs="Times New Roman"/>
          <w:sz w:val="24"/>
          <w:szCs w:val="24"/>
        </w:rPr>
        <w:t>100-</w:t>
      </w:r>
      <w:r>
        <w:rPr>
          <w:rFonts w:ascii="Times New Roman" w:hAnsi="Times New Roman" w:eastAsia="Times New Roman" w:cs="Times New Roman"/>
          <w:sz w:val="24"/>
          <w:szCs w:val="24"/>
          <w:spacing w:val="-1"/>
        </w:rPr>
        <w:t>300kg</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，可改良土壤；沙棘果可开发天然饮料，</w:t>
      </w:r>
      <w:r>
        <w:rPr>
          <w:rFonts w:ascii="SimSun" w:hAnsi="SimSun" w:eastAsia="SimSun" w:cs="SimSun"/>
          <w:sz w:val="24"/>
          <w:szCs w:val="24"/>
          <w:spacing w:val="-2"/>
        </w:rPr>
        <w:t>果汁可治风湿证及皮肤病；种子入药并可榨油，油松树有强烈的杀菌作用，对职工保健</w:t>
      </w:r>
      <w:r>
        <w:rPr>
          <w:rFonts w:ascii="SimSun" w:hAnsi="SimSun" w:eastAsia="SimSun" w:cs="SimSun"/>
          <w:sz w:val="24"/>
          <w:szCs w:val="24"/>
          <w:spacing w:val="-1"/>
        </w:rPr>
        <w:t>有好处；牧草可发展畜牧业，提高综合生态经济效益。</w:t>
      </w:r>
    </w:p>
    <w:p>
      <w:pPr>
        <w:spacing w:line="338" w:lineRule="auto"/>
        <w:sectPr>
          <w:headerReference w:type="default" r:id="rId499"/>
          <w:footerReference w:type="default" r:id="rId500"/>
          <w:pgSz w:w="11906" w:h="16838"/>
          <w:pgMar w:top="1114" w:right="1404" w:bottom="1080" w:left="1416" w:header="837" w:footer="918" w:gutter="0"/>
        </w:sectPr>
        <w:rPr>
          <w:rFonts w:ascii="SimSun" w:hAnsi="SimSun" w:eastAsia="SimSun" w:cs="SimSun"/>
          <w:sz w:val="24"/>
          <w:szCs w:val="24"/>
        </w:rPr>
      </w:pPr>
    </w:p>
    <w:p>
      <w:pPr>
        <w:pStyle w:val="BodyText"/>
        <w:spacing w:line="302" w:lineRule="auto"/>
        <w:rPr/>
      </w:pPr>
      <w:r/>
    </w:p>
    <w:p>
      <w:pPr>
        <w:ind w:firstLine="1305"/>
        <w:spacing w:line="3969" w:lineRule="exact"/>
        <w:rPr/>
      </w:pPr>
      <w:r>
        <w:rPr>
          <w:position w:val="-79"/>
        </w:rPr>
        <w:drawing>
          <wp:inline distT="0" distB="0" distL="0" distR="0">
            <wp:extent cx="4102607" cy="2520695"/>
            <wp:effectExtent l="0" t="0" r="0" b="0"/>
            <wp:docPr id="328" name="IM 328"/>
            <wp:cNvGraphicFramePr/>
            <a:graphic>
              <a:graphicData uri="http://schemas.openxmlformats.org/drawingml/2006/picture">
                <pic:pic>
                  <pic:nvPicPr>
                    <pic:cNvPr id="328" name="IM 328"/>
                    <pic:cNvPicPr/>
                  </pic:nvPicPr>
                  <pic:blipFill>
                    <a:blip r:embed="rId503"/>
                    <a:stretch>
                      <a:fillRect/>
                    </a:stretch>
                  </pic:blipFill>
                  <pic:spPr>
                    <a:xfrm rot="0">
                      <a:off x="0" y="0"/>
                      <a:ext cx="4102607" cy="2520695"/>
                    </a:xfrm>
                    <a:prstGeom prst="rect">
                      <a:avLst/>
                    </a:prstGeom>
                  </pic:spPr>
                </pic:pic>
              </a:graphicData>
            </a:graphic>
          </wp:inline>
        </w:drawing>
      </w:r>
    </w:p>
    <w:p>
      <w:pPr>
        <w:ind w:left="2351"/>
        <w:spacing w:before="156" w:line="221"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41"/>
        </w:rPr>
        <w:t xml:space="preserve"> </w:t>
      </w:r>
      <w:r>
        <w:rPr>
          <w:rFonts w:ascii="Times New Roman" w:hAnsi="Times New Roman" w:eastAsia="Times New Roman" w:cs="Times New Roman"/>
          <w:sz w:val="24"/>
          <w:szCs w:val="24"/>
          <w:spacing w:val="-2"/>
        </w:rPr>
        <w:t>7-1-3    </w:t>
      </w:r>
      <w:r>
        <w:rPr>
          <w:rFonts w:ascii="SimHei" w:hAnsi="SimHei" w:eastAsia="SimHei" w:cs="SimHei"/>
          <w:sz w:val="24"/>
          <w:szCs w:val="24"/>
          <w:spacing w:val="-2"/>
        </w:rPr>
        <w:t>乔灌草模式配置方式典型设计图</w:t>
      </w:r>
    </w:p>
    <w:p>
      <w:pPr>
        <w:ind w:left="485"/>
        <w:spacing w:before="152" w:line="220" w:lineRule="auto"/>
        <w:rPr>
          <w:rFonts w:ascii="SimSun" w:hAnsi="SimSun" w:eastAsia="SimSun" w:cs="SimSun"/>
          <w:sz w:val="24"/>
          <w:szCs w:val="24"/>
        </w:rPr>
      </w:pPr>
      <w:bookmarkStart w:name="bookmark107" w:id="81"/>
      <w:bookmarkEnd w:id="81"/>
      <w:r>
        <w:rPr>
          <w:rFonts w:ascii="Times New Roman" w:hAnsi="Times New Roman" w:eastAsia="Times New Roman" w:cs="Times New Roman"/>
          <w:sz w:val="24"/>
          <w:szCs w:val="24"/>
          <w:spacing w:val="-2"/>
        </w:rPr>
        <w:t>2</w:t>
      </w:r>
      <w:r>
        <w:rPr>
          <w:rFonts w:ascii="SimSun" w:hAnsi="SimSun" w:eastAsia="SimSun" w:cs="SimSun"/>
          <w:sz w:val="24"/>
          <w:szCs w:val="24"/>
          <w:spacing w:val="-2"/>
        </w:rPr>
        <w:t>）表土场</w:t>
      </w:r>
    </w:p>
    <w:p>
      <w:pPr>
        <w:ind w:left="10" w:firstLine="484"/>
        <w:spacing w:before="151" w:line="339" w:lineRule="auto"/>
        <w:rPr>
          <w:rFonts w:ascii="SimSun" w:hAnsi="SimSun" w:eastAsia="SimSun" w:cs="SimSun"/>
          <w:sz w:val="24"/>
          <w:szCs w:val="24"/>
        </w:rPr>
      </w:pPr>
      <w:r>
        <w:rPr>
          <w:rFonts w:ascii="SimSun" w:hAnsi="SimSun" w:eastAsia="SimSun" w:cs="SimSun"/>
          <w:sz w:val="24"/>
          <w:szCs w:val="24"/>
          <w:spacing w:val="-2"/>
        </w:rPr>
        <w:t>露天区采掘场面积扩大区域，工程在开采破坏表土层前，对区域内有剥离意义的表</w:t>
      </w:r>
      <w:r>
        <w:rPr>
          <w:rFonts w:ascii="SimSun" w:hAnsi="SimSun" w:eastAsia="SimSun" w:cs="SimSun"/>
          <w:sz w:val="24"/>
          <w:szCs w:val="24"/>
        </w:rPr>
        <w:t>土层进行单独剥离、单独堆存。本矿属于改建煤矿，已形成一定面积的采坑和排土场，</w:t>
      </w:r>
      <w:r>
        <w:rPr>
          <w:rFonts w:ascii="SimSun" w:hAnsi="SimSun" w:eastAsia="SimSun" w:cs="SimSun"/>
          <w:sz w:val="24"/>
          <w:szCs w:val="24"/>
          <w:spacing w:val="-3"/>
        </w:rPr>
        <w:t>后续生产过程中剥离的表土层优先考虑覆盖于已达到排弃标高的排土区，用于植被恢复，</w:t>
      </w:r>
      <w:r>
        <w:rPr>
          <w:rFonts w:ascii="SimSun" w:hAnsi="SimSun" w:eastAsia="SimSun" w:cs="SimSun"/>
          <w:sz w:val="24"/>
          <w:szCs w:val="24"/>
          <w:spacing w:val="-2"/>
        </w:rPr>
        <w:t>多余的表土单独堆存。</w:t>
      </w:r>
    </w:p>
    <w:p>
      <w:pPr>
        <w:ind w:left="10" w:right="186" w:firstLine="478"/>
        <w:spacing w:before="1" w:line="338" w:lineRule="auto"/>
        <w:jc w:val="both"/>
        <w:rPr>
          <w:rFonts w:ascii="SimSun" w:hAnsi="SimSun" w:eastAsia="SimSun" w:cs="SimSun"/>
          <w:sz w:val="24"/>
          <w:szCs w:val="24"/>
        </w:rPr>
      </w:pPr>
      <w:r>
        <w:rPr>
          <w:rFonts w:ascii="SimSun" w:hAnsi="SimSun" w:eastAsia="SimSun" w:cs="SimSun"/>
          <w:sz w:val="24"/>
          <w:szCs w:val="24"/>
          <w:spacing w:val="-2"/>
        </w:rPr>
        <w:t>对于堆放时间较短的表土，堆土表面采用密目网苫盖，对</w:t>
      </w:r>
      <w:r>
        <w:rPr>
          <w:rFonts w:ascii="SimSun" w:hAnsi="SimSun" w:eastAsia="SimSun" w:cs="SimSun"/>
          <w:sz w:val="24"/>
          <w:szCs w:val="24"/>
          <w:spacing w:val="-3"/>
        </w:rPr>
        <w:t>于堆放时间</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 </w:t>
      </w:r>
      <w:r>
        <w:rPr>
          <w:rFonts w:ascii="SimSun" w:hAnsi="SimSun" w:eastAsia="SimSun" w:cs="SimSun"/>
          <w:sz w:val="24"/>
          <w:szCs w:val="24"/>
          <w:spacing w:val="-3"/>
        </w:rPr>
        <w:t>年以上的表</w:t>
      </w:r>
      <w:r>
        <w:rPr>
          <w:rFonts w:ascii="SimSun" w:hAnsi="SimSun" w:eastAsia="SimSun" w:cs="SimSun"/>
          <w:sz w:val="24"/>
          <w:szCs w:val="24"/>
          <w:spacing w:val="-2"/>
        </w:rPr>
        <w:t>土则撒播草籽临时绿化。当表土回填后，首先进行水平犁沟整地，将土层翻松，然后进</w:t>
      </w:r>
      <w:r>
        <w:rPr>
          <w:rFonts w:ascii="SimSun" w:hAnsi="SimSun" w:eastAsia="SimSun" w:cs="SimSun"/>
          <w:sz w:val="24"/>
          <w:szCs w:val="24"/>
          <w:spacing w:val="-2"/>
        </w:rPr>
        <w:t>行草地的恢复工作等。本工程将表土单独存放在现有排土场上，供后期绿化复垦之用，</w:t>
      </w:r>
      <w:r>
        <w:rPr>
          <w:rFonts w:ascii="SimSun" w:hAnsi="SimSun" w:eastAsia="SimSun" w:cs="SimSun"/>
          <w:sz w:val="24"/>
          <w:szCs w:val="24"/>
          <w:spacing w:val="-2"/>
        </w:rPr>
        <w:t>待开采结束后将表土回填，回填后对表土场占用的土地表面均匀撒播草籽，草种选择紫</w:t>
      </w:r>
      <w:r>
        <w:rPr>
          <w:rFonts w:ascii="SimSun" w:hAnsi="SimSun" w:eastAsia="SimSun" w:cs="SimSun"/>
          <w:sz w:val="24"/>
          <w:szCs w:val="24"/>
          <w:spacing w:val="-2"/>
        </w:rPr>
        <w:t>花苜蓿和沙打旺。</w:t>
      </w:r>
    </w:p>
    <w:p>
      <w:pPr>
        <w:ind w:left="489"/>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）最终采坑</w:t>
      </w:r>
    </w:p>
    <w:p>
      <w:pPr>
        <w:ind w:left="8" w:right="186" w:firstLine="486"/>
        <w:spacing w:before="158" w:line="338" w:lineRule="auto"/>
        <w:rPr>
          <w:rFonts w:ascii="SimSun" w:hAnsi="SimSun" w:eastAsia="SimSun" w:cs="SimSun"/>
          <w:sz w:val="24"/>
          <w:szCs w:val="24"/>
        </w:rPr>
      </w:pPr>
      <w:r>
        <w:rPr>
          <w:rFonts w:ascii="SimSun" w:hAnsi="SimSun" w:eastAsia="SimSun" w:cs="SimSun"/>
          <w:sz w:val="24"/>
          <w:szCs w:val="24"/>
          <w:spacing w:val="-2"/>
        </w:rPr>
        <w:t>露天区开采结束后，最终形成一个矿坑，位于采区西北部。最终矿坑里会形成部分</w:t>
      </w:r>
      <w:r>
        <w:rPr>
          <w:rFonts w:ascii="SimSun" w:hAnsi="SimSun" w:eastAsia="SimSun" w:cs="SimSun"/>
          <w:sz w:val="24"/>
          <w:szCs w:val="24"/>
          <w:spacing w:val="-2"/>
        </w:rPr>
        <w:t>矿坑积水，根据矿田地质条件和矿区气象条件，矿田煤层上覆含水层富水性弱，降雨量</w:t>
      </w:r>
      <w:r>
        <w:rPr>
          <w:rFonts w:ascii="SimSun" w:hAnsi="SimSun" w:eastAsia="SimSun" w:cs="SimSun"/>
          <w:sz w:val="24"/>
          <w:szCs w:val="24"/>
          <w:spacing w:val="-2"/>
        </w:rPr>
        <w:t>少，蒸发量大，矿坑里积水量有限。在采坑周围设置挡水围埂，防止雨水流入采坑冲刷</w:t>
      </w:r>
      <w:r>
        <w:rPr>
          <w:rFonts w:ascii="SimSun" w:hAnsi="SimSun" w:eastAsia="SimSun" w:cs="SimSun"/>
          <w:sz w:val="24"/>
          <w:szCs w:val="24"/>
          <w:spacing w:val="-2"/>
        </w:rPr>
        <w:t>采坑边坡；在采坑周围设置网围栏，防止人和动物掉入其中。后续根据《露天矿山闭坑</w:t>
      </w:r>
      <w:r>
        <w:rPr>
          <w:rFonts w:ascii="SimSun" w:hAnsi="SimSun" w:eastAsia="SimSun" w:cs="SimSun"/>
          <w:sz w:val="24"/>
          <w:szCs w:val="24"/>
          <w:spacing w:val="-1"/>
        </w:rPr>
        <w:t>综合治理工程设计方案》等设计文件要求进行综合治理。</w:t>
      </w:r>
    </w:p>
    <w:p>
      <w:pPr>
        <w:ind w:left="483"/>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SimSun" w:hAnsi="SimSun" w:eastAsia="SimSun" w:cs="SimSun"/>
          <w:sz w:val="24"/>
          <w:szCs w:val="24"/>
          <w:spacing w:val="-1"/>
        </w:rPr>
        <w:t>）露天矿南部采坑积水治理</w:t>
      </w:r>
    </w:p>
    <w:p>
      <w:pPr>
        <w:ind w:left="11" w:right="186" w:firstLine="512"/>
        <w:spacing w:before="157" w:line="338" w:lineRule="auto"/>
        <w:rPr>
          <w:rFonts w:ascii="SimSun" w:hAnsi="SimSun" w:eastAsia="SimSun" w:cs="SimSun"/>
          <w:sz w:val="24"/>
          <w:szCs w:val="24"/>
        </w:rPr>
      </w:pPr>
      <w:r>
        <w:rPr>
          <w:rFonts w:ascii="SimSun" w:hAnsi="SimSun" w:eastAsia="SimSun" w:cs="SimSun"/>
          <w:sz w:val="24"/>
          <w:szCs w:val="24"/>
          <w:spacing w:val="-3"/>
        </w:rPr>
        <w:t>白音华四号露天矿（露天区）南部首采区，存在露天开采积水，经调查，该区域形</w:t>
      </w:r>
      <w:r>
        <w:rPr>
          <w:rFonts w:ascii="SimSun" w:hAnsi="SimSun" w:eastAsia="SimSun" w:cs="SimSun"/>
          <w:sz w:val="24"/>
          <w:szCs w:val="24"/>
          <w:spacing w:val="-3"/>
        </w:rPr>
        <w:t>成积水面积约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21.27hm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3"/>
        </w:rPr>
        <w:t>，水面标高</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918m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，坑底最低标高</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3"/>
        </w:rPr>
        <w:t>831m</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，积水量约</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8"/>
        </w:rPr>
        <w:t>3</w:t>
      </w:r>
      <w:r>
        <w:rPr>
          <w:rFonts w:ascii="SimSun" w:hAnsi="SimSun" w:eastAsia="SimSun" w:cs="SimSun"/>
          <w:sz w:val="24"/>
          <w:szCs w:val="24"/>
          <w:spacing w:val="-4"/>
        </w:rPr>
        <w:t>。</w:t>
      </w:r>
    </w:p>
    <w:p>
      <w:pPr>
        <w:ind w:left="13" w:right="186" w:firstLine="480"/>
        <w:spacing w:before="3" w:line="336" w:lineRule="auto"/>
        <w:rPr>
          <w:rFonts w:ascii="SimSun" w:hAnsi="SimSun" w:eastAsia="SimSun" w:cs="SimSun"/>
          <w:sz w:val="24"/>
          <w:szCs w:val="24"/>
        </w:rPr>
      </w:pPr>
      <w:r>
        <w:rPr>
          <w:rFonts w:ascii="SimSun" w:hAnsi="SimSun" w:eastAsia="SimSun" w:cs="SimSun"/>
          <w:sz w:val="24"/>
          <w:szCs w:val="24"/>
          <w:spacing w:val="-2"/>
        </w:rPr>
        <w:t>该积水区积水主要来自于大气降水及地下水补给，根据调查，区域地下水水质能满</w:t>
      </w:r>
      <w:r>
        <w:rPr>
          <w:rFonts w:ascii="SimSun" w:hAnsi="SimSun" w:eastAsia="SimSun" w:cs="SimSun"/>
          <w:sz w:val="24"/>
          <w:szCs w:val="24"/>
          <w:spacing w:val="-15"/>
        </w:rPr>
        <w:t>足《地下水质量标准》（</w:t>
      </w:r>
      <w:r>
        <w:rPr>
          <w:rFonts w:ascii="Times New Roman" w:hAnsi="Times New Roman" w:eastAsia="Times New Roman" w:cs="Times New Roman"/>
          <w:sz w:val="24"/>
          <w:szCs w:val="24"/>
          <w:spacing w:val="-15"/>
        </w:rPr>
        <w:t>GB/T14848-2017</w:t>
      </w:r>
      <w:r>
        <w:rPr>
          <w:rFonts w:ascii="SimSun" w:hAnsi="SimSun" w:eastAsia="SimSun" w:cs="SimSun"/>
          <w:sz w:val="24"/>
          <w:szCs w:val="24"/>
          <w:spacing w:val="-15"/>
        </w:rPr>
        <w:t>）</w:t>
      </w:r>
      <w:r>
        <w:rPr>
          <w:rFonts w:ascii="Times New Roman" w:hAnsi="Times New Roman" w:eastAsia="Times New Roman" w:cs="Times New Roman"/>
          <w:sz w:val="24"/>
          <w:szCs w:val="24"/>
          <w:spacing w:val="-15"/>
        </w:rPr>
        <w:t>Ⅲ</w:t>
      </w:r>
      <w:r>
        <w:rPr>
          <w:rFonts w:ascii="SimSun" w:hAnsi="SimSun" w:eastAsia="SimSun" w:cs="SimSun"/>
          <w:sz w:val="24"/>
          <w:szCs w:val="24"/>
          <w:spacing w:val="-15"/>
        </w:rPr>
        <w:t>类标准及《农田灌溉水质标准》（</w:t>
      </w:r>
      <w:r>
        <w:rPr>
          <w:rFonts w:ascii="Times New Roman" w:hAnsi="Times New Roman" w:eastAsia="Times New Roman" w:cs="Times New Roman"/>
          <w:sz w:val="24"/>
          <w:szCs w:val="24"/>
          <w:spacing w:val="-15"/>
        </w:rPr>
        <w:t>GB5084-2</w:t>
      </w:r>
      <w:r>
        <w:rPr>
          <w:rFonts w:ascii="Times New Roman" w:hAnsi="Times New Roman" w:eastAsia="Times New Roman" w:cs="Times New Roman"/>
          <w:sz w:val="24"/>
          <w:szCs w:val="24"/>
          <w:spacing w:val="-16"/>
        </w:rPr>
        <w:t>021)</w:t>
      </w:r>
      <w:r>
        <w:rPr>
          <w:rFonts w:ascii="SimSun" w:hAnsi="SimSun" w:eastAsia="SimSun" w:cs="SimSun"/>
          <w:sz w:val="24"/>
          <w:szCs w:val="24"/>
          <w:spacing w:val="-2"/>
        </w:rPr>
        <w:t>中农田灌溉用水水质要求。</w:t>
      </w:r>
    </w:p>
    <w:p>
      <w:pPr>
        <w:spacing w:line="336" w:lineRule="auto"/>
        <w:sectPr>
          <w:headerReference w:type="default" r:id="rId501"/>
          <w:footerReference w:type="default" r:id="rId502"/>
          <w:pgSz w:w="11906" w:h="16838"/>
          <w:pgMar w:top="1114" w:right="1231" w:bottom="1080" w:left="1416" w:header="837" w:footer="918" w:gutter="0"/>
        </w:sectPr>
        <w:rPr>
          <w:rFonts w:ascii="SimSun" w:hAnsi="SimSun" w:eastAsia="SimSun" w:cs="SimSun"/>
          <w:sz w:val="24"/>
          <w:szCs w:val="24"/>
        </w:rPr>
      </w:pPr>
    </w:p>
    <w:p>
      <w:pPr>
        <w:pStyle w:val="BodyText"/>
        <w:spacing w:line="366" w:lineRule="auto"/>
        <w:rPr/>
      </w:pPr>
      <w:r/>
    </w:p>
    <w:p>
      <w:pPr>
        <w:ind w:left="9" w:right="38" w:firstLine="480"/>
        <w:spacing w:before="78" w:line="339" w:lineRule="auto"/>
        <w:jc w:val="both"/>
        <w:rPr>
          <w:rFonts w:ascii="SimSun" w:hAnsi="SimSun" w:eastAsia="SimSun" w:cs="SimSun"/>
          <w:sz w:val="24"/>
          <w:szCs w:val="24"/>
        </w:rPr>
      </w:pPr>
      <w:r>
        <w:rPr>
          <w:rFonts w:ascii="SimSun" w:hAnsi="SimSun" w:eastAsia="SimSun" w:cs="SimSun"/>
          <w:sz w:val="24"/>
          <w:szCs w:val="24"/>
          <w:spacing w:val="-2"/>
        </w:rPr>
        <w:t>根据白音华四号露天矿生态恢复面积、植被情况，结合《内蒙古自治区行业用水定</w:t>
      </w:r>
      <w:r>
        <w:rPr>
          <w:rFonts w:ascii="SimSun" w:hAnsi="SimSun" w:eastAsia="SimSun" w:cs="SimSun"/>
          <w:sz w:val="24"/>
          <w:szCs w:val="24"/>
          <w:spacing w:val="-2"/>
        </w:rPr>
        <w:t>额》（</w:t>
      </w:r>
      <w:r>
        <w:rPr>
          <w:rFonts w:ascii="Times New Roman" w:hAnsi="Times New Roman" w:eastAsia="Times New Roman" w:cs="Times New Roman"/>
          <w:sz w:val="24"/>
          <w:szCs w:val="24"/>
          <w:spacing w:val="-2"/>
        </w:rPr>
        <w:t>DB15/T385-2025</w:t>
      </w:r>
      <w:r>
        <w:rPr>
          <w:rFonts w:ascii="SimSun" w:hAnsi="SimSun" w:eastAsia="SimSun" w:cs="SimSun"/>
          <w:sz w:val="24"/>
          <w:szCs w:val="24"/>
          <w:spacing w:val="-2"/>
        </w:rPr>
        <w:t>）中相关用水定额指标情况，本次评价提出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2026 </w:t>
      </w:r>
      <w:r>
        <w:rPr>
          <w:rFonts w:ascii="SimSun" w:hAnsi="SimSun" w:eastAsia="SimSun" w:cs="SimSun"/>
          <w:sz w:val="24"/>
          <w:szCs w:val="24"/>
          <w:spacing w:val="-2"/>
        </w:rPr>
        <w:t>年</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
        </w:rPr>
        <w:t>2030 </w:t>
      </w:r>
      <w:r>
        <w:rPr>
          <w:rFonts w:ascii="SimSun" w:hAnsi="SimSun" w:eastAsia="SimSun" w:cs="SimSun"/>
          <w:sz w:val="24"/>
          <w:szCs w:val="24"/>
          <w:spacing w:val="-3"/>
        </w:rPr>
        <w:t>年将该</w:t>
      </w:r>
      <w:r>
        <w:rPr>
          <w:rFonts w:ascii="SimSun" w:hAnsi="SimSun" w:eastAsia="SimSun" w:cs="SimSun"/>
          <w:sz w:val="24"/>
          <w:szCs w:val="24"/>
          <w:spacing w:val="-2"/>
        </w:rPr>
        <w:t>积水区域进行抽水，抽取水用于白音华四号露天矿生态恢复植被灌溉用水。待该区域具</w:t>
      </w:r>
      <w:r>
        <w:rPr>
          <w:rFonts w:ascii="SimSun" w:hAnsi="SimSun" w:eastAsia="SimSun" w:cs="SimSun"/>
          <w:sz w:val="24"/>
          <w:szCs w:val="24"/>
          <w:spacing w:val="-1"/>
        </w:rPr>
        <w:t>备回填条件后，对该区域进行回填及土地复垦治理。</w:t>
      </w:r>
    </w:p>
    <w:p>
      <w:pPr>
        <w:ind w:left="491"/>
        <w:spacing w:line="219" w:lineRule="auto"/>
        <w:rPr>
          <w:rFonts w:ascii="SimSun" w:hAnsi="SimSun" w:eastAsia="SimSun" w:cs="SimSun"/>
          <w:sz w:val="24"/>
          <w:szCs w:val="24"/>
        </w:rPr>
      </w:pPr>
      <w:r>
        <w:rPr>
          <w:rFonts w:ascii="Times New Roman" w:hAnsi="Times New Roman" w:eastAsia="Times New Roman" w:cs="Times New Roman"/>
          <w:sz w:val="24"/>
          <w:szCs w:val="24"/>
          <w:spacing w:val="-2"/>
        </w:rPr>
        <w:t>5</w:t>
      </w:r>
      <w:r>
        <w:rPr>
          <w:rFonts w:ascii="SimSun" w:hAnsi="SimSun" w:eastAsia="SimSun" w:cs="SimSun"/>
          <w:sz w:val="24"/>
          <w:szCs w:val="24"/>
          <w:spacing w:val="-2"/>
        </w:rPr>
        <w:t>）运输道路</w:t>
      </w:r>
    </w:p>
    <w:p>
      <w:pPr>
        <w:ind w:left="7" w:right="38" w:firstLine="480"/>
        <w:spacing w:before="153" w:line="340" w:lineRule="auto"/>
        <w:rPr>
          <w:rFonts w:ascii="SimSun" w:hAnsi="SimSun" w:eastAsia="SimSun" w:cs="SimSun"/>
          <w:sz w:val="24"/>
          <w:szCs w:val="24"/>
        </w:rPr>
      </w:pPr>
      <w:r>
        <w:rPr>
          <w:rFonts w:ascii="SimSun" w:hAnsi="SimSun" w:eastAsia="SimSun" w:cs="SimSun"/>
          <w:sz w:val="24"/>
          <w:szCs w:val="24"/>
          <w:spacing w:val="-2"/>
        </w:rPr>
        <w:t>矿区运输道路路面为砂石路面，定期维护，压实路面，采取洒水抑尘措施，并对两</w:t>
      </w:r>
      <w:r>
        <w:rPr>
          <w:rFonts w:ascii="SimSun" w:hAnsi="SimSun" w:eastAsia="SimSun" w:cs="SimSun"/>
          <w:sz w:val="24"/>
          <w:szCs w:val="24"/>
          <w:spacing w:val="-1"/>
        </w:rPr>
        <w:t>侧坡面进行绿化。</w:t>
      </w:r>
    </w:p>
    <w:p>
      <w:pPr>
        <w:ind w:left="8"/>
        <w:spacing w:before="27" w:line="222" w:lineRule="auto"/>
        <w:rPr>
          <w:rFonts w:ascii="SimHei" w:hAnsi="SimHei" w:eastAsia="SimHei" w:cs="SimHei"/>
          <w:sz w:val="24"/>
          <w:szCs w:val="24"/>
        </w:rPr>
      </w:pPr>
      <w:r>
        <w:rPr>
          <w:rFonts w:ascii="Times New Roman" w:hAnsi="Times New Roman" w:eastAsia="Times New Roman" w:cs="Times New Roman"/>
          <w:sz w:val="24"/>
          <w:szCs w:val="24"/>
          <w:b/>
          <w:bCs/>
          <w:spacing w:val="-3"/>
        </w:rPr>
        <w:t>7.1.2.4 </w:t>
      </w:r>
      <w:r>
        <w:rPr>
          <w:rFonts w:ascii="SimHei" w:hAnsi="SimHei" w:eastAsia="SimHei" w:cs="SimHei"/>
          <w:sz w:val="24"/>
          <w:szCs w:val="24"/>
          <w:b/>
          <w:bCs/>
          <w:spacing w:val="-3"/>
        </w:rPr>
        <w:t>近五年（</w:t>
      </w:r>
      <w:r>
        <w:rPr>
          <w:rFonts w:ascii="Times New Roman" w:hAnsi="Times New Roman" w:eastAsia="Times New Roman" w:cs="Times New Roman"/>
          <w:sz w:val="24"/>
          <w:szCs w:val="24"/>
          <w:b/>
          <w:bCs/>
          <w:spacing w:val="-3"/>
        </w:rPr>
        <w:t>2025 </w:t>
      </w:r>
      <w:r>
        <w:rPr>
          <w:rFonts w:ascii="SimHei" w:hAnsi="SimHei" w:eastAsia="SimHei" w:cs="SimHei"/>
          <w:sz w:val="24"/>
          <w:szCs w:val="24"/>
          <w:b/>
          <w:bCs/>
          <w:spacing w:val="-3"/>
        </w:rPr>
        <w:t>年</w:t>
      </w:r>
      <w:r>
        <w:rPr>
          <w:rFonts w:ascii="SimHei" w:hAnsi="SimHei" w:eastAsia="SimHei" w:cs="SimHei"/>
          <w:sz w:val="24"/>
          <w:szCs w:val="24"/>
          <w:spacing w:val="-30"/>
        </w:rPr>
        <w:t xml:space="preserve"> </w:t>
      </w:r>
      <w:r>
        <w:rPr>
          <w:rFonts w:ascii="Times New Roman" w:hAnsi="Times New Roman" w:eastAsia="Times New Roman" w:cs="Times New Roman"/>
          <w:sz w:val="24"/>
          <w:szCs w:val="24"/>
          <w:b/>
          <w:bCs/>
          <w:spacing w:val="-3"/>
        </w:rPr>
        <w:t>1</w:t>
      </w:r>
      <w:r>
        <w:rPr>
          <w:rFonts w:ascii="Times New Roman" w:hAnsi="Times New Roman" w:eastAsia="Times New Roman" w:cs="Times New Roman"/>
          <w:sz w:val="24"/>
          <w:szCs w:val="24"/>
          <w:b/>
          <w:bCs/>
          <w:spacing w:val="15"/>
          <w:w w:val="101"/>
        </w:rPr>
        <w:t xml:space="preserve"> </w:t>
      </w:r>
      <w:r>
        <w:rPr>
          <w:rFonts w:ascii="SimHei" w:hAnsi="SimHei" w:eastAsia="SimHei" w:cs="SimHei"/>
          <w:sz w:val="24"/>
          <w:szCs w:val="24"/>
          <w:b/>
          <w:bCs/>
          <w:spacing w:val="-3"/>
        </w:rPr>
        <w:t>月</w:t>
      </w:r>
      <w:r>
        <w:rPr>
          <w:rFonts w:ascii="Times New Roman" w:hAnsi="Times New Roman" w:eastAsia="Times New Roman" w:cs="Times New Roman"/>
          <w:sz w:val="24"/>
          <w:szCs w:val="24"/>
          <w:b/>
          <w:bCs/>
          <w:spacing w:val="-3"/>
        </w:rPr>
        <w:t>-2029 </w:t>
      </w:r>
      <w:r>
        <w:rPr>
          <w:rFonts w:ascii="SimHei" w:hAnsi="SimHei" w:eastAsia="SimHei" w:cs="SimHei"/>
          <w:sz w:val="24"/>
          <w:szCs w:val="24"/>
          <w:b/>
          <w:bCs/>
          <w:spacing w:val="-3"/>
        </w:rPr>
        <w:t>年</w:t>
      </w:r>
      <w:r>
        <w:rPr>
          <w:rFonts w:ascii="SimHei" w:hAnsi="SimHei" w:eastAsia="SimHei" w:cs="SimHei"/>
          <w:sz w:val="24"/>
          <w:szCs w:val="24"/>
          <w:spacing w:val="-40"/>
        </w:rPr>
        <w:t xml:space="preserve"> </w:t>
      </w:r>
      <w:r>
        <w:rPr>
          <w:rFonts w:ascii="Times New Roman" w:hAnsi="Times New Roman" w:eastAsia="Times New Roman" w:cs="Times New Roman"/>
          <w:sz w:val="24"/>
          <w:szCs w:val="24"/>
          <w:b/>
          <w:bCs/>
          <w:spacing w:val="-3"/>
        </w:rPr>
        <w:t>12</w:t>
      </w:r>
      <w:r>
        <w:rPr>
          <w:rFonts w:ascii="Times New Roman" w:hAnsi="Times New Roman" w:eastAsia="Times New Roman" w:cs="Times New Roman"/>
          <w:sz w:val="24"/>
          <w:szCs w:val="24"/>
          <w:b/>
          <w:bCs/>
          <w:spacing w:val="15"/>
          <w:w w:val="101"/>
        </w:rPr>
        <w:t xml:space="preserve"> </w:t>
      </w:r>
      <w:r>
        <w:rPr>
          <w:rFonts w:ascii="SimHei" w:hAnsi="SimHei" w:eastAsia="SimHei" w:cs="SimHei"/>
          <w:sz w:val="24"/>
          <w:szCs w:val="24"/>
          <w:b/>
          <w:bCs/>
          <w:spacing w:val="-3"/>
        </w:rPr>
        <w:t>月）生态恢复预计工程量</w:t>
      </w:r>
    </w:p>
    <w:p>
      <w:pPr>
        <w:ind w:left="10" w:firstLine="481"/>
        <w:spacing w:before="165" w:line="338" w:lineRule="auto"/>
        <w:jc w:val="both"/>
        <w:rPr>
          <w:rFonts w:ascii="SimSun" w:hAnsi="SimSun" w:eastAsia="SimSun" w:cs="SimSun"/>
          <w:sz w:val="24"/>
          <w:szCs w:val="24"/>
        </w:rPr>
      </w:pPr>
      <w:r>
        <w:rPr>
          <w:rFonts w:ascii="SimSun" w:hAnsi="SimSun" w:eastAsia="SimSun" w:cs="SimSun"/>
          <w:sz w:val="24"/>
          <w:szCs w:val="24"/>
          <w:spacing w:val="-2"/>
        </w:rPr>
        <w:t>为了确保绿色矿山建设工作顺利实施，煤矿按照《绿色矿山建设评价指标》《内蒙</w:t>
      </w:r>
      <w:r>
        <w:rPr>
          <w:rFonts w:ascii="SimSun" w:hAnsi="SimSun" w:eastAsia="SimSun" w:cs="SimSun"/>
          <w:sz w:val="24"/>
          <w:szCs w:val="24"/>
          <w:spacing w:val="-1"/>
        </w:rPr>
        <w:t>古自治区绿色矿山建设方案》《锡林郭勒盟绿色矿山示范项目建设工作指引（暂行）》</w:t>
      </w:r>
      <w:r>
        <w:rPr>
          <w:rFonts w:ascii="SimSun" w:hAnsi="SimSun" w:eastAsia="SimSun" w:cs="SimSun"/>
          <w:sz w:val="24"/>
          <w:szCs w:val="24"/>
          <w:spacing w:val="-2"/>
        </w:rPr>
        <w:t>等文件要求，结合白音华四号矿实际情况，以矿区环境生态化、开采方式科学化、资源</w:t>
      </w:r>
      <w:r>
        <w:rPr>
          <w:rFonts w:ascii="SimSun" w:hAnsi="SimSun" w:eastAsia="SimSun" w:cs="SimSun"/>
          <w:sz w:val="24"/>
          <w:szCs w:val="24"/>
          <w:spacing w:val="-2"/>
        </w:rPr>
        <w:t>利用高效化、管理信息数字化、矿区人文和谐化建设为原则，明确了矿区绿色矿山建设</w:t>
      </w:r>
      <w:r>
        <w:rPr>
          <w:rFonts w:ascii="SimSun" w:hAnsi="SimSun" w:eastAsia="SimSun" w:cs="SimSun"/>
          <w:sz w:val="24"/>
          <w:szCs w:val="24"/>
          <w:spacing w:val="-2"/>
        </w:rPr>
        <w:t>的目标及土地复垦的标准，就是要达到国家级绿色矿山水平，就是要实现生态矿区、园</w:t>
      </w:r>
      <w:r>
        <w:rPr>
          <w:rFonts w:ascii="SimSun" w:hAnsi="SimSun" w:eastAsia="SimSun" w:cs="SimSun"/>
          <w:sz w:val="24"/>
          <w:szCs w:val="24"/>
          <w:spacing w:val="-3"/>
        </w:rPr>
        <w:t>林矿区。</w:t>
      </w:r>
    </w:p>
    <w:p>
      <w:pPr>
        <w:ind w:left="493"/>
        <w:spacing w:line="218" w:lineRule="auto"/>
        <w:rPr>
          <w:rFonts w:ascii="SimSun" w:hAnsi="SimSun" w:eastAsia="SimSun" w:cs="SimSun"/>
          <w:sz w:val="24"/>
          <w:szCs w:val="24"/>
        </w:rPr>
      </w:pPr>
      <w:r>
        <w:rPr>
          <w:rFonts w:ascii="SimSun" w:hAnsi="SimSun" w:eastAsia="SimSun" w:cs="SimSun"/>
          <w:sz w:val="24"/>
          <w:szCs w:val="24"/>
          <w:spacing w:val="-2"/>
        </w:rPr>
        <w:t>一、露天采坑工程量</w:t>
      </w:r>
    </w:p>
    <w:p>
      <w:pPr>
        <w:ind w:left="495"/>
        <w:spacing w:before="155"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）表土剥离</w:t>
      </w:r>
    </w:p>
    <w:p>
      <w:pPr>
        <w:ind w:left="12" w:right="43" w:firstLine="480"/>
        <w:spacing w:before="153" w:line="339" w:lineRule="auto"/>
        <w:rPr>
          <w:rFonts w:ascii="SimSun" w:hAnsi="SimSun" w:eastAsia="SimSun" w:cs="SimSun"/>
          <w:sz w:val="24"/>
          <w:szCs w:val="24"/>
        </w:rPr>
      </w:pPr>
      <w:r>
        <w:rPr>
          <w:rFonts w:ascii="SimSun" w:hAnsi="SimSun" w:eastAsia="SimSun" w:cs="SimSun"/>
          <w:sz w:val="24"/>
          <w:szCs w:val="24"/>
          <w:spacing w:val="-1"/>
        </w:rPr>
        <w:t>设计对近期拟损毁的露天采场进行表土剥离，共剥离面积为</w:t>
      </w:r>
      <w:r>
        <w:rPr>
          <w:rFonts w:ascii="SimSun" w:hAnsi="SimSun" w:eastAsia="SimSun" w:cs="SimSun"/>
          <w:sz w:val="24"/>
          <w:szCs w:val="24"/>
          <w:spacing w:val="-17"/>
        </w:rPr>
        <w:t xml:space="preserve"> </w:t>
      </w:r>
      <w:r>
        <w:rPr>
          <w:rFonts w:ascii="Times New Roman" w:hAnsi="Times New Roman" w:eastAsia="Times New Roman" w:cs="Times New Roman"/>
          <w:sz w:val="24"/>
          <w:szCs w:val="24"/>
          <w:spacing w:val="-1"/>
        </w:rPr>
        <w:t>128.49hm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，设计平均</w:t>
      </w:r>
      <w:r>
        <w:rPr>
          <w:rFonts w:ascii="SimSun" w:hAnsi="SimSun" w:eastAsia="SimSun" w:cs="SimSun"/>
          <w:sz w:val="24"/>
          <w:szCs w:val="24"/>
          <w:spacing w:val="-4"/>
        </w:rPr>
        <w:t>剥离厚度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，总剥离量为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1284900m</w:t>
      </w:r>
      <w:r>
        <w:rPr>
          <w:rFonts w:ascii="Times New Roman" w:hAnsi="Times New Roman" w:eastAsia="Times New Roman" w:cs="Times New Roman"/>
          <w:sz w:val="15"/>
          <w:szCs w:val="15"/>
          <w:spacing w:val="-5"/>
          <w:position w:val="7"/>
        </w:rPr>
        <w:t>3</w:t>
      </w:r>
      <w:r>
        <w:rPr>
          <w:rFonts w:ascii="SimSun" w:hAnsi="SimSun" w:eastAsia="SimSun" w:cs="SimSun"/>
          <w:sz w:val="24"/>
          <w:szCs w:val="24"/>
          <w:spacing w:val="-5"/>
        </w:rPr>
        <w:t>。</w:t>
      </w:r>
    </w:p>
    <w:p>
      <w:pPr>
        <w:ind w:left="493"/>
        <w:spacing w:line="219" w:lineRule="auto"/>
        <w:rPr>
          <w:rFonts w:ascii="SimSun" w:hAnsi="SimSun" w:eastAsia="SimSun" w:cs="SimSun"/>
          <w:sz w:val="24"/>
          <w:szCs w:val="24"/>
        </w:rPr>
      </w:pPr>
      <w:r>
        <w:rPr>
          <w:rFonts w:ascii="SimSun" w:hAnsi="SimSun" w:eastAsia="SimSun" w:cs="SimSun"/>
          <w:sz w:val="24"/>
          <w:szCs w:val="24"/>
          <w:spacing w:val="-2"/>
        </w:rPr>
        <w:t>二、内排土场工程量</w:t>
      </w:r>
    </w:p>
    <w:p>
      <w:pPr>
        <w:ind w:left="495"/>
        <w:spacing w:before="155"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）平整工程</w:t>
      </w:r>
    </w:p>
    <w:p>
      <w:pPr>
        <w:ind w:left="8" w:right="92" w:firstLine="480"/>
        <w:spacing w:before="155" w:line="338" w:lineRule="auto"/>
        <w:rPr>
          <w:rFonts w:ascii="SimSun" w:hAnsi="SimSun" w:eastAsia="SimSun" w:cs="SimSun"/>
          <w:sz w:val="24"/>
          <w:szCs w:val="24"/>
        </w:rPr>
      </w:pPr>
      <w:r>
        <w:rPr>
          <w:rFonts w:ascii="SimSun" w:hAnsi="SimSun" w:eastAsia="SimSun" w:cs="SimSun"/>
          <w:sz w:val="24"/>
          <w:szCs w:val="24"/>
        </w:rPr>
        <w:t>对已达到内排高度的顶部平台进行平整，平</w:t>
      </w:r>
      <w:r>
        <w:rPr>
          <w:rFonts w:ascii="SimSun" w:hAnsi="SimSun" w:eastAsia="SimSun" w:cs="SimSun"/>
          <w:sz w:val="24"/>
          <w:szCs w:val="24"/>
          <w:spacing w:val="-1"/>
        </w:rPr>
        <w:t>整面积为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206.5hm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，平整厚度</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0.3m</w:t>
      </w:r>
      <w:r>
        <w:rPr>
          <w:rFonts w:ascii="SimSun" w:hAnsi="SimSun" w:eastAsia="SimSun" w:cs="SimSun"/>
          <w:sz w:val="24"/>
          <w:szCs w:val="24"/>
          <w:spacing w:val="-1"/>
        </w:rPr>
        <w:t>，</w:t>
      </w:r>
      <w:r>
        <w:rPr>
          <w:rFonts w:ascii="SimSun" w:hAnsi="SimSun" w:eastAsia="SimSun" w:cs="SimSun"/>
          <w:sz w:val="24"/>
          <w:szCs w:val="24"/>
          <w:spacing w:val="-2"/>
        </w:rPr>
        <w:t>平整工程量</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2"/>
        </w:rPr>
        <w:t>619500m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w:t>
      </w:r>
    </w:p>
    <w:p>
      <w:pPr>
        <w:ind w:left="495"/>
        <w:spacing w:line="220" w:lineRule="auto"/>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SimSun" w:hAnsi="SimSun" w:eastAsia="SimSun" w:cs="SimSun"/>
          <w:sz w:val="24"/>
          <w:szCs w:val="24"/>
          <w:spacing w:val="-4"/>
        </w:rPr>
        <w:t>）覆土</w:t>
      </w:r>
    </w:p>
    <w:p>
      <w:pPr>
        <w:ind w:left="10" w:right="38" w:firstLine="479"/>
        <w:spacing w:before="155" w:line="335" w:lineRule="auto"/>
        <w:rPr>
          <w:rFonts w:ascii="SimSun" w:hAnsi="SimSun" w:eastAsia="SimSun" w:cs="SimSun"/>
          <w:sz w:val="24"/>
          <w:szCs w:val="24"/>
        </w:rPr>
      </w:pPr>
      <w:r>
        <w:rPr>
          <w:rFonts w:ascii="SimSun" w:hAnsi="SimSun" w:eastAsia="SimSun" w:cs="SimSun"/>
          <w:sz w:val="24"/>
          <w:szCs w:val="24"/>
          <w:spacing w:val="8"/>
        </w:rPr>
        <w:t>根据工程设计，近期恢复草地面积为</w:t>
      </w:r>
      <w:r>
        <w:rPr>
          <w:rFonts w:ascii="SimSun" w:hAnsi="SimSun" w:eastAsia="SimSun" w:cs="SimSun"/>
          <w:sz w:val="24"/>
          <w:szCs w:val="24"/>
          <w:spacing w:val="-26"/>
        </w:rPr>
        <w:t xml:space="preserve"> </w:t>
      </w:r>
      <w:r>
        <w:rPr>
          <w:rFonts w:ascii="Times New Roman" w:hAnsi="Times New Roman" w:eastAsia="Times New Roman" w:cs="Times New Roman"/>
          <w:sz w:val="24"/>
          <w:szCs w:val="24"/>
          <w:spacing w:val="8"/>
        </w:rPr>
        <w:t>203.48</w:t>
      </w:r>
      <w:r>
        <w:rPr>
          <w:rFonts w:ascii="Times New Roman" w:hAnsi="Times New Roman" w:eastAsia="Times New Roman" w:cs="Times New Roman"/>
          <w:sz w:val="24"/>
          <w:szCs w:val="24"/>
        </w:rPr>
        <w:t>hm</w:t>
      </w:r>
      <w:r>
        <w:rPr>
          <w:rFonts w:ascii="Times New Roman" w:hAnsi="Times New Roman" w:eastAsia="Times New Roman" w:cs="Times New Roman"/>
          <w:sz w:val="15"/>
          <w:szCs w:val="15"/>
          <w:spacing w:val="8"/>
          <w:position w:val="8"/>
        </w:rPr>
        <w:t>2 </w:t>
      </w:r>
      <w:r>
        <w:rPr>
          <w:rFonts w:ascii="SimSun" w:hAnsi="SimSun" w:eastAsia="SimSun" w:cs="SimSun"/>
          <w:sz w:val="24"/>
          <w:szCs w:val="24"/>
          <w:spacing w:val="8"/>
        </w:rPr>
        <w:t>，覆土厚度</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8"/>
        </w:rPr>
        <w:t>0.3m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8"/>
        </w:rPr>
        <w:t>，覆土工程量</w:t>
      </w:r>
      <w:r>
        <w:rPr>
          <w:rFonts w:ascii="Times New Roman" w:hAnsi="Times New Roman" w:eastAsia="Times New Roman" w:cs="Times New Roman"/>
          <w:sz w:val="24"/>
          <w:szCs w:val="24"/>
          <w:spacing w:val="-1"/>
        </w:rPr>
        <w:t>610440m</w:t>
      </w:r>
      <w:r>
        <w:rPr>
          <w:rFonts w:ascii="Times New Roman" w:hAnsi="Times New Roman" w:eastAsia="Times New Roman" w:cs="Times New Roman"/>
          <w:sz w:val="15"/>
          <w:szCs w:val="15"/>
          <w:spacing w:val="-1"/>
          <w:position w:val="7"/>
        </w:rPr>
        <w:t>3</w:t>
      </w:r>
      <w:r>
        <w:rPr>
          <w:rFonts w:ascii="SimSun" w:hAnsi="SimSun" w:eastAsia="SimSun" w:cs="SimSun"/>
          <w:sz w:val="24"/>
          <w:szCs w:val="24"/>
          <w:spacing w:val="-1"/>
        </w:rPr>
        <w:t>。</w:t>
      </w:r>
    </w:p>
    <w:p>
      <w:pPr>
        <w:ind w:left="495"/>
        <w:spacing w:before="8"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）素土路面</w:t>
      </w:r>
    </w:p>
    <w:p>
      <w:pPr>
        <w:ind w:left="9" w:right="38" w:firstLine="478"/>
        <w:spacing w:before="156" w:line="338" w:lineRule="auto"/>
        <w:rPr>
          <w:rFonts w:ascii="SimSun" w:hAnsi="SimSun" w:eastAsia="SimSun" w:cs="SimSun"/>
          <w:sz w:val="24"/>
          <w:szCs w:val="24"/>
        </w:rPr>
      </w:pPr>
      <w:r>
        <w:rPr>
          <w:rFonts w:ascii="SimSun" w:hAnsi="SimSun" w:eastAsia="SimSun" w:cs="SimSun"/>
          <w:sz w:val="24"/>
          <w:szCs w:val="24"/>
          <w:spacing w:val="-2"/>
        </w:rPr>
        <w:t>在内排土场上部修建道路，利用露天开采剥离的土石方用于路基铺垫，修建长度为</w:t>
      </w:r>
      <w:r>
        <w:rPr>
          <w:rFonts w:ascii="Times New Roman" w:hAnsi="Times New Roman" w:eastAsia="Times New Roman" w:cs="Times New Roman"/>
          <w:sz w:val="24"/>
          <w:szCs w:val="24"/>
          <w:spacing w:val="-3"/>
        </w:rPr>
        <w:t>3.02km</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，道路宽度为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3"/>
        </w:rPr>
        <w:t>，修建素土路面面积为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30200</w:t>
      </w:r>
      <w:r>
        <w:rPr>
          <w:rFonts w:ascii="Times New Roman" w:hAnsi="Times New Roman" w:eastAsia="Times New Roman" w:cs="Times New Roman"/>
          <w:sz w:val="24"/>
          <w:szCs w:val="24"/>
          <w:spacing w:val="-4"/>
        </w:rPr>
        <w:t>m</w:t>
      </w:r>
      <w:r>
        <w:rPr>
          <w:rFonts w:ascii="Times New Roman" w:hAnsi="Times New Roman" w:eastAsia="Times New Roman" w:cs="Times New Roman"/>
          <w:sz w:val="15"/>
          <w:szCs w:val="15"/>
          <w:spacing w:val="-4"/>
          <w:position w:val="8"/>
        </w:rPr>
        <w:t>2</w:t>
      </w:r>
      <w:r>
        <w:rPr>
          <w:rFonts w:ascii="SimSun" w:hAnsi="SimSun" w:eastAsia="SimSun" w:cs="SimSun"/>
          <w:sz w:val="24"/>
          <w:szCs w:val="24"/>
          <w:spacing w:val="-4"/>
        </w:rPr>
        <w:t>。</w:t>
      </w:r>
    </w:p>
    <w:p>
      <w:pPr>
        <w:ind w:left="495"/>
        <w:spacing w:before="1"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）恢复植被工程</w:t>
      </w:r>
    </w:p>
    <w:p>
      <w:pPr>
        <w:ind w:left="489"/>
        <w:spacing w:before="156" w:line="219" w:lineRule="auto"/>
        <w:rPr>
          <w:rFonts w:ascii="SimSun" w:hAnsi="SimSun" w:eastAsia="SimSun" w:cs="SimSun"/>
          <w:sz w:val="24"/>
          <w:szCs w:val="24"/>
        </w:rPr>
      </w:pPr>
      <w:r>
        <w:rPr>
          <w:rFonts w:ascii="SimSun" w:hAnsi="SimSun" w:eastAsia="SimSun" w:cs="SimSun"/>
          <w:sz w:val="24"/>
          <w:szCs w:val="24"/>
          <w:spacing w:val="-1"/>
        </w:rPr>
        <w:t>根据工程设计，恢复草地面积为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1"/>
        </w:rPr>
        <w:t>203.48hm</w:t>
      </w:r>
      <w:r>
        <w:rPr>
          <w:rFonts w:ascii="Times New Roman" w:hAnsi="Times New Roman" w:eastAsia="Times New Roman" w:cs="Times New Roman"/>
          <w:sz w:val="15"/>
          <w:szCs w:val="15"/>
          <w:spacing w:val="-1"/>
          <w:position w:val="8"/>
        </w:rPr>
        <w:t>2</w:t>
      </w:r>
      <w:r>
        <w:rPr>
          <w:rFonts w:ascii="SimSun" w:hAnsi="SimSun" w:eastAsia="SimSun" w:cs="SimSun"/>
          <w:sz w:val="24"/>
          <w:szCs w:val="24"/>
          <w:spacing w:val="-1"/>
        </w:rPr>
        <w:t>。</w:t>
      </w:r>
    </w:p>
    <w:p>
      <w:pPr>
        <w:ind w:left="8"/>
        <w:spacing w:before="186" w:line="221" w:lineRule="auto"/>
        <w:rPr>
          <w:rFonts w:ascii="SimHei" w:hAnsi="SimHei" w:eastAsia="SimHei" w:cs="SimHei"/>
          <w:sz w:val="24"/>
          <w:szCs w:val="24"/>
        </w:rPr>
      </w:pPr>
      <w:r>
        <w:rPr>
          <w:rFonts w:ascii="Times New Roman" w:hAnsi="Times New Roman" w:eastAsia="Times New Roman" w:cs="Times New Roman"/>
          <w:sz w:val="24"/>
          <w:szCs w:val="24"/>
          <w:b/>
          <w:bCs/>
          <w:spacing w:val="-2"/>
        </w:rPr>
        <w:t>7.1.2.5 </w:t>
      </w:r>
      <w:r>
        <w:rPr>
          <w:rFonts w:ascii="SimHei" w:hAnsi="SimHei" w:eastAsia="SimHei" w:cs="SimHei"/>
          <w:sz w:val="24"/>
          <w:szCs w:val="24"/>
          <w:b/>
          <w:bCs/>
          <w:spacing w:val="-2"/>
        </w:rPr>
        <w:t>生态恢复措施的可行性和有效性分析</w:t>
      </w:r>
    </w:p>
    <w:p>
      <w:pPr>
        <w:spacing w:line="221" w:lineRule="auto"/>
        <w:sectPr>
          <w:headerReference w:type="default" r:id="rId476"/>
          <w:footerReference w:type="default" r:id="rId504"/>
          <w:pgSz w:w="11906" w:h="16838"/>
          <w:pgMar w:top="1114" w:right="1378" w:bottom="1080" w:left="1416" w:header="837" w:footer="918" w:gutter="0"/>
        </w:sectPr>
        <w:rPr>
          <w:rFonts w:ascii="SimHei" w:hAnsi="SimHei" w:eastAsia="SimHei" w:cs="SimHei"/>
          <w:sz w:val="24"/>
          <w:szCs w:val="24"/>
        </w:rPr>
      </w:pPr>
    </w:p>
    <w:p>
      <w:pPr>
        <w:pStyle w:val="BodyText"/>
        <w:spacing w:line="366" w:lineRule="auto"/>
        <w:rPr/>
      </w:pPr>
      <w:r/>
    </w:p>
    <w:p>
      <w:pPr>
        <w:ind w:left="9" w:right="85" w:firstLine="514"/>
        <w:spacing w:before="78" w:line="339" w:lineRule="auto"/>
        <w:jc w:val="both"/>
        <w:rPr>
          <w:rFonts w:ascii="SimSun" w:hAnsi="SimSun" w:eastAsia="SimSun" w:cs="SimSun"/>
          <w:sz w:val="24"/>
          <w:szCs w:val="24"/>
        </w:rPr>
      </w:pPr>
      <w:bookmarkStart w:name="bookmark108" w:id="82"/>
      <w:bookmarkEnd w:id="82"/>
      <w:r>
        <w:rPr>
          <w:rFonts w:ascii="SimSun" w:hAnsi="SimSun" w:eastAsia="SimSun" w:cs="SimSun"/>
          <w:sz w:val="24"/>
          <w:szCs w:val="24"/>
          <w:spacing w:val="-3"/>
        </w:rPr>
        <w:t>白音华四号矿周边的白音华煤田一号露天煤矿、白音华煤田二号露天矿近几年已陆</w:t>
      </w:r>
      <w:r>
        <w:rPr>
          <w:rFonts w:ascii="SimSun" w:hAnsi="SimSun" w:eastAsia="SimSun" w:cs="SimSun"/>
          <w:sz w:val="24"/>
          <w:szCs w:val="24"/>
          <w:spacing w:val="-2"/>
        </w:rPr>
        <w:t>续完成部分矿山地质环境治理工作，取得了相对较好的治理效果。本项目与以上两座矿</w:t>
      </w:r>
      <w:r>
        <w:rPr>
          <w:rFonts w:ascii="SimSun" w:hAnsi="SimSun" w:eastAsia="SimSun" w:cs="SimSun"/>
          <w:sz w:val="24"/>
          <w:szCs w:val="24"/>
          <w:spacing w:val="-2"/>
        </w:rPr>
        <w:t>山同属锡林郭勒盟西乌珠穆沁旗，在地区气候特征、矿山开采工艺、造成的地质环境问</w:t>
      </w:r>
      <w:r>
        <w:rPr>
          <w:rFonts w:ascii="SimSun" w:hAnsi="SimSun" w:eastAsia="SimSun" w:cs="SimSun"/>
          <w:sz w:val="24"/>
          <w:szCs w:val="24"/>
          <w:spacing w:val="-2"/>
        </w:rPr>
        <w:t>题等基本相似。</w:t>
      </w:r>
    </w:p>
    <w:p>
      <w:pPr>
        <w:ind w:left="495"/>
        <w:spacing w:line="219" w:lineRule="auto"/>
        <w:rPr>
          <w:rFonts w:ascii="SimSun" w:hAnsi="SimSun" w:eastAsia="SimSun" w:cs="SimSun"/>
          <w:sz w:val="24"/>
          <w:szCs w:val="24"/>
        </w:rPr>
      </w:pPr>
      <w:r>
        <w:rPr>
          <w:rFonts w:ascii="SimSun" w:hAnsi="SimSun" w:eastAsia="SimSun" w:cs="SimSun"/>
          <w:sz w:val="24"/>
          <w:szCs w:val="24"/>
          <w:spacing w:val="-2"/>
        </w:rPr>
        <w:t>（一）白音华煤田一号露天煤矿</w:t>
      </w:r>
    </w:p>
    <w:p>
      <w:pPr>
        <w:ind w:left="8" w:firstLine="515"/>
        <w:spacing w:before="151" w:line="339" w:lineRule="auto"/>
        <w:jc w:val="both"/>
        <w:rPr>
          <w:rFonts w:ascii="SimSun" w:hAnsi="SimSun" w:eastAsia="SimSun" w:cs="SimSun"/>
          <w:sz w:val="24"/>
          <w:szCs w:val="24"/>
        </w:rPr>
      </w:pPr>
      <w:r>
        <w:rPr>
          <w:rFonts w:ascii="SimSun" w:hAnsi="SimSun" w:eastAsia="SimSun" w:cs="SimSun"/>
          <w:sz w:val="24"/>
          <w:szCs w:val="24"/>
          <w:spacing w:val="-1"/>
        </w:rPr>
        <w:t>白音华一号露天煤矿位于白音华四号矿西南</w:t>
      </w:r>
      <w:r>
        <w:rPr>
          <w:rFonts w:ascii="SimSun" w:hAnsi="SimSun" w:eastAsia="SimSun" w:cs="SimSun"/>
          <w:sz w:val="24"/>
          <w:szCs w:val="24"/>
          <w:spacing w:val="-23"/>
        </w:rPr>
        <w:t xml:space="preserve"> </w:t>
      </w:r>
      <w:r>
        <w:rPr>
          <w:rFonts w:ascii="Times New Roman" w:hAnsi="Times New Roman" w:eastAsia="Times New Roman" w:cs="Times New Roman"/>
          <w:sz w:val="24"/>
          <w:szCs w:val="24"/>
          <w:spacing w:val="-1"/>
        </w:rPr>
        <w:t>18km  </w:t>
      </w:r>
      <w:r>
        <w:rPr>
          <w:rFonts w:ascii="SimSun" w:hAnsi="SimSun" w:eastAsia="SimSun" w:cs="SimSun"/>
          <w:sz w:val="24"/>
          <w:szCs w:val="24"/>
          <w:spacing w:val="-2"/>
        </w:rPr>
        <w:t>处，相对位置见图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3-2-2</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2"/>
        </w:rPr>
        <w:t>。矿区</w:t>
      </w:r>
      <w:r>
        <w:rPr>
          <w:rFonts w:ascii="SimSun" w:hAnsi="SimSun" w:eastAsia="SimSun" w:cs="SimSun"/>
          <w:sz w:val="24"/>
          <w:szCs w:val="24"/>
          <w:spacing w:val="-1"/>
        </w:rPr>
        <w:t>面积</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19.9145km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1"/>
        </w:rPr>
        <w:t>，开采方式为露天开采，</w:t>
      </w:r>
      <w:r>
        <w:rPr>
          <w:rFonts w:ascii="SimSun" w:hAnsi="SimSun" w:eastAsia="SimSun" w:cs="SimSun"/>
          <w:sz w:val="24"/>
          <w:szCs w:val="24"/>
          <w:spacing w:val="-2"/>
        </w:rPr>
        <w:t>生产规模</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700  </w:t>
      </w:r>
      <w:r>
        <w:rPr>
          <w:rFonts w:ascii="SimSun" w:hAnsi="SimSun" w:eastAsia="SimSun" w:cs="SimSun"/>
          <w:sz w:val="24"/>
          <w:szCs w:val="24"/>
          <w:spacing w:val="-2"/>
        </w:rPr>
        <w:t>万吨</w:t>
      </w:r>
      <w:r>
        <w:rPr>
          <w:rFonts w:ascii="Times New Roman" w:hAnsi="Times New Roman" w:eastAsia="Times New Roman" w:cs="Times New Roman"/>
          <w:sz w:val="24"/>
          <w:szCs w:val="24"/>
          <w:spacing w:val="-2"/>
        </w:rPr>
        <w:t>/</w:t>
      </w:r>
      <w:r>
        <w:rPr>
          <w:rFonts w:ascii="SimSun" w:hAnsi="SimSun" w:eastAsia="SimSun" w:cs="SimSun"/>
          <w:sz w:val="24"/>
          <w:szCs w:val="24"/>
          <w:spacing w:val="-2"/>
        </w:rPr>
        <w:t>年。</w:t>
      </w:r>
      <w:r>
        <w:rPr>
          <w:rFonts w:ascii="SimSun" w:hAnsi="SimSun" w:eastAsia="SimSun" w:cs="SimSun"/>
          <w:sz w:val="24"/>
          <w:szCs w:val="24"/>
          <w:spacing w:val="-65"/>
        </w:rPr>
        <w:t xml:space="preserve"> </w:t>
      </w:r>
      <w:r>
        <w:rPr>
          <w:rFonts w:ascii="SimSun" w:hAnsi="SimSun" w:eastAsia="SimSun" w:cs="SimSun"/>
          <w:sz w:val="24"/>
          <w:szCs w:val="24"/>
          <w:spacing w:val="-2"/>
        </w:rPr>
        <w:t>目前由于矿区开采，</w:t>
      </w:r>
      <w:r>
        <w:rPr>
          <w:rFonts w:ascii="SimSun" w:hAnsi="SimSun" w:eastAsia="SimSun" w:cs="SimSun"/>
          <w:sz w:val="24"/>
          <w:szCs w:val="24"/>
          <w:spacing w:val="1"/>
        </w:rPr>
        <w:t>对土地造成严重破坏，矿区所处位置一般海拔为</w:t>
      </w:r>
      <w:r>
        <w:rPr>
          <w:rFonts w:ascii="Times New Roman" w:hAnsi="Times New Roman" w:eastAsia="Times New Roman" w:cs="Times New Roman"/>
          <w:sz w:val="24"/>
          <w:szCs w:val="24"/>
          <w:spacing w:val="1"/>
        </w:rPr>
        <w:t>+1000~+1050m</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，地形</w:t>
      </w:r>
      <w:r>
        <w:rPr>
          <w:rFonts w:ascii="SimSun" w:hAnsi="SimSun" w:eastAsia="SimSun" w:cs="SimSun"/>
          <w:sz w:val="24"/>
          <w:szCs w:val="24"/>
        </w:rPr>
        <w:t>较为平缓。主要</w:t>
      </w:r>
      <w:r>
        <w:rPr>
          <w:rFonts w:ascii="SimSun" w:hAnsi="SimSun" w:eastAsia="SimSun" w:cs="SimSun"/>
          <w:sz w:val="24"/>
          <w:szCs w:val="24"/>
          <w:spacing w:val="-2"/>
        </w:rPr>
        <w:t>地貌特征为高原低山缓坡丘陵地形，狭长条带状草原沼泽地貌。植被覆</w:t>
      </w:r>
      <w:r>
        <w:rPr>
          <w:rFonts w:ascii="SimSun" w:hAnsi="SimSun" w:eastAsia="SimSun" w:cs="SimSun"/>
          <w:sz w:val="24"/>
          <w:szCs w:val="24"/>
          <w:spacing w:val="-3"/>
        </w:rPr>
        <w:t>盖率</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30%~70%</w:t>
      </w:r>
      <w:r>
        <w:rPr>
          <w:rFonts w:ascii="SimSun" w:hAnsi="SimSun" w:eastAsia="SimSun" w:cs="SimSun"/>
          <w:sz w:val="24"/>
          <w:szCs w:val="24"/>
          <w:spacing w:val="-3"/>
        </w:rPr>
        <w:t>。</w:t>
      </w:r>
      <w:r>
        <w:rPr>
          <w:rFonts w:ascii="SimSun" w:hAnsi="SimSun" w:eastAsia="SimSun" w:cs="SimSun"/>
          <w:sz w:val="24"/>
          <w:szCs w:val="24"/>
          <w:spacing w:val="-1"/>
        </w:rPr>
        <w:t>经过现场调查分析，其与本矿山环境条件基本一致。</w:t>
      </w:r>
    </w:p>
    <w:p>
      <w:pPr>
        <w:ind w:left="8" w:right="85" w:firstLine="481"/>
        <w:spacing w:before="1" w:line="338" w:lineRule="auto"/>
        <w:jc w:val="both"/>
        <w:rPr>
          <w:rFonts w:ascii="SimSun" w:hAnsi="SimSun" w:eastAsia="SimSun" w:cs="SimSun"/>
          <w:sz w:val="24"/>
          <w:szCs w:val="24"/>
        </w:rPr>
      </w:pPr>
      <w:r>
        <w:rPr>
          <w:rFonts w:ascii="SimSun" w:hAnsi="SimSun" w:eastAsia="SimSun" w:cs="SimSun"/>
          <w:sz w:val="24"/>
          <w:szCs w:val="24"/>
          <w:spacing w:val="-2"/>
        </w:rPr>
        <w:t>其对内排土场、外排土场的边坡复垦工程如下，一号露天煤矿于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2011-2016  </w:t>
      </w:r>
      <w:r>
        <w:rPr>
          <w:rFonts w:ascii="SimSun" w:hAnsi="SimSun" w:eastAsia="SimSun" w:cs="SimSun"/>
          <w:sz w:val="24"/>
          <w:szCs w:val="24"/>
          <w:spacing w:val="-2"/>
        </w:rPr>
        <w:t>年对排</w:t>
      </w:r>
      <w:r>
        <w:rPr>
          <w:rFonts w:ascii="SimSun" w:hAnsi="SimSun" w:eastAsia="SimSun" w:cs="SimSun"/>
          <w:sz w:val="24"/>
          <w:szCs w:val="24"/>
          <w:spacing w:val="-2"/>
        </w:rPr>
        <w:t>土场的复垦，排土场复垦工程如下：覆土、平整、修建挡水围梗、设置沙障、种草。根</w:t>
      </w:r>
      <w:r>
        <w:rPr>
          <w:rFonts w:ascii="SimSun" w:hAnsi="SimSun" w:eastAsia="SimSun" w:cs="SimSun"/>
          <w:sz w:val="24"/>
          <w:szCs w:val="24"/>
          <w:spacing w:val="-4"/>
        </w:rPr>
        <w:t>据调查，</w:t>
      </w:r>
      <w:r>
        <w:rPr>
          <w:rFonts w:ascii="SimSun" w:hAnsi="SimSun" w:eastAsia="SimSun" w:cs="SimSun"/>
          <w:sz w:val="24"/>
          <w:szCs w:val="24"/>
          <w:spacing w:val="-58"/>
        </w:rPr>
        <w:t xml:space="preserve"> </w:t>
      </w:r>
      <w:r>
        <w:rPr>
          <w:rFonts w:ascii="SimSun" w:hAnsi="SimSun" w:eastAsia="SimSun" w:cs="SimSun"/>
          <w:sz w:val="24"/>
          <w:szCs w:val="24"/>
          <w:spacing w:val="-4"/>
        </w:rPr>
        <w:t>目前复垦工程已全部实施完成。</w:t>
      </w:r>
    </w:p>
    <w:p>
      <w:pPr>
        <w:ind w:left="9" w:firstLine="483"/>
        <w:spacing w:before="3" w:line="310" w:lineRule="auto"/>
        <w:jc w:val="both"/>
        <w:rPr>
          <w:rFonts w:ascii="SimSun" w:hAnsi="SimSun" w:eastAsia="SimSun" w:cs="SimSun"/>
          <w:sz w:val="24"/>
          <w:szCs w:val="24"/>
        </w:rPr>
      </w:pPr>
      <w:r>
        <w:rPr>
          <w:rFonts w:ascii="SimSun" w:hAnsi="SimSun" w:eastAsia="SimSun" w:cs="SimSun"/>
          <w:sz w:val="24"/>
          <w:szCs w:val="24"/>
          <w:spacing w:val="-2"/>
        </w:rPr>
        <w:t>一号露天煤矿目前累积投入治理资金</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2"/>
        </w:rPr>
        <w:t>4513.21 </w:t>
      </w:r>
      <w:r>
        <w:rPr>
          <w:rFonts w:ascii="SimSun" w:hAnsi="SimSun" w:eastAsia="SimSun" w:cs="SimSun"/>
          <w:sz w:val="24"/>
          <w:szCs w:val="24"/>
          <w:spacing w:val="-2"/>
        </w:rPr>
        <w:t>万元，其中</w:t>
      </w:r>
      <w:r>
        <w:rPr>
          <w:rFonts w:ascii="Times New Roman" w:hAnsi="Times New Roman" w:eastAsia="Times New Roman" w:cs="Times New Roman"/>
          <w:sz w:val="24"/>
          <w:szCs w:val="24"/>
          <w:spacing w:val="-2"/>
        </w:rPr>
        <w:t>2014-2016 </w:t>
      </w:r>
      <w:r>
        <w:rPr>
          <w:rFonts w:ascii="SimSun" w:hAnsi="SimSun" w:eastAsia="SimSun" w:cs="SimSun"/>
          <w:sz w:val="24"/>
          <w:szCs w:val="24"/>
          <w:spacing w:val="-2"/>
        </w:rPr>
        <w:t>年投入资金</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w:t>
      </w:r>
      <w:r>
        <w:rPr>
          <w:rFonts w:ascii="Times New Roman" w:hAnsi="Times New Roman" w:eastAsia="Times New Roman" w:cs="Times New Roman"/>
          <w:sz w:val="24"/>
          <w:szCs w:val="24"/>
          <w:spacing w:val="-3"/>
        </w:rPr>
        <w:t>12</w:t>
      </w:r>
      <w:r>
        <w:rPr>
          <w:rFonts w:ascii="SimSun" w:hAnsi="SimSun" w:eastAsia="SimSun" w:cs="SimSun"/>
          <w:sz w:val="24"/>
          <w:szCs w:val="24"/>
        </w:rPr>
        <w:t>万元，</w:t>
      </w:r>
      <w:r>
        <w:rPr>
          <w:rFonts w:ascii="Times New Roman" w:hAnsi="Times New Roman" w:eastAsia="Times New Roman" w:cs="Times New Roman"/>
          <w:sz w:val="24"/>
          <w:szCs w:val="24"/>
        </w:rPr>
        <w:t>2011-2013 </w:t>
      </w:r>
      <w:r>
        <w:rPr>
          <w:rFonts w:ascii="SimSun" w:hAnsi="SimSun" w:eastAsia="SimSun" w:cs="SimSun"/>
          <w:sz w:val="24"/>
          <w:szCs w:val="24"/>
        </w:rPr>
        <w:t>年投入资金</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3601.21</w:t>
      </w:r>
      <w:r>
        <w:rPr>
          <w:rFonts w:ascii="Times New Roman" w:hAnsi="Times New Roman" w:eastAsia="Times New Roman" w:cs="Times New Roman"/>
          <w:sz w:val="24"/>
          <w:szCs w:val="24"/>
          <w:spacing w:val="20"/>
        </w:rPr>
        <w:t xml:space="preserve"> </w:t>
      </w:r>
      <w:r>
        <w:rPr>
          <w:rFonts w:ascii="SimSun" w:hAnsi="SimSun" w:eastAsia="SimSun" w:cs="SimSun"/>
          <w:sz w:val="24"/>
          <w:szCs w:val="24"/>
        </w:rPr>
        <w:t>万元。复垦工业广场面积</w:t>
      </w:r>
      <w:r>
        <w:rPr>
          <w:rFonts w:ascii="SimSun" w:hAnsi="SimSun" w:eastAsia="SimSun" w:cs="SimSun"/>
          <w:sz w:val="24"/>
          <w:szCs w:val="24"/>
          <w:spacing w:val="-47"/>
        </w:rPr>
        <w:t xml:space="preserve"> </w:t>
      </w:r>
      <w:r>
        <w:rPr>
          <w:rFonts w:ascii="Times New Roman" w:hAnsi="Times New Roman" w:eastAsia="Times New Roman" w:cs="Times New Roman"/>
          <w:sz w:val="24"/>
          <w:szCs w:val="24"/>
        </w:rPr>
        <w:t>69.49hm</w:t>
      </w:r>
      <w:r>
        <w:rPr>
          <w:rFonts w:ascii="Times New Roman" w:hAnsi="Times New Roman" w:eastAsia="Times New Roman" w:cs="Times New Roman"/>
          <w:sz w:val="15"/>
          <w:szCs w:val="15"/>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rPr>
        <w:t>；南</w:t>
      </w:r>
      <w:r>
        <w:rPr>
          <w:rFonts w:ascii="SimSun" w:hAnsi="SimSun" w:eastAsia="SimSun" w:cs="SimSun"/>
          <w:sz w:val="24"/>
          <w:szCs w:val="24"/>
          <w:spacing w:val="-1"/>
        </w:rPr>
        <w:t>排土场植</w:t>
      </w:r>
      <w:r>
        <w:rPr>
          <w:rFonts w:ascii="SimSun" w:hAnsi="SimSun" w:eastAsia="SimSun" w:cs="SimSun"/>
          <w:sz w:val="24"/>
          <w:szCs w:val="24"/>
          <w:spacing w:val="-3"/>
        </w:rPr>
        <w:t>被恢复面积</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3"/>
        </w:rPr>
        <w:t>54.34hm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3"/>
        </w:rPr>
        <w:t>，北排土场植被恢复面积</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63.02hm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3"/>
        </w:rPr>
        <w:t>，排土场外围防护林</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14.38hm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r>
        <w:rPr>
          <w:rFonts w:ascii="SimSun" w:hAnsi="SimSun" w:eastAsia="SimSun" w:cs="SimSun"/>
          <w:sz w:val="24"/>
          <w:szCs w:val="24"/>
          <w:spacing w:val="-1"/>
        </w:rPr>
        <w:t>合计矿区内绿化面积为</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238.34hm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ind w:firstLine="480"/>
        <w:spacing w:line="2551" w:lineRule="exact"/>
        <w:rPr/>
      </w:pPr>
      <w:r>
        <w:drawing>
          <wp:anchor distT="0" distB="0" distL="0" distR="0" simplePos="0" relativeHeight="277337088" behindDoc="0" locked="0" layoutInCell="1" allowOverlap="1">
            <wp:simplePos x="0" y="0"/>
            <wp:positionH relativeFrom="column">
              <wp:posOffset>2604515</wp:posOffset>
            </wp:positionH>
            <wp:positionV relativeFrom="paragraph">
              <wp:posOffset>0</wp:posOffset>
            </wp:positionV>
            <wp:extent cx="2264664" cy="1620011"/>
            <wp:effectExtent l="0" t="0" r="0" b="0"/>
            <wp:wrapNone/>
            <wp:docPr id="330" name="IM 330"/>
            <wp:cNvGraphicFramePr/>
            <a:graphic>
              <a:graphicData uri="http://schemas.openxmlformats.org/drawingml/2006/picture">
                <pic:pic>
                  <pic:nvPicPr>
                    <pic:cNvPr id="330" name="IM 330"/>
                    <pic:cNvPicPr/>
                  </pic:nvPicPr>
                  <pic:blipFill>
                    <a:blip r:embed="rId506"/>
                    <a:stretch>
                      <a:fillRect/>
                    </a:stretch>
                  </pic:blipFill>
                  <pic:spPr>
                    <a:xfrm rot="0">
                      <a:off x="0" y="0"/>
                      <a:ext cx="2264664" cy="1620011"/>
                    </a:xfrm>
                    <a:prstGeom prst="rect">
                      <a:avLst/>
                    </a:prstGeom>
                  </pic:spPr>
                </pic:pic>
              </a:graphicData>
            </a:graphic>
          </wp:anchor>
        </w:drawing>
      </w:r>
      <w:r>
        <w:rPr>
          <w:position w:val="-51"/>
        </w:rPr>
        <w:drawing>
          <wp:inline distT="0" distB="0" distL="0" distR="0">
            <wp:extent cx="2139695" cy="1620011"/>
            <wp:effectExtent l="0" t="0" r="0" b="0"/>
            <wp:docPr id="332" name="IM 332"/>
            <wp:cNvGraphicFramePr/>
            <a:graphic>
              <a:graphicData uri="http://schemas.openxmlformats.org/drawingml/2006/picture">
                <pic:pic>
                  <pic:nvPicPr>
                    <pic:cNvPr id="332" name="IM 332"/>
                    <pic:cNvPicPr/>
                  </pic:nvPicPr>
                  <pic:blipFill>
                    <a:blip r:embed="rId507"/>
                    <a:stretch>
                      <a:fillRect/>
                    </a:stretch>
                  </pic:blipFill>
                  <pic:spPr>
                    <a:xfrm rot="0">
                      <a:off x="0" y="0"/>
                      <a:ext cx="2139695" cy="1620011"/>
                    </a:xfrm>
                    <a:prstGeom prst="rect">
                      <a:avLst/>
                    </a:prstGeom>
                  </pic:spPr>
                </pic:pic>
              </a:graphicData>
            </a:graphic>
          </wp:inline>
        </w:drawing>
      </w:r>
    </w:p>
    <w:p>
      <w:pPr>
        <w:ind w:left="3705"/>
        <w:spacing w:before="154" w:line="220" w:lineRule="auto"/>
        <w:rPr>
          <w:rFonts w:ascii="SimSun" w:hAnsi="SimSun" w:eastAsia="SimSun" w:cs="SimSun"/>
          <w:sz w:val="24"/>
          <w:szCs w:val="24"/>
        </w:rPr>
      </w:pPr>
      <w:r>
        <w:rPr>
          <w:rFonts w:ascii="SimSun" w:hAnsi="SimSun" w:eastAsia="SimSun" w:cs="SimSun"/>
          <w:sz w:val="24"/>
          <w:szCs w:val="24"/>
          <w:spacing w:val="-2"/>
        </w:rPr>
        <w:t>排土场复垦效果</w:t>
      </w:r>
    </w:p>
    <w:p>
      <w:pPr>
        <w:ind w:firstLine="480"/>
        <w:spacing w:before="9" w:line="2551" w:lineRule="exact"/>
        <w:rPr/>
      </w:pPr>
      <w:r>
        <w:drawing>
          <wp:anchor distT="0" distB="0" distL="0" distR="0" simplePos="0" relativeHeight="277338112" behindDoc="0" locked="0" layoutInCell="1" allowOverlap="1">
            <wp:simplePos x="0" y="0"/>
            <wp:positionH relativeFrom="column">
              <wp:posOffset>2666999</wp:posOffset>
            </wp:positionH>
            <wp:positionV relativeFrom="paragraph">
              <wp:posOffset>5643</wp:posOffset>
            </wp:positionV>
            <wp:extent cx="2199132" cy="1620011"/>
            <wp:effectExtent l="0" t="0" r="0" b="0"/>
            <wp:wrapNone/>
            <wp:docPr id="334" name="IM 334"/>
            <wp:cNvGraphicFramePr/>
            <a:graphic>
              <a:graphicData uri="http://schemas.openxmlformats.org/drawingml/2006/picture">
                <pic:pic>
                  <pic:nvPicPr>
                    <pic:cNvPr id="334" name="IM 334"/>
                    <pic:cNvPicPr/>
                  </pic:nvPicPr>
                  <pic:blipFill>
                    <a:blip r:embed="rId508"/>
                    <a:stretch>
                      <a:fillRect/>
                    </a:stretch>
                  </pic:blipFill>
                  <pic:spPr>
                    <a:xfrm rot="0">
                      <a:off x="0" y="0"/>
                      <a:ext cx="2199132" cy="1620011"/>
                    </a:xfrm>
                    <a:prstGeom prst="rect">
                      <a:avLst/>
                    </a:prstGeom>
                  </pic:spPr>
                </pic:pic>
              </a:graphicData>
            </a:graphic>
          </wp:anchor>
        </w:drawing>
      </w:r>
      <w:r>
        <w:rPr>
          <w:position w:val="-51"/>
        </w:rPr>
        <w:drawing>
          <wp:inline distT="0" distB="0" distL="0" distR="0">
            <wp:extent cx="2205227" cy="1620011"/>
            <wp:effectExtent l="0" t="0" r="0" b="0"/>
            <wp:docPr id="336" name="IM 336"/>
            <wp:cNvGraphicFramePr/>
            <a:graphic>
              <a:graphicData uri="http://schemas.openxmlformats.org/drawingml/2006/picture">
                <pic:pic>
                  <pic:nvPicPr>
                    <pic:cNvPr id="336" name="IM 336"/>
                    <pic:cNvPicPr/>
                  </pic:nvPicPr>
                  <pic:blipFill>
                    <a:blip r:embed="rId509"/>
                    <a:stretch>
                      <a:fillRect/>
                    </a:stretch>
                  </pic:blipFill>
                  <pic:spPr>
                    <a:xfrm rot="0">
                      <a:off x="0" y="0"/>
                      <a:ext cx="2205227" cy="1620011"/>
                    </a:xfrm>
                    <a:prstGeom prst="rect">
                      <a:avLst/>
                    </a:prstGeom>
                  </pic:spPr>
                </pic:pic>
              </a:graphicData>
            </a:graphic>
          </wp:inline>
        </w:drawing>
      </w:r>
    </w:p>
    <w:p>
      <w:pPr>
        <w:ind w:left="3588"/>
        <w:spacing w:before="154" w:line="220" w:lineRule="auto"/>
        <w:rPr>
          <w:rFonts w:ascii="SimSun" w:hAnsi="SimSun" w:eastAsia="SimSun" w:cs="SimSun"/>
          <w:sz w:val="24"/>
          <w:szCs w:val="24"/>
        </w:rPr>
      </w:pPr>
      <w:r>
        <w:rPr>
          <w:rFonts w:ascii="SimSun" w:hAnsi="SimSun" w:eastAsia="SimSun" w:cs="SimSun"/>
          <w:sz w:val="24"/>
          <w:szCs w:val="24"/>
          <w:spacing w:val="-2"/>
        </w:rPr>
        <w:t>工业场地复垦效果</w:t>
      </w:r>
    </w:p>
    <w:p>
      <w:pPr>
        <w:ind w:left="495"/>
        <w:spacing w:before="153" w:line="219" w:lineRule="auto"/>
        <w:rPr>
          <w:rFonts w:ascii="SimSun" w:hAnsi="SimSun" w:eastAsia="SimSun" w:cs="SimSun"/>
          <w:sz w:val="24"/>
          <w:szCs w:val="24"/>
        </w:rPr>
      </w:pPr>
      <w:r>
        <w:rPr>
          <w:rFonts w:ascii="SimSun" w:hAnsi="SimSun" w:eastAsia="SimSun" w:cs="SimSun"/>
          <w:sz w:val="24"/>
          <w:szCs w:val="24"/>
          <w:spacing w:val="-2"/>
        </w:rPr>
        <w:t>（二）白音华煤田二号露天矿</w:t>
      </w:r>
    </w:p>
    <w:p>
      <w:pPr>
        <w:spacing w:line="219" w:lineRule="auto"/>
        <w:sectPr>
          <w:headerReference w:type="default" r:id="rId479"/>
          <w:footerReference w:type="default" r:id="rId505"/>
          <w:pgSz w:w="11906" w:h="16838"/>
          <w:pgMar w:top="1114" w:right="1332" w:bottom="1080" w:left="1416" w:header="837" w:footer="918" w:gutter="0"/>
        </w:sectPr>
        <w:rPr>
          <w:rFonts w:ascii="SimSun" w:hAnsi="SimSun" w:eastAsia="SimSun" w:cs="SimSun"/>
          <w:sz w:val="24"/>
          <w:szCs w:val="24"/>
        </w:rPr>
      </w:pPr>
    </w:p>
    <w:p>
      <w:pPr>
        <w:pStyle w:val="BodyText"/>
        <w:spacing w:line="367" w:lineRule="auto"/>
        <w:rPr/>
      </w:pPr>
      <w:r/>
    </w:p>
    <w:p>
      <w:pPr>
        <w:ind w:left="495"/>
        <w:spacing w:before="78" w:line="219" w:lineRule="auto"/>
        <w:rPr>
          <w:rFonts w:ascii="SimSun" w:hAnsi="SimSun" w:eastAsia="SimSun" w:cs="SimSun"/>
          <w:sz w:val="24"/>
          <w:szCs w:val="24"/>
        </w:rPr>
      </w:pPr>
      <w:bookmarkStart w:name="bookmark109" w:id="83"/>
      <w:bookmarkEnd w:id="83"/>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）矿区基本情况</w:t>
      </w:r>
    </w:p>
    <w:p>
      <w:pPr>
        <w:ind w:left="10" w:right="85" w:firstLine="513"/>
        <w:spacing w:before="159" w:line="338" w:lineRule="auto"/>
        <w:rPr>
          <w:rFonts w:ascii="SimSun" w:hAnsi="SimSun" w:eastAsia="SimSun" w:cs="SimSun"/>
          <w:sz w:val="24"/>
          <w:szCs w:val="24"/>
        </w:rPr>
      </w:pPr>
      <w:r>
        <w:rPr>
          <w:rFonts w:ascii="SimSun" w:hAnsi="SimSun" w:eastAsia="SimSun" w:cs="SimSun"/>
          <w:sz w:val="24"/>
          <w:szCs w:val="24"/>
          <w:spacing w:val="-5"/>
        </w:rPr>
        <w:t>白音华煤田二号露天矿位于白音华四号矿西南</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5"/>
        </w:rPr>
        <w:t>13km</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5"/>
        </w:rPr>
        <w:t>处，相对位置见图</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3-2-2</w:t>
      </w:r>
      <w:r>
        <w:rPr>
          <w:rFonts w:ascii="SimSun" w:hAnsi="SimSun" w:eastAsia="SimSun" w:cs="SimSun"/>
          <w:sz w:val="24"/>
          <w:szCs w:val="24"/>
          <w:spacing w:val="-5"/>
        </w:rPr>
        <w:t>。矿田</w:t>
      </w:r>
      <w:r>
        <w:rPr>
          <w:rFonts w:ascii="SimSun" w:hAnsi="SimSun" w:eastAsia="SimSun" w:cs="SimSun"/>
          <w:sz w:val="24"/>
          <w:szCs w:val="24"/>
          <w:spacing w:val="-3"/>
        </w:rPr>
        <w:t>面积</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3"/>
        </w:rPr>
        <w:t>28.48km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3"/>
        </w:rPr>
        <w:t>，资源储量</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3"/>
        </w:rPr>
        <w:t>11.52  </w:t>
      </w:r>
      <w:r>
        <w:rPr>
          <w:rFonts w:ascii="SimSun" w:hAnsi="SimSun" w:eastAsia="SimSun" w:cs="SimSun"/>
          <w:sz w:val="24"/>
          <w:szCs w:val="24"/>
          <w:spacing w:val="-3"/>
        </w:rPr>
        <w:t>亿</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3"/>
        </w:rPr>
        <w:t>t</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，开采深度</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200m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，计</w:t>
      </w:r>
      <w:r>
        <w:rPr>
          <w:rFonts w:ascii="SimSun" w:hAnsi="SimSun" w:eastAsia="SimSun" w:cs="SimSun"/>
          <w:sz w:val="24"/>
          <w:szCs w:val="24"/>
          <w:spacing w:val="-4"/>
        </w:rPr>
        <w:t>划年产原煤</w:t>
      </w:r>
      <w:r>
        <w:rPr>
          <w:rFonts w:ascii="SimSun" w:hAnsi="SimSun" w:eastAsia="SimSun" w:cs="SimSun"/>
          <w:sz w:val="24"/>
          <w:szCs w:val="24"/>
          <w:spacing w:val="-24"/>
        </w:rPr>
        <w:t xml:space="preserve"> </w:t>
      </w:r>
      <w:r>
        <w:rPr>
          <w:rFonts w:ascii="Times New Roman" w:hAnsi="Times New Roman" w:eastAsia="Times New Roman" w:cs="Times New Roman"/>
          <w:sz w:val="24"/>
          <w:szCs w:val="24"/>
          <w:spacing w:val="-4"/>
        </w:rPr>
        <w:t>15Mt</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4"/>
        </w:rPr>
        <w:t>，服务年限</w:t>
      </w:r>
      <w:r>
        <w:rPr>
          <w:rFonts w:ascii="Times New Roman" w:hAnsi="Times New Roman" w:eastAsia="Times New Roman" w:cs="Times New Roman"/>
          <w:sz w:val="24"/>
          <w:szCs w:val="24"/>
          <w:spacing w:val="-4"/>
        </w:rPr>
        <w:t>69.3</w:t>
      </w:r>
      <w:r>
        <w:rPr>
          <w:rFonts w:ascii="Times New Roman" w:hAnsi="Times New Roman" w:eastAsia="Times New Roman" w:cs="Times New Roman"/>
          <w:sz w:val="24"/>
          <w:szCs w:val="24"/>
          <w:spacing w:val="12"/>
        </w:rPr>
        <w:t xml:space="preserve"> </w:t>
      </w:r>
      <w:r>
        <w:rPr>
          <w:rFonts w:ascii="SimSun" w:hAnsi="SimSun" w:eastAsia="SimSun" w:cs="SimSun"/>
          <w:sz w:val="24"/>
          <w:szCs w:val="24"/>
          <w:spacing w:val="-4"/>
        </w:rPr>
        <w:t>年。</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）矿区损毁及地质灾害情况</w:t>
      </w:r>
    </w:p>
    <w:p>
      <w:pPr>
        <w:ind w:left="9" w:firstLine="483"/>
        <w:spacing w:before="154" w:line="316" w:lineRule="auto"/>
        <w:rPr>
          <w:rFonts w:ascii="SimSun" w:hAnsi="SimSun" w:eastAsia="SimSun" w:cs="SimSun"/>
          <w:sz w:val="24"/>
          <w:szCs w:val="24"/>
        </w:rPr>
      </w:pPr>
      <w:r>
        <w:rPr>
          <w:rFonts w:ascii="SimSun" w:hAnsi="SimSun" w:eastAsia="SimSun" w:cs="SimSun"/>
          <w:sz w:val="24"/>
          <w:szCs w:val="24"/>
          <w:spacing w:val="-6"/>
        </w:rPr>
        <w:t>二号露天煤矿首采区崩塌（滑坡）地质灾害位于南排土场北侧边坡，分别</w:t>
      </w:r>
      <w:r>
        <w:rPr>
          <w:rFonts w:ascii="SimSun" w:hAnsi="SimSun" w:eastAsia="SimSun" w:cs="SimSun"/>
          <w:sz w:val="24"/>
          <w:szCs w:val="24"/>
          <w:spacing w:val="-7"/>
        </w:rPr>
        <w:t>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2010  </w:t>
      </w:r>
      <w:r>
        <w:rPr>
          <w:rFonts w:ascii="SimSun" w:hAnsi="SimSun" w:eastAsia="SimSun" w:cs="SimSun"/>
          <w:sz w:val="24"/>
          <w:szCs w:val="24"/>
          <w:spacing w:val="-7"/>
        </w:rPr>
        <w:t>年</w:t>
      </w:r>
      <w:r>
        <w:rPr>
          <w:rFonts w:ascii="Times New Roman" w:hAnsi="Times New Roman" w:eastAsia="Times New Roman" w:cs="Times New Roman"/>
          <w:sz w:val="24"/>
          <w:szCs w:val="24"/>
          <w:spacing w:val="-8"/>
        </w:rPr>
        <w:t>9  </w:t>
      </w:r>
      <w:r>
        <w:rPr>
          <w:rFonts w:ascii="SimSun" w:hAnsi="SimSun" w:eastAsia="SimSun" w:cs="SimSun"/>
          <w:sz w:val="24"/>
          <w:szCs w:val="24"/>
          <w:spacing w:val="-8"/>
        </w:rPr>
        <w:t>月和</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8"/>
        </w:rPr>
        <w:t>2011  </w:t>
      </w:r>
      <w:r>
        <w:rPr>
          <w:rFonts w:ascii="SimSun" w:hAnsi="SimSun" w:eastAsia="SimSun" w:cs="SimSun"/>
          <w:sz w:val="24"/>
          <w:szCs w:val="24"/>
          <w:spacing w:val="-8"/>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8"/>
        </w:rPr>
        <w:t>5  </w:t>
      </w:r>
      <w:r>
        <w:rPr>
          <w:rFonts w:ascii="SimSun" w:hAnsi="SimSun" w:eastAsia="SimSun" w:cs="SimSun"/>
          <w:sz w:val="24"/>
          <w:szCs w:val="24"/>
          <w:spacing w:val="-8"/>
        </w:rPr>
        <w:t>月发生。崩（滑）体长度约</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8"/>
        </w:rPr>
        <w:t>1500m</w:t>
      </w:r>
      <w:r>
        <w:rPr>
          <w:rFonts w:ascii="SimSun" w:hAnsi="SimSun" w:eastAsia="SimSun" w:cs="SimSun"/>
          <w:sz w:val="24"/>
          <w:szCs w:val="24"/>
          <w:spacing w:val="-8"/>
        </w:rPr>
        <w:t>，高度</w:t>
      </w:r>
      <w:r>
        <w:rPr>
          <w:rFonts w:ascii="SimSun" w:hAnsi="SimSun" w:eastAsia="SimSun" w:cs="SimSun"/>
          <w:sz w:val="24"/>
          <w:szCs w:val="24"/>
          <w:spacing w:val="-9"/>
        </w:rPr>
        <w:t>约</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9"/>
        </w:rPr>
        <w:t>80m</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9"/>
        </w:rPr>
        <w:t>，自然形成坡度</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9"/>
        </w:rPr>
        <w:t>60</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9"/>
        </w:rPr>
        <w:t>°。</w:t>
      </w:r>
      <w:r>
        <w:rPr>
          <w:rFonts w:ascii="SimSun" w:hAnsi="SimSun" w:eastAsia="SimSun" w:cs="SimSun"/>
          <w:sz w:val="24"/>
          <w:szCs w:val="24"/>
          <w:spacing w:val="-1"/>
        </w:rPr>
        <w:t>综合治理工程包括人工削坡、修筑台阶面，治理按</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1"/>
        </w:rPr>
        <w:t>10  </w:t>
      </w:r>
      <w:r>
        <w:rPr>
          <w:rFonts w:ascii="SimSun" w:hAnsi="SimSun" w:eastAsia="SimSun" w:cs="SimSun"/>
          <w:sz w:val="24"/>
          <w:szCs w:val="24"/>
          <w:spacing w:val="-1"/>
        </w:rPr>
        <w:t>层台阶设计，每层台阶高</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20m</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1"/>
        </w:rPr>
        <w:t>，</w:t>
      </w:r>
      <w:r>
        <w:rPr>
          <w:rFonts w:ascii="SimSun" w:hAnsi="SimSun" w:eastAsia="SimSun" w:cs="SimSun"/>
          <w:sz w:val="24"/>
          <w:szCs w:val="24"/>
          <w:spacing w:val="-5"/>
        </w:rPr>
        <w:t>宽</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5"/>
        </w:rPr>
        <w:t>10m</w:t>
      </w:r>
      <w:r>
        <w:rPr>
          <w:rFonts w:ascii="SimSun" w:hAnsi="SimSun" w:eastAsia="SimSun" w:cs="SimSun"/>
          <w:sz w:val="24"/>
          <w:szCs w:val="24"/>
          <w:spacing w:val="-5"/>
        </w:rPr>
        <w:t>，削坡角度按</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5"/>
        </w:rPr>
        <w:t>38</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5"/>
        </w:rPr>
        <w:t>°。根据调查，目前主要对滑坡体前缘借助内排以实现对滑坡进</w:t>
      </w:r>
      <w:r>
        <w:rPr>
          <w:rFonts w:ascii="SimSun" w:hAnsi="SimSun" w:eastAsia="SimSun" w:cs="SimSun"/>
          <w:sz w:val="24"/>
          <w:szCs w:val="24"/>
          <w:spacing w:val="-2"/>
        </w:rPr>
        <w:t>行压脚，内排土场现状形成</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6  </w:t>
      </w:r>
      <w:r>
        <w:rPr>
          <w:rFonts w:ascii="SimSun" w:hAnsi="SimSun" w:eastAsia="SimSun" w:cs="SimSun"/>
          <w:sz w:val="24"/>
          <w:szCs w:val="24"/>
          <w:spacing w:val="-2"/>
        </w:rPr>
        <w:t>个台阶。</w:t>
      </w:r>
    </w:p>
    <w:p>
      <w:pPr>
        <w:ind w:firstLine="480"/>
        <w:spacing w:line="3705" w:lineRule="exact"/>
        <w:rPr/>
      </w:pPr>
      <w:r>
        <w:rPr>
          <w:position w:val="-74"/>
        </w:rPr>
        <w:drawing>
          <wp:inline distT="0" distB="0" distL="0" distR="0">
            <wp:extent cx="5216652" cy="2353055"/>
            <wp:effectExtent l="0" t="0" r="0" b="0"/>
            <wp:docPr id="338" name="IM 338"/>
            <wp:cNvGraphicFramePr/>
            <a:graphic>
              <a:graphicData uri="http://schemas.openxmlformats.org/drawingml/2006/picture">
                <pic:pic>
                  <pic:nvPicPr>
                    <pic:cNvPr id="338" name="IM 338"/>
                    <pic:cNvPicPr/>
                  </pic:nvPicPr>
                  <pic:blipFill>
                    <a:blip r:embed="rId511"/>
                    <a:stretch>
                      <a:fillRect/>
                    </a:stretch>
                  </pic:blipFill>
                  <pic:spPr>
                    <a:xfrm rot="0">
                      <a:off x="0" y="0"/>
                      <a:ext cx="5216652" cy="2353055"/>
                    </a:xfrm>
                    <a:prstGeom prst="rect">
                      <a:avLst/>
                    </a:prstGeom>
                  </pic:spPr>
                </pic:pic>
              </a:graphicData>
            </a:graphic>
          </wp:inline>
        </w:drawing>
      </w:r>
    </w:p>
    <w:p>
      <w:pPr>
        <w:ind w:left="2780"/>
        <w:spacing w:before="161" w:line="219" w:lineRule="auto"/>
        <w:rPr>
          <w:rFonts w:ascii="SimSun" w:hAnsi="SimSun" w:eastAsia="SimSun" w:cs="SimSun"/>
          <w:sz w:val="24"/>
          <w:szCs w:val="24"/>
        </w:rPr>
      </w:pPr>
      <w:r>
        <w:rPr>
          <w:rFonts w:ascii="SimSun" w:hAnsi="SimSun" w:eastAsia="SimSun" w:cs="SimSun"/>
          <w:sz w:val="24"/>
          <w:szCs w:val="24"/>
          <w:spacing w:val="-3"/>
        </w:rPr>
        <w:t>白音华二号露天煤矿地质灾害治理工程</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）矿区地质环境治理与复垦情况</w:t>
      </w:r>
    </w:p>
    <w:p>
      <w:pPr>
        <w:ind w:left="8" w:right="64" w:firstLine="480"/>
        <w:spacing w:before="156" w:line="301" w:lineRule="auto"/>
        <w:rPr>
          <w:rFonts w:ascii="SimSun" w:hAnsi="SimSun" w:eastAsia="SimSun" w:cs="SimSun"/>
          <w:sz w:val="24"/>
          <w:szCs w:val="24"/>
        </w:rPr>
      </w:pPr>
      <w:r>
        <w:rPr>
          <w:rFonts w:ascii="SimSun" w:hAnsi="SimSun" w:eastAsia="SimSun" w:cs="SimSun"/>
          <w:sz w:val="24"/>
          <w:szCs w:val="24"/>
          <w:spacing w:val="-2"/>
        </w:rPr>
        <w:t>排土场复垦包括排土场平台和边坡复垦，边坡复垦采取措施有覆土、平整、设置沙</w:t>
      </w:r>
      <w:r>
        <w:rPr>
          <w:rFonts w:ascii="SimSun" w:hAnsi="SimSun" w:eastAsia="SimSun" w:cs="SimSun"/>
          <w:sz w:val="24"/>
          <w:szCs w:val="24"/>
          <w:spacing w:val="-2"/>
        </w:rPr>
        <w:t>障、撒播草籽，平台复垦采取措施有修建挡水围梗、覆土、平整、撒播草籽。平整后的</w:t>
      </w:r>
      <w:r>
        <w:rPr>
          <w:rFonts w:ascii="SimSun" w:hAnsi="SimSun" w:eastAsia="SimSun" w:cs="SimSun"/>
          <w:sz w:val="24"/>
          <w:szCs w:val="24"/>
          <w:spacing w:val="-3"/>
        </w:rPr>
        <w:t>边坡设置沙柳沙障，并进行边坡种草，草种选择沙打旺＋草木樨，按</w:t>
      </w:r>
      <w:r>
        <w:rPr>
          <w:rFonts w:ascii="SimSun" w:hAnsi="SimSun" w:eastAsia="SimSun" w:cs="SimSun"/>
          <w:sz w:val="24"/>
          <w:szCs w:val="24"/>
          <w:spacing w:val="-16"/>
        </w:rPr>
        <w:t xml:space="preserve"> </w:t>
      </w:r>
      <w:r>
        <w:rPr>
          <w:rFonts w:ascii="Times New Roman" w:hAnsi="Times New Roman" w:eastAsia="Times New Roman" w:cs="Times New Roman"/>
          <w:sz w:val="24"/>
          <w:szCs w:val="24"/>
          <w:spacing w:val="-3"/>
        </w:rPr>
        <w:t>1:1</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3"/>
        </w:rPr>
        <w:t>的比例混播。</w:t>
      </w:r>
    </w:p>
    <w:p>
      <w:pPr>
        <w:ind w:firstLine="480"/>
        <w:spacing w:line="2880" w:lineRule="exact"/>
        <w:rPr/>
      </w:pPr>
      <w:r>
        <w:rPr>
          <w:position w:val="-57"/>
        </w:rPr>
        <w:drawing>
          <wp:inline distT="0" distB="0" distL="0" distR="0">
            <wp:extent cx="5233415" cy="1828800"/>
            <wp:effectExtent l="0" t="0" r="0" b="0"/>
            <wp:docPr id="340" name="IM 340"/>
            <wp:cNvGraphicFramePr/>
            <a:graphic>
              <a:graphicData uri="http://schemas.openxmlformats.org/drawingml/2006/picture">
                <pic:pic>
                  <pic:nvPicPr>
                    <pic:cNvPr id="340" name="IM 340"/>
                    <pic:cNvPicPr/>
                  </pic:nvPicPr>
                  <pic:blipFill>
                    <a:blip r:embed="rId512"/>
                    <a:stretch>
                      <a:fillRect/>
                    </a:stretch>
                  </pic:blipFill>
                  <pic:spPr>
                    <a:xfrm rot="0">
                      <a:off x="0" y="0"/>
                      <a:ext cx="5233415" cy="1828800"/>
                    </a:xfrm>
                    <a:prstGeom prst="rect">
                      <a:avLst/>
                    </a:prstGeom>
                  </pic:spPr>
                </pic:pic>
              </a:graphicData>
            </a:graphic>
          </wp:inline>
        </w:drawing>
      </w:r>
    </w:p>
    <w:p>
      <w:pPr>
        <w:ind w:left="3140"/>
        <w:spacing w:before="145" w:line="219" w:lineRule="auto"/>
        <w:rPr>
          <w:rFonts w:ascii="SimSun" w:hAnsi="SimSun" w:eastAsia="SimSun" w:cs="SimSun"/>
          <w:sz w:val="24"/>
          <w:szCs w:val="24"/>
        </w:rPr>
      </w:pPr>
      <w:r>
        <w:rPr>
          <w:rFonts w:ascii="SimSun" w:hAnsi="SimSun" w:eastAsia="SimSun" w:cs="SimSun"/>
          <w:sz w:val="24"/>
          <w:szCs w:val="24"/>
          <w:spacing w:val="-4"/>
        </w:rPr>
        <w:t>白音华二号露天煤矿复垦效果照</w:t>
      </w:r>
    </w:p>
    <w:p>
      <w:pPr>
        <w:spacing w:line="219" w:lineRule="auto"/>
        <w:sectPr>
          <w:footerReference w:type="default" r:id="rId510"/>
          <w:pgSz w:w="11906" w:h="16838"/>
          <w:pgMar w:top="1114" w:right="1332" w:bottom="1080" w:left="1416" w:header="837" w:footer="918" w:gutter="0"/>
        </w:sectPr>
        <w:rPr>
          <w:rFonts w:ascii="SimSun" w:hAnsi="SimSun" w:eastAsia="SimSun" w:cs="SimSun"/>
          <w:sz w:val="24"/>
          <w:szCs w:val="24"/>
        </w:rPr>
      </w:pPr>
    </w:p>
    <w:p>
      <w:pPr>
        <w:pStyle w:val="BodyText"/>
        <w:spacing w:line="367" w:lineRule="auto"/>
        <w:rPr/>
      </w:pPr>
      <w:r/>
    </w:p>
    <w:p>
      <w:pPr>
        <w:ind w:left="118" w:right="112" w:firstLine="480"/>
        <w:spacing w:before="78" w:line="339" w:lineRule="auto"/>
        <w:rPr>
          <w:rFonts w:ascii="SimSun" w:hAnsi="SimSun" w:eastAsia="SimSun" w:cs="SimSun"/>
          <w:sz w:val="24"/>
          <w:szCs w:val="24"/>
        </w:rPr>
      </w:pPr>
      <w:bookmarkStart w:name="bookmark110" w:id="84"/>
      <w:bookmarkEnd w:id="84"/>
      <w:r>
        <w:rPr>
          <w:rFonts w:ascii="SimSun" w:hAnsi="SimSun" w:eastAsia="SimSun" w:cs="SimSun"/>
          <w:sz w:val="24"/>
          <w:szCs w:val="24"/>
          <w:spacing w:val="-2"/>
        </w:rPr>
        <w:t>根据以上对白音华煤田一号露天煤矿、白音华煤田二号露天矿治理效果的类比，本</w:t>
      </w:r>
      <w:r>
        <w:rPr>
          <w:rFonts w:ascii="SimSun" w:hAnsi="SimSun" w:eastAsia="SimSun" w:cs="SimSun"/>
          <w:sz w:val="24"/>
          <w:szCs w:val="24"/>
          <w:spacing w:val="-1"/>
        </w:rPr>
        <w:t>矿山在进行生态整治与土地复垦方面可以得到一些经验：</w:t>
      </w:r>
    </w:p>
    <w:p>
      <w:pPr>
        <w:ind w:left="120" w:right="124" w:firstLine="497"/>
        <w:spacing w:before="2" w:line="278" w:lineRule="auto"/>
        <w:rPr>
          <w:rFonts w:ascii="SimSun" w:hAnsi="SimSun" w:eastAsia="SimSun" w:cs="SimSun"/>
          <w:sz w:val="24"/>
          <w:szCs w:val="24"/>
        </w:rPr>
      </w:pP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、露天区采坑和内排土场边坡严格按照设计确定的帮坡角进行开采，并设置了监</w:t>
      </w:r>
      <w:r>
        <w:rPr>
          <w:rFonts w:ascii="SimSun" w:hAnsi="SimSun" w:eastAsia="SimSun" w:cs="SimSun"/>
          <w:sz w:val="24"/>
          <w:szCs w:val="24"/>
        </w:rPr>
        <w:t>测系统，可以监测边坡地表形变、地下形变</w:t>
      </w:r>
      <w:r>
        <w:rPr>
          <w:rFonts w:ascii="SimSun" w:hAnsi="SimSun" w:eastAsia="SimSun" w:cs="SimSun"/>
          <w:sz w:val="24"/>
          <w:szCs w:val="24"/>
          <w:spacing w:val="-1"/>
        </w:rPr>
        <w:t>为地质灾害起到预警作用。</w:t>
      </w:r>
    </w:p>
    <w:p>
      <w:pPr>
        <w:ind w:left="118" w:right="112" w:firstLine="481"/>
        <w:spacing w:before="157" w:line="314" w:lineRule="auto"/>
        <w:rPr>
          <w:rFonts w:ascii="SimSun" w:hAnsi="SimSun" w:eastAsia="SimSun" w:cs="SimSun"/>
          <w:sz w:val="24"/>
          <w:szCs w:val="24"/>
        </w:rPr>
      </w:pPr>
      <w:r>
        <w:rPr>
          <w:rFonts w:ascii="Times New Roman" w:hAnsi="Times New Roman" w:eastAsia="Times New Roman" w:cs="Times New Roman"/>
          <w:sz w:val="24"/>
          <w:szCs w:val="24"/>
        </w:rPr>
        <w:t>3</w:t>
      </w:r>
      <w:r>
        <w:rPr>
          <w:rFonts w:ascii="Times New Roman" w:hAnsi="Times New Roman" w:eastAsia="Times New Roman" w:cs="Times New Roman"/>
          <w:sz w:val="24"/>
          <w:szCs w:val="24"/>
          <w:spacing w:val="-11"/>
        </w:rPr>
        <w:t xml:space="preserve"> </w:t>
      </w:r>
      <w:r>
        <w:rPr>
          <w:rFonts w:ascii="SimSun" w:hAnsi="SimSun" w:eastAsia="SimSun" w:cs="SimSun"/>
          <w:sz w:val="24"/>
          <w:szCs w:val="24"/>
        </w:rPr>
        <w:t>、矿区内表土层厚度较大，但土壤基质沙性大，肥力不足，应妥善做好腐殖层的</w:t>
      </w:r>
      <w:r>
        <w:rPr>
          <w:rFonts w:ascii="SimSun" w:hAnsi="SimSun" w:eastAsia="SimSun" w:cs="SimSun"/>
          <w:sz w:val="24"/>
          <w:szCs w:val="24"/>
          <w:spacing w:val="-2"/>
        </w:rPr>
        <w:t>剥离工作。矿山生产期，采取跟踪式堆放表土方式，将剥离的表土直接覆盖在可复垦区</w:t>
      </w:r>
      <w:r>
        <w:rPr>
          <w:rFonts w:ascii="SimSun" w:hAnsi="SimSun" w:eastAsia="SimSun" w:cs="SimSun"/>
          <w:sz w:val="24"/>
          <w:szCs w:val="24"/>
          <w:spacing w:val="-2"/>
        </w:rPr>
        <w:t>域，可有效的节省覆土的运距。若无可复垦区域或者闭坑前为矿山治理覆土做储备，应</w:t>
      </w:r>
      <w:r>
        <w:rPr>
          <w:rFonts w:ascii="SimSun" w:hAnsi="SimSun" w:eastAsia="SimSun" w:cs="SimSun"/>
          <w:sz w:val="24"/>
          <w:szCs w:val="24"/>
          <w:spacing w:val="-2"/>
        </w:rPr>
        <w:t>在内排土场顶部选择合适的区域（最优运距）设置表土堆放场，并加以养护和妥善管理</w:t>
      </w:r>
      <w:r>
        <w:rPr>
          <w:rFonts w:ascii="SimSun" w:hAnsi="SimSun" w:eastAsia="SimSun" w:cs="SimSun"/>
          <w:sz w:val="24"/>
          <w:szCs w:val="24"/>
          <w:spacing w:val="-2"/>
        </w:rPr>
        <w:t>以保持其肥力。</w:t>
      </w:r>
    </w:p>
    <w:p>
      <w:pPr>
        <w:ind w:left="131" w:right="124" w:firstLine="463"/>
        <w:spacing w:before="155" w:line="279" w:lineRule="auto"/>
        <w:rPr>
          <w:rFonts w:ascii="SimSun" w:hAnsi="SimSun" w:eastAsia="SimSun" w:cs="SimSun"/>
          <w:sz w:val="24"/>
          <w:szCs w:val="24"/>
        </w:rPr>
      </w:pPr>
      <w:r>
        <w:rPr>
          <w:rFonts w:ascii="Times New Roman" w:hAnsi="Times New Roman" w:eastAsia="Times New Roman" w:cs="Times New Roman"/>
          <w:sz w:val="24"/>
          <w:szCs w:val="24"/>
          <w:spacing w:val="1"/>
        </w:rPr>
        <w:t>4</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、复垦植被的选择及搭配：植被选择乡土品种，成活</w:t>
      </w:r>
      <w:r>
        <w:rPr>
          <w:rFonts w:ascii="SimSun" w:hAnsi="SimSun" w:eastAsia="SimSun" w:cs="SimSun"/>
          <w:sz w:val="24"/>
          <w:szCs w:val="24"/>
        </w:rPr>
        <w:t>率高，管护容易；植被选择</w:t>
      </w:r>
      <w:r>
        <w:rPr>
          <w:rFonts w:ascii="SimSun" w:hAnsi="SimSun" w:eastAsia="SimSun" w:cs="SimSun"/>
          <w:sz w:val="24"/>
          <w:szCs w:val="24"/>
          <w:spacing w:val="-1"/>
        </w:rPr>
        <w:t>时采取多草种搭配，增加植被的多样性，有利于植被恢复。</w:t>
      </w:r>
    </w:p>
    <w:p>
      <w:pPr>
        <w:ind w:left="122" w:right="46" w:firstLine="479"/>
        <w:spacing w:before="155" w:line="278" w:lineRule="auto"/>
        <w:rPr>
          <w:rFonts w:ascii="SimSun" w:hAnsi="SimSun" w:eastAsia="SimSun" w:cs="SimSun"/>
          <w:sz w:val="24"/>
          <w:szCs w:val="24"/>
        </w:rPr>
      </w:pP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21"/>
        </w:rPr>
        <w:t xml:space="preserve"> </w:t>
      </w:r>
      <w:r>
        <w:rPr>
          <w:rFonts w:ascii="SimSun" w:hAnsi="SimSun" w:eastAsia="SimSun" w:cs="SimSun"/>
          <w:sz w:val="24"/>
          <w:szCs w:val="24"/>
          <w:spacing w:val="-5"/>
        </w:rPr>
        <w:t>、坚持“边生产、边治理、边复垦</w:t>
      </w:r>
      <w:r>
        <w:rPr>
          <w:rFonts w:ascii="SimSun" w:hAnsi="SimSun" w:eastAsia="SimSun" w:cs="SimSun"/>
          <w:sz w:val="24"/>
          <w:szCs w:val="24"/>
          <w:spacing w:val="-89"/>
        </w:rPr>
        <w:t xml:space="preserve"> </w:t>
      </w:r>
      <w:r>
        <w:rPr>
          <w:rFonts w:ascii="SimSun" w:hAnsi="SimSun" w:eastAsia="SimSun" w:cs="SimSun"/>
          <w:sz w:val="24"/>
          <w:szCs w:val="24"/>
          <w:spacing w:val="-5"/>
        </w:rPr>
        <w:t>”，将地质环境治理与土地复垦纳入生产环节，</w:t>
      </w:r>
      <w:r>
        <w:rPr>
          <w:rFonts w:ascii="SimSun" w:hAnsi="SimSun" w:eastAsia="SimSun" w:cs="SimSun"/>
          <w:sz w:val="24"/>
          <w:szCs w:val="24"/>
          <w:spacing w:val="-1"/>
        </w:rPr>
        <w:t>最大限度的减少矿产资源开采对环境的破坏。</w:t>
      </w:r>
    </w:p>
    <w:p>
      <w:pPr>
        <w:ind w:left="122" w:right="99" w:firstLine="477"/>
        <w:spacing w:before="158" w:line="340" w:lineRule="auto"/>
        <w:rPr>
          <w:rFonts w:ascii="SimSun" w:hAnsi="SimSun" w:eastAsia="SimSun" w:cs="SimSun"/>
          <w:sz w:val="24"/>
          <w:szCs w:val="24"/>
        </w:rPr>
      </w:pPr>
      <w:r>
        <w:rPr>
          <w:rFonts w:ascii="SimSun" w:hAnsi="SimSun" w:eastAsia="SimSun" w:cs="SimSun"/>
          <w:sz w:val="24"/>
          <w:szCs w:val="24"/>
          <w:spacing w:val="-2"/>
        </w:rPr>
        <w:t>通过以上分析，本矿山在借鉴白音华煤田一号露天煤矿、白音华煤田二号露天矿治</w:t>
      </w:r>
      <w:r>
        <w:rPr>
          <w:rFonts w:ascii="SimSun" w:hAnsi="SimSun" w:eastAsia="SimSun" w:cs="SimSun"/>
          <w:sz w:val="24"/>
          <w:szCs w:val="24"/>
          <w:spacing w:val="-1"/>
        </w:rPr>
        <w:t>理经验与治理措施的基础上进行土地复垦，生态恢复是具有较</w:t>
      </w:r>
      <w:r>
        <w:rPr>
          <w:rFonts w:ascii="SimSun" w:hAnsi="SimSun" w:eastAsia="SimSun" w:cs="SimSun"/>
          <w:sz w:val="24"/>
          <w:szCs w:val="24"/>
          <w:spacing w:val="-2"/>
        </w:rPr>
        <w:t>大的可行性和有效性的。</w:t>
      </w:r>
    </w:p>
    <w:p>
      <w:pPr>
        <w:ind w:left="119"/>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7.1.3 </w:t>
      </w:r>
      <w:r>
        <w:rPr>
          <w:rFonts w:ascii="SimHei" w:hAnsi="SimHei" w:eastAsia="SimHei" w:cs="SimHei"/>
          <w:sz w:val="28"/>
          <w:szCs w:val="28"/>
          <w:b/>
          <w:bCs/>
          <w:spacing w:val="-2"/>
        </w:rPr>
        <w:t>生态环境保护与治理措施恢复计划汇总</w:t>
      </w:r>
    </w:p>
    <w:p>
      <w:pPr>
        <w:ind w:left="600"/>
        <w:spacing w:before="168" w:line="218" w:lineRule="auto"/>
        <w:rPr>
          <w:rFonts w:ascii="SimSun" w:hAnsi="SimSun" w:eastAsia="SimSun" w:cs="SimSun"/>
          <w:sz w:val="24"/>
          <w:szCs w:val="24"/>
        </w:rPr>
      </w:pPr>
      <w:r>
        <w:rPr>
          <w:rFonts w:ascii="SimSun" w:hAnsi="SimSun" w:eastAsia="SimSun" w:cs="SimSun"/>
          <w:sz w:val="24"/>
          <w:szCs w:val="24"/>
        </w:rPr>
        <w:t>本次评价给出各工程影响区植被恢复内容、面积、</w:t>
      </w:r>
      <w:r>
        <w:rPr>
          <w:rFonts w:ascii="SimSun" w:hAnsi="SimSun" w:eastAsia="SimSun" w:cs="SimSun"/>
          <w:sz w:val="24"/>
          <w:szCs w:val="24"/>
          <w:spacing w:val="-65"/>
        </w:rPr>
        <w:t xml:space="preserve"> </w:t>
      </w:r>
      <w:r>
        <w:rPr>
          <w:rFonts w:ascii="SimSun" w:hAnsi="SimSun" w:eastAsia="SimSun" w:cs="SimSun"/>
          <w:sz w:val="24"/>
          <w:szCs w:val="24"/>
        </w:rPr>
        <w:t>目标及投资，详见图</w:t>
      </w:r>
      <w:r>
        <w:rPr>
          <w:rFonts w:ascii="Times New Roman" w:hAnsi="Times New Roman" w:eastAsia="Times New Roman" w:cs="Times New Roman"/>
          <w:sz w:val="24"/>
          <w:szCs w:val="24"/>
        </w:rPr>
        <w:t>7-</w:t>
      </w:r>
      <w:r>
        <w:rPr>
          <w:rFonts w:ascii="Times New Roman" w:hAnsi="Times New Roman" w:eastAsia="Times New Roman" w:cs="Times New Roman"/>
          <w:sz w:val="24"/>
          <w:szCs w:val="24"/>
          <w:spacing w:val="-1"/>
        </w:rPr>
        <w:t>1-4 </w:t>
      </w:r>
      <w:r>
        <w:rPr>
          <w:rFonts w:ascii="SimSun" w:hAnsi="SimSun" w:eastAsia="SimSun" w:cs="SimSun"/>
          <w:sz w:val="24"/>
          <w:szCs w:val="24"/>
          <w:spacing w:val="-1"/>
        </w:rPr>
        <w:t>和表</w:t>
      </w:r>
    </w:p>
    <w:p>
      <w:pPr>
        <w:ind w:left="119"/>
        <w:spacing w:before="198" w:line="180" w:lineRule="auto"/>
        <w:rPr>
          <w:rFonts w:ascii="SimSun" w:hAnsi="SimSun" w:eastAsia="SimSun" w:cs="SimSun"/>
          <w:sz w:val="24"/>
          <w:szCs w:val="24"/>
        </w:rPr>
      </w:pPr>
      <w:r>
        <w:rPr>
          <w:rFonts w:ascii="Times New Roman" w:hAnsi="Times New Roman" w:eastAsia="Times New Roman" w:cs="Times New Roman"/>
          <w:sz w:val="24"/>
          <w:szCs w:val="24"/>
          <w:spacing w:val="-2"/>
        </w:rPr>
        <w:t>7-1-4</w:t>
      </w:r>
      <w:r>
        <w:rPr>
          <w:rFonts w:ascii="SimSun" w:hAnsi="SimSun" w:eastAsia="SimSun" w:cs="SimSun"/>
          <w:sz w:val="24"/>
          <w:szCs w:val="24"/>
          <w:spacing w:val="-2"/>
        </w:rPr>
        <w:t>。</w:t>
      </w:r>
    </w:p>
    <w:p>
      <w:pPr>
        <w:ind w:left="2735"/>
        <w:spacing w:before="292" w:line="222" w:lineRule="auto"/>
        <w:rPr>
          <w:rFonts w:ascii="SimHei" w:hAnsi="SimHei" w:eastAsia="SimHei" w:cs="SimHei"/>
          <w:sz w:val="24"/>
          <w:szCs w:val="24"/>
        </w:rPr>
      </w:pPr>
      <w:r>
        <w:rPr>
          <w:rFonts w:ascii="SimHei" w:hAnsi="SimHei" w:eastAsia="SimHei" w:cs="SimHei"/>
          <w:sz w:val="24"/>
          <w:szCs w:val="24"/>
          <w:spacing w:val="-1"/>
        </w:rPr>
        <w:t>项目生态恢复进度及环保投资计划一览表</w:t>
      </w:r>
    </w:p>
    <w:p>
      <w:pPr>
        <w:ind w:left="117"/>
        <w:spacing w:before="71"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7-1-4</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161"/>
        <w:gridCol w:w="1020"/>
        <w:gridCol w:w="868"/>
        <w:gridCol w:w="4212"/>
        <w:gridCol w:w="986"/>
        <w:gridCol w:w="1043"/>
      </w:tblGrid>
      <w:tr>
        <w:trPr>
          <w:trHeight w:val="556" w:hRule="atLeast"/>
        </w:trPr>
        <w:tc>
          <w:tcPr>
            <w:tcW w:w="1161" w:type="dxa"/>
            <w:vAlign w:val="top"/>
          </w:tcPr>
          <w:p>
            <w:pPr>
              <w:ind w:left="171"/>
              <w:spacing w:before="171" w:line="228" w:lineRule="auto"/>
              <w:rPr>
                <w:rFonts w:ascii="SimSun" w:hAnsi="SimSun" w:eastAsia="SimSun" w:cs="SimSun"/>
                <w:sz w:val="20"/>
                <w:szCs w:val="20"/>
              </w:rPr>
            </w:pPr>
            <w:r>
              <w:rPr>
                <w:rFonts w:ascii="SimSun" w:hAnsi="SimSun" w:eastAsia="SimSun" w:cs="SimSun"/>
                <w:sz w:val="20"/>
                <w:szCs w:val="20"/>
                <w:spacing w:val="6"/>
              </w:rPr>
              <w:t>复垦区域</w:t>
            </w:r>
          </w:p>
        </w:tc>
        <w:tc>
          <w:tcPr>
            <w:tcW w:w="1020" w:type="dxa"/>
            <w:vAlign w:val="top"/>
          </w:tcPr>
          <w:p>
            <w:pPr>
              <w:pStyle w:val="TableText"/>
              <w:ind w:left="111" w:right="22" w:firstLine="92"/>
              <w:spacing w:before="34" w:line="236" w:lineRule="auto"/>
              <w:rPr>
                <w:rFonts w:ascii="SimSun" w:hAnsi="SimSun" w:eastAsia="SimSun" w:cs="SimSun"/>
              </w:rPr>
            </w:pPr>
            <w:r>
              <w:rPr>
                <w:rFonts w:ascii="SimSun" w:hAnsi="SimSun" w:eastAsia="SimSun" w:cs="SimSun"/>
                <w:spacing w:val="5"/>
              </w:rPr>
              <w:t>复垦面</w:t>
            </w:r>
            <w:r>
              <w:rPr>
                <w:rFonts w:ascii="SimSun" w:hAnsi="SimSun" w:eastAsia="SimSun" w:cs="SimSun"/>
                <w:spacing w:val="-7"/>
              </w:rPr>
              <w:t>积（</w:t>
            </w:r>
            <w:r>
              <w:rPr>
                <w:spacing w:val="-7"/>
              </w:rPr>
              <w:t>hm</w:t>
            </w:r>
            <w:r>
              <w:rPr>
                <w:sz w:val="13"/>
                <w:szCs w:val="13"/>
                <w:spacing w:val="-7"/>
                <w:position w:val="6"/>
              </w:rPr>
              <w:t>2</w:t>
            </w:r>
            <w:r>
              <w:rPr>
                <w:rFonts w:ascii="SimSun" w:hAnsi="SimSun" w:eastAsia="SimSun" w:cs="SimSun"/>
                <w:spacing w:val="-7"/>
              </w:rPr>
              <w:t>）</w:t>
            </w:r>
          </w:p>
        </w:tc>
        <w:tc>
          <w:tcPr>
            <w:tcW w:w="868" w:type="dxa"/>
            <w:vAlign w:val="top"/>
          </w:tcPr>
          <w:p>
            <w:pPr>
              <w:ind w:left="338" w:right="120" w:hanging="183"/>
              <w:spacing w:before="34" w:line="236" w:lineRule="auto"/>
              <w:rPr>
                <w:rFonts w:ascii="SimSun" w:hAnsi="SimSun" w:eastAsia="SimSun" w:cs="SimSun"/>
                <w:sz w:val="20"/>
                <w:szCs w:val="20"/>
              </w:rPr>
            </w:pPr>
            <w:r>
              <w:rPr>
                <w:rFonts w:ascii="SimSun" w:hAnsi="SimSun" w:eastAsia="SimSun" w:cs="SimSun"/>
                <w:sz w:val="20"/>
                <w:szCs w:val="20"/>
                <w:spacing w:val="-5"/>
              </w:rPr>
              <w:t>占地类</w:t>
            </w:r>
            <w:r>
              <w:rPr>
                <w:rFonts w:ascii="SimSun" w:hAnsi="SimSun" w:eastAsia="SimSun" w:cs="SimSun"/>
                <w:sz w:val="20"/>
                <w:szCs w:val="20"/>
              </w:rPr>
              <w:t>型</w:t>
            </w:r>
          </w:p>
        </w:tc>
        <w:tc>
          <w:tcPr>
            <w:tcW w:w="4212" w:type="dxa"/>
            <w:vAlign w:val="top"/>
          </w:tcPr>
          <w:p>
            <w:pPr>
              <w:ind w:left="1482"/>
              <w:spacing w:before="171" w:line="228" w:lineRule="auto"/>
              <w:rPr>
                <w:rFonts w:ascii="SimSun" w:hAnsi="SimSun" w:eastAsia="SimSun" w:cs="SimSun"/>
                <w:sz w:val="20"/>
                <w:szCs w:val="20"/>
              </w:rPr>
            </w:pPr>
            <w:r>
              <w:rPr>
                <w:rFonts w:ascii="SimSun" w:hAnsi="SimSun" w:eastAsia="SimSun" w:cs="SimSun"/>
                <w:sz w:val="20"/>
                <w:szCs w:val="20"/>
                <w:spacing w:val="7"/>
              </w:rPr>
              <w:t>生态恢复措施</w:t>
            </w:r>
          </w:p>
        </w:tc>
        <w:tc>
          <w:tcPr>
            <w:tcW w:w="986" w:type="dxa"/>
            <w:vAlign w:val="top"/>
          </w:tcPr>
          <w:p>
            <w:pPr>
              <w:ind w:left="330"/>
              <w:spacing w:before="171" w:line="228" w:lineRule="auto"/>
              <w:rPr>
                <w:rFonts w:ascii="SimSun" w:hAnsi="SimSun" w:eastAsia="SimSun" w:cs="SimSun"/>
                <w:sz w:val="20"/>
                <w:szCs w:val="20"/>
              </w:rPr>
            </w:pPr>
            <w:r>
              <w:rPr>
                <w:rFonts w:ascii="SimSun" w:hAnsi="SimSun" w:eastAsia="SimSun" w:cs="SimSun"/>
                <w:sz w:val="20"/>
                <w:szCs w:val="20"/>
                <w:spacing w:val="-16"/>
              </w:rPr>
              <w:t>目标</w:t>
            </w:r>
          </w:p>
        </w:tc>
        <w:tc>
          <w:tcPr>
            <w:tcW w:w="1043" w:type="dxa"/>
            <w:vAlign w:val="top"/>
          </w:tcPr>
          <w:p>
            <w:pPr>
              <w:ind w:left="125" w:right="111" w:firstLine="191"/>
              <w:spacing w:before="34" w:line="236" w:lineRule="auto"/>
              <w:rPr>
                <w:rFonts w:ascii="SimSun" w:hAnsi="SimSun" w:eastAsia="SimSun" w:cs="SimSun"/>
                <w:sz w:val="20"/>
                <w:szCs w:val="20"/>
              </w:rPr>
            </w:pPr>
            <w:r>
              <w:rPr>
                <w:rFonts w:ascii="SimSun" w:hAnsi="SimSun" w:eastAsia="SimSun" w:cs="SimSun"/>
                <w:sz w:val="20"/>
                <w:szCs w:val="20"/>
                <w:spacing w:val="3"/>
              </w:rPr>
              <w:t>投资</w:t>
            </w:r>
            <w:r>
              <w:rPr>
                <w:rFonts w:ascii="SimSun" w:hAnsi="SimSun" w:eastAsia="SimSun" w:cs="SimSun"/>
                <w:sz w:val="20"/>
                <w:szCs w:val="20"/>
              </w:rPr>
              <w:t xml:space="preserve"> </w:t>
            </w:r>
            <w:r>
              <w:rPr>
                <w:rFonts w:ascii="SimSun" w:hAnsi="SimSun" w:eastAsia="SimSun" w:cs="SimSun"/>
                <w:sz w:val="20"/>
                <w:szCs w:val="20"/>
              </w:rPr>
              <w:t>（万元）</w:t>
            </w:r>
          </w:p>
        </w:tc>
      </w:tr>
      <w:tr>
        <w:trPr>
          <w:trHeight w:val="1090" w:hRule="atLeast"/>
        </w:trPr>
        <w:tc>
          <w:tcPr>
            <w:tcW w:w="1161" w:type="dxa"/>
            <w:vAlign w:val="top"/>
          </w:tcPr>
          <w:p>
            <w:pPr>
              <w:spacing w:line="369" w:lineRule="auto"/>
              <w:rPr>
                <w:rFonts w:ascii="Arial"/>
                <w:sz w:val="21"/>
              </w:rPr>
            </w:pPr>
            <w:r/>
          </w:p>
          <w:p>
            <w:pPr>
              <w:ind w:left="191"/>
              <w:spacing w:before="65" w:line="228" w:lineRule="auto"/>
              <w:rPr>
                <w:rFonts w:ascii="SimSun" w:hAnsi="SimSun" w:eastAsia="SimSun" w:cs="SimSun"/>
                <w:sz w:val="20"/>
                <w:szCs w:val="20"/>
              </w:rPr>
            </w:pPr>
            <w:r>
              <w:rPr>
                <w:rFonts w:ascii="SimSun" w:hAnsi="SimSun" w:eastAsia="SimSun" w:cs="SimSun"/>
                <w:sz w:val="20"/>
                <w:szCs w:val="20"/>
                <w:spacing w:val="1"/>
              </w:rPr>
              <w:t>内排土场</w:t>
            </w:r>
          </w:p>
        </w:tc>
        <w:tc>
          <w:tcPr>
            <w:tcW w:w="1020" w:type="dxa"/>
            <w:vAlign w:val="top"/>
          </w:tcPr>
          <w:p>
            <w:pPr>
              <w:spacing w:line="413" w:lineRule="auto"/>
              <w:rPr>
                <w:rFonts w:ascii="Arial"/>
                <w:sz w:val="21"/>
              </w:rPr>
            </w:pPr>
            <w:r/>
          </w:p>
          <w:p>
            <w:pPr>
              <w:pStyle w:val="TableText"/>
              <w:ind w:left="226"/>
              <w:spacing w:before="58" w:line="195" w:lineRule="auto"/>
              <w:rPr/>
            </w:pPr>
            <w:r>
              <w:rPr>
                <w:spacing w:val="3"/>
              </w:rPr>
              <w:t>473.63</w:t>
            </w:r>
          </w:p>
        </w:tc>
        <w:tc>
          <w:tcPr>
            <w:tcW w:w="868" w:type="dxa"/>
            <w:vAlign w:val="top"/>
            <w:vMerge w:val="restart"/>
            <w:tcBorders>
              <w:bottom w:val="nil"/>
            </w:tcBorders>
          </w:tcPr>
          <w:p>
            <w:pPr>
              <w:spacing w:line="307" w:lineRule="auto"/>
              <w:rPr>
                <w:rFonts w:ascii="Arial"/>
                <w:sz w:val="21"/>
              </w:rPr>
            </w:pPr>
            <w:r/>
          </w:p>
          <w:p>
            <w:pPr>
              <w:spacing w:line="307" w:lineRule="auto"/>
              <w:rPr>
                <w:rFonts w:ascii="Arial"/>
                <w:sz w:val="21"/>
              </w:rPr>
            </w:pPr>
            <w:r/>
          </w:p>
          <w:p>
            <w:pPr>
              <w:spacing w:line="307" w:lineRule="auto"/>
              <w:rPr>
                <w:rFonts w:ascii="Arial"/>
                <w:sz w:val="21"/>
              </w:rPr>
            </w:pPr>
            <w:r/>
          </w:p>
          <w:p>
            <w:pPr>
              <w:ind w:left="120"/>
              <w:spacing w:before="65" w:line="227" w:lineRule="auto"/>
              <w:rPr>
                <w:rFonts w:ascii="SimSun" w:hAnsi="SimSun" w:eastAsia="SimSun" w:cs="SimSun"/>
                <w:sz w:val="20"/>
                <w:szCs w:val="20"/>
              </w:rPr>
            </w:pPr>
            <w:r>
              <w:rPr>
                <w:rFonts w:ascii="SimSun" w:hAnsi="SimSun" w:eastAsia="SimSun" w:cs="SimSun"/>
                <w:sz w:val="20"/>
                <w:szCs w:val="20"/>
                <w:spacing w:val="7"/>
              </w:rPr>
              <w:t>采矿用</w:t>
            </w:r>
          </w:p>
          <w:p>
            <w:pPr>
              <w:ind w:left="121"/>
              <w:spacing w:before="25" w:line="228" w:lineRule="auto"/>
              <w:rPr>
                <w:rFonts w:ascii="SimSun" w:hAnsi="SimSun" w:eastAsia="SimSun" w:cs="SimSun"/>
                <w:sz w:val="20"/>
                <w:szCs w:val="20"/>
              </w:rPr>
            </w:pPr>
            <w:r>
              <w:rPr>
                <w:rFonts w:ascii="SimSun" w:hAnsi="SimSun" w:eastAsia="SimSun" w:cs="SimSun"/>
                <w:sz w:val="20"/>
                <w:szCs w:val="20"/>
                <w:spacing w:val="8"/>
              </w:rPr>
              <w:t>地、天</w:t>
            </w:r>
          </w:p>
          <w:p>
            <w:pPr>
              <w:ind w:left="122"/>
              <w:spacing w:before="23" w:line="228" w:lineRule="auto"/>
              <w:rPr>
                <w:rFonts w:ascii="SimSun" w:hAnsi="SimSun" w:eastAsia="SimSun" w:cs="SimSun"/>
                <w:sz w:val="20"/>
                <w:szCs w:val="20"/>
              </w:rPr>
            </w:pPr>
            <w:r>
              <w:rPr>
                <w:rFonts w:ascii="SimSun" w:hAnsi="SimSun" w:eastAsia="SimSun" w:cs="SimSun"/>
                <w:sz w:val="20"/>
                <w:szCs w:val="20"/>
                <w:spacing w:val="6"/>
              </w:rPr>
              <w:t>然牧草</w:t>
            </w:r>
          </w:p>
          <w:p>
            <w:pPr>
              <w:ind w:left="332"/>
              <w:spacing w:before="27" w:line="237" w:lineRule="auto"/>
              <w:rPr>
                <w:rFonts w:ascii="SimSun" w:hAnsi="SimSun" w:eastAsia="SimSun" w:cs="SimSun"/>
                <w:sz w:val="20"/>
                <w:szCs w:val="20"/>
              </w:rPr>
            </w:pPr>
            <w:r>
              <w:rPr>
                <w:rFonts w:ascii="SimSun" w:hAnsi="SimSun" w:eastAsia="SimSun" w:cs="SimSun"/>
                <w:sz w:val="20"/>
                <w:szCs w:val="20"/>
              </w:rPr>
              <w:t>地</w:t>
            </w:r>
          </w:p>
        </w:tc>
        <w:tc>
          <w:tcPr>
            <w:tcW w:w="4212" w:type="dxa"/>
            <w:vAlign w:val="top"/>
          </w:tcPr>
          <w:p>
            <w:pPr>
              <w:ind w:left="116"/>
              <w:spacing w:before="29" w:line="227" w:lineRule="auto"/>
              <w:rPr>
                <w:rFonts w:ascii="SimSun" w:hAnsi="SimSun" w:eastAsia="SimSun" w:cs="SimSun"/>
                <w:sz w:val="20"/>
                <w:szCs w:val="20"/>
              </w:rPr>
            </w:pPr>
            <w:r>
              <w:rPr>
                <w:rFonts w:ascii="SimSun" w:hAnsi="SimSun" w:eastAsia="SimSun" w:cs="SimSun"/>
                <w:sz w:val="20"/>
                <w:szCs w:val="20"/>
                <w:spacing w:val="9"/>
              </w:rPr>
              <w:t>在排土场达到标高后对其进行复垦，采取工</w:t>
            </w:r>
          </w:p>
          <w:p>
            <w:pPr>
              <w:ind w:left="116"/>
              <w:spacing w:before="24" w:line="228" w:lineRule="auto"/>
              <w:rPr>
                <w:rFonts w:ascii="SimSun" w:hAnsi="SimSun" w:eastAsia="SimSun" w:cs="SimSun"/>
                <w:sz w:val="20"/>
                <w:szCs w:val="20"/>
              </w:rPr>
            </w:pPr>
            <w:r>
              <w:rPr>
                <w:rFonts w:ascii="SimSun" w:hAnsi="SimSun" w:eastAsia="SimSun" w:cs="SimSun"/>
                <w:sz w:val="20"/>
                <w:szCs w:val="20"/>
                <w:spacing w:val="8"/>
              </w:rPr>
              <w:t>程整治和植被恢复措施，最终恢复为草地，</w:t>
            </w:r>
          </w:p>
          <w:p>
            <w:pPr>
              <w:ind w:left="116"/>
              <w:spacing w:before="24" w:line="228" w:lineRule="auto"/>
              <w:rPr>
                <w:rFonts w:ascii="SimSun" w:hAnsi="SimSun" w:eastAsia="SimSun" w:cs="SimSun"/>
                <w:sz w:val="20"/>
                <w:szCs w:val="20"/>
              </w:rPr>
            </w:pPr>
            <w:r>
              <w:rPr>
                <w:rFonts w:ascii="SimSun" w:hAnsi="SimSun" w:eastAsia="SimSun" w:cs="SimSun"/>
                <w:sz w:val="20"/>
                <w:szCs w:val="20"/>
                <w:spacing w:val="9"/>
              </w:rPr>
              <w:t>平台主要种植沙打旺及苜蓿等，边坡种植沙</w:t>
            </w:r>
          </w:p>
          <w:p>
            <w:pPr>
              <w:ind w:left="1900"/>
              <w:spacing w:before="27" w:line="216" w:lineRule="auto"/>
              <w:rPr>
                <w:rFonts w:ascii="SimSun" w:hAnsi="SimSun" w:eastAsia="SimSun" w:cs="SimSun"/>
                <w:sz w:val="20"/>
                <w:szCs w:val="20"/>
              </w:rPr>
            </w:pPr>
            <w:r>
              <w:rPr>
                <w:rFonts w:ascii="SimSun" w:hAnsi="SimSun" w:eastAsia="SimSun" w:cs="SimSun"/>
                <w:sz w:val="20"/>
                <w:szCs w:val="20"/>
              </w:rPr>
              <w:t>柳。</w:t>
            </w:r>
          </w:p>
        </w:tc>
        <w:tc>
          <w:tcPr>
            <w:tcW w:w="986" w:type="dxa"/>
            <w:vAlign w:val="top"/>
            <w:vMerge w:val="restart"/>
            <w:tcBorders>
              <w:bottom w:val="nil"/>
            </w:tcBorders>
          </w:tcPr>
          <w:p>
            <w:pPr>
              <w:ind w:left="185"/>
              <w:spacing w:before="204" w:line="228" w:lineRule="auto"/>
              <w:rPr>
                <w:rFonts w:ascii="SimSun" w:hAnsi="SimSun" w:eastAsia="SimSun" w:cs="SimSun"/>
                <w:sz w:val="20"/>
                <w:szCs w:val="20"/>
              </w:rPr>
            </w:pPr>
            <w:r>
              <w:rPr>
                <w:rFonts w:ascii="SimSun" w:hAnsi="SimSun" w:eastAsia="SimSun" w:cs="SimSun"/>
                <w:sz w:val="20"/>
                <w:szCs w:val="20"/>
                <w:spacing w:val="6"/>
              </w:rPr>
              <w:t>林草覆</w:t>
            </w:r>
          </w:p>
          <w:p>
            <w:pPr>
              <w:ind w:left="185"/>
              <w:spacing w:before="24" w:line="228" w:lineRule="auto"/>
              <w:rPr>
                <w:rFonts w:ascii="SimSun" w:hAnsi="SimSun" w:eastAsia="SimSun" w:cs="SimSun"/>
                <w:sz w:val="20"/>
                <w:szCs w:val="20"/>
              </w:rPr>
            </w:pPr>
            <w:r>
              <w:rPr>
                <w:rFonts w:ascii="SimSun" w:hAnsi="SimSun" w:eastAsia="SimSun" w:cs="SimSun"/>
                <w:sz w:val="20"/>
                <w:szCs w:val="20"/>
                <w:spacing w:val="6"/>
              </w:rPr>
              <w:t>盖率不</w:t>
            </w:r>
          </w:p>
          <w:p>
            <w:pPr>
              <w:ind w:left="183"/>
              <w:spacing w:before="27" w:line="228" w:lineRule="auto"/>
              <w:rPr>
                <w:rFonts w:ascii="SimSun" w:hAnsi="SimSun" w:eastAsia="SimSun" w:cs="SimSun"/>
                <w:sz w:val="20"/>
                <w:szCs w:val="20"/>
              </w:rPr>
            </w:pPr>
            <w:r>
              <w:rPr>
                <w:rFonts w:ascii="SimSun" w:hAnsi="SimSun" w:eastAsia="SimSun" w:cs="SimSun"/>
                <w:sz w:val="20"/>
                <w:szCs w:val="20"/>
                <w:spacing w:val="7"/>
              </w:rPr>
              <w:t>低于现</w:t>
            </w:r>
          </w:p>
          <w:p>
            <w:pPr>
              <w:pStyle w:val="TableText"/>
              <w:ind w:left="114" w:right="123" w:firstLine="139"/>
              <w:spacing w:before="22" w:line="251" w:lineRule="auto"/>
              <w:jc w:val="both"/>
              <w:rPr>
                <w:rFonts w:ascii="SimSun" w:hAnsi="SimSun" w:eastAsia="SimSun" w:cs="SimSun"/>
              </w:rPr>
            </w:pPr>
            <w:r>
              <w:rPr>
                <w:rFonts w:ascii="SimSun" w:hAnsi="SimSun" w:eastAsia="SimSun" w:cs="SimSun"/>
                <w:spacing w:val="4"/>
              </w:rPr>
              <w:t>状</w:t>
            </w:r>
            <w:r>
              <w:rPr>
                <w:spacing w:val="4"/>
              </w:rPr>
              <w:t>(</w:t>
            </w:r>
            <w:r>
              <w:rPr>
                <w:rFonts w:ascii="SimSun" w:hAnsi="SimSun" w:eastAsia="SimSun" w:cs="SimSun"/>
                <w:spacing w:val="4"/>
              </w:rPr>
              <w:t>≥</w:t>
            </w:r>
            <w:r>
              <w:rPr>
                <w:rFonts w:ascii="SimSun" w:hAnsi="SimSun" w:eastAsia="SimSun" w:cs="SimSun"/>
              </w:rPr>
              <w:t xml:space="preserve"> </w:t>
            </w:r>
            <w:r>
              <w:rPr>
                <w:spacing w:val="3"/>
              </w:rPr>
              <w:t>50%</w:t>
            </w:r>
            <w:r>
              <w:rPr>
                <w:rFonts w:ascii="SimSun" w:hAnsi="SimSun" w:eastAsia="SimSun" w:cs="SimSun"/>
                <w:spacing w:val="-17"/>
              </w:rPr>
              <w:t>），</w:t>
            </w:r>
            <w:r>
              <w:rPr>
                <w:rFonts w:ascii="SimSun" w:hAnsi="SimSun" w:eastAsia="SimSun" w:cs="SimSun"/>
                <w:spacing w:val="30"/>
              </w:rPr>
              <w:t>水土流</w:t>
            </w:r>
          </w:p>
          <w:p>
            <w:pPr>
              <w:ind w:left="189"/>
              <w:spacing w:before="3" w:line="229" w:lineRule="auto"/>
              <w:rPr>
                <w:rFonts w:ascii="SimSun" w:hAnsi="SimSun" w:eastAsia="SimSun" w:cs="SimSun"/>
                <w:sz w:val="20"/>
                <w:szCs w:val="20"/>
              </w:rPr>
            </w:pPr>
            <w:r>
              <w:rPr>
                <w:rFonts w:ascii="SimSun" w:hAnsi="SimSun" w:eastAsia="SimSun" w:cs="SimSun"/>
                <w:sz w:val="20"/>
                <w:szCs w:val="20"/>
                <w:spacing w:val="5"/>
              </w:rPr>
              <w:t>失治理</w:t>
            </w:r>
          </w:p>
          <w:p>
            <w:pPr>
              <w:ind w:left="183"/>
              <w:spacing w:before="24" w:line="228" w:lineRule="auto"/>
              <w:rPr>
                <w:rFonts w:ascii="SimSun" w:hAnsi="SimSun" w:eastAsia="SimSun" w:cs="SimSun"/>
                <w:sz w:val="20"/>
                <w:szCs w:val="20"/>
              </w:rPr>
            </w:pPr>
            <w:r>
              <w:rPr>
                <w:rFonts w:ascii="SimSun" w:hAnsi="SimSun" w:eastAsia="SimSun" w:cs="SimSun"/>
                <w:sz w:val="20"/>
                <w:szCs w:val="20"/>
                <w:spacing w:val="7"/>
              </w:rPr>
              <w:t>度大于</w:t>
            </w:r>
          </w:p>
          <w:p>
            <w:pPr>
              <w:pStyle w:val="TableText"/>
              <w:ind w:left="309"/>
              <w:spacing w:before="45" w:line="195" w:lineRule="auto"/>
              <w:rPr/>
            </w:pPr>
            <w:r>
              <w:rPr>
                <w:spacing w:val="2"/>
              </w:rPr>
              <w:t>85%</w:t>
            </w:r>
          </w:p>
        </w:tc>
        <w:tc>
          <w:tcPr>
            <w:tcW w:w="1043" w:type="dxa"/>
            <w:vAlign w:val="top"/>
          </w:tcPr>
          <w:p>
            <w:pPr>
              <w:spacing w:line="413" w:lineRule="auto"/>
              <w:rPr>
                <w:rFonts w:ascii="Arial"/>
                <w:sz w:val="21"/>
              </w:rPr>
            </w:pPr>
            <w:r/>
          </w:p>
          <w:p>
            <w:pPr>
              <w:pStyle w:val="TableText"/>
              <w:ind w:left="178"/>
              <w:spacing w:before="58" w:line="195" w:lineRule="auto"/>
              <w:rPr/>
            </w:pPr>
            <w:r>
              <w:rPr>
                <w:spacing w:val="4"/>
              </w:rPr>
              <w:t>2859.78</w:t>
            </w:r>
          </w:p>
        </w:tc>
      </w:tr>
      <w:tr>
        <w:trPr>
          <w:trHeight w:val="822" w:hRule="atLeast"/>
        </w:trPr>
        <w:tc>
          <w:tcPr>
            <w:tcW w:w="1161" w:type="dxa"/>
            <w:vAlign w:val="top"/>
          </w:tcPr>
          <w:p>
            <w:pPr>
              <w:ind w:left="168"/>
              <w:spacing w:before="304" w:line="227" w:lineRule="auto"/>
              <w:rPr>
                <w:rFonts w:ascii="SimSun" w:hAnsi="SimSun" w:eastAsia="SimSun" w:cs="SimSun"/>
                <w:sz w:val="20"/>
                <w:szCs w:val="20"/>
              </w:rPr>
            </w:pPr>
            <w:r>
              <w:rPr>
                <w:rFonts w:ascii="SimSun" w:hAnsi="SimSun" w:eastAsia="SimSun" w:cs="SimSun"/>
                <w:sz w:val="20"/>
                <w:szCs w:val="20"/>
                <w:spacing w:val="6"/>
              </w:rPr>
              <w:t>最终采坑</w:t>
            </w:r>
          </w:p>
        </w:tc>
        <w:tc>
          <w:tcPr>
            <w:tcW w:w="1020" w:type="dxa"/>
            <w:vAlign w:val="top"/>
          </w:tcPr>
          <w:p>
            <w:pPr>
              <w:spacing w:line="281" w:lineRule="auto"/>
              <w:rPr>
                <w:rFonts w:ascii="Arial"/>
                <w:sz w:val="21"/>
              </w:rPr>
            </w:pPr>
            <w:r/>
          </w:p>
          <w:p>
            <w:pPr>
              <w:pStyle w:val="TableText"/>
              <w:ind w:left="227"/>
              <w:spacing w:before="58" w:line="195" w:lineRule="auto"/>
              <w:rPr/>
            </w:pPr>
            <w:r>
              <w:rPr>
                <w:spacing w:val="3"/>
              </w:rPr>
              <w:t>242.51</w:t>
            </w:r>
          </w:p>
        </w:tc>
        <w:tc>
          <w:tcPr>
            <w:tcW w:w="868" w:type="dxa"/>
            <w:vAlign w:val="top"/>
            <w:vMerge w:val="continue"/>
            <w:tcBorders>
              <w:top w:val="nil"/>
              <w:bottom w:val="nil"/>
            </w:tcBorders>
          </w:tcPr>
          <w:p>
            <w:pPr>
              <w:rPr>
                <w:rFonts w:ascii="Arial"/>
                <w:sz w:val="21"/>
              </w:rPr>
            </w:pPr>
            <w:r/>
          </w:p>
        </w:tc>
        <w:tc>
          <w:tcPr>
            <w:tcW w:w="4212" w:type="dxa"/>
            <w:vAlign w:val="top"/>
          </w:tcPr>
          <w:p>
            <w:pPr>
              <w:ind w:left="116"/>
              <w:spacing w:before="33" w:line="227" w:lineRule="auto"/>
              <w:rPr>
                <w:rFonts w:ascii="SimSun" w:hAnsi="SimSun" w:eastAsia="SimSun" w:cs="SimSun"/>
                <w:sz w:val="20"/>
                <w:szCs w:val="20"/>
              </w:rPr>
            </w:pPr>
            <w:r>
              <w:rPr>
                <w:rFonts w:ascii="SimSun" w:hAnsi="SimSun" w:eastAsia="SimSun" w:cs="SimSun"/>
                <w:sz w:val="20"/>
                <w:szCs w:val="20"/>
                <w:spacing w:val="9"/>
              </w:rPr>
              <w:t>采坑周围设置挡水围埂，防止雨水流入采坑</w:t>
            </w:r>
          </w:p>
          <w:p>
            <w:pPr>
              <w:ind w:left="118"/>
              <w:spacing w:before="25" w:line="227" w:lineRule="auto"/>
              <w:rPr>
                <w:rFonts w:ascii="SimSun" w:hAnsi="SimSun" w:eastAsia="SimSun" w:cs="SimSun"/>
                <w:sz w:val="20"/>
                <w:szCs w:val="20"/>
              </w:rPr>
            </w:pPr>
            <w:r>
              <w:rPr>
                <w:rFonts w:ascii="SimSun" w:hAnsi="SimSun" w:eastAsia="SimSun" w:cs="SimSun"/>
                <w:sz w:val="20"/>
                <w:szCs w:val="20"/>
                <w:spacing w:val="10"/>
              </w:rPr>
              <w:t>冲刷采坑边坡；在采坑周围设置网围栏，防</w:t>
            </w:r>
          </w:p>
          <w:p>
            <w:pPr>
              <w:ind w:left="1061"/>
              <w:spacing w:before="24" w:line="218" w:lineRule="auto"/>
              <w:rPr>
                <w:rFonts w:ascii="SimSun" w:hAnsi="SimSun" w:eastAsia="SimSun" w:cs="SimSun"/>
                <w:sz w:val="20"/>
                <w:szCs w:val="20"/>
              </w:rPr>
            </w:pPr>
            <w:r>
              <w:rPr>
                <w:rFonts w:ascii="SimSun" w:hAnsi="SimSun" w:eastAsia="SimSun" w:cs="SimSun"/>
                <w:sz w:val="20"/>
                <w:szCs w:val="20"/>
                <w:spacing w:val="8"/>
              </w:rPr>
              <w:t>止人和动物掉入其中。</w:t>
            </w:r>
          </w:p>
        </w:tc>
        <w:tc>
          <w:tcPr>
            <w:tcW w:w="986" w:type="dxa"/>
            <w:vAlign w:val="top"/>
            <w:vMerge w:val="continue"/>
            <w:tcBorders>
              <w:top w:val="nil"/>
              <w:bottom w:val="nil"/>
            </w:tcBorders>
          </w:tcPr>
          <w:p>
            <w:pPr>
              <w:rPr>
                <w:rFonts w:ascii="Arial"/>
                <w:sz w:val="21"/>
              </w:rPr>
            </w:pPr>
            <w:r/>
          </w:p>
        </w:tc>
        <w:tc>
          <w:tcPr>
            <w:tcW w:w="1043" w:type="dxa"/>
            <w:vAlign w:val="top"/>
          </w:tcPr>
          <w:p>
            <w:pPr>
              <w:spacing w:line="281" w:lineRule="auto"/>
              <w:rPr>
                <w:rFonts w:ascii="Arial"/>
                <w:sz w:val="21"/>
              </w:rPr>
            </w:pPr>
            <w:r/>
          </w:p>
          <w:p>
            <w:pPr>
              <w:pStyle w:val="TableText"/>
              <w:ind w:left="198"/>
              <w:spacing w:before="58" w:line="195" w:lineRule="auto"/>
              <w:rPr/>
            </w:pPr>
            <w:r>
              <w:rPr>
                <w:spacing w:val="1"/>
              </w:rPr>
              <w:t>1455.06</w:t>
            </w:r>
          </w:p>
        </w:tc>
      </w:tr>
      <w:tr>
        <w:trPr>
          <w:trHeight w:val="1093" w:hRule="atLeast"/>
        </w:trPr>
        <w:tc>
          <w:tcPr>
            <w:tcW w:w="1161" w:type="dxa"/>
            <w:vAlign w:val="top"/>
          </w:tcPr>
          <w:p>
            <w:pPr>
              <w:ind w:left="268" w:right="160" w:hanging="100"/>
              <w:spacing w:before="305" w:line="252" w:lineRule="auto"/>
              <w:rPr>
                <w:rFonts w:ascii="SimSun" w:hAnsi="SimSun" w:eastAsia="SimSun" w:cs="SimSun"/>
                <w:sz w:val="20"/>
                <w:szCs w:val="20"/>
              </w:rPr>
            </w:pPr>
            <w:r>
              <w:rPr>
                <w:rFonts w:ascii="SimSun" w:hAnsi="SimSun" w:eastAsia="SimSun" w:cs="SimSun"/>
                <w:sz w:val="20"/>
                <w:szCs w:val="20"/>
                <w:spacing w:val="6"/>
              </w:rPr>
              <w:t>南部采坑</w:t>
            </w:r>
            <w:r>
              <w:rPr>
                <w:rFonts w:ascii="SimSun" w:hAnsi="SimSun" w:eastAsia="SimSun" w:cs="SimSun"/>
                <w:sz w:val="20"/>
                <w:szCs w:val="20"/>
                <w:spacing w:val="6"/>
              </w:rPr>
              <w:t>积水区</w:t>
            </w:r>
          </w:p>
        </w:tc>
        <w:tc>
          <w:tcPr>
            <w:tcW w:w="1020" w:type="dxa"/>
            <w:vAlign w:val="top"/>
          </w:tcPr>
          <w:p>
            <w:pPr>
              <w:spacing w:line="416" w:lineRule="auto"/>
              <w:rPr>
                <w:rFonts w:ascii="Arial"/>
                <w:sz w:val="21"/>
              </w:rPr>
            </w:pPr>
            <w:r/>
          </w:p>
          <w:p>
            <w:pPr>
              <w:pStyle w:val="TableText"/>
              <w:ind w:left="280"/>
              <w:spacing w:before="57" w:line="195" w:lineRule="auto"/>
              <w:rPr/>
            </w:pPr>
            <w:r>
              <w:rPr>
                <w:spacing w:val="3"/>
              </w:rPr>
              <w:t>21.27</w:t>
            </w:r>
          </w:p>
        </w:tc>
        <w:tc>
          <w:tcPr>
            <w:tcW w:w="868" w:type="dxa"/>
            <w:vAlign w:val="top"/>
            <w:vMerge w:val="continue"/>
            <w:tcBorders>
              <w:top w:val="nil"/>
            </w:tcBorders>
          </w:tcPr>
          <w:p>
            <w:pPr>
              <w:rPr>
                <w:rFonts w:ascii="Arial"/>
                <w:sz w:val="21"/>
              </w:rPr>
            </w:pPr>
            <w:r/>
          </w:p>
        </w:tc>
        <w:tc>
          <w:tcPr>
            <w:tcW w:w="4212" w:type="dxa"/>
            <w:vAlign w:val="top"/>
          </w:tcPr>
          <w:p>
            <w:pPr>
              <w:ind w:left="115"/>
              <w:spacing w:before="32" w:line="228" w:lineRule="auto"/>
              <w:rPr>
                <w:rFonts w:ascii="SimSun" w:hAnsi="SimSun" w:eastAsia="SimSun" w:cs="SimSun"/>
                <w:sz w:val="20"/>
                <w:szCs w:val="20"/>
              </w:rPr>
            </w:pPr>
            <w:r>
              <w:rPr>
                <w:rFonts w:ascii="SimSun" w:hAnsi="SimSun" w:eastAsia="SimSun" w:cs="SimSun"/>
                <w:sz w:val="20"/>
                <w:szCs w:val="20"/>
                <w:spacing w:val="9"/>
              </w:rPr>
              <w:t>将该积水区域进行抽水，抽取水用于白音华</w:t>
            </w:r>
          </w:p>
          <w:p>
            <w:pPr>
              <w:ind w:left="136"/>
              <w:spacing w:before="26" w:line="228" w:lineRule="auto"/>
              <w:rPr>
                <w:rFonts w:ascii="SimSun" w:hAnsi="SimSun" w:eastAsia="SimSun" w:cs="SimSun"/>
                <w:sz w:val="20"/>
                <w:szCs w:val="20"/>
              </w:rPr>
            </w:pPr>
            <w:r>
              <w:rPr>
                <w:rFonts w:ascii="SimSun" w:hAnsi="SimSun" w:eastAsia="SimSun" w:cs="SimSun"/>
                <w:sz w:val="20"/>
                <w:szCs w:val="20"/>
                <w:spacing w:val="8"/>
              </w:rPr>
              <w:t>四号露天矿生态恢复植被灌溉用水。待该区</w:t>
            </w:r>
          </w:p>
          <w:p>
            <w:pPr>
              <w:ind w:left="118"/>
              <w:spacing w:before="24" w:line="228" w:lineRule="auto"/>
              <w:rPr>
                <w:rFonts w:ascii="SimSun" w:hAnsi="SimSun" w:eastAsia="SimSun" w:cs="SimSun"/>
                <w:sz w:val="20"/>
                <w:szCs w:val="20"/>
              </w:rPr>
            </w:pPr>
            <w:r>
              <w:rPr>
                <w:rFonts w:ascii="SimSun" w:hAnsi="SimSun" w:eastAsia="SimSun" w:cs="SimSun"/>
                <w:sz w:val="20"/>
                <w:szCs w:val="20"/>
                <w:spacing w:val="9"/>
              </w:rPr>
              <w:t>域具备回填条件后，对该区域进行回填及土</w:t>
            </w:r>
          </w:p>
          <w:p>
            <w:pPr>
              <w:ind w:left="1480"/>
              <w:spacing w:before="27" w:line="214" w:lineRule="auto"/>
              <w:rPr>
                <w:rFonts w:ascii="SimSun" w:hAnsi="SimSun" w:eastAsia="SimSun" w:cs="SimSun"/>
                <w:sz w:val="20"/>
                <w:szCs w:val="20"/>
              </w:rPr>
            </w:pPr>
            <w:r>
              <w:rPr>
                <w:rFonts w:ascii="SimSun" w:hAnsi="SimSun" w:eastAsia="SimSun" w:cs="SimSun"/>
                <w:sz w:val="20"/>
                <w:szCs w:val="20"/>
                <w:spacing w:val="6"/>
              </w:rPr>
              <w:t>地复垦治理。</w:t>
            </w:r>
          </w:p>
        </w:tc>
        <w:tc>
          <w:tcPr>
            <w:tcW w:w="986" w:type="dxa"/>
            <w:vAlign w:val="top"/>
            <w:vMerge w:val="continue"/>
            <w:tcBorders>
              <w:top w:val="nil"/>
            </w:tcBorders>
          </w:tcPr>
          <w:p>
            <w:pPr>
              <w:rPr>
                <w:rFonts w:ascii="Arial"/>
                <w:sz w:val="21"/>
              </w:rPr>
            </w:pPr>
            <w:r/>
          </w:p>
        </w:tc>
        <w:tc>
          <w:tcPr>
            <w:tcW w:w="1043" w:type="dxa"/>
            <w:vAlign w:val="top"/>
          </w:tcPr>
          <w:p>
            <w:pPr>
              <w:spacing w:line="416" w:lineRule="auto"/>
              <w:rPr>
                <w:rFonts w:ascii="Arial"/>
                <w:sz w:val="21"/>
              </w:rPr>
            </w:pPr>
            <w:r/>
          </w:p>
          <w:p>
            <w:pPr>
              <w:pStyle w:val="TableText"/>
              <w:ind w:left="285"/>
              <w:spacing w:before="57" w:line="195" w:lineRule="auto"/>
              <w:rPr/>
            </w:pPr>
            <w:r>
              <w:rPr>
                <w:spacing w:val="3"/>
              </w:rPr>
              <w:t>42.54</w:t>
            </w:r>
          </w:p>
        </w:tc>
      </w:tr>
      <w:tr>
        <w:trPr>
          <w:trHeight w:val="282" w:hRule="atLeast"/>
        </w:trPr>
        <w:tc>
          <w:tcPr>
            <w:tcW w:w="8247" w:type="dxa"/>
            <w:vAlign w:val="top"/>
            <w:gridSpan w:val="5"/>
          </w:tcPr>
          <w:p>
            <w:pPr>
              <w:ind w:left="3918"/>
              <w:spacing w:before="33" w:line="220" w:lineRule="auto"/>
              <w:rPr>
                <w:rFonts w:ascii="SimSun" w:hAnsi="SimSun" w:eastAsia="SimSun" w:cs="SimSun"/>
                <w:sz w:val="20"/>
                <w:szCs w:val="20"/>
              </w:rPr>
            </w:pPr>
            <w:r>
              <w:rPr>
                <w:rFonts w:ascii="SimSun" w:hAnsi="SimSun" w:eastAsia="SimSun" w:cs="SimSun"/>
                <w:sz w:val="20"/>
                <w:szCs w:val="20"/>
                <w:spacing w:val="4"/>
              </w:rPr>
              <w:t>合计</w:t>
            </w:r>
          </w:p>
        </w:tc>
        <w:tc>
          <w:tcPr>
            <w:tcW w:w="1043" w:type="dxa"/>
            <w:vAlign w:val="top"/>
          </w:tcPr>
          <w:p>
            <w:pPr>
              <w:pStyle w:val="TableText"/>
              <w:ind w:left="177"/>
              <w:spacing w:before="69" w:line="195" w:lineRule="auto"/>
              <w:rPr/>
            </w:pPr>
            <w:r>
              <w:rPr>
                <w:spacing w:val="4"/>
              </w:rPr>
              <w:t>4357.38</w:t>
            </w:r>
          </w:p>
        </w:tc>
      </w:tr>
    </w:tbl>
    <w:p>
      <w:pPr>
        <w:pStyle w:val="BodyText"/>
        <w:spacing w:line="291" w:lineRule="auto"/>
        <w:rPr/>
      </w:pPr>
      <w:r/>
    </w:p>
    <w:p>
      <w:pPr>
        <w:pStyle w:val="BodyText"/>
        <w:spacing w:line="291" w:lineRule="auto"/>
        <w:rPr/>
      </w:pPr>
      <w:r/>
    </w:p>
    <w:p>
      <w:pPr>
        <w:ind w:left="119"/>
        <w:spacing w:before="91" w:line="224" w:lineRule="auto"/>
        <w:rPr>
          <w:rFonts w:ascii="SimHei" w:hAnsi="SimHei" w:eastAsia="SimHei" w:cs="SimHei"/>
          <w:sz w:val="28"/>
          <w:szCs w:val="28"/>
        </w:rPr>
      </w:pPr>
      <w:r>
        <w:rPr>
          <w:rFonts w:ascii="Times New Roman" w:hAnsi="Times New Roman" w:eastAsia="Times New Roman" w:cs="Times New Roman"/>
          <w:sz w:val="28"/>
          <w:szCs w:val="28"/>
          <w:b/>
          <w:bCs/>
          <w:spacing w:val="-2"/>
        </w:rPr>
        <w:t>7.1.4 </w:t>
      </w:r>
      <w:r>
        <w:rPr>
          <w:rFonts w:ascii="SimHei" w:hAnsi="SimHei" w:eastAsia="SimHei" w:cs="SimHei"/>
          <w:sz w:val="28"/>
          <w:szCs w:val="28"/>
          <w:b/>
          <w:bCs/>
          <w:spacing w:val="-2"/>
        </w:rPr>
        <w:t>生态管理及监测计划</w:t>
      </w:r>
    </w:p>
    <w:p>
      <w:pPr>
        <w:spacing w:line="224" w:lineRule="auto"/>
        <w:sectPr>
          <w:headerReference w:type="default" r:id="rId468"/>
          <w:footerReference w:type="default" r:id="rId513"/>
          <w:pgSz w:w="11906" w:h="16838"/>
          <w:pgMar w:top="1114" w:right="1304" w:bottom="1080" w:left="1305" w:header="837" w:footer="918" w:gutter="0"/>
        </w:sectPr>
        <w:rPr>
          <w:rFonts w:ascii="SimHei" w:hAnsi="SimHei" w:eastAsia="SimHei" w:cs="SimHei"/>
          <w:sz w:val="28"/>
          <w:szCs w:val="28"/>
        </w:rPr>
      </w:pPr>
    </w:p>
    <w:p>
      <w:pPr>
        <w:pStyle w:val="BodyText"/>
        <w:spacing w:line="368" w:lineRule="auto"/>
        <w:rPr/>
      </w:pPr>
      <w:r/>
    </w:p>
    <w:p>
      <w:pPr>
        <w:ind w:left="493"/>
        <w:spacing w:before="78" w:line="219" w:lineRule="auto"/>
        <w:rPr>
          <w:rFonts w:ascii="SimSun" w:hAnsi="SimSun" w:eastAsia="SimSun" w:cs="SimSun"/>
          <w:sz w:val="24"/>
          <w:szCs w:val="24"/>
        </w:rPr>
      </w:pPr>
      <w:r>
        <w:rPr>
          <w:rFonts w:ascii="SimSun" w:hAnsi="SimSun" w:eastAsia="SimSun" w:cs="SimSun"/>
          <w:sz w:val="24"/>
          <w:szCs w:val="24"/>
          <w:spacing w:val="-3"/>
        </w:rPr>
        <w:t>一、环境监管</w:t>
      </w:r>
    </w:p>
    <w:p>
      <w:pPr>
        <w:ind w:left="508"/>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、组织保障措施</w:t>
      </w:r>
    </w:p>
    <w:p>
      <w:pPr>
        <w:ind w:left="10" w:firstLine="485"/>
        <w:spacing w:before="150" w:line="31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）矿山企业应健全矿山地质环境恢复治理组织领导体系，成立矿山地质环境保</w:t>
      </w:r>
      <w:r>
        <w:rPr>
          <w:rFonts w:ascii="SimSun" w:hAnsi="SimSun" w:eastAsia="SimSun" w:cs="SimSun"/>
          <w:sz w:val="24"/>
          <w:szCs w:val="24"/>
          <w:spacing w:val="-2"/>
        </w:rPr>
        <w:t>护与土地复垦治理项目领导小组，负责矿山地质环境治理项目的领导、管理和组织实施</w:t>
      </w:r>
      <w:r>
        <w:rPr>
          <w:rFonts w:ascii="SimSun" w:hAnsi="SimSun" w:eastAsia="SimSun" w:cs="SimSun"/>
          <w:sz w:val="24"/>
          <w:szCs w:val="24"/>
          <w:spacing w:val="-3"/>
        </w:rPr>
        <w:t>工作，并接受地方自然资源行政主管部门对矿山地质环境治理实施情况进行监督和管理，</w:t>
      </w:r>
      <w:r>
        <w:rPr>
          <w:rFonts w:ascii="SimSun" w:hAnsi="SimSun" w:eastAsia="SimSun" w:cs="SimSun"/>
          <w:sz w:val="24"/>
          <w:szCs w:val="24"/>
          <w:spacing w:val="-2"/>
        </w:rPr>
        <w:t>同时组织学习《矿山地质环境保护规定》等有关法律法规，提高矿山管理人员和采矿人</w:t>
      </w:r>
      <w:r>
        <w:rPr>
          <w:rFonts w:ascii="SimSun" w:hAnsi="SimSun" w:eastAsia="SimSun" w:cs="SimSun"/>
          <w:sz w:val="24"/>
          <w:szCs w:val="24"/>
          <w:spacing w:val="-1"/>
        </w:rPr>
        <w:t>员的矿山地质环境保护意识。</w:t>
      </w:r>
    </w:p>
    <w:p>
      <w:pPr>
        <w:ind w:left="8" w:right="186" w:firstLine="487"/>
        <w:spacing w:before="154" w:line="31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）矿山企业必须严格按照矿山地质环境治理方案的治理措施、进度安排、技术</w:t>
      </w:r>
      <w:r>
        <w:rPr>
          <w:rFonts w:ascii="SimSun" w:hAnsi="SimSun" w:eastAsia="SimSun" w:cs="SimSun"/>
          <w:sz w:val="24"/>
          <w:szCs w:val="24"/>
          <w:spacing w:val="-2"/>
        </w:rPr>
        <w:t>标准等要求，保质保量地完成矿山地质环境治理的各项措施；当地国土部门定期对土地</w:t>
      </w:r>
      <w:r>
        <w:rPr>
          <w:rFonts w:ascii="SimSun" w:hAnsi="SimSun" w:eastAsia="SimSun" w:cs="SimSun"/>
          <w:sz w:val="24"/>
          <w:szCs w:val="24"/>
          <w:spacing w:val="-2"/>
        </w:rPr>
        <w:t>复垦实施进度、质量、资金落实等情况进行实地监督、检查。在监督方法上采用矿山企</w:t>
      </w:r>
      <w:r>
        <w:rPr>
          <w:rFonts w:ascii="SimSun" w:hAnsi="SimSun" w:eastAsia="SimSun" w:cs="SimSun"/>
          <w:sz w:val="24"/>
          <w:szCs w:val="24"/>
          <w:spacing w:val="-2"/>
        </w:rPr>
        <w:t>业定期汇报与实地检查相结合，必要时采取行政、经济、司法等多种手段促使方案的完</w:t>
      </w:r>
      <w:r>
        <w:rPr>
          <w:rFonts w:ascii="SimSun" w:hAnsi="SimSun" w:eastAsia="SimSun" w:cs="SimSun"/>
          <w:sz w:val="24"/>
          <w:szCs w:val="24"/>
          <w:spacing w:val="-3"/>
        </w:rPr>
        <w:t>全落实。</w:t>
      </w:r>
    </w:p>
    <w:p>
      <w:pPr>
        <w:ind w:left="485"/>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、资金保障措施</w:t>
      </w:r>
    </w:p>
    <w:p>
      <w:pPr>
        <w:ind w:left="8" w:right="173" w:firstLine="481"/>
        <w:spacing w:before="161" w:line="338" w:lineRule="auto"/>
        <w:rPr>
          <w:rFonts w:ascii="SimSun" w:hAnsi="SimSun" w:eastAsia="SimSun" w:cs="SimSun"/>
          <w:sz w:val="24"/>
          <w:szCs w:val="24"/>
        </w:rPr>
      </w:pPr>
      <w:r>
        <w:rPr>
          <w:rFonts w:ascii="SimSun" w:hAnsi="SimSun" w:eastAsia="SimSun" w:cs="SimSun"/>
          <w:sz w:val="24"/>
          <w:szCs w:val="24"/>
          <w:spacing w:val="-2"/>
        </w:rPr>
        <w:t>本着“谁开发、谁保护、谁破坏、谁治理</w:t>
      </w:r>
      <w:r>
        <w:rPr>
          <w:rFonts w:ascii="SimSun" w:hAnsi="SimSun" w:eastAsia="SimSun" w:cs="SimSun"/>
          <w:sz w:val="24"/>
          <w:szCs w:val="24"/>
          <w:spacing w:val="-88"/>
        </w:rPr>
        <w:t xml:space="preserve"> </w:t>
      </w:r>
      <w:r>
        <w:rPr>
          <w:rFonts w:ascii="SimSun" w:hAnsi="SimSun" w:eastAsia="SimSun" w:cs="SimSun"/>
          <w:sz w:val="24"/>
          <w:szCs w:val="24"/>
          <w:spacing w:val="-2"/>
        </w:rPr>
        <w:t>”的原则，本项目资金由</w:t>
      </w:r>
      <w:r>
        <w:rPr>
          <w:rFonts w:ascii="SimSun" w:hAnsi="SimSun" w:eastAsia="SimSun" w:cs="SimSun"/>
          <w:sz w:val="24"/>
          <w:szCs w:val="24"/>
          <w:spacing w:val="-3"/>
        </w:rPr>
        <w:t>矿山企业承担。</w:t>
      </w:r>
      <w:r>
        <w:rPr>
          <w:rFonts w:ascii="SimSun" w:hAnsi="SimSun" w:eastAsia="SimSun" w:cs="SimSun"/>
          <w:sz w:val="24"/>
          <w:szCs w:val="24"/>
          <w:spacing w:val="-2"/>
        </w:rPr>
        <w:t>矿权人必须高度重视矿山地质环境保护与地质环境问题治理工作，按该方案制定的恢复</w:t>
      </w:r>
      <w:r>
        <w:rPr>
          <w:rFonts w:ascii="SimSun" w:hAnsi="SimSun" w:eastAsia="SimSun" w:cs="SimSun"/>
          <w:sz w:val="24"/>
          <w:szCs w:val="24"/>
          <w:spacing w:val="-2"/>
        </w:rPr>
        <w:t>治理部署，分期分批把治理资金纳入到每个年度预算之中，确保各项治理工作能落实到</w:t>
      </w:r>
      <w:r>
        <w:rPr>
          <w:rFonts w:ascii="SimSun" w:hAnsi="SimSun" w:eastAsia="SimSun" w:cs="SimSun"/>
          <w:sz w:val="24"/>
          <w:szCs w:val="24"/>
          <w:spacing w:val="-1"/>
        </w:rPr>
        <w:t>位。为此企业要设立专项资金，确保各项工程的经费开支到位。只有资</w:t>
      </w:r>
      <w:r>
        <w:rPr>
          <w:rFonts w:ascii="SimSun" w:hAnsi="SimSun" w:eastAsia="SimSun" w:cs="SimSun"/>
          <w:sz w:val="24"/>
          <w:szCs w:val="24"/>
          <w:spacing w:val="-2"/>
        </w:rPr>
        <w:t>金的充分保障，</w:t>
      </w:r>
      <w:r>
        <w:rPr>
          <w:rFonts w:ascii="SimSun" w:hAnsi="SimSun" w:eastAsia="SimSun" w:cs="SimSun"/>
          <w:sz w:val="24"/>
          <w:szCs w:val="24"/>
          <w:spacing w:val="-2"/>
        </w:rPr>
        <w:t>才能使矿山地质环境保护与土地复垦落到实处，才能切实保障工程实施的效果，实现预</w:t>
      </w:r>
      <w:r>
        <w:rPr>
          <w:rFonts w:ascii="SimSun" w:hAnsi="SimSun" w:eastAsia="SimSun" w:cs="SimSun"/>
          <w:sz w:val="24"/>
          <w:szCs w:val="24"/>
          <w:spacing w:val="-3"/>
        </w:rPr>
        <w:t>期目标。</w:t>
      </w:r>
    </w:p>
    <w:p>
      <w:pPr>
        <w:ind w:left="495"/>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）资金来源</w:t>
      </w:r>
    </w:p>
    <w:p>
      <w:pPr>
        <w:ind w:left="10" w:right="186" w:firstLine="508"/>
        <w:spacing w:before="153" w:line="339" w:lineRule="auto"/>
        <w:rPr>
          <w:rFonts w:ascii="SimSun" w:hAnsi="SimSun" w:eastAsia="SimSun" w:cs="SimSun"/>
          <w:sz w:val="24"/>
          <w:szCs w:val="24"/>
        </w:rPr>
      </w:pPr>
      <w:r>
        <w:rPr>
          <w:rFonts w:ascii="SimSun" w:hAnsi="SimSun" w:eastAsia="SimSun" w:cs="SimSun"/>
          <w:sz w:val="24"/>
          <w:szCs w:val="24"/>
          <w:spacing w:val="-2"/>
        </w:rPr>
        <w:t>内蒙古海州露天能源有限责任公司为本项目资</w:t>
      </w:r>
      <w:r>
        <w:rPr>
          <w:rFonts w:ascii="SimSun" w:hAnsi="SimSun" w:eastAsia="SimSun" w:cs="SimSun"/>
          <w:sz w:val="24"/>
          <w:szCs w:val="24"/>
          <w:spacing w:val="-3"/>
        </w:rPr>
        <w:t>金提供义务人，应将矿山地质环境保</w:t>
      </w:r>
      <w:r>
        <w:rPr>
          <w:rFonts w:ascii="SimSun" w:hAnsi="SimSun" w:eastAsia="SimSun" w:cs="SimSun"/>
          <w:sz w:val="24"/>
          <w:szCs w:val="24"/>
          <w:spacing w:val="-1"/>
        </w:rPr>
        <w:t>护与土地复垦资金足额纳入生产建设成本，专项用于该工作的实施。</w:t>
      </w:r>
    </w:p>
    <w:p>
      <w:pPr>
        <w:ind w:left="21" w:right="101" w:firstLine="468"/>
        <w:spacing w:before="3" w:line="337" w:lineRule="auto"/>
        <w:rPr>
          <w:rFonts w:ascii="SimSun" w:hAnsi="SimSun" w:eastAsia="SimSun" w:cs="SimSun"/>
          <w:sz w:val="24"/>
          <w:szCs w:val="24"/>
        </w:rPr>
      </w:pPr>
      <w:r>
        <w:rPr>
          <w:rFonts w:ascii="SimSun" w:hAnsi="SimSun" w:eastAsia="SimSun" w:cs="SimSun"/>
          <w:sz w:val="24"/>
          <w:szCs w:val="24"/>
          <w:spacing w:val="-2"/>
        </w:rPr>
        <w:t>土地复垦资金在整个土地复垦过程中主要包括预存、提取、管理、使用等环节，保</w:t>
      </w:r>
      <w:r>
        <w:rPr>
          <w:rFonts w:ascii="SimSun" w:hAnsi="SimSun" w:eastAsia="SimSun" w:cs="SimSun"/>
          <w:sz w:val="24"/>
          <w:szCs w:val="24"/>
          <w:spacing w:val="-6"/>
        </w:rPr>
        <w:t>障土地复垦资金的顺畅、安全流转，使其真正用到实处，保证土地复垦工作的顺利开展。</w:t>
      </w:r>
    </w:p>
    <w:p>
      <w:pPr>
        <w:ind w:left="495"/>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）资金预存</w:t>
      </w:r>
    </w:p>
    <w:p>
      <w:pPr>
        <w:ind w:left="9" w:right="120" w:firstLine="480"/>
        <w:spacing w:before="158" w:line="338" w:lineRule="auto"/>
        <w:rPr>
          <w:rFonts w:ascii="SimSun" w:hAnsi="SimSun" w:eastAsia="SimSun" w:cs="SimSun"/>
          <w:sz w:val="24"/>
          <w:szCs w:val="24"/>
        </w:rPr>
      </w:pPr>
      <w:r>
        <w:rPr>
          <w:rFonts w:ascii="SimSun" w:hAnsi="SimSun" w:eastAsia="SimSun" w:cs="SimSun"/>
          <w:sz w:val="24"/>
          <w:szCs w:val="24"/>
          <w:spacing w:val="-2"/>
        </w:rPr>
        <w:t>本矿山土地复垦费用由内蒙古海州露天能源有限责任公司自筹，并计入企业的生产</w:t>
      </w:r>
      <w:r>
        <w:rPr>
          <w:rFonts w:ascii="SimSun" w:hAnsi="SimSun" w:eastAsia="SimSun" w:cs="SimSun"/>
          <w:sz w:val="24"/>
          <w:szCs w:val="24"/>
          <w:spacing w:val="-2"/>
        </w:rPr>
        <w:t>成本。本次土地复垦费用安排遵循提前预存、分阶段足额预存原则，第一次预存的数额</w:t>
      </w:r>
      <w:r>
        <w:rPr>
          <w:rFonts w:ascii="SimSun" w:hAnsi="SimSun" w:eastAsia="SimSun" w:cs="SimSun"/>
          <w:sz w:val="24"/>
          <w:szCs w:val="24"/>
          <w:spacing w:val="-3"/>
        </w:rPr>
        <w:t>不得少于土地复垦费用静态总投资的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20%</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。在此次生</w:t>
      </w:r>
      <w:r>
        <w:rPr>
          <w:rFonts w:ascii="SimSun" w:hAnsi="SimSun" w:eastAsia="SimSun" w:cs="SimSun"/>
          <w:sz w:val="24"/>
          <w:szCs w:val="24"/>
          <w:spacing w:val="-4"/>
        </w:rPr>
        <w:t>产结束前</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  </w:t>
      </w:r>
      <w:r>
        <w:rPr>
          <w:rFonts w:ascii="SimSun" w:hAnsi="SimSun" w:eastAsia="SimSun" w:cs="SimSun"/>
          <w:sz w:val="24"/>
          <w:szCs w:val="24"/>
          <w:spacing w:val="-4"/>
        </w:rPr>
        <w:t>年预存完毕所有费用，</w:t>
      </w:r>
      <w:r>
        <w:rPr>
          <w:rFonts w:ascii="SimSun" w:hAnsi="SimSun" w:eastAsia="SimSun" w:cs="SimSun"/>
          <w:sz w:val="24"/>
          <w:szCs w:val="24"/>
          <w:spacing w:val="-2"/>
        </w:rPr>
        <w:t>并根据土地复垦工作计划安排，安排土地复垦动态费用。期间若国家提出提取资金的具</w:t>
      </w:r>
      <w:r>
        <w:rPr>
          <w:rFonts w:ascii="SimSun" w:hAnsi="SimSun" w:eastAsia="SimSun" w:cs="SimSun"/>
          <w:sz w:val="24"/>
          <w:szCs w:val="24"/>
          <w:spacing w:val="-1"/>
        </w:rPr>
        <w:t>体金额要求则根据国家要求调整。</w:t>
      </w:r>
    </w:p>
    <w:p>
      <w:pPr>
        <w:ind w:left="495"/>
        <w:spacing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）费用存储</w:t>
      </w:r>
    </w:p>
    <w:p>
      <w:pPr>
        <w:spacing w:line="219" w:lineRule="auto"/>
        <w:sectPr>
          <w:headerReference w:type="default" r:id="rId501"/>
          <w:footerReference w:type="default" r:id="rId514"/>
          <w:pgSz w:w="11906" w:h="16838"/>
          <w:pgMar w:top="1114" w:right="1231" w:bottom="1080" w:left="1416" w:header="837" w:footer="918" w:gutter="0"/>
        </w:sectPr>
        <w:rPr>
          <w:rFonts w:ascii="SimSun" w:hAnsi="SimSun" w:eastAsia="SimSun" w:cs="SimSun"/>
          <w:sz w:val="24"/>
          <w:szCs w:val="24"/>
        </w:rPr>
      </w:pPr>
    </w:p>
    <w:p>
      <w:pPr>
        <w:pStyle w:val="BodyText"/>
        <w:spacing w:line="369" w:lineRule="auto"/>
        <w:rPr/>
      </w:pPr>
      <w:r/>
    </w:p>
    <w:p>
      <w:pPr>
        <w:ind w:left="11" w:firstLine="479"/>
        <w:spacing w:before="78" w:line="338" w:lineRule="auto"/>
        <w:jc w:val="both"/>
        <w:rPr>
          <w:rFonts w:ascii="SimSun" w:hAnsi="SimSun" w:eastAsia="SimSun" w:cs="SimSun"/>
          <w:sz w:val="24"/>
          <w:szCs w:val="24"/>
        </w:rPr>
      </w:pPr>
      <w:r>
        <w:rPr>
          <w:rFonts w:ascii="SimSun" w:hAnsi="SimSun" w:eastAsia="SimSun" w:cs="SimSun"/>
          <w:sz w:val="24"/>
          <w:szCs w:val="24"/>
          <w:spacing w:val="-2"/>
        </w:rPr>
        <w:t>土地复垦义务人应根据《土地复垦费用监管协议》将土地复垦费用存入土地复垦费</w:t>
      </w:r>
      <w:r>
        <w:rPr>
          <w:rFonts w:ascii="SimSun" w:hAnsi="SimSun" w:eastAsia="SimSun" w:cs="SimSun"/>
          <w:sz w:val="24"/>
          <w:szCs w:val="24"/>
          <w:spacing w:val="2"/>
        </w:rPr>
        <w:t>用专用账户。土地复垦费用账户应按照“企业所有，政府监管，专户存储，专款专用</w:t>
      </w:r>
      <w:r>
        <w:rPr>
          <w:rFonts w:ascii="SimSun" w:hAnsi="SimSun" w:eastAsia="SimSun" w:cs="SimSun"/>
          <w:sz w:val="24"/>
          <w:szCs w:val="24"/>
          <w:spacing w:val="-89"/>
        </w:rPr>
        <w:t xml:space="preserve"> </w:t>
      </w:r>
      <w:r>
        <w:rPr>
          <w:rFonts w:ascii="SimSun" w:hAnsi="SimSun" w:eastAsia="SimSun" w:cs="SimSun"/>
          <w:sz w:val="24"/>
          <w:szCs w:val="24"/>
          <w:spacing w:val="2"/>
        </w:rPr>
        <w:t>”</w:t>
      </w:r>
      <w:r>
        <w:rPr>
          <w:rFonts w:ascii="SimSun" w:hAnsi="SimSun" w:eastAsia="SimSun" w:cs="SimSun"/>
          <w:sz w:val="24"/>
          <w:szCs w:val="24"/>
        </w:rPr>
        <w:t>的原则进行管理，并应建立土地复垦费用专</w:t>
      </w:r>
      <w:r>
        <w:rPr>
          <w:rFonts w:ascii="SimSun" w:hAnsi="SimSun" w:eastAsia="SimSun" w:cs="SimSun"/>
          <w:sz w:val="24"/>
          <w:szCs w:val="24"/>
          <w:spacing w:val="-1"/>
        </w:rPr>
        <w:t>项使用的具体财务管理制度。</w:t>
      </w:r>
    </w:p>
    <w:p>
      <w:pPr>
        <w:ind w:left="8" w:right="167" w:firstLine="481"/>
        <w:spacing w:before="5" w:line="338" w:lineRule="auto"/>
        <w:jc w:val="both"/>
        <w:rPr>
          <w:rFonts w:ascii="SimSun" w:hAnsi="SimSun" w:eastAsia="SimSun" w:cs="SimSun"/>
          <w:sz w:val="24"/>
          <w:szCs w:val="24"/>
        </w:rPr>
      </w:pPr>
      <w:r>
        <w:rPr>
          <w:rFonts w:ascii="SimSun" w:hAnsi="SimSun" w:eastAsia="SimSun" w:cs="SimSun"/>
          <w:sz w:val="24"/>
          <w:szCs w:val="24"/>
          <w:spacing w:val="-2"/>
        </w:rPr>
        <w:t>土地复垦费用应根据《土地复垦费用监管协议》的约定进行存储，土地复垦费用存</w:t>
      </w:r>
      <w:r>
        <w:rPr>
          <w:rFonts w:ascii="SimSun" w:hAnsi="SimSun" w:eastAsia="SimSun" w:cs="SimSun"/>
          <w:sz w:val="24"/>
          <w:szCs w:val="24"/>
          <w:spacing w:val="-2"/>
        </w:rPr>
        <w:t>储受自然资源主管部门监督，建议按照以下规则进行存储：土地复垦义务人依据批复的</w:t>
      </w:r>
      <w:r>
        <w:rPr>
          <w:rFonts w:ascii="SimSun" w:hAnsi="SimSun" w:eastAsia="SimSun" w:cs="SimSun"/>
          <w:sz w:val="24"/>
          <w:szCs w:val="24"/>
          <w:spacing w:val="-2"/>
        </w:rPr>
        <w:t>土地复垦方案及阶段土地复垦计划中确定的费用预存计划，分期将土地复垦费用存入土</w:t>
      </w:r>
      <w:r>
        <w:rPr>
          <w:rFonts w:ascii="SimSun" w:hAnsi="SimSun" w:eastAsia="SimSun" w:cs="SimSun"/>
          <w:sz w:val="24"/>
          <w:szCs w:val="24"/>
          <w:spacing w:val="1"/>
        </w:rPr>
        <w:t>地复垦费用专用账户，并于每个费用预存计划</w:t>
      </w:r>
      <w:r>
        <w:rPr>
          <w:rFonts w:ascii="SimSun" w:hAnsi="SimSun" w:eastAsia="SimSun" w:cs="SimSun"/>
          <w:sz w:val="24"/>
          <w:szCs w:val="24"/>
        </w:rPr>
        <w:t>开始后的</w:t>
      </w:r>
      <w:r>
        <w:rPr>
          <w:rFonts w:ascii="SimSun" w:hAnsi="SimSun" w:eastAsia="SimSun" w:cs="SimSun"/>
          <w:sz w:val="24"/>
          <w:szCs w:val="24"/>
          <w:spacing w:val="-23"/>
        </w:rPr>
        <w:t xml:space="preserve"> </w:t>
      </w:r>
      <w:r>
        <w:rPr>
          <w:rFonts w:ascii="Times New Roman" w:hAnsi="Times New Roman" w:eastAsia="Times New Roman" w:cs="Times New Roman"/>
          <w:sz w:val="24"/>
          <w:szCs w:val="24"/>
        </w:rPr>
        <w:t>10 </w:t>
      </w:r>
      <w:r>
        <w:rPr>
          <w:rFonts w:ascii="SimSun" w:hAnsi="SimSun" w:eastAsia="SimSun" w:cs="SimSun"/>
          <w:sz w:val="24"/>
          <w:szCs w:val="24"/>
        </w:rPr>
        <w:t>个工作日内存入。土地复垦</w:t>
      </w:r>
      <w:r>
        <w:rPr>
          <w:rFonts w:ascii="SimSun" w:hAnsi="SimSun" w:eastAsia="SimSun" w:cs="SimSun"/>
          <w:sz w:val="24"/>
          <w:szCs w:val="24"/>
          <w:spacing w:val="-2"/>
        </w:rPr>
        <w:t>费用存储所产生的利息，可用于抵减下一期应存储的土地复垦费用。不能按期存储土地</w:t>
      </w:r>
      <w:r>
        <w:rPr>
          <w:rFonts w:ascii="SimSun" w:hAnsi="SimSun" w:eastAsia="SimSun" w:cs="SimSun"/>
          <w:sz w:val="24"/>
          <w:szCs w:val="24"/>
          <w:spacing w:val="-2"/>
        </w:rPr>
        <w:t>复垦费用的，须每天按未存储土地复垦费用的万分之一向土地复垦费用共管账户缴纳滞</w:t>
      </w:r>
      <w:r>
        <w:rPr>
          <w:rFonts w:ascii="SimSun" w:hAnsi="SimSun" w:eastAsia="SimSun" w:cs="SimSun"/>
          <w:sz w:val="24"/>
          <w:szCs w:val="24"/>
          <w:spacing w:val="-2"/>
        </w:rPr>
        <w:t>纳金，滞纳金不能用于抵减下一期应存储的土地复垦费用。所有存款凭证提交审计部门</w:t>
      </w:r>
      <w:r>
        <w:rPr>
          <w:rFonts w:ascii="SimSun" w:hAnsi="SimSun" w:eastAsia="SimSun" w:cs="SimSun"/>
          <w:sz w:val="24"/>
          <w:szCs w:val="24"/>
          <w:spacing w:val="-1"/>
        </w:rPr>
        <w:t>审核，审核结果交自然资源管理主管部门备案。</w:t>
      </w:r>
    </w:p>
    <w:p>
      <w:pPr>
        <w:ind w:left="495"/>
        <w:spacing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）费用使用与管理</w:t>
      </w:r>
    </w:p>
    <w:p>
      <w:pPr>
        <w:ind w:left="15" w:right="167" w:firstLine="479"/>
        <w:spacing w:before="153" w:line="339" w:lineRule="auto"/>
        <w:rPr>
          <w:rFonts w:ascii="SimSun" w:hAnsi="SimSun" w:eastAsia="SimSun" w:cs="SimSun"/>
          <w:sz w:val="24"/>
          <w:szCs w:val="24"/>
        </w:rPr>
      </w:pPr>
      <w:r>
        <w:rPr>
          <w:rFonts w:ascii="SimSun" w:hAnsi="SimSun" w:eastAsia="SimSun" w:cs="SimSun"/>
          <w:sz w:val="24"/>
          <w:szCs w:val="24"/>
          <w:spacing w:val="-2"/>
        </w:rPr>
        <w:t>管理机构具体管理，受自然资源主管部门的监督。建议按以下方式使用与管理土地</w:t>
      </w:r>
      <w:r>
        <w:rPr>
          <w:rFonts w:ascii="SimSun" w:hAnsi="SimSun" w:eastAsia="SimSun" w:cs="SimSun"/>
          <w:sz w:val="24"/>
          <w:szCs w:val="24"/>
          <w:spacing w:val="-4"/>
        </w:rPr>
        <w:t>复垦费用：</w:t>
      </w:r>
    </w:p>
    <w:p>
      <w:pPr>
        <w:ind w:left="9" w:right="180" w:firstLine="498"/>
        <w:spacing w:before="1" w:line="278" w:lineRule="auto"/>
        <w:rPr>
          <w:rFonts w:ascii="SimSun" w:hAnsi="SimSun" w:eastAsia="SimSun" w:cs="SimSun"/>
          <w:sz w:val="24"/>
          <w:szCs w:val="24"/>
        </w:rPr>
      </w:pPr>
      <w:r>
        <w:rPr>
          <w:rFonts w:ascii="Times New Roman" w:hAnsi="Times New Roman" w:eastAsia="Times New Roman" w:cs="Times New Roman"/>
          <w:sz w:val="24"/>
          <w:szCs w:val="24"/>
          <w:spacing w:val="1"/>
        </w:rPr>
        <w:t>1</w:t>
      </w:r>
      <w:r>
        <w:rPr>
          <w:rFonts w:ascii="SimSun" w:hAnsi="SimSun" w:eastAsia="SimSun" w:cs="SimSun"/>
          <w:sz w:val="24"/>
          <w:szCs w:val="24"/>
          <w:spacing w:val="1"/>
        </w:rPr>
        <w:t>）资金拨付由施工单位根据复垦工程进度向土地复垦管理机构提出</w:t>
      </w:r>
      <w:r>
        <w:rPr>
          <w:rFonts w:ascii="SimSun" w:hAnsi="SimSun" w:eastAsia="SimSun" w:cs="SimSun"/>
          <w:sz w:val="24"/>
          <w:szCs w:val="24"/>
        </w:rPr>
        <w:t>申请，经审查</w:t>
      </w:r>
      <w:r>
        <w:rPr>
          <w:rFonts w:ascii="SimSun" w:hAnsi="SimSun" w:eastAsia="SimSun" w:cs="SimSun"/>
          <w:sz w:val="24"/>
          <w:szCs w:val="24"/>
          <w:spacing w:val="-1"/>
        </w:rPr>
        <w:t>签字后，报财务审批。</w:t>
      </w:r>
    </w:p>
    <w:p>
      <w:pPr>
        <w:ind w:left="19" w:right="167" w:firstLine="465"/>
        <w:spacing w:before="155" w:line="29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）施工单位每年年底，根据土地复垦实施规划和年度计划，做出下一年度的复垦</w:t>
      </w:r>
      <w:r>
        <w:rPr>
          <w:rFonts w:ascii="SimSun" w:hAnsi="SimSun" w:eastAsia="SimSun" w:cs="SimSun"/>
          <w:sz w:val="24"/>
          <w:szCs w:val="24"/>
          <w:spacing w:val="-2"/>
        </w:rPr>
        <w:t>资金使用预算。土地复垦管理机构对复垦资金使用预算进行审核并报自然资源主管部门</w:t>
      </w:r>
      <w:r>
        <w:rPr>
          <w:rFonts w:ascii="SimSun" w:hAnsi="SimSun" w:eastAsia="SimSun" w:cs="SimSun"/>
          <w:sz w:val="24"/>
          <w:szCs w:val="24"/>
          <w:spacing w:val="-4"/>
        </w:rPr>
        <w:t>审查备案。</w:t>
      </w:r>
    </w:p>
    <w:p>
      <w:pPr>
        <w:ind w:left="10" w:right="180" w:firstLine="479"/>
        <w:spacing w:before="156" w:line="278"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）施工单位按期填写复垦资金使用情况报表，对每一笔复垦资金的用途均应有详</w:t>
      </w:r>
      <w:r>
        <w:rPr>
          <w:rFonts w:ascii="SimSun" w:hAnsi="SimSun" w:eastAsia="SimSun" w:cs="SimSun"/>
          <w:sz w:val="24"/>
          <w:szCs w:val="24"/>
        </w:rPr>
        <w:t>细明确的记录。复垦资金使用情况报表按期提交土</w:t>
      </w:r>
      <w:r>
        <w:rPr>
          <w:rFonts w:ascii="SimSun" w:hAnsi="SimSun" w:eastAsia="SimSun" w:cs="SimSun"/>
          <w:sz w:val="24"/>
          <w:szCs w:val="24"/>
          <w:spacing w:val="-1"/>
        </w:rPr>
        <w:t>地复垦管理机构审核备案。</w:t>
      </w:r>
    </w:p>
    <w:p>
      <w:pPr>
        <w:ind w:left="11" w:right="82" w:firstLine="472"/>
        <w:spacing w:before="155" w:line="280" w:lineRule="auto"/>
        <w:rPr>
          <w:rFonts w:ascii="SimSun" w:hAnsi="SimSun" w:eastAsia="SimSun" w:cs="SimSun"/>
          <w:sz w:val="24"/>
          <w:szCs w:val="24"/>
        </w:rPr>
      </w:pPr>
      <w:r>
        <w:rPr>
          <w:rFonts w:ascii="Times New Roman" w:hAnsi="Times New Roman" w:eastAsia="Times New Roman" w:cs="Times New Roman"/>
          <w:sz w:val="24"/>
          <w:szCs w:val="24"/>
          <w:spacing w:val="-2"/>
        </w:rPr>
        <w:t>4</w:t>
      </w:r>
      <w:r>
        <w:rPr>
          <w:rFonts w:ascii="SimSun" w:hAnsi="SimSun" w:eastAsia="SimSun" w:cs="SimSun"/>
          <w:sz w:val="24"/>
          <w:szCs w:val="24"/>
          <w:spacing w:val="-2"/>
        </w:rPr>
        <w:t>）对滥用、挪用复垦资金的，追究当事人、相关责</w:t>
      </w:r>
      <w:r>
        <w:rPr>
          <w:rFonts w:ascii="SimSun" w:hAnsi="SimSun" w:eastAsia="SimSun" w:cs="SimSun"/>
          <w:sz w:val="24"/>
          <w:szCs w:val="24"/>
          <w:spacing w:val="-3"/>
        </w:rPr>
        <w:t>任人的责任，给予相应的行政、</w:t>
      </w:r>
      <w:r>
        <w:rPr>
          <w:rFonts w:ascii="SimSun" w:hAnsi="SimSun" w:eastAsia="SimSun" w:cs="SimSun"/>
          <w:sz w:val="24"/>
          <w:szCs w:val="24"/>
          <w:spacing w:val="-2"/>
        </w:rPr>
        <w:t>经济、刑事处罚。</w:t>
      </w:r>
    </w:p>
    <w:p>
      <w:pPr>
        <w:ind w:left="489"/>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、管理体系</w:t>
      </w:r>
    </w:p>
    <w:p>
      <w:pPr>
        <w:ind w:left="10" w:right="167" w:firstLine="513"/>
        <w:spacing w:before="154" w:line="339" w:lineRule="auto"/>
        <w:rPr>
          <w:rFonts w:ascii="SimSun" w:hAnsi="SimSun" w:eastAsia="SimSun" w:cs="SimSun"/>
          <w:sz w:val="24"/>
          <w:szCs w:val="24"/>
        </w:rPr>
      </w:pPr>
      <w:r>
        <w:rPr>
          <w:rFonts w:ascii="SimSun" w:hAnsi="SimSun" w:eastAsia="SimSun" w:cs="SimSun"/>
          <w:sz w:val="24"/>
          <w:szCs w:val="24"/>
          <w:spacing w:val="-3"/>
        </w:rPr>
        <w:t>白音华四号露天矿已设环境保护管理机构，在环保机构中配置相应人员，专门负责</w:t>
      </w:r>
      <w:r>
        <w:rPr>
          <w:rFonts w:ascii="SimSun" w:hAnsi="SimSun" w:eastAsia="SimSun" w:cs="SimSun"/>
          <w:sz w:val="24"/>
          <w:szCs w:val="24"/>
          <w:spacing w:val="-1"/>
        </w:rPr>
        <w:t>土地复垦的管理监督工作。</w:t>
      </w:r>
    </w:p>
    <w:p>
      <w:pPr>
        <w:ind w:left="12" w:right="182" w:firstLine="483"/>
        <w:spacing w:before="1" w:line="27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）贯彻执行国家及省市各项环保方针、政策和法规，制定本项目的生态环境管</w:t>
      </w:r>
      <w:r>
        <w:rPr>
          <w:rFonts w:ascii="SimSun" w:hAnsi="SimSun" w:eastAsia="SimSun" w:cs="SimSun"/>
          <w:sz w:val="24"/>
          <w:szCs w:val="24"/>
          <w:spacing w:val="-6"/>
        </w:rPr>
        <w:t>理办</w:t>
      </w:r>
      <w:r>
        <w:rPr>
          <w:rFonts w:ascii="SimSun" w:hAnsi="SimSun" w:eastAsia="SimSun" w:cs="SimSun"/>
          <w:sz w:val="24"/>
          <w:szCs w:val="24"/>
          <w:spacing w:val="10"/>
        </w:rPr>
        <w:t xml:space="preserve"> </w:t>
      </w:r>
      <w:r>
        <w:rPr>
          <w:rFonts w:ascii="SimSun" w:hAnsi="SimSun" w:eastAsia="SimSun" w:cs="SimSun"/>
          <w:sz w:val="24"/>
          <w:szCs w:val="24"/>
          <w:spacing w:val="-6"/>
        </w:rPr>
        <w:t>法。</w:t>
      </w:r>
    </w:p>
    <w:p>
      <w:pPr>
        <w:ind w:left="12" w:right="154" w:firstLine="483"/>
        <w:spacing w:before="156" w:line="27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）对项目实施涉及的生态环保工作进行监督管理，制定项目的生态环境管理与</w:t>
      </w:r>
      <w:r>
        <w:rPr>
          <w:rFonts w:ascii="SimSun" w:hAnsi="SimSun" w:eastAsia="SimSun" w:cs="SimSun"/>
          <w:sz w:val="24"/>
          <w:szCs w:val="24"/>
          <w:spacing w:val="-1"/>
        </w:rPr>
        <w:t>工作计划并进行实施，负责项目建设中各项生态环保措施实施</w:t>
      </w:r>
      <w:r>
        <w:rPr>
          <w:rFonts w:ascii="SimSun" w:hAnsi="SimSun" w:eastAsia="SimSun" w:cs="SimSun"/>
          <w:sz w:val="24"/>
          <w:szCs w:val="24"/>
          <w:spacing w:val="-2"/>
        </w:rPr>
        <w:t>的监督和日常管理工作。</w:t>
      </w:r>
    </w:p>
    <w:p>
      <w:pPr>
        <w:ind w:left="15" w:right="182" w:firstLine="480"/>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）组织开展本项目的生态环保宣传，提高各级管理人员和施工人员的生态环保</w:t>
      </w:r>
      <w:r>
        <w:rPr>
          <w:rFonts w:ascii="SimSun" w:hAnsi="SimSun" w:eastAsia="SimSun" w:cs="SimSun"/>
          <w:sz w:val="24"/>
          <w:szCs w:val="24"/>
          <w:spacing w:val="-2"/>
        </w:rPr>
        <w:t>意识和管理水平。</w:t>
      </w:r>
    </w:p>
    <w:p>
      <w:pPr>
        <w:spacing w:line="280" w:lineRule="auto"/>
        <w:sectPr>
          <w:headerReference w:type="default" r:id="rId515"/>
          <w:footerReference w:type="default" r:id="rId516"/>
          <w:pgSz w:w="11906" w:h="16838"/>
          <w:pgMar w:top="1114" w:right="1249" w:bottom="1080" w:left="1416" w:header="837" w:footer="918" w:gutter="0"/>
        </w:sectPr>
        <w:rPr>
          <w:rFonts w:ascii="SimSun" w:hAnsi="SimSun" w:eastAsia="SimSun" w:cs="SimSun"/>
          <w:sz w:val="24"/>
          <w:szCs w:val="24"/>
        </w:rPr>
      </w:pPr>
    </w:p>
    <w:p>
      <w:pPr>
        <w:pStyle w:val="BodyText"/>
        <w:spacing w:line="366" w:lineRule="auto"/>
        <w:rPr/>
      </w:pPr>
      <w:r/>
    </w:p>
    <w:p>
      <w:pPr>
        <w:ind w:left="121" w:right="127" w:firstLine="484"/>
        <w:spacing w:before="78"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）组织、领导项目在营运期的生态环保科研和信息工作，推广先进的生态环保</w:t>
      </w:r>
      <w:bookmarkStart w:name="bookmark111" w:id="85"/>
      <w:bookmarkEnd w:id="85"/>
      <w:r>
        <w:rPr>
          <w:rFonts w:ascii="SimSun" w:hAnsi="SimSun" w:eastAsia="SimSun" w:cs="SimSun"/>
          <w:sz w:val="24"/>
          <w:szCs w:val="24"/>
          <w:spacing w:val="-2"/>
        </w:rPr>
        <w:t>经验和技术。</w:t>
      </w:r>
    </w:p>
    <w:p>
      <w:pPr>
        <w:ind w:left="606"/>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）下达项目在营运期的生态环境监测任务。</w:t>
      </w:r>
    </w:p>
    <w:p>
      <w:pPr>
        <w:ind w:left="606"/>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）负责项目在营运期的生态破坏事故的调查和处理。</w:t>
      </w:r>
    </w:p>
    <w:p>
      <w:pPr>
        <w:ind w:left="124" w:right="124" w:firstLine="481"/>
        <w:spacing w:before="155"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）做好生态环保工作方面的横向和纵向协调工作，负责生态环境监测和科研等</w:t>
      </w:r>
      <w:r>
        <w:rPr>
          <w:rFonts w:ascii="SimSun" w:hAnsi="SimSun" w:eastAsia="SimSun" w:cs="SimSun"/>
          <w:sz w:val="24"/>
          <w:szCs w:val="24"/>
          <w:spacing w:val="1"/>
        </w:rPr>
        <w:t>资料 汇总整理工作，及时上报各级环保部门，积极推动项目生态环保工作。作进行监</w:t>
      </w:r>
      <w:r>
        <w:rPr>
          <w:rFonts w:ascii="SimSun" w:hAnsi="SimSun" w:eastAsia="SimSun" w:cs="SimSun"/>
          <w:sz w:val="24"/>
          <w:szCs w:val="24"/>
          <w:spacing w:val="-8"/>
        </w:rPr>
        <w:t>督。</w:t>
      </w:r>
    </w:p>
    <w:p>
      <w:pPr>
        <w:ind w:left="121" w:right="127" w:firstLine="484"/>
        <w:spacing w:before="154" w:line="27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）生态重建总体工程必须按规划中有关的技术进行，如因情况变化，需按当时</w:t>
      </w:r>
      <w:r>
        <w:rPr>
          <w:rFonts w:ascii="SimSun" w:hAnsi="SimSun" w:eastAsia="SimSun" w:cs="SimSun"/>
          <w:sz w:val="24"/>
          <w:szCs w:val="24"/>
          <w:spacing w:val="-1"/>
        </w:rPr>
        <w:t>生态重建规划的设计进行。</w:t>
      </w:r>
    </w:p>
    <w:p>
      <w:pPr>
        <w:ind w:left="600"/>
        <w:spacing w:before="154" w:line="220"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、环境监测计划及具体实施方案</w:t>
      </w:r>
    </w:p>
    <w:p>
      <w:pPr>
        <w:ind w:left="120" w:right="112" w:firstLine="479"/>
        <w:spacing w:before="155" w:line="340" w:lineRule="auto"/>
        <w:rPr>
          <w:rFonts w:ascii="SimSun" w:hAnsi="SimSun" w:eastAsia="SimSun" w:cs="SimSun"/>
          <w:sz w:val="24"/>
          <w:szCs w:val="24"/>
        </w:rPr>
      </w:pPr>
      <w:r>
        <w:rPr>
          <w:rFonts w:ascii="SimSun" w:hAnsi="SimSun" w:eastAsia="SimSun" w:cs="SimSun"/>
          <w:sz w:val="24"/>
          <w:szCs w:val="24"/>
          <w:spacing w:val="-2"/>
        </w:rPr>
        <w:t>运行期各监测项目的内容、监测频率、监测制度、报告制度、实施单位等生态环境</w:t>
      </w:r>
      <w:r>
        <w:rPr>
          <w:rFonts w:ascii="SimSun" w:hAnsi="SimSun" w:eastAsia="SimSun" w:cs="SimSun"/>
          <w:sz w:val="24"/>
          <w:szCs w:val="24"/>
          <w:spacing w:val="-2"/>
        </w:rPr>
        <w:t>监测计划及具体实施方案见表</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7-1-5</w:t>
      </w:r>
      <w:r>
        <w:rPr>
          <w:rFonts w:ascii="SimSun" w:hAnsi="SimSun" w:eastAsia="SimSun" w:cs="SimSun"/>
          <w:sz w:val="24"/>
          <w:szCs w:val="24"/>
          <w:spacing w:val="-2"/>
        </w:rPr>
        <w:t>。</w:t>
      </w:r>
    </w:p>
    <w:p>
      <w:pPr>
        <w:ind w:left="3573"/>
        <w:spacing w:before="124" w:line="222" w:lineRule="auto"/>
        <w:rPr>
          <w:rFonts w:ascii="SimHei" w:hAnsi="SimHei" w:eastAsia="SimHei" w:cs="SimHei"/>
          <w:sz w:val="24"/>
          <w:szCs w:val="24"/>
        </w:rPr>
      </w:pPr>
      <w:r>
        <w:rPr>
          <w:rFonts w:ascii="SimHei" w:hAnsi="SimHei" w:eastAsia="SimHei" w:cs="SimHei"/>
          <w:sz w:val="24"/>
          <w:szCs w:val="24"/>
          <w:spacing w:val="-1"/>
        </w:rPr>
        <w:t>生态环境监测计划一览表</w:t>
      </w:r>
    </w:p>
    <w:p>
      <w:pPr>
        <w:ind w:left="117"/>
        <w:spacing w:before="66"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7-1-5</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76"/>
        <w:gridCol w:w="1147"/>
        <w:gridCol w:w="5239"/>
        <w:gridCol w:w="2228"/>
      </w:tblGrid>
      <w:tr>
        <w:trPr>
          <w:trHeight w:val="283" w:hRule="atLeast"/>
        </w:trPr>
        <w:tc>
          <w:tcPr>
            <w:tcW w:w="676" w:type="dxa"/>
            <w:vAlign w:val="top"/>
          </w:tcPr>
          <w:p>
            <w:pPr>
              <w:ind w:left="131"/>
              <w:spacing w:before="33" w:line="221" w:lineRule="auto"/>
              <w:rPr>
                <w:rFonts w:ascii="SimSun" w:hAnsi="SimSun" w:eastAsia="SimSun" w:cs="SimSun"/>
                <w:sz w:val="20"/>
                <w:szCs w:val="20"/>
              </w:rPr>
            </w:pPr>
            <w:r>
              <w:rPr>
                <w:rFonts w:ascii="SimSun" w:hAnsi="SimSun" w:eastAsia="SimSun" w:cs="SimSun"/>
                <w:sz w:val="20"/>
                <w:szCs w:val="20"/>
                <w:spacing w:val="5"/>
              </w:rPr>
              <w:t>序号</w:t>
            </w:r>
          </w:p>
        </w:tc>
        <w:tc>
          <w:tcPr>
            <w:tcW w:w="1147" w:type="dxa"/>
            <w:vAlign w:val="top"/>
          </w:tcPr>
          <w:p>
            <w:pPr>
              <w:ind w:left="158"/>
              <w:spacing w:before="33" w:line="221" w:lineRule="auto"/>
              <w:rPr>
                <w:rFonts w:ascii="SimSun" w:hAnsi="SimSun" w:eastAsia="SimSun" w:cs="SimSun"/>
                <w:sz w:val="20"/>
                <w:szCs w:val="20"/>
              </w:rPr>
            </w:pPr>
            <w:r>
              <w:rPr>
                <w:rFonts w:ascii="SimSun" w:hAnsi="SimSun" w:eastAsia="SimSun" w:cs="SimSun"/>
                <w:sz w:val="20"/>
                <w:szCs w:val="20"/>
                <w:spacing w:val="7"/>
              </w:rPr>
              <w:t>监测项目</w:t>
            </w:r>
          </w:p>
        </w:tc>
        <w:tc>
          <w:tcPr>
            <w:tcW w:w="5239" w:type="dxa"/>
            <w:vAlign w:val="top"/>
          </w:tcPr>
          <w:p>
            <w:pPr>
              <w:ind w:left="1995"/>
              <w:spacing w:before="33" w:line="221" w:lineRule="auto"/>
              <w:rPr>
                <w:rFonts w:ascii="SimSun" w:hAnsi="SimSun" w:eastAsia="SimSun" w:cs="SimSun"/>
                <w:sz w:val="20"/>
                <w:szCs w:val="20"/>
              </w:rPr>
            </w:pPr>
            <w:r>
              <w:rPr>
                <w:rFonts w:ascii="SimSun" w:hAnsi="SimSun" w:eastAsia="SimSun" w:cs="SimSun"/>
                <w:sz w:val="20"/>
                <w:szCs w:val="20"/>
                <w:spacing w:val="7"/>
              </w:rPr>
              <w:t>主要技术要求</w:t>
            </w:r>
          </w:p>
        </w:tc>
        <w:tc>
          <w:tcPr>
            <w:tcW w:w="2228" w:type="dxa"/>
            <w:vAlign w:val="top"/>
          </w:tcPr>
          <w:p>
            <w:pPr>
              <w:ind w:left="705"/>
              <w:spacing w:before="33" w:line="221" w:lineRule="auto"/>
              <w:rPr>
                <w:rFonts w:ascii="SimSun" w:hAnsi="SimSun" w:eastAsia="SimSun" w:cs="SimSun"/>
                <w:sz w:val="20"/>
                <w:szCs w:val="20"/>
              </w:rPr>
            </w:pPr>
            <w:r>
              <w:rPr>
                <w:rFonts w:ascii="SimSun" w:hAnsi="SimSun" w:eastAsia="SimSun" w:cs="SimSun"/>
                <w:sz w:val="20"/>
                <w:szCs w:val="20"/>
                <w:spacing w:val="6"/>
              </w:rPr>
              <w:t>实施单位</w:t>
            </w:r>
          </w:p>
        </w:tc>
      </w:tr>
      <w:tr>
        <w:trPr>
          <w:trHeight w:val="1364" w:hRule="atLeast"/>
        </w:trPr>
        <w:tc>
          <w:tcPr>
            <w:tcW w:w="676" w:type="dxa"/>
            <w:vAlign w:val="top"/>
          </w:tcPr>
          <w:p>
            <w:pPr>
              <w:spacing w:line="273" w:lineRule="auto"/>
              <w:rPr>
                <w:rFonts w:ascii="Arial"/>
                <w:sz w:val="21"/>
              </w:rPr>
            </w:pPr>
            <w:r/>
          </w:p>
          <w:p>
            <w:pPr>
              <w:spacing w:line="273" w:lineRule="auto"/>
              <w:rPr>
                <w:rFonts w:ascii="Arial"/>
                <w:sz w:val="21"/>
              </w:rPr>
            </w:pPr>
            <w:r/>
          </w:p>
          <w:p>
            <w:pPr>
              <w:pStyle w:val="TableText"/>
              <w:ind w:left="307"/>
              <w:spacing w:before="58" w:line="195" w:lineRule="auto"/>
              <w:rPr/>
            </w:pPr>
            <w:r>
              <w:rPr/>
              <w:t>1</w:t>
            </w:r>
          </w:p>
        </w:tc>
        <w:tc>
          <w:tcPr>
            <w:tcW w:w="1147" w:type="dxa"/>
            <w:vAlign w:val="top"/>
          </w:tcPr>
          <w:p>
            <w:pPr>
              <w:spacing w:line="251" w:lineRule="auto"/>
              <w:rPr>
                <w:rFonts w:ascii="Arial"/>
                <w:sz w:val="21"/>
              </w:rPr>
            </w:pPr>
            <w:r/>
          </w:p>
          <w:p>
            <w:pPr>
              <w:spacing w:line="251" w:lineRule="auto"/>
              <w:rPr>
                <w:rFonts w:ascii="Arial"/>
                <w:sz w:val="21"/>
              </w:rPr>
            </w:pPr>
            <w:r/>
          </w:p>
          <w:p>
            <w:pPr>
              <w:ind w:left="367"/>
              <w:spacing w:before="65" w:line="228" w:lineRule="auto"/>
              <w:rPr>
                <w:rFonts w:ascii="SimSun" w:hAnsi="SimSun" w:eastAsia="SimSun" w:cs="SimSun"/>
                <w:sz w:val="20"/>
                <w:szCs w:val="20"/>
              </w:rPr>
            </w:pPr>
            <w:r>
              <w:rPr>
                <w:rFonts w:ascii="SimSun" w:hAnsi="SimSun" w:eastAsia="SimSun" w:cs="SimSun"/>
                <w:sz w:val="20"/>
                <w:szCs w:val="20"/>
                <w:spacing w:val="4"/>
              </w:rPr>
              <w:t>植被</w:t>
            </w:r>
          </w:p>
        </w:tc>
        <w:tc>
          <w:tcPr>
            <w:tcW w:w="5239" w:type="dxa"/>
            <w:vAlign w:val="top"/>
          </w:tcPr>
          <w:p>
            <w:pPr>
              <w:pStyle w:val="TableText"/>
              <w:ind w:left="112" w:right="106" w:firstLine="16"/>
              <w:spacing w:before="26"/>
              <w:rPr>
                <w:rFonts w:ascii="SimSun" w:hAnsi="SimSun" w:eastAsia="SimSun" w:cs="SimSun"/>
              </w:rPr>
            </w:pPr>
            <w:r>
              <w:rPr>
                <w:spacing w:val="10"/>
              </w:rPr>
              <w:t>1.</w:t>
            </w:r>
            <w:r>
              <w:rPr>
                <w:rFonts w:ascii="SimSun" w:hAnsi="SimSun" w:eastAsia="SimSun" w:cs="SimSun"/>
                <w:spacing w:val="10"/>
              </w:rPr>
              <w:t>监测项目：剥采区、排土场等生产区的植被类</w:t>
            </w:r>
            <w:r>
              <w:rPr>
                <w:rFonts w:ascii="SimSun" w:hAnsi="SimSun" w:eastAsia="SimSun" w:cs="SimSun"/>
                <w:spacing w:val="9"/>
              </w:rPr>
              <w:t>型，草</w:t>
            </w:r>
            <w:r>
              <w:rPr>
                <w:rFonts w:ascii="SimSun" w:hAnsi="SimSun" w:eastAsia="SimSun" w:cs="SimSun"/>
                <w:spacing w:val="8"/>
              </w:rPr>
              <w:t>群高度、盖度、生物量等。</w:t>
            </w:r>
          </w:p>
          <w:p>
            <w:pPr>
              <w:pStyle w:val="TableText"/>
              <w:ind w:left="108"/>
              <w:spacing w:before="24" w:line="228" w:lineRule="auto"/>
              <w:rPr>
                <w:rFonts w:ascii="SimSun" w:hAnsi="SimSun" w:eastAsia="SimSun" w:cs="SimSun"/>
              </w:rPr>
            </w:pPr>
            <w:r>
              <w:rPr>
                <w:spacing w:val="3"/>
              </w:rPr>
              <w:t>2.</w:t>
            </w:r>
            <w:r>
              <w:rPr>
                <w:rFonts w:ascii="SimSun" w:hAnsi="SimSun" w:eastAsia="SimSun" w:cs="SimSun"/>
                <w:spacing w:val="3"/>
              </w:rPr>
              <w:t>监测频率：</w:t>
            </w:r>
            <w:r>
              <w:rPr>
                <w:spacing w:val="3"/>
              </w:rPr>
              <w:t>1 </w:t>
            </w:r>
            <w:r>
              <w:rPr>
                <w:rFonts w:ascii="SimSun" w:hAnsi="SimSun" w:eastAsia="SimSun" w:cs="SimSun"/>
                <w:spacing w:val="3"/>
              </w:rPr>
              <w:t>年</w:t>
            </w:r>
            <w:r>
              <w:rPr>
                <w:rFonts w:ascii="SimSun" w:hAnsi="SimSun" w:eastAsia="SimSun" w:cs="SimSun"/>
                <w:spacing w:val="-18"/>
              </w:rPr>
              <w:t xml:space="preserve"> </w:t>
            </w:r>
            <w:r>
              <w:rPr>
                <w:spacing w:val="3"/>
              </w:rPr>
              <w:t>1</w:t>
            </w:r>
            <w:r>
              <w:rPr>
                <w:spacing w:val="15"/>
                <w:w w:val="101"/>
              </w:rPr>
              <w:t xml:space="preserve"> </w:t>
            </w:r>
            <w:r>
              <w:rPr>
                <w:rFonts w:ascii="SimSun" w:hAnsi="SimSun" w:eastAsia="SimSun" w:cs="SimSun"/>
                <w:spacing w:val="3"/>
              </w:rPr>
              <w:t>次。</w:t>
            </w:r>
          </w:p>
          <w:p>
            <w:pPr>
              <w:pStyle w:val="TableText"/>
              <w:ind w:left="111" w:right="106" w:firstLine="1"/>
              <w:spacing w:before="26" w:line="235" w:lineRule="auto"/>
              <w:rPr>
                <w:rFonts w:ascii="SimSun" w:hAnsi="SimSun" w:eastAsia="SimSun" w:cs="SimSun"/>
              </w:rPr>
            </w:pPr>
            <w:r>
              <w:rPr>
                <w:spacing w:val="10"/>
              </w:rPr>
              <w:t>3.</w:t>
            </w:r>
            <w:r>
              <w:rPr>
                <w:rFonts w:ascii="SimSun" w:hAnsi="SimSun" w:eastAsia="SimSun" w:cs="SimSun"/>
                <w:spacing w:val="10"/>
              </w:rPr>
              <w:t>监测点：项目实施区，包括已恢复和正在恢复的排土</w:t>
            </w:r>
            <w:r>
              <w:rPr>
                <w:rFonts w:ascii="SimSun" w:hAnsi="SimSun" w:eastAsia="SimSun" w:cs="SimSun"/>
                <w:spacing w:val="5"/>
              </w:rPr>
              <w:t>场，计划</w:t>
            </w:r>
            <w:r>
              <w:rPr>
                <w:rFonts w:ascii="SimSun" w:hAnsi="SimSun" w:eastAsia="SimSun" w:cs="SimSun"/>
                <w:spacing w:val="-33"/>
              </w:rPr>
              <w:t xml:space="preserve"> </w:t>
            </w:r>
            <w:r>
              <w:rPr>
                <w:spacing w:val="5"/>
              </w:rPr>
              <w:t>3</w:t>
            </w:r>
            <w:r>
              <w:rPr>
                <w:rFonts w:ascii="SimSun" w:hAnsi="SimSun" w:eastAsia="SimSun" w:cs="SimSun"/>
                <w:spacing w:val="5"/>
              </w:rPr>
              <w:t>～</w:t>
            </w:r>
            <w:r>
              <w:rPr>
                <w:spacing w:val="5"/>
              </w:rPr>
              <w:t>5 </w:t>
            </w:r>
            <w:r>
              <w:rPr>
                <w:rFonts w:ascii="SimSun" w:hAnsi="SimSun" w:eastAsia="SimSun" w:cs="SimSun"/>
                <w:spacing w:val="5"/>
              </w:rPr>
              <w:t>个点。</w:t>
            </w:r>
          </w:p>
        </w:tc>
        <w:tc>
          <w:tcPr>
            <w:tcW w:w="2228"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ind w:left="489" w:right="167" w:hanging="289"/>
              <w:spacing w:before="65" w:line="252" w:lineRule="auto"/>
              <w:rPr>
                <w:rFonts w:ascii="SimSun" w:hAnsi="SimSun" w:eastAsia="SimSun" w:cs="SimSun"/>
                <w:sz w:val="20"/>
                <w:szCs w:val="20"/>
              </w:rPr>
            </w:pPr>
            <w:r>
              <w:rPr>
                <w:rFonts w:ascii="SimSun" w:hAnsi="SimSun" w:eastAsia="SimSun" w:cs="SimSun"/>
                <w:sz w:val="20"/>
                <w:szCs w:val="20"/>
                <w:spacing w:val="6"/>
              </w:rPr>
              <w:t>内蒙古海州露天能源</w:t>
            </w:r>
            <w:r>
              <w:rPr>
                <w:rFonts w:ascii="SimSun" w:hAnsi="SimSun" w:eastAsia="SimSun" w:cs="SimSun"/>
                <w:sz w:val="20"/>
                <w:szCs w:val="20"/>
                <w:spacing w:val="8"/>
              </w:rPr>
              <w:t>有限责任公司</w:t>
            </w:r>
          </w:p>
        </w:tc>
      </w:tr>
      <w:tr>
        <w:trPr>
          <w:trHeight w:val="1093" w:hRule="atLeast"/>
        </w:trPr>
        <w:tc>
          <w:tcPr>
            <w:tcW w:w="676" w:type="dxa"/>
            <w:vAlign w:val="top"/>
          </w:tcPr>
          <w:p>
            <w:pPr>
              <w:spacing w:line="414" w:lineRule="auto"/>
              <w:rPr>
                <w:rFonts w:ascii="Arial"/>
                <w:sz w:val="21"/>
              </w:rPr>
            </w:pPr>
            <w:r/>
          </w:p>
          <w:p>
            <w:pPr>
              <w:pStyle w:val="TableText"/>
              <w:ind w:left="287"/>
              <w:spacing w:before="57" w:line="195" w:lineRule="auto"/>
              <w:rPr/>
            </w:pPr>
            <w:r>
              <w:rPr/>
              <w:t>2</w:t>
            </w:r>
          </w:p>
        </w:tc>
        <w:tc>
          <w:tcPr>
            <w:tcW w:w="1147" w:type="dxa"/>
            <w:vAlign w:val="top"/>
          </w:tcPr>
          <w:p>
            <w:pPr>
              <w:spacing w:line="371" w:lineRule="auto"/>
              <w:rPr>
                <w:rFonts w:ascii="Arial"/>
                <w:sz w:val="21"/>
              </w:rPr>
            </w:pPr>
            <w:r/>
          </w:p>
          <w:p>
            <w:pPr>
              <w:ind w:left="367"/>
              <w:spacing w:before="65" w:line="228" w:lineRule="auto"/>
              <w:rPr>
                <w:rFonts w:ascii="SimSun" w:hAnsi="SimSun" w:eastAsia="SimSun" w:cs="SimSun"/>
                <w:sz w:val="20"/>
                <w:szCs w:val="20"/>
              </w:rPr>
            </w:pPr>
            <w:r>
              <w:rPr>
                <w:rFonts w:ascii="SimSun" w:hAnsi="SimSun" w:eastAsia="SimSun" w:cs="SimSun"/>
                <w:sz w:val="20"/>
                <w:szCs w:val="20"/>
                <w:spacing w:val="4"/>
              </w:rPr>
              <w:t>动物</w:t>
            </w:r>
          </w:p>
        </w:tc>
        <w:tc>
          <w:tcPr>
            <w:tcW w:w="5239" w:type="dxa"/>
            <w:vAlign w:val="top"/>
          </w:tcPr>
          <w:p>
            <w:pPr>
              <w:pStyle w:val="TableText"/>
              <w:ind w:left="128"/>
              <w:spacing w:before="30" w:line="227" w:lineRule="auto"/>
              <w:rPr>
                <w:rFonts w:ascii="SimSun" w:hAnsi="SimSun" w:eastAsia="SimSun" w:cs="SimSun"/>
              </w:rPr>
            </w:pPr>
            <w:r>
              <w:rPr>
                <w:spacing w:val="7"/>
              </w:rPr>
              <w:t>1.</w:t>
            </w:r>
            <w:r>
              <w:rPr>
                <w:rFonts w:ascii="SimSun" w:hAnsi="SimSun" w:eastAsia="SimSun" w:cs="SimSun"/>
                <w:spacing w:val="7"/>
              </w:rPr>
              <w:t>监测项目：动物种类、分布</w:t>
            </w:r>
          </w:p>
          <w:p>
            <w:pPr>
              <w:pStyle w:val="TableText"/>
              <w:ind w:left="108"/>
              <w:spacing w:before="24" w:line="228" w:lineRule="auto"/>
              <w:rPr>
                <w:rFonts w:ascii="SimSun" w:hAnsi="SimSun" w:eastAsia="SimSun" w:cs="SimSun"/>
              </w:rPr>
            </w:pPr>
            <w:r>
              <w:rPr>
                <w:spacing w:val="3"/>
              </w:rPr>
              <w:t>2.</w:t>
            </w:r>
            <w:r>
              <w:rPr>
                <w:rFonts w:ascii="SimSun" w:hAnsi="SimSun" w:eastAsia="SimSun" w:cs="SimSun"/>
                <w:spacing w:val="3"/>
              </w:rPr>
              <w:t>监测频率：</w:t>
            </w:r>
            <w:r>
              <w:rPr>
                <w:spacing w:val="3"/>
              </w:rPr>
              <w:t>1 </w:t>
            </w:r>
            <w:r>
              <w:rPr>
                <w:rFonts w:ascii="SimSun" w:hAnsi="SimSun" w:eastAsia="SimSun" w:cs="SimSun"/>
                <w:spacing w:val="3"/>
              </w:rPr>
              <w:t>年</w:t>
            </w:r>
            <w:r>
              <w:rPr>
                <w:rFonts w:ascii="SimSun" w:hAnsi="SimSun" w:eastAsia="SimSun" w:cs="SimSun"/>
                <w:spacing w:val="-18"/>
              </w:rPr>
              <w:t xml:space="preserve"> </w:t>
            </w:r>
            <w:r>
              <w:rPr>
                <w:spacing w:val="3"/>
              </w:rPr>
              <w:t>1</w:t>
            </w:r>
            <w:r>
              <w:rPr>
                <w:spacing w:val="15"/>
                <w:w w:val="101"/>
              </w:rPr>
              <w:t xml:space="preserve"> </w:t>
            </w:r>
            <w:r>
              <w:rPr>
                <w:rFonts w:ascii="SimSun" w:hAnsi="SimSun" w:eastAsia="SimSun" w:cs="SimSun"/>
                <w:spacing w:val="3"/>
              </w:rPr>
              <w:t>次。</w:t>
            </w:r>
          </w:p>
          <w:p>
            <w:pPr>
              <w:pStyle w:val="TableText"/>
              <w:ind w:left="111" w:right="106" w:firstLine="1"/>
              <w:spacing w:before="27" w:line="234" w:lineRule="auto"/>
              <w:rPr>
                <w:rFonts w:ascii="SimSun" w:hAnsi="SimSun" w:eastAsia="SimSun" w:cs="SimSun"/>
              </w:rPr>
            </w:pPr>
            <w:r>
              <w:rPr>
                <w:spacing w:val="10"/>
              </w:rPr>
              <w:t>3.</w:t>
            </w:r>
            <w:r>
              <w:rPr>
                <w:rFonts w:ascii="SimSun" w:hAnsi="SimSun" w:eastAsia="SimSun" w:cs="SimSun"/>
                <w:spacing w:val="10"/>
              </w:rPr>
              <w:t>监测点：项目实施区，包括已恢复和正在恢复的排土</w:t>
            </w:r>
            <w:r>
              <w:rPr>
                <w:rFonts w:ascii="SimSun" w:hAnsi="SimSun" w:eastAsia="SimSun" w:cs="SimSun"/>
                <w:spacing w:val="3"/>
              </w:rPr>
              <w:t>场等。</w:t>
            </w:r>
          </w:p>
        </w:tc>
        <w:tc>
          <w:tcPr>
            <w:tcW w:w="2228" w:type="dxa"/>
            <w:vAlign w:val="top"/>
            <w:vMerge w:val="continue"/>
            <w:tcBorders>
              <w:top w:val="nil"/>
              <w:bottom w:val="nil"/>
            </w:tcBorders>
          </w:tcPr>
          <w:p>
            <w:pPr>
              <w:rPr>
                <w:rFonts w:ascii="Arial"/>
                <w:sz w:val="21"/>
              </w:rPr>
            </w:pPr>
            <w:r/>
          </w:p>
        </w:tc>
      </w:tr>
      <w:tr>
        <w:trPr>
          <w:trHeight w:val="1366" w:hRule="atLeast"/>
        </w:trPr>
        <w:tc>
          <w:tcPr>
            <w:tcW w:w="676" w:type="dxa"/>
            <w:vAlign w:val="top"/>
          </w:tcPr>
          <w:p>
            <w:pPr>
              <w:spacing w:line="275" w:lineRule="auto"/>
              <w:rPr>
                <w:rFonts w:ascii="Arial"/>
                <w:sz w:val="21"/>
              </w:rPr>
            </w:pPr>
            <w:r/>
          </w:p>
          <w:p>
            <w:pPr>
              <w:spacing w:line="276" w:lineRule="auto"/>
              <w:rPr>
                <w:rFonts w:ascii="Arial"/>
                <w:sz w:val="21"/>
              </w:rPr>
            </w:pPr>
            <w:r/>
          </w:p>
          <w:p>
            <w:pPr>
              <w:pStyle w:val="TableText"/>
              <w:ind w:left="291"/>
              <w:spacing w:before="57" w:line="195" w:lineRule="auto"/>
              <w:rPr/>
            </w:pPr>
            <w:r>
              <w:rPr/>
              <w:t>3</w:t>
            </w:r>
          </w:p>
        </w:tc>
        <w:tc>
          <w:tcPr>
            <w:tcW w:w="1147" w:type="dxa"/>
            <w:vAlign w:val="top"/>
          </w:tcPr>
          <w:p>
            <w:pPr>
              <w:spacing w:line="254" w:lineRule="auto"/>
              <w:rPr>
                <w:rFonts w:ascii="Arial"/>
                <w:sz w:val="21"/>
              </w:rPr>
            </w:pPr>
            <w:r/>
          </w:p>
          <w:p>
            <w:pPr>
              <w:spacing w:line="254" w:lineRule="auto"/>
              <w:rPr>
                <w:rFonts w:ascii="Arial"/>
                <w:sz w:val="21"/>
              </w:rPr>
            </w:pPr>
            <w:r/>
          </w:p>
          <w:p>
            <w:pPr>
              <w:ind w:left="158"/>
              <w:spacing w:before="65" w:line="228" w:lineRule="auto"/>
              <w:rPr>
                <w:rFonts w:ascii="SimSun" w:hAnsi="SimSun" w:eastAsia="SimSun" w:cs="SimSun"/>
                <w:sz w:val="20"/>
                <w:szCs w:val="20"/>
              </w:rPr>
            </w:pPr>
            <w:r>
              <w:rPr>
                <w:rFonts w:ascii="SimSun" w:hAnsi="SimSun" w:eastAsia="SimSun" w:cs="SimSun"/>
                <w:sz w:val="20"/>
                <w:szCs w:val="20"/>
                <w:spacing w:val="7"/>
              </w:rPr>
              <w:t>土壤环境</w:t>
            </w:r>
          </w:p>
        </w:tc>
        <w:tc>
          <w:tcPr>
            <w:tcW w:w="5239" w:type="dxa"/>
            <w:vAlign w:val="top"/>
          </w:tcPr>
          <w:p>
            <w:pPr>
              <w:pStyle w:val="TableText"/>
              <w:ind w:left="112" w:right="81" w:firstLine="16"/>
              <w:spacing w:before="31" w:line="239" w:lineRule="auto"/>
              <w:rPr>
                <w:rFonts w:ascii="SimSun" w:hAnsi="SimSun" w:eastAsia="SimSun" w:cs="SimSun"/>
              </w:rPr>
            </w:pPr>
            <w:r>
              <w:rPr>
                <w:spacing w:val="6"/>
              </w:rPr>
              <w:t>1.</w:t>
            </w:r>
            <w:r>
              <w:rPr>
                <w:rFonts w:ascii="SimSun" w:hAnsi="SimSun" w:eastAsia="SimSun" w:cs="SimSun"/>
                <w:spacing w:val="6"/>
              </w:rPr>
              <w:t>监测项目：剥采区、排土场等生产区的</w:t>
            </w:r>
            <w:r>
              <w:rPr>
                <w:rFonts w:ascii="SimSun" w:hAnsi="SimSun" w:eastAsia="SimSun" w:cs="SimSun"/>
                <w:spacing w:val="-36"/>
              </w:rPr>
              <w:t xml:space="preserve"> </w:t>
            </w:r>
            <w:r>
              <w:rPr/>
              <w:t>pH</w:t>
            </w:r>
            <w:r>
              <w:rPr>
                <w:spacing w:val="-30"/>
              </w:rPr>
              <w:t xml:space="preserve"> </w:t>
            </w:r>
            <w:r>
              <w:rPr>
                <w:rFonts w:ascii="SimSun" w:hAnsi="SimSun" w:eastAsia="SimSun" w:cs="SimSun"/>
                <w:spacing w:val="6"/>
              </w:rPr>
              <w:t>、有机质、</w:t>
            </w:r>
            <w:r>
              <w:rPr>
                <w:rFonts w:ascii="SimSun" w:hAnsi="SimSun" w:eastAsia="SimSun" w:cs="SimSun"/>
                <w:spacing w:val="2"/>
              </w:rPr>
              <w:t>全</w:t>
            </w:r>
            <w:r>
              <w:rPr>
                <w:rFonts w:ascii="SimSun" w:hAnsi="SimSun" w:eastAsia="SimSun" w:cs="SimSun"/>
                <w:spacing w:val="-39"/>
              </w:rPr>
              <w:t xml:space="preserve"> </w:t>
            </w:r>
            <w:r>
              <w:rPr>
                <w:spacing w:val="2"/>
              </w:rPr>
              <w:t>N</w:t>
            </w:r>
            <w:r>
              <w:rPr>
                <w:spacing w:val="-29"/>
              </w:rPr>
              <w:t xml:space="preserve"> </w:t>
            </w:r>
            <w:r>
              <w:rPr>
                <w:rFonts w:ascii="SimSun" w:hAnsi="SimSun" w:eastAsia="SimSun" w:cs="SimSun"/>
                <w:spacing w:val="2"/>
              </w:rPr>
              <w:t>、有效</w:t>
            </w:r>
            <w:r>
              <w:rPr>
                <w:rFonts w:ascii="SimSun" w:hAnsi="SimSun" w:eastAsia="SimSun" w:cs="SimSun"/>
                <w:spacing w:val="-42"/>
              </w:rPr>
              <w:t xml:space="preserve"> </w:t>
            </w:r>
            <w:r>
              <w:rPr>
                <w:spacing w:val="2"/>
              </w:rPr>
              <w:t>P</w:t>
            </w:r>
            <w:r>
              <w:rPr>
                <w:spacing w:val="-26"/>
              </w:rPr>
              <w:t xml:space="preserve"> </w:t>
            </w:r>
            <w:r>
              <w:rPr>
                <w:rFonts w:ascii="SimSun" w:hAnsi="SimSun" w:eastAsia="SimSun" w:cs="SimSun"/>
                <w:spacing w:val="2"/>
              </w:rPr>
              <w:t>、</w:t>
            </w:r>
            <w:r>
              <w:rPr>
                <w:spacing w:val="2"/>
              </w:rPr>
              <w:t>K</w:t>
            </w:r>
            <w:r>
              <w:rPr>
                <w:spacing w:val="-28"/>
              </w:rPr>
              <w:t xml:space="preserve"> </w:t>
            </w:r>
            <w:r>
              <w:rPr>
                <w:rFonts w:ascii="SimSun" w:hAnsi="SimSun" w:eastAsia="SimSun" w:cs="SimSun"/>
                <w:spacing w:val="2"/>
              </w:rPr>
              <w:t>、全盐量等。</w:t>
            </w:r>
          </w:p>
          <w:p>
            <w:pPr>
              <w:pStyle w:val="TableText"/>
              <w:ind w:left="108"/>
              <w:spacing w:before="26" w:line="228" w:lineRule="auto"/>
              <w:rPr>
                <w:rFonts w:ascii="SimSun" w:hAnsi="SimSun" w:eastAsia="SimSun" w:cs="SimSun"/>
              </w:rPr>
            </w:pPr>
            <w:r>
              <w:rPr>
                <w:spacing w:val="3"/>
              </w:rPr>
              <w:t>2.</w:t>
            </w:r>
            <w:r>
              <w:rPr>
                <w:rFonts w:ascii="SimSun" w:hAnsi="SimSun" w:eastAsia="SimSun" w:cs="SimSun"/>
                <w:spacing w:val="3"/>
              </w:rPr>
              <w:t>监测频率：</w:t>
            </w:r>
            <w:r>
              <w:rPr>
                <w:spacing w:val="3"/>
              </w:rPr>
              <w:t>1  </w:t>
            </w:r>
            <w:r>
              <w:rPr>
                <w:rFonts w:ascii="SimSun" w:hAnsi="SimSun" w:eastAsia="SimSun" w:cs="SimSun"/>
                <w:spacing w:val="3"/>
              </w:rPr>
              <w:t>年</w:t>
            </w:r>
            <w:r>
              <w:rPr>
                <w:rFonts w:ascii="SimSun" w:hAnsi="SimSun" w:eastAsia="SimSun" w:cs="SimSun"/>
                <w:spacing w:val="-18"/>
              </w:rPr>
              <w:t xml:space="preserve"> </w:t>
            </w:r>
            <w:r>
              <w:rPr>
                <w:spacing w:val="3"/>
              </w:rPr>
              <w:t>1</w:t>
            </w:r>
            <w:r>
              <w:rPr>
                <w:spacing w:val="8"/>
              </w:rPr>
              <w:t xml:space="preserve">  </w:t>
            </w:r>
            <w:r>
              <w:rPr>
                <w:rFonts w:ascii="SimSun" w:hAnsi="SimSun" w:eastAsia="SimSun" w:cs="SimSun"/>
                <w:spacing w:val="3"/>
              </w:rPr>
              <w:t>次。</w:t>
            </w:r>
          </w:p>
          <w:p>
            <w:pPr>
              <w:pStyle w:val="TableText"/>
              <w:ind w:left="122" w:right="106" w:hanging="10"/>
              <w:spacing w:before="23" w:line="235" w:lineRule="auto"/>
              <w:rPr>
                <w:rFonts w:ascii="SimSun" w:hAnsi="SimSun" w:eastAsia="SimSun" w:cs="SimSun"/>
              </w:rPr>
            </w:pPr>
            <w:r>
              <w:rPr>
                <w:spacing w:val="5"/>
              </w:rPr>
              <w:t>3.</w:t>
            </w:r>
            <w:r>
              <w:rPr>
                <w:rFonts w:ascii="SimSun" w:hAnsi="SimSun" w:eastAsia="SimSun" w:cs="SimSun"/>
                <w:spacing w:val="5"/>
              </w:rPr>
              <w:t>监测点：剥采区、内排土场，每个样点地计划</w:t>
            </w:r>
            <w:r>
              <w:rPr>
                <w:rFonts w:ascii="SimSun" w:hAnsi="SimSun" w:eastAsia="SimSun" w:cs="SimSun"/>
                <w:spacing w:val="-22"/>
              </w:rPr>
              <w:t xml:space="preserve"> </w:t>
            </w:r>
            <w:r>
              <w:rPr>
                <w:spacing w:val="5"/>
              </w:rPr>
              <w:t>3</w:t>
            </w:r>
            <w:r>
              <w:rPr>
                <w:rFonts w:ascii="SimSun" w:hAnsi="SimSun" w:eastAsia="SimSun" w:cs="SimSun"/>
                <w:spacing w:val="5"/>
              </w:rPr>
              <w:t>～</w:t>
            </w:r>
            <w:r>
              <w:rPr>
                <w:spacing w:val="5"/>
              </w:rPr>
              <w:t>5 </w:t>
            </w:r>
            <w:r>
              <w:rPr>
                <w:rFonts w:ascii="SimSun" w:hAnsi="SimSun" w:eastAsia="SimSun" w:cs="SimSun"/>
                <w:spacing w:val="5"/>
              </w:rPr>
              <w:t>个</w:t>
            </w:r>
            <w:r>
              <w:rPr>
                <w:rFonts w:ascii="SimSun" w:hAnsi="SimSun" w:eastAsia="SimSun" w:cs="SimSun"/>
                <w:spacing w:val="-5"/>
              </w:rPr>
              <w:t>点。</w:t>
            </w:r>
          </w:p>
        </w:tc>
        <w:tc>
          <w:tcPr>
            <w:tcW w:w="2228" w:type="dxa"/>
            <w:vAlign w:val="top"/>
            <w:vMerge w:val="continue"/>
            <w:tcBorders>
              <w:top w:val="nil"/>
              <w:bottom w:val="nil"/>
            </w:tcBorders>
          </w:tcPr>
          <w:p>
            <w:pPr>
              <w:rPr>
                <w:rFonts w:ascii="Arial"/>
                <w:sz w:val="21"/>
              </w:rPr>
            </w:pPr>
            <w:r/>
          </w:p>
        </w:tc>
      </w:tr>
      <w:tr>
        <w:trPr>
          <w:trHeight w:val="1098" w:hRule="atLeast"/>
        </w:trPr>
        <w:tc>
          <w:tcPr>
            <w:tcW w:w="676" w:type="dxa"/>
            <w:vAlign w:val="top"/>
          </w:tcPr>
          <w:p>
            <w:pPr>
              <w:spacing w:line="417" w:lineRule="auto"/>
              <w:rPr>
                <w:rFonts w:ascii="Arial"/>
                <w:sz w:val="21"/>
              </w:rPr>
            </w:pPr>
            <w:r/>
          </w:p>
          <w:p>
            <w:pPr>
              <w:pStyle w:val="TableText"/>
              <w:ind w:left="286"/>
              <w:spacing w:before="57" w:line="195" w:lineRule="auto"/>
              <w:rPr/>
            </w:pPr>
            <w:r>
              <w:rPr>
                <w:spacing w:val="1"/>
              </w:rPr>
              <w:t>4</w:t>
            </w:r>
          </w:p>
        </w:tc>
        <w:tc>
          <w:tcPr>
            <w:tcW w:w="1147" w:type="dxa"/>
            <w:vAlign w:val="top"/>
          </w:tcPr>
          <w:p>
            <w:pPr>
              <w:ind w:left="471" w:right="154" w:hanging="312"/>
              <w:spacing w:before="305" w:line="252" w:lineRule="auto"/>
              <w:rPr>
                <w:rFonts w:ascii="SimSun" w:hAnsi="SimSun" w:eastAsia="SimSun" w:cs="SimSun"/>
                <w:sz w:val="20"/>
                <w:szCs w:val="20"/>
              </w:rPr>
            </w:pPr>
            <w:r>
              <w:rPr>
                <w:rFonts w:ascii="SimSun" w:hAnsi="SimSun" w:eastAsia="SimSun" w:cs="SimSun"/>
                <w:sz w:val="20"/>
                <w:szCs w:val="20"/>
                <w:spacing w:val="6"/>
              </w:rPr>
              <w:t>生物多样</w:t>
            </w:r>
            <w:r>
              <w:rPr>
                <w:rFonts w:ascii="SimSun" w:hAnsi="SimSun" w:eastAsia="SimSun" w:cs="SimSun"/>
                <w:sz w:val="20"/>
                <w:szCs w:val="20"/>
              </w:rPr>
              <w:t>性</w:t>
            </w:r>
          </w:p>
        </w:tc>
        <w:tc>
          <w:tcPr>
            <w:tcW w:w="5239" w:type="dxa"/>
            <w:vAlign w:val="top"/>
          </w:tcPr>
          <w:p>
            <w:pPr>
              <w:pStyle w:val="TableText"/>
              <w:ind w:left="128"/>
              <w:spacing w:before="33" w:line="228" w:lineRule="auto"/>
              <w:rPr>
                <w:rFonts w:ascii="SimSun" w:hAnsi="SimSun" w:eastAsia="SimSun" w:cs="SimSun"/>
              </w:rPr>
            </w:pPr>
            <w:r>
              <w:rPr>
                <w:spacing w:val="7"/>
              </w:rPr>
              <w:t>1.  </w:t>
            </w:r>
            <w:r>
              <w:rPr>
                <w:rFonts w:ascii="SimSun" w:hAnsi="SimSun" w:eastAsia="SimSun" w:cs="SimSun"/>
                <w:spacing w:val="7"/>
              </w:rPr>
              <w:t>监测项目：植物、动物和微生物</w:t>
            </w:r>
          </w:p>
          <w:p>
            <w:pPr>
              <w:pStyle w:val="TableText"/>
              <w:ind w:left="108"/>
              <w:spacing w:before="24" w:line="228" w:lineRule="auto"/>
              <w:rPr>
                <w:rFonts w:ascii="SimSun" w:hAnsi="SimSun" w:eastAsia="SimSun" w:cs="SimSun"/>
              </w:rPr>
            </w:pPr>
            <w:r>
              <w:rPr>
                <w:spacing w:val="3"/>
              </w:rPr>
              <w:t>2.</w:t>
            </w:r>
            <w:r>
              <w:rPr>
                <w:spacing w:val="15"/>
              </w:rPr>
              <w:t xml:space="preserve">  </w:t>
            </w:r>
            <w:r>
              <w:rPr>
                <w:rFonts w:ascii="SimSun" w:hAnsi="SimSun" w:eastAsia="SimSun" w:cs="SimSun"/>
                <w:spacing w:val="3"/>
              </w:rPr>
              <w:t>监测频率：</w:t>
            </w:r>
            <w:r>
              <w:rPr>
                <w:spacing w:val="3"/>
              </w:rPr>
              <w:t>1 </w:t>
            </w:r>
            <w:r>
              <w:rPr>
                <w:rFonts w:ascii="SimSun" w:hAnsi="SimSun" w:eastAsia="SimSun" w:cs="SimSun"/>
                <w:spacing w:val="3"/>
              </w:rPr>
              <w:t>年</w:t>
            </w:r>
            <w:r>
              <w:rPr>
                <w:rFonts w:ascii="SimSun" w:hAnsi="SimSun" w:eastAsia="SimSun" w:cs="SimSun"/>
                <w:spacing w:val="-20"/>
              </w:rPr>
              <w:t xml:space="preserve"> </w:t>
            </w:r>
            <w:r>
              <w:rPr>
                <w:spacing w:val="3"/>
              </w:rPr>
              <w:t>1</w:t>
            </w:r>
            <w:r>
              <w:rPr>
                <w:spacing w:val="15"/>
                <w:w w:val="101"/>
              </w:rPr>
              <w:t xml:space="preserve"> </w:t>
            </w:r>
            <w:r>
              <w:rPr>
                <w:rFonts w:ascii="SimSun" w:hAnsi="SimSun" w:eastAsia="SimSun" w:cs="SimSun"/>
                <w:spacing w:val="3"/>
              </w:rPr>
              <w:t>次</w:t>
            </w:r>
          </w:p>
          <w:p>
            <w:pPr>
              <w:pStyle w:val="TableText"/>
              <w:ind w:left="111" w:right="106" w:firstLine="1"/>
              <w:spacing w:before="25" w:line="236" w:lineRule="auto"/>
              <w:rPr>
                <w:rFonts w:ascii="SimSun" w:hAnsi="SimSun" w:eastAsia="SimSun" w:cs="SimSun"/>
              </w:rPr>
            </w:pPr>
            <w:r>
              <w:rPr>
                <w:spacing w:val="6"/>
              </w:rPr>
              <w:t>3.  </w:t>
            </w:r>
            <w:r>
              <w:rPr>
                <w:rFonts w:ascii="SimSun" w:hAnsi="SimSun" w:eastAsia="SimSun" w:cs="SimSun"/>
                <w:spacing w:val="6"/>
              </w:rPr>
              <w:t>监测点：项目实施区，包括已恢复和正在恢复的排土</w:t>
            </w:r>
            <w:r>
              <w:rPr>
                <w:rFonts w:ascii="SimSun" w:hAnsi="SimSun" w:eastAsia="SimSun" w:cs="SimSun"/>
                <w:spacing w:val="12"/>
              </w:rPr>
              <w:t>场，计划</w:t>
            </w:r>
            <w:r>
              <w:rPr>
                <w:spacing w:val="12"/>
              </w:rPr>
              <w:t>3</w:t>
            </w:r>
            <w:r>
              <w:rPr>
                <w:rFonts w:ascii="SimSun" w:hAnsi="SimSun" w:eastAsia="SimSun" w:cs="SimSun"/>
                <w:spacing w:val="12"/>
              </w:rPr>
              <w:t>～</w:t>
            </w:r>
            <w:r>
              <w:rPr>
                <w:spacing w:val="12"/>
              </w:rPr>
              <w:t>5 </w:t>
            </w:r>
            <w:r>
              <w:rPr>
                <w:rFonts w:ascii="SimSun" w:hAnsi="SimSun" w:eastAsia="SimSun" w:cs="SimSun"/>
                <w:spacing w:val="12"/>
              </w:rPr>
              <w:t>个点</w:t>
            </w:r>
          </w:p>
        </w:tc>
        <w:tc>
          <w:tcPr>
            <w:tcW w:w="2228" w:type="dxa"/>
            <w:vAlign w:val="top"/>
            <w:vMerge w:val="continue"/>
            <w:tcBorders>
              <w:top w:val="nil"/>
            </w:tcBorders>
          </w:tcPr>
          <w:p>
            <w:pPr>
              <w:rPr>
                <w:rFonts w:ascii="Arial"/>
                <w:sz w:val="21"/>
              </w:rPr>
            </w:pPr>
            <w:r/>
          </w:p>
        </w:tc>
      </w:tr>
    </w:tbl>
    <w:p>
      <w:pPr>
        <w:pStyle w:val="BodyText"/>
        <w:rPr/>
      </w:pPr>
      <w:r/>
    </w:p>
    <w:p>
      <w:pPr>
        <w:sectPr>
          <w:headerReference w:type="default" r:id="rId468"/>
          <w:footerReference w:type="default" r:id="rId517"/>
          <w:pgSz w:w="11906" w:h="16838"/>
          <w:pgMar w:top="1114" w:right="1304" w:bottom="1080" w:left="1305" w:header="837" w:footer="918" w:gutter="0"/>
        </w:sectPr>
        <w:rPr/>
      </w:pPr>
    </w:p>
    <w:p>
      <w:pPr>
        <w:pStyle w:val="BodyText"/>
        <w:spacing w:line="366" w:lineRule="auto"/>
        <w:rPr/>
      </w:pPr>
      <w:r/>
    </w:p>
    <w:p>
      <w:pPr>
        <w:ind w:left="10"/>
        <w:spacing w:before="98" w:line="221" w:lineRule="auto"/>
        <w:outlineLvl w:val="1"/>
        <w:rPr>
          <w:rFonts w:ascii="SimHei" w:hAnsi="SimHei" w:eastAsia="SimHei" w:cs="SimHei"/>
          <w:sz w:val="30"/>
          <w:szCs w:val="30"/>
        </w:rPr>
      </w:pPr>
      <w:bookmarkStart w:name="bookmark112" w:id="86"/>
      <w:bookmarkEnd w:id="86"/>
      <w:bookmarkStart w:name="bookmark48" w:id="87"/>
      <w:bookmarkEnd w:id="87"/>
      <w:r>
        <w:rPr>
          <w:rFonts w:ascii="Times New Roman" w:hAnsi="Times New Roman" w:eastAsia="Times New Roman" w:cs="Times New Roman"/>
          <w:sz w:val="30"/>
          <w:szCs w:val="30"/>
          <w:b/>
          <w:bCs/>
          <w:spacing w:val="-3"/>
        </w:rPr>
        <w:t>7.2 </w:t>
      </w:r>
      <w:r>
        <w:rPr>
          <w:rFonts w:ascii="SimHei" w:hAnsi="SimHei" w:eastAsia="SimHei" w:cs="SimHei"/>
          <w:sz w:val="30"/>
          <w:szCs w:val="30"/>
          <w:b/>
          <w:bCs/>
          <w:spacing w:val="-3"/>
        </w:rPr>
        <w:t>大气污染防治措施</w:t>
      </w:r>
    </w:p>
    <w:p>
      <w:pPr>
        <w:ind w:left="13" w:right="66" w:firstLine="477"/>
        <w:spacing w:before="162" w:line="339" w:lineRule="auto"/>
        <w:rPr>
          <w:rFonts w:ascii="SimSun" w:hAnsi="SimSun" w:eastAsia="SimSun" w:cs="SimSun"/>
          <w:sz w:val="24"/>
          <w:szCs w:val="24"/>
        </w:rPr>
      </w:pPr>
      <w:r>
        <w:rPr>
          <w:rFonts w:ascii="SimSun" w:hAnsi="SimSun" w:eastAsia="SimSun" w:cs="SimSun"/>
          <w:sz w:val="24"/>
          <w:szCs w:val="24"/>
          <w:spacing w:val="-2"/>
        </w:rPr>
        <w:t>本项目仅为露天区开采范围的调整，不涉及施工期，本次评价仅针对运营期进行污</w:t>
      </w:r>
      <w:r>
        <w:rPr>
          <w:rFonts w:ascii="SimSun" w:hAnsi="SimSun" w:eastAsia="SimSun" w:cs="SimSun"/>
          <w:sz w:val="24"/>
          <w:szCs w:val="24"/>
          <w:spacing w:val="-2"/>
        </w:rPr>
        <w:t>染防治措施评价。</w:t>
      </w:r>
    </w:p>
    <w:p>
      <w:pPr>
        <w:ind w:left="11" w:right="66" w:firstLine="479"/>
        <w:spacing w:before="2" w:line="338" w:lineRule="auto"/>
        <w:rPr>
          <w:rFonts w:ascii="SimSun" w:hAnsi="SimSun" w:eastAsia="SimSun" w:cs="SimSun"/>
          <w:sz w:val="24"/>
          <w:szCs w:val="24"/>
        </w:rPr>
      </w:pPr>
      <w:r>
        <w:rPr>
          <w:rFonts w:ascii="SimSun" w:hAnsi="SimSun" w:eastAsia="SimSun" w:cs="SimSun"/>
          <w:sz w:val="24"/>
          <w:szCs w:val="24"/>
          <w:spacing w:val="-2"/>
        </w:rPr>
        <w:t>本次改建不设地销煤道路，主要产尘环节为露天采掘场开采、装卸、运输作业时产</w:t>
      </w:r>
      <w:r>
        <w:rPr>
          <w:rFonts w:ascii="SimSun" w:hAnsi="SimSun" w:eastAsia="SimSun" w:cs="SimSun"/>
          <w:sz w:val="24"/>
          <w:szCs w:val="24"/>
          <w:spacing w:val="-1"/>
        </w:rPr>
        <w:t>生的粉尘，排土场剥离物运输、堆放产生的扬尘。</w:t>
      </w:r>
    </w:p>
    <w:p>
      <w:pPr>
        <w:ind w:left="508"/>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、原煤输送、储存扬尘污染防治措施</w:t>
      </w:r>
    </w:p>
    <w:p>
      <w:pPr>
        <w:ind w:left="8" w:firstLine="481"/>
        <w:spacing w:before="155" w:line="338" w:lineRule="auto"/>
        <w:rPr>
          <w:rFonts w:ascii="SimSun" w:hAnsi="SimSun" w:eastAsia="SimSun" w:cs="SimSun"/>
          <w:sz w:val="24"/>
          <w:szCs w:val="24"/>
        </w:rPr>
      </w:pPr>
      <w:r>
        <w:rPr>
          <w:rFonts w:ascii="SimSun" w:hAnsi="SimSun" w:eastAsia="SimSun" w:cs="SimSun"/>
          <w:sz w:val="24"/>
          <w:szCs w:val="24"/>
          <w:spacing w:val="-6"/>
        </w:rPr>
        <w:t>本项目原煤输送利用已建成的封闭式输煤栈桥。储煤场（已</w:t>
      </w:r>
      <w:r>
        <w:rPr>
          <w:rFonts w:ascii="SimSun" w:hAnsi="SimSun" w:eastAsia="SimSun" w:cs="SimSun"/>
          <w:sz w:val="24"/>
          <w:szCs w:val="24"/>
          <w:spacing w:val="-7"/>
        </w:rPr>
        <w:t>建成）采用圆形封闭仓，</w:t>
      </w:r>
      <w:r>
        <w:rPr>
          <w:rFonts w:ascii="SimSun" w:hAnsi="SimSun" w:eastAsia="SimSun" w:cs="SimSun"/>
          <w:sz w:val="24"/>
          <w:szCs w:val="24"/>
          <w:spacing w:val="-2"/>
        </w:rPr>
        <w:t>储煤及卸煤都在密封的状况中。原煤输送、贮存均处于密封状态下，对大气环境不利影</w:t>
      </w:r>
      <w:r>
        <w:rPr>
          <w:rFonts w:ascii="SimSun" w:hAnsi="SimSun" w:eastAsia="SimSun" w:cs="SimSun"/>
          <w:sz w:val="24"/>
          <w:szCs w:val="24"/>
          <w:spacing w:val="-3"/>
        </w:rPr>
        <w:t>响较小。</w:t>
      </w:r>
    </w:p>
    <w:p>
      <w:pPr>
        <w:ind w:left="485"/>
        <w:spacing w:line="218"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、采掘场开采、装卸及排土场剥离物扬尘污染防治措施</w:t>
      </w:r>
    </w:p>
    <w:p>
      <w:pPr>
        <w:ind w:left="495"/>
        <w:spacing w:before="155"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）对采掘场及作业排土场采取洒水降尘，每日不少于</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次；</w:t>
      </w:r>
    </w:p>
    <w:p>
      <w:pPr>
        <w:ind w:left="32" w:right="192" w:firstLine="462"/>
        <w:spacing w:before="157" w:line="27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）装卸作业时降低卸载高度，配备洒水车，对作业工作面进行喷雾洒水降尘，</w:t>
      </w:r>
      <w:r>
        <w:rPr>
          <w:rFonts w:ascii="SimSun" w:hAnsi="SimSun" w:eastAsia="SimSun" w:cs="SimSun"/>
          <w:sz w:val="24"/>
          <w:szCs w:val="24"/>
          <w:spacing w:val="-3"/>
        </w:rPr>
        <w:t>同时避免在大风天气进行作业；</w:t>
      </w:r>
    </w:p>
    <w:p>
      <w:pPr>
        <w:ind w:left="8" w:right="138" w:firstLine="487"/>
        <w:spacing w:before="154" w:line="29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3</w:t>
      </w:r>
      <w:r>
        <w:rPr>
          <w:rFonts w:ascii="SimSun" w:hAnsi="SimSun" w:eastAsia="SimSun" w:cs="SimSun"/>
          <w:sz w:val="24"/>
          <w:szCs w:val="24"/>
        </w:rPr>
        <w:t>）排土场在排土过程中应及时进行碾压</w:t>
      </w:r>
      <w:r>
        <w:rPr>
          <w:rFonts w:ascii="SimSun" w:hAnsi="SimSun" w:eastAsia="SimSun" w:cs="SimSun"/>
          <w:sz w:val="24"/>
          <w:szCs w:val="24"/>
          <w:spacing w:val="-1"/>
        </w:rPr>
        <w:t>，增大排弃岩土致密性和硬度，减少起</w:t>
      </w:r>
      <w:r>
        <w:rPr>
          <w:rFonts w:ascii="SimSun" w:hAnsi="SimSun" w:eastAsia="SimSun" w:cs="SimSun"/>
          <w:sz w:val="24"/>
          <w:szCs w:val="24"/>
        </w:rPr>
        <w:t>尘量；顶部、坡面和平台及时苫盖，通过洒水使得外排土场表土</w:t>
      </w:r>
      <w:r>
        <w:rPr>
          <w:rFonts w:ascii="SimSun" w:hAnsi="SimSun" w:eastAsia="SimSun" w:cs="SimSun"/>
          <w:sz w:val="24"/>
          <w:szCs w:val="24"/>
          <w:spacing w:val="-1"/>
        </w:rPr>
        <w:t>层提高粘结性， 控制</w:t>
      </w:r>
      <w:r>
        <w:rPr>
          <w:rFonts w:ascii="SimSun" w:hAnsi="SimSun" w:eastAsia="SimSun" w:cs="SimSun"/>
          <w:sz w:val="24"/>
          <w:szCs w:val="24"/>
          <w:spacing w:val="-2"/>
        </w:rPr>
        <w:t>扬尘污染。</w:t>
      </w:r>
    </w:p>
    <w:p>
      <w:pPr>
        <w:ind w:left="489"/>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、土岩剥离物运输作业扬尘污染防治措施</w:t>
      </w:r>
    </w:p>
    <w:p>
      <w:pPr>
        <w:ind w:left="495"/>
        <w:spacing w:before="156"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）矿区进场道路定期采用洒水车定期洒水降尘；</w:t>
      </w:r>
    </w:p>
    <w:p>
      <w:pPr>
        <w:ind w:left="28" w:right="80" w:firstLine="467"/>
        <w:spacing w:before="154" w:line="27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）对运输车辆加强监管，采取限速、控制载重的措施，做到不超载、不超速以</w:t>
      </w:r>
      <w:r>
        <w:rPr>
          <w:rFonts w:ascii="SimSun" w:hAnsi="SimSun" w:eastAsia="SimSun" w:cs="SimSun"/>
          <w:sz w:val="24"/>
          <w:szCs w:val="24"/>
          <w:spacing w:val="-5"/>
        </w:rPr>
        <w:t>降低运输扬尘；</w:t>
      </w:r>
    </w:p>
    <w:p>
      <w:pPr>
        <w:ind w:left="10" w:right="66" w:firstLine="485"/>
        <w:spacing w:before="155"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）加强运输车辆的管理，运输车辆应当密闭或者严密加盖篷布、喷洒表面凝结</w:t>
      </w:r>
      <w:r>
        <w:rPr>
          <w:rFonts w:ascii="SimSun" w:hAnsi="SimSun" w:eastAsia="SimSun" w:cs="SimSun"/>
          <w:sz w:val="24"/>
          <w:szCs w:val="24"/>
          <w:spacing w:val="-2"/>
        </w:rPr>
        <w:t>剂等抑尘措施，未密闭或者未严密加盖篷布、超载等不符合装载要求的车辆，不得驶出</w:t>
      </w:r>
      <w:r>
        <w:rPr>
          <w:rFonts w:ascii="SimSun" w:hAnsi="SimSun" w:eastAsia="SimSun" w:cs="SimSun"/>
          <w:sz w:val="24"/>
          <w:szCs w:val="24"/>
          <w:spacing w:val="-4"/>
        </w:rPr>
        <w:t>厂区。</w:t>
      </w:r>
    </w:p>
    <w:p>
      <w:pPr>
        <w:ind w:left="9"/>
        <w:spacing w:before="24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7.2.3 </w:t>
      </w:r>
      <w:r>
        <w:rPr>
          <w:rFonts w:ascii="SimHei" w:hAnsi="SimHei" w:eastAsia="SimHei" w:cs="SimHei"/>
          <w:sz w:val="28"/>
          <w:szCs w:val="28"/>
          <w:b/>
          <w:bCs/>
          <w:spacing w:val="-2"/>
        </w:rPr>
        <w:t>大气污染物防治措施可行性分析</w:t>
      </w:r>
    </w:p>
    <w:p>
      <w:pPr>
        <w:ind w:left="12" w:right="66" w:firstLine="478"/>
        <w:spacing w:before="173" w:line="339" w:lineRule="auto"/>
        <w:jc w:val="both"/>
        <w:rPr>
          <w:rFonts w:ascii="SimSun" w:hAnsi="SimSun" w:eastAsia="SimSun" w:cs="SimSun"/>
          <w:sz w:val="24"/>
          <w:szCs w:val="24"/>
        </w:rPr>
      </w:pPr>
      <w:r>
        <w:rPr>
          <w:rFonts w:ascii="SimSun" w:hAnsi="SimSun" w:eastAsia="SimSun" w:cs="SimSun"/>
          <w:sz w:val="24"/>
          <w:szCs w:val="24"/>
          <w:spacing w:val="-2"/>
        </w:rPr>
        <w:t>本次井田调整范围，不新增大气污染源，现有大气污染防治措施不发生调整，根据</w:t>
      </w:r>
      <w:r>
        <w:rPr>
          <w:rFonts w:ascii="SimSun" w:hAnsi="SimSun" w:eastAsia="SimSun" w:cs="SimSun"/>
          <w:sz w:val="24"/>
          <w:szCs w:val="24"/>
          <w:spacing w:val="8"/>
        </w:rPr>
        <w:t>大气环境质量现状监测结果，各监测点</w:t>
      </w:r>
      <w:r>
        <w:rPr>
          <w:rFonts w:ascii="SimSun" w:hAnsi="SimSun" w:eastAsia="SimSun" w:cs="SimSun"/>
          <w:sz w:val="24"/>
          <w:szCs w:val="24"/>
          <w:spacing w:val="-38"/>
        </w:rPr>
        <w:t xml:space="preserve"> </w:t>
      </w:r>
      <w:r>
        <w:rPr>
          <w:rFonts w:ascii="Times New Roman" w:hAnsi="Times New Roman" w:eastAsia="Times New Roman" w:cs="Times New Roman"/>
          <w:sz w:val="24"/>
          <w:szCs w:val="24"/>
        </w:rPr>
        <w:t>TSP  </w:t>
      </w:r>
      <w:r>
        <w:rPr>
          <w:rFonts w:ascii="SimSun" w:hAnsi="SimSun" w:eastAsia="SimSun" w:cs="SimSun"/>
          <w:sz w:val="24"/>
          <w:szCs w:val="24"/>
          <w:spacing w:val="8"/>
        </w:rPr>
        <w:t>日均浓度均满足《环境空气质量标准》</w:t>
      </w:r>
      <w:r>
        <w:rPr>
          <w:rFonts w:ascii="SimSun" w:hAnsi="SimSun" w:eastAsia="SimSun" w:cs="SimSun"/>
          <w:sz w:val="24"/>
          <w:szCs w:val="24"/>
          <w:spacing w:val="1"/>
        </w:rPr>
        <w:t xml:space="preserve"> </w:t>
      </w:r>
      <w:r>
        <w:rPr>
          <w:rFonts w:ascii="SimSun" w:hAnsi="SimSun" w:eastAsia="SimSun" w:cs="SimSun"/>
          <w:sz w:val="24"/>
          <w:szCs w:val="24"/>
        </w:rPr>
        <w:t>（</w:t>
      </w:r>
      <w:r>
        <w:rPr>
          <w:rFonts w:ascii="Times New Roman" w:hAnsi="Times New Roman" w:eastAsia="Times New Roman" w:cs="Times New Roman"/>
          <w:sz w:val="24"/>
          <w:szCs w:val="24"/>
        </w:rPr>
        <w:t>GB3095-2012</w:t>
      </w:r>
      <w:r>
        <w:rPr>
          <w:rFonts w:ascii="SimSun" w:hAnsi="SimSun" w:eastAsia="SimSun" w:cs="SimSun"/>
          <w:sz w:val="24"/>
          <w:szCs w:val="24"/>
        </w:rPr>
        <w:t>）中二级标准要求</w:t>
      </w:r>
      <w:r>
        <w:rPr>
          <w:rFonts w:ascii="SimSun" w:hAnsi="SimSun" w:eastAsia="SimSun" w:cs="SimSun"/>
          <w:sz w:val="24"/>
          <w:szCs w:val="24"/>
          <w:spacing w:val="-1"/>
        </w:rPr>
        <w:t>。大气污染防治措施良好。</w:t>
      </w:r>
    </w:p>
    <w:p>
      <w:pPr>
        <w:ind w:left="10"/>
        <w:spacing w:before="72" w:line="221" w:lineRule="auto"/>
        <w:outlineLvl w:val="1"/>
        <w:rPr>
          <w:rFonts w:ascii="SimHei" w:hAnsi="SimHei" w:eastAsia="SimHei" w:cs="SimHei"/>
          <w:sz w:val="30"/>
          <w:szCs w:val="30"/>
        </w:rPr>
      </w:pPr>
      <w:bookmarkStart w:name="bookmark49" w:id="88"/>
      <w:bookmarkEnd w:id="88"/>
      <w:r>
        <w:rPr>
          <w:rFonts w:ascii="Times New Roman" w:hAnsi="Times New Roman" w:eastAsia="Times New Roman" w:cs="Times New Roman"/>
          <w:sz w:val="30"/>
          <w:szCs w:val="30"/>
          <w:b/>
          <w:bCs/>
          <w:spacing w:val="-3"/>
        </w:rPr>
        <w:t>7.3  </w:t>
      </w:r>
      <w:r>
        <w:rPr>
          <w:rFonts w:ascii="SimHei" w:hAnsi="SimHei" w:eastAsia="SimHei" w:cs="SimHei"/>
          <w:sz w:val="30"/>
          <w:szCs w:val="30"/>
          <w:b/>
          <w:bCs/>
          <w:spacing w:val="-3"/>
        </w:rPr>
        <w:t>废水污染防治措施</w:t>
      </w:r>
    </w:p>
    <w:p>
      <w:pPr>
        <w:ind w:left="9"/>
        <w:spacing w:before="258"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7.3.1 </w:t>
      </w:r>
      <w:r>
        <w:rPr>
          <w:rFonts w:ascii="SimHei" w:hAnsi="SimHei" w:eastAsia="SimHei" w:cs="SimHei"/>
          <w:sz w:val="28"/>
          <w:szCs w:val="28"/>
          <w:b/>
          <w:bCs/>
          <w:spacing w:val="-2"/>
        </w:rPr>
        <w:t>项目处理措施可行性分析</w:t>
      </w:r>
    </w:p>
    <w:p>
      <w:pPr>
        <w:ind w:left="490"/>
        <w:spacing w:before="170" w:line="219" w:lineRule="auto"/>
        <w:rPr>
          <w:rFonts w:ascii="SimSun" w:hAnsi="SimSun" w:eastAsia="SimSun" w:cs="SimSun"/>
          <w:sz w:val="24"/>
          <w:szCs w:val="24"/>
        </w:rPr>
      </w:pPr>
      <w:r>
        <w:rPr>
          <w:rFonts w:ascii="SimSun" w:hAnsi="SimSun" w:eastAsia="SimSun" w:cs="SimSun"/>
          <w:sz w:val="24"/>
          <w:szCs w:val="24"/>
          <w:spacing w:val="-2"/>
        </w:rPr>
        <w:t>本次改建项目改建前后矿坑水水量不发生变化，矿坑水依托现有矿井（坑）水处理</w:t>
      </w:r>
    </w:p>
    <w:p>
      <w:pPr>
        <w:spacing w:line="219" w:lineRule="auto"/>
        <w:sectPr>
          <w:headerReference w:type="default" r:id="rId518"/>
          <w:footerReference w:type="default" r:id="rId519"/>
          <w:pgSz w:w="11906" w:h="16838"/>
          <w:pgMar w:top="1174" w:right="1351" w:bottom="1080" w:left="1416" w:header="833" w:footer="918" w:gutter="0"/>
        </w:sectPr>
        <w:rPr>
          <w:rFonts w:ascii="SimSun" w:hAnsi="SimSun" w:eastAsia="SimSun" w:cs="SimSun"/>
          <w:sz w:val="24"/>
          <w:szCs w:val="24"/>
        </w:rPr>
      </w:pPr>
    </w:p>
    <w:p>
      <w:pPr>
        <w:pStyle w:val="BodyText"/>
        <w:spacing w:line="309" w:lineRule="auto"/>
        <w:rPr/>
      </w:pPr>
      <w:r/>
    </w:p>
    <w:p>
      <w:pPr>
        <w:ind w:right="163" w:firstLine="13"/>
        <w:spacing w:before="78" w:line="339" w:lineRule="auto"/>
        <w:jc w:val="both"/>
        <w:rPr>
          <w:rFonts w:ascii="SimSun" w:hAnsi="SimSun" w:eastAsia="SimSun" w:cs="SimSun"/>
          <w:sz w:val="24"/>
          <w:szCs w:val="24"/>
        </w:rPr>
      </w:pPr>
      <w:r>
        <w:rPr>
          <w:rFonts w:ascii="SimSun" w:hAnsi="SimSun" w:eastAsia="SimSun" w:cs="SimSun"/>
          <w:sz w:val="24"/>
          <w:szCs w:val="24"/>
          <w:spacing w:val="-2"/>
        </w:rPr>
        <w:t>站，处理后部分回用于绿化洒水及抑尘洒水，部分送往金山电厂用于生产用水，部分进</w:t>
      </w:r>
      <w:r>
        <w:rPr>
          <w:rFonts w:ascii="SimSun" w:hAnsi="SimSun" w:eastAsia="SimSun" w:cs="SimSun"/>
          <w:sz w:val="24"/>
          <w:szCs w:val="24"/>
          <w:spacing w:val="-1"/>
        </w:rPr>
        <w:t>入井工矿矿井水深度处理处理站，处理后回用于井工区生产用水。</w:t>
      </w:r>
      <w:r>
        <w:rPr>
          <w:rFonts w:ascii="SimSun" w:hAnsi="SimSun" w:eastAsia="SimSun" w:cs="SimSun"/>
          <w:sz w:val="24"/>
          <w:szCs w:val="24"/>
          <w:spacing w:val="-2"/>
        </w:rPr>
        <w:t>本次改建前后露天区</w:t>
      </w:r>
      <w:r>
        <w:rPr>
          <w:rFonts w:ascii="SimSun" w:hAnsi="SimSun" w:eastAsia="SimSun" w:cs="SimSun"/>
          <w:sz w:val="24"/>
          <w:szCs w:val="24"/>
          <w:spacing w:val="-1"/>
        </w:rPr>
        <w:t>劳动定员不发生变化，生活污水污水产生量不发生变化，生活污水</w:t>
      </w:r>
      <w:r>
        <w:rPr>
          <w:rFonts w:ascii="SimSun" w:hAnsi="SimSun" w:eastAsia="SimSun" w:cs="SimSun"/>
          <w:sz w:val="24"/>
          <w:szCs w:val="24"/>
          <w:spacing w:val="-2"/>
        </w:rPr>
        <w:t>依托露天区工业场地</w:t>
      </w:r>
      <w:r>
        <w:rPr>
          <w:rFonts w:ascii="SimSun" w:hAnsi="SimSun" w:eastAsia="SimSun" w:cs="SimSun"/>
          <w:sz w:val="24"/>
          <w:szCs w:val="24"/>
          <w:spacing w:val="-2"/>
        </w:rPr>
        <w:t>内生活污水处理站进行处理，处理规模为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3"/>
        </w:rPr>
        <w:t>0m</w:t>
      </w:r>
      <w:r>
        <w:rPr>
          <w:rFonts w:ascii="Times New Roman" w:hAnsi="Times New Roman" w:eastAsia="Times New Roman" w:cs="Times New Roman"/>
          <w:sz w:val="15"/>
          <w:szCs w:val="15"/>
          <w:spacing w:val="-3"/>
          <w:position w:val="7"/>
        </w:rPr>
        <w:t>3</w:t>
      </w:r>
      <w:r>
        <w:rPr>
          <w:rFonts w:ascii="Times New Roman" w:hAnsi="Times New Roman" w:eastAsia="Times New Roman" w:cs="Times New Roman"/>
          <w:sz w:val="24"/>
          <w:szCs w:val="24"/>
          <w:spacing w:val="-3"/>
        </w:rPr>
        <w:t>/h</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，其主要污染物为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3"/>
        </w:rPr>
        <w:t>SS</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COD</w:t>
      </w:r>
      <w:r>
        <w:rPr>
          <w:rFonts w:ascii="SimSun" w:hAnsi="SimSun" w:eastAsia="SimSun" w:cs="SimSun"/>
          <w:sz w:val="24"/>
          <w:szCs w:val="24"/>
          <w:spacing w:val="-3"/>
        </w:rPr>
        <w:t>、</w:t>
      </w:r>
      <w:r>
        <w:rPr>
          <w:rFonts w:ascii="Times New Roman" w:hAnsi="Times New Roman" w:eastAsia="Times New Roman" w:cs="Times New Roman"/>
          <w:sz w:val="24"/>
          <w:szCs w:val="24"/>
          <w:spacing w:val="-3"/>
        </w:rPr>
        <w:t>BOD</w:t>
      </w:r>
      <w:r>
        <w:rPr>
          <w:rFonts w:ascii="Times New Roman" w:hAnsi="Times New Roman" w:eastAsia="Times New Roman" w:cs="Times New Roman"/>
          <w:sz w:val="15"/>
          <w:szCs w:val="15"/>
          <w:spacing w:val="-3"/>
          <w:position w:val="-1"/>
        </w:rPr>
        <w:t>5</w:t>
      </w:r>
      <w:r>
        <w:rPr>
          <w:rFonts w:ascii="SimSun" w:hAnsi="SimSun" w:eastAsia="SimSun" w:cs="SimSun"/>
          <w:sz w:val="24"/>
          <w:szCs w:val="24"/>
          <w:spacing w:val="-3"/>
        </w:rPr>
        <w:t>、</w:t>
      </w:r>
      <w:r>
        <w:rPr>
          <w:rFonts w:ascii="SimSun" w:hAnsi="SimSun" w:eastAsia="SimSun" w:cs="SimSun"/>
          <w:sz w:val="24"/>
          <w:szCs w:val="24"/>
        </w:rPr>
        <w:t xml:space="preserve"> </w:t>
      </w:r>
      <w:r>
        <w:rPr>
          <w:rFonts w:ascii="Times New Roman" w:hAnsi="Times New Roman" w:eastAsia="Times New Roman" w:cs="Times New Roman"/>
          <w:sz w:val="24"/>
          <w:szCs w:val="24"/>
          <w:spacing w:val="-9"/>
        </w:rPr>
        <w:t>NH</w:t>
      </w:r>
      <w:r>
        <w:rPr>
          <w:rFonts w:ascii="Times New Roman" w:hAnsi="Times New Roman" w:eastAsia="Times New Roman" w:cs="Times New Roman"/>
          <w:sz w:val="15"/>
          <w:szCs w:val="15"/>
          <w:spacing w:val="-9"/>
        </w:rPr>
        <w:t>3</w:t>
      </w:r>
      <w:r>
        <w:rPr>
          <w:rFonts w:ascii="Times New Roman" w:hAnsi="Times New Roman" w:eastAsia="Times New Roman" w:cs="Times New Roman"/>
          <w:sz w:val="24"/>
          <w:szCs w:val="24"/>
          <w:spacing w:val="-9"/>
        </w:rPr>
        <w:t>-N</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9"/>
        </w:rPr>
        <w:t>。</w:t>
      </w:r>
      <w:r>
        <w:rPr>
          <w:rFonts w:ascii="SimSun" w:hAnsi="SimSun" w:eastAsia="SimSun" w:cs="SimSun"/>
          <w:sz w:val="24"/>
          <w:szCs w:val="24"/>
          <w:spacing w:val="-65"/>
        </w:rPr>
        <w:t xml:space="preserve"> </w:t>
      </w:r>
      <w:r>
        <w:rPr>
          <w:rFonts w:ascii="SimSun" w:hAnsi="SimSun" w:eastAsia="SimSun" w:cs="SimSun"/>
          <w:sz w:val="24"/>
          <w:szCs w:val="24"/>
          <w:spacing w:val="-9"/>
        </w:rPr>
        <w:t>生</w:t>
      </w:r>
      <w:r>
        <w:rPr>
          <w:rFonts w:ascii="SimSun" w:hAnsi="SimSun" w:eastAsia="SimSun" w:cs="SimSun"/>
          <w:sz w:val="24"/>
          <w:szCs w:val="24"/>
          <w:spacing w:val="-64"/>
        </w:rPr>
        <w:t xml:space="preserve"> </w:t>
      </w:r>
      <w:r>
        <w:rPr>
          <w:rFonts w:ascii="SimSun" w:hAnsi="SimSun" w:eastAsia="SimSun" w:cs="SimSun"/>
          <w:sz w:val="24"/>
          <w:szCs w:val="24"/>
          <w:spacing w:val="-9"/>
        </w:rPr>
        <w:t>活</w:t>
      </w:r>
      <w:r>
        <w:rPr>
          <w:rFonts w:ascii="SimSun" w:hAnsi="SimSun" w:eastAsia="SimSun" w:cs="SimSun"/>
          <w:sz w:val="24"/>
          <w:szCs w:val="24"/>
          <w:spacing w:val="-63"/>
        </w:rPr>
        <w:t xml:space="preserve"> </w:t>
      </w:r>
      <w:r>
        <w:rPr>
          <w:rFonts w:ascii="SimSun" w:hAnsi="SimSun" w:eastAsia="SimSun" w:cs="SimSun"/>
          <w:sz w:val="24"/>
          <w:szCs w:val="24"/>
          <w:spacing w:val="-9"/>
        </w:rPr>
        <w:t>污</w:t>
      </w:r>
      <w:r>
        <w:rPr>
          <w:rFonts w:ascii="SimSun" w:hAnsi="SimSun" w:eastAsia="SimSun" w:cs="SimSun"/>
          <w:sz w:val="24"/>
          <w:szCs w:val="24"/>
          <w:spacing w:val="-65"/>
        </w:rPr>
        <w:t xml:space="preserve"> </w:t>
      </w:r>
      <w:r>
        <w:rPr>
          <w:rFonts w:ascii="SimSun" w:hAnsi="SimSun" w:eastAsia="SimSun" w:cs="SimSun"/>
          <w:sz w:val="24"/>
          <w:szCs w:val="24"/>
          <w:spacing w:val="-9"/>
        </w:rPr>
        <w:t>水</w:t>
      </w:r>
      <w:r>
        <w:rPr>
          <w:rFonts w:ascii="SimSun" w:hAnsi="SimSun" w:eastAsia="SimSun" w:cs="SimSun"/>
          <w:sz w:val="24"/>
          <w:szCs w:val="24"/>
          <w:spacing w:val="-65"/>
        </w:rPr>
        <w:t xml:space="preserve"> </w:t>
      </w:r>
      <w:r>
        <w:rPr>
          <w:rFonts w:ascii="SimSun" w:hAnsi="SimSun" w:eastAsia="SimSun" w:cs="SimSun"/>
          <w:sz w:val="24"/>
          <w:szCs w:val="24"/>
          <w:spacing w:val="-9"/>
        </w:rPr>
        <w:t>经</w:t>
      </w:r>
      <w:r>
        <w:rPr>
          <w:rFonts w:ascii="SimSun" w:hAnsi="SimSun" w:eastAsia="SimSun" w:cs="SimSun"/>
          <w:sz w:val="24"/>
          <w:szCs w:val="24"/>
          <w:spacing w:val="-61"/>
        </w:rPr>
        <w:t xml:space="preserve"> </w:t>
      </w:r>
      <w:r>
        <w:rPr>
          <w:rFonts w:ascii="SimSun" w:hAnsi="SimSun" w:eastAsia="SimSun" w:cs="SimSun"/>
          <w:sz w:val="24"/>
          <w:szCs w:val="24"/>
          <w:spacing w:val="-9"/>
        </w:rPr>
        <w:t>处</w:t>
      </w:r>
      <w:r>
        <w:rPr>
          <w:rFonts w:ascii="SimSun" w:hAnsi="SimSun" w:eastAsia="SimSun" w:cs="SimSun"/>
          <w:sz w:val="24"/>
          <w:szCs w:val="24"/>
          <w:spacing w:val="-64"/>
        </w:rPr>
        <w:t xml:space="preserve"> </w:t>
      </w:r>
      <w:r>
        <w:rPr>
          <w:rFonts w:ascii="SimSun" w:hAnsi="SimSun" w:eastAsia="SimSun" w:cs="SimSun"/>
          <w:sz w:val="24"/>
          <w:szCs w:val="24"/>
          <w:spacing w:val="-9"/>
        </w:rPr>
        <w:t>理</w:t>
      </w:r>
      <w:r>
        <w:rPr>
          <w:rFonts w:ascii="SimSun" w:hAnsi="SimSun" w:eastAsia="SimSun" w:cs="SimSun"/>
          <w:sz w:val="24"/>
          <w:szCs w:val="24"/>
          <w:spacing w:val="-63"/>
        </w:rPr>
        <w:t xml:space="preserve"> </w:t>
      </w:r>
      <w:r>
        <w:rPr>
          <w:rFonts w:ascii="SimSun" w:hAnsi="SimSun" w:eastAsia="SimSun" w:cs="SimSun"/>
          <w:sz w:val="24"/>
          <w:szCs w:val="24"/>
          <w:spacing w:val="-9"/>
        </w:rPr>
        <w:t>后</w:t>
      </w:r>
      <w:r>
        <w:rPr>
          <w:rFonts w:ascii="SimSun" w:hAnsi="SimSun" w:eastAsia="SimSun" w:cs="SimSun"/>
          <w:sz w:val="24"/>
          <w:szCs w:val="24"/>
          <w:spacing w:val="-48"/>
        </w:rPr>
        <w:t xml:space="preserve"> </w:t>
      </w:r>
      <w:r>
        <w:rPr>
          <w:rFonts w:ascii="SimSun" w:hAnsi="SimSun" w:eastAsia="SimSun" w:cs="SimSun"/>
          <w:sz w:val="24"/>
          <w:szCs w:val="24"/>
          <w:spacing w:val="-9"/>
        </w:rPr>
        <w:t>，</w:t>
      </w:r>
      <w:r>
        <w:rPr>
          <w:rFonts w:ascii="SimSun" w:hAnsi="SimSun" w:eastAsia="SimSun" w:cs="SimSun"/>
          <w:sz w:val="24"/>
          <w:szCs w:val="24"/>
          <w:spacing w:val="-68"/>
        </w:rPr>
        <w:t xml:space="preserve"> </w:t>
      </w:r>
      <w:r>
        <w:rPr>
          <w:rFonts w:ascii="SimSun" w:hAnsi="SimSun" w:eastAsia="SimSun" w:cs="SimSun"/>
          <w:sz w:val="24"/>
          <w:szCs w:val="24"/>
          <w:spacing w:val="-9"/>
        </w:rPr>
        <w:t>达</w:t>
      </w:r>
      <w:r>
        <w:rPr>
          <w:rFonts w:ascii="SimSun" w:hAnsi="SimSun" w:eastAsia="SimSun" w:cs="SimSun"/>
          <w:sz w:val="24"/>
          <w:szCs w:val="24"/>
          <w:spacing w:val="-64"/>
        </w:rPr>
        <w:t xml:space="preserve"> </w:t>
      </w:r>
      <w:r>
        <w:rPr>
          <w:rFonts w:ascii="SimSun" w:hAnsi="SimSun" w:eastAsia="SimSun" w:cs="SimSun"/>
          <w:sz w:val="24"/>
          <w:szCs w:val="24"/>
          <w:spacing w:val="-9"/>
        </w:rPr>
        <w:t>到《</w:t>
      </w:r>
      <w:r>
        <w:rPr>
          <w:rFonts w:ascii="SimSun" w:hAnsi="SimSun" w:eastAsia="SimSun" w:cs="SimSun"/>
          <w:sz w:val="24"/>
          <w:szCs w:val="24"/>
          <w:spacing w:val="-39"/>
        </w:rPr>
        <w:t xml:space="preserve"> </w:t>
      </w:r>
      <w:r>
        <w:rPr>
          <w:rFonts w:ascii="SimSun" w:hAnsi="SimSun" w:eastAsia="SimSun" w:cs="SimSun"/>
          <w:sz w:val="24"/>
          <w:szCs w:val="24"/>
          <w:spacing w:val="-9"/>
        </w:rPr>
        <w:t>城</w:t>
      </w:r>
      <w:r>
        <w:rPr>
          <w:rFonts w:ascii="SimSun" w:hAnsi="SimSun" w:eastAsia="SimSun" w:cs="SimSun"/>
          <w:sz w:val="24"/>
          <w:szCs w:val="24"/>
          <w:spacing w:val="-63"/>
        </w:rPr>
        <w:t xml:space="preserve"> </w:t>
      </w:r>
      <w:r>
        <w:rPr>
          <w:rFonts w:ascii="SimSun" w:hAnsi="SimSun" w:eastAsia="SimSun" w:cs="SimSun"/>
          <w:sz w:val="24"/>
          <w:szCs w:val="24"/>
          <w:spacing w:val="-9"/>
        </w:rPr>
        <w:t>市</w:t>
      </w:r>
      <w:r>
        <w:rPr>
          <w:rFonts w:ascii="SimSun" w:hAnsi="SimSun" w:eastAsia="SimSun" w:cs="SimSun"/>
          <w:sz w:val="24"/>
          <w:szCs w:val="24"/>
          <w:spacing w:val="-66"/>
        </w:rPr>
        <w:t xml:space="preserve"> </w:t>
      </w:r>
      <w:r>
        <w:rPr>
          <w:rFonts w:ascii="SimSun" w:hAnsi="SimSun" w:eastAsia="SimSun" w:cs="SimSun"/>
          <w:sz w:val="24"/>
          <w:szCs w:val="24"/>
          <w:spacing w:val="-9"/>
        </w:rPr>
        <w:t>污</w:t>
      </w:r>
      <w:r>
        <w:rPr>
          <w:rFonts w:ascii="SimSun" w:hAnsi="SimSun" w:eastAsia="SimSun" w:cs="SimSun"/>
          <w:sz w:val="24"/>
          <w:szCs w:val="24"/>
          <w:spacing w:val="-64"/>
        </w:rPr>
        <w:t xml:space="preserve"> </w:t>
      </w:r>
      <w:r>
        <w:rPr>
          <w:rFonts w:ascii="SimSun" w:hAnsi="SimSun" w:eastAsia="SimSun" w:cs="SimSun"/>
          <w:sz w:val="24"/>
          <w:szCs w:val="24"/>
          <w:spacing w:val="-9"/>
        </w:rPr>
        <w:t>水</w:t>
      </w:r>
      <w:r>
        <w:rPr>
          <w:rFonts w:ascii="SimSun" w:hAnsi="SimSun" w:eastAsia="SimSun" w:cs="SimSun"/>
          <w:sz w:val="24"/>
          <w:szCs w:val="24"/>
          <w:spacing w:val="-63"/>
        </w:rPr>
        <w:t xml:space="preserve"> </w:t>
      </w:r>
      <w:r>
        <w:rPr>
          <w:rFonts w:ascii="SimSun" w:hAnsi="SimSun" w:eastAsia="SimSun" w:cs="SimSun"/>
          <w:sz w:val="24"/>
          <w:szCs w:val="24"/>
          <w:spacing w:val="-9"/>
        </w:rPr>
        <w:t>再</w:t>
      </w:r>
      <w:r>
        <w:rPr>
          <w:rFonts w:ascii="SimSun" w:hAnsi="SimSun" w:eastAsia="SimSun" w:cs="SimSun"/>
          <w:sz w:val="24"/>
          <w:szCs w:val="24"/>
          <w:spacing w:val="-66"/>
        </w:rPr>
        <w:t xml:space="preserve"> </w:t>
      </w:r>
      <w:r>
        <w:rPr>
          <w:rFonts w:ascii="SimSun" w:hAnsi="SimSun" w:eastAsia="SimSun" w:cs="SimSun"/>
          <w:sz w:val="24"/>
          <w:szCs w:val="24"/>
          <w:spacing w:val="-9"/>
        </w:rPr>
        <w:t>生</w:t>
      </w:r>
      <w:r>
        <w:rPr>
          <w:rFonts w:ascii="SimSun" w:hAnsi="SimSun" w:eastAsia="SimSun" w:cs="SimSun"/>
          <w:sz w:val="24"/>
          <w:szCs w:val="24"/>
          <w:spacing w:val="-66"/>
        </w:rPr>
        <w:t xml:space="preserve"> </w:t>
      </w:r>
      <w:r>
        <w:rPr>
          <w:rFonts w:ascii="SimSun" w:hAnsi="SimSun" w:eastAsia="SimSun" w:cs="SimSun"/>
          <w:sz w:val="24"/>
          <w:szCs w:val="24"/>
          <w:spacing w:val="-9"/>
        </w:rPr>
        <w:t>利</w:t>
      </w:r>
      <w:r>
        <w:rPr>
          <w:rFonts w:ascii="SimSun" w:hAnsi="SimSun" w:eastAsia="SimSun" w:cs="SimSun"/>
          <w:sz w:val="24"/>
          <w:szCs w:val="24"/>
          <w:spacing w:val="-66"/>
        </w:rPr>
        <w:t xml:space="preserve"> </w:t>
      </w:r>
      <w:r>
        <w:rPr>
          <w:rFonts w:ascii="SimSun" w:hAnsi="SimSun" w:eastAsia="SimSun" w:cs="SimSun"/>
          <w:sz w:val="24"/>
          <w:szCs w:val="24"/>
          <w:spacing w:val="-9"/>
        </w:rPr>
        <w:t>用</w:t>
      </w:r>
      <w:r>
        <w:rPr>
          <w:rFonts w:ascii="SimSun" w:hAnsi="SimSun" w:eastAsia="SimSun" w:cs="SimSun"/>
          <w:sz w:val="24"/>
          <w:szCs w:val="24"/>
          <w:spacing w:val="101"/>
        </w:rPr>
        <w:t xml:space="preserve"> </w:t>
      </w:r>
      <w:r>
        <w:rPr>
          <w:rFonts w:ascii="SimSun" w:hAnsi="SimSun" w:eastAsia="SimSun" w:cs="SimSun"/>
          <w:sz w:val="24"/>
          <w:szCs w:val="24"/>
          <w:spacing w:val="-9"/>
        </w:rPr>
        <w:t>城</w:t>
      </w:r>
      <w:r>
        <w:rPr>
          <w:rFonts w:ascii="SimSun" w:hAnsi="SimSun" w:eastAsia="SimSun" w:cs="SimSun"/>
          <w:sz w:val="24"/>
          <w:szCs w:val="24"/>
          <w:spacing w:val="-61"/>
        </w:rPr>
        <w:t xml:space="preserve"> </w:t>
      </w:r>
      <w:r>
        <w:rPr>
          <w:rFonts w:ascii="SimSun" w:hAnsi="SimSun" w:eastAsia="SimSun" w:cs="SimSun"/>
          <w:sz w:val="24"/>
          <w:szCs w:val="24"/>
          <w:spacing w:val="-9"/>
        </w:rPr>
        <w:t>市</w:t>
      </w:r>
      <w:r>
        <w:rPr>
          <w:rFonts w:ascii="SimSun" w:hAnsi="SimSun" w:eastAsia="SimSun" w:cs="SimSun"/>
          <w:sz w:val="24"/>
          <w:szCs w:val="24"/>
          <w:spacing w:val="-68"/>
        </w:rPr>
        <w:t xml:space="preserve"> </w:t>
      </w:r>
      <w:r>
        <w:rPr>
          <w:rFonts w:ascii="SimSun" w:hAnsi="SimSun" w:eastAsia="SimSun" w:cs="SimSun"/>
          <w:sz w:val="24"/>
          <w:szCs w:val="24"/>
          <w:spacing w:val="-9"/>
        </w:rPr>
        <w:t>杂</w:t>
      </w:r>
      <w:r>
        <w:rPr>
          <w:rFonts w:ascii="SimSun" w:hAnsi="SimSun" w:eastAsia="SimSun" w:cs="SimSun"/>
          <w:sz w:val="24"/>
          <w:szCs w:val="24"/>
          <w:spacing w:val="-61"/>
        </w:rPr>
        <w:t xml:space="preserve"> </w:t>
      </w:r>
      <w:r>
        <w:rPr>
          <w:rFonts w:ascii="SimSun" w:hAnsi="SimSun" w:eastAsia="SimSun" w:cs="SimSun"/>
          <w:sz w:val="24"/>
          <w:szCs w:val="24"/>
          <w:spacing w:val="-9"/>
        </w:rPr>
        <w:t>用</w:t>
      </w:r>
      <w:r>
        <w:rPr>
          <w:rFonts w:ascii="SimSun" w:hAnsi="SimSun" w:eastAsia="SimSun" w:cs="SimSun"/>
          <w:sz w:val="24"/>
          <w:szCs w:val="24"/>
          <w:spacing w:val="-64"/>
        </w:rPr>
        <w:t xml:space="preserve"> </w:t>
      </w:r>
      <w:r>
        <w:rPr>
          <w:rFonts w:ascii="SimSun" w:hAnsi="SimSun" w:eastAsia="SimSun" w:cs="SimSun"/>
          <w:sz w:val="24"/>
          <w:szCs w:val="24"/>
          <w:spacing w:val="-9"/>
        </w:rPr>
        <w:t>水</w:t>
      </w:r>
      <w:r>
        <w:rPr>
          <w:rFonts w:ascii="SimSun" w:hAnsi="SimSun" w:eastAsia="SimSun" w:cs="SimSun"/>
          <w:sz w:val="24"/>
          <w:szCs w:val="24"/>
          <w:spacing w:val="-67"/>
        </w:rPr>
        <w:t xml:space="preserve"> </w:t>
      </w:r>
      <w:r>
        <w:rPr>
          <w:rFonts w:ascii="SimSun" w:hAnsi="SimSun" w:eastAsia="SimSun" w:cs="SimSun"/>
          <w:sz w:val="24"/>
          <w:szCs w:val="24"/>
          <w:spacing w:val="-9"/>
        </w:rPr>
        <w:t>水</w:t>
      </w:r>
      <w:r>
        <w:rPr>
          <w:rFonts w:ascii="SimSun" w:hAnsi="SimSun" w:eastAsia="SimSun" w:cs="SimSun"/>
          <w:sz w:val="24"/>
          <w:szCs w:val="24"/>
          <w:spacing w:val="-67"/>
        </w:rPr>
        <w:t xml:space="preserve"> </w:t>
      </w:r>
      <w:r>
        <w:rPr>
          <w:rFonts w:ascii="SimSun" w:hAnsi="SimSun" w:eastAsia="SimSun" w:cs="SimSun"/>
          <w:sz w:val="24"/>
          <w:szCs w:val="24"/>
          <w:spacing w:val="-9"/>
        </w:rPr>
        <w:t>质》</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GB/T18920-2020</w:t>
      </w:r>
      <w:r>
        <w:rPr>
          <w:rFonts w:ascii="SimSun" w:hAnsi="SimSun" w:eastAsia="SimSun" w:cs="SimSun"/>
          <w:sz w:val="24"/>
          <w:szCs w:val="24"/>
          <w:spacing w:val="-2"/>
        </w:rPr>
        <w:t>）中绿化、道路清扫等限值要求后用于道路、绿化洒水、汽车冲洗水</w:t>
      </w:r>
      <w:r>
        <w:rPr>
          <w:rFonts w:ascii="SimSun" w:hAnsi="SimSun" w:eastAsia="SimSun" w:cs="SimSun"/>
          <w:sz w:val="24"/>
          <w:szCs w:val="24"/>
        </w:rPr>
        <w:t>及金山电厂洒水，全部回用，不外排。</w:t>
      </w:r>
    </w:p>
    <w:p>
      <w:pPr>
        <w:ind w:left="12"/>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7.3.2 </w:t>
      </w:r>
      <w:r>
        <w:rPr>
          <w:rFonts w:ascii="SimHei" w:hAnsi="SimHei" w:eastAsia="SimHei" w:cs="SimHei"/>
          <w:sz w:val="28"/>
          <w:szCs w:val="28"/>
          <w:b/>
          <w:bCs/>
          <w:spacing w:val="-2"/>
        </w:rPr>
        <w:t>废水资源利用化</w:t>
      </w:r>
    </w:p>
    <w:p>
      <w:pPr>
        <w:ind w:left="11" w:right="173" w:firstLine="480"/>
        <w:spacing w:before="173" w:line="338" w:lineRule="auto"/>
        <w:jc w:val="both"/>
        <w:rPr>
          <w:rFonts w:ascii="SimSun" w:hAnsi="SimSun" w:eastAsia="SimSun" w:cs="SimSun"/>
          <w:sz w:val="24"/>
          <w:szCs w:val="24"/>
        </w:rPr>
      </w:pPr>
      <w:r>
        <w:rPr>
          <w:rFonts w:ascii="SimSun" w:hAnsi="SimSun" w:eastAsia="SimSun" w:cs="SimSun"/>
          <w:sz w:val="24"/>
          <w:szCs w:val="24"/>
          <w:spacing w:val="-1"/>
        </w:rPr>
        <w:t>根据国家环境保护总局办公厅文件环办〔</w:t>
      </w:r>
      <w:r>
        <w:rPr>
          <w:rFonts w:ascii="Times New Roman" w:hAnsi="Times New Roman" w:eastAsia="Times New Roman" w:cs="Times New Roman"/>
          <w:sz w:val="24"/>
          <w:szCs w:val="24"/>
          <w:spacing w:val="-1"/>
        </w:rPr>
        <w:t>2006</w:t>
      </w:r>
      <w:r>
        <w:rPr>
          <w:rFonts w:ascii="SimSun" w:hAnsi="SimSun" w:eastAsia="SimSun" w:cs="SimSun"/>
          <w:sz w:val="24"/>
          <w:szCs w:val="24"/>
          <w:spacing w:val="-1"/>
        </w:rPr>
        <w:t>〕</w:t>
      </w:r>
      <w:r>
        <w:rPr>
          <w:rFonts w:ascii="Times New Roman" w:hAnsi="Times New Roman" w:eastAsia="Times New Roman" w:cs="Times New Roman"/>
          <w:sz w:val="24"/>
          <w:szCs w:val="24"/>
          <w:spacing w:val="-2"/>
        </w:rPr>
        <w:t>129  </w:t>
      </w:r>
      <w:r>
        <w:rPr>
          <w:rFonts w:ascii="SimSun" w:hAnsi="SimSun" w:eastAsia="SimSun" w:cs="SimSun"/>
          <w:sz w:val="24"/>
          <w:szCs w:val="24"/>
          <w:spacing w:val="-2"/>
        </w:rPr>
        <w:t>号《关于加强煤炭矿区总体规</w:t>
      </w:r>
      <w:r>
        <w:rPr>
          <w:rFonts w:ascii="SimSun" w:hAnsi="SimSun" w:eastAsia="SimSun" w:cs="SimSun"/>
          <w:sz w:val="24"/>
          <w:szCs w:val="24"/>
          <w:spacing w:val="-2"/>
        </w:rPr>
        <w:t>划和煤矿项目环境影响评价工作的通知》提出在水资源短缺地区，严格限制取用地表水</w:t>
      </w:r>
      <w:r>
        <w:rPr>
          <w:rFonts w:ascii="SimSun" w:hAnsi="SimSun" w:eastAsia="SimSun" w:cs="SimSun"/>
          <w:sz w:val="24"/>
          <w:szCs w:val="24"/>
          <w:spacing w:val="-1"/>
        </w:rPr>
        <w:t>和地下水，防止煤矿疏干造成地下水位下降、地表水干枯、地面植被破</w:t>
      </w:r>
      <w:r>
        <w:rPr>
          <w:rFonts w:ascii="SimSun" w:hAnsi="SimSun" w:eastAsia="SimSun" w:cs="SimSun"/>
          <w:sz w:val="24"/>
          <w:szCs w:val="24"/>
          <w:spacing w:val="-2"/>
        </w:rPr>
        <w:t>坏或严重退化。</w:t>
      </w:r>
      <w:r>
        <w:rPr>
          <w:rFonts w:ascii="SimSun" w:hAnsi="SimSun" w:eastAsia="SimSun" w:cs="SimSun"/>
          <w:sz w:val="24"/>
          <w:szCs w:val="24"/>
          <w:spacing w:val="3"/>
        </w:rPr>
        <w:t>矿井水复用率应达到</w:t>
      </w:r>
      <w:r>
        <w:rPr>
          <w:rFonts w:ascii="Times New Roman" w:hAnsi="Times New Roman" w:eastAsia="Times New Roman" w:cs="Times New Roman"/>
          <w:sz w:val="24"/>
          <w:szCs w:val="24"/>
          <w:spacing w:val="3"/>
        </w:rPr>
        <w:t>70%</w:t>
      </w:r>
      <w:r>
        <w:rPr>
          <w:rFonts w:ascii="SimSun" w:hAnsi="SimSun" w:eastAsia="SimSun" w:cs="SimSun"/>
          <w:sz w:val="24"/>
          <w:szCs w:val="24"/>
          <w:spacing w:val="3"/>
        </w:rPr>
        <w:t>以上，晋、陕、蒙、宁等严重干旱地区应达到</w:t>
      </w:r>
      <w:r>
        <w:rPr>
          <w:rFonts w:ascii="Times New Roman" w:hAnsi="Times New Roman" w:eastAsia="Times New Roman" w:cs="Times New Roman"/>
          <w:sz w:val="24"/>
          <w:szCs w:val="24"/>
          <w:spacing w:val="3"/>
        </w:rPr>
        <w:t>90%</w:t>
      </w:r>
      <w:r>
        <w:rPr>
          <w:rFonts w:ascii="SimSun" w:hAnsi="SimSun" w:eastAsia="SimSun" w:cs="SimSun"/>
          <w:sz w:val="24"/>
          <w:szCs w:val="24"/>
          <w:spacing w:val="2"/>
        </w:rPr>
        <w:t>以上。</w:t>
      </w:r>
    </w:p>
    <w:p>
      <w:pPr>
        <w:ind w:left="13" w:right="186" w:firstLine="513"/>
        <w:spacing w:before="1" w:line="338" w:lineRule="auto"/>
        <w:jc w:val="both"/>
        <w:rPr>
          <w:rFonts w:ascii="SimSun" w:hAnsi="SimSun" w:eastAsia="SimSun" w:cs="SimSun"/>
          <w:sz w:val="24"/>
          <w:szCs w:val="24"/>
        </w:rPr>
      </w:pPr>
      <w:r>
        <w:rPr>
          <w:rFonts w:ascii="SimSun" w:hAnsi="SimSun" w:eastAsia="SimSun" w:cs="SimSun"/>
          <w:sz w:val="24"/>
          <w:szCs w:val="24"/>
          <w:spacing w:val="-4"/>
        </w:rPr>
        <w:t>白音华四号露天矿（露天区）运营期产生的矿坑水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9456m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，经矿井（坑）水处理</w:t>
      </w:r>
      <w:r>
        <w:rPr>
          <w:rFonts w:ascii="SimSun" w:hAnsi="SimSun" w:eastAsia="SimSun" w:cs="SimSun"/>
          <w:sz w:val="24"/>
          <w:szCs w:val="24"/>
          <w:spacing w:val="-2"/>
        </w:rPr>
        <w:t>站处理后，部分用于生产、生活、冲洗、消防用水等，剩余矿井（坑）水回用于金山电</w:t>
      </w:r>
      <w:r>
        <w:rPr>
          <w:rFonts w:ascii="SimSun" w:hAnsi="SimSun" w:eastAsia="SimSun" w:cs="SimSun"/>
          <w:sz w:val="24"/>
          <w:szCs w:val="24"/>
          <w:spacing w:val="-2"/>
        </w:rPr>
        <w:t>厂生产用水，不外排。</w:t>
      </w:r>
    </w:p>
    <w:p>
      <w:pPr>
        <w:ind w:left="12" w:right="191" w:firstLine="481"/>
        <w:spacing w:before="3" w:line="339" w:lineRule="auto"/>
        <w:jc w:val="both"/>
        <w:rPr>
          <w:rFonts w:ascii="SimSun" w:hAnsi="SimSun" w:eastAsia="SimSun" w:cs="SimSun"/>
          <w:sz w:val="24"/>
          <w:szCs w:val="24"/>
        </w:rPr>
      </w:pPr>
      <w:r>
        <w:rPr>
          <w:rFonts w:ascii="SimSun" w:hAnsi="SimSun" w:eastAsia="SimSun" w:cs="SimSun"/>
          <w:sz w:val="24"/>
          <w:szCs w:val="24"/>
        </w:rPr>
        <w:t>生活污水主要来源于露天区工业场地，其污水产生量分</w:t>
      </w:r>
      <w:r>
        <w:rPr>
          <w:rFonts w:ascii="SimSun" w:hAnsi="SimSun" w:eastAsia="SimSun" w:cs="SimSun"/>
          <w:sz w:val="24"/>
          <w:szCs w:val="24"/>
          <w:spacing w:val="-1"/>
        </w:rPr>
        <w:t>别为</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422m</w:t>
      </w:r>
      <w:r>
        <w:rPr>
          <w:rFonts w:ascii="Times New Roman" w:hAnsi="Times New Roman" w:eastAsia="Times New Roman" w:cs="Times New Roman"/>
          <w:sz w:val="15"/>
          <w:szCs w:val="15"/>
          <w:spacing w:val="-1"/>
          <w:position w:val="8"/>
        </w:rPr>
        <w:t>3</w:t>
      </w:r>
      <w:r>
        <w:rPr>
          <w:rFonts w:ascii="Times New Roman" w:hAnsi="Times New Roman" w:eastAsia="Times New Roman" w:cs="Times New Roman"/>
          <w:sz w:val="24"/>
          <w:szCs w:val="24"/>
          <w:spacing w:val="-1"/>
        </w:rPr>
        <w:t>/d</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1"/>
        </w:rPr>
        <w:t>。生活污水经</w:t>
      </w:r>
      <w:r>
        <w:rPr>
          <w:rFonts w:ascii="SimSun" w:hAnsi="SimSun" w:eastAsia="SimSun" w:cs="SimSun"/>
          <w:sz w:val="24"/>
          <w:szCs w:val="24"/>
          <w:spacing w:val="-2"/>
        </w:rPr>
        <w:t>生活污水处理站处理达标后用于矿区绿化、道路洒水、汽车冲洗洒水及金山电厂洒水，</w:t>
      </w:r>
      <w:r>
        <w:rPr>
          <w:rFonts w:ascii="SimSun" w:hAnsi="SimSun" w:eastAsia="SimSun" w:cs="SimSun"/>
          <w:sz w:val="24"/>
          <w:szCs w:val="24"/>
          <w:spacing w:val="-1"/>
        </w:rPr>
        <w:t>全部回用，不外排。本项目改建后，完全可以实现复用率</w:t>
      </w:r>
      <w:r>
        <w:rPr>
          <w:rFonts w:ascii="SimSun" w:hAnsi="SimSun" w:eastAsia="SimSun" w:cs="SimSun"/>
          <w:sz w:val="24"/>
          <w:szCs w:val="24"/>
          <w:spacing w:val="-2"/>
        </w:rPr>
        <w:t>达到</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100%</w:t>
      </w:r>
      <w:r>
        <w:rPr>
          <w:rFonts w:ascii="SimSun" w:hAnsi="SimSun" w:eastAsia="SimSun" w:cs="SimSun"/>
          <w:sz w:val="24"/>
          <w:szCs w:val="24"/>
          <w:spacing w:val="-2"/>
        </w:rPr>
        <w:t>。</w:t>
      </w:r>
    </w:p>
    <w:p>
      <w:pPr>
        <w:ind w:left="12"/>
        <w:spacing w:before="8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7.3.3 </w:t>
      </w:r>
      <w:r>
        <w:rPr>
          <w:rFonts w:ascii="SimHei" w:hAnsi="SimHei" w:eastAsia="SimHei" w:cs="SimHei"/>
          <w:sz w:val="28"/>
          <w:szCs w:val="28"/>
          <w:b/>
          <w:bCs/>
          <w:spacing w:val="-2"/>
        </w:rPr>
        <w:t>河流保护措施</w:t>
      </w:r>
    </w:p>
    <w:p>
      <w:pPr>
        <w:ind w:left="14" w:firstLine="480"/>
        <w:spacing w:before="171" w:line="339" w:lineRule="auto"/>
        <w:rPr>
          <w:rFonts w:ascii="SimSun" w:hAnsi="SimSun" w:eastAsia="SimSun" w:cs="SimSun"/>
          <w:sz w:val="24"/>
          <w:szCs w:val="24"/>
        </w:rPr>
      </w:pPr>
      <w:r>
        <w:rPr>
          <w:rFonts w:ascii="SimSun" w:hAnsi="SimSun" w:eastAsia="SimSun" w:cs="SimSun"/>
          <w:sz w:val="24"/>
          <w:szCs w:val="24"/>
          <w:spacing w:val="-3"/>
        </w:rPr>
        <w:t>为了保护河流受露天开采影响而水资源量减少，本次评价建议需要采取相应</w:t>
      </w:r>
      <w:r>
        <w:rPr>
          <w:rFonts w:ascii="SimSun" w:hAnsi="SimSun" w:eastAsia="SimSun" w:cs="SimSun"/>
          <w:sz w:val="24"/>
          <w:szCs w:val="24"/>
          <w:spacing w:val="-4"/>
        </w:rPr>
        <w:t>的措施，</w:t>
      </w:r>
      <w:r>
        <w:rPr>
          <w:rFonts w:ascii="SimSun" w:hAnsi="SimSun" w:eastAsia="SimSun" w:cs="SimSun"/>
          <w:sz w:val="24"/>
          <w:szCs w:val="24"/>
          <w:spacing w:val="-2"/>
        </w:rPr>
        <w:t>可以采取的措施有：</w:t>
      </w:r>
    </w:p>
    <w:p>
      <w:pPr>
        <w:ind w:left="25" w:right="186" w:firstLine="465"/>
        <w:spacing w:line="298" w:lineRule="auto"/>
        <w:rPr>
          <w:rFonts w:ascii="SimSun" w:hAnsi="SimSun" w:eastAsia="SimSun" w:cs="SimSun"/>
          <w:sz w:val="24"/>
          <w:szCs w:val="24"/>
        </w:rPr>
      </w:pPr>
      <w:r>
        <w:rPr>
          <w:rFonts w:ascii="SimSun" w:hAnsi="SimSun" w:eastAsia="SimSun" w:cs="SimSun"/>
          <w:sz w:val="24"/>
          <w:szCs w:val="24"/>
          <w:spacing w:val="6"/>
        </w:rPr>
        <w:t>①对受影响的自然河段采取防渗的措施。彦吉嘎河基底渗透系数应控制</w:t>
      </w:r>
      <w:r>
        <w:rPr>
          <w:rFonts w:ascii="SimSun" w:hAnsi="SimSun" w:eastAsia="SimSun" w:cs="SimSun"/>
          <w:sz w:val="24"/>
          <w:szCs w:val="24"/>
          <w:spacing w:val="5"/>
        </w:rPr>
        <w:t>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5"/>
        </w:rPr>
        <w:t>1.0 </w:t>
      </w:r>
      <w:r>
        <w:rPr>
          <w:rFonts w:ascii="SimSun" w:hAnsi="SimSun" w:eastAsia="SimSun" w:cs="SimSun"/>
          <w:sz w:val="24"/>
          <w:szCs w:val="24"/>
          <w:spacing w:val="5"/>
        </w:rPr>
        <w:t>×</w:t>
      </w:r>
      <w:r>
        <w:rPr>
          <w:rFonts w:ascii="SimSun" w:hAnsi="SimSun" w:eastAsia="SimSun" w:cs="SimSun"/>
          <w:sz w:val="24"/>
          <w:szCs w:val="24"/>
        </w:rPr>
        <w:t xml:space="preserve"> </w:t>
      </w:r>
      <w:r>
        <w:rPr>
          <w:rFonts w:ascii="Times New Roman" w:hAnsi="Times New Roman" w:eastAsia="Times New Roman" w:cs="Times New Roman"/>
          <w:sz w:val="24"/>
          <w:szCs w:val="24"/>
          <w:spacing w:val="-12"/>
        </w:rPr>
        <w:t>10</w:t>
      </w:r>
      <w:r>
        <w:rPr>
          <w:rFonts w:ascii="Times New Roman" w:hAnsi="Times New Roman" w:eastAsia="Times New Roman" w:cs="Times New Roman"/>
          <w:sz w:val="15"/>
          <w:szCs w:val="15"/>
          <w:position w:val="8"/>
        </w:rPr>
        <w:t>-6</w:t>
      </w:r>
      <w:r>
        <w:rPr>
          <w:rFonts w:ascii="Times New Roman" w:hAnsi="Times New Roman" w:eastAsia="Times New Roman" w:cs="Times New Roman"/>
          <w:sz w:val="24"/>
          <w:szCs w:val="24"/>
        </w:rPr>
        <w:t>cm/s</w:t>
      </w:r>
      <w:r>
        <w:rPr>
          <w:rFonts w:ascii="Times New Roman" w:hAnsi="Times New Roman" w:eastAsia="Times New Roman" w:cs="Times New Roman"/>
          <w:sz w:val="24"/>
          <w:szCs w:val="24"/>
          <w:spacing w:val="38"/>
        </w:rPr>
        <w:t xml:space="preserve"> </w:t>
      </w:r>
      <w:r>
        <w:rPr>
          <w:rFonts w:ascii="SimSun" w:hAnsi="SimSun" w:eastAsia="SimSun" w:cs="SimSun"/>
          <w:sz w:val="24"/>
          <w:szCs w:val="24"/>
        </w:rPr>
        <w:t>以内，根据《内蒙古自治区河湖保护和管理条例》，对彦</w:t>
      </w:r>
      <w:r>
        <w:rPr>
          <w:rFonts w:ascii="SimSun" w:hAnsi="SimSun" w:eastAsia="SimSun" w:cs="SimSun"/>
          <w:sz w:val="24"/>
          <w:szCs w:val="24"/>
          <w:spacing w:val="-1"/>
        </w:rPr>
        <w:t>吉嘎河进行防渗处理</w:t>
      </w:r>
      <w:r>
        <w:rPr>
          <w:rFonts w:ascii="SimSun" w:hAnsi="SimSun" w:eastAsia="SimSun" w:cs="SimSun"/>
          <w:sz w:val="24"/>
          <w:szCs w:val="24"/>
          <w:spacing w:val="-2"/>
        </w:rPr>
        <w:t>需要征求相关主管部门同意后才能进行。</w:t>
      </w:r>
    </w:p>
    <w:p>
      <w:pPr>
        <w:ind w:left="13" w:right="186" w:firstLine="477"/>
        <w:spacing w:before="156" w:line="309" w:lineRule="auto"/>
        <w:rPr>
          <w:rFonts w:ascii="SimSun" w:hAnsi="SimSun" w:eastAsia="SimSun" w:cs="SimSun"/>
          <w:sz w:val="24"/>
          <w:szCs w:val="24"/>
        </w:rPr>
      </w:pPr>
      <w:r>
        <w:rPr>
          <w:rFonts w:ascii="SimSun" w:hAnsi="SimSun" w:eastAsia="SimSun" w:cs="SimSun"/>
          <w:sz w:val="24"/>
          <w:szCs w:val="24"/>
          <w:spacing w:val="11"/>
        </w:rPr>
        <w:t>②采取帷幕注浆的措施</w:t>
      </w:r>
      <w:r>
        <w:rPr>
          <w:rFonts w:ascii="SimSun" w:hAnsi="SimSun" w:eastAsia="SimSun" w:cs="SimSun"/>
          <w:sz w:val="24"/>
          <w:szCs w:val="24"/>
          <w:spacing w:val="-70"/>
        </w:rPr>
        <w:t xml:space="preserve"> </w:t>
      </w:r>
      <w:r>
        <w:rPr>
          <w:rFonts w:ascii="SimSun" w:hAnsi="SimSun" w:eastAsia="SimSun" w:cs="SimSun"/>
          <w:sz w:val="24"/>
          <w:szCs w:val="24"/>
          <w:spacing w:val="11"/>
        </w:rPr>
        <w:t>。采取帷幕注浆措施区域应保证渗透系数控制在</w:t>
      </w:r>
      <w:r>
        <w:rPr>
          <w:rFonts w:ascii="SimSun" w:hAnsi="SimSun" w:eastAsia="SimSun" w:cs="SimSun"/>
          <w:sz w:val="24"/>
          <w:szCs w:val="24"/>
          <w:spacing w:val="-20"/>
        </w:rPr>
        <w:t xml:space="preserve"> </w:t>
      </w: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10"/>
        </w:rPr>
        <w:t>0 </w:t>
      </w:r>
      <w:r>
        <w:rPr>
          <w:rFonts w:ascii="SimSun" w:hAnsi="SimSun" w:eastAsia="SimSun" w:cs="SimSun"/>
          <w:sz w:val="24"/>
          <w:szCs w:val="24"/>
          <w:spacing w:val="10"/>
        </w:rPr>
        <w:t>×</w:t>
      </w:r>
      <w:r>
        <w:rPr>
          <w:rFonts w:ascii="SimSun" w:hAnsi="SimSun" w:eastAsia="SimSun" w:cs="SimSun"/>
          <w:sz w:val="24"/>
          <w:szCs w:val="24"/>
        </w:rPr>
        <w:t xml:space="preserve"> </w:t>
      </w:r>
      <w:r>
        <w:rPr>
          <w:rFonts w:ascii="Times New Roman" w:hAnsi="Times New Roman" w:eastAsia="Times New Roman" w:cs="Times New Roman"/>
          <w:sz w:val="24"/>
          <w:szCs w:val="24"/>
        </w:rPr>
        <w:t>10</w:t>
      </w:r>
      <w:r>
        <w:rPr>
          <w:rFonts w:ascii="Times New Roman" w:hAnsi="Times New Roman" w:eastAsia="Times New Roman" w:cs="Times New Roman"/>
          <w:sz w:val="15"/>
          <w:szCs w:val="15"/>
          <w:position w:val="8"/>
        </w:rPr>
        <w:t>-6</w:t>
      </w:r>
      <w:r>
        <w:rPr>
          <w:rFonts w:ascii="Times New Roman" w:hAnsi="Times New Roman" w:eastAsia="Times New Roman" w:cs="Times New Roman"/>
          <w:sz w:val="24"/>
          <w:szCs w:val="24"/>
        </w:rPr>
        <w:t>cm/s</w:t>
      </w:r>
      <w:r>
        <w:rPr>
          <w:rFonts w:ascii="Times New Roman" w:hAnsi="Times New Roman" w:eastAsia="Times New Roman" w:cs="Times New Roman"/>
          <w:sz w:val="24"/>
          <w:szCs w:val="24"/>
          <w:spacing w:val="37"/>
          <w:w w:val="101"/>
        </w:rPr>
        <w:t xml:space="preserve"> </w:t>
      </w:r>
      <w:r>
        <w:rPr>
          <w:rFonts w:ascii="SimSun" w:hAnsi="SimSun" w:eastAsia="SimSun" w:cs="SimSun"/>
          <w:sz w:val="24"/>
          <w:szCs w:val="24"/>
        </w:rPr>
        <w:t>以内，露天采坑内的涌水量大幅</w:t>
      </w:r>
      <w:r>
        <w:rPr>
          <w:rFonts w:ascii="SimSun" w:hAnsi="SimSun" w:eastAsia="SimSun" w:cs="SimSun"/>
          <w:sz w:val="24"/>
          <w:szCs w:val="24"/>
          <w:spacing w:val="-1"/>
        </w:rPr>
        <w:t>度减少，同时定期监测彦吉嘎河流量，确保河</w:t>
      </w:r>
      <w:r>
        <w:rPr>
          <w:rFonts w:ascii="SimSun" w:hAnsi="SimSun" w:eastAsia="SimSun" w:cs="SimSun"/>
          <w:sz w:val="24"/>
          <w:szCs w:val="24"/>
          <w:spacing w:val="-2"/>
        </w:rPr>
        <w:t>流流量不降低。应由具有相应资质的单位编制帷幕注浆措施设计报告，具体工程情况以</w:t>
      </w:r>
      <w:r>
        <w:rPr>
          <w:rFonts w:ascii="SimSun" w:hAnsi="SimSun" w:eastAsia="SimSun" w:cs="SimSun"/>
          <w:sz w:val="24"/>
          <w:szCs w:val="24"/>
          <w:spacing w:val="-1"/>
        </w:rPr>
        <w:t>经评审后的设计文件为准。</w:t>
      </w:r>
    </w:p>
    <w:p>
      <w:pPr>
        <w:ind w:left="12"/>
        <w:spacing w:before="24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7.3.4  </w:t>
      </w:r>
      <w:r>
        <w:rPr>
          <w:rFonts w:ascii="SimHei" w:hAnsi="SimHei" w:eastAsia="SimHei" w:cs="SimHei"/>
          <w:sz w:val="28"/>
          <w:szCs w:val="28"/>
          <w:b/>
          <w:bCs/>
          <w:spacing w:val="-2"/>
        </w:rPr>
        <w:t>运营期地下水环境污染防治措施</w:t>
      </w:r>
    </w:p>
    <w:p>
      <w:pPr>
        <w:spacing w:line="222" w:lineRule="auto"/>
        <w:sectPr>
          <w:headerReference w:type="default" r:id="rId520"/>
          <w:footerReference w:type="default" r:id="rId521"/>
          <w:pgSz w:w="11906" w:h="16838"/>
          <w:pgMar w:top="1174" w:right="1231" w:bottom="1080" w:left="1413" w:header="833" w:footer="918" w:gutter="0"/>
        </w:sectPr>
        <w:rPr>
          <w:rFonts w:ascii="SimHei" w:hAnsi="SimHei" w:eastAsia="SimHei" w:cs="SimHei"/>
          <w:sz w:val="28"/>
          <w:szCs w:val="28"/>
        </w:rPr>
      </w:pPr>
    </w:p>
    <w:p>
      <w:pPr>
        <w:pStyle w:val="BodyText"/>
        <w:spacing w:line="308" w:lineRule="auto"/>
        <w:rPr/>
      </w:pPr>
      <w:r/>
    </w:p>
    <w:p>
      <w:pPr>
        <w:ind w:left="119" w:right="110" w:firstLine="486"/>
        <w:spacing w:before="78"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）应严格落实矿坑水综合利用方案，保证矿坑水处理站稳定运行，出口满足相</w:t>
      </w:r>
      <w:r>
        <w:rPr>
          <w:rFonts w:ascii="SimSun" w:hAnsi="SimSun" w:eastAsia="SimSun" w:cs="SimSun"/>
          <w:sz w:val="24"/>
          <w:szCs w:val="24"/>
          <w:spacing w:val="-2"/>
        </w:rPr>
        <w:t>应水质标准。处理后达标后全部回用于矿内生产用水、采场洒水和道路洒水等，剩余部</w:t>
      </w:r>
      <w:r>
        <w:rPr>
          <w:rFonts w:ascii="SimSun" w:hAnsi="SimSun" w:eastAsia="SimSun" w:cs="SimSun"/>
          <w:sz w:val="24"/>
          <w:szCs w:val="24"/>
          <w:spacing w:val="-1"/>
        </w:rPr>
        <w:t>分矿坑水排至金山电厂作为补充水使用，保证无外排废水。</w:t>
      </w:r>
    </w:p>
    <w:p>
      <w:pPr>
        <w:ind w:left="121" w:right="110" w:firstLine="484"/>
        <w:spacing w:before="152"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）应加强取水和排水管理，按水行政主管部门批准的允许取用水和排水意见取</w:t>
      </w:r>
      <w:r>
        <w:rPr>
          <w:rFonts w:ascii="SimSun" w:hAnsi="SimSun" w:eastAsia="SimSun" w:cs="SimSun"/>
          <w:sz w:val="24"/>
          <w:szCs w:val="24"/>
          <w:spacing w:val="-2"/>
        </w:rPr>
        <w:t>用排水，并制定相应的监督管理制度；生产期间加强矿区范围的地下水水位观测，为水</w:t>
      </w:r>
      <w:r>
        <w:rPr>
          <w:rFonts w:ascii="SimSun" w:hAnsi="SimSun" w:eastAsia="SimSun" w:cs="SimSun"/>
          <w:sz w:val="24"/>
          <w:szCs w:val="24"/>
          <w:spacing w:val="-1"/>
        </w:rPr>
        <w:t>资源动态管理提供基础资料。</w:t>
      </w:r>
    </w:p>
    <w:p>
      <w:pPr>
        <w:ind w:left="139" w:right="124" w:firstLine="466"/>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）定期对观测井进行水质、水位观测，以了解项目开采过程对周围水质及水位</w:t>
      </w:r>
      <w:r>
        <w:rPr>
          <w:rFonts w:ascii="SimSun" w:hAnsi="SimSun" w:eastAsia="SimSun" w:cs="SimSun"/>
          <w:sz w:val="24"/>
          <w:szCs w:val="24"/>
          <w:spacing w:val="-4"/>
        </w:rPr>
        <w:t>的变化产生的影响；</w:t>
      </w:r>
    </w:p>
    <w:p>
      <w:pPr>
        <w:ind w:left="606"/>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）定期对加油站储油罐区进行检查，避免油罐泄漏污染地下水环境。</w:t>
      </w:r>
    </w:p>
    <w:p>
      <w:pPr>
        <w:ind w:left="606"/>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）加强对河流流量的监测，确保不受露天开采的影响。</w:t>
      </w:r>
    </w:p>
    <w:p>
      <w:pPr>
        <w:ind w:left="606"/>
        <w:spacing w:before="158"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6</w:t>
      </w:r>
      <w:r>
        <w:rPr>
          <w:rFonts w:ascii="SimSun" w:hAnsi="SimSun" w:eastAsia="SimSun" w:cs="SimSun"/>
          <w:sz w:val="24"/>
          <w:szCs w:val="24"/>
          <w:spacing w:val="-2"/>
        </w:rPr>
        <w:t>）地下水跟踪监测计划</w:t>
      </w:r>
    </w:p>
    <w:p>
      <w:pPr>
        <w:ind w:left="138" w:right="110" w:firstLine="467"/>
        <w:spacing w:before="153" w:line="339" w:lineRule="auto"/>
        <w:rPr>
          <w:rFonts w:ascii="SimSun" w:hAnsi="SimSun" w:eastAsia="SimSun" w:cs="SimSun"/>
          <w:sz w:val="24"/>
          <w:szCs w:val="24"/>
        </w:rPr>
      </w:pPr>
      <w:r>
        <w:rPr>
          <w:rFonts w:ascii="SimSun" w:hAnsi="SimSun" w:eastAsia="SimSun" w:cs="SimSun"/>
          <w:sz w:val="24"/>
          <w:szCs w:val="24"/>
          <w:spacing w:val="-2"/>
        </w:rPr>
        <w:t>结合研究区含水层系统和地下水径流系统特征，考虑潜在污染源、环境保护目标等</w:t>
      </w:r>
      <w:r>
        <w:rPr>
          <w:rFonts w:ascii="SimSun" w:hAnsi="SimSun" w:eastAsia="SimSun" w:cs="SimSun"/>
          <w:sz w:val="24"/>
          <w:szCs w:val="24"/>
          <w:spacing w:val="-1"/>
        </w:rPr>
        <w:t>因素，本次对白音华四号露天矿（露天区）场地地下水污染监测要求如下：</w:t>
      </w:r>
    </w:p>
    <w:p>
      <w:pPr>
        <w:ind w:left="114" w:right="25" w:firstLine="484"/>
        <w:spacing w:before="5" w:line="337" w:lineRule="auto"/>
        <w:rPr>
          <w:rFonts w:ascii="SimSun" w:hAnsi="SimSun" w:eastAsia="SimSun" w:cs="SimSun"/>
          <w:sz w:val="24"/>
          <w:szCs w:val="24"/>
        </w:rPr>
      </w:pPr>
      <w:r>
        <w:rPr>
          <w:rFonts w:ascii="SimSun" w:hAnsi="SimSun" w:eastAsia="SimSun" w:cs="SimSun"/>
          <w:sz w:val="24"/>
          <w:szCs w:val="24"/>
          <w:spacing w:val="5"/>
        </w:rPr>
        <w:t>在露天区工业场地下游、外排土场、采掘场下游设置</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4 </w:t>
      </w:r>
      <w:r>
        <w:rPr>
          <w:rFonts w:ascii="SimSun" w:hAnsi="SimSun" w:eastAsia="SimSun" w:cs="SimSun"/>
          <w:sz w:val="24"/>
          <w:szCs w:val="24"/>
          <w:spacing w:val="5"/>
        </w:rPr>
        <w:t>个水质监</w:t>
      </w:r>
      <w:r>
        <w:rPr>
          <w:rFonts w:ascii="SimSun" w:hAnsi="SimSun" w:eastAsia="SimSun" w:cs="SimSun"/>
          <w:sz w:val="24"/>
          <w:szCs w:val="24"/>
          <w:spacing w:val="4"/>
        </w:rPr>
        <w:t>测点，水质监测</w:t>
      </w:r>
      <w:r>
        <w:rPr>
          <w:rFonts w:ascii="Times New Roman" w:hAnsi="Times New Roman" w:eastAsia="Times New Roman" w:cs="Times New Roman"/>
          <w:sz w:val="24"/>
          <w:szCs w:val="24"/>
        </w:rPr>
        <w:t>K</w:t>
      </w:r>
      <w:r>
        <w:rPr>
          <w:rFonts w:ascii="Times New Roman" w:hAnsi="Times New Roman" w:eastAsia="Times New Roman" w:cs="Times New Roman"/>
          <w:sz w:val="15"/>
          <w:szCs w:val="15"/>
          <w:position w:val="7"/>
        </w:rPr>
        <w:t>+</w:t>
      </w:r>
      <w:r>
        <w:rPr>
          <w:rFonts w:ascii="SimSun" w:hAnsi="SimSun" w:eastAsia="SimSun" w:cs="SimSun"/>
          <w:sz w:val="24"/>
          <w:szCs w:val="24"/>
          <w:spacing w:val="-8"/>
        </w:rPr>
        <w:t>、</w:t>
      </w:r>
      <w:r>
        <w:rPr>
          <w:rFonts w:ascii="Times New Roman" w:hAnsi="Times New Roman" w:eastAsia="Times New Roman" w:cs="Times New Roman"/>
          <w:sz w:val="24"/>
          <w:szCs w:val="24"/>
          <w:spacing w:val="-8"/>
        </w:rPr>
        <w:t>Na</w:t>
      </w:r>
      <w:r>
        <w:rPr>
          <w:rFonts w:ascii="Times New Roman" w:hAnsi="Times New Roman" w:eastAsia="Times New Roman" w:cs="Times New Roman"/>
          <w:sz w:val="15"/>
          <w:szCs w:val="15"/>
          <w:spacing w:val="-8"/>
          <w:position w:val="7"/>
        </w:rPr>
        <w:t>+</w:t>
      </w:r>
      <w:r>
        <w:rPr>
          <w:rFonts w:ascii="SimSun" w:hAnsi="SimSun" w:eastAsia="SimSun" w:cs="SimSun"/>
          <w:sz w:val="24"/>
          <w:szCs w:val="24"/>
          <w:spacing w:val="-5"/>
        </w:rPr>
        <w:t>、</w:t>
      </w:r>
      <w:r>
        <w:rPr>
          <w:rFonts w:ascii="Times New Roman" w:hAnsi="Times New Roman" w:eastAsia="Times New Roman" w:cs="Times New Roman"/>
          <w:sz w:val="24"/>
          <w:szCs w:val="24"/>
          <w:spacing w:val="-5"/>
        </w:rPr>
        <w:t>Ca</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w:t>
      </w:r>
      <w:r>
        <w:rPr>
          <w:rFonts w:ascii="Times New Roman" w:hAnsi="Times New Roman" w:eastAsia="Times New Roman" w:cs="Times New Roman"/>
          <w:sz w:val="24"/>
          <w:szCs w:val="24"/>
          <w:spacing w:val="-5"/>
        </w:rPr>
        <w:t>Mg</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w:t>
      </w:r>
      <w:r>
        <w:rPr>
          <w:rFonts w:ascii="Times New Roman" w:hAnsi="Times New Roman" w:eastAsia="Times New Roman" w:cs="Times New Roman"/>
          <w:sz w:val="24"/>
          <w:szCs w:val="24"/>
          <w:spacing w:val="-5"/>
        </w:rPr>
        <w:t>CO</w:t>
      </w:r>
      <w:r>
        <w:rPr>
          <w:rFonts w:ascii="Times New Roman" w:hAnsi="Times New Roman" w:eastAsia="Times New Roman" w:cs="Times New Roman"/>
          <w:sz w:val="15"/>
          <w:szCs w:val="15"/>
          <w:spacing w:val="-5"/>
          <w:position w:val="-2"/>
        </w:rPr>
        <w:t>3</w:t>
      </w:r>
      <w:r>
        <w:rPr>
          <w:rFonts w:ascii="Times New Roman" w:hAnsi="Times New Roman" w:eastAsia="Times New Roman" w:cs="Times New Roman"/>
          <w:sz w:val="15"/>
          <w:szCs w:val="15"/>
          <w:spacing w:val="-5"/>
          <w:position w:val="7"/>
        </w:rPr>
        <w:t>2-</w:t>
      </w:r>
      <w:r>
        <w:rPr>
          <w:rFonts w:ascii="SimSun" w:hAnsi="SimSun" w:eastAsia="SimSun" w:cs="SimSun"/>
          <w:sz w:val="24"/>
          <w:szCs w:val="24"/>
          <w:spacing w:val="-5"/>
        </w:rPr>
        <w:t>、</w:t>
      </w:r>
      <w:r>
        <w:rPr>
          <w:rFonts w:ascii="Times New Roman" w:hAnsi="Times New Roman" w:eastAsia="Times New Roman" w:cs="Times New Roman"/>
          <w:sz w:val="24"/>
          <w:szCs w:val="24"/>
          <w:spacing w:val="-5"/>
        </w:rPr>
        <w:t>HCO</w:t>
      </w:r>
      <w:r>
        <w:rPr>
          <w:rFonts w:ascii="Times New Roman" w:hAnsi="Times New Roman" w:eastAsia="Times New Roman" w:cs="Times New Roman"/>
          <w:sz w:val="15"/>
          <w:szCs w:val="15"/>
          <w:spacing w:val="-5"/>
          <w:position w:val="-2"/>
        </w:rPr>
        <w:t>3</w:t>
      </w:r>
      <w:r>
        <w:rPr>
          <w:rFonts w:ascii="Times New Roman" w:hAnsi="Times New Roman" w:eastAsia="Times New Roman" w:cs="Times New Roman"/>
          <w:sz w:val="15"/>
          <w:szCs w:val="15"/>
          <w:spacing w:val="-5"/>
          <w:position w:val="7"/>
        </w:rPr>
        <w:t>-</w:t>
      </w:r>
      <w:r>
        <w:rPr>
          <w:rFonts w:ascii="SimSun" w:hAnsi="SimSun" w:eastAsia="SimSun" w:cs="SimSun"/>
          <w:sz w:val="24"/>
          <w:szCs w:val="24"/>
          <w:spacing w:val="-5"/>
        </w:rPr>
        <w:t>、</w:t>
      </w:r>
      <w:r>
        <w:rPr>
          <w:rFonts w:ascii="Times New Roman" w:hAnsi="Times New Roman" w:eastAsia="Times New Roman" w:cs="Times New Roman"/>
          <w:sz w:val="24"/>
          <w:szCs w:val="24"/>
          <w:spacing w:val="-5"/>
        </w:rPr>
        <w:t>Cl</w:t>
      </w:r>
      <w:r>
        <w:rPr>
          <w:rFonts w:ascii="Times New Roman" w:hAnsi="Times New Roman" w:eastAsia="Times New Roman" w:cs="Times New Roman"/>
          <w:sz w:val="15"/>
          <w:szCs w:val="15"/>
          <w:spacing w:val="-5"/>
          <w:position w:val="7"/>
        </w:rPr>
        <w:t>-</w:t>
      </w:r>
      <w:r>
        <w:rPr>
          <w:rFonts w:ascii="SimSun" w:hAnsi="SimSun" w:eastAsia="SimSun" w:cs="SimSun"/>
          <w:sz w:val="24"/>
          <w:szCs w:val="24"/>
          <w:spacing w:val="-5"/>
        </w:rPr>
        <w:t>、</w:t>
      </w:r>
      <w:r>
        <w:rPr>
          <w:rFonts w:ascii="Times New Roman" w:hAnsi="Times New Roman" w:eastAsia="Times New Roman" w:cs="Times New Roman"/>
          <w:sz w:val="24"/>
          <w:szCs w:val="24"/>
          <w:spacing w:val="-5"/>
        </w:rPr>
        <w:t>SO</w:t>
      </w:r>
      <w:r>
        <w:rPr>
          <w:rFonts w:ascii="Times New Roman" w:hAnsi="Times New Roman" w:eastAsia="Times New Roman" w:cs="Times New Roman"/>
          <w:sz w:val="15"/>
          <w:szCs w:val="15"/>
          <w:spacing w:val="-5"/>
          <w:position w:val="-2"/>
        </w:rPr>
        <w:t>4</w:t>
      </w:r>
      <w:r>
        <w:rPr>
          <w:rFonts w:ascii="Times New Roman" w:hAnsi="Times New Roman" w:eastAsia="Times New Roman" w:cs="Times New Roman"/>
          <w:sz w:val="15"/>
          <w:szCs w:val="15"/>
          <w:spacing w:val="-5"/>
        </w:rPr>
        <w:t>2-</w:t>
      </w:r>
      <w:r>
        <w:rPr>
          <w:rFonts w:ascii="SimSun" w:hAnsi="SimSun" w:eastAsia="SimSun" w:cs="SimSun"/>
          <w:sz w:val="24"/>
          <w:szCs w:val="24"/>
          <w:spacing w:val="-5"/>
        </w:rPr>
        <w:t>的浓</w:t>
      </w:r>
      <w:r>
        <w:rPr>
          <w:rFonts w:ascii="SimSun" w:hAnsi="SimSun" w:eastAsia="SimSun" w:cs="SimSun"/>
          <w:sz w:val="24"/>
          <w:szCs w:val="24"/>
          <w:spacing w:val="-6"/>
        </w:rPr>
        <w:t>度、</w:t>
      </w:r>
      <w:r>
        <w:rPr>
          <w:rFonts w:ascii="Times New Roman" w:hAnsi="Times New Roman" w:eastAsia="Times New Roman" w:cs="Times New Roman"/>
          <w:sz w:val="24"/>
          <w:szCs w:val="24"/>
          <w:spacing w:val="-6"/>
        </w:rPr>
        <w:t>PH</w:t>
      </w:r>
      <w:r>
        <w:rPr>
          <w:rFonts w:ascii="SimSun" w:hAnsi="SimSun" w:eastAsia="SimSun" w:cs="SimSun"/>
          <w:sz w:val="24"/>
          <w:szCs w:val="24"/>
          <w:spacing w:val="-6"/>
        </w:rPr>
        <w:t>、氨氮、硝酸盐（以</w:t>
      </w:r>
      <w:r>
        <w:rPr>
          <w:rFonts w:ascii="SimSun" w:hAnsi="SimSun" w:eastAsia="SimSun" w:cs="SimSun"/>
          <w:sz w:val="24"/>
          <w:szCs w:val="24"/>
          <w:spacing w:val="-63"/>
        </w:rPr>
        <w:t xml:space="preserve"> </w:t>
      </w:r>
      <w:r>
        <w:rPr>
          <w:rFonts w:ascii="Times New Roman" w:hAnsi="Times New Roman" w:eastAsia="Times New Roman" w:cs="Times New Roman"/>
          <w:sz w:val="24"/>
          <w:szCs w:val="24"/>
          <w:spacing w:val="-6"/>
        </w:rPr>
        <w:t>N </w:t>
      </w:r>
      <w:r>
        <w:rPr>
          <w:rFonts w:ascii="SimSun" w:hAnsi="SimSun" w:eastAsia="SimSun" w:cs="SimSun"/>
          <w:sz w:val="24"/>
          <w:szCs w:val="24"/>
          <w:spacing w:val="-45"/>
          <w:w w:val="96"/>
        </w:rPr>
        <w:t>计）、</w:t>
      </w:r>
      <w:r>
        <w:rPr>
          <w:rFonts w:ascii="SimSun" w:hAnsi="SimSun" w:eastAsia="SimSun" w:cs="SimSun"/>
          <w:sz w:val="24"/>
          <w:szCs w:val="24"/>
          <w:spacing w:val="-3"/>
        </w:rPr>
        <w:t>亚硝酸盐（以</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N </w:t>
      </w:r>
      <w:r>
        <w:rPr>
          <w:rFonts w:ascii="SimSun" w:hAnsi="SimSun" w:eastAsia="SimSun" w:cs="SimSun"/>
          <w:sz w:val="24"/>
          <w:szCs w:val="24"/>
          <w:spacing w:val="-3"/>
        </w:rPr>
        <w:t>计）、挥发性酚类（以苯酚计）、氰化物、砷、汞、铬（六价）、总硬</w:t>
      </w:r>
      <w:r>
        <w:rPr>
          <w:rFonts w:ascii="SimSun" w:hAnsi="SimSun" w:eastAsia="SimSun" w:cs="SimSun"/>
          <w:sz w:val="24"/>
          <w:szCs w:val="24"/>
          <w:spacing w:val="-1"/>
        </w:rPr>
        <w:t>度、铅、氟、镉、铁、锰、溶解性总固体、高锰酸</w:t>
      </w:r>
      <w:r>
        <w:rPr>
          <w:rFonts w:ascii="SimSun" w:hAnsi="SimSun" w:eastAsia="SimSun" w:cs="SimSun"/>
          <w:sz w:val="24"/>
          <w:szCs w:val="24"/>
          <w:spacing w:val="-2"/>
        </w:rPr>
        <w:t>盐指数、硫酸盐、氯化物、总大肠菌</w:t>
      </w:r>
      <w:r>
        <w:rPr>
          <w:rFonts w:ascii="SimSun" w:hAnsi="SimSun" w:eastAsia="SimSun" w:cs="SimSun"/>
          <w:sz w:val="24"/>
          <w:szCs w:val="24"/>
          <w:spacing w:val="-1"/>
        </w:rPr>
        <w:t>群、细菌总数共计</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29 </w:t>
      </w:r>
      <w:r>
        <w:rPr>
          <w:rFonts w:ascii="SimSun" w:hAnsi="SimSun" w:eastAsia="SimSun" w:cs="SimSun"/>
          <w:sz w:val="24"/>
          <w:szCs w:val="24"/>
          <w:spacing w:val="-1"/>
        </w:rPr>
        <w:t>项，采样时记录井深、水位、水温。</w:t>
      </w:r>
    </w:p>
    <w:p>
      <w:pPr>
        <w:ind w:left="600"/>
        <w:spacing w:before="3" w:line="219" w:lineRule="auto"/>
        <w:rPr>
          <w:rFonts w:ascii="SimSun" w:hAnsi="SimSun" w:eastAsia="SimSun" w:cs="SimSun"/>
          <w:sz w:val="24"/>
          <w:szCs w:val="24"/>
        </w:rPr>
      </w:pPr>
      <w:r>
        <w:rPr>
          <w:rFonts w:ascii="SimSun" w:hAnsi="SimSun" w:eastAsia="SimSun" w:cs="SimSun"/>
          <w:sz w:val="24"/>
          <w:szCs w:val="24"/>
          <w:spacing w:val="-1"/>
        </w:rPr>
        <w:t>监测频率建议每季度监测一次。</w:t>
      </w:r>
    </w:p>
    <w:p>
      <w:pPr>
        <w:ind w:left="2969"/>
        <w:spacing w:before="283" w:line="222" w:lineRule="auto"/>
        <w:rPr>
          <w:rFonts w:ascii="SimHei" w:hAnsi="SimHei" w:eastAsia="SimHei" w:cs="SimHei"/>
          <w:sz w:val="24"/>
          <w:szCs w:val="24"/>
        </w:rPr>
      </w:pPr>
      <w:r>
        <w:rPr>
          <w:rFonts w:ascii="SimHei" w:hAnsi="SimHei" w:eastAsia="SimHei" w:cs="SimHei"/>
          <w:sz w:val="24"/>
          <w:szCs w:val="24"/>
          <w:b/>
          <w:bCs/>
          <w:spacing w:val="-3"/>
        </w:rPr>
        <w:t>地下水水质跟踪监测计划一览表</w:t>
      </w:r>
    </w:p>
    <w:p>
      <w:pPr>
        <w:ind w:left="117"/>
        <w:spacing w:before="210" w:line="229"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7-3-1</w:t>
      </w:r>
    </w:p>
    <w:p>
      <w:pPr>
        <w:spacing w:line="22" w:lineRule="exact"/>
        <w:rPr/>
      </w:pPr>
      <w:r/>
    </w:p>
    <w:tbl>
      <w:tblPr>
        <w:tblStyle w:val="TableNormal"/>
        <w:tblW w:w="928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15"/>
        <w:gridCol w:w="1228"/>
        <w:gridCol w:w="2811"/>
        <w:gridCol w:w="1255"/>
        <w:gridCol w:w="837"/>
        <w:gridCol w:w="1741"/>
      </w:tblGrid>
      <w:tr>
        <w:trPr>
          <w:trHeight w:val="661" w:hRule="atLeast"/>
        </w:trPr>
        <w:tc>
          <w:tcPr>
            <w:tcW w:w="1415" w:type="dxa"/>
            <w:vAlign w:val="top"/>
          </w:tcPr>
          <w:p>
            <w:pPr>
              <w:ind w:left="502"/>
              <w:spacing w:before="223" w:line="228" w:lineRule="auto"/>
              <w:rPr>
                <w:rFonts w:ascii="SimSun" w:hAnsi="SimSun" w:eastAsia="SimSun" w:cs="SimSun"/>
                <w:sz w:val="20"/>
                <w:szCs w:val="20"/>
              </w:rPr>
            </w:pPr>
            <w:r>
              <w:rPr>
                <w:rFonts w:ascii="SimSun" w:hAnsi="SimSun" w:eastAsia="SimSun" w:cs="SimSun"/>
                <w:sz w:val="20"/>
                <w:szCs w:val="20"/>
                <w:spacing w:val="4"/>
              </w:rPr>
              <w:t>类型</w:t>
            </w:r>
          </w:p>
        </w:tc>
        <w:tc>
          <w:tcPr>
            <w:tcW w:w="1228" w:type="dxa"/>
            <w:vAlign w:val="top"/>
          </w:tcPr>
          <w:p>
            <w:pPr>
              <w:ind w:left="418"/>
              <w:spacing w:before="223" w:line="229" w:lineRule="auto"/>
              <w:rPr>
                <w:rFonts w:ascii="SimSun" w:hAnsi="SimSun" w:eastAsia="SimSun" w:cs="SimSun"/>
                <w:sz w:val="20"/>
                <w:szCs w:val="20"/>
              </w:rPr>
            </w:pPr>
            <w:r>
              <w:rPr>
                <w:rFonts w:ascii="SimSun" w:hAnsi="SimSun" w:eastAsia="SimSun" w:cs="SimSun"/>
                <w:sz w:val="20"/>
                <w:szCs w:val="20"/>
                <w:spacing w:val="-1"/>
              </w:rPr>
              <w:t>点号</w:t>
            </w:r>
          </w:p>
        </w:tc>
        <w:tc>
          <w:tcPr>
            <w:tcW w:w="2811" w:type="dxa"/>
            <w:vAlign w:val="top"/>
          </w:tcPr>
          <w:p>
            <w:pPr>
              <w:ind w:left="1200"/>
              <w:spacing w:before="223" w:line="229" w:lineRule="auto"/>
              <w:rPr>
                <w:rFonts w:ascii="SimSun" w:hAnsi="SimSun" w:eastAsia="SimSun" w:cs="SimSun"/>
                <w:sz w:val="20"/>
                <w:szCs w:val="20"/>
              </w:rPr>
            </w:pPr>
            <w:r>
              <w:rPr>
                <w:rFonts w:ascii="SimSun" w:hAnsi="SimSun" w:eastAsia="SimSun" w:cs="SimSun"/>
                <w:sz w:val="20"/>
                <w:szCs w:val="20"/>
                <w:spacing w:val="4"/>
              </w:rPr>
              <w:t>位置</w:t>
            </w:r>
          </w:p>
        </w:tc>
        <w:tc>
          <w:tcPr>
            <w:tcW w:w="1255" w:type="dxa"/>
            <w:vAlign w:val="top"/>
          </w:tcPr>
          <w:p>
            <w:pPr>
              <w:ind w:left="213"/>
              <w:spacing w:before="223" w:line="228" w:lineRule="auto"/>
              <w:rPr>
                <w:rFonts w:ascii="SimSun" w:hAnsi="SimSun" w:eastAsia="SimSun" w:cs="SimSun"/>
                <w:sz w:val="20"/>
                <w:szCs w:val="20"/>
              </w:rPr>
            </w:pPr>
            <w:r>
              <w:rPr>
                <w:rFonts w:ascii="SimSun" w:hAnsi="SimSun" w:eastAsia="SimSun" w:cs="SimSun"/>
                <w:sz w:val="20"/>
                <w:szCs w:val="20"/>
                <w:spacing w:val="7"/>
              </w:rPr>
              <w:t>监测内容</w:t>
            </w:r>
          </w:p>
        </w:tc>
        <w:tc>
          <w:tcPr>
            <w:tcW w:w="837" w:type="dxa"/>
            <w:vAlign w:val="top"/>
          </w:tcPr>
          <w:p>
            <w:pPr>
              <w:ind w:left="215"/>
              <w:spacing w:before="59" w:line="228" w:lineRule="auto"/>
              <w:rPr>
                <w:rFonts w:ascii="SimSun" w:hAnsi="SimSun" w:eastAsia="SimSun" w:cs="SimSun"/>
                <w:sz w:val="20"/>
                <w:szCs w:val="20"/>
              </w:rPr>
            </w:pPr>
            <w:r>
              <w:rPr>
                <w:rFonts w:ascii="SimSun" w:hAnsi="SimSun" w:eastAsia="SimSun" w:cs="SimSun"/>
                <w:sz w:val="20"/>
                <w:szCs w:val="20"/>
                <w:spacing w:val="4"/>
              </w:rPr>
              <w:t>含水</w:t>
            </w:r>
          </w:p>
          <w:p>
            <w:pPr>
              <w:ind w:left="215"/>
              <w:spacing w:before="79" w:line="228" w:lineRule="auto"/>
              <w:rPr>
                <w:rFonts w:ascii="SimSun" w:hAnsi="SimSun" w:eastAsia="SimSun" w:cs="SimSun"/>
                <w:sz w:val="20"/>
                <w:szCs w:val="20"/>
              </w:rPr>
            </w:pPr>
            <w:r>
              <w:rPr>
                <w:rFonts w:ascii="SimSun" w:hAnsi="SimSun" w:eastAsia="SimSun" w:cs="SimSun"/>
                <w:sz w:val="20"/>
                <w:szCs w:val="20"/>
                <w:spacing w:val="4"/>
              </w:rPr>
              <w:t>层位</w:t>
            </w:r>
          </w:p>
        </w:tc>
        <w:tc>
          <w:tcPr>
            <w:tcW w:w="1741" w:type="dxa"/>
            <w:vAlign w:val="top"/>
          </w:tcPr>
          <w:p>
            <w:pPr>
              <w:ind w:left="670"/>
              <w:spacing w:before="223"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344" w:hRule="atLeast"/>
        </w:trPr>
        <w:tc>
          <w:tcPr>
            <w:tcW w:w="1415" w:type="dxa"/>
            <w:vAlign w:val="top"/>
            <w:vMerge w:val="restart"/>
            <w:tcBorders>
              <w:bottom w:val="nil"/>
            </w:tcBorders>
          </w:tcPr>
          <w:p>
            <w:pPr>
              <w:spacing w:line="359" w:lineRule="auto"/>
              <w:rPr>
                <w:rFonts w:ascii="Arial"/>
                <w:sz w:val="21"/>
              </w:rPr>
            </w:pPr>
            <w:r/>
          </w:p>
          <w:p>
            <w:pPr>
              <w:ind w:left="294" w:right="183" w:hanging="106"/>
              <w:spacing w:before="65" w:line="303" w:lineRule="auto"/>
              <w:rPr>
                <w:rFonts w:ascii="SimSun" w:hAnsi="SimSun" w:eastAsia="SimSun" w:cs="SimSun"/>
                <w:sz w:val="20"/>
                <w:szCs w:val="20"/>
              </w:rPr>
            </w:pPr>
            <w:r>
              <w:rPr>
                <w:rFonts w:ascii="SimSun" w:hAnsi="SimSun" w:eastAsia="SimSun" w:cs="SimSun"/>
                <w:sz w:val="20"/>
                <w:szCs w:val="20"/>
                <w:spacing w:val="7"/>
              </w:rPr>
              <w:t>水位水质跟</w:t>
            </w:r>
            <w:r>
              <w:rPr>
                <w:rFonts w:ascii="SimSun" w:hAnsi="SimSun" w:eastAsia="SimSun" w:cs="SimSun"/>
                <w:sz w:val="20"/>
                <w:szCs w:val="20"/>
                <w:spacing w:val="7"/>
              </w:rPr>
              <w:t>踪监测点</w:t>
            </w:r>
          </w:p>
        </w:tc>
        <w:tc>
          <w:tcPr>
            <w:tcW w:w="1228" w:type="dxa"/>
            <w:vAlign w:val="top"/>
          </w:tcPr>
          <w:p>
            <w:pPr>
              <w:pStyle w:val="TableText"/>
              <w:ind w:left="461"/>
              <w:spacing w:before="99" w:line="195" w:lineRule="auto"/>
              <w:rPr/>
            </w:pPr>
            <w:r>
              <w:rPr>
                <w:spacing w:val="4"/>
              </w:rPr>
              <w:t>W1</w:t>
            </w:r>
          </w:p>
        </w:tc>
        <w:tc>
          <w:tcPr>
            <w:tcW w:w="2811" w:type="dxa"/>
            <w:vAlign w:val="top"/>
          </w:tcPr>
          <w:p>
            <w:pPr>
              <w:ind w:left="153"/>
              <w:spacing w:before="63" w:line="228" w:lineRule="auto"/>
              <w:rPr>
                <w:rFonts w:ascii="SimSun" w:hAnsi="SimSun" w:eastAsia="SimSun" w:cs="SimSun"/>
                <w:sz w:val="20"/>
                <w:szCs w:val="20"/>
              </w:rPr>
            </w:pPr>
            <w:r>
              <w:rPr>
                <w:rFonts w:ascii="SimSun" w:hAnsi="SimSun" w:eastAsia="SimSun" w:cs="SimSun"/>
                <w:sz w:val="20"/>
                <w:szCs w:val="20"/>
                <w:spacing w:val="8"/>
              </w:rPr>
              <w:t>工业场地加油站油品库下游</w:t>
            </w:r>
          </w:p>
        </w:tc>
        <w:tc>
          <w:tcPr>
            <w:tcW w:w="1255" w:type="dxa"/>
            <w:vAlign w:val="top"/>
            <w:vMerge w:val="restart"/>
            <w:tcBorders>
              <w:bottom w:val="nil"/>
            </w:tcBorders>
          </w:tcPr>
          <w:p>
            <w:pPr>
              <w:spacing w:line="260" w:lineRule="auto"/>
              <w:rPr>
                <w:rFonts w:ascii="Arial"/>
                <w:sz w:val="21"/>
              </w:rPr>
            </w:pPr>
            <w:r/>
          </w:p>
          <w:p>
            <w:pPr>
              <w:spacing w:line="260" w:lineRule="auto"/>
              <w:rPr>
                <w:rFonts w:ascii="Arial"/>
                <w:sz w:val="21"/>
              </w:rPr>
            </w:pPr>
            <w:r/>
          </w:p>
          <w:p>
            <w:pPr>
              <w:ind w:left="426"/>
              <w:spacing w:before="65" w:line="228" w:lineRule="auto"/>
              <w:rPr>
                <w:rFonts w:ascii="SimSun" w:hAnsi="SimSun" w:eastAsia="SimSun" w:cs="SimSun"/>
                <w:sz w:val="20"/>
                <w:szCs w:val="20"/>
              </w:rPr>
            </w:pPr>
            <w:r>
              <w:rPr>
                <w:rFonts w:ascii="SimSun" w:hAnsi="SimSun" w:eastAsia="SimSun" w:cs="SimSun"/>
                <w:sz w:val="20"/>
                <w:szCs w:val="20"/>
                <w:spacing w:val="3"/>
              </w:rPr>
              <w:t>水质</w:t>
            </w:r>
          </w:p>
        </w:tc>
        <w:tc>
          <w:tcPr>
            <w:tcW w:w="837" w:type="dxa"/>
            <w:vAlign w:val="top"/>
            <w:vMerge w:val="restart"/>
            <w:tcBorders>
              <w:bottom w:val="nil"/>
            </w:tcBorders>
          </w:tcPr>
          <w:p>
            <w:pPr>
              <w:spacing w:line="282" w:lineRule="auto"/>
              <w:rPr>
                <w:rFonts w:ascii="Arial"/>
                <w:sz w:val="21"/>
              </w:rPr>
            </w:pPr>
            <w:r/>
          </w:p>
          <w:p>
            <w:pPr>
              <w:spacing w:line="282" w:lineRule="auto"/>
              <w:rPr>
                <w:rFonts w:ascii="Arial"/>
                <w:sz w:val="21"/>
              </w:rPr>
            </w:pPr>
            <w:r/>
          </w:p>
          <w:p>
            <w:pPr>
              <w:pStyle w:val="TableText"/>
              <w:ind w:left="349"/>
              <w:spacing w:before="57" w:line="197" w:lineRule="auto"/>
              <w:rPr/>
            </w:pPr>
            <w:r>
              <w:rPr/>
              <w:t>Q</w:t>
            </w:r>
          </w:p>
        </w:tc>
        <w:tc>
          <w:tcPr>
            <w:tcW w:w="1741" w:type="dxa"/>
            <w:vAlign w:val="top"/>
            <w:vMerge w:val="restart"/>
            <w:tcBorders>
              <w:bottom w:val="nil"/>
            </w:tcBorders>
          </w:tcPr>
          <w:p>
            <w:pPr>
              <w:spacing w:line="260" w:lineRule="auto"/>
              <w:rPr>
                <w:rFonts w:ascii="Arial"/>
                <w:sz w:val="21"/>
              </w:rPr>
            </w:pPr>
            <w:r/>
          </w:p>
          <w:p>
            <w:pPr>
              <w:spacing w:line="261" w:lineRule="auto"/>
              <w:rPr>
                <w:rFonts w:ascii="Arial"/>
                <w:sz w:val="21"/>
              </w:rPr>
            </w:pPr>
            <w:r/>
          </w:p>
          <w:p>
            <w:pPr>
              <w:ind w:left="144"/>
              <w:spacing w:before="65" w:line="227" w:lineRule="auto"/>
              <w:rPr>
                <w:rFonts w:ascii="SimSun" w:hAnsi="SimSun" w:eastAsia="SimSun" w:cs="SimSun"/>
                <w:sz w:val="20"/>
                <w:szCs w:val="20"/>
              </w:rPr>
            </w:pPr>
            <w:r>
              <w:rPr>
                <w:rFonts w:ascii="SimSun" w:hAnsi="SimSun" w:eastAsia="SimSun" w:cs="SimSun"/>
                <w:sz w:val="20"/>
                <w:szCs w:val="20"/>
                <w:spacing w:val="7"/>
              </w:rPr>
              <w:t>原环评要求布设</w:t>
            </w:r>
          </w:p>
        </w:tc>
      </w:tr>
      <w:tr>
        <w:trPr>
          <w:trHeight w:val="342" w:hRule="atLeast"/>
        </w:trPr>
        <w:tc>
          <w:tcPr>
            <w:tcW w:w="1415" w:type="dxa"/>
            <w:vAlign w:val="top"/>
            <w:vMerge w:val="continue"/>
            <w:tcBorders>
              <w:top w:val="nil"/>
              <w:bottom w:val="nil"/>
            </w:tcBorders>
          </w:tcPr>
          <w:p>
            <w:pPr>
              <w:rPr>
                <w:rFonts w:ascii="Arial"/>
                <w:sz w:val="21"/>
              </w:rPr>
            </w:pPr>
            <w:r/>
          </w:p>
        </w:tc>
        <w:tc>
          <w:tcPr>
            <w:tcW w:w="1228" w:type="dxa"/>
            <w:vAlign w:val="top"/>
          </w:tcPr>
          <w:p>
            <w:pPr>
              <w:pStyle w:val="TableText"/>
              <w:ind w:left="461"/>
              <w:spacing w:before="101" w:line="195" w:lineRule="auto"/>
              <w:rPr/>
            </w:pPr>
            <w:r>
              <w:rPr>
                <w:spacing w:val="4"/>
              </w:rPr>
              <w:t>W2</w:t>
            </w:r>
          </w:p>
        </w:tc>
        <w:tc>
          <w:tcPr>
            <w:tcW w:w="2811" w:type="dxa"/>
            <w:vAlign w:val="top"/>
          </w:tcPr>
          <w:p>
            <w:pPr>
              <w:ind w:left="681"/>
              <w:spacing w:before="64" w:line="228" w:lineRule="auto"/>
              <w:rPr>
                <w:rFonts w:ascii="SimSun" w:hAnsi="SimSun" w:eastAsia="SimSun" w:cs="SimSun"/>
                <w:sz w:val="20"/>
                <w:szCs w:val="20"/>
              </w:rPr>
            </w:pPr>
            <w:r>
              <w:rPr>
                <w:rFonts w:ascii="SimSun" w:hAnsi="SimSun" w:eastAsia="SimSun" w:cs="SimSun"/>
                <w:sz w:val="20"/>
                <w:szCs w:val="20"/>
                <w:spacing w:val="7"/>
              </w:rPr>
              <w:t>东一排土场下游</w:t>
            </w:r>
          </w:p>
        </w:tc>
        <w:tc>
          <w:tcPr>
            <w:tcW w:w="1255" w:type="dxa"/>
            <w:vAlign w:val="top"/>
            <w:vMerge w:val="continue"/>
            <w:tcBorders>
              <w:top w:val="nil"/>
              <w:bottom w:val="nil"/>
            </w:tcBorders>
          </w:tcPr>
          <w:p>
            <w:pPr>
              <w:rPr>
                <w:rFonts w:ascii="Arial"/>
                <w:sz w:val="21"/>
              </w:rPr>
            </w:pPr>
            <w:r/>
          </w:p>
        </w:tc>
        <w:tc>
          <w:tcPr>
            <w:tcW w:w="837" w:type="dxa"/>
            <w:vAlign w:val="top"/>
            <w:vMerge w:val="continue"/>
            <w:tcBorders>
              <w:top w:val="nil"/>
              <w:bottom w:val="nil"/>
            </w:tcBorders>
          </w:tcPr>
          <w:p>
            <w:pPr>
              <w:rPr>
                <w:rFonts w:ascii="Arial"/>
                <w:sz w:val="21"/>
              </w:rPr>
            </w:pPr>
            <w:r/>
          </w:p>
        </w:tc>
        <w:tc>
          <w:tcPr>
            <w:tcW w:w="1741" w:type="dxa"/>
            <w:vAlign w:val="top"/>
            <w:vMerge w:val="continue"/>
            <w:tcBorders>
              <w:top w:val="nil"/>
              <w:bottom w:val="nil"/>
            </w:tcBorders>
          </w:tcPr>
          <w:p>
            <w:pPr>
              <w:rPr>
                <w:rFonts w:ascii="Arial"/>
                <w:sz w:val="21"/>
              </w:rPr>
            </w:pPr>
            <w:r/>
          </w:p>
        </w:tc>
      </w:tr>
      <w:tr>
        <w:trPr>
          <w:trHeight w:val="345" w:hRule="atLeast"/>
        </w:trPr>
        <w:tc>
          <w:tcPr>
            <w:tcW w:w="1415" w:type="dxa"/>
            <w:vAlign w:val="top"/>
            <w:vMerge w:val="continue"/>
            <w:tcBorders>
              <w:top w:val="nil"/>
              <w:bottom w:val="nil"/>
            </w:tcBorders>
          </w:tcPr>
          <w:p>
            <w:pPr>
              <w:rPr>
                <w:rFonts w:ascii="Arial"/>
                <w:sz w:val="21"/>
              </w:rPr>
            </w:pPr>
            <w:r/>
          </w:p>
        </w:tc>
        <w:tc>
          <w:tcPr>
            <w:tcW w:w="1228" w:type="dxa"/>
            <w:vAlign w:val="top"/>
          </w:tcPr>
          <w:p>
            <w:pPr>
              <w:pStyle w:val="TableText"/>
              <w:ind w:left="461"/>
              <w:spacing w:before="104" w:line="195" w:lineRule="auto"/>
              <w:rPr/>
            </w:pPr>
            <w:r>
              <w:rPr>
                <w:spacing w:val="4"/>
              </w:rPr>
              <w:t>W3</w:t>
            </w:r>
          </w:p>
        </w:tc>
        <w:tc>
          <w:tcPr>
            <w:tcW w:w="2811" w:type="dxa"/>
            <w:vAlign w:val="top"/>
          </w:tcPr>
          <w:p>
            <w:pPr>
              <w:ind w:left="681"/>
              <w:spacing w:before="68" w:line="228" w:lineRule="auto"/>
              <w:rPr>
                <w:rFonts w:ascii="SimSun" w:hAnsi="SimSun" w:eastAsia="SimSun" w:cs="SimSun"/>
                <w:sz w:val="20"/>
                <w:szCs w:val="20"/>
              </w:rPr>
            </w:pPr>
            <w:r>
              <w:rPr>
                <w:rFonts w:ascii="SimSun" w:hAnsi="SimSun" w:eastAsia="SimSun" w:cs="SimSun"/>
                <w:sz w:val="20"/>
                <w:szCs w:val="20"/>
                <w:spacing w:val="7"/>
              </w:rPr>
              <w:t>东二排土场下游</w:t>
            </w:r>
          </w:p>
        </w:tc>
        <w:tc>
          <w:tcPr>
            <w:tcW w:w="1255" w:type="dxa"/>
            <w:vAlign w:val="top"/>
            <w:vMerge w:val="continue"/>
            <w:tcBorders>
              <w:top w:val="nil"/>
              <w:bottom w:val="nil"/>
            </w:tcBorders>
          </w:tcPr>
          <w:p>
            <w:pPr>
              <w:rPr>
                <w:rFonts w:ascii="Arial"/>
                <w:sz w:val="21"/>
              </w:rPr>
            </w:pPr>
            <w:r/>
          </w:p>
        </w:tc>
        <w:tc>
          <w:tcPr>
            <w:tcW w:w="837" w:type="dxa"/>
            <w:vAlign w:val="top"/>
            <w:vMerge w:val="continue"/>
            <w:tcBorders>
              <w:top w:val="nil"/>
              <w:bottom w:val="nil"/>
            </w:tcBorders>
          </w:tcPr>
          <w:p>
            <w:pPr>
              <w:rPr>
                <w:rFonts w:ascii="Arial"/>
                <w:sz w:val="21"/>
              </w:rPr>
            </w:pPr>
            <w:r/>
          </w:p>
        </w:tc>
        <w:tc>
          <w:tcPr>
            <w:tcW w:w="1741" w:type="dxa"/>
            <w:vAlign w:val="top"/>
            <w:vMerge w:val="continue"/>
            <w:tcBorders>
              <w:top w:val="nil"/>
              <w:bottom w:val="nil"/>
            </w:tcBorders>
          </w:tcPr>
          <w:p>
            <w:pPr>
              <w:rPr>
                <w:rFonts w:ascii="Arial"/>
                <w:sz w:val="21"/>
              </w:rPr>
            </w:pPr>
            <w:r/>
          </w:p>
        </w:tc>
      </w:tr>
      <w:tr>
        <w:trPr>
          <w:trHeight w:val="349" w:hRule="atLeast"/>
        </w:trPr>
        <w:tc>
          <w:tcPr>
            <w:tcW w:w="1415" w:type="dxa"/>
            <w:vAlign w:val="top"/>
            <w:vMerge w:val="continue"/>
            <w:tcBorders>
              <w:top w:val="nil"/>
            </w:tcBorders>
          </w:tcPr>
          <w:p>
            <w:pPr>
              <w:rPr>
                <w:rFonts w:ascii="Arial"/>
                <w:sz w:val="21"/>
              </w:rPr>
            </w:pPr>
            <w:r/>
          </w:p>
        </w:tc>
        <w:tc>
          <w:tcPr>
            <w:tcW w:w="1228" w:type="dxa"/>
            <w:vAlign w:val="top"/>
          </w:tcPr>
          <w:p>
            <w:pPr>
              <w:pStyle w:val="TableText"/>
              <w:ind w:left="461"/>
              <w:spacing w:before="104" w:line="195" w:lineRule="auto"/>
              <w:rPr/>
            </w:pPr>
            <w:r>
              <w:rPr>
                <w:spacing w:val="4"/>
              </w:rPr>
              <w:t>W4</w:t>
            </w:r>
          </w:p>
        </w:tc>
        <w:tc>
          <w:tcPr>
            <w:tcW w:w="2811" w:type="dxa"/>
            <w:vAlign w:val="top"/>
          </w:tcPr>
          <w:p>
            <w:pPr>
              <w:ind w:left="884"/>
              <w:spacing w:before="68" w:line="227" w:lineRule="auto"/>
              <w:rPr>
                <w:rFonts w:ascii="SimSun" w:hAnsi="SimSun" w:eastAsia="SimSun" w:cs="SimSun"/>
                <w:sz w:val="20"/>
                <w:szCs w:val="20"/>
              </w:rPr>
            </w:pPr>
            <w:r>
              <w:rPr>
                <w:rFonts w:ascii="SimSun" w:hAnsi="SimSun" w:eastAsia="SimSun" w:cs="SimSun"/>
                <w:sz w:val="20"/>
                <w:szCs w:val="20"/>
                <w:spacing w:val="8"/>
              </w:rPr>
              <w:t>采掘场下游</w:t>
            </w:r>
          </w:p>
        </w:tc>
        <w:tc>
          <w:tcPr>
            <w:tcW w:w="1255" w:type="dxa"/>
            <w:vAlign w:val="top"/>
            <w:vMerge w:val="continue"/>
            <w:tcBorders>
              <w:top w:val="nil"/>
            </w:tcBorders>
          </w:tcPr>
          <w:p>
            <w:pPr>
              <w:rPr>
                <w:rFonts w:ascii="Arial"/>
                <w:sz w:val="21"/>
              </w:rPr>
            </w:pPr>
            <w:r/>
          </w:p>
        </w:tc>
        <w:tc>
          <w:tcPr>
            <w:tcW w:w="837" w:type="dxa"/>
            <w:vAlign w:val="top"/>
            <w:vMerge w:val="continue"/>
            <w:tcBorders>
              <w:top w:val="nil"/>
            </w:tcBorders>
          </w:tcPr>
          <w:p>
            <w:pPr>
              <w:rPr>
                <w:rFonts w:ascii="Arial"/>
                <w:sz w:val="21"/>
              </w:rPr>
            </w:pPr>
            <w:r/>
          </w:p>
        </w:tc>
        <w:tc>
          <w:tcPr>
            <w:tcW w:w="1741" w:type="dxa"/>
            <w:vAlign w:val="top"/>
            <w:vMerge w:val="continue"/>
            <w:tcBorders>
              <w:top w:val="nil"/>
            </w:tcBorders>
          </w:tcPr>
          <w:p>
            <w:pPr>
              <w:rPr>
                <w:rFonts w:ascii="Arial"/>
                <w:sz w:val="21"/>
              </w:rPr>
            </w:pPr>
            <w:r/>
          </w:p>
        </w:tc>
      </w:tr>
    </w:tbl>
    <w:p>
      <w:pPr>
        <w:pStyle w:val="BodyText"/>
        <w:spacing w:line="280" w:lineRule="auto"/>
        <w:rPr/>
      </w:pPr>
      <w:r/>
    </w:p>
    <w:p>
      <w:pPr>
        <w:pStyle w:val="BodyText"/>
        <w:spacing w:line="280" w:lineRule="auto"/>
        <w:rPr/>
      </w:pPr>
      <w:r/>
    </w:p>
    <w:p>
      <w:pPr>
        <w:ind w:left="120"/>
        <w:spacing w:before="98" w:line="221" w:lineRule="auto"/>
        <w:outlineLvl w:val="1"/>
        <w:rPr>
          <w:rFonts w:ascii="SimHei" w:hAnsi="SimHei" w:eastAsia="SimHei" w:cs="SimHei"/>
          <w:sz w:val="30"/>
          <w:szCs w:val="30"/>
        </w:rPr>
      </w:pPr>
      <w:bookmarkStart w:name="bookmark50" w:id="89"/>
      <w:bookmarkEnd w:id="89"/>
      <w:r>
        <w:rPr>
          <w:rFonts w:ascii="Times New Roman" w:hAnsi="Times New Roman" w:eastAsia="Times New Roman" w:cs="Times New Roman"/>
          <w:sz w:val="30"/>
          <w:szCs w:val="30"/>
          <w:b/>
          <w:bCs/>
          <w:spacing w:val="-3"/>
        </w:rPr>
        <w:t>7.4  </w:t>
      </w:r>
      <w:r>
        <w:rPr>
          <w:rFonts w:ascii="SimHei" w:hAnsi="SimHei" w:eastAsia="SimHei" w:cs="SimHei"/>
          <w:sz w:val="30"/>
          <w:szCs w:val="30"/>
          <w:b/>
          <w:bCs/>
          <w:spacing w:val="-3"/>
        </w:rPr>
        <w:t>噪声污染防治措施</w:t>
      </w:r>
    </w:p>
    <w:p>
      <w:pPr>
        <w:ind w:left="118" w:right="110" w:firstLine="481"/>
        <w:spacing w:before="164" w:line="339" w:lineRule="auto"/>
        <w:jc w:val="both"/>
        <w:rPr>
          <w:rFonts w:ascii="SimSun" w:hAnsi="SimSun" w:eastAsia="SimSun" w:cs="SimSun"/>
          <w:sz w:val="24"/>
          <w:szCs w:val="24"/>
        </w:rPr>
      </w:pPr>
      <w:r>
        <w:rPr>
          <w:rFonts w:ascii="SimSun" w:hAnsi="SimSun" w:eastAsia="SimSun" w:cs="SimSun"/>
          <w:sz w:val="24"/>
          <w:szCs w:val="24"/>
          <w:spacing w:val="-2"/>
        </w:rPr>
        <w:t>本次改建项目依托现有露天区工业场地，工业场地内不新增噪声源，通过声环境例</w:t>
      </w:r>
      <w:r>
        <w:rPr>
          <w:rFonts w:ascii="SimSun" w:hAnsi="SimSun" w:eastAsia="SimSun" w:cs="SimSun"/>
          <w:sz w:val="24"/>
          <w:szCs w:val="24"/>
          <w:spacing w:val="-8"/>
        </w:rPr>
        <w:t>行监测数据及本次补充监测数据可以看出，区域声环境质量现状良好，厂界噪声满足《工</w:t>
      </w:r>
      <w:r>
        <w:rPr>
          <w:rFonts w:ascii="SimSun" w:hAnsi="SimSun" w:eastAsia="SimSun" w:cs="SimSun"/>
          <w:sz w:val="24"/>
          <w:szCs w:val="24"/>
        </w:rPr>
        <w:t>业企业厂界环境噪声排放标准》（</w:t>
      </w:r>
      <w:r>
        <w:rPr>
          <w:rFonts w:ascii="Times New Roman" w:hAnsi="Times New Roman" w:eastAsia="Times New Roman" w:cs="Times New Roman"/>
          <w:sz w:val="24"/>
          <w:szCs w:val="24"/>
        </w:rPr>
        <w:t>GB12398-2</w:t>
      </w:r>
      <w:r>
        <w:rPr>
          <w:rFonts w:ascii="Times New Roman" w:hAnsi="Times New Roman" w:eastAsia="Times New Roman" w:cs="Times New Roman"/>
          <w:sz w:val="24"/>
          <w:szCs w:val="24"/>
          <w:spacing w:val="-1"/>
        </w:rPr>
        <w:t>008)</w:t>
      </w:r>
      <w:r>
        <w:rPr>
          <w:rFonts w:ascii="SimSun" w:hAnsi="SimSun" w:eastAsia="SimSun" w:cs="SimSun"/>
          <w:sz w:val="24"/>
          <w:szCs w:val="24"/>
          <w:spacing w:val="-1"/>
        </w:rPr>
        <w:t>中的相应要求。</w:t>
      </w:r>
    </w:p>
    <w:p>
      <w:pPr>
        <w:spacing w:line="339" w:lineRule="auto"/>
        <w:sectPr>
          <w:headerReference w:type="default" r:id="rId522"/>
          <w:footerReference w:type="default" r:id="rId523"/>
          <w:pgSz w:w="11906" w:h="16838"/>
          <w:pgMar w:top="1174" w:right="1307" w:bottom="1080" w:left="1305" w:header="833" w:footer="918" w:gutter="0"/>
        </w:sectPr>
        <w:rPr>
          <w:rFonts w:ascii="SimSun" w:hAnsi="SimSun" w:eastAsia="SimSun" w:cs="SimSun"/>
          <w:sz w:val="24"/>
          <w:szCs w:val="24"/>
        </w:rPr>
      </w:pPr>
    </w:p>
    <w:p>
      <w:pPr>
        <w:pStyle w:val="BodyText"/>
        <w:spacing w:line="307" w:lineRule="auto"/>
        <w:rPr/>
      </w:pPr>
      <w:r/>
    </w:p>
    <w:p>
      <w:pPr>
        <w:ind w:left="9" w:right="397" w:firstLine="488"/>
        <w:spacing w:before="78" w:line="339" w:lineRule="auto"/>
        <w:rPr>
          <w:rFonts w:ascii="SimSun" w:hAnsi="SimSun" w:eastAsia="SimSun" w:cs="SimSun"/>
          <w:sz w:val="24"/>
          <w:szCs w:val="24"/>
        </w:rPr>
      </w:pPr>
      <w:bookmarkStart w:name="bookmark113" w:id="90"/>
      <w:bookmarkEnd w:id="90"/>
      <w:r>
        <w:rPr>
          <w:rFonts w:ascii="SimSun" w:hAnsi="SimSun" w:eastAsia="SimSun" w:cs="SimSun"/>
          <w:sz w:val="24"/>
          <w:szCs w:val="24"/>
          <w:spacing w:val="-1"/>
        </w:rPr>
        <w:t>改建后运营期主要噪声环境影响为采掘场开采范围扩大导致的声环境影响范围的</w:t>
      </w:r>
      <w:r>
        <w:rPr>
          <w:rFonts w:ascii="SimSun" w:hAnsi="SimSun" w:eastAsia="SimSun" w:cs="SimSun"/>
          <w:sz w:val="24"/>
          <w:szCs w:val="24"/>
          <w:spacing w:val="-1"/>
        </w:rPr>
        <w:t>变化。本次评价提出以下噪声污染防治措施：</w:t>
      </w:r>
    </w:p>
    <w:p>
      <w:pPr>
        <w:ind w:left="10" w:right="205" w:firstLine="480"/>
        <w:spacing w:before="2" w:line="338" w:lineRule="auto"/>
        <w:rPr>
          <w:rFonts w:ascii="SimSun" w:hAnsi="SimSun" w:eastAsia="SimSun" w:cs="SimSun"/>
          <w:sz w:val="24"/>
          <w:szCs w:val="24"/>
        </w:rPr>
      </w:pPr>
      <w:r>
        <w:rPr>
          <w:rFonts w:ascii="SimSun" w:hAnsi="SimSun" w:eastAsia="SimSun" w:cs="SimSun"/>
          <w:sz w:val="24"/>
          <w:szCs w:val="24"/>
          <w:spacing w:val="-2"/>
        </w:rPr>
        <w:t>本着经济合理、技术可行的原则，从保护操作工人的身体健康、改善工作环境、方</w:t>
      </w:r>
      <w:r>
        <w:rPr>
          <w:rFonts w:ascii="SimSun" w:hAnsi="SimSun" w:eastAsia="SimSun" w:cs="SimSun"/>
          <w:sz w:val="24"/>
          <w:szCs w:val="24"/>
          <w:spacing w:val="-1"/>
        </w:rPr>
        <w:t>便操作等方面进行噪声控制。</w:t>
      </w:r>
    </w:p>
    <w:p>
      <w:pPr>
        <w:ind w:left="15" w:right="330" w:firstLine="480"/>
        <w:spacing w:before="1" w:line="27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1</w:t>
      </w:r>
      <w:r>
        <w:rPr>
          <w:rFonts w:ascii="SimSun" w:hAnsi="SimSun" w:eastAsia="SimSun" w:cs="SimSun"/>
          <w:sz w:val="24"/>
          <w:szCs w:val="24"/>
          <w:spacing w:val="-3"/>
        </w:rPr>
        <w:t>）针对大型机械设备，例如装载机、推土机、排土</w:t>
      </w:r>
      <w:r>
        <w:rPr>
          <w:rFonts w:ascii="SimSun" w:hAnsi="SimSun" w:eastAsia="SimSun" w:cs="SimSun"/>
          <w:sz w:val="24"/>
          <w:szCs w:val="24"/>
          <w:spacing w:val="-4"/>
        </w:rPr>
        <w:t>机、</w:t>
      </w:r>
      <w:r>
        <w:rPr>
          <w:rFonts w:ascii="SimSun" w:hAnsi="SimSun" w:eastAsia="SimSun" w:cs="SimSun"/>
          <w:sz w:val="24"/>
          <w:szCs w:val="24"/>
          <w:spacing w:val="-71"/>
        </w:rPr>
        <w:t xml:space="preserve"> </w:t>
      </w:r>
      <w:r>
        <w:rPr>
          <w:rFonts w:ascii="SimSun" w:hAnsi="SimSun" w:eastAsia="SimSun" w:cs="SimSun"/>
          <w:sz w:val="24"/>
          <w:szCs w:val="24"/>
          <w:spacing w:val="-4"/>
        </w:rPr>
        <w:t>自卸卡车、挖掘机等，</w:t>
      </w:r>
      <w:r>
        <w:rPr>
          <w:rFonts w:ascii="SimSun" w:hAnsi="SimSun" w:eastAsia="SimSun" w:cs="SimSun"/>
          <w:sz w:val="24"/>
          <w:szCs w:val="24"/>
          <w:spacing w:val="-1"/>
        </w:rPr>
        <w:t>定期对设备进行维护保养，确保设备处于良好的运行状态。</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）合理安排车辆工作时间，设置限速标志，夜间禁止鸣笛。</w:t>
      </w:r>
    </w:p>
    <w:p>
      <w:pPr>
        <w:ind w:left="20" w:right="205" w:firstLine="467"/>
        <w:spacing w:before="157" w:line="338" w:lineRule="auto"/>
        <w:rPr>
          <w:rFonts w:ascii="SimSun" w:hAnsi="SimSun" w:eastAsia="SimSun" w:cs="SimSun"/>
          <w:sz w:val="24"/>
          <w:szCs w:val="24"/>
        </w:rPr>
      </w:pPr>
      <w:r>
        <w:rPr>
          <w:rFonts w:ascii="SimSun" w:hAnsi="SimSun" w:eastAsia="SimSun" w:cs="SimSun"/>
          <w:sz w:val="24"/>
          <w:szCs w:val="24"/>
          <w:spacing w:val="-2"/>
        </w:rPr>
        <w:t>采取上述措施后，可有效降低设备运行时产生的噪声值，在采取上述措施后，厂界</w:t>
      </w:r>
      <w:r>
        <w:rPr>
          <w:rFonts w:ascii="SimSun" w:hAnsi="SimSun" w:eastAsia="SimSun" w:cs="SimSun"/>
          <w:sz w:val="24"/>
          <w:szCs w:val="24"/>
        </w:rPr>
        <w:t>噪声可以满足《工业企业厂界环境噪声排放标</w:t>
      </w:r>
      <w:r>
        <w:rPr>
          <w:rFonts w:ascii="SimSun" w:hAnsi="SimSun" w:eastAsia="SimSun" w:cs="SimSun"/>
          <w:sz w:val="24"/>
          <w:szCs w:val="24"/>
          <w:spacing w:val="-1"/>
        </w:rPr>
        <w:t>准》（</w:t>
      </w:r>
      <w:r>
        <w:rPr>
          <w:rFonts w:ascii="Times New Roman" w:hAnsi="Times New Roman" w:eastAsia="Times New Roman" w:cs="Times New Roman"/>
          <w:sz w:val="24"/>
          <w:szCs w:val="24"/>
          <w:spacing w:val="-1"/>
        </w:rPr>
        <w:t>GB12398-2008)</w:t>
      </w:r>
      <w:r>
        <w:rPr>
          <w:rFonts w:ascii="SimSun" w:hAnsi="SimSun" w:eastAsia="SimSun" w:cs="SimSun"/>
          <w:sz w:val="24"/>
          <w:szCs w:val="24"/>
          <w:spacing w:val="-1"/>
        </w:rPr>
        <w:t>中的相应要求。</w:t>
      </w:r>
    </w:p>
    <w:p>
      <w:pPr>
        <w:ind w:left="10"/>
        <w:spacing w:before="76" w:line="222" w:lineRule="auto"/>
        <w:outlineLvl w:val="1"/>
        <w:rPr>
          <w:rFonts w:ascii="SimHei" w:hAnsi="SimHei" w:eastAsia="SimHei" w:cs="SimHei"/>
          <w:sz w:val="30"/>
          <w:szCs w:val="30"/>
        </w:rPr>
      </w:pPr>
      <w:bookmarkStart w:name="bookmark51" w:id="91"/>
      <w:bookmarkEnd w:id="91"/>
      <w:r>
        <w:rPr>
          <w:rFonts w:ascii="Times New Roman" w:hAnsi="Times New Roman" w:eastAsia="Times New Roman" w:cs="Times New Roman"/>
          <w:sz w:val="30"/>
          <w:szCs w:val="30"/>
          <w:b/>
          <w:bCs/>
          <w:spacing w:val="-3"/>
        </w:rPr>
        <w:t>7.5  </w:t>
      </w:r>
      <w:r>
        <w:rPr>
          <w:rFonts w:ascii="SimHei" w:hAnsi="SimHei" w:eastAsia="SimHei" w:cs="SimHei"/>
          <w:sz w:val="30"/>
          <w:szCs w:val="30"/>
          <w:b/>
          <w:bCs/>
          <w:spacing w:val="-3"/>
        </w:rPr>
        <w:t>固体废弃物治理措施</w:t>
      </w:r>
    </w:p>
    <w:p>
      <w:pPr>
        <w:ind w:left="22" w:right="205" w:firstLine="475"/>
        <w:spacing w:before="161" w:line="339" w:lineRule="auto"/>
        <w:rPr>
          <w:rFonts w:ascii="SimSun" w:hAnsi="SimSun" w:eastAsia="SimSun" w:cs="SimSun"/>
          <w:sz w:val="24"/>
          <w:szCs w:val="24"/>
        </w:rPr>
      </w:pPr>
      <w:r>
        <w:rPr>
          <w:rFonts w:ascii="SimSun" w:hAnsi="SimSun" w:eastAsia="SimSun" w:cs="SimSun"/>
          <w:sz w:val="24"/>
          <w:szCs w:val="24"/>
          <w:spacing w:val="-2"/>
        </w:rPr>
        <w:t>改建后生产系统的固体废物主要有矸石、矸石剥离物、生活垃圾、污泥及煤泥、危</w:t>
      </w:r>
      <w:r>
        <w:rPr>
          <w:rFonts w:ascii="SimSun" w:hAnsi="SimSun" w:eastAsia="SimSun" w:cs="SimSun"/>
          <w:sz w:val="24"/>
          <w:szCs w:val="24"/>
          <w:spacing w:val="-5"/>
        </w:rPr>
        <w:t>险废物等。</w:t>
      </w:r>
    </w:p>
    <w:p>
      <w:pPr>
        <w:ind w:left="508"/>
        <w:spacing w:before="1" w:line="220" w:lineRule="auto"/>
        <w:rPr>
          <w:rFonts w:ascii="SimSun" w:hAnsi="SimSun" w:eastAsia="SimSun" w:cs="SimSun"/>
          <w:sz w:val="24"/>
          <w:szCs w:val="24"/>
        </w:rPr>
      </w:pP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4"/>
        </w:rPr>
        <w:t>、矸石</w:t>
      </w:r>
    </w:p>
    <w:p>
      <w:pPr>
        <w:ind w:left="490"/>
        <w:spacing w:before="152" w:line="219" w:lineRule="auto"/>
        <w:rPr>
          <w:rFonts w:ascii="SimSun" w:hAnsi="SimSun" w:eastAsia="SimSun" w:cs="SimSun"/>
          <w:sz w:val="24"/>
          <w:szCs w:val="24"/>
        </w:rPr>
      </w:pPr>
      <w:r>
        <w:rPr>
          <w:rFonts w:ascii="SimSun" w:hAnsi="SimSun" w:eastAsia="SimSun" w:cs="SimSun"/>
          <w:sz w:val="24"/>
          <w:szCs w:val="24"/>
          <w:spacing w:val="-1"/>
        </w:rPr>
        <w:t>本项目矸石主要来源于风选车间的矸石。矸石全部排往沉陷区回填。</w:t>
      </w:r>
    </w:p>
    <w:p>
      <w:pPr>
        <w:ind w:left="485"/>
        <w:spacing w:before="157"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、土岩剥离物</w:t>
      </w:r>
    </w:p>
    <w:p>
      <w:pPr>
        <w:ind w:left="35" w:right="120" w:firstLine="459"/>
        <w:spacing w:before="153" w:line="339" w:lineRule="auto"/>
        <w:rPr>
          <w:rFonts w:ascii="SimSun" w:hAnsi="SimSun" w:eastAsia="SimSun" w:cs="SimSun"/>
          <w:sz w:val="24"/>
          <w:szCs w:val="24"/>
        </w:rPr>
      </w:pPr>
      <w:r>
        <w:rPr>
          <w:rFonts w:ascii="SimSun" w:hAnsi="SimSun" w:eastAsia="SimSun" w:cs="SimSun"/>
          <w:sz w:val="24"/>
          <w:szCs w:val="24"/>
          <w:spacing w:val="-2"/>
        </w:rPr>
        <w:t>露天区矸石主要为土岩剥离物，改建前后量不变。运送至内排土场堆存。煤矿目前</w:t>
      </w:r>
      <w:r>
        <w:rPr>
          <w:rFonts w:ascii="SimSun" w:hAnsi="SimSun" w:eastAsia="SimSun" w:cs="SimSun"/>
          <w:sz w:val="24"/>
          <w:szCs w:val="24"/>
          <w:spacing w:val="-6"/>
        </w:rPr>
        <w:t>已形成沉陷区主要位于工业场地西侧、西北侧，正在采用变沉陷边充填的方</w:t>
      </w:r>
      <w:r>
        <w:rPr>
          <w:rFonts w:ascii="SimSun" w:hAnsi="SimSun" w:eastAsia="SimSun" w:cs="SimSun"/>
          <w:sz w:val="24"/>
          <w:szCs w:val="24"/>
          <w:spacing w:val="-7"/>
        </w:rPr>
        <w:t>式进行复垦。</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、生活垃圾</w:t>
      </w:r>
    </w:p>
    <w:p>
      <w:pPr>
        <w:ind w:left="12" w:firstLine="490"/>
        <w:spacing w:before="153" w:line="339" w:lineRule="auto"/>
        <w:rPr>
          <w:rFonts w:ascii="SimSun" w:hAnsi="SimSun" w:eastAsia="SimSun" w:cs="SimSun"/>
          <w:sz w:val="24"/>
          <w:szCs w:val="24"/>
        </w:rPr>
      </w:pPr>
      <w:r>
        <w:rPr>
          <w:rFonts w:ascii="SimSun" w:hAnsi="SimSun" w:eastAsia="SimSun" w:cs="SimSun"/>
          <w:sz w:val="24"/>
          <w:szCs w:val="24"/>
          <w:spacing w:val="-2"/>
        </w:rPr>
        <w:t>改建前后，生活垃圾产生总量不变。通过在主要建筑物及作业场所设置垃圾桶，配</w:t>
      </w:r>
      <w:r>
        <w:rPr>
          <w:rFonts w:ascii="SimSun" w:hAnsi="SimSun" w:eastAsia="SimSun" w:cs="SimSun"/>
          <w:sz w:val="24"/>
          <w:szCs w:val="24"/>
          <w:spacing w:val="-2"/>
        </w:rPr>
        <w:t>备垃圾车定时清运生活垃圾，生活垃圾统一收</w:t>
      </w:r>
      <w:r>
        <w:rPr>
          <w:rFonts w:ascii="SimSun" w:hAnsi="SimSun" w:eastAsia="SimSun" w:cs="SimSun"/>
          <w:sz w:val="24"/>
          <w:szCs w:val="24"/>
          <w:spacing w:val="-3"/>
        </w:rPr>
        <w:t>集委托西乌旗环卫部门处置统一收集处理。</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、生活污水处理站污泥</w:t>
      </w:r>
    </w:p>
    <w:p>
      <w:pPr>
        <w:ind w:left="8" w:right="138" w:firstLine="489"/>
        <w:spacing w:before="153" w:line="339" w:lineRule="auto"/>
        <w:rPr>
          <w:rFonts w:ascii="SimSun" w:hAnsi="SimSun" w:eastAsia="SimSun" w:cs="SimSun"/>
          <w:sz w:val="24"/>
          <w:szCs w:val="24"/>
        </w:rPr>
      </w:pPr>
      <w:r>
        <w:rPr>
          <w:rFonts w:ascii="SimSun" w:hAnsi="SimSun" w:eastAsia="SimSun" w:cs="SimSun"/>
          <w:sz w:val="24"/>
          <w:szCs w:val="24"/>
          <w:spacing w:val="-7"/>
        </w:rPr>
        <w:t>改建前后，白音华四号矿污泥的总产生量不变，污泥经压滤脱水后与生活垃圾一起，</w:t>
      </w:r>
      <w:r>
        <w:rPr>
          <w:rFonts w:ascii="SimSun" w:hAnsi="SimSun" w:eastAsia="SimSun" w:cs="SimSun"/>
          <w:sz w:val="24"/>
          <w:szCs w:val="24"/>
          <w:spacing w:val="-1"/>
        </w:rPr>
        <w:t>委托西乌旗环卫部门处置。</w:t>
      </w:r>
    </w:p>
    <w:p>
      <w:pPr>
        <w:ind w:left="491"/>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、矿井（坑）水处理站煤泥</w:t>
      </w:r>
    </w:p>
    <w:p>
      <w:pPr>
        <w:ind w:left="493"/>
        <w:spacing w:before="154" w:line="219" w:lineRule="auto"/>
        <w:rPr>
          <w:rFonts w:ascii="SimSun" w:hAnsi="SimSun" w:eastAsia="SimSun" w:cs="SimSun"/>
          <w:sz w:val="24"/>
          <w:szCs w:val="24"/>
        </w:rPr>
      </w:pPr>
      <w:r>
        <w:rPr>
          <w:rFonts w:ascii="SimSun" w:hAnsi="SimSun" w:eastAsia="SimSun" w:cs="SimSun"/>
          <w:sz w:val="24"/>
          <w:szCs w:val="24"/>
        </w:rPr>
        <w:t>矿井（坑）水处理站煤泥经压滤后，定期与煤</w:t>
      </w:r>
      <w:r>
        <w:rPr>
          <w:rFonts w:ascii="SimSun" w:hAnsi="SimSun" w:eastAsia="SimSun" w:cs="SimSun"/>
          <w:sz w:val="24"/>
          <w:szCs w:val="24"/>
          <w:spacing w:val="-1"/>
        </w:rPr>
        <w:t>炭产品一同外运销售。</w:t>
      </w:r>
    </w:p>
    <w:p>
      <w:pPr>
        <w:ind w:left="490"/>
        <w:spacing w:before="155" w:line="220" w:lineRule="auto"/>
        <w:rPr>
          <w:rFonts w:ascii="SimSun" w:hAnsi="SimSun" w:eastAsia="SimSun" w:cs="SimSun"/>
          <w:sz w:val="24"/>
          <w:szCs w:val="24"/>
        </w:rPr>
      </w:pPr>
      <w:r>
        <w:rPr>
          <w:rFonts w:ascii="Times New Roman" w:hAnsi="Times New Roman" w:eastAsia="Times New Roman" w:cs="Times New Roman"/>
          <w:sz w:val="24"/>
          <w:szCs w:val="24"/>
          <w:spacing w:val="-7"/>
        </w:rPr>
        <w:t>6</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、危险废物</w:t>
      </w:r>
    </w:p>
    <w:p>
      <w:pPr>
        <w:ind w:left="10" w:right="205" w:firstLine="487"/>
        <w:spacing w:before="153" w:line="340" w:lineRule="auto"/>
        <w:rPr>
          <w:rFonts w:ascii="SimSun" w:hAnsi="SimSun" w:eastAsia="SimSun" w:cs="SimSun"/>
          <w:sz w:val="24"/>
          <w:szCs w:val="24"/>
        </w:rPr>
      </w:pPr>
      <w:r>
        <w:rPr>
          <w:rFonts w:ascii="SimSun" w:hAnsi="SimSun" w:eastAsia="SimSun" w:cs="SimSun"/>
          <w:sz w:val="24"/>
          <w:szCs w:val="24"/>
          <w:spacing w:val="-2"/>
        </w:rPr>
        <w:t>改建前后，白音华四号危险废物包括废矿物油、废电瓶。白音华四号露天矿（露天</w:t>
      </w:r>
      <w:r>
        <w:rPr>
          <w:rFonts w:ascii="SimSun" w:hAnsi="SimSun" w:eastAsia="SimSun" w:cs="SimSun"/>
          <w:sz w:val="24"/>
          <w:szCs w:val="24"/>
          <w:spacing w:val="10"/>
        </w:rPr>
        <w:t>区）</w:t>
      </w:r>
      <w:r>
        <w:rPr>
          <w:rFonts w:ascii="SimSun" w:hAnsi="SimSun" w:eastAsia="SimSun" w:cs="SimSun"/>
          <w:sz w:val="24"/>
          <w:szCs w:val="24"/>
          <w:spacing w:val="-34"/>
        </w:rPr>
        <w:t xml:space="preserve"> </w:t>
      </w:r>
      <w:r>
        <w:rPr>
          <w:rFonts w:ascii="SimSun" w:hAnsi="SimSun" w:eastAsia="SimSun" w:cs="SimSun"/>
          <w:sz w:val="24"/>
          <w:szCs w:val="24"/>
          <w:spacing w:val="10"/>
        </w:rPr>
        <w:t>已设置危废暂存间 </w:t>
      </w:r>
      <w:r>
        <w:rPr>
          <w:rFonts w:ascii="Times New Roman" w:hAnsi="Times New Roman" w:eastAsia="Times New Roman" w:cs="Times New Roman"/>
          <w:sz w:val="24"/>
          <w:szCs w:val="24"/>
          <w:spacing w:val="10"/>
        </w:rPr>
        <w:t>1</w:t>
      </w:r>
      <w:r>
        <w:rPr>
          <w:rFonts w:ascii="Times New Roman" w:hAnsi="Times New Roman" w:eastAsia="Times New Roman" w:cs="Times New Roman"/>
          <w:sz w:val="24"/>
          <w:szCs w:val="24"/>
          <w:spacing w:val="28"/>
          <w:w w:val="101"/>
        </w:rPr>
        <w:t xml:space="preserve"> </w:t>
      </w:r>
      <w:r>
        <w:rPr>
          <w:rFonts w:ascii="SimSun" w:hAnsi="SimSun" w:eastAsia="SimSun" w:cs="SimSun"/>
          <w:sz w:val="24"/>
          <w:szCs w:val="24"/>
          <w:spacing w:val="10"/>
        </w:rPr>
        <w:t>座</w:t>
      </w:r>
      <w:r>
        <w:rPr>
          <w:rFonts w:ascii="SimSun" w:hAnsi="SimSun" w:eastAsia="SimSun" w:cs="SimSun"/>
          <w:sz w:val="24"/>
          <w:szCs w:val="24"/>
          <w:spacing w:val="-66"/>
        </w:rPr>
        <w:t xml:space="preserve"> </w:t>
      </w:r>
      <w:r>
        <w:rPr>
          <w:rFonts w:ascii="SimSun" w:hAnsi="SimSun" w:eastAsia="SimSun" w:cs="SimSun"/>
          <w:sz w:val="24"/>
          <w:szCs w:val="24"/>
          <w:spacing w:val="10"/>
        </w:rPr>
        <w:t>。危废暂存间已按照《</w:t>
      </w:r>
      <w:r>
        <w:rPr>
          <w:rFonts w:ascii="SimSun" w:hAnsi="SimSun" w:eastAsia="SimSun" w:cs="SimSun"/>
          <w:sz w:val="24"/>
          <w:szCs w:val="24"/>
          <w:spacing w:val="-60"/>
        </w:rPr>
        <w:t xml:space="preserve"> </w:t>
      </w:r>
      <w:r>
        <w:rPr>
          <w:rFonts w:ascii="SimSun" w:hAnsi="SimSun" w:eastAsia="SimSun" w:cs="SimSun"/>
          <w:sz w:val="24"/>
          <w:szCs w:val="24"/>
          <w:spacing w:val="10"/>
        </w:rPr>
        <w:t>危险废物贮存污染控制标准》</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GB18597-2023</w:t>
      </w:r>
      <w:r>
        <w:rPr>
          <w:rFonts w:ascii="SimSun" w:hAnsi="SimSun" w:eastAsia="SimSun" w:cs="SimSun"/>
          <w:sz w:val="24"/>
          <w:szCs w:val="24"/>
          <w:spacing w:val="-2"/>
        </w:rPr>
        <w:t>）进行防渗建</w:t>
      </w:r>
      <w:r>
        <w:rPr>
          <w:rFonts w:ascii="SimSun" w:hAnsi="SimSun" w:eastAsia="SimSun" w:cs="SimSun"/>
          <w:sz w:val="24"/>
          <w:szCs w:val="24"/>
          <w:spacing w:val="-3"/>
        </w:rPr>
        <w:t>设和管理。暂存的废矿物油、废电池分别交予具有相应资</w:t>
      </w:r>
      <w:r>
        <w:rPr>
          <w:rFonts w:ascii="SimSun" w:hAnsi="SimSun" w:eastAsia="SimSun" w:cs="SimSun"/>
          <w:sz w:val="24"/>
          <w:szCs w:val="24"/>
          <w:spacing w:val="-2"/>
        </w:rPr>
        <w:t>质的单位进行处理。</w:t>
      </w:r>
    </w:p>
    <w:p>
      <w:pPr>
        <w:spacing w:line="340" w:lineRule="auto"/>
        <w:sectPr>
          <w:headerReference w:type="default" r:id="rId524"/>
          <w:footerReference w:type="default" r:id="rId525"/>
          <w:pgSz w:w="11906" w:h="16838"/>
          <w:pgMar w:top="1174" w:right="1212" w:bottom="1080" w:left="1416" w:header="833" w:footer="918" w:gutter="0"/>
        </w:sectPr>
        <w:rPr>
          <w:rFonts w:ascii="SimSun" w:hAnsi="SimSun" w:eastAsia="SimSun" w:cs="SimSun"/>
          <w:sz w:val="24"/>
          <w:szCs w:val="24"/>
        </w:rPr>
      </w:pPr>
    </w:p>
    <w:p>
      <w:pPr>
        <w:pStyle w:val="BodyText"/>
        <w:spacing w:line="310" w:lineRule="auto"/>
        <w:rPr/>
      </w:pPr>
      <w:r/>
    </w:p>
    <w:p>
      <w:pPr>
        <w:ind w:left="9" w:right="13" w:firstLine="480"/>
        <w:spacing w:before="78" w:line="340" w:lineRule="auto"/>
        <w:jc w:val="both"/>
        <w:rPr>
          <w:rFonts w:ascii="SimSun" w:hAnsi="SimSun" w:eastAsia="SimSun" w:cs="SimSun"/>
          <w:sz w:val="24"/>
          <w:szCs w:val="24"/>
        </w:rPr>
      </w:pPr>
      <w:r>
        <w:rPr>
          <w:rFonts w:ascii="SimSun" w:hAnsi="SimSun" w:eastAsia="SimSun" w:cs="SimSun"/>
          <w:sz w:val="24"/>
          <w:szCs w:val="24"/>
          <w:spacing w:val="-2"/>
        </w:rPr>
        <w:t>本项目运营期产生的各固体废物均得到了妥善处置。建设单位应进一步做好各固废</w:t>
      </w:r>
      <w:r>
        <w:rPr>
          <w:rFonts w:ascii="SimSun" w:hAnsi="SimSun" w:eastAsia="SimSun" w:cs="SimSun"/>
          <w:sz w:val="24"/>
          <w:szCs w:val="24"/>
          <w:spacing w:val="-2"/>
        </w:rPr>
        <w:t>的堆存保管和防护，并设专人严格管理，防止二次污染。因此，本项目采取的固废防治</w:t>
      </w:r>
      <w:r>
        <w:rPr>
          <w:rFonts w:ascii="SimSun" w:hAnsi="SimSun" w:eastAsia="SimSun" w:cs="SimSun"/>
          <w:sz w:val="24"/>
          <w:szCs w:val="24"/>
          <w:spacing w:val="-2"/>
        </w:rPr>
        <w:t>措施是可行的。</w:t>
      </w:r>
    </w:p>
    <w:p>
      <w:pPr>
        <w:ind w:left="10"/>
        <w:spacing w:before="70" w:line="221" w:lineRule="auto"/>
        <w:outlineLvl w:val="1"/>
        <w:rPr>
          <w:rFonts w:ascii="SimHei" w:hAnsi="SimHei" w:eastAsia="SimHei" w:cs="SimHei"/>
          <w:sz w:val="30"/>
          <w:szCs w:val="30"/>
        </w:rPr>
      </w:pPr>
      <w:bookmarkStart w:name="bookmark114" w:id="92"/>
      <w:bookmarkEnd w:id="92"/>
      <w:bookmarkStart w:name="bookmark52" w:id="93"/>
      <w:bookmarkEnd w:id="93"/>
      <w:r>
        <w:rPr>
          <w:rFonts w:ascii="Times New Roman" w:hAnsi="Times New Roman" w:eastAsia="Times New Roman" w:cs="Times New Roman"/>
          <w:sz w:val="30"/>
          <w:szCs w:val="30"/>
          <w:b/>
          <w:bCs/>
          <w:spacing w:val="-3"/>
        </w:rPr>
        <w:t>7.6  </w:t>
      </w:r>
      <w:r>
        <w:rPr>
          <w:rFonts w:ascii="SimHei" w:hAnsi="SimHei" w:eastAsia="SimHei" w:cs="SimHei"/>
          <w:sz w:val="30"/>
          <w:szCs w:val="30"/>
          <w:b/>
          <w:bCs/>
          <w:spacing w:val="-3"/>
        </w:rPr>
        <w:t>土壤污染防治措施</w:t>
      </w:r>
    </w:p>
    <w:p>
      <w:pPr>
        <w:ind w:left="11" w:right="15" w:firstLine="478"/>
        <w:spacing w:before="162" w:line="342" w:lineRule="auto"/>
        <w:rPr>
          <w:rFonts w:ascii="SimSun" w:hAnsi="SimSun" w:eastAsia="SimSun" w:cs="SimSun"/>
          <w:sz w:val="24"/>
          <w:szCs w:val="24"/>
        </w:rPr>
      </w:pPr>
      <w:r>
        <w:rPr>
          <w:rFonts w:ascii="SimSun" w:hAnsi="SimSun" w:eastAsia="SimSun" w:cs="SimSun"/>
          <w:sz w:val="24"/>
          <w:szCs w:val="24"/>
          <w:spacing w:val="2"/>
        </w:rPr>
        <w:t>根据《环境影响评价技术导则 土壤环境（试行）》（</w:t>
      </w:r>
      <w:r>
        <w:rPr>
          <w:rFonts w:ascii="Times New Roman" w:hAnsi="Times New Roman" w:eastAsia="Times New Roman" w:cs="Times New Roman"/>
          <w:sz w:val="24"/>
          <w:szCs w:val="24"/>
        </w:rPr>
        <w:t>HJ</w:t>
      </w:r>
      <w:r>
        <w:rPr>
          <w:rFonts w:ascii="Times New Roman" w:hAnsi="Times New Roman" w:eastAsia="Times New Roman" w:cs="Times New Roman"/>
          <w:sz w:val="24"/>
          <w:szCs w:val="24"/>
          <w:spacing w:val="2"/>
        </w:rPr>
        <w:t>964-2018</w:t>
      </w:r>
      <w:r>
        <w:rPr>
          <w:rFonts w:ascii="SimSun" w:hAnsi="SimSun" w:eastAsia="SimSun" w:cs="SimSun"/>
          <w:sz w:val="24"/>
          <w:szCs w:val="24"/>
          <w:spacing w:val="2"/>
        </w:rPr>
        <w:t>）</w:t>
      </w:r>
      <w:r>
        <w:rPr>
          <w:rFonts w:ascii="SimSun" w:hAnsi="SimSun" w:eastAsia="SimSun" w:cs="SimSun"/>
          <w:sz w:val="24"/>
          <w:szCs w:val="24"/>
          <w:spacing w:val="1"/>
        </w:rPr>
        <w:t>的要求，土壤</w:t>
      </w:r>
      <w:r>
        <w:rPr>
          <w:rFonts w:ascii="SimSun" w:hAnsi="SimSun" w:eastAsia="SimSun" w:cs="SimSun"/>
          <w:sz w:val="24"/>
          <w:szCs w:val="24"/>
        </w:rPr>
        <w:t>污染防治措施主要包括源头控制措施、过程</w:t>
      </w:r>
      <w:r>
        <w:rPr>
          <w:rFonts w:ascii="SimSun" w:hAnsi="SimSun" w:eastAsia="SimSun" w:cs="SimSun"/>
          <w:sz w:val="24"/>
          <w:szCs w:val="24"/>
          <w:spacing w:val="-1"/>
        </w:rPr>
        <w:t>控制措施以及跟踪监测计划。</w:t>
      </w:r>
    </w:p>
    <w:p>
      <w:pPr>
        <w:ind w:left="9"/>
        <w:spacing w:before="83"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7.6.1 </w:t>
      </w:r>
      <w:r>
        <w:rPr>
          <w:rFonts w:ascii="SimHei" w:hAnsi="SimHei" w:eastAsia="SimHei" w:cs="SimHei"/>
          <w:sz w:val="28"/>
          <w:szCs w:val="28"/>
          <w:b/>
          <w:bCs/>
          <w:spacing w:val="-2"/>
        </w:rPr>
        <w:t>源头控制措施</w:t>
      </w:r>
    </w:p>
    <w:p>
      <w:pPr>
        <w:ind w:left="9" w:right="25" w:firstLine="498"/>
        <w:spacing w:before="171" w:line="279" w:lineRule="auto"/>
        <w:rPr>
          <w:rFonts w:ascii="SimSun" w:hAnsi="SimSun" w:eastAsia="SimSun" w:cs="SimSun"/>
          <w:sz w:val="24"/>
          <w:szCs w:val="24"/>
        </w:rPr>
      </w:pP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rPr>
        <w:t>、企业应加强对废水的回用，减少使用地下水资源，确保不因地下水水位变化导</w:t>
      </w:r>
      <w:r>
        <w:rPr>
          <w:rFonts w:ascii="SimSun" w:hAnsi="SimSun" w:eastAsia="SimSun" w:cs="SimSun"/>
          <w:sz w:val="24"/>
          <w:szCs w:val="24"/>
          <w:spacing w:val="-1"/>
        </w:rPr>
        <w:t>致土壤盐化程度加重；</w:t>
      </w:r>
    </w:p>
    <w:p>
      <w:pPr>
        <w:ind w:left="11" w:firstLine="473"/>
        <w:spacing w:before="154" w:line="27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、对工业场地内的危废暂存间、生活污水处理站、矿坑</w:t>
      </w:r>
      <w:r>
        <w:rPr>
          <w:rFonts w:ascii="SimSun" w:hAnsi="SimSun" w:eastAsia="SimSun" w:cs="SimSun"/>
          <w:sz w:val="24"/>
          <w:szCs w:val="24"/>
        </w:rPr>
        <w:t>水处理站、加油站、机修</w:t>
      </w:r>
      <w:r>
        <w:rPr>
          <w:rFonts w:ascii="SimSun" w:hAnsi="SimSun" w:eastAsia="SimSun" w:cs="SimSun"/>
          <w:sz w:val="24"/>
          <w:szCs w:val="24"/>
          <w:spacing w:val="-1"/>
        </w:rPr>
        <w:t>车间等进行防渗处理，且对防渗设施定期进行维护，防止发生防</w:t>
      </w:r>
      <w:r>
        <w:rPr>
          <w:rFonts w:ascii="SimSun" w:hAnsi="SimSun" w:eastAsia="SimSun" w:cs="SimSun"/>
          <w:sz w:val="24"/>
          <w:szCs w:val="24"/>
          <w:spacing w:val="-2"/>
        </w:rPr>
        <w:t>渗层破损而污染土壤。</w:t>
      </w:r>
    </w:p>
    <w:p>
      <w:pPr>
        <w:ind w:left="9"/>
        <w:spacing w:before="24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7.6.2 </w:t>
      </w:r>
      <w:r>
        <w:rPr>
          <w:rFonts w:ascii="SimHei" w:hAnsi="SimHei" w:eastAsia="SimHei" w:cs="SimHei"/>
          <w:sz w:val="28"/>
          <w:szCs w:val="28"/>
          <w:b/>
          <w:bCs/>
          <w:spacing w:val="-2"/>
        </w:rPr>
        <w:t>过程控制措施</w:t>
      </w:r>
    </w:p>
    <w:p>
      <w:pPr>
        <w:ind w:left="493"/>
        <w:spacing w:before="169" w:line="219" w:lineRule="auto"/>
        <w:rPr>
          <w:rFonts w:ascii="SimSun" w:hAnsi="SimSun" w:eastAsia="SimSun" w:cs="SimSun"/>
          <w:sz w:val="24"/>
          <w:szCs w:val="24"/>
        </w:rPr>
      </w:pPr>
      <w:r>
        <w:rPr>
          <w:rFonts w:ascii="SimSun" w:hAnsi="SimSun" w:eastAsia="SimSun" w:cs="SimSun"/>
          <w:sz w:val="24"/>
          <w:szCs w:val="24"/>
          <w:spacing w:val="-1"/>
        </w:rPr>
        <w:t>项目针对土壤污染的途径提出相应的过程控制措施：</w:t>
      </w:r>
    </w:p>
    <w:p>
      <w:pPr>
        <w:ind w:left="508"/>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11"/>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1"/>
        </w:rPr>
        <w:t>、采掘场</w:t>
      </w:r>
    </w:p>
    <w:p>
      <w:pPr>
        <w:ind w:left="9" w:right="13" w:firstLine="479"/>
        <w:spacing w:before="154" w:line="339" w:lineRule="auto"/>
        <w:rPr>
          <w:rFonts w:ascii="SimSun" w:hAnsi="SimSun" w:eastAsia="SimSun" w:cs="SimSun"/>
          <w:sz w:val="24"/>
          <w:szCs w:val="24"/>
        </w:rPr>
      </w:pPr>
      <w:r>
        <w:rPr>
          <w:rFonts w:ascii="SimSun" w:hAnsi="SimSun" w:eastAsia="SimSun" w:cs="SimSun"/>
          <w:sz w:val="24"/>
          <w:szCs w:val="24"/>
          <w:spacing w:val="-2"/>
        </w:rPr>
        <w:t>在采掘场的剥离过程中，采区洒水抑尘措施，有利于减少扬尘产生；并对坑底集水</w:t>
      </w:r>
      <w:r>
        <w:rPr>
          <w:rFonts w:ascii="SimSun" w:hAnsi="SimSun" w:eastAsia="SimSun" w:cs="SimSun"/>
          <w:sz w:val="24"/>
          <w:szCs w:val="24"/>
          <w:spacing w:val="-2"/>
        </w:rPr>
        <w:t>坑进行防渗处理；</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7"/>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7"/>
        </w:rPr>
        <w:t>、排土场</w:t>
      </w:r>
    </w:p>
    <w:p>
      <w:pPr>
        <w:ind w:left="495"/>
        <w:spacing w:before="154"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）污染预防控制措施</w:t>
      </w:r>
    </w:p>
    <w:p>
      <w:pPr>
        <w:ind w:left="10" w:firstLine="481"/>
        <w:spacing w:before="155" w:line="338" w:lineRule="auto"/>
        <w:rPr>
          <w:rFonts w:ascii="SimSun" w:hAnsi="SimSun" w:eastAsia="SimSun" w:cs="SimSun"/>
          <w:sz w:val="24"/>
          <w:szCs w:val="24"/>
        </w:rPr>
      </w:pPr>
      <w:r>
        <w:rPr>
          <w:rFonts w:ascii="SimSun" w:hAnsi="SimSun" w:eastAsia="SimSun" w:cs="SimSun"/>
          <w:sz w:val="24"/>
          <w:szCs w:val="24"/>
          <w:spacing w:val="-2"/>
        </w:rPr>
        <w:t>为预防排土场土壤污染，针对排土场内部的措施主要为表土及时覆盖，因地制宜采</w:t>
      </w:r>
      <w:r>
        <w:rPr>
          <w:rFonts w:ascii="SimSun" w:hAnsi="SimSun" w:eastAsia="SimSun" w:cs="SimSun"/>
          <w:sz w:val="24"/>
          <w:szCs w:val="24"/>
          <w:spacing w:val="-2"/>
        </w:rPr>
        <w:t>取生态恢复措施，并进行跟踪监测。为防止排土场对周边牧草地的影响，主要对策为对</w:t>
      </w:r>
      <w:r>
        <w:rPr>
          <w:rFonts w:ascii="SimSun" w:hAnsi="SimSun" w:eastAsia="SimSun" w:cs="SimSun"/>
          <w:sz w:val="24"/>
          <w:szCs w:val="24"/>
          <w:spacing w:val="-1"/>
        </w:rPr>
        <w:t>周边采取拦挡措施，坡面控制侵蚀，施工与排土过程中按照规范执</w:t>
      </w:r>
      <w:r>
        <w:rPr>
          <w:rFonts w:ascii="SimSun" w:hAnsi="SimSun" w:eastAsia="SimSun" w:cs="SimSun"/>
          <w:sz w:val="24"/>
          <w:szCs w:val="24"/>
          <w:spacing w:val="-2"/>
        </w:rPr>
        <w:t>行，防止随意碾压。</w:t>
      </w:r>
    </w:p>
    <w:p>
      <w:pPr>
        <w:ind w:left="495"/>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）生态影响防控措施</w:t>
      </w:r>
    </w:p>
    <w:p>
      <w:pPr>
        <w:ind w:left="9" w:right="13" w:firstLine="480"/>
        <w:spacing w:before="155" w:line="338" w:lineRule="auto"/>
        <w:rPr>
          <w:rFonts w:ascii="SimSun" w:hAnsi="SimSun" w:eastAsia="SimSun" w:cs="SimSun"/>
          <w:sz w:val="24"/>
          <w:szCs w:val="24"/>
        </w:rPr>
      </w:pPr>
      <w:r>
        <w:rPr>
          <w:rFonts w:ascii="SimSun" w:hAnsi="SimSun" w:eastAsia="SimSun" w:cs="SimSun"/>
          <w:sz w:val="24"/>
          <w:szCs w:val="24"/>
          <w:spacing w:val="-2"/>
        </w:rPr>
        <w:t>通过土壤现状监测与评价，排土场的主要土壤问题表现为土壤盐化和复垦初期的土</w:t>
      </w:r>
      <w:r>
        <w:rPr>
          <w:rFonts w:ascii="SimSun" w:hAnsi="SimSun" w:eastAsia="SimSun" w:cs="SimSun"/>
          <w:sz w:val="24"/>
          <w:szCs w:val="24"/>
          <w:spacing w:val="-1"/>
        </w:rPr>
        <w:t>壤贫瘠化。主要对策如下：</w:t>
      </w:r>
    </w:p>
    <w:p>
      <w:pPr>
        <w:ind w:left="508"/>
        <w:spacing w:line="220"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SimSun" w:hAnsi="SimSun" w:eastAsia="SimSun" w:cs="SimSun"/>
          <w:sz w:val="24"/>
          <w:szCs w:val="24"/>
          <w:spacing w:val="-4"/>
        </w:rPr>
        <w:t>）表土充分利用</w:t>
      </w:r>
    </w:p>
    <w:p>
      <w:pPr>
        <w:ind w:left="495"/>
        <w:spacing w:before="155" w:line="219" w:lineRule="auto"/>
        <w:rPr>
          <w:rFonts w:ascii="SimSun" w:hAnsi="SimSun" w:eastAsia="SimSun" w:cs="SimSun"/>
          <w:sz w:val="24"/>
          <w:szCs w:val="24"/>
        </w:rPr>
      </w:pPr>
      <w:r>
        <w:rPr>
          <w:rFonts w:ascii="SimSun" w:hAnsi="SimSun" w:eastAsia="SimSun" w:cs="SimSun"/>
          <w:sz w:val="24"/>
          <w:szCs w:val="24"/>
          <w:spacing w:val="-1"/>
        </w:rPr>
        <w:t>原地貌剥离区，表层土壤单独剥离，及时用于排土场复垦。</w:t>
      </w:r>
    </w:p>
    <w:p>
      <w:pPr>
        <w:ind w:left="485"/>
        <w:spacing w:before="154"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）土壤改良与培肥</w:t>
      </w:r>
    </w:p>
    <w:p>
      <w:pPr>
        <w:ind w:left="10" w:right="13" w:firstLine="479"/>
        <w:spacing w:before="155" w:line="339" w:lineRule="auto"/>
        <w:rPr>
          <w:rFonts w:ascii="SimSun" w:hAnsi="SimSun" w:eastAsia="SimSun" w:cs="SimSun"/>
          <w:sz w:val="24"/>
          <w:szCs w:val="24"/>
        </w:rPr>
      </w:pPr>
      <w:r>
        <w:rPr>
          <w:rFonts w:ascii="SimSun" w:hAnsi="SimSun" w:eastAsia="SimSun" w:cs="SimSun"/>
          <w:sz w:val="24"/>
          <w:szCs w:val="24"/>
          <w:spacing w:val="-2"/>
        </w:rPr>
        <w:t>排土场土壤由于机械碾压土壤容重变大，可采取堆状地貌覆土，在复垦初期进行表</w:t>
      </w:r>
      <w:r>
        <w:rPr>
          <w:rFonts w:ascii="SimSun" w:hAnsi="SimSun" w:eastAsia="SimSun" w:cs="SimSun"/>
          <w:sz w:val="24"/>
          <w:szCs w:val="24"/>
          <w:spacing w:val="-1"/>
        </w:rPr>
        <w:t>土疏松的同时，可以通过合理的植被选择进行土壤培肥与改良。</w:t>
      </w:r>
    </w:p>
    <w:p>
      <w:pPr>
        <w:ind w:left="12" w:right="13" w:firstLine="480"/>
        <w:spacing w:before="1" w:line="339" w:lineRule="auto"/>
        <w:rPr>
          <w:rFonts w:ascii="SimSun" w:hAnsi="SimSun" w:eastAsia="SimSun" w:cs="SimSun"/>
          <w:sz w:val="24"/>
          <w:szCs w:val="24"/>
        </w:rPr>
      </w:pPr>
      <w:r>
        <w:rPr>
          <w:rFonts w:ascii="SimSun" w:hAnsi="SimSun" w:eastAsia="SimSun" w:cs="SimSun"/>
          <w:sz w:val="24"/>
          <w:szCs w:val="24"/>
          <w:spacing w:val="-2"/>
        </w:rPr>
        <w:t>从排土场与周边原地貌的肥力比较，排土场存在有机质含量低，因此在植物进行前</w:t>
      </w:r>
      <w:r>
        <w:rPr>
          <w:rFonts w:ascii="SimSun" w:hAnsi="SimSun" w:eastAsia="SimSun" w:cs="SimSun"/>
          <w:sz w:val="24"/>
          <w:szCs w:val="24"/>
          <w:spacing w:val="-1"/>
        </w:rPr>
        <w:t>期生态重建时考虑土壤培肥。</w:t>
      </w:r>
    </w:p>
    <w:p>
      <w:pPr>
        <w:spacing w:line="339" w:lineRule="auto"/>
        <w:sectPr>
          <w:headerReference w:type="default" r:id="rId526"/>
          <w:footerReference w:type="default" r:id="rId527"/>
          <w:pgSz w:w="11906" w:h="16838"/>
          <w:pgMar w:top="1174" w:right="1404" w:bottom="1080" w:left="1416" w:header="833" w:footer="918" w:gutter="0"/>
        </w:sectPr>
        <w:rPr>
          <w:rFonts w:ascii="SimSun" w:hAnsi="SimSun" w:eastAsia="SimSun" w:cs="SimSun"/>
          <w:sz w:val="24"/>
          <w:szCs w:val="24"/>
        </w:rPr>
      </w:pPr>
    </w:p>
    <w:p>
      <w:pPr>
        <w:pStyle w:val="BodyText"/>
        <w:spacing w:line="308" w:lineRule="auto"/>
        <w:rPr/>
      </w:pPr>
      <w:r/>
    </w:p>
    <w:p>
      <w:pPr>
        <w:ind w:left="608"/>
        <w:spacing w:before="78" w:line="220" w:lineRule="auto"/>
        <w:rPr>
          <w:rFonts w:ascii="SimSun" w:hAnsi="SimSun" w:eastAsia="SimSun" w:cs="SimSun"/>
          <w:sz w:val="24"/>
          <w:szCs w:val="24"/>
        </w:rPr>
      </w:pPr>
      <w:bookmarkStart w:name="bookmark115" w:id="94"/>
      <w:bookmarkEnd w:id="94"/>
      <w:r>
        <w:rPr>
          <w:rFonts w:ascii="SimSun" w:hAnsi="SimSun" w:eastAsia="SimSun" w:cs="SimSun"/>
          <w:sz w:val="24"/>
          <w:szCs w:val="24"/>
          <w:spacing w:val="-2"/>
        </w:rPr>
        <w:t>（</w:t>
      </w:r>
      <w:r>
        <w:rPr>
          <w:rFonts w:ascii="Times New Roman" w:hAnsi="Times New Roman" w:eastAsia="Times New Roman" w:cs="Times New Roman"/>
          <w:sz w:val="24"/>
          <w:szCs w:val="24"/>
          <w:spacing w:val="-2"/>
        </w:rPr>
        <w:t>3</w:t>
      </w:r>
      <w:r>
        <w:rPr>
          <w:rFonts w:ascii="SimSun" w:hAnsi="SimSun" w:eastAsia="SimSun" w:cs="SimSun"/>
          <w:sz w:val="24"/>
          <w:szCs w:val="24"/>
          <w:spacing w:val="-2"/>
        </w:rPr>
        <w:t>）土壤沙化控制</w:t>
      </w:r>
    </w:p>
    <w:p>
      <w:pPr>
        <w:ind w:left="121" w:right="118" w:firstLine="481"/>
        <w:spacing w:before="155" w:line="338" w:lineRule="auto"/>
        <w:rPr>
          <w:rFonts w:ascii="SimSun" w:hAnsi="SimSun" w:eastAsia="SimSun" w:cs="SimSun"/>
          <w:sz w:val="24"/>
          <w:szCs w:val="24"/>
        </w:rPr>
      </w:pPr>
      <w:r>
        <w:rPr>
          <w:rFonts w:ascii="SimSun" w:hAnsi="SimSun" w:eastAsia="SimSun" w:cs="SimSun"/>
          <w:sz w:val="24"/>
          <w:szCs w:val="24"/>
          <w:spacing w:val="-2"/>
        </w:rPr>
        <w:t>土壤沙化是目前矿区及周边土壤退化的主要形式，主要防控措施为减少人为扰动，</w:t>
      </w:r>
      <w:r>
        <w:rPr>
          <w:rFonts w:ascii="SimSun" w:hAnsi="SimSun" w:eastAsia="SimSun" w:cs="SimSun"/>
          <w:sz w:val="24"/>
          <w:szCs w:val="24"/>
          <w:spacing w:val="-1"/>
        </w:rPr>
        <w:t>及时进行排土场的生态恢复工程。</w:t>
      </w:r>
    </w:p>
    <w:p>
      <w:pPr>
        <w:ind w:left="123" w:right="112" w:firstLine="481"/>
        <w:spacing w:before="4" w:line="338" w:lineRule="auto"/>
        <w:jc w:val="both"/>
        <w:rPr>
          <w:rFonts w:ascii="SimSun" w:hAnsi="SimSun" w:eastAsia="SimSun" w:cs="SimSun"/>
          <w:sz w:val="24"/>
          <w:szCs w:val="24"/>
        </w:rPr>
      </w:pPr>
      <w:r>
        <w:rPr>
          <w:rFonts w:ascii="SimSun" w:hAnsi="SimSun" w:eastAsia="SimSun" w:cs="SimSun"/>
          <w:sz w:val="24"/>
          <w:szCs w:val="24"/>
          <w:spacing w:val="-2"/>
        </w:rPr>
        <w:t>为预防排土场土壤污染，针对排土场内部的措施主要为及时分层碾压，结合表面洒</w:t>
      </w:r>
      <w:r>
        <w:rPr>
          <w:rFonts w:ascii="SimSun" w:hAnsi="SimSun" w:eastAsia="SimSun" w:cs="SimSun"/>
          <w:sz w:val="24"/>
          <w:szCs w:val="24"/>
          <w:spacing w:val="-2"/>
        </w:rPr>
        <w:t>水措施，使得表面结皮，从而减少扬尘产生。排土场周边建设防洪沟和导流渠，防止雨</w:t>
      </w:r>
      <w:r>
        <w:rPr>
          <w:rFonts w:ascii="SimSun" w:hAnsi="SimSun" w:eastAsia="SimSun" w:cs="SimSun"/>
          <w:sz w:val="24"/>
          <w:szCs w:val="24"/>
          <w:spacing w:val="-2"/>
        </w:rPr>
        <w:t>季形成地面漫流；土壤沙化是目前矿区及周边土壤退化的主要形式，主要防控措施为减</w:t>
      </w:r>
      <w:r>
        <w:rPr>
          <w:rFonts w:ascii="SimSun" w:hAnsi="SimSun" w:eastAsia="SimSun" w:cs="SimSun"/>
          <w:sz w:val="24"/>
          <w:szCs w:val="24"/>
          <w:spacing w:val="-1"/>
        </w:rPr>
        <w:t>少人为扰动，及时进行排土场的生态恢复工程。</w:t>
      </w:r>
    </w:p>
    <w:p>
      <w:pPr>
        <w:ind w:left="602"/>
        <w:spacing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、工业场地</w:t>
      </w:r>
    </w:p>
    <w:p>
      <w:pPr>
        <w:ind w:left="122" w:right="112" w:firstLine="482"/>
        <w:spacing w:before="156" w:line="338" w:lineRule="auto"/>
        <w:rPr>
          <w:rFonts w:ascii="SimSun" w:hAnsi="SimSun" w:eastAsia="SimSun" w:cs="SimSun"/>
          <w:sz w:val="24"/>
          <w:szCs w:val="24"/>
        </w:rPr>
      </w:pPr>
      <w:r>
        <w:rPr>
          <w:rFonts w:ascii="SimSun" w:hAnsi="SimSun" w:eastAsia="SimSun" w:cs="SimSun"/>
          <w:sz w:val="24"/>
          <w:szCs w:val="24"/>
          <w:spacing w:val="-2"/>
        </w:rPr>
        <w:t>工业场地的土壤污染源主要为矿坑水、生活废水以及固体废物污染物。因此，土壤</w:t>
      </w:r>
      <w:r>
        <w:rPr>
          <w:rFonts w:ascii="SimSun" w:hAnsi="SimSun" w:eastAsia="SimSun" w:cs="SimSun"/>
          <w:sz w:val="24"/>
          <w:szCs w:val="24"/>
          <w:spacing w:val="-2"/>
        </w:rPr>
        <w:t>污染应结合其他环境要素的污染防控以及资源综合利用。工业场地重点污染源均已采取</w:t>
      </w:r>
      <w:r>
        <w:rPr>
          <w:rFonts w:ascii="SimSun" w:hAnsi="SimSun" w:eastAsia="SimSun" w:cs="SimSun"/>
          <w:sz w:val="24"/>
          <w:szCs w:val="24"/>
          <w:spacing w:val="-2"/>
        </w:rPr>
        <w:t>防渗措施，后续继续加强矿坑水、生活污水的综合利用，分别从大气污染物、水污染物</w:t>
      </w:r>
      <w:r>
        <w:rPr>
          <w:rFonts w:ascii="SimSun" w:hAnsi="SimSun" w:eastAsia="SimSun" w:cs="SimSun"/>
          <w:sz w:val="24"/>
          <w:szCs w:val="24"/>
          <w:spacing w:val="-2"/>
        </w:rPr>
        <w:t>等环节采取控制措施。对机修车间、危废暂存间等采取严格的污染控制以及危险废物规</w:t>
      </w:r>
      <w:r>
        <w:rPr>
          <w:rFonts w:ascii="SimSun" w:hAnsi="SimSun" w:eastAsia="SimSun" w:cs="SimSun"/>
          <w:sz w:val="24"/>
          <w:szCs w:val="24"/>
          <w:spacing w:val="-2"/>
        </w:rPr>
        <w:t>范储存措施。由于土壤污染主要发生于事故情况下，因此要求风险防控措施全部落实到</w:t>
      </w:r>
      <w:r>
        <w:rPr>
          <w:rFonts w:ascii="SimSun" w:hAnsi="SimSun" w:eastAsia="SimSun" w:cs="SimSun"/>
          <w:sz w:val="24"/>
          <w:szCs w:val="24"/>
        </w:rPr>
        <w:t>位工业场地内因地制宜进行绿化，在有条件地方进行土地</w:t>
      </w:r>
      <w:r>
        <w:rPr>
          <w:rFonts w:ascii="SimSun" w:hAnsi="SimSun" w:eastAsia="SimSun" w:cs="SimSun"/>
          <w:sz w:val="24"/>
          <w:szCs w:val="24"/>
          <w:spacing w:val="-1"/>
        </w:rPr>
        <w:t>复垦，并进行跟踪监测。</w:t>
      </w:r>
    </w:p>
    <w:p>
      <w:pPr>
        <w:ind w:left="122" w:right="112" w:firstLine="509"/>
        <w:spacing w:before="3" w:line="338" w:lineRule="auto"/>
        <w:jc w:val="both"/>
        <w:rPr>
          <w:rFonts w:ascii="SimSun" w:hAnsi="SimSun" w:eastAsia="SimSun" w:cs="SimSun"/>
          <w:sz w:val="24"/>
          <w:szCs w:val="24"/>
        </w:rPr>
      </w:pPr>
      <w:r>
        <w:rPr>
          <w:rFonts w:ascii="SimSun" w:hAnsi="SimSun" w:eastAsia="SimSun" w:cs="SimSun"/>
          <w:sz w:val="24"/>
          <w:szCs w:val="24"/>
          <w:spacing w:val="-2"/>
        </w:rPr>
        <w:t>由环境质量现状监测结果可知，矿区范围内及</w:t>
      </w:r>
      <w:r>
        <w:rPr>
          <w:rFonts w:ascii="SimSun" w:hAnsi="SimSun" w:eastAsia="SimSun" w:cs="SimSun"/>
          <w:sz w:val="24"/>
          <w:szCs w:val="24"/>
          <w:spacing w:val="-3"/>
        </w:rPr>
        <w:t>周边土壤的各监测因子均未超过《土</w:t>
      </w:r>
      <w:r>
        <w:rPr>
          <w:rFonts w:ascii="SimSun" w:hAnsi="SimSun" w:eastAsia="SimSun" w:cs="SimSun"/>
          <w:sz w:val="24"/>
          <w:szCs w:val="24"/>
        </w:rPr>
        <w:t>壤环境质量 建设用地土壤污染风险管控标准（试行）》（</w:t>
      </w:r>
      <w:r>
        <w:rPr>
          <w:rFonts w:ascii="Times New Roman" w:hAnsi="Times New Roman" w:eastAsia="Times New Roman" w:cs="Times New Roman"/>
          <w:sz w:val="24"/>
          <w:szCs w:val="24"/>
        </w:rPr>
        <w:t>GB36600-2018</w:t>
      </w:r>
      <w:r>
        <w:rPr>
          <w:rFonts w:ascii="SimSun" w:hAnsi="SimSun" w:eastAsia="SimSun" w:cs="SimSun"/>
          <w:sz w:val="24"/>
          <w:szCs w:val="24"/>
        </w:rPr>
        <w:t>）中第二类用</w:t>
      </w:r>
      <w:r>
        <w:rPr>
          <w:rFonts w:ascii="SimSun" w:hAnsi="SimSun" w:eastAsia="SimSun" w:cs="SimSun"/>
          <w:sz w:val="24"/>
          <w:szCs w:val="24"/>
          <w:spacing w:val="16"/>
        </w:rPr>
        <w:t>地筛选值标准</w:t>
      </w:r>
      <w:r>
        <w:rPr>
          <w:rFonts w:ascii="SimSun" w:hAnsi="SimSun" w:eastAsia="SimSun" w:cs="SimSun"/>
          <w:sz w:val="24"/>
          <w:szCs w:val="24"/>
          <w:spacing w:val="-54"/>
        </w:rPr>
        <w:t xml:space="preserve"> </w:t>
      </w:r>
      <w:r>
        <w:rPr>
          <w:rFonts w:ascii="SimSun" w:hAnsi="SimSun" w:eastAsia="SimSun" w:cs="SimSun"/>
          <w:sz w:val="24"/>
          <w:szCs w:val="24"/>
          <w:spacing w:val="16"/>
        </w:rPr>
        <w:t>限值和《</w:t>
      </w:r>
      <w:r>
        <w:rPr>
          <w:rFonts w:ascii="SimSun" w:hAnsi="SimSun" w:eastAsia="SimSun" w:cs="SimSun"/>
          <w:sz w:val="24"/>
          <w:szCs w:val="24"/>
          <w:spacing w:val="-63"/>
        </w:rPr>
        <w:t xml:space="preserve"> </w:t>
      </w:r>
      <w:r>
        <w:rPr>
          <w:rFonts w:ascii="SimSun" w:hAnsi="SimSun" w:eastAsia="SimSun" w:cs="SimSun"/>
          <w:sz w:val="24"/>
          <w:szCs w:val="24"/>
          <w:spacing w:val="16"/>
        </w:rPr>
        <w:t>土壤环境质量</w:t>
      </w:r>
      <w:r>
        <w:rPr>
          <w:rFonts w:ascii="SimSun" w:hAnsi="SimSun" w:eastAsia="SimSun" w:cs="SimSun"/>
          <w:sz w:val="24"/>
          <w:szCs w:val="24"/>
          <w:spacing w:val="55"/>
        </w:rPr>
        <w:t xml:space="preserve"> </w:t>
      </w:r>
      <w:r>
        <w:rPr>
          <w:rFonts w:ascii="SimSun" w:hAnsi="SimSun" w:eastAsia="SimSun" w:cs="SimSun"/>
          <w:sz w:val="24"/>
          <w:szCs w:val="24"/>
          <w:spacing w:val="16"/>
        </w:rPr>
        <w:t>农用地土壤污染风险管控标准（试行</w:t>
      </w:r>
      <w:r>
        <w:rPr>
          <w:rFonts w:ascii="SimSun" w:hAnsi="SimSun" w:eastAsia="SimSun" w:cs="SimSun"/>
          <w:sz w:val="24"/>
          <w:szCs w:val="24"/>
          <w:spacing w:val="-61"/>
        </w:rPr>
        <w:t xml:space="preserve"> </w:t>
      </w:r>
      <w:r>
        <w:rPr>
          <w:rFonts w:ascii="SimSun" w:hAnsi="SimSun" w:eastAsia="SimSun" w:cs="SimSun"/>
          <w:sz w:val="24"/>
          <w:szCs w:val="24"/>
          <w:spacing w:val="16"/>
        </w:rPr>
        <w:t>）》</w:t>
      </w:r>
      <w:r>
        <w:rPr>
          <w:rFonts w:ascii="SimSun" w:hAnsi="SimSun" w:eastAsia="SimSun" w:cs="SimSun"/>
          <w:sz w:val="24"/>
          <w:szCs w:val="24"/>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GB15618-2018</w:t>
      </w:r>
      <w:r>
        <w:rPr>
          <w:rFonts w:ascii="SimSun" w:hAnsi="SimSun" w:eastAsia="SimSun" w:cs="SimSun"/>
          <w:sz w:val="24"/>
          <w:szCs w:val="24"/>
          <w:spacing w:val="-2"/>
        </w:rPr>
        <w:t>）的标准要求，</w:t>
      </w:r>
      <w:r>
        <w:rPr>
          <w:rFonts w:ascii="SimSun" w:hAnsi="SimSun" w:eastAsia="SimSun" w:cs="SimSun"/>
          <w:sz w:val="24"/>
          <w:szCs w:val="24"/>
          <w:spacing w:val="-3"/>
        </w:rPr>
        <w:t>因此本次改建工程产生的扬尘经大气沉降后也不会引起</w:t>
      </w:r>
      <w:r>
        <w:rPr>
          <w:rFonts w:ascii="SimSun" w:hAnsi="SimSun" w:eastAsia="SimSun" w:cs="SimSun"/>
          <w:sz w:val="24"/>
          <w:szCs w:val="24"/>
          <w:spacing w:val="-1"/>
        </w:rPr>
        <w:t>周围区域土壤环境污染。</w:t>
      </w:r>
    </w:p>
    <w:p>
      <w:pPr>
        <w:ind w:left="3338"/>
        <w:spacing w:before="1" w:line="220" w:lineRule="auto"/>
        <w:rPr>
          <w:rFonts w:ascii="SimHei" w:hAnsi="SimHei" w:eastAsia="SimHei" w:cs="SimHei"/>
          <w:sz w:val="24"/>
          <w:szCs w:val="24"/>
        </w:rPr>
      </w:pPr>
      <w:r>
        <w:rPr>
          <w:rFonts w:ascii="SimHei" w:hAnsi="SimHei" w:eastAsia="SimHei" w:cs="SimHei"/>
          <w:sz w:val="24"/>
          <w:szCs w:val="24"/>
          <w:spacing w:val="-1"/>
        </w:rPr>
        <w:t>土壤污染防治措施体系表</w:t>
      </w:r>
    </w:p>
    <w:p>
      <w:pPr>
        <w:ind w:left="120"/>
        <w:spacing w:before="37"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7-5-1</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14"/>
        <w:gridCol w:w="2487"/>
        <w:gridCol w:w="1418"/>
        <w:gridCol w:w="4073"/>
      </w:tblGrid>
      <w:tr>
        <w:trPr>
          <w:trHeight w:val="282" w:hRule="atLeast"/>
        </w:trPr>
        <w:tc>
          <w:tcPr>
            <w:tcW w:w="3801" w:type="dxa"/>
            <w:vAlign w:val="top"/>
            <w:gridSpan w:val="2"/>
          </w:tcPr>
          <w:p>
            <w:pPr>
              <w:ind w:left="1483"/>
              <w:spacing w:before="33" w:line="220" w:lineRule="auto"/>
              <w:rPr>
                <w:rFonts w:ascii="SimSun" w:hAnsi="SimSun" w:eastAsia="SimSun" w:cs="SimSun"/>
                <w:sz w:val="20"/>
                <w:szCs w:val="20"/>
              </w:rPr>
            </w:pPr>
            <w:r>
              <w:rPr>
                <w:rFonts w:ascii="SimSun" w:hAnsi="SimSun" w:eastAsia="SimSun" w:cs="SimSun"/>
                <w:sz w:val="20"/>
                <w:szCs w:val="20"/>
                <w:spacing w:val="7"/>
              </w:rPr>
              <w:t>场地构成</w:t>
            </w:r>
          </w:p>
        </w:tc>
        <w:tc>
          <w:tcPr>
            <w:tcW w:w="1418" w:type="dxa"/>
            <w:vAlign w:val="top"/>
          </w:tcPr>
          <w:p>
            <w:pPr>
              <w:ind w:left="295"/>
              <w:spacing w:before="33" w:line="220" w:lineRule="auto"/>
              <w:rPr>
                <w:rFonts w:ascii="SimSun" w:hAnsi="SimSun" w:eastAsia="SimSun" w:cs="SimSun"/>
                <w:sz w:val="20"/>
                <w:szCs w:val="20"/>
              </w:rPr>
            </w:pPr>
            <w:r>
              <w:rPr>
                <w:rFonts w:ascii="SimSun" w:hAnsi="SimSun" w:eastAsia="SimSun" w:cs="SimSun"/>
                <w:sz w:val="20"/>
                <w:szCs w:val="20"/>
                <w:spacing w:val="6"/>
              </w:rPr>
              <w:t>污染途径</w:t>
            </w:r>
          </w:p>
        </w:tc>
        <w:tc>
          <w:tcPr>
            <w:tcW w:w="4073" w:type="dxa"/>
            <w:vAlign w:val="top"/>
          </w:tcPr>
          <w:p>
            <w:pPr>
              <w:ind w:left="1634"/>
              <w:spacing w:before="33" w:line="220" w:lineRule="auto"/>
              <w:rPr>
                <w:rFonts w:ascii="SimSun" w:hAnsi="SimSun" w:eastAsia="SimSun" w:cs="SimSun"/>
                <w:sz w:val="20"/>
                <w:szCs w:val="20"/>
              </w:rPr>
            </w:pPr>
            <w:r>
              <w:rPr>
                <w:rFonts w:ascii="SimSun" w:hAnsi="SimSun" w:eastAsia="SimSun" w:cs="SimSun"/>
                <w:sz w:val="20"/>
                <w:szCs w:val="20"/>
                <w:spacing w:val="4"/>
              </w:rPr>
              <w:t>防治措施</w:t>
            </w:r>
          </w:p>
        </w:tc>
      </w:tr>
      <w:tr>
        <w:trPr>
          <w:trHeight w:val="278" w:hRule="atLeast"/>
        </w:trPr>
        <w:tc>
          <w:tcPr>
            <w:tcW w:w="1314"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ind w:left="245"/>
              <w:spacing w:before="65" w:line="228" w:lineRule="auto"/>
              <w:rPr>
                <w:rFonts w:ascii="SimSun" w:hAnsi="SimSun" w:eastAsia="SimSun" w:cs="SimSun"/>
                <w:sz w:val="20"/>
                <w:szCs w:val="20"/>
              </w:rPr>
            </w:pPr>
            <w:r>
              <w:rPr>
                <w:rFonts w:ascii="SimSun" w:hAnsi="SimSun" w:eastAsia="SimSun" w:cs="SimSun"/>
                <w:sz w:val="20"/>
                <w:szCs w:val="20"/>
                <w:spacing w:val="6"/>
              </w:rPr>
              <w:t>工业场地</w:t>
            </w:r>
          </w:p>
        </w:tc>
        <w:tc>
          <w:tcPr>
            <w:tcW w:w="2487" w:type="dxa"/>
            <w:vAlign w:val="top"/>
            <w:vMerge w:val="restart"/>
            <w:tcBorders>
              <w:bottom w:val="nil"/>
            </w:tcBorders>
          </w:tcPr>
          <w:p>
            <w:pPr>
              <w:spacing w:line="243" w:lineRule="auto"/>
              <w:rPr>
                <w:rFonts w:ascii="Arial"/>
                <w:sz w:val="21"/>
              </w:rPr>
            </w:pPr>
            <w:r/>
          </w:p>
          <w:p>
            <w:pPr>
              <w:ind w:left="409"/>
              <w:spacing w:before="65" w:line="228" w:lineRule="auto"/>
              <w:rPr>
                <w:rFonts w:ascii="SimSun" w:hAnsi="SimSun" w:eastAsia="SimSun" w:cs="SimSun"/>
                <w:sz w:val="20"/>
                <w:szCs w:val="20"/>
              </w:rPr>
            </w:pPr>
            <w:r>
              <w:rPr>
                <w:rFonts w:ascii="SimSun" w:hAnsi="SimSun" w:eastAsia="SimSun" w:cs="SimSun"/>
                <w:sz w:val="20"/>
                <w:szCs w:val="20"/>
                <w:spacing w:val="8"/>
              </w:rPr>
              <w:t>生活污水处理设施</w:t>
            </w:r>
          </w:p>
        </w:tc>
        <w:tc>
          <w:tcPr>
            <w:tcW w:w="1418" w:type="dxa"/>
            <w:vAlign w:val="top"/>
            <w:vMerge w:val="restart"/>
            <w:tcBorders>
              <w:bottom w:val="nil"/>
            </w:tcBorders>
          </w:tcPr>
          <w:p>
            <w:pPr>
              <w:spacing w:line="244" w:lineRule="auto"/>
              <w:rPr>
                <w:rFonts w:ascii="Arial"/>
                <w:sz w:val="21"/>
              </w:rPr>
            </w:pPr>
            <w:r/>
          </w:p>
          <w:p>
            <w:pPr>
              <w:ind w:left="294"/>
              <w:spacing w:before="65" w:line="228" w:lineRule="auto"/>
              <w:rPr>
                <w:rFonts w:ascii="SimSun" w:hAnsi="SimSun" w:eastAsia="SimSun" w:cs="SimSun"/>
                <w:sz w:val="20"/>
                <w:szCs w:val="20"/>
              </w:rPr>
            </w:pPr>
            <w:r>
              <w:rPr>
                <w:rFonts w:ascii="SimSun" w:hAnsi="SimSun" w:eastAsia="SimSun" w:cs="SimSun"/>
                <w:sz w:val="20"/>
                <w:szCs w:val="20"/>
                <w:spacing w:val="7"/>
              </w:rPr>
              <w:t>垂直入渗</w:t>
            </w:r>
          </w:p>
        </w:tc>
        <w:tc>
          <w:tcPr>
            <w:tcW w:w="4073" w:type="dxa"/>
            <w:vAlign w:val="top"/>
          </w:tcPr>
          <w:p>
            <w:pPr>
              <w:ind w:left="1414"/>
              <w:spacing w:before="29" w:line="220" w:lineRule="auto"/>
              <w:rPr>
                <w:rFonts w:ascii="SimSun" w:hAnsi="SimSun" w:eastAsia="SimSun" w:cs="SimSun"/>
                <w:sz w:val="20"/>
                <w:szCs w:val="20"/>
              </w:rPr>
            </w:pPr>
            <w:r>
              <w:rPr>
                <w:rFonts w:ascii="SimSun" w:hAnsi="SimSun" w:eastAsia="SimSun" w:cs="SimSun"/>
                <w:sz w:val="20"/>
                <w:szCs w:val="20"/>
                <w:spacing w:val="7"/>
              </w:rPr>
              <w:t>生活污水处理</w:t>
            </w:r>
          </w:p>
        </w:tc>
      </w:tr>
      <w:tr>
        <w:trPr>
          <w:trHeight w:val="275"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bottom w:val="nil"/>
            </w:tcBorders>
          </w:tcPr>
          <w:p>
            <w:pPr>
              <w:rPr>
                <w:rFonts w:ascii="Arial"/>
                <w:sz w:val="21"/>
              </w:rPr>
            </w:pPr>
            <w:r/>
          </w:p>
        </w:tc>
        <w:tc>
          <w:tcPr>
            <w:tcW w:w="1418" w:type="dxa"/>
            <w:vAlign w:val="top"/>
            <w:vMerge w:val="continue"/>
            <w:tcBorders>
              <w:top w:val="nil"/>
              <w:bottom w:val="nil"/>
            </w:tcBorders>
          </w:tcPr>
          <w:p>
            <w:pPr>
              <w:rPr>
                <w:rFonts w:ascii="Arial"/>
                <w:sz w:val="21"/>
              </w:rPr>
            </w:pPr>
            <w:r/>
          </w:p>
        </w:tc>
        <w:tc>
          <w:tcPr>
            <w:tcW w:w="4073" w:type="dxa"/>
            <w:vAlign w:val="top"/>
          </w:tcPr>
          <w:p>
            <w:pPr>
              <w:ind w:left="1309"/>
              <w:spacing w:before="29" w:line="217" w:lineRule="auto"/>
              <w:rPr>
                <w:rFonts w:ascii="SimSun" w:hAnsi="SimSun" w:eastAsia="SimSun" w:cs="SimSun"/>
                <w:sz w:val="20"/>
                <w:szCs w:val="20"/>
              </w:rPr>
            </w:pPr>
            <w:r>
              <w:rPr>
                <w:rFonts w:ascii="SimSun" w:hAnsi="SimSun" w:eastAsia="SimSun" w:cs="SimSun"/>
                <w:sz w:val="20"/>
                <w:szCs w:val="20"/>
                <w:spacing w:val="8"/>
              </w:rPr>
              <w:t>处理后综合利用</w:t>
            </w:r>
          </w:p>
        </w:tc>
      </w:tr>
      <w:tr>
        <w:trPr>
          <w:trHeight w:val="278"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tcBorders>
          </w:tcPr>
          <w:p>
            <w:pPr>
              <w:rPr>
                <w:rFonts w:ascii="Arial"/>
                <w:sz w:val="21"/>
              </w:rPr>
            </w:pPr>
            <w:r/>
          </w:p>
        </w:tc>
        <w:tc>
          <w:tcPr>
            <w:tcW w:w="1418" w:type="dxa"/>
            <w:vAlign w:val="top"/>
            <w:vMerge w:val="continue"/>
            <w:tcBorders>
              <w:top w:val="nil"/>
            </w:tcBorders>
          </w:tcPr>
          <w:p>
            <w:pPr>
              <w:rPr>
                <w:rFonts w:ascii="Arial"/>
                <w:sz w:val="21"/>
              </w:rPr>
            </w:pPr>
            <w:r/>
          </w:p>
        </w:tc>
        <w:tc>
          <w:tcPr>
            <w:tcW w:w="4073" w:type="dxa"/>
            <w:vAlign w:val="top"/>
          </w:tcPr>
          <w:p>
            <w:pPr>
              <w:ind w:left="1097"/>
              <w:spacing w:before="30" w:line="219" w:lineRule="auto"/>
              <w:rPr>
                <w:rFonts w:ascii="SimSun" w:hAnsi="SimSun" w:eastAsia="SimSun" w:cs="SimSun"/>
                <w:sz w:val="20"/>
                <w:szCs w:val="20"/>
              </w:rPr>
            </w:pPr>
            <w:r>
              <w:rPr>
                <w:rFonts w:ascii="SimSun" w:hAnsi="SimSun" w:eastAsia="SimSun" w:cs="SimSun"/>
                <w:sz w:val="20"/>
                <w:szCs w:val="20"/>
                <w:spacing w:val="8"/>
              </w:rPr>
              <w:t>生活污水处理站防渗</w:t>
            </w:r>
          </w:p>
        </w:tc>
      </w:tr>
      <w:tr>
        <w:trPr>
          <w:trHeight w:val="278" w:hRule="atLeast"/>
        </w:trPr>
        <w:tc>
          <w:tcPr>
            <w:tcW w:w="1314" w:type="dxa"/>
            <w:vAlign w:val="top"/>
            <w:vMerge w:val="continue"/>
            <w:tcBorders>
              <w:top w:val="nil"/>
              <w:bottom w:val="nil"/>
            </w:tcBorders>
          </w:tcPr>
          <w:p>
            <w:pPr>
              <w:rPr>
                <w:rFonts w:ascii="Arial"/>
                <w:sz w:val="21"/>
              </w:rPr>
            </w:pPr>
            <w:r/>
          </w:p>
        </w:tc>
        <w:tc>
          <w:tcPr>
            <w:tcW w:w="2487" w:type="dxa"/>
            <w:vAlign w:val="top"/>
            <w:vMerge w:val="restart"/>
            <w:tcBorders>
              <w:bottom w:val="nil"/>
            </w:tcBorders>
          </w:tcPr>
          <w:p>
            <w:pPr>
              <w:ind w:left="406"/>
              <w:spacing w:before="170" w:line="227" w:lineRule="auto"/>
              <w:rPr>
                <w:rFonts w:ascii="SimSun" w:hAnsi="SimSun" w:eastAsia="SimSun" w:cs="SimSun"/>
                <w:sz w:val="20"/>
                <w:szCs w:val="20"/>
              </w:rPr>
            </w:pPr>
            <w:r>
              <w:rPr>
                <w:rFonts w:ascii="SimSun" w:hAnsi="SimSun" w:eastAsia="SimSun" w:cs="SimSun"/>
                <w:sz w:val="20"/>
                <w:szCs w:val="20"/>
                <w:spacing w:val="8"/>
              </w:rPr>
              <w:t>机修车间、危废库</w:t>
            </w:r>
          </w:p>
        </w:tc>
        <w:tc>
          <w:tcPr>
            <w:tcW w:w="1418" w:type="dxa"/>
            <w:vAlign w:val="top"/>
            <w:vMerge w:val="restart"/>
            <w:tcBorders>
              <w:bottom w:val="nil"/>
            </w:tcBorders>
          </w:tcPr>
          <w:p>
            <w:pPr>
              <w:ind w:left="294"/>
              <w:spacing w:before="170" w:line="228" w:lineRule="auto"/>
              <w:rPr>
                <w:rFonts w:ascii="SimSun" w:hAnsi="SimSun" w:eastAsia="SimSun" w:cs="SimSun"/>
                <w:sz w:val="20"/>
                <w:szCs w:val="20"/>
              </w:rPr>
            </w:pPr>
            <w:r>
              <w:rPr>
                <w:rFonts w:ascii="SimSun" w:hAnsi="SimSun" w:eastAsia="SimSun" w:cs="SimSun"/>
                <w:sz w:val="20"/>
                <w:szCs w:val="20"/>
                <w:spacing w:val="7"/>
              </w:rPr>
              <w:t>垂直入渗</w:t>
            </w:r>
          </w:p>
        </w:tc>
        <w:tc>
          <w:tcPr>
            <w:tcW w:w="4073" w:type="dxa"/>
            <w:vAlign w:val="top"/>
          </w:tcPr>
          <w:p>
            <w:pPr>
              <w:ind w:left="1846"/>
              <w:spacing w:before="30" w:line="219" w:lineRule="auto"/>
              <w:rPr>
                <w:rFonts w:ascii="SimSun" w:hAnsi="SimSun" w:eastAsia="SimSun" w:cs="SimSun"/>
                <w:sz w:val="20"/>
                <w:szCs w:val="20"/>
              </w:rPr>
            </w:pPr>
            <w:r>
              <w:rPr>
                <w:rFonts w:ascii="SimSun" w:hAnsi="SimSun" w:eastAsia="SimSun" w:cs="SimSun"/>
                <w:sz w:val="20"/>
                <w:szCs w:val="20"/>
                <w:spacing w:val="-2"/>
              </w:rPr>
              <w:t>防渗</w:t>
            </w:r>
          </w:p>
        </w:tc>
      </w:tr>
      <w:tr>
        <w:trPr>
          <w:trHeight w:val="275" w:hRule="atLeast"/>
        </w:trPr>
        <w:tc>
          <w:tcPr>
            <w:tcW w:w="1314" w:type="dxa"/>
            <w:vAlign w:val="top"/>
            <w:vMerge w:val="continue"/>
            <w:tcBorders>
              <w:top w:val="nil"/>
            </w:tcBorders>
          </w:tcPr>
          <w:p>
            <w:pPr>
              <w:rPr>
                <w:rFonts w:ascii="Arial"/>
                <w:sz w:val="21"/>
              </w:rPr>
            </w:pPr>
            <w:r/>
          </w:p>
        </w:tc>
        <w:tc>
          <w:tcPr>
            <w:tcW w:w="2487" w:type="dxa"/>
            <w:vAlign w:val="top"/>
            <w:vMerge w:val="continue"/>
            <w:tcBorders>
              <w:top w:val="nil"/>
            </w:tcBorders>
          </w:tcPr>
          <w:p>
            <w:pPr>
              <w:rPr>
                <w:rFonts w:ascii="Arial"/>
                <w:sz w:val="21"/>
              </w:rPr>
            </w:pPr>
            <w:r/>
          </w:p>
        </w:tc>
        <w:tc>
          <w:tcPr>
            <w:tcW w:w="1418" w:type="dxa"/>
            <w:vAlign w:val="top"/>
            <w:vMerge w:val="continue"/>
            <w:tcBorders>
              <w:top w:val="nil"/>
            </w:tcBorders>
          </w:tcPr>
          <w:p>
            <w:pPr>
              <w:rPr>
                <w:rFonts w:ascii="Arial"/>
                <w:sz w:val="21"/>
              </w:rPr>
            </w:pPr>
            <w:r/>
          </w:p>
        </w:tc>
        <w:tc>
          <w:tcPr>
            <w:tcW w:w="4073" w:type="dxa"/>
            <w:vAlign w:val="top"/>
          </w:tcPr>
          <w:p>
            <w:pPr>
              <w:ind w:left="1622"/>
              <w:spacing w:before="31" w:line="216" w:lineRule="auto"/>
              <w:rPr>
                <w:rFonts w:ascii="SimSun" w:hAnsi="SimSun" w:eastAsia="SimSun" w:cs="SimSun"/>
                <w:sz w:val="20"/>
                <w:szCs w:val="20"/>
              </w:rPr>
            </w:pPr>
            <w:r>
              <w:rPr>
                <w:rFonts w:ascii="SimSun" w:hAnsi="SimSun" w:eastAsia="SimSun" w:cs="SimSun"/>
                <w:sz w:val="20"/>
                <w:szCs w:val="20"/>
                <w:spacing w:val="7"/>
              </w:rPr>
              <w:t>风险防范</w:t>
            </w:r>
          </w:p>
        </w:tc>
      </w:tr>
      <w:tr>
        <w:trPr>
          <w:trHeight w:val="278" w:hRule="atLeast"/>
        </w:trPr>
        <w:tc>
          <w:tcPr>
            <w:tcW w:w="1314" w:type="dxa"/>
            <w:vAlign w:val="top"/>
            <w:vMerge w:val="restart"/>
            <w:tcBorders>
              <w:bottom w:val="nil"/>
            </w:tcBorders>
          </w:tcPr>
          <w:p>
            <w:pPr>
              <w:spacing w:line="334" w:lineRule="auto"/>
              <w:rPr>
                <w:rFonts w:ascii="Arial"/>
                <w:sz w:val="21"/>
              </w:rPr>
            </w:pPr>
            <w:r/>
          </w:p>
          <w:p>
            <w:pPr>
              <w:spacing w:line="334" w:lineRule="auto"/>
              <w:rPr>
                <w:rFonts w:ascii="Arial"/>
                <w:sz w:val="21"/>
              </w:rPr>
            </w:pPr>
            <w:r/>
          </w:p>
          <w:p>
            <w:pPr>
              <w:ind w:left="149"/>
              <w:spacing w:before="65" w:line="228" w:lineRule="auto"/>
              <w:rPr>
                <w:rFonts w:ascii="SimSun" w:hAnsi="SimSun" w:eastAsia="SimSun" w:cs="SimSun"/>
                <w:sz w:val="20"/>
                <w:szCs w:val="20"/>
              </w:rPr>
            </w:pPr>
            <w:r>
              <w:rPr>
                <w:rFonts w:ascii="SimSun" w:hAnsi="SimSun" w:eastAsia="SimSun" w:cs="SimSun"/>
                <w:sz w:val="20"/>
                <w:szCs w:val="20"/>
                <w:spacing w:val="5"/>
              </w:rPr>
              <w:t>临时堆存场</w:t>
            </w:r>
          </w:p>
        </w:tc>
        <w:tc>
          <w:tcPr>
            <w:tcW w:w="2487" w:type="dxa"/>
            <w:vAlign w:val="top"/>
            <w:vMerge w:val="restart"/>
            <w:tcBorders>
              <w:bottom w:val="nil"/>
            </w:tcBorders>
          </w:tcPr>
          <w:p>
            <w:pPr>
              <w:spacing w:line="334" w:lineRule="auto"/>
              <w:rPr>
                <w:rFonts w:ascii="Arial"/>
                <w:sz w:val="21"/>
              </w:rPr>
            </w:pPr>
            <w:r/>
          </w:p>
          <w:p>
            <w:pPr>
              <w:spacing w:line="334" w:lineRule="auto"/>
              <w:rPr>
                <w:rFonts w:ascii="Arial"/>
                <w:sz w:val="21"/>
              </w:rPr>
            </w:pPr>
            <w:r/>
          </w:p>
          <w:p>
            <w:pPr>
              <w:ind w:left="198"/>
              <w:spacing w:before="65" w:line="228" w:lineRule="auto"/>
              <w:rPr>
                <w:rFonts w:ascii="SimSun" w:hAnsi="SimSun" w:eastAsia="SimSun" w:cs="SimSun"/>
                <w:sz w:val="20"/>
                <w:szCs w:val="20"/>
              </w:rPr>
            </w:pPr>
            <w:r>
              <w:rPr>
                <w:rFonts w:ascii="SimSun" w:hAnsi="SimSun" w:eastAsia="SimSun" w:cs="SimSun"/>
                <w:sz w:val="20"/>
                <w:szCs w:val="20"/>
                <w:spacing w:val="8"/>
              </w:rPr>
              <w:t>排土场、剥离物堆存场</w:t>
            </w:r>
          </w:p>
        </w:tc>
        <w:tc>
          <w:tcPr>
            <w:tcW w:w="1418" w:type="dxa"/>
            <w:vAlign w:val="top"/>
          </w:tcPr>
          <w:p>
            <w:pPr>
              <w:ind w:left="296"/>
              <w:spacing w:before="31" w:line="218" w:lineRule="auto"/>
              <w:rPr>
                <w:rFonts w:ascii="SimSun" w:hAnsi="SimSun" w:eastAsia="SimSun" w:cs="SimSun"/>
                <w:sz w:val="20"/>
                <w:szCs w:val="20"/>
              </w:rPr>
            </w:pPr>
            <w:r>
              <w:rPr>
                <w:rFonts w:ascii="SimSun" w:hAnsi="SimSun" w:eastAsia="SimSun" w:cs="SimSun"/>
                <w:sz w:val="20"/>
                <w:szCs w:val="20"/>
                <w:spacing w:val="6"/>
              </w:rPr>
              <w:t>大气沉降</w:t>
            </w:r>
          </w:p>
        </w:tc>
        <w:tc>
          <w:tcPr>
            <w:tcW w:w="4073" w:type="dxa"/>
            <w:vAlign w:val="top"/>
          </w:tcPr>
          <w:p>
            <w:pPr>
              <w:ind w:left="1622"/>
              <w:spacing w:before="31" w:line="218" w:lineRule="auto"/>
              <w:rPr>
                <w:rFonts w:ascii="SimSun" w:hAnsi="SimSun" w:eastAsia="SimSun" w:cs="SimSun"/>
                <w:sz w:val="20"/>
                <w:szCs w:val="20"/>
              </w:rPr>
            </w:pPr>
            <w:r>
              <w:rPr>
                <w:rFonts w:ascii="SimSun" w:hAnsi="SimSun" w:eastAsia="SimSun" w:cs="SimSun"/>
                <w:sz w:val="20"/>
                <w:szCs w:val="20"/>
                <w:spacing w:val="7"/>
              </w:rPr>
              <w:t>植被恢复</w:t>
            </w:r>
          </w:p>
        </w:tc>
      </w:tr>
      <w:tr>
        <w:trPr>
          <w:trHeight w:val="278"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bottom w:val="nil"/>
            </w:tcBorders>
          </w:tcPr>
          <w:p>
            <w:pPr>
              <w:rPr>
                <w:rFonts w:ascii="Arial"/>
                <w:sz w:val="21"/>
              </w:rPr>
            </w:pPr>
            <w:r/>
          </w:p>
        </w:tc>
        <w:tc>
          <w:tcPr>
            <w:tcW w:w="1418" w:type="dxa"/>
            <w:vAlign w:val="top"/>
            <w:vMerge w:val="restart"/>
            <w:tcBorders>
              <w:bottom w:val="nil"/>
            </w:tcBorders>
          </w:tcPr>
          <w:p>
            <w:pPr>
              <w:ind w:left="294"/>
              <w:spacing w:before="172" w:line="228" w:lineRule="auto"/>
              <w:rPr>
                <w:rFonts w:ascii="SimSun" w:hAnsi="SimSun" w:eastAsia="SimSun" w:cs="SimSun"/>
                <w:sz w:val="20"/>
                <w:szCs w:val="20"/>
              </w:rPr>
            </w:pPr>
            <w:r>
              <w:rPr>
                <w:rFonts w:ascii="SimSun" w:hAnsi="SimSun" w:eastAsia="SimSun" w:cs="SimSun"/>
                <w:sz w:val="20"/>
                <w:szCs w:val="20"/>
                <w:spacing w:val="7"/>
              </w:rPr>
              <w:t>地面漫流</w:t>
            </w:r>
          </w:p>
        </w:tc>
        <w:tc>
          <w:tcPr>
            <w:tcW w:w="4073" w:type="dxa"/>
            <w:vAlign w:val="top"/>
          </w:tcPr>
          <w:p>
            <w:pPr>
              <w:ind w:left="1620"/>
              <w:spacing w:before="32" w:line="217" w:lineRule="auto"/>
              <w:rPr>
                <w:rFonts w:ascii="SimSun" w:hAnsi="SimSun" w:eastAsia="SimSun" w:cs="SimSun"/>
                <w:sz w:val="20"/>
                <w:szCs w:val="20"/>
              </w:rPr>
            </w:pPr>
            <w:r>
              <w:rPr>
                <w:rFonts w:ascii="SimSun" w:hAnsi="SimSun" w:eastAsia="SimSun" w:cs="SimSun"/>
                <w:sz w:val="20"/>
                <w:szCs w:val="20"/>
                <w:spacing w:val="7"/>
              </w:rPr>
              <w:t>截排水沟</w:t>
            </w:r>
          </w:p>
        </w:tc>
      </w:tr>
      <w:tr>
        <w:trPr>
          <w:trHeight w:val="275"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bottom w:val="nil"/>
            </w:tcBorders>
          </w:tcPr>
          <w:p>
            <w:pPr>
              <w:rPr>
                <w:rFonts w:ascii="Arial"/>
                <w:sz w:val="21"/>
              </w:rPr>
            </w:pPr>
            <w:r/>
          </w:p>
        </w:tc>
        <w:tc>
          <w:tcPr>
            <w:tcW w:w="1418" w:type="dxa"/>
            <w:vAlign w:val="top"/>
            <w:vMerge w:val="continue"/>
            <w:tcBorders>
              <w:top w:val="nil"/>
            </w:tcBorders>
          </w:tcPr>
          <w:p>
            <w:pPr>
              <w:rPr>
                <w:rFonts w:ascii="Arial"/>
                <w:sz w:val="21"/>
              </w:rPr>
            </w:pPr>
            <w:r/>
          </w:p>
        </w:tc>
        <w:tc>
          <w:tcPr>
            <w:tcW w:w="4073" w:type="dxa"/>
            <w:vAlign w:val="top"/>
          </w:tcPr>
          <w:p>
            <w:pPr>
              <w:ind w:left="1202"/>
              <w:spacing w:before="33" w:line="214" w:lineRule="auto"/>
              <w:rPr>
                <w:rFonts w:ascii="SimSun" w:hAnsi="SimSun" w:eastAsia="SimSun" w:cs="SimSun"/>
                <w:sz w:val="20"/>
                <w:szCs w:val="20"/>
              </w:rPr>
            </w:pPr>
            <w:r>
              <w:rPr>
                <w:rFonts w:ascii="SimSun" w:hAnsi="SimSun" w:eastAsia="SimSun" w:cs="SimSun"/>
                <w:sz w:val="20"/>
                <w:szCs w:val="20"/>
                <w:spacing w:val="8"/>
              </w:rPr>
              <w:t>植被恢复减少径流</w:t>
            </w:r>
          </w:p>
        </w:tc>
      </w:tr>
      <w:tr>
        <w:trPr>
          <w:trHeight w:val="278"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bottom w:val="nil"/>
            </w:tcBorders>
          </w:tcPr>
          <w:p>
            <w:pPr>
              <w:rPr>
                <w:rFonts w:ascii="Arial"/>
                <w:sz w:val="21"/>
              </w:rPr>
            </w:pPr>
            <w:r/>
          </w:p>
        </w:tc>
        <w:tc>
          <w:tcPr>
            <w:tcW w:w="1418" w:type="dxa"/>
            <w:vAlign w:val="top"/>
            <w:vMerge w:val="restart"/>
            <w:tcBorders>
              <w:bottom w:val="nil"/>
            </w:tcBorders>
          </w:tcPr>
          <w:p>
            <w:pPr>
              <w:spacing w:line="250" w:lineRule="auto"/>
              <w:rPr>
                <w:rFonts w:ascii="Arial"/>
                <w:sz w:val="21"/>
              </w:rPr>
            </w:pPr>
            <w:r/>
          </w:p>
          <w:p>
            <w:pPr>
              <w:ind w:left="294"/>
              <w:spacing w:before="65" w:line="228" w:lineRule="auto"/>
              <w:rPr>
                <w:rFonts w:ascii="SimSun" w:hAnsi="SimSun" w:eastAsia="SimSun" w:cs="SimSun"/>
                <w:sz w:val="20"/>
                <w:szCs w:val="20"/>
              </w:rPr>
            </w:pPr>
            <w:r>
              <w:rPr>
                <w:rFonts w:ascii="SimSun" w:hAnsi="SimSun" w:eastAsia="SimSun" w:cs="SimSun"/>
                <w:sz w:val="20"/>
                <w:szCs w:val="20"/>
                <w:spacing w:val="7"/>
              </w:rPr>
              <w:t>垂直入渗</w:t>
            </w:r>
          </w:p>
        </w:tc>
        <w:tc>
          <w:tcPr>
            <w:tcW w:w="4073" w:type="dxa"/>
            <w:vAlign w:val="top"/>
          </w:tcPr>
          <w:p>
            <w:pPr>
              <w:ind w:left="1516"/>
              <w:spacing w:before="33" w:line="216" w:lineRule="auto"/>
              <w:rPr>
                <w:rFonts w:ascii="SimSun" w:hAnsi="SimSun" w:eastAsia="SimSun" w:cs="SimSun"/>
                <w:sz w:val="20"/>
                <w:szCs w:val="20"/>
              </w:rPr>
            </w:pPr>
            <w:r>
              <w:rPr>
                <w:rFonts w:ascii="SimSun" w:hAnsi="SimSun" w:eastAsia="SimSun" w:cs="SimSun"/>
                <w:sz w:val="20"/>
                <w:szCs w:val="20"/>
                <w:spacing w:val="8"/>
              </w:rPr>
              <w:t>排土场压实</w:t>
            </w:r>
          </w:p>
        </w:tc>
      </w:tr>
      <w:tr>
        <w:trPr>
          <w:trHeight w:val="275" w:hRule="atLeast"/>
        </w:trPr>
        <w:tc>
          <w:tcPr>
            <w:tcW w:w="1314" w:type="dxa"/>
            <w:vAlign w:val="top"/>
            <w:vMerge w:val="continue"/>
            <w:tcBorders>
              <w:top w:val="nil"/>
              <w:bottom w:val="nil"/>
            </w:tcBorders>
          </w:tcPr>
          <w:p>
            <w:pPr>
              <w:rPr>
                <w:rFonts w:ascii="Arial"/>
                <w:sz w:val="21"/>
              </w:rPr>
            </w:pPr>
            <w:r/>
          </w:p>
        </w:tc>
        <w:tc>
          <w:tcPr>
            <w:tcW w:w="2487" w:type="dxa"/>
            <w:vAlign w:val="top"/>
            <w:vMerge w:val="continue"/>
            <w:tcBorders>
              <w:top w:val="nil"/>
              <w:bottom w:val="nil"/>
            </w:tcBorders>
          </w:tcPr>
          <w:p>
            <w:pPr>
              <w:rPr>
                <w:rFonts w:ascii="Arial"/>
                <w:sz w:val="21"/>
              </w:rPr>
            </w:pPr>
            <w:r/>
          </w:p>
        </w:tc>
        <w:tc>
          <w:tcPr>
            <w:tcW w:w="1418" w:type="dxa"/>
            <w:vAlign w:val="top"/>
            <w:vMerge w:val="continue"/>
            <w:tcBorders>
              <w:top w:val="nil"/>
              <w:bottom w:val="nil"/>
            </w:tcBorders>
          </w:tcPr>
          <w:p>
            <w:pPr>
              <w:rPr>
                <w:rFonts w:ascii="Arial"/>
                <w:sz w:val="21"/>
              </w:rPr>
            </w:pPr>
            <w:r/>
          </w:p>
        </w:tc>
        <w:tc>
          <w:tcPr>
            <w:tcW w:w="4073" w:type="dxa"/>
            <w:vAlign w:val="top"/>
          </w:tcPr>
          <w:p>
            <w:pPr>
              <w:ind w:left="1304"/>
              <w:spacing w:before="33" w:line="214" w:lineRule="auto"/>
              <w:rPr>
                <w:rFonts w:ascii="SimSun" w:hAnsi="SimSun" w:eastAsia="SimSun" w:cs="SimSun"/>
                <w:sz w:val="20"/>
                <w:szCs w:val="20"/>
              </w:rPr>
            </w:pPr>
            <w:r>
              <w:rPr>
                <w:rFonts w:ascii="SimSun" w:hAnsi="SimSun" w:eastAsia="SimSun" w:cs="SimSun"/>
                <w:sz w:val="20"/>
                <w:szCs w:val="20"/>
                <w:spacing w:val="8"/>
              </w:rPr>
              <w:t>排土场及时覆土</w:t>
            </w:r>
          </w:p>
        </w:tc>
      </w:tr>
      <w:tr>
        <w:trPr>
          <w:trHeight w:val="283" w:hRule="atLeast"/>
        </w:trPr>
        <w:tc>
          <w:tcPr>
            <w:tcW w:w="1314" w:type="dxa"/>
            <w:vAlign w:val="top"/>
            <w:vMerge w:val="continue"/>
            <w:tcBorders>
              <w:top w:val="nil"/>
            </w:tcBorders>
          </w:tcPr>
          <w:p>
            <w:pPr>
              <w:rPr>
                <w:rFonts w:ascii="Arial"/>
                <w:sz w:val="21"/>
              </w:rPr>
            </w:pPr>
            <w:r/>
          </w:p>
        </w:tc>
        <w:tc>
          <w:tcPr>
            <w:tcW w:w="2487" w:type="dxa"/>
            <w:vAlign w:val="top"/>
            <w:vMerge w:val="continue"/>
            <w:tcBorders>
              <w:top w:val="nil"/>
            </w:tcBorders>
          </w:tcPr>
          <w:p>
            <w:pPr>
              <w:rPr>
                <w:rFonts w:ascii="Arial"/>
                <w:sz w:val="21"/>
              </w:rPr>
            </w:pPr>
            <w:r/>
          </w:p>
        </w:tc>
        <w:tc>
          <w:tcPr>
            <w:tcW w:w="1418" w:type="dxa"/>
            <w:vAlign w:val="top"/>
            <w:vMerge w:val="continue"/>
            <w:tcBorders>
              <w:top w:val="nil"/>
            </w:tcBorders>
          </w:tcPr>
          <w:p>
            <w:pPr>
              <w:rPr>
                <w:rFonts w:ascii="Arial"/>
                <w:sz w:val="21"/>
              </w:rPr>
            </w:pPr>
            <w:r/>
          </w:p>
        </w:tc>
        <w:tc>
          <w:tcPr>
            <w:tcW w:w="4073" w:type="dxa"/>
            <w:vAlign w:val="top"/>
          </w:tcPr>
          <w:p>
            <w:pPr>
              <w:ind w:left="886"/>
              <w:spacing w:before="36" w:line="218" w:lineRule="auto"/>
              <w:rPr>
                <w:rFonts w:ascii="SimSun" w:hAnsi="SimSun" w:eastAsia="SimSun" w:cs="SimSun"/>
                <w:sz w:val="20"/>
                <w:szCs w:val="20"/>
              </w:rPr>
            </w:pPr>
            <w:r>
              <w:rPr>
                <w:rFonts w:ascii="SimSun" w:hAnsi="SimSun" w:eastAsia="SimSun" w:cs="SimSun"/>
                <w:sz w:val="20"/>
                <w:szCs w:val="20"/>
                <w:spacing w:val="9"/>
              </w:rPr>
              <w:t>生态重建、植被恢复截留</w:t>
            </w:r>
          </w:p>
        </w:tc>
      </w:tr>
    </w:tbl>
    <w:p>
      <w:pPr>
        <w:ind w:left="122"/>
        <w:spacing w:before="239" w:line="224" w:lineRule="auto"/>
        <w:rPr>
          <w:rFonts w:ascii="SimHei" w:hAnsi="SimHei" w:eastAsia="SimHei" w:cs="SimHei"/>
          <w:sz w:val="28"/>
          <w:szCs w:val="28"/>
        </w:rPr>
      </w:pPr>
      <w:r>
        <w:rPr>
          <w:rFonts w:ascii="Times New Roman" w:hAnsi="Times New Roman" w:eastAsia="Times New Roman" w:cs="Times New Roman"/>
          <w:sz w:val="28"/>
          <w:szCs w:val="28"/>
          <w:b/>
          <w:bCs/>
          <w:spacing w:val="-2"/>
        </w:rPr>
        <w:t>7.6.3 </w:t>
      </w:r>
      <w:r>
        <w:rPr>
          <w:rFonts w:ascii="SimHei" w:hAnsi="SimHei" w:eastAsia="SimHei" w:cs="SimHei"/>
          <w:sz w:val="28"/>
          <w:szCs w:val="28"/>
          <w:b/>
          <w:bCs/>
          <w:spacing w:val="-2"/>
        </w:rPr>
        <w:t>跟踪监测计划</w:t>
      </w:r>
    </w:p>
    <w:p>
      <w:pPr>
        <w:ind w:left="121" w:right="112" w:firstLine="483"/>
        <w:spacing w:before="167" w:line="341" w:lineRule="auto"/>
        <w:rPr>
          <w:rFonts w:ascii="SimSun" w:hAnsi="SimSun" w:eastAsia="SimSun" w:cs="SimSun"/>
          <w:sz w:val="24"/>
          <w:szCs w:val="24"/>
        </w:rPr>
      </w:pPr>
      <w:r>
        <w:rPr>
          <w:rFonts w:ascii="SimSun" w:hAnsi="SimSun" w:eastAsia="SimSun" w:cs="SimSun"/>
          <w:sz w:val="24"/>
          <w:szCs w:val="24"/>
          <w:spacing w:val="5"/>
        </w:rPr>
        <w:t>为及时掌握土壤环境影响范围与程度，因地制宜采取土壤环境影响防控与治理措</w:t>
      </w:r>
      <w:r>
        <w:rPr>
          <w:rFonts w:ascii="SimSun" w:hAnsi="SimSun" w:eastAsia="SimSun" w:cs="SimSun"/>
          <w:sz w:val="24"/>
          <w:szCs w:val="24"/>
          <w:spacing w:val="-2"/>
        </w:rPr>
        <w:t>施。根据本项目土壤环境影响源、影响途径结合现状监测点布设以及采掘场推进计划，</w:t>
      </w:r>
    </w:p>
    <w:p>
      <w:pPr>
        <w:spacing w:line="341" w:lineRule="auto"/>
        <w:sectPr>
          <w:headerReference w:type="default" r:id="rId528"/>
          <w:footerReference w:type="default" r:id="rId529"/>
          <w:pgSz w:w="11906" w:h="16838"/>
          <w:pgMar w:top="1174" w:right="1304" w:bottom="1080" w:left="1303" w:header="833" w:footer="918" w:gutter="0"/>
        </w:sectPr>
        <w:rPr>
          <w:rFonts w:ascii="SimSun" w:hAnsi="SimSun" w:eastAsia="SimSun" w:cs="SimSun"/>
          <w:sz w:val="24"/>
          <w:szCs w:val="24"/>
        </w:rPr>
      </w:pPr>
    </w:p>
    <w:p>
      <w:pPr>
        <w:pStyle w:val="BodyText"/>
        <w:spacing w:line="307" w:lineRule="auto"/>
        <w:rPr/>
      </w:pPr>
      <w:r/>
    </w:p>
    <w:p>
      <w:pPr>
        <w:ind w:left="123" w:right="112"/>
        <w:spacing w:before="78" w:line="339" w:lineRule="auto"/>
        <w:rPr>
          <w:rFonts w:ascii="SimSun" w:hAnsi="SimSun" w:eastAsia="SimSun" w:cs="SimSun"/>
          <w:sz w:val="24"/>
          <w:szCs w:val="24"/>
        </w:rPr>
      </w:pPr>
      <w:bookmarkStart w:name="bookmark116" w:id="95"/>
      <w:bookmarkEnd w:id="95"/>
      <w:r>
        <w:rPr>
          <w:rFonts w:ascii="SimSun" w:hAnsi="SimSun" w:eastAsia="SimSun" w:cs="SimSun"/>
          <w:sz w:val="24"/>
          <w:szCs w:val="24"/>
          <w:spacing w:val="-2"/>
        </w:rPr>
        <w:t>制定土壤跟踪监测计划，既是落实《土壤污染防治法》的有力措施，又为土壤基础数据</w:t>
      </w:r>
      <w:r>
        <w:rPr>
          <w:rFonts w:ascii="SimSun" w:hAnsi="SimSun" w:eastAsia="SimSun" w:cs="SimSun"/>
          <w:sz w:val="24"/>
          <w:szCs w:val="24"/>
          <w:spacing w:val="-1"/>
        </w:rPr>
        <w:t>库建设发挥积极作用。具体设置如下：</w:t>
      </w:r>
    </w:p>
    <w:p>
      <w:pPr>
        <w:ind w:left="608"/>
        <w:spacing w:before="1"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）监测点位设置</w:t>
      </w:r>
    </w:p>
    <w:p>
      <w:pPr>
        <w:ind w:left="3106"/>
        <w:spacing w:before="281" w:line="221" w:lineRule="auto"/>
        <w:rPr>
          <w:rFonts w:ascii="SimHei" w:hAnsi="SimHei" w:eastAsia="SimHei" w:cs="SimHei"/>
          <w:sz w:val="24"/>
          <w:szCs w:val="24"/>
        </w:rPr>
      </w:pPr>
      <w:r>
        <w:rPr>
          <w:rFonts w:ascii="SimHei" w:hAnsi="SimHei" w:eastAsia="SimHei" w:cs="SimHei"/>
          <w:sz w:val="24"/>
          <w:szCs w:val="24"/>
          <w:spacing w:val="-2"/>
        </w:rPr>
        <w:t>露天区土壤环境跟踪监测布置方案</w:t>
      </w:r>
    </w:p>
    <w:p>
      <w:pPr>
        <w:ind w:left="120"/>
        <w:spacing w:before="67" w:line="226"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8"/>
        </w:rPr>
        <w:t xml:space="preserve"> </w:t>
      </w:r>
      <w:r>
        <w:rPr>
          <w:rFonts w:ascii="Times New Roman" w:hAnsi="Times New Roman" w:eastAsia="Times New Roman" w:cs="Times New Roman"/>
          <w:sz w:val="20"/>
          <w:szCs w:val="20"/>
          <w:spacing w:val="2"/>
        </w:rPr>
        <w:t>7-5-2</w:t>
      </w:r>
    </w:p>
    <w:tbl>
      <w:tblPr>
        <w:tblStyle w:val="TableNormal"/>
        <w:tblW w:w="929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32"/>
        <w:gridCol w:w="2029"/>
        <w:gridCol w:w="1307"/>
        <w:gridCol w:w="1437"/>
        <w:gridCol w:w="2120"/>
        <w:gridCol w:w="1667"/>
      </w:tblGrid>
      <w:tr>
        <w:trPr>
          <w:trHeight w:val="553" w:hRule="atLeast"/>
        </w:trPr>
        <w:tc>
          <w:tcPr>
            <w:tcW w:w="732" w:type="dxa"/>
            <w:vAlign w:val="top"/>
          </w:tcPr>
          <w:p>
            <w:pPr>
              <w:ind w:left="162"/>
              <w:spacing w:before="33" w:line="229" w:lineRule="auto"/>
              <w:rPr>
                <w:rFonts w:ascii="SimSun" w:hAnsi="SimSun" w:eastAsia="SimSun" w:cs="SimSun"/>
                <w:sz w:val="20"/>
                <w:szCs w:val="20"/>
              </w:rPr>
            </w:pPr>
            <w:r>
              <w:rPr>
                <w:rFonts w:ascii="SimSun" w:hAnsi="SimSun" w:eastAsia="SimSun" w:cs="SimSun"/>
                <w:sz w:val="20"/>
                <w:szCs w:val="20"/>
                <w:spacing w:val="4"/>
              </w:rPr>
              <w:t>监测</w:t>
            </w:r>
          </w:p>
          <w:p>
            <w:pPr>
              <w:ind w:left="160"/>
              <w:spacing w:before="22" w:line="220" w:lineRule="auto"/>
              <w:rPr>
                <w:rFonts w:ascii="SimSun" w:hAnsi="SimSun" w:eastAsia="SimSun" w:cs="SimSun"/>
                <w:sz w:val="20"/>
                <w:szCs w:val="20"/>
              </w:rPr>
            </w:pPr>
            <w:r>
              <w:rPr>
                <w:rFonts w:ascii="SimSun" w:hAnsi="SimSun" w:eastAsia="SimSun" w:cs="SimSun"/>
                <w:sz w:val="20"/>
                <w:szCs w:val="20"/>
                <w:spacing w:val="5"/>
              </w:rPr>
              <w:t>场地</w:t>
            </w:r>
          </w:p>
        </w:tc>
        <w:tc>
          <w:tcPr>
            <w:tcW w:w="2029" w:type="dxa"/>
            <w:vAlign w:val="top"/>
          </w:tcPr>
          <w:p>
            <w:pPr>
              <w:ind w:left="596"/>
              <w:spacing w:before="168" w:line="229" w:lineRule="auto"/>
              <w:rPr>
                <w:rFonts w:ascii="SimSun" w:hAnsi="SimSun" w:eastAsia="SimSun" w:cs="SimSun"/>
                <w:sz w:val="20"/>
                <w:szCs w:val="20"/>
              </w:rPr>
            </w:pPr>
            <w:r>
              <w:rPr>
                <w:rFonts w:ascii="SimSun" w:hAnsi="SimSun" w:eastAsia="SimSun" w:cs="SimSun"/>
                <w:sz w:val="20"/>
                <w:szCs w:val="20"/>
                <w:spacing w:val="7"/>
              </w:rPr>
              <w:t>监测点位</w:t>
            </w:r>
          </w:p>
        </w:tc>
        <w:tc>
          <w:tcPr>
            <w:tcW w:w="1307" w:type="dxa"/>
            <w:vAlign w:val="top"/>
          </w:tcPr>
          <w:p>
            <w:pPr>
              <w:ind w:left="240"/>
              <w:spacing w:before="167" w:line="228" w:lineRule="auto"/>
              <w:rPr>
                <w:rFonts w:ascii="SimSun" w:hAnsi="SimSun" w:eastAsia="SimSun" w:cs="SimSun"/>
                <w:sz w:val="20"/>
                <w:szCs w:val="20"/>
              </w:rPr>
            </w:pPr>
            <w:r>
              <w:rPr>
                <w:rFonts w:ascii="SimSun" w:hAnsi="SimSun" w:eastAsia="SimSun" w:cs="SimSun"/>
                <w:sz w:val="20"/>
                <w:szCs w:val="20"/>
                <w:spacing w:val="7"/>
              </w:rPr>
              <w:t>监测层位</w:t>
            </w:r>
          </w:p>
        </w:tc>
        <w:tc>
          <w:tcPr>
            <w:tcW w:w="1437" w:type="dxa"/>
            <w:vAlign w:val="top"/>
          </w:tcPr>
          <w:p>
            <w:pPr>
              <w:ind w:left="303"/>
              <w:spacing w:before="167" w:line="228" w:lineRule="auto"/>
              <w:rPr>
                <w:rFonts w:ascii="SimSun" w:hAnsi="SimSun" w:eastAsia="SimSun" w:cs="SimSun"/>
                <w:sz w:val="20"/>
                <w:szCs w:val="20"/>
              </w:rPr>
            </w:pPr>
            <w:r>
              <w:rPr>
                <w:rFonts w:ascii="SimSun" w:hAnsi="SimSun" w:eastAsia="SimSun" w:cs="SimSun"/>
                <w:sz w:val="20"/>
                <w:szCs w:val="20"/>
                <w:spacing w:val="7"/>
              </w:rPr>
              <w:t>监测频率</w:t>
            </w:r>
          </w:p>
        </w:tc>
        <w:tc>
          <w:tcPr>
            <w:tcW w:w="2120" w:type="dxa"/>
            <w:vAlign w:val="top"/>
          </w:tcPr>
          <w:p>
            <w:pPr>
              <w:ind w:left="647"/>
              <w:spacing w:before="168" w:line="228" w:lineRule="auto"/>
              <w:rPr>
                <w:rFonts w:ascii="SimSun" w:hAnsi="SimSun" w:eastAsia="SimSun" w:cs="SimSun"/>
                <w:sz w:val="20"/>
                <w:szCs w:val="20"/>
              </w:rPr>
            </w:pPr>
            <w:r>
              <w:rPr>
                <w:rFonts w:ascii="SimSun" w:hAnsi="SimSun" w:eastAsia="SimSun" w:cs="SimSun"/>
                <w:sz w:val="20"/>
                <w:szCs w:val="20"/>
                <w:spacing w:val="7"/>
              </w:rPr>
              <w:t>监测因子</w:t>
            </w:r>
          </w:p>
        </w:tc>
        <w:tc>
          <w:tcPr>
            <w:tcW w:w="1667" w:type="dxa"/>
            <w:vAlign w:val="top"/>
          </w:tcPr>
          <w:p>
            <w:pPr>
              <w:ind w:left="629"/>
              <w:spacing w:before="168"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1093" w:hRule="atLeast"/>
        </w:trPr>
        <w:tc>
          <w:tcPr>
            <w:tcW w:w="732" w:type="dxa"/>
            <w:vAlign w:val="top"/>
          </w:tcPr>
          <w:p>
            <w:pPr>
              <w:ind w:left="162" w:right="155" w:firstLine="24"/>
              <w:spacing w:before="302" w:line="254" w:lineRule="auto"/>
              <w:rPr>
                <w:rFonts w:ascii="SimSun" w:hAnsi="SimSun" w:eastAsia="SimSun" w:cs="SimSun"/>
                <w:sz w:val="20"/>
                <w:szCs w:val="20"/>
              </w:rPr>
            </w:pPr>
            <w:r>
              <w:rPr>
                <w:rFonts w:ascii="SimSun" w:hAnsi="SimSun" w:eastAsia="SimSun" w:cs="SimSun"/>
                <w:sz w:val="20"/>
                <w:szCs w:val="20"/>
                <w:spacing w:val="-10"/>
              </w:rPr>
              <w:t>内排</w:t>
            </w:r>
            <w:r>
              <w:rPr>
                <w:rFonts w:ascii="SimSun" w:hAnsi="SimSun" w:eastAsia="SimSun" w:cs="SimSun"/>
                <w:sz w:val="20"/>
                <w:szCs w:val="20"/>
                <w:spacing w:val="4"/>
              </w:rPr>
              <w:t>土场</w:t>
            </w:r>
          </w:p>
        </w:tc>
        <w:tc>
          <w:tcPr>
            <w:tcW w:w="2029" w:type="dxa"/>
            <w:vAlign w:val="top"/>
          </w:tcPr>
          <w:p>
            <w:pPr>
              <w:ind w:left="492" w:right="178" w:hanging="315"/>
              <w:spacing w:before="302" w:line="254" w:lineRule="auto"/>
              <w:rPr>
                <w:rFonts w:ascii="SimSun" w:hAnsi="SimSun" w:eastAsia="SimSun" w:cs="SimSun"/>
                <w:sz w:val="20"/>
                <w:szCs w:val="20"/>
              </w:rPr>
            </w:pPr>
            <w:r>
              <w:rPr>
                <w:rFonts w:ascii="SimSun" w:hAnsi="SimSun" w:eastAsia="SimSun" w:cs="SimSun"/>
                <w:sz w:val="20"/>
                <w:szCs w:val="20"/>
                <w:spacing w:val="8"/>
              </w:rPr>
              <w:t>现状监测点位以及</w:t>
            </w:r>
            <w:r>
              <w:rPr>
                <w:rFonts w:ascii="SimSun" w:hAnsi="SimSun" w:eastAsia="SimSun" w:cs="SimSun"/>
                <w:sz w:val="20"/>
                <w:szCs w:val="20"/>
                <w:spacing w:val="8"/>
              </w:rPr>
              <w:t>排土到界区</w:t>
            </w:r>
          </w:p>
        </w:tc>
        <w:tc>
          <w:tcPr>
            <w:tcW w:w="1307" w:type="dxa"/>
            <w:vAlign w:val="top"/>
          </w:tcPr>
          <w:p>
            <w:pPr>
              <w:spacing w:line="414" w:lineRule="auto"/>
              <w:rPr>
                <w:rFonts w:ascii="Arial"/>
                <w:sz w:val="21"/>
              </w:rPr>
            </w:pPr>
            <w:r/>
          </w:p>
          <w:p>
            <w:pPr>
              <w:pStyle w:val="TableText"/>
              <w:ind w:left="337"/>
              <w:spacing w:before="57" w:line="195" w:lineRule="auto"/>
              <w:rPr/>
            </w:pPr>
            <w:r>
              <w:rPr>
                <w:spacing w:val="5"/>
              </w:rPr>
              <w:t>0-30</w:t>
            </w:r>
            <w:r>
              <w:rPr/>
              <w:t>cm</w:t>
            </w:r>
          </w:p>
        </w:tc>
        <w:tc>
          <w:tcPr>
            <w:tcW w:w="1437" w:type="dxa"/>
            <w:vAlign w:val="top"/>
          </w:tcPr>
          <w:p>
            <w:pPr>
              <w:spacing w:line="370" w:lineRule="auto"/>
              <w:rPr>
                <w:rFonts w:ascii="Arial"/>
                <w:sz w:val="21"/>
              </w:rPr>
            </w:pPr>
            <w:r/>
          </w:p>
          <w:p>
            <w:pPr>
              <w:pStyle w:val="TableText"/>
              <w:ind w:left="405"/>
              <w:spacing w:before="65" w:line="228" w:lineRule="auto"/>
              <w:rPr>
                <w:rFonts w:ascii="SimSun" w:hAnsi="SimSun" w:eastAsia="SimSun" w:cs="SimSun"/>
              </w:rPr>
            </w:pPr>
            <w:r>
              <w:rPr>
                <w:spacing w:val="2"/>
              </w:rPr>
              <w:t>5</w:t>
            </w:r>
            <w:r>
              <w:rPr>
                <w:spacing w:val="11"/>
              </w:rPr>
              <w:t xml:space="preserve"> </w:t>
            </w:r>
            <w:r>
              <w:rPr>
                <w:rFonts w:ascii="SimSun" w:hAnsi="SimSun" w:eastAsia="SimSun" w:cs="SimSun"/>
                <w:spacing w:val="2"/>
              </w:rPr>
              <w:t>年</w:t>
            </w:r>
            <w:r>
              <w:rPr>
                <w:spacing w:val="2"/>
              </w:rPr>
              <w:t>/</w:t>
            </w:r>
            <w:r>
              <w:rPr>
                <w:rFonts w:ascii="SimSun" w:hAnsi="SimSun" w:eastAsia="SimSun" w:cs="SimSun"/>
                <w:spacing w:val="2"/>
              </w:rPr>
              <w:t>次</w:t>
            </w:r>
          </w:p>
        </w:tc>
        <w:tc>
          <w:tcPr>
            <w:tcW w:w="2120" w:type="dxa"/>
            <w:vAlign w:val="top"/>
            <w:vMerge w:val="restart"/>
            <w:tcBorders>
              <w:bottom w:val="nil"/>
            </w:tcBorders>
          </w:tcPr>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spacing w:line="268" w:lineRule="auto"/>
              <w:rPr>
                <w:rFonts w:ascii="Arial"/>
                <w:sz w:val="21"/>
              </w:rPr>
            </w:pPr>
            <w:r/>
          </w:p>
          <w:p>
            <w:pPr>
              <w:pStyle w:val="TableText"/>
              <w:ind w:left="103"/>
              <w:spacing w:before="65" w:line="221" w:lineRule="auto"/>
              <w:rPr>
                <w:rFonts w:ascii="SimSun" w:hAnsi="SimSun" w:eastAsia="SimSun" w:cs="SimSun"/>
              </w:rPr>
            </w:pPr>
            <w:r>
              <w:rPr/>
              <w:t>pH</w:t>
            </w:r>
            <w:r>
              <w:rPr>
                <w:spacing w:val="-22"/>
              </w:rPr>
              <w:t xml:space="preserve"> </w:t>
            </w:r>
            <w:r>
              <w:rPr>
                <w:rFonts w:ascii="SimSun" w:hAnsi="SimSun" w:eastAsia="SimSun" w:cs="SimSun"/>
                <w:spacing w:val="4"/>
              </w:rPr>
              <w:t>、镉、汞、砷、铅</w:t>
            </w:r>
          </w:p>
          <w:p>
            <w:pPr>
              <w:ind w:left="133"/>
              <w:spacing w:before="34" w:line="226" w:lineRule="auto"/>
              <w:rPr>
                <w:rFonts w:ascii="SimSun" w:hAnsi="SimSun" w:eastAsia="SimSun" w:cs="SimSun"/>
                <w:sz w:val="20"/>
                <w:szCs w:val="20"/>
              </w:rPr>
            </w:pPr>
            <w:r>
              <w:rPr>
                <w:rFonts w:ascii="SimSun" w:hAnsi="SimSun" w:eastAsia="SimSun" w:cs="SimSun"/>
                <w:sz w:val="20"/>
                <w:szCs w:val="20"/>
                <w:spacing w:val="5"/>
              </w:rPr>
              <w:t>、铜、铬（六价）、</w:t>
            </w:r>
          </w:p>
          <w:p>
            <w:pPr>
              <w:ind w:left="538"/>
              <w:spacing w:before="26" w:line="228" w:lineRule="auto"/>
              <w:rPr>
                <w:rFonts w:ascii="SimSun" w:hAnsi="SimSun" w:eastAsia="SimSun" w:cs="SimSun"/>
                <w:sz w:val="20"/>
                <w:szCs w:val="20"/>
              </w:rPr>
            </w:pPr>
            <w:r>
              <w:rPr>
                <w:rFonts w:ascii="SimSun" w:hAnsi="SimSun" w:eastAsia="SimSun" w:cs="SimSun"/>
                <w:sz w:val="20"/>
                <w:szCs w:val="20"/>
                <w:spacing w:val="8"/>
              </w:rPr>
              <w:t>镍、石油烃</w:t>
            </w:r>
          </w:p>
        </w:tc>
        <w:tc>
          <w:tcPr>
            <w:tcW w:w="1667" w:type="dxa"/>
            <w:vAlign w:val="top"/>
          </w:tcPr>
          <w:p>
            <w:pPr>
              <w:ind w:left="206"/>
              <w:spacing w:before="29" w:line="228" w:lineRule="auto"/>
              <w:rPr>
                <w:rFonts w:ascii="SimSun" w:hAnsi="SimSun" w:eastAsia="SimSun" w:cs="SimSun"/>
                <w:sz w:val="20"/>
                <w:szCs w:val="20"/>
              </w:rPr>
            </w:pPr>
            <w:r>
              <w:rPr>
                <w:rFonts w:ascii="SimSun" w:hAnsi="SimSun" w:eastAsia="SimSun" w:cs="SimSun"/>
                <w:sz w:val="20"/>
                <w:szCs w:val="20"/>
                <w:spacing w:val="8"/>
              </w:rPr>
              <w:t>根据排土计划</w:t>
            </w:r>
          </w:p>
          <w:p>
            <w:pPr>
              <w:ind w:left="232"/>
              <w:spacing w:before="24" w:line="228" w:lineRule="auto"/>
              <w:rPr>
                <w:rFonts w:ascii="SimSun" w:hAnsi="SimSun" w:eastAsia="SimSun" w:cs="SimSun"/>
                <w:sz w:val="20"/>
                <w:szCs w:val="20"/>
              </w:rPr>
            </w:pPr>
            <w:r>
              <w:rPr>
                <w:rFonts w:ascii="SimSun" w:hAnsi="SimSun" w:eastAsia="SimSun" w:cs="SimSun"/>
                <w:sz w:val="20"/>
                <w:szCs w:val="20"/>
                <w:spacing w:val="4"/>
              </w:rPr>
              <w:t>内排到界区新</w:t>
            </w:r>
          </w:p>
          <w:p>
            <w:pPr>
              <w:pStyle w:val="TableText"/>
              <w:ind w:left="157"/>
              <w:spacing w:before="26" w:line="228" w:lineRule="auto"/>
              <w:rPr>
                <w:rFonts w:ascii="SimSun" w:hAnsi="SimSun" w:eastAsia="SimSun" w:cs="SimSun"/>
              </w:rPr>
            </w:pPr>
            <w:r>
              <w:rPr>
                <w:rFonts w:ascii="SimSun" w:hAnsi="SimSun" w:eastAsia="SimSun" w:cs="SimSun"/>
                <w:spacing w:val="5"/>
              </w:rPr>
              <w:t>增</w:t>
            </w:r>
            <w:r>
              <w:rPr>
                <w:rFonts w:ascii="SimSun" w:hAnsi="SimSun" w:eastAsia="SimSun" w:cs="SimSun"/>
                <w:spacing w:val="-37"/>
              </w:rPr>
              <w:t xml:space="preserve"> </w:t>
            </w:r>
            <w:r>
              <w:rPr>
                <w:spacing w:val="5"/>
              </w:rPr>
              <w:t>3</w:t>
            </w:r>
            <w:r>
              <w:rPr>
                <w:rFonts w:ascii="SimSun" w:hAnsi="SimSun" w:eastAsia="SimSun" w:cs="SimSun"/>
                <w:spacing w:val="5"/>
              </w:rPr>
              <w:t>～</w:t>
            </w:r>
            <w:r>
              <w:rPr>
                <w:spacing w:val="5"/>
              </w:rPr>
              <w:t>5 </w:t>
            </w:r>
            <w:r>
              <w:rPr>
                <w:rFonts w:ascii="SimSun" w:hAnsi="SimSun" w:eastAsia="SimSun" w:cs="SimSun"/>
                <w:spacing w:val="5"/>
              </w:rPr>
              <w:t>个监测</w:t>
            </w:r>
          </w:p>
          <w:p>
            <w:pPr>
              <w:ind w:left="637"/>
              <w:spacing w:before="24" w:line="219" w:lineRule="auto"/>
              <w:rPr>
                <w:rFonts w:ascii="SimSun" w:hAnsi="SimSun" w:eastAsia="SimSun" w:cs="SimSun"/>
                <w:sz w:val="20"/>
                <w:szCs w:val="20"/>
              </w:rPr>
            </w:pPr>
            <w:r>
              <w:rPr>
                <w:rFonts w:ascii="SimSun" w:hAnsi="SimSun" w:eastAsia="SimSun" w:cs="SimSun"/>
                <w:sz w:val="20"/>
                <w:szCs w:val="20"/>
                <w:spacing w:val="-1"/>
              </w:rPr>
              <w:t>点位</w:t>
            </w:r>
          </w:p>
        </w:tc>
      </w:tr>
      <w:tr>
        <w:trPr>
          <w:trHeight w:val="819" w:hRule="atLeast"/>
        </w:trPr>
        <w:tc>
          <w:tcPr>
            <w:tcW w:w="732" w:type="dxa"/>
            <w:vAlign w:val="top"/>
          </w:tcPr>
          <w:p>
            <w:pPr>
              <w:ind w:left="263" w:right="155" w:hanging="103"/>
              <w:spacing w:before="168" w:line="252" w:lineRule="auto"/>
              <w:rPr>
                <w:rFonts w:ascii="SimSun" w:hAnsi="SimSun" w:eastAsia="SimSun" w:cs="SimSun"/>
                <w:sz w:val="20"/>
                <w:szCs w:val="20"/>
              </w:rPr>
            </w:pPr>
            <w:r>
              <w:rPr>
                <w:rFonts w:ascii="SimSun" w:hAnsi="SimSun" w:eastAsia="SimSun" w:cs="SimSun"/>
                <w:sz w:val="20"/>
                <w:szCs w:val="20"/>
                <w:spacing w:val="5"/>
              </w:rPr>
              <w:t>采掘</w:t>
            </w:r>
            <w:r>
              <w:rPr>
                <w:rFonts w:ascii="SimSun" w:hAnsi="SimSun" w:eastAsia="SimSun" w:cs="SimSun"/>
                <w:sz w:val="20"/>
                <w:szCs w:val="20"/>
                <w:spacing w:val="1"/>
              </w:rPr>
              <w:t>场</w:t>
            </w:r>
          </w:p>
        </w:tc>
        <w:tc>
          <w:tcPr>
            <w:tcW w:w="2029" w:type="dxa"/>
            <w:vAlign w:val="top"/>
          </w:tcPr>
          <w:p>
            <w:pPr>
              <w:ind w:left="176" w:right="176" w:hanging="1"/>
              <w:spacing w:before="169" w:line="251" w:lineRule="auto"/>
              <w:rPr>
                <w:rFonts w:ascii="SimSun" w:hAnsi="SimSun" w:eastAsia="SimSun" w:cs="SimSun"/>
                <w:sz w:val="20"/>
                <w:szCs w:val="20"/>
              </w:rPr>
            </w:pPr>
            <w:r>
              <w:rPr>
                <w:rFonts w:ascii="SimSun" w:hAnsi="SimSun" w:eastAsia="SimSun" w:cs="SimSun"/>
                <w:sz w:val="20"/>
                <w:szCs w:val="20"/>
                <w:spacing w:val="9"/>
              </w:rPr>
              <w:t>采掘场典型点位结</w:t>
            </w:r>
            <w:r>
              <w:rPr>
                <w:rFonts w:ascii="SimSun" w:hAnsi="SimSun" w:eastAsia="SimSun" w:cs="SimSun"/>
                <w:sz w:val="20"/>
                <w:szCs w:val="20"/>
                <w:spacing w:val="8"/>
              </w:rPr>
              <w:t>合生态样方点布置</w:t>
            </w:r>
          </w:p>
        </w:tc>
        <w:tc>
          <w:tcPr>
            <w:tcW w:w="1307" w:type="dxa"/>
            <w:vAlign w:val="top"/>
          </w:tcPr>
          <w:p>
            <w:pPr>
              <w:spacing w:line="279" w:lineRule="auto"/>
              <w:rPr>
                <w:rFonts w:ascii="Arial"/>
                <w:sz w:val="21"/>
              </w:rPr>
            </w:pPr>
            <w:r/>
          </w:p>
          <w:p>
            <w:pPr>
              <w:pStyle w:val="TableText"/>
              <w:ind w:left="337"/>
              <w:spacing w:before="57" w:line="195" w:lineRule="auto"/>
              <w:rPr/>
            </w:pPr>
            <w:r>
              <w:rPr>
                <w:spacing w:val="5"/>
              </w:rPr>
              <w:t>0-30</w:t>
            </w:r>
            <w:r>
              <w:rPr/>
              <w:t>cm</w:t>
            </w:r>
          </w:p>
        </w:tc>
        <w:tc>
          <w:tcPr>
            <w:tcW w:w="1437" w:type="dxa"/>
            <w:vAlign w:val="top"/>
          </w:tcPr>
          <w:p>
            <w:pPr>
              <w:pStyle w:val="TableText"/>
              <w:ind w:left="405"/>
              <w:spacing w:before="302" w:line="228" w:lineRule="auto"/>
              <w:rPr>
                <w:rFonts w:ascii="SimSun" w:hAnsi="SimSun" w:eastAsia="SimSun" w:cs="SimSun"/>
              </w:rPr>
            </w:pPr>
            <w:r>
              <w:rPr>
                <w:spacing w:val="2"/>
              </w:rPr>
              <w:t>5</w:t>
            </w:r>
            <w:r>
              <w:rPr>
                <w:spacing w:val="11"/>
              </w:rPr>
              <w:t xml:space="preserve"> </w:t>
            </w:r>
            <w:r>
              <w:rPr>
                <w:rFonts w:ascii="SimSun" w:hAnsi="SimSun" w:eastAsia="SimSun" w:cs="SimSun"/>
                <w:spacing w:val="2"/>
              </w:rPr>
              <w:t>年</w:t>
            </w:r>
            <w:r>
              <w:rPr>
                <w:spacing w:val="2"/>
              </w:rPr>
              <w:t>/</w:t>
            </w:r>
            <w:r>
              <w:rPr>
                <w:rFonts w:ascii="SimSun" w:hAnsi="SimSun" w:eastAsia="SimSun" w:cs="SimSun"/>
                <w:spacing w:val="2"/>
              </w:rPr>
              <w:t>次</w:t>
            </w:r>
          </w:p>
        </w:tc>
        <w:tc>
          <w:tcPr>
            <w:tcW w:w="2120" w:type="dxa"/>
            <w:vAlign w:val="top"/>
            <w:vMerge w:val="continue"/>
            <w:tcBorders>
              <w:top w:val="nil"/>
              <w:bottom w:val="nil"/>
            </w:tcBorders>
          </w:tcPr>
          <w:p>
            <w:pPr>
              <w:rPr>
                <w:rFonts w:ascii="Arial"/>
                <w:sz w:val="21"/>
              </w:rPr>
            </w:pPr>
            <w:r/>
          </w:p>
        </w:tc>
        <w:tc>
          <w:tcPr>
            <w:tcW w:w="1667" w:type="dxa"/>
            <w:vAlign w:val="top"/>
          </w:tcPr>
          <w:p>
            <w:pPr>
              <w:ind w:left="206"/>
              <w:spacing w:before="31" w:line="227" w:lineRule="auto"/>
              <w:rPr>
                <w:rFonts w:ascii="SimSun" w:hAnsi="SimSun" w:eastAsia="SimSun" w:cs="SimSun"/>
                <w:sz w:val="20"/>
                <w:szCs w:val="20"/>
              </w:rPr>
            </w:pPr>
            <w:r>
              <w:rPr>
                <w:rFonts w:ascii="SimSun" w:hAnsi="SimSun" w:eastAsia="SimSun" w:cs="SimSun"/>
                <w:sz w:val="20"/>
                <w:szCs w:val="20"/>
                <w:spacing w:val="8"/>
              </w:rPr>
              <w:t>根据开采进度</w:t>
            </w:r>
          </w:p>
          <w:p>
            <w:pPr>
              <w:ind w:left="115"/>
              <w:spacing w:before="25" w:line="227" w:lineRule="auto"/>
              <w:rPr>
                <w:rFonts w:ascii="SimSun" w:hAnsi="SimSun" w:eastAsia="SimSun" w:cs="SimSun"/>
                <w:sz w:val="20"/>
                <w:szCs w:val="20"/>
              </w:rPr>
            </w:pPr>
            <w:r>
              <w:rPr>
                <w:rFonts w:ascii="SimSun" w:hAnsi="SimSun" w:eastAsia="SimSun" w:cs="SimSun"/>
                <w:sz w:val="20"/>
                <w:szCs w:val="20"/>
                <w:spacing w:val="5"/>
              </w:rPr>
              <w:t>布置，布置监测</w:t>
            </w:r>
          </w:p>
          <w:p>
            <w:pPr>
              <w:pStyle w:val="TableText"/>
              <w:ind w:left="378"/>
              <w:spacing w:before="27" w:line="215" w:lineRule="auto"/>
              <w:rPr>
                <w:rFonts w:ascii="SimSun" w:hAnsi="SimSun" w:eastAsia="SimSun" w:cs="SimSun"/>
              </w:rPr>
            </w:pPr>
            <w:r>
              <w:rPr>
                <w:rFonts w:ascii="SimSun" w:hAnsi="SimSun" w:eastAsia="SimSun" w:cs="SimSun"/>
              </w:rPr>
              <w:t>点</w:t>
            </w:r>
            <w:r>
              <w:rPr>
                <w:rFonts w:ascii="SimSun" w:hAnsi="SimSun" w:eastAsia="SimSun" w:cs="SimSun"/>
                <w:spacing w:val="-39"/>
              </w:rPr>
              <w:t xml:space="preserve"> </w:t>
            </w:r>
            <w:r>
              <w:rPr/>
              <w:t>3</w:t>
            </w:r>
            <w:r>
              <w:rPr>
                <w:rFonts w:ascii="SimSun" w:hAnsi="SimSun" w:eastAsia="SimSun" w:cs="SimSun"/>
              </w:rPr>
              <w:t>～</w:t>
            </w:r>
            <w:r>
              <w:rPr/>
              <w:t>5</w:t>
            </w:r>
            <w:r>
              <w:rPr>
                <w:spacing w:val="12"/>
                <w:w w:val="101"/>
              </w:rPr>
              <w:t xml:space="preserve"> </w:t>
            </w:r>
            <w:r>
              <w:rPr>
                <w:rFonts w:ascii="SimSun" w:hAnsi="SimSun" w:eastAsia="SimSun" w:cs="SimSun"/>
              </w:rPr>
              <w:t>个</w:t>
            </w:r>
          </w:p>
        </w:tc>
      </w:tr>
      <w:tr>
        <w:trPr>
          <w:trHeight w:val="1371" w:hRule="atLeast"/>
        </w:trPr>
        <w:tc>
          <w:tcPr>
            <w:tcW w:w="732" w:type="dxa"/>
            <w:vAlign w:val="top"/>
          </w:tcPr>
          <w:p>
            <w:pPr>
              <w:ind w:left="164"/>
              <w:spacing w:before="35"/>
              <w:rPr>
                <w:rFonts w:ascii="SimSun" w:hAnsi="SimSun" w:eastAsia="SimSun" w:cs="SimSun"/>
                <w:sz w:val="20"/>
                <w:szCs w:val="20"/>
              </w:rPr>
            </w:pPr>
            <w:r>
              <w:rPr>
                <w:rFonts w:ascii="SimSun" w:hAnsi="SimSun" w:eastAsia="SimSun" w:cs="SimSun"/>
                <w:sz w:val="20"/>
                <w:szCs w:val="20"/>
                <w:spacing w:val="3"/>
              </w:rPr>
              <w:t>工业</w:t>
            </w:r>
          </w:p>
          <w:p>
            <w:pPr>
              <w:ind w:left="160"/>
              <w:spacing w:before="11" w:line="228" w:lineRule="auto"/>
              <w:rPr>
                <w:rFonts w:ascii="SimSun" w:hAnsi="SimSun" w:eastAsia="SimSun" w:cs="SimSun"/>
                <w:sz w:val="20"/>
                <w:szCs w:val="20"/>
              </w:rPr>
            </w:pPr>
            <w:r>
              <w:rPr>
                <w:rFonts w:ascii="SimSun" w:hAnsi="SimSun" w:eastAsia="SimSun" w:cs="SimSun"/>
                <w:sz w:val="20"/>
                <w:szCs w:val="20"/>
                <w:spacing w:val="5"/>
              </w:rPr>
              <w:t>场地</w:t>
            </w:r>
          </w:p>
          <w:p>
            <w:pPr>
              <w:ind w:left="164"/>
              <w:spacing w:before="24" w:line="228" w:lineRule="auto"/>
              <w:rPr>
                <w:rFonts w:ascii="SimSun" w:hAnsi="SimSun" w:eastAsia="SimSun" w:cs="SimSun"/>
                <w:sz w:val="20"/>
                <w:szCs w:val="20"/>
              </w:rPr>
            </w:pPr>
            <w:r>
              <w:rPr>
                <w:rFonts w:ascii="SimSun" w:hAnsi="SimSun" w:eastAsia="SimSun" w:cs="SimSun"/>
                <w:sz w:val="20"/>
                <w:szCs w:val="20"/>
                <w:spacing w:val="3"/>
              </w:rPr>
              <w:t>危废</w:t>
            </w:r>
          </w:p>
          <w:p>
            <w:pPr>
              <w:ind w:left="281" w:right="155" w:hanging="113"/>
              <w:spacing w:before="26" w:line="235" w:lineRule="auto"/>
              <w:rPr>
                <w:rFonts w:ascii="SimSun" w:hAnsi="SimSun" w:eastAsia="SimSun" w:cs="SimSun"/>
                <w:sz w:val="20"/>
                <w:szCs w:val="20"/>
              </w:rPr>
            </w:pPr>
            <w:r>
              <w:rPr>
                <w:rFonts w:ascii="SimSun" w:hAnsi="SimSun" w:eastAsia="SimSun" w:cs="SimSun"/>
                <w:sz w:val="20"/>
                <w:szCs w:val="20"/>
                <w:spacing w:val="1"/>
              </w:rPr>
              <w:t>暂存</w:t>
            </w:r>
            <w:r>
              <w:rPr>
                <w:rFonts w:ascii="SimSun" w:hAnsi="SimSun" w:eastAsia="SimSun" w:cs="SimSun"/>
                <w:sz w:val="20"/>
                <w:szCs w:val="20"/>
              </w:rPr>
              <w:t>间</w:t>
            </w:r>
          </w:p>
        </w:tc>
        <w:tc>
          <w:tcPr>
            <w:tcW w:w="2029" w:type="dxa"/>
            <w:vAlign w:val="top"/>
          </w:tcPr>
          <w:p>
            <w:pPr>
              <w:spacing w:line="254" w:lineRule="auto"/>
              <w:rPr>
                <w:rFonts w:ascii="Arial"/>
                <w:sz w:val="21"/>
              </w:rPr>
            </w:pPr>
            <w:r/>
          </w:p>
          <w:p>
            <w:pPr>
              <w:spacing w:line="255" w:lineRule="auto"/>
              <w:rPr>
                <w:rFonts w:ascii="Arial"/>
                <w:sz w:val="21"/>
              </w:rPr>
            </w:pPr>
            <w:r/>
          </w:p>
          <w:p>
            <w:pPr>
              <w:ind w:left="286"/>
              <w:spacing w:before="65" w:line="227" w:lineRule="auto"/>
              <w:rPr>
                <w:rFonts w:ascii="SimSun" w:hAnsi="SimSun" w:eastAsia="SimSun" w:cs="SimSun"/>
                <w:sz w:val="20"/>
                <w:szCs w:val="20"/>
              </w:rPr>
            </w:pPr>
            <w:r>
              <w:rPr>
                <w:rFonts w:ascii="SimSun" w:hAnsi="SimSun" w:eastAsia="SimSun" w:cs="SimSun"/>
                <w:sz w:val="20"/>
                <w:szCs w:val="20"/>
                <w:spacing w:val="8"/>
              </w:rPr>
              <w:t>危废暂存间附近</w:t>
            </w:r>
          </w:p>
        </w:tc>
        <w:tc>
          <w:tcPr>
            <w:tcW w:w="1307" w:type="dxa"/>
            <w:vAlign w:val="top"/>
          </w:tcPr>
          <w:p>
            <w:pPr>
              <w:spacing w:line="276" w:lineRule="auto"/>
              <w:rPr>
                <w:rFonts w:ascii="Arial"/>
                <w:sz w:val="21"/>
              </w:rPr>
            </w:pPr>
            <w:r/>
          </w:p>
          <w:p>
            <w:pPr>
              <w:spacing w:line="276" w:lineRule="auto"/>
              <w:rPr>
                <w:rFonts w:ascii="Arial"/>
                <w:sz w:val="21"/>
              </w:rPr>
            </w:pPr>
            <w:r/>
          </w:p>
          <w:p>
            <w:pPr>
              <w:pStyle w:val="TableText"/>
              <w:ind w:left="337"/>
              <w:spacing w:before="58" w:line="195" w:lineRule="auto"/>
              <w:rPr/>
            </w:pPr>
            <w:r>
              <w:rPr>
                <w:spacing w:val="5"/>
              </w:rPr>
              <w:t>0-30</w:t>
            </w:r>
            <w:r>
              <w:rPr/>
              <w:t>cm</w:t>
            </w:r>
          </w:p>
        </w:tc>
        <w:tc>
          <w:tcPr>
            <w:tcW w:w="1437" w:type="dxa"/>
            <w:vAlign w:val="top"/>
          </w:tcPr>
          <w:p>
            <w:pPr>
              <w:spacing w:line="254" w:lineRule="auto"/>
              <w:rPr>
                <w:rFonts w:ascii="Arial"/>
                <w:sz w:val="21"/>
              </w:rPr>
            </w:pPr>
            <w:r/>
          </w:p>
          <w:p>
            <w:pPr>
              <w:spacing w:line="255" w:lineRule="auto"/>
              <w:rPr>
                <w:rFonts w:ascii="Arial"/>
                <w:sz w:val="21"/>
              </w:rPr>
            </w:pPr>
            <w:r/>
          </w:p>
          <w:p>
            <w:pPr>
              <w:pStyle w:val="TableText"/>
              <w:ind w:left="405"/>
              <w:spacing w:before="65" w:line="228" w:lineRule="auto"/>
              <w:rPr>
                <w:rFonts w:ascii="SimSun" w:hAnsi="SimSun" w:eastAsia="SimSun" w:cs="SimSun"/>
              </w:rPr>
            </w:pPr>
            <w:r>
              <w:rPr>
                <w:spacing w:val="2"/>
              </w:rPr>
              <w:t>5</w:t>
            </w:r>
            <w:r>
              <w:rPr>
                <w:spacing w:val="11"/>
              </w:rPr>
              <w:t xml:space="preserve"> </w:t>
            </w:r>
            <w:r>
              <w:rPr>
                <w:rFonts w:ascii="SimSun" w:hAnsi="SimSun" w:eastAsia="SimSun" w:cs="SimSun"/>
                <w:spacing w:val="2"/>
              </w:rPr>
              <w:t>年</w:t>
            </w:r>
            <w:r>
              <w:rPr>
                <w:spacing w:val="2"/>
              </w:rPr>
              <w:t>/</w:t>
            </w:r>
            <w:r>
              <w:rPr>
                <w:rFonts w:ascii="SimSun" w:hAnsi="SimSun" w:eastAsia="SimSun" w:cs="SimSun"/>
                <w:spacing w:val="2"/>
              </w:rPr>
              <w:t>次</w:t>
            </w:r>
          </w:p>
        </w:tc>
        <w:tc>
          <w:tcPr>
            <w:tcW w:w="2120" w:type="dxa"/>
            <w:vAlign w:val="top"/>
            <w:vMerge w:val="continue"/>
            <w:tcBorders>
              <w:top w:val="nil"/>
            </w:tcBorders>
          </w:tcPr>
          <w:p>
            <w:pPr>
              <w:rPr>
                <w:rFonts w:ascii="Arial"/>
                <w:sz w:val="21"/>
              </w:rPr>
            </w:pPr>
            <w:r/>
          </w:p>
        </w:tc>
        <w:tc>
          <w:tcPr>
            <w:tcW w:w="1667" w:type="dxa"/>
            <w:vAlign w:val="top"/>
          </w:tcPr>
          <w:p>
            <w:pPr>
              <w:spacing w:line="377" w:lineRule="auto"/>
              <w:rPr>
                <w:rFonts w:ascii="Arial"/>
                <w:sz w:val="21"/>
              </w:rPr>
            </w:pPr>
            <w:r/>
          </w:p>
          <w:p>
            <w:pPr>
              <w:pStyle w:val="TableText"/>
              <w:ind w:left="734" w:right="109" w:hanging="619"/>
              <w:spacing w:before="65" w:line="252" w:lineRule="auto"/>
              <w:rPr>
                <w:rFonts w:ascii="SimSun" w:hAnsi="SimSun" w:eastAsia="SimSun" w:cs="SimSun"/>
              </w:rPr>
            </w:pPr>
            <w:r>
              <w:rPr>
                <w:rFonts w:ascii="SimSun" w:hAnsi="SimSun" w:eastAsia="SimSun" w:cs="SimSun"/>
                <w:spacing w:val="4"/>
              </w:rPr>
              <w:t>布设</w:t>
            </w:r>
            <w:r>
              <w:rPr>
                <w:rFonts w:ascii="SimSun" w:hAnsi="SimSun" w:eastAsia="SimSun" w:cs="SimSun"/>
                <w:spacing w:val="-47"/>
              </w:rPr>
              <w:t xml:space="preserve"> </w:t>
            </w:r>
            <w:r>
              <w:rPr>
                <w:spacing w:val="4"/>
              </w:rPr>
              <w:t>3 </w:t>
            </w:r>
            <w:r>
              <w:rPr>
                <w:rFonts w:ascii="SimSun" w:hAnsi="SimSun" w:eastAsia="SimSun" w:cs="SimSun"/>
                <w:spacing w:val="4"/>
              </w:rPr>
              <w:t>个监测点</w:t>
            </w:r>
            <w:r>
              <w:rPr>
                <w:rFonts w:ascii="SimSun" w:hAnsi="SimSun" w:eastAsia="SimSun" w:cs="SimSun"/>
              </w:rPr>
              <w:t>位</w:t>
            </w:r>
          </w:p>
        </w:tc>
      </w:tr>
    </w:tbl>
    <w:p>
      <w:pPr>
        <w:ind w:left="608"/>
        <w:spacing w:before="145"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）信息公开</w:t>
      </w:r>
    </w:p>
    <w:p>
      <w:pPr>
        <w:ind w:left="123" w:right="112" w:firstLine="480"/>
        <w:spacing w:before="158" w:line="338" w:lineRule="auto"/>
        <w:rPr>
          <w:rFonts w:ascii="SimSun" w:hAnsi="SimSun" w:eastAsia="SimSun" w:cs="SimSun"/>
          <w:sz w:val="24"/>
          <w:szCs w:val="24"/>
        </w:rPr>
      </w:pPr>
      <w:r>
        <w:rPr>
          <w:rFonts w:ascii="SimSun" w:hAnsi="SimSun" w:eastAsia="SimSun" w:cs="SimSun"/>
          <w:sz w:val="24"/>
          <w:szCs w:val="24"/>
          <w:spacing w:val="-2"/>
        </w:rPr>
        <w:t>土壤环境监测结果采取信息公开，可通过公司网站、当地政府以及环境保护局等环</w:t>
      </w:r>
      <w:r>
        <w:rPr>
          <w:rFonts w:ascii="SimSun" w:hAnsi="SimSun" w:eastAsia="SimSun" w:cs="SimSun"/>
          <w:sz w:val="24"/>
          <w:szCs w:val="24"/>
          <w:spacing w:val="-2"/>
        </w:rPr>
        <w:t>境信息公开平台或者当地报刊等便于公众知晓的方式公开环境信息，采取以下一种或者</w:t>
      </w:r>
      <w:r>
        <w:rPr>
          <w:rFonts w:ascii="SimSun" w:hAnsi="SimSun" w:eastAsia="SimSun" w:cs="SimSun"/>
          <w:sz w:val="24"/>
          <w:szCs w:val="24"/>
          <w:spacing w:val="-2"/>
        </w:rPr>
        <w:t>几种方式予以公开：</w:t>
      </w:r>
    </w:p>
    <w:p>
      <w:pPr>
        <w:ind w:left="620"/>
        <w:spacing w:before="1" w:line="217"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SimSun" w:hAnsi="SimSun" w:eastAsia="SimSun" w:cs="SimSun"/>
          <w:sz w:val="24"/>
          <w:szCs w:val="24"/>
          <w:spacing w:val="-2"/>
        </w:rPr>
        <w:t>）公告或者公开发行的信息专刊；</w:t>
      </w:r>
    </w:p>
    <w:p>
      <w:pPr>
        <w:ind w:left="597"/>
        <w:spacing w:before="155" w:line="219"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）广播、电视等新闻媒体；</w:t>
      </w:r>
    </w:p>
    <w:p>
      <w:pPr>
        <w:ind w:left="602"/>
        <w:spacing w:before="156" w:line="219"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）信息公开服务、监督热线电话；</w:t>
      </w:r>
    </w:p>
    <w:p>
      <w:pPr>
        <w:ind w:left="124" w:right="124" w:firstLine="472"/>
        <w:spacing w:before="157" w:line="279" w:lineRule="auto"/>
        <w:rPr>
          <w:rFonts w:ascii="SimSun" w:hAnsi="SimSun" w:eastAsia="SimSun" w:cs="SimSun"/>
          <w:sz w:val="24"/>
          <w:szCs w:val="24"/>
        </w:rPr>
      </w:pPr>
      <w:r>
        <w:rPr>
          <w:rFonts w:ascii="Times New Roman" w:hAnsi="Times New Roman" w:eastAsia="Times New Roman" w:cs="Times New Roman"/>
          <w:sz w:val="24"/>
          <w:szCs w:val="24"/>
          <w:spacing w:val="2"/>
        </w:rPr>
        <w:t>4</w:t>
      </w:r>
      <w:r>
        <w:rPr>
          <w:rFonts w:ascii="SimSun" w:hAnsi="SimSun" w:eastAsia="SimSun" w:cs="SimSun"/>
          <w:sz w:val="24"/>
          <w:szCs w:val="24"/>
          <w:spacing w:val="2"/>
        </w:rPr>
        <w:t>）本单位的资料索取点、信息公开栏、信</w:t>
      </w:r>
      <w:r>
        <w:rPr>
          <w:rFonts w:ascii="SimSun" w:hAnsi="SimSun" w:eastAsia="SimSun" w:cs="SimSun"/>
          <w:sz w:val="24"/>
          <w:szCs w:val="24"/>
          <w:spacing w:val="1"/>
        </w:rPr>
        <w:t>息亭、电子屏幕、电子触摸屏等场所或</w:t>
      </w:r>
      <w:r>
        <w:rPr>
          <w:rFonts w:ascii="SimSun" w:hAnsi="SimSun" w:eastAsia="SimSun" w:cs="SimSun"/>
          <w:sz w:val="24"/>
          <w:szCs w:val="24"/>
          <w:spacing w:val="-3"/>
        </w:rPr>
        <w:t>者设施；</w:t>
      </w:r>
    </w:p>
    <w:p>
      <w:pPr>
        <w:ind w:left="616"/>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1"/>
        </w:rPr>
        <w:t>5</w:t>
      </w:r>
      <w:r>
        <w:rPr>
          <w:rFonts w:ascii="SimSun" w:hAnsi="SimSun" w:eastAsia="SimSun" w:cs="SimSun"/>
          <w:sz w:val="24"/>
          <w:szCs w:val="24"/>
          <w:spacing w:val="-1"/>
        </w:rPr>
        <w:t>）其他便于公众及时、准确获得信息的方式；</w:t>
      </w:r>
    </w:p>
    <w:p>
      <w:pPr>
        <w:spacing w:line="219" w:lineRule="auto"/>
        <w:sectPr>
          <w:footerReference w:type="default" r:id="rId530"/>
          <w:pgSz w:w="11906" w:h="16838"/>
          <w:pgMar w:top="1174" w:right="1304" w:bottom="1080" w:left="1303" w:header="833" w:footer="918" w:gutter="0"/>
        </w:sectPr>
        <w:rPr>
          <w:rFonts w:ascii="SimSun" w:hAnsi="SimSun" w:eastAsia="SimSun" w:cs="SimSun"/>
          <w:sz w:val="24"/>
          <w:szCs w:val="24"/>
        </w:rPr>
      </w:pPr>
    </w:p>
    <w:p>
      <w:pPr>
        <w:pStyle w:val="BodyText"/>
        <w:spacing w:line="296" w:lineRule="auto"/>
        <w:rPr/>
      </w:pPr>
      <w:r/>
    </w:p>
    <w:p>
      <w:pPr>
        <w:pStyle w:val="BodyText"/>
        <w:spacing w:line="297" w:lineRule="auto"/>
        <w:rPr/>
      </w:pPr>
      <w:r/>
    </w:p>
    <w:p>
      <w:pPr>
        <w:ind w:left="2685"/>
        <w:spacing w:before="117" w:line="222" w:lineRule="auto"/>
        <w:outlineLvl w:val="0"/>
        <w:rPr>
          <w:rFonts w:ascii="SimHei" w:hAnsi="SimHei" w:eastAsia="SimHei" w:cs="SimHei"/>
          <w:sz w:val="36"/>
          <w:szCs w:val="36"/>
        </w:rPr>
      </w:pPr>
      <w:bookmarkStart w:name="bookmark53" w:id="96"/>
      <w:bookmarkEnd w:id="96"/>
      <w:r>
        <w:rPr>
          <w:rFonts w:ascii="Times New Roman" w:hAnsi="Times New Roman" w:eastAsia="Times New Roman" w:cs="Times New Roman"/>
          <w:sz w:val="36"/>
          <w:szCs w:val="36"/>
          <w:spacing w:val="-2"/>
        </w:rPr>
        <w:t>8  </w:t>
      </w:r>
      <w:r>
        <w:rPr>
          <w:rFonts w:ascii="SimHei" w:hAnsi="SimHei" w:eastAsia="SimHei" w:cs="SimHei"/>
          <w:sz w:val="36"/>
          <w:szCs w:val="36"/>
          <w:spacing w:val="-2"/>
        </w:rPr>
        <w:t>环境影响经济损益分析</w:t>
      </w:r>
    </w:p>
    <w:p>
      <w:pPr>
        <w:pStyle w:val="BodyText"/>
        <w:spacing w:line="456" w:lineRule="auto"/>
        <w:rPr/>
      </w:pPr>
      <w:r/>
    </w:p>
    <w:p>
      <w:pPr>
        <w:ind w:left="118"/>
        <w:spacing w:before="98" w:line="222" w:lineRule="auto"/>
        <w:outlineLvl w:val="1"/>
        <w:rPr>
          <w:rFonts w:ascii="SimHei" w:hAnsi="SimHei" w:eastAsia="SimHei" w:cs="SimHei"/>
          <w:sz w:val="30"/>
          <w:szCs w:val="30"/>
        </w:rPr>
      </w:pPr>
      <w:bookmarkStart w:name="bookmark54" w:id="97"/>
      <w:bookmarkEnd w:id="97"/>
      <w:r>
        <w:rPr>
          <w:rFonts w:ascii="Times New Roman" w:hAnsi="Times New Roman" w:eastAsia="Times New Roman" w:cs="Times New Roman"/>
          <w:sz w:val="30"/>
          <w:szCs w:val="30"/>
          <w:b/>
          <w:bCs/>
          <w:spacing w:val="-4"/>
        </w:rPr>
        <w:t>8.1</w:t>
      </w:r>
      <w:r>
        <w:rPr>
          <w:rFonts w:ascii="Times New Roman" w:hAnsi="Times New Roman" w:eastAsia="Times New Roman" w:cs="Times New Roman"/>
          <w:sz w:val="30"/>
          <w:szCs w:val="30"/>
          <w:b/>
          <w:bCs/>
          <w:spacing w:val="-16"/>
        </w:rPr>
        <w:t xml:space="preserve"> </w:t>
      </w:r>
      <w:r>
        <w:rPr>
          <w:rFonts w:ascii="SimHei" w:hAnsi="SimHei" w:eastAsia="SimHei" w:cs="SimHei"/>
          <w:sz w:val="30"/>
          <w:szCs w:val="30"/>
          <w:b/>
          <w:bCs/>
          <w:spacing w:val="-4"/>
        </w:rPr>
        <w:t>环境保护投资分析</w:t>
      </w:r>
    </w:p>
    <w:p>
      <w:pPr>
        <w:ind w:left="111" w:right="107" w:firstLine="486"/>
        <w:spacing w:before="163" w:line="333" w:lineRule="auto"/>
        <w:jc w:val="both"/>
        <w:rPr>
          <w:rFonts w:ascii="SimSun" w:hAnsi="SimSun" w:eastAsia="SimSun" w:cs="SimSun"/>
          <w:sz w:val="24"/>
          <w:szCs w:val="24"/>
        </w:rPr>
      </w:pPr>
      <w:r>
        <w:rPr>
          <w:rFonts w:ascii="SimSun" w:hAnsi="SimSun" w:eastAsia="SimSun" w:cs="SimSun"/>
          <w:sz w:val="24"/>
          <w:szCs w:val="24"/>
          <w:spacing w:val="-2"/>
        </w:rPr>
        <w:t>本次改建工程工业场地依托现有工程，不新增占地，不新增劳动定员，仅为露天采</w:t>
      </w:r>
      <w:r>
        <w:rPr>
          <w:rFonts w:ascii="SimSun" w:hAnsi="SimSun" w:eastAsia="SimSun" w:cs="SimSun"/>
          <w:sz w:val="24"/>
          <w:szCs w:val="24"/>
          <w:spacing w:val="-1"/>
        </w:rPr>
        <w:t>掘场开采面积的增加。环境保护投资包括生态恢复措</w:t>
      </w:r>
      <w:r>
        <w:rPr>
          <w:rFonts w:ascii="SimSun" w:hAnsi="SimSun" w:eastAsia="SimSun" w:cs="SimSun"/>
          <w:sz w:val="24"/>
          <w:szCs w:val="24"/>
          <w:spacing w:val="-2"/>
        </w:rPr>
        <w:t>施及地下水污染防治措施，共计为</w:t>
      </w:r>
      <w:r>
        <w:rPr>
          <w:rFonts w:ascii="Times New Roman" w:hAnsi="Times New Roman" w:eastAsia="Times New Roman" w:cs="Times New Roman"/>
          <w:sz w:val="24"/>
          <w:szCs w:val="24"/>
          <w:spacing w:val="-2"/>
        </w:rPr>
        <w:t>4657.38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万元，见表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8-1-1</w:t>
      </w:r>
      <w:r>
        <w:rPr>
          <w:rFonts w:ascii="SimSun" w:hAnsi="SimSun" w:eastAsia="SimSun" w:cs="SimSun"/>
          <w:sz w:val="24"/>
          <w:szCs w:val="24"/>
          <w:spacing w:val="-2"/>
        </w:rPr>
        <w:t>。</w:t>
      </w:r>
    </w:p>
    <w:p>
      <w:pPr>
        <w:ind w:left="2993"/>
        <w:spacing w:before="1" w:line="217" w:lineRule="auto"/>
        <w:rPr>
          <w:rFonts w:ascii="SimSun" w:hAnsi="SimSun" w:eastAsia="SimSun" w:cs="SimSun"/>
          <w:sz w:val="24"/>
          <w:szCs w:val="24"/>
        </w:rPr>
      </w:pPr>
      <w:r>
        <w:rPr>
          <w:rFonts w:ascii="SimSun" w:hAnsi="SimSun" w:eastAsia="SimSun" w:cs="SimSun"/>
          <w:sz w:val="24"/>
          <w:szCs w:val="24"/>
          <w:b/>
          <w:bCs/>
          <w:spacing w:val="13"/>
        </w:rPr>
        <w:t>白音华四号矿环保投资估算表</w:t>
      </w:r>
    </w:p>
    <w:p>
      <w:pPr>
        <w:ind w:left="115"/>
        <w:spacing w:before="139" w:line="228" w:lineRule="auto"/>
        <w:rPr>
          <w:rFonts w:ascii="SimSun" w:hAnsi="SimSun" w:eastAsia="SimSun" w:cs="SimSun"/>
          <w:sz w:val="20"/>
          <w:szCs w:val="20"/>
        </w:rPr>
      </w:pPr>
      <w:r>
        <w:rPr>
          <w:rFonts w:ascii="SimSun" w:hAnsi="SimSun" w:eastAsia="SimSun" w:cs="SimSun"/>
          <w:sz w:val="20"/>
          <w:szCs w:val="20"/>
          <w:spacing w:val="4"/>
        </w:rPr>
        <w:t>表</w:t>
      </w:r>
      <w:r>
        <w:rPr>
          <w:rFonts w:ascii="SimSun" w:hAnsi="SimSun" w:eastAsia="SimSun" w:cs="SimSun"/>
          <w:sz w:val="20"/>
          <w:szCs w:val="20"/>
          <w:spacing w:val="-30"/>
        </w:rPr>
        <w:t xml:space="preserve"> </w:t>
      </w:r>
      <w:r>
        <w:rPr>
          <w:rFonts w:ascii="Times New Roman" w:hAnsi="Times New Roman" w:eastAsia="Times New Roman" w:cs="Times New Roman"/>
          <w:sz w:val="20"/>
          <w:szCs w:val="20"/>
          <w:spacing w:val="4"/>
        </w:rPr>
        <w:t>8-1-1</w:t>
      </w:r>
      <w:r>
        <w:rPr>
          <w:rFonts w:ascii="Times New Roman" w:hAnsi="Times New Roman" w:eastAsia="Times New Roman" w:cs="Times New Roman"/>
          <w:sz w:val="20"/>
          <w:szCs w:val="20"/>
        </w:rPr>
        <w:t xml:space="preserve">                                                                                                                                               </w:t>
      </w:r>
      <w:r>
        <w:rPr>
          <w:rFonts w:ascii="SimSun" w:hAnsi="SimSun" w:eastAsia="SimSun" w:cs="SimSun"/>
          <w:sz w:val="20"/>
          <w:szCs w:val="20"/>
          <w:spacing w:val="4"/>
        </w:rPr>
        <w:t>单位：万元</w:t>
      </w:r>
    </w:p>
    <w:p>
      <w:pPr>
        <w:spacing w:line="23" w:lineRule="exact"/>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4"/>
        <w:gridCol w:w="2192"/>
        <w:gridCol w:w="3932"/>
        <w:gridCol w:w="1151"/>
        <w:gridCol w:w="1154"/>
      </w:tblGrid>
      <w:tr>
        <w:trPr>
          <w:trHeight w:val="336" w:hRule="atLeast"/>
        </w:trPr>
        <w:tc>
          <w:tcPr>
            <w:tcW w:w="854" w:type="dxa"/>
            <w:vAlign w:val="top"/>
          </w:tcPr>
          <w:p>
            <w:pPr>
              <w:ind w:left="224"/>
              <w:spacing w:before="59" w:line="228" w:lineRule="auto"/>
              <w:rPr>
                <w:rFonts w:ascii="SimSun" w:hAnsi="SimSun" w:eastAsia="SimSun" w:cs="SimSun"/>
                <w:sz w:val="20"/>
                <w:szCs w:val="20"/>
              </w:rPr>
            </w:pPr>
            <w:r>
              <w:rPr>
                <w:rFonts w:ascii="SimSun" w:hAnsi="SimSun" w:eastAsia="SimSun" w:cs="SimSun"/>
                <w:sz w:val="20"/>
                <w:szCs w:val="20"/>
                <w:spacing w:val="4"/>
              </w:rPr>
              <w:t>要素</w:t>
            </w:r>
          </w:p>
        </w:tc>
        <w:tc>
          <w:tcPr>
            <w:tcW w:w="2192" w:type="dxa"/>
            <w:vAlign w:val="top"/>
          </w:tcPr>
          <w:p>
            <w:pPr>
              <w:ind w:left="787"/>
              <w:spacing w:before="60" w:line="228" w:lineRule="auto"/>
              <w:rPr>
                <w:rFonts w:ascii="SimSun" w:hAnsi="SimSun" w:eastAsia="SimSun" w:cs="SimSun"/>
                <w:sz w:val="20"/>
                <w:szCs w:val="20"/>
              </w:rPr>
            </w:pPr>
            <w:r>
              <w:rPr>
                <w:rFonts w:ascii="SimSun" w:hAnsi="SimSun" w:eastAsia="SimSun" w:cs="SimSun"/>
                <w:sz w:val="20"/>
                <w:szCs w:val="20"/>
                <w:spacing w:val="6"/>
              </w:rPr>
              <w:t>污染源</w:t>
            </w:r>
          </w:p>
        </w:tc>
        <w:tc>
          <w:tcPr>
            <w:tcW w:w="3932" w:type="dxa"/>
            <w:vAlign w:val="top"/>
          </w:tcPr>
          <w:p>
            <w:pPr>
              <w:ind w:left="1553"/>
              <w:spacing w:before="60" w:line="228" w:lineRule="auto"/>
              <w:rPr>
                <w:rFonts w:ascii="SimSun" w:hAnsi="SimSun" w:eastAsia="SimSun" w:cs="SimSun"/>
                <w:sz w:val="20"/>
                <w:szCs w:val="20"/>
              </w:rPr>
            </w:pPr>
            <w:r>
              <w:rPr>
                <w:rFonts w:ascii="SimSun" w:hAnsi="SimSun" w:eastAsia="SimSun" w:cs="SimSun"/>
                <w:sz w:val="20"/>
                <w:szCs w:val="20"/>
                <w:spacing w:val="7"/>
              </w:rPr>
              <w:t>环保措施</w:t>
            </w:r>
          </w:p>
        </w:tc>
        <w:tc>
          <w:tcPr>
            <w:tcW w:w="1151" w:type="dxa"/>
            <w:vAlign w:val="top"/>
          </w:tcPr>
          <w:p>
            <w:pPr>
              <w:ind w:left="165"/>
              <w:spacing w:before="60" w:line="226" w:lineRule="auto"/>
              <w:rPr>
                <w:rFonts w:ascii="SimSun" w:hAnsi="SimSun" w:eastAsia="SimSun" w:cs="SimSun"/>
                <w:sz w:val="20"/>
                <w:szCs w:val="20"/>
              </w:rPr>
            </w:pPr>
            <w:r>
              <w:rPr>
                <w:rFonts w:ascii="SimSun" w:hAnsi="SimSun" w:eastAsia="SimSun" w:cs="SimSun"/>
                <w:sz w:val="20"/>
                <w:szCs w:val="20"/>
                <w:spacing w:val="6"/>
              </w:rPr>
              <w:t>投资估算</w:t>
            </w:r>
          </w:p>
        </w:tc>
        <w:tc>
          <w:tcPr>
            <w:tcW w:w="1154" w:type="dxa"/>
            <w:vAlign w:val="top"/>
          </w:tcPr>
          <w:p>
            <w:pPr>
              <w:ind w:left="372"/>
              <w:spacing w:before="60"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655" w:hRule="atLeast"/>
        </w:trPr>
        <w:tc>
          <w:tcPr>
            <w:tcW w:w="854" w:type="dxa"/>
            <w:vAlign w:val="top"/>
            <w:vMerge w:val="restart"/>
            <w:tcBorders>
              <w:bottom w:val="nil"/>
            </w:tcBorders>
          </w:tcPr>
          <w:p>
            <w:pPr>
              <w:spacing w:line="241" w:lineRule="auto"/>
              <w:rPr>
                <w:rFonts w:ascii="Arial"/>
                <w:sz w:val="21"/>
              </w:rPr>
            </w:pPr>
            <w:r/>
          </w:p>
          <w:p>
            <w:pPr>
              <w:spacing w:line="241" w:lineRule="auto"/>
              <w:rPr>
                <w:rFonts w:ascii="Arial"/>
                <w:sz w:val="21"/>
              </w:rPr>
            </w:pPr>
            <w:r/>
          </w:p>
          <w:p>
            <w:pPr>
              <w:ind w:left="226"/>
              <w:spacing w:before="65" w:line="228" w:lineRule="auto"/>
              <w:rPr>
                <w:rFonts w:ascii="SimSun" w:hAnsi="SimSun" w:eastAsia="SimSun" w:cs="SimSun"/>
                <w:sz w:val="20"/>
                <w:szCs w:val="20"/>
              </w:rPr>
            </w:pPr>
            <w:r>
              <w:rPr>
                <w:rFonts w:ascii="SimSun" w:hAnsi="SimSun" w:eastAsia="SimSun" w:cs="SimSun"/>
                <w:sz w:val="20"/>
                <w:szCs w:val="20"/>
                <w:spacing w:val="3"/>
              </w:rPr>
              <w:t>大气</w:t>
            </w:r>
          </w:p>
        </w:tc>
        <w:tc>
          <w:tcPr>
            <w:tcW w:w="2192" w:type="dxa"/>
            <w:vAlign w:val="top"/>
          </w:tcPr>
          <w:p>
            <w:pPr>
              <w:ind w:left="365"/>
              <w:spacing w:before="218" w:line="227" w:lineRule="auto"/>
              <w:rPr>
                <w:rFonts w:ascii="SimSun" w:hAnsi="SimSun" w:eastAsia="SimSun" w:cs="SimSun"/>
                <w:sz w:val="20"/>
                <w:szCs w:val="20"/>
              </w:rPr>
            </w:pPr>
            <w:r>
              <w:rPr>
                <w:rFonts w:ascii="SimSun" w:hAnsi="SimSun" w:eastAsia="SimSun" w:cs="SimSun"/>
                <w:sz w:val="20"/>
                <w:szCs w:val="20"/>
                <w:spacing w:val="8"/>
              </w:rPr>
              <w:t>采掘场及排土场</w:t>
            </w:r>
          </w:p>
        </w:tc>
        <w:tc>
          <w:tcPr>
            <w:tcW w:w="3932" w:type="dxa"/>
            <w:vAlign w:val="top"/>
          </w:tcPr>
          <w:p>
            <w:pPr>
              <w:ind w:left="921"/>
              <w:spacing w:before="218" w:line="227" w:lineRule="auto"/>
              <w:rPr>
                <w:rFonts w:ascii="SimSun" w:hAnsi="SimSun" w:eastAsia="SimSun" w:cs="SimSun"/>
                <w:sz w:val="20"/>
                <w:szCs w:val="20"/>
              </w:rPr>
            </w:pPr>
            <w:r>
              <w:rPr>
                <w:rFonts w:ascii="SimSun" w:hAnsi="SimSun" w:eastAsia="SimSun" w:cs="SimSun"/>
                <w:sz w:val="20"/>
                <w:szCs w:val="20"/>
                <w:spacing w:val="9"/>
              </w:rPr>
              <w:t>采用洒水进行喷雾洒水</w:t>
            </w:r>
          </w:p>
        </w:tc>
        <w:tc>
          <w:tcPr>
            <w:tcW w:w="1151" w:type="dxa"/>
            <w:vAlign w:val="top"/>
          </w:tcPr>
          <w:p>
            <w:pPr>
              <w:pStyle w:val="TableText"/>
              <w:ind w:left="546"/>
              <w:spacing w:before="250" w:line="199" w:lineRule="auto"/>
              <w:rPr/>
            </w:pPr>
            <w:r>
              <w:rPr>
                <w:spacing w:val="2"/>
              </w:rPr>
              <w:t>/</w:t>
            </w:r>
          </w:p>
        </w:tc>
        <w:tc>
          <w:tcPr>
            <w:tcW w:w="1154" w:type="dxa"/>
            <w:vAlign w:val="top"/>
          </w:tcPr>
          <w:p>
            <w:pPr>
              <w:ind w:left="171" w:right="157" w:firstLine="85"/>
              <w:spacing w:before="55" w:line="272" w:lineRule="auto"/>
              <w:rPr>
                <w:rFonts w:ascii="SimSun" w:hAnsi="SimSun" w:eastAsia="SimSun" w:cs="SimSun"/>
                <w:sz w:val="20"/>
                <w:szCs w:val="20"/>
              </w:rPr>
            </w:pPr>
            <w:r>
              <w:rPr>
                <w:rFonts w:ascii="SimSun" w:hAnsi="SimSun" w:eastAsia="SimSun" w:cs="SimSun"/>
                <w:sz w:val="20"/>
                <w:szCs w:val="20"/>
                <w:spacing w:val="10"/>
              </w:rPr>
              <w:t>“三同</w:t>
            </w:r>
            <w:r>
              <w:rPr>
                <w:rFonts w:ascii="SimSun" w:hAnsi="SimSun" w:eastAsia="SimSun" w:cs="SimSun"/>
                <w:sz w:val="20"/>
                <w:szCs w:val="20"/>
                <w:spacing w:val="-2"/>
              </w:rPr>
              <w:t>时</w:t>
            </w:r>
            <w:r>
              <w:rPr>
                <w:rFonts w:ascii="SimSun" w:hAnsi="SimSun" w:eastAsia="SimSun" w:cs="SimSun"/>
                <w:sz w:val="20"/>
                <w:szCs w:val="20"/>
                <w:spacing w:val="-73"/>
              </w:rPr>
              <w:t xml:space="preserve"> </w:t>
            </w:r>
            <w:r>
              <w:rPr>
                <w:rFonts w:ascii="SimSun" w:hAnsi="SimSun" w:eastAsia="SimSun" w:cs="SimSun"/>
                <w:sz w:val="20"/>
                <w:szCs w:val="20"/>
                <w:spacing w:val="-2"/>
              </w:rPr>
              <w:t>”工程</w:t>
            </w:r>
          </w:p>
        </w:tc>
      </w:tr>
      <w:tr>
        <w:trPr>
          <w:trHeight w:val="657" w:hRule="atLeast"/>
        </w:trPr>
        <w:tc>
          <w:tcPr>
            <w:tcW w:w="854" w:type="dxa"/>
            <w:vAlign w:val="top"/>
            <w:vMerge w:val="continue"/>
            <w:tcBorders>
              <w:top w:val="nil"/>
            </w:tcBorders>
          </w:tcPr>
          <w:p>
            <w:pPr>
              <w:rPr>
                <w:rFonts w:ascii="Arial"/>
                <w:sz w:val="21"/>
              </w:rPr>
            </w:pPr>
            <w:r/>
          </w:p>
        </w:tc>
        <w:tc>
          <w:tcPr>
            <w:tcW w:w="2192" w:type="dxa"/>
            <w:vAlign w:val="top"/>
          </w:tcPr>
          <w:p>
            <w:pPr>
              <w:ind w:left="474"/>
              <w:spacing w:before="221" w:line="228" w:lineRule="auto"/>
              <w:rPr>
                <w:rFonts w:ascii="SimSun" w:hAnsi="SimSun" w:eastAsia="SimSun" w:cs="SimSun"/>
                <w:sz w:val="20"/>
                <w:szCs w:val="20"/>
              </w:rPr>
            </w:pPr>
            <w:r>
              <w:rPr>
                <w:rFonts w:ascii="SimSun" w:hAnsi="SimSun" w:eastAsia="SimSun" w:cs="SimSun"/>
                <w:sz w:val="20"/>
                <w:szCs w:val="20"/>
                <w:spacing w:val="7"/>
              </w:rPr>
              <w:t>原煤加工系统</w:t>
            </w:r>
          </w:p>
        </w:tc>
        <w:tc>
          <w:tcPr>
            <w:tcW w:w="3932" w:type="dxa"/>
            <w:vAlign w:val="top"/>
          </w:tcPr>
          <w:p>
            <w:pPr>
              <w:ind w:left="607" w:right="181" w:hanging="422"/>
              <w:spacing w:before="57" w:line="272" w:lineRule="auto"/>
              <w:rPr>
                <w:rFonts w:ascii="SimSun" w:hAnsi="SimSun" w:eastAsia="SimSun" w:cs="SimSun"/>
                <w:sz w:val="20"/>
                <w:szCs w:val="20"/>
              </w:rPr>
            </w:pPr>
            <w:r>
              <w:rPr>
                <w:rFonts w:ascii="SimSun" w:hAnsi="SimSun" w:eastAsia="SimSun" w:cs="SimSun"/>
                <w:sz w:val="20"/>
                <w:szCs w:val="20"/>
                <w:spacing w:val="9"/>
              </w:rPr>
              <w:t>配套布袋除尘器、转载点封闭及喷雾洒</w:t>
            </w:r>
            <w:r>
              <w:rPr>
                <w:rFonts w:ascii="SimSun" w:hAnsi="SimSun" w:eastAsia="SimSun" w:cs="SimSun"/>
                <w:sz w:val="20"/>
                <w:szCs w:val="20"/>
                <w:spacing w:val="9"/>
              </w:rPr>
              <w:t>水、原煤输送采用封闭式结构</w:t>
            </w:r>
          </w:p>
        </w:tc>
        <w:tc>
          <w:tcPr>
            <w:tcW w:w="1151" w:type="dxa"/>
            <w:vAlign w:val="top"/>
          </w:tcPr>
          <w:p>
            <w:pPr>
              <w:pStyle w:val="TableText"/>
              <w:ind w:left="546"/>
              <w:spacing w:before="252" w:line="199" w:lineRule="auto"/>
              <w:rPr/>
            </w:pPr>
            <w:r>
              <w:rPr>
                <w:spacing w:val="2"/>
              </w:rPr>
              <w:t>/</w:t>
            </w:r>
          </w:p>
        </w:tc>
        <w:tc>
          <w:tcPr>
            <w:tcW w:w="1154" w:type="dxa"/>
            <w:vAlign w:val="top"/>
          </w:tcPr>
          <w:p>
            <w:pPr>
              <w:ind w:left="163"/>
              <w:spacing w:before="220" w:line="227" w:lineRule="auto"/>
              <w:rPr>
                <w:rFonts w:ascii="SimSun" w:hAnsi="SimSun" w:eastAsia="SimSun" w:cs="SimSun"/>
                <w:sz w:val="20"/>
                <w:szCs w:val="20"/>
              </w:rPr>
            </w:pPr>
            <w:r>
              <w:rPr>
                <w:rFonts w:ascii="SimSun" w:hAnsi="SimSun" w:eastAsia="SimSun" w:cs="SimSun"/>
                <w:sz w:val="20"/>
                <w:szCs w:val="20"/>
                <w:spacing w:val="6"/>
              </w:rPr>
              <w:t>依托现有</w:t>
            </w:r>
          </w:p>
        </w:tc>
      </w:tr>
      <w:tr>
        <w:trPr>
          <w:trHeight w:val="657" w:hRule="atLeast"/>
        </w:trPr>
        <w:tc>
          <w:tcPr>
            <w:tcW w:w="854" w:type="dxa"/>
            <w:vAlign w:val="top"/>
            <w:vMerge w:val="restart"/>
            <w:tcBorders>
              <w:bottom w:val="nil"/>
            </w:tcBorders>
          </w:tcPr>
          <w:p>
            <w:pPr>
              <w:spacing w:line="268" w:lineRule="auto"/>
              <w:rPr>
                <w:rFonts w:ascii="Arial"/>
                <w:sz w:val="21"/>
              </w:rPr>
            </w:pPr>
            <w:r/>
          </w:p>
          <w:p>
            <w:pPr>
              <w:spacing w:line="269" w:lineRule="auto"/>
              <w:rPr>
                <w:rFonts w:ascii="Arial"/>
                <w:sz w:val="21"/>
              </w:rPr>
            </w:pPr>
            <w:r/>
          </w:p>
          <w:p>
            <w:pPr>
              <w:spacing w:line="269" w:lineRule="auto"/>
              <w:rPr>
                <w:rFonts w:ascii="Arial"/>
                <w:sz w:val="21"/>
              </w:rPr>
            </w:pPr>
            <w:r/>
          </w:p>
          <w:p>
            <w:pPr>
              <w:ind w:left="118"/>
              <w:spacing w:before="65" w:line="228" w:lineRule="auto"/>
              <w:rPr>
                <w:rFonts w:ascii="SimSun" w:hAnsi="SimSun" w:eastAsia="SimSun" w:cs="SimSun"/>
                <w:sz w:val="20"/>
                <w:szCs w:val="20"/>
              </w:rPr>
            </w:pPr>
            <w:r>
              <w:rPr>
                <w:rFonts w:ascii="SimSun" w:hAnsi="SimSun" w:eastAsia="SimSun" w:cs="SimSun"/>
                <w:sz w:val="20"/>
                <w:szCs w:val="20"/>
                <w:spacing w:val="6"/>
              </w:rPr>
              <w:t>地表水</w:t>
            </w:r>
          </w:p>
        </w:tc>
        <w:tc>
          <w:tcPr>
            <w:tcW w:w="2192" w:type="dxa"/>
            <w:vAlign w:val="top"/>
          </w:tcPr>
          <w:p>
            <w:pPr>
              <w:ind w:left="682"/>
              <w:spacing w:before="220" w:line="228" w:lineRule="auto"/>
              <w:rPr>
                <w:rFonts w:ascii="SimSun" w:hAnsi="SimSun" w:eastAsia="SimSun" w:cs="SimSun"/>
                <w:sz w:val="20"/>
                <w:szCs w:val="20"/>
              </w:rPr>
            </w:pPr>
            <w:r>
              <w:rPr>
                <w:rFonts w:ascii="SimSun" w:hAnsi="SimSun" w:eastAsia="SimSun" w:cs="SimSun"/>
                <w:sz w:val="20"/>
                <w:szCs w:val="20"/>
                <w:spacing w:val="6"/>
              </w:rPr>
              <w:t>生活污水</w:t>
            </w:r>
          </w:p>
        </w:tc>
        <w:tc>
          <w:tcPr>
            <w:tcW w:w="3932" w:type="dxa"/>
            <w:vAlign w:val="top"/>
          </w:tcPr>
          <w:p>
            <w:pPr>
              <w:ind w:left="185" w:right="104" w:hanging="72"/>
              <w:spacing w:before="57" w:line="272" w:lineRule="auto"/>
              <w:rPr>
                <w:rFonts w:ascii="SimSun" w:hAnsi="SimSun" w:eastAsia="SimSun" w:cs="SimSun"/>
                <w:sz w:val="20"/>
                <w:szCs w:val="20"/>
              </w:rPr>
            </w:pPr>
            <w:r>
              <w:rPr>
                <w:rFonts w:ascii="SimSun" w:hAnsi="SimSun" w:eastAsia="SimSun" w:cs="SimSun"/>
                <w:sz w:val="20"/>
                <w:szCs w:val="20"/>
                <w:spacing w:val="6"/>
              </w:rPr>
              <w:t>利用现有生活污水处理站，经处理后，回</w:t>
            </w:r>
            <w:r>
              <w:rPr>
                <w:rFonts w:ascii="SimSun" w:hAnsi="SimSun" w:eastAsia="SimSun" w:cs="SimSun"/>
                <w:sz w:val="20"/>
                <w:szCs w:val="20"/>
                <w:spacing w:val="9"/>
              </w:rPr>
              <w:t>用于道路、绿化洒水，全部回用不外排</w:t>
            </w:r>
          </w:p>
        </w:tc>
        <w:tc>
          <w:tcPr>
            <w:tcW w:w="1151" w:type="dxa"/>
            <w:vAlign w:val="top"/>
          </w:tcPr>
          <w:p>
            <w:pPr>
              <w:pStyle w:val="TableText"/>
              <w:ind w:left="546"/>
              <w:spacing w:before="253" w:line="199" w:lineRule="auto"/>
              <w:rPr/>
            </w:pPr>
            <w:r>
              <w:rPr>
                <w:spacing w:val="2"/>
              </w:rPr>
              <w:t>/</w:t>
            </w:r>
          </w:p>
        </w:tc>
        <w:tc>
          <w:tcPr>
            <w:tcW w:w="1154" w:type="dxa"/>
            <w:vAlign w:val="top"/>
          </w:tcPr>
          <w:p>
            <w:pPr>
              <w:ind w:left="163"/>
              <w:spacing w:before="221" w:line="227" w:lineRule="auto"/>
              <w:rPr>
                <w:rFonts w:ascii="SimSun" w:hAnsi="SimSun" w:eastAsia="SimSun" w:cs="SimSun"/>
                <w:sz w:val="20"/>
                <w:szCs w:val="20"/>
              </w:rPr>
            </w:pPr>
            <w:r>
              <w:rPr>
                <w:rFonts w:ascii="SimSun" w:hAnsi="SimSun" w:eastAsia="SimSun" w:cs="SimSun"/>
                <w:sz w:val="20"/>
                <w:szCs w:val="20"/>
                <w:spacing w:val="6"/>
              </w:rPr>
              <w:t>依托现有</w:t>
            </w:r>
          </w:p>
        </w:tc>
      </w:tr>
      <w:tr>
        <w:trPr>
          <w:trHeight w:val="1309" w:hRule="atLeast"/>
        </w:trPr>
        <w:tc>
          <w:tcPr>
            <w:tcW w:w="854" w:type="dxa"/>
            <w:vAlign w:val="top"/>
            <w:vMerge w:val="continue"/>
            <w:tcBorders>
              <w:top w:val="nil"/>
            </w:tcBorders>
          </w:tcPr>
          <w:p>
            <w:pPr>
              <w:rPr>
                <w:rFonts w:ascii="Arial"/>
                <w:sz w:val="21"/>
              </w:rPr>
            </w:pPr>
            <w:r/>
          </w:p>
        </w:tc>
        <w:tc>
          <w:tcPr>
            <w:tcW w:w="2192" w:type="dxa"/>
            <w:vAlign w:val="top"/>
          </w:tcPr>
          <w:p>
            <w:pPr>
              <w:spacing w:line="477" w:lineRule="auto"/>
              <w:rPr>
                <w:rFonts w:ascii="Arial"/>
                <w:sz w:val="21"/>
              </w:rPr>
            </w:pPr>
            <w:r/>
          </w:p>
          <w:p>
            <w:pPr>
              <w:ind w:left="468"/>
              <w:spacing w:before="65" w:line="228" w:lineRule="auto"/>
              <w:rPr>
                <w:rFonts w:ascii="SimSun" w:hAnsi="SimSun" w:eastAsia="SimSun" w:cs="SimSun"/>
                <w:sz w:val="20"/>
                <w:szCs w:val="20"/>
              </w:rPr>
            </w:pPr>
            <w:r>
              <w:rPr>
                <w:rFonts w:ascii="SimSun" w:hAnsi="SimSun" w:eastAsia="SimSun" w:cs="SimSun"/>
                <w:sz w:val="20"/>
                <w:szCs w:val="20"/>
                <w:spacing w:val="8"/>
              </w:rPr>
              <w:t>矿井（坑）水</w:t>
            </w:r>
          </w:p>
        </w:tc>
        <w:tc>
          <w:tcPr>
            <w:tcW w:w="3932" w:type="dxa"/>
            <w:vAlign w:val="top"/>
          </w:tcPr>
          <w:p>
            <w:pPr>
              <w:ind w:right="12"/>
              <w:spacing w:before="55" w:line="228" w:lineRule="auto"/>
              <w:jc w:val="right"/>
              <w:rPr>
                <w:rFonts w:ascii="SimSun" w:hAnsi="SimSun" w:eastAsia="SimSun" w:cs="SimSun"/>
                <w:sz w:val="20"/>
                <w:szCs w:val="20"/>
              </w:rPr>
            </w:pPr>
            <w:r>
              <w:rPr>
                <w:rFonts w:ascii="SimSun" w:hAnsi="SimSun" w:eastAsia="SimSun" w:cs="SimSun"/>
                <w:sz w:val="20"/>
                <w:szCs w:val="20"/>
              </w:rPr>
              <w:t>利用现有矿井（坑）水处理站，经处理后，</w:t>
            </w:r>
          </w:p>
          <w:p>
            <w:pPr>
              <w:ind w:left="115"/>
              <w:spacing w:before="79" w:line="228" w:lineRule="auto"/>
              <w:rPr>
                <w:rFonts w:ascii="SimSun" w:hAnsi="SimSun" w:eastAsia="SimSun" w:cs="SimSun"/>
                <w:sz w:val="20"/>
                <w:szCs w:val="20"/>
              </w:rPr>
            </w:pPr>
            <w:r>
              <w:rPr>
                <w:rFonts w:ascii="SimSun" w:hAnsi="SimSun" w:eastAsia="SimSun" w:cs="SimSun"/>
                <w:sz w:val="20"/>
                <w:szCs w:val="20"/>
                <w:spacing w:val="5"/>
              </w:rPr>
              <w:t>部分回用于矿井生产用水、部分回用于道</w:t>
            </w:r>
          </w:p>
          <w:p>
            <w:pPr>
              <w:ind w:right="9"/>
              <w:spacing w:before="79" w:line="228" w:lineRule="auto"/>
              <w:jc w:val="right"/>
              <w:rPr>
                <w:rFonts w:ascii="SimSun" w:hAnsi="SimSun" w:eastAsia="SimSun" w:cs="SimSun"/>
                <w:sz w:val="20"/>
                <w:szCs w:val="20"/>
              </w:rPr>
            </w:pPr>
            <w:r>
              <w:rPr>
                <w:rFonts w:ascii="SimSun" w:hAnsi="SimSun" w:eastAsia="SimSun" w:cs="SimSun"/>
                <w:sz w:val="20"/>
                <w:szCs w:val="20"/>
              </w:rPr>
              <w:t>路、绿化洒水、部分回用于金山电厂用水，</w:t>
            </w:r>
          </w:p>
          <w:p>
            <w:pPr>
              <w:ind w:left="1236"/>
              <w:spacing w:before="79" w:line="228" w:lineRule="auto"/>
              <w:rPr>
                <w:rFonts w:ascii="SimSun" w:hAnsi="SimSun" w:eastAsia="SimSun" w:cs="SimSun"/>
                <w:sz w:val="20"/>
                <w:szCs w:val="20"/>
              </w:rPr>
            </w:pPr>
            <w:r>
              <w:rPr>
                <w:rFonts w:ascii="SimSun" w:hAnsi="SimSun" w:eastAsia="SimSun" w:cs="SimSun"/>
                <w:sz w:val="20"/>
                <w:szCs w:val="20"/>
                <w:spacing w:val="8"/>
              </w:rPr>
              <w:t>全部回用不外排</w:t>
            </w:r>
          </w:p>
        </w:tc>
        <w:tc>
          <w:tcPr>
            <w:tcW w:w="1151" w:type="dxa"/>
            <w:vAlign w:val="top"/>
          </w:tcPr>
          <w:p>
            <w:pPr>
              <w:spacing w:line="258" w:lineRule="auto"/>
              <w:rPr>
                <w:rFonts w:ascii="Arial"/>
                <w:sz w:val="21"/>
              </w:rPr>
            </w:pPr>
            <w:r/>
          </w:p>
          <w:p>
            <w:pPr>
              <w:spacing w:line="259" w:lineRule="auto"/>
              <w:rPr>
                <w:rFonts w:ascii="Arial"/>
                <w:sz w:val="21"/>
              </w:rPr>
            </w:pPr>
            <w:r/>
          </w:p>
          <w:p>
            <w:pPr>
              <w:pStyle w:val="TableText"/>
              <w:ind w:left="546"/>
              <w:spacing w:before="57" w:line="199" w:lineRule="auto"/>
              <w:rPr/>
            </w:pPr>
            <w:r>
              <w:rPr>
                <w:spacing w:val="2"/>
              </w:rPr>
              <w:t>/</w:t>
            </w:r>
          </w:p>
        </w:tc>
        <w:tc>
          <w:tcPr>
            <w:tcW w:w="1154" w:type="dxa"/>
            <w:vAlign w:val="top"/>
          </w:tcPr>
          <w:p>
            <w:pPr>
              <w:spacing w:line="477" w:lineRule="auto"/>
              <w:rPr>
                <w:rFonts w:ascii="Arial"/>
                <w:sz w:val="21"/>
              </w:rPr>
            </w:pPr>
            <w:r/>
          </w:p>
          <w:p>
            <w:pPr>
              <w:ind w:left="163"/>
              <w:spacing w:before="65" w:line="227" w:lineRule="auto"/>
              <w:rPr>
                <w:rFonts w:ascii="SimSun" w:hAnsi="SimSun" w:eastAsia="SimSun" w:cs="SimSun"/>
                <w:sz w:val="20"/>
                <w:szCs w:val="20"/>
              </w:rPr>
            </w:pPr>
            <w:r>
              <w:rPr>
                <w:rFonts w:ascii="SimSun" w:hAnsi="SimSun" w:eastAsia="SimSun" w:cs="SimSun"/>
                <w:sz w:val="20"/>
                <w:szCs w:val="20"/>
                <w:spacing w:val="6"/>
              </w:rPr>
              <w:t>依托现有</w:t>
            </w:r>
          </w:p>
        </w:tc>
      </w:tr>
      <w:tr>
        <w:trPr>
          <w:trHeight w:val="655" w:hRule="atLeast"/>
        </w:trPr>
        <w:tc>
          <w:tcPr>
            <w:tcW w:w="854" w:type="dxa"/>
            <w:vAlign w:val="top"/>
          </w:tcPr>
          <w:p>
            <w:pPr>
              <w:ind w:left="233"/>
              <w:spacing w:before="220" w:line="228" w:lineRule="auto"/>
              <w:rPr>
                <w:rFonts w:ascii="SimSun" w:hAnsi="SimSun" w:eastAsia="SimSun" w:cs="SimSun"/>
                <w:sz w:val="20"/>
                <w:szCs w:val="20"/>
              </w:rPr>
            </w:pPr>
            <w:r>
              <w:rPr>
                <w:rFonts w:ascii="SimSun" w:hAnsi="SimSun" w:eastAsia="SimSun" w:cs="SimSun"/>
                <w:sz w:val="20"/>
                <w:szCs w:val="20"/>
                <w:spacing w:val="-1"/>
              </w:rPr>
              <w:t>噪声</w:t>
            </w:r>
          </w:p>
        </w:tc>
        <w:tc>
          <w:tcPr>
            <w:tcW w:w="2192" w:type="dxa"/>
            <w:vAlign w:val="top"/>
          </w:tcPr>
          <w:p>
            <w:pPr>
              <w:ind w:left="682"/>
              <w:spacing w:before="220" w:line="228" w:lineRule="auto"/>
              <w:rPr>
                <w:rFonts w:ascii="SimSun" w:hAnsi="SimSun" w:eastAsia="SimSun" w:cs="SimSun"/>
                <w:sz w:val="20"/>
                <w:szCs w:val="20"/>
              </w:rPr>
            </w:pPr>
            <w:r>
              <w:rPr>
                <w:rFonts w:ascii="SimSun" w:hAnsi="SimSun" w:eastAsia="SimSun" w:cs="SimSun"/>
                <w:sz w:val="20"/>
                <w:szCs w:val="20"/>
                <w:spacing w:val="6"/>
              </w:rPr>
              <w:t>生产系统</w:t>
            </w:r>
          </w:p>
        </w:tc>
        <w:tc>
          <w:tcPr>
            <w:tcW w:w="3932" w:type="dxa"/>
            <w:vAlign w:val="top"/>
          </w:tcPr>
          <w:p>
            <w:pPr>
              <w:ind w:left="1141"/>
              <w:spacing w:before="220" w:line="228" w:lineRule="auto"/>
              <w:rPr>
                <w:rFonts w:ascii="SimSun" w:hAnsi="SimSun" w:eastAsia="SimSun" w:cs="SimSun"/>
                <w:sz w:val="20"/>
                <w:szCs w:val="20"/>
              </w:rPr>
            </w:pPr>
            <w:r>
              <w:rPr>
                <w:rFonts w:ascii="SimSun" w:hAnsi="SimSun" w:eastAsia="SimSun" w:cs="SimSun"/>
                <w:sz w:val="20"/>
                <w:szCs w:val="20"/>
                <w:spacing w:val="7"/>
              </w:rPr>
              <w:t>吸声、隔声、降噪</w:t>
            </w:r>
          </w:p>
        </w:tc>
        <w:tc>
          <w:tcPr>
            <w:tcW w:w="1151" w:type="dxa"/>
            <w:vAlign w:val="top"/>
          </w:tcPr>
          <w:p>
            <w:pPr>
              <w:pStyle w:val="TableText"/>
              <w:ind w:left="546"/>
              <w:spacing w:before="252" w:line="199" w:lineRule="auto"/>
              <w:rPr/>
            </w:pPr>
            <w:r>
              <w:rPr>
                <w:spacing w:val="2"/>
              </w:rPr>
              <w:t>/</w:t>
            </w:r>
          </w:p>
        </w:tc>
        <w:tc>
          <w:tcPr>
            <w:tcW w:w="1154" w:type="dxa"/>
            <w:vAlign w:val="top"/>
          </w:tcPr>
          <w:p>
            <w:pPr>
              <w:ind w:left="171" w:right="157" w:firstLine="85"/>
              <w:spacing w:before="57" w:line="271" w:lineRule="auto"/>
              <w:rPr>
                <w:rFonts w:ascii="SimSun" w:hAnsi="SimSun" w:eastAsia="SimSun" w:cs="SimSun"/>
                <w:sz w:val="20"/>
                <w:szCs w:val="20"/>
              </w:rPr>
            </w:pPr>
            <w:r>
              <w:rPr>
                <w:rFonts w:ascii="SimSun" w:hAnsi="SimSun" w:eastAsia="SimSun" w:cs="SimSun"/>
                <w:sz w:val="20"/>
                <w:szCs w:val="20"/>
                <w:spacing w:val="10"/>
              </w:rPr>
              <w:t>“三同</w:t>
            </w:r>
            <w:r>
              <w:rPr>
                <w:rFonts w:ascii="SimSun" w:hAnsi="SimSun" w:eastAsia="SimSun" w:cs="SimSun"/>
                <w:sz w:val="20"/>
                <w:szCs w:val="20"/>
                <w:spacing w:val="-2"/>
              </w:rPr>
              <w:t>时</w:t>
            </w:r>
            <w:r>
              <w:rPr>
                <w:rFonts w:ascii="SimSun" w:hAnsi="SimSun" w:eastAsia="SimSun" w:cs="SimSun"/>
                <w:sz w:val="20"/>
                <w:szCs w:val="20"/>
                <w:spacing w:val="-73"/>
              </w:rPr>
              <w:t xml:space="preserve"> </w:t>
            </w:r>
            <w:r>
              <w:rPr>
                <w:rFonts w:ascii="SimSun" w:hAnsi="SimSun" w:eastAsia="SimSun" w:cs="SimSun"/>
                <w:sz w:val="20"/>
                <w:szCs w:val="20"/>
                <w:spacing w:val="-2"/>
              </w:rPr>
              <w:t>”工程</w:t>
            </w:r>
          </w:p>
        </w:tc>
      </w:tr>
      <w:tr>
        <w:trPr>
          <w:trHeight w:val="657" w:hRule="atLeast"/>
        </w:trPr>
        <w:tc>
          <w:tcPr>
            <w:tcW w:w="854" w:type="dxa"/>
            <w:vAlign w:val="top"/>
            <w:vMerge w:val="restart"/>
            <w:tcBorders>
              <w:bottom w:val="nil"/>
            </w:tcBorders>
          </w:tcPr>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3" w:lineRule="auto"/>
              <w:rPr>
                <w:rFonts w:ascii="Arial"/>
                <w:sz w:val="21"/>
              </w:rPr>
            </w:pPr>
            <w:r/>
          </w:p>
          <w:p>
            <w:pPr>
              <w:ind w:left="326" w:right="109" w:hanging="190"/>
              <w:spacing w:before="65" w:line="303" w:lineRule="auto"/>
              <w:rPr>
                <w:rFonts w:ascii="SimSun" w:hAnsi="SimSun" w:eastAsia="SimSun" w:cs="SimSun"/>
                <w:sz w:val="20"/>
                <w:szCs w:val="20"/>
              </w:rPr>
            </w:pPr>
            <w:r>
              <w:rPr>
                <w:rFonts w:ascii="SimSun" w:hAnsi="SimSun" w:eastAsia="SimSun" w:cs="SimSun"/>
                <w:sz w:val="20"/>
                <w:szCs w:val="20"/>
              </w:rPr>
              <w:t>固体废</w:t>
            </w:r>
            <w:r>
              <w:rPr>
                <w:rFonts w:ascii="SimSun" w:hAnsi="SimSun" w:eastAsia="SimSun" w:cs="SimSun"/>
                <w:sz w:val="20"/>
                <w:szCs w:val="20"/>
              </w:rPr>
              <w:t>物</w:t>
            </w:r>
          </w:p>
        </w:tc>
        <w:tc>
          <w:tcPr>
            <w:tcW w:w="2192" w:type="dxa"/>
            <w:vAlign w:val="top"/>
          </w:tcPr>
          <w:p>
            <w:pPr>
              <w:ind w:left="788"/>
              <w:spacing w:before="223" w:line="228" w:lineRule="auto"/>
              <w:rPr>
                <w:rFonts w:ascii="SimSun" w:hAnsi="SimSun" w:eastAsia="SimSun" w:cs="SimSun"/>
                <w:sz w:val="20"/>
                <w:szCs w:val="20"/>
              </w:rPr>
            </w:pPr>
            <w:r>
              <w:rPr>
                <w:rFonts w:ascii="SimSun" w:hAnsi="SimSun" w:eastAsia="SimSun" w:cs="SimSun"/>
                <w:sz w:val="20"/>
                <w:szCs w:val="20"/>
                <w:spacing w:val="6"/>
              </w:rPr>
              <w:t>剥离物</w:t>
            </w:r>
          </w:p>
        </w:tc>
        <w:tc>
          <w:tcPr>
            <w:tcW w:w="3932" w:type="dxa"/>
            <w:vAlign w:val="top"/>
          </w:tcPr>
          <w:p>
            <w:pPr>
              <w:pStyle w:val="TableText"/>
              <w:ind w:left="166"/>
              <w:spacing w:before="60" w:line="228" w:lineRule="auto"/>
              <w:rPr/>
            </w:pPr>
            <w:r>
              <w:rPr>
                <w:rFonts w:ascii="SimSun" w:hAnsi="SimSun" w:eastAsia="SimSun" w:cs="SimSun"/>
                <w:spacing w:val="7"/>
              </w:rPr>
              <w:t>露天区矸石主要为土岩剥离物，为</w:t>
            </w:r>
            <w:r>
              <w:rPr>
                <w:rFonts w:ascii="SimSun" w:hAnsi="SimSun" w:eastAsia="SimSun" w:cs="SimSun"/>
                <w:spacing w:val="-27"/>
              </w:rPr>
              <w:t xml:space="preserve"> </w:t>
            </w:r>
            <w:r>
              <w:rPr>
                <w:spacing w:val="7"/>
              </w:rPr>
              <w:t>5295</w:t>
            </w:r>
          </w:p>
          <w:p>
            <w:pPr>
              <w:pStyle w:val="TableText"/>
              <w:ind w:left="499"/>
              <w:spacing w:before="78" w:line="228" w:lineRule="auto"/>
              <w:rPr>
                <w:rFonts w:ascii="SimSun" w:hAnsi="SimSun" w:eastAsia="SimSun" w:cs="SimSun"/>
              </w:rPr>
            </w:pPr>
            <w:r>
              <w:rPr>
                <w:rFonts w:ascii="SimSun" w:hAnsi="SimSun" w:eastAsia="SimSun" w:cs="SimSun"/>
                <w:spacing w:val="5"/>
              </w:rPr>
              <w:t>万</w:t>
            </w:r>
            <w:r>
              <w:rPr>
                <w:rFonts w:ascii="SimSun" w:hAnsi="SimSun" w:eastAsia="SimSun" w:cs="SimSun"/>
                <w:spacing w:val="-46"/>
              </w:rPr>
              <w:t xml:space="preserve"> </w:t>
            </w:r>
            <w:r>
              <w:rPr>
                <w:spacing w:val="5"/>
              </w:rPr>
              <w:t>m</w:t>
            </w:r>
            <w:r>
              <w:rPr>
                <w:sz w:val="13"/>
                <w:szCs w:val="13"/>
                <w:spacing w:val="5"/>
                <w:position w:val="6"/>
              </w:rPr>
              <w:t>3</w:t>
            </w:r>
            <w:r>
              <w:rPr>
                <w:spacing w:val="5"/>
              </w:rPr>
              <w:t>/a</w:t>
            </w:r>
            <w:r>
              <w:rPr>
                <w:spacing w:val="-20"/>
              </w:rPr>
              <w:t xml:space="preserve"> </w:t>
            </w:r>
            <w:r>
              <w:rPr>
                <w:rFonts w:ascii="SimSun" w:hAnsi="SimSun" w:eastAsia="SimSun" w:cs="SimSun"/>
                <w:spacing w:val="5"/>
              </w:rPr>
              <w:t>。运送至内排土场堆存。</w:t>
            </w:r>
          </w:p>
        </w:tc>
        <w:tc>
          <w:tcPr>
            <w:tcW w:w="1151" w:type="dxa"/>
            <w:vAlign w:val="top"/>
          </w:tcPr>
          <w:p>
            <w:pPr>
              <w:pStyle w:val="TableText"/>
              <w:ind w:left="546"/>
              <w:spacing w:before="254" w:line="199" w:lineRule="auto"/>
              <w:rPr/>
            </w:pPr>
            <w:r>
              <w:rPr>
                <w:spacing w:val="2"/>
              </w:rPr>
              <w:t>/</w:t>
            </w:r>
          </w:p>
        </w:tc>
        <w:tc>
          <w:tcPr>
            <w:tcW w:w="1154" w:type="dxa"/>
            <w:vAlign w:val="top"/>
            <w:vMerge w:val="restart"/>
            <w:tcBorders>
              <w:bottom w:val="nil"/>
            </w:tcBorders>
          </w:tcPr>
          <w:p>
            <w:pPr>
              <w:spacing w:line="292" w:lineRule="auto"/>
              <w:rPr>
                <w:rFonts w:ascii="Arial"/>
                <w:sz w:val="21"/>
              </w:rPr>
            </w:pPr>
            <w:r/>
          </w:p>
          <w:p>
            <w:pPr>
              <w:spacing w:line="292" w:lineRule="auto"/>
              <w:rPr>
                <w:rFonts w:ascii="Arial"/>
                <w:sz w:val="21"/>
              </w:rPr>
            </w:pPr>
            <w:r/>
          </w:p>
          <w:p>
            <w:pPr>
              <w:spacing w:line="293" w:lineRule="auto"/>
              <w:rPr>
                <w:rFonts w:ascii="Arial"/>
                <w:sz w:val="21"/>
              </w:rPr>
            </w:pPr>
            <w:r/>
          </w:p>
          <w:p>
            <w:pPr>
              <w:spacing w:line="293" w:lineRule="auto"/>
              <w:rPr>
                <w:rFonts w:ascii="Arial"/>
                <w:sz w:val="21"/>
              </w:rPr>
            </w:pPr>
            <w:r/>
          </w:p>
          <w:p>
            <w:pPr>
              <w:ind w:left="163"/>
              <w:spacing w:before="65" w:line="227" w:lineRule="auto"/>
              <w:rPr>
                <w:rFonts w:ascii="SimSun" w:hAnsi="SimSun" w:eastAsia="SimSun" w:cs="SimSun"/>
                <w:sz w:val="20"/>
                <w:szCs w:val="20"/>
              </w:rPr>
            </w:pPr>
            <w:r>
              <w:rPr>
                <w:rFonts w:ascii="SimSun" w:hAnsi="SimSun" w:eastAsia="SimSun" w:cs="SimSun"/>
                <w:sz w:val="20"/>
                <w:szCs w:val="20"/>
                <w:spacing w:val="6"/>
              </w:rPr>
              <w:t>依托现有</w:t>
            </w:r>
          </w:p>
        </w:tc>
      </w:tr>
      <w:tr>
        <w:trPr>
          <w:trHeight w:val="822" w:hRule="atLeast"/>
        </w:trPr>
        <w:tc>
          <w:tcPr>
            <w:tcW w:w="854" w:type="dxa"/>
            <w:vAlign w:val="top"/>
            <w:vMerge w:val="continue"/>
            <w:tcBorders>
              <w:top w:val="nil"/>
              <w:bottom w:val="nil"/>
            </w:tcBorders>
          </w:tcPr>
          <w:p>
            <w:pPr>
              <w:rPr>
                <w:rFonts w:ascii="Arial"/>
                <w:sz w:val="21"/>
              </w:rPr>
            </w:pPr>
            <w:r/>
          </w:p>
        </w:tc>
        <w:tc>
          <w:tcPr>
            <w:tcW w:w="2192" w:type="dxa"/>
            <w:vAlign w:val="top"/>
          </w:tcPr>
          <w:p>
            <w:pPr>
              <w:ind w:left="682"/>
              <w:spacing w:before="305" w:line="228" w:lineRule="auto"/>
              <w:rPr>
                <w:rFonts w:ascii="SimSun" w:hAnsi="SimSun" w:eastAsia="SimSun" w:cs="SimSun"/>
                <w:sz w:val="20"/>
                <w:szCs w:val="20"/>
              </w:rPr>
            </w:pPr>
            <w:r>
              <w:rPr>
                <w:rFonts w:ascii="SimSun" w:hAnsi="SimSun" w:eastAsia="SimSun" w:cs="SimSun"/>
                <w:sz w:val="20"/>
                <w:szCs w:val="20"/>
                <w:spacing w:val="6"/>
              </w:rPr>
              <w:t>生活垃圾</w:t>
            </w:r>
          </w:p>
        </w:tc>
        <w:tc>
          <w:tcPr>
            <w:tcW w:w="3932" w:type="dxa"/>
            <w:vAlign w:val="top"/>
          </w:tcPr>
          <w:p>
            <w:pPr>
              <w:pStyle w:val="TableText"/>
              <w:ind w:left="160"/>
              <w:spacing w:before="30" w:line="228" w:lineRule="auto"/>
              <w:rPr>
                <w:rFonts w:ascii="SimSun" w:hAnsi="SimSun" w:eastAsia="SimSun" w:cs="SimSun"/>
              </w:rPr>
            </w:pPr>
            <w:r>
              <w:rPr>
                <w:rFonts w:ascii="SimSun" w:hAnsi="SimSun" w:eastAsia="SimSun" w:cs="SimSun"/>
                <w:spacing w:val="8"/>
              </w:rPr>
              <w:t>生活垃圾统一收集至垃圾桶</w:t>
            </w:r>
            <w:r>
              <w:rPr>
                <w:spacing w:val="8"/>
              </w:rPr>
              <w:t>/</w:t>
            </w:r>
            <w:r>
              <w:rPr>
                <w:rFonts w:ascii="SimSun" w:hAnsi="SimSun" w:eastAsia="SimSun" w:cs="SimSun"/>
                <w:spacing w:val="8"/>
              </w:rPr>
              <w:t>箱后，委托</w:t>
            </w:r>
          </w:p>
          <w:p>
            <w:pPr>
              <w:ind w:left="190"/>
              <w:spacing w:before="26" w:line="228" w:lineRule="auto"/>
              <w:rPr>
                <w:rFonts w:ascii="SimSun" w:hAnsi="SimSun" w:eastAsia="SimSun" w:cs="SimSun"/>
                <w:sz w:val="20"/>
                <w:szCs w:val="20"/>
              </w:rPr>
            </w:pPr>
            <w:r>
              <w:rPr>
                <w:rFonts w:ascii="SimSun" w:hAnsi="SimSun" w:eastAsia="SimSun" w:cs="SimSun"/>
                <w:sz w:val="20"/>
                <w:szCs w:val="20"/>
                <w:spacing w:val="9"/>
              </w:rPr>
              <w:t>西乌旗白音华市政管理有限责任公司处</w:t>
            </w:r>
          </w:p>
          <w:p>
            <w:pPr>
              <w:ind w:left="1131"/>
              <w:spacing w:before="24" w:line="218" w:lineRule="auto"/>
              <w:rPr>
                <w:rFonts w:ascii="SimSun" w:hAnsi="SimSun" w:eastAsia="SimSun" w:cs="SimSun"/>
                <w:sz w:val="20"/>
                <w:szCs w:val="20"/>
              </w:rPr>
            </w:pPr>
            <w:r>
              <w:rPr>
                <w:rFonts w:ascii="SimSun" w:hAnsi="SimSun" w:eastAsia="SimSun" w:cs="SimSun"/>
                <w:sz w:val="20"/>
                <w:szCs w:val="20"/>
                <w:spacing w:val="7"/>
              </w:rPr>
              <w:t>置统一收集处理。</w:t>
            </w:r>
          </w:p>
        </w:tc>
        <w:tc>
          <w:tcPr>
            <w:tcW w:w="1151" w:type="dxa"/>
            <w:vAlign w:val="top"/>
          </w:tcPr>
          <w:p>
            <w:pPr>
              <w:spacing w:line="277" w:lineRule="auto"/>
              <w:rPr>
                <w:rFonts w:ascii="Arial"/>
                <w:sz w:val="21"/>
              </w:rPr>
            </w:pPr>
            <w:r/>
          </w:p>
          <w:p>
            <w:pPr>
              <w:pStyle w:val="TableText"/>
              <w:ind w:left="546"/>
              <w:spacing w:before="58" w:line="199" w:lineRule="auto"/>
              <w:rPr/>
            </w:pPr>
            <w:r>
              <w:rPr>
                <w:spacing w:val="2"/>
              </w:rPr>
              <w:t>/</w:t>
            </w:r>
          </w:p>
        </w:tc>
        <w:tc>
          <w:tcPr>
            <w:tcW w:w="1154" w:type="dxa"/>
            <w:vAlign w:val="top"/>
            <w:vMerge w:val="continue"/>
            <w:tcBorders>
              <w:top w:val="nil"/>
              <w:bottom w:val="nil"/>
            </w:tcBorders>
          </w:tcPr>
          <w:p>
            <w:pPr>
              <w:rPr>
                <w:rFonts w:ascii="Arial"/>
                <w:sz w:val="21"/>
              </w:rPr>
            </w:pPr>
            <w:r/>
          </w:p>
        </w:tc>
      </w:tr>
      <w:tr>
        <w:trPr>
          <w:trHeight w:val="549" w:hRule="atLeast"/>
        </w:trPr>
        <w:tc>
          <w:tcPr>
            <w:tcW w:w="854" w:type="dxa"/>
            <w:vAlign w:val="top"/>
            <w:vMerge w:val="continue"/>
            <w:tcBorders>
              <w:top w:val="nil"/>
              <w:bottom w:val="nil"/>
            </w:tcBorders>
          </w:tcPr>
          <w:p>
            <w:pPr>
              <w:rPr>
                <w:rFonts w:ascii="Arial"/>
                <w:sz w:val="21"/>
              </w:rPr>
            </w:pPr>
            <w:r/>
          </w:p>
        </w:tc>
        <w:tc>
          <w:tcPr>
            <w:tcW w:w="2192" w:type="dxa"/>
            <w:vAlign w:val="top"/>
          </w:tcPr>
          <w:p>
            <w:pPr>
              <w:ind w:left="890"/>
              <w:spacing w:before="168" w:line="230" w:lineRule="auto"/>
              <w:rPr>
                <w:rFonts w:ascii="SimSun" w:hAnsi="SimSun" w:eastAsia="SimSun" w:cs="SimSun"/>
                <w:sz w:val="20"/>
                <w:szCs w:val="20"/>
              </w:rPr>
            </w:pPr>
            <w:r>
              <w:rPr>
                <w:rFonts w:ascii="SimSun" w:hAnsi="SimSun" w:eastAsia="SimSun" w:cs="SimSun"/>
                <w:sz w:val="20"/>
                <w:szCs w:val="20"/>
                <w:spacing w:val="3"/>
              </w:rPr>
              <w:t>污泥</w:t>
            </w:r>
          </w:p>
        </w:tc>
        <w:tc>
          <w:tcPr>
            <w:tcW w:w="3932" w:type="dxa"/>
            <w:vAlign w:val="top"/>
          </w:tcPr>
          <w:p>
            <w:pPr>
              <w:ind w:left="114"/>
              <w:spacing w:before="31" w:line="228" w:lineRule="auto"/>
              <w:rPr>
                <w:rFonts w:ascii="SimSun" w:hAnsi="SimSun" w:eastAsia="SimSun" w:cs="SimSun"/>
                <w:sz w:val="20"/>
                <w:szCs w:val="20"/>
              </w:rPr>
            </w:pPr>
            <w:r>
              <w:rPr>
                <w:rFonts w:ascii="SimSun" w:hAnsi="SimSun" w:eastAsia="SimSun" w:cs="SimSun"/>
                <w:sz w:val="20"/>
                <w:szCs w:val="20"/>
                <w:spacing w:val="5"/>
              </w:rPr>
              <w:t>污泥经压滤脱水后与生活垃圾一起，由西</w:t>
            </w:r>
          </w:p>
          <w:p>
            <w:pPr>
              <w:ind w:left="818"/>
              <w:spacing w:before="25" w:line="217" w:lineRule="auto"/>
              <w:rPr>
                <w:rFonts w:ascii="SimSun" w:hAnsi="SimSun" w:eastAsia="SimSun" w:cs="SimSun"/>
                <w:sz w:val="20"/>
                <w:szCs w:val="20"/>
              </w:rPr>
            </w:pPr>
            <w:r>
              <w:rPr>
                <w:rFonts w:ascii="SimSun" w:hAnsi="SimSun" w:eastAsia="SimSun" w:cs="SimSun"/>
                <w:sz w:val="20"/>
                <w:szCs w:val="20"/>
                <w:spacing w:val="7"/>
              </w:rPr>
              <w:t>乌旗环卫部门统一处置。</w:t>
            </w:r>
          </w:p>
        </w:tc>
        <w:tc>
          <w:tcPr>
            <w:tcW w:w="1151" w:type="dxa"/>
            <w:vAlign w:val="top"/>
          </w:tcPr>
          <w:p>
            <w:pPr>
              <w:pStyle w:val="TableText"/>
              <w:ind w:left="546"/>
              <w:spacing w:before="201" w:line="199" w:lineRule="auto"/>
              <w:rPr/>
            </w:pPr>
            <w:r>
              <w:rPr>
                <w:spacing w:val="2"/>
              </w:rPr>
              <w:t>/</w:t>
            </w:r>
          </w:p>
        </w:tc>
        <w:tc>
          <w:tcPr>
            <w:tcW w:w="1154" w:type="dxa"/>
            <w:vAlign w:val="top"/>
            <w:vMerge w:val="continue"/>
            <w:tcBorders>
              <w:top w:val="nil"/>
              <w:bottom w:val="nil"/>
            </w:tcBorders>
          </w:tcPr>
          <w:p>
            <w:pPr>
              <w:rPr>
                <w:rFonts w:ascii="Arial"/>
                <w:sz w:val="21"/>
              </w:rPr>
            </w:pPr>
            <w:r/>
          </w:p>
        </w:tc>
      </w:tr>
      <w:tr>
        <w:trPr>
          <w:trHeight w:val="657" w:hRule="atLeast"/>
        </w:trPr>
        <w:tc>
          <w:tcPr>
            <w:tcW w:w="854" w:type="dxa"/>
            <w:vAlign w:val="top"/>
            <w:vMerge w:val="continue"/>
            <w:tcBorders>
              <w:top w:val="nil"/>
            </w:tcBorders>
          </w:tcPr>
          <w:p>
            <w:pPr>
              <w:rPr>
                <w:rFonts w:ascii="Arial"/>
                <w:sz w:val="21"/>
              </w:rPr>
            </w:pPr>
            <w:r/>
          </w:p>
        </w:tc>
        <w:tc>
          <w:tcPr>
            <w:tcW w:w="2192" w:type="dxa"/>
            <w:vAlign w:val="top"/>
          </w:tcPr>
          <w:p>
            <w:pPr>
              <w:ind w:left="682"/>
              <w:spacing w:before="222" w:line="228" w:lineRule="auto"/>
              <w:rPr>
                <w:rFonts w:ascii="SimSun" w:hAnsi="SimSun" w:eastAsia="SimSun" w:cs="SimSun"/>
                <w:sz w:val="20"/>
                <w:szCs w:val="20"/>
              </w:rPr>
            </w:pPr>
            <w:r>
              <w:rPr>
                <w:rFonts w:ascii="SimSun" w:hAnsi="SimSun" w:eastAsia="SimSun" w:cs="SimSun"/>
                <w:sz w:val="20"/>
                <w:szCs w:val="20"/>
                <w:spacing w:val="6"/>
              </w:rPr>
              <w:t>危险废物</w:t>
            </w:r>
          </w:p>
        </w:tc>
        <w:tc>
          <w:tcPr>
            <w:tcW w:w="3932" w:type="dxa"/>
            <w:vAlign w:val="top"/>
          </w:tcPr>
          <w:p>
            <w:pPr>
              <w:ind w:left="115"/>
              <w:spacing w:before="58" w:line="228" w:lineRule="auto"/>
              <w:rPr>
                <w:rFonts w:ascii="SimSun" w:hAnsi="SimSun" w:eastAsia="SimSun" w:cs="SimSun"/>
                <w:sz w:val="20"/>
                <w:szCs w:val="20"/>
              </w:rPr>
            </w:pPr>
            <w:r>
              <w:rPr>
                <w:rFonts w:ascii="SimSun" w:hAnsi="SimSun" w:eastAsia="SimSun" w:cs="SimSun"/>
                <w:sz w:val="20"/>
                <w:szCs w:val="20"/>
                <w:spacing w:val="5"/>
              </w:rPr>
              <w:t>危险废物在危废暂存间暂存后，定期交予</w:t>
            </w:r>
          </w:p>
          <w:p>
            <w:pPr>
              <w:ind w:left="717"/>
              <w:spacing w:before="80" w:line="228" w:lineRule="auto"/>
              <w:rPr>
                <w:rFonts w:ascii="SimSun" w:hAnsi="SimSun" w:eastAsia="SimSun" w:cs="SimSun"/>
                <w:sz w:val="20"/>
                <w:szCs w:val="20"/>
              </w:rPr>
            </w:pPr>
            <w:r>
              <w:rPr>
                <w:rFonts w:ascii="SimSun" w:hAnsi="SimSun" w:eastAsia="SimSun" w:cs="SimSun"/>
                <w:sz w:val="20"/>
                <w:szCs w:val="20"/>
                <w:spacing w:val="8"/>
              </w:rPr>
              <w:t>具有资质的单位进行处置。</w:t>
            </w:r>
          </w:p>
        </w:tc>
        <w:tc>
          <w:tcPr>
            <w:tcW w:w="1151" w:type="dxa"/>
            <w:vAlign w:val="top"/>
          </w:tcPr>
          <w:p>
            <w:pPr>
              <w:pStyle w:val="TableText"/>
              <w:ind w:left="546"/>
              <w:spacing w:before="254" w:line="199" w:lineRule="auto"/>
              <w:rPr/>
            </w:pPr>
            <w:r>
              <w:rPr>
                <w:spacing w:val="2"/>
              </w:rPr>
              <w:t>/</w:t>
            </w:r>
          </w:p>
        </w:tc>
        <w:tc>
          <w:tcPr>
            <w:tcW w:w="1154" w:type="dxa"/>
            <w:vAlign w:val="top"/>
            <w:vMerge w:val="continue"/>
            <w:tcBorders>
              <w:top w:val="nil"/>
            </w:tcBorders>
          </w:tcPr>
          <w:p>
            <w:pPr>
              <w:rPr>
                <w:rFonts w:ascii="Arial"/>
                <w:sz w:val="21"/>
              </w:rPr>
            </w:pPr>
            <w:r/>
          </w:p>
        </w:tc>
      </w:tr>
      <w:tr>
        <w:trPr>
          <w:trHeight w:val="1307" w:hRule="atLeast"/>
        </w:trPr>
        <w:tc>
          <w:tcPr>
            <w:tcW w:w="854"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4" w:lineRule="auto"/>
              <w:rPr>
                <w:rFonts w:ascii="Arial"/>
                <w:sz w:val="21"/>
              </w:rPr>
            </w:pPr>
            <w:r/>
          </w:p>
          <w:p>
            <w:pPr>
              <w:spacing w:line="244" w:lineRule="auto"/>
              <w:rPr>
                <w:rFonts w:ascii="Arial"/>
                <w:sz w:val="21"/>
              </w:rPr>
            </w:pPr>
            <w:r/>
          </w:p>
          <w:p>
            <w:pPr>
              <w:spacing w:line="244" w:lineRule="auto"/>
              <w:rPr>
                <w:rFonts w:ascii="Arial"/>
                <w:sz w:val="21"/>
              </w:rPr>
            </w:pPr>
            <w:r/>
          </w:p>
          <w:p>
            <w:pPr>
              <w:ind w:left="225"/>
              <w:spacing w:before="65" w:line="233" w:lineRule="auto"/>
              <w:rPr>
                <w:rFonts w:ascii="SimSun" w:hAnsi="SimSun" w:eastAsia="SimSun" w:cs="SimSun"/>
                <w:sz w:val="20"/>
                <w:szCs w:val="20"/>
              </w:rPr>
            </w:pPr>
            <w:r>
              <w:rPr>
                <w:rFonts w:ascii="SimSun" w:hAnsi="SimSun" w:eastAsia="SimSun" w:cs="SimSun"/>
                <w:sz w:val="20"/>
                <w:szCs w:val="20"/>
                <w:spacing w:val="3"/>
              </w:rPr>
              <w:t>生态</w:t>
            </w:r>
          </w:p>
        </w:tc>
        <w:tc>
          <w:tcPr>
            <w:tcW w:w="2192" w:type="dxa"/>
            <w:vAlign w:val="top"/>
          </w:tcPr>
          <w:p>
            <w:pPr>
              <w:rPr>
                <w:rFonts w:ascii="Arial"/>
                <w:sz w:val="21"/>
              </w:rPr>
            </w:pPr>
            <w:r/>
          </w:p>
          <w:p>
            <w:pPr>
              <w:rPr>
                <w:rFonts w:ascii="Arial"/>
                <w:sz w:val="21"/>
              </w:rPr>
            </w:pPr>
            <w:r/>
          </w:p>
          <w:p>
            <w:pPr>
              <w:ind w:left="705"/>
              <w:spacing w:before="65" w:line="228" w:lineRule="auto"/>
              <w:rPr>
                <w:rFonts w:ascii="SimSun" w:hAnsi="SimSun" w:eastAsia="SimSun" w:cs="SimSun"/>
                <w:sz w:val="20"/>
                <w:szCs w:val="20"/>
              </w:rPr>
            </w:pPr>
            <w:r>
              <w:rPr>
                <w:rFonts w:ascii="SimSun" w:hAnsi="SimSun" w:eastAsia="SimSun" w:cs="SimSun"/>
                <w:sz w:val="20"/>
                <w:szCs w:val="20"/>
                <w:spacing w:val="1"/>
              </w:rPr>
              <w:t>内排土场</w:t>
            </w:r>
          </w:p>
        </w:tc>
        <w:tc>
          <w:tcPr>
            <w:tcW w:w="3932" w:type="dxa"/>
            <w:vAlign w:val="top"/>
          </w:tcPr>
          <w:p>
            <w:pPr>
              <w:ind w:left="112"/>
              <w:spacing w:before="59" w:line="227" w:lineRule="auto"/>
              <w:rPr>
                <w:rFonts w:ascii="SimSun" w:hAnsi="SimSun" w:eastAsia="SimSun" w:cs="SimSun"/>
                <w:sz w:val="20"/>
                <w:szCs w:val="20"/>
              </w:rPr>
            </w:pPr>
            <w:r>
              <w:rPr>
                <w:rFonts w:ascii="SimSun" w:hAnsi="SimSun" w:eastAsia="SimSun" w:cs="SimSun"/>
                <w:sz w:val="20"/>
                <w:szCs w:val="20"/>
                <w:spacing w:val="6"/>
              </w:rPr>
              <w:t>在排土场达到标高后对其进行复垦，采取</w:t>
            </w:r>
          </w:p>
          <w:p>
            <w:pPr>
              <w:ind w:left="115"/>
              <w:spacing w:before="80" w:line="228" w:lineRule="auto"/>
              <w:rPr>
                <w:rFonts w:ascii="SimSun" w:hAnsi="SimSun" w:eastAsia="SimSun" w:cs="SimSun"/>
                <w:sz w:val="20"/>
                <w:szCs w:val="20"/>
              </w:rPr>
            </w:pPr>
            <w:r>
              <w:rPr>
                <w:rFonts w:ascii="SimSun" w:hAnsi="SimSun" w:eastAsia="SimSun" w:cs="SimSun"/>
                <w:sz w:val="20"/>
                <w:szCs w:val="20"/>
                <w:spacing w:val="5"/>
              </w:rPr>
              <w:t>工程整治和植被恢复措施，最终恢复为草</w:t>
            </w:r>
          </w:p>
          <w:p>
            <w:pPr>
              <w:ind w:left="113"/>
              <w:spacing w:before="79" w:line="228" w:lineRule="auto"/>
              <w:rPr>
                <w:rFonts w:ascii="SimSun" w:hAnsi="SimSun" w:eastAsia="SimSun" w:cs="SimSun"/>
                <w:sz w:val="20"/>
                <w:szCs w:val="20"/>
              </w:rPr>
            </w:pPr>
            <w:r>
              <w:rPr>
                <w:rFonts w:ascii="SimSun" w:hAnsi="SimSun" w:eastAsia="SimSun" w:cs="SimSun"/>
                <w:sz w:val="20"/>
                <w:szCs w:val="20"/>
                <w:spacing w:val="5"/>
              </w:rPr>
              <w:t>地，平台主要种植沙打旺及苜蓿等，边坡</w:t>
            </w:r>
          </w:p>
          <w:p>
            <w:pPr>
              <w:ind w:left="1445"/>
              <w:spacing w:before="79" w:line="227" w:lineRule="auto"/>
              <w:rPr>
                <w:rFonts w:ascii="SimSun" w:hAnsi="SimSun" w:eastAsia="SimSun" w:cs="SimSun"/>
                <w:sz w:val="20"/>
                <w:szCs w:val="20"/>
              </w:rPr>
            </w:pPr>
            <w:r>
              <w:rPr>
                <w:rFonts w:ascii="SimSun" w:hAnsi="SimSun" w:eastAsia="SimSun" w:cs="SimSun"/>
                <w:sz w:val="20"/>
                <w:szCs w:val="20"/>
                <w:spacing w:val="5"/>
              </w:rPr>
              <w:t>种植沙柳。</w:t>
            </w:r>
          </w:p>
        </w:tc>
        <w:tc>
          <w:tcPr>
            <w:tcW w:w="1151" w:type="dxa"/>
            <w:vAlign w:val="top"/>
          </w:tcPr>
          <w:p>
            <w:pPr>
              <w:spacing w:line="262" w:lineRule="auto"/>
              <w:rPr>
                <w:rFonts w:ascii="Arial"/>
                <w:sz w:val="21"/>
              </w:rPr>
            </w:pPr>
            <w:r/>
          </w:p>
          <w:p>
            <w:pPr>
              <w:spacing w:line="262" w:lineRule="auto"/>
              <w:rPr>
                <w:rFonts w:ascii="Arial"/>
                <w:sz w:val="21"/>
              </w:rPr>
            </w:pPr>
            <w:r/>
          </w:p>
          <w:p>
            <w:pPr>
              <w:pStyle w:val="TableText"/>
              <w:ind w:left="238"/>
              <w:spacing w:before="57" w:line="195" w:lineRule="auto"/>
              <w:rPr/>
            </w:pPr>
            <w:r>
              <w:rPr>
                <w:spacing w:val="4"/>
              </w:rPr>
              <w:t>2859.78</w:t>
            </w:r>
          </w:p>
        </w:tc>
        <w:tc>
          <w:tcPr>
            <w:tcW w:w="1154" w:type="dxa"/>
            <w:vAlign w:val="top"/>
            <w:vMerge w:val="restart"/>
            <w:tcBorders>
              <w:bottom w:val="nil"/>
            </w:tcBorders>
          </w:tcPr>
          <w:p>
            <w:pPr>
              <w:spacing w:line="270" w:lineRule="auto"/>
              <w:rPr>
                <w:rFonts w:ascii="Arial"/>
                <w:sz w:val="21"/>
              </w:rPr>
            </w:pPr>
            <w:r/>
          </w:p>
          <w:p>
            <w:pPr>
              <w:spacing w:line="270" w:lineRule="auto"/>
              <w:rPr>
                <w:rFonts w:ascii="Arial"/>
                <w:sz w:val="21"/>
              </w:rPr>
            </w:pPr>
            <w:r/>
          </w:p>
          <w:p>
            <w:pPr>
              <w:spacing w:line="270" w:lineRule="auto"/>
              <w:rPr>
                <w:rFonts w:ascii="Arial"/>
                <w:sz w:val="21"/>
              </w:rPr>
            </w:pPr>
            <w:r/>
          </w:p>
          <w:p>
            <w:pPr>
              <w:ind w:left="476" w:right="157" w:hanging="308"/>
              <w:spacing w:before="65" w:line="303" w:lineRule="auto"/>
              <w:rPr>
                <w:rFonts w:ascii="SimSun" w:hAnsi="SimSun" w:eastAsia="SimSun" w:cs="SimSun"/>
                <w:sz w:val="20"/>
                <w:szCs w:val="20"/>
              </w:rPr>
            </w:pPr>
            <w:r>
              <w:rPr>
                <w:rFonts w:ascii="SimSun" w:hAnsi="SimSun" w:eastAsia="SimSun" w:cs="SimSun"/>
                <w:sz w:val="20"/>
                <w:szCs w:val="20"/>
                <w:spacing w:val="5"/>
              </w:rPr>
              <w:t>改扩建工</w:t>
            </w:r>
            <w:r>
              <w:rPr>
                <w:rFonts w:ascii="SimSun" w:hAnsi="SimSun" w:eastAsia="SimSun" w:cs="SimSun"/>
                <w:sz w:val="20"/>
                <w:szCs w:val="20"/>
                <w:spacing w:val="1"/>
              </w:rPr>
              <w:t>程</w:t>
            </w:r>
          </w:p>
        </w:tc>
      </w:tr>
      <w:tr>
        <w:trPr>
          <w:trHeight w:val="983" w:hRule="atLeast"/>
        </w:trPr>
        <w:tc>
          <w:tcPr>
            <w:tcW w:w="854" w:type="dxa"/>
            <w:vAlign w:val="top"/>
            <w:vMerge w:val="continue"/>
            <w:tcBorders>
              <w:top w:val="nil"/>
              <w:bottom w:val="nil"/>
            </w:tcBorders>
          </w:tcPr>
          <w:p>
            <w:pPr>
              <w:rPr>
                <w:rFonts w:ascii="Arial"/>
                <w:sz w:val="21"/>
              </w:rPr>
            </w:pPr>
            <w:r/>
          </w:p>
        </w:tc>
        <w:tc>
          <w:tcPr>
            <w:tcW w:w="2192" w:type="dxa"/>
            <w:vAlign w:val="top"/>
          </w:tcPr>
          <w:p>
            <w:pPr>
              <w:spacing w:line="319" w:lineRule="auto"/>
              <w:rPr>
                <w:rFonts w:ascii="Arial"/>
                <w:sz w:val="21"/>
              </w:rPr>
            </w:pPr>
            <w:r/>
          </w:p>
          <w:p>
            <w:pPr>
              <w:ind w:left="682"/>
              <w:spacing w:before="65" w:line="227" w:lineRule="auto"/>
              <w:rPr>
                <w:rFonts w:ascii="SimSun" w:hAnsi="SimSun" w:eastAsia="SimSun" w:cs="SimSun"/>
                <w:sz w:val="20"/>
                <w:szCs w:val="20"/>
              </w:rPr>
            </w:pPr>
            <w:r>
              <w:rPr>
                <w:rFonts w:ascii="SimSun" w:hAnsi="SimSun" w:eastAsia="SimSun" w:cs="SimSun"/>
                <w:sz w:val="20"/>
                <w:szCs w:val="20"/>
                <w:spacing w:val="6"/>
              </w:rPr>
              <w:t>最终采坑</w:t>
            </w:r>
          </w:p>
        </w:tc>
        <w:tc>
          <w:tcPr>
            <w:tcW w:w="3932" w:type="dxa"/>
            <w:vAlign w:val="top"/>
          </w:tcPr>
          <w:p>
            <w:pPr>
              <w:ind w:left="112"/>
              <w:spacing w:before="62" w:line="227" w:lineRule="auto"/>
              <w:rPr>
                <w:rFonts w:ascii="SimSun" w:hAnsi="SimSun" w:eastAsia="SimSun" w:cs="SimSun"/>
                <w:sz w:val="20"/>
                <w:szCs w:val="20"/>
              </w:rPr>
            </w:pPr>
            <w:r>
              <w:rPr>
                <w:rFonts w:ascii="SimSun" w:hAnsi="SimSun" w:eastAsia="SimSun" w:cs="SimSun"/>
                <w:sz w:val="20"/>
                <w:szCs w:val="20"/>
                <w:spacing w:val="6"/>
              </w:rPr>
              <w:t>采坑周围设置挡水围埂，防止雨水流入采</w:t>
            </w:r>
          </w:p>
          <w:p>
            <w:pPr>
              <w:ind w:left="185"/>
              <w:spacing w:before="80" w:line="227" w:lineRule="auto"/>
              <w:rPr>
                <w:rFonts w:ascii="SimSun" w:hAnsi="SimSun" w:eastAsia="SimSun" w:cs="SimSun"/>
                <w:sz w:val="20"/>
                <w:szCs w:val="20"/>
              </w:rPr>
            </w:pPr>
            <w:r>
              <w:rPr>
                <w:rFonts w:ascii="SimSun" w:hAnsi="SimSun" w:eastAsia="SimSun" w:cs="SimSun"/>
                <w:sz w:val="20"/>
                <w:szCs w:val="20"/>
                <w:spacing w:val="9"/>
              </w:rPr>
              <w:t>坑冲刷采坑边坡；在采坑周围设置网围</w:t>
            </w:r>
          </w:p>
          <w:p>
            <w:pPr>
              <w:ind w:left="605"/>
              <w:spacing w:before="77" w:line="228" w:lineRule="auto"/>
              <w:rPr>
                <w:rFonts w:ascii="SimSun" w:hAnsi="SimSun" w:eastAsia="SimSun" w:cs="SimSun"/>
                <w:sz w:val="20"/>
                <w:szCs w:val="20"/>
              </w:rPr>
            </w:pPr>
            <w:r>
              <w:rPr>
                <w:rFonts w:ascii="SimSun" w:hAnsi="SimSun" w:eastAsia="SimSun" w:cs="SimSun"/>
                <w:sz w:val="20"/>
                <w:szCs w:val="20"/>
                <w:spacing w:val="8"/>
              </w:rPr>
              <w:t>栏，防止人和动物掉入其中。</w:t>
            </w:r>
          </w:p>
        </w:tc>
        <w:tc>
          <w:tcPr>
            <w:tcW w:w="1151" w:type="dxa"/>
            <w:vAlign w:val="top"/>
          </w:tcPr>
          <w:p>
            <w:pPr>
              <w:spacing w:line="365" w:lineRule="auto"/>
              <w:rPr>
                <w:rFonts w:ascii="Arial"/>
                <w:sz w:val="21"/>
              </w:rPr>
            </w:pPr>
            <w:r/>
          </w:p>
          <w:p>
            <w:pPr>
              <w:pStyle w:val="TableText"/>
              <w:ind w:left="258"/>
              <w:spacing w:before="57" w:line="195" w:lineRule="auto"/>
              <w:rPr/>
            </w:pPr>
            <w:r>
              <w:rPr>
                <w:spacing w:val="1"/>
              </w:rPr>
              <w:t>1455.06</w:t>
            </w:r>
          </w:p>
        </w:tc>
        <w:tc>
          <w:tcPr>
            <w:tcW w:w="1154" w:type="dxa"/>
            <w:vAlign w:val="top"/>
            <w:vMerge w:val="continue"/>
            <w:tcBorders>
              <w:top w:val="nil"/>
            </w:tcBorders>
          </w:tcPr>
          <w:p>
            <w:pPr>
              <w:rPr>
                <w:rFonts w:ascii="Arial"/>
                <w:sz w:val="21"/>
              </w:rPr>
            </w:pPr>
            <w:r/>
          </w:p>
        </w:tc>
      </w:tr>
      <w:tr>
        <w:trPr>
          <w:trHeight w:val="986" w:hRule="atLeast"/>
        </w:trPr>
        <w:tc>
          <w:tcPr>
            <w:tcW w:w="854" w:type="dxa"/>
            <w:vAlign w:val="top"/>
            <w:vMerge w:val="continue"/>
            <w:tcBorders>
              <w:top w:val="nil"/>
            </w:tcBorders>
          </w:tcPr>
          <w:p>
            <w:pPr>
              <w:rPr>
                <w:rFonts w:ascii="Arial"/>
                <w:sz w:val="21"/>
              </w:rPr>
            </w:pPr>
            <w:r/>
          </w:p>
        </w:tc>
        <w:tc>
          <w:tcPr>
            <w:tcW w:w="2192" w:type="dxa"/>
            <w:vAlign w:val="top"/>
          </w:tcPr>
          <w:p>
            <w:pPr>
              <w:spacing w:line="320" w:lineRule="auto"/>
              <w:rPr>
                <w:rFonts w:ascii="Arial"/>
                <w:sz w:val="21"/>
              </w:rPr>
            </w:pPr>
            <w:r/>
          </w:p>
          <w:p>
            <w:pPr>
              <w:ind w:left="368"/>
              <w:spacing w:before="65" w:line="227" w:lineRule="auto"/>
              <w:rPr>
                <w:rFonts w:ascii="SimSun" w:hAnsi="SimSun" w:eastAsia="SimSun" w:cs="SimSun"/>
                <w:sz w:val="20"/>
                <w:szCs w:val="20"/>
              </w:rPr>
            </w:pPr>
            <w:r>
              <w:rPr>
                <w:rFonts w:ascii="SimSun" w:hAnsi="SimSun" w:eastAsia="SimSun" w:cs="SimSun"/>
                <w:sz w:val="20"/>
                <w:szCs w:val="20"/>
                <w:spacing w:val="8"/>
              </w:rPr>
              <w:t>南部采坑积水区</w:t>
            </w:r>
          </w:p>
        </w:tc>
        <w:tc>
          <w:tcPr>
            <w:tcW w:w="3932" w:type="dxa"/>
            <w:vAlign w:val="top"/>
          </w:tcPr>
          <w:p>
            <w:pPr>
              <w:ind w:left="113" w:right="104" w:hanging="2"/>
              <w:spacing w:before="59" w:line="282" w:lineRule="auto"/>
              <w:jc w:val="both"/>
              <w:rPr>
                <w:rFonts w:ascii="SimSun" w:hAnsi="SimSun" w:eastAsia="SimSun" w:cs="SimSun"/>
                <w:sz w:val="20"/>
                <w:szCs w:val="20"/>
              </w:rPr>
            </w:pPr>
            <w:r>
              <w:rPr>
                <w:rFonts w:ascii="SimSun" w:hAnsi="SimSun" w:eastAsia="SimSun" w:cs="SimSun"/>
                <w:sz w:val="20"/>
                <w:szCs w:val="20"/>
                <w:spacing w:val="6"/>
              </w:rPr>
              <w:t>将该积水区域进行抽水，抽取水用于白音</w:t>
            </w:r>
            <w:r>
              <w:rPr>
                <w:rFonts w:ascii="SimSun" w:hAnsi="SimSun" w:eastAsia="SimSun" w:cs="SimSun"/>
                <w:sz w:val="20"/>
                <w:szCs w:val="20"/>
                <w:spacing w:val="6"/>
              </w:rPr>
              <w:t>华四号露天矿生态恢复植被灌溉用水。待</w:t>
            </w:r>
            <w:r>
              <w:rPr>
                <w:rFonts w:ascii="SimSun" w:hAnsi="SimSun" w:eastAsia="SimSun" w:cs="SimSun"/>
                <w:sz w:val="20"/>
                <w:szCs w:val="20"/>
                <w:spacing w:val="6"/>
              </w:rPr>
              <w:t>该区域具备回填条件后，对该区域进行回</w:t>
            </w:r>
          </w:p>
        </w:tc>
        <w:tc>
          <w:tcPr>
            <w:tcW w:w="1151" w:type="dxa"/>
            <w:vAlign w:val="top"/>
          </w:tcPr>
          <w:p>
            <w:pPr>
              <w:spacing w:line="363" w:lineRule="auto"/>
              <w:rPr>
                <w:rFonts w:ascii="Arial"/>
                <w:sz w:val="21"/>
              </w:rPr>
            </w:pPr>
            <w:r/>
          </w:p>
          <w:p>
            <w:pPr>
              <w:pStyle w:val="TableText"/>
              <w:ind w:left="340"/>
              <w:spacing w:before="58" w:line="195" w:lineRule="auto"/>
              <w:rPr/>
            </w:pPr>
            <w:r>
              <w:rPr>
                <w:spacing w:val="4"/>
              </w:rPr>
              <w:t>42.54</w:t>
            </w:r>
          </w:p>
        </w:tc>
        <w:tc>
          <w:tcPr>
            <w:tcW w:w="1154" w:type="dxa"/>
            <w:vAlign w:val="top"/>
          </w:tcPr>
          <w:p>
            <w:pPr>
              <w:spacing w:line="359" w:lineRule="auto"/>
              <w:rPr>
                <w:rFonts w:ascii="Arial"/>
                <w:sz w:val="21"/>
              </w:rPr>
            </w:pPr>
            <w:r/>
          </w:p>
          <w:p>
            <w:pPr>
              <w:pStyle w:val="TableText"/>
              <w:ind w:left="542"/>
              <w:spacing w:before="58" w:line="199" w:lineRule="auto"/>
              <w:rPr/>
            </w:pPr>
            <w:r>
              <w:rPr>
                <w:spacing w:val="2"/>
              </w:rPr>
              <w:t>/</w:t>
            </w:r>
          </w:p>
        </w:tc>
      </w:tr>
    </w:tbl>
    <w:p>
      <w:pPr>
        <w:pStyle w:val="BodyText"/>
        <w:spacing w:line="112" w:lineRule="exact"/>
        <w:rPr>
          <w:sz w:val="9"/>
        </w:rPr>
      </w:pPr>
      <w:r/>
    </w:p>
    <w:p>
      <w:pPr>
        <w:spacing w:line="112" w:lineRule="exact"/>
        <w:sectPr>
          <w:headerReference w:type="default" r:id="rId531"/>
          <w:footerReference w:type="default" r:id="rId532"/>
          <w:pgSz w:w="11906" w:h="16838"/>
          <w:pgMar w:top="1114" w:right="1309" w:bottom="1080" w:left="1308" w:header="837" w:footer="918" w:gutter="0"/>
        </w:sectPr>
        <w:rPr>
          <w:sz w:val="9"/>
          <w:szCs w:val="9"/>
        </w:rPr>
      </w:pPr>
    </w:p>
    <w:p>
      <w:pPr>
        <w:spacing w:before="62"/>
        <w:rPr/>
      </w:pPr>
      <w:r/>
    </w:p>
    <w:tbl>
      <w:tblPr>
        <w:tblStyle w:val="TableNormal"/>
        <w:tblW w:w="92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54"/>
        <w:gridCol w:w="2192"/>
        <w:gridCol w:w="3932"/>
        <w:gridCol w:w="1151"/>
        <w:gridCol w:w="1154"/>
      </w:tblGrid>
      <w:tr>
        <w:trPr>
          <w:trHeight w:val="334" w:hRule="atLeast"/>
        </w:trPr>
        <w:tc>
          <w:tcPr>
            <w:tcW w:w="854" w:type="dxa"/>
            <w:vAlign w:val="top"/>
          </w:tcPr>
          <w:p>
            <w:pPr>
              <w:rPr>
                <w:rFonts w:ascii="Arial"/>
                <w:sz w:val="21"/>
              </w:rPr>
            </w:pPr>
            <w:r/>
          </w:p>
        </w:tc>
        <w:tc>
          <w:tcPr>
            <w:tcW w:w="2192" w:type="dxa"/>
            <w:vAlign w:val="top"/>
          </w:tcPr>
          <w:p>
            <w:pPr>
              <w:rPr>
                <w:rFonts w:ascii="Arial"/>
                <w:sz w:val="21"/>
              </w:rPr>
            </w:pPr>
            <w:r/>
          </w:p>
        </w:tc>
        <w:tc>
          <w:tcPr>
            <w:tcW w:w="3932" w:type="dxa"/>
            <w:vAlign w:val="top"/>
          </w:tcPr>
          <w:p>
            <w:pPr>
              <w:ind w:left="1026"/>
              <w:spacing w:before="63" w:line="228" w:lineRule="auto"/>
              <w:rPr>
                <w:rFonts w:ascii="SimSun" w:hAnsi="SimSun" w:eastAsia="SimSun" w:cs="SimSun"/>
                <w:sz w:val="20"/>
                <w:szCs w:val="20"/>
              </w:rPr>
            </w:pPr>
            <w:r>
              <w:rPr>
                <w:rFonts w:ascii="SimSun" w:hAnsi="SimSun" w:eastAsia="SimSun" w:cs="SimSun"/>
                <w:sz w:val="20"/>
                <w:szCs w:val="20"/>
                <w:spacing w:val="7"/>
              </w:rPr>
              <w:t>填及土地复垦治理。</w:t>
            </w:r>
          </w:p>
        </w:tc>
        <w:tc>
          <w:tcPr>
            <w:tcW w:w="1151" w:type="dxa"/>
            <w:vAlign w:val="top"/>
          </w:tcPr>
          <w:p>
            <w:pPr>
              <w:rPr>
                <w:rFonts w:ascii="Arial"/>
                <w:sz w:val="21"/>
              </w:rPr>
            </w:pPr>
            <w:r/>
          </w:p>
        </w:tc>
        <w:tc>
          <w:tcPr>
            <w:tcW w:w="1154" w:type="dxa"/>
            <w:vAlign w:val="top"/>
          </w:tcPr>
          <w:p>
            <w:pPr>
              <w:rPr>
                <w:rFonts w:ascii="Arial"/>
                <w:sz w:val="21"/>
              </w:rPr>
            </w:pPr>
            <w:r/>
          </w:p>
        </w:tc>
      </w:tr>
      <w:tr>
        <w:trPr>
          <w:trHeight w:val="981" w:hRule="atLeast"/>
        </w:trPr>
        <w:tc>
          <w:tcPr>
            <w:tcW w:w="854" w:type="dxa"/>
            <w:vAlign w:val="top"/>
          </w:tcPr>
          <w:p>
            <w:pPr>
              <w:spacing w:line="318" w:lineRule="auto"/>
              <w:rPr>
                <w:rFonts w:ascii="Arial"/>
                <w:sz w:val="21"/>
              </w:rPr>
            </w:pPr>
            <w:r/>
          </w:p>
          <w:p>
            <w:pPr>
              <w:ind w:left="118"/>
              <w:spacing w:before="65" w:line="228" w:lineRule="auto"/>
              <w:rPr>
                <w:rFonts w:ascii="SimSun" w:hAnsi="SimSun" w:eastAsia="SimSun" w:cs="SimSun"/>
                <w:sz w:val="20"/>
                <w:szCs w:val="20"/>
              </w:rPr>
            </w:pPr>
            <w:r>
              <w:rPr>
                <w:rFonts w:ascii="SimSun" w:hAnsi="SimSun" w:eastAsia="SimSun" w:cs="SimSun"/>
                <w:sz w:val="20"/>
                <w:szCs w:val="20"/>
                <w:spacing w:val="6"/>
              </w:rPr>
              <w:t>地下水</w:t>
            </w:r>
          </w:p>
        </w:tc>
        <w:tc>
          <w:tcPr>
            <w:tcW w:w="2192" w:type="dxa"/>
            <w:vAlign w:val="top"/>
          </w:tcPr>
          <w:p>
            <w:pPr>
              <w:ind w:left="157"/>
              <w:spacing w:before="59" w:line="227" w:lineRule="auto"/>
              <w:rPr>
                <w:rFonts w:ascii="SimSun" w:hAnsi="SimSun" w:eastAsia="SimSun" w:cs="SimSun"/>
                <w:sz w:val="20"/>
                <w:szCs w:val="20"/>
              </w:rPr>
            </w:pPr>
            <w:r>
              <w:rPr>
                <w:rFonts w:ascii="SimSun" w:hAnsi="SimSun" w:eastAsia="SimSun" w:cs="SimSun"/>
                <w:sz w:val="20"/>
                <w:szCs w:val="20"/>
                <w:spacing w:val="8"/>
              </w:rPr>
              <w:t>彦吉嘎河位于露天区</w:t>
            </w:r>
          </w:p>
          <w:p>
            <w:pPr>
              <w:ind w:left="157"/>
              <w:spacing w:before="80" w:line="227" w:lineRule="auto"/>
              <w:rPr>
                <w:rFonts w:ascii="SimSun" w:hAnsi="SimSun" w:eastAsia="SimSun" w:cs="SimSun"/>
                <w:sz w:val="20"/>
                <w:szCs w:val="20"/>
              </w:rPr>
            </w:pPr>
            <w:r>
              <w:rPr>
                <w:rFonts w:ascii="SimSun" w:hAnsi="SimSun" w:eastAsia="SimSun" w:cs="SimSun"/>
                <w:sz w:val="20"/>
                <w:szCs w:val="20"/>
                <w:spacing w:val="8"/>
              </w:rPr>
              <w:t>新增开采范围北侧河</w:t>
            </w:r>
          </w:p>
          <w:p>
            <w:pPr>
              <w:ind w:left="996"/>
              <w:spacing w:before="78" w:line="234" w:lineRule="auto"/>
              <w:rPr>
                <w:rFonts w:ascii="SimSun" w:hAnsi="SimSun" w:eastAsia="SimSun" w:cs="SimSun"/>
                <w:sz w:val="20"/>
                <w:szCs w:val="20"/>
              </w:rPr>
            </w:pPr>
            <w:r>
              <w:rPr>
                <w:rFonts w:ascii="SimSun" w:hAnsi="SimSun" w:eastAsia="SimSun" w:cs="SimSun"/>
                <w:sz w:val="20"/>
                <w:szCs w:val="20"/>
                <w:spacing w:val="1"/>
              </w:rPr>
              <w:t>道</w:t>
            </w:r>
          </w:p>
        </w:tc>
        <w:tc>
          <w:tcPr>
            <w:tcW w:w="3932" w:type="dxa"/>
            <w:vAlign w:val="top"/>
          </w:tcPr>
          <w:p>
            <w:pPr>
              <w:ind w:left="112"/>
              <w:spacing w:before="59" w:line="227" w:lineRule="auto"/>
              <w:rPr>
                <w:rFonts w:ascii="SimSun" w:hAnsi="SimSun" w:eastAsia="SimSun" w:cs="SimSun"/>
                <w:sz w:val="20"/>
                <w:szCs w:val="20"/>
              </w:rPr>
            </w:pPr>
            <w:r>
              <w:rPr>
                <w:rFonts w:ascii="SimSun" w:hAnsi="SimSun" w:eastAsia="SimSun" w:cs="SimSun"/>
                <w:sz w:val="20"/>
                <w:szCs w:val="20"/>
                <w:spacing w:val="6"/>
              </w:rPr>
              <w:t>对地下水影响范围内自然河段采取“帷幕</w:t>
            </w:r>
          </w:p>
          <w:p>
            <w:pPr>
              <w:ind w:left="113"/>
              <w:spacing w:before="80" w:line="227" w:lineRule="auto"/>
              <w:rPr>
                <w:rFonts w:ascii="SimSun" w:hAnsi="SimSun" w:eastAsia="SimSun" w:cs="SimSun"/>
                <w:sz w:val="20"/>
                <w:szCs w:val="20"/>
              </w:rPr>
            </w:pPr>
            <w:r>
              <w:rPr>
                <w:rFonts w:ascii="SimSun" w:hAnsi="SimSun" w:eastAsia="SimSun" w:cs="SimSun"/>
                <w:sz w:val="20"/>
                <w:szCs w:val="20"/>
                <w:spacing w:val="4"/>
              </w:rPr>
              <w:t>注浆</w:t>
            </w:r>
            <w:r>
              <w:rPr>
                <w:rFonts w:ascii="SimSun" w:hAnsi="SimSun" w:eastAsia="SimSun" w:cs="SimSun"/>
                <w:sz w:val="20"/>
                <w:szCs w:val="20"/>
                <w:spacing w:val="-66"/>
              </w:rPr>
              <w:t xml:space="preserve"> </w:t>
            </w:r>
            <w:r>
              <w:rPr>
                <w:rFonts w:ascii="SimSun" w:hAnsi="SimSun" w:eastAsia="SimSun" w:cs="SimSun"/>
                <w:sz w:val="20"/>
                <w:szCs w:val="20"/>
                <w:spacing w:val="4"/>
              </w:rPr>
              <w:t>”工艺措施，减小露天开采对彦吉嘎</w:t>
            </w:r>
          </w:p>
          <w:p>
            <w:pPr>
              <w:ind w:left="1552"/>
              <w:spacing w:before="77" w:line="230" w:lineRule="auto"/>
              <w:rPr>
                <w:rFonts w:ascii="SimSun" w:hAnsi="SimSun" w:eastAsia="SimSun" w:cs="SimSun"/>
                <w:sz w:val="20"/>
                <w:szCs w:val="20"/>
              </w:rPr>
            </w:pPr>
            <w:r>
              <w:rPr>
                <w:rFonts w:ascii="SimSun" w:hAnsi="SimSun" w:eastAsia="SimSun" w:cs="SimSun"/>
                <w:sz w:val="20"/>
                <w:szCs w:val="20"/>
                <w:spacing w:val="7"/>
              </w:rPr>
              <w:t>河的影响</w:t>
            </w:r>
          </w:p>
        </w:tc>
        <w:tc>
          <w:tcPr>
            <w:tcW w:w="1151" w:type="dxa"/>
            <w:vAlign w:val="top"/>
          </w:tcPr>
          <w:p>
            <w:pPr>
              <w:spacing w:line="362" w:lineRule="auto"/>
              <w:rPr>
                <w:rFonts w:ascii="Arial"/>
                <w:sz w:val="21"/>
              </w:rPr>
            </w:pPr>
            <w:r/>
          </w:p>
          <w:p>
            <w:pPr>
              <w:pStyle w:val="TableText"/>
              <w:ind w:left="424"/>
              <w:spacing w:before="57" w:line="195" w:lineRule="auto"/>
              <w:rPr/>
            </w:pPr>
            <w:r>
              <w:rPr>
                <w:spacing w:val="2"/>
              </w:rPr>
              <w:t>300</w:t>
            </w:r>
          </w:p>
        </w:tc>
        <w:tc>
          <w:tcPr>
            <w:tcW w:w="1154" w:type="dxa"/>
            <w:vAlign w:val="top"/>
          </w:tcPr>
          <w:p>
            <w:pPr>
              <w:spacing w:line="358" w:lineRule="auto"/>
              <w:rPr>
                <w:rFonts w:ascii="Arial"/>
                <w:sz w:val="21"/>
              </w:rPr>
            </w:pPr>
            <w:r/>
          </w:p>
          <w:p>
            <w:pPr>
              <w:pStyle w:val="TableText"/>
              <w:ind w:left="542"/>
              <w:spacing w:before="57" w:line="199" w:lineRule="auto"/>
              <w:rPr/>
            </w:pPr>
            <w:r>
              <w:rPr>
                <w:spacing w:val="2"/>
              </w:rPr>
              <w:t>/</w:t>
            </w:r>
          </w:p>
        </w:tc>
      </w:tr>
      <w:tr>
        <w:trPr>
          <w:trHeight w:val="335" w:hRule="atLeast"/>
        </w:trPr>
        <w:tc>
          <w:tcPr>
            <w:tcW w:w="3046" w:type="dxa"/>
            <w:vAlign w:val="top"/>
            <w:gridSpan w:val="2"/>
          </w:tcPr>
          <w:p>
            <w:pPr>
              <w:ind w:left="583"/>
              <w:spacing w:before="60" w:line="228" w:lineRule="auto"/>
              <w:rPr>
                <w:rFonts w:ascii="SimSun" w:hAnsi="SimSun" w:eastAsia="SimSun" w:cs="SimSun"/>
                <w:sz w:val="20"/>
                <w:szCs w:val="20"/>
              </w:rPr>
            </w:pPr>
            <w:r>
              <w:rPr>
                <w:rFonts w:ascii="SimSun" w:hAnsi="SimSun" w:eastAsia="SimSun" w:cs="SimSun"/>
                <w:sz w:val="20"/>
                <w:szCs w:val="20"/>
                <w:spacing w:val="8"/>
              </w:rPr>
              <w:t>环境保护工程总投资</w:t>
            </w:r>
          </w:p>
        </w:tc>
        <w:tc>
          <w:tcPr>
            <w:tcW w:w="3932" w:type="dxa"/>
            <w:vAlign w:val="top"/>
          </w:tcPr>
          <w:p>
            <w:pPr>
              <w:rPr>
                <w:rFonts w:ascii="Arial"/>
                <w:sz w:val="21"/>
              </w:rPr>
            </w:pPr>
            <w:r/>
          </w:p>
        </w:tc>
        <w:tc>
          <w:tcPr>
            <w:tcW w:w="1151" w:type="dxa"/>
            <w:vAlign w:val="top"/>
          </w:tcPr>
          <w:p>
            <w:pPr>
              <w:pStyle w:val="TableText"/>
              <w:ind w:left="237"/>
              <w:spacing w:before="95" w:line="195" w:lineRule="auto"/>
              <w:rPr/>
            </w:pPr>
            <w:r>
              <w:rPr>
                <w:spacing w:val="4"/>
              </w:rPr>
              <w:t>4657.38</w:t>
            </w:r>
          </w:p>
        </w:tc>
        <w:tc>
          <w:tcPr>
            <w:tcW w:w="1154" w:type="dxa"/>
            <w:vAlign w:val="top"/>
          </w:tcPr>
          <w:p>
            <w:pPr>
              <w:rPr>
                <w:rFonts w:ascii="Arial"/>
                <w:sz w:val="21"/>
              </w:rPr>
            </w:pPr>
            <w:r/>
          </w:p>
        </w:tc>
      </w:tr>
    </w:tbl>
    <w:p>
      <w:pPr>
        <w:ind w:left="137" w:right="120" w:firstLine="464"/>
        <w:spacing w:before="123" w:line="380" w:lineRule="auto"/>
        <w:rPr>
          <w:rFonts w:ascii="SimSun" w:hAnsi="SimSun" w:eastAsia="SimSun" w:cs="SimSun"/>
          <w:sz w:val="24"/>
          <w:szCs w:val="24"/>
        </w:rPr>
      </w:pPr>
      <w:r>
        <w:rPr>
          <w:rFonts w:ascii="SimSun" w:hAnsi="SimSun" w:eastAsia="SimSun" w:cs="SimSun"/>
          <w:sz w:val="24"/>
          <w:szCs w:val="24"/>
          <w:spacing w:val="-1"/>
        </w:rPr>
        <w:t>项目总投资为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33228</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万元，环保工程投资为</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46</w:t>
      </w:r>
      <w:r>
        <w:rPr>
          <w:rFonts w:ascii="Times New Roman" w:hAnsi="Times New Roman" w:eastAsia="Times New Roman" w:cs="Times New Roman"/>
          <w:sz w:val="24"/>
          <w:szCs w:val="24"/>
          <w:spacing w:val="-2"/>
        </w:rPr>
        <w:t>57.38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万元，环保项目投资占总投资</w:t>
      </w:r>
      <w:r>
        <w:rPr>
          <w:rFonts w:ascii="SimSun" w:hAnsi="SimSun" w:eastAsia="SimSun" w:cs="SimSun"/>
          <w:sz w:val="24"/>
          <w:szCs w:val="24"/>
          <w:spacing w:val="-8"/>
        </w:rPr>
        <w:t>的</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8"/>
        </w:rPr>
        <w:t>14.02%</w:t>
      </w:r>
      <w:r>
        <w:rPr>
          <w:rFonts w:ascii="SimSun" w:hAnsi="SimSun" w:eastAsia="SimSun" w:cs="SimSun"/>
          <w:sz w:val="24"/>
          <w:szCs w:val="24"/>
          <w:spacing w:val="-8"/>
        </w:rPr>
        <w:t>。</w:t>
      </w:r>
    </w:p>
    <w:p>
      <w:pPr>
        <w:ind w:left="118"/>
        <w:spacing w:before="87" w:line="222" w:lineRule="auto"/>
        <w:outlineLvl w:val="1"/>
        <w:rPr>
          <w:rFonts w:ascii="SimHei" w:hAnsi="SimHei" w:eastAsia="SimHei" w:cs="SimHei"/>
          <w:sz w:val="30"/>
          <w:szCs w:val="30"/>
        </w:rPr>
      </w:pPr>
      <w:bookmarkStart w:name="bookmark55" w:id="98"/>
      <w:bookmarkEnd w:id="98"/>
      <w:r>
        <w:rPr>
          <w:rFonts w:ascii="Times New Roman" w:hAnsi="Times New Roman" w:eastAsia="Times New Roman" w:cs="Times New Roman"/>
          <w:sz w:val="30"/>
          <w:szCs w:val="30"/>
          <w:b/>
          <w:bCs/>
          <w:spacing w:val="-4"/>
        </w:rPr>
        <w:t>8.2</w:t>
      </w:r>
      <w:r>
        <w:rPr>
          <w:rFonts w:ascii="Times New Roman" w:hAnsi="Times New Roman" w:eastAsia="Times New Roman" w:cs="Times New Roman"/>
          <w:sz w:val="30"/>
          <w:szCs w:val="30"/>
          <w:b/>
          <w:bCs/>
          <w:spacing w:val="-16"/>
        </w:rPr>
        <w:t xml:space="preserve"> </w:t>
      </w:r>
      <w:r>
        <w:rPr>
          <w:rFonts w:ascii="SimHei" w:hAnsi="SimHei" w:eastAsia="SimHei" w:cs="SimHei"/>
          <w:sz w:val="30"/>
          <w:szCs w:val="30"/>
          <w:b/>
          <w:bCs/>
          <w:spacing w:val="-4"/>
        </w:rPr>
        <w:t>环境经济损益分析</w:t>
      </w:r>
    </w:p>
    <w:p>
      <w:pPr>
        <w:ind w:left="117"/>
        <w:spacing w:before="255"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8.2.1  </w:t>
      </w:r>
      <w:r>
        <w:rPr>
          <w:rFonts w:ascii="SimHei" w:hAnsi="SimHei" w:eastAsia="SimHei" w:cs="SimHei"/>
          <w:sz w:val="28"/>
          <w:szCs w:val="28"/>
          <w:b/>
          <w:bCs/>
          <w:spacing w:val="-2"/>
        </w:rPr>
        <w:t>环境经济损益分析方法</w:t>
      </w:r>
    </w:p>
    <w:p>
      <w:pPr>
        <w:ind w:left="117" w:right="107" w:firstLine="480"/>
        <w:spacing w:before="191" w:line="339" w:lineRule="auto"/>
        <w:jc w:val="both"/>
        <w:rPr>
          <w:rFonts w:ascii="SimSun" w:hAnsi="SimSun" w:eastAsia="SimSun" w:cs="SimSun"/>
          <w:sz w:val="24"/>
          <w:szCs w:val="24"/>
        </w:rPr>
      </w:pPr>
      <w:r>
        <w:rPr>
          <w:rFonts w:ascii="SimSun" w:hAnsi="SimSun" w:eastAsia="SimSun" w:cs="SimSun"/>
          <w:sz w:val="24"/>
          <w:szCs w:val="24"/>
          <w:spacing w:val="5"/>
        </w:rPr>
        <w:t>环境经济损益分析主要任务是衡量建设项目需要投入的环保投资所能收到的环境</w:t>
      </w:r>
      <w:r>
        <w:rPr>
          <w:rFonts w:ascii="SimSun" w:hAnsi="SimSun" w:eastAsia="SimSun" w:cs="SimSun"/>
          <w:sz w:val="24"/>
          <w:szCs w:val="24"/>
          <w:spacing w:val="-2"/>
        </w:rPr>
        <w:t>保护效果。本次评价采用指标计算法。即把环境经济损益首先分解成费用指标、损失指</w:t>
      </w:r>
      <w:r>
        <w:rPr>
          <w:rFonts w:ascii="SimSun" w:hAnsi="SimSun" w:eastAsia="SimSun" w:cs="SimSun"/>
          <w:sz w:val="24"/>
          <w:szCs w:val="24"/>
          <w:spacing w:val="-2"/>
        </w:rPr>
        <w:t>标和效益指标，再按指标体系逐项核算，然后再进行经济指标的估算与分析。白音华四</w:t>
      </w:r>
      <w:r>
        <w:rPr>
          <w:rFonts w:ascii="SimSun" w:hAnsi="SimSun" w:eastAsia="SimSun" w:cs="SimSun"/>
          <w:sz w:val="24"/>
          <w:szCs w:val="24"/>
          <w:spacing w:val="-2"/>
        </w:rPr>
        <w:t>号露天矿（露天区）环境经济损益分析指标体系主要由年环境代价、环境成本、环境系</w:t>
      </w:r>
      <w:r>
        <w:rPr>
          <w:rFonts w:ascii="SimSun" w:hAnsi="SimSun" w:eastAsia="SimSun" w:cs="SimSun"/>
          <w:sz w:val="24"/>
          <w:szCs w:val="24"/>
          <w:spacing w:val="-2"/>
        </w:rPr>
        <w:t>数、环境工程比例系数、产值环境系数、环境经济效益系数等指标组成，各项指标所表</w:t>
      </w:r>
      <w:r>
        <w:rPr>
          <w:rFonts w:ascii="SimSun" w:hAnsi="SimSun" w:eastAsia="SimSun" w:cs="SimSun"/>
          <w:sz w:val="24"/>
          <w:szCs w:val="24"/>
          <w:spacing w:val="-2"/>
        </w:rPr>
        <w:t>述意义及数学计算模式见表</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8-2-1</w:t>
      </w:r>
      <w:r>
        <w:rPr>
          <w:rFonts w:ascii="SimSun" w:hAnsi="SimSun" w:eastAsia="SimSun" w:cs="SimSun"/>
          <w:sz w:val="24"/>
          <w:szCs w:val="24"/>
          <w:spacing w:val="-2"/>
        </w:rPr>
        <w:t>。</w:t>
      </w:r>
    </w:p>
    <w:p>
      <w:pPr>
        <w:ind w:left="3328"/>
        <w:spacing w:before="103" w:line="222" w:lineRule="auto"/>
        <w:rPr>
          <w:rFonts w:ascii="SimHei" w:hAnsi="SimHei" w:eastAsia="SimHei" w:cs="SimHei"/>
          <w:sz w:val="24"/>
          <w:szCs w:val="24"/>
        </w:rPr>
      </w:pPr>
      <w:r>
        <w:rPr>
          <w:rFonts w:ascii="SimHei" w:hAnsi="SimHei" w:eastAsia="SimHei" w:cs="SimHei"/>
          <w:sz w:val="24"/>
          <w:szCs w:val="24"/>
          <w:b/>
          <w:bCs/>
          <w:spacing w:val="-3"/>
        </w:rPr>
        <w:t>环境经济损益指标一览表</w:t>
      </w:r>
    </w:p>
    <w:p>
      <w:pPr>
        <w:ind w:left="115"/>
        <w:spacing w:before="70" w:line="223" w:lineRule="auto"/>
        <w:rPr>
          <w:rFonts w:ascii="Times New Roman" w:hAnsi="Times New Roman" w:eastAsia="Times New Roman" w:cs="Times New Roman"/>
          <w:sz w:val="20"/>
          <w:szCs w:val="20"/>
        </w:rPr>
      </w:pPr>
      <w:r>
        <w:rPr>
          <w:rFonts w:ascii="SimSun" w:hAnsi="SimSun" w:eastAsia="SimSun" w:cs="SimSun"/>
          <w:sz w:val="20"/>
          <w:szCs w:val="20"/>
          <w:spacing w:val="1"/>
        </w:rPr>
        <w:t>表</w:t>
      </w:r>
      <w:r>
        <w:rPr>
          <w:rFonts w:ascii="SimSun" w:hAnsi="SimSun" w:eastAsia="SimSun" w:cs="SimSun"/>
          <w:sz w:val="20"/>
          <w:szCs w:val="20"/>
          <w:spacing w:val="-32"/>
        </w:rPr>
        <w:t xml:space="preserve"> </w:t>
      </w:r>
      <w:r>
        <w:rPr>
          <w:rFonts w:ascii="Times New Roman" w:hAnsi="Times New Roman" w:eastAsia="Times New Roman" w:cs="Times New Roman"/>
          <w:sz w:val="20"/>
          <w:szCs w:val="20"/>
          <w:spacing w:val="1"/>
        </w:rPr>
        <w:t>8-2-1</w:t>
      </w:r>
    </w:p>
    <w:tbl>
      <w:tblPr>
        <w:tblStyle w:val="TableNormal"/>
        <w:tblW w:w="9141" w:type="dxa"/>
        <w:tblInd w:w="7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60"/>
        <w:gridCol w:w="1641"/>
        <w:gridCol w:w="3181"/>
        <w:gridCol w:w="2559"/>
      </w:tblGrid>
      <w:tr>
        <w:trPr>
          <w:trHeight w:val="336" w:hRule="atLeast"/>
        </w:trPr>
        <w:tc>
          <w:tcPr>
            <w:tcW w:w="1760" w:type="dxa"/>
            <w:vAlign w:val="top"/>
          </w:tcPr>
          <w:p>
            <w:pPr>
              <w:ind w:left="677"/>
              <w:spacing w:before="60" w:line="228" w:lineRule="auto"/>
              <w:rPr>
                <w:rFonts w:ascii="SimSun" w:hAnsi="SimSun" w:eastAsia="SimSun" w:cs="SimSun"/>
                <w:sz w:val="20"/>
                <w:szCs w:val="20"/>
              </w:rPr>
            </w:pPr>
            <w:r>
              <w:rPr>
                <w:rFonts w:ascii="SimSun" w:hAnsi="SimSun" w:eastAsia="SimSun" w:cs="SimSun"/>
                <w:sz w:val="20"/>
                <w:szCs w:val="20"/>
                <w:spacing w:val="3"/>
              </w:rPr>
              <w:t>指标</w:t>
            </w:r>
          </w:p>
        </w:tc>
        <w:tc>
          <w:tcPr>
            <w:tcW w:w="1641" w:type="dxa"/>
            <w:vAlign w:val="top"/>
          </w:tcPr>
          <w:p>
            <w:pPr>
              <w:ind w:left="404"/>
              <w:spacing w:before="59" w:line="228" w:lineRule="auto"/>
              <w:rPr>
                <w:rFonts w:ascii="SimSun" w:hAnsi="SimSun" w:eastAsia="SimSun" w:cs="SimSun"/>
                <w:sz w:val="20"/>
                <w:szCs w:val="20"/>
              </w:rPr>
            </w:pPr>
            <w:r>
              <w:rPr>
                <w:rFonts w:ascii="SimSun" w:hAnsi="SimSun" w:eastAsia="SimSun" w:cs="SimSun"/>
                <w:sz w:val="20"/>
                <w:szCs w:val="20"/>
                <w:spacing w:val="6"/>
              </w:rPr>
              <w:t>数学模式</w:t>
            </w:r>
          </w:p>
        </w:tc>
        <w:tc>
          <w:tcPr>
            <w:tcW w:w="3181" w:type="dxa"/>
            <w:vAlign w:val="top"/>
          </w:tcPr>
          <w:p>
            <w:pPr>
              <w:ind w:left="1175"/>
              <w:spacing w:before="59" w:line="228" w:lineRule="auto"/>
              <w:rPr>
                <w:rFonts w:ascii="SimSun" w:hAnsi="SimSun" w:eastAsia="SimSun" w:cs="SimSun"/>
                <w:sz w:val="20"/>
                <w:szCs w:val="20"/>
              </w:rPr>
            </w:pPr>
            <w:r>
              <w:rPr>
                <w:rFonts w:ascii="SimSun" w:hAnsi="SimSun" w:eastAsia="SimSun" w:cs="SimSun"/>
                <w:sz w:val="20"/>
                <w:szCs w:val="20"/>
                <w:spacing w:val="6"/>
              </w:rPr>
              <w:t>参数意义</w:t>
            </w:r>
          </w:p>
        </w:tc>
        <w:tc>
          <w:tcPr>
            <w:tcW w:w="2559" w:type="dxa"/>
            <w:vAlign w:val="top"/>
          </w:tcPr>
          <w:p>
            <w:pPr>
              <w:ind w:left="863"/>
              <w:spacing w:before="59" w:line="228" w:lineRule="auto"/>
              <w:rPr>
                <w:rFonts w:ascii="SimSun" w:hAnsi="SimSun" w:eastAsia="SimSun" w:cs="SimSun"/>
                <w:sz w:val="20"/>
                <w:szCs w:val="20"/>
              </w:rPr>
            </w:pPr>
            <w:r>
              <w:rPr>
                <w:rFonts w:ascii="SimSun" w:hAnsi="SimSun" w:eastAsia="SimSun" w:cs="SimSun"/>
                <w:sz w:val="20"/>
                <w:szCs w:val="20"/>
                <w:spacing w:val="6"/>
              </w:rPr>
              <w:t>指标含义</w:t>
            </w:r>
          </w:p>
        </w:tc>
      </w:tr>
      <w:tr>
        <w:trPr>
          <w:trHeight w:val="822" w:hRule="atLeast"/>
        </w:trPr>
        <w:tc>
          <w:tcPr>
            <w:tcW w:w="1760" w:type="dxa"/>
            <w:vAlign w:val="top"/>
          </w:tcPr>
          <w:p>
            <w:pPr>
              <w:pStyle w:val="TableText"/>
              <w:ind w:left="39"/>
              <w:spacing w:before="300" w:line="226" w:lineRule="auto"/>
              <w:rPr>
                <w:rFonts w:ascii="SimSun" w:hAnsi="SimSun" w:eastAsia="SimSun" w:cs="SimSun"/>
              </w:rPr>
            </w:pPr>
            <w:r>
              <w:rPr>
                <w:rFonts w:ascii="SimSun" w:hAnsi="SimSun" w:eastAsia="SimSun" w:cs="SimSun"/>
                <w:spacing w:val="9"/>
              </w:rPr>
              <w:t>年环境代价（</w:t>
            </w:r>
            <w:r>
              <w:rPr/>
              <w:t>H</w:t>
            </w:r>
            <w:r>
              <w:rPr>
                <w:sz w:val="13"/>
                <w:szCs w:val="13"/>
                <w:position w:val="-1"/>
              </w:rPr>
              <w:t>d</w:t>
            </w:r>
            <w:r>
              <w:rPr>
                <w:rFonts w:ascii="SimSun" w:hAnsi="SimSun" w:eastAsia="SimSun" w:cs="SimSun"/>
                <w:spacing w:val="9"/>
              </w:rPr>
              <w:t>）</w:t>
            </w:r>
          </w:p>
        </w:tc>
        <w:tc>
          <w:tcPr>
            <w:tcW w:w="1641" w:type="dxa"/>
            <w:vAlign w:val="top"/>
          </w:tcPr>
          <w:p>
            <w:pPr>
              <w:ind w:left="199"/>
              <w:spacing w:before="169" w:line="493" w:lineRule="exact"/>
              <w:rPr/>
            </w:pPr>
            <w:r>
              <w:rPr>
                <w:position w:val="-10"/>
              </w:rPr>
              <w:drawing>
                <wp:inline distT="0" distB="0" distL="0" distR="0">
                  <wp:extent cx="774134" cy="312658"/>
                  <wp:effectExtent l="0" t="0" r="0" b="0"/>
                  <wp:docPr id="342" name="IM 342"/>
                  <wp:cNvGraphicFramePr/>
                  <a:graphic>
                    <a:graphicData uri="http://schemas.openxmlformats.org/drawingml/2006/picture">
                      <pic:pic>
                        <pic:nvPicPr>
                          <pic:cNvPr id="342" name="IM 342"/>
                          <pic:cNvPicPr/>
                        </pic:nvPicPr>
                        <pic:blipFill>
                          <a:blip r:embed="rId534"/>
                          <a:stretch>
                            <a:fillRect/>
                          </a:stretch>
                        </pic:blipFill>
                        <pic:spPr>
                          <a:xfrm rot="0">
                            <a:off x="0" y="0"/>
                            <a:ext cx="774134" cy="312658"/>
                          </a:xfrm>
                          <a:prstGeom prst="rect">
                            <a:avLst/>
                          </a:prstGeom>
                        </pic:spPr>
                      </pic:pic>
                    </a:graphicData>
                  </a:graphic>
                </wp:inline>
              </w:drawing>
            </w:r>
          </w:p>
        </w:tc>
        <w:tc>
          <w:tcPr>
            <w:tcW w:w="3181" w:type="dxa"/>
            <w:vAlign w:val="top"/>
          </w:tcPr>
          <w:p>
            <w:pPr>
              <w:pStyle w:val="TableText"/>
              <w:ind w:left="27"/>
              <w:spacing w:before="165" w:line="221" w:lineRule="auto"/>
              <w:rPr/>
            </w:pPr>
            <w:r>
              <w:rPr/>
              <w:t>E</w:t>
            </w:r>
            <w:r>
              <w:rPr>
                <w:sz w:val="13"/>
                <w:szCs w:val="13"/>
                <w:position w:val="-1"/>
              </w:rPr>
              <w:t>t</w:t>
            </w:r>
            <w:r>
              <w:rPr>
                <w:spacing w:val="8"/>
              </w:rPr>
              <w:t>——</w:t>
            </w:r>
            <w:r>
              <w:rPr>
                <w:rFonts w:ascii="SimSun" w:hAnsi="SimSun" w:eastAsia="SimSun" w:cs="SimSun"/>
                <w:spacing w:val="8"/>
              </w:rPr>
              <w:t>环境费用</w:t>
            </w:r>
            <w:r>
              <w:rPr>
                <w:spacing w:val="8"/>
              </w:rPr>
              <w:t>(</w:t>
            </w:r>
            <w:r>
              <w:rPr>
                <w:rFonts w:ascii="SimSun" w:hAnsi="SimSun" w:eastAsia="SimSun" w:cs="SimSun"/>
                <w:spacing w:val="8"/>
              </w:rPr>
              <w:t>万元</w:t>
            </w:r>
            <w:r>
              <w:rPr>
                <w:spacing w:val="8"/>
              </w:rPr>
              <w:t>)</w:t>
            </w:r>
          </w:p>
          <w:p>
            <w:pPr>
              <w:pStyle w:val="TableText"/>
              <w:ind w:left="24"/>
              <w:spacing w:before="31" w:line="221" w:lineRule="auto"/>
              <w:rPr/>
            </w:pPr>
            <w:r>
              <w:rPr>
                <w:spacing w:val="8"/>
              </w:rPr>
              <w:t>n——</w:t>
            </w:r>
            <w:r>
              <w:rPr>
                <w:rFonts w:ascii="SimSun" w:hAnsi="SimSun" w:eastAsia="SimSun" w:cs="SimSun"/>
                <w:spacing w:val="8"/>
              </w:rPr>
              <w:t>均衡生产年限</w:t>
            </w:r>
            <w:r>
              <w:rPr>
                <w:spacing w:val="8"/>
              </w:rPr>
              <w:t>(</w:t>
            </w:r>
            <w:r>
              <w:rPr>
                <w:rFonts w:ascii="SimSun" w:hAnsi="SimSun" w:eastAsia="SimSun" w:cs="SimSun"/>
                <w:spacing w:val="8"/>
              </w:rPr>
              <w:t>年</w:t>
            </w:r>
            <w:r>
              <w:rPr>
                <w:spacing w:val="8"/>
              </w:rPr>
              <w:t>)</w:t>
            </w:r>
          </w:p>
        </w:tc>
        <w:tc>
          <w:tcPr>
            <w:tcW w:w="2559" w:type="dxa"/>
            <w:vAlign w:val="top"/>
          </w:tcPr>
          <w:p>
            <w:pPr>
              <w:ind w:left="33" w:right="32"/>
              <w:spacing w:before="28" w:line="241" w:lineRule="auto"/>
              <w:rPr>
                <w:rFonts w:ascii="SimSun" w:hAnsi="SimSun" w:eastAsia="SimSun" w:cs="SimSun"/>
                <w:sz w:val="20"/>
                <w:szCs w:val="20"/>
              </w:rPr>
            </w:pPr>
            <w:r>
              <w:rPr>
                <w:rFonts w:ascii="SimSun" w:hAnsi="SimSun" w:eastAsia="SimSun" w:cs="SimSun"/>
                <w:sz w:val="20"/>
                <w:szCs w:val="20"/>
                <w:spacing w:val="26"/>
              </w:rPr>
              <w:t>每年因开发建设改变环境</w:t>
            </w:r>
            <w:r>
              <w:rPr>
                <w:rFonts w:ascii="SimSun" w:hAnsi="SimSun" w:eastAsia="SimSun" w:cs="SimSun"/>
                <w:sz w:val="20"/>
                <w:szCs w:val="20"/>
                <w:spacing w:val="7"/>
              </w:rPr>
              <w:t>功能造成环境危害及消除、</w:t>
            </w:r>
            <w:r>
              <w:rPr>
                <w:rFonts w:ascii="SimSun" w:hAnsi="SimSun" w:eastAsia="SimSun" w:cs="SimSun"/>
                <w:sz w:val="20"/>
                <w:szCs w:val="20"/>
                <w:spacing w:val="8"/>
              </w:rPr>
              <w:t>减少所付出的经济代价。</w:t>
            </w:r>
          </w:p>
        </w:tc>
      </w:tr>
      <w:tr>
        <w:trPr>
          <w:trHeight w:val="753" w:hRule="atLeast"/>
        </w:trPr>
        <w:tc>
          <w:tcPr>
            <w:tcW w:w="1760" w:type="dxa"/>
            <w:vAlign w:val="top"/>
          </w:tcPr>
          <w:p>
            <w:pPr>
              <w:pStyle w:val="TableText"/>
              <w:ind w:left="147"/>
              <w:spacing w:before="267" w:line="227" w:lineRule="auto"/>
              <w:rPr>
                <w:rFonts w:ascii="SimSun" w:hAnsi="SimSun" w:eastAsia="SimSun" w:cs="SimSun"/>
              </w:rPr>
            </w:pPr>
            <w:r>
              <w:rPr>
                <w:rFonts w:ascii="SimSun" w:hAnsi="SimSun" w:eastAsia="SimSun" w:cs="SimSun"/>
                <w:spacing w:val="8"/>
              </w:rPr>
              <w:t>环境成本（</w:t>
            </w:r>
            <w:r>
              <w:rPr/>
              <w:t>H</w:t>
            </w:r>
            <w:r>
              <w:rPr>
                <w:sz w:val="13"/>
                <w:szCs w:val="13"/>
                <w:position w:val="-1"/>
              </w:rPr>
              <w:t>b</w:t>
            </w:r>
            <w:r>
              <w:rPr>
                <w:rFonts w:ascii="SimSun" w:hAnsi="SimSun" w:eastAsia="SimSun" w:cs="SimSun"/>
                <w:spacing w:val="8"/>
              </w:rPr>
              <w:t>）</w:t>
            </w:r>
          </w:p>
        </w:tc>
        <w:tc>
          <w:tcPr>
            <w:tcW w:w="1641" w:type="dxa"/>
            <w:vAlign w:val="top"/>
          </w:tcPr>
          <w:p>
            <w:pPr>
              <w:ind w:left="193"/>
              <w:spacing w:before="76" w:line="613" w:lineRule="exact"/>
              <w:rPr/>
            </w:pPr>
            <w:r>
              <w:rPr>
                <w:position w:val="-12"/>
              </w:rPr>
              <w:drawing>
                <wp:inline distT="0" distB="0" distL="0" distR="0">
                  <wp:extent cx="792797" cy="389257"/>
                  <wp:effectExtent l="0" t="0" r="0" b="0"/>
                  <wp:docPr id="344" name="IM 344"/>
                  <wp:cNvGraphicFramePr/>
                  <a:graphic>
                    <a:graphicData uri="http://schemas.openxmlformats.org/drawingml/2006/picture">
                      <pic:pic>
                        <pic:nvPicPr>
                          <pic:cNvPr id="344" name="IM 344"/>
                          <pic:cNvPicPr/>
                        </pic:nvPicPr>
                        <pic:blipFill>
                          <a:blip r:embed="rId535"/>
                          <a:stretch>
                            <a:fillRect/>
                          </a:stretch>
                        </pic:blipFill>
                        <pic:spPr>
                          <a:xfrm rot="0">
                            <a:off x="0" y="0"/>
                            <a:ext cx="792797" cy="389257"/>
                          </a:xfrm>
                          <a:prstGeom prst="rect">
                            <a:avLst/>
                          </a:prstGeom>
                        </pic:spPr>
                      </pic:pic>
                    </a:graphicData>
                  </a:graphic>
                </wp:inline>
              </w:drawing>
            </w:r>
          </w:p>
        </w:tc>
        <w:tc>
          <w:tcPr>
            <w:tcW w:w="3181" w:type="dxa"/>
            <w:vAlign w:val="top"/>
          </w:tcPr>
          <w:p>
            <w:pPr>
              <w:pStyle w:val="TableText"/>
              <w:ind w:left="27" w:right="634"/>
              <w:spacing w:before="131" w:line="242" w:lineRule="auto"/>
              <w:rPr/>
            </w:pPr>
            <w:r>
              <w:rPr/>
              <w:t>H</w:t>
            </w:r>
            <w:r>
              <w:rPr>
                <w:sz w:val="13"/>
                <w:szCs w:val="13"/>
                <w:position w:val="-1"/>
              </w:rPr>
              <w:t>d</w:t>
            </w:r>
            <w:r>
              <w:rPr>
                <w:spacing w:val="8"/>
              </w:rPr>
              <w:t>——</w:t>
            </w:r>
            <w:r>
              <w:rPr>
                <w:rFonts w:ascii="SimSun" w:hAnsi="SimSun" w:eastAsia="SimSun" w:cs="SimSun"/>
                <w:spacing w:val="8"/>
              </w:rPr>
              <w:t>年环境代价</w:t>
            </w:r>
            <w:r>
              <w:rPr>
                <w:spacing w:val="8"/>
              </w:rPr>
              <w:t>(</w:t>
            </w:r>
            <w:r>
              <w:rPr>
                <w:rFonts w:ascii="SimSun" w:hAnsi="SimSun" w:eastAsia="SimSun" w:cs="SimSun"/>
                <w:spacing w:val="8"/>
              </w:rPr>
              <w:t>万元</w:t>
            </w:r>
            <w:r>
              <w:rPr>
                <w:spacing w:val="8"/>
              </w:rPr>
              <w:t>/</w:t>
            </w:r>
            <w:r>
              <w:rPr>
                <w:rFonts w:ascii="SimSun" w:hAnsi="SimSun" w:eastAsia="SimSun" w:cs="SimSun"/>
                <w:spacing w:val="8"/>
              </w:rPr>
              <w:t>年</w:t>
            </w:r>
            <w:r>
              <w:rPr>
                <w:spacing w:val="8"/>
              </w:rPr>
              <w:t>)</w:t>
            </w:r>
            <w:r>
              <w:rPr>
                <w:spacing w:val="10"/>
              </w:rPr>
              <w:t xml:space="preserve"> </w:t>
            </w:r>
            <w:r>
              <w:rPr>
                <w:spacing w:val="8"/>
              </w:rPr>
              <w:t>M——</w:t>
            </w:r>
            <w:r>
              <w:rPr>
                <w:rFonts w:ascii="SimSun" w:hAnsi="SimSun" w:eastAsia="SimSun" w:cs="SimSun"/>
                <w:spacing w:val="8"/>
              </w:rPr>
              <w:t>年产品产量</w:t>
            </w:r>
            <w:r>
              <w:rPr>
                <w:spacing w:val="8"/>
              </w:rPr>
              <w:t>(</w:t>
            </w:r>
            <w:r>
              <w:rPr>
                <w:rFonts w:ascii="SimSun" w:hAnsi="SimSun" w:eastAsia="SimSun" w:cs="SimSun"/>
                <w:spacing w:val="8"/>
              </w:rPr>
              <w:t>万吨</w:t>
            </w:r>
            <w:r>
              <w:rPr>
                <w:spacing w:val="8"/>
              </w:rPr>
              <w:t>/</w:t>
            </w:r>
            <w:r>
              <w:rPr>
                <w:rFonts w:ascii="SimSun" w:hAnsi="SimSun" w:eastAsia="SimSun" w:cs="SimSun"/>
                <w:spacing w:val="8"/>
              </w:rPr>
              <w:t>年</w:t>
            </w:r>
            <w:r>
              <w:rPr>
                <w:spacing w:val="8"/>
              </w:rPr>
              <w:t>)</w:t>
            </w:r>
          </w:p>
        </w:tc>
        <w:tc>
          <w:tcPr>
            <w:tcW w:w="2559" w:type="dxa"/>
            <w:vAlign w:val="top"/>
          </w:tcPr>
          <w:p>
            <w:pPr>
              <w:pStyle w:val="TableText"/>
              <w:ind w:left="34" w:right="30"/>
              <w:spacing w:before="131" w:line="242" w:lineRule="auto"/>
              <w:rPr>
                <w:rFonts w:ascii="SimSun" w:hAnsi="SimSun" w:eastAsia="SimSun" w:cs="SimSun"/>
              </w:rPr>
            </w:pPr>
            <w:r>
              <w:rPr>
                <w:rFonts w:ascii="SimSun" w:hAnsi="SimSun" w:eastAsia="SimSun" w:cs="SimSun"/>
                <w:spacing w:val="18"/>
              </w:rPr>
              <w:t>单位产品的环境代价</w:t>
            </w:r>
            <w:r>
              <w:rPr>
                <w:spacing w:val="18"/>
              </w:rPr>
              <w:t>(</w:t>
            </w:r>
            <w:r>
              <w:rPr>
                <w:rFonts w:ascii="SimSun" w:hAnsi="SimSun" w:eastAsia="SimSun" w:cs="SimSun"/>
                <w:spacing w:val="18"/>
              </w:rPr>
              <w:t>增量</w:t>
            </w:r>
            <w:r>
              <w:rPr>
                <w:rFonts w:ascii="SimSun" w:hAnsi="SimSun" w:eastAsia="SimSun" w:cs="SimSun"/>
                <w:spacing w:val="3"/>
              </w:rPr>
              <w:t>部分</w:t>
            </w:r>
            <w:r>
              <w:rPr>
                <w:spacing w:val="3"/>
              </w:rPr>
              <w:t>)</w:t>
            </w:r>
            <w:r>
              <w:rPr>
                <w:rFonts w:ascii="SimSun" w:hAnsi="SimSun" w:eastAsia="SimSun" w:cs="SimSun"/>
                <w:spacing w:val="3"/>
              </w:rPr>
              <w:t>。</w:t>
            </w:r>
          </w:p>
        </w:tc>
      </w:tr>
      <w:tr>
        <w:trPr>
          <w:trHeight w:val="755" w:hRule="atLeast"/>
        </w:trPr>
        <w:tc>
          <w:tcPr>
            <w:tcW w:w="1760" w:type="dxa"/>
            <w:vAlign w:val="top"/>
          </w:tcPr>
          <w:p>
            <w:pPr>
              <w:pStyle w:val="TableText"/>
              <w:ind w:left="147"/>
              <w:spacing w:before="269" w:line="228" w:lineRule="auto"/>
              <w:rPr>
                <w:rFonts w:ascii="SimSun" w:hAnsi="SimSun" w:eastAsia="SimSun" w:cs="SimSun"/>
              </w:rPr>
            </w:pPr>
            <w:r>
              <w:rPr>
                <w:rFonts w:ascii="SimSun" w:hAnsi="SimSun" w:eastAsia="SimSun" w:cs="SimSun"/>
                <w:spacing w:val="8"/>
              </w:rPr>
              <w:t>环境系数（</w:t>
            </w:r>
            <w:r>
              <w:rPr/>
              <w:t>H</w:t>
            </w:r>
            <w:r>
              <w:rPr>
                <w:sz w:val="13"/>
                <w:szCs w:val="13"/>
                <w:position w:val="-1"/>
              </w:rPr>
              <w:t>x</w:t>
            </w:r>
            <w:r>
              <w:rPr>
                <w:rFonts w:ascii="SimSun" w:hAnsi="SimSun" w:eastAsia="SimSun" w:cs="SimSun"/>
                <w:spacing w:val="8"/>
              </w:rPr>
              <w:t>）</w:t>
            </w:r>
          </w:p>
        </w:tc>
        <w:tc>
          <w:tcPr>
            <w:tcW w:w="1641" w:type="dxa"/>
            <w:vAlign w:val="top"/>
          </w:tcPr>
          <w:p>
            <w:pPr>
              <w:ind w:left="253"/>
              <w:spacing w:before="74" w:line="619" w:lineRule="exact"/>
              <w:rPr/>
            </w:pPr>
            <w:r>
              <w:rPr>
                <w:position w:val="-12"/>
              </w:rPr>
              <w:drawing>
                <wp:inline distT="0" distB="0" distL="0" distR="0">
                  <wp:extent cx="711294" cy="393103"/>
                  <wp:effectExtent l="0" t="0" r="0" b="0"/>
                  <wp:docPr id="346" name="IM 346"/>
                  <wp:cNvGraphicFramePr/>
                  <a:graphic>
                    <a:graphicData uri="http://schemas.openxmlformats.org/drawingml/2006/picture">
                      <pic:pic>
                        <pic:nvPicPr>
                          <pic:cNvPr id="346" name="IM 346"/>
                          <pic:cNvPicPr/>
                        </pic:nvPicPr>
                        <pic:blipFill>
                          <a:blip r:embed="rId536"/>
                          <a:stretch>
                            <a:fillRect/>
                          </a:stretch>
                        </pic:blipFill>
                        <pic:spPr>
                          <a:xfrm rot="0">
                            <a:off x="0" y="0"/>
                            <a:ext cx="711294" cy="393103"/>
                          </a:xfrm>
                          <a:prstGeom prst="rect">
                            <a:avLst/>
                          </a:prstGeom>
                        </pic:spPr>
                      </pic:pic>
                    </a:graphicData>
                  </a:graphic>
                </wp:inline>
              </w:drawing>
            </w:r>
          </w:p>
        </w:tc>
        <w:tc>
          <w:tcPr>
            <w:tcW w:w="3181" w:type="dxa"/>
            <w:vAlign w:val="top"/>
          </w:tcPr>
          <w:p>
            <w:pPr>
              <w:pStyle w:val="TableText"/>
              <w:ind w:left="30" w:right="433" w:hanging="3"/>
              <w:spacing w:before="133"/>
              <w:rPr/>
            </w:pPr>
            <w:r>
              <w:rPr/>
              <w:t>H</w:t>
            </w:r>
            <w:r>
              <w:rPr>
                <w:sz w:val="13"/>
                <w:szCs w:val="13"/>
                <w:position w:val="-1"/>
              </w:rPr>
              <w:t>d</w:t>
            </w:r>
            <w:r>
              <w:rPr>
                <w:spacing w:val="8"/>
              </w:rPr>
              <w:t>——</w:t>
            </w:r>
            <w:r>
              <w:rPr>
                <w:rFonts w:ascii="SimSun" w:hAnsi="SimSun" w:eastAsia="SimSun" w:cs="SimSun"/>
                <w:spacing w:val="8"/>
              </w:rPr>
              <w:t>年环境代价</w:t>
            </w:r>
            <w:r>
              <w:rPr>
                <w:spacing w:val="8"/>
              </w:rPr>
              <w:t>(</w:t>
            </w:r>
            <w:r>
              <w:rPr>
                <w:rFonts w:ascii="SimSun" w:hAnsi="SimSun" w:eastAsia="SimSun" w:cs="SimSun"/>
                <w:spacing w:val="8"/>
              </w:rPr>
              <w:t>万元</w:t>
            </w:r>
            <w:r>
              <w:rPr>
                <w:spacing w:val="8"/>
              </w:rPr>
              <w:t>/</w:t>
            </w:r>
            <w:r>
              <w:rPr>
                <w:rFonts w:ascii="SimSun" w:hAnsi="SimSun" w:eastAsia="SimSun" w:cs="SimSun"/>
                <w:spacing w:val="8"/>
              </w:rPr>
              <w:t>年</w:t>
            </w:r>
            <w:r>
              <w:rPr>
                <w:spacing w:val="8"/>
              </w:rPr>
              <w:t>)</w:t>
            </w:r>
            <w:r>
              <w:rPr>
                <w:spacing w:val="2"/>
              </w:rPr>
              <w:t xml:space="preserve">  </w:t>
            </w:r>
            <w:r>
              <w:rPr/>
              <w:t>G</w:t>
            </w:r>
            <w:r>
              <w:rPr>
                <w:sz w:val="13"/>
                <w:szCs w:val="13"/>
                <w:position w:val="-1"/>
              </w:rPr>
              <w:t>e</w:t>
            </w:r>
            <w:r>
              <w:rPr>
                <w:spacing w:val="8"/>
              </w:rPr>
              <w:t>——</w:t>
            </w:r>
            <w:r>
              <w:rPr>
                <w:rFonts w:ascii="SimSun" w:hAnsi="SimSun" w:eastAsia="SimSun" w:cs="SimSun"/>
                <w:spacing w:val="8"/>
              </w:rPr>
              <w:t>年工业总产值</w:t>
            </w:r>
            <w:r>
              <w:rPr>
                <w:spacing w:val="8"/>
              </w:rPr>
              <w:t>(</w:t>
            </w:r>
            <w:r>
              <w:rPr>
                <w:rFonts w:ascii="SimSun" w:hAnsi="SimSun" w:eastAsia="SimSun" w:cs="SimSun"/>
                <w:spacing w:val="8"/>
              </w:rPr>
              <w:t>万元</w:t>
            </w:r>
            <w:r>
              <w:rPr>
                <w:spacing w:val="8"/>
              </w:rPr>
              <w:t>/</w:t>
            </w:r>
            <w:r>
              <w:rPr>
                <w:rFonts w:ascii="SimSun" w:hAnsi="SimSun" w:eastAsia="SimSun" w:cs="SimSun"/>
                <w:spacing w:val="8"/>
              </w:rPr>
              <w:t>年</w:t>
            </w:r>
            <w:r>
              <w:rPr>
                <w:spacing w:val="8"/>
              </w:rPr>
              <w:t>)</w:t>
            </w:r>
          </w:p>
        </w:tc>
        <w:tc>
          <w:tcPr>
            <w:tcW w:w="2559" w:type="dxa"/>
            <w:vAlign w:val="top"/>
          </w:tcPr>
          <w:p>
            <w:pPr>
              <w:pStyle w:val="TableText"/>
              <w:ind w:left="34" w:right="30"/>
              <w:spacing w:before="133"/>
              <w:rPr>
                <w:rFonts w:ascii="SimSun" w:hAnsi="SimSun" w:eastAsia="SimSun" w:cs="SimSun"/>
              </w:rPr>
            </w:pPr>
            <w:r>
              <w:rPr>
                <w:rFonts w:ascii="SimSun" w:hAnsi="SimSun" w:eastAsia="SimSun" w:cs="SimSun"/>
                <w:spacing w:val="18"/>
              </w:rPr>
              <w:t>单位产值的环境代价</w:t>
            </w:r>
            <w:r>
              <w:rPr>
                <w:spacing w:val="18"/>
              </w:rPr>
              <w:t>(</w:t>
            </w:r>
            <w:r>
              <w:rPr>
                <w:rFonts w:ascii="SimSun" w:hAnsi="SimSun" w:eastAsia="SimSun" w:cs="SimSun"/>
                <w:spacing w:val="18"/>
              </w:rPr>
              <w:t>增量</w:t>
            </w:r>
            <w:r>
              <w:rPr>
                <w:rFonts w:ascii="SimSun" w:hAnsi="SimSun" w:eastAsia="SimSun" w:cs="SimSun"/>
                <w:spacing w:val="3"/>
              </w:rPr>
              <w:t>部分</w:t>
            </w:r>
            <w:r>
              <w:rPr>
                <w:spacing w:val="3"/>
              </w:rPr>
              <w:t>)</w:t>
            </w:r>
            <w:r>
              <w:rPr>
                <w:rFonts w:ascii="SimSun" w:hAnsi="SimSun" w:eastAsia="SimSun" w:cs="SimSun"/>
                <w:spacing w:val="3"/>
              </w:rPr>
              <w:t>。</w:t>
            </w:r>
          </w:p>
        </w:tc>
      </w:tr>
      <w:tr>
        <w:trPr>
          <w:trHeight w:val="810" w:hRule="atLeast"/>
        </w:trPr>
        <w:tc>
          <w:tcPr>
            <w:tcW w:w="1760" w:type="dxa"/>
            <w:vAlign w:val="top"/>
          </w:tcPr>
          <w:p>
            <w:pPr>
              <w:ind w:left="46"/>
              <w:spacing w:before="160" w:line="228" w:lineRule="auto"/>
              <w:rPr>
                <w:rFonts w:ascii="SimSun" w:hAnsi="SimSun" w:eastAsia="SimSun" w:cs="SimSun"/>
                <w:sz w:val="20"/>
                <w:szCs w:val="20"/>
              </w:rPr>
            </w:pPr>
            <w:r>
              <w:rPr>
                <w:rFonts w:ascii="SimSun" w:hAnsi="SimSun" w:eastAsia="SimSun" w:cs="SimSun"/>
                <w:sz w:val="20"/>
                <w:szCs w:val="20"/>
                <w:spacing w:val="8"/>
              </w:rPr>
              <w:t>环境工程比例系数</w:t>
            </w:r>
          </w:p>
          <w:p>
            <w:pPr>
              <w:pStyle w:val="TableText"/>
              <w:ind w:left="577"/>
              <w:spacing w:before="27" w:line="237" w:lineRule="auto"/>
              <w:rPr>
                <w:rFonts w:ascii="SimSun" w:hAnsi="SimSun" w:eastAsia="SimSun" w:cs="SimSun"/>
              </w:rPr>
            </w:pPr>
            <w:r>
              <w:rPr>
                <w:rFonts w:ascii="SimSun" w:hAnsi="SimSun" w:eastAsia="SimSun" w:cs="SimSun"/>
                <w:spacing w:val="2"/>
              </w:rPr>
              <w:t>（</w:t>
            </w:r>
            <w:r>
              <w:rPr/>
              <w:t>H</w:t>
            </w:r>
            <w:r>
              <w:rPr>
                <w:sz w:val="13"/>
                <w:szCs w:val="13"/>
                <w:position w:val="-1"/>
              </w:rPr>
              <w:t>z</w:t>
            </w:r>
            <w:r>
              <w:rPr>
                <w:rFonts w:ascii="SimSun" w:hAnsi="SimSun" w:eastAsia="SimSun" w:cs="SimSun"/>
                <w:spacing w:val="2"/>
              </w:rPr>
              <w:t>）</w:t>
            </w:r>
          </w:p>
        </w:tc>
        <w:tc>
          <w:tcPr>
            <w:tcW w:w="1641" w:type="dxa"/>
            <w:vAlign w:val="top"/>
          </w:tcPr>
          <w:p>
            <w:pPr>
              <w:ind w:left="77"/>
              <w:spacing w:before="93" w:line="640" w:lineRule="exact"/>
              <w:rPr/>
            </w:pPr>
            <w:r>
              <w:rPr>
                <w:position w:val="-13"/>
              </w:rPr>
              <w:drawing>
                <wp:inline distT="0" distB="0" distL="0" distR="0">
                  <wp:extent cx="932606" cy="406389"/>
                  <wp:effectExtent l="0" t="0" r="0" b="0"/>
                  <wp:docPr id="348" name="IM 348"/>
                  <wp:cNvGraphicFramePr/>
                  <a:graphic>
                    <a:graphicData uri="http://schemas.openxmlformats.org/drawingml/2006/picture">
                      <pic:pic>
                        <pic:nvPicPr>
                          <pic:cNvPr id="348" name="IM 348"/>
                          <pic:cNvPicPr/>
                        </pic:nvPicPr>
                        <pic:blipFill>
                          <a:blip r:embed="rId537"/>
                          <a:stretch>
                            <a:fillRect/>
                          </a:stretch>
                        </pic:blipFill>
                        <pic:spPr>
                          <a:xfrm rot="0">
                            <a:off x="0" y="0"/>
                            <a:ext cx="932606" cy="406389"/>
                          </a:xfrm>
                          <a:prstGeom prst="rect">
                            <a:avLst/>
                          </a:prstGeom>
                        </pic:spPr>
                      </pic:pic>
                    </a:graphicData>
                  </a:graphic>
                </wp:inline>
              </w:drawing>
            </w:r>
          </w:p>
        </w:tc>
        <w:tc>
          <w:tcPr>
            <w:tcW w:w="3181" w:type="dxa"/>
            <w:vAlign w:val="top"/>
          </w:tcPr>
          <w:p>
            <w:pPr>
              <w:pStyle w:val="TableText"/>
              <w:ind w:left="26" w:right="536"/>
              <w:spacing w:before="161" w:line="242" w:lineRule="auto"/>
              <w:rPr/>
            </w:pPr>
            <w:r>
              <w:rPr/>
              <w:t>H</w:t>
            </w:r>
            <w:r>
              <w:rPr>
                <w:sz w:val="13"/>
                <w:szCs w:val="13"/>
                <w:position w:val="-1"/>
              </w:rPr>
              <w:t>t</w:t>
            </w:r>
            <w:r>
              <w:rPr>
                <w:spacing w:val="9"/>
              </w:rPr>
              <w:t>——</w:t>
            </w:r>
            <w:r>
              <w:rPr>
                <w:rFonts w:ascii="SimSun" w:hAnsi="SimSun" w:eastAsia="SimSun" w:cs="SimSun"/>
                <w:spacing w:val="9"/>
              </w:rPr>
              <w:t>环境工程投资</w:t>
            </w:r>
            <w:r>
              <w:rPr>
                <w:spacing w:val="9"/>
              </w:rPr>
              <w:t>(</w:t>
            </w:r>
            <w:r>
              <w:rPr>
                <w:rFonts w:ascii="SimSun" w:hAnsi="SimSun" w:eastAsia="SimSun" w:cs="SimSun"/>
                <w:spacing w:val="9"/>
              </w:rPr>
              <w:t>万元</w:t>
            </w:r>
            <w:r>
              <w:rPr>
                <w:spacing w:val="9"/>
              </w:rPr>
              <w:t>)</w:t>
            </w:r>
            <w:r>
              <w:rPr/>
              <w:t xml:space="preserve">  </w:t>
            </w:r>
            <w:r>
              <w:rPr/>
              <w:t>Z</w:t>
            </w:r>
            <w:r>
              <w:rPr>
                <w:sz w:val="13"/>
                <w:szCs w:val="13"/>
                <w:position w:val="-1"/>
              </w:rPr>
              <w:t>t</w:t>
            </w:r>
            <w:r>
              <w:rPr>
                <w:spacing w:val="9"/>
              </w:rPr>
              <w:t>——</w:t>
            </w:r>
            <w:r>
              <w:rPr>
                <w:rFonts w:ascii="SimSun" w:hAnsi="SimSun" w:eastAsia="SimSun" w:cs="SimSun"/>
                <w:spacing w:val="9"/>
              </w:rPr>
              <w:t>建设项目总投资</w:t>
            </w:r>
            <w:r>
              <w:rPr>
                <w:spacing w:val="9"/>
              </w:rPr>
              <w:t>(</w:t>
            </w:r>
            <w:r>
              <w:rPr>
                <w:rFonts w:ascii="SimSun" w:hAnsi="SimSun" w:eastAsia="SimSun" w:cs="SimSun"/>
                <w:spacing w:val="9"/>
              </w:rPr>
              <w:t>万元</w:t>
            </w:r>
            <w:r>
              <w:rPr>
                <w:spacing w:val="9"/>
              </w:rPr>
              <w:t>)</w:t>
            </w:r>
          </w:p>
        </w:tc>
        <w:tc>
          <w:tcPr>
            <w:tcW w:w="2559" w:type="dxa"/>
            <w:vAlign w:val="top"/>
          </w:tcPr>
          <w:p>
            <w:pPr>
              <w:ind w:left="38" w:right="32" w:hanging="5"/>
              <w:spacing w:before="161" w:line="254" w:lineRule="auto"/>
              <w:rPr>
                <w:rFonts w:ascii="SimSun" w:hAnsi="SimSun" w:eastAsia="SimSun" w:cs="SimSun"/>
                <w:sz w:val="20"/>
                <w:szCs w:val="20"/>
              </w:rPr>
            </w:pPr>
            <w:r>
              <w:rPr>
                <w:rFonts w:ascii="SimSun" w:hAnsi="SimSun" w:eastAsia="SimSun" w:cs="SimSun"/>
                <w:sz w:val="20"/>
                <w:szCs w:val="20"/>
                <w:spacing w:val="26"/>
              </w:rPr>
              <w:t>环境保护工程投资费用占</w:t>
            </w:r>
            <w:r>
              <w:rPr>
                <w:rFonts w:ascii="SimSun" w:hAnsi="SimSun" w:eastAsia="SimSun" w:cs="SimSun"/>
                <w:sz w:val="20"/>
                <w:szCs w:val="20"/>
                <w:spacing w:val="6"/>
              </w:rPr>
              <w:t>总投资的百分比。</w:t>
            </w:r>
          </w:p>
        </w:tc>
      </w:tr>
      <w:tr>
        <w:trPr>
          <w:trHeight w:val="1093" w:hRule="atLeast"/>
        </w:trPr>
        <w:tc>
          <w:tcPr>
            <w:tcW w:w="1760" w:type="dxa"/>
            <w:vAlign w:val="top"/>
          </w:tcPr>
          <w:p>
            <w:pPr>
              <w:spacing w:line="372" w:lineRule="auto"/>
              <w:rPr>
                <w:rFonts w:ascii="Arial"/>
                <w:sz w:val="21"/>
              </w:rPr>
            </w:pPr>
            <w:r/>
          </w:p>
          <w:p>
            <w:pPr>
              <w:pStyle w:val="TableText"/>
              <w:spacing w:before="65" w:line="227" w:lineRule="auto"/>
              <w:jc w:val="right"/>
              <w:rPr>
                <w:rFonts w:ascii="SimSun" w:hAnsi="SimSun" w:eastAsia="SimSun" w:cs="SimSun"/>
              </w:rPr>
            </w:pPr>
            <w:r>
              <w:rPr>
                <w:rFonts w:ascii="SimSun" w:hAnsi="SimSun" w:eastAsia="SimSun" w:cs="SimSun"/>
                <w:spacing w:val="-6"/>
              </w:rPr>
              <w:t>产值环境系数（</w:t>
            </w:r>
            <w:r>
              <w:rPr>
                <w:spacing w:val="-6"/>
              </w:rPr>
              <w:t>F</w:t>
            </w:r>
            <w:r>
              <w:rPr>
                <w:sz w:val="13"/>
                <w:szCs w:val="13"/>
                <w:spacing w:val="-6"/>
                <w:position w:val="-1"/>
              </w:rPr>
              <w:t>g</w:t>
            </w:r>
            <w:r>
              <w:rPr>
                <w:rFonts w:ascii="SimSun" w:hAnsi="SimSun" w:eastAsia="SimSun" w:cs="SimSun"/>
                <w:spacing w:val="-6"/>
              </w:rPr>
              <w:t>）</w:t>
            </w:r>
          </w:p>
        </w:tc>
        <w:tc>
          <w:tcPr>
            <w:tcW w:w="1641" w:type="dxa"/>
            <w:vAlign w:val="top"/>
          </w:tcPr>
          <w:p>
            <w:pPr>
              <w:ind w:left="78"/>
              <w:spacing w:before="236" w:line="640" w:lineRule="exact"/>
              <w:rPr/>
            </w:pPr>
            <w:r>
              <w:rPr>
                <w:position w:val="-13"/>
              </w:rPr>
              <w:drawing>
                <wp:inline distT="0" distB="0" distL="0" distR="0">
                  <wp:extent cx="941484" cy="406389"/>
                  <wp:effectExtent l="0" t="0" r="0" b="0"/>
                  <wp:docPr id="350" name="IM 350"/>
                  <wp:cNvGraphicFramePr/>
                  <a:graphic>
                    <a:graphicData uri="http://schemas.openxmlformats.org/drawingml/2006/picture">
                      <pic:pic>
                        <pic:nvPicPr>
                          <pic:cNvPr id="350" name="IM 350"/>
                          <pic:cNvPicPr/>
                        </pic:nvPicPr>
                        <pic:blipFill>
                          <a:blip r:embed="rId538"/>
                          <a:stretch>
                            <a:fillRect/>
                          </a:stretch>
                        </pic:blipFill>
                        <pic:spPr>
                          <a:xfrm rot="0">
                            <a:off x="0" y="0"/>
                            <a:ext cx="941484" cy="406389"/>
                          </a:xfrm>
                          <a:prstGeom prst="rect">
                            <a:avLst/>
                          </a:prstGeom>
                        </pic:spPr>
                      </pic:pic>
                    </a:graphicData>
                  </a:graphic>
                </wp:inline>
              </w:drawing>
            </w:r>
          </w:p>
        </w:tc>
        <w:tc>
          <w:tcPr>
            <w:tcW w:w="3181" w:type="dxa"/>
            <w:vAlign w:val="top"/>
          </w:tcPr>
          <w:p>
            <w:pPr>
              <w:pStyle w:val="TableText"/>
              <w:ind w:left="43" w:right="29" w:hanging="16"/>
              <w:spacing w:before="167" w:line="242" w:lineRule="auto"/>
              <w:rPr/>
            </w:pPr>
            <w:r>
              <w:rPr/>
              <w:t>H</w:t>
            </w:r>
            <w:r>
              <w:rPr>
                <w:sz w:val="13"/>
                <w:szCs w:val="13"/>
                <w:position w:val="-1"/>
              </w:rPr>
              <w:t>n</w:t>
            </w:r>
            <w:r>
              <w:rPr>
                <w:spacing w:val="17"/>
              </w:rPr>
              <w:t>——</w:t>
            </w:r>
            <w:r>
              <w:rPr>
                <w:rFonts w:ascii="SimSun" w:hAnsi="SimSun" w:eastAsia="SimSun" w:cs="SimSun"/>
                <w:spacing w:val="17"/>
              </w:rPr>
              <w:t>企业年环境保护费用</w:t>
            </w:r>
            <w:r>
              <w:rPr>
                <w:spacing w:val="17"/>
              </w:rPr>
              <w:t>(</w:t>
            </w:r>
            <w:r>
              <w:rPr>
                <w:rFonts w:ascii="SimSun" w:hAnsi="SimSun" w:eastAsia="SimSun" w:cs="SimSun"/>
                <w:spacing w:val="17"/>
              </w:rPr>
              <w:t>直接</w:t>
            </w:r>
            <w:r>
              <w:rPr>
                <w:rFonts w:ascii="SimSun" w:hAnsi="SimSun" w:eastAsia="SimSun" w:cs="SimSun"/>
                <w:spacing w:val="5"/>
              </w:rPr>
              <w:t>费用，万元</w:t>
            </w:r>
            <w:r>
              <w:rPr>
                <w:spacing w:val="5"/>
              </w:rPr>
              <w:t>/</w:t>
            </w:r>
            <w:r>
              <w:rPr>
                <w:rFonts w:ascii="SimSun" w:hAnsi="SimSun" w:eastAsia="SimSun" w:cs="SimSun"/>
                <w:spacing w:val="5"/>
              </w:rPr>
              <w:t>年</w:t>
            </w:r>
            <w:r>
              <w:rPr>
                <w:spacing w:val="5"/>
              </w:rPr>
              <w:t>)</w:t>
            </w:r>
          </w:p>
          <w:p>
            <w:pPr>
              <w:pStyle w:val="TableText"/>
              <w:ind w:left="30"/>
              <w:spacing w:before="19" w:line="221" w:lineRule="auto"/>
              <w:rPr/>
            </w:pPr>
            <w:r>
              <w:rPr/>
              <w:t>G</w:t>
            </w:r>
            <w:r>
              <w:rPr>
                <w:sz w:val="13"/>
                <w:szCs w:val="13"/>
                <w:position w:val="-1"/>
              </w:rPr>
              <w:t>e</w:t>
            </w:r>
            <w:r>
              <w:rPr>
                <w:spacing w:val="8"/>
              </w:rPr>
              <w:t>——</w:t>
            </w:r>
            <w:r>
              <w:rPr>
                <w:rFonts w:ascii="SimSun" w:hAnsi="SimSun" w:eastAsia="SimSun" w:cs="SimSun"/>
                <w:spacing w:val="8"/>
              </w:rPr>
              <w:t>年工业总产值</w:t>
            </w:r>
            <w:r>
              <w:rPr>
                <w:spacing w:val="8"/>
              </w:rPr>
              <w:t>(</w:t>
            </w:r>
            <w:r>
              <w:rPr>
                <w:rFonts w:ascii="SimSun" w:hAnsi="SimSun" w:eastAsia="SimSun" w:cs="SimSun"/>
                <w:spacing w:val="8"/>
              </w:rPr>
              <w:t>万元</w:t>
            </w:r>
            <w:r>
              <w:rPr>
                <w:spacing w:val="8"/>
              </w:rPr>
              <w:t>/</w:t>
            </w:r>
            <w:r>
              <w:rPr>
                <w:rFonts w:ascii="SimSun" w:hAnsi="SimSun" w:eastAsia="SimSun" w:cs="SimSun"/>
                <w:spacing w:val="8"/>
              </w:rPr>
              <w:t>年</w:t>
            </w:r>
            <w:r>
              <w:rPr>
                <w:spacing w:val="8"/>
              </w:rPr>
              <w:t>)</w:t>
            </w:r>
          </w:p>
        </w:tc>
        <w:tc>
          <w:tcPr>
            <w:tcW w:w="2559" w:type="dxa"/>
            <w:vAlign w:val="top"/>
          </w:tcPr>
          <w:p>
            <w:pPr>
              <w:pStyle w:val="TableText"/>
              <w:ind w:left="33" w:right="27"/>
              <w:spacing w:before="29" w:line="243" w:lineRule="auto"/>
              <w:jc w:val="both"/>
              <w:rPr>
                <w:rFonts w:ascii="SimSun" w:hAnsi="SimSun" w:eastAsia="SimSun" w:cs="SimSun"/>
              </w:rPr>
            </w:pPr>
            <w:r>
              <w:rPr>
                <w:rFonts w:ascii="SimSun" w:hAnsi="SimSun" w:eastAsia="SimSun" w:cs="SimSun"/>
                <w:spacing w:val="7"/>
              </w:rPr>
              <w:t>每年为保护环境、保证生产</w:t>
            </w:r>
            <w:r>
              <w:rPr>
                <w:rFonts w:ascii="SimSun" w:hAnsi="SimSun" w:eastAsia="SimSun" w:cs="SimSun"/>
                <w:spacing w:val="7"/>
              </w:rPr>
              <w:t>持续发展。企业所付出的环</w:t>
            </w:r>
            <w:r>
              <w:rPr>
                <w:rFonts w:ascii="SimSun" w:hAnsi="SimSun" w:eastAsia="SimSun" w:cs="SimSun"/>
                <w:spacing w:val="21"/>
              </w:rPr>
              <w:t>保费用占工业总产值</w:t>
            </w:r>
            <w:r>
              <w:rPr>
                <w:rFonts w:ascii="SimSun" w:hAnsi="SimSun" w:eastAsia="SimSun" w:cs="SimSun"/>
                <w:spacing w:val="-45"/>
              </w:rPr>
              <w:t xml:space="preserve"> </w:t>
            </w:r>
            <w:r>
              <w:rPr>
                <w:rFonts w:ascii="SimSun" w:hAnsi="SimSun" w:eastAsia="SimSun" w:cs="SimSun"/>
                <w:spacing w:val="21"/>
              </w:rPr>
              <w:t>的百</w:t>
            </w:r>
            <w:r>
              <w:rPr>
                <w:rFonts w:ascii="SimSun" w:hAnsi="SimSun" w:eastAsia="SimSun" w:cs="SimSun"/>
                <w:spacing w:val="6"/>
              </w:rPr>
              <w:t>分比</w:t>
            </w:r>
            <w:r>
              <w:rPr>
                <w:spacing w:val="6"/>
              </w:rPr>
              <w:t>(</w:t>
            </w:r>
            <w:r>
              <w:rPr>
                <w:rFonts w:ascii="SimSun" w:hAnsi="SimSun" w:eastAsia="SimSun" w:cs="SimSun"/>
                <w:spacing w:val="6"/>
              </w:rPr>
              <w:t>增量部分</w:t>
            </w:r>
            <w:r>
              <w:rPr>
                <w:spacing w:val="6"/>
              </w:rPr>
              <w:t>)</w:t>
            </w:r>
            <w:r>
              <w:rPr>
                <w:rFonts w:ascii="SimSun" w:hAnsi="SimSun" w:eastAsia="SimSun" w:cs="SimSun"/>
                <w:spacing w:val="6"/>
              </w:rPr>
              <w:t>。</w:t>
            </w:r>
          </w:p>
        </w:tc>
      </w:tr>
      <w:tr>
        <w:trPr>
          <w:trHeight w:val="1098" w:hRule="atLeast"/>
        </w:trPr>
        <w:tc>
          <w:tcPr>
            <w:tcW w:w="1760" w:type="dxa"/>
            <w:vAlign w:val="top"/>
          </w:tcPr>
          <w:p>
            <w:pPr>
              <w:ind w:left="46"/>
              <w:spacing w:before="304" w:line="228" w:lineRule="auto"/>
              <w:rPr>
                <w:rFonts w:ascii="SimSun" w:hAnsi="SimSun" w:eastAsia="SimSun" w:cs="SimSun"/>
                <w:sz w:val="20"/>
                <w:szCs w:val="20"/>
              </w:rPr>
            </w:pPr>
            <w:r>
              <w:rPr>
                <w:rFonts w:ascii="SimSun" w:hAnsi="SimSun" w:eastAsia="SimSun" w:cs="SimSun"/>
                <w:sz w:val="20"/>
                <w:szCs w:val="20"/>
                <w:spacing w:val="8"/>
              </w:rPr>
              <w:t>环境经济效益系数</w:t>
            </w:r>
          </w:p>
          <w:p>
            <w:pPr>
              <w:pStyle w:val="TableText"/>
              <w:ind w:left="577"/>
              <w:spacing w:before="26" w:line="221" w:lineRule="auto"/>
              <w:rPr>
                <w:rFonts w:ascii="SimSun" w:hAnsi="SimSun" w:eastAsia="SimSun" w:cs="SimSun"/>
              </w:rPr>
            </w:pPr>
            <w:r>
              <w:rPr>
                <w:rFonts w:ascii="SimSun" w:hAnsi="SimSun" w:eastAsia="SimSun" w:cs="SimSun"/>
                <w:spacing w:val="-1"/>
              </w:rPr>
              <w:t>（</w:t>
            </w:r>
            <w:r>
              <w:rPr>
                <w:spacing w:val="-1"/>
              </w:rPr>
              <w:t>J</w:t>
            </w:r>
            <w:r>
              <w:rPr>
                <w:sz w:val="13"/>
                <w:szCs w:val="13"/>
                <w:spacing w:val="-1"/>
              </w:rPr>
              <w:t>x</w:t>
            </w:r>
            <w:r>
              <w:rPr>
                <w:spacing w:val="-1"/>
              </w:rPr>
              <w:t>)</w:t>
            </w:r>
            <w:r>
              <w:rPr>
                <w:rFonts w:ascii="SimSun" w:hAnsi="SimSun" w:eastAsia="SimSun" w:cs="SimSun"/>
                <w:spacing w:val="-1"/>
              </w:rPr>
              <w:t>）</w:t>
            </w:r>
          </w:p>
        </w:tc>
        <w:tc>
          <w:tcPr>
            <w:tcW w:w="1641" w:type="dxa"/>
            <w:vAlign w:val="top"/>
          </w:tcPr>
          <w:p>
            <w:pPr>
              <w:ind w:left="149"/>
              <w:spacing w:before="232" w:line="654" w:lineRule="exact"/>
              <w:rPr/>
            </w:pPr>
            <w:r>
              <w:rPr>
                <w:position w:val="-13"/>
              </w:rPr>
              <w:drawing>
                <wp:inline distT="0" distB="0" distL="0" distR="0">
                  <wp:extent cx="839291" cy="415437"/>
                  <wp:effectExtent l="0" t="0" r="0" b="0"/>
                  <wp:docPr id="352" name="IM 352"/>
                  <wp:cNvGraphicFramePr/>
                  <a:graphic>
                    <a:graphicData uri="http://schemas.openxmlformats.org/drawingml/2006/picture">
                      <pic:pic>
                        <pic:nvPicPr>
                          <pic:cNvPr id="352" name="IM 352"/>
                          <pic:cNvPicPr/>
                        </pic:nvPicPr>
                        <pic:blipFill>
                          <a:blip r:embed="rId539"/>
                          <a:stretch>
                            <a:fillRect/>
                          </a:stretch>
                        </pic:blipFill>
                        <pic:spPr>
                          <a:xfrm rot="0">
                            <a:off x="0" y="0"/>
                            <a:ext cx="839291" cy="415437"/>
                          </a:xfrm>
                          <a:prstGeom prst="rect">
                            <a:avLst/>
                          </a:prstGeom>
                        </pic:spPr>
                      </pic:pic>
                    </a:graphicData>
                  </a:graphic>
                </wp:inline>
              </w:drawing>
            </w:r>
          </w:p>
        </w:tc>
        <w:tc>
          <w:tcPr>
            <w:tcW w:w="3181" w:type="dxa"/>
            <w:vAlign w:val="top"/>
          </w:tcPr>
          <w:p>
            <w:pPr>
              <w:pStyle w:val="TableText"/>
              <w:ind w:left="31" w:right="25" w:firstLine="5"/>
              <w:spacing w:before="33" w:line="247" w:lineRule="auto"/>
              <w:rPr/>
            </w:pPr>
            <w:r>
              <w:rPr/>
              <w:t>S</w:t>
            </w:r>
            <w:r>
              <w:rPr>
                <w:sz w:val="13"/>
                <w:szCs w:val="13"/>
                <w:position w:val="-1"/>
              </w:rPr>
              <w:t>i</w:t>
            </w:r>
            <w:r>
              <w:rPr>
                <w:spacing w:val="11"/>
              </w:rPr>
              <w:t>——</w:t>
            </w:r>
            <w:r>
              <w:rPr>
                <w:rFonts w:ascii="SimSun" w:hAnsi="SimSun" w:eastAsia="SimSun" w:cs="SimSun"/>
                <w:spacing w:val="11"/>
              </w:rPr>
              <w:t>环境保护措施挽回的经济价</w:t>
            </w:r>
            <w:r>
              <w:rPr>
                <w:rFonts w:ascii="SimSun" w:hAnsi="SimSun" w:eastAsia="SimSun" w:cs="SimSun"/>
                <w:spacing w:val="5"/>
              </w:rPr>
              <w:t>值</w:t>
            </w:r>
            <w:r>
              <w:rPr>
                <w:spacing w:val="5"/>
              </w:rPr>
              <w:t>(</w:t>
            </w:r>
            <w:r>
              <w:rPr>
                <w:rFonts w:ascii="SimSun" w:hAnsi="SimSun" w:eastAsia="SimSun" w:cs="SimSun"/>
                <w:spacing w:val="5"/>
              </w:rPr>
              <w:t>万元</w:t>
            </w:r>
            <w:r>
              <w:rPr>
                <w:spacing w:val="5"/>
              </w:rPr>
              <w:t>/</w:t>
            </w:r>
            <w:r>
              <w:rPr>
                <w:rFonts w:ascii="SimSun" w:hAnsi="SimSun" w:eastAsia="SimSun" w:cs="SimSun"/>
                <w:spacing w:val="5"/>
              </w:rPr>
              <w:t>年</w:t>
            </w:r>
            <w:r>
              <w:rPr>
                <w:spacing w:val="5"/>
              </w:rPr>
              <w:t>)</w:t>
            </w:r>
          </w:p>
          <w:p>
            <w:pPr>
              <w:pStyle w:val="TableText"/>
              <w:ind w:left="29"/>
              <w:spacing w:before="10" w:line="226" w:lineRule="auto"/>
              <w:rPr>
                <w:rFonts w:ascii="SimSun" w:hAnsi="SimSun" w:eastAsia="SimSun" w:cs="SimSun"/>
              </w:rPr>
            </w:pPr>
            <w:r>
              <w:rPr>
                <w:spacing w:val="8"/>
              </w:rPr>
              <w:t>i——</w:t>
            </w:r>
            <w:r>
              <w:rPr>
                <w:rFonts w:ascii="SimSun" w:hAnsi="SimSun" w:eastAsia="SimSun" w:cs="SimSun"/>
                <w:spacing w:val="8"/>
              </w:rPr>
              <w:t>挽回经济价值的项目数</w:t>
            </w:r>
          </w:p>
          <w:p>
            <w:pPr>
              <w:pStyle w:val="TableText"/>
              <w:ind w:left="27"/>
              <w:spacing w:before="26" w:line="220" w:lineRule="auto"/>
              <w:rPr/>
            </w:pPr>
            <w:r>
              <w:rPr/>
              <w:t>H</w:t>
            </w:r>
            <w:r>
              <w:rPr>
                <w:sz w:val="13"/>
                <w:szCs w:val="13"/>
                <w:position w:val="-1"/>
              </w:rPr>
              <w:t>n</w:t>
            </w:r>
            <w:r>
              <w:rPr>
                <w:spacing w:val="9"/>
              </w:rPr>
              <w:t>——</w:t>
            </w:r>
            <w:r>
              <w:rPr>
                <w:rFonts w:ascii="SimSun" w:hAnsi="SimSun" w:eastAsia="SimSun" w:cs="SimSun"/>
                <w:spacing w:val="9"/>
              </w:rPr>
              <w:t>企业年环保费用</w:t>
            </w:r>
            <w:r>
              <w:rPr>
                <w:spacing w:val="9"/>
              </w:rPr>
              <w:t>(</w:t>
            </w:r>
            <w:r>
              <w:rPr>
                <w:rFonts w:ascii="SimSun" w:hAnsi="SimSun" w:eastAsia="SimSun" w:cs="SimSun"/>
                <w:spacing w:val="9"/>
              </w:rPr>
              <w:t>万元</w:t>
            </w:r>
            <w:r>
              <w:rPr>
                <w:spacing w:val="9"/>
              </w:rPr>
              <w:t>/</w:t>
            </w:r>
            <w:r>
              <w:rPr>
                <w:rFonts w:ascii="SimSun" w:hAnsi="SimSun" w:eastAsia="SimSun" w:cs="SimSun"/>
                <w:spacing w:val="9"/>
              </w:rPr>
              <w:t>年</w:t>
            </w:r>
            <w:r>
              <w:rPr>
                <w:spacing w:val="9"/>
              </w:rPr>
              <w:t>)</w:t>
            </w:r>
          </w:p>
        </w:tc>
        <w:tc>
          <w:tcPr>
            <w:tcW w:w="2559" w:type="dxa"/>
            <w:vAlign w:val="top"/>
          </w:tcPr>
          <w:p>
            <w:pPr>
              <w:pStyle w:val="TableText"/>
              <w:ind w:left="32" w:right="30" w:firstLine="17"/>
              <w:spacing w:before="34" w:line="243" w:lineRule="auto"/>
              <w:jc w:val="both"/>
              <w:rPr>
                <w:rFonts w:ascii="SimSun" w:hAnsi="SimSun" w:eastAsia="SimSun" w:cs="SimSun"/>
              </w:rPr>
            </w:pPr>
            <w:r>
              <w:rPr>
                <w:rFonts w:ascii="SimSun" w:hAnsi="SimSun" w:eastAsia="SimSun" w:cs="SimSun"/>
                <w:spacing w:val="24"/>
              </w:rPr>
              <w:t>因有效的环境保护措施而</w:t>
            </w:r>
            <w:r>
              <w:rPr>
                <w:rFonts w:ascii="SimSun" w:hAnsi="SimSun" w:eastAsia="SimSun" w:cs="SimSun"/>
                <w:spacing w:val="12"/>
              </w:rPr>
              <w:t>挽回的经济价值</w:t>
            </w:r>
            <w:r>
              <w:rPr>
                <w:spacing w:val="12"/>
              </w:rPr>
              <w:t>(</w:t>
            </w:r>
            <w:r>
              <w:rPr>
                <w:rFonts w:ascii="SimSun" w:hAnsi="SimSun" w:eastAsia="SimSun" w:cs="SimSun"/>
                <w:spacing w:val="12"/>
              </w:rPr>
              <w:t>增量部分</w:t>
            </w:r>
            <w:r>
              <w:rPr>
                <w:spacing w:val="12"/>
              </w:rPr>
              <w:t>)</w:t>
            </w:r>
            <w:r>
              <w:rPr>
                <w:rFonts w:ascii="SimSun" w:hAnsi="SimSun" w:eastAsia="SimSun" w:cs="SimSun"/>
                <w:spacing w:val="26"/>
              </w:rPr>
              <w:t>与投入的环境保护费用之</w:t>
            </w:r>
            <w:r>
              <w:rPr>
                <w:rFonts w:ascii="SimSun" w:hAnsi="SimSun" w:eastAsia="SimSun" w:cs="SimSun"/>
              </w:rPr>
              <w:t>比。</w:t>
            </w:r>
          </w:p>
        </w:tc>
      </w:tr>
    </w:tbl>
    <w:p>
      <w:pPr>
        <w:ind w:left="117"/>
        <w:spacing w:before="23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8.2.2  </w:t>
      </w:r>
      <w:r>
        <w:rPr>
          <w:rFonts w:ascii="SimHei" w:hAnsi="SimHei" w:eastAsia="SimHei" w:cs="SimHei"/>
          <w:sz w:val="28"/>
          <w:szCs w:val="28"/>
          <w:b/>
          <w:bCs/>
          <w:spacing w:val="-2"/>
        </w:rPr>
        <w:t>年环境代价</w:t>
      </w:r>
    </w:p>
    <w:p>
      <w:pPr>
        <w:spacing w:line="222" w:lineRule="auto"/>
        <w:sectPr>
          <w:footerReference w:type="default" r:id="rId533"/>
          <w:pgSz w:w="11906" w:h="16838"/>
          <w:pgMar w:top="1114" w:right="1309" w:bottom="1080" w:left="1308" w:header="837" w:footer="918" w:gutter="0"/>
        </w:sectPr>
        <w:rPr>
          <w:rFonts w:ascii="SimHei" w:hAnsi="SimHei" w:eastAsia="SimHei" w:cs="SimHei"/>
          <w:sz w:val="28"/>
          <w:szCs w:val="28"/>
        </w:rPr>
      </w:pPr>
    </w:p>
    <w:p>
      <w:pPr>
        <w:pStyle w:val="BodyText"/>
        <w:spacing w:line="386" w:lineRule="auto"/>
        <w:rPr/>
      </w:pPr>
      <w:r/>
    </w:p>
    <w:p>
      <w:pPr>
        <w:ind w:left="39" w:right="66" w:firstLine="515"/>
        <w:spacing w:before="78" w:line="339" w:lineRule="auto"/>
        <w:rPr>
          <w:rFonts w:ascii="SimSun" w:hAnsi="SimSun" w:eastAsia="SimSun" w:cs="SimSun"/>
          <w:sz w:val="24"/>
          <w:szCs w:val="24"/>
        </w:rPr>
      </w:pPr>
      <w:bookmarkStart w:name="bookmark117" w:id="99"/>
      <w:bookmarkEnd w:id="99"/>
      <w:r>
        <w:rPr>
          <w:rFonts w:ascii="SimSun" w:hAnsi="SimSun" w:eastAsia="SimSun" w:cs="SimSun"/>
          <w:sz w:val="24"/>
          <w:szCs w:val="24"/>
          <w:spacing w:val="-3"/>
        </w:rPr>
        <w:t>白音华四号矿间接环境费用即环境损失费用，主要考虑水资源和煤炭能源流失；农</w:t>
      </w:r>
      <w:r>
        <w:rPr>
          <w:rFonts w:ascii="SimSun" w:hAnsi="SimSun" w:eastAsia="SimSun" w:cs="SimSun"/>
          <w:sz w:val="24"/>
          <w:szCs w:val="24"/>
          <w:spacing w:val="-1"/>
        </w:rPr>
        <w:t>业损失和植被损失；各种补偿性损失指环保税。</w:t>
      </w:r>
    </w:p>
    <w:p>
      <w:pPr>
        <w:ind w:left="43" w:right="46" w:firstLine="495"/>
        <w:spacing w:before="3" w:line="297"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SimSun" w:hAnsi="SimSun" w:eastAsia="SimSun" w:cs="SimSun"/>
          <w:sz w:val="24"/>
          <w:szCs w:val="24"/>
          <w:spacing w:val="-4"/>
        </w:rPr>
        <w:t>）煤矿矿井（坑）水总量为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4"/>
        </w:rPr>
        <w:t>11664m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4"/>
        </w:rPr>
        <w:t>，可视为水资源损失，按地下水取水应缴纳</w:t>
      </w:r>
      <w:r>
        <w:rPr>
          <w:rFonts w:ascii="SimSun" w:hAnsi="SimSun" w:eastAsia="SimSun" w:cs="SimSun"/>
          <w:sz w:val="24"/>
          <w:szCs w:val="24"/>
          <w:spacing w:val="-1"/>
        </w:rPr>
        <w:t>水资源费</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1"/>
        </w:rPr>
        <w:t>0.30 </w:t>
      </w:r>
      <w:r>
        <w:rPr>
          <w:rFonts w:ascii="SimSun" w:hAnsi="SimSun" w:eastAsia="SimSun" w:cs="SimSun"/>
          <w:sz w:val="24"/>
          <w:szCs w:val="24"/>
          <w:spacing w:val="-1"/>
        </w:rPr>
        <w:t>元</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8"/>
        </w:rPr>
        <w:t>3 </w:t>
      </w:r>
      <w:r>
        <w:rPr>
          <w:rFonts w:ascii="SimSun" w:hAnsi="SimSun" w:eastAsia="SimSun" w:cs="SimSun"/>
          <w:sz w:val="24"/>
          <w:szCs w:val="24"/>
          <w:spacing w:val="-1"/>
        </w:rPr>
        <w:t>计，水资源损失约为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127.72</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/a</w:t>
      </w:r>
      <w:r>
        <w:rPr>
          <w:rFonts w:ascii="SimSun" w:hAnsi="SimSun" w:eastAsia="SimSun" w:cs="SimSun"/>
          <w:sz w:val="24"/>
          <w:szCs w:val="24"/>
          <w:spacing w:val="-1"/>
        </w:rPr>
        <w:t>；煤炭资源损失考</w:t>
      </w:r>
      <w:r>
        <w:rPr>
          <w:rFonts w:ascii="SimSun" w:hAnsi="SimSun" w:eastAsia="SimSun" w:cs="SimSun"/>
          <w:sz w:val="24"/>
          <w:szCs w:val="24"/>
          <w:spacing w:val="-2"/>
        </w:rPr>
        <w:t>虑运输或储存</w:t>
      </w:r>
      <w:r>
        <w:rPr>
          <w:rFonts w:ascii="SimSun" w:hAnsi="SimSun" w:eastAsia="SimSun" w:cs="SimSun"/>
          <w:sz w:val="24"/>
          <w:szCs w:val="24"/>
          <w:spacing w:val="-4"/>
        </w:rPr>
        <w:t>时产生的损失，按</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w:t>
      </w:r>
      <w:r>
        <w:rPr>
          <w:rFonts w:ascii="SimSun" w:hAnsi="SimSun" w:eastAsia="SimSun" w:cs="SimSun"/>
          <w:sz w:val="24"/>
          <w:szCs w:val="24"/>
          <w:spacing w:val="-4"/>
        </w:rPr>
        <w:t>估算，约为</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万元</w:t>
      </w:r>
      <w:r>
        <w:rPr>
          <w:rFonts w:ascii="Times New Roman" w:hAnsi="Times New Roman" w:eastAsia="Times New Roman" w:cs="Times New Roman"/>
          <w:sz w:val="24"/>
          <w:szCs w:val="24"/>
          <w:spacing w:val="-4"/>
        </w:rPr>
        <w: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4"/>
        </w:rPr>
        <w:t>。资源及能源损失费合计为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132.72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w:t>
      </w:r>
      <w:r>
        <w:rPr>
          <w:rFonts w:ascii="SimSun" w:hAnsi="SimSun" w:eastAsia="SimSun" w:cs="SimSun"/>
          <w:sz w:val="24"/>
          <w:szCs w:val="24"/>
          <w:spacing w:val="-5"/>
        </w:rPr>
        <w:t>元</w:t>
      </w:r>
      <w:r>
        <w:rPr>
          <w:rFonts w:ascii="Times New Roman" w:hAnsi="Times New Roman" w:eastAsia="Times New Roman" w:cs="Times New Roman"/>
          <w:sz w:val="24"/>
          <w:szCs w:val="24"/>
          <w:spacing w:val="-5"/>
        </w:rPr>
        <w:t>/a</w:t>
      </w:r>
      <w:r>
        <w:rPr>
          <w:rFonts w:ascii="SimSun" w:hAnsi="SimSun" w:eastAsia="SimSun" w:cs="SimSun"/>
          <w:sz w:val="24"/>
          <w:szCs w:val="24"/>
          <w:spacing w:val="-5"/>
        </w:rPr>
        <w:t>。</w:t>
      </w:r>
    </w:p>
    <w:p>
      <w:pPr>
        <w:ind w:left="521"/>
        <w:spacing w:before="139" w:line="219"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）全井田草地的复垦和补偿费用合计为</w:t>
      </w:r>
      <w:r>
        <w:rPr>
          <w:rFonts w:ascii="Times New Roman" w:hAnsi="Times New Roman" w:eastAsia="Times New Roman" w:cs="Times New Roman"/>
          <w:sz w:val="24"/>
          <w:szCs w:val="24"/>
          <w:spacing w:val="-1"/>
        </w:rPr>
        <w:t>4314.84</w:t>
      </w:r>
      <w:r>
        <w:rPr>
          <w:rFonts w:ascii="SimSun" w:hAnsi="SimSun" w:eastAsia="SimSun" w:cs="SimSun"/>
          <w:sz w:val="24"/>
          <w:szCs w:val="24"/>
          <w:spacing w:val="-1"/>
        </w:rPr>
        <w:t>万元，年均计提费为</w:t>
      </w:r>
      <w:r>
        <w:rPr>
          <w:rFonts w:ascii="Times New Roman" w:hAnsi="Times New Roman" w:eastAsia="Times New Roman" w:cs="Times New Roman"/>
          <w:sz w:val="24"/>
          <w:szCs w:val="24"/>
          <w:spacing w:val="-1"/>
        </w:rPr>
        <w:t>454.</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1"/>
        </w:rPr>
        <w:t>19</w:t>
      </w:r>
      <w:r>
        <w:rPr>
          <w:rFonts w:ascii="SimSun" w:hAnsi="SimSun" w:eastAsia="SimSun" w:cs="SimSun"/>
          <w:sz w:val="24"/>
          <w:szCs w:val="24"/>
          <w:spacing w:val="-1"/>
        </w:rPr>
        <w:t>万元。</w:t>
      </w:r>
    </w:p>
    <w:p>
      <w:pPr>
        <w:ind w:left="40" w:firstLine="474"/>
        <w:spacing w:before="152" w:line="280"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SimSun" w:hAnsi="SimSun" w:eastAsia="SimSun" w:cs="SimSun"/>
          <w:sz w:val="24"/>
          <w:szCs w:val="24"/>
          <w:spacing w:val="-3"/>
        </w:rPr>
        <w:t>）各种补偿性损失按矿井应缴纳的环保税类比计算，按照《环境保护税法》规定，</w:t>
      </w:r>
      <w:r>
        <w:rPr>
          <w:rFonts w:ascii="SimSun" w:hAnsi="SimSun" w:eastAsia="SimSun" w:cs="SimSun"/>
          <w:sz w:val="24"/>
          <w:szCs w:val="24"/>
          <w:spacing w:val="-2"/>
        </w:rPr>
        <w:t>运行期应缴环保税合计为</w:t>
      </w:r>
      <w:r>
        <w:rPr>
          <w:rFonts w:ascii="Times New Roman" w:hAnsi="Times New Roman" w:eastAsia="Times New Roman" w:cs="Times New Roman"/>
          <w:sz w:val="24"/>
          <w:szCs w:val="24"/>
          <w:spacing w:val="-2"/>
        </w:rPr>
        <w:t>4.</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万元</w:t>
      </w:r>
      <w:r>
        <w:rPr>
          <w:rFonts w:ascii="Times New Roman" w:hAnsi="Times New Roman" w:eastAsia="Times New Roman" w:cs="Times New Roman"/>
          <w:sz w:val="24"/>
          <w:szCs w:val="24"/>
          <w:spacing w:val="-2"/>
        </w:rPr>
        <w:t>/a</w:t>
      </w:r>
      <w:r>
        <w:rPr>
          <w:rFonts w:ascii="SimSun" w:hAnsi="SimSun" w:eastAsia="SimSun" w:cs="SimSun"/>
          <w:sz w:val="24"/>
          <w:szCs w:val="24"/>
          <w:spacing w:val="-2"/>
        </w:rPr>
        <w:t>。</w:t>
      </w:r>
    </w:p>
    <w:p>
      <w:pPr>
        <w:ind w:left="522"/>
        <w:spacing w:before="154" w:line="218" w:lineRule="auto"/>
        <w:rPr>
          <w:rFonts w:ascii="SimSun" w:hAnsi="SimSun" w:eastAsia="SimSun" w:cs="SimSun"/>
          <w:sz w:val="24"/>
          <w:szCs w:val="24"/>
        </w:rPr>
      </w:pPr>
      <w:r>
        <w:rPr>
          <w:rFonts w:ascii="SimSun" w:hAnsi="SimSun" w:eastAsia="SimSun" w:cs="SimSun"/>
          <w:sz w:val="24"/>
          <w:szCs w:val="24"/>
          <w:spacing w:val="-1"/>
        </w:rPr>
        <w:t>经计算，白音华四号矿年环境代价为</w:t>
      </w:r>
      <w:r>
        <w:rPr>
          <w:rFonts w:ascii="Times New Roman" w:hAnsi="Times New Roman" w:eastAsia="Times New Roman" w:cs="Times New Roman"/>
          <w:sz w:val="24"/>
          <w:szCs w:val="24"/>
          <w:spacing w:val="-1"/>
        </w:rPr>
        <w:t>591.06</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1"/>
        </w:rPr>
        <w:t>，估算结果见表</w:t>
      </w:r>
      <w:r>
        <w:rPr>
          <w:rFonts w:ascii="Times New Roman" w:hAnsi="Times New Roman" w:eastAsia="Times New Roman" w:cs="Times New Roman"/>
          <w:sz w:val="24"/>
          <w:szCs w:val="24"/>
          <w:spacing w:val="-1"/>
        </w:rPr>
        <w:t>8-2-</w:t>
      </w:r>
      <w:r>
        <w:rPr>
          <w:rFonts w:ascii="Times New Roman" w:hAnsi="Times New Roman" w:eastAsia="Times New Roman" w:cs="Times New Roman"/>
          <w:sz w:val="24"/>
          <w:szCs w:val="24"/>
          <w:spacing w:val="-2"/>
        </w:rPr>
        <w:t>2</w:t>
      </w:r>
      <w:r>
        <w:rPr>
          <w:rFonts w:ascii="SimSun" w:hAnsi="SimSun" w:eastAsia="SimSun" w:cs="SimSun"/>
          <w:sz w:val="24"/>
          <w:szCs w:val="24"/>
          <w:spacing w:val="-2"/>
        </w:rPr>
        <w:t>。</w:t>
      </w:r>
    </w:p>
    <w:p>
      <w:pPr>
        <w:ind w:left="3252"/>
        <w:spacing w:before="285" w:line="222" w:lineRule="auto"/>
        <w:rPr>
          <w:rFonts w:ascii="SimHei" w:hAnsi="SimHei" w:eastAsia="SimHei" w:cs="SimHei"/>
          <w:sz w:val="24"/>
          <w:szCs w:val="24"/>
        </w:rPr>
      </w:pPr>
      <w:r>
        <w:rPr>
          <w:rFonts w:ascii="SimHei" w:hAnsi="SimHei" w:eastAsia="SimHei" w:cs="SimHei"/>
          <w:sz w:val="24"/>
          <w:szCs w:val="24"/>
          <w:b/>
          <w:bCs/>
          <w:spacing w:val="-3"/>
        </w:rPr>
        <w:t>年环境代价主要指标估算结果</w:t>
      </w:r>
    </w:p>
    <w:p>
      <w:pPr>
        <w:ind w:left="39"/>
        <w:spacing w:before="182" w:line="221" w:lineRule="auto"/>
        <w:rPr>
          <w:rFonts w:ascii="Times New Roman" w:hAnsi="Times New Roman" w:eastAsia="Times New Roman" w:cs="Times New Roman"/>
          <w:sz w:val="24"/>
          <w:szCs w:val="24"/>
        </w:rPr>
      </w:pPr>
      <w:r>
        <w:rPr>
          <w:rFonts w:ascii="SimSun" w:hAnsi="SimSun" w:eastAsia="SimSun" w:cs="SimSun"/>
          <w:sz w:val="24"/>
          <w:szCs w:val="24"/>
          <w:spacing w:val="-4"/>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8-2-2</w:t>
      </w:r>
    </w:p>
    <w:p>
      <w:pPr>
        <w:spacing w:line="109" w:lineRule="auto"/>
        <w:rPr>
          <w:rFonts w:ascii="Arial"/>
          <w:sz w:val="2"/>
        </w:rPr>
      </w:pPr>
      <w:r>
        <w:rPr>
          <w:rFonts w:ascii="Arial"/>
          <w:sz w:val="2"/>
        </w:r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216"/>
        <w:gridCol w:w="3336"/>
        <w:gridCol w:w="3579"/>
      </w:tblGrid>
      <w:tr>
        <w:trPr>
          <w:trHeight w:val="335" w:hRule="atLeast"/>
        </w:trPr>
        <w:tc>
          <w:tcPr>
            <w:tcW w:w="2216" w:type="dxa"/>
            <w:vAlign w:val="top"/>
          </w:tcPr>
          <w:p>
            <w:pPr>
              <w:ind w:left="903"/>
              <w:spacing w:before="59" w:line="228" w:lineRule="auto"/>
              <w:rPr>
                <w:rFonts w:ascii="SimSun" w:hAnsi="SimSun" w:eastAsia="SimSun" w:cs="SimSun"/>
                <w:sz w:val="20"/>
                <w:szCs w:val="20"/>
              </w:rPr>
            </w:pPr>
            <w:r>
              <w:rPr>
                <w:rFonts w:ascii="SimSun" w:hAnsi="SimSun" w:eastAsia="SimSun" w:cs="SimSun"/>
                <w:sz w:val="20"/>
                <w:szCs w:val="20"/>
                <w:spacing w:val="4"/>
              </w:rPr>
              <w:t>类别</w:t>
            </w:r>
          </w:p>
        </w:tc>
        <w:tc>
          <w:tcPr>
            <w:tcW w:w="3336" w:type="dxa"/>
            <w:vAlign w:val="top"/>
          </w:tcPr>
          <w:p>
            <w:pPr>
              <w:ind w:left="1253"/>
              <w:spacing w:before="60" w:line="228" w:lineRule="auto"/>
              <w:rPr>
                <w:rFonts w:ascii="SimSun" w:hAnsi="SimSun" w:eastAsia="SimSun" w:cs="SimSun"/>
                <w:sz w:val="20"/>
                <w:szCs w:val="20"/>
              </w:rPr>
            </w:pPr>
            <w:r>
              <w:rPr>
                <w:rFonts w:ascii="SimSun" w:hAnsi="SimSun" w:eastAsia="SimSun" w:cs="SimSun"/>
                <w:sz w:val="20"/>
                <w:szCs w:val="20"/>
                <w:spacing w:val="6"/>
              </w:rPr>
              <w:t>项目名称</w:t>
            </w:r>
          </w:p>
        </w:tc>
        <w:tc>
          <w:tcPr>
            <w:tcW w:w="3579" w:type="dxa"/>
            <w:vAlign w:val="top"/>
          </w:tcPr>
          <w:p>
            <w:pPr>
              <w:pStyle w:val="TableText"/>
              <w:ind w:left="1237"/>
              <w:spacing w:before="60" w:line="221" w:lineRule="auto"/>
              <w:rPr/>
            </w:pPr>
            <w:r>
              <w:rPr>
                <w:rFonts w:ascii="SimSun" w:hAnsi="SimSun" w:eastAsia="SimSun" w:cs="SimSun"/>
                <w:spacing w:val="4"/>
              </w:rPr>
              <w:t>费用</w:t>
            </w:r>
            <w:r>
              <w:rPr>
                <w:spacing w:val="4"/>
              </w:rPr>
              <w:t>(</w:t>
            </w:r>
            <w:r>
              <w:rPr>
                <w:rFonts w:ascii="SimSun" w:hAnsi="SimSun" w:eastAsia="SimSun" w:cs="SimSun"/>
                <w:spacing w:val="4"/>
              </w:rPr>
              <w:t>万元</w:t>
            </w:r>
            <w:r>
              <w:rPr>
                <w:spacing w:val="4"/>
              </w:rPr>
              <w:t>/a)</w:t>
            </w:r>
          </w:p>
        </w:tc>
      </w:tr>
      <w:tr>
        <w:trPr>
          <w:trHeight w:val="330" w:hRule="atLeast"/>
        </w:trPr>
        <w:tc>
          <w:tcPr>
            <w:tcW w:w="2216" w:type="dxa"/>
            <w:vAlign w:val="top"/>
            <w:vMerge w:val="restart"/>
            <w:tcBorders>
              <w:bottom w:val="nil"/>
            </w:tcBorders>
          </w:tcPr>
          <w:p>
            <w:pPr>
              <w:spacing w:line="325" w:lineRule="auto"/>
              <w:rPr>
                <w:rFonts w:ascii="Arial"/>
                <w:sz w:val="21"/>
              </w:rPr>
            </w:pPr>
            <w:r/>
          </w:p>
          <w:p>
            <w:pPr>
              <w:ind w:left="499"/>
              <w:spacing w:before="65" w:line="226" w:lineRule="auto"/>
              <w:rPr>
                <w:rFonts w:ascii="SimSun" w:hAnsi="SimSun" w:eastAsia="SimSun" w:cs="SimSun"/>
                <w:sz w:val="20"/>
                <w:szCs w:val="20"/>
              </w:rPr>
            </w:pPr>
            <w:r>
              <w:rPr>
                <w:rFonts w:ascii="SimSun" w:hAnsi="SimSun" w:eastAsia="SimSun" w:cs="SimSun"/>
                <w:sz w:val="20"/>
                <w:szCs w:val="20"/>
                <w:spacing w:val="5"/>
              </w:rPr>
              <w:t>间接环境代价</w:t>
            </w:r>
          </w:p>
        </w:tc>
        <w:tc>
          <w:tcPr>
            <w:tcW w:w="3336" w:type="dxa"/>
            <w:vAlign w:val="top"/>
          </w:tcPr>
          <w:p>
            <w:pPr>
              <w:ind w:left="947"/>
              <w:spacing w:before="56" w:line="229" w:lineRule="auto"/>
              <w:rPr>
                <w:rFonts w:ascii="SimSun" w:hAnsi="SimSun" w:eastAsia="SimSun" w:cs="SimSun"/>
                <w:sz w:val="20"/>
                <w:szCs w:val="20"/>
              </w:rPr>
            </w:pPr>
            <w:r>
              <w:rPr>
                <w:rFonts w:ascii="SimSun" w:hAnsi="SimSun" w:eastAsia="SimSun" w:cs="SimSun"/>
                <w:sz w:val="20"/>
                <w:szCs w:val="20"/>
                <w:spacing w:val="7"/>
              </w:rPr>
              <w:t>资源和能源损失</w:t>
            </w:r>
          </w:p>
        </w:tc>
        <w:tc>
          <w:tcPr>
            <w:tcW w:w="3579" w:type="dxa"/>
            <w:vAlign w:val="top"/>
          </w:tcPr>
          <w:p>
            <w:pPr>
              <w:pStyle w:val="TableText"/>
              <w:ind w:left="1518"/>
              <w:spacing w:before="92" w:line="195" w:lineRule="auto"/>
              <w:rPr/>
            </w:pPr>
            <w:r>
              <w:rPr/>
              <w:t>132.72</w:t>
            </w:r>
          </w:p>
        </w:tc>
      </w:tr>
      <w:tr>
        <w:trPr>
          <w:trHeight w:val="330" w:hRule="atLeast"/>
        </w:trPr>
        <w:tc>
          <w:tcPr>
            <w:tcW w:w="2216" w:type="dxa"/>
            <w:vAlign w:val="top"/>
            <w:vMerge w:val="continue"/>
            <w:tcBorders>
              <w:top w:val="nil"/>
              <w:bottom w:val="nil"/>
            </w:tcBorders>
          </w:tcPr>
          <w:p>
            <w:pPr>
              <w:rPr>
                <w:rFonts w:ascii="Arial"/>
                <w:sz w:val="21"/>
              </w:rPr>
            </w:pPr>
            <w:r/>
          </w:p>
        </w:tc>
        <w:tc>
          <w:tcPr>
            <w:tcW w:w="3336" w:type="dxa"/>
            <w:vAlign w:val="top"/>
          </w:tcPr>
          <w:p>
            <w:pPr>
              <w:ind w:left="1251"/>
              <w:spacing w:before="56" w:line="228" w:lineRule="auto"/>
              <w:rPr>
                <w:rFonts w:ascii="SimSun" w:hAnsi="SimSun" w:eastAsia="SimSun" w:cs="SimSun"/>
                <w:sz w:val="20"/>
                <w:szCs w:val="20"/>
              </w:rPr>
            </w:pPr>
            <w:r>
              <w:rPr>
                <w:rFonts w:ascii="SimSun" w:hAnsi="SimSun" w:eastAsia="SimSun" w:cs="SimSun"/>
                <w:sz w:val="20"/>
                <w:szCs w:val="20"/>
                <w:spacing w:val="7"/>
              </w:rPr>
              <w:t>植被损失</w:t>
            </w:r>
          </w:p>
        </w:tc>
        <w:tc>
          <w:tcPr>
            <w:tcW w:w="3579" w:type="dxa"/>
            <w:vAlign w:val="top"/>
          </w:tcPr>
          <w:p>
            <w:pPr>
              <w:pStyle w:val="TableText"/>
              <w:ind w:left="1497"/>
              <w:spacing w:before="93" w:line="195" w:lineRule="auto"/>
              <w:rPr/>
            </w:pPr>
            <w:r>
              <w:rPr>
                <w:spacing w:val="4"/>
              </w:rPr>
              <w:t>454.19</w:t>
            </w:r>
          </w:p>
        </w:tc>
      </w:tr>
      <w:tr>
        <w:trPr>
          <w:trHeight w:val="330" w:hRule="atLeast"/>
        </w:trPr>
        <w:tc>
          <w:tcPr>
            <w:tcW w:w="2216" w:type="dxa"/>
            <w:vAlign w:val="top"/>
            <w:vMerge w:val="continue"/>
            <w:tcBorders>
              <w:top w:val="nil"/>
            </w:tcBorders>
          </w:tcPr>
          <w:p>
            <w:pPr>
              <w:rPr>
                <w:rFonts w:ascii="Arial"/>
                <w:sz w:val="21"/>
              </w:rPr>
            </w:pPr>
            <w:r/>
          </w:p>
        </w:tc>
        <w:tc>
          <w:tcPr>
            <w:tcW w:w="3336" w:type="dxa"/>
            <w:vAlign w:val="top"/>
          </w:tcPr>
          <w:p>
            <w:pPr>
              <w:ind w:left="940"/>
              <w:spacing w:before="58" w:line="228" w:lineRule="auto"/>
              <w:rPr>
                <w:rFonts w:ascii="SimSun" w:hAnsi="SimSun" w:eastAsia="SimSun" w:cs="SimSun"/>
                <w:sz w:val="20"/>
                <w:szCs w:val="20"/>
              </w:rPr>
            </w:pPr>
            <w:r>
              <w:rPr>
                <w:rFonts w:ascii="SimSun" w:hAnsi="SimSun" w:eastAsia="SimSun" w:cs="SimSun"/>
                <w:sz w:val="20"/>
                <w:szCs w:val="20"/>
                <w:spacing w:val="8"/>
              </w:rPr>
              <w:t>各种补偿性损失</w:t>
            </w:r>
          </w:p>
        </w:tc>
        <w:tc>
          <w:tcPr>
            <w:tcW w:w="3579" w:type="dxa"/>
            <w:vAlign w:val="top"/>
          </w:tcPr>
          <w:p>
            <w:pPr>
              <w:pStyle w:val="TableText"/>
              <w:ind w:left="1605"/>
              <w:spacing w:before="94" w:line="195" w:lineRule="auto"/>
              <w:rPr/>
            </w:pPr>
            <w:r>
              <w:rPr>
                <w:spacing w:val="3"/>
              </w:rPr>
              <w:t>4.15</w:t>
            </w:r>
          </w:p>
        </w:tc>
      </w:tr>
      <w:tr>
        <w:trPr>
          <w:trHeight w:val="334" w:hRule="atLeast"/>
        </w:trPr>
        <w:tc>
          <w:tcPr>
            <w:tcW w:w="2216" w:type="dxa"/>
            <w:vAlign w:val="top"/>
          </w:tcPr>
          <w:p>
            <w:pPr>
              <w:ind w:left="903"/>
              <w:spacing w:before="59" w:line="229" w:lineRule="auto"/>
              <w:rPr>
                <w:rFonts w:ascii="SimSun" w:hAnsi="SimSun" w:eastAsia="SimSun" w:cs="SimSun"/>
                <w:sz w:val="20"/>
                <w:szCs w:val="20"/>
              </w:rPr>
            </w:pPr>
            <w:r>
              <w:rPr>
                <w:rFonts w:ascii="SimSun" w:hAnsi="SimSun" w:eastAsia="SimSun" w:cs="SimSun"/>
                <w:sz w:val="20"/>
                <w:szCs w:val="20"/>
                <w:spacing w:val="4"/>
              </w:rPr>
              <w:t>合计</w:t>
            </w:r>
          </w:p>
        </w:tc>
        <w:tc>
          <w:tcPr>
            <w:tcW w:w="3336" w:type="dxa"/>
            <w:vAlign w:val="top"/>
          </w:tcPr>
          <w:p>
            <w:pPr>
              <w:rPr>
                <w:rFonts w:ascii="Arial"/>
                <w:sz w:val="21"/>
              </w:rPr>
            </w:pPr>
            <w:r/>
          </w:p>
        </w:tc>
        <w:tc>
          <w:tcPr>
            <w:tcW w:w="3579" w:type="dxa"/>
            <w:vAlign w:val="top"/>
          </w:tcPr>
          <w:p>
            <w:pPr>
              <w:pStyle w:val="TableText"/>
              <w:ind w:left="1504"/>
              <w:spacing w:before="95" w:line="195" w:lineRule="auto"/>
              <w:rPr/>
            </w:pPr>
            <w:r>
              <w:rPr>
                <w:spacing w:val="3"/>
              </w:rPr>
              <w:t>591.06</w:t>
            </w:r>
          </w:p>
        </w:tc>
      </w:tr>
    </w:tbl>
    <w:p>
      <w:pPr>
        <w:pStyle w:val="BodyText"/>
        <w:spacing w:line="291" w:lineRule="auto"/>
        <w:rPr/>
      </w:pPr>
      <w:r/>
    </w:p>
    <w:p>
      <w:pPr>
        <w:pStyle w:val="BodyText"/>
        <w:spacing w:line="291" w:lineRule="auto"/>
        <w:rPr/>
      </w:pPr>
      <w:r/>
    </w:p>
    <w:p>
      <w:pPr>
        <w:ind w:left="41"/>
        <w:spacing w:before="91"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8.2.3  </w:t>
      </w:r>
      <w:r>
        <w:rPr>
          <w:rFonts w:ascii="SimHei" w:hAnsi="SimHei" w:eastAsia="SimHei" w:cs="SimHei"/>
          <w:sz w:val="28"/>
          <w:szCs w:val="28"/>
          <w:b/>
          <w:bCs/>
          <w:spacing w:val="-2"/>
        </w:rPr>
        <w:t>环境经济效益</w:t>
      </w:r>
    </w:p>
    <w:p>
      <w:pPr>
        <w:ind w:left="555"/>
        <w:spacing w:before="170" w:line="219" w:lineRule="auto"/>
        <w:rPr>
          <w:rFonts w:ascii="SimSun" w:hAnsi="SimSun" w:eastAsia="SimSun" w:cs="SimSun"/>
          <w:sz w:val="24"/>
          <w:szCs w:val="24"/>
        </w:rPr>
      </w:pPr>
      <w:r>
        <w:rPr>
          <w:rFonts w:ascii="SimSun" w:hAnsi="SimSun" w:eastAsia="SimSun" w:cs="SimSun"/>
          <w:sz w:val="24"/>
          <w:szCs w:val="24"/>
          <w:spacing w:val="-1"/>
        </w:rPr>
        <w:t>白音华四号矿污染控制措施的环境经济效益包括直接经</w:t>
      </w:r>
      <w:r>
        <w:rPr>
          <w:rFonts w:ascii="SimSun" w:hAnsi="SimSun" w:eastAsia="SimSun" w:cs="SimSun"/>
          <w:sz w:val="24"/>
          <w:szCs w:val="24"/>
          <w:spacing w:val="-2"/>
        </w:rPr>
        <w:t>济效益和间接经济效益。</w:t>
      </w:r>
    </w:p>
    <w:p>
      <w:pPr>
        <w:ind w:left="527"/>
        <w:spacing w:before="157"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 直接经济效益</w:t>
      </w:r>
    </w:p>
    <w:p>
      <w:pPr>
        <w:ind w:left="43" w:right="66" w:firstLine="479"/>
        <w:spacing w:before="155" w:line="338" w:lineRule="auto"/>
        <w:rPr>
          <w:rFonts w:ascii="SimSun" w:hAnsi="SimSun" w:eastAsia="SimSun" w:cs="SimSun"/>
          <w:sz w:val="24"/>
          <w:szCs w:val="24"/>
        </w:rPr>
      </w:pPr>
      <w:r>
        <w:rPr>
          <w:rFonts w:ascii="SimSun" w:hAnsi="SimSun" w:eastAsia="SimSun" w:cs="SimSun"/>
          <w:sz w:val="24"/>
          <w:szCs w:val="24"/>
          <w:spacing w:val="-2"/>
        </w:rPr>
        <w:t>直接经济效益是指环境保护措施直接提供的产品价值，主要包括矿井水回用节约的</w:t>
      </w:r>
      <w:r>
        <w:rPr>
          <w:rFonts w:ascii="SimSun" w:hAnsi="SimSun" w:eastAsia="SimSun" w:cs="SimSun"/>
          <w:sz w:val="24"/>
          <w:szCs w:val="24"/>
          <w:spacing w:val="-2"/>
        </w:rPr>
        <w:t>水资源费、煤泥销售收益、矸石回填减少的损失、土地复垦获得的农业收益和采煤塌陷</w:t>
      </w:r>
      <w:r>
        <w:rPr>
          <w:rFonts w:ascii="SimSun" w:hAnsi="SimSun" w:eastAsia="SimSun" w:cs="SimSun"/>
          <w:sz w:val="24"/>
          <w:szCs w:val="24"/>
          <w:spacing w:val="-1"/>
        </w:rPr>
        <w:t>水域综合整治后的渔业收益等。</w:t>
      </w:r>
    </w:p>
    <w:p>
      <w:pPr>
        <w:ind w:left="50" w:right="66" w:firstLine="488"/>
        <w:spacing w:before="1" w:line="298" w:lineRule="auto"/>
        <w:rPr>
          <w:rFonts w:ascii="SimSun" w:hAnsi="SimSun" w:eastAsia="SimSun" w:cs="SimSun"/>
          <w:sz w:val="24"/>
          <w:szCs w:val="24"/>
        </w:rPr>
      </w:pPr>
      <w:r>
        <w:rPr>
          <w:rFonts w:ascii="Times New Roman" w:hAnsi="Times New Roman" w:eastAsia="Times New Roman" w:cs="Times New Roman"/>
          <w:sz w:val="24"/>
          <w:szCs w:val="24"/>
          <w:spacing w:val="-2"/>
        </w:rPr>
        <w:t>1</w:t>
      </w:r>
      <w:r>
        <w:rPr>
          <w:rFonts w:ascii="SimSun" w:hAnsi="SimSun" w:eastAsia="SimSun" w:cs="SimSun"/>
          <w:sz w:val="24"/>
          <w:szCs w:val="24"/>
          <w:spacing w:val="-2"/>
        </w:rPr>
        <w:t>） 节约水资源费。矿井水资源回用可减少取用地下水而节约的水资源费</w:t>
      </w:r>
      <w:r>
        <w:rPr>
          <w:rFonts w:ascii="SimSun" w:hAnsi="SimSun" w:eastAsia="SimSun" w:cs="SimSun"/>
          <w:sz w:val="24"/>
          <w:szCs w:val="24"/>
          <w:spacing w:val="-3"/>
        </w:rPr>
        <w:t>，白音华</w:t>
      </w:r>
      <w:r>
        <w:rPr>
          <w:rFonts w:ascii="SimSun" w:hAnsi="SimSun" w:eastAsia="SimSun" w:cs="SimSun"/>
          <w:sz w:val="24"/>
          <w:szCs w:val="24"/>
          <w:spacing w:val="-2"/>
        </w:rPr>
        <w:t>四号矿矿井（坑）水回用量为</w:t>
      </w:r>
      <w:r>
        <w:rPr>
          <w:rFonts w:ascii="Times New Roman" w:hAnsi="Times New Roman" w:eastAsia="Times New Roman" w:cs="Times New Roman"/>
          <w:sz w:val="24"/>
          <w:szCs w:val="24"/>
          <w:spacing w:val="-2"/>
        </w:rPr>
        <w:t>11664m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，按地下水取水应缴纳水资源费</w:t>
      </w:r>
      <w:r>
        <w:rPr>
          <w:rFonts w:ascii="Times New Roman" w:hAnsi="Times New Roman" w:eastAsia="Times New Roman" w:cs="Times New Roman"/>
          <w:sz w:val="24"/>
          <w:szCs w:val="24"/>
          <w:spacing w:val="-2"/>
        </w:rPr>
        <w:t>0.3</w:t>
      </w:r>
      <w:r>
        <w:rPr>
          <w:rFonts w:ascii="SimSun" w:hAnsi="SimSun" w:eastAsia="SimSun" w:cs="SimSun"/>
          <w:sz w:val="24"/>
          <w:szCs w:val="24"/>
          <w:spacing w:val="-2"/>
        </w:rPr>
        <w:t>元</w:t>
      </w:r>
      <w:r>
        <w:rPr>
          <w:rFonts w:ascii="Times New Roman" w:hAnsi="Times New Roman" w:eastAsia="Times New Roman" w:cs="Times New Roman"/>
          <w:sz w:val="24"/>
          <w:szCs w:val="24"/>
          <w:spacing w:val="-2"/>
        </w:rPr>
        <w:t>/m</w:t>
      </w:r>
      <w:r>
        <w:rPr>
          <w:rFonts w:ascii="Times New Roman" w:hAnsi="Times New Roman" w:eastAsia="Times New Roman" w:cs="Times New Roman"/>
          <w:sz w:val="15"/>
          <w:szCs w:val="15"/>
          <w:spacing w:val="-2"/>
          <w:position w:val="7"/>
        </w:rPr>
        <w:t>3</w:t>
      </w:r>
      <w:r>
        <w:rPr>
          <w:rFonts w:ascii="SimSun" w:hAnsi="SimSun" w:eastAsia="SimSun" w:cs="SimSun"/>
          <w:sz w:val="24"/>
          <w:szCs w:val="24"/>
          <w:spacing w:val="-2"/>
        </w:rPr>
        <w:t>计</w:t>
      </w:r>
      <w:r>
        <w:rPr>
          <w:rFonts w:ascii="SimSun" w:hAnsi="SimSun" w:eastAsia="SimSun" w:cs="SimSun"/>
          <w:sz w:val="24"/>
          <w:szCs w:val="24"/>
          <w:spacing w:val="-3"/>
        </w:rPr>
        <w:t>，水</w:t>
      </w:r>
      <w:r>
        <w:rPr>
          <w:rFonts w:ascii="SimSun" w:hAnsi="SimSun" w:eastAsia="SimSun" w:cs="SimSun"/>
          <w:sz w:val="24"/>
          <w:szCs w:val="24"/>
          <w:spacing w:val="-1"/>
        </w:rPr>
        <w:t>资源费用计算价值约</w:t>
      </w:r>
      <w:r>
        <w:rPr>
          <w:rFonts w:ascii="Times New Roman" w:hAnsi="Times New Roman" w:eastAsia="Times New Roman" w:cs="Times New Roman"/>
          <w:sz w:val="24"/>
          <w:szCs w:val="24"/>
          <w:spacing w:val="-1"/>
        </w:rPr>
        <w:t>127.72</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/a</w:t>
      </w:r>
      <w:r>
        <w:rPr>
          <w:rFonts w:ascii="SimSun" w:hAnsi="SimSun" w:eastAsia="SimSun" w:cs="SimSun"/>
          <w:sz w:val="24"/>
          <w:szCs w:val="24"/>
          <w:spacing w:val="-1"/>
        </w:rPr>
        <w:t>。</w:t>
      </w:r>
    </w:p>
    <w:p>
      <w:pPr>
        <w:ind w:left="41" w:right="66" w:firstLine="474"/>
        <w:spacing w:before="156" w:line="278" w:lineRule="auto"/>
        <w:rPr>
          <w:rFonts w:ascii="SimSun" w:hAnsi="SimSun" w:eastAsia="SimSun" w:cs="SimSun"/>
          <w:sz w:val="24"/>
          <w:szCs w:val="24"/>
        </w:rPr>
      </w:pPr>
      <w:r>
        <w:rPr>
          <w:rFonts w:ascii="Times New Roman" w:hAnsi="Times New Roman" w:eastAsia="Times New Roman" w:cs="Times New Roman"/>
          <w:sz w:val="24"/>
          <w:szCs w:val="24"/>
          <w:spacing w:val="-3"/>
        </w:rPr>
        <w:t>2</w:t>
      </w:r>
      <w:r>
        <w:rPr>
          <w:rFonts w:ascii="SimSun" w:hAnsi="SimSun" w:eastAsia="SimSun" w:cs="SimSun"/>
          <w:sz w:val="24"/>
          <w:szCs w:val="24"/>
          <w:spacing w:val="-3"/>
        </w:rPr>
        <w:t>）矿井水处理站煤泥回收销售收益，煤泥混入末煤出售，煤泥产量</w:t>
      </w:r>
      <w:r>
        <w:rPr>
          <w:rFonts w:ascii="Times New Roman" w:hAnsi="Times New Roman" w:eastAsia="Times New Roman" w:cs="Times New Roman"/>
          <w:sz w:val="24"/>
          <w:szCs w:val="24"/>
          <w:spacing w:val="-3"/>
        </w:rPr>
        <w:t>171.62t/a</w:t>
      </w:r>
      <w:r>
        <w:rPr>
          <w:rFonts w:ascii="SimSun" w:hAnsi="SimSun" w:eastAsia="SimSun" w:cs="SimSun"/>
          <w:sz w:val="24"/>
          <w:szCs w:val="24"/>
          <w:spacing w:val="-3"/>
        </w:rPr>
        <w:t>，综合</w:t>
      </w:r>
      <w:r>
        <w:rPr>
          <w:rFonts w:ascii="SimSun" w:hAnsi="SimSun" w:eastAsia="SimSun" w:cs="SimSun"/>
          <w:sz w:val="24"/>
          <w:szCs w:val="24"/>
          <w:spacing w:val="-1"/>
        </w:rPr>
        <w:t>利用价值</w:t>
      </w:r>
      <w:r>
        <w:rPr>
          <w:rFonts w:ascii="Times New Roman" w:hAnsi="Times New Roman" w:eastAsia="Times New Roman" w:cs="Times New Roman"/>
          <w:sz w:val="24"/>
          <w:szCs w:val="24"/>
          <w:spacing w:val="-1"/>
        </w:rPr>
        <w:t>58.3</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/a</w:t>
      </w:r>
      <w:r>
        <w:rPr>
          <w:rFonts w:ascii="SimSun" w:hAnsi="SimSun" w:eastAsia="SimSun" w:cs="SimSun"/>
          <w:sz w:val="24"/>
          <w:szCs w:val="24"/>
          <w:spacing w:val="-1"/>
        </w:rPr>
        <w:t>收益。</w:t>
      </w:r>
    </w:p>
    <w:p>
      <w:pPr>
        <w:ind w:left="39" w:right="76" w:firstLine="481"/>
        <w:spacing w:before="157" w:line="279" w:lineRule="auto"/>
        <w:rPr>
          <w:rFonts w:ascii="SimSun" w:hAnsi="SimSun" w:eastAsia="SimSun" w:cs="SimSun"/>
          <w:sz w:val="24"/>
          <w:szCs w:val="24"/>
        </w:rPr>
      </w:pPr>
      <w:r>
        <w:rPr>
          <w:rFonts w:ascii="Times New Roman" w:hAnsi="Times New Roman" w:eastAsia="Times New Roman" w:cs="Times New Roman"/>
          <w:sz w:val="24"/>
          <w:szCs w:val="24"/>
          <w:spacing w:val="1"/>
        </w:rPr>
        <w:t>3</w:t>
      </w:r>
      <w:r>
        <w:rPr>
          <w:rFonts w:ascii="SimSun" w:hAnsi="SimSun" w:eastAsia="SimSun" w:cs="SimSun"/>
          <w:sz w:val="24"/>
          <w:szCs w:val="24"/>
          <w:spacing w:val="1"/>
        </w:rPr>
        <w:t>）牧业收益：采掘场及排土场通过综合治理，可使草地恢复原有生产力，获得牧</w:t>
      </w:r>
      <w:r>
        <w:rPr>
          <w:rFonts w:ascii="SimSun" w:hAnsi="SimSun" w:eastAsia="SimSun" w:cs="SimSun"/>
          <w:sz w:val="24"/>
          <w:szCs w:val="24"/>
          <w:spacing w:val="-3"/>
        </w:rPr>
        <w:t>业收益</w:t>
      </w:r>
      <w:r>
        <w:rPr>
          <w:rFonts w:ascii="Times New Roman" w:hAnsi="Times New Roman" w:eastAsia="Times New Roman" w:cs="Times New Roman"/>
          <w:sz w:val="24"/>
          <w:szCs w:val="24"/>
          <w:spacing w:val="-3"/>
        </w:rPr>
        <w:t>280.</w:t>
      </w:r>
      <w:r>
        <w:rPr>
          <w:rFonts w:ascii="Times New Roman" w:hAnsi="Times New Roman" w:eastAsia="Times New Roman" w:cs="Times New Roman"/>
          <w:sz w:val="24"/>
          <w:szCs w:val="24"/>
          <w:spacing w:val="-28"/>
        </w:rPr>
        <w:t xml:space="preserve"> </w:t>
      </w:r>
      <w:r>
        <w:rPr>
          <w:rFonts w:ascii="Times New Roman" w:hAnsi="Times New Roman" w:eastAsia="Times New Roman" w:cs="Times New Roman"/>
          <w:sz w:val="24"/>
          <w:szCs w:val="24"/>
          <w:spacing w:val="-3"/>
        </w:rPr>
        <w:t>14</w:t>
      </w:r>
      <w:r>
        <w:rPr>
          <w:rFonts w:ascii="SimSun" w:hAnsi="SimSun" w:eastAsia="SimSun" w:cs="SimSun"/>
          <w:sz w:val="24"/>
          <w:szCs w:val="24"/>
          <w:spacing w:val="-3"/>
        </w:rPr>
        <w:t>万元</w:t>
      </w:r>
      <w:r>
        <w:rPr>
          <w:rFonts w:ascii="Times New Roman" w:hAnsi="Times New Roman" w:eastAsia="Times New Roman" w:cs="Times New Roman"/>
          <w:sz w:val="24"/>
          <w:szCs w:val="24"/>
          <w:spacing w:val="-3"/>
        </w:rPr>
        <w:t>/a</w:t>
      </w:r>
      <w:r>
        <w:rPr>
          <w:rFonts w:ascii="SimSun" w:hAnsi="SimSun" w:eastAsia="SimSun" w:cs="SimSun"/>
          <w:sz w:val="24"/>
          <w:szCs w:val="24"/>
          <w:spacing w:val="-3"/>
        </w:rPr>
        <w:t>。</w:t>
      </w:r>
    </w:p>
    <w:p>
      <w:pPr>
        <w:ind w:left="527"/>
        <w:spacing w:before="154" w:line="220"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）间接效益</w:t>
      </w:r>
    </w:p>
    <w:p>
      <w:pPr>
        <w:spacing w:line="220" w:lineRule="auto"/>
        <w:sectPr>
          <w:headerReference w:type="default" r:id="rId540"/>
          <w:footerReference w:type="default" r:id="rId541"/>
          <w:pgSz w:w="11906" w:h="16838"/>
          <w:pgMar w:top="1114" w:right="1351" w:bottom="1080" w:left="1384" w:header="837" w:footer="918" w:gutter="0"/>
        </w:sectPr>
        <w:rPr>
          <w:rFonts w:ascii="SimSun" w:hAnsi="SimSun" w:eastAsia="SimSun" w:cs="SimSun"/>
          <w:sz w:val="24"/>
          <w:szCs w:val="24"/>
        </w:rPr>
      </w:pPr>
    </w:p>
    <w:p>
      <w:pPr>
        <w:pStyle w:val="BodyText"/>
        <w:spacing w:line="367" w:lineRule="auto"/>
        <w:rPr/>
      </w:pPr>
      <w:r/>
    </w:p>
    <w:p>
      <w:pPr>
        <w:ind w:left="17" w:right="9" w:firstLine="497"/>
        <w:spacing w:before="78" w:line="339" w:lineRule="auto"/>
        <w:rPr>
          <w:rFonts w:ascii="SimSun" w:hAnsi="SimSun" w:eastAsia="SimSun" w:cs="SimSun"/>
          <w:sz w:val="24"/>
          <w:szCs w:val="24"/>
        </w:rPr>
      </w:pPr>
      <w:bookmarkStart w:name="bookmark118" w:id="100"/>
      <w:bookmarkEnd w:id="100"/>
      <w:r>
        <w:rPr>
          <w:rFonts w:ascii="SimSun" w:hAnsi="SimSun" w:eastAsia="SimSun" w:cs="SimSun"/>
          <w:sz w:val="24"/>
          <w:szCs w:val="24"/>
          <w:spacing w:val="-2"/>
        </w:rPr>
        <w:t>间接效益包括控制污染后减少环境污染影响生产、生活和人体健康造</w:t>
      </w:r>
      <w:r>
        <w:rPr>
          <w:rFonts w:ascii="SimSun" w:hAnsi="SimSun" w:eastAsia="SimSun" w:cs="SimSun"/>
          <w:sz w:val="24"/>
          <w:szCs w:val="24"/>
          <w:spacing w:val="-3"/>
        </w:rPr>
        <w:t>成的经济损失</w:t>
      </w:r>
      <w:r>
        <w:rPr>
          <w:rFonts w:ascii="SimSun" w:hAnsi="SimSun" w:eastAsia="SimSun" w:cs="SimSun"/>
          <w:sz w:val="24"/>
          <w:szCs w:val="24"/>
        </w:rPr>
        <w:t>和减少的环保税，包括削减污染物排放减少的</w:t>
      </w:r>
      <w:r>
        <w:rPr>
          <w:rFonts w:ascii="SimSun" w:hAnsi="SimSun" w:eastAsia="SimSun" w:cs="SimSun"/>
          <w:sz w:val="24"/>
          <w:szCs w:val="24"/>
          <w:spacing w:val="-1"/>
        </w:rPr>
        <w:t>污染损失和减少的环保税。</w:t>
      </w:r>
    </w:p>
    <w:p>
      <w:pPr>
        <w:ind w:left="18" w:right="24" w:firstLine="484"/>
        <w:spacing w:before="2" w:line="277"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）减少污染损失：主要考虑采取污染防治措施后，减少污染物排放挽回的环境</w:t>
      </w:r>
      <w:r>
        <w:rPr>
          <w:rFonts w:ascii="SimSun" w:hAnsi="SimSun" w:eastAsia="SimSun" w:cs="SimSun"/>
          <w:sz w:val="24"/>
          <w:szCs w:val="24"/>
          <w:spacing w:val="-3"/>
        </w:rPr>
        <w:t>污染损失，估算价值共计</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113.27</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3"/>
        </w:rPr>
        <w:t>万元</w:t>
      </w:r>
      <w:r>
        <w:rPr>
          <w:rFonts w:ascii="Times New Roman" w:hAnsi="Times New Roman" w:eastAsia="Times New Roman" w:cs="Times New Roman"/>
          <w:sz w:val="24"/>
          <w:szCs w:val="24"/>
          <w:spacing w:val="-3"/>
        </w:rPr>
        <w:t>/a</w:t>
      </w:r>
      <w:r>
        <w:rPr>
          <w:rFonts w:ascii="SimSun" w:hAnsi="SimSun" w:eastAsia="SimSun" w:cs="SimSun"/>
          <w:sz w:val="24"/>
          <w:szCs w:val="24"/>
          <w:spacing w:val="-3"/>
        </w:rPr>
        <w:t>。</w:t>
      </w:r>
    </w:p>
    <w:p>
      <w:pPr>
        <w:ind w:left="16" w:right="9" w:firstLine="486"/>
        <w:spacing w:before="156"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）减少的环保税：包括采取废水、废气、噪声污染防治和固体废物处置措施所</w:t>
      </w:r>
      <w:r>
        <w:rPr>
          <w:rFonts w:ascii="SimSun" w:hAnsi="SimSun" w:eastAsia="SimSun" w:cs="SimSun"/>
          <w:sz w:val="24"/>
          <w:szCs w:val="24"/>
          <w:spacing w:val="-2"/>
        </w:rPr>
        <w:t>减少的环保税，按照《环境保护税法》进行计算。矿井采取污染治理措施后，可减少缴</w:t>
      </w:r>
      <w:r>
        <w:rPr>
          <w:rFonts w:ascii="SimSun" w:hAnsi="SimSun" w:eastAsia="SimSun" w:cs="SimSun"/>
          <w:sz w:val="24"/>
          <w:szCs w:val="24"/>
          <w:spacing w:val="-3"/>
        </w:rPr>
        <w:t>纳环保税</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207.3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万元</w:t>
      </w:r>
      <w:r>
        <w:rPr>
          <w:rFonts w:ascii="Times New Roman" w:hAnsi="Times New Roman" w:eastAsia="Times New Roman" w:cs="Times New Roman"/>
          <w:sz w:val="24"/>
          <w:szCs w:val="24"/>
          <w:spacing w:val="-3"/>
        </w:rPr>
        <w:t>/a</w:t>
      </w:r>
      <w:r>
        <w:rPr>
          <w:rFonts w:ascii="SimSun" w:hAnsi="SimSun" w:eastAsia="SimSun" w:cs="SimSun"/>
          <w:sz w:val="24"/>
          <w:szCs w:val="24"/>
          <w:spacing w:val="-3"/>
        </w:rPr>
        <w:t>。</w:t>
      </w:r>
    </w:p>
    <w:p>
      <w:pPr>
        <w:ind w:left="498"/>
        <w:spacing w:before="155" w:line="218" w:lineRule="auto"/>
        <w:rPr>
          <w:rFonts w:ascii="SimSun" w:hAnsi="SimSun" w:eastAsia="SimSun" w:cs="SimSun"/>
          <w:sz w:val="24"/>
          <w:szCs w:val="24"/>
        </w:rPr>
      </w:pPr>
      <w:r>
        <w:rPr>
          <w:rFonts w:ascii="SimSun" w:hAnsi="SimSun" w:eastAsia="SimSun" w:cs="SimSun"/>
          <w:sz w:val="24"/>
          <w:szCs w:val="24"/>
          <w:spacing w:val="-1"/>
        </w:rPr>
        <w:t>经计算，白音华四号矿环境经济效益为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786.73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/a </w:t>
      </w:r>
      <w:r>
        <w:rPr>
          <w:rFonts w:ascii="SimSun" w:hAnsi="SimSun" w:eastAsia="SimSun" w:cs="SimSun"/>
          <w:sz w:val="24"/>
          <w:szCs w:val="24"/>
          <w:spacing w:val="-1"/>
        </w:rPr>
        <w:t>估算结果</w:t>
      </w:r>
      <w:r>
        <w:rPr>
          <w:rFonts w:ascii="SimSun" w:hAnsi="SimSun" w:eastAsia="SimSun" w:cs="SimSun"/>
          <w:sz w:val="24"/>
          <w:szCs w:val="24"/>
          <w:spacing w:val="-2"/>
        </w:rPr>
        <w:t>见表</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8-2-3</w:t>
      </w:r>
      <w:r>
        <w:rPr>
          <w:rFonts w:ascii="SimSun" w:hAnsi="SimSun" w:eastAsia="SimSun" w:cs="SimSun"/>
          <w:sz w:val="24"/>
          <w:szCs w:val="24"/>
          <w:spacing w:val="-2"/>
        </w:rPr>
        <w:t>。</w:t>
      </w:r>
    </w:p>
    <w:p>
      <w:pPr>
        <w:ind w:left="2989"/>
        <w:spacing w:before="282" w:line="221" w:lineRule="auto"/>
        <w:rPr>
          <w:rFonts w:ascii="SimHei" w:hAnsi="SimHei" w:eastAsia="SimHei" w:cs="SimHei"/>
          <w:sz w:val="24"/>
          <w:szCs w:val="24"/>
        </w:rPr>
      </w:pPr>
      <w:r>
        <w:rPr>
          <w:rFonts w:ascii="SimHei" w:hAnsi="SimHei" w:eastAsia="SimHei" w:cs="SimHei"/>
          <w:sz w:val="24"/>
          <w:szCs w:val="24"/>
          <w:b/>
          <w:bCs/>
          <w:spacing w:val="-3"/>
        </w:rPr>
        <w:t>主要环境经济效益估算结果一览表</w:t>
      </w:r>
    </w:p>
    <w:p>
      <w:pPr>
        <w:ind w:left="15"/>
        <w:spacing w:before="186" w:line="221" w:lineRule="auto"/>
        <w:rPr>
          <w:rFonts w:ascii="Times New Roman" w:hAnsi="Times New Roman" w:eastAsia="Times New Roman" w:cs="Times New Roman"/>
          <w:sz w:val="24"/>
          <w:szCs w:val="24"/>
        </w:rPr>
      </w:pPr>
      <w:r>
        <w:rPr>
          <w:rFonts w:ascii="SimSun" w:hAnsi="SimSun" w:eastAsia="SimSun" w:cs="SimSun"/>
          <w:sz w:val="24"/>
          <w:szCs w:val="24"/>
          <w:spacing w:val="-4"/>
        </w:rPr>
        <w:t>表</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4"/>
        </w:rPr>
        <w:t>8-2-3</w:t>
      </w:r>
    </w:p>
    <w:p>
      <w:pPr>
        <w:spacing w:line="83" w:lineRule="auto"/>
        <w:rPr>
          <w:rFonts w:ascii="Arial"/>
          <w:sz w:val="2"/>
        </w:rPr>
      </w:pPr>
      <w:r>
        <w:rPr>
          <w:rFonts w:ascii="Arial"/>
          <w:sz w:val="2"/>
        </w:rPr>
      </w:r>
    </w:p>
    <w:tbl>
      <w:tblPr>
        <w:tblStyle w:val="TableNormal"/>
        <w:tblW w:w="908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355"/>
        <w:gridCol w:w="3250"/>
        <w:gridCol w:w="3478"/>
      </w:tblGrid>
      <w:tr>
        <w:trPr>
          <w:trHeight w:val="335" w:hRule="atLeast"/>
        </w:trPr>
        <w:tc>
          <w:tcPr>
            <w:tcW w:w="2355" w:type="dxa"/>
            <w:vAlign w:val="top"/>
          </w:tcPr>
          <w:p>
            <w:pPr>
              <w:ind w:left="970"/>
              <w:spacing w:before="62" w:line="228" w:lineRule="auto"/>
              <w:rPr>
                <w:rFonts w:ascii="SimSun" w:hAnsi="SimSun" w:eastAsia="SimSun" w:cs="SimSun"/>
                <w:sz w:val="20"/>
                <w:szCs w:val="20"/>
              </w:rPr>
            </w:pPr>
            <w:r>
              <w:rPr>
                <w:rFonts w:ascii="SimSun" w:hAnsi="SimSun" w:eastAsia="SimSun" w:cs="SimSun"/>
                <w:sz w:val="20"/>
                <w:szCs w:val="20"/>
                <w:spacing w:val="4"/>
              </w:rPr>
              <w:t>类别</w:t>
            </w:r>
          </w:p>
        </w:tc>
        <w:tc>
          <w:tcPr>
            <w:tcW w:w="3250" w:type="dxa"/>
            <w:vAlign w:val="top"/>
          </w:tcPr>
          <w:p>
            <w:pPr>
              <w:ind w:left="1424"/>
              <w:spacing w:before="63" w:line="228" w:lineRule="auto"/>
              <w:rPr>
                <w:rFonts w:ascii="SimSun" w:hAnsi="SimSun" w:eastAsia="SimSun" w:cs="SimSun"/>
                <w:sz w:val="20"/>
                <w:szCs w:val="20"/>
              </w:rPr>
            </w:pPr>
            <w:r>
              <w:rPr>
                <w:rFonts w:ascii="SimSun" w:hAnsi="SimSun" w:eastAsia="SimSun" w:cs="SimSun"/>
                <w:sz w:val="20"/>
                <w:szCs w:val="20"/>
                <w:spacing w:val="3"/>
              </w:rPr>
              <w:t>项目</w:t>
            </w:r>
          </w:p>
        </w:tc>
        <w:tc>
          <w:tcPr>
            <w:tcW w:w="3478" w:type="dxa"/>
            <w:vAlign w:val="top"/>
          </w:tcPr>
          <w:p>
            <w:pPr>
              <w:pStyle w:val="TableText"/>
              <w:ind w:left="1189"/>
              <w:spacing w:before="62" w:line="221" w:lineRule="auto"/>
              <w:rPr/>
            </w:pPr>
            <w:r>
              <w:rPr>
                <w:rFonts w:ascii="SimSun" w:hAnsi="SimSun" w:eastAsia="SimSun" w:cs="SimSun"/>
                <w:spacing w:val="4"/>
              </w:rPr>
              <w:t>费用</w:t>
            </w:r>
            <w:r>
              <w:rPr>
                <w:spacing w:val="4"/>
              </w:rPr>
              <w:t>(</w:t>
            </w:r>
            <w:r>
              <w:rPr>
                <w:rFonts w:ascii="SimSun" w:hAnsi="SimSun" w:eastAsia="SimSun" w:cs="SimSun"/>
                <w:spacing w:val="4"/>
              </w:rPr>
              <w:t>万元</w:t>
            </w:r>
            <w:r>
              <w:rPr>
                <w:spacing w:val="4"/>
              </w:rPr>
              <w:t>/a)</w:t>
            </w:r>
          </w:p>
        </w:tc>
      </w:tr>
      <w:tr>
        <w:trPr>
          <w:trHeight w:val="331" w:hRule="atLeast"/>
        </w:trPr>
        <w:tc>
          <w:tcPr>
            <w:tcW w:w="2355" w:type="dxa"/>
            <w:vAlign w:val="top"/>
            <w:vMerge w:val="restart"/>
            <w:tcBorders>
              <w:bottom w:val="nil"/>
            </w:tcBorders>
          </w:tcPr>
          <w:p>
            <w:pPr>
              <w:spacing w:line="247" w:lineRule="auto"/>
              <w:rPr>
                <w:rFonts w:ascii="Arial"/>
                <w:sz w:val="21"/>
              </w:rPr>
            </w:pPr>
            <w:r/>
          </w:p>
          <w:p>
            <w:pPr>
              <w:spacing w:line="248" w:lineRule="auto"/>
              <w:rPr>
                <w:rFonts w:ascii="Arial"/>
                <w:sz w:val="21"/>
              </w:rPr>
            </w:pPr>
            <w:r/>
          </w:p>
          <w:p>
            <w:pPr>
              <w:ind w:left="552"/>
              <w:spacing w:before="65" w:line="228" w:lineRule="auto"/>
              <w:rPr>
                <w:rFonts w:ascii="SimSun" w:hAnsi="SimSun" w:eastAsia="SimSun" w:cs="SimSun"/>
                <w:sz w:val="20"/>
                <w:szCs w:val="20"/>
              </w:rPr>
            </w:pPr>
            <w:r>
              <w:rPr>
                <w:rFonts w:ascii="SimSun" w:hAnsi="SimSun" w:eastAsia="SimSun" w:cs="SimSun"/>
                <w:sz w:val="20"/>
                <w:szCs w:val="20"/>
                <w:spacing w:val="7"/>
              </w:rPr>
              <w:t>直接经济效益</w:t>
            </w:r>
          </w:p>
        </w:tc>
        <w:tc>
          <w:tcPr>
            <w:tcW w:w="3250" w:type="dxa"/>
            <w:vAlign w:val="top"/>
          </w:tcPr>
          <w:p>
            <w:pPr>
              <w:ind w:left="1000"/>
              <w:spacing w:before="58" w:line="228" w:lineRule="auto"/>
              <w:rPr>
                <w:rFonts w:ascii="SimSun" w:hAnsi="SimSun" w:eastAsia="SimSun" w:cs="SimSun"/>
                <w:sz w:val="20"/>
                <w:szCs w:val="20"/>
              </w:rPr>
            </w:pPr>
            <w:r>
              <w:rPr>
                <w:rFonts w:ascii="SimSun" w:hAnsi="SimSun" w:eastAsia="SimSun" w:cs="SimSun"/>
                <w:sz w:val="20"/>
                <w:szCs w:val="20"/>
                <w:spacing w:val="8"/>
              </w:rPr>
              <w:t>节约水资源费</w:t>
            </w:r>
          </w:p>
        </w:tc>
        <w:tc>
          <w:tcPr>
            <w:tcW w:w="3478" w:type="dxa"/>
            <w:vAlign w:val="top"/>
          </w:tcPr>
          <w:p>
            <w:pPr>
              <w:pStyle w:val="TableText"/>
              <w:ind w:left="1470"/>
              <w:spacing w:before="94" w:line="195" w:lineRule="auto"/>
              <w:rPr/>
            </w:pPr>
            <w:r>
              <w:rPr/>
              <w:t>127.72</w:t>
            </w:r>
          </w:p>
        </w:tc>
      </w:tr>
      <w:tr>
        <w:trPr>
          <w:trHeight w:val="330" w:hRule="atLeast"/>
        </w:trPr>
        <w:tc>
          <w:tcPr>
            <w:tcW w:w="2355" w:type="dxa"/>
            <w:vAlign w:val="top"/>
            <w:vMerge w:val="continue"/>
            <w:tcBorders>
              <w:top w:val="nil"/>
              <w:bottom w:val="nil"/>
            </w:tcBorders>
          </w:tcPr>
          <w:p>
            <w:pPr>
              <w:rPr>
                <w:rFonts w:ascii="Arial"/>
                <w:sz w:val="21"/>
              </w:rPr>
            </w:pPr>
            <w:r/>
          </w:p>
        </w:tc>
        <w:tc>
          <w:tcPr>
            <w:tcW w:w="3250" w:type="dxa"/>
            <w:vAlign w:val="top"/>
          </w:tcPr>
          <w:p>
            <w:pPr>
              <w:ind w:left="1209"/>
              <w:spacing w:before="59" w:line="228" w:lineRule="auto"/>
              <w:rPr>
                <w:rFonts w:ascii="SimSun" w:hAnsi="SimSun" w:eastAsia="SimSun" w:cs="SimSun"/>
                <w:sz w:val="20"/>
                <w:szCs w:val="20"/>
              </w:rPr>
            </w:pPr>
            <w:r>
              <w:rPr>
                <w:rFonts w:ascii="SimSun" w:hAnsi="SimSun" w:eastAsia="SimSun" w:cs="SimSun"/>
                <w:sz w:val="20"/>
                <w:szCs w:val="20"/>
                <w:spacing w:val="6"/>
              </w:rPr>
              <w:t>综合利用</w:t>
            </w:r>
          </w:p>
        </w:tc>
        <w:tc>
          <w:tcPr>
            <w:tcW w:w="3478" w:type="dxa"/>
            <w:vAlign w:val="top"/>
          </w:tcPr>
          <w:p>
            <w:pPr>
              <w:pStyle w:val="TableText"/>
              <w:ind w:left="1559"/>
              <w:spacing w:before="94" w:line="195" w:lineRule="auto"/>
              <w:rPr/>
            </w:pPr>
            <w:r>
              <w:rPr>
                <w:spacing w:val="2"/>
              </w:rPr>
              <w:t>58.3</w:t>
            </w:r>
          </w:p>
        </w:tc>
      </w:tr>
      <w:tr>
        <w:trPr>
          <w:trHeight w:val="330" w:hRule="atLeast"/>
        </w:trPr>
        <w:tc>
          <w:tcPr>
            <w:tcW w:w="2355" w:type="dxa"/>
            <w:vAlign w:val="top"/>
            <w:vMerge w:val="continue"/>
            <w:tcBorders>
              <w:top w:val="nil"/>
              <w:bottom w:val="nil"/>
            </w:tcBorders>
          </w:tcPr>
          <w:p>
            <w:pPr>
              <w:rPr>
                <w:rFonts w:ascii="Arial"/>
                <w:sz w:val="21"/>
              </w:rPr>
            </w:pPr>
            <w:r/>
          </w:p>
        </w:tc>
        <w:tc>
          <w:tcPr>
            <w:tcW w:w="3250" w:type="dxa"/>
            <w:vAlign w:val="top"/>
          </w:tcPr>
          <w:p>
            <w:pPr>
              <w:ind w:left="1208"/>
              <w:spacing w:before="59" w:line="228" w:lineRule="auto"/>
              <w:rPr>
                <w:rFonts w:ascii="SimSun" w:hAnsi="SimSun" w:eastAsia="SimSun" w:cs="SimSun"/>
                <w:sz w:val="20"/>
                <w:szCs w:val="20"/>
              </w:rPr>
            </w:pPr>
            <w:r>
              <w:rPr>
                <w:rFonts w:ascii="SimSun" w:hAnsi="SimSun" w:eastAsia="SimSun" w:cs="SimSun"/>
                <w:sz w:val="20"/>
                <w:szCs w:val="20"/>
                <w:spacing w:val="7"/>
              </w:rPr>
              <w:t>牧业收益</w:t>
            </w:r>
          </w:p>
        </w:tc>
        <w:tc>
          <w:tcPr>
            <w:tcW w:w="3478" w:type="dxa"/>
            <w:vAlign w:val="top"/>
          </w:tcPr>
          <w:p>
            <w:pPr>
              <w:pStyle w:val="TableText"/>
              <w:ind w:left="1450"/>
              <w:spacing w:before="95" w:line="195" w:lineRule="auto"/>
              <w:rPr/>
            </w:pPr>
            <w:r>
              <w:rPr>
                <w:spacing w:val="-1"/>
              </w:rPr>
              <w:t>280.</w:t>
            </w:r>
            <w:r>
              <w:rPr>
                <w:spacing w:val="-23"/>
              </w:rPr>
              <w:t xml:space="preserve"> </w:t>
            </w:r>
            <w:r>
              <w:rPr>
                <w:spacing w:val="-1"/>
              </w:rPr>
              <w:t>14</w:t>
            </w:r>
          </w:p>
        </w:tc>
      </w:tr>
      <w:tr>
        <w:trPr>
          <w:trHeight w:val="330" w:hRule="atLeast"/>
        </w:trPr>
        <w:tc>
          <w:tcPr>
            <w:tcW w:w="2355" w:type="dxa"/>
            <w:vAlign w:val="top"/>
            <w:vMerge w:val="continue"/>
            <w:tcBorders>
              <w:top w:val="nil"/>
            </w:tcBorders>
          </w:tcPr>
          <w:p>
            <w:pPr>
              <w:rPr>
                <w:rFonts w:ascii="Arial"/>
                <w:sz w:val="21"/>
              </w:rPr>
            </w:pPr>
            <w:r/>
          </w:p>
        </w:tc>
        <w:tc>
          <w:tcPr>
            <w:tcW w:w="3250" w:type="dxa"/>
            <w:vAlign w:val="top"/>
          </w:tcPr>
          <w:p>
            <w:pPr>
              <w:ind w:left="1426"/>
              <w:spacing w:before="60" w:line="229" w:lineRule="auto"/>
              <w:rPr>
                <w:rFonts w:ascii="SimSun" w:hAnsi="SimSun" w:eastAsia="SimSun" w:cs="SimSun"/>
                <w:sz w:val="20"/>
                <w:szCs w:val="20"/>
              </w:rPr>
            </w:pPr>
            <w:r>
              <w:rPr>
                <w:rFonts w:ascii="SimSun" w:hAnsi="SimSun" w:eastAsia="SimSun" w:cs="SimSun"/>
                <w:sz w:val="20"/>
                <w:szCs w:val="20"/>
                <w:spacing w:val="2"/>
              </w:rPr>
              <w:t>小计</w:t>
            </w:r>
          </w:p>
        </w:tc>
        <w:tc>
          <w:tcPr>
            <w:tcW w:w="3478" w:type="dxa"/>
            <w:vAlign w:val="top"/>
          </w:tcPr>
          <w:p>
            <w:pPr>
              <w:pStyle w:val="TableText"/>
              <w:ind w:left="1449"/>
              <w:spacing w:before="96" w:line="195" w:lineRule="auto"/>
              <w:rPr/>
            </w:pPr>
            <w:r>
              <w:rPr>
                <w:spacing w:val="4"/>
              </w:rPr>
              <w:t>466.16</w:t>
            </w:r>
          </w:p>
        </w:tc>
      </w:tr>
      <w:tr>
        <w:trPr>
          <w:trHeight w:val="331" w:hRule="atLeast"/>
        </w:trPr>
        <w:tc>
          <w:tcPr>
            <w:tcW w:w="2355" w:type="dxa"/>
            <w:vAlign w:val="top"/>
            <w:vMerge w:val="restart"/>
            <w:tcBorders>
              <w:bottom w:val="nil"/>
            </w:tcBorders>
          </w:tcPr>
          <w:p>
            <w:pPr>
              <w:spacing w:line="331" w:lineRule="auto"/>
              <w:rPr>
                <w:rFonts w:ascii="Arial"/>
                <w:sz w:val="21"/>
              </w:rPr>
            </w:pPr>
            <w:r/>
          </w:p>
          <w:p>
            <w:pPr>
              <w:ind w:left="566"/>
              <w:spacing w:before="65" w:line="228" w:lineRule="auto"/>
              <w:rPr>
                <w:rFonts w:ascii="SimSun" w:hAnsi="SimSun" w:eastAsia="SimSun" w:cs="SimSun"/>
                <w:sz w:val="20"/>
                <w:szCs w:val="20"/>
              </w:rPr>
            </w:pPr>
            <w:r>
              <w:rPr>
                <w:rFonts w:ascii="SimSun" w:hAnsi="SimSun" w:eastAsia="SimSun" w:cs="SimSun"/>
                <w:sz w:val="20"/>
                <w:szCs w:val="20"/>
                <w:spacing w:val="5"/>
              </w:rPr>
              <w:t>间接经济效益</w:t>
            </w:r>
          </w:p>
        </w:tc>
        <w:tc>
          <w:tcPr>
            <w:tcW w:w="3250" w:type="dxa"/>
            <w:vAlign w:val="top"/>
          </w:tcPr>
          <w:p>
            <w:pPr>
              <w:ind w:left="787"/>
              <w:spacing w:before="62" w:line="228" w:lineRule="auto"/>
              <w:rPr>
                <w:rFonts w:ascii="SimSun" w:hAnsi="SimSun" w:eastAsia="SimSun" w:cs="SimSun"/>
                <w:sz w:val="20"/>
                <w:szCs w:val="20"/>
              </w:rPr>
            </w:pPr>
            <w:r>
              <w:rPr>
                <w:rFonts w:ascii="SimSun" w:hAnsi="SimSun" w:eastAsia="SimSun" w:cs="SimSun"/>
                <w:sz w:val="20"/>
                <w:szCs w:val="20"/>
                <w:spacing w:val="8"/>
              </w:rPr>
              <w:t>减少环境污染损失</w:t>
            </w:r>
          </w:p>
        </w:tc>
        <w:tc>
          <w:tcPr>
            <w:tcW w:w="3478" w:type="dxa"/>
            <w:vAlign w:val="top"/>
          </w:tcPr>
          <w:p>
            <w:pPr>
              <w:pStyle w:val="TableText"/>
              <w:ind w:left="1475"/>
              <w:spacing w:before="97" w:line="195" w:lineRule="auto"/>
              <w:rPr/>
            </w:pPr>
            <w:r>
              <w:rPr>
                <w:spacing w:val="-1"/>
              </w:rPr>
              <w:t>113.27</w:t>
            </w:r>
          </w:p>
        </w:tc>
      </w:tr>
      <w:tr>
        <w:trPr>
          <w:trHeight w:val="330" w:hRule="atLeast"/>
        </w:trPr>
        <w:tc>
          <w:tcPr>
            <w:tcW w:w="2355" w:type="dxa"/>
            <w:vAlign w:val="top"/>
            <w:vMerge w:val="continue"/>
            <w:tcBorders>
              <w:top w:val="nil"/>
              <w:bottom w:val="nil"/>
            </w:tcBorders>
          </w:tcPr>
          <w:p>
            <w:pPr>
              <w:rPr>
                <w:rFonts w:ascii="Arial"/>
                <w:sz w:val="21"/>
              </w:rPr>
            </w:pPr>
            <w:r/>
          </w:p>
        </w:tc>
        <w:tc>
          <w:tcPr>
            <w:tcW w:w="3250" w:type="dxa"/>
            <w:vAlign w:val="top"/>
          </w:tcPr>
          <w:p>
            <w:pPr>
              <w:ind w:left="1104"/>
              <w:spacing w:before="62" w:line="228" w:lineRule="auto"/>
              <w:rPr>
                <w:rFonts w:ascii="SimSun" w:hAnsi="SimSun" w:eastAsia="SimSun" w:cs="SimSun"/>
                <w:sz w:val="20"/>
                <w:szCs w:val="20"/>
              </w:rPr>
            </w:pPr>
            <w:r>
              <w:rPr>
                <w:rFonts w:ascii="SimSun" w:hAnsi="SimSun" w:eastAsia="SimSun" w:cs="SimSun"/>
                <w:sz w:val="20"/>
                <w:szCs w:val="20"/>
                <w:spacing w:val="8"/>
              </w:rPr>
              <w:t>减少环保税</w:t>
            </w:r>
          </w:p>
        </w:tc>
        <w:tc>
          <w:tcPr>
            <w:tcW w:w="3478" w:type="dxa"/>
            <w:vAlign w:val="top"/>
          </w:tcPr>
          <w:p>
            <w:pPr>
              <w:pStyle w:val="TableText"/>
              <w:ind w:left="1503"/>
              <w:spacing w:before="97" w:line="195" w:lineRule="auto"/>
              <w:rPr/>
            </w:pPr>
            <w:r>
              <w:rPr>
                <w:spacing w:val="3"/>
              </w:rPr>
              <w:t>207.3</w:t>
            </w:r>
          </w:p>
        </w:tc>
      </w:tr>
      <w:tr>
        <w:trPr>
          <w:trHeight w:val="331" w:hRule="atLeast"/>
        </w:trPr>
        <w:tc>
          <w:tcPr>
            <w:tcW w:w="2355" w:type="dxa"/>
            <w:vAlign w:val="top"/>
            <w:vMerge w:val="continue"/>
            <w:tcBorders>
              <w:top w:val="nil"/>
            </w:tcBorders>
          </w:tcPr>
          <w:p>
            <w:pPr>
              <w:rPr>
                <w:rFonts w:ascii="Arial"/>
                <w:sz w:val="21"/>
              </w:rPr>
            </w:pPr>
            <w:r/>
          </w:p>
        </w:tc>
        <w:tc>
          <w:tcPr>
            <w:tcW w:w="3250" w:type="dxa"/>
            <w:vAlign w:val="top"/>
          </w:tcPr>
          <w:p>
            <w:pPr>
              <w:ind w:left="1426"/>
              <w:spacing w:before="62" w:line="229" w:lineRule="auto"/>
              <w:rPr>
                <w:rFonts w:ascii="SimSun" w:hAnsi="SimSun" w:eastAsia="SimSun" w:cs="SimSun"/>
                <w:sz w:val="20"/>
                <w:szCs w:val="20"/>
              </w:rPr>
            </w:pPr>
            <w:r>
              <w:rPr>
                <w:rFonts w:ascii="SimSun" w:hAnsi="SimSun" w:eastAsia="SimSun" w:cs="SimSun"/>
                <w:sz w:val="20"/>
                <w:szCs w:val="20"/>
                <w:spacing w:val="2"/>
              </w:rPr>
              <w:t>小计</w:t>
            </w:r>
          </w:p>
        </w:tc>
        <w:tc>
          <w:tcPr>
            <w:tcW w:w="3478" w:type="dxa"/>
            <w:vAlign w:val="top"/>
          </w:tcPr>
          <w:p>
            <w:pPr>
              <w:pStyle w:val="TableText"/>
              <w:ind w:left="1454"/>
              <w:spacing w:before="98" w:line="195" w:lineRule="auto"/>
              <w:rPr/>
            </w:pPr>
            <w:r>
              <w:rPr>
                <w:spacing w:val="3"/>
              </w:rPr>
              <w:t>320.57</w:t>
            </w:r>
          </w:p>
        </w:tc>
      </w:tr>
      <w:tr>
        <w:trPr>
          <w:trHeight w:val="335" w:hRule="atLeast"/>
        </w:trPr>
        <w:tc>
          <w:tcPr>
            <w:tcW w:w="2355" w:type="dxa"/>
            <w:vAlign w:val="top"/>
          </w:tcPr>
          <w:p>
            <w:pPr>
              <w:ind w:left="343"/>
              <w:spacing w:before="63" w:line="228" w:lineRule="auto"/>
              <w:rPr>
                <w:rFonts w:ascii="SimSun" w:hAnsi="SimSun" w:eastAsia="SimSun" w:cs="SimSun"/>
                <w:sz w:val="20"/>
                <w:szCs w:val="20"/>
              </w:rPr>
            </w:pPr>
            <w:r>
              <w:rPr>
                <w:rFonts w:ascii="SimSun" w:hAnsi="SimSun" w:eastAsia="SimSun" w:cs="SimSun"/>
                <w:sz w:val="20"/>
                <w:szCs w:val="20"/>
                <w:spacing w:val="8"/>
              </w:rPr>
              <w:t>环境经济效益合计</w:t>
            </w:r>
          </w:p>
        </w:tc>
        <w:tc>
          <w:tcPr>
            <w:tcW w:w="3250" w:type="dxa"/>
            <w:vAlign w:val="top"/>
          </w:tcPr>
          <w:p>
            <w:pPr>
              <w:ind w:left="1421"/>
              <w:spacing w:before="62" w:line="229" w:lineRule="auto"/>
              <w:rPr>
                <w:rFonts w:ascii="SimSun" w:hAnsi="SimSun" w:eastAsia="SimSun" w:cs="SimSun"/>
                <w:sz w:val="20"/>
                <w:szCs w:val="20"/>
              </w:rPr>
            </w:pPr>
            <w:r>
              <w:rPr>
                <w:rFonts w:ascii="SimSun" w:hAnsi="SimSun" w:eastAsia="SimSun" w:cs="SimSun"/>
                <w:sz w:val="20"/>
                <w:szCs w:val="20"/>
                <w:spacing w:val="4"/>
              </w:rPr>
              <w:t>合计</w:t>
            </w:r>
          </w:p>
        </w:tc>
        <w:tc>
          <w:tcPr>
            <w:tcW w:w="3478" w:type="dxa"/>
            <w:vAlign w:val="top"/>
          </w:tcPr>
          <w:p>
            <w:pPr>
              <w:pStyle w:val="TableText"/>
              <w:ind w:left="1453"/>
              <w:spacing w:before="98" w:line="195" w:lineRule="auto"/>
              <w:rPr/>
            </w:pPr>
            <w:r>
              <w:rPr>
                <w:spacing w:val="3"/>
              </w:rPr>
              <w:t>786.73</w:t>
            </w:r>
          </w:p>
        </w:tc>
      </w:tr>
    </w:tbl>
    <w:p>
      <w:pPr>
        <w:ind w:left="17"/>
        <w:spacing w:before="23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8.2.4  </w:t>
      </w:r>
      <w:r>
        <w:rPr>
          <w:rFonts w:ascii="SimHei" w:hAnsi="SimHei" w:eastAsia="SimHei" w:cs="SimHei"/>
          <w:sz w:val="28"/>
          <w:szCs w:val="28"/>
          <w:b/>
          <w:bCs/>
          <w:spacing w:val="-2"/>
        </w:rPr>
        <w:t>环境经济效益评价</w:t>
      </w:r>
    </w:p>
    <w:p>
      <w:pPr>
        <w:ind w:left="503"/>
        <w:spacing w:before="172"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）年环境代价</w:t>
      </w:r>
    </w:p>
    <w:p>
      <w:pPr>
        <w:ind w:left="16" w:right="9" w:firstLine="480"/>
        <w:spacing w:before="174" w:line="332" w:lineRule="auto"/>
        <w:rPr>
          <w:rFonts w:ascii="SimSun" w:hAnsi="SimSun" w:eastAsia="SimSun" w:cs="SimSun"/>
          <w:sz w:val="24"/>
          <w:szCs w:val="24"/>
        </w:rPr>
      </w:pPr>
      <w:r>
        <w:rPr>
          <w:rFonts w:ascii="SimSun" w:hAnsi="SimSun" w:eastAsia="SimSun" w:cs="SimSun"/>
          <w:sz w:val="24"/>
          <w:szCs w:val="24"/>
          <w:spacing w:val="-1"/>
        </w:rPr>
        <w:t>年环境代价</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d</w:t>
      </w:r>
      <w:r>
        <w:rPr>
          <w:rFonts w:ascii="Times New Roman" w:hAnsi="Times New Roman" w:eastAsia="Times New Roman" w:cs="Times New Roman"/>
          <w:sz w:val="15"/>
          <w:szCs w:val="15"/>
          <w:spacing w:val="-12"/>
          <w:position w:val="-1"/>
        </w:rPr>
        <w:t xml:space="preserve"> </w:t>
      </w:r>
      <w:r>
        <w:rPr>
          <w:rFonts w:ascii="SimSun" w:hAnsi="SimSun" w:eastAsia="SimSun" w:cs="SimSun"/>
          <w:sz w:val="24"/>
          <w:szCs w:val="24"/>
          <w:spacing w:val="-1"/>
        </w:rPr>
        <w:t>即是项目投入的年环境保护费用</w:t>
      </w:r>
      <w:r>
        <w:rPr>
          <w:rFonts w:ascii="Times New Roman" w:hAnsi="Times New Roman" w:eastAsia="Times New Roman" w:cs="Times New Roman"/>
          <w:sz w:val="24"/>
          <w:szCs w:val="24"/>
          <w:spacing w:val="-1"/>
        </w:rPr>
        <w:t>E</w:t>
      </w:r>
      <w:r>
        <w:rPr>
          <w:rFonts w:ascii="Times New Roman" w:hAnsi="Times New Roman" w:eastAsia="Times New Roman" w:cs="Times New Roman"/>
          <w:sz w:val="15"/>
          <w:szCs w:val="15"/>
          <w:spacing w:val="-1"/>
          <w:position w:val="-1"/>
        </w:rPr>
        <w:t>t</w:t>
      </w:r>
      <w:r>
        <w:rPr>
          <w:rFonts w:ascii="SimSun" w:hAnsi="SimSun" w:eastAsia="SimSun" w:cs="SimSun"/>
          <w:sz w:val="24"/>
          <w:szCs w:val="24"/>
          <w:spacing w:val="-1"/>
        </w:rPr>
        <w:t>（包括外部费用和内部费</w:t>
      </w:r>
      <w:r>
        <w:rPr>
          <w:rFonts w:ascii="SimSun" w:hAnsi="SimSun" w:eastAsia="SimSun" w:cs="SimSun"/>
          <w:sz w:val="24"/>
          <w:szCs w:val="24"/>
          <w:spacing w:val="-2"/>
        </w:rPr>
        <w:t>用）和年</w:t>
      </w:r>
      <w:r>
        <w:rPr>
          <w:rFonts w:ascii="SimSun" w:hAnsi="SimSun" w:eastAsia="SimSun" w:cs="SimSun"/>
          <w:sz w:val="24"/>
          <w:szCs w:val="24"/>
          <w:spacing w:val="-1"/>
        </w:rPr>
        <w:t>环境损失费用</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s</w:t>
      </w:r>
      <w:r>
        <w:rPr>
          <w:rFonts w:ascii="SimSun" w:hAnsi="SimSun" w:eastAsia="SimSun" w:cs="SimSun"/>
          <w:sz w:val="24"/>
          <w:szCs w:val="24"/>
          <w:spacing w:val="-1"/>
        </w:rPr>
        <w:t>之和，合计为</w:t>
      </w:r>
      <w:r>
        <w:rPr>
          <w:rFonts w:ascii="Times New Roman" w:hAnsi="Times New Roman" w:eastAsia="Times New Roman" w:cs="Times New Roman"/>
          <w:sz w:val="24"/>
          <w:szCs w:val="24"/>
          <w:spacing w:val="-1"/>
        </w:rPr>
        <w:t>591.06</w:t>
      </w:r>
      <w:r>
        <w:rPr>
          <w:rFonts w:ascii="SimSun" w:hAnsi="SimSun" w:eastAsia="SimSun" w:cs="SimSun"/>
          <w:sz w:val="24"/>
          <w:szCs w:val="24"/>
          <w:spacing w:val="-1"/>
        </w:rPr>
        <w:t>万元</w:t>
      </w:r>
      <w:r>
        <w:rPr>
          <w:rFonts w:ascii="Times New Roman" w:hAnsi="Times New Roman" w:eastAsia="Times New Roman" w:cs="Times New Roman"/>
          <w:sz w:val="24"/>
          <w:szCs w:val="24"/>
          <w:spacing w:val="-1"/>
        </w:rPr>
        <w:t>/</w:t>
      </w:r>
      <w:r>
        <w:rPr>
          <w:rFonts w:ascii="SimSun" w:hAnsi="SimSun" w:eastAsia="SimSun" w:cs="SimSun"/>
          <w:sz w:val="24"/>
          <w:szCs w:val="24"/>
          <w:spacing w:val="-1"/>
        </w:rPr>
        <w:t>年。</w:t>
      </w:r>
    </w:p>
    <w:p>
      <w:pPr>
        <w:ind w:left="503"/>
        <w:spacing w:before="1" w:line="218"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2</w:t>
      </w:r>
      <w:r>
        <w:rPr>
          <w:rFonts w:ascii="SimSun" w:hAnsi="SimSun" w:eastAsia="SimSun" w:cs="SimSun"/>
          <w:sz w:val="24"/>
          <w:szCs w:val="24"/>
          <w:spacing w:val="-3"/>
        </w:rPr>
        <w:t>）环境成本</w:t>
      </w:r>
    </w:p>
    <w:p>
      <w:pPr>
        <w:ind w:left="17" w:right="9" w:firstLine="479"/>
        <w:spacing w:before="128" w:line="336" w:lineRule="auto"/>
        <w:rPr>
          <w:rFonts w:ascii="SimSun" w:hAnsi="SimSun" w:eastAsia="SimSun" w:cs="SimSun"/>
          <w:sz w:val="24"/>
          <w:szCs w:val="24"/>
        </w:rPr>
      </w:pPr>
      <w:r>
        <w:rPr>
          <w:rFonts w:ascii="SimSun" w:hAnsi="SimSun" w:eastAsia="SimSun" w:cs="SimSun"/>
          <w:sz w:val="24"/>
          <w:szCs w:val="24"/>
          <w:spacing w:val="-1"/>
        </w:rPr>
        <w:t>环境成本</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b</w:t>
      </w:r>
      <w:r>
        <w:rPr>
          <w:rFonts w:ascii="SimSun" w:hAnsi="SimSun" w:eastAsia="SimSun" w:cs="SimSun"/>
          <w:sz w:val="24"/>
          <w:szCs w:val="24"/>
          <w:spacing w:val="-1"/>
        </w:rPr>
        <w:t>是指开发项目单位产品的环境代价，即</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b</w:t>
      </w:r>
      <w:r>
        <w:rPr>
          <w:rFonts w:ascii="Times New Roman" w:hAnsi="Times New Roman" w:eastAsia="Times New Roman" w:cs="Times New Roman"/>
          <w:sz w:val="24"/>
          <w:szCs w:val="24"/>
          <w:spacing w:val="-1"/>
        </w:rPr>
        <w:t>=H</w:t>
      </w:r>
      <w:r>
        <w:rPr>
          <w:rFonts w:ascii="Times New Roman" w:hAnsi="Times New Roman" w:eastAsia="Times New Roman" w:cs="Times New Roman"/>
          <w:sz w:val="15"/>
          <w:szCs w:val="15"/>
          <w:spacing w:val="-1"/>
          <w:position w:val="-1"/>
        </w:rPr>
        <w:t>d</w:t>
      </w:r>
      <w:r>
        <w:rPr>
          <w:rFonts w:ascii="Times New Roman" w:hAnsi="Times New Roman" w:eastAsia="Times New Roman" w:cs="Times New Roman"/>
          <w:sz w:val="24"/>
          <w:szCs w:val="24"/>
          <w:spacing w:val="-1"/>
        </w:rPr>
        <w:t>/M</w:t>
      </w:r>
      <w:r>
        <w:rPr>
          <w:rFonts w:ascii="Times New Roman" w:hAnsi="Times New Roman" w:eastAsia="Times New Roman" w:cs="Times New Roman"/>
          <w:sz w:val="24"/>
          <w:szCs w:val="24"/>
          <w:spacing w:val="-13"/>
        </w:rPr>
        <w:t xml:space="preserve"> </w:t>
      </w:r>
      <w:r>
        <w:rPr>
          <w:rFonts w:ascii="SimSun" w:hAnsi="SimSun" w:eastAsia="SimSun" w:cs="SimSun"/>
          <w:sz w:val="24"/>
          <w:szCs w:val="24"/>
          <w:spacing w:val="-1"/>
        </w:rPr>
        <w:t>，</w:t>
      </w:r>
      <w:r>
        <w:rPr>
          <w:rFonts w:ascii="Times New Roman" w:hAnsi="Times New Roman" w:eastAsia="Times New Roman" w:cs="Times New Roman"/>
          <w:sz w:val="24"/>
          <w:szCs w:val="24"/>
          <w:spacing w:val="-1"/>
        </w:rPr>
        <w:t>M</w:t>
      </w:r>
      <w:r>
        <w:rPr>
          <w:rFonts w:ascii="SimSun" w:hAnsi="SimSun" w:eastAsia="SimSun" w:cs="SimSun"/>
          <w:sz w:val="24"/>
          <w:szCs w:val="24"/>
          <w:spacing w:val="-1"/>
        </w:rPr>
        <w:t>是产品产量（按新</w:t>
      </w:r>
      <w:r>
        <w:rPr>
          <w:rFonts w:ascii="SimSun" w:hAnsi="SimSun" w:eastAsia="SimSun" w:cs="SimSun"/>
          <w:sz w:val="24"/>
          <w:szCs w:val="24"/>
          <w:spacing w:val="-2"/>
        </w:rPr>
        <w:t>增原煤产量计</w:t>
      </w:r>
      <w:r>
        <w:rPr>
          <w:rFonts w:ascii="SimSun" w:hAnsi="SimSun" w:eastAsia="SimSun" w:cs="SimSun"/>
          <w:sz w:val="24"/>
          <w:szCs w:val="24"/>
          <w:spacing w:val="9"/>
        </w:rPr>
        <w:t>），</w:t>
      </w:r>
      <w:r>
        <w:rPr>
          <w:rFonts w:ascii="SimSun" w:hAnsi="SimSun" w:eastAsia="SimSun" w:cs="SimSun"/>
          <w:sz w:val="24"/>
          <w:szCs w:val="24"/>
          <w:spacing w:val="-2"/>
        </w:rPr>
        <w:t>经计算，项目的年环境成本为</w:t>
      </w:r>
      <w:r>
        <w:rPr>
          <w:rFonts w:ascii="Times New Roman" w:hAnsi="Times New Roman" w:eastAsia="Times New Roman" w:cs="Times New Roman"/>
          <w:sz w:val="24"/>
          <w:szCs w:val="24"/>
          <w:spacing w:val="-2"/>
        </w:rPr>
        <w:t>1.</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18</w:t>
      </w:r>
      <w:r>
        <w:rPr>
          <w:rFonts w:ascii="SimSun" w:hAnsi="SimSun" w:eastAsia="SimSun" w:cs="SimSun"/>
          <w:sz w:val="24"/>
          <w:szCs w:val="24"/>
          <w:spacing w:val="-2"/>
        </w:rPr>
        <w:t>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吨原煤。</w:t>
      </w:r>
    </w:p>
    <w:p>
      <w:pPr>
        <w:ind w:left="503"/>
        <w:spacing w:before="34" w:line="219" w:lineRule="auto"/>
        <w:rPr>
          <w:rFonts w:ascii="SimSun" w:hAnsi="SimSun" w:eastAsia="SimSun" w:cs="SimSun"/>
          <w:sz w:val="24"/>
          <w:szCs w:val="24"/>
        </w:rPr>
      </w:pPr>
      <w:r>
        <w:rPr>
          <w:rFonts w:ascii="SimSun" w:hAnsi="SimSun" w:eastAsia="SimSun" w:cs="SimSun"/>
          <w:sz w:val="24"/>
          <w:szCs w:val="24"/>
          <w:spacing w:val="-3"/>
        </w:rPr>
        <w:t>（</w:t>
      </w:r>
      <w:r>
        <w:rPr>
          <w:rFonts w:ascii="Times New Roman" w:hAnsi="Times New Roman" w:eastAsia="Times New Roman" w:cs="Times New Roman"/>
          <w:sz w:val="24"/>
          <w:szCs w:val="24"/>
          <w:spacing w:val="-3"/>
        </w:rPr>
        <w:t>3</w:t>
      </w:r>
      <w:r>
        <w:rPr>
          <w:rFonts w:ascii="SimSun" w:hAnsi="SimSun" w:eastAsia="SimSun" w:cs="SimSun"/>
          <w:sz w:val="24"/>
          <w:szCs w:val="24"/>
          <w:spacing w:val="-3"/>
        </w:rPr>
        <w:t>）环境系数</w:t>
      </w:r>
    </w:p>
    <w:p>
      <w:pPr>
        <w:ind w:left="496"/>
        <w:spacing w:before="128" w:line="323" w:lineRule="exact"/>
        <w:rPr>
          <w:rFonts w:ascii="SimSun" w:hAnsi="SimSun" w:eastAsia="SimSun" w:cs="SimSun"/>
          <w:sz w:val="24"/>
          <w:szCs w:val="24"/>
        </w:rPr>
      </w:pPr>
      <w:r>
        <w:rPr>
          <w:rFonts w:ascii="SimSun" w:hAnsi="SimSun" w:eastAsia="SimSun" w:cs="SimSun"/>
          <w:sz w:val="24"/>
          <w:szCs w:val="24"/>
          <w:position w:val="1"/>
        </w:rPr>
        <w:t>环境系数是指年环境代价与年工业产值的比值，即</w:t>
      </w:r>
      <w:r>
        <w:rPr>
          <w:rFonts w:ascii="Times New Roman" w:hAnsi="Times New Roman" w:eastAsia="Times New Roman" w:cs="Times New Roman"/>
          <w:sz w:val="24"/>
          <w:szCs w:val="24"/>
          <w:position w:val="1"/>
        </w:rPr>
        <w:t>H</w:t>
      </w:r>
      <w:r>
        <w:rPr>
          <w:rFonts w:ascii="Times New Roman" w:hAnsi="Times New Roman" w:eastAsia="Times New Roman" w:cs="Times New Roman"/>
          <w:sz w:val="15"/>
          <w:szCs w:val="15"/>
        </w:rPr>
        <w:t>x</w:t>
      </w:r>
      <w:r>
        <w:rPr>
          <w:rFonts w:ascii="Times New Roman" w:hAnsi="Times New Roman" w:eastAsia="Times New Roman" w:cs="Times New Roman"/>
          <w:sz w:val="24"/>
          <w:szCs w:val="24"/>
          <w:position w:val="1"/>
        </w:rPr>
        <w:t>=H</w:t>
      </w:r>
      <w:r>
        <w:rPr>
          <w:rFonts w:ascii="Times New Roman" w:hAnsi="Times New Roman" w:eastAsia="Times New Roman" w:cs="Times New Roman"/>
          <w:sz w:val="15"/>
          <w:szCs w:val="15"/>
        </w:rPr>
        <w:t>d</w:t>
      </w:r>
      <w:r>
        <w:rPr>
          <w:rFonts w:ascii="Times New Roman" w:hAnsi="Times New Roman" w:eastAsia="Times New Roman" w:cs="Times New Roman"/>
          <w:sz w:val="24"/>
          <w:szCs w:val="24"/>
          <w:spacing w:val="-1"/>
          <w:position w:val="1"/>
        </w:rPr>
        <w:t>/G</w:t>
      </w:r>
      <w:r>
        <w:rPr>
          <w:rFonts w:ascii="Times New Roman" w:hAnsi="Times New Roman" w:eastAsia="Times New Roman" w:cs="Times New Roman"/>
          <w:sz w:val="15"/>
          <w:szCs w:val="15"/>
          <w:spacing w:val="-1"/>
        </w:rPr>
        <w:t>e</w:t>
      </w:r>
      <w:r>
        <w:rPr>
          <w:rFonts w:ascii="SimSun" w:hAnsi="SimSun" w:eastAsia="SimSun" w:cs="SimSun"/>
          <w:sz w:val="24"/>
          <w:szCs w:val="24"/>
          <w:spacing w:val="-1"/>
          <w:position w:val="1"/>
        </w:rPr>
        <w:t>。</w:t>
      </w:r>
    </w:p>
    <w:p>
      <w:pPr>
        <w:ind w:left="11" w:right="9" w:firstLine="487"/>
        <w:spacing w:before="163" w:line="331" w:lineRule="auto"/>
        <w:rPr>
          <w:rFonts w:ascii="SimSun" w:hAnsi="SimSun" w:eastAsia="SimSun" w:cs="SimSun"/>
          <w:sz w:val="24"/>
          <w:szCs w:val="24"/>
        </w:rPr>
      </w:pPr>
      <w:r>
        <w:rPr>
          <w:rFonts w:ascii="SimSun" w:hAnsi="SimSun" w:eastAsia="SimSun" w:cs="SimSun"/>
          <w:sz w:val="24"/>
          <w:szCs w:val="24"/>
          <w:spacing w:val="-3"/>
        </w:rPr>
        <w:t>经计算，本项目环境系数为</w:t>
      </w:r>
      <w:r>
        <w:rPr>
          <w:rFonts w:ascii="Times New Roman" w:hAnsi="Times New Roman" w:eastAsia="Times New Roman" w:cs="Times New Roman"/>
          <w:sz w:val="24"/>
          <w:szCs w:val="24"/>
          <w:spacing w:val="-3"/>
        </w:rPr>
        <w:t>0.0041</w:t>
      </w:r>
      <w:r>
        <w:rPr>
          <w:rFonts w:ascii="SimSun" w:hAnsi="SimSun" w:eastAsia="SimSun" w:cs="SimSun"/>
          <w:sz w:val="24"/>
          <w:szCs w:val="24"/>
          <w:spacing w:val="-3"/>
        </w:rPr>
        <w:t>，说明项目创造</w:t>
      </w:r>
      <w:r>
        <w:rPr>
          <w:rFonts w:ascii="Times New Roman" w:hAnsi="Times New Roman" w:eastAsia="Times New Roman" w:cs="Times New Roman"/>
          <w:sz w:val="24"/>
          <w:szCs w:val="24"/>
          <w:spacing w:val="-3"/>
        </w:rPr>
        <w:t>1</w:t>
      </w:r>
      <w:r>
        <w:rPr>
          <w:rFonts w:ascii="SimSun" w:hAnsi="SimSun" w:eastAsia="SimSun" w:cs="SimSun"/>
          <w:sz w:val="24"/>
          <w:szCs w:val="24"/>
          <w:spacing w:val="-3"/>
        </w:rPr>
        <w:t>万元的产值，付出的环境代价达</w:t>
      </w:r>
      <w:r>
        <w:rPr>
          <w:rFonts w:ascii="Times New Roman" w:hAnsi="Times New Roman" w:eastAsia="Times New Roman" w:cs="Times New Roman"/>
          <w:sz w:val="24"/>
          <w:szCs w:val="24"/>
          <w:spacing w:val="-1"/>
        </w:rPr>
        <w:t>41</w:t>
      </w:r>
      <w:r>
        <w:rPr>
          <w:rFonts w:ascii="SimSun" w:hAnsi="SimSun" w:eastAsia="SimSun" w:cs="SimSun"/>
          <w:sz w:val="24"/>
          <w:szCs w:val="24"/>
          <w:spacing w:val="-1"/>
        </w:rPr>
        <w:t>元。</w:t>
      </w:r>
    </w:p>
    <w:p>
      <w:pPr>
        <w:ind w:left="503"/>
        <w:spacing w:line="22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4</w:t>
      </w:r>
      <w:r>
        <w:rPr>
          <w:rFonts w:ascii="SimSun" w:hAnsi="SimSun" w:eastAsia="SimSun" w:cs="SimSun"/>
          <w:sz w:val="24"/>
          <w:szCs w:val="24"/>
          <w:spacing w:val="-1"/>
        </w:rPr>
        <w:t>）环境保护工程的经济损益分析</w:t>
      </w:r>
    </w:p>
    <w:p>
      <w:pPr>
        <w:ind w:left="495" w:right="921"/>
        <w:spacing w:before="152" w:line="342" w:lineRule="auto"/>
        <w:rPr>
          <w:rFonts w:ascii="Times New Roman" w:hAnsi="Times New Roman" w:eastAsia="Times New Roman" w:cs="Times New Roman"/>
          <w:sz w:val="24"/>
          <w:szCs w:val="24"/>
        </w:rPr>
      </w:pPr>
      <w:r>
        <w:rPr>
          <w:rFonts w:ascii="SimSun" w:hAnsi="SimSun" w:eastAsia="SimSun" w:cs="SimSun"/>
          <w:sz w:val="24"/>
          <w:szCs w:val="24"/>
        </w:rPr>
        <w:t>采用费用</w:t>
      </w:r>
      <w:r>
        <w:rPr>
          <w:rFonts w:ascii="Times New Roman" w:hAnsi="Times New Roman" w:eastAsia="Times New Roman" w:cs="Times New Roman"/>
          <w:sz w:val="24"/>
          <w:szCs w:val="24"/>
        </w:rPr>
        <w:t>——</w:t>
      </w:r>
      <w:r>
        <w:rPr>
          <w:rFonts w:ascii="SimSun" w:hAnsi="SimSun" w:eastAsia="SimSun" w:cs="SimSun"/>
          <w:sz w:val="24"/>
          <w:szCs w:val="24"/>
        </w:rPr>
        <w:t>效益分析法分析本项目采取的环境保</w:t>
      </w:r>
      <w:r>
        <w:rPr>
          <w:rFonts w:ascii="SimSun" w:hAnsi="SimSun" w:eastAsia="SimSun" w:cs="SimSun"/>
          <w:sz w:val="24"/>
          <w:szCs w:val="24"/>
          <w:spacing w:val="-1"/>
        </w:rPr>
        <w:t>护工程的经济效益，即</w:t>
      </w:r>
      <w:r>
        <w:rPr>
          <w:rFonts w:ascii="SimSun" w:hAnsi="SimSun" w:eastAsia="SimSun" w:cs="SimSun"/>
          <w:sz w:val="24"/>
          <w:szCs w:val="24"/>
          <w:spacing w:val="-1"/>
        </w:rPr>
        <w:t>环境保护工程经济效益系数</w:t>
      </w:r>
      <w:r>
        <w:rPr>
          <w:rFonts w:ascii="Times New Roman" w:hAnsi="Times New Roman" w:eastAsia="Times New Roman" w:cs="Times New Roman"/>
          <w:sz w:val="24"/>
          <w:szCs w:val="24"/>
          <w:spacing w:val="-1"/>
        </w:rPr>
        <w:t>E=</w:t>
      </w:r>
      <w:r>
        <w:rPr>
          <w:rFonts w:ascii="SimSun" w:hAnsi="SimSun" w:eastAsia="SimSun" w:cs="SimSun"/>
          <w:sz w:val="24"/>
          <w:szCs w:val="24"/>
          <w:spacing w:val="-1"/>
        </w:rPr>
        <w:t>收益</w:t>
      </w:r>
      <w:r>
        <w:rPr>
          <w:rFonts w:ascii="Times New Roman" w:hAnsi="Times New Roman" w:eastAsia="Times New Roman" w:cs="Times New Roman"/>
          <w:sz w:val="24"/>
          <w:szCs w:val="24"/>
          <w:spacing w:val="-1"/>
        </w:rPr>
        <w:t>B/</w:t>
      </w:r>
      <w:r>
        <w:rPr>
          <w:rFonts w:ascii="SimSun" w:hAnsi="SimSun" w:eastAsia="SimSun" w:cs="SimSun"/>
          <w:sz w:val="24"/>
          <w:szCs w:val="24"/>
          <w:spacing w:val="-1"/>
        </w:rPr>
        <w:t>费用</w:t>
      </w:r>
      <w:r>
        <w:rPr>
          <w:rFonts w:ascii="Times New Roman" w:hAnsi="Times New Roman" w:eastAsia="Times New Roman" w:cs="Times New Roman"/>
          <w:sz w:val="24"/>
          <w:szCs w:val="24"/>
          <w:spacing w:val="-1"/>
        </w:rPr>
        <w:t>C</w:t>
      </w:r>
    </w:p>
    <w:p>
      <w:pPr>
        <w:spacing w:line="342" w:lineRule="auto"/>
        <w:sectPr>
          <w:headerReference w:type="default" r:id="rId542"/>
          <w:footerReference w:type="default" r:id="rId543"/>
          <w:pgSz w:w="11906" w:h="16838"/>
          <w:pgMar w:top="1114" w:right="1407" w:bottom="1080" w:left="1408" w:header="837" w:footer="918" w:gutter="0"/>
        </w:sectPr>
        <w:rPr>
          <w:rFonts w:ascii="Times New Roman" w:hAnsi="Times New Roman" w:eastAsia="Times New Roman" w:cs="Times New Roman"/>
          <w:sz w:val="24"/>
          <w:szCs w:val="24"/>
        </w:rPr>
      </w:pPr>
    </w:p>
    <w:p>
      <w:pPr>
        <w:pStyle w:val="BodyText"/>
        <w:spacing w:line="367" w:lineRule="auto"/>
        <w:rPr/>
      </w:pPr>
      <w:r/>
    </w:p>
    <w:p>
      <w:pPr>
        <w:ind w:left="8" w:right="4" w:firstLine="480"/>
        <w:spacing w:before="78" w:line="339" w:lineRule="auto"/>
        <w:rPr>
          <w:rFonts w:ascii="SimSun" w:hAnsi="SimSun" w:eastAsia="SimSun" w:cs="SimSun"/>
          <w:sz w:val="24"/>
          <w:szCs w:val="24"/>
        </w:rPr>
      </w:pPr>
      <w:r>
        <w:rPr>
          <w:rFonts w:ascii="SimSun" w:hAnsi="SimSun" w:eastAsia="SimSun" w:cs="SimSun"/>
          <w:sz w:val="24"/>
          <w:szCs w:val="24"/>
        </w:rPr>
        <w:t>环境保护工程的收益</w:t>
      </w:r>
      <w:r>
        <w:rPr>
          <w:rFonts w:ascii="Times New Roman" w:hAnsi="Times New Roman" w:eastAsia="Times New Roman" w:cs="Times New Roman"/>
          <w:sz w:val="24"/>
          <w:szCs w:val="24"/>
        </w:rPr>
        <w:t>B</w:t>
      </w:r>
      <w:r>
        <w:rPr>
          <w:rFonts w:ascii="SimSun" w:hAnsi="SimSun" w:eastAsia="SimSun" w:cs="SimSun"/>
          <w:sz w:val="24"/>
          <w:szCs w:val="24"/>
        </w:rPr>
        <w:t>就是项目采取环境保护措施后挽回的经济损失，环境保护工</w:t>
      </w:r>
      <w:r>
        <w:rPr>
          <w:rFonts w:ascii="SimSun" w:hAnsi="SimSun" w:eastAsia="SimSun" w:cs="SimSun"/>
          <w:sz w:val="24"/>
          <w:szCs w:val="24"/>
          <w:spacing w:val="-1"/>
        </w:rPr>
        <w:t>程费用</w:t>
      </w:r>
      <w:r>
        <w:rPr>
          <w:rFonts w:ascii="Times New Roman" w:hAnsi="Times New Roman" w:eastAsia="Times New Roman" w:cs="Times New Roman"/>
          <w:sz w:val="24"/>
          <w:szCs w:val="24"/>
          <w:spacing w:val="-1"/>
        </w:rPr>
        <w:t>C</w:t>
      </w:r>
      <w:r>
        <w:rPr>
          <w:rFonts w:ascii="SimSun" w:hAnsi="SimSun" w:eastAsia="SimSun" w:cs="SimSun"/>
          <w:sz w:val="24"/>
          <w:szCs w:val="24"/>
          <w:spacing w:val="-1"/>
        </w:rPr>
        <w:t>是指环境保护工程运行费用。</w:t>
      </w:r>
    </w:p>
    <w:p>
      <w:pPr>
        <w:ind w:left="9" w:firstLine="481"/>
        <w:spacing w:before="1" w:line="323" w:lineRule="auto"/>
        <w:jc w:val="both"/>
        <w:rPr>
          <w:rFonts w:ascii="SimSun" w:hAnsi="SimSun" w:eastAsia="SimSun" w:cs="SimSun"/>
          <w:sz w:val="24"/>
          <w:szCs w:val="24"/>
        </w:rPr>
      </w:pPr>
      <w:r>
        <w:rPr>
          <w:rFonts w:ascii="SimSun" w:hAnsi="SimSun" w:eastAsia="SimSun" w:cs="SimSun"/>
          <w:sz w:val="24"/>
          <w:szCs w:val="24"/>
          <w:spacing w:val="-2"/>
        </w:rPr>
        <w:t>经计算，由于采取了相应的环保工程措施，挽回的总经济损失达</w:t>
      </w:r>
      <w:r>
        <w:rPr>
          <w:rFonts w:ascii="Times New Roman" w:hAnsi="Times New Roman" w:eastAsia="Times New Roman" w:cs="Times New Roman"/>
          <w:sz w:val="24"/>
          <w:szCs w:val="24"/>
          <w:spacing w:val="-2"/>
        </w:rPr>
        <w:t>786.73</w:t>
      </w:r>
      <w:r>
        <w:rPr>
          <w:rFonts w:ascii="SimSun" w:hAnsi="SimSun" w:eastAsia="SimSun" w:cs="SimSun"/>
          <w:sz w:val="24"/>
          <w:szCs w:val="24"/>
          <w:spacing w:val="-2"/>
        </w:rPr>
        <w:t>万元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年，而</w:t>
      </w:r>
      <w:r>
        <w:rPr>
          <w:rFonts w:ascii="SimSun" w:hAnsi="SimSun" w:eastAsia="SimSun" w:cs="SimSun"/>
          <w:sz w:val="24"/>
          <w:szCs w:val="24"/>
          <w:spacing w:val="-2"/>
        </w:rPr>
        <w:t>每年投入的环保工程费用为</w:t>
      </w:r>
      <w:r>
        <w:rPr>
          <w:rFonts w:ascii="Times New Roman" w:hAnsi="Times New Roman" w:eastAsia="Times New Roman" w:cs="Times New Roman"/>
          <w:sz w:val="24"/>
          <w:szCs w:val="24"/>
          <w:spacing w:val="-2"/>
        </w:rPr>
        <w:t>591.06</w:t>
      </w:r>
      <w:r>
        <w:rPr>
          <w:rFonts w:ascii="SimSun" w:hAnsi="SimSun" w:eastAsia="SimSun" w:cs="SimSun"/>
          <w:sz w:val="24"/>
          <w:szCs w:val="24"/>
          <w:spacing w:val="-2"/>
        </w:rPr>
        <w:t>万元</w:t>
      </w:r>
      <w:r>
        <w:rPr>
          <w:rFonts w:ascii="Times New Roman" w:hAnsi="Times New Roman" w:eastAsia="Times New Roman" w:cs="Times New Roman"/>
          <w:sz w:val="24"/>
          <w:szCs w:val="24"/>
          <w:spacing w:val="-2"/>
        </w:rPr>
        <w:t>/</w:t>
      </w:r>
      <w:r>
        <w:rPr>
          <w:rFonts w:ascii="SimSun" w:hAnsi="SimSun" w:eastAsia="SimSun" w:cs="SimSun"/>
          <w:sz w:val="24"/>
          <w:szCs w:val="24"/>
          <w:spacing w:val="-2"/>
        </w:rPr>
        <w:t>年，项目的</w:t>
      </w:r>
      <w:r>
        <w:rPr>
          <w:rFonts w:ascii="SimSun" w:hAnsi="SimSun" w:eastAsia="SimSun" w:cs="SimSun"/>
          <w:sz w:val="24"/>
          <w:szCs w:val="24"/>
          <w:spacing w:val="-3"/>
        </w:rPr>
        <w:t>环境保护工程效益指数</w:t>
      </w:r>
      <w:r>
        <w:rPr>
          <w:rFonts w:ascii="Times New Roman" w:hAnsi="Times New Roman" w:eastAsia="Times New Roman" w:cs="Times New Roman"/>
          <w:sz w:val="24"/>
          <w:szCs w:val="24"/>
          <w:spacing w:val="-3"/>
        </w:rPr>
        <w:t>E=</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1.33</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，说明</w:t>
      </w:r>
      <w:r>
        <w:rPr>
          <w:rFonts w:ascii="SimSun" w:hAnsi="SimSun" w:eastAsia="SimSun" w:cs="SimSun"/>
          <w:sz w:val="24"/>
          <w:szCs w:val="24"/>
        </w:rPr>
        <w:t>本项目每投入</w:t>
      </w:r>
      <w:r>
        <w:rPr>
          <w:rFonts w:ascii="Times New Roman" w:hAnsi="Times New Roman" w:eastAsia="Times New Roman" w:cs="Times New Roman"/>
          <w:sz w:val="24"/>
          <w:szCs w:val="24"/>
        </w:rPr>
        <w:t>1</w:t>
      </w:r>
      <w:r>
        <w:rPr>
          <w:rFonts w:ascii="SimSun" w:hAnsi="SimSun" w:eastAsia="SimSun" w:cs="SimSun"/>
          <w:sz w:val="24"/>
          <w:szCs w:val="24"/>
        </w:rPr>
        <w:t>万元的环境保护治理费用可获得</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1"/>
        </w:rPr>
        <w:t>.33</w:t>
      </w:r>
      <w:r>
        <w:rPr>
          <w:rFonts w:ascii="SimSun" w:hAnsi="SimSun" w:eastAsia="SimSun" w:cs="SimSun"/>
          <w:sz w:val="24"/>
          <w:szCs w:val="24"/>
          <w:spacing w:val="-1"/>
        </w:rPr>
        <w:t>万元的经济效益。</w:t>
      </w:r>
    </w:p>
    <w:p>
      <w:pPr>
        <w:ind w:left="9" w:right="5" w:firstLine="481"/>
        <w:spacing w:before="59" w:line="340" w:lineRule="auto"/>
        <w:rPr>
          <w:rFonts w:ascii="SimSun" w:hAnsi="SimSun" w:eastAsia="SimSun" w:cs="SimSun"/>
          <w:sz w:val="24"/>
          <w:szCs w:val="24"/>
        </w:rPr>
      </w:pPr>
      <w:r>
        <w:rPr>
          <w:rFonts w:ascii="SimSun" w:hAnsi="SimSun" w:eastAsia="SimSun" w:cs="SimSun"/>
          <w:sz w:val="24"/>
          <w:szCs w:val="24"/>
          <w:spacing w:val="-3"/>
        </w:rPr>
        <w:t>经计算，本项目的环境经济效益系数为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1.33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，说明项目的环境</w:t>
      </w:r>
      <w:r>
        <w:rPr>
          <w:rFonts w:ascii="SimSun" w:hAnsi="SimSun" w:eastAsia="SimSun" w:cs="SimSun"/>
          <w:sz w:val="24"/>
          <w:szCs w:val="24"/>
          <w:spacing w:val="-4"/>
        </w:rPr>
        <w:t>效益高于环境代价，</w:t>
      </w:r>
      <w:r>
        <w:rPr>
          <w:rFonts w:ascii="SimSun" w:hAnsi="SimSun" w:eastAsia="SimSun" w:cs="SimSun"/>
          <w:sz w:val="24"/>
          <w:szCs w:val="24"/>
          <w:spacing w:val="-2"/>
        </w:rPr>
        <w:t>环境经济可行。</w:t>
      </w:r>
    </w:p>
    <w:p>
      <w:pPr>
        <w:ind w:left="10"/>
        <w:spacing w:before="72" w:line="222" w:lineRule="auto"/>
        <w:outlineLvl w:val="1"/>
        <w:rPr>
          <w:rFonts w:ascii="SimHei" w:hAnsi="SimHei" w:eastAsia="SimHei" w:cs="SimHei"/>
          <w:sz w:val="30"/>
          <w:szCs w:val="30"/>
        </w:rPr>
      </w:pPr>
      <w:bookmarkStart w:name="bookmark119" w:id="101"/>
      <w:bookmarkEnd w:id="101"/>
      <w:bookmarkStart w:name="bookmark56" w:id="102"/>
      <w:bookmarkEnd w:id="102"/>
      <w:r>
        <w:rPr>
          <w:rFonts w:ascii="Times New Roman" w:hAnsi="Times New Roman" w:eastAsia="Times New Roman" w:cs="Times New Roman"/>
          <w:sz w:val="30"/>
          <w:szCs w:val="30"/>
          <w:b/>
          <w:bCs/>
          <w:spacing w:val="-4"/>
        </w:rPr>
        <w:t>8.3</w:t>
      </w:r>
      <w:r>
        <w:rPr>
          <w:rFonts w:ascii="Times New Roman" w:hAnsi="Times New Roman" w:eastAsia="Times New Roman" w:cs="Times New Roman"/>
          <w:sz w:val="30"/>
          <w:szCs w:val="30"/>
          <w:b/>
          <w:bCs/>
          <w:spacing w:val="-20"/>
        </w:rPr>
        <w:t xml:space="preserve"> </w:t>
      </w:r>
      <w:r>
        <w:rPr>
          <w:rFonts w:ascii="SimHei" w:hAnsi="SimHei" w:eastAsia="SimHei" w:cs="SimHei"/>
          <w:sz w:val="30"/>
          <w:szCs w:val="30"/>
          <w:b/>
          <w:bCs/>
          <w:spacing w:val="-4"/>
        </w:rPr>
        <w:t>社会损益分析</w:t>
      </w:r>
    </w:p>
    <w:p>
      <w:pPr>
        <w:ind w:left="9" w:firstLine="480"/>
        <w:spacing w:before="162" w:line="338" w:lineRule="auto"/>
        <w:rPr>
          <w:rFonts w:ascii="SimSun" w:hAnsi="SimSun" w:eastAsia="SimSun" w:cs="SimSun"/>
          <w:sz w:val="24"/>
          <w:szCs w:val="24"/>
        </w:rPr>
      </w:pPr>
      <w:r>
        <w:rPr>
          <w:rFonts w:ascii="SimSun" w:hAnsi="SimSun" w:eastAsia="SimSun" w:cs="SimSun"/>
          <w:sz w:val="24"/>
          <w:szCs w:val="24"/>
          <w:spacing w:val="-2"/>
        </w:rPr>
        <w:t>本项目投产后，采用了相应的环保措施以后，不会对周围环境产生较大的影响。随</w:t>
      </w:r>
      <w:r>
        <w:rPr>
          <w:rFonts w:ascii="SimSun" w:hAnsi="SimSun" w:eastAsia="SimSun" w:cs="SimSun"/>
          <w:sz w:val="24"/>
          <w:szCs w:val="24"/>
          <w:spacing w:val="-1"/>
        </w:rPr>
        <w:t>着该项目的建成投产，必将在以下几方面产生正面的社会效益。</w:t>
      </w:r>
    </w:p>
    <w:p>
      <w:pPr>
        <w:ind w:left="495"/>
        <w:spacing w:before="1"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）增加当地的就业机会，促进社会稳定</w:t>
      </w:r>
    </w:p>
    <w:p>
      <w:pPr>
        <w:ind w:left="11" w:firstLine="477"/>
        <w:spacing w:before="157" w:line="338" w:lineRule="auto"/>
        <w:rPr>
          <w:rFonts w:ascii="SimSun" w:hAnsi="SimSun" w:eastAsia="SimSun" w:cs="SimSun"/>
          <w:sz w:val="24"/>
          <w:szCs w:val="24"/>
        </w:rPr>
      </w:pPr>
      <w:r>
        <w:rPr>
          <w:rFonts w:ascii="SimSun" w:hAnsi="SimSun" w:eastAsia="SimSun" w:cs="SimSun"/>
          <w:sz w:val="24"/>
          <w:szCs w:val="24"/>
          <w:spacing w:val="-2"/>
        </w:rPr>
        <w:t>近年来，社会经济普遍不景气，尤其是煤炭市场，社会闲散劳动力较多，给国家造</w:t>
      </w:r>
      <w:r>
        <w:rPr>
          <w:rFonts w:ascii="SimSun" w:hAnsi="SimSun" w:eastAsia="SimSun" w:cs="SimSun"/>
          <w:sz w:val="24"/>
          <w:szCs w:val="24"/>
          <w:spacing w:val="-1"/>
        </w:rPr>
        <w:t>成沉重负担，不利于社会的安定。</w:t>
      </w:r>
    </w:p>
    <w:p>
      <w:pPr>
        <w:ind w:left="9"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本项目投入运行后提供多个劳动岗位，同时也能带动当地第三产业发展，间接的提</w:t>
      </w:r>
      <w:r>
        <w:rPr>
          <w:rFonts w:ascii="SimSun" w:hAnsi="SimSun" w:eastAsia="SimSun" w:cs="SimSun"/>
          <w:sz w:val="24"/>
          <w:szCs w:val="24"/>
          <w:spacing w:val="-2"/>
        </w:rPr>
        <w:t>供就业机会，这对改善当地的就业状况、促进社会稳定有积极意义。除部分管理人员和</w:t>
      </w:r>
      <w:r>
        <w:rPr>
          <w:rFonts w:ascii="SimSun" w:hAnsi="SimSun" w:eastAsia="SimSun" w:cs="SimSun"/>
          <w:sz w:val="24"/>
          <w:szCs w:val="24"/>
        </w:rPr>
        <w:t>技术工人外，企业将招收一定比例当地居民从事与矿井</w:t>
      </w:r>
      <w:r>
        <w:rPr>
          <w:rFonts w:ascii="SimSun" w:hAnsi="SimSun" w:eastAsia="SimSun" w:cs="SimSun"/>
          <w:sz w:val="24"/>
          <w:szCs w:val="24"/>
          <w:spacing w:val="-1"/>
        </w:rPr>
        <w:t>生产相关的服务性行业。</w:t>
      </w:r>
    </w:p>
    <w:p>
      <w:pPr>
        <w:ind w:left="9" w:right="72" w:firstLine="486"/>
        <w:spacing w:before="2" w:line="338"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2</w:t>
      </w:r>
      <w:r>
        <w:rPr>
          <w:rFonts w:ascii="SimSun" w:hAnsi="SimSun" w:eastAsia="SimSun" w:cs="SimSun"/>
          <w:sz w:val="24"/>
          <w:szCs w:val="24"/>
        </w:rPr>
        <w:t>）提高企业的生产水平，改善生产环境</w:t>
      </w:r>
      <w:r>
        <w:rPr>
          <w:rFonts w:ascii="SimSun" w:hAnsi="SimSun" w:eastAsia="SimSun" w:cs="SimSun"/>
          <w:sz w:val="24"/>
          <w:szCs w:val="24"/>
          <w:spacing w:val="-1"/>
        </w:rPr>
        <w:t>备件，减轻工人劳动强度，并且具有较</w:t>
      </w:r>
      <w:r>
        <w:rPr>
          <w:rFonts w:ascii="SimSun" w:hAnsi="SimSun" w:eastAsia="SimSun" w:cs="SimSun"/>
          <w:sz w:val="24"/>
          <w:szCs w:val="24"/>
          <w:spacing w:val="-2"/>
        </w:rPr>
        <w:t>好的节能环保效益。</w:t>
      </w:r>
    </w:p>
    <w:p>
      <w:pPr>
        <w:ind w:left="10" w:firstLine="482"/>
        <w:spacing w:before="2" w:line="338" w:lineRule="auto"/>
        <w:jc w:val="both"/>
        <w:rPr>
          <w:rFonts w:ascii="SimSun" w:hAnsi="SimSun" w:eastAsia="SimSun" w:cs="SimSun"/>
          <w:sz w:val="24"/>
          <w:szCs w:val="24"/>
        </w:rPr>
      </w:pPr>
      <w:r>
        <w:rPr>
          <w:rFonts w:ascii="SimSun" w:hAnsi="SimSun" w:eastAsia="SimSun" w:cs="SimSun"/>
          <w:sz w:val="24"/>
          <w:szCs w:val="24"/>
          <w:spacing w:val="-2"/>
        </w:rPr>
        <w:t>该项目生产工艺先进，设备装置规模大，自动化水平高，科技含金量高，随着企业</w:t>
      </w:r>
      <w:r>
        <w:rPr>
          <w:rFonts w:ascii="SimSun" w:hAnsi="SimSun" w:eastAsia="SimSun" w:cs="SimSun"/>
          <w:sz w:val="24"/>
          <w:szCs w:val="24"/>
          <w:spacing w:val="-2"/>
        </w:rPr>
        <w:t>管理的科学合理化，生产条件将相应得到改善、工人劳动强度也进一步得到减轻。该项</w:t>
      </w:r>
      <w:r>
        <w:rPr>
          <w:rFonts w:ascii="SimSun" w:hAnsi="SimSun" w:eastAsia="SimSun" w:cs="SimSun"/>
          <w:sz w:val="24"/>
          <w:szCs w:val="24"/>
          <w:spacing w:val="-2"/>
        </w:rPr>
        <w:t>目还注重了清洁生产，一方面可节能降耗，同时环保设施较完善，污染物排放达到国家</w:t>
      </w:r>
      <w:r>
        <w:rPr>
          <w:rFonts w:ascii="SimSun" w:hAnsi="SimSun" w:eastAsia="SimSun" w:cs="SimSun"/>
          <w:sz w:val="24"/>
          <w:szCs w:val="24"/>
          <w:spacing w:val="-1"/>
        </w:rPr>
        <w:t>标准要求，从而使企业取得了较好的节能环保效益。</w:t>
      </w:r>
    </w:p>
    <w:p>
      <w:pPr>
        <w:ind w:left="495"/>
        <w:spacing w:before="1" w:line="218"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）项目建设对促进当地经济发展的意义</w:t>
      </w:r>
    </w:p>
    <w:p>
      <w:pPr>
        <w:ind w:left="10" w:firstLine="480"/>
        <w:spacing w:before="159" w:line="338" w:lineRule="auto"/>
        <w:rPr>
          <w:rFonts w:ascii="SimSun" w:hAnsi="SimSun" w:eastAsia="SimSun" w:cs="SimSun"/>
          <w:sz w:val="24"/>
          <w:szCs w:val="24"/>
        </w:rPr>
      </w:pPr>
      <w:r>
        <w:rPr>
          <w:rFonts w:ascii="SimSun" w:hAnsi="SimSun" w:eastAsia="SimSun" w:cs="SimSun"/>
          <w:sz w:val="24"/>
          <w:szCs w:val="24"/>
          <w:spacing w:val="-2"/>
        </w:rPr>
        <w:t>本项目的建设实施，对本地区的建筑、安装、材料供应等行业将产生直接的影响将</w:t>
      </w:r>
      <w:r>
        <w:rPr>
          <w:rFonts w:ascii="SimSun" w:hAnsi="SimSun" w:eastAsia="SimSun" w:cs="SimSun"/>
          <w:sz w:val="24"/>
          <w:szCs w:val="24"/>
          <w:spacing w:val="-2"/>
        </w:rPr>
        <w:t>有力地推动地区经济的发展，繁荣地方经济。矿井的销售收入，可以增加地方税金，提</w:t>
      </w:r>
      <w:r>
        <w:rPr>
          <w:rFonts w:ascii="SimSun" w:hAnsi="SimSun" w:eastAsia="SimSun" w:cs="SimSun"/>
          <w:sz w:val="24"/>
          <w:szCs w:val="24"/>
          <w:spacing w:val="-1"/>
        </w:rPr>
        <w:t>高地区的经济效益，繁荣地方经济，促进综合事业的发展。</w:t>
      </w:r>
    </w:p>
    <w:p>
      <w:pPr>
        <w:ind w:left="8" w:firstLine="483"/>
        <w:spacing w:before="6" w:line="338" w:lineRule="auto"/>
        <w:jc w:val="both"/>
        <w:rPr>
          <w:rFonts w:ascii="SimSun" w:hAnsi="SimSun" w:eastAsia="SimSun" w:cs="SimSun"/>
          <w:sz w:val="24"/>
          <w:szCs w:val="24"/>
        </w:rPr>
      </w:pPr>
      <w:r>
        <w:rPr>
          <w:rFonts w:ascii="SimSun" w:hAnsi="SimSun" w:eastAsia="SimSun" w:cs="SimSun"/>
          <w:sz w:val="24"/>
          <w:szCs w:val="24"/>
          <w:spacing w:val="-2"/>
        </w:rPr>
        <w:t>为了保护环境，达到环境目标的要求，采取了相应的环保措施，付出了一定的经济</w:t>
      </w:r>
      <w:r>
        <w:rPr>
          <w:rFonts w:ascii="SimSun" w:hAnsi="SimSun" w:eastAsia="SimSun" w:cs="SimSun"/>
          <w:sz w:val="24"/>
          <w:szCs w:val="24"/>
          <w:spacing w:val="-2"/>
        </w:rPr>
        <w:t>代价。但其度合适，而且所支付的环保费用还能取得一定的经济效益。此外，本项目的</w:t>
      </w:r>
      <w:r>
        <w:rPr>
          <w:rFonts w:ascii="SimSun" w:hAnsi="SimSun" w:eastAsia="SimSun" w:cs="SimSun"/>
          <w:sz w:val="24"/>
          <w:szCs w:val="24"/>
          <w:spacing w:val="-2"/>
        </w:rPr>
        <w:t>建设既增加地方税收，又可带动相关产业协调发展、繁荣地方经济和提升当地居民生活</w:t>
      </w:r>
      <w:r>
        <w:rPr>
          <w:rFonts w:ascii="SimSun" w:hAnsi="SimSun" w:eastAsia="SimSun" w:cs="SimSun"/>
          <w:sz w:val="24"/>
          <w:szCs w:val="24"/>
          <w:spacing w:val="-2"/>
        </w:rPr>
        <w:t>水平，增加就业率。将得到多方面受惠群体的积极支持和热情参与。项目的建设和生产</w:t>
      </w:r>
      <w:r>
        <w:rPr>
          <w:rFonts w:ascii="SimSun" w:hAnsi="SimSun" w:eastAsia="SimSun" w:cs="SimSun"/>
          <w:sz w:val="24"/>
          <w:szCs w:val="24"/>
          <w:spacing w:val="-1"/>
        </w:rPr>
        <w:t>与地区的文化状况无矛盾，各级政府及组织都会给予大力支持。</w:t>
      </w:r>
    </w:p>
    <w:p>
      <w:pPr>
        <w:spacing w:line="338" w:lineRule="auto"/>
        <w:sectPr>
          <w:headerReference w:type="default" r:id="rId3"/>
          <w:footerReference w:type="default" r:id="rId544"/>
          <w:pgSz w:w="11906" w:h="16838"/>
          <w:pgMar w:top="1114" w:right="1417" w:bottom="1080" w:left="1416" w:header="837" w:footer="918" w:gutter="0"/>
        </w:sectPr>
        <w:rPr>
          <w:rFonts w:ascii="SimSun" w:hAnsi="SimSun" w:eastAsia="SimSun" w:cs="SimSun"/>
          <w:sz w:val="24"/>
          <w:szCs w:val="24"/>
        </w:rPr>
      </w:pPr>
    </w:p>
    <w:p>
      <w:pPr>
        <w:pStyle w:val="BodyText"/>
        <w:spacing w:line="269" w:lineRule="auto"/>
        <w:rPr/>
      </w:pPr>
      <w:r/>
    </w:p>
    <w:p>
      <w:pPr>
        <w:pStyle w:val="BodyText"/>
        <w:spacing w:line="270" w:lineRule="auto"/>
        <w:rPr/>
      </w:pPr>
      <w:r/>
    </w:p>
    <w:p>
      <w:pPr>
        <w:pStyle w:val="BodyText"/>
        <w:spacing w:line="270" w:lineRule="auto"/>
        <w:rPr/>
      </w:pPr>
      <w:r/>
    </w:p>
    <w:p>
      <w:pPr>
        <w:pStyle w:val="BodyText"/>
        <w:spacing w:line="270" w:lineRule="auto"/>
        <w:rPr/>
      </w:pPr>
      <w:r/>
    </w:p>
    <w:p>
      <w:pPr>
        <w:ind w:left="2796"/>
        <w:spacing w:before="117" w:line="222" w:lineRule="auto"/>
        <w:outlineLvl w:val="0"/>
        <w:rPr>
          <w:rFonts w:ascii="SimHei" w:hAnsi="SimHei" w:eastAsia="SimHei" w:cs="SimHei"/>
          <w:sz w:val="36"/>
          <w:szCs w:val="36"/>
        </w:rPr>
      </w:pPr>
      <w:bookmarkStart w:name="bookmark57" w:id="103"/>
      <w:bookmarkEnd w:id="103"/>
      <w:r>
        <w:rPr>
          <w:rFonts w:ascii="Times New Roman" w:hAnsi="Times New Roman" w:eastAsia="Times New Roman" w:cs="Times New Roman"/>
          <w:sz w:val="36"/>
          <w:szCs w:val="36"/>
          <w:spacing w:val="-2"/>
        </w:rPr>
        <w:t>9 </w:t>
      </w:r>
      <w:r>
        <w:rPr>
          <w:rFonts w:ascii="SimHei" w:hAnsi="SimHei" w:eastAsia="SimHei" w:cs="SimHei"/>
          <w:sz w:val="36"/>
          <w:szCs w:val="36"/>
          <w:spacing w:val="-2"/>
        </w:rPr>
        <w:t>环境管理与监测计划</w:t>
      </w:r>
    </w:p>
    <w:p>
      <w:pPr>
        <w:pStyle w:val="BodyText"/>
        <w:spacing w:line="456" w:lineRule="auto"/>
        <w:rPr/>
      </w:pPr>
      <w:r/>
    </w:p>
    <w:p>
      <w:pPr>
        <w:ind w:left="9"/>
        <w:spacing w:before="98" w:line="222" w:lineRule="auto"/>
        <w:outlineLvl w:val="1"/>
        <w:rPr>
          <w:rFonts w:ascii="SimHei" w:hAnsi="SimHei" w:eastAsia="SimHei" w:cs="SimHei"/>
          <w:sz w:val="30"/>
          <w:szCs w:val="30"/>
        </w:rPr>
      </w:pPr>
      <w:bookmarkStart w:name="bookmark120" w:id="104"/>
      <w:bookmarkEnd w:id="104"/>
      <w:bookmarkStart w:name="bookmark58" w:id="105"/>
      <w:bookmarkEnd w:id="105"/>
      <w:r>
        <w:rPr>
          <w:rFonts w:ascii="Times New Roman" w:hAnsi="Times New Roman" w:eastAsia="Times New Roman" w:cs="Times New Roman"/>
          <w:sz w:val="30"/>
          <w:szCs w:val="30"/>
          <w:b/>
          <w:bCs/>
          <w:spacing w:val="-5"/>
        </w:rPr>
        <w:t>9.1</w:t>
      </w:r>
      <w:r>
        <w:rPr>
          <w:rFonts w:ascii="Times New Roman" w:hAnsi="Times New Roman" w:eastAsia="Times New Roman" w:cs="Times New Roman"/>
          <w:sz w:val="30"/>
          <w:szCs w:val="30"/>
          <w:b/>
          <w:bCs/>
          <w:spacing w:val="-16"/>
        </w:rPr>
        <w:t xml:space="preserve"> </w:t>
      </w:r>
      <w:r>
        <w:rPr>
          <w:rFonts w:ascii="SimHei" w:hAnsi="SimHei" w:eastAsia="SimHei" w:cs="SimHei"/>
          <w:sz w:val="30"/>
          <w:szCs w:val="30"/>
          <w:b/>
          <w:bCs/>
          <w:spacing w:val="-5"/>
        </w:rPr>
        <w:t>环境管理</w:t>
      </w:r>
    </w:p>
    <w:p>
      <w:pPr>
        <w:ind w:left="9" w:firstLine="480"/>
        <w:spacing w:before="165" w:line="339" w:lineRule="auto"/>
        <w:jc w:val="both"/>
        <w:rPr>
          <w:rFonts w:ascii="SimSun" w:hAnsi="SimSun" w:eastAsia="SimSun" w:cs="SimSun"/>
          <w:sz w:val="24"/>
          <w:szCs w:val="24"/>
        </w:rPr>
      </w:pPr>
      <w:r>
        <w:rPr>
          <w:rFonts w:ascii="SimSun" w:hAnsi="SimSun" w:eastAsia="SimSun" w:cs="SimSun"/>
          <w:sz w:val="24"/>
          <w:szCs w:val="24"/>
          <w:spacing w:val="-4"/>
        </w:rPr>
        <w:t>根据环发〔</w:t>
      </w:r>
      <w:r>
        <w:rPr>
          <w:rFonts w:ascii="Times New Roman" w:hAnsi="Times New Roman" w:eastAsia="Times New Roman" w:cs="Times New Roman"/>
          <w:sz w:val="24"/>
          <w:szCs w:val="24"/>
          <w:spacing w:val="-4"/>
        </w:rPr>
        <w:t>2015</w:t>
      </w:r>
      <w:r>
        <w:rPr>
          <w:rFonts w:ascii="SimSun" w:hAnsi="SimSun" w:eastAsia="SimSun" w:cs="SimSun"/>
          <w:sz w:val="24"/>
          <w:szCs w:val="24"/>
          <w:spacing w:val="-4"/>
        </w:rPr>
        <w:t>〕</w:t>
      </w:r>
      <w:r>
        <w:rPr>
          <w:rFonts w:ascii="Times New Roman" w:hAnsi="Times New Roman" w:eastAsia="Times New Roman" w:cs="Times New Roman"/>
          <w:sz w:val="24"/>
          <w:szCs w:val="24"/>
          <w:spacing w:val="-4"/>
        </w:rPr>
        <w:t>163  </w:t>
      </w:r>
      <w:r>
        <w:rPr>
          <w:rFonts w:ascii="SimSun" w:hAnsi="SimSun" w:eastAsia="SimSun" w:cs="SimSun"/>
          <w:sz w:val="24"/>
          <w:szCs w:val="24"/>
          <w:spacing w:val="-4"/>
        </w:rPr>
        <w:t>号</w:t>
      </w:r>
      <w:r>
        <w:rPr>
          <w:rFonts w:ascii="Times New Roman" w:hAnsi="Times New Roman" w:eastAsia="Times New Roman" w:cs="Times New Roman"/>
          <w:sz w:val="24"/>
          <w:szCs w:val="24"/>
          <w:spacing w:val="-4"/>
        </w:rPr>
        <w:t>“</w:t>
      </w:r>
      <w:r>
        <w:rPr>
          <w:rFonts w:ascii="SimSun" w:hAnsi="SimSun" w:eastAsia="SimSun" w:cs="SimSun"/>
          <w:sz w:val="24"/>
          <w:szCs w:val="24"/>
          <w:spacing w:val="-4"/>
        </w:rPr>
        <w:t>关于印发《建设项目环境保护事中事后监督管理办法（试</w:t>
      </w:r>
      <w:r>
        <w:rPr>
          <w:rFonts w:ascii="SimSun" w:hAnsi="SimSun" w:eastAsia="SimSun" w:cs="SimSun"/>
          <w:sz w:val="24"/>
          <w:szCs w:val="24"/>
        </w:rPr>
        <w:t>行）》的通知</w:t>
      </w:r>
      <w:r>
        <w:rPr>
          <w:rFonts w:ascii="Times New Roman" w:hAnsi="Times New Roman" w:eastAsia="Times New Roman" w:cs="Times New Roman"/>
          <w:sz w:val="24"/>
          <w:szCs w:val="24"/>
        </w:rPr>
        <w:t>”</w:t>
      </w:r>
      <w:r>
        <w:rPr>
          <w:rFonts w:ascii="SimSun" w:hAnsi="SimSun" w:eastAsia="SimSun" w:cs="SimSun"/>
          <w:sz w:val="24"/>
          <w:szCs w:val="24"/>
        </w:rPr>
        <w:t>精神，各级环保部门应对建设项目环境保护实行事</w:t>
      </w:r>
      <w:r>
        <w:rPr>
          <w:rFonts w:ascii="SimSun" w:hAnsi="SimSun" w:eastAsia="SimSun" w:cs="SimSun"/>
          <w:sz w:val="24"/>
          <w:szCs w:val="24"/>
          <w:spacing w:val="-1"/>
        </w:rPr>
        <w:t>中事后监督管理，为</w:t>
      </w:r>
      <w:r>
        <w:rPr>
          <w:rFonts w:ascii="SimSun" w:hAnsi="SimSun" w:eastAsia="SimSun" w:cs="SimSun"/>
          <w:sz w:val="24"/>
          <w:szCs w:val="24"/>
          <w:spacing w:val="-2"/>
        </w:rPr>
        <w:t>了更好的配合各级环保部门对本项目环境保护进行事中事后监督管理，同时为建设单位</w:t>
      </w:r>
      <w:r>
        <w:rPr>
          <w:rFonts w:ascii="SimSun" w:hAnsi="SimSun" w:eastAsia="SimSun" w:cs="SimSun"/>
          <w:sz w:val="24"/>
          <w:szCs w:val="24"/>
        </w:rPr>
        <w:t>环境管理工作提供参考依据，本次评价制定了不</w:t>
      </w:r>
      <w:r>
        <w:rPr>
          <w:rFonts w:ascii="SimSun" w:hAnsi="SimSun" w:eastAsia="SimSun" w:cs="SimSun"/>
          <w:sz w:val="24"/>
          <w:szCs w:val="24"/>
          <w:spacing w:val="-1"/>
        </w:rPr>
        <w:t>同阶段的环境管理内容。</w:t>
      </w:r>
    </w:p>
    <w:p>
      <w:pPr>
        <w:ind w:left="8"/>
        <w:spacing w:before="90"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9.1.1    </w:t>
      </w:r>
      <w:r>
        <w:rPr>
          <w:rFonts w:ascii="SimHei" w:hAnsi="SimHei" w:eastAsia="SimHei" w:cs="SimHei"/>
          <w:sz w:val="28"/>
          <w:szCs w:val="28"/>
          <w:b/>
          <w:bCs/>
          <w:spacing w:val="-2"/>
        </w:rPr>
        <w:t>环境管理机构设置</w:t>
      </w:r>
    </w:p>
    <w:p>
      <w:pPr>
        <w:ind w:left="9" w:firstLine="479"/>
        <w:spacing w:before="169" w:line="340" w:lineRule="auto"/>
        <w:jc w:val="both"/>
        <w:rPr>
          <w:rFonts w:ascii="SimSun" w:hAnsi="SimSun" w:eastAsia="SimSun" w:cs="SimSun"/>
          <w:sz w:val="24"/>
          <w:szCs w:val="24"/>
        </w:rPr>
      </w:pPr>
      <w:r>
        <w:rPr>
          <w:rFonts w:ascii="SimSun" w:hAnsi="SimSun" w:eastAsia="SimSun" w:cs="SimSun"/>
          <w:sz w:val="24"/>
          <w:szCs w:val="24"/>
          <w:spacing w:val="-2"/>
        </w:rPr>
        <w:t>海州露天能源有限责任公司已设置专职的环境保护管理领导小组，总体负责企业的</w:t>
      </w:r>
      <w:r>
        <w:rPr>
          <w:rFonts w:ascii="SimSun" w:hAnsi="SimSun" w:eastAsia="SimSun" w:cs="SimSun"/>
          <w:sz w:val="24"/>
          <w:szCs w:val="24"/>
          <w:spacing w:val="-2"/>
        </w:rPr>
        <w:t>环境保护工作，并配备了环境保护管理人员，具体负责对本公司区域内的环境保护工作</w:t>
      </w:r>
      <w:r>
        <w:rPr>
          <w:rFonts w:ascii="SimSun" w:hAnsi="SimSun" w:eastAsia="SimSun" w:cs="SimSun"/>
          <w:sz w:val="24"/>
          <w:szCs w:val="24"/>
          <w:spacing w:val="-2"/>
        </w:rPr>
        <w:t>实施统一监督管理。</w:t>
      </w:r>
    </w:p>
    <w:p>
      <w:pPr>
        <w:ind w:left="8"/>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9.1.2    </w:t>
      </w:r>
      <w:r>
        <w:rPr>
          <w:rFonts w:ascii="SimHei" w:hAnsi="SimHei" w:eastAsia="SimHei" w:cs="SimHei"/>
          <w:sz w:val="28"/>
          <w:szCs w:val="28"/>
          <w:b/>
          <w:bCs/>
          <w:spacing w:val="-2"/>
        </w:rPr>
        <w:t>环境管理机构基本职责</w:t>
      </w:r>
    </w:p>
    <w:p>
      <w:pPr>
        <w:ind w:left="15" w:right="72" w:firstLine="480"/>
        <w:spacing w:before="168" w:line="28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1</w:t>
      </w:r>
      <w:r>
        <w:rPr>
          <w:rFonts w:ascii="SimSun" w:hAnsi="SimSun" w:eastAsia="SimSun" w:cs="SimSun"/>
          <w:sz w:val="24"/>
          <w:szCs w:val="24"/>
        </w:rPr>
        <w:t>）贯彻执行国家与地方有关的环境保护</w:t>
      </w:r>
      <w:r>
        <w:rPr>
          <w:rFonts w:ascii="SimSun" w:hAnsi="SimSun" w:eastAsia="SimSun" w:cs="SimSun"/>
          <w:sz w:val="24"/>
          <w:szCs w:val="24"/>
          <w:spacing w:val="-1"/>
        </w:rPr>
        <w:t>政策、法规及标准，制定本项目的环境</w:t>
      </w:r>
      <w:r>
        <w:rPr>
          <w:rFonts w:ascii="SimSun" w:hAnsi="SimSun" w:eastAsia="SimSun" w:cs="SimSun"/>
          <w:sz w:val="24"/>
          <w:szCs w:val="24"/>
          <w:spacing w:val="-2"/>
        </w:rPr>
        <w:t>管理办法（包括生态环境管理办法</w:t>
      </w:r>
      <w:r>
        <w:rPr>
          <w:rFonts w:ascii="SimSun" w:hAnsi="SimSun" w:eastAsia="SimSun" w:cs="SimSun"/>
          <w:sz w:val="24"/>
          <w:szCs w:val="24"/>
          <w:spacing w:val="6"/>
        </w:rPr>
        <w:t>）；</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）建立健全企业的环境管理制度，并实施检查和监督工作；</w:t>
      </w:r>
    </w:p>
    <w:p>
      <w:pPr>
        <w:ind w:left="8" w:right="72" w:firstLine="487"/>
        <w:spacing w:before="153" w:line="28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3</w:t>
      </w:r>
      <w:r>
        <w:rPr>
          <w:rFonts w:ascii="SimSun" w:hAnsi="SimSun" w:eastAsia="SimSun" w:cs="SimSun"/>
          <w:sz w:val="24"/>
          <w:szCs w:val="24"/>
        </w:rPr>
        <w:t>）制定企业的环保工作计划和环保设施</w:t>
      </w:r>
      <w:r>
        <w:rPr>
          <w:rFonts w:ascii="SimSun" w:hAnsi="SimSun" w:eastAsia="SimSun" w:cs="SimSun"/>
          <w:sz w:val="24"/>
          <w:szCs w:val="24"/>
          <w:spacing w:val="-1"/>
        </w:rPr>
        <w:t>维护费用申请计划并进行实施，配合企</w:t>
      </w:r>
      <w:r>
        <w:rPr>
          <w:rFonts w:ascii="SimSun" w:hAnsi="SimSun" w:eastAsia="SimSun" w:cs="SimSun"/>
          <w:sz w:val="24"/>
          <w:szCs w:val="24"/>
          <w:spacing w:val="-1"/>
        </w:rPr>
        <w:t>业领导完成环境保护责任目标；</w:t>
      </w:r>
    </w:p>
    <w:p>
      <w:pPr>
        <w:ind w:left="10" w:right="72" w:firstLine="485"/>
        <w:spacing w:before="153"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4</w:t>
      </w:r>
      <w:r>
        <w:rPr>
          <w:rFonts w:ascii="SimSun" w:hAnsi="SimSun" w:eastAsia="SimSun" w:cs="SimSun"/>
          <w:sz w:val="24"/>
          <w:szCs w:val="24"/>
        </w:rPr>
        <w:t>）领导并组织企业环境监测工作，监督</w:t>
      </w:r>
      <w:r>
        <w:rPr>
          <w:rFonts w:ascii="SimSun" w:hAnsi="SimSun" w:eastAsia="SimSun" w:cs="SimSun"/>
          <w:sz w:val="24"/>
          <w:szCs w:val="24"/>
          <w:spacing w:val="-1"/>
        </w:rPr>
        <w:t>检查环境保护设施的运行情况，建立环</w:t>
      </w:r>
      <w:r>
        <w:rPr>
          <w:rFonts w:ascii="SimSun" w:hAnsi="SimSun" w:eastAsia="SimSun" w:cs="SimSun"/>
          <w:sz w:val="24"/>
          <w:szCs w:val="24"/>
        </w:rPr>
        <w:t>境管理台账，开展自行监测，维护好环保设施，</w:t>
      </w:r>
      <w:r>
        <w:rPr>
          <w:rFonts w:ascii="SimSun" w:hAnsi="SimSun" w:eastAsia="SimSun" w:cs="SimSun"/>
          <w:sz w:val="24"/>
          <w:szCs w:val="24"/>
          <w:spacing w:val="-1"/>
        </w:rPr>
        <w:t>确保环保设施的正常运转；</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5</w:t>
      </w:r>
      <w:r>
        <w:rPr>
          <w:rFonts w:ascii="SimSun" w:hAnsi="SimSun" w:eastAsia="SimSun" w:cs="SimSun"/>
          <w:sz w:val="24"/>
          <w:szCs w:val="24"/>
          <w:spacing w:val="-1"/>
        </w:rPr>
        <w:t>）协调企业所在区域的环境管理；</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6</w:t>
      </w:r>
      <w:r>
        <w:rPr>
          <w:rFonts w:ascii="SimSun" w:hAnsi="SimSun" w:eastAsia="SimSun" w:cs="SimSun"/>
          <w:sz w:val="24"/>
          <w:szCs w:val="24"/>
          <w:spacing w:val="-1"/>
        </w:rPr>
        <w:t>）开展环保教育和专业培训，提高企业员工的环保素质；</w:t>
      </w:r>
    </w:p>
    <w:p>
      <w:pPr>
        <w:ind w:left="495"/>
        <w:spacing w:before="154"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SimSun" w:hAnsi="SimSun" w:eastAsia="SimSun" w:cs="SimSun"/>
          <w:sz w:val="24"/>
          <w:szCs w:val="24"/>
          <w:spacing w:val="-1"/>
        </w:rPr>
        <w:t>）组织开展环保研究和学术交流，推广并应用先进环保技术；</w:t>
      </w:r>
    </w:p>
    <w:p>
      <w:pPr>
        <w:ind w:left="495"/>
        <w:spacing w:before="15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8</w:t>
      </w:r>
      <w:r>
        <w:rPr>
          <w:rFonts w:ascii="SimSun" w:hAnsi="SimSun" w:eastAsia="SimSun" w:cs="SimSun"/>
          <w:sz w:val="24"/>
          <w:szCs w:val="24"/>
          <w:spacing w:val="-1"/>
        </w:rPr>
        <w:t>）负责厂区绿化、沉陷区生态恢复、土地复垦和日常环境保护管理工作；</w:t>
      </w:r>
    </w:p>
    <w:p>
      <w:pPr>
        <w:ind w:left="33" w:right="72" w:firstLine="461"/>
        <w:spacing w:before="153" w:line="279"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9</w:t>
      </w:r>
      <w:r>
        <w:rPr>
          <w:rFonts w:ascii="SimSun" w:hAnsi="SimSun" w:eastAsia="SimSun" w:cs="SimSun"/>
          <w:sz w:val="24"/>
          <w:szCs w:val="24"/>
        </w:rPr>
        <w:t>）接受省、市各级环保部门的检查、监</w:t>
      </w:r>
      <w:r>
        <w:rPr>
          <w:rFonts w:ascii="SimSun" w:hAnsi="SimSun" w:eastAsia="SimSun" w:cs="SimSun"/>
          <w:sz w:val="24"/>
          <w:szCs w:val="24"/>
          <w:spacing w:val="-1"/>
        </w:rPr>
        <w:t>督，按要求上报各项环保报表，并定期</w:t>
      </w:r>
      <w:r>
        <w:rPr>
          <w:rFonts w:ascii="SimSun" w:hAnsi="SimSun" w:eastAsia="SimSun" w:cs="SimSun"/>
          <w:sz w:val="24"/>
          <w:szCs w:val="24"/>
          <w:spacing w:val="-2"/>
        </w:rPr>
        <w:t>向上级主管部门汇报环境保护工作情况；</w:t>
      </w:r>
    </w:p>
    <w:p>
      <w:pPr>
        <w:ind w:left="8"/>
        <w:spacing w:before="249"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9.1.3    </w:t>
      </w:r>
      <w:r>
        <w:rPr>
          <w:rFonts w:ascii="SimHei" w:hAnsi="SimHei" w:eastAsia="SimHei" w:cs="SimHei"/>
          <w:sz w:val="28"/>
          <w:szCs w:val="28"/>
          <w:b/>
          <w:bCs/>
          <w:spacing w:val="-2"/>
        </w:rPr>
        <w:t>环境管理制度</w:t>
      </w:r>
    </w:p>
    <w:p>
      <w:pPr>
        <w:ind w:left="8" w:firstLine="483"/>
        <w:spacing w:before="170" w:line="337" w:lineRule="auto"/>
        <w:jc w:val="both"/>
        <w:rPr>
          <w:rFonts w:ascii="SimSun" w:hAnsi="SimSun" w:eastAsia="SimSun" w:cs="SimSun"/>
          <w:sz w:val="24"/>
          <w:szCs w:val="24"/>
        </w:rPr>
      </w:pPr>
      <w:r>
        <w:rPr>
          <w:rFonts w:ascii="SimSun" w:hAnsi="SimSun" w:eastAsia="SimSun" w:cs="SimSun"/>
          <w:sz w:val="24"/>
          <w:szCs w:val="24"/>
          <w:spacing w:val="-2"/>
        </w:rPr>
        <w:t>为促进环境保护工作顺利开展，海州露天能源有限责任公司白音华四号露天矿制定</w:t>
      </w:r>
      <w:r>
        <w:rPr>
          <w:rFonts w:ascii="SimSun" w:hAnsi="SimSun" w:eastAsia="SimSun" w:cs="SimSun"/>
          <w:sz w:val="24"/>
          <w:szCs w:val="24"/>
          <w:spacing w:val="-2"/>
        </w:rPr>
        <w:t>了环保制度，用于指导煤矿生产运营期间的环境保护管理工作。该制度全方位规范了煤</w:t>
      </w:r>
      <w:r>
        <w:rPr>
          <w:rFonts w:ascii="SimSun" w:hAnsi="SimSun" w:eastAsia="SimSun" w:cs="SimSun"/>
          <w:sz w:val="24"/>
          <w:szCs w:val="24"/>
          <w:spacing w:val="-1"/>
        </w:rPr>
        <w:t>矿日常环境保护和治理工作。</w:t>
      </w:r>
    </w:p>
    <w:p>
      <w:pPr>
        <w:spacing w:line="337" w:lineRule="auto"/>
        <w:sectPr>
          <w:footerReference w:type="default" r:id="rId545"/>
          <w:pgSz w:w="11906" w:h="16838"/>
          <w:pgMar w:top="1114" w:right="1417" w:bottom="1080" w:left="1416" w:header="837" w:footer="918" w:gutter="0"/>
        </w:sectPr>
        <w:rPr>
          <w:rFonts w:ascii="SimSun" w:hAnsi="SimSun" w:eastAsia="SimSun" w:cs="SimSun"/>
          <w:sz w:val="24"/>
          <w:szCs w:val="24"/>
        </w:rPr>
      </w:pPr>
    </w:p>
    <w:p>
      <w:pPr>
        <w:pStyle w:val="BodyText"/>
        <w:spacing w:line="369" w:lineRule="auto"/>
        <w:rPr/>
      </w:pPr>
      <w:r/>
    </w:p>
    <w:p>
      <w:pPr>
        <w:ind w:left="114"/>
        <w:spacing w:before="98" w:line="222" w:lineRule="auto"/>
        <w:outlineLvl w:val="1"/>
        <w:rPr>
          <w:rFonts w:ascii="SimHei" w:hAnsi="SimHei" w:eastAsia="SimHei" w:cs="SimHei"/>
          <w:sz w:val="30"/>
          <w:szCs w:val="30"/>
        </w:rPr>
      </w:pPr>
      <w:bookmarkStart w:name="bookmark59" w:id="106"/>
      <w:bookmarkEnd w:id="106"/>
      <w:r>
        <w:rPr>
          <w:rFonts w:ascii="Times New Roman" w:hAnsi="Times New Roman" w:eastAsia="Times New Roman" w:cs="Times New Roman"/>
          <w:sz w:val="30"/>
          <w:szCs w:val="30"/>
          <w:b/>
          <w:bCs/>
          <w:spacing w:val="-5"/>
        </w:rPr>
        <w:t>9.2</w:t>
      </w:r>
      <w:r>
        <w:rPr>
          <w:rFonts w:ascii="Times New Roman" w:hAnsi="Times New Roman" w:eastAsia="Times New Roman" w:cs="Times New Roman"/>
          <w:sz w:val="30"/>
          <w:szCs w:val="30"/>
          <w:b/>
          <w:bCs/>
          <w:spacing w:val="-16"/>
        </w:rPr>
        <w:t xml:space="preserve"> </w:t>
      </w:r>
      <w:r>
        <w:rPr>
          <w:rFonts w:ascii="SimHei" w:hAnsi="SimHei" w:eastAsia="SimHei" w:cs="SimHei"/>
          <w:sz w:val="30"/>
          <w:szCs w:val="30"/>
          <w:b/>
          <w:bCs/>
          <w:spacing w:val="-5"/>
        </w:rPr>
        <w:t>环境监测</w:t>
      </w:r>
    </w:p>
    <w:p>
      <w:pPr>
        <w:ind w:left="114"/>
        <w:spacing w:before="255" w:line="224" w:lineRule="auto"/>
        <w:rPr>
          <w:rFonts w:ascii="SimHei" w:hAnsi="SimHei" w:eastAsia="SimHei" w:cs="SimHei"/>
          <w:sz w:val="28"/>
          <w:szCs w:val="28"/>
        </w:rPr>
      </w:pPr>
      <w:r>
        <w:rPr>
          <w:rFonts w:ascii="Times New Roman" w:hAnsi="Times New Roman" w:eastAsia="Times New Roman" w:cs="Times New Roman"/>
          <w:sz w:val="28"/>
          <w:szCs w:val="28"/>
          <w:b/>
          <w:bCs/>
          <w:spacing w:val="-2"/>
        </w:rPr>
        <w:t>9.2.1    </w:t>
      </w:r>
      <w:r>
        <w:rPr>
          <w:rFonts w:ascii="SimHei" w:hAnsi="SimHei" w:eastAsia="SimHei" w:cs="SimHei"/>
          <w:sz w:val="28"/>
          <w:szCs w:val="28"/>
          <w:b/>
          <w:bCs/>
          <w:spacing w:val="-2"/>
        </w:rPr>
        <w:t>监测目的</w:t>
      </w:r>
    </w:p>
    <w:p>
      <w:pPr>
        <w:ind w:left="114" w:right="107" w:firstLine="480"/>
        <w:spacing w:before="167" w:line="340" w:lineRule="auto"/>
        <w:jc w:val="both"/>
        <w:rPr>
          <w:rFonts w:ascii="SimSun" w:hAnsi="SimSun" w:eastAsia="SimSun" w:cs="SimSun"/>
          <w:sz w:val="24"/>
          <w:szCs w:val="24"/>
        </w:rPr>
      </w:pPr>
      <w:r>
        <w:rPr>
          <w:rFonts w:ascii="SimSun" w:hAnsi="SimSun" w:eastAsia="SimSun" w:cs="SimSun"/>
          <w:sz w:val="24"/>
          <w:szCs w:val="24"/>
          <w:spacing w:val="-2"/>
        </w:rPr>
        <w:t>通过开展环境监测，掌握项目运营过程中废气、噪声等污染源排放是否符合国家或</w:t>
      </w:r>
      <w:r>
        <w:rPr>
          <w:rFonts w:ascii="SimSun" w:hAnsi="SimSun" w:eastAsia="SimSun" w:cs="SimSun"/>
          <w:sz w:val="24"/>
          <w:szCs w:val="24"/>
          <w:spacing w:val="-2"/>
        </w:rPr>
        <w:t>地方排放标准的要求，同时对废气、废水、固体废物及噪声防治设施进行监督检查，保</w:t>
      </w:r>
      <w:r>
        <w:rPr>
          <w:rFonts w:ascii="SimSun" w:hAnsi="SimSun" w:eastAsia="SimSun" w:cs="SimSun"/>
          <w:sz w:val="24"/>
          <w:szCs w:val="24"/>
          <w:spacing w:val="-2"/>
        </w:rPr>
        <w:t>证正常运行。</w:t>
      </w:r>
    </w:p>
    <w:p>
      <w:pPr>
        <w:ind w:left="114"/>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9.2.2    </w:t>
      </w:r>
      <w:r>
        <w:rPr>
          <w:rFonts w:ascii="SimHei" w:hAnsi="SimHei" w:eastAsia="SimHei" w:cs="SimHei"/>
          <w:sz w:val="28"/>
          <w:szCs w:val="28"/>
          <w:b/>
          <w:bCs/>
          <w:spacing w:val="-2"/>
        </w:rPr>
        <w:t>环境监测计划</w:t>
      </w:r>
    </w:p>
    <w:p>
      <w:pPr>
        <w:ind w:left="114" w:right="107" w:firstLine="514"/>
        <w:spacing w:before="170" w:line="330" w:lineRule="auto"/>
        <w:jc w:val="both"/>
        <w:rPr>
          <w:rFonts w:ascii="SimSun" w:hAnsi="SimSun" w:eastAsia="SimSun" w:cs="SimSun"/>
          <w:sz w:val="24"/>
          <w:szCs w:val="24"/>
        </w:rPr>
      </w:pPr>
      <w:r>
        <w:rPr>
          <w:rFonts w:ascii="SimSun" w:hAnsi="SimSun" w:eastAsia="SimSun" w:cs="SimSun"/>
          <w:sz w:val="24"/>
          <w:szCs w:val="24"/>
          <w:spacing w:val="-3"/>
        </w:rPr>
        <w:t>白音华四号露天矿（露天区）委托第三方监测单位对地面生产系统排气筒、工业场</w:t>
      </w:r>
      <w:r>
        <w:rPr>
          <w:rFonts w:ascii="SimSun" w:hAnsi="SimSun" w:eastAsia="SimSun" w:cs="SimSun"/>
          <w:sz w:val="24"/>
          <w:szCs w:val="24"/>
          <w:spacing w:val="-2"/>
        </w:rPr>
        <w:t>地无组织粉尘、矿井（坑）水及生活污水处理站进、出水、厂界噪声、土壤侵蚀情况及</w:t>
      </w:r>
      <w:r>
        <w:rPr>
          <w:rFonts w:ascii="SimSun" w:hAnsi="SimSun" w:eastAsia="SimSun" w:cs="SimSun"/>
          <w:sz w:val="24"/>
          <w:szCs w:val="24"/>
          <w:spacing w:val="-1"/>
        </w:rPr>
        <w:t>土壤环境质量情况等进行例行监测。</w:t>
      </w:r>
    </w:p>
    <w:p>
      <w:pPr>
        <w:ind w:left="4050"/>
        <w:spacing w:line="223" w:lineRule="auto"/>
        <w:rPr>
          <w:rFonts w:ascii="SimHei" w:hAnsi="SimHei" w:eastAsia="SimHei" w:cs="SimHei"/>
          <w:sz w:val="24"/>
          <w:szCs w:val="24"/>
        </w:rPr>
      </w:pPr>
      <w:r>
        <w:rPr>
          <w:rFonts w:ascii="SimHei" w:hAnsi="SimHei" w:eastAsia="SimHei" w:cs="SimHei"/>
          <w:sz w:val="24"/>
          <w:szCs w:val="24"/>
          <w:spacing w:val="-2"/>
        </w:rPr>
        <w:t>监测计划表</w:t>
      </w:r>
    </w:p>
    <w:p>
      <w:pPr>
        <w:ind w:left="112"/>
        <w:spacing w:before="28"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9-2-1</w:t>
      </w:r>
    </w:p>
    <w:tbl>
      <w:tblPr>
        <w:tblStyle w:val="TableNormal"/>
        <w:tblW w:w="928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36"/>
        <w:gridCol w:w="453"/>
        <w:gridCol w:w="657"/>
        <w:gridCol w:w="2214"/>
        <w:gridCol w:w="873"/>
        <w:gridCol w:w="878"/>
        <w:gridCol w:w="1964"/>
        <w:gridCol w:w="1605"/>
      </w:tblGrid>
      <w:tr>
        <w:trPr>
          <w:trHeight w:val="556" w:hRule="atLeast"/>
        </w:trPr>
        <w:tc>
          <w:tcPr>
            <w:tcW w:w="1746" w:type="dxa"/>
            <w:vAlign w:val="top"/>
            <w:gridSpan w:val="3"/>
          </w:tcPr>
          <w:p>
            <w:pPr>
              <w:ind w:left="457"/>
              <w:spacing w:before="170" w:line="228" w:lineRule="auto"/>
              <w:rPr>
                <w:rFonts w:ascii="SimSun" w:hAnsi="SimSun" w:eastAsia="SimSun" w:cs="SimSun"/>
                <w:sz w:val="20"/>
                <w:szCs w:val="20"/>
              </w:rPr>
            </w:pPr>
            <w:r>
              <w:rPr>
                <w:rFonts w:ascii="SimSun" w:hAnsi="SimSun" w:eastAsia="SimSun" w:cs="SimSun"/>
                <w:sz w:val="20"/>
                <w:szCs w:val="20"/>
                <w:spacing w:val="7"/>
              </w:rPr>
              <w:t>监测对象</w:t>
            </w:r>
          </w:p>
        </w:tc>
        <w:tc>
          <w:tcPr>
            <w:tcW w:w="2214" w:type="dxa"/>
            <w:vAlign w:val="top"/>
          </w:tcPr>
          <w:p>
            <w:pPr>
              <w:ind w:left="691"/>
              <w:spacing w:before="171" w:line="228" w:lineRule="auto"/>
              <w:rPr>
                <w:rFonts w:ascii="SimSun" w:hAnsi="SimSun" w:eastAsia="SimSun" w:cs="SimSun"/>
                <w:sz w:val="20"/>
                <w:szCs w:val="20"/>
              </w:rPr>
            </w:pPr>
            <w:r>
              <w:rPr>
                <w:rFonts w:ascii="SimSun" w:hAnsi="SimSun" w:eastAsia="SimSun" w:cs="SimSun"/>
                <w:sz w:val="20"/>
                <w:szCs w:val="20"/>
                <w:spacing w:val="7"/>
              </w:rPr>
              <w:t>监测因子</w:t>
            </w:r>
          </w:p>
        </w:tc>
        <w:tc>
          <w:tcPr>
            <w:tcW w:w="873" w:type="dxa"/>
            <w:vAlign w:val="top"/>
          </w:tcPr>
          <w:p>
            <w:pPr>
              <w:ind w:left="336" w:right="121" w:hanging="210"/>
              <w:spacing w:before="34" w:line="236" w:lineRule="auto"/>
              <w:rPr>
                <w:rFonts w:ascii="SimSun" w:hAnsi="SimSun" w:eastAsia="SimSun" w:cs="SimSun"/>
                <w:sz w:val="20"/>
                <w:szCs w:val="20"/>
              </w:rPr>
            </w:pPr>
            <w:r>
              <w:rPr>
                <w:rFonts w:ascii="SimSun" w:hAnsi="SimSun" w:eastAsia="SimSun" w:cs="SimSun"/>
                <w:sz w:val="20"/>
                <w:szCs w:val="20"/>
                <w:spacing w:val="6"/>
              </w:rPr>
              <w:t>监测点</w:t>
            </w:r>
            <w:r>
              <w:rPr>
                <w:rFonts w:ascii="SimSun" w:hAnsi="SimSun" w:eastAsia="SimSun" w:cs="SimSun"/>
                <w:sz w:val="20"/>
                <w:szCs w:val="20"/>
              </w:rPr>
              <w:t>位</w:t>
            </w:r>
          </w:p>
        </w:tc>
        <w:tc>
          <w:tcPr>
            <w:tcW w:w="878" w:type="dxa"/>
            <w:vAlign w:val="top"/>
          </w:tcPr>
          <w:p>
            <w:pPr>
              <w:ind w:left="345" w:right="123" w:hanging="216"/>
              <w:spacing w:before="34" w:line="236" w:lineRule="auto"/>
              <w:rPr>
                <w:rFonts w:ascii="SimSun" w:hAnsi="SimSun" w:eastAsia="SimSun" w:cs="SimSun"/>
                <w:sz w:val="20"/>
                <w:szCs w:val="20"/>
              </w:rPr>
            </w:pPr>
            <w:r>
              <w:rPr>
                <w:rFonts w:ascii="SimSun" w:hAnsi="SimSun" w:eastAsia="SimSun" w:cs="SimSun"/>
                <w:sz w:val="20"/>
                <w:szCs w:val="20"/>
                <w:spacing w:val="6"/>
              </w:rPr>
              <w:t>监测频</w:t>
            </w:r>
            <w:r>
              <w:rPr>
                <w:rFonts w:ascii="SimSun" w:hAnsi="SimSun" w:eastAsia="SimSun" w:cs="SimSun"/>
                <w:sz w:val="20"/>
                <w:szCs w:val="20"/>
              </w:rPr>
              <w:t>次</w:t>
            </w:r>
          </w:p>
        </w:tc>
        <w:tc>
          <w:tcPr>
            <w:tcW w:w="1964" w:type="dxa"/>
            <w:vAlign w:val="top"/>
          </w:tcPr>
          <w:p>
            <w:pPr>
              <w:ind w:left="565"/>
              <w:spacing w:before="170" w:line="228" w:lineRule="auto"/>
              <w:rPr>
                <w:rFonts w:ascii="SimSun" w:hAnsi="SimSun" w:eastAsia="SimSun" w:cs="SimSun"/>
                <w:sz w:val="20"/>
                <w:szCs w:val="20"/>
              </w:rPr>
            </w:pPr>
            <w:r>
              <w:rPr>
                <w:rFonts w:ascii="SimSun" w:hAnsi="SimSun" w:eastAsia="SimSun" w:cs="SimSun"/>
                <w:sz w:val="20"/>
                <w:szCs w:val="20"/>
                <w:spacing w:val="7"/>
              </w:rPr>
              <w:t>执行标准</w:t>
            </w:r>
          </w:p>
        </w:tc>
        <w:tc>
          <w:tcPr>
            <w:tcW w:w="1605" w:type="dxa"/>
            <w:vAlign w:val="top"/>
          </w:tcPr>
          <w:p>
            <w:pPr>
              <w:ind w:left="601"/>
              <w:spacing w:before="170" w:line="229" w:lineRule="auto"/>
              <w:rPr>
                <w:rFonts w:ascii="SimSun" w:hAnsi="SimSun" w:eastAsia="SimSun" w:cs="SimSun"/>
                <w:sz w:val="20"/>
                <w:szCs w:val="20"/>
              </w:rPr>
            </w:pPr>
            <w:r>
              <w:rPr>
                <w:rFonts w:ascii="SimSun" w:hAnsi="SimSun" w:eastAsia="SimSun" w:cs="SimSun"/>
                <w:sz w:val="20"/>
                <w:szCs w:val="20"/>
                <w:spacing w:val="3"/>
              </w:rPr>
              <w:t>备注</w:t>
            </w:r>
          </w:p>
        </w:tc>
      </w:tr>
      <w:tr>
        <w:trPr>
          <w:trHeight w:val="1365" w:hRule="atLeast"/>
        </w:trPr>
        <w:tc>
          <w:tcPr>
            <w:tcW w:w="636" w:type="dxa"/>
            <w:vAlign w:val="top"/>
            <w:vMerge w:val="restart"/>
            <w:textDirection w:val="tbRlV"/>
            <w:tcBorders>
              <w:bottom w:val="nil"/>
            </w:tcBorders>
          </w:tcPr>
          <w:p>
            <w:pPr>
              <w:ind w:left="1395"/>
              <w:spacing w:before="212" w:line="216" w:lineRule="auto"/>
              <w:rPr>
                <w:rFonts w:ascii="SimSun" w:hAnsi="SimSun" w:eastAsia="SimSun" w:cs="SimSun"/>
                <w:sz w:val="20"/>
                <w:szCs w:val="20"/>
              </w:rPr>
            </w:pPr>
            <w:r>
              <w:rPr>
                <w:rFonts w:ascii="SimSun" w:hAnsi="SimSun" w:eastAsia="SimSun" w:cs="SimSun"/>
                <w:sz w:val="20"/>
                <w:szCs w:val="20"/>
                <w:spacing w:val="8"/>
              </w:rPr>
              <w:t>废</w:t>
            </w:r>
            <w:r>
              <w:rPr>
                <w:rFonts w:ascii="SimSun" w:hAnsi="SimSun" w:eastAsia="SimSun" w:cs="SimSun"/>
                <w:sz w:val="20"/>
                <w:szCs w:val="20"/>
                <w:spacing w:val="-38"/>
              </w:rPr>
              <w:t xml:space="preserve"> </w:t>
            </w:r>
            <w:r>
              <w:rPr>
                <w:rFonts w:ascii="SimSun" w:hAnsi="SimSun" w:eastAsia="SimSun" w:cs="SimSun"/>
                <w:sz w:val="20"/>
                <w:szCs w:val="20"/>
                <w:spacing w:val="8"/>
              </w:rPr>
              <w:t>气</w:t>
            </w:r>
          </w:p>
        </w:tc>
        <w:tc>
          <w:tcPr>
            <w:tcW w:w="453" w:type="dxa"/>
            <w:vAlign w:val="top"/>
            <w:textDirection w:val="tbRlV"/>
          </w:tcPr>
          <w:p>
            <w:pPr>
              <w:ind w:left="300"/>
              <w:spacing w:before="121" w:line="216" w:lineRule="auto"/>
              <w:rPr>
                <w:rFonts w:ascii="SimSun" w:hAnsi="SimSun" w:eastAsia="SimSun" w:cs="SimSun"/>
                <w:sz w:val="20"/>
                <w:szCs w:val="20"/>
              </w:rPr>
            </w:pPr>
            <w:r>
              <w:rPr>
                <w:rFonts w:ascii="SimSun" w:hAnsi="SimSun" w:eastAsia="SimSun" w:cs="SimSun"/>
                <w:sz w:val="20"/>
                <w:szCs w:val="20"/>
                <w:spacing w:val="8"/>
              </w:rPr>
              <w:t>有</w:t>
            </w:r>
            <w:r>
              <w:rPr>
                <w:rFonts w:ascii="SimSun" w:hAnsi="SimSun" w:eastAsia="SimSun" w:cs="SimSun"/>
                <w:sz w:val="20"/>
                <w:szCs w:val="20"/>
                <w:spacing w:val="-37"/>
              </w:rPr>
              <w:t xml:space="preserve"> </w:t>
            </w:r>
            <w:r>
              <w:rPr>
                <w:rFonts w:ascii="SimSun" w:hAnsi="SimSun" w:eastAsia="SimSun" w:cs="SimSun"/>
                <w:sz w:val="20"/>
                <w:szCs w:val="20"/>
                <w:spacing w:val="8"/>
              </w:rPr>
              <w:t>组</w:t>
            </w:r>
            <w:r>
              <w:rPr>
                <w:rFonts w:ascii="SimSun" w:hAnsi="SimSun" w:eastAsia="SimSun" w:cs="SimSun"/>
                <w:sz w:val="20"/>
                <w:szCs w:val="20"/>
                <w:spacing w:val="-37"/>
              </w:rPr>
              <w:t xml:space="preserve"> </w:t>
            </w:r>
            <w:r>
              <w:rPr>
                <w:rFonts w:ascii="SimSun" w:hAnsi="SimSun" w:eastAsia="SimSun" w:cs="SimSun"/>
                <w:sz w:val="20"/>
                <w:szCs w:val="20"/>
                <w:spacing w:val="8"/>
              </w:rPr>
              <w:t>织</w:t>
            </w:r>
          </w:p>
        </w:tc>
        <w:tc>
          <w:tcPr>
            <w:tcW w:w="657" w:type="dxa"/>
            <w:vAlign w:val="top"/>
          </w:tcPr>
          <w:p>
            <w:pPr>
              <w:ind w:left="123"/>
              <w:spacing w:before="29" w:line="229" w:lineRule="auto"/>
              <w:rPr>
                <w:rFonts w:ascii="SimSun" w:hAnsi="SimSun" w:eastAsia="SimSun" w:cs="SimSun"/>
                <w:sz w:val="20"/>
                <w:szCs w:val="20"/>
              </w:rPr>
            </w:pPr>
            <w:r>
              <w:rPr>
                <w:rFonts w:ascii="SimSun" w:hAnsi="SimSun" w:eastAsia="SimSun" w:cs="SimSun"/>
                <w:sz w:val="20"/>
                <w:szCs w:val="20"/>
                <w:spacing w:val="4"/>
              </w:rPr>
              <w:t>地面</w:t>
            </w:r>
          </w:p>
          <w:p>
            <w:pPr>
              <w:ind w:left="125"/>
              <w:spacing w:before="22" w:line="228" w:lineRule="auto"/>
              <w:rPr>
                <w:rFonts w:ascii="SimSun" w:hAnsi="SimSun" w:eastAsia="SimSun" w:cs="SimSun"/>
                <w:sz w:val="20"/>
                <w:szCs w:val="20"/>
              </w:rPr>
            </w:pPr>
            <w:r>
              <w:rPr>
                <w:rFonts w:ascii="SimSun" w:hAnsi="SimSun" w:eastAsia="SimSun" w:cs="SimSun"/>
                <w:sz w:val="20"/>
                <w:szCs w:val="20"/>
                <w:spacing w:val="3"/>
              </w:rPr>
              <w:t>生产</w:t>
            </w:r>
          </w:p>
          <w:p>
            <w:pPr>
              <w:ind w:left="127"/>
              <w:spacing w:before="24" w:line="229" w:lineRule="auto"/>
              <w:rPr>
                <w:rFonts w:ascii="SimSun" w:hAnsi="SimSun" w:eastAsia="SimSun" w:cs="SimSun"/>
                <w:sz w:val="20"/>
                <w:szCs w:val="20"/>
              </w:rPr>
            </w:pPr>
            <w:r>
              <w:rPr>
                <w:rFonts w:ascii="SimSun" w:hAnsi="SimSun" w:eastAsia="SimSun" w:cs="SimSun"/>
                <w:sz w:val="20"/>
                <w:szCs w:val="20"/>
                <w:spacing w:val="2"/>
              </w:rPr>
              <w:t>系统</w:t>
            </w:r>
          </w:p>
          <w:p>
            <w:pPr>
              <w:ind w:left="229" w:right="118" w:hanging="106"/>
              <w:spacing w:before="25" w:line="235" w:lineRule="auto"/>
              <w:rPr>
                <w:rFonts w:ascii="SimSun" w:hAnsi="SimSun" w:eastAsia="SimSun" w:cs="SimSun"/>
                <w:sz w:val="20"/>
                <w:szCs w:val="20"/>
              </w:rPr>
            </w:pPr>
            <w:r>
              <w:rPr>
                <w:rFonts w:ascii="SimSun" w:hAnsi="SimSun" w:eastAsia="SimSun" w:cs="SimSun"/>
                <w:sz w:val="20"/>
                <w:szCs w:val="20"/>
                <w:spacing w:val="4"/>
              </w:rPr>
              <w:t>排气</w:t>
            </w:r>
            <w:r>
              <w:rPr>
                <w:rFonts w:ascii="SimSun" w:hAnsi="SimSun" w:eastAsia="SimSun" w:cs="SimSun"/>
                <w:sz w:val="20"/>
                <w:szCs w:val="20"/>
              </w:rPr>
              <w:t>筒</w:t>
            </w:r>
          </w:p>
        </w:tc>
        <w:tc>
          <w:tcPr>
            <w:tcW w:w="2214" w:type="dxa"/>
            <w:vAlign w:val="top"/>
          </w:tcPr>
          <w:p>
            <w:pPr>
              <w:spacing w:line="275" w:lineRule="auto"/>
              <w:rPr>
                <w:rFonts w:ascii="Arial"/>
                <w:sz w:val="21"/>
              </w:rPr>
            </w:pPr>
            <w:r/>
          </w:p>
          <w:p>
            <w:pPr>
              <w:spacing w:line="275" w:lineRule="auto"/>
              <w:rPr>
                <w:rFonts w:ascii="Arial"/>
                <w:sz w:val="21"/>
              </w:rPr>
            </w:pPr>
            <w:r/>
          </w:p>
          <w:p>
            <w:pPr>
              <w:pStyle w:val="TableText"/>
              <w:ind w:left="887"/>
              <w:spacing w:before="57" w:line="199" w:lineRule="auto"/>
              <w:rPr>
                <w:sz w:val="13"/>
                <w:szCs w:val="13"/>
              </w:rPr>
            </w:pPr>
            <w:r>
              <w:rPr/>
              <w:t>PM</w:t>
            </w:r>
            <w:r>
              <w:rPr>
                <w:sz w:val="13"/>
                <w:szCs w:val="13"/>
                <w:spacing w:val="8"/>
                <w:position w:val="-1"/>
              </w:rPr>
              <w:t>10</w:t>
            </w:r>
          </w:p>
        </w:tc>
        <w:tc>
          <w:tcPr>
            <w:tcW w:w="873" w:type="dxa"/>
            <w:vAlign w:val="top"/>
          </w:tcPr>
          <w:p>
            <w:pPr>
              <w:spacing w:line="251" w:lineRule="auto"/>
              <w:rPr>
                <w:rFonts w:ascii="Arial"/>
                <w:sz w:val="21"/>
              </w:rPr>
            </w:pPr>
            <w:r/>
          </w:p>
          <w:p>
            <w:pPr>
              <w:spacing w:line="252" w:lineRule="auto"/>
              <w:rPr>
                <w:rFonts w:ascii="Arial"/>
                <w:sz w:val="21"/>
              </w:rPr>
            </w:pPr>
            <w:r/>
          </w:p>
          <w:p>
            <w:pPr>
              <w:ind w:left="125"/>
              <w:spacing w:before="65" w:line="227" w:lineRule="auto"/>
              <w:rPr>
                <w:rFonts w:ascii="SimSun" w:hAnsi="SimSun" w:eastAsia="SimSun" w:cs="SimSun"/>
                <w:sz w:val="20"/>
                <w:szCs w:val="20"/>
              </w:rPr>
            </w:pPr>
            <w:r>
              <w:rPr>
                <w:rFonts w:ascii="SimSun" w:hAnsi="SimSun" w:eastAsia="SimSun" w:cs="SimSun"/>
                <w:sz w:val="20"/>
                <w:szCs w:val="20"/>
                <w:spacing w:val="6"/>
              </w:rPr>
              <w:t>排气筒</w:t>
            </w:r>
          </w:p>
        </w:tc>
        <w:tc>
          <w:tcPr>
            <w:tcW w:w="878" w:type="dxa"/>
            <w:vAlign w:val="top"/>
          </w:tcPr>
          <w:p>
            <w:pPr>
              <w:spacing w:line="251" w:lineRule="auto"/>
              <w:rPr>
                <w:rFonts w:ascii="Arial"/>
                <w:sz w:val="21"/>
              </w:rPr>
            </w:pPr>
            <w:r/>
          </w:p>
          <w:p>
            <w:pPr>
              <w:spacing w:line="252" w:lineRule="auto"/>
              <w:rPr>
                <w:rFonts w:ascii="Arial"/>
                <w:sz w:val="21"/>
              </w:rPr>
            </w:pPr>
            <w:r/>
          </w:p>
          <w:p>
            <w:pPr>
              <w:pStyle w:val="TableText"/>
              <w:ind w:left="119"/>
              <w:spacing w:before="65" w:line="228" w:lineRule="auto"/>
              <w:rPr>
                <w:rFonts w:ascii="SimSun" w:hAnsi="SimSun" w:eastAsia="SimSun" w:cs="SimSun"/>
              </w:rPr>
            </w:pPr>
            <w:r>
              <w:rPr>
                <w:spacing w:val="1"/>
              </w:rPr>
              <w:t>2</w:t>
            </w:r>
            <w:r>
              <w:rPr>
                <w:spacing w:val="21"/>
              </w:rPr>
              <w:t xml:space="preserve"> </w:t>
            </w:r>
            <w:r>
              <w:rPr>
                <w:rFonts w:ascii="SimSun" w:hAnsi="SimSun" w:eastAsia="SimSun" w:cs="SimSun"/>
                <w:spacing w:val="1"/>
              </w:rPr>
              <w:t>次</w:t>
            </w:r>
            <w:r>
              <w:rPr>
                <w:spacing w:val="1"/>
              </w:rPr>
              <w:t>/</w:t>
            </w:r>
            <w:r>
              <w:rPr>
                <w:rFonts w:ascii="SimSun" w:hAnsi="SimSun" w:eastAsia="SimSun" w:cs="SimSun"/>
                <w:spacing w:val="1"/>
              </w:rPr>
              <w:t>年</w:t>
            </w:r>
          </w:p>
        </w:tc>
        <w:tc>
          <w:tcPr>
            <w:tcW w:w="1964" w:type="dxa"/>
            <w:vAlign w:val="top"/>
            <w:vMerge w:val="restart"/>
            <w:tcBorders>
              <w:bottom w:val="nil"/>
            </w:tcBorders>
          </w:tcPr>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8"/>
              </w:rPr>
              <w:t>《煤炭工业污染物</w:t>
            </w:r>
          </w:p>
          <w:p>
            <w:pPr>
              <w:ind w:left="462"/>
              <w:spacing w:before="24" w:line="228" w:lineRule="auto"/>
              <w:rPr>
                <w:rFonts w:ascii="SimSun" w:hAnsi="SimSun" w:eastAsia="SimSun" w:cs="SimSun"/>
                <w:sz w:val="20"/>
                <w:szCs w:val="20"/>
              </w:rPr>
            </w:pPr>
            <w:r>
              <w:rPr>
                <w:rFonts w:ascii="SimSun" w:hAnsi="SimSun" w:eastAsia="SimSun" w:cs="SimSun"/>
                <w:sz w:val="20"/>
                <w:szCs w:val="20"/>
                <w:spacing w:val="5"/>
              </w:rPr>
              <w:t>排放标准》</w:t>
            </w:r>
          </w:p>
          <w:p>
            <w:pPr>
              <w:pStyle w:val="TableText"/>
              <w:ind w:left="203"/>
              <w:spacing w:before="23" w:line="221" w:lineRule="auto"/>
              <w:rPr/>
            </w:pPr>
            <w:r>
              <w:rPr>
                <w:rFonts w:ascii="SimSun" w:hAnsi="SimSun" w:eastAsia="SimSun" w:cs="SimSun"/>
                <w:spacing w:val="5"/>
              </w:rPr>
              <w:t>（</w:t>
            </w:r>
            <w:r>
              <w:rPr/>
              <w:t>GB</w:t>
            </w:r>
            <w:r>
              <w:rPr>
                <w:spacing w:val="5"/>
              </w:rPr>
              <w:t>20426-2006)</w:t>
            </w:r>
          </w:p>
          <w:p>
            <w:pPr>
              <w:ind w:left="378"/>
              <w:spacing w:before="34" w:line="228" w:lineRule="auto"/>
              <w:rPr>
                <w:rFonts w:ascii="SimSun" w:hAnsi="SimSun" w:eastAsia="SimSun" w:cs="SimSun"/>
                <w:sz w:val="20"/>
                <w:szCs w:val="20"/>
              </w:rPr>
            </w:pPr>
            <w:r>
              <w:rPr>
                <w:rFonts w:ascii="SimSun" w:hAnsi="SimSun" w:eastAsia="SimSun" w:cs="SimSun"/>
                <w:sz w:val="20"/>
                <w:szCs w:val="20"/>
                <w:spacing w:val="5"/>
              </w:rPr>
              <w:t>中的相应要求</w:t>
            </w:r>
          </w:p>
        </w:tc>
        <w:tc>
          <w:tcPr>
            <w:tcW w:w="1605" w:type="dxa"/>
            <w:vAlign w:val="top"/>
          </w:tcPr>
          <w:p>
            <w:pPr>
              <w:spacing w:line="252" w:lineRule="auto"/>
              <w:rPr>
                <w:rFonts w:ascii="Arial"/>
                <w:sz w:val="21"/>
              </w:rPr>
            </w:pPr>
            <w:r/>
          </w:p>
          <w:p>
            <w:pPr>
              <w:spacing w:line="252"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1911" w:hRule="atLeast"/>
        </w:trPr>
        <w:tc>
          <w:tcPr>
            <w:tcW w:w="636" w:type="dxa"/>
            <w:vAlign w:val="top"/>
            <w:vMerge w:val="continue"/>
            <w:textDirection w:val="tbRlV"/>
            <w:tcBorders>
              <w:top w:val="nil"/>
            </w:tcBorders>
          </w:tcPr>
          <w:p>
            <w:pPr>
              <w:rPr>
                <w:rFonts w:ascii="Arial"/>
                <w:sz w:val="21"/>
              </w:rPr>
            </w:pPr>
            <w:r/>
          </w:p>
        </w:tc>
        <w:tc>
          <w:tcPr>
            <w:tcW w:w="453" w:type="dxa"/>
            <w:vAlign w:val="top"/>
            <w:textDirection w:val="tbRlV"/>
          </w:tcPr>
          <w:p>
            <w:pPr>
              <w:ind w:left="574"/>
              <w:spacing w:before="121" w:line="215" w:lineRule="auto"/>
              <w:rPr>
                <w:rFonts w:ascii="SimSun" w:hAnsi="SimSun" w:eastAsia="SimSun" w:cs="SimSun"/>
                <w:sz w:val="20"/>
                <w:szCs w:val="20"/>
              </w:rPr>
            </w:pPr>
            <w:r>
              <w:rPr>
                <w:rFonts w:ascii="SimSun" w:hAnsi="SimSun" w:eastAsia="SimSun" w:cs="SimSun"/>
                <w:sz w:val="20"/>
                <w:szCs w:val="20"/>
                <w:spacing w:val="8"/>
              </w:rPr>
              <w:t>无</w:t>
            </w:r>
            <w:r>
              <w:rPr>
                <w:rFonts w:ascii="SimSun" w:hAnsi="SimSun" w:eastAsia="SimSun" w:cs="SimSun"/>
                <w:sz w:val="20"/>
                <w:szCs w:val="20"/>
                <w:spacing w:val="-37"/>
              </w:rPr>
              <w:t xml:space="preserve"> </w:t>
            </w:r>
            <w:r>
              <w:rPr>
                <w:rFonts w:ascii="SimSun" w:hAnsi="SimSun" w:eastAsia="SimSun" w:cs="SimSun"/>
                <w:sz w:val="20"/>
                <w:szCs w:val="20"/>
                <w:spacing w:val="8"/>
              </w:rPr>
              <w:t>组</w:t>
            </w:r>
            <w:r>
              <w:rPr>
                <w:rFonts w:ascii="SimSun" w:hAnsi="SimSun" w:eastAsia="SimSun" w:cs="SimSun"/>
                <w:sz w:val="20"/>
                <w:szCs w:val="20"/>
                <w:spacing w:val="-37"/>
              </w:rPr>
              <w:t xml:space="preserve"> </w:t>
            </w:r>
            <w:r>
              <w:rPr>
                <w:rFonts w:ascii="SimSun" w:hAnsi="SimSun" w:eastAsia="SimSun" w:cs="SimSun"/>
                <w:sz w:val="20"/>
                <w:szCs w:val="20"/>
                <w:spacing w:val="8"/>
              </w:rPr>
              <w:t>织</w:t>
            </w:r>
          </w:p>
        </w:tc>
        <w:tc>
          <w:tcPr>
            <w:tcW w:w="657" w:type="dxa"/>
            <w:vAlign w:val="top"/>
          </w:tcPr>
          <w:p>
            <w:pPr>
              <w:ind w:left="123" w:right="118" w:firstLine="2"/>
              <w:spacing w:before="30" w:line="251" w:lineRule="auto"/>
              <w:rPr>
                <w:rFonts w:ascii="SimSun" w:hAnsi="SimSun" w:eastAsia="SimSun" w:cs="SimSun"/>
                <w:sz w:val="20"/>
                <w:szCs w:val="20"/>
              </w:rPr>
            </w:pPr>
            <w:r>
              <w:rPr>
                <w:rFonts w:ascii="SimSun" w:hAnsi="SimSun" w:eastAsia="SimSun" w:cs="SimSun"/>
                <w:sz w:val="20"/>
                <w:szCs w:val="20"/>
                <w:spacing w:val="3"/>
              </w:rPr>
              <w:t>工业</w:t>
            </w:r>
            <w:r>
              <w:rPr>
                <w:rFonts w:ascii="SimSun" w:hAnsi="SimSun" w:eastAsia="SimSun" w:cs="SimSun"/>
                <w:sz w:val="20"/>
                <w:szCs w:val="20"/>
                <w:spacing w:val="28"/>
                <w:w w:val="138"/>
              </w:rPr>
              <w:t>场</w:t>
            </w:r>
            <w:r>
              <w:rPr>
                <w:rFonts w:ascii="SimSun" w:hAnsi="SimSun" w:eastAsia="SimSun" w:cs="SimSun"/>
                <w:sz w:val="20"/>
                <w:szCs w:val="20"/>
              </w:rPr>
              <w:t>地、</w:t>
            </w:r>
          </w:p>
          <w:p>
            <w:pPr>
              <w:ind w:left="122"/>
              <w:spacing w:line="226" w:lineRule="auto"/>
              <w:rPr>
                <w:rFonts w:ascii="SimSun" w:hAnsi="SimSun" w:eastAsia="SimSun" w:cs="SimSun"/>
                <w:sz w:val="20"/>
                <w:szCs w:val="20"/>
              </w:rPr>
            </w:pPr>
            <w:r>
              <w:rPr>
                <w:rFonts w:ascii="SimSun" w:hAnsi="SimSun" w:eastAsia="SimSun" w:cs="SimSun"/>
                <w:sz w:val="20"/>
                <w:szCs w:val="20"/>
                <w:spacing w:val="5"/>
              </w:rPr>
              <w:t>采掘</w:t>
            </w:r>
          </w:p>
          <w:p>
            <w:pPr>
              <w:ind w:left="122"/>
              <w:spacing w:before="28" w:line="228" w:lineRule="auto"/>
              <w:rPr>
                <w:rFonts w:ascii="SimSun" w:hAnsi="SimSun" w:eastAsia="SimSun" w:cs="SimSun"/>
                <w:sz w:val="20"/>
                <w:szCs w:val="20"/>
              </w:rPr>
            </w:pPr>
            <w:r>
              <w:rPr>
                <w:rFonts w:ascii="SimSun" w:hAnsi="SimSun" w:eastAsia="SimSun" w:cs="SimSun"/>
                <w:sz w:val="20"/>
                <w:szCs w:val="20"/>
              </w:rPr>
              <w:t>场、</w:t>
            </w:r>
          </w:p>
          <w:p>
            <w:pPr>
              <w:ind w:left="225" w:right="118" w:hanging="102"/>
              <w:spacing w:before="24" w:line="235" w:lineRule="auto"/>
              <w:rPr>
                <w:rFonts w:ascii="SimSun" w:hAnsi="SimSun" w:eastAsia="SimSun" w:cs="SimSun"/>
                <w:sz w:val="20"/>
                <w:szCs w:val="20"/>
              </w:rPr>
            </w:pPr>
            <w:r>
              <w:rPr>
                <w:rFonts w:ascii="SimSun" w:hAnsi="SimSun" w:eastAsia="SimSun" w:cs="SimSun"/>
                <w:sz w:val="20"/>
                <w:szCs w:val="20"/>
                <w:spacing w:val="4"/>
              </w:rPr>
              <w:t>排土</w:t>
            </w:r>
            <w:r>
              <w:rPr>
                <w:rFonts w:ascii="SimSun" w:hAnsi="SimSun" w:eastAsia="SimSun" w:cs="SimSun"/>
                <w:sz w:val="20"/>
                <w:szCs w:val="20"/>
                <w:spacing w:val="1"/>
              </w:rPr>
              <w:t>场</w:t>
            </w:r>
          </w:p>
        </w:tc>
        <w:tc>
          <w:tcPr>
            <w:tcW w:w="2214" w:type="dxa"/>
            <w:vAlign w:val="top"/>
          </w:tcPr>
          <w:p>
            <w:pPr>
              <w:spacing w:line="273"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928"/>
              <w:spacing w:before="57" w:line="195" w:lineRule="auto"/>
              <w:rPr/>
            </w:pPr>
            <w:r>
              <w:rPr>
                <w:spacing w:val="3"/>
              </w:rPr>
              <w:t>TSP</w:t>
            </w:r>
          </w:p>
        </w:tc>
        <w:tc>
          <w:tcPr>
            <w:tcW w:w="873" w:type="dxa"/>
            <w:vAlign w:val="top"/>
          </w:tcPr>
          <w:p>
            <w:pPr>
              <w:ind w:left="127"/>
              <w:spacing w:before="30" w:line="228" w:lineRule="auto"/>
              <w:rPr>
                <w:rFonts w:ascii="SimSun" w:hAnsi="SimSun" w:eastAsia="SimSun" w:cs="SimSun"/>
                <w:sz w:val="20"/>
                <w:szCs w:val="20"/>
              </w:rPr>
            </w:pPr>
            <w:r>
              <w:rPr>
                <w:rFonts w:ascii="SimSun" w:hAnsi="SimSun" w:eastAsia="SimSun" w:cs="SimSun"/>
                <w:sz w:val="20"/>
                <w:szCs w:val="20"/>
                <w:spacing w:val="6"/>
              </w:rPr>
              <w:t>上风向</w:t>
            </w:r>
          </w:p>
          <w:p>
            <w:pPr>
              <w:pStyle w:val="TableText"/>
              <w:ind w:left="155"/>
              <w:spacing w:before="23" w:line="229" w:lineRule="auto"/>
              <w:rPr/>
            </w:pPr>
            <w:r>
              <w:rPr>
                <w:rFonts w:ascii="SimSun" w:hAnsi="SimSun" w:eastAsia="SimSun" w:cs="SimSun"/>
                <w:spacing w:val="2"/>
              </w:rPr>
              <w:t>设置</w:t>
            </w:r>
            <w:r>
              <w:rPr>
                <w:rFonts w:ascii="SimSun" w:hAnsi="SimSun" w:eastAsia="SimSun" w:cs="SimSun"/>
                <w:spacing w:val="-21"/>
              </w:rPr>
              <w:t xml:space="preserve"> </w:t>
            </w:r>
            <w:r>
              <w:rPr>
                <w:spacing w:val="2"/>
              </w:rPr>
              <w:t>1</w:t>
            </w:r>
          </w:p>
          <w:p>
            <w:pPr>
              <w:ind w:left="125"/>
              <w:spacing w:before="25" w:line="228" w:lineRule="auto"/>
              <w:rPr>
                <w:rFonts w:ascii="SimSun" w:hAnsi="SimSun" w:eastAsia="SimSun" w:cs="SimSun"/>
                <w:sz w:val="20"/>
                <w:szCs w:val="20"/>
              </w:rPr>
            </w:pPr>
            <w:r>
              <w:rPr>
                <w:rFonts w:ascii="SimSun" w:hAnsi="SimSun" w:eastAsia="SimSun" w:cs="SimSun"/>
                <w:sz w:val="20"/>
                <w:szCs w:val="20"/>
                <w:spacing w:val="6"/>
              </w:rPr>
              <w:t>个监测</w:t>
            </w:r>
          </w:p>
          <w:p>
            <w:pPr>
              <w:ind w:left="136"/>
              <w:spacing w:before="24" w:line="228" w:lineRule="auto"/>
              <w:rPr>
                <w:rFonts w:ascii="SimSun" w:hAnsi="SimSun" w:eastAsia="SimSun" w:cs="SimSun"/>
                <w:sz w:val="20"/>
                <w:szCs w:val="20"/>
              </w:rPr>
            </w:pPr>
            <w:r>
              <w:rPr>
                <w:rFonts w:ascii="SimSun" w:hAnsi="SimSun" w:eastAsia="SimSun" w:cs="SimSun"/>
                <w:sz w:val="20"/>
                <w:szCs w:val="20"/>
                <w:spacing w:val="5"/>
              </w:rPr>
              <w:t>点，下</w:t>
            </w:r>
          </w:p>
          <w:p>
            <w:pPr>
              <w:ind w:left="126"/>
              <w:spacing w:before="26" w:line="228" w:lineRule="auto"/>
              <w:rPr>
                <w:rFonts w:ascii="SimSun" w:hAnsi="SimSun" w:eastAsia="SimSun" w:cs="SimSun"/>
                <w:sz w:val="20"/>
                <w:szCs w:val="20"/>
              </w:rPr>
            </w:pPr>
            <w:r>
              <w:rPr>
                <w:rFonts w:ascii="SimSun" w:hAnsi="SimSun" w:eastAsia="SimSun" w:cs="SimSun"/>
                <w:sz w:val="20"/>
                <w:szCs w:val="20"/>
                <w:spacing w:val="6"/>
              </w:rPr>
              <w:t>风向设</w:t>
            </w:r>
          </w:p>
          <w:p>
            <w:pPr>
              <w:pStyle w:val="TableText"/>
              <w:ind w:left="123"/>
              <w:spacing w:before="24" w:line="228" w:lineRule="auto"/>
              <w:rPr>
                <w:rFonts w:ascii="SimSun" w:hAnsi="SimSun" w:eastAsia="SimSun" w:cs="SimSun"/>
              </w:rPr>
            </w:pPr>
            <w:r>
              <w:rPr>
                <w:rFonts w:ascii="SimSun" w:hAnsi="SimSun" w:eastAsia="SimSun" w:cs="SimSun"/>
                <w:spacing w:val="-1"/>
              </w:rPr>
              <w:t>置</w:t>
            </w:r>
            <w:r>
              <w:rPr>
                <w:rFonts w:ascii="SimSun" w:hAnsi="SimSun" w:eastAsia="SimSun" w:cs="SimSun"/>
                <w:spacing w:val="-36"/>
              </w:rPr>
              <w:t xml:space="preserve"> </w:t>
            </w:r>
            <w:r>
              <w:rPr>
                <w:spacing w:val="-1"/>
              </w:rPr>
              <w:t>3</w:t>
            </w:r>
            <w:r>
              <w:rPr>
                <w:spacing w:val="10"/>
              </w:rPr>
              <w:t xml:space="preserve"> </w:t>
            </w:r>
            <w:r>
              <w:rPr>
                <w:rFonts w:ascii="SimSun" w:hAnsi="SimSun" w:eastAsia="SimSun" w:cs="SimSun"/>
                <w:spacing w:val="-1"/>
              </w:rPr>
              <w:t>个</w:t>
            </w:r>
          </w:p>
          <w:p>
            <w:pPr>
              <w:ind w:left="126"/>
              <w:spacing w:before="27" w:line="218" w:lineRule="auto"/>
              <w:rPr>
                <w:rFonts w:ascii="SimSun" w:hAnsi="SimSun" w:eastAsia="SimSun" w:cs="SimSun"/>
                <w:sz w:val="20"/>
                <w:szCs w:val="20"/>
              </w:rPr>
            </w:pPr>
            <w:r>
              <w:rPr>
                <w:rFonts w:ascii="SimSun" w:hAnsi="SimSun" w:eastAsia="SimSun" w:cs="SimSun"/>
                <w:sz w:val="20"/>
                <w:szCs w:val="20"/>
                <w:spacing w:val="6"/>
              </w:rPr>
              <w:t>监测点</w:t>
            </w:r>
          </w:p>
        </w:tc>
        <w:tc>
          <w:tcPr>
            <w:tcW w:w="878"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pStyle w:val="TableText"/>
              <w:ind w:left="119"/>
              <w:spacing w:before="65" w:line="228" w:lineRule="auto"/>
              <w:rPr>
                <w:rFonts w:ascii="SimSun" w:hAnsi="SimSun" w:eastAsia="SimSun" w:cs="SimSun"/>
              </w:rPr>
            </w:pPr>
            <w:r>
              <w:rPr>
                <w:spacing w:val="1"/>
              </w:rPr>
              <w:t>2</w:t>
            </w:r>
            <w:r>
              <w:rPr>
                <w:spacing w:val="21"/>
              </w:rPr>
              <w:t xml:space="preserve"> </w:t>
            </w:r>
            <w:r>
              <w:rPr>
                <w:rFonts w:ascii="SimSun" w:hAnsi="SimSun" w:eastAsia="SimSun" w:cs="SimSun"/>
                <w:spacing w:val="1"/>
              </w:rPr>
              <w:t>次</w:t>
            </w:r>
            <w:r>
              <w:rPr>
                <w:spacing w:val="1"/>
              </w:rPr>
              <w:t>/</w:t>
            </w:r>
            <w:r>
              <w:rPr>
                <w:rFonts w:ascii="SimSun" w:hAnsi="SimSun" w:eastAsia="SimSun" w:cs="SimSun"/>
                <w:spacing w:val="1"/>
              </w:rPr>
              <w:t>年</w:t>
            </w:r>
          </w:p>
        </w:tc>
        <w:tc>
          <w:tcPr>
            <w:tcW w:w="1964" w:type="dxa"/>
            <w:vAlign w:val="top"/>
            <w:vMerge w:val="continue"/>
            <w:tcBorders>
              <w:top w:val="nil"/>
            </w:tcBorders>
          </w:tcPr>
          <w:p>
            <w:pPr>
              <w:rPr>
                <w:rFonts w:ascii="Arial"/>
                <w:sz w:val="21"/>
              </w:rPr>
            </w:pPr>
            <w:r/>
          </w:p>
        </w:tc>
        <w:tc>
          <w:tcPr>
            <w:tcW w:w="1605"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394"/>
              <w:spacing w:before="65" w:line="228" w:lineRule="auto"/>
              <w:rPr>
                <w:rFonts w:ascii="SimSun" w:hAnsi="SimSun" w:eastAsia="SimSun" w:cs="SimSun"/>
                <w:sz w:val="20"/>
                <w:szCs w:val="20"/>
              </w:rPr>
            </w:pPr>
            <w:r>
              <w:rPr>
                <w:rFonts w:ascii="SimSun" w:hAnsi="SimSun" w:eastAsia="SimSun" w:cs="SimSun"/>
                <w:sz w:val="20"/>
                <w:szCs w:val="20"/>
                <w:spacing w:val="5"/>
              </w:rPr>
              <w:t>改建工程</w:t>
            </w:r>
          </w:p>
        </w:tc>
      </w:tr>
      <w:tr>
        <w:trPr>
          <w:trHeight w:val="1365" w:hRule="atLeast"/>
        </w:trPr>
        <w:tc>
          <w:tcPr>
            <w:tcW w:w="636" w:type="dxa"/>
            <w:vAlign w:val="top"/>
            <w:vMerge w:val="restart"/>
            <w:tcBorders>
              <w:bottom w:val="nil"/>
            </w:tcBorders>
          </w:tcPr>
          <w:p>
            <w:pPr>
              <w:spacing w:line="377" w:lineRule="auto"/>
              <w:rPr>
                <w:rFonts w:ascii="Arial"/>
                <w:sz w:val="21"/>
              </w:rPr>
            </w:pPr>
            <w:r/>
          </w:p>
          <w:p>
            <w:pPr>
              <w:ind w:left="115" w:right="123" w:firstLine="99"/>
              <w:spacing w:before="65" w:line="252" w:lineRule="auto"/>
              <w:tabs>
                <w:tab w:val="left" w:pos="379"/>
              </w:tabs>
              <w:jc w:val="right"/>
              <w:rPr>
                <w:rFonts w:ascii="SimSun" w:hAnsi="SimSun" w:eastAsia="SimSun" w:cs="SimSun"/>
                <w:sz w:val="20"/>
                <w:szCs w:val="20"/>
              </w:rPr>
            </w:pPr>
            <w:r>
              <w:rPr>
                <w:rFonts w:ascii="SimSun" w:hAnsi="SimSun" w:eastAsia="SimSun" w:cs="SimSun"/>
                <w:sz w:val="20"/>
                <w:szCs w:val="20"/>
                <w:spacing w:val="1"/>
              </w:rPr>
              <w:t>废</w:t>
            </w:r>
            <w:r>
              <w:rPr>
                <w:rFonts w:ascii="SimSun" w:hAnsi="SimSun" w:eastAsia="SimSun" w:cs="SimSun"/>
                <w:sz w:val="20"/>
                <w:szCs w:val="20"/>
                <w:spacing w:val="37"/>
                <w:w w:val="132"/>
              </w:rPr>
              <w:t>水</w:t>
            </w:r>
            <w:r>
              <w:rPr>
                <w:rFonts w:ascii="SimSun" w:hAnsi="SimSun" w:eastAsia="SimSun" w:cs="SimSun"/>
                <w:sz w:val="20"/>
                <w:szCs w:val="20"/>
              </w:rPr>
              <w:tab/>
            </w:r>
            <w:r>
              <w:rPr>
                <w:rFonts w:ascii="SimSun" w:hAnsi="SimSun" w:eastAsia="SimSun" w:cs="SimSun"/>
                <w:sz w:val="20"/>
                <w:szCs w:val="20"/>
                <w:spacing w:val="-13"/>
                <w:w w:val="74"/>
              </w:rPr>
              <w:t>(</w:t>
            </w:r>
            <w:r>
              <w:rPr>
                <w:rFonts w:ascii="SimSun" w:hAnsi="SimSun" w:eastAsia="SimSun" w:cs="SimSun"/>
                <w:sz w:val="20"/>
                <w:szCs w:val="20"/>
                <w:spacing w:val="45"/>
                <w:w w:val="128"/>
              </w:rPr>
              <w:t>不</w:t>
            </w:r>
            <w:r>
              <w:rPr>
                <w:rFonts w:ascii="SimSun" w:hAnsi="SimSun" w:eastAsia="SimSun" w:cs="SimSun"/>
                <w:sz w:val="20"/>
                <w:szCs w:val="20"/>
                <w:spacing w:val="47"/>
                <w:w w:val="127"/>
              </w:rPr>
              <w:t>外</w:t>
            </w:r>
            <w:r>
              <w:rPr>
                <w:rFonts w:ascii="SimSun" w:hAnsi="SimSun" w:eastAsia="SimSun" w:cs="SimSun"/>
                <w:sz w:val="20"/>
                <w:szCs w:val="20"/>
                <w:spacing w:val="-5"/>
              </w:rPr>
              <w:t>排）</w:t>
            </w:r>
          </w:p>
        </w:tc>
        <w:tc>
          <w:tcPr>
            <w:tcW w:w="1110" w:type="dxa"/>
            <w:vAlign w:val="top"/>
            <w:gridSpan w:val="2"/>
          </w:tcPr>
          <w:p>
            <w:pPr>
              <w:ind w:left="136"/>
              <w:spacing w:before="302" w:line="228" w:lineRule="auto"/>
              <w:rPr>
                <w:rFonts w:ascii="SimSun" w:hAnsi="SimSun" w:eastAsia="SimSun" w:cs="SimSun"/>
                <w:sz w:val="20"/>
                <w:szCs w:val="20"/>
              </w:rPr>
            </w:pPr>
            <w:r>
              <w:rPr>
                <w:rFonts w:ascii="SimSun" w:hAnsi="SimSun" w:eastAsia="SimSun" w:cs="SimSun"/>
                <w:sz w:val="20"/>
                <w:szCs w:val="20"/>
                <w:spacing w:val="5"/>
              </w:rPr>
              <w:t>矿（坑）</w:t>
            </w:r>
          </w:p>
          <w:p>
            <w:pPr>
              <w:ind w:left="137"/>
              <w:spacing w:before="24" w:line="228" w:lineRule="auto"/>
              <w:rPr>
                <w:rFonts w:ascii="SimSun" w:hAnsi="SimSun" w:eastAsia="SimSun" w:cs="SimSun"/>
                <w:sz w:val="20"/>
                <w:szCs w:val="20"/>
              </w:rPr>
            </w:pPr>
            <w:r>
              <w:rPr>
                <w:rFonts w:ascii="SimSun" w:hAnsi="SimSun" w:eastAsia="SimSun" w:cs="SimSun"/>
                <w:sz w:val="20"/>
                <w:szCs w:val="20"/>
                <w:spacing w:val="7"/>
              </w:rPr>
              <w:t>井水处理</w:t>
            </w:r>
          </w:p>
          <w:p>
            <w:pPr>
              <w:ind w:left="455"/>
              <w:spacing w:before="24" w:line="231" w:lineRule="auto"/>
              <w:rPr>
                <w:rFonts w:ascii="SimSun" w:hAnsi="SimSun" w:eastAsia="SimSun" w:cs="SimSun"/>
                <w:sz w:val="20"/>
                <w:szCs w:val="20"/>
              </w:rPr>
            </w:pPr>
            <w:r>
              <w:rPr>
                <w:rFonts w:ascii="SimSun" w:hAnsi="SimSun" w:eastAsia="SimSun" w:cs="SimSun"/>
                <w:sz w:val="20"/>
                <w:szCs w:val="20"/>
              </w:rPr>
              <w:t>站</w:t>
            </w:r>
          </w:p>
        </w:tc>
        <w:tc>
          <w:tcPr>
            <w:tcW w:w="2214" w:type="dxa"/>
            <w:vAlign w:val="top"/>
          </w:tcPr>
          <w:p>
            <w:pPr>
              <w:pStyle w:val="TableText"/>
              <w:ind w:left="103"/>
              <w:spacing w:before="31" w:line="221" w:lineRule="auto"/>
              <w:rPr>
                <w:rFonts w:ascii="SimSun" w:hAnsi="SimSun" w:eastAsia="SimSun" w:cs="SimSun"/>
              </w:rPr>
            </w:pPr>
            <w:r>
              <w:rPr/>
              <w:t>pH</w:t>
            </w:r>
            <w:r>
              <w:rPr>
                <w:spacing w:val="7"/>
              </w:rPr>
              <w:t xml:space="preserve"> </w:t>
            </w:r>
            <w:r>
              <w:rPr>
                <w:rFonts w:ascii="SimSun" w:hAnsi="SimSun" w:eastAsia="SimSun" w:cs="SimSun"/>
                <w:spacing w:val="7"/>
              </w:rPr>
              <w:t>值、</w:t>
            </w:r>
            <w:r>
              <w:rPr/>
              <w:t>SS</w:t>
            </w:r>
            <w:r>
              <w:rPr>
                <w:spacing w:val="-26"/>
              </w:rPr>
              <w:t xml:space="preserve"> </w:t>
            </w:r>
            <w:r>
              <w:rPr>
                <w:rFonts w:ascii="SimSun" w:hAnsi="SimSun" w:eastAsia="SimSun" w:cs="SimSun"/>
                <w:spacing w:val="7"/>
              </w:rPr>
              <w:t>、化学需氧</w:t>
            </w:r>
          </w:p>
          <w:p>
            <w:pPr>
              <w:ind w:right="15"/>
              <w:spacing w:before="31" w:line="228" w:lineRule="auto"/>
              <w:jc w:val="right"/>
              <w:rPr>
                <w:rFonts w:ascii="SimSun" w:hAnsi="SimSun" w:eastAsia="SimSun" w:cs="SimSun"/>
                <w:sz w:val="20"/>
                <w:szCs w:val="20"/>
              </w:rPr>
            </w:pPr>
            <w:r>
              <w:rPr>
                <w:rFonts w:ascii="SimSun" w:hAnsi="SimSun" w:eastAsia="SimSun" w:cs="SimSun"/>
                <w:sz w:val="20"/>
                <w:szCs w:val="20"/>
                <w:spacing w:val="8"/>
              </w:rPr>
              <w:t>量、石油类、铁、锰、</w:t>
            </w:r>
          </w:p>
          <w:p>
            <w:pPr>
              <w:ind w:right="15"/>
              <w:spacing w:before="24" w:line="226" w:lineRule="auto"/>
              <w:jc w:val="right"/>
              <w:rPr>
                <w:rFonts w:ascii="SimSun" w:hAnsi="SimSun" w:eastAsia="SimSun" w:cs="SimSun"/>
                <w:sz w:val="20"/>
                <w:szCs w:val="20"/>
              </w:rPr>
            </w:pPr>
            <w:r>
              <w:rPr>
                <w:rFonts w:ascii="SimSun" w:hAnsi="SimSun" w:eastAsia="SimSun" w:cs="SimSun"/>
                <w:sz w:val="20"/>
                <w:szCs w:val="20"/>
                <w:spacing w:val="8"/>
              </w:rPr>
              <w:t>汞、镉、铬、六价铬、</w:t>
            </w:r>
          </w:p>
          <w:p>
            <w:pPr>
              <w:ind w:right="15"/>
              <w:spacing w:before="28" w:line="225" w:lineRule="auto"/>
              <w:jc w:val="right"/>
              <w:rPr>
                <w:rFonts w:ascii="SimSun" w:hAnsi="SimSun" w:eastAsia="SimSun" w:cs="SimSun"/>
                <w:sz w:val="20"/>
                <w:szCs w:val="20"/>
              </w:rPr>
            </w:pPr>
            <w:r>
              <w:rPr>
                <w:rFonts w:ascii="SimSun" w:hAnsi="SimSun" w:eastAsia="SimSun" w:cs="SimSun"/>
                <w:sz w:val="20"/>
                <w:szCs w:val="20"/>
                <w:spacing w:val="8"/>
              </w:rPr>
              <w:t>铅、砷、锌、氟化物、</w:t>
            </w:r>
          </w:p>
          <w:p>
            <w:pPr>
              <w:ind w:left="481"/>
              <w:spacing w:before="27" w:line="218" w:lineRule="auto"/>
              <w:rPr>
                <w:rFonts w:ascii="SimSun" w:hAnsi="SimSun" w:eastAsia="SimSun" w:cs="SimSun"/>
                <w:sz w:val="20"/>
                <w:szCs w:val="20"/>
              </w:rPr>
            </w:pPr>
            <w:r>
              <w:rPr>
                <w:rFonts w:ascii="SimSun" w:hAnsi="SimSun" w:eastAsia="SimSun" w:cs="SimSun"/>
                <w:sz w:val="20"/>
                <w:szCs w:val="20"/>
                <w:spacing w:val="8"/>
              </w:rPr>
              <w:t>全盐量等指标</w:t>
            </w:r>
          </w:p>
        </w:tc>
        <w:tc>
          <w:tcPr>
            <w:tcW w:w="873" w:type="dxa"/>
            <w:vAlign w:val="top"/>
            <w:vMerge w:val="restart"/>
            <w:tcBorders>
              <w:bottom w:val="nil"/>
            </w:tcBorders>
          </w:tcPr>
          <w:p>
            <w:pPr>
              <w:spacing w:line="306" w:lineRule="auto"/>
              <w:rPr>
                <w:rFonts w:ascii="Arial"/>
                <w:sz w:val="21"/>
              </w:rPr>
            </w:pPr>
            <w:r/>
          </w:p>
          <w:p>
            <w:pPr>
              <w:spacing w:line="306" w:lineRule="auto"/>
              <w:rPr>
                <w:rFonts w:ascii="Arial"/>
                <w:sz w:val="21"/>
              </w:rPr>
            </w:pPr>
            <w:r/>
          </w:p>
          <w:p>
            <w:pPr>
              <w:spacing w:line="306" w:lineRule="auto"/>
              <w:rPr>
                <w:rFonts w:ascii="Arial"/>
                <w:sz w:val="21"/>
              </w:rPr>
            </w:pPr>
            <w:r/>
          </w:p>
          <w:p>
            <w:pPr>
              <w:ind w:left="142" w:right="121" w:hanging="13"/>
              <w:spacing w:before="65" w:line="252" w:lineRule="auto"/>
              <w:rPr>
                <w:rFonts w:ascii="SimSun" w:hAnsi="SimSun" w:eastAsia="SimSun" w:cs="SimSun"/>
                <w:sz w:val="20"/>
                <w:szCs w:val="20"/>
              </w:rPr>
            </w:pPr>
            <w:r>
              <w:rPr>
                <w:rFonts w:ascii="SimSun" w:hAnsi="SimSun" w:eastAsia="SimSun" w:cs="SimSun"/>
                <w:sz w:val="20"/>
                <w:szCs w:val="20"/>
                <w:spacing w:val="5"/>
              </w:rPr>
              <w:t>处理站</w:t>
            </w:r>
            <w:r>
              <w:rPr>
                <w:rFonts w:ascii="SimSun" w:hAnsi="SimSun" w:eastAsia="SimSun" w:cs="SimSun"/>
                <w:sz w:val="20"/>
                <w:szCs w:val="20"/>
              </w:rPr>
              <w:t>出水口</w:t>
            </w:r>
          </w:p>
        </w:tc>
        <w:tc>
          <w:tcPr>
            <w:tcW w:w="878" w:type="dxa"/>
            <w:vAlign w:val="top"/>
          </w:tcPr>
          <w:p>
            <w:pPr>
              <w:spacing w:line="372" w:lineRule="auto"/>
              <w:rPr>
                <w:rFonts w:ascii="Arial"/>
                <w:sz w:val="21"/>
              </w:rPr>
            </w:pPr>
            <w:r/>
          </w:p>
          <w:p>
            <w:pPr>
              <w:pStyle w:val="TableText"/>
              <w:ind w:left="338" w:right="121" w:hanging="198"/>
              <w:spacing w:before="65" w:line="252"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季</w:t>
            </w:r>
            <w:r>
              <w:rPr>
                <w:rFonts w:ascii="SimSun" w:hAnsi="SimSun" w:eastAsia="SimSun" w:cs="SimSun"/>
                <w:spacing w:val="1"/>
              </w:rPr>
              <w:t>度</w:t>
            </w:r>
          </w:p>
        </w:tc>
        <w:tc>
          <w:tcPr>
            <w:tcW w:w="1964" w:type="dxa"/>
            <w:vAlign w:val="top"/>
            <w:vMerge w:val="restart"/>
            <w:tcBorders>
              <w:bottom w:val="nil"/>
            </w:tcBorders>
          </w:tcPr>
          <w:p>
            <w:pPr>
              <w:spacing w:line="255" w:lineRule="auto"/>
              <w:rPr>
                <w:rFonts w:ascii="Arial"/>
                <w:sz w:val="21"/>
              </w:rPr>
            </w:pPr>
            <w:r/>
          </w:p>
          <w:p>
            <w:pPr>
              <w:spacing w:line="255" w:lineRule="auto"/>
              <w:rPr>
                <w:rFonts w:ascii="Arial"/>
                <w:sz w:val="21"/>
              </w:rPr>
            </w:pPr>
            <w:r/>
          </w:p>
          <w:p>
            <w:pPr>
              <w:ind w:left="151"/>
              <w:spacing w:before="65" w:line="226" w:lineRule="auto"/>
              <w:rPr>
                <w:rFonts w:ascii="SimSun" w:hAnsi="SimSun" w:eastAsia="SimSun" w:cs="SimSun"/>
                <w:sz w:val="20"/>
                <w:szCs w:val="20"/>
              </w:rPr>
            </w:pPr>
            <w:r>
              <w:rPr>
                <w:rFonts w:ascii="SimSun" w:hAnsi="SimSun" w:eastAsia="SimSun" w:cs="SimSun"/>
                <w:sz w:val="20"/>
                <w:szCs w:val="20"/>
                <w:spacing w:val="8"/>
              </w:rPr>
              <w:t>《城市污水再生利</w:t>
            </w:r>
          </w:p>
          <w:p>
            <w:pPr>
              <w:ind w:left="202"/>
              <w:spacing w:before="28" w:line="226" w:lineRule="auto"/>
              <w:rPr>
                <w:rFonts w:ascii="SimSun" w:hAnsi="SimSun" w:eastAsia="SimSun" w:cs="SimSun"/>
                <w:sz w:val="20"/>
                <w:szCs w:val="20"/>
              </w:rPr>
            </w:pPr>
            <w:r>
              <w:rPr>
                <w:rFonts w:ascii="SimSun" w:hAnsi="SimSun" w:eastAsia="SimSun" w:cs="SimSun"/>
                <w:sz w:val="20"/>
                <w:szCs w:val="20"/>
                <w:spacing w:val="8"/>
              </w:rPr>
              <w:t>用 城市杂用水水</w:t>
            </w:r>
          </w:p>
          <w:p>
            <w:pPr>
              <w:ind w:left="780"/>
              <w:spacing w:before="26" w:line="228" w:lineRule="auto"/>
              <w:rPr>
                <w:rFonts w:ascii="SimSun" w:hAnsi="SimSun" w:eastAsia="SimSun" w:cs="SimSun"/>
                <w:sz w:val="20"/>
                <w:szCs w:val="20"/>
              </w:rPr>
            </w:pPr>
            <w:r>
              <w:rPr>
                <w:rFonts w:ascii="SimSun" w:hAnsi="SimSun" w:eastAsia="SimSun" w:cs="SimSun"/>
                <w:sz w:val="20"/>
                <w:szCs w:val="20"/>
              </w:rPr>
              <w:t>质》</w:t>
            </w:r>
          </w:p>
          <w:p>
            <w:pPr>
              <w:pStyle w:val="TableText"/>
              <w:ind w:left="380" w:right="123" w:hanging="232"/>
              <w:spacing w:before="26" w:line="252" w:lineRule="auto"/>
              <w:rPr>
                <w:rFonts w:ascii="SimSun" w:hAnsi="SimSun" w:eastAsia="SimSun" w:cs="SimSun"/>
              </w:rPr>
            </w:pPr>
            <w:r>
              <w:rPr>
                <w:rFonts w:ascii="SimSun" w:hAnsi="SimSun" w:eastAsia="SimSun" w:cs="SimSun"/>
                <w:spacing w:val="4"/>
              </w:rPr>
              <w:t>（</w:t>
            </w:r>
            <w:r>
              <w:rPr/>
              <w:t>GB</w:t>
            </w:r>
            <w:r>
              <w:rPr>
                <w:spacing w:val="4"/>
              </w:rPr>
              <w:t>/T18920-2020</w:t>
            </w:r>
            <w:r>
              <w:rPr>
                <w:spacing w:val="11"/>
              </w:rPr>
              <w:t xml:space="preserve"> </w:t>
            </w:r>
            <w:r>
              <w:rPr>
                <w:rFonts w:ascii="SimSun" w:hAnsi="SimSun" w:eastAsia="SimSun" w:cs="SimSun"/>
                <w:spacing w:val="-4"/>
              </w:rPr>
              <w:t>)</w:t>
            </w:r>
            <w:r>
              <w:rPr>
                <w:rFonts w:ascii="SimSun" w:hAnsi="SimSun" w:eastAsia="SimSun" w:cs="SimSun"/>
                <w:spacing w:val="50"/>
              </w:rPr>
              <w:t xml:space="preserve"> </w:t>
            </w:r>
            <w:r>
              <w:rPr>
                <w:rFonts w:ascii="SimSun" w:hAnsi="SimSun" w:eastAsia="SimSun" w:cs="SimSun"/>
                <w:spacing w:val="-4"/>
              </w:rPr>
              <w:t>中相应要求</w:t>
            </w:r>
          </w:p>
        </w:tc>
        <w:tc>
          <w:tcPr>
            <w:tcW w:w="1605" w:type="dxa"/>
            <w:vAlign w:val="top"/>
          </w:tcPr>
          <w:p>
            <w:pPr>
              <w:spacing w:line="253" w:lineRule="auto"/>
              <w:rPr>
                <w:rFonts w:ascii="Arial"/>
                <w:sz w:val="21"/>
              </w:rPr>
            </w:pPr>
            <w:r/>
          </w:p>
          <w:p>
            <w:pPr>
              <w:spacing w:line="253"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1094" w:hRule="atLeast"/>
        </w:trPr>
        <w:tc>
          <w:tcPr>
            <w:tcW w:w="636" w:type="dxa"/>
            <w:vAlign w:val="top"/>
            <w:vMerge w:val="continue"/>
            <w:tcBorders>
              <w:top w:val="nil"/>
            </w:tcBorders>
          </w:tcPr>
          <w:p>
            <w:pPr>
              <w:rPr>
                <w:rFonts w:ascii="Arial"/>
                <w:sz w:val="21"/>
              </w:rPr>
            </w:pPr>
            <w:r/>
          </w:p>
        </w:tc>
        <w:tc>
          <w:tcPr>
            <w:tcW w:w="1110" w:type="dxa"/>
            <w:vAlign w:val="top"/>
            <w:gridSpan w:val="2"/>
          </w:tcPr>
          <w:p>
            <w:pPr>
              <w:ind w:left="244" w:right="137" w:hanging="105"/>
              <w:spacing w:before="304" w:line="255" w:lineRule="auto"/>
              <w:rPr>
                <w:rFonts w:ascii="SimSun" w:hAnsi="SimSun" w:eastAsia="SimSun" w:cs="SimSun"/>
                <w:sz w:val="20"/>
                <w:szCs w:val="20"/>
              </w:rPr>
            </w:pPr>
            <w:r>
              <w:rPr>
                <w:rFonts w:ascii="SimSun" w:hAnsi="SimSun" w:eastAsia="SimSun" w:cs="SimSun"/>
                <w:sz w:val="20"/>
                <w:szCs w:val="20"/>
                <w:spacing w:val="6"/>
              </w:rPr>
              <w:t>生活污水</w:t>
            </w:r>
            <w:r>
              <w:rPr>
                <w:rFonts w:ascii="SimSun" w:hAnsi="SimSun" w:eastAsia="SimSun" w:cs="SimSun"/>
                <w:sz w:val="20"/>
                <w:szCs w:val="20"/>
                <w:spacing w:val="5"/>
              </w:rPr>
              <w:t>处理站</w:t>
            </w:r>
          </w:p>
        </w:tc>
        <w:tc>
          <w:tcPr>
            <w:tcW w:w="2214" w:type="dxa"/>
            <w:vAlign w:val="top"/>
          </w:tcPr>
          <w:p>
            <w:pPr>
              <w:pStyle w:val="TableText"/>
              <w:ind w:right="16"/>
              <w:spacing w:before="32" w:line="221" w:lineRule="auto"/>
              <w:jc w:val="right"/>
              <w:rPr>
                <w:rFonts w:ascii="SimSun" w:hAnsi="SimSun" w:eastAsia="SimSun" w:cs="SimSun"/>
              </w:rPr>
            </w:pPr>
            <w:r>
              <w:rPr>
                <w:spacing w:val="-15"/>
              </w:rPr>
              <w:t>pH</w:t>
            </w:r>
            <w:r>
              <w:rPr>
                <w:rFonts w:ascii="SimSun" w:hAnsi="SimSun" w:eastAsia="SimSun" w:cs="SimSun"/>
                <w:spacing w:val="-15"/>
              </w:rPr>
              <w:t>、</w:t>
            </w:r>
            <w:r>
              <w:rPr>
                <w:spacing w:val="-15"/>
              </w:rPr>
              <w:t>SS</w:t>
            </w:r>
            <w:r>
              <w:rPr>
                <w:rFonts w:ascii="SimSun" w:hAnsi="SimSun" w:eastAsia="SimSun" w:cs="SimSun"/>
                <w:spacing w:val="-15"/>
              </w:rPr>
              <w:t>、氟化物、</w:t>
            </w:r>
            <w:r>
              <w:rPr>
                <w:spacing w:val="-15"/>
              </w:rPr>
              <w:t>COD</w:t>
            </w:r>
            <w:r>
              <w:rPr>
                <w:rFonts w:ascii="SimSun" w:hAnsi="SimSun" w:eastAsia="SimSun" w:cs="SimSun"/>
                <w:spacing w:val="-15"/>
              </w:rPr>
              <w:t>、</w:t>
            </w:r>
          </w:p>
          <w:p>
            <w:pPr>
              <w:pStyle w:val="TableText"/>
              <w:ind w:right="13"/>
              <w:spacing w:before="31" w:line="228" w:lineRule="auto"/>
              <w:jc w:val="right"/>
              <w:rPr>
                <w:rFonts w:ascii="SimSun" w:hAnsi="SimSun" w:eastAsia="SimSun" w:cs="SimSun"/>
              </w:rPr>
            </w:pPr>
            <w:r>
              <w:rPr/>
              <w:t>BOD</w:t>
            </w:r>
            <w:r>
              <w:rPr>
                <w:sz w:val="13"/>
                <w:szCs w:val="13"/>
                <w:spacing w:val="1"/>
                <w:position w:val="-1"/>
              </w:rPr>
              <w:t>5</w:t>
            </w:r>
            <w:r>
              <w:rPr>
                <w:rFonts w:ascii="SimSun" w:hAnsi="SimSun" w:eastAsia="SimSun" w:cs="SimSun"/>
                <w:spacing w:val="1"/>
              </w:rPr>
              <w:t>、</w:t>
            </w:r>
            <w:r>
              <w:rPr/>
              <w:t>NH</w:t>
            </w:r>
            <w:r>
              <w:rPr>
                <w:sz w:val="13"/>
                <w:szCs w:val="13"/>
                <w:spacing w:val="1"/>
              </w:rPr>
              <w:t>3</w:t>
            </w:r>
            <w:r>
              <w:rPr>
                <w:spacing w:val="1"/>
              </w:rPr>
              <w:t>-N</w:t>
            </w:r>
            <w:r>
              <w:rPr>
                <w:spacing w:val="-25"/>
              </w:rPr>
              <w:t xml:space="preserve"> </w:t>
            </w:r>
            <w:r>
              <w:rPr>
                <w:rFonts w:ascii="SimSun" w:hAnsi="SimSun" w:eastAsia="SimSun" w:cs="SimSun"/>
                <w:spacing w:val="1"/>
              </w:rPr>
              <w:t>、总磷、</w:t>
            </w:r>
          </w:p>
          <w:p>
            <w:pPr>
              <w:ind w:left="117"/>
              <w:spacing w:before="27" w:line="224" w:lineRule="auto"/>
              <w:rPr>
                <w:rFonts w:ascii="SimSun" w:hAnsi="SimSun" w:eastAsia="SimSun" w:cs="SimSun"/>
                <w:sz w:val="20"/>
                <w:szCs w:val="20"/>
              </w:rPr>
            </w:pPr>
            <w:r>
              <w:rPr>
                <w:rFonts w:ascii="SimSun" w:hAnsi="SimSun" w:eastAsia="SimSun" w:cs="SimSun"/>
                <w:sz w:val="20"/>
                <w:szCs w:val="20"/>
                <w:spacing w:val="-2"/>
              </w:rPr>
              <w:t>总氮、六价铬、挥发酚</w:t>
            </w:r>
          </w:p>
          <w:p>
            <w:pPr>
              <w:ind w:left="1009"/>
              <w:spacing w:before="28" w:line="218" w:lineRule="auto"/>
              <w:rPr>
                <w:rFonts w:ascii="SimSun" w:hAnsi="SimSun" w:eastAsia="SimSun" w:cs="SimSun"/>
                <w:sz w:val="20"/>
                <w:szCs w:val="20"/>
              </w:rPr>
            </w:pPr>
            <w:r>
              <w:rPr>
                <w:rFonts w:ascii="SimSun" w:hAnsi="SimSun" w:eastAsia="SimSun" w:cs="SimSun"/>
                <w:sz w:val="20"/>
                <w:szCs w:val="20"/>
              </w:rPr>
              <w:t>等</w:t>
            </w:r>
          </w:p>
        </w:tc>
        <w:tc>
          <w:tcPr>
            <w:tcW w:w="873" w:type="dxa"/>
            <w:vAlign w:val="top"/>
            <w:vMerge w:val="continue"/>
            <w:tcBorders>
              <w:top w:val="nil"/>
            </w:tcBorders>
          </w:tcPr>
          <w:p>
            <w:pPr>
              <w:rPr>
                <w:rFonts w:ascii="Arial"/>
                <w:sz w:val="21"/>
              </w:rPr>
            </w:pPr>
            <w:r/>
          </w:p>
        </w:tc>
        <w:tc>
          <w:tcPr>
            <w:tcW w:w="878" w:type="dxa"/>
            <w:vAlign w:val="top"/>
          </w:tcPr>
          <w:p>
            <w:pPr>
              <w:pStyle w:val="TableText"/>
              <w:ind w:left="338" w:right="121" w:hanging="198"/>
              <w:spacing w:before="303" w:line="254"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季</w:t>
            </w:r>
            <w:r>
              <w:rPr>
                <w:rFonts w:ascii="SimSun" w:hAnsi="SimSun" w:eastAsia="SimSun" w:cs="SimSun"/>
                <w:spacing w:val="1"/>
              </w:rPr>
              <w:t>度</w:t>
            </w:r>
          </w:p>
        </w:tc>
        <w:tc>
          <w:tcPr>
            <w:tcW w:w="1964" w:type="dxa"/>
            <w:vAlign w:val="top"/>
            <w:vMerge w:val="continue"/>
            <w:tcBorders>
              <w:top w:val="nil"/>
            </w:tcBorders>
          </w:tcPr>
          <w:p>
            <w:pPr>
              <w:rPr>
                <w:rFonts w:ascii="Arial"/>
                <w:sz w:val="21"/>
              </w:rPr>
            </w:pPr>
            <w:r/>
          </w:p>
        </w:tc>
        <w:tc>
          <w:tcPr>
            <w:tcW w:w="1605" w:type="dxa"/>
            <w:vAlign w:val="top"/>
          </w:tcPr>
          <w:p>
            <w:pPr>
              <w:spacing w:line="373"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2729" w:hRule="atLeast"/>
        </w:trPr>
        <w:tc>
          <w:tcPr>
            <w:tcW w:w="636" w:type="dxa"/>
            <w:vAlign w:val="top"/>
            <w:textDirection w:val="tbRlV"/>
          </w:tcPr>
          <w:p>
            <w:pPr>
              <w:ind w:left="985"/>
              <w:spacing w:before="212" w:line="216" w:lineRule="auto"/>
              <w:rPr>
                <w:rFonts w:ascii="SimSun" w:hAnsi="SimSun" w:eastAsia="SimSun" w:cs="SimSun"/>
                <w:sz w:val="20"/>
                <w:szCs w:val="20"/>
              </w:rPr>
            </w:pPr>
            <w:r>
              <w:rPr>
                <w:rFonts w:ascii="SimSun" w:hAnsi="SimSun" w:eastAsia="SimSun" w:cs="SimSun"/>
                <w:sz w:val="20"/>
                <w:szCs w:val="20"/>
                <w:spacing w:val="8"/>
              </w:rPr>
              <w:t>地</w:t>
            </w:r>
            <w:r>
              <w:rPr>
                <w:rFonts w:ascii="SimSun" w:hAnsi="SimSun" w:eastAsia="SimSun" w:cs="SimSun"/>
                <w:sz w:val="20"/>
                <w:szCs w:val="20"/>
                <w:spacing w:val="-37"/>
              </w:rPr>
              <w:t xml:space="preserve"> </w:t>
            </w:r>
            <w:r>
              <w:rPr>
                <w:rFonts w:ascii="SimSun" w:hAnsi="SimSun" w:eastAsia="SimSun" w:cs="SimSun"/>
                <w:sz w:val="20"/>
                <w:szCs w:val="20"/>
                <w:spacing w:val="8"/>
              </w:rPr>
              <w:t>下</w:t>
            </w:r>
            <w:r>
              <w:rPr>
                <w:rFonts w:ascii="SimSun" w:hAnsi="SimSun" w:eastAsia="SimSun" w:cs="SimSun"/>
                <w:sz w:val="20"/>
                <w:szCs w:val="20"/>
                <w:spacing w:val="-35"/>
              </w:rPr>
              <w:t xml:space="preserve"> </w:t>
            </w:r>
            <w:r>
              <w:rPr>
                <w:rFonts w:ascii="SimSun" w:hAnsi="SimSun" w:eastAsia="SimSun" w:cs="SimSun"/>
                <w:sz w:val="20"/>
                <w:szCs w:val="20"/>
                <w:spacing w:val="8"/>
              </w:rPr>
              <w:t>水</w:t>
            </w:r>
          </w:p>
        </w:tc>
        <w:tc>
          <w:tcPr>
            <w:tcW w:w="1110" w:type="dxa"/>
            <w:vAlign w:val="top"/>
            <w:gridSpan w:val="2"/>
          </w:tcPr>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ind w:left="351"/>
              <w:spacing w:before="65" w:line="228" w:lineRule="auto"/>
              <w:rPr>
                <w:rFonts w:ascii="SimSun" w:hAnsi="SimSun" w:eastAsia="SimSun" w:cs="SimSun"/>
                <w:sz w:val="20"/>
                <w:szCs w:val="20"/>
              </w:rPr>
            </w:pPr>
            <w:r>
              <w:rPr>
                <w:rFonts w:ascii="SimSun" w:hAnsi="SimSun" w:eastAsia="SimSun" w:cs="SimSun"/>
                <w:sz w:val="20"/>
                <w:szCs w:val="20"/>
                <w:spacing w:val="3"/>
              </w:rPr>
              <w:t>水质</w:t>
            </w:r>
          </w:p>
        </w:tc>
        <w:tc>
          <w:tcPr>
            <w:tcW w:w="2214" w:type="dxa"/>
            <w:vAlign w:val="top"/>
          </w:tcPr>
          <w:p>
            <w:pPr>
              <w:pStyle w:val="TableText"/>
              <w:ind w:left="158" w:right="37" w:hanging="51"/>
              <w:spacing w:before="50" w:line="243" w:lineRule="auto"/>
              <w:rPr>
                <w:rFonts w:ascii="SimSun" w:hAnsi="SimSun" w:eastAsia="SimSun" w:cs="SimSun"/>
              </w:rPr>
            </w:pPr>
            <w:r>
              <w:rPr>
                <w:spacing w:val="-3"/>
                <w:position w:val="-1"/>
              </w:rPr>
              <w:t>K</w:t>
            </w:r>
            <w:r>
              <w:rPr>
                <w:sz w:val="13"/>
                <w:szCs w:val="13"/>
                <w:spacing w:val="-3"/>
                <w:position w:val="5"/>
              </w:rPr>
              <w:t>+</w:t>
            </w:r>
            <w:r>
              <w:rPr>
                <w:rFonts w:ascii="SimSun" w:hAnsi="SimSun" w:eastAsia="SimSun" w:cs="SimSun"/>
                <w:spacing w:val="-3"/>
                <w:position w:val="-1"/>
              </w:rPr>
              <w:t>、</w:t>
            </w:r>
            <w:r>
              <w:rPr>
                <w:spacing w:val="-3"/>
                <w:position w:val="-1"/>
              </w:rPr>
              <w:t>Na</w:t>
            </w:r>
            <w:r>
              <w:rPr>
                <w:sz w:val="13"/>
                <w:szCs w:val="13"/>
                <w:spacing w:val="-3"/>
                <w:position w:val="5"/>
              </w:rPr>
              <w:t>+</w:t>
            </w:r>
            <w:r>
              <w:rPr>
                <w:rFonts w:ascii="SimSun" w:hAnsi="SimSun" w:eastAsia="SimSun" w:cs="SimSun"/>
                <w:spacing w:val="-3"/>
                <w:position w:val="-1"/>
              </w:rPr>
              <w:t>、</w:t>
            </w:r>
            <w:r>
              <w:rPr>
                <w:spacing w:val="-3"/>
                <w:position w:val="-1"/>
              </w:rPr>
              <w:t>Ca</w:t>
            </w:r>
            <w:r>
              <w:rPr>
                <w:sz w:val="13"/>
                <w:szCs w:val="13"/>
                <w:spacing w:val="-3"/>
                <w:position w:val="5"/>
              </w:rPr>
              <w:t>2+</w:t>
            </w:r>
            <w:r>
              <w:rPr>
                <w:rFonts w:ascii="SimSun" w:hAnsi="SimSun" w:eastAsia="SimSun" w:cs="SimSun"/>
                <w:spacing w:val="-3"/>
                <w:position w:val="-1"/>
              </w:rPr>
              <w:t>、</w:t>
            </w:r>
            <w:r>
              <w:rPr>
                <w:spacing w:val="-3"/>
                <w:position w:val="-1"/>
              </w:rPr>
              <w:t>Mg</w:t>
            </w:r>
            <w:r>
              <w:rPr>
                <w:sz w:val="13"/>
                <w:szCs w:val="13"/>
                <w:spacing w:val="-3"/>
                <w:position w:val="5"/>
              </w:rPr>
              <w:t>2+</w:t>
            </w:r>
            <w:r>
              <w:rPr>
                <w:rFonts w:ascii="SimSun" w:hAnsi="SimSun" w:eastAsia="SimSun" w:cs="SimSun"/>
                <w:spacing w:val="-3"/>
                <w:position w:val="-1"/>
              </w:rPr>
              <w:t>、</w:t>
            </w:r>
            <w:r>
              <w:rPr>
                <w:rFonts w:ascii="SimSun" w:hAnsi="SimSun" w:eastAsia="SimSun" w:cs="SimSun"/>
                <w:spacing w:val="13"/>
                <w:position w:val="-1"/>
              </w:rPr>
              <w:t xml:space="preserve"> </w:t>
            </w:r>
            <w:r>
              <w:rPr/>
              <w:t>CO</w:t>
            </w:r>
            <w:r>
              <w:rPr>
                <w:sz w:val="13"/>
                <w:szCs w:val="13"/>
                <w:spacing w:val="2"/>
                <w:position w:val="-1"/>
              </w:rPr>
              <w:t>3</w:t>
            </w:r>
            <w:r>
              <w:rPr>
                <w:sz w:val="13"/>
                <w:szCs w:val="13"/>
                <w:spacing w:val="2"/>
                <w:position w:val="6"/>
              </w:rPr>
              <w:t>2-</w:t>
            </w:r>
            <w:r>
              <w:rPr>
                <w:sz w:val="13"/>
                <w:szCs w:val="13"/>
                <w:spacing w:val="-7"/>
                <w:position w:val="6"/>
              </w:rPr>
              <w:t xml:space="preserve"> </w:t>
            </w:r>
            <w:r>
              <w:rPr>
                <w:rFonts w:ascii="SimSun" w:hAnsi="SimSun" w:eastAsia="SimSun" w:cs="SimSun"/>
                <w:spacing w:val="2"/>
              </w:rPr>
              <w:t>、</w:t>
            </w:r>
            <w:r>
              <w:rPr/>
              <w:t>HCO</w:t>
            </w:r>
            <w:r>
              <w:rPr>
                <w:sz w:val="13"/>
                <w:szCs w:val="13"/>
                <w:spacing w:val="2"/>
                <w:position w:val="-1"/>
              </w:rPr>
              <w:t>3</w:t>
            </w:r>
            <w:r>
              <w:rPr>
                <w:sz w:val="13"/>
                <w:szCs w:val="13"/>
                <w:spacing w:val="2"/>
                <w:position w:val="6"/>
              </w:rPr>
              <w:t>-</w:t>
            </w:r>
            <w:r>
              <w:rPr>
                <w:sz w:val="13"/>
                <w:szCs w:val="13"/>
                <w:spacing w:val="-7"/>
                <w:position w:val="6"/>
              </w:rPr>
              <w:t xml:space="preserve"> </w:t>
            </w:r>
            <w:r>
              <w:rPr>
                <w:rFonts w:ascii="SimSun" w:hAnsi="SimSun" w:eastAsia="SimSun" w:cs="SimSun"/>
                <w:spacing w:val="2"/>
              </w:rPr>
              <w:t>、</w:t>
            </w:r>
            <w:r>
              <w:rPr/>
              <w:t>Cl</w:t>
            </w:r>
            <w:r>
              <w:rPr>
                <w:sz w:val="13"/>
                <w:szCs w:val="13"/>
                <w:spacing w:val="2"/>
                <w:position w:val="6"/>
              </w:rPr>
              <w:t>-</w:t>
            </w:r>
            <w:r>
              <w:rPr>
                <w:rFonts w:ascii="SimSun" w:hAnsi="SimSun" w:eastAsia="SimSun" w:cs="SimSun"/>
                <w:spacing w:val="2"/>
              </w:rPr>
              <w:t>、</w:t>
            </w:r>
          </w:p>
          <w:p>
            <w:pPr>
              <w:pStyle w:val="TableText"/>
              <w:ind w:left="110" w:right="37" w:firstLine="16"/>
              <w:spacing w:before="1" w:line="247" w:lineRule="auto"/>
              <w:rPr>
                <w:rFonts w:ascii="SimSun" w:hAnsi="SimSun" w:eastAsia="SimSun" w:cs="SimSun"/>
              </w:rPr>
            </w:pPr>
            <w:r>
              <w:rPr/>
              <w:t>SO</w:t>
            </w:r>
            <w:r>
              <w:rPr>
                <w:sz w:val="13"/>
                <w:szCs w:val="13"/>
                <w:spacing w:val="5"/>
                <w:position w:val="-1"/>
              </w:rPr>
              <w:t>4</w:t>
            </w:r>
            <w:r>
              <w:rPr>
                <w:sz w:val="13"/>
                <w:szCs w:val="13"/>
                <w:spacing w:val="5"/>
              </w:rPr>
              <w:t>2-</w:t>
            </w:r>
            <w:r>
              <w:rPr>
                <w:rFonts w:ascii="SimSun" w:hAnsi="SimSun" w:eastAsia="SimSun" w:cs="SimSun"/>
                <w:spacing w:val="5"/>
              </w:rPr>
              <w:t>的浓度、</w:t>
            </w:r>
            <w:r>
              <w:rPr/>
              <w:t>PH</w:t>
            </w:r>
            <w:r>
              <w:rPr>
                <w:spacing w:val="-19"/>
              </w:rPr>
              <w:t xml:space="preserve"> </w:t>
            </w:r>
            <w:r>
              <w:rPr>
                <w:rFonts w:ascii="SimSun" w:hAnsi="SimSun" w:eastAsia="SimSun" w:cs="SimSun"/>
                <w:spacing w:val="5"/>
              </w:rPr>
              <w:t>、氨</w:t>
            </w:r>
            <w:r>
              <w:rPr>
                <w:rFonts w:ascii="SimSun" w:hAnsi="SimSun" w:eastAsia="SimSun" w:cs="SimSun"/>
                <w:spacing w:val="-18"/>
              </w:rPr>
              <w:t>氮、硝酸盐（以</w:t>
            </w:r>
            <w:r>
              <w:rPr>
                <w:rFonts w:ascii="SimSun" w:hAnsi="SimSun" w:eastAsia="SimSun" w:cs="SimSun"/>
                <w:spacing w:val="-53"/>
              </w:rPr>
              <w:t xml:space="preserve"> </w:t>
            </w:r>
            <w:r>
              <w:rPr>
                <w:spacing w:val="-18"/>
              </w:rPr>
              <w:t>N</w:t>
            </w:r>
            <w:r>
              <w:rPr>
                <w:spacing w:val="16"/>
                <w:w w:val="101"/>
              </w:rPr>
              <w:t xml:space="preserve"> </w:t>
            </w:r>
            <w:r>
              <w:rPr>
                <w:rFonts w:ascii="SimSun" w:hAnsi="SimSun" w:eastAsia="SimSun" w:cs="SimSun"/>
                <w:spacing w:val="-18"/>
              </w:rPr>
              <w:t>计）、</w:t>
            </w:r>
            <w:r>
              <w:rPr>
                <w:rFonts w:ascii="SimSun" w:hAnsi="SimSun" w:eastAsia="SimSun" w:cs="SimSun"/>
                <w:spacing w:val="1"/>
              </w:rPr>
              <w:t>亚硝酸盐（以</w:t>
            </w:r>
            <w:r>
              <w:rPr>
                <w:rFonts w:ascii="SimSun" w:hAnsi="SimSun" w:eastAsia="SimSun" w:cs="SimSun"/>
                <w:spacing w:val="-46"/>
              </w:rPr>
              <w:t xml:space="preserve"> </w:t>
            </w:r>
            <w:r>
              <w:rPr>
                <w:spacing w:val="1"/>
              </w:rPr>
              <w:t>N </w:t>
            </w:r>
            <w:r>
              <w:rPr>
                <w:rFonts w:ascii="SimSun" w:hAnsi="SimSun" w:eastAsia="SimSun" w:cs="SimSun"/>
                <w:spacing w:val="1"/>
              </w:rPr>
              <w:t>计）、</w:t>
            </w:r>
            <w:r>
              <w:rPr>
                <w:rFonts w:ascii="SimSun" w:hAnsi="SimSun" w:eastAsia="SimSun" w:cs="SimSun"/>
                <w:spacing w:val="15"/>
              </w:rPr>
              <w:t>挥发性酚类（以苯酚</w:t>
            </w:r>
            <w:r>
              <w:rPr>
                <w:rFonts w:ascii="SimSun" w:hAnsi="SimSun" w:eastAsia="SimSun" w:cs="SimSun"/>
                <w:spacing w:val="-13"/>
              </w:rPr>
              <w:t>计）、氰化物、砷、汞、</w:t>
            </w:r>
            <w:r>
              <w:rPr>
                <w:rFonts w:ascii="SimSun" w:hAnsi="SimSun" w:eastAsia="SimSun" w:cs="SimSun"/>
                <w:spacing w:val="6"/>
              </w:rPr>
              <w:t>铬（六价）、总硬度、</w:t>
            </w:r>
            <w:r>
              <w:rPr>
                <w:rFonts w:ascii="SimSun" w:hAnsi="SimSun" w:eastAsia="SimSun" w:cs="SimSun"/>
                <w:spacing w:val="6"/>
              </w:rPr>
              <w:t>铅、氟、镉、铁、锰、</w:t>
            </w:r>
            <w:r>
              <w:rPr>
                <w:rFonts w:ascii="SimSun" w:hAnsi="SimSun" w:eastAsia="SimSun" w:cs="SimSun"/>
                <w:spacing w:val="-1"/>
              </w:rPr>
              <w:t>溶解性总固体、高锰酸</w:t>
            </w:r>
          </w:p>
        </w:tc>
        <w:tc>
          <w:tcPr>
            <w:tcW w:w="873" w:type="dxa"/>
            <w:vAlign w:val="top"/>
          </w:tcPr>
          <w:p>
            <w:pPr>
              <w:ind w:left="128"/>
              <w:spacing w:before="32" w:line="228" w:lineRule="auto"/>
              <w:rPr>
                <w:rFonts w:ascii="SimSun" w:hAnsi="SimSun" w:eastAsia="SimSun" w:cs="SimSun"/>
                <w:sz w:val="20"/>
                <w:szCs w:val="20"/>
              </w:rPr>
            </w:pPr>
            <w:r>
              <w:rPr>
                <w:rFonts w:ascii="SimSun" w:hAnsi="SimSun" w:eastAsia="SimSun" w:cs="SimSun"/>
                <w:sz w:val="20"/>
                <w:szCs w:val="20"/>
                <w:spacing w:val="6"/>
              </w:rPr>
              <w:t>工业场</w:t>
            </w:r>
          </w:p>
          <w:p>
            <w:pPr>
              <w:ind w:left="125" w:right="121"/>
              <w:spacing w:before="26" w:line="251" w:lineRule="auto"/>
              <w:rPr>
                <w:rFonts w:ascii="SimSun" w:hAnsi="SimSun" w:eastAsia="SimSun" w:cs="SimSun"/>
                <w:sz w:val="20"/>
                <w:szCs w:val="20"/>
              </w:rPr>
            </w:pPr>
            <w:r>
              <w:rPr>
                <w:rFonts w:ascii="SimSun" w:hAnsi="SimSun" w:eastAsia="SimSun" w:cs="SimSun"/>
                <w:sz w:val="20"/>
                <w:szCs w:val="20"/>
                <w:spacing w:val="6"/>
              </w:rPr>
              <w:t>地加油</w:t>
            </w:r>
            <w:r>
              <w:rPr>
                <w:rFonts w:ascii="SimSun" w:hAnsi="SimSun" w:eastAsia="SimSun" w:cs="SimSun"/>
                <w:sz w:val="20"/>
                <w:szCs w:val="20"/>
                <w:spacing w:val="22"/>
                <w:w w:val="117"/>
              </w:rPr>
              <w:t>站下</w:t>
            </w:r>
            <w:r>
              <w:rPr>
                <w:rFonts w:ascii="SimSun" w:hAnsi="SimSun" w:eastAsia="SimSun" w:cs="SimSun"/>
                <w:sz w:val="20"/>
                <w:szCs w:val="20"/>
                <w:spacing w:val="6"/>
              </w:rPr>
              <w:t>游、东</w:t>
            </w:r>
          </w:p>
          <w:p>
            <w:pPr>
              <w:ind w:left="128"/>
              <w:spacing w:line="227" w:lineRule="auto"/>
              <w:rPr>
                <w:rFonts w:ascii="SimSun" w:hAnsi="SimSun" w:eastAsia="SimSun" w:cs="SimSun"/>
                <w:sz w:val="20"/>
                <w:szCs w:val="20"/>
              </w:rPr>
            </w:pPr>
            <w:r>
              <w:rPr>
                <w:rFonts w:ascii="SimSun" w:hAnsi="SimSun" w:eastAsia="SimSun" w:cs="SimSun"/>
                <w:sz w:val="20"/>
                <w:szCs w:val="20"/>
                <w:spacing w:val="7"/>
              </w:rPr>
              <w:t>一、东</w:t>
            </w:r>
          </w:p>
          <w:p>
            <w:pPr>
              <w:ind w:left="125" w:right="121" w:firstLine="3"/>
              <w:spacing w:before="23" w:line="252" w:lineRule="auto"/>
              <w:jc w:val="both"/>
              <w:rPr>
                <w:rFonts w:ascii="SimSun" w:hAnsi="SimSun" w:eastAsia="SimSun" w:cs="SimSun"/>
                <w:sz w:val="20"/>
                <w:szCs w:val="20"/>
              </w:rPr>
            </w:pPr>
            <w:r>
              <w:rPr>
                <w:rFonts w:ascii="SimSun" w:hAnsi="SimSun" w:eastAsia="SimSun" w:cs="SimSun"/>
                <w:sz w:val="20"/>
                <w:szCs w:val="20"/>
                <w:spacing w:val="5"/>
              </w:rPr>
              <w:t>二排土</w:t>
            </w:r>
            <w:r>
              <w:rPr>
                <w:rFonts w:ascii="SimSun" w:hAnsi="SimSun" w:eastAsia="SimSun" w:cs="SimSun"/>
                <w:sz w:val="20"/>
                <w:szCs w:val="20"/>
                <w:spacing w:val="20"/>
                <w:w w:val="119"/>
              </w:rPr>
              <w:t>场下</w:t>
            </w:r>
            <w:r>
              <w:rPr>
                <w:rFonts w:ascii="SimSun" w:hAnsi="SimSun" w:eastAsia="SimSun" w:cs="SimSun"/>
                <w:sz w:val="20"/>
                <w:szCs w:val="20"/>
                <w:spacing w:val="6"/>
              </w:rPr>
              <w:t>游、采</w:t>
            </w:r>
          </w:p>
          <w:p>
            <w:pPr>
              <w:ind w:left="124"/>
              <w:spacing w:before="1" w:line="228" w:lineRule="auto"/>
              <w:rPr>
                <w:rFonts w:ascii="SimSun" w:hAnsi="SimSun" w:eastAsia="SimSun" w:cs="SimSun"/>
                <w:sz w:val="20"/>
                <w:szCs w:val="20"/>
              </w:rPr>
            </w:pPr>
            <w:r>
              <w:rPr>
                <w:rFonts w:ascii="SimSun" w:hAnsi="SimSun" w:eastAsia="SimSun" w:cs="SimSun"/>
                <w:sz w:val="20"/>
                <w:szCs w:val="20"/>
                <w:spacing w:val="7"/>
              </w:rPr>
              <w:t>掘场下</w:t>
            </w:r>
          </w:p>
          <w:p>
            <w:pPr>
              <w:ind w:left="125"/>
              <w:spacing w:before="26" w:line="216" w:lineRule="auto"/>
              <w:rPr>
                <w:rFonts w:ascii="SimSun" w:hAnsi="SimSun" w:eastAsia="SimSun" w:cs="SimSun"/>
                <w:sz w:val="20"/>
                <w:szCs w:val="20"/>
              </w:rPr>
            </w:pPr>
            <w:r>
              <w:rPr>
                <w:rFonts w:ascii="SimSun" w:hAnsi="SimSun" w:eastAsia="SimSun" w:cs="SimSun"/>
                <w:sz w:val="20"/>
                <w:szCs w:val="20"/>
                <w:spacing w:val="6"/>
              </w:rPr>
              <w:t>游各布</w:t>
            </w:r>
          </w:p>
        </w:tc>
        <w:tc>
          <w:tcPr>
            <w:tcW w:w="878" w:type="dxa"/>
            <w:vAlign w:val="top"/>
          </w:tcPr>
          <w:p>
            <w:pPr>
              <w:spacing w:line="280" w:lineRule="auto"/>
              <w:rPr>
                <w:rFonts w:ascii="Arial"/>
                <w:sz w:val="21"/>
              </w:rPr>
            </w:pPr>
            <w:r/>
          </w:p>
          <w:p>
            <w:pPr>
              <w:spacing w:line="280" w:lineRule="auto"/>
              <w:rPr>
                <w:rFonts w:ascii="Arial"/>
                <w:sz w:val="21"/>
              </w:rPr>
            </w:pPr>
            <w:r/>
          </w:p>
          <w:p>
            <w:pPr>
              <w:spacing w:line="281" w:lineRule="auto"/>
              <w:rPr>
                <w:rFonts w:ascii="Arial"/>
                <w:sz w:val="21"/>
              </w:rPr>
            </w:pPr>
            <w:r/>
          </w:p>
          <w:p>
            <w:pPr>
              <w:spacing w:line="281" w:lineRule="auto"/>
              <w:rPr>
                <w:rFonts w:ascii="Arial"/>
                <w:sz w:val="21"/>
              </w:rPr>
            </w:pPr>
            <w:r/>
          </w:p>
          <w:p>
            <w:pPr>
              <w:spacing w:line="281" w:lineRule="auto"/>
              <w:rPr>
                <w:rFonts w:ascii="Arial"/>
                <w:sz w:val="21"/>
              </w:rPr>
            </w:pPr>
            <w:r/>
          </w:p>
          <w:p>
            <w:pPr>
              <w:pStyle w:val="TableText"/>
              <w:ind w:left="119"/>
              <w:spacing w:before="65" w:line="228" w:lineRule="auto"/>
              <w:rPr>
                <w:rFonts w:ascii="SimSun" w:hAnsi="SimSun" w:eastAsia="SimSun" w:cs="SimSun"/>
              </w:rPr>
            </w:pPr>
            <w:r>
              <w:rPr>
                <w:spacing w:val="1"/>
              </w:rPr>
              <w:t>2</w:t>
            </w:r>
            <w:r>
              <w:rPr>
                <w:spacing w:val="21"/>
              </w:rPr>
              <w:t xml:space="preserve"> </w:t>
            </w:r>
            <w:r>
              <w:rPr>
                <w:rFonts w:ascii="SimSun" w:hAnsi="SimSun" w:eastAsia="SimSun" w:cs="SimSun"/>
                <w:spacing w:val="1"/>
              </w:rPr>
              <w:t>次</w:t>
            </w:r>
            <w:r>
              <w:rPr>
                <w:spacing w:val="1"/>
              </w:rPr>
              <w:t>/</w:t>
            </w:r>
            <w:r>
              <w:rPr>
                <w:rFonts w:ascii="SimSun" w:hAnsi="SimSun" w:eastAsia="SimSun" w:cs="SimSun"/>
                <w:spacing w:val="1"/>
              </w:rPr>
              <w:t>年</w:t>
            </w:r>
          </w:p>
        </w:tc>
        <w:tc>
          <w:tcPr>
            <w:tcW w:w="1964" w:type="dxa"/>
            <w:vAlign w:val="top"/>
          </w:tcPr>
          <w:p>
            <w:pPr>
              <w:spacing w:line="329" w:lineRule="auto"/>
              <w:rPr>
                <w:rFonts w:ascii="Arial"/>
                <w:sz w:val="21"/>
              </w:rPr>
            </w:pPr>
            <w:r/>
          </w:p>
          <w:p>
            <w:pPr>
              <w:spacing w:line="329" w:lineRule="auto"/>
              <w:rPr>
                <w:rFonts w:ascii="Arial"/>
                <w:sz w:val="21"/>
              </w:rPr>
            </w:pPr>
            <w:r/>
          </w:p>
          <w:p>
            <w:pPr>
              <w:ind w:left="259"/>
              <w:spacing w:before="65" w:line="228" w:lineRule="auto"/>
              <w:rPr>
                <w:rFonts w:ascii="SimSun" w:hAnsi="SimSun" w:eastAsia="SimSun" w:cs="SimSun"/>
                <w:sz w:val="20"/>
                <w:szCs w:val="20"/>
              </w:rPr>
            </w:pPr>
            <w:r>
              <w:rPr>
                <w:rFonts w:ascii="SimSun" w:hAnsi="SimSun" w:eastAsia="SimSun" w:cs="SimSun"/>
                <w:sz w:val="20"/>
                <w:szCs w:val="20"/>
                <w:spacing w:val="7"/>
              </w:rPr>
              <w:t>《地下水质量标</w:t>
            </w:r>
          </w:p>
          <w:p>
            <w:pPr>
              <w:pStyle w:val="TableText"/>
              <w:ind w:left="140"/>
              <w:spacing w:before="27" w:line="229" w:lineRule="auto"/>
              <w:rPr/>
            </w:pPr>
            <w:r>
              <w:rPr>
                <w:rFonts w:ascii="SimSun" w:hAnsi="SimSun" w:eastAsia="SimSun" w:cs="SimSun"/>
                <w:spacing w:val="6"/>
              </w:rPr>
              <w:t>准》（</w:t>
            </w:r>
            <w:r>
              <w:rPr/>
              <w:t>GB</w:t>
            </w:r>
            <w:r>
              <w:rPr>
                <w:spacing w:val="6"/>
              </w:rPr>
              <w:t>/T14848-</w:t>
            </w:r>
          </w:p>
          <w:p>
            <w:pPr>
              <w:pStyle w:val="TableText"/>
              <w:ind w:left="149"/>
              <w:spacing w:before="22" w:line="228" w:lineRule="auto"/>
              <w:rPr>
                <w:rFonts w:ascii="SimSun" w:hAnsi="SimSun" w:eastAsia="SimSun" w:cs="SimSun"/>
              </w:rPr>
            </w:pPr>
            <w:r>
              <w:rPr>
                <w:spacing w:val="7"/>
              </w:rPr>
              <w:t>2017</w:t>
            </w:r>
            <w:r>
              <w:rPr>
                <w:rFonts w:ascii="SimSun" w:hAnsi="SimSun" w:eastAsia="SimSun" w:cs="SimSun"/>
                <w:spacing w:val="7"/>
              </w:rPr>
              <w:t>）中的</w:t>
            </w:r>
            <w:r>
              <w:rPr>
                <w:spacing w:val="7"/>
              </w:rPr>
              <w:t>Ⅲ</w:t>
            </w:r>
            <w:r>
              <w:rPr>
                <w:rFonts w:ascii="SimSun" w:hAnsi="SimSun" w:eastAsia="SimSun" w:cs="SimSun"/>
                <w:spacing w:val="7"/>
              </w:rPr>
              <w:t>类标</w:t>
            </w:r>
          </w:p>
          <w:p>
            <w:pPr>
              <w:ind w:left="884"/>
              <w:spacing w:before="27" w:line="229" w:lineRule="auto"/>
              <w:rPr>
                <w:rFonts w:ascii="SimSun" w:hAnsi="SimSun" w:eastAsia="SimSun" w:cs="SimSun"/>
                <w:sz w:val="20"/>
                <w:szCs w:val="20"/>
              </w:rPr>
            </w:pPr>
            <w:r>
              <w:rPr>
                <w:rFonts w:ascii="SimSun" w:hAnsi="SimSun" w:eastAsia="SimSun" w:cs="SimSun"/>
                <w:sz w:val="20"/>
                <w:szCs w:val="20"/>
              </w:rPr>
              <w:t>准</w:t>
            </w:r>
          </w:p>
        </w:tc>
        <w:tc>
          <w:tcPr>
            <w:tcW w:w="1605" w:type="dxa"/>
            <w:vAlign w:val="top"/>
          </w:tcPr>
          <w:p>
            <w:pPr>
              <w:spacing w:line="296" w:lineRule="auto"/>
              <w:rPr>
                <w:rFonts w:ascii="Arial"/>
                <w:sz w:val="21"/>
              </w:rPr>
            </w:pPr>
            <w:r/>
          </w:p>
          <w:p>
            <w:pPr>
              <w:spacing w:line="296" w:lineRule="auto"/>
              <w:rPr>
                <w:rFonts w:ascii="Arial"/>
                <w:sz w:val="21"/>
              </w:rPr>
            </w:pPr>
            <w:r/>
          </w:p>
          <w:p>
            <w:pPr>
              <w:spacing w:line="297" w:lineRule="auto"/>
              <w:rPr>
                <w:rFonts w:ascii="Arial"/>
                <w:sz w:val="21"/>
              </w:rPr>
            </w:pPr>
            <w:r/>
          </w:p>
          <w:p>
            <w:pPr>
              <w:spacing w:line="297"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bl>
    <w:p>
      <w:pPr>
        <w:pStyle w:val="BodyText"/>
        <w:spacing w:line="161" w:lineRule="exact"/>
        <w:rPr>
          <w:sz w:val="14"/>
        </w:rPr>
      </w:pPr>
      <w:r/>
    </w:p>
    <w:p>
      <w:pPr>
        <w:spacing w:line="161" w:lineRule="exact"/>
        <w:sectPr>
          <w:headerReference w:type="default" r:id="rId546"/>
          <w:footerReference w:type="default" r:id="rId547"/>
          <w:pgSz w:w="11906" w:h="16838"/>
          <w:pgMar w:top="1170" w:right="1309" w:bottom="1080" w:left="1310" w:header="837" w:footer="918" w:gutter="0"/>
        </w:sectPr>
        <w:rPr>
          <w:sz w:val="14"/>
          <w:szCs w:val="14"/>
        </w:rPr>
      </w:pPr>
    </w:p>
    <w:p>
      <w:pPr>
        <w:spacing w:before="6"/>
        <w:rPr/>
      </w:pPr>
      <w:r/>
    </w:p>
    <w:tbl>
      <w:tblPr>
        <w:tblStyle w:val="TableNormal"/>
        <w:tblW w:w="928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636"/>
        <w:gridCol w:w="1110"/>
        <w:gridCol w:w="2214"/>
        <w:gridCol w:w="873"/>
        <w:gridCol w:w="878"/>
        <w:gridCol w:w="1964"/>
        <w:gridCol w:w="1605"/>
      </w:tblGrid>
      <w:tr>
        <w:trPr>
          <w:trHeight w:val="1070" w:hRule="atLeast"/>
        </w:trPr>
        <w:tc>
          <w:tcPr>
            <w:tcW w:w="636" w:type="dxa"/>
            <w:vAlign w:val="top"/>
          </w:tcPr>
          <w:p>
            <w:pPr>
              <w:rPr>
                <w:rFonts w:ascii="Arial"/>
                <w:sz w:val="21"/>
              </w:rPr>
            </w:pPr>
            <w:r/>
          </w:p>
        </w:tc>
        <w:tc>
          <w:tcPr>
            <w:tcW w:w="1110" w:type="dxa"/>
            <w:vAlign w:val="top"/>
          </w:tcPr>
          <w:p>
            <w:pPr>
              <w:rPr>
                <w:rFonts w:ascii="Arial"/>
                <w:sz w:val="21"/>
              </w:rPr>
            </w:pPr>
            <w:r/>
          </w:p>
        </w:tc>
        <w:tc>
          <w:tcPr>
            <w:tcW w:w="2214" w:type="dxa"/>
            <w:vAlign w:val="top"/>
          </w:tcPr>
          <w:p>
            <w:pPr>
              <w:ind w:left="114"/>
              <w:spacing w:before="33" w:line="228" w:lineRule="auto"/>
              <w:rPr>
                <w:rFonts w:ascii="SimSun" w:hAnsi="SimSun" w:eastAsia="SimSun" w:cs="SimSun"/>
                <w:sz w:val="20"/>
                <w:szCs w:val="20"/>
              </w:rPr>
            </w:pPr>
            <w:bookmarkStart w:name="bookmark121" w:id="107"/>
            <w:bookmarkEnd w:id="107"/>
            <w:r>
              <w:rPr>
                <w:rFonts w:ascii="SimSun" w:hAnsi="SimSun" w:eastAsia="SimSun" w:cs="SimSun"/>
                <w:sz w:val="20"/>
                <w:szCs w:val="20"/>
                <w:spacing w:val="-2"/>
              </w:rPr>
              <w:t>盐指数、硫酸盐、氯化</w:t>
            </w:r>
          </w:p>
          <w:p>
            <w:pPr>
              <w:ind w:left="112"/>
              <w:spacing w:before="26" w:line="228" w:lineRule="auto"/>
              <w:rPr>
                <w:rFonts w:ascii="SimSun" w:hAnsi="SimSun" w:eastAsia="SimSun" w:cs="SimSun"/>
                <w:sz w:val="20"/>
                <w:szCs w:val="20"/>
              </w:rPr>
            </w:pPr>
            <w:r>
              <w:rPr>
                <w:rFonts w:ascii="SimSun" w:hAnsi="SimSun" w:eastAsia="SimSun" w:cs="SimSun"/>
                <w:sz w:val="20"/>
                <w:szCs w:val="20"/>
                <w:spacing w:val="-2"/>
              </w:rPr>
              <w:t>物、总大肠菌群、细菌</w:t>
            </w:r>
          </w:p>
          <w:p>
            <w:pPr>
              <w:pStyle w:val="TableText"/>
              <w:ind w:left="432"/>
              <w:spacing w:before="24" w:line="228" w:lineRule="auto"/>
              <w:rPr>
                <w:rFonts w:ascii="SimSun" w:hAnsi="SimSun" w:eastAsia="SimSun" w:cs="SimSun"/>
              </w:rPr>
            </w:pPr>
            <w:r>
              <w:rPr>
                <w:rFonts w:ascii="SimSun" w:hAnsi="SimSun" w:eastAsia="SimSun" w:cs="SimSun"/>
                <w:spacing w:val="4"/>
              </w:rPr>
              <w:t>总数共计</w:t>
            </w:r>
            <w:r>
              <w:rPr>
                <w:rFonts w:ascii="SimSun" w:hAnsi="SimSun" w:eastAsia="SimSun" w:cs="SimSun"/>
                <w:spacing w:val="-40"/>
              </w:rPr>
              <w:t xml:space="preserve"> </w:t>
            </w:r>
            <w:r>
              <w:rPr>
                <w:spacing w:val="4"/>
              </w:rPr>
              <w:t>29</w:t>
            </w:r>
            <w:r>
              <w:rPr>
                <w:spacing w:val="15"/>
                <w:w w:val="101"/>
              </w:rPr>
              <w:t xml:space="preserve"> </w:t>
            </w:r>
            <w:r>
              <w:rPr>
                <w:rFonts w:ascii="SimSun" w:hAnsi="SimSun" w:eastAsia="SimSun" w:cs="SimSun"/>
                <w:spacing w:val="4"/>
              </w:rPr>
              <w:t>项</w:t>
            </w:r>
          </w:p>
        </w:tc>
        <w:tc>
          <w:tcPr>
            <w:tcW w:w="873" w:type="dxa"/>
            <w:vAlign w:val="top"/>
          </w:tcPr>
          <w:p>
            <w:pPr>
              <w:pStyle w:val="TableText"/>
              <w:ind w:left="125" w:right="121" w:hanging="2"/>
              <w:spacing w:before="34" w:line="254" w:lineRule="auto"/>
              <w:rPr>
                <w:rFonts w:ascii="SimSun" w:hAnsi="SimSun" w:eastAsia="SimSun" w:cs="SimSun"/>
              </w:rPr>
            </w:pPr>
            <w:r>
              <w:rPr>
                <w:rFonts w:ascii="SimSun" w:hAnsi="SimSun" w:eastAsia="SimSun" w:cs="SimSun"/>
                <w:spacing w:val="-6"/>
              </w:rPr>
              <w:t>置</w:t>
            </w:r>
            <w:r>
              <w:rPr>
                <w:rFonts w:ascii="SimSun" w:hAnsi="SimSun" w:eastAsia="SimSun" w:cs="SimSun"/>
                <w:spacing w:val="-21"/>
              </w:rPr>
              <w:t xml:space="preserve"> </w:t>
            </w:r>
            <w:r>
              <w:rPr>
                <w:spacing w:val="-6"/>
              </w:rPr>
              <w:t>1</w:t>
            </w:r>
            <w:r>
              <w:rPr>
                <w:spacing w:val="10"/>
              </w:rPr>
              <w:t xml:space="preserve"> </w:t>
            </w:r>
            <w:r>
              <w:rPr>
                <w:rFonts w:ascii="SimSun" w:hAnsi="SimSun" w:eastAsia="SimSun" w:cs="SimSun"/>
                <w:spacing w:val="-6"/>
              </w:rPr>
              <w:t>个</w:t>
            </w:r>
            <w:r>
              <w:rPr>
                <w:rFonts w:ascii="SimSun" w:hAnsi="SimSun" w:eastAsia="SimSun" w:cs="SimSun"/>
                <w:spacing w:val="6"/>
              </w:rPr>
              <w:t>监测点</w:t>
            </w:r>
          </w:p>
        </w:tc>
        <w:tc>
          <w:tcPr>
            <w:tcW w:w="878" w:type="dxa"/>
            <w:vAlign w:val="top"/>
          </w:tcPr>
          <w:p>
            <w:pPr>
              <w:rPr>
                <w:rFonts w:ascii="Arial"/>
                <w:sz w:val="21"/>
              </w:rPr>
            </w:pPr>
            <w:r/>
          </w:p>
        </w:tc>
        <w:tc>
          <w:tcPr>
            <w:tcW w:w="1964" w:type="dxa"/>
            <w:vAlign w:val="top"/>
          </w:tcPr>
          <w:p>
            <w:pPr>
              <w:rPr>
                <w:rFonts w:ascii="Arial"/>
                <w:sz w:val="21"/>
              </w:rPr>
            </w:pPr>
            <w:r/>
          </w:p>
        </w:tc>
        <w:tc>
          <w:tcPr>
            <w:tcW w:w="1605" w:type="dxa"/>
            <w:vAlign w:val="top"/>
          </w:tcPr>
          <w:p>
            <w:pPr>
              <w:rPr>
                <w:rFonts w:ascii="Arial"/>
                <w:sz w:val="21"/>
              </w:rPr>
            </w:pPr>
            <w:r/>
          </w:p>
        </w:tc>
      </w:tr>
      <w:tr>
        <w:trPr>
          <w:trHeight w:val="1909" w:hRule="atLeast"/>
        </w:trPr>
        <w:tc>
          <w:tcPr>
            <w:tcW w:w="636" w:type="dxa"/>
            <w:vAlign w:val="top"/>
            <w:textDirection w:val="tbRlV"/>
          </w:tcPr>
          <w:p>
            <w:pPr>
              <w:ind w:left="708"/>
              <w:spacing w:before="212" w:line="213" w:lineRule="auto"/>
              <w:rPr>
                <w:rFonts w:ascii="SimSun" w:hAnsi="SimSun" w:eastAsia="SimSun" w:cs="SimSun"/>
                <w:sz w:val="20"/>
                <w:szCs w:val="20"/>
              </w:rPr>
            </w:pPr>
            <w:r>
              <w:rPr>
                <w:rFonts w:ascii="SimSun" w:hAnsi="SimSun" w:eastAsia="SimSun" w:cs="SimSun"/>
                <w:sz w:val="20"/>
                <w:szCs w:val="20"/>
                <w:spacing w:val="8"/>
              </w:rPr>
              <w:t>噪</w:t>
            </w:r>
            <w:r>
              <w:rPr>
                <w:rFonts w:ascii="SimSun" w:hAnsi="SimSun" w:eastAsia="SimSun" w:cs="SimSun"/>
                <w:sz w:val="20"/>
                <w:szCs w:val="20"/>
                <w:spacing w:val="-38"/>
              </w:rPr>
              <w:t xml:space="preserve"> </w:t>
            </w:r>
            <w:r>
              <w:rPr>
                <w:rFonts w:ascii="SimSun" w:hAnsi="SimSun" w:eastAsia="SimSun" w:cs="SimSun"/>
                <w:sz w:val="20"/>
                <w:szCs w:val="20"/>
                <w:spacing w:val="8"/>
              </w:rPr>
              <w:t>声</w:t>
            </w:r>
          </w:p>
        </w:tc>
        <w:tc>
          <w:tcPr>
            <w:tcW w:w="1110" w:type="dxa"/>
            <w:vAlign w:val="top"/>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ind w:left="351"/>
              <w:spacing w:before="65" w:line="228" w:lineRule="auto"/>
              <w:rPr>
                <w:rFonts w:ascii="SimSun" w:hAnsi="SimSun" w:eastAsia="SimSun" w:cs="SimSun"/>
                <w:sz w:val="20"/>
                <w:szCs w:val="20"/>
              </w:rPr>
            </w:pPr>
            <w:r>
              <w:rPr>
                <w:rFonts w:ascii="SimSun" w:hAnsi="SimSun" w:eastAsia="SimSun" w:cs="SimSun"/>
                <w:sz w:val="20"/>
                <w:szCs w:val="20"/>
                <w:spacing w:val="3"/>
              </w:rPr>
              <w:t>厂界</w:t>
            </w:r>
          </w:p>
        </w:tc>
        <w:tc>
          <w:tcPr>
            <w:tcW w:w="2214" w:type="dxa"/>
            <w:vAlign w:val="top"/>
          </w:tcPr>
          <w:p>
            <w:pPr>
              <w:spacing w:line="319" w:lineRule="auto"/>
              <w:rPr>
                <w:rFonts w:ascii="Arial"/>
                <w:sz w:val="21"/>
              </w:rPr>
            </w:pPr>
            <w:r/>
          </w:p>
          <w:p>
            <w:pPr>
              <w:spacing w:line="320" w:lineRule="auto"/>
              <w:rPr>
                <w:rFonts w:ascii="Arial"/>
                <w:sz w:val="21"/>
              </w:rPr>
            </w:pPr>
            <w:r/>
          </w:p>
          <w:p>
            <w:pPr>
              <w:pStyle w:val="TableText"/>
              <w:ind w:left="169"/>
              <w:spacing w:before="65" w:line="227" w:lineRule="auto"/>
              <w:rPr/>
            </w:pPr>
            <w:r>
              <w:rPr>
                <w:rFonts w:ascii="SimSun" w:hAnsi="SimSun" w:eastAsia="SimSun" w:cs="SimSun"/>
                <w:spacing w:val="8"/>
              </w:rPr>
              <w:t>昼、夜间等效连续</w:t>
            </w:r>
            <w:r>
              <w:rPr>
                <w:rFonts w:ascii="SimSun" w:hAnsi="SimSun" w:eastAsia="SimSun" w:cs="SimSun"/>
                <w:spacing w:val="-42"/>
              </w:rPr>
              <w:t xml:space="preserve"> </w:t>
            </w:r>
            <w:r>
              <w:rPr>
                <w:spacing w:val="8"/>
              </w:rPr>
              <w:t>A</w:t>
            </w:r>
          </w:p>
          <w:p>
            <w:pPr>
              <w:ind w:left="906"/>
              <w:spacing w:before="25" w:line="228" w:lineRule="auto"/>
              <w:rPr>
                <w:rFonts w:ascii="SimSun" w:hAnsi="SimSun" w:eastAsia="SimSun" w:cs="SimSun"/>
                <w:sz w:val="20"/>
                <w:szCs w:val="20"/>
              </w:rPr>
            </w:pPr>
            <w:r>
              <w:rPr>
                <w:rFonts w:ascii="SimSun" w:hAnsi="SimSun" w:eastAsia="SimSun" w:cs="SimSun"/>
                <w:sz w:val="20"/>
                <w:szCs w:val="20"/>
                <w:spacing w:val="2"/>
              </w:rPr>
              <w:t>声级</w:t>
            </w:r>
          </w:p>
        </w:tc>
        <w:tc>
          <w:tcPr>
            <w:tcW w:w="873" w:type="dxa"/>
            <w:vAlign w:val="top"/>
          </w:tcPr>
          <w:p>
            <w:pPr>
              <w:ind w:left="130"/>
              <w:spacing w:before="27" w:line="228" w:lineRule="auto"/>
              <w:rPr>
                <w:rFonts w:ascii="SimSun" w:hAnsi="SimSun" w:eastAsia="SimSun" w:cs="SimSun"/>
                <w:sz w:val="20"/>
                <w:szCs w:val="20"/>
              </w:rPr>
            </w:pPr>
            <w:r>
              <w:rPr>
                <w:rFonts w:ascii="SimSun" w:hAnsi="SimSun" w:eastAsia="SimSun" w:cs="SimSun"/>
                <w:sz w:val="20"/>
                <w:szCs w:val="20"/>
                <w:spacing w:val="5"/>
              </w:rPr>
              <w:t>露天区</w:t>
            </w:r>
          </w:p>
          <w:p>
            <w:pPr>
              <w:ind w:left="130" w:right="121" w:hanging="2"/>
              <w:spacing w:before="26" w:line="251" w:lineRule="auto"/>
              <w:rPr>
                <w:rFonts w:ascii="SimSun" w:hAnsi="SimSun" w:eastAsia="SimSun" w:cs="SimSun"/>
                <w:sz w:val="20"/>
                <w:szCs w:val="20"/>
              </w:rPr>
            </w:pPr>
            <w:r>
              <w:rPr>
                <w:rFonts w:ascii="SimSun" w:hAnsi="SimSun" w:eastAsia="SimSun" w:cs="SimSun"/>
                <w:sz w:val="20"/>
                <w:szCs w:val="20"/>
                <w:spacing w:val="6"/>
              </w:rPr>
              <w:t>工业场</w:t>
            </w:r>
            <w:r>
              <w:rPr>
                <w:rFonts w:ascii="SimSun" w:hAnsi="SimSun" w:eastAsia="SimSun" w:cs="SimSun"/>
                <w:sz w:val="20"/>
                <w:szCs w:val="20"/>
                <w:spacing w:val="19"/>
                <w:w w:val="117"/>
              </w:rPr>
              <w:t>地厂</w:t>
            </w:r>
            <w:r>
              <w:rPr>
                <w:rFonts w:ascii="SimSun" w:hAnsi="SimSun" w:eastAsia="SimSun" w:cs="SimSun"/>
                <w:sz w:val="20"/>
                <w:szCs w:val="20"/>
                <w:spacing w:val="5"/>
              </w:rPr>
              <w:t>界、采</w:t>
            </w:r>
          </w:p>
          <w:p>
            <w:pPr>
              <w:ind w:left="124"/>
              <w:spacing w:line="228" w:lineRule="auto"/>
              <w:rPr>
                <w:rFonts w:ascii="SimSun" w:hAnsi="SimSun" w:eastAsia="SimSun" w:cs="SimSun"/>
                <w:sz w:val="20"/>
                <w:szCs w:val="20"/>
              </w:rPr>
            </w:pPr>
            <w:r>
              <w:rPr>
                <w:rFonts w:ascii="SimSun" w:hAnsi="SimSun" w:eastAsia="SimSun" w:cs="SimSun"/>
                <w:sz w:val="20"/>
                <w:szCs w:val="20"/>
                <w:spacing w:val="7"/>
              </w:rPr>
              <w:t>掘场及</w:t>
            </w:r>
          </w:p>
          <w:p>
            <w:pPr>
              <w:ind w:left="230" w:right="121" w:hanging="105"/>
              <w:spacing w:before="25" w:line="235" w:lineRule="auto"/>
              <w:rPr>
                <w:rFonts w:ascii="SimSun" w:hAnsi="SimSun" w:eastAsia="SimSun" w:cs="SimSun"/>
                <w:sz w:val="20"/>
                <w:szCs w:val="20"/>
              </w:rPr>
            </w:pPr>
            <w:r>
              <w:rPr>
                <w:rFonts w:ascii="SimSun" w:hAnsi="SimSun" w:eastAsia="SimSun" w:cs="SimSun"/>
                <w:sz w:val="20"/>
                <w:szCs w:val="20"/>
                <w:spacing w:val="6"/>
              </w:rPr>
              <w:t>排土场</w:t>
            </w:r>
            <w:r>
              <w:rPr>
                <w:rFonts w:ascii="SimSun" w:hAnsi="SimSun" w:eastAsia="SimSun" w:cs="SimSun"/>
                <w:sz w:val="20"/>
                <w:szCs w:val="20"/>
                <w:spacing w:val="3"/>
              </w:rPr>
              <w:t>厂界</w:t>
            </w:r>
          </w:p>
        </w:tc>
        <w:tc>
          <w:tcPr>
            <w:tcW w:w="878" w:type="dxa"/>
            <w:vAlign w:val="top"/>
          </w:tcPr>
          <w:p>
            <w:pPr>
              <w:spacing w:line="319" w:lineRule="auto"/>
              <w:rPr>
                <w:rFonts w:ascii="Arial"/>
                <w:sz w:val="21"/>
              </w:rPr>
            </w:pPr>
            <w:r/>
          </w:p>
          <w:p>
            <w:pPr>
              <w:spacing w:line="320" w:lineRule="auto"/>
              <w:rPr>
                <w:rFonts w:ascii="Arial"/>
                <w:sz w:val="21"/>
              </w:rPr>
            </w:pPr>
            <w:r/>
          </w:p>
          <w:p>
            <w:pPr>
              <w:pStyle w:val="TableText"/>
              <w:ind w:left="338" w:right="121" w:hanging="198"/>
              <w:spacing w:before="65" w:line="252"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季</w:t>
            </w:r>
            <w:r>
              <w:rPr>
                <w:rFonts w:ascii="SimSun" w:hAnsi="SimSun" w:eastAsia="SimSun" w:cs="SimSun"/>
                <w:spacing w:val="1"/>
              </w:rPr>
              <w:t>度</w:t>
            </w:r>
          </w:p>
        </w:tc>
        <w:tc>
          <w:tcPr>
            <w:tcW w:w="1964" w:type="dxa"/>
            <w:vAlign w:val="top"/>
          </w:tcPr>
          <w:p>
            <w:pPr>
              <w:ind w:left="151"/>
              <w:spacing w:before="164" w:line="228" w:lineRule="auto"/>
              <w:rPr>
                <w:rFonts w:ascii="SimSun" w:hAnsi="SimSun" w:eastAsia="SimSun" w:cs="SimSun"/>
                <w:sz w:val="20"/>
                <w:szCs w:val="20"/>
              </w:rPr>
            </w:pPr>
            <w:r>
              <w:rPr>
                <w:rFonts w:ascii="SimSun" w:hAnsi="SimSun" w:eastAsia="SimSun" w:cs="SimSun"/>
                <w:sz w:val="20"/>
                <w:szCs w:val="20"/>
                <w:spacing w:val="8"/>
              </w:rPr>
              <w:t>《工业企业厂界环</w:t>
            </w:r>
          </w:p>
          <w:p>
            <w:pPr>
              <w:ind w:left="146"/>
              <w:spacing w:before="24" w:line="228" w:lineRule="auto"/>
              <w:rPr>
                <w:rFonts w:ascii="SimSun" w:hAnsi="SimSun" w:eastAsia="SimSun" w:cs="SimSun"/>
                <w:sz w:val="20"/>
                <w:szCs w:val="20"/>
              </w:rPr>
            </w:pPr>
            <w:r>
              <w:rPr>
                <w:rFonts w:ascii="SimSun" w:hAnsi="SimSun" w:eastAsia="SimSun" w:cs="SimSun"/>
                <w:sz w:val="20"/>
                <w:szCs w:val="20"/>
                <w:spacing w:val="7"/>
              </w:rPr>
              <w:t>境噪声排放标准》</w:t>
            </w:r>
          </w:p>
          <w:p>
            <w:pPr>
              <w:pStyle w:val="TableText"/>
              <w:ind w:left="136"/>
              <w:spacing w:before="23"/>
              <w:rPr>
                <w:rFonts w:ascii="SimSun" w:hAnsi="SimSun" w:eastAsia="SimSun" w:cs="SimSun"/>
              </w:rPr>
            </w:pPr>
            <w:r>
              <w:rPr>
                <w:rFonts w:ascii="SimSun" w:hAnsi="SimSun" w:eastAsia="SimSun" w:cs="SimSun"/>
                <w:spacing w:val="4"/>
              </w:rPr>
              <w:t>（</w:t>
            </w:r>
            <w:r>
              <w:rPr/>
              <w:t>GB</w:t>
            </w:r>
            <w:r>
              <w:rPr>
                <w:spacing w:val="4"/>
              </w:rPr>
              <w:t>12348-2008</w:t>
            </w:r>
            <w:r>
              <w:rPr>
                <w:rFonts w:ascii="SimSun" w:hAnsi="SimSun" w:eastAsia="SimSun" w:cs="SimSun"/>
                <w:spacing w:val="4"/>
              </w:rPr>
              <w:t>）</w:t>
            </w:r>
          </w:p>
          <w:p>
            <w:pPr>
              <w:pStyle w:val="TableText"/>
              <w:ind w:left="220"/>
              <w:spacing w:before="13" w:line="228" w:lineRule="auto"/>
              <w:rPr>
                <w:rFonts w:ascii="SimSun" w:hAnsi="SimSun" w:eastAsia="SimSun" w:cs="SimSun"/>
              </w:rPr>
            </w:pPr>
            <w:r>
              <w:rPr>
                <w:rFonts w:ascii="SimSun" w:hAnsi="SimSun" w:eastAsia="SimSun" w:cs="SimSun"/>
                <w:spacing w:val="4"/>
              </w:rPr>
              <w:t>中 </w:t>
            </w:r>
            <w:r>
              <w:rPr>
                <w:spacing w:val="4"/>
              </w:rPr>
              <w:t>2</w:t>
            </w:r>
            <w:r>
              <w:rPr>
                <w:spacing w:val="6"/>
              </w:rPr>
              <w:t xml:space="preserve">  </w:t>
            </w:r>
            <w:r>
              <w:rPr>
                <w:rFonts w:ascii="SimSun" w:hAnsi="SimSun" w:eastAsia="SimSun" w:cs="SimSun"/>
                <w:spacing w:val="4"/>
              </w:rPr>
              <w:t>类功能区排</w:t>
            </w:r>
          </w:p>
          <w:p>
            <w:pPr>
              <w:ind w:left="200"/>
              <w:spacing w:before="24" w:line="228" w:lineRule="auto"/>
              <w:rPr>
                <w:rFonts w:ascii="SimSun" w:hAnsi="SimSun" w:eastAsia="SimSun" w:cs="SimSun"/>
                <w:sz w:val="20"/>
                <w:szCs w:val="20"/>
              </w:rPr>
            </w:pPr>
            <w:r>
              <w:rPr>
                <w:rFonts w:ascii="SimSun" w:hAnsi="SimSun" w:eastAsia="SimSun" w:cs="SimSun"/>
                <w:sz w:val="20"/>
                <w:szCs w:val="20"/>
                <w:spacing w:val="5"/>
              </w:rPr>
              <w:t>放</w:t>
            </w:r>
            <w:r>
              <w:rPr>
                <w:rFonts w:ascii="SimSun" w:hAnsi="SimSun" w:eastAsia="SimSun" w:cs="SimSun"/>
                <w:sz w:val="20"/>
                <w:szCs w:val="20"/>
                <w:spacing w:val="30"/>
              </w:rPr>
              <w:t xml:space="preserve"> </w:t>
            </w:r>
            <w:r>
              <w:rPr>
                <w:rFonts w:ascii="SimSun" w:hAnsi="SimSun" w:eastAsia="SimSun" w:cs="SimSun"/>
                <w:sz w:val="20"/>
                <w:szCs w:val="20"/>
                <w:spacing w:val="5"/>
              </w:rPr>
              <w:t>限值的相应要</w:t>
            </w:r>
          </w:p>
          <w:p>
            <w:pPr>
              <w:ind w:left="884"/>
              <w:spacing w:before="27" w:line="229" w:lineRule="auto"/>
              <w:rPr>
                <w:rFonts w:ascii="SimSun" w:hAnsi="SimSun" w:eastAsia="SimSun" w:cs="SimSun"/>
                <w:sz w:val="20"/>
                <w:szCs w:val="20"/>
              </w:rPr>
            </w:pPr>
            <w:r>
              <w:rPr>
                <w:rFonts w:ascii="SimSun" w:hAnsi="SimSun" w:eastAsia="SimSun" w:cs="SimSun"/>
                <w:sz w:val="20"/>
                <w:szCs w:val="20"/>
              </w:rPr>
              <w:t>求</w:t>
            </w:r>
          </w:p>
        </w:tc>
        <w:tc>
          <w:tcPr>
            <w:tcW w:w="1605" w:type="dxa"/>
            <w:vAlign w:val="top"/>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823" w:hRule="atLeast"/>
        </w:trPr>
        <w:tc>
          <w:tcPr>
            <w:tcW w:w="636" w:type="dxa"/>
            <w:vAlign w:val="top"/>
            <w:vMerge w:val="restart"/>
            <w:textDirection w:val="tbRlV"/>
            <w:tcBorders>
              <w:bottom w:val="nil"/>
            </w:tcBorders>
          </w:tcPr>
          <w:p>
            <w:pPr>
              <w:ind w:left="2087"/>
              <w:spacing w:before="213" w:line="220" w:lineRule="auto"/>
              <w:rPr>
                <w:rFonts w:ascii="SimSun" w:hAnsi="SimSun" w:eastAsia="SimSun" w:cs="SimSun"/>
                <w:sz w:val="20"/>
                <w:szCs w:val="20"/>
              </w:rPr>
            </w:pPr>
            <w:r>
              <w:rPr>
                <w:rFonts w:ascii="SimSun" w:hAnsi="SimSun" w:eastAsia="SimSun" w:cs="SimSun"/>
                <w:sz w:val="20"/>
                <w:szCs w:val="20"/>
                <w:spacing w:val="8"/>
              </w:rPr>
              <w:t>生</w:t>
            </w:r>
            <w:r>
              <w:rPr>
                <w:rFonts w:ascii="SimSun" w:hAnsi="SimSun" w:eastAsia="SimSun" w:cs="SimSun"/>
                <w:sz w:val="20"/>
                <w:szCs w:val="20"/>
                <w:spacing w:val="-38"/>
              </w:rPr>
              <w:t xml:space="preserve"> </w:t>
            </w:r>
            <w:r>
              <w:rPr>
                <w:rFonts w:ascii="SimSun" w:hAnsi="SimSun" w:eastAsia="SimSun" w:cs="SimSun"/>
                <w:sz w:val="20"/>
                <w:szCs w:val="20"/>
                <w:spacing w:val="8"/>
              </w:rPr>
              <w:t>态</w:t>
            </w:r>
          </w:p>
        </w:tc>
        <w:tc>
          <w:tcPr>
            <w:tcW w:w="1110" w:type="dxa"/>
            <w:vAlign w:val="top"/>
          </w:tcPr>
          <w:p>
            <w:pPr>
              <w:ind w:left="138"/>
              <w:spacing w:before="301" w:line="228" w:lineRule="auto"/>
              <w:rPr>
                <w:rFonts w:ascii="SimSun" w:hAnsi="SimSun" w:eastAsia="SimSun" w:cs="SimSun"/>
                <w:sz w:val="20"/>
                <w:szCs w:val="20"/>
              </w:rPr>
            </w:pPr>
            <w:r>
              <w:rPr>
                <w:rFonts w:ascii="SimSun" w:hAnsi="SimSun" w:eastAsia="SimSun" w:cs="SimSun"/>
                <w:sz w:val="20"/>
                <w:szCs w:val="20"/>
                <w:spacing w:val="7"/>
              </w:rPr>
              <w:t>土壤侵蚀</w:t>
            </w:r>
          </w:p>
        </w:tc>
        <w:tc>
          <w:tcPr>
            <w:tcW w:w="2214" w:type="dxa"/>
            <w:vAlign w:val="top"/>
          </w:tcPr>
          <w:p>
            <w:pPr>
              <w:ind w:left="113"/>
              <w:spacing w:before="164" w:line="228" w:lineRule="auto"/>
              <w:rPr>
                <w:rFonts w:ascii="SimSun" w:hAnsi="SimSun" w:eastAsia="SimSun" w:cs="SimSun"/>
                <w:sz w:val="20"/>
                <w:szCs w:val="20"/>
              </w:rPr>
            </w:pPr>
            <w:r>
              <w:rPr>
                <w:rFonts w:ascii="SimSun" w:hAnsi="SimSun" w:eastAsia="SimSun" w:cs="SimSun"/>
                <w:sz w:val="20"/>
                <w:szCs w:val="20"/>
                <w:spacing w:val="-2"/>
              </w:rPr>
              <w:t>土壤侵蚀类型、土壤侵</w:t>
            </w:r>
          </w:p>
          <w:p>
            <w:pPr>
              <w:ind w:left="901"/>
              <w:spacing w:before="26" w:line="228" w:lineRule="auto"/>
              <w:rPr>
                <w:rFonts w:ascii="SimSun" w:hAnsi="SimSun" w:eastAsia="SimSun" w:cs="SimSun"/>
                <w:sz w:val="20"/>
                <w:szCs w:val="20"/>
              </w:rPr>
            </w:pPr>
            <w:r>
              <w:rPr>
                <w:rFonts w:ascii="SimSun" w:hAnsi="SimSun" w:eastAsia="SimSun" w:cs="SimSun"/>
                <w:sz w:val="20"/>
                <w:szCs w:val="20"/>
                <w:spacing w:val="5"/>
              </w:rPr>
              <w:t>蚀量</w:t>
            </w:r>
          </w:p>
        </w:tc>
        <w:tc>
          <w:tcPr>
            <w:tcW w:w="873" w:type="dxa"/>
            <w:vAlign w:val="top"/>
          </w:tcPr>
          <w:p>
            <w:pPr>
              <w:ind w:left="125"/>
              <w:spacing w:before="30" w:line="228" w:lineRule="auto"/>
              <w:rPr>
                <w:rFonts w:ascii="SimSun" w:hAnsi="SimSun" w:eastAsia="SimSun" w:cs="SimSun"/>
                <w:sz w:val="20"/>
                <w:szCs w:val="20"/>
              </w:rPr>
            </w:pPr>
            <w:r>
              <w:rPr>
                <w:rFonts w:ascii="SimSun" w:hAnsi="SimSun" w:eastAsia="SimSun" w:cs="SimSun"/>
                <w:sz w:val="20"/>
                <w:szCs w:val="20"/>
                <w:spacing w:val="6"/>
              </w:rPr>
              <w:t>排土场</w:t>
            </w:r>
          </w:p>
          <w:p>
            <w:pPr>
              <w:ind w:left="336" w:right="121" w:hanging="212"/>
              <w:spacing w:before="23" w:line="236" w:lineRule="auto"/>
              <w:rPr>
                <w:rFonts w:ascii="SimSun" w:hAnsi="SimSun" w:eastAsia="SimSun" w:cs="SimSun"/>
                <w:sz w:val="20"/>
                <w:szCs w:val="20"/>
              </w:rPr>
            </w:pPr>
            <w:r>
              <w:rPr>
                <w:rFonts w:ascii="SimSun" w:hAnsi="SimSun" w:eastAsia="SimSun" w:cs="SimSun"/>
                <w:sz w:val="20"/>
                <w:szCs w:val="20"/>
                <w:spacing w:val="7"/>
              </w:rPr>
              <w:t>边坡区</w:t>
            </w:r>
            <w:r>
              <w:rPr>
                <w:rFonts w:ascii="SimSun" w:hAnsi="SimSun" w:eastAsia="SimSun" w:cs="SimSun"/>
                <w:sz w:val="20"/>
                <w:szCs w:val="20"/>
              </w:rPr>
              <w:t>域</w:t>
            </w:r>
          </w:p>
        </w:tc>
        <w:tc>
          <w:tcPr>
            <w:tcW w:w="878" w:type="dxa"/>
            <w:vAlign w:val="top"/>
          </w:tcPr>
          <w:p>
            <w:pPr>
              <w:pStyle w:val="TableText"/>
              <w:ind w:left="140"/>
              <w:spacing w:before="301" w:line="228"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年</w:t>
            </w:r>
          </w:p>
        </w:tc>
        <w:tc>
          <w:tcPr>
            <w:tcW w:w="1964" w:type="dxa"/>
            <w:vAlign w:val="top"/>
          </w:tcPr>
          <w:p>
            <w:pPr>
              <w:spacing w:line="274" w:lineRule="auto"/>
              <w:rPr>
                <w:rFonts w:ascii="Arial"/>
                <w:sz w:val="21"/>
              </w:rPr>
            </w:pPr>
            <w:r/>
          </w:p>
          <w:p>
            <w:pPr>
              <w:pStyle w:val="TableText"/>
              <w:ind w:left="951"/>
              <w:spacing w:before="58" w:line="199" w:lineRule="auto"/>
              <w:rPr/>
            </w:pPr>
            <w:r>
              <w:rPr>
                <w:spacing w:val="2"/>
              </w:rPr>
              <w:t>/</w:t>
            </w:r>
          </w:p>
        </w:tc>
        <w:tc>
          <w:tcPr>
            <w:tcW w:w="1605" w:type="dxa"/>
            <w:vAlign w:val="top"/>
          </w:tcPr>
          <w:p>
            <w:pPr>
              <w:ind w:left="410"/>
              <w:spacing w:before="302"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2183" w:hRule="atLeast"/>
        </w:trPr>
        <w:tc>
          <w:tcPr>
            <w:tcW w:w="636" w:type="dxa"/>
            <w:vAlign w:val="top"/>
            <w:vMerge w:val="continue"/>
            <w:textDirection w:val="tbRlV"/>
            <w:tcBorders>
              <w:top w:val="nil"/>
              <w:bottom w:val="nil"/>
            </w:tcBorders>
          </w:tcPr>
          <w:p>
            <w:pPr>
              <w:rPr>
                <w:rFonts w:ascii="Arial"/>
                <w:sz w:val="21"/>
              </w:rPr>
            </w:pPr>
            <w:r/>
          </w:p>
        </w:tc>
        <w:tc>
          <w:tcPr>
            <w:tcW w:w="1110" w:type="dxa"/>
            <w:vAlign w:val="top"/>
          </w:tcPr>
          <w:p>
            <w:pPr>
              <w:spacing w:line="303" w:lineRule="auto"/>
              <w:rPr>
                <w:rFonts w:ascii="Arial"/>
                <w:sz w:val="21"/>
              </w:rPr>
            </w:pPr>
            <w:r/>
          </w:p>
          <w:p>
            <w:pPr>
              <w:spacing w:line="303" w:lineRule="auto"/>
              <w:rPr>
                <w:rFonts w:ascii="Arial"/>
                <w:sz w:val="21"/>
              </w:rPr>
            </w:pPr>
            <w:r/>
          </w:p>
          <w:p>
            <w:pPr>
              <w:spacing w:line="304" w:lineRule="auto"/>
              <w:rPr>
                <w:rFonts w:ascii="Arial"/>
                <w:sz w:val="21"/>
              </w:rPr>
            </w:pPr>
            <w:r/>
          </w:p>
          <w:p>
            <w:pPr>
              <w:ind w:left="138"/>
              <w:spacing w:before="65" w:line="228" w:lineRule="auto"/>
              <w:rPr>
                <w:rFonts w:ascii="SimSun" w:hAnsi="SimSun" w:eastAsia="SimSun" w:cs="SimSun"/>
                <w:sz w:val="20"/>
                <w:szCs w:val="20"/>
              </w:rPr>
            </w:pPr>
            <w:r>
              <w:rPr>
                <w:rFonts w:ascii="SimSun" w:hAnsi="SimSun" w:eastAsia="SimSun" w:cs="SimSun"/>
                <w:sz w:val="20"/>
                <w:szCs w:val="20"/>
                <w:spacing w:val="7"/>
              </w:rPr>
              <w:t>土壤环境</w:t>
            </w:r>
          </w:p>
        </w:tc>
        <w:tc>
          <w:tcPr>
            <w:tcW w:w="2214" w:type="dxa"/>
            <w:vAlign w:val="top"/>
          </w:tcPr>
          <w:p>
            <w:pPr>
              <w:spacing w:line="259" w:lineRule="auto"/>
              <w:rPr>
                <w:rFonts w:ascii="Arial"/>
                <w:sz w:val="21"/>
              </w:rPr>
            </w:pPr>
            <w:r/>
          </w:p>
          <w:p>
            <w:pPr>
              <w:spacing w:line="260" w:lineRule="auto"/>
              <w:rPr>
                <w:rFonts w:ascii="Arial"/>
                <w:sz w:val="21"/>
              </w:rPr>
            </w:pPr>
            <w:r/>
          </w:p>
          <w:p>
            <w:pPr>
              <w:pStyle w:val="TableText"/>
              <w:ind w:left="134"/>
              <w:spacing w:before="65" w:line="221" w:lineRule="auto"/>
              <w:rPr>
                <w:rFonts w:ascii="SimSun" w:hAnsi="SimSun" w:eastAsia="SimSun" w:cs="SimSun"/>
              </w:rPr>
            </w:pPr>
            <w:r>
              <w:rPr/>
              <w:t>pH</w:t>
            </w:r>
            <w:r>
              <w:rPr>
                <w:spacing w:val="-27"/>
              </w:rPr>
              <w:t xml:space="preserve"> </w:t>
            </w:r>
            <w:r>
              <w:rPr>
                <w:rFonts w:ascii="SimSun" w:hAnsi="SimSun" w:eastAsia="SimSun" w:cs="SimSun"/>
                <w:spacing w:val="8"/>
              </w:rPr>
              <w:t>、镉、汞、砷、铅</w:t>
            </w:r>
          </w:p>
          <w:p>
            <w:pPr>
              <w:ind w:left="126"/>
              <w:spacing w:before="34" w:line="226" w:lineRule="auto"/>
              <w:rPr>
                <w:rFonts w:ascii="SimSun" w:hAnsi="SimSun" w:eastAsia="SimSun" w:cs="SimSun"/>
                <w:sz w:val="20"/>
                <w:szCs w:val="20"/>
              </w:rPr>
            </w:pPr>
            <w:r>
              <w:rPr>
                <w:rFonts w:ascii="SimSun" w:hAnsi="SimSun" w:eastAsia="SimSun" w:cs="SimSun"/>
                <w:sz w:val="20"/>
                <w:szCs w:val="20"/>
                <w:spacing w:val="-3"/>
              </w:rPr>
              <w:t>、铜、铬（六价）、镍</w:t>
            </w:r>
          </w:p>
          <w:p>
            <w:pPr>
              <w:ind w:left="705"/>
              <w:spacing w:before="26" w:line="228" w:lineRule="auto"/>
              <w:rPr>
                <w:rFonts w:ascii="SimSun" w:hAnsi="SimSun" w:eastAsia="SimSun" w:cs="SimSun"/>
                <w:sz w:val="20"/>
                <w:szCs w:val="20"/>
              </w:rPr>
            </w:pPr>
            <w:r>
              <w:rPr>
                <w:rFonts w:ascii="SimSun" w:hAnsi="SimSun" w:eastAsia="SimSun" w:cs="SimSun"/>
                <w:sz w:val="20"/>
                <w:szCs w:val="20"/>
                <w:spacing w:val="4"/>
              </w:rPr>
              <w:t>、石油烃</w:t>
            </w:r>
          </w:p>
        </w:tc>
        <w:tc>
          <w:tcPr>
            <w:tcW w:w="873" w:type="dxa"/>
            <w:vAlign w:val="top"/>
          </w:tcPr>
          <w:p>
            <w:pPr>
              <w:ind w:left="128"/>
              <w:spacing w:before="28" w:line="228" w:lineRule="auto"/>
              <w:rPr>
                <w:rFonts w:ascii="SimSun" w:hAnsi="SimSun" w:eastAsia="SimSun" w:cs="SimSun"/>
                <w:sz w:val="20"/>
                <w:szCs w:val="20"/>
              </w:rPr>
            </w:pPr>
            <w:r>
              <w:rPr>
                <w:rFonts w:ascii="SimSun" w:hAnsi="SimSun" w:eastAsia="SimSun" w:cs="SimSun"/>
                <w:sz w:val="20"/>
                <w:szCs w:val="20"/>
                <w:spacing w:val="6"/>
              </w:rPr>
              <w:t>工业场</w:t>
            </w:r>
          </w:p>
          <w:p>
            <w:pPr>
              <w:ind w:left="125"/>
              <w:spacing w:before="26" w:line="228" w:lineRule="auto"/>
              <w:rPr>
                <w:rFonts w:ascii="SimSun" w:hAnsi="SimSun" w:eastAsia="SimSun" w:cs="SimSun"/>
                <w:sz w:val="20"/>
                <w:szCs w:val="20"/>
              </w:rPr>
            </w:pPr>
            <w:r>
              <w:rPr>
                <w:rFonts w:ascii="SimSun" w:hAnsi="SimSun" w:eastAsia="SimSun" w:cs="SimSun"/>
                <w:sz w:val="20"/>
                <w:szCs w:val="20"/>
                <w:spacing w:val="6"/>
              </w:rPr>
              <w:t>地危废</w:t>
            </w:r>
          </w:p>
          <w:p>
            <w:pPr>
              <w:ind w:left="235"/>
              <w:spacing w:before="23" w:line="228" w:lineRule="auto"/>
              <w:rPr>
                <w:rFonts w:ascii="SimSun" w:hAnsi="SimSun" w:eastAsia="SimSun" w:cs="SimSun"/>
                <w:sz w:val="20"/>
                <w:szCs w:val="20"/>
              </w:rPr>
            </w:pPr>
            <w:r>
              <w:rPr>
                <w:rFonts w:ascii="SimSun" w:hAnsi="SimSun" w:eastAsia="SimSun" w:cs="SimSun"/>
                <w:sz w:val="20"/>
                <w:szCs w:val="20"/>
                <w:spacing w:val="1"/>
              </w:rPr>
              <w:t>暂存</w:t>
            </w:r>
          </w:p>
          <w:p>
            <w:pPr>
              <w:ind w:left="141"/>
              <w:spacing w:before="26" w:line="228" w:lineRule="auto"/>
              <w:rPr>
                <w:rFonts w:ascii="SimSun" w:hAnsi="SimSun" w:eastAsia="SimSun" w:cs="SimSun"/>
                <w:sz w:val="20"/>
                <w:szCs w:val="20"/>
              </w:rPr>
            </w:pPr>
            <w:r>
              <w:rPr>
                <w:rFonts w:ascii="SimSun" w:hAnsi="SimSun" w:eastAsia="SimSun" w:cs="SimSun"/>
                <w:sz w:val="20"/>
                <w:szCs w:val="20"/>
                <w:spacing w:val="-5"/>
              </w:rPr>
              <w:t>间、</w:t>
            </w:r>
            <w:r>
              <w:rPr>
                <w:rFonts w:ascii="SimSun" w:hAnsi="SimSun" w:eastAsia="SimSun" w:cs="SimSun"/>
                <w:sz w:val="20"/>
                <w:szCs w:val="20"/>
                <w:spacing w:val="-58"/>
              </w:rPr>
              <w:t xml:space="preserve"> </w:t>
            </w:r>
            <w:r>
              <w:rPr>
                <w:rFonts w:ascii="SimSun" w:hAnsi="SimSun" w:eastAsia="SimSun" w:cs="SimSun"/>
                <w:sz w:val="20"/>
                <w:szCs w:val="20"/>
                <w:spacing w:val="-5"/>
              </w:rPr>
              <w:t>内</w:t>
            </w:r>
          </w:p>
          <w:p>
            <w:pPr>
              <w:ind w:left="125"/>
              <w:spacing w:before="25" w:line="228" w:lineRule="auto"/>
              <w:rPr>
                <w:rFonts w:ascii="SimSun" w:hAnsi="SimSun" w:eastAsia="SimSun" w:cs="SimSun"/>
                <w:sz w:val="20"/>
                <w:szCs w:val="20"/>
              </w:rPr>
            </w:pPr>
            <w:r>
              <w:rPr>
                <w:rFonts w:ascii="SimSun" w:hAnsi="SimSun" w:eastAsia="SimSun" w:cs="SimSun"/>
                <w:sz w:val="20"/>
                <w:szCs w:val="20"/>
                <w:spacing w:val="6"/>
              </w:rPr>
              <w:t>排土场</w:t>
            </w:r>
          </w:p>
          <w:p>
            <w:pPr>
              <w:ind w:left="150"/>
              <w:spacing w:before="23" w:line="228" w:lineRule="auto"/>
              <w:rPr>
                <w:rFonts w:ascii="SimSun" w:hAnsi="SimSun" w:eastAsia="SimSun" w:cs="SimSun"/>
                <w:sz w:val="20"/>
                <w:szCs w:val="20"/>
              </w:rPr>
            </w:pPr>
            <w:r>
              <w:rPr>
                <w:rFonts w:ascii="SimSun" w:hAnsi="SimSun" w:eastAsia="SimSun" w:cs="SimSun"/>
                <w:sz w:val="20"/>
                <w:szCs w:val="20"/>
                <w:spacing w:val="-2"/>
              </w:rPr>
              <w:t>内、井</w:t>
            </w:r>
          </w:p>
          <w:p>
            <w:pPr>
              <w:ind w:left="361" w:right="121" w:hanging="211"/>
              <w:spacing w:before="26" w:line="236" w:lineRule="auto"/>
              <w:rPr>
                <w:rFonts w:ascii="SimSun" w:hAnsi="SimSun" w:eastAsia="SimSun" w:cs="SimSun"/>
                <w:sz w:val="20"/>
                <w:szCs w:val="20"/>
              </w:rPr>
            </w:pPr>
            <w:r>
              <w:rPr>
                <w:rFonts w:ascii="SimSun" w:hAnsi="SimSun" w:eastAsia="SimSun" w:cs="SimSun"/>
                <w:sz w:val="20"/>
                <w:szCs w:val="20"/>
                <w:spacing w:val="-2"/>
              </w:rPr>
              <w:t>田范围</w:t>
            </w:r>
            <w:r>
              <w:rPr>
                <w:rFonts w:ascii="SimSun" w:hAnsi="SimSun" w:eastAsia="SimSun" w:cs="SimSun"/>
                <w:sz w:val="20"/>
                <w:szCs w:val="20"/>
              </w:rPr>
              <w:t>内</w:t>
            </w:r>
          </w:p>
        </w:tc>
        <w:tc>
          <w:tcPr>
            <w:tcW w:w="878" w:type="dxa"/>
            <w:vAlign w:val="top"/>
          </w:tcPr>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340" w:right="172" w:hanging="145"/>
              <w:spacing w:before="65" w:line="254" w:lineRule="auto"/>
              <w:rPr>
                <w:rFonts w:ascii="SimSun" w:hAnsi="SimSun" w:eastAsia="SimSun" w:cs="SimSun"/>
              </w:rPr>
            </w:pPr>
            <w:r>
              <w:rPr>
                <w:spacing w:val="-5"/>
              </w:rPr>
              <w:t>1</w:t>
            </w:r>
            <w:r>
              <w:rPr>
                <w:spacing w:val="18"/>
              </w:rPr>
              <w:t xml:space="preserve"> </w:t>
            </w:r>
            <w:r>
              <w:rPr>
                <w:rFonts w:ascii="SimSun" w:hAnsi="SimSun" w:eastAsia="SimSun" w:cs="SimSun"/>
                <w:spacing w:val="-5"/>
              </w:rPr>
              <w:t>次</w:t>
            </w:r>
            <w:r>
              <w:rPr>
                <w:spacing w:val="-5"/>
              </w:rPr>
              <w:t>/5</w:t>
            </w:r>
            <w:r>
              <w:rPr>
                <w:rFonts w:ascii="SimSun" w:hAnsi="SimSun" w:eastAsia="SimSun" w:cs="SimSun"/>
              </w:rPr>
              <w:t>年</w:t>
            </w:r>
          </w:p>
        </w:tc>
        <w:tc>
          <w:tcPr>
            <w:tcW w:w="1964" w:type="dxa"/>
            <w:vAlign w:val="top"/>
          </w:tcPr>
          <w:p>
            <w:pPr>
              <w:ind w:left="151"/>
              <w:spacing w:before="299" w:line="228" w:lineRule="auto"/>
              <w:rPr>
                <w:rFonts w:ascii="SimSun" w:hAnsi="SimSun" w:eastAsia="SimSun" w:cs="SimSun"/>
                <w:sz w:val="20"/>
                <w:szCs w:val="20"/>
              </w:rPr>
            </w:pPr>
            <w:r>
              <w:rPr>
                <w:rFonts w:ascii="SimSun" w:hAnsi="SimSun" w:eastAsia="SimSun" w:cs="SimSun"/>
                <w:sz w:val="20"/>
                <w:szCs w:val="20"/>
                <w:spacing w:val="8"/>
              </w:rPr>
              <w:t>《土壤环境质量建</w:t>
            </w:r>
          </w:p>
          <w:p>
            <w:pPr>
              <w:ind w:left="149"/>
              <w:spacing w:before="26" w:line="228" w:lineRule="auto"/>
              <w:rPr>
                <w:rFonts w:ascii="SimSun" w:hAnsi="SimSun" w:eastAsia="SimSun" w:cs="SimSun"/>
                <w:sz w:val="20"/>
                <w:szCs w:val="20"/>
              </w:rPr>
            </w:pPr>
            <w:r>
              <w:rPr>
                <w:rFonts w:ascii="SimSun" w:hAnsi="SimSun" w:eastAsia="SimSun" w:cs="SimSun"/>
                <w:sz w:val="20"/>
                <w:szCs w:val="20"/>
                <w:spacing w:val="8"/>
              </w:rPr>
              <w:t>设用地土壤污染风</w:t>
            </w:r>
          </w:p>
          <w:p>
            <w:pPr>
              <w:ind w:left="265"/>
              <w:spacing w:before="23" w:line="224" w:lineRule="auto"/>
              <w:rPr>
                <w:rFonts w:ascii="SimSun" w:hAnsi="SimSun" w:eastAsia="SimSun" w:cs="SimSun"/>
                <w:sz w:val="20"/>
                <w:szCs w:val="20"/>
              </w:rPr>
            </w:pPr>
            <w:r>
              <w:rPr>
                <w:rFonts w:ascii="SimSun" w:hAnsi="SimSun" w:eastAsia="SimSun" w:cs="SimSun"/>
                <w:sz w:val="20"/>
                <w:szCs w:val="20"/>
                <w:spacing w:val="7"/>
              </w:rPr>
              <w:t>险管控标准（试</w:t>
            </w:r>
          </w:p>
          <w:p>
            <w:pPr>
              <w:ind w:left="677"/>
              <w:spacing w:before="31" w:line="228" w:lineRule="auto"/>
              <w:rPr>
                <w:rFonts w:ascii="SimSun" w:hAnsi="SimSun" w:eastAsia="SimSun" w:cs="SimSun"/>
                <w:sz w:val="20"/>
                <w:szCs w:val="20"/>
              </w:rPr>
            </w:pPr>
            <w:r>
              <w:rPr>
                <w:rFonts w:ascii="SimSun" w:hAnsi="SimSun" w:eastAsia="SimSun" w:cs="SimSun"/>
                <w:sz w:val="20"/>
                <w:szCs w:val="20"/>
                <w:spacing w:val="9"/>
              </w:rPr>
              <w:t>行）》</w:t>
            </w:r>
          </w:p>
          <w:p>
            <w:pPr>
              <w:pStyle w:val="TableText"/>
              <w:ind w:left="375" w:hanging="251"/>
              <w:spacing w:before="24" w:line="252" w:lineRule="auto"/>
              <w:rPr>
                <w:rFonts w:ascii="SimSun" w:hAnsi="SimSun" w:eastAsia="SimSun" w:cs="SimSun"/>
              </w:rPr>
            </w:pPr>
            <w:r>
              <w:rPr>
                <w:rFonts w:ascii="SimSun" w:hAnsi="SimSun" w:eastAsia="SimSun" w:cs="SimSun"/>
                <w:spacing w:val="-5"/>
              </w:rPr>
              <w:t>（</w:t>
            </w:r>
            <w:r>
              <w:rPr>
                <w:spacing w:val="-5"/>
              </w:rPr>
              <w:t>GB/36600-2018</w:t>
            </w:r>
            <w:r>
              <w:rPr>
                <w:rFonts w:ascii="SimSun" w:hAnsi="SimSun" w:eastAsia="SimSun" w:cs="SimSun"/>
                <w:spacing w:val="-5"/>
              </w:rPr>
              <w:t>）》</w:t>
            </w:r>
            <w:r>
              <w:rPr>
                <w:rFonts w:ascii="SimSun" w:hAnsi="SimSun" w:eastAsia="SimSun" w:cs="SimSun"/>
                <w:spacing w:val="2"/>
              </w:rPr>
              <w:t>中的相应要求</w:t>
            </w:r>
          </w:p>
        </w:tc>
        <w:tc>
          <w:tcPr>
            <w:tcW w:w="1605" w:type="dxa"/>
            <w:vAlign w:val="top"/>
          </w:tcPr>
          <w:p>
            <w:pPr>
              <w:spacing w:line="303" w:lineRule="auto"/>
              <w:rPr>
                <w:rFonts w:ascii="Arial"/>
                <w:sz w:val="21"/>
              </w:rPr>
            </w:pPr>
            <w:r/>
          </w:p>
          <w:p>
            <w:pPr>
              <w:spacing w:line="303" w:lineRule="auto"/>
              <w:rPr>
                <w:rFonts w:ascii="Arial"/>
                <w:sz w:val="21"/>
              </w:rPr>
            </w:pPr>
            <w:r/>
          </w:p>
          <w:p>
            <w:pPr>
              <w:spacing w:line="304" w:lineRule="auto"/>
              <w:rPr>
                <w:rFonts w:ascii="Arial"/>
                <w:sz w:val="21"/>
              </w:rPr>
            </w:pPr>
            <w:r/>
          </w:p>
          <w:p>
            <w:pPr>
              <w:ind w:left="410"/>
              <w:spacing w:before="65" w:line="228" w:lineRule="auto"/>
              <w:rPr>
                <w:rFonts w:ascii="SimSun" w:hAnsi="SimSun" w:eastAsia="SimSun" w:cs="SimSun"/>
                <w:sz w:val="20"/>
                <w:szCs w:val="20"/>
              </w:rPr>
            </w:pPr>
            <w:r>
              <w:rPr>
                <w:rFonts w:ascii="SimSun" w:hAnsi="SimSun" w:eastAsia="SimSun" w:cs="SimSun"/>
                <w:sz w:val="20"/>
                <w:szCs w:val="20"/>
                <w:spacing w:val="1"/>
              </w:rPr>
              <w:t>已建工程</w:t>
            </w:r>
          </w:p>
        </w:tc>
      </w:tr>
      <w:tr>
        <w:trPr>
          <w:trHeight w:val="820" w:hRule="atLeast"/>
        </w:trPr>
        <w:tc>
          <w:tcPr>
            <w:tcW w:w="636" w:type="dxa"/>
            <w:vAlign w:val="top"/>
            <w:vMerge w:val="continue"/>
            <w:textDirection w:val="tbRlV"/>
            <w:tcBorders>
              <w:top w:val="nil"/>
              <w:bottom w:val="nil"/>
            </w:tcBorders>
          </w:tcPr>
          <w:p>
            <w:pPr>
              <w:rPr>
                <w:rFonts w:ascii="Arial"/>
                <w:sz w:val="21"/>
              </w:rPr>
            </w:pPr>
            <w:r/>
          </w:p>
        </w:tc>
        <w:tc>
          <w:tcPr>
            <w:tcW w:w="1110" w:type="dxa"/>
            <w:vAlign w:val="top"/>
          </w:tcPr>
          <w:p>
            <w:pPr>
              <w:ind w:left="138"/>
              <w:spacing w:before="302" w:line="228" w:lineRule="auto"/>
              <w:rPr>
                <w:rFonts w:ascii="SimSun" w:hAnsi="SimSun" w:eastAsia="SimSun" w:cs="SimSun"/>
                <w:sz w:val="20"/>
                <w:szCs w:val="20"/>
              </w:rPr>
            </w:pPr>
            <w:r>
              <w:rPr>
                <w:rFonts w:ascii="SimSun" w:hAnsi="SimSun" w:eastAsia="SimSun" w:cs="SimSun"/>
                <w:sz w:val="20"/>
                <w:szCs w:val="20"/>
                <w:spacing w:val="7"/>
              </w:rPr>
              <w:t>植被群落</w:t>
            </w:r>
          </w:p>
        </w:tc>
        <w:tc>
          <w:tcPr>
            <w:tcW w:w="2214" w:type="dxa"/>
            <w:vAlign w:val="top"/>
          </w:tcPr>
          <w:p>
            <w:pPr>
              <w:ind w:left="113"/>
              <w:spacing w:before="165" w:line="228" w:lineRule="auto"/>
              <w:rPr>
                <w:rFonts w:ascii="SimSun" w:hAnsi="SimSun" w:eastAsia="SimSun" w:cs="SimSun"/>
                <w:sz w:val="20"/>
                <w:szCs w:val="20"/>
              </w:rPr>
            </w:pPr>
            <w:r>
              <w:rPr>
                <w:rFonts w:ascii="SimSun" w:hAnsi="SimSun" w:eastAsia="SimSun" w:cs="SimSun"/>
                <w:sz w:val="20"/>
                <w:szCs w:val="20"/>
                <w:spacing w:val="-2"/>
              </w:rPr>
              <w:t>植被构成、植被覆盖度</w:t>
            </w:r>
          </w:p>
          <w:p>
            <w:pPr>
              <w:ind w:left="1009"/>
              <w:spacing w:before="24" w:line="228" w:lineRule="auto"/>
              <w:rPr>
                <w:rFonts w:ascii="SimSun" w:hAnsi="SimSun" w:eastAsia="SimSun" w:cs="SimSun"/>
                <w:sz w:val="20"/>
                <w:szCs w:val="20"/>
              </w:rPr>
            </w:pPr>
            <w:r>
              <w:rPr>
                <w:rFonts w:ascii="SimSun" w:hAnsi="SimSun" w:eastAsia="SimSun" w:cs="SimSun"/>
                <w:sz w:val="20"/>
                <w:szCs w:val="20"/>
              </w:rPr>
              <w:t>等</w:t>
            </w:r>
          </w:p>
        </w:tc>
        <w:tc>
          <w:tcPr>
            <w:tcW w:w="873" w:type="dxa"/>
            <w:vAlign w:val="top"/>
          </w:tcPr>
          <w:p>
            <w:pPr>
              <w:ind w:left="227"/>
              <w:spacing w:before="28" w:line="227" w:lineRule="auto"/>
              <w:rPr>
                <w:rFonts w:ascii="SimSun" w:hAnsi="SimSun" w:eastAsia="SimSun" w:cs="SimSun"/>
                <w:sz w:val="20"/>
                <w:szCs w:val="20"/>
              </w:rPr>
            </w:pPr>
            <w:r>
              <w:rPr>
                <w:rFonts w:ascii="SimSun" w:hAnsi="SimSun" w:eastAsia="SimSun" w:cs="SimSun"/>
                <w:sz w:val="20"/>
                <w:szCs w:val="20"/>
                <w:spacing w:val="5"/>
              </w:rPr>
              <w:t>采掘</w:t>
            </w:r>
          </w:p>
          <w:p>
            <w:pPr>
              <w:ind w:left="124"/>
              <w:spacing w:before="28" w:line="228" w:lineRule="auto"/>
              <w:rPr>
                <w:rFonts w:ascii="SimSun" w:hAnsi="SimSun" w:eastAsia="SimSun" w:cs="SimSun"/>
                <w:sz w:val="20"/>
                <w:szCs w:val="20"/>
              </w:rPr>
            </w:pPr>
            <w:r>
              <w:rPr>
                <w:rFonts w:ascii="SimSun" w:hAnsi="SimSun" w:eastAsia="SimSun" w:cs="SimSun"/>
                <w:sz w:val="20"/>
                <w:szCs w:val="20"/>
                <w:spacing w:val="7"/>
              </w:rPr>
              <w:t>场、排</w:t>
            </w:r>
          </w:p>
          <w:p>
            <w:pPr>
              <w:ind w:left="229"/>
              <w:spacing w:before="23" w:line="218" w:lineRule="auto"/>
              <w:rPr>
                <w:rFonts w:ascii="SimSun" w:hAnsi="SimSun" w:eastAsia="SimSun" w:cs="SimSun"/>
                <w:sz w:val="20"/>
                <w:szCs w:val="20"/>
              </w:rPr>
            </w:pPr>
            <w:r>
              <w:rPr>
                <w:rFonts w:ascii="SimSun" w:hAnsi="SimSun" w:eastAsia="SimSun" w:cs="SimSun"/>
                <w:sz w:val="20"/>
                <w:szCs w:val="20"/>
                <w:spacing w:val="4"/>
              </w:rPr>
              <w:t>土场</w:t>
            </w:r>
          </w:p>
        </w:tc>
        <w:tc>
          <w:tcPr>
            <w:tcW w:w="878" w:type="dxa"/>
            <w:vAlign w:val="top"/>
          </w:tcPr>
          <w:p>
            <w:pPr>
              <w:pStyle w:val="TableText"/>
              <w:ind w:left="140"/>
              <w:spacing w:before="302" w:line="228"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年</w:t>
            </w:r>
          </w:p>
        </w:tc>
        <w:tc>
          <w:tcPr>
            <w:tcW w:w="1964" w:type="dxa"/>
            <w:vAlign w:val="top"/>
          </w:tcPr>
          <w:p>
            <w:pPr>
              <w:spacing w:line="275" w:lineRule="auto"/>
              <w:rPr>
                <w:rFonts w:ascii="Arial"/>
                <w:sz w:val="21"/>
              </w:rPr>
            </w:pPr>
            <w:r/>
          </w:p>
          <w:p>
            <w:pPr>
              <w:pStyle w:val="TableText"/>
              <w:ind w:left="951"/>
              <w:spacing w:before="57" w:line="199" w:lineRule="auto"/>
              <w:rPr/>
            </w:pPr>
            <w:r>
              <w:rPr>
                <w:spacing w:val="2"/>
              </w:rPr>
              <w:t>/</w:t>
            </w:r>
          </w:p>
        </w:tc>
        <w:tc>
          <w:tcPr>
            <w:tcW w:w="1605" w:type="dxa"/>
            <w:vAlign w:val="top"/>
          </w:tcPr>
          <w:p>
            <w:pPr>
              <w:pStyle w:val="TableText"/>
              <w:ind w:left="600" w:right="142" w:hanging="428"/>
              <w:spacing w:before="165" w:line="252" w:lineRule="auto"/>
              <w:rPr>
                <w:rFonts w:ascii="SimSun" w:hAnsi="SimSun" w:eastAsia="SimSun" w:cs="SimSun"/>
              </w:rPr>
            </w:pPr>
            <w:r>
              <w:rPr>
                <w:rFonts w:ascii="SimSun" w:hAnsi="SimSun" w:eastAsia="SimSun" w:cs="SimSun"/>
                <w:spacing w:val="4"/>
              </w:rPr>
              <w:t>已建工程</w:t>
            </w:r>
            <w:r>
              <w:rPr>
                <w:spacing w:val="4"/>
              </w:rPr>
              <w:t>/</w:t>
            </w:r>
            <w:r>
              <w:rPr>
                <w:rFonts w:ascii="SimSun" w:hAnsi="SimSun" w:eastAsia="SimSun" w:cs="SimSun"/>
                <w:spacing w:val="4"/>
              </w:rPr>
              <w:t>改建</w:t>
            </w:r>
            <w:r>
              <w:rPr>
                <w:rFonts w:ascii="SimSun" w:hAnsi="SimSun" w:eastAsia="SimSun" w:cs="SimSun"/>
                <w:spacing w:val="3"/>
              </w:rPr>
              <w:t>工程</w:t>
            </w:r>
          </w:p>
        </w:tc>
      </w:tr>
      <w:tr>
        <w:trPr>
          <w:trHeight w:val="822" w:hRule="atLeast"/>
        </w:trPr>
        <w:tc>
          <w:tcPr>
            <w:tcW w:w="636" w:type="dxa"/>
            <w:vAlign w:val="top"/>
            <w:vMerge w:val="continue"/>
            <w:textDirection w:val="tbRlV"/>
            <w:tcBorders>
              <w:top w:val="nil"/>
            </w:tcBorders>
          </w:tcPr>
          <w:p>
            <w:pPr>
              <w:rPr>
                <w:rFonts w:ascii="Arial"/>
                <w:sz w:val="21"/>
              </w:rPr>
            </w:pPr>
            <w:r/>
          </w:p>
        </w:tc>
        <w:tc>
          <w:tcPr>
            <w:tcW w:w="1110" w:type="dxa"/>
            <w:vAlign w:val="top"/>
          </w:tcPr>
          <w:p>
            <w:pPr>
              <w:ind w:left="456" w:right="137" w:hanging="317"/>
              <w:spacing w:before="169" w:line="252" w:lineRule="auto"/>
              <w:rPr>
                <w:rFonts w:ascii="SimSun" w:hAnsi="SimSun" w:eastAsia="SimSun" w:cs="SimSun"/>
                <w:sz w:val="20"/>
                <w:szCs w:val="20"/>
              </w:rPr>
            </w:pPr>
            <w:r>
              <w:rPr>
                <w:rFonts w:ascii="SimSun" w:hAnsi="SimSun" w:eastAsia="SimSun" w:cs="SimSun"/>
                <w:sz w:val="20"/>
                <w:szCs w:val="20"/>
                <w:spacing w:val="6"/>
              </w:rPr>
              <w:t>生物多样</w:t>
            </w:r>
            <w:r>
              <w:rPr>
                <w:rFonts w:ascii="SimSun" w:hAnsi="SimSun" w:eastAsia="SimSun" w:cs="SimSun"/>
                <w:sz w:val="20"/>
                <w:szCs w:val="20"/>
              </w:rPr>
              <w:t>性</w:t>
            </w:r>
          </w:p>
        </w:tc>
        <w:tc>
          <w:tcPr>
            <w:tcW w:w="2214" w:type="dxa"/>
            <w:vAlign w:val="top"/>
          </w:tcPr>
          <w:p>
            <w:pPr>
              <w:ind w:left="168"/>
              <w:spacing w:before="302" w:line="228" w:lineRule="auto"/>
              <w:rPr>
                <w:rFonts w:ascii="SimSun" w:hAnsi="SimSun" w:eastAsia="SimSun" w:cs="SimSun"/>
                <w:sz w:val="20"/>
                <w:szCs w:val="20"/>
              </w:rPr>
            </w:pPr>
            <w:r>
              <w:rPr>
                <w:rFonts w:ascii="SimSun" w:hAnsi="SimSun" w:eastAsia="SimSun" w:cs="SimSun"/>
                <w:sz w:val="20"/>
                <w:szCs w:val="20"/>
                <w:spacing w:val="8"/>
              </w:rPr>
              <w:t>植物、动物和微生物</w:t>
            </w:r>
          </w:p>
        </w:tc>
        <w:tc>
          <w:tcPr>
            <w:tcW w:w="873" w:type="dxa"/>
            <w:vAlign w:val="top"/>
          </w:tcPr>
          <w:p>
            <w:pPr>
              <w:ind w:left="150"/>
              <w:spacing w:before="31" w:line="228" w:lineRule="auto"/>
              <w:rPr>
                <w:rFonts w:ascii="SimSun" w:hAnsi="SimSun" w:eastAsia="SimSun" w:cs="SimSun"/>
                <w:sz w:val="20"/>
                <w:szCs w:val="20"/>
              </w:rPr>
            </w:pPr>
            <w:r>
              <w:rPr>
                <w:rFonts w:ascii="SimSun" w:hAnsi="SimSun" w:eastAsia="SimSun" w:cs="SimSun"/>
                <w:sz w:val="20"/>
                <w:szCs w:val="20"/>
                <w:spacing w:val="-2"/>
              </w:rPr>
              <w:t>内排土</w:t>
            </w:r>
          </w:p>
          <w:p>
            <w:pPr>
              <w:ind w:left="124"/>
              <w:spacing w:before="24" w:line="228" w:lineRule="auto"/>
              <w:rPr>
                <w:rFonts w:ascii="SimSun" w:hAnsi="SimSun" w:eastAsia="SimSun" w:cs="SimSun"/>
                <w:sz w:val="20"/>
                <w:szCs w:val="20"/>
              </w:rPr>
            </w:pPr>
            <w:r>
              <w:rPr>
                <w:rFonts w:ascii="SimSun" w:hAnsi="SimSun" w:eastAsia="SimSun" w:cs="SimSun"/>
                <w:sz w:val="20"/>
                <w:szCs w:val="20"/>
                <w:spacing w:val="8"/>
              </w:rPr>
              <w:t>场、外</w:t>
            </w:r>
          </w:p>
          <w:p>
            <w:pPr>
              <w:ind w:left="125"/>
              <w:spacing w:before="26" w:line="217" w:lineRule="auto"/>
              <w:rPr>
                <w:rFonts w:ascii="SimSun" w:hAnsi="SimSun" w:eastAsia="SimSun" w:cs="SimSun"/>
                <w:sz w:val="20"/>
                <w:szCs w:val="20"/>
              </w:rPr>
            </w:pPr>
            <w:r>
              <w:rPr>
                <w:rFonts w:ascii="SimSun" w:hAnsi="SimSun" w:eastAsia="SimSun" w:cs="SimSun"/>
                <w:sz w:val="20"/>
                <w:szCs w:val="20"/>
                <w:spacing w:val="6"/>
              </w:rPr>
              <w:t>排土场</w:t>
            </w:r>
          </w:p>
        </w:tc>
        <w:tc>
          <w:tcPr>
            <w:tcW w:w="878" w:type="dxa"/>
            <w:vAlign w:val="top"/>
          </w:tcPr>
          <w:p>
            <w:pPr>
              <w:pStyle w:val="TableText"/>
              <w:ind w:left="140"/>
              <w:spacing w:before="302" w:line="228" w:lineRule="auto"/>
              <w:rPr>
                <w:rFonts w:ascii="SimSun" w:hAnsi="SimSun" w:eastAsia="SimSun" w:cs="SimSun"/>
              </w:rPr>
            </w:pPr>
            <w:r>
              <w:rPr>
                <w:spacing w:val="-4"/>
              </w:rPr>
              <w:t>1</w:t>
            </w:r>
            <w:r>
              <w:rPr>
                <w:spacing w:val="21"/>
              </w:rPr>
              <w:t xml:space="preserve"> </w:t>
            </w:r>
            <w:r>
              <w:rPr>
                <w:rFonts w:ascii="SimSun" w:hAnsi="SimSun" w:eastAsia="SimSun" w:cs="SimSun"/>
                <w:spacing w:val="-4"/>
              </w:rPr>
              <w:t>次</w:t>
            </w:r>
            <w:r>
              <w:rPr>
                <w:spacing w:val="-4"/>
              </w:rPr>
              <w:t>/</w:t>
            </w:r>
            <w:r>
              <w:rPr>
                <w:rFonts w:ascii="SimSun" w:hAnsi="SimSun" w:eastAsia="SimSun" w:cs="SimSun"/>
                <w:spacing w:val="-4"/>
              </w:rPr>
              <w:t>年</w:t>
            </w:r>
          </w:p>
        </w:tc>
        <w:tc>
          <w:tcPr>
            <w:tcW w:w="1964" w:type="dxa"/>
            <w:vAlign w:val="top"/>
          </w:tcPr>
          <w:p>
            <w:pPr>
              <w:spacing w:line="275" w:lineRule="auto"/>
              <w:rPr>
                <w:rFonts w:ascii="Arial"/>
                <w:sz w:val="21"/>
              </w:rPr>
            </w:pPr>
            <w:r/>
          </w:p>
          <w:p>
            <w:pPr>
              <w:pStyle w:val="TableText"/>
              <w:ind w:left="951"/>
              <w:spacing w:before="58" w:line="199" w:lineRule="auto"/>
              <w:rPr/>
            </w:pPr>
            <w:r>
              <w:rPr>
                <w:spacing w:val="2"/>
              </w:rPr>
              <w:t>/</w:t>
            </w:r>
          </w:p>
        </w:tc>
        <w:tc>
          <w:tcPr>
            <w:tcW w:w="1605" w:type="dxa"/>
            <w:vAlign w:val="top"/>
          </w:tcPr>
          <w:p>
            <w:pPr>
              <w:pStyle w:val="TableText"/>
              <w:ind w:left="600" w:right="142" w:hanging="428"/>
              <w:spacing w:before="168" w:line="252" w:lineRule="auto"/>
              <w:rPr>
                <w:rFonts w:ascii="SimSun" w:hAnsi="SimSun" w:eastAsia="SimSun" w:cs="SimSun"/>
              </w:rPr>
            </w:pPr>
            <w:r>
              <w:rPr>
                <w:rFonts w:ascii="SimSun" w:hAnsi="SimSun" w:eastAsia="SimSun" w:cs="SimSun"/>
                <w:spacing w:val="4"/>
              </w:rPr>
              <w:t>已建工程</w:t>
            </w:r>
            <w:r>
              <w:rPr>
                <w:spacing w:val="4"/>
              </w:rPr>
              <w:t>/</w:t>
            </w:r>
            <w:r>
              <w:rPr>
                <w:rFonts w:ascii="SimSun" w:hAnsi="SimSun" w:eastAsia="SimSun" w:cs="SimSun"/>
                <w:spacing w:val="4"/>
              </w:rPr>
              <w:t>改建</w:t>
            </w:r>
            <w:r>
              <w:rPr>
                <w:rFonts w:ascii="SimSun" w:hAnsi="SimSun" w:eastAsia="SimSun" w:cs="SimSun"/>
                <w:spacing w:val="3"/>
              </w:rPr>
              <w:t>工程</w:t>
            </w:r>
          </w:p>
        </w:tc>
      </w:tr>
      <w:tr>
        <w:trPr>
          <w:trHeight w:val="573" w:hRule="atLeast"/>
        </w:trPr>
        <w:tc>
          <w:tcPr>
            <w:tcW w:w="636" w:type="dxa"/>
            <w:vAlign w:val="top"/>
            <w:vMerge w:val="restart"/>
            <w:textDirection w:val="tbRlV"/>
            <w:tcBorders>
              <w:bottom w:val="nil"/>
            </w:tcBorders>
          </w:tcPr>
          <w:p>
            <w:pPr>
              <w:ind w:left="1136"/>
              <w:spacing w:before="213" w:line="216" w:lineRule="auto"/>
              <w:rPr>
                <w:rFonts w:ascii="SimSun" w:hAnsi="SimSun" w:eastAsia="SimSun" w:cs="SimSun"/>
                <w:sz w:val="20"/>
                <w:szCs w:val="20"/>
              </w:rPr>
            </w:pPr>
            <w:r>
              <w:rPr>
                <w:rFonts w:ascii="SimSun" w:hAnsi="SimSun" w:eastAsia="SimSun" w:cs="SimSun"/>
                <w:sz w:val="20"/>
                <w:szCs w:val="20"/>
                <w:spacing w:val="8"/>
              </w:rPr>
              <w:t>地</w:t>
            </w:r>
            <w:r>
              <w:rPr>
                <w:rFonts w:ascii="SimSun" w:hAnsi="SimSun" w:eastAsia="SimSun" w:cs="SimSun"/>
                <w:sz w:val="20"/>
                <w:szCs w:val="20"/>
                <w:spacing w:val="-37"/>
              </w:rPr>
              <w:t xml:space="preserve"> </w:t>
            </w:r>
            <w:r>
              <w:rPr>
                <w:rFonts w:ascii="SimSun" w:hAnsi="SimSun" w:eastAsia="SimSun" w:cs="SimSun"/>
                <w:sz w:val="20"/>
                <w:szCs w:val="20"/>
                <w:spacing w:val="8"/>
              </w:rPr>
              <w:t>表</w:t>
            </w:r>
            <w:r>
              <w:rPr>
                <w:rFonts w:ascii="SimSun" w:hAnsi="SimSun" w:eastAsia="SimSun" w:cs="SimSun"/>
                <w:sz w:val="20"/>
                <w:szCs w:val="20"/>
                <w:spacing w:val="-35"/>
              </w:rPr>
              <w:t xml:space="preserve"> </w:t>
            </w:r>
            <w:r>
              <w:rPr>
                <w:rFonts w:ascii="SimSun" w:hAnsi="SimSun" w:eastAsia="SimSun" w:cs="SimSun"/>
                <w:sz w:val="20"/>
                <w:szCs w:val="20"/>
                <w:spacing w:val="8"/>
              </w:rPr>
              <w:t>水</w:t>
            </w:r>
          </w:p>
        </w:tc>
        <w:tc>
          <w:tcPr>
            <w:tcW w:w="1110" w:type="dxa"/>
            <w:vAlign w:val="top"/>
          </w:tcPr>
          <w:p>
            <w:pPr>
              <w:ind w:left="140"/>
              <w:spacing w:before="178" w:line="228" w:lineRule="auto"/>
              <w:rPr>
                <w:rFonts w:ascii="SimSun" w:hAnsi="SimSun" w:eastAsia="SimSun" w:cs="SimSun"/>
                <w:sz w:val="20"/>
                <w:szCs w:val="20"/>
              </w:rPr>
            </w:pPr>
            <w:r>
              <w:rPr>
                <w:rFonts w:ascii="SimSun" w:hAnsi="SimSun" w:eastAsia="SimSun" w:cs="SimSun"/>
                <w:sz w:val="20"/>
                <w:szCs w:val="20"/>
                <w:spacing w:val="6"/>
              </w:rPr>
              <w:t>水文情势</w:t>
            </w:r>
          </w:p>
        </w:tc>
        <w:tc>
          <w:tcPr>
            <w:tcW w:w="2214" w:type="dxa"/>
            <w:vAlign w:val="top"/>
          </w:tcPr>
          <w:p>
            <w:pPr>
              <w:ind w:left="271"/>
              <w:spacing w:before="178" w:line="228" w:lineRule="auto"/>
              <w:rPr>
                <w:rFonts w:ascii="SimSun" w:hAnsi="SimSun" w:eastAsia="SimSun" w:cs="SimSun"/>
                <w:sz w:val="20"/>
                <w:szCs w:val="20"/>
              </w:rPr>
            </w:pPr>
            <w:r>
              <w:rPr>
                <w:rFonts w:ascii="SimSun" w:hAnsi="SimSun" w:eastAsia="SimSun" w:cs="SimSun"/>
                <w:sz w:val="20"/>
                <w:szCs w:val="20"/>
                <w:spacing w:val="8"/>
              </w:rPr>
              <w:t>流量、水位、流速</w:t>
            </w:r>
          </w:p>
        </w:tc>
        <w:tc>
          <w:tcPr>
            <w:tcW w:w="873" w:type="dxa"/>
            <w:vAlign w:val="top"/>
            <w:vMerge w:val="restart"/>
            <w:tcBorders>
              <w:bottom w:val="nil"/>
            </w:tcBorders>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ind w:left="125"/>
              <w:spacing w:before="65" w:line="226" w:lineRule="auto"/>
              <w:rPr>
                <w:rFonts w:ascii="SimSun" w:hAnsi="SimSun" w:eastAsia="SimSun" w:cs="SimSun"/>
                <w:sz w:val="20"/>
                <w:szCs w:val="20"/>
              </w:rPr>
            </w:pPr>
            <w:r>
              <w:rPr>
                <w:rFonts w:ascii="SimSun" w:hAnsi="SimSun" w:eastAsia="SimSun" w:cs="SimSun"/>
                <w:sz w:val="20"/>
                <w:szCs w:val="20"/>
                <w:spacing w:val="6"/>
              </w:rPr>
              <w:t>井工转</w:t>
            </w:r>
          </w:p>
          <w:p>
            <w:pPr>
              <w:ind w:left="130"/>
              <w:spacing w:before="26" w:line="228" w:lineRule="auto"/>
              <w:rPr>
                <w:rFonts w:ascii="SimSun" w:hAnsi="SimSun" w:eastAsia="SimSun" w:cs="SimSun"/>
                <w:sz w:val="20"/>
                <w:szCs w:val="20"/>
              </w:rPr>
            </w:pPr>
            <w:r>
              <w:rPr>
                <w:rFonts w:ascii="SimSun" w:hAnsi="SimSun" w:eastAsia="SimSun" w:cs="SimSun"/>
                <w:sz w:val="20"/>
                <w:szCs w:val="20"/>
                <w:spacing w:val="5"/>
              </w:rPr>
              <w:t>露天区</w:t>
            </w:r>
          </w:p>
          <w:p>
            <w:pPr>
              <w:ind w:left="128"/>
              <w:spacing w:before="23" w:line="227" w:lineRule="auto"/>
              <w:rPr>
                <w:rFonts w:ascii="SimSun" w:hAnsi="SimSun" w:eastAsia="SimSun" w:cs="SimSun"/>
                <w:sz w:val="20"/>
                <w:szCs w:val="20"/>
              </w:rPr>
            </w:pPr>
            <w:r>
              <w:rPr>
                <w:rFonts w:ascii="SimSun" w:hAnsi="SimSun" w:eastAsia="SimSun" w:cs="SimSun"/>
                <w:sz w:val="20"/>
                <w:szCs w:val="20"/>
                <w:spacing w:val="5"/>
              </w:rPr>
              <w:t>北侧彦</w:t>
            </w:r>
          </w:p>
          <w:p>
            <w:pPr>
              <w:ind w:left="132"/>
              <w:spacing w:before="27" w:line="230" w:lineRule="auto"/>
              <w:rPr>
                <w:rFonts w:ascii="SimSun" w:hAnsi="SimSun" w:eastAsia="SimSun" w:cs="SimSun"/>
                <w:sz w:val="20"/>
                <w:szCs w:val="20"/>
              </w:rPr>
            </w:pPr>
            <w:r>
              <w:rPr>
                <w:rFonts w:ascii="SimSun" w:hAnsi="SimSun" w:eastAsia="SimSun" w:cs="SimSun"/>
                <w:sz w:val="20"/>
                <w:szCs w:val="20"/>
                <w:spacing w:val="4"/>
              </w:rPr>
              <w:t>吉嘎河</w:t>
            </w:r>
          </w:p>
          <w:p>
            <w:pPr>
              <w:ind w:left="236"/>
              <w:spacing w:before="22" w:line="228" w:lineRule="auto"/>
              <w:rPr>
                <w:rFonts w:ascii="SimSun" w:hAnsi="SimSun" w:eastAsia="SimSun" w:cs="SimSun"/>
                <w:sz w:val="20"/>
                <w:szCs w:val="20"/>
              </w:rPr>
            </w:pPr>
            <w:r>
              <w:rPr>
                <w:rFonts w:ascii="SimSun" w:hAnsi="SimSun" w:eastAsia="SimSun" w:cs="SimSun"/>
                <w:sz w:val="20"/>
                <w:szCs w:val="20"/>
              </w:rPr>
              <w:t>断面</w:t>
            </w:r>
          </w:p>
        </w:tc>
        <w:tc>
          <w:tcPr>
            <w:tcW w:w="878"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pStyle w:val="TableText"/>
              <w:ind w:left="119"/>
              <w:spacing w:before="65" w:line="228" w:lineRule="auto"/>
              <w:rPr>
                <w:rFonts w:ascii="SimSun" w:hAnsi="SimSun" w:eastAsia="SimSun" w:cs="SimSun"/>
              </w:rPr>
            </w:pPr>
            <w:r>
              <w:rPr>
                <w:spacing w:val="1"/>
              </w:rPr>
              <w:t>2</w:t>
            </w:r>
            <w:r>
              <w:rPr>
                <w:spacing w:val="21"/>
              </w:rPr>
              <w:t xml:space="preserve"> </w:t>
            </w:r>
            <w:r>
              <w:rPr>
                <w:rFonts w:ascii="SimSun" w:hAnsi="SimSun" w:eastAsia="SimSun" w:cs="SimSun"/>
                <w:spacing w:val="1"/>
              </w:rPr>
              <w:t>次</w:t>
            </w:r>
            <w:r>
              <w:rPr>
                <w:spacing w:val="1"/>
              </w:rPr>
              <w:t>/</w:t>
            </w:r>
            <w:r>
              <w:rPr>
                <w:rFonts w:ascii="SimSun" w:hAnsi="SimSun" w:eastAsia="SimSun" w:cs="SimSun"/>
                <w:spacing w:val="1"/>
              </w:rPr>
              <w:t>年</w:t>
            </w:r>
          </w:p>
        </w:tc>
        <w:tc>
          <w:tcPr>
            <w:tcW w:w="1964" w:type="dxa"/>
            <w:vAlign w:val="top"/>
          </w:tcPr>
          <w:p>
            <w:pPr>
              <w:pStyle w:val="TableText"/>
              <w:ind w:left="951"/>
              <w:spacing w:before="211" w:line="199" w:lineRule="auto"/>
              <w:rPr/>
            </w:pPr>
            <w:r>
              <w:rPr>
                <w:spacing w:val="2"/>
              </w:rPr>
              <w:t>/</w:t>
            </w:r>
          </w:p>
        </w:tc>
        <w:tc>
          <w:tcPr>
            <w:tcW w:w="1605" w:type="dxa"/>
            <w:vAlign w:val="top"/>
            <w:vMerge w:val="restart"/>
            <w:tcBorders>
              <w:bottom w:val="nil"/>
            </w:tcBorders>
          </w:tcPr>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7" w:lineRule="auto"/>
              <w:rPr>
                <w:rFonts w:ascii="Arial"/>
                <w:sz w:val="21"/>
              </w:rPr>
            </w:pPr>
            <w:r/>
          </w:p>
          <w:p>
            <w:pPr>
              <w:spacing w:line="268" w:lineRule="auto"/>
              <w:rPr>
                <w:rFonts w:ascii="Arial"/>
                <w:sz w:val="21"/>
              </w:rPr>
            </w:pPr>
            <w:r/>
          </w:p>
          <w:p>
            <w:pPr>
              <w:ind w:left="394"/>
              <w:spacing w:before="65" w:line="228" w:lineRule="auto"/>
              <w:rPr>
                <w:rFonts w:ascii="SimSun" w:hAnsi="SimSun" w:eastAsia="SimSun" w:cs="SimSun"/>
                <w:sz w:val="20"/>
                <w:szCs w:val="20"/>
              </w:rPr>
            </w:pPr>
            <w:r>
              <w:rPr>
                <w:rFonts w:ascii="SimSun" w:hAnsi="SimSun" w:eastAsia="SimSun" w:cs="SimSun"/>
                <w:sz w:val="20"/>
                <w:szCs w:val="20"/>
                <w:spacing w:val="5"/>
              </w:rPr>
              <w:t>改建工程</w:t>
            </w:r>
          </w:p>
        </w:tc>
      </w:tr>
      <w:tr>
        <w:trPr>
          <w:trHeight w:val="2459" w:hRule="atLeast"/>
        </w:trPr>
        <w:tc>
          <w:tcPr>
            <w:tcW w:w="636" w:type="dxa"/>
            <w:vAlign w:val="top"/>
            <w:vMerge w:val="continue"/>
            <w:textDirection w:val="tbRlV"/>
            <w:tcBorders>
              <w:top w:val="nil"/>
            </w:tcBorders>
          </w:tcPr>
          <w:p>
            <w:pPr>
              <w:rPr>
                <w:rFonts w:ascii="Arial"/>
                <w:sz w:val="21"/>
              </w:rPr>
            </w:pPr>
            <w:r/>
          </w:p>
        </w:tc>
        <w:tc>
          <w:tcPr>
            <w:tcW w:w="1110" w:type="dxa"/>
            <w:vAlign w:val="top"/>
          </w:tcPr>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351"/>
              <w:spacing w:before="65" w:line="228" w:lineRule="auto"/>
              <w:rPr>
                <w:rFonts w:ascii="SimSun" w:hAnsi="SimSun" w:eastAsia="SimSun" w:cs="SimSun"/>
                <w:sz w:val="20"/>
                <w:szCs w:val="20"/>
              </w:rPr>
            </w:pPr>
            <w:r>
              <w:rPr>
                <w:rFonts w:ascii="SimSun" w:hAnsi="SimSun" w:eastAsia="SimSun" w:cs="SimSun"/>
                <w:sz w:val="20"/>
                <w:szCs w:val="20"/>
                <w:spacing w:val="3"/>
              </w:rPr>
              <w:t>水质</w:t>
            </w:r>
          </w:p>
        </w:tc>
        <w:tc>
          <w:tcPr>
            <w:tcW w:w="2214" w:type="dxa"/>
            <w:vAlign w:val="top"/>
          </w:tcPr>
          <w:p>
            <w:pPr>
              <w:pStyle w:val="TableText"/>
              <w:ind w:left="110" w:right="39" w:firstLine="24"/>
              <w:spacing w:before="31" w:line="248" w:lineRule="auto"/>
              <w:jc w:val="both"/>
              <w:rPr>
                <w:rFonts w:ascii="SimSun" w:hAnsi="SimSun" w:eastAsia="SimSun" w:cs="SimSun"/>
              </w:rPr>
            </w:pPr>
            <w:r>
              <w:rPr/>
              <w:t>pH</w:t>
            </w:r>
            <w:r>
              <w:rPr>
                <w:spacing w:val="-27"/>
              </w:rPr>
              <w:t xml:space="preserve"> </w:t>
            </w:r>
            <w:r>
              <w:rPr>
                <w:rFonts w:ascii="SimSun" w:hAnsi="SimSun" w:eastAsia="SimSun" w:cs="SimSun"/>
                <w:spacing w:val="8"/>
              </w:rPr>
              <w:t>、化学需氧量、五</w:t>
            </w:r>
            <w:r>
              <w:rPr>
                <w:rFonts w:ascii="SimSun" w:hAnsi="SimSun" w:eastAsia="SimSun" w:cs="SimSun"/>
                <w:spacing w:val="5"/>
              </w:rPr>
              <w:t>日生化需氧量、氨氮、</w:t>
            </w:r>
            <w:r>
              <w:rPr>
                <w:rFonts w:ascii="SimSun" w:hAnsi="SimSun" w:eastAsia="SimSun" w:cs="SimSun"/>
                <w:spacing w:val="5"/>
              </w:rPr>
              <w:t>汞、砷、六价铬、铅、</w:t>
            </w:r>
            <w:r>
              <w:rPr>
                <w:rFonts w:ascii="SimSun" w:hAnsi="SimSun" w:eastAsia="SimSun" w:cs="SimSun"/>
                <w:spacing w:val="5"/>
              </w:rPr>
              <w:t>镉、锌、铜、石油类、</w:t>
            </w:r>
            <w:r>
              <w:rPr>
                <w:rFonts w:ascii="SimSun" w:hAnsi="SimSun" w:eastAsia="SimSun" w:cs="SimSun"/>
                <w:spacing w:val="5"/>
              </w:rPr>
              <w:t>粪大肠菌群、氟化物、</w:t>
            </w:r>
            <w:r>
              <w:rPr>
                <w:rFonts w:ascii="SimSun" w:hAnsi="SimSun" w:eastAsia="SimSun" w:cs="SimSun"/>
                <w:spacing w:val="15"/>
              </w:rPr>
              <w:t>高锰酸盐指数、溶解</w:t>
            </w:r>
            <w:r>
              <w:rPr>
                <w:rFonts w:ascii="SimSun" w:hAnsi="SimSun" w:eastAsia="SimSun" w:cs="SimSun"/>
                <w:spacing w:val="5"/>
              </w:rPr>
              <w:t>氧、氰化物、挥发酚、</w:t>
            </w:r>
            <w:r>
              <w:rPr>
                <w:rFonts w:ascii="SimSun" w:hAnsi="SimSun" w:eastAsia="SimSun" w:cs="SimSun"/>
                <w:spacing w:val="-1"/>
              </w:rPr>
              <w:t>硫化物、悬浮物、硫酸</w:t>
            </w:r>
            <w:r>
              <w:rPr>
                <w:rFonts w:ascii="SimSun" w:hAnsi="SimSun" w:eastAsia="SimSun" w:cs="SimSun"/>
                <w:spacing w:val="-1"/>
              </w:rPr>
              <w:t>盐、氯化物、硝酸盐氮</w:t>
            </w:r>
          </w:p>
        </w:tc>
        <w:tc>
          <w:tcPr>
            <w:tcW w:w="873" w:type="dxa"/>
            <w:vAlign w:val="top"/>
            <w:vMerge w:val="continue"/>
            <w:tcBorders>
              <w:top w:val="nil"/>
            </w:tcBorders>
          </w:tcPr>
          <w:p>
            <w:pPr>
              <w:rPr>
                <w:rFonts w:ascii="Arial"/>
                <w:sz w:val="21"/>
              </w:rPr>
            </w:pPr>
            <w:r/>
          </w:p>
        </w:tc>
        <w:tc>
          <w:tcPr>
            <w:tcW w:w="878" w:type="dxa"/>
            <w:vAlign w:val="top"/>
            <w:vMerge w:val="continue"/>
            <w:tcBorders>
              <w:top w:val="nil"/>
            </w:tcBorders>
          </w:tcPr>
          <w:p>
            <w:pPr>
              <w:rPr>
                <w:rFonts w:ascii="Arial"/>
                <w:sz w:val="21"/>
              </w:rPr>
            </w:pPr>
            <w:r/>
          </w:p>
        </w:tc>
        <w:tc>
          <w:tcPr>
            <w:tcW w:w="1964" w:type="dxa"/>
            <w:vAlign w:val="top"/>
          </w:tcPr>
          <w:p>
            <w:pPr>
              <w:spacing w:line="321" w:lineRule="auto"/>
              <w:rPr>
                <w:rFonts w:ascii="Arial"/>
                <w:sz w:val="21"/>
              </w:rPr>
            </w:pPr>
            <w:r/>
          </w:p>
          <w:p>
            <w:pPr>
              <w:spacing w:line="322" w:lineRule="auto"/>
              <w:rPr>
                <w:rFonts w:ascii="Arial"/>
                <w:sz w:val="21"/>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8"/>
              </w:rPr>
              <w:t>《地表水环境质量</w:t>
            </w:r>
          </w:p>
          <w:p>
            <w:pPr>
              <w:ind w:left="674"/>
              <w:spacing w:before="24" w:line="228" w:lineRule="auto"/>
              <w:rPr>
                <w:rFonts w:ascii="SimSun" w:hAnsi="SimSun" w:eastAsia="SimSun" w:cs="SimSun"/>
                <w:sz w:val="20"/>
                <w:szCs w:val="20"/>
              </w:rPr>
            </w:pPr>
            <w:r>
              <w:rPr>
                <w:rFonts w:ascii="SimSun" w:hAnsi="SimSun" w:eastAsia="SimSun" w:cs="SimSun"/>
                <w:sz w:val="20"/>
                <w:szCs w:val="20"/>
                <w:spacing w:val="2"/>
              </w:rPr>
              <w:t>标准》</w:t>
            </w:r>
          </w:p>
          <w:p>
            <w:pPr>
              <w:pStyle w:val="TableText"/>
              <w:ind w:left="274" w:right="105" w:hanging="150"/>
              <w:spacing w:before="23" w:line="254" w:lineRule="auto"/>
              <w:rPr>
                <w:rFonts w:ascii="SimSun" w:hAnsi="SimSun" w:eastAsia="SimSun" w:cs="SimSun"/>
              </w:rPr>
            </w:pPr>
            <w:r>
              <w:rPr>
                <w:rFonts w:ascii="SimSun" w:hAnsi="SimSun" w:eastAsia="SimSun" w:cs="SimSun"/>
                <w:spacing w:val="-2"/>
              </w:rPr>
              <w:t>（</w:t>
            </w:r>
            <w:r>
              <w:rPr>
                <w:spacing w:val="-2"/>
              </w:rPr>
              <w:t>GB3838-2002</w:t>
            </w:r>
            <w:r>
              <w:rPr>
                <w:rFonts w:ascii="SimSun" w:hAnsi="SimSun" w:eastAsia="SimSun" w:cs="SimSun"/>
                <w:spacing w:val="-2"/>
              </w:rPr>
              <w:t>）中</w:t>
            </w:r>
            <w:r>
              <w:rPr>
                <w:rFonts w:ascii="SimSun" w:hAnsi="SimSun" w:eastAsia="SimSun" w:cs="SimSun"/>
                <w:spacing w:val="5"/>
              </w:rPr>
              <w:t>的</w:t>
            </w:r>
            <w:r>
              <w:rPr>
                <w:spacing w:val="5"/>
              </w:rPr>
              <w:t>Ⅲ</w:t>
            </w:r>
            <w:r>
              <w:rPr>
                <w:rFonts w:ascii="SimSun" w:hAnsi="SimSun" w:eastAsia="SimSun" w:cs="SimSun"/>
                <w:spacing w:val="5"/>
              </w:rPr>
              <w:t>类标准要求</w:t>
            </w:r>
          </w:p>
        </w:tc>
        <w:tc>
          <w:tcPr>
            <w:tcW w:w="1605" w:type="dxa"/>
            <w:vAlign w:val="top"/>
            <w:vMerge w:val="continue"/>
            <w:tcBorders>
              <w:top w:val="nil"/>
            </w:tcBorders>
          </w:tcPr>
          <w:p>
            <w:pPr>
              <w:rPr>
                <w:rFonts w:ascii="Arial"/>
                <w:sz w:val="21"/>
              </w:rPr>
            </w:pPr>
            <w:r/>
          </w:p>
        </w:tc>
      </w:tr>
    </w:tbl>
    <w:p>
      <w:pPr>
        <w:ind w:left="114"/>
        <w:spacing w:before="219" w:line="222" w:lineRule="auto"/>
        <w:outlineLvl w:val="1"/>
        <w:rPr>
          <w:rFonts w:ascii="SimHei" w:hAnsi="SimHei" w:eastAsia="SimHei" w:cs="SimHei"/>
          <w:sz w:val="30"/>
          <w:szCs w:val="30"/>
        </w:rPr>
      </w:pPr>
      <w:bookmarkStart w:name="bookmark60" w:id="108"/>
      <w:bookmarkEnd w:id="108"/>
      <w:r>
        <w:rPr>
          <w:rFonts w:ascii="Times New Roman" w:hAnsi="Times New Roman" w:eastAsia="Times New Roman" w:cs="Times New Roman"/>
          <w:sz w:val="30"/>
          <w:szCs w:val="30"/>
          <w:b/>
          <w:bCs/>
          <w:spacing w:val="-3"/>
        </w:rPr>
        <w:t>9.3 </w:t>
      </w:r>
      <w:r>
        <w:rPr>
          <w:rFonts w:ascii="SimHei" w:hAnsi="SimHei" w:eastAsia="SimHei" w:cs="SimHei"/>
          <w:sz w:val="30"/>
          <w:szCs w:val="30"/>
          <w:b/>
          <w:bCs/>
          <w:spacing w:val="-3"/>
        </w:rPr>
        <w:t>污染物排放管理要求</w:t>
      </w:r>
    </w:p>
    <w:p>
      <w:pPr>
        <w:ind w:left="116" w:right="107" w:firstLine="479"/>
        <w:spacing w:before="164" w:line="339" w:lineRule="auto"/>
        <w:rPr>
          <w:rFonts w:ascii="SimSun" w:hAnsi="SimSun" w:eastAsia="SimSun" w:cs="SimSun"/>
          <w:sz w:val="24"/>
          <w:szCs w:val="24"/>
        </w:rPr>
      </w:pPr>
      <w:r>
        <w:rPr>
          <w:rFonts w:ascii="SimSun" w:hAnsi="SimSun" w:eastAsia="SimSun" w:cs="SimSun"/>
          <w:sz w:val="24"/>
          <w:szCs w:val="24"/>
          <w:spacing w:val="-2"/>
        </w:rPr>
        <w:t>本项目为生态类项目，其主要影响为地表剥离对生态的影响。本项目大气污染主要</w:t>
      </w:r>
      <w:r>
        <w:rPr>
          <w:rFonts w:ascii="SimSun" w:hAnsi="SimSun" w:eastAsia="SimSun" w:cs="SimSun"/>
          <w:sz w:val="24"/>
          <w:szCs w:val="24"/>
          <w:spacing w:val="-2"/>
        </w:rPr>
        <w:t>是采掘场、排土场、运输道路扬尘及地面生产系统粉尘；废水主要是生活污水和生产废</w:t>
      </w:r>
      <w:r>
        <w:rPr>
          <w:rFonts w:ascii="SimSun" w:hAnsi="SimSun" w:eastAsia="SimSun" w:cs="SimSun"/>
          <w:sz w:val="24"/>
          <w:szCs w:val="24"/>
          <w:spacing w:val="-2"/>
        </w:rPr>
        <w:t>水，处理后部分回用于矿井生产生活用水，部分送往金山电厂回用，不外排；固体废物</w:t>
      </w:r>
      <w:r>
        <w:rPr>
          <w:rFonts w:ascii="SimSun" w:hAnsi="SimSun" w:eastAsia="SimSun" w:cs="SimSun"/>
          <w:sz w:val="24"/>
          <w:szCs w:val="24"/>
          <w:spacing w:val="-2"/>
        </w:rPr>
        <w:t>主要是岩土剥离物、风选车间矸石、生活垃圾等，危险废物交由有资质单位进行处理；</w:t>
      </w:r>
      <w:r>
        <w:rPr>
          <w:rFonts w:ascii="SimSun" w:hAnsi="SimSun" w:eastAsia="SimSun" w:cs="SimSun"/>
          <w:sz w:val="24"/>
          <w:szCs w:val="24"/>
          <w:spacing w:val="-1"/>
        </w:rPr>
        <w:t>大气、水、固体废物、噪声污染物排放清单见表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1"/>
        </w:rPr>
        <w:t>9-3-1</w:t>
      </w:r>
      <w:r>
        <w:rPr>
          <w:rFonts w:ascii="SimSun" w:hAnsi="SimSun" w:eastAsia="SimSun" w:cs="SimSun"/>
          <w:sz w:val="24"/>
          <w:szCs w:val="24"/>
          <w:spacing w:val="-1"/>
        </w:rPr>
        <w:t>。</w:t>
      </w:r>
    </w:p>
    <w:p>
      <w:pPr>
        <w:spacing w:line="339" w:lineRule="auto"/>
        <w:sectPr>
          <w:footerReference w:type="default" r:id="rId548"/>
          <w:pgSz w:w="11906" w:h="16838"/>
          <w:pgMar w:top="1170" w:right="1309" w:bottom="1080" w:left="1310" w:header="837" w:footer="918" w:gutter="0"/>
        </w:sectPr>
        <w:rPr>
          <w:rFonts w:ascii="SimSun" w:hAnsi="SimSun" w:eastAsia="SimSun" w:cs="SimSun"/>
          <w:sz w:val="24"/>
          <w:szCs w:val="24"/>
        </w:rPr>
      </w:pPr>
    </w:p>
    <w:p>
      <w:pPr>
        <w:pStyle w:val="BodyText"/>
        <w:spacing w:line="282" w:lineRule="auto"/>
        <w:rPr/>
      </w:pPr>
      <w:r/>
    </w:p>
    <w:p>
      <w:pPr>
        <w:ind w:left="6184"/>
        <w:spacing w:before="78" w:line="222" w:lineRule="auto"/>
        <w:rPr>
          <w:rFonts w:ascii="SimHei" w:hAnsi="SimHei" w:eastAsia="SimHei" w:cs="SimHei"/>
          <w:sz w:val="24"/>
          <w:szCs w:val="24"/>
        </w:rPr>
      </w:pPr>
      <w:r>
        <w:rPr>
          <w:rFonts w:ascii="SimHei" w:hAnsi="SimHei" w:eastAsia="SimHei" w:cs="SimHei"/>
          <w:sz w:val="24"/>
          <w:szCs w:val="24"/>
          <w:spacing w:val="-2"/>
        </w:rPr>
        <w:t>项目污染物排放清单</w:t>
      </w:r>
    </w:p>
    <w:p>
      <w:pPr>
        <w:ind w:left="118"/>
        <w:spacing w:before="143" w:line="221" w:lineRule="auto"/>
        <w:rPr>
          <w:rFonts w:ascii="Times New Roman" w:hAnsi="Times New Roman" w:eastAsia="Times New Roman" w:cs="Times New Roman"/>
          <w:sz w:val="24"/>
          <w:szCs w:val="24"/>
        </w:rPr>
      </w:pPr>
      <w:r>
        <w:rPr>
          <w:rFonts w:ascii="SimSun" w:hAnsi="SimSun" w:eastAsia="SimSun" w:cs="SimSun"/>
          <w:sz w:val="24"/>
          <w:szCs w:val="24"/>
          <w:spacing w:val="-4"/>
        </w:rPr>
        <w:t>表</w:t>
      </w:r>
      <w:r>
        <w:rPr>
          <w:rFonts w:ascii="SimSun" w:hAnsi="SimSun" w:eastAsia="SimSun" w:cs="SimSun"/>
          <w:sz w:val="24"/>
          <w:szCs w:val="24"/>
          <w:spacing w:val="-47"/>
        </w:rPr>
        <w:t xml:space="preserve"> </w:t>
      </w:r>
      <w:r>
        <w:rPr>
          <w:rFonts w:ascii="Times New Roman" w:hAnsi="Times New Roman" w:eastAsia="Times New Roman" w:cs="Times New Roman"/>
          <w:sz w:val="24"/>
          <w:szCs w:val="24"/>
          <w:spacing w:val="-4"/>
        </w:rPr>
        <w:t>9-3-1</w:t>
      </w:r>
    </w:p>
    <w:p>
      <w:pPr>
        <w:spacing w:line="82" w:lineRule="auto"/>
        <w:rPr>
          <w:rFonts w:ascii="Arial"/>
          <w:sz w:val="2"/>
        </w:rPr>
      </w:pPr>
      <w:r>
        <w:rPr>
          <w:rFonts w:ascii="Arial"/>
          <w:sz w:val="2"/>
        </w:r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8"/>
        <w:gridCol w:w="1706"/>
        <w:gridCol w:w="1519"/>
        <w:gridCol w:w="3968"/>
        <w:gridCol w:w="1264"/>
        <w:gridCol w:w="1583"/>
        <w:gridCol w:w="1324"/>
        <w:gridCol w:w="2135"/>
      </w:tblGrid>
      <w:tr>
        <w:trPr>
          <w:trHeight w:val="280" w:hRule="atLeast"/>
        </w:trPr>
        <w:tc>
          <w:tcPr>
            <w:tcW w:w="1008" w:type="dxa"/>
            <w:vAlign w:val="top"/>
          </w:tcPr>
          <w:p>
            <w:pPr>
              <w:ind w:left="298"/>
              <w:spacing w:before="33" w:line="218" w:lineRule="auto"/>
              <w:rPr>
                <w:rFonts w:ascii="SimSun" w:hAnsi="SimSun" w:eastAsia="SimSun" w:cs="SimSun"/>
                <w:sz w:val="20"/>
                <w:szCs w:val="20"/>
              </w:rPr>
            </w:pPr>
            <w:r>
              <w:rPr>
                <w:rFonts w:ascii="SimSun" w:hAnsi="SimSun" w:eastAsia="SimSun" w:cs="SimSun"/>
                <w:sz w:val="20"/>
                <w:szCs w:val="20"/>
                <w:spacing w:val="4"/>
              </w:rPr>
              <w:t>类别</w:t>
            </w:r>
          </w:p>
        </w:tc>
        <w:tc>
          <w:tcPr>
            <w:tcW w:w="1706" w:type="dxa"/>
            <w:vAlign w:val="top"/>
          </w:tcPr>
          <w:p>
            <w:pPr>
              <w:ind w:left="540"/>
              <w:spacing w:before="33" w:line="218" w:lineRule="auto"/>
              <w:rPr>
                <w:rFonts w:ascii="SimSun" w:hAnsi="SimSun" w:eastAsia="SimSun" w:cs="SimSun"/>
                <w:sz w:val="20"/>
                <w:szCs w:val="20"/>
              </w:rPr>
            </w:pPr>
            <w:r>
              <w:rPr>
                <w:rFonts w:ascii="SimSun" w:hAnsi="SimSun" w:eastAsia="SimSun" w:cs="SimSun"/>
                <w:sz w:val="20"/>
                <w:szCs w:val="20"/>
                <w:spacing w:val="6"/>
              </w:rPr>
              <w:t>污染源</w:t>
            </w:r>
          </w:p>
        </w:tc>
        <w:tc>
          <w:tcPr>
            <w:tcW w:w="1519" w:type="dxa"/>
            <w:vAlign w:val="top"/>
          </w:tcPr>
          <w:p>
            <w:pPr>
              <w:ind w:left="238"/>
              <w:spacing w:before="33" w:line="218" w:lineRule="auto"/>
              <w:rPr>
                <w:rFonts w:ascii="SimSun" w:hAnsi="SimSun" w:eastAsia="SimSun" w:cs="SimSun"/>
                <w:sz w:val="20"/>
                <w:szCs w:val="20"/>
              </w:rPr>
            </w:pPr>
            <w:r>
              <w:rPr>
                <w:rFonts w:ascii="SimSun" w:hAnsi="SimSun" w:eastAsia="SimSun" w:cs="SimSun"/>
                <w:sz w:val="20"/>
                <w:szCs w:val="20"/>
                <w:spacing w:val="7"/>
              </w:rPr>
              <w:t>主要污染物</w:t>
            </w:r>
          </w:p>
        </w:tc>
        <w:tc>
          <w:tcPr>
            <w:tcW w:w="3968" w:type="dxa"/>
            <w:vAlign w:val="top"/>
          </w:tcPr>
          <w:p>
            <w:pPr>
              <w:ind w:left="1566"/>
              <w:spacing w:before="33" w:line="218" w:lineRule="auto"/>
              <w:rPr>
                <w:rFonts w:ascii="SimSun" w:hAnsi="SimSun" w:eastAsia="SimSun" w:cs="SimSun"/>
                <w:sz w:val="20"/>
                <w:szCs w:val="20"/>
              </w:rPr>
            </w:pPr>
            <w:r>
              <w:rPr>
                <w:rFonts w:ascii="SimSun" w:hAnsi="SimSun" w:eastAsia="SimSun" w:cs="SimSun"/>
                <w:sz w:val="20"/>
                <w:szCs w:val="20"/>
                <w:spacing w:val="7"/>
              </w:rPr>
              <w:t>环保措施</w:t>
            </w:r>
          </w:p>
        </w:tc>
        <w:tc>
          <w:tcPr>
            <w:tcW w:w="1264" w:type="dxa"/>
            <w:vAlign w:val="top"/>
          </w:tcPr>
          <w:p>
            <w:pPr>
              <w:ind w:left="216"/>
              <w:spacing w:before="33" w:line="218" w:lineRule="auto"/>
              <w:rPr>
                <w:rFonts w:ascii="SimSun" w:hAnsi="SimSun" w:eastAsia="SimSun" w:cs="SimSun"/>
                <w:sz w:val="20"/>
                <w:szCs w:val="20"/>
              </w:rPr>
            </w:pPr>
            <w:r>
              <w:rPr>
                <w:rFonts w:ascii="SimSun" w:hAnsi="SimSun" w:eastAsia="SimSun" w:cs="SimSun"/>
                <w:sz w:val="20"/>
                <w:szCs w:val="20"/>
                <w:spacing w:val="7"/>
              </w:rPr>
              <w:t>排放浓度</w:t>
            </w:r>
          </w:p>
        </w:tc>
        <w:tc>
          <w:tcPr>
            <w:tcW w:w="1583" w:type="dxa"/>
            <w:vAlign w:val="top"/>
          </w:tcPr>
          <w:p>
            <w:pPr>
              <w:ind w:left="481"/>
              <w:spacing w:before="33" w:line="218" w:lineRule="auto"/>
              <w:rPr>
                <w:rFonts w:ascii="SimSun" w:hAnsi="SimSun" w:eastAsia="SimSun" w:cs="SimSun"/>
                <w:sz w:val="20"/>
                <w:szCs w:val="20"/>
              </w:rPr>
            </w:pPr>
            <w:r>
              <w:rPr>
                <w:rFonts w:ascii="SimSun" w:hAnsi="SimSun" w:eastAsia="SimSun" w:cs="SimSun"/>
                <w:sz w:val="20"/>
                <w:szCs w:val="20"/>
                <w:spacing w:val="6"/>
              </w:rPr>
              <w:t>排放量</w:t>
            </w:r>
          </w:p>
        </w:tc>
        <w:tc>
          <w:tcPr>
            <w:tcW w:w="1324" w:type="dxa"/>
            <w:vAlign w:val="top"/>
          </w:tcPr>
          <w:p>
            <w:pPr>
              <w:ind w:left="247"/>
              <w:spacing w:before="33" w:line="218" w:lineRule="auto"/>
              <w:rPr>
                <w:rFonts w:ascii="SimSun" w:hAnsi="SimSun" w:eastAsia="SimSun" w:cs="SimSun"/>
                <w:sz w:val="20"/>
                <w:szCs w:val="20"/>
              </w:rPr>
            </w:pPr>
            <w:r>
              <w:rPr>
                <w:rFonts w:ascii="SimSun" w:hAnsi="SimSun" w:eastAsia="SimSun" w:cs="SimSun"/>
                <w:sz w:val="20"/>
                <w:szCs w:val="20"/>
                <w:spacing w:val="7"/>
              </w:rPr>
              <w:t>排放方式</w:t>
            </w:r>
          </w:p>
        </w:tc>
        <w:tc>
          <w:tcPr>
            <w:tcW w:w="2135" w:type="dxa"/>
            <w:vAlign w:val="top"/>
          </w:tcPr>
          <w:p>
            <w:pPr>
              <w:ind w:left="651"/>
              <w:spacing w:before="33" w:line="218" w:lineRule="auto"/>
              <w:rPr>
                <w:rFonts w:ascii="SimSun" w:hAnsi="SimSun" w:eastAsia="SimSun" w:cs="SimSun"/>
                <w:sz w:val="20"/>
                <w:szCs w:val="20"/>
              </w:rPr>
            </w:pPr>
            <w:r>
              <w:rPr>
                <w:rFonts w:ascii="SimSun" w:hAnsi="SimSun" w:eastAsia="SimSun" w:cs="SimSun"/>
                <w:sz w:val="20"/>
                <w:szCs w:val="20"/>
                <w:spacing w:val="7"/>
              </w:rPr>
              <w:t>执行标准</w:t>
            </w:r>
          </w:p>
        </w:tc>
      </w:tr>
      <w:tr>
        <w:trPr>
          <w:trHeight w:val="278" w:hRule="atLeast"/>
        </w:trPr>
        <w:tc>
          <w:tcPr>
            <w:tcW w:w="1008" w:type="dxa"/>
            <w:vAlign w:val="top"/>
            <w:vMerge w:val="restart"/>
            <w:tcBorders>
              <w:bottom w:val="nil"/>
            </w:tcBorders>
          </w:tcPr>
          <w:p>
            <w:pPr>
              <w:spacing w:line="261" w:lineRule="auto"/>
              <w:rPr>
                <w:rFonts w:ascii="Arial"/>
                <w:sz w:val="21"/>
              </w:rPr>
            </w:pPr>
            <w:r/>
          </w:p>
          <w:p>
            <w:pPr>
              <w:spacing w:line="262" w:lineRule="auto"/>
              <w:rPr>
                <w:rFonts w:ascii="Arial"/>
                <w:sz w:val="21"/>
              </w:rPr>
            </w:pPr>
            <w:r/>
          </w:p>
          <w:p>
            <w:pPr>
              <w:ind w:left="300"/>
              <w:spacing w:before="65" w:line="228" w:lineRule="auto"/>
              <w:rPr>
                <w:rFonts w:ascii="SimSun" w:hAnsi="SimSun" w:eastAsia="SimSun" w:cs="SimSun"/>
                <w:sz w:val="20"/>
                <w:szCs w:val="20"/>
              </w:rPr>
            </w:pPr>
            <w:r>
              <w:rPr>
                <w:rFonts w:ascii="SimSun" w:hAnsi="SimSun" w:eastAsia="SimSun" w:cs="SimSun"/>
                <w:sz w:val="20"/>
                <w:szCs w:val="20"/>
                <w:spacing w:val="3"/>
              </w:rPr>
              <w:t>大气</w:t>
            </w:r>
          </w:p>
        </w:tc>
        <w:tc>
          <w:tcPr>
            <w:tcW w:w="1706" w:type="dxa"/>
            <w:vAlign w:val="top"/>
          </w:tcPr>
          <w:p>
            <w:pPr>
              <w:ind w:left="223"/>
              <w:spacing w:before="31" w:line="218" w:lineRule="auto"/>
              <w:rPr>
                <w:rFonts w:ascii="SimSun" w:hAnsi="SimSun" w:eastAsia="SimSun" w:cs="SimSun"/>
                <w:sz w:val="20"/>
                <w:szCs w:val="20"/>
              </w:rPr>
            </w:pPr>
            <w:r>
              <w:rPr>
                <w:rFonts w:ascii="SimSun" w:hAnsi="SimSun" w:eastAsia="SimSun" w:cs="SimSun"/>
                <w:sz w:val="20"/>
                <w:szCs w:val="20"/>
                <w:spacing w:val="8"/>
              </w:rPr>
              <w:t>地面生产系统</w:t>
            </w:r>
          </w:p>
        </w:tc>
        <w:tc>
          <w:tcPr>
            <w:tcW w:w="1519" w:type="dxa"/>
            <w:vAlign w:val="top"/>
            <w:vMerge w:val="restart"/>
            <w:tcBorders>
              <w:bottom w:val="nil"/>
            </w:tcBorders>
          </w:tcPr>
          <w:p>
            <w:pPr>
              <w:spacing w:line="283" w:lineRule="auto"/>
              <w:rPr>
                <w:rFonts w:ascii="Arial"/>
                <w:sz w:val="21"/>
              </w:rPr>
            </w:pPr>
            <w:r/>
          </w:p>
          <w:p>
            <w:pPr>
              <w:spacing w:line="283" w:lineRule="auto"/>
              <w:rPr>
                <w:rFonts w:ascii="Arial"/>
                <w:sz w:val="21"/>
              </w:rPr>
            </w:pPr>
            <w:r/>
          </w:p>
          <w:p>
            <w:pPr>
              <w:pStyle w:val="TableText"/>
              <w:ind w:left="577"/>
              <w:spacing w:before="57" w:line="195" w:lineRule="auto"/>
              <w:rPr/>
            </w:pPr>
            <w:r>
              <w:rPr>
                <w:spacing w:val="3"/>
              </w:rPr>
              <w:t>TSP</w:t>
            </w:r>
          </w:p>
        </w:tc>
        <w:tc>
          <w:tcPr>
            <w:tcW w:w="3968" w:type="dxa"/>
            <w:vAlign w:val="top"/>
          </w:tcPr>
          <w:p>
            <w:pPr>
              <w:ind w:left="937"/>
              <w:spacing w:before="31" w:line="218" w:lineRule="auto"/>
              <w:rPr>
                <w:rFonts w:ascii="SimSun" w:hAnsi="SimSun" w:eastAsia="SimSun" w:cs="SimSun"/>
                <w:sz w:val="20"/>
                <w:szCs w:val="20"/>
              </w:rPr>
            </w:pPr>
            <w:r>
              <w:rPr>
                <w:rFonts w:ascii="SimSun" w:hAnsi="SimSun" w:eastAsia="SimSun" w:cs="SimSun"/>
                <w:sz w:val="20"/>
                <w:szCs w:val="20"/>
                <w:spacing w:val="8"/>
              </w:rPr>
              <w:t>布袋除尘器、洒水降尘</w:t>
            </w:r>
          </w:p>
        </w:tc>
        <w:tc>
          <w:tcPr>
            <w:tcW w:w="1264" w:type="dxa"/>
            <w:vAlign w:val="top"/>
          </w:tcPr>
          <w:p>
            <w:pPr>
              <w:pStyle w:val="TableText"/>
              <w:ind w:left="599"/>
              <w:spacing w:before="64" w:line="199" w:lineRule="auto"/>
              <w:rPr/>
            </w:pPr>
            <w:r>
              <w:rPr>
                <w:spacing w:val="2"/>
              </w:rPr>
              <w:t>/</w:t>
            </w:r>
          </w:p>
        </w:tc>
        <w:tc>
          <w:tcPr>
            <w:tcW w:w="1583" w:type="dxa"/>
            <w:vAlign w:val="top"/>
          </w:tcPr>
          <w:p>
            <w:pPr>
              <w:ind w:left="587"/>
              <w:spacing w:before="31" w:line="218" w:lineRule="auto"/>
              <w:rPr>
                <w:rFonts w:ascii="SimSun" w:hAnsi="SimSun" w:eastAsia="SimSun" w:cs="SimSun"/>
                <w:sz w:val="20"/>
                <w:szCs w:val="20"/>
              </w:rPr>
            </w:pPr>
            <w:r>
              <w:rPr>
                <w:rFonts w:ascii="SimSun" w:hAnsi="SimSun" w:eastAsia="SimSun" w:cs="SimSun"/>
                <w:sz w:val="20"/>
                <w:szCs w:val="20"/>
                <w:spacing w:val="4"/>
              </w:rPr>
              <w:t>少量</w:t>
            </w:r>
          </w:p>
        </w:tc>
        <w:tc>
          <w:tcPr>
            <w:tcW w:w="1324" w:type="dxa"/>
            <w:vAlign w:val="top"/>
          </w:tcPr>
          <w:p>
            <w:pPr>
              <w:ind w:left="353"/>
              <w:spacing w:before="31" w:line="218" w:lineRule="auto"/>
              <w:rPr>
                <w:rFonts w:ascii="SimSun" w:hAnsi="SimSun" w:eastAsia="SimSun" w:cs="SimSun"/>
                <w:sz w:val="20"/>
                <w:szCs w:val="20"/>
              </w:rPr>
            </w:pPr>
            <w:r>
              <w:rPr>
                <w:rFonts w:ascii="SimSun" w:hAnsi="SimSun" w:eastAsia="SimSun" w:cs="SimSun"/>
                <w:sz w:val="20"/>
                <w:szCs w:val="20"/>
                <w:spacing w:val="6"/>
              </w:rPr>
              <w:t>有组织</w:t>
            </w:r>
          </w:p>
        </w:tc>
        <w:tc>
          <w:tcPr>
            <w:tcW w:w="2135" w:type="dxa"/>
            <w:vAlign w:val="top"/>
            <w:vMerge w:val="restart"/>
            <w:tcBorders>
              <w:bottom w:val="nil"/>
            </w:tcBorders>
          </w:tcPr>
          <w:p>
            <w:pPr>
              <w:ind w:left="130"/>
              <w:spacing w:before="181" w:line="228" w:lineRule="auto"/>
              <w:rPr>
                <w:rFonts w:ascii="SimSun" w:hAnsi="SimSun" w:eastAsia="SimSun" w:cs="SimSun"/>
                <w:sz w:val="20"/>
                <w:szCs w:val="20"/>
              </w:rPr>
            </w:pPr>
            <w:r>
              <w:rPr>
                <w:rFonts w:ascii="SimSun" w:hAnsi="SimSun" w:eastAsia="SimSun" w:cs="SimSun"/>
                <w:sz w:val="20"/>
                <w:szCs w:val="20"/>
                <w:spacing w:val="8"/>
              </w:rPr>
              <w:t>《煤炭工业污染物排</w:t>
            </w:r>
          </w:p>
          <w:p>
            <w:pPr>
              <w:ind w:left="651"/>
              <w:spacing w:before="24" w:line="228" w:lineRule="auto"/>
              <w:rPr>
                <w:rFonts w:ascii="SimSun" w:hAnsi="SimSun" w:eastAsia="SimSun" w:cs="SimSun"/>
                <w:sz w:val="20"/>
                <w:szCs w:val="20"/>
              </w:rPr>
            </w:pPr>
            <w:r>
              <w:rPr>
                <w:rFonts w:ascii="SimSun" w:hAnsi="SimSun" w:eastAsia="SimSun" w:cs="SimSun"/>
                <w:sz w:val="20"/>
                <w:szCs w:val="20"/>
                <w:spacing w:val="5"/>
              </w:rPr>
              <w:t>放标准》</w:t>
            </w:r>
          </w:p>
          <w:p>
            <w:pPr>
              <w:pStyle w:val="TableText"/>
              <w:ind w:left="183"/>
              <w:spacing w:before="26" w:line="221" w:lineRule="auto"/>
              <w:rPr>
                <w:rFonts w:ascii="SimSun" w:hAnsi="SimSun" w:eastAsia="SimSun" w:cs="SimSun"/>
              </w:rPr>
            </w:pPr>
            <w:r>
              <w:rPr>
                <w:rFonts w:ascii="SimSun" w:hAnsi="SimSun" w:eastAsia="SimSun" w:cs="SimSun"/>
                <w:spacing w:val="4"/>
              </w:rPr>
              <w:t>（</w:t>
            </w:r>
            <w:r>
              <w:rPr/>
              <w:t>GB</w:t>
            </w:r>
            <w:r>
              <w:rPr>
                <w:spacing w:val="4"/>
              </w:rPr>
              <w:t>20426-2006)</w:t>
            </w:r>
            <w:r>
              <w:rPr>
                <w:rFonts w:ascii="SimSun" w:hAnsi="SimSun" w:eastAsia="SimSun" w:cs="SimSun"/>
                <w:spacing w:val="4"/>
              </w:rPr>
              <w:t>表</w:t>
            </w:r>
          </w:p>
          <w:p>
            <w:pPr>
              <w:pStyle w:val="TableText"/>
              <w:ind w:left="153"/>
              <w:spacing w:before="33" w:line="228" w:lineRule="auto"/>
              <w:rPr>
                <w:rFonts w:ascii="SimSun" w:hAnsi="SimSun" w:eastAsia="SimSun" w:cs="SimSun"/>
              </w:rPr>
            </w:pPr>
            <w:r>
              <w:rPr>
                <w:spacing w:val="4"/>
              </w:rPr>
              <w:t>5</w:t>
            </w:r>
            <w:r>
              <w:rPr>
                <w:spacing w:val="39"/>
              </w:rPr>
              <w:t xml:space="preserve"> </w:t>
            </w:r>
            <w:r>
              <w:rPr>
                <w:rFonts w:ascii="SimSun" w:hAnsi="SimSun" w:eastAsia="SimSun" w:cs="SimSun"/>
                <w:spacing w:val="4"/>
              </w:rPr>
              <w:t>中无组织排放限值</w:t>
            </w:r>
          </w:p>
        </w:tc>
      </w:tr>
      <w:tr>
        <w:trPr>
          <w:trHeight w:val="549" w:hRule="atLeast"/>
        </w:trPr>
        <w:tc>
          <w:tcPr>
            <w:tcW w:w="1008" w:type="dxa"/>
            <w:vAlign w:val="top"/>
            <w:vMerge w:val="continue"/>
            <w:tcBorders>
              <w:top w:val="nil"/>
              <w:bottom w:val="nil"/>
            </w:tcBorders>
          </w:tcPr>
          <w:p>
            <w:pPr>
              <w:rPr>
                <w:rFonts w:ascii="Arial"/>
                <w:sz w:val="21"/>
              </w:rPr>
            </w:pPr>
            <w:r/>
          </w:p>
        </w:tc>
        <w:tc>
          <w:tcPr>
            <w:tcW w:w="1706" w:type="dxa"/>
            <w:vAlign w:val="top"/>
          </w:tcPr>
          <w:p>
            <w:pPr>
              <w:ind w:left="432" w:right="121" w:hanging="315"/>
              <w:spacing w:before="29" w:line="235" w:lineRule="auto"/>
              <w:rPr>
                <w:rFonts w:ascii="SimSun" w:hAnsi="SimSun" w:eastAsia="SimSun" w:cs="SimSun"/>
                <w:sz w:val="20"/>
                <w:szCs w:val="20"/>
              </w:rPr>
            </w:pPr>
            <w:r>
              <w:rPr>
                <w:rFonts w:ascii="SimSun" w:hAnsi="SimSun" w:eastAsia="SimSun" w:cs="SimSun"/>
                <w:sz w:val="20"/>
                <w:szCs w:val="20"/>
                <w:spacing w:val="8"/>
              </w:rPr>
              <w:t>采掘场装卸剥离</w:t>
            </w:r>
            <w:r>
              <w:rPr>
                <w:rFonts w:ascii="SimSun" w:hAnsi="SimSun" w:eastAsia="SimSun" w:cs="SimSun"/>
                <w:sz w:val="20"/>
                <w:szCs w:val="20"/>
                <w:spacing w:val="7"/>
              </w:rPr>
              <w:t>物及煤炭</w:t>
            </w:r>
          </w:p>
        </w:tc>
        <w:tc>
          <w:tcPr>
            <w:tcW w:w="1519" w:type="dxa"/>
            <w:vAlign w:val="top"/>
            <w:vMerge w:val="continue"/>
            <w:tcBorders>
              <w:top w:val="nil"/>
              <w:bottom w:val="nil"/>
            </w:tcBorders>
          </w:tcPr>
          <w:p>
            <w:pPr>
              <w:rPr>
                <w:rFonts w:ascii="Arial"/>
                <w:sz w:val="21"/>
              </w:rPr>
            </w:pPr>
            <w:r/>
          </w:p>
        </w:tc>
        <w:tc>
          <w:tcPr>
            <w:tcW w:w="3968" w:type="dxa"/>
            <w:vAlign w:val="top"/>
          </w:tcPr>
          <w:p>
            <w:pPr>
              <w:ind w:left="831"/>
              <w:spacing w:before="166" w:line="228" w:lineRule="auto"/>
              <w:rPr>
                <w:rFonts w:ascii="SimSun" w:hAnsi="SimSun" w:eastAsia="SimSun" w:cs="SimSun"/>
                <w:sz w:val="20"/>
                <w:szCs w:val="20"/>
              </w:rPr>
            </w:pPr>
            <w:r>
              <w:rPr>
                <w:rFonts w:ascii="SimSun" w:hAnsi="SimSun" w:eastAsia="SimSun" w:cs="SimSun"/>
                <w:sz w:val="20"/>
                <w:szCs w:val="20"/>
                <w:spacing w:val="9"/>
              </w:rPr>
              <w:t>减小装卸高度、喷雾洒水</w:t>
            </w:r>
          </w:p>
        </w:tc>
        <w:tc>
          <w:tcPr>
            <w:tcW w:w="1264" w:type="dxa"/>
            <w:vAlign w:val="top"/>
          </w:tcPr>
          <w:p>
            <w:pPr>
              <w:pStyle w:val="TableText"/>
              <w:ind w:left="599"/>
              <w:spacing w:before="198" w:line="199" w:lineRule="auto"/>
              <w:rPr/>
            </w:pPr>
            <w:r>
              <w:rPr>
                <w:spacing w:val="2"/>
              </w:rPr>
              <w:t>/</w:t>
            </w:r>
          </w:p>
        </w:tc>
        <w:tc>
          <w:tcPr>
            <w:tcW w:w="1583" w:type="dxa"/>
            <w:vAlign w:val="top"/>
          </w:tcPr>
          <w:p>
            <w:pPr>
              <w:pStyle w:val="TableText"/>
              <w:ind w:left="508"/>
              <w:spacing w:before="198" w:line="199" w:lineRule="auto"/>
              <w:rPr/>
            </w:pPr>
            <w:r>
              <w:rPr>
                <w:spacing w:val="2"/>
              </w:rPr>
              <w:t>3.31t/a</w:t>
            </w:r>
          </w:p>
        </w:tc>
        <w:tc>
          <w:tcPr>
            <w:tcW w:w="1324" w:type="dxa"/>
            <w:vAlign w:val="top"/>
          </w:tcPr>
          <w:p>
            <w:pPr>
              <w:ind w:left="354"/>
              <w:spacing w:before="167" w:line="228" w:lineRule="auto"/>
              <w:rPr>
                <w:rFonts w:ascii="SimSun" w:hAnsi="SimSun" w:eastAsia="SimSun" w:cs="SimSun"/>
                <w:sz w:val="20"/>
                <w:szCs w:val="20"/>
              </w:rPr>
            </w:pPr>
            <w:r>
              <w:rPr>
                <w:rFonts w:ascii="SimSun" w:hAnsi="SimSun" w:eastAsia="SimSun" w:cs="SimSun"/>
                <w:sz w:val="20"/>
                <w:szCs w:val="20"/>
                <w:spacing w:val="6"/>
              </w:rPr>
              <w:t>无组织</w:t>
            </w:r>
          </w:p>
        </w:tc>
        <w:tc>
          <w:tcPr>
            <w:tcW w:w="2135" w:type="dxa"/>
            <w:vAlign w:val="top"/>
            <w:vMerge w:val="continue"/>
            <w:tcBorders>
              <w:top w:val="nil"/>
              <w:bottom w:val="nil"/>
            </w:tcBorders>
          </w:tcPr>
          <w:p>
            <w:pPr>
              <w:rPr>
                <w:rFonts w:ascii="Arial"/>
                <w:sz w:val="21"/>
              </w:rPr>
            </w:pPr>
            <w:r/>
          </w:p>
        </w:tc>
      </w:tr>
      <w:tr>
        <w:trPr>
          <w:trHeight w:val="278" w:hRule="atLeast"/>
        </w:trPr>
        <w:tc>
          <w:tcPr>
            <w:tcW w:w="1008" w:type="dxa"/>
            <w:vAlign w:val="top"/>
            <w:vMerge w:val="continue"/>
            <w:tcBorders>
              <w:top w:val="nil"/>
              <w:bottom w:val="nil"/>
            </w:tcBorders>
          </w:tcPr>
          <w:p>
            <w:pPr>
              <w:rPr>
                <w:rFonts w:ascii="Arial"/>
                <w:sz w:val="21"/>
              </w:rPr>
            </w:pPr>
            <w:r/>
          </w:p>
        </w:tc>
        <w:tc>
          <w:tcPr>
            <w:tcW w:w="1706" w:type="dxa"/>
            <w:vAlign w:val="top"/>
          </w:tcPr>
          <w:p>
            <w:pPr>
              <w:ind w:left="538"/>
              <w:spacing w:before="32" w:line="217" w:lineRule="auto"/>
              <w:rPr>
                <w:rFonts w:ascii="SimSun" w:hAnsi="SimSun" w:eastAsia="SimSun" w:cs="SimSun"/>
                <w:sz w:val="20"/>
                <w:szCs w:val="20"/>
              </w:rPr>
            </w:pPr>
            <w:r>
              <w:rPr>
                <w:rFonts w:ascii="SimSun" w:hAnsi="SimSun" w:eastAsia="SimSun" w:cs="SimSun"/>
                <w:sz w:val="20"/>
                <w:szCs w:val="20"/>
                <w:spacing w:val="6"/>
              </w:rPr>
              <w:t>排土场</w:t>
            </w:r>
          </w:p>
        </w:tc>
        <w:tc>
          <w:tcPr>
            <w:tcW w:w="1519" w:type="dxa"/>
            <w:vAlign w:val="top"/>
            <w:vMerge w:val="continue"/>
            <w:tcBorders>
              <w:top w:val="nil"/>
              <w:bottom w:val="nil"/>
            </w:tcBorders>
          </w:tcPr>
          <w:p>
            <w:pPr>
              <w:rPr>
                <w:rFonts w:ascii="Arial"/>
                <w:sz w:val="21"/>
              </w:rPr>
            </w:pPr>
            <w:r/>
          </w:p>
        </w:tc>
        <w:tc>
          <w:tcPr>
            <w:tcW w:w="3968" w:type="dxa"/>
            <w:vAlign w:val="top"/>
          </w:tcPr>
          <w:p>
            <w:pPr>
              <w:ind w:left="1568"/>
              <w:spacing w:before="32" w:line="217" w:lineRule="auto"/>
              <w:rPr>
                <w:rFonts w:ascii="SimSun" w:hAnsi="SimSun" w:eastAsia="SimSun" w:cs="SimSun"/>
                <w:sz w:val="20"/>
                <w:szCs w:val="20"/>
              </w:rPr>
            </w:pPr>
            <w:r>
              <w:rPr>
                <w:rFonts w:ascii="SimSun" w:hAnsi="SimSun" w:eastAsia="SimSun" w:cs="SimSun"/>
                <w:sz w:val="20"/>
                <w:szCs w:val="20"/>
                <w:spacing w:val="6"/>
              </w:rPr>
              <w:t>洒水抑尘</w:t>
            </w:r>
          </w:p>
        </w:tc>
        <w:tc>
          <w:tcPr>
            <w:tcW w:w="1264" w:type="dxa"/>
            <w:vAlign w:val="top"/>
          </w:tcPr>
          <w:p>
            <w:pPr>
              <w:pStyle w:val="TableText"/>
              <w:ind w:left="599"/>
              <w:spacing w:before="64" w:line="199" w:lineRule="auto"/>
              <w:rPr/>
            </w:pPr>
            <w:r>
              <w:rPr>
                <w:spacing w:val="2"/>
              </w:rPr>
              <w:t>/</w:t>
            </w:r>
          </w:p>
        </w:tc>
        <w:tc>
          <w:tcPr>
            <w:tcW w:w="1583" w:type="dxa"/>
            <w:vAlign w:val="top"/>
          </w:tcPr>
          <w:p>
            <w:pPr>
              <w:pStyle w:val="TableText"/>
              <w:ind w:left="508"/>
              <w:spacing w:before="64" w:line="199" w:lineRule="auto"/>
              <w:rPr/>
            </w:pPr>
            <w:r>
              <w:rPr>
                <w:spacing w:val="2"/>
              </w:rPr>
              <w:t>3.02t/a</w:t>
            </w:r>
          </w:p>
        </w:tc>
        <w:tc>
          <w:tcPr>
            <w:tcW w:w="1324" w:type="dxa"/>
            <w:vAlign w:val="top"/>
          </w:tcPr>
          <w:p>
            <w:pPr>
              <w:ind w:left="354"/>
              <w:spacing w:before="32" w:line="217" w:lineRule="auto"/>
              <w:rPr>
                <w:rFonts w:ascii="SimSun" w:hAnsi="SimSun" w:eastAsia="SimSun" w:cs="SimSun"/>
                <w:sz w:val="20"/>
                <w:szCs w:val="20"/>
              </w:rPr>
            </w:pPr>
            <w:r>
              <w:rPr>
                <w:rFonts w:ascii="SimSun" w:hAnsi="SimSun" w:eastAsia="SimSun" w:cs="SimSun"/>
                <w:sz w:val="20"/>
                <w:szCs w:val="20"/>
                <w:spacing w:val="6"/>
              </w:rPr>
              <w:t>无组织</w:t>
            </w:r>
          </w:p>
        </w:tc>
        <w:tc>
          <w:tcPr>
            <w:tcW w:w="2135" w:type="dxa"/>
            <w:vAlign w:val="top"/>
            <w:vMerge w:val="continue"/>
            <w:tcBorders>
              <w:top w:val="nil"/>
              <w:bottom w:val="nil"/>
            </w:tcBorders>
          </w:tcPr>
          <w:p>
            <w:pPr>
              <w:rPr>
                <w:rFonts w:ascii="Arial"/>
                <w:sz w:val="21"/>
              </w:rPr>
            </w:pPr>
            <w:r/>
          </w:p>
        </w:tc>
      </w:tr>
      <w:tr>
        <w:trPr>
          <w:trHeight w:val="278" w:hRule="atLeast"/>
        </w:trPr>
        <w:tc>
          <w:tcPr>
            <w:tcW w:w="1008" w:type="dxa"/>
            <w:vAlign w:val="top"/>
            <w:vMerge w:val="continue"/>
            <w:tcBorders>
              <w:top w:val="nil"/>
            </w:tcBorders>
          </w:tcPr>
          <w:p>
            <w:pPr>
              <w:rPr>
                <w:rFonts w:ascii="Arial"/>
                <w:sz w:val="21"/>
              </w:rPr>
            </w:pPr>
            <w:r/>
          </w:p>
        </w:tc>
        <w:tc>
          <w:tcPr>
            <w:tcW w:w="1706" w:type="dxa"/>
            <w:vAlign w:val="top"/>
          </w:tcPr>
          <w:p>
            <w:pPr>
              <w:ind w:left="332"/>
              <w:spacing w:before="28" w:line="221" w:lineRule="auto"/>
              <w:rPr>
                <w:rFonts w:ascii="SimSun" w:hAnsi="SimSun" w:eastAsia="SimSun" w:cs="SimSun"/>
                <w:sz w:val="20"/>
                <w:szCs w:val="20"/>
              </w:rPr>
            </w:pPr>
            <w:r>
              <w:rPr>
                <w:rFonts w:ascii="SimSun" w:hAnsi="SimSun" w:eastAsia="SimSun" w:cs="SimSun"/>
                <w:sz w:val="20"/>
                <w:szCs w:val="20"/>
                <w:spacing w:val="7"/>
              </w:rPr>
              <w:t>剥离物运输</w:t>
            </w:r>
          </w:p>
        </w:tc>
        <w:tc>
          <w:tcPr>
            <w:tcW w:w="1519" w:type="dxa"/>
            <w:vAlign w:val="top"/>
            <w:vMerge w:val="continue"/>
            <w:tcBorders>
              <w:top w:val="nil"/>
            </w:tcBorders>
          </w:tcPr>
          <w:p>
            <w:pPr>
              <w:rPr>
                <w:rFonts w:ascii="Arial"/>
                <w:sz w:val="21"/>
              </w:rPr>
            </w:pPr>
            <w:r/>
          </w:p>
        </w:tc>
        <w:tc>
          <w:tcPr>
            <w:tcW w:w="3968" w:type="dxa"/>
            <w:vAlign w:val="top"/>
          </w:tcPr>
          <w:p>
            <w:pPr>
              <w:ind w:left="1568"/>
              <w:spacing w:before="28" w:line="221" w:lineRule="auto"/>
              <w:rPr>
                <w:rFonts w:ascii="SimSun" w:hAnsi="SimSun" w:eastAsia="SimSun" w:cs="SimSun"/>
                <w:sz w:val="20"/>
                <w:szCs w:val="20"/>
              </w:rPr>
            </w:pPr>
            <w:r>
              <w:rPr>
                <w:rFonts w:ascii="SimSun" w:hAnsi="SimSun" w:eastAsia="SimSun" w:cs="SimSun"/>
                <w:sz w:val="20"/>
                <w:szCs w:val="20"/>
                <w:spacing w:val="6"/>
              </w:rPr>
              <w:t>洒水抑尘</w:t>
            </w:r>
          </w:p>
        </w:tc>
        <w:tc>
          <w:tcPr>
            <w:tcW w:w="1264" w:type="dxa"/>
            <w:vAlign w:val="top"/>
          </w:tcPr>
          <w:p>
            <w:pPr>
              <w:pStyle w:val="TableText"/>
              <w:ind w:left="599"/>
              <w:spacing w:before="60" w:line="199" w:lineRule="auto"/>
              <w:rPr/>
            </w:pPr>
            <w:r>
              <w:rPr>
                <w:spacing w:val="2"/>
              </w:rPr>
              <w:t>/</w:t>
            </w:r>
          </w:p>
        </w:tc>
        <w:tc>
          <w:tcPr>
            <w:tcW w:w="1583" w:type="dxa"/>
            <w:vAlign w:val="top"/>
          </w:tcPr>
          <w:p>
            <w:pPr>
              <w:pStyle w:val="TableText"/>
              <w:ind w:left="550"/>
              <w:spacing w:before="60" w:line="199" w:lineRule="auto"/>
              <w:rPr/>
            </w:pPr>
            <w:r>
              <w:rPr/>
              <w:t>127t/a</w:t>
            </w:r>
          </w:p>
        </w:tc>
        <w:tc>
          <w:tcPr>
            <w:tcW w:w="1324" w:type="dxa"/>
            <w:vAlign w:val="top"/>
          </w:tcPr>
          <w:p>
            <w:pPr>
              <w:ind w:left="354"/>
              <w:spacing w:before="28" w:line="221" w:lineRule="auto"/>
              <w:rPr>
                <w:rFonts w:ascii="SimSun" w:hAnsi="SimSun" w:eastAsia="SimSun" w:cs="SimSun"/>
                <w:sz w:val="20"/>
                <w:szCs w:val="20"/>
              </w:rPr>
            </w:pPr>
            <w:r>
              <w:rPr>
                <w:rFonts w:ascii="SimSun" w:hAnsi="SimSun" w:eastAsia="SimSun" w:cs="SimSun"/>
                <w:sz w:val="20"/>
                <w:szCs w:val="20"/>
                <w:spacing w:val="6"/>
              </w:rPr>
              <w:t>无组织</w:t>
            </w:r>
          </w:p>
        </w:tc>
        <w:tc>
          <w:tcPr>
            <w:tcW w:w="2135" w:type="dxa"/>
            <w:vAlign w:val="top"/>
            <w:vMerge w:val="continue"/>
            <w:tcBorders>
              <w:top w:val="nil"/>
            </w:tcBorders>
          </w:tcPr>
          <w:p>
            <w:pPr>
              <w:rPr>
                <w:rFonts w:ascii="Arial"/>
                <w:sz w:val="21"/>
              </w:rPr>
            </w:pPr>
            <w:r/>
          </w:p>
        </w:tc>
      </w:tr>
      <w:tr>
        <w:trPr>
          <w:trHeight w:val="1909" w:hRule="atLeast"/>
        </w:trPr>
        <w:tc>
          <w:tcPr>
            <w:tcW w:w="1008" w:type="dxa"/>
            <w:vAlign w:val="top"/>
            <w:vMerge w:val="restart"/>
            <w:tcBorders>
              <w:bottom w:val="nil"/>
            </w:tcBorders>
          </w:tcPr>
          <w:p>
            <w:pPr>
              <w:spacing w:line="297" w:lineRule="auto"/>
              <w:rPr>
                <w:rFonts w:ascii="Arial"/>
                <w:sz w:val="21"/>
              </w:rPr>
            </w:pPr>
            <w:r/>
          </w:p>
          <w:p>
            <w:pPr>
              <w:spacing w:line="297" w:lineRule="auto"/>
              <w:rPr>
                <w:rFonts w:ascii="Arial"/>
                <w:sz w:val="21"/>
              </w:rPr>
            </w:pPr>
            <w:r/>
          </w:p>
          <w:p>
            <w:pPr>
              <w:spacing w:line="297" w:lineRule="auto"/>
              <w:rPr>
                <w:rFonts w:ascii="Arial"/>
                <w:sz w:val="21"/>
              </w:rPr>
            </w:pPr>
            <w:r/>
          </w:p>
          <w:p>
            <w:pPr>
              <w:spacing w:line="298" w:lineRule="auto"/>
              <w:rPr>
                <w:rFonts w:ascii="Arial"/>
                <w:sz w:val="21"/>
              </w:rPr>
            </w:pPr>
            <w:r/>
          </w:p>
          <w:p>
            <w:pPr>
              <w:ind w:left="297"/>
              <w:spacing w:before="65" w:line="228" w:lineRule="auto"/>
              <w:rPr>
                <w:rFonts w:ascii="SimSun" w:hAnsi="SimSun" w:eastAsia="SimSun" w:cs="SimSun"/>
                <w:sz w:val="20"/>
                <w:szCs w:val="20"/>
              </w:rPr>
            </w:pPr>
            <w:r>
              <w:rPr>
                <w:rFonts w:ascii="SimSun" w:hAnsi="SimSun" w:eastAsia="SimSun" w:cs="SimSun"/>
                <w:sz w:val="20"/>
                <w:szCs w:val="20"/>
                <w:spacing w:val="5"/>
              </w:rPr>
              <w:t>废水</w:t>
            </w:r>
          </w:p>
        </w:tc>
        <w:tc>
          <w:tcPr>
            <w:tcW w:w="1706"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223"/>
              <w:spacing w:before="65" w:line="228" w:lineRule="auto"/>
              <w:rPr>
                <w:rFonts w:ascii="SimSun" w:hAnsi="SimSun" w:eastAsia="SimSun" w:cs="SimSun"/>
                <w:sz w:val="20"/>
                <w:szCs w:val="20"/>
              </w:rPr>
            </w:pPr>
            <w:r>
              <w:rPr>
                <w:rFonts w:ascii="SimSun" w:hAnsi="SimSun" w:eastAsia="SimSun" w:cs="SimSun"/>
                <w:sz w:val="20"/>
                <w:szCs w:val="20"/>
                <w:spacing w:val="8"/>
              </w:rPr>
              <w:t>矿井（坑）水</w:t>
            </w:r>
          </w:p>
        </w:tc>
        <w:tc>
          <w:tcPr>
            <w:tcW w:w="1519" w:type="dxa"/>
            <w:vAlign w:val="top"/>
          </w:tcPr>
          <w:p>
            <w:pPr>
              <w:spacing w:line="320" w:lineRule="auto"/>
              <w:rPr>
                <w:rFonts w:ascii="Arial"/>
                <w:sz w:val="21"/>
              </w:rPr>
            </w:pPr>
            <w:r/>
          </w:p>
          <w:p>
            <w:pPr>
              <w:spacing w:line="320" w:lineRule="auto"/>
              <w:rPr>
                <w:rFonts w:ascii="Arial"/>
                <w:sz w:val="21"/>
              </w:rPr>
            </w:pPr>
            <w:r/>
          </w:p>
          <w:p>
            <w:pPr>
              <w:pStyle w:val="TableText"/>
              <w:ind w:left="553" w:right="109" w:hanging="439"/>
              <w:spacing w:before="65" w:line="252" w:lineRule="auto"/>
              <w:rPr>
                <w:rFonts w:ascii="SimSun" w:hAnsi="SimSun" w:eastAsia="SimSun" w:cs="SimSun"/>
              </w:rPr>
            </w:pPr>
            <w:r>
              <w:rPr>
                <w:spacing w:val="-1"/>
              </w:rPr>
              <w:t>SS</w:t>
            </w:r>
            <w:r>
              <w:rPr>
                <w:spacing w:val="-23"/>
              </w:rPr>
              <w:t xml:space="preserve"> </w:t>
            </w:r>
            <w:r>
              <w:rPr>
                <w:rFonts w:ascii="SimSun" w:hAnsi="SimSun" w:eastAsia="SimSun" w:cs="SimSun"/>
                <w:spacing w:val="-1"/>
              </w:rPr>
              <w:t>、</w:t>
            </w:r>
            <w:r>
              <w:rPr>
                <w:spacing w:val="-1"/>
              </w:rPr>
              <w:t>COD</w:t>
            </w:r>
            <w:r>
              <w:rPr>
                <w:spacing w:val="-25"/>
              </w:rPr>
              <w:t xml:space="preserve"> </w:t>
            </w:r>
            <w:r>
              <w:rPr>
                <w:rFonts w:ascii="SimSun" w:hAnsi="SimSun" w:eastAsia="SimSun" w:cs="SimSun"/>
                <w:spacing w:val="-1"/>
              </w:rPr>
              <w:t>、石</w:t>
            </w:r>
            <w:r>
              <w:rPr>
                <w:rFonts w:ascii="SimSun" w:hAnsi="SimSun" w:eastAsia="SimSun" w:cs="SimSun"/>
                <w:spacing w:val="3"/>
              </w:rPr>
              <w:t>油类</w:t>
            </w:r>
          </w:p>
        </w:tc>
        <w:tc>
          <w:tcPr>
            <w:tcW w:w="3968" w:type="dxa"/>
            <w:vAlign w:val="top"/>
          </w:tcPr>
          <w:p>
            <w:pPr>
              <w:pStyle w:val="TableText"/>
              <w:ind w:left="139"/>
              <w:spacing w:before="30" w:line="228" w:lineRule="auto"/>
              <w:rPr>
                <w:rFonts w:ascii="SimSun" w:hAnsi="SimSun" w:eastAsia="SimSun" w:cs="SimSun"/>
              </w:rPr>
            </w:pPr>
            <w:r>
              <w:rPr>
                <w:rFonts w:ascii="SimSun" w:hAnsi="SimSun" w:eastAsia="SimSun" w:cs="SimSun"/>
                <w:spacing w:val="8"/>
              </w:rPr>
              <w:t>矿井（坑）水经</w:t>
            </w:r>
            <w:r>
              <w:rPr>
                <w:spacing w:val="8"/>
              </w:rPr>
              <w:t>“</w:t>
            </w:r>
            <w:r>
              <w:rPr>
                <w:rFonts w:ascii="SimSun" w:hAnsi="SimSun" w:eastAsia="SimSun" w:cs="SimSun"/>
                <w:spacing w:val="8"/>
              </w:rPr>
              <w:t>絮凝沉淀</w:t>
            </w:r>
            <w:r>
              <w:rPr>
                <w:spacing w:val="8"/>
              </w:rPr>
              <w:t>+</w:t>
            </w:r>
            <w:r>
              <w:rPr>
                <w:rFonts w:ascii="SimSun" w:hAnsi="SimSun" w:eastAsia="SimSun" w:cs="SimSun"/>
                <w:spacing w:val="8"/>
              </w:rPr>
              <w:t>气浮处理</w:t>
            </w:r>
            <w:r>
              <w:rPr>
                <w:spacing w:val="8"/>
              </w:rPr>
              <w:t>+</w:t>
            </w:r>
            <w:r>
              <w:rPr>
                <w:rFonts w:ascii="SimSun" w:hAnsi="SimSun" w:eastAsia="SimSun" w:cs="SimSun"/>
                <w:spacing w:val="8"/>
              </w:rPr>
              <w:t>一</w:t>
            </w:r>
          </w:p>
          <w:p>
            <w:pPr>
              <w:pStyle w:val="TableText"/>
              <w:ind w:left="471"/>
              <w:spacing w:before="24" w:line="228" w:lineRule="auto"/>
              <w:rPr>
                <w:rFonts w:ascii="SimSun" w:hAnsi="SimSun" w:eastAsia="SimSun" w:cs="SimSun"/>
              </w:rPr>
            </w:pPr>
            <w:r>
              <w:rPr>
                <w:rFonts w:ascii="SimSun" w:hAnsi="SimSun" w:eastAsia="SimSun" w:cs="SimSun"/>
                <w:spacing w:val="8"/>
              </w:rPr>
              <w:t>体化净水器</w:t>
            </w:r>
            <w:r>
              <w:rPr>
                <w:spacing w:val="8"/>
              </w:rPr>
              <w:t>”</w:t>
            </w:r>
            <w:r>
              <w:rPr>
                <w:rFonts w:ascii="SimSun" w:hAnsi="SimSun" w:eastAsia="SimSun" w:cs="SimSun"/>
                <w:spacing w:val="8"/>
              </w:rPr>
              <w:t>工艺处理（处理规模</w:t>
            </w:r>
          </w:p>
          <w:p>
            <w:pPr>
              <w:pStyle w:val="TableText"/>
              <w:ind w:left="128"/>
              <w:spacing w:before="24" w:line="228" w:lineRule="auto"/>
              <w:rPr>
                <w:rFonts w:ascii="SimSun" w:hAnsi="SimSun" w:eastAsia="SimSun" w:cs="SimSun"/>
              </w:rPr>
            </w:pPr>
            <w:r>
              <w:rPr>
                <w:spacing w:val="5"/>
              </w:rPr>
              <w:t>1800m</w:t>
            </w:r>
            <w:r>
              <w:rPr>
                <w:sz w:val="13"/>
                <w:szCs w:val="13"/>
                <w:spacing w:val="5"/>
                <w:position w:val="6"/>
              </w:rPr>
              <w:t>3</w:t>
            </w:r>
            <w:r>
              <w:rPr>
                <w:spacing w:val="5"/>
              </w:rPr>
              <w:t>/d</w:t>
            </w:r>
            <w:r>
              <w:rPr>
                <w:rFonts w:ascii="SimSun" w:hAnsi="SimSun" w:eastAsia="SimSun" w:cs="SimSun"/>
                <w:spacing w:val="23"/>
              </w:rPr>
              <w:t>），</w:t>
            </w:r>
            <w:r>
              <w:rPr>
                <w:rFonts w:ascii="SimSun" w:hAnsi="SimSun" w:eastAsia="SimSun" w:cs="SimSun"/>
                <w:spacing w:val="5"/>
              </w:rPr>
              <w:t>处理后部分回用于矿井生产</w:t>
            </w:r>
          </w:p>
          <w:p>
            <w:pPr>
              <w:ind w:left="113"/>
              <w:spacing w:before="28" w:line="228" w:lineRule="auto"/>
              <w:rPr>
                <w:rFonts w:ascii="SimSun" w:hAnsi="SimSun" w:eastAsia="SimSun" w:cs="SimSun"/>
                <w:sz w:val="20"/>
                <w:szCs w:val="20"/>
              </w:rPr>
            </w:pPr>
            <w:r>
              <w:rPr>
                <w:rFonts w:ascii="SimSun" w:hAnsi="SimSun" w:eastAsia="SimSun" w:cs="SimSun"/>
                <w:sz w:val="20"/>
                <w:szCs w:val="20"/>
                <w:spacing w:val="7"/>
              </w:rPr>
              <w:t>用水、部分用于绿化及道路洒水，部分送</w:t>
            </w:r>
          </w:p>
          <w:p>
            <w:pPr>
              <w:ind w:left="110"/>
              <w:spacing w:before="24" w:line="228" w:lineRule="auto"/>
              <w:rPr>
                <w:rFonts w:ascii="SimSun" w:hAnsi="SimSun" w:eastAsia="SimSun" w:cs="SimSun"/>
                <w:sz w:val="20"/>
                <w:szCs w:val="20"/>
              </w:rPr>
            </w:pPr>
            <w:r>
              <w:rPr>
                <w:rFonts w:ascii="SimSun" w:hAnsi="SimSun" w:eastAsia="SimSun" w:cs="SimSun"/>
                <w:sz w:val="20"/>
                <w:szCs w:val="20"/>
                <w:spacing w:val="7"/>
              </w:rPr>
              <w:t>往金山电厂用于金山电厂生产用水，部分</w:t>
            </w:r>
          </w:p>
          <w:p>
            <w:pPr>
              <w:pStyle w:val="TableText"/>
              <w:ind w:left="110"/>
              <w:spacing w:before="22" w:line="227" w:lineRule="auto"/>
              <w:rPr>
                <w:rFonts w:ascii="SimSun" w:hAnsi="SimSun" w:eastAsia="SimSun" w:cs="SimSun"/>
              </w:rPr>
            </w:pPr>
            <w:r>
              <w:rPr>
                <w:rFonts w:ascii="SimSun" w:hAnsi="SimSun" w:eastAsia="SimSun" w:cs="SimSun"/>
                <w:spacing w:val="8"/>
              </w:rPr>
              <w:t>进入深度处理系统，采用</w:t>
            </w:r>
            <w:r>
              <w:rPr>
                <w:spacing w:val="8"/>
              </w:rPr>
              <w:t>“</w:t>
            </w:r>
            <w:r>
              <w:rPr>
                <w:rFonts w:ascii="SimSun" w:hAnsi="SimSun" w:eastAsia="SimSun" w:cs="SimSun"/>
                <w:spacing w:val="8"/>
              </w:rPr>
              <w:t>超滤</w:t>
            </w:r>
            <w:r>
              <w:rPr>
                <w:spacing w:val="8"/>
              </w:rPr>
              <w:t>”</w:t>
            </w:r>
            <w:r>
              <w:rPr>
                <w:rFonts w:ascii="SimSun" w:hAnsi="SimSun" w:eastAsia="SimSun" w:cs="SimSun"/>
                <w:spacing w:val="8"/>
              </w:rPr>
              <w:t>后（处理</w:t>
            </w:r>
          </w:p>
          <w:p>
            <w:pPr>
              <w:pStyle w:val="TableText"/>
              <w:ind w:left="345"/>
              <w:spacing w:before="30" w:line="216" w:lineRule="auto"/>
              <w:rPr>
                <w:rFonts w:ascii="SimSun" w:hAnsi="SimSun" w:eastAsia="SimSun" w:cs="SimSun"/>
              </w:rPr>
            </w:pPr>
            <w:r>
              <w:rPr>
                <w:rFonts w:ascii="SimSun" w:hAnsi="SimSun" w:eastAsia="SimSun" w:cs="SimSun"/>
                <w:spacing w:val="4"/>
              </w:rPr>
              <w:t>规模</w:t>
            </w:r>
            <w:r>
              <w:rPr>
                <w:rFonts w:ascii="SimSun" w:hAnsi="SimSun" w:eastAsia="SimSun" w:cs="SimSun"/>
                <w:spacing w:val="-36"/>
              </w:rPr>
              <w:t xml:space="preserve"> </w:t>
            </w:r>
            <w:r>
              <w:rPr>
                <w:spacing w:val="4"/>
              </w:rPr>
              <w:t>360m</w:t>
            </w:r>
            <w:r>
              <w:rPr>
                <w:sz w:val="13"/>
                <w:szCs w:val="13"/>
                <w:spacing w:val="4"/>
                <w:position w:val="7"/>
              </w:rPr>
              <w:t>3</w:t>
            </w:r>
            <w:r>
              <w:rPr>
                <w:spacing w:val="4"/>
              </w:rPr>
              <w:t>/h</w:t>
            </w:r>
            <w:r>
              <w:rPr>
                <w:rFonts w:ascii="SimSun" w:hAnsi="SimSun" w:eastAsia="SimSun" w:cs="SimSun"/>
                <w:spacing w:val="27"/>
              </w:rPr>
              <w:t>），</w:t>
            </w:r>
            <w:r>
              <w:rPr>
                <w:rFonts w:ascii="SimSun" w:hAnsi="SimSun" w:eastAsia="SimSun" w:cs="SimSun"/>
                <w:spacing w:val="4"/>
              </w:rPr>
              <w:t>回用于矿井生产。</w:t>
            </w:r>
          </w:p>
        </w:tc>
        <w:tc>
          <w:tcPr>
            <w:tcW w:w="1264" w:type="dxa"/>
            <w:vAlign w:val="top"/>
          </w:tcPr>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599"/>
              <w:spacing w:before="58" w:line="199" w:lineRule="auto"/>
              <w:rPr/>
            </w:pPr>
            <w:r>
              <w:rPr>
                <w:spacing w:val="2"/>
              </w:rPr>
              <w:t>/</w:t>
            </w:r>
          </w:p>
        </w:tc>
        <w:tc>
          <w:tcPr>
            <w:tcW w:w="1583"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742"/>
              <w:spacing w:before="57" w:line="195" w:lineRule="auto"/>
              <w:rPr/>
            </w:pPr>
            <w:r>
              <w:rPr/>
              <w:t>0</w:t>
            </w:r>
          </w:p>
        </w:tc>
        <w:tc>
          <w:tcPr>
            <w:tcW w:w="1324" w:type="dxa"/>
            <w:vAlign w:val="top"/>
          </w:tcPr>
          <w:p>
            <w:pPr>
              <w:spacing w:line="272" w:lineRule="auto"/>
              <w:rPr>
                <w:rFonts w:ascii="Arial"/>
                <w:sz w:val="21"/>
              </w:rPr>
            </w:pPr>
            <w:r/>
          </w:p>
          <w:p>
            <w:pPr>
              <w:spacing w:line="273" w:lineRule="auto"/>
              <w:rPr>
                <w:rFonts w:ascii="Arial"/>
                <w:sz w:val="21"/>
              </w:rPr>
            </w:pPr>
            <w:r/>
          </w:p>
          <w:p>
            <w:pPr>
              <w:spacing w:line="273" w:lineRule="auto"/>
              <w:rPr>
                <w:rFonts w:ascii="Arial"/>
                <w:sz w:val="21"/>
              </w:rPr>
            </w:pPr>
            <w:r/>
          </w:p>
          <w:p>
            <w:pPr>
              <w:pStyle w:val="TableText"/>
              <w:ind w:left="630"/>
              <w:spacing w:before="58" w:line="199" w:lineRule="auto"/>
              <w:rPr/>
            </w:pPr>
            <w:r>
              <w:rPr>
                <w:spacing w:val="2"/>
              </w:rPr>
              <w:t>/</w:t>
            </w:r>
          </w:p>
        </w:tc>
        <w:tc>
          <w:tcPr>
            <w:tcW w:w="2135" w:type="dxa"/>
            <w:vAlign w:val="top"/>
          </w:tcPr>
          <w:p>
            <w:pPr>
              <w:spacing w:line="252" w:lineRule="auto"/>
              <w:rPr>
                <w:rFonts w:ascii="Arial"/>
                <w:sz w:val="21"/>
              </w:rPr>
            </w:pPr>
            <w:r/>
          </w:p>
          <w:p>
            <w:pPr>
              <w:spacing w:line="253" w:lineRule="auto"/>
              <w:rPr>
                <w:rFonts w:ascii="Arial"/>
                <w:sz w:val="21"/>
              </w:rPr>
            </w:pPr>
            <w:r/>
          </w:p>
          <w:p>
            <w:pPr>
              <w:ind w:left="230" w:right="123" w:hanging="100"/>
              <w:spacing w:before="65" w:line="251" w:lineRule="auto"/>
              <w:rPr>
                <w:rFonts w:ascii="SimSun" w:hAnsi="SimSun" w:eastAsia="SimSun" w:cs="SimSun"/>
                <w:sz w:val="20"/>
                <w:szCs w:val="20"/>
              </w:rPr>
            </w:pPr>
            <w:r>
              <w:rPr>
                <w:rFonts w:ascii="SimSun" w:hAnsi="SimSun" w:eastAsia="SimSun" w:cs="SimSun"/>
                <w:sz w:val="20"/>
                <w:szCs w:val="20"/>
                <w:spacing w:val="8"/>
              </w:rPr>
              <w:t>《城市污水再生利用</w:t>
            </w:r>
            <w:r>
              <w:rPr>
                <w:rFonts w:ascii="SimSun" w:hAnsi="SimSun" w:eastAsia="SimSun" w:cs="SimSun"/>
                <w:sz w:val="20"/>
                <w:szCs w:val="20"/>
                <w:spacing w:val="7"/>
              </w:rPr>
              <w:t>城市杂用水水质》</w:t>
            </w:r>
          </w:p>
          <w:p>
            <w:pPr>
              <w:pStyle w:val="TableText"/>
              <w:ind w:left="123"/>
              <w:spacing w:line="239" w:lineRule="auto"/>
              <w:rPr>
                <w:rFonts w:ascii="SimSun" w:hAnsi="SimSun" w:eastAsia="SimSun" w:cs="SimSun"/>
              </w:rPr>
            </w:pPr>
            <w:r>
              <w:rPr>
                <w:rFonts w:ascii="SimSun" w:hAnsi="SimSun" w:eastAsia="SimSun" w:cs="SimSun"/>
                <w:spacing w:val="4"/>
              </w:rPr>
              <w:t>（</w:t>
            </w:r>
            <w:r>
              <w:rPr/>
              <w:t>GB</w:t>
            </w:r>
            <w:r>
              <w:rPr>
                <w:spacing w:val="4"/>
              </w:rPr>
              <w:t>/T18920-2020</w:t>
            </w:r>
            <w:r>
              <w:rPr>
                <w:rFonts w:ascii="SimSun" w:hAnsi="SimSun" w:eastAsia="SimSun" w:cs="SimSun"/>
                <w:spacing w:val="4"/>
              </w:rPr>
              <w:t>）</w:t>
            </w:r>
          </w:p>
        </w:tc>
      </w:tr>
      <w:tr>
        <w:trPr>
          <w:trHeight w:val="822" w:hRule="atLeast"/>
        </w:trPr>
        <w:tc>
          <w:tcPr>
            <w:tcW w:w="1008" w:type="dxa"/>
            <w:vAlign w:val="top"/>
            <w:vMerge w:val="continue"/>
            <w:tcBorders>
              <w:top w:val="nil"/>
            </w:tcBorders>
          </w:tcPr>
          <w:p>
            <w:pPr>
              <w:rPr>
                <w:rFonts w:ascii="Arial"/>
                <w:sz w:val="21"/>
              </w:rPr>
            </w:pPr>
            <w:r/>
          </w:p>
        </w:tc>
        <w:tc>
          <w:tcPr>
            <w:tcW w:w="1706" w:type="dxa"/>
            <w:vAlign w:val="top"/>
          </w:tcPr>
          <w:p>
            <w:pPr>
              <w:ind w:left="434"/>
              <w:spacing w:before="302" w:line="228" w:lineRule="auto"/>
              <w:rPr>
                <w:rFonts w:ascii="SimSun" w:hAnsi="SimSun" w:eastAsia="SimSun" w:cs="SimSun"/>
                <w:sz w:val="20"/>
                <w:szCs w:val="20"/>
              </w:rPr>
            </w:pPr>
            <w:r>
              <w:rPr>
                <w:rFonts w:ascii="SimSun" w:hAnsi="SimSun" w:eastAsia="SimSun" w:cs="SimSun"/>
                <w:sz w:val="20"/>
                <w:szCs w:val="20"/>
                <w:spacing w:val="6"/>
              </w:rPr>
              <w:t>生活污水</w:t>
            </w:r>
          </w:p>
        </w:tc>
        <w:tc>
          <w:tcPr>
            <w:tcW w:w="1519" w:type="dxa"/>
            <w:vAlign w:val="top"/>
          </w:tcPr>
          <w:p>
            <w:pPr>
              <w:pStyle w:val="TableText"/>
              <w:ind w:left="104"/>
              <w:spacing w:before="219" w:line="192" w:lineRule="auto"/>
              <w:rPr>
                <w:rFonts w:ascii="SimSun" w:hAnsi="SimSun" w:eastAsia="SimSun" w:cs="SimSun"/>
              </w:rPr>
            </w:pPr>
            <w:r>
              <w:rPr/>
              <w:t>BOD</w:t>
            </w:r>
            <w:r>
              <w:rPr>
                <w:sz w:val="13"/>
                <w:szCs w:val="13"/>
                <w:spacing w:val="9"/>
                <w:position w:val="-1"/>
              </w:rPr>
              <w:t>5</w:t>
            </w:r>
            <w:r>
              <w:rPr>
                <w:sz w:val="13"/>
                <w:szCs w:val="13"/>
                <w:spacing w:val="-10"/>
                <w:position w:val="-1"/>
              </w:rPr>
              <w:t xml:space="preserve"> </w:t>
            </w:r>
            <w:r>
              <w:rPr>
                <w:rFonts w:ascii="SimSun" w:hAnsi="SimSun" w:eastAsia="SimSun" w:cs="SimSun"/>
                <w:spacing w:val="9"/>
              </w:rPr>
              <w:t>、</w:t>
            </w:r>
            <w:r>
              <w:rPr/>
              <w:t>COD</w:t>
            </w:r>
            <w:r>
              <w:rPr>
                <w:rFonts w:ascii="SimSun" w:hAnsi="SimSun" w:eastAsia="SimSun" w:cs="SimSun"/>
                <w:spacing w:val="9"/>
              </w:rPr>
              <w:t>、</w:t>
            </w:r>
          </w:p>
          <w:p>
            <w:pPr>
              <w:pStyle w:val="TableText"/>
              <w:ind w:left="453"/>
              <w:spacing w:before="51" w:line="201" w:lineRule="auto"/>
              <w:rPr/>
            </w:pPr>
            <w:r>
              <w:rPr/>
              <w:t>NH</w:t>
            </w:r>
            <w:r>
              <w:rPr>
                <w:sz w:val="13"/>
                <w:szCs w:val="13"/>
                <w:spacing w:val="9"/>
                <w:position w:val="-1"/>
              </w:rPr>
              <w:t>3</w:t>
            </w:r>
            <w:r>
              <w:rPr>
                <w:spacing w:val="9"/>
              </w:rPr>
              <w:t>-N</w:t>
            </w:r>
          </w:p>
        </w:tc>
        <w:tc>
          <w:tcPr>
            <w:tcW w:w="3968" w:type="dxa"/>
            <w:vAlign w:val="top"/>
          </w:tcPr>
          <w:p>
            <w:pPr>
              <w:pStyle w:val="TableText"/>
              <w:ind w:left="113"/>
              <w:spacing w:before="31" w:line="221" w:lineRule="auto"/>
              <w:rPr>
                <w:rFonts w:ascii="SimSun" w:hAnsi="SimSun" w:eastAsia="SimSun" w:cs="SimSun"/>
              </w:rPr>
            </w:pPr>
            <w:r>
              <w:rPr>
                <w:rFonts w:ascii="SimSun" w:hAnsi="SimSun" w:eastAsia="SimSun" w:cs="SimSun"/>
                <w:spacing w:val="3"/>
              </w:rPr>
              <w:t>经</w:t>
            </w:r>
            <w:r>
              <w:rPr>
                <w:rFonts w:ascii="SimSun" w:hAnsi="SimSun" w:eastAsia="SimSun" w:cs="SimSun"/>
                <w:spacing w:val="-44"/>
              </w:rPr>
              <w:t xml:space="preserve"> </w:t>
            </w:r>
            <w:r>
              <w:rPr/>
              <w:t>MBR</w:t>
            </w:r>
            <w:r>
              <w:rPr>
                <w:spacing w:val="3"/>
              </w:rPr>
              <w:t>-50</w:t>
            </w:r>
            <w:r>
              <w:rPr>
                <w:rFonts w:ascii="SimSun" w:hAnsi="SimSun" w:eastAsia="SimSun" w:cs="SimSun"/>
                <w:spacing w:val="3"/>
              </w:rPr>
              <w:t>（处理规模</w:t>
            </w:r>
            <w:r>
              <w:rPr>
                <w:rFonts w:ascii="SimSun" w:hAnsi="SimSun" w:eastAsia="SimSun" w:cs="SimSun"/>
                <w:spacing w:val="-35"/>
              </w:rPr>
              <w:t xml:space="preserve"> </w:t>
            </w:r>
            <w:r>
              <w:rPr>
                <w:spacing w:val="3"/>
              </w:rPr>
              <w:t>50m</w:t>
            </w:r>
            <w:r>
              <w:rPr>
                <w:sz w:val="13"/>
                <w:szCs w:val="13"/>
                <w:spacing w:val="3"/>
                <w:position w:val="6"/>
              </w:rPr>
              <w:t>3</w:t>
            </w:r>
            <w:r>
              <w:rPr>
                <w:spacing w:val="3"/>
              </w:rPr>
              <w:t>/h)</w:t>
            </w:r>
            <w:r>
              <w:rPr>
                <w:rFonts w:ascii="SimSun" w:hAnsi="SimSun" w:eastAsia="SimSun" w:cs="SimSun"/>
                <w:spacing w:val="3"/>
              </w:rPr>
              <w:t>，采用生物</w:t>
            </w:r>
          </w:p>
          <w:p>
            <w:pPr>
              <w:ind w:left="110"/>
              <w:spacing w:before="31" w:line="227" w:lineRule="auto"/>
              <w:rPr>
                <w:rFonts w:ascii="SimSun" w:hAnsi="SimSun" w:eastAsia="SimSun" w:cs="SimSun"/>
                <w:sz w:val="20"/>
                <w:szCs w:val="20"/>
              </w:rPr>
            </w:pPr>
            <w:r>
              <w:rPr>
                <w:rFonts w:ascii="SimSun" w:hAnsi="SimSun" w:eastAsia="SimSun" w:cs="SimSun"/>
                <w:sz w:val="20"/>
                <w:szCs w:val="20"/>
                <w:spacing w:val="7"/>
              </w:rPr>
              <w:t>接触氧化法进行处理，处理后的生活污水</w:t>
            </w:r>
          </w:p>
          <w:p>
            <w:pPr>
              <w:ind w:left="1042"/>
              <w:spacing w:before="28" w:line="217" w:lineRule="auto"/>
              <w:rPr>
                <w:rFonts w:ascii="SimSun" w:hAnsi="SimSun" w:eastAsia="SimSun" w:cs="SimSun"/>
                <w:sz w:val="20"/>
                <w:szCs w:val="20"/>
              </w:rPr>
            </w:pPr>
            <w:r>
              <w:rPr>
                <w:rFonts w:ascii="SimSun" w:hAnsi="SimSun" w:eastAsia="SimSun" w:cs="SimSun"/>
                <w:sz w:val="20"/>
                <w:szCs w:val="20"/>
                <w:spacing w:val="8"/>
              </w:rPr>
              <w:t>用于道路及绿化洒水</w:t>
            </w:r>
          </w:p>
        </w:tc>
        <w:tc>
          <w:tcPr>
            <w:tcW w:w="1264" w:type="dxa"/>
            <w:vAlign w:val="top"/>
          </w:tcPr>
          <w:p>
            <w:pPr>
              <w:spacing w:line="275" w:lineRule="auto"/>
              <w:rPr>
                <w:rFonts w:ascii="Arial"/>
                <w:sz w:val="21"/>
              </w:rPr>
            </w:pPr>
            <w:r/>
          </w:p>
          <w:p>
            <w:pPr>
              <w:pStyle w:val="TableText"/>
              <w:ind w:left="599"/>
              <w:spacing w:before="58" w:line="199" w:lineRule="auto"/>
              <w:rPr/>
            </w:pPr>
            <w:r>
              <w:rPr>
                <w:spacing w:val="2"/>
              </w:rPr>
              <w:t>/</w:t>
            </w:r>
          </w:p>
        </w:tc>
        <w:tc>
          <w:tcPr>
            <w:tcW w:w="1583" w:type="dxa"/>
            <w:vAlign w:val="top"/>
          </w:tcPr>
          <w:p>
            <w:pPr>
              <w:spacing w:line="279" w:lineRule="auto"/>
              <w:rPr>
                <w:rFonts w:ascii="Arial"/>
                <w:sz w:val="21"/>
              </w:rPr>
            </w:pPr>
            <w:r/>
          </w:p>
          <w:p>
            <w:pPr>
              <w:pStyle w:val="TableText"/>
              <w:ind w:left="742"/>
              <w:spacing w:before="58" w:line="195" w:lineRule="auto"/>
              <w:rPr/>
            </w:pPr>
            <w:r>
              <w:rPr/>
              <w:t>0</w:t>
            </w:r>
          </w:p>
        </w:tc>
        <w:tc>
          <w:tcPr>
            <w:tcW w:w="1324" w:type="dxa"/>
            <w:vAlign w:val="top"/>
          </w:tcPr>
          <w:p>
            <w:pPr>
              <w:spacing w:line="275" w:lineRule="auto"/>
              <w:rPr>
                <w:rFonts w:ascii="Arial"/>
                <w:sz w:val="21"/>
              </w:rPr>
            </w:pPr>
            <w:r/>
          </w:p>
          <w:p>
            <w:pPr>
              <w:pStyle w:val="TableText"/>
              <w:ind w:left="630"/>
              <w:spacing w:before="58" w:line="199" w:lineRule="auto"/>
              <w:rPr/>
            </w:pPr>
            <w:r>
              <w:rPr>
                <w:spacing w:val="2"/>
              </w:rPr>
              <w:t>/</w:t>
            </w:r>
          </w:p>
        </w:tc>
        <w:tc>
          <w:tcPr>
            <w:tcW w:w="2135" w:type="dxa"/>
            <w:vAlign w:val="top"/>
          </w:tcPr>
          <w:p>
            <w:pPr>
              <w:ind w:left="230" w:right="123" w:hanging="100"/>
              <w:spacing w:before="32" w:line="251" w:lineRule="auto"/>
              <w:rPr>
                <w:rFonts w:ascii="SimSun" w:hAnsi="SimSun" w:eastAsia="SimSun" w:cs="SimSun"/>
                <w:sz w:val="20"/>
                <w:szCs w:val="20"/>
              </w:rPr>
            </w:pPr>
            <w:r>
              <w:rPr>
                <w:rFonts w:ascii="SimSun" w:hAnsi="SimSun" w:eastAsia="SimSun" w:cs="SimSun"/>
                <w:sz w:val="20"/>
                <w:szCs w:val="20"/>
                <w:spacing w:val="8"/>
              </w:rPr>
              <w:t>《城市污水再生利用</w:t>
            </w:r>
            <w:r>
              <w:rPr>
                <w:rFonts w:ascii="SimSun" w:hAnsi="SimSun" w:eastAsia="SimSun" w:cs="SimSun"/>
                <w:sz w:val="20"/>
                <w:szCs w:val="20"/>
                <w:spacing w:val="7"/>
              </w:rPr>
              <w:t>城市杂用水水质》</w:t>
            </w:r>
          </w:p>
          <w:p>
            <w:pPr>
              <w:pStyle w:val="TableText"/>
              <w:ind w:left="123"/>
              <w:spacing w:line="217" w:lineRule="auto"/>
              <w:rPr>
                <w:rFonts w:ascii="SimSun" w:hAnsi="SimSun" w:eastAsia="SimSun" w:cs="SimSun"/>
              </w:rPr>
            </w:pPr>
            <w:r>
              <w:rPr>
                <w:rFonts w:ascii="SimSun" w:hAnsi="SimSun" w:eastAsia="SimSun" w:cs="SimSun"/>
                <w:spacing w:val="4"/>
              </w:rPr>
              <w:t>（</w:t>
            </w:r>
            <w:r>
              <w:rPr/>
              <w:t>GB</w:t>
            </w:r>
            <w:r>
              <w:rPr>
                <w:spacing w:val="4"/>
              </w:rPr>
              <w:t>/T18920-2020</w:t>
            </w:r>
            <w:r>
              <w:rPr>
                <w:rFonts w:ascii="SimSun" w:hAnsi="SimSun" w:eastAsia="SimSun" w:cs="SimSun"/>
                <w:spacing w:val="4"/>
              </w:rPr>
              <w:t>）</w:t>
            </w:r>
          </w:p>
        </w:tc>
      </w:tr>
      <w:tr>
        <w:trPr>
          <w:trHeight w:val="686" w:hRule="atLeast"/>
        </w:trPr>
        <w:tc>
          <w:tcPr>
            <w:tcW w:w="1008" w:type="dxa"/>
            <w:vAlign w:val="top"/>
            <w:vMerge w:val="restart"/>
            <w:tcBorders>
              <w:bottom w:val="nil"/>
            </w:tcBorders>
          </w:tcPr>
          <w:p>
            <w:pPr>
              <w:spacing w:line="349" w:lineRule="auto"/>
              <w:rPr>
                <w:rFonts w:ascii="Arial"/>
                <w:sz w:val="21"/>
              </w:rPr>
            </w:pPr>
            <w:r/>
          </w:p>
          <w:p>
            <w:pPr>
              <w:spacing w:line="349" w:lineRule="auto"/>
              <w:rPr>
                <w:rFonts w:ascii="Arial"/>
                <w:sz w:val="21"/>
              </w:rPr>
            </w:pPr>
            <w:r/>
          </w:p>
          <w:p>
            <w:pPr>
              <w:ind w:left="308"/>
              <w:spacing w:before="65" w:line="228" w:lineRule="auto"/>
              <w:rPr>
                <w:rFonts w:ascii="SimSun" w:hAnsi="SimSun" w:eastAsia="SimSun" w:cs="SimSun"/>
                <w:sz w:val="20"/>
                <w:szCs w:val="20"/>
              </w:rPr>
            </w:pPr>
            <w:r>
              <w:rPr>
                <w:rFonts w:ascii="SimSun" w:hAnsi="SimSun" w:eastAsia="SimSun" w:cs="SimSun"/>
                <w:sz w:val="20"/>
                <w:szCs w:val="20"/>
                <w:spacing w:val="-1"/>
              </w:rPr>
              <w:t>噪声</w:t>
            </w:r>
          </w:p>
        </w:tc>
        <w:tc>
          <w:tcPr>
            <w:tcW w:w="1706" w:type="dxa"/>
            <w:vAlign w:val="top"/>
          </w:tcPr>
          <w:p>
            <w:pPr>
              <w:ind w:left="527"/>
              <w:spacing w:before="171" w:line="227" w:lineRule="auto"/>
              <w:rPr>
                <w:rFonts w:ascii="SimSun" w:hAnsi="SimSun" w:eastAsia="SimSun" w:cs="SimSun"/>
                <w:sz w:val="20"/>
                <w:szCs w:val="20"/>
              </w:rPr>
            </w:pPr>
            <w:r>
              <w:rPr>
                <w:rFonts w:ascii="SimSun" w:hAnsi="SimSun" w:eastAsia="SimSun" w:cs="SimSun"/>
                <w:sz w:val="20"/>
                <w:szCs w:val="20"/>
                <w:spacing w:val="7"/>
              </w:rPr>
              <w:t>机修车间</w:t>
            </w:r>
          </w:p>
        </w:tc>
        <w:tc>
          <w:tcPr>
            <w:tcW w:w="1519" w:type="dxa"/>
            <w:vAlign w:val="top"/>
            <w:vMerge w:val="restart"/>
            <w:tcBorders>
              <w:bottom w:val="nil"/>
            </w:tcBorders>
          </w:tcPr>
          <w:p>
            <w:pPr>
              <w:spacing w:line="348" w:lineRule="auto"/>
              <w:rPr>
                <w:rFonts w:ascii="Arial"/>
                <w:sz w:val="21"/>
              </w:rPr>
            </w:pPr>
            <w:r/>
          </w:p>
          <w:p>
            <w:pPr>
              <w:spacing w:line="349" w:lineRule="auto"/>
              <w:rPr>
                <w:rFonts w:ascii="Arial"/>
                <w:sz w:val="21"/>
              </w:rPr>
            </w:pPr>
            <w:r/>
          </w:p>
          <w:p>
            <w:pPr>
              <w:pStyle w:val="TableText"/>
              <w:ind w:left="214"/>
              <w:spacing w:before="65" w:line="228" w:lineRule="auto"/>
              <w:rPr>
                <w:rFonts w:ascii="SimSun" w:hAnsi="SimSun" w:eastAsia="SimSun" w:cs="SimSun"/>
              </w:rPr>
            </w:pPr>
            <w:r>
              <w:rPr>
                <w:rFonts w:ascii="SimSun" w:hAnsi="SimSun" w:eastAsia="SimSun" w:cs="SimSun"/>
                <w:spacing w:val="3"/>
              </w:rPr>
              <w:t>等效</w:t>
            </w:r>
            <w:r>
              <w:rPr>
                <w:rFonts w:ascii="SimSun" w:hAnsi="SimSun" w:eastAsia="SimSun" w:cs="SimSun"/>
                <w:spacing w:val="-42"/>
              </w:rPr>
              <w:t xml:space="preserve"> </w:t>
            </w:r>
            <w:r>
              <w:rPr>
                <w:spacing w:val="3"/>
              </w:rPr>
              <w:t>A</w:t>
            </w:r>
            <w:r>
              <w:rPr>
                <w:spacing w:val="16"/>
              </w:rPr>
              <w:t xml:space="preserve"> </w:t>
            </w:r>
            <w:r>
              <w:rPr>
                <w:rFonts w:ascii="SimSun" w:hAnsi="SimSun" w:eastAsia="SimSun" w:cs="SimSun"/>
                <w:spacing w:val="3"/>
              </w:rPr>
              <w:t>声级</w:t>
            </w:r>
          </w:p>
        </w:tc>
        <w:tc>
          <w:tcPr>
            <w:tcW w:w="3968" w:type="dxa"/>
            <w:vAlign w:val="top"/>
          </w:tcPr>
          <w:p>
            <w:pPr>
              <w:ind w:left="531"/>
              <w:spacing w:before="172" w:line="228" w:lineRule="auto"/>
              <w:rPr>
                <w:rFonts w:ascii="SimSun" w:hAnsi="SimSun" w:eastAsia="SimSun" w:cs="SimSun"/>
                <w:sz w:val="20"/>
                <w:szCs w:val="20"/>
              </w:rPr>
            </w:pPr>
            <w:r>
              <w:rPr>
                <w:rFonts w:ascii="SimSun" w:hAnsi="SimSun" w:eastAsia="SimSun" w:cs="SimSun"/>
                <w:sz w:val="20"/>
                <w:szCs w:val="20"/>
                <w:spacing w:val="9"/>
              </w:rPr>
              <w:t>墙壁设吸声结构、隔声门窗</w:t>
            </w:r>
          </w:p>
        </w:tc>
        <w:tc>
          <w:tcPr>
            <w:tcW w:w="1264" w:type="dxa"/>
            <w:vAlign w:val="top"/>
          </w:tcPr>
          <w:p>
            <w:pPr>
              <w:pStyle w:val="TableText"/>
              <w:ind w:left="599"/>
              <w:spacing w:before="268" w:line="199" w:lineRule="auto"/>
              <w:rPr/>
            </w:pPr>
            <w:r>
              <w:rPr>
                <w:spacing w:val="2"/>
              </w:rPr>
              <w:t>/</w:t>
            </w:r>
          </w:p>
        </w:tc>
        <w:tc>
          <w:tcPr>
            <w:tcW w:w="1583" w:type="dxa"/>
            <w:vAlign w:val="top"/>
          </w:tcPr>
          <w:p>
            <w:pPr>
              <w:pStyle w:val="TableText"/>
              <w:ind w:left="423"/>
              <w:spacing w:before="268" w:line="201" w:lineRule="auto"/>
              <w:rPr/>
            </w:pPr>
            <w:r>
              <w:rPr>
                <w:spacing w:val="5"/>
              </w:rPr>
              <w:t>75</w:t>
            </w:r>
            <w:r>
              <w:rPr/>
              <w:t>dB</w:t>
            </w:r>
            <w:r>
              <w:rPr>
                <w:spacing w:val="5"/>
              </w:rPr>
              <w:t>(A)</w:t>
            </w:r>
          </w:p>
        </w:tc>
        <w:tc>
          <w:tcPr>
            <w:tcW w:w="1324" w:type="dxa"/>
            <w:vAlign w:val="top"/>
          </w:tcPr>
          <w:p>
            <w:pPr>
              <w:pStyle w:val="TableText"/>
              <w:ind w:left="630"/>
              <w:spacing w:before="268" w:line="199" w:lineRule="auto"/>
              <w:rPr/>
            </w:pPr>
            <w:r>
              <w:rPr>
                <w:spacing w:val="2"/>
              </w:rPr>
              <w:t>/</w:t>
            </w:r>
          </w:p>
        </w:tc>
        <w:tc>
          <w:tcPr>
            <w:tcW w:w="2135" w:type="dxa"/>
            <w:vAlign w:val="top"/>
            <w:vMerge w:val="restart"/>
            <w:tcBorders>
              <w:bottom w:val="nil"/>
            </w:tcBorders>
          </w:tcPr>
          <w:p>
            <w:pPr>
              <w:ind w:left="128"/>
              <w:spacing w:before="219" w:line="228" w:lineRule="auto"/>
              <w:rPr>
                <w:rFonts w:ascii="SimSun" w:hAnsi="SimSun" w:eastAsia="SimSun" w:cs="SimSun"/>
                <w:sz w:val="20"/>
                <w:szCs w:val="20"/>
              </w:rPr>
            </w:pPr>
            <w:r>
              <w:rPr>
                <w:rFonts w:ascii="SimSun" w:hAnsi="SimSun" w:eastAsia="SimSun" w:cs="SimSun"/>
                <w:sz w:val="20"/>
                <w:szCs w:val="20"/>
                <w:spacing w:val="8"/>
              </w:rPr>
              <w:t>厂界噪声满足《工业</w:t>
            </w:r>
          </w:p>
          <w:p>
            <w:pPr>
              <w:ind w:left="548"/>
              <w:spacing w:before="29" w:line="228" w:lineRule="auto"/>
              <w:rPr>
                <w:rFonts w:ascii="SimSun" w:hAnsi="SimSun" w:eastAsia="SimSun" w:cs="SimSun"/>
                <w:sz w:val="20"/>
                <w:szCs w:val="20"/>
              </w:rPr>
            </w:pPr>
            <w:r>
              <w:rPr>
                <w:rFonts w:ascii="SimSun" w:hAnsi="SimSun" w:eastAsia="SimSun" w:cs="SimSun"/>
                <w:sz w:val="20"/>
                <w:szCs w:val="20"/>
                <w:spacing w:val="7"/>
              </w:rPr>
              <w:t>企业厂界环</w:t>
            </w:r>
          </w:p>
          <w:p>
            <w:pPr>
              <w:ind w:left="231"/>
              <w:spacing w:before="24" w:line="228" w:lineRule="auto"/>
              <w:rPr>
                <w:rFonts w:ascii="SimSun" w:hAnsi="SimSun" w:eastAsia="SimSun" w:cs="SimSun"/>
                <w:sz w:val="20"/>
                <w:szCs w:val="20"/>
              </w:rPr>
            </w:pPr>
            <w:r>
              <w:rPr>
                <w:rFonts w:ascii="SimSun" w:hAnsi="SimSun" w:eastAsia="SimSun" w:cs="SimSun"/>
                <w:sz w:val="20"/>
                <w:szCs w:val="20"/>
                <w:spacing w:val="7"/>
              </w:rPr>
              <w:t>境噪声排放标准》</w:t>
            </w:r>
          </w:p>
          <w:p>
            <w:pPr>
              <w:pStyle w:val="TableText"/>
              <w:ind w:left="200"/>
              <w:spacing w:before="26" w:line="221" w:lineRule="auto"/>
              <w:rPr/>
            </w:pPr>
            <w:r>
              <w:rPr>
                <w:spacing w:val="4"/>
              </w:rPr>
              <w:t>(</w:t>
            </w:r>
            <w:r>
              <w:rPr/>
              <w:t>GB</w:t>
            </w:r>
            <w:r>
              <w:rPr>
                <w:spacing w:val="4"/>
              </w:rPr>
              <w:t>123482008)</w:t>
            </w:r>
            <w:r>
              <w:rPr>
                <w:rFonts w:ascii="SimSun" w:hAnsi="SimSun" w:eastAsia="SimSun" w:cs="SimSun"/>
                <w:spacing w:val="4"/>
              </w:rPr>
              <w:t>中</w:t>
            </w:r>
            <w:r>
              <w:rPr>
                <w:rFonts w:ascii="SimSun" w:hAnsi="SimSun" w:eastAsia="SimSun" w:cs="SimSun"/>
                <w:spacing w:val="-29"/>
              </w:rPr>
              <w:t xml:space="preserve"> </w:t>
            </w:r>
            <w:r>
              <w:rPr>
                <w:spacing w:val="4"/>
              </w:rPr>
              <w:t>2</w:t>
            </w:r>
          </w:p>
          <w:p>
            <w:pPr>
              <w:ind w:left="651"/>
              <w:spacing w:before="31" w:line="228" w:lineRule="auto"/>
              <w:rPr>
                <w:rFonts w:ascii="SimSun" w:hAnsi="SimSun" w:eastAsia="SimSun" w:cs="SimSun"/>
                <w:sz w:val="20"/>
                <w:szCs w:val="20"/>
              </w:rPr>
            </w:pPr>
            <w:r>
              <w:rPr>
                <w:rFonts w:ascii="SimSun" w:hAnsi="SimSun" w:eastAsia="SimSun" w:cs="SimSun"/>
                <w:sz w:val="20"/>
                <w:szCs w:val="20"/>
                <w:spacing w:val="7"/>
              </w:rPr>
              <w:t>类区标准</w:t>
            </w:r>
          </w:p>
        </w:tc>
      </w:tr>
      <w:tr>
        <w:trPr>
          <w:trHeight w:val="276" w:hRule="atLeast"/>
        </w:trPr>
        <w:tc>
          <w:tcPr>
            <w:tcW w:w="1008" w:type="dxa"/>
            <w:vAlign w:val="top"/>
            <w:vMerge w:val="continue"/>
            <w:tcBorders>
              <w:top w:val="nil"/>
              <w:bottom w:val="nil"/>
            </w:tcBorders>
          </w:tcPr>
          <w:p>
            <w:pPr>
              <w:rPr>
                <w:rFonts w:ascii="Arial"/>
                <w:sz w:val="21"/>
              </w:rPr>
            </w:pPr>
            <w:r/>
          </w:p>
        </w:tc>
        <w:tc>
          <w:tcPr>
            <w:tcW w:w="1706" w:type="dxa"/>
            <w:vAlign w:val="top"/>
          </w:tcPr>
          <w:p>
            <w:pPr>
              <w:ind w:left="646"/>
              <w:spacing w:before="33" w:line="215" w:lineRule="auto"/>
              <w:rPr>
                <w:rFonts w:ascii="SimSun" w:hAnsi="SimSun" w:eastAsia="SimSun" w:cs="SimSun"/>
                <w:sz w:val="20"/>
                <w:szCs w:val="20"/>
              </w:rPr>
            </w:pPr>
            <w:r>
              <w:rPr>
                <w:rFonts w:ascii="SimSun" w:hAnsi="SimSun" w:eastAsia="SimSun" w:cs="SimSun"/>
                <w:sz w:val="20"/>
                <w:szCs w:val="20"/>
                <w:spacing w:val="3"/>
              </w:rPr>
              <w:t>水泵</w:t>
            </w:r>
          </w:p>
        </w:tc>
        <w:tc>
          <w:tcPr>
            <w:tcW w:w="1519" w:type="dxa"/>
            <w:vAlign w:val="top"/>
            <w:vMerge w:val="continue"/>
            <w:tcBorders>
              <w:top w:val="nil"/>
              <w:bottom w:val="nil"/>
            </w:tcBorders>
          </w:tcPr>
          <w:p>
            <w:pPr>
              <w:rPr>
                <w:rFonts w:ascii="Arial"/>
                <w:sz w:val="21"/>
              </w:rPr>
            </w:pPr>
            <w:r/>
          </w:p>
        </w:tc>
        <w:tc>
          <w:tcPr>
            <w:tcW w:w="3968" w:type="dxa"/>
            <w:vAlign w:val="top"/>
          </w:tcPr>
          <w:p>
            <w:pPr>
              <w:ind w:left="1041"/>
              <w:spacing w:before="33" w:line="215" w:lineRule="auto"/>
              <w:rPr>
                <w:rFonts w:ascii="SimSun" w:hAnsi="SimSun" w:eastAsia="SimSun" w:cs="SimSun"/>
                <w:sz w:val="20"/>
                <w:szCs w:val="20"/>
              </w:rPr>
            </w:pPr>
            <w:r>
              <w:rPr>
                <w:rFonts w:ascii="SimSun" w:hAnsi="SimSun" w:eastAsia="SimSun" w:cs="SimSun"/>
                <w:sz w:val="20"/>
                <w:szCs w:val="20"/>
                <w:spacing w:val="8"/>
              </w:rPr>
              <w:t>柔性接头、基础减振</w:t>
            </w:r>
          </w:p>
        </w:tc>
        <w:tc>
          <w:tcPr>
            <w:tcW w:w="1264" w:type="dxa"/>
            <w:vAlign w:val="top"/>
          </w:tcPr>
          <w:p>
            <w:pPr>
              <w:pStyle w:val="TableText"/>
              <w:ind w:left="599"/>
              <w:spacing w:before="65" w:line="199" w:lineRule="auto"/>
              <w:rPr/>
            </w:pPr>
            <w:r>
              <w:rPr>
                <w:spacing w:val="2"/>
              </w:rPr>
              <w:t>/</w:t>
            </w:r>
          </w:p>
        </w:tc>
        <w:tc>
          <w:tcPr>
            <w:tcW w:w="1583" w:type="dxa"/>
            <w:vAlign w:val="top"/>
          </w:tcPr>
          <w:p>
            <w:pPr>
              <w:pStyle w:val="TableText"/>
              <w:ind w:left="423"/>
              <w:spacing w:before="64" w:line="201" w:lineRule="auto"/>
              <w:rPr/>
            </w:pPr>
            <w:r>
              <w:rPr>
                <w:spacing w:val="5"/>
              </w:rPr>
              <w:t>75</w:t>
            </w:r>
            <w:r>
              <w:rPr/>
              <w:t>dB</w:t>
            </w:r>
            <w:r>
              <w:rPr>
                <w:spacing w:val="5"/>
              </w:rPr>
              <w:t>(A)</w:t>
            </w:r>
          </w:p>
        </w:tc>
        <w:tc>
          <w:tcPr>
            <w:tcW w:w="1324" w:type="dxa"/>
            <w:vAlign w:val="top"/>
          </w:tcPr>
          <w:p>
            <w:pPr>
              <w:pStyle w:val="TableText"/>
              <w:ind w:left="630"/>
              <w:spacing w:before="65" w:line="199" w:lineRule="auto"/>
              <w:rPr/>
            </w:pPr>
            <w:r>
              <w:rPr>
                <w:spacing w:val="2"/>
              </w:rPr>
              <w:t>/</w:t>
            </w:r>
          </w:p>
        </w:tc>
        <w:tc>
          <w:tcPr>
            <w:tcW w:w="2135" w:type="dxa"/>
            <w:vAlign w:val="top"/>
            <w:vMerge w:val="continue"/>
            <w:tcBorders>
              <w:top w:val="nil"/>
              <w:bottom w:val="nil"/>
            </w:tcBorders>
          </w:tcPr>
          <w:p>
            <w:pPr>
              <w:rPr>
                <w:rFonts w:ascii="Arial"/>
                <w:sz w:val="21"/>
              </w:rPr>
            </w:pPr>
            <w:r/>
          </w:p>
        </w:tc>
      </w:tr>
      <w:tr>
        <w:trPr>
          <w:trHeight w:val="774" w:hRule="atLeast"/>
        </w:trPr>
        <w:tc>
          <w:tcPr>
            <w:tcW w:w="1008" w:type="dxa"/>
            <w:vAlign w:val="top"/>
            <w:vMerge w:val="continue"/>
            <w:tcBorders>
              <w:top w:val="nil"/>
            </w:tcBorders>
          </w:tcPr>
          <w:p>
            <w:pPr>
              <w:rPr>
                <w:rFonts w:ascii="Arial"/>
                <w:sz w:val="21"/>
              </w:rPr>
            </w:pPr>
            <w:r/>
          </w:p>
        </w:tc>
        <w:tc>
          <w:tcPr>
            <w:tcW w:w="1706" w:type="dxa"/>
            <w:vAlign w:val="top"/>
          </w:tcPr>
          <w:p>
            <w:pPr>
              <w:ind w:left="431" w:right="121" w:hanging="314"/>
              <w:spacing w:before="148" w:line="251" w:lineRule="auto"/>
              <w:rPr>
                <w:rFonts w:ascii="SimSun" w:hAnsi="SimSun" w:eastAsia="SimSun" w:cs="SimSun"/>
                <w:sz w:val="20"/>
                <w:szCs w:val="20"/>
              </w:rPr>
            </w:pPr>
            <w:r>
              <w:rPr>
                <w:rFonts w:ascii="SimSun" w:hAnsi="SimSun" w:eastAsia="SimSun" w:cs="SimSun"/>
                <w:sz w:val="20"/>
                <w:szCs w:val="20"/>
                <w:spacing w:val="8"/>
              </w:rPr>
              <w:t>采掘场及排土场</w:t>
            </w:r>
            <w:r>
              <w:rPr>
                <w:rFonts w:ascii="SimSun" w:hAnsi="SimSun" w:eastAsia="SimSun" w:cs="SimSun"/>
                <w:sz w:val="20"/>
                <w:szCs w:val="20"/>
                <w:spacing w:val="7"/>
              </w:rPr>
              <w:t>施工机械</w:t>
            </w:r>
          </w:p>
        </w:tc>
        <w:tc>
          <w:tcPr>
            <w:tcW w:w="1519" w:type="dxa"/>
            <w:vAlign w:val="top"/>
            <w:vMerge w:val="continue"/>
            <w:tcBorders>
              <w:top w:val="nil"/>
            </w:tcBorders>
          </w:tcPr>
          <w:p>
            <w:pPr>
              <w:rPr>
                <w:rFonts w:ascii="Arial"/>
                <w:sz w:val="21"/>
              </w:rPr>
            </w:pPr>
            <w:r/>
          </w:p>
        </w:tc>
        <w:tc>
          <w:tcPr>
            <w:tcW w:w="3968" w:type="dxa"/>
            <w:vAlign w:val="top"/>
          </w:tcPr>
          <w:p>
            <w:pPr>
              <w:ind w:left="1039"/>
              <w:spacing w:before="279" w:line="228" w:lineRule="auto"/>
              <w:rPr>
                <w:rFonts w:ascii="SimSun" w:hAnsi="SimSun" w:eastAsia="SimSun" w:cs="SimSun"/>
                <w:sz w:val="20"/>
                <w:szCs w:val="20"/>
              </w:rPr>
            </w:pPr>
            <w:r>
              <w:rPr>
                <w:rFonts w:ascii="SimSun" w:hAnsi="SimSun" w:eastAsia="SimSun" w:cs="SimSun"/>
                <w:sz w:val="20"/>
                <w:szCs w:val="20"/>
                <w:spacing w:val="9"/>
              </w:rPr>
              <w:t>控制车速、定期保养</w:t>
            </w:r>
          </w:p>
        </w:tc>
        <w:tc>
          <w:tcPr>
            <w:tcW w:w="1264" w:type="dxa"/>
            <w:vAlign w:val="top"/>
          </w:tcPr>
          <w:p>
            <w:pPr>
              <w:spacing w:line="257" w:lineRule="auto"/>
              <w:rPr>
                <w:rFonts w:ascii="Arial"/>
                <w:sz w:val="21"/>
              </w:rPr>
            </w:pPr>
            <w:r/>
          </w:p>
          <w:p>
            <w:pPr>
              <w:pStyle w:val="TableText"/>
              <w:ind w:left="599"/>
              <w:spacing w:before="58" w:line="199" w:lineRule="auto"/>
              <w:rPr/>
            </w:pPr>
            <w:r>
              <w:rPr>
                <w:spacing w:val="2"/>
              </w:rPr>
              <w:t>/</w:t>
            </w:r>
          </w:p>
        </w:tc>
        <w:tc>
          <w:tcPr>
            <w:tcW w:w="1583" w:type="dxa"/>
            <w:vAlign w:val="top"/>
          </w:tcPr>
          <w:p>
            <w:pPr>
              <w:spacing w:line="257" w:lineRule="auto"/>
              <w:rPr>
                <w:rFonts w:ascii="Arial"/>
                <w:sz w:val="21"/>
              </w:rPr>
            </w:pPr>
            <w:r/>
          </w:p>
          <w:p>
            <w:pPr>
              <w:pStyle w:val="TableText"/>
              <w:ind w:left="260"/>
              <w:spacing w:before="58" w:line="201" w:lineRule="auto"/>
              <w:rPr/>
            </w:pPr>
            <w:r>
              <w:rPr>
                <w:spacing w:val="5"/>
              </w:rPr>
              <w:t>70~77</w:t>
            </w:r>
            <w:r>
              <w:rPr/>
              <w:t>dB</w:t>
            </w:r>
            <w:r>
              <w:rPr>
                <w:spacing w:val="5"/>
              </w:rPr>
              <w:t>(A)</w:t>
            </w:r>
          </w:p>
        </w:tc>
        <w:tc>
          <w:tcPr>
            <w:tcW w:w="1324" w:type="dxa"/>
            <w:vAlign w:val="top"/>
          </w:tcPr>
          <w:p>
            <w:pPr>
              <w:spacing w:line="257" w:lineRule="auto"/>
              <w:rPr>
                <w:rFonts w:ascii="Arial"/>
                <w:sz w:val="21"/>
              </w:rPr>
            </w:pPr>
            <w:r/>
          </w:p>
          <w:p>
            <w:pPr>
              <w:pStyle w:val="TableText"/>
              <w:ind w:left="630"/>
              <w:spacing w:before="58" w:line="199" w:lineRule="auto"/>
              <w:rPr/>
            </w:pPr>
            <w:r>
              <w:rPr>
                <w:spacing w:val="2"/>
              </w:rPr>
              <w:t>/</w:t>
            </w:r>
          </w:p>
        </w:tc>
        <w:tc>
          <w:tcPr>
            <w:tcW w:w="2135" w:type="dxa"/>
            <w:vAlign w:val="top"/>
            <w:vMerge w:val="continue"/>
            <w:tcBorders>
              <w:top w:val="nil"/>
            </w:tcBorders>
          </w:tcPr>
          <w:p>
            <w:pPr>
              <w:rPr>
                <w:rFonts w:ascii="Arial"/>
                <w:sz w:val="21"/>
              </w:rPr>
            </w:pPr>
            <w:r/>
          </w:p>
        </w:tc>
      </w:tr>
      <w:tr>
        <w:trPr>
          <w:trHeight w:val="324" w:hRule="atLeast"/>
        </w:trPr>
        <w:tc>
          <w:tcPr>
            <w:tcW w:w="1008" w:type="dxa"/>
            <w:vAlign w:val="top"/>
            <w:vMerge w:val="restart"/>
            <w:tcBorders>
              <w:bottom w:val="nil"/>
            </w:tcBorders>
          </w:tcPr>
          <w:p>
            <w:pPr>
              <w:spacing w:line="260" w:lineRule="auto"/>
              <w:rPr>
                <w:rFonts w:ascii="Arial"/>
                <w:sz w:val="21"/>
              </w:rPr>
            </w:pPr>
            <w:r/>
          </w:p>
          <w:p>
            <w:pPr>
              <w:spacing w:line="261" w:lineRule="auto"/>
              <w:rPr>
                <w:rFonts w:ascii="Arial"/>
                <w:sz w:val="21"/>
              </w:rPr>
            </w:pPr>
            <w:r/>
          </w:p>
          <w:p>
            <w:pPr>
              <w:spacing w:line="261" w:lineRule="auto"/>
              <w:rPr>
                <w:rFonts w:ascii="Arial"/>
                <w:sz w:val="21"/>
              </w:rPr>
            </w:pPr>
            <w:r/>
          </w:p>
          <w:p>
            <w:pPr>
              <w:ind w:left="316"/>
              <w:spacing w:before="65" w:line="228" w:lineRule="auto"/>
              <w:rPr>
                <w:rFonts w:ascii="SimSun" w:hAnsi="SimSun" w:eastAsia="SimSun" w:cs="SimSun"/>
                <w:sz w:val="20"/>
                <w:szCs w:val="20"/>
              </w:rPr>
            </w:pPr>
            <w:r>
              <w:rPr>
                <w:rFonts w:ascii="SimSun" w:hAnsi="SimSun" w:eastAsia="SimSun" w:cs="SimSun"/>
                <w:sz w:val="20"/>
                <w:szCs w:val="20"/>
                <w:spacing w:val="-5"/>
              </w:rPr>
              <w:t>固废</w:t>
            </w:r>
          </w:p>
        </w:tc>
        <w:tc>
          <w:tcPr>
            <w:tcW w:w="3225" w:type="dxa"/>
            <w:vAlign w:val="top"/>
            <w:gridSpan w:val="2"/>
          </w:tcPr>
          <w:p>
            <w:pPr>
              <w:ind w:left="1194"/>
              <w:spacing w:before="58" w:line="228" w:lineRule="auto"/>
              <w:rPr>
                <w:rFonts w:ascii="SimSun" w:hAnsi="SimSun" w:eastAsia="SimSun" w:cs="SimSun"/>
                <w:sz w:val="20"/>
                <w:szCs w:val="20"/>
              </w:rPr>
            </w:pPr>
            <w:r>
              <w:rPr>
                <w:rFonts w:ascii="SimSun" w:hAnsi="SimSun" w:eastAsia="SimSun" w:cs="SimSun"/>
                <w:sz w:val="20"/>
                <w:szCs w:val="20"/>
                <w:spacing w:val="7"/>
              </w:rPr>
              <w:t>风选矸石</w:t>
            </w:r>
          </w:p>
        </w:tc>
        <w:tc>
          <w:tcPr>
            <w:tcW w:w="3968" w:type="dxa"/>
            <w:vAlign w:val="top"/>
          </w:tcPr>
          <w:p>
            <w:pPr>
              <w:ind w:left="1463"/>
              <w:spacing w:before="58" w:line="228" w:lineRule="auto"/>
              <w:rPr>
                <w:rFonts w:ascii="SimSun" w:hAnsi="SimSun" w:eastAsia="SimSun" w:cs="SimSun"/>
                <w:sz w:val="20"/>
                <w:szCs w:val="20"/>
              </w:rPr>
            </w:pPr>
            <w:r>
              <w:rPr>
                <w:rFonts w:ascii="SimSun" w:hAnsi="SimSun" w:eastAsia="SimSun" w:cs="SimSun"/>
                <w:sz w:val="20"/>
                <w:szCs w:val="20"/>
                <w:spacing w:val="7"/>
              </w:rPr>
              <w:t>充填沉陷区</w:t>
            </w:r>
          </w:p>
        </w:tc>
        <w:tc>
          <w:tcPr>
            <w:tcW w:w="1264" w:type="dxa"/>
            <w:vAlign w:val="top"/>
          </w:tcPr>
          <w:p>
            <w:pPr>
              <w:pStyle w:val="TableText"/>
              <w:ind w:left="599"/>
              <w:spacing w:before="89" w:line="199" w:lineRule="auto"/>
              <w:rPr/>
            </w:pPr>
            <w:r>
              <w:rPr>
                <w:spacing w:val="2"/>
              </w:rPr>
              <w:t>/</w:t>
            </w:r>
          </w:p>
        </w:tc>
        <w:tc>
          <w:tcPr>
            <w:tcW w:w="1583" w:type="dxa"/>
            <w:vAlign w:val="top"/>
          </w:tcPr>
          <w:p>
            <w:pPr>
              <w:pStyle w:val="TableText"/>
              <w:ind w:left="430"/>
              <w:spacing w:before="58" w:line="228" w:lineRule="auto"/>
              <w:rPr/>
            </w:pPr>
            <w:r>
              <w:rPr/>
              <w:t>50</w:t>
            </w:r>
            <w:r>
              <w:rPr>
                <w:spacing w:val="15"/>
              </w:rPr>
              <w:t xml:space="preserve"> </w:t>
            </w:r>
            <w:r>
              <w:rPr>
                <w:rFonts w:ascii="SimSun" w:hAnsi="SimSun" w:eastAsia="SimSun" w:cs="SimSun"/>
              </w:rPr>
              <w:t>万</w:t>
            </w:r>
            <w:r>
              <w:rPr>
                <w:rFonts w:ascii="SimSun" w:hAnsi="SimSun" w:eastAsia="SimSun" w:cs="SimSun"/>
                <w:spacing w:val="-43"/>
              </w:rPr>
              <w:t xml:space="preserve"> </w:t>
            </w:r>
            <w:r>
              <w:rPr/>
              <w:t>t/a</w:t>
            </w:r>
          </w:p>
        </w:tc>
        <w:tc>
          <w:tcPr>
            <w:tcW w:w="1324" w:type="dxa"/>
            <w:vAlign w:val="top"/>
          </w:tcPr>
          <w:p>
            <w:pPr>
              <w:pStyle w:val="TableText"/>
              <w:ind w:left="630"/>
              <w:spacing w:before="89" w:line="199" w:lineRule="auto"/>
              <w:rPr/>
            </w:pPr>
            <w:r>
              <w:rPr>
                <w:spacing w:val="2"/>
              </w:rPr>
              <w:t>/</w:t>
            </w:r>
          </w:p>
        </w:tc>
        <w:tc>
          <w:tcPr>
            <w:tcW w:w="2135" w:type="dxa"/>
            <w:vAlign w:val="top"/>
            <w:vMerge w:val="restart"/>
            <w:tcBorders>
              <w:bottom w:val="nil"/>
            </w:tcBorders>
          </w:tcPr>
          <w:p>
            <w:pPr>
              <w:ind w:left="128"/>
              <w:spacing w:before="36" w:line="228" w:lineRule="auto"/>
              <w:rPr>
                <w:rFonts w:ascii="SimSun" w:hAnsi="SimSun" w:eastAsia="SimSun" w:cs="SimSun"/>
                <w:sz w:val="20"/>
                <w:szCs w:val="20"/>
              </w:rPr>
            </w:pPr>
            <w:r>
              <w:rPr>
                <w:rFonts w:ascii="SimSun" w:hAnsi="SimSun" w:eastAsia="SimSun" w:cs="SimSun"/>
                <w:sz w:val="20"/>
                <w:szCs w:val="20"/>
                <w:spacing w:val="8"/>
              </w:rPr>
              <w:t>一般工业固体废物贮</w:t>
            </w:r>
          </w:p>
          <w:p>
            <w:pPr>
              <w:ind w:left="650"/>
              <w:spacing w:before="21" w:line="228" w:lineRule="auto"/>
              <w:rPr>
                <w:rFonts w:ascii="SimSun" w:hAnsi="SimSun" w:eastAsia="SimSun" w:cs="SimSun"/>
                <w:sz w:val="20"/>
                <w:szCs w:val="20"/>
              </w:rPr>
            </w:pPr>
            <w:r>
              <w:rPr>
                <w:rFonts w:ascii="SimSun" w:hAnsi="SimSun" w:eastAsia="SimSun" w:cs="SimSun"/>
                <w:sz w:val="20"/>
                <w:szCs w:val="20"/>
                <w:spacing w:val="7"/>
              </w:rPr>
              <w:t>存和填埋</w:t>
            </w:r>
          </w:p>
          <w:p>
            <w:pPr>
              <w:ind w:left="338"/>
              <w:spacing w:before="29" w:line="228" w:lineRule="auto"/>
              <w:rPr>
                <w:rFonts w:ascii="SimSun" w:hAnsi="SimSun" w:eastAsia="SimSun" w:cs="SimSun"/>
                <w:sz w:val="20"/>
                <w:szCs w:val="20"/>
              </w:rPr>
            </w:pPr>
            <w:r>
              <w:rPr>
                <w:rFonts w:ascii="SimSun" w:hAnsi="SimSun" w:eastAsia="SimSun" w:cs="SimSun"/>
                <w:sz w:val="20"/>
                <w:szCs w:val="20"/>
                <w:spacing w:val="6"/>
              </w:rPr>
              <w:t>污染控制标准》</w:t>
            </w:r>
          </w:p>
          <w:p>
            <w:pPr>
              <w:pStyle w:val="TableText"/>
              <w:ind w:left="147"/>
              <w:spacing w:before="23"/>
              <w:rPr>
                <w:rFonts w:ascii="SimSun" w:hAnsi="SimSun" w:eastAsia="SimSun" w:cs="SimSun"/>
              </w:rPr>
            </w:pPr>
            <w:r>
              <w:rPr>
                <w:rFonts w:ascii="SimSun" w:hAnsi="SimSun" w:eastAsia="SimSun" w:cs="SimSun"/>
                <w:spacing w:val="4"/>
              </w:rPr>
              <w:t>（</w:t>
            </w:r>
            <w:r>
              <w:rPr/>
              <w:t>GB</w:t>
            </w:r>
            <w:r>
              <w:rPr>
                <w:spacing w:val="4"/>
              </w:rPr>
              <w:t>185992020</w:t>
            </w:r>
            <w:r>
              <w:rPr>
                <w:rFonts w:ascii="SimSun" w:hAnsi="SimSun" w:eastAsia="SimSun" w:cs="SimSun"/>
                <w:spacing w:val="4"/>
              </w:rPr>
              <w:t>）、</w:t>
            </w:r>
          </w:p>
          <w:p>
            <w:pPr>
              <w:ind w:left="550"/>
              <w:spacing w:before="14" w:line="228" w:lineRule="auto"/>
              <w:rPr>
                <w:rFonts w:ascii="SimSun" w:hAnsi="SimSun" w:eastAsia="SimSun" w:cs="SimSun"/>
                <w:sz w:val="20"/>
                <w:szCs w:val="20"/>
              </w:rPr>
            </w:pPr>
            <w:r>
              <w:rPr>
                <w:rFonts w:ascii="SimSun" w:hAnsi="SimSun" w:eastAsia="SimSun" w:cs="SimSun"/>
                <w:sz w:val="20"/>
                <w:szCs w:val="20"/>
                <w:spacing w:val="7"/>
              </w:rPr>
              <w:t>《煤炭工业</w:t>
            </w:r>
          </w:p>
          <w:p>
            <w:pPr>
              <w:ind w:left="232"/>
              <w:spacing w:before="24" w:line="228" w:lineRule="auto"/>
              <w:rPr>
                <w:rFonts w:ascii="SimSun" w:hAnsi="SimSun" w:eastAsia="SimSun" w:cs="SimSun"/>
                <w:sz w:val="20"/>
                <w:szCs w:val="20"/>
              </w:rPr>
            </w:pPr>
            <w:r>
              <w:rPr>
                <w:rFonts w:ascii="SimSun" w:hAnsi="SimSun" w:eastAsia="SimSun" w:cs="SimSun"/>
                <w:sz w:val="20"/>
                <w:szCs w:val="20"/>
                <w:spacing w:val="7"/>
              </w:rPr>
              <w:t>污染物排放标准》</w:t>
            </w:r>
          </w:p>
          <w:p>
            <w:pPr>
              <w:pStyle w:val="TableText"/>
              <w:ind w:left="147"/>
              <w:spacing w:before="27" w:line="215" w:lineRule="auto"/>
              <w:rPr>
                <w:rFonts w:ascii="SimSun" w:hAnsi="SimSun" w:eastAsia="SimSun" w:cs="SimSun"/>
              </w:rPr>
            </w:pPr>
            <w:r>
              <w:rPr>
                <w:rFonts w:ascii="SimSun" w:hAnsi="SimSun" w:eastAsia="SimSun" w:cs="SimSun"/>
                <w:spacing w:val="7"/>
              </w:rPr>
              <w:t>（</w:t>
            </w:r>
            <w:r>
              <w:rPr/>
              <w:t>GB</w:t>
            </w:r>
            <w:r>
              <w:rPr>
                <w:spacing w:val="7"/>
              </w:rPr>
              <w:t>204262006</w:t>
            </w:r>
            <w:r>
              <w:rPr>
                <w:rFonts w:ascii="SimSun" w:hAnsi="SimSun" w:eastAsia="SimSun" w:cs="SimSun"/>
                <w:spacing w:val="7"/>
              </w:rPr>
              <w:t>）中</w:t>
            </w:r>
          </w:p>
        </w:tc>
      </w:tr>
      <w:tr>
        <w:trPr>
          <w:trHeight w:val="278" w:hRule="atLeast"/>
        </w:trPr>
        <w:tc>
          <w:tcPr>
            <w:tcW w:w="1008" w:type="dxa"/>
            <w:vAlign w:val="top"/>
            <w:vMerge w:val="continue"/>
            <w:tcBorders>
              <w:top w:val="nil"/>
              <w:bottom w:val="nil"/>
            </w:tcBorders>
          </w:tcPr>
          <w:p>
            <w:pPr>
              <w:rPr>
                <w:rFonts w:ascii="Arial"/>
                <w:sz w:val="21"/>
              </w:rPr>
            </w:pPr>
            <w:r/>
          </w:p>
        </w:tc>
        <w:tc>
          <w:tcPr>
            <w:tcW w:w="3225" w:type="dxa"/>
            <w:vAlign w:val="top"/>
            <w:gridSpan w:val="2"/>
          </w:tcPr>
          <w:p>
            <w:pPr>
              <w:ind w:left="1088"/>
              <w:spacing w:before="36" w:line="214" w:lineRule="auto"/>
              <w:rPr>
                <w:rFonts w:ascii="SimSun" w:hAnsi="SimSun" w:eastAsia="SimSun" w:cs="SimSun"/>
                <w:sz w:val="20"/>
                <w:szCs w:val="20"/>
              </w:rPr>
            </w:pPr>
            <w:r>
              <w:rPr>
                <w:rFonts w:ascii="SimSun" w:hAnsi="SimSun" w:eastAsia="SimSun" w:cs="SimSun"/>
                <w:sz w:val="20"/>
                <w:szCs w:val="20"/>
                <w:spacing w:val="8"/>
              </w:rPr>
              <w:t>土岩剥离物</w:t>
            </w:r>
          </w:p>
        </w:tc>
        <w:tc>
          <w:tcPr>
            <w:tcW w:w="3968" w:type="dxa"/>
            <w:vAlign w:val="top"/>
          </w:tcPr>
          <w:p>
            <w:pPr>
              <w:ind w:left="42"/>
              <w:spacing w:before="36" w:line="214" w:lineRule="auto"/>
              <w:rPr>
                <w:rFonts w:ascii="SimSun" w:hAnsi="SimSun" w:eastAsia="SimSun" w:cs="SimSun"/>
                <w:sz w:val="20"/>
                <w:szCs w:val="20"/>
              </w:rPr>
            </w:pPr>
            <w:r>
              <w:rPr>
                <w:rFonts w:ascii="SimSun" w:hAnsi="SimSun" w:eastAsia="SimSun" w:cs="SimSun"/>
                <w:sz w:val="20"/>
                <w:szCs w:val="20"/>
                <w:spacing w:val="4"/>
              </w:rPr>
              <w:t>部分用于沉陷区充填，部分运送至内排土场</w:t>
            </w:r>
          </w:p>
        </w:tc>
        <w:tc>
          <w:tcPr>
            <w:tcW w:w="1264" w:type="dxa"/>
            <w:vAlign w:val="top"/>
          </w:tcPr>
          <w:p>
            <w:pPr>
              <w:pStyle w:val="TableText"/>
              <w:ind w:left="599"/>
              <w:spacing w:before="68" w:line="199" w:lineRule="auto"/>
              <w:rPr/>
            </w:pPr>
            <w:r>
              <w:rPr>
                <w:spacing w:val="2"/>
              </w:rPr>
              <w:t>/</w:t>
            </w:r>
          </w:p>
        </w:tc>
        <w:tc>
          <w:tcPr>
            <w:tcW w:w="1583" w:type="dxa"/>
            <w:vAlign w:val="top"/>
          </w:tcPr>
          <w:p>
            <w:pPr>
              <w:pStyle w:val="TableText"/>
              <w:ind w:left="238"/>
              <w:spacing w:before="36" w:line="214" w:lineRule="auto"/>
              <w:rPr/>
            </w:pPr>
            <w:r>
              <w:rPr>
                <w:spacing w:val="2"/>
              </w:rPr>
              <w:t>5295</w:t>
            </w:r>
            <w:r>
              <w:rPr>
                <w:spacing w:val="16"/>
                <w:w w:val="101"/>
              </w:rPr>
              <w:t xml:space="preserve"> </w:t>
            </w:r>
            <w:r>
              <w:rPr>
                <w:rFonts w:ascii="SimSun" w:hAnsi="SimSun" w:eastAsia="SimSun" w:cs="SimSun"/>
                <w:spacing w:val="2"/>
              </w:rPr>
              <w:t>万</w:t>
            </w:r>
            <w:r>
              <w:rPr>
                <w:rFonts w:ascii="SimSun" w:hAnsi="SimSun" w:eastAsia="SimSun" w:cs="SimSun"/>
                <w:spacing w:val="-44"/>
              </w:rPr>
              <w:t xml:space="preserve"> </w:t>
            </w:r>
            <w:r>
              <w:rPr>
                <w:spacing w:val="2"/>
              </w:rPr>
              <w:t>m</w:t>
            </w:r>
            <w:r>
              <w:rPr>
                <w:sz w:val="13"/>
                <w:szCs w:val="13"/>
                <w:spacing w:val="2"/>
                <w:position w:val="6"/>
              </w:rPr>
              <w:t>3</w:t>
            </w:r>
            <w:r>
              <w:rPr>
                <w:spacing w:val="2"/>
              </w:rPr>
              <w:t>/a</w:t>
            </w:r>
          </w:p>
        </w:tc>
        <w:tc>
          <w:tcPr>
            <w:tcW w:w="1324" w:type="dxa"/>
            <w:vAlign w:val="top"/>
          </w:tcPr>
          <w:p>
            <w:pPr>
              <w:pStyle w:val="TableText"/>
              <w:ind w:left="630"/>
              <w:spacing w:before="68" w:line="199" w:lineRule="auto"/>
              <w:rPr/>
            </w:pPr>
            <w:r>
              <w:rPr>
                <w:spacing w:val="2"/>
              </w:rPr>
              <w:t>/</w:t>
            </w:r>
          </w:p>
        </w:tc>
        <w:tc>
          <w:tcPr>
            <w:tcW w:w="2135" w:type="dxa"/>
            <w:vAlign w:val="top"/>
            <w:vMerge w:val="continue"/>
            <w:tcBorders>
              <w:top w:val="nil"/>
              <w:bottom w:val="nil"/>
            </w:tcBorders>
          </w:tcPr>
          <w:p>
            <w:pPr>
              <w:rPr>
                <w:rFonts w:ascii="Arial"/>
                <w:sz w:val="21"/>
              </w:rPr>
            </w:pPr>
            <w:r/>
          </w:p>
        </w:tc>
      </w:tr>
      <w:tr>
        <w:trPr>
          <w:trHeight w:val="276" w:hRule="atLeast"/>
        </w:trPr>
        <w:tc>
          <w:tcPr>
            <w:tcW w:w="1008" w:type="dxa"/>
            <w:vAlign w:val="top"/>
            <w:vMerge w:val="continue"/>
            <w:tcBorders>
              <w:top w:val="nil"/>
              <w:bottom w:val="nil"/>
            </w:tcBorders>
          </w:tcPr>
          <w:p>
            <w:pPr>
              <w:rPr>
                <w:rFonts w:ascii="Arial"/>
                <w:sz w:val="21"/>
              </w:rPr>
            </w:pPr>
            <w:r/>
          </w:p>
        </w:tc>
        <w:tc>
          <w:tcPr>
            <w:tcW w:w="3225" w:type="dxa"/>
            <w:vAlign w:val="top"/>
            <w:gridSpan w:val="2"/>
          </w:tcPr>
          <w:p>
            <w:pPr>
              <w:ind w:left="1195"/>
              <w:spacing w:before="34" w:line="214" w:lineRule="auto"/>
              <w:rPr>
                <w:rFonts w:ascii="SimSun" w:hAnsi="SimSun" w:eastAsia="SimSun" w:cs="SimSun"/>
                <w:sz w:val="20"/>
                <w:szCs w:val="20"/>
              </w:rPr>
            </w:pPr>
            <w:r>
              <w:rPr>
                <w:rFonts w:ascii="SimSun" w:hAnsi="SimSun" w:eastAsia="SimSun" w:cs="SimSun"/>
                <w:sz w:val="20"/>
                <w:szCs w:val="20"/>
                <w:spacing w:val="6"/>
              </w:rPr>
              <w:t>生活垃圾</w:t>
            </w:r>
          </w:p>
        </w:tc>
        <w:tc>
          <w:tcPr>
            <w:tcW w:w="3968" w:type="dxa"/>
            <w:vAlign w:val="top"/>
          </w:tcPr>
          <w:p>
            <w:pPr>
              <w:ind w:left="416"/>
              <w:spacing w:before="34" w:line="214" w:lineRule="auto"/>
              <w:rPr>
                <w:rFonts w:ascii="SimSun" w:hAnsi="SimSun" w:eastAsia="SimSun" w:cs="SimSun"/>
                <w:sz w:val="20"/>
                <w:szCs w:val="20"/>
              </w:rPr>
            </w:pPr>
            <w:r>
              <w:rPr>
                <w:rFonts w:ascii="SimSun" w:hAnsi="SimSun" w:eastAsia="SimSun" w:cs="SimSun"/>
                <w:sz w:val="20"/>
                <w:szCs w:val="20"/>
                <w:spacing w:val="8"/>
              </w:rPr>
              <w:t>统一收集，由西乌旗环卫部门处置</w:t>
            </w:r>
          </w:p>
        </w:tc>
        <w:tc>
          <w:tcPr>
            <w:tcW w:w="1264" w:type="dxa"/>
            <w:vAlign w:val="top"/>
          </w:tcPr>
          <w:p>
            <w:pPr>
              <w:pStyle w:val="TableText"/>
              <w:ind w:left="599"/>
              <w:spacing w:before="65" w:line="199" w:lineRule="auto"/>
              <w:rPr/>
            </w:pPr>
            <w:r>
              <w:rPr>
                <w:spacing w:val="2"/>
              </w:rPr>
              <w:t>/</w:t>
            </w:r>
          </w:p>
        </w:tc>
        <w:tc>
          <w:tcPr>
            <w:tcW w:w="1583" w:type="dxa"/>
            <w:vAlign w:val="top"/>
          </w:tcPr>
          <w:p>
            <w:pPr>
              <w:pStyle w:val="TableText"/>
              <w:ind w:left="403"/>
              <w:spacing w:before="65" w:line="199" w:lineRule="auto"/>
              <w:rPr/>
            </w:pPr>
            <w:r>
              <w:rPr>
                <w:spacing w:val="-1"/>
              </w:rPr>
              <w:t>200.</w:t>
            </w:r>
            <w:r>
              <w:rPr>
                <w:spacing w:val="-18"/>
              </w:rPr>
              <w:t xml:space="preserve"> </w:t>
            </w:r>
            <w:r>
              <w:rPr>
                <w:spacing w:val="-1"/>
              </w:rPr>
              <w:t>11t/a</w:t>
            </w:r>
          </w:p>
        </w:tc>
        <w:tc>
          <w:tcPr>
            <w:tcW w:w="1324" w:type="dxa"/>
            <w:vAlign w:val="top"/>
          </w:tcPr>
          <w:p>
            <w:pPr>
              <w:pStyle w:val="TableText"/>
              <w:ind w:left="630"/>
              <w:spacing w:before="65" w:line="199" w:lineRule="auto"/>
              <w:rPr/>
            </w:pPr>
            <w:r>
              <w:rPr>
                <w:spacing w:val="2"/>
              </w:rPr>
              <w:t>/</w:t>
            </w:r>
          </w:p>
        </w:tc>
        <w:tc>
          <w:tcPr>
            <w:tcW w:w="2135" w:type="dxa"/>
            <w:vAlign w:val="top"/>
            <w:vMerge w:val="continue"/>
            <w:tcBorders>
              <w:top w:val="nil"/>
              <w:bottom w:val="nil"/>
            </w:tcBorders>
          </w:tcPr>
          <w:p>
            <w:pPr>
              <w:rPr>
                <w:rFonts w:ascii="Arial"/>
                <w:sz w:val="21"/>
              </w:rPr>
            </w:pPr>
            <w:r/>
          </w:p>
        </w:tc>
      </w:tr>
      <w:tr>
        <w:trPr>
          <w:trHeight w:val="278" w:hRule="atLeast"/>
        </w:trPr>
        <w:tc>
          <w:tcPr>
            <w:tcW w:w="1008" w:type="dxa"/>
            <w:vAlign w:val="top"/>
            <w:vMerge w:val="continue"/>
            <w:tcBorders>
              <w:top w:val="nil"/>
              <w:bottom w:val="nil"/>
            </w:tcBorders>
          </w:tcPr>
          <w:p>
            <w:pPr>
              <w:rPr>
                <w:rFonts w:ascii="Arial"/>
                <w:sz w:val="21"/>
              </w:rPr>
            </w:pPr>
            <w:r/>
          </w:p>
        </w:tc>
        <w:tc>
          <w:tcPr>
            <w:tcW w:w="3225" w:type="dxa"/>
            <w:vAlign w:val="top"/>
            <w:gridSpan w:val="2"/>
          </w:tcPr>
          <w:p>
            <w:pPr>
              <w:ind w:left="772"/>
              <w:spacing w:before="36" w:line="214" w:lineRule="auto"/>
              <w:rPr>
                <w:rFonts w:ascii="SimSun" w:hAnsi="SimSun" w:eastAsia="SimSun" w:cs="SimSun"/>
                <w:sz w:val="20"/>
                <w:szCs w:val="20"/>
              </w:rPr>
            </w:pPr>
            <w:r>
              <w:rPr>
                <w:rFonts w:ascii="SimSun" w:hAnsi="SimSun" w:eastAsia="SimSun" w:cs="SimSun"/>
                <w:sz w:val="20"/>
                <w:szCs w:val="20"/>
                <w:spacing w:val="8"/>
              </w:rPr>
              <w:t>矿井水处理站煤泥</w:t>
            </w:r>
          </w:p>
        </w:tc>
        <w:tc>
          <w:tcPr>
            <w:tcW w:w="3968" w:type="dxa"/>
            <w:vAlign w:val="top"/>
          </w:tcPr>
          <w:p>
            <w:pPr>
              <w:ind w:left="1252"/>
              <w:spacing w:before="36" w:line="214" w:lineRule="auto"/>
              <w:rPr>
                <w:rFonts w:ascii="SimSun" w:hAnsi="SimSun" w:eastAsia="SimSun" w:cs="SimSun"/>
                <w:sz w:val="20"/>
                <w:szCs w:val="20"/>
              </w:rPr>
            </w:pPr>
            <w:r>
              <w:rPr>
                <w:rFonts w:ascii="SimSun" w:hAnsi="SimSun" w:eastAsia="SimSun" w:cs="SimSun"/>
                <w:sz w:val="20"/>
                <w:szCs w:val="20"/>
                <w:spacing w:val="8"/>
              </w:rPr>
              <w:t>掺入产品煤外售</w:t>
            </w:r>
          </w:p>
        </w:tc>
        <w:tc>
          <w:tcPr>
            <w:tcW w:w="1264" w:type="dxa"/>
            <w:vAlign w:val="top"/>
          </w:tcPr>
          <w:p>
            <w:pPr>
              <w:pStyle w:val="TableText"/>
              <w:ind w:left="599"/>
              <w:spacing w:before="68" w:line="199" w:lineRule="auto"/>
              <w:rPr/>
            </w:pPr>
            <w:r>
              <w:rPr>
                <w:spacing w:val="2"/>
              </w:rPr>
              <w:t>/</w:t>
            </w:r>
          </w:p>
        </w:tc>
        <w:tc>
          <w:tcPr>
            <w:tcW w:w="1583" w:type="dxa"/>
            <w:vAlign w:val="top"/>
          </w:tcPr>
          <w:p>
            <w:pPr>
              <w:pStyle w:val="TableText"/>
              <w:ind w:left="418"/>
              <w:spacing w:before="68" w:line="199" w:lineRule="auto"/>
              <w:rPr/>
            </w:pPr>
            <w:r>
              <w:rPr>
                <w:spacing w:val="1"/>
              </w:rPr>
              <w:t>171.62t/a</w:t>
            </w:r>
          </w:p>
        </w:tc>
        <w:tc>
          <w:tcPr>
            <w:tcW w:w="1324" w:type="dxa"/>
            <w:vAlign w:val="top"/>
          </w:tcPr>
          <w:p>
            <w:pPr>
              <w:pStyle w:val="TableText"/>
              <w:ind w:left="630"/>
              <w:spacing w:before="68" w:line="199" w:lineRule="auto"/>
              <w:rPr/>
            </w:pPr>
            <w:r>
              <w:rPr>
                <w:spacing w:val="2"/>
              </w:rPr>
              <w:t>/</w:t>
            </w:r>
          </w:p>
        </w:tc>
        <w:tc>
          <w:tcPr>
            <w:tcW w:w="2135" w:type="dxa"/>
            <w:vAlign w:val="top"/>
            <w:vMerge w:val="continue"/>
            <w:tcBorders>
              <w:top w:val="nil"/>
              <w:bottom w:val="nil"/>
            </w:tcBorders>
          </w:tcPr>
          <w:p>
            <w:pPr>
              <w:rPr>
                <w:rFonts w:ascii="Arial"/>
                <w:sz w:val="21"/>
              </w:rPr>
            </w:pPr>
            <w:r/>
          </w:p>
        </w:tc>
      </w:tr>
      <w:tr>
        <w:trPr>
          <w:trHeight w:val="738" w:hRule="atLeast"/>
        </w:trPr>
        <w:tc>
          <w:tcPr>
            <w:tcW w:w="1008" w:type="dxa"/>
            <w:vAlign w:val="top"/>
            <w:vMerge w:val="continue"/>
            <w:tcBorders>
              <w:top w:val="nil"/>
            </w:tcBorders>
          </w:tcPr>
          <w:p>
            <w:pPr>
              <w:rPr>
                <w:rFonts w:ascii="Arial"/>
                <w:sz w:val="21"/>
              </w:rPr>
            </w:pPr>
            <w:r/>
          </w:p>
        </w:tc>
        <w:tc>
          <w:tcPr>
            <w:tcW w:w="3225" w:type="dxa"/>
            <w:vAlign w:val="top"/>
            <w:gridSpan w:val="2"/>
          </w:tcPr>
          <w:p>
            <w:pPr>
              <w:ind w:left="669"/>
              <w:spacing w:before="263" w:line="228" w:lineRule="auto"/>
              <w:rPr>
                <w:rFonts w:ascii="SimSun" w:hAnsi="SimSun" w:eastAsia="SimSun" w:cs="SimSun"/>
                <w:sz w:val="20"/>
                <w:szCs w:val="20"/>
              </w:rPr>
            </w:pPr>
            <w:r>
              <w:rPr>
                <w:rFonts w:ascii="SimSun" w:hAnsi="SimSun" w:eastAsia="SimSun" w:cs="SimSun"/>
                <w:sz w:val="20"/>
                <w:szCs w:val="20"/>
                <w:spacing w:val="8"/>
              </w:rPr>
              <w:t>生活污水处理站污泥</w:t>
            </w:r>
          </w:p>
        </w:tc>
        <w:tc>
          <w:tcPr>
            <w:tcW w:w="3968" w:type="dxa"/>
            <w:vAlign w:val="top"/>
          </w:tcPr>
          <w:p>
            <w:pPr>
              <w:ind w:left="40"/>
              <w:spacing w:before="124" w:line="228" w:lineRule="auto"/>
              <w:rPr>
                <w:rFonts w:ascii="SimSun" w:hAnsi="SimSun" w:eastAsia="SimSun" w:cs="SimSun"/>
                <w:sz w:val="20"/>
                <w:szCs w:val="20"/>
              </w:rPr>
            </w:pPr>
            <w:r>
              <w:rPr>
                <w:rFonts w:ascii="SimSun" w:hAnsi="SimSun" w:eastAsia="SimSun" w:cs="SimSun"/>
                <w:sz w:val="20"/>
                <w:szCs w:val="20"/>
                <w:spacing w:val="4"/>
              </w:rPr>
              <w:t>压滤后，与生活垃圾一起，由西乌旗环卫部</w:t>
            </w:r>
          </w:p>
          <w:p>
            <w:pPr>
              <w:ind w:left="1695"/>
              <w:spacing w:before="29" w:line="231" w:lineRule="auto"/>
              <w:rPr>
                <w:rFonts w:ascii="SimSun" w:hAnsi="SimSun" w:eastAsia="SimSun" w:cs="SimSun"/>
                <w:sz w:val="20"/>
                <w:szCs w:val="20"/>
              </w:rPr>
            </w:pPr>
            <w:r>
              <w:rPr>
                <w:rFonts w:ascii="SimSun" w:hAnsi="SimSun" w:eastAsia="SimSun" w:cs="SimSun"/>
                <w:sz w:val="20"/>
                <w:szCs w:val="20"/>
                <w:spacing w:val="-2"/>
              </w:rPr>
              <w:t>门处置</w:t>
            </w:r>
          </w:p>
        </w:tc>
        <w:tc>
          <w:tcPr>
            <w:tcW w:w="1264" w:type="dxa"/>
            <w:vAlign w:val="top"/>
          </w:tcPr>
          <w:p>
            <w:pPr>
              <w:pStyle w:val="TableText"/>
              <w:ind w:left="599"/>
              <w:spacing w:before="296" w:line="199" w:lineRule="auto"/>
              <w:rPr/>
            </w:pPr>
            <w:r>
              <w:rPr>
                <w:spacing w:val="2"/>
              </w:rPr>
              <w:t>/</w:t>
            </w:r>
          </w:p>
        </w:tc>
        <w:tc>
          <w:tcPr>
            <w:tcW w:w="1583" w:type="dxa"/>
            <w:vAlign w:val="top"/>
          </w:tcPr>
          <w:p>
            <w:pPr>
              <w:pStyle w:val="TableText"/>
              <w:ind w:left="524"/>
              <w:spacing w:before="296" w:line="199" w:lineRule="auto"/>
              <w:rPr/>
            </w:pPr>
            <w:r>
              <w:rPr/>
              <w:t>18.7t/a</w:t>
            </w:r>
          </w:p>
        </w:tc>
        <w:tc>
          <w:tcPr>
            <w:tcW w:w="1324" w:type="dxa"/>
            <w:vAlign w:val="top"/>
          </w:tcPr>
          <w:p>
            <w:pPr>
              <w:pStyle w:val="TableText"/>
              <w:ind w:left="630"/>
              <w:spacing w:before="296" w:line="199" w:lineRule="auto"/>
              <w:rPr/>
            </w:pPr>
            <w:r>
              <w:rPr>
                <w:spacing w:val="2"/>
              </w:rPr>
              <w:t>/</w:t>
            </w:r>
          </w:p>
        </w:tc>
        <w:tc>
          <w:tcPr>
            <w:tcW w:w="2135" w:type="dxa"/>
            <w:vAlign w:val="top"/>
            <w:vMerge w:val="continue"/>
            <w:tcBorders>
              <w:top w:val="nil"/>
            </w:tcBorders>
          </w:tcPr>
          <w:p>
            <w:pPr>
              <w:rPr>
                <w:rFonts w:ascii="Arial"/>
                <w:sz w:val="21"/>
              </w:rPr>
            </w:pPr>
            <w:r/>
          </w:p>
        </w:tc>
      </w:tr>
    </w:tbl>
    <w:p>
      <w:pPr>
        <w:pStyle w:val="BodyText"/>
        <w:rPr/>
      </w:pPr>
      <w:r/>
    </w:p>
    <w:p>
      <w:pPr>
        <w:sectPr>
          <w:headerReference w:type="default" r:id="rId81"/>
          <w:footerReference w:type="default" r:id="rId549"/>
          <w:pgSz w:w="16838" w:h="11906"/>
          <w:pgMar w:top="1169" w:right="1305" w:bottom="1080" w:left="1020" w:header="836" w:footer="917" w:gutter="0"/>
        </w:sectPr>
        <w:rPr/>
      </w:pPr>
    </w:p>
    <w:p>
      <w:pPr>
        <w:spacing w:before="7"/>
        <w:rPr/>
      </w:p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08"/>
        <w:gridCol w:w="1706"/>
        <w:gridCol w:w="1519"/>
        <w:gridCol w:w="3968"/>
        <w:gridCol w:w="1264"/>
        <w:gridCol w:w="1583"/>
        <w:gridCol w:w="1324"/>
        <w:gridCol w:w="2135"/>
      </w:tblGrid>
      <w:tr>
        <w:trPr>
          <w:trHeight w:val="280" w:hRule="atLeast"/>
        </w:trPr>
        <w:tc>
          <w:tcPr>
            <w:tcW w:w="1008" w:type="dxa"/>
            <w:vAlign w:val="top"/>
          </w:tcPr>
          <w:p>
            <w:pPr>
              <w:ind w:left="298"/>
              <w:spacing w:before="33" w:line="218" w:lineRule="auto"/>
              <w:rPr>
                <w:rFonts w:ascii="SimSun" w:hAnsi="SimSun" w:eastAsia="SimSun" w:cs="SimSun"/>
                <w:sz w:val="20"/>
                <w:szCs w:val="20"/>
              </w:rPr>
            </w:pPr>
            <w:r>
              <w:rPr>
                <w:rFonts w:ascii="SimSun" w:hAnsi="SimSun" w:eastAsia="SimSun" w:cs="SimSun"/>
                <w:sz w:val="20"/>
                <w:szCs w:val="20"/>
                <w:spacing w:val="4"/>
              </w:rPr>
              <w:t>类别</w:t>
            </w:r>
          </w:p>
        </w:tc>
        <w:tc>
          <w:tcPr>
            <w:tcW w:w="1706" w:type="dxa"/>
            <w:vAlign w:val="top"/>
          </w:tcPr>
          <w:p>
            <w:pPr>
              <w:ind w:left="540"/>
              <w:spacing w:before="33" w:line="218" w:lineRule="auto"/>
              <w:rPr>
                <w:rFonts w:ascii="SimSun" w:hAnsi="SimSun" w:eastAsia="SimSun" w:cs="SimSun"/>
                <w:sz w:val="20"/>
                <w:szCs w:val="20"/>
              </w:rPr>
            </w:pPr>
            <w:r>
              <w:rPr>
                <w:rFonts w:ascii="SimSun" w:hAnsi="SimSun" w:eastAsia="SimSun" w:cs="SimSun"/>
                <w:sz w:val="20"/>
                <w:szCs w:val="20"/>
                <w:spacing w:val="6"/>
              </w:rPr>
              <w:t>污染源</w:t>
            </w:r>
          </w:p>
        </w:tc>
        <w:tc>
          <w:tcPr>
            <w:tcW w:w="1519" w:type="dxa"/>
            <w:vAlign w:val="top"/>
          </w:tcPr>
          <w:p>
            <w:pPr>
              <w:ind w:left="238"/>
              <w:spacing w:before="33" w:line="218" w:lineRule="auto"/>
              <w:rPr>
                <w:rFonts w:ascii="SimSun" w:hAnsi="SimSun" w:eastAsia="SimSun" w:cs="SimSun"/>
                <w:sz w:val="20"/>
                <w:szCs w:val="20"/>
              </w:rPr>
            </w:pPr>
            <w:r>
              <w:rPr>
                <w:rFonts w:ascii="SimSun" w:hAnsi="SimSun" w:eastAsia="SimSun" w:cs="SimSun"/>
                <w:sz w:val="20"/>
                <w:szCs w:val="20"/>
                <w:spacing w:val="7"/>
              </w:rPr>
              <w:t>主要污染物</w:t>
            </w:r>
          </w:p>
        </w:tc>
        <w:tc>
          <w:tcPr>
            <w:tcW w:w="3968" w:type="dxa"/>
            <w:vAlign w:val="top"/>
          </w:tcPr>
          <w:p>
            <w:pPr>
              <w:ind w:left="1566"/>
              <w:spacing w:before="33" w:line="218" w:lineRule="auto"/>
              <w:rPr>
                <w:rFonts w:ascii="SimSun" w:hAnsi="SimSun" w:eastAsia="SimSun" w:cs="SimSun"/>
                <w:sz w:val="20"/>
                <w:szCs w:val="20"/>
              </w:rPr>
            </w:pPr>
            <w:r>
              <w:rPr>
                <w:rFonts w:ascii="SimSun" w:hAnsi="SimSun" w:eastAsia="SimSun" w:cs="SimSun"/>
                <w:sz w:val="20"/>
                <w:szCs w:val="20"/>
                <w:spacing w:val="7"/>
              </w:rPr>
              <w:t>环保措施</w:t>
            </w:r>
          </w:p>
        </w:tc>
        <w:tc>
          <w:tcPr>
            <w:tcW w:w="1264" w:type="dxa"/>
            <w:vAlign w:val="top"/>
          </w:tcPr>
          <w:p>
            <w:pPr>
              <w:ind w:left="216"/>
              <w:spacing w:before="33" w:line="218" w:lineRule="auto"/>
              <w:rPr>
                <w:rFonts w:ascii="SimSun" w:hAnsi="SimSun" w:eastAsia="SimSun" w:cs="SimSun"/>
                <w:sz w:val="20"/>
                <w:szCs w:val="20"/>
              </w:rPr>
            </w:pPr>
            <w:r>
              <w:rPr>
                <w:rFonts w:ascii="SimSun" w:hAnsi="SimSun" w:eastAsia="SimSun" w:cs="SimSun"/>
                <w:sz w:val="20"/>
                <w:szCs w:val="20"/>
                <w:spacing w:val="7"/>
              </w:rPr>
              <w:t>排放浓度</w:t>
            </w:r>
          </w:p>
        </w:tc>
        <w:tc>
          <w:tcPr>
            <w:tcW w:w="1583" w:type="dxa"/>
            <w:vAlign w:val="top"/>
          </w:tcPr>
          <w:p>
            <w:pPr>
              <w:ind w:left="481"/>
              <w:spacing w:before="33" w:line="218" w:lineRule="auto"/>
              <w:rPr>
                <w:rFonts w:ascii="SimSun" w:hAnsi="SimSun" w:eastAsia="SimSun" w:cs="SimSun"/>
                <w:sz w:val="20"/>
                <w:szCs w:val="20"/>
              </w:rPr>
            </w:pPr>
            <w:r>
              <w:rPr>
                <w:rFonts w:ascii="SimSun" w:hAnsi="SimSun" w:eastAsia="SimSun" w:cs="SimSun"/>
                <w:sz w:val="20"/>
                <w:szCs w:val="20"/>
                <w:spacing w:val="6"/>
              </w:rPr>
              <w:t>排放量</w:t>
            </w:r>
          </w:p>
        </w:tc>
        <w:tc>
          <w:tcPr>
            <w:tcW w:w="1324" w:type="dxa"/>
            <w:vAlign w:val="top"/>
          </w:tcPr>
          <w:p>
            <w:pPr>
              <w:ind w:left="247"/>
              <w:spacing w:before="33" w:line="218" w:lineRule="auto"/>
              <w:rPr>
                <w:rFonts w:ascii="SimSun" w:hAnsi="SimSun" w:eastAsia="SimSun" w:cs="SimSun"/>
                <w:sz w:val="20"/>
                <w:szCs w:val="20"/>
              </w:rPr>
            </w:pPr>
            <w:r>
              <w:rPr>
                <w:rFonts w:ascii="SimSun" w:hAnsi="SimSun" w:eastAsia="SimSun" w:cs="SimSun"/>
                <w:sz w:val="20"/>
                <w:szCs w:val="20"/>
                <w:spacing w:val="7"/>
              </w:rPr>
              <w:t>排放方式</w:t>
            </w:r>
          </w:p>
        </w:tc>
        <w:tc>
          <w:tcPr>
            <w:tcW w:w="2135" w:type="dxa"/>
            <w:vAlign w:val="top"/>
          </w:tcPr>
          <w:p>
            <w:pPr>
              <w:ind w:left="651"/>
              <w:spacing w:before="33" w:line="218" w:lineRule="auto"/>
              <w:rPr>
                <w:rFonts w:ascii="SimSun" w:hAnsi="SimSun" w:eastAsia="SimSun" w:cs="SimSun"/>
                <w:sz w:val="20"/>
                <w:szCs w:val="20"/>
              </w:rPr>
            </w:pPr>
            <w:r>
              <w:rPr>
                <w:rFonts w:ascii="SimSun" w:hAnsi="SimSun" w:eastAsia="SimSun" w:cs="SimSun"/>
                <w:sz w:val="20"/>
                <w:szCs w:val="20"/>
                <w:spacing w:val="7"/>
              </w:rPr>
              <w:t>执行标准</w:t>
            </w:r>
          </w:p>
        </w:tc>
      </w:tr>
      <w:tr>
        <w:trPr>
          <w:trHeight w:val="519" w:hRule="atLeast"/>
        </w:trPr>
        <w:tc>
          <w:tcPr>
            <w:tcW w:w="1008" w:type="dxa"/>
            <w:vAlign w:val="top"/>
            <w:vMerge w:val="restart"/>
            <w:tcBorders>
              <w:bottom w:val="nil"/>
            </w:tcBorders>
          </w:tcPr>
          <w:p>
            <w:pPr>
              <w:rPr>
                <w:rFonts w:ascii="Arial"/>
                <w:sz w:val="21"/>
              </w:rPr>
            </w:pPr>
            <w:r/>
          </w:p>
        </w:tc>
        <w:tc>
          <w:tcPr>
            <w:tcW w:w="3225" w:type="dxa"/>
            <w:vAlign w:val="top"/>
            <w:gridSpan w:val="2"/>
          </w:tcPr>
          <w:p>
            <w:pPr>
              <w:rPr>
                <w:rFonts w:ascii="Arial"/>
                <w:sz w:val="21"/>
              </w:rPr>
            </w:pPr>
            <w:r/>
          </w:p>
        </w:tc>
        <w:tc>
          <w:tcPr>
            <w:tcW w:w="3968" w:type="dxa"/>
            <w:vAlign w:val="top"/>
          </w:tcPr>
          <w:p>
            <w:pPr>
              <w:rPr>
                <w:rFonts w:ascii="Arial"/>
                <w:sz w:val="21"/>
              </w:rPr>
            </w:pPr>
            <w:r/>
          </w:p>
        </w:tc>
        <w:tc>
          <w:tcPr>
            <w:tcW w:w="1264" w:type="dxa"/>
            <w:vAlign w:val="top"/>
          </w:tcPr>
          <w:p>
            <w:pPr>
              <w:rPr>
                <w:rFonts w:ascii="Arial"/>
                <w:sz w:val="21"/>
              </w:rPr>
            </w:pPr>
            <w:r/>
          </w:p>
        </w:tc>
        <w:tc>
          <w:tcPr>
            <w:tcW w:w="1583" w:type="dxa"/>
            <w:vAlign w:val="top"/>
          </w:tcPr>
          <w:p>
            <w:pPr>
              <w:rPr>
                <w:rFonts w:ascii="Arial"/>
                <w:sz w:val="21"/>
              </w:rPr>
            </w:pPr>
            <w:r/>
          </w:p>
        </w:tc>
        <w:tc>
          <w:tcPr>
            <w:tcW w:w="1324" w:type="dxa"/>
            <w:vAlign w:val="top"/>
          </w:tcPr>
          <w:p>
            <w:pPr>
              <w:rPr>
                <w:rFonts w:ascii="Arial"/>
                <w:sz w:val="21"/>
              </w:rPr>
            </w:pPr>
            <w:r/>
          </w:p>
        </w:tc>
        <w:tc>
          <w:tcPr>
            <w:tcW w:w="2135" w:type="dxa"/>
            <w:vAlign w:val="top"/>
          </w:tcPr>
          <w:p>
            <w:pPr>
              <w:ind w:left="651"/>
              <w:spacing w:before="32" w:line="228" w:lineRule="auto"/>
              <w:rPr>
                <w:rFonts w:ascii="SimSun" w:hAnsi="SimSun" w:eastAsia="SimSun" w:cs="SimSun"/>
                <w:sz w:val="20"/>
                <w:szCs w:val="20"/>
              </w:rPr>
            </w:pPr>
            <w:r>
              <w:rPr>
                <w:rFonts w:ascii="SimSun" w:hAnsi="SimSun" w:eastAsia="SimSun" w:cs="SimSun"/>
                <w:sz w:val="20"/>
                <w:szCs w:val="20"/>
                <w:spacing w:val="7"/>
              </w:rPr>
              <w:t>有关规定</w:t>
            </w:r>
          </w:p>
        </w:tc>
      </w:tr>
      <w:tr>
        <w:trPr>
          <w:trHeight w:val="548" w:hRule="atLeast"/>
        </w:trPr>
        <w:tc>
          <w:tcPr>
            <w:tcW w:w="1008" w:type="dxa"/>
            <w:vAlign w:val="top"/>
            <w:vMerge w:val="continue"/>
            <w:tcBorders>
              <w:top w:val="nil"/>
              <w:bottom w:val="nil"/>
            </w:tcBorders>
          </w:tcPr>
          <w:p>
            <w:pPr>
              <w:rPr>
                <w:rFonts w:ascii="Arial"/>
                <w:sz w:val="21"/>
              </w:rPr>
            </w:pPr>
            <w:r/>
          </w:p>
        </w:tc>
        <w:tc>
          <w:tcPr>
            <w:tcW w:w="3225" w:type="dxa"/>
            <w:vAlign w:val="top"/>
            <w:gridSpan w:val="2"/>
          </w:tcPr>
          <w:p>
            <w:pPr>
              <w:ind w:left="1192"/>
              <w:spacing w:before="167" w:line="228" w:lineRule="auto"/>
              <w:rPr>
                <w:rFonts w:ascii="SimSun" w:hAnsi="SimSun" w:eastAsia="SimSun" w:cs="SimSun"/>
                <w:sz w:val="20"/>
                <w:szCs w:val="20"/>
              </w:rPr>
            </w:pPr>
            <w:r>
              <w:rPr>
                <w:rFonts w:ascii="SimSun" w:hAnsi="SimSun" w:eastAsia="SimSun" w:cs="SimSun"/>
                <w:sz w:val="20"/>
                <w:szCs w:val="20"/>
                <w:spacing w:val="7"/>
              </w:rPr>
              <w:t>废矿物油</w:t>
            </w:r>
          </w:p>
        </w:tc>
        <w:tc>
          <w:tcPr>
            <w:tcW w:w="3968" w:type="dxa"/>
            <w:vAlign w:val="top"/>
          </w:tcPr>
          <w:p>
            <w:pPr>
              <w:ind w:left="46"/>
              <w:spacing w:before="30" w:line="228" w:lineRule="auto"/>
              <w:rPr>
                <w:rFonts w:ascii="SimSun" w:hAnsi="SimSun" w:eastAsia="SimSun" w:cs="SimSun"/>
                <w:sz w:val="20"/>
                <w:szCs w:val="20"/>
              </w:rPr>
            </w:pPr>
            <w:r>
              <w:rPr>
                <w:rFonts w:ascii="SimSun" w:hAnsi="SimSun" w:eastAsia="SimSun" w:cs="SimSun"/>
                <w:sz w:val="20"/>
                <w:szCs w:val="20"/>
                <w:spacing w:val="4"/>
              </w:rPr>
              <w:t>暂存在危废暂存间，交予具有资质的单位回</w:t>
            </w:r>
          </w:p>
          <w:p>
            <w:pPr>
              <w:ind w:left="1679"/>
              <w:spacing w:before="27" w:line="215" w:lineRule="auto"/>
              <w:rPr>
                <w:rFonts w:ascii="SimSun" w:hAnsi="SimSun" w:eastAsia="SimSun" w:cs="SimSun"/>
                <w:sz w:val="20"/>
                <w:szCs w:val="20"/>
              </w:rPr>
            </w:pPr>
            <w:r>
              <w:rPr>
                <w:rFonts w:ascii="SimSun" w:hAnsi="SimSun" w:eastAsia="SimSun" w:cs="SimSun"/>
                <w:sz w:val="20"/>
                <w:szCs w:val="20"/>
                <w:spacing w:val="4"/>
              </w:rPr>
              <w:t>收处理</w:t>
            </w:r>
          </w:p>
        </w:tc>
        <w:tc>
          <w:tcPr>
            <w:tcW w:w="1264" w:type="dxa"/>
            <w:vAlign w:val="top"/>
          </w:tcPr>
          <w:p>
            <w:pPr>
              <w:pStyle w:val="TableText"/>
              <w:ind w:left="599"/>
              <w:spacing w:before="200" w:line="199" w:lineRule="auto"/>
              <w:rPr/>
            </w:pPr>
            <w:r>
              <w:rPr>
                <w:spacing w:val="2"/>
              </w:rPr>
              <w:t>/</w:t>
            </w:r>
          </w:p>
        </w:tc>
        <w:tc>
          <w:tcPr>
            <w:tcW w:w="1583" w:type="dxa"/>
            <w:vAlign w:val="top"/>
          </w:tcPr>
          <w:p>
            <w:pPr>
              <w:pStyle w:val="TableText"/>
              <w:ind w:left="518"/>
              <w:spacing w:before="200" w:line="199" w:lineRule="auto"/>
              <w:rPr/>
            </w:pPr>
            <w:r>
              <w:rPr>
                <w:spacing w:val="3"/>
              </w:rPr>
              <w:t>20t/a</w:t>
            </w:r>
          </w:p>
        </w:tc>
        <w:tc>
          <w:tcPr>
            <w:tcW w:w="1324" w:type="dxa"/>
            <w:vAlign w:val="top"/>
          </w:tcPr>
          <w:p>
            <w:pPr>
              <w:pStyle w:val="TableText"/>
              <w:ind w:left="630"/>
              <w:spacing w:before="200" w:line="199" w:lineRule="auto"/>
              <w:rPr/>
            </w:pPr>
            <w:r>
              <w:rPr>
                <w:spacing w:val="2"/>
              </w:rPr>
              <w:t>/</w:t>
            </w:r>
          </w:p>
        </w:tc>
        <w:tc>
          <w:tcPr>
            <w:tcW w:w="2135" w:type="dxa"/>
            <w:vAlign w:val="top"/>
            <w:vMerge w:val="restart"/>
            <w:tcBorders>
              <w:bottom w:val="nil"/>
            </w:tcBorders>
          </w:tcPr>
          <w:p>
            <w:pPr>
              <w:ind w:left="130"/>
              <w:spacing w:before="52" w:line="228" w:lineRule="auto"/>
              <w:rPr>
                <w:rFonts w:ascii="SimSun" w:hAnsi="SimSun" w:eastAsia="SimSun" w:cs="SimSun"/>
                <w:sz w:val="20"/>
                <w:szCs w:val="20"/>
              </w:rPr>
            </w:pPr>
            <w:r>
              <w:rPr>
                <w:rFonts w:ascii="SimSun" w:hAnsi="SimSun" w:eastAsia="SimSun" w:cs="SimSun"/>
                <w:sz w:val="20"/>
                <w:szCs w:val="20"/>
                <w:spacing w:val="8"/>
              </w:rPr>
              <w:t>《危险废物贮存污染</w:t>
            </w:r>
          </w:p>
          <w:p>
            <w:pPr>
              <w:ind w:left="544"/>
              <w:spacing w:before="24" w:line="228" w:lineRule="auto"/>
              <w:rPr>
                <w:rFonts w:ascii="SimSun" w:hAnsi="SimSun" w:eastAsia="SimSun" w:cs="SimSun"/>
                <w:sz w:val="20"/>
                <w:szCs w:val="20"/>
              </w:rPr>
            </w:pPr>
            <w:r>
              <w:rPr>
                <w:rFonts w:ascii="SimSun" w:hAnsi="SimSun" w:eastAsia="SimSun" w:cs="SimSun"/>
                <w:sz w:val="20"/>
                <w:szCs w:val="20"/>
                <w:spacing w:val="6"/>
              </w:rPr>
              <w:t>控制标准》</w:t>
            </w:r>
          </w:p>
          <w:p>
            <w:pPr>
              <w:pStyle w:val="TableText"/>
              <w:ind w:left="253"/>
              <w:spacing w:before="23"/>
              <w:rPr>
                <w:rFonts w:ascii="SimSun" w:hAnsi="SimSun" w:eastAsia="SimSun" w:cs="SimSun"/>
              </w:rPr>
            </w:pPr>
            <w:r>
              <w:rPr>
                <w:rFonts w:ascii="SimSun" w:hAnsi="SimSun" w:eastAsia="SimSun" w:cs="SimSun"/>
                <w:spacing w:val="4"/>
              </w:rPr>
              <w:t>（</w:t>
            </w:r>
            <w:r>
              <w:rPr/>
              <w:t>GB</w:t>
            </w:r>
            <w:r>
              <w:rPr>
                <w:spacing w:val="4"/>
              </w:rPr>
              <w:t>185972023</w:t>
            </w:r>
            <w:r>
              <w:rPr>
                <w:rFonts w:ascii="SimSun" w:hAnsi="SimSun" w:eastAsia="SimSun" w:cs="SimSun"/>
                <w:spacing w:val="4"/>
              </w:rPr>
              <w:t>）</w:t>
            </w:r>
          </w:p>
        </w:tc>
      </w:tr>
      <w:tr>
        <w:trPr>
          <w:trHeight w:val="552" w:hRule="atLeast"/>
        </w:trPr>
        <w:tc>
          <w:tcPr>
            <w:tcW w:w="1008" w:type="dxa"/>
            <w:vAlign w:val="top"/>
            <w:vMerge w:val="continue"/>
            <w:tcBorders>
              <w:top w:val="nil"/>
            </w:tcBorders>
          </w:tcPr>
          <w:p>
            <w:pPr>
              <w:rPr>
                <w:rFonts w:ascii="Arial"/>
                <w:sz w:val="21"/>
              </w:rPr>
            </w:pPr>
            <w:r/>
          </w:p>
        </w:tc>
        <w:tc>
          <w:tcPr>
            <w:tcW w:w="3225" w:type="dxa"/>
            <w:vAlign w:val="top"/>
            <w:gridSpan w:val="2"/>
          </w:tcPr>
          <w:p>
            <w:pPr>
              <w:ind w:left="1298"/>
              <w:spacing w:before="167" w:line="228" w:lineRule="auto"/>
              <w:rPr>
                <w:rFonts w:ascii="SimSun" w:hAnsi="SimSun" w:eastAsia="SimSun" w:cs="SimSun"/>
                <w:sz w:val="20"/>
                <w:szCs w:val="20"/>
              </w:rPr>
            </w:pPr>
            <w:r>
              <w:rPr>
                <w:rFonts w:ascii="SimSun" w:hAnsi="SimSun" w:eastAsia="SimSun" w:cs="SimSun"/>
                <w:sz w:val="20"/>
                <w:szCs w:val="20"/>
                <w:spacing w:val="7"/>
              </w:rPr>
              <w:t>废电瓶</w:t>
            </w:r>
          </w:p>
        </w:tc>
        <w:tc>
          <w:tcPr>
            <w:tcW w:w="3968" w:type="dxa"/>
            <w:vAlign w:val="top"/>
          </w:tcPr>
          <w:p>
            <w:pPr>
              <w:ind w:left="118"/>
              <w:spacing w:before="32" w:line="228" w:lineRule="auto"/>
              <w:rPr>
                <w:rFonts w:ascii="SimSun" w:hAnsi="SimSun" w:eastAsia="SimSun" w:cs="SimSun"/>
                <w:sz w:val="20"/>
                <w:szCs w:val="20"/>
              </w:rPr>
            </w:pPr>
            <w:r>
              <w:rPr>
                <w:rFonts w:ascii="SimSun" w:hAnsi="SimSun" w:eastAsia="SimSun" w:cs="SimSun"/>
                <w:sz w:val="20"/>
                <w:szCs w:val="20"/>
                <w:spacing w:val="7"/>
              </w:rPr>
              <w:t>暂存在危废暂存间，交予具有资质的单位</w:t>
            </w:r>
          </w:p>
          <w:p>
            <w:pPr>
              <w:ind w:left="1586"/>
              <w:spacing w:before="24" w:line="220" w:lineRule="auto"/>
              <w:rPr>
                <w:rFonts w:ascii="SimSun" w:hAnsi="SimSun" w:eastAsia="SimSun" w:cs="SimSun"/>
                <w:sz w:val="20"/>
                <w:szCs w:val="20"/>
              </w:rPr>
            </w:pPr>
            <w:r>
              <w:rPr>
                <w:rFonts w:ascii="SimSun" w:hAnsi="SimSun" w:eastAsia="SimSun" w:cs="SimSun"/>
                <w:sz w:val="20"/>
                <w:szCs w:val="20"/>
                <w:spacing w:val="2"/>
              </w:rPr>
              <w:t>回收处理</w:t>
            </w:r>
          </w:p>
        </w:tc>
        <w:tc>
          <w:tcPr>
            <w:tcW w:w="1264" w:type="dxa"/>
            <w:vAlign w:val="top"/>
          </w:tcPr>
          <w:p>
            <w:pPr>
              <w:pStyle w:val="TableText"/>
              <w:ind w:left="599"/>
              <w:spacing w:before="199" w:line="199" w:lineRule="auto"/>
              <w:rPr/>
            </w:pPr>
            <w:r>
              <w:rPr>
                <w:spacing w:val="2"/>
              </w:rPr>
              <w:t>/</w:t>
            </w:r>
          </w:p>
        </w:tc>
        <w:tc>
          <w:tcPr>
            <w:tcW w:w="1583" w:type="dxa"/>
            <w:vAlign w:val="top"/>
          </w:tcPr>
          <w:p>
            <w:pPr>
              <w:pStyle w:val="TableText"/>
              <w:ind w:left="556"/>
              <w:spacing w:before="199" w:line="199" w:lineRule="auto"/>
              <w:rPr/>
            </w:pPr>
            <w:r>
              <w:rPr>
                <w:spacing w:val="2"/>
              </w:rPr>
              <w:t>2.5t/a</w:t>
            </w:r>
          </w:p>
        </w:tc>
        <w:tc>
          <w:tcPr>
            <w:tcW w:w="1324" w:type="dxa"/>
            <w:vAlign w:val="top"/>
          </w:tcPr>
          <w:p>
            <w:pPr>
              <w:pStyle w:val="TableText"/>
              <w:ind w:left="630"/>
              <w:spacing w:before="199" w:line="199" w:lineRule="auto"/>
              <w:rPr/>
            </w:pPr>
            <w:r>
              <w:rPr>
                <w:spacing w:val="2"/>
              </w:rPr>
              <w:t>/</w:t>
            </w:r>
          </w:p>
        </w:tc>
        <w:tc>
          <w:tcPr>
            <w:tcW w:w="2135" w:type="dxa"/>
            <w:vAlign w:val="top"/>
            <w:vMerge w:val="continue"/>
            <w:tcBorders>
              <w:top w:val="nil"/>
            </w:tcBorders>
          </w:tcPr>
          <w:p>
            <w:pPr>
              <w:rPr>
                <w:rFonts w:ascii="Arial"/>
                <w:sz w:val="21"/>
              </w:rPr>
            </w:pPr>
            <w:r/>
          </w:p>
        </w:tc>
      </w:tr>
    </w:tbl>
    <w:p>
      <w:pPr>
        <w:ind w:left="118"/>
        <w:spacing w:before="170" w:line="227" w:lineRule="auto"/>
        <w:rPr>
          <w:rFonts w:ascii="SimSun" w:hAnsi="SimSun" w:eastAsia="SimSun" w:cs="SimSun"/>
          <w:sz w:val="20"/>
          <w:szCs w:val="20"/>
        </w:rPr>
      </w:pPr>
      <w:r>
        <w:rPr>
          <w:rFonts w:ascii="SimSun" w:hAnsi="SimSun" w:eastAsia="SimSun" w:cs="SimSun"/>
          <w:sz w:val="20"/>
          <w:szCs w:val="20"/>
          <w:spacing w:val="10"/>
        </w:rPr>
        <w:t>注：表中所列固废排放量均为产生量，本项目产生</w:t>
      </w:r>
      <w:r>
        <w:rPr>
          <w:rFonts w:ascii="SimSun" w:hAnsi="SimSun" w:eastAsia="SimSun" w:cs="SimSun"/>
          <w:sz w:val="20"/>
          <w:szCs w:val="20"/>
          <w:spacing w:val="9"/>
        </w:rPr>
        <w:t>的固体废物均得到妥善处置</w:t>
      </w:r>
    </w:p>
    <w:p>
      <w:pPr>
        <w:spacing w:line="227" w:lineRule="auto"/>
        <w:sectPr>
          <w:footerReference w:type="default" r:id="rId550"/>
          <w:pgSz w:w="16838" w:h="11906"/>
          <w:pgMar w:top="1169" w:right="1305" w:bottom="1080" w:left="1020" w:header="836" w:footer="917" w:gutter="0"/>
        </w:sectPr>
        <w:rPr>
          <w:rFonts w:ascii="SimSun" w:hAnsi="SimSun" w:eastAsia="SimSun" w:cs="SimSun"/>
          <w:sz w:val="20"/>
          <w:szCs w:val="20"/>
        </w:rPr>
      </w:pPr>
    </w:p>
    <w:p>
      <w:pPr>
        <w:pStyle w:val="BodyText"/>
        <w:spacing w:line="369" w:lineRule="auto"/>
        <w:rPr/>
      </w:pPr>
      <w:r/>
    </w:p>
    <w:p>
      <w:pPr>
        <w:ind w:left="119"/>
        <w:spacing w:before="98" w:line="222" w:lineRule="auto"/>
        <w:outlineLvl w:val="1"/>
        <w:rPr>
          <w:rFonts w:ascii="SimHei" w:hAnsi="SimHei" w:eastAsia="SimHei" w:cs="SimHei"/>
          <w:sz w:val="30"/>
          <w:szCs w:val="30"/>
        </w:rPr>
      </w:pPr>
      <w:bookmarkStart w:name="bookmark61" w:id="109"/>
      <w:bookmarkEnd w:id="109"/>
      <w:r>
        <w:rPr>
          <w:rFonts w:ascii="Times New Roman" w:hAnsi="Times New Roman" w:eastAsia="Times New Roman" w:cs="Times New Roman"/>
          <w:sz w:val="30"/>
          <w:szCs w:val="30"/>
          <w:b/>
          <w:bCs/>
          <w:spacing w:val="-3"/>
        </w:rPr>
        <w:t>9.4</w:t>
      </w:r>
      <w:r>
        <w:rPr>
          <w:rFonts w:ascii="Times New Roman" w:hAnsi="Times New Roman" w:eastAsia="Times New Roman" w:cs="Times New Roman"/>
          <w:sz w:val="30"/>
          <w:szCs w:val="30"/>
          <w:b/>
          <w:bCs/>
          <w:spacing w:val="-12"/>
        </w:rPr>
        <w:t xml:space="preserve"> </w:t>
      </w:r>
      <w:r>
        <w:rPr>
          <w:rFonts w:ascii="SimHei" w:hAnsi="SimHei" w:eastAsia="SimHei" w:cs="SimHei"/>
          <w:sz w:val="30"/>
          <w:szCs w:val="30"/>
          <w:b/>
          <w:bCs/>
          <w:spacing w:val="-3"/>
        </w:rPr>
        <w:t>建设项目环境保护措施及</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三同时</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验收内容</w:t>
      </w:r>
    </w:p>
    <w:p>
      <w:pPr>
        <w:ind w:left="119" w:firstLine="480"/>
        <w:spacing w:before="161" w:line="327" w:lineRule="auto"/>
        <w:rPr>
          <w:rFonts w:ascii="SimSun" w:hAnsi="SimSun" w:eastAsia="SimSun" w:cs="SimSun"/>
          <w:sz w:val="24"/>
          <w:szCs w:val="24"/>
        </w:rPr>
      </w:pPr>
      <w:r>
        <w:rPr>
          <w:rFonts w:ascii="SimSun" w:hAnsi="SimSun" w:eastAsia="SimSun" w:cs="SimSun"/>
          <w:sz w:val="24"/>
          <w:szCs w:val="24"/>
          <w:spacing w:val="-2"/>
        </w:rPr>
        <w:t>本项目为改建工程，依托现有工业场地设施，改建工程主要产生的环境影响为大气</w:t>
      </w:r>
      <w:r>
        <w:rPr>
          <w:rFonts w:ascii="SimSun" w:hAnsi="SimSun" w:eastAsia="SimSun" w:cs="SimSun"/>
          <w:sz w:val="24"/>
          <w:szCs w:val="24"/>
          <w:spacing w:val="-2"/>
        </w:rPr>
        <w:t>环境影响及噪声环境影响。改建项目环保工程实施</w:t>
      </w:r>
      <w:r>
        <w:rPr>
          <w:rFonts w:ascii="SimSun" w:hAnsi="SimSun" w:eastAsia="SimSun" w:cs="SimSun"/>
          <w:sz w:val="24"/>
          <w:szCs w:val="24"/>
          <w:spacing w:val="-3"/>
        </w:rPr>
        <w:t>方案及</w:t>
      </w:r>
      <w:r>
        <w:rPr>
          <w:rFonts w:ascii="Times New Roman" w:hAnsi="Times New Roman" w:eastAsia="Times New Roman" w:cs="Times New Roman"/>
          <w:sz w:val="24"/>
          <w:szCs w:val="24"/>
          <w:spacing w:val="-3"/>
        </w:rPr>
        <w:t>“</w:t>
      </w:r>
      <w:r>
        <w:rPr>
          <w:rFonts w:ascii="SimSun" w:hAnsi="SimSun" w:eastAsia="SimSun" w:cs="SimSun"/>
          <w:sz w:val="24"/>
          <w:szCs w:val="24"/>
          <w:spacing w:val="-3"/>
        </w:rPr>
        <w:t>三同时</w:t>
      </w:r>
      <w:r>
        <w:rPr>
          <w:rFonts w:ascii="Times New Roman" w:hAnsi="Times New Roman" w:eastAsia="Times New Roman" w:cs="Times New Roman"/>
          <w:sz w:val="24"/>
          <w:szCs w:val="24"/>
          <w:spacing w:val="-3"/>
        </w:rPr>
        <w:t>”</w:t>
      </w:r>
      <w:r>
        <w:rPr>
          <w:rFonts w:ascii="SimSun" w:hAnsi="SimSun" w:eastAsia="SimSun" w:cs="SimSun"/>
          <w:sz w:val="24"/>
          <w:szCs w:val="24"/>
          <w:spacing w:val="-3"/>
        </w:rPr>
        <w:t>验收内容见表 </w:t>
      </w:r>
      <w:r>
        <w:rPr>
          <w:rFonts w:ascii="Times New Roman" w:hAnsi="Times New Roman" w:eastAsia="Times New Roman" w:cs="Times New Roman"/>
          <w:sz w:val="24"/>
          <w:szCs w:val="24"/>
          <w:spacing w:val="-3"/>
        </w:rPr>
        <w:t>9-4-1</w:t>
      </w:r>
      <w:r>
        <w:rPr>
          <w:rFonts w:ascii="SimSun" w:hAnsi="SimSun" w:eastAsia="SimSun" w:cs="SimSun"/>
          <w:sz w:val="24"/>
          <w:szCs w:val="24"/>
          <w:spacing w:val="-3"/>
        </w:rPr>
        <w:t>。</w:t>
      </w:r>
    </w:p>
    <w:p>
      <w:pPr>
        <w:ind w:left="2750"/>
        <w:spacing w:line="221" w:lineRule="auto"/>
        <w:rPr>
          <w:rFonts w:ascii="SimHei" w:hAnsi="SimHei" w:eastAsia="SimHei" w:cs="SimHei"/>
          <w:sz w:val="24"/>
          <w:szCs w:val="24"/>
        </w:rPr>
      </w:pPr>
      <w:r>
        <w:rPr>
          <w:rFonts w:ascii="SimHei" w:hAnsi="SimHei" w:eastAsia="SimHei" w:cs="SimHei"/>
          <w:sz w:val="24"/>
          <w:szCs w:val="24"/>
          <w:spacing w:val="-2"/>
        </w:rPr>
        <w:t>运营期环保措施</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7"/>
        </w:rPr>
        <w:t xml:space="preserve"> </w:t>
      </w:r>
      <w:r>
        <w:rPr>
          <w:rFonts w:ascii="SimHei" w:hAnsi="SimHei" w:eastAsia="SimHei" w:cs="SimHei"/>
          <w:sz w:val="24"/>
          <w:szCs w:val="24"/>
          <w:spacing w:val="-2"/>
        </w:rPr>
        <w:t>三同时</w:t>
      </w:r>
      <w:r>
        <w:rPr>
          <w:rFonts w:ascii="Times New Roman" w:hAnsi="Times New Roman" w:eastAsia="Times New Roman" w:cs="Times New Roman"/>
          <w:sz w:val="24"/>
          <w:szCs w:val="24"/>
          <w:spacing w:val="-2"/>
        </w:rPr>
        <w:t>”</w:t>
      </w:r>
      <w:r>
        <w:rPr>
          <w:rFonts w:ascii="SimHei" w:hAnsi="SimHei" w:eastAsia="SimHei" w:cs="SimHei"/>
          <w:sz w:val="24"/>
          <w:szCs w:val="24"/>
          <w:spacing w:val="-2"/>
        </w:rPr>
        <w:t>验收一览表</w:t>
      </w:r>
    </w:p>
    <w:p>
      <w:pPr>
        <w:ind w:left="117"/>
        <w:spacing w:before="29" w:line="223" w:lineRule="auto"/>
        <w:rPr>
          <w:rFonts w:ascii="Times New Roman" w:hAnsi="Times New Roman" w:eastAsia="Times New Roman" w:cs="Times New Roman"/>
          <w:sz w:val="20"/>
          <w:szCs w:val="20"/>
        </w:rPr>
      </w:pPr>
      <w:r>
        <w:rPr>
          <w:rFonts w:ascii="SimSun" w:hAnsi="SimSun" w:eastAsia="SimSun" w:cs="SimSun"/>
          <w:sz w:val="20"/>
          <w:szCs w:val="20"/>
          <w:spacing w:val="2"/>
        </w:rPr>
        <w:t>表</w:t>
      </w:r>
      <w:r>
        <w:rPr>
          <w:rFonts w:ascii="SimSun" w:hAnsi="SimSun" w:eastAsia="SimSun" w:cs="SimSun"/>
          <w:sz w:val="20"/>
          <w:szCs w:val="20"/>
          <w:spacing w:val="-37"/>
        </w:rPr>
        <w:t xml:space="preserve"> </w:t>
      </w:r>
      <w:r>
        <w:rPr>
          <w:rFonts w:ascii="Times New Roman" w:hAnsi="Times New Roman" w:eastAsia="Times New Roman" w:cs="Times New Roman"/>
          <w:sz w:val="20"/>
          <w:szCs w:val="20"/>
          <w:spacing w:val="2"/>
        </w:rPr>
        <w:t>9-4-1</w:t>
      </w:r>
    </w:p>
    <w:tbl>
      <w:tblPr>
        <w:tblStyle w:val="TableNormal"/>
        <w:tblW w:w="907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703"/>
        <w:gridCol w:w="1089"/>
        <w:gridCol w:w="1218"/>
        <w:gridCol w:w="2010"/>
        <w:gridCol w:w="3087"/>
        <w:gridCol w:w="964"/>
      </w:tblGrid>
      <w:tr>
        <w:trPr>
          <w:trHeight w:val="283" w:hRule="atLeast"/>
        </w:trPr>
        <w:tc>
          <w:tcPr>
            <w:tcW w:w="703" w:type="dxa"/>
            <w:vAlign w:val="top"/>
          </w:tcPr>
          <w:p>
            <w:pPr>
              <w:ind w:left="146"/>
              <w:spacing w:before="33" w:line="221" w:lineRule="auto"/>
              <w:rPr>
                <w:rFonts w:ascii="SimSun" w:hAnsi="SimSun" w:eastAsia="SimSun" w:cs="SimSun"/>
                <w:sz w:val="20"/>
                <w:szCs w:val="20"/>
              </w:rPr>
            </w:pPr>
            <w:r>
              <w:rPr>
                <w:rFonts w:ascii="SimSun" w:hAnsi="SimSun" w:eastAsia="SimSun" w:cs="SimSun"/>
                <w:sz w:val="20"/>
                <w:szCs w:val="20"/>
                <w:spacing w:val="5"/>
              </w:rPr>
              <w:t>序号</w:t>
            </w:r>
          </w:p>
        </w:tc>
        <w:tc>
          <w:tcPr>
            <w:tcW w:w="2307" w:type="dxa"/>
            <w:vAlign w:val="top"/>
            <w:gridSpan w:val="2"/>
          </w:tcPr>
          <w:p>
            <w:pPr>
              <w:ind w:left="946"/>
              <w:spacing w:before="33" w:line="221" w:lineRule="auto"/>
              <w:rPr>
                <w:rFonts w:ascii="SimSun" w:hAnsi="SimSun" w:eastAsia="SimSun" w:cs="SimSun"/>
                <w:sz w:val="20"/>
                <w:szCs w:val="20"/>
              </w:rPr>
            </w:pPr>
            <w:r>
              <w:rPr>
                <w:rFonts w:ascii="SimSun" w:hAnsi="SimSun" w:eastAsia="SimSun" w:cs="SimSun"/>
                <w:sz w:val="20"/>
                <w:szCs w:val="20"/>
                <w:spacing w:val="4"/>
              </w:rPr>
              <w:t>类别</w:t>
            </w:r>
          </w:p>
        </w:tc>
        <w:tc>
          <w:tcPr>
            <w:tcW w:w="2010" w:type="dxa"/>
            <w:vAlign w:val="top"/>
          </w:tcPr>
          <w:p>
            <w:pPr>
              <w:ind w:left="379"/>
              <w:spacing w:before="33" w:line="221" w:lineRule="auto"/>
              <w:rPr>
                <w:rFonts w:ascii="SimSun" w:hAnsi="SimSun" w:eastAsia="SimSun" w:cs="SimSun"/>
                <w:sz w:val="20"/>
                <w:szCs w:val="20"/>
              </w:rPr>
            </w:pPr>
            <w:r>
              <w:rPr>
                <w:rFonts w:ascii="SimSun" w:hAnsi="SimSun" w:eastAsia="SimSun" w:cs="SimSun"/>
                <w:sz w:val="20"/>
                <w:szCs w:val="20"/>
                <w:spacing w:val="8"/>
              </w:rPr>
              <w:t>环境保护设施</w:t>
            </w:r>
          </w:p>
        </w:tc>
        <w:tc>
          <w:tcPr>
            <w:tcW w:w="3087" w:type="dxa"/>
            <w:vAlign w:val="top"/>
          </w:tcPr>
          <w:p>
            <w:pPr>
              <w:ind w:left="1128"/>
              <w:spacing w:before="33" w:line="221" w:lineRule="auto"/>
              <w:rPr>
                <w:rFonts w:ascii="SimSun" w:hAnsi="SimSun" w:eastAsia="SimSun" w:cs="SimSun"/>
                <w:sz w:val="20"/>
                <w:szCs w:val="20"/>
              </w:rPr>
            </w:pPr>
            <w:r>
              <w:rPr>
                <w:rFonts w:ascii="SimSun" w:hAnsi="SimSun" w:eastAsia="SimSun" w:cs="SimSun"/>
                <w:sz w:val="20"/>
                <w:szCs w:val="20"/>
                <w:spacing w:val="7"/>
              </w:rPr>
              <w:t>验收要求</w:t>
            </w:r>
          </w:p>
        </w:tc>
        <w:tc>
          <w:tcPr>
            <w:tcW w:w="964" w:type="dxa"/>
            <w:vAlign w:val="top"/>
          </w:tcPr>
          <w:p>
            <w:pPr>
              <w:ind w:left="281"/>
              <w:spacing w:before="33" w:line="221" w:lineRule="auto"/>
              <w:rPr>
                <w:rFonts w:ascii="SimSun" w:hAnsi="SimSun" w:eastAsia="SimSun" w:cs="SimSun"/>
                <w:sz w:val="20"/>
                <w:szCs w:val="20"/>
              </w:rPr>
            </w:pPr>
            <w:r>
              <w:rPr>
                <w:rFonts w:ascii="SimSun" w:hAnsi="SimSun" w:eastAsia="SimSun" w:cs="SimSun"/>
                <w:sz w:val="20"/>
                <w:szCs w:val="20"/>
                <w:spacing w:val="3"/>
              </w:rPr>
              <w:t>备注</w:t>
            </w:r>
          </w:p>
        </w:tc>
      </w:tr>
      <w:tr>
        <w:trPr>
          <w:trHeight w:val="1094" w:hRule="atLeast"/>
        </w:trPr>
        <w:tc>
          <w:tcPr>
            <w:tcW w:w="703" w:type="dxa"/>
            <w:vAlign w:val="top"/>
            <w:vMerge w:val="restart"/>
            <w:tcBorders>
              <w:bottom w:val="nil"/>
            </w:tcBorders>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pStyle w:val="TableText"/>
              <w:ind w:left="319"/>
              <w:spacing w:before="57" w:line="195" w:lineRule="auto"/>
              <w:rPr/>
            </w:pPr>
            <w:r>
              <w:rPr/>
              <w:t>1</w:t>
            </w:r>
          </w:p>
        </w:tc>
        <w:tc>
          <w:tcPr>
            <w:tcW w:w="1089" w:type="dxa"/>
            <w:vAlign w:val="top"/>
            <w:vMerge w:val="restart"/>
            <w:tcBorders>
              <w:bottom w:val="nil"/>
            </w:tcBorders>
          </w:tcPr>
          <w:p>
            <w:pPr>
              <w:spacing w:line="255" w:lineRule="auto"/>
              <w:rPr>
                <w:rFonts w:ascii="Arial"/>
                <w:sz w:val="21"/>
              </w:rPr>
            </w:pPr>
            <w:r/>
          </w:p>
          <w:p>
            <w:pPr>
              <w:spacing w:line="255" w:lineRule="auto"/>
              <w:rPr>
                <w:rFonts w:ascii="Arial"/>
                <w:sz w:val="21"/>
              </w:rPr>
            </w:pPr>
            <w:r/>
          </w:p>
          <w:p>
            <w:pPr>
              <w:spacing w:line="255" w:lineRule="auto"/>
              <w:rPr>
                <w:rFonts w:ascii="Arial"/>
                <w:sz w:val="21"/>
              </w:rPr>
            </w:pPr>
            <w:r/>
          </w:p>
          <w:p>
            <w:pPr>
              <w:spacing w:line="256" w:lineRule="auto"/>
              <w:rPr>
                <w:rFonts w:ascii="Arial"/>
                <w:sz w:val="21"/>
              </w:rPr>
            </w:pPr>
            <w:r/>
          </w:p>
          <w:p>
            <w:pPr>
              <w:ind w:left="140" w:right="126" w:hanging="10"/>
              <w:spacing w:before="65" w:line="252" w:lineRule="auto"/>
              <w:rPr>
                <w:rFonts w:ascii="SimSun" w:hAnsi="SimSun" w:eastAsia="SimSun" w:cs="SimSun"/>
                <w:sz w:val="20"/>
                <w:szCs w:val="20"/>
              </w:rPr>
            </w:pPr>
            <w:r>
              <w:rPr>
                <w:rFonts w:ascii="SimSun" w:hAnsi="SimSun" w:eastAsia="SimSun" w:cs="SimSun"/>
                <w:sz w:val="20"/>
                <w:szCs w:val="20"/>
                <w:spacing w:val="6"/>
              </w:rPr>
              <w:t>大气污染</w:t>
            </w:r>
            <w:r>
              <w:rPr>
                <w:rFonts w:ascii="SimSun" w:hAnsi="SimSun" w:eastAsia="SimSun" w:cs="SimSun"/>
                <w:sz w:val="20"/>
                <w:szCs w:val="20"/>
                <w:spacing w:val="4"/>
              </w:rPr>
              <w:t>防治措施</w:t>
            </w:r>
          </w:p>
        </w:tc>
        <w:tc>
          <w:tcPr>
            <w:tcW w:w="1218" w:type="dxa"/>
            <w:vAlign w:val="top"/>
          </w:tcPr>
          <w:p>
            <w:pPr>
              <w:ind w:left="298" w:right="189" w:hanging="106"/>
              <w:spacing w:before="300" w:line="252" w:lineRule="auto"/>
              <w:rPr>
                <w:rFonts w:ascii="SimSun" w:hAnsi="SimSun" w:eastAsia="SimSun" w:cs="SimSun"/>
                <w:sz w:val="20"/>
                <w:szCs w:val="20"/>
              </w:rPr>
            </w:pPr>
            <w:r>
              <w:rPr>
                <w:rFonts w:ascii="SimSun" w:hAnsi="SimSun" w:eastAsia="SimSun" w:cs="SimSun"/>
                <w:sz w:val="20"/>
                <w:szCs w:val="20"/>
                <w:spacing w:val="7"/>
              </w:rPr>
              <w:t>采掘场及</w:t>
            </w:r>
            <w:r>
              <w:rPr>
                <w:rFonts w:ascii="SimSun" w:hAnsi="SimSun" w:eastAsia="SimSun" w:cs="SimSun"/>
                <w:sz w:val="20"/>
                <w:szCs w:val="20"/>
                <w:spacing w:val="6"/>
              </w:rPr>
              <w:t>排土场</w:t>
            </w:r>
          </w:p>
        </w:tc>
        <w:tc>
          <w:tcPr>
            <w:tcW w:w="2010" w:type="dxa"/>
            <w:vAlign w:val="top"/>
          </w:tcPr>
          <w:p>
            <w:pPr>
              <w:ind w:left="113"/>
              <w:spacing w:before="163" w:line="227" w:lineRule="auto"/>
              <w:rPr>
                <w:rFonts w:ascii="SimSun" w:hAnsi="SimSun" w:eastAsia="SimSun" w:cs="SimSun"/>
                <w:sz w:val="20"/>
                <w:szCs w:val="20"/>
              </w:rPr>
            </w:pPr>
            <w:r>
              <w:rPr>
                <w:rFonts w:ascii="SimSun" w:hAnsi="SimSun" w:eastAsia="SimSun" w:cs="SimSun"/>
                <w:sz w:val="20"/>
                <w:szCs w:val="20"/>
                <w:spacing w:val="-2"/>
              </w:rPr>
              <w:t>利用现有洒水车，采</w:t>
            </w:r>
          </w:p>
          <w:p>
            <w:pPr>
              <w:ind w:left="172"/>
              <w:spacing w:before="24" w:line="228" w:lineRule="auto"/>
              <w:rPr>
                <w:rFonts w:ascii="SimSun" w:hAnsi="SimSun" w:eastAsia="SimSun" w:cs="SimSun"/>
                <w:sz w:val="20"/>
                <w:szCs w:val="20"/>
              </w:rPr>
            </w:pPr>
            <w:r>
              <w:rPr>
                <w:rFonts w:ascii="SimSun" w:hAnsi="SimSun" w:eastAsia="SimSun" w:cs="SimSun"/>
                <w:sz w:val="20"/>
                <w:szCs w:val="20"/>
                <w:spacing w:val="8"/>
              </w:rPr>
              <w:t>用洒水进行喷雾洒</w:t>
            </w:r>
          </w:p>
          <w:p>
            <w:pPr>
              <w:ind w:left="907"/>
              <w:spacing w:before="26" w:line="228" w:lineRule="auto"/>
              <w:rPr>
                <w:rFonts w:ascii="SimSun" w:hAnsi="SimSun" w:eastAsia="SimSun" w:cs="SimSun"/>
                <w:sz w:val="20"/>
                <w:szCs w:val="20"/>
              </w:rPr>
            </w:pPr>
            <w:r>
              <w:rPr>
                <w:rFonts w:ascii="SimSun" w:hAnsi="SimSun" w:eastAsia="SimSun" w:cs="SimSun"/>
                <w:sz w:val="20"/>
                <w:szCs w:val="20"/>
              </w:rPr>
              <w:t>水</w:t>
            </w:r>
          </w:p>
        </w:tc>
        <w:tc>
          <w:tcPr>
            <w:tcW w:w="3087" w:type="dxa"/>
            <w:vAlign w:val="top"/>
          </w:tcPr>
          <w:p>
            <w:pPr>
              <w:pStyle w:val="TableText"/>
              <w:ind w:left="114" w:right="89" w:firstLine="2"/>
              <w:spacing w:before="31" w:line="243" w:lineRule="auto"/>
              <w:rPr>
                <w:rFonts w:ascii="SimSun" w:hAnsi="SimSun" w:eastAsia="SimSun" w:cs="SimSun"/>
              </w:rPr>
            </w:pPr>
            <w:r>
              <w:rPr>
                <w:rFonts w:ascii="SimSun" w:hAnsi="SimSun" w:eastAsia="SimSun" w:cs="SimSun"/>
                <w:spacing w:val="5"/>
              </w:rPr>
              <w:t>建有完善的洒水降尘工作制度，</w:t>
            </w:r>
            <w:r>
              <w:rPr>
                <w:rFonts w:ascii="SimSun" w:hAnsi="SimSun" w:eastAsia="SimSun" w:cs="SimSun"/>
                <w:spacing w:val="9"/>
              </w:rPr>
              <w:t>满足《煤炭工业污染物排放标</w:t>
            </w:r>
            <w:r>
              <w:rPr>
                <w:rFonts w:ascii="SimSun" w:hAnsi="SimSun" w:eastAsia="SimSun" w:cs="SimSun"/>
                <w:spacing w:val="4"/>
              </w:rPr>
              <w:t>准》（</w:t>
            </w:r>
            <w:r>
              <w:rPr/>
              <w:t>GB</w:t>
            </w:r>
            <w:r>
              <w:rPr>
                <w:spacing w:val="4"/>
              </w:rPr>
              <w:t>20426-2006</w:t>
            </w:r>
            <w:r>
              <w:rPr>
                <w:rFonts w:ascii="SimSun" w:hAnsi="SimSun" w:eastAsia="SimSun" w:cs="SimSun"/>
                <w:spacing w:val="4"/>
              </w:rPr>
              <w:t>）表 </w:t>
            </w:r>
            <w:r>
              <w:rPr>
                <w:spacing w:val="4"/>
              </w:rPr>
              <w:t>5</w:t>
            </w:r>
            <w:r>
              <w:rPr>
                <w:spacing w:val="23"/>
                <w:w w:val="101"/>
              </w:rPr>
              <w:t xml:space="preserve">  </w:t>
            </w:r>
            <w:r>
              <w:rPr>
                <w:rFonts w:ascii="SimSun" w:hAnsi="SimSun" w:eastAsia="SimSun" w:cs="SimSun"/>
                <w:spacing w:val="4"/>
              </w:rPr>
              <w:t>中</w:t>
            </w:r>
            <w:r>
              <w:rPr>
                <w:rFonts w:ascii="SimSun" w:hAnsi="SimSun" w:eastAsia="SimSun" w:cs="SimSun"/>
                <w:spacing w:val="8"/>
              </w:rPr>
              <w:t>无组织排放限值要求。</w:t>
            </w:r>
          </w:p>
        </w:tc>
        <w:tc>
          <w:tcPr>
            <w:tcW w:w="964" w:type="dxa"/>
            <w:vAlign w:val="top"/>
          </w:tcPr>
          <w:p>
            <w:pPr>
              <w:ind w:left="115" w:right="106" w:firstLine="65"/>
              <w:spacing w:before="29" w:line="250" w:lineRule="auto"/>
              <w:rPr>
                <w:rFonts w:ascii="SimSun" w:hAnsi="SimSun" w:eastAsia="SimSun" w:cs="SimSun"/>
                <w:sz w:val="20"/>
                <w:szCs w:val="20"/>
              </w:rPr>
            </w:pPr>
            <w:r>
              <w:rPr>
                <w:rFonts w:ascii="SimSun" w:hAnsi="SimSun" w:eastAsia="SimSun" w:cs="SimSun"/>
                <w:sz w:val="20"/>
                <w:szCs w:val="20"/>
                <w:spacing w:val="4"/>
              </w:rPr>
              <w:t>改建工</w:t>
            </w:r>
            <w:r>
              <w:rPr>
                <w:rFonts w:ascii="SimSun" w:hAnsi="SimSun" w:eastAsia="SimSun" w:cs="SimSun"/>
                <w:sz w:val="20"/>
                <w:szCs w:val="20"/>
                <w:spacing w:val="-16"/>
              </w:rPr>
              <w:t>程、“三</w:t>
            </w:r>
          </w:p>
          <w:p>
            <w:pPr>
              <w:ind w:left="381" w:right="106" w:hanging="245"/>
              <w:spacing w:before="1" w:line="236" w:lineRule="auto"/>
              <w:rPr>
                <w:rFonts w:ascii="SimSun" w:hAnsi="SimSun" w:eastAsia="SimSun" w:cs="SimSun"/>
                <w:sz w:val="20"/>
                <w:szCs w:val="20"/>
              </w:rPr>
            </w:pPr>
            <w:r>
              <w:rPr>
                <w:rFonts w:ascii="SimSun" w:hAnsi="SimSun" w:eastAsia="SimSun" w:cs="SimSun"/>
                <w:sz w:val="20"/>
                <w:szCs w:val="20"/>
                <w:spacing w:val="-29"/>
              </w:rPr>
              <w:t>同时</w:t>
            </w:r>
            <w:r>
              <w:rPr>
                <w:rFonts w:ascii="SimSun" w:hAnsi="SimSun" w:eastAsia="SimSun" w:cs="SimSun"/>
                <w:sz w:val="20"/>
                <w:szCs w:val="20"/>
                <w:spacing w:val="-70"/>
              </w:rPr>
              <w:t xml:space="preserve"> </w:t>
            </w:r>
            <w:r>
              <w:rPr>
                <w:rFonts w:ascii="SimSun" w:hAnsi="SimSun" w:eastAsia="SimSun" w:cs="SimSun"/>
                <w:sz w:val="20"/>
                <w:szCs w:val="20"/>
                <w:spacing w:val="-29"/>
              </w:rPr>
              <w:t>”工</w:t>
            </w:r>
            <w:r>
              <w:rPr>
                <w:rFonts w:ascii="SimSun" w:hAnsi="SimSun" w:eastAsia="SimSun" w:cs="SimSun"/>
                <w:sz w:val="20"/>
                <w:szCs w:val="20"/>
                <w:spacing w:val="1"/>
              </w:rPr>
              <w:t>程</w:t>
            </w:r>
          </w:p>
        </w:tc>
      </w:tr>
      <w:tr>
        <w:trPr>
          <w:trHeight w:val="1576" w:hRule="atLeast"/>
        </w:trPr>
        <w:tc>
          <w:tcPr>
            <w:tcW w:w="703" w:type="dxa"/>
            <w:vAlign w:val="top"/>
            <w:vMerge w:val="continue"/>
            <w:tcBorders>
              <w:top w:val="nil"/>
            </w:tcBorders>
          </w:tcPr>
          <w:p>
            <w:pPr>
              <w:rPr>
                <w:rFonts w:ascii="Arial"/>
                <w:sz w:val="21"/>
              </w:rPr>
            </w:pPr>
            <w:r/>
          </w:p>
        </w:tc>
        <w:tc>
          <w:tcPr>
            <w:tcW w:w="1089" w:type="dxa"/>
            <w:vAlign w:val="top"/>
            <w:vMerge w:val="continue"/>
            <w:tcBorders>
              <w:top w:val="nil"/>
            </w:tcBorders>
          </w:tcPr>
          <w:p>
            <w:pPr>
              <w:rPr>
                <w:rFonts w:ascii="Arial"/>
                <w:sz w:val="21"/>
              </w:rPr>
            </w:pPr>
            <w:r/>
          </w:p>
        </w:tc>
        <w:tc>
          <w:tcPr>
            <w:tcW w:w="1218" w:type="dxa"/>
            <w:vAlign w:val="top"/>
          </w:tcPr>
          <w:p>
            <w:pPr>
              <w:spacing w:line="356" w:lineRule="auto"/>
              <w:rPr>
                <w:rFonts w:ascii="Arial"/>
                <w:sz w:val="21"/>
              </w:rPr>
            </w:pPr>
            <w:r/>
          </w:p>
          <w:p>
            <w:pPr>
              <w:ind w:left="405" w:right="189" w:hanging="207"/>
              <w:spacing w:before="65" w:line="252" w:lineRule="auto"/>
              <w:rPr>
                <w:rFonts w:ascii="SimSun" w:hAnsi="SimSun" w:eastAsia="SimSun" w:cs="SimSun"/>
                <w:sz w:val="20"/>
                <w:szCs w:val="20"/>
              </w:rPr>
            </w:pPr>
            <w:r>
              <w:rPr>
                <w:rFonts w:ascii="SimSun" w:hAnsi="SimSun" w:eastAsia="SimSun" w:cs="SimSun"/>
                <w:sz w:val="20"/>
                <w:szCs w:val="20"/>
                <w:spacing w:val="6"/>
              </w:rPr>
              <w:t>原煤加工</w:t>
            </w:r>
            <w:r>
              <w:rPr>
                <w:rFonts w:ascii="SimSun" w:hAnsi="SimSun" w:eastAsia="SimSun" w:cs="SimSun"/>
                <w:sz w:val="20"/>
                <w:szCs w:val="20"/>
                <w:spacing w:val="2"/>
              </w:rPr>
              <w:t>系统</w:t>
            </w:r>
          </w:p>
        </w:tc>
        <w:tc>
          <w:tcPr>
            <w:tcW w:w="2010" w:type="dxa"/>
            <w:vAlign w:val="top"/>
          </w:tcPr>
          <w:p>
            <w:pPr>
              <w:ind w:left="171"/>
              <w:spacing w:before="134" w:line="227" w:lineRule="auto"/>
              <w:rPr>
                <w:rFonts w:ascii="SimSun" w:hAnsi="SimSun" w:eastAsia="SimSun" w:cs="SimSun"/>
                <w:sz w:val="20"/>
                <w:szCs w:val="20"/>
              </w:rPr>
            </w:pPr>
            <w:r>
              <w:rPr>
                <w:rFonts w:ascii="SimSun" w:hAnsi="SimSun" w:eastAsia="SimSun" w:cs="SimSun"/>
                <w:sz w:val="20"/>
                <w:szCs w:val="20"/>
                <w:spacing w:val="8"/>
              </w:rPr>
              <w:t>利用车间内现有布</w:t>
            </w:r>
          </w:p>
          <w:p>
            <w:pPr>
              <w:ind w:left="113"/>
              <w:spacing w:before="25" w:line="227" w:lineRule="auto"/>
              <w:rPr>
                <w:rFonts w:ascii="SimSun" w:hAnsi="SimSun" w:eastAsia="SimSun" w:cs="SimSun"/>
                <w:sz w:val="20"/>
                <w:szCs w:val="20"/>
              </w:rPr>
            </w:pPr>
            <w:r>
              <w:rPr>
                <w:rFonts w:ascii="SimSun" w:hAnsi="SimSun" w:eastAsia="SimSun" w:cs="SimSun"/>
                <w:sz w:val="20"/>
                <w:szCs w:val="20"/>
                <w:spacing w:val="-2"/>
              </w:rPr>
              <w:t>袋除尘器、转载点采</w:t>
            </w:r>
          </w:p>
          <w:p>
            <w:pPr>
              <w:ind w:left="115"/>
              <w:spacing w:before="24" w:line="228" w:lineRule="auto"/>
              <w:rPr>
                <w:rFonts w:ascii="SimSun" w:hAnsi="SimSun" w:eastAsia="SimSun" w:cs="SimSun"/>
                <w:sz w:val="20"/>
                <w:szCs w:val="20"/>
              </w:rPr>
            </w:pPr>
            <w:r>
              <w:rPr>
                <w:rFonts w:ascii="SimSun" w:hAnsi="SimSun" w:eastAsia="SimSun" w:cs="SimSun"/>
                <w:sz w:val="20"/>
                <w:szCs w:val="20"/>
                <w:spacing w:val="7"/>
              </w:rPr>
              <w:t>取封闭及喷雾洒水、</w:t>
            </w:r>
          </w:p>
          <w:p>
            <w:pPr>
              <w:ind w:left="175"/>
              <w:spacing w:before="26" w:line="227" w:lineRule="auto"/>
              <w:rPr>
                <w:rFonts w:ascii="SimSun" w:hAnsi="SimSun" w:eastAsia="SimSun" w:cs="SimSun"/>
                <w:sz w:val="20"/>
                <w:szCs w:val="20"/>
              </w:rPr>
            </w:pPr>
            <w:r>
              <w:rPr>
                <w:rFonts w:ascii="SimSun" w:hAnsi="SimSun" w:eastAsia="SimSun" w:cs="SimSun"/>
                <w:sz w:val="20"/>
                <w:szCs w:val="20"/>
                <w:spacing w:val="8"/>
              </w:rPr>
              <w:t>原煤输送采用封闭</w:t>
            </w:r>
          </w:p>
          <w:p>
            <w:pPr>
              <w:ind w:left="700"/>
              <w:spacing w:before="26" w:line="228" w:lineRule="auto"/>
              <w:rPr>
                <w:rFonts w:ascii="SimSun" w:hAnsi="SimSun" w:eastAsia="SimSun" w:cs="SimSun"/>
                <w:sz w:val="20"/>
                <w:szCs w:val="20"/>
              </w:rPr>
            </w:pPr>
            <w:r>
              <w:rPr>
                <w:rFonts w:ascii="SimSun" w:hAnsi="SimSun" w:eastAsia="SimSun" w:cs="SimSun"/>
                <w:sz w:val="20"/>
                <w:szCs w:val="20"/>
                <w:spacing w:val="5"/>
              </w:rPr>
              <w:t>式结构</w:t>
            </w:r>
          </w:p>
        </w:tc>
        <w:tc>
          <w:tcPr>
            <w:tcW w:w="3087" w:type="dxa"/>
            <w:vAlign w:val="top"/>
          </w:tcPr>
          <w:p>
            <w:pPr>
              <w:ind w:left="186"/>
              <w:spacing w:before="285" w:line="228" w:lineRule="auto"/>
              <w:rPr>
                <w:rFonts w:ascii="SimSun" w:hAnsi="SimSun" w:eastAsia="SimSun" w:cs="SimSun"/>
                <w:sz w:val="20"/>
                <w:szCs w:val="20"/>
              </w:rPr>
            </w:pPr>
            <w:r>
              <w:rPr>
                <w:rFonts w:ascii="SimSun" w:hAnsi="SimSun" w:eastAsia="SimSun" w:cs="SimSun"/>
                <w:sz w:val="20"/>
                <w:szCs w:val="20"/>
                <w:spacing w:val="9"/>
              </w:rPr>
              <w:t>满足《煤炭工业污染物排放标</w:t>
            </w:r>
          </w:p>
          <w:p>
            <w:pPr>
              <w:pStyle w:val="TableText"/>
              <w:ind w:left="147"/>
              <w:spacing w:before="24" w:line="228" w:lineRule="auto"/>
              <w:rPr>
                <w:rFonts w:ascii="SimSun" w:hAnsi="SimSun" w:eastAsia="SimSun" w:cs="SimSun"/>
              </w:rPr>
            </w:pPr>
            <w:r>
              <w:rPr>
                <w:rFonts w:ascii="SimSun" w:hAnsi="SimSun" w:eastAsia="SimSun" w:cs="SimSun"/>
                <w:spacing w:val="5"/>
              </w:rPr>
              <w:t>准》（</w:t>
            </w:r>
            <w:r>
              <w:rPr/>
              <w:t>GB</w:t>
            </w:r>
            <w:r>
              <w:rPr>
                <w:spacing w:val="5"/>
              </w:rPr>
              <w:t>204262006</w:t>
            </w:r>
            <w:r>
              <w:rPr>
                <w:rFonts w:ascii="SimSun" w:hAnsi="SimSun" w:eastAsia="SimSun" w:cs="SimSun"/>
                <w:spacing w:val="5"/>
              </w:rPr>
              <w:t>）</w:t>
            </w:r>
            <w:r>
              <w:rPr>
                <w:rFonts w:ascii="SimSun" w:hAnsi="SimSun" w:eastAsia="SimSun" w:cs="SimSun"/>
                <w:spacing w:val="39"/>
              </w:rPr>
              <w:t xml:space="preserve"> </w:t>
            </w:r>
            <w:r>
              <w:rPr>
                <w:rFonts w:ascii="SimSun" w:hAnsi="SimSun" w:eastAsia="SimSun" w:cs="SimSun"/>
                <w:spacing w:val="5"/>
              </w:rPr>
              <w:t>中相应</w:t>
            </w:r>
          </w:p>
          <w:p>
            <w:pPr>
              <w:ind w:left="815"/>
              <w:spacing w:before="25" w:line="228" w:lineRule="auto"/>
              <w:rPr>
                <w:rFonts w:ascii="SimSun" w:hAnsi="SimSun" w:eastAsia="SimSun" w:cs="SimSun"/>
                <w:sz w:val="20"/>
                <w:szCs w:val="20"/>
              </w:rPr>
            </w:pPr>
            <w:r>
              <w:rPr>
                <w:rFonts w:ascii="SimSun" w:hAnsi="SimSun" w:eastAsia="SimSun" w:cs="SimSun"/>
                <w:sz w:val="20"/>
                <w:szCs w:val="20"/>
                <w:spacing w:val="7"/>
              </w:rPr>
              <w:t>排放限值要求。</w:t>
            </w:r>
          </w:p>
        </w:tc>
        <w:tc>
          <w:tcPr>
            <w:tcW w:w="964" w:type="dxa"/>
            <w:vAlign w:val="top"/>
          </w:tcPr>
          <w:p>
            <w:pPr>
              <w:ind w:left="196"/>
              <w:spacing w:before="286" w:line="229" w:lineRule="auto"/>
              <w:rPr>
                <w:rFonts w:ascii="SimSun" w:hAnsi="SimSun" w:eastAsia="SimSun" w:cs="SimSun"/>
                <w:sz w:val="20"/>
                <w:szCs w:val="20"/>
              </w:rPr>
            </w:pPr>
            <w:r>
              <w:rPr>
                <w:rFonts w:ascii="SimSun" w:hAnsi="SimSun" w:eastAsia="SimSun" w:cs="SimSun"/>
                <w:sz w:val="20"/>
                <w:szCs w:val="20"/>
                <w:spacing w:val="-1"/>
              </w:rPr>
              <w:t>已建工</w:t>
            </w:r>
          </w:p>
          <w:p>
            <w:pPr>
              <w:ind w:left="115"/>
              <w:spacing w:before="22" w:line="227" w:lineRule="auto"/>
              <w:rPr>
                <w:rFonts w:ascii="SimSun" w:hAnsi="SimSun" w:eastAsia="SimSun" w:cs="SimSun"/>
                <w:sz w:val="20"/>
                <w:szCs w:val="20"/>
              </w:rPr>
            </w:pPr>
            <w:r>
              <w:rPr>
                <w:rFonts w:ascii="SimSun" w:hAnsi="SimSun" w:eastAsia="SimSun" w:cs="SimSun"/>
                <w:sz w:val="20"/>
                <w:szCs w:val="20"/>
                <w:spacing w:val="-17"/>
              </w:rPr>
              <w:t>程，依托</w:t>
            </w:r>
          </w:p>
          <w:p>
            <w:pPr>
              <w:ind w:left="281"/>
              <w:spacing w:before="28" w:line="228" w:lineRule="auto"/>
              <w:rPr>
                <w:rFonts w:ascii="SimSun" w:hAnsi="SimSun" w:eastAsia="SimSun" w:cs="SimSun"/>
                <w:sz w:val="20"/>
                <w:szCs w:val="20"/>
              </w:rPr>
            </w:pPr>
            <w:r>
              <w:rPr>
                <w:rFonts w:ascii="SimSun" w:hAnsi="SimSun" w:eastAsia="SimSun" w:cs="SimSun"/>
                <w:sz w:val="20"/>
                <w:szCs w:val="20"/>
                <w:spacing w:val="3"/>
              </w:rPr>
              <w:t>现有</w:t>
            </w:r>
          </w:p>
        </w:tc>
      </w:tr>
      <w:tr>
        <w:trPr>
          <w:trHeight w:val="1494" w:hRule="atLeast"/>
        </w:trPr>
        <w:tc>
          <w:tcPr>
            <w:tcW w:w="703" w:type="dxa"/>
            <w:vAlign w:val="top"/>
            <w:vMerge w:val="restart"/>
            <w:tcBorders>
              <w:bottom w:val="nil"/>
            </w:tcBorders>
          </w:tcPr>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spacing w:line="243" w:lineRule="auto"/>
              <w:rPr>
                <w:rFonts w:ascii="Arial"/>
                <w:sz w:val="21"/>
              </w:rPr>
            </w:pPr>
            <w:r/>
          </w:p>
          <w:p>
            <w:pPr>
              <w:pStyle w:val="TableText"/>
              <w:ind w:left="299"/>
              <w:spacing w:before="58" w:line="195" w:lineRule="auto"/>
              <w:rPr/>
            </w:pPr>
            <w:r>
              <w:rPr/>
              <w:t>2</w:t>
            </w:r>
          </w:p>
        </w:tc>
        <w:tc>
          <w:tcPr>
            <w:tcW w:w="1089"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spacing w:line="254" w:lineRule="auto"/>
              <w:rPr>
                <w:rFonts w:ascii="Arial"/>
                <w:sz w:val="21"/>
              </w:rPr>
            </w:pPr>
            <w:r/>
          </w:p>
          <w:p>
            <w:pPr>
              <w:ind w:left="235" w:right="126" w:hanging="105"/>
              <w:spacing w:before="65" w:line="252" w:lineRule="auto"/>
              <w:rPr>
                <w:rFonts w:ascii="SimSun" w:hAnsi="SimSun" w:eastAsia="SimSun" w:cs="SimSun"/>
                <w:sz w:val="20"/>
                <w:szCs w:val="20"/>
              </w:rPr>
            </w:pPr>
            <w:r>
              <w:rPr>
                <w:rFonts w:ascii="SimSun" w:hAnsi="SimSun" w:eastAsia="SimSun" w:cs="SimSun"/>
                <w:sz w:val="20"/>
                <w:szCs w:val="20"/>
                <w:spacing w:val="6"/>
              </w:rPr>
              <w:t>水污染防</w:t>
            </w:r>
            <w:r>
              <w:rPr>
                <w:rFonts w:ascii="SimSun" w:hAnsi="SimSun" w:eastAsia="SimSun" w:cs="SimSun"/>
                <w:sz w:val="20"/>
                <w:szCs w:val="20"/>
                <w:spacing w:val="5"/>
              </w:rPr>
              <w:t>治措施</w:t>
            </w:r>
          </w:p>
        </w:tc>
        <w:tc>
          <w:tcPr>
            <w:tcW w:w="1218" w:type="dxa"/>
            <w:vAlign w:val="top"/>
          </w:tcPr>
          <w:p>
            <w:pPr>
              <w:spacing w:line="435" w:lineRule="auto"/>
              <w:rPr>
                <w:rFonts w:ascii="Arial"/>
                <w:sz w:val="21"/>
              </w:rPr>
            </w:pPr>
            <w:r/>
          </w:p>
          <w:p>
            <w:pPr>
              <w:ind w:left="303" w:right="189" w:hanging="108"/>
              <w:spacing w:before="65" w:line="255" w:lineRule="auto"/>
              <w:rPr>
                <w:rFonts w:ascii="SimSun" w:hAnsi="SimSun" w:eastAsia="SimSun" w:cs="SimSun"/>
                <w:sz w:val="20"/>
                <w:szCs w:val="20"/>
              </w:rPr>
            </w:pPr>
            <w:r>
              <w:rPr>
                <w:rFonts w:ascii="SimSun" w:hAnsi="SimSun" w:eastAsia="SimSun" w:cs="SimSun"/>
                <w:sz w:val="20"/>
                <w:szCs w:val="20"/>
                <w:spacing w:val="6"/>
              </w:rPr>
              <w:t>生活污水</w:t>
            </w:r>
            <w:r>
              <w:rPr>
                <w:rFonts w:ascii="SimSun" w:hAnsi="SimSun" w:eastAsia="SimSun" w:cs="SimSun"/>
                <w:sz w:val="20"/>
                <w:szCs w:val="20"/>
                <w:spacing w:val="5"/>
              </w:rPr>
              <w:t>处理站</w:t>
            </w:r>
          </w:p>
        </w:tc>
        <w:tc>
          <w:tcPr>
            <w:tcW w:w="2010" w:type="dxa"/>
            <w:vAlign w:val="top"/>
          </w:tcPr>
          <w:p>
            <w:pPr>
              <w:ind w:left="115" w:right="62" w:firstLine="55"/>
              <w:spacing w:before="230" w:line="252" w:lineRule="auto"/>
              <w:jc w:val="both"/>
              <w:rPr>
                <w:rFonts w:ascii="SimSun" w:hAnsi="SimSun" w:eastAsia="SimSun" w:cs="SimSun"/>
                <w:sz w:val="20"/>
                <w:szCs w:val="20"/>
              </w:rPr>
            </w:pPr>
            <w:r>
              <w:rPr>
                <w:rFonts w:ascii="SimSun" w:hAnsi="SimSun" w:eastAsia="SimSun" w:cs="SimSun"/>
                <w:sz w:val="20"/>
                <w:szCs w:val="20"/>
                <w:spacing w:val="8"/>
              </w:rPr>
              <w:t>利用现有生活污水</w:t>
            </w:r>
            <w:r>
              <w:rPr>
                <w:rFonts w:ascii="SimSun" w:hAnsi="SimSun" w:eastAsia="SimSun" w:cs="SimSun"/>
                <w:sz w:val="20"/>
                <w:szCs w:val="20"/>
                <w:spacing w:val="3"/>
              </w:rPr>
              <w:t>处理站，经处理后，</w:t>
            </w:r>
            <w:r>
              <w:rPr>
                <w:rFonts w:ascii="SimSun" w:hAnsi="SimSun" w:eastAsia="SimSun" w:cs="SimSun"/>
                <w:sz w:val="20"/>
                <w:szCs w:val="20"/>
                <w:spacing w:val="-2"/>
              </w:rPr>
              <w:t>回用于道路、绿化洒</w:t>
            </w:r>
            <w:r>
              <w:rPr>
                <w:rFonts w:ascii="SimSun" w:hAnsi="SimSun" w:eastAsia="SimSun" w:cs="SimSun"/>
                <w:sz w:val="20"/>
                <w:szCs w:val="20"/>
                <w:spacing w:val="-2"/>
              </w:rPr>
              <w:t>水，全部回用不外排</w:t>
            </w:r>
          </w:p>
        </w:tc>
        <w:tc>
          <w:tcPr>
            <w:tcW w:w="3087" w:type="dxa"/>
            <w:vAlign w:val="top"/>
            <w:vMerge w:val="restart"/>
            <w:tcBorders>
              <w:bottom w:val="nil"/>
            </w:tcBorders>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ind w:left="118"/>
              <w:spacing w:before="65" w:line="228" w:lineRule="auto"/>
              <w:rPr>
                <w:rFonts w:ascii="SimSun" w:hAnsi="SimSun" w:eastAsia="SimSun" w:cs="SimSun"/>
                <w:sz w:val="20"/>
                <w:szCs w:val="20"/>
              </w:rPr>
            </w:pPr>
            <w:r>
              <w:rPr>
                <w:rFonts w:ascii="SimSun" w:hAnsi="SimSun" w:eastAsia="SimSun" w:cs="SimSun"/>
                <w:sz w:val="20"/>
                <w:szCs w:val="20"/>
                <w:spacing w:val="4"/>
              </w:rPr>
              <w:t>处理后的生活污水水质满足《城</w:t>
            </w:r>
          </w:p>
          <w:p>
            <w:pPr>
              <w:ind w:left="139"/>
              <w:spacing w:before="24" w:line="228" w:lineRule="auto"/>
              <w:rPr>
                <w:rFonts w:ascii="SimSun" w:hAnsi="SimSun" w:eastAsia="SimSun" w:cs="SimSun"/>
                <w:sz w:val="20"/>
                <w:szCs w:val="20"/>
              </w:rPr>
            </w:pPr>
            <w:r>
              <w:rPr>
                <w:rFonts w:ascii="SimSun" w:hAnsi="SimSun" w:eastAsia="SimSun" w:cs="SimSun"/>
                <w:sz w:val="20"/>
                <w:szCs w:val="20"/>
                <w:spacing w:val="8"/>
              </w:rPr>
              <w:t>市污水再生利用 城市杂用水水</w:t>
            </w:r>
          </w:p>
          <w:p>
            <w:pPr>
              <w:pStyle w:val="TableText"/>
              <w:ind w:left="115"/>
              <w:spacing w:before="26" w:line="228" w:lineRule="auto"/>
              <w:rPr>
                <w:rFonts w:ascii="SimSun" w:hAnsi="SimSun" w:eastAsia="SimSun" w:cs="SimSun"/>
              </w:rPr>
            </w:pPr>
            <w:r>
              <w:rPr>
                <w:rFonts w:ascii="SimSun" w:hAnsi="SimSun" w:eastAsia="SimSun" w:cs="SimSun"/>
                <w:spacing w:val="1"/>
              </w:rPr>
              <w:t>质》（</w:t>
            </w:r>
            <w:r>
              <w:rPr/>
              <w:t>GB</w:t>
            </w:r>
            <w:r>
              <w:rPr>
                <w:spacing w:val="1"/>
              </w:rPr>
              <w:t>/T18920-2020</w:t>
            </w:r>
            <w:r>
              <w:rPr>
                <w:rFonts w:ascii="SimSun" w:hAnsi="SimSun" w:eastAsia="SimSun" w:cs="SimSun"/>
                <w:spacing w:val="1"/>
              </w:rPr>
              <w:t>）及《城</w:t>
            </w:r>
          </w:p>
          <w:p>
            <w:pPr>
              <w:ind w:left="242"/>
              <w:spacing w:before="24" w:line="228" w:lineRule="auto"/>
              <w:rPr>
                <w:rFonts w:ascii="SimSun" w:hAnsi="SimSun" w:eastAsia="SimSun" w:cs="SimSun"/>
                <w:sz w:val="20"/>
                <w:szCs w:val="20"/>
              </w:rPr>
            </w:pPr>
            <w:r>
              <w:rPr>
                <w:rFonts w:ascii="SimSun" w:hAnsi="SimSun" w:eastAsia="SimSun" w:cs="SimSun"/>
                <w:sz w:val="20"/>
                <w:szCs w:val="20"/>
                <w:spacing w:val="8"/>
              </w:rPr>
              <w:t>市污水再生利用 工业用水水</w:t>
            </w:r>
          </w:p>
          <w:p>
            <w:pPr>
              <w:pStyle w:val="TableText"/>
              <w:ind w:left="115"/>
              <w:spacing w:before="27" w:line="228" w:lineRule="auto"/>
              <w:rPr>
                <w:rFonts w:ascii="SimSun" w:hAnsi="SimSun" w:eastAsia="SimSun" w:cs="SimSun"/>
              </w:rPr>
            </w:pPr>
            <w:r>
              <w:rPr>
                <w:rFonts w:ascii="SimSun" w:hAnsi="SimSun" w:eastAsia="SimSun" w:cs="SimSun"/>
                <w:spacing w:val="2"/>
              </w:rPr>
              <w:t>质》（</w:t>
            </w:r>
            <w:r>
              <w:rPr/>
              <w:t>GB</w:t>
            </w:r>
            <w:r>
              <w:rPr>
                <w:spacing w:val="2"/>
              </w:rPr>
              <w:t>/T19923-2024</w:t>
            </w:r>
            <w:r>
              <w:rPr>
                <w:rFonts w:ascii="SimSun" w:hAnsi="SimSun" w:eastAsia="SimSun" w:cs="SimSun"/>
                <w:spacing w:val="2"/>
              </w:rPr>
              <w:t>）中相应</w:t>
            </w:r>
          </w:p>
          <w:p>
            <w:pPr>
              <w:ind w:left="395"/>
              <w:spacing w:before="23" w:line="228" w:lineRule="auto"/>
              <w:rPr>
                <w:rFonts w:ascii="SimSun" w:hAnsi="SimSun" w:eastAsia="SimSun" w:cs="SimSun"/>
                <w:sz w:val="20"/>
                <w:szCs w:val="20"/>
              </w:rPr>
            </w:pPr>
            <w:r>
              <w:rPr>
                <w:rFonts w:ascii="SimSun" w:hAnsi="SimSun" w:eastAsia="SimSun" w:cs="SimSun"/>
                <w:sz w:val="20"/>
                <w:szCs w:val="20"/>
                <w:spacing w:val="9"/>
              </w:rPr>
              <w:t>要求，全部回用，不外排</w:t>
            </w:r>
          </w:p>
        </w:tc>
        <w:tc>
          <w:tcPr>
            <w:tcW w:w="964" w:type="dxa"/>
            <w:vAlign w:val="top"/>
          </w:tcPr>
          <w:p>
            <w:pPr>
              <w:spacing w:line="301" w:lineRule="auto"/>
              <w:rPr>
                <w:rFonts w:ascii="Arial"/>
                <w:sz w:val="21"/>
              </w:rPr>
            </w:pPr>
            <w:r/>
          </w:p>
          <w:p>
            <w:pPr>
              <w:ind w:left="196"/>
              <w:spacing w:before="65" w:line="229" w:lineRule="auto"/>
              <w:rPr>
                <w:rFonts w:ascii="SimSun" w:hAnsi="SimSun" w:eastAsia="SimSun" w:cs="SimSun"/>
                <w:sz w:val="20"/>
                <w:szCs w:val="20"/>
              </w:rPr>
            </w:pPr>
            <w:r>
              <w:rPr>
                <w:rFonts w:ascii="SimSun" w:hAnsi="SimSun" w:eastAsia="SimSun" w:cs="SimSun"/>
                <w:sz w:val="20"/>
                <w:szCs w:val="20"/>
                <w:spacing w:val="-1"/>
              </w:rPr>
              <w:t>已建工</w:t>
            </w:r>
          </w:p>
          <w:p>
            <w:pPr>
              <w:ind w:left="115"/>
              <w:spacing w:before="22" w:line="227" w:lineRule="auto"/>
              <w:rPr>
                <w:rFonts w:ascii="SimSun" w:hAnsi="SimSun" w:eastAsia="SimSun" w:cs="SimSun"/>
                <w:sz w:val="20"/>
                <w:szCs w:val="20"/>
              </w:rPr>
            </w:pPr>
            <w:r>
              <w:rPr>
                <w:rFonts w:ascii="SimSun" w:hAnsi="SimSun" w:eastAsia="SimSun" w:cs="SimSun"/>
                <w:sz w:val="20"/>
                <w:szCs w:val="20"/>
                <w:spacing w:val="-17"/>
              </w:rPr>
              <w:t>程，依托</w:t>
            </w:r>
          </w:p>
          <w:p>
            <w:pPr>
              <w:ind w:left="281"/>
              <w:spacing w:before="25" w:line="228" w:lineRule="auto"/>
              <w:rPr>
                <w:rFonts w:ascii="SimSun" w:hAnsi="SimSun" w:eastAsia="SimSun" w:cs="SimSun"/>
                <w:sz w:val="20"/>
                <w:szCs w:val="20"/>
              </w:rPr>
            </w:pPr>
            <w:r>
              <w:rPr>
                <w:rFonts w:ascii="SimSun" w:hAnsi="SimSun" w:eastAsia="SimSun" w:cs="SimSun"/>
                <w:sz w:val="20"/>
                <w:szCs w:val="20"/>
                <w:spacing w:val="3"/>
              </w:rPr>
              <w:t>现有</w:t>
            </w:r>
          </w:p>
        </w:tc>
      </w:tr>
      <w:tr>
        <w:trPr>
          <w:trHeight w:val="2183" w:hRule="atLeast"/>
        </w:trPr>
        <w:tc>
          <w:tcPr>
            <w:tcW w:w="703" w:type="dxa"/>
            <w:vAlign w:val="top"/>
            <w:vMerge w:val="continue"/>
            <w:tcBorders>
              <w:top w:val="nil"/>
            </w:tcBorders>
          </w:tcPr>
          <w:p>
            <w:pPr>
              <w:rPr>
                <w:rFonts w:ascii="Arial"/>
                <w:sz w:val="21"/>
              </w:rPr>
            </w:pPr>
            <w:r/>
          </w:p>
        </w:tc>
        <w:tc>
          <w:tcPr>
            <w:tcW w:w="1089" w:type="dxa"/>
            <w:vAlign w:val="top"/>
            <w:vMerge w:val="continue"/>
            <w:tcBorders>
              <w:top w:val="nil"/>
            </w:tcBorders>
          </w:tcPr>
          <w:p>
            <w:pPr>
              <w:rPr>
                <w:rFonts w:ascii="Arial"/>
                <w:sz w:val="21"/>
              </w:rPr>
            </w:pPr>
            <w:r/>
          </w:p>
        </w:tc>
        <w:tc>
          <w:tcPr>
            <w:tcW w:w="1218" w:type="dxa"/>
            <w:vAlign w:val="top"/>
          </w:tcPr>
          <w:p>
            <w:pPr>
              <w:ind w:left="195" w:right="80" w:hanging="87"/>
              <w:spacing w:before="32" w:line="252" w:lineRule="auto"/>
              <w:rPr>
                <w:rFonts w:ascii="SimSun" w:hAnsi="SimSun" w:eastAsia="SimSun" w:cs="SimSun"/>
                <w:sz w:val="20"/>
                <w:szCs w:val="20"/>
              </w:rPr>
            </w:pPr>
            <w:r>
              <w:rPr>
                <w:rFonts w:ascii="SimSun" w:hAnsi="SimSun" w:eastAsia="SimSun" w:cs="SimSun"/>
                <w:sz w:val="20"/>
                <w:szCs w:val="20"/>
                <w:spacing w:val="4"/>
              </w:rPr>
              <w:t>矿井（坑）</w:t>
            </w:r>
            <w:r>
              <w:rPr>
                <w:rFonts w:ascii="SimSun" w:hAnsi="SimSun" w:eastAsia="SimSun" w:cs="SimSun"/>
                <w:sz w:val="20"/>
                <w:szCs w:val="20"/>
                <w:spacing w:val="6"/>
              </w:rPr>
              <w:t>水处理站</w:t>
            </w:r>
          </w:p>
        </w:tc>
        <w:tc>
          <w:tcPr>
            <w:tcW w:w="2010" w:type="dxa"/>
            <w:vAlign w:val="top"/>
          </w:tcPr>
          <w:p>
            <w:pPr>
              <w:ind w:left="113"/>
              <w:spacing w:before="32" w:line="228" w:lineRule="auto"/>
              <w:rPr>
                <w:rFonts w:ascii="SimSun" w:hAnsi="SimSun" w:eastAsia="SimSun" w:cs="SimSun"/>
                <w:sz w:val="20"/>
                <w:szCs w:val="20"/>
              </w:rPr>
            </w:pPr>
            <w:r>
              <w:rPr>
                <w:rFonts w:ascii="SimSun" w:hAnsi="SimSun" w:eastAsia="SimSun" w:cs="SimSun"/>
                <w:sz w:val="20"/>
                <w:szCs w:val="20"/>
                <w:spacing w:val="7"/>
              </w:rPr>
              <w:t>利用现有矿井（坑）</w:t>
            </w:r>
          </w:p>
          <w:p>
            <w:pPr>
              <w:ind w:left="173"/>
              <w:spacing w:before="24" w:line="228" w:lineRule="auto"/>
              <w:rPr>
                <w:rFonts w:ascii="SimSun" w:hAnsi="SimSun" w:eastAsia="SimSun" w:cs="SimSun"/>
                <w:sz w:val="20"/>
                <w:szCs w:val="20"/>
              </w:rPr>
            </w:pPr>
            <w:r>
              <w:rPr>
                <w:rFonts w:ascii="SimSun" w:hAnsi="SimSun" w:eastAsia="SimSun" w:cs="SimSun"/>
                <w:sz w:val="20"/>
                <w:szCs w:val="20"/>
                <w:spacing w:val="8"/>
              </w:rPr>
              <w:t>水处理站，经处理</w:t>
            </w:r>
          </w:p>
          <w:p>
            <w:pPr>
              <w:ind w:left="114"/>
              <w:spacing w:before="24" w:line="228" w:lineRule="auto"/>
              <w:rPr>
                <w:rFonts w:ascii="SimSun" w:hAnsi="SimSun" w:eastAsia="SimSun" w:cs="SimSun"/>
                <w:sz w:val="20"/>
                <w:szCs w:val="20"/>
              </w:rPr>
            </w:pPr>
            <w:r>
              <w:rPr>
                <w:rFonts w:ascii="SimSun" w:hAnsi="SimSun" w:eastAsia="SimSun" w:cs="SimSun"/>
                <w:sz w:val="20"/>
                <w:szCs w:val="20"/>
                <w:spacing w:val="-2"/>
              </w:rPr>
              <w:t>后，部分回用于矿井</w:t>
            </w:r>
          </w:p>
          <w:p>
            <w:pPr>
              <w:ind w:left="114"/>
              <w:spacing w:before="26" w:line="228" w:lineRule="auto"/>
              <w:rPr>
                <w:rFonts w:ascii="SimSun" w:hAnsi="SimSun" w:eastAsia="SimSun" w:cs="SimSun"/>
                <w:sz w:val="20"/>
                <w:szCs w:val="20"/>
              </w:rPr>
            </w:pPr>
            <w:r>
              <w:rPr>
                <w:rFonts w:ascii="SimSun" w:hAnsi="SimSun" w:eastAsia="SimSun" w:cs="SimSun"/>
                <w:sz w:val="20"/>
                <w:szCs w:val="20"/>
                <w:spacing w:val="-2"/>
              </w:rPr>
              <w:t>生产用水、部分回用</w:t>
            </w:r>
          </w:p>
          <w:p>
            <w:pPr>
              <w:ind w:left="116"/>
              <w:spacing w:before="24" w:line="228" w:lineRule="auto"/>
              <w:rPr>
                <w:rFonts w:ascii="SimSun" w:hAnsi="SimSun" w:eastAsia="SimSun" w:cs="SimSun"/>
                <w:sz w:val="20"/>
                <w:szCs w:val="20"/>
              </w:rPr>
            </w:pPr>
            <w:r>
              <w:rPr>
                <w:rFonts w:ascii="SimSun" w:hAnsi="SimSun" w:eastAsia="SimSun" w:cs="SimSun"/>
                <w:sz w:val="20"/>
                <w:szCs w:val="20"/>
                <w:spacing w:val="7"/>
              </w:rPr>
              <w:t>于道路、绿化洒水、</w:t>
            </w:r>
          </w:p>
          <w:p>
            <w:pPr>
              <w:ind w:left="173"/>
              <w:spacing w:before="26" w:line="228" w:lineRule="auto"/>
              <w:rPr>
                <w:rFonts w:ascii="SimSun" w:hAnsi="SimSun" w:eastAsia="SimSun" w:cs="SimSun"/>
                <w:sz w:val="20"/>
                <w:szCs w:val="20"/>
              </w:rPr>
            </w:pPr>
            <w:r>
              <w:rPr>
                <w:rFonts w:ascii="SimSun" w:hAnsi="SimSun" w:eastAsia="SimSun" w:cs="SimSun"/>
                <w:sz w:val="20"/>
                <w:szCs w:val="20"/>
                <w:spacing w:val="8"/>
              </w:rPr>
              <w:t>部分回用于金山电</w:t>
            </w:r>
          </w:p>
          <w:p>
            <w:pPr>
              <w:ind w:left="115"/>
              <w:spacing w:before="24" w:line="228" w:lineRule="auto"/>
              <w:rPr>
                <w:rFonts w:ascii="SimSun" w:hAnsi="SimSun" w:eastAsia="SimSun" w:cs="SimSun"/>
                <w:sz w:val="20"/>
                <w:szCs w:val="20"/>
              </w:rPr>
            </w:pPr>
            <w:r>
              <w:rPr>
                <w:rFonts w:ascii="SimSun" w:hAnsi="SimSun" w:eastAsia="SimSun" w:cs="SimSun"/>
                <w:sz w:val="20"/>
                <w:szCs w:val="20"/>
                <w:spacing w:val="-2"/>
              </w:rPr>
              <w:t>厂用水，全部回用不</w:t>
            </w:r>
          </w:p>
          <w:p>
            <w:pPr>
              <w:ind w:left="803"/>
              <w:spacing w:before="27" w:line="216" w:lineRule="auto"/>
              <w:rPr>
                <w:rFonts w:ascii="SimSun" w:hAnsi="SimSun" w:eastAsia="SimSun" w:cs="SimSun"/>
                <w:sz w:val="20"/>
                <w:szCs w:val="20"/>
              </w:rPr>
            </w:pPr>
            <w:r>
              <w:rPr>
                <w:rFonts w:ascii="SimSun" w:hAnsi="SimSun" w:eastAsia="SimSun" w:cs="SimSun"/>
                <w:sz w:val="20"/>
                <w:szCs w:val="20"/>
                <w:spacing w:val="2"/>
              </w:rPr>
              <w:t>外排</w:t>
            </w:r>
          </w:p>
        </w:tc>
        <w:tc>
          <w:tcPr>
            <w:tcW w:w="3087" w:type="dxa"/>
            <w:vAlign w:val="top"/>
            <w:vMerge w:val="continue"/>
            <w:tcBorders>
              <w:top w:val="nil"/>
            </w:tcBorders>
          </w:tcPr>
          <w:p>
            <w:pPr>
              <w:rPr>
                <w:rFonts w:ascii="Arial"/>
                <w:sz w:val="21"/>
              </w:rPr>
            </w:pPr>
            <w:r/>
          </w:p>
        </w:tc>
        <w:tc>
          <w:tcPr>
            <w:tcW w:w="964" w:type="dxa"/>
            <w:vAlign w:val="top"/>
          </w:tcPr>
          <w:p>
            <w:pPr>
              <w:spacing w:line="321" w:lineRule="auto"/>
              <w:rPr>
                <w:rFonts w:ascii="Arial"/>
                <w:sz w:val="21"/>
              </w:rPr>
            </w:pPr>
            <w:r/>
          </w:p>
          <w:p>
            <w:pPr>
              <w:spacing w:line="322" w:lineRule="auto"/>
              <w:rPr>
                <w:rFonts w:ascii="Arial"/>
                <w:sz w:val="21"/>
              </w:rPr>
            </w:pPr>
            <w:r/>
          </w:p>
          <w:p>
            <w:pPr>
              <w:ind w:left="196"/>
              <w:spacing w:before="65" w:line="229" w:lineRule="auto"/>
              <w:rPr>
                <w:rFonts w:ascii="SimSun" w:hAnsi="SimSun" w:eastAsia="SimSun" w:cs="SimSun"/>
                <w:sz w:val="20"/>
                <w:szCs w:val="20"/>
              </w:rPr>
            </w:pPr>
            <w:r>
              <w:rPr>
                <w:rFonts w:ascii="SimSun" w:hAnsi="SimSun" w:eastAsia="SimSun" w:cs="SimSun"/>
                <w:sz w:val="20"/>
                <w:szCs w:val="20"/>
                <w:spacing w:val="-1"/>
              </w:rPr>
              <w:t>已建工</w:t>
            </w:r>
          </w:p>
          <w:p>
            <w:pPr>
              <w:ind w:left="115"/>
              <w:spacing w:before="22" w:line="227" w:lineRule="auto"/>
              <w:rPr>
                <w:rFonts w:ascii="SimSun" w:hAnsi="SimSun" w:eastAsia="SimSun" w:cs="SimSun"/>
                <w:sz w:val="20"/>
                <w:szCs w:val="20"/>
              </w:rPr>
            </w:pPr>
            <w:r>
              <w:rPr>
                <w:rFonts w:ascii="SimSun" w:hAnsi="SimSun" w:eastAsia="SimSun" w:cs="SimSun"/>
                <w:sz w:val="20"/>
                <w:szCs w:val="20"/>
                <w:spacing w:val="-17"/>
              </w:rPr>
              <w:t>程，依托</w:t>
            </w:r>
          </w:p>
          <w:p>
            <w:pPr>
              <w:ind w:left="281"/>
              <w:spacing w:before="28" w:line="228" w:lineRule="auto"/>
              <w:rPr>
                <w:rFonts w:ascii="SimSun" w:hAnsi="SimSun" w:eastAsia="SimSun" w:cs="SimSun"/>
                <w:sz w:val="20"/>
                <w:szCs w:val="20"/>
              </w:rPr>
            </w:pPr>
            <w:r>
              <w:rPr>
                <w:rFonts w:ascii="SimSun" w:hAnsi="SimSun" w:eastAsia="SimSun" w:cs="SimSun"/>
                <w:sz w:val="20"/>
                <w:szCs w:val="20"/>
                <w:spacing w:val="3"/>
              </w:rPr>
              <w:t>现有</w:t>
            </w:r>
          </w:p>
        </w:tc>
      </w:tr>
      <w:tr>
        <w:trPr>
          <w:trHeight w:val="1094" w:hRule="atLeast"/>
        </w:trPr>
        <w:tc>
          <w:tcPr>
            <w:tcW w:w="703" w:type="dxa"/>
            <w:vAlign w:val="top"/>
          </w:tcPr>
          <w:p>
            <w:pPr>
              <w:spacing w:line="415" w:lineRule="auto"/>
              <w:rPr>
                <w:rFonts w:ascii="Arial"/>
                <w:sz w:val="21"/>
              </w:rPr>
            </w:pPr>
            <w:r/>
          </w:p>
          <w:p>
            <w:pPr>
              <w:pStyle w:val="TableText"/>
              <w:ind w:left="303"/>
              <w:spacing w:before="57" w:line="195" w:lineRule="auto"/>
              <w:rPr/>
            </w:pPr>
            <w:r>
              <w:rPr/>
              <w:t>3</w:t>
            </w:r>
          </w:p>
        </w:tc>
        <w:tc>
          <w:tcPr>
            <w:tcW w:w="1089" w:type="dxa"/>
            <w:vAlign w:val="top"/>
          </w:tcPr>
          <w:p>
            <w:pPr>
              <w:ind w:left="346" w:right="126" w:hanging="209"/>
              <w:spacing w:before="305" w:line="252" w:lineRule="auto"/>
              <w:rPr>
                <w:rFonts w:ascii="SimSun" w:hAnsi="SimSun" w:eastAsia="SimSun" w:cs="SimSun"/>
                <w:sz w:val="20"/>
                <w:szCs w:val="20"/>
              </w:rPr>
            </w:pPr>
            <w:r>
              <w:rPr>
                <w:rFonts w:ascii="SimSun" w:hAnsi="SimSun" w:eastAsia="SimSun" w:cs="SimSun"/>
                <w:sz w:val="20"/>
                <w:szCs w:val="20"/>
                <w:spacing w:val="4"/>
              </w:rPr>
              <w:t>噪声污染</w:t>
            </w:r>
            <w:r>
              <w:rPr>
                <w:rFonts w:ascii="SimSun" w:hAnsi="SimSun" w:eastAsia="SimSun" w:cs="SimSun"/>
                <w:sz w:val="20"/>
                <w:szCs w:val="20"/>
                <w:spacing w:val="-2"/>
              </w:rPr>
              <w:t>防治</w:t>
            </w:r>
          </w:p>
        </w:tc>
        <w:tc>
          <w:tcPr>
            <w:tcW w:w="1218" w:type="dxa"/>
            <w:vAlign w:val="top"/>
          </w:tcPr>
          <w:p>
            <w:pPr>
              <w:ind w:left="193" w:right="189" w:firstLine="1"/>
              <w:spacing w:before="304" w:line="252" w:lineRule="auto"/>
              <w:rPr>
                <w:rFonts w:ascii="SimSun" w:hAnsi="SimSun" w:eastAsia="SimSun" w:cs="SimSun"/>
                <w:sz w:val="20"/>
                <w:szCs w:val="20"/>
              </w:rPr>
            </w:pPr>
            <w:r>
              <w:rPr>
                <w:rFonts w:ascii="SimSun" w:hAnsi="SimSun" w:eastAsia="SimSun" w:cs="SimSun"/>
                <w:sz w:val="20"/>
                <w:szCs w:val="20"/>
                <w:spacing w:val="6"/>
              </w:rPr>
              <w:t>生产系统</w:t>
            </w:r>
            <w:r>
              <w:rPr>
                <w:rFonts w:ascii="SimSun" w:hAnsi="SimSun" w:eastAsia="SimSun" w:cs="SimSun"/>
                <w:sz w:val="20"/>
                <w:szCs w:val="20"/>
                <w:spacing w:val="7"/>
              </w:rPr>
              <w:t>产生噪声</w:t>
            </w:r>
          </w:p>
        </w:tc>
        <w:tc>
          <w:tcPr>
            <w:tcW w:w="2010" w:type="dxa"/>
            <w:vAlign w:val="top"/>
          </w:tcPr>
          <w:p>
            <w:pPr>
              <w:spacing w:line="371" w:lineRule="auto"/>
              <w:rPr>
                <w:rFonts w:ascii="Arial"/>
                <w:sz w:val="21"/>
              </w:rPr>
            </w:pPr>
            <w:r/>
          </w:p>
          <w:p>
            <w:pPr>
              <w:ind w:left="178"/>
              <w:spacing w:before="65" w:line="228" w:lineRule="auto"/>
              <w:rPr>
                <w:rFonts w:ascii="SimSun" w:hAnsi="SimSun" w:eastAsia="SimSun" w:cs="SimSun"/>
                <w:sz w:val="20"/>
                <w:szCs w:val="20"/>
              </w:rPr>
            </w:pPr>
            <w:r>
              <w:rPr>
                <w:rFonts w:ascii="SimSun" w:hAnsi="SimSun" w:eastAsia="SimSun" w:cs="SimSun"/>
                <w:sz w:val="20"/>
                <w:szCs w:val="20"/>
                <w:spacing w:val="7"/>
              </w:rPr>
              <w:t>吸声、隔声、降噪</w:t>
            </w:r>
          </w:p>
        </w:tc>
        <w:tc>
          <w:tcPr>
            <w:tcW w:w="3087" w:type="dxa"/>
            <w:vAlign w:val="top"/>
          </w:tcPr>
          <w:p>
            <w:pPr>
              <w:ind w:left="116"/>
              <w:spacing w:before="165" w:line="228" w:lineRule="auto"/>
              <w:rPr>
                <w:rFonts w:ascii="SimSun" w:hAnsi="SimSun" w:eastAsia="SimSun" w:cs="SimSun"/>
                <w:sz w:val="20"/>
                <w:szCs w:val="20"/>
              </w:rPr>
            </w:pPr>
            <w:r>
              <w:rPr>
                <w:rFonts w:ascii="SimSun" w:hAnsi="SimSun" w:eastAsia="SimSun" w:cs="SimSun"/>
                <w:sz w:val="20"/>
                <w:szCs w:val="20"/>
                <w:spacing w:val="4"/>
              </w:rPr>
              <w:t>厂界噪声满足《工业企业厂界环</w:t>
            </w:r>
          </w:p>
          <w:p>
            <w:pPr>
              <w:ind w:left="710"/>
              <w:spacing w:before="27" w:line="228" w:lineRule="auto"/>
              <w:rPr>
                <w:rFonts w:ascii="SimSun" w:hAnsi="SimSun" w:eastAsia="SimSun" w:cs="SimSun"/>
                <w:sz w:val="20"/>
                <w:szCs w:val="20"/>
              </w:rPr>
            </w:pPr>
            <w:r>
              <w:rPr>
                <w:rFonts w:ascii="SimSun" w:hAnsi="SimSun" w:eastAsia="SimSun" w:cs="SimSun"/>
                <w:sz w:val="20"/>
                <w:szCs w:val="20"/>
                <w:spacing w:val="7"/>
              </w:rPr>
              <w:t>境噪声排放标准》</w:t>
            </w:r>
          </w:p>
          <w:p>
            <w:pPr>
              <w:pStyle w:val="TableText"/>
              <w:ind w:left="221"/>
              <w:spacing w:before="23" w:line="228" w:lineRule="auto"/>
              <w:rPr>
                <w:rFonts w:ascii="SimSun" w:hAnsi="SimSun" w:eastAsia="SimSun" w:cs="SimSun"/>
              </w:rPr>
            </w:pPr>
            <w:r>
              <w:rPr/>
              <w:t>GB</w:t>
            </w:r>
            <w:r>
              <w:rPr>
                <w:spacing w:val="6"/>
              </w:rPr>
              <w:t>123482008</w:t>
            </w:r>
            <w:r>
              <w:rPr>
                <w:rFonts w:ascii="SimSun" w:hAnsi="SimSun" w:eastAsia="SimSun" w:cs="SimSun"/>
                <w:spacing w:val="6"/>
              </w:rPr>
              <w:t>）</w:t>
            </w:r>
            <w:r>
              <w:rPr>
                <w:spacing w:val="6"/>
              </w:rPr>
              <w:t>2 </w:t>
            </w:r>
            <w:r>
              <w:rPr>
                <w:rFonts w:ascii="SimSun" w:hAnsi="SimSun" w:eastAsia="SimSun" w:cs="SimSun"/>
                <w:spacing w:val="6"/>
              </w:rPr>
              <w:t>类标准要求</w:t>
            </w:r>
          </w:p>
        </w:tc>
        <w:tc>
          <w:tcPr>
            <w:tcW w:w="964" w:type="dxa"/>
            <w:vAlign w:val="top"/>
          </w:tcPr>
          <w:p>
            <w:pPr>
              <w:ind w:left="115" w:right="106" w:firstLine="65"/>
              <w:spacing w:before="32" w:line="251" w:lineRule="auto"/>
              <w:rPr>
                <w:rFonts w:ascii="SimSun" w:hAnsi="SimSun" w:eastAsia="SimSun" w:cs="SimSun"/>
                <w:sz w:val="20"/>
                <w:szCs w:val="20"/>
              </w:rPr>
            </w:pPr>
            <w:r>
              <w:rPr>
                <w:rFonts w:ascii="SimSun" w:hAnsi="SimSun" w:eastAsia="SimSun" w:cs="SimSun"/>
                <w:sz w:val="20"/>
                <w:szCs w:val="20"/>
                <w:spacing w:val="4"/>
              </w:rPr>
              <w:t>改建工</w:t>
            </w:r>
            <w:r>
              <w:rPr>
                <w:rFonts w:ascii="SimSun" w:hAnsi="SimSun" w:eastAsia="SimSun" w:cs="SimSun"/>
                <w:sz w:val="20"/>
                <w:szCs w:val="20"/>
                <w:spacing w:val="-16"/>
              </w:rPr>
              <w:t>程、“三</w:t>
            </w:r>
          </w:p>
          <w:p>
            <w:pPr>
              <w:ind w:left="381" w:right="106" w:hanging="245"/>
              <w:spacing w:line="234" w:lineRule="auto"/>
              <w:rPr>
                <w:rFonts w:ascii="SimSun" w:hAnsi="SimSun" w:eastAsia="SimSun" w:cs="SimSun"/>
                <w:sz w:val="20"/>
                <w:szCs w:val="20"/>
              </w:rPr>
            </w:pPr>
            <w:r>
              <w:rPr>
                <w:rFonts w:ascii="SimSun" w:hAnsi="SimSun" w:eastAsia="SimSun" w:cs="SimSun"/>
                <w:sz w:val="20"/>
                <w:szCs w:val="20"/>
                <w:spacing w:val="-29"/>
              </w:rPr>
              <w:t>同时</w:t>
            </w:r>
            <w:r>
              <w:rPr>
                <w:rFonts w:ascii="SimSun" w:hAnsi="SimSun" w:eastAsia="SimSun" w:cs="SimSun"/>
                <w:sz w:val="20"/>
                <w:szCs w:val="20"/>
                <w:spacing w:val="-70"/>
              </w:rPr>
              <w:t xml:space="preserve"> </w:t>
            </w:r>
            <w:r>
              <w:rPr>
                <w:rFonts w:ascii="SimSun" w:hAnsi="SimSun" w:eastAsia="SimSun" w:cs="SimSun"/>
                <w:sz w:val="20"/>
                <w:szCs w:val="20"/>
                <w:spacing w:val="-29"/>
              </w:rPr>
              <w:t>”工</w:t>
            </w:r>
            <w:r>
              <w:rPr>
                <w:rFonts w:ascii="SimSun" w:hAnsi="SimSun" w:eastAsia="SimSun" w:cs="SimSun"/>
                <w:sz w:val="20"/>
                <w:szCs w:val="20"/>
                <w:spacing w:val="1"/>
              </w:rPr>
              <w:t>程</w:t>
            </w:r>
          </w:p>
        </w:tc>
      </w:tr>
      <w:tr>
        <w:trPr>
          <w:trHeight w:val="1638" w:hRule="atLeast"/>
        </w:trPr>
        <w:tc>
          <w:tcPr>
            <w:tcW w:w="703" w:type="dxa"/>
            <w:vAlign w:val="top"/>
          </w:tcPr>
          <w:p>
            <w:pPr>
              <w:spacing w:line="343" w:lineRule="auto"/>
              <w:rPr>
                <w:rFonts w:ascii="Arial"/>
                <w:sz w:val="21"/>
              </w:rPr>
            </w:pPr>
            <w:r/>
          </w:p>
          <w:p>
            <w:pPr>
              <w:spacing w:line="344" w:lineRule="auto"/>
              <w:rPr>
                <w:rFonts w:ascii="Arial"/>
                <w:sz w:val="21"/>
              </w:rPr>
            </w:pPr>
            <w:r/>
          </w:p>
          <w:p>
            <w:pPr>
              <w:pStyle w:val="TableText"/>
              <w:ind w:left="298"/>
              <w:spacing w:before="58" w:line="195" w:lineRule="auto"/>
              <w:rPr/>
            </w:pPr>
            <w:r>
              <w:rPr>
                <w:spacing w:val="1"/>
              </w:rPr>
              <w:t>4</w:t>
            </w:r>
          </w:p>
        </w:tc>
        <w:tc>
          <w:tcPr>
            <w:tcW w:w="1089" w:type="dxa"/>
            <w:vAlign w:val="top"/>
          </w:tcPr>
          <w:p>
            <w:pPr>
              <w:spacing w:line="374" w:lineRule="auto"/>
              <w:rPr>
                <w:rFonts w:ascii="Arial"/>
                <w:sz w:val="21"/>
              </w:rPr>
            </w:pPr>
            <w:r/>
          </w:p>
          <w:p>
            <w:pPr>
              <w:ind w:left="128"/>
              <w:spacing w:before="65" w:line="228" w:lineRule="auto"/>
              <w:rPr>
                <w:rFonts w:ascii="SimSun" w:hAnsi="SimSun" w:eastAsia="SimSun" w:cs="SimSun"/>
                <w:sz w:val="20"/>
                <w:szCs w:val="20"/>
              </w:rPr>
            </w:pPr>
            <w:r>
              <w:rPr>
                <w:rFonts w:ascii="SimSun" w:hAnsi="SimSun" w:eastAsia="SimSun" w:cs="SimSun"/>
                <w:sz w:val="20"/>
                <w:szCs w:val="20"/>
                <w:spacing w:val="7"/>
              </w:rPr>
              <w:t>地下水污</w:t>
            </w:r>
          </w:p>
          <w:p>
            <w:pPr>
              <w:ind w:left="131"/>
              <w:spacing w:before="24" w:line="228" w:lineRule="auto"/>
              <w:rPr>
                <w:rFonts w:ascii="SimSun" w:hAnsi="SimSun" w:eastAsia="SimSun" w:cs="SimSun"/>
                <w:sz w:val="20"/>
                <w:szCs w:val="20"/>
              </w:rPr>
            </w:pPr>
            <w:r>
              <w:rPr>
                <w:rFonts w:ascii="SimSun" w:hAnsi="SimSun" w:eastAsia="SimSun" w:cs="SimSun"/>
                <w:sz w:val="20"/>
                <w:szCs w:val="20"/>
                <w:spacing w:val="6"/>
              </w:rPr>
              <w:t>染防治措</w:t>
            </w:r>
          </w:p>
          <w:p>
            <w:pPr>
              <w:ind w:left="441"/>
              <w:spacing w:before="23" w:line="231" w:lineRule="auto"/>
              <w:rPr>
                <w:rFonts w:ascii="SimSun" w:hAnsi="SimSun" w:eastAsia="SimSun" w:cs="SimSun"/>
                <w:sz w:val="20"/>
                <w:szCs w:val="20"/>
              </w:rPr>
            </w:pPr>
            <w:r>
              <w:rPr>
                <w:rFonts w:ascii="SimSun" w:hAnsi="SimSun" w:eastAsia="SimSun" w:cs="SimSun"/>
                <w:sz w:val="20"/>
                <w:szCs w:val="20"/>
                <w:spacing w:val="1"/>
              </w:rPr>
              <w:t>施</w:t>
            </w:r>
          </w:p>
        </w:tc>
        <w:tc>
          <w:tcPr>
            <w:tcW w:w="1218" w:type="dxa"/>
            <w:vAlign w:val="top"/>
          </w:tcPr>
          <w:p>
            <w:pPr>
              <w:spacing w:line="254" w:lineRule="auto"/>
              <w:rPr>
                <w:rFonts w:ascii="Arial"/>
                <w:sz w:val="21"/>
              </w:rPr>
            </w:pPr>
            <w:r/>
          </w:p>
          <w:p>
            <w:pPr>
              <w:spacing w:line="255" w:lineRule="auto"/>
              <w:rPr>
                <w:rFonts w:ascii="Arial"/>
                <w:sz w:val="21"/>
              </w:rPr>
            </w:pPr>
            <w:r/>
          </w:p>
          <w:p>
            <w:pPr>
              <w:ind w:left="299" w:right="189" w:hanging="106"/>
              <w:spacing w:before="65" w:line="254" w:lineRule="auto"/>
              <w:rPr>
                <w:rFonts w:ascii="SimSun" w:hAnsi="SimSun" w:eastAsia="SimSun" w:cs="SimSun"/>
                <w:sz w:val="20"/>
                <w:szCs w:val="20"/>
              </w:rPr>
            </w:pPr>
            <w:r>
              <w:rPr>
                <w:rFonts w:ascii="SimSun" w:hAnsi="SimSun" w:eastAsia="SimSun" w:cs="SimSun"/>
                <w:sz w:val="20"/>
                <w:szCs w:val="20"/>
                <w:spacing w:val="7"/>
              </w:rPr>
              <w:t>地下水水</w:t>
            </w:r>
            <w:r>
              <w:rPr>
                <w:rFonts w:ascii="SimSun" w:hAnsi="SimSun" w:eastAsia="SimSun" w:cs="SimSun"/>
                <w:sz w:val="20"/>
                <w:szCs w:val="20"/>
                <w:spacing w:val="6"/>
              </w:rPr>
              <w:t>质监测</w:t>
            </w:r>
          </w:p>
        </w:tc>
        <w:tc>
          <w:tcPr>
            <w:tcW w:w="2010" w:type="dxa"/>
            <w:vAlign w:val="top"/>
          </w:tcPr>
          <w:p>
            <w:pPr>
              <w:pStyle w:val="TableText"/>
              <w:ind w:left="113" w:right="41"/>
              <w:spacing w:before="35" w:line="245" w:lineRule="auto"/>
              <w:rPr>
                <w:rFonts w:ascii="SimSun" w:hAnsi="SimSun" w:eastAsia="SimSun" w:cs="SimSun"/>
              </w:rPr>
            </w:pPr>
            <w:r>
              <w:rPr>
                <w:rFonts w:ascii="SimSun" w:hAnsi="SimSun" w:eastAsia="SimSun" w:cs="SimSun"/>
                <w:spacing w:val="-2"/>
              </w:rPr>
              <w:t>根据《环境影响评价</w:t>
            </w:r>
            <w:r>
              <w:rPr>
                <w:rFonts w:ascii="SimSun" w:hAnsi="SimSun" w:eastAsia="SimSun" w:cs="SimSun"/>
                <w:spacing w:val="8"/>
              </w:rPr>
              <w:t>技术导则地下水环</w:t>
            </w:r>
            <w:r>
              <w:rPr>
                <w:rFonts w:ascii="SimSun" w:hAnsi="SimSun" w:eastAsia="SimSun" w:cs="SimSun"/>
                <w:spacing w:val="5"/>
              </w:rPr>
              <w:t>境》（</w:t>
            </w:r>
            <w:r>
              <w:rPr/>
              <w:t>HJ</w:t>
            </w:r>
            <w:r>
              <w:rPr>
                <w:spacing w:val="5"/>
              </w:rPr>
              <w:t>610-2016</w:t>
            </w:r>
            <w:r>
              <w:rPr>
                <w:rFonts w:ascii="SimSun" w:hAnsi="SimSun" w:eastAsia="SimSun" w:cs="SimSun"/>
                <w:spacing w:val="5"/>
              </w:rPr>
              <w:t>）</w:t>
            </w:r>
            <w:r>
              <w:rPr>
                <w:rFonts w:ascii="SimSun" w:hAnsi="SimSun" w:eastAsia="SimSun" w:cs="SimSun"/>
                <w:spacing w:val="8"/>
              </w:rPr>
              <w:t>要求地下水二级评</w:t>
            </w:r>
            <w:r>
              <w:rPr>
                <w:rFonts w:ascii="SimSun" w:hAnsi="SimSun" w:eastAsia="SimSun" w:cs="SimSun"/>
                <w:spacing w:val="8"/>
              </w:rPr>
              <w:t>价地下水跟踪监测</w:t>
            </w:r>
            <w:r>
              <w:rPr>
                <w:rFonts w:ascii="SimSun" w:hAnsi="SimSun" w:eastAsia="SimSun" w:cs="SimSun"/>
                <w:spacing w:val="4"/>
              </w:rPr>
              <w:t>点不少于</w:t>
            </w:r>
            <w:r>
              <w:rPr>
                <w:rFonts w:ascii="SimSun" w:hAnsi="SimSun" w:eastAsia="SimSun" w:cs="SimSun"/>
                <w:spacing w:val="-39"/>
              </w:rPr>
              <w:t xml:space="preserve"> </w:t>
            </w:r>
            <w:r>
              <w:rPr>
                <w:spacing w:val="4"/>
              </w:rPr>
              <w:t>3</w:t>
            </w:r>
            <w:r>
              <w:rPr>
                <w:spacing w:val="15"/>
              </w:rPr>
              <w:t xml:space="preserve"> </w:t>
            </w:r>
            <w:r>
              <w:rPr>
                <w:rFonts w:ascii="SimSun" w:hAnsi="SimSun" w:eastAsia="SimSun" w:cs="SimSun"/>
                <w:spacing w:val="4"/>
              </w:rPr>
              <w:t>个</w:t>
            </w:r>
          </w:p>
        </w:tc>
        <w:tc>
          <w:tcPr>
            <w:tcW w:w="3087" w:type="dxa"/>
            <w:vAlign w:val="top"/>
          </w:tcPr>
          <w:p>
            <w:pPr>
              <w:spacing w:line="322" w:lineRule="auto"/>
              <w:rPr>
                <w:rFonts w:ascii="Arial"/>
                <w:sz w:val="21"/>
              </w:rPr>
            </w:pPr>
            <w:r/>
          </w:p>
          <w:p>
            <w:pPr>
              <w:spacing w:line="322" w:lineRule="auto"/>
              <w:rPr>
                <w:rFonts w:ascii="Arial"/>
                <w:sz w:val="21"/>
              </w:rPr>
            </w:pPr>
            <w:r/>
          </w:p>
          <w:p>
            <w:pPr>
              <w:pStyle w:val="TableText"/>
              <w:ind w:left="607"/>
              <w:spacing w:before="65" w:line="228" w:lineRule="auto"/>
              <w:rPr>
                <w:rFonts w:ascii="SimSun" w:hAnsi="SimSun" w:eastAsia="SimSun" w:cs="SimSun"/>
              </w:rPr>
            </w:pPr>
            <w:r>
              <w:rPr>
                <w:rFonts w:ascii="SimSun" w:hAnsi="SimSun" w:eastAsia="SimSun" w:cs="SimSun"/>
                <w:spacing w:val="7"/>
              </w:rPr>
              <w:t>监测点位不少于</w:t>
            </w:r>
            <w:r>
              <w:rPr>
                <w:rFonts w:ascii="SimSun" w:hAnsi="SimSun" w:eastAsia="SimSun" w:cs="SimSun"/>
                <w:spacing w:val="-41"/>
              </w:rPr>
              <w:t xml:space="preserve"> </w:t>
            </w:r>
            <w:r>
              <w:rPr>
                <w:spacing w:val="7"/>
              </w:rPr>
              <w:t>3 </w:t>
            </w:r>
            <w:r>
              <w:rPr>
                <w:rFonts w:ascii="SimSun" w:hAnsi="SimSun" w:eastAsia="SimSun" w:cs="SimSun"/>
                <w:spacing w:val="7"/>
              </w:rPr>
              <w:t>个</w:t>
            </w:r>
          </w:p>
        </w:tc>
        <w:tc>
          <w:tcPr>
            <w:tcW w:w="964" w:type="dxa"/>
            <w:vAlign w:val="top"/>
          </w:tcPr>
          <w:p>
            <w:pPr>
              <w:ind w:left="181"/>
              <w:spacing w:before="305" w:line="228" w:lineRule="auto"/>
              <w:rPr>
                <w:rFonts w:ascii="SimSun" w:hAnsi="SimSun" w:eastAsia="SimSun" w:cs="SimSun"/>
                <w:sz w:val="20"/>
                <w:szCs w:val="20"/>
              </w:rPr>
            </w:pPr>
            <w:r>
              <w:rPr>
                <w:rFonts w:ascii="SimSun" w:hAnsi="SimSun" w:eastAsia="SimSun" w:cs="SimSun"/>
                <w:sz w:val="20"/>
                <w:szCs w:val="20"/>
                <w:spacing w:val="4"/>
              </w:rPr>
              <w:t>改建工</w:t>
            </w:r>
          </w:p>
          <w:p>
            <w:pPr>
              <w:ind w:left="115"/>
              <w:spacing w:before="24" w:line="228" w:lineRule="auto"/>
              <w:rPr>
                <w:rFonts w:ascii="SimSun" w:hAnsi="SimSun" w:eastAsia="SimSun" w:cs="SimSun"/>
                <w:sz w:val="20"/>
                <w:szCs w:val="20"/>
              </w:rPr>
            </w:pPr>
            <w:r>
              <w:rPr>
                <w:rFonts w:ascii="SimSun" w:hAnsi="SimSun" w:eastAsia="SimSun" w:cs="SimSun"/>
                <w:sz w:val="20"/>
                <w:szCs w:val="20"/>
                <w:spacing w:val="-16"/>
              </w:rPr>
              <w:t>程、“三</w:t>
            </w:r>
          </w:p>
          <w:p>
            <w:pPr>
              <w:ind w:right="22"/>
              <w:spacing w:before="25" w:line="230" w:lineRule="auto"/>
              <w:jc w:val="right"/>
              <w:rPr>
                <w:rFonts w:ascii="SimSun" w:hAnsi="SimSun" w:eastAsia="SimSun" w:cs="SimSun"/>
                <w:sz w:val="20"/>
                <w:szCs w:val="20"/>
              </w:rPr>
            </w:pPr>
            <w:r>
              <w:rPr>
                <w:rFonts w:ascii="SimSun" w:hAnsi="SimSun" w:eastAsia="SimSun" w:cs="SimSun"/>
                <w:sz w:val="20"/>
                <w:szCs w:val="20"/>
                <w:spacing w:val="-8"/>
              </w:rPr>
              <w:t>同时</w:t>
            </w:r>
            <w:r>
              <w:rPr>
                <w:rFonts w:ascii="SimSun" w:hAnsi="SimSun" w:eastAsia="SimSun" w:cs="SimSun"/>
                <w:sz w:val="20"/>
                <w:szCs w:val="20"/>
                <w:spacing w:val="-69"/>
              </w:rPr>
              <w:t xml:space="preserve"> </w:t>
            </w:r>
            <w:r>
              <w:rPr>
                <w:rFonts w:ascii="SimSun" w:hAnsi="SimSun" w:eastAsia="SimSun" w:cs="SimSun"/>
                <w:sz w:val="20"/>
                <w:szCs w:val="20"/>
                <w:spacing w:val="-8"/>
              </w:rPr>
              <w:t>”工</w:t>
            </w:r>
          </w:p>
          <w:p>
            <w:pPr>
              <w:ind w:left="381"/>
              <w:spacing w:before="22" w:line="228" w:lineRule="auto"/>
              <w:rPr>
                <w:rFonts w:ascii="SimSun" w:hAnsi="SimSun" w:eastAsia="SimSun" w:cs="SimSun"/>
                <w:sz w:val="20"/>
                <w:szCs w:val="20"/>
              </w:rPr>
            </w:pPr>
            <w:r>
              <w:rPr>
                <w:rFonts w:ascii="SimSun" w:hAnsi="SimSun" w:eastAsia="SimSun" w:cs="SimSun"/>
                <w:sz w:val="20"/>
                <w:szCs w:val="20"/>
                <w:spacing w:val="1"/>
              </w:rPr>
              <w:t>程</w:t>
            </w:r>
          </w:p>
        </w:tc>
      </w:tr>
      <w:tr>
        <w:trPr>
          <w:trHeight w:val="822" w:hRule="atLeast"/>
        </w:trPr>
        <w:tc>
          <w:tcPr>
            <w:tcW w:w="703" w:type="dxa"/>
            <w:vAlign w:val="top"/>
            <w:vMerge w:val="restart"/>
            <w:tcBorders>
              <w:bottom w:val="nil"/>
            </w:tcBorders>
          </w:tcPr>
          <w:p>
            <w:pPr>
              <w:spacing w:line="348" w:lineRule="auto"/>
              <w:rPr>
                <w:rFonts w:ascii="Arial"/>
                <w:sz w:val="21"/>
              </w:rPr>
            </w:pPr>
            <w:r/>
          </w:p>
          <w:p>
            <w:pPr>
              <w:spacing w:line="348" w:lineRule="auto"/>
              <w:rPr>
                <w:rFonts w:ascii="Arial"/>
                <w:sz w:val="21"/>
              </w:rPr>
            </w:pPr>
            <w:r/>
          </w:p>
          <w:p>
            <w:pPr>
              <w:pStyle w:val="TableText"/>
              <w:ind w:left="305"/>
              <w:spacing w:before="57" w:line="192" w:lineRule="auto"/>
              <w:rPr/>
            </w:pPr>
            <w:r>
              <w:rPr/>
              <w:t>5</w:t>
            </w:r>
          </w:p>
        </w:tc>
        <w:tc>
          <w:tcPr>
            <w:tcW w:w="1089" w:type="dxa"/>
            <w:vAlign w:val="top"/>
            <w:vMerge w:val="restart"/>
            <w:tcBorders>
              <w:bottom w:val="nil"/>
            </w:tcBorders>
          </w:tcPr>
          <w:p>
            <w:pPr>
              <w:spacing w:line="325" w:lineRule="auto"/>
              <w:rPr>
                <w:rFonts w:ascii="Arial"/>
                <w:sz w:val="21"/>
              </w:rPr>
            </w:pPr>
            <w:r/>
          </w:p>
          <w:p>
            <w:pPr>
              <w:spacing w:line="325" w:lineRule="auto"/>
              <w:rPr>
                <w:rFonts w:ascii="Arial"/>
                <w:sz w:val="21"/>
              </w:rPr>
            </w:pPr>
            <w:r/>
          </w:p>
          <w:p>
            <w:pPr>
              <w:ind w:left="146"/>
              <w:spacing w:before="65" w:line="228" w:lineRule="auto"/>
              <w:rPr>
                <w:rFonts w:ascii="SimSun" w:hAnsi="SimSun" w:eastAsia="SimSun" w:cs="SimSun"/>
                <w:sz w:val="20"/>
                <w:szCs w:val="20"/>
              </w:rPr>
            </w:pPr>
            <w:r>
              <w:rPr>
                <w:rFonts w:ascii="SimSun" w:hAnsi="SimSun" w:eastAsia="SimSun" w:cs="SimSun"/>
                <w:sz w:val="20"/>
                <w:szCs w:val="20"/>
                <w:spacing w:val="2"/>
              </w:rPr>
              <w:t>固体废物</w:t>
            </w:r>
          </w:p>
        </w:tc>
        <w:tc>
          <w:tcPr>
            <w:tcW w:w="1218" w:type="dxa"/>
            <w:vAlign w:val="top"/>
          </w:tcPr>
          <w:p>
            <w:pPr>
              <w:ind w:left="210" w:right="189" w:hanging="14"/>
              <w:spacing w:before="170" w:line="254" w:lineRule="auto"/>
              <w:rPr>
                <w:rFonts w:ascii="SimSun" w:hAnsi="SimSun" w:eastAsia="SimSun" w:cs="SimSun"/>
                <w:sz w:val="20"/>
                <w:szCs w:val="20"/>
              </w:rPr>
            </w:pPr>
            <w:r>
              <w:rPr>
                <w:rFonts w:ascii="SimSun" w:hAnsi="SimSun" w:eastAsia="SimSun" w:cs="SimSun"/>
                <w:sz w:val="20"/>
                <w:szCs w:val="20"/>
                <w:spacing w:val="6"/>
              </w:rPr>
              <w:t>一般工业</w:t>
            </w:r>
            <w:r>
              <w:rPr>
                <w:rFonts w:ascii="SimSun" w:hAnsi="SimSun" w:eastAsia="SimSun" w:cs="SimSun"/>
                <w:sz w:val="20"/>
                <w:szCs w:val="20"/>
                <w:spacing w:val="2"/>
              </w:rPr>
              <w:t>固体废物</w:t>
            </w:r>
          </w:p>
        </w:tc>
        <w:tc>
          <w:tcPr>
            <w:tcW w:w="2010" w:type="dxa"/>
            <w:vAlign w:val="top"/>
          </w:tcPr>
          <w:p>
            <w:pPr>
              <w:ind w:left="283"/>
              <w:spacing w:before="306" w:line="228" w:lineRule="auto"/>
              <w:rPr>
                <w:rFonts w:ascii="SimSun" w:hAnsi="SimSun" w:eastAsia="SimSun" w:cs="SimSun"/>
                <w:sz w:val="20"/>
                <w:szCs w:val="20"/>
              </w:rPr>
            </w:pPr>
            <w:r>
              <w:rPr>
                <w:rFonts w:ascii="SimSun" w:hAnsi="SimSun" w:eastAsia="SimSun" w:cs="SimSun"/>
                <w:sz w:val="20"/>
                <w:szCs w:val="20"/>
                <w:spacing w:val="7"/>
              </w:rPr>
              <w:t>收集后妥善处置</w:t>
            </w:r>
          </w:p>
        </w:tc>
        <w:tc>
          <w:tcPr>
            <w:tcW w:w="3087" w:type="dxa"/>
            <w:vAlign w:val="top"/>
            <w:vMerge w:val="restart"/>
            <w:tcBorders>
              <w:bottom w:val="nil"/>
            </w:tcBorders>
          </w:tcPr>
          <w:p>
            <w:pPr>
              <w:spacing w:line="325" w:lineRule="auto"/>
              <w:rPr>
                <w:rFonts w:ascii="Arial"/>
                <w:sz w:val="21"/>
              </w:rPr>
            </w:pPr>
            <w:r/>
          </w:p>
          <w:p>
            <w:pPr>
              <w:spacing w:line="325" w:lineRule="auto"/>
              <w:rPr>
                <w:rFonts w:ascii="Arial"/>
                <w:sz w:val="21"/>
              </w:rPr>
            </w:pPr>
            <w:r/>
          </w:p>
          <w:p>
            <w:pPr>
              <w:ind w:left="1131"/>
              <w:spacing w:before="65" w:line="229" w:lineRule="auto"/>
              <w:rPr>
                <w:rFonts w:ascii="SimSun" w:hAnsi="SimSun" w:eastAsia="SimSun" w:cs="SimSun"/>
                <w:sz w:val="20"/>
                <w:szCs w:val="20"/>
              </w:rPr>
            </w:pPr>
            <w:r>
              <w:rPr>
                <w:rFonts w:ascii="SimSun" w:hAnsi="SimSun" w:eastAsia="SimSun" w:cs="SimSun"/>
                <w:sz w:val="20"/>
                <w:szCs w:val="20"/>
                <w:spacing w:val="6"/>
              </w:rPr>
              <w:t>妥善处置</w:t>
            </w:r>
          </w:p>
        </w:tc>
        <w:tc>
          <w:tcPr>
            <w:tcW w:w="964" w:type="dxa"/>
            <w:vAlign w:val="top"/>
          </w:tcPr>
          <w:p>
            <w:pPr>
              <w:ind w:left="196"/>
              <w:spacing w:before="35" w:line="229" w:lineRule="auto"/>
              <w:rPr>
                <w:rFonts w:ascii="SimSun" w:hAnsi="SimSun" w:eastAsia="SimSun" w:cs="SimSun"/>
                <w:sz w:val="20"/>
                <w:szCs w:val="20"/>
              </w:rPr>
            </w:pPr>
            <w:r>
              <w:rPr>
                <w:rFonts w:ascii="SimSun" w:hAnsi="SimSun" w:eastAsia="SimSun" w:cs="SimSun"/>
                <w:sz w:val="20"/>
                <w:szCs w:val="20"/>
                <w:spacing w:val="-1"/>
              </w:rPr>
              <w:t>已建工</w:t>
            </w:r>
          </w:p>
          <w:p>
            <w:pPr>
              <w:ind w:left="115"/>
              <w:spacing w:before="22" w:line="227" w:lineRule="auto"/>
              <w:rPr>
                <w:rFonts w:ascii="SimSun" w:hAnsi="SimSun" w:eastAsia="SimSun" w:cs="SimSun"/>
                <w:sz w:val="20"/>
                <w:szCs w:val="20"/>
              </w:rPr>
            </w:pPr>
            <w:r>
              <w:rPr>
                <w:rFonts w:ascii="SimSun" w:hAnsi="SimSun" w:eastAsia="SimSun" w:cs="SimSun"/>
                <w:sz w:val="20"/>
                <w:szCs w:val="20"/>
                <w:spacing w:val="-17"/>
              </w:rPr>
              <w:t>程，依托</w:t>
            </w:r>
          </w:p>
          <w:p>
            <w:pPr>
              <w:ind w:left="281"/>
              <w:spacing w:before="25" w:line="216" w:lineRule="auto"/>
              <w:rPr>
                <w:rFonts w:ascii="SimSun" w:hAnsi="SimSun" w:eastAsia="SimSun" w:cs="SimSun"/>
                <w:sz w:val="20"/>
                <w:szCs w:val="20"/>
              </w:rPr>
            </w:pPr>
            <w:r>
              <w:rPr>
                <w:rFonts w:ascii="SimSun" w:hAnsi="SimSun" w:eastAsia="SimSun" w:cs="SimSun"/>
                <w:sz w:val="20"/>
                <w:szCs w:val="20"/>
                <w:spacing w:val="3"/>
              </w:rPr>
              <w:t>现有</w:t>
            </w:r>
          </w:p>
        </w:tc>
      </w:tr>
      <w:tr>
        <w:trPr>
          <w:trHeight w:val="827" w:hRule="atLeast"/>
        </w:trPr>
        <w:tc>
          <w:tcPr>
            <w:tcW w:w="703" w:type="dxa"/>
            <w:vAlign w:val="top"/>
            <w:vMerge w:val="continue"/>
            <w:tcBorders>
              <w:top w:val="nil"/>
            </w:tcBorders>
          </w:tcPr>
          <w:p>
            <w:pPr>
              <w:rPr>
                <w:rFonts w:ascii="Arial"/>
                <w:sz w:val="21"/>
              </w:rPr>
            </w:pPr>
            <w:r/>
          </w:p>
        </w:tc>
        <w:tc>
          <w:tcPr>
            <w:tcW w:w="1089" w:type="dxa"/>
            <w:vAlign w:val="top"/>
            <w:vMerge w:val="continue"/>
            <w:tcBorders>
              <w:top w:val="nil"/>
            </w:tcBorders>
          </w:tcPr>
          <w:p>
            <w:pPr>
              <w:rPr>
                <w:rFonts w:ascii="Arial"/>
                <w:sz w:val="21"/>
              </w:rPr>
            </w:pPr>
            <w:r/>
          </w:p>
        </w:tc>
        <w:tc>
          <w:tcPr>
            <w:tcW w:w="1218" w:type="dxa"/>
            <w:vAlign w:val="top"/>
          </w:tcPr>
          <w:p>
            <w:pPr>
              <w:ind w:left="196"/>
              <w:spacing w:before="305" w:line="228" w:lineRule="auto"/>
              <w:rPr>
                <w:rFonts w:ascii="SimSun" w:hAnsi="SimSun" w:eastAsia="SimSun" w:cs="SimSun"/>
                <w:sz w:val="20"/>
                <w:szCs w:val="20"/>
              </w:rPr>
            </w:pPr>
            <w:r>
              <w:rPr>
                <w:rFonts w:ascii="SimSun" w:hAnsi="SimSun" w:eastAsia="SimSun" w:cs="SimSun"/>
                <w:sz w:val="20"/>
                <w:szCs w:val="20"/>
                <w:spacing w:val="6"/>
              </w:rPr>
              <w:t>危险废物</w:t>
            </w:r>
          </w:p>
        </w:tc>
        <w:tc>
          <w:tcPr>
            <w:tcW w:w="2010" w:type="dxa"/>
            <w:vAlign w:val="top"/>
          </w:tcPr>
          <w:p>
            <w:pPr>
              <w:ind w:left="484" w:right="164" w:hanging="310"/>
              <w:spacing w:before="170" w:line="252" w:lineRule="auto"/>
              <w:rPr>
                <w:rFonts w:ascii="SimSun" w:hAnsi="SimSun" w:eastAsia="SimSun" w:cs="SimSun"/>
                <w:sz w:val="20"/>
                <w:szCs w:val="20"/>
              </w:rPr>
            </w:pPr>
            <w:r>
              <w:rPr>
                <w:rFonts w:ascii="SimSun" w:hAnsi="SimSun" w:eastAsia="SimSun" w:cs="SimSun"/>
                <w:sz w:val="20"/>
                <w:szCs w:val="20"/>
                <w:spacing w:val="8"/>
              </w:rPr>
              <w:t>交予具有资质的单</w:t>
            </w:r>
            <w:r>
              <w:rPr>
                <w:rFonts w:ascii="SimSun" w:hAnsi="SimSun" w:eastAsia="SimSun" w:cs="SimSun"/>
                <w:sz w:val="20"/>
                <w:szCs w:val="20"/>
                <w:spacing w:val="8"/>
              </w:rPr>
              <w:t>位进行处置</w:t>
            </w:r>
          </w:p>
        </w:tc>
        <w:tc>
          <w:tcPr>
            <w:tcW w:w="3087" w:type="dxa"/>
            <w:vAlign w:val="top"/>
            <w:vMerge w:val="continue"/>
            <w:tcBorders>
              <w:top w:val="nil"/>
            </w:tcBorders>
          </w:tcPr>
          <w:p>
            <w:pPr>
              <w:rPr>
                <w:rFonts w:ascii="Arial"/>
                <w:sz w:val="21"/>
              </w:rPr>
            </w:pPr>
            <w:r/>
          </w:p>
        </w:tc>
        <w:tc>
          <w:tcPr>
            <w:tcW w:w="964" w:type="dxa"/>
            <w:vAlign w:val="top"/>
          </w:tcPr>
          <w:p>
            <w:pPr>
              <w:ind w:left="196"/>
              <w:spacing w:before="33" w:line="229" w:lineRule="auto"/>
              <w:rPr>
                <w:rFonts w:ascii="SimSun" w:hAnsi="SimSun" w:eastAsia="SimSun" w:cs="SimSun"/>
                <w:sz w:val="20"/>
                <w:szCs w:val="20"/>
              </w:rPr>
            </w:pPr>
            <w:r>
              <w:rPr>
                <w:rFonts w:ascii="SimSun" w:hAnsi="SimSun" w:eastAsia="SimSun" w:cs="SimSun"/>
                <w:sz w:val="20"/>
                <w:szCs w:val="20"/>
                <w:spacing w:val="-1"/>
              </w:rPr>
              <w:t>已建工</w:t>
            </w:r>
          </w:p>
          <w:p>
            <w:pPr>
              <w:ind w:left="115"/>
              <w:spacing w:before="22" w:line="227" w:lineRule="auto"/>
              <w:rPr>
                <w:rFonts w:ascii="SimSun" w:hAnsi="SimSun" w:eastAsia="SimSun" w:cs="SimSun"/>
                <w:sz w:val="20"/>
                <w:szCs w:val="20"/>
              </w:rPr>
            </w:pPr>
            <w:r>
              <w:rPr>
                <w:rFonts w:ascii="SimSun" w:hAnsi="SimSun" w:eastAsia="SimSun" w:cs="SimSun"/>
                <w:sz w:val="20"/>
                <w:szCs w:val="20"/>
                <w:spacing w:val="-17"/>
              </w:rPr>
              <w:t>程，依托</w:t>
            </w:r>
          </w:p>
          <w:p>
            <w:pPr>
              <w:ind w:left="281"/>
              <w:spacing w:before="27" w:line="220" w:lineRule="auto"/>
              <w:rPr>
                <w:rFonts w:ascii="SimSun" w:hAnsi="SimSun" w:eastAsia="SimSun" w:cs="SimSun"/>
                <w:sz w:val="20"/>
                <w:szCs w:val="20"/>
              </w:rPr>
            </w:pPr>
            <w:r>
              <w:rPr>
                <w:rFonts w:ascii="SimSun" w:hAnsi="SimSun" w:eastAsia="SimSun" w:cs="SimSun"/>
                <w:sz w:val="20"/>
                <w:szCs w:val="20"/>
                <w:spacing w:val="3"/>
              </w:rPr>
              <w:t>现有</w:t>
            </w:r>
          </w:p>
        </w:tc>
      </w:tr>
    </w:tbl>
    <w:p>
      <w:pPr>
        <w:pStyle w:val="BodyText"/>
        <w:rPr/>
      </w:pPr>
      <w:r/>
    </w:p>
    <w:p>
      <w:pPr>
        <w:sectPr>
          <w:headerReference w:type="default" r:id="rId551"/>
          <w:footerReference w:type="default" r:id="rId552"/>
          <w:pgSz w:w="11906" w:h="16838"/>
          <w:pgMar w:top="1170" w:right="1332" w:bottom="1080" w:left="1305" w:header="837" w:footer="918" w:gutter="0"/>
        </w:sectPr>
        <w:rPr/>
      </w:pPr>
    </w:p>
    <w:p>
      <w:pPr>
        <w:pStyle w:val="BodyText"/>
        <w:spacing w:line="369" w:lineRule="auto"/>
        <w:rPr/>
      </w:pPr>
      <w:r/>
    </w:p>
    <w:p>
      <w:pPr>
        <w:ind w:left="9"/>
        <w:spacing w:before="98" w:line="222" w:lineRule="auto"/>
        <w:outlineLvl w:val="1"/>
        <w:rPr>
          <w:rFonts w:ascii="SimHei" w:hAnsi="SimHei" w:eastAsia="SimHei" w:cs="SimHei"/>
          <w:sz w:val="30"/>
          <w:szCs w:val="30"/>
        </w:rPr>
      </w:pPr>
      <w:bookmarkStart w:name="bookmark62" w:id="110"/>
      <w:bookmarkEnd w:id="110"/>
      <w:r>
        <w:rPr>
          <w:rFonts w:ascii="Times New Roman" w:hAnsi="Times New Roman" w:eastAsia="Times New Roman" w:cs="Times New Roman"/>
          <w:sz w:val="30"/>
          <w:szCs w:val="30"/>
          <w:b/>
          <w:bCs/>
          <w:spacing w:val="-3"/>
        </w:rPr>
        <w:t>9.5 </w:t>
      </w:r>
      <w:r>
        <w:rPr>
          <w:rFonts w:ascii="SimHei" w:hAnsi="SimHei" w:eastAsia="SimHei" w:cs="SimHei"/>
          <w:sz w:val="30"/>
          <w:szCs w:val="30"/>
          <w:b/>
          <w:bCs/>
          <w:spacing w:val="-3"/>
        </w:rPr>
        <w:t>总量及排污许可</w:t>
      </w:r>
    </w:p>
    <w:p>
      <w:pPr>
        <w:ind w:left="8"/>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2"/>
        </w:rPr>
        <w:t>9.5.1    </w:t>
      </w:r>
      <w:r>
        <w:rPr>
          <w:rFonts w:ascii="SimHei" w:hAnsi="SimHei" w:eastAsia="SimHei" w:cs="SimHei"/>
          <w:sz w:val="28"/>
          <w:szCs w:val="28"/>
          <w:b/>
          <w:bCs/>
          <w:spacing w:val="-2"/>
        </w:rPr>
        <w:t>排污许可</w:t>
      </w:r>
    </w:p>
    <w:p>
      <w:pPr>
        <w:ind w:left="10" w:firstLine="513"/>
        <w:spacing w:before="169" w:line="341" w:lineRule="auto"/>
        <w:rPr>
          <w:rFonts w:ascii="SimSun" w:hAnsi="SimSun" w:eastAsia="SimSun" w:cs="SimSun"/>
          <w:sz w:val="24"/>
          <w:szCs w:val="24"/>
        </w:rPr>
      </w:pPr>
      <w:r>
        <w:rPr>
          <w:rFonts w:ascii="SimSun" w:hAnsi="SimSun" w:eastAsia="SimSun" w:cs="SimSun"/>
          <w:sz w:val="24"/>
          <w:szCs w:val="24"/>
          <w:spacing w:val="-4"/>
        </w:rPr>
        <w:t>白音华四号露天矿未被纳入重点排污企业名录内，属于备案登记管理，</w:t>
      </w:r>
      <w:r>
        <w:rPr>
          <w:rFonts w:ascii="SimSun" w:hAnsi="SimSun" w:eastAsia="SimSun" w:cs="SimSun"/>
          <w:sz w:val="24"/>
          <w:szCs w:val="24"/>
          <w:spacing w:val="-5"/>
        </w:rPr>
        <w:t>企业于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2020</w:t>
      </w:r>
      <w:r>
        <w:rPr>
          <w:rFonts w:ascii="SimSun" w:hAnsi="SimSun" w:eastAsia="SimSun" w:cs="SimSun"/>
          <w:sz w:val="24"/>
          <w:szCs w:val="24"/>
          <w:spacing w:val="-1"/>
        </w:rPr>
        <w:t>年已申请固定污染源排污登记表（见附件</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24</w:t>
      </w:r>
      <w:r>
        <w:rPr>
          <w:rFonts w:ascii="SimSun" w:hAnsi="SimSun" w:eastAsia="SimSun" w:cs="SimSun"/>
          <w:sz w:val="24"/>
          <w:szCs w:val="24"/>
          <w:spacing w:val="-1"/>
        </w:rPr>
        <w:t>）。</w:t>
      </w:r>
    </w:p>
    <w:p>
      <w:pPr>
        <w:ind w:left="8"/>
        <w:spacing w:before="84" w:line="224" w:lineRule="auto"/>
        <w:rPr>
          <w:rFonts w:ascii="SimHei" w:hAnsi="SimHei" w:eastAsia="SimHei" w:cs="SimHei"/>
          <w:sz w:val="28"/>
          <w:szCs w:val="28"/>
        </w:rPr>
      </w:pPr>
      <w:r>
        <w:rPr>
          <w:rFonts w:ascii="Times New Roman" w:hAnsi="Times New Roman" w:eastAsia="Times New Roman" w:cs="Times New Roman"/>
          <w:sz w:val="28"/>
          <w:szCs w:val="28"/>
          <w:b/>
          <w:bCs/>
          <w:spacing w:val="-4"/>
        </w:rPr>
        <w:t>9.5.2</w:t>
      </w:r>
      <w:r>
        <w:rPr>
          <w:rFonts w:ascii="Times New Roman" w:hAnsi="Times New Roman" w:eastAsia="Times New Roman" w:cs="Times New Roman"/>
          <w:sz w:val="28"/>
          <w:szCs w:val="28"/>
          <w:b/>
          <w:bCs/>
          <w:spacing w:val="5"/>
        </w:rPr>
        <w:t xml:space="preserve">    </w:t>
      </w:r>
      <w:r>
        <w:rPr>
          <w:rFonts w:ascii="SimHei" w:hAnsi="SimHei" w:eastAsia="SimHei" w:cs="SimHei"/>
          <w:sz w:val="28"/>
          <w:szCs w:val="28"/>
          <w:b/>
          <w:bCs/>
          <w:spacing w:val="-4"/>
        </w:rPr>
        <w:t>总量控制</w:t>
      </w:r>
    </w:p>
    <w:p>
      <w:pPr>
        <w:ind w:left="9" w:firstLine="514"/>
        <w:spacing w:before="168" w:line="339" w:lineRule="auto"/>
        <w:rPr>
          <w:rFonts w:ascii="SimSun" w:hAnsi="SimSun" w:eastAsia="SimSun" w:cs="SimSun"/>
          <w:sz w:val="24"/>
          <w:szCs w:val="24"/>
        </w:rPr>
      </w:pPr>
      <w:r>
        <w:rPr>
          <w:rFonts w:ascii="SimSun" w:hAnsi="SimSun" w:eastAsia="SimSun" w:cs="SimSun"/>
          <w:sz w:val="24"/>
          <w:szCs w:val="24"/>
          <w:spacing w:val="-3"/>
        </w:rPr>
        <w:t>白音华四号露天矿（露天区）不设燃煤锅炉，不新增大气污染物排放总量，项目生</w:t>
      </w:r>
      <w:r>
        <w:rPr>
          <w:rFonts w:ascii="SimSun" w:hAnsi="SimSun" w:eastAsia="SimSun" w:cs="SimSun"/>
          <w:sz w:val="24"/>
          <w:szCs w:val="24"/>
          <w:spacing w:val="-1"/>
        </w:rPr>
        <w:t>产、生活污水经处理后全部回用，不外排。</w:t>
      </w:r>
    </w:p>
    <w:p>
      <w:pPr>
        <w:ind w:left="490"/>
        <w:spacing w:before="1" w:line="218" w:lineRule="auto"/>
        <w:rPr>
          <w:rFonts w:ascii="SimSun" w:hAnsi="SimSun" w:eastAsia="SimSun" w:cs="SimSun"/>
          <w:sz w:val="24"/>
          <w:szCs w:val="24"/>
        </w:rPr>
      </w:pPr>
      <w:r>
        <w:rPr>
          <w:rFonts w:ascii="SimSun" w:hAnsi="SimSun" w:eastAsia="SimSun" w:cs="SimSun"/>
          <w:sz w:val="24"/>
          <w:szCs w:val="24"/>
          <w:spacing w:val="-1"/>
        </w:rPr>
        <w:t>本项目改建工程不需申请总量控制指标。</w:t>
      </w:r>
    </w:p>
    <w:p>
      <w:pPr>
        <w:spacing w:line="218" w:lineRule="auto"/>
        <w:sectPr>
          <w:headerReference w:type="default" r:id="rId79"/>
          <w:footerReference w:type="default" r:id="rId553"/>
          <w:pgSz w:w="11906" w:h="16838"/>
          <w:pgMar w:top="1170" w:right="1417" w:bottom="1080" w:left="1416" w:header="837" w:footer="918" w:gutter="0"/>
        </w:sectPr>
        <w:rPr>
          <w:rFonts w:ascii="SimSun" w:hAnsi="SimSun" w:eastAsia="SimSun" w:cs="SimSun"/>
          <w:sz w:val="24"/>
          <w:szCs w:val="24"/>
        </w:rPr>
      </w:pPr>
    </w:p>
    <w:p>
      <w:pPr>
        <w:pStyle w:val="BodyText"/>
        <w:spacing w:line="269" w:lineRule="auto"/>
        <w:rPr/>
      </w:pPr>
      <w:r/>
    </w:p>
    <w:p>
      <w:pPr>
        <w:pStyle w:val="BodyText"/>
        <w:spacing w:line="270" w:lineRule="auto"/>
        <w:rPr/>
      </w:pPr>
      <w:r/>
    </w:p>
    <w:p>
      <w:pPr>
        <w:ind w:left="1640"/>
        <w:spacing w:before="117" w:line="219" w:lineRule="auto"/>
        <w:outlineLvl w:val="0"/>
        <w:rPr>
          <w:rFonts w:ascii="SimHei" w:hAnsi="SimHei" w:eastAsia="SimHei" w:cs="SimHei"/>
          <w:sz w:val="36"/>
          <w:szCs w:val="36"/>
        </w:rPr>
      </w:pPr>
      <w:bookmarkStart w:name="bookmark63" w:id="111"/>
      <w:bookmarkEnd w:id="111"/>
      <w:r>
        <w:rPr>
          <w:rFonts w:ascii="Times New Roman" w:hAnsi="Times New Roman" w:eastAsia="Times New Roman" w:cs="Times New Roman"/>
          <w:sz w:val="36"/>
          <w:szCs w:val="36"/>
          <w:spacing w:val="-3"/>
        </w:rPr>
        <w:t>10  </w:t>
      </w:r>
      <w:r>
        <w:rPr>
          <w:rFonts w:ascii="SimHei" w:hAnsi="SimHei" w:eastAsia="SimHei" w:cs="SimHei"/>
          <w:sz w:val="36"/>
          <w:szCs w:val="36"/>
          <w:spacing w:val="-3"/>
        </w:rPr>
        <w:t>政策规划及</w:t>
      </w:r>
      <w:r>
        <w:rPr>
          <w:rFonts w:ascii="Times New Roman" w:hAnsi="Times New Roman" w:eastAsia="Times New Roman" w:cs="Times New Roman"/>
          <w:sz w:val="36"/>
          <w:szCs w:val="36"/>
          <w:spacing w:val="-3"/>
        </w:rPr>
        <w:t>“</w:t>
      </w:r>
      <w:r>
        <w:rPr>
          <w:rFonts w:ascii="SimHei" w:hAnsi="SimHei" w:eastAsia="SimHei" w:cs="SimHei"/>
          <w:sz w:val="36"/>
          <w:szCs w:val="36"/>
          <w:spacing w:val="-3"/>
        </w:rPr>
        <w:t>三线一单</w:t>
      </w:r>
      <w:r>
        <w:rPr>
          <w:rFonts w:ascii="Times New Roman" w:hAnsi="Times New Roman" w:eastAsia="Times New Roman" w:cs="Times New Roman"/>
          <w:sz w:val="36"/>
          <w:szCs w:val="36"/>
          <w:spacing w:val="-3"/>
        </w:rPr>
        <w:t>”</w:t>
      </w:r>
      <w:r>
        <w:rPr>
          <w:rFonts w:ascii="SimHei" w:hAnsi="SimHei" w:eastAsia="SimHei" w:cs="SimHei"/>
          <w:sz w:val="36"/>
          <w:szCs w:val="36"/>
          <w:spacing w:val="-3"/>
        </w:rPr>
        <w:t>相符性分析</w:t>
      </w:r>
    </w:p>
    <w:p>
      <w:pPr>
        <w:pStyle w:val="BodyText"/>
        <w:spacing w:line="461" w:lineRule="auto"/>
        <w:rPr/>
      </w:pPr>
      <w:r/>
    </w:p>
    <w:p>
      <w:pPr>
        <w:ind w:left="34"/>
        <w:spacing w:before="97" w:line="222" w:lineRule="auto"/>
        <w:outlineLvl w:val="1"/>
        <w:rPr>
          <w:rFonts w:ascii="SimHei" w:hAnsi="SimHei" w:eastAsia="SimHei" w:cs="SimHei"/>
          <w:sz w:val="30"/>
          <w:szCs w:val="30"/>
        </w:rPr>
      </w:pPr>
      <w:bookmarkStart w:name="bookmark64" w:id="112"/>
      <w:bookmarkEnd w:id="112"/>
      <w:r>
        <w:rPr>
          <w:rFonts w:ascii="Times New Roman" w:hAnsi="Times New Roman" w:eastAsia="Times New Roman" w:cs="Times New Roman"/>
          <w:sz w:val="30"/>
          <w:szCs w:val="30"/>
          <w:b/>
          <w:bCs/>
          <w:spacing w:val="-3"/>
        </w:rPr>
        <w:t>10.1  </w:t>
      </w:r>
      <w:r>
        <w:rPr>
          <w:rFonts w:ascii="SimHei" w:hAnsi="SimHei" w:eastAsia="SimHei" w:cs="SimHei"/>
          <w:sz w:val="30"/>
          <w:szCs w:val="30"/>
          <w:b/>
          <w:bCs/>
          <w:spacing w:val="-3"/>
        </w:rPr>
        <w:t>产业政策相符性分析</w:t>
      </w:r>
    </w:p>
    <w:p>
      <w:pPr>
        <w:ind w:left="24" w:firstLine="480"/>
        <w:spacing w:before="165" w:line="338" w:lineRule="auto"/>
        <w:jc w:val="both"/>
        <w:rPr>
          <w:rFonts w:ascii="SimSun" w:hAnsi="SimSun" w:eastAsia="SimSun" w:cs="SimSun"/>
          <w:sz w:val="24"/>
          <w:szCs w:val="24"/>
        </w:rPr>
      </w:pPr>
      <w:r>
        <w:rPr>
          <w:rFonts w:ascii="SimSun" w:hAnsi="SimSun" w:eastAsia="SimSun" w:cs="SimSun"/>
          <w:sz w:val="24"/>
          <w:szCs w:val="24"/>
          <w:spacing w:val="-4"/>
        </w:rPr>
        <w:t>本项目只进行开采范围调整，露天区维持现有</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4"/>
        </w:rPr>
        <w:t>万吨</w:t>
      </w:r>
      <w:r>
        <w:rPr>
          <w:rFonts w:ascii="Times New Roman" w:hAnsi="Times New Roman" w:eastAsia="Times New Roman" w:cs="Times New Roman"/>
          <w:sz w:val="24"/>
          <w:szCs w:val="24"/>
          <w:spacing w:val="-4"/>
        </w:rPr>
        <w:t>/</w:t>
      </w:r>
      <w:r>
        <w:rPr>
          <w:rFonts w:ascii="SimSun" w:hAnsi="SimSun" w:eastAsia="SimSun" w:cs="SimSun"/>
          <w:sz w:val="24"/>
          <w:szCs w:val="24"/>
          <w:spacing w:val="-4"/>
        </w:rPr>
        <w:t>年不变，矿田范围不涉及自</w:t>
      </w:r>
      <w:r>
        <w:rPr>
          <w:rFonts w:ascii="SimSun" w:hAnsi="SimSun" w:eastAsia="SimSun" w:cs="SimSun"/>
          <w:sz w:val="24"/>
          <w:szCs w:val="24"/>
          <w:spacing w:val="-1"/>
        </w:rPr>
        <w:t>然保护区、生态保护红线，不属于《产业结构调整指导目录（</w:t>
      </w:r>
      <w:r>
        <w:rPr>
          <w:rFonts w:ascii="Times New Roman" w:hAnsi="Times New Roman" w:eastAsia="Times New Roman" w:cs="Times New Roman"/>
          <w:sz w:val="24"/>
          <w:szCs w:val="24"/>
          <w:spacing w:val="-1"/>
        </w:rPr>
        <w:t>2024 </w:t>
      </w:r>
      <w:r>
        <w:rPr>
          <w:rFonts w:ascii="SimSun" w:hAnsi="SimSun" w:eastAsia="SimSun" w:cs="SimSun"/>
          <w:sz w:val="24"/>
          <w:szCs w:val="24"/>
          <w:spacing w:val="-1"/>
        </w:rPr>
        <w:t>年本）</w:t>
      </w:r>
      <w:r>
        <w:rPr>
          <w:rFonts w:ascii="SimSun" w:hAnsi="SimSun" w:eastAsia="SimSun" w:cs="SimSun"/>
          <w:sz w:val="24"/>
          <w:szCs w:val="24"/>
          <w:spacing w:val="-2"/>
        </w:rPr>
        <w:t>》中鼓励类、</w:t>
      </w:r>
      <w:r>
        <w:rPr>
          <w:rFonts w:ascii="SimSun" w:hAnsi="SimSun" w:eastAsia="SimSun" w:cs="SimSun"/>
          <w:sz w:val="24"/>
          <w:szCs w:val="24"/>
          <w:spacing w:val="-2"/>
        </w:rPr>
        <w:t>限制类和淘汰类项目，属于</w:t>
      </w:r>
      <w:r>
        <w:rPr>
          <w:rFonts w:ascii="Times New Roman" w:hAnsi="Times New Roman" w:eastAsia="Times New Roman" w:cs="Times New Roman"/>
          <w:sz w:val="24"/>
          <w:szCs w:val="24"/>
          <w:spacing w:val="-2"/>
        </w:rPr>
        <w:t>“</w:t>
      </w:r>
      <w:r>
        <w:rPr>
          <w:rFonts w:ascii="SimSun" w:hAnsi="SimSun" w:eastAsia="SimSun" w:cs="SimSun"/>
          <w:sz w:val="24"/>
          <w:szCs w:val="24"/>
          <w:spacing w:val="-2"/>
        </w:rPr>
        <w:t>允许类</w:t>
      </w:r>
      <w:r>
        <w:rPr>
          <w:rFonts w:ascii="Times New Roman" w:hAnsi="Times New Roman" w:eastAsia="Times New Roman" w:cs="Times New Roman"/>
          <w:sz w:val="24"/>
          <w:szCs w:val="24"/>
          <w:spacing w:val="-2"/>
        </w:rPr>
        <w:t>”</w:t>
      </w:r>
      <w:r>
        <w:rPr>
          <w:rFonts w:ascii="SimSun" w:hAnsi="SimSun" w:eastAsia="SimSun" w:cs="SimSun"/>
          <w:sz w:val="24"/>
          <w:szCs w:val="24"/>
          <w:spacing w:val="-2"/>
        </w:rPr>
        <w:t>项目；本项目与《产业结构调整指导</w:t>
      </w:r>
      <w:r>
        <w:rPr>
          <w:rFonts w:ascii="SimSun" w:hAnsi="SimSun" w:eastAsia="SimSun" w:cs="SimSun"/>
          <w:sz w:val="24"/>
          <w:szCs w:val="24"/>
          <w:spacing w:val="-3"/>
        </w:rPr>
        <w:t>目录（</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w:t>
      </w:r>
      <w:r>
        <w:rPr>
          <w:rFonts w:ascii="SimSun" w:hAnsi="SimSun" w:eastAsia="SimSun" w:cs="SimSun"/>
          <w:sz w:val="24"/>
          <w:szCs w:val="24"/>
          <w:spacing w:val="-3"/>
        </w:rPr>
        <w:t>本）》相符性分析见表</w:t>
      </w:r>
      <w:r>
        <w:rPr>
          <w:rFonts w:ascii="SimSun" w:hAnsi="SimSun" w:eastAsia="SimSun" w:cs="SimSun"/>
          <w:sz w:val="24"/>
          <w:szCs w:val="24"/>
          <w:spacing w:val="-22"/>
        </w:rPr>
        <w:t xml:space="preserve"> </w:t>
      </w:r>
      <w:r>
        <w:rPr>
          <w:rFonts w:ascii="Times New Roman" w:hAnsi="Times New Roman" w:eastAsia="Times New Roman" w:cs="Times New Roman"/>
          <w:sz w:val="24"/>
          <w:szCs w:val="24"/>
          <w:spacing w:val="-3"/>
        </w:rPr>
        <w:t>10-1-1</w:t>
      </w:r>
      <w:r>
        <w:rPr>
          <w:rFonts w:ascii="SimSun" w:hAnsi="SimSun" w:eastAsia="SimSun" w:cs="SimSun"/>
          <w:sz w:val="24"/>
          <w:szCs w:val="24"/>
          <w:spacing w:val="-3"/>
        </w:rPr>
        <w:t>。</w:t>
      </w:r>
    </w:p>
    <w:p>
      <w:pPr>
        <w:ind w:left="927"/>
        <w:spacing w:line="218" w:lineRule="auto"/>
        <w:rPr>
          <w:rFonts w:ascii="SimSun" w:hAnsi="SimSun" w:eastAsia="SimSun" w:cs="SimSun"/>
          <w:sz w:val="24"/>
          <w:szCs w:val="24"/>
        </w:rPr>
      </w:pPr>
      <w:r>
        <w:rPr>
          <w:rFonts w:ascii="SimSun" w:hAnsi="SimSun" w:eastAsia="SimSun" w:cs="SimSun"/>
          <w:sz w:val="24"/>
          <w:szCs w:val="24"/>
          <w:b/>
          <w:bCs/>
          <w:spacing w:val="-2"/>
        </w:rPr>
        <w:t>表</w:t>
      </w:r>
      <w:r>
        <w:rPr>
          <w:rFonts w:ascii="SimSun" w:hAnsi="SimSun" w:eastAsia="SimSun" w:cs="SimSun"/>
          <w:sz w:val="24"/>
          <w:szCs w:val="24"/>
          <w:spacing w:val="-41"/>
        </w:rPr>
        <w:t xml:space="preserve"> </w:t>
      </w:r>
      <w:r>
        <w:rPr>
          <w:rFonts w:ascii="Times New Roman" w:hAnsi="Times New Roman" w:eastAsia="Times New Roman" w:cs="Times New Roman"/>
          <w:sz w:val="24"/>
          <w:szCs w:val="24"/>
          <w:b/>
          <w:bCs/>
          <w:spacing w:val="-2"/>
        </w:rPr>
        <w:t>10-1-1</w:t>
      </w:r>
      <w:r>
        <w:rPr>
          <w:rFonts w:ascii="SimSun" w:hAnsi="SimSun" w:eastAsia="SimSun" w:cs="SimSun"/>
          <w:sz w:val="24"/>
          <w:szCs w:val="24"/>
          <w:b/>
          <w:bCs/>
          <w:spacing w:val="-2"/>
        </w:rPr>
        <w:t>《产业结构调整指导目录（</w:t>
      </w:r>
      <w:r>
        <w:rPr>
          <w:rFonts w:ascii="Times New Roman" w:hAnsi="Times New Roman" w:eastAsia="Times New Roman" w:cs="Times New Roman"/>
          <w:sz w:val="24"/>
          <w:szCs w:val="24"/>
          <w:b/>
          <w:bCs/>
          <w:spacing w:val="-2"/>
        </w:rPr>
        <w:t>2024 </w:t>
      </w:r>
      <w:r>
        <w:rPr>
          <w:rFonts w:ascii="SimSun" w:hAnsi="SimSun" w:eastAsia="SimSun" w:cs="SimSun"/>
          <w:sz w:val="24"/>
          <w:szCs w:val="24"/>
          <w:b/>
          <w:bCs/>
          <w:spacing w:val="-2"/>
        </w:rPr>
        <w:t>年本）》相符性分析一览表</w:t>
      </w:r>
    </w:p>
    <w:p>
      <w:pPr>
        <w:spacing w:line="143" w:lineRule="auto"/>
        <w:rPr>
          <w:rFonts w:ascii="Arial"/>
          <w:sz w:val="2"/>
        </w:rPr>
      </w:pPr>
      <w:r>
        <w:rPr>
          <w:rFonts w:ascii="Arial"/>
          <w:sz w:val="2"/>
        </w:rPr>
      </w:r>
    </w:p>
    <w:tbl>
      <w:tblPr>
        <w:tblStyle w:val="TableNormal"/>
        <w:tblW w:w="909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319"/>
        <w:gridCol w:w="4193"/>
        <w:gridCol w:w="3073"/>
        <w:gridCol w:w="513"/>
      </w:tblGrid>
      <w:tr>
        <w:trPr>
          <w:trHeight w:val="547" w:hRule="atLeast"/>
        </w:trPr>
        <w:tc>
          <w:tcPr>
            <w:tcW w:w="1319" w:type="dxa"/>
            <w:vAlign w:val="top"/>
          </w:tcPr>
          <w:p>
            <w:pPr>
              <w:ind w:left="239"/>
              <w:spacing w:before="163" w:line="228" w:lineRule="auto"/>
              <w:rPr>
                <w:rFonts w:ascii="SimSun" w:hAnsi="SimSun" w:eastAsia="SimSun" w:cs="SimSun"/>
                <w:sz w:val="20"/>
                <w:szCs w:val="20"/>
              </w:rPr>
            </w:pPr>
            <w:r>
              <w:rPr>
                <w:rFonts w:ascii="SimSun" w:hAnsi="SimSun" w:eastAsia="SimSun" w:cs="SimSun"/>
                <w:sz w:val="20"/>
                <w:szCs w:val="20"/>
                <w:b/>
                <w:bCs/>
                <w:spacing w:val="6"/>
              </w:rPr>
              <w:t>政策名称</w:t>
            </w:r>
          </w:p>
        </w:tc>
        <w:tc>
          <w:tcPr>
            <w:tcW w:w="4193" w:type="dxa"/>
            <w:vAlign w:val="top"/>
          </w:tcPr>
          <w:p>
            <w:pPr>
              <w:ind w:left="1678"/>
              <w:spacing w:before="163" w:line="228" w:lineRule="auto"/>
              <w:rPr>
                <w:rFonts w:ascii="SimSun" w:hAnsi="SimSun" w:eastAsia="SimSun" w:cs="SimSun"/>
                <w:sz w:val="20"/>
                <w:szCs w:val="20"/>
              </w:rPr>
            </w:pPr>
            <w:r>
              <w:rPr>
                <w:rFonts w:ascii="SimSun" w:hAnsi="SimSun" w:eastAsia="SimSun" w:cs="SimSun"/>
                <w:sz w:val="20"/>
                <w:szCs w:val="20"/>
                <w:b/>
                <w:bCs/>
                <w:spacing w:val="6"/>
              </w:rPr>
              <w:t>政策要求</w:t>
            </w:r>
          </w:p>
        </w:tc>
        <w:tc>
          <w:tcPr>
            <w:tcW w:w="3073" w:type="dxa"/>
            <w:vAlign w:val="top"/>
          </w:tcPr>
          <w:p>
            <w:pPr>
              <w:ind w:left="1015"/>
              <w:spacing w:before="163" w:line="227" w:lineRule="auto"/>
              <w:rPr>
                <w:rFonts w:ascii="SimSun" w:hAnsi="SimSun" w:eastAsia="SimSun" w:cs="SimSun"/>
                <w:sz w:val="20"/>
                <w:szCs w:val="20"/>
              </w:rPr>
            </w:pPr>
            <w:r>
              <w:rPr>
                <w:rFonts w:ascii="SimSun" w:hAnsi="SimSun" w:eastAsia="SimSun" w:cs="SimSun"/>
                <w:sz w:val="20"/>
                <w:szCs w:val="20"/>
                <w:b/>
                <w:bCs/>
                <w:spacing w:val="5"/>
              </w:rPr>
              <w:t>本项目情况</w:t>
            </w:r>
          </w:p>
        </w:tc>
        <w:tc>
          <w:tcPr>
            <w:tcW w:w="513" w:type="dxa"/>
            <w:vAlign w:val="top"/>
          </w:tcPr>
          <w:p>
            <w:pPr>
              <w:ind w:left="159" w:right="42" w:hanging="104"/>
              <w:spacing w:before="29" w:line="234" w:lineRule="auto"/>
              <w:rPr>
                <w:rFonts w:ascii="SimSun" w:hAnsi="SimSun" w:eastAsia="SimSun" w:cs="SimSun"/>
                <w:sz w:val="20"/>
                <w:szCs w:val="20"/>
              </w:rPr>
            </w:pPr>
            <w:r>
              <w:rPr>
                <w:rFonts w:ascii="SimSun" w:hAnsi="SimSun" w:eastAsia="SimSun" w:cs="SimSun"/>
                <w:sz w:val="20"/>
                <w:szCs w:val="20"/>
                <w:b/>
                <w:bCs/>
                <w:spacing w:val="3"/>
              </w:rPr>
              <w:t>符合</w:t>
            </w:r>
            <w:r>
              <w:rPr>
                <w:rFonts w:ascii="SimSun" w:hAnsi="SimSun" w:eastAsia="SimSun" w:cs="SimSun"/>
                <w:sz w:val="20"/>
                <w:szCs w:val="20"/>
                <w:b/>
                <w:bCs/>
                <w:spacing w:val="-3"/>
              </w:rPr>
              <w:t>性</w:t>
            </w:r>
          </w:p>
        </w:tc>
      </w:tr>
      <w:tr>
        <w:trPr>
          <w:trHeight w:val="527" w:hRule="atLeast"/>
        </w:trPr>
        <w:tc>
          <w:tcPr>
            <w:tcW w:w="1319" w:type="dxa"/>
            <w:vAlign w:val="top"/>
            <w:vMerge w:val="restart"/>
            <w:tcBorders>
              <w:bottom w:val="nil"/>
            </w:tcBorders>
          </w:tcPr>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pStyle w:val="TableText"/>
              <w:ind w:left="1" w:firstLine="206"/>
              <w:spacing w:before="65" w:line="252" w:lineRule="auto"/>
              <w:jc w:val="both"/>
              <w:rPr>
                <w:rFonts w:ascii="SimSun" w:hAnsi="SimSun" w:eastAsia="SimSun" w:cs="SimSun"/>
              </w:rPr>
            </w:pPr>
            <w:r>
              <w:rPr>
                <w:rFonts w:ascii="SimSun" w:hAnsi="SimSun" w:eastAsia="SimSun" w:cs="SimSun"/>
                <w:spacing w:val="3"/>
              </w:rPr>
              <w:t>《产业结构</w:t>
            </w:r>
            <w:r>
              <w:rPr>
                <w:rFonts w:ascii="SimSun" w:hAnsi="SimSun" w:eastAsia="SimSun" w:cs="SimSun"/>
                <w:spacing w:val="4"/>
              </w:rPr>
              <w:t>调整指导目录</w:t>
            </w:r>
            <w:r>
              <w:rPr>
                <w:rFonts w:ascii="SimSun" w:hAnsi="SimSun" w:eastAsia="SimSun" w:cs="SimSun"/>
                <w:spacing w:val="-10"/>
              </w:rPr>
              <w:t>（</w:t>
            </w:r>
            <w:r>
              <w:rPr>
                <w:spacing w:val="-10"/>
              </w:rPr>
              <w:t>2024</w:t>
            </w:r>
            <w:r>
              <w:rPr>
                <w:rFonts w:ascii="SimSun" w:hAnsi="SimSun" w:eastAsia="SimSun" w:cs="SimSun"/>
                <w:spacing w:val="-10"/>
              </w:rPr>
              <w:t>年本）》</w:t>
            </w:r>
            <w:r>
              <w:rPr>
                <w:rFonts w:ascii="SimSun" w:hAnsi="SimSun" w:eastAsia="SimSun" w:cs="SimSun"/>
                <w:spacing w:val="1"/>
              </w:rPr>
              <w:t xml:space="preserve"> </w:t>
            </w:r>
            <w:r>
              <w:rPr>
                <w:rFonts w:ascii="SimSun" w:hAnsi="SimSun" w:eastAsia="SimSun" w:cs="SimSun"/>
                <w:spacing w:val="4"/>
              </w:rPr>
              <w:t>（国家发展和</w:t>
            </w:r>
            <w:r>
              <w:rPr>
                <w:rFonts w:ascii="SimSun" w:hAnsi="SimSun" w:eastAsia="SimSun" w:cs="SimSun"/>
                <w:spacing w:val="-13"/>
              </w:rPr>
              <w:t>改</w:t>
            </w:r>
            <w:r>
              <w:rPr>
                <w:rFonts w:ascii="SimSun" w:hAnsi="SimSun" w:eastAsia="SimSun" w:cs="SimSun"/>
                <w:spacing w:val="-28"/>
              </w:rPr>
              <w:t xml:space="preserve"> </w:t>
            </w:r>
            <w:r>
              <w:rPr>
                <w:rFonts w:ascii="SimSun" w:hAnsi="SimSun" w:eastAsia="SimSun" w:cs="SimSun"/>
                <w:spacing w:val="-13"/>
              </w:rPr>
              <w:t>革</w:t>
            </w:r>
            <w:r>
              <w:rPr>
                <w:rFonts w:ascii="SimSun" w:hAnsi="SimSun" w:eastAsia="SimSun" w:cs="SimSun"/>
                <w:spacing w:val="-31"/>
              </w:rPr>
              <w:t xml:space="preserve"> </w:t>
            </w:r>
            <w:r>
              <w:rPr>
                <w:rFonts w:ascii="SimSun" w:hAnsi="SimSun" w:eastAsia="SimSun" w:cs="SimSun"/>
                <w:spacing w:val="-13"/>
              </w:rPr>
              <w:t>委</w:t>
            </w:r>
            <w:r>
              <w:rPr>
                <w:rFonts w:ascii="SimSun" w:hAnsi="SimSun" w:eastAsia="SimSun" w:cs="SimSun"/>
                <w:spacing w:val="-22"/>
              </w:rPr>
              <w:t xml:space="preserve"> </w:t>
            </w:r>
            <w:r>
              <w:rPr>
                <w:rFonts w:ascii="SimSun" w:hAnsi="SimSun" w:eastAsia="SimSun" w:cs="SimSun"/>
                <w:spacing w:val="-13"/>
              </w:rPr>
              <w:t>员</w:t>
            </w:r>
            <w:r>
              <w:rPr>
                <w:rFonts w:ascii="SimSun" w:hAnsi="SimSun" w:eastAsia="SimSun" w:cs="SimSun"/>
                <w:spacing w:val="-30"/>
              </w:rPr>
              <w:t xml:space="preserve"> </w:t>
            </w:r>
            <w:r>
              <w:rPr>
                <w:rFonts w:ascii="SimSun" w:hAnsi="SimSun" w:eastAsia="SimSun" w:cs="SimSun"/>
                <w:spacing w:val="-13"/>
              </w:rPr>
              <w:t>会</w:t>
            </w:r>
            <w:r>
              <w:rPr>
                <w:spacing w:val="-3"/>
              </w:rPr>
              <w:t>2023</w:t>
            </w:r>
            <w:r>
              <w:rPr>
                <w:rFonts w:ascii="SimSun" w:hAnsi="SimSun" w:eastAsia="SimSun" w:cs="SimSun"/>
                <w:spacing w:val="-3"/>
              </w:rPr>
              <w:t>第</w:t>
            </w:r>
            <w:r>
              <w:rPr>
                <w:spacing w:val="-3"/>
              </w:rPr>
              <w:t>7</w:t>
            </w:r>
            <w:r>
              <w:rPr>
                <w:rFonts w:ascii="SimSun" w:hAnsi="SimSun" w:eastAsia="SimSun" w:cs="SimSun"/>
                <w:spacing w:val="-3"/>
              </w:rPr>
              <w:t>号令）</w:t>
            </w:r>
          </w:p>
        </w:tc>
        <w:tc>
          <w:tcPr>
            <w:tcW w:w="4193" w:type="dxa"/>
            <w:vAlign w:val="top"/>
            <w:vMerge w:val="restart"/>
            <w:tcBorders>
              <w:bottom w:val="nil"/>
            </w:tcBorders>
          </w:tcPr>
          <w:p>
            <w:pPr>
              <w:pStyle w:val="TableText"/>
              <w:ind w:left="5" w:firstLine="209"/>
              <w:spacing w:before="30" w:line="248" w:lineRule="auto"/>
              <w:jc w:val="both"/>
              <w:rPr>
                <w:rFonts w:ascii="SimSun" w:hAnsi="SimSun" w:eastAsia="SimSun" w:cs="SimSun"/>
              </w:rPr>
            </w:pPr>
            <w:r>
              <w:rPr>
                <w:rFonts w:ascii="SimSun" w:hAnsi="SimSun" w:eastAsia="SimSun" w:cs="SimSun"/>
                <w:spacing w:val="-6"/>
              </w:rPr>
              <w:t>第二类限制类：</w:t>
            </w:r>
            <w:r>
              <w:rPr>
                <w:spacing w:val="-6"/>
              </w:rPr>
              <w:t>1</w:t>
            </w:r>
            <w:r>
              <w:rPr>
                <w:rFonts w:ascii="SimSun" w:hAnsi="SimSun" w:eastAsia="SimSun" w:cs="SimSun"/>
                <w:spacing w:val="-6"/>
              </w:rPr>
              <w:t>、低于</w:t>
            </w:r>
            <w:r>
              <w:rPr>
                <w:rFonts w:ascii="SimSun" w:hAnsi="SimSun" w:eastAsia="SimSun" w:cs="SimSun"/>
                <w:spacing w:val="-22"/>
              </w:rPr>
              <w:t xml:space="preserve"> </w:t>
            </w:r>
            <w:r>
              <w:rPr>
                <w:spacing w:val="-6"/>
              </w:rPr>
              <w:t>30</w:t>
            </w:r>
            <w:r>
              <w:rPr>
                <w:spacing w:val="15"/>
              </w:rPr>
              <w:t xml:space="preserve"> </w:t>
            </w:r>
            <w:r>
              <w:rPr>
                <w:rFonts w:ascii="SimSun" w:hAnsi="SimSun" w:eastAsia="SimSun" w:cs="SimSun"/>
                <w:spacing w:val="-6"/>
              </w:rPr>
              <w:t>万吨</w:t>
            </w:r>
            <w:r>
              <w:rPr>
                <w:spacing w:val="-6"/>
              </w:rPr>
              <w:t>/</w:t>
            </w:r>
            <w:r>
              <w:rPr>
                <w:rFonts w:ascii="SimSun" w:hAnsi="SimSun" w:eastAsia="SimSun" w:cs="SimSun"/>
                <w:spacing w:val="-6"/>
              </w:rPr>
              <w:t>年的煤矿（其</w:t>
            </w:r>
            <w:r>
              <w:rPr>
                <w:rFonts w:ascii="SimSun" w:hAnsi="SimSun" w:eastAsia="SimSun" w:cs="SimSun"/>
                <w:spacing w:val="3"/>
              </w:rPr>
              <w:t>中山西、内蒙古、陕西低于</w:t>
            </w:r>
            <w:r>
              <w:rPr>
                <w:rFonts w:ascii="SimSun" w:hAnsi="SimSun" w:eastAsia="SimSun" w:cs="SimSun"/>
                <w:spacing w:val="-13"/>
              </w:rPr>
              <w:t xml:space="preserve"> </w:t>
            </w:r>
            <w:r>
              <w:rPr>
                <w:spacing w:val="3"/>
              </w:rPr>
              <w:t>120</w:t>
            </w:r>
            <w:r>
              <w:rPr>
                <w:spacing w:val="15"/>
                <w:w w:val="101"/>
              </w:rPr>
              <w:t xml:space="preserve"> </w:t>
            </w:r>
            <w:r>
              <w:rPr>
                <w:rFonts w:ascii="SimSun" w:hAnsi="SimSun" w:eastAsia="SimSun" w:cs="SimSun"/>
                <w:spacing w:val="3"/>
              </w:rPr>
              <w:t>万吨</w:t>
            </w:r>
            <w:r>
              <w:rPr>
                <w:spacing w:val="3"/>
              </w:rPr>
              <w:t>/</w:t>
            </w:r>
            <w:r>
              <w:rPr>
                <w:rFonts w:ascii="SimSun" w:hAnsi="SimSun" w:eastAsia="SimSun" w:cs="SimSun"/>
                <w:spacing w:val="3"/>
              </w:rPr>
              <w:t>年，宁夏</w:t>
            </w:r>
            <w:r>
              <w:rPr>
                <w:rFonts w:ascii="SimSun" w:hAnsi="SimSun" w:eastAsia="SimSun" w:cs="SimSun"/>
                <w:spacing w:val="7"/>
              </w:rPr>
              <w:t>低于</w:t>
            </w:r>
            <w:r>
              <w:rPr>
                <w:rFonts w:ascii="SimSun" w:hAnsi="SimSun" w:eastAsia="SimSun" w:cs="SimSun"/>
                <w:spacing w:val="-33"/>
              </w:rPr>
              <w:t xml:space="preserve"> </w:t>
            </w:r>
            <w:r>
              <w:rPr>
                <w:spacing w:val="7"/>
              </w:rPr>
              <w:t>60</w:t>
            </w:r>
            <w:r>
              <w:rPr>
                <w:spacing w:val="17"/>
              </w:rPr>
              <w:t xml:space="preserve"> </w:t>
            </w:r>
            <w:r>
              <w:rPr>
                <w:rFonts w:ascii="SimSun" w:hAnsi="SimSun" w:eastAsia="SimSun" w:cs="SimSun"/>
                <w:spacing w:val="7"/>
              </w:rPr>
              <w:t>万吨</w:t>
            </w:r>
            <w:r>
              <w:rPr>
                <w:spacing w:val="7"/>
              </w:rPr>
              <w:t>/</w:t>
            </w:r>
            <w:r>
              <w:rPr>
                <w:rFonts w:ascii="SimSun" w:hAnsi="SimSun" w:eastAsia="SimSun" w:cs="SimSun"/>
                <w:spacing w:val="7"/>
              </w:rPr>
              <w:t>年</w:t>
            </w:r>
            <w:r>
              <w:rPr>
                <w:rFonts w:ascii="SimSun" w:hAnsi="SimSun" w:eastAsia="SimSun" w:cs="SimSun"/>
                <w:spacing w:val="4"/>
              </w:rPr>
              <w:t>）</w:t>
            </w:r>
            <w:r>
              <w:rPr>
                <w:rFonts w:ascii="SimSun" w:hAnsi="SimSun" w:eastAsia="SimSun" w:cs="SimSun"/>
                <w:spacing w:val="-52"/>
              </w:rPr>
              <w:t xml:space="preserve"> </w:t>
            </w:r>
            <w:r>
              <w:rPr>
                <w:rFonts w:ascii="SimSun" w:hAnsi="SimSun" w:eastAsia="SimSun" w:cs="SimSun"/>
                <w:spacing w:val="4"/>
              </w:rPr>
              <w:t>，</w:t>
            </w:r>
            <w:r>
              <w:rPr>
                <w:rFonts w:ascii="SimSun" w:hAnsi="SimSun" w:eastAsia="SimSun" w:cs="SimSun"/>
                <w:spacing w:val="7"/>
              </w:rPr>
              <w:t>低于</w:t>
            </w:r>
            <w:r>
              <w:rPr>
                <w:rFonts w:ascii="SimSun" w:hAnsi="SimSun" w:eastAsia="SimSun" w:cs="SimSun"/>
                <w:spacing w:val="-32"/>
              </w:rPr>
              <w:t xml:space="preserve"> </w:t>
            </w:r>
            <w:r>
              <w:rPr>
                <w:spacing w:val="7"/>
              </w:rPr>
              <w:t>90</w:t>
            </w:r>
            <w:r>
              <w:rPr>
                <w:spacing w:val="17"/>
              </w:rPr>
              <w:t xml:space="preserve"> </w:t>
            </w:r>
            <w:r>
              <w:rPr>
                <w:rFonts w:ascii="SimSun" w:hAnsi="SimSun" w:eastAsia="SimSun" w:cs="SimSun"/>
                <w:spacing w:val="7"/>
              </w:rPr>
              <w:t>万吨</w:t>
            </w:r>
            <w:r>
              <w:rPr>
                <w:spacing w:val="7"/>
              </w:rPr>
              <w:t>/</w:t>
            </w:r>
            <w:r>
              <w:rPr>
                <w:rFonts w:ascii="SimSun" w:hAnsi="SimSun" w:eastAsia="SimSun" w:cs="SimSun"/>
                <w:spacing w:val="7"/>
              </w:rPr>
              <w:t>年的煤与瓦</w:t>
            </w:r>
            <w:r>
              <w:rPr>
                <w:rFonts w:ascii="SimSun" w:hAnsi="SimSun" w:eastAsia="SimSun" w:cs="SimSun"/>
                <w:spacing w:val="12"/>
              </w:rPr>
              <w:t>斯突出矿井；</w:t>
            </w:r>
            <w:r>
              <w:rPr>
                <w:spacing w:val="12"/>
              </w:rPr>
              <w:t>2</w:t>
            </w:r>
            <w:r>
              <w:rPr>
                <w:spacing w:val="-14"/>
              </w:rPr>
              <w:t xml:space="preserve"> </w:t>
            </w:r>
            <w:r>
              <w:rPr>
                <w:rFonts w:ascii="SimSun" w:hAnsi="SimSun" w:eastAsia="SimSun" w:cs="SimSun"/>
                <w:spacing w:val="12"/>
              </w:rPr>
              <w:t>、采用非机械化开采工艺的煤</w:t>
            </w:r>
            <w:r>
              <w:rPr>
                <w:rFonts w:ascii="SimSun" w:hAnsi="SimSun" w:eastAsia="SimSun" w:cs="SimSun"/>
                <w:spacing w:val="12"/>
              </w:rPr>
              <w:t>矿项目；</w:t>
            </w:r>
            <w:r>
              <w:rPr>
                <w:spacing w:val="12"/>
              </w:rPr>
              <w:t>3</w:t>
            </w:r>
            <w:r>
              <w:rPr>
                <w:spacing w:val="-12"/>
              </w:rPr>
              <w:t xml:space="preserve"> </w:t>
            </w:r>
            <w:r>
              <w:rPr>
                <w:rFonts w:ascii="SimSun" w:hAnsi="SimSun" w:eastAsia="SimSun" w:cs="SimSun"/>
                <w:spacing w:val="12"/>
              </w:rPr>
              <w:t>、未按国家规定程序报批矿区总体</w:t>
            </w:r>
            <w:r>
              <w:rPr>
                <w:rFonts w:ascii="SimSun" w:hAnsi="SimSun" w:eastAsia="SimSun" w:cs="SimSun"/>
                <w:spacing w:val="13"/>
              </w:rPr>
              <w:t>规划的煤矿项目；</w:t>
            </w:r>
            <w:r>
              <w:rPr>
                <w:spacing w:val="13"/>
              </w:rPr>
              <w:t>4</w:t>
            </w:r>
            <w:r>
              <w:rPr>
                <w:spacing w:val="-4"/>
              </w:rPr>
              <w:t xml:space="preserve"> </w:t>
            </w:r>
            <w:r>
              <w:rPr>
                <w:rFonts w:ascii="SimSun" w:hAnsi="SimSun" w:eastAsia="SimSun" w:cs="SimSun"/>
                <w:spacing w:val="13"/>
              </w:rPr>
              <w:t>、井下回采工作面超过</w:t>
            </w:r>
            <w:r>
              <w:rPr>
                <w:rFonts w:ascii="SimSun" w:hAnsi="SimSun" w:eastAsia="SimSun" w:cs="SimSun"/>
                <w:spacing w:val="-29"/>
              </w:rPr>
              <w:t xml:space="preserve"> </w:t>
            </w:r>
            <w:r>
              <w:rPr>
                <w:spacing w:val="13"/>
              </w:rPr>
              <w:t>2</w:t>
            </w:r>
            <w:r>
              <w:rPr>
                <w:rFonts w:ascii="SimSun" w:hAnsi="SimSun" w:eastAsia="SimSun" w:cs="SimSun"/>
                <w:spacing w:val="12"/>
              </w:rPr>
              <w:t>个的煤矿项目；</w:t>
            </w:r>
            <w:r>
              <w:rPr>
                <w:spacing w:val="12"/>
              </w:rPr>
              <w:t>5</w:t>
            </w:r>
            <w:r>
              <w:rPr>
                <w:spacing w:val="-14"/>
              </w:rPr>
              <w:t xml:space="preserve"> </w:t>
            </w:r>
            <w:r>
              <w:rPr>
                <w:rFonts w:ascii="SimSun" w:hAnsi="SimSun" w:eastAsia="SimSun" w:cs="SimSun"/>
                <w:spacing w:val="12"/>
              </w:rPr>
              <w:t>、开采深度超过《煤矿安全</w:t>
            </w:r>
            <w:r>
              <w:rPr>
                <w:rFonts w:ascii="SimSun" w:hAnsi="SimSun" w:eastAsia="SimSun" w:cs="SimSun"/>
                <w:spacing w:val="8"/>
              </w:rPr>
              <w:t>规程》规定的煤矿、产品质量达不到《商品煤</w:t>
            </w:r>
            <w:r>
              <w:rPr>
                <w:rFonts w:ascii="SimSun" w:hAnsi="SimSun" w:eastAsia="SimSun" w:cs="SimSun"/>
                <w:spacing w:val="8"/>
              </w:rPr>
              <w:t>质量管理暂行办法》要求的商品煤、开采技术</w:t>
            </w:r>
            <w:r>
              <w:rPr>
                <w:rFonts w:ascii="SimSun" w:hAnsi="SimSun" w:eastAsia="SimSun" w:cs="SimSun"/>
                <w:spacing w:val="20"/>
              </w:rPr>
              <w:t>和装备列入《煤炭生产技术与装备政策导向</w:t>
            </w:r>
            <w:r>
              <w:rPr>
                <w:rFonts w:ascii="SimSun" w:hAnsi="SimSun" w:eastAsia="SimSun" w:cs="SimSun"/>
                <w:spacing w:val="5"/>
              </w:rPr>
              <w:t>（</w:t>
            </w:r>
            <w:r>
              <w:rPr>
                <w:spacing w:val="5"/>
              </w:rPr>
              <w:t>2014 </w:t>
            </w:r>
            <w:r>
              <w:rPr>
                <w:rFonts w:ascii="SimSun" w:hAnsi="SimSun" w:eastAsia="SimSun" w:cs="SimSun"/>
                <w:spacing w:val="5"/>
              </w:rPr>
              <w:t>年版）》限制目录且无法实施技术改造</w:t>
            </w:r>
            <w:r>
              <w:rPr>
                <w:rFonts w:ascii="SimSun" w:hAnsi="SimSun" w:eastAsia="SimSun" w:cs="SimSun"/>
                <w:spacing w:val="5"/>
              </w:rPr>
              <w:t>的煤矿。</w:t>
            </w:r>
          </w:p>
        </w:tc>
        <w:tc>
          <w:tcPr>
            <w:tcW w:w="3073" w:type="dxa"/>
            <w:vAlign w:val="top"/>
          </w:tcPr>
          <w:p>
            <w:pPr>
              <w:pStyle w:val="TableText"/>
              <w:ind w:left="7"/>
              <w:spacing w:before="153" w:line="227" w:lineRule="auto"/>
              <w:rPr>
                <w:rFonts w:ascii="SimSun" w:hAnsi="SimSun" w:eastAsia="SimSun" w:cs="SimSun"/>
              </w:rPr>
            </w:pPr>
            <w:r>
              <w:rPr>
                <w:rFonts w:ascii="SimSun" w:hAnsi="SimSun" w:eastAsia="SimSun" w:cs="SimSun"/>
                <w:spacing w:val="6"/>
              </w:rPr>
              <w:t>本项目露天开采规模</w:t>
            </w:r>
            <w:r>
              <w:rPr>
                <w:rFonts w:ascii="SimSun" w:hAnsi="SimSun" w:eastAsia="SimSun" w:cs="SimSun"/>
                <w:spacing w:val="-20"/>
              </w:rPr>
              <w:t xml:space="preserve"> </w:t>
            </w:r>
            <w:r>
              <w:rPr>
                <w:spacing w:val="6"/>
              </w:rPr>
              <w:t>500 </w:t>
            </w:r>
            <w:r>
              <w:rPr>
                <w:rFonts w:ascii="SimSun" w:hAnsi="SimSun" w:eastAsia="SimSun" w:cs="SimSun"/>
                <w:spacing w:val="6"/>
              </w:rPr>
              <w:t>万吨</w:t>
            </w:r>
            <w:r>
              <w:rPr>
                <w:spacing w:val="6"/>
              </w:rPr>
              <w:t>/</w:t>
            </w:r>
            <w:r>
              <w:rPr>
                <w:rFonts w:ascii="SimSun" w:hAnsi="SimSun" w:eastAsia="SimSun" w:cs="SimSun"/>
                <w:spacing w:val="6"/>
              </w:rPr>
              <w:t>年</w:t>
            </w:r>
          </w:p>
        </w:tc>
        <w:tc>
          <w:tcPr>
            <w:tcW w:w="513" w:type="dxa"/>
            <w:vAlign w:val="top"/>
          </w:tcPr>
          <w:p>
            <w:pPr>
              <w:ind w:left="55"/>
              <w:spacing w:before="153"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503"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top w:val="nil"/>
              <w:bottom w:val="nil"/>
            </w:tcBorders>
          </w:tcPr>
          <w:p>
            <w:pPr>
              <w:rPr>
                <w:rFonts w:ascii="Arial"/>
                <w:sz w:val="21"/>
              </w:rPr>
            </w:pPr>
            <w:r/>
          </w:p>
        </w:tc>
        <w:tc>
          <w:tcPr>
            <w:tcW w:w="3073" w:type="dxa"/>
            <w:vAlign w:val="top"/>
          </w:tcPr>
          <w:p>
            <w:pPr>
              <w:ind w:left="7"/>
              <w:spacing w:before="142" w:line="227" w:lineRule="auto"/>
              <w:rPr>
                <w:rFonts w:ascii="SimSun" w:hAnsi="SimSun" w:eastAsia="SimSun" w:cs="SimSun"/>
                <w:sz w:val="20"/>
                <w:szCs w:val="20"/>
              </w:rPr>
            </w:pPr>
            <w:r>
              <w:rPr>
                <w:rFonts w:ascii="SimSun" w:hAnsi="SimSun" w:eastAsia="SimSun" w:cs="SimSun"/>
                <w:sz w:val="20"/>
                <w:szCs w:val="20"/>
                <w:spacing w:val="8"/>
              </w:rPr>
              <w:t>本项目采用机械化开采</w:t>
            </w:r>
          </w:p>
        </w:tc>
        <w:tc>
          <w:tcPr>
            <w:tcW w:w="513" w:type="dxa"/>
            <w:vAlign w:val="top"/>
          </w:tcPr>
          <w:p>
            <w:pPr>
              <w:ind w:left="11"/>
              <w:spacing w:before="142"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650"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top w:val="nil"/>
              <w:bottom w:val="nil"/>
            </w:tcBorders>
          </w:tcPr>
          <w:p>
            <w:pPr>
              <w:rPr>
                <w:rFonts w:ascii="Arial"/>
                <w:sz w:val="21"/>
              </w:rPr>
            </w:pPr>
            <w:r/>
          </w:p>
        </w:tc>
        <w:tc>
          <w:tcPr>
            <w:tcW w:w="3073" w:type="dxa"/>
            <w:vAlign w:val="top"/>
          </w:tcPr>
          <w:p>
            <w:pPr>
              <w:ind w:left="13" w:right="2" w:hanging="6"/>
              <w:spacing w:before="80" w:line="252" w:lineRule="auto"/>
              <w:rPr>
                <w:rFonts w:ascii="SimSun" w:hAnsi="SimSun" w:eastAsia="SimSun" w:cs="SimSun"/>
                <w:sz w:val="20"/>
                <w:szCs w:val="20"/>
              </w:rPr>
            </w:pPr>
            <w:r>
              <w:rPr>
                <w:rFonts w:ascii="SimSun" w:hAnsi="SimSun" w:eastAsia="SimSun" w:cs="SimSun"/>
                <w:sz w:val="20"/>
                <w:szCs w:val="20"/>
                <w:spacing w:val="18"/>
              </w:rPr>
              <w:t>本项目矿区总体规划修编还在修</w:t>
            </w:r>
            <w:r>
              <w:rPr>
                <w:rFonts w:ascii="SimSun" w:hAnsi="SimSun" w:eastAsia="SimSun" w:cs="SimSun"/>
                <w:sz w:val="20"/>
                <w:szCs w:val="20"/>
                <w:spacing w:val="8"/>
              </w:rPr>
              <w:t>改完善中，待国家发改委批复</w:t>
            </w:r>
          </w:p>
        </w:tc>
        <w:tc>
          <w:tcPr>
            <w:tcW w:w="513" w:type="dxa"/>
            <w:vAlign w:val="top"/>
          </w:tcPr>
          <w:p>
            <w:pPr>
              <w:ind w:left="11"/>
              <w:spacing w:before="21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570"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top w:val="nil"/>
            </w:tcBorders>
          </w:tcPr>
          <w:p>
            <w:pPr>
              <w:rPr>
                <w:rFonts w:ascii="Arial"/>
                <w:sz w:val="21"/>
              </w:rPr>
            </w:pPr>
            <w:r/>
          </w:p>
        </w:tc>
        <w:tc>
          <w:tcPr>
            <w:tcW w:w="3073" w:type="dxa"/>
            <w:vAlign w:val="top"/>
          </w:tcPr>
          <w:p>
            <w:pPr>
              <w:pStyle w:val="TableText"/>
              <w:ind w:left="6"/>
              <w:spacing w:before="136" w:line="251" w:lineRule="auto"/>
              <w:jc w:val="both"/>
              <w:rPr>
                <w:rFonts w:ascii="SimSun" w:hAnsi="SimSun" w:eastAsia="SimSun" w:cs="SimSun"/>
              </w:rPr>
            </w:pPr>
            <w:r>
              <w:rPr>
                <w:rFonts w:ascii="SimSun" w:hAnsi="SimSun" w:eastAsia="SimSun" w:cs="SimSun"/>
                <w:spacing w:val="3"/>
              </w:rPr>
              <w:t>本矿煤炭产品可以达到《商品煤质</w:t>
            </w:r>
            <w:r>
              <w:rPr>
                <w:rFonts w:ascii="SimSun" w:hAnsi="SimSun" w:eastAsia="SimSun" w:cs="SimSun"/>
                <w:spacing w:val="4"/>
              </w:rPr>
              <w:t>量管理暂行办法》；根据《煤炭生</w:t>
            </w:r>
            <w:r>
              <w:rPr>
                <w:rFonts w:ascii="SimSun" w:hAnsi="SimSun" w:eastAsia="SimSun" w:cs="SimSun"/>
                <w:spacing w:val="4"/>
              </w:rPr>
              <w:t>产技</w:t>
            </w:r>
            <w:r>
              <w:rPr>
                <w:rFonts w:ascii="SimSun" w:hAnsi="SimSun" w:eastAsia="SimSun" w:cs="SimSun"/>
                <w:spacing w:val="-49"/>
              </w:rPr>
              <w:t xml:space="preserve"> </w:t>
            </w:r>
            <w:r>
              <w:rPr>
                <w:rFonts w:ascii="SimSun" w:hAnsi="SimSun" w:eastAsia="SimSun" w:cs="SimSun"/>
                <w:spacing w:val="4"/>
              </w:rPr>
              <w:t>术</w:t>
            </w:r>
            <w:r>
              <w:rPr>
                <w:rFonts w:ascii="SimSun" w:hAnsi="SimSun" w:eastAsia="SimSun" w:cs="SimSun"/>
                <w:spacing w:val="-57"/>
              </w:rPr>
              <w:t xml:space="preserve"> </w:t>
            </w:r>
            <w:r>
              <w:rPr>
                <w:rFonts w:ascii="SimSun" w:hAnsi="SimSun" w:eastAsia="SimSun" w:cs="SimSun"/>
                <w:spacing w:val="4"/>
              </w:rPr>
              <w:t>与</w:t>
            </w:r>
            <w:r>
              <w:rPr>
                <w:rFonts w:ascii="SimSun" w:hAnsi="SimSun" w:eastAsia="SimSun" w:cs="SimSun"/>
                <w:spacing w:val="-58"/>
              </w:rPr>
              <w:t xml:space="preserve"> </w:t>
            </w:r>
            <w:r>
              <w:rPr>
                <w:rFonts w:ascii="SimSun" w:hAnsi="SimSun" w:eastAsia="SimSun" w:cs="SimSun"/>
                <w:spacing w:val="4"/>
              </w:rPr>
              <w:t>装</w:t>
            </w:r>
            <w:r>
              <w:rPr>
                <w:rFonts w:ascii="SimSun" w:hAnsi="SimSun" w:eastAsia="SimSun" w:cs="SimSun"/>
                <w:spacing w:val="-58"/>
              </w:rPr>
              <w:t xml:space="preserve"> </w:t>
            </w:r>
            <w:r>
              <w:rPr>
                <w:rFonts w:ascii="SimSun" w:hAnsi="SimSun" w:eastAsia="SimSun" w:cs="SimSun"/>
                <w:spacing w:val="4"/>
              </w:rPr>
              <w:t>备政</w:t>
            </w:r>
            <w:r>
              <w:rPr>
                <w:rFonts w:ascii="SimSun" w:hAnsi="SimSun" w:eastAsia="SimSun" w:cs="SimSun"/>
                <w:spacing w:val="-57"/>
              </w:rPr>
              <w:t xml:space="preserve"> </w:t>
            </w:r>
            <w:r>
              <w:rPr>
                <w:rFonts w:ascii="SimSun" w:hAnsi="SimSun" w:eastAsia="SimSun" w:cs="SimSun"/>
                <w:spacing w:val="4"/>
              </w:rPr>
              <w:t>策</w:t>
            </w:r>
            <w:r>
              <w:rPr>
                <w:rFonts w:ascii="SimSun" w:hAnsi="SimSun" w:eastAsia="SimSun" w:cs="SimSun"/>
                <w:spacing w:val="-55"/>
              </w:rPr>
              <w:t xml:space="preserve"> </w:t>
            </w:r>
            <w:r>
              <w:rPr>
                <w:rFonts w:ascii="SimSun" w:hAnsi="SimSun" w:eastAsia="SimSun" w:cs="SimSun"/>
                <w:spacing w:val="4"/>
              </w:rPr>
              <w:t>导</w:t>
            </w:r>
            <w:r>
              <w:rPr>
                <w:rFonts w:ascii="SimSun" w:hAnsi="SimSun" w:eastAsia="SimSun" w:cs="SimSun"/>
                <w:spacing w:val="-38"/>
              </w:rPr>
              <w:t xml:space="preserve"> </w:t>
            </w:r>
            <w:r>
              <w:rPr>
                <w:rFonts w:ascii="SimSun" w:hAnsi="SimSun" w:eastAsia="SimSun" w:cs="SimSun"/>
                <w:spacing w:val="4"/>
              </w:rPr>
              <w:t>向（</w:t>
            </w:r>
            <w:r>
              <w:rPr>
                <w:rFonts w:ascii="SimSun" w:hAnsi="SimSun" w:eastAsia="SimSun" w:cs="SimSun"/>
                <w:spacing w:val="-29"/>
              </w:rPr>
              <w:t xml:space="preserve"> </w:t>
            </w:r>
            <w:r>
              <w:rPr>
                <w:spacing w:val="4"/>
              </w:rPr>
              <w:t>2014</w:t>
            </w:r>
            <w:r>
              <w:rPr>
                <w:rFonts w:ascii="SimSun" w:hAnsi="SimSun" w:eastAsia="SimSun" w:cs="SimSun"/>
                <w:spacing w:val="3"/>
              </w:rPr>
              <w:t>版）》，本项目开采方式属于推广</w:t>
            </w:r>
            <w:r>
              <w:rPr>
                <w:rFonts w:ascii="SimSun" w:hAnsi="SimSun" w:eastAsia="SimSun" w:cs="SimSun"/>
              </w:rPr>
              <w:t>类</w:t>
            </w:r>
          </w:p>
        </w:tc>
        <w:tc>
          <w:tcPr>
            <w:tcW w:w="513" w:type="dxa"/>
            <w:vAlign w:val="top"/>
          </w:tcPr>
          <w:p>
            <w:pPr>
              <w:spacing w:line="303" w:lineRule="auto"/>
              <w:rPr>
                <w:rFonts w:ascii="Arial"/>
                <w:sz w:val="21"/>
              </w:rPr>
            </w:pPr>
            <w:r/>
          </w:p>
          <w:p>
            <w:pPr>
              <w:spacing w:line="304" w:lineRule="auto"/>
              <w:rPr>
                <w:rFonts w:ascii="Arial"/>
                <w:sz w:val="21"/>
              </w:rPr>
            </w:pPr>
            <w:r/>
          </w:p>
          <w:p>
            <w:pPr>
              <w:ind w:left="11"/>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903" w:hRule="atLeast"/>
        </w:trPr>
        <w:tc>
          <w:tcPr>
            <w:tcW w:w="1319" w:type="dxa"/>
            <w:vAlign w:val="top"/>
            <w:vMerge w:val="continue"/>
            <w:tcBorders>
              <w:bottom w:val="nil"/>
              <w:top w:val="nil"/>
            </w:tcBorders>
          </w:tcPr>
          <w:p>
            <w:pPr>
              <w:rPr>
                <w:rFonts w:ascii="Arial"/>
                <w:sz w:val="21"/>
              </w:rPr>
            </w:pPr>
            <w:r/>
          </w:p>
        </w:tc>
        <w:tc>
          <w:tcPr>
            <w:tcW w:w="4193" w:type="dxa"/>
            <w:vAlign w:val="top"/>
            <w:vMerge w:val="restart"/>
            <w:tcBorders>
              <w:bottom w:val="nil"/>
            </w:tcBorders>
          </w:tcPr>
          <w:p>
            <w:pPr>
              <w:pStyle w:val="TableText"/>
              <w:ind w:firstLine="212"/>
              <w:spacing w:before="183" w:line="251" w:lineRule="auto"/>
              <w:rPr>
                <w:rFonts w:ascii="SimSun" w:hAnsi="SimSun" w:eastAsia="SimSun" w:cs="SimSun"/>
              </w:rPr>
            </w:pPr>
            <w:r>
              <w:rPr>
                <w:rFonts w:ascii="SimSun" w:hAnsi="SimSun" w:eastAsia="SimSun" w:cs="SimSun"/>
                <w:spacing w:val="6"/>
              </w:rPr>
              <w:t>第三类淘汰类：</w:t>
            </w:r>
            <w:r>
              <w:rPr>
                <w:rFonts w:ascii="SimSun" w:hAnsi="SimSun" w:eastAsia="SimSun" w:cs="SimSun"/>
                <w:spacing w:val="-56"/>
              </w:rPr>
              <w:t xml:space="preserve"> </w:t>
            </w:r>
            <w:r>
              <w:rPr>
                <w:spacing w:val="6"/>
              </w:rPr>
              <w:t>1</w:t>
            </w:r>
            <w:r>
              <w:rPr>
                <w:spacing w:val="-19"/>
              </w:rPr>
              <w:t xml:space="preserve"> </w:t>
            </w:r>
            <w:r>
              <w:rPr>
                <w:rFonts w:ascii="SimSun" w:hAnsi="SimSun" w:eastAsia="SimSun" w:cs="SimSun"/>
                <w:spacing w:val="6"/>
              </w:rPr>
              <w:t>．与大型煤矿井田平面投</w:t>
            </w:r>
            <w:r>
              <w:rPr>
                <w:rFonts w:ascii="SimSun" w:hAnsi="SimSun" w:eastAsia="SimSun" w:cs="SimSun"/>
                <w:spacing w:val="3"/>
              </w:rPr>
              <w:t>影重叠的小煤矿；</w:t>
            </w:r>
            <w:r>
              <w:rPr>
                <w:spacing w:val="3"/>
              </w:rPr>
              <w:t>2</w:t>
            </w:r>
            <w:r>
              <w:rPr>
                <w:spacing w:val="-25"/>
              </w:rPr>
              <w:t xml:space="preserve"> </w:t>
            </w:r>
            <w:r>
              <w:rPr>
                <w:rFonts w:ascii="SimSun" w:hAnsi="SimSun" w:eastAsia="SimSun" w:cs="SimSun"/>
                <w:spacing w:val="3"/>
              </w:rPr>
              <w:t>．长期停产停建的</w:t>
            </w:r>
            <w:r>
              <w:rPr>
                <w:rFonts w:ascii="SimSun" w:hAnsi="SimSun" w:eastAsia="SimSun" w:cs="SimSun"/>
                <w:spacing w:val="-42"/>
              </w:rPr>
              <w:t xml:space="preserve"> </w:t>
            </w:r>
            <w:r>
              <w:rPr>
                <w:spacing w:val="3"/>
              </w:rPr>
              <w:t>30 </w:t>
            </w:r>
            <w:r>
              <w:rPr>
                <w:rFonts w:ascii="SimSun" w:hAnsi="SimSun" w:eastAsia="SimSun" w:cs="SimSun"/>
                <w:spacing w:val="3"/>
              </w:rPr>
              <w:t>万吨</w:t>
            </w:r>
            <w:r>
              <w:rPr>
                <w:rFonts w:ascii="SimSun" w:hAnsi="SimSun" w:eastAsia="SimSun" w:cs="SimSun"/>
              </w:rPr>
              <w:t xml:space="preserve"> </w:t>
            </w:r>
            <w:r>
              <w:rPr>
                <w:spacing w:val="4"/>
              </w:rPr>
              <w:t>/</w:t>
            </w:r>
            <w:r>
              <w:rPr>
                <w:rFonts w:ascii="SimSun" w:hAnsi="SimSun" w:eastAsia="SimSun" w:cs="SimSun"/>
                <w:spacing w:val="4"/>
              </w:rPr>
              <w:t>年以下（不含</w:t>
            </w:r>
            <w:r>
              <w:rPr>
                <w:rFonts w:ascii="SimSun" w:hAnsi="SimSun" w:eastAsia="SimSun" w:cs="SimSun"/>
                <w:spacing w:val="-41"/>
              </w:rPr>
              <w:t xml:space="preserve"> </w:t>
            </w:r>
            <w:r>
              <w:rPr>
                <w:spacing w:val="4"/>
              </w:rPr>
              <w:t>30 </w:t>
            </w:r>
            <w:r>
              <w:rPr>
                <w:rFonts w:ascii="SimSun" w:hAnsi="SimSun" w:eastAsia="SimSun" w:cs="SimSun"/>
                <w:spacing w:val="4"/>
              </w:rPr>
              <w:t>万吨</w:t>
            </w:r>
            <w:r>
              <w:rPr>
                <w:spacing w:val="4"/>
              </w:rPr>
              <w:t>/</w:t>
            </w:r>
            <w:r>
              <w:rPr>
                <w:rFonts w:ascii="SimSun" w:hAnsi="SimSun" w:eastAsia="SimSun" w:cs="SimSun"/>
                <w:spacing w:val="4"/>
              </w:rPr>
              <w:t>年）</w:t>
            </w:r>
            <w:r>
              <w:rPr>
                <w:spacing w:val="4"/>
              </w:rPr>
              <w:t>“</w:t>
            </w:r>
            <w:r>
              <w:rPr>
                <w:rFonts w:ascii="SimSun" w:hAnsi="SimSun" w:eastAsia="SimSun" w:cs="SimSun"/>
                <w:spacing w:val="4"/>
              </w:rPr>
              <w:t>僵尸企业</w:t>
            </w:r>
            <w:r>
              <w:rPr>
                <w:spacing w:val="4"/>
              </w:rPr>
              <w:t>”</w:t>
            </w:r>
            <w:r>
              <w:rPr>
                <w:rFonts w:ascii="SimSun" w:hAnsi="SimSun" w:eastAsia="SimSun" w:cs="SimSun"/>
                <w:spacing w:val="4"/>
              </w:rPr>
              <w:t>煤矿；</w:t>
            </w:r>
            <w:r>
              <w:rPr>
                <w:rFonts w:ascii="SimSun" w:hAnsi="SimSun" w:eastAsia="SimSun" w:cs="SimSun"/>
              </w:rPr>
              <w:t xml:space="preserve"> </w:t>
            </w:r>
            <w:r>
              <w:rPr>
                <w:spacing w:val="4"/>
              </w:rPr>
              <w:t>30 </w:t>
            </w:r>
            <w:r>
              <w:rPr>
                <w:rFonts w:ascii="SimSun" w:hAnsi="SimSun" w:eastAsia="SimSun" w:cs="SimSun"/>
                <w:spacing w:val="4"/>
              </w:rPr>
              <w:t>万吨</w:t>
            </w:r>
            <w:r>
              <w:rPr>
                <w:spacing w:val="4"/>
              </w:rPr>
              <w:t>/</w:t>
            </w:r>
            <w:r>
              <w:rPr>
                <w:rFonts w:ascii="SimSun" w:hAnsi="SimSun" w:eastAsia="SimSun" w:cs="SimSun"/>
                <w:spacing w:val="4"/>
              </w:rPr>
              <w:t>年以下（不含</w:t>
            </w:r>
            <w:r>
              <w:rPr>
                <w:rFonts w:ascii="SimSun" w:hAnsi="SimSun" w:eastAsia="SimSun" w:cs="SimSun"/>
                <w:spacing w:val="-25"/>
              </w:rPr>
              <w:t xml:space="preserve"> </w:t>
            </w:r>
            <w:r>
              <w:rPr>
                <w:spacing w:val="4"/>
              </w:rPr>
              <w:t>30 </w:t>
            </w:r>
            <w:r>
              <w:rPr>
                <w:rFonts w:ascii="SimSun" w:hAnsi="SimSun" w:eastAsia="SimSun" w:cs="SimSun"/>
                <w:spacing w:val="4"/>
              </w:rPr>
              <w:t>万吨</w:t>
            </w:r>
            <w:r>
              <w:rPr>
                <w:spacing w:val="4"/>
              </w:rPr>
              <w:t>/</w:t>
            </w:r>
            <w:r>
              <w:rPr>
                <w:rFonts w:ascii="SimSun" w:hAnsi="SimSun" w:eastAsia="SimSun" w:cs="SimSun"/>
                <w:spacing w:val="4"/>
              </w:rPr>
              <w:t>年）冲击地压、</w:t>
            </w:r>
            <w:r>
              <w:rPr>
                <w:rFonts w:ascii="SimSun" w:hAnsi="SimSun" w:eastAsia="SimSun" w:cs="SimSun"/>
                <w:spacing w:val="16"/>
              </w:rPr>
              <w:t>煤与瓦斯突出等灾害严重煤矿，属于满足林</w:t>
            </w:r>
            <w:r>
              <w:rPr>
                <w:rFonts w:ascii="SimSun" w:hAnsi="SimSun" w:eastAsia="SimSun" w:cs="SimSun"/>
                <w:spacing w:val="5"/>
              </w:rPr>
              <w:t>区、边远山区居民生活用煤需要或承担特殊供</w:t>
            </w:r>
            <w:r>
              <w:rPr>
                <w:rFonts w:ascii="SimSun" w:hAnsi="SimSun" w:eastAsia="SimSun" w:cs="SimSun"/>
                <w:spacing w:val="5"/>
              </w:rPr>
              <w:t>应任务且符合资源、环保、安全、技术、能耗</w:t>
            </w:r>
            <w:r>
              <w:rPr>
                <w:rFonts w:ascii="SimSun" w:hAnsi="SimSun" w:eastAsia="SimSun" w:cs="SimSun"/>
                <w:spacing w:val="5"/>
              </w:rPr>
              <w:t>等标准的煤矿，经省级人民政府批准，可以暂</w:t>
            </w:r>
            <w:r>
              <w:rPr>
                <w:rFonts w:ascii="SimSun" w:hAnsi="SimSun" w:eastAsia="SimSun" w:cs="SimSun"/>
                <w:spacing w:val="5"/>
              </w:rPr>
              <w:t>时保留或推迟退出</w:t>
            </w:r>
            <w:r>
              <w:rPr>
                <w:rFonts w:ascii="SimSun" w:hAnsi="SimSun" w:eastAsia="SimSun" w:cs="SimSun"/>
                <w:spacing w:val="-30"/>
              </w:rPr>
              <w:t xml:space="preserve"> </w:t>
            </w:r>
            <w:r>
              <w:rPr>
                <w:spacing w:val="5"/>
              </w:rPr>
              <w:t>3</w:t>
            </w:r>
            <w:r>
              <w:rPr>
                <w:spacing w:val="-21"/>
              </w:rPr>
              <w:t xml:space="preserve"> </w:t>
            </w:r>
            <w:r>
              <w:rPr>
                <w:rFonts w:ascii="SimSun" w:hAnsi="SimSun" w:eastAsia="SimSun" w:cs="SimSun"/>
                <w:spacing w:val="5"/>
              </w:rPr>
              <w:t>．既无降硫措施又无达标</w:t>
            </w:r>
            <w:r>
              <w:rPr>
                <w:rFonts w:ascii="SimSun" w:hAnsi="SimSun" w:eastAsia="SimSun" w:cs="SimSun"/>
                <w:spacing w:val="8"/>
              </w:rPr>
              <w:t>排放用户的高硫煤炭（含硫高于</w:t>
            </w:r>
            <w:r>
              <w:rPr>
                <w:rFonts w:ascii="SimSun" w:hAnsi="SimSun" w:eastAsia="SimSun" w:cs="SimSun"/>
                <w:spacing w:val="-26"/>
              </w:rPr>
              <w:t xml:space="preserve"> </w:t>
            </w:r>
            <w:r>
              <w:rPr>
                <w:spacing w:val="8"/>
              </w:rPr>
              <w:t>3%</w:t>
            </w:r>
            <w:r>
              <w:rPr>
                <w:rFonts w:ascii="SimSun" w:hAnsi="SimSun" w:eastAsia="SimSun" w:cs="SimSun"/>
                <w:spacing w:val="8"/>
              </w:rPr>
              <w:t>）生产矿</w:t>
            </w:r>
            <w:r>
              <w:rPr>
                <w:rFonts w:ascii="SimSun" w:hAnsi="SimSun" w:eastAsia="SimSun" w:cs="SimSun"/>
                <w:spacing w:val="1"/>
              </w:rPr>
              <w:t>井，不能就地使用的高灰煤炭（灰分高于</w:t>
            </w:r>
            <w:r>
              <w:rPr>
                <w:spacing w:val="1"/>
              </w:rPr>
              <w:t>40</w:t>
            </w:r>
            <w:r>
              <w:rPr/>
              <w:t>%</w:t>
            </w:r>
            <w:r>
              <w:rPr>
                <w:rFonts w:ascii="SimSun" w:hAnsi="SimSun" w:eastAsia="SimSun" w:cs="SimSun"/>
              </w:rPr>
              <w:t>）</w:t>
            </w:r>
            <w:r>
              <w:rPr>
                <w:rFonts w:ascii="SimSun" w:hAnsi="SimSun" w:eastAsia="SimSun" w:cs="SimSun"/>
                <w:spacing w:val="5"/>
              </w:rPr>
              <w:t>生产矿井以及高砷煤炭（动力用煤中砷含量超</w:t>
            </w:r>
            <w:r>
              <w:rPr>
                <w:rFonts w:ascii="SimSun" w:hAnsi="SimSun" w:eastAsia="SimSun" w:cs="SimSun"/>
                <w:spacing w:val="1"/>
              </w:rPr>
              <w:t>过</w:t>
            </w:r>
            <w:r>
              <w:rPr>
                <w:rFonts w:ascii="SimSun" w:hAnsi="SimSun" w:eastAsia="SimSun" w:cs="SimSun"/>
                <w:spacing w:val="-36"/>
              </w:rPr>
              <w:t xml:space="preserve"> </w:t>
            </w:r>
            <w:r>
              <w:rPr>
                <w:spacing w:val="1"/>
              </w:rPr>
              <w:t>80μg/g</w:t>
            </w:r>
            <w:r>
              <w:rPr>
                <w:spacing w:val="-22"/>
              </w:rPr>
              <w:t xml:space="preserve"> </w:t>
            </w:r>
            <w:r>
              <w:rPr>
                <w:rFonts w:ascii="SimSun" w:hAnsi="SimSun" w:eastAsia="SimSun" w:cs="SimSun"/>
                <w:spacing w:val="1"/>
              </w:rPr>
              <w:t>，炼焦用煤中砷含量超过</w:t>
            </w:r>
            <w:r>
              <w:rPr>
                <w:rFonts w:ascii="SimSun" w:hAnsi="SimSun" w:eastAsia="SimSun" w:cs="SimSun"/>
                <w:spacing w:val="-38"/>
              </w:rPr>
              <w:t xml:space="preserve"> </w:t>
            </w:r>
            <w:r>
              <w:rPr>
                <w:spacing w:val="1"/>
              </w:rPr>
              <w:t>35μ</w:t>
            </w:r>
            <w:r>
              <w:rPr/>
              <w:t>g/g</w:t>
            </w:r>
            <w:r>
              <w:rPr>
                <w:rFonts w:ascii="SimSun" w:hAnsi="SimSun" w:eastAsia="SimSun" w:cs="SimSun"/>
              </w:rPr>
              <w:t>）生</w:t>
            </w:r>
            <w:r>
              <w:rPr>
                <w:rFonts w:ascii="SimSun" w:hAnsi="SimSun" w:eastAsia="SimSun" w:cs="SimSun"/>
                <w:spacing w:val="8"/>
              </w:rPr>
              <w:t>产煤矿；</w:t>
            </w:r>
            <w:r>
              <w:rPr>
                <w:spacing w:val="8"/>
              </w:rPr>
              <w:t>5</w:t>
            </w:r>
            <w:r>
              <w:rPr>
                <w:spacing w:val="-7"/>
              </w:rPr>
              <w:t xml:space="preserve"> </w:t>
            </w:r>
            <w:r>
              <w:rPr>
                <w:rFonts w:ascii="SimSun" w:hAnsi="SimSun" w:eastAsia="SimSun" w:cs="SimSun"/>
                <w:spacing w:val="8"/>
              </w:rPr>
              <w:t>．开采范围与自然保护区、风景名</w:t>
            </w:r>
            <w:r>
              <w:rPr>
                <w:rFonts w:ascii="SimSun" w:hAnsi="SimSun" w:eastAsia="SimSun" w:cs="SimSun"/>
                <w:spacing w:val="5"/>
              </w:rPr>
              <w:t>胜区、饮用水水源保护区重叠的煤矿（根据法</w:t>
            </w:r>
            <w:r>
              <w:rPr>
                <w:rFonts w:ascii="SimSun" w:hAnsi="SimSun" w:eastAsia="SimSun" w:cs="SimSun"/>
                <w:spacing w:val="2"/>
              </w:rPr>
              <w:t>律法规及国家有关文件要求进行淘汰</w:t>
            </w:r>
            <w:r>
              <w:rPr>
                <w:rFonts w:ascii="SimSun" w:hAnsi="SimSun" w:eastAsia="SimSun" w:cs="SimSun"/>
                <w:spacing w:val="-19"/>
              </w:rPr>
              <w:t>）；</w:t>
            </w:r>
            <w:r>
              <w:rPr>
                <w:spacing w:val="2"/>
              </w:rPr>
              <w:t>6</w:t>
            </w:r>
            <w:r>
              <w:rPr>
                <w:rFonts w:ascii="SimSun" w:hAnsi="SimSun" w:eastAsia="SimSun" w:cs="SimSun"/>
                <w:spacing w:val="2"/>
              </w:rPr>
              <w:t>．采</w:t>
            </w:r>
            <w:r>
              <w:rPr>
                <w:rFonts w:ascii="SimSun" w:hAnsi="SimSun" w:eastAsia="SimSun" w:cs="SimSun"/>
                <w:spacing w:val="8"/>
              </w:rPr>
              <w:t>用以掘代采等非正规开采工艺的煤矿；</w:t>
            </w:r>
            <w:r>
              <w:rPr>
                <w:spacing w:val="8"/>
              </w:rPr>
              <w:t>7</w:t>
            </w:r>
            <w:r>
              <w:rPr>
                <w:spacing w:val="-9"/>
              </w:rPr>
              <w:t xml:space="preserve"> </w:t>
            </w:r>
            <w:r>
              <w:rPr>
                <w:rFonts w:ascii="SimSun" w:hAnsi="SimSun" w:eastAsia="SimSun" w:cs="SimSun"/>
                <w:spacing w:val="8"/>
              </w:rPr>
              <w:t>．同</w:t>
            </w:r>
            <w:r>
              <w:rPr>
                <w:rFonts w:ascii="SimSun" w:hAnsi="SimSun" w:eastAsia="SimSun" w:cs="SimSun"/>
                <w:spacing w:val="4"/>
              </w:rPr>
              <w:t>时生产的水平超过</w:t>
            </w:r>
            <w:r>
              <w:rPr>
                <w:rFonts w:ascii="SimSun" w:hAnsi="SimSun" w:eastAsia="SimSun" w:cs="SimSun"/>
                <w:spacing w:val="-36"/>
              </w:rPr>
              <w:t xml:space="preserve"> </w:t>
            </w:r>
            <w:r>
              <w:rPr>
                <w:spacing w:val="4"/>
              </w:rPr>
              <w:t>2 </w:t>
            </w:r>
            <w:r>
              <w:rPr>
                <w:rFonts w:ascii="SimSun" w:hAnsi="SimSun" w:eastAsia="SimSun" w:cs="SimSun"/>
                <w:spacing w:val="4"/>
              </w:rPr>
              <w:t>个（不含</w:t>
            </w:r>
            <w:r>
              <w:rPr>
                <w:rFonts w:ascii="SimSun" w:hAnsi="SimSun" w:eastAsia="SimSun" w:cs="SimSun"/>
                <w:spacing w:val="-42"/>
              </w:rPr>
              <w:t xml:space="preserve"> </w:t>
            </w:r>
            <w:r>
              <w:rPr>
                <w:spacing w:val="4"/>
              </w:rPr>
              <w:t>2 </w:t>
            </w:r>
            <w:r>
              <w:rPr>
                <w:rFonts w:ascii="SimSun" w:hAnsi="SimSun" w:eastAsia="SimSun" w:cs="SimSun"/>
                <w:spacing w:val="4"/>
              </w:rPr>
              <w:t>个）的煤矿</w:t>
            </w:r>
          </w:p>
        </w:tc>
        <w:tc>
          <w:tcPr>
            <w:tcW w:w="3073" w:type="dxa"/>
            <w:vAlign w:val="top"/>
          </w:tcPr>
          <w:p>
            <w:pPr>
              <w:ind w:left="5" w:firstLine="242"/>
              <w:spacing w:before="27" w:line="246" w:lineRule="auto"/>
              <w:jc w:val="both"/>
              <w:rPr>
                <w:rFonts w:ascii="SimSun" w:hAnsi="SimSun" w:eastAsia="SimSun" w:cs="SimSun"/>
                <w:sz w:val="20"/>
                <w:szCs w:val="20"/>
              </w:rPr>
            </w:pPr>
            <w:r>
              <w:rPr>
                <w:rFonts w:ascii="SimSun" w:hAnsi="SimSun" w:eastAsia="SimSun" w:cs="SimSun"/>
                <w:sz w:val="20"/>
                <w:szCs w:val="20"/>
                <w:spacing w:val="16"/>
              </w:rPr>
              <w:t>白音华四号露天矿为具有采矿</w:t>
            </w:r>
            <w:r>
              <w:rPr>
                <w:rFonts w:ascii="SimSun" w:hAnsi="SimSun" w:eastAsia="SimSun" w:cs="SimSun"/>
                <w:sz w:val="20"/>
                <w:szCs w:val="20"/>
                <w:spacing w:val="14"/>
              </w:rPr>
              <w:t>许可证的合法煤矿，</w:t>
            </w:r>
            <w:r>
              <w:rPr>
                <w:rFonts w:ascii="SimSun" w:hAnsi="SimSun" w:eastAsia="SimSun" w:cs="SimSun"/>
                <w:sz w:val="20"/>
                <w:szCs w:val="20"/>
                <w:spacing w:val="-37"/>
              </w:rPr>
              <w:t xml:space="preserve"> </w:t>
            </w:r>
            <w:r>
              <w:rPr>
                <w:rFonts w:ascii="SimSun" w:hAnsi="SimSun" w:eastAsia="SimSun" w:cs="SimSun"/>
                <w:sz w:val="20"/>
                <w:szCs w:val="20"/>
                <w:spacing w:val="14"/>
              </w:rPr>
              <w:t>目前正常生</w:t>
            </w:r>
            <w:r>
              <w:rPr>
                <w:rFonts w:ascii="SimSun" w:hAnsi="SimSun" w:eastAsia="SimSun" w:cs="SimSun"/>
                <w:sz w:val="20"/>
                <w:szCs w:val="20"/>
                <w:spacing w:val="4"/>
              </w:rPr>
              <w:t>产，与其它煤矿矿权无重叠，矿田</w:t>
            </w:r>
            <w:r>
              <w:rPr>
                <w:rFonts w:ascii="SimSun" w:hAnsi="SimSun" w:eastAsia="SimSun" w:cs="SimSun"/>
                <w:sz w:val="20"/>
                <w:szCs w:val="20"/>
                <w:spacing w:val="4"/>
              </w:rPr>
              <w:t>范围均不涉及自然保护区、生态保</w:t>
            </w:r>
            <w:r>
              <w:rPr>
                <w:rFonts w:ascii="SimSun" w:hAnsi="SimSun" w:eastAsia="SimSun" w:cs="SimSun"/>
                <w:sz w:val="20"/>
                <w:szCs w:val="20"/>
                <w:spacing w:val="18"/>
              </w:rPr>
              <w:t>护红线，煤矿的原煤硫分属于低</w:t>
            </w:r>
            <w:r>
              <w:rPr>
                <w:rFonts w:ascii="SimSun" w:hAnsi="SimSun" w:eastAsia="SimSun" w:cs="SimSun"/>
                <w:sz w:val="20"/>
                <w:szCs w:val="20"/>
                <w:spacing w:val="4"/>
              </w:rPr>
              <w:t>硫～中硫，所产原煤主要运至金山</w:t>
            </w:r>
            <w:r>
              <w:rPr>
                <w:rFonts w:ascii="SimSun" w:hAnsi="SimSun" w:eastAsia="SimSun" w:cs="SimSun"/>
                <w:sz w:val="20"/>
                <w:szCs w:val="20"/>
                <w:spacing w:val="8"/>
              </w:rPr>
              <w:t>电厂进行发电</w:t>
            </w:r>
          </w:p>
        </w:tc>
        <w:tc>
          <w:tcPr>
            <w:tcW w:w="513" w:type="dxa"/>
            <w:vAlign w:val="top"/>
            <w:vMerge w:val="restart"/>
            <w:tcBorders>
              <w:bottom w:val="nil"/>
            </w:tcBorders>
          </w:tcPr>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5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817"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bottom w:val="nil"/>
              <w:top w:val="nil"/>
            </w:tcBorders>
          </w:tcPr>
          <w:p>
            <w:pPr>
              <w:rPr>
                <w:rFonts w:ascii="Arial"/>
                <w:sz w:val="21"/>
              </w:rPr>
            </w:pPr>
            <w:r/>
          </w:p>
        </w:tc>
        <w:tc>
          <w:tcPr>
            <w:tcW w:w="3073" w:type="dxa"/>
            <w:vAlign w:val="top"/>
          </w:tcPr>
          <w:p>
            <w:pPr>
              <w:ind w:left="6" w:firstLine="211"/>
              <w:spacing w:before="33" w:line="238" w:lineRule="auto"/>
              <w:jc w:val="both"/>
              <w:rPr>
                <w:rFonts w:ascii="SimSun" w:hAnsi="SimSun" w:eastAsia="SimSun" w:cs="SimSun"/>
                <w:sz w:val="20"/>
                <w:szCs w:val="20"/>
              </w:rPr>
            </w:pPr>
            <w:r>
              <w:rPr>
                <w:rFonts w:ascii="SimSun" w:hAnsi="SimSun" w:eastAsia="SimSun" w:cs="SimSun"/>
                <w:sz w:val="20"/>
                <w:szCs w:val="20"/>
                <w:spacing w:val="3"/>
              </w:rPr>
              <w:t>本项目属于低硫煤、灰分满足相</w:t>
            </w:r>
            <w:r>
              <w:rPr>
                <w:rFonts w:ascii="SimSun" w:hAnsi="SimSun" w:eastAsia="SimSun" w:cs="SimSun"/>
                <w:sz w:val="20"/>
                <w:szCs w:val="20"/>
                <w:spacing w:val="4"/>
              </w:rPr>
              <w:t>应要求，砷含量为中砷煤，不属于</w:t>
            </w:r>
            <w:r>
              <w:rPr>
                <w:rFonts w:ascii="SimSun" w:hAnsi="SimSun" w:eastAsia="SimSun" w:cs="SimSun"/>
                <w:sz w:val="20"/>
                <w:szCs w:val="20"/>
                <w:spacing w:val="6"/>
              </w:rPr>
              <w:t>高砷煤</w:t>
            </w:r>
          </w:p>
        </w:tc>
        <w:tc>
          <w:tcPr>
            <w:tcW w:w="513" w:type="dxa"/>
            <w:vAlign w:val="top"/>
            <w:vMerge w:val="continue"/>
            <w:tcBorders>
              <w:bottom w:val="nil"/>
              <w:top w:val="nil"/>
            </w:tcBorders>
          </w:tcPr>
          <w:p>
            <w:pPr>
              <w:rPr>
                <w:rFonts w:ascii="Arial"/>
                <w:sz w:val="21"/>
              </w:rPr>
            </w:pPr>
            <w:r/>
          </w:p>
        </w:tc>
      </w:tr>
      <w:tr>
        <w:trPr>
          <w:trHeight w:val="815"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bottom w:val="nil"/>
              <w:top w:val="nil"/>
            </w:tcBorders>
          </w:tcPr>
          <w:p>
            <w:pPr>
              <w:rPr>
                <w:rFonts w:ascii="Arial"/>
                <w:sz w:val="21"/>
              </w:rPr>
            </w:pPr>
            <w:r/>
          </w:p>
        </w:tc>
        <w:tc>
          <w:tcPr>
            <w:tcW w:w="3073" w:type="dxa"/>
            <w:vAlign w:val="top"/>
          </w:tcPr>
          <w:p>
            <w:pPr>
              <w:ind w:left="7" w:firstLine="206"/>
              <w:spacing w:before="167" w:line="252" w:lineRule="auto"/>
              <w:rPr>
                <w:rFonts w:ascii="SimSun" w:hAnsi="SimSun" w:eastAsia="SimSun" w:cs="SimSun"/>
                <w:sz w:val="20"/>
                <w:szCs w:val="20"/>
              </w:rPr>
            </w:pPr>
            <w:r>
              <w:rPr>
                <w:rFonts w:ascii="SimSun" w:hAnsi="SimSun" w:eastAsia="SimSun" w:cs="SimSun"/>
                <w:sz w:val="20"/>
                <w:szCs w:val="20"/>
                <w:spacing w:val="3"/>
              </w:rPr>
              <w:t>矿田范围均不涉及自然保护区、</w:t>
            </w:r>
            <w:r>
              <w:rPr>
                <w:rFonts w:ascii="SimSun" w:hAnsi="SimSun" w:eastAsia="SimSun" w:cs="SimSun"/>
                <w:sz w:val="20"/>
                <w:szCs w:val="20"/>
                <w:spacing w:val="6"/>
              </w:rPr>
              <w:t>风景名胜区、饮用水源保护区</w:t>
            </w:r>
          </w:p>
        </w:tc>
        <w:tc>
          <w:tcPr>
            <w:tcW w:w="513" w:type="dxa"/>
            <w:vAlign w:val="top"/>
            <w:vMerge w:val="continue"/>
            <w:tcBorders>
              <w:bottom w:val="nil"/>
              <w:top w:val="nil"/>
            </w:tcBorders>
          </w:tcPr>
          <w:p>
            <w:pPr>
              <w:rPr>
                <w:rFonts w:ascii="Arial"/>
                <w:sz w:val="21"/>
              </w:rPr>
            </w:pPr>
            <w:r/>
          </w:p>
        </w:tc>
      </w:tr>
      <w:tr>
        <w:trPr>
          <w:trHeight w:val="817" w:hRule="atLeast"/>
        </w:trPr>
        <w:tc>
          <w:tcPr>
            <w:tcW w:w="1319" w:type="dxa"/>
            <w:vAlign w:val="top"/>
            <w:vMerge w:val="continue"/>
            <w:tcBorders>
              <w:bottom w:val="nil"/>
              <w:top w:val="nil"/>
            </w:tcBorders>
          </w:tcPr>
          <w:p>
            <w:pPr>
              <w:rPr>
                <w:rFonts w:ascii="Arial"/>
                <w:sz w:val="21"/>
              </w:rPr>
            </w:pPr>
            <w:r/>
          </w:p>
        </w:tc>
        <w:tc>
          <w:tcPr>
            <w:tcW w:w="4193" w:type="dxa"/>
            <w:vAlign w:val="top"/>
            <w:vMerge w:val="continue"/>
            <w:tcBorders>
              <w:bottom w:val="nil"/>
              <w:top w:val="nil"/>
            </w:tcBorders>
          </w:tcPr>
          <w:p>
            <w:pPr>
              <w:rPr>
                <w:rFonts w:ascii="Arial"/>
                <w:sz w:val="21"/>
              </w:rPr>
            </w:pPr>
            <w:r/>
          </w:p>
        </w:tc>
        <w:tc>
          <w:tcPr>
            <w:tcW w:w="3073" w:type="dxa"/>
            <w:vAlign w:val="top"/>
          </w:tcPr>
          <w:p>
            <w:pPr>
              <w:ind w:left="7"/>
              <w:spacing w:before="33" w:line="238" w:lineRule="auto"/>
              <w:jc w:val="both"/>
              <w:rPr>
                <w:rFonts w:ascii="SimSun" w:hAnsi="SimSun" w:eastAsia="SimSun" w:cs="SimSun"/>
                <w:sz w:val="20"/>
                <w:szCs w:val="20"/>
              </w:rPr>
            </w:pPr>
            <w:r>
              <w:rPr>
                <w:rFonts w:ascii="SimSun" w:hAnsi="SimSun" w:eastAsia="SimSun" w:cs="SimSun"/>
                <w:sz w:val="20"/>
                <w:szCs w:val="20"/>
                <w:spacing w:val="18"/>
              </w:rPr>
              <w:t>本项目露天采煤采用单斗－半固</w:t>
            </w:r>
            <w:r>
              <w:rPr>
                <w:rFonts w:ascii="SimSun" w:hAnsi="SimSun" w:eastAsia="SimSun" w:cs="SimSun"/>
                <w:sz w:val="20"/>
                <w:szCs w:val="20"/>
                <w:spacing w:val="18"/>
              </w:rPr>
              <w:t>定破碎机－胶带与单斗－汽车半</w:t>
            </w:r>
            <w:r>
              <w:rPr>
                <w:rFonts w:ascii="SimSun" w:hAnsi="SimSun" w:eastAsia="SimSun" w:cs="SimSun"/>
                <w:sz w:val="20"/>
                <w:szCs w:val="20"/>
                <w:spacing w:val="9"/>
              </w:rPr>
              <w:t>连续工艺，均为常规开采工艺</w:t>
            </w:r>
          </w:p>
        </w:tc>
        <w:tc>
          <w:tcPr>
            <w:tcW w:w="513" w:type="dxa"/>
            <w:vAlign w:val="top"/>
            <w:vMerge w:val="continue"/>
            <w:tcBorders>
              <w:bottom w:val="nil"/>
              <w:top w:val="nil"/>
            </w:tcBorders>
          </w:tcPr>
          <w:p>
            <w:pPr>
              <w:rPr>
                <w:rFonts w:ascii="Arial"/>
                <w:sz w:val="21"/>
              </w:rPr>
            </w:pPr>
            <w:r/>
          </w:p>
        </w:tc>
      </w:tr>
      <w:tr>
        <w:trPr>
          <w:trHeight w:val="827" w:hRule="atLeast"/>
        </w:trPr>
        <w:tc>
          <w:tcPr>
            <w:tcW w:w="1319" w:type="dxa"/>
            <w:vAlign w:val="top"/>
            <w:vMerge w:val="continue"/>
            <w:tcBorders>
              <w:bottom w:val="single" w:color="000000" w:sz="4" w:space="0"/>
              <w:top w:val="nil"/>
            </w:tcBorders>
          </w:tcPr>
          <w:p>
            <w:pPr>
              <w:rPr>
                <w:rFonts w:ascii="Arial"/>
                <w:sz w:val="21"/>
              </w:rPr>
            </w:pPr>
            <w:r/>
          </w:p>
        </w:tc>
        <w:tc>
          <w:tcPr>
            <w:tcW w:w="4193" w:type="dxa"/>
            <w:vAlign w:val="top"/>
            <w:vMerge w:val="continue"/>
            <w:tcBorders>
              <w:bottom w:val="single" w:color="000000" w:sz="4" w:space="0"/>
              <w:top w:val="nil"/>
            </w:tcBorders>
          </w:tcPr>
          <w:p>
            <w:pPr>
              <w:rPr>
                <w:rFonts w:ascii="Arial"/>
                <w:sz w:val="21"/>
              </w:rPr>
            </w:pPr>
            <w:r/>
          </w:p>
        </w:tc>
        <w:tc>
          <w:tcPr>
            <w:tcW w:w="3073" w:type="dxa"/>
            <w:vAlign w:val="top"/>
            <w:tcBorders>
              <w:bottom w:val="single" w:color="000000" w:sz="4" w:space="0"/>
            </w:tcBorders>
          </w:tcPr>
          <w:p>
            <w:pPr>
              <w:pStyle w:val="TableText"/>
              <w:ind w:left="9" w:hanging="3"/>
              <w:spacing w:before="171" w:line="251" w:lineRule="auto"/>
              <w:rPr>
                <w:rFonts w:ascii="SimSun" w:hAnsi="SimSun" w:eastAsia="SimSun" w:cs="SimSun"/>
              </w:rPr>
            </w:pPr>
            <w:r>
              <w:rPr>
                <w:rFonts w:ascii="SimSun" w:hAnsi="SimSun" w:eastAsia="SimSun" w:cs="SimSun"/>
                <w:spacing w:val="5"/>
              </w:rPr>
              <w:t>全井田井工布设一个水平，露天</w:t>
            </w:r>
            <w:r>
              <w:rPr>
                <w:rFonts w:ascii="SimSun" w:hAnsi="SimSun" w:eastAsia="SimSun" w:cs="SimSun"/>
                <w:spacing w:val="-15"/>
              </w:rPr>
              <w:t xml:space="preserve"> </w:t>
            </w:r>
            <w:r>
              <w:rPr>
                <w:spacing w:val="5"/>
              </w:rPr>
              <w:t>1</w:t>
            </w:r>
            <w:r>
              <w:rPr>
                <w:rFonts w:ascii="SimSun" w:hAnsi="SimSun" w:eastAsia="SimSun" w:cs="SimSun"/>
                <w:spacing w:val="8"/>
              </w:rPr>
              <w:t>一个采区，满足相应规定</w:t>
            </w:r>
          </w:p>
        </w:tc>
        <w:tc>
          <w:tcPr>
            <w:tcW w:w="513" w:type="dxa"/>
            <w:vAlign w:val="top"/>
            <w:vMerge w:val="continue"/>
            <w:tcBorders>
              <w:bottom w:val="single" w:color="000000" w:sz="4" w:space="0"/>
              <w:top w:val="nil"/>
            </w:tcBorders>
          </w:tcPr>
          <w:p>
            <w:pPr>
              <w:rPr>
                <w:rFonts w:ascii="Arial"/>
                <w:sz w:val="21"/>
              </w:rPr>
            </w:pPr>
            <w:r/>
          </w:p>
        </w:tc>
      </w:tr>
    </w:tbl>
    <w:p>
      <w:pPr>
        <w:pStyle w:val="BodyText"/>
        <w:rPr/>
      </w:pPr>
      <w:r/>
    </w:p>
    <w:p>
      <w:pPr>
        <w:sectPr>
          <w:headerReference w:type="default" r:id="rId554"/>
          <w:footerReference w:type="default" r:id="rId555"/>
          <w:pgSz w:w="11906" w:h="16838"/>
          <w:pgMar w:top="1170" w:right="1344" w:bottom="1080" w:left="1401" w:header="837" w:footer="918" w:gutter="0"/>
        </w:sectPr>
        <w:rPr/>
      </w:pPr>
    </w:p>
    <w:p>
      <w:pPr>
        <w:pStyle w:val="BodyText"/>
        <w:spacing w:line="369" w:lineRule="auto"/>
        <w:rPr/>
      </w:pPr>
      <w:r/>
    </w:p>
    <w:p>
      <w:pPr>
        <w:ind w:left="51"/>
        <w:spacing w:before="98" w:line="222" w:lineRule="auto"/>
        <w:outlineLvl w:val="1"/>
        <w:rPr>
          <w:rFonts w:ascii="SimHei" w:hAnsi="SimHei" w:eastAsia="SimHei" w:cs="SimHei"/>
          <w:sz w:val="30"/>
          <w:szCs w:val="30"/>
        </w:rPr>
      </w:pPr>
      <w:bookmarkStart w:name="bookmark66" w:id="113"/>
      <w:bookmarkEnd w:id="113"/>
      <w:r>
        <w:rPr>
          <w:rFonts w:ascii="Times New Roman" w:hAnsi="Times New Roman" w:eastAsia="Times New Roman" w:cs="Times New Roman"/>
          <w:sz w:val="30"/>
          <w:szCs w:val="30"/>
          <w:b/>
          <w:bCs/>
          <w:spacing w:val="-3"/>
        </w:rPr>
        <w:t>10.2  </w:t>
      </w:r>
      <w:r>
        <w:rPr>
          <w:rFonts w:ascii="SimHei" w:hAnsi="SimHei" w:eastAsia="SimHei" w:cs="SimHei"/>
          <w:sz w:val="30"/>
          <w:szCs w:val="30"/>
          <w:b/>
          <w:bCs/>
          <w:spacing w:val="-3"/>
        </w:rPr>
        <w:t>与矿区总体规划及总体规划环评符合性分析</w:t>
      </w:r>
    </w:p>
    <w:p>
      <w:pPr>
        <w:ind w:left="39" w:right="46" w:firstLine="481"/>
        <w:spacing w:before="160" w:line="339" w:lineRule="auto"/>
        <w:jc w:val="both"/>
        <w:rPr>
          <w:rFonts w:ascii="SimSun" w:hAnsi="SimSun" w:eastAsia="SimSun" w:cs="SimSun"/>
          <w:sz w:val="24"/>
          <w:szCs w:val="24"/>
        </w:rPr>
      </w:pPr>
      <w:r>
        <w:rPr>
          <w:rFonts w:ascii="SimSun" w:hAnsi="SimSun" w:eastAsia="SimSun" w:cs="SimSun"/>
          <w:sz w:val="24"/>
          <w:szCs w:val="24"/>
          <w:spacing w:val="-2"/>
        </w:rPr>
        <w:t>本项目位于白音华矿区，《内蒙古自治区西乌珠穆沁旗白音华煤炭煤炭矿区总体规</w:t>
      </w:r>
      <w:r>
        <w:rPr>
          <w:rFonts w:ascii="SimSun" w:hAnsi="SimSun" w:eastAsia="SimSun" w:cs="SimSun"/>
          <w:sz w:val="24"/>
          <w:szCs w:val="24"/>
          <w:spacing w:val="-2"/>
        </w:rPr>
        <w:t>划（修编）》初稿已编制完成，尚未取得国家能源局的批复，本次评价主要根据《内蒙</w:t>
      </w:r>
      <w:r>
        <w:rPr>
          <w:rFonts w:ascii="SimSun" w:hAnsi="SimSun" w:eastAsia="SimSun" w:cs="SimSun"/>
          <w:sz w:val="24"/>
          <w:szCs w:val="24"/>
          <w:spacing w:val="-2"/>
        </w:rPr>
        <w:t>古自治区西乌珠穆沁旗白音华煤炭煤炭矿区总体规划（修编）环境影响报告书》中的相</w:t>
      </w:r>
      <w:r>
        <w:rPr>
          <w:rFonts w:ascii="SimSun" w:hAnsi="SimSun" w:eastAsia="SimSun" w:cs="SimSun"/>
          <w:sz w:val="24"/>
          <w:szCs w:val="24"/>
        </w:rPr>
        <w:t>关内容，分析项目与白音华矿区总体规划及总</w:t>
      </w:r>
      <w:r>
        <w:rPr>
          <w:rFonts w:ascii="SimSun" w:hAnsi="SimSun" w:eastAsia="SimSun" w:cs="SimSun"/>
          <w:sz w:val="24"/>
          <w:szCs w:val="24"/>
          <w:spacing w:val="-1"/>
        </w:rPr>
        <w:t>体规划环评的相符性。</w:t>
      </w:r>
    </w:p>
    <w:p>
      <w:pPr>
        <w:ind w:left="42" w:firstLine="479"/>
        <w:spacing w:before="4" w:line="338" w:lineRule="auto"/>
        <w:jc w:val="both"/>
        <w:rPr>
          <w:rFonts w:ascii="SimSun" w:hAnsi="SimSun" w:eastAsia="SimSun" w:cs="SimSun"/>
          <w:sz w:val="24"/>
          <w:szCs w:val="24"/>
        </w:rPr>
      </w:pPr>
      <w:r>
        <w:rPr>
          <w:rFonts w:ascii="SimSun" w:hAnsi="SimSun" w:eastAsia="SimSun" w:cs="SimSun"/>
          <w:sz w:val="24"/>
          <w:szCs w:val="24"/>
          <w:spacing w:val="-2"/>
        </w:rPr>
        <w:t>《内蒙古自治区西乌珠穆沁旗白音华煤炭煤炭矿区总体规划（修编）环境影响报告</w:t>
      </w:r>
      <w:r>
        <w:rPr>
          <w:rFonts w:ascii="SimSun" w:hAnsi="SimSun" w:eastAsia="SimSun" w:cs="SimSun"/>
          <w:sz w:val="24"/>
          <w:szCs w:val="24"/>
          <w:spacing w:val="-1"/>
        </w:rPr>
        <w:t>书环境影响报告书》已取得生态环境部的审查意见（环审</w:t>
      </w:r>
      <w:r>
        <w:rPr>
          <w:rFonts w:ascii="Times New Roman" w:hAnsi="Times New Roman" w:eastAsia="Times New Roman" w:cs="Times New Roman"/>
          <w:sz w:val="24"/>
          <w:szCs w:val="24"/>
          <w:spacing w:val="-1"/>
        </w:rPr>
        <w:t>[2023]130</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1"/>
        </w:rPr>
        <w:t>号</w:t>
      </w:r>
      <w:r>
        <w:rPr>
          <w:rFonts w:ascii="SimSun" w:hAnsi="SimSun" w:eastAsia="SimSun" w:cs="SimSun"/>
          <w:sz w:val="24"/>
          <w:szCs w:val="24"/>
          <w:spacing w:val="6"/>
        </w:rPr>
        <w:t>），</w:t>
      </w:r>
      <w:r>
        <w:rPr>
          <w:rFonts w:ascii="SimSun" w:hAnsi="SimSun" w:eastAsia="SimSun" w:cs="SimSun"/>
          <w:sz w:val="24"/>
          <w:szCs w:val="24"/>
          <w:spacing w:val="-1"/>
        </w:rPr>
        <w:t>本项目与矿</w:t>
      </w:r>
      <w:r>
        <w:rPr>
          <w:rFonts w:ascii="SimSun" w:hAnsi="SimSun" w:eastAsia="SimSun" w:cs="SimSun"/>
          <w:sz w:val="24"/>
          <w:szCs w:val="24"/>
          <w:spacing w:val="-2"/>
        </w:rPr>
        <w:t>区总体规划环评审查意见的相符性分析见下表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10-2-</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3"/>
        </w:rPr>
        <w:t>，可以看出，本次开采范围调整项</w:t>
      </w:r>
      <w:r>
        <w:rPr>
          <w:rFonts w:ascii="SimSun" w:hAnsi="SimSun" w:eastAsia="SimSun" w:cs="SimSun"/>
          <w:sz w:val="24"/>
          <w:szCs w:val="24"/>
          <w:spacing w:val="-2"/>
        </w:rPr>
        <w:t>目与《内蒙古自治区西乌珠穆沁旗白音华煤炭煤炭矿区总体规划（修编）环境影响报告</w:t>
      </w:r>
      <w:r>
        <w:rPr>
          <w:rFonts w:ascii="SimSun" w:hAnsi="SimSun" w:eastAsia="SimSun" w:cs="SimSun"/>
          <w:sz w:val="24"/>
          <w:szCs w:val="24"/>
          <w:spacing w:val="-2"/>
        </w:rPr>
        <w:t>书》审查意见的各项要求基本相符。《内蒙古自治区西乌珠穆沁旗白音华煤炭煤炭矿区</w:t>
      </w:r>
      <w:r>
        <w:rPr>
          <w:rFonts w:ascii="SimSun" w:hAnsi="SimSun" w:eastAsia="SimSun" w:cs="SimSun"/>
          <w:sz w:val="24"/>
          <w:szCs w:val="24"/>
        </w:rPr>
        <w:t>总体规划（修编）环境影响补充报告》已取得生态环境部</w:t>
      </w:r>
      <w:r>
        <w:rPr>
          <w:rFonts w:ascii="SimSun" w:hAnsi="SimSun" w:eastAsia="SimSun" w:cs="SimSun"/>
          <w:sz w:val="24"/>
          <w:szCs w:val="24"/>
          <w:spacing w:val="-1"/>
        </w:rPr>
        <w:t>的正式回函（环评函【</w:t>
      </w:r>
      <w:r>
        <w:rPr>
          <w:rFonts w:ascii="Times New Roman" w:hAnsi="Times New Roman" w:eastAsia="Times New Roman" w:cs="Times New Roman"/>
          <w:sz w:val="24"/>
          <w:szCs w:val="24"/>
          <w:spacing w:val="-1"/>
        </w:rPr>
        <w:t>2025</w:t>
      </w:r>
      <w:r>
        <w:rPr>
          <w:rFonts w:ascii="SimSun" w:hAnsi="SimSun" w:eastAsia="SimSun" w:cs="SimSun"/>
          <w:sz w:val="24"/>
          <w:szCs w:val="24"/>
          <w:spacing w:val="-1"/>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111</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spacing w:val="-3"/>
        </w:rPr>
        <w:t>号</w:t>
      </w:r>
      <w:r>
        <w:rPr>
          <w:rFonts w:ascii="SimSun" w:hAnsi="SimSun" w:eastAsia="SimSun" w:cs="SimSun"/>
          <w:sz w:val="24"/>
          <w:szCs w:val="24"/>
          <w:spacing w:val="-58"/>
        </w:rPr>
        <w:t>），</w:t>
      </w:r>
      <w:r>
        <w:rPr>
          <w:rFonts w:ascii="SimSun" w:hAnsi="SimSun" w:eastAsia="SimSun" w:cs="SimSun"/>
          <w:sz w:val="24"/>
          <w:szCs w:val="24"/>
          <w:spacing w:val="-3"/>
        </w:rPr>
        <w:t>本项目与矿区总体规划环评补充报</w:t>
      </w:r>
      <w:r>
        <w:rPr>
          <w:rFonts w:ascii="SimSun" w:hAnsi="SimSun" w:eastAsia="SimSun" w:cs="SimSun"/>
          <w:sz w:val="24"/>
          <w:szCs w:val="24"/>
          <w:spacing w:val="-4"/>
        </w:rPr>
        <w:t>告的相符性分析见下表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10-2-3</w:t>
      </w:r>
      <w:r>
        <w:rPr>
          <w:rFonts w:ascii="SimSun" w:hAnsi="SimSun" w:eastAsia="SimSun" w:cs="SimSun"/>
          <w:sz w:val="24"/>
          <w:szCs w:val="24"/>
          <w:spacing w:val="-4"/>
        </w:rPr>
        <w:t>，由表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10-2-3</w:t>
      </w:r>
      <w:r>
        <w:rPr>
          <w:rFonts w:ascii="SimSun" w:hAnsi="SimSun" w:eastAsia="SimSun" w:cs="SimSun"/>
          <w:sz w:val="24"/>
          <w:szCs w:val="24"/>
          <w:spacing w:val="-2"/>
        </w:rPr>
        <w:t>可以看出，本次开采范围调整项目与《内蒙古自治区西乌珠穆沁旗白音华煤炭煤炭矿区</w:t>
      </w:r>
      <w:r>
        <w:rPr>
          <w:rFonts w:ascii="SimSun" w:hAnsi="SimSun" w:eastAsia="SimSun" w:cs="SimSun"/>
          <w:sz w:val="24"/>
          <w:szCs w:val="24"/>
          <w:spacing w:val="-1"/>
        </w:rPr>
        <w:t>总体规划（修编）环境影响补充报告》回函的各项基本要求基本相符。</w:t>
      </w:r>
    </w:p>
    <w:p>
      <w:pPr>
        <w:ind w:left="723"/>
        <w:spacing w:line="219" w:lineRule="auto"/>
        <w:rPr>
          <w:rFonts w:ascii="SimSun" w:hAnsi="SimSun" w:eastAsia="SimSun" w:cs="SimSun"/>
          <w:sz w:val="24"/>
          <w:szCs w:val="24"/>
        </w:rPr>
      </w:pPr>
      <w:r>
        <w:rPr>
          <w:rFonts w:ascii="SimSun" w:hAnsi="SimSun" w:eastAsia="SimSun" w:cs="SimSun"/>
          <w:sz w:val="24"/>
          <w:szCs w:val="24"/>
          <w:b/>
          <w:bCs/>
          <w:spacing w:val="-2"/>
        </w:rPr>
        <w:t>本项目与《内蒙古自治区西乌珠穆沁旗白音华煤炭矿区总体规划</w:t>
      </w:r>
      <w:r>
        <w:rPr>
          <w:rFonts w:ascii="SimSun" w:hAnsi="SimSun" w:eastAsia="SimSun" w:cs="SimSun"/>
          <w:sz w:val="24"/>
          <w:szCs w:val="24"/>
          <w:b/>
          <w:bCs/>
          <w:spacing w:val="-3"/>
        </w:rPr>
        <w:t>（修编）</w:t>
      </w:r>
    </w:p>
    <w:p>
      <w:pPr>
        <w:ind w:left="2529"/>
        <w:spacing w:before="154" w:line="218" w:lineRule="auto"/>
        <w:rPr>
          <w:rFonts w:ascii="SimSun" w:hAnsi="SimSun" w:eastAsia="SimSun" w:cs="SimSun"/>
          <w:sz w:val="24"/>
          <w:szCs w:val="24"/>
        </w:rPr>
      </w:pPr>
      <w:r>
        <w:rPr>
          <w:rFonts w:ascii="SimSun" w:hAnsi="SimSun" w:eastAsia="SimSun" w:cs="SimSun"/>
          <w:sz w:val="24"/>
          <w:szCs w:val="24"/>
          <w:b/>
          <w:bCs/>
          <w:spacing w:val="-3"/>
        </w:rPr>
        <w:t>环境影响报告书》审查意见符合性分析</w:t>
      </w:r>
    </w:p>
    <w:p>
      <w:pPr>
        <w:ind w:left="38"/>
        <w:spacing w:before="41" w:line="226" w:lineRule="auto"/>
        <w:rPr>
          <w:rFonts w:ascii="Times New Roman" w:hAnsi="Times New Roman" w:eastAsia="Times New Roman" w:cs="Times New Roman"/>
          <w:sz w:val="20"/>
          <w:szCs w:val="20"/>
        </w:rPr>
      </w:pPr>
      <w:r>
        <w:rPr>
          <w:rFonts w:ascii="SimSun" w:hAnsi="SimSun" w:eastAsia="SimSun" w:cs="SimSun"/>
          <w:sz w:val="20"/>
          <w:szCs w:val="20"/>
        </w:rPr>
        <w:t>表</w:t>
      </w:r>
      <w:r>
        <w:rPr>
          <w:rFonts w:ascii="SimSun" w:hAnsi="SimSun" w:eastAsia="SimSun" w:cs="SimSun"/>
          <w:sz w:val="20"/>
          <w:szCs w:val="20"/>
          <w:spacing w:val="-20"/>
        </w:rPr>
        <w:t xml:space="preserve"> </w:t>
      </w:r>
      <w:r>
        <w:rPr>
          <w:rFonts w:ascii="Times New Roman" w:hAnsi="Times New Roman" w:eastAsia="Times New Roman" w:cs="Times New Roman"/>
          <w:sz w:val="20"/>
          <w:szCs w:val="20"/>
        </w:rPr>
        <w:t>10-2-2</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91"/>
        <w:gridCol w:w="3430"/>
        <w:gridCol w:w="710"/>
      </w:tblGrid>
      <w:tr>
        <w:trPr>
          <w:trHeight w:val="762" w:hRule="atLeast"/>
        </w:trPr>
        <w:tc>
          <w:tcPr>
            <w:tcW w:w="4991" w:type="dxa"/>
            <w:vAlign w:val="top"/>
          </w:tcPr>
          <w:p>
            <w:pPr>
              <w:ind w:left="1881"/>
              <w:spacing w:before="273" w:line="228" w:lineRule="auto"/>
              <w:rPr>
                <w:rFonts w:ascii="SimSun" w:hAnsi="SimSun" w:eastAsia="SimSun" w:cs="SimSun"/>
                <w:sz w:val="20"/>
                <w:szCs w:val="20"/>
              </w:rPr>
            </w:pPr>
            <w:r>
              <w:rPr>
                <w:rFonts w:ascii="SimSun" w:hAnsi="SimSun" w:eastAsia="SimSun" w:cs="SimSun"/>
                <w:sz w:val="20"/>
                <w:szCs w:val="20"/>
                <w:spacing w:val="6"/>
              </w:rPr>
              <w:t>审查意见要求</w:t>
            </w:r>
          </w:p>
        </w:tc>
        <w:tc>
          <w:tcPr>
            <w:tcW w:w="3430" w:type="dxa"/>
            <w:vAlign w:val="top"/>
          </w:tcPr>
          <w:p>
            <w:pPr>
              <w:ind w:left="1408"/>
              <w:spacing w:before="273" w:line="227" w:lineRule="auto"/>
              <w:rPr>
                <w:rFonts w:ascii="SimSun" w:hAnsi="SimSun" w:eastAsia="SimSun" w:cs="SimSun"/>
                <w:sz w:val="20"/>
                <w:szCs w:val="20"/>
              </w:rPr>
            </w:pPr>
            <w:r>
              <w:rPr>
                <w:rFonts w:ascii="SimSun" w:hAnsi="SimSun" w:eastAsia="SimSun" w:cs="SimSun"/>
                <w:sz w:val="20"/>
                <w:szCs w:val="20"/>
                <w:spacing w:val="6"/>
              </w:rPr>
              <w:t>本项目</w:t>
            </w:r>
          </w:p>
        </w:tc>
        <w:tc>
          <w:tcPr>
            <w:tcW w:w="710" w:type="dxa"/>
            <w:vAlign w:val="top"/>
          </w:tcPr>
          <w:p>
            <w:pPr>
              <w:ind w:left="36"/>
              <w:spacing w:before="273" w:line="228" w:lineRule="auto"/>
              <w:rPr>
                <w:rFonts w:ascii="SimSun" w:hAnsi="SimSun" w:eastAsia="SimSun" w:cs="SimSun"/>
                <w:sz w:val="20"/>
                <w:szCs w:val="20"/>
              </w:rPr>
            </w:pPr>
            <w:r>
              <w:rPr>
                <w:rFonts w:ascii="SimSun" w:hAnsi="SimSun" w:eastAsia="SimSun" w:cs="SimSun"/>
                <w:sz w:val="20"/>
                <w:szCs w:val="20"/>
                <w:spacing w:val="6"/>
              </w:rPr>
              <w:t>符合性</w:t>
            </w:r>
          </w:p>
        </w:tc>
      </w:tr>
      <w:tr>
        <w:trPr>
          <w:trHeight w:val="5175" w:hRule="atLeast"/>
        </w:trPr>
        <w:tc>
          <w:tcPr>
            <w:tcW w:w="4991" w:type="dxa"/>
            <w:vAlign w:val="top"/>
          </w:tcPr>
          <w:p>
            <w:pPr>
              <w:pStyle w:val="TableText"/>
              <w:ind w:left="33" w:firstLine="1"/>
              <w:spacing w:before="33" w:line="251" w:lineRule="auto"/>
              <w:rPr>
                <w:rFonts w:ascii="SimSun" w:hAnsi="SimSun" w:eastAsia="SimSun" w:cs="SimSun"/>
              </w:rPr>
            </w:pPr>
            <w:r>
              <w:rPr>
                <w:rFonts w:ascii="SimSun" w:hAnsi="SimSun" w:eastAsia="SimSun" w:cs="SimSun"/>
                <w:spacing w:val="7"/>
              </w:rPr>
              <w:t>严格控制矿区开发强度，优化建设时序。主动对接内</w:t>
            </w:r>
            <w:r>
              <w:rPr>
                <w:rFonts w:ascii="SimSun" w:hAnsi="SimSun" w:eastAsia="SimSun" w:cs="SimSun"/>
                <w:spacing w:val="7"/>
              </w:rPr>
              <w:t>蒙古自治区国土空间规划，加强《规划》与生态环境</w:t>
            </w:r>
            <w:r>
              <w:rPr>
                <w:rFonts w:ascii="SimSun" w:hAnsi="SimSun" w:eastAsia="SimSun" w:cs="SimSun"/>
                <w:spacing w:val="7"/>
              </w:rPr>
              <w:t>分区管控方案、主体功能区规划、生态功能区划、内</w:t>
            </w:r>
            <w:r>
              <w:rPr>
                <w:rFonts w:ascii="SimSun" w:hAnsi="SimSun" w:eastAsia="SimSun" w:cs="SimSun"/>
                <w:spacing w:val="7"/>
              </w:rPr>
              <w:t>蒙古自治区</w:t>
            </w:r>
            <w:r>
              <w:rPr>
                <w:spacing w:val="7"/>
              </w:rPr>
              <w:t>“</w:t>
            </w:r>
            <w:r>
              <w:rPr>
                <w:rFonts w:ascii="SimSun" w:hAnsi="SimSun" w:eastAsia="SimSun" w:cs="SimSun"/>
                <w:spacing w:val="7"/>
              </w:rPr>
              <w:t>十四五</w:t>
            </w:r>
            <w:r>
              <w:rPr>
                <w:spacing w:val="7"/>
              </w:rPr>
              <w:t>”</w:t>
            </w:r>
            <w:r>
              <w:rPr>
                <w:rFonts w:ascii="SimSun" w:hAnsi="SimSun" w:eastAsia="SimSun" w:cs="SimSun"/>
                <w:spacing w:val="7"/>
              </w:rPr>
              <w:t>矿产资源总体规划及规划环评等</w:t>
            </w:r>
            <w:r>
              <w:rPr>
                <w:rFonts w:ascii="SimSun" w:hAnsi="SimSun" w:eastAsia="SimSun" w:cs="SimSun"/>
                <w:spacing w:val="2"/>
              </w:rPr>
              <w:t xml:space="preserve"> </w:t>
            </w:r>
            <w:r>
              <w:rPr>
                <w:rFonts w:ascii="SimSun" w:hAnsi="SimSun" w:eastAsia="SimSun" w:cs="SimSun"/>
                <w:spacing w:val="6"/>
              </w:rPr>
              <w:t>有关要求的协调衔接，确保符合相关管控和保护要求。</w:t>
            </w:r>
            <w:r>
              <w:rPr>
                <w:rFonts w:ascii="SimSun" w:hAnsi="SimSun" w:eastAsia="SimSun" w:cs="SimSun"/>
                <w:spacing w:val="7"/>
              </w:rPr>
              <w:t>对涉及的河流、铁路和公路等环境保护目标按照规范</w:t>
            </w:r>
            <w:r>
              <w:rPr>
                <w:rFonts w:ascii="SimSun" w:hAnsi="SimSun" w:eastAsia="SimSun" w:cs="SimSun"/>
                <w:spacing w:val="7"/>
              </w:rPr>
              <w:t>留设保护煤柱。严格落实在一号露天矿临近高力罕河</w:t>
            </w:r>
            <w:r>
              <w:rPr>
                <w:rFonts w:ascii="SimSun" w:hAnsi="SimSun" w:eastAsia="SimSun" w:cs="SimSun"/>
                <w:spacing w:val="7"/>
              </w:rPr>
              <w:t>区域实施禁采的要求，同意《报告书》提出的因不符</w:t>
            </w:r>
            <w:r>
              <w:rPr>
                <w:rFonts w:ascii="SimSun" w:hAnsi="SimSun" w:eastAsia="SimSun" w:cs="SimSun"/>
                <w:spacing w:val="7"/>
              </w:rPr>
              <w:t>合内蒙古自治区相关准入要求，暂缓开发新建一号、</w:t>
            </w:r>
          </w:p>
          <w:p>
            <w:pPr>
              <w:pStyle w:val="TableText"/>
              <w:ind w:left="34" w:right="25" w:firstLine="3"/>
              <w:spacing w:before="8" w:line="247" w:lineRule="auto"/>
              <w:rPr>
                <w:rFonts w:ascii="SimSun" w:hAnsi="SimSun" w:eastAsia="SimSun" w:cs="SimSun"/>
              </w:rPr>
            </w:pPr>
            <w:r>
              <w:rPr>
                <w:rFonts w:ascii="SimSun" w:hAnsi="SimSun" w:eastAsia="SimSun" w:cs="SimSun"/>
                <w:spacing w:val="7"/>
              </w:rPr>
              <w:t>二号、三号井田的建议。矿区规划井（矿）</w:t>
            </w:r>
            <w:r>
              <w:rPr>
                <w:rFonts w:ascii="SimSun" w:hAnsi="SimSun" w:eastAsia="SimSun" w:cs="SimSun"/>
                <w:spacing w:val="-45"/>
              </w:rPr>
              <w:t xml:space="preserve"> </w:t>
            </w:r>
            <w:r>
              <w:rPr>
                <w:rFonts w:ascii="SimSun" w:hAnsi="SimSun" w:eastAsia="SimSun" w:cs="SimSun"/>
                <w:spacing w:val="7"/>
              </w:rPr>
              <w:t>田涉及基</w:t>
            </w:r>
            <w:r>
              <w:rPr>
                <w:rFonts w:ascii="SimSun" w:hAnsi="SimSun" w:eastAsia="SimSun" w:cs="SimSun"/>
                <w:spacing w:val="9"/>
              </w:rPr>
              <w:t>本草原，应加强与草原保护的协调，按照《关于实行</w:t>
            </w:r>
            <w:r>
              <w:rPr>
                <w:rFonts w:ascii="SimSun" w:hAnsi="SimSun" w:eastAsia="SimSun" w:cs="SimSun"/>
                <w:spacing w:val="9"/>
              </w:rPr>
              <w:t>征占用草原林地分区用途管控的通知》</w:t>
            </w:r>
            <w:r>
              <w:rPr>
                <w:spacing w:val="9"/>
              </w:rPr>
              <w:t>(</w:t>
            </w:r>
            <w:r>
              <w:rPr>
                <w:rFonts w:ascii="SimSun" w:hAnsi="SimSun" w:eastAsia="SimSun" w:cs="SimSun"/>
                <w:spacing w:val="9"/>
              </w:rPr>
              <w:t>内林草草监发</w:t>
            </w:r>
            <w:r>
              <w:rPr>
                <w:rFonts w:ascii="SimSun" w:hAnsi="SimSun" w:eastAsia="SimSun" w:cs="SimSun"/>
                <w:spacing w:val="8"/>
              </w:rPr>
              <w:t>〔</w:t>
            </w:r>
            <w:r>
              <w:rPr>
                <w:spacing w:val="8"/>
              </w:rPr>
              <w:t>2021</w:t>
            </w:r>
            <w:r>
              <w:rPr>
                <w:rFonts w:ascii="SimSun" w:hAnsi="SimSun" w:eastAsia="SimSun" w:cs="SimSun"/>
                <w:spacing w:val="8"/>
              </w:rPr>
              <w:t>〕</w:t>
            </w:r>
            <w:r>
              <w:rPr>
                <w:spacing w:val="8"/>
              </w:rPr>
              <w:t>257 </w:t>
            </w:r>
            <w:r>
              <w:rPr>
                <w:rFonts w:ascii="SimSun" w:hAnsi="SimSun" w:eastAsia="SimSun" w:cs="SimSun"/>
                <w:spacing w:val="8"/>
              </w:rPr>
              <w:t>号</w:t>
            </w:r>
            <w:r>
              <w:rPr>
                <w:spacing w:val="8"/>
              </w:rPr>
              <w:t>)</w:t>
            </w:r>
            <w:r>
              <w:rPr>
                <w:rFonts w:ascii="SimSun" w:hAnsi="SimSun" w:eastAsia="SimSun" w:cs="SimSun"/>
                <w:spacing w:val="8"/>
              </w:rPr>
              <w:t>要求，位于东部区域生态保</w:t>
            </w:r>
            <w:r>
              <w:rPr>
                <w:rFonts w:ascii="SimSun" w:hAnsi="SimSun" w:eastAsia="SimSun" w:cs="SimSun"/>
                <w:spacing w:val="7"/>
              </w:rPr>
              <w:t>护红线外</w:t>
            </w:r>
            <w:r>
              <w:rPr>
                <w:rFonts w:ascii="SimSun" w:hAnsi="SimSun" w:eastAsia="SimSun" w:cs="SimSun"/>
                <w:spacing w:val="9"/>
              </w:rPr>
              <w:t>的基本草原区严禁新上矿产资源开发项目。项目实施</w:t>
            </w:r>
            <w:r>
              <w:rPr>
                <w:rFonts w:ascii="SimSun" w:hAnsi="SimSun" w:eastAsia="SimSun" w:cs="SimSun"/>
                <w:spacing w:val="7"/>
              </w:rPr>
              <w:t>应符合</w:t>
            </w:r>
            <w:r>
              <w:rPr>
                <w:rFonts w:ascii="SimSun" w:hAnsi="SimSun" w:eastAsia="SimSun" w:cs="SimSun"/>
                <w:spacing w:val="-32"/>
              </w:rPr>
              <w:t xml:space="preserve"> </w:t>
            </w:r>
            <w:r>
              <w:rPr>
                <w:rFonts w:ascii="SimSun" w:hAnsi="SimSun" w:eastAsia="SimSun" w:cs="SimSun"/>
                <w:spacing w:val="7"/>
              </w:rPr>
              <w:t>《内蒙古自治区煤炭管理条例》第九条</w:t>
            </w:r>
            <w:r>
              <w:rPr>
                <w:spacing w:val="7"/>
              </w:rPr>
              <w:t>“</w:t>
            </w:r>
            <w:r>
              <w:rPr>
                <w:rFonts w:ascii="SimSun" w:hAnsi="SimSun" w:eastAsia="SimSun" w:cs="SimSun"/>
                <w:spacing w:val="7"/>
              </w:rPr>
              <w:t>严格控</w:t>
            </w:r>
            <w:r>
              <w:rPr>
                <w:rFonts w:ascii="SimSun" w:hAnsi="SimSun" w:eastAsia="SimSun" w:cs="SimSun"/>
                <w:spacing w:val="9"/>
              </w:rPr>
              <w:t>制在生态保护红线外草原区规划建设新的煤炭开发项</w:t>
            </w:r>
            <w:r>
              <w:rPr>
                <w:rFonts w:ascii="SimSun" w:hAnsi="SimSun" w:eastAsia="SimSun" w:cs="SimSun"/>
                <w:spacing w:val="9"/>
              </w:rPr>
              <w:t>目、扩大露天开采区域，确有特殊需要的，由自治区</w:t>
            </w:r>
            <w:r>
              <w:rPr>
                <w:rFonts w:ascii="SimSun" w:hAnsi="SimSun" w:eastAsia="SimSun" w:cs="SimSun"/>
                <w:spacing w:val="9"/>
              </w:rPr>
              <w:t>人民政府依照国家和自治区有关规定审批</w:t>
            </w:r>
            <w:r>
              <w:rPr>
                <w:spacing w:val="9"/>
              </w:rPr>
              <w:t>”</w:t>
            </w:r>
            <w:r>
              <w:rPr>
                <w:rFonts w:ascii="SimSun" w:hAnsi="SimSun" w:eastAsia="SimSun" w:cs="SimSun"/>
                <w:spacing w:val="9"/>
              </w:rPr>
              <w:t>的规定，否</w:t>
            </w:r>
            <w:r>
              <w:rPr>
                <w:rFonts w:ascii="SimSun" w:hAnsi="SimSun" w:eastAsia="SimSun" w:cs="SimSun"/>
                <w:spacing w:val="6"/>
              </w:rPr>
              <w:t>则不得实施。</w:t>
            </w:r>
          </w:p>
        </w:tc>
        <w:tc>
          <w:tcPr>
            <w:tcW w:w="3430" w:type="dxa"/>
            <w:vAlign w:val="top"/>
          </w:tcPr>
          <w:p>
            <w:pPr>
              <w:spacing w:line="303" w:lineRule="auto"/>
              <w:rPr>
                <w:rFonts w:ascii="Arial"/>
                <w:sz w:val="21"/>
              </w:rPr>
            </w:pPr>
            <w:r/>
          </w:p>
          <w:p>
            <w:pPr>
              <w:spacing w:line="304" w:lineRule="auto"/>
              <w:rPr>
                <w:rFonts w:ascii="Arial"/>
                <w:sz w:val="21"/>
              </w:rPr>
            </w:pPr>
            <w:r/>
          </w:p>
          <w:p>
            <w:pPr>
              <w:spacing w:line="304" w:lineRule="auto"/>
              <w:rPr>
                <w:rFonts w:ascii="Arial"/>
                <w:sz w:val="21"/>
              </w:rPr>
            </w:pPr>
            <w:r/>
          </w:p>
          <w:p>
            <w:pPr>
              <w:pStyle w:val="TableText"/>
              <w:ind w:left="40" w:right="40" w:hanging="4"/>
              <w:spacing w:before="65" w:line="251" w:lineRule="auto"/>
              <w:rPr>
                <w:rFonts w:ascii="SimSun" w:hAnsi="SimSun" w:eastAsia="SimSun" w:cs="SimSun"/>
              </w:rPr>
            </w:pPr>
            <w:r>
              <w:rPr>
                <w:rFonts w:ascii="SimSun" w:hAnsi="SimSun" w:eastAsia="SimSun" w:cs="SimSun"/>
                <w:spacing w:val="9"/>
              </w:rPr>
              <w:t>本项目符合自治区国土空间规划，与</w:t>
            </w:r>
            <w:r>
              <w:rPr>
                <w:rFonts w:ascii="SimSun" w:hAnsi="SimSun" w:eastAsia="SimSun" w:cs="SimSun"/>
                <w:spacing w:val="9"/>
              </w:rPr>
              <w:t>区域生态环境分区管控方案、主体功</w:t>
            </w:r>
            <w:r>
              <w:rPr>
                <w:rFonts w:ascii="SimSun" w:hAnsi="SimSun" w:eastAsia="SimSun" w:cs="SimSun"/>
                <w:spacing w:val="6"/>
              </w:rPr>
              <w:t>能区规划、生态功能区划、</w:t>
            </w:r>
            <w:r>
              <w:rPr>
                <w:rFonts w:ascii="SimSun" w:hAnsi="SimSun" w:eastAsia="SimSun" w:cs="SimSun"/>
                <w:spacing w:val="-53"/>
              </w:rPr>
              <w:t xml:space="preserve"> </w:t>
            </w:r>
            <w:r>
              <w:rPr>
                <w:rFonts w:ascii="SimSun" w:hAnsi="SimSun" w:eastAsia="SimSun" w:cs="SimSun"/>
                <w:spacing w:val="6"/>
              </w:rPr>
              <w:t>内蒙古自</w:t>
            </w:r>
            <w:r>
              <w:rPr>
                <w:rFonts w:ascii="SimSun" w:hAnsi="SimSun" w:eastAsia="SimSun" w:cs="SimSun"/>
                <w:spacing w:val="8"/>
              </w:rPr>
              <w:t>治区</w:t>
            </w:r>
            <w:r>
              <w:rPr>
                <w:spacing w:val="8"/>
              </w:rPr>
              <w:t>“</w:t>
            </w:r>
            <w:r>
              <w:rPr>
                <w:rFonts w:ascii="SimSun" w:hAnsi="SimSun" w:eastAsia="SimSun" w:cs="SimSun"/>
                <w:spacing w:val="8"/>
              </w:rPr>
              <w:t>十四五</w:t>
            </w:r>
            <w:r>
              <w:rPr>
                <w:spacing w:val="8"/>
              </w:rPr>
              <w:t>”</w:t>
            </w:r>
            <w:r>
              <w:rPr>
                <w:rFonts w:ascii="SimSun" w:hAnsi="SimSun" w:eastAsia="SimSun" w:cs="SimSun"/>
                <w:spacing w:val="8"/>
              </w:rPr>
              <w:t>矿产资源总体规划相</w:t>
            </w:r>
          </w:p>
          <w:p>
            <w:pPr>
              <w:pStyle w:val="TableText"/>
              <w:ind w:left="34" w:right="27" w:firstLine="2"/>
              <w:spacing w:before="4" w:line="251" w:lineRule="auto"/>
              <w:rPr>
                <w:rFonts w:ascii="SimSun" w:hAnsi="SimSun" w:eastAsia="SimSun" w:cs="SimSun"/>
              </w:rPr>
            </w:pPr>
            <w:r>
              <w:rPr>
                <w:rFonts w:ascii="SimSun" w:hAnsi="SimSun" w:eastAsia="SimSun" w:cs="SimSun"/>
                <w:spacing w:val="6"/>
              </w:rPr>
              <w:t>符。</w:t>
            </w:r>
            <w:r>
              <w:rPr>
                <w:rFonts w:ascii="SimSun" w:hAnsi="SimSun" w:eastAsia="SimSun" w:cs="SimSun"/>
                <w:spacing w:val="-50"/>
              </w:rPr>
              <w:t xml:space="preserve"> </w:t>
            </w:r>
            <w:r>
              <w:rPr>
                <w:rFonts w:ascii="SimSun" w:hAnsi="SimSun" w:eastAsia="SimSun" w:cs="SimSun"/>
                <w:spacing w:val="6"/>
              </w:rPr>
              <w:t>白音华四号露天矿为矿区内现有</w:t>
            </w:r>
            <w:r>
              <w:rPr>
                <w:rFonts w:ascii="SimSun" w:hAnsi="SimSun" w:eastAsia="SimSun" w:cs="SimSun"/>
                <w:spacing w:val="9"/>
              </w:rPr>
              <w:t>的生产煤矿，不属于总规审查意见要</w:t>
            </w:r>
            <w:r>
              <w:rPr>
                <w:rFonts w:ascii="SimSun" w:hAnsi="SimSun" w:eastAsia="SimSun" w:cs="SimSun"/>
                <w:spacing w:val="9"/>
              </w:rPr>
              <w:t>求暂缓实施的矿井，矿田范围内不涉</w:t>
            </w:r>
            <w:r>
              <w:rPr>
                <w:rFonts w:ascii="SimSun" w:hAnsi="SimSun" w:eastAsia="SimSun" w:cs="SimSun"/>
                <w:spacing w:val="9"/>
              </w:rPr>
              <w:t>及基本草原，与自治区有关草原保护</w:t>
            </w:r>
            <w:r>
              <w:rPr>
                <w:rFonts w:ascii="SimSun" w:hAnsi="SimSun" w:eastAsia="SimSun" w:cs="SimSun"/>
                <w:spacing w:val="9"/>
              </w:rPr>
              <w:t>的相关政策要求相符。针对采区调整</w:t>
            </w:r>
            <w:r>
              <w:rPr>
                <w:rFonts w:ascii="SimSun" w:hAnsi="SimSun" w:eastAsia="SimSun" w:cs="SimSun"/>
                <w:spacing w:val="9"/>
              </w:rPr>
              <w:t>后，涉及彦吉嘎河的区域，本次环评</w:t>
            </w:r>
            <w:r>
              <w:rPr>
                <w:rFonts w:ascii="SimSun" w:hAnsi="SimSun" w:eastAsia="SimSun" w:cs="SimSun"/>
                <w:spacing w:val="3"/>
              </w:rPr>
              <w:t>已要求留设</w:t>
            </w:r>
            <w:r>
              <w:rPr>
                <w:rFonts w:ascii="SimSun" w:hAnsi="SimSun" w:eastAsia="SimSun" w:cs="SimSun"/>
                <w:spacing w:val="-24"/>
              </w:rPr>
              <w:t xml:space="preserve"> </w:t>
            </w:r>
            <w:r>
              <w:rPr>
                <w:spacing w:val="3"/>
              </w:rPr>
              <w:t>80m</w:t>
            </w:r>
            <w:r>
              <w:rPr>
                <w:spacing w:val="28"/>
                <w:w w:val="101"/>
              </w:rPr>
              <w:t xml:space="preserve"> </w:t>
            </w:r>
            <w:r>
              <w:rPr>
                <w:rFonts w:ascii="SimSun" w:hAnsi="SimSun" w:eastAsia="SimSun" w:cs="SimSun"/>
                <w:spacing w:val="3"/>
              </w:rPr>
              <w:t>的禁采区，确保河流</w:t>
            </w:r>
            <w:r>
              <w:rPr>
                <w:rFonts w:ascii="SimSun" w:hAnsi="SimSun" w:eastAsia="SimSun" w:cs="SimSun"/>
                <w:spacing w:val="7"/>
              </w:rPr>
              <w:t>不受露天开采影响。</w:t>
            </w:r>
          </w:p>
        </w:tc>
        <w:tc>
          <w:tcPr>
            <w:tcW w:w="710" w:type="dxa"/>
            <w:vAlign w:val="top"/>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825" w:hRule="atLeast"/>
        </w:trPr>
        <w:tc>
          <w:tcPr>
            <w:tcW w:w="4991" w:type="dxa"/>
            <w:vAlign w:val="top"/>
          </w:tcPr>
          <w:p>
            <w:pPr>
              <w:ind w:left="39" w:right="22" w:hanging="4"/>
              <w:spacing w:before="35"/>
              <w:jc w:val="both"/>
              <w:rPr>
                <w:rFonts w:ascii="SimSun" w:hAnsi="SimSun" w:eastAsia="SimSun" w:cs="SimSun"/>
                <w:sz w:val="20"/>
                <w:szCs w:val="20"/>
              </w:rPr>
            </w:pPr>
            <w:r>
              <w:rPr>
                <w:rFonts w:ascii="SimSun" w:hAnsi="SimSun" w:eastAsia="SimSun" w:cs="SimSun"/>
                <w:sz w:val="20"/>
                <w:szCs w:val="20"/>
                <w:spacing w:val="14"/>
              </w:rPr>
              <w:t>严格生态环境准入。全面落实各项资源环境要求，矿</w:t>
            </w:r>
            <w:r>
              <w:rPr>
                <w:rFonts w:ascii="SimSun" w:hAnsi="SimSun" w:eastAsia="SimSun" w:cs="SimSun"/>
                <w:sz w:val="20"/>
                <w:szCs w:val="20"/>
                <w:spacing w:val="14"/>
              </w:rPr>
              <w:t>区煤炭开采污染物排放以及生产用水、能效、物耗达</w:t>
            </w:r>
            <w:r>
              <w:rPr>
                <w:rFonts w:ascii="SimSun" w:hAnsi="SimSun" w:eastAsia="SimSun" w:cs="SimSun"/>
                <w:sz w:val="20"/>
                <w:szCs w:val="20"/>
                <w:spacing w:val="14"/>
              </w:rPr>
              <w:t>到清洁生产一级指标疏干水和矿井水经处理后应最大</w:t>
            </w:r>
          </w:p>
        </w:tc>
        <w:tc>
          <w:tcPr>
            <w:tcW w:w="3430" w:type="dxa"/>
            <w:vAlign w:val="top"/>
          </w:tcPr>
          <w:p>
            <w:pPr>
              <w:ind w:left="36" w:right="40"/>
              <w:spacing w:before="35"/>
              <w:jc w:val="both"/>
              <w:rPr>
                <w:rFonts w:ascii="SimSun" w:hAnsi="SimSun" w:eastAsia="SimSun" w:cs="SimSun"/>
                <w:sz w:val="20"/>
                <w:szCs w:val="20"/>
              </w:rPr>
            </w:pPr>
            <w:r>
              <w:rPr>
                <w:rFonts w:ascii="SimSun" w:hAnsi="SimSun" w:eastAsia="SimSun" w:cs="SimSun"/>
                <w:sz w:val="20"/>
                <w:szCs w:val="20"/>
                <w:spacing w:val="9"/>
              </w:rPr>
              <w:t>本项目的污染物排放、生产用水等指</w:t>
            </w:r>
            <w:r>
              <w:rPr>
                <w:rFonts w:ascii="SimSun" w:hAnsi="SimSun" w:eastAsia="SimSun" w:cs="SimSun"/>
                <w:sz w:val="20"/>
                <w:szCs w:val="20"/>
                <w:spacing w:val="9"/>
              </w:rPr>
              <w:t>标能否达到清洁生产一级指标，污废</w:t>
            </w:r>
            <w:r>
              <w:rPr>
                <w:rFonts w:ascii="SimSun" w:hAnsi="SimSun" w:eastAsia="SimSun" w:cs="SimSun"/>
                <w:sz w:val="20"/>
                <w:szCs w:val="20"/>
                <w:spacing w:val="8"/>
              </w:rPr>
              <w:t>水经处理后全部回用不外排。</w:t>
            </w:r>
          </w:p>
        </w:tc>
        <w:tc>
          <w:tcPr>
            <w:tcW w:w="710" w:type="dxa"/>
            <w:vAlign w:val="top"/>
          </w:tcPr>
          <w:p>
            <w:pPr>
              <w:ind w:left="151"/>
              <w:spacing w:before="304"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spacing w:line="73" w:lineRule="exact"/>
        <w:rPr>
          <w:sz w:val="6"/>
        </w:rPr>
      </w:pPr>
      <w:r/>
    </w:p>
    <w:p>
      <w:pPr>
        <w:spacing w:line="73" w:lineRule="exact"/>
        <w:sectPr>
          <w:headerReference w:type="default" r:id="rId556"/>
          <w:footerReference w:type="default" r:id="rId557"/>
          <w:pgSz w:w="11906" w:h="16838"/>
          <w:pgMar w:top="1170" w:right="1371" w:bottom="1080" w:left="1384" w:header="837" w:footer="918" w:gutter="0"/>
        </w:sectPr>
        <w:rPr>
          <w:sz w:val="6"/>
          <w:szCs w:val="6"/>
        </w:rPr>
      </w:pPr>
    </w:p>
    <w:p>
      <w:pPr>
        <w:spacing w:before="6"/>
        <w:rPr/>
      </w:pPr>
      <w:r/>
    </w:p>
    <w:tbl>
      <w:tblPr>
        <w:tblStyle w:val="TableNormal"/>
        <w:tblW w:w="9131" w:type="dxa"/>
        <w:tblInd w:w="8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4991"/>
        <w:gridCol w:w="3430"/>
        <w:gridCol w:w="710"/>
      </w:tblGrid>
      <w:tr>
        <w:trPr>
          <w:trHeight w:val="3821" w:hRule="atLeast"/>
        </w:trPr>
        <w:tc>
          <w:tcPr>
            <w:tcW w:w="4991" w:type="dxa"/>
            <w:vAlign w:val="top"/>
          </w:tcPr>
          <w:p>
            <w:pPr>
              <w:pStyle w:val="TableText"/>
              <w:ind w:left="33" w:firstLine="15"/>
              <w:spacing w:before="34" w:line="249" w:lineRule="auto"/>
              <w:rPr>
                <w:rFonts w:ascii="SimSun" w:hAnsi="SimSun" w:eastAsia="SimSun" w:cs="SimSun"/>
              </w:rPr>
            </w:pPr>
            <w:r>
              <w:rPr>
                <w:rFonts w:ascii="SimSun" w:hAnsi="SimSun" w:eastAsia="SimSun" w:cs="SimSun"/>
                <w:spacing w:val="12"/>
              </w:rPr>
              <w:t>限度回用，减少新鲜取水量，提高水资源利用效率。</w:t>
            </w:r>
            <w:r>
              <w:rPr>
                <w:rFonts w:ascii="SimSun" w:hAnsi="SimSun" w:eastAsia="SimSun" w:cs="SimSun"/>
                <w:spacing w:val="12"/>
              </w:rPr>
              <w:t>因地制宜选择合理的煤矸石综合利用方式，实现生产</w:t>
            </w:r>
            <w:r>
              <w:rPr>
                <w:rFonts w:ascii="SimSun" w:hAnsi="SimSun" w:eastAsia="SimSun" w:cs="SimSun"/>
                <w:spacing w:val="12"/>
              </w:rPr>
              <w:t>掘进矸石不升井，洗选矸石优先进行井下充填、回填</w:t>
            </w:r>
            <w:r>
              <w:rPr>
                <w:rFonts w:ascii="SimSun" w:hAnsi="SimSun" w:eastAsia="SimSun" w:cs="SimSun"/>
                <w:spacing w:val="6"/>
              </w:rPr>
              <w:t>露天矿采坑等、确保煤矸石综合利用率符合相关规定。</w:t>
            </w:r>
            <w:r>
              <w:rPr>
                <w:rFonts w:ascii="SimSun" w:hAnsi="SimSun" w:eastAsia="SimSun" w:cs="SimSun"/>
                <w:spacing w:val="12"/>
              </w:rPr>
              <w:t>加强矿区煤炭开采及煤炭、矸石等贮存、转载、装卸</w:t>
            </w:r>
            <w:r>
              <w:rPr>
                <w:rFonts w:ascii="SimSun" w:hAnsi="SimSun" w:eastAsia="SimSun" w:cs="SimSun"/>
                <w:spacing w:val="12"/>
              </w:rPr>
              <w:t>的扬尘污染防治，确保符合区域大气环境质量改善要</w:t>
            </w:r>
            <w:r>
              <w:rPr>
                <w:rFonts w:ascii="SimSun" w:hAnsi="SimSun" w:eastAsia="SimSun" w:cs="SimSun"/>
                <w:spacing w:val="12"/>
              </w:rPr>
              <w:t>求。加快推进现有堆存矸石的综合利用，做好利用规</w:t>
            </w:r>
            <w:r>
              <w:rPr>
                <w:rFonts w:ascii="SimSun" w:hAnsi="SimSun" w:eastAsia="SimSun" w:cs="SimSun"/>
                <w:spacing w:val="12"/>
              </w:rPr>
              <w:t>划和设计，避免印发二次破坏和环境污染。加强矿井</w:t>
            </w:r>
            <w:r>
              <w:rPr>
                <w:rFonts w:ascii="SimSun" w:hAnsi="SimSun" w:eastAsia="SimSun" w:cs="SimSun"/>
                <w:spacing w:val="12"/>
              </w:rPr>
              <w:t>乏风余热利用，实施煤矿瓦斯监测、抽采及利用，按</w:t>
            </w:r>
            <w:r>
              <w:rPr>
                <w:rFonts w:ascii="SimSun" w:hAnsi="SimSun" w:eastAsia="SimSun" w:cs="SimSun"/>
                <w:spacing w:val="12"/>
              </w:rPr>
              <w:t>照相关要求管控温室气体排放。矿区开发应优先选用</w:t>
            </w:r>
            <w:r>
              <w:rPr>
                <w:rFonts w:ascii="SimSun" w:hAnsi="SimSun" w:eastAsia="SimSun" w:cs="SimSun"/>
                <w:spacing w:val="12"/>
              </w:rPr>
              <w:t>新能源机械，提高矿区绿色工艺水平，加大铁路等清</w:t>
            </w:r>
            <w:r>
              <w:rPr>
                <w:rFonts w:ascii="SimSun" w:hAnsi="SimSun" w:eastAsia="SimSun" w:cs="SimSun"/>
                <w:spacing w:val="12"/>
              </w:rPr>
              <w:t>洁运输比例，进一步提高铁路运输、全封闭皮带运输</w:t>
            </w:r>
            <w:r>
              <w:rPr>
                <w:rFonts w:ascii="SimSun" w:hAnsi="SimSun" w:eastAsia="SimSun" w:cs="SimSun"/>
                <w:spacing w:val="6"/>
              </w:rPr>
              <w:t>等清洁运输方式比例，矿区总体清洁运输比例在</w:t>
            </w:r>
            <w:r>
              <w:rPr>
                <w:rFonts w:ascii="SimSun" w:hAnsi="SimSun" w:eastAsia="SimSun" w:cs="SimSun"/>
                <w:spacing w:val="-23"/>
              </w:rPr>
              <w:t xml:space="preserve"> </w:t>
            </w:r>
            <w:r>
              <w:rPr>
                <w:spacing w:val="6"/>
              </w:rPr>
              <w:t>2025</w:t>
            </w:r>
            <w:r>
              <w:rPr>
                <w:rFonts w:ascii="SimSun" w:hAnsi="SimSun" w:eastAsia="SimSun" w:cs="SimSun"/>
                <w:spacing w:val="3"/>
              </w:rPr>
              <w:t>年达到</w:t>
            </w:r>
            <w:r>
              <w:rPr>
                <w:rFonts w:ascii="SimSun" w:hAnsi="SimSun" w:eastAsia="SimSun" w:cs="SimSun"/>
                <w:spacing w:val="-37"/>
              </w:rPr>
              <w:t xml:space="preserve"> </w:t>
            </w:r>
            <w:r>
              <w:rPr>
                <w:spacing w:val="3"/>
              </w:rPr>
              <w:t>70%</w:t>
            </w:r>
            <w:r>
              <w:rPr>
                <w:rFonts w:ascii="SimSun" w:hAnsi="SimSun" w:eastAsia="SimSun" w:cs="SimSun"/>
                <w:spacing w:val="3"/>
              </w:rPr>
              <w:t>。</w:t>
            </w:r>
          </w:p>
        </w:tc>
        <w:tc>
          <w:tcPr>
            <w:tcW w:w="3430" w:type="dxa"/>
            <w:vAlign w:val="top"/>
          </w:tcPr>
          <w:p>
            <w:pPr>
              <w:pStyle w:val="TableText"/>
              <w:ind w:left="35" w:right="25"/>
              <w:spacing w:before="37" w:line="251" w:lineRule="auto"/>
              <w:jc w:val="both"/>
              <w:rPr>
                <w:rFonts w:ascii="SimSun" w:hAnsi="SimSun" w:eastAsia="SimSun" w:cs="SimSun"/>
              </w:rPr>
            </w:pPr>
            <w:r>
              <w:rPr>
                <w:rFonts w:ascii="SimSun" w:hAnsi="SimSun" w:eastAsia="SimSun" w:cs="SimSun"/>
                <w:spacing w:val="9"/>
              </w:rPr>
              <w:t>本项目露天开采不涉及煤矸石。煤炭</w:t>
            </w:r>
            <w:r>
              <w:rPr>
                <w:rFonts w:ascii="SimSun" w:hAnsi="SimSun" w:eastAsia="SimSun" w:cs="SimSun"/>
                <w:spacing w:val="9"/>
              </w:rPr>
              <w:t>转运采用封闭式栈桥送往铁路装车站</w:t>
            </w:r>
            <w:r>
              <w:rPr>
                <w:rFonts w:ascii="SimSun" w:hAnsi="SimSun" w:eastAsia="SimSun" w:cs="SimSun"/>
                <w:spacing w:val="9"/>
              </w:rPr>
              <w:t>直接进行铁路外运，清洁运输比例大</w:t>
            </w:r>
            <w:r>
              <w:rPr>
                <w:rFonts w:ascii="SimSun" w:hAnsi="SimSun" w:eastAsia="SimSun" w:cs="SimSun"/>
                <w:spacing w:val="6"/>
              </w:rPr>
              <w:t>于</w:t>
            </w:r>
            <w:r>
              <w:rPr>
                <w:rFonts w:ascii="SimSun" w:hAnsi="SimSun" w:eastAsia="SimSun" w:cs="SimSun"/>
                <w:spacing w:val="-36"/>
              </w:rPr>
              <w:t xml:space="preserve"> </w:t>
            </w:r>
            <w:r>
              <w:rPr>
                <w:spacing w:val="6"/>
              </w:rPr>
              <w:t>70%</w:t>
            </w:r>
            <w:r>
              <w:rPr>
                <w:spacing w:val="-20"/>
              </w:rPr>
              <w:t xml:space="preserve"> </w:t>
            </w:r>
            <w:r>
              <w:rPr>
                <w:rFonts w:ascii="SimSun" w:hAnsi="SimSun" w:eastAsia="SimSun" w:cs="SimSun"/>
                <w:spacing w:val="6"/>
              </w:rPr>
              <w:t>。露天区少量煤矸石和剥离物</w:t>
            </w:r>
            <w:r>
              <w:rPr>
                <w:rFonts w:ascii="SimSun" w:hAnsi="SimSun" w:eastAsia="SimSun" w:cs="SimSun"/>
                <w:spacing w:val="9"/>
              </w:rPr>
              <w:t>一起运往内排土场进行回填采矿，原</w:t>
            </w:r>
            <w:r>
              <w:rPr>
                <w:rFonts w:ascii="SimSun" w:hAnsi="SimSun" w:eastAsia="SimSun" w:cs="SimSun"/>
                <w:spacing w:val="9"/>
              </w:rPr>
              <w:t>煤在坑下破碎后采用封闭式输煤栈桥</w:t>
            </w:r>
            <w:r>
              <w:rPr>
                <w:rFonts w:ascii="SimSun" w:hAnsi="SimSun" w:eastAsia="SimSun" w:cs="SimSun"/>
                <w:spacing w:val="9"/>
              </w:rPr>
              <w:t>运至地面生产系统，本项目清洁运输</w:t>
            </w:r>
            <w:r>
              <w:rPr>
                <w:rFonts w:ascii="SimSun" w:hAnsi="SimSun" w:eastAsia="SimSun" w:cs="SimSun"/>
                <w:spacing w:val="2"/>
              </w:rPr>
              <w:t>比例为</w:t>
            </w:r>
            <w:r>
              <w:rPr>
                <w:rFonts w:ascii="SimSun" w:hAnsi="SimSun" w:eastAsia="SimSun" w:cs="SimSun"/>
                <w:spacing w:val="-20"/>
              </w:rPr>
              <w:t xml:space="preserve"> </w:t>
            </w:r>
            <w:r>
              <w:rPr>
                <w:spacing w:val="2"/>
              </w:rPr>
              <w:t>100%</w:t>
            </w:r>
            <w:r>
              <w:rPr>
                <w:rFonts w:ascii="SimSun" w:hAnsi="SimSun" w:eastAsia="SimSun" w:cs="SimSun"/>
                <w:spacing w:val="2"/>
              </w:rPr>
              <w:t>。</w:t>
            </w:r>
          </w:p>
          <w:p>
            <w:pPr>
              <w:ind w:left="34" w:right="40" w:firstLine="20"/>
              <w:spacing w:before="1" w:line="253" w:lineRule="auto"/>
              <w:jc w:val="both"/>
              <w:rPr>
                <w:rFonts w:ascii="SimSun" w:hAnsi="SimSun" w:eastAsia="SimSun" w:cs="SimSun"/>
                <w:sz w:val="20"/>
                <w:szCs w:val="20"/>
              </w:rPr>
            </w:pPr>
            <w:r>
              <w:rPr>
                <w:rFonts w:ascii="SimSun" w:hAnsi="SimSun" w:eastAsia="SimSun" w:cs="SimSun"/>
                <w:sz w:val="20"/>
                <w:szCs w:val="20"/>
                <w:spacing w:val="8"/>
              </w:rPr>
              <w:t>四号露天矿设瓦斯抽放站，对矿井开</w:t>
            </w:r>
            <w:r>
              <w:rPr>
                <w:rFonts w:ascii="SimSun" w:hAnsi="SimSun" w:eastAsia="SimSun" w:cs="SimSun"/>
                <w:sz w:val="20"/>
                <w:szCs w:val="20"/>
                <w:spacing w:val="8"/>
              </w:rPr>
              <w:t>采过程中产生的瓦斯进行抽采。</w:t>
            </w:r>
          </w:p>
        </w:tc>
        <w:tc>
          <w:tcPr>
            <w:tcW w:w="710" w:type="dxa"/>
            <w:vAlign w:val="top"/>
          </w:tcPr>
          <w:p>
            <w:pPr>
              <w:rPr>
                <w:rFonts w:ascii="Arial"/>
                <w:sz w:val="21"/>
              </w:rPr>
            </w:pPr>
            <w:r/>
          </w:p>
        </w:tc>
      </w:tr>
      <w:tr>
        <w:trPr>
          <w:trHeight w:val="1911" w:hRule="atLeast"/>
        </w:trPr>
        <w:tc>
          <w:tcPr>
            <w:tcW w:w="4991" w:type="dxa"/>
            <w:vAlign w:val="top"/>
          </w:tcPr>
          <w:p>
            <w:pPr>
              <w:ind w:left="33" w:right="130"/>
              <w:spacing w:before="27" w:line="247" w:lineRule="auto"/>
              <w:jc w:val="both"/>
              <w:rPr>
                <w:rFonts w:ascii="SimSun" w:hAnsi="SimSun" w:eastAsia="SimSun" w:cs="SimSun"/>
                <w:sz w:val="20"/>
                <w:szCs w:val="20"/>
              </w:rPr>
            </w:pPr>
            <w:r>
              <w:rPr>
                <w:rFonts w:ascii="SimSun" w:hAnsi="SimSun" w:eastAsia="SimSun" w:cs="SimSun"/>
                <w:sz w:val="20"/>
                <w:szCs w:val="20"/>
                <w:spacing w:val="9"/>
              </w:rPr>
              <w:t>加强生态修复设计，强化区域生态修复。严格控制矿</w:t>
            </w:r>
            <w:r>
              <w:rPr>
                <w:rFonts w:ascii="SimSun" w:hAnsi="SimSun" w:eastAsia="SimSun" w:cs="SimSun"/>
                <w:sz w:val="20"/>
                <w:szCs w:val="20"/>
                <w:spacing w:val="9"/>
              </w:rPr>
              <w:t>区开发扰动范围，加大环境治理和生态修复力度，切</w:t>
            </w:r>
            <w:r>
              <w:rPr>
                <w:rFonts w:ascii="SimSun" w:hAnsi="SimSun" w:eastAsia="SimSun" w:cs="SimSun"/>
                <w:sz w:val="20"/>
                <w:szCs w:val="20"/>
                <w:spacing w:val="9"/>
              </w:rPr>
              <w:t>实预防或者减轻规划实施导致的生态环境影响，保障</w:t>
            </w:r>
            <w:r>
              <w:rPr>
                <w:rFonts w:ascii="SimSun" w:hAnsi="SimSun" w:eastAsia="SimSun" w:cs="SimSun"/>
                <w:sz w:val="20"/>
                <w:szCs w:val="20"/>
                <w:spacing w:val="9"/>
              </w:rPr>
              <w:t>区域生态功能。进一步优化露天矿开采剥离物内排计</w:t>
            </w:r>
            <w:r>
              <w:rPr>
                <w:rFonts w:ascii="SimSun" w:hAnsi="SimSun" w:eastAsia="SimSun" w:cs="SimSun"/>
                <w:sz w:val="20"/>
                <w:szCs w:val="20"/>
                <w:spacing w:val="9"/>
              </w:rPr>
              <w:t>划，尽早实现内排。生态修复应坚持因地制宜原则，</w:t>
            </w:r>
            <w:r>
              <w:rPr>
                <w:rFonts w:ascii="SimSun" w:hAnsi="SimSun" w:eastAsia="SimSun" w:cs="SimSun"/>
                <w:sz w:val="20"/>
                <w:szCs w:val="20"/>
                <w:spacing w:val="9"/>
              </w:rPr>
              <w:t>重建与周边生态环境相协调的植物群落，保护和恢复</w:t>
            </w:r>
            <w:r>
              <w:rPr>
                <w:rFonts w:ascii="SimSun" w:hAnsi="SimSun" w:eastAsia="SimSun" w:cs="SimSun"/>
                <w:sz w:val="20"/>
                <w:szCs w:val="20"/>
                <w:spacing w:val="9"/>
              </w:rPr>
              <w:t>生物多样性，最终形成可自然维持的生态系统。</w:t>
            </w:r>
          </w:p>
        </w:tc>
        <w:tc>
          <w:tcPr>
            <w:tcW w:w="3430" w:type="dxa"/>
            <w:vAlign w:val="top"/>
          </w:tcPr>
          <w:p>
            <w:pPr>
              <w:ind w:left="34" w:firstLine="1"/>
              <w:spacing w:before="27" w:line="247" w:lineRule="auto"/>
              <w:jc w:val="both"/>
              <w:rPr>
                <w:rFonts w:ascii="SimSun" w:hAnsi="SimSun" w:eastAsia="SimSun" w:cs="SimSun"/>
                <w:sz w:val="20"/>
                <w:szCs w:val="20"/>
              </w:rPr>
            </w:pPr>
            <w:r>
              <w:rPr>
                <w:rFonts w:ascii="SimSun" w:hAnsi="SimSun" w:eastAsia="SimSun" w:cs="SimSun"/>
                <w:sz w:val="20"/>
                <w:szCs w:val="20"/>
                <w:spacing w:val="7"/>
              </w:rPr>
              <w:t>本次环评对煤炭开采造成的生态环境</w:t>
            </w:r>
            <w:r>
              <w:rPr>
                <w:rFonts w:ascii="SimSun" w:hAnsi="SimSun" w:eastAsia="SimSun" w:cs="SimSun"/>
                <w:sz w:val="20"/>
                <w:szCs w:val="20"/>
                <w:spacing w:val="7"/>
              </w:rPr>
              <w:t>影响提出了相关的恢复治理要求，通</w:t>
            </w:r>
            <w:r>
              <w:rPr>
                <w:rFonts w:ascii="SimSun" w:hAnsi="SimSun" w:eastAsia="SimSun" w:cs="SimSun"/>
                <w:sz w:val="20"/>
                <w:szCs w:val="20"/>
                <w:spacing w:val="-1"/>
              </w:rPr>
              <w:t>过土地复垦、栽树种草等措施的实施，</w:t>
            </w:r>
            <w:r>
              <w:rPr>
                <w:rFonts w:ascii="SimSun" w:hAnsi="SimSun" w:eastAsia="SimSun" w:cs="SimSun"/>
                <w:sz w:val="20"/>
                <w:szCs w:val="20"/>
                <w:spacing w:val="7"/>
              </w:rPr>
              <w:t>可大大改善矿区的地表生态环境，营</w:t>
            </w:r>
            <w:r>
              <w:rPr>
                <w:rFonts w:ascii="SimSun" w:hAnsi="SimSun" w:eastAsia="SimSun" w:cs="SimSun"/>
                <w:sz w:val="20"/>
                <w:szCs w:val="20"/>
                <w:spacing w:val="4"/>
              </w:rPr>
              <w:t>造与周围协调一致的生态景观，</w:t>
            </w:r>
            <w:r>
              <w:rPr>
                <w:rFonts w:ascii="SimSun" w:hAnsi="SimSun" w:eastAsia="SimSun" w:cs="SimSun"/>
                <w:sz w:val="20"/>
                <w:szCs w:val="20"/>
                <w:spacing w:val="-43"/>
              </w:rPr>
              <w:t xml:space="preserve"> </w:t>
            </w:r>
            <w:r>
              <w:rPr>
                <w:rFonts w:ascii="SimSun" w:hAnsi="SimSun" w:eastAsia="SimSun" w:cs="SimSun"/>
                <w:sz w:val="20"/>
                <w:szCs w:val="20"/>
                <w:spacing w:val="4"/>
              </w:rPr>
              <w:t>目前</w:t>
            </w:r>
            <w:r>
              <w:rPr>
                <w:rFonts w:ascii="SimSun" w:hAnsi="SimSun" w:eastAsia="SimSun" w:cs="SimSun"/>
                <w:sz w:val="20"/>
                <w:szCs w:val="20"/>
                <w:spacing w:val="7"/>
              </w:rPr>
              <w:t>外排土场已进行生态修复，改建工程</w:t>
            </w:r>
            <w:r>
              <w:rPr>
                <w:rFonts w:ascii="SimSun" w:hAnsi="SimSun" w:eastAsia="SimSun" w:cs="SimSun"/>
                <w:sz w:val="20"/>
                <w:szCs w:val="20"/>
                <w:spacing w:val="7"/>
              </w:rPr>
              <w:t>剥离物进行内排</w:t>
            </w:r>
          </w:p>
        </w:tc>
        <w:tc>
          <w:tcPr>
            <w:tcW w:w="710"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365" w:hRule="atLeast"/>
        </w:trPr>
        <w:tc>
          <w:tcPr>
            <w:tcW w:w="4991" w:type="dxa"/>
            <w:vAlign w:val="top"/>
          </w:tcPr>
          <w:p>
            <w:pPr>
              <w:ind w:left="34" w:right="130" w:firstLine="5"/>
              <w:spacing w:before="33" w:line="244" w:lineRule="auto"/>
              <w:rPr>
                <w:rFonts w:ascii="SimSun" w:hAnsi="SimSun" w:eastAsia="SimSun" w:cs="SimSun"/>
                <w:sz w:val="20"/>
                <w:szCs w:val="20"/>
              </w:rPr>
            </w:pPr>
            <w:r>
              <w:rPr>
                <w:rFonts w:ascii="SimSun" w:hAnsi="SimSun" w:eastAsia="SimSun" w:cs="SimSun"/>
                <w:sz w:val="20"/>
                <w:szCs w:val="20"/>
                <w:spacing w:val="9"/>
              </w:rPr>
              <w:t>强化现有问题整改。在《规划》实施中，请你局组织</w:t>
            </w:r>
            <w:r>
              <w:rPr>
                <w:rFonts w:ascii="SimSun" w:hAnsi="SimSun" w:eastAsia="SimSun" w:cs="SimSun"/>
                <w:sz w:val="20"/>
                <w:szCs w:val="20"/>
                <w:spacing w:val="9"/>
              </w:rPr>
              <w:t>加强对现有生态环境问题的整改，针对一号露天矿未</w:t>
            </w:r>
            <w:r>
              <w:rPr>
                <w:rFonts w:ascii="SimSun" w:hAnsi="SimSun" w:eastAsia="SimSun" w:cs="SimSun"/>
                <w:sz w:val="20"/>
                <w:szCs w:val="20"/>
                <w:spacing w:val="9"/>
              </w:rPr>
              <w:t>按要求建设选煤设施以及一号露天矿、二号露天矿、</w:t>
            </w:r>
            <w:r>
              <w:rPr>
                <w:rFonts w:ascii="SimSun" w:hAnsi="SimSun" w:eastAsia="SimSun" w:cs="SimSun"/>
                <w:sz w:val="20"/>
                <w:szCs w:val="20"/>
                <w:spacing w:val="9"/>
              </w:rPr>
              <w:t>三号露天矿储煤场未按要求封闭等问题，制定详细整</w:t>
            </w:r>
            <w:r>
              <w:rPr>
                <w:rFonts w:ascii="SimSun" w:hAnsi="SimSun" w:eastAsia="SimSun" w:cs="SimSun"/>
                <w:sz w:val="20"/>
                <w:szCs w:val="20"/>
                <w:spacing w:val="8"/>
              </w:rPr>
              <w:t>改方案，明确责任主体和整改完成时限。</w:t>
            </w:r>
          </w:p>
        </w:tc>
        <w:tc>
          <w:tcPr>
            <w:tcW w:w="3430" w:type="dxa"/>
            <w:vAlign w:val="top"/>
          </w:tcPr>
          <w:p>
            <w:pPr>
              <w:spacing w:line="372" w:lineRule="auto"/>
              <w:rPr>
                <w:rFonts w:ascii="Arial"/>
                <w:sz w:val="21"/>
              </w:rPr>
            </w:pPr>
            <w:r/>
          </w:p>
          <w:p>
            <w:pPr>
              <w:ind w:left="34" w:right="40" w:firstLine="31"/>
              <w:spacing w:before="65" w:line="253" w:lineRule="auto"/>
              <w:rPr>
                <w:rFonts w:ascii="SimSun" w:hAnsi="SimSun" w:eastAsia="SimSun" w:cs="SimSun"/>
                <w:sz w:val="20"/>
                <w:szCs w:val="20"/>
              </w:rPr>
            </w:pPr>
            <w:r>
              <w:rPr>
                <w:rFonts w:ascii="SimSun" w:hAnsi="SimSun" w:eastAsia="SimSun" w:cs="SimSun"/>
                <w:sz w:val="20"/>
                <w:szCs w:val="20"/>
                <w:spacing w:val="7"/>
              </w:rPr>
              <w:t>白音华四号露天矿已对储煤场进行了</w:t>
            </w:r>
            <w:r>
              <w:rPr>
                <w:rFonts w:ascii="SimSun" w:hAnsi="SimSun" w:eastAsia="SimSun" w:cs="SimSun"/>
                <w:sz w:val="20"/>
                <w:szCs w:val="20"/>
                <w:spacing w:val="5"/>
              </w:rPr>
              <w:t>封闭</w:t>
            </w:r>
          </w:p>
        </w:tc>
        <w:tc>
          <w:tcPr>
            <w:tcW w:w="710" w:type="dxa"/>
            <w:vAlign w:val="top"/>
          </w:tcPr>
          <w:p>
            <w:pPr>
              <w:spacing w:line="253" w:lineRule="auto"/>
              <w:rPr>
                <w:rFonts w:ascii="Arial"/>
                <w:sz w:val="21"/>
              </w:rPr>
            </w:pPr>
            <w:r/>
          </w:p>
          <w:p>
            <w:pPr>
              <w:spacing w:line="253" w:lineRule="auto"/>
              <w:rPr>
                <w:rFonts w:ascii="Arial"/>
                <w:sz w:val="21"/>
              </w:rPr>
            </w:pPr>
            <w:r/>
          </w:p>
          <w:p>
            <w:pPr>
              <w:ind w:left="151"/>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461" w:hRule="atLeast"/>
        </w:trPr>
        <w:tc>
          <w:tcPr>
            <w:tcW w:w="4991" w:type="dxa"/>
            <w:vAlign w:val="top"/>
          </w:tcPr>
          <w:p>
            <w:pPr>
              <w:ind w:left="34" w:right="22"/>
              <w:spacing w:before="32" w:line="248" w:lineRule="auto"/>
              <w:rPr>
                <w:rFonts w:ascii="SimSun" w:hAnsi="SimSun" w:eastAsia="SimSun" w:cs="SimSun"/>
                <w:sz w:val="20"/>
                <w:szCs w:val="20"/>
              </w:rPr>
            </w:pPr>
            <w:r>
              <w:rPr>
                <w:rFonts w:ascii="SimSun" w:hAnsi="SimSun" w:eastAsia="SimSun" w:cs="SimSun"/>
                <w:sz w:val="20"/>
                <w:szCs w:val="20"/>
                <w:spacing w:val="14"/>
              </w:rPr>
              <w:t>加强矿区环境管理。探索对矿区实施集中统一的环境</w:t>
            </w:r>
            <w:r>
              <w:rPr>
                <w:rFonts w:ascii="SimSun" w:hAnsi="SimSun" w:eastAsia="SimSun" w:cs="SimSun"/>
                <w:sz w:val="20"/>
                <w:szCs w:val="20"/>
                <w:spacing w:val="14"/>
              </w:rPr>
              <w:t>管理，统筹推进矿区生态保护和污染防治，督促建设</w:t>
            </w:r>
            <w:r>
              <w:rPr>
                <w:rFonts w:ascii="SimSun" w:hAnsi="SimSun" w:eastAsia="SimSun" w:cs="SimSun"/>
                <w:sz w:val="20"/>
                <w:szCs w:val="20"/>
                <w:spacing w:val="14"/>
              </w:rPr>
              <w:t>单位落实煤炭开采生态环境保护的主体责任。建立生</w:t>
            </w:r>
            <w:r>
              <w:rPr>
                <w:rFonts w:ascii="SimSun" w:hAnsi="SimSun" w:eastAsia="SimSun" w:cs="SimSun"/>
                <w:sz w:val="20"/>
                <w:szCs w:val="20"/>
                <w:spacing w:val="14"/>
              </w:rPr>
              <w:t>态、地下水等长期跟踪监测系统，开展水位、水质、</w:t>
            </w:r>
            <w:r>
              <w:rPr>
                <w:rFonts w:ascii="SimSun" w:hAnsi="SimSun" w:eastAsia="SimSun" w:cs="SimSun"/>
                <w:sz w:val="20"/>
                <w:szCs w:val="20"/>
                <w:spacing w:val="14"/>
              </w:rPr>
              <w:t>水量监测，加强地表沉陷岩移观测和生态修复的长期</w:t>
            </w:r>
            <w:r>
              <w:rPr>
                <w:rFonts w:ascii="SimSun" w:hAnsi="SimSun" w:eastAsia="SimSun" w:cs="SimSun"/>
                <w:sz w:val="20"/>
                <w:szCs w:val="20"/>
                <w:spacing w:val="14"/>
              </w:rPr>
              <w:t>监测，加强导水裂隙带发育高度观测。对可能受采煤</w:t>
            </w:r>
            <w:r>
              <w:rPr>
                <w:rFonts w:ascii="SimSun" w:hAnsi="SimSun" w:eastAsia="SimSun" w:cs="SimSun"/>
                <w:sz w:val="20"/>
                <w:szCs w:val="20"/>
                <w:spacing w:val="14"/>
              </w:rPr>
              <w:t>影响的高力罕河、彦吉嘎河、布尔嘎斯台河以及村庄</w:t>
            </w:r>
            <w:r>
              <w:rPr>
                <w:rFonts w:ascii="SimSun" w:hAnsi="SimSun" w:eastAsia="SimSun" w:cs="SimSun"/>
                <w:sz w:val="20"/>
                <w:szCs w:val="20"/>
                <w:spacing w:val="14"/>
              </w:rPr>
              <w:t>等开展持续跟踪评估，必要时优化调整开采方案，强</w:t>
            </w:r>
            <w:r>
              <w:rPr>
                <w:rFonts w:ascii="SimSun" w:hAnsi="SimSun" w:eastAsia="SimSun" w:cs="SimSun"/>
                <w:sz w:val="20"/>
                <w:szCs w:val="20"/>
                <w:spacing w:val="8"/>
              </w:rPr>
              <w:t>化生态环保对策措施，保障区域生态安全。</w:t>
            </w:r>
          </w:p>
        </w:tc>
        <w:tc>
          <w:tcPr>
            <w:tcW w:w="3430" w:type="dxa"/>
            <w:vAlign w:val="top"/>
          </w:tcPr>
          <w:p>
            <w:pPr>
              <w:spacing w:line="320" w:lineRule="auto"/>
              <w:rPr>
                <w:rFonts w:ascii="Arial"/>
                <w:sz w:val="21"/>
              </w:rPr>
            </w:pPr>
            <w:r/>
          </w:p>
          <w:p>
            <w:pPr>
              <w:spacing w:line="321" w:lineRule="auto"/>
              <w:rPr>
                <w:rFonts w:ascii="Arial"/>
                <w:sz w:val="21"/>
              </w:rPr>
            </w:pPr>
            <w:r/>
          </w:p>
          <w:p>
            <w:pPr>
              <w:ind w:left="36" w:right="40" w:firstLine="39"/>
              <w:spacing w:before="65" w:line="253" w:lineRule="auto"/>
              <w:jc w:val="both"/>
              <w:rPr>
                <w:rFonts w:ascii="SimSun" w:hAnsi="SimSun" w:eastAsia="SimSun" w:cs="SimSun"/>
                <w:sz w:val="20"/>
                <w:szCs w:val="20"/>
              </w:rPr>
            </w:pPr>
            <w:r>
              <w:rPr>
                <w:rFonts w:ascii="SimSun" w:hAnsi="SimSun" w:eastAsia="SimSun" w:cs="SimSun"/>
                <w:sz w:val="20"/>
                <w:szCs w:val="20"/>
                <w:spacing w:val="6"/>
              </w:rPr>
              <w:t>目前煤矿基本建立起地下水环境环境</w:t>
            </w:r>
            <w:r>
              <w:rPr>
                <w:rFonts w:ascii="SimSun" w:hAnsi="SimSun" w:eastAsia="SimSun" w:cs="SimSun"/>
                <w:sz w:val="20"/>
                <w:szCs w:val="20"/>
                <w:spacing w:val="9"/>
              </w:rPr>
              <w:t>监测体系，本次环评对煤矿后续开发</w:t>
            </w:r>
            <w:r>
              <w:rPr>
                <w:rFonts w:ascii="SimSun" w:hAnsi="SimSun" w:eastAsia="SimSun" w:cs="SimSun"/>
                <w:sz w:val="20"/>
                <w:szCs w:val="20"/>
                <w:spacing w:val="9"/>
              </w:rPr>
              <w:t>过程中的地下水跟踪监测、生态环境</w:t>
            </w:r>
            <w:r>
              <w:rPr>
                <w:rFonts w:ascii="SimSun" w:hAnsi="SimSun" w:eastAsia="SimSun" w:cs="SimSun"/>
                <w:sz w:val="20"/>
                <w:szCs w:val="20"/>
                <w:spacing w:val="9"/>
              </w:rPr>
              <w:t>监测计划提出了进一步要求</w:t>
            </w:r>
          </w:p>
        </w:tc>
        <w:tc>
          <w:tcPr>
            <w:tcW w:w="710" w:type="dxa"/>
            <w:vAlign w:val="top"/>
          </w:tcPr>
          <w:p>
            <w:pPr>
              <w:spacing w:line="371" w:lineRule="auto"/>
              <w:rPr>
                <w:rFonts w:ascii="Arial"/>
                <w:sz w:val="21"/>
              </w:rPr>
            </w:pPr>
            <w:r/>
          </w:p>
          <w:p>
            <w:pPr>
              <w:ind w:left="33" w:right="30" w:firstLine="3"/>
              <w:spacing w:before="65" w:line="252" w:lineRule="auto"/>
              <w:jc w:val="both"/>
              <w:rPr>
                <w:rFonts w:ascii="SimSun" w:hAnsi="SimSun" w:eastAsia="SimSun" w:cs="SimSun"/>
                <w:sz w:val="20"/>
                <w:szCs w:val="20"/>
              </w:rPr>
            </w:pPr>
            <w:r>
              <w:rPr>
                <w:rFonts w:ascii="SimSun" w:hAnsi="SimSun" w:eastAsia="SimSun" w:cs="SimSun"/>
                <w:sz w:val="20"/>
                <w:szCs w:val="20"/>
                <w:spacing w:val="12"/>
              </w:rPr>
              <w:t>落实本</w:t>
            </w:r>
            <w:r>
              <w:rPr>
                <w:rFonts w:ascii="SimSun" w:hAnsi="SimSun" w:eastAsia="SimSun" w:cs="SimSun"/>
                <w:sz w:val="20"/>
                <w:szCs w:val="20"/>
                <w:spacing w:val="13"/>
              </w:rPr>
              <w:t>次环评</w:t>
            </w:r>
            <w:r>
              <w:rPr>
                <w:rFonts w:ascii="SimSun" w:hAnsi="SimSun" w:eastAsia="SimSun" w:cs="SimSun"/>
                <w:sz w:val="20"/>
                <w:szCs w:val="20"/>
                <w:spacing w:val="13"/>
              </w:rPr>
              <w:t>报告的</w:t>
            </w:r>
            <w:r>
              <w:rPr>
                <w:rFonts w:ascii="SimSun" w:hAnsi="SimSun" w:eastAsia="SimSun" w:cs="SimSun"/>
                <w:sz w:val="20"/>
                <w:szCs w:val="20"/>
                <w:spacing w:val="13"/>
              </w:rPr>
              <w:t>相关要</w:t>
            </w:r>
            <w:r>
              <w:rPr>
                <w:rFonts w:ascii="SimSun" w:hAnsi="SimSun" w:eastAsia="SimSun" w:cs="SimSun"/>
                <w:sz w:val="20"/>
                <w:szCs w:val="20"/>
                <w:spacing w:val="13"/>
              </w:rPr>
              <w:t>求后，</w:t>
            </w:r>
            <w:r>
              <w:rPr>
                <w:rFonts w:ascii="SimSun" w:hAnsi="SimSun" w:eastAsia="SimSun" w:cs="SimSun"/>
                <w:sz w:val="20"/>
                <w:szCs w:val="20"/>
                <w:spacing w:val="5"/>
              </w:rPr>
              <w:t>符合</w:t>
            </w:r>
          </w:p>
        </w:tc>
      </w:tr>
    </w:tbl>
    <w:p>
      <w:pPr>
        <w:pStyle w:val="BodyText"/>
        <w:spacing w:line="250" w:lineRule="auto"/>
        <w:rPr/>
      </w:pPr>
      <w:r/>
    </w:p>
    <w:p>
      <w:pPr>
        <w:pStyle w:val="BodyText"/>
        <w:spacing w:line="251" w:lineRule="auto"/>
        <w:rPr/>
      </w:pPr>
      <w:r/>
    </w:p>
    <w:p>
      <w:pPr>
        <w:ind w:left="802"/>
        <w:spacing w:before="78" w:line="219" w:lineRule="auto"/>
        <w:rPr>
          <w:rFonts w:ascii="SimSun" w:hAnsi="SimSun" w:eastAsia="SimSun" w:cs="SimSun"/>
          <w:sz w:val="24"/>
          <w:szCs w:val="24"/>
        </w:rPr>
      </w:pPr>
      <w:r>
        <w:rPr>
          <w:rFonts w:ascii="SimSun" w:hAnsi="SimSun" w:eastAsia="SimSun" w:cs="SimSun"/>
          <w:sz w:val="24"/>
          <w:szCs w:val="24"/>
          <w:b/>
          <w:bCs/>
          <w:spacing w:val="-2"/>
        </w:rPr>
        <w:t>本项目与《内蒙古自治区西乌珠穆沁旗白音华煤炭矿区总体规划</w:t>
      </w:r>
      <w:r>
        <w:rPr>
          <w:rFonts w:ascii="SimSun" w:hAnsi="SimSun" w:eastAsia="SimSun" w:cs="SimSun"/>
          <w:sz w:val="24"/>
          <w:szCs w:val="24"/>
          <w:b/>
          <w:bCs/>
          <w:spacing w:val="-3"/>
        </w:rPr>
        <w:t>（修编）</w:t>
      </w:r>
    </w:p>
    <w:p>
      <w:pPr>
        <w:ind w:left="2488"/>
        <w:spacing w:before="157" w:line="218" w:lineRule="auto"/>
        <w:rPr>
          <w:rFonts w:ascii="SimSun" w:hAnsi="SimSun" w:eastAsia="SimSun" w:cs="SimSun"/>
          <w:sz w:val="24"/>
          <w:szCs w:val="24"/>
        </w:rPr>
      </w:pPr>
      <w:r>
        <w:rPr>
          <w:rFonts w:ascii="SimSun" w:hAnsi="SimSun" w:eastAsia="SimSun" w:cs="SimSun"/>
          <w:sz w:val="24"/>
          <w:szCs w:val="24"/>
          <w:b/>
          <w:bCs/>
          <w:spacing w:val="-3"/>
        </w:rPr>
        <w:t>环境影响补充报告》审查意见符合性分析</w:t>
      </w:r>
    </w:p>
    <w:p>
      <w:pPr>
        <w:spacing w:line="122"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88"/>
        <w:gridCol w:w="3447"/>
        <w:gridCol w:w="755"/>
      </w:tblGrid>
      <w:tr>
        <w:trPr>
          <w:trHeight w:val="553" w:hRule="atLeast"/>
        </w:trPr>
        <w:tc>
          <w:tcPr>
            <w:tcW w:w="5088" w:type="dxa"/>
            <w:vAlign w:val="top"/>
          </w:tcPr>
          <w:p>
            <w:pPr>
              <w:ind w:left="1929"/>
              <w:spacing w:before="167" w:line="228" w:lineRule="auto"/>
              <w:rPr>
                <w:rFonts w:ascii="SimSun" w:hAnsi="SimSun" w:eastAsia="SimSun" w:cs="SimSun"/>
                <w:sz w:val="20"/>
                <w:szCs w:val="20"/>
              </w:rPr>
            </w:pPr>
            <w:r>
              <w:rPr>
                <w:rFonts w:ascii="SimSun" w:hAnsi="SimSun" w:eastAsia="SimSun" w:cs="SimSun"/>
                <w:sz w:val="20"/>
                <w:szCs w:val="20"/>
                <w:spacing w:val="6"/>
              </w:rPr>
              <w:t>审查意见要求</w:t>
            </w:r>
          </w:p>
        </w:tc>
        <w:tc>
          <w:tcPr>
            <w:tcW w:w="3447" w:type="dxa"/>
            <w:vAlign w:val="top"/>
          </w:tcPr>
          <w:p>
            <w:pPr>
              <w:ind w:left="1415"/>
              <w:spacing w:before="168" w:line="227" w:lineRule="auto"/>
              <w:rPr>
                <w:rFonts w:ascii="SimSun" w:hAnsi="SimSun" w:eastAsia="SimSun" w:cs="SimSun"/>
                <w:sz w:val="20"/>
                <w:szCs w:val="20"/>
              </w:rPr>
            </w:pPr>
            <w:r>
              <w:rPr>
                <w:rFonts w:ascii="SimSun" w:hAnsi="SimSun" w:eastAsia="SimSun" w:cs="SimSun"/>
                <w:sz w:val="20"/>
                <w:szCs w:val="20"/>
                <w:spacing w:val="6"/>
              </w:rPr>
              <w:t>本项目</w:t>
            </w:r>
          </w:p>
        </w:tc>
        <w:tc>
          <w:tcPr>
            <w:tcW w:w="755" w:type="dxa"/>
            <w:vAlign w:val="top"/>
          </w:tcPr>
          <w:p>
            <w:pPr>
              <w:ind w:left="280" w:right="169" w:hanging="108"/>
              <w:spacing w:before="33" w:line="235" w:lineRule="auto"/>
              <w:rPr>
                <w:rFonts w:ascii="SimSun" w:hAnsi="SimSun" w:eastAsia="SimSun" w:cs="SimSun"/>
                <w:sz w:val="20"/>
                <w:szCs w:val="20"/>
              </w:rPr>
            </w:pPr>
            <w:r>
              <w:rPr>
                <w:rFonts w:ascii="SimSun" w:hAnsi="SimSun" w:eastAsia="SimSun" w:cs="SimSun"/>
                <w:sz w:val="20"/>
                <w:szCs w:val="20"/>
                <w:spacing w:val="3"/>
              </w:rPr>
              <w:t>符合</w:t>
            </w:r>
            <w:r>
              <w:rPr>
                <w:rFonts w:ascii="SimSun" w:hAnsi="SimSun" w:eastAsia="SimSun" w:cs="SimSun"/>
                <w:sz w:val="20"/>
                <w:szCs w:val="20"/>
              </w:rPr>
              <w:t>性</w:t>
            </w:r>
          </w:p>
        </w:tc>
      </w:tr>
      <w:tr>
        <w:trPr>
          <w:trHeight w:val="2180" w:hRule="atLeast"/>
        </w:trPr>
        <w:tc>
          <w:tcPr>
            <w:tcW w:w="5088" w:type="dxa"/>
            <w:vAlign w:val="top"/>
          </w:tcPr>
          <w:p>
            <w:pPr>
              <w:pStyle w:val="TableText"/>
              <w:ind w:left="112" w:right="107" w:firstLine="1"/>
              <w:spacing w:before="29" w:line="247" w:lineRule="auto"/>
              <w:jc w:val="both"/>
              <w:rPr>
                <w:rFonts w:ascii="SimSun" w:hAnsi="SimSun" w:eastAsia="SimSun" w:cs="SimSun"/>
              </w:rPr>
            </w:pPr>
            <w:r>
              <w:rPr>
                <w:rFonts w:ascii="SimSun" w:hAnsi="SimSun" w:eastAsia="SimSun" w:cs="SimSun"/>
                <w:spacing w:val="11"/>
              </w:rPr>
              <w:t>合理控制矿区开发布局及强度。将四号露天矿（露天</w:t>
            </w:r>
            <w:r>
              <w:rPr>
                <w:rFonts w:ascii="SimSun" w:hAnsi="SimSun" w:eastAsia="SimSun" w:cs="SimSun"/>
                <w:spacing w:val="6"/>
              </w:rPr>
              <w:t>区）新增中部后备区内</w:t>
            </w:r>
            <w:r>
              <w:rPr>
                <w:rFonts w:ascii="SimSun" w:hAnsi="SimSun" w:eastAsia="SimSun" w:cs="SimSun"/>
                <w:spacing w:val="-20"/>
              </w:rPr>
              <w:t xml:space="preserve"> </w:t>
            </w:r>
            <w:r>
              <w:rPr>
                <w:spacing w:val="6"/>
              </w:rPr>
              <w:t>0.</w:t>
            </w:r>
            <w:r>
              <w:rPr>
                <w:spacing w:val="-25"/>
              </w:rPr>
              <w:t xml:space="preserve"> </w:t>
            </w:r>
            <w:r>
              <w:rPr>
                <w:spacing w:val="6"/>
              </w:rPr>
              <w:t>18 </w:t>
            </w:r>
            <w:r>
              <w:rPr>
                <w:rFonts w:ascii="SimSun" w:hAnsi="SimSun" w:eastAsia="SimSun" w:cs="SimSun"/>
                <w:spacing w:val="6"/>
              </w:rPr>
              <w:t>平方公里基本草原调整出</w:t>
            </w:r>
            <w:r>
              <w:rPr>
                <w:rFonts w:ascii="SimSun" w:hAnsi="SimSun" w:eastAsia="SimSun" w:cs="SimSun"/>
                <w:spacing w:val="11"/>
              </w:rPr>
              <w:t>矿区范围。一号井田、南部后备区内与城镇开发边界</w:t>
            </w:r>
            <w:r>
              <w:rPr>
                <w:rFonts w:ascii="SimSun" w:hAnsi="SimSun" w:eastAsia="SimSun" w:cs="SimSun"/>
                <w:spacing w:val="11"/>
              </w:rPr>
              <w:t>重叠区域暂缓开发。优先开发四号露天矿新增井工转</w:t>
            </w:r>
            <w:r>
              <w:rPr>
                <w:rFonts w:ascii="SimSun" w:hAnsi="SimSun" w:eastAsia="SimSun" w:cs="SimSun"/>
                <w:spacing w:val="11"/>
              </w:rPr>
              <w:t>露天区，结合矿区露天开采生态修复实际效果，适时</w:t>
            </w:r>
            <w:r>
              <w:rPr>
                <w:rFonts w:ascii="SimSun" w:hAnsi="SimSun" w:eastAsia="SimSun" w:cs="SimSun"/>
                <w:spacing w:val="11"/>
              </w:rPr>
              <w:t>开发新增中部后备区。四号露天矿项目环评阶段，进</w:t>
            </w:r>
            <w:r>
              <w:rPr>
                <w:rFonts w:ascii="SimSun" w:hAnsi="SimSun" w:eastAsia="SimSun" w:cs="SimSun"/>
                <w:spacing w:val="11"/>
              </w:rPr>
              <w:t>一步论证并明确新增井工转露天区与彦吉嘎河河道管</w:t>
            </w:r>
            <w:r>
              <w:rPr>
                <w:rFonts w:ascii="SimSun" w:hAnsi="SimSun" w:eastAsia="SimSun" w:cs="SimSun"/>
                <w:spacing w:val="8"/>
              </w:rPr>
              <w:t>理范围外暂缓开发及留设煤柱的具体范围。</w:t>
            </w:r>
          </w:p>
        </w:tc>
        <w:tc>
          <w:tcPr>
            <w:tcW w:w="3447" w:type="dxa"/>
            <w:vAlign w:val="top"/>
          </w:tcPr>
          <w:p>
            <w:pPr>
              <w:pStyle w:val="TableText"/>
              <w:ind w:left="112" w:right="130"/>
              <w:spacing w:before="32" w:line="251" w:lineRule="auto"/>
              <w:jc w:val="both"/>
              <w:rPr>
                <w:rFonts w:ascii="SimSun" w:hAnsi="SimSun" w:eastAsia="SimSun" w:cs="SimSun"/>
              </w:rPr>
            </w:pPr>
            <w:r>
              <w:rPr>
                <w:rFonts w:ascii="SimSun" w:hAnsi="SimSun" w:eastAsia="SimSun" w:cs="SimSun"/>
                <w:spacing w:val="9"/>
              </w:rPr>
              <w:t>在本次报告中，提出对彦吉嘎河河</w:t>
            </w:r>
            <w:r>
              <w:rPr>
                <w:rFonts w:ascii="SimSun" w:hAnsi="SimSun" w:eastAsia="SimSun" w:cs="SimSun"/>
                <w:spacing w:val="6"/>
              </w:rPr>
              <w:t>道管理范围外留设</w:t>
            </w:r>
            <w:r>
              <w:rPr>
                <w:rFonts w:ascii="SimSun" w:hAnsi="SimSun" w:eastAsia="SimSun" w:cs="SimSun"/>
                <w:spacing w:val="-33"/>
              </w:rPr>
              <w:t xml:space="preserve"> </w:t>
            </w:r>
            <w:r>
              <w:rPr>
                <w:spacing w:val="6"/>
              </w:rPr>
              <w:t>80m</w:t>
            </w:r>
            <w:r>
              <w:rPr>
                <w:spacing w:val="29"/>
                <w:w w:val="101"/>
              </w:rPr>
              <w:t xml:space="preserve"> </w:t>
            </w:r>
            <w:r>
              <w:rPr>
                <w:rFonts w:ascii="SimSun" w:hAnsi="SimSun" w:eastAsia="SimSun" w:cs="SimSun"/>
                <w:spacing w:val="6"/>
              </w:rPr>
              <w:t>的暂缓开发</w:t>
            </w:r>
            <w:r>
              <w:rPr>
                <w:rFonts w:ascii="SimSun" w:hAnsi="SimSun" w:eastAsia="SimSun" w:cs="SimSun"/>
                <w:spacing w:val="9"/>
              </w:rPr>
              <w:t>区，同时对新增露天开采区对彦吉</w:t>
            </w:r>
            <w:r>
              <w:rPr>
                <w:rFonts w:ascii="SimSun" w:hAnsi="SimSun" w:eastAsia="SimSun" w:cs="SimSun"/>
                <w:spacing w:val="8"/>
              </w:rPr>
              <w:t>嘎河的环境影响进行进一步论证，</w:t>
            </w:r>
          </w:p>
          <w:p>
            <w:pPr>
              <w:ind w:left="115" w:right="87" w:firstLine="3"/>
              <w:spacing w:line="253" w:lineRule="auto"/>
              <w:jc w:val="both"/>
              <w:rPr>
                <w:rFonts w:ascii="SimSun" w:hAnsi="SimSun" w:eastAsia="SimSun" w:cs="SimSun"/>
                <w:sz w:val="20"/>
                <w:szCs w:val="20"/>
              </w:rPr>
            </w:pPr>
            <w:r>
              <w:rPr>
                <w:rFonts w:ascii="SimSun" w:hAnsi="SimSun" w:eastAsia="SimSun" w:cs="SimSun"/>
                <w:sz w:val="20"/>
                <w:szCs w:val="20"/>
                <w:spacing w:val="13"/>
              </w:rPr>
              <w:t>并提出了可采取“止水帷幕工程</w:t>
            </w:r>
            <w:r>
              <w:rPr>
                <w:rFonts w:ascii="SimSun" w:hAnsi="SimSun" w:eastAsia="SimSun" w:cs="SimSun"/>
                <w:sz w:val="20"/>
                <w:szCs w:val="20"/>
                <w:spacing w:val="-61"/>
              </w:rPr>
              <w:t xml:space="preserve"> </w:t>
            </w:r>
            <w:r>
              <w:rPr>
                <w:rFonts w:ascii="SimSun" w:hAnsi="SimSun" w:eastAsia="SimSun" w:cs="SimSun"/>
                <w:sz w:val="20"/>
                <w:szCs w:val="20"/>
                <w:spacing w:val="13"/>
              </w:rPr>
              <w:t>”</w:t>
            </w:r>
            <w:r>
              <w:rPr>
                <w:rFonts w:ascii="SimSun" w:hAnsi="SimSun" w:eastAsia="SimSun" w:cs="SimSun"/>
                <w:sz w:val="20"/>
                <w:szCs w:val="20"/>
                <w:spacing w:val="9"/>
              </w:rPr>
              <w:t>等措施降低露天开采对彦吉嘎河的</w:t>
            </w:r>
            <w:r>
              <w:rPr>
                <w:rFonts w:ascii="SimSun" w:hAnsi="SimSun" w:eastAsia="SimSun" w:cs="SimSun"/>
                <w:sz w:val="20"/>
                <w:szCs w:val="20"/>
                <w:spacing w:val="6"/>
              </w:rPr>
              <w:t>不利影响</w:t>
            </w:r>
          </w:p>
        </w:tc>
        <w:tc>
          <w:tcPr>
            <w:tcW w:w="755" w:type="dxa"/>
            <w:vAlign w:val="top"/>
          </w:tcPr>
          <w:p>
            <w:pPr>
              <w:spacing w:line="303" w:lineRule="auto"/>
              <w:rPr>
                <w:rFonts w:ascii="Arial"/>
                <w:sz w:val="21"/>
              </w:rPr>
            </w:pPr>
            <w:r/>
          </w:p>
          <w:p>
            <w:pPr>
              <w:spacing w:line="303" w:lineRule="auto"/>
              <w:rPr>
                <w:rFonts w:ascii="Arial"/>
                <w:sz w:val="21"/>
              </w:rPr>
            </w:pPr>
            <w:r/>
          </w:p>
          <w:p>
            <w:pPr>
              <w:spacing w:line="303" w:lineRule="auto"/>
              <w:rPr>
                <w:rFonts w:ascii="Arial"/>
                <w:sz w:val="21"/>
              </w:rPr>
            </w:pPr>
            <w:r/>
          </w:p>
          <w:p>
            <w:pPr>
              <w:ind w:left="172"/>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551" w:hRule="atLeast"/>
        </w:trPr>
        <w:tc>
          <w:tcPr>
            <w:tcW w:w="5088" w:type="dxa"/>
            <w:vAlign w:val="top"/>
          </w:tcPr>
          <w:p>
            <w:pPr>
              <w:ind w:left="115" w:right="148" w:hanging="2"/>
              <w:spacing w:before="33" w:line="234" w:lineRule="auto"/>
              <w:rPr>
                <w:rFonts w:ascii="SimSun" w:hAnsi="SimSun" w:eastAsia="SimSun" w:cs="SimSun"/>
                <w:sz w:val="20"/>
                <w:szCs w:val="20"/>
              </w:rPr>
            </w:pPr>
            <w:r>
              <w:rPr>
                <w:rFonts w:ascii="SimSun" w:hAnsi="SimSun" w:eastAsia="SimSun" w:cs="SimSun"/>
                <w:sz w:val="20"/>
                <w:szCs w:val="20"/>
                <w:spacing w:val="9"/>
              </w:rPr>
              <w:t>加强矿区生态修复。严格控制矿区开发扰动范围，加</w:t>
            </w:r>
            <w:r>
              <w:rPr>
                <w:rFonts w:ascii="SimSun" w:hAnsi="SimSun" w:eastAsia="SimSun" w:cs="SimSun"/>
                <w:sz w:val="20"/>
                <w:szCs w:val="20"/>
                <w:spacing w:val="9"/>
              </w:rPr>
              <w:t>大环境治理和生态修复力度，切实预防或者减轻规划</w:t>
            </w:r>
          </w:p>
        </w:tc>
        <w:tc>
          <w:tcPr>
            <w:tcW w:w="3447" w:type="dxa"/>
            <w:vAlign w:val="top"/>
          </w:tcPr>
          <w:p>
            <w:pPr>
              <w:ind w:left="115" w:right="103" w:hanging="1"/>
              <w:spacing w:before="33" w:line="234" w:lineRule="auto"/>
              <w:rPr>
                <w:rFonts w:ascii="SimSun" w:hAnsi="SimSun" w:eastAsia="SimSun" w:cs="SimSun"/>
                <w:sz w:val="20"/>
                <w:szCs w:val="20"/>
              </w:rPr>
            </w:pPr>
            <w:r>
              <w:rPr>
                <w:rFonts w:ascii="SimSun" w:hAnsi="SimSun" w:eastAsia="SimSun" w:cs="SimSun"/>
                <w:sz w:val="20"/>
                <w:szCs w:val="20"/>
                <w:spacing w:val="14"/>
              </w:rPr>
              <w:t>本次评价阶段不涉及中部后备区内</w:t>
            </w:r>
            <w:r>
              <w:rPr>
                <w:rFonts w:ascii="SimSun" w:hAnsi="SimSun" w:eastAsia="SimSun" w:cs="SimSun"/>
                <w:sz w:val="20"/>
                <w:szCs w:val="20"/>
                <w:spacing w:val="-1"/>
              </w:rPr>
              <w:t>容。</w:t>
            </w:r>
          </w:p>
        </w:tc>
        <w:tc>
          <w:tcPr>
            <w:tcW w:w="755" w:type="dxa"/>
            <w:vAlign w:val="top"/>
          </w:tcPr>
          <w:p>
            <w:pPr>
              <w:pStyle w:val="TableText"/>
              <w:ind w:left="342"/>
              <w:spacing w:before="202" w:line="199" w:lineRule="auto"/>
              <w:rPr/>
            </w:pPr>
            <w:r>
              <w:rPr>
                <w:spacing w:val="2"/>
              </w:rPr>
              <w:t>/</w:t>
            </w:r>
          </w:p>
        </w:tc>
      </w:tr>
    </w:tbl>
    <w:p>
      <w:pPr>
        <w:pStyle w:val="BodyText"/>
        <w:spacing w:line="120" w:lineRule="exact"/>
        <w:rPr>
          <w:sz w:val="10"/>
        </w:rPr>
      </w:pPr>
      <w:r/>
    </w:p>
    <w:p>
      <w:pPr>
        <w:spacing w:line="120" w:lineRule="exact"/>
        <w:sectPr>
          <w:headerReference w:type="default" r:id="rId97"/>
          <w:footerReference w:type="default" r:id="rId558"/>
          <w:pgSz w:w="11906" w:h="16838"/>
          <w:pgMar w:top="1170" w:right="1304" w:bottom="1080" w:left="1305" w:header="837" w:footer="918" w:gutter="0"/>
        </w:sectPr>
        <w:rPr>
          <w:sz w:val="10"/>
          <w:szCs w:val="10"/>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88"/>
        <w:gridCol w:w="3447"/>
        <w:gridCol w:w="755"/>
      </w:tblGrid>
      <w:tr>
        <w:trPr>
          <w:trHeight w:val="827" w:hRule="atLeast"/>
        </w:trPr>
        <w:tc>
          <w:tcPr>
            <w:tcW w:w="5088" w:type="dxa"/>
            <w:vAlign w:val="top"/>
          </w:tcPr>
          <w:p>
            <w:pPr>
              <w:ind w:left="116" w:right="148" w:firstLine="2"/>
              <w:spacing w:before="33" w:line="241" w:lineRule="auto"/>
              <w:jc w:val="both"/>
              <w:rPr>
                <w:rFonts w:ascii="SimSun" w:hAnsi="SimSun" w:eastAsia="SimSun" w:cs="SimSun"/>
                <w:sz w:val="20"/>
                <w:szCs w:val="20"/>
              </w:rPr>
            </w:pPr>
            <w:r>
              <w:rPr>
                <w:rFonts w:ascii="SimSun" w:hAnsi="SimSun" w:eastAsia="SimSun" w:cs="SimSun"/>
                <w:sz w:val="20"/>
                <w:szCs w:val="20"/>
                <w:spacing w:val="9"/>
              </w:rPr>
              <w:t>实施的生态影响，确保区域生态系统稳定。落实《补</w:t>
            </w:r>
            <w:r>
              <w:rPr>
                <w:rFonts w:ascii="SimSun" w:hAnsi="SimSun" w:eastAsia="SimSun" w:cs="SimSun"/>
                <w:sz w:val="20"/>
                <w:szCs w:val="20"/>
                <w:spacing w:val="9"/>
              </w:rPr>
              <w:t>充报告》提出的四号露天矿排土场回填至中部后备区</w:t>
            </w:r>
            <w:r>
              <w:rPr>
                <w:rFonts w:ascii="SimSun" w:hAnsi="SimSun" w:eastAsia="SimSun" w:cs="SimSun"/>
                <w:sz w:val="20"/>
                <w:szCs w:val="20"/>
                <w:spacing w:val="8"/>
              </w:rPr>
              <w:t>的建议，对煤矿开发区域进行复垦治理。</w:t>
            </w:r>
          </w:p>
        </w:tc>
        <w:tc>
          <w:tcPr>
            <w:tcW w:w="3447" w:type="dxa"/>
            <w:vAlign w:val="top"/>
          </w:tcPr>
          <w:p>
            <w:pPr>
              <w:rPr>
                <w:rFonts w:ascii="Arial"/>
                <w:sz w:val="21"/>
              </w:rPr>
            </w:pPr>
            <w:r/>
          </w:p>
        </w:tc>
        <w:tc>
          <w:tcPr>
            <w:tcW w:w="755" w:type="dxa"/>
            <w:vAlign w:val="top"/>
          </w:tcPr>
          <w:p>
            <w:pPr>
              <w:rPr>
                <w:rFonts w:ascii="Arial"/>
                <w:sz w:val="21"/>
              </w:rPr>
            </w:pPr>
            <w:r/>
          </w:p>
        </w:tc>
      </w:tr>
      <w:tr>
        <w:trPr>
          <w:trHeight w:val="1908" w:hRule="atLeast"/>
        </w:trPr>
        <w:tc>
          <w:tcPr>
            <w:tcW w:w="5088" w:type="dxa"/>
            <w:vAlign w:val="top"/>
          </w:tcPr>
          <w:p>
            <w:pPr>
              <w:ind w:left="114" w:right="148" w:firstLine="4"/>
              <w:spacing w:before="32" w:line="246" w:lineRule="auto"/>
              <w:jc w:val="both"/>
              <w:rPr>
                <w:rFonts w:ascii="SimSun" w:hAnsi="SimSun" w:eastAsia="SimSun" w:cs="SimSun"/>
                <w:sz w:val="20"/>
                <w:szCs w:val="20"/>
              </w:rPr>
            </w:pPr>
            <w:r>
              <w:rPr>
                <w:rFonts w:ascii="SimSun" w:hAnsi="SimSun" w:eastAsia="SimSun" w:cs="SimSun"/>
                <w:sz w:val="20"/>
                <w:szCs w:val="20"/>
                <w:spacing w:val="9"/>
              </w:rPr>
              <w:t>强化矿区环境管理。加强对新增中部后备区露天开采</w:t>
            </w:r>
            <w:r>
              <w:rPr>
                <w:rFonts w:ascii="SimSun" w:hAnsi="SimSun" w:eastAsia="SimSun" w:cs="SimSun"/>
                <w:sz w:val="20"/>
                <w:szCs w:val="20"/>
                <w:spacing w:val="9"/>
              </w:rPr>
              <w:t>范围、四号露天矿新增井工转露天区域生态环境影响</w:t>
            </w:r>
            <w:r>
              <w:rPr>
                <w:rFonts w:ascii="SimSun" w:hAnsi="SimSun" w:eastAsia="SimSun" w:cs="SimSun"/>
                <w:sz w:val="20"/>
                <w:szCs w:val="20"/>
                <w:spacing w:val="9"/>
              </w:rPr>
              <w:t>的跟踪监测，发现彦吉嘎河形态、水文情势、水环境</w:t>
            </w:r>
            <w:r>
              <w:rPr>
                <w:rFonts w:ascii="SimSun" w:hAnsi="SimSun" w:eastAsia="SimSun" w:cs="SimSun"/>
                <w:sz w:val="20"/>
                <w:szCs w:val="20"/>
                <w:spacing w:val="9"/>
              </w:rPr>
              <w:t>等受影响，以及开采区草原生态系统发生明显退化等</w:t>
            </w:r>
            <w:r>
              <w:rPr>
                <w:rFonts w:ascii="SimSun" w:hAnsi="SimSun" w:eastAsia="SimSun" w:cs="SimSun"/>
                <w:sz w:val="20"/>
                <w:szCs w:val="20"/>
                <w:spacing w:val="9"/>
              </w:rPr>
              <w:t>问题时，应及时优化开采布局或者采取有针对性的保</w:t>
            </w:r>
            <w:r>
              <w:rPr>
                <w:rFonts w:ascii="SimSun" w:hAnsi="SimSun" w:eastAsia="SimSun" w:cs="SimSun"/>
                <w:sz w:val="20"/>
                <w:szCs w:val="20"/>
                <w:spacing w:val="9"/>
              </w:rPr>
              <w:t>护措施，确保不对河流、草原生态系统结构、功能造</w:t>
            </w:r>
            <w:r>
              <w:rPr>
                <w:rFonts w:ascii="SimSun" w:hAnsi="SimSun" w:eastAsia="SimSun" w:cs="SimSun"/>
                <w:sz w:val="20"/>
                <w:szCs w:val="20"/>
                <w:spacing w:val="9"/>
              </w:rPr>
              <w:t>成不良影响，保障区域生态安全</w:t>
            </w:r>
          </w:p>
        </w:tc>
        <w:tc>
          <w:tcPr>
            <w:tcW w:w="3447" w:type="dxa"/>
            <w:vAlign w:val="top"/>
          </w:tcPr>
          <w:p>
            <w:pPr>
              <w:ind w:left="114" w:right="103"/>
              <w:spacing w:before="302" w:line="252" w:lineRule="auto"/>
              <w:jc w:val="both"/>
              <w:rPr>
                <w:rFonts w:ascii="SimSun" w:hAnsi="SimSun" w:eastAsia="SimSun" w:cs="SimSun"/>
                <w:sz w:val="20"/>
                <w:szCs w:val="20"/>
              </w:rPr>
            </w:pPr>
            <w:r>
              <w:rPr>
                <w:rFonts w:ascii="SimSun" w:hAnsi="SimSun" w:eastAsia="SimSun" w:cs="SimSun"/>
                <w:sz w:val="20"/>
                <w:szCs w:val="20"/>
                <w:spacing w:val="14"/>
              </w:rPr>
              <w:t>本次评价不涉及中部后备区的工程</w:t>
            </w:r>
            <w:r>
              <w:rPr>
                <w:rFonts w:ascii="SimSun" w:hAnsi="SimSun" w:eastAsia="SimSun" w:cs="SimSun"/>
                <w:sz w:val="20"/>
                <w:szCs w:val="20"/>
                <w:spacing w:val="14"/>
              </w:rPr>
              <w:t>内容，本次评价提出对井工转露天</w:t>
            </w:r>
            <w:r>
              <w:rPr>
                <w:rFonts w:ascii="SimSun" w:hAnsi="SimSun" w:eastAsia="SimSun" w:cs="SimSun"/>
                <w:sz w:val="20"/>
                <w:szCs w:val="20"/>
                <w:spacing w:val="14"/>
              </w:rPr>
              <w:t>区北侧彦吉嘎河开展水文情势、水</w:t>
            </w:r>
            <w:r>
              <w:rPr>
                <w:rFonts w:ascii="SimSun" w:hAnsi="SimSun" w:eastAsia="SimSun" w:cs="SimSun"/>
                <w:sz w:val="20"/>
                <w:szCs w:val="20"/>
                <w:spacing w:val="14"/>
              </w:rPr>
              <w:t>质监测、对采掘场提出植被覆盖度</w:t>
            </w:r>
            <w:r>
              <w:rPr>
                <w:rFonts w:ascii="SimSun" w:hAnsi="SimSun" w:eastAsia="SimSun" w:cs="SimSun"/>
                <w:sz w:val="20"/>
                <w:szCs w:val="20"/>
                <w:spacing w:val="4"/>
              </w:rPr>
              <w:t>监测</w:t>
            </w:r>
          </w:p>
        </w:tc>
        <w:tc>
          <w:tcPr>
            <w:tcW w:w="755" w:type="dxa"/>
            <w:vAlign w:val="top"/>
          </w:tcPr>
          <w:p>
            <w:pPr>
              <w:spacing w:line="258" w:lineRule="auto"/>
              <w:rPr>
                <w:rFonts w:ascii="Arial"/>
                <w:sz w:val="21"/>
              </w:rPr>
            </w:pPr>
            <w:r/>
          </w:p>
          <w:p>
            <w:pPr>
              <w:spacing w:line="258" w:lineRule="auto"/>
              <w:rPr>
                <w:rFonts w:ascii="Arial"/>
                <w:sz w:val="21"/>
              </w:rPr>
            </w:pPr>
            <w:r/>
          </w:p>
          <w:p>
            <w:pPr>
              <w:spacing w:line="259" w:lineRule="auto"/>
              <w:rPr>
                <w:rFonts w:ascii="Arial"/>
                <w:sz w:val="21"/>
              </w:rPr>
            </w:pPr>
            <w:r/>
          </w:p>
          <w:p>
            <w:pPr>
              <w:ind w:left="172"/>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644" w:hRule="atLeast"/>
        </w:trPr>
        <w:tc>
          <w:tcPr>
            <w:tcW w:w="5088" w:type="dxa"/>
            <w:vAlign w:val="top"/>
          </w:tcPr>
          <w:p>
            <w:pPr>
              <w:pStyle w:val="TableText"/>
              <w:ind w:left="113" w:right="55" w:hanging="2"/>
              <w:spacing w:before="35" w:line="246" w:lineRule="auto"/>
              <w:jc w:val="both"/>
              <w:rPr>
                <w:rFonts w:ascii="SimSun" w:hAnsi="SimSun" w:eastAsia="SimSun" w:cs="SimSun"/>
              </w:rPr>
            </w:pPr>
            <w:r>
              <w:rPr>
                <w:rFonts w:ascii="SimSun" w:hAnsi="SimSun" w:eastAsia="SimSun" w:cs="SimSun"/>
                <w:spacing w:val="9"/>
              </w:rPr>
              <w:t>请你单位在白音华煤炭矿区总体规划实施过程中，认</w:t>
            </w:r>
            <w:r>
              <w:rPr>
                <w:rFonts w:ascii="SimSun" w:hAnsi="SimSun" w:eastAsia="SimSun" w:cs="SimSun"/>
                <w:spacing w:val="9"/>
              </w:rPr>
              <w:t>真落实《内蒙古自治区西乌珠穆沁旗白音华煤炭矿区</w:t>
            </w:r>
            <w:r>
              <w:rPr>
                <w:rFonts w:ascii="SimSun" w:hAnsi="SimSun" w:eastAsia="SimSun" w:cs="SimSun"/>
                <w:spacing w:val="8"/>
              </w:rPr>
              <w:t>总体规划</w:t>
            </w:r>
            <w:r>
              <w:rPr>
                <w:spacing w:val="8"/>
              </w:rPr>
              <w:t>(</w:t>
            </w:r>
            <w:r>
              <w:rPr>
                <w:rFonts w:ascii="SimSun" w:hAnsi="SimSun" w:eastAsia="SimSun" w:cs="SimSun"/>
                <w:spacing w:val="8"/>
              </w:rPr>
              <w:t>修编）环境影响报告书》《审查意见》《补</w:t>
            </w:r>
            <w:r>
              <w:rPr>
                <w:rFonts w:ascii="SimSun" w:hAnsi="SimSun" w:eastAsia="SimSun" w:cs="SimSun"/>
                <w:spacing w:val="4"/>
              </w:rPr>
              <w:t>充报告》要求，并及时开展规划的环境影响跟踪评价，</w:t>
            </w:r>
            <w:r>
              <w:rPr>
                <w:rFonts w:ascii="SimSun" w:hAnsi="SimSun" w:eastAsia="SimSun" w:cs="SimSun"/>
                <w:spacing w:val="9"/>
              </w:rPr>
              <w:t>促进矿区开发与经济社会、生态环境保护全面协调可</w:t>
            </w:r>
            <w:r>
              <w:rPr>
                <w:rFonts w:ascii="SimSun" w:hAnsi="SimSun" w:eastAsia="SimSun" w:cs="SimSun"/>
                <w:spacing w:val="5"/>
              </w:rPr>
              <w:t>持续发展。</w:t>
            </w:r>
          </w:p>
        </w:tc>
        <w:tc>
          <w:tcPr>
            <w:tcW w:w="3447" w:type="dxa"/>
            <w:vAlign w:val="top"/>
          </w:tcPr>
          <w:p>
            <w:pPr>
              <w:spacing w:line="322" w:lineRule="auto"/>
              <w:rPr>
                <w:rFonts w:ascii="Arial"/>
                <w:sz w:val="21"/>
              </w:rPr>
            </w:pPr>
            <w:r/>
          </w:p>
          <w:p>
            <w:pPr>
              <w:spacing w:line="322" w:lineRule="auto"/>
              <w:rPr>
                <w:rFonts w:ascii="Arial"/>
                <w:sz w:val="21"/>
              </w:rPr>
            </w:pPr>
            <w:r/>
          </w:p>
          <w:p>
            <w:pPr>
              <w:ind w:left="114"/>
              <w:spacing w:before="65" w:line="226" w:lineRule="auto"/>
              <w:rPr>
                <w:rFonts w:ascii="SimSun" w:hAnsi="SimSun" w:eastAsia="SimSun" w:cs="SimSun"/>
                <w:sz w:val="20"/>
                <w:szCs w:val="20"/>
              </w:rPr>
            </w:pPr>
            <w:r>
              <w:rPr>
                <w:rFonts w:ascii="SimSun" w:hAnsi="SimSun" w:eastAsia="SimSun" w:cs="SimSun"/>
                <w:sz w:val="20"/>
                <w:szCs w:val="20"/>
                <w:spacing w:val="9"/>
              </w:rPr>
              <w:t>本次评价不涉及相关内容</w:t>
            </w:r>
          </w:p>
        </w:tc>
        <w:tc>
          <w:tcPr>
            <w:tcW w:w="755" w:type="dxa"/>
            <w:vAlign w:val="top"/>
          </w:tcPr>
          <w:p>
            <w:pPr>
              <w:spacing w:line="342" w:lineRule="auto"/>
              <w:rPr>
                <w:rFonts w:ascii="Arial"/>
                <w:sz w:val="21"/>
              </w:rPr>
            </w:pPr>
            <w:r/>
          </w:p>
          <w:p>
            <w:pPr>
              <w:spacing w:line="342" w:lineRule="auto"/>
              <w:rPr>
                <w:rFonts w:ascii="Arial"/>
                <w:sz w:val="21"/>
              </w:rPr>
            </w:pPr>
            <w:r/>
          </w:p>
          <w:p>
            <w:pPr>
              <w:pStyle w:val="TableText"/>
              <w:ind w:left="342"/>
              <w:spacing w:before="57" w:line="199" w:lineRule="auto"/>
              <w:rPr/>
            </w:pPr>
            <w:r>
              <w:rPr>
                <w:spacing w:val="2"/>
              </w:rPr>
              <w:t>/</w:t>
            </w:r>
          </w:p>
        </w:tc>
      </w:tr>
    </w:tbl>
    <w:p>
      <w:pPr>
        <w:pStyle w:val="BodyText"/>
        <w:spacing w:line="278" w:lineRule="auto"/>
        <w:rPr/>
      </w:pPr>
      <w:r/>
    </w:p>
    <w:p>
      <w:pPr>
        <w:pStyle w:val="BodyText"/>
        <w:spacing w:line="279" w:lineRule="auto"/>
        <w:rPr/>
      </w:pPr>
      <w:r/>
    </w:p>
    <w:p>
      <w:pPr>
        <w:ind w:left="130"/>
        <w:spacing w:before="97" w:line="222" w:lineRule="auto"/>
        <w:outlineLvl w:val="1"/>
        <w:rPr>
          <w:rFonts w:ascii="SimHei" w:hAnsi="SimHei" w:eastAsia="SimHei" w:cs="SimHei"/>
          <w:sz w:val="30"/>
          <w:szCs w:val="30"/>
        </w:rPr>
      </w:pPr>
      <w:bookmarkStart w:name="bookmark67" w:id="114"/>
      <w:bookmarkEnd w:id="114"/>
      <w:r>
        <w:rPr>
          <w:rFonts w:ascii="Times New Roman" w:hAnsi="Times New Roman" w:eastAsia="Times New Roman" w:cs="Times New Roman"/>
          <w:sz w:val="30"/>
          <w:szCs w:val="30"/>
          <w:b/>
          <w:bCs/>
          <w:spacing w:val="-3"/>
        </w:rPr>
        <w:t>10.3  </w:t>
      </w:r>
      <w:r>
        <w:rPr>
          <w:rFonts w:ascii="SimHei" w:hAnsi="SimHei" w:eastAsia="SimHei" w:cs="SimHei"/>
          <w:sz w:val="30"/>
          <w:szCs w:val="30"/>
          <w:b/>
          <w:bCs/>
          <w:spacing w:val="-3"/>
        </w:rPr>
        <w:t>与生态分区管控相符性分析</w:t>
      </w:r>
    </w:p>
    <w:p>
      <w:pPr>
        <w:ind w:left="121" w:right="112" w:firstLine="478"/>
        <w:spacing w:before="163" w:line="301" w:lineRule="auto"/>
        <w:jc w:val="both"/>
        <w:rPr>
          <w:rFonts w:ascii="SimSun" w:hAnsi="SimSun" w:eastAsia="SimSun" w:cs="SimSun"/>
          <w:sz w:val="24"/>
          <w:szCs w:val="24"/>
        </w:rPr>
      </w:pPr>
      <w:r>
        <w:rPr>
          <w:rFonts w:ascii="SimSun" w:hAnsi="SimSun" w:eastAsia="SimSun" w:cs="SimSun"/>
          <w:sz w:val="24"/>
          <w:szCs w:val="24"/>
          <w:spacing w:val="-1"/>
        </w:rPr>
        <w:t>根据《锡林郭勒盟生态环境保护委员会关于实施</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生态环境分区管控的意</w:t>
      </w:r>
      <w:r>
        <w:rPr>
          <w:rFonts w:ascii="SimSun" w:hAnsi="SimSun" w:eastAsia="SimSun" w:cs="SimSun"/>
          <w:sz w:val="24"/>
          <w:szCs w:val="24"/>
          <w:spacing w:val="-1"/>
        </w:rPr>
        <w:t>见》修改单（</w:t>
      </w:r>
      <w:r>
        <w:rPr>
          <w:rFonts w:ascii="Times New Roman" w:hAnsi="Times New Roman" w:eastAsia="Times New Roman" w:cs="Times New Roman"/>
          <w:sz w:val="24"/>
          <w:szCs w:val="24"/>
          <w:spacing w:val="-1"/>
        </w:rPr>
        <w:t>2023</w:t>
      </w:r>
      <w:r>
        <w:rPr>
          <w:rFonts w:ascii="SimSun" w:hAnsi="SimSun" w:eastAsia="SimSun" w:cs="SimSun"/>
          <w:sz w:val="24"/>
          <w:szCs w:val="24"/>
          <w:spacing w:val="-1"/>
        </w:rPr>
        <w:t>年版</w:t>
      </w:r>
      <w:r>
        <w:rPr>
          <w:rFonts w:ascii="SimSun" w:hAnsi="SimSun" w:eastAsia="SimSun" w:cs="SimSun"/>
          <w:sz w:val="24"/>
          <w:szCs w:val="24"/>
          <w:spacing w:val="-6"/>
        </w:rPr>
        <w:t>），</w:t>
      </w:r>
      <w:r>
        <w:rPr>
          <w:rFonts w:ascii="SimSun" w:hAnsi="SimSun" w:eastAsia="SimSun" w:cs="SimSun"/>
          <w:sz w:val="24"/>
          <w:szCs w:val="24"/>
          <w:spacing w:val="-1"/>
        </w:rPr>
        <w:t>白音华四号露天矿及周边煤矿涉</w:t>
      </w:r>
      <w:r>
        <w:rPr>
          <w:rFonts w:ascii="SimSun" w:hAnsi="SimSun" w:eastAsia="SimSun" w:cs="SimSun"/>
          <w:sz w:val="24"/>
          <w:szCs w:val="24"/>
          <w:spacing w:val="-2"/>
        </w:rPr>
        <w:t>及重点管控单元及一般管控</w:t>
      </w:r>
      <w:r>
        <w:rPr>
          <w:rFonts w:ascii="SimSun" w:hAnsi="SimSun" w:eastAsia="SimSun" w:cs="SimSun"/>
          <w:sz w:val="24"/>
          <w:szCs w:val="24"/>
          <w:spacing w:val="-1"/>
        </w:rPr>
        <w:t>单元。白音华四号露天矿与锡林郭勒盟环境管控单元位置关系见图</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1"/>
        </w:rPr>
        <w:t>1</w:t>
      </w:r>
      <w:r>
        <w:rPr>
          <w:rFonts w:ascii="Times New Roman" w:hAnsi="Times New Roman" w:eastAsia="Times New Roman" w:cs="Times New Roman"/>
          <w:sz w:val="24"/>
          <w:szCs w:val="24"/>
          <w:spacing w:val="-2"/>
        </w:rPr>
        <w:t>0-3-1</w:t>
      </w:r>
      <w:r>
        <w:rPr>
          <w:rFonts w:ascii="SimSun" w:hAnsi="SimSun" w:eastAsia="SimSun" w:cs="SimSun"/>
          <w:sz w:val="24"/>
          <w:szCs w:val="24"/>
          <w:spacing w:val="-2"/>
        </w:rPr>
        <w:t>。</w:t>
      </w:r>
    </w:p>
    <w:p>
      <w:pPr>
        <w:ind w:firstLine="110"/>
        <w:spacing w:line="5933" w:lineRule="exact"/>
        <w:rPr/>
      </w:pPr>
      <w:r>
        <w:rPr>
          <w:position w:val="-118"/>
        </w:rPr>
        <w:drawing>
          <wp:inline distT="0" distB="0" distL="0" distR="0">
            <wp:extent cx="5757671" cy="3767328"/>
            <wp:effectExtent l="0" t="0" r="0" b="0"/>
            <wp:docPr id="354" name="IM 354"/>
            <wp:cNvGraphicFramePr/>
            <a:graphic>
              <a:graphicData uri="http://schemas.openxmlformats.org/drawingml/2006/picture">
                <pic:pic>
                  <pic:nvPicPr>
                    <pic:cNvPr id="354" name="IM 354"/>
                    <pic:cNvPicPr/>
                  </pic:nvPicPr>
                  <pic:blipFill>
                    <a:blip r:embed="rId560"/>
                    <a:stretch>
                      <a:fillRect/>
                    </a:stretch>
                  </pic:blipFill>
                  <pic:spPr>
                    <a:xfrm rot="0">
                      <a:off x="0" y="0"/>
                      <a:ext cx="5757671" cy="3767328"/>
                    </a:xfrm>
                    <a:prstGeom prst="rect">
                      <a:avLst/>
                    </a:prstGeom>
                  </pic:spPr>
                </pic:pic>
              </a:graphicData>
            </a:graphic>
          </wp:inline>
        </w:drawing>
      </w:r>
    </w:p>
    <w:p>
      <w:pPr>
        <w:ind w:left="600" w:right="2380" w:firstLine="1801"/>
        <w:spacing w:before="42" w:line="323" w:lineRule="auto"/>
        <w:rPr>
          <w:rFonts w:ascii="SimSun" w:hAnsi="SimSun" w:eastAsia="SimSun" w:cs="SimSun"/>
          <w:sz w:val="24"/>
          <w:szCs w:val="24"/>
        </w:rPr>
      </w:pPr>
      <w:r>
        <w:rPr>
          <w:rFonts w:ascii="SimHei" w:hAnsi="SimHei" w:eastAsia="SimHei" w:cs="SimHei"/>
          <w:sz w:val="24"/>
          <w:szCs w:val="24"/>
          <w:spacing w:val="-3"/>
        </w:rPr>
        <w:t>图</w:t>
      </w:r>
      <w:r>
        <w:rPr>
          <w:rFonts w:ascii="SimHei" w:hAnsi="SimHei" w:eastAsia="SimHei" w:cs="SimHei"/>
          <w:sz w:val="24"/>
          <w:szCs w:val="24"/>
          <w:spacing w:val="-14"/>
        </w:rPr>
        <w:t xml:space="preserve"> </w:t>
      </w:r>
      <w:r>
        <w:rPr>
          <w:rFonts w:ascii="Times New Roman" w:hAnsi="Times New Roman" w:eastAsia="Times New Roman" w:cs="Times New Roman"/>
          <w:sz w:val="24"/>
          <w:szCs w:val="24"/>
          <w:spacing w:val="-3"/>
        </w:rPr>
        <w:t>10-3-1    </w:t>
      </w:r>
      <w:r>
        <w:rPr>
          <w:rFonts w:ascii="SimHei" w:hAnsi="SimHei" w:eastAsia="SimHei" w:cs="SimHei"/>
          <w:sz w:val="24"/>
          <w:szCs w:val="24"/>
          <w:spacing w:val="-3"/>
        </w:rPr>
        <w:t>本项目环境管控单元位置关系图</w:t>
      </w:r>
      <w:r>
        <w:rPr>
          <w:rFonts w:ascii="SimSun" w:hAnsi="SimSun" w:eastAsia="SimSun" w:cs="SimSun"/>
          <w:sz w:val="24"/>
          <w:szCs w:val="24"/>
          <w:spacing w:val="-1"/>
        </w:rPr>
        <w:t>本项目与</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符合性分析如下：</w:t>
      </w:r>
    </w:p>
    <w:p>
      <w:pPr>
        <w:ind w:left="618"/>
        <w:spacing w:before="23" w:line="220" w:lineRule="auto"/>
        <w:rPr>
          <w:rFonts w:ascii="SimSun" w:hAnsi="SimSun" w:eastAsia="SimSun" w:cs="SimSun"/>
          <w:sz w:val="24"/>
          <w:szCs w:val="24"/>
        </w:rPr>
      </w:pPr>
      <w:r>
        <w:rPr>
          <w:rFonts w:ascii="Times New Roman" w:hAnsi="Times New Roman" w:eastAsia="Times New Roman" w:cs="Times New Roman"/>
          <w:sz w:val="24"/>
          <w:szCs w:val="24"/>
          <w:spacing w:val="-7"/>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7"/>
        </w:rPr>
        <w:t>、生态保护红线</w:t>
      </w:r>
    </w:p>
    <w:p>
      <w:pPr>
        <w:spacing w:line="220" w:lineRule="auto"/>
        <w:sectPr>
          <w:footerReference w:type="default" r:id="rId559"/>
          <w:pgSz w:w="11906" w:h="16838"/>
          <w:pgMar w:top="1170" w:right="1304" w:bottom="1080" w:left="1305" w:header="837" w:footer="918" w:gutter="0"/>
        </w:sectPr>
        <w:rPr>
          <w:rFonts w:ascii="SimSun" w:hAnsi="SimSun" w:eastAsia="SimSun" w:cs="SimSun"/>
          <w:sz w:val="24"/>
          <w:szCs w:val="24"/>
        </w:rPr>
      </w:pPr>
    </w:p>
    <w:p>
      <w:pPr>
        <w:pStyle w:val="BodyText"/>
        <w:spacing w:line="309" w:lineRule="auto"/>
        <w:rPr/>
      </w:pPr>
      <w:r/>
    </w:p>
    <w:p>
      <w:pPr>
        <w:ind w:left="120" w:right="217" w:firstLine="478"/>
        <w:spacing w:before="78" w:line="339" w:lineRule="auto"/>
        <w:jc w:val="both"/>
        <w:rPr>
          <w:rFonts w:ascii="SimSun" w:hAnsi="SimSun" w:eastAsia="SimSun" w:cs="SimSun"/>
          <w:sz w:val="24"/>
          <w:szCs w:val="24"/>
        </w:rPr>
      </w:pPr>
      <w:r>
        <w:rPr>
          <w:rFonts w:ascii="SimSun" w:hAnsi="SimSun" w:eastAsia="SimSun" w:cs="SimSun"/>
          <w:sz w:val="24"/>
          <w:szCs w:val="24"/>
          <w:spacing w:val="-4"/>
        </w:rPr>
        <w:t>锡林郭勒盟全盟生态保护红线面积</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4"/>
        </w:rPr>
        <w:t>130034.46 </w:t>
      </w:r>
      <w:r>
        <w:rPr>
          <w:rFonts w:ascii="SimSun" w:hAnsi="SimSun" w:eastAsia="SimSun" w:cs="SimSun"/>
          <w:sz w:val="24"/>
          <w:szCs w:val="24"/>
          <w:spacing w:val="-4"/>
        </w:rPr>
        <w:t>平方千米，</w:t>
      </w:r>
      <w:r>
        <w:rPr>
          <w:rFonts w:ascii="SimSun" w:hAnsi="SimSun" w:eastAsia="SimSun" w:cs="SimSun"/>
          <w:sz w:val="24"/>
          <w:szCs w:val="24"/>
          <w:spacing w:val="-71"/>
        </w:rPr>
        <w:t xml:space="preserve"> </w:t>
      </w:r>
      <w:r>
        <w:rPr>
          <w:rFonts w:ascii="SimSun" w:hAnsi="SimSun" w:eastAsia="SimSun" w:cs="SimSun"/>
          <w:sz w:val="24"/>
          <w:szCs w:val="24"/>
          <w:spacing w:val="-4"/>
        </w:rPr>
        <w:t>占全盟总面积的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64.</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5"/>
        </w:rPr>
        <w:t>17%</w:t>
      </w:r>
      <w:r>
        <w:rPr>
          <w:rFonts w:ascii="SimSun" w:hAnsi="SimSun" w:eastAsia="SimSun" w:cs="SimSun"/>
          <w:sz w:val="24"/>
          <w:szCs w:val="24"/>
          <w:spacing w:val="-5"/>
        </w:rPr>
        <w:t>；</w:t>
      </w:r>
      <w:r>
        <w:rPr>
          <w:rFonts w:ascii="SimSun" w:hAnsi="SimSun" w:eastAsia="SimSun" w:cs="SimSun"/>
          <w:sz w:val="24"/>
          <w:szCs w:val="24"/>
          <w:spacing w:val="-1"/>
        </w:rPr>
        <w:t>一般生态空间面积 </w:t>
      </w:r>
      <w:r>
        <w:rPr>
          <w:rFonts w:ascii="Times New Roman" w:hAnsi="Times New Roman" w:eastAsia="Times New Roman" w:cs="Times New Roman"/>
          <w:sz w:val="24"/>
          <w:szCs w:val="24"/>
          <w:spacing w:val="-1"/>
        </w:rPr>
        <w:t>25142.87  </w:t>
      </w:r>
      <w:r>
        <w:rPr>
          <w:rFonts w:ascii="SimSun" w:hAnsi="SimSun" w:eastAsia="SimSun" w:cs="SimSun"/>
          <w:sz w:val="24"/>
          <w:szCs w:val="24"/>
          <w:spacing w:val="-1"/>
        </w:rPr>
        <w:t>平方千米，</w:t>
      </w:r>
      <w:r>
        <w:rPr>
          <w:rFonts w:ascii="SimSun" w:hAnsi="SimSun" w:eastAsia="SimSun" w:cs="SimSun"/>
          <w:sz w:val="24"/>
          <w:szCs w:val="24"/>
          <w:spacing w:val="-51"/>
        </w:rPr>
        <w:t xml:space="preserve"> </w:t>
      </w:r>
      <w:r>
        <w:rPr>
          <w:rFonts w:ascii="SimSun" w:hAnsi="SimSun" w:eastAsia="SimSun" w:cs="SimSun"/>
          <w:sz w:val="24"/>
          <w:szCs w:val="24"/>
          <w:spacing w:val="-1"/>
        </w:rPr>
        <w:t>占全盟总面积的</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1"/>
        </w:rPr>
        <w:t>12.41%</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。全盟范围内优先保</w:t>
      </w:r>
      <w:r>
        <w:rPr>
          <w:rFonts w:ascii="SimSun" w:hAnsi="SimSun" w:eastAsia="SimSun" w:cs="SimSun"/>
          <w:sz w:val="24"/>
          <w:szCs w:val="24"/>
          <w:spacing w:val="-2"/>
        </w:rPr>
        <w:t>护单元共计</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99 </w:t>
      </w:r>
      <w:r>
        <w:rPr>
          <w:rFonts w:ascii="SimSun" w:hAnsi="SimSun" w:eastAsia="SimSun" w:cs="SimSun"/>
          <w:sz w:val="24"/>
          <w:szCs w:val="24"/>
          <w:spacing w:val="-2"/>
        </w:rPr>
        <w:t>个，面积为 </w:t>
      </w:r>
      <w:r>
        <w:rPr>
          <w:rFonts w:ascii="Times New Roman" w:hAnsi="Times New Roman" w:eastAsia="Times New Roman" w:cs="Times New Roman"/>
          <w:sz w:val="24"/>
          <w:szCs w:val="24"/>
          <w:spacing w:val="-2"/>
        </w:rPr>
        <w:t>155318.94  </w:t>
      </w:r>
      <w:r>
        <w:rPr>
          <w:rFonts w:ascii="SimSun" w:hAnsi="SimSun" w:eastAsia="SimSun" w:cs="SimSun"/>
          <w:sz w:val="24"/>
          <w:szCs w:val="24"/>
          <w:spacing w:val="-2"/>
        </w:rPr>
        <w:t>平方千米，占全盟总面积的</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2"/>
        </w:rPr>
        <w:t>76.65%</w:t>
      </w:r>
      <w:r>
        <w:rPr>
          <w:rFonts w:ascii="SimSun" w:hAnsi="SimSun" w:eastAsia="SimSun" w:cs="SimSun"/>
          <w:sz w:val="24"/>
          <w:szCs w:val="24"/>
          <w:spacing w:val="-2"/>
        </w:rPr>
        <w:t>；重点管控单</w:t>
      </w:r>
      <w:r>
        <w:rPr>
          <w:rFonts w:ascii="SimSun" w:hAnsi="SimSun" w:eastAsia="SimSun" w:cs="SimSun"/>
          <w:sz w:val="24"/>
          <w:szCs w:val="24"/>
        </w:rPr>
        <w:t>元共计</w:t>
      </w:r>
      <w:r>
        <w:rPr>
          <w:rFonts w:ascii="SimSun" w:hAnsi="SimSun" w:eastAsia="SimSun" w:cs="SimSun"/>
          <w:sz w:val="24"/>
          <w:szCs w:val="24"/>
          <w:spacing w:val="-57"/>
        </w:rPr>
        <w:t xml:space="preserve"> </w:t>
      </w:r>
      <w:r>
        <w:rPr>
          <w:rFonts w:ascii="Times New Roman" w:hAnsi="Times New Roman" w:eastAsia="Times New Roman" w:cs="Times New Roman"/>
          <w:sz w:val="24"/>
          <w:szCs w:val="24"/>
        </w:rPr>
        <w:t>46  </w:t>
      </w:r>
      <w:r>
        <w:rPr>
          <w:rFonts w:ascii="SimSun" w:hAnsi="SimSun" w:eastAsia="SimSun" w:cs="SimSun"/>
          <w:sz w:val="24"/>
          <w:szCs w:val="24"/>
        </w:rPr>
        <w:t>个，面积为 </w:t>
      </w:r>
      <w:r>
        <w:rPr>
          <w:rFonts w:ascii="Times New Roman" w:hAnsi="Times New Roman" w:eastAsia="Times New Roman" w:cs="Times New Roman"/>
          <w:sz w:val="24"/>
          <w:szCs w:val="24"/>
        </w:rPr>
        <w:t>9002.95 </w:t>
      </w:r>
      <w:r>
        <w:rPr>
          <w:rFonts w:ascii="Times New Roman" w:hAnsi="Times New Roman" w:eastAsia="Times New Roman" w:cs="Times New Roman"/>
          <w:sz w:val="24"/>
          <w:szCs w:val="24"/>
          <w:spacing w:val="-1"/>
        </w:rPr>
        <w:t xml:space="preserve"> </w:t>
      </w:r>
      <w:r>
        <w:rPr>
          <w:rFonts w:ascii="SimSun" w:hAnsi="SimSun" w:eastAsia="SimSun" w:cs="SimSun"/>
          <w:sz w:val="24"/>
          <w:szCs w:val="24"/>
          <w:spacing w:val="-1"/>
        </w:rPr>
        <w:t>平方千米，占全盟总面积的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1"/>
        </w:rPr>
        <w:t>4.44%</w:t>
      </w:r>
      <w:r>
        <w:rPr>
          <w:rFonts w:ascii="SimSun" w:hAnsi="SimSun" w:eastAsia="SimSun" w:cs="SimSun"/>
          <w:sz w:val="24"/>
          <w:szCs w:val="24"/>
          <w:spacing w:val="-1"/>
        </w:rPr>
        <w:t>；一般管控单元共计</w:t>
      </w:r>
      <w:r>
        <w:rPr>
          <w:rFonts w:ascii="Times New Roman" w:hAnsi="Times New Roman" w:eastAsia="Times New Roman" w:cs="Times New Roman"/>
          <w:sz w:val="24"/>
          <w:szCs w:val="24"/>
          <w:spacing w:val="-3"/>
        </w:rPr>
        <w:t>12  </w:t>
      </w:r>
      <w:r>
        <w:rPr>
          <w:rFonts w:ascii="SimSun" w:hAnsi="SimSun" w:eastAsia="SimSun" w:cs="SimSun"/>
          <w:sz w:val="24"/>
          <w:szCs w:val="24"/>
          <w:spacing w:val="-3"/>
        </w:rPr>
        <w:t>个，面积为</w:t>
      </w:r>
      <w:r>
        <w:rPr>
          <w:rFonts w:ascii="SimSun" w:hAnsi="SimSun" w:eastAsia="SimSun" w:cs="SimSun"/>
          <w:sz w:val="24"/>
          <w:szCs w:val="24"/>
          <w:spacing w:val="-38"/>
        </w:rPr>
        <w:t xml:space="preserve"> </w:t>
      </w:r>
      <w:r>
        <w:rPr>
          <w:rFonts w:ascii="Times New Roman" w:hAnsi="Times New Roman" w:eastAsia="Times New Roman" w:cs="Times New Roman"/>
          <w:sz w:val="24"/>
          <w:szCs w:val="24"/>
          <w:spacing w:val="-3"/>
        </w:rPr>
        <w:t>38304.1  </w:t>
      </w:r>
      <w:r>
        <w:rPr>
          <w:rFonts w:ascii="SimSun" w:hAnsi="SimSun" w:eastAsia="SimSun" w:cs="SimSun"/>
          <w:sz w:val="24"/>
          <w:szCs w:val="24"/>
          <w:spacing w:val="-3"/>
        </w:rPr>
        <w:t>平方千米，</w:t>
      </w:r>
      <w:r>
        <w:rPr>
          <w:rFonts w:ascii="SimSun" w:hAnsi="SimSun" w:eastAsia="SimSun" w:cs="SimSun"/>
          <w:sz w:val="24"/>
          <w:szCs w:val="24"/>
          <w:spacing w:val="-71"/>
        </w:rPr>
        <w:t xml:space="preserve"> </w:t>
      </w:r>
      <w:r>
        <w:rPr>
          <w:rFonts w:ascii="SimSun" w:hAnsi="SimSun" w:eastAsia="SimSun" w:cs="SimSun"/>
          <w:sz w:val="24"/>
          <w:szCs w:val="24"/>
          <w:spacing w:val="-3"/>
        </w:rPr>
        <w:t>占全盟总面积的</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18.91%</w:t>
      </w:r>
      <w:r>
        <w:rPr>
          <w:rFonts w:ascii="SimSun" w:hAnsi="SimSun" w:eastAsia="SimSun" w:cs="SimSun"/>
          <w:sz w:val="24"/>
          <w:szCs w:val="24"/>
          <w:spacing w:val="-3"/>
        </w:rPr>
        <w:t>。</w:t>
      </w:r>
    </w:p>
    <w:p>
      <w:pPr>
        <w:ind w:left="600"/>
        <w:spacing w:before="1" w:line="217" w:lineRule="auto"/>
        <w:rPr>
          <w:rFonts w:ascii="SimSun" w:hAnsi="SimSun" w:eastAsia="SimSun" w:cs="SimSun"/>
          <w:sz w:val="24"/>
          <w:szCs w:val="24"/>
        </w:rPr>
      </w:pPr>
      <w:r>
        <w:rPr>
          <w:rFonts w:ascii="SimSun" w:hAnsi="SimSun" w:eastAsia="SimSun" w:cs="SimSun"/>
          <w:sz w:val="24"/>
          <w:szCs w:val="24"/>
          <w:spacing w:val="-1"/>
        </w:rPr>
        <w:t>本项目评价范围内不涉及生态保护红线范围。</w:t>
      </w:r>
    </w:p>
    <w:p>
      <w:pPr>
        <w:ind w:left="595"/>
        <w:spacing w:before="156" w:line="220"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4"/>
        </w:rPr>
        <w:t>、环境质量底线</w:t>
      </w:r>
    </w:p>
    <w:p>
      <w:pPr>
        <w:ind w:left="119" w:firstLine="484"/>
        <w:spacing w:before="155" w:line="338" w:lineRule="auto"/>
        <w:rPr>
          <w:rFonts w:ascii="SimSun" w:hAnsi="SimSun" w:eastAsia="SimSun" w:cs="SimSun"/>
          <w:sz w:val="24"/>
          <w:szCs w:val="24"/>
        </w:rPr>
      </w:pPr>
      <w:r>
        <w:rPr>
          <w:rFonts w:ascii="SimSun" w:hAnsi="SimSun" w:eastAsia="SimSun" w:cs="SimSun"/>
          <w:sz w:val="24"/>
          <w:szCs w:val="24"/>
          <w:spacing w:val="-1"/>
        </w:rPr>
        <w:t>与《锡林郭勒盟生态环境保护委员会关于实施</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w:t>
      </w:r>
      <w:r>
        <w:rPr>
          <w:rFonts w:ascii="SimSun" w:hAnsi="SimSun" w:eastAsia="SimSun" w:cs="SimSun"/>
          <w:sz w:val="24"/>
          <w:szCs w:val="24"/>
          <w:spacing w:val="-2"/>
        </w:rPr>
        <w:t>分区管控的意见》</w:t>
      </w:r>
      <w:r>
        <w:rPr>
          <w:rFonts w:ascii="SimSun" w:hAnsi="SimSun" w:eastAsia="SimSun" w:cs="SimSun"/>
          <w:sz w:val="24"/>
          <w:szCs w:val="24"/>
          <w:spacing w:val="-1"/>
        </w:rPr>
        <w:t>修改单（</w:t>
      </w:r>
      <w:r>
        <w:rPr>
          <w:rFonts w:ascii="Times New Roman" w:hAnsi="Times New Roman" w:eastAsia="Times New Roman" w:cs="Times New Roman"/>
          <w:sz w:val="24"/>
          <w:szCs w:val="24"/>
          <w:spacing w:val="-1"/>
        </w:rPr>
        <w:t>2023 </w:t>
      </w:r>
      <w:r>
        <w:rPr>
          <w:rFonts w:ascii="SimSun" w:hAnsi="SimSun" w:eastAsia="SimSun" w:cs="SimSun"/>
          <w:sz w:val="24"/>
          <w:szCs w:val="24"/>
          <w:spacing w:val="-1"/>
        </w:rPr>
        <w:t>年版）中环境质量底线对比情况见</w:t>
      </w:r>
      <w:r>
        <w:rPr>
          <w:rFonts w:ascii="SimSun" w:hAnsi="SimSun" w:eastAsia="SimSun" w:cs="SimSun"/>
          <w:sz w:val="24"/>
          <w:szCs w:val="24"/>
          <w:spacing w:val="-2"/>
        </w:rPr>
        <w:t>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10-3-2</w:t>
      </w:r>
      <w:r>
        <w:rPr>
          <w:rFonts w:ascii="SimSun" w:hAnsi="SimSun" w:eastAsia="SimSun" w:cs="SimSun"/>
          <w:sz w:val="24"/>
          <w:szCs w:val="24"/>
          <w:spacing w:val="-2"/>
        </w:rPr>
        <w:t>。</w:t>
      </w:r>
    </w:p>
    <w:p>
      <w:pPr>
        <w:ind w:left="2729"/>
        <w:spacing w:line="218" w:lineRule="auto"/>
        <w:rPr>
          <w:rFonts w:ascii="SimSun" w:hAnsi="SimSun" w:eastAsia="SimSun" w:cs="SimSun"/>
          <w:sz w:val="24"/>
          <w:szCs w:val="24"/>
        </w:rPr>
      </w:pPr>
      <w:r>
        <w:rPr>
          <w:rFonts w:ascii="SimSun" w:hAnsi="SimSun" w:eastAsia="SimSun" w:cs="SimSun"/>
          <w:sz w:val="24"/>
          <w:szCs w:val="24"/>
          <w:b/>
          <w:bCs/>
          <w:spacing w:val="-3"/>
        </w:rPr>
        <w:t>本项目与环境质量底线符合性分析表</w:t>
      </w:r>
    </w:p>
    <w:p>
      <w:pPr>
        <w:ind w:left="118"/>
        <w:spacing w:before="157" w:line="221" w:lineRule="auto"/>
        <w:rPr>
          <w:rFonts w:ascii="Times New Roman" w:hAnsi="Times New Roman" w:eastAsia="Times New Roman" w:cs="Times New Roman"/>
          <w:sz w:val="24"/>
          <w:szCs w:val="24"/>
        </w:rPr>
      </w:pPr>
      <w:r>
        <w:rPr>
          <w:rFonts w:ascii="SimSun" w:hAnsi="SimSun" w:eastAsia="SimSun" w:cs="SimSun"/>
          <w:sz w:val="24"/>
          <w:szCs w:val="24"/>
          <w:spacing w:val="-6"/>
        </w:rPr>
        <w:t>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6"/>
        </w:rPr>
        <w:t>10-3-2</w:t>
      </w:r>
    </w:p>
    <w:p>
      <w:pPr>
        <w:spacing w:line="82" w:lineRule="auto"/>
        <w:rPr>
          <w:rFonts w:ascii="Arial"/>
          <w:sz w:val="2"/>
        </w:rPr>
      </w:pPr>
      <w:r>
        <w:rPr>
          <w:rFonts w:ascii="Arial"/>
          <w:sz w:val="2"/>
        </w:r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473"/>
        <w:gridCol w:w="1115"/>
        <w:gridCol w:w="1914"/>
        <w:gridCol w:w="1837"/>
        <w:gridCol w:w="2951"/>
      </w:tblGrid>
      <w:tr>
        <w:trPr>
          <w:trHeight w:val="280" w:hRule="atLeast"/>
        </w:trPr>
        <w:tc>
          <w:tcPr>
            <w:tcW w:w="1473" w:type="dxa"/>
            <w:vAlign w:val="top"/>
          </w:tcPr>
          <w:p>
            <w:pPr>
              <w:ind w:left="325"/>
              <w:spacing w:before="33" w:line="218" w:lineRule="auto"/>
              <w:rPr>
                <w:rFonts w:ascii="SimSun" w:hAnsi="SimSun" w:eastAsia="SimSun" w:cs="SimSun"/>
                <w:sz w:val="20"/>
                <w:szCs w:val="20"/>
              </w:rPr>
            </w:pPr>
            <w:r>
              <w:rPr>
                <w:rFonts w:ascii="SimSun" w:hAnsi="SimSun" w:eastAsia="SimSun" w:cs="SimSun"/>
                <w:sz w:val="20"/>
                <w:szCs w:val="20"/>
                <w:spacing w:val="6"/>
              </w:rPr>
              <w:t>行政区域</w:t>
            </w:r>
          </w:p>
        </w:tc>
        <w:tc>
          <w:tcPr>
            <w:tcW w:w="1115" w:type="dxa"/>
            <w:vAlign w:val="top"/>
          </w:tcPr>
          <w:p>
            <w:pPr>
              <w:ind w:left="352"/>
              <w:spacing w:before="33" w:line="218" w:lineRule="auto"/>
              <w:rPr>
                <w:rFonts w:ascii="SimSun" w:hAnsi="SimSun" w:eastAsia="SimSun" w:cs="SimSun"/>
                <w:sz w:val="20"/>
                <w:szCs w:val="20"/>
              </w:rPr>
            </w:pPr>
            <w:r>
              <w:rPr>
                <w:rFonts w:ascii="SimSun" w:hAnsi="SimSun" w:eastAsia="SimSun" w:cs="SimSun"/>
                <w:sz w:val="20"/>
                <w:szCs w:val="20"/>
                <w:spacing w:val="4"/>
              </w:rPr>
              <w:t>要素</w:t>
            </w:r>
          </w:p>
        </w:tc>
        <w:tc>
          <w:tcPr>
            <w:tcW w:w="1914" w:type="dxa"/>
            <w:vAlign w:val="top"/>
          </w:tcPr>
          <w:p>
            <w:pPr>
              <w:ind w:left="542"/>
              <w:spacing w:before="33" w:line="218" w:lineRule="auto"/>
              <w:rPr>
                <w:rFonts w:ascii="SimSun" w:hAnsi="SimSun" w:eastAsia="SimSun" w:cs="SimSun"/>
                <w:sz w:val="20"/>
                <w:szCs w:val="20"/>
              </w:rPr>
            </w:pPr>
            <w:r>
              <w:rPr>
                <w:rFonts w:ascii="SimSun" w:hAnsi="SimSun" w:eastAsia="SimSun" w:cs="SimSun"/>
                <w:sz w:val="20"/>
                <w:szCs w:val="20"/>
                <w:spacing w:val="7"/>
              </w:rPr>
              <w:t>相应要求</w:t>
            </w:r>
          </w:p>
        </w:tc>
        <w:tc>
          <w:tcPr>
            <w:tcW w:w="1837" w:type="dxa"/>
            <w:vAlign w:val="top"/>
          </w:tcPr>
          <w:p>
            <w:pPr>
              <w:ind w:left="508"/>
              <w:spacing w:before="33" w:line="218" w:lineRule="auto"/>
              <w:rPr>
                <w:rFonts w:ascii="SimSun" w:hAnsi="SimSun" w:eastAsia="SimSun" w:cs="SimSun"/>
                <w:sz w:val="20"/>
                <w:szCs w:val="20"/>
              </w:rPr>
            </w:pPr>
            <w:r>
              <w:rPr>
                <w:rFonts w:ascii="SimSun" w:hAnsi="SimSun" w:eastAsia="SimSun" w:cs="SimSun"/>
                <w:sz w:val="20"/>
                <w:szCs w:val="20"/>
                <w:spacing w:val="6"/>
              </w:rPr>
              <w:t>项目情况</w:t>
            </w:r>
          </w:p>
        </w:tc>
        <w:tc>
          <w:tcPr>
            <w:tcW w:w="2951" w:type="dxa"/>
            <w:vAlign w:val="top"/>
          </w:tcPr>
          <w:p>
            <w:pPr>
              <w:ind w:left="957"/>
              <w:spacing w:before="33" w:line="218" w:lineRule="auto"/>
              <w:rPr>
                <w:rFonts w:ascii="SimSun" w:hAnsi="SimSun" w:eastAsia="SimSun" w:cs="SimSun"/>
                <w:sz w:val="20"/>
                <w:szCs w:val="20"/>
              </w:rPr>
            </w:pPr>
            <w:r>
              <w:rPr>
                <w:rFonts w:ascii="SimSun" w:hAnsi="SimSun" w:eastAsia="SimSun" w:cs="SimSun"/>
                <w:sz w:val="20"/>
                <w:szCs w:val="20"/>
                <w:spacing w:val="7"/>
              </w:rPr>
              <w:t>符合性分析</w:t>
            </w:r>
          </w:p>
        </w:tc>
      </w:tr>
      <w:tr>
        <w:trPr>
          <w:trHeight w:val="1638" w:hRule="atLeast"/>
        </w:trPr>
        <w:tc>
          <w:tcPr>
            <w:tcW w:w="1473" w:type="dxa"/>
            <w:vAlign w:val="top"/>
            <w:vMerge w:val="restart"/>
            <w:tcBorders>
              <w:bottom w:val="nil"/>
            </w:tcBorders>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215"/>
              <w:spacing w:before="65" w:line="227" w:lineRule="auto"/>
              <w:rPr>
                <w:rFonts w:ascii="SimSun" w:hAnsi="SimSun" w:eastAsia="SimSun" w:cs="SimSun"/>
                <w:sz w:val="20"/>
                <w:szCs w:val="20"/>
              </w:rPr>
            </w:pPr>
            <w:r>
              <w:rPr>
                <w:rFonts w:ascii="SimSun" w:hAnsi="SimSun" w:eastAsia="SimSun" w:cs="SimSun"/>
                <w:sz w:val="20"/>
                <w:szCs w:val="20"/>
                <w:spacing w:val="8"/>
              </w:rPr>
              <w:t>锡林郭勒盟</w:t>
            </w:r>
          </w:p>
        </w:tc>
        <w:tc>
          <w:tcPr>
            <w:tcW w:w="1115" w:type="dxa"/>
            <w:vAlign w:val="top"/>
          </w:tcPr>
          <w:p>
            <w:pPr>
              <w:spacing w:line="321" w:lineRule="auto"/>
              <w:rPr>
                <w:rFonts w:ascii="Arial"/>
                <w:sz w:val="21"/>
              </w:rPr>
            </w:pPr>
            <w:r/>
          </w:p>
          <w:p>
            <w:pPr>
              <w:spacing w:line="321" w:lineRule="auto"/>
              <w:rPr>
                <w:rFonts w:ascii="Arial"/>
                <w:sz w:val="21"/>
              </w:rPr>
            </w:pPr>
            <w:r/>
          </w:p>
          <w:p>
            <w:pPr>
              <w:ind w:left="140"/>
              <w:spacing w:before="65" w:line="228" w:lineRule="auto"/>
              <w:rPr>
                <w:rFonts w:ascii="SimSun" w:hAnsi="SimSun" w:eastAsia="SimSun" w:cs="SimSun"/>
                <w:sz w:val="20"/>
                <w:szCs w:val="20"/>
              </w:rPr>
            </w:pPr>
            <w:r>
              <w:rPr>
                <w:rFonts w:ascii="SimSun" w:hAnsi="SimSun" w:eastAsia="SimSun" w:cs="SimSun"/>
                <w:sz w:val="20"/>
                <w:szCs w:val="20"/>
                <w:spacing w:val="7"/>
              </w:rPr>
              <w:t>环境空气</w:t>
            </w:r>
          </w:p>
        </w:tc>
        <w:tc>
          <w:tcPr>
            <w:tcW w:w="1914" w:type="dxa"/>
            <w:vAlign w:val="top"/>
          </w:tcPr>
          <w:p>
            <w:pPr>
              <w:pStyle w:val="TableText"/>
              <w:ind w:left="108" w:right="126"/>
              <w:spacing w:before="28" w:line="246" w:lineRule="auto"/>
              <w:rPr>
                <w:rFonts w:ascii="SimSun" w:hAnsi="SimSun" w:eastAsia="SimSun" w:cs="SimSun"/>
              </w:rPr>
            </w:pPr>
            <w:r>
              <w:rPr>
                <w:spacing w:val="6"/>
              </w:rPr>
              <w:t>2025  </w:t>
            </w:r>
            <w:r>
              <w:rPr>
                <w:rFonts w:ascii="SimSun" w:hAnsi="SimSun" w:eastAsia="SimSun" w:cs="SimSun"/>
                <w:spacing w:val="6"/>
              </w:rPr>
              <w:t>年锡林郭勒</w:t>
            </w:r>
            <w:r>
              <w:rPr>
                <w:rFonts w:ascii="SimSun" w:hAnsi="SimSun" w:eastAsia="SimSun" w:cs="SimSun"/>
                <w:spacing w:val="7"/>
              </w:rPr>
              <w:t>盟</w:t>
            </w:r>
            <w:r>
              <w:rPr>
                <w:rFonts w:ascii="SimSun" w:hAnsi="SimSun" w:eastAsia="SimSun" w:cs="SimSun"/>
                <w:spacing w:val="-44"/>
              </w:rPr>
              <w:t xml:space="preserve"> </w:t>
            </w:r>
            <w:r>
              <w:rPr/>
              <w:t>PM</w:t>
            </w:r>
            <w:r>
              <w:rPr>
                <w:sz w:val="13"/>
                <w:szCs w:val="13"/>
                <w:spacing w:val="7"/>
                <w:position w:val="-1"/>
              </w:rPr>
              <w:t>2.5 </w:t>
            </w:r>
            <w:r>
              <w:rPr>
                <w:rFonts w:ascii="SimSun" w:hAnsi="SimSun" w:eastAsia="SimSun" w:cs="SimSun"/>
                <w:spacing w:val="7"/>
              </w:rPr>
              <w:t>浓度目标</w:t>
            </w:r>
            <w:r>
              <w:rPr>
                <w:rFonts w:ascii="SimSun" w:hAnsi="SimSun" w:eastAsia="SimSun" w:cs="SimSun"/>
                <w:spacing w:val="-2"/>
              </w:rPr>
              <w:t>保持在</w:t>
            </w:r>
            <w:r>
              <w:rPr>
                <w:rFonts w:ascii="SimSun" w:hAnsi="SimSun" w:eastAsia="SimSun" w:cs="SimSun"/>
                <w:spacing w:val="-21"/>
              </w:rPr>
              <w:t xml:space="preserve"> </w:t>
            </w:r>
            <w:r>
              <w:rPr>
                <w:spacing w:val="-2"/>
              </w:rPr>
              <w:t>10</w:t>
            </w:r>
            <w:r>
              <w:rPr>
                <w:spacing w:val="16"/>
                <w:w w:val="101"/>
              </w:rPr>
              <w:t xml:space="preserve"> </w:t>
            </w:r>
            <w:r>
              <w:rPr>
                <w:spacing w:val="-2"/>
              </w:rPr>
              <w:t>μg/m3</w:t>
            </w:r>
            <w:r>
              <w:rPr>
                <w:spacing w:val="-28"/>
              </w:rPr>
              <w:t xml:space="preserve"> </w:t>
            </w:r>
            <w:r>
              <w:rPr>
                <w:rFonts w:ascii="SimSun" w:hAnsi="SimSun" w:eastAsia="SimSun" w:cs="SimSun"/>
                <w:spacing w:val="-2"/>
              </w:rPr>
              <w:t>，</w:t>
            </w:r>
            <w:r>
              <w:rPr>
                <w:rFonts w:ascii="SimSun" w:hAnsi="SimSun" w:eastAsia="SimSun" w:cs="SimSun"/>
              </w:rPr>
              <w:t xml:space="preserve"> </w:t>
            </w:r>
            <w:r>
              <w:rPr>
                <w:spacing w:val="4"/>
              </w:rPr>
              <w:t>2035  </w:t>
            </w:r>
            <w:r>
              <w:rPr>
                <w:rFonts w:ascii="SimSun" w:hAnsi="SimSun" w:eastAsia="SimSun" w:cs="SimSun"/>
                <w:spacing w:val="4"/>
              </w:rPr>
              <w:t>年</w:t>
            </w:r>
            <w:r>
              <w:rPr>
                <w:rFonts w:ascii="SimSun" w:hAnsi="SimSun" w:eastAsia="SimSun" w:cs="SimSun"/>
                <w:spacing w:val="13"/>
              </w:rPr>
              <w:t xml:space="preserve"> </w:t>
            </w:r>
            <w:r>
              <w:rPr/>
              <w:t>PM</w:t>
            </w:r>
            <w:r>
              <w:rPr>
                <w:sz w:val="13"/>
                <w:szCs w:val="13"/>
                <w:spacing w:val="4"/>
                <w:position w:val="-1"/>
              </w:rPr>
              <w:t>2.5</w:t>
            </w:r>
            <w:r>
              <w:rPr>
                <w:sz w:val="13"/>
                <w:szCs w:val="13"/>
                <w:spacing w:val="8"/>
                <w:w w:val="102"/>
                <w:position w:val="-1"/>
              </w:rPr>
              <w:t xml:space="preserve"> </w:t>
            </w:r>
            <w:r>
              <w:rPr>
                <w:rFonts w:ascii="SimSun" w:hAnsi="SimSun" w:eastAsia="SimSun" w:cs="SimSun"/>
                <w:spacing w:val="4"/>
              </w:rPr>
              <w:t>浓</w:t>
            </w:r>
            <w:r>
              <w:rPr>
                <w:rFonts w:ascii="SimSun" w:hAnsi="SimSun" w:eastAsia="SimSun" w:cs="SimSun"/>
                <w:spacing w:val="9"/>
              </w:rPr>
              <w:t>度目标以自治区下</w:t>
            </w:r>
            <w:r>
              <w:rPr>
                <w:rFonts w:ascii="SimSun" w:hAnsi="SimSun" w:eastAsia="SimSun" w:cs="SimSun"/>
                <w:spacing w:val="8"/>
              </w:rPr>
              <w:t>发指标为准</w:t>
            </w:r>
          </w:p>
        </w:tc>
        <w:tc>
          <w:tcPr>
            <w:tcW w:w="1837" w:type="dxa"/>
            <w:vAlign w:val="top"/>
          </w:tcPr>
          <w:p>
            <w:pPr>
              <w:pStyle w:val="TableText"/>
              <w:ind w:left="111" w:right="106" w:firstLine="3"/>
              <w:spacing w:before="28" w:line="246" w:lineRule="auto"/>
              <w:rPr>
                <w:rFonts w:ascii="SimSun" w:hAnsi="SimSun" w:eastAsia="SimSun" w:cs="SimSun"/>
              </w:rPr>
            </w:pPr>
            <w:r>
              <w:rPr>
                <w:rFonts w:ascii="SimSun" w:hAnsi="SimSun" w:eastAsia="SimSun" w:cs="SimSun"/>
                <w:spacing w:val="8"/>
              </w:rPr>
              <w:t>项目所在的锡林</w:t>
            </w:r>
            <w:r>
              <w:rPr>
                <w:rFonts w:ascii="SimSun" w:hAnsi="SimSun" w:eastAsia="SimSun" w:cs="SimSun"/>
                <w:spacing w:val="8"/>
              </w:rPr>
              <w:t>郭勒盟环境空气</w:t>
            </w:r>
            <w:r>
              <w:rPr>
                <w:rFonts w:ascii="SimSun" w:hAnsi="SimSun" w:eastAsia="SimSun" w:cs="SimSun"/>
                <w:spacing w:val="8"/>
              </w:rPr>
              <w:t>质量优良天数比</w:t>
            </w:r>
            <w:r>
              <w:rPr>
                <w:rFonts w:ascii="SimSun" w:hAnsi="SimSun" w:eastAsia="SimSun" w:cs="SimSun"/>
                <w:spacing w:val="-2"/>
              </w:rPr>
              <w:t>例为</w:t>
            </w:r>
            <w:r>
              <w:rPr>
                <w:rFonts w:ascii="SimSun" w:hAnsi="SimSun" w:eastAsia="SimSun" w:cs="SimSun"/>
                <w:spacing w:val="-36"/>
              </w:rPr>
              <w:t xml:space="preserve"> </w:t>
            </w:r>
            <w:r>
              <w:rPr>
                <w:spacing w:val="-2"/>
              </w:rPr>
              <w:t>97%</w:t>
            </w:r>
            <w:r>
              <w:rPr>
                <w:rFonts w:ascii="SimSun" w:hAnsi="SimSun" w:eastAsia="SimSun" w:cs="SimSun"/>
                <w:spacing w:val="-2"/>
              </w:rPr>
              <w:t>。锡林郭</w:t>
            </w:r>
            <w:r>
              <w:rPr>
                <w:rFonts w:ascii="SimSun" w:hAnsi="SimSun" w:eastAsia="SimSun" w:cs="SimSun"/>
                <w:spacing w:val="8"/>
              </w:rPr>
              <w:t>勒盟环境空气质</w:t>
            </w:r>
            <w:r>
              <w:rPr>
                <w:rFonts w:ascii="SimSun" w:hAnsi="SimSun" w:eastAsia="SimSun" w:cs="SimSun"/>
                <w:spacing w:val="7"/>
              </w:rPr>
              <w:t>量均为达标区。</w:t>
            </w:r>
          </w:p>
        </w:tc>
        <w:tc>
          <w:tcPr>
            <w:tcW w:w="2951" w:type="dxa"/>
            <w:vAlign w:val="top"/>
          </w:tcPr>
          <w:p>
            <w:pPr>
              <w:ind w:left="116"/>
              <w:spacing w:before="31" w:line="227" w:lineRule="auto"/>
              <w:rPr>
                <w:rFonts w:ascii="SimSun" w:hAnsi="SimSun" w:eastAsia="SimSun" w:cs="SimSun"/>
                <w:sz w:val="20"/>
                <w:szCs w:val="20"/>
              </w:rPr>
            </w:pPr>
            <w:r>
              <w:rPr>
                <w:rFonts w:ascii="SimSun" w:hAnsi="SimSun" w:eastAsia="SimSun" w:cs="SimSun"/>
                <w:sz w:val="20"/>
                <w:szCs w:val="20"/>
                <w:spacing w:val="9"/>
              </w:rPr>
              <w:t>本项目为煤炭开采项目，本次</w:t>
            </w:r>
          </w:p>
          <w:p>
            <w:pPr>
              <w:ind w:left="117"/>
              <w:spacing w:before="25" w:line="227" w:lineRule="auto"/>
              <w:rPr>
                <w:rFonts w:ascii="SimSun" w:hAnsi="SimSun" w:eastAsia="SimSun" w:cs="SimSun"/>
                <w:sz w:val="20"/>
                <w:szCs w:val="20"/>
              </w:rPr>
            </w:pPr>
            <w:r>
              <w:rPr>
                <w:rFonts w:ascii="SimSun" w:hAnsi="SimSun" w:eastAsia="SimSun" w:cs="SimSun"/>
                <w:sz w:val="20"/>
                <w:szCs w:val="20"/>
                <w:spacing w:val="9"/>
              </w:rPr>
              <w:t>调整开采范围将新增部分采掘</w:t>
            </w:r>
          </w:p>
          <w:p>
            <w:pPr>
              <w:ind w:left="114"/>
              <w:spacing w:before="25" w:line="228" w:lineRule="auto"/>
              <w:rPr>
                <w:rFonts w:ascii="SimSun" w:hAnsi="SimSun" w:eastAsia="SimSun" w:cs="SimSun"/>
                <w:sz w:val="20"/>
                <w:szCs w:val="20"/>
              </w:rPr>
            </w:pPr>
            <w:r>
              <w:rPr>
                <w:rFonts w:ascii="SimSun" w:hAnsi="SimSun" w:eastAsia="SimSun" w:cs="SimSun"/>
                <w:sz w:val="20"/>
                <w:szCs w:val="20"/>
                <w:spacing w:val="9"/>
              </w:rPr>
              <w:t>场区域，其余无新增大气污染</w:t>
            </w:r>
          </w:p>
          <w:p>
            <w:pPr>
              <w:ind w:left="114"/>
              <w:spacing w:before="26" w:line="227" w:lineRule="auto"/>
              <w:rPr>
                <w:rFonts w:ascii="SimSun" w:hAnsi="SimSun" w:eastAsia="SimSun" w:cs="SimSun"/>
                <w:sz w:val="20"/>
                <w:szCs w:val="20"/>
              </w:rPr>
            </w:pPr>
            <w:r>
              <w:rPr>
                <w:rFonts w:ascii="SimSun" w:hAnsi="SimSun" w:eastAsia="SimSun" w:cs="SimSun"/>
                <w:sz w:val="20"/>
                <w:szCs w:val="20"/>
                <w:spacing w:val="9"/>
              </w:rPr>
              <w:t>源，在采取相应污染防治措施</w:t>
            </w:r>
          </w:p>
          <w:p>
            <w:pPr>
              <w:ind w:left="117"/>
              <w:spacing w:before="25" w:line="227" w:lineRule="auto"/>
              <w:rPr>
                <w:rFonts w:ascii="SimSun" w:hAnsi="SimSun" w:eastAsia="SimSun" w:cs="SimSun"/>
                <w:sz w:val="20"/>
                <w:szCs w:val="20"/>
              </w:rPr>
            </w:pPr>
            <w:r>
              <w:rPr>
                <w:rFonts w:ascii="SimSun" w:hAnsi="SimSun" w:eastAsia="SimSun" w:cs="SimSun"/>
                <w:sz w:val="20"/>
                <w:szCs w:val="20"/>
                <w:spacing w:val="9"/>
              </w:rPr>
              <w:t>后，本项目对大气环境影响较</w:t>
            </w:r>
          </w:p>
          <w:p>
            <w:pPr>
              <w:ind w:left="1380"/>
              <w:spacing w:before="28" w:line="217" w:lineRule="auto"/>
              <w:rPr>
                <w:rFonts w:ascii="SimSun" w:hAnsi="SimSun" w:eastAsia="SimSun" w:cs="SimSun"/>
                <w:sz w:val="20"/>
                <w:szCs w:val="20"/>
              </w:rPr>
            </w:pPr>
            <w:r>
              <w:rPr>
                <w:rFonts w:ascii="SimSun" w:hAnsi="SimSun" w:eastAsia="SimSun" w:cs="SimSun"/>
                <w:sz w:val="20"/>
                <w:szCs w:val="20"/>
              </w:rPr>
              <w:t>小</w:t>
            </w:r>
          </w:p>
        </w:tc>
      </w:tr>
      <w:tr>
        <w:trPr>
          <w:trHeight w:val="2456" w:hRule="atLeast"/>
        </w:trPr>
        <w:tc>
          <w:tcPr>
            <w:tcW w:w="1473" w:type="dxa"/>
            <w:vAlign w:val="top"/>
            <w:vMerge w:val="continue"/>
            <w:tcBorders>
              <w:top w:val="nil"/>
              <w:bottom w:val="nil"/>
            </w:tcBorders>
          </w:tcPr>
          <w:p>
            <w:pPr>
              <w:rPr>
                <w:rFonts w:ascii="Arial"/>
                <w:sz w:val="21"/>
              </w:rPr>
            </w:pPr>
            <w:r/>
          </w:p>
        </w:tc>
        <w:tc>
          <w:tcPr>
            <w:tcW w:w="1115" w:type="dxa"/>
            <w:vAlign w:val="top"/>
          </w:tcPr>
          <w:p>
            <w:pPr>
              <w:spacing w:line="305" w:lineRule="auto"/>
              <w:rPr>
                <w:rFonts w:ascii="Arial"/>
                <w:sz w:val="21"/>
              </w:rPr>
            </w:pPr>
            <w:r/>
          </w:p>
          <w:p>
            <w:pPr>
              <w:spacing w:line="305" w:lineRule="auto"/>
              <w:rPr>
                <w:rFonts w:ascii="Arial"/>
                <w:sz w:val="21"/>
              </w:rPr>
            </w:pPr>
            <w:r/>
          </w:p>
          <w:p>
            <w:pPr>
              <w:spacing w:line="305" w:lineRule="auto"/>
              <w:rPr>
                <w:rFonts w:ascii="Arial"/>
                <w:sz w:val="21"/>
              </w:rPr>
            </w:pPr>
            <w:r/>
          </w:p>
          <w:p>
            <w:pPr>
              <w:ind w:left="457" w:right="139" w:hanging="317"/>
              <w:spacing w:before="65" w:line="252" w:lineRule="auto"/>
              <w:rPr>
                <w:rFonts w:ascii="SimSun" w:hAnsi="SimSun" w:eastAsia="SimSun" w:cs="SimSun"/>
                <w:sz w:val="20"/>
                <w:szCs w:val="20"/>
              </w:rPr>
            </w:pPr>
            <w:r>
              <w:rPr>
                <w:rFonts w:ascii="SimSun" w:hAnsi="SimSun" w:eastAsia="SimSun" w:cs="SimSun"/>
                <w:sz w:val="20"/>
                <w:szCs w:val="20"/>
                <w:spacing w:val="7"/>
              </w:rPr>
              <w:t>地表水环</w:t>
            </w:r>
            <w:r>
              <w:rPr>
                <w:rFonts w:ascii="SimSun" w:hAnsi="SimSun" w:eastAsia="SimSun" w:cs="SimSun"/>
                <w:sz w:val="20"/>
                <w:szCs w:val="20"/>
              </w:rPr>
              <w:t>境</w:t>
            </w:r>
          </w:p>
        </w:tc>
        <w:tc>
          <w:tcPr>
            <w:tcW w:w="1914" w:type="dxa"/>
            <w:vAlign w:val="top"/>
          </w:tcPr>
          <w:p>
            <w:pPr>
              <w:pStyle w:val="TableText"/>
              <w:ind w:left="111" w:right="109" w:hanging="3"/>
              <w:spacing w:before="33" w:line="251" w:lineRule="auto"/>
              <w:rPr>
                <w:rFonts w:ascii="SimSun" w:hAnsi="SimSun" w:eastAsia="SimSun" w:cs="SimSun"/>
              </w:rPr>
            </w:pPr>
            <w:r>
              <w:rPr>
                <w:spacing w:val="3"/>
              </w:rPr>
              <w:t>2025 </w:t>
            </w:r>
            <w:r>
              <w:rPr>
                <w:rFonts w:ascii="SimSun" w:hAnsi="SimSun" w:eastAsia="SimSun" w:cs="SimSun"/>
                <w:spacing w:val="3"/>
              </w:rPr>
              <w:t>年，地表水考</w:t>
            </w:r>
            <w:r>
              <w:rPr>
                <w:rFonts w:ascii="SimSun" w:hAnsi="SimSun" w:eastAsia="SimSun" w:cs="SimSun"/>
                <w:spacing w:val="8"/>
              </w:rPr>
              <w:t>核断面优良比例达</w:t>
            </w:r>
            <w:r>
              <w:rPr>
                <w:rFonts w:ascii="SimSun" w:hAnsi="SimSun" w:eastAsia="SimSun" w:cs="SimSun"/>
                <w:spacing w:val="3"/>
              </w:rPr>
              <w:t>到</w:t>
            </w:r>
            <w:r>
              <w:rPr>
                <w:rFonts w:ascii="SimSun" w:hAnsi="SimSun" w:eastAsia="SimSun" w:cs="SimSun"/>
                <w:spacing w:val="-35"/>
              </w:rPr>
              <w:t xml:space="preserve"> </w:t>
            </w:r>
            <w:r>
              <w:rPr>
                <w:spacing w:val="3"/>
              </w:rPr>
              <w:t>50%</w:t>
            </w:r>
            <w:r>
              <w:rPr>
                <w:spacing w:val="-26"/>
              </w:rPr>
              <w:t xml:space="preserve"> </w:t>
            </w:r>
            <w:r>
              <w:rPr>
                <w:rFonts w:ascii="SimSun" w:hAnsi="SimSun" w:eastAsia="SimSun" w:cs="SimSun"/>
                <w:spacing w:val="3"/>
              </w:rPr>
              <w:t>，消除劣</w:t>
            </w:r>
            <w:r>
              <w:rPr>
                <w:spacing w:val="3"/>
              </w:rPr>
              <w:t>Ⅴ</w:t>
            </w:r>
            <w:r>
              <w:rPr>
                <w:rFonts w:ascii="SimSun" w:hAnsi="SimSun" w:eastAsia="SimSun" w:cs="SimSun"/>
                <w:spacing w:val="8"/>
              </w:rPr>
              <w:t>类水体，地市级集</w:t>
            </w:r>
            <w:r>
              <w:rPr>
                <w:rFonts w:ascii="SimSun" w:hAnsi="SimSun" w:eastAsia="SimSun" w:cs="SimSun"/>
                <w:spacing w:val="8"/>
              </w:rPr>
              <w:t>中式饮用水水源地</w:t>
            </w:r>
            <w:r>
              <w:rPr>
                <w:rFonts w:ascii="SimSun" w:hAnsi="SimSun" w:eastAsia="SimSun" w:cs="SimSun"/>
                <w:spacing w:val="7"/>
              </w:rPr>
              <w:t>水质保持稳定。</w:t>
            </w:r>
          </w:p>
          <w:p>
            <w:pPr>
              <w:pStyle w:val="TableText"/>
              <w:ind w:left="111" w:right="109" w:hanging="3"/>
              <w:rPr>
                <w:rFonts w:ascii="SimSun" w:hAnsi="SimSun" w:eastAsia="SimSun" w:cs="SimSun"/>
              </w:rPr>
            </w:pPr>
            <w:r>
              <w:rPr>
                <w:spacing w:val="-1"/>
              </w:rPr>
              <w:t>2035  </w:t>
            </w:r>
            <w:r>
              <w:rPr>
                <w:rFonts w:ascii="SimSun" w:hAnsi="SimSun" w:eastAsia="SimSun" w:cs="SimSun"/>
                <w:spacing w:val="-1"/>
              </w:rPr>
              <w:t>年，全盟水生</w:t>
            </w:r>
            <w:r>
              <w:rPr>
                <w:rFonts w:ascii="SimSun" w:hAnsi="SimSun" w:eastAsia="SimSun" w:cs="SimSun"/>
                <w:spacing w:val="8"/>
              </w:rPr>
              <w:t>态环境质量实现明</w:t>
            </w:r>
            <w:r>
              <w:rPr>
                <w:rFonts w:ascii="SimSun" w:hAnsi="SimSun" w:eastAsia="SimSun" w:cs="SimSun"/>
                <w:spacing w:val="6"/>
              </w:rPr>
              <w:t>显好转</w:t>
            </w:r>
          </w:p>
        </w:tc>
        <w:tc>
          <w:tcPr>
            <w:tcW w:w="1837" w:type="dxa"/>
            <w:vAlign w:val="top"/>
          </w:tcPr>
          <w:p>
            <w:pPr>
              <w:ind w:left="110" w:right="99" w:firstLine="4"/>
              <w:spacing w:before="306" w:line="251" w:lineRule="auto"/>
              <w:rPr>
                <w:rFonts w:ascii="SimSun" w:hAnsi="SimSun" w:eastAsia="SimSun" w:cs="SimSun"/>
                <w:sz w:val="20"/>
                <w:szCs w:val="20"/>
              </w:rPr>
            </w:pPr>
            <w:r>
              <w:rPr>
                <w:rFonts w:ascii="SimSun" w:hAnsi="SimSun" w:eastAsia="SimSun" w:cs="SimSun"/>
                <w:sz w:val="20"/>
                <w:szCs w:val="20"/>
                <w:spacing w:val="8"/>
              </w:rPr>
              <w:t>项目附近彦吉嘎</w:t>
            </w:r>
            <w:r>
              <w:rPr>
                <w:rFonts w:ascii="SimSun" w:hAnsi="SimSun" w:eastAsia="SimSun" w:cs="SimSun"/>
                <w:sz w:val="20"/>
                <w:szCs w:val="20"/>
                <w:spacing w:val="2"/>
              </w:rPr>
              <w:t>河属乌拉盖水系，</w:t>
            </w:r>
            <w:r>
              <w:rPr>
                <w:rFonts w:ascii="SimSun" w:hAnsi="SimSun" w:eastAsia="SimSun" w:cs="SimSun"/>
                <w:sz w:val="20"/>
                <w:szCs w:val="20"/>
                <w:spacing w:val="1"/>
              </w:rPr>
              <w:t>满足《地表水环境</w:t>
            </w:r>
            <w:r>
              <w:rPr>
                <w:rFonts w:ascii="SimSun" w:hAnsi="SimSun" w:eastAsia="SimSun" w:cs="SimSun"/>
                <w:sz w:val="20"/>
                <w:szCs w:val="20"/>
                <w:spacing w:val="6"/>
              </w:rPr>
              <w:t>质量标准》</w:t>
            </w:r>
          </w:p>
          <w:p>
            <w:pPr>
              <w:pStyle w:val="TableText"/>
              <w:ind w:left="113" w:right="124" w:firstLine="8"/>
              <w:spacing w:before="2" w:line="252" w:lineRule="auto"/>
              <w:rPr>
                <w:rFonts w:ascii="SimSun" w:hAnsi="SimSun" w:eastAsia="SimSun" w:cs="SimSun"/>
              </w:rPr>
            </w:pPr>
            <w:r>
              <w:rPr>
                <w:rFonts w:ascii="SimSun" w:hAnsi="SimSun" w:eastAsia="SimSun" w:cs="SimSun"/>
                <w:spacing w:val="3"/>
              </w:rPr>
              <w:t>（</w:t>
            </w:r>
            <w:r>
              <w:rPr/>
              <w:t>GB</w:t>
            </w:r>
            <w:r>
              <w:rPr>
                <w:spacing w:val="3"/>
              </w:rPr>
              <w:t>3838-2002</w:t>
            </w:r>
            <w:r>
              <w:rPr>
                <w:rFonts w:ascii="SimSun" w:hAnsi="SimSun" w:eastAsia="SimSun" w:cs="SimSun"/>
                <w:spacing w:val="3"/>
              </w:rPr>
              <w:t>）</w:t>
            </w:r>
            <w:r>
              <w:rPr>
                <w:rFonts w:ascii="SimSun" w:hAnsi="SimSun" w:eastAsia="SimSun" w:cs="SimSun"/>
                <w:spacing w:val="8"/>
              </w:rPr>
              <w:t>中的</w:t>
            </w:r>
            <w:r>
              <w:rPr>
                <w:spacing w:val="8"/>
              </w:rPr>
              <w:t>Ⅲ</w:t>
            </w:r>
            <w:r>
              <w:rPr>
                <w:rFonts w:ascii="SimSun" w:hAnsi="SimSun" w:eastAsia="SimSun" w:cs="SimSun"/>
                <w:spacing w:val="8"/>
              </w:rPr>
              <w:t>类标准要</w:t>
            </w:r>
            <w:r>
              <w:rPr>
                <w:rFonts w:ascii="SimSun" w:hAnsi="SimSun" w:eastAsia="SimSun" w:cs="SimSun"/>
              </w:rPr>
              <w:t>求</w:t>
            </w:r>
          </w:p>
        </w:tc>
        <w:tc>
          <w:tcPr>
            <w:tcW w:w="2951" w:type="dxa"/>
            <w:vAlign w:val="top"/>
          </w:tcPr>
          <w:p>
            <w:pPr>
              <w:ind w:left="116"/>
              <w:spacing w:before="167" w:line="227" w:lineRule="auto"/>
              <w:rPr>
                <w:rFonts w:ascii="SimSun" w:hAnsi="SimSun" w:eastAsia="SimSun" w:cs="SimSun"/>
                <w:sz w:val="20"/>
                <w:szCs w:val="20"/>
              </w:rPr>
            </w:pPr>
            <w:r>
              <w:rPr>
                <w:rFonts w:ascii="SimSun" w:hAnsi="SimSun" w:eastAsia="SimSun" w:cs="SimSun"/>
                <w:sz w:val="20"/>
                <w:szCs w:val="20"/>
                <w:spacing w:val="9"/>
              </w:rPr>
              <w:t>本项目运营期产生的矿坑水经</w:t>
            </w:r>
          </w:p>
          <w:p>
            <w:pPr>
              <w:ind w:left="114"/>
              <w:spacing w:before="27" w:line="228" w:lineRule="auto"/>
              <w:rPr>
                <w:rFonts w:ascii="SimSun" w:hAnsi="SimSun" w:eastAsia="SimSun" w:cs="SimSun"/>
                <w:sz w:val="20"/>
                <w:szCs w:val="20"/>
              </w:rPr>
            </w:pPr>
            <w:r>
              <w:rPr>
                <w:rFonts w:ascii="SimSun" w:hAnsi="SimSun" w:eastAsia="SimSun" w:cs="SimSun"/>
                <w:sz w:val="20"/>
                <w:szCs w:val="20"/>
                <w:spacing w:val="9"/>
              </w:rPr>
              <w:t>矿坑水处理站处理后全部用于</w:t>
            </w:r>
          </w:p>
          <w:p>
            <w:pPr>
              <w:ind w:left="114"/>
              <w:spacing w:before="24" w:line="228" w:lineRule="auto"/>
              <w:rPr>
                <w:rFonts w:ascii="SimSun" w:hAnsi="SimSun" w:eastAsia="SimSun" w:cs="SimSun"/>
                <w:sz w:val="20"/>
                <w:szCs w:val="20"/>
              </w:rPr>
            </w:pPr>
            <w:r>
              <w:rPr>
                <w:rFonts w:ascii="SimSun" w:hAnsi="SimSun" w:eastAsia="SimSun" w:cs="SimSun"/>
                <w:sz w:val="20"/>
                <w:szCs w:val="20"/>
                <w:spacing w:val="9"/>
              </w:rPr>
              <w:t>矿区抑尘及绿化洒水、金山电</w:t>
            </w:r>
          </w:p>
          <w:p>
            <w:pPr>
              <w:ind w:left="117"/>
              <w:spacing w:before="26" w:line="228" w:lineRule="auto"/>
              <w:rPr>
                <w:rFonts w:ascii="SimSun" w:hAnsi="SimSun" w:eastAsia="SimSun" w:cs="SimSun"/>
                <w:sz w:val="20"/>
                <w:szCs w:val="20"/>
              </w:rPr>
            </w:pPr>
            <w:r>
              <w:rPr>
                <w:rFonts w:ascii="SimSun" w:hAnsi="SimSun" w:eastAsia="SimSun" w:cs="SimSun"/>
                <w:sz w:val="20"/>
                <w:szCs w:val="20"/>
                <w:spacing w:val="9"/>
              </w:rPr>
              <w:t>厂用水，生活污水经生活污水</w:t>
            </w:r>
          </w:p>
          <w:p>
            <w:pPr>
              <w:ind w:left="119"/>
              <w:spacing w:before="24" w:line="228" w:lineRule="auto"/>
              <w:rPr>
                <w:rFonts w:ascii="SimSun" w:hAnsi="SimSun" w:eastAsia="SimSun" w:cs="SimSun"/>
                <w:sz w:val="20"/>
                <w:szCs w:val="20"/>
              </w:rPr>
            </w:pPr>
            <w:r>
              <w:rPr>
                <w:rFonts w:ascii="SimSun" w:hAnsi="SimSun" w:eastAsia="SimSun" w:cs="SimSun"/>
                <w:sz w:val="20"/>
                <w:szCs w:val="20"/>
                <w:spacing w:val="8"/>
              </w:rPr>
              <w:t>处理站处理后用于矿区绿化用</w:t>
            </w:r>
          </w:p>
          <w:p>
            <w:pPr>
              <w:ind w:left="117"/>
              <w:spacing w:before="24" w:line="228" w:lineRule="auto"/>
              <w:rPr>
                <w:rFonts w:ascii="SimSun" w:hAnsi="SimSun" w:eastAsia="SimSun" w:cs="SimSun"/>
                <w:sz w:val="20"/>
                <w:szCs w:val="20"/>
              </w:rPr>
            </w:pPr>
            <w:r>
              <w:rPr>
                <w:rFonts w:ascii="SimSun" w:hAnsi="SimSun" w:eastAsia="SimSun" w:cs="SimSun"/>
                <w:sz w:val="20"/>
                <w:szCs w:val="20"/>
                <w:spacing w:val="9"/>
              </w:rPr>
              <w:t>水、生态恢复，产生的废水均</w:t>
            </w:r>
          </w:p>
          <w:p>
            <w:pPr>
              <w:ind w:left="118"/>
              <w:spacing w:before="26" w:line="227" w:lineRule="auto"/>
              <w:rPr>
                <w:rFonts w:ascii="SimSun" w:hAnsi="SimSun" w:eastAsia="SimSun" w:cs="SimSun"/>
                <w:sz w:val="20"/>
                <w:szCs w:val="20"/>
              </w:rPr>
            </w:pPr>
            <w:r>
              <w:rPr>
                <w:rFonts w:ascii="SimSun" w:hAnsi="SimSun" w:eastAsia="SimSun" w:cs="SimSun"/>
                <w:sz w:val="20"/>
                <w:szCs w:val="20"/>
                <w:spacing w:val="9"/>
              </w:rPr>
              <w:t>不外排。综上，本项目对地表</w:t>
            </w:r>
          </w:p>
          <w:p>
            <w:pPr>
              <w:ind w:left="749"/>
              <w:spacing w:before="25" w:line="228" w:lineRule="auto"/>
              <w:rPr>
                <w:rFonts w:ascii="SimSun" w:hAnsi="SimSun" w:eastAsia="SimSun" w:cs="SimSun"/>
                <w:sz w:val="20"/>
                <w:szCs w:val="20"/>
              </w:rPr>
            </w:pPr>
            <w:r>
              <w:rPr>
                <w:rFonts w:ascii="SimSun" w:hAnsi="SimSun" w:eastAsia="SimSun" w:cs="SimSun"/>
                <w:sz w:val="20"/>
                <w:szCs w:val="20"/>
                <w:spacing w:val="8"/>
              </w:rPr>
              <w:t>水环境影响较小</w:t>
            </w:r>
          </w:p>
        </w:tc>
      </w:tr>
      <w:tr>
        <w:trPr>
          <w:trHeight w:val="2460" w:hRule="atLeast"/>
        </w:trPr>
        <w:tc>
          <w:tcPr>
            <w:tcW w:w="1473" w:type="dxa"/>
            <w:vAlign w:val="top"/>
            <w:vMerge w:val="continue"/>
            <w:tcBorders>
              <w:top w:val="nil"/>
            </w:tcBorders>
          </w:tcPr>
          <w:p>
            <w:pPr>
              <w:rPr>
                <w:rFonts w:ascii="Arial"/>
                <w:sz w:val="21"/>
              </w:rPr>
            </w:pPr>
            <w:r/>
          </w:p>
        </w:tc>
        <w:tc>
          <w:tcPr>
            <w:tcW w:w="1115" w:type="dxa"/>
            <w:vAlign w:val="top"/>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ind w:left="142"/>
              <w:spacing w:before="65" w:line="228" w:lineRule="auto"/>
              <w:rPr>
                <w:rFonts w:ascii="SimSun" w:hAnsi="SimSun" w:eastAsia="SimSun" w:cs="SimSun"/>
                <w:sz w:val="20"/>
                <w:szCs w:val="20"/>
              </w:rPr>
            </w:pPr>
            <w:r>
              <w:rPr>
                <w:rFonts w:ascii="SimSun" w:hAnsi="SimSun" w:eastAsia="SimSun" w:cs="SimSun"/>
                <w:sz w:val="20"/>
                <w:szCs w:val="20"/>
                <w:spacing w:val="6"/>
              </w:rPr>
              <w:t>生态环境</w:t>
            </w:r>
          </w:p>
        </w:tc>
        <w:tc>
          <w:tcPr>
            <w:tcW w:w="1914" w:type="dxa"/>
            <w:vAlign w:val="top"/>
          </w:tcPr>
          <w:p>
            <w:pPr>
              <w:pStyle w:val="TableText"/>
              <w:ind w:left="111" w:right="107" w:firstLine="6"/>
              <w:spacing w:before="32" w:line="248" w:lineRule="auto"/>
              <w:jc w:val="both"/>
              <w:rPr>
                <w:rFonts w:ascii="SimSun" w:hAnsi="SimSun" w:eastAsia="SimSun" w:cs="SimSun"/>
              </w:rPr>
            </w:pPr>
            <w:r>
              <w:rPr>
                <w:rFonts w:ascii="SimSun" w:hAnsi="SimSun" w:eastAsia="SimSun" w:cs="SimSun"/>
                <w:spacing w:val="4"/>
              </w:rPr>
              <w:t>到</w:t>
            </w:r>
            <w:r>
              <w:rPr>
                <w:rFonts w:ascii="SimSun" w:hAnsi="SimSun" w:eastAsia="SimSun" w:cs="SimSun"/>
                <w:spacing w:val="-37"/>
              </w:rPr>
              <w:t xml:space="preserve"> </w:t>
            </w:r>
            <w:r>
              <w:rPr>
                <w:spacing w:val="4"/>
              </w:rPr>
              <w:t>2025  </w:t>
            </w:r>
            <w:r>
              <w:rPr>
                <w:rFonts w:ascii="SimSun" w:hAnsi="SimSun" w:eastAsia="SimSun" w:cs="SimSun"/>
                <w:spacing w:val="4"/>
              </w:rPr>
              <w:t>年，受污</w:t>
            </w:r>
            <w:r>
              <w:rPr>
                <w:rFonts w:ascii="SimSun" w:hAnsi="SimSun" w:eastAsia="SimSun" w:cs="SimSun"/>
                <w:spacing w:val="8"/>
              </w:rPr>
              <w:t>染耕地安全利用率</w:t>
            </w:r>
            <w:r>
              <w:rPr>
                <w:rFonts w:ascii="SimSun" w:hAnsi="SimSun" w:eastAsia="SimSun" w:cs="SimSun"/>
              </w:rPr>
              <w:t>达到</w:t>
            </w:r>
            <w:r>
              <w:rPr>
                <w:rFonts w:ascii="SimSun" w:hAnsi="SimSun" w:eastAsia="SimSun" w:cs="SimSun"/>
                <w:spacing w:val="22"/>
              </w:rPr>
              <w:t xml:space="preserve"> </w:t>
            </w:r>
            <w:r>
              <w:rPr/>
              <w:t>98%</w:t>
            </w:r>
            <w:r>
              <w:rPr>
                <w:rFonts w:ascii="SimSun" w:hAnsi="SimSun" w:eastAsia="SimSun" w:cs="SimSun"/>
              </w:rPr>
              <w:t>，重点建</w:t>
            </w:r>
            <w:r>
              <w:rPr>
                <w:rFonts w:ascii="SimSun" w:hAnsi="SimSun" w:eastAsia="SimSun" w:cs="SimSun"/>
                <w:spacing w:val="8"/>
              </w:rPr>
              <w:t>设用地得到安全利</w:t>
            </w:r>
            <w:r>
              <w:rPr>
                <w:rFonts w:ascii="SimSun" w:hAnsi="SimSun" w:eastAsia="SimSun" w:cs="SimSun"/>
                <w:spacing w:val="-2"/>
              </w:rPr>
              <w:t>用。到</w:t>
            </w:r>
            <w:r>
              <w:rPr>
                <w:rFonts w:ascii="SimSun" w:hAnsi="SimSun" w:eastAsia="SimSun" w:cs="SimSun"/>
                <w:spacing w:val="-40"/>
              </w:rPr>
              <w:t xml:space="preserve"> </w:t>
            </w:r>
            <w:r>
              <w:rPr>
                <w:spacing w:val="-2"/>
              </w:rPr>
              <w:t>2030 </w:t>
            </w:r>
            <w:r>
              <w:rPr>
                <w:rFonts w:ascii="SimSun" w:hAnsi="SimSun" w:eastAsia="SimSun" w:cs="SimSun"/>
                <w:spacing w:val="-2"/>
              </w:rPr>
              <w:t>年，受</w:t>
            </w:r>
            <w:r>
              <w:rPr>
                <w:rFonts w:ascii="SimSun" w:hAnsi="SimSun" w:eastAsia="SimSun" w:cs="SimSun"/>
                <w:spacing w:val="8"/>
              </w:rPr>
              <w:t>污染耕地安全利用</w:t>
            </w:r>
            <w:r>
              <w:rPr>
                <w:rFonts w:ascii="SimSun" w:hAnsi="SimSun" w:eastAsia="SimSun" w:cs="SimSun"/>
                <w:spacing w:val="8"/>
              </w:rPr>
              <w:t>率持续稳定，重点</w:t>
            </w:r>
            <w:r>
              <w:rPr>
                <w:rFonts w:ascii="SimSun" w:hAnsi="SimSun" w:eastAsia="SimSun" w:cs="SimSun"/>
                <w:spacing w:val="8"/>
              </w:rPr>
              <w:t>建设用地得到安全</w:t>
            </w:r>
            <w:r>
              <w:rPr>
                <w:rFonts w:ascii="SimSun" w:hAnsi="SimSun" w:eastAsia="SimSun" w:cs="SimSun"/>
                <w:spacing w:val="5"/>
              </w:rPr>
              <w:t>利用</w:t>
            </w:r>
          </w:p>
        </w:tc>
        <w:tc>
          <w:tcPr>
            <w:tcW w:w="1837" w:type="dxa"/>
            <w:vAlign w:val="top"/>
          </w:tcPr>
          <w:p>
            <w:pPr>
              <w:spacing w:line="305" w:lineRule="auto"/>
              <w:rPr>
                <w:rFonts w:ascii="Arial"/>
                <w:sz w:val="21"/>
              </w:rPr>
            </w:pPr>
            <w:r/>
          </w:p>
          <w:p>
            <w:pPr>
              <w:spacing w:line="305" w:lineRule="auto"/>
              <w:rPr>
                <w:rFonts w:ascii="Arial"/>
                <w:sz w:val="21"/>
              </w:rPr>
            </w:pPr>
            <w:r/>
          </w:p>
          <w:p>
            <w:pPr>
              <w:spacing w:line="305" w:lineRule="auto"/>
              <w:rPr>
                <w:rFonts w:ascii="Arial"/>
                <w:sz w:val="21"/>
              </w:rPr>
            </w:pPr>
            <w:r/>
          </w:p>
          <w:p>
            <w:pPr>
              <w:ind w:left="110" w:right="259" w:firstLine="4"/>
              <w:spacing w:before="65" w:line="251" w:lineRule="auto"/>
              <w:rPr>
                <w:rFonts w:ascii="SimSun" w:hAnsi="SimSun" w:eastAsia="SimSun" w:cs="SimSun"/>
                <w:sz w:val="20"/>
                <w:szCs w:val="20"/>
              </w:rPr>
            </w:pPr>
            <w:r>
              <w:rPr>
                <w:rFonts w:ascii="SimSun" w:hAnsi="SimSun" w:eastAsia="SimSun" w:cs="SimSun"/>
                <w:sz w:val="20"/>
                <w:szCs w:val="20"/>
                <w:spacing w:val="8"/>
              </w:rPr>
              <w:t>项目区周围不涉</w:t>
            </w:r>
            <w:r>
              <w:rPr>
                <w:rFonts w:ascii="SimSun" w:hAnsi="SimSun" w:eastAsia="SimSun" w:cs="SimSun"/>
                <w:sz w:val="20"/>
                <w:szCs w:val="20"/>
                <w:spacing w:val="7"/>
              </w:rPr>
              <w:t>及耕地</w:t>
            </w:r>
          </w:p>
        </w:tc>
        <w:tc>
          <w:tcPr>
            <w:tcW w:w="2951" w:type="dxa"/>
            <w:vAlign w:val="top"/>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ind w:left="430"/>
              <w:spacing w:before="65" w:line="227" w:lineRule="auto"/>
              <w:rPr>
                <w:rFonts w:ascii="SimSun" w:hAnsi="SimSun" w:eastAsia="SimSun" w:cs="SimSun"/>
                <w:sz w:val="20"/>
                <w:szCs w:val="20"/>
              </w:rPr>
            </w:pPr>
            <w:r>
              <w:rPr>
                <w:rFonts w:ascii="SimSun" w:hAnsi="SimSun" w:eastAsia="SimSun" w:cs="SimSun"/>
                <w:sz w:val="20"/>
                <w:szCs w:val="20"/>
                <w:spacing w:val="8"/>
              </w:rPr>
              <w:t>本项目不涉及新增占地</w:t>
            </w:r>
          </w:p>
        </w:tc>
      </w:tr>
    </w:tbl>
    <w:p>
      <w:pPr>
        <w:pStyle w:val="BodyText"/>
        <w:spacing w:line="251" w:lineRule="auto"/>
        <w:rPr/>
      </w:pPr>
      <w:r/>
    </w:p>
    <w:p>
      <w:pPr>
        <w:pStyle w:val="BodyText"/>
        <w:spacing w:line="251" w:lineRule="auto"/>
        <w:rPr/>
      </w:pPr>
      <w:r/>
    </w:p>
    <w:p>
      <w:pPr>
        <w:ind w:left="600"/>
        <w:spacing w:before="78" w:line="220" w:lineRule="auto"/>
        <w:rPr>
          <w:rFonts w:ascii="SimSun" w:hAnsi="SimSun" w:eastAsia="SimSun" w:cs="SimSun"/>
          <w:sz w:val="24"/>
          <w:szCs w:val="24"/>
        </w:rPr>
      </w:pP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5"/>
        </w:rPr>
        <w:t>、资源利用上线</w:t>
      </w:r>
    </w:p>
    <w:p>
      <w:pPr>
        <w:ind w:left="119" w:right="230" w:firstLine="480"/>
        <w:spacing w:before="155" w:line="340" w:lineRule="auto"/>
        <w:rPr>
          <w:rFonts w:ascii="SimSun" w:hAnsi="SimSun" w:eastAsia="SimSun" w:cs="SimSun"/>
          <w:sz w:val="24"/>
          <w:szCs w:val="24"/>
        </w:rPr>
      </w:pPr>
      <w:r>
        <w:rPr>
          <w:rFonts w:ascii="SimSun" w:hAnsi="SimSun" w:eastAsia="SimSun" w:cs="SimSun"/>
          <w:sz w:val="24"/>
          <w:szCs w:val="24"/>
          <w:spacing w:val="-2"/>
        </w:rPr>
        <w:t>本项目供暖利用金山电厂余热，生活用水来源于纯水车间处理后的矿井疏干水，生</w:t>
      </w:r>
      <w:r>
        <w:rPr>
          <w:rFonts w:ascii="SimSun" w:hAnsi="SimSun" w:eastAsia="SimSun" w:cs="SimSun"/>
          <w:sz w:val="24"/>
          <w:szCs w:val="24"/>
          <w:spacing w:val="-2"/>
        </w:rPr>
        <w:t>产用水来自于矿井疏干水。项目资源消耗量相对区域资源利用总量较少，符合区域资源</w:t>
      </w:r>
      <w:r>
        <w:rPr>
          <w:rFonts w:ascii="SimSun" w:hAnsi="SimSun" w:eastAsia="SimSun" w:cs="SimSun"/>
          <w:sz w:val="24"/>
          <w:szCs w:val="24"/>
          <w:spacing w:val="-2"/>
        </w:rPr>
        <w:t>利用上线要求。</w:t>
      </w:r>
    </w:p>
    <w:p>
      <w:pPr>
        <w:spacing w:line="340" w:lineRule="auto"/>
        <w:sectPr>
          <w:headerReference w:type="default" r:id="rId561"/>
          <w:footerReference w:type="default" r:id="rId562"/>
          <w:pgSz w:w="11906" w:h="16838"/>
          <w:pgMar w:top="1170" w:right="1186" w:bottom="1080" w:left="1305" w:header="837" w:footer="918" w:gutter="0"/>
        </w:sectPr>
        <w:rPr>
          <w:rFonts w:ascii="SimSun" w:hAnsi="SimSun" w:eastAsia="SimSun" w:cs="SimSun"/>
          <w:sz w:val="24"/>
          <w:szCs w:val="24"/>
        </w:rPr>
      </w:pPr>
    </w:p>
    <w:p>
      <w:pPr>
        <w:pStyle w:val="BodyText"/>
        <w:spacing w:line="312" w:lineRule="auto"/>
        <w:rPr/>
      </w:pPr>
      <w:r/>
    </w:p>
    <w:p>
      <w:pPr>
        <w:ind w:left="483"/>
        <w:spacing w:before="78"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29"/>
        </w:rPr>
        <w:t xml:space="preserve"> </w:t>
      </w:r>
      <w:r>
        <w:rPr>
          <w:rFonts w:ascii="SimSun" w:hAnsi="SimSun" w:eastAsia="SimSun" w:cs="SimSun"/>
          <w:sz w:val="24"/>
          <w:szCs w:val="24"/>
          <w:spacing w:val="-3"/>
        </w:rPr>
        <w:t>、生态环境准入负面清单</w:t>
      </w:r>
    </w:p>
    <w:p>
      <w:pPr>
        <w:ind w:left="9" w:firstLine="480"/>
        <w:spacing w:before="157" w:line="339" w:lineRule="auto"/>
        <w:rPr>
          <w:rFonts w:ascii="SimSun" w:hAnsi="SimSun" w:eastAsia="SimSun" w:cs="SimSun"/>
          <w:sz w:val="24"/>
          <w:szCs w:val="24"/>
        </w:rPr>
      </w:pPr>
      <w:r>
        <w:rPr>
          <w:rFonts w:ascii="SimSun" w:hAnsi="SimSun" w:eastAsia="SimSun" w:cs="SimSun"/>
          <w:sz w:val="24"/>
          <w:szCs w:val="24"/>
          <w:spacing w:val="-2"/>
        </w:rPr>
        <w:t>本项目位于白音华矿区内，井田范围涉及重点管控单元一个（西乌珠穆沁旗采矿用</w:t>
      </w:r>
      <w:r>
        <w:rPr>
          <w:rFonts w:ascii="SimSun" w:hAnsi="SimSun" w:eastAsia="SimSun" w:cs="SimSun"/>
          <w:sz w:val="24"/>
          <w:szCs w:val="24"/>
          <w:spacing w:val="-1"/>
        </w:rPr>
        <w:t>地</w:t>
      </w:r>
      <w:r>
        <w:rPr>
          <w:rFonts w:ascii="SimSun" w:hAnsi="SimSun" w:eastAsia="SimSun" w:cs="SimSun"/>
          <w:sz w:val="24"/>
          <w:szCs w:val="24"/>
          <w:spacing w:val="-3"/>
        </w:rPr>
        <w:t>），</w:t>
      </w:r>
      <w:r>
        <w:rPr>
          <w:rFonts w:ascii="SimSun" w:hAnsi="SimSun" w:eastAsia="SimSun" w:cs="SimSun"/>
          <w:sz w:val="24"/>
          <w:szCs w:val="24"/>
          <w:spacing w:val="-1"/>
        </w:rPr>
        <w:t>一般管控单元一个（西乌珠穆沁旗一般管</w:t>
      </w:r>
      <w:r>
        <w:rPr>
          <w:rFonts w:ascii="SimSun" w:hAnsi="SimSun" w:eastAsia="SimSun" w:cs="SimSun"/>
          <w:sz w:val="24"/>
          <w:szCs w:val="24"/>
          <w:spacing w:val="-2"/>
        </w:rPr>
        <w:t>控单元）。本项目与锡林郭勒盟生态环</w:t>
      </w:r>
      <w:r>
        <w:rPr>
          <w:rFonts w:ascii="SimSun" w:hAnsi="SimSun" w:eastAsia="SimSun" w:cs="SimSun"/>
          <w:sz w:val="24"/>
          <w:szCs w:val="24"/>
          <w:spacing w:val="-3"/>
        </w:rPr>
        <w:t>境准入清单对比情况见表</w:t>
      </w:r>
      <w:r>
        <w:rPr>
          <w:rFonts w:ascii="SimSun" w:hAnsi="SimSun" w:eastAsia="SimSun" w:cs="SimSun"/>
          <w:sz w:val="24"/>
          <w:szCs w:val="24"/>
          <w:spacing w:val="-18"/>
        </w:rPr>
        <w:t xml:space="preserve"> </w:t>
      </w:r>
      <w:r>
        <w:rPr>
          <w:rFonts w:ascii="Times New Roman" w:hAnsi="Times New Roman" w:eastAsia="Times New Roman" w:cs="Times New Roman"/>
          <w:sz w:val="24"/>
          <w:szCs w:val="24"/>
          <w:spacing w:val="-3"/>
        </w:rPr>
        <w:t>10-3-3</w:t>
      </w:r>
      <w:r>
        <w:rPr>
          <w:rFonts w:ascii="SimSun" w:hAnsi="SimSun" w:eastAsia="SimSun" w:cs="SimSun"/>
          <w:sz w:val="24"/>
          <w:szCs w:val="24"/>
          <w:spacing w:val="-3"/>
        </w:rPr>
        <w:t>。</w:t>
      </w:r>
    </w:p>
    <w:p>
      <w:pPr>
        <w:spacing w:line="339" w:lineRule="auto"/>
        <w:sectPr>
          <w:headerReference w:type="default" r:id="rId79"/>
          <w:footerReference w:type="default" r:id="rId563"/>
          <w:pgSz w:w="11906" w:h="16838"/>
          <w:pgMar w:top="1170" w:right="1417" w:bottom="1080" w:left="1416" w:header="837" w:footer="918" w:gutter="0"/>
        </w:sectPr>
        <w:rPr>
          <w:rFonts w:ascii="SimSun" w:hAnsi="SimSun" w:eastAsia="SimSun" w:cs="SimSun"/>
          <w:sz w:val="24"/>
          <w:szCs w:val="24"/>
        </w:rPr>
      </w:pPr>
    </w:p>
    <w:p>
      <w:pPr>
        <w:pStyle w:val="BodyText"/>
        <w:spacing w:line="313" w:lineRule="auto"/>
        <w:rPr/>
      </w:pPr>
      <w:r/>
    </w:p>
    <w:p>
      <w:pPr>
        <w:ind w:left="4011"/>
        <w:spacing w:before="78" w:line="219" w:lineRule="auto"/>
        <w:rPr>
          <w:rFonts w:ascii="SimSun" w:hAnsi="SimSun" w:eastAsia="SimSun" w:cs="SimSun"/>
          <w:sz w:val="24"/>
          <w:szCs w:val="24"/>
        </w:rPr>
      </w:pPr>
      <w:r>
        <w:rPr>
          <w:rFonts w:ascii="SimSun" w:hAnsi="SimSun" w:eastAsia="SimSun" w:cs="SimSun"/>
          <w:sz w:val="24"/>
          <w:szCs w:val="24"/>
          <w:b/>
          <w:bCs/>
          <w:spacing w:val="-2"/>
        </w:rPr>
        <w:t>本项目与锡林郭勒盟生态环境分区管控方案要</w:t>
      </w:r>
      <w:r>
        <w:rPr>
          <w:rFonts w:ascii="SimSun" w:hAnsi="SimSun" w:eastAsia="SimSun" w:cs="SimSun"/>
          <w:sz w:val="24"/>
          <w:szCs w:val="24"/>
          <w:b/>
          <w:bCs/>
          <w:spacing w:val="-3"/>
        </w:rPr>
        <w:t>求符合性分析表</w:t>
      </w:r>
    </w:p>
    <w:p>
      <w:pPr>
        <w:ind w:left="358"/>
        <w:spacing w:before="154" w:line="221" w:lineRule="auto"/>
        <w:rPr>
          <w:rFonts w:ascii="Times New Roman" w:hAnsi="Times New Roman" w:eastAsia="Times New Roman" w:cs="Times New Roman"/>
          <w:sz w:val="24"/>
          <w:szCs w:val="24"/>
        </w:rPr>
      </w:pPr>
      <w:r>
        <w:rPr>
          <w:rFonts w:ascii="SimSun" w:hAnsi="SimSun" w:eastAsia="SimSun" w:cs="SimSun"/>
          <w:sz w:val="24"/>
          <w:szCs w:val="24"/>
          <w:spacing w:val="-6"/>
        </w:rPr>
        <w:t>表</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6"/>
        </w:rPr>
        <w:t>10-3-3</w:t>
      </w:r>
    </w:p>
    <w:p>
      <w:pPr>
        <w:spacing w:line="108" w:lineRule="auto"/>
        <w:rPr>
          <w:rFonts w:ascii="Arial"/>
          <w:sz w:val="2"/>
        </w:rPr>
      </w:pPr>
      <w:r>
        <w:rPr>
          <w:rFonts w:ascii="Arial"/>
          <w:sz w:val="2"/>
        </w:r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0"/>
        <w:gridCol w:w="1185"/>
        <w:gridCol w:w="1075"/>
        <w:gridCol w:w="974"/>
        <w:gridCol w:w="4664"/>
        <w:gridCol w:w="2418"/>
        <w:gridCol w:w="2421"/>
      </w:tblGrid>
      <w:tr>
        <w:trPr>
          <w:trHeight w:val="553" w:hRule="atLeast"/>
        </w:trPr>
        <w:tc>
          <w:tcPr>
            <w:tcW w:w="1770" w:type="dxa"/>
            <w:vAlign w:val="top"/>
          </w:tcPr>
          <w:p>
            <w:pPr>
              <w:ind w:left="781" w:right="149" w:hanging="627"/>
              <w:spacing w:before="33" w:line="235" w:lineRule="auto"/>
              <w:rPr>
                <w:rFonts w:ascii="SimSun" w:hAnsi="SimSun" w:eastAsia="SimSun" w:cs="SimSun"/>
                <w:sz w:val="20"/>
                <w:szCs w:val="20"/>
              </w:rPr>
            </w:pPr>
            <w:r>
              <w:rPr>
                <w:rFonts w:ascii="SimSun" w:hAnsi="SimSun" w:eastAsia="SimSun" w:cs="SimSun"/>
                <w:sz w:val="20"/>
                <w:szCs w:val="20"/>
                <w:spacing w:val="8"/>
              </w:rPr>
              <w:t>环境管控单元编</w:t>
            </w:r>
            <w:r>
              <w:rPr>
                <w:rFonts w:ascii="SimSun" w:hAnsi="SimSun" w:eastAsia="SimSun" w:cs="SimSun"/>
                <w:sz w:val="20"/>
                <w:szCs w:val="20"/>
                <w:spacing w:val="1"/>
              </w:rPr>
              <w:t>码</w:t>
            </w:r>
          </w:p>
        </w:tc>
        <w:tc>
          <w:tcPr>
            <w:tcW w:w="1185" w:type="dxa"/>
            <w:vAlign w:val="top"/>
          </w:tcPr>
          <w:p>
            <w:pPr>
              <w:ind w:left="174"/>
              <w:spacing w:before="33" w:line="228" w:lineRule="auto"/>
              <w:rPr>
                <w:rFonts w:ascii="SimSun" w:hAnsi="SimSun" w:eastAsia="SimSun" w:cs="SimSun"/>
                <w:sz w:val="20"/>
                <w:szCs w:val="20"/>
              </w:rPr>
            </w:pPr>
            <w:r>
              <w:rPr>
                <w:rFonts w:ascii="SimSun" w:hAnsi="SimSun" w:eastAsia="SimSun" w:cs="SimSun"/>
                <w:sz w:val="20"/>
                <w:szCs w:val="20"/>
                <w:spacing w:val="7"/>
              </w:rPr>
              <w:t>环境管控</w:t>
            </w:r>
          </w:p>
          <w:p>
            <w:pPr>
              <w:ind w:left="176"/>
              <w:spacing w:before="24" w:line="220" w:lineRule="auto"/>
              <w:rPr>
                <w:rFonts w:ascii="SimSun" w:hAnsi="SimSun" w:eastAsia="SimSun" w:cs="SimSun"/>
                <w:sz w:val="20"/>
                <w:szCs w:val="20"/>
              </w:rPr>
            </w:pPr>
            <w:r>
              <w:rPr>
                <w:rFonts w:ascii="SimSun" w:hAnsi="SimSun" w:eastAsia="SimSun" w:cs="SimSun"/>
                <w:sz w:val="20"/>
                <w:szCs w:val="20"/>
                <w:spacing w:val="6"/>
              </w:rPr>
              <w:t>单元名称</w:t>
            </w:r>
          </w:p>
        </w:tc>
        <w:tc>
          <w:tcPr>
            <w:tcW w:w="1075" w:type="dxa"/>
            <w:vAlign w:val="top"/>
          </w:tcPr>
          <w:p>
            <w:pPr>
              <w:ind w:left="120"/>
              <w:spacing w:before="33" w:line="228" w:lineRule="auto"/>
              <w:rPr>
                <w:rFonts w:ascii="SimSun" w:hAnsi="SimSun" w:eastAsia="SimSun" w:cs="SimSun"/>
                <w:sz w:val="20"/>
                <w:szCs w:val="20"/>
              </w:rPr>
            </w:pPr>
            <w:r>
              <w:rPr>
                <w:rFonts w:ascii="SimSun" w:hAnsi="SimSun" w:eastAsia="SimSun" w:cs="SimSun"/>
                <w:sz w:val="20"/>
                <w:szCs w:val="20"/>
                <w:spacing w:val="7"/>
              </w:rPr>
              <w:t>环境管控</w:t>
            </w:r>
          </w:p>
          <w:p>
            <w:pPr>
              <w:ind w:left="121"/>
              <w:spacing w:before="24" w:line="220" w:lineRule="auto"/>
              <w:rPr>
                <w:rFonts w:ascii="SimSun" w:hAnsi="SimSun" w:eastAsia="SimSun" w:cs="SimSun"/>
                <w:sz w:val="20"/>
                <w:szCs w:val="20"/>
              </w:rPr>
            </w:pPr>
            <w:r>
              <w:rPr>
                <w:rFonts w:ascii="SimSun" w:hAnsi="SimSun" w:eastAsia="SimSun" w:cs="SimSun"/>
                <w:sz w:val="20"/>
                <w:szCs w:val="20"/>
                <w:spacing w:val="6"/>
              </w:rPr>
              <w:t>单元类别</w:t>
            </w:r>
          </w:p>
        </w:tc>
        <w:tc>
          <w:tcPr>
            <w:tcW w:w="5638" w:type="dxa"/>
            <w:vAlign w:val="top"/>
            <w:gridSpan w:val="2"/>
          </w:tcPr>
          <w:p>
            <w:pPr>
              <w:ind w:left="2407"/>
              <w:spacing w:before="167" w:line="228" w:lineRule="auto"/>
              <w:rPr>
                <w:rFonts w:ascii="SimSun" w:hAnsi="SimSun" w:eastAsia="SimSun" w:cs="SimSun"/>
                <w:sz w:val="20"/>
                <w:szCs w:val="20"/>
              </w:rPr>
            </w:pPr>
            <w:r>
              <w:rPr>
                <w:rFonts w:ascii="SimSun" w:hAnsi="SimSun" w:eastAsia="SimSun" w:cs="SimSun"/>
                <w:sz w:val="20"/>
                <w:szCs w:val="20"/>
                <w:spacing w:val="6"/>
              </w:rPr>
              <w:t>管控要求</w:t>
            </w:r>
          </w:p>
        </w:tc>
        <w:tc>
          <w:tcPr>
            <w:tcW w:w="2418" w:type="dxa"/>
            <w:vAlign w:val="top"/>
          </w:tcPr>
          <w:p>
            <w:pPr>
              <w:ind w:left="900"/>
              <w:spacing w:before="168" w:line="227" w:lineRule="auto"/>
              <w:rPr>
                <w:rFonts w:ascii="SimSun" w:hAnsi="SimSun" w:eastAsia="SimSun" w:cs="SimSun"/>
                <w:sz w:val="20"/>
                <w:szCs w:val="20"/>
              </w:rPr>
            </w:pPr>
            <w:r>
              <w:rPr>
                <w:rFonts w:ascii="SimSun" w:hAnsi="SimSun" w:eastAsia="SimSun" w:cs="SimSun"/>
                <w:sz w:val="20"/>
                <w:szCs w:val="20"/>
                <w:spacing w:val="6"/>
              </w:rPr>
              <w:t>本项目</w:t>
            </w:r>
          </w:p>
        </w:tc>
        <w:tc>
          <w:tcPr>
            <w:tcW w:w="2421" w:type="dxa"/>
            <w:vAlign w:val="top"/>
          </w:tcPr>
          <w:p>
            <w:pPr>
              <w:ind w:left="900"/>
              <w:spacing w:before="167" w:line="228" w:lineRule="auto"/>
              <w:rPr>
                <w:rFonts w:ascii="SimSun" w:hAnsi="SimSun" w:eastAsia="SimSun" w:cs="SimSun"/>
                <w:sz w:val="20"/>
                <w:szCs w:val="20"/>
              </w:rPr>
            </w:pPr>
            <w:r>
              <w:rPr>
                <w:rFonts w:ascii="SimSun" w:hAnsi="SimSun" w:eastAsia="SimSun" w:cs="SimSun"/>
                <w:sz w:val="20"/>
                <w:szCs w:val="20"/>
                <w:spacing w:val="6"/>
              </w:rPr>
              <w:t>符合性</w:t>
            </w:r>
          </w:p>
        </w:tc>
      </w:tr>
      <w:tr>
        <w:trPr>
          <w:trHeight w:val="7356" w:hRule="atLeast"/>
        </w:trPr>
        <w:tc>
          <w:tcPr>
            <w:tcW w:w="1770" w:type="dxa"/>
            <w:vAlign w:val="top"/>
          </w:tcPr>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pStyle w:val="TableText"/>
              <w:ind w:left="165"/>
              <w:spacing w:before="58" w:line="195" w:lineRule="auto"/>
              <w:rPr/>
            </w:pPr>
            <w:r>
              <w:rPr/>
              <w:t>ZH</w:t>
            </w:r>
            <w:r>
              <w:rPr>
                <w:spacing w:val="6"/>
              </w:rPr>
              <w:t>15252620002</w:t>
            </w:r>
          </w:p>
        </w:tc>
        <w:tc>
          <w:tcPr>
            <w:tcW w:w="1185" w:type="dxa"/>
            <w:vAlign w:val="top"/>
          </w:tcPr>
          <w:p>
            <w:pPr>
              <w:spacing w:line="246" w:lineRule="auto"/>
              <w:rPr>
                <w:rFonts w:ascii="Arial"/>
                <w:sz w:val="21"/>
              </w:rPr>
            </w:pPr>
            <w:r/>
          </w:p>
          <w:p>
            <w:pPr>
              <w:spacing w:line="246"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spacing w:line="247" w:lineRule="auto"/>
              <w:rPr>
                <w:rFonts w:ascii="Arial"/>
                <w:sz w:val="21"/>
              </w:rPr>
            </w:pPr>
            <w:r/>
          </w:p>
          <w:p>
            <w:pPr>
              <w:ind w:left="179"/>
              <w:spacing w:before="65" w:line="228" w:lineRule="auto"/>
              <w:rPr>
                <w:rFonts w:ascii="SimSun" w:hAnsi="SimSun" w:eastAsia="SimSun" w:cs="SimSun"/>
                <w:sz w:val="20"/>
                <w:szCs w:val="20"/>
              </w:rPr>
            </w:pPr>
            <w:r>
              <w:rPr>
                <w:rFonts w:ascii="SimSun" w:hAnsi="SimSun" w:eastAsia="SimSun" w:cs="SimSun"/>
                <w:sz w:val="20"/>
                <w:szCs w:val="20"/>
                <w:spacing w:val="6"/>
              </w:rPr>
              <w:t>西乌珠穆</w:t>
            </w:r>
          </w:p>
          <w:p>
            <w:pPr>
              <w:ind w:left="177"/>
              <w:spacing w:before="28" w:line="227" w:lineRule="auto"/>
              <w:rPr>
                <w:rFonts w:ascii="SimSun" w:hAnsi="SimSun" w:eastAsia="SimSun" w:cs="SimSun"/>
                <w:sz w:val="20"/>
                <w:szCs w:val="20"/>
              </w:rPr>
            </w:pPr>
            <w:r>
              <w:rPr>
                <w:rFonts w:ascii="SimSun" w:hAnsi="SimSun" w:eastAsia="SimSun" w:cs="SimSun"/>
                <w:sz w:val="20"/>
                <w:szCs w:val="20"/>
                <w:spacing w:val="6"/>
              </w:rPr>
              <w:t>沁旗采矿</w:t>
            </w:r>
          </w:p>
          <w:p>
            <w:pPr>
              <w:ind w:left="385"/>
              <w:spacing w:before="25" w:line="229" w:lineRule="auto"/>
              <w:rPr>
                <w:rFonts w:ascii="SimSun" w:hAnsi="SimSun" w:eastAsia="SimSun" w:cs="SimSun"/>
                <w:sz w:val="20"/>
                <w:szCs w:val="20"/>
              </w:rPr>
            </w:pPr>
            <w:r>
              <w:rPr>
                <w:rFonts w:ascii="SimSun" w:hAnsi="SimSun" w:eastAsia="SimSun" w:cs="SimSun"/>
                <w:sz w:val="20"/>
                <w:szCs w:val="20"/>
                <w:spacing w:val="3"/>
              </w:rPr>
              <w:t>用地</w:t>
            </w:r>
          </w:p>
        </w:tc>
        <w:tc>
          <w:tcPr>
            <w:tcW w:w="1075" w:type="dxa"/>
            <w:vAlign w:val="top"/>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332" w:right="120" w:hanging="212"/>
              <w:spacing w:before="65" w:line="254" w:lineRule="auto"/>
              <w:rPr>
                <w:rFonts w:ascii="SimSun" w:hAnsi="SimSun" w:eastAsia="SimSun" w:cs="SimSun"/>
                <w:sz w:val="20"/>
                <w:szCs w:val="20"/>
              </w:rPr>
            </w:pPr>
            <w:r>
              <w:rPr>
                <w:rFonts w:ascii="SimSun" w:hAnsi="SimSun" w:eastAsia="SimSun" w:cs="SimSun"/>
                <w:sz w:val="20"/>
                <w:szCs w:val="20"/>
                <w:spacing w:val="7"/>
              </w:rPr>
              <w:t>重点管控</w:t>
            </w:r>
            <w:r>
              <w:rPr>
                <w:rFonts w:ascii="SimSun" w:hAnsi="SimSun" w:eastAsia="SimSun" w:cs="SimSun"/>
                <w:sz w:val="20"/>
                <w:szCs w:val="20"/>
                <w:spacing w:val="3"/>
              </w:rPr>
              <w:t>单元</w:t>
            </w:r>
          </w:p>
        </w:tc>
        <w:tc>
          <w:tcPr>
            <w:tcW w:w="974" w:type="dxa"/>
            <w:vAlign w:val="top"/>
          </w:tcPr>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7"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spacing w:line="258" w:lineRule="auto"/>
              <w:rPr>
                <w:rFonts w:ascii="Arial"/>
                <w:sz w:val="21"/>
              </w:rPr>
            </w:pPr>
            <w:r/>
          </w:p>
          <w:p>
            <w:pPr>
              <w:ind w:left="178" w:right="172" w:firstLine="3"/>
              <w:spacing w:before="65" w:line="254" w:lineRule="auto"/>
              <w:rPr>
                <w:rFonts w:ascii="SimSun" w:hAnsi="SimSun" w:eastAsia="SimSun" w:cs="SimSun"/>
                <w:sz w:val="20"/>
                <w:szCs w:val="20"/>
              </w:rPr>
            </w:pPr>
            <w:r>
              <w:rPr>
                <w:rFonts w:ascii="SimSun" w:hAnsi="SimSun" w:eastAsia="SimSun" w:cs="SimSun"/>
                <w:sz w:val="20"/>
                <w:szCs w:val="20"/>
                <w:spacing w:val="4"/>
              </w:rPr>
              <w:t>空间布</w:t>
            </w:r>
            <w:r>
              <w:rPr>
                <w:rFonts w:ascii="SimSun" w:hAnsi="SimSun" w:eastAsia="SimSun" w:cs="SimSun"/>
                <w:sz w:val="20"/>
                <w:szCs w:val="20"/>
                <w:spacing w:val="6"/>
              </w:rPr>
              <w:t>局约束</w:t>
            </w:r>
          </w:p>
        </w:tc>
        <w:tc>
          <w:tcPr>
            <w:tcW w:w="4664" w:type="dxa"/>
            <w:vAlign w:val="top"/>
          </w:tcPr>
          <w:p>
            <w:pPr>
              <w:ind w:left="113" w:right="144"/>
              <w:spacing w:before="30" w:line="251" w:lineRule="auto"/>
              <w:jc w:val="both"/>
              <w:rPr>
                <w:rFonts w:ascii="SimSun" w:hAnsi="SimSun" w:eastAsia="SimSun" w:cs="SimSun"/>
                <w:sz w:val="20"/>
                <w:szCs w:val="20"/>
              </w:rPr>
            </w:pPr>
            <w:r>
              <w:rPr>
                <w:rFonts w:ascii="SimSun" w:hAnsi="SimSun" w:eastAsia="SimSun" w:cs="SimSun"/>
                <w:sz w:val="20"/>
                <w:szCs w:val="20"/>
                <w:spacing w:val="9"/>
              </w:rPr>
              <w:t>执行锡林郭勒盟总体准入要求中第十七条关于自</w:t>
            </w:r>
            <w:r>
              <w:rPr>
                <w:rFonts w:ascii="SimSun" w:hAnsi="SimSun" w:eastAsia="SimSun" w:cs="SimSun"/>
                <w:sz w:val="20"/>
                <w:szCs w:val="20"/>
                <w:spacing w:val="9"/>
              </w:rPr>
              <w:t>然保护区、饮用水源保护区等区域内矿产资源开</w:t>
            </w:r>
            <w:r>
              <w:rPr>
                <w:rFonts w:ascii="SimSun" w:hAnsi="SimSun" w:eastAsia="SimSun" w:cs="SimSun"/>
                <w:sz w:val="20"/>
                <w:szCs w:val="20"/>
                <w:spacing w:val="8"/>
              </w:rPr>
              <w:t>发活动准入及退出的要求；</w:t>
            </w:r>
          </w:p>
          <w:p>
            <w:pPr>
              <w:pStyle w:val="TableText"/>
              <w:ind w:left="112" w:right="18" w:firstLine="17"/>
              <w:spacing w:before="1" w:line="249" w:lineRule="auto"/>
              <w:rPr>
                <w:rFonts w:ascii="SimSun" w:hAnsi="SimSun" w:eastAsia="SimSun" w:cs="SimSun"/>
              </w:rPr>
            </w:pPr>
            <w:r>
              <w:rPr>
                <w:spacing w:val="5"/>
              </w:rPr>
              <w:t>1</w:t>
            </w:r>
            <w:r>
              <w:rPr>
                <w:rFonts w:ascii="SimSun" w:hAnsi="SimSun" w:eastAsia="SimSun" w:cs="SimSun"/>
                <w:spacing w:val="5"/>
              </w:rPr>
              <w:t>、非经国务院授权的有关主管部门同意，不得在</w:t>
            </w:r>
            <w:r>
              <w:rPr>
                <w:rFonts w:ascii="SimSun" w:hAnsi="SimSun" w:eastAsia="SimSun" w:cs="SimSun"/>
                <w:spacing w:val="8"/>
              </w:rPr>
              <w:t>以下地区开采矿产资源</w:t>
            </w:r>
            <w:r>
              <w:rPr>
                <w:rFonts w:ascii="SimSun" w:hAnsi="SimSun" w:eastAsia="SimSun" w:cs="SimSun"/>
                <w:spacing w:val="-11"/>
              </w:rPr>
              <w:t>：（</w:t>
            </w:r>
            <w:r>
              <w:rPr>
                <w:spacing w:val="8"/>
              </w:rPr>
              <w:t>1</w:t>
            </w:r>
            <w:r>
              <w:rPr>
                <w:rFonts w:ascii="SimSun" w:hAnsi="SimSun" w:eastAsia="SimSun" w:cs="SimSun"/>
                <w:spacing w:val="8"/>
              </w:rPr>
              <w:t>）港口、机场、国防</w:t>
            </w:r>
            <w:r>
              <w:rPr>
                <w:rFonts w:ascii="SimSun" w:hAnsi="SimSun" w:eastAsia="SimSun" w:cs="SimSun"/>
                <w:spacing w:val="11"/>
              </w:rPr>
              <w:t>工程建设设施圈定地区以内</w:t>
            </w:r>
            <w:r>
              <w:rPr>
                <w:rFonts w:ascii="SimSun" w:hAnsi="SimSun" w:eastAsia="SimSun" w:cs="SimSun"/>
                <w:spacing w:val="-2"/>
              </w:rPr>
              <w:t>；（</w:t>
            </w:r>
            <w:r>
              <w:rPr>
                <w:spacing w:val="11"/>
              </w:rPr>
              <w:t>2</w:t>
            </w:r>
            <w:r>
              <w:rPr>
                <w:rFonts w:ascii="SimSun" w:hAnsi="SimSun" w:eastAsia="SimSun" w:cs="SimSun"/>
                <w:spacing w:val="11"/>
              </w:rPr>
              <w:t>）重要工业区、</w:t>
            </w:r>
            <w:r>
              <w:rPr>
                <w:rFonts w:ascii="SimSun" w:hAnsi="SimSun" w:eastAsia="SimSun" w:cs="SimSun"/>
                <w:spacing w:val="9"/>
              </w:rPr>
              <w:t>大型水利工程设施、城镇市政工程设施附近一定</w:t>
            </w:r>
            <w:r>
              <w:rPr>
                <w:rFonts w:ascii="SimSun" w:hAnsi="SimSun" w:eastAsia="SimSun" w:cs="SimSun"/>
                <w:spacing w:val="9"/>
              </w:rPr>
              <w:t>距离以内</w:t>
            </w:r>
            <w:r>
              <w:rPr>
                <w:rFonts w:ascii="SimSun" w:hAnsi="SimSun" w:eastAsia="SimSun" w:cs="SimSun"/>
                <w:spacing w:val="-21"/>
              </w:rPr>
              <w:t>；（</w:t>
            </w:r>
            <w:r>
              <w:rPr>
                <w:spacing w:val="9"/>
              </w:rPr>
              <w:t>3</w:t>
            </w:r>
            <w:r>
              <w:rPr>
                <w:rFonts w:ascii="SimSun" w:hAnsi="SimSun" w:eastAsia="SimSun" w:cs="SimSun"/>
                <w:spacing w:val="9"/>
              </w:rPr>
              <w:t>）铁路、重要公路两侧一定距离以</w:t>
            </w:r>
            <w:r>
              <w:rPr>
                <w:rFonts w:ascii="SimSun" w:hAnsi="SimSun" w:eastAsia="SimSun" w:cs="SimSun"/>
                <w:spacing w:val="7"/>
              </w:rPr>
              <w:t>内</w:t>
            </w:r>
            <w:r>
              <w:rPr>
                <w:rFonts w:ascii="SimSun" w:hAnsi="SimSun" w:eastAsia="SimSun" w:cs="SimSun"/>
                <w:spacing w:val="-54"/>
              </w:rPr>
              <w:t>；（</w:t>
            </w:r>
            <w:r>
              <w:rPr>
                <w:spacing w:val="7"/>
              </w:rPr>
              <w:t>4</w:t>
            </w:r>
            <w:r>
              <w:rPr>
                <w:rFonts w:ascii="SimSun" w:hAnsi="SimSun" w:eastAsia="SimSun" w:cs="SimSun"/>
                <w:spacing w:val="7"/>
              </w:rPr>
              <w:t>）重要河流、堤坝两侧一定距离以内</w:t>
            </w:r>
            <w:r>
              <w:rPr>
                <w:rFonts w:ascii="SimSun" w:hAnsi="SimSun" w:eastAsia="SimSun" w:cs="SimSun"/>
                <w:spacing w:val="-54"/>
              </w:rPr>
              <w:t>；（</w:t>
            </w:r>
            <w:r>
              <w:rPr>
                <w:spacing w:val="7"/>
              </w:rPr>
              <w:t>5</w:t>
            </w:r>
            <w:r>
              <w:rPr>
                <w:rFonts w:ascii="SimSun" w:hAnsi="SimSun" w:eastAsia="SimSun" w:cs="SimSun"/>
                <w:spacing w:val="7"/>
              </w:rPr>
              <w:t>）</w:t>
            </w:r>
            <w:r>
              <w:rPr>
                <w:rFonts w:ascii="SimSun" w:hAnsi="SimSun" w:eastAsia="SimSun" w:cs="SimSun"/>
                <w:spacing w:val="9"/>
              </w:rPr>
              <w:t>国家划定的自然保护区、重要风景名胜区，国家</w:t>
            </w:r>
            <w:r>
              <w:rPr>
                <w:rFonts w:ascii="SimSun" w:hAnsi="SimSun" w:eastAsia="SimSun" w:cs="SimSun"/>
                <w:spacing w:val="9"/>
              </w:rPr>
              <w:t>重点保护的不能移动的历史文物和名胜古迹所在</w:t>
            </w:r>
            <w:r>
              <w:rPr>
                <w:rFonts w:ascii="SimSun" w:hAnsi="SimSun" w:eastAsia="SimSun" w:cs="SimSun"/>
                <w:spacing w:val="7"/>
              </w:rPr>
              <w:t>地</w:t>
            </w:r>
            <w:r>
              <w:rPr>
                <w:rFonts w:ascii="SimSun" w:hAnsi="SimSun" w:eastAsia="SimSun" w:cs="SimSun"/>
                <w:spacing w:val="-51"/>
                <w:w w:val="95"/>
              </w:rPr>
              <w:t>；（</w:t>
            </w:r>
            <w:r>
              <w:rPr>
                <w:spacing w:val="7"/>
              </w:rPr>
              <w:t>6</w:t>
            </w:r>
            <w:r>
              <w:rPr>
                <w:rFonts w:ascii="SimSun" w:hAnsi="SimSun" w:eastAsia="SimSun" w:cs="SimSun"/>
                <w:spacing w:val="7"/>
              </w:rPr>
              <w:t>）国家规定不得开采矿产资源的其他地区；</w:t>
            </w:r>
            <w:r>
              <w:rPr>
                <w:rFonts w:ascii="SimSun" w:hAnsi="SimSun" w:eastAsia="SimSun" w:cs="SimSun"/>
                <w:spacing w:val="8"/>
              </w:rPr>
              <w:t>禁止在自然保护区内从事开采活动。</w:t>
            </w:r>
          </w:p>
          <w:p>
            <w:pPr>
              <w:pStyle w:val="TableText"/>
              <w:ind w:left="111" w:right="106" w:hanging="2"/>
              <w:spacing w:before="24" w:line="239" w:lineRule="auto"/>
              <w:rPr>
                <w:rFonts w:ascii="SimSun" w:hAnsi="SimSun" w:eastAsia="SimSun" w:cs="SimSun"/>
              </w:rPr>
            </w:pPr>
            <w:r>
              <w:rPr>
                <w:spacing w:val="5"/>
              </w:rPr>
              <w:t>2</w:t>
            </w:r>
            <w:r>
              <w:rPr>
                <w:spacing w:val="-18"/>
              </w:rPr>
              <w:t xml:space="preserve"> </w:t>
            </w:r>
            <w:r>
              <w:rPr>
                <w:rFonts w:ascii="SimSun" w:hAnsi="SimSun" w:eastAsia="SimSun" w:cs="SimSun"/>
                <w:spacing w:val="5"/>
              </w:rPr>
              <w:t>、自然保护区内已有探矿权和采矿权，在维护矿</w:t>
            </w:r>
            <w:r>
              <w:rPr>
                <w:rFonts w:ascii="SimSun" w:hAnsi="SimSun" w:eastAsia="SimSun" w:cs="SimSun"/>
                <w:spacing w:val="8"/>
              </w:rPr>
              <w:t>业权人合法权益的前提下，依法有序退出。</w:t>
            </w:r>
          </w:p>
          <w:p>
            <w:pPr>
              <w:pStyle w:val="TableText"/>
              <w:ind w:left="113" w:right="144"/>
              <w:spacing w:before="28" w:line="251" w:lineRule="auto"/>
              <w:rPr>
                <w:rFonts w:ascii="SimSun" w:hAnsi="SimSun" w:eastAsia="SimSun" w:cs="SimSun"/>
              </w:rPr>
            </w:pPr>
            <w:r>
              <w:rPr>
                <w:rFonts w:ascii="SimSun" w:hAnsi="SimSun" w:eastAsia="SimSun" w:cs="SimSun"/>
                <w:spacing w:val="9"/>
              </w:rPr>
              <w:t>禁止在地质灾害危险区开采矿产资源。禁止新建</w:t>
            </w:r>
            <w:r>
              <w:rPr>
                <w:rFonts w:ascii="SimSun" w:hAnsi="SimSun" w:eastAsia="SimSun" w:cs="SimSun"/>
                <w:spacing w:val="7"/>
              </w:rPr>
              <w:t>煤层含硫量大于</w:t>
            </w:r>
            <w:r>
              <w:rPr>
                <w:rFonts w:ascii="SimSun" w:hAnsi="SimSun" w:eastAsia="SimSun" w:cs="SimSun"/>
                <w:spacing w:val="-39"/>
              </w:rPr>
              <w:t xml:space="preserve"> </w:t>
            </w:r>
            <w:r>
              <w:rPr>
                <w:spacing w:val="7"/>
              </w:rPr>
              <w:t>3%</w:t>
            </w:r>
            <w:r>
              <w:rPr>
                <w:rFonts w:ascii="SimSun" w:hAnsi="SimSun" w:eastAsia="SimSun" w:cs="SimSun"/>
                <w:spacing w:val="7"/>
              </w:rPr>
              <w:t>的煤矿。</w:t>
            </w:r>
          </w:p>
          <w:p>
            <w:pPr>
              <w:pStyle w:val="TableText"/>
              <w:ind w:left="112" w:right="106" w:firstLine="1"/>
              <w:spacing w:line="245" w:lineRule="auto"/>
              <w:rPr>
                <w:rFonts w:ascii="SimSun" w:hAnsi="SimSun" w:eastAsia="SimSun" w:cs="SimSun"/>
              </w:rPr>
            </w:pPr>
            <w:r>
              <w:rPr>
                <w:spacing w:val="6"/>
              </w:rPr>
              <w:t>3</w:t>
            </w:r>
            <w:r>
              <w:rPr>
                <w:rFonts w:ascii="SimSun" w:hAnsi="SimSun" w:eastAsia="SimSun" w:cs="SimSun"/>
                <w:spacing w:val="6"/>
              </w:rPr>
              <w:t>、实行严格的矿山地质环境准入制度。全面实行</w:t>
            </w:r>
            <w:r>
              <w:rPr>
                <w:rFonts w:ascii="SimSun" w:hAnsi="SimSun" w:eastAsia="SimSun" w:cs="SimSun"/>
                <w:spacing w:val="9"/>
              </w:rPr>
              <w:t>矿山地质环境保护与治理恢复方案、矿产资源开</w:t>
            </w:r>
            <w:r>
              <w:rPr>
                <w:rFonts w:ascii="SimSun" w:hAnsi="SimSun" w:eastAsia="SimSun" w:cs="SimSun"/>
                <w:spacing w:val="9"/>
              </w:rPr>
              <w:t>发利用方案同步编制、同步审查、同步实施的制</w:t>
            </w:r>
            <w:r>
              <w:rPr>
                <w:rFonts w:ascii="SimSun" w:hAnsi="SimSun" w:eastAsia="SimSun" w:cs="SimSun"/>
                <w:spacing w:val="7"/>
              </w:rPr>
              <w:t>度和社会公示制度。</w:t>
            </w:r>
          </w:p>
          <w:p>
            <w:pPr>
              <w:pStyle w:val="TableText"/>
              <w:ind w:left="113" w:right="106" w:hanging="5"/>
              <w:spacing w:before="28" w:line="245" w:lineRule="auto"/>
              <w:rPr>
                <w:rFonts w:ascii="SimSun" w:hAnsi="SimSun" w:eastAsia="SimSun" w:cs="SimSun"/>
              </w:rPr>
            </w:pPr>
            <w:r>
              <w:rPr>
                <w:spacing w:val="7"/>
              </w:rPr>
              <w:t>4</w:t>
            </w:r>
            <w:r>
              <w:rPr>
                <w:rFonts w:ascii="SimSun" w:hAnsi="SimSun" w:eastAsia="SimSun" w:cs="SimSun"/>
                <w:spacing w:val="7"/>
              </w:rPr>
              <w:t>、</w:t>
            </w:r>
            <w:r>
              <w:rPr>
                <w:spacing w:val="7"/>
              </w:rPr>
              <w:t>“</w:t>
            </w:r>
            <w:r>
              <w:rPr>
                <w:rFonts w:ascii="SimSun" w:hAnsi="SimSun" w:eastAsia="SimSun" w:cs="SimSun"/>
                <w:spacing w:val="7"/>
              </w:rPr>
              <w:t>三区两线</w:t>
            </w:r>
            <w:r>
              <w:rPr>
                <w:spacing w:val="7"/>
              </w:rPr>
              <w:t>”</w:t>
            </w:r>
            <w:r>
              <w:rPr>
                <w:rFonts w:ascii="SimSun" w:hAnsi="SimSun" w:eastAsia="SimSun" w:cs="SimSun"/>
                <w:spacing w:val="7"/>
              </w:rPr>
              <w:t>范围和矿产资源禁止开采区内不得</w:t>
            </w:r>
            <w:r>
              <w:rPr>
                <w:rFonts w:ascii="SimSun" w:hAnsi="SimSun" w:eastAsia="SimSun" w:cs="SimSun"/>
                <w:spacing w:val="9"/>
              </w:rPr>
              <w:t>新设置开采矿山。规划期内未达到绿色矿山建设</w:t>
            </w:r>
            <w:r>
              <w:rPr>
                <w:rFonts w:ascii="SimSun" w:hAnsi="SimSun" w:eastAsia="SimSun" w:cs="SimSun"/>
                <w:spacing w:val="9"/>
              </w:rPr>
              <w:t>标准的停产矿山，依法依规逐步退出市场。禁止</w:t>
            </w:r>
            <w:r>
              <w:rPr>
                <w:rFonts w:ascii="SimSun" w:hAnsi="SimSun" w:eastAsia="SimSun" w:cs="SimSun"/>
                <w:spacing w:val="9"/>
              </w:rPr>
              <w:t>建设不符合国家产业结构调整指导目录中的项</w:t>
            </w:r>
          </w:p>
          <w:p>
            <w:pPr>
              <w:ind w:left="153"/>
              <w:spacing w:before="27" w:line="231" w:lineRule="auto"/>
              <w:rPr>
                <w:rFonts w:ascii="SimSun" w:hAnsi="SimSun" w:eastAsia="SimSun" w:cs="SimSun"/>
                <w:sz w:val="20"/>
                <w:szCs w:val="20"/>
              </w:rPr>
            </w:pPr>
            <w:r>
              <w:rPr>
                <w:rFonts w:ascii="SimSun" w:hAnsi="SimSun" w:eastAsia="SimSun" w:cs="SimSun"/>
                <w:sz w:val="20"/>
                <w:szCs w:val="20"/>
                <w:spacing w:val="-20"/>
              </w:rPr>
              <w:t>目。</w:t>
            </w:r>
          </w:p>
          <w:p>
            <w:pPr>
              <w:pStyle w:val="TableText"/>
              <w:ind w:left="115"/>
              <w:spacing w:before="21" w:line="218" w:lineRule="auto"/>
              <w:rPr>
                <w:rFonts w:ascii="SimSun" w:hAnsi="SimSun" w:eastAsia="SimSun" w:cs="SimSun"/>
              </w:rPr>
            </w:pPr>
            <w:r>
              <w:rPr>
                <w:spacing w:val="6"/>
              </w:rPr>
              <w:t>5</w:t>
            </w:r>
            <w:r>
              <w:rPr>
                <w:rFonts w:ascii="SimSun" w:hAnsi="SimSun" w:eastAsia="SimSun" w:cs="SimSun"/>
                <w:spacing w:val="6"/>
              </w:rPr>
              <w:t>、禁止在城区和国省干线公路、二级公路可视范</w:t>
            </w:r>
          </w:p>
        </w:tc>
        <w:tc>
          <w:tcPr>
            <w:tcW w:w="2418" w:type="dxa"/>
            <w:vAlign w:val="top"/>
          </w:tcPr>
          <w:p>
            <w:pPr>
              <w:pStyle w:val="TableText"/>
              <w:ind w:left="115" w:right="107" w:firstLine="16"/>
              <w:spacing w:before="28" w:line="249" w:lineRule="auto"/>
              <w:rPr>
                <w:rFonts w:ascii="SimSun" w:hAnsi="SimSun" w:eastAsia="SimSun" w:cs="SimSun"/>
              </w:rPr>
            </w:pPr>
            <w:r>
              <w:rPr>
                <w:spacing w:val="4"/>
              </w:rPr>
              <w:t>1</w:t>
            </w:r>
            <w:r>
              <w:rPr>
                <w:spacing w:val="-21"/>
              </w:rPr>
              <w:t xml:space="preserve"> </w:t>
            </w:r>
            <w:r>
              <w:rPr>
                <w:rFonts w:ascii="SimSun" w:hAnsi="SimSun" w:eastAsia="SimSun" w:cs="SimSun"/>
                <w:spacing w:val="4"/>
              </w:rPr>
              <w:t>、本项目位于白音华矿</w:t>
            </w:r>
            <w:r>
              <w:rPr>
                <w:rFonts w:ascii="SimSun" w:hAnsi="SimSun" w:eastAsia="SimSun" w:cs="SimSun"/>
                <w:spacing w:val="8"/>
              </w:rPr>
              <w:t>区范围内，本项目为在</w:t>
            </w:r>
            <w:r>
              <w:rPr>
                <w:rFonts w:ascii="SimSun" w:hAnsi="SimSun" w:eastAsia="SimSun" w:cs="SimSun"/>
                <w:spacing w:val="8"/>
              </w:rPr>
              <w:t>生产煤矿，不属于非经</w:t>
            </w:r>
            <w:r>
              <w:rPr>
                <w:rFonts w:ascii="SimSun" w:hAnsi="SimSun" w:eastAsia="SimSun" w:cs="SimSun"/>
                <w:spacing w:val="8"/>
              </w:rPr>
              <w:t>国务院授权的有关主管</w:t>
            </w:r>
            <w:r>
              <w:rPr>
                <w:rFonts w:ascii="SimSun" w:hAnsi="SimSun" w:eastAsia="SimSun" w:cs="SimSun"/>
                <w:spacing w:val="8"/>
              </w:rPr>
              <w:t>部门同意，不得在《中</w:t>
            </w:r>
            <w:r>
              <w:rPr>
                <w:rFonts w:ascii="SimSun" w:hAnsi="SimSun" w:eastAsia="SimSun" w:cs="SimSun"/>
                <w:spacing w:val="8"/>
              </w:rPr>
              <w:t>华人民共和国矿产资源</w:t>
            </w:r>
            <w:r>
              <w:rPr>
                <w:rFonts w:ascii="SimSun" w:hAnsi="SimSun" w:eastAsia="SimSun" w:cs="SimSun"/>
                <w:spacing w:val="7"/>
              </w:rPr>
              <w:t>法</w:t>
            </w:r>
            <w:r>
              <w:rPr>
                <w:spacing w:val="7"/>
              </w:rPr>
              <w:t>(</w:t>
            </w:r>
            <w:r>
              <w:rPr>
                <w:rFonts w:ascii="SimSun" w:hAnsi="SimSun" w:eastAsia="SimSun" w:cs="SimSun"/>
                <w:spacing w:val="7"/>
              </w:rPr>
              <w:t>修正</w:t>
            </w:r>
            <w:r>
              <w:rPr>
                <w:spacing w:val="7"/>
              </w:rPr>
              <w:t>)</w:t>
            </w:r>
            <w:r>
              <w:rPr>
                <w:rFonts w:ascii="SimSun" w:hAnsi="SimSun" w:eastAsia="SimSun" w:cs="SimSun"/>
                <w:spacing w:val="7"/>
              </w:rPr>
              <w:t>》中所列的 </w:t>
            </w:r>
            <w:r>
              <w:rPr>
                <w:spacing w:val="7"/>
              </w:rPr>
              <w:t>6</w:t>
            </w:r>
            <w:r>
              <w:rPr>
                <w:rFonts w:ascii="SimSun" w:hAnsi="SimSun" w:eastAsia="SimSun" w:cs="SimSun"/>
                <w:spacing w:val="8"/>
              </w:rPr>
              <w:t>种地区开采矿产资源的</w:t>
            </w:r>
            <w:r>
              <w:rPr>
                <w:rFonts w:ascii="SimSun" w:hAnsi="SimSun" w:eastAsia="SimSun" w:cs="SimSun"/>
                <w:spacing w:val="3"/>
              </w:rPr>
              <w:t>地区；</w:t>
            </w:r>
          </w:p>
          <w:p>
            <w:pPr>
              <w:pStyle w:val="TableText"/>
              <w:ind w:left="117" w:right="107" w:hanging="6"/>
              <w:spacing w:before="21" w:line="242" w:lineRule="auto"/>
              <w:rPr>
                <w:rFonts w:ascii="SimSun" w:hAnsi="SimSun" w:eastAsia="SimSun" w:cs="SimSun"/>
              </w:rPr>
            </w:pPr>
            <w:r>
              <w:rPr>
                <w:spacing w:val="6"/>
              </w:rPr>
              <w:t>2</w:t>
            </w:r>
            <w:r>
              <w:rPr>
                <w:spacing w:val="-23"/>
              </w:rPr>
              <w:t xml:space="preserve"> </w:t>
            </w:r>
            <w:r>
              <w:rPr>
                <w:rFonts w:ascii="SimSun" w:hAnsi="SimSun" w:eastAsia="SimSun" w:cs="SimSun"/>
                <w:spacing w:val="6"/>
              </w:rPr>
              <w:t>、本项目矿田范围内多</w:t>
            </w:r>
            <w:r>
              <w:rPr>
                <w:rFonts w:ascii="SimSun" w:hAnsi="SimSun" w:eastAsia="SimSun" w:cs="SimSun"/>
                <w:spacing w:val="7"/>
              </w:rPr>
              <w:t>为低硫煤及中硫煤。</w:t>
            </w:r>
          </w:p>
          <w:p>
            <w:pPr>
              <w:pStyle w:val="TableText"/>
              <w:ind w:left="115" w:right="107"/>
              <w:spacing w:before="24"/>
              <w:rPr>
                <w:rFonts w:ascii="SimSun" w:hAnsi="SimSun" w:eastAsia="SimSun" w:cs="SimSun"/>
              </w:rPr>
            </w:pPr>
            <w:r>
              <w:rPr>
                <w:spacing w:val="6"/>
              </w:rPr>
              <w:t>3</w:t>
            </w:r>
            <w:r>
              <w:rPr>
                <w:spacing w:val="-27"/>
              </w:rPr>
              <w:t xml:space="preserve"> </w:t>
            </w:r>
            <w:r>
              <w:rPr>
                <w:rFonts w:ascii="SimSun" w:hAnsi="SimSun" w:eastAsia="SimSun" w:cs="SimSun"/>
                <w:spacing w:val="6"/>
              </w:rPr>
              <w:t>、矿区实施严格的矿山</w:t>
            </w:r>
            <w:r>
              <w:rPr>
                <w:rFonts w:ascii="SimSun" w:hAnsi="SimSun" w:eastAsia="SimSun" w:cs="SimSun"/>
                <w:spacing w:val="8"/>
              </w:rPr>
              <w:t>地质环境准入制度</w:t>
            </w:r>
          </w:p>
          <w:p>
            <w:pPr>
              <w:pStyle w:val="TableText"/>
              <w:ind w:left="114" w:right="107" w:hanging="4"/>
              <w:spacing w:before="25" w:line="245" w:lineRule="auto"/>
              <w:rPr>
                <w:rFonts w:ascii="SimSun" w:hAnsi="SimSun" w:eastAsia="SimSun" w:cs="SimSun"/>
              </w:rPr>
            </w:pPr>
            <w:r>
              <w:rPr>
                <w:spacing w:val="6"/>
              </w:rPr>
              <w:t>4</w:t>
            </w:r>
            <w:r>
              <w:rPr>
                <w:spacing w:val="-22"/>
              </w:rPr>
              <w:t xml:space="preserve"> </w:t>
            </w:r>
            <w:r>
              <w:rPr>
                <w:rFonts w:ascii="SimSun" w:hAnsi="SimSun" w:eastAsia="SimSun" w:cs="SimSun"/>
                <w:spacing w:val="6"/>
              </w:rPr>
              <w:t>、本项目不属于新建项</w:t>
            </w:r>
            <w:r>
              <w:rPr>
                <w:rFonts w:ascii="SimSun" w:hAnsi="SimSun" w:eastAsia="SimSun" w:cs="SimSun"/>
                <w:spacing w:val="8"/>
              </w:rPr>
              <w:t>目，不属于不符合国家</w:t>
            </w:r>
            <w:r>
              <w:rPr>
                <w:rFonts w:ascii="SimSun" w:hAnsi="SimSun" w:eastAsia="SimSun" w:cs="SimSun"/>
                <w:spacing w:val="8"/>
              </w:rPr>
              <w:t>产业结构调整指导目录</w:t>
            </w:r>
            <w:r>
              <w:rPr>
                <w:rFonts w:ascii="SimSun" w:hAnsi="SimSun" w:eastAsia="SimSun" w:cs="SimSun"/>
                <w:spacing w:val="7"/>
              </w:rPr>
              <w:t>中的项目</w:t>
            </w:r>
          </w:p>
          <w:p>
            <w:pPr>
              <w:pStyle w:val="TableText"/>
              <w:ind w:left="116" w:right="107"/>
              <w:spacing w:before="25" w:line="243" w:lineRule="auto"/>
              <w:rPr>
                <w:rFonts w:ascii="SimSun" w:hAnsi="SimSun" w:eastAsia="SimSun" w:cs="SimSun"/>
              </w:rPr>
            </w:pPr>
            <w:r>
              <w:rPr/>
              <w:t>5</w:t>
            </w:r>
            <w:r>
              <w:rPr>
                <w:rFonts w:ascii="SimSun" w:hAnsi="SimSun" w:eastAsia="SimSun" w:cs="SimSun"/>
              </w:rPr>
              <w:t>、本项目露天区</w:t>
            </w:r>
            <w:r>
              <w:rPr>
                <w:rFonts w:ascii="SimSun" w:hAnsi="SimSun" w:eastAsia="SimSun" w:cs="SimSun"/>
                <w:spacing w:val="-35"/>
              </w:rPr>
              <w:t xml:space="preserve"> </w:t>
            </w:r>
            <w:r>
              <w:rPr/>
              <w:t>2km</w:t>
            </w:r>
            <w:r>
              <w:rPr>
                <w:spacing w:val="17"/>
              </w:rPr>
              <w:t xml:space="preserve"> </w:t>
            </w:r>
            <w:r>
              <w:rPr>
                <w:rFonts w:ascii="SimSun" w:hAnsi="SimSun" w:eastAsia="SimSun" w:cs="SimSun"/>
              </w:rPr>
              <w:t>范</w:t>
            </w:r>
            <w:r>
              <w:rPr>
                <w:rFonts w:ascii="SimSun" w:hAnsi="SimSun" w:eastAsia="SimSun" w:cs="SimSun"/>
                <w:spacing w:val="8"/>
              </w:rPr>
              <w:t>围内不涉及国省干线公</w:t>
            </w:r>
            <w:r>
              <w:rPr>
                <w:rFonts w:ascii="SimSun" w:hAnsi="SimSun" w:eastAsia="SimSun" w:cs="SimSun"/>
                <w:spacing w:val="7"/>
              </w:rPr>
              <w:t>路、二级公路</w:t>
            </w:r>
          </w:p>
        </w:tc>
        <w:tc>
          <w:tcPr>
            <w:tcW w:w="2421" w:type="dxa"/>
            <w:vAlign w:val="top"/>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headerReference w:type="default" r:id="rId81"/>
          <w:footerReference w:type="default" r:id="rId564"/>
          <w:pgSz w:w="16838" w:h="11906"/>
          <w:pgMar w:top="1169" w:right="1305" w:bottom="1080" w:left="1020" w:header="836" w:footer="917" w:gutter="0"/>
        </w:sectPr>
        <w:rPr/>
      </w:pPr>
    </w:p>
    <w:p>
      <w:pPr>
        <w:spacing w:before="7"/>
        <w:rPr/>
      </w:p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0"/>
        <w:gridCol w:w="1185"/>
        <w:gridCol w:w="1075"/>
        <w:gridCol w:w="974"/>
        <w:gridCol w:w="4664"/>
        <w:gridCol w:w="2418"/>
        <w:gridCol w:w="2421"/>
      </w:tblGrid>
      <w:tr>
        <w:trPr>
          <w:trHeight w:val="554" w:hRule="atLeast"/>
        </w:trPr>
        <w:tc>
          <w:tcPr>
            <w:tcW w:w="1770" w:type="dxa"/>
            <w:vAlign w:val="top"/>
            <w:vMerge w:val="restart"/>
            <w:tcBorders>
              <w:bottom w:val="nil"/>
            </w:tcBorders>
          </w:tcPr>
          <w:p>
            <w:pPr>
              <w:rPr>
                <w:rFonts w:ascii="Arial"/>
                <w:sz w:val="21"/>
              </w:rPr>
            </w:pPr>
            <w:r/>
          </w:p>
        </w:tc>
        <w:tc>
          <w:tcPr>
            <w:tcW w:w="1185" w:type="dxa"/>
            <w:vAlign w:val="top"/>
            <w:vMerge w:val="restart"/>
            <w:tcBorders>
              <w:bottom w:val="nil"/>
            </w:tcBorders>
          </w:tcPr>
          <w:p>
            <w:pPr>
              <w:rPr>
                <w:rFonts w:ascii="Arial"/>
                <w:sz w:val="21"/>
              </w:rPr>
            </w:pPr>
            <w:r/>
          </w:p>
        </w:tc>
        <w:tc>
          <w:tcPr>
            <w:tcW w:w="1075" w:type="dxa"/>
            <w:vAlign w:val="top"/>
            <w:vMerge w:val="restart"/>
            <w:tcBorders>
              <w:bottom w:val="nil"/>
            </w:tcBorders>
          </w:tcPr>
          <w:p>
            <w:pPr>
              <w:rPr>
                <w:rFonts w:ascii="Arial"/>
                <w:sz w:val="21"/>
              </w:rPr>
            </w:pPr>
            <w:r/>
          </w:p>
        </w:tc>
        <w:tc>
          <w:tcPr>
            <w:tcW w:w="974" w:type="dxa"/>
            <w:vAlign w:val="top"/>
          </w:tcPr>
          <w:p>
            <w:pPr>
              <w:rPr>
                <w:rFonts w:ascii="Arial"/>
                <w:sz w:val="21"/>
              </w:rPr>
            </w:pPr>
            <w:r/>
          </w:p>
        </w:tc>
        <w:tc>
          <w:tcPr>
            <w:tcW w:w="4664" w:type="dxa"/>
            <w:vAlign w:val="top"/>
          </w:tcPr>
          <w:p>
            <w:pPr>
              <w:pStyle w:val="TableText"/>
              <w:ind w:left="124" w:right="147" w:firstLine="8"/>
              <w:spacing w:before="34" w:line="235" w:lineRule="auto"/>
              <w:rPr>
                <w:rFonts w:ascii="SimSun" w:hAnsi="SimSun" w:eastAsia="SimSun" w:cs="SimSun"/>
              </w:rPr>
            </w:pPr>
            <w:r>
              <w:rPr>
                <w:rFonts w:ascii="SimSun" w:hAnsi="SimSun" w:eastAsia="SimSun" w:cs="SimSun"/>
                <w:spacing w:val="7"/>
              </w:rPr>
              <w:t>围内（或</w:t>
            </w:r>
            <w:r>
              <w:rPr>
                <w:rFonts w:ascii="SimSun" w:hAnsi="SimSun" w:eastAsia="SimSun" w:cs="SimSun"/>
                <w:spacing w:val="-37"/>
              </w:rPr>
              <w:t xml:space="preserve"> </w:t>
            </w:r>
            <w:r>
              <w:rPr>
                <w:spacing w:val="7"/>
              </w:rPr>
              <w:t>2</w:t>
            </w:r>
            <w:r>
              <w:rPr>
                <w:spacing w:val="18"/>
                <w:w w:val="101"/>
              </w:rPr>
              <w:t xml:space="preserve"> </w:t>
            </w:r>
            <w:r>
              <w:rPr>
                <w:rFonts w:ascii="SimSun" w:hAnsi="SimSun" w:eastAsia="SimSun" w:cs="SimSun"/>
                <w:spacing w:val="7"/>
              </w:rPr>
              <w:t>公里以上）及河道两侧等水土流失重</w:t>
            </w:r>
            <w:r>
              <w:rPr>
                <w:rFonts w:ascii="SimSun" w:hAnsi="SimSun" w:eastAsia="SimSun" w:cs="SimSun"/>
                <w:spacing w:val="7"/>
              </w:rPr>
              <w:t>点防控区进行采矿、选矿活动。</w:t>
            </w:r>
          </w:p>
        </w:tc>
        <w:tc>
          <w:tcPr>
            <w:tcW w:w="2418" w:type="dxa"/>
            <w:vAlign w:val="top"/>
          </w:tcPr>
          <w:p>
            <w:pPr>
              <w:rPr>
                <w:rFonts w:ascii="Arial"/>
                <w:sz w:val="21"/>
              </w:rPr>
            </w:pPr>
            <w:r/>
          </w:p>
        </w:tc>
        <w:tc>
          <w:tcPr>
            <w:tcW w:w="2421" w:type="dxa"/>
            <w:vAlign w:val="top"/>
          </w:tcPr>
          <w:p>
            <w:pPr>
              <w:rPr>
                <w:rFonts w:ascii="Arial"/>
                <w:sz w:val="21"/>
              </w:rPr>
            </w:pPr>
            <w:r/>
          </w:p>
        </w:tc>
      </w:tr>
      <w:tr>
        <w:trPr>
          <w:trHeight w:val="4905" w:hRule="atLeast"/>
        </w:trPr>
        <w:tc>
          <w:tcPr>
            <w:tcW w:w="1770" w:type="dxa"/>
            <w:vAlign w:val="top"/>
            <w:vMerge w:val="continue"/>
            <w:tcBorders>
              <w:top w:val="nil"/>
              <w:bottom w:val="nil"/>
            </w:tcBorders>
          </w:tcPr>
          <w:p>
            <w:pPr>
              <w:rPr>
                <w:rFonts w:ascii="Arial"/>
                <w:sz w:val="21"/>
              </w:rPr>
            </w:pPr>
            <w:r/>
          </w:p>
        </w:tc>
        <w:tc>
          <w:tcPr>
            <w:tcW w:w="1185" w:type="dxa"/>
            <w:vAlign w:val="top"/>
            <w:vMerge w:val="continue"/>
            <w:tcBorders>
              <w:top w:val="nil"/>
              <w:bottom w:val="nil"/>
            </w:tcBorders>
          </w:tcPr>
          <w:p>
            <w:pPr>
              <w:rPr>
                <w:rFonts w:ascii="Arial"/>
                <w:sz w:val="21"/>
              </w:rPr>
            </w:pPr>
            <w:r/>
          </w:p>
        </w:tc>
        <w:tc>
          <w:tcPr>
            <w:tcW w:w="1075" w:type="dxa"/>
            <w:vAlign w:val="top"/>
            <w:vMerge w:val="continue"/>
            <w:tcBorders>
              <w:top w:val="nil"/>
              <w:bottom w:val="nil"/>
            </w:tcBorders>
          </w:tcPr>
          <w:p>
            <w:pPr>
              <w:rPr>
                <w:rFonts w:ascii="Arial"/>
                <w:sz w:val="21"/>
              </w:rPr>
            </w:pPr>
            <w:r/>
          </w:p>
        </w:tc>
        <w:tc>
          <w:tcPr>
            <w:tcW w:w="974" w:type="dxa"/>
            <w:vAlign w:val="top"/>
          </w:tcPr>
          <w:p>
            <w:pPr>
              <w:ind w:left="177"/>
              <w:spacing w:before="29" w:line="228" w:lineRule="auto"/>
              <w:rPr>
                <w:rFonts w:ascii="SimSun" w:hAnsi="SimSun" w:eastAsia="SimSun" w:cs="SimSun"/>
                <w:sz w:val="20"/>
                <w:szCs w:val="20"/>
              </w:rPr>
            </w:pPr>
            <w:r>
              <w:rPr>
                <w:rFonts w:ascii="SimSun" w:hAnsi="SimSun" w:eastAsia="SimSun" w:cs="SimSun"/>
                <w:sz w:val="20"/>
                <w:szCs w:val="20"/>
                <w:spacing w:val="6"/>
              </w:rPr>
              <w:t>污染物</w:t>
            </w:r>
          </w:p>
          <w:p>
            <w:pPr>
              <w:ind w:left="175"/>
              <w:spacing w:before="25" w:line="228" w:lineRule="auto"/>
              <w:rPr>
                <w:rFonts w:ascii="SimSun" w:hAnsi="SimSun" w:eastAsia="SimSun" w:cs="SimSun"/>
                <w:sz w:val="20"/>
                <w:szCs w:val="20"/>
              </w:rPr>
            </w:pPr>
            <w:r>
              <w:rPr>
                <w:rFonts w:ascii="SimSun" w:hAnsi="SimSun" w:eastAsia="SimSun" w:cs="SimSun"/>
                <w:sz w:val="20"/>
                <w:szCs w:val="20"/>
                <w:spacing w:val="6"/>
              </w:rPr>
              <w:t>排放管</w:t>
            </w:r>
          </w:p>
          <w:p>
            <w:pPr>
              <w:ind w:left="385"/>
              <w:spacing w:before="24" w:line="228" w:lineRule="auto"/>
              <w:rPr>
                <w:rFonts w:ascii="SimSun" w:hAnsi="SimSun" w:eastAsia="SimSun" w:cs="SimSun"/>
                <w:sz w:val="20"/>
                <w:szCs w:val="20"/>
              </w:rPr>
            </w:pPr>
            <w:r>
              <w:rPr>
                <w:rFonts w:ascii="SimSun" w:hAnsi="SimSun" w:eastAsia="SimSun" w:cs="SimSun"/>
                <w:sz w:val="20"/>
                <w:szCs w:val="20"/>
                <w:spacing w:val="1"/>
              </w:rPr>
              <w:t>控</w:t>
            </w:r>
          </w:p>
        </w:tc>
        <w:tc>
          <w:tcPr>
            <w:tcW w:w="4664" w:type="dxa"/>
            <w:vAlign w:val="top"/>
          </w:tcPr>
          <w:p>
            <w:pPr>
              <w:ind w:left="113" w:right="144"/>
              <w:spacing w:before="30" w:line="251" w:lineRule="auto"/>
              <w:rPr>
                <w:rFonts w:ascii="SimSun" w:hAnsi="SimSun" w:eastAsia="SimSun" w:cs="SimSun"/>
                <w:sz w:val="20"/>
                <w:szCs w:val="20"/>
              </w:rPr>
            </w:pPr>
            <w:r>
              <w:rPr>
                <w:rFonts w:ascii="SimSun" w:hAnsi="SimSun" w:eastAsia="SimSun" w:cs="SimSun"/>
                <w:sz w:val="20"/>
                <w:szCs w:val="20"/>
                <w:spacing w:val="9"/>
              </w:rPr>
              <w:t>执行锡林郭勒盟总体准入要求中第三条关于环境</w:t>
            </w:r>
            <w:r>
              <w:rPr>
                <w:rFonts w:ascii="SimSun" w:hAnsi="SimSun" w:eastAsia="SimSun" w:cs="SimSun"/>
                <w:sz w:val="20"/>
                <w:szCs w:val="20"/>
                <w:spacing w:val="8"/>
              </w:rPr>
              <w:t>风险防控的准入要求；</w:t>
            </w:r>
          </w:p>
          <w:p>
            <w:pPr>
              <w:pStyle w:val="TableText"/>
              <w:ind w:left="114" w:right="106" w:firstLine="15"/>
              <w:rPr>
                <w:rFonts w:ascii="SimSun" w:hAnsi="SimSun" w:eastAsia="SimSun" w:cs="SimSun"/>
              </w:rPr>
            </w:pPr>
            <w:r>
              <w:rPr>
                <w:spacing w:val="4"/>
              </w:rPr>
              <w:t>1</w:t>
            </w:r>
            <w:r>
              <w:rPr>
                <w:spacing w:val="-17"/>
              </w:rPr>
              <w:t xml:space="preserve"> </w:t>
            </w:r>
            <w:r>
              <w:rPr>
                <w:rFonts w:ascii="SimSun" w:hAnsi="SimSun" w:eastAsia="SimSun" w:cs="SimSun"/>
                <w:spacing w:val="4"/>
              </w:rPr>
              <w:t>、严防矿产资源开发污染土壤。矿产资源开发活</w:t>
            </w:r>
            <w:r>
              <w:rPr>
                <w:rFonts w:ascii="SimSun" w:hAnsi="SimSun" w:eastAsia="SimSun" w:cs="SimSun"/>
                <w:spacing w:val="9"/>
              </w:rPr>
              <w:t>动集中的区域，执行重点污染物排放限值要</w:t>
            </w:r>
            <w:r>
              <w:rPr>
                <w:rFonts w:ascii="SimSun" w:hAnsi="SimSun" w:eastAsia="SimSun" w:cs="SimSun"/>
                <w:spacing w:val="8"/>
              </w:rPr>
              <w:t>求；</w:t>
            </w:r>
          </w:p>
          <w:p>
            <w:pPr>
              <w:pStyle w:val="TableText"/>
              <w:ind w:left="111" w:right="35" w:hanging="2"/>
              <w:spacing w:before="25" w:line="246" w:lineRule="auto"/>
              <w:rPr>
                <w:rFonts w:ascii="SimSun" w:hAnsi="SimSun" w:eastAsia="SimSun" w:cs="SimSun"/>
              </w:rPr>
            </w:pPr>
            <w:r>
              <w:rPr>
                <w:spacing w:val="5"/>
              </w:rPr>
              <w:t>2</w:t>
            </w:r>
            <w:r>
              <w:rPr>
                <w:spacing w:val="-18"/>
              </w:rPr>
              <w:t xml:space="preserve"> </w:t>
            </w:r>
            <w:r>
              <w:rPr>
                <w:rFonts w:ascii="SimSun" w:hAnsi="SimSun" w:eastAsia="SimSun" w:cs="SimSun"/>
                <w:spacing w:val="5"/>
              </w:rPr>
              <w:t>、矿产资源勘查以及采选过程中排土场、露天采</w:t>
            </w:r>
            <w:r>
              <w:rPr>
                <w:rFonts w:ascii="SimSun" w:hAnsi="SimSun" w:eastAsia="SimSun" w:cs="SimSun"/>
                <w:spacing w:val="9"/>
              </w:rPr>
              <w:t>场、尾矿库、矿区专用道路、矿山工业场地、沉</w:t>
            </w:r>
            <w:r>
              <w:rPr>
                <w:rFonts w:ascii="SimSun" w:hAnsi="SimSun" w:eastAsia="SimSun" w:cs="SimSun"/>
                <w:spacing w:val="9"/>
              </w:rPr>
              <w:t>陷区、矸石场、矿山污染场地等的生态环境保护</w:t>
            </w:r>
            <w:r>
              <w:rPr>
                <w:rFonts w:ascii="SimSun" w:hAnsi="SimSun" w:eastAsia="SimSun" w:cs="SimSun"/>
                <w:spacing w:val="9"/>
              </w:rPr>
              <w:t>与治理恢复工作须满足《矿山生态环境保护与治</w:t>
            </w:r>
            <w:r>
              <w:rPr>
                <w:rFonts w:ascii="SimSun" w:hAnsi="SimSun" w:eastAsia="SimSun" w:cs="SimSun"/>
                <w:spacing w:val="5"/>
              </w:rPr>
              <w:t>理恢复技术规范（试行）》（</w:t>
            </w:r>
            <w:r>
              <w:rPr/>
              <w:t>HJ</w:t>
            </w:r>
            <w:r>
              <w:rPr>
                <w:spacing w:val="5"/>
              </w:rPr>
              <w:t>651-2013</w:t>
            </w:r>
            <w:r>
              <w:rPr>
                <w:rFonts w:ascii="SimSun" w:hAnsi="SimSun" w:eastAsia="SimSun" w:cs="SimSun"/>
                <w:spacing w:val="4"/>
              </w:rPr>
              <w:t>）要求。</w:t>
            </w:r>
          </w:p>
          <w:p>
            <w:pPr>
              <w:pStyle w:val="TableText"/>
              <w:ind w:left="112" w:right="35" w:firstLine="1"/>
              <w:spacing w:before="30" w:line="245" w:lineRule="auto"/>
              <w:rPr>
                <w:rFonts w:ascii="SimSun" w:hAnsi="SimSun" w:eastAsia="SimSun" w:cs="SimSun"/>
              </w:rPr>
            </w:pPr>
            <w:r>
              <w:rPr>
                <w:spacing w:val="-1"/>
              </w:rPr>
              <w:t>3</w:t>
            </w:r>
            <w:r>
              <w:rPr>
                <w:spacing w:val="-19"/>
              </w:rPr>
              <w:t xml:space="preserve"> </w:t>
            </w:r>
            <w:r>
              <w:rPr>
                <w:rFonts w:ascii="SimSun" w:hAnsi="SimSun" w:eastAsia="SimSun" w:cs="SimSun"/>
                <w:spacing w:val="-1"/>
              </w:rPr>
              <w:t>、落实边开采、边保护、边复垦的要求，使新建、</w:t>
            </w:r>
            <w:r>
              <w:rPr>
                <w:rFonts w:ascii="SimSun" w:hAnsi="SimSun" w:eastAsia="SimSun" w:cs="SimSun"/>
                <w:spacing w:val="9"/>
              </w:rPr>
              <w:t>在建矿山损毁土地得到全面复垦。新设立矿山执</w:t>
            </w:r>
            <w:r>
              <w:rPr>
                <w:rFonts w:ascii="SimSun" w:hAnsi="SimSun" w:eastAsia="SimSun" w:cs="SimSun"/>
                <w:spacing w:val="9"/>
              </w:rPr>
              <w:t>行绿色矿山标准建设，新建矿山全部按照绿色矿</w:t>
            </w:r>
            <w:r>
              <w:rPr>
                <w:rFonts w:ascii="SimSun" w:hAnsi="SimSun" w:eastAsia="SimSun" w:cs="SimSun"/>
                <w:spacing w:val="8"/>
              </w:rPr>
              <w:t>山标准进行规划、设计、建设和运营管理。</w:t>
            </w:r>
          </w:p>
          <w:p>
            <w:pPr>
              <w:pStyle w:val="TableText"/>
              <w:ind w:left="111" w:right="106" w:hanging="3"/>
              <w:spacing w:before="24" w:line="244" w:lineRule="auto"/>
              <w:rPr>
                <w:rFonts w:ascii="SimSun" w:hAnsi="SimSun" w:eastAsia="SimSun" w:cs="SimSun"/>
              </w:rPr>
            </w:pPr>
            <w:r>
              <w:rPr>
                <w:spacing w:val="5"/>
              </w:rPr>
              <w:t>4</w:t>
            </w:r>
            <w:r>
              <w:rPr>
                <w:spacing w:val="-17"/>
              </w:rPr>
              <w:t xml:space="preserve"> </w:t>
            </w:r>
            <w:r>
              <w:rPr>
                <w:rFonts w:ascii="SimSun" w:hAnsi="SimSun" w:eastAsia="SimSun" w:cs="SimSun"/>
                <w:spacing w:val="5"/>
              </w:rPr>
              <w:t>、全面推进在期生产矿山的绿色矿山建设，加快</w:t>
            </w:r>
            <w:r>
              <w:rPr>
                <w:rFonts w:ascii="SimSun" w:hAnsi="SimSun" w:eastAsia="SimSun" w:cs="SimSun"/>
                <w:spacing w:val="9"/>
              </w:rPr>
              <w:t>矿山企业技术改造。</w:t>
            </w:r>
            <w:r>
              <w:rPr>
                <w:spacing w:val="9"/>
              </w:rPr>
              <w:t>“</w:t>
            </w:r>
            <w:r>
              <w:rPr>
                <w:rFonts w:ascii="SimSun" w:hAnsi="SimSun" w:eastAsia="SimSun" w:cs="SimSun"/>
                <w:spacing w:val="9"/>
              </w:rPr>
              <w:t>三废</w:t>
            </w:r>
            <w:r>
              <w:rPr>
                <w:spacing w:val="9"/>
              </w:rPr>
              <w:t>”</w:t>
            </w:r>
            <w:r>
              <w:rPr>
                <w:rFonts w:ascii="SimSun" w:hAnsi="SimSun" w:eastAsia="SimSun" w:cs="SimSun"/>
                <w:spacing w:val="9"/>
              </w:rPr>
              <w:t>排放符合环保指标要</w:t>
            </w:r>
            <w:r>
              <w:rPr>
                <w:rFonts w:ascii="SimSun" w:hAnsi="SimSun" w:eastAsia="SimSun" w:cs="SimSun"/>
              </w:rPr>
              <w:t>求。</w:t>
            </w:r>
          </w:p>
          <w:p>
            <w:pPr>
              <w:pStyle w:val="TableText"/>
              <w:ind w:left="114" w:right="250" w:firstLine="1"/>
              <w:spacing w:before="25" w:line="234" w:lineRule="auto"/>
              <w:rPr>
                <w:rFonts w:ascii="SimSun" w:hAnsi="SimSun" w:eastAsia="SimSun" w:cs="SimSun"/>
              </w:rPr>
            </w:pPr>
            <w:r>
              <w:rPr>
                <w:spacing w:val="8"/>
              </w:rPr>
              <w:t>5</w:t>
            </w:r>
            <w:r>
              <w:rPr>
                <w:spacing w:val="-26"/>
              </w:rPr>
              <w:t xml:space="preserve"> </w:t>
            </w:r>
            <w:r>
              <w:rPr>
                <w:rFonts w:ascii="SimSun" w:hAnsi="SimSun" w:eastAsia="SimSun" w:cs="SimSun"/>
                <w:spacing w:val="8"/>
              </w:rPr>
              <w:t>、新建排放重金属污染物的建设项目全面执行</w:t>
            </w:r>
            <w:r>
              <w:rPr>
                <w:rFonts w:ascii="SimSun" w:hAnsi="SimSun" w:eastAsia="SimSun" w:cs="SimSun"/>
                <w:spacing w:val="8"/>
              </w:rPr>
              <w:t>重金属重点污染物排放限值要求。</w:t>
            </w:r>
          </w:p>
        </w:tc>
        <w:tc>
          <w:tcPr>
            <w:tcW w:w="2418" w:type="dxa"/>
            <w:vAlign w:val="top"/>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ind w:left="166"/>
              <w:spacing w:before="65" w:line="227" w:lineRule="auto"/>
              <w:rPr>
                <w:rFonts w:ascii="SimSun" w:hAnsi="SimSun" w:eastAsia="SimSun" w:cs="SimSun"/>
                <w:sz w:val="20"/>
                <w:szCs w:val="20"/>
              </w:rPr>
            </w:pPr>
            <w:r>
              <w:rPr>
                <w:rFonts w:ascii="SimSun" w:hAnsi="SimSun" w:eastAsia="SimSun" w:cs="SimSun"/>
                <w:sz w:val="20"/>
                <w:szCs w:val="20"/>
                <w:spacing w:val="8"/>
              </w:rPr>
              <w:t>本项目工业场地及外排</w:t>
            </w:r>
          </w:p>
          <w:p>
            <w:pPr>
              <w:ind w:left="166"/>
              <w:spacing w:before="24" w:line="228" w:lineRule="auto"/>
              <w:rPr>
                <w:rFonts w:ascii="SimSun" w:hAnsi="SimSun" w:eastAsia="SimSun" w:cs="SimSun"/>
                <w:sz w:val="20"/>
                <w:szCs w:val="20"/>
              </w:rPr>
            </w:pPr>
            <w:r>
              <w:rPr>
                <w:rFonts w:ascii="SimSun" w:hAnsi="SimSun" w:eastAsia="SimSun" w:cs="SimSun"/>
                <w:sz w:val="20"/>
                <w:szCs w:val="20"/>
                <w:spacing w:val="8"/>
              </w:rPr>
              <w:t>土场等已开展生态环境</w:t>
            </w:r>
          </w:p>
          <w:p>
            <w:pPr>
              <w:ind w:left="480"/>
              <w:spacing w:before="24" w:line="228" w:lineRule="auto"/>
              <w:rPr>
                <w:rFonts w:ascii="SimSun" w:hAnsi="SimSun" w:eastAsia="SimSun" w:cs="SimSun"/>
                <w:sz w:val="20"/>
                <w:szCs w:val="20"/>
              </w:rPr>
            </w:pPr>
            <w:r>
              <w:rPr>
                <w:rFonts w:ascii="SimSun" w:hAnsi="SimSun" w:eastAsia="SimSun" w:cs="SimSun"/>
                <w:sz w:val="20"/>
                <w:szCs w:val="20"/>
                <w:spacing w:val="6"/>
              </w:rPr>
              <w:t>保护综合整治。</w:t>
            </w:r>
          </w:p>
        </w:tc>
        <w:tc>
          <w:tcPr>
            <w:tcW w:w="2421" w:type="dxa"/>
            <w:vAlign w:val="top"/>
          </w:tcPr>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1"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spacing w:line="252"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998" w:hRule="atLeast"/>
        </w:trPr>
        <w:tc>
          <w:tcPr>
            <w:tcW w:w="1770" w:type="dxa"/>
            <w:vAlign w:val="top"/>
            <w:vMerge w:val="continue"/>
            <w:tcBorders>
              <w:top w:val="nil"/>
              <w:bottom w:val="nil"/>
            </w:tcBorders>
          </w:tcPr>
          <w:p>
            <w:pPr>
              <w:rPr>
                <w:rFonts w:ascii="Arial"/>
                <w:sz w:val="21"/>
              </w:rPr>
            </w:pPr>
            <w:r/>
          </w:p>
        </w:tc>
        <w:tc>
          <w:tcPr>
            <w:tcW w:w="1185" w:type="dxa"/>
            <w:vAlign w:val="top"/>
            <w:vMerge w:val="continue"/>
            <w:tcBorders>
              <w:top w:val="nil"/>
              <w:bottom w:val="nil"/>
            </w:tcBorders>
          </w:tcPr>
          <w:p>
            <w:pPr>
              <w:rPr>
                <w:rFonts w:ascii="Arial"/>
                <w:sz w:val="21"/>
              </w:rPr>
            </w:pPr>
            <w:r/>
          </w:p>
        </w:tc>
        <w:tc>
          <w:tcPr>
            <w:tcW w:w="1075" w:type="dxa"/>
            <w:vAlign w:val="top"/>
            <w:vMerge w:val="continue"/>
            <w:tcBorders>
              <w:top w:val="nil"/>
              <w:bottom w:val="nil"/>
            </w:tcBorders>
          </w:tcPr>
          <w:p>
            <w:pPr>
              <w:rPr>
                <w:rFonts w:ascii="Arial"/>
                <w:sz w:val="21"/>
              </w:rPr>
            </w:pPr>
            <w:r/>
          </w:p>
        </w:tc>
        <w:tc>
          <w:tcPr>
            <w:tcW w:w="974" w:type="dxa"/>
            <w:vAlign w:val="top"/>
          </w:tcPr>
          <w:p>
            <w:pPr>
              <w:ind w:left="186" w:right="172" w:hanging="11"/>
              <w:spacing w:before="31" w:line="252" w:lineRule="auto"/>
              <w:rPr>
                <w:rFonts w:ascii="SimSun" w:hAnsi="SimSun" w:eastAsia="SimSun" w:cs="SimSun"/>
                <w:sz w:val="20"/>
                <w:szCs w:val="20"/>
              </w:rPr>
            </w:pPr>
            <w:r>
              <w:rPr>
                <w:rFonts w:ascii="SimSun" w:hAnsi="SimSun" w:eastAsia="SimSun" w:cs="SimSun"/>
                <w:sz w:val="20"/>
                <w:szCs w:val="20"/>
                <w:spacing w:val="6"/>
              </w:rPr>
              <w:t>环境风</w:t>
            </w:r>
            <w:r>
              <w:rPr>
                <w:rFonts w:ascii="SimSun" w:hAnsi="SimSun" w:eastAsia="SimSun" w:cs="SimSun"/>
                <w:sz w:val="20"/>
                <w:szCs w:val="20"/>
                <w:spacing w:val="3"/>
              </w:rPr>
              <w:t>险管控</w:t>
            </w:r>
          </w:p>
        </w:tc>
        <w:tc>
          <w:tcPr>
            <w:tcW w:w="4664" w:type="dxa"/>
            <w:vAlign w:val="top"/>
          </w:tcPr>
          <w:p>
            <w:pPr>
              <w:ind w:left="113" w:right="144"/>
              <w:spacing w:before="33" w:line="251" w:lineRule="auto"/>
              <w:rPr>
                <w:rFonts w:ascii="SimSun" w:hAnsi="SimSun" w:eastAsia="SimSun" w:cs="SimSun"/>
                <w:sz w:val="20"/>
                <w:szCs w:val="20"/>
              </w:rPr>
            </w:pPr>
            <w:r>
              <w:rPr>
                <w:rFonts w:ascii="SimSun" w:hAnsi="SimSun" w:eastAsia="SimSun" w:cs="SimSun"/>
                <w:sz w:val="20"/>
                <w:szCs w:val="20"/>
                <w:spacing w:val="9"/>
              </w:rPr>
              <w:t>执行锡林郭勒盟总体准入要求中第三条关于环境</w:t>
            </w:r>
            <w:r>
              <w:rPr>
                <w:rFonts w:ascii="SimSun" w:hAnsi="SimSun" w:eastAsia="SimSun" w:cs="SimSun"/>
                <w:sz w:val="20"/>
                <w:szCs w:val="20"/>
                <w:spacing w:val="8"/>
              </w:rPr>
              <w:t>风险防控的准入要求。</w:t>
            </w:r>
          </w:p>
          <w:p>
            <w:pPr>
              <w:pStyle w:val="TableText"/>
              <w:ind w:left="113" w:right="92" w:firstLine="16"/>
              <w:spacing w:before="2" w:line="243" w:lineRule="auto"/>
              <w:rPr>
                <w:rFonts w:ascii="SimSun" w:hAnsi="SimSun" w:eastAsia="SimSun" w:cs="SimSun"/>
              </w:rPr>
            </w:pPr>
            <w:r>
              <w:rPr>
                <w:spacing w:val="5"/>
              </w:rPr>
              <w:t>1</w:t>
            </w:r>
            <w:r>
              <w:rPr>
                <w:spacing w:val="-25"/>
              </w:rPr>
              <w:t xml:space="preserve"> </w:t>
            </w:r>
            <w:r>
              <w:rPr>
                <w:rFonts w:ascii="SimSun" w:hAnsi="SimSun" w:eastAsia="SimSun" w:cs="SimSun"/>
                <w:spacing w:val="5"/>
              </w:rPr>
              <w:t>、制定环境风险应急预案，成立应急组织机构，</w:t>
            </w:r>
            <w:r>
              <w:rPr>
                <w:rFonts w:ascii="SimSun" w:hAnsi="SimSun" w:eastAsia="SimSun" w:cs="SimSun"/>
                <w:spacing w:val="9"/>
              </w:rPr>
              <w:t>配备必要的应急设施和应急物资，定期开展环境</w:t>
            </w:r>
            <w:r>
              <w:rPr>
                <w:rFonts w:ascii="SimSun" w:hAnsi="SimSun" w:eastAsia="SimSun" w:cs="SimSun"/>
                <w:spacing w:val="7"/>
              </w:rPr>
              <w:t>风险应急演练。</w:t>
            </w:r>
          </w:p>
          <w:p>
            <w:pPr>
              <w:pStyle w:val="TableText"/>
              <w:ind w:left="112" w:right="76" w:hanging="3"/>
              <w:spacing w:before="26" w:line="245" w:lineRule="auto"/>
              <w:rPr>
                <w:rFonts w:ascii="SimSun" w:hAnsi="SimSun" w:eastAsia="SimSun" w:cs="SimSun"/>
              </w:rPr>
            </w:pPr>
            <w:r>
              <w:rPr>
                <w:spacing w:val="6"/>
              </w:rPr>
              <w:t>2</w:t>
            </w:r>
            <w:r>
              <w:rPr>
                <w:spacing w:val="-10"/>
              </w:rPr>
              <w:t xml:space="preserve"> </w:t>
            </w:r>
            <w:r>
              <w:rPr>
                <w:rFonts w:ascii="SimSun" w:hAnsi="SimSun" w:eastAsia="SimSun" w:cs="SimSun"/>
                <w:spacing w:val="6"/>
              </w:rPr>
              <w:t>、全面整治历史遗留尾矿库，完善覆膜、压土、</w:t>
            </w:r>
            <w:r>
              <w:rPr>
                <w:rFonts w:ascii="SimSun" w:hAnsi="SimSun" w:eastAsia="SimSun" w:cs="SimSun"/>
                <w:spacing w:val="9"/>
              </w:rPr>
              <w:t>排洪、堤坝加固等隐患治理和闭库措施。有重点</w:t>
            </w:r>
            <w:r>
              <w:rPr>
                <w:rFonts w:ascii="SimSun" w:hAnsi="SimSun" w:eastAsia="SimSun" w:cs="SimSun"/>
                <w:spacing w:val="9"/>
              </w:rPr>
              <w:t>监管尾矿库的企业要开展环境风险评估，完善污</w:t>
            </w:r>
            <w:r>
              <w:rPr>
                <w:rFonts w:ascii="SimSun" w:hAnsi="SimSun" w:eastAsia="SimSun" w:cs="SimSun"/>
                <w:spacing w:val="9"/>
              </w:rPr>
              <w:t>染治理设施，储备应急物资。加强对矿产资源开</w:t>
            </w:r>
            <w:r>
              <w:rPr>
                <w:rFonts w:ascii="SimSun" w:hAnsi="SimSun" w:eastAsia="SimSun" w:cs="SimSun"/>
                <w:spacing w:val="9"/>
              </w:rPr>
              <w:t>发利用活动的辐射安全监管，有关企业每年要对</w:t>
            </w:r>
            <w:r>
              <w:rPr>
                <w:rFonts w:ascii="SimSun" w:hAnsi="SimSun" w:eastAsia="SimSun" w:cs="SimSun"/>
                <w:spacing w:val="8"/>
              </w:rPr>
              <w:t>本矿区土壤进行辐射环境监测。</w:t>
            </w:r>
          </w:p>
        </w:tc>
        <w:tc>
          <w:tcPr>
            <w:tcW w:w="2418" w:type="dxa"/>
            <w:vAlign w:val="top"/>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166"/>
              <w:spacing w:before="65" w:line="227" w:lineRule="auto"/>
              <w:rPr>
                <w:rFonts w:ascii="SimSun" w:hAnsi="SimSun" w:eastAsia="SimSun" w:cs="SimSun"/>
                <w:sz w:val="20"/>
                <w:szCs w:val="20"/>
              </w:rPr>
            </w:pPr>
            <w:r>
              <w:rPr>
                <w:rFonts w:ascii="SimSun" w:hAnsi="SimSun" w:eastAsia="SimSun" w:cs="SimSun"/>
                <w:sz w:val="20"/>
                <w:szCs w:val="20"/>
                <w:spacing w:val="8"/>
              </w:rPr>
              <w:t>本项目满足锡林郭勒盟</w:t>
            </w:r>
          </w:p>
          <w:p>
            <w:pPr>
              <w:ind w:left="182"/>
              <w:spacing w:before="28" w:line="228" w:lineRule="auto"/>
              <w:rPr>
                <w:rFonts w:ascii="SimSun" w:hAnsi="SimSun" w:eastAsia="SimSun" w:cs="SimSun"/>
                <w:sz w:val="20"/>
                <w:szCs w:val="20"/>
              </w:rPr>
            </w:pPr>
            <w:r>
              <w:rPr>
                <w:rFonts w:ascii="SimSun" w:hAnsi="SimSun" w:eastAsia="SimSun" w:cs="SimSun"/>
                <w:sz w:val="20"/>
                <w:szCs w:val="20"/>
                <w:spacing w:val="7"/>
              </w:rPr>
              <w:t>的环境风险防控的准入</w:t>
            </w:r>
          </w:p>
          <w:p>
            <w:pPr>
              <w:ind w:left="1006"/>
              <w:spacing w:before="23" w:line="229" w:lineRule="auto"/>
              <w:rPr>
                <w:rFonts w:ascii="SimSun" w:hAnsi="SimSun" w:eastAsia="SimSun" w:cs="SimSun"/>
                <w:sz w:val="20"/>
                <w:szCs w:val="20"/>
              </w:rPr>
            </w:pPr>
            <w:r>
              <w:rPr>
                <w:rFonts w:ascii="SimSun" w:hAnsi="SimSun" w:eastAsia="SimSun" w:cs="SimSun"/>
                <w:sz w:val="20"/>
                <w:szCs w:val="20"/>
                <w:spacing w:val="4"/>
              </w:rPr>
              <w:t>要求</w:t>
            </w:r>
          </w:p>
        </w:tc>
        <w:tc>
          <w:tcPr>
            <w:tcW w:w="2421" w:type="dxa"/>
            <w:vAlign w:val="top"/>
          </w:tcPr>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spacing w:line="264"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551" w:hRule="atLeast"/>
        </w:trPr>
        <w:tc>
          <w:tcPr>
            <w:tcW w:w="1770" w:type="dxa"/>
            <w:vAlign w:val="top"/>
            <w:vMerge w:val="continue"/>
            <w:tcBorders>
              <w:top w:val="nil"/>
            </w:tcBorders>
          </w:tcPr>
          <w:p>
            <w:pPr>
              <w:rPr>
                <w:rFonts w:ascii="Arial"/>
                <w:sz w:val="21"/>
              </w:rPr>
            </w:pPr>
            <w:r/>
          </w:p>
        </w:tc>
        <w:tc>
          <w:tcPr>
            <w:tcW w:w="1185" w:type="dxa"/>
            <w:vAlign w:val="top"/>
            <w:vMerge w:val="continue"/>
            <w:tcBorders>
              <w:top w:val="nil"/>
            </w:tcBorders>
          </w:tcPr>
          <w:p>
            <w:pPr>
              <w:rPr>
                <w:rFonts w:ascii="Arial"/>
                <w:sz w:val="21"/>
              </w:rPr>
            </w:pPr>
            <w:r/>
          </w:p>
        </w:tc>
        <w:tc>
          <w:tcPr>
            <w:tcW w:w="1075" w:type="dxa"/>
            <w:vAlign w:val="top"/>
            <w:vMerge w:val="continue"/>
            <w:tcBorders>
              <w:top w:val="nil"/>
            </w:tcBorders>
          </w:tcPr>
          <w:p>
            <w:pPr>
              <w:rPr>
                <w:rFonts w:ascii="Arial"/>
                <w:sz w:val="21"/>
              </w:rPr>
            </w:pPr>
            <w:r/>
          </w:p>
        </w:tc>
        <w:tc>
          <w:tcPr>
            <w:tcW w:w="974" w:type="dxa"/>
            <w:vAlign w:val="top"/>
          </w:tcPr>
          <w:p>
            <w:pPr>
              <w:ind w:left="184"/>
              <w:spacing w:before="33" w:line="229" w:lineRule="auto"/>
              <w:rPr>
                <w:rFonts w:ascii="SimSun" w:hAnsi="SimSun" w:eastAsia="SimSun" w:cs="SimSun"/>
                <w:sz w:val="20"/>
                <w:szCs w:val="20"/>
              </w:rPr>
            </w:pPr>
            <w:r>
              <w:rPr>
                <w:rFonts w:ascii="SimSun" w:hAnsi="SimSun" w:eastAsia="SimSun" w:cs="SimSun"/>
                <w:sz w:val="20"/>
                <w:szCs w:val="20"/>
                <w:spacing w:val="3"/>
              </w:rPr>
              <w:t>资源开</w:t>
            </w:r>
          </w:p>
          <w:p>
            <w:pPr>
              <w:ind w:left="178"/>
              <w:spacing w:before="22" w:line="218" w:lineRule="auto"/>
              <w:rPr>
                <w:rFonts w:ascii="SimSun" w:hAnsi="SimSun" w:eastAsia="SimSun" w:cs="SimSun"/>
                <w:sz w:val="20"/>
                <w:szCs w:val="20"/>
              </w:rPr>
            </w:pPr>
            <w:r>
              <w:rPr>
                <w:rFonts w:ascii="SimSun" w:hAnsi="SimSun" w:eastAsia="SimSun" w:cs="SimSun"/>
                <w:sz w:val="20"/>
                <w:szCs w:val="20"/>
                <w:spacing w:val="5"/>
              </w:rPr>
              <w:t>发效率</w:t>
            </w:r>
          </w:p>
        </w:tc>
        <w:tc>
          <w:tcPr>
            <w:tcW w:w="4664" w:type="dxa"/>
            <w:vAlign w:val="top"/>
          </w:tcPr>
          <w:p>
            <w:pPr>
              <w:pStyle w:val="TableText"/>
              <w:ind w:left="131" w:right="106" w:hanging="2"/>
              <w:spacing w:before="34" w:line="234" w:lineRule="auto"/>
              <w:rPr>
                <w:rFonts w:ascii="SimSun" w:hAnsi="SimSun" w:eastAsia="SimSun" w:cs="SimSun"/>
              </w:rPr>
            </w:pPr>
            <w:r>
              <w:rPr>
                <w:spacing w:val="5"/>
              </w:rPr>
              <w:t>1</w:t>
            </w:r>
            <w:r>
              <w:rPr>
                <w:spacing w:val="-21"/>
              </w:rPr>
              <w:t xml:space="preserve"> </w:t>
            </w:r>
            <w:r>
              <w:rPr>
                <w:rFonts w:ascii="SimSun" w:hAnsi="SimSun" w:eastAsia="SimSun" w:cs="SimSun"/>
                <w:spacing w:val="5"/>
              </w:rPr>
              <w:t>、矿山</w:t>
            </w:r>
            <w:r>
              <w:rPr>
                <w:spacing w:val="5"/>
              </w:rPr>
              <w:t>“</w:t>
            </w:r>
            <w:r>
              <w:rPr>
                <w:rFonts w:ascii="SimSun" w:hAnsi="SimSun" w:eastAsia="SimSun" w:cs="SimSun"/>
                <w:spacing w:val="5"/>
              </w:rPr>
              <w:t>三率</w:t>
            </w:r>
            <w:r>
              <w:rPr>
                <w:spacing w:val="5"/>
              </w:rPr>
              <w:t>”</w:t>
            </w:r>
            <w:r>
              <w:rPr>
                <w:rFonts w:ascii="SimSun" w:hAnsi="SimSun" w:eastAsia="SimSun" w:cs="SimSun"/>
                <w:spacing w:val="5"/>
              </w:rPr>
              <w:t>水平达到国内同行业先进水平，矿</w:t>
            </w:r>
            <w:r>
              <w:rPr>
                <w:rFonts w:ascii="SimSun" w:hAnsi="SimSun" w:eastAsia="SimSun" w:cs="SimSun"/>
                <w:spacing w:val="7"/>
              </w:rPr>
              <w:t>山</w:t>
            </w:r>
            <w:r>
              <w:rPr>
                <w:spacing w:val="7"/>
              </w:rPr>
              <w:t>“</w:t>
            </w:r>
            <w:r>
              <w:rPr>
                <w:rFonts w:ascii="SimSun" w:hAnsi="SimSun" w:eastAsia="SimSun" w:cs="SimSun"/>
                <w:spacing w:val="7"/>
              </w:rPr>
              <w:t>三率</w:t>
            </w:r>
            <w:r>
              <w:rPr>
                <w:spacing w:val="7"/>
              </w:rPr>
              <w:t>”</w:t>
            </w:r>
            <w:r>
              <w:rPr>
                <w:rFonts w:ascii="SimSun" w:hAnsi="SimSun" w:eastAsia="SimSun" w:cs="SimSun"/>
                <w:spacing w:val="7"/>
              </w:rPr>
              <w:t>水平达标率达</w:t>
            </w:r>
            <w:r>
              <w:rPr>
                <w:rFonts w:ascii="SimSun" w:hAnsi="SimSun" w:eastAsia="SimSun" w:cs="SimSun"/>
                <w:spacing w:val="-32"/>
              </w:rPr>
              <w:t xml:space="preserve"> </w:t>
            </w:r>
            <w:r>
              <w:rPr>
                <w:spacing w:val="7"/>
              </w:rPr>
              <w:t>85%</w:t>
            </w:r>
            <w:r>
              <w:rPr>
                <w:rFonts w:ascii="SimSun" w:hAnsi="SimSun" w:eastAsia="SimSun" w:cs="SimSun"/>
                <w:spacing w:val="7"/>
              </w:rPr>
              <w:t>以上，尾矿排放重金</w:t>
            </w:r>
          </w:p>
        </w:tc>
        <w:tc>
          <w:tcPr>
            <w:tcW w:w="2418" w:type="dxa"/>
            <w:vAlign w:val="top"/>
          </w:tcPr>
          <w:p>
            <w:pPr>
              <w:pStyle w:val="TableText"/>
              <w:ind w:left="16" w:right="107" w:firstLine="16"/>
              <w:spacing w:before="34" w:line="234" w:lineRule="auto"/>
              <w:rPr>
                <w:rFonts w:ascii="SimSun" w:hAnsi="SimSun" w:eastAsia="SimSun" w:cs="SimSun"/>
              </w:rPr>
            </w:pPr>
            <w:r>
              <w:rPr/>
              <w:t>1</w:t>
            </w:r>
            <w:r>
              <w:rPr>
                <w:spacing w:val="-23"/>
              </w:rPr>
              <w:t xml:space="preserve"> </w:t>
            </w:r>
            <w:r>
              <w:rPr>
                <w:rFonts w:ascii="SimSun" w:hAnsi="SimSun" w:eastAsia="SimSun" w:cs="SimSun"/>
              </w:rPr>
              <w:t>、原煤入选率</w:t>
            </w:r>
            <w:r>
              <w:rPr>
                <w:rFonts w:ascii="SimSun" w:hAnsi="SimSun" w:eastAsia="SimSun" w:cs="SimSun"/>
                <w:spacing w:val="-23"/>
              </w:rPr>
              <w:t xml:space="preserve"> </w:t>
            </w:r>
            <w:r>
              <w:rPr/>
              <w:t>100%</w:t>
            </w:r>
            <w:r>
              <w:rPr>
                <w:rFonts w:ascii="SimSun" w:hAnsi="SimSun" w:eastAsia="SimSun" w:cs="SimSun"/>
              </w:rPr>
              <w:t>、矿</w:t>
            </w:r>
            <w:r>
              <w:rPr>
                <w:rFonts w:ascii="SimSun" w:hAnsi="SimSun" w:eastAsia="SimSun" w:cs="SimSun"/>
                <w:spacing w:val="5"/>
              </w:rPr>
              <w:t>井水综合利用率</w:t>
            </w:r>
            <w:r>
              <w:rPr>
                <w:rFonts w:ascii="SimSun" w:hAnsi="SimSun" w:eastAsia="SimSun" w:cs="SimSun"/>
                <w:spacing w:val="-21"/>
              </w:rPr>
              <w:t xml:space="preserve"> </w:t>
            </w:r>
            <w:r>
              <w:rPr>
                <w:spacing w:val="5"/>
              </w:rPr>
              <w:t>100%</w:t>
            </w:r>
            <w:r>
              <w:rPr>
                <w:rFonts w:ascii="SimSun" w:hAnsi="SimSun" w:eastAsia="SimSun" w:cs="SimSun"/>
                <w:spacing w:val="5"/>
              </w:rPr>
              <w:t>、</w:t>
            </w:r>
          </w:p>
        </w:tc>
        <w:tc>
          <w:tcPr>
            <w:tcW w:w="2421" w:type="dxa"/>
            <w:vAlign w:val="top"/>
          </w:tcPr>
          <w:p>
            <w:pPr>
              <w:ind w:left="1006"/>
              <w:spacing w:before="170"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footerReference w:type="default" r:id="rId565"/>
          <w:pgSz w:w="16838" w:h="11906"/>
          <w:pgMar w:top="1169" w:right="1305" w:bottom="1080" w:left="1020" w:header="836" w:footer="917" w:gutter="0"/>
        </w:sectPr>
        <w:rPr/>
      </w:pPr>
    </w:p>
    <w:p>
      <w:pPr>
        <w:spacing w:before="7"/>
        <w:rPr/>
      </w:p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0"/>
        <w:gridCol w:w="1185"/>
        <w:gridCol w:w="1075"/>
        <w:gridCol w:w="974"/>
        <w:gridCol w:w="4664"/>
        <w:gridCol w:w="2418"/>
        <w:gridCol w:w="2421"/>
      </w:tblGrid>
      <w:tr>
        <w:trPr>
          <w:trHeight w:val="1643" w:hRule="atLeast"/>
        </w:trPr>
        <w:tc>
          <w:tcPr>
            <w:tcW w:w="1770" w:type="dxa"/>
            <w:vAlign w:val="top"/>
          </w:tcPr>
          <w:p>
            <w:pPr>
              <w:rPr>
                <w:rFonts w:ascii="Arial"/>
                <w:sz w:val="21"/>
              </w:rPr>
            </w:pPr>
            <w:r/>
          </w:p>
        </w:tc>
        <w:tc>
          <w:tcPr>
            <w:tcW w:w="1185" w:type="dxa"/>
            <w:vAlign w:val="top"/>
          </w:tcPr>
          <w:p>
            <w:pPr>
              <w:rPr>
                <w:rFonts w:ascii="Arial"/>
                <w:sz w:val="21"/>
              </w:rPr>
            </w:pPr>
            <w:r/>
          </w:p>
        </w:tc>
        <w:tc>
          <w:tcPr>
            <w:tcW w:w="1075" w:type="dxa"/>
            <w:vAlign w:val="top"/>
          </w:tcPr>
          <w:p>
            <w:pPr>
              <w:rPr>
                <w:rFonts w:ascii="Arial"/>
                <w:sz w:val="21"/>
              </w:rPr>
            </w:pPr>
            <w:r/>
          </w:p>
        </w:tc>
        <w:tc>
          <w:tcPr>
            <w:tcW w:w="974" w:type="dxa"/>
            <w:vAlign w:val="top"/>
          </w:tcPr>
          <w:p>
            <w:pPr>
              <w:ind w:left="281"/>
              <w:spacing w:before="33" w:line="229" w:lineRule="auto"/>
              <w:rPr>
                <w:rFonts w:ascii="SimSun" w:hAnsi="SimSun" w:eastAsia="SimSun" w:cs="SimSun"/>
                <w:sz w:val="20"/>
                <w:szCs w:val="20"/>
              </w:rPr>
            </w:pPr>
            <w:r>
              <w:rPr>
                <w:rFonts w:ascii="SimSun" w:hAnsi="SimSun" w:eastAsia="SimSun" w:cs="SimSun"/>
                <w:sz w:val="20"/>
                <w:szCs w:val="20"/>
                <w:spacing w:val="4"/>
              </w:rPr>
              <w:t>要求</w:t>
            </w:r>
          </w:p>
        </w:tc>
        <w:tc>
          <w:tcPr>
            <w:tcW w:w="4664" w:type="dxa"/>
            <w:vAlign w:val="top"/>
          </w:tcPr>
          <w:p>
            <w:pPr>
              <w:ind w:left="115"/>
              <w:spacing w:before="33" w:line="228" w:lineRule="auto"/>
              <w:rPr>
                <w:rFonts w:ascii="SimSun" w:hAnsi="SimSun" w:eastAsia="SimSun" w:cs="SimSun"/>
                <w:sz w:val="20"/>
                <w:szCs w:val="20"/>
              </w:rPr>
            </w:pPr>
            <w:r>
              <w:rPr>
                <w:rFonts w:ascii="SimSun" w:hAnsi="SimSun" w:eastAsia="SimSun" w:cs="SimSun"/>
                <w:sz w:val="20"/>
                <w:szCs w:val="20"/>
                <w:spacing w:val="7"/>
              </w:rPr>
              <w:t>属残留水平进一步降低。</w:t>
            </w:r>
          </w:p>
          <w:p>
            <w:pPr>
              <w:pStyle w:val="TableText"/>
              <w:ind w:left="113" w:right="106" w:hanging="4"/>
              <w:spacing w:before="24"/>
              <w:rPr>
                <w:rFonts w:ascii="SimSun" w:hAnsi="SimSun" w:eastAsia="SimSun" w:cs="SimSun"/>
              </w:rPr>
            </w:pPr>
            <w:r>
              <w:rPr>
                <w:spacing w:val="5"/>
              </w:rPr>
              <w:t>2</w:t>
            </w:r>
            <w:r>
              <w:rPr>
                <w:spacing w:val="-18"/>
              </w:rPr>
              <w:t xml:space="preserve"> </w:t>
            </w:r>
            <w:r>
              <w:rPr>
                <w:rFonts w:ascii="SimSun" w:hAnsi="SimSun" w:eastAsia="SimSun" w:cs="SimSun"/>
                <w:spacing w:val="5"/>
              </w:rPr>
              <w:t>、严控地下水超采。严格执行《地下水超采区和</w:t>
            </w:r>
            <w:r>
              <w:rPr>
                <w:rFonts w:ascii="SimSun" w:hAnsi="SimSun" w:eastAsia="SimSun" w:cs="SimSun"/>
                <w:spacing w:val="8"/>
              </w:rPr>
              <w:t>重要地下水水源地水位与水量双控方案》。</w:t>
            </w:r>
          </w:p>
          <w:p>
            <w:pPr>
              <w:pStyle w:val="TableText"/>
              <w:ind w:left="113" w:right="106"/>
              <w:spacing w:before="27"/>
              <w:rPr>
                <w:rFonts w:ascii="SimSun" w:hAnsi="SimSun" w:eastAsia="SimSun" w:cs="SimSun"/>
              </w:rPr>
            </w:pPr>
            <w:r>
              <w:rPr>
                <w:spacing w:val="6"/>
              </w:rPr>
              <w:t>3</w:t>
            </w:r>
            <w:r>
              <w:rPr>
                <w:spacing w:val="-12"/>
              </w:rPr>
              <w:t xml:space="preserve"> </w:t>
            </w:r>
            <w:r>
              <w:rPr>
                <w:rFonts w:ascii="SimSun" w:hAnsi="SimSun" w:eastAsia="SimSun" w:cs="SimSun"/>
                <w:spacing w:val="6"/>
              </w:rPr>
              <w:t>、实行地下水</w:t>
            </w:r>
            <w:r>
              <w:rPr>
                <w:spacing w:val="6"/>
              </w:rPr>
              <w:t>“</w:t>
            </w:r>
            <w:r>
              <w:rPr>
                <w:rFonts w:ascii="SimSun" w:hAnsi="SimSun" w:eastAsia="SimSun" w:cs="SimSun"/>
                <w:spacing w:val="6"/>
              </w:rPr>
              <w:t>五控</w:t>
            </w:r>
            <w:r>
              <w:rPr>
                <w:spacing w:val="6"/>
              </w:rPr>
              <w:t>”</w:t>
            </w:r>
            <w:r>
              <w:rPr>
                <w:rFonts w:ascii="SimSun" w:hAnsi="SimSun" w:eastAsia="SimSun" w:cs="SimSun"/>
                <w:spacing w:val="6"/>
              </w:rPr>
              <w:t>制度。</w:t>
            </w:r>
            <w:r>
              <w:rPr>
                <w:spacing w:val="6"/>
              </w:rPr>
              <w:t>“</w:t>
            </w:r>
            <w:r>
              <w:rPr>
                <w:rFonts w:ascii="SimSun" w:hAnsi="SimSun" w:eastAsia="SimSun" w:cs="SimSun"/>
                <w:spacing w:val="6"/>
              </w:rPr>
              <w:t>五控</w:t>
            </w:r>
            <w:r>
              <w:rPr>
                <w:spacing w:val="6"/>
              </w:rPr>
              <w:t>”</w:t>
            </w:r>
            <w:r>
              <w:rPr>
                <w:rFonts w:ascii="SimSun" w:hAnsi="SimSun" w:eastAsia="SimSun" w:cs="SimSun"/>
                <w:spacing w:val="6"/>
              </w:rPr>
              <w:t>即严格管控地</w:t>
            </w:r>
            <w:r>
              <w:rPr>
                <w:rFonts w:ascii="SimSun" w:hAnsi="SimSun" w:eastAsia="SimSun" w:cs="SimSun"/>
                <w:spacing w:val="9"/>
              </w:rPr>
              <w:t>下水开发利用总量、水位、用途水质及机电井数</w:t>
            </w:r>
            <w:r>
              <w:rPr>
                <w:rFonts w:ascii="SimSun" w:hAnsi="SimSun" w:eastAsia="SimSun" w:cs="SimSun"/>
              </w:rPr>
              <w:t>量</w:t>
            </w:r>
          </w:p>
        </w:tc>
        <w:tc>
          <w:tcPr>
            <w:tcW w:w="2418" w:type="dxa"/>
            <w:vAlign w:val="top"/>
          </w:tcPr>
          <w:p>
            <w:pPr>
              <w:pStyle w:val="TableText"/>
              <w:ind w:left="15"/>
              <w:spacing w:before="33" w:line="228" w:lineRule="auto"/>
              <w:rPr/>
            </w:pPr>
            <w:r>
              <w:rPr>
                <w:rFonts w:ascii="SimSun" w:hAnsi="SimSun" w:eastAsia="SimSun" w:cs="SimSun"/>
                <w:spacing w:val="5"/>
              </w:rPr>
              <w:t>矸石综合利用率</w:t>
            </w:r>
            <w:r>
              <w:rPr>
                <w:rFonts w:ascii="SimSun" w:hAnsi="SimSun" w:eastAsia="SimSun" w:cs="SimSun"/>
                <w:spacing w:val="-16"/>
              </w:rPr>
              <w:t xml:space="preserve"> </w:t>
            </w:r>
            <w:r>
              <w:rPr>
                <w:spacing w:val="5"/>
              </w:rPr>
              <w:t>100%</w:t>
            </w:r>
          </w:p>
          <w:p>
            <w:pPr>
              <w:pStyle w:val="TableText"/>
              <w:ind w:left="15" w:right="201" w:hanging="3"/>
              <w:spacing w:before="23" w:line="254" w:lineRule="auto"/>
              <w:rPr>
                <w:rFonts w:ascii="SimSun" w:hAnsi="SimSun" w:eastAsia="SimSun" w:cs="SimSun"/>
              </w:rPr>
            </w:pPr>
            <w:r>
              <w:rPr>
                <w:spacing w:val="6"/>
              </w:rPr>
              <w:t>2</w:t>
            </w:r>
            <w:r>
              <w:rPr>
                <w:spacing w:val="-18"/>
              </w:rPr>
              <w:t xml:space="preserve"> </w:t>
            </w:r>
            <w:r>
              <w:rPr>
                <w:rFonts w:ascii="SimSun" w:hAnsi="SimSun" w:eastAsia="SimSun" w:cs="SimSun"/>
                <w:spacing w:val="6"/>
              </w:rPr>
              <w:t>、本项目所在区域不在</w:t>
            </w:r>
            <w:r>
              <w:rPr>
                <w:rFonts w:ascii="SimSun" w:hAnsi="SimSun" w:eastAsia="SimSun" w:cs="SimSun"/>
                <w:spacing w:val="8"/>
              </w:rPr>
              <w:t>地下水超采区范围内</w:t>
            </w:r>
          </w:p>
        </w:tc>
        <w:tc>
          <w:tcPr>
            <w:tcW w:w="2421" w:type="dxa"/>
            <w:vAlign w:val="top"/>
          </w:tcPr>
          <w:p>
            <w:pPr>
              <w:rPr>
                <w:rFonts w:ascii="Arial"/>
                <w:sz w:val="21"/>
              </w:rPr>
            </w:pPr>
            <w:r/>
          </w:p>
        </w:tc>
      </w:tr>
      <w:tr>
        <w:trPr>
          <w:trHeight w:val="1094" w:hRule="atLeast"/>
        </w:trPr>
        <w:tc>
          <w:tcPr>
            <w:tcW w:w="1770" w:type="dxa"/>
            <w:vAlign w:val="top"/>
            <w:vMerge w:val="restart"/>
            <w:tcBorders>
              <w:bottom w:val="nil"/>
            </w:tcBorders>
          </w:tcPr>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3" w:lineRule="auto"/>
              <w:rPr>
                <w:rFonts w:ascii="Arial"/>
                <w:sz w:val="21"/>
              </w:rPr>
            </w:pPr>
            <w:r/>
          </w:p>
          <w:p>
            <w:pPr>
              <w:spacing w:line="254" w:lineRule="auto"/>
              <w:rPr>
                <w:rFonts w:ascii="Arial"/>
                <w:sz w:val="21"/>
              </w:rPr>
            </w:pPr>
            <w:r/>
          </w:p>
          <w:p>
            <w:pPr>
              <w:pStyle w:val="TableText"/>
              <w:ind w:left="165"/>
              <w:spacing w:before="57" w:line="195" w:lineRule="auto"/>
              <w:rPr/>
            </w:pPr>
            <w:r>
              <w:rPr/>
              <w:t>ZH</w:t>
            </w:r>
            <w:r>
              <w:rPr>
                <w:spacing w:val="6"/>
              </w:rPr>
              <w:t>15252630001</w:t>
            </w:r>
          </w:p>
        </w:tc>
        <w:tc>
          <w:tcPr>
            <w:tcW w:w="1185" w:type="dxa"/>
            <w:vAlign w:val="top"/>
            <w:vMerge w:val="restart"/>
            <w:tcBorders>
              <w:bottom w:val="nil"/>
            </w:tcBorders>
          </w:tcPr>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8"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ind w:left="177" w:right="175" w:firstLine="2"/>
              <w:spacing w:before="65" w:line="251" w:lineRule="auto"/>
              <w:rPr>
                <w:rFonts w:ascii="SimSun" w:hAnsi="SimSun" w:eastAsia="SimSun" w:cs="SimSun"/>
                <w:sz w:val="20"/>
                <w:szCs w:val="20"/>
              </w:rPr>
            </w:pPr>
            <w:r>
              <w:rPr>
                <w:rFonts w:ascii="SimSun" w:hAnsi="SimSun" w:eastAsia="SimSun" w:cs="SimSun"/>
                <w:sz w:val="20"/>
                <w:szCs w:val="20"/>
                <w:spacing w:val="6"/>
              </w:rPr>
              <w:t>西乌珠穆</w:t>
            </w:r>
            <w:r>
              <w:rPr>
                <w:rFonts w:ascii="SimSun" w:hAnsi="SimSun" w:eastAsia="SimSun" w:cs="SimSun"/>
                <w:sz w:val="20"/>
                <w:szCs w:val="20"/>
                <w:spacing w:val="6"/>
              </w:rPr>
              <w:t>沁旗一般</w:t>
            </w:r>
          </w:p>
          <w:p>
            <w:pPr>
              <w:ind w:left="179"/>
              <w:spacing w:line="227" w:lineRule="auto"/>
              <w:rPr>
                <w:rFonts w:ascii="SimSun" w:hAnsi="SimSun" w:eastAsia="SimSun" w:cs="SimSun"/>
                <w:sz w:val="20"/>
                <w:szCs w:val="20"/>
              </w:rPr>
            </w:pPr>
            <w:r>
              <w:rPr>
                <w:rFonts w:ascii="SimSun" w:hAnsi="SimSun" w:eastAsia="SimSun" w:cs="SimSun"/>
                <w:sz w:val="20"/>
                <w:szCs w:val="20"/>
                <w:spacing w:val="6"/>
              </w:rPr>
              <w:t>管控单元</w:t>
            </w:r>
          </w:p>
        </w:tc>
        <w:tc>
          <w:tcPr>
            <w:tcW w:w="1075" w:type="dxa"/>
            <w:vAlign w:val="top"/>
            <w:vMerge w:val="restart"/>
            <w:tcBorders>
              <w:bottom w:val="nil"/>
            </w:tcBorders>
          </w:tcPr>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spacing w:line="241" w:lineRule="auto"/>
              <w:rPr>
                <w:rFonts w:ascii="Arial"/>
                <w:sz w:val="21"/>
              </w:rPr>
            </w:pPr>
            <w:r/>
          </w:p>
          <w:p>
            <w:pPr>
              <w:ind w:left="332" w:right="120" w:hanging="209"/>
              <w:spacing w:before="65" w:line="252" w:lineRule="auto"/>
              <w:rPr>
                <w:rFonts w:ascii="SimSun" w:hAnsi="SimSun" w:eastAsia="SimSun" w:cs="SimSun"/>
                <w:sz w:val="20"/>
                <w:szCs w:val="20"/>
              </w:rPr>
            </w:pPr>
            <w:r>
              <w:rPr>
                <w:rFonts w:ascii="SimSun" w:hAnsi="SimSun" w:eastAsia="SimSun" w:cs="SimSun"/>
                <w:sz w:val="20"/>
                <w:szCs w:val="20"/>
                <w:spacing w:val="6"/>
              </w:rPr>
              <w:t>一般管控</w:t>
            </w:r>
            <w:r>
              <w:rPr>
                <w:rFonts w:ascii="SimSun" w:hAnsi="SimSun" w:eastAsia="SimSun" w:cs="SimSun"/>
                <w:sz w:val="20"/>
                <w:szCs w:val="20"/>
                <w:spacing w:val="3"/>
              </w:rPr>
              <w:t>单元</w:t>
            </w:r>
          </w:p>
        </w:tc>
        <w:tc>
          <w:tcPr>
            <w:tcW w:w="974" w:type="dxa"/>
            <w:vAlign w:val="top"/>
          </w:tcPr>
          <w:p>
            <w:pPr>
              <w:ind w:left="178" w:right="172" w:firstLine="3"/>
              <w:spacing w:before="300" w:line="254" w:lineRule="auto"/>
              <w:rPr>
                <w:rFonts w:ascii="SimSun" w:hAnsi="SimSun" w:eastAsia="SimSun" w:cs="SimSun"/>
                <w:sz w:val="20"/>
                <w:szCs w:val="20"/>
              </w:rPr>
            </w:pPr>
            <w:r>
              <w:rPr>
                <w:rFonts w:ascii="SimSun" w:hAnsi="SimSun" w:eastAsia="SimSun" w:cs="SimSun"/>
                <w:sz w:val="20"/>
                <w:szCs w:val="20"/>
                <w:spacing w:val="4"/>
              </w:rPr>
              <w:t>空间布</w:t>
            </w:r>
            <w:r>
              <w:rPr>
                <w:rFonts w:ascii="SimSun" w:hAnsi="SimSun" w:eastAsia="SimSun" w:cs="SimSun"/>
                <w:sz w:val="20"/>
                <w:szCs w:val="20"/>
                <w:spacing w:val="6"/>
              </w:rPr>
              <w:t>局约束</w:t>
            </w:r>
          </w:p>
        </w:tc>
        <w:tc>
          <w:tcPr>
            <w:tcW w:w="4664" w:type="dxa"/>
            <w:vAlign w:val="top"/>
          </w:tcPr>
          <w:p>
            <w:pPr>
              <w:ind w:left="115" w:right="144" w:hanging="2"/>
              <w:spacing w:before="300" w:line="254" w:lineRule="auto"/>
              <w:rPr>
                <w:rFonts w:ascii="SimSun" w:hAnsi="SimSun" w:eastAsia="SimSun" w:cs="SimSun"/>
                <w:sz w:val="20"/>
                <w:szCs w:val="20"/>
              </w:rPr>
            </w:pPr>
            <w:r>
              <w:rPr>
                <w:rFonts w:ascii="SimSun" w:hAnsi="SimSun" w:eastAsia="SimSun" w:cs="SimSun"/>
                <w:sz w:val="20"/>
                <w:szCs w:val="20"/>
                <w:spacing w:val="9"/>
              </w:rPr>
              <w:t>执行锡林郭勒盟总体准入要求第一条关于空间布</w:t>
            </w:r>
            <w:r>
              <w:rPr>
                <w:rFonts w:ascii="SimSun" w:hAnsi="SimSun" w:eastAsia="SimSun" w:cs="SimSun"/>
                <w:sz w:val="20"/>
                <w:szCs w:val="20"/>
                <w:spacing w:val="8"/>
              </w:rPr>
              <w:t>局约束的准入要求</w:t>
            </w:r>
          </w:p>
        </w:tc>
        <w:tc>
          <w:tcPr>
            <w:tcW w:w="2418" w:type="dxa"/>
            <w:vAlign w:val="top"/>
          </w:tcPr>
          <w:p>
            <w:pPr>
              <w:ind w:left="115" w:right="208"/>
              <w:spacing w:before="31" w:line="243" w:lineRule="auto"/>
              <w:jc w:val="both"/>
              <w:rPr>
                <w:rFonts w:ascii="SimSun" w:hAnsi="SimSun" w:eastAsia="SimSun" w:cs="SimSun"/>
                <w:sz w:val="20"/>
                <w:szCs w:val="20"/>
              </w:rPr>
            </w:pPr>
            <w:r>
              <w:rPr>
                <w:rFonts w:ascii="SimSun" w:hAnsi="SimSun" w:eastAsia="SimSun" w:cs="SimSun"/>
                <w:sz w:val="20"/>
                <w:szCs w:val="20"/>
                <w:spacing w:val="8"/>
              </w:rPr>
              <w:t>本项目选址及占地与锡</w:t>
            </w:r>
            <w:r>
              <w:rPr>
                <w:rFonts w:ascii="SimSun" w:hAnsi="SimSun" w:eastAsia="SimSun" w:cs="SimSun"/>
                <w:sz w:val="20"/>
                <w:szCs w:val="20"/>
                <w:spacing w:val="8"/>
              </w:rPr>
              <w:t>林郭勒盟总体准入要求</w:t>
            </w:r>
            <w:r>
              <w:rPr>
                <w:rFonts w:ascii="SimSun" w:hAnsi="SimSun" w:eastAsia="SimSun" w:cs="SimSun"/>
                <w:sz w:val="20"/>
                <w:szCs w:val="20"/>
                <w:spacing w:val="8"/>
              </w:rPr>
              <w:t>第一条关于空间布局约</w:t>
            </w:r>
            <w:r>
              <w:rPr>
                <w:rFonts w:ascii="SimSun" w:hAnsi="SimSun" w:eastAsia="SimSun" w:cs="SimSun"/>
                <w:sz w:val="20"/>
                <w:szCs w:val="20"/>
                <w:spacing w:val="8"/>
              </w:rPr>
              <w:t>束的准入要求不冲突</w:t>
            </w:r>
          </w:p>
        </w:tc>
        <w:tc>
          <w:tcPr>
            <w:tcW w:w="2421" w:type="dxa"/>
            <w:vAlign w:val="top"/>
          </w:tcPr>
          <w:p>
            <w:pPr>
              <w:spacing w:line="370"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456" w:hRule="atLeast"/>
        </w:trPr>
        <w:tc>
          <w:tcPr>
            <w:tcW w:w="1770" w:type="dxa"/>
            <w:vAlign w:val="top"/>
            <w:vMerge w:val="continue"/>
            <w:tcBorders>
              <w:top w:val="nil"/>
              <w:bottom w:val="nil"/>
            </w:tcBorders>
          </w:tcPr>
          <w:p>
            <w:pPr>
              <w:rPr>
                <w:rFonts w:ascii="Arial"/>
                <w:sz w:val="21"/>
              </w:rPr>
            </w:pPr>
            <w:r/>
          </w:p>
        </w:tc>
        <w:tc>
          <w:tcPr>
            <w:tcW w:w="1185" w:type="dxa"/>
            <w:vAlign w:val="top"/>
            <w:vMerge w:val="continue"/>
            <w:tcBorders>
              <w:top w:val="nil"/>
              <w:bottom w:val="nil"/>
            </w:tcBorders>
          </w:tcPr>
          <w:p>
            <w:pPr>
              <w:rPr>
                <w:rFonts w:ascii="Arial"/>
                <w:sz w:val="21"/>
              </w:rPr>
            </w:pPr>
            <w:r/>
          </w:p>
        </w:tc>
        <w:tc>
          <w:tcPr>
            <w:tcW w:w="1075" w:type="dxa"/>
            <w:vAlign w:val="top"/>
            <w:vMerge w:val="continue"/>
            <w:tcBorders>
              <w:top w:val="nil"/>
              <w:bottom w:val="nil"/>
            </w:tcBorders>
          </w:tcPr>
          <w:p>
            <w:pPr>
              <w:rPr>
                <w:rFonts w:ascii="Arial"/>
                <w:sz w:val="21"/>
              </w:rPr>
            </w:pPr>
            <w:r/>
          </w:p>
        </w:tc>
        <w:tc>
          <w:tcPr>
            <w:tcW w:w="974" w:type="dxa"/>
            <w:vAlign w:val="top"/>
          </w:tcPr>
          <w:p>
            <w:pPr>
              <w:spacing w:line="258" w:lineRule="auto"/>
              <w:rPr>
                <w:rFonts w:ascii="Arial"/>
                <w:sz w:val="21"/>
              </w:rPr>
            </w:pPr>
            <w:r/>
          </w:p>
          <w:p>
            <w:pPr>
              <w:spacing w:line="259" w:lineRule="auto"/>
              <w:rPr>
                <w:rFonts w:ascii="Arial"/>
                <w:sz w:val="21"/>
              </w:rPr>
            </w:pPr>
            <w:r/>
          </w:p>
          <w:p>
            <w:pPr>
              <w:spacing w:line="259" w:lineRule="auto"/>
              <w:rPr>
                <w:rFonts w:ascii="Arial"/>
                <w:sz w:val="21"/>
              </w:rPr>
            </w:pPr>
            <w:r/>
          </w:p>
          <w:p>
            <w:pPr>
              <w:ind w:left="177"/>
              <w:spacing w:before="65" w:line="228" w:lineRule="auto"/>
              <w:rPr>
                <w:rFonts w:ascii="SimSun" w:hAnsi="SimSun" w:eastAsia="SimSun" w:cs="SimSun"/>
                <w:sz w:val="20"/>
                <w:szCs w:val="20"/>
              </w:rPr>
            </w:pPr>
            <w:r>
              <w:rPr>
                <w:rFonts w:ascii="SimSun" w:hAnsi="SimSun" w:eastAsia="SimSun" w:cs="SimSun"/>
                <w:sz w:val="20"/>
                <w:szCs w:val="20"/>
                <w:spacing w:val="6"/>
              </w:rPr>
              <w:t>污染物</w:t>
            </w:r>
          </w:p>
          <w:p>
            <w:pPr>
              <w:ind w:left="175"/>
              <w:spacing w:before="25" w:line="228" w:lineRule="auto"/>
              <w:rPr>
                <w:rFonts w:ascii="SimSun" w:hAnsi="SimSun" w:eastAsia="SimSun" w:cs="SimSun"/>
                <w:sz w:val="20"/>
                <w:szCs w:val="20"/>
              </w:rPr>
            </w:pPr>
            <w:r>
              <w:rPr>
                <w:rFonts w:ascii="SimSun" w:hAnsi="SimSun" w:eastAsia="SimSun" w:cs="SimSun"/>
                <w:sz w:val="20"/>
                <w:szCs w:val="20"/>
                <w:spacing w:val="6"/>
              </w:rPr>
              <w:t>排放管</w:t>
            </w:r>
          </w:p>
          <w:p>
            <w:pPr>
              <w:ind w:left="385"/>
              <w:spacing w:before="24" w:line="228" w:lineRule="auto"/>
              <w:rPr>
                <w:rFonts w:ascii="SimSun" w:hAnsi="SimSun" w:eastAsia="SimSun" w:cs="SimSun"/>
                <w:sz w:val="20"/>
                <w:szCs w:val="20"/>
              </w:rPr>
            </w:pPr>
            <w:r>
              <w:rPr>
                <w:rFonts w:ascii="SimSun" w:hAnsi="SimSun" w:eastAsia="SimSun" w:cs="SimSun"/>
                <w:sz w:val="20"/>
                <w:szCs w:val="20"/>
                <w:spacing w:val="1"/>
              </w:rPr>
              <w:t>控</w:t>
            </w:r>
          </w:p>
        </w:tc>
        <w:tc>
          <w:tcPr>
            <w:tcW w:w="4664" w:type="dxa"/>
            <w:vAlign w:val="top"/>
          </w:tcPr>
          <w:p>
            <w:pPr>
              <w:spacing w:line="303" w:lineRule="auto"/>
              <w:rPr>
                <w:rFonts w:ascii="Arial"/>
                <w:sz w:val="21"/>
              </w:rPr>
            </w:pPr>
            <w:r/>
          </w:p>
          <w:p>
            <w:pPr>
              <w:spacing w:line="304" w:lineRule="auto"/>
              <w:rPr>
                <w:rFonts w:ascii="Arial"/>
                <w:sz w:val="21"/>
              </w:rPr>
            </w:pPr>
            <w:r/>
          </w:p>
          <w:p>
            <w:pPr>
              <w:spacing w:line="304" w:lineRule="auto"/>
              <w:rPr>
                <w:rFonts w:ascii="Arial"/>
                <w:sz w:val="21"/>
              </w:rPr>
            </w:pPr>
            <w:r/>
          </w:p>
          <w:p>
            <w:pPr>
              <w:ind w:left="113" w:right="144"/>
              <w:spacing w:before="65" w:line="252" w:lineRule="auto"/>
              <w:rPr>
                <w:rFonts w:ascii="SimSun" w:hAnsi="SimSun" w:eastAsia="SimSun" w:cs="SimSun"/>
                <w:sz w:val="20"/>
                <w:szCs w:val="20"/>
              </w:rPr>
            </w:pPr>
            <w:r>
              <w:rPr>
                <w:rFonts w:ascii="SimSun" w:hAnsi="SimSun" w:eastAsia="SimSun" w:cs="SimSun"/>
                <w:sz w:val="20"/>
                <w:szCs w:val="20"/>
                <w:spacing w:val="9"/>
              </w:rPr>
              <w:t>执行锡林郭勒盟总体准入要求中第二条关于污染</w:t>
            </w:r>
            <w:r>
              <w:rPr>
                <w:rFonts w:ascii="SimSun" w:hAnsi="SimSun" w:eastAsia="SimSun" w:cs="SimSun"/>
                <w:sz w:val="20"/>
                <w:szCs w:val="20"/>
                <w:spacing w:val="8"/>
              </w:rPr>
              <w:t>物排放管控的准入要求</w:t>
            </w:r>
          </w:p>
        </w:tc>
        <w:tc>
          <w:tcPr>
            <w:tcW w:w="2418" w:type="dxa"/>
            <w:vAlign w:val="top"/>
          </w:tcPr>
          <w:p>
            <w:pPr>
              <w:ind w:left="114" w:right="208" w:firstLine="4"/>
              <w:spacing w:before="31" w:line="251" w:lineRule="auto"/>
              <w:rPr>
                <w:rFonts w:ascii="SimSun" w:hAnsi="SimSun" w:eastAsia="SimSun" w:cs="SimSun"/>
                <w:sz w:val="20"/>
                <w:szCs w:val="20"/>
              </w:rPr>
            </w:pPr>
            <w:r>
              <w:rPr>
                <w:rFonts w:ascii="SimSun" w:hAnsi="SimSun" w:eastAsia="SimSun" w:cs="SimSun"/>
                <w:sz w:val="20"/>
                <w:szCs w:val="20"/>
                <w:spacing w:val="8"/>
              </w:rPr>
              <w:t>项目设置内排土场、不</w:t>
            </w:r>
            <w:r>
              <w:rPr>
                <w:rFonts w:ascii="SimSun" w:hAnsi="SimSun" w:eastAsia="SimSun" w:cs="SimSun"/>
                <w:sz w:val="20"/>
                <w:szCs w:val="20"/>
                <w:spacing w:val="9"/>
              </w:rPr>
              <w:t>设燃煤锅炉、生活污水</w:t>
            </w:r>
            <w:r>
              <w:rPr>
                <w:rFonts w:ascii="SimSun" w:hAnsi="SimSun" w:eastAsia="SimSun" w:cs="SimSun"/>
                <w:sz w:val="20"/>
                <w:szCs w:val="20"/>
                <w:spacing w:val="9"/>
              </w:rPr>
              <w:t>及矿井水全部回用不外</w:t>
            </w:r>
            <w:r>
              <w:rPr>
                <w:rFonts w:ascii="SimSun" w:hAnsi="SimSun" w:eastAsia="SimSun" w:cs="SimSun"/>
                <w:sz w:val="20"/>
                <w:szCs w:val="20"/>
                <w:spacing w:val="9"/>
              </w:rPr>
              <w:t>排、危险废物均委托具</w:t>
            </w:r>
            <w:r>
              <w:rPr>
                <w:rFonts w:ascii="SimSun" w:hAnsi="SimSun" w:eastAsia="SimSun" w:cs="SimSun"/>
                <w:sz w:val="20"/>
                <w:szCs w:val="20"/>
                <w:spacing w:val="9"/>
              </w:rPr>
              <w:t>有资质的单位进行处</w:t>
            </w:r>
          </w:p>
          <w:p>
            <w:pPr>
              <w:ind w:left="115" w:right="208" w:hanging="2"/>
              <w:spacing w:before="2" w:line="243" w:lineRule="auto"/>
              <w:rPr>
                <w:rFonts w:ascii="SimSun" w:hAnsi="SimSun" w:eastAsia="SimSun" w:cs="SimSun"/>
                <w:sz w:val="20"/>
                <w:szCs w:val="20"/>
              </w:rPr>
            </w:pPr>
            <w:r>
              <w:rPr>
                <w:rFonts w:ascii="SimSun" w:hAnsi="SimSun" w:eastAsia="SimSun" w:cs="SimSun"/>
                <w:sz w:val="20"/>
                <w:szCs w:val="20"/>
                <w:spacing w:val="9"/>
              </w:rPr>
              <w:t>置，与锡林郭勒盟总体</w:t>
            </w:r>
            <w:r>
              <w:rPr>
                <w:rFonts w:ascii="SimSun" w:hAnsi="SimSun" w:eastAsia="SimSun" w:cs="SimSun"/>
                <w:sz w:val="20"/>
                <w:szCs w:val="20"/>
                <w:spacing w:val="8"/>
              </w:rPr>
              <w:t>准入要求中第二条关于</w:t>
            </w:r>
            <w:r>
              <w:rPr>
                <w:rFonts w:ascii="SimSun" w:hAnsi="SimSun" w:eastAsia="SimSun" w:cs="SimSun"/>
                <w:sz w:val="20"/>
                <w:szCs w:val="20"/>
                <w:spacing w:val="8"/>
              </w:rPr>
              <w:t>污染物排放管控的准入</w:t>
            </w:r>
            <w:r>
              <w:rPr>
                <w:rFonts w:ascii="SimSun" w:hAnsi="SimSun" w:eastAsia="SimSun" w:cs="SimSun"/>
                <w:sz w:val="20"/>
                <w:szCs w:val="20"/>
                <w:spacing w:val="8"/>
              </w:rPr>
              <w:t>要求不冲突</w:t>
            </w:r>
          </w:p>
        </w:tc>
        <w:tc>
          <w:tcPr>
            <w:tcW w:w="2421" w:type="dxa"/>
            <w:vAlign w:val="top"/>
          </w:tcPr>
          <w:p>
            <w:pPr>
              <w:spacing w:line="261" w:lineRule="auto"/>
              <w:rPr>
                <w:rFonts w:ascii="Arial"/>
                <w:sz w:val="21"/>
              </w:rPr>
            </w:pPr>
            <w:r/>
          </w:p>
          <w:p>
            <w:pPr>
              <w:spacing w:line="262" w:lineRule="auto"/>
              <w:rPr>
                <w:rFonts w:ascii="Arial"/>
                <w:sz w:val="21"/>
              </w:rPr>
            </w:pPr>
            <w:r/>
          </w:p>
          <w:p>
            <w:pPr>
              <w:spacing w:line="262" w:lineRule="auto"/>
              <w:rPr>
                <w:rFonts w:ascii="Arial"/>
                <w:sz w:val="21"/>
              </w:rPr>
            </w:pPr>
            <w:r/>
          </w:p>
          <w:p>
            <w:pPr>
              <w:spacing w:line="262"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180" w:hRule="atLeast"/>
        </w:trPr>
        <w:tc>
          <w:tcPr>
            <w:tcW w:w="1770" w:type="dxa"/>
            <w:vAlign w:val="top"/>
            <w:vMerge w:val="continue"/>
            <w:tcBorders>
              <w:top w:val="nil"/>
              <w:bottom w:val="nil"/>
            </w:tcBorders>
          </w:tcPr>
          <w:p>
            <w:pPr>
              <w:rPr>
                <w:rFonts w:ascii="Arial"/>
                <w:sz w:val="21"/>
              </w:rPr>
            </w:pPr>
            <w:r/>
          </w:p>
        </w:tc>
        <w:tc>
          <w:tcPr>
            <w:tcW w:w="1185" w:type="dxa"/>
            <w:vAlign w:val="top"/>
            <w:vMerge w:val="continue"/>
            <w:tcBorders>
              <w:top w:val="nil"/>
              <w:bottom w:val="nil"/>
            </w:tcBorders>
          </w:tcPr>
          <w:p>
            <w:pPr>
              <w:rPr>
                <w:rFonts w:ascii="Arial"/>
                <w:sz w:val="21"/>
              </w:rPr>
            </w:pPr>
            <w:r/>
          </w:p>
        </w:tc>
        <w:tc>
          <w:tcPr>
            <w:tcW w:w="1075" w:type="dxa"/>
            <w:vAlign w:val="top"/>
            <w:vMerge w:val="continue"/>
            <w:tcBorders>
              <w:top w:val="nil"/>
              <w:bottom w:val="nil"/>
            </w:tcBorders>
          </w:tcPr>
          <w:p>
            <w:pPr>
              <w:rPr>
                <w:rFonts w:ascii="Arial"/>
                <w:sz w:val="21"/>
              </w:rPr>
            </w:pPr>
            <w:r/>
          </w:p>
        </w:tc>
        <w:tc>
          <w:tcPr>
            <w:tcW w:w="974" w:type="dxa"/>
            <w:vAlign w:val="top"/>
          </w:tcPr>
          <w:p>
            <w:pPr>
              <w:ind w:left="186" w:right="172" w:hanging="11"/>
              <w:spacing w:before="28" w:line="254" w:lineRule="auto"/>
              <w:rPr>
                <w:rFonts w:ascii="SimSun" w:hAnsi="SimSun" w:eastAsia="SimSun" w:cs="SimSun"/>
                <w:sz w:val="20"/>
                <w:szCs w:val="20"/>
              </w:rPr>
            </w:pPr>
            <w:r>
              <w:rPr>
                <w:rFonts w:ascii="SimSun" w:hAnsi="SimSun" w:eastAsia="SimSun" w:cs="SimSun"/>
                <w:sz w:val="20"/>
                <w:szCs w:val="20"/>
                <w:spacing w:val="6"/>
              </w:rPr>
              <w:t>环境风</w:t>
            </w:r>
            <w:r>
              <w:rPr>
                <w:rFonts w:ascii="SimSun" w:hAnsi="SimSun" w:eastAsia="SimSun" w:cs="SimSun"/>
                <w:sz w:val="20"/>
                <w:szCs w:val="20"/>
                <w:spacing w:val="3"/>
              </w:rPr>
              <w:t>险管控</w:t>
            </w:r>
          </w:p>
        </w:tc>
        <w:tc>
          <w:tcPr>
            <w:tcW w:w="4664" w:type="dxa"/>
            <w:vAlign w:val="top"/>
          </w:tcPr>
          <w:p>
            <w:pPr>
              <w:ind w:left="113" w:right="144"/>
              <w:spacing w:before="30" w:line="251" w:lineRule="auto"/>
              <w:rPr>
                <w:rFonts w:ascii="SimSun" w:hAnsi="SimSun" w:eastAsia="SimSun" w:cs="SimSun"/>
                <w:sz w:val="20"/>
                <w:szCs w:val="20"/>
              </w:rPr>
            </w:pPr>
            <w:r>
              <w:rPr>
                <w:rFonts w:ascii="SimSun" w:hAnsi="SimSun" w:eastAsia="SimSun" w:cs="SimSun"/>
                <w:sz w:val="20"/>
                <w:szCs w:val="20"/>
                <w:spacing w:val="9"/>
              </w:rPr>
              <w:t>执行锡林郭勒盟总体准入要求中第三条关于环境</w:t>
            </w:r>
            <w:r>
              <w:rPr>
                <w:rFonts w:ascii="SimSun" w:hAnsi="SimSun" w:eastAsia="SimSun" w:cs="SimSun"/>
                <w:sz w:val="20"/>
                <w:szCs w:val="20"/>
                <w:spacing w:val="8"/>
              </w:rPr>
              <w:t>风险防控的准入要求；</w:t>
            </w:r>
          </w:p>
          <w:p>
            <w:pPr>
              <w:ind w:left="113" w:right="144"/>
              <w:spacing w:before="3" w:line="245" w:lineRule="auto"/>
              <w:rPr>
                <w:rFonts w:ascii="SimSun" w:hAnsi="SimSun" w:eastAsia="SimSun" w:cs="SimSun"/>
                <w:sz w:val="20"/>
                <w:szCs w:val="20"/>
              </w:rPr>
            </w:pPr>
            <w:r>
              <w:rPr>
                <w:rFonts w:ascii="SimSun" w:hAnsi="SimSun" w:eastAsia="SimSun" w:cs="SimSun"/>
                <w:sz w:val="20"/>
                <w:szCs w:val="20"/>
                <w:spacing w:val="9"/>
              </w:rPr>
              <w:t>积极推进区域联防联控工作，开展空气质量中长</w:t>
            </w:r>
            <w:r>
              <w:rPr>
                <w:rFonts w:ascii="SimSun" w:hAnsi="SimSun" w:eastAsia="SimSun" w:cs="SimSun"/>
                <w:sz w:val="20"/>
                <w:szCs w:val="20"/>
                <w:spacing w:val="9"/>
              </w:rPr>
              <w:t>期趋势预测，完善重度及以上污染天气的区域联</w:t>
            </w:r>
            <w:r>
              <w:rPr>
                <w:rFonts w:ascii="SimSun" w:hAnsi="SimSun" w:eastAsia="SimSun" w:cs="SimSun"/>
                <w:sz w:val="20"/>
                <w:szCs w:val="20"/>
                <w:spacing w:val="9"/>
              </w:rPr>
              <w:t>合预警机制，加强各级环保与气象部门业务合作</w:t>
            </w:r>
            <w:r>
              <w:rPr>
                <w:rFonts w:ascii="SimSun" w:hAnsi="SimSun" w:eastAsia="SimSun" w:cs="SimSun"/>
                <w:sz w:val="20"/>
                <w:szCs w:val="20"/>
                <w:spacing w:val="9"/>
              </w:rPr>
              <w:t>和信息共享。当预测到区域将出现大范围重污染</w:t>
            </w:r>
            <w:r>
              <w:rPr>
                <w:rFonts w:ascii="SimSun" w:hAnsi="SimSun" w:eastAsia="SimSun" w:cs="SimSun"/>
                <w:sz w:val="20"/>
                <w:szCs w:val="20"/>
                <w:spacing w:val="9"/>
              </w:rPr>
              <w:t>天气时，统一发布预警信息、各地按级别启动应</w:t>
            </w:r>
            <w:r>
              <w:rPr>
                <w:rFonts w:ascii="SimSun" w:hAnsi="SimSun" w:eastAsia="SimSun" w:cs="SimSun"/>
                <w:sz w:val="20"/>
                <w:szCs w:val="20"/>
                <w:spacing w:val="9"/>
              </w:rPr>
              <w:t>急响应措施，实施区域应急联动</w:t>
            </w:r>
          </w:p>
        </w:tc>
        <w:tc>
          <w:tcPr>
            <w:tcW w:w="2418" w:type="dxa"/>
            <w:vAlign w:val="top"/>
          </w:tcPr>
          <w:p>
            <w:pPr>
              <w:ind w:left="164"/>
              <w:spacing w:before="28" w:line="227" w:lineRule="auto"/>
              <w:rPr>
                <w:rFonts w:ascii="SimSun" w:hAnsi="SimSun" w:eastAsia="SimSun" w:cs="SimSun"/>
                <w:sz w:val="20"/>
                <w:szCs w:val="20"/>
              </w:rPr>
            </w:pPr>
            <w:r>
              <w:rPr>
                <w:rFonts w:ascii="SimSun" w:hAnsi="SimSun" w:eastAsia="SimSun" w:cs="SimSun"/>
                <w:sz w:val="20"/>
                <w:szCs w:val="20"/>
                <w:spacing w:val="9"/>
              </w:rPr>
              <w:t>矿区所在的锡林郭勒盟</w:t>
            </w:r>
          </w:p>
          <w:p>
            <w:pPr>
              <w:ind w:left="188"/>
              <w:spacing w:before="27" w:line="227" w:lineRule="auto"/>
              <w:rPr>
                <w:rFonts w:ascii="SimSun" w:hAnsi="SimSun" w:eastAsia="SimSun" w:cs="SimSun"/>
                <w:sz w:val="20"/>
                <w:szCs w:val="20"/>
              </w:rPr>
            </w:pPr>
            <w:r>
              <w:rPr>
                <w:rFonts w:ascii="SimSun" w:hAnsi="SimSun" w:eastAsia="SimSun" w:cs="SimSun"/>
                <w:sz w:val="20"/>
                <w:szCs w:val="20"/>
                <w:spacing w:val="6"/>
              </w:rPr>
              <w:t>已编制《锡林郭勒盟重</w:t>
            </w:r>
          </w:p>
          <w:p>
            <w:pPr>
              <w:ind w:left="167"/>
              <w:spacing w:before="25" w:line="228" w:lineRule="auto"/>
              <w:rPr>
                <w:rFonts w:ascii="SimSun" w:hAnsi="SimSun" w:eastAsia="SimSun" w:cs="SimSun"/>
                <w:sz w:val="20"/>
                <w:szCs w:val="20"/>
              </w:rPr>
            </w:pPr>
            <w:r>
              <w:rPr>
                <w:rFonts w:ascii="SimSun" w:hAnsi="SimSun" w:eastAsia="SimSun" w:cs="SimSun"/>
                <w:sz w:val="20"/>
                <w:szCs w:val="20"/>
                <w:spacing w:val="6"/>
              </w:rPr>
              <w:t>污染天气应急预案》，</w:t>
            </w:r>
          </w:p>
          <w:p>
            <w:pPr>
              <w:ind w:left="165"/>
              <w:spacing w:before="24" w:line="228" w:lineRule="auto"/>
              <w:rPr>
                <w:rFonts w:ascii="SimSun" w:hAnsi="SimSun" w:eastAsia="SimSun" w:cs="SimSun"/>
                <w:sz w:val="20"/>
                <w:szCs w:val="20"/>
              </w:rPr>
            </w:pPr>
            <w:r>
              <w:rPr>
                <w:rFonts w:ascii="SimSun" w:hAnsi="SimSun" w:eastAsia="SimSun" w:cs="SimSun"/>
                <w:sz w:val="20"/>
                <w:szCs w:val="20"/>
                <w:spacing w:val="8"/>
              </w:rPr>
              <w:t>积极推进区域联防联控</w:t>
            </w:r>
          </w:p>
          <w:p>
            <w:pPr>
              <w:ind w:left="168"/>
              <w:spacing w:before="29" w:line="228" w:lineRule="auto"/>
              <w:rPr>
                <w:rFonts w:ascii="SimSun" w:hAnsi="SimSun" w:eastAsia="SimSun" w:cs="SimSun"/>
                <w:sz w:val="20"/>
                <w:szCs w:val="20"/>
              </w:rPr>
            </w:pPr>
            <w:r>
              <w:rPr>
                <w:rFonts w:ascii="SimSun" w:hAnsi="SimSun" w:eastAsia="SimSun" w:cs="SimSun"/>
                <w:sz w:val="20"/>
                <w:szCs w:val="20"/>
                <w:spacing w:val="8"/>
              </w:rPr>
              <w:t>工作，实施监测及预警</w:t>
            </w:r>
          </w:p>
          <w:p>
            <w:pPr>
              <w:ind w:left="164"/>
              <w:spacing w:before="24" w:line="227" w:lineRule="auto"/>
              <w:rPr>
                <w:rFonts w:ascii="SimSun" w:hAnsi="SimSun" w:eastAsia="SimSun" w:cs="SimSun"/>
                <w:sz w:val="20"/>
                <w:szCs w:val="20"/>
              </w:rPr>
            </w:pPr>
            <w:r>
              <w:rPr>
                <w:rFonts w:ascii="SimSun" w:hAnsi="SimSun" w:eastAsia="SimSun" w:cs="SimSun"/>
                <w:sz w:val="20"/>
                <w:szCs w:val="20"/>
                <w:spacing w:val="9"/>
              </w:rPr>
              <w:t>机制，区域内各地按级</w:t>
            </w:r>
          </w:p>
          <w:p>
            <w:pPr>
              <w:ind w:left="168"/>
              <w:spacing w:before="28" w:line="228" w:lineRule="auto"/>
              <w:rPr>
                <w:rFonts w:ascii="SimSun" w:hAnsi="SimSun" w:eastAsia="SimSun" w:cs="SimSun"/>
                <w:sz w:val="20"/>
                <w:szCs w:val="20"/>
              </w:rPr>
            </w:pPr>
            <w:r>
              <w:rPr>
                <w:rFonts w:ascii="SimSun" w:hAnsi="SimSun" w:eastAsia="SimSun" w:cs="SimSun"/>
                <w:sz w:val="20"/>
                <w:szCs w:val="20"/>
                <w:spacing w:val="7"/>
              </w:rPr>
              <w:t>别启动应急响应措施，</w:t>
            </w:r>
          </w:p>
          <w:p>
            <w:pPr>
              <w:ind w:left="379"/>
              <w:spacing w:before="24" w:line="215" w:lineRule="auto"/>
              <w:rPr>
                <w:rFonts w:ascii="SimSun" w:hAnsi="SimSun" w:eastAsia="SimSun" w:cs="SimSun"/>
                <w:sz w:val="20"/>
                <w:szCs w:val="20"/>
              </w:rPr>
            </w:pPr>
            <w:r>
              <w:rPr>
                <w:rFonts w:ascii="SimSun" w:hAnsi="SimSun" w:eastAsia="SimSun" w:cs="SimSun"/>
                <w:sz w:val="20"/>
                <w:szCs w:val="20"/>
                <w:spacing w:val="8"/>
              </w:rPr>
              <w:t>实施区域应急联动</w:t>
            </w:r>
          </w:p>
        </w:tc>
        <w:tc>
          <w:tcPr>
            <w:tcW w:w="2421" w:type="dxa"/>
            <w:vAlign w:val="top"/>
          </w:tcPr>
          <w:p>
            <w:pPr>
              <w:spacing w:line="303" w:lineRule="auto"/>
              <w:rPr>
                <w:rFonts w:ascii="Arial"/>
                <w:sz w:val="21"/>
              </w:rPr>
            </w:pPr>
            <w:r/>
          </w:p>
          <w:p>
            <w:pPr>
              <w:spacing w:line="303" w:lineRule="auto"/>
              <w:rPr>
                <w:rFonts w:ascii="Arial"/>
                <w:sz w:val="21"/>
              </w:rPr>
            </w:pPr>
            <w:r/>
          </w:p>
          <w:p>
            <w:pPr>
              <w:spacing w:line="304"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652" w:hRule="atLeast"/>
        </w:trPr>
        <w:tc>
          <w:tcPr>
            <w:tcW w:w="1770" w:type="dxa"/>
            <w:vAlign w:val="top"/>
            <w:vMerge w:val="continue"/>
            <w:tcBorders>
              <w:top w:val="nil"/>
            </w:tcBorders>
          </w:tcPr>
          <w:p>
            <w:pPr>
              <w:rPr>
                <w:rFonts w:ascii="Arial"/>
                <w:sz w:val="21"/>
              </w:rPr>
            </w:pPr>
            <w:r/>
          </w:p>
        </w:tc>
        <w:tc>
          <w:tcPr>
            <w:tcW w:w="1185" w:type="dxa"/>
            <w:vAlign w:val="top"/>
            <w:vMerge w:val="continue"/>
            <w:tcBorders>
              <w:top w:val="nil"/>
            </w:tcBorders>
          </w:tcPr>
          <w:p>
            <w:pPr>
              <w:rPr>
                <w:rFonts w:ascii="Arial"/>
                <w:sz w:val="21"/>
              </w:rPr>
            </w:pPr>
            <w:r/>
          </w:p>
        </w:tc>
        <w:tc>
          <w:tcPr>
            <w:tcW w:w="1075" w:type="dxa"/>
            <w:vAlign w:val="top"/>
            <w:vMerge w:val="continue"/>
            <w:tcBorders>
              <w:top w:val="nil"/>
            </w:tcBorders>
          </w:tcPr>
          <w:p>
            <w:pPr>
              <w:rPr>
                <w:rFonts w:ascii="Arial"/>
                <w:sz w:val="21"/>
              </w:rPr>
            </w:pPr>
            <w:r/>
          </w:p>
        </w:tc>
        <w:tc>
          <w:tcPr>
            <w:tcW w:w="974" w:type="dxa"/>
            <w:vAlign w:val="top"/>
          </w:tcPr>
          <w:p>
            <w:pPr>
              <w:ind w:left="178" w:right="172" w:firstLine="5"/>
              <w:spacing w:before="34" w:line="253" w:lineRule="auto"/>
              <w:jc w:val="both"/>
              <w:rPr>
                <w:rFonts w:ascii="SimSun" w:hAnsi="SimSun" w:eastAsia="SimSun" w:cs="SimSun"/>
                <w:sz w:val="20"/>
                <w:szCs w:val="20"/>
              </w:rPr>
            </w:pPr>
            <w:r>
              <w:rPr>
                <w:rFonts w:ascii="SimSun" w:hAnsi="SimSun" w:eastAsia="SimSun" w:cs="SimSun"/>
                <w:sz w:val="20"/>
                <w:szCs w:val="20"/>
                <w:spacing w:val="3"/>
              </w:rPr>
              <w:t>资源开</w:t>
            </w:r>
            <w:r>
              <w:rPr>
                <w:rFonts w:ascii="SimSun" w:hAnsi="SimSun" w:eastAsia="SimSun" w:cs="SimSun"/>
                <w:sz w:val="20"/>
                <w:szCs w:val="20"/>
                <w:spacing w:val="5"/>
              </w:rPr>
              <w:t>发效率</w:t>
            </w:r>
            <w:r>
              <w:rPr>
                <w:rFonts w:ascii="SimSun" w:hAnsi="SimSun" w:eastAsia="SimSun" w:cs="SimSun"/>
                <w:sz w:val="20"/>
                <w:szCs w:val="20"/>
                <w:spacing w:val="19"/>
                <w:w w:val="118"/>
              </w:rPr>
              <w:t>要求</w:t>
            </w:r>
          </w:p>
        </w:tc>
        <w:tc>
          <w:tcPr>
            <w:tcW w:w="4664" w:type="dxa"/>
            <w:vAlign w:val="top"/>
          </w:tcPr>
          <w:p>
            <w:pPr>
              <w:ind w:left="113" w:right="144"/>
              <w:spacing w:before="36" w:line="251" w:lineRule="auto"/>
              <w:jc w:val="both"/>
              <w:rPr>
                <w:rFonts w:ascii="SimSun" w:hAnsi="SimSun" w:eastAsia="SimSun" w:cs="SimSun"/>
                <w:sz w:val="20"/>
                <w:szCs w:val="20"/>
              </w:rPr>
            </w:pPr>
            <w:r>
              <w:rPr>
                <w:rFonts w:ascii="SimSun" w:hAnsi="SimSun" w:eastAsia="SimSun" w:cs="SimSun"/>
                <w:sz w:val="20"/>
                <w:szCs w:val="20"/>
                <w:spacing w:val="9"/>
              </w:rPr>
              <w:t>严控地下水超采。严格执行《地下水超采区和重</w:t>
            </w:r>
            <w:r>
              <w:rPr>
                <w:rFonts w:ascii="SimSun" w:hAnsi="SimSun" w:eastAsia="SimSun" w:cs="SimSun"/>
                <w:sz w:val="20"/>
                <w:szCs w:val="20"/>
                <w:spacing w:val="9"/>
              </w:rPr>
              <w:t>要地下水水源地水位与水量双控方案》，落实压</w:t>
            </w:r>
            <w:r>
              <w:rPr>
                <w:rFonts w:ascii="SimSun" w:hAnsi="SimSun" w:eastAsia="SimSun" w:cs="SimSun"/>
                <w:sz w:val="20"/>
                <w:szCs w:val="20"/>
                <w:spacing w:val="9"/>
              </w:rPr>
              <w:t>减灌溉面积、节水改造、水源置换及监测等各项</w:t>
            </w:r>
            <w:r>
              <w:rPr>
                <w:rFonts w:ascii="SimSun" w:hAnsi="SimSun" w:eastAsia="SimSun" w:cs="SimSun"/>
                <w:sz w:val="20"/>
                <w:szCs w:val="20"/>
                <w:spacing w:val="9"/>
              </w:rPr>
              <w:t>措施，超采区内不予审批工农业生产及服务业新</w:t>
            </w:r>
            <w:r>
              <w:rPr>
                <w:rFonts w:ascii="SimSun" w:hAnsi="SimSun" w:eastAsia="SimSun" w:cs="SimSun"/>
                <w:sz w:val="20"/>
                <w:szCs w:val="20"/>
                <w:spacing w:val="7"/>
              </w:rPr>
              <w:t>增取用地下水。</w:t>
            </w:r>
          </w:p>
          <w:p>
            <w:pPr>
              <w:ind w:left="113"/>
              <w:spacing w:line="226" w:lineRule="auto"/>
              <w:rPr>
                <w:rFonts w:ascii="SimSun" w:hAnsi="SimSun" w:eastAsia="SimSun" w:cs="SimSun"/>
                <w:sz w:val="20"/>
                <w:szCs w:val="20"/>
              </w:rPr>
            </w:pPr>
            <w:r>
              <w:rPr>
                <w:rFonts w:ascii="SimSun" w:hAnsi="SimSun" w:eastAsia="SimSun" w:cs="SimSun"/>
                <w:sz w:val="20"/>
                <w:szCs w:val="20"/>
                <w:spacing w:val="9"/>
              </w:rPr>
              <w:t>加强超采区压采和替代水源建设，确保按治理方</w:t>
            </w:r>
          </w:p>
        </w:tc>
        <w:tc>
          <w:tcPr>
            <w:tcW w:w="2418" w:type="dxa"/>
            <w:vAlign w:val="top"/>
          </w:tcPr>
          <w:p>
            <w:pPr>
              <w:ind w:left="115"/>
              <w:spacing w:before="35" w:line="227" w:lineRule="auto"/>
              <w:rPr>
                <w:rFonts w:ascii="SimSun" w:hAnsi="SimSun" w:eastAsia="SimSun" w:cs="SimSun"/>
                <w:sz w:val="20"/>
                <w:szCs w:val="20"/>
              </w:rPr>
            </w:pPr>
            <w:r>
              <w:rPr>
                <w:rFonts w:ascii="SimSun" w:hAnsi="SimSun" w:eastAsia="SimSun" w:cs="SimSun"/>
                <w:sz w:val="20"/>
                <w:szCs w:val="20"/>
                <w:spacing w:val="8"/>
              </w:rPr>
              <w:t>本项目范围不涉及地下</w:t>
            </w:r>
          </w:p>
          <w:p>
            <w:pPr>
              <w:ind w:left="19"/>
              <w:spacing w:before="22" w:line="227" w:lineRule="auto"/>
              <w:rPr>
                <w:rFonts w:ascii="SimSun" w:hAnsi="SimSun" w:eastAsia="SimSun" w:cs="SimSun"/>
                <w:sz w:val="20"/>
                <w:szCs w:val="20"/>
              </w:rPr>
            </w:pPr>
            <w:r>
              <w:rPr>
                <w:rFonts w:ascii="SimSun" w:hAnsi="SimSun" w:eastAsia="SimSun" w:cs="SimSun"/>
                <w:sz w:val="20"/>
                <w:szCs w:val="20"/>
                <w:spacing w:val="7"/>
              </w:rPr>
              <w:t>水超采区域，本项目矿坑</w:t>
            </w:r>
          </w:p>
          <w:p>
            <w:pPr>
              <w:ind w:left="117"/>
              <w:spacing w:before="29" w:line="228" w:lineRule="auto"/>
              <w:rPr>
                <w:rFonts w:ascii="SimSun" w:hAnsi="SimSun" w:eastAsia="SimSun" w:cs="SimSun"/>
                <w:sz w:val="20"/>
                <w:szCs w:val="20"/>
              </w:rPr>
            </w:pPr>
            <w:r>
              <w:rPr>
                <w:rFonts w:ascii="SimSun" w:hAnsi="SimSun" w:eastAsia="SimSun" w:cs="SimSun"/>
                <w:sz w:val="20"/>
                <w:szCs w:val="20"/>
                <w:spacing w:val="8"/>
              </w:rPr>
              <w:t>水经处理后全部回用不</w:t>
            </w:r>
          </w:p>
          <w:p>
            <w:pPr>
              <w:ind w:left="853"/>
              <w:spacing w:before="24" w:line="228" w:lineRule="auto"/>
              <w:rPr>
                <w:rFonts w:ascii="SimSun" w:hAnsi="SimSun" w:eastAsia="SimSun" w:cs="SimSun"/>
                <w:sz w:val="20"/>
                <w:szCs w:val="20"/>
              </w:rPr>
            </w:pPr>
            <w:r>
              <w:rPr>
                <w:rFonts w:ascii="SimSun" w:hAnsi="SimSun" w:eastAsia="SimSun" w:cs="SimSun"/>
                <w:sz w:val="20"/>
                <w:szCs w:val="20"/>
                <w:spacing w:val="1"/>
              </w:rPr>
              <w:t>外排。</w:t>
            </w:r>
          </w:p>
        </w:tc>
        <w:tc>
          <w:tcPr>
            <w:tcW w:w="2421" w:type="dxa"/>
            <w:vAlign w:val="top"/>
          </w:tcPr>
          <w:p>
            <w:pPr>
              <w:spacing w:line="321" w:lineRule="auto"/>
              <w:rPr>
                <w:rFonts w:ascii="Arial"/>
                <w:sz w:val="21"/>
              </w:rPr>
            </w:pPr>
            <w:r/>
          </w:p>
          <w:p>
            <w:pPr>
              <w:spacing w:line="321" w:lineRule="auto"/>
              <w:rPr>
                <w:rFonts w:ascii="Arial"/>
                <w:sz w:val="21"/>
              </w:rPr>
            </w:pPr>
            <w:r/>
          </w:p>
          <w:p>
            <w:pPr>
              <w:ind w:left="1006"/>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footerReference w:type="default" r:id="rId566"/>
          <w:pgSz w:w="16838" w:h="11906"/>
          <w:pgMar w:top="1169" w:right="1305" w:bottom="1080" w:left="1020" w:header="836" w:footer="917" w:gutter="0"/>
        </w:sectPr>
        <w:rPr/>
      </w:pPr>
    </w:p>
    <w:p>
      <w:pPr>
        <w:spacing w:before="7"/>
        <w:rPr/>
      </w:pPr>
      <w:r/>
    </w:p>
    <w:tbl>
      <w:tblPr>
        <w:tblStyle w:val="TableNormal"/>
        <w:tblW w:w="14507"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770"/>
        <w:gridCol w:w="1185"/>
        <w:gridCol w:w="1075"/>
        <w:gridCol w:w="974"/>
        <w:gridCol w:w="4664"/>
        <w:gridCol w:w="2418"/>
        <w:gridCol w:w="2421"/>
      </w:tblGrid>
      <w:tr>
        <w:trPr>
          <w:trHeight w:val="3549" w:hRule="atLeast"/>
        </w:trPr>
        <w:tc>
          <w:tcPr>
            <w:tcW w:w="1770" w:type="dxa"/>
            <w:vAlign w:val="top"/>
          </w:tcPr>
          <w:p>
            <w:pPr>
              <w:rPr>
                <w:rFonts w:ascii="Arial"/>
                <w:sz w:val="21"/>
              </w:rPr>
            </w:pPr>
            <w:r/>
          </w:p>
        </w:tc>
        <w:tc>
          <w:tcPr>
            <w:tcW w:w="1185" w:type="dxa"/>
            <w:vAlign w:val="top"/>
          </w:tcPr>
          <w:p>
            <w:pPr>
              <w:rPr>
                <w:rFonts w:ascii="Arial"/>
                <w:sz w:val="21"/>
              </w:rPr>
            </w:pPr>
            <w:r/>
          </w:p>
        </w:tc>
        <w:tc>
          <w:tcPr>
            <w:tcW w:w="1075" w:type="dxa"/>
            <w:vAlign w:val="top"/>
          </w:tcPr>
          <w:p>
            <w:pPr>
              <w:rPr>
                <w:rFonts w:ascii="Arial"/>
                <w:sz w:val="21"/>
              </w:rPr>
            </w:pPr>
            <w:r/>
          </w:p>
        </w:tc>
        <w:tc>
          <w:tcPr>
            <w:tcW w:w="974" w:type="dxa"/>
            <w:vAlign w:val="top"/>
          </w:tcPr>
          <w:p>
            <w:pPr>
              <w:rPr>
                <w:rFonts w:ascii="Arial"/>
                <w:sz w:val="21"/>
              </w:rPr>
            </w:pPr>
            <w:r/>
          </w:p>
        </w:tc>
        <w:tc>
          <w:tcPr>
            <w:tcW w:w="4664" w:type="dxa"/>
            <w:vAlign w:val="top"/>
          </w:tcPr>
          <w:p>
            <w:pPr>
              <w:ind w:left="114" w:right="144"/>
              <w:spacing w:before="34" w:line="251" w:lineRule="auto"/>
              <w:rPr>
                <w:rFonts w:ascii="SimSun" w:hAnsi="SimSun" w:eastAsia="SimSun" w:cs="SimSun"/>
                <w:sz w:val="20"/>
                <w:szCs w:val="20"/>
              </w:rPr>
            </w:pPr>
            <w:r>
              <w:rPr>
                <w:rFonts w:ascii="SimSun" w:hAnsi="SimSun" w:eastAsia="SimSun" w:cs="SimSun"/>
                <w:sz w:val="20"/>
                <w:szCs w:val="20"/>
                <w:spacing w:val="9"/>
              </w:rPr>
              <w:t>案落实压减灌溉面积、节水改造、水源置换及监</w:t>
            </w:r>
            <w:r>
              <w:rPr>
                <w:rFonts w:ascii="SimSun" w:hAnsi="SimSun" w:eastAsia="SimSun" w:cs="SimSun"/>
                <w:sz w:val="20"/>
                <w:szCs w:val="20"/>
                <w:spacing w:val="6"/>
              </w:rPr>
              <w:t>测等各项措施。</w:t>
            </w:r>
          </w:p>
          <w:p>
            <w:pPr>
              <w:pStyle w:val="TableText"/>
              <w:ind w:left="113" w:right="144" w:firstLine="5"/>
              <w:spacing w:before="2" w:line="251" w:lineRule="auto"/>
              <w:rPr>
                <w:rFonts w:ascii="SimSun" w:hAnsi="SimSun" w:eastAsia="SimSun" w:cs="SimSun"/>
              </w:rPr>
            </w:pPr>
            <w:r>
              <w:rPr>
                <w:rFonts w:ascii="SimSun" w:hAnsi="SimSun" w:eastAsia="SimSun" w:cs="SimSun"/>
                <w:spacing w:val="8"/>
              </w:rPr>
              <w:t>实行地下水</w:t>
            </w:r>
            <w:r>
              <w:rPr>
                <w:spacing w:val="8"/>
              </w:rPr>
              <w:t>“</w:t>
            </w:r>
            <w:r>
              <w:rPr>
                <w:rFonts w:ascii="SimSun" w:hAnsi="SimSun" w:eastAsia="SimSun" w:cs="SimSun"/>
                <w:spacing w:val="8"/>
              </w:rPr>
              <w:t>五控</w:t>
            </w:r>
            <w:r>
              <w:rPr>
                <w:spacing w:val="8"/>
              </w:rPr>
              <w:t>”</w:t>
            </w:r>
            <w:r>
              <w:rPr>
                <w:rFonts w:ascii="SimSun" w:hAnsi="SimSun" w:eastAsia="SimSun" w:cs="SimSun"/>
                <w:spacing w:val="8"/>
              </w:rPr>
              <w:t>制度。</w:t>
            </w:r>
            <w:r>
              <w:rPr>
                <w:spacing w:val="8"/>
              </w:rPr>
              <w:t>“</w:t>
            </w:r>
            <w:r>
              <w:rPr>
                <w:rFonts w:ascii="SimSun" w:hAnsi="SimSun" w:eastAsia="SimSun" w:cs="SimSun"/>
                <w:spacing w:val="8"/>
              </w:rPr>
              <w:t>五控</w:t>
            </w:r>
            <w:r>
              <w:rPr>
                <w:spacing w:val="8"/>
              </w:rPr>
              <w:t>”</w:t>
            </w:r>
            <w:r>
              <w:rPr>
                <w:rFonts w:ascii="SimSun" w:hAnsi="SimSun" w:eastAsia="SimSun" w:cs="SimSun"/>
                <w:spacing w:val="8"/>
              </w:rPr>
              <w:t>即严格管控地下</w:t>
            </w:r>
            <w:r>
              <w:rPr>
                <w:rFonts w:ascii="SimSun" w:hAnsi="SimSun" w:eastAsia="SimSun" w:cs="SimSun"/>
                <w:spacing w:val="9"/>
              </w:rPr>
              <w:t>水开发利用总量、水位、用途、水质及机电井数</w:t>
            </w:r>
            <w:r>
              <w:rPr>
                <w:rFonts w:ascii="SimSun" w:hAnsi="SimSun" w:eastAsia="SimSun" w:cs="SimSun"/>
              </w:rPr>
              <w:t>量。</w:t>
            </w:r>
          </w:p>
          <w:p>
            <w:pPr>
              <w:ind w:left="113" w:right="144"/>
              <w:spacing w:before="2" w:line="251" w:lineRule="auto"/>
              <w:rPr>
                <w:rFonts w:ascii="SimSun" w:hAnsi="SimSun" w:eastAsia="SimSun" w:cs="SimSun"/>
                <w:sz w:val="20"/>
                <w:szCs w:val="20"/>
              </w:rPr>
            </w:pPr>
            <w:r>
              <w:rPr>
                <w:rFonts w:ascii="SimSun" w:hAnsi="SimSun" w:eastAsia="SimSun" w:cs="SimSun"/>
                <w:sz w:val="20"/>
                <w:szCs w:val="20"/>
                <w:spacing w:val="9"/>
              </w:rPr>
              <w:t>加强城镇节约用水。推广节水器具和节水产品，</w:t>
            </w:r>
            <w:r>
              <w:rPr>
                <w:rFonts w:ascii="SimSun" w:hAnsi="SimSun" w:eastAsia="SimSun" w:cs="SimSun"/>
                <w:sz w:val="20"/>
                <w:szCs w:val="20"/>
                <w:spacing w:val="9"/>
              </w:rPr>
              <w:t>加强城镇供水管网改造、降低公共供水管网漏损</w:t>
            </w:r>
            <w:r>
              <w:rPr>
                <w:rFonts w:ascii="SimSun" w:hAnsi="SimSun" w:eastAsia="SimSun" w:cs="SimSun"/>
                <w:sz w:val="20"/>
                <w:szCs w:val="20"/>
                <w:spacing w:val="9"/>
              </w:rPr>
              <w:t>率。推进城镇生活、绿化、水景观及第三产业节</w:t>
            </w:r>
            <w:r>
              <w:rPr>
                <w:rFonts w:ascii="SimSun" w:hAnsi="SimSun" w:eastAsia="SimSun" w:cs="SimSun"/>
                <w:sz w:val="20"/>
                <w:szCs w:val="20"/>
                <w:spacing w:val="9"/>
              </w:rPr>
              <w:t>水改造。城镇园林绿化要选用节水耐旱型植物，</w:t>
            </w:r>
            <w:r>
              <w:rPr>
                <w:rFonts w:ascii="SimSun" w:hAnsi="SimSun" w:eastAsia="SimSun" w:cs="SimSun"/>
                <w:sz w:val="20"/>
                <w:szCs w:val="20"/>
                <w:spacing w:val="9"/>
              </w:rPr>
              <w:t>注重雨水的回收利用，提倡使用再生水浇灌，采</w:t>
            </w:r>
            <w:r>
              <w:rPr>
                <w:rFonts w:ascii="SimSun" w:hAnsi="SimSun" w:eastAsia="SimSun" w:cs="SimSun"/>
                <w:sz w:val="20"/>
                <w:szCs w:val="20"/>
                <w:spacing w:val="9"/>
              </w:rPr>
              <w:t>用微喷、滴灌等节水设施。积极开展公共机构节</w:t>
            </w:r>
            <w:r>
              <w:rPr>
                <w:rFonts w:ascii="SimSun" w:hAnsi="SimSun" w:eastAsia="SimSun" w:cs="SimSun"/>
                <w:sz w:val="20"/>
                <w:szCs w:val="20"/>
                <w:spacing w:val="7"/>
              </w:rPr>
              <w:t>水型单位创建工作。</w:t>
            </w:r>
          </w:p>
          <w:p>
            <w:pPr>
              <w:pStyle w:val="TableText"/>
              <w:ind w:left="114"/>
              <w:spacing w:line="218" w:lineRule="auto"/>
              <w:rPr>
                <w:rFonts w:ascii="SimSun" w:hAnsi="SimSun" w:eastAsia="SimSun" w:cs="SimSun"/>
              </w:rPr>
            </w:pPr>
            <w:r>
              <w:rPr>
                <w:rFonts w:ascii="SimSun" w:hAnsi="SimSun" w:eastAsia="SimSun" w:cs="SimSun"/>
                <w:spacing w:val="7"/>
              </w:rPr>
              <w:t>严格落实节水</w:t>
            </w:r>
            <w:r>
              <w:rPr>
                <w:spacing w:val="7"/>
              </w:rPr>
              <w:t>“</w:t>
            </w:r>
            <w:r>
              <w:rPr>
                <w:rFonts w:ascii="SimSun" w:hAnsi="SimSun" w:eastAsia="SimSun" w:cs="SimSun"/>
                <w:spacing w:val="7"/>
              </w:rPr>
              <w:t>三同时</w:t>
            </w:r>
            <w:r>
              <w:rPr>
                <w:spacing w:val="7"/>
              </w:rPr>
              <w:t>”</w:t>
            </w:r>
            <w:r>
              <w:rPr>
                <w:rFonts w:ascii="SimSun" w:hAnsi="SimSun" w:eastAsia="SimSun" w:cs="SimSun"/>
                <w:spacing w:val="7"/>
              </w:rPr>
              <w:t>制度。</w:t>
            </w:r>
          </w:p>
        </w:tc>
        <w:tc>
          <w:tcPr>
            <w:tcW w:w="2418" w:type="dxa"/>
            <w:vAlign w:val="top"/>
          </w:tcPr>
          <w:p>
            <w:pPr>
              <w:rPr>
                <w:rFonts w:ascii="Arial"/>
                <w:sz w:val="21"/>
              </w:rPr>
            </w:pPr>
            <w:r/>
          </w:p>
        </w:tc>
        <w:tc>
          <w:tcPr>
            <w:tcW w:w="2421" w:type="dxa"/>
            <w:vAlign w:val="top"/>
          </w:tcPr>
          <w:p>
            <w:pPr>
              <w:rPr>
                <w:rFonts w:ascii="Arial"/>
                <w:sz w:val="21"/>
              </w:rPr>
            </w:pPr>
            <w:r/>
          </w:p>
        </w:tc>
      </w:tr>
    </w:tbl>
    <w:p>
      <w:pPr>
        <w:pStyle w:val="BodyText"/>
        <w:rPr/>
      </w:pPr>
      <w:r/>
    </w:p>
    <w:p>
      <w:pPr>
        <w:sectPr>
          <w:footerReference w:type="default" r:id="rId567"/>
          <w:pgSz w:w="16838" w:h="11906"/>
          <w:pgMar w:top="1169" w:right="1305" w:bottom="1080" w:left="1020" w:header="836" w:footer="917" w:gutter="0"/>
        </w:sectPr>
        <w:rPr/>
      </w:pPr>
    </w:p>
    <w:p>
      <w:pPr>
        <w:pStyle w:val="BodyText"/>
        <w:spacing w:line="243" w:lineRule="auto"/>
        <w:rPr/>
      </w:pPr>
      <w:r/>
    </w:p>
    <w:p>
      <w:pPr>
        <w:ind w:left="62" w:firstLine="588"/>
        <w:spacing w:before="97" w:line="271" w:lineRule="auto"/>
        <w:rPr>
          <w:rFonts w:ascii="SimHei" w:hAnsi="SimHei" w:eastAsia="SimHei" w:cs="SimHei"/>
          <w:sz w:val="30"/>
          <w:szCs w:val="30"/>
        </w:rPr>
      </w:pPr>
      <w:bookmarkStart w:name="bookmark122" w:id="115"/>
      <w:bookmarkEnd w:id="115"/>
      <w:r>
        <w:rPr>
          <w:rFonts w:ascii="Times New Roman" w:hAnsi="Times New Roman" w:eastAsia="Times New Roman" w:cs="Times New Roman"/>
          <w:sz w:val="30"/>
          <w:szCs w:val="30"/>
          <w:b/>
          <w:bCs/>
          <w:spacing w:val="-4"/>
        </w:rPr>
        <w:t>10.4  </w:t>
      </w:r>
      <w:r>
        <w:rPr>
          <w:rFonts w:ascii="SimHei" w:hAnsi="SimHei" w:eastAsia="SimHei" w:cs="SimHei"/>
          <w:sz w:val="30"/>
          <w:szCs w:val="30"/>
          <w:b/>
          <w:bCs/>
          <w:spacing w:val="-4"/>
        </w:rPr>
        <w:t>与《关于进一步加强煤炭资源开发环境影响评价管理的通知》</w:t>
      </w:r>
      <w:r>
        <w:rPr>
          <w:rFonts w:ascii="SimHei" w:hAnsi="SimHei" w:eastAsia="SimHei" w:cs="SimHei"/>
          <w:sz w:val="30"/>
          <w:szCs w:val="30"/>
          <w:spacing w:val="17"/>
        </w:rPr>
        <w:t xml:space="preserve"> </w:t>
      </w:r>
      <w:r>
        <w:rPr>
          <w:rFonts w:ascii="SimHei" w:hAnsi="SimHei" w:eastAsia="SimHei" w:cs="SimHei"/>
          <w:sz w:val="30"/>
          <w:szCs w:val="30"/>
          <w:b/>
          <w:bCs/>
          <w:spacing w:val="-3"/>
        </w:rPr>
        <w:t>（环环评〔</w:t>
      </w:r>
      <w:r>
        <w:rPr>
          <w:rFonts w:ascii="Times New Roman" w:hAnsi="Times New Roman" w:eastAsia="Times New Roman" w:cs="Times New Roman"/>
          <w:sz w:val="30"/>
          <w:szCs w:val="30"/>
          <w:b/>
          <w:bCs/>
          <w:spacing w:val="-3"/>
        </w:rPr>
        <w:t>2020</w:t>
      </w:r>
      <w:r>
        <w:rPr>
          <w:rFonts w:ascii="SimHei" w:hAnsi="SimHei" w:eastAsia="SimHei" w:cs="SimHei"/>
          <w:sz w:val="30"/>
          <w:szCs w:val="30"/>
          <w:b/>
          <w:bCs/>
          <w:spacing w:val="-3"/>
        </w:rPr>
        <w:t>〕</w:t>
      </w:r>
      <w:r>
        <w:rPr>
          <w:rFonts w:ascii="Times New Roman" w:hAnsi="Times New Roman" w:eastAsia="Times New Roman" w:cs="Times New Roman"/>
          <w:sz w:val="30"/>
          <w:szCs w:val="30"/>
          <w:b/>
          <w:bCs/>
          <w:spacing w:val="-3"/>
        </w:rPr>
        <w:t>63 </w:t>
      </w:r>
      <w:r>
        <w:rPr>
          <w:rFonts w:ascii="SimHei" w:hAnsi="SimHei" w:eastAsia="SimHei" w:cs="SimHei"/>
          <w:sz w:val="30"/>
          <w:szCs w:val="30"/>
          <w:b/>
          <w:bCs/>
          <w:spacing w:val="-3"/>
        </w:rPr>
        <w:t>号）相符性分析</w:t>
      </w:r>
    </w:p>
    <w:p>
      <w:pPr>
        <w:ind w:left="40" w:right="208" w:firstLine="475"/>
        <w:spacing w:before="50" w:line="335" w:lineRule="auto"/>
        <w:rPr>
          <w:rFonts w:ascii="SimSun" w:hAnsi="SimSun" w:eastAsia="SimSun" w:cs="SimSun"/>
          <w:sz w:val="24"/>
          <w:szCs w:val="24"/>
        </w:rPr>
      </w:pPr>
      <w:r>
        <w:rPr>
          <w:rFonts w:ascii="Times New Roman" w:hAnsi="Times New Roman" w:eastAsia="Times New Roman" w:cs="Times New Roman"/>
          <w:sz w:val="24"/>
          <w:szCs w:val="24"/>
          <w:spacing w:val="-2"/>
        </w:rPr>
        <w:t>2020  </w:t>
      </w:r>
      <w:r>
        <w:rPr>
          <w:rFonts w:ascii="SimSun" w:hAnsi="SimSun" w:eastAsia="SimSun" w:cs="SimSun"/>
          <w:sz w:val="24"/>
          <w:szCs w:val="24"/>
          <w:spacing w:val="-2"/>
        </w:rPr>
        <w:t>年 </w:t>
      </w:r>
      <w:r>
        <w:rPr>
          <w:rFonts w:ascii="Times New Roman" w:hAnsi="Times New Roman" w:eastAsia="Times New Roman" w:cs="Times New Roman"/>
          <w:sz w:val="24"/>
          <w:szCs w:val="24"/>
          <w:spacing w:val="-2"/>
        </w:rPr>
        <w:t>11  </w:t>
      </w:r>
      <w:r>
        <w:rPr>
          <w:rFonts w:ascii="SimSun" w:hAnsi="SimSun" w:eastAsia="SimSun" w:cs="SimSun"/>
          <w:sz w:val="24"/>
          <w:szCs w:val="24"/>
          <w:spacing w:val="-2"/>
        </w:rPr>
        <w:t>月 </w:t>
      </w:r>
      <w:r>
        <w:rPr>
          <w:rFonts w:ascii="Times New Roman" w:hAnsi="Times New Roman" w:eastAsia="Times New Roman" w:cs="Times New Roman"/>
          <w:sz w:val="24"/>
          <w:szCs w:val="24"/>
          <w:spacing w:val="-2"/>
        </w:rPr>
        <w:t>4   </w:t>
      </w:r>
      <w:r>
        <w:rPr>
          <w:rFonts w:ascii="SimSun" w:hAnsi="SimSun" w:eastAsia="SimSun" w:cs="SimSun"/>
          <w:sz w:val="24"/>
          <w:szCs w:val="24"/>
          <w:spacing w:val="-2"/>
        </w:rPr>
        <w:t>日生态环境部国家发展和改革委员会国家能源局发布了环环评</w:t>
      </w:r>
      <w:r>
        <w:rPr>
          <w:rFonts w:ascii="SimSun" w:hAnsi="SimSun" w:eastAsia="SimSun" w:cs="SimSun"/>
          <w:sz w:val="24"/>
          <w:szCs w:val="24"/>
          <w:spacing w:val="5"/>
        </w:rPr>
        <w:t xml:space="preserve">  </w:t>
      </w:r>
      <w:r>
        <w:rPr>
          <w:rFonts w:ascii="Times New Roman" w:hAnsi="Times New Roman" w:eastAsia="Times New Roman" w:cs="Times New Roman"/>
          <w:sz w:val="24"/>
          <w:szCs w:val="24"/>
          <w:spacing w:val="-2"/>
        </w:rPr>
        <w:t>[2020]63  </w:t>
      </w:r>
      <w:r>
        <w:rPr>
          <w:rFonts w:ascii="SimSun" w:hAnsi="SimSun" w:eastAsia="SimSun" w:cs="SimSun"/>
          <w:sz w:val="24"/>
          <w:szCs w:val="24"/>
          <w:spacing w:val="-2"/>
        </w:rPr>
        <w:t>号文件《关于进一步加强煤炭资源开发环境影响评价</w:t>
      </w:r>
      <w:r>
        <w:rPr>
          <w:rFonts w:ascii="SimSun" w:hAnsi="SimSun" w:eastAsia="SimSun" w:cs="SimSun"/>
          <w:sz w:val="24"/>
          <w:szCs w:val="24"/>
          <w:spacing w:val="-3"/>
        </w:rPr>
        <w:t>管理的通知》。本项目与</w:t>
      </w:r>
      <w:r>
        <w:rPr>
          <w:rFonts w:ascii="SimSun" w:hAnsi="SimSun" w:eastAsia="SimSun" w:cs="SimSun"/>
          <w:sz w:val="24"/>
          <w:szCs w:val="24"/>
          <w:spacing w:val="1"/>
        </w:rPr>
        <w:t>环环评</w:t>
      </w:r>
      <w:r>
        <w:rPr>
          <w:rFonts w:ascii="Times New Roman" w:hAnsi="Times New Roman" w:eastAsia="Times New Roman" w:cs="Times New Roman"/>
          <w:sz w:val="24"/>
          <w:szCs w:val="24"/>
          <w:spacing w:val="1"/>
        </w:rPr>
        <w:t>[2020]63  </w:t>
      </w:r>
      <w:r>
        <w:rPr>
          <w:rFonts w:ascii="SimSun" w:hAnsi="SimSun" w:eastAsia="SimSun" w:cs="SimSun"/>
          <w:sz w:val="24"/>
          <w:szCs w:val="24"/>
          <w:spacing w:val="1"/>
        </w:rPr>
        <w:t>号文件的相符性详见表</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1"/>
        </w:rPr>
        <w:t>10-4-</w:t>
      </w:r>
      <w:r>
        <w:rPr>
          <w:rFonts w:ascii="Times New Roman" w:hAnsi="Times New Roman" w:eastAsia="Times New Roman" w:cs="Times New Roman"/>
          <w:sz w:val="24"/>
          <w:szCs w:val="24"/>
        </w:rPr>
        <w:t>1</w:t>
      </w:r>
      <w:r>
        <w:rPr>
          <w:rFonts w:ascii="Times New Roman" w:hAnsi="Times New Roman" w:eastAsia="Times New Roman" w:cs="Times New Roman"/>
          <w:sz w:val="24"/>
          <w:szCs w:val="24"/>
          <w:spacing w:val="-26"/>
        </w:rPr>
        <w:t xml:space="preserve"> </w:t>
      </w:r>
      <w:r>
        <w:rPr>
          <w:rFonts w:ascii="SimSun" w:hAnsi="SimSun" w:eastAsia="SimSun" w:cs="SimSun"/>
          <w:sz w:val="24"/>
          <w:szCs w:val="24"/>
        </w:rPr>
        <w:t>，根据该表可以看出项目建设符合《关</w:t>
      </w:r>
      <w:r>
        <w:rPr>
          <w:rFonts w:ascii="SimSun" w:hAnsi="SimSun" w:eastAsia="SimSun" w:cs="SimSun"/>
          <w:sz w:val="24"/>
          <w:szCs w:val="24"/>
          <w:spacing w:val="-6"/>
        </w:rPr>
        <w:t>于进一步加强煤炭资源开发环境影响评价管理的通知》（环环评</w:t>
      </w:r>
      <w:r>
        <w:rPr>
          <w:rFonts w:ascii="Times New Roman" w:hAnsi="Times New Roman" w:eastAsia="Times New Roman" w:cs="Times New Roman"/>
          <w:sz w:val="24"/>
          <w:szCs w:val="24"/>
          <w:spacing w:val="-6"/>
        </w:rPr>
        <w:t>[2020]63  </w:t>
      </w:r>
      <w:r>
        <w:rPr>
          <w:rFonts w:ascii="SimSun" w:hAnsi="SimSun" w:eastAsia="SimSun" w:cs="SimSun"/>
          <w:sz w:val="24"/>
          <w:szCs w:val="24"/>
          <w:spacing w:val="-6"/>
        </w:rPr>
        <w:t>号文件）要求。</w:t>
      </w:r>
    </w:p>
    <w:p>
      <w:pPr>
        <w:ind w:left="2028"/>
        <w:spacing w:before="144" w:line="221" w:lineRule="auto"/>
        <w:rPr>
          <w:rFonts w:ascii="SimHei" w:hAnsi="SimHei" w:eastAsia="SimHei" w:cs="SimHei"/>
          <w:sz w:val="24"/>
          <w:szCs w:val="24"/>
        </w:rPr>
      </w:pPr>
      <w:r>
        <w:rPr>
          <w:rFonts w:ascii="SimHei" w:hAnsi="SimHei" w:eastAsia="SimHei" w:cs="SimHei"/>
          <w:sz w:val="24"/>
          <w:szCs w:val="24"/>
          <w:spacing w:val="-1"/>
        </w:rPr>
        <w:t>本项目与环环评〔</w:t>
      </w:r>
      <w:r>
        <w:rPr>
          <w:rFonts w:ascii="Times New Roman" w:hAnsi="Times New Roman" w:eastAsia="Times New Roman" w:cs="Times New Roman"/>
          <w:sz w:val="24"/>
          <w:szCs w:val="24"/>
          <w:spacing w:val="-1"/>
        </w:rPr>
        <w:t>2020</w:t>
      </w:r>
      <w:r>
        <w:rPr>
          <w:rFonts w:ascii="SimHei" w:hAnsi="SimHei" w:eastAsia="SimHei" w:cs="SimHei"/>
          <w:sz w:val="24"/>
          <w:szCs w:val="24"/>
          <w:spacing w:val="-1"/>
        </w:rPr>
        <w:t>〕</w:t>
      </w:r>
      <w:r>
        <w:rPr>
          <w:rFonts w:ascii="Times New Roman" w:hAnsi="Times New Roman" w:eastAsia="Times New Roman" w:cs="Times New Roman"/>
          <w:sz w:val="24"/>
          <w:szCs w:val="24"/>
          <w:spacing w:val="-1"/>
        </w:rPr>
        <w:t>63 </w:t>
      </w:r>
      <w:r>
        <w:rPr>
          <w:rFonts w:ascii="SimHei" w:hAnsi="SimHei" w:eastAsia="SimHei" w:cs="SimHei"/>
          <w:sz w:val="24"/>
          <w:szCs w:val="24"/>
          <w:spacing w:val="-1"/>
        </w:rPr>
        <w:t>号文要求符合性分析</w:t>
      </w:r>
    </w:p>
    <w:p>
      <w:pPr>
        <w:ind w:left="38"/>
        <w:spacing w:before="71" w:line="223" w:lineRule="auto"/>
        <w:rPr>
          <w:rFonts w:ascii="Times New Roman" w:hAnsi="Times New Roman" w:eastAsia="Times New Roman" w:cs="Times New Roman"/>
          <w:sz w:val="20"/>
          <w:szCs w:val="20"/>
        </w:rPr>
      </w:pPr>
      <w:r>
        <w:rPr>
          <w:rFonts w:ascii="SimSun" w:hAnsi="SimSun" w:eastAsia="SimSun" w:cs="SimSun"/>
          <w:sz w:val="20"/>
          <w:szCs w:val="20"/>
        </w:rPr>
        <w:t>表</w:t>
      </w:r>
      <w:r>
        <w:rPr>
          <w:rFonts w:ascii="SimSun" w:hAnsi="SimSun" w:eastAsia="SimSun" w:cs="SimSun"/>
          <w:sz w:val="20"/>
          <w:szCs w:val="20"/>
          <w:spacing w:val="-20"/>
        </w:rPr>
        <w:t xml:space="preserve"> </w:t>
      </w:r>
      <w:r>
        <w:rPr>
          <w:rFonts w:ascii="Times New Roman" w:hAnsi="Times New Roman" w:eastAsia="Times New Roman" w:cs="Times New Roman"/>
          <w:sz w:val="20"/>
          <w:szCs w:val="20"/>
        </w:rPr>
        <w:t>10-4-1</w:t>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74"/>
        <w:gridCol w:w="4526"/>
        <w:gridCol w:w="3691"/>
        <w:gridCol w:w="540"/>
      </w:tblGrid>
      <w:tr>
        <w:trPr>
          <w:trHeight w:val="765" w:hRule="atLeast"/>
        </w:trPr>
        <w:tc>
          <w:tcPr>
            <w:tcW w:w="4900" w:type="dxa"/>
            <w:vAlign w:val="top"/>
            <w:gridSpan w:val="2"/>
          </w:tcPr>
          <w:p>
            <w:pPr>
              <w:ind w:left="2040"/>
              <w:spacing w:before="275" w:line="228" w:lineRule="auto"/>
              <w:rPr>
                <w:rFonts w:ascii="SimSun" w:hAnsi="SimSun" w:eastAsia="SimSun" w:cs="SimSun"/>
                <w:sz w:val="20"/>
                <w:szCs w:val="20"/>
              </w:rPr>
            </w:pPr>
            <w:r>
              <w:rPr>
                <w:rFonts w:ascii="SimSun" w:hAnsi="SimSun" w:eastAsia="SimSun" w:cs="SimSun"/>
                <w:sz w:val="20"/>
                <w:szCs w:val="20"/>
                <w:spacing w:val="6"/>
              </w:rPr>
              <w:t>文件内容</w:t>
            </w:r>
          </w:p>
        </w:tc>
        <w:tc>
          <w:tcPr>
            <w:tcW w:w="3691" w:type="dxa"/>
            <w:vAlign w:val="top"/>
          </w:tcPr>
          <w:p>
            <w:pPr>
              <w:ind w:left="1538"/>
              <w:spacing w:before="276" w:line="227" w:lineRule="auto"/>
              <w:rPr>
                <w:rFonts w:ascii="SimSun" w:hAnsi="SimSun" w:eastAsia="SimSun" w:cs="SimSun"/>
                <w:sz w:val="20"/>
                <w:szCs w:val="20"/>
              </w:rPr>
            </w:pPr>
            <w:r>
              <w:rPr>
                <w:rFonts w:ascii="SimSun" w:hAnsi="SimSun" w:eastAsia="SimSun" w:cs="SimSun"/>
                <w:sz w:val="20"/>
                <w:szCs w:val="20"/>
                <w:spacing w:val="6"/>
              </w:rPr>
              <w:t>本项目</w:t>
            </w:r>
          </w:p>
        </w:tc>
        <w:tc>
          <w:tcPr>
            <w:tcW w:w="540" w:type="dxa"/>
            <w:vAlign w:val="top"/>
          </w:tcPr>
          <w:p>
            <w:pPr>
              <w:ind w:left="169" w:right="61" w:hanging="104"/>
              <w:spacing w:before="140" w:line="252" w:lineRule="auto"/>
              <w:rPr>
                <w:rFonts w:ascii="SimSun" w:hAnsi="SimSun" w:eastAsia="SimSun" w:cs="SimSun"/>
                <w:sz w:val="20"/>
                <w:szCs w:val="20"/>
              </w:rPr>
            </w:pPr>
            <w:r>
              <w:rPr>
                <w:rFonts w:ascii="SimSun" w:hAnsi="SimSun" w:eastAsia="SimSun" w:cs="SimSun"/>
                <w:sz w:val="20"/>
                <w:szCs w:val="20"/>
                <w:spacing w:val="3"/>
              </w:rPr>
              <w:t>符合</w:t>
            </w:r>
            <w:r>
              <w:rPr>
                <w:rFonts w:ascii="SimSun" w:hAnsi="SimSun" w:eastAsia="SimSun" w:cs="SimSun"/>
                <w:sz w:val="20"/>
                <w:szCs w:val="20"/>
              </w:rPr>
              <w:t>性</w:t>
            </w:r>
          </w:p>
        </w:tc>
      </w:tr>
      <w:tr>
        <w:trPr>
          <w:trHeight w:val="3272" w:hRule="atLeast"/>
        </w:trPr>
        <w:tc>
          <w:tcPr>
            <w:tcW w:w="374" w:type="dxa"/>
            <w:vAlign w:val="top"/>
          </w:tcPr>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156"/>
              <w:spacing w:before="57" w:line="195" w:lineRule="auto"/>
              <w:rPr/>
            </w:pPr>
            <w:r>
              <w:rPr/>
              <w:t>1</w:t>
            </w:r>
          </w:p>
        </w:tc>
        <w:tc>
          <w:tcPr>
            <w:tcW w:w="4526" w:type="dxa"/>
            <w:vAlign w:val="top"/>
          </w:tcPr>
          <w:p>
            <w:pPr>
              <w:spacing w:line="367" w:lineRule="auto"/>
              <w:rPr>
                <w:rFonts w:ascii="Arial"/>
                <w:sz w:val="21"/>
              </w:rPr>
            </w:pPr>
            <w:r/>
          </w:p>
          <w:p>
            <w:pPr>
              <w:ind w:left="31" w:firstLine="4"/>
              <w:spacing w:before="65" w:line="252" w:lineRule="auto"/>
              <w:jc w:val="both"/>
              <w:rPr>
                <w:rFonts w:ascii="SimSun" w:hAnsi="SimSun" w:eastAsia="SimSun" w:cs="SimSun"/>
                <w:sz w:val="20"/>
                <w:szCs w:val="20"/>
              </w:rPr>
            </w:pPr>
            <w:r>
              <w:rPr>
                <w:rFonts w:ascii="SimSun" w:hAnsi="SimSun" w:eastAsia="SimSun" w:cs="SimSun"/>
                <w:sz w:val="20"/>
                <w:szCs w:val="20"/>
                <w:spacing w:val="7"/>
              </w:rPr>
              <w:t>未依法进行环评的煤炭矿区总体规划，不得组织</w:t>
            </w:r>
            <w:r>
              <w:rPr>
                <w:rFonts w:ascii="SimSun" w:hAnsi="SimSun" w:eastAsia="SimSun" w:cs="SimSun"/>
                <w:sz w:val="20"/>
                <w:szCs w:val="20"/>
                <w:spacing w:val="8"/>
              </w:rPr>
              <w:t>实施；对不符合煤炭矿区总体规划要求的项目，</w:t>
            </w:r>
            <w:r>
              <w:rPr>
                <w:rFonts w:ascii="SimSun" w:hAnsi="SimSun" w:eastAsia="SimSun" w:cs="SimSun"/>
                <w:sz w:val="20"/>
                <w:szCs w:val="20"/>
                <w:spacing w:val="7"/>
              </w:rPr>
              <w:t>发展改革（能源主管）部门不予核准。生态环境</w:t>
            </w:r>
            <w:r>
              <w:rPr>
                <w:rFonts w:ascii="SimSun" w:hAnsi="SimSun" w:eastAsia="SimSun" w:cs="SimSun"/>
                <w:sz w:val="20"/>
                <w:szCs w:val="20"/>
                <w:spacing w:val="7"/>
              </w:rPr>
              <w:t>主管部门应将与矿区总体规划及其环评的符合性</w:t>
            </w:r>
            <w:r>
              <w:rPr>
                <w:rFonts w:ascii="SimSun" w:hAnsi="SimSun" w:eastAsia="SimSun" w:cs="SimSun"/>
                <w:sz w:val="20"/>
                <w:szCs w:val="20"/>
                <w:spacing w:val="8"/>
              </w:rPr>
              <w:t>作为规划所包含项目环评文件审批的重要依据，</w:t>
            </w:r>
            <w:r>
              <w:rPr>
                <w:rFonts w:ascii="SimSun" w:hAnsi="SimSun" w:eastAsia="SimSun" w:cs="SimSun"/>
                <w:sz w:val="20"/>
                <w:szCs w:val="20"/>
                <w:spacing w:val="7"/>
              </w:rPr>
              <w:t>对不符合要求的，不予审批其项目环评文件。对</w:t>
            </w:r>
            <w:r>
              <w:rPr>
                <w:rFonts w:ascii="SimSun" w:hAnsi="SimSun" w:eastAsia="SimSun" w:cs="SimSun"/>
                <w:sz w:val="20"/>
                <w:szCs w:val="20"/>
                <w:spacing w:val="7"/>
              </w:rPr>
              <w:t>符合规划环评结论和审查意见的建设项目，其建</w:t>
            </w:r>
            <w:r>
              <w:rPr>
                <w:rFonts w:ascii="SimSun" w:hAnsi="SimSun" w:eastAsia="SimSun" w:cs="SimSun"/>
                <w:sz w:val="20"/>
                <w:szCs w:val="20"/>
                <w:spacing w:val="7"/>
              </w:rPr>
              <w:t>设项目环评文件可依据规划环评审查意见对区域</w:t>
            </w:r>
            <w:r>
              <w:rPr>
                <w:rFonts w:ascii="SimSun" w:hAnsi="SimSun" w:eastAsia="SimSun" w:cs="SimSun"/>
                <w:sz w:val="20"/>
                <w:szCs w:val="20"/>
                <w:spacing w:val="4"/>
              </w:rPr>
              <w:t>环境质量现状、规划协调性分析等内容适当简化。</w:t>
            </w:r>
          </w:p>
        </w:tc>
        <w:tc>
          <w:tcPr>
            <w:tcW w:w="3691" w:type="dxa"/>
            <w:vAlign w:val="top"/>
          </w:tcPr>
          <w:p>
            <w:pPr>
              <w:ind w:left="35" w:right="89"/>
              <w:spacing w:before="32" w:line="251" w:lineRule="auto"/>
              <w:rPr>
                <w:rFonts w:ascii="SimSun" w:hAnsi="SimSun" w:eastAsia="SimSun" w:cs="SimSun"/>
                <w:sz w:val="20"/>
                <w:szCs w:val="20"/>
              </w:rPr>
            </w:pPr>
            <w:r>
              <w:rPr>
                <w:rFonts w:ascii="SimSun" w:hAnsi="SimSun" w:eastAsia="SimSun" w:cs="SimSun"/>
                <w:sz w:val="20"/>
                <w:szCs w:val="20"/>
                <w:spacing w:val="6"/>
              </w:rPr>
              <w:t>本项目位于白音华矿区，</w:t>
            </w:r>
            <w:r>
              <w:rPr>
                <w:rFonts w:ascii="SimSun" w:hAnsi="SimSun" w:eastAsia="SimSun" w:cs="SimSun"/>
                <w:sz w:val="20"/>
                <w:szCs w:val="20"/>
                <w:spacing w:val="-43"/>
              </w:rPr>
              <w:t xml:space="preserve"> </w:t>
            </w:r>
            <w:r>
              <w:rPr>
                <w:rFonts w:ascii="SimSun" w:hAnsi="SimSun" w:eastAsia="SimSun" w:cs="SimSun"/>
                <w:sz w:val="20"/>
                <w:szCs w:val="20"/>
                <w:spacing w:val="6"/>
              </w:rPr>
              <w:t>目前白音华煤</w:t>
            </w:r>
            <w:r>
              <w:rPr>
                <w:rFonts w:ascii="SimSun" w:hAnsi="SimSun" w:eastAsia="SimSun" w:cs="SimSun"/>
                <w:sz w:val="20"/>
                <w:szCs w:val="20"/>
                <w:spacing w:val="9"/>
              </w:rPr>
              <w:t>炭矿区总体规划（修编）环评已取得生</w:t>
            </w:r>
            <w:r>
              <w:rPr>
                <w:rFonts w:ascii="SimSun" w:hAnsi="SimSun" w:eastAsia="SimSun" w:cs="SimSun"/>
                <w:sz w:val="20"/>
                <w:szCs w:val="20"/>
                <w:spacing w:val="9"/>
              </w:rPr>
              <w:t>态环境部审查意见，项目建设与审查意</w:t>
            </w:r>
            <w:r>
              <w:rPr>
                <w:rFonts w:ascii="SimSun" w:hAnsi="SimSun" w:eastAsia="SimSun" w:cs="SimSun"/>
                <w:sz w:val="20"/>
                <w:szCs w:val="20"/>
                <w:spacing w:val="9"/>
              </w:rPr>
              <w:t>见的各项要求相符，对于本次优化调整</w:t>
            </w:r>
            <w:r>
              <w:rPr>
                <w:rFonts w:ascii="SimSun" w:hAnsi="SimSun" w:eastAsia="SimSun" w:cs="SimSun"/>
                <w:sz w:val="20"/>
                <w:szCs w:val="20"/>
                <w:spacing w:val="9"/>
              </w:rPr>
              <w:t>开采范围的相关内容，《内蒙古自治区</w:t>
            </w:r>
            <w:r>
              <w:rPr>
                <w:rFonts w:ascii="SimSun" w:hAnsi="SimSun" w:eastAsia="SimSun" w:cs="SimSun"/>
                <w:sz w:val="20"/>
                <w:szCs w:val="20"/>
                <w:spacing w:val="9"/>
              </w:rPr>
              <w:t>西乌珠穆沁旗白音华煤炭矿区总体规划</w:t>
            </w:r>
            <w:r>
              <w:rPr>
                <w:rFonts w:ascii="SimSun" w:hAnsi="SimSun" w:eastAsia="SimSun" w:cs="SimSun"/>
                <w:sz w:val="20"/>
                <w:szCs w:val="20"/>
                <w:spacing w:val="6"/>
              </w:rPr>
              <w:t>（修编）环境影响补充报告》</w:t>
            </w:r>
            <w:r>
              <w:rPr>
                <w:rFonts w:ascii="SimSun" w:hAnsi="SimSun" w:eastAsia="SimSun" w:cs="SimSun"/>
                <w:sz w:val="20"/>
                <w:szCs w:val="20"/>
                <w:spacing w:val="-45"/>
              </w:rPr>
              <w:t xml:space="preserve"> </w:t>
            </w:r>
            <w:r>
              <w:rPr>
                <w:rFonts w:ascii="SimSun" w:hAnsi="SimSun" w:eastAsia="SimSun" w:cs="SimSun"/>
                <w:sz w:val="20"/>
                <w:szCs w:val="20"/>
                <w:spacing w:val="6"/>
              </w:rPr>
              <w:t>已获得生</w:t>
            </w:r>
            <w:r>
              <w:rPr>
                <w:rFonts w:ascii="SimSun" w:hAnsi="SimSun" w:eastAsia="SimSun" w:cs="SimSun"/>
                <w:sz w:val="20"/>
                <w:szCs w:val="20"/>
                <w:spacing w:val="9"/>
              </w:rPr>
              <w:t>态环境部复函，《内蒙古自治区西乌珠</w:t>
            </w:r>
            <w:r>
              <w:rPr>
                <w:rFonts w:ascii="SimSun" w:hAnsi="SimSun" w:eastAsia="SimSun" w:cs="SimSun"/>
                <w:sz w:val="20"/>
                <w:szCs w:val="20"/>
                <w:spacing w:val="9"/>
              </w:rPr>
              <w:t>穆沁旗白音华煤炭煤炭矿区总体规划</w:t>
            </w:r>
          </w:p>
          <w:p>
            <w:pPr>
              <w:ind w:left="35" w:right="92" w:firstLine="10"/>
              <w:spacing w:before="2"/>
              <w:rPr>
                <w:rFonts w:ascii="SimSun" w:hAnsi="SimSun" w:eastAsia="SimSun" w:cs="SimSun"/>
                <w:sz w:val="20"/>
                <w:szCs w:val="20"/>
              </w:rPr>
            </w:pPr>
            <w:r>
              <w:rPr>
                <w:rFonts w:ascii="SimSun" w:hAnsi="SimSun" w:eastAsia="SimSun" w:cs="SimSun"/>
                <w:sz w:val="20"/>
                <w:szCs w:val="20"/>
                <w:spacing w:val="8"/>
              </w:rPr>
              <w:t>（修编）》已采纳规划环评及规划环评</w:t>
            </w:r>
            <w:r>
              <w:rPr>
                <w:rFonts w:ascii="SimSun" w:hAnsi="SimSun" w:eastAsia="SimSun" w:cs="SimSun"/>
                <w:sz w:val="20"/>
                <w:szCs w:val="20"/>
                <w:spacing w:val="9"/>
              </w:rPr>
              <w:t>补充报告审查意见进行修改，并上报，</w:t>
            </w:r>
            <w:r>
              <w:rPr>
                <w:rFonts w:ascii="SimSun" w:hAnsi="SimSun" w:eastAsia="SimSun" w:cs="SimSun"/>
                <w:sz w:val="20"/>
                <w:szCs w:val="20"/>
                <w:spacing w:val="8"/>
              </w:rPr>
              <w:t>尚未取得国家能源局的批复。</w:t>
            </w:r>
          </w:p>
        </w:tc>
        <w:tc>
          <w:tcPr>
            <w:tcW w:w="540" w:type="dxa"/>
            <w:vAlign w:val="top"/>
          </w:tcPr>
          <w:p>
            <w:pPr>
              <w:spacing w:line="263" w:lineRule="auto"/>
              <w:rPr>
                <w:rFonts w:ascii="Arial"/>
                <w:sz w:val="21"/>
              </w:rPr>
            </w:pPr>
            <w:r/>
          </w:p>
          <w:p>
            <w:pPr>
              <w:spacing w:line="263" w:lineRule="auto"/>
              <w:rPr>
                <w:rFonts w:ascii="Arial"/>
                <w:sz w:val="21"/>
              </w:rPr>
            </w:pPr>
            <w:r/>
          </w:p>
          <w:p>
            <w:pPr>
              <w:spacing w:line="263" w:lineRule="auto"/>
              <w:rPr>
                <w:rFonts w:ascii="Arial"/>
                <w:sz w:val="21"/>
              </w:rPr>
            </w:pPr>
            <w:r/>
          </w:p>
          <w:p>
            <w:pPr>
              <w:spacing w:line="264" w:lineRule="auto"/>
              <w:rPr>
                <w:rFonts w:ascii="Arial"/>
                <w:sz w:val="21"/>
              </w:rPr>
            </w:pPr>
            <w:r/>
          </w:p>
          <w:p>
            <w:pPr>
              <w:spacing w:line="264" w:lineRule="auto"/>
              <w:rPr>
                <w:rFonts w:ascii="Arial"/>
                <w:sz w:val="21"/>
              </w:rPr>
            </w:pPr>
            <w:r/>
          </w:p>
          <w:p>
            <w:pPr>
              <w:ind w:left="65" w:right="61" w:hanging="1"/>
              <w:spacing w:before="65" w:line="254" w:lineRule="auto"/>
              <w:rPr>
                <w:rFonts w:ascii="SimSun" w:hAnsi="SimSun" w:eastAsia="SimSun" w:cs="SimSun"/>
                <w:sz w:val="20"/>
                <w:szCs w:val="20"/>
              </w:rPr>
            </w:pPr>
            <w:r>
              <w:rPr>
                <w:rFonts w:ascii="SimSun" w:hAnsi="SimSun" w:eastAsia="SimSun" w:cs="SimSun"/>
                <w:sz w:val="20"/>
                <w:szCs w:val="20"/>
                <w:spacing w:val="4"/>
              </w:rPr>
              <w:t>基本</w:t>
            </w:r>
            <w:r>
              <w:rPr>
                <w:rFonts w:ascii="SimSun" w:hAnsi="SimSun" w:eastAsia="SimSun" w:cs="SimSun"/>
                <w:sz w:val="20"/>
                <w:szCs w:val="20"/>
                <w:spacing w:val="3"/>
              </w:rPr>
              <w:t>符合</w:t>
            </w:r>
          </w:p>
        </w:tc>
      </w:tr>
      <w:tr>
        <w:trPr>
          <w:trHeight w:val="2727" w:hRule="atLeast"/>
        </w:trPr>
        <w:tc>
          <w:tcPr>
            <w:tcW w:w="374" w:type="dxa"/>
            <w:vAlign w:val="top"/>
          </w:tcPr>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spacing w:line="245" w:lineRule="auto"/>
              <w:rPr>
                <w:rFonts w:ascii="Arial"/>
                <w:sz w:val="21"/>
              </w:rPr>
            </w:pPr>
            <w:r/>
          </w:p>
          <w:p>
            <w:pPr>
              <w:pStyle w:val="TableText"/>
              <w:ind w:left="136"/>
              <w:spacing w:before="58" w:line="195" w:lineRule="auto"/>
              <w:rPr/>
            </w:pPr>
            <w:r>
              <w:rPr/>
              <w:t>2</w:t>
            </w:r>
          </w:p>
        </w:tc>
        <w:tc>
          <w:tcPr>
            <w:tcW w:w="4526" w:type="dxa"/>
            <w:vAlign w:val="top"/>
          </w:tcPr>
          <w:p>
            <w:pPr>
              <w:pStyle w:val="TableText"/>
              <w:ind w:left="31" w:firstLine="5"/>
              <w:spacing w:before="30" w:line="248" w:lineRule="auto"/>
              <w:jc w:val="both"/>
              <w:rPr>
                <w:rFonts w:ascii="SimSun" w:hAnsi="SimSun" w:eastAsia="SimSun" w:cs="SimSun"/>
              </w:rPr>
            </w:pPr>
            <w:r>
              <w:rPr>
                <w:rFonts w:ascii="SimSun" w:hAnsi="SimSun" w:eastAsia="SimSun" w:cs="SimSun"/>
                <w:spacing w:val="8"/>
              </w:rPr>
              <w:t>露天开采时应优化采排计划，控制外排土场</w:t>
            </w:r>
            <w:r>
              <w:rPr>
                <w:rFonts w:ascii="SimSun" w:hAnsi="SimSun" w:eastAsia="SimSun" w:cs="SimSun"/>
                <w:spacing w:val="7"/>
              </w:rPr>
              <w:t>占地</w:t>
            </w:r>
            <w:r>
              <w:rPr>
                <w:rFonts w:ascii="SimSun" w:hAnsi="SimSun" w:eastAsia="SimSun" w:cs="SimSun"/>
                <w:spacing w:val="8"/>
              </w:rPr>
              <w:t>面积，在确保安全生产的前提下，尽快实现内排</w:t>
            </w:r>
            <w:r>
              <w:rPr>
                <w:rFonts w:ascii="SimSun" w:hAnsi="SimSun" w:eastAsia="SimSun" w:cs="SimSun"/>
                <w:spacing w:val="8"/>
              </w:rPr>
              <w:t>土。针对排土场平台、边坡和采掘场沿帮、最终</w:t>
            </w:r>
            <w:r>
              <w:rPr>
                <w:rFonts w:ascii="SimSun" w:hAnsi="SimSun" w:eastAsia="SimSun" w:cs="SimSun"/>
                <w:spacing w:val="8"/>
              </w:rPr>
              <w:t>采掘坑等制定生态重建与恢复方案。制定矸石周</w:t>
            </w:r>
            <w:r>
              <w:rPr>
                <w:rFonts w:ascii="SimSun" w:hAnsi="SimSun" w:eastAsia="SimSun" w:cs="SimSun"/>
                <w:spacing w:val="8"/>
              </w:rPr>
              <w:t>转场地、地面建（构）筑物搬迁迹地等的生态重</w:t>
            </w:r>
            <w:r>
              <w:rPr>
                <w:rFonts w:ascii="SimSun" w:hAnsi="SimSun" w:eastAsia="SimSun" w:cs="SimSun"/>
                <w:spacing w:val="8"/>
              </w:rPr>
              <w:t>建与恢复方案。建设单位应严格控制采煤活动扰</w:t>
            </w:r>
            <w:r>
              <w:rPr>
                <w:rFonts w:ascii="SimSun" w:hAnsi="SimSun" w:eastAsia="SimSun" w:cs="SimSun"/>
                <w:spacing w:val="7"/>
              </w:rPr>
              <w:t>动范围，按照</w:t>
            </w:r>
            <w:r>
              <w:rPr>
                <w:spacing w:val="7"/>
              </w:rPr>
              <w:t>“</w:t>
            </w:r>
            <w:r>
              <w:rPr>
                <w:rFonts w:ascii="SimSun" w:hAnsi="SimSun" w:eastAsia="SimSun" w:cs="SimSun"/>
                <w:spacing w:val="7"/>
              </w:rPr>
              <w:t>边开采、边恢复</w:t>
            </w:r>
            <w:r>
              <w:rPr>
                <w:spacing w:val="7"/>
              </w:rPr>
              <w:t>”</w:t>
            </w:r>
            <w:r>
              <w:rPr>
                <w:rFonts w:ascii="SimSun" w:hAnsi="SimSun" w:eastAsia="SimSun" w:cs="SimSun"/>
                <w:spacing w:val="7"/>
              </w:rPr>
              <w:t>原则，及时落实</w:t>
            </w:r>
            <w:r>
              <w:rPr>
                <w:rFonts w:ascii="SimSun" w:hAnsi="SimSun" w:eastAsia="SimSun" w:cs="SimSun"/>
                <w:spacing w:val="4"/>
              </w:rPr>
              <w:t>各项生态重建与恢复措施，并定期进行效果评估，</w:t>
            </w:r>
            <w:r>
              <w:rPr>
                <w:rFonts w:ascii="SimSun" w:hAnsi="SimSun" w:eastAsia="SimSun" w:cs="SimSun"/>
                <w:spacing w:val="8"/>
              </w:rPr>
              <w:t>存在问题的，建设单位应制定科学、可行的整改</w:t>
            </w:r>
            <w:r>
              <w:rPr>
                <w:rFonts w:ascii="SimSun" w:hAnsi="SimSun" w:eastAsia="SimSun" w:cs="SimSun"/>
                <w:spacing w:val="6"/>
              </w:rPr>
              <w:t>计划并严格实施。</w:t>
            </w:r>
          </w:p>
        </w:tc>
        <w:tc>
          <w:tcPr>
            <w:tcW w:w="3691" w:type="dxa"/>
            <w:vAlign w:val="top"/>
          </w:tcPr>
          <w:p>
            <w:pPr>
              <w:spacing w:line="373" w:lineRule="auto"/>
              <w:rPr>
                <w:rFonts w:ascii="Arial"/>
                <w:sz w:val="21"/>
              </w:rPr>
            </w:pPr>
            <w:r/>
          </w:p>
          <w:p>
            <w:pPr>
              <w:pStyle w:val="TableText"/>
              <w:ind w:left="34" w:right="22" w:firstLine="1"/>
              <w:spacing w:before="65" w:line="251" w:lineRule="auto"/>
              <w:rPr>
                <w:rFonts w:ascii="SimSun" w:hAnsi="SimSun" w:eastAsia="SimSun" w:cs="SimSun"/>
              </w:rPr>
            </w:pPr>
            <w:r>
              <w:rPr>
                <w:rFonts w:ascii="SimSun" w:hAnsi="SimSun" w:eastAsia="SimSun" w:cs="SimSun"/>
                <w:spacing w:val="9"/>
              </w:rPr>
              <w:t>煤矿已编制《矿山地质环境保护与土地</w:t>
            </w:r>
            <w:r>
              <w:rPr>
                <w:rFonts w:ascii="SimSun" w:hAnsi="SimSun" w:eastAsia="SimSun" w:cs="SimSun"/>
                <w:spacing w:val="7"/>
              </w:rPr>
              <w:t>复垦方案》，根据方案要求，按照</w:t>
            </w:r>
            <w:r>
              <w:rPr>
                <w:spacing w:val="7"/>
              </w:rPr>
              <w:t>“</w:t>
            </w:r>
            <w:r>
              <w:rPr>
                <w:rFonts w:ascii="SimSun" w:hAnsi="SimSun" w:eastAsia="SimSun" w:cs="SimSun"/>
                <w:spacing w:val="7"/>
              </w:rPr>
              <w:t>边开</w:t>
            </w:r>
            <w:r>
              <w:rPr>
                <w:rFonts w:ascii="SimSun" w:hAnsi="SimSun" w:eastAsia="SimSun" w:cs="SimSun"/>
                <w:spacing w:val="7"/>
              </w:rPr>
              <w:t>采、边恢复</w:t>
            </w:r>
            <w:r>
              <w:rPr>
                <w:spacing w:val="7"/>
              </w:rPr>
              <w:t>”</w:t>
            </w:r>
            <w:r>
              <w:rPr>
                <w:rFonts w:ascii="SimSun" w:hAnsi="SimSun" w:eastAsia="SimSun" w:cs="SimSun"/>
                <w:spacing w:val="7"/>
              </w:rPr>
              <w:t>原则，及时落实各项生态重</w:t>
            </w:r>
            <w:r>
              <w:rPr>
                <w:rFonts w:ascii="SimSun" w:hAnsi="SimSun" w:eastAsia="SimSun" w:cs="SimSun"/>
                <w:spacing w:val="8"/>
              </w:rPr>
              <w:t>建与恢复措施，并定期进行效果评估。</w:t>
            </w:r>
          </w:p>
          <w:p>
            <w:pPr>
              <w:ind w:left="34" w:right="89" w:firstLine="31"/>
              <w:spacing w:before="1" w:line="252" w:lineRule="auto"/>
              <w:rPr>
                <w:rFonts w:ascii="SimSun" w:hAnsi="SimSun" w:eastAsia="SimSun" w:cs="SimSun"/>
                <w:sz w:val="20"/>
                <w:szCs w:val="20"/>
              </w:rPr>
            </w:pPr>
            <w:r>
              <w:rPr>
                <w:rFonts w:ascii="SimSun" w:hAnsi="SimSun" w:eastAsia="SimSun" w:cs="SimSun"/>
                <w:sz w:val="20"/>
                <w:szCs w:val="20"/>
                <w:spacing w:val="7"/>
              </w:rPr>
              <w:t>白音华四号露天煤矿露天部分已实现内</w:t>
            </w:r>
            <w:r>
              <w:rPr>
                <w:rFonts w:ascii="SimSun" w:hAnsi="SimSun" w:eastAsia="SimSun" w:cs="SimSun"/>
                <w:sz w:val="20"/>
                <w:szCs w:val="20"/>
                <w:spacing w:val="9"/>
              </w:rPr>
              <w:t>排，本次开采范围调整不需新增外排土</w:t>
            </w:r>
            <w:r>
              <w:rPr>
                <w:rFonts w:ascii="SimSun" w:hAnsi="SimSun" w:eastAsia="SimSun" w:cs="SimSun"/>
                <w:sz w:val="20"/>
                <w:szCs w:val="20"/>
                <w:spacing w:val="8"/>
              </w:rPr>
              <w:t>场，剥离物仍全部内排。</w:t>
            </w:r>
          </w:p>
        </w:tc>
        <w:tc>
          <w:tcPr>
            <w:tcW w:w="540" w:type="dxa"/>
            <w:vAlign w:val="top"/>
          </w:tcPr>
          <w:p>
            <w:pPr>
              <w:spacing w:line="295" w:lineRule="auto"/>
              <w:rPr>
                <w:rFonts w:ascii="Arial"/>
                <w:sz w:val="21"/>
              </w:rPr>
            </w:pPr>
            <w:r/>
          </w:p>
          <w:p>
            <w:pPr>
              <w:spacing w:line="295" w:lineRule="auto"/>
              <w:rPr>
                <w:rFonts w:ascii="Arial"/>
                <w:sz w:val="21"/>
              </w:rPr>
            </w:pPr>
            <w:r/>
          </w:p>
          <w:p>
            <w:pPr>
              <w:spacing w:line="296" w:lineRule="auto"/>
              <w:rPr>
                <w:rFonts w:ascii="Arial"/>
                <w:sz w:val="21"/>
              </w:rPr>
            </w:pPr>
            <w:r/>
          </w:p>
          <w:p>
            <w:pPr>
              <w:spacing w:line="296" w:lineRule="auto"/>
              <w:rPr>
                <w:rFonts w:ascii="Arial"/>
                <w:sz w:val="21"/>
              </w:rPr>
            </w:pPr>
            <w:r/>
          </w:p>
          <w:p>
            <w:pPr>
              <w:ind w:left="6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3272" w:hRule="atLeast"/>
        </w:trPr>
        <w:tc>
          <w:tcPr>
            <w:tcW w:w="374" w:type="dxa"/>
            <w:vAlign w:val="top"/>
          </w:tcPr>
          <w:p>
            <w:pPr>
              <w:spacing w:line="249"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spacing w:line="250" w:lineRule="auto"/>
              <w:rPr>
                <w:rFonts w:ascii="Arial"/>
                <w:sz w:val="21"/>
              </w:rPr>
            </w:pPr>
            <w:r/>
          </w:p>
          <w:p>
            <w:pPr>
              <w:pStyle w:val="TableText"/>
              <w:ind w:left="140"/>
              <w:spacing w:before="57" w:line="195" w:lineRule="auto"/>
              <w:rPr/>
            </w:pPr>
            <w:r>
              <w:rPr/>
              <w:t>3</w:t>
            </w:r>
          </w:p>
        </w:tc>
        <w:tc>
          <w:tcPr>
            <w:tcW w:w="4526" w:type="dxa"/>
            <w:vAlign w:val="top"/>
          </w:tcPr>
          <w:p>
            <w:pPr>
              <w:pStyle w:val="TableText"/>
              <w:ind w:left="31" w:right="87" w:firstLine="2"/>
              <w:spacing w:before="38" w:line="248" w:lineRule="auto"/>
              <w:rPr>
                <w:rFonts w:ascii="SimSun" w:hAnsi="SimSun" w:eastAsia="SimSun" w:cs="SimSun"/>
              </w:rPr>
            </w:pPr>
            <w:r>
              <w:rPr>
                <w:rFonts w:ascii="SimSun" w:hAnsi="SimSun" w:eastAsia="SimSun" w:cs="SimSun"/>
                <w:spacing w:val="9"/>
              </w:rPr>
              <w:t>鼓励对煤矸石进行井下充填、发电、生产建筑材</w:t>
            </w:r>
            <w:r>
              <w:rPr>
                <w:rFonts w:ascii="SimSun" w:hAnsi="SimSun" w:eastAsia="SimSun" w:cs="SimSun"/>
                <w:spacing w:val="9"/>
              </w:rPr>
              <w:t>料、回收矿产品、制取化工产品、筑路、土地复</w:t>
            </w:r>
            <w:r>
              <w:rPr>
                <w:rFonts w:ascii="SimSun" w:hAnsi="SimSun" w:eastAsia="SimSun" w:cs="SimSun"/>
                <w:spacing w:val="9"/>
              </w:rPr>
              <w:t>垦等多途径综合利用，因地制宜选择合理的综合</w:t>
            </w:r>
            <w:r>
              <w:rPr>
                <w:rFonts w:ascii="SimSun" w:hAnsi="SimSun" w:eastAsia="SimSun" w:cs="SimSun"/>
                <w:spacing w:val="9"/>
              </w:rPr>
              <w:t>利用方式，提高煤矸石综合利用率。技术可行、</w:t>
            </w:r>
            <w:r>
              <w:rPr>
                <w:rFonts w:ascii="SimSun" w:hAnsi="SimSun" w:eastAsia="SimSun" w:cs="SimSun"/>
                <w:spacing w:val="9"/>
              </w:rPr>
              <w:t>经济合理的条件下优先采用井下充填技术处置煤</w:t>
            </w:r>
            <w:r>
              <w:rPr>
                <w:rFonts w:ascii="SimSun" w:hAnsi="SimSun" w:eastAsia="SimSun" w:cs="SimSun"/>
                <w:spacing w:val="9"/>
              </w:rPr>
              <w:t>矸石，有效控制地面沉陷、损毁耕地，减少煤矸</w:t>
            </w:r>
            <w:r>
              <w:rPr>
                <w:rFonts w:ascii="SimSun" w:hAnsi="SimSun" w:eastAsia="SimSun" w:cs="SimSun"/>
                <w:spacing w:val="9"/>
              </w:rPr>
              <w:t>石排放量。煤矸石的处置与综合利用应符合国家</w:t>
            </w:r>
            <w:r>
              <w:rPr>
                <w:rFonts w:ascii="SimSun" w:hAnsi="SimSun" w:eastAsia="SimSun" w:cs="SimSun"/>
                <w:spacing w:val="9"/>
              </w:rPr>
              <w:t>及行业相关标准规范要求。禁止建设永久性煤矸</w:t>
            </w:r>
            <w:r>
              <w:rPr>
                <w:rFonts w:ascii="SimSun" w:hAnsi="SimSun" w:eastAsia="SimSun" w:cs="SimSun"/>
                <w:spacing w:val="8"/>
              </w:rPr>
              <w:t>石堆放场（库</w:t>
            </w:r>
            <w:r>
              <w:rPr>
                <w:rFonts w:ascii="SimSun" w:hAnsi="SimSun" w:eastAsia="SimSun" w:cs="SimSun"/>
                <w:spacing w:val="15"/>
              </w:rPr>
              <w:t>），</w:t>
            </w:r>
            <w:r>
              <w:rPr>
                <w:rFonts w:ascii="SimSun" w:hAnsi="SimSun" w:eastAsia="SimSun" w:cs="SimSun"/>
                <w:spacing w:val="8"/>
              </w:rPr>
              <w:t>确需建设临时性堆放场（库）</w:t>
            </w:r>
            <w:r>
              <w:rPr>
                <w:rFonts w:ascii="SimSun" w:hAnsi="SimSun" w:eastAsia="SimSun" w:cs="SimSun"/>
                <w:spacing w:val="9"/>
              </w:rPr>
              <w:t>的，其占地规模应当与煤炭生产和洗选加工能力</w:t>
            </w:r>
            <w:r>
              <w:rPr>
                <w:rFonts w:ascii="SimSun" w:hAnsi="SimSun" w:eastAsia="SimSun" w:cs="SimSun"/>
                <w:spacing w:val="8"/>
              </w:rPr>
              <w:t>相匹配，原则上占地规模按不超过</w:t>
            </w:r>
            <w:r>
              <w:rPr>
                <w:rFonts w:ascii="SimSun" w:hAnsi="SimSun" w:eastAsia="SimSun" w:cs="SimSun"/>
                <w:spacing w:val="-26"/>
              </w:rPr>
              <w:t xml:space="preserve"> </w:t>
            </w:r>
            <w:r>
              <w:rPr>
                <w:spacing w:val="8"/>
              </w:rPr>
              <w:t>3 </w:t>
            </w:r>
            <w:r>
              <w:rPr>
                <w:rFonts w:ascii="SimSun" w:hAnsi="SimSun" w:eastAsia="SimSun" w:cs="SimSun"/>
                <w:spacing w:val="8"/>
              </w:rPr>
              <w:t>年储矸量设</w:t>
            </w:r>
            <w:r>
              <w:rPr>
                <w:rFonts w:ascii="SimSun" w:hAnsi="SimSun" w:eastAsia="SimSun" w:cs="SimSun"/>
                <w:spacing w:val="8"/>
              </w:rPr>
              <w:t>计，且必须有后续综合利用方案。</w:t>
            </w:r>
          </w:p>
        </w:tc>
        <w:tc>
          <w:tcPr>
            <w:tcW w:w="3691" w:type="dxa"/>
            <w:vAlign w:val="top"/>
          </w:tcPr>
          <w:p>
            <w:pPr>
              <w:spacing w:line="259" w:lineRule="auto"/>
              <w:rPr>
                <w:rFonts w:ascii="Arial"/>
                <w:sz w:val="21"/>
              </w:rPr>
            </w:pPr>
            <w:r/>
          </w:p>
          <w:p>
            <w:pPr>
              <w:spacing w:line="260" w:lineRule="auto"/>
              <w:rPr>
                <w:rFonts w:ascii="Arial"/>
                <w:sz w:val="21"/>
              </w:rPr>
            </w:pPr>
            <w:r/>
          </w:p>
          <w:p>
            <w:pPr>
              <w:spacing w:line="260" w:lineRule="auto"/>
              <w:rPr>
                <w:rFonts w:ascii="Arial"/>
                <w:sz w:val="21"/>
              </w:rPr>
            </w:pPr>
            <w:r/>
          </w:p>
          <w:p>
            <w:pPr>
              <w:ind w:left="36" w:right="89" w:hanging="1"/>
              <w:spacing w:before="65" w:line="250" w:lineRule="auto"/>
              <w:rPr>
                <w:rFonts w:ascii="SimSun" w:hAnsi="SimSun" w:eastAsia="SimSun" w:cs="SimSun"/>
                <w:sz w:val="20"/>
                <w:szCs w:val="20"/>
              </w:rPr>
            </w:pPr>
            <w:r>
              <w:rPr>
                <w:rFonts w:ascii="SimSun" w:hAnsi="SimSun" w:eastAsia="SimSun" w:cs="SimSun"/>
                <w:sz w:val="20"/>
                <w:szCs w:val="20"/>
                <w:spacing w:val="9"/>
              </w:rPr>
              <w:t>本项目风选车间产生的矸石用于充填井</w:t>
            </w:r>
            <w:r>
              <w:rPr>
                <w:rFonts w:ascii="SimSun" w:hAnsi="SimSun" w:eastAsia="SimSun" w:cs="SimSun"/>
                <w:sz w:val="20"/>
                <w:szCs w:val="20"/>
                <w:spacing w:val="8"/>
              </w:rPr>
              <w:t>工矿沉陷区及露天矿土地复垦。</w:t>
            </w:r>
          </w:p>
          <w:p>
            <w:pPr>
              <w:ind w:left="34" w:right="17" w:firstLine="3"/>
              <w:spacing w:before="1" w:line="252" w:lineRule="auto"/>
              <w:rPr>
                <w:rFonts w:ascii="SimSun" w:hAnsi="SimSun" w:eastAsia="SimSun" w:cs="SimSun"/>
                <w:sz w:val="20"/>
                <w:szCs w:val="20"/>
              </w:rPr>
            </w:pPr>
            <w:r>
              <w:rPr>
                <w:rFonts w:ascii="SimSun" w:hAnsi="SimSun" w:eastAsia="SimSun" w:cs="SimSun"/>
                <w:sz w:val="20"/>
                <w:szCs w:val="20"/>
                <w:spacing w:val="13"/>
              </w:rPr>
              <w:t>工业场地内现有的矿坑水处理设施、生</w:t>
            </w:r>
            <w:r>
              <w:rPr>
                <w:rFonts w:ascii="SimSun" w:hAnsi="SimSun" w:eastAsia="SimSun" w:cs="SimSun"/>
                <w:sz w:val="20"/>
                <w:szCs w:val="20"/>
                <w:spacing w:val="13"/>
              </w:rPr>
              <w:t>活污水处理设施、危废库等区域均按规</w:t>
            </w:r>
            <w:r>
              <w:rPr>
                <w:rFonts w:ascii="SimSun" w:hAnsi="SimSun" w:eastAsia="SimSun" w:cs="SimSun"/>
                <w:sz w:val="20"/>
                <w:szCs w:val="20"/>
                <w:spacing w:val="13"/>
              </w:rPr>
              <w:t>范进行防渗，采取以上措施后，煤矿开</w:t>
            </w:r>
            <w:r>
              <w:rPr>
                <w:rFonts w:ascii="SimSun" w:hAnsi="SimSun" w:eastAsia="SimSun" w:cs="SimSun"/>
                <w:sz w:val="20"/>
                <w:szCs w:val="20"/>
                <w:spacing w:val="8"/>
              </w:rPr>
              <w:t>采对区域浅层地下水影响较小。</w:t>
            </w:r>
          </w:p>
        </w:tc>
        <w:tc>
          <w:tcPr>
            <w:tcW w:w="540" w:type="dxa"/>
            <w:vAlign w:val="top"/>
          </w:tcPr>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ind w:left="6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659" w:hRule="atLeast"/>
        </w:trPr>
        <w:tc>
          <w:tcPr>
            <w:tcW w:w="374" w:type="dxa"/>
            <w:vAlign w:val="top"/>
          </w:tcPr>
          <w:p>
            <w:pPr>
              <w:pStyle w:val="TableText"/>
              <w:ind w:left="141"/>
              <w:spacing w:before="262" w:line="192" w:lineRule="auto"/>
              <w:rPr/>
            </w:pPr>
            <w:r>
              <w:rPr/>
              <w:t>5</w:t>
            </w:r>
          </w:p>
        </w:tc>
        <w:tc>
          <w:tcPr>
            <w:tcW w:w="4526" w:type="dxa"/>
            <w:vAlign w:val="top"/>
          </w:tcPr>
          <w:p>
            <w:pPr>
              <w:ind w:left="42" w:right="87" w:hanging="10"/>
              <w:spacing w:before="87" w:line="251" w:lineRule="auto"/>
              <w:rPr>
                <w:rFonts w:ascii="SimSun" w:hAnsi="SimSun" w:eastAsia="SimSun" w:cs="SimSun"/>
                <w:sz w:val="20"/>
                <w:szCs w:val="20"/>
              </w:rPr>
            </w:pPr>
            <w:r>
              <w:rPr>
                <w:rFonts w:ascii="SimSun" w:hAnsi="SimSun" w:eastAsia="SimSun" w:cs="SimSun"/>
                <w:sz w:val="20"/>
                <w:szCs w:val="20"/>
                <w:spacing w:val="9"/>
              </w:rPr>
              <w:t>针对矿井水应当考虑主要污染因子及污染影响特</w:t>
            </w:r>
            <w:r>
              <w:rPr>
                <w:rFonts w:ascii="SimSun" w:hAnsi="SimSun" w:eastAsia="SimSun" w:cs="SimSun"/>
                <w:sz w:val="20"/>
                <w:szCs w:val="20"/>
                <w:spacing w:val="9"/>
              </w:rPr>
              <w:t>点等，通过优化开采范围和开采方式、采取针对</w:t>
            </w:r>
          </w:p>
        </w:tc>
        <w:tc>
          <w:tcPr>
            <w:tcW w:w="3691" w:type="dxa"/>
            <w:vAlign w:val="top"/>
          </w:tcPr>
          <w:p>
            <w:pPr>
              <w:pStyle w:val="TableText"/>
              <w:ind w:left="35" w:right="89"/>
              <w:spacing w:before="87" w:line="251" w:lineRule="auto"/>
              <w:rPr>
                <w:rFonts w:ascii="SimSun" w:hAnsi="SimSun" w:eastAsia="SimSun" w:cs="SimSun"/>
              </w:rPr>
            </w:pPr>
            <w:r>
              <w:rPr>
                <w:rFonts w:ascii="SimSun" w:hAnsi="SimSun" w:eastAsia="SimSun" w:cs="SimSun"/>
                <w:spacing w:val="9"/>
              </w:rPr>
              <w:t>本项目矿坑水经混凝沉淀</w:t>
            </w:r>
            <w:r>
              <w:rPr>
                <w:spacing w:val="9"/>
              </w:rPr>
              <w:t>+</w:t>
            </w:r>
            <w:r>
              <w:rPr>
                <w:rFonts w:ascii="SimSun" w:hAnsi="SimSun" w:eastAsia="SimSun" w:cs="SimSun"/>
                <w:spacing w:val="9"/>
              </w:rPr>
              <w:t>过滤处理后</w:t>
            </w:r>
            <w:r>
              <w:rPr>
                <w:rFonts w:ascii="SimSun" w:hAnsi="SimSun" w:eastAsia="SimSun" w:cs="SimSun"/>
                <w:spacing w:val="9"/>
              </w:rPr>
              <w:t>用于采场抑尘及复垦绿化用水，多余部</w:t>
            </w:r>
          </w:p>
        </w:tc>
        <w:tc>
          <w:tcPr>
            <w:tcW w:w="540" w:type="dxa"/>
            <w:vAlign w:val="top"/>
          </w:tcPr>
          <w:p>
            <w:pPr>
              <w:ind w:left="65"/>
              <w:spacing w:before="223"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headerReference w:type="default" r:id="rId568"/>
          <w:footerReference w:type="default" r:id="rId569"/>
          <w:pgSz w:w="11906" w:h="16838"/>
          <w:pgMar w:top="1170" w:right="1123" w:bottom="725" w:left="1384" w:header="837" w:footer="562" w:gutter="0"/>
        </w:sectPr>
        <w:rPr/>
      </w:pPr>
    </w:p>
    <w:p>
      <w:pPr>
        <w:spacing w:before="6"/>
        <w:rPr/>
      </w:pPr>
      <w:r/>
    </w:p>
    <w:tbl>
      <w:tblPr>
        <w:tblStyle w:val="TableNormal"/>
        <w:tblW w:w="9131"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374"/>
        <w:gridCol w:w="4526"/>
        <w:gridCol w:w="3691"/>
        <w:gridCol w:w="540"/>
      </w:tblGrid>
      <w:tr>
        <w:trPr>
          <w:trHeight w:val="3821" w:hRule="atLeast"/>
        </w:trPr>
        <w:tc>
          <w:tcPr>
            <w:tcW w:w="374" w:type="dxa"/>
            <w:vAlign w:val="top"/>
          </w:tcPr>
          <w:p>
            <w:pPr>
              <w:rPr>
                <w:rFonts w:ascii="Arial"/>
                <w:sz w:val="21"/>
              </w:rPr>
            </w:pPr>
            <w:r/>
          </w:p>
        </w:tc>
        <w:tc>
          <w:tcPr>
            <w:tcW w:w="4526" w:type="dxa"/>
            <w:vAlign w:val="top"/>
          </w:tcPr>
          <w:p>
            <w:pPr>
              <w:pStyle w:val="TableText"/>
              <w:ind w:left="32" w:firstLine="2"/>
              <w:spacing w:before="34" w:line="249" w:lineRule="auto"/>
              <w:rPr>
                <w:rFonts w:ascii="SimSun" w:hAnsi="SimSun" w:eastAsia="SimSun" w:cs="SimSun"/>
              </w:rPr>
            </w:pPr>
            <w:r>
              <w:rPr>
                <w:rFonts w:ascii="SimSun" w:hAnsi="SimSun" w:eastAsia="SimSun" w:cs="SimSun"/>
                <w:spacing w:val="8"/>
              </w:rPr>
              <w:t>性处理措施等，从源头减少和有效防治高盐、酸</w:t>
            </w:r>
            <w:r>
              <w:rPr>
                <w:rFonts w:ascii="SimSun" w:hAnsi="SimSun" w:eastAsia="SimSun" w:cs="SimSun"/>
                <w:spacing w:val="8"/>
              </w:rPr>
              <w:t>性、高氟化物、放射性等矿井水。矿井水应优先</w:t>
            </w:r>
            <w:r>
              <w:rPr>
                <w:rFonts w:ascii="SimSun" w:hAnsi="SimSun" w:eastAsia="SimSun" w:cs="SimSun"/>
                <w:spacing w:val="8"/>
              </w:rPr>
              <w:t>用于项目建设及生产，并鼓励多途径利用多余矿</w:t>
            </w:r>
            <w:r>
              <w:rPr>
                <w:rFonts w:ascii="SimSun" w:hAnsi="SimSun" w:eastAsia="SimSun" w:cs="SimSun"/>
                <w:spacing w:val="8"/>
              </w:rPr>
              <w:t>井水。可以利用的矿井水未得到合理、充分利用</w:t>
            </w:r>
            <w:r>
              <w:rPr>
                <w:rFonts w:ascii="SimSun" w:hAnsi="SimSun" w:eastAsia="SimSun" w:cs="SimSun"/>
                <w:spacing w:val="8"/>
              </w:rPr>
              <w:t>的，不得开采及使用其他地表水和地下水水源作</w:t>
            </w:r>
            <w:r>
              <w:rPr>
                <w:rFonts w:ascii="SimSun" w:hAnsi="SimSun" w:eastAsia="SimSun" w:cs="SimSun"/>
                <w:spacing w:val="8"/>
              </w:rPr>
              <w:t>为生产水源，并不得擅自外排。矿井水在充分利</w:t>
            </w:r>
            <w:r>
              <w:rPr>
                <w:rFonts w:ascii="SimSun" w:hAnsi="SimSun" w:eastAsia="SimSun" w:cs="SimSun"/>
                <w:spacing w:val="4"/>
              </w:rPr>
              <w:t>用后仍有剩余且确需外排的，经处理后拟外排的，</w:t>
            </w:r>
            <w:r>
              <w:rPr>
                <w:rFonts w:ascii="SimSun" w:hAnsi="SimSun" w:eastAsia="SimSun" w:cs="SimSun"/>
                <w:spacing w:val="8"/>
              </w:rPr>
              <w:t>除应符合相关法律法规政策外，其相关水质因子</w:t>
            </w:r>
            <w:r>
              <w:rPr>
                <w:rFonts w:ascii="SimSun" w:hAnsi="SimSun" w:eastAsia="SimSun" w:cs="SimSun"/>
                <w:spacing w:val="8"/>
              </w:rPr>
              <w:t>值还应满足或优于受纳水体环境功能区划规定的</w:t>
            </w:r>
            <w:r>
              <w:rPr>
                <w:rFonts w:ascii="SimSun" w:hAnsi="SimSun" w:eastAsia="SimSun" w:cs="SimSun"/>
                <w:spacing w:val="4"/>
              </w:rPr>
              <w:t>地表水环境质量对应值，含盐量不得超过</w:t>
            </w:r>
            <w:r>
              <w:rPr>
                <w:rFonts w:ascii="SimSun" w:hAnsi="SimSun" w:eastAsia="SimSun" w:cs="SimSun"/>
                <w:spacing w:val="-15"/>
              </w:rPr>
              <w:t xml:space="preserve"> </w:t>
            </w:r>
            <w:r>
              <w:rPr>
                <w:spacing w:val="4"/>
              </w:rPr>
              <w:t>1000 </w:t>
            </w:r>
            <w:r>
              <w:rPr>
                <w:rFonts w:ascii="SimSun" w:hAnsi="SimSun" w:eastAsia="SimSun" w:cs="SimSun"/>
                <w:spacing w:val="4"/>
              </w:rPr>
              <w:t>毫</w:t>
            </w:r>
            <w:r>
              <w:rPr>
                <w:rFonts w:ascii="SimSun" w:hAnsi="SimSun" w:eastAsia="SimSun" w:cs="SimSun"/>
                <w:spacing w:val="8"/>
              </w:rPr>
              <w:t>克</w:t>
            </w:r>
            <w:r>
              <w:rPr>
                <w:spacing w:val="8"/>
              </w:rPr>
              <w:t>/</w:t>
            </w:r>
            <w:r>
              <w:rPr>
                <w:rFonts w:ascii="SimSun" w:hAnsi="SimSun" w:eastAsia="SimSun" w:cs="SimSun"/>
                <w:spacing w:val="8"/>
              </w:rPr>
              <w:t>升，且不得影响上下游相关河段水功能需求。</w:t>
            </w:r>
            <w:r>
              <w:rPr>
                <w:rFonts w:ascii="SimSun" w:hAnsi="SimSun" w:eastAsia="SimSun" w:cs="SimSun"/>
                <w:spacing w:val="8"/>
              </w:rPr>
              <w:t>安装在线自动监测系统，相关环境数据向社会公</w:t>
            </w:r>
            <w:r>
              <w:rPr>
                <w:rFonts w:ascii="SimSun" w:hAnsi="SimSun" w:eastAsia="SimSun" w:cs="SimSun"/>
                <w:spacing w:val="8"/>
              </w:rPr>
              <w:t>开，与相关部门联网，接受监督。依法依规做好</w:t>
            </w:r>
            <w:r>
              <w:rPr>
                <w:rFonts w:ascii="SimSun" w:hAnsi="SimSun" w:eastAsia="SimSun" w:cs="SimSun"/>
                <w:spacing w:val="7"/>
              </w:rPr>
              <w:t>关闭矿井封井处置，防治老空水等污染。</w:t>
            </w:r>
          </w:p>
        </w:tc>
        <w:tc>
          <w:tcPr>
            <w:tcW w:w="3691" w:type="dxa"/>
            <w:vAlign w:val="top"/>
          </w:tcPr>
          <w:p>
            <w:pPr>
              <w:ind w:left="36" w:right="92"/>
              <w:spacing w:before="33" w:line="252" w:lineRule="auto"/>
              <w:rPr>
                <w:rFonts w:ascii="SimSun" w:hAnsi="SimSun" w:eastAsia="SimSun" w:cs="SimSun"/>
                <w:sz w:val="20"/>
                <w:szCs w:val="20"/>
              </w:rPr>
            </w:pPr>
            <w:r>
              <w:rPr>
                <w:rFonts w:ascii="SimSun" w:hAnsi="SimSun" w:eastAsia="SimSun" w:cs="SimSun"/>
                <w:sz w:val="20"/>
                <w:szCs w:val="20"/>
                <w:spacing w:val="9"/>
              </w:rPr>
              <w:t>分提供给金山电厂，部分经深度处理后</w:t>
            </w:r>
            <w:r>
              <w:rPr>
                <w:rFonts w:ascii="SimSun" w:hAnsi="SimSun" w:eastAsia="SimSun" w:cs="SimSun"/>
                <w:sz w:val="20"/>
                <w:szCs w:val="20"/>
                <w:spacing w:val="8"/>
              </w:rPr>
              <w:t>用于生产用水，全部综合利用不外排。</w:t>
            </w:r>
          </w:p>
        </w:tc>
        <w:tc>
          <w:tcPr>
            <w:tcW w:w="540" w:type="dxa"/>
            <w:vAlign w:val="top"/>
          </w:tcPr>
          <w:p>
            <w:pPr>
              <w:rPr>
                <w:rFonts w:ascii="Arial"/>
                <w:sz w:val="21"/>
              </w:rPr>
            </w:pPr>
            <w:r/>
          </w:p>
        </w:tc>
      </w:tr>
      <w:tr>
        <w:trPr>
          <w:trHeight w:val="4088" w:hRule="atLeast"/>
        </w:trPr>
        <w:tc>
          <w:tcPr>
            <w:tcW w:w="374" w:type="dxa"/>
            <w:vAlign w:val="top"/>
          </w:tcPr>
          <w:p>
            <w:pPr>
              <w:spacing w:line="271"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spacing w:line="272" w:lineRule="auto"/>
              <w:rPr>
                <w:rFonts w:ascii="Arial"/>
                <w:sz w:val="21"/>
              </w:rPr>
            </w:pPr>
            <w:r/>
          </w:p>
          <w:p>
            <w:pPr>
              <w:pStyle w:val="TableText"/>
              <w:ind w:left="140"/>
              <w:spacing w:before="57" w:line="195" w:lineRule="auto"/>
              <w:rPr/>
            </w:pPr>
            <w:r>
              <w:rPr/>
              <w:t>6</w:t>
            </w:r>
          </w:p>
        </w:tc>
        <w:tc>
          <w:tcPr>
            <w:tcW w:w="4526" w:type="dxa"/>
            <w:vAlign w:val="top"/>
          </w:tcPr>
          <w:p>
            <w:pPr>
              <w:ind w:left="31" w:right="87" w:firstLine="1"/>
              <w:spacing w:before="31" w:line="249" w:lineRule="auto"/>
              <w:rPr>
                <w:rFonts w:ascii="SimSun" w:hAnsi="SimSun" w:eastAsia="SimSun" w:cs="SimSun"/>
                <w:sz w:val="20"/>
                <w:szCs w:val="20"/>
              </w:rPr>
            </w:pPr>
            <w:r>
              <w:rPr>
                <w:rFonts w:ascii="SimSun" w:hAnsi="SimSun" w:eastAsia="SimSun" w:cs="SimSun"/>
                <w:sz w:val="20"/>
                <w:szCs w:val="20"/>
                <w:spacing w:val="9"/>
              </w:rPr>
              <w:t>煤炭开采应符合大气污染防治政策。生态保护红</w:t>
            </w:r>
            <w:r>
              <w:rPr>
                <w:rFonts w:ascii="SimSun" w:hAnsi="SimSun" w:eastAsia="SimSun" w:cs="SimSun"/>
                <w:sz w:val="20"/>
                <w:szCs w:val="20"/>
                <w:spacing w:val="7"/>
              </w:rPr>
              <w:t>线、</w:t>
            </w:r>
            <w:r>
              <w:rPr>
                <w:rFonts w:ascii="SimSun" w:hAnsi="SimSun" w:eastAsia="SimSun" w:cs="SimSun"/>
                <w:sz w:val="20"/>
                <w:szCs w:val="20"/>
                <w:spacing w:val="-47"/>
              </w:rPr>
              <w:t xml:space="preserve"> </w:t>
            </w:r>
            <w:r>
              <w:rPr>
                <w:rFonts w:ascii="SimSun" w:hAnsi="SimSun" w:eastAsia="SimSun" w:cs="SimSun"/>
                <w:sz w:val="20"/>
                <w:szCs w:val="20"/>
                <w:spacing w:val="7"/>
              </w:rPr>
              <w:t>自然保护地内原则上应依法禁止露天开采，</w:t>
            </w:r>
            <w:r>
              <w:rPr>
                <w:rFonts w:ascii="SimSun" w:hAnsi="SimSun" w:eastAsia="SimSun" w:cs="SimSun"/>
                <w:sz w:val="20"/>
                <w:szCs w:val="20"/>
                <w:spacing w:val="9"/>
              </w:rPr>
              <w:t>其他生态功能极重要区、生态极敏感区以及国家</w:t>
            </w:r>
            <w:r>
              <w:rPr>
                <w:rFonts w:ascii="SimSun" w:hAnsi="SimSun" w:eastAsia="SimSun" w:cs="SimSun"/>
                <w:sz w:val="20"/>
                <w:szCs w:val="20"/>
                <w:spacing w:val="9"/>
              </w:rPr>
              <w:t>规定的重要区域等应严格控制露天开采。加强煤</w:t>
            </w:r>
            <w:r>
              <w:rPr>
                <w:rFonts w:ascii="SimSun" w:hAnsi="SimSun" w:eastAsia="SimSun" w:cs="SimSun"/>
                <w:sz w:val="20"/>
                <w:szCs w:val="20"/>
                <w:spacing w:val="9"/>
              </w:rPr>
              <w:t>炭开采的扬尘污染防治，对露天开采的采掘场、</w:t>
            </w:r>
            <w:r>
              <w:rPr>
                <w:rFonts w:ascii="SimSun" w:hAnsi="SimSun" w:eastAsia="SimSun" w:cs="SimSun"/>
                <w:sz w:val="20"/>
                <w:szCs w:val="20"/>
                <w:spacing w:val="9"/>
              </w:rPr>
              <w:t>排土场已形成的台阶进行压覆及洒水降尘，对预</w:t>
            </w:r>
            <w:r>
              <w:rPr>
                <w:rFonts w:ascii="SimSun" w:hAnsi="SimSun" w:eastAsia="SimSun" w:cs="SimSun"/>
                <w:sz w:val="20"/>
                <w:szCs w:val="20"/>
                <w:spacing w:val="9"/>
              </w:rPr>
              <w:t>爆区洒水预湿。煤炭、矸石的储存、装卸、输送</w:t>
            </w:r>
            <w:r>
              <w:rPr>
                <w:rFonts w:ascii="SimSun" w:hAnsi="SimSun" w:eastAsia="SimSun" w:cs="SimSun"/>
                <w:sz w:val="20"/>
                <w:szCs w:val="20"/>
                <w:spacing w:val="9"/>
              </w:rPr>
              <w:t>以及破碎、筛选等产尘环节，应采取有效措施控</w:t>
            </w:r>
            <w:r>
              <w:rPr>
                <w:rFonts w:ascii="SimSun" w:hAnsi="SimSun" w:eastAsia="SimSun" w:cs="SimSun"/>
                <w:sz w:val="20"/>
                <w:szCs w:val="20"/>
                <w:spacing w:val="9"/>
              </w:rPr>
              <w:t>制扬尘污染，优先采取封闭措施，厂界无组织排</w:t>
            </w:r>
            <w:r>
              <w:rPr>
                <w:rFonts w:ascii="SimSun" w:hAnsi="SimSun" w:eastAsia="SimSun" w:cs="SimSun"/>
                <w:sz w:val="20"/>
                <w:szCs w:val="20"/>
                <w:spacing w:val="9"/>
              </w:rPr>
              <w:t>放应符合国家和地方相关标准要求；涉及环境敏</w:t>
            </w:r>
            <w:r>
              <w:rPr>
                <w:rFonts w:ascii="SimSun" w:hAnsi="SimSun" w:eastAsia="SimSun" w:cs="SimSun"/>
                <w:sz w:val="20"/>
                <w:szCs w:val="20"/>
                <w:spacing w:val="9"/>
              </w:rPr>
              <w:t>感区或区域颗粒物超标的，依法采取封闭措施。</w:t>
            </w:r>
            <w:r>
              <w:rPr>
                <w:rFonts w:ascii="SimSun" w:hAnsi="SimSun" w:eastAsia="SimSun" w:cs="SimSun"/>
                <w:sz w:val="20"/>
                <w:szCs w:val="20"/>
                <w:spacing w:val="9"/>
              </w:rPr>
              <w:t>煤炭企业应针对煤炭运输的扬尘污染提出封闭运</w:t>
            </w:r>
            <w:r>
              <w:rPr>
                <w:rFonts w:ascii="SimSun" w:hAnsi="SimSun" w:eastAsia="SimSun" w:cs="SimSun"/>
                <w:sz w:val="20"/>
                <w:szCs w:val="20"/>
                <w:spacing w:val="9"/>
              </w:rPr>
              <w:t>输、车辆清洗等防治要求，减少对道路沿线的影</w:t>
            </w:r>
            <w:r>
              <w:rPr>
                <w:rFonts w:ascii="SimSun" w:hAnsi="SimSun" w:eastAsia="SimSun" w:cs="SimSun"/>
                <w:sz w:val="20"/>
                <w:szCs w:val="20"/>
                <w:spacing w:val="9"/>
              </w:rPr>
              <w:t>响；相关企业应规划建设铁路专用线、码头等，</w:t>
            </w:r>
            <w:r>
              <w:rPr>
                <w:rFonts w:ascii="SimSun" w:hAnsi="SimSun" w:eastAsia="SimSun" w:cs="SimSun"/>
                <w:sz w:val="20"/>
                <w:szCs w:val="20"/>
                <w:spacing w:val="8"/>
              </w:rPr>
              <w:t>优先采用铁路、水路等方式运输煤炭。</w:t>
            </w:r>
          </w:p>
        </w:tc>
        <w:tc>
          <w:tcPr>
            <w:tcW w:w="3691" w:type="dxa"/>
            <w:vAlign w:val="top"/>
          </w:tcPr>
          <w:p>
            <w:pPr>
              <w:ind w:left="35" w:right="89"/>
              <w:spacing w:before="304" w:line="251" w:lineRule="auto"/>
              <w:jc w:val="both"/>
              <w:rPr>
                <w:rFonts w:ascii="SimSun" w:hAnsi="SimSun" w:eastAsia="SimSun" w:cs="SimSun"/>
                <w:sz w:val="20"/>
                <w:szCs w:val="20"/>
              </w:rPr>
            </w:pPr>
            <w:r>
              <w:rPr>
                <w:rFonts w:ascii="SimSun" w:hAnsi="SimSun" w:eastAsia="SimSun" w:cs="SimSun"/>
                <w:sz w:val="20"/>
                <w:szCs w:val="20"/>
                <w:spacing w:val="9"/>
              </w:rPr>
              <w:t>本项目煤炭储存及运输均在封闭的环境</w:t>
            </w:r>
            <w:r>
              <w:rPr>
                <w:rFonts w:ascii="SimSun" w:hAnsi="SimSun" w:eastAsia="SimSun" w:cs="SimSun"/>
                <w:sz w:val="20"/>
                <w:szCs w:val="20"/>
                <w:spacing w:val="9"/>
              </w:rPr>
              <w:t>中；原煤生产过程中采取布袋除尘；场</w:t>
            </w:r>
            <w:r>
              <w:rPr>
                <w:rFonts w:ascii="SimSun" w:hAnsi="SimSun" w:eastAsia="SimSun" w:cs="SimSun"/>
                <w:sz w:val="20"/>
                <w:szCs w:val="20"/>
                <w:spacing w:val="9"/>
              </w:rPr>
              <w:t>外道路路面定期清扫、洒水；运输车辆</w:t>
            </w:r>
            <w:r>
              <w:rPr>
                <w:rFonts w:ascii="SimSun" w:hAnsi="SimSun" w:eastAsia="SimSun" w:cs="SimSun"/>
                <w:sz w:val="20"/>
                <w:szCs w:val="20"/>
                <w:spacing w:val="5"/>
              </w:rPr>
              <w:t>加盖篷布。</w:t>
            </w:r>
          </w:p>
          <w:p>
            <w:pPr>
              <w:ind w:left="34" w:right="17" w:firstLine="5"/>
              <w:spacing w:before="7" w:line="251" w:lineRule="auto"/>
              <w:jc w:val="both"/>
              <w:rPr>
                <w:rFonts w:ascii="SimSun" w:hAnsi="SimSun" w:eastAsia="SimSun" w:cs="SimSun"/>
                <w:sz w:val="20"/>
                <w:szCs w:val="20"/>
              </w:rPr>
            </w:pPr>
            <w:r>
              <w:rPr>
                <w:rFonts w:ascii="SimSun" w:hAnsi="SimSun" w:eastAsia="SimSun" w:cs="SimSun"/>
                <w:sz w:val="20"/>
                <w:szCs w:val="20"/>
                <w:spacing w:val="13"/>
              </w:rPr>
              <w:t>露天区不需新增外排土场，现有的排土</w:t>
            </w:r>
            <w:r>
              <w:rPr>
                <w:rFonts w:ascii="SimSun" w:hAnsi="SimSun" w:eastAsia="SimSun" w:cs="SimSun"/>
                <w:sz w:val="20"/>
                <w:szCs w:val="20"/>
                <w:spacing w:val="10"/>
              </w:rPr>
              <w:t>场及矿田范围不在生态保护红线、</w:t>
            </w:r>
            <w:r>
              <w:rPr>
                <w:rFonts w:ascii="SimSun" w:hAnsi="SimSun" w:eastAsia="SimSun" w:cs="SimSun"/>
                <w:sz w:val="20"/>
                <w:szCs w:val="20"/>
                <w:spacing w:val="-38"/>
              </w:rPr>
              <w:t xml:space="preserve"> </w:t>
            </w:r>
            <w:r>
              <w:rPr>
                <w:rFonts w:ascii="SimSun" w:hAnsi="SimSun" w:eastAsia="SimSun" w:cs="SimSun"/>
                <w:sz w:val="20"/>
                <w:szCs w:val="20"/>
                <w:spacing w:val="10"/>
              </w:rPr>
              <w:t>自然</w:t>
            </w:r>
            <w:r>
              <w:rPr>
                <w:rFonts w:ascii="SimSun" w:hAnsi="SimSun" w:eastAsia="SimSun" w:cs="SimSun"/>
                <w:sz w:val="20"/>
                <w:szCs w:val="20"/>
                <w:spacing w:val="13"/>
              </w:rPr>
              <w:t>保护地内等国家规定的重要区域内。对</w:t>
            </w:r>
            <w:r>
              <w:rPr>
                <w:rFonts w:ascii="SimSun" w:hAnsi="SimSun" w:eastAsia="SimSun" w:cs="SimSun"/>
                <w:sz w:val="20"/>
                <w:szCs w:val="20"/>
                <w:spacing w:val="13"/>
              </w:rPr>
              <w:t>采掘场产生的粉尘采取洒水抑尘；排土</w:t>
            </w:r>
            <w:r>
              <w:rPr>
                <w:rFonts w:ascii="SimSun" w:hAnsi="SimSun" w:eastAsia="SimSun" w:cs="SimSun"/>
                <w:sz w:val="20"/>
                <w:szCs w:val="20"/>
                <w:spacing w:val="13"/>
              </w:rPr>
              <w:t>场配套洒水雾炮车抑尘，各排土场台阶</w:t>
            </w:r>
            <w:r>
              <w:rPr>
                <w:rFonts w:ascii="SimSun" w:hAnsi="SimSun" w:eastAsia="SimSun" w:cs="SimSun"/>
                <w:sz w:val="20"/>
                <w:szCs w:val="20"/>
                <w:spacing w:val="13"/>
              </w:rPr>
              <w:t>平台和最终平台及时设置挡水围梗和网</w:t>
            </w:r>
            <w:r>
              <w:rPr>
                <w:rFonts w:ascii="SimSun" w:hAnsi="SimSun" w:eastAsia="SimSun" w:cs="SimSun"/>
                <w:sz w:val="20"/>
                <w:szCs w:val="20"/>
                <w:spacing w:val="13"/>
              </w:rPr>
              <w:t>格围梗，并及时采取生态恢复措施；本</w:t>
            </w:r>
            <w:r>
              <w:rPr>
                <w:rFonts w:ascii="SimSun" w:hAnsi="SimSun" w:eastAsia="SimSun" w:cs="SimSun"/>
                <w:sz w:val="20"/>
                <w:szCs w:val="20"/>
                <w:spacing w:val="13"/>
              </w:rPr>
              <w:t>项目开采不需进行爆破；开采原煤通过</w:t>
            </w:r>
            <w:r>
              <w:rPr>
                <w:rFonts w:ascii="SimSun" w:hAnsi="SimSun" w:eastAsia="SimSun" w:cs="SimSun"/>
                <w:sz w:val="20"/>
                <w:szCs w:val="20"/>
                <w:spacing w:val="9"/>
              </w:rPr>
              <w:t>封闭式输煤栈桥运输</w:t>
            </w:r>
          </w:p>
        </w:tc>
        <w:tc>
          <w:tcPr>
            <w:tcW w:w="540" w:type="dxa"/>
            <w:vAlign w:val="top"/>
          </w:tcPr>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6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2454" w:hRule="atLeast"/>
        </w:trPr>
        <w:tc>
          <w:tcPr>
            <w:tcW w:w="374" w:type="dxa"/>
            <w:vAlign w:val="top"/>
          </w:tcPr>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spacing w:line="274" w:lineRule="auto"/>
              <w:rPr>
                <w:rFonts w:ascii="Arial"/>
                <w:sz w:val="21"/>
              </w:rPr>
            </w:pPr>
            <w:r/>
          </w:p>
          <w:p>
            <w:pPr>
              <w:pStyle w:val="TableText"/>
              <w:ind w:left="139"/>
              <w:spacing w:before="58" w:line="192" w:lineRule="auto"/>
              <w:rPr/>
            </w:pPr>
            <w:r>
              <w:rPr/>
              <w:t>7</w:t>
            </w:r>
          </w:p>
        </w:tc>
        <w:tc>
          <w:tcPr>
            <w:tcW w:w="4526" w:type="dxa"/>
            <w:vAlign w:val="top"/>
          </w:tcPr>
          <w:p>
            <w:pPr>
              <w:ind w:left="31" w:right="87" w:firstLine="1"/>
              <w:spacing w:before="35" w:line="247" w:lineRule="auto"/>
              <w:jc w:val="both"/>
              <w:rPr>
                <w:rFonts w:ascii="SimSun" w:hAnsi="SimSun" w:eastAsia="SimSun" w:cs="SimSun"/>
                <w:sz w:val="20"/>
                <w:szCs w:val="20"/>
              </w:rPr>
            </w:pPr>
            <w:r>
              <w:rPr>
                <w:rFonts w:ascii="SimSun" w:hAnsi="SimSun" w:eastAsia="SimSun" w:cs="SimSun"/>
                <w:sz w:val="20"/>
                <w:szCs w:val="20"/>
                <w:spacing w:val="9"/>
              </w:rPr>
              <w:t>新建、改扩建煤矿应配套煤炭洗选设施，有效提</w:t>
            </w:r>
            <w:r>
              <w:rPr>
                <w:rFonts w:ascii="SimSun" w:hAnsi="SimSun" w:eastAsia="SimSun" w:cs="SimSun"/>
                <w:sz w:val="20"/>
                <w:szCs w:val="20"/>
                <w:spacing w:val="9"/>
              </w:rPr>
              <w:t>高煤炭产品质量，强化洗选过程污染治理。煤炭</w:t>
            </w:r>
            <w:r>
              <w:rPr>
                <w:rFonts w:ascii="SimSun" w:hAnsi="SimSun" w:eastAsia="SimSun" w:cs="SimSun"/>
                <w:sz w:val="20"/>
                <w:szCs w:val="20"/>
                <w:spacing w:val="9"/>
              </w:rPr>
              <w:t>开采使用的非道路移动机械排放废气应符合国家</w:t>
            </w:r>
            <w:r>
              <w:rPr>
                <w:rFonts w:ascii="SimSun" w:hAnsi="SimSun" w:eastAsia="SimSun" w:cs="SimSun"/>
                <w:sz w:val="20"/>
                <w:szCs w:val="20"/>
                <w:spacing w:val="9"/>
              </w:rPr>
              <w:t>和地方污染物排放标准要求，鼓励使用新能源非</w:t>
            </w:r>
            <w:r>
              <w:rPr>
                <w:rFonts w:ascii="SimSun" w:hAnsi="SimSun" w:eastAsia="SimSun" w:cs="SimSun"/>
                <w:sz w:val="20"/>
                <w:szCs w:val="20"/>
                <w:spacing w:val="9"/>
              </w:rPr>
              <w:t>道路移动机械。优先采用余热、依托热源、清洁</w:t>
            </w:r>
            <w:r>
              <w:rPr>
                <w:rFonts w:ascii="SimSun" w:hAnsi="SimSun" w:eastAsia="SimSun" w:cs="SimSun"/>
                <w:sz w:val="20"/>
                <w:szCs w:val="20"/>
                <w:spacing w:val="9"/>
              </w:rPr>
              <w:t>能源等供热措施，减少大气污染物排放；确需建</w:t>
            </w:r>
            <w:r>
              <w:rPr>
                <w:rFonts w:ascii="SimSun" w:hAnsi="SimSun" w:eastAsia="SimSun" w:cs="SimSun"/>
                <w:sz w:val="20"/>
                <w:szCs w:val="20"/>
                <w:spacing w:val="9"/>
              </w:rPr>
              <w:t>设燃煤锅炉的，应符合国家和地方大气污染防治</w:t>
            </w:r>
            <w:r>
              <w:rPr>
                <w:rFonts w:ascii="SimSun" w:hAnsi="SimSun" w:eastAsia="SimSun" w:cs="SimSun"/>
                <w:sz w:val="20"/>
                <w:szCs w:val="20"/>
                <w:spacing w:val="9"/>
              </w:rPr>
              <w:t>要求。加强矸石山管理和综合治理，采取有效措</w:t>
            </w:r>
            <w:r>
              <w:rPr>
                <w:rFonts w:ascii="SimSun" w:hAnsi="SimSun" w:eastAsia="SimSun" w:cs="SimSun"/>
                <w:sz w:val="20"/>
                <w:szCs w:val="20"/>
                <w:spacing w:val="3"/>
              </w:rPr>
              <w:t>施控制扬尘、</w:t>
            </w:r>
            <w:r>
              <w:rPr>
                <w:rFonts w:ascii="SimSun" w:hAnsi="SimSun" w:eastAsia="SimSun" w:cs="SimSun"/>
                <w:sz w:val="20"/>
                <w:szCs w:val="20"/>
                <w:spacing w:val="-50"/>
              </w:rPr>
              <w:t xml:space="preserve"> </w:t>
            </w:r>
            <w:r>
              <w:rPr>
                <w:rFonts w:ascii="SimSun" w:hAnsi="SimSun" w:eastAsia="SimSun" w:cs="SimSun"/>
                <w:sz w:val="20"/>
                <w:szCs w:val="20"/>
                <w:spacing w:val="3"/>
              </w:rPr>
              <w:t>自燃等。</w:t>
            </w:r>
          </w:p>
        </w:tc>
        <w:tc>
          <w:tcPr>
            <w:tcW w:w="3691" w:type="dxa"/>
            <w:vAlign w:val="top"/>
          </w:tcPr>
          <w:p>
            <w:pPr>
              <w:pStyle w:val="TableText"/>
              <w:ind w:left="30" w:firstLine="5"/>
              <w:spacing w:before="298" w:line="252" w:lineRule="auto"/>
              <w:jc w:val="both"/>
              <w:rPr>
                <w:rFonts w:ascii="SimSun" w:hAnsi="SimSun" w:eastAsia="SimSun" w:cs="SimSun"/>
              </w:rPr>
            </w:pPr>
            <w:r>
              <w:rPr>
                <w:rFonts w:ascii="SimSun" w:hAnsi="SimSun" w:eastAsia="SimSun" w:cs="SimSun"/>
                <w:spacing w:val="7"/>
              </w:rPr>
              <w:t>本项目生产原煤均送往地面生产系统，</w:t>
            </w:r>
            <w:r>
              <w:rPr>
                <w:rFonts w:ascii="SimSun" w:hAnsi="SimSun" w:eastAsia="SimSun" w:cs="SimSun"/>
                <w:spacing w:val="6"/>
              </w:rPr>
              <w:t>地面生产系统采用</w:t>
            </w:r>
            <w:r>
              <w:rPr>
                <w:spacing w:val="6"/>
              </w:rPr>
              <w:t>“</w:t>
            </w:r>
            <w:r>
              <w:rPr>
                <w:rFonts w:ascii="SimSun" w:hAnsi="SimSun" w:eastAsia="SimSun" w:cs="SimSun"/>
                <w:spacing w:val="6"/>
              </w:rPr>
              <w:t>人工选矸</w:t>
            </w:r>
            <w:r>
              <w:rPr>
                <w:spacing w:val="6"/>
              </w:rPr>
              <w:t>+</w:t>
            </w:r>
            <w:r>
              <w:rPr>
                <w:rFonts w:ascii="SimSun" w:hAnsi="SimSun" w:eastAsia="SimSun" w:cs="SimSun"/>
                <w:spacing w:val="6"/>
              </w:rPr>
              <w:t>智能选矸</w:t>
            </w:r>
            <w:r>
              <w:rPr>
                <w:rFonts w:ascii="SimSun" w:hAnsi="SimSun" w:eastAsia="SimSun" w:cs="SimSun"/>
                <w:spacing w:val="5"/>
              </w:rPr>
              <w:t xml:space="preserve"> </w:t>
            </w:r>
            <w:r>
              <w:rPr>
                <w:spacing w:val="6"/>
              </w:rPr>
              <w:t>+</w:t>
            </w:r>
            <w:r>
              <w:rPr>
                <w:rFonts w:ascii="SimSun" w:hAnsi="SimSun" w:eastAsia="SimSun" w:cs="SimSun"/>
                <w:spacing w:val="6"/>
              </w:rPr>
              <w:t>干法</w:t>
            </w:r>
            <w:r>
              <w:rPr>
                <w:spacing w:val="6"/>
              </w:rPr>
              <w:t>”</w:t>
            </w:r>
            <w:r>
              <w:rPr>
                <w:rFonts w:ascii="SimSun" w:hAnsi="SimSun" w:eastAsia="SimSun" w:cs="SimSun"/>
                <w:spacing w:val="6"/>
              </w:rPr>
              <w:t>选煤，风选车间及筛分破碎车间</w:t>
            </w:r>
            <w:r>
              <w:rPr>
                <w:rFonts w:ascii="SimSun" w:hAnsi="SimSun" w:eastAsia="SimSun" w:cs="SimSun"/>
                <w:spacing w:val="7"/>
              </w:rPr>
              <w:t>内设置布袋除尘器，选煤过程中产生的</w:t>
            </w:r>
            <w:r>
              <w:rPr>
                <w:rFonts w:ascii="SimSun" w:hAnsi="SimSun" w:eastAsia="SimSun" w:cs="SimSun"/>
                <w:spacing w:val="3"/>
              </w:rPr>
              <w:t>废气均已得到妥善处置，不设采暖锅炉，</w:t>
            </w:r>
            <w:r>
              <w:rPr>
                <w:rFonts w:ascii="SimSun" w:hAnsi="SimSun" w:eastAsia="SimSun" w:cs="SimSun"/>
                <w:spacing w:val="3"/>
              </w:rPr>
              <w:t>采暖利用金山电厂余热，无矸石周转场。</w:t>
            </w:r>
          </w:p>
        </w:tc>
        <w:tc>
          <w:tcPr>
            <w:tcW w:w="540" w:type="dxa"/>
            <w:vAlign w:val="top"/>
          </w:tcPr>
          <w:p>
            <w:pPr>
              <w:spacing w:line="262" w:lineRule="auto"/>
              <w:rPr>
                <w:rFonts w:ascii="Arial"/>
                <w:sz w:val="21"/>
              </w:rPr>
            </w:pPr>
            <w:r/>
          </w:p>
          <w:p>
            <w:pPr>
              <w:spacing w:line="262" w:lineRule="auto"/>
              <w:rPr>
                <w:rFonts w:ascii="Arial"/>
                <w:sz w:val="21"/>
              </w:rPr>
            </w:pPr>
            <w:r/>
          </w:p>
          <w:p>
            <w:pPr>
              <w:spacing w:line="263" w:lineRule="auto"/>
              <w:rPr>
                <w:rFonts w:ascii="Arial"/>
                <w:sz w:val="21"/>
              </w:rPr>
            </w:pPr>
            <w:r/>
          </w:p>
          <w:p>
            <w:pPr>
              <w:spacing w:line="263" w:lineRule="auto"/>
              <w:rPr>
                <w:rFonts w:ascii="Arial"/>
                <w:sz w:val="21"/>
              </w:rPr>
            </w:pPr>
            <w:r/>
          </w:p>
          <w:p>
            <w:pPr>
              <w:ind w:left="6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r>
        <w:trPr>
          <w:trHeight w:val="1372" w:hRule="atLeast"/>
        </w:trPr>
        <w:tc>
          <w:tcPr>
            <w:tcW w:w="374" w:type="dxa"/>
            <w:vAlign w:val="top"/>
          </w:tcPr>
          <w:p>
            <w:pPr>
              <w:spacing w:line="276" w:lineRule="auto"/>
              <w:rPr>
                <w:rFonts w:ascii="Arial"/>
                <w:sz w:val="21"/>
              </w:rPr>
            </w:pPr>
            <w:r/>
          </w:p>
          <w:p>
            <w:pPr>
              <w:spacing w:line="277" w:lineRule="auto"/>
              <w:rPr>
                <w:rFonts w:ascii="Arial"/>
                <w:sz w:val="21"/>
              </w:rPr>
            </w:pPr>
            <w:r/>
          </w:p>
          <w:p>
            <w:pPr>
              <w:pStyle w:val="TableText"/>
              <w:ind w:left="144"/>
              <w:spacing w:before="57" w:line="195" w:lineRule="auto"/>
              <w:rPr/>
            </w:pPr>
            <w:r>
              <w:rPr/>
              <w:t>8</w:t>
            </w:r>
          </w:p>
        </w:tc>
        <w:tc>
          <w:tcPr>
            <w:tcW w:w="4526" w:type="dxa"/>
            <w:vAlign w:val="top"/>
          </w:tcPr>
          <w:p>
            <w:pPr>
              <w:ind w:left="31" w:right="87" w:firstLine="1"/>
              <w:spacing w:before="34" w:line="245" w:lineRule="auto"/>
              <w:jc w:val="both"/>
              <w:rPr>
                <w:rFonts w:ascii="SimSun" w:hAnsi="SimSun" w:eastAsia="SimSun" w:cs="SimSun"/>
                <w:sz w:val="20"/>
                <w:szCs w:val="20"/>
              </w:rPr>
            </w:pPr>
            <w:r>
              <w:rPr>
                <w:rFonts w:ascii="SimSun" w:hAnsi="SimSun" w:eastAsia="SimSun" w:cs="SimSun"/>
                <w:sz w:val="20"/>
                <w:szCs w:val="20"/>
                <w:spacing w:val="9"/>
              </w:rPr>
              <w:t>煤炭采选企业应当依法申请取得排污许可证或进</w:t>
            </w:r>
            <w:r>
              <w:rPr>
                <w:rFonts w:ascii="SimSun" w:hAnsi="SimSun" w:eastAsia="SimSun" w:cs="SimSun"/>
                <w:sz w:val="20"/>
                <w:szCs w:val="20"/>
                <w:spacing w:val="9"/>
              </w:rPr>
              <w:t>行排污登记。未取得排污许可证也未进行排污登</w:t>
            </w:r>
            <w:r>
              <w:rPr>
                <w:rFonts w:ascii="SimSun" w:hAnsi="SimSun" w:eastAsia="SimSun" w:cs="SimSun"/>
                <w:sz w:val="20"/>
                <w:szCs w:val="20"/>
                <w:spacing w:val="9"/>
              </w:rPr>
              <w:t>记的，不得排放污染物。改建、扩建和技术改造</w:t>
            </w:r>
            <w:r>
              <w:rPr>
                <w:rFonts w:ascii="SimSun" w:hAnsi="SimSun" w:eastAsia="SimSun" w:cs="SimSun"/>
                <w:sz w:val="20"/>
                <w:szCs w:val="20"/>
                <w:spacing w:val="9"/>
              </w:rPr>
              <w:t>煤炭采选项目还必须采取措施，治理与该项目有</w:t>
            </w:r>
            <w:r>
              <w:rPr>
                <w:rFonts w:ascii="SimSun" w:hAnsi="SimSun" w:eastAsia="SimSun" w:cs="SimSun"/>
                <w:sz w:val="20"/>
                <w:szCs w:val="20"/>
                <w:spacing w:val="8"/>
              </w:rPr>
              <w:t>关的原有环境污染和生态破坏。</w:t>
            </w:r>
          </w:p>
        </w:tc>
        <w:tc>
          <w:tcPr>
            <w:tcW w:w="3691" w:type="dxa"/>
            <w:vAlign w:val="top"/>
          </w:tcPr>
          <w:p>
            <w:pPr>
              <w:rPr>
                <w:rFonts w:ascii="Arial"/>
                <w:sz w:val="21"/>
              </w:rPr>
            </w:pPr>
            <w:r/>
          </w:p>
          <w:p>
            <w:pPr>
              <w:ind w:left="67"/>
              <w:spacing w:before="65" w:line="228" w:lineRule="auto"/>
              <w:rPr>
                <w:rFonts w:ascii="SimSun" w:hAnsi="SimSun" w:eastAsia="SimSun" w:cs="SimSun"/>
                <w:sz w:val="20"/>
                <w:szCs w:val="20"/>
              </w:rPr>
            </w:pPr>
            <w:r>
              <w:rPr>
                <w:rFonts w:ascii="SimSun" w:hAnsi="SimSun" w:eastAsia="SimSun" w:cs="SimSun"/>
                <w:sz w:val="20"/>
                <w:szCs w:val="20"/>
                <w:spacing w:val="9"/>
              </w:rPr>
              <w:t>煤矿已取得固定污染源排污登记表，根</w:t>
            </w:r>
          </w:p>
          <w:p>
            <w:pPr>
              <w:ind w:left="65"/>
              <w:spacing w:before="24" w:line="227" w:lineRule="auto"/>
              <w:rPr>
                <w:rFonts w:ascii="SimSun" w:hAnsi="SimSun" w:eastAsia="SimSun" w:cs="SimSun"/>
                <w:sz w:val="20"/>
                <w:szCs w:val="20"/>
              </w:rPr>
            </w:pPr>
            <w:r>
              <w:rPr>
                <w:rFonts w:ascii="SimSun" w:hAnsi="SimSun" w:eastAsia="SimSun" w:cs="SimSun"/>
                <w:sz w:val="20"/>
                <w:szCs w:val="20"/>
                <w:spacing w:val="9"/>
              </w:rPr>
              <w:t>据排污登记表，本项目不需申请排污许</w:t>
            </w:r>
          </w:p>
          <w:p>
            <w:pPr>
              <w:ind w:left="1644"/>
              <w:spacing w:before="25" w:line="231" w:lineRule="auto"/>
              <w:rPr>
                <w:rFonts w:ascii="SimSun" w:hAnsi="SimSun" w:eastAsia="SimSun" w:cs="SimSun"/>
                <w:sz w:val="20"/>
                <w:szCs w:val="20"/>
              </w:rPr>
            </w:pPr>
            <w:r>
              <w:rPr>
                <w:rFonts w:ascii="SimSun" w:hAnsi="SimSun" w:eastAsia="SimSun" w:cs="SimSun"/>
                <w:sz w:val="20"/>
                <w:szCs w:val="20"/>
                <w:spacing w:val="3"/>
              </w:rPr>
              <w:t>可证</w:t>
            </w:r>
          </w:p>
        </w:tc>
        <w:tc>
          <w:tcPr>
            <w:tcW w:w="540" w:type="dxa"/>
            <w:vAlign w:val="top"/>
          </w:tcPr>
          <w:p>
            <w:pPr>
              <w:spacing w:line="254" w:lineRule="auto"/>
              <w:rPr>
                <w:rFonts w:ascii="Arial"/>
                <w:sz w:val="21"/>
              </w:rPr>
            </w:pPr>
            <w:r/>
          </w:p>
          <w:p>
            <w:pPr>
              <w:spacing w:line="255" w:lineRule="auto"/>
              <w:rPr>
                <w:rFonts w:ascii="Arial"/>
                <w:sz w:val="21"/>
              </w:rPr>
            </w:pPr>
            <w:r/>
          </w:p>
          <w:p>
            <w:pPr>
              <w:ind w:left="65"/>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spacing w:line="431" w:lineRule="auto"/>
        <w:rPr/>
      </w:pPr>
      <w:r/>
    </w:p>
    <w:p>
      <w:pPr>
        <w:ind w:left="651"/>
        <w:spacing w:before="97" w:line="221" w:lineRule="auto"/>
        <w:rPr>
          <w:rFonts w:ascii="SimHei" w:hAnsi="SimHei" w:eastAsia="SimHei" w:cs="SimHei"/>
          <w:sz w:val="30"/>
          <w:szCs w:val="30"/>
        </w:rPr>
      </w:pPr>
      <w:r>
        <w:rPr>
          <w:rFonts w:ascii="Times New Roman" w:hAnsi="Times New Roman" w:eastAsia="Times New Roman" w:cs="Times New Roman"/>
          <w:sz w:val="30"/>
          <w:szCs w:val="30"/>
          <w:b/>
          <w:bCs/>
          <w:spacing w:val="-3"/>
        </w:rPr>
        <w:t>10.5  </w:t>
      </w:r>
      <w:r>
        <w:rPr>
          <w:rFonts w:ascii="SimHei" w:hAnsi="SimHei" w:eastAsia="SimHei" w:cs="SimHei"/>
          <w:sz w:val="30"/>
          <w:szCs w:val="30"/>
          <w:b/>
          <w:bCs/>
          <w:spacing w:val="-3"/>
        </w:rPr>
        <w:t>与《内蒙古自治区主体功能区规划》的符合性分析</w:t>
      </w:r>
    </w:p>
    <w:p>
      <w:pPr>
        <w:ind w:left="40" w:right="33" w:firstLine="509"/>
        <w:spacing w:before="135" w:line="339" w:lineRule="auto"/>
        <w:rPr>
          <w:rFonts w:ascii="Times New Roman" w:hAnsi="Times New Roman" w:eastAsia="Times New Roman" w:cs="Times New Roman"/>
          <w:sz w:val="24"/>
          <w:szCs w:val="24"/>
        </w:rPr>
      </w:pPr>
      <w:r>
        <w:rPr>
          <w:rFonts w:ascii="SimSun" w:hAnsi="SimSun" w:eastAsia="SimSun" w:cs="SimSun"/>
          <w:sz w:val="24"/>
          <w:szCs w:val="24"/>
          <w:spacing w:val="-1"/>
        </w:rPr>
        <w:t>内蒙古自治区主体功能区规划将全区国土空间划分为以下主体功能区</w:t>
      </w:r>
      <w:r>
        <w:rPr>
          <w:rFonts w:ascii="SimSun" w:hAnsi="SimSun" w:eastAsia="SimSun" w:cs="SimSun"/>
          <w:sz w:val="24"/>
          <w:szCs w:val="24"/>
          <w:spacing w:val="-2"/>
        </w:rPr>
        <w:t>：按开发方</w:t>
      </w:r>
      <w:r>
        <w:rPr>
          <w:rFonts w:ascii="SimSun" w:hAnsi="SimSun" w:eastAsia="SimSun" w:cs="SimSun"/>
          <w:sz w:val="24"/>
          <w:szCs w:val="24"/>
          <w:spacing w:val="-2"/>
        </w:rPr>
        <w:t>式，划分为重点开发区域、限制开发区域和禁止开发区域；限制开发区域包括农产品主</w:t>
      </w:r>
      <w:r>
        <w:rPr>
          <w:rFonts w:ascii="SimSun" w:hAnsi="SimSun" w:eastAsia="SimSun" w:cs="SimSun"/>
          <w:sz w:val="24"/>
          <w:szCs w:val="24"/>
          <w:spacing w:val="-1"/>
        </w:rPr>
        <w:t>产区和重点生态功能区，其中的农产品主产</w:t>
      </w:r>
      <w:r>
        <w:rPr>
          <w:rFonts w:ascii="SimSun" w:hAnsi="SimSun" w:eastAsia="SimSun" w:cs="SimSun"/>
          <w:sz w:val="24"/>
          <w:szCs w:val="24"/>
          <w:spacing w:val="-2"/>
        </w:rPr>
        <w:t>区分为国家级和自治区级两个层面。包括</w:t>
      </w:r>
      <w:r>
        <w:rPr>
          <w:rFonts w:ascii="Times New Roman" w:hAnsi="Times New Roman" w:eastAsia="Times New Roman" w:cs="Times New Roman"/>
          <w:sz w:val="24"/>
          <w:szCs w:val="24"/>
          <w:spacing w:val="-2"/>
        </w:rPr>
        <w:t>21</w:t>
      </w:r>
    </w:p>
    <w:p>
      <w:pPr>
        <w:spacing w:line="339" w:lineRule="auto"/>
        <w:sectPr>
          <w:headerReference w:type="default" r:id="rId199"/>
          <w:footerReference w:type="default" r:id="rId570"/>
          <w:pgSz w:w="11906" w:h="16838"/>
          <w:pgMar w:top="1170" w:right="1383" w:bottom="725" w:left="1384" w:header="837" w:footer="562" w:gutter="0"/>
        </w:sectPr>
        <w:rPr>
          <w:rFonts w:ascii="Times New Roman" w:hAnsi="Times New Roman" w:eastAsia="Times New Roman" w:cs="Times New Roman"/>
          <w:sz w:val="24"/>
          <w:szCs w:val="24"/>
        </w:rPr>
      </w:pPr>
    </w:p>
    <w:p>
      <w:pPr>
        <w:pStyle w:val="BodyText"/>
        <w:spacing w:line="311" w:lineRule="auto"/>
        <w:rPr/>
      </w:pPr>
      <w:r/>
    </w:p>
    <w:p>
      <w:pPr>
        <w:ind w:left="14" w:right="85" w:hanging="5"/>
        <w:spacing w:before="78" w:line="339" w:lineRule="auto"/>
        <w:rPr>
          <w:rFonts w:ascii="SimSun" w:hAnsi="SimSun" w:eastAsia="SimSun" w:cs="SimSun"/>
          <w:sz w:val="24"/>
          <w:szCs w:val="24"/>
        </w:rPr>
      </w:pPr>
      <w:r>
        <w:rPr>
          <w:rFonts w:ascii="SimSun" w:hAnsi="SimSun" w:eastAsia="SimSun" w:cs="SimSun"/>
          <w:sz w:val="24"/>
          <w:szCs w:val="24"/>
          <w:spacing w:val="-4"/>
        </w:rPr>
        <w:t>个旗县区，其中国家级</w:t>
      </w:r>
      <w:r>
        <w:rPr>
          <w:rFonts w:ascii="Times New Roman" w:hAnsi="Times New Roman" w:eastAsia="Times New Roman" w:cs="Times New Roman"/>
          <w:sz w:val="24"/>
          <w:szCs w:val="24"/>
          <w:spacing w:val="-4"/>
        </w:rPr>
        <w:t>12</w:t>
      </w:r>
      <w:r>
        <w:rPr>
          <w:rFonts w:ascii="SimSun" w:hAnsi="SimSun" w:eastAsia="SimSun" w:cs="SimSun"/>
          <w:sz w:val="24"/>
          <w:szCs w:val="24"/>
          <w:spacing w:val="-4"/>
        </w:rPr>
        <w:t>个，自治区级</w:t>
      </w:r>
      <w:r>
        <w:rPr>
          <w:rFonts w:ascii="Times New Roman" w:hAnsi="Times New Roman" w:eastAsia="Times New Roman" w:cs="Times New Roman"/>
          <w:sz w:val="24"/>
          <w:szCs w:val="24"/>
          <w:spacing w:val="-4"/>
        </w:rPr>
        <w:t>9</w:t>
      </w:r>
      <w:r>
        <w:rPr>
          <w:rFonts w:ascii="SimSun" w:hAnsi="SimSun" w:eastAsia="SimSun" w:cs="SimSun"/>
          <w:sz w:val="24"/>
          <w:szCs w:val="24"/>
          <w:spacing w:val="-4"/>
        </w:rPr>
        <w:t>个。</w:t>
      </w:r>
      <w:r>
        <w:rPr>
          <w:rFonts w:ascii="SimSun" w:hAnsi="SimSun" w:eastAsia="SimSun" w:cs="SimSun"/>
          <w:sz w:val="24"/>
          <w:szCs w:val="24"/>
          <w:spacing w:val="-5"/>
        </w:rPr>
        <w:t>西乌旗位于自治区规划的限制开发区域（自</w:t>
      </w:r>
      <w:r>
        <w:rPr>
          <w:rFonts w:ascii="SimSun" w:hAnsi="SimSun" w:eastAsia="SimSun" w:cs="SimSun"/>
          <w:sz w:val="24"/>
          <w:szCs w:val="24"/>
          <w:spacing w:val="-2"/>
        </w:rPr>
        <w:t>治区级农产品主产区）</w:t>
      </w:r>
    </w:p>
    <w:p>
      <w:pPr>
        <w:ind w:left="13" w:right="85" w:firstLine="477"/>
        <w:spacing w:before="2" w:line="328" w:lineRule="auto"/>
        <w:jc w:val="both"/>
        <w:rPr>
          <w:rFonts w:ascii="SimSun" w:hAnsi="SimSun" w:eastAsia="SimSun" w:cs="SimSun"/>
          <w:sz w:val="24"/>
          <w:szCs w:val="24"/>
        </w:rPr>
      </w:pPr>
      <w:r>
        <w:rPr>
          <w:rFonts w:ascii="SimSun" w:hAnsi="SimSun" w:eastAsia="SimSun" w:cs="SimSun"/>
          <w:sz w:val="24"/>
          <w:szCs w:val="24"/>
          <w:spacing w:val="-2"/>
        </w:rPr>
        <w:t>本项目位于西乌旗的白音华矿区，白音华矿区为国家已批复矿区，是蒙东地区重要</w:t>
      </w:r>
      <w:r>
        <w:rPr>
          <w:rFonts w:ascii="SimSun" w:hAnsi="SimSun" w:eastAsia="SimSun" w:cs="SimSun"/>
          <w:sz w:val="24"/>
          <w:szCs w:val="24"/>
          <w:spacing w:val="-2"/>
        </w:rPr>
        <w:t>的煤炭资源基地，白音华四号露天煤矿为矿区内规划矿井之一，且已列为保供煤矿，本</w:t>
      </w:r>
      <w:r>
        <w:rPr>
          <w:rFonts w:ascii="SimSun" w:hAnsi="SimSun" w:eastAsia="SimSun" w:cs="SimSun"/>
          <w:sz w:val="24"/>
          <w:szCs w:val="24"/>
          <w:spacing w:val="-2"/>
        </w:rPr>
        <w:t>项目开发建设可以促进煤炭这一区域优势产业的发展。因此，本项目的建设符合内蒙古</w:t>
      </w:r>
      <w:r>
        <w:rPr>
          <w:rFonts w:ascii="SimSun" w:hAnsi="SimSun" w:eastAsia="SimSun" w:cs="SimSun"/>
          <w:sz w:val="24"/>
          <w:szCs w:val="24"/>
          <w:spacing w:val="-1"/>
        </w:rPr>
        <w:t>自治区主体功能区规划的要求。</w:t>
      </w:r>
    </w:p>
    <w:p>
      <w:pPr>
        <w:ind w:left="619"/>
        <w:spacing w:before="1" w:line="220" w:lineRule="auto"/>
        <w:rPr>
          <w:rFonts w:ascii="SimHei" w:hAnsi="SimHei" w:eastAsia="SimHei" w:cs="SimHei"/>
          <w:sz w:val="30"/>
          <w:szCs w:val="30"/>
        </w:rPr>
      </w:pPr>
      <w:r>
        <w:rPr>
          <w:rFonts w:ascii="Times New Roman" w:hAnsi="Times New Roman" w:eastAsia="Times New Roman" w:cs="Times New Roman"/>
          <w:sz w:val="30"/>
          <w:szCs w:val="30"/>
          <w:b/>
          <w:bCs/>
          <w:spacing w:val="-3"/>
        </w:rPr>
        <w:t>10.6</w:t>
      </w:r>
      <w:r>
        <w:rPr>
          <w:rFonts w:ascii="Times New Roman" w:hAnsi="Times New Roman" w:eastAsia="Times New Roman" w:cs="Times New Roman"/>
          <w:sz w:val="30"/>
          <w:szCs w:val="30"/>
          <w:b/>
          <w:bCs/>
          <w:spacing w:val="24"/>
        </w:rPr>
        <w:t xml:space="preserve"> </w:t>
      </w:r>
      <w:r>
        <w:rPr>
          <w:rFonts w:ascii="SimHei" w:hAnsi="SimHei" w:eastAsia="SimHei" w:cs="SimHei"/>
          <w:sz w:val="30"/>
          <w:szCs w:val="30"/>
          <w:b/>
          <w:bCs/>
          <w:spacing w:val="-3"/>
        </w:rPr>
        <w:t>与《内蒙古自治区</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十四五</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生态环境保护规</w:t>
      </w:r>
      <w:r>
        <w:rPr>
          <w:rFonts w:ascii="SimHei" w:hAnsi="SimHei" w:eastAsia="SimHei" w:cs="SimHei"/>
          <w:sz w:val="30"/>
          <w:szCs w:val="30"/>
          <w:b/>
          <w:bCs/>
          <w:spacing w:val="-4"/>
        </w:rPr>
        <w:t>划》符合性分析</w:t>
      </w:r>
    </w:p>
    <w:p>
      <w:pPr>
        <w:ind w:left="8" w:firstLine="481"/>
        <w:spacing w:before="124" w:line="339" w:lineRule="auto"/>
        <w:jc w:val="both"/>
        <w:rPr>
          <w:rFonts w:ascii="SimSun" w:hAnsi="SimSun" w:eastAsia="SimSun" w:cs="SimSun"/>
          <w:sz w:val="24"/>
          <w:szCs w:val="24"/>
        </w:rPr>
      </w:pPr>
      <w:r>
        <w:rPr>
          <w:rFonts w:ascii="SimSun" w:hAnsi="SimSun" w:eastAsia="SimSun" w:cs="SimSun"/>
          <w:sz w:val="24"/>
          <w:szCs w:val="24"/>
          <w:spacing w:val="1"/>
        </w:rPr>
        <w:t>《内蒙古自治区</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生态环境保护规划</w:t>
      </w:r>
      <w:r>
        <w:rPr>
          <w:rFonts w:ascii="SimSun" w:hAnsi="SimSun" w:eastAsia="SimSun" w:cs="SimSun"/>
          <w:sz w:val="24"/>
          <w:szCs w:val="24"/>
        </w:rPr>
        <w:t>》提出：要求落实生态环境分区管控，</w:t>
      </w:r>
      <w:r>
        <w:rPr>
          <w:rFonts w:ascii="SimSun" w:hAnsi="SimSun" w:eastAsia="SimSun" w:cs="SimSun"/>
          <w:sz w:val="24"/>
          <w:szCs w:val="24"/>
          <w:spacing w:val="-1"/>
        </w:rPr>
        <w:t>全面实施</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（生态保护红线、环境质量底线、资源利用上线、生态环境准入清</w:t>
      </w:r>
      <w:r>
        <w:rPr>
          <w:rFonts w:ascii="SimSun" w:hAnsi="SimSun" w:eastAsia="SimSun" w:cs="SimSun"/>
          <w:sz w:val="24"/>
          <w:szCs w:val="24"/>
          <w:spacing w:val="-2"/>
        </w:rPr>
        <w:t>单）生态环境分区管控意见，建立全区精细化的生态环境分区管控体系，用环境保护准</w:t>
      </w:r>
      <w:r>
        <w:rPr>
          <w:rFonts w:ascii="SimSun" w:hAnsi="SimSun" w:eastAsia="SimSun" w:cs="SimSun"/>
          <w:sz w:val="24"/>
          <w:szCs w:val="24"/>
          <w:spacing w:val="-2"/>
        </w:rPr>
        <w:t>入推动经济转型、低碳、绿色发展。对接各地区绿色发展重大项目信息，建立环保服务</w:t>
      </w:r>
      <w:r>
        <w:rPr>
          <w:rFonts w:ascii="SimSun" w:hAnsi="SimSun" w:eastAsia="SimSun" w:cs="SimSun"/>
          <w:sz w:val="24"/>
          <w:szCs w:val="24"/>
          <w:spacing w:val="-5"/>
        </w:rPr>
        <w:t>清单，大气、水、重金属等主要污染物排放总量</w:t>
      </w:r>
      <w:r>
        <w:rPr>
          <w:rFonts w:ascii="SimSun" w:hAnsi="SimSun" w:eastAsia="SimSun" w:cs="SimSun"/>
          <w:sz w:val="24"/>
          <w:szCs w:val="24"/>
          <w:spacing w:val="-6"/>
        </w:rPr>
        <w:t>指标予以优先支持。开辟重大基础设施、</w:t>
      </w:r>
      <w:r>
        <w:rPr>
          <w:rFonts w:ascii="SimSun" w:hAnsi="SimSun" w:eastAsia="SimSun" w:cs="SimSun"/>
          <w:sz w:val="24"/>
          <w:szCs w:val="24"/>
          <w:spacing w:val="-2"/>
        </w:rPr>
        <w:t>民生项目服务绿色通道。推动清洁能源发展，促进煤炭产业转型发展，科学控制产能产</w:t>
      </w:r>
      <w:r>
        <w:rPr>
          <w:rFonts w:ascii="SimSun" w:hAnsi="SimSun" w:eastAsia="SimSun" w:cs="SimSun"/>
          <w:sz w:val="24"/>
          <w:szCs w:val="24"/>
          <w:spacing w:val="-2"/>
        </w:rPr>
        <w:t>量，淘汰落后产能，释放优质产能，在保煤的前提下，持续优化煤炭产能结构，严格控</w:t>
      </w:r>
      <w:r>
        <w:rPr>
          <w:rFonts w:ascii="SimSun" w:hAnsi="SimSun" w:eastAsia="SimSun" w:cs="SimSun"/>
          <w:sz w:val="24"/>
          <w:szCs w:val="24"/>
          <w:spacing w:val="-2"/>
        </w:rPr>
        <w:t>制煤炭开发强度。持续改善大气环境质量。持续推进重点污染源治理，推进低空面源污</w:t>
      </w:r>
      <w:r>
        <w:rPr>
          <w:rFonts w:ascii="SimSun" w:hAnsi="SimSun" w:eastAsia="SimSun" w:cs="SimSun"/>
          <w:sz w:val="24"/>
          <w:szCs w:val="24"/>
          <w:spacing w:val="-2"/>
        </w:rPr>
        <w:t>染整治，加强运输扬尘监管，运输煤炭、渣土、石料、水泥、垃圾等物流的车辆采取密</w:t>
      </w:r>
      <w:r>
        <w:rPr>
          <w:rFonts w:ascii="SimSun" w:hAnsi="SimSun" w:eastAsia="SimSun" w:cs="SimSun"/>
          <w:sz w:val="24"/>
          <w:szCs w:val="24"/>
          <w:spacing w:val="-2"/>
        </w:rPr>
        <w:t>闭、全面苫盖等措施。强化道路扬尘管控，规范道路清扫保洁作业规程，提高春季清扫</w:t>
      </w:r>
      <w:r>
        <w:rPr>
          <w:rFonts w:ascii="SimSun" w:hAnsi="SimSun" w:eastAsia="SimSun" w:cs="SimSun"/>
          <w:sz w:val="24"/>
          <w:szCs w:val="24"/>
          <w:spacing w:val="-2"/>
        </w:rPr>
        <w:t>频次。加快推进绿色矿山建设，加大露天矿山综合整治力度，强化矿产开采、储存、装</w:t>
      </w:r>
      <w:r>
        <w:rPr>
          <w:rFonts w:ascii="SimSun" w:hAnsi="SimSun" w:eastAsia="SimSun" w:cs="SimSun"/>
          <w:sz w:val="24"/>
          <w:szCs w:val="24"/>
        </w:rPr>
        <w:t>卸、运输过程污染防治和减尘、抑尘，加大矸石和煤田自</w:t>
      </w:r>
      <w:r>
        <w:rPr>
          <w:rFonts w:ascii="SimSun" w:hAnsi="SimSun" w:eastAsia="SimSun" w:cs="SimSun"/>
          <w:sz w:val="24"/>
          <w:szCs w:val="24"/>
          <w:spacing w:val="-1"/>
        </w:rPr>
        <w:t>燃治理力度，到</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年底前</w:t>
      </w:r>
      <w:r>
        <w:rPr>
          <w:rFonts w:ascii="SimSun" w:hAnsi="SimSun" w:eastAsia="SimSun" w:cs="SimSun"/>
          <w:sz w:val="24"/>
          <w:szCs w:val="24"/>
          <w:spacing w:val="-1"/>
        </w:rPr>
        <w:t>全部达到绿色矿山标准。</w:t>
      </w:r>
    </w:p>
    <w:p>
      <w:pPr>
        <w:ind w:left="9" w:right="85" w:firstLine="480"/>
        <w:spacing w:before="6" w:line="331" w:lineRule="auto"/>
        <w:jc w:val="both"/>
        <w:rPr>
          <w:rFonts w:ascii="SimSun" w:hAnsi="SimSun" w:eastAsia="SimSun" w:cs="SimSun"/>
          <w:sz w:val="24"/>
          <w:szCs w:val="24"/>
        </w:rPr>
      </w:pPr>
      <w:r>
        <w:rPr>
          <w:rFonts w:ascii="SimSun" w:hAnsi="SimSun" w:eastAsia="SimSun" w:cs="SimSun"/>
          <w:sz w:val="24"/>
          <w:szCs w:val="24"/>
          <w:spacing w:val="-2"/>
        </w:rPr>
        <w:t>本项目所在矿区已编制《内蒙古自治区西乌珠穆沁旗白音华煤炭矿区总体规划（修</w:t>
      </w:r>
      <w:r>
        <w:rPr>
          <w:rFonts w:ascii="SimSun" w:hAnsi="SimSun" w:eastAsia="SimSun" w:cs="SimSun"/>
          <w:sz w:val="24"/>
          <w:szCs w:val="24"/>
          <w:spacing w:val="-2"/>
        </w:rPr>
        <w:t>编）》。本项目评价范围内不涉及生态保护红线、</w:t>
      </w:r>
      <w:r>
        <w:rPr>
          <w:rFonts w:ascii="SimSun" w:hAnsi="SimSun" w:eastAsia="SimSun" w:cs="SimSun"/>
          <w:sz w:val="24"/>
          <w:szCs w:val="24"/>
          <w:spacing w:val="-53"/>
        </w:rPr>
        <w:t xml:space="preserve"> </w:t>
      </w:r>
      <w:r>
        <w:rPr>
          <w:rFonts w:ascii="SimSun" w:hAnsi="SimSun" w:eastAsia="SimSun" w:cs="SimSun"/>
          <w:sz w:val="24"/>
          <w:szCs w:val="24"/>
          <w:spacing w:val="-2"/>
        </w:rPr>
        <w:t>自然保护地。本项目建设符合</w:t>
      </w:r>
      <w:r>
        <w:rPr>
          <w:rFonts w:ascii="Times New Roman" w:hAnsi="Times New Roman" w:eastAsia="Times New Roman" w:cs="Times New Roman"/>
          <w:sz w:val="24"/>
          <w:szCs w:val="24"/>
          <w:spacing w:val="-2"/>
        </w:rPr>
        <w:t>“</w:t>
      </w:r>
      <w:r>
        <w:rPr>
          <w:rFonts w:ascii="SimSun" w:hAnsi="SimSun" w:eastAsia="SimSun" w:cs="SimSun"/>
          <w:sz w:val="24"/>
          <w:szCs w:val="24"/>
          <w:spacing w:val="-2"/>
        </w:rPr>
        <w:t>三线</w:t>
      </w:r>
      <w:r>
        <w:rPr>
          <w:rFonts w:ascii="SimSun" w:hAnsi="SimSun" w:eastAsia="SimSun" w:cs="SimSun"/>
          <w:sz w:val="24"/>
          <w:szCs w:val="24"/>
        </w:rPr>
        <w:t>一单</w:t>
      </w:r>
      <w:r>
        <w:rPr>
          <w:rFonts w:ascii="Times New Roman" w:hAnsi="Times New Roman" w:eastAsia="Times New Roman" w:cs="Times New Roman"/>
          <w:sz w:val="24"/>
          <w:szCs w:val="24"/>
        </w:rPr>
        <w:t>”</w:t>
      </w:r>
      <w:r>
        <w:rPr>
          <w:rFonts w:ascii="SimSun" w:hAnsi="SimSun" w:eastAsia="SimSun" w:cs="SimSun"/>
          <w:sz w:val="24"/>
          <w:szCs w:val="24"/>
        </w:rPr>
        <w:t>的相应要求。本项目为保供煤矿，为绿色矿山，生产运营期</w:t>
      </w:r>
      <w:r>
        <w:rPr>
          <w:rFonts w:ascii="SimSun" w:hAnsi="SimSun" w:eastAsia="SimSun" w:cs="SimSun"/>
          <w:sz w:val="24"/>
          <w:szCs w:val="24"/>
          <w:spacing w:val="-1"/>
        </w:rPr>
        <w:t>间，采掘场、工业场</w:t>
      </w:r>
      <w:r>
        <w:rPr>
          <w:rFonts w:ascii="SimSun" w:hAnsi="SimSun" w:eastAsia="SimSun" w:cs="SimSun"/>
          <w:sz w:val="24"/>
          <w:szCs w:val="24"/>
          <w:spacing w:val="-2"/>
        </w:rPr>
        <w:t>地及运输道路均采取洒水抑尘措施控制扬尘污染，煤炭原煤运输采取封闭式输煤系统，</w:t>
      </w:r>
      <w:r>
        <w:rPr>
          <w:rFonts w:ascii="SimSun" w:hAnsi="SimSun" w:eastAsia="SimSun" w:cs="SimSun"/>
          <w:sz w:val="24"/>
          <w:szCs w:val="24"/>
          <w:spacing w:val="-4"/>
        </w:rPr>
        <w:t>运输车辆采取全面苫盖措施，可有效控制运输扬尘的污染。本项目符</w:t>
      </w:r>
      <w:r>
        <w:rPr>
          <w:rFonts w:ascii="SimSun" w:hAnsi="SimSun" w:eastAsia="SimSun" w:cs="SimSun"/>
          <w:sz w:val="24"/>
          <w:szCs w:val="24"/>
          <w:spacing w:val="-5"/>
        </w:rPr>
        <w:t>合内蒙古自治区</w:t>
      </w:r>
      <w:r>
        <w:rPr>
          <w:rFonts w:ascii="Times New Roman" w:hAnsi="Times New Roman" w:eastAsia="Times New Roman" w:cs="Times New Roman"/>
          <w:sz w:val="24"/>
          <w:szCs w:val="24"/>
          <w:spacing w:val="-5"/>
        </w:rPr>
        <w:t>“</w:t>
      </w:r>
      <w:r>
        <w:rPr>
          <w:rFonts w:ascii="SimSun" w:hAnsi="SimSun" w:eastAsia="SimSun" w:cs="SimSun"/>
          <w:sz w:val="24"/>
          <w:szCs w:val="24"/>
          <w:spacing w:val="-5"/>
        </w:rPr>
        <w:t>十</w:t>
      </w:r>
      <w:r>
        <w:rPr>
          <w:rFonts w:ascii="SimSun" w:hAnsi="SimSun" w:eastAsia="SimSun" w:cs="SimSun"/>
          <w:sz w:val="24"/>
          <w:szCs w:val="24"/>
          <w:spacing w:val="-1"/>
        </w:rPr>
        <w:t>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生态环境保护规划要求。</w:t>
      </w:r>
    </w:p>
    <w:p>
      <w:pPr>
        <w:ind w:left="619"/>
        <w:spacing w:before="1" w:line="220" w:lineRule="auto"/>
        <w:rPr>
          <w:rFonts w:ascii="SimHei" w:hAnsi="SimHei" w:eastAsia="SimHei" w:cs="SimHei"/>
          <w:sz w:val="30"/>
          <w:szCs w:val="30"/>
        </w:rPr>
      </w:pPr>
      <w:r>
        <w:rPr>
          <w:rFonts w:ascii="Times New Roman" w:hAnsi="Times New Roman" w:eastAsia="Times New Roman" w:cs="Times New Roman"/>
          <w:sz w:val="30"/>
          <w:szCs w:val="30"/>
          <w:b/>
          <w:bCs/>
          <w:spacing w:val="-3"/>
        </w:rPr>
        <w:t>10.7</w:t>
      </w:r>
      <w:r>
        <w:rPr>
          <w:rFonts w:ascii="Times New Roman" w:hAnsi="Times New Roman" w:eastAsia="Times New Roman" w:cs="Times New Roman"/>
          <w:sz w:val="30"/>
          <w:szCs w:val="30"/>
          <w:b/>
          <w:bCs/>
          <w:spacing w:val="24"/>
          <w:w w:val="101"/>
        </w:rPr>
        <w:t xml:space="preserve"> </w:t>
      </w:r>
      <w:r>
        <w:rPr>
          <w:rFonts w:ascii="SimHei" w:hAnsi="SimHei" w:eastAsia="SimHei" w:cs="SimHei"/>
          <w:sz w:val="30"/>
          <w:szCs w:val="30"/>
          <w:b/>
          <w:bCs/>
          <w:spacing w:val="-3"/>
        </w:rPr>
        <w:t>与《内蒙古自治区煤炭工业发展</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十四五</w:t>
      </w:r>
      <w:r>
        <w:rPr>
          <w:rFonts w:ascii="Times New Roman" w:hAnsi="Times New Roman" w:eastAsia="Times New Roman" w:cs="Times New Roman"/>
          <w:sz w:val="30"/>
          <w:szCs w:val="30"/>
          <w:b/>
          <w:bCs/>
          <w:spacing w:val="-3"/>
        </w:rPr>
        <w:t>”</w:t>
      </w:r>
      <w:r>
        <w:rPr>
          <w:rFonts w:ascii="SimHei" w:hAnsi="SimHei" w:eastAsia="SimHei" w:cs="SimHei"/>
          <w:sz w:val="30"/>
          <w:szCs w:val="30"/>
          <w:b/>
          <w:bCs/>
          <w:spacing w:val="-3"/>
        </w:rPr>
        <w:t>规划》</w:t>
      </w:r>
      <w:r>
        <w:rPr>
          <w:rFonts w:ascii="SimHei" w:hAnsi="SimHei" w:eastAsia="SimHei" w:cs="SimHei"/>
          <w:sz w:val="30"/>
          <w:szCs w:val="30"/>
          <w:b/>
          <w:bCs/>
          <w:spacing w:val="-4"/>
        </w:rPr>
        <w:t>相符性分析</w:t>
      </w:r>
    </w:p>
    <w:p>
      <w:pPr>
        <w:ind w:left="8" w:right="85" w:firstLine="481"/>
        <w:spacing w:before="133" w:line="339" w:lineRule="auto"/>
        <w:jc w:val="both"/>
        <w:rPr>
          <w:rFonts w:ascii="SimSun" w:hAnsi="SimSun" w:eastAsia="SimSun" w:cs="SimSun"/>
          <w:sz w:val="24"/>
          <w:szCs w:val="24"/>
        </w:rPr>
      </w:pPr>
      <w:r>
        <w:rPr>
          <w:rFonts w:ascii="SimSun" w:hAnsi="SimSun" w:eastAsia="SimSun" w:cs="SimSun"/>
          <w:sz w:val="24"/>
          <w:szCs w:val="24"/>
          <w:spacing w:val="-2"/>
        </w:rPr>
        <w:t>规划提出：根据市场需求，适时启动新建、扩建一批大型、特大型现代化煤矿，核</w:t>
      </w:r>
      <w:r>
        <w:rPr>
          <w:rFonts w:ascii="SimSun" w:hAnsi="SimSun" w:eastAsia="SimSun" w:cs="SimSun"/>
          <w:sz w:val="24"/>
          <w:szCs w:val="24"/>
          <w:spacing w:val="-2"/>
        </w:rPr>
        <w:t>增具备条件煤矿的产能。严格新建和改扩建煤矿准入标准，改扩建煤矿改扩建后产能不</w:t>
      </w:r>
      <w:r>
        <w:rPr>
          <w:rFonts w:ascii="SimSun" w:hAnsi="SimSun" w:eastAsia="SimSun" w:cs="SimSun"/>
          <w:sz w:val="24"/>
          <w:szCs w:val="24"/>
        </w:rPr>
        <w:t>低于</w:t>
      </w:r>
      <w:r>
        <w:rPr>
          <w:rFonts w:ascii="Times New Roman" w:hAnsi="Times New Roman" w:eastAsia="Times New Roman" w:cs="Times New Roman"/>
          <w:sz w:val="24"/>
          <w:szCs w:val="24"/>
        </w:rPr>
        <w:t>120</w:t>
      </w:r>
      <w:r>
        <w:rPr>
          <w:rFonts w:ascii="SimSun" w:hAnsi="SimSun" w:eastAsia="SimSun" w:cs="SimSun"/>
          <w:sz w:val="24"/>
          <w:szCs w:val="24"/>
        </w:rPr>
        <w:t>万吨</w:t>
      </w:r>
      <w:r>
        <w:rPr>
          <w:rFonts w:ascii="Times New Roman" w:hAnsi="Times New Roman" w:eastAsia="Times New Roman" w:cs="Times New Roman"/>
          <w:sz w:val="24"/>
          <w:szCs w:val="24"/>
        </w:rPr>
        <w:t>/</w:t>
      </w:r>
      <w:r>
        <w:rPr>
          <w:rFonts w:ascii="SimSun" w:hAnsi="SimSun" w:eastAsia="SimSun" w:cs="SimSun"/>
          <w:sz w:val="24"/>
          <w:szCs w:val="24"/>
        </w:rPr>
        <w:t>年。切实落实</w:t>
      </w:r>
      <w:r>
        <w:rPr>
          <w:rFonts w:ascii="Times New Roman" w:hAnsi="Times New Roman" w:eastAsia="Times New Roman" w:cs="Times New Roman"/>
          <w:sz w:val="24"/>
          <w:szCs w:val="24"/>
        </w:rPr>
        <w:t>“</w:t>
      </w:r>
      <w:r>
        <w:rPr>
          <w:rFonts w:ascii="SimSun" w:hAnsi="SimSun" w:eastAsia="SimSun" w:cs="SimSun"/>
          <w:sz w:val="24"/>
          <w:szCs w:val="24"/>
        </w:rPr>
        <w:t>三线一单</w:t>
      </w:r>
      <w:r>
        <w:rPr>
          <w:rFonts w:ascii="Times New Roman" w:hAnsi="Times New Roman" w:eastAsia="Times New Roman" w:cs="Times New Roman"/>
          <w:sz w:val="24"/>
          <w:szCs w:val="24"/>
        </w:rPr>
        <w:t>”</w:t>
      </w:r>
      <w:r>
        <w:rPr>
          <w:rFonts w:ascii="SimSun" w:hAnsi="SimSun" w:eastAsia="SimSun" w:cs="SimSun"/>
          <w:sz w:val="24"/>
          <w:szCs w:val="24"/>
        </w:rPr>
        <w:t>管控要求。全面实施</w:t>
      </w:r>
      <w:r>
        <w:rPr>
          <w:rFonts w:ascii="Times New Roman" w:hAnsi="Times New Roman" w:eastAsia="Times New Roman" w:cs="Times New Roman"/>
          <w:sz w:val="24"/>
          <w:szCs w:val="24"/>
        </w:rPr>
        <w:t>“</w:t>
      </w:r>
      <w:r>
        <w:rPr>
          <w:rFonts w:ascii="SimSun" w:hAnsi="SimSun" w:eastAsia="SimSun" w:cs="SimSun"/>
          <w:sz w:val="24"/>
          <w:szCs w:val="24"/>
        </w:rPr>
        <w:t>三</w:t>
      </w:r>
      <w:r>
        <w:rPr>
          <w:rFonts w:ascii="SimSun" w:hAnsi="SimSun" w:eastAsia="SimSun" w:cs="SimSun"/>
          <w:sz w:val="24"/>
          <w:szCs w:val="24"/>
          <w:spacing w:val="-1"/>
        </w:rPr>
        <w:t>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w:t>
      </w:r>
      <w:r>
        <w:rPr>
          <w:rFonts w:ascii="SimSun" w:hAnsi="SimSun" w:eastAsia="SimSun" w:cs="SimSun"/>
          <w:sz w:val="24"/>
          <w:szCs w:val="24"/>
          <w:spacing w:val="-2"/>
        </w:rPr>
        <w:t>控意见，严格执行优先、重点、一般三类管控单元环境准入要求，强环生态环境源头防</w:t>
      </w:r>
      <w:r>
        <w:rPr>
          <w:rFonts w:ascii="SimSun" w:hAnsi="SimSun" w:eastAsia="SimSun" w:cs="SimSun"/>
          <w:sz w:val="24"/>
          <w:szCs w:val="24"/>
          <w:spacing w:val="-1"/>
        </w:rPr>
        <w:t>控。加强</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生态环境分区管控成果落地应用，坚决制止违反生态环境准入清单</w:t>
      </w:r>
    </w:p>
    <w:p>
      <w:pPr>
        <w:spacing w:line="339" w:lineRule="auto"/>
        <w:sectPr>
          <w:headerReference w:type="default" r:id="rId6"/>
          <w:footerReference w:type="default" r:id="rId571"/>
          <w:pgSz w:w="11906" w:h="16838"/>
          <w:pgMar w:top="1170" w:right="1332" w:bottom="725" w:left="1416" w:header="837" w:footer="562" w:gutter="0"/>
        </w:sectPr>
        <w:rPr>
          <w:rFonts w:ascii="SimSun" w:hAnsi="SimSun" w:eastAsia="SimSun" w:cs="SimSun"/>
          <w:sz w:val="24"/>
          <w:szCs w:val="24"/>
        </w:rPr>
      </w:pPr>
    </w:p>
    <w:p>
      <w:pPr>
        <w:pStyle w:val="BodyText"/>
        <w:spacing w:line="314" w:lineRule="auto"/>
        <w:rPr/>
      </w:pPr>
      <w:r/>
    </w:p>
    <w:p>
      <w:pPr>
        <w:ind w:left="120" w:right="46"/>
        <w:spacing w:before="78" w:line="338" w:lineRule="auto"/>
        <w:jc w:val="both"/>
        <w:rPr>
          <w:rFonts w:ascii="SimSun" w:hAnsi="SimSun" w:eastAsia="SimSun" w:cs="SimSun"/>
          <w:sz w:val="24"/>
          <w:szCs w:val="24"/>
        </w:rPr>
      </w:pPr>
      <w:bookmarkStart w:name="bookmark123" w:id="116"/>
      <w:bookmarkEnd w:id="116"/>
      <w:r>
        <w:rPr>
          <w:rFonts w:ascii="SimSun" w:hAnsi="SimSun" w:eastAsia="SimSun" w:cs="SimSun"/>
          <w:sz w:val="24"/>
          <w:szCs w:val="24"/>
          <w:spacing w:val="-2"/>
        </w:rPr>
        <w:t>规定的生产建设行为及活动，用严格的环境准入推动全行业绿色低碳循环发展。贯彻绿</w:t>
      </w:r>
      <w:r>
        <w:rPr>
          <w:rFonts w:ascii="SimSun" w:hAnsi="SimSun" w:eastAsia="SimSun" w:cs="SimSun"/>
          <w:sz w:val="24"/>
          <w:szCs w:val="24"/>
          <w:spacing w:val="-6"/>
        </w:rPr>
        <w:t>色发展理念，推进煤炭清洁生产和高效利用。支持和鼓励煤炭企业引进先进技术和装备，</w:t>
      </w:r>
      <w:r>
        <w:rPr>
          <w:rFonts w:ascii="SimSun" w:hAnsi="SimSun" w:eastAsia="SimSun" w:cs="SimSun"/>
          <w:sz w:val="24"/>
          <w:szCs w:val="24"/>
          <w:spacing w:val="-2"/>
        </w:rPr>
        <w:t>提高清洁生产水平，因地制宜推广使用井下煤矸石充填、保水采煤和煤与瓦斯共采等绿</w:t>
      </w:r>
      <w:r>
        <w:rPr>
          <w:rFonts w:ascii="SimSun" w:hAnsi="SimSun" w:eastAsia="SimSun" w:cs="SimSun"/>
          <w:sz w:val="24"/>
          <w:szCs w:val="24"/>
          <w:spacing w:val="-1"/>
        </w:rPr>
        <w:t>色开采技术，减少煤矸石、矿井（坑）水和煤矿瓦斯等排放</w:t>
      </w:r>
    </w:p>
    <w:p>
      <w:pPr>
        <w:ind w:left="119" w:right="112" w:firstLine="480"/>
        <w:spacing w:before="4" w:line="328" w:lineRule="auto"/>
        <w:jc w:val="both"/>
        <w:rPr>
          <w:rFonts w:ascii="SimSun" w:hAnsi="SimSun" w:eastAsia="SimSun" w:cs="SimSun"/>
          <w:sz w:val="24"/>
          <w:szCs w:val="24"/>
        </w:rPr>
      </w:pPr>
      <w:r>
        <w:rPr>
          <w:rFonts w:ascii="SimSun" w:hAnsi="SimSun" w:eastAsia="SimSun" w:cs="SimSun"/>
          <w:sz w:val="24"/>
          <w:szCs w:val="24"/>
          <w:spacing w:val="-3"/>
        </w:rPr>
        <w:t>本项目露天部分设计生产能力为</w:t>
      </w:r>
      <w:r>
        <w:rPr>
          <w:rFonts w:ascii="Times New Roman" w:hAnsi="Times New Roman" w:eastAsia="Times New Roman" w:cs="Times New Roman"/>
          <w:sz w:val="24"/>
          <w:szCs w:val="24"/>
          <w:spacing w:val="-3"/>
        </w:rPr>
        <w:t>500</w:t>
      </w:r>
      <w:r>
        <w:rPr>
          <w:rFonts w:ascii="SimSun" w:hAnsi="SimSun" w:eastAsia="SimSun" w:cs="SimSun"/>
          <w:sz w:val="24"/>
          <w:szCs w:val="24"/>
          <w:spacing w:val="-3"/>
        </w:rPr>
        <w:t>万吨</w:t>
      </w:r>
      <w:r>
        <w:rPr>
          <w:rFonts w:ascii="Times New Roman" w:hAnsi="Times New Roman" w:eastAsia="Times New Roman" w:cs="Times New Roman"/>
          <w:sz w:val="24"/>
          <w:szCs w:val="24"/>
          <w:spacing w:val="-3"/>
        </w:rPr>
        <w:t>/</w:t>
      </w:r>
      <w:r>
        <w:rPr>
          <w:rFonts w:ascii="SimSun" w:hAnsi="SimSun" w:eastAsia="SimSun" w:cs="SimSun"/>
          <w:sz w:val="24"/>
          <w:szCs w:val="24"/>
          <w:spacing w:val="-3"/>
        </w:rPr>
        <w:t>年，与《内蒙古自治区煤炭工业发展</w:t>
      </w:r>
      <w:r>
        <w:rPr>
          <w:rFonts w:ascii="Times New Roman" w:hAnsi="Times New Roman" w:eastAsia="Times New Roman" w:cs="Times New Roman"/>
          <w:sz w:val="24"/>
          <w:szCs w:val="24"/>
          <w:spacing w:val="-3"/>
        </w:rPr>
        <w:t>“</w:t>
      </w:r>
      <w:r>
        <w:rPr>
          <w:rFonts w:ascii="SimSun" w:hAnsi="SimSun" w:eastAsia="SimSun" w:cs="SimSun"/>
          <w:sz w:val="24"/>
          <w:szCs w:val="24"/>
          <w:spacing w:val="-3"/>
        </w:rPr>
        <w:t>十四</w:t>
      </w:r>
      <w:r>
        <w:rPr>
          <w:rFonts w:ascii="SimSun" w:hAnsi="SimSun" w:eastAsia="SimSun" w:cs="SimSun"/>
          <w:sz w:val="24"/>
          <w:szCs w:val="24"/>
        </w:rPr>
        <w:t>五</w:t>
      </w:r>
      <w:r>
        <w:rPr>
          <w:rFonts w:ascii="Times New Roman" w:hAnsi="Times New Roman" w:eastAsia="Times New Roman" w:cs="Times New Roman"/>
          <w:sz w:val="24"/>
          <w:szCs w:val="24"/>
        </w:rPr>
        <w:t>”</w:t>
      </w:r>
      <w:r>
        <w:rPr>
          <w:rFonts w:ascii="SimSun" w:hAnsi="SimSun" w:eastAsia="SimSun" w:cs="SimSun"/>
          <w:sz w:val="24"/>
          <w:szCs w:val="24"/>
        </w:rPr>
        <w:t>规划》中的相关要求相符。本项目所在区域位于重点管控单元</w:t>
      </w:r>
      <w:r>
        <w:rPr>
          <w:rFonts w:ascii="SimSun" w:hAnsi="SimSun" w:eastAsia="SimSun" w:cs="SimSun"/>
          <w:sz w:val="24"/>
          <w:szCs w:val="24"/>
          <w:spacing w:val="-1"/>
        </w:rPr>
        <w:t>及一般管控单元，与</w:t>
      </w:r>
      <w:r>
        <w:rPr>
          <w:rFonts w:ascii="SimSun" w:hAnsi="SimSun" w:eastAsia="SimSun" w:cs="SimSun"/>
          <w:sz w:val="24"/>
          <w:szCs w:val="24"/>
          <w:spacing w:val="-2"/>
        </w:rPr>
        <w:t>相应单元管控要求进行对比，本项目满足相应管理要求。本项目不设外排土场，风选矸</w:t>
      </w:r>
      <w:r>
        <w:rPr>
          <w:rFonts w:ascii="SimSun" w:hAnsi="SimSun" w:eastAsia="SimSun" w:cs="SimSun"/>
          <w:sz w:val="24"/>
          <w:szCs w:val="24"/>
          <w:spacing w:val="-1"/>
        </w:rPr>
        <w:t>石用于露天矿采坑生态恢复。矿坑水全部回用不外排。</w:t>
      </w:r>
    </w:p>
    <w:p>
      <w:pPr>
        <w:ind w:left="730"/>
        <w:spacing w:line="219" w:lineRule="auto"/>
        <w:rPr>
          <w:rFonts w:ascii="SimHei" w:hAnsi="SimHei" w:eastAsia="SimHei" w:cs="SimHei"/>
          <w:sz w:val="30"/>
          <w:szCs w:val="30"/>
        </w:rPr>
      </w:pPr>
      <w:r>
        <w:rPr>
          <w:rFonts w:ascii="Times New Roman" w:hAnsi="Times New Roman" w:eastAsia="Times New Roman" w:cs="Times New Roman"/>
          <w:sz w:val="30"/>
          <w:szCs w:val="30"/>
          <w:b/>
          <w:bCs/>
          <w:spacing w:val="-6"/>
        </w:rPr>
        <w:t>10.8</w:t>
      </w:r>
      <w:r>
        <w:rPr>
          <w:rFonts w:ascii="Times New Roman" w:hAnsi="Times New Roman" w:eastAsia="Times New Roman" w:cs="Times New Roman"/>
          <w:sz w:val="30"/>
          <w:szCs w:val="30"/>
          <w:b/>
          <w:bCs/>
          <w:spacing w:val="24"/>
        </w:rPr>
        <w:t xml:space="preserve"> </w:t>
      </w:r>
      <w:r>
        <w:rPr>
          <w:rFonts w:ascii="SimHei" w:hAnsi="SimHei" w:eastAsia="SimHei" w:cs="SimHei"/>
          <w:sz w:val="30"/>
          <w:szCs w:val="30"/>
          <w:b/>
          <w:bCs/>
          <w:spacing w:val="-6"/>
        </w:rPr>
        <w:t>与《锡林郭勒盟国土空间规划（</w:t>
      </w:r>
      <w:r>
        <w:rPr>
          <w:rFonts w:ascii="Times New Roman" w:hAnsi="Times New Roman" w:eastAsia="Times New Roman" w:cs="Times New Roman"/>
          <w:sz w:val="30"/>
          <w:szCs w:val="30"/>
          <w:b/>
          <w:bCs/>
          <w:spacing w:val="-6"/>
        </w:rPr>
        <w:t>2021-2035 </w:t>
      </w:r>
      <w:r>
        <w:rPr>
          <w:rFonts w:ascii="SimHei" w:hAnsi="SimHei" w:eastAsia="SimHei" w:cs="SimHei"/>
          <w:sz w:val="30"/>
          <w:szCs w:val="30"/>
          <w:b/>
          <w:bCs/>
          <w:spacing w:val="-6"/>
        </w:rPr>
        <w:t>年）</w:t>
      </w:r>
      <w:r>
        <w:rPr>
          <w:rFonts w:ascii="SimHei" w:hAnsi="SimHei" w:eastAsia="SimHei" w:cs="SimHei"/>
          <w:sz w:val="30"/>
          <w:szCs w:val="30"/>
          <w:b/>
          <w:bCs/>
          <w:spacing w:val="-7"/>
        </w:rPr>
        <w:t>》相符性分析</w:t>
      </w:r>
    </w:p>
    <w:p>
      <w:pPr>
        <w:ind w:left="120" w:right="112" w:firstLine="480"/>
        <w:spacing w:before="129" w:line="334" w:lineRule="auto"/>
        <w:jc w:val="both"/>
        <w:rPr>
          <w:rFonts w:ascii="SimSun" w:hAnsi="SimSun" w:eastAsia="SimSun" w:cs="SimSun"/>
          <w:sz w:val="24"/>
          <w:szCs w:val="24"/>
        </w:rPr>
      </w:pPr>
      <w:r>
        <w:rPr>
          <w:rFonts w:ascii="SimSun" w:hAnsi="SimSun" w:eastAsia="SimSun" w:cs="SimSun"/>
          <w:sz w:val="24"/>
          <w:szCs w:val="24"/>
          <w:spacing w:val="-2"/>
        </w:rPr>
        <w:t>《锡林郭勒盟国土空间规划（</w:t>
      </w:r>
      <w:r>
        <w:rPr>
          <w:rFonts w:ascii="Times New Roman" w:hAnsi="Times New Roman" w:eastAsia="Times New Roman" w:cs="Times New Roman"/>
          <w:sz w:val="24"/>
          <w:szCs w:val="24"/>
          <w:spacing w:val="-2"/>
        </w:rPr>
        <w:t>2021-2035 </w:t>
      </w:r>
      <w:r>
        <w:rPr>
          <w:rFonts w:ascii="SimSun" w:hAnsi="SimSun" w:eastAsia="SimSun" w:cs="SimSun"/>
          <w:sz w:val="24"/>
          <w:szCs w:val="24"/>
          <w:spacing w:val="-2"/>
        </w:rPr>
        <w:t>年）》提出</w:t>
      </w:r>
      <w:r>
        <w:rPr>
          <w:rFonts w:ascii="Times New Roman" w:hAnsi="Times New Roman" w:eastAsia="Times New Roman" w:cs="Times New Roman"/>
          <w:sz w:val="24"/>
          <w:szCs w:val="24"/>
          <w:spacing w:val="-2"/>
        </w:rPr>
        <w:t>“</w:t>
      </w:r>
      <w:r>
        <w:rPr>
          <w:rFonts w:ascii="SimSun" w:hAnsi="SimSun" w:eastAsia="SimSun" w:cs="SimSun"/>
          <w:sz w:val="24"/>
          <w:szCs w:val="24"/>
          <w:spacing w:val="-2"/>
        </w:rPr>
        <w:t>严守耕地和永久基本农田保护</w:t>
      </w:r>
      <w:r>
        <w:rPr>
          <w:rFonts w:ascii="SimSun" w:hAnsi="SimSun" w:eastAsia="SimSun" w:cs="SimSun"/>
          <w:sz w:val="24"/>
          <w:szCs w:val="24"/>
          <w:spacing w:val="-2"/>
        </w:rPr>
        <w:t>红线</w:t>
      </w:r>
      <w:r>
        <w:rPr>
          <w:rFonts w:ascii="SimSun" w:hAnsi="SimSun" w:eastAsia="SimSun" w:cs="SimSun"/>
          <w:sz w:val="24"/>
          <w:szCs w:val="24"/>
          <w:spacing w:val="-93"/>
        </w:rPr>
        <w:t xml:space="preserve"> </w:t>
      </w:r>
      <w:r>
        <w:rPr>
          <w:rFonts w:ascii="Times New Roman" w:hAnsi="Times New Roman" w:eastAsia="Times New Roman" w:cs="Times New Roman"/>
          <w:sz w:val="24"/>
          <w:szCs w:val="24"/>
          <w:spacing w:val="-2"/>
        </w:rPr>
        <w:t>…</w:t>
      </w:r>
      <w:r>
        <w:rPr>
          <w:rFonts w:ascii="SimSun" w:hAnsi="SimSun" w:eastAsia="SimSun" w:cs="SimSun"/>
          <w:sz w:val="24"/>
          <w:szCs w:val="24"/>
          <w:spacing w:val="-2"/>
        </w:rPr>
        <w:t>生态保护红线是保障和维护国家生态安全的底线和生命</w:t>
      </w:r>
      <w:r>
        <w:rPr>
          <w:rFonts w:ascii="SimSun" w:hAnsi="SimSun" w:eastAsia="SimSun" w:cs="SimSun"/>
          <w:sz w:val="24"/>
          <w:szCs w:val="24"/>
          <w:spacing w:val="-3"/>
        </w:rPr>
        <w:t>线，一经划定，必须严格</w:t>
      </w:r>
      <w:r>
        <w:rPr>
          <w:rFonts w:ascii="SimSun" w:hAnsi="SimSun" w:eastAsia="SimSun" w:cs="SimSun"/>
          <w:sz w:val="24"/>
          <w:szCs w:val="24"/>
          <w:spacing w:val="-2"/>
        </w:rPr>
        <w:t>保护和监管。严格控制人为活动，尤其是开发建设对生态系统的破坏和扰动，严格控制</w:t>
      </w:r>
      <w:r>
        <w:rPr>
          <w:rFonts w:ascii="SimSun" w:hAnsi="SimSun" w:eastAsia="SimSun" w:cs="SimSun"/>
          <w:sz w:val="24"/>
          <w:szCs w:val="24"/>
          <w:spacing w:val="-2"/>
        </w:rPr>
        <w:t>生态红线的准入要求，完善生态红线监测监管平台及预警体系，确保生态红线的生态功</w:t>
      </w:r>
      <w:r>
        <w:rPr>
          <w:rFonts w:ascii="SimSun" w:hAnsi="SimSun" w:eastAsia="SimSun" w:cs="SimSun"/>
          <w:sz w:val="24"/>
          <w:szCs w:val="24"/>
          <w:spacing w:val="-3"/>
        </w:rPr>
        <w:t>能不降低、面积不减少、性质不改变，确保生态红线的功能连续性和完整性</w:t>
      </w:r>
      <w:r>
        <w:rPr>
          <w:rFonts w:ascii="SimSun" w:hAnsi="SimSun" w:eastAsia="SimSun" w:cs="SimSun"/>
          <w:sz w:val="24"/>
          <w:szCs w:val="24"/>
          <w:spacing w:val="-81"/>
        </w:rPr>
        <w:t xml:space="preserve"> </w:t>
      </w:r>
      <w:r>
        <w:rPr>
          <w:rFonts w:ascii="Times New Roman" w:hAnsi="Times New Roman" w:eastAsia="Times New Roman" w:cs="Times New Roman"/>
          <w:sz w:val="24"/>
          <w:szCs w:val="24"/>
          <w:spacing w:val="-3"/>
        </w:rPr>
        <w:t>…</w:t>
      </w:r>
      <w:r>
        <w:rPr>
          <w:rFonts w:ascii="Times New Roman" w:hAnsi="Times New Roman" w:eastAsia="Times New Roman" w:cs="Times New Roman"/>
          <w:sz w:val="24"/>
          <w:szCs w:val="24"/>
          <w:spacing w:val="-45"/>
        </w:rPr>
        <w:t xml:space="preserve"> </w:t>
      </w:r>
      <w:r>
        <w:rPr>
          <w:rFonts w:ascii="SimSun" w:hAnsi="SimSun" w:eastAsia="SimSun" w:cs="SimSun"/>
          <w:sz w:val="24"/>
          <w:szCs w:val="24"/>
          <w:spacing w:val="-3"/>
        </w:rPr>
        <w:t>强化草原</w:t>
      </w:r>
      <w:r>
        <w:rPr>
          <w:rFonts w:ascii="SimSun" w:hAnsi="SimSun" w:eastAsia="SimSun" w:cs="SimSun"/>
          <w:sz w:val="24"/>
          <w:szCs w:val="24"/>
          <w:spacing w:val="-2"/>
        </w:rPr>
        <w:t>生态高水平保护，严格落实基本草原保护制度。严格草原征占用审核审批程序，严禁随</w:t>
      </w:r>
      <w:r>
        <w:rPr>
          <w:rFonts w:ascii="SimSun" w:hAnsi="SimSun" w:eastAsia="SimSun" w:cs="SimSun"/>
          <w:sz w:val="24"/>
          <w:szCs w:val="24"/>
          <w:spacing w:val="2"/>
        </w:rPr>
        <w:t>意改变草原用途。</w:t>
      </w:r>
      <w:r>
        <w:rPr>
          <w:rFonts w:ascii="Times New Roman" w:hAnsi="Times New Roman" w:eastAsia="Times New Roman" w:cs="Times New Roman"/>
          <w:sz w:val="24"/>
          <w:szCs w:val="24"/>
          <w:spacing w:val="2"/>
        </w:rPr>
        <w:t>”</w:t>
      </w:r>
      <w:r>
        <w:rPr>
          <w:rFonts w:ascii="SimSun" w:hAnsi="SimSun" w:eastAsia="SimSun" w:cs="SimSun"/>
          <w:sz w:val="24"/>
          <w:szCs w:val="24"/>
          <w:spacing w:val="2"/>
        </w:rPr>
        <w:t>本项目范围内不涉及耕地、基本农</w:t>
      </w:r>
      <w:r>
        <w:rPr>
          <w:rFonts w:ascii="SimSun" w:hAnsi="SimSun" w:eastAsia="SimSun" w:cs="SimSun"/>
          <w:sz w:val="24"/>
          <w:szCs w:val="24"/>
          <w:spacing w:val="1"/>
        </w:rPr>
        <w:t>田保护红线、生态保护红线。项</w:t>
      </w:r>
      <w:r>
        <w:rPr>
          <w:rFonts w:ascii="SimSun" w:hAnsi="SimSun" w:eastAsia="SimSun" w:cs="SimSun"/>
          <w:sz w:val="24"/>
          <w:szCs w:val="24"/>
        </w:rPr>
        <w:t>目改建后，调整范围不涉及占用草原。项目建设符合</w:t>
      </w:r>
      <w:r>
        <w:rPr>
          <w:rFonts w:ascii="SimSun" w:hAnsi="SimSun" w:eastAsia="SimSun" w:cs="SimSun"/>
          <w:sz w:val="24"/>
          <w:szCs w:val="24"/>
          <w:spacing w:val="-1"/>
        </w:rPr>
        <w:t>国土空间规划的相关要求。</w:t>
      </w:r>
    </w:p>
    <w:p>
      <w:pPr>
        <w:ind w:left="123" w:right="124" w:firstLine="606"/>
        <w:spacing w:before="1" w:line="271" w:lineRule="auto"/>
        <w:rPr>
          <w:rFonts w:ascii="SimHei" w:hAnsi="SimHei" w:eastAsia="SimHei" w:cs="SimHei"/>
          <w:sz w:val="30"/>
          <w:szCs w:val="30"/>
        </w:rPr>
      </w:pPr>
      <w:r>
        <w:rPr>
          <w:rFonts w:ascii="Times New Roman" w:hAnsi="Times New Roman" w:eastAsia="Times New Roman" w:cs="Times New Roman"/>
          <w:sz w:val="30"/>
          <w:szCs w:val="30"/>
          <w:b/>
          <w:bCs/>
          <w:spacing w:val="-2"/>
        </w:rPr>
        <w:t>10.9</w:t>
      </w:r>
      <w:r>
        <w:rPr>
          <w:rFonts w:ascii="Times New Roman" w:hAnsi="Times New Roman" w:eastAsia="Times New Roman" w:cs="Times New Roman"/>
          <w:sz w:val="30"/>
          <w:szCs w:val="30"/>
          <w:b/>
          <w:bCs/>
          <w:spacing w:val="22"/>
        </w:rPr>
        <w:t xml:space="preserve"> </w:t>
      </w:r>
      <w:r>
        <w:rPr>
          <w:rFonts w:ascii="SimHei" w:hAnsi="SimHei" w:eastAsia="SimHei" w:cs="SimHei"/>
          <w:sz w:val="30"/>
          <w:szCs w:val="30"/>
          <w:b/>
          <w:bCs/>
          <w:spacing w:val="-2"/>
        </w:rPr>
        <w:t>与《关于实行征占用草原林地分区用途管控的通</w:t>
      </w:r>
      <w:r>
        <w:rPr>
          <w:rFonts w:ascii="SimHei" w:hAnsi="SimHei" w:eastAsia="SimHei" w:cs="SimHei"/>
          <w:sz w:val="30"/>
          <w:szCs w:val="30"/>
          <w:b/>
          <w:bCs/>
          <w:spacing w:val="-3"/>
        </w:rPr>
        <w:t>知》（内林</w:t>
      </w:r>
      <w:r>
        <w:rPr>
          <w:rFonts w:ascii="SimHei" w:hAnsi="SimHei" w:eastAsia="SimHei" w:cs="SimHei"/>
          <w:sz w:val="30"/>
          <w:szCs w:val="30"/>
          <w:b/>
          <w:bCs/>
          <w:spacing w:val="-2"/>
        </w:rPr>
        <w:t>草草监发﹝</w:t>
      </w:r>
      <w:r>
        <w:rPr>
          <w:rFonts w:ascii="Times New Roman" w:hAnsi="Times New Roman" w:eastAsia="Times New Roman" w:cs="Times New Roman"/>
          <w:sz w:val="30"/>
          <w:szCs w:val="30"/>
          <w:b/>
          <w:bCs/>
          <w:spacing w:val="-2"/>
        </w:rPr>
        <w:t>2021</w:t>
      </w:r>
      <w:r>
        <w:rPr>
          <w:rFonts w:ascii="SimHei" w:hAnsi="SimHei" w:eastAsia="SimHei" w:cs="SimHei"/>
          <w:sz w:val="30"/>
          <w:szCs w:val="30"/>
          <w:b/>
          <w:bCs/>
          <w:spacing w:val="-2"/>
        </w:rPr>
        <w:t>﹞</w:t>
      </w:r>
      <w:r>
        <w:rPr>
          <w:rFonts w:ascii="Times New Roman" w:hAnsi="Times New Roman" w:eastAsia="Times New Roman" w:cs="Times New Roman"/>
          <w:sz w:val="30"/>
          <w:szCs w:val="30"/>
          <w:b/>
          <w:bCs/>
          <w:spacing w:val="-2"/>
        </w:rPr>
        <w:t>257  </w:t>
      </w:r>
      <w:r>
        <w:rPr>
          <w:rFonts w:ascii="SimHei" w:hAnsi="SimHei" w:eastAsia="SimHei" w:cs="SimHei"/>
          <w:sz w:val="30"/>
          <w:szCs w:val="30"/>
          <w:b/>
          <w:bCs/>
          <w:spacing w:val="-2"/>
        </w:rPr>
        <w:t>号）的符合性</w:t>
      </w:r>
    </w:p>
    <w:p>
      <w:pPr>
        <w:spacing w:before="47" w:line="219" w:lineRule="auto"/>
        <w:jc w:val="right"/>
        <w:rPr>
          <w:rFonts w:ascii="SimSun" w:hAnsi="SimSun" w:eastAsia="SimSun" w:cs="SimSun"/>
          <w:sz w:val="24"/>
          <w:szCs w:val="24"/>
        </w:rPr>
      </w:pPr>
      <w:r>
        <w:rPr>
          <w:rFonts w:ascii="SimSun" w:hAnsi="SimSun" w:eastAsia="SimSun" w:cs="SimSun"/>
          <w:sz w:val="24"/>
          <w:szCs w:val="24"/>
          <w:spacing w:val="-7"/>
        </w:rPr>
        <w:t>本项目与《关于实行征占用草原林地分区用途管控的通知》分析对比情况见</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7"/>
        </w:rPr>
        <w:t>10-9</w:t>
      </w:r>
      <w:r>
        <w:rPr>
          <w:rFonts w:ascii="Times New Roman" w:hAnsi="Times New Roman" w:eastAsia="Times New Roman" w:cs="Times New Roman"/>
          <w:sz w:val="24"/>
          <w:szCs w:val="24"/>
          <w:spacing w:val="-8"/>
        </w:rPr>
        <w:t>-1</w:t>
      </w:r>
      <w:r>
        <w:rPr>
          <w:rFonts w:ascii="SimSun" w:hAnsi="SimSun" w:eastAsia="SimSun" w:cs="SimSun"/>
          <w:sz w:val="24"/>
          <w:szCs w:val="24"/>
          <w:spacing w:val="-8"/>
        </w:rPr>
        <w:t>。</w:t>
      </w:r>
    </w:p>
    <w:p>
      <w:pPr>
        <w:ind w:left="118" w:right="1408" w:firstLine="1286"/>
        <w:spacing w:before="286" w:line="295" w:lineRule="auto"/>
        <w:rPr>
          <w:rFonts w:ascii="Times New Roman" w:hAnsi="Times New Roman" w:eastAsia="Times New Roman" w:cs="Times New Roman"/>
          <w:sz w:val="24"/>
          <w:szCs w:val="24"/>
        </w:rPr>
      </w:pPr>
      <w:r>
        <w:rPr>
          <w:rFonts w:ascii="SimHei" w:hAnsi="SimHei" w:eastAsia="SimHei" w:cs="SimHei"/>
          <w:sz w:val="24"/>
          <w:szCs w:val="24"/>
        </w:rPr>
        <w:t>《关于实行征占用草原林地分区用途管控的通知》符合性分析</w:t>
      </w:r>
      <w:r>
        <w:rPr>
          <w:rFonts w:ascii="SimSun" w:hAnsi="SimSun" w:eastAsia="SimSun" w:cs="SimSun"/>
          <w:sz w:val="24"/>
          <w:szCs w:val="24"/>
          <w:spacing w:val="-5"/>
        </w:rPr>
        <w:t>表</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10-9-1</w:t>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83"/>
        <w:gridCol w:w="2835"/>
        <w:gridCol w:w="1372"/>
      </w:tblGrid>
      <w:tr>
        <w:trPr>
          <w:trHeight w:val="280" w:hRule="atLeast"/>
        </w:trPr>
        <w:tc>
          <w:tcPr>
            <w:tcW w:w="5083" w:type="dxa"/>
            <w:vAlign w:val="top"/>
          </w:tcPr>
          <w:p>
            <w:pPr>
              <w:ind w:left="2026"/>
              <w:spacing w:before="33" w:line="218" w:lineRule="auto"/>
              <w:rPr>
                <w:rFonts w:ascii="SimSun" w:hAnsi="SimSun" w:eastAsia="SimSun" w:cs="SimSun"/>
                <w:sz w:val="20"/>
                <w:szCs w:val="20"/>
              </w:rPr>
            </w:pPr>
            <w:r>
              <w:rPr>
                <w:rFonts w:ascii="SimSun" w:hAnsi="SimSun" w:eastAsia="SimSun" w:cs="SimSun"/>
                <w:sz w:val="20"/>
                <w:szCs w:val="20"/>
                <w:spacing w:val="7"/>
              </w:rPr>
              <w:t>管控的通知</w:t>
            </w:r>
          </w:p>
        </w:tc>
        <w:tc>
          <w:tcPr>
            <w:tcW w:w="2835" w:type="dxa"/>
            <w:vAlign w:val="top"/>
          </w:tcPr>
          <w:p>
            <w:pPr>
              <w:ind w:left="860"/>
              <w:spacing w:before="33" w:line="218" w:lineRule="auto"/>
              <w:rPr>
                <w:rFonts w:ascii="SimSun" w:hAnsi="SimSun" w:eastAsia="SimSun" w:cs="SimSun"/>
                <w:sz w:val="20"/>
                <w:szCs w:val="20"/>
              </w:rPr>
            </w:pPr>
            <w:r>
              <w:rPr>
                <w:rFonts w:ascii="SimSun" w:hAnsi="SimSun" w:eastAsia="SimSun" w:cs="SimSun"/>
                <w:sz w:val="20"/>
                <w:szCs w:val="20"/>
                <w:spacing w:val="8"/>
              </w:rPr>
              <w:t>本项目情况</w:t>
            </w:r>
          </w:p>
        </w:tc>
        <w:tc>
          <w:tcPr>
            <w:tcW w:w="1372" w:type="dxa"/>
            <w:vAlign w:val="top"/>
          </w:tcPr>
          <w:p>
            <w:pPr>
              <w:ind w:left="165"/>
              <w:spacing w:before="33" w:line="218" w:lineRule="auto"/>
              <w:rPr>
                <w:rFonts w:ascii="SimSun" w:hAnsi="SimSun" w:eastAsia="SimSun" w:cs="SimSun"/>
                <w:sz w:val="20"/>
                <w:szCs w:val="20"/>
              </w:rPr>
            </w:pPr>
            <w:r>
              <w:rPr>
                <w:rFonts w:ascii="SimSun" w:hAnsi="SimSun" w:eastAsia="SimSun" w:cs="SimSun"/>
                <w:sz w:val="20"/>
                <w:szCs w:val="20"/>
                <w:spacing w:val="7"/>
              </w:rPr>
              <w:t>符合性分析</w:t>
            </w:r>
          </w:p>
        </w:tc>
      </w:tr>
      <w:tr>
        <w:trPr>
          <w:trHeight w:val="4089" w:hRule="atLeast"/>
        </w:trPr>
        <w:tc>
          <w:tcPr>
            <w:tcW w:w="5083" w:type="dxa"/>
            <w:vAlign w:val="top"/>
          </w:tcPr>
          <w:p>
            <w:pPr>
              <w:ind w:left="714"/>
              <w:spacing w:before="31" w:line="228" w:lineRule="auto"/>
              <w:rPr>
                <w:rFonts w:ascii="SimSun" w:hAnsi="SimSun" w:eastAsia="SimSun" w:cs="SimSun"/>
                <w:sz w:val="20"/>
                <w:szCs w:val="20"/>
              </w:rPr>
            </w:pPr>
            <w:r>
              <w:rPr>
                <w:rFonts w:ascii="SimSun" w:hAnsi="SimSun" w:eastAsia="SimSun" w:cs="SimSun"/>
                <w:sz w:val="20"/>
                <w:szCs w:val="20"/>
                <w:spacing w:val="8"/>
              </w:rPr>
              <w:t>一 、实行征占用草原林地分区用途管控</w:t>
            </w:r>
          </w:p>
          <w:p>
            <w:pPr>
              <w:ind w:left="112" w:right="107" w:firstLine="421"/>
              <w:spacing w:before="23" w:line="249" w:lineRule="auto"/>
              <w:jc w:val="both"/>
              <w:rPr>
                <w:rFonts w:ascii="SimSun" w:hAnsi="SimSun" w:eastAsia="SimSun" w:cs="SimSun"/>
                <w:sz w:val="20"/>
                <w:szCs w:val="20"/>
              </w:rPr>
            </w:pPr>
            <w:r>
              <w:rPr>
                <w:rFonts w:ascii="SimSun" w:hAnsi="SimSun" w:eastAsia="SimSun" w:cs="SimSun"/>
                <w:sz w:val="20"/>
                <w:szCs w:val="20"/>
                <w:spacing w:val="9"/>
              </w:rPr>
              <w:t>严格落实生态保护红线、环境质量底线、资源利</w:t>
            </w:r>
            <w:r>
              <w:rPr>
                <w:rFonts w:ascii="SimSun" w:hAnsi="SimSun" w:eastAsia="SimSun" w:cs="SimSun"/>
                <w:sz w:val="20"/>
                <w:szCs w:val="20"/>
                <w:spacing w:val="9"/>
              </w:rPr>
              <w:t>用上线和生态环境准入清单，积极引导各类建设项目</w:t>
            </w:r>
            <w:r>
              <w:rPr>
                <w:rFonts w:ascii="SimSun" w:hAnsi="SimSun" w:eastAsia="SimSun" w:cs="SimSun"/>
                <w:sz w:val="20"/>
                <w:szCs w:val="20"/>
                <w:spacing w:val="9"/>
              </w:rPr>
              <w:t>集约节约使用草原林地。重点保障基础设施、公共事</w:t>
            </w:r>
            <w:r>
              <w:rPr>
                <w:rFonts w:ascii="SimSun" w:hAnsi="SimSun" w:eastAsia="SimSun" w:cs="SimSun"/>
                <w:sz w:val="20"/>
                <w:szCs w:val="20"/>
                <w:spacing w:val="9"/>
              </w:rPr>
              <w:t>业和民生工程建设项目使用草原林地需求，严禁不符</w:t>
            </w:r>
            <w:r>
              <w:rPr>
                <w:rFonts w:ascii="SimSun" w:hAnsi="SimSun" w:eastAsia="SimSun" w:cs="SimSun"/>
                <w:sz w:val="20"/>
                <w:szCs w:val="20"/>
                <w:spacing w:val="9"/>
              </w:rPr>
              <w:t>合主体功能定位的各类建设项目和高耗能、高排放项</w:t>
            </w:r>
            <w:r>
              <w:rPr>
                <w:rFonts w:ascii="SimSun" w:hAnsi="SimSun" w:eastAsia="SimSun" w:cs="SimSun"/>
                <w:sz w:val="20"/>
                <w:szCs w:val="20"/>
                <w:spacing w:val="7"/>
              </w:rPr>
              <w:t>目</w:t>
            </w:r>
            <w:r>
              <w:rPr>
                <w:rFonts w:ascii="SimSun" w:hAnsi="SimSun" w:eastAsia="SimSun" w:cs="SimSun"/>
                <w:sz w:val="20"/>
                <w:szCs w:val="20"/>
                <w:spacing w:val="-41"/>
              </w:rPr>
              <w:t xml:space="preserve"> </w:t>
            </w:r>
            <w:r>
              <w:rPr>
                <w:rFonts w:ascii="SimSun" w:hAnsi="SimSun" w:eastAsia="SimSun" w:cs="SimSun"/>
                <w:sz w:val="20"/>
                <w:szCs w:val="20"/>
                <w:spacing w:val="7"/>
              </w:rPr>
              <w:t>占用草原林地。具备地下开采条件的矿产资源开发</w:t>
            </w:r>
            <w:r>
              <w:rPr>
                <w:rFonts w:ascii="SimSun" w:hAnsi="SimSun" w:eastAsia="SimSun" w:cs="SimSun"/>
                <w:sz w:val="20"/>
                <w:szCs w:val="20"/>
                <w:spacing w:val="7"/>
              </w:rPr>
              <w:t>项目，从严控制露天开采。</w:t>
            </w:r>
            <w:r>
              <w:rPr>
                <w:rFonts w:ascii="SimSun" w:hAnsi="SimSun" w:eastAsia="SimSun" w:cs="SimSun"/>
                <w:sz w:val="20"/>
                <w:szCs w:val="20"/>
                <w:spacing w:val="-5"/>
              </w:rPr>
              <w:t xml:space="preserve"> </w:t>
            </w:r>
            <w:r>
              <w:rPr>
                <w:rFonts w:ascii="SimSun" w:hAnsi="SimSun" w:eastAsia="SimSun" w:cs="SimSun"/>
                <w:sz w:val="20"/>
                <w:szCs w:val="20"/>
                <w:spacing w:val="7"/>
              </w:rPr>
              <w:t>符合主体功能定位和产业</w:t>
            </w:r>
            <w:r>
              <w:rPr>
                <w:rFonts w:ascii="SimSun" w:hAnsi="SimSun" w:eastAsia="SimSun" w:cs="SimSun"/>
                <w:sz w:val="20"/>
                <w:szCs w:val="20"/>
                <w:spacing w:val="9"/>
              </w:rPr>
              <w:t>发展布局的已批准在建运营矿产资源开发项目，生产</w:t>
            </w:r>
            <w:r>
              <w:rPr>
                <w:rFonts w:ascii="SimSun" w:hAnsi="SimSun" w:eastAsia="SimSun" w:cs="SimSun"/>
                <w:sz w:val="20"/>
                <w:szCs w:val="20"/>
                <w:spacing w:val="9"/>
              </w:rPr>
              <w:t>接续用地需占用草原林地的，应依法依规办理相关手</w:t>
            </w:r>
            <w:r>
              <w:rPr>
                <w:rFonts w:ascii="SimSun" w:hAnsi="SimSun" w:eastAsia="SimSun" w:cs="SimSun"/>
                <w:sz w:val="20"/>
                <w:szCs w:val="20"/>
                <w:spacing w:val="9"/>
              </w:rPr>
              <w:t>续。严格控制矿产资源开发项目外排土场占用草原林</w:t>
            </w:r>
            <w:r>
              <w:rPr>
                <w:rFonts w:ascii="SimSun" w:hAnsi="SimSun" w:eastAsia="SimSun" w:cs="SimSun"/>
                <w:sz w:val="20"/>
                <w:szCs w:val="20"/>
                <w:spacing w:val="9"/>
              </w:rPr>
              <w:t>地，应严格按照初步设计批复建设，不得多占、超占</w:t>
            </w:r>
            <w:r>
              <w:rPr>
                <w:rFonts w:ascii="SimSun" w:hAnsi="SimSun" w:eastAsia="SimSun" w:cs="SimSun"/>
                <w:sz w:val="20"/>
                <w:szCs w:val="20"/>
                <w:spacing w:val="9"/>
              </w:rPr>
              <w:t>草原林地；严格控制矿区范围外布局的进场道路、工</w:t>
            </w:r>
            <w:r>
              <w:rPr>
                <w:rFonts w:ascii="SimSun" w:hAnsi="SimSun" w:eastAsia="SimSun" w:cs="SimSun"/>
                <w:sz w:val="20"/>
                <w:szCs w:val="20"/>
                <w:spacing w:val="9"/>
              </w:rPr>
              <w:t>业广场、尾矿库等生产辅助设施占用草原林地，确需</w:t>
            </w:r>
            <w:r>
              <w:rPr>
                <w:rFonts w:ascii="SimSun" w:hAnsi="SimSun" w:eastAsia="SimSun" w:cs="SimSun"/>
                <w:sz w:val="20"/>
                <w:szCs w:val="20"/>
                <w:spacing w:val="9"/>
              </w:rPr>
              <w:t>占用的，要按照可行性研究报告、初步设计规模或开</w:t>
            </w:r>
          </w:p>
        </w:tc>
        <w:tc>
          <w:tcPr>
            <w:tcW w:w="2835" w:type="dxa"/>
            <w:vAlign w:val="top"/>
          </w:tcPr>
          <w:p>
            <w:pPr>
              <w:spacing w:line="241"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ind w:left="17" w:right="105" w:firstLine="99"/>
              <w:spacing w:before="65" w:line="253" w:lineRule="auto"/>
              <w:jc w:val="both"/>
              <w:rPr>
                <w:rFonts w:ascii="SimSun" w:hAnsi="SimSun" w:eastAsia="SimSun" w:cs="SimSun"/>
                <w:sz w:val="20"/>
                <w:szCs w:val="20"/>
              </w:rPr>
            </w:pPr>
            <w:r>
              <w:rPr>
                <w:rFonts w:ascii="SimSun" w:hAnsi="SimSun" w:eastAsia="SimSun" w:cs="SimSun"/>
                <w:sz w:val="20"/>
                <w:szCs w:val="20"/>
                <w:spacing w:val="9"/>
              </w:rPr>
              <w:t>本项目不涉及生态保护红线</w:t>
            </w:r>
            <w:r>
              <w:rPr>
                <w:rFonts w:ascii="SimSun" w:hAnsi="SimSun" w:eastAsia="SimSun" w:cs="SimSun"/>
                <w:sz w:val="20"/>
                <w:szCs w:val="20"/>
                <w:spacing w:val="8"/>
              </w:rPr>
              <w:t>范围、不涉及占用草原、项目</w:t>
            </w:r>
            <w:r>
              <w:rPr>
                <w:rFonts w:ascii="SimSun" w:hAnsi="SimSun" w:eastAsia="SimSun" w:cs="SimSun"/>
                <w:sz w:val="20"/>
                <w:szCs w:val="20"/>
                <w:spacing w:val="8"/>
              </w:rPr>
              <w:t>为改建项目，不新增征地，本</w:t>
            </w:r>
            <w:r>
              <w:rPr>
                <w:rFonts w:ascii="SimSun" w:hAnsi="SimSun" w:eastAsia="SimSun" w:cs="SimSun"/>
                <w:sz w:val="20"/>
                <w:szCs w:val="20"/>
                <w:spacing w:val="16"/>
              </w:rPr>
              <w:t>项目不涉及占用草原林地。</w:t>
            </w:r>
          </w:p>
        </w:tc>
        <w:tc>
          <w:tcPr>
            <w:tcW w:w="1372" w:type="dxa"/>
            <w:vAlign w:val="top"/>
          </w:tcPr>
          <w:p>
            <w:pPr>
              <w:spacing w:line="265" w:lineRule="auto"/>
              <w:rPr>
                <w:rFonts w:ascii="Arial"/>
                <w:sz w:val="21"/>
              </w:rPr>
            </w:pPr>
            <w:r/>
          </w:p>
          <w:p>
            <w:pPr>
              <w:spacing w:line="265"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spacing w:line="266" w:lineRule="auto"/>
              <w:rPr>
                <w:rFonts w:ascii="Arial"/>
                <w:sz w:val="21"/>
              </w:rPr>
            </w:pPr>
            <w:r/>
          </w:p>
          <w:p>
            <w:pPr>
              <w:ind w:left="482"/>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rPr/>
      </w:pPr>
      <w:r/>
    </w:p>
    <w:p>
      <w:pPr>
        <w:sectPr>
          <w:headerReference w:type="default" r:id="rId97"/>
          <w:footerReference w:type="default" r:id="rId572"/>
          <w:pgSz w:w="11906" w:h="16838"/>
          <w:pgMar w:top="1170" w:right="1304" w:bottom="725" w:left="1305" w:header="837" w:footer="562" w:gutter="0"/>
        </w:sectPr>
        <w:rPr/>
      </w:pPr>
    </w:p>
    <w:p>
      <w:pPr>
        <w:spacing w:before="6"/>
        <w:rPr/>
      </w:pPr>
      <w:r/>
    </w:p>
    <w:tbl>
      <w:tblPr>
        <w:tblStyle w:val="TableNormal"/>
        <w:tblW w:w="9290"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083"/>
        <w:gridCol w:w="2835"/>
        <w:gridCol w:w="1372"/>
      </w:tblGrid>
      <w:tr>
        <w:trPr>
          <w:trHeight w:val="280" w:hRule="atLeast"/>
        </w:trPr>
        <w:tc>
          <w:tcPr>
            <w:tcW w:w="5083" w:type="dxa"/>
            <w:vAlign w:val="top"/>
          </w:tcPr>
          <w:p>
            <w:pPr>
              <w:ind w:left="116"/>
              <w:spacing w:before="33" w:line="218" w:lineRule="auto"/>
              <w:rPr>
                <w:rFonts w:ascii="SimSun" w:hAnsi="SimSun" w:eastAsia="SimSun" w:cs="SimSun"/>
                <w:sz w:val="20"/>
                <w:szCs w:val="20"/>
              </w:rPr>
            </w:pPr>
            <w:r>
              <w:rPr>
                <w:rFonts w:ascii="SimSun" w:hAnsi="SimSun" w:eastAsia="SimSun" w:cs="SimSun"/>
                <w:sz w:val="20"/>
                <w:szCs w:val="20"/>
                <w:spacing w:val="9"/>
              </w:rPr>
              <w:t>发利用方案，一次性申请办理征占用草原林地手</w:t>
            </w:r>
            <w:r>
              <w:rPr>
                <w:rFonts w:ascii="SimSun" w:hAnsi="SimSun" w:eastAsia="SimSun" w:cs="SimSun"/>
                <w:sz w:val="20"/>
                <w:szCs w:val="20"/>
                <w:spacing w:val="8"/>
              </w:rPr>
              <w:t>续。</w:t>
            </w:r>
          </w:p>
        </w:tc>
        <w:tc>
          <w:tcPr>
            <w:tcW w:w="2835" w:type="dxa"/>
            <w:vAlign w:val="top"/>
          </w:tcPr>
          <w:p>
            <w:pPr>
              <w:rPr>
                <w:rFonts w:ascii="Arial"/>
                <w:sz w:val="21"/>
              </w:rPr>
            </w:pPr>
            <w:r/>
          </w:p>
        </w:tc>
        <w:tc>
          <w:tcPr>
            <w:tcW w:w="1372" w:type="dxa"/>
            <w:vAlign w:val="top"/>
          </w:tcPr>
          <w:p>
            <w:pPr>
              <w:rPr>
                <w:rFonts w:ascii="Arial"/>
                <w:sz w:val="21"/>
              </w:rPr>
            </w:pPr>
            <w:r/>
          </w:p>
        </w:tc>
      </w:tr>
      <w:tr>
        <w:trPr>
          <w:trHeight w:val="3547" w:hRule="atLeast"/>
        </w:trPr>
        <w:tc>
          <w:tcPr>
            <w:tcW w:w="5083" w:type="dxa"/>
            <w:vAlign w:val="top"/>
          </w:tcPr>
          <w:p>
            <w:pPr>
              <w:ind w:left="536"/>
              <w:spacing w:before="31" w:line="228" w:lineRule="auto"/>
              <w:rPr>
                <w:rFonts w:ascii="SimSun" w:hAnsi="SimSun" w:eastAsia="SimSun" w:cs="SimSun"/>
                <w:sz w:val="20"/>
                <w:szCs w:val="20"/>
              </w:rPr>
            </w:pPr>
            <w:r>
              <w:rPr>
                <w:rFonts w:ascii="SimSun" w:hAnsi="SimSun" w:eastAsia="SimSun" w:cs="SimSun"/>
                <w:sz w:val="20"/>
                <w:szCs w:val="20"/>
                <w:spacing w:val="8"/>
              </w:rPr>
              <w:t>二、林地分区管控</w:t>
            </w:r>
          </w:p>
          <w:p>
            <w:pPr>
              <w:ind w:left="113" w:right="107" w:firstLine="419"/>
              <w:spacing w:before="27" w:line="251" w:lineRule="auto"/>
              <w:rPr>
                <w:rFonts w:ascii="SimSun" w:hAnsi="SimSun" w:eastAsia="SimSun" w:cs="SimSun"/>
                <w:sz w:val="20"/>
                <w:szCs w:val="20"/>
              </w:rPr>
            </w:pPr>
            <w:r>
              <w:rPr>
                <w:rFonts w:ascii="SimSun" w:hAnsi="SimSun" w:eastAsia="SimSun" w:cs="SimSun"/>
                <w:sz w:val="20"/>
                <w:szCs w:val="20"/>
                <w:spacing w:val="9"/>
              </w:rPr>
              <w:t>对东部地区呼伦贝尔市、兴安盟、通辽市、赤峰</w:t>
            </w:r>
            <w:r>
              <w:rPr>
                <w:rFonts w:ascii="SimSun" w:hAnsi="SimSun" w:eastAsia="SimSun" w:cs="SimSun"/>
                <w:sz w:val="20"/>
                <w:szCs w:val="20"/>
                <w:spacing w:val="7"/>
              </w:rPr>
              <w:t>市、</w:t>
            </w:r>
            <w:r>
              <w:rPr>
                <w:rFonts w:ascii="SimSun" w:hAnsi="SimSun" w:eastAsia="SimSun" w:cs="SimSun"/>
                <w:sz w:val="20"/>
                <w:szCs w:val="20"/>
                <w:spacing w:val="-6"/>
              </w:rPr>
              <w:t xml:space="preserve"> </w:t>
            </w:r>
            <w:r>
              <w:rPr>
                <w:rFonts w:ascii="SimSun" w:hAnsi="SimSun" w:eastAsia="SimSun" w:cs="SimSun"/>
                <w:sz w:val="20"/>
                <w:szCs w:val="20"/>
                <w:spacing w:val="7"/>
              </w:rPr>
              <w:t>锡林郭勒盟实行最严格的林地保护制度，严格控</w:t>
            </w:r>
            <w:r>
              <w:rPr>
                <w:rFonts w:ascii="SimSun" w:hAnsi="SimSun" w:eastAsia="SimSun" w:cs="SimSun"/>
                <w:sz w:val="20"/>
                <w:szCs w:val="20"/>
                <w:spacing w:val="9"/>
              </w:rPr>
              <w:t>制新上能源资源型产业项目占用林地，严禁新上矿产</w:t>
            </w:r>
            <w:r>
              <w:rPr>
                <w:rFonts w:ascii="SimSun" w:hAnsi="SimSun" w:eastAsia="SimSun" w:cs="SimSun"/>
                <w:sz w:val="20"/>
                <w:szCs w:val="20"/>
                <w:spacing w:val="9"/>
              </w:rPr>
              <w:t>资源开发项目</w:t>
            </w:r>
            <w:r>
              <w:rPr>
                <w:rFonts w:ascii="SimSun" w:hAnsi="SimSun" w:eastAsia="SimSun" w:cs="SimSun"/>
                <w:sz w:val="20"/>
                <w:szCs w:val="20"/>
                <w:spacing w:val="-52"/>
              </w:rPr>
              <w:t xml:space="preserve"> </w:t>
            </w:r>
            <w:r>
              <w:rPr>
                <w:rFonts w:ascii="SimSun" w:hAnsi="SimSun" w:eastAsia="SimSun" w:cs="SimSun"/>
                <w:sz w:val="20"/>
                <w:szCs w:val="20"/>
                <w:spacing w:val="9"/>
              </w:rPr>
              <w:t>（保障国家和自治区能源战略安全项目</w:t>
            </w:r>
            <w:r>
              <w:rPr>
                <w:rFonts w:ascii="SimSun" w:hAnsi="SimSun" w:eastAsia="SimSun" w:cs="SimSun"/>
                <w:sz w:val="20"/>
                <w:szCs w:val="20"/>
                <w:spacing w:val="8"/>
              </w:rPr>
              <w:t>除外）</w:t>
            </w:r>
            <w:r>
              <w:rPr>
                <w:rFonts w:ascii="SimSun" w:hAnsi="SimSun" w:eastAsia="SimSun" w:cs="SimSun"/>
                <w:sz w:val="20"/>
                <w:szCs w:val="20"/>
                <w:spacing w:val="-47"/>
              </w:rPr>
              <w:t xml:space="preserve"> </w:t>
            </w:r>
            <w:r>
              <w:rPr>
                <w:rFonts w:ascii="SimSun" w:hAnsi="SimSun" w:eastAsia="SimSun" w:cs="SimSun"/>
                <w:sz w:val="20"/>
                <w:szCs w:val="20"/>
                <w:spacing w:val="8"/>
              </w:rPr>
              <w:t>占用林地，严格控制已批准在建运营</w:t>
            </w:r>
            <w:r>
              <w:rPr>
                <w:rFonts w:ascii="SimSun" w:hAnsi="SimSun" w:eastAsia="SimSun" w:cs="SimSun"/>
                <w:sz w:val="20"/>
                <w:szCs w:val="20"/>
                <w:spacing w:val="7"/>
              </w:rPr>
              <w:t>的矿山、</w:t>
            </w:r>
            <w:r>
              <w:rPr>
                <w:rFonts w:ascii="SimSun" w:hAnsi="SimSun" w:eastAsia="SimSun" w:cs="SimSun"/>
                <w:sz w:val="20"/>
                <w:szCs w:val="20"/>
                <w:spacing w:val="9"/>
              </w:rPr>
              <w:t>风电、光伏等各类项目新增占用林地。保障中部地区</w:t>
            </w:r>
            <w:r>
              <w:rPr>
                <w:rFonts w:ascii="SimSun" w:hAnsi="SimSun" w:eastAsia="SimSun" w:cs="SimSun"/>
                <w:sz w:val="20"/>
                <w:szCs w:val="20"/>
                <w:spacing w:val="9"/>
              </w:rPr>
              <w:t>呼和浩特市、包头市、乌兰察布市和鄂尔多斯市重点</w:t>
            </w:r>
            <w:r>
              <w:rPr>
                <w:rFonts w:ascii="SimSun" w:hAnsi="SimSun" w:eastAsia="SimSun" w:cs="SimSun"/>
                <w:sz w:val="20"/>
                <w:szCs w:val="20"/>
                <w:spacing w:val="9"/>
              </w:rPr>
              <w:t>能源建设和战略资源项目使用林地需求，严格控制各</w:t>
            </w:r>
            <w:r>
              <w:rPr>
                <w:rFonts w:ascii="SimSun" w:hAnsi="SimSun" w:eastAsia="SimSun" w:cs="SimSun"/>
                <w:sz w:val="20"/>
                <w:szCs w:val="20"/>
                <w:spacing w:val="9"/>
              </w:rPr>
              <w:t>类建设项目占用国家级公益林地、天然林。支持中部</w:t>
            </w:r>
            <w:r>
              <w:rPr>
                <w:rFonts w:ascii="SimSun" w:hAnsi="SimSun" w:eastAsia="SimSun" w:cs="SimSun"/>
                <w:sz w:val="20"/>
                <w:szCs w:val="20"/>
                <w:spacing w:val="8"/>
              </w:rPr>
              <w:t>地区和西部地区高效利用风光资源。</w:t>
            </w:r>
          </w:p>
          <w:p>
            <w:pPr>
              <w:ind w:left="114" w:right="143" w:firstLine="419"/>
              <w:spacing w:line="236" w:lineRule="auto"/>
              <w:rPr>
                <w:rFonts w:ascii="SimSun" w:hAnsi="SimSun" w:eastAsia="SimSun" w:cs="SimSun"/>
                <w:sz w:val="20"/>
                <w:szCs w:val="20"/>
              </w:rPr>
            </w:pPr>
            <w:r>
              <w:rPr>
                <w:rFonts w:ascii="SimSun" w:hAnsi="SimSun" w:eastAsia="SimSun" w:cs="SimSun"/>
                <w:sz w:val="20"/>
                <w:szCs w:val="20"/>
                <w:spacing w:val="9"/>
              </w:rPr>
              <w:t>全区各地新建风电场项目禁止占用天然林、乔木</w:t>
            </w:r>
            <w:r>
              <w:rPr>
                <w:rFonts w:ascii="SimSun" w:hAnsi="SimSun" w:eastAsia="SimSun" w:cs="SimSun"/>
                <w:sz w:val="20"/>
                <w:szCs w:val="20"/>
                <w:spacing w:val="9"/>
              </w:rPr>
              <w:t>林地，新建光伏电站项目阵列组件只能占用无林地。</w:t>
            </w:r>
          </w:p>
        </w:tc>
        <w:tc>
          <w:tcPr>
            <w:tcW w:w="2835" w:type="dxa"/>
            <w:vAlign w:val="top"/>
          </w:tcPr>
          <w:p>
            <w:pPr>
              <w:spacing w:line="295" w:lineRule="auto"/>
              <w:rPr>
                <w:rFonts w:ascii="Arial"/>
                <w:sz w:val="21"/>
              </w:rPr>
            </w:pPr>
            <w:r/>
          </w:p>
          <w:p>
            <w:pPr>
              <w:spacing w:line="296" w:lineRule="auto"/>
              <w:rPr>
                <w:rFonts w:ascii="Arial"/>
                <w:sz w:val="21"/>
              </w:rPr>
            </w:pPr>
            <w:r/>
          </w:p>
          <w:p>
            <w:pPr>
              <w:spacing w:line="296" w:lineRule="auto"/>
              <w:rPr>
                <w:rFonts w:ascii="Arial"/>
                <w:sz w:val="21"/>
              </w:rPr>
            </w:pPr>
            <w:r/>
          </w:p>
          <w:p>
            <w:pPr>
              <w:spacing w:line="296" w:lineRule="auto"/>
              <w:rPr>
                <w:rFonts w:ascii="Arial"/>
                <w:sz w:val="21"/>
              </w:rPr>
            </w:pPr>
            <w:r/>
          </w:p>
          <w:p>
            <w:pPr>
              <w:ind w:left="164"/>
              <w:spacing w:before="65" w:line="227" w:lineRule="auto"/>
              <w:rPr>
                <w:rFonts w:ascii="SimSun" w:hAnsi="SimSun" w:eastAsia="SimSun" w:cs="SimSun"/>
                <w:sz w:val="20"/>
                <w:szCs w:val="20"/>
              </w:rPr>
            </w:pPr>
            <w:r>
              <w:rPr>
                <w:rFonts w:ascii="SimSun" w:hAnsi="SimSun" w:eastAsia="SimSun" w:cs="SimSun"/>
                <w:sz w:val="20"/>
                <w:szCs w:val="20"/>
                <w:spacing w:val="9"/>
              </w:rPr>
              <w:t>本项目为改建项目，改建前</w:t>
            </w:r>
          </w:p>
          <w:p>
            <w:pPr>
              <w:ind w:left="165"/>
              <w:spacing w:before="24" w:line="228" w:lineRule="auto"/>
              <w:rPr>
                <w:rFonts w:ascii="SimSun" w:hAnsi="SimSun" w:eastAsia="SimSun" w:cs="SimSun"/>
                <w:sz w:val="20"/>
                <w:szCs w:val="20"/>
              </w:rPr>
            </w:pPr>
            <w:r>
              <w:rPr>
                <w:rFonts w:ascii="SimSun" w:hAnsi="SimSun" w:eastAsia="SimSun" w:cs="SimSun"/>
                <w:sz w:val="20"/>
                <w:szCs w:val="20"/>
                <w:spacing w:val="8"/>
              </w:rPr>
              <w:t>后不新增矿区范围，不涉及</w:t>
            </w:r>
          </w:p>
          <w:p>
            <w:pPr>
              <w:ind w:left="169"/>
              <w:spacing w:before="26" w:line="228" w:lineRule="auto"/>
              <w:rPr>
                <w:rFonts w:ascii="SimSun" w:hAnsi="SimSun" w:eastAsia="SimSun" w:cs="SimSun"/>
                <w:sz w:val="20"/>
                <w:szCs w:val="20"/>
              </w:rPr>
            </w:pPr>
            <w:r>
              <w:rPr>
                <w:rFonts w:ascii="SimSun" w:hAnsi="SimSun" w:eastAsia="SimSun" w:cs="SimSun"/>
                <w:sz w:val="20"/>
                <w:szCs w:val="20"/>
                <w:spacing w:val="8"/>
              </w:rPr>
              <w:t>管控要求中严格控制的用地</w:t>
            </w:r>
          </w:p>
          <w:p>
            <w:pPr>
              <w:ind w:left="1135"/>
              <w:spacing w:before="24" w:line="228" w:lineRule="auto"/>
              <w:rPr>
                <w:rFonts w:ascii="SimSun" w:hAnsi="SimSun" w:eastAsia="SimSun" w:cs="SimSun"/>
                <w:sz w:val="20"/>
                <w:szCs w:val="20"/>
              </w:rPr>
            </w:pPr>
            <w:r>
              <w:rPr>
                <w:rFonts w:ascii="SimSun" w:hAnsi="SimSun" w:eastAsia="SimSun" w:cs="SimSun"/>
                <w:sz w:val="20"/>
                <w:szCs w:val="20"/>
                <w:spacing w:val="-6"/>
              </w:rPr>
              <w:t>内容。</w:t>
            </w:r>
          </w:p>
        </w:tc>
        <w:tc>
          <w:tcPr>
            <w:tcW w:w="1372" w:type="dxa"/>
            <w:vAlign w:val="top"/>
          </w:tcPr>
          <w:p>
            <w:pPr>
              <w:spacing w:line="264" w:lineRule="auto"/>
              <w:rPr>
                <w:rFonts w:ascii="Arial"/>
                <w:sz w:val="21"/>
              </w:rPr>
            </w:pPr>
            <w:r/>
          </w:p>
          <w:p>
            <w:pPr>
              <w:spacing w:line="264"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spacing w:line="265" w:lineRule="auto"/>
              <w:rPr>
                <w:rFonts w:ascii="Arial"/>
                <w:sz w:val="21"/>
              </w:rPr>
            </w:pPr>
            <w:r/>
          </w:p>
          <w:p>
            <w:pPr>
              <w:ind w:left="482"/>
              <w:spacing w:before="65" w:line="228" w:lineRule="auto"/>
              <w:rPr>
                <w:rFonts w:ascii="SimSun" w:hAnsi="SimSun" w:eastAsia="SimSun" w:cs="SimSun"/>
                <w:sz w:val="20"/>
                <w:szCs w:val="20"/>
              </w:rPr>
            </w:pPr>
            <w:r>
              <w:rPr>
                <w:rFonts w:ascii="SimSun" w:hAnsi="SimSun" w:eastAsia="SimSun" w:cs="SimSun"/>
                <w:sz w:val="20"/>
                <w:szCs w:val="20"/>
                <w:spacing w:val="3"/>
              </w:rPr>
              <w:t>符合</w:t>
            </w:r>
          </w:p>
        </w:tc>
      </w:tr>
    </w:tbl>
    <w:p>
      <w:pPr>
        <w:pStyle w:val="BodyText"/>
        <w:spacing w:line="431" w:lineRule="auto"/>
        <w:rPr/>
      </w:pPr>
      <w:r/>
    </w:p>
    <w:p>
      <w:pPr>
        <w:ind w:left="730"/>
        <w:spacing w:before="97" w:line="221" w:lineRule="auto"/>
        <w:rPr>
          <w:rFonts w:ascii="SimHei" w:hAnsi="SimHei" w:eastAsia="SimHei" w:cs="SimHei"/>
          <w:sz w:val="30"/>
          <w:szCs w:val="30"/>
        </w:rPr>
      </w:pPr>
      <w:r>
        <w:rPr>
          <w:rFonts w:ascii="Times New Roman" w:hAnsi="Times New Roman" w:eastAsia="Times New Roman" w:cs="Times New Roman"/>
          <w:sz w:val="30"/>
          <w:szCs w:val="30"/>
          <w:b/>
          <w:bCs/>
          <w:spacing w:val="-4"/>
        </w:rPr>
        <w:t>10.10</w:t>
      </w:r>
      <w:r>
        <w:rPr>
          <w:rFonts w:ascii="Times New Roman" w:hAnsi="Times New Roman" w:eastAsia="Times New Roman" w:cs="Times New Roman"/>
          <w:sz w:val="30"/>
          <w:szCs w:val="30"/>
          <w:b/>
          <w:bCs/>
          <w:spacing w:val="39"/>
          <w:w w:val="101"/>
        </w:rPr>
        <w:t xml:space="preserve"> </w:t>
      </w:r>
      <w:r>
        <w:rPr>
          <w:rFonts w:ascii="SimHei" w:hAnsi="SimHei" w:eastAsia="SimHei" w:cs="SimHei"/>
          <w:sz w:val="30"/>
          <w:szCs w:val="30"/>
          <w:b/>
          <w:bCs/>
          <w:spacing w:val="-4"/>
        </w:rPr>
        <w:t>与《内蒙古自治区基本草原保护条例》的符合性</w:t>
      </w:r>
    </w:p>
    <w:p>
      <w:pPr>
        <w:ind w:left="119" w:right="8" w:firstLine="480"/>
        <w:spacing w:before="141" w:line="338" w:lineRule="auto"/>
        <w:jc w:val="both"/>
        <w:rPr>
          <w:rFonts w:ascii="SimSun" w:hAnsi="SimSun" w:eastAsia="SimSun" w:cs="SimSun"/>
          <w:sz w:val="24"/>
          <w:szCs w:val="24"/>
        </w:rPr>
      </w:pPr>
      <w:r>
        <w:rPr>
          <w:rFonts w:ascii="SimSun" w:hAnsi="SimSun" w:eastAsia="SimSun" w:cs="SimSun"/>
          <w:sz w:val="24"/>
          <w:szCs w:val="24"/>
          <w:spacing w:val="-5"/>
        </w:rPr>
        <w:t>《内蒙古自治区基本草原保护条例》中要求</w:t>
      </w:r>
      <w:r>
        <w:rPr>
          <w:rFonts w:ascii="SimSun" w:hAnsi="SimSun" w:eastAsia="SimSun" w:cs="SimSun"/>
          <w:sz w:val="24"/>
          <w:szCs w:val="24"/>
          <w:spacing w:val="-6"/>
        </w:rPr>
        <w:t>：禁止在基本草原上实施下列行为</w:t>
      </w:r>
      <w:r>
        <w:rPr>
          <w:rFonts w:ascii="SimSun" w:hAnsi="SimSun" w:eastAsia="SimSun" w:cs="SimSun"/>
          <w:sz w:val="24"/>
          <w:szCs w:val="24"/>
          <w:spacing w:val="-44"/>
          <w:w w:val="68"/>
        </w:rPr>
        <w:t>：（</w:t>
      </w:r>
      <w:r>
        <w:rPr>
          <w:rFonts w:ascii="SimSun" w:hAnsi="SimSun" w:eastAsia="SimSun" w:cs="SimSun"/>
          <w:sz w:val="24"/>
          <w:szCs w:val="24"/>
          <w:spacing w:val="-6"/>
        </w:rPr>
        <w:t>一）</w:t>
      </w:r>
      <w:r>
        <w:rPr>
          <w:rFonts w:ascii="SimSun" w:hAnsi="SimSun" w:eastAsia="SimSun" w:cs="SimSun"/>
          <w:sz w:val="24"/>
          <w:szCs w:val="24"/>
          <w:spacing w:val="1"/>
        </w:rPr>
        <w:t>开垦基本草原</w:t>
      </w:r>
      <w:r>
        <w:rPr>
          <w:rFonts w:ascii="SimSun" w:hAnsi="SimSun" w:eastAsia="SimSun" w:cs="SimSun"/>
          <w:sz w:val="24"/>
          <w:szCs w:val="24"/>
          <w:spacing w:val="-24"/>
        </w:rPr>
        <w:t>；（</w:t>
      </w:r>
      <w:r>
        <w:rPr>
          <w:rFonts w:ascii="SimSun" w:hAnsi="SimSun" w:eastAsia="SimSun" w:cs="SimSun"/>
          <w:sz w:val="24"/>
          <w:szCs w:val="24"/>
          <w:spacing w:val="1"/>
        </w:rPr>
        <w:t>二）擅自改变基本草原用途</w:t>
      </w:r>
      <w:r>
        <w:rPr>
          <w:rFonts w:ascii="SimSun" w:hAnsi="SimSun" w:eastAsia="SimSun" w:cs="SimSun"/>
          <w:sz w:val="24"/>
          <w:szCs w:val="24"/>
          <w:spacing w:val="-24"/>
        </w:rPr>
        <w:t>；（</w:t>
      </w:r>
      <w:r>
        <w:rPr>
          <w:rFonts w:ascii="SimSun" w:hAnsi="SimSun" w:eastAsia="SimSun" w:cs="SimSun"/>
          <w:sz w:val="24"/>
          <w:szCs w:val="24"/>
          <w:spacing w:val="1"/>
        </w:rPr>
        <w:t>三）毁坏围栏、人畜饮水设施等草原</w:t>
      </w:r>
      <w:r>
        <w:rPr>
          <w:rFonts w:ascii="SimSun" w:hAnsi="SimSun" w:eastAsia="SimSun" w:cs="SimSun"/>
          <w:sz w:val="24"/>
          <w:szCs w:val="24"/>
          <w:spacing w:val="3"/>
        </w:rPr>
        <w:t>建设保护设施</w:t>
      </w:r>
      <w:r>
        <w:rPr>
          <w:rFonts w:ascii="SimSun" w:hAnsi="SimSun" w:eastAsia="SimSun" w:cs="SimSun"/>
          <w:sz w:val="24"/>
          <w:szCs w:val="24"/>
          <w:spacing w:val="-22"/>
        </w:rPr>
        <w:t>；（</w:t>
      </w:r>
      <w:r>
        <w:rPr>
          <w:rFonts w:ascii="SimSun" w:hAnsi="SimSun" w:eastAsia="SimSun" w:cs="SimSun"/>
          <w:sz w:val="24"/>
          <w:szCs w:val="24"/>
          <w:spacing w:val="3"/>
        </w:rPr>
        <w:t>四）擅自钻井提取工业用水</w:t>
      </w:r>
      <w:r>
        <w:rPr>
          <w:rFonts w:ascii="SimSun" w:hAnsi="SimSun" w:eastAsia="SimSun" w:cs="SimSun"/>
          <w:sz w:val="24"/>
          <w:szCs w:val="24"/>
          <w:spacing w:val="43"/>
        </w:rPr>
        <w:t xml:space="preserve"> </w:t>
      </w:r>
      <w:r>
        <w:rPr>
          <w:rFonts w:ascii="SimSun" w:hAnsi="SimSun" w:eastAsia="SimSun" w:cs="SimSun"/>
          <w:sz w:val="24"/>
          <w:szCs w:val="24"/>
          <w:spacing w:val="-22"/>
        </w:rPr>
        <w:t>；（</w:t>
      </w:r>
      <w:r>
        <w:rPr>
          <w:rFonts w:ascii="SimSun" w:hAnsi="SimSun" w:eastAsia="SimSun" w:cs="SimSun"/>
          <w:sz w:val="24"/>
          <w:szCs w:val="24"/>
          <w:spacing w:val="3"/>
        </w:rPr>
        <w:t>五）挖鱼塘、挖沟渠、铲草皮、挖</w:t>
      </w:r>
      <w:r>
        <w:rPr>
          <w:rFonts w:ascii="SimSun" w:hAnsi="SimSun" w:eastAsia="SimSun" w:cs="SimSun"/>
          <w:sz w:val="24"/>
          <w:szCs w:val="24"/>
          <w:spacing w:val="1"/>
        </w:rPr>
        <w:t>草炭等破坏草原植被行为</w:t>
      </w:r>
      <w:r>
        <w:rPr>
          <w:rFonts w:ascii="SimSun" w:hAnsi="SimSun" w:eastAsia="SimSun" w:cs="SimSun"/>
          <w:sz w:val="24"/>
          <w:szCs w:val="24"/>
          <w:spacing w:val="-24"/>
        </w:rPr>
        <w:t>；（</w:t>
      </w:r>
      <w:r>
        <w:rPr>
          <w:rFonts w:ascii="SimSun" w:hAnsi="SimSun" w:eastAsia="SimSun" w:cs="SimSun"/>
          <w:sz w:val="24"/>
          <w:szCs w:val="24"/>
          <w:spacing w:val="1"/>
        </w:rPr>
        <w:t>六）建造坟墓</w:t>
      </w:r>
      <w:r>
        <w:rPr>
          <w:rFonts w:ascii="SimSun" w:hAnsi="SimSun" w:eastAsia="SimSun" w:cs="SimSun"/>
          <w:sz w:val="24"/>
          <w:szCs w:val="24"/>
          <w:spacing w:val="-24"/>
        </w:rPr>
        <w:t>；（</w:t>
      </w:r>
      <w:r>
        <w:rPr>
          <w:rFonts w:ascii="SimSun" w:hAnsi="SimSun" w:eastAsia="SimSun" w:cs="SimSun"/>
          <w:sz w:val="24"/>
          <w:szCs w:val="24"/>
          <w:spacing w:val="1"/>
        </w:rPr>
        <w:t>七）违反环境保护法律、法规倾倒排放</w:t>
      </w:r>
      <w:r>
        <w:rPr>
          <w:rFonts w:ascii="SimSun" w:hAnsi="SimSun" w:eastAsia="SimSun" w:cs="SimSun"/>
          <w:sz w:val="24"/>
          <w:szCs w:val="24"/>
          <w:spacing w:val="-2"/>
        </w:rPr>
        <w:t>固体、液体、气体废物和生活垃圾或者造成环境噪声污染、粉尘污染、放射性污染、电</w:t>
      </w:r>
      <w:r>
        <w:rPr>
          <w:rFonts w:ascii="SimSun" w:hAnsi="SimSun" w:eastAsia="SimSun" w:cs="SimSun"/>
          <w:sz w:val="24"/>
          <w:szCs w:val="24"/>
          <w:spacing w:val="2"/>
        </w:rPr>
        <w:t>磁波辐射污染</w:t>
      </w:r>
      <w:r>
        <w:rPr>
          <w:rFonts w:ascii="SimSun" w:hAnsi="SimSun" w:eastAsia="SimSun" w:cs="SimSun"/>
          <w:sz w:val="24"/>
          <w:szCs w:val="24"/>
          <w:spacing w:val="-8"/>
        </w:rPr>
        <w:t>；（</w:t>
      </w:r>
      <w:r>
        <w:rPr>
          <w:rFonts w:ascii="SimSun" w:hAnsi="SimSun" w:eastAsia="SimSun" w:cs="SimSun"/>
          <w:sz w:val="24"/>
          <w:szCs w:val="24"/>
          <w:spacing w:val="2"/>
        </w:rPr>
        <w:t>八）其他破坏基本草原的行为。第十八条 进行矿藏开采和工程建设</w:t>
      </w:r>
      <w:r>
        <w:rPr>
          <w:rFonts w:ascii="SimSun" w:hAnsi="SimSun" w:eastAsia="SimSun" w:cs="SimSun"/>
          <w:sz w:val="24"/>
          <w:szCs w:val="24"/>
          <w:spacing w:val="-2"/>
        </w:rPr>
        <w:t>确需征收、征用或者使用基本草原的，必须经自治区以上人民政府草原行政主管部门审</w:t>
      </w:r>
      <w:r>
        <w:rPr>
          <w:rFonts w:ascii="SimSun" w:hAnsi="SimSun" w:eastAsia="SimSun" w:cs="SimSun"/>
          <w:sz w:val="24"/>
          <w:szCs w:val="24"/>
          <w:spacing w:val="2"/>
        </w:rPr>
        <w:t>核同意后，依照有关土地管理的法律、行政法规办理</w:t>
      </w:r>
      <w:r>
        <w:rPr>
          <w:rFonts w:ascii="SimSun" w:hAnsi="SimSun" w:eastAsia="SimSun" w:cs="SimSun"/>
          <w:sz w:val="24"/>
          <w:szCs w:val="24"/>
          <w:spacing w:val="1"/>
        </w:rPr>
        <w:t>建设用地审批手续。第十九条 在</w:t>
      </w:r>
      <w:r>
        <w:rPr>
          <w:rFonts w:ascii="SimSun" w:hAnsi="SimSun" w:eastAsia="SimSun" w:cs="SimSun"/>
          <w:sz w:val="24"/>
          <w:szCs w:val="24"/>
          <w:spacing w:val="-2"/>
        </w:rPr>
        <w:t>基本草原上进行勘探、钻井、修筑地上地下工程、采土、采砂、采石、开采矿产资源等</w:t>
      </w:r>
      <w:r>
        <w:rPr>
          <w:rFonts w:ascii="SimSun" w:hAnsi="SimSun" w:eastAsia="SimSun" w:cs="SimSun"/>
          <w:sz w:val="24"/>
          <w:szCs w:val="24"/>
          <w:spacing w:val="-2"/>
        </w:rPr>
        <w:t>作业活动临时占用基本草原不足</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2"/>
        </w:rPr>
        <w:t>公顷的，由旗县级人民政府草原行政主管</w:t>
      </w:r>
      <w:r>
        <w:rPr>
          <w:rFonts w:ascii="SimSun" w:hAnsi="SimSun" w:eastAsia="SimSun" w:cs="SimSun"/>
          <w:sz w:val="24"/>
          <w:szCs w:val="24"/>
          <w:spacing w:val="-3"/>
        </w:rPr>
        <w:t>部门审核同</w:t>
      </w:r>
      <w:r>
        <w:rPr>
          <w:rFonts w:ascii="SimSun" w:hAnsi="SimSun" w:eastAsia="SimSun" w:cs="SimSun"/>
          <w:sz w:val="24"/>
          <w:szCs w:val="24"/>
          <w:spacing w:val="-4"/>
        </w:rPr>
        <w:t>意；</w:t>
      </w: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4"/>
        </w:rPr>
        <w:t>公顷以上不足</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30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公顷的，由盟行政公署、设区的市人民政府草原行</w:t>
      </w:r>
      <w:r>
        <w:rPr>
          <w:rFonts w:ascii="SimSun" w:hAnsi="SimSun" w:eastAsia="SimSun" w:cs="SimSun"/>
          <w:sz w:val="24"/>
          <w:szCs w:val="24"/>
          <w:spacing w:val="-5"/>
        </w:rPr>
        <w:t>政主管部门审</w:t>
      </w:r>
      <w:r>
        <w:rPr>
          <w:rFonts w:ascii="SimSun" w:hAnsi="SimSun" w:eastAsia="SimSun" w:cs="SimSun"/>
          <w:sz w:val="24"/>
          <w:szCs w:val="24"/>
          <w:spacing w:val="-3"/>
        </w:rPr>
        <w:t>核同意；</w:t>
      </w:r>
      <w:r>
        <w:rPr>
          <w:rFonts w:ascii="Times New Roman" w:hAnsi="Times New Roman" w:eastAsia="Times New Roman" w:cs="Times New Roman"/>
          <w:sz w:val="24"/>
          <w:szCs w:val="24"/>
          <w:spacing w:val="-3"/>
        </w:rPr>
        <w:t>30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3"/>
        </w:rPr>
        <w:t>公顷以上的，由自治区人民政府</w:t>
      </w:r>
      <w:r>
        <w:rPr>
          <w:rFonts w:ascii="SimSun" w:hAnsi="SimSun" w:eastAsia="SimSun" w:cs="SimSun"/>
          <w:sz w:val="24"/>
          <w:szCs w:val="24"/>
          <w:spacing w:val="-4"/>
        </w:rPr>
        <w:t>草原行政主管部门审核同意。临时占用基本</w:t>
      </w:r>
      <w:r>
        <w:rPr>
          <w:rFonts w:ascii="SimSun" w:hAnsi="SimSun" w:eastAsia="SimSun" w:cs="SimSun"/>
          <w:sz w:val="24"/>
          <w:szCs w:val="24"/>
          <w:spacing w:val="-5"/>
        </w:rPr>
        <w:t>草原的期限不得超过二年，并不得在临时占用</w:t>
      </w:r>
      <w:r>
        <w:rPr>
          <w:rFonts w:ascii="SimSun" w:hAnsi="SimSun" w:eastAsia="SimSun" w:cs="SimSun"/>
          <w:sz w:val="24"/>
          <w:szCs w:val="24"/>
          <w:spacing w:val="-6"/>
        </w:rPr>
        <w:t>的基本草原上修建永久性建筑物、构筑物。</w:t>
      </w:r>
    </w:p>
    <w:p>
      <w:pPr>
        <w:ind w:left="118" w:right="27" w:firstLine="481"/>
        <w:spacing w:before="6" w:line="331" w:lineRule="auto"/>
        <w:jc w:val="both"/>
        <w:rPr>
          <w:rFonts w:ascii="SimSun" w:hAnsi="SimSun" w:eastAsia="SimSun" w:cs="SimSun"/>
          <w:sz w:val="24"/>
          <w:szCs w:val="24"/>
        </w:rPr>
      </w:pPr>
      <w:r>
        <w:rPr>
          <w:rFonts w:ascii="SimSun" w:hAnsi="SimSun" w:eastAsia="SimSun" w:cs="SimSun"/>
          <w:sz w:val="24"/>
          <w:szCs w:val="24"/>
          <w:spacing w:val="4"/>
        </w:rPr>
        <w:t>本项目为露天开采境界范围的调整，将采矿证范围内原井工矿开采范围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3.0</w:t>
      </w:r>
      <w:r>
        <w:rPr>
          <w:rFonts w:ascii="Times New Roman" w:hAnsi="Times New Roman" w:eastAsia="Times New Roman" w:cs="Times New Roman"/>
          <w:sz w:val="24"/>
          <w:szCs w:val="24"/>
          <w:spacing w:val="3"/>
        </w:rPr>
        <w:t>79</w:t>
      </w:r>
      <w:r>
        <w:rPr>
          <w:rFonts w:ascii="Times New Roman" w:hAnsi="Times New Roman" w:eastAsia="Times New Roman" w:cs="Times New Roman"/>
          <w:sz w:val="24"/>
          <w:szCs w:val="24"/>
        </w:rPr>
        <w:t>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5"/>
        </w:rPr>
        <w:t>调整为露天开采，井工矿开采范围对应减少。本</w:t>
      </w:r>
      <w:r>
        <w:rPr>
          <w:rFonts w:ascii="SimSun" w:hAnsi="SimSun" w:eastAsia="SimSun" w:cs="SimSun"/>
          <w:sz w:val="24"/>
          <w:szCs w:val="24"/>
          <w:spacing w:val="-6"/>
        </w:rPr>
        <w:t>次调整开采范围位于采矿证开采范围内。</w:t>
      </w:r>
      <w:r>
        <w:rPr>
          <w:rFonts w:ascii="SimSun" w:hAnsi="SimSun" w:eastAsia="SimSun" w:cs="SimSun"/>
          <w:sz w:val="24"/>
          <w:szCs w:val="24"/>
          <w:spacing w:val="-2"/>
        </w:rPr>
        <w:t>根据西乌珠穆沁旗林业和草业局《关于内蒙古海州露天能源有限责任公司西乌珠穆沁旗</w:t>
      </w:r>
      <w:r>
        <w:rPr>
          <w:rFonts w:ascii="SimSun" w:hAnsi="SimSun" w:eastAsia="SimSun" w:cs="SimSun"/>
          <w:sz w:val="24"/>
          <w:szCs w:val="24"/>
          <w:spacing w:val="5"/>
        </w:rPr>
        <w:t>白音华煤田四号露天矿采矿许可证内及采矿许可证外一公里范围内是否涉及基本草原</w:t>
      </w:r>
      <w:r>
        <w:rPr>
          <w:rFonts w:ascii="SimSun" w:hAnsi="SimSun" w:eastAsia="SimSun" w:cs="SimSun"/>
          <w:sz w:val="24"/>
          <w:szCs w:val="24"/>
          <w:spacing w:val="-3"/>
        </w:rPr>
        <w:t>和公益林的复函》（见附件</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3"/>
        </w:rPr>
        <w:t>5</w:t>
      </w:r>
      <w:r>
        <w:rPr>
          <w:rFonts w:ascii="SimSun" w:hAnsi="SimSun" w:eastAsia="SimSun" w:cs="SimSun"/>
          <w:sz w:val="24"/>
          <w:szCs w:val="24"/>
          <w:spacing w:val="-3"/>
        </w:rPr>
        <w:t>）采矿许可证内总面积（平面</w:t>
      </w:r>
      <w:r>
        <w:rPr>
          <w:rFonts w:ascii="SimSun" w:hAnsi="SimSun" w:eastAsia="SimSun" w:cs="SimSun"/>
          <w:sz w:val="24"/>
          <w:szCs w:val="24"/>
          <w:spacing w:val="-4"/>
        </w:rPr>
        <w:t>面积）</w:t>
      </w:r>
      <w:r>
        <w:rPr>
          <w:rFonts w:ascii="Times New Roman" w:hAnsi="Times New Roman" w:eastAsia="Times New Roman" w:cs="Times New Roman"/>
          <w:sz w:val="24"/>
          <w:szCs w:val="24"/>
          <w:spacing w:val="-4"/>
        </w:rPr>
        <w:t>2504.7613</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4"/>
        </w:rPr>
        <w:t>公顷，不涉</w:t>
      </w:r>
      <w:r>
        <w:rPr>
          <w:rFonts w:ascii="SimSun" w:hAnsi="SimSun" w:eastAsia="SimSun" w:cs="SimSun"/>
          <w:sz w:val="24"/>
          <w:szCs w:val="24"/>
          <w:spacing w:val="-5"/>
        </w:rPr>
        <w:t>及公益林、基本草原。本项目建设符合《内蒙古</w:t>
      </w:r>
      <w:r>
        <w:rPr>
          <w:rFonts w:ascii="SimSun" w:hAnsi="SimSun" w:eastAsia="SimSun" w:cs="SimSun"/>
          <w:sz w:val="24"/>
          <w:szCs w:val="24"/>
          <w:spacing w:val="-6"/>
        </w:rPr>
        <w:t>自治区基本草原保护条例》的相应要求。</w:t>
      </w:r>
    </w:p>
    <w:p>
      <w:pPr>
        <w:ind w:left="123" w:right="120" w:firstLine="606"/>
        <w:spacing w:before="3" w:line="266" w:lineRule="auto"/>
        <w:rPr>
          <w:rFonts w:ascii="SimHei" w:hAnsi="SimHei" w:eastAsia="SimHei" w:cs="SimHei"/>
          <w:sz w:val="30"/>
          <w:szCs w:val="30"/>
        </w:rPr>
      </w:pPr>
      <w:r>
        <w:rPr>
          <w:rFonts w:ascii="Times New Roman" w:hAnsi="Times New Roman" w:eastAsia="Times New Roman" w:cs="Times New Roman"/>
          <w:sz w:val="30"/>
          <w:szCs w:val="30"/>
          <w:b/>
          <w:bCs/>
          <w:spacing w:val="-7"/>
        </w:rPr>
        <w:t>10.11</w:t>
      </w:r>
      <w:r>
        <w:rPr>
          <w:rFonts w:ascii="Times New Roman" w:hAnsi="Times New Roman" w:eastAsia="Times New Roman" w:cs="Times New Roman"/>
          <w:sz w:val="30"/>
          <w:szCs w:val="30"/>
          <w:b/>
          <w:bCs/>
          <w:spacing w:val="29"/>
        </w:rPr>
        <w:t xml:space="preserve"> </w:t>
      </w:r>
      <w:r>
        <w:rPr>
          <w:rFonts w:ascii="SimHei" w:hAnsi="SimHei" w:eastAsia="SimHei" w:cs="SimHei"/>
          <w:sz w:val="30"/>
          <w:szCs w:val="30"/>
          <w:b/>
          <w:bCs/>
          <w:spacing w:val="-7"/>
        </w:rPr>
        <w:t>与《内蒙古自治区人民政府办公厅关于矿产资源开发中加强</w:t>
      </w:r>
      <w:r>
        <w:rPr>
          <w:rFonts w:ascii="SimHei" w:hAnsi="SimHei" w:eastAsia="SimHei" w:cs="SimHei"/>
          <w:sz w:val="30"/>
          <w:szCs w:val="30"/>
          <w:b/>
          <w:bCs/>
          <w:spacing w:val="-2"/>
        </w:rPr>
        <w:t>草原生态保护的意见》（内政办发</w:t>
      </w:r>
      <w:r>
        <w:rPr>
          <w:rFonts w:ascii="Times New Roman" w:hAnsi="Times New Roman" w:eastAsia="Times New Roman" w:cs="Times New Roman"/>
          <w:sz w:val="30"/>
          <w:szCs w:val="30"/>
          <w:b/>
          <w:bCs/>
          <w:spacing w:val="-2"/>
        </w:rPr>
        <w:t>[2021]7 </w:t>
      </w:r>
      <w:r>
        <w:rPr>
          <w:rFonts w:ascii="SimHei" w:hAnsi="SimHei" w:eastAsia="SimHei" w:cs="SimHei"/>
          <w:sz w:val="30"/>
          <w:szCs w:val="30"/>
          <w:b/>
          <w:bCs/>
          <w:spacing w:val="-2"/>
        </w:rPr>
        <w:t>号）符合性</w:t>
      </w:r>
    </w:p>
    <w:p>
      <w:pPr>
        <w:spacing w:line="266" w:lineRule="auto"/>
        <w:sectPr>
          <w:footerReference w:type="default" r:id="rId573"/>
          <w:pgSz w:w="11906" w:h="16838"/>
          <w:pgMar w:top="1170" w:right="1304" w:bottom="725" w:left="1305" w:header="837" w:footer="562" w:gutter="0"/>
        </w:sectPr>
        <w:rPr>
          <w:rFonts w:ascii="SimHei" w:hAnsi="SimHei" w:eastAsia="SimHei" w:cs="SimHei"/>
          <w:sz w:val="30"/>
          <w:szCs w:val="30"/>
        </w:rPr>
      </w:pPr>
    </w:p>
    <w:p>
      <w:pPr>
        <w:pStyle w:val="BodyText"/>
        <w:spacing w:line="307" w:lineRule="auto"/>
        <w:rPr/>
      </w:pPr>
      <w:r/>
    </w:p>
    <w:p>
      <w:pPr>
        <w:ind w:left="8" w:right="85" w:firstLine="481"/>
        <w:spacing w:before="78" w:line="339" w:lineRule="auto"/>
        <w:jc w:val="both"/>
        <w:rPr>
          <w:rFonts w:ascii="SimSun" w:hAnsi="SimSun" w:eastAsia="SimSun" w:cs="SimSun"/>
          <w:sz w:val="24"/>
          <w:szCs w:val="24"/>
        </w:rPr>
      </w:pPr>
      <w:r>
        <w:rPr>
          <w:rFonts w:ascii="SimSun" w:hAnsi="SimSun" w:eastAsia="SimSun" w:cs="SimSun"/>
          <w:sz w:val="24"/>
          <w:szCs w:val="24"/>
          <w:spacing w:val="-2"/>
        </w:rPr>
        <w:t>《内蒙古自治区人民政府办公厅关于矿产资源开发中加强草原生态保护的意见》内</w:t>
      </w:r>
      <w:r>
        <w:rPr>
          <w:rFonts w:ascii="SimSun" w:hAnsi="SimSun" w:eastAsia="SimSun" w:cs="SimSun"/>
          <w:sz w:val="24"/>
          <w:szCs w:val="24"/>
          <w:spacing w:val="2"/>
        </w:rPr>
        <w:t>政办发</w:t>
      </w:r>
      <w:r>
        <w:rPr>
          <w:rFonts w:ascii="Times New Roman" w:hAnsi="Times New Roman" w:eastAsia="Times New Roman" w:cs="Times New Roman"/>
          <w:sz w:val="24"/>
          <w:szCs w:val="24"/>
          <w:spacing w:val="2"/>
        </w:rPr>
        <w:t>[2021]7</w:t>
      </w:r>
      <w:r>
        <w:rPr>
          <w:rFonts w:ascii="Times New Roman" w:hAnsi="Times New Roman" w:eastAsia="Times New Roman" w:cs="Times New Roman"/>
          <w:sz w:val="24"/>
          <w:szCs w:val="24"/>
          <w:spacing w:val="18"/>
          <w:w w:val="101"/>
        </w:rPr>
        <w:t xml:space="preserve"> </w:t>
      </w:r>
      <w:r>
        <w:rPr>
          <w:rFonts w:ascii="SimSun" w:hAnsi="SimSun" w:eastAsia="SimSun" w:cs="SimSun"/>
          <w:sz w:val="24"/>
          <w:szCs w:val="24"/>
          <w:spacing w:val="2"/>
        </w:rPr>
        <w:t>号）规定</w:t>
      </w:r>
      <w:r>
        <w:rPr>
          <w:rFonts w:ascii="SimSun" w:hAnsi="SimSun" w:eastAsia="SimSun" w:cs="SimSun"/>
          <w:sz w:val="24"/>
          <w:szCs w:val="24"/>
          <w:spacing w:val="-13"/>
        </w:rPr>
        <w:t>：（</w:t>
      </w:r>
      <w:r>
        <w:rPr>
          <w:rFonts w:ascii="SimSun" w:hAnsi="SimSun" w:eastAsia="SimSun" w:cs="SimSun"/>
          <w:sz w:val="24"/>
          <w:szCs w:val="24"/>
          <w:spacing w:val="2"/>
        </w:rPr>
        <w:t>一）严格控制草原上新建矿产资源开发项目。落实最严格</w:t>
      </w:r>
      <w:r>
        <w:rPr>
          <w:rFonts w:ascii="SimSun" w:hAnsi="SimSun" w:eastAsia="SimSun" w:cs="SimSun"/>
          <w:sz w:val="24"/>
          <w:szCs w:val="24"/>
          <w:spacing w:val="-2"/>
        </w:rPr>
        <w:t>的草原生态环境保护制度，在草原生态红线内严禁乱采滥挖、新上矿产资源开发项目，</w:t>
      </w:r>
      <w:r>
        <w:rPr>
          <w:rFonts w:ascii="SimSun" w:hAnsi="SimSun" w:eastAsia="SimSun" w:cs="SimSun"/>
          <w:sz w:val="24"/>
          <w:szCs w:val="24"/>
          <w:spacing w:val="-2"/>
        </w:rPr>
        <w:t>其他草原除经依法依规批准的保障国家能源战略安全项目外，不得新上矿产资源开发项</w:t>
      </w:r>
      <w:r>
        <w:rPr>
          <w:rFonts w:ascii="SimSun" w:hAnsi="SimSun" w:eastAsia="SimSun" w:cs="SimSun"/>
          <w:sz w:val="24"/>
          <w:szCs w:val="24"/>
          <w:spacing w:val="-2"/>
        </w:rPr>
        <w:t>目。（二）严格规范草原上已建矿产资源开发项目。对依法批准的草原上已建和在建矿</w:t>
      </w:r>
      <w:r>
        <w:rPr>
          <w:rFonts w:ascii="SimSun" w:hAnsi="SimSun" w:eastAsia="SimSun" w:cs="SimSun"/>
          <w:sz w:val="24"/>
          <w:szCs w:val="24"/>
          <w:spacing w:val="-2"/>
        </w:rPr>
        <w:t>产资源开发项目，要严格执行矿产资源开发和草原生态保护法律法规和政策，不得在依</w:t>
      </w:r>
      <w:r>
        <w:rPr>
          <w:rFonts w:ascii="SimSun" w:hAnsi="SimSun" w:eastAsia="SimSun" w:cs="SimSun"/>
          <w:sz w:val="24"/>
          <w:szCs w:val="24"/>
          <w:spacing w:val="-2"/>
        </w:rPr>
        <w:t>法确定的矿区范围外平面增扩面积，不得未经批准由井工开采变为露天开采，严格控制</w:t>
      </w:r>
      <w:r>
        <w:rPr>
          <w:rFonts w:ascii="SimSun" w:hAnsi="SimSun" w:eastAsia="SimSun" w:cs="SimSun"/>
          <w:sz w:val="24"/>
          <w:szCs w:val="24"/>
          <w:spacing w:val="-1"/>
        </w:rPr>
        <w:t>排渣场、排土场、煤矸石堆场、场区道路占用草原面积。</w:t>
      </w:r>
    </w:p>
    <w:p>
      <w:pPr>
        <w:ind w:left="5" w:right="85" w:firstLine="485"/>
        <w:spacing w:before="1" w:line="330" w:lineRule="auto"/>
        <w:jc w:val="both"/>
        <w:rPr>
          <w:rFonts w:ascii="SimSun" w:hAnsi="SimSun" w:eastAsia="SimSun" w:cs="SimSun"/>
          <w:sz w:val="24"/>
          <w:szCs w:val="24"/>
        </w:rPr>
      </w:pPr>
      <w:r>
        <w:rPr>
          <w:rFonts w:ascii="SimSun" w:hAnsi="SimSun" w:eastAsia="SimSun" w:cs="SimSun"/>
          <w:sz w:val="24"/>
          <w:szCs w:val="24"/>
          <w:spacing w:val="-2"/>
        </w:rPr>
        <w:t>本项目为改、扩建项目，不新增占地，露天区新增开采区在采矿证范围内，不涉及</w:t>
      </w:r>
      <w:r>
        <w:rPr>
          <w:rFonts w:ascii="SimSun" w:hAnsi="SimSun" w:eastAsia="SimSun" w:cs="SimSun"/>
          <w:sz w:val="24"/>
          <w:szCs w:val="24"/>
          <w:spacing w:val="-1"/>
        </w:rPr>
        <w:t>新增占地，且采矿证范围内不涉及基本草原，建</w:t>
      </w:r>
      <w:r>
        <w:rPr>
          <w:rFonts w:ascii="SimSun" w:hAnsi="SimSun" w:eastAsia="SimSun" w:cs="SimSun"/>
          <w:sz w:val="24"/>
          <w:szCs w:val="24"/>
          <w:spacing w:val="-2"/>
        </w:rPr>
        <w:t>设单位已制定矿山地质环境保护与土地</w:t>
      </w:r>
      <w:r>
        <w:rPr>
          <w:rFonts w:ascii="SimSun" w:hAnsi="SimSun" w:eastAsia="SimSun" w:cs="SimSun"/>
          <w:sz w:val="24"/>
          <w:szCs w:val="24"/>
          <w:spacing w:val="-1"/>
        </w:rPr>
        <w:t>复垦方案。本次优化调整开采范围已在西乌珠穆</w:t>
      </w:r>
      <w:r>
        <w:rPr>
          <w:rFonts w:ascii="SimSun" w:hAnsi="SimSun" w:eastAsia="SimSun" w:cs="SimSun"/>
          <w:sz w:val="24"/>
          <w:szCs w:val="24"/>
          <w:spacing w:val="-2"/>
        </w:rPr>
        <w:t>沁旗发展和改革委员会备案（项目代码</w:t>
      </w:r>
      <w:r>
        <w:rPr>
          <w:rFonts w:ascii="Times New Roman" w:hAnsi="Times New Roman" w:eastAsia="Times New Roman" w:cs="Times New Roman"/>
          <w:sz w:val="24"/>
          <w:szCs w:val="24"/>
        </w:rPr>
        <w:t>2503-152526-04-01-758973</w:t>
      </w:r>
      <w:r>
        <w:rPr>
          <w:rFonts w:ascii="SimSun" w:hAnsi="SimSun" w:eastAsia="SimSun" w:cs="SimSun"/>
          <w:sz w:val="24"/>
          <w:szCs w:val="24"/>
        </w:rPr>
        <w:t>）。本项目建设符合《内蒙古自治区人民政府办</w:t>
      </w:r>
      <w:r>
        <w:rPr>
          <w:rFonts w:ascii="SimSun" w:hAnsi="SimSun" w:eastAsia="SimSun" w:cs="SimSun"/>
          <w:sz w:val="24"/>
          <w:szCs w:val="24"/>
          <w:spacing w:val="-1"/>
        </w:rPr>
        <w:t>公厅关于矿</w:t>
      </w:r>
      <w:r>
        <w:rPr>
          <w:rFonts w:ascii="SimSun" w:hAnsi="SimSun" w:eastAsia="SimSun" w:cs="SimSun"/>
          <w:sz w:val="24"/>
          <w:szCs w:val="24"/>
          <w:spacing w:val="-1"/>
        </w:rPr>
        <w:t>产资源开发中加强草原生态保护的意见》的要求。</w:t>
      </w:r>
    </w:p>
    <w:p>
      <w:pPr>
        <w:ind w:left="14" w:right="87" w:firstLine="605"/>
        <w:spacing w:line="273" w:lineRule="auto"/>
        <w:rPr>
          <w:rFonts w:ascii="SimHei" w:hAnsi="SimHei" w:eastAsia="SimHei" w:cs="SimHei"/>
          <w:sz w:val="30"/>
          <w:szCs w:val="30"/>
        </w:rPr>
      </w:pPr>
      <w:r>
        <w:rPr>
          <w:rFonts w:ascii="Times New Roman" w:hAnsi="Times New Roman" w:eastAsia="Times New Roman" w:cs="Times New Roman"/>
          <w:sz w:val="30"/>
          <w:szCs w:val="30"/>
          <w:b/>
          <w:bCs/>
          <w:spacing w:val="-7"/>
        </w:rPr>
        <w:t>10.12</w:t>
      </w:r>
      <w:r>
        <w:rPr>
          <w:rFonts w:ascii="Times New Roman" w:hAnsi="Times New Roman" w:eastAsia="Times New Roman" w:cs="Times New Roman"/>
          <w:sz w:val="30"/>
          <w:szCs w:val="30"/>
          <w:b/>
          <w:bCs/>
          <w:spacing w:val="33"/>
          <w:w w:val="101"/>
        </w:rPr>
        <w:t xml:space="preserve"> </w:t>
      </w:r>
      <w:r>
        <w:rPr>
          <w:rFonts w:ascii="SimHei" w:hAnsi="SimHei" w:eastAsia="SimHei" w:cs="SimHei"/>
          <w:sz w:val="30"/>
          <w:szCs w:val="30"/>
          <w:b/>
          <w:bCs/>
          <w:spacing w:val="-7"/>
        </w:rPr>
        <w:t>与</w:t>
      </w:r>
      <w:r>
        <w:rPr>
          <w:rFonts w:ascii="SimSun" w:hAnsi="SimSun" w:eastAsia="SimSun" w:cs="SimSun"/>
          <w:sz w:val="30"/>
          <w:szCs w:val="30"/>
          <w:b/>
          <w:bCs/>
          <w:spacing w:val="-7"/>
        </w:rPr>
        <w:t>《关于实行征占用草原林地分区用途管控的通知》（内林</w:t>
      </w:r>
      <w:r>
        <w:rPr>
          <w:rFonts w:ascii="SimSun" w:hAnsi="SimSun" w:eastAsia="SimSun" w:cs="SimSun"/>
          <w:sz w:val="30"/>
          <w:szCs w:val="30"/>
          <w:b/>
          <w:bCs/>
          <w:spacing w:val="-2"/>
        </w:rPr>
        <w:t>草草</w:t>
      </w:r>
      <w:r>
        <w:rPr>
          <w:rFonts w:ascii="SimSun" w:hAnsi="SimSun" w:eastAsia="SimSun" w:cs="SimSun"/>
          <w:sz w:val="30"/>
          <w:szCs w:val="30"/>
          <w:spacing w:val="-2"/>
        </w:rPr>
        <w:t xml:space="preserve"> </w:t>
      </w:r>
      <w:r>
        <w:rPr>
          <w:rFonts w:ascii="SimSun" w:hAnsi="SimSun" w:eastAsia="SimSun" w:cs="SimSun"/>
          <w:sz w:val="30"/>
          <w:szCs w:val="30"/>
          <w:b/>
          <w:bCs/>
          <w:spacing w:val="-2"/>
        </w:rPr>
        <w:t>监发﹝</w:t>
      </w:r>
      <w:r>
        <w:rPr>
          <w:rFonts w:ascii="Times New Roman" w:hAnsi="Times New Roman" w:eastAsia="Times New Roman" w:cs="Times New Roman"/>
          <w:sz w:val="30"/>
          <w:szCs w:val="30"/>
          <w:b/>
          <w:bCs/>
          <w:spacing w:val="-2"/>
        </w:rPr>
        <w:t>2021</w:t>
      </w:r>
      <w:r>
        <w:rPr>
          <w:rFonts w:ascii="SimSun" w:hAnsi="SimSun" w:eastAsia="SimSun" w:cs="SimSun"/>
          <w:sz w:val="30"/>
          <w:szCs w:val="30"/>
          <w:b/>
          <w:bCs/>
          <w:spacing w:val="-2"/>
        </w:rPr>
        <w:t>﹞</w:t>
      </w:r>
      <w:r>
        <w:rPr>
          <w:rFonts w:ascii="Times New Roman" w:hAnsi="Times New Roman" w:eastAsia="Times New Roman" w:cs="Times New Roman"/>
          <w:sz w:val="30"/>
          <w:szCs w:val="30"/>
          <w:b/>
          <w:bCs/>
          <w:spacing w:val="-2"/>
        </w:rPr>
        <w:t>257  </w:t>
      </w:r>
      <w:r>
        <w:rPr>
          <w:rFonts w:ascii="SimSun" w:hAnsi="SimSun" w:eastAsia="SimSun" w:cs="SimSun"/>
          <w:sz w:val="30"/>
          <w:szCs w:val="30"/>
          <w:b/>
          <w:bCs/>
          <w:spacing w:val="-2"/>
        </w:rPr>
        <w:t>号）</w:t>
      </w:r>
      <w:r>
        <w:rPr>
          <w:rFonts w:ascii="SimHei" w:hAnsi="SimHei" w:eastAsia="SimHei" w:cs="SimHei"/>
          <w:sz w:val="30"/>
          <w:szCs w:val="30"/>
          <w:b/>
          <w:bCs/>
          <w:spacing w:val="-2"/>
        </w:rPr>
        <w:t>符合性分析</w:t>
      </w:r>
    </w:p>
    <w:p>
      <w:pPr>
        <w:ind w:left="9" w:firstLine="480"/>
        <w:spacing w:before="46" w:line="338" w:lineRule="auto"/>
        <w:rPr>
          <w:rFonts w:ascii="SimSun" w:hAnsi="SimSun" w:eastAsia="SimSun" w:cs="SimSun"/>
          <w:sz w:val="24"/>
          <w:szCs w:val="24"/>
        </w:rPr>
      </w:pPr>
      <w:r>
        <w:rPr>
          <w:rFonts w:ascii="SimSun" w:hAnsi="SimSun" w:eastAsia="SimSun" w:cs="SimSun"/>
          <w:sz w:val="24"/>
          <w:szCs w:val="24"/>
          <w:spacing w:val="-6"/>
        </w:rPr>
        <w:t>《关于实行征占用草原林地分区用途管控的通知》中提出，严格落实生态保护红线、</w:t>
      </w:r>
      <w:r>
        <w:rPr>
          <w:rFonts w:ascii="SimSun" w:hAnsi="SimSun" w:eastAsia="SimSun" w:cs="SimSun"/>
          <w:sz w:val="24"/>
          <w:szCs w:val="24"/>
        </w:rPr>
        <w:t>环境质量底线、资源利用上线和生态环境准入清单，积极引</w:t>
      </w:r>
      <w:r>
        <w:rPr>
          <w:rFonts w:ascii="SimSun" w:hAnsi="SimSun" w:eastAsia="SimSun" w:cs="SimSun"/>
          <w:sz w:val="24"/>
          <w:szCs w:val="24"/>
          <w:spacing w:val="-1"/>
        </w:rPr>
        <w:t>导各类建设项目集约节约</w:t>
      </w:r>
      <w:r>
        <w:rPr>
          <w:rFonts w:ascii="SimSun" w:hAnsi="SimSun" w:eastAsia="SimSun" w:cs="SimSun"/>
          <w:sz w:val="24"/>
          <w:szCs w:val="24"/>
        </w:rPr>
        <w:t xml:space="preserve"> </w:t>
      </w:r>
      <w:r>
        <w:rPr>
          <w:rFonts w:ascii="SimSun" w:hAnsi="SimSun" w:eastAsia="SimSun" w:cs="SimSun"/>
          <w:sz w:val="24"/>
          <w:szCs w:val="24"/>
        </w:rPr>
        <w:t>使用草原林地。重点保障基础设施、公共事业和民生工程建设项目使用草原林地需求，</w:t>
      </w:r>
      <w:r>
        <w:rPr>
          <w:rFonts w:ascii="SimSun" w:hAnsi="SimSun" w:eastAsia="SimSun" w:cs="SimSun"/>
          <w:sz w:val="24"/>
          <w:szCs w:val="24"/>
        </w:rPr>
        <w:t>严禁不符合主体功能定位的各类建设项目和高耗能、高</w:t>
      </w:r>
      <w:r>
        <w:rPr>
          <w:rFonts w:ascii="SimSun" w:hAnsi="SimSun" w:eastAsia="SimSun" w:cs="SimSun"/>
          <w:sz w:val="24"/>
          <w:szCs w:val="24"/>
          <w:spacing w:val="-1"/>
        </w:rPr>
        <w:t>排放项目占用草原林地。</w:t>
      </w:r>
    </w:p>
    <w:p>
      <w:pPr>
        <w:ind w:left="495"/>
        <w:spacing w:line="219" w:lineRule="auto"/>
        <w:rPr>
          <w:rFonts w:ascii="SimSun" w:hAnsi="SimSun" w:eastAsia="SimSun" w:cs="SimSun"/>
          <w:sz w:val="24"/>
          <w:szCs w:val="24"/>
        </w:rPr>
      </w:pPr>
      <w:r>
        <w:rPr>
          <w:rFonts w:ascii="SimSun" w:hAnsi="SimSun" w:eastAsia="SimSun" w:cs="SimSun"/>
          <w:sz w:val="24"/>
          <w:szCs w:val="24"/>
          <w:spacing w:val="-4"/>
        </w:rPr>
        <w:t>（一）草原“三区</w:t>
      </w:r>
      <w:r>
        <w:rPr>
          <w:rFonts w:ascii="SimSun" w:hAnsi="SimSun" w:eastAsia="SimSun" w:cs="SimSun"/>
          <w:sz w:val="24"/>
          <w:szCs w:val="24"/>
          <w:spacing w:val="-85"/>
        </w:rPr>
        <w:t xml:space="preserve"> </w:t>
      </w:r>
      <w:r>
        <w:rPr>
          <w:rFonts w:ascii="SimSun" w:hAnsi="SimSun" w:eastAsia="SimSun" w:cs="SimSun"/>
          <w:sz w:val="24"/>
          <w:szCs w:val="24"/>
          <w:spacing w:val="-4"/>
        </w:rPr>
        <w:t>”用途管控</w:t>
      </w:r>
    </w:p>
    <w:p>
      <w:pPr>
        <w:ind w:left="10" w:firstLine="497"/>
        <w:spacing w:before="155" w:line="30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4"/>
        </w:rPr>
        <w:t xml:space="preserve"> </w:t>
      </w:r>
      <w:r>
        <w:rPr>
          <w:rFonts w:ascii="SimSun" w:hAnsi="SimSun" w:eastAsia="SimSun" w:cs="SimSun"/>
          <w:sz w:val="24"/>
          <w:szCs w:val="24"/>
          <w:spacing w:val="-4"/>
        </w:rPr>
        <w:t>、生态保护红线内草原区。该区是我区草原生态系统的核心区，属禁止开发区域。</w:t>
      </w:r>
      <w:r>
        <w:rPr>
          <w:rFonts w:ascii="SimSun" w:hAnsi="SimSun" w:eastAsia="SimSun" w:cs="SimSun"/>
          <w:sz w:val="24"/>
          <w:szCs w:val="24"/>
          <w:spacing w:val="-2"/>
        </w:rPr>
        <w:t>该区域征占用管理严格按照中共中央办公厅、国务院办公厅《关于划定并严守生态保护</w:t>
      </w:r>
      <w:r>
        <w:rPr>
          <w:rFonts w:ascii="SimSun" w:hAnsi="SimSun" w:eastAsia="SimSun" w:cs="SimSun"/>
          <w:sz w:val="24"/>
          <w:szCs w:val="24"/>
          <w:spacing w:val="-2"/>
        </w:rPr>
        <w:t>红线的若干意见》和《关于在国土空间规划中统筹划定落实三条控制线的指导意见》的</w:t>
      </w:r>
      <w:r>
        <w:rPr>
          <w:rFonts w:ascii="SimSun" w:hAnsi="SimSun" w:eastAsia="SimSun" w:cs="SimSun"/>
          <w:sz w:val="24"/>
          <w:szCs w:val="24"/>
          <w:spacing w:val="-3"/>
        </w:rPr>
        <w:t>规定执行。</w:t>
      </w:r>
    </w:p>
    <w:p>
      <w:pPr>
        <w:ind w:left="9" w:right="72" w:firstLine="600"/>
        <w:spacing w:before="159" w:line="323"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2"/>
        </w:rPr>
        <w:t>、生态保护红线外的基本草原区。该区是我区草原</w:t>
      </w:r>
      <w:r>
        <w:rPr>
          <w:rFonts w:ascii="SimSun" w:hAnsi="SimSun" w:eastAsia="SimSun" w:cs="SimSun"/>
          <w:sz w:val="24"/>
          <w:szCs w:val="24"/>
          <w:spacing w:val="-3"/>
        </w:rPr>
        <w:t>生态系统的重要保护区，实行</w:t>
      </w:r>
      <w:r>
        <w:rPr>
          <w:rFonts w:ascii="SimSun" w:hAnsi="SimSun" w:eastAsia="SimSun" w:cs="SimSun"/>
          <w:sz w:val="24"/>
          <w:szCs w:val="24"/>
          <w:spacing w:val="-8"/>
        </w:rPr>
        <w:t>严格保护措施。符合该区准入草原规定的各类建设项目，严格按照国家林业和草原局《草</w:t>
      </w:r>
      <w:r>
        <w:rPr>
          <w:rFonts w:ascii="SimSun" w:hAnsi="SimSun" w:eastAsia="SimSun" w:cs="SimSun"/>
          <w:sz w:val="24"/>
          <w:szCs w:val="24"/>
          <w:spacing w:val="-1"/>
        </w:rPr>
        <w:t>原征占用审核审批管理规范》和《内蒙古自治区草原征占用审核审批</w:t>
      </w:r>
      <w:r>
        <w:rPr>
          <w:rFonts w:ascii="SimSun" w:hAnsi="SimSun" w:eastAsia="SimSun" w:cs="SimSun"/>
          <w:sz w:val="24"/>
          <w:szCs w:val="24"/>
          <w:spacing w:val="-2"/>
        </w:rPr>
        <w:t>管理规定》执行。</w:t>
      </w:r>
      <w:r>
        <w:rPr>
          <w:rFonts w:ascii="SimSun" w:hAnsi="SimSun" w:eastAsia="SimSun" w:cs="SimSun"/>
          <w:sz w:val="24"/>
          <w:szCs w:val="24"/>
          <w:spacing w:val="-5"/>
        </w:rPr>
        <w:t>同时，按照自治区主体功能 区规划和区域发展定位，将该区域划分为东西两个区域（具</w:t>
      </w:r>
      <w:r>
        <w:rPr>
          <w:rFonts w:ascii="SimSun" w:hAnsi="SimSun" w:eastAsia="SimSun" w:cs="SimSun"/>
          <w:sz w:val="24"/>
          <w:szCs w:val="24"/>
          <w:spacing w:val="-2"/>
        </w:rPr>
        <w:t>体范围见附件）实行差异化用途管控。东部区域严禁新上矿产资源开发项目，已批准在</w:t>
      </w:r>
      <w:r>
        <w:rPr>
          <w:rFonts w:ascii="SimSun" w:hAnsi="SimSun" w:eastAsia="SimSun" w:cs="SimSun"/>
          <w:sz w:val="24"/>
          <w:szCs w:val="24"/>
          <w:spacing w:val="-5"/>
        </w:rPr>
        <w:t>建运营的矿产资源开发项目不得平面增扩面</w:t>
      </w:r>
      <w:r>
        <w:rPr>
          <w:rFonts w:ascii="SimSun" w:hAnsi="SimSun" w:eastAsia="SimSun" w:cs="SimSun"/>
          <w:sz w:val="24"/>
          <w:szCs w:val="24"/>
          <w:spacing w:val="-6"/>
        </w:rPr>
        <w:t>积。新上风电、光伏项目以及配套电源送</w:t>
      </w:r>
      <w:r>
        <w:rPr>
          <w:rFonts w:ascii="SimSun" w:hAnsi="SimSun" w:eastAsia="SimSun" w:cs="SimSun"/>
          <w:sz w:val="24"/>
          <w:szCs w:val="24"/>
          <w:spacing w:val="30"/>
        </w:rPr>
        <w:t xml:space="preserve"> </w:t>
      </w:r>
      <w:r>
        <w:rPr>
          <w:rFonts w:ascii="SimSun" w:hAnsi="SimSun" w:eastAsia="SimSun" w:cs="SimSun"/>
          <w:sz w:val="24"/>
          <w:szCs w:val="24"/>
          <w:spacing w:val="-6"/>
        </w:rPr>
        <w:t>出</w:t>
      </w:r>
      <w:r>
        <w:rPr>
          <w:rFonts w:ascii="SimSun" w:hAnsi="SimSun" w:eastAsia="SimSun" w:cs="SimSun"/>
          <w:sz w:val="24"/>
          <w:szCs w:val="24"/>
          <w:spacing w:val="1"/>
        </w:rPr>
        <w:t>工程应尽可能避让该区域或利用原有外送通道。西部区 域严格控制新上矿产资源开发</w:t>
      </w:r>
      <w:r>
        <w:rPr>
          <w:rFonts w:ascii="SimSun" w:hAnsi="SimSun" w:eastAsia="SimSun" w:cs="SimSun"/>
          <w:sz w:val="24"/>
          <w:szCs w:val="24"/>
        </w:rPr>
        <w:t>项目，除保障国家能源战略安全的项目外，不</w:t>
      </w:r>
      <w:r>
        <w:rPr>
          <w:rFonts w:ascii="SimSun" w:hAnsi="SimSun" w:eastAsia="SimSun" w:cs="SimSun"/>
          <w:sz w:val="24"/>
          <w:szCs w:val="24"/>
          <w:spacing w:val="-1"/>
        </w:rPr>
        <w:t>得新设（增扩）矿业权。</w:t>
      </w:r>
    </w:p>
    <w:p>
      <w:pPr>
        <w:spacing w:line="323" w:lineRule="auto"/>
        <w:sectPr>
          <w:headerReference w:type="default" r:id="rId6"/>
          <w:footerReference w:type="default" r:id="rId574"/>
          <w:pgSz w:w="11906" w:h="16838"/>
          <w:pgMar w:top="1170" w:right="1332" w:bottom="725" w:left="1416" w:header="837" w:footer="562" w:gutter="0"/>
        </w:sectPr>
        <w:rPr>
          <w:rFonts w:ascii="SimSun" w:hAnsi="SimSun" w:eastAsia="SimSun" w:cs="SimSun"/>
          <w:sz w:val="24"/>
          <w:szCs w:val="24"/>
        </w:rPr>
      </w:pPr>
    </w:p>
    <w:p>
      <w:pPr>
        <w:pStyle w:val="BodyText"/>
        <w:spacing w:line="312" w:lineRule="auto"/>
        <w:rPr/>
      </w:pPr>
      <w:r/>
    </w:p>
    <w:p>
      <w:pPr>
        <w:ind w:left="495"/>
        <w:spacing w:before="78" w:line="219" w:lineRule="auto"/>
        <w:rPr>
          <w:rFonts w:ascii="SimSun" w:hAnsi="SimSun" w:eastAsia="SimSun" w:cs="SimSun"/>
          <w:sz w:val="24"/>
          <w:szCs w:val="24"/>
        </w:rPr>
      </w:pPr>
      <w:r>
        <w:rPr>
          <w:rFonts w:ascii="SimSun" w:hAnsi="SimSun" w:eastAsia="SimSun" w:cs="SimSun"/>
          <w:sz w:val="24"/>
          <w:szCs w:val="24"/>
          <w:spacing w:val="-2"/>
        </w:rPr>
        <w:t>（二）林地分区管控</w:t>
      </w:r>
    </w:p>
    <w:p>
      <w:pPr>
        <w:ind w:left="10" w:right="104" w:firstLine="478"/>
        <w:spacing w:before="157" w:line="338" w:lineRule="auto"/>
        <w:rPr>
          <w:rFonts w:ascii="SimSun" w:hAnsi="SimSun" w:eastAsia="SimSun" w:cs="SimSun"/>
          <w:sz w:val="24"/>
          <w:szCs w:val="24"/>
        </w:rPr>
      </w:pPr>
      <w:r>
        <w:rPr>
          <w:rFonts w:ascii="SimSun" w:hAnsi="SimSun" w:eastAsia="SimSun" w:cs="SimSun"/>
          <w:sz w:val="24"/>
          <w:szCs w:val="24"/>
          <w:spacing w:val="-2"/>
        </w:rPr>
        <w:t>对东部地区呼伦贝尔市、兴安盟、通辽市、赤峰市、锡林郭勒盟实行最严格的林地</w:t>
      </w:r>
      <w:r>
        <w:rPr>
          <w:rFonts w:ascii="SimSun" w:hAnsi="SimSun" w:eastAsia="SimSun" w:cs="SimSun"/>
          <w:sz w:val="24"/>
          <w:szCs w:val="24"/>
          <w:spacing w:val="-8"/>
        </w:rPr>
        <w:t>保护制度，严格控制新上能源资源型产业项目占用林地，严禁新上矿产资源开发项目（保</w:t>
      </w:r>
      <w:r>
        <w:rPr>
          <w:rFonts w:ascii="SimSun" w:hAnsi="SimSun" w:eastAsia="SimSun" w:cs="SimSun"/>
          <w:sz w:val="24"/>
          <w:szCs w:val="24"/>
          <w:spacing w:val="3"/>
        </w:rPr>
        <w:t>障国家和自治区能源战略安全项目除外</w:t>
      </w:r>
      <w:r>
        <w:rPr>
          <w:rFonts w:ascii="Times New Roman" w:hAnsi="Times New Roman" w:eastAsia="Times New Roman" w:cs="Times New Roman"/>
          <w:sz w:val="24"/>
          <w:szCs w:val="24"/>
          <w:spacing w:val="3"/>
        </w:rPr>
        <w:t>)</w:t>
      </w:r>
      <w:r>
        <w:rPr>
          <w:rFonts w:ascii="SimSun" w:hAnsi="SimSun" w:eastAsia="SimSun" w:cs="SimSun"/>
          <w:sz w:val="24"/>
          <w:szCs w:val="24"/>
          <w:spacing w:val="3"/>
        </w:rPr>
        <w:t>占用林地，严格控制已批准在建运营的矿山、</w:t>
      </w:r>
      <w:r>
        <w:rPr>
          <w:rFonts w:ascii="SimSun" w:hAnsi="SimSun" w:eastAsia="SimSun" w:cs="SimSun"/>
          <w:sz w:val="24"/>
          <w:szCs w:val="24"/>
          <w:spacing w:val="-2"/>
        </w:rPr>
        <w:t>风电、光伏等各类项目新增占用林地。保障中部地区呼和浩特市、包头市、乌兰察布市</w:t>
      </w:r>
      <w:r>
        <w:rPr>
          <w:rFonts w:ascii="SimSun" w:hAnsi="SimSun" w:eastAsia="SimSun" w:cs="SimSun"/>
          <w:sz w:val="24"/>
          <w:szCs w:val="24"/>
          <w:spacing w:val="-2"/>
        </w:rPr>
        <w:t>和鄂尔多斯市重点能源建设和战略资源项目使用林地需求，严格控制各类建设项目占用</w:t>
      </w:r>
      <w:r>
        <w:rPr>
          <w:rFonts w:ascii="SimSun" w:hAnsi="SimSun" w:eastAsia="SimSun" w:cs="SimSun"/>
          <w:sz w:val="24"/>
          <w:szCs w:val="24"/>
          <w:spacing w:val="-2"/>
        </w:rPr>
        <w:t>国家级公益林地、天然林。支持中部地区和西部地区高效利用风光资源。全区各地新建</w:t>
      </w:r>
      <w:r>
        <w:rPr>
          <w:rFonts w:ascii="SimSun" w:hAnsi="SimSun" w:eastAsia="SimSun" w:cs="SimSun"/>
          <w:sz w:val="24"/>
          <w:szCs w:val="24"/>
          <w:spacing w:val="-1"/>
        </w:rPr>
        <w:t>风电场项目禁止占用天然林、乔木林地，新建光伏电站项目阵列组</w:t>
      </w:r>
      <w:r>
        <w:rPr>
          <w:rFonts w:ascii="SimSun" w:hAnsi="SimSun" w:eastAsia="SimSun" w:cs="SimSun"/>
          <w:sz w:val="24"/>
          <w:szCs w:val="24"/>
          <w:spacing w:val="-2"/>
        </w:rPr>
        <w:t>件只能占用无林地。</w:t>
      </w:r>
    </w:p>
    <w:p>
      <w:pPr>
        <w:ind w:left="8" w:right="118" w:firstLine="481"/>
        <w:spacing w:before="3" w:line="325" w:lineRule="auto"/>
        <w:rPr>
          <w:rFonts w:ascii="SimSun" w:hAnsi="SimSun" w:eastAsia="SimSun" w:cs="SimSun"/>
          <w:sz w:val="24"/>
          <w:szCs w:val="24"/>
        </w:rPr>
      </w:pPr>
      <w:r>
        <w:rPr>
          <w:rFonts w:ascii="SimSun" w:hAnsi="SimSun" w:eastAsia="SimSun" w:cs="SimSun"/>
          <w:sz w:val="24"/>
          <w:szCs w:val="24"/>
          <w:spacing w:val="-2"/>
        </w:rPr>
        <w:t>本项目优化调整开采范围不涉及生态保护红线区域、不涉及基本草原，优化调整开</w:t>
      </w:r>
      <w:r>
        <w:rPr>
          <w:rFonts w:ascii="SimSun" w:hAnsi="SimSun" w:eastAsia="SimSun" w:cs="SimSun"/>
          <w:sz w:val="24"/>
          <w:szCs w:val="24"/>
          <w:spacing w:val="-2"/>
        </w:rPr>
        <w:t>采范围区域在现有采矿证范围内，不涉及新增占地，本项目建设符合《关于实行征占用</w:t>
      </w:r>
      <w:r>
        <w:rPr>
          <w:rFonts w:ascii="SimSun" w:hAnsi="SimSun" w:eastAsia="SimSun" w:cs="SimSun"/>
          <w:sz w:val="24"/>
          <w:szCs w:val="24"/>
          <w:spacing w:val="-1"/>
        </w:rPr>
        <w:t>草原林地分区用途管控的通知》要求。</w:t>
      </w:r>
    </w:p>
    <w:p>
      <w:pPr>
        <w:ind w:left="10" w:firstLine="609"/>
        <w:spacing w:line="270" w:lineRule="auto"/>
        <w:jc w:val="both"/>
        <w:rPr>
          <w:rFonts w:ascii="SimHei" w:hAnsi="SimHei" w:eastAsia="SimHei" w:cs="SimHei"/>
          <w:sz w:val="30"/>
          <w:szCs w:val="30"/>
        </w:rPr>
      </w:pPr>
      <w:r>
        <w:rPr>
          <w:rFonts w:ascii="Times New Roman" w:hAnsi="Times New Roman" w:eastAsia="Times New Roman" w:cs="Times New Roman"/>
          <w:sz w:val="30"/>
          <w:szCs w:val="30"/>
          <w:b/>
          <w:bCs/>
          <w:spacing w:val="-7"/>
        </w:rPr>
        <w:t>10.13</w:t>
      </w:r>
      <w:r>
        <w:rPr>
          <w:rFonts w:ascii="Times New Roman" w:hAnsi="Times New Roman" w:eastAsia="Times New Roman" w:cs="Times New Roman"/>
          <w:sz w:val="30"/>
          <w:szCs w:val="30"/>
          <w:b/>
          <w:bCs/>
          <w:spacing w:val="29"/>
        </w:rPr>
        <w:t xml:space="preserve"> </w:t>
      </w:r>
      <w:r>
        <w:rPr>
          <w:rFonts w:ascii="SimHei" w:hAnsi="SimHei" w:eastAsia="SimHei" w:cs="SimHei"/>
          <w:sz w:val="30"/>
          <w:szCs w:val="30"/>
          <w:b/>
          <w:bCs/>
          <w:spacing w:val="-7"/>
        </w:rPr>
        <w:t>与《内蒙古自治区人民政府办公厅发布的关于矿产资源开发</w:t>
      </w:r>
      <w:r>
        <w:rPr>
          <w:rFonts w:ascii="SimHei" w:hAnsi="SimHei" w:eastAsia="SimHei" w:cs="SimHei"/>
          <w:sz w:val="30"/>
          <w:szCs w:val="30"/>
          <w:b/>
          <w:bCs/>
          <w:spacing w:val="-6"/>
        </w:rPr>
        <w:t>项目征占用草原等手续办理有关问题的通知》（内政办发</w:t>
      </w:r>
      <w:r>
        <w:rPr>
          <w:rFonts w:ascii="Times New Roman" w:hAnsi="Times New Roman" w:eastAsia="Times New Roman" w:cs="Times New Roman"/>
          <w:sz w:val="30"/>
          <w:szCs w:val="30"/>
          <w:b/>
          <w:bCs/>
          <w:spacing w:val="-6"/>
        </w:rPr>
        <w:t>[2024]33</w:t>
      </w:r>
      <w:r>
        <w:rPr>
          <w:rFonts w:ascii="Times New Roman" w:hAnsi="Times New Roman" w:eastAsia="Times New Roman" w:cs="Times New Roman"/>
          <w:sz w:val="30"/>
          <w:szCs w:val="30"/>
          <w:b/>
          <w:bCs/>
          <w:spacing w:val="28"/>
          <w:w w:val="101"/>
        </w:rPr>
        <w:t xml:space="preserve"> </w:t>
      </w:r>
      <w:r>
        <w:rPr>
          <w:rFonts w:ascii="SimHei" w:hAnsi="SimHei" w:eastAsia="SimHei" w:cs="SimHei"/>
          <w:sz w:val="30"/>
          <w:szCs w:val="30"/>
          <w:b/>
          <w:bCs/>
          <w:spacing w:val="-6"/>
        </w:rPr>
        <w:t>号）</w:t>
      </w:r>
      <w:r>
        <w:rPr>
          <w:rFonts w:ascii="SimHei" w:hAnsi="SimHei" w:eastAsia="SimHei" w:cs="SimHei"/>
          <w:sz w:val="30"/>
          <w:szCs w:val="30"/>
          <w:b/>
          <w:bCs/>
          <w:spacing w:val="-5"/>
        </w:rPr>
        <w:t>符合性分析</w:t>
      </w:r>
    </w:p>
    <w:p>
      <w:pPr>
        <w:ind w:left="8" w:right="32" w:firstLine="481"/>
        <w:spacing w:before="60" w:line="338" w:lineRule="auto"/>
        <w:rPr>
          <w:rFonts w:ascii="SimSun" w:hAnsi="SimSun" w:eastAsia="SimSun" w:cs="SimSun"/>
          <w:sz w:val="24"/>
          <w:szCs w:val="24"/>
        </w:rPr>
      </w:pPr>
      <w:r>
        <w:rPr>
          <w:rFonts w:ascii="SimSun" w:hAnsi="SimSun" w:eastAsia="SimSun" w:cs="SimSun"/>
          <w:sz w:val="24"/>
          <w:szCs w:val="24"/>
          <w:spacing w:val="5"/>
        </w:rPr>
        <w:t>《内蒙古自治区人民政府办公厅发布的关于矿产资源开发项目征占用草原等手续</w:t>
      </w:r>
      <w:r>
        <w:rPr>
          <w:rFonts w:ascii="SimSun" w:hAnsi="SimSun" w:eastAsia="SimSun" w:cs="SimSun"/>
          <w:sz w:val="24"/>
          <w:szCs w:val="24"/>
          <w:spacing w:val="2"/>
        </w:rPr>
        <w:t>办理有关问题的通知》（内政办发</w:t>
      </w:r>
      <w:r>
        <w:rPr>
          <w:rFonts w:ascii="Times New Roman" w:hAnsi="Times New Roman" w:eastAsia="Times New Roman" w:cs="Times New Roman"/>
          <w:sz w:val="24"/>
          <w:szCs w:val="24"/>
          <w:spacing w:val="2"/>
        </w:rPr>
        <w:t>[2024]33 </w:t>
      </w:r>
      <w:r>
        <w:rPr>
          <w:rFonts w:ascii="SimSun" w:hAnsi="SimSun" w:eastAsia="SimSun" w:cs="SimSun"/>
          <w:sz w:val="24"/>
          <w:szCs w:val="24"/>
          <w:spacing w:val="2"/>
        </w:rPr>
        <w:t>号）提出：</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43"/>
        </w:rPr>
        <w:t xml:space="preserve"> </w:t>
      </w:r>
      <w:r>
        <w:rPr>
          <w:rFonts w:ascii="SimSun" w:hAnsi="SimSun" w:eastAsia="SimSun" w:cs="SimSun"/>
          <w:sz w:val="24"/>
          <w:szCs w:val="24"/>
          <w:spacing w:val="2"/>
        </w:rPr>
        <w:t>一</w:t>
      </w:r>
      <w:r>
        <w:rPr>
          <w:rFonts w:ascii="SimSun" w:hAnsi="SimSun" w:eastAsia="SimSun" w:cs="SimSun"/>
          <w:sz w:val="24"/>
          <w:szCs w:val="24"/>
          <w:spacing w:val="1"/>
        </w:rPr>
        <w:t>、根据《内蒙古自治区人民</w:t>
      </w:r>
      <w:r>
        <w:rPr>
          <w:rFonts w:ascii="SimSun" w:hAnsi="SimSun" w:eastAsia="SimSun" w:cs="SimSun"/>
          <w:sz w:val="24"/>
          <w:szCs w:val="24"/>
          <w:spacing w:val="-1"/>
        </w:rPr>
        <w:t>政府办公厅关于矿产资源开发中加强草原生态保护的意见》（内政办发（</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7</w:t>
      </w:r>
      <w:r>
        <w:rPr>
          <w:rFonts w:ascii="Times New Roman" w:hAnsi="Times New Roman" w:eastAsia="Times New Roman" w:cs="Times New Roman"/>
          <w:sz w:val="24"/>
          <w:szCs w:val="24"/>
          <w:spacing w:val="26"/>
          <w:w w:val="101"/>
        </w:rPr>
        <w:t xml:space="preserve"> </w:t>
      </w:r>
      <w:r>
        <w:rPr>
          <w:rFonts w:ascii="SimSun" w:hAnsi="SimSun" w:eastAsia="SimSun" w:cs="SimSun"/>
          <w:sz w:val="24"/>
          <w:szCs w:val="24"/>
          <w:spacing w:val="-1"/>
        </w:rPr>
        <w:t>号）</w:t>
      </w:r>
      <w:r>
        <w:rPr>
          <w:rFonts w:ascii="SimSun" w:hAnsi="SimSun" w:eastAsia="SimSun" w:cs="SimSun"/>
          <w:sz w:val="24"/>
          <w:szCs w:val="24"/>
          <w:spacing w:val="-2"/>
        </w:rPr>
        <w:t>和自治区林草局、发展改革委、自然资源厅、工业和信息化厅、能源局《关于实行征占</w:t>
      </w:r>
      <w:r>
        <w:rPr>
          <w:rFonts w:ascii="SimSun" w:hAnsi="SimSun" w:eastAsia="SimSun" w:cs="SimSun"/>
          <w:sz w:val="24"/>
          <w:szCs w:val="24"/>
        </w:rPr>
        <w:t>用草原林地分区用途管控的通知》（内林草草监发（</w:t>
      </w:r>
      <w:r>
        <w:rPr>
          <w:rFonts w:ascii="Times New Roman" w:hAnsi="Times New Roman" w:eastAsia="Times New Roman" w:cs="Times New Roman"/>
          <w:sz w:val="24"/>
          <w:szCs w:val="24"/>
        </w:rPr>
        <w:t>2021</w:t>
      </w:r>
      <w:r>
        <w:rPr>
          <w:rFonts w:ascii="SimSun" w:hAnsi="SimSun" w:eastAsia="SimSun" w:cs="SimSun"/>
          <w:sz w:val="24"/>
          <w:szCs w:val="24"/>
        </w:rPr>
        <w:t>）</w:t>
      </w:r>
      <w:r>
        <w:rPr>
          <w:rFonts w:ascii="Times New Roman" w:hAnsi="Times New Roman" w:eastAsia="Times New Roman" w:cs="Times New Roman"/>
          <w:sz w:val="24"/>
          <w:szCs w:val="24"/>
          <w:spacing w:val="-1"/>
        </w:rPr>
        <w:t>257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1"/>
        </w:rPr>
        <w:t>号）等文件规定，“新</w:t>
      </w:r>
      <w:r>
        <w:rPr>
          <w:rFonts w:ascii="SimSun" w:hAnsi="SimSun" w:eastAsia="SimSun" w:cs="SimSun"/>
          <w:sz w:val="24"/>
          <w:szCs w:val="24"/>
          <w:spacing w:val="-6"/>
        </w:rPr>
        <w:t>开露天矿山</w:t>
      </w:r>
      <w:r>
        <w:rPr>
          <w:rFonts w:ascii="SimSun" w:hAnsi="SimSun" w:eastAsia="SimSun" w:cs="SimSun"/>
          <w:sz w:val="24"/>
          <w:szCs w:val="24"/>
          <w:spacing w:val="-79"/>
        </w:rPr>
        <w:t xml:space="preserve"> </w:t>
      </w:r>
      <w:r>
        <w:rPr>
          <w:rFonts w:ascii="SimSun" w:hAnsi="SimSun" w:eastAsia="SimSun" w:cs="SimSun"/>
          <w:sz w:val="24"/>
          <w:szCs w:val="24"/>
          <w:spacing w:val="-6"/>
        </w:rPr>
        <w:t>”是指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6"/>
        </w:rPr>
        <w:t>2021 </w:t>
      </w:r>
      <w:r>
        <w:rPr>
          <w:rFonts w:ascii="SimSun" w:hAnsi="SimSun" w:eastAsia="SimSun" w:cs="SimSun"/>
          <w:sz w:val="24"/>
          <w:szCs w:val="24"/>
          <w:spacing w:val="-6"/>
        </w:rPr>
        <w:t>年</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6"/>
        </w:rPr>
        <w:t>月</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6"/>
        </w:rPr>
        <w:t>6  </w:t>
      </w:r>
      <w:r>
        <w:rPr>
          <w:rFonts w:ascii="SimSun" w:hAnsi="SimSun" w:eastAsia="SimSun" w:cs="SimSun"/>
          <w:sz w:val="24"/>
          <w:szCs w:val="24"/>
          <w:spacing w:val="-6"/>
        </w:rPr>
        <w:t>日内政办发（</w:t>
      </w:r>
      <w:r>
        <w:rPr>
          <w:rFonts w:ascii="Times New Roman" w:hAnsi="Times New Roman" w:eastAsia="Times New Roman" w:cs="Times New Roman"/>
          <w:sz w:val="24"/>
          <w:szCs w:val="24"/>
          <w:spacing w:val="-6"/>
        </w:rPr>
        <w:t>2021</w:t>
      </w:r>
      <w:r>
        <w:rPr>
          <w:rFonts w:ascii="SimSun" w:hAnsi="SimSun" w:eastAsia="SimSun" w:cs="SimSun"/>
          <w:sz w:val="24"/>
          <w:szCs w:val="24"/>
          <w:spacing w:val="-6"/>
        </w:rPr>
        <w:t>）</w:t>
      </w:r>
      <w:r>
        <w:rPr>
          <w:rFonts w:ascii="Times New Roman" w:hAnsi="Times New Roman" w:eastAsia="Times New Roman" w:cs="Times New Roman"/>
          <w:sz w:val="24"/>
          <w:szCs w:val="24"/>
          <w:spacing w:val="-6"/>
        </w:rPr>
        <w:t>7</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6"/>
        </w:rPr>
        <w:t>号文件印发之后新出让的采取露</w:t>
      </w:r>
      <w:r>
        <w:rPr>
          <w:rFonts w:ascii="SimSun" w:hAnsi="SimSun" w:eastAsia="SimSun" w:cs="SimSun"/>
          <w:sz w:val="24"/>
          <w:szCs w:val="24"/>
          <w:spacing w:val="1"/>
        </w:rPr>
        <w:t>天方式开采的矿业权项目；内政办发（</w:t>
      </w:r>
      <w:r>
        <w:rPr>
          <w:rFonts w:ascii="Times New Roman" w:hAnsi="Times New Roman" w:eastAsia="Times New Roman" w:cs="Times New Roman"/>
          <w:sz w:val="24"/>
          <w:szCs w:val="24"/>
          <w:spacing w:val="1"/>
        </w:rPr>
        <w:t>2021</w:t>
      </w:r>
      <w:r>
        <w:rPr>
          <w:rFonts w:ascii="SimSun" w:hAnsi="SimSun" w:eastAsia="SimSun" w:cs="SimSun"/>
          <w:sz w:val="24"/>
          <w:szCs w:val="24"/>
          <w:spacing w:val="1"/>
        </w:rPr>
        <w:t>）</w:t>
      </w:r>
      <w:r>
        <w:rPr>
          <w:rFonts w:ascii="Times New Roman" w:hAnsi="Times New Roman" w:eastAsia="Times New Roman" w:cs="Times New Roman"/>
          <w:sz w:val="24"/>
          <w:szCs w:val="24"/>
          <w:spacing w:val="1"/>
        </w:rPr>
        <w:t>7 </w:t>
      </w:r>
      <w:r>
        <w:rPr>
          <w:rFonts w:ascii="SimSun" w:hAnsi="SimSun" w:eastAsia="SimSun" w:cs="SimSun"/>
          <w:sz w:val="24"/>
          <w:szCs w:val="24"/>
          <w:spacing w:val="1"/>
        </w:rPr>
        <w:t>号文</w:t>
      </w:r>
      <w:r>
        <w:rPr>
          <w:rFonts w:ascii="SimSun" w:hAnsi="SimSun" w:eastAsia="SimSun" w:cs="SimSun"/>
          <w:sz w:val="24"/>
          <w:szCs w:val="24"/>
        </w:rPr>
        <w:t>件出台之前已经依法取得探矿权、</w:t>
      </w:r>
      <w:r>
        <w:rPr>
          <w:rFonts w:ascii="SimSun" w:hAnsi="SimSun" w:eastAsia="SimSun" w:cs="SimSun"/>
          <w:sz w:val="24"/>
          <w:szCs w:val="24"/>
          <w:spacing w:val="-2"/>
        </w:rPr>
        <w:t>探矿权转采矿权、采矿权，或者已经完成市场出让、矿业权出让收益缴纳的矿产资源勘</w:t>
      </w:r>
      <w:r>
        <w:rPr>
          <w:rFonts w:ascii="SimSun" w:hAnsi="SimSun" w:eastAsia="SimSun" w:cs="SimSun"/>
          <w:sz w:val="24"/>
          <w:szCs w:val="24"/>
          <w:spacing w:val="-2"/>
        </w:rPr>
        <w:t>查开发项目，不认定为新开矿山；“草原生态红线内</w:t>
      </w:r>
      <w:r>
        <w:rPr>
          <w:rFonts w:ascii="SimSun" w:hAnsi="SimSun" w:eastAsia="SimSun" w:cs="SimSun"/>
          <w:sz w:val="24"/>
          <w:szCs w:val="24"/>
          <w:spacing w:val="-88"/>
        </w:rPr>
        <w:t xml:space="preserve"> </w:t>
      </w:r>
      <w:r>
        <w:rPr>
          <w:rFonts w:ascii="SimSun" w:hAnsi="SimSun" w:eastAsia="SimSun" w:cs="SimSun"/>
          <w:sz w:val="24"/>
          <w:szCs w:val="24"/>
          <w:spacing w:val="-2"/>
        </w:rPr>
        <w:t>”</w:t>
      </w:r>
      <w:r>
        <w:rPr>
          <w:rFonts w:ascii="SimSun" w:hAnsi="SimSun" w:eastAsia="SimSun" w:cs="SimSun"/>
          <w:sz w:val="24"/>
          <w:szCs w:val="24"/>
          <w:spacing w:val="-3"/>
        </w:rPr>
        <w:t>是指生态保护红线内的草原和生</w:t>
      </w:r>
      <w:r>
        <w:rPr>
          <w:rFonts w:ascii="SimSun" w:hAnsi="SimSun" w:eastAsia="SimSun" w:cs="SimSun"/>
          <w:sz w:val="24"/>
          <w:szCs w:val="24"/>
          <w:spacing w:val="-5"/>
        </w:rPr>
        <w:t>态保护红线外的基本草原，除此之外的草原属于</w:t>
      </w:r>
      <w:r>
        <w:rPr>
          <w:rFonts w:ascii="SimSun" w:hAnsi="SimSun" w:eastAsia="SimSun" w:cs="SimSun"/>
          <w:sz w:val="24"/>
          <w:szCs w:val="24"/>
          <w:spacing w:val="-6"/>
        </w:rPr>
        <w:t>一般草原，实行草原分区用途管控制度。</w:t>
      </w:r>
    </w:p>
    <w:p>
      <w:pPr>
        <w:ind w:left="8" w:right="83" w:firstLine="503"/>
        <w:spacing w:before="1" w:line="338" w:lineRule="auto"/>
        <w:rPr>
          <w:rFonts w:ascii="Times New Roman" w:hAnsi="Times New Roman" w:eastAsia="Times New Roman" w:cs="Times New Roman"/>
          <w:sz w:val="24"/>
          <w:szCs w:val="24"/>
        </w:rPr>
      </w:pPr>
      <w:r>
        <w:rPr>
          <w:rFonts w:ascii="SimSun" w:hAnsi="SimSun" w:eastAsia="SimSun" w:cs="SimSun"/>
          <w:sz w:val="24"/>
          <w:szCs w:val="24"/>
          <w:spacing w:val="-2"/>
        </w:rPr>
        <w:t>四、对涉及占用基本草原的国家战略性矿产项目，不再区分东</w:t>
      </w:r>
      <w:r>
        <w:rPr>
          <w:rFonts w:ascii="SimSun" w:hAnsi="SimSun" w:eastAsia="SimSun" w:cs="SimSun"/>
          <w:sz w:val="24"/>
          <w:szCs w:val="24"/>
          <w:spacing w:val="-3"/>
        </w:rPr>
        <w:t>西部地区，按照国发</w:t>
      </w:r>
      <w:r>
        <w:rPr>
          <w:rFonts w:ascii="SimSun" w:hAnsi="SimSun" w:eastAsia="SimSun" w:cs="SimSun"/>
          <w:sz w:val="24"/>
          <w:szCs w:val="24"/>
          <w:spacing w:val="6"/>
        </w:rPr>
        <w:t>（</w:t>
      </w:r>
      <w:r>
        <w:rPr>
          <w:rFonts w:ascii="Times New Roman" w:hAnsi="Times New Roman" w:eastAsia="Times New Roman" w:cs="Times New Roman"/>
          <w:sz w:val="24"/>
          <w:szCs w:val="24"/>
          <w:spacing w:val="6"/>
        </w:rPr>
        <w:t>2023</w:t>
      </w:r>
      <w:r>
        <w:rPr>
          <w:rFonts w:ascii="SimSun" w:hAnsi="SimSun" w:eastAsia="SimSun" w:cs="SimSun"/>
          <w:sz w:val="24"/>
          <w:szCs w:val="24"/>
          <w:spacing w:val="6"/>
        </w:rPr>
        <w:t>）</w:t>
      </w:r>
      <w:r>
        <w:rPr>
          <w:rFonts w:ascii="Times New Roman" w:hAnsi="Times New Roman" w:eastAsia="Times New Roman" w:cs="Times New Roman"/>
          <w:sz w:val="24"/>
          <w:szCs w:val="24"/>
          <w:spacing w:val="6"/>
        </w:rPr>
        <w:t>16</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6"/>
        </w:rPr>
        <w:t>号文件中关于</w:t>
      </w:r>
      <w:r>
        <w:rPr>
          <w:rFonts w:ascii="Times New Roman" w:hAnsi="Times New Roman" w:eastAsia="Times New Roman" w:cs="Times New Roman"/>
          <w:sz w:val="24"/>
          <w:szCs w:val="24"/>
          <w:spacing w:val="6"/>
        </w:rPr>
        <w:t>“</w:t>
      </w:r>
      <w:r>
        <w:rPr>
          <w:rFonts w:ascii="SimSun" w:hAnsi="SimSun" w:eastAsia="SimSun" w:cs="SimSun"/>
          <w:sz w:val="24"/>
          <w:szCs w:val="24"/>
          <w:spacing w:val="6"/>
        </w:rPr>
        <w:t>基本草原内允许新设经依法依</w:t>
      </w:r>
      <w:r>
        <w:rPr>
          <w:rFonts w:ascii="SimSun" w:hAnsi="SimSun" w:eastAsia="SimSun" w:cs="SimSun"/>
          <w:sz w:val="24"/>
          <w:szCs w:val="24"/>
          <w:spacing w:val="5"/>
        </w:rPr>
        <w:t>规批准的国家重大矿产资源</w:t>
      </w:r>
      <w:r>
        <w:rPr>
          <w:rFonts w:ascii="SimSun" w:hAnsi="SimSun" w:eastAsia="SimSun" w:cs="SimSun"/>
          <w:sz w:val="24"/>
          <w:szCs w:val="24"/>
          <w:spacing w:val="-2"/>
        </w:rPr>
        <w:t>勘探开发项目</w:t>
      </w:r>
      <w:r>
        <w:rPr>
          <w:rFonts w:ascii="Times New Roman" w:hAnsi="Times New Roman" w:eastAsia="Times New Roman" w:cs="Times New Roman"/>
          <w:sz w:val="24"/>
          <w:szCs w:val="24"/>
          <w:spacing w:val="-2"/>
        </w:rPr>
        <w:t>”</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w:t>
      </w:r>
      <w:r>
        <w:rPr>
          <w:rFonts w:ascii="SimSun" w:hAnsi="SimSun" w:eastAsia="SimSun" w:cs="SimSun"/>
          <w:sz w:val="24"/>
          <w:szCs w:val="24"/>
          <w:spacing w:val="-71"/>
        </w:rPr>
        <w:t xml:space="preserve"> </w:t>
      </w:r>
      <w:r>
        <w:rPr>
          <w:rFonts w:ascii="SimSun" w:hAnsi="SimSun" w:eastAsia="SimSun" w:cs="SimSun"/>
          <w:sz w:val="24"/>
          <w:szCs w:val="24"/>
          <w:spacing w:val="-2"/>
        </w:rPr>
        <w:t>自然资函（</w:t>
      </w:r>
      <w:r>
        <w:rPr>
          <w:rFonts w:ascii="Times New Roman" w:hAnsi="Times New Roman" w:eastAsia="Times New Roman" w:cs="Times New Roman"/>
          <w:sz w:val="24"/>
          <w:szCs w:val="24"/>
          <w:spacing w:val="-2"/>
        </w:rPr>
        <w:t>2024</w:t>
      </w:r>
      <w:r>
        <w:rPr>
          <w:rFonts w:ascii="SimSun" w:hAnsi="SimSun" w:eastAsia="SimSun" w:cs="SimSun"/>
          <w:sz w:val="24"/>
          <w:szCs w:val="24"/>
          <w:spacing w:val="-2"/>
        </w:rPr>
        <w:t>）</w:t>
      </w:r>
      <w:r>
        <w:rPr>
          <w:rFonts w:ascii="Times New Roman" w:hAnsi="Times New Roman" w:eastAsia="Times New Roman" w:cs="Times New Roman"/>
          <w:sz w:val="24"/>
          <w:szCs w:val="24"/>
          <w:spacing w:val="-2"/>
        </w:rPr>
        <w:t>224</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号文件中关于</w:t>
      </w:r>
      <w:r>
        <w:rPr>
          <w:rFonts w:ascii="Times New Roman" w:hAnsi="Times New Roman" w:eastAsia="Times New Roman" w:cs="Times New Roman"/>
          <w:sz w:val="24"/>
          <w:szCs w:val="24"/>
          <w:spacing w:val="-3"/>
        </w:rPr>
        <w:t>“</w:t>
      </w:r>
      <w:r>
        <w:rPr>
          <w:rFonts w:ascii="SimSun" w:hAnsi="SimSun" w:eastAsia="SimSun" w:cs="SimSun"/>
          <w:sz w:val="24"/>
          <w:szCs w:val="24"/>
          <w:spacing w:val="-3"/>
        </w:rPr>
        <w:t>允许在基本草原内新设经依法依</w:t>
      </w:r>
      <w:r>
        <w:rPr>
          <w:rFonts w:ascii="SimSun" w:hAnsi="SimSun" w:eastAsia="SimSun" w:cs="SimSun"/>
          <w:sz w:val="24"/>
          <w:szCs w:val="24"/>
          <w:spacing w:val="6"/>
        </w:rPr>
        <w:t>规批准的战略性矿产勘探开发项目</w:t>
      </w:r>
      <w:r>
        <w:rPr>
          <w:rFonts w:ascii="Times New Roman" w:hAnsi="Times New Roman" w:eastAsia="Times New Roman" w:cs="Times New Roman"/>
          <w:sz w:val="24"/>
          <w:szCs w:val="24"/>
          <w:spacing w:val="6"/>
        </w:rPr>
        <w:t>”</w:t>
      </w:r>
      <w:r>
        <w:rPr>
          <w:rFonts w:ascii="SimSun" w:hAnsi="SimSun" w:eastAsia="SimSun" w:cs="SimSun"/>
          <w:sz w:val="24"/>
          <w:szCs w:val="24"/>
          <w:spacing w:val="6"/>
        </w:rPr>
        <w:t>的规定，依法依规推进草原征占用等手续办理。</w:t>
      </w:r>
      <w:r>
        <w:rPr>
          <w:rFonts w:ascii="Times New Roman" w:hAnsi="Times New Roman" w:eastAsia="Times New Roman" w:cs="Times New Roman"/>
          <w:sz w:val="24"/>
          <w:szCs w:val="24"/>
          <w:spacing w:val="6"/>
        </w:rPr>
        <w:t>”</w:t>
      </w:r>
    </w:p>
    <w:p>
      <w:pPr>
        <w:ind w:left="10" w:right="118" w:firstLine="480"/>
        <w:spacing w:before="1" w:line="325" w:lineRule="auto"/>
        <w:jc w:val="both"/>
        <w:rPr>
          <w:rFonts w:ascii="SimSun" w:hAnsi="SimSun" w:eastAsia="SimSun" w:cs="SimSun"/>
          <w:sz w:val="24"/>
          <w:szCs w:val="24"/>
        </w:rPr>
      </w:pPr>
      <w:r>
        <w:rPr>
          <w:rFonts w:ascii="SimSun" w:hAnsi="SimSun" w:eastAsia="SimSun" w:cs="SimSun"/>
          <w:sz w:val="24"/>
          <w:szCs w:val="24"/>
          <w:spacing w:val="-3"/>
        </w:rPr>
        <w:t>本项目优化调整开采范围为改扩建项目，本新增占地，不涉及“草原生态红线</w:t>
      </w:r>
      <w:r>
        <w:rPr>
          <w:rFonts w:ascii="SimSun" w:hAnsi="SimSun" w:eastAsia="SimSun" w:cs="SimSun"/>
          <w:sz w:val="24"/>
          <w:szCs w:val="24"/>
          <w:spacing w:val="-72"/>
        </w:rPr>
        <w:t xml:space="preserve"> </w:t>
      </w:r>
      <w:r>
        <w:rPr>
          <w:rFonts w:ascii="SimSun" w:hAnsi="SimSun" w:eastAsia="SimSun" w:cs="SimSun"/>
          <w:sz w:val="24"/>
          <w:szCs w:val="24"/>
          <w:spacing w:val="-3"/>
        </w:rPr>
        <w:t>”，</w:t>
      </w:r>
      <w:r>
        <w:rPr>
          <w:rFonts w:ascii="SimSun" w:hAnsi="SimSun" w:eastAsia="SimSun" w:cs="SimSun"/>
          <w:sz w:val="24"/>
          <w:szCs w:val="24"/>
          <w:spacing w:val="-2"/>
        </w:rPr>
        <w:t>本项目的建设符合《内蒙古自治区人民政府办公厅发布的关于矿产资源开发项目征占用</w:t>
      </w:r>
      <w:r>
        <w:rPr>
          <w:rFonts w:ascii="SimSun" w:hAnsi="SimSun" w:eastAsia="SimSun" w:cs="SimSun"/>
          <w:sz w:val="24"/>
          <w:szCs w:val="24"/>
          <w:spacing w:val="-1"/>
        </w:rPr>
        <w:t>草原等手续办理有关问题的通知》的相应要求。</w:t>
      </w:r>
    </w:p>
    <w:p>
      <w:pPr>
        <w:ind w:left="619"/>
        <w:spacing w:before="1" w:line="221" w:lineRule="auto"/>
        <w:rPr>
          <w:rFonts w:ascii="SimHei" w:hAnsi="SimHei" w:eastAsia="SimHei" w:cs="SimHei"/>
          <w:sz w:val="30"/>
          <w:szCs w:val="30"/>
        </w:rPr>
      </w:pPr>
      <w:r>
        <w:rPr>
          <w:rFonts w:ascii="Times New Roman" w:hAnsi="Times New Roman" w:eastAsia="Times New Roman" w:cs="Times New Roman"/>
          <w:sz w:val="30"/>
          <w:szCs w:val="30"/>
          <w:b/>
          <w:bCs/>
          <w:spacing w:val="-3"/>
        </w:rPr>
        <w:t>10.14</w:t>
      </w:r>
      <w:r>
        <w:rPr>
          <w:rFonts w:ascii="Times New Roman" w:hAnsi="Times New Roman" w:eastAsia="Times New Roman" w:cs="Times New Roman"/>
          <w:sz w:val="30"/>
          <w:szCs w:val="30"/>
          <w:b/>
          <w:bCs/>
          <w:spacing w:val="22"/>
        </w:rPr>
        <w:t xml:space="preserve"> </w:t>
      </w:r>
      <w:r>
        <w:rPr>
          <w:rFonts w:ascii="SimHei" w:hAnsi="SimHei" w:eastAsia="SimHei" w:cs="SimHei"/>
          <w:sz w:val="30"/>
          <w:szCs w:val="30"/>
          <w:b/>
          <w:bCs/>
          <w:spacing w:val="-3"/>
        </w:rPr>
        <w:t>与《矿山生态环境保护与恢复治</w:t>
      </w:r>
      <w:r>
        <w:rPr>
          <w:rFonts w:ascii="SimHei" w:hAnsi="SimHei" w:eastAsia="SimHei" w:cs="SimHei"/>
          <w:sz w:val="30"/>
          <w:szCs w:val="30"/>
          <w:b/>
          <w:bCs/>
          <w:spacing w:val="-4"/>
        </w:rPr>
        <w:t>理技术规范》符合性</w:t>
      </w:r>
    </w:p>
    <w:p>
      <w:pPr>
        <w:spacing w:line="221" w:lineRule="auto"/>
        <w:sectPr>
          <w:headerReference w:type="default" r:id="rId575"/>
          <w:footerReference w:type="default" r:id="rId576"/>
          <w:pgSz w:w="11906" w:h="16838"/>
          <w:pgMar w:top="1170" w:right="1299" w:bottom="725" w:left="1416" w:header="837" w:footer="562" w:gutter="0"/>
        </w:sectPr>
        <w:rPr>
          <w:rFonts w:ascii="SimHei" w:hAnsi="SimHei" w:eastAsia="SimHei" w:cs="SimHei"/>
          <w:sz w:val="30"/>
          <w:szCs w:val="30"/>
        </w:rPr>
      </w:pPr>
    </w:p>
    <w:p>
      <w:pPr>
        <w:pStyle w:val="BodyText"/>
        <w:spacing w:line="314" w:lineRule="auto"/>
        <w:rPr/>
      </w:pPr>
      <w:r/>
    </w:p>
    <w:p>
      <w:pPr>
        <w:ind w:left="8" w:firstLine="481"/>
        <w:spacing w:before="78" w:line="338" w:lineRule="auto"/>
        <w:rPr>
          <w:rFonts w:ascii="SimSun" w:hAnsi="SimSun" w:eastAsia="SimSun" w:cs="SimSun"/>
          <w:sz w:val="24"/>
          <w:szCs w:val="24"/>
        </w:rPr>
      </w:pPr>
      <w:r>
        <w:rPr>
          <w:rFonts w:ascii="SimSun" w:hAnsi="SimSun" w:eastAsia="SimSun" w:cs="SimSun"/>
          <w:sz w:val="24"/>
          <w:szCs w:val="24"/>
          <w:spacing w:val="-1"/>
        </w:rPr>
        <w:t>《矿山生态环境保护与恢复治理技术规范》（</w:t>
      </w:r>
      <w:r>
        <w:rPr>
          <w:rFonts w:ascii="Times New Roman" w:hAnsi="Times New Roman" w:eastAsia="Times New Roman" w:cs="Times New Roman"/>
          <w:sz w:val="24"/>
          <w:szCs w:val="24"/>
          <w:spacing w:val="-1"/>
        </w:rPr>
        <w:t>HJ651-2013</w:t>
      </w:r>
      <w:r>
        <w:rPr>
          <w:rFonts w:ascii="SimSun" w:hAnsi="SimSun" w:eastAsia="SimSun" w:cs="SimSun"/>
          <w:sz w:val="24"/>
          <w:szCs w:val="24"/>
          <w:spacing w:val="-1"/>
        </w:rPr>
        <w:t>）要求：禁止</w:t>
      </w:r>
      <w:r>
        <w:rPr>
          <w:rFonts w:ascii="SimSun" w:hAnsi="SimSun" w:eastAsia="SimSun" w:cs="SimSun"/>
          <w:sz w:val="24"/>
          <w:szCs w:val="24"/>
          <w:spacing w:val="-2"/>
        </w:rPr>
        <w:t>在依法划定</w:t>
      </w:r>
      <w:r>
        <w:rPr>
          <w:rFonts w:ascii="SimSun" w:hAnsi="SimSun" w:eastAsia="SimSun" w:cs="SimSun"/>
          <w:sz w:val="24"/>
          <w:szCs w:val="24"/>
          <w:spacing w:val="-2"/>
        </w:rPr>
        <w:t>的自然保护区、风景名胜区、森林公园、饮用水水源保护区、文物古迹所在地、地质遗</w:t>
      </w:r>
      <w:r>
        <w:rPr>
          <w:rFonts w:ascii="SimSun" w:hAnsi="SimSun" w:eastAsia="SimSun" w:cs="SimSun"/>
          <w:sz w:val="24"/>
          <w:szCs w:val="24"/>
          <w:spacing w:val="-2"/>
        </w:rPr>
        <w:t>迹保护区、基本农田保护区等重要生态保护地以及其它</w:t>
      </w:r>
      <w:r>
        <w:rPr>
          <w:rFonts w:ascii="SimSun" w:hAnsi="SimSun" w:eastAsia="SimSun" w:cs="SimSun"/>
          <w:sz w:val="24"/>
          <w:szCs w:val="24"/>
          <w:spacing w:val="-3"/>
        </w:rPr>
        <w:t>法律法规规定的禁采区域内采矿。</w:t>
      </w:r>
    </w:p>
    <w:p>
      <w:pPr>
        <w:ind w:left="9" w:right="192" w:firstLine="479"/>
        <w:spacing w:before="5" w:line="338" w:lineRule="auto"/>
        <w:rPr>
          <w:rFonts w:ascii="SimSun" w:hAnsi="SimSun" w:eastAsia="SimSun" w:cs="SimSun"/>
          <w:sz w:val="24"/>
          <w:szCs w:val="24"/>
        </w:rPr>
      </w:pPr>
      <w:r>
        <w:rPr>
          <w:rFonts w:ascii="SimSun" w:hAnsi="SimSun" w:eastAsia="SimSun" w:cs="SimSun"/>
          <w:sz w:val="24"/>
          <w:szCs w:val="24"/>
          <w:spacing w:val="-2"/>
        </w:rPr>
        <w:t>矿产资源开发活动应符合国家和区域主体功能区规划、生态功能区划、生态环境保</w:t>
      </w:r>
      <w:r>
        <w:rPr>
          <w:rFonts w:ascii="SimSun" w:hAnsi="SimSun" w:eastAsia="SimSun" w:cs="SimSun"/>
          <w:sz w:val="24"/>
          <w:szCs w:val="24"/>
          <w:spacing w:val="-2"/>
        </w:rPr>
        <w:t>护规划的要求，采取有效预防和保护措施，避免或减轻矿产资源开发活动造成的生态破</w:t>
      </w:r>
      <w:r>
        <w:rPr>
          <w:rFonts w:ascii="SimSun" w:hAnsi="SimSun" w:eastAsia="SimSun" w:cs="SimSun"/>
          <w:sz w:val="24"/>
          <w:szCs w:val="24"/>
          <w:spacing w:val="-1"/>
        </w:rPr>
        <w:t>坏和环境污染。坚持</w:t>
      </w:r>
      <w:r>
        <w:rPr>
          <w:rFonts w:ascii="Times New Roman" w:hAnsi="Times New Roman" w:eastAsia="Times New Roman" w:cs="Times New Roman"/>
          <w:sz w:val="24"/>
          <w:szCs w:val="24"/>
          <w:spacing w:val="-1"/>
        </w:rPr>
        <w:t>“</w:t>
      </w:r>
      <w:r>
        <w:rPr>
          <w:rFonts w:ascii="SimSun" w:hAnsi="SimSun" w:eastAsia="SimSun" w:cs="SimSun"/>
          <w:sz w:val="24"/>
          <w:szCs w:val="24"/>
          <w:spacing w:val="-1"/>
        </w:rPr>
        <w:t>预防为主、防治结合、过程控制</w:t>
      </w:r>
      <w:r>
        <w:rPr>
          <w:rFonts w:ascii="Times New Roman" w:hAnsi="Times New Roman" w:eastAsia="Times New Roman" w:cs="Times New Roman"/>
          <w:sz w:val="24"/>
          <w:szCs w:val="24"/>
          <w:spacing w:val="-1"/>
        </w:rPr>
        <w:t>”</w:t>
      </w:r>
      <w:r>
        <w:rPr>
          <w:rFonts w:ascii="SimSun" w:hAnsi="SimSun" w:eastAsia="SimSun" w:cs="SimSun"/>
          <w:sz w:val="24"/>
          <w:szCs w:val="24"/>
          <w:spacing w:val="-1"/>
        </w:rPr>
        <w:t>的原则，将矿山生态环境保护与</w:t>
      </w:r>
      <w:r>
        <w:rPr>
          <w:rFonts w:ascii="SimSun" w:hAnsi="SimSun" w:eastAsia="SimSun" w:cs="SimSun"/>
          <w:sz w:val="24"/>
          <w:szCs w:val="24"/>
          <w:spacing w:val="-1"/>
        </w:rPr>
        <w:t>恢复治理贯穿矿产资源开采的全过程。根据矿山生态环境保护与恢复</w:t>
      </w:r>
      <w:r>
        <w:rPr>
          <w:rFonts w:ascii="SimSun" w:hAnsi="SimSun" w:eastAsia="SimSun" w:cs="SimSun"/>
          <w:sz w:val="24"/>
          <w:szCs w:val="24"/>
          <w:spacing w:val="-2"/>
        </w:rPr>
        <w:t>治理的重点任务，</w:t>
      </w:r>
      <w:r>
        <w:rPr>
          <w:rFonts w:ascii="SimSun" w:hAnsi="SimSun" w:eastAsia="SimSun" w:cs="SimSun"/>
          <w:sz w:val="24"/>
          <w:szCs w:val="24"/>
          <w:spacing w:val="-1"/>
        </w:rPr>
        <w:t>合理确定矿山生态保护与恢复治理分区，优化矿区生产和生活空间格</w:t>
      </w:r>
      <w:r>
        <w:rPr>
          <w:rFonts w:ascii="SimSun" w:hAnsi="SimSun" w:eastAsia="SimSun" w:cs="SimSun"/>
          <w:sz w:val="24"/>
          <w:szCs w:val="24"/>
          <w:spacing w:val="-2"/>
        </w:rPr>
        <w:t>局。采用新技术、</w:t>
      </w:r>
      <w:r>
        <w:rPr>
          <w:rFonts w:ascii="SimSun" w:hAnsi="SimSun" w:eastAsia="SimSun" w:cs="SimSun"/>
          <w:sz w:val="24"/>
          <w:szCs w:val="24"/>
          <w:spacing w:val="-2"/>
        </w:rPr>
        <w:t>新方法、新工艺提高矿山生态环境保护和恢复治理水平。恢复治理后的各类场地应实现</w:t>
      </w:r>
      <w:r>
        <w:rPr>
          <w:rFonts w:ascii="SimSun" w:hAnsi="SimSun" w:eastAsia="SimSun" w:cs="SimSun"/>
          <w:sz w:val="24"/>
          <w:szCs w:val="24"/>
          <w:spacing w:val="-2"/>
        </w:rPr>
        <w:t>安全稳定，对人类和动植物不造成威胁；对周边环境不产生污染；与周边自然环境和景</w:t>
      </w:r>
      <w:r>
        <w:rPr>
          <w:rFonts w:ascii="SimSun" w:hAnsi="SimSun" w:eastAsia="SimSun" w:cs="SimSun"/>
          <w:sz w:val="24"/>
          <w:szCs w:val="24"/>
          <w:spacing w:val="-2"/>
        </w:rPr>
        <w:t>观相协调；恢复土地使用功能，因地制宜实现土地可持续利用；区域整体生态功能能得</w:t>
      </w:r>
      <w:r>
        <w:rPr>
          <w:rFonts w:ascii="SimSun" w:hAnsi="SimSun" w:eastAsia="SimSun" w:cs="SimSun"/>
          <w:sz w:val="24"/>
          <w:szCs w:val="24"/>
          <w:spacing w:val="-2"/>
        </w:rPr>
        <w:t>到保护和恢复。</w:t>
      </w:r>
    </w:p>
    <w:p>
      <w:pPr>
        <w:ind w:left="8" w:right="205" w:firstLine="481"/>
        <w:spacing w:before="2" w:line="339" w:lineRule="auto"/>
        <w:jc w:val="both"/>
        <w:rPr>
          <w:rFonts w:ascii="SimSun" w:hAnsi="SimSun" w:eastAsia="SimSun" w:cs="SimSun"/>
          <w:sz w:val="24"/>
          <w:szCs w:val="24"/>
        </w:rPr>
      </w:pPr>
      <w:r>
        <w:rPr>
          <w:rFonts w:ascii="SimSun" w:hAnsi="SimSun" w:eastAsia="SimSun" w:cs="SimSun"/>
          <w:sz w:val="24"/>
          <w:szCs w:val="24"/>
          <w:spacing w:val="-2"/>
        </w:rPr>
        <w:t>本项目不在自然保护区、风景名胜区、森林公园、饮用水水源保护区、文物古迹所</w:t>
      </w:r>
      <w:r>
        <w:rPr>
          <w:rFonts w:ascii="SimSun" w:hAnsi="SimSun" w:eastAsia="SimSun" w:cs="SimSun"/>
          <w:sz w:val="24"/>
          <w:szCs w:val="24"/>
          <w:spacing w:val="-2"/>
        </w:rPr>
        <w:t>在地、地质遗迹保护区、基本农田保护区等重要生态保护地以及其它法律法规规定的禁</w:t>
      </w:r>
      <w:r>
        <w:rPr>
          <w:rFonts w:ascii="SimSun" w:hAnsi="SimSun" w:eastAsia="SimSun" w:cs="SimSun"/>
          <w:sz w:val="24"/>
          <w:szCs w:val="24"/>
          <w:spacing w:val="-2"/>
        </w:rPr>
        <w:t>采区域内；本矿产资源开发活动符合国家和区域主体功能区规划、生态功能区划、生态</w:t>
      </w:r>
      <w:r>
        <w:rPr>
          <w:rFonts w:ascii="SimSun" w:hAnsi="SimSun" w:eastAsia="SimSun" w:cs="SimSun"/>
          <w:sz w:val="24"/>
          <w:szCs w:val="24"/>
          <w:spacing w:val="-2"/>
        </w:rPr>
        <w:t>环境保护规划的要求；采取了封闭、喷淋、污水处理后回用、定期回收和合理利用固废</w:t>
      </w:r>
      <w:r>
        <w:rPr>
          <w:rFonts w:ascii="SimSun" w:hAnsi="SimSun" w:eastAsia="SimSun" w:cs="SimSun"/>
          <w:sz w:val="24"/>
          <w:szCs w:val="24"/>
          <w:spacing w:val="-2"/>
        </w:rPr>
        <w:t>等污染防治措施；同时煤矿制定了详细的生态恢复措施。因此，本项目建设符合《矿山</w:t>
      </w:r>
      <w:r>
        <w:rPr>
          <w:rFonts w:ascii="SimSun" w:hAnsi="SimSun" w:eastAsia="SimSun" w:cs="SimSun"/>
          <w:sz w:val="24"/>
          <w:szCs w:val="24"/>
        </w:rPr>
        <w:t>生态环境保护与恢复治理技术规范》（</w:t>
      </w:r>
      <w:r>
        <w:rPr>
          <w:rFonts w:ascii="Times New Roman" w:hAnsi="Times New Roman" w:eastAsia="Times New Roman" w:cs="Times New Roman"/>
          <w:sz w:val="24"/>
          <w:szCs w:val="24"/>
        </w:rPr>
        <w:t>HJ651-</w:t>
      </w:r>
      <w:r>
        <w:rPr>
          <w:rFonts w:ascii="Times New Roman" w:hAnsi="Times New Roman" w:eastAsia="Times New Roman" w:cs="Times New Roman"/>
          <w:sz w:val="24"/>
          <w:szCs w:val="24"/>
          <w:spacing w:val="-1"/>
        </w:rPr>
        <w:t>2013</w:t>
      </w:r>
      <w:r>
        <w:rPr>
          <w:rFonts w:ascii="SimSun" w:hAnsi="SimSun" w:eastAsia="SimSun" w:cs="SimSun"/>
          <w:sz w:val="24"/>
          <w:szCs w:val="24"/>
          <w:spacing w:val="-1"/>
        </w:rPr>
        <w:t>）的要求。</w:t>
      </w:r>
    </w:p>
    <w:p>
      <w:pPr>
        <w:spacing w:line="339" w:lineRule="auto"/>
        <w:sectPr>
          <w:headerReference w:type="default" r:id="rId411"/>
          <w:footerReference w:type="default" r:id="rId577"/>
          <w:pgSz w:w="11906" w:h="16838"/>
          <w:pgMar w:top="1170" w:right="1212" w:bottom="725" w:left="1416" w:header="837" w:footer="562" w:gutter="0"/>
        </w:sectPr>
        <w:rPr>
          <w:rFonts w:ascii="SimSun" w:hAnsi="SimSun" w:eastAsia="SimSun" w:cs="SimSun"/>
          <w:sz w:val="24"/>
          <w:szCs w:val="24"/>
        </w:rPr>
      </w:pPr>
    </w:p>
    <w:p>
      <w:pPr>
        <w:ind w:left="2914"/>
        <w:spacing w:before="298" w:line="222" w:lineRule="auto"/>
        <w:outlineLvl w:val="0"/>
        <w:rPr>
          <w:rFonts w:ascii="SimHei" w:hAnsi="SimHei" w:eastAsia="SimHei" w:cs="SimHei"/>
          <w:sz w:val="36"/>
          <w:szCs w:val="36"/>
        </w:rPr>
      </w:pPr>
      <w:bookmarkStart w:name="bookmark68" w:id="117"/>
      <w:bookmarkEnd w:id="117"/>
      <w:r>
        <w:rPr>
          <w:rFonts w:ascii="Times New Roman" w:hAnsi="Times New Roman" w:eastAsia="Times New Roman" w:cs="Times New Roman"/>
          <w:sz w:val="36"/>
          <w:szCs w:val="36"/>
          <w:spacing w:val="-4"/>
        </w:rPr>
        <w:t>11 </w:t>
      </w:r>
      <w:r>
        <w:rPr>
          <w:rFonts w:ascii="SimHei" w:hAnsi="SimHei" w:eastAsia="SimHei" w:cs="SimHei"/>
          <w:sz w:val="36"/>
          <w:szCs w:val="36"/>
          <w:spacing w:val="-4"/>
        </w:rPr>
        <w:t>环境影响评价结论</w:t>
      </w:r>
    </w:p>
    <w:p>
      <w:pPr>
        <w:pStyle w:val="BodyText"/>
        <w:spacing w:line="457" w:lineRule="auto"/>
        <w:rPr/>
      </w:pPr>
      <w:r/>
    </w:p>
    <w:p>
      <w:pPr>
        <w:ind w:left="19"/>
        <w:spacing w:before="97" w:line="221" w:lineRule="auto"/>
        <w:outlineLvl w:val="1"/>
        <w:rPr>
          <w:rFonts w:ascii="SimHei" w:hAnsi="SimHei" w:eastAsia="SimHei" w:cs="SimHei"/>
          <w:sz w:val="30"/>
          <w:szCs w:val="30"/>
        </w:rPr>
      </w:pPr>
      <w:bookmarkStart w:name="bookmark69" w:id="118"/>
      <w:bookmarkEnd w:id="118"/>
      <w:r>
        <w:rPr>
          <w:rFonts w:ascii="Times New Roman" w:hAnsi="Times New Roman" w:eastAsia="Times New Roman" w:cs="Times New Roman"/>
          <w:sz w:val="30"/>
          <w:szCs w:val="30"/>
          <w:b/>
          <w:bCs/>
          <w:spacing w:val="-5"/>
        </w:rPr>
        <w:t>11.1 </w:t>
      </w:r>
      <w:r>
        <w:rPr>
          <w:rFonts w:ascii="SimHei" w:hAnsi="SimHei" w:eastAsia="SimHei" w:cs="SimHei"/>
          <w:sz w:val="30"/>
          <w:szCs w:val="30"/>
          <w:b/>
          <w:bCs/>
          <w:spacing w:val="-5"/>
        </w:rPr>
        <w:t>项目概况</w:t>
      </w:r>
    </w:p>
    <w:p>
      <w:pPr>
        <w:ind w:left="490"/>
        <w:spacing w:before="165" w:line="218" w:lineRule="auto"/>
        <w:rPr>
          <w:rFonts w:ascii="SimSun" w:hAnsi="SimSun" w:eastAsia="SimSun" w:cs="SimSun"/>
          <w:sz w:val="24"/>
          <w:szCs w:val="24"/>
        </w:rPr>
      </w:pPr>
      <w:r>
        <w:rPr>
          <w:rFonts w:ascii="SimSun" w:hAnsi="SimSun" w:eastAsia="SimSun" w:cs="SimSun"/>
          <w:sz w:val="24"/>
          <w:szCs w:val="24"/>
          <w:spacing w:val="-1"/>
        </w:rPr>
        <w:t>本次评价项目改扩建工程主要工程如下：</w:t>
      </w:r>
    </w:p>
    <w:p>
      <w:pPr>
        <w:ind w:left="9" w:firstLine="479"/>
        <w:spacing w:before="155" w:line="339" w:lineRule="auto"/>
        <w:rPr>
          <w:rFonts w:ascii="SimSun" w:hAnsi="SimSun" w:eastAsia="SimSun" w:cs="SimSun"/>
          <w:sz w:val="24"/>
          <w:szCs w:val="24"/>
        </w:rPr>
      </w:pPr>
      <w:r>
        <w:rPr>
          <w:rFonts w:ascii="SimSun" w:hAnsi="SimSun" w:eastAsia="SimSun" w:cs="SimSun"/>
          <w:sz w:val="24"/>
          <w:szCs w:val="24"/>
          <w:spacing w:val="-3"/>
        </w:rPr>
        <w:t>优化调整开采范围：露天区开采范围新增</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3"/>
        </w:rPr>
        <w:t>3.079km</w:t>
      </w:r>
      <w:r>
        <w:rPr>
          <w:rFonts w:ascii="Times New Roman" w:hAnsi="Times New Roman" w:eastAsia="Times New Roman" w:cs="Times New Roman"/>
          <w:sz w:val="15"/>
          <w:szCs w:val="15"/>
          <w:spacing w:val="-3"/>
          <w:position w:val="8"/>
        </w:rPr>
        <w:t>2</w:t>
      </w:r>
      <w:r>
        <w:rPr>
          <w:rFonts w:ascii="Times New Roman" w:hAnsi="Times New Roman" w:eastAsia="Times New Roman" w:cs="Times New Roman"/>
          <w:sz w:val="15"/>
          <w:szCs w:val="15"/>
          <w:spacing w:val="-8"/>
          <w:position w:val="8"/>
        </w:rPr>
        <w:t xml:space="preserve"> </w:t>
      </w:r>
      <w:r>
        <w:rPr>
          <w:rFonts w:ascii="SimSun" w:hAnsi="SimSun" w:eastAsia="SimSun" w:cs="SimSun"/>
          <w:sz w:val="24"/>
          <w:szCs w:val="24"/>
          <w:spacing w:val="-3"/>
        </w:rPr>
        <w:t>，增加可采资源量</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3"/>
        </w:rPr>
        <w:t>4777.1</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4"/>
        </w:rPr>
        <w:t>万吨，</w:t>
      </w:r>
      <w:r>
        <w:rPr>
          <w:rFonts w:ascii="SimSun" w:hAnsi="SimSun" w:eastAsia="SimSun" w:cs="SimSun"/>
          <w:sz w:val="24"/>
          <w:szCs w:val="24"/>
          <w:spacing w:val="-1"/>
        </w:rPr>
        <w:t>井工区开采面积相对减少。</w:t>
      </w:r>
    </w:p>
    <w:p>
      <w:pPr>
        <w:ind w:left="493"/>
        <w:spacing w:line="218" w:lineRule="auto"/>
        <w:rPr>
          <w:rFonts w:ascii="SimSun" w:hAnsi="SimSun" w:eastAsia="SimSun" w:cs="SimSun"/>
          <w:sz w:val="24"/>
          <w:szCs w:val="24"/>
        </w:rPr>
      </w:pPr>
      <w:r>
        <w:rPr>
          <w:rFonts w:ascii="SimSun" w:hAnsi="SimSun" w:eastAsia="SimSun" w:cs="SimSun"/>
          <w:sz w:val="24"/>
          <w:szCs w:val="24"/>
          <w:spacing w:val="-2"/>
        </w:rPr>
        <w:t>项目基本情况如下：</w:t>
      </w:r>
    </w:p>
    <w:p>
      <w:pPr>
        <w:ind w:left="10" w:right="66" w:firstLine="482"/>
        <w:spacing w:before="154" w:line="339" w:lineRule="auto"/>
        <w:rPr>
          <w:rFonts w:ascii="SimSun" w:hAnsi="SimSun" w:eastAsia="SimSun" w:cs="SimSun"/>
          <w:sz w:val="24"/>
          <w:szCs w:val="24"/>
        </w:rPr>
      </w:pPr>
      <w:r>
        <w:rPr>
          <w:rFonts w:ascii="SimSun" w:hAnsi="SimSun" w:eastAsia="SimSun" w:cs="SimSun"/>
          <w:sz w:val="24"/>
          <w:szCs w:val="24"/>
          <w:spacing w:val="-2"/>
        </w:rPr>
        <w:t>项目名称：西乌珠穆沁旗白音华煤田四号露天矿改建项目（优化调整开采范围及地</w:t>
      </w:r>
      <w:r>
        <w:rPr>
          <w:rFonts w:ascii="SimSun" w:hAnsi="SimSun" w:eastAsia="SimSun" w:cs="SimSun"/>
          <w:sz w:val="24"/>
          <w:szCs w:val="24"/>
          <w:spacing w:val="-2"/>
        </w:rPr>
        <w:t>面输煤系统改建</w:t>
      </w:r>
      <w:r>
        <w:rPr>
          <w:rFonts w:ascii="SimSun" w:hAnsi="SimSun" w:eastAsia="SimSun" w:cs="SimSun"/>
          <w:sz w:val="24"/>
          <w:szCs w:val="24"/>
          <w:spacing w:val="1"/>
        </w:rPr>
        <w:t>）；</w:t>
      </w:r>
    </w:p>
    <w:p>
      <w:pPr>
        <w:ind w:left="492"/>
        <w:spacing w:before="1" w:line="219" w:lineRule="auto"/>
        <w:rPr>
          <w:rFonts w:ascii="SimSun" w:hAnsi="SimSun" w:eastAsia="SimSun" w:cs="SimSun"/>
          <w:sz w:val="24"/>
          <w:szCs w:val="24"/>
        </w:rPr>
      </w:pPr>
      <w:r>
        <w:rPr>
          <w:rFonts w:ascii="SimSun" w:hAnsi="SimSun" w:eastAsia="SimSun" w:cs="SimSun"/>
          <w:sz w:val="24"/>
          <w:szCs w:val="24"/>
          <w:spacing w:val="-1"/>
        </w:rPr>
        <w:t>建设规模：</w:t>
      </w:r>
      <w:r>
        <w:rPr>
          <w:rFonts w:ascii="Times New Roman" w:hAnsi="Times New Roman" w:eastAsia="Times New Roman" w:cs="Times New Roman"/>
          <w:sz w:val="24"/>
          <w:szCs w:val="24"/>
          <w:spacing w:val="-1"/>
        </w:rPr>
        <w:t>5.0Mt/a</w:t>
      </w:r>
      <w:r>
        <w:rPr>
          <w:rFonts w:ascii="SimSun" w:hAnsi="SimSun" w:eastAsia="SimSun" w:cs="SimSun"/>
          <w:sz w:val="24"/>
          <w:szCs w:val="24"/>
          <w:spacing w:val="-1"/>
        </w:rPr>
        <w:t>；</w:t>
      </w:r>
    </w:p>
    <w:p>
      <w:pPr>
        <w:ind w:left="492"/>
        <w:spacing w:before="154" w:line="219" w:lineRule="auto"/>
        <w:rPr>
          <w:rFonts w:ascii="SimSun" w:hAnsi="SimSun" w:eastAsia="SimSun" w:cs="SimSun"/>
          <w:sz w:val="24"/>
          <w:szCs w:val="24"/>
        </w:rPr>
      </w:pPr>
      <w:r>
        <w:rPr>
          <w:rFonts w:ascii="SimSun" w:hAnsi="SimSun" w:eastAsia="SimSun" w:cs="SimSun"/>
          <w:sz w:val="24"/>
          <w:szCs w:val="24"/>
          <w:spacing w:val="-2"/>
        </w:rPr>
        <w:t>建设性质：改扩建；</w:t>
      </w:r>
    </w:p>
    <w:p>
      <w:pPr>
        <w:ind w:left="489"/>
        <w:spacing w:before="155" w:line="219" w:lineRule="auto"/>
        <w:rPr>
          <w:rFonts w:ascii="SimSun" w:hAnsi="SimSun" w:eastAsia="SimSun" w:cs="SimSun"/>
          <w:sz w:val="24"/>
          <w:szCs w:val="24"/>
        </w:rPr>
      </w:pPr>
      <w:r>
        <w:rPr>
          <w:rFonts w:ascii="SimSun" w:hAnsi="SimSun" w:eastAsia="SimSun" w:cs="SimSun"/>
          <w:sz w:val="24"/>
          <w:szCs w:val="24"/>
          <w:spacing w:val="-1"/>
        </w:rPr>
        <w:t>服务年限：</w:t>
      </w:r>
      <w:r>
        <w:rPr>
          <w:rFonts w:ascii="Times New Roman" w:hAnsi="Times New Roman" w:eastAsia="Times New Roman" w:cs="Times New Roman"/>
          <w:sz w:val="24"/>
          <w:szCs w:val="24"/>
          <w:spacing w:val="-1"/>
        </w:rPr>
        <w:t>9.5a</w:t>
      </w:r>
      <w:r>
        <w:rPr>
          <w:rFonts w:ascii="SimSun" w:hAnsi="SimSun" w:eastAsia="SimSun" w:cs="SimSun"/>
          <w:sz w:val="24"/>
          <w:szCs w:val="24"/>
          <w:spacing w:val="-1"/>
        </w:rPr>
        <w:t>；</w:t>
      </w:r>
    </w:p>
    <w:p>
      <w:pPr>
        <w:ind w:left="490"/>
        <w:spacing w:before="156" w:line="219" w:lineRule="auto"/>
        <w:rPr>
          <w:rFonts w:ascii="SimSun" w:hAnsi="SimSun" w:eastAsia="SimSun" w:cs="SimSun"/>
          <w:sz w:val="24"/>
          <w:szCs w:val="24"/>
        </w:rPr>
      </w:pPr>
      <w:r>
        <w:rPr>
          <w:rFonts w:ascii="SimSun" w:hAnsi="SimSun" w:eastAsia="SimSun" w:cs="SimSun"/>
          <w:sz w:val="24"/>
          <w:szCs w:val="24"/>
          <w:spacing w:val="-1"/>
        </w:rPr>
        <w:t>开拓方式：单斗</w:t>
      </w:r>
      <w:r>
        <w:rPr>
          <w:rFonts w:ascii="Times New Roman" w:hAnsi="Times New Roman" w:eastAsia="Times New Roman" w:cs="Times New Roman"/>
          <w:sz w:val="24"/>
          <w:szCs w:val="24"/>
          <w:spacing w:val="-1"/>
        </w:rPr>
        <w:t>—</w:t>
      </w:r>
      <w:r>
        <w:rPr>
          <w:rFonts w:ascii="SimSun" w:hAnsi="SimSun" w:eastAsia="SimSun" w:cs="SimSun"/>
          <w:sz w:val="24"/>
          <w:szCs w:val="24"/>
          <w:spacing w:val="-1"/>
        </w:rPr>
        <w:t>卡车半移动破碎机</w:t>
      </w:r>
      <w:r>
        <w:rPr>
          <w:rFonts w:ascii="Times New Roman" w:hAnsi="Times New Roman" w:eastAsia="Times New Roman" w:cs="Times New Roman"/>
          <w:sz w:val="24"/>
          <w:szCs w:val="24"/>
          <w:spacing w:val="-1"/>
        </w:rPr>
        <w:t>—</w:t>
      </w:r>
      <w:r>
        <w:rPr>
          <w:rFonts w:ascii="SimSun" w:hAnsi="SimSun" w:eastAsia="SimSun" w:cs="SimSun"/>
          <w:sz w:val="24"/>
          <w:szCs w:val="24"/>
          <w:spacing w:val="-1"/>
        </w:rPr>
        <w:t>胶带运输机的半连续工艺；</w:t>
      </w:r>
    </w:p>
    <w:p>
      <w:pPr>
        <w:ind w:left="492"/>
        <w:spacing w:before="154" w:line="219" w:lineRule="auto"/>
        <w:rPr>
          <w:rFonts w:ascii="SimSun" w:hAnsi="SimSun" w:eastAsia="SimSun" w:cs="SimSun"/>
          <w:sz w:val="24"/>
          <w:szCs w:val="24"/>
        </w:rPr>
      </w:pPr>
      <w:r>
        <w:rPr>
          <w:rFonts w:ascii="SimSun" w:hAnsi="SimSun" w:eastAsia="SimSun" w:cs="SimSun"/>
          <w:sz w:val="24"/>
          <w:szCs w:val="24"/>
          <w:spacing w:val="-1"/>
        </w:rPr>
        <w:t>建设单位：内蒙古海州露天能源有限责任公司；</w:t>
      </w:r>
    </w:p>
    <w:p>
      <w:pPr>
        <w:ind w:left="492"/>
        <w:spacing w:before="155" w:line="219" w:lineRule="auto"/>
        <w:rPr>
          <w:rFonts w:ascii="SimSun" w:hAnsi="SimSun" w:eastAsia="SimSun" w:cs="SimSun"/>
          <w:sz w:val="24"/>
          <w:szCs w:val="24"/>
        </w:rPr>
      </w:pPr>
      <w:r>
        <w:rPr>
          <w:rFonts w:ascii="SimSun" w:hAnsi="SimSun" w:eastAsia="SimSun" w:cs="SimSun"/>
          <w:sz w:val="24"/>
          <w:szCs w:val="24"/>
          <w:spacing w:val="-1"/>
        </w:rPr>
        <w:t>建设地点：锡林郭勒盟西乌珠穆沁旗境内；</w:t>
      </w:r>
    </w:p>
    <w:p>
      <w:pPr>
        <w:ind w:left="495"/>
        <w:spacing w:before="157" w:line="219" w:lineRule="auto"/>
        <w:rPr>
          <w:rFonts w:ascii="SimSun" w:hAnsi="SimSun" w:eastAsia="SimSun" w:cs="SimSun"/>
          <w:sz w:val="24"/>
          <w:szCs w:val="24"/>
        </w:rPr>
      </w:pPr>
      <w:r>
        <w:rPr>
          <w:rFonts w:ascii="SimSun" w:hAnsi="SimSun" w:eastAsia="SimSun" w:cs="SimSun"/>
          <w:sz w:val="24"/>
          <w:szCs w:val="24"/>
          <w:spacing w:val="-1"/>
        </w:rPr>
        <w:t>劳动定员及工作制度：</w:t>
      </w:r>
      <w:r>
        <w:rPr>
          <w:rFonts w:ascii="Times New Roman" w:hAnsi="Times New Roman" w:eastAsia="Times New Roman" w:cs="Times New Roman"/>
          <w:sz w:val="24"/>
          <w:szCs w:val="24"/>
          <w:spacing w:val="-1"/>
        </w:rPr>
        <w:t>758 </w:t>
      </w:r>
      <w:r>
        <w:rPr>
          <w:rFonts w:ascii="SimSun" w:hAnsi="SimSun" w:eastAsia="SimSun" w:cs="SimSun"/>
          <w:sz w:val="24"/>
          <w:szCs w:val="24"/>
          <w:spacing w:val="-1"/>
        </w:rPr>
        <w:t>人；年工作</w:t>
      </w:r>
      <w:r>
        <w:rPr>
          <w:rFonts w:ascii="SimSun" w:hAnsi="SimSun" w:eastAsia="SimSun" w:cs="SimSun"/>
          <w:sz w:val="24"/>
          <w:szCs w:val="24"/>
          <w:spacing w:val="-2"/>
        </w:rPr>
        <w:t>制度为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2"/>
        </w:rPr>
        <w:t>330d</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，三班生产，一班检修。</w:t>
      </w:r>
    </w:p>
    <w:p>
      <w:pPr>
        <w:ind w:left="9" w:right="68" w:firstLine="483"/>
        <w:spacing w:before="154" w:line="341" w:lineRule="auto"/>
        <w:rPr>
          <w:rFonts w:ascii="SimSun" w:hAnsi="SimSun" w:eastAsia="SimSun" w:cs="SimSun"/>
          <w:sz w:val="24"/>
          <w:szCs w:val="24"/>
        </w:rPr>
      </w:pPr>
      <w:r>
        <w:rPr>
          <w:rFonts w:ascii="SimSun" w:hAnsi="SimSun" w:eastAsia="SimSun" w:cs="SimSun"/>
          <w:sz w:val="24"/>
          <w:szCs w:val="24"/>
          <w:spacing w:val="-1"/>
        </w:rPr>
        <w:t>项目投资：项目总投资</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33228</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1"/>
        </w:rPr>
        <w:t>万元。环保投资</w:t>
      </w:r>
      <w:r>
        <w:rPr>
          <w:rFonts w:ascii="SimSun" w:hAnsi="SimSun" w:eastAsia="SimSun" w:cs="SimSun"/>
          <w:sz w:val="24"/>
          <w:szCs w:val="24"/>
          <w:spacing w:val="-54"/>
        </w:rPr>
        <w:t xml:space="preserve"> </w:t>
      </w:r>
      <w:r>
        <w:rPr>
          <w:rFonts w:ascii="Times New Roman" w:hAnsi="Times New Roman" w:eastAsia="Times New Roman" w:cs="Times New Roman"/>
          <w:sz w:val="24"/>
          <w:szCs w:val="24"/>
          <w:spacing w:val="-1"/>
        </w:rPr>
        <w:t>4657.3</w:t>
      </w:r>
      <w:r>
        <w:rPr>
          <w:rFonts w:ascii="Times New Roman" w:hAnsi="Times New Roman" w:eastAsia="Times New Roman" w:cs="Times New Roman"/>
          <w:sz w:val="24"/>
          <w:szCs w:val="24"/>
          <w:spacing w:val="-2"/>
        </w:rPr>
        <w:t>8</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万元，环保投资占总投资比</w:t>
      </w:r>
      <w:r>
        <w:rPr>
          <w:rFonts w:ascii="SimSun" w:hAnsi="SimSun" w:eastAsia="SimSun" w:cs="SimSun"/>
          <w:sz w:val="24"/>
          <w:szCs w:val="24"/>
          <w:spacing w:val="-5"/>
        </w:rPr>
        <w:t>例</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5"/>
        </w:rPr>
        <w:t>14.02%</w:t>
      </w:r>
      <w:r>
        <w:rPr>
          <w:rFonts w:ascii="SimSun" w:hAnsi="SimSun" w:eastAsia="SimSun" w:cs="SimSun"/>
          <w:sz w:val="24"/>
          <w:szCs w:val="24"/>
          <w:spacing w:val="-5"/>
        </w:rPr>
        <w:t>。</w:t>
      </w:r>
    </w:p>
    <w:p>
      <w:pPr>
        <w:ind w:left="19"/>
        <w:spacing w:before="70" w:line="222" w:lineRule="auto"/>
        <w:outlineLvl w:val="1"/>
        <w:rPr>
          <w:rFonts w:ascii="SimHei" w:hAnsi="SimHei" w:eastAsia="SimHei" w:cs="SimHei"/>
          <w:sz w:val="30"/>
          <w:szCs w:val="30"/>
        </w:rPr>
      </w:pPr>
      <w:bookmarkStart w:name="bookmark70" w:id="119"/>
      <w:bookmarkEnd w:id="119"/>
      <w:r>
        <w:rPr>
          <w:rFonts w:ascii="Times New Roman" w:hAnsi="Times New Roman" w:eastAsia="Times New Roman" w:cs="Times New Roman"/>
          <w:sz w:val="30"/>
          <w:szCs w:val="30"/>
          <w:b/>
          <w:bCs/>
          <w:spacing w:val="-4"/>
        </w:rPr>
        <w:t>11.2 </w:t>
      </w:r>
      <w:r>
        <w:rPr>
          <w:rFonts w:ascii="SimHei" w:hAnsi="SimHei" w:eastAsia="SimHei" w:cs="SimHei"/>
          <w:sz w:val="30"/>
          <w:szCs w:val="30"/>
          <w:b/>
          <w:bCs/>
          <w:spacing w:val="-4"/>
        </w:rPr>
        <w:t>建设项目环境可行性分析</w:t>
      </w:r>
    </w:p>
    <w:p>
      <w:pPr>
        <w:ind w:left="18"/>
        <w:spacing w:before="256"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11.2.1 </w:t>
      </w:r>
      <w:r>
        <w:rPr>
          <w:rFonts w:ascii="SimHei" w:hAnsi="SimHei" w:eastAsia="SimHei" w:cs="SimHei"/>
          <w:sz w:val="28"/>
          <w:szCs w:val="28"/>
          <w:b/>
          <w:bCs/>
          <w:spacing w:val="-4"/>
        </w:rPr>
        <w:t>产业政策符合性</w:t>
      </w:r>
    </w:p>
    <w:p>
      <w:pPr>
        <w:ind w:left="10" w:right="66" w:firstLine="480"/>
        <w:spacing w:before="172" w:line="339" w:lineRule="auto"/>
        <w:rPr>
          <w:rFonts w:ascii="SimSun" w:hAnsi="SimSun" w:eastAsia="SimSun" w:cs="SimSun"/>
          <w:sz w:val="24"/>
          <w:szCs w:val="24"/>
        </w:rPr>
      </w:pPr>
      <w:r>
        <w:rPr>
          <w:rFonts w:ascii="SimSun" w:hAnsi="SimSun" w:eastAsia="SimSun" w:cs="SimSun"/>
          <w:sz w:val="24"/>
          <w:szCs w:val="24"/>
          <w:spacing w:val="-2"/>
        </w:rPr>
        <w:t>本项目只进行开采范围调整，产能维持不变，矿田范围不涉及自然保护区、生态保</w:t>
      </w:r>
      <w:r>
        <w:rPr>
          <w:rFonts w:ascii="SimSun" w:hAnsi="SimSun" w:eastAsia="SimSun" w:cs="SimSun"/>
          <w:sz w:val="24"/>
          <w:szCs w:val="24"/>
          <w:spacing w:val="-3"/>
        </w:rPr>
        <w:t>护红线，不属于《产业结构调整指导目录（</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年本）》中鼓励类、限制类和淘汰类项</w:t>
      </w:r>
      <w:r>
        <w:rPr>
          <w:rFonts w:ascii="SimSun" w:hAnsi="SimSun" w:eastAsia="SimSun" w:cs="SimSun"/>
          <w:sz w:val="24"/>
          <w:szCs w:val="24"/>
          <w:spacing w:val="-1"/>
        </w:rPr>
        <w:t>目，属于</w:t>
      </w:r>
      <w:r>
        <w:rPr>
          <w:rFonts w:ascii="Times New Roman" w:hAnsi="Times New Roman" w:eastAsia="Times New Roman" w:cs="Times New Roman"/>
          <w:sz w:val="24"/>
          <w:szCs w:val="24"/>
          <w:spacing w:val="-1"/>
        </w:rPr>
        <w:t>“</w:t>
      </w:r>
      <w:r>
        <w:rPr>
          <w:rFonts w:ascii="SimSun" w:hAnsi="SimSun" w:eastAsia="SimSun" w:cs="SimSun"/>
          <w:sz w:val="24"/>
          <w:szCs w:val="24"/>
          <w:spacing w:val="-1"/>
        </w:rPr>
        <w:t>允许类</w:t>
      </w:r>
      <w:r>
        <w:rPr>
          <w:rFonts w:ascii="Times New Roman" w:hAnsi="Times New Roman" w:eastAsia="Times New Roman" w:cs="Times New Roman"/>
          <w:sz w:val="24"/>
          <w:szCs w:val="24"/>
          <w:spacing w:val="-1"/>
        </w:rPr>
        <w:t>”</w:t>
      </w:r>
      <w:r>
        <w:rPr>
          <w:rFonts w:ascii="SimSun" w:hAnsi="SimSun" w:eastAsia="SimSun" w:cs="SimSun"/>
          <w:sz w:val="24"/>
          <w:szCs w:val="24"/>
          <w:spacing w:val="-1"/>
        </w:rPr>
        <w:t>项目；《煤炭产业政策》规定山西、内蒙古、陕西等省（区）新建、</w:t>
      </w:r>
      <w:r>
        <w:rPr>
          <w:rFonts w:ascii="SimSun" w:hAnsi="SimSun" w:eastAsia="SimSun" w:cs="SimSun"/>
          <w:sz w:val="24"/>
          <w:szCs w:val="24"/>
          <w:spacing w:val="-1"/>
        </w:rPr>
        <w:t>改扩建矿井规模不低于</w:t>
      </w:r>
      <w:r>
        <w:rPr>
          <w:rFonts w:ascii="SimSun" w:hAnsi="SimSun" w:eastAsia="SimSun" w:cs="SimSun"/>
          <w:sz w:val="24"/>
          <w:szCs w:val="24"/>
          <w:spacing w:val="-27"/>
        </w:rPr>
        <w:t xml:space="preserve"> </w:t>
      </w:r>
      <w:r>
        <w:rPr>
          <w:rFonts w:ascii="Times New Roman" w:hAnsi="Times New Roman" w:eastAsia="Times New Roman" w:cs="Times New Roman"/>
          <w:sz w:val="24"/>
          <w:szCs w:val="24"/>
          <w:spacing w:val="-1"/>
        </w:rPr>
        <w:t>120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w:t>
      </w:r>
      <w:r>
        <w:rPr>
          <w:rFonts w:ascii="SimSun" w:hAnsi="SimSun" w:eastAsia="SimSun" w:cs="SimSun"/>
          <w:sz w:val="24"/>
          <w:szCs w:val="24"/>
          <w:spacing w:val="-1"/>
        </w:rPr>
        <w:t>年，本项目规模为</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1"/>
        </w:rPr>
        <w:t>500</w:t>
      </w:r>
      <w:r>
        <w:rPr>
          <w:rFonts w:ascii="Times New Roman" w:hAnsi="Times New Roman" w:eastAsia="Times New Roman" w:cs="Times New Roman"/>
          <w:sz w:val="24"/>
          <w:szCs w:val="24"/>
          <w:spacing w:val="17"/>
          <w:w w:val="101"/>
        </w:rPr>
        <w:t xml:space="preserve"> </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w:t>
      </w:r>
      <w:r>
        <w:rPr>
          <w:rFonts w:ascii="SimSun" w:hAnsi="SimSun" w:eastAsia="SimSun" w:cs="SimSun"/>
          <w:sz w:val="24"/>
          <w:szCs w:val="24"/>
          <w:spacing w:val="-1"/>
        </w:rPr>
        <w:t>年，与</w:t>
      </w:r>
      <w:r>
        <w:rPr>
          <w:rFonts w:ascii="SimSun" w:hAnsi="SimSun" w:eastAsia="SimSun" w:cs="SimSun"/>
          <w:sz w:val="24"/>
          <w:szCs w:val="24"/>
          <w:spacing w:val="-2"/>
        </w:rPr>
        <w:t>《煤炭产业政策》</w:t>
      </w:r>
      <w:r>
        <w:rPr>
          <w:rFonts w:ascii="SimSun" w:hAnsi="SimSun" w:eastAsia="SimSun" w:cs="SimSun"/>
          <w:sz w:val="24"/>
          <w:szCs w:val="24"/>
          <w:spacing w:val="-2"/>
        </w:rPr>
        <w:t>的相关要求相符。</w:t>
      </w:r>
    </w:p>
    <w:p>
      <w:pPr>
        <w:ind w:left="18"/>
        <w:spacing w:before="89"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11.2.2 </w:t>
      </w:r>
      <w:r>
        <w:rPr>
          <w:rFonts w:ascii="SimHei" w:hAnsi="SimHei" w:eastAsia="SimHei" w:cs="SimHei"/>
          <w:sz w:val="28"/>
          <w:szCs w:val="28"/>
          <w:b/>
          <w:bCs/>
          <w:spacing w:val="-4"/>
        </w:rPr>
        <w:t>相关规划符合性</w:t>
      </w:r>
    </w:p>
    <w:p>
      <w:pPr>
        <w:ind w:left="488"/>
        <w:spacing w:before="169" w:line="217" w:lineRule="auto"/>
        <w:rPr>
          <w:rFonts w:ascii="SimSun" w:hAnsi="SimSun" w:eastAsia="SimSun" w:cs="SimSun"/>
          <w:sz w:val="24"/>
          <w:szCs w:val="24"/>
        </w:rPr>
      </w:pPr>
      <w:r>
        <w:rPr>
          <w:rFonts w:ascii="SimSun" w:hAnsi="SimSun" w:eastAsia="SimSun" w:cs="SimSun"/>
          <w:sz w:val="24"/>
          <w:szCs w:val="24"/>
          <w:spacing w:val="-1"/>
        </w:rPr>
        <w:t>①与矿区规划符合性分析</w:t>
      </w:r>
    </w:p>
    <w:p>
      <w:pPr>
        <w:ind w:left="8" w:right="66" w:firstLine="481"/>
        <w:spacing w:before="159" w:line="338" w:lineRule="auto"/>
        <w:rPr>
          <w:rFonts w:ascii="SimSun" w:hAnsi="SimSun" w:eastAsia="SimSun" w:cs="SimSun"/>
          <w:sz w:val="24"/>
          <w:szCs w:val="24"/>
        </w:rPr>
      </w:pPr>
      <w:r>
        <w:rPr>
          <w:rFonts w:ascii="SimSun" w:hAnsi="SimSun" w:eastAsia="SimSun" w:cs="SimSun"/>
          <w:sz w:val="24"/>
          <w:szCs w:val="24"/>
          <w:spacing w:val="-2"/>
        </w:rPr>
        <w:t>本次开采范围调整项目与《内蒙古自治区西乌珠穆沁旗白音华煤炭煤炭矿区总体规</w:t>
      </w:r>
      <w:r>
        <w:rPr>
          <w:rFonts w:ascii="SimSun" w:hAnsi="SimSun" w:eastAsia="SimSun" w:cs="SimSun"/>
          <w:sz w:val="24"/>
          <w:szCs w:val="24"/>
          <w:spacing w:val="-1"/>
        </w:rPr>
        <w:t>划（修编）环境影响报告书》审查意见的各项要求基本相符。</w:t>
      </w:r>
    </w:p>
    <w:p>
      <w:pPr>
        <w:ind w:left="10" w:right="57" w:firstLine="477"/>
        <w:spacing w:before="2" w:line="341" w:lineRule="auto"/>
        <w:rPr>
          <w:rFonts w:ascii="SimSun" w:hAnsi="SimSun" w:eastAsia="SimSun" w:cs="SimSun"/>
          <w:sz w:val="24"/>
          <w:szCs w:val="24"/>
        </w:rPr>
      </w:pPr>
      <w:r>
        <w:rPr>
          <w:rFonts w:ascii="SimSun" w:hAnsi="SimSun" w:eastAsia="SimSun" w:cs="SimSun"/>
          <w:sz w:val="24"/>
          <w:szCs w:val="24"/>
          <w:spacing w:val="-1"/>
        </w:rPr>
        <w:t>②与《关于进一步加强煤炭资源开发环境影响评价管理的通知》</w:t>
      </w:r>
      <w:r>
        <w:rPr>
          <w:rFonts w:ascii="SimSun" w:hAnsi="SimSun" w:eastAsia="SimSun" w:cs="SimSun"/>
          <w:sz w:val="24"/>
          <w:szCs w:val="24"/>
          <w:spacing w:val="-2"/>
        </w:rPr>
        <w:t>（环环评〔</w:t>
      </w:r>
      <w:r>
        <w:rPr>
          <w:rFonts w:ascii="Times New Roman" w:hAnsi="Times New Roman" w:eastAsia="Times New Roman" w:cs="Times New Roman"/>
          <w:sz w:val="24"/>
          <w:szCs w:val="24"/>
          <w:spacing w:val="-2"/>
        </w:rPr>
        <w:t>2020</w:t>
      </w:r>
      <w:r>
        <w:rPr>
          <w:rFonts w:ascii="SimSun" w:hAnsi="SimSun" w:eastAsia="SimSun" w:cs="SimSun"/>
          <w:sz w:val="24"/>
          <w:szCs w:val="24"/>
          <w:spacing w:val="-2"/>
        </w:rPr>
        <w:t>〕</w:t>
      </w:r>
      <w:r>
        <w:rPr>
          <w:rFonts w:ascii="SimSun" w:hAnsi="SimSun" w:eastAsia="SimSun" w:cs="SimSun"/>
          <w:sz w:val="24"/>
          <w:szCs w:val="24"/>
        </w:rPr>
        <w:t xml:space="preserve"> </w:t>
      </w:r>
      <w:r>
        <w:rPr>
          <w:rFonts w:ascii="Times New Roman" w:hAnsi="Times New Roman" w:eastAsia="Times New Roman" w:cs="Times New Roman"/>
          <w:sz w:val="24"/>
          <w:szCs w:val="24"/>
          <w:spacing w:val="-3"/>
        </w:rPr>
        <w:t>63</w:t>
      </w:r>
      <w:r>
        <w:rPr>
          <w:rFonts w:ascii="Times New Roman" w:hAnsi="Times New Roman" w:eastAsia="Times New Roman" w:cs="Times New Roman"/>
          <w:sz w:val="24"/>
          <w:szCs w:val="24"/>
          <w:spacing w:val="15"/>
          <w:w w:val="101"/>
        </w:rPr>
        <w:t xml:space="preserve"> </w:t>
      </w:r>
      <w:r>
        <w:rPr>
          <w:rFonts w:ascii="SimSun" w:hAnsi="SimSun" w:eastAsia="SimSun" w:cs="SimSun"/>
          <w:sz w:val="24"/>
          <w:szCs w:val="24"/>
          <w:spacing w:val="-3"/>
        </w:rPr>
        <w:t>号）相符性分析</w:t>
      </w:r>
    </w:p>
    <w:p>
      <w:pPr>
        <w:spacing w:line="341" w:lineRule="auto"/>
        <w:sectPr>
          <w:headerReference w:type="default" r:id="rId94"/>
          <w:footerReference w:type="default" r:id="rId578"/>
          <w:pgSz w:w="11906" w:h="16838"/>
          <w:pgMar w:top="1170" w:right="1351" w:bottom="725" w:left="1416" w:header="837" w:footer="562" w:gutter="0"/>
        </w:sectPr>
        <w:rPr>
          <w:rFonts w:ascii="SimSun" w:hAnsi="SimSun" w:eastAsia="SimSun" w:cs="SimSun"/>
          <w:sz w:val="24"/>
          <w:szCs w:val="24"/>
        </w:rPr>
      </w:pPr>
    </w:p>
    <w:p>
      <w:pPr>
        <w:pStyle w:val="BodyText"/>
        <w:spacing w:line="312" w:lineRule="auto"/>
        <w:rPr/>
      </w:pPr>
      <w:r/>
    </w:p>
    <w:p>
      <w:pPr>
        <w:ind w:left="19" w:right="104" w:firstLine="473"/>
        <w:spacing w:before="78" w:line="338" w:lineRule="auto"/>
        <w:rPr>
          <w:rFonts w:ascii="SimSun" w:hAnsi="SimSun" w:eastAsia="SimSun" w:cs="SimSun"/>
          <w:sz w:val="24"/>
          <w:szCs w:val="24"/>
        </w:rPr>
      </w:pPr>
      <w:r>
        <w:rPr>
          <w:rFonts w:ascii="SimSun" w:hAnsi="SimSun" w:eastAsia="SimSun" w:cs="SimSun"/>
          <w:sz w:val="24"/>
          <w:szCs w:val="24"/>
          <w:spacing w:val="-2"/>
        </w:rPr>
        <w:t>项目建设符合《关于进一步加强煤炭资源开发环境影响评价管理的通知》（环环评</w:t>
      </w:r>
      <w:r>
        <w:rPr>
          <w:rFonts w:ascii="Times New Roman" w:hAnsi="Times New Roman" w:eastAsia="Times New Roman" w:cs="Times New Roman"/>
          <w:sz w:val="24"/>
          <w:szCs w:val="24"/>
          <w:spacing w:val="-3"/>
        </w:rPr>
        <w:t>[2020]63</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3"/>
        </w:rPr>
        <w:t>号文件）要求。</w:t>
      </w:r>
    </w:p>
    <w:p>
      <w:pPr>
        <w:ind w:left="487"/>
        <w:spacing w:before="2" w:line="217" w:lineRule="auto"/>
        <w:rPr>
          <w:rFonts w:ascii="SimSun" w:hAnsi="SimSun" w:eastAsia="SimSun" w:cs="SimSun"/>
          <w:sz w:val="24"/>
          <w:szCs w:val="24"/>
        </w:rPr>
      </w:pPr>
      <w:r>
        <w:rPr>
          <w:rFonts w:ascii="SimSun" w:hAnsi="SimSun" w:eastAsia="SimSun" w:cs="SimSun"/>
          <w:sz w:val="24"/>
          <w:szCs w:val="24"/>
          <w:spacing w:val="-1"/>
        </w:rPr>
        <w:t>③与《内蒙古自治区主体功能区规划》的相符性分析</w:t>
      </w:r>
    </w:p>
    <w:p>
      <w:pPr>
        <w:ind w:left="10" w:right="104" w:firstLine="480"/>
        <w:spacing w:before="156" w:line="339" w:lineRule="auto"/>
        <w:rPr>
          <w:rFonts w:ascii="SimSun" w:hAnsi="SimSun" w:eastAsia="SimSun" w:cs="SimSun"/>
          <w:sz w:val="24"/>
          <w:szCs w:val="24"/>
        </w:rPr>
      </w:pPr>
      <w:r>
        <w:rPr>
          <w:rFonts w:ascii="SimSun" w:hAnsi="SimSun" w:eastAsia="SimSun" w:cs="SimSun"/>
          <w:sz w:val="24"/>
          <w:szCs w:val="24"/>
          <w:spacing w:val="-2"/>
        </w:rPr>
        <w:t>本项目位于西乌旗的白音华矿区，白音华矿区为国家已批复矿区，本项目的建设符</w:t>
      </w:r>
      <w:r>
        <w:rPr>
          <w:rFonts w:ascii="SimSun" w:hAnsi="SimSun" w:eastAsia="SimSun" w:cs="SimSun"/>
          <w:sz w:val="24"/>
          <w:szCs w:val="24"/>
          <w:spacing w:val="-1"/>
        </w:rPr>
        <w:t>合内蒙古自治区主体功能区规划的要求。</w:t>
      </w:r>
    </w:p>
    <w:p>
      <w:pPr>
        <w:ind w:left="487"/>
        <w:spacing w:line="217" w:lineRule="auto"/>
        <w:rPr>
          <w:rFonts w:ascii="SimSun" w:hAnsi="SimSun" w:eastAsia="SimSun" w:cs="SimSun"/>
          <w:sz w:val="24"/>
          <w:szCs w:val="24"/>
        </w:rPr>
      </w:pPr>
      <w:r>
        <w:rPr>
          <w:rFonts w:ascii="SimSun" w:hAnsi="SimSun" w:eastAsia="SimSun" w:cs="SimSun"/>
          <w:sz w:val="24"/>
          <w:szCs w:val="24"/>
        </w:rPr>
        <w:t>④与《内蒙古自治区矿产资源总体规划（</w:t>
      </w:r>
      <w:r>
        <w:rPr>
          <w:rFonts w:ascii="Times New Roman" w:hAnsi="Times New Roman" w:eastAsia="Times New Roman" w:cs="Times New Roman"/>
          <w:sz w:val="24"/>
          <w:szCs w:val="24"/>
        </w:rPr>
        <w:t>2021-2025 </w:t>
      </w:r>
      <w:r>
        <w:rPr>
          <w:rFonts w:ascii="SimSun" w:hAnsi="SimSun" w:eastAsia="SimSun" w:cs="SimSun"/>
          <w:sz w:val="24"/>
          <w:szCs w:val="24"/>
        </w:rPr>
        <w:t>年）</w:t>
      </w:r>
      <w:r>
        <w:rPr>
          <w:rFonts w:ascii="SimSun" w:hAnsi="SimSun" w:eastAsia="SimSun" w:cs="SimSun"/>
          <w:sz w:val="24"/>
          <w:szCs w:val="24"/>
          <w:spacing w:val="-1"/>
        </w:rPr>
        <w:t>》的符合性分析</w:t>
      </w:r>
    </w:p>
    <w:p>
      <w:pPr>
        <w:ind w:left="9" w:right="104" w:firstLine="480"/>
        <w:spacing w:before="156" w:line="339" w:lineRule="auto"/>
        <w:rPr>
          <w:rFonts w:ascii="SimSun" w:hAnsi="SimSun" w:eastAsia="SimSun" w:cs="SimSun"/>
          <w:sz w:val="24"/>
          <w:szCs w:val="24"/>
        </w:rPr>
      </w:pPr>
      <w:r>
        <w:rPr>
          <w:rFonts w:ascii="SimSun" w:hAnsi="SimSun" w:eastAsia="SimSun" w:cs="SimSun"/>
          <w:sz w:val="24"/>
          <w:szCs w:val="24"/>
          <w:spacing w:val="-2"/>
        </w:rPr>
        <w:t>本项目进行开采范围调整后，生产能力维持不变，符合《内蒙古自治区矿产资源总</w:t>
      </w:r>
      <w:r>
        <w:rPr>
          <w:rFonts w:ascii="SimSun" w:hAnsi="SimSun" w:eastAsia="SimSun" w:cs="SimSun"/>
          <w:sz w:val="24"/>
          <w:szCs w:val="24"/>
          <w:spacing w:val="-1"/>
        </w:rPr>
        <w:t>体规划（</w:t>
      </w:r>
      <w:r>
        <w:rPr>
          <w:rFonts w:ascii="Times New Roman" w:hAnsi="Times New Roman" w:eastAsia="Times New Roman" w:cs="Times New Roman"/>
          <w:sz w:val="24"/>
          <w:szCs w:val="24"/>
          <w:spacing w:val="-1"/>
        </w:rPr>
        <w:t>2021-2025 </w:t>
      </w:r>
      <w:r>
        <w:rPr>
          <w:rFonts w:ascii="SimSun" w:hAnsi="SimSun" w:eastAsia="SimSun" w:cs="SimSun"/>
          <w:sz w:val="24"/>
          <w:szCs w:val="24"/>
          <w:spacing w:val="-1"/>
        </w:rPr>
        <w:t>年）》相关要求。</w:t>
      </w:r>
    </w:p>
    <w:p>
      <w:pPr>
        <w:ind w:left="487"/>
        <w:spacing w:line="217" w:lineRule="auto"/>
        <w:rPr>
          <w:rFonts w:ascii="SimSun" w:hAnsi="SimSun" w:eastAsia="SimSun" w:cs="SimSun"/>
          <w:sz w:val="24"/>
          <w:szCs w:val="24"/>
        </w:rPr>
      </w:pPr>
      <w:r>
        <w:rPr>
          <w:rFonts w:ascii="SimSun" w:hAnsi="SimSun" w:eastAsia="SimSun" w:cs="SimSun"/>
          <w:sz w:val="24"/>
          <w:szCs w:val="24"/>
        </w:rPr>
        <w:t>⑤项目与《内蒙古自治区</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生态环境保护规划</w:t>
      </w:r>
      <w:r>
        <w:rPr>
          <w:rFonts w:ascii="SimSun" w:hAnsi="SimSun" w:eastAsia="SimSun" w:cs="SimSun"/>
          <w:sz w:val="24"/>
          <w:szCs w:val="24"/>
          <w:spacing w:val="-1"/>
        </w:rPr>
        <w:t>》符合性分析</w:t>
      </w:r>
    </w:p>
    <w:p>
      <w:pPr>
        <w:ind w:left="29" w:right="52" w:firstLine="461"/>
        <w:spacing w:before="156" w:line="339" w:lineRule="auto"/>
        <w:rPr>
          <w:rFonts w:ascii="SimSun" w:hAnsi="SimSun" w:eastAsia="SimSun" w:cs="SimSun"/>
          <w:sz w:val="24"/>
          <w:szCs w:val="24"/>
        </w:rPr>
      </w:pPr>
      <w:r>
        <w:rPr>
          <w:rFonts w:ascii="SimSun" w:hAnsi="SimSun" w:eastAsia="SimSun" w:cs="SimSun"/>
          <w:sz w:val="24"/>
          <w:szCs w:val="24"/>
          <w:spacing w:val="1"/>
        </w:rPr>
        <w:t>本项目评价范围内不涉及生态保护红线、自</w:t>
      </w:r>
      <w:r>
        <w:rPr>
          <w:rFonts w:ascii="SimSun" w:hAnsi="SimSun" w:eastAsia="SimSun" w:cs="SimSun"/>
          <w:sz w:val="24"/>
          <w:szCs w:val="24"/>
        </w:rPr>
        <w:t>然保护地。本项目建设符合</w:t>
      </w:r>
      <w:r>
        <w:rPr>
          <w:rFonts w:ascii="Times New Roman" w:hAnsi="Times New Roman" w:eastAsia="Times New Roman" w:cs="Times New Roman"/>
          <w:sz w:val="24"/>
          <w:szCs w:val="24"/>
        </w:rPr>
        <w:t>“</w:t>
      </w:r>
      <w:r>
        <w:rPr>
          <w:rFonts w:ascii="SimSun" w:hAnsi="SimSun" w:eastAsia="SimSun" w:cs="SimSun"/>
          <w:sz w:val="24"/>
          <w:szCs w:val="24"/>
        </w:rPr>
        <w:t>三线一单</w:t>
      </w:r>
      <w:r>
        <w:rPr>
          <w:rFonts w:ascii="Times New Roman" w:hAnsi="Times New Roman" w:eastAsia="Times New Roman" w:cs="Times New Roman"/>
          <w:sz w:val="24"/>
          <w:szCs w:val="24"/>
        </w:rPr>
        <w:t>”</w:t>
      </w:r>
      <w:r>
        <w:rPr>
          <w:rFonts w:ascii="SimSun" w:hAnsi="SimSun" w:eastAsia="SimSun" w:cs="SimSun"/>
          <w:sz w:val="24"/>
          <w:szCs w:val="24"/>
          <w:spacing w:val="-1"/>
        </w:rPr>
        <w:t>的相应要求。本项目符合内蒙古自治区</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十四五</w:t>
      </w:r>
      <w:r>
        <w:rPr>
          <w:rFonts w:ascii="Times New Roman" w:hAnsi="Times New Roman" w:eastAsia="Times New Roman" w:cs="Times New Roman"/>
          <w:sz w:val="24"/>
          <w:szCs w:val="24"/>
          <w:spacing w:val="-1"/>
        </w:rPr>
        <w:t>”</w:t>
      </w:r>
      <w:r>
        <w:rPr>
          <w:rFonts w:ascii="SimSun" w:hAnsi="SimSun" w:eastAsia="SimSun" w:cs="SimSun"/>
          <w:sz w:val="24"/>
          <w:szCs w:val="24"/>
          <w:spacing w:val="-1"/>
        </w:rPr>
        <w:t>生态环境保护规划要求。</w:t>
      </w:r>
    </w:p>
    <w:p>
      <w:pPr>
        <w:ind w:left="487"/>
        <w:spacing w:line="217" w:lineRule="auto"/>
        <w:rPr>
          <w:rFonts w:ascii="SimSun" w:hAnsi="SimSun" w:eastAsia="SimSun" w:cs="SimSun"/>
          <w:sz w:val="24"/>
          <w:szCs w:val="24"/>
        </w:rPr>
      </w:pPr>
      <w:r>
        <w:rPr>
          <w:rFonts w:ascii="SimSun" w:hAnsi="SimSun" w:eastAsia="SimSun" w:cs="SimSun"/>
          <w:sz w:val="24"/>
          <w:szCs w:val="24"/>
        </w:rPr>
        <w:t>⑥与《内蒙古自治区煤炭工业发展</w:t>
      </w:r>
      <w:r>
        <w:rPr>
          <w:rFonts w:ascii="Times New Roman" w:hAnsi="Times New Roman" w:eastAsia="Times New Roman" w:cs="Times New Roman"/>
          <w:sz w:val="24"/>
          <w:szCs w:val="24"/>
        </w:rPr>
        <w:t>“</w:t>
      </w:r>
      <w:r>
        <w:rPr>
          <w:rFonts w:ascii="SimSun" w:hAnsi="SimSun" w:eastAsia="SimSun" w:cs="SimSun"/>
          <w:sz w:val="24"/>
          <w:szCs w:val="24"/>
        </w:rPr>
        <w:t>十四五</w:t>
      </w:r>
      <w:r>
        <w:rPr>
          <w:rFonts w:ascii="Times New Roman" w:hAnsi="Times New Roman" w:eastAsia="Times New Roman" w:cs="Times New Roman"/>
          <w:sz w:val="24"/>
          <w:szCs w:val="24"/>
        </w:rPr>
        <w:t>”</w:t>
      </w:r>
      <w:r>
        <w:rPr>
          <w:rFonts w:ascii="SimSun" w:hAnsi="SimSun" w:eastAsia="SimSun" w:cs="SimSun"/>
          <w:sz w:val="24"/>
          <w:szCs w:val="24"/>
        </w:rPr>
        <w:t>规划</w:t>
      </w:r>
      <w:r>
        <w:rPr>
          <w:rFonts w:ascii="SimSun" w:hAnsi="SimSun" w:eastAsia="SimSun" w:cs="SimSun"/>
          <w:sz w:val="24"/>
          <w:szCs w:val="24"/>
          <w:spacing w:val="-1"/>
        </w:rPr>
        <w:t>》符合性分析</w:t>
      </w:r>
    </w:p>
    <w:p>
      <w:pPr>
        <w:ind w:left="13" w:right="104" w:firstLine="477"/>
        <w:spacing w:before="156" w:line="339" w:lineRule="auto"/>
        <w:rPr>
          <w:rFonts w:ascii="SimSun" w:hAnsi="SimSun" w:eastAsia="SimSun" w:cs="SimSun"/>
          <w:sz w:val="24"/>
          <w:szCs w:val="24"/>
        </w:rPr>
      </w:pPr>
      <w:r>
        <w:rPr>
          <w:rFonts w:ascii="SimSun" w:hAnsi="SimSun" w:eastAsia="SimSun" w:cs="SimSun"/>
          <w:sz w:val="24"/>
          <w:szCs w:val="24"/>
          <w:spacing w:val="-1"/>
        </w:rPr>
        <w:t>本项目露天区设计生产能力为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
        </w:rPr>
        <w:t>500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万吨</w:t>
      </w:r>
      <w:r>
        <w:rPr>
          <w:rFonts w:ascii="Times New Roman" w:hAnsi="Times New Roman" w:eastAsia="Times New Roman" w:cs="Times New Roman"/>
          <w:sz w:val="24"/>
          <w:szCs w:val="24"/>
          <w:spacing w:val="-1"/>
        </w:rPr>
        <w:t>/</w:t>
      </w:r>
      <w:r>
        <w:rPr>
          <w:rFonts w:ascii="SimSun" w:hAnsi="SimSun" w:eastAsia="SimSun" w:cs="SimSun"/>
          <w:sz w:val="24"/>
          <w:szCs w:val="24"/>
          <w:spacing w:val="-1"/>
        </w:rPr>
        <w:t>年，与《内蒙古自治区煤炭工业发展</w:t>
      </w:r>
      <w:r>
        <w:rPr>
          <w:rFonts w:ascii="Times New Roman" w:hAnsi="Times New Roman" w:eastAsia="Times New Roman" w:cs="Times New Roman"/>
          <w:sz w:val="24"/>
          <w:szCs w:val="24"/>
          <w:spacing w:val="-1"/>
        </w:rPr>
        <w:t>“</w:t>
      </w:r>
      <w:r>
        <w:rPr>
          <w:rFonts w:ascii="SimSun" w:hAnsi="SimSun" w:eastAsia="SimSun" w:cs="SimSun"/>
          <w:sz w:val="24"/>
          <w:szCs w:val="24"/>
          <w:spacing w:val="-1"/>
        </w:rPr>
        <w:t>十四</w:t>
      </w:r>
      <w:r>
        <w:rPr>
          <w:rFonts w:ascii="SimSun" w:hAnsi="SimSun" w:eastAsia="SimSun" w:cs="SimSun"/>
          <w:sz w:val="24"/>
          <w:szCs w:val="24"/>
          <w:spacing w:val="-1"/>
        </w:rPr>
        <w:t>五</w:t>
      </w:r>
      <w:r>
        <w:rPr>
          <w:rFonts w:ascii="Times New Roman" w:hAnsi="Times New Roman" w:eastAsia="Times New Roman" w:cs="Times New Roman"/>
          <w:sz w:val="24"/>
          <w:szCs w:val="24"/>
          <w:spacing w:val="-1"/>
        </w:rPr>
        <w:t>”</w:t>
      </w:r>
      <w:r>
        <w:rPr>
          <w:rFonts w:ascii="SimSun" w:hAnsi="SimSun" w:eastAsia="SimSun" w:cs="SimSun"/>
          <w:sz w:val="24"/>
          <w:szCs w:val="24"/>
          <w:spacing w:val="-1"/>
        </w:rPr>
        <w:t>规划》中的相关要求相符。</w:t>
      </w:r>
    </w:p>
    <w:p>
      <w:pPr>
        <w:ind w:left="487"/>
        <w:spacing w:line="217" w:lineRule="auto"/>
        <w:rPr>
          <w:rFonts w:ascii="SimSun" w:hAnsi="SimSun" w:eastAsia="SimSun" w:cs="SimSun"/>
          <w:sz w:val="24"/>
          <w:szCs w:val="24"/>
        </w:rPr>
      </w:pPr>
      <w:r>
        <w:rPr>
          <w:rFonts w:ascii="SimSun" w:hAnsi="SimSun" w:eastAsia="SimSun" w:cs="SimSun"/>
          <w:sz w:val="24"/>
          <w:szCs w:val="24"/>
        </w:rPr>
        <w:t>⑦与《锡林郭勒盟国土空间规划（</w:t>
      </w:r>
      <w:r>
        <w:rPr>
          <w:rFonts w:ascii="Times New Roman" w:hAnsi="Times New Roman" w:eastAsia="Times New Roman" w:cs="Times New Roman"/>
          <w:sz w:val="24"/>
          <w:szCs w:val="24"/>
        </w:rPr>
        <w:t>2021-2035 </w:t>
      </w:r>
      <w:r>
        <w:rPr>
          <w:rFonts w:ascii="SimSun" w:hAnsi="SimSun" w:eastAsia="SimSun" w:cs="SimSun"/>
          <w:sz w:val="24"/>
          <w:szCs w:val="24"/>
        </w:rPr>
        <w:t>年</w:t>
      </w:r>
      <w:r>
        <w:rPr>
          <w:rFonts w:ascii="SimSun" w:hAnsi="SimSun" w:eastAsia="SimSun" w:cs="SimSun"/>
          <w:sz w:val="24"/>
          <w:szCs w:val="24"/>
          <w:spacing w:val="-1"/>
        </w:rPr>
        <w:t>）》相符性分析</w:t>
      </w:r>
    </w:p>
    <w:p>
      <w:pPr>
        <w:ind w:left="493"/>
        <w:spacing w:before="157" w:line="219" w:lineRule="auto"/>
        <w:rPr>
          <w:rFonts w:ascii="SimSun" w:hAnsi="SimSun" w:eastAsia="SimSun" w:cs="SimSun"/>
          <w:sz w:val="24"/>
          <w:szCs w:val="24"/>
        </w:rPr>
      </w:pPr>
      <w:r>
        <w:rPr>
          <w:rFonts w:ascii="SimSun" w:hAnsi="SimSun" w:eastAsia="SimSun" w:cs="SimSun"/>
          <w:sz w:val="24"/>
          <w:szCs w:val="24"/>
        </w:rPr>
        <w:t>项目改建后，调整范围不涉及占用草原。项目建</w:t>
      </w:r>
      <w:r>
        <w:rPr>
          <w:rFonts w:ascii="SimSun" w:hAnsi="SimSun" w:eastAsia="SimSun" w:cs="SimSun"/>
          <w:sz w:val="24"/>
          <w:szCs w:val="24"/>
          <w:spacing w:val="-1"/>
        </w:rPr>
        <w:t>设符合国土空间规划的相关要求。</w:t>
      </w:r>
    </w:p>
    <w:p>
      <w:pPr>
        <w:ind w:left="15" w:right="104" w:firstLine="472"/>
        <w:spacing w:before="154" w:line="339" w:lineRule="auto"/>
        <w:rPr>
          <w:rFonts w:ascii="SimSun" w:hAnsi="SimSun" w:eastAsia="SimSun" w:cs="SimSun"/>
          <w:sz w:val="24"/>
          <w:szCs w:val="24"/>
        </w:rPr>
      </w:pPr>
      <w:r>
        <w:rPr>
          <w:rFonts w:ascii="SimSun" w:hAnsi="SimSun" w:eastAsia="SimSun" w:cs="SimSun"/>
          <w:sz w:val="24"/>
          <w:szCs w:val="24"/>
          <w:spacing w:val="-4"/>
        </w:rPr>
        <w:t>⑧与《关于实行征占用草原林地分区用途管控的通知</w:t>
      </w:r>
      <w:r>
        <w:rPr>
          <w:rFonts w:ascii="SimSun" w:hAnsi="SimSun" w:eastAsia="SimSun" w:cs="SimSun"/>
          <w:sz w:val="24"/>
          <w:szCs w:val="24"/>
          <w:spacing w:val="-5"/>
        </w:rPr>
        <w:t>》（内林草草监发〔2021〕257</w:t>
      </w:r>
      <w:r>
        <w:rPr>
          <w:rFonts w:ascii="SimSun" w:hAnsi="SimSun" w:eastAsia="SimSun" w:cs="SimSun"/>
          <w:sz w:val="24"/>
          <w:szCs w:val="24"/>
          <w:spacing w:val="-2"/>
        </w:rPr>
        <w:t>号）的相符性分析</w:t>
      </w:r>
    </w:p>
    <w:p>
      <w:pPr>
        <w:ind w:left="490"/>
        <w:spacing w:before="1" w:line="218" w:lineRule="auto"/>
        <w:rPr>
          <w:rFonts w:ascii="SimSun" w:hAnsi="SimSun" w:eastAsia="SimSun" w:cs="SimSun"/>
          <w:sz w:val="24"/>
          <w:szCs w:val="24"/>
        </w:rPr>
      </w:pPr>
      <w:r>
        <w:rPr>
          <w:rFonts w:ascii="SimSun" w:hAnsi="SimSun" w:eastAsia="SimSun" w:cs="SimSun"/>
          <w:sz w:val="24"/>
          <w:szCs w:val="24"/>
          <w:spacing w:val="-1"/>
        </w:rPr>
        <w:t>本项目改建工程不占用基本草原，满足管控通知的相应要求。</w:t>
      </w:r>
    </w:p>
    <w:p>
      <w:pPr>
        <w:ind w:left="487"/>
        <w:spacing w:before="155" w:line="217" w:lineRule="auto"/>
        <w:rPr>
          <w:rFonts w:ascii="SimSun" w:hAnsi="SimSun" w:eastAsia="SimSun" w:cs="SimSun"/>
          <w:sz w:val="24"/>
          <w:szCs w:val="24"/>
        </w:rPr>
      </w:pPr>
      <w:r>
        <w:rPr>
          <w:rFonts w:ascii="SimSun" w:hAnsi="SimSun" w:eastAsia="SimSun" w:cs="SimSun"/>
          <w:sz w:val="24"/>
          <w:szCs w:val="24"/>
          <w:spacing w:val="-1"/>
        </w:rPr>
        <w:t>⑨与《内蒙古自治区基本草原保护条例》的相符性分析</w:t>
      </w:r>
    </w:p>
    <w:p>
      <w:pPr>
        <w:ind w:left="490"/>
        <w:spacing w:before="159" w:line="219" w:lineRule="auto"/>
        <w:rPr>
          <w:rFonts w:ascii="SimSun" w:hAnsi="SimSun" w:eastAsia="SimSun" w:cs="SimSun"/>
          <w:sz w:val="24"/>
          <w:szCs w:val="24"/>
        </w:rPr>
      </w:pPr>
      <w:r>
        <w:rPr>
          <w:rFonts w:ascii="SimSun" w:hAnsi="SimSun" w:eastAsia="SimSun" w:cs="SimSun"/>
          <w:sz w:val="24"/>
          <w:szCs w:val="24"/>
          <w:spacing w:val="-1"/>
        </w:rPr>
        <w:t>本项目改建工程不占用基本草原，满足保护条例的相关要求。</w:t>
      </w:r>
    </w:p>
    <w:p>
      <w:pPr>
        <w:ind w:left="13" w:right="296" w:firstLine="474"/>
        <w:spacing w:before="154" w:line="339" w:lineRule="auto"/>
        <w:rPr>
          <w:rFonts w:ascii="SimSun" w:hAnsi="SimSun" w:eastAsia="SimSun" w:cs="SimSun"/>
          <w:sz w:val="24"/>
          <w:szCs w:val="24"/>
        </w:rPr>
      </w:pPr>
      <w:r>
        <w:rPr>
          <w:rFonts w:ascii="SimSun" w:hAnsi="SimSun" w:eastAsia="SimSun" w:cs="SimSun"/>
          <w:sz w:val="24"/>
          <w:szCs w:val="24"/>
        </w:rPr>
        <w:t>⑩与《内蒙古自治区人民政府办公厅关于矿产资源开发中加</w:t>
      </w:r>
      <w:r>
        <w:rPr>
          <w:rFonts w:ascii="SimSun" w:hAnsi="SimSun" w:eastAsia="SimSun" w:cs="SimSun"/>
          <w:sz w:val="24"/>
          <w:szCs w:val="24"/>
          <w:spacing w:val="-1"/>
        </w:rPr>
        <w:t>强草原生态保护的意</w:t>
      </w:r>
      <w:r>
        <w:rPr>
          <w:rFonts w:ascii="SimSun" w:hAnsi="SimSun" w:eastAsia="SimSun" w:cs="SimSun"/>
          <w:sz w:val="24"/>
          <w:szCs w:val="24"/>
          <w:spacing w:val="-2"/>
        </w:rPr>
        <w:t>见》的相符性分析</w:t>
      </w:r>
    </w:p>
    <w:p>
      <w:pPr>
        <w:ind w:left="490"/>
        <w:spacing w:before="1" w:line="218" w:lineRule="auto"/>
        <w:rPr>
          <w:rFonts w:ascii="SimSun" w:hAnsi="SimSun" w:eastAsia="SimSun" w:cs="SimSun"/>
          <w:sz w:val="24"/>
          <w:szCs w:val="24"/>
        </w:rPr>
      </w:pPr>
      <w:r>
        <w:rPr>
          <w:rFonts w:ascii="SimSun" w:hAnsi="SimSun" w:eastAsia="SimSun" w:cs="SimSun"/>
          <w:sz w:val="24"/>
          <w:szCs w:val="24"/>
          <w:spacing w:val="-1"/>
        </w:rPr>
        <w:t>本项目改建工程不占用基本草原，满足保护意见的相应要求。</w:t>
      </w:r>
    </w:p>
    <w:p>
      <w:pPr>
        <w:ind w:left="411"/>
        <w:spacing w:before="155" w:line="216" w:lineRule="auto"/>
        <w:rPr>
          <w:rFonts w:ascii="SimSun" w:hAnsi="SimSun" w:eastAsia="SimSun" w:cs="SimSun"/>
          <w:sz w:val="24"/>
          <w:szCs w:val="24"/>
        </w:rPr>
      </w:pPr>
      <w:r>
        <w:rPr>
          <w:rFonts w:ascii="MS PGothic" w:hAnsi="MS PGothic" w:eastAsia="MS PGothic" w:cs="MS PGothic"/>
          <w:sz w:val="24"/>
          <w:szCs w:val="24"/>
        </w:rPr>
        <w:t>⑪</w:t>
      </w:r>
      <w:r>
        <w:rPr>
          <w:rFonts w:ascii="SimSun" w:hAnsi="SimSun" w:eastAsia="SimSun" w:cs="SimSun"/>
          <w:sz w:val="24"/>
          <w:szCs w:val="24"/>
        </w:rPr>
        <w:t>与《矿山生态环境保护与恢复治理技术规</w:t>
      </w:r>
      <w:r>
        <w:rPr>
          <w:rFonts w:ascii="SimSun" w:hAnsi="SimSun" w:eastAsia="SimSun" w:cs="SimSun"/>
          <w:sz w:val="24"/>
          <w:szCs w:val="24"/>
          <w:spacing w:val="-1"/>
        </w:rPr>
        <w:t>范》符合性分析</w:t>
      </w:r>
    </w:p>
    <w:p>
      <w:pPr>
        <w:ind w:left="10" w:firstLine="480"/>
        <w:spacing w:before="157" w:line="341" w:lineRule="auto"/>
        <w:rPr>
          <w:rFonts w:ascii="SimSun" w:hAnsi="SimSun" w:eastAsia="SimSun" w:cs="SimSun"/>
          <w:sz w:val="24"/>
          <w:szCs w:val="24"/>
        </w:rPr>
      </w:pPr>
      <w:r>
        <w:rPr>
          <w:rFonts w:ascii="SimSun" w:hAnsi="SimSun" w:eastAsia="SimSun" w:cs="SimSun"/>
          <w:sz w:val="24"/>
          <w:szCs w:val="24"/>
          <w:spacing w:val="-2"/>
        </w:rPr>
        <w:t>本矿产资源开发活动符合国家和区域主体功能区规划、生态功能区划、生态环境保</w:t>
      </w:r>
      <w:r>
        <w:rPr>
          <w:rFonts w:ascii="SimSun" w:hAnsi="SimSun" w:eastAsia="SimSun" w:cs="SimSun"/>
          <w:sz w:val="24"/>
          <w:szCs w:val="24"/>
          <w:spacing w:val="-9"/>
        </w:rPr>
        <w:t>护规划的要求；本项目建设符合《矿山生态环境保护与恢复治理</w:t>
      </w:r>
      <w:r>
        <w:rPr>
          <w:rFonts w:ascii="SimSun" w:hAnsi="SimSun" w:eastAsia="SimSun" w:cs="SimSun"/>
          <w:sz w:val="24"/>
          <w:szCs w:val="24"/>
          <w:spacing w:val="-10"/>
        </w:rPr>
        <w:t>技术规范》（</w:t>
      </w:r>
      <w:r>
        <w:rPr>
          <w:rFonts w:ascii="Times New Roman" w:hAnsi="Times New Roman" w:eastAsia="Times New Roman" w:cs="Times New Roman"/>
          <w:sz w:val="24"/>
          <w:szCs w:val="24"/>
          <w:spacing w:val="-10"/>
        </w:rPr>
        <w:t>HJ651-2013</w:t>
      </w:r>
      <w:r>
        <w:rPr>
          <w:rFonts w:ascii="SimSun" w:hAnsi="SimSun" w:eastAsia="SimSun" w:cs="SimSun"/>
          <w:sz w:val="24"/>
          <w:szCs w:val="24"/>
          <w:spacing w:val="-10"/>
        </w:rPr>
        <w:t>）</w:t>
      </w:r>
      <w:r>
        <w:rPr>
          <w:rFonts w:ascii="SimSun" w:hAnsi="SimSun" w:eastAsia="SimSun" w:cs="SimSun"/>
          <w:sz w:val="24"/>
          <w:szCs w:val="24"/>
          <w:spacing w:val="-3"/>
        </w:rPr>
        <w:t>的要求。</w:t>
      </w:r>
    </w:p>
    <w:p>
      <w:pPr>
        <w:ind w:left="18"/>
        <w:spacing w:before="85" w:line="224" w:lineRule="auto"/>
        <w:rPr>
          <w:rFonts w:ascii="SimHei" w:hAnsi="SimHei" w:eastAsia="SimHei" w:cs="SimHei"/>
          <w:sz w:val="28"/>
          <w:szCs w:val="28"/>
        </w:rPr>
      </w:pPr>
      <w:r>
        <w:rPr>
          <w:rFonts w:ascii="Times New Roman" w:hAnsi="Times New Roman" w:eastAsia="Times New Roman" w:cs="Times New Roman"/>
          <w:sz w:val="28"/>
          <w:szCs w:val="28"/>
          <w:b/>
          <w:bCs/>
          <w:spacing w:val="-4"/>
        </w:rPr>
        <w:t>11.2.3 </w:t>
      </w:r>
      <w:r>
        <w:rPr>
          <w:rFonts w:ascii="SimHei" w:hAnsi="SimHei" w:eastAsia="SimHei" w:cs="SimHei"/>
          <w:sz w:val="28"/>
          <w:szCs w:val="28"/>
          <w:b/>
          <w:bCs/>
          <w:spacing w:val="-4"/>
        </w:rPr>
        <w:t>选址合理性</w:t>
      </w:r>
    </w:p>
    <w:p>
      <w:pPr>
        <w:ind w:left="10" w:right="104" w:firstLine="480"/>
        <w:spacing w:before="166" w:line="340" w:lineRule="auto"/>
        <w:jc w:val="both"/>
        <w:rPr>
          <w:rFonts w:ascii="SimSun" w:hAnsi="SimSun" w:eastAsia="SimSun" w:cs="SimSun"/>
          <w:sz w:val="24"/>
          <w:szCs w:val="24"/>
        </w:rPr>
      </w:pPr>
      <w:r>
        <w:rPr>
          <w:rFonts w:ascii="SimSun" w:hAnsi="SimSun" w:eastAsia="SimSun" w:cs="SimSun"/>
          <w:sz w:val="24"/>
          <w:szCs w:val="24"/>
          <w:spacing w:val="-2"/>
        </w:rPr>
        <w:t>本项目位于内蒙古自治区锡林郭勒盟西乌珠穆沁旗白音华苏木，行政区划隶属西乌</w:t>
      </w:r>
      <w:r>
        <w:rPr>
          <w:rFonts w:ascii="SimSun" w:hAnsi="SimSun" w:eastAsia="SimSun" w:cs="SimSun"/>
          <w:sz w:val="24"/>
          <w:szCs w:val="24"/>
          <w:spacing w:val="-2"/>
        </w:rPr>
        <w:t>珠穆沁旗管辖。矿区范围内无自然保护区、风景名胜区、文物古迹、水源地保护区等环</w:t>
      </w:r>
      <w:r>
        <w:rPr>
          <w:rFonts w:ascii="SimSun" w:hAnsi="SimSun" w:eastAsia="SimSun" w:cs="SimSun"/>
          <w:sz w:val="24"/>
          <w:szCs w:val="24"/>
        </w:rPr>
        <w:t>境敏感区。本次改建不涉及新增占地，因此</w:t>
      </w:r>
      <w:r>
        <w:rPr>
          <w:rFonts w:ascii="SimSun" w:hAnsi="SimSun" w:eastAsia="SimSun" w:cs="SimSun"/>
          <w:sz w:val="24"/>
          <w:szCs w:val="24"/>
          <w:spacing w:val="-1"/>
        </w:rPr>
        <w:t>本次改扩建项目选址合理。</w:t>
      </w:r>
    </w:p>
    <w:p>
      <w:pPr>
        <w:spacing w:line="340" w:lineRule="auto"/>
        <w:sectPr>
          <w:headerReference w:type="default" r:id="rId579"/>
          <w:footerReference w:type="default" r:id="rId580"/>
          <w:pgSz w:w="11906" w:h="16838"/>
          <w:pgMar w:top="1170" w:right="1313" w:bottom="725" w:left="1416" w:header="837" w:footer="562" w:gutter="0"/>
        </w:sectPr>
        <w:rPr>
          <w:rFonts w:ascii="SimSun" w:hAnsi="SimSun" w:eastAsia="SimSun" w:cs="SimSun"/>
          <w:sz w:val="24"/>
          <w:szCs w:val="24"/>
        </w:rPr>
      </w:pPr>
    </w:p>
    <w:p>
      <w:pPr>
        <w:pStyle w:val="BodyText"/>
        <w:spacing w:line="391" w:lineRule="auto"/>
        <w:rPr/>
      </w:pPr>
      <w:r/>
    </w:p>
    <w:p>
      <w:pPr>
        <w:ind w:left="18"/>
        <w:spacing w:before="91" w:line="220" w:lineRule="auto"/>
        <w:rPr>
          <w:rFonts w:ascii="SimHei" w:hAnsi="SimHei" w:eastAsia="SimHei" w:cs="SimHei"/>
          <w:sz w:val="28"/>
          <w:szCs w:val="28"/>
        </w:rPr>
      </w:pPr>
      <w:bookmarkStart w:name="bookmark124" w:id="120"/>
      <w:bookmarkEnd w:id="120"/>
      <w:r>
        <w:rPr>
          <w:rFonts w:ascii="Times New Roman" w:hAnsi="Times New Roman" w:eastAsia="Times New Roman" w:cs="Times New Roman"/>
          <w:sz w:val="28"/>
          <w:szCs w:val="28"/>
          <w:b/>
          <w:bCs/>
          <w:spacing w:val="-3"/>
        </w:rPr>
        <w:t>11.2.4 </w:t>
      </w:r>
      <w:r>
        <w:rPr>
          <w:rFonts w:ascii="SimHei" w:hAnsi="SimHei" w:eastAsia="SimHei" w:cs="SimHei"/>
          <w:sz w:val="28"/>
          <w:szCs w:val="28"/>
          <w:b/>
          <w:bCs/>
          <w:spacing w:val="-3"/>
        </w:rPr>
        <w:t>环境保护</w:t>
      </w:r>
      <w:r>
        <w:rPr>
          <w:rFonts w:ascii="Times New Roman" w:hAnsi="Times New Roman" w:eastAsia="Times New Roman" w:cs="Times New Roman"/>
          <w:sz w:val="28"/>
          <w:szCs w:val="28"/>
          <w:b/>
          <w:bCs/>
          <w:spacing w:val="-3"/>
        </w:rPr>
        <w:t>“</w:t>
      </w:r>
      <w:r>
        <w:rPr>
          <w:rFonts w:ascii="SimHei" w:hAnsi="SimHei" w:eastAsia="SimHei" w:cs="SimHei"/>
          <w:sz w:val="28"/>
          <w:szCs w:val="28"/>
          <w:b/>
          <w:bCs/>
          <w:spacing w:val="-3"/>
        </w:rPr>
        <w:t>三线一单</w:t>
      </w:r>
      <w:r>
        <w:rPr>
          <w:rFonts w:ascii="Times New Roman" w:hAnsi="Times New Roman" w:eastAsia="Times New Roman" w:cs="Times New Roman"/>
          <w:sz w:val="28"/>
          <w:szCs w:val="28"/>
          <w:b/>
          <w:bCs/>
          <w:spacing w:val="-3"/>
        </w:rPr>
        <w:t>”</w:t>
      </w:r>
      <w:r>
        <w:rPr>
          <w:rFonts w:ascii="SimHei" w:hAnsi="SimHei" w:eastAsia="SimHei" w:cs="SimHei"/>
          <w:sz w:val="28"/>
          <w:szCs w:val="28"/>
          <w:b/>
          <w:bCs/>
          <w:spacing w:val="-3"/>
        </w:rPr>
        <w:t>符合性</w:t>
      </w:r>
    </w:p>
    <w:p>
      <w:pPr>
        <w:ind w:left="434"/>
        <w:spacing w:before="174" w:line="219" w:lineRule="auto"/>
        <w:rPr>
          <w:rFonts w:ascii="SimSun" w:hAnsi="SimSun" w:eastAsia="SimSun" w:cs="SimSun"/>
          <w:sz w:val="24"/>
          <w:szCs w:val="24"/>
        </w:rPr>
      </w:pP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指的是生态保护红线、环境质量底线、资源利用上线以及负面清单。</w:t>
      </w:r>
    </w:p>
    <w:p>
      <w:pPr>
        <w:ind w:left="508"/>
        <w:spacing w:before="154" w:line="220"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SimSun" w:hAnsi="SimSun" w:eastAsia="SimSun" w:cs="SimSun"/>
          <w:sz w:val="24"/>
          <w:szCs w:val="24"/>
          <w:spacing w:val="-4"/>
        </w:rPr>
        <w:t>）生态保护红线</w:t>
      </w:r>
    </w:p>
    <w:p>
      <w:pPr>
        <w:ind w:left="9" w:right="66" w:firstLine="480"/>
        <w:spacing w:before="155" w:line="338" w:lineRule="auto"/>
        <w:rPr>
          <w:rFonts w:ascii="SimSun" w:hAnsi="SimSun" w:eastAsia="SimSun" w:cs="SimSun"/>
          <w:sz w:val="24"/>
          <w:szCs w:val="24"/>
        </w:rPr>
      </w:pPr>
      <w:r>
        <w:rPr>
          <w:rFonts w:ascii="SimSun" w:hAnsi="SimSun" w:eastAsia="SimSun" w:cs="SimSun"/>
          <w:sz w:val="24"/>
          <w:szCs w:val="24"/>
          <w:spacing w:val="-2"/>
        </w:rPr>
        <w:t>本项目位于西乌珠穆沁旗白音华矿区内，本项目评价范围内无自然保护区、风景名</w:t>
      </w:r>
      <w:r>
        <w:rPr>
          <w:rFonts w:ascii="SimSun" w:hAnsi="SimSun" w:eastAsia="SimSun" w:cs="SimSun"/>
          <w:sz w:val="24"/>
          <w:szCs w:val="24"/>
        </w:rPr>
        <w:t>胜区、水源地保护区等环境保护目标，也不</w:t>
      </w:r>
      <w:r>
        <w:rPr>
          <w:rFonts w:ascii="SimSun" w:hAnsi="SimSun" w:eastAsia="SimSun" w:cs="SimSun"/>
          <w:sz w:val="24"/>
          <w:szCs w:val="24"/>
          <w:spacing w:val="-1"/>
        </w:rPr>
        <w:t>涉及各类生态保护红线。</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1"/>
        </w:rPr>
        <w:t>2</w:t>
      </w:r>
      <w:r>
        <w:rPr>
          <w:rFonts w:ascii="SimSun" w:hAnsi="SimSun" w:eastAsia="SimSun" w:cs="SimSun"/>
          <w:sz w:val="24"/>
          <w:szCs w:val="24"/>
          <w:spacing w:val="-1"/>
        </w:rPr>
        <w:t>）环境质量底线</w:t>
      </w:r>
    </w:p>
    <w:p>
      <w:pPr>
        <w:ind w:left="9" w:right="66" w:firstLine="480"/>
        <w:spacing w:before="156" w:line="338" w:lineRule="auto"/>
        <w:rPr>
          <w:rFonts w:ascii="SimSun" w:hAnsi="SimSun" w:eastAsia="SimSun" w:cs="SimSun"/>
          <w:sz w:val="24"/>
          <w:szCs w:val="24"/>
        </w:rPr>
      </w:pPr>
      <w:r>
        <w:rPr>
          <w:rFonts w:ascii="SimSun" w:hAnsi="SimSun" w:eastAsia="SimSun" w:cs="SimSun"/>
          <w:sz w:val="24"/>
          <w:szCs w:val="24"/>
        </w:rPr>
        <w:t>根据《</w:t>
      </w:r>
      <w:r>
        <w:rPr>
          <w:rFonts w:ascii="Times New Roman" w:hAnsi="Times New Roman" w:eastAsia="Times New Roman" w:cs="Times New Roman"/>
          <w:sz w:val="24"/>
          <w:szCs w:val="24"/>
        </w:rPr>
        <w:t>2024</w:t>
      </w:r>
      <w:r>
        <w:rPr>
          <w:rFonts w:ascii="Times New Roman" w:hAnsi="Times New Roman" w:eastAsia="Times New Roman" w:cs="Times New Roman"/>
          <w:sz w:val="24"/>
          <w:szCs w:val="24"/>
          <w:spacing w:val="56"/>
          <w:w w:val="101"/>
        </w:rPr>
        <w:t xml:space="preserve"> </w:t>
      </w:r>
      <w:r>
        <w:rPr>
          <w:rFonts w:ascii="SimSun" w:hAnsi="SimSun" w:eastAsia="SimSun" w:cs="SimSun"/>
          <w:sz w:val="24"/>
          <w:szCs w:val="24"/>
        </w:rPr>
        <w:t>内蒙古自治区生态环境状况公报》，经统计，</w:t>
      </w:r>
      <w:r>
        <w:rPr>
          <w:rFonts w:ascii="Times New Roman" w:hAnsi="Times New Roman" w:eastAsia="Times New Roman" w:cs="Times New Roman"/>
          <w:sz w:val="24"/>
          <w:szCs w:val="24"/>
        </w:rPr>
        <w:t>2024 </w:t>
      </w:r>
      <w:r>
        <w:rPr>
          <w:rFonts w:ascii="SimSun" w:hAnsi="SimSun" w:eastAsia="SimSun" w:cs="SimSun"/>
          <w:sz w:val="24"/>
          <w:szCs w:val="24"/>
        </w:rPr>
        <w:t>年锡林郭勒盟区域</w:t>
      </w:r>
      <w:r>
        <w:rPr>
          <w:rFonts w:ascii="SimSun" w:hAnsi="SimSun" w:eastAsia="SimSun" w:cs="SimSun"/>
          <w:sz w:val="24"/>
          <w:szCs w:val="24"/>
          <w:spacing w:val="-1"/>
        </w:rPr>
        <w:t>空气基本污染物环境质量浓度均满足《环境空气质量标准》（</w:t>
      </w:r>
      <w:r>
        <w:rPr>
          <w:rFonts w:ascii="Times New Roman" w:hAnsi="Times New Roman" w:eastAsia="Times New Roman" w:cs="Times New Roman"/>
          <w:sz w:val="24"/>
          <w:szCs w:val="24"/>
          <w:spacing w:val="-1"/>
        </w:rPr>
        <w:t>GB3095</w:t>
      </w:r>
      <w:r>
        <w:rPr>
          <w:rFonts w:ascii="Times New Roman" w:hAnsi="Times New Roman" w:eastAsia="Times New Roman" w:cs="Times New Roman"/>
          <w:sz w:val="24"/>
          <w:szCs w:val="24"/>
          <w:spacing w:val="-2"/>
        </w:rPr>
        <w:t>-2012</w:t>
      </w:r>
      <w:r>
        <w:rPr>
          <w:rFonts w:ascii="SimSun" w:hAnsi="SimSun" w:eastAsia="SimSun" w:cs="SimSun"/>
          <w:sz w:val="24"/>
          <w:szCs w:val="24"/>
          <w:spacing w:val="-2"/>
        </w:rPr>
        <w:t>）及其</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2018</w:t>
      </w:r>
      <w:r>
        <w:rPr>
          <w:rFonts w:ascii="SimSun" w:hAnsi="SimSun" w:eastAsia="SimSun" w:cs="SimSun"/>
          <w:sz w:val="24"/>
          <w:szCs w:val="24"/>
          <w:spacing w:val="-2"/>
        </w:rPr>
        <w:t>年修改单二级标准浓度限值要求，因此项目所在区域属于环境空气质量达标区。根据其</w:t>
      </w:r>
      <w:r>
        <w:rPr>
          <w:rFonts w:ascii="SimSun" w:hAnsi="SimSun" w:eastAsia="SimSun" w:cs="SimSun"/>
          <w:sz w:val="24"/>
          <w:szCs w:val="24"/>
          <w:spacing w:val="-4"/>
        </w:rPr>
        <w:t>他污染物环境质量现状监测结果，监测期间，各监测点</w:t>
      </w:r>
      <w:r>
        <w:rPr>
          <w:rFonts w:ascii="SimSun" w:hAnsi="SimSun" w:eastAsia="SimSun" w:cs="SimSun"/>
          <w:sz w:val="24"/>
          <w:szCs w:val="24"/>
          <w:spacing w:val="-5"/>
        </w:rPr>
        <w:t>位的</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5"/>
        </w:rPr>
        <w:t>TSP</w:t>
      </w:r>
      <w:r>
        <w:rPr>
          <w:rFonts w:ascii="Times New Roman" w:hAnsi="Times New Roman" w:eastAsia="Times New Roman" w:cs="Times New Roman"/>
          <w:sz w:val="24"/>
          <w:szCs w:val="24"/>
          <w:spacing w:val="52"/>
        </w:rPr>
        <w:t xml:space="preserve"> </w:t>
      </w:r>
      <w:r>
        <w:rPr>
          <w:rFonts w:ascii="SimSun" w:hAnsi="SimSun" w:eastAsia="SimSun" w:cs="SimSun"/>
          <w:sz w:val="24"/>
          <w:szCs w:val="24"/>
          <w:spacing w:val="-5"/>
        </w:rPr>
        <w:t>日均值均满足《环境空</w:t>
      </w:r>
      <w:r>
        <w:rPr>
          <w:rFonts w:ascii="SimSun" w:hAnsi="SimSun" w:eastAsia="SimSun" w:cs="SimSun"/>
          <w:sz w:val="24"/>
          <w:szCs w:val="24"/>
        </w:rPr>
        <w:t>气质量标准》（</w:t>
      </w:r>
      <w:r>
        <w:rPr>
          <w:rFonts w:ascii="Times New Roman" w:hAnsi="Times New Roman" w:eastAsia="Times New Roman" w:cs="Times New Roman"/>
          <w:sz w:val="24"/>
          <w:szCs w:val="24"/>
        </w:rPr>
        <w:t>GB3095-2012</w:t>
      </w:r>
      <w:r>
        <w:rPr>
          <w:rFonts w:ascii="SimSun" w:hAnsi="SimSun" w:eastAsia="SimSun" w:cs="SimSun"/>
          <w:sz w:val="24"/>
          <w:szCs w:val="24"/>
        </w:rPr>
        <w:t>）二级标准及</w:t>
      </w:r>
      <w:r>
        <w:rPr>
          <w:rFonts w:ascii="SimSun" w:hAnsi="SimSun" w:eastAsia="SimSun" w:cs="SimSun"/>
          <w:sz w:val="24"/>
          <w:szCs w:val="24"/>
          <w:spacing w:val="-55"/>
        </w:rPr>
        <w:t xml:space="preserve"> </w:t>
      </w:r>
      <w:r>
        <w:rPr>
          <w:rFonts w:ascii="Times New Roman" w:hAnsi="Times New Roman" w:eastAsia="Times New Roman" w:cs="Times New Roman"/>
          <w:sz w:val="24"/>
          <w:szCs w:val="24"/>
        </w:rPr>
        <w:t>201</w:t>
      </w:r>
      <w:r>
        <w:rPr>
          <w:rFonts w:ascii="Times New Roman" w:hAnsi="Times New Roman" w:eastAsia="Times New Roman" w:cs="Times New Roman"/>
          <w:sz w:val="24"/>
          <w:szCs w:val="24"/>
          <w:spacing w:val="-1"/>
        </w:rPr>
        <w:t>8 </w:t>
      </w:r>
      <w:r>
        <w:rPr>
          <w:rFonts w:ascii="SimSun" w:hAnsi="SimSun" w:eastAsia="SimSun" w:cs="SimSun"/>
          <w:sz w:val="24"/>
          <w:szCs w:val="24"/>
          <w:spacing w:val="-1"/>
        </w:rPr>
        <w:t>修改单中的二级标准要求。</w:t>
      </w:r>
    </w:p>
    <w:p>
      <w:pPr>
        <w:ind w:left="10" w:firstLine="480"/>
        <w:spacing w:before="1" w:line="338" w:lineRule="auto"/>
        <w:jc w:val="both"/>
        <w:rPr>
          <w:rFonts w:ascii="SimSun" w:hAnsi="SimSun" w:eastAsia="SimSun" w:cs="SimSun"/>
          <w:sz w:val="24"/>
          <w:szCs w:val="24"/>
        </w:rPr>
      </w:pPr>
      <w:r>
        <w:rPr>
          <w:rFonts w:ascii="SimSun" w:hAnsi="SimSun" w:eastAsia="SimSun" w:cs="SimSun"/>
          <w:sz w:val="24"/>
          <w:szCs w:val="24"/>
          <w:spacing w:val="-2"/>
        </w:rPr>
        <w:t>本项目运营期产生的矿井水经处理后全部用于矿井生产用水、金山电厂用水及矿井</w:t>
      </w:r>
      <w:r>
        <w:rPr>
          <w:rFonts w:ascii="SimSun" w:hAnsi="SimSun" w:eastAsia="SimSun" w:cs="SimSun"/>
          <w:sz w:val="24"/>
          <w:szCs w:val="24"/>
          <w:spacing w:val="-6"/>
        </w:rPr>
        <w:t>生活用水，生活污水经生活污水处理站处理后用于矿区绿化用水、降尘洒水，综上所述，</w:t>
      </w:r>
      <w:r>
        <w:rPr>
          <w:rFonts w:ascii="SimSun" w:hAnsi="SimSun" w:eastAsia="SimSun" w:cs="SimSun"/>
          <w:sz w:val="24"/>
          <w:szCs w:val="24"/>
          <w:spacing w:val="-1"/>
        </w:rPr>
        <w:t>本项目产生的废水均不外排，对评价区内水环境影响较小。</w:t>
      </w:r>
    </w:p>
    <w:p>
      <w:pPr>
        <w:ind w:left="9" w:right="66" w:firstLine="480"/>
        <w:spacing w:before="4" w:line="338" w:lineRule="auto"/>
        <w:jc w:val="both"/>
        <w:rPr>
          <w:rFonts w:ascii="SimSun" w:hAnsi="SimSun" w:eastAsia="SimSun" w:cs="SimSun"/>
          <w:sz w:val="24"/>
          <w:szCs w:val="24"/>
        </w:rPr>
      </w:pPr>
      <w:r>
        <w:rPr>
          <w:rFonts w:ascii="SimSun" w:hAnsi="SimSun" w:eastAsia="SimSun" w:cs="SimSun"/>
          <w:sz w:val="24"/>
          <w:szCs w:val="24"/>
          <w:spacing w:val="-2"/>
        </w:rPr>
        <w:t>运营期产生的矸石采取回填沉陷区，生活污水处理站产生的污泥经脱水后连同生活</w:t>
      </w:r>
      <w:r>
        <w:rPr>
          <w:rFonts w:ascii="SimSun" w:hAnsi="SimSun" w:eastAsia="SimSun" w:cs="SimSun"/>
          <w:sz w:val="24"/>
          <w:szCs w:val="24"/>
          <w:spacing w:val="-2"/>
        </w:rPr>
        <w:t>垃圾一起交由当地环卫部门定期清运；废机油等危废收集后暂存于危废暂存间内，委托</w:t>
      </w:r>
      <w:r>
        <w:rPr>
          <w:rFonts w:ascii="SimSun" w:hAnsi="SimSun" w:eastAsia="SimSun" w:cs="SimSun"/>
          <w:sz w:val="24"/>
          <w:szCs w:val="24"/>
          <w:spacing w:val="-2"/>
        </w:rPr>
        <w:t>具有危险废物处理资质的公司处理。各种固废均得到妥善处置，不会对周边地下水和土</w:t>
      </w:r>
      <w:r>
        <w:rPr>
          <w:rFonts w:ascii="SimSun" w:hAnsi="SimSun" w:eastAsia="SimSun" w:cs="SimSun"/>
          <w:sz w:val="24"/>
          <w:szCs w:val="24"/>
          <w:spacing w:val="-2"/>
        </w:rPr>
        <w:t>壤造成污染。</w:t>
      </w:r>
    </w:p>
    <w:p>
      <w:pPr>
        <w:ind w:left="8" w:right="66" w:firstLine="483"/>
        <w:spacing w:before="2" w:line="338" w:lineRule="auto"/>
        <w:jc w:val="both"/>
        <w:rPr>
          <w:rFonts w:ascii="SimSun" w:hAnsi="SimSun" w:eastAsia="SimSun" w:cs="SimSun"/>
          <w:sz w:val="24"/>
          <w:szCs w:val="24"/>
        </w:rPr>
      </w:pPr>
      <w:r>
        <w:rPr>
          <w:rFonts w:ascii="SimSun" w:hAnsi="SimSun" w:eastAsia="SimSun" w:cs="SimSun"/>
          <w:sz w:val="24"/>
          <w:szCs w:val="24"/>
          <w:spacing w:val="-1"/>
        </w:rPr>
        <w:t>综上所述，区域环境质量现状较好，具有一定环境容量。项目的</w:t>
      </w:r>
      <w:r>
        <w:rPr>
          <w:rFonts w:ascii="Times New Roman" w:hAnsi="Times New Roman" w:eastAsia="Times New Roman" w:cs="Times New Roman"/>
          <w:sz w:val="24"/>
          <w:szCs w:val="24"/>
          <w:spacing w:val="-1"/>
        </w:rPr>
        <w:t>“</w:t>
      </w:r>
      <w:r>
        <w:rPr>
          <w:rFonts w:ascii="SimSun" w:hAnsi="SimSun" w:eastAsia="SimSun" w:cs="SimSun"/>
          <w:sz w:val="24"/>
          <w:szCs w:val="24"/>
          <w:spacing w:val="-1"/>
        </w:rPr>
        <w:t>三废</w:t>
      </w:r>
      <w:r>
        <w:rPr>
          <w:rFonts w:ascii="Times New Roman" w:hAnsi="Times New Roman" w:eastAsia="Times New Roman" w:cs="Times New Roman"/>
          <w:sz w:val="24"/>
          <w:szCs w:val="24"/>
          <w:spacing w:val="-1"/>
        </w:rPr>
        <w:t>”</w:t>
      </w:r>
      <w:r>
        <w:rPr>
          <w:rFonts w:ascii="SimSun" w:hAnsi="SimSun" w:eastAsia="SimSun" w:cs="SimSun"/>
          <w:sz w:val="24"/>
          <w:szCs w:val="24"/>
          <w:spacing w:val="-1"/>
        </w:rPr>
        <w:t>均得到合理</w:t>
      </w:r>
      <w:r>
        <w:rPr>
          <w:rFonts w:ascii="SimSun" w:hAnsi="SimSun" w:eastAsia="SimSun" w:cs="SimSun"/>
          <w:sz w:val="24"/>
          <w:szCs w:val="24"/>
          <w:spacing w:val="-2"/>
        </w:rPr>
        <w:t>处置，对周边环境造成的影响较小，不会明显降低区域环境质量，因此本项目的建设不</w:t>
      </w:r>
      <w:r>
        <w:rPr>
          <w:rFonts w:ascii="SimSun" w:hAnsi="SimSun" w:eastAsia="SimSun" w:cs="SimSun"/>
          <w:sz w:val="24"/>
          <w:szCs w:val="24"/>
          <w:spacing w:val="-1"/>
        </w:rPr>
        <w:t>会对当地环境质量底线造成冲击。</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SimSun" w:hAnsi="SimSun" w:eastAsia="SimSun" w:cs="SimSun"/>
          <w:sz w:val="24"/>
          <w:szCs w:val="24"/>
          <w:spacing w:val="-2"/>
        </w:rPr>
        <w:t>）资源利用上线</w:t>
      </w:r>
    </w:p>
    <w:p>
      <w:pPr>
        <w:ind w:left="9" w:right="66" w:firstLine="480"/>
        <w:spacing w:before="151" w:line="339" w:lineRule="auto"/>
        <w:rPr>
          <w:rFonts w:ascii="SimSun" w:hAnsi="SimSun" w:eastAsia="SimSun" w:cs="SimSun"/>
          <w:sz w:val="24"/>
          <w:szCs w:val="24"/>
        </w:rPr>
      </w:pPr>
      <w:r>
        <w:rPr>
          <w:rFonts w:ascii="SimSun" w:hAnsi="SimSun" w:eastAsia="SimSun" w:cs="SimSun"/>
          <w:sz w:val="24"/>
          <w:szCs w:val="24"/>
          <w:spacing w:val="-2"/>
        </w:rPr>
        <w:t>本项目为采矿项目，本项目运营过程中消耗一定的电源、水资源等。项目用电用当</w:t>
      </w:r>
      <w:r>
        <w:rPr>
          <w:rFonts w:ascii="SimSun" w:hAnsi="SimSun" w:eastAsia="SimSun" w:cs="SimSun"/>
          <w:sz w:val="24"/>
          <w:szCs w:val="24"/>
          <w:spacing w:val="-2"/>
        </w:rPr>
        <w:t>地供电公司提供，生活用水采用处理后的矿井（坑）水，生产用水采用经处理后的矿坑</w:t>
      </w:r>
      <w:r>
        <w:rPr>
          <w:rFonts w:ascii="SimSun" w:hAnsi="SimSun" w:eastAsia="SimSun" w:cs="SimSun"/>
          <w:sz w:val="24"/>
          <w:szCs w:val="24"/>
          <w:spacing w:val="-2"/>
        </w:rPr>
        <w:t>疏干水。本项目建成运行后通过内部管理、设备选择、废物回收利用及污染治理等多方</w:t>
      </w:r>
      <w:r>
        <w:rPr>
          <w:rFonts w:ascii="SimSun" w:hAnsi="SimSun" w:eastAsia="SimSun" w:cs="SimSun"/>
          <w:sz w:val="24"/>
          <w:szCs w:val="24"/>
          <w:spacing w:val="-1"/>
        </w:rPr>
        <w:t>面采取可行的防治措施，以</w:t>
      </w:r>
      <w:r>
        <w:rPr>
          <w:rFonts w:ascii="Times New Roman" w:hAnsi="Times New Roman" w:eastAsia="Times New Roman" w:cs="Times New Roman"/>
          <w:sz w:val="24"/>
          <w:szCs w:val="24"/>
          <w:spacing w:val="-1"/>
        </w:rPr>
        <w:t>“</w:t>
      </w:r>
      <w:r>
        <w:rPr>
          <w:rFonts w:ascii="SimSun" w:hAnsi="SimSun" w:eastAsia="SimSun" w:cs="SimSun"/>
          <w:sz w:val="24"/>
          <w:szCs w:val="24"/>
          <w:spacing w:val="-1"/>
        </w:rPr>
        <w:t>节能、降耗、减污</w:t>
      </w:r>
      <w:r>
        <w:rPr>
          <w:rFonts w:ascii="Times New Roman" w:hAnsi="Times New Roman" w:eastAsia="Times New Roman" w:cs="Times New Roman"/>
          <w:sz w:val="24"/>
          <w:szCs w:val="24"/>
          <w:spacing w:val="-1"/>
        </w:rPr>
        <w:t>”</w:t>
      </w:r>
      <w:r>
        <w:rPr>
          <w:rFonts w:ascii="SimSun" w:hAnsi="SimSun" w:eastAsia="SimSun" w:cs="SimSun"/>
          <w:sz w:val="24"/>
          <w:szCs w:val="24"/>
          <w:spacing w:val="-1"/>
        </w:rPr>
        <w:t>为目标，有效的控制污染，项目的水、</w:t>
      </w:r>
      <w:r>
        <w:rPr>
          <w:rFonts w:ascii="SimSun" w:hAnsi="SimSun" w:eastAsia="SimSun" w:cs="SimSun"/>
          <w:sz w:val="24"/>
          <w:szCs w:val="24"/>
          <w:spacing w:val="-1"/>
        </w:rPr>
        <w:t>电等资源不会突破区域的资源利用上线。</w:t>
      </w:r>
    </w:p>
    <w:p>
      <w:pPr>
        <w:ind w:left="487"/>
        <w:spacing w:line="217" w:lineRule="auto"/>
        <w:rPr>
          <w:rFonts w:ascii="SimSun" w:hAnsi="SimSun" w:eastAsia="SimSun" w:cs="SimSun"/>
          <w:sz w:val="24"/>
          <w:szCs w:val="24"/>
        </w:rPr>
      </w:pPr>
      <w:r>
        <w:rPr>
          <w:rFonts w:ascii="SimSun" w:hAnsi="SimSun" w:eastAsia="SimSun" w:cs="SimSun"/>
          <w:sz w:val="24"/>
          <w:szCs w:val="24"/>
          <w:spacing w:val="-1"/>
        </w:rPr>
        <w:t>④生态环境准入清单</w:t>
      </w:r>
    </w:p>
    <w:p>
      <w:pPr>
        <w:ind w:left="10" w:right="27" w:firstLine="480"/>
        <w:spacing w:before="158" w:line="338" w:lineRule="auto"/>
        <w:rPr>
          <w:rFonts w:ascii="SimSun" w:hAnsi="SimSun" w:eastAsia="SimSun" w:cs="SimSun"/>
          <w:sz w:val="24"/>
          <w:szCs w:val="24"/>
        </w:rPr>
      </w:pPr>
      <w:r>
        <w:rPr>
          <w:rFonts w:ascii="SimSun" w:hAnsi="SimSun" w:eastAsia="SimSun" w:cs="SimSun"/>
          <w:sz w:val="24"/>
          <w:szCs w:val="24"/>
          <w:spacing w:val="-2"/>
        </w:rPr>
        <w:t>本项目位于白音华矿区内，对照《锡林郭勒盟生态环境准入清单》本项目属于白音</w:t>
      </w:r>
      <w:r>
        <w:rPr>
          <w:rFonts w:ascii="SimSun" w:hAnsi="SimSun" w:eastAsia="SimSun" w:cs="SimSun"/>
          <w:sz w:val="24"/>
          <w:szCs w:val="24"/>
          <w:spacing w:val="-1"/>
        </w:rPr>
        <w:t>华矿区重点管控单元，经对比分析，本项目建设符合《锡林郭勒盟生态环境准入清单》</w:t>
      </w:r>
      <w:r>
        <w:rPr>
          <w:rFonts w:ascii="SimSun" w:hAnsi="SimSun" w:eastAsia="SimSun" w:cs="SimSun"/>
          <w:sz w:val="24"/>
          <w:szCs w:val="24"/>
          <w:spacing w:val="-3"/>
        </w:rPr>
        <w:t>的要求。</w:t>
      </w:r>
    </w:p>
    <w:p>
      <w:pPr>
        <w:ind w:left="492"/>
        <w:spacing w:before="1" w:line="218" w:lineRule="auto"/>
        <w:rPr>
          <w:rFonts w:ascii="SimSun" w:hAnsi="SimSun" w:eastAsia="SimSun" w:cs="SimSun"/>
          <w:sz w:val="24"/>
          <w:szCs w:val="24"/>
        </w:rPr>
      </w:pPr>
      <w:r>
        <w:rPr>
          <w:rFonts w:ascii="SimSun" w:hAnsi="SimSun" w:eastAsia="SimSun" w:cs="SimSun"/>
          <w:sz w:val="24"/>
          <w:szCs w:val="24"/>
          <w:spacing w:val="-1"/>
        </w:rPr>
        <w:t>综上，本项目的建设符合</w:t>
      </w:r>
      <w:r>
        <w:rPr>
          <w:rFonts w:ascii="Times New Roman" w:hAnsi="Times New Roman" w:eastAsia="Times New Roman" w:cs="Times New Roman"/>
          <w:sz w:val="24"/>
          <w:szCs w:val="24"/>
          <w:spacing w:val="-1"/>
        </w:rPr>
        <w:t>“</w:t>
      </w:r>
      <w:r>
        <w:rPr>
          <w:rFonts w:ascii="SimSun" w:hAnsi="SimSun" w:eastAsia="SimSun" w:cs="SimSun"/>
          <w:sz w:val="24"/>
          <w:szCs w:val="24"/>
          <w:spacing w:val="-1"/>
        </w:rPr>
        <w:t>三线一单</w:t>
      </w:r>
      <w:r>
        <w:rPr>
          <w:rFonts w:ascii="Times New Roman" w:hAnsi="Times New Roman" w:eastAsia="Times New Roman" w:cs="Times New Roman"/>
          <w:sz w:val="24"/>
          <w:szCs w:val="24"/>
          <w:spacing w:val="-1"/>
        </w:rPr>
        <w:t>”</w:t>
      </w:r>
      <w:r>
        <w:rPr>
          <w:rFonts w:ascii="SimSun" w:hAnsi="SimSun" w:eastAsia="SimSun" w:cs="SimSun"/>
          <w:sz w:val="24"/>
          <w:szCs w:val="24"/>
          <w:spacing w:val="-1"/>
        </w:rPr>
        <w:t>的要求。</w:t>
      </w:r>
    </w:p>
    <w:p>
      <w:pPr>
        <w:spacing w:line="218" w:lineRule="auto"/>
        <w:sectPr>
          <w:headerReference w:type="default" r:id="rId94"/>
          <w:footerReference w:type="default" r:id="rId581"/>
          <w:pgSz w:w="11906" w:h="16838"/>
          <w:pgMar w:top="1170" w:right="1351" w:bottom="725" w:left="1416" w:header="837" w:footer="562" w:gutter="0"/>
        </w:sectPr>
        <w:rPr>
          <w:rFonts w:ascii="SimSun" w:hAnsi="SimSun" w:eastAsia="SimSun" w:cs="SimSun"/>
          <w:sz w:val="24"/>
          <w:szCs w:val="24"/>
        </w:rPr>
      </w:pPr>
    </w:p>
    <w:p>
      <w:pPr>
        <w:pStyle w:val="BodyText"/>
        <w:spacing w:line="367" w:lineRule="auto"/>
        <w:rPr/>
      </w:pPr>
      <w:r/>
    </w:p>
    <w:p>
      <w:pPr>
        <w:ind w:left="19"/>
        <w:spacing w:before="98" w:line="222" w:lineRule="auto"/>
        <w:outlineLvl w:val="1"/>
        <w:rPr>
          <w:rFonts w:ascii="SimHei" w:hAnsi="SimHei" w:eastAsia="SimHei" w:cs="SimHei"/>
          <w:sz w:val="30"/>
          <w:szCs w:val="30"/>
        </w:rPr>
      </w:pPr>
      <w:bookmarkStart w:name="bookmark71" w:id="121"/>
      <w:bookmarkEnd w:id="121"/>
      <w:r>
        <w:rPr>
          <w:rFonts w:ascii="Times New Roman" w:hAnsi="Times New Roman" w:eastAsia="Times New Roman" w:cs="Times New Roman"/>
          <w:sz w:val="30"/>
          <w:szCs w:val="30"/>
          <w:b/>
          <w:bCs/>
          <w:spacing w:val="-8"/>
        </w:rPr>
        <w:t>11.3</w:t>
      </w:r>
      <w:r>
        <w:rPr>
          <w:rFonts w:ascii="Times New Roman" w:hAnsi="Times New Roman" w:eastAsia="Times New Roman" w:cs="Times New Roman"/>
          <w:sz w:val="30"/>
          <w:szCs w:val="30"/>
          <w:b/>
          <w:bCs/>
          <w:spacing w:val="40"/>
        </w:rPr>
        <w:t xml:space="preserve"> </w:t>
      </w:r>
      <w:r>
        <w:rPr>
          <w:rFonts w:ascii="SimHei" w:hAnsi="SimHei" w:eastAsia="SimHei" w:cs="SimHei"/>
          <w:sz w:val="30"/>
          <w:szCs w:val="30"/>
          <w:b/>
          <w:bCs/>
          <w:spacing w:val="-8"/>
        </w:rPr>
        <w:t>区域环境质量现状</w:t>
      </w:r>
    </w:p>
    <w:p>
      <w:pPr>
        <w:ind w:left="508"/>
        <w:spacing w:before="164" w:line="219"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、环境空气质量现状</w:t>
      </w:r>
    </w:p>
    <w:p>
      <w:pPr>
        <w:ind w:left="10" w:right="224" w:firstLine="508"/>
        <w:spacing w:before="152" w:line="339" w:lineRule="auto"/>
        <w:rPr>
          <w:rFonts w:ascii="SimSun" w:hAnsi="SimSun" w:eastAsia="SimSun" w:cs="SimSun"/>
          <w:sz w:val="24"/>
          <w:szCs w:val="24"/>
        </w:rPr>
      </w:pPr>
      <w:r>
        <w:rPr>
          <w:rFonts w:ascii="SimSun" w:hAnsi="SimSun" w:eastAsia="SimSun" w:cs="SimSun"/>
          <w:sz w:val="24"/>
          <w:szCs w:val="24"/>
          <w:spacing w:val="-2"/>
        </w:rPr>
        <w:t>内蒙古自治区生态环境厅</w:t>
      </w:r>
      <w:r>
        <w:rPr>
          <w:rFonts w:ascii="SimSun" w:hAnsi="SimSun" w:eastAsia="SimSun" w:cs="SimSun"/>
          <w:sz w:val="24"/>
          <w:szCs w:val="24"/>
          <w:spacing w:val="-35"/>
        </w:rPr>
        <w:t xml:space="preserve"> </w:t>
      </w:r>
      <w:r>
        <w:rPr>
          <w:rFonts w:ascii="Times New Roman" w:hAnsi="Times New Roman" w:eastAsia="Times New Roman" w:cs="Times New Roman"/>
          <w:sz w:val="24"/>
          <w:szCs w:val="24"/>
          <w:spacing w:val="-2"/>
        </w:rPr>
        <w:t>2025 </w:t>
      </w:r>
      <w:r>
        <w:rPr>
          <w:rFonts w:ascii="SimSun" w:hAnsi="SimSun" w:eastAsia="SimSun" w:cs="SimSun"/>
          <w:sz w:val="24"/>
          <w:szCs w:val="24"/>
          <w:spacing w:val="-2"/>
        </w:rPr>
        <w:t>年</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2"/>
        </w:rPr>
        <w:t>5</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月发布了《</w:t>
      </w:r>
      <w:r>
        <w:rPr>
          <w:rFonts w:ascii="Times New Roman" w:hAnsi="Times New Roman" w:eastAsia="Times New Roman" w:cs="Times New Roman"/>
          <w:sz w:val="24"/>
          <w:szCs w:val="24"/>
          <w:spacing w:val="-2"/>
        </w:rPr>
        <w:t>2024 </w:t>
      </w:r>
      <w:r>
        <w:rPr>
          <w:rFonts w:ascii="SimSun" w:hAnsi="SimSun" w:eastAsia="SimSun" w:cs="SimSun"/>
          <w:sz w:val="24"/>
          <w:szCs w:val="24"/>
          <w:spacing w:val="-2"/>
        </w:rPr>
        <w:t>年内蒙古自治区生态环境状况</w:t>
      </w:r>
      <w:r>
        <w:rPr>
          <w:rFonts w:ascii="SimSun" w:hAnsi="SimSun" w:eastAsia="SimSun" w:cs="SimSun"/>
          <w:sz w:val="24"/>
          <w:szCs w:val="24"/>
          <w:spacing w:val="-3"/>
        </w:rPr>
        <w:t>公报》。根据该公报，</w:t>
      </w:r>
      <w:r>
        <w:rPr>
          <w:rFonts w:ascii="Times New Roman" w:hAnsi="Times New Roman" w:eastAsia="Times New Roman" w:cs="Times New Roman"/>
          <w:sz w:val="24"/>
          <w:szCs w:val="24"/>
          <w:spacing w:val="-3"/>
        </w:rPr>
        <w:t>2024 </w:t>
      </w:r>
      <w:r>
        <w:rPr>
          <w:rFonts w:ascii="SimSun" w:hAnsi="SimSun" w:eastAsia="SimSun" w:cs="SimSun"/>
          <w:sz w:val="24"/>
          <w:szCs w:val="24"/>
          <w:spacing w:val="-3"/>
        </w:rPr>
        <w:t>年全区城市空气质量优良天数比例为</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89.6%</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，扣除异常沙尘</w:t>
      </w:r>
      <w:r>
        <w:rPr>
          <w:rFonts w:ascii="SimSun" w:hAnsi="SimSun" w:eastAsia="SimSun" w:cs="SimSun"/>
          <w:sz w:val="24"/>
          <w:szCs w:val="24"/>
          <w:spacing w:val="-1"/>
        </w:rPr>
        <w:t>天气影响后，全区环境空气质量优良天数比例为</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9</w:t>
      </w:r>
      <w:r>
        <w:rPr>
          <w:rFonts w:ascii="Times New Roman" w:hAnsi="Times New Roman" w:eastAsia="Times New Roman" w:cs="Times New Roman"/>
          <w:sz w:val="24"/>
          <w:szCs w:val="24"/>
          <w:spacing w:val="-2"/>
        </w:rPr>
        <w:t>0.7%</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，项目所在的锡林郭勒盟环境空</w:t>
      </w:r>
      <w:r>
        <w:rPr>
          <w:rFonts w:ascii="SimSun" w:hAnsi="SimSun" w:eastAsia="SimSun" w:cs="SimSun"/>
          <w:sz w:val="24"/>
          <w:szCs w:val="24"/>
          <w:spacing w:val="-2"/>
        </w:rPr>
        <w:t>气质量优良天数比例为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97%</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。锡林郭勒盟环境空气质量均为达标区。</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、声环境质量现状</w:t>
      </w:r>
    </w:p>
    <w:p>
      <w:pPr>
        <w:ind w:left="5" w:firstLine="487"/>
        <w:spacing w:before="153" w:line="339" w:lineRule="auto"/>
        <w:rPr>
          <w:rFonts w:ascii="SimSun" w:hAnsi="SimSun" w:eastAsia="SimSun" w:cs="SimSun"/>
          <w:sz w:val="24"/>
          <w:szCs w:val="24"/>
        </w:rPr>
      </w:pPr>
      <w:r>
        <w:rPr>
          <w:rFonts w:ascii="SimSun" w:hAnsi="SimSun" w:eastAsia="SimSun" w:cs="SimSun"/>
          <w:sz w:val="24"/>
          <w:szCs w:val="24"/>
          <w:spacing w:val="-11"/>
        </w:rPr>
        <w:t>工业场地周边的昼间、夜间声环境质量现状均满足《声环境质量标准》（</w:t>
      </w:r>
      <w:r>
        <w:rPr>
          <w:rFonts w:ascii="Times New Roman" w:hAnsi="Times New Roman" w:eastAsia="Times New Roman" w:cs="Times New Roman"/>
          <w:sz w:val="24"/>
          <w:szCs w:val="24"/>
          <w:spacing w:val="-11"/>
        </w:rPr>
        <w:t>GB309</w:t>
      </w:r>
      <w:r>
        <w:rPr>
          <w:rFonts w:ascii="Times New Roman" w:hAnsi="Times New Roman" w:eastAsia="Times New Roman" w:cs="Times New Roman"/>
          <w:sz w:val="24"/>
          <w:szCs w:val="24"/>
          <w:spacing w:val="-12"/>
        </w:rPr>
        <w:t>6-2008</w:t>
      </w:r>
      <w:r>
        <w:rPr>
          <w:rFonts w:ascii="SimSun" w:hAnsi="SimSun" w:eastAsia="SimSun" w:cs="SimSun"/>
          <w:sz w:val="24"/>
          <w:szCs w:val="24"/>
          <w:spacing w:val="-12"/>
        </w:rPr>
        <w:t>）</w:t>
      </w:r>
      <w:r>
        <w:rPr>
          <w:rFonts w:ascii="SimSun" w:hAnsi="SimSun" w:eastAsia="SimSun" w:cs="SimSun"/>
          <w:sz w:val="24"/>
          <w:szCs w:val="24"/>
        </w:rPr>
        <w:t xml:space="preserve"> </w:t>
      </w:r>
      <w:r>
        <w:rPr>
          <w:rFonts w:ascii="Times New Roman" w:hAnsi="Times New Roman" w:eastAsia="Times New Roman" w:cs="Times New Roman"/>
          <w:sz w:val="24"/>
          <w:szCs w:val="24"/>
          <w:spacing w:val="-1"/>
        </w:rPr>
        <w:t>2 </w:t>
      </w:r>
      <w:r>
        <w:rPr>
          <w:rFonts w:ascii="SimSun" w:hAnsi="SimSun" w:eastAsia="SimSun" w:cs="SimSun"/>
          <w:sz w:val="24"/>
          <w:szCs w:val="24"/>
          <w:spacing w:val="-1"/>
        </w:rPr>
        <w:t>类标准限值要求。</w:t>
      </w:r>
    </w:p>
    <w:p>
      <w:pPr>
        <w:ind w:left="489"/>
        <w:spacing w:line="219" w:lineRule="auto"/>
        <w:rPr>
          <w:rFonts w:ascii="SimSun" w:hAnsi="SimSun" w:eastAsia="SimSun" w:cs="SimSun"/>
          <w:sz w:val="24"/>
          <w:szCs w:val="24"/>
        </w:rPr>
      </w:pP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4"/>
        </w:rPr>
        <w:t>、土壤环境质量现状</w:t>
      </w:r>
    </w:p>
    <w:p>
      <w:pPr>
        <w:ind w:left="10" w:right="120" w:firstLine="480"/>
        <w:spacing w:before="152" w:line="340" w:lineRule="auto"/>
        <w:rPr>
          <w:rFonts w:ascii="SimSun" w:hAnsi="SimSun" w:eastAsia="SimSun" w:cs="SimSun"/>
          <w:sz w:val="24"/>
          <w:szCs w:val="24"/>
        </w:rPr>
      </w:pPr>
      <w:r>
        <w:rPr>
          <w:rFonts w:ascii="SimSun" w:hAnsi="SimSun" w:eastAsia="SimSun" w:cs="SimSun"/>
          <w:sz w:val="24"/>
          <w:szCs w:val="24"/>
          <w:spacing w:val="-2"/>
        </w:rPr>
        <w:t>本项目工业场地内各监测点所有监测结果均满足《土壤环境质量建设用地土壤污染</w:t>
      </w:r>
      <w:r>
        <w:rPr>
          <w:rFonts w:ascii="SimSun" w:hAnsi="SimSun" w:eastAsia="SimSun" w:cs="SimSun"/>
          <w:sz w:val="24"/>
          <w:szCs w:val="24"/>
          <w:spacing w:val="1"/>
        </w:rPr>
        <w:t>风险管控标准（试行）》（</w:t>
      </w:r>
      <w:r>
        <w:rPr>
          <w:rFonts w:ascii="Times New Roman" w:hAnsi="Times New Roman" w:eastAsia="Times New Roman" w:cs="Times New Roman"/>
          <w:sz w:val="24"/>
          <w:szCs w:val="24"/>
        </w:rPr>
        <w:t>GB</w:t>
      </w:r>
      <w:r>
        <w:rPr>
          <w:rFonts w:ascii="Times New Roman" w:hAnsi="Times New Roman" w:eastAsia="Times New Roman" w:cs="Times New Roman"/>
          <w:sz w:val="24"/>
          <w:szCs w:val="24"/>
          <w:spacing w:val="1"/>
        </w:rPr>
        <w:t>/36600-2018</w:t>
      </w:r>
      <w:r>
        <w:rPr>
          <w:rFonts w:ascii="SimSun" w:hAnsi="SimSun" w:eastAsia="SimSun" w:cs="SimSun"/>
          <w:sz w:val="24"/>
          <w:szCs w:val="24"/>
          <w:spacing w:val="1"/>
        </w:rPr>
        <w:t>）中的风险筛选值标准。场地外对照样品监</w:t>
      </w:r>
      <w:r>
        <w:rPr>
          <w:rFonts w:ascii="SimSun" w:hAnsi="SimSun" w:eastAsia="SimSun" w:cs="SimSun"/>
          <w:sz w:val="24"/>
          <w:szCs w:val="24"/>
          <w:spacing w:val="-7"/>
        </w:rPr>
        <w:t>测结果均满足《土壤环境质量农用地土壤污染风险管控标准（试行）》（</w:t>
      </w:r>
      <w:r>
        <w:rPr>
          <w:rFonts w:ascii="Times New Roman" w:hAnsi="Times New Roman" w:eastAsia="Times New Roman" w:cs="Times New Roman"/>
          <w:sz w:val="24"/>
          <w:szCs w:val="24"/>
          <w:spacing w:val="-7"/>
        </w:rPr>
        <w:t>GB/15618-2018</w:t>
      </w:r>
      <w:r>
        <w:rPr>
          <w:rFonts w:ascii="SimSun" w:hAnsi="SimSun" w:eastAsia="SimSun" w:cs="SimSun"/>
          <w:sz w:val="24"/>
          <w:szCs w:val="24"/>
          <w:spacing w:val="-7"/>
        </w:rPr>
        <w:t>）</w:t>
      </w:r>
      <w:r>
        <w:rPr>
          <w:rFonts w:ascii="SimSun" w:hAnsi="SimSun" w:eastAsia="SimSun" w:cs="SimSun"/>
          <w:sz w:val="24"/>
          <w:szCs w:val="24"/>
          <w:spacing w:val="-2"/>
        </w:rPr>
        <w:t>的筛选值标准。</w:t>
      </w:r>
    </w:p>
    <w:p>
      <w:pPr>
        <w:ind w:left="19"/>
        <w:spacing w:before="71" w:line="222" w:lineRule="auto"/>
        <w:outlineLvl w:val="1"/>
        <w:rPr>
          <w:rFonts w:ascii="SimHei" w:hAnsi="SimHei" w:eastAsia="SimHei" w:cs="SimHei"/>
          <w:sz w:val="30"/>
          <w:szCs w:val="30"/>
        </w:rPr>
      </w:pPr>
      <w:bookmarkStart w:name="bookmark72" w:id="122"/>
      <w:bookmarkEnd w:id="122"/>
      <w:r>
        <w:rPr>
          <w:rFonts w:ascii="Times New Roman" w:hAnsi="Times New Roman" w:eastAsia="Times New Roman" w:cs="Times New Roman"/>
          <w:sz w:val="30"/>
          <w:szCs w:val="30"/>
          <w:b/>
          <w:bCs/>
          <w:spacing w:val="-4"/>
        </w:rPr>
        <w:t>11.4 </w:t>
      </w:r>
      <w:r>
        <w:rPr>
          <w:rFonts w:ascii="SimHei" w:hAnsi="SimHei" w:eastAsia="SimHei" w:cs="SimHei"/>
          <w:sz w:val="30"/>
          <w:szCs w:val="30"/>
          <w:b/>
          <w:bCs/>
          <w:spacing w:val="-4"/>
        </w:rPr>
        <w:t>环境影响及保护措施</w:t>
      </w:r>
    </w:p>
    <w:p>
      <w:pPr>
        <w:ind w:left="18"/>
        <w:spacing w:before="257" w:line="222" w:lineRule="auto"/>
        <w:rPr>
          <w:rFonts w:ascii="SimHei" w:hAnsi="SimHei" w:eastAsia="SimHei" w:cs="SimHei"/>
          <w:sz w:val="28"/>
          <w:szCs w:val="28"/>
        </w:rPr>
      </w:pPr>
      <w:r>
        <w:rPr>
          <w:rFonts w:ascii="Times New Roman" w:hAnsi="Times New Roman" w:eastAsia="Times New Roman" w:cs="Times New Roman"/>
          <w:sz w:val="28"/>
          <w:szCs w:val="28"/>
          <w:b/>
          <w:bCs/>
          <w:spacing w:val="-3"/>
        </w:rPr>
        <w:t>11.4.1 </w:t>
      </w:r>
      <w:r>
        <w:rPr>
          <w:rFonts w:ascii="SimHei" w:hAnsi="SimHei" w:eastAsia="SimHei" w:cs="SimHei"/>
          <w:sz w:val="28"/>
          <w:szCs w:val="28"/>
          <w:b/>
          <w:bCs/>
          <w:spacing w:val="-3"/>
        </w:rPr>
        <w:t>大气环境影响及保护措施</w:t>
      </w:r>
    </w:p>
    <w:p>
      <w:pPr>
        <w:ind w:left="8" w:right="224" w:firstLine="481"/>
        <w:spacing w:before="170" w:line="338" w:lineRule="auto"/>
        <w:jc w:val="both"/>
        <w:rPr>
          <w:rFonts w:ascii="SimSun" w:hAnsi="SimSun" w:eastAsia="SimSun" w:cs="SimSun"/>
          <w:sz w:val="24"/>
          <w:szCs w:val="24"/>
        </w:rPr>
      </w:pPr>
      <w:r>
        <w:rPr>
          <w:rFonts w:ascii="SimSun" w:hAnsi="SimSun" w:eastAsia="SimSun" w:cs="SimSun"/>
          <w:sz w:val="24"/>
          <w:szCs w:val="24"/>
          <w:spacing w:val="-2"/>
        </w:rPr>
        <w:t>本次改建项目不设地销煤道路，煤炭运输采用已有封闭输煤栈桥、煤炭储存采用已</w:t>
      </w:r>
      <w:r>
        <w:rPr>
          <w:rFonts w:ascii="SimSun" w:hAnsi="SimSun" w:eastAsia="SimSun" w:cs="SimSun"/>
          <w:sz w:val="24"/>
          <w:szCs w:val="24"/>
          <w:spacing w:val="-2"/>
        </w:rPr>
        <w:t>有封闭式煤仓，主要产尘环节为露天采掘场开采、装卸、运输作业时产生的粉尘，排土</w:t>
      </w:r>
      <w:r>
        <w:rPr>
          <w:rFonts w:ascii="SimSun" w:hAnsi="SimSun" w:eastAsia="SimSun" w:cs="SimSun"/>
          <w:sz w:val="24"/>
          <w:szCs w:val="24"/>
          <w:spacing w:val="-1"/>
        </w:rPr>
        <w:t>场剥离物运输、堆放产生的扬尘。</w:t>
      </w:r>
    </w:p>
    <w:p>
      <w:pPr>
        <w:ind w:left="508"/>
        <w:spacing w:before="1" w:line="219" w:lineRule="auto"/>
        <w:rPr>
          <w:rFonts w:ascii="SimSun" w:hAnsi="SimSun" w:eastAsia="SimSun" w:cs="SimSun"/>
          <w:sz w:val="24"/>
          <w:szCs w:val="24"/>
        </w:rPr>
      </w:pP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4"/>
        </w:rPr>
        <w:t>、原煤输送、储存扬尘污染防治措施</w:t>
      </w:r>
    </w:p>
    <w:p>
      <w:pPr>
        <w:ind w:left="8" w:right="224" w:firstLine="481"/>
        <w:spacing w:before="158" w:line="338" w:lineRule="auto"/>
        <w:rPr>
          <w:rFonts w:ascii="SimSun" w:hAnsi="SimSun" w:eastAsia="SimSun" w:cs="SimSun"/>
          <w:sz w:val="24"/>
          <w:szCs w:val="24"/>
        </w:rPr>
      </w:pPr>
      <w:r>
        <w:rPr>
          <w:rFonts w:ascii="SimSun" w:hAnsi="SimSun" w:eastAsia="SimSun" w:cs="SimSun"/>
          <w:sz w:val="24"/>
          <w:szCs w:val="24"/>
          <w:spacing w:val="-2"/>
        </w:rPr>
        <w:t>煤炭在场内运输中由封闭的输煤栈桥运输，煤矿原煤、产品煤、矸石均采用圆筒仓</w:t>
      </w:r>
      <w:r>
        <w:rPr>
          <w:rFonts w:ascii="SimSun" w:hAnsi="SimSun" w:eastAsia="SimSun" w:cs="SimSun"/>
          <w:sz w:val="24"/>
          <w:szCs w:val="24"/>
          <w:spacing w:val="-2"/>
        </w:rPr>
        <w:t>储存，储煤场采用圆形封闭仓，储煤及卸煤都在密封的状况中。原煤输送、贮存均处于</w:t>
      </w:r>
      <w:r>
        <w:rPr>
          <w:rFonts w:ascii="SimSun" w:hAnsi="SimSun" w:eastAsia="SimSun" w:cs="SimSun"/>
          <w:sz w:val="24"/>
          <w:szCs w:val="24"/>
          <w:spacing w:val="-1"/>
        </w:rPr>
        <w:t>密封状态下，对大气环境不利影响较小。</w:t>
      </w:r>
    </w:p>
    <w:p>
      <w:pPr>
        <w:ind w:left="485"/>
        <w:spacing w:before="1" w:line="218" w:lineRule="auto"/>
        <w:rPr>
          <w:rFonts w:ascii="SimSun" w:hAnsi="SimSun" w:eastAsia="SimSun" w:cs="SimSun"/>
          <w:sz w:val="24"/>
          <w:szCs w:val="24"/>
        </w:rPr>
      </w:pP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7"/>
        </w:rPr>
        <w:t xml:space="preserve"> </w:t>
      </w:r>
      <w:r>
        <w:rPr>
          <w:rFonts w:ascii="SimSun" w:hAnsi="SimSun" w:eastAsia="SimSun" w:cs="SimSun"/>
          <w:sz w:val="24"/>
          <w:szCs w:val="24"/>
          <w:spacing w:val="-2"/>
        </w:rPr>
        <w:t>、采掘场开采、装卸及排土场剥离物扬尘污染防治措施</w:t>
      </w:r>
    </w:p>
    <w:p>
      <w:pPr>
        <w:ind w:left="495"/>
        <w:spacing w:before="154"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）对采掘场及作业排土场采取洒水降尘，每日不少于</w:t>
      </w:r>
      <w:r>
        <w:rPr>
          <w:rFonts w:ascii="SimSun" w:hAnsi="SimSun" w:eastAsia="SimSun" w:cs="SimSun"/>
          <w:sz w:val="24"/>
          <w:szCs w:val="24"/>
          <w:spacing w:val="-37"/>
        </w:rPr>
        <w:t xml:space="preserve"> </w:t>
      </w:r>
      <w:r>
        <w:rPr>
          <w:rFonts w:ascii="Times New Roman" w:hAnsi="Times New Roman" w:eastAsia="Times New Roman" w:cs="Times New Roman"/>
          <w:sz w:val="24"/>
          <w:szCs w:val="24"/>
          <w:spacing w:val="-2"/>
        </w:rPr>
        <w:t>2</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2"/>
        </w:rPr>
        <w:t>次；</w:t>
      </w:r>
    </w:p>
    <w:p>
      <w:pPr>
        <w:ind w:left="32" w:right="292" w:firstLine="462"/>
        <w:spacing w:before="155" w:line="280" w:lineRule="auto"/>
        <w:rPr>
          <w:rFonts w:ascii="SimSun" w:hAnsi="SimSun" w:eastAsia="SimSun" w:cs="SimSun"/>
          <w:sz w:val="24"/>
          <w:szCs w:val="24"/>
        </w:rPr>
      </w:pPr>
      <w:r>
        <w:rPr>
          <w:rFonts w:ascii="SimSun" w:hAnsi="SimSun" w:eastAsia="SimSun" w:cs="SimSun"/>
          <w:sz w:val="24"/>
          <w:szCs w:val="24"/>
        </w:rPr>
        <w:t>（</w:t>
      </w:r>
      <w:r>
        <w:rPr>
          <w:rFonts w:ascii="Times New Roman" w:hAnsi="Times New Roman" w:eastAsia="Times New Roman" w:cs="Times New Roman"/>
          <w:sz w:val="24"/>
          <w:szCs w:val="24"/>
        </w:rPr>
        <w:t>2</w:t>
      </w:r>
      <w:r>
        <w:rPr>
          <w:rFonts w:ascii="SimSun" w:hAnsi="SimSun" w:eastAsia="SimSun" w:cs="SimSun"/>
          <w:sz w:val="24"/>
          <w:szCs w:val="24"/>
        </w:rPr>
        <w:t>）装卸作业时降低卸载高度，配备洒水车，对作</w:t>
      </w:r>
      <w:r>
        <w:rPr>
          <w:rFonts w:ascii="SimSun" w:hAnsi="SimSun" w:eastAsia="SimSun" w:cs="SimSun"/>
          <w:sz w:val="24"/>
          <w:szCs w:val="24"/>
          <w:spacing w:val="-1"/>
        </w:rPr>
        <w:t>业工作面进行喷雾洒水降尘，</w:t>
      </w:r>
      <w:r>
        <w:rPr>
          <w:rFonts w:ascii="SimSun" w:hAnsi="SimSun" w:eastAsia="SimSun" w:cs="SimSun"/>
          <w:sz w:val="24"/>
          <w:szCs w:val="24"/>
          <w:spacing w:val="-3"/>
        </w:rPr>
        <w:t>同时避免在大风天气进行作业；</w:t>
      </w:r>
    </w:p>
    <w:p>
      <w:pPr>
        <w:ind w:left="11" w:right="224" w:firstLine="484"/>
        <w:spacing w:before="154"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）排土场在排土过程中应及时进行碾压，增大排弃岩土致密性和硬度，减少起</w:t>
      </w:r>
      <w:r>
        <w:rPr>
          <w:rFonts w:ascii="SimSun" w:hAnsi="SimSun" w:eastAsia="SimSun" w:cs="SimSun"/>
          <w:sz w:val="24"/>
          <w:szCs w:val="24"/>
          <w:spacing w:val="-2"/>
        </w:rPr>
        <w:t>尘量；顶部、坡面和平台及时苫盖，通过洒水使得外排土场表土层提高粘结性，控制扬</w:t>
      </w:r>
      <w:r>
        <w:rPr>
          <w:rFonts w:ascii="SimSun" w:hAnsi="SimSun" w:eastAsia="SimSun" w:cs="SimSun"/>
          <w:sz w:val="24"/>
          <w:szCs w:val="24"/>
          <w:spacing w:val="-3"/>
        </w:rPr>
        <w:t>尘污染。</w:t>
      </w:r>
    </w:p>
    <w:p>
      <w:pPr>
        <w:ind w:left="489"/>
        <w:spacing w:before="153" w:line="219" w:lineRule="auto"/>
        <w:rPr>
          <w:rFonts w:ascii="SimSun" w:hAnsi="SimSun" w:eastAsia="SimSun" w:cs="SimSun"/>
          <w:sz w:val="24"/>
          <w:szCs w:val="24"/>
        </w:rPr>
      </w:pPr>
      <w:r>
        <w:rPr>
          <w:rFonts w:ascii="Times New Roman" w:hAnsi="Times New Roman" w:eastAsia="Times New Roman" w:cs="Times New Roman"/>
          <w:sz w:val="24"/>
          <w:szCs w:val="24"/>
          <w:spacing w:val="-2"/>
        </w:rPr>
        <w:t>3</w:t>
      </w:r>
      <w:r>
        <w:rPr>
          <w:rFonts w:ascii="Times New Roman" w:hAnsi="Times New Roman" w:eastAsia="Times New Roman" w:cs="Times New Roman"/>
          <w:sz w:val="24"/>
          <w:szCs w:val="24"/>
          <w:spacing w:val="-33"/>
        </w:rPr>
        <w:t xml:space="preserve"> </w:t>
      </w:r>
      <w:r>
        <w:rPr>
          <w:rFonts w:ascii="SimSun" w:hAnsi="SimSun" w:eastAsia="SimSun" w:cs="SimSun"/>
          <w:sz w:val="24"/>
          <w:szCs w:val="24"/>
          <w:spacing w:val="-2"/>
        </w:rPr>
        <w:t>、土岩剥离物运输作业扬尘污染防治措施</w:t>
      </w:r>
    </w:p>
    <w:p>
      <w:pPr>
        <w:spacing w:line="219" w:lineRule="auto"/>
        <w:sectPr>
          <w:headerReference w:type="default" r:id="rId582"/>
          <w:footerReference w:type="default" r:id="rId583"/>
          <w:pgSz w:w="11906" w:h="16838"/>
          <w:pgMar w:top="1170" w:right="1193" w:bottom="725" w:left="1416" w:header="837" w:footer="562" w:gutter="0"/>
        </w:sectPr>
        <w:rPr>
          <w:rFonts w:ascii="SimSun" w:hAnsi="SimSun" w:eastAsia="SimSun" w:cs="SimSun"/>
          <w:sz w:val="24"/>
          <w:szCs w:val="24"/>
        </w:rPr>
      </w:pPr>
    </w:p>
    <w:p>
      <w:pPr>
        <w:pStyle w:val="BodyText"/>
        <w:spacing w:line="311" w:lineRule="auto"/>
        <w:rPr/>
      </w:pPr>
      <w:r/>
    </w:p>
    <w:p>
      <w:pPr>
        <w:ind w:left="495"/>
        <w:spacing w:before="7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）矿区进场道路定期采用洒水车定期洒水降尘；</w:t>
      </w:r>
    </w:p>
    <w:p>
      <w:pPr>
        <w:ind w:left="28" w:right="99" w:firstLine="467"/>
        <w:spacing w:before="153" w:line="280"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2</w:t>
      </w:r>
      <w:r>
        <w:rPr>
          <w:rFonts w:ascii="SimSun" w:hAnsi="SimSun" w:eastAsia="SimSun" w:cs="SimSun"/>
          <w:sz w:val="24"/>
          <w:szCs w:val="24"/>
          <w:spacing w:val="1"/>
        </w:rPr>
        <w:t>）对运输车辆加强监管，采取限速、控制载重的措施，做到不超载、不超速以</w:t>
      </w:r>
      <w:r>
        <w:rPr>
          <w:rFonts w:ascii="SimSun" w:hAnsi="SimSun" w:eastAsia="SimSun" w:cs="SimSun"/>
          <w:sz w:val="24"/>
          <w:szCs w:val="24"/>
          <w:spacing w:val="-5"/>
        </w:rPr>
        <w:t>降低运输扬尘；</w:t>
      </w:r>
    </w:p>
    <w:p>
      <w:pPr>
        <w:ind w:left="10" w:right="85" w:firstLine="485"/>
        <w:spacing w:before="154" w:line="29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）加强运输车辆的管理，运输车辆应当密闭或者严密加盖篷布、喷洒表面凝结</w:t>
      </w:r>
      <w:r>
        <w:rPr>
          <w:rFonts w:ascii="SimSun" w:hAnsi="SimSun" w:eastAsia="SimSun" w:cs="SimSun"/>
          <w:sz w:val="24"/>
          <w:szCs w:val="24"/>
          <w:spacing w:val="-2"/>
        </w:rPr>
        <w:t>剂等抑尘措施，未密闭或者未严密加盖篷布、超载等不符合装载要求的车辆，不得驶出</w:t>
      </w:r>
      <w:r>
        <w:rPr>
          <w:rFonts w:ascii="SimSun" w:hAnsi="SimSun" w:eastAsia="SimSun" w:cs="SimSun"/>
          <w:sz w:val="24"/>
          <w:szCs w:val="24"/>
          <w:spacing w:val="-4"/>
        </w:rPr>
        <w:t>厂区。</w:t>
      </w:r>
    </w:p>
    <w:p>
      <w:pPr>
        <w:ind w:left="18"/>
        <w:spacing w:before="245"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11.4.2 </w:t>
      </w:r>
      <w:r>
        <w:rPr>
          <w:rFonts w:ascii="SimHei" w:hAnsi="SimHei" w:eastAsia="SimHei" w:cs="SimHei"/>
          <w:sz w:val="28"/>
          <w:szCs w:val="28"/>
          <w:b/>
          <w:bCs/>
          <w:spacing w:val="-4"/>
        </w:rPr>
        <w:t>水环境影响及保护措施</w:t>
      </w:r>
    </w:p>
    <w:p>
      <w:pPr>
        <w:ind w:left="14" w:right="72" w:firstLine="474"/>
        <w:spacing w:before="171" w:line="339" w:lineRule="auto"/>
        <w:rPr>
          <w:rFonts w:ascii="SimSun" w:hAnsi="SimSun" w:eastAsia="SimSun" w:cs="SimSun"/>
          <w:sz w:val="24"/>
          <w:szCs w:val="24"/>
        </w:rPr>
      </w:pPr>
      <w:r>
        <w:rPr>
          <w:rFonts w:ascii="SimSun" w:hAnsi="SimSun" w:eastAsia="SimSun" w:cs="SimSun"/>
          <w:sz w:val="24"/>
          <w:szCs w:val="24"/>
          <w:spacing w:val="-1"/>
        </w:rPr>
        <w:t>矿坑水处理依托白音华四号露天矿矿井（坑）水处理站，采用</w:t>
      </w:r>
      <w:r>
        <w:rPr>
          <w:rFonts w:ascii="SimSun" w:hAnsi="SimSun" w:eastAsia="SimSun" w:cs="SimSun"/>
          <w:sz w:val="24"/>
          <w:szCs w:val="24"/>
          <w:spacing w:val="-2"/>
        </w:rPr>
        <w:t>“混凝沉淀、过滤、</w:t>
      </w:r>
      <w:r>
        <w:rPr>
          <w:rFonts w:ascii="SimSun" w:hAnsi="SimSun" w:eastAsia="SimSun" w:cs="SimSun"/>
          <w:sz w:val="24"/>
          <w:szCs w:val="24"/>
          <w:spacing w:val="-2"/>
        </w:rPr>
        <w:t>消毒</w:t>
      </w:r>
      <w:r>
        <w:rPr>
          <w:rFonts w:ascii="SimSun" w:hAnsi="SimSun" w:eastAsia="SimSun" w:cs="SimSun"/>
          <w:sz w:val="24"/>
          <w:szCs w:val="24"/>
          <w:spacing w:val="-88"/>
        </w:rPr>
        <w:t xml:space="preserve"> </w:t>
      </w:r>
      <w:r>
        <w:rPr>
          <w:rFonts w:ascii="SimSun" w:hAnsi="SimSun" w:eastAsia="SimSun" w:cs="SimSun"/>
          <w:sz w:val="24"/>
          <w:szCs w:val="24"/>
          <w:spacing w:val="-2"/>
        </w:rPr>
        <w:t>”工艺，其规模为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18000m</w:t>
      </w:r>
      <w:r>
        <w:rPr>
          <w:rFonts w:ascii="Times New Roman" w:hAnsi="Times New Roman" w:eastAsia="Times New Roman" w:cs="Times New Roman"/>
          <w:sz w:val="15"/>
          <w:szCs w:val="15"/>
          <w:spacing w:val="-2"/>
          <w:position w:val="7"/>
        </w:rPr>
        <w:t>3</w:t>
      </w:r>
      <w:r>
        <w:rPr>
          <w:rFonts w:ascii="Times New Roman" w:hAnsi="Times New Roman" w:eastAsia="Times New Roman" w:cs="Times New Roman"/>
          <w:sz w:val="24"/>
          <w:szCs w:val="24"/>
          <w:spacing w:val="-2"/>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750t/h</w:t>
      </w:r>
      <w:r>
        <w:rPr>
          <w:rFonts w:ascii="SimSun" w:hAnsi="SimSun" w:eastAsia="SimSun" w:cs="SimSun"/>
          <w:sz w:val="24"/>
          <w:szCs w:val="24"/>
          <w:spacing w:val="8"/>
        </w:rPr>
        <w:t>）；</w:t>
      </w:r>
      <w:r>
        <w:rPr>
          <w:rFonts w:ascii="SimSun" w:hAnsi="SimSun" w:eastAsia="SimSun" w:cs="SimSun"/>
          <w:sz w:val="24"/>
          <w:szCs w:val="24"/>
          <w:spacing w:val="-2"/>
        </w:rPr>
        <w:t>处理后的矿坑水全部</w:t>
      </w:r>
      <w:r>
        <w:rPr>
          <w:rFonts w:ascii="SimSun" w:hAnsi="SimSun" w:eastAsia="SimSun" w:cs="SimSun"/>
          <w:sz w:val="24"/>
          <w:szCs w:val="24"/>
          <w:spacing w:val="-3"/>
        </w:rPr>
        <w:t>回用不外排。</w:t>
      </w:r>
    </w:p>
    <w:p>
      <w:pPr>
        <w:ind w:left="28" w:right="85" w:firstLine="496"/>
        <w:spacing w:before="2" w:line="337" w:lineRule="auto"/>
        <w:rPr>
          <w:rFonts w:ascii="SimSun" w:hAnsi="SimSun" w:eastAsia="SimSun" w:cs="SimSun"/>
          <w:sz w:val="24"/>
          <w:szCs w:val="24"/>
        </w:rPr>
      </w:pPr>
      <w:r>
        <w:rPr>
          <w:rFonts w:ascii="SimSun" w:hAnsi="SimSun" w:eastAsia="SimSun" w:cs="SimSun"/>
          <w:sz w:val="24"/>
          <w:szCs w:val="24"/>
          <w:spacing w:val="4"/>
        </w:rPr>
        <w:t>白音华四号矿生活污水处理依托工业场地内现有生活污水处理站，其处理规模为</w:t>
      </w:r>
      <w:r>
        <w:rPr>
          <w:rFonts w:ascii="Times New Roman" w:hAnsi="Times New Roman" w:eastAsia="Times New Roman" w:cs="Times New Roman"/>
          <w:sz w:val="24"/>
          <w:szCs w:val="24"/>
          <w:spacing w:val="-4"/>
        </w:rPr>
        <w:t>1200m</w:t>
      </w:r>
      <w:r>
        <w:rPr>
          <w:rFonts w:ascii="Times New Roman" w:hAnsi="Times New Roman" w:eastAsia="Times New Roman" w:cs="Times New Roman"/>
          <w:sz w:val="15"/>
          <w:szCs w:val="15"/>
          <w:spacing w:val="-4"/>
          <w:position w:val="8"/>
        </w:rPr>
        <w:t>3</w:t>
      </w:r>
      <w:r>
        <w:rPr>
          <w:rFonts w:ascii="Times New Roman" w:hAnsi="Times New Roman" w:eastAsia="Times New Roman" w:cs="Times New Roman"/>
          <w:sz w:val="24"/>
          <w:szCs w:val="24"/>
          <w:spacing w:val="-4"/>
        </w:rPr>
        <w:t>/d</w:t>
      </w:r>
      <w:r>
        <w:rPr>
          <w:rFonts w:ascii="SimSun" w:hAnsi="SimSun" w:eastAsia="SimSun" w:cs="SimSun"/>
          <w:sz w:val="24"/>
          <w:szCs w:val="24"/>
          <w:spacing w:val="-2"/>
        </w:rPr>
        <w:t>（</w:t>
      </w:r>
      <w:r>
        <w:rPr>
          <w:rFonts w:ascii="Times New Roman" w:hAnsi="Times New Roman" w:eastAsia="Times New Roman" w:cs="Times New Roman"/>
          <w:sz w:val="24"/>
          <w:szCs w:val="24"/>
          <w:spacing w:val="-2"/>
        </w:rPr>
        <w:t>50m</w:t>
      </w:r>
      <w:r>
        <w:rPr>
          <w:rFonts w:ascii="Times New Roman" w:hAnsi="Times New Roman" w:eastAsia="Times New Roman" w:cs="Times New Roman"/>
          <w:sz w:val="15"/>
          <w:szCs w:val="15"/>
          <w:spacing w:val="-2"/>
          <w:position w:val="8"/>
        </w:rPr>
        <w:t>3</w:t>
      </w:r>
      <w:r>
        <w:rPr>
          <w:rFonts w:ascii="Times New Roman" w:hAnsi="Times New Roman" w:eastAsia="Times New Roman" w:cs="Times New Roman"/>
          <w:sz w:val="24"/>
          <w:szCs w:val="24"/>
          <w:spacing w:val="-2"/>
        </w:rPr>
        <w:t>/h</w:t>
      </w:r>
      <w:r>
        <w:rPr>
          <w:rFonts w:ascii="SimSun" w:hAnsi="SimSun" w:eastAsia="SimSun" w:cs="SimSun"/>
          <w:sz w:val="24"/>
          <w:szCs w:val="24"/>
          <w:spacing w:val="11"/>
        </w:rPr>
        <w:t>），</w:t>
      </w:r>
      <w:r>
        <w:rPr>
          <w:rFonts w:ascii="SimSun" w:hAnsi="SimSun" w:eastAsia="SimSun" w:cs="SimSun"/>
          <w:sz w:val="24"/>
          <w:szCs w:val="24"/>
          <w:spacing w:val="-2"/>
        </w:rPr>
        <w:t>采用“生物接触氧化工艺</w:t>
      </w:r>
      <w:r>
        <w:rPr>
          <w:rFonts w:ascii="SimSun" w:hAnsi="SimSun" w:eastAsia="SimSun" w:cs="SimSun"/>
          <w:sz w:val="24"/>
          <w:szCs w:val="24"/>
          <w:spacing w:val="-88"/>
        </w:rPr>
        <w:t xml:space="preserve"> </w:t>
      </w:r>
      <w:r>
        <w:rPr>
          <w:rFonts w:ascii="SimSun" w:hAnsi="SimSun" w:eastAsia="SimSun" w:cs="SimSun"/>
          <w:sz w:val="24"/>
          <w:szCs w:val="24"/>
          <w:spacing w:val="-2"/>
        </w:rPr>
        <w:t>”进行处理。</w:t>
      </w:r>
    </w:p>
    <w:p>
      <w:pPr>
        <w:ind w:left="15" w:right="94" w:firstLine="475"/>
        <w:spacing w:before="2" w:line="341" w:lineRule="auto"/>
        <w:rPr>
          <w:rFonts w:ascii="SimSun" w:hAnsi="SimSun" w:eastAsia="SimSun" w:cs="SimSun"/>
          <w:sz w:val="24"/>
          <w:szCs w:val="24"/>
        </w:rPr>
      </w:pPr>
      <w:r>
        <w:rPr>
          <w:rFonts w:ascii="SimSun" w:hAnsi="SimSun" w:eastAsia="SimSun" w:cs="SimSun"/>
          <w:sz w:val="24"/>
          <w:szCs w:val="24"/>
          <w:spacing w:val="5"/>
        </w:rPr>
        <w:t>经处理后的生活污水各污染因子浓度满足《城市污水再生利用城市杂</w:t>
      </w:r>
      <w:r>
        <w:rPr>
          <w:rFonts w:ascii="SimSun" w:hAnsi="SimSun" w:eastAsia="SimSun" w:cs="SimSun"/>
          <w:sz w:val="24"/>
          <w:szCs w:val="24"/>
          <w:spacing w:val="4"/>
        </w:rPr>
        <w:t>用水水质》</w:t>
      </w:r>
      <w:r>
        <w:rPr>
          <w:rFonts w:ascii="SimSun" w:hAnsi="SimSun" w:eastAsia="SimSun" w:cs="SimSun"/>
          <w:sz w:val="24"/>
          <w:szCs w:val="24"/>
        </w:rPr>
        <w:t xml:space="preserve"> </w:t>
      </w:r>
      <w:r>
        <w:rPr>
          <w:rFonts w:ascii="SimSun" w:hAnsi="SimSun" w:eastAsia="SimSun" w:cs="SimSun"/>
          <w:sz w:val="24"/>
          <w:szCs w:val="24"/>
        </w:rPr>
        <w:t>（</w:t>
      </w:r>
      <w:r>
        <w:rPr>
          <w:rFonts w:ascii="Times New Roman" w:hAnsi="Times New Roman" w:eastAsia="Times New Roman" w:cs="Times New Roman"/>
          <w:sz w:val="24"/>
          <w:szCs w:val="24"/>
        </w:rPr>
        <w:t>GB/T18920-2020</w:t>
      </w:r>
      <w:r>
        <w:rPr>
          <w:rFonts w:ascii="SimSun" w:hAnsi="SimSun" w:eastAsia="SimSun" w:cs="SimSun"/>
          <w:sz w:val="24"/>
          <w:szCs w:val="24"/>
        </w:rPr>
        <w:t>）中绿化用水标准。</w:t>
      </w:r>
      <w:r>
        <w:rPr>
          <w:rFonts w:ascii="SimSun" w:hAnsi="SimSun" w:eastAsia="SimSun" w:cs="SimSun"/>
          <w:sz w:val="24"/>
          <w:szCs w:val="24"/>
          <w:spacing w:val="-1"/>
        </w:rPr>
        <w:t>生活污水处理后全部回用不外排。</w:t>
      </w:r>
    </w:p>
    <w:p>
      <w:pPr>
        <w:ind w:left="18"/>
        <w:spacing w:before="85" w:line="222" w:lineRule="auto"/>
        <w:rPr>
          <w:rFonts w:ascii="SimHei" w:hAnsi="SimHei" w:eastAsia="SimHei" w:cs="SimHei"/>
          <w:sz w:val="28"/>
          <w:szCs w:val="28"/>
        </w:rPr>
      </w:pPr>
      <w:r>
        <w:rPr>
          <w:rFonts w:ascii="Times New Roman" w:hAnsi="Times New Roman" w:eastAsia="Times New Roman" w:cs="Times New Roman"/>
          <w:sz w:val="28"/>
          <w:szCs w:val="28"/>
          <w:b/>
          <w:bCs/>
          <w:spacing w:val="-4"/>
        </w:rPr>
        <w:t>11.4.3 </w:t>
      </w:r>
      <w:r>
        <w:rPr>
          <w:rFonts w:ascii="SimHei" w:hAnsi="SimHei" w:eastAsia="SimHei" w:cs="SimHei"/>
          <w:sz w:val="28"/>
          <w:szCs w:val="28"/>
          <w:b/>
          <w:bCs/>
          <w:spacing w:val="-4"/>
        </w:rPr>
        <w:t>声环境影响及保护措施</w:t>
      </w:r>
    </w:p>
    <w:p>
      <w:pPr>
        <w:ind w:left="492"/>
        <w:spacing w:before="170" w:line="219" w:lineRule="auto"/>
        <w:rPr>
          <w:rFonts w:ascii="SimSun" w:hAnsi="SimSun" w:eastAsia="SimSun" w:cs="SimSun"/>
          <w:sz w:val="24"/>
          <w:szCs w:val="24"/>
        </w:rPr>
      </w:pPr>
      <w:r>
        <w:rPr>
          <w:rFonts w:ascii="SimSun" w:hAnsi="SimSun" w:eastAsia="SimSun" w:cs="SimSun"/>
          <w:sz w:val="24"/>
          <w:szCs w:val="24"/>
          <w:spacing w:val="-1"/>
        </w:rPr>
        <w:t>工业场地内固定噪声源主要采取吸声、隔声、减震等降噪措施。</w:t>
      </w:r>
    </w:p>
    <w:p>
      <w:pPr>
        <w:ind w:left="11" w:right="85" w:firstLine="477"/>
        <w:spacing w:before="157" w:line="340" w:lineRule="auto"/>
        <w:rPr>
          <w:rFonts w:ascii="SimSun" w:hAnsi="SimSun" w:eastAsia="SimSun" w:cs="SimSun"/>
          <w:sz w:val="24"/>
          <w:szCs w:val="24"/>
        </w:rPr>
      </w:pPr>
      <w:r>
        <w:rPr>
          <w:rFonts w:ascii="SimSun" w:hAnsi="SimSun" w:eastAsia="SimSun" w:cs="SimSun"/>
          <w:sz w:val="24"/>
          <w:szCs w:val="24"/>
          <w:spacing w:val="-2"/>
        </w:rPr>
        <w:t>在采取上述措施的情况下，根据现有监测报告及本次环评类比预测结果，工业场地</w:t>
      </w:r>
      <w:r>
        <w:rPr>
          <w:rFonts w:ascii="SimSun" w:hAnsi="SimSun" w:eastAsia="SimSun" w:cs="SimSun"/>
          <w:sz w:val="24"/>
          <w:szCs w:val="24"/>
          <w:spacing w:val="-3"/>
        </w:rPr>
        <w:t>厂界噪声可以满足《工业企业厂界环境噪声排放标准》（</w:t>
      </w:r>
      <w:r>
        <w:rPr>
          <w:rFonts w:ascii="Times New Roman" w:hAnsi="Times New Roman" w:eastAsia="Times New Roman" w:cs="Times New Roman"/>
          <w:sz w:val="24"/>
          <w:szCs w:val="24"/>
          <w:spacing w:val="-3"/>
        </w:rPr>
        <w:t>GB12348-2008</w:t>
      </w:r>
      <w:r>
        <w:rPr>
          <w:rFonts w:ascii="SimSun" w:hAnsi="SimSun" w:eastAsia="SimSun" w:cs="SimSun"/>
          <w:sz w:val="24"/>
          <w:szCs w:val="24"/>
          <w:spacing w:val="-3"/>
        </w:rPr>
        <w:t>）的</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 </w:t>
      </w:r>
      <w:r>
        <w:rPr>
          <w:rFonts w:ascii="SimSun" w:hAnsi="SimSun" w:eastAsia="SimSun" w:cs="SimSun"/>
          <w:sz w:val="24"/>
          <w:szCs w:val="24"/>
          <w:spacing w:val="-3"/>
        </w:rPr>
        <w:t>类标准要</w:t>
      </w:r>
      <w:r>
        <w:rPr>
          <w:rFonts w:ascii="SimSun" w:hAnsi="SimSun" w:eastAsia="SimSun" w:cs="SimSun"/>
          <w:sz w:val="24"/>
          <w:szCs w:val="24"/>
          <w:spacing w:val="-1"/>
        </w:rPr>
        <w:t>求，对周围声环境影响较小，措施可行。</w:t>
      </w:r>
    </w:p>
    <w:p>
      <w:pPr>
        <w:ind w:left="18"/>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5"/>
        </w:rPr>
        <w:t>11.4.4</w:t>
      </w:r>
      <w:r>
        <w:rPr>
          <w:rFonts w:ascii="Times New Roman" w:hAnsi="Times New Roman" w:eastAsia="Times New Roman" w:cs="Times New Roman"/>
          <w:sz w:val="28"/>
          <w:szCs w:val="28"/>
          <w:b/>
          <w:bCs/>
          <w:spacing w:val="33"/>
        </w:rPr>
        <w:t xml:space="preserve"> </w:t>
      </w:r>
      <w:r>
        <w:rPr>
          <w:rFonts w:ascii="SimHei" w:hAnsi="SimHei" w:eastAsia="SimHei" w:cs="SimHei"/>
          <w:sz w:val="28"/>
          <w:szCs w:val="28"/>
          <w:b/>
          <w:bCs/>
          <w:spacing w:val="-5"/>
        </w:rPr>
        <w:t>固体废弃物影响及保护措施</w:t>
      </w:r>
    </w:p>
    <w:p>
      <w:pPr>
        <w:ind w:left="22" w:right="85" w:firstLine="475"/>
        <w:spacing w:before="168" w:line="339" w:lineRule="auto"/>
        <w:rPr>
          <w:rFonts w:ascii="SimSun" w:hAnsi="SimSun" w:eastAsia="SimSun" w:cs="SimSun"/>
          <w:sz w:val="24"/>
          <w:szCs w:val="24"/>
        </w:rPr>
      </w:pPr>
      <w:r>
        <w:rPr>
          <w:rFonts w:ascii="SimSun" w:hAnsi="SimSun" w:eastAsia="SimSun" w:cs="SimSun"/>
          <w:sz w:val="24"/>
          <w:szCs w:val="24"/>
          <w:spacing w:val="-2"/>
        </w:rPr>
        <w:t>改建后生产系统的固体废物主要有矸石、矸石剥离物、生活垃圾、污泥及煤泥、危</w:t>
      </w:r>
      <w:r>
        <w:rPr>
          <w:rFonts w:ascii="SimSun" w:hAnsi="SimSun" w:eastAsia="SimSun" w:cs="SimSun"/>
          <w:sz w:val="24"/>
          <w:szCs w:val="24"/>
          <w:spacing w:val="-5"/>
        </w:rPr>
        <w:t>险废物等。</w:t>
      </w:r>
    </w:p>
    <w:p>
      <w:pPr>
        <w:ind w:left="508"/>
        <w:spacing w:before="1" w:line="220" w:lineRule="auto"/>
        <w:rPr>
          <w:rFonts w:ascii="SimSun" w:hAnsi="SimSun" w:eastAsia="SimSun" w:cs="SimSun"/>
          <w:sz w:val="24"/>
          <w:szCs w:val="24"/>
        </w:rPr>
      </w:pPr>
      <w:r>
        <w:rPr>
          <w:rFonts w:ascii="Times New Roman" w:hAnsi="Times New Roman" w:eastAsia="Times New Roman" w:cs="Times New Roman"/>
          <w:sz w:val="24"/>
          <w:szCs w:val="24"/>
          <w:spacing w:val="-14"/>
        </w:rPr>
        <w:t>1</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14"/>
        </w:rPr>
        <w:t>、矸石</w:t>
      </w:r>
    </w:p>
    <w:p>
      <w:pPr>
        <w:ind w:left="11" w:right="87" w:firstLine="479"/>
        <w:spacing w:before="151" w:line="339" w:lineRule="auto"/>
        <w:rPr>
          <w:rFonts w:ascii="SimSun" w:hAnsi="SimSun" w:eastAsia="SimSun" w:cs="SimSun"/>
          <w:sz w:val="24"/>
          <w:szCs w:val="24"/>
        </w:rPr>
      </w:pPr>
      <w:r>
        <w:rPr>
          <w:rFonts w:ascii="SimSun" w:hAnsi="SimSun" w:eastAsia="SimSun" w:cs="SimSun"/>
          <w:sz w:val="24"/>
          <w:szCs w:val="24"/>
          <w:spacing w:val="-2"/>
        </w:rPr>
        <w:t>本项目矸石主要来源于风选车间的矸石。风选矸石</w:t>
      </w:r>
      <w:r>
        <w:rPr>
          <w:rFonts w:ascii="SimSun" w:hAnsi="SimSun" w:eastAsia="SimSun" w:cs="SimSun"/>
          <w:sz w:val="24"/>
          <w:szCs w:val="24"/>
          <w:spacing w:val="-34"/>
        </w:rPr>
        <w:t xml:space="preserve"> </w:t>
      </w:r>
      <w:r>
        <w:rPr>
          <w:rFonts w:ascii="Times New Roman" w:hAnsi="Times New Roman" w:eastAsia="Times New Roman" w:cs="Times New Roman"/>
          <w:sz w:val="24"/>
          <w:szCs w:val="24"/>
          <w:spacing w:val="-2"/>
        </w:rPr>
        <w:t>50</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2"/>
        </w:rPr>
        <w:t>万</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t/a</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2"/>
        </w:rPr>
        <w:t>，排往井工区沉陷区充</w:t>
      </w:r>
      <w:r>
        <w:rPr>
          <w:rFonts w:ascii="SimSun" w:hAnsi="SimSun" w:eastAsia="SimSun" w:cs="SimSun"/>
          <w:sz w:val="24"/>
          <w:szCs w:val="24"/>
          <w:spacing w:val="-2"/>
        </w:rPr>
        <w:t>填现有沉陷区。</w:t>
      </w:r>
    </w:p>
    <w:p>
      <w:pPr>
        <w:ind w:left="485"/>
        <w:spacing w:line="220" w:lineRule="auto"/>
        <w:rPr>
          <w:rFonts w:ascii="SimSun" w:hAnsi="SimSun" w:eastAsia="SimSun" w:cs="SimSun"/>
          <w:sz w:val="24"/>
          <w:szCs w:val="24"/>
        </w:rPr>
      </w:pPr>
      <w:r>
        <w:rPr>
          <w:rFonts w:ascii="Times New Roman" w:hAnsi="Times New Roman" w:eastAsia="Times New Roman" w:cs="Times New Roman"/>
          <w:sz w:val="24"/>
          <w:szCs w:val="24"/>
          <w:spacing w:val="-5"/>
        </w:rPr>
        <w:t>2</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5"/>
        </w:rPr>
        <w:t>、土岩剥离物</w:t>
      </w:r>
    </w:p>
    <w:p>
      <w:pPr>
        <w:ind w:left="35" w:firstLine="459"/>
        <w:spacing w:before="153" w:line="339" w:lineRule="auto"/>
        <w:rPr>
          <w:rFonts w:ascii="SimSun" w:hAnsi="SimSun" w:eastAsia="SimSun" w:cs="SimSun"/>
          <w:sz w:val="24"/>
          <w:szCs w:val="24"/>
        </w:rPr>
      </w:pPr>
      <w:r>
        <w:rPr>
          <w:rFonts w:ascii="SimSun" w:hAnsi="SimSun" w:eastAsia="SimSun" w:cs="SimSun"/>
          <w:sz w:val="24"/>
          <w:szCs w:val="24"/>
          <w:spacing w:val="-1"/>
        </w:rPr>
        <w:t>露天区矸石主要为土岩剥离物，为</w:t>
      </w:r>
      <w:r>
        <w:rPr>
          <w:rFonts w:ascii="SimSun" w:hAnsi="SimSun" w:eastAsia="SimSun" w:cs="SimSun"/>
          <w:sz w:val="24"/>
          <w:szCs w:val="24"/>
          <w:spacing w:val="-42"/>
        </w:rPr>
        <w:t xml:space="preserve"> </w:t>
      </w:r>
      <w:r>
        <w:rPr>
          <w:rFonts w:ascii="Times New Roman" w:hAnsi="Times New Roman" w:eastAsia="Times New Roman" w:cs="Times New Roman"/>
          <w:sz w:val="24"/>
          <w:szCs w:val="24"/>
          <w:spacing w:val="-1"/>
        </w:rPr>
        <w:t>5295</w:t>
      </w:r>
      <w:r>
        <w:rPr>
          <w:rFonts w:ascii="Times New Roman" w:hAnsi="Times New Roman" w:eastAsia="Times New Roman" w:cs="Times New Roman"/>
          <w:sz w:val="24"/>
          <w:szCs w:val="24"/>
          <w:spacing w:val="20"/>
          <w:w w:val="101"/>
        </w:rPr>
        <w:t xml:space="preserve"> </w:t>
      </w:r>
      <w:r>
        <w:rPr>
          <w:rFonts w:ascii="SimSun" w:hAnsi="SimSun" w:eastAsia="SimSun" w:cs="SimSun"/>
          <w:sz w:val="24"/>
          <w:szCs w:val="24"/>
          <w:spacing w:val="-1"/>
        </w:rPr>
        <w:t>万</w:t>
      </w:r>
      <w:r>
        <w:rPr>
          <w:rFonts w:ascii="SimSun" w:hAnsi="SimSun" w:eastAsia="SimSun" w:cs="SimSun"/>
          <w:sz w:val="24"/>
          <w:szCs w:val="24"/>
          <w:spacing w:val="-58"/>
        </w:rPr>
        <w:t xml:space="preserve"> </w:t>
      </w:r>
      <w:r>
        <w:rPr>
          <w:rFonts w:ascii="Times New Roman" w:hAnsi="Times New Roman" w:eastAsia="Times New Roman" w:cs="Times New Roman"/>
          <w:sz w:val="24"/>
          <w:szCs w:val="24"/>
          <w:spacing w:val="-1"/>
        </w:rPr>
        <w:t>m</w:t>
      </w:r>
      <w:r>
        <w:rPr>
          <w:rFonts w:ascii="Times New Roman" w:hAnsi="Times New Roman" w:eastAsia="Times New Roman" w:cs="Times New Roman"/>
          <w:sz w:val="15"/>
          <w:szCs w:val="15"/>
          <w:spacing w:val="-1"/>
          <w:position w:val="7"/>
        </w:rPr>
        <w:t>3</w:t>
      </w:r>
      <w:r>
        <w:rPr>
          <w:rFonts w:ascii="Times New Roman" w:hAnsi="Times New Roman" w:eastAsia="Times New Roman" w:cs="Times New Roman"/>
          <w:sz w:val="24"/>
          <w:szCs w:val="24"/>
          <w:spacing w:val="-1"/>
        </w:rPr>
        <w:t>/a</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1"/>
        </w:rPr>
        <w:t>。运送至内排土场堆存。煤矿目前</w:t>
      </w:r>
      <w:r>
        <w:rPr>
          <w:rFonts w:ascii="SimSun" w:hAnsi="SimSun" w:eastAsia="SimSun" w:cs="SimSun"/>
          <w:sz w:val="24"/>
          <w:szCs w:val="24"/>
          <w:spacing w:val="-6"/>
        </w:rPr>
        <w:t>已形成沉陷区主要位于工业场地西侧、西北侧，正在采用变沉陷边充填的方</w:t>
      </w:r>
      <w:r>
        <w:rPr>
          <w:rFonts w:ascii="SimSun" w:hAnsi="SimSun" w:eastAsia="SimSun" w:cs="SimSun"/>
          <w:sz w:val="24"/>
          <w:szCs w:val="24"/>
          <w:spacing w:val="-7"/>
        </w:rPr>
        <w:t>式进行复垦。</w:t>
      </w:r>
    </w:p>
    <w:p>
      <w:pPr>
        <w:ind w:left="489"/>
        <w:spacing w:line="220" w:lineRule="auto"/>
        <w:rPr>
          <w:rFonts w:ascii="SimSun" w:hAnsi="SimSun" w:eastAsia="SimSun" w:cs="SimSun"/>
          <w:sz w:val="24"/>
          <w:szCs w:val="24"/>
        </w:rPr>
      </w:pPr>
      <w:r>
        <w:rPr>
          <w:rFonts w:ascii="Times New Roman" w:hAnsi="Times New Roman" w:eastAsia="Times New Roman" w:cs="Times New Roman"/>
          <w:sz w:val="24"/>
          <w:szCs w:val="24"/>
          <w:spacing w:val="-6"/>
        </w:rPr>
        <w:t>3</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6"/>
        </w:rPr>
        <w:t>、生活垃圾</w:t>
      </w:r>
    </w:p>
    <w:p>
      <w:pPr>
        <w:ind w:left="10" w:right="85" w:firstLine="485"/>
        <w:spacing w:before="153" w:line="339" w:lineRule="auto"/>
        <w:rPr>
          <w:rFonts w:ascii="SimSun" w:hAnsi="SimSun" w:eastAsia="SimSun" w:cs="SimSun"/>
          <w:sz w:val="24"/>
          <w:szCs w:val="24"/>
        </w:rPr>
      </w:pPr>
      <w:r>
        <w:rPr>
          <w:rFonts w:ascii="SimSun" w:hAnsi="SimSun" w:eastAsia="SimSun" w:cs="SimSun"/>
          <w:sz w:val="24"/>
          <w:szCs w:val="24"/>
          <w:spacing w:val="-2"/>
        </w:rPr>
        <w:t>生活垃圾的产生量为</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200.</w:t>
      </w:r>
      <w:r>
        <w:rPr>
          <w:rFonts w:ascii="Times New Roman" w:hAnsi="Times New Roman" w:eastAsia="Times New Roman" w:cs="Times New Roman"/>
          <w:sz w:val="24"/>
          <w:szCs w:val="24"/>
          <w:spacing w:val="-31"/>
        </w:rPr>
        <w:t xml:space="preserve"> </w:t>
      </w:r>
      <w:r>
        <w:rPr>
          <w:rFonts w:ascii="Times New Roman" w:hAnsi="Times New Roman" w:eastAsia="Times New Roman" w:cs="Times New Roman"/>
          <w:sz w:val="24"/>
          <w:szCs w:val="24"/>
          <w:spacing w:val="-2"/>
        </w:rPr>
        <w:t>11t/a</w:t>
      </w:r>
      <w:r>
        <w:rPr>
          <w:rFonts w:ascii="SimSun" w:hAnsi="SimSun" w:eastAsia="SimSun" w:cs="SimSun"/>
          <w:sz w:val="24"/>
          <w:szCs w:val="24"/>
          <w:spacing w:val="-2"/>
        </w:rPr>
        <w:t>。通过在主要</w:t>
      </w:r>
      <w:r>
        <w:rPr>
          <w:rFonts w:ascii="SimSun" w:hAnsi="SimSun" w:eastAsia="SimSun" w:cs="SimSun"/>
          <w:sz w:val="24"/>
          <w:szCs w:val="24"/>
          <w:spacing w:val="-3"/>
        </w:rPr>
        <w:t>建筑物及作业场所设置垃圾桶，配备垃</w:t>
      </w:r>
      <w:r>
        <w:rPr>
          <w:rFonts w:ascii="SimSun" w:hAnsi="SimSun" w:eastAsia="SimSun" w:cs="SimSun"/>
          <w:sz w:val="24"/>
          <w:szCs w:val="24"/>
        </w:rPr>
        <w:t>圾车定时清运生活垃圾，生活垃圾统一收集委托西乌</w:t>
      </w:r>
      <w:r>
        <w:rPr>
          <w:rFonts w:ascii="SimSun" w:hAnsi="SimSun" w:eastAsia="SimSun" w:cs="SimSun"/>
          <w:sz w:val="24"/>
          <w:szCs w:val="24"/>
          <w:spacing w:val="-1"/>
        </w:rPr>
        <w:t>旗环卫部门统一收集处理。</w:t>
      </w:r>
    </w:p>
    <w:p>
      <w:pPr>
        <w:ind w:left="483"/>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4</w:t>
      </w:r>
      <w:r>
        <w:rPr>
          <w:rFonts w:ascii="Times New Roman" w:hAnsi="Times New Roman" w:eastAsia="Times New Roman" w:cs="Times New Roman"/>
          <w:sz w:val="24"/>
          <w:szCs w:val="24"/>
          <w:spacing w:val="-32"/>
        </w:rPr>
        <w:t xml:space="preserve"> </w:t>
      </w:r>
      <w:r>
        <w:rPr>
          <w:rFonts w:ascii="SimSun" w:hAnsi="SimSun" w:eastAsia="SimSun" w:cs="SimSun"/>
          <w:sz w:val="24"/>
          <w:szCs w:val="24"/>
          <w:spacing w:val="-3"/>
        </w:rPr>
        <w:t>、生活污水处理站污泥</w:t>
      </w:r>
    </w:p>
    <w:p>
      <w:pPr>
        <w:spacing w:line="219" w:lineRule="auto"/>
        <w:sectPr>
          <w:headerReference w:type="default" r:id="rId6"/>
          <w:footerReference w:type="default" r:id="rId584"/>
          <w:pgSz w:w="11906" w:h="16838"/>
          <w:pgMar w:top="1170" w:right="1332" w:bottom="725" w:left="1416" w:header="837" w:footer="562" w:gutter="0"/>
        </w:sectPr>
        <w:rPr>
          <w:rFonts w:ascii="SimSun" w:hAnsi="SimSun" w:eastAsia="SimSun" w:cs="SimSun"/>
          <w:sz w:val="24"/>
          <w:szCs w:val="24"/>
        </w:rPr>
      </w:pPr>
    </w:p>
    <w:p>
      <w:pPr>
        <w:pStyle w:val="BodyText"/>
        <w:spacing w:line="311" w:lineRule="auto"/>
        <w:rPr/>
      </w:pPr>
      <w:r/>
    </w:p>
    <w:p>
      <w:pPr>
        <w:ind w:left="8" w:right="85" w:firstLine="515"/>
        <w:spacing w:before="78" w:line="339" w:lineRule="auto"/>
        <w:rPr>
          <w:rFonts w:ascii="SimSun" w:hAnsi="SimSun" w:eastAsia="SimSun" w:cs="SimSun"/>
          <w:sz w:val="24"/>
          <w:szCs w:val="24"/>
        </w:rPr>
      </w:pPr>
      <w:r>
        <w:rPr>
          <w:rFonts w:ascii="SimSun" w:hAnsi="SimSun" w:eastAsia="SimSun" w:cs="SimSun"/>
          <w:sz w:val="24"/>
          <w:szCs w:val="24"/>
          <w:spacing w:val="-3"/>
        </w:rPr>
        <w:t>白音华四号矿污泥的产生量为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18.7t/a</w:t>
      </w:r>
      <w:r>
        <w:rPr>
          <w:rFonts w:ascii="SimSun" w:hAnsi="SimSun" w:eastAsia="SimSun" w:cs="SimSun"/>
          <w:sz w:val="24"/>
          <w:szCs w:val="24"/>
          <w:spacing w:val="-3"/>
        </w:rPr>
        <w:t>，污泥经压滤脱水后与生活垃圾一起，由</w:t>
      </w:r>
      <w:r>
        <w:rPr>
          <w:rFonts w:ascii="SimSun" w:hAnsi="SimSun" w:eastAsia="SimSun" w:cs="SimSun"/>
          <w:sz w:val="24"/>
          <w:szCs w:val="24"/>
          <w:spacing w:val="-4"/>
        </w:rPr>
        <w:t>西乌</w:t>
      </w:r>
      <w:r>
        <w:rPr>
          <w:rFonts w:ascii="SimSun" w:hAnsi="SimSun" w:eastAsia="SimSun" w:cs="SimSun"/>
          <w:sz w:val="24"/>
          <w:szCs w:val="24"/>
          <w:spacing w:val="-2"/>
        </w:rPr>
        <w:t>旗环卫部门处置。</w:t>
      </w:r>
    </w:p>
    <w:p>
      <w:pPr>
        <w:ind w:left="491"/>
        <w:spacing w:line="219" w:lineRule="auto"/>
        <w:rPr>
          <w:rFonts w:ascii="SimSun" w:hAnsi="SimSun" w:eastAsia="SimSun" w:cs="SimSun"/>
          <w:sz w:val="24"/>
          <w:szCs w:val="24"/>
        </w:rPr>
      </w:pPr>
      <w:r>
        <w:rPr>
          <w:rFonts w:ascii="Times New Roman" w:hAnsi="Times New Roman" w:eastAsia="Times New Roman" w:cs="Times New Roman"/>
          <w:sz w:val="24"/>
          <w:szCs w:val="24"/>
          <w:spacing w:val="-3"/>
        </w:rPr>
        <w:t>5</w:t>
      </w:r>
      <w:r>
        <w:rPr>
          <w:rFonts w:ascii="Times New Roman" w:hAnsi="Times New Roman" w:eastAsia="Times New Roman" w:cs="Times New Roman"/>
          <w:sz w:val="24"/>
          <w:szCs w:val="24"/>
          <w:spacing w:val="-34"/>
        </w:rPr>
        <w:t xml:space="preserve"> </w:t>
      </w:r>
      <w:r>
        <w:rPr>
          <w:rFonts w:ascii="SimSun" w:hAnsi="SimSun" w:eastAsia="SimSun" w:cs="SimSun"/>
          <w:sz w:val="24"/>
          <w:szCs w:val="24"/>
          <w:spacing w:val="-3"/>
        </w:rPr>
        <w:t>、矿井（坑）水处理站煤泥</w:t>
      </w:r>
    </w:p>
    <w:p>
      <w:pPr>
        <w:ind w:left="14" w:right="85" w:firstLine="479"/>
        <w:spacing w:before="153" w:line="339" w:lineRule="auto"/>
        <w:rPr>
          <w:rFonts w:ascii="SimSun" w:hAnsi="SimSun" w:eastAsia="SimSun" w:cs="SimSun"/>
          <w:sz w:val="24"/>
          <w:szCs w:val="24"/>
        </w:rPr>
      </w:pPr>
      <w:r>
        <w:rPr>
          <w:rFonts w:ascii="SimSun" w:hAnsi="SimSun" w:eastAsia="SimSun" w:cs="SimSun"/>
          <w:sz w:val="24"/>
          <w:szCs w:val="24"/>
          <w:spacing w:val="-3"/>
        </w:rPr>
        <w:t>矿井（坑）水处理站煤泥的总产生量为</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171.62t/a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3"/>
        </w:rPr>
        <w:t>，矿井（坑）水处理站煤泥处理方</w:t>
      </w:r>
      <w:r>
        <w:rPr>
          <w:rFonts w:ascii="SimSun" w:hAnsi="SimSun" w:eastAsia="SimSun" w:cs="SimSun"/>
          <w:sz w:val="24"/>
          <w:szCs w:val="24"/>
          <w:spacing w:val="-1"/>
        </w:rPr>
        <w:t>式均为定期与煤炭产品一同外运销售。</w:t>
      </w:r>
    </w:p>
    <w:p>
      <w:pPr>
        <w:ind w:left="490"/>
        <w:spacing w:line="220" w:lineRule="auto"/>
        <w:rPr>
          <w:rFonts w:ascii="SimSun" w:hAnsi="SimSun" w:eastAsia="SimSun" w:cs="SimSun"/>
          <w:sz w:val="24"/>
          <w:szCs w:val="24"/>
        </w:rPr>
      </w:pPr>
      <w:r>
        <w:rPr>
          <w:rFonts w:ascii="Times New Roman" w:hAnsi="Times New Roman" w:eastAsia="Times New Roman" w:cs="Times New Roman"/>
          <w:sz w:val="24"/>
          <w:szCs w:val="24"/>
          <w:spacing w:val="-7"/>
        </w:rPr>
        <w:t>6</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7"/>
        </w:rPr>
        <w:t>、危险废物</w:t>
      </w:r>
    </w:p>
    <w:p>
      <w:pPr>
        <w:ind w:left="8" w:right="85" w:firstLine="515"/>
        <w:spacing w:before="154" w:line="338" w:lineRule="auto"/>
        <w:rPr>
          <w:rFonts w:ascii="SimSun" w:hAnsi="SimSun" w:eastAsia="SimSun" w:cs="SimSun"/>
          <w:sz w:val="24"/>
          <w:szCs w:val="24"/>
        </w:rPr>
      </w:pPr>
      <w:r>
        <w:rPr>
          <w:rFonts w:ascii="SimSun" w:hAnsi="SimSun" w:eastAsia="SimSun" w:cs="SimSun"/>
          <w:sz w:val="24"/>
          <w:szCs w:val="24"/>
          <w:spacing w:val="-1"/>
        </w:rPr>
        <w:t>白音华四号矿危险废物包括废矿物油、废电瓶。其总产生量分别为</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2"/>
        </w:rPr>
        <w:t>20t/a</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2"/>
        </w:rPr>
        <w:t>、</w:t>
      </w:r>
      <w:r>
        <w:rPr>
          <w:rFonts w:ascii="Times New Roman" w:hAnsi="Times New Roman" w:eastAsia="Times New Roman" w:cs="Times New Roman"/>
          <w:sz w:val="24"/>
          <w:szCs w:val="24"/>
          <w:spacing w:val="-2"/>
        </w:rPr>
        <w:t>2.5t/a</w:t>
      </w:r>
      <w:r>
        <w:rPr>
          <w:rFonts w:ascii="Times New Roman" w:hAnsi="Times New Roman" w:eastAsia="Times New Roman" w:cs="Times New Roman"/>
          <w:sz w:val="24"/>
          <w:szCs w:val="24"/>
          <w:spacing w:val="-25"/>
        </w:rPr>
        <w:t xml:space="preserve"> </w:t>
      </w:r>
      <w:r>
        <w:rPr>
          <w:rFonts w:ascii="SimSun" w:hAnsi="SimSun" w:eastAsia="SimSun" w:cs="SimSun"/>
          <w:sz w:val="24"/>
          <w:szCs w:val="24"/>
          <w:spacing w:val="-2"/>
        </w:rPr>
        <w:t>。</w:t>
      </w:r>
      <w:r>
        <w:rPr>
          <w:rFonts w:ascii="SimSun" w:hAnsi="SimSun" w:eastAsia="SimSun" w:cs="SimSun"/>
          <w:sz w:val="24"/>
          <w:szCs w:val="24"/>
          <w:spacing w:val="-2"/>
        </w:rPr>
        <w:t>处理方式为废矿物油、废电瓶均放置在危废暂存间。危废暂存间需要按照《危险废物贮</w:t>
      </w:r>
      <w:r>
        <w:rPr>
          <w:rFonts w:ascii="SimSun" w:hAnsi="SimSun" w:eastAsia="SimSun" w:cs="SimSun"/>
          <w:sz w:val="24"/>
          <w:szCs w:val="24"/>
          <w:spacing w:val="-2"/>
        </w:rPr>
        <w:t>存污染控制标准》（</w:t>
      </w:r>
      <w:r>
        <w:rPr>
          <w:rFonts w:ascii="Times New Roman" w:hAnsi="Times New Roman" w:eastAsia="Times New Roman" w:cs="Times New Roman"/>
          <w:sz w:val="24"/>
          <w:szCs w:val="24"/>
          <w:spacing w:val="-2"/>
        </w:rPr>
        <w:t>GB18597-2023</w:t>
      </w:r>
      <w:r>
        <w:rPr>
          <w:rFonts w:ascii="SimSun" w:hAnsi="SimSun" w:eastAsia="SimSun" w:cs="SimSun"/>
          <w:sz w:val="24"/>
          <w:szCs w:val="24"/>
          <w:spacing w:val="-3"/>
        </w:rPr>
        <w:t>）进行防渗建设和管理。危废定期交予具有资质的单</w:t>
      </w:r>
      <w:r>
        <w:rPr>
          <w:rFonts w:ascii="SimSun" w:hAnsi="SimSun" w:eastAsia="SimSun" w:cs="SimSun"/>
          <w:sz w:val="24"/>
          <w:szCs w:val="24"/>
          <w:spacing w:val="-2"/>
        </w:rPr>
        <w:t>位进行处置。</w:t>
      </w:r>
    </w:p>
    <w:p>
      <w:pPr>
        <w:ind w:left="9" w:right="85" w:firstLine="480"/>
        <w:spacing w:before="2" w:line="340" w:lineRule="auto"/>
        <w:jc w:val="both"/>
        <w:rPr>
          <w:rFonts w:ascii="SimSun" w:hAnsi="SimSun" w:eastAsia="SimSun" w:cs="SimSun"/>
          <w:sz w:val="24"/>
          <w:szCs w:val="24"/>
        </w:rPr>
      </w:pPr>
      <w:r>
        <w:rPr>
          <w:rFonts w:ascii="SimSun" w:hAnsi="SimSun" w:eastAsia="SimSun" w:cs="SimSun"/>
          <w:sz w:val="24"/>
          <w:szCs w:val="24"/>
          <w:spacing w:val="-2"/>
        </w:rPr>
        <w:t>本项目运营期产生的各固体废物均得到了妥善处置。建设单位应进一步做好各固废</w:t>
      </w:r>
      <w:r>
        <w:rPr>
          <w:rFonts w:ascii="SimSun" w:hAnsi="SimSun" w:eastAsia="SimSun" w:cs="SimSun"/>
          <w:sz w:val="24"/>
          <w:szCs w:val="24"/>
          <w:spacing w:val="-2"/>
        </w:rPr>
        <w:t>的堆存保管和防护，并设专人严格管理，防止二次污染。因此，本项目采取的固废防治</w:t>
      </w:r>
      <w:r>
        <w:rPr>
          <w:rFonts w:ascii="SimSun" w:hAnsi="SimSun" w:eastAsia="SimSun" w:cs="SimSun"/>
          <w:sz w:val="24"/>
          <w:szCs w:val="24"/>
          <w:spacing w:val="-2"/>
        </w:rPr>
        <w:t>措施是可行的。</w:t>
      </w:r>
    </w:p>
    <w:p>
      <w:pPr>
        <w:ind w:left="18"/>
        <w:spacing w:before="87" w:line="222" w:lineRule="auto"/>
        <w:rPr>
          <w:rFonts w:ascii="SimHei" w:hAnsi="SimHei" w:eastAsia="SimHei" w:cs="SimHei"/>
          <w:sz w:val="28"/>
          <w:szCs w:val="28"/>
        </w:rPr>
      </w:pPr>
      <w:r>
        <w:rPr>
          <w:rFonts w:ascii="Times New Roman" w:hAnsi="Times New Roman" w:eastAsia="Times New Roman" w:cs="Times New Roman"/>
          <w:sz w:val="28"/>
          <w:szCs w:val="28"/>
          <w:b/>
          <w:bCs/>
          <w:spacing w:val="-3"/>
        </w:rPr>
        <w:t>11.4.5 </w:t>
      </w:r>
      <w:r>
        <w:rPr>
          <w:rFonts w:ascii="SimHei" w:hAnsi="SimHei" w:eastAsia="SimHei" w:cs="SimHei"/>
          <w:sz w:val="28"/>
          <w:szCs w:val="28"/>
          <w:b/>
          <w:bCs/>
          <w:spacing w:val="-3"/>
        </w:rPr>
        <w:t>土壤环境影响及保护措施</w:t>
      </w:r>
    </w:p>
    <w:p>
      <w:pPr>
        <w:ind w:left="495"/>
        <w:spacing w:before="169" w:line="219"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）土壤环境质量现状</w:t>
      </w:r>
    </w:p>
    <w:p>
      <w:pPr>
        <w:ind w:left="10" w:right="16" w:firstLine="479"/>
        <w:spacing w:before="158" w:line="338" w:lineRule="auto"/>
        <w:rPr>
          <w:rFonts w:ascii="SimSun" w:hAnsi="SimSun" w:eastAsia="SimSun" w:cs="SimSun"/>
          <w:sz w:val="24"/>
          <w:szCs w:val="24"/>
        </w:rPr>
      </w:pPr>
      <w:r>
        <w:rPr>
          <w:rFonts w:ascii="SimSun" w:hAnsi="SimSun" w:eastAsia="SimSun" w:cs="SimSun"/>
          <w:sz w:val="24"/>
          <w:szCs w:val="24"/>
          <w:spacing w:val="-2"/>
        </w:rPr>
        <w:t>根据生态影响型土壤环境质量现状调查结果和检测结果，土壤监测点位的土壤表现</w:t>
      </w:r>
      <w:r>
        <w:rPr>
          <w:rFonts w:ascii="SimSun" w:hAnsi="SimSun" w:eastAsia="SimSun" w:cs="SimSun"/>
          <w:sz w:val="24"/>
          <w:szCs w:val="24"/>
          <w:spacing w:val="-2"/>
        </w:rPr>
        <w:t>为轻度盐化；酸化、碱化表现为无酸化或碱化。</w:t>
      </w:r>
      <w:r>
        <w:rPr>
          <w:rFonts w:ascii="Times New Roman" w:hAnsi="Times New Roman" w:eastAsia="Times New Roman" w:cs="Times New Roman"/>
          <w:sz w:val="24"/>
          <w:szCs w:val="24"/>
          <w:spacing w:val="-2"/>
        </w:rPr>
        <w:t>T13~T19</w:t>
      </w:r>
      <w:r>
        <w:rPr>
          <w:rFonts w:ascii="Times New Roman" w:hAnsi="Times New Roman" w:eastAsia="Times New Roman" w:cs="Times New Roman"/>
          <w:sz w:val="24"/>
          <w:szCs w:val="24"/>
          <w:spacing w:val="19"/>
          <w:w w:val="101"/>
        </w:rPr>
        <w:t xml:space="preserve"> </w:t>
      </w:r>
      <w:r>
        <w:rPr>
          <w:rFonts w:ascii="SimSun" w:hAnsi="SimSun" w:eastAsia="SimSun" w:cs="SimSun"/>
          <w:sz w:val="24"/>
          <w:szCs w:val="24"/>
          <w:spacing w:val="-2"/>
        </w:rPr>
        <w:t>监测点位的各检测项目均满足</w:t>
      </w:r>
      <w:r>
        <w:rPr>
          <w:rFonts w:ascii="SimSun" w:hAnsi="SimSun" w:eastAsia="SimSun" w:cs="SimSun"/>
          <w:sz w:val="24"/>
          <w:szCs w:val="24"/>
          <w:spacing w:val="-1"/>
        </w:rPr>
        <w:t>《土壤环境质量农用地土壤污染风险管控标准（试行）》（</w:t>
      </w:r>
      <w:r>
        <w:rPr>
          <w:rFonts w:ascii="Times New Roman" w:hAnsi="Times New Roman" w:eastAsia="Times New Roman" w:cs="Times New Roman"/>
          <w:sz w:val="24"/>
          <w:szCs w:val="24"/>
          <w:spacing w:val="-1"/>
        </w:rPr>
        <w:t>GB15618-2018</w:t>
      </w:r>
      <w:r>
        <w:rPr>
          <w:rFonts w:ascii="SimSun" w:hAnsi="SimSun" w:eastAsia="SimSun" w:cs="SimSun"/>
          <w:sz w:val="24"/>
          <w:szCs w:val="24"/>
          <w:spacing w:val="-1"/>
        </w:rPr>
        <w:t>）标准要求。</w:t>
      </w:r>
    </w:p>
    <w:p>
      <w:pPr>
        <w:ind w:left="10" w:firstLine="479"/>
        <w:spacing w:before="2" w:line="338" w:lineRule="auto"/>
        <w:rPr>
          <w:rFonts w:ascii="SimSun" w:hAnsi="SimSun" w:eastAsia="SimSun" w:cs="SimSun"/>
          <w:sz w:val="24"/>
          <w:szCs w:val="24"/>
        </w:rPr>
      </w:pPr>
      <w:r>
        <w:rPr>
          <w:rFonts w:ascii="SimSun" w:hAnsi="SimSun" w:eastAsia="SimSun" w:cs="SimSun"/>
          <w:sz w:val="24"/>
          <w:szCs w:val="24"/>
          <w:spacing w:val="-1"/>
        </w:rPr>
        <w:t>根据污染影响型土壤环境质量现状检测结果，</w:t>
      </w:r>
      <w:r>
        <w:rPr>
          <w:rFonts w:ascii="Times New Roman" w:hAnsi="Times New Roman" w:eastAsia="Times New Roman" w:cs="Times New Roman"/>
          <w:sz w:val="24"/>
          <w:szCs w:val="24"/>
          <w:spacing w:val="-1"/>
        </w:rPr>
        <w:t>T1~T4 </w:t>
      </w:r>
      <w:r>
        <w:rPr>
          <w:rFonts w:ascii="SimSun" w:hAnsi="SimSun" w:eastAsia="SimSun" w:cs="SimSun"/>
          <w:sz w:val="24"/>
          <w:szCs w:val="24"/>
          <w:spacing w:val="-1"/>
        </w:rPr>
        <w:t>和</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1"/>
        </w:rPr>
        <w:t>T7~T12</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和监测点位的各检</w:t>
      </w:r>
      <w:r>
        <w:rPr>
          <w:rFonts w:ascii="SimSun" w:hAnsi="SimSun" w:eastAsia="SimSun" w:cs="SimSun"/>
          <w:sz w:val="24"/>
          <w:szCs w:val="24"/>
          <w:spacing w:val="18"/>
        </w:rPr>
        <w:t>测项</w:t>
      </w:r>
      <w:r>
        <w:rPr>
          <w:rFonts w:ascii="SimSun" w:hAnsi="SimSun" w:eastAsia="SimSun" w:cs="SimSun"/>
          <w:sz w:val="24"/>
          <w:szCs w:val="24"/>
          <w:spacing w:val="-36"/>
        </w:rPr>
        <w:t xml:space="preserve"> </w:t>
      </w:r>
      <w:r>
        <w:rPr>
          <w:rFonts w:ascii="SimSun" w:hAnsi="SimSun" w:eastAsia="SimSun" w:cs="SimSun"/>
          <w:sz w:val="24"/>
          <w:szCs w:val="24"/>
          <w:spacing w:val="18"/>
        </w:rPr>
        <w:t>目均满足《</w:t>
      </w:r>
      <w:r>
        <w:rPr>
          <w:rFonts w:ascii="SimSun" w:hAnsi="SimSun" w:eastAsia="SimSun" w:cs="SimSun"/>
          <w:sz w:val="24"/>
          <w:szCs w:val="24"/>
          <w:spacing w:val="-60"/>
        </w:rPr>
        <w:t xml:space="preserve"> </w:t>
      </w:r>
      <w:r>
        <w:rPr>
          <w:rFonts w:ascii="SimSun" w:hAnsi="SimSun" w:eastAsia="SimSun" w:cs="SimSun"/>
          <w:sz w:val="24"/>
          <w:szCs w:val="24"/>
          <w:spacing w:val="18"/>
        </w:rPr>
        <w:t>土壤环境质量标准建设用地土壤污染风</w:t>
      </w:r>
      <w:r>
        <w:rPr>
          <w:rFonts w:ascii="SimSun" w:hAnsi="SimSun" w:eastAsia="SimSun" w:cs="SimSun"/>
          <w:sz w:val="24"/>
          <w:szCs w:val="24"/>
          <w:spacing w:val="-69"/>
        </w:rPr>
        <w:t xml:space="preserve"> </w:t>
      </w:r>
      <w:r>
        <w:rPr>
          <w:rFonts w:ascii="SimSun" w:hAnsi="SimSun" w:eastAsia="SimSun" w:cs="SimSun"/>
          <w:sz w:val="24"/>
          <w:szCs w:val="24"/>
          <w:spacing w:val="18"/>
        </w:rPr>
        <w:t>险管控标准（试行</w:t>
      </w:r>
      <w:r>
        <w:rPr>
          <w:rFonts w:ascii="SimSun" w:hAnsi="SimSun" w:eastAsia="SimSun" w:cs="SimSun"/>
          <w:sz w:val="24"/>
          <w:szCs w:val="24"/>
          <w:spacing w:val="-56"/>
        </w:rPr>
        <w:t xml:space="preserve"> </w:t>
      </w:r>
      <w:r>
        <w:rPr>
          <w:rFonts w:ascii="SimSun" w:hAnsi="SimSun" w:eastAsia="SimSun" w:cs="SimSun"/>
          <w:sz w:val="24"/>
          <w:szCs w:val="24"/>
          <w:spacing w:val="17"/>
        </w:rPr>
        <w:t>）</w:t>
      </w:r>
      <w:r>
        <w:rPr>
          <w:rFonts w:ascii="SimSun" w:hAnsi="SimSun" w:eastAsia="SimSun" w:cs="SimSun"/>
          <w:sz w:val="24"/>
          <w:szCs w:val="24"/>
          <w:spacing w:val="-71"/>
        </w:rPr>
        <w:t xml:space="preserve"> </w:t>
      </w:r>
      <w:r>
        <w:rPr>
          <w:rFonts w:ascii="SimSun" w:hAnsi="SimSun" w:eastAsia="SimSun" w:cs="SimSun"/>
          <w:sz w:val="24"/>
          <w:szCs w:val="24"/>
          <w:spacing w:val="17"/>
        </w:rPr>
        <w:t>》</w:t>
      </w:r>
      <w:r>
        <w:rPr>
          <w:rFonts w:ascii="SimSun" w:hAnsi="SimSun" w:eastAsia="SimSun" w:cs="SimSun"/>
          <w:sz w:val="24"/>
          <w:szCs w:val="24"/>
        </w:rPr>
        <w:t xml:space="preserve"> </w:t>
      </w:r>
      <w:r>
        <w:rPr>
          <w:rFonts w:ascii="SimSun" w:hAnsi="SimSun" w:eastAsia="SimSun" w:cs="SimSun"/>
          <w:sz w:val="24"/>
          <w:szCs w:val="24"/>
          <w:spacing w:val="-3"/>
        </w:rPr>
        <w:t>（</w:t>
      </w:r>
      <w:r>
        <w:rPr>
          <w:rFonts w:ascii="Times New Roman" w:hAnsi="Times New Roman" w:eastAsia="Times New Roman" w:cs="Times New Roman"/>
          <w:sz w:val="24"/>
          <w:szCs w:val="24"/>
          <w:spacing w:val="-3"/>
        </w:rPr>
        <w:t>GB36600-2018</w:t>
      </w:r>
      <w:r>
        <w:rPr>
          <w:rFonts w:ascii="SimSun" w:hAnsi="SimSun" w:eastAsia="SimSun" w:cs="SimSun"/>
          <w:sz w:val="24"/>
          <w:szCs w:val="24"/>
          <w:spacing w:val="-3"/>
        </w:rPr>
        <w:t>）第二类建设用地筛选值标准要求；</w:t>
      </w:r>
      <w:r>
        <w:rPr>
          <w:rFonts w:ascii="Times New Roman" w:hAnsi="Times New Roman" w:eastAsia="Times New Roman" w:cs="Times New Roman"/>
          <w:sz w:val="24"/>
          <w:szCs w:val="24"/>
          <w:spacing w:val="-3"/>
        </w:rPr>
        <w:t>T5~T6</w:t>
      </w:r>
      <w:r>
        <w:rPr>
          <w:rFonts w:ascii="Times New Roman" w:hAnsi="Times New Roman" w:eastAsia="Times New Roman" w:cs="Times New Roman"/>
          <w:sz w:val="24"/>
          <w:szCs w:val="24"/>
          <w:spacing w:val="22"/>
        </w:rPr>
        <w:t xml:space="preserve"> </w:t>
      </w:r>
      <w:r>
        <w:rPr>
          <w:rFonts w:ascii="SimSun" w:hAnsi="SimSun" w:eastAsia="SimSun" w:cs="SimSun"/>
          <w:sz w:val="24"/>
          <w:szCs w:val="24"/>
          <w:spacing w:val="-3"/>
        </w:rPr>
        <w:t>监测点位的各检测项目均满</w:t>
      </w:r>
      <w:r>
        <w:rPr>
          <w:rFonts w:ascii="SimSun" w:hAnsi="SimSun" w:eastAsia="SimSun" w:cs="SimSun"/>
          <w:sz w:val="24"/>
          <w:szCs w:val="24"/>
          <w:spacing w:val="-6"/>
        </w:rPr>
        <w:t>足《土壤环境质量农用地土壤污染风险管控标准（试行）》（</w:t>
      </w:r>
      <w:r>
        <w:rPr>
          <w:rFonts w:ascii="Times New Roman" w:hAnsi="Times New Roman" w:eastAsia="Times New Roman" w:cs="Times New Roman"/>
          <w:sz w:val="24"/>
          <w:szCs w:val="24"/>
          <w:spacing w:val="-6"/>
        </w:rPr>
        <w:t>GB15618-2018</w:t>
      </w:r>
      <w:r>
        <w:rPr>
          <w:rFonts w:ascii="SimSun" w:hAnsi="SimSun" w:eastAsia="SimSun" w:cs="SimSun"/>
          <w:sz w:val="24"/>
          <w:szCs w:val="24"/>
          <w:spacing w:val="-6"/>
        </w:rPr>
        <w:t>）标准要求。</w:t>
      </w:r>
    </w:p>
    <w:p>
      <w:pPr>
        <w:ind w:left="495"/>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）环境影响及污染防治措施</w:t>
      </w:r>
    </w:p>
    <w:p>
      <w:pPr>
        <w:ind w:left="8" w:right="85" w:firstLine="486"/>
        <w:spacing w:before="152" w:line="339" w:lineRule="auto"/>
        <w:rPr>
          <w:rFonts w:ascii="SimSun" w:hAnsi="SimSun" w:eastAsia="SimSun" w:cs="SimSun"/>
          <w:sz w:val="24"/>
          <w:szCs w:val="24"/>
        </w:rPr>
      </w:pPr>
      <w:r>
        <w:rPr>
          <w:rFonts w:ascii="SimSun" w:hAnsi="SimSun" w:eastAsia="SimSun" w:cs="SimSun"/>
          <w:sz w:val="24"/>
          <w:szCs w:val="24"/>
          <w:spacing w:val="-2"/>
        </w:rPr>
        <w:t>露天区开采不会造成因地下水水位下降而导致的土壤盐化问题，剥离沉降物质也不</w:t>
      </w:r>
      <w:r>
        <w:rPr>
          <w:rFonts w:ascii="SimSun" w:hAnsi="SimSun" w:eastAsia="SimSun" w:cs="SimSun"/>
          <w:sz w:val="24"/>
          <w:szCs w:val="24"/>
          <w:spacing w:val="-1"/>
        </w:rPr>
        <w:t>会对土壤产生酸化和碱化影响。</w:t>
      </w:r>
    </w:p>
    <w:p>
      <w:pPr>
        <w:ind w:left="9" w:right="18" w:firstLine="479"/>
        <w:spacing w:before="4" w:line="338" w:lineRule="auto"/>
        <w:jc w:val="both"/>
        <w:rPr>
          <w:rFonts w:ascii="SimSun" w:hAnsi="SimSun" w:eastAsia="SimSun" w:cs="SimSun"/>
          <w:sz w:val="24"/>
          <w:szCs w:val="24"/>
        </w:rPr>
      </w:pPr>
      <w:r>
        <w:rPr>
          <w:rFonts w:ascii="SimSun" w:hAnsi="SimSun" w:eastAsia="SimSun" w:cs="SimSun"/>
          <w:sz w:val="24"/>
          <w:szCs w:val="24"/>
          <w:spacing w:val="-2"/>
        </w:rPr>
        <w:t>在采掘场的剥离过程中，采区洒水抑尘措施，有利于减少扬尘产生；并对坑底集水</w:t>
      </w:r>
      <w:r>
        <w:rPr>
          <w:rFonts w:ascii="SimSun" w:hAnsi="SimSun" w:eastAsia="SimSun" w:cs="SimSun"/>
          <w:sz w:val="24"/>
          <w:szCs w:val="24"/>
          <w:spacing w:val="-6"/>
        </w:rPr>
        <w:t>坑进行防渗处理；为预防排土场土壤污染，针对排土场内部的措施主要为表土及时覆盖，</w:t>
      </w:r>
      <w:r>
        <w:rPr>
          <w:rFonts w:ascii="SimSun" w:hAnsi="SimSun" w:eastAsia="SimSun" w:cs="SimSun"/>
          <w:sz w:val="24"/>
          <w:szCs w:val="24"/>
          <w:spacing w:val="-2"/>
        </w:rPr>
        <w:t>因地制宜采取生态恢复措施，并进行跟踪监测。为防止排土场对周边牧草地的影响，主</w:t>
      </w:r>
      <w:r>
        <w:rPr>
          <w:rFonts w:ascii="SimSun" w:hAnsi="SimSun" w:eastAsia="SimSun" w:cs="SimSun"/>
          <w:sz w:val="24"/>
          <w:szCs w:val="24"/>
          <w:spacing w:val="-2"/>
        </w:rPr>
        <w:t>要对策为对周边采取拦挡措施，坡面控制侵蚀，施工与排土过程中按照规范执行，防止</w:t>
      </w:r>
      <w:r>
        <w:rPr>
          <w:rFonts w:ascii="SimSun" w:hAnsi="SimSun" w:eastAsia="SimSun" w:cs="SimSun"/>
          <w:sz w:val="24"/>
          <w:szCs w:val="24"/>
          <w:spacing w:val="-2"/>
        </w:rPr>
        <w:t>随意碾压。</w:t>
      </w:r>
    </w:p>
    <w:p>
      <w:pPr>
        <w:ind w:left="8" w:right="90" w:firstLine="481"/>
        <w:spacing w:before="1" w:line="340" w:lineRule="auto"/>
        <w:rPr>
          <w:rFonts w:ascii="SimSun" w:hAnsi="SimSun" w:eastAsia="SimSun" w:cs="SimSun"/>
          <w:sz w:val="24"/>
          <w:szCs w:val="24"/>
        </w:rPr>
      </w:pPr>
      <w:r>
        <w:rPr>
          <w:rFonts w:ascii="SimSun" w:hAnsi="SimSun" w:eastAsia="SimSun" w:cs="SimSun"/>
          <w:sz w:val="24"/>
          <w:szCs w:val="24"/>
          <w:spacing w:val="-2"/>
        </w:rPr>
        <w:t>土壤沙化是目前矿区及周边土壤退化的主要形式，主要防控措施为减少人为扰动，</w:t>
      </w:r>
      <w:r>
        <w:rPr>
          <w:rFonts w:ascii="SimSun" w:hAnsi="SimSun" w:eastAsia="SimSun" w:cs="SimSun"/>
          <w:sz w:val="24"/>
          <w:szCs w:val="24"/>
          <w:spacing w:val="-1"/>
        </w:rPr>
        <w:t>及时进行排土场的生态恢复工程。</w:t>
      </w:r>
    </w:p>
    <w:p>
      <w:pPr>
        <w:spacing w:line="340" w:lineRule="auto"/>
        <w:sectPr>
          <w:footerReference w:type="default" r:id="rId585"/>
          <w:pgSz w:w="11906" w:h="16838"/>
          <w:pgMar w:top="1170" w:right="1332" w:bottom="725" w:left="1416" w:header="837" w:footer="562" w:gutter="0"/>
        </w:sectPr>
        <w:rPr>
          <w:rFonts w:ascii="SimSun" w:hAnsi="SimSun" w:eastAsia="SimSun" w:cs="SimSun"/>
          <w:sz w:val="24"/>
          <w:szCs w:val="24"/>
        </w:rPr>
      </w:pPr>
    </w:p>
    <w:p>
      <w:pPr>
        <w:pStyle w:val="BodyText"/>
        <w:spacing w:line="314" w:lineRule="auto"/>
        <w:rPr/>
      </w:pPr>
      <w:r/>
    </w:p>
    <w:p>
      <w:pPr>
        <w:ind w:left="8" w:firstLine="483"/>
        <w:spacing w:before="78" w:line="339" w:lineRule="auto"/>
        <w:jc w:val="both"/>
        <w:rPr>
          <w:rFonts w:ascii="SimSun" w:hAnsi="SimSun" w:eastAsia="SimSun" w:cs="SimSun"/>
          <w:sz w:val="24"/>
          <w:szCs w:val="24"/>
        </w:rPr>
      </w:pPr>
      <w:r>
        <w:rPr>
          <w:rFonts w:ascii="SimSun" w:hAnsi="SimSun" w:eastAsia="SimSun" w:cs="SimSun"/>
          <w:sz w:val="24"/>
          <w:szCs w:val="24"/>
          <w:spacing w:val="-6"/>
        </w:rPr>
        <w:t>工业场地的土壤污染源主要为矿井（坑）水、生活废水</w:t>
      </w:r>
      <w:r>
        <w:rPr>
          <w:rFonts w:ascii="SimSun" w:hAnsi="SimSun" w:eastAsia="SimSun" w:cs="SimSun"/>
          <w:sz w:val="24"/>
          <w:szCs w:val="24"/>
          <w:spacing w:val="-7"/>
        </w:rPr>
        <w:t>以及固体废物污染物。因此，</w:t>
      </w:r>
      <w:r>
        <w:rPr>
          <w:rFonts w:ascii="SimSun" w:hAnsi="SimSun" w:eastAsia="SimSun" w:cs="SimSun"/>
          <w:sz w:val="24"/>
          <w:szCs w:val="24"/>
          <w:spacing w:val="-2"/>
        </w:rPr>
        <w:t>土壤污染应结合其他环境要素的污染防控以及资源综合利用。工业场地重点污染源均已</w:t>
      </w:r>
      <w:r>
        <w:rPr>
          <w:rFonts w:ascii="SimSun" w:hAnsi="SimSun" w:eastAsia="SimSun" w:cs="SimSun"/>
          <w:sz w:val="24"/>
          <w:szCs w:val="24"/>
          <w:spacing w:val="-2"/>
        </w:rPr>
        <w:t>采取防渗措施，后续继续加强矿坑水、生活污水的综合利用，分别从大气污染物、水污</w:t>
      </w:r>
      <w:r>
        <w:rPr>
          <w:rFonts w:ascii="SimSun" w:hAnsi="SimSun" w:eastAsia="SimSun" w:cs="SimSun"/>
          <w:sz w:val="24"/>
          <w:szCs w:val="24"/>
          <w:spacing w:val="-2"/>
        </w:rPr>
        <w:t>染物等环节采取控制措施。对机修车间、油脂库等采取严格的污染控制以及危险废物规</w:t>
      </w:r>
      <w:r>
        <w:rPr>
          <w:rFonts w:ascii="SimSun" w:hAnsi="SimSun" w:eastAsia="SimSun" w:cs="SimSun"/>
          <w:sz w:val="24"/>
          <w:szCs w:val="24"/>
          <w:spacing w:val="-2"/>
        </w:rPr>
        <w:t>范储存措施。由于土壤污染主要发生于事故情况下，因此要求风险防控措施全部落实到</w:t>
      </w:r>
      <w:r>
        <w:rPr>
          <w:rFonts w:ascii="SimSun" w:hAnsi="SimSun" w:eastAsia="SimSun" w:cs="SimSun"/>
          <w:sz w:val="24"/>
          <w:szCs w:val="24"/>
        </w:rPr>
        <w:t>位工业场地内因地制宜进行绿化，在有条件地方进行土地复</w:t>
      </w:r>
      <w:r>
        <w:rPr>
          <w:rFonts w:ascii="SimSun" w:hAnsi="SimSun" w:eastAsia="SimSun" w:cs="SimSun"/>
          <w:sz w:val="24"/>
          <w:szCs w:val="24"/>
          <w:spacing w:val="-1"/>
        </w:rPr>
        <w:t>垦，并进行跟踪监测。</w:t>
      </w:r>
    </w:p>
    <w:p>
      <w:pPr>
        <w:ind w:left="18"/>
        <w:spacing w:before="85" w:line="222" w:lineRule="auto"/>
        <w:rPr>
          <w:rFonts w:ascii="SimHei" w:hAnsi="SimHei" w:eastAsia="SimHei" w:cs="SimHei"/>
          <w:sz w:val="28"/>
          <w:szCs w:val="28"/>
        </w:rPr>
      </w:pPr>
      <w:bookmarkStart w:name="bookmark125" w:id="123"/>
      <w:bookmarkEnd w:id="123"/>
      <w:r>
        <w:rPr>
          <w:rFonts w:ascii="Times New Roman" w:hAnsi="Times New Roman" w:eastAsia="Times New Roman" w:cs="Times New Roman"/>
          <w:sz w:val="28"/>
          <w:szCs w:val="28"/>
          <w:b/>
          <w:bCs/>
          <w:spacing w:val="-3"/>
        </w:rPr>
        <w:t>11.4.6 </w:t>
      </w:r>
      <w:r>
        <w:rPr>
          <w:rFonts w:ascii="SimHei" w:hAnsi="SimHei" w:eastAsia="SimHei" w:cs="SimHei"/>
          <w:sz w:val="28"/>
          <w:szCs w:val="28"/>
          <w:b/>
          <w:bCs/>
          <w:spacing w:val="-3"/>
        </w:rPr>
        <w:t>生态环境影响及保护措施</w:t>
      </w:r>
    </w:p>
    <w:p>
      <w:pPr>
        <w:ind w:left="508"/>
        <w:spacing w:before="171" w:line="220" w:lineRule="auto"/>
        <w:rPr>
          <w:rFonts w:ascii="SimSun" w:hAnsi="SimSun" w:eastAsia="SimSun" w:cs="SimSun"/>
          <w:sz w:val="24"/>
          <w:szCs w:val="24"/>
        </w:rPr>
      </w:pPr>
      <w:r>
        <w:rPr>
          <w:rFonts w:ascii="Times New Roman" w:hAnsi="Times New Roman" w:eastAsia="Times New Roman" w:cs="Times New Roman"/>
          <w:sz w:val="24"/>
          <w:szCs w:val="24"/>
          <w:spacing w:val="-6"/>
        </w:rPr>
        <w:t>1</w:t>
      </w:r>
      <w:r>
        <w:rPr>
          <w:rFonts w:ascii="Times New Roman" w:hAnsi="Times New Roman" w:eastAsia="Times New Roman" w:cs="Times New Roman"/>
          <w:sz w:val="24"/>
          <w:szCs w:val="24"/>
          <w:spacing w:val="-30"/>
        </w:rPr>
        <w:t xml:space="preserve"> </w:t>
      </w:r>
      <w:r>
        <w:rPr>
          <w:rFonts w:ascii="SimSun" w:hAnsi="SimSun" w:eastAsia="SimSun" w:cs="SimSun"/>
          <w:sz w:val="24"/>
          <w:szCs w:val="24"/>
          <w:spacing w:val="-6"/>
        </w:rPr>
        <w:t>、生态环境影响回顾</w:t>
      </w:r>
    </w:p>
    <w:p>
      <w:pPr>
        <w:ind w:left="8" w:right="53" w:firstLine="487"/>
        <w:spacing w:before="157" w:line="321"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1</w:t>
      </w:r>
      <w:r>
        <w:rPr>
          <w:rFonts w:ascii="SimSun" w:hAnsi="SimSun" w:eastAsia="SimSun" w:cs="SimSun"/>
          <w:sz w:val="24"/>
          <w:szCs w:val="24"/>
          <w:spacing w:val="-2"/>
        </w:rPr>
        <w:t>）露天矿已形成的东一、东二两个外排土场及内排</w:t>
      </w:r>
      <w:r>
        <w:rPr>
          <w:rFonts w:ascii="SimSun" w:hAnsi="SimSun" w:eastAsia="SimSun" w:cs="SimSun"/>
          <w:sz w:val="24"/>
          <w:szCs w:val="24"/>
          <w:spacing w:val="-3"/>
        </w:rPr>
        <w:t>土场面积总计</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3"/>
        </w:rPr>
        <w:t>558.35hm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，并</w:t>
      </w:r>
      <w:r>
        <w:rPr>
          <w:rFonts w:ascii="SimSun" w:hAnsi="SimSun" w:eastAsia="SimSun" w:cs="SimSun"/>
          <w:sz w:val="24"/>
          <w:szCs w:val="24"/>
          <w:spacing w:val="-2"/>
        </w:rPr>
        <w:t>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2"/>
        </w:rPr>
        <w:t>2016 </w:t>
      </w:r>
      <w:r>
        <w:rPr>
          <w:rFonts w:ascii="SimSun" w:hAnsi="SimSun" w:eastAsia="SimSun" w:cs="SimSun"/>
          <w:sz w:val="24"/>
          <w:szCs w:val="24"/>
          <w:spacing w:val="-2"/>
        </w:rPr>
        <w:t>年全部复垦完毕并通过验收。内排土场已治理面积为</w:t>
      </w:r>
      <w:r>
        <w:rPr>
          <w:rFonts w:ascii="SimSun" w:hAnsi="SimSun" w:eastAsia="SimSun" w:cs="SimSun"/>
          <w:sz w:val="24"/>
          <w:szCs w:val="24"/>
          <w:spacing w:val="-57"/>
        </w:rPr>
        <w:t xml:space="preserve"> </w:t>
      </w:r>
      <w:r>
        <w:rPr>
          <w:rFonts w:ascii="Times New Roman" w:hAnsi="Times New Roman" w:eastAsia="Times New Roman" w:cs="Times New Roman"/>
          <w:sz w:val="24"/>
          <w:szCs w:val="24"/>
          <w:spacing w:val="-2"/>
        </w:rPr>
        <w:t>44.6hm</w:t>
      </w:r>
      <w:r>
        <w:rPr>
          <w:rFonts w:ascii="Times New Roman" w:hAnsi="Times New Roman" w:eastAsia="Times New Roman" w:cs="Times New Roman"/>
          <w:sz w:val="15"/>
          <w:szCs w:val="15"/>
          <w:spacing w:val="-2"/>
          <w:position w:val="8"/>
        </w:rPr>
        <w:t>2</w:t>
      </w:r>
      <w:r>
        <w:rPr>
          <w:rFonts w:ascii="SimSun" w:hAnsi="SimSun" w:eastAsia="SimSun" w:cs="SimSun"/>
          <w:sz w:val="24"/>
          <w:szCs w:val="24"/>
          <w:spacing w:val="-2"/>
        </w:rPr>
        <w:t>。露天工业场地已</w:t>
      </w:r>
      <w:r>
        <w:rPr>
          <w:rFonts w:ascii="SimSun" w:hAnsi="SimSun" w:eastAsia="SimSun" w:cs="SimSun"/>
          <w:sz w:val="24"/>
          <w:szCs w:val="24"/>
          <w:spacing w:val="-1"/>
        </w:rPr>
        <w:t>经完成了场地绿化工作，包括拦挡措施、截排水设施、临时防护措施、</w:t>
      </w:r>
      <w:r>
        <w:rPr>
          <w:rFonts w:ascii="SimSun" w:hAnsi="SimSun" w:eastAsia="SimSun" w:cs="SimSun"/>
          <w:sz w:val="24"/>
          <w:szCs w:val="24"/>
          <w:spacing w:val="-2"/>
        </w:rPr>
        <w:t>土地整治措施、</w:t>
      </w:r>
      <w:r>
        <w:rPr>
          <w:rFonts w:ascii="SimSun" w:hAnsi="SimSun" w:eastAsia="SimSun" w:cs="SimSun"/>
          <w:sz w:val="24"/>
          <w:szCs w:val="24"/>
          <w:spacing w:val="-1"/>
        </w:rPr>
        <w:t>场地绿化措施、场内灌溉措施等。在场地道路两旁栽行道树与种草配合</w:t>
      </w:r>
      <w:r>
        <w:rPr>
          <w:rFonts w:ascii="SimSun" w:hAnsi="SimSun" w:eastAsia="SimSun" w:cs="SimSun"/>
          <w:sz w:val="24"/>
          <w:szCs w:val="24"/>
          <w:spacing w:val="-2"/>
        </w:rPr>
        <w:t>，树种有唐槭、</w:t>
      </w:r>
      <w:r>
        <w:rPr>
          <w:rFonts w:ascii="SimSun" w:hAnsi="SimSun" w:eastAsia="SimSun" w:cs="SimSun"/>
          <w:sz w:val="24"/>
          <w:szCs w:val="24"/>
          <w:spacing w:val="-2"/>
        </w:rPr>
        <w:t>蒙古栎、白蜡、金叶榆、山杏等，灌木树种有水蜡球、紫丁香、金银忍冬、榆叶梅、金</w:t>
      </w:r>
      <w:r>
        <w:rPr>
          <w:rFonts w:ascii="SimSun" w:hAnsi="SimSun" w:eastAsia="SimSun" w:cs="SimSun"/>
          <w:sz w:val="24"/>
          <w:szCs w:val="24"/>
          <w:spacing w:val="-2"/>
        </w:rPr>
        <w:t>银接骨木、金钟连翘、珍珠秀成菊等，绿篱有水蜡、红瑞木、金山绣线菊、榆叶海柳叶</w:t>
      </w:r>
      <w:r>
        <w:rPr>
          <w:rFonts w:ascii="SimSun" w:hAnsi="SimSun" w:eastAsia="SimSun" w:cs="SimSun"/>
          <w:sz w:val="24"/>
          <w:szCs w:val="24"/>
          <w:spacing w:val="-1"/>
        </w:rPr>
        <w:t>绣线菊等。种植</w:t>
      </w:r>
      <w:r>
        <w:rPr>
          <w:rFonts w:ascii="SimSun" w:hAnsi="SimSun" w:eastAsia="SimSun" w:cs="SimSun"/>
          <w:sz w:val="24"/>
          <w:szCs w:val="24"/>
          <w:spacing w:val="-50"/>
        </w:rPr>
        <w:t xml:space="preserve"> </w:t>
      </w:r>
      <w:r>
        <w:rPr>
          <w:rFonts w:ascii="Times New Roman" w:hAnsi="Times New Roman" w:eastAsia="Times New Roman" w:cs="Times New Roman"/>
          <w:sz w:val="24"/>
          <w:szCs w:val="24"/>
          <w:spacing w:val="-1"/>
        </w:rPr>
        <w:t>3330 </w:t>
      </w:r>
      <w:r>
        <w:rPr>
          <w:rFonts w:ascii="SimSun" w:hAnsi="SimSun" w:eastAsia="SimSun" w:cs="SimSun"/>
          <w:sz w:val="24"/>
          <w:szCs w:val="24"/>
          <w:spacing w:val="-1"/>
        </w:rPr>
        <w:t>棵乔木，</w:t>
      </w:r>
      <w:r>
        <w:rPr>
          <w:rFonts w:ascii="Times New Roman" w:hAnsi="Times New Roman" w:eastAsia="Times New Roman" w:cs="Times New Roman"/>
          <w:sz w:val="24"/>
          <w:szCs w:val="24"/>
          <w:spacing w:val="-1"/>
        </w:rPr>
        <w:t>72150 </w:t>
      </w:r>
      <w:r>
        <w:rPr>
          <w:rFonts w:ascii="SimSun" w:hAnsi="SimSun" w:eastAsia="SimSun" w:cs="SimSun"/>
          <w:sz w:val="24"/>
          <w:szCs w:val="24"/>
          <w:spacing w:val="-1"/>
        </w:rPr>
        <w:t>棵，</w:t>
      </w:r>
      <w:r>
        <w:rPr>
          <w:rFonts w:ascii="SimSun" w:hAnsi="SimSun" w:eastAsia="SimSun" w:cs="SimSun"/>
          <w:sz w:val="24"/>
          <w:szCs w:val="24"/>
          <w:spacing w:val="-2"/>
        </w:rPr>
        <w:t>灌木绿化率达到了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2"/>
        </w:rPr>
        <w:t>15%</w:t>
      </w:r>
      <w:r>
        <w:rPr>
          <w:rFonts w:ascii="SimSun" w:hAnsi="SimSun" w:eastAsia="SimSun" w:cs="SimSun"/>
          <w:sz w:val="24"/>
          <w:szCs w:val="24"/>
          <w:spacing w:val="-2"/>
        </w:rPr>
        <w:t>。</w:t>
      </w:r>
    </w:p>
    <w:p>
      <w:pPr>
        <w:ind w:left="495"/>
        <w:spacing w:before="156" w:line="218"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）生态环境影响回顾性评价</w:t>
      </w:r>
    </w:p>
    <w:p>
      <w:pPr>
        <w:ind w:left="8" w:firstLine="480"/>
        <w:spacing w:before="159" w:line="338" w:lineRule="auto"/>
        <w:jc w:val="both"/>
        <w:rPr>
          <w:rFonts w:ascii="SimSun" w:hAnsi="SimSun" w:eastAsia="SimSun" w:cs="SimSun"/>
          <w:sz w:val="24"/>
          <w:szCs w:val="24"/>
        </w:rPr>
      </w:pPr>
      <w:r>
        <w:rPr>
          <w:rFonts w:ascii="SimSun" w:hAnsi="SimSun" w:eastAsia="SimSun" w:cs="SimSun"/>
          <w:sz w:val="24"/>
          <w:szCs w:val="24"/>
          <w:spacing w:val="-2"/>
        </w:rPr>
        <w:t>评价区土地利用类型以工矿仓储用地和草地为主，反映了评价区作为草原区域环境</w:t>
      </w:r>
      <w:r>
        <w:rPr>
          <w:rFonts w:ascii="SimSun" w:hAnsi="SimSun" w:eastAsia="SimSun" w:cs="SimSun"/>
          <w:sz w:val="24"/>
          <w:szCs w:val="24"/>
          <w:spacing w:val="-4"/>
        </w:rPr>
        <w:t>的特点。据调查可知，草地在评价范围内占比最大，工矿仓储用地次之。</w:t>
      </w:r>
      <w:r>
        <w:rPr>
          <w:rFonts w:ascii="Times New Roman" w:hAnsi="Times New Roman" w:eastAsia="Times New Roman" w:cs="Times New Roman"/>
          <w:sz w:val="24"/>
          <w:szCs w:val="24"/>
          <w:spacing w:val="-4"/>
        </w:rPr>
        <w:t>2014~20</w:t>
      </w:r>
      <w:r>
        <w:rPr>
          <w:rFonts w:ascii="Times New Roman" w:hAnsi="Times New Roman" w:eastAsia="Times New Roman" w:cs="Times New Roman"/>
          <w:sz w:val="24"/>
          <w:szCs w:val="24"/>
          <w:spacing w:val="-5"/>
        </w:rPr>
        <w:t>18 </w:t>
      </w:r>
      <w:r>
        <w:rPr>
          <w:rFonts w:ascii="SimSun" w:hAnsi="SimSun" w:eastAsia="SimSun" w:cs="SimSun"/>
          <w:sz w:val="24"/>
          <w:szCs w:val="24"/>
          <w:spacing w:val="-5"/>
        </w:rPr>
        <w:t>年，</w:t>
      </w:r>
      <w:r>
        <w:rPr>
          <w:rFonts w:ascii="SimSun" w:hAnsi="SimSun" w:eastAsia="SimSun" w:cs="SimSun"/>
          <w:sz w:val="24"/>
          <w:szCs w:val="24"/>
          <w:spacing w:val="-3"/>
        </w:rPr>
        <w:t>草地面减少了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1.46km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，水域及水利设施用地减少了</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3"/>
        </w:rPr>
        <w:t>0.33km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，工矿仓储用地面积</w:t>
      </w:r>
      <w:r>
        <w:rPr>
          <w:rFonts w:ascii="SimSun" w:hAnsi="SimSun" w:eastAsia="SimSun" w:cs="SimSun"/>
          <w:sz w:val="24"/>
          <w:szCs w:val="24"/>
          <w:spacing w:val="-4"/>
        </w:rPr>
        <w:t>增加了</w:t>
      </w:r>
      <w:r>
        <w:rPr>
          <w:rFonts w:ascii="Times New Roman" w:hAnsi="Times New Roman" w:eastAsia="Times New Roman" w:cs="Times New Roman"/>
          <w:sz w:val="24"/>
          <w:szCs w:val="24"/>
          <w:spacing w:val="-2"/>
        </w:rPr>
        <w:t>1.45km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w:t>
      </w:r>
      <w:r>
        <w:rPr>
          <w:rFonts w:ascii="Times New Roman" w:hAnsi="Times New Roman" w:eastAsia="Times New Roman" w:cs="Times New Roman"/>
          <w:sz w:val="24"/>
          <w:szCs w:val="24"/>
          <w:spacing w:val="-2"/>
        </w:rPr>
        <w:t>2018-2024 </w:t>
      </w:r>
      <w:r>
        <w:rPr>
          <w:rFonts w:ascii="SimSun" w:hAnsi="SimSun" w:eastAsia="SimSun" w:cs="SimSun"/>
          <w:sz w:val="24"/>
          <w:szCs w:val="24"/>
          <w:spacing w:val="-2"/>
        </w:rPr>
        <w:t>年间，</w:t>
      </w:r>
      <w:r>
        <w:rPr>
          <w:rFonts w:ascii="SimSun" w:hAnsi="SimSun" w:eastAsia="SimSun" w:cs="SimSun"/>
          <w:sz w:val="24"/>
          <w:szCs w:val="24"/>
          <w:spacing w:val="-3"/>
        </w:rPr>
        <w:t>草地面积减少</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3"/>
        </w:rPr>
        <w:t>15km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3"/>
        </w:rPr>
        <w:t>，工矿仓储用地面积增加了</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3"/>
        </w:rPr>
        <w:t>1.86km</w:t>
      </w:r>
      <w:r>
        <w:rPr>
          <w:rFonts w:ascii="Times New Roman" w:hAnsi="Times New Roman" w:eastAsia="Times New Roman" w:cs="Times New Roman"/>
          <w:sz w:val="15"/>
          <w:szCs w:val="15"/>
          <w:spacing w:val="-3"/>
          <w:position w:val="7"/>
        </w:rPr>
        <w:t>2</w:t>
      </w:r>
      <w:r>
        <w:rPr>
          <w:rFonts w:ascii="SimSun" w:hAnsi="SimSun" w:eastAsia="SimSun" w:cs="SimSun"/>
          <w:sz w:val="24"/>
          <w:szCs w:val="24"/>
          <w:spacing w:val="-3"/>
        </w:rPr>
        <w:t>，</w:t>
      </w:r>
      <w:r>
        <w:rPr>
          <w:rFonts w:ascii="SimSun" w:hAnsi="SimSun" w:eastAsia="SimSun" w:cs="SimSun"/>
          <w:sz w:val="24"/>
          <w:szCs w:val="24"/>
          <w:spacing w:val="-2"/>
        </w:rPr>
        <w:t>总体而言，评价区草地面积在不断减少，工矿仓储用地面积在不断增加，水域及水利设</w:t>
      </w:r>
      <w:r>
        <w:rPr>
          <w:rFonts w:ascii="SimSun" w:hAnsi="SimSun" w:eastAsia="SimSun" w:cs="SimSun"/>
          <w:sz w:val="24"/>
          <w:szCs w:val="24"/>
        </w:rPr>
        <w:t>施用地略有增加，随着后续内排土场治理的实施，草地</w:t>
      </w:r>
      <w:r>
        <w:rPr>
          <w:rFonts w:ascii="SimSun" w:hAnsi="SimSun" w:eastAsia="SimSun" w:cs="SimSun"/>
          <w:sz w:val="24"/>
          <w:szCs w:val="24"/>
          <w:spacing w:val="-1"/>
        </w:rPr>
        <w:t>植被面积会有所回升。</w:t>
      </w:r>
    </w:p>
    <w:p>
      <w:pPr>
        <w:ind w:left="10" w:right="53" w:firstLine="478"/>
        <w:spacing w:before="4" w:line="338" w:lineRule="auto"/>
        <w:jc w:val="both"/>
        <w:rPr>
          <w:rFonts w:ascii="SimSun" w:hAnsi="SimSun" w:eastAsia="SimSun" w:cs="SimSun"/>
          <w:sz w:val="24"/>
          <w:szCs w:val="24"/>
        </w:rPr>
      </w:pPr>
      <w:r>
        <w:rPr>
          <w:rFonts w:ascii="SimSun" w:hAnsi="SimSun" w:eastAsia="SimSun" w:cs="SimSun"/>
          <w:sz w:val="24"/>
          <w:szCs w:val="24"/>
          <w:spacing w:val="-2"/>
        </w:rPr>
        <w:t>评价区</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2"/>
        </w:rPr>
        <w:t>2014~2018 </w:t>
      </w:r>
      <w:r>
        <w:rPr>
          <w:rFonts w:ascii="SimSun" w:hAnsi="SimSun" w:eastAsia="SimSun" w:cs="SimSun"/>
          <w:sz w:val="24"/>
          <w:szCs w:val="24"/>
          <w:spacing w:val="-2"/>
        </w:rPr>
        <w:t>年间羊草、线叶菊等草甸草原和拂子茅、野大麦、芨芨草等河滩</w:t>
      </w:r>
      <w:r>
        <w:rPr>
          <w:rFonts w:ascii="SimSun" w:hAnsi="SimSun" w:eastAsia="SimSun" w:cs="SimSun"/>
          <w:sz w:val="24"/>
          <w:szCs w:val="24"/>
          <w:spacing w:val="-2"/>
        </w:rPr>
        <w:t>草甸面积减少了</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3.42km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2"/>
          <w:w w:val="101"/>
          <w:position w:val="7"/>
        </w:rPr>
        <w:t xml:space="preserve"> </w:t>
      </w:r>
      <w:r>
        <w:rPr>
          <w:rFonts w:ascii="SimSun" w:hAnsi="SimSun" w:eastAsia="SimSun" w:cs="SimSun"/>
          <w:sz w:val="24"/>
          <w:szCs w:val="24"/>
          <w:spacing w:val="-2"/>
        </w:rPr>
        <w:t>和</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0.68km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10"/>
          <w:position w:val="7"/>
        </w:rPr>
        <w:t xml:space="preserve"> </w:t>
      </w:r>
      <w:r>
        <w:rPr>
          <w:rFonts w:ascii="SimSun" w:hAnsi="SimSun" w:eastAsia="SimSun" w:cs="SimSun"/>
          <w:sz w:val="24"/>
          <w:szCs w:val="24"/>
          <w:spacing w:val="-2"/>
        </w:rPr>
        <w:t>，</w:t>
      </w:r>
      <w:r>
        <w:rPr>
          <w:rFonts w:ascii="SimSun" w:hAnsi="SimSun" w:eastAsia="SimSun" w:cs="SimSun"/>
          <w:sz w:val="24"/>
          <w:szCs w:val="24"/>
          <w:spacing w:val="-69"/>
        </w:rPr>
        <w:t xml:space="preserve"> </w:t>
      </w:r>
      <w:r>
        <w:rPr>
          <w:rFonts w:ascii="SimSun" w:hAnsi="SimSun" w:eastAsia="SimSun" w:cs="SimSun"/>
          <w:sz w:val="24"/>
          <w:szCs w:val="24"/>
          <w:spacing w:val="-2"/>
        </w:rPr>
        <w:t>占比为</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2"/>
        </w:rPr>
        <w:t>6.4%</w:t>
      </w:r>
      <w:r>
        <w:rPr>
          <w:rFonts w:ascii="SimSun" w:hAnsi="SimSun" w:eastAsia="SimSun" w:cs="SimSun"/>
          <w:sz w:val="24"/>
          <w:szCs w:val="24"/>
          <w:spacing w:val="-2"/>
        </w:rPr>
        <w:t>和</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2"/>
        </w:rPr>
        <w:t>1.27%</w:t>
      </w:r>
      <w:r>
        <w:rPr>
          <w:rFonts w:ascii="SimSun" w:hAnsi="SimSun" w:eastAsia="SimSun" w:cs="SimSun"/>
          <w:sz w:val="24"/>
          <w:szCs w:val="24"/>
          <w:spacing w:val="-3"/>
        </w:rPr>
        <w:t>；羊草、丛生禾草草原和无</w:t>
      </w:r>
      <w:r>
        <w:rPr>
          <w:rFonts w:ascii="SimSun" w:hAnsi="SimSun" w:eastAsia="SimSun" w:cs="SimSun"/>
          <w:sz w:val="24"/>
          <w:szCs w:val="24"/>
          <w:spacing w:val="-3"/>
        </w:rPr>
        <w:t>植被面积增加，分别增加了</w:t>
      </w:r>
      <w:r>
        <w:rPr>
          <w:rFonts w:ascii="SimSun" w:hAnsi="SimSun" w:eastAsia="SimSun" w:cs="SimSun"/>
          <w:sz w:val="24"/>
          <w:szCs w:val="24"/>
          <w:spacing w:val="-39"/>
        </w:rPr>
        <w:t xml:space="preserve"> </w:t>
      </w:r>
      <w:r>
        <w:rPr>
          <w:rFonts w:ascii="Times New Roman" w:hAnsi="Times New Roman" w:eastAsia="Times New Roman" w:cs="Times New Roman"/>
          <w:sz w:val="24"/>
          <w:szCs w:val="24"/>
          <w:spacing w:val="-3"/>
        </w:rPr>
        <w:t>2.82km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12"/>
          <w:w w:val="101"/>
          <w:position w:val="7"/>
        </w:rPr>
        <w:t xml:space="preserve"> </w:t>
      </w:r>
      <w:r>
        <w:rPr>
          <w:rFonts w:ascii="SimSun" w:hAnsi="SimSun" w:eastAsia="SimSun" w:cs="SimSun"/>
          <w:sz w:val="24"/>
          <w:szCs w:val="24"/>
          <w:spacing w:val="-3"/>
        </w:rPr>
        <w:t>和</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3"/>
        </w:rPr>
        <w:t>1.28km</w:t>
      </w:r>
      <w:r>
        <w:rPr>
          <w:rFonts w:ascii="Times New Roman" w:hAnsi="Times New Roman" w:eastAsia="Times New Roman" w:cs="Times New Roman"/>
          <w:sz w:val="15"/>
          <w:szCs w:val="15"/>
          <w:spacing w:val="-3"/>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3"/>
        </w:rPr>
        <w:t>，</w:t>
      </w:r>
      <w:r>
        <w:rPr>
          <w:rFonts w:ascii="SimSun" w:hAnsi="SimSun" w:eastAsia="SimSun" w:cs="SimSun"/>
          <w:sz w:val="24"/>
          <w:szCs w:val="24"/>
          <w:spacing w:val="-69"/>
        </w:rPr>
        <w:t xml:space="preserve"> </w:t>
      </w:r>
      <w:r>
        <w:rPr>
          <w:rFonts w:ascii="SimSun" w:hAnsi="SimSun" w:eastAsia="SimSun" w:cs="SimSun"/>
          <w:sz w:val="24"/>
          <w:szCs w:val="24"/>
          <w:spacing w:val="-3"/>
        </w:rPr>
        <w:t>占评价区面积的</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5.28%</w:t>
      </w:r>
      <w:r>
        <w:rPr>
          <w:rFonts w:ascii="SimSun" w:hAnsi="SimSun" w:eastAsia="SimSun" w:cs="SimSun"/>
          <w:sz w:val="24"/>
          <w:szCs w:val="24"/>
          <w:spacing w:val="-3"/>
        </w:rPr>
        <w:t>和</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3"/>
        </w:rPr>
        <w:t>2.4%</w:t>
      </w:r>
      <w:r>
        <w:rPr>
          <w:rFonts w:ascii="Times New Roman" w:hAnsi="Times New Roman" w:eastAsia="Times New Roman" w:cs="Times New Roman"/>
          <w:sz w:val="24"/>
          <w:szCs w:val="24"/>
          <w:spacing w:val="-26"/>
        </w:rPr>
        <w:t xml:space="preserve"> </w:t>
      </w:r>
      <w:r>
        <w:rPr>
          <w:rFonts w:ascii="SimSun" w:hAnsi="SimSun" w:eastAsia="SimSun" w:cs="SimSun"/>
          <w:sz w:val="24"/>
          <w:szCs w:val="24"/>
          <w:spacing w:val="-3"/>
        </w:rPr>
        <w:t>。这四</w:t>
      </w:r>
      <w:r>
        <w:rPr>
          <w:rFonts w:ascii="SimSun" w:hAnsi="SimSun" w:eastAsia="SimSun" w:cs="SimSun"/>
          <w:sz w:val="24"/>
          <w:szCs w:val="24"/>
        </w:rPr>
        <w:t>年间由于露天矿采区的扩大，总体而言使评价区占比面积有所下降。</w:t>
      </w:r>
      <w:r>
        <w:rPr>
          <w:rFonts w:ascii="Times New Roman" w:hAnsi="Times New Roman" w:eastAsia="Times New Roman" w:cs="Times New Roman"/>
          <w:sz w:val="24"/>
          <w:szCs w:val="24"/>
        </w:rPr>
        <w:t>201</w:t>
      </w:r>
      <w:r>
        <w:rPr>
          <w:rFonts w:ascii="Times New Roman" w:hAnsi="Times New Roman" w:eastAsia="Times New Roman" w:cs="Times New Roman"/>
          <w:sz w:val="24"/>
          <w:szCs w:val="24"/>
          <w:spacing w:val="-1"/>
        </w:rPr>
        <w:t>8~2024 </w:t>
      </w:r>
      <w:r>
        <w:rPr>
          <w:rFonts w:ascii="SimSun" w:hAnsi="SimSun" w:eastAsia="SimSun" w:cs="SimSun"/>
          <w:sz w:val="24"/>
          <w:szCs w:val="24"/>
          <w:spacing w:val="-1"/>
        </w:rPr>
        <w:t>无植被</w:t>
      </w:r>
      <w:r>
        <w:rPr>
          <w:rFonts w:ascii="SimSun" w:hAnsi="SimSun" w:eastAsia="SimSun" w:cs="SimSun"/>
          <w:sz w:val="24"/>
          <w:szCs w:val="24"/>
          <w:spacing w:val="-1"/>
        </w:rPr>
        <w:t>略有降低，拂子茅、野大麦、芨芨草等河滩草甸和羊草、丛生禾草</w:t>
      </w:r>
      <w:r>
        <w:rPr>
          <w:rFonts w:ascii="SimSun" w:hAnsi="SimSun" w:eastAsia="SimSun" w:cs="SimSun"/>
          <w:sz w:val="24"/>
          <w:szCs w:val="24"/>
          <w:spacing w:val="-2"/>
        </w:rPr>
        <w:t>草原面积有所增加。</w:t>
      </w:r>
      <w:r>
        <w:rPr>
          <w:rFonts w:ascii="SimSun" w:hAnsi="SimSun" w:eastAsia="SimSun" w:cs="SimSun"/>
          <w:sz w:val="24"/>
          <w:szCs w:val="24"/>
          <w:spacing w:val="-1"/>
        </w:rPr>
        <w:t>整体而言，由于排土场土地复垦的完成，评价区植被面积增加。</w:t>
      </w:r>
    </w:p>
    <w:p>
      <w:pPr>
        <w:ind w:left="8" w:right="2" w:firstLine="480"/>
        <w:spacing w:before="2" w:line="339" w:lineRule="auto"/>
        <w:jc w:val="both"/>
        <w:rPr>
          <w:rFonts w:ascii="SimSun" w:hAnsi="SimSun" w:eastAsia="SimSun" w:cs="SimSun"/>
          <w:sz w:val="24"/>
          <w:szCs w:val="24"/>
        </w:rPr>
      </w:pPr>
      <w:r>
        <w:rPr>
          <w:rFonts w:ascii="SimSun" w:hAnsi="SimSun" w:eastAsia="SimSun" w:cs="SimSun"/>
          <w:sz w:val="24"/>
          <w:szCs w:val="24"/>
          <w:spacing w:val="-3"/>
        </w:rPr>
        <w:t>评价范围内植被覆盖度主要为中覆盖度（</w:t>
      </w:r>
      <w:r>
        <w:rPr>
          <w:rFonts w:ascii="Times New Roman" w:hAnsi="Times New Roman" w:eastAsia="Times New Roman" w:cs="Times New Roman"/>
          <w:sz w:val="24"/>
          <w:szCs w:val="24"/>
          <w:spacing w:val="-3"/>
        </w:rPr>
        <w:t>40-60%</w:t>
      </w:r>
      <w:r>
        <w:rPr>
          <w:rFonts w:ascii="SimSun" w:hAnsi="SimSun" w:eastAsia="SimSun" w:cs="SimSun"/>
          <w:sz w:val="24"/>
          <w:szCs w:val="24"/>
          <w:spacing w:val="-23"/>
        </w:rPr>
        <w:t>），</w:t>
      </w:r>
      <w:r>
        <w:rPr>
          <w:rFonts w:ascii="SimSun" w:hAnsi="SimSun" w:eastAsia="SimSun" w:cs="SimSun"/>
          <w:sz w:val="24"/>
          <w:szCs w:val="24"/>
          <w:spacing w:val="-3"/>
        </w:rPr>
        <w:t>面积为</w:t>
      </w:r>
      <w:r>
        <w:rPr>
          <w:rFonts w:ascii="SimSun" w:hAnsi="SimSun" w:eastAsia="SimSun" w:cs="SimSun"/>
          <w:sz w:val="24"/>
          <w:szCs w:val="24"/>
          <w:spacing w:val="-31"/>
        </w:rPr>
        <w:t xml:space="preserve"> </w:t>
      </w:r>
      <w:r>
        <w:rPr>
          <w:rFonts w:ascii="Times New Roman" w:hAnsi="Times New Roman" w:eastAsia="Times New Roman" w:cs="Times New Roman"/>
          <w:sz w:val="24"/>
          <w:szCs w:val="24"/>
          <w:spacing w:val="-3"/>
        </w:rPr>
        <w:t>13.62km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4"/>
        </w:rPr>
        <w:t>，占评价区面</w:t>
      </w:r>
      <w:r>
        <w:rPr>
          <w:rFonts w:ascii="SimSun" w:hAnsi="SimSun" w:eastAsia="SimSun" w:cs="SimSun"/>
          <w:sz w:val="24"/>
          <w:szCs w:val="24"/>
          <w:spacing w:val="-7"/>
        </w:rPr>
        <w:t>积的</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7"/>
        </w:rPr>
        <w:t>25.51%</w:t>
      </w:r>
      <w:r>
        <w:rPr>
          <w:rFonts w:ascii="SimSun" w:hAnsi="SimSun" w:eastAsia="SimSun" w:cs="SimSun"/>
          <w:sz w:val="24"/>
          <w:szCs w:val="24"/>
          <w:spacing w:val="-7"/>
        </w:rPr>
        <w:t>；其次是中高覆盖度（</w:t>
      </w:r>
      <w:r>
        <w:rPr>
          <w:rFonts w:ascii="Times New Roman" w:hAnsi="Times New Roman" w:eastAsia="Times New Roman" w:cs="Times New Roman"/>
          <w:sz w:val="24"/>
          <w:szCs w:val="24"/>
          <w:spacing w:val="-7"/>
        </w:rPr>
        <w:t>60-80%</w:t>
      </w:r>
      <w:r>
        <w:rPr>
          <w:rFonts w:ascii="SimSun" w:hAnsi="SimSun" w:eastAsia="SimSun" w:cs="SimSun"/>
          <w:sz w:val="24"/>
          <w:szCs w:val="24"/>
          <w:spacing w:val="-59"/>
          <w:w w:val="94"/>
        </w:rPr>
        <w:t>），</w:t>
      </w:r>
      <w:r>
        <w:rPr>
          <w:rFonts w:ascii="SimSun" w:hAnsi="SimSun" w:eastAsia="SimSun" w:cs="SimSun"/>
          <w:sz w:val="24"/>
          <w:szCs w:val="24"/>
          <w:spacing w:val="-7"/>
        </w:rPr>
        <w:t>面积为</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7"/>
        </w:rPr>
        <w:t>13.31km</w:t>
      </w:r>
      <w:r>
        <w:rPr>
          <w:rFonts w:ascii="Times New Roman" w:hAnsi="Times New Roman" w:eastAsia="Times New Roman" w:cs="Times New Roman"/>
          <w:sz w:val="15"/>
          <w:szCs w:val="15"/>
          <w:spacing w:val="-7"/>
          <w:position w:val="7"/>
        </w:rPr>
        <w:t>2</w:t>
      </w:r>
      <w:r>
        <w:rPr>
          <w:rFonts w:ascii="SimSun" w:hAnsi="SimSun" w:eastAsia="SimSun" w:cs="SimSun"/>
          <w:sz w:val="24"/>
          <w:szCs w:val="24"/>
          <w:spacing w:val="-7"/>
        </w:rPr>
        <w:t>，占评价区面积的</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7"/>
        </w:rPr>
        <w:t>24.92%</w:t>
      </w:r>
      <w:r>
        <w:rPr>
          <w:rFonts w:ascii="SimSun" w:hAnsi="SimSun" w:eastAsia="SimSun" w:cs="SimSun"/>
          <w:sz w:val="24"/>
          <w:szCs w:val="24"/>
          <w:spacing w:val="-7"/>
        </w:rPr>
        <w:t>；</w:t>
      </w:r>
      <w:r>
        <w:rPr>
          <w:rFonts w:ascii="SimSun" w:hAnsi="SimSun" w:eastAsia="SimSun" w:cs="SimSun"/>
          <w:sz w:val="24"/>
          <w:szCs w:val="24"/>
          <w:spacing w:val="-4"/>
        </w:rPr>
        <w:t>矿区内植被覆盖度主要是低覆盖度（</w:t>
      </w:r>
      <w:r>
        <w:rPr>
          <w:rFonts w:ascii="Times New Roman" w:hAnsi="Times New Roman" w:eastAsia="Times New Roman" w:cs="Times New Roman"/>
          <w:sz w:val="24"/>
          <w:szCs w:val="24"/>
          <w:spacing w:val="-4"/>
        </w:rPr>
        <w:t>0-20%</w:t>
      </w:r>
      <w:r>
        <w:rPr>
          <w:rFonts w:ascii="SimSun" w:hAnsi="SimSun" w:eastAsia="SimSun" w:cs="SimSun"/>
          <w:sz w:val="24"/>
          <w:szCs w:val="24"/>
          <w:spacing w:val="-12"/>
        </w:rPr>
        <w:t>），</w:t>
      </w:r>
      <w:r>
        <w:rPr>
          <w:rFonts w:ascii="SimSun" w:hAnsi="SimSun" w:eastAsia="SimSun" w:cs="SimSun"/>
          <w:sz w:val="24"/>
          <w:szCs w:val="24"/>
          <w:spacing w:val="-4"/>
        </w:rPr>
        <w:t>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4"/>
        </w:rPr>
        <w:t>5.95km</w:t>
      </w:r>
      <w:r>
        <w:rPr>
          <w:rFonts w:ascii="Times New Roman" w:hAnsi="Times New Roman" w:eastAsia="Times New Roman" w:cs="Times New Roman"/>
          <w:sz w:val="15"/>
          <w:szCs w:val="15"/>
          <w:spacing w:val="-4"/>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spacing w:val="-4"/>
        </w:rPr>
        <w:t>，占矿区面积的</w:t>
      </w:r>
      <w:r>
        <w:rPr>
          <w:rFonts w:ascii="SimSun" w:hAnsi="SimSun" w:eastAsia="SimSun" w:cs="SimSun"/>
          <w:sz w:val="24"/>
          <w:szCs w:val="24"/>
          <w:spacing w:val="-56"/>
        </w:rPr>
        <w:t xml:space="preserve"> </w:t>
      </w:r>
      <w:r>
        <w:rPr>
          <w:rFonts w:ascii="Times New Roman" w:hAnsi="Times New Roman" w:eastAsia="Times New Roman" w:cs="Times New Roman"/>
          <w:sz w:val="24"/>
          <w:szCs w:val="24"/>
          <w:spacing w:val="-4"/>
        </w:rPr>
        <w:t>48.</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4"/>
        </w:rPr>
        <w:t>1</w:t>
      </w:r>
      <w:r>
        <w:rPr>
          <w:rFonts w:ascii="Times New Roman" w:hAnsi="Times New Roman" w:eastAsia="Times New Roman" w:cs="Times New Roman"/>
          <w:sz w:val="24"/>
          <w:szCs w:val="24"/>
          <w:spacing w:val="-5"/>
        </w:rPr>
        <w:t>3%</w:t>
      </w:r>
      <w:r>
        <w:rPr>
          <w:rFonts w:ascii="SimSun" w:hAnsi="SimSun" w:eastAsia="SimSun" w:cs="SimSun"/>
          <w:sz w:val="24"/>
          <w:szCs w:val="24"/>
          <w:spacing w:val="-5"/>
        </w:rPr>
        <w:t>；</w:t>
      </w:r>
      <w:r>
        <w:rPr>
          <w:rFonts w:ascii="SimSun" w:hAnsi="SimSun" w:eastAsia="SimSun" w:cs="SimSun"/>
          <w:sz w:val="24"/>
          <w:szCs w:val="24"/>
          <w:spacing w:val="-1"/>
        </w:rPr>
        <w:t>其次是中覆盖度（</w:t>
      </w:r>
      <w:r>
        <w:rPr>
          <w:rFonts w:ascii="Times New Roman" w:hAnsi="Times New Roman" w:eastAsia="Times New Roman" w:cs="Times New Roman"/>
          <w:sz w:val="24"/>
          <w:szCs w:val="24"/>
          <w:spacing w:val="-1"/>
        </w:rPr>
        <w:t>40-60%</w:t>
      </w:r>
      <w:r>
        <w:rPr>
          <w:rFonts w:ascii="SimSun" w:hAnsi="SimSun" w:eastAsia="SimSun" w:cs="SimSun"/>
          <w:sz w:val="24"/>
          <w:szCs w:val="24"/>
          <w:spacing w:val="16"/>
        </w:rPr>
        <w:t>），</w:t>
      </w:r>
      <w:r>
        <w:rPr>
          <w:rFonts w:ascii="SimSun" w:hAnsi="SimSun" w:eastAsia="SimSun" w:cs="SimSun"/>
          <w:sz w:val="24"/>
          <w:szCs w:val="24"/>
          <w:spacing w:val="-1"/>
        </w:rPr>
        <w:t>面积为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1"/>
        </w:rPr>
        <w:t>2.29km</w:t>
      </w:r>
      <w:r>
        <w:rPr>
          <w:rFonts w:ascii="Times New Roman" w:hAnsi="Times New Roman" w:eastAsia="Times New Roman" w:cs="Times New Roman"/>
          <w:sz w:val="15"/>
          <w:szCs w:val="15"/>
          <w:spacing w:val="-1"/>
          <w:position w:val="8"/>
        </w:rPr>
        <w:t>2 </w:t>
      </w:r>
      <w:r>
        <w:rPr>
          <w:rFonts w:ascii="SimSun" w:hAnsi="SimSun" w:eastAsia="SimSun" w:cs="SimSun"/>
          <w:sz w:val="24"/>
          <w:szCs w:val="24"/>
          <w:spacing w:val="-1"/>
        </w:rPr>
        <w:t>，</w:t>
      </w:r>
      <w:r>
        <w:rPr>
          <w:rFonts w:ascii="SimSun" w:hAnsi="SimSun" w:eastAsia="SimSun" w:cs="SimSun"/>
          <w:sz w:val="24"/>
          <w:szCs w:val="24"/>
          <w:spacing w:val="-66"/>
        </w:rPr>
        <w:t xml:space="preserve"> </w:t>
      </w:r>
      <w:r>
        <w:rPr>
          <w:rFonts w:ascii="SimSun" w:hAnsi="SimSun" w:eastAsia="SimSun" w:cs="SimSun"/>
          <w:sz w:val="24"/>
          <w:szCs w:val="24"/>
          <w:spacing w:val="-1"/>
        </w:rPr>
        <w:t>占矿区面积的</w:t>
      </w:r>
      <w:r>
        <w:rPr>
          <w:rFonts w:ascii="SimSun" w:hAnsi="SimSun" w:eastAsia="SimSun" w:cs="SimSun"/>
          <w:sz w:val="24"/>
          <w:szCs w:val="24"/>
          <w:spacing w:val="-25"/>
        </w:rPr>
        <w:t xml:space="preserve"> </w:t>
      </w:r>
      <w:r>
        <w:rPr>
          <w:rFonts w:ascii="Times New Roman" w:hAnsi="Times New Roman" w:eastAsia="Times New Roman" w:cs="Times New Roman"/>
          <w:sz w:val="24"/>
          <w:szCs w:val="24"/>
          <w:spacing w:val="-1"/>
        </w:rPr>
        <w:t>18.54%</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。矿田低覆盖度</w:t>
      </w:r>
    </w:p>
    <w:p>
      <w:pPr>
        <w:spacing w:line="339" w:lineRule="auto"/>
        <w:sectPr>
          <w:headerReference w:type="default" r:id="rId94"/>
          <w:footerReference w:type="default" r:id="rId586"/>
          <w:pgSz w:w="11906" w:h="16838"/>
          <w:pgMar w:top="1170" w:right="1351" w:bottom="725" w:left="1416" w:header="837" w:footer="562" w:gutter="0"/>
        </w:sectPr>
        <w:rPr>
          <w:rFonts w:ascii="SimSun" w:hAnsi="SimSun" w:eastAsia="SimSun" w:cs="SimSun"/>
          <w:sz w:val="24"/>
          <w:szCs w:val="24"/>
        </w:rPr>
      </w:pPr>
    </w:p>
    <w:p>
      <w:pPr>
        <w:pStyle w:val="BodyText"/>
        <w:spacing w:line="311" w:lineRule="auto"/>
        <w:rPr/>
      </w:pPr>
      <w:r/>
    </w:p>
    <w:p>
      <w:pPr>
        <w:ind w:left="15"/>
        <w:spacing w:before="78" w:line="219"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0-20%</w:t>
      </w:r>
      <w:r>
        <w:rPr>
          <w:rFonts w:ascii="SimSun" w:hAnsi="SimSun" w:eastAsia="SimSun" w:cs="SimSun"/>
          <w:sz w:val="24"/>
          <w:szCs w:val="24"/>
          <w:spacing w:val="-1"/>
        </w:rPr>
        <w:t>）面积最大的主要原因是露天区采掘场未复垦面积占比较大。</w:t>
      </w:r>
    </w:p>
    <w:p>
      <w:pPr>
        <w:ind w:left="11" w:right="205" w:firstLine="481"/>
        <w:spacing w:before="152" w:line="339" w:lineRule="auto"/>
        <w:jc w:val="both"/>
        <w:rPr>
          <w:rFonts w:ascii="SimSun" w:hAnsi="SimSun" w:eastAsia="SimSun" w:cs="SimSun"/>
          <w:sz w:val="24"/>
          <w:szCs w:val="24"/>
        </w:rPr>
      </w:pPr>
      <w:r>
        <w:rPr>
          <w:rFonts w:ascii="SimSun" w:hAnsi="SimSun" w:eastAsia="SimSun" w:cs="SimSun"/>
          <w:sz w:val="24"/>
          <w:szCs w:val="24"/>
          <w:spacing w:val="-2"/>
        </w:rPr>
        <w:t>项目评价区主要以微度侵蚀为主，面积为</w:t>
      </w:r>
      <w:r>
        <w:rPr>
          <w:rFonts w:ascii="SimSun" w:hAnsi="SimSun" w:eastAsia="SimSun" w:cs="SimSun"/>
          <w:sz w:val="24"/>
          <w:szCs w:val="24"/>
          <w:spacing w:val="-33"/>
        </w:rPr>
        <w:t xml:space="preserve"> </w:t>
      </w:r>
      <w:r>
        <w:rPr>
          <w:rFonts w:ascii="Times New Roman" w:hAnsi="Times New Roman" w:eastAsia="Times New Roman" w:cs="Times New Roman"/>
          <w:sz w:val="24"/>
          <w:szCs w:val="24"/>
          <w:spacing w:val="-2"/>
        </w:rPr>
        <w:t>24.86km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w:t>
      </w:r>
      <w:r>
        <w:rPr>
          <w:rFonts w:ascii="SimSun" w:hAnsi="SimSun" w:eastAsia="SimSun" w:cs="SimSun"/>
          <w:sz w:val="24"/>
          <w:szCs w:val="24"/>
          <w:spacing w:val="-68"/>
        </w:rPr>
        <w:t xml:space="preserve"> </w:t>
      </w:r>
      <w:r>
        <w:rPr>
          <w:rFonts w:ascii="SimSun" w:hAnsi="SimSun" w:eastAsia="SimSun" w:cs="SimSun"/>
          <w:sz w:val="24"/>
          <w:szCs w:val="24"/>
          <w:spacing w:val="-2"/>
        </w:rPr>
        <w:t>占总面积的</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2"/>
        </w:rPr>
        <w:t>46.55%</w:t>
      </w:r>
      <w:r>
        <w:rPr>
          <w:rFonts w:ascii="Times New Roman" w:hAnsi="Times New Roman" w:eastAsia="Times New Roman" w:cs="Times New Roman"/>
          <w:sz w:val="24"/>
          <w:szCs w:val="24"/>
          <w:spacing w:val="-28"/>
        </w:rPr>
        <w:t xml:space="preserve"> </w:t>
      </w:r>
      <w:r>
        <w:rPr>
          <w:rFonts w:ascii="SimSun" w:hAnsi="SimSun" w:eastAsia="SimSun" w:cs="SimSun"/>
          <w:sz w:val="24"/>
          <w:szCs w:val="24"/>
          <w:spacing w:val="-2"/>
        </w:rPr>
        <w:t>。矿区内</w:t>
      </w:r>
      <w:r>
        <w:rPr>
          <w:rFonts w:ascii="SimSun" w:hAnsi="SimSun" w:eastAsia="SimSun" w:cs="SimSun"/>
          <w:sz w:val="24"/>
          <w:szCs w:val="24"/>
          <w:spacing w:val="-2"/>
        </w:rPr>
        <w:t>由于有露天区开采，采掘场剥离岩土层，对原地貌剧烈破坏，使该区域土壤侵蚀强度明</w:t>
      </w:r>
      <w:r>
        <w:rPr>
          <w:rFonts w:ascii="SimSun" w:hAnsi="SimSun" w:eastAsia="SimSun" w:cs="SimSun"/>
          <w:sz w:val="24"/>
          <w:szCs w:val="24"/>
          <w:spacing w:val="-2"/>
        </w:rPr>
        <w:t>显增强，因此土壤侵蚀强度达到强度侵蚀。微度和轻度侵蚀区域主要为广泛分布在草甸</w:t>
      </w:r>
      <w:r>
        <w:rPr>
          <w:rFonts w:ascii="SimSun" w:hAnsi="SimSun" w:eastAsia="SimSun" w:cs="SimSun"/>
          <w:sz w:val="24"/>
          <w:szCs w:val="24"/>
          <w:spacing w:val="-2"/>
        </w:rPr>
        <w:t>草原和复垦后的人工牧草地上，而中度侵蚀区域为水域湿地，强烈侵蚀区域主要为采矿</w:t>
      </w:r>
      <w:r>
        <w:rPr>
          <w:rFonts w:ascii="SimSun" w:hAnsi="SimSun" w:eastAsia="SimSun" w:cs="SimSun"/>
          <w:sz w:val="24"/>
          <w:szCs w:val="24"/>
          <w:spacing w:val="-2"/>
        </w:rPr>
        <w:t>用地及沙地。</w:t>
      </w:r>
    </w:p>
    <w:p>
      <w:pPr>
        <w:ind w:left="8" w:right="205" w:firstLine="480"/>
        <w:spacing w:before="3" w:line="338" w:lineRule="auto"/>
        <w:rPr>
          <w:rFonts w:ascii="SimSun" w:hAnsi="SimSun" w:eastAsia="SimSun" w:cs="SimSun"/>
          <w:sz w:val="24"/>
          <w:szCs w:val="24"/>
        </w:rPr>
      </w:pPr>
      <w:r>
        <w:rPr>
          <w:rFonts w:ascii="SimSun" w:hAnsi="SimSun" w:eastAsia="SimSun" w:cs="SimSun"/>
          <w:sz w:val="24"/>
          <w:szCs w:val="24"/>
          <w:spacing w:val="-2"/>
        </w:rPr>
        <w:t>评价区地处中温带，野生动物的地理分布在动物地理区划中属古北界、蒙新区、东</w:t>
      </w:r>
      <w:r>
        <w:rPr>
          <w:rFonts w:ascii="SimSun" w:hAnsi="SimSun" w:eastAsia="SimSun" w:cs="SimSun"/>
          <w:sz w:val="24"/>
          <w:szCs w:val="24"/>
          <w:spacing w:val="-2"/>
        </w:rPr>
        <w:t>部草原亚区、东部内蒙古干草原省。区域内常见的哺乳动物有蒙古兔、蒙古鼠兔、草原</w:t>
      </w:r>
      <w:r>
        <w:rPr>
          <w:rFonts w:ascii="SimSun" w:hAnsi="SimSun" w:eastAsia="SimSun" w:cs="SimSun"/>
          <w:sz w:val="24"/>
          <w:szCs w:val="24"/>
          <w:spacing w:val="-2"/>
        </w:rPr>
        <w:t>黄鼠、仓鼠、花鼠等；爬行动物有草原沙蜥、蝮蛇等。两栖动物有中华蟾蜍、青蛙等；</w:t>
      </w:r>
      <w:r>
        <w:rPr>
          <w:rFonts w:ascii="SimSun" w:hAnsi="SimSun" w:eastAsia="SimSun" w:cs="SimSun"/>
          <w:sz w:val="24"/>
          <w:szCs w:val="24"/>
          <w:spacing w:val="-2"/>
        </w:rPr>
        <w:t>鸟类主要有沙鸡、鹌鹑、野鸭等，这些动物均为广布种，未发现珍稀、涉危动物物种的</w:t>
      </w:r>
      <w:r>
        <w:rPr>
          <w:rFonts w:ascii="SimSun" w:hAnsi="SimSun" w:eastAsia="SimSun" w:cs="SimSun"/>
          <w:sz w:val="24"/>
          <w:szCs w:val="24"/>
          <w:spacing w:val="-2"/>
        </w:rPr>
        <w:t>栖息地和繁殖地。随着排土场生态整治措施实施以及植被覆盖度逐步提高，排土场植被</w:t>
      </w:r>
      <w:r>
        <w:rPr>
          <w:rFonts w:ascii="SimSun" w:hAnsi="SimSun" w:eastAsia="SimSun" w:cs="SimSun"/>
          <w:sz w:val="24"/>
          <w:szCs w:val="24"/>
          <w:spacing w:val="-2"/>
        </w:rPr>
        <w:t>种类逐步增多，尤其是在东一排土场和东二排土场，吸引着一些野生动物前来栖息，较</w:t>
      </w:r>
      <w:r>
        <w:rPr>
          <w:rFonts w:ascii="SimSun" w:hAnsi="SimSun" w:eastAsia="SimSun" w:cs="SimSun"/>
          <w:sz w:val="24"/>
          <w:szCs w:val="24"/>
          <w:spacing w:val="-2"/>
        </w:rPr>
        <w:t>为常见的是鸟类。</w:t>
      </w:r>
    </w:p>
    <w:p>
      <w:pPr>
        <w:ind w:left="485"/>
        <w:spacing w:line="219" w:lineRule="auto"/>
        <w:rPr>
          <w:rFonts w:ascii="SimSun" w:hAnsi="SimSun" w:eastAsia="SimSun" w:cs="SimSun"/>
          <w:sz w:val="24"/>
          <w:szCs w:val="24"/>
        </w:rPr>
      </w:pPr>
      <w:r>
        <w:rPr>
          <w:rFonts w:ascii="Times New Roman" w:hAnsi="Times New Roman" w:eastAsia="Times New Roman" w:cs="Times New Roman"/>
          <w:sz w:val="24"/>
          <w:szCs w:val="24"/>
          <w:spacing w:val="-6"/>
        </w:rPr>
        <w:t>2</w:t>
      </w:r>
      <w:r>
        <w:rPr>
          <w:rFonts w:ascii="Times New Roman" w:hAnsi="Times New Roman" w:eastAsia="Times New Roman" w:cs="Times New Roman"/>
          <w:sz w:val="24"/>
          <w:szCs w:val="24"/>
          <w:spacing w:val="-31"/>
        </w:rPr>
        <w:t xml:space="preserve"> </w:t>
      </w:r>
      <w:r>
        <w:rPr>
          <w:rFonts w:ascii="SimSun" w:hAnsi="SimSun" w:eastAsia="SimSun" w:cs="SimSun"/>
          <w:sz w:val="24"/>
          <w:szCs w:val="24"/>
          <w:spacing w:val="-6"/>
        </w:rPr>
        <w:t>、生态现状</w:t>
      </w:r>
    </w:p>
    <w:p>
      <w:pPr>
        <w:ind w:left="9" w:firstLine="479"/>
        <w:spacing w:before="158" w:line="338" w:lineRule="auto"/>
        <w:rPr>
          <w:rFonts w:ascii="SimSun" w:hAnsi="SimSun" w:eastAsia="SimSun" w:cs="SimSun"/>
          <w:sz w:val="24"/>
          <w:szCs w:val="24"/>
        </w:rPr>
      </w:pPr>
      <w:r>
        <w:rPr>
          <w:rFonts w:ascii="SimSun" w:hAnsi="SimSun" w:eastAsia="SimSun" w:cs="SimSun"/>
          <w:sz w:val="24"/>
          <w:szCs w:val="24"/>
          <w:spacing w:val="-2"/>
        </w:rPr>
        <w:t>评价区地处内蒙古高原大兴安岭南段西麓低山丘陵区，大的地貌特征为高原低山缓</w:t>
      </w:r>
      <w:r>
        <w:rPr>
          <w:rFonts w:ascii="SimSun" w:hAnsi="SimSun" w:eastAsia="SimSun" w:cs="SimSun"/>
          <w:sz w:val="24"/>
          <w:szCs w:val="24"/>
          <w:spacing w:val="-2"/>
        </w:rPr>
        <w:t>坡状丘陵，剥蚀堆积地形，冲洪积平原，地形呈东北高，西南低，除煤田外围有低山丘</w:t>
      </w:r>
      <w:r>
        <w:rPr>
          <w:rFonts w:ascii="SimSun" w:hAnsi="SimSun" w:eastAsia="SimSun" w:cs="SimSun"/>
          <w:sz w:val="24"/>
          <w:szCs w:val="24"/>
          <w:spacing w:val="-10"/>
        </w:rPr>
        <w:t>陵外，煤田区内均为广阔的草原和起伏很小的丘陵地带，地势较为平坦，海拔</w:t>
      </w:r>
      <w:r>
        <w:rPr>
          <w:rFonts w:ascii="SimSun" w:hAnsi="SimSun" w:eastAsia="SimSun" w:cs="SimSun"/>
          <w:sz w:val="24"/>
          <w:szCs w:val="24"/>
          <w:spacing w:val="-30"/>
        </w:rPr>
        <w:t xml:space="preserve"> </w:t>
      </w:r>
      <w:r>
        <w:rPr>
          <w:rFonts w:ascii="Times New Roman" w:hAnsi="Times New Roman" w:eastAsia="Times New Roman" w:cs="Times New Roman"/>
          <w:sz w:val="24"/>
          <w:szCs w:val="24"/>
          <w:spacing w:val="-10"/>
        </w:rPr>
        <w:t>1000-1200m</w:t>
      </w:r>
      <w:r>
        <w:rPr>
          <w:rFonts w:ascii="SimSun" w:hAnsi="SimSun" w:eastAsia="SimSun" w:cs="SimSun"/>
          <w:sz w:val="24"/>
          <w:szCs w:val="24"/>
          <w:spacing w:val="-10"/>
        </w:rPr>
        <w:t>。</w:t>
      </w:r>
    </w:p>
    <w:p>
      <w:pPr>
        <w:ind w:left="8" w:right="205" w:firstLine="480"/>
        <w:spacing w:before="8" w:line="337" w:lineRule="auto"/>
        <w:rPr>
          <w:rFonts w:ascii="SimSun" w:hAnsi="SimSun" w:eastAsia="SimSun" w:cs="SimSun"/>
          <w:sz w:val="24"/>
          <w:szCs w:val="24"/>
        </w:rPr>
      </w:pPr>
      <w:r>
        <w:rPr>
          <w:rFonts w:ascii="SimSun" w:hAnsi="SimSun" w:eastAsia="SimSun" w:cs="SimSun"/>
          <w:sz w:val="24"/>
          <w:szCs w:val="24"/>
          <w:spacing w:val="-2"/>
        </w:rPr>
        <w:t>根据《内蒙古生态功能区划》，白音华四号露天矿属于“锡林郭勒典型草原防风固</w:t>
      </w:r>
      <w:r>
        <w:rPr>
          <w:rFonts w:ascii="SimSun" w:hAnsi="SimSun" w:eastAsia="SimSun" w:cs="SimSun"/>
          <w:sz w:val="24"/>
          <w:szCs w:val="24"/>
          <w:spacing w:val="-2"/>
        </w:rPr>
        <w:t>沙生态屏障功能区</w:t>
      </w:r>
      <w:r>
        <w:rPr>
          <w:rFonts w:ascii="SimSun" w:hAnsi="SimSun" w:eastAsia="SimSun" w:cs="SimSun"/>
          <w:sz w:val="24"/>
          <w:szCs w:val="24"/>
          <w:spacing w:val="-88"/>
        </w:rPr>
        <w:t xml:space="preserve"> </w:t>
      </w:r>
      <w:r>
        <w:rPr>
          <w:rFonts w:ascii="SimSun" w:hAnsi="SimSun" w:eastAsia="SimSun" w:cs="SimSun"/>
          <w:sz w:val="24"/>
          <w:szCs w:val="24"/>
          <w:spacing w:val="-2"/>
        </w:rPr>
        <w:t>”。由于区域属于典型草原地貌类型</w:t>
      </w:r>
      <w:r>
        <w:rPr>
          <w:rFonts w:ascii="SimSun" w:hAnsi="SimSun" w:eastAsia="SimSun" w:cs="SimSun"/>
          <w:sz w:val="24"/>
          <w:szCs w:val="24"/>
          <w:spacing w:val="-3"/>
        </w:rPr>
        <w:t>，因此草地是评价区及井田内分</w:t>
      </w:r>
      <w:r>
        <w:rPr>
          <w:rFonts w:ascii="SimSun" w:hAnsi="SimSun" w:eastAsia="SimSun" w:cs="SimSun"/>
          <w:sz w:val="24"/>
          <w:szCs w:val="24"/>
        </w:rPr>
        <w:t>布最广的土地利用类型，</w:t>
      </w:r>
      <w:r>
        <w:rPr>
          <w:rFonts w:ascii="SimSun" w:hAnsi="SimSun" w:eastAsia="SimSun" w:cs="SimSun"/>
          <w:sz w:val="24"/>
          <w:szCs w:val="24"/>
          <w:spacing w:val="-63"/>
        </w:rPr>
        <w:t xml:space="preserve"> </w:t>
      </w:r>
      <w:r>
        <w:rPr>
          <w:rFonts w:ascii="SimSun" w:hAnsi="SimSun" w:eastAsia="SimSun" w:cs="SimSun"/>
          <w:sz w:val="24"/>
          <w:szCs w:val="24"/>
        </w:rPr>
        <w:t>占评价区面积的</w:t>
      </w:r>
      <w:r>
        <w:rPr>
          <w:rFonts w:ascii="SimSun" w:hAnsi="SimSun" w:eastAsia="SimSun" w:cs="SimSun"/>
          <w:sz w:val="24"/>
          <w:szCs w:val="24"/>
          <w:spacing w:val="-45"/>
        </w:rPr>
        <w:t xml:space="preserve"> </w:t>
      </w:r>
      <w:r>
        <w:rPr>
          <w:rFonts w:ascii="Times New Roman" w:hAnsi="Times New Roman" w:eastAsia="Times New Roman" w:cs="Times New Roman"/>
          <w:sz w:val="24"/>
          <w:szCs w:val="24"/>
        </w:rPr>
        <w:t>65.</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rPr>
        <w:t>11%</w:t>
      </w:r>
      <w:r>
        <w:rPr>
          <w:rFonts w:ascii="SimSun" w:hAnsi="SimSun" w:eastAsia="SimSun" w:cs="SimSun"/>
          <w:sz w:val="24"/>
          <w:szCs w:val="24"/>
        </w:rPr>
        <w:t>；评价主要的植被类型为羊草、线叶</w:t>
      </w:r>
      <w:r>
        <w:rPr>
          <w:rFonts w:ascii="SimSun" w:hAnsi="SimSun" w:eastAsia="SimSun" w:cs="SimSun"/>
          <w:sz w:val="24"/>
          <w:szCs w:val="24"/>
        </w:rPr>
        <w:t>菊等草甸草原，植被覆盖度主要为中覆盖度</w:t>
      </w:r>
      <w:r>
        <w:rPr>
          <w:rFonts w:ascii="Times New Roman" w:hAnsi="Times New Roman" w:eastAsia="Times New Roman" w:cs="Times New Roman"/>
          <w:sz w:val="24"/>
          <w:szCs w:val="24"/>
        </w:rPr>
        <w:t>(40-6</w:t>
      </w:r>
      <w:r>
        <w:rPr>
          <w:rFonts w:ascii="Times New Roman" w:hAnsi="Times New Roman" w:eastAsia="Times New Roman" w:cs="Times New Roman"/>
          <w:sz w:val="24"/>
          <w:szCs w:val="24"/>
          <w:spacing w:val="-1"/>
        </w:rPr>
        <w:t>0%)</w:t>
      </w:r>
      <w:r>
        <w:rPr>
          <w:rFonts w:ascii="SimSun" w:hAnsi="SimSun" w:eastAsia="SimSun" w:cs="SimSun"/>
          <w:sz w:val="24"/>
          <w:szCs w:val="24"/>
          <w:spacing w:val="-1"/>
        </w:rPr>
        <w:t>；本区野生动物区系以中亚型草原</w:t>
      </w:r>
      <w:r>
        <w:rPr>
          <w:rFonts w:ascii="SimSun" w:hAnsi="SimSun" w:eastAsia="SimSun" w:cs="SimSun"/>
          <w:sz w:val="24"/>
          <w:szCs w:val="24"/>
          <w:spacing w:val="-2"/>
        </w:rPr>
        <w:t>及半荒漠草原动物为主，评价区由于近年来矿山开发和畜牧业发展等原因，较大的兽类</w:t>
      </w:r>
      <w:r>
        <w:rPr>
          <w:rFonts w:ascii="SimSun" w:hAnsi="SimSun" w:eastAsia="SimSun" w:cs="SimSun"/>
          <w:sz w:val="24"/>
          <w:szCs w:val="24"/>
        </w:rPr>
        <w:t>濒临绝迹，小哺乳兽类、野鸟等遍及评价区内，</w:t>
      </w:r>
      <w:r>
        <w:rPr>
          <w:rFonts w:ascii="SimSun" w:hAnsi="SimSun" w:eastAsia="SimSun" w:cs="SimSun"/>
          <w:sz w:val="24"/>
          <w:szCs w:val="24"/>
          <w:spacing w:val="-1"/>
        </w:rPr>
        <w:t>野生动物种类并不多。</w:t>
      </w:r>
    </w:p>
    <w:p>
      <w:pPr>
        <w:ind w:left="489"/>
        <w:spacing w:before="3" w:line="220" w:lineRule="auto"/>
        <w:rPr>
          <w:rFonts w:ascii="SimSun" w:hAnsi="SimSun" w:eastAsia="SimSun" w:cs="SimSun"/>
          <w:sz w:val="24"/>
          <w:szCs w:val="24"/>
        </w:rPr>
      </w:pPr>
      <w:r>
        <w:rPr>
          <w:rFonts w:ascii="Times New Roman" w:hAnsi="Times New Roman" w:eastAsia="Times New Roman" w:cs="Times New Roman"/>
          <w:sz w:val="24"/>
          <w:szCs w:val="24"/>
          <w:spacing w:val="-3"/>
        </w:rPr>
        <w:t>3</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3"/>
        </w:rPr>
        <w:t>、运营期生态环境影响与治理措施</w:t>
      </w:r>
    </w:p>
    <w:p>
      <w:pPr>
        <w:ind w:left="8" w:right="205" w:firstLine="487"/>
        <w:spacing w:before="151" w:line="315" w:lineRule="auto"/>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1</w:t>
      </w:r>
      <w:r>
        <w:rPr>
          <w:rFonts w:ascii="SimSun" w:hAnsi="SimSun" w:eastAsia="SimSun" w:cs="SimSun"/>
          <w:sz w:val="24"/>
          <w:szCs w:val="24"/>
          <w:spacing w:val="1"/>
        </w:rPr>
        <w:t>）露天区开采过程中表土剥离会对土地资源产生直接破坏，具体表现为露天采</w:t>
      </w:r>
      <w:r>
        <w:rPr>
          <w:rFonts w:ascii="SimSun" w:hAnsi="SimSun" w:eastAsia="SimSun" w:cs="SimSun"/>
          <w:sz w:val="24"/>
          <w:szCs w:val="24"/>
          <w:spacing w:val="-2"/>
        </w:rPr>
        <w:t>场的直接挖损。挖损是对原地表形态、地质层组、生物种群的直接破坏，致使原土地不</w:t>
      </w:r>
      <w:r>
        <w:rPr>
          <w:rFonts w:ascii="SimSun" w:hAnsi="SimSun" w:eastAsia="SimSun" w:cs="SimSun"/>
          <w:sz w:val="24"/>
          <w:szCs w:val="24"/>
          <w:spacing w:val="-2"/>
        </w:rPr>
        <w:t>复存在，使区域内的土地资源、植被覆盖度、地形地貌、土壤保水保肥能力等生态因子</w:t>
      </w:r>
      <w:r>
        <w:rPr>
          <w:rFonts w:ascii="SimSun" w:hAnsi="SimSun" w:eastAsia="SimSun" w:cs="SimSun"/>
          <w:sz w:val="24"/>
          <w:szCs w:val="24"/>
        </w:rPr>
        <w:t>发生相应的变化。当露天区全部开采完毕，最终露天采坑面积为</w:t>
      </w:r>
      <w:r>
        <w:rPr>
          <w:rFonts w:ascii="SimSun" w:hAnsi="SimSun" w:eastAsia="SimSun" w:cs="SimSun"/>
          <w:sz w:val="24"/>
          <w:szCs w:val="24"/>
          <w:spacing w:val="-48"/>
        </w:rPr>
        <w:t xml:space="preserve"> </w:t>
      </w:r>
      <w:r>
        <w:rPr>
          <w:rFonts w:ascii="Times New Roman" w:hAnsi="Times New Roman" w:eastAsia="Times New Roman" w:cs="Times New Roman"/>
          <w:sz w:val="24"/>
          <w:szCs w:val="24"/>
        </w:rPr>
        <w:t>242.51hm</w:t>
      </w:r>
      <w:r>
        <w:rPr>
          <w:rFonts w:ascii="Times New Roman" w:hAnsi="Times New Roman" w:eastAsia="Times New Roman" w:cs="Times New Roman"/>
          <w:sz w:val="15"/>
          <w:szCs w:val="15"/>
          <w:position w:val="8"/>
        </w:rPr>
        <w:t>2</w:t>
      </w:r>
      <w:r>
        <w:rPr>
          <w:rFonts w:ascii="Times New Roman" w:hAnsi="Times New Roman" w:eastAsia="Times New Roman" w:cs="Times New Roman"/>
          <w:sz w:val="15"/>
          <w:szCs w:val="15"/>
          <w:spacing w:val="-10"/>
          <w:position w:val="8"/>
        </w:rPr>
        <w:t xml:space="preserve"> </w:t>
      </w:r>
      <w:r>
        <w:rPr>
          <w:rFonts w:ascii="SimSun" w:hAnsi="SimSun" w:eastAsia="SimSun" w:cs="SimSun"/>
          <w:sz w:val="24"/>
          <w:szCs w:val="24"/>
        </w:rPr>
        <w:t>，</w:t>
      </w:r>
      <w:r>
        <w:rPr>
          <w:rFonts w:ascii="SimSun" w:hAnsi="SimSun" w:eastAsia="SimSun" w:cs="SimSun"/>
          <w:sz w:val="24"/>
          <w:szCs w:val="24"/>
          <w:spacing w:val="-1"/>
        </w:rPr>
        <w:t>内排土场</w:t>
      </w:r>
      <w:r>
        <w:rPr>
          <w:rFonts w:ascii="SimSun" w:hAnsi="SimSun" w:eastAsia="SimSun" w:cs="SimSun"/>
          <w:sz w:val="24"/>
          <w:szCs w:val="24"/>
          <w:spacing w:val="-1"/>
        </w:rPr>
        <w:t>面积为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473.63hm</w:t>
      </w:r>
      <w:r>
        <w:rPr>
          <w:rFonts w:ascii="Times New Roman" w:hAnsi="Times New Roman" w:eastAsia="Times New Roman" w:cs="Times New Roman"/>
          <w:sz w:val="15"/>
          <w:szCs w:val="15"/>
          <w:spacing w:val="-1"/>
          <w:position w:val="7"/>
        </w:rPr>
        <w:t>2</w:t>
      </w:r>
      <w:r>
        <w:rPr>
          <w:rFonts w:ascii="SimSun" w:hAnsi="SimSun" w:eastAsia="SimSun" w:cs="SimSun"/>
          <w:sz w:val="24"/>
          <w:szCs w:val="24"/>
          <w:spacing w:val="-1"/>
        </w:rPr>
        <w:t>。</w:t>
      </w:r>
    </w:p>
    <w:p>
      <w:pPr>
        <w:ind w:left="495"/>
        <w:spacing w:before="156"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2</w:t>
      </w:r>
      <w:r>
        <w:rPr>
          <w:rFonts w:ascii="SimSun" w:hAnsi="SimSun" w:eastAsia="SimSun" w:cs="SimSun"/>
          <w:sz w:val="24"/>
          <w:szCs w:val="24"/>
          <w:spacing w:val="-2"/>
        </w:rPr>
        <w:t>）生态影响及保护措施</w:t>
      </w:r>
    </w:p>
    <w:p>
      <w:pPr>
        <w:ind w:left="488"/>
        <w:spacing w:before="153" w:line="217" w:lineRule="auto"/>
        <w:rPr>
          <w:rFonts w:ascii="SimSun" w:hAnsi="SimSun" w:eastAsia="SimSun" w:cs="SimSun"/>
          <w:sz w:val="24"/>
          <w:szCs w:val="24"/>
        </w:rPr>
      </w:pPr>
      <w:r>
        <w:rPr>
          <w:rFonts w:ascii="SimSun" w:hAnsi="SimSun" w:eastAsia="SimSun" w:cs="SimSun"/>
          <w:sz w:val="24"/>
          <w:szCs w:val="24"/>
          <w:spacing w:val="-2"/>
        </w:rPr>
        <w:t>①对地貌的影响</w:t>
      </w:r>
    </w:p>
    <w:p>
      <w:pPr>
        <w:spacing w:line="217" w:lineRule="auto"/>
        <w:sectPr>
          <w:headerReference w:type="default" r:id="rId411"/>
          <w:footerReference w:type="default" r:id="rId587"/>
          <w:pgSz w:w="11906" w:h="16838"/>
          <w:pgMar w:top="1170" w:right="1212" w:bottom="725" w:left="1416" w:header="837" w:footer="562" w:gutter="0"/>
        </w:sectPr>
        <w:rPr>
          <w:rFonts w:ascii="SimSun" w:hAnsi="SimSun" w:eastAsia="SimSun" w:cs="SimSun"/>
          <w:sz w:val="24"/>
          <w:szCs w:val="24"/>
        </w:rPr>
      </w:pPr>
    </w:p>
    <w:p>
      <w:pPr>
        <w:pStyle w:val="BodyText"/>
        <w:spacing w:line="314" w:lineRule="auto"/>
        <w:rPr/>
      </w:pPr>
      <w:r/>
    </w:p>
    <w:p>
      <w:pPr>
        <w:ind w:left="10" w:right="186" w:firstLine="484"/>
        <w:spacing w:before="78" w:line="338" w:lineRule="auto"/>
        <w:jc w:val="both"/>
        <w:rPr>
          <w:rFonts w:ascii="SimSun" w:hAnsi="SimSun" w:eastAsia="SimSun" w:cs="SimSun"/>
          <w:sz w:val="24"/>
          <w:szCs w:val="24"/>
        </w:rPr>
      </w:pPr>
      <w:r>
        <w:rPr>
          <w:rFonts w:ascii="SimSun" w:hAnsi="SimSun" w:eastAsia="SimSun" w:cs="SimSun"/>
          <w:sz w:val="24"/>
          <w:szCs w:val="24"/>
          <w:spacing w:val="-2"/>
        </w:rPr>
        <w:t>露天矿采掘场挖损和排土场剥离物堆放压占土地都将造成原地表形态的破坏，露天</w:t>
      </w:r>
      <w:r>
        <w:rPr>
          <w:rFonts w:ascii="SimSun" w:hAnsi="SimSun" w:eastAsia="SimSun" w:cs="SimSun"/>
          <w:sz w:val="24"/>
          <w:szCs w:val="24"/>
          <w:spacing w:val="-2"/>
        </w:rPr>
        <w:t>开采与排土彻底改变了原地形地貌。但是这些都是暂时的影响，随着生态整治工作的开</w:t>
      </w:r>
      <w:r>
        <w:rPr>
          <w:rFonts w:ascii="SimSun" w:hAnsi="SimSun" w:eastAsia="SimSun" w:cs="SimSun"/>
          <w:sz w:val="24"/>
          <w:szCs w:val="24"/>
        </w:rPr>
        <w:t>展，内外排土场削坡整形后会逐渐恢复到原始标高，与</w:t>
      </w:r>
      <w:r>
        <w:rPr>
          <w:rFonts w:ascii="SimSun" w:hAnsi="SimSun" w:eastAsia="SimSun" w:cs="SimSun"/>
          <w:sz w:val="24"/>
          <w:szCs w:val="24"/>
          <w:spacing w:val="-1"/>
        </w:rPr>
        <w:t>周围地形地貌融合在一起。</w:t>
      </w:r>
    </w:p>
    <w:p>
      <w:pPr>
        <w:ind w:left="487"/>
        <w:spacing w:line="217" w:lineRule="auto"/>
        <w:rPr>
          <w:rFonts w:ascii="SimSun" w:hAnsi="SimSun" w:eastAsia="SimSun" w:cs="SimSun"/>
          <w:sz w:val="24"/>
          <w:szCs w:val="24"/>
        </w:rPr>
      </w:pPr>
      <w:r>
        <w:rPr>
          <w:rFonts w:ascii="SimSun" w:hAnsi="SimSun" w:eastAsia="SimSun" w:cs="SimSun"/>
          <w:sz w:val="24"/>
          <w:szCs w:val="24"/>
          <w:spacing w:val="-1"/>
        </w:rPr>
        <w:t>②对河流河道影响</w:t>
      </w:r>
    </w:p>
    <w:p>
      <w:pPr>
        <w:ind w:left="8" w:right="186" w:firstLine="486"/>
        <w:spacing w:before="155" w:line="339" w:lineRule="auto"/>
        <w:rPr>
          <w:rFonts w:ascii="SimSun" w:hAnsi="SimSun" w:eastAsia="SimSun" w:cs="SimSun"/>
          <w:sz w:val="24"/>
          <w:szCs w:val="24"/>
        </w:rPr>
      </w:pPr>
      <w:r>
        <w:rPr>
          <w:rFonts w:ascii="SimSun" w:hAnsi="SimSun" w:eastAsia="SimSun" w:cs="SimSun"/>
          <w:sz w:val="24"/>
          <w:szCs w:val="24"/>
          <w:spacing w:val="-3"/>
        </w:rPr>
        <w:t>露天矿采掘场会破坏现有彦吉嘎河河道，依据辽宁</w:t>
      </w:r>
      <w:r>
        <w:rPr>
          <w:rFonts w:ascii="SimSun" w:hAnsi="SimSun" w:eastAsia="SimSun" w:cs="SimSun"/>
          <w:sz w:val="24"/>
          <w:szCs w:val="24"/>
          <w:spacing w:val="-4"/>
        </w:rPr>
        <w:t>省地质勘查院有限责任公司</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2024</w:t>
      </w:r>
      <w:r>
        <w:rPr>
          <w:rFonts w:ascii="SimSun" w:hAnsi="SimSun" w:eastAsia="SimSun" w:cs="SimSun"/>
          <w:sz w:val="24"/>
          <w:szCs w:val="24"/>
          <w:spacing w:val="-2"/>
        </w:rPr>
        <w:t>年编制的《安全距离论证报告》及《总规环评补充报告》，以与彦吉嘎河改河河道管理</w:t>
      </w:r>
      <w:r>
        <w:rPr>
          <w:rFonts w:ascii="SimSun" w:hAnsi="SimSun" w:eastAsia="SimSun" w:cs="SimSun"/>
          <w:sz w:val="24"/>
          <w:szCs w:val="24"/>
          <w:spacing w:val="-4"/>
        </w:rPr>
        <w:t>范围外侧留设</w:t>
      </w:r>
      <w:r>
        <w:rPr>
          <w:rFonts w:ascii="SimSun" w:hAnsi="SimSun" w:eastAsia="SimSun" w:cs="SimSun"/>
          <w:sz w:val="24"/>
          <w:szCs w:val="24"/>
          <w:spacing w:val="-43"/>
        </w:rPr>
        <w:t xml:space="preserve"> </w:t>
      </w:r>
      <w:r>
        <w:rPr>
          <w:rFonts w:ascii="Times New Roman" w:hAnsi="Times New Roman" w:eastAsia="Times New Roman" w:cs="Times New Roman"/>
          <w:sz w:val="24"/>
          <w:szCs w:val="24"/>
          <w:spacing w:val="-4"/>
        </w:rPr>
        <w:t>80m</w:t>
      </w:r>
      <w:r>
        <w:rPr>
          <w:rFonts w:ascii="Times New Roman" w:hAnsi="Times New Roman" w:eastAsia="Times New Roman" w:cs="Times New Roman"/>
          <w:sz w:val="24"/>
          <w:szCs w:val="24"/>
          <w:spacing w:val="14"/>
        </w:rPr>
        <w:t xml:space="preserve"> </w:t>
      </w:r>
      <w:r>
        <w:rPr>
          <w:rFonts w:ascii="SimSun" w:hAnsi="SimSun" w:eastAsia="SimSun" w:cs="SimSun"/>
          <w:sz w:val="24"/>
          <w:szCs w:val="24"/>
          <w:spacing w:val="-4"/>
        </w:rPr>
        <w:t>安全距离作为地表境界。本次环评提出露天矿新增开采区域与彦吉嘎</w:t>
      </w:r>
      <w:r>
        <w:rPr>
          <w:rFonts w:ascii="SimSun" w:hAnsi="SimSun" w:eastAsia="SimSun" w:cs="SimSun"/>
          <w:sz w:val="24"/>
          <w:szCs w:val="24"/>
          <w:spacing w:val="-1"/>
        </w:rPr>
        <w:t>河河道管理范围划定</w:t>
      </w:r>
      <w:r>
        <w:rPr>
          <w:rFonts w:ascii="SimSun" w:hAnsi="SimSun" w:eastAsia="SimSun" w:cs="SimSun"/>
          <w:sz w:val="24"/>
          <w:szCs w:val="24"/>
          <w:spacing w:val="-46"/>
        </w:rPr>
        <w:t xml:space="preserve"> </w:t>
      </w:r>
      <w:r>
        <w:rPr>
          <w:rFonts w:ascii="Times New Roman" w:hAnsi="Times New Roman" w:eastAsia="Times New Roman" w:cs="Times New Roman"/>
          <w:sz w:val="24"/>
          <w:szCs w:val="24"/>
          <w:spacing w:val="-1"/>
        </w:rPr>
        <w:t>80m</w:t>
      </w:r>
      <w:r>
        <w:rPr>
          <w:rFonts w:ascii="Times New Roman" w:hAnsi="Times New Roman" w:eastAsia="Times New Roman" w:cs="Times New Roman"/>
          <w:sz w:val="24"/>
          <w:szCs w:val="24"/>
          <w:spacing w:val="23"/>
        </w:rPr>
        <w:t xml:space="preserve"> </w:t>
      </w:r>
      <w:r>
        <w:rPr>
          <w:rFonts w:ascii="SimSun" w:hAnsi="SimSun" w:eastAsia="SimSun" w:cs="SimSun"/>
          <w:sz w:val="24"/>
          <w:szCs w:val="24"/>
          <w:spacing w:val="-1"/>
        </w:rPr>
        <w:t>宽留设保护煤柱区域，保证</w:t>
      </w:r>
      <w:r>
        <w:rPr>
          <w:rFonts w:ascii="SimSun" w:hAnsi="SimSun" w:eastAsia="SimSun" w:cs="SimSun"/>
          <w:sz w:val="24"/>
          <w:szCs w:val="24"/>
          <w:spacing w:val="-2"/>
        </w:rPr>
        <w:t>河道不受煤矿开采影响。</w:t>
      </w:r>
    </w:p>
    <w:p>
      <w:pPr>
        <w:ind w:left="487"/>
        <w:spacing w:line="217" w:lineRule="auto"/>
        <w:rPr>
          <w:rFonts w:ascii="SimSun" w:hAnsi="SimSun" w:eastAsia="SimSun" w:cs="SimSun"/>
          <w:sz w:val="24"/>
          <w:szCs w:val="24"/>
        </w:rPr>
      </w:pPr>
      <w:r>
        <w:rPr>
          <w:rFonts w:ascii="SimSun" w:hAnsi="SimSun" w:eastAsia="SimSun" w:cs="SimSun"/>
          <w:sz w:val="24"/>
          <w:szCs w:val="24"/>
          <w:spacing w:val="-2"/>
        </w:rPr>
        <w:t>③对植被影响</w:t>
      </w:r>
    </w:p>
    <w:p>
      <w:pPr>
        <w:ind w:left="8" w:right="186" w:firstLine="486"/>
        <w:spacing w:before="158" w:line="338" w:lineRule="auto"/>
        <w:rPr>
          <w:rFonts w:ascii="SimSun" w:hAnsi="SimSun" w:eastAsia="SimSun" w:cs="SimSun"/>
          <w:sz w:val="24"/>
          <w:szCs w:val="24"/>
        </w:rPr>
      </w:pPr>
      <w:r>
        <w:rPr>
          <w:rFonts w:ascii="SimSun" w:hAnsi="SimSun" w:eastAsia="SimSun" w:cs="SimSun"/>
          <w:sz w:val="24"/>
          <w:szCs w:val="24"/>
          <w:spacing w:val="-2"/>
        </w:rPr>
        <w:t>露天区改建后，新增的采掘场预计会破坏拂子茅、野大麦、芨芨草等河滩草甸面积</w:t>
      </w:r>
      <w:r>
        <w:rPr>
          <w:rFonts w:ascii="Times New Roman" w:hAnsi="Times New Roman" w:eastAsia="Times New Roman" w:cs="Times New Roman"/>
          <w:sz w:val="24"/>
          <w:szCs w:val="24"/>
          <w:spacing w:val="-1"/>
        </w:rPr>
        <w:t>0.31km</w:t>
      </w:r>
      <w:r>
        <w:rPr>
          <w:rFonts w:ascii="Times New Roman" w:hAnsi="Times New Roman" w:eastAsia="Times New Roman" w:cs="Times New Roman"/>
          <w:sz w:val="15"/>
          <w:szCs w:val="15"/>
          <w:spacing w:val="-1"/>
          <w:position w:val="7"/>
        </w:rPr>
        <w:t>2</w:t>
      </w:r>
      <w:r>
        <w:rPr>
          <w:rFonts w:ascii="Times New Roman" w:hAnsi="Times New Roman" w:eastAsia="Times New Roman" w:cs="Times New Roman"/>
          <w:sz w:val="15"/>
          <w:szCs w:val="15"/>
          <w:spacing w:val="12"/>
          <w:w w:val="101"/>
          <w:position w:val="7"/>
        </w:rPr>
        <w:t xml:space="preserve"> </w:t>
      </w:r>
      <w:r>
        <w:rPr>
          <w:rFonts w:ascii="SimSun" w:hAnsi="SimSun" w:eastAsia="SimSun" w:cs="SimSun"/>
          <w:sz w:val="24"/>
          <w:szCs w:val="24"/>
          <w:spacing w:val="-1"/>
        </w:rPr>
        <w:t>和羊草、丛生禾草草原面积</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1"/>
        </w:rPr>
        <w:t>2.22km</w:t>
      </w:r>
      <w:r>
        <w:rPr>
          <w:rFonts w:ascii="Times New Roman" w:hAnsi="Times New Roman" w:eastAsia="Times New Roman" w:cs="Times New Roman"/>
          <w:sz w:val="15"/>
          <w:szCs w:val="15"/>
          <w:spacing w:val="-2"/>
          <w:position w:val="7"/>
        </w:rPr>
        <w:t>2</w:t>
      </w:r>
      <w:r>
        <w:rPr>
          <w:rFonts w:ascii="Times New Roman" w:hAnsi="Times New Roman" w:eastAsia="Times New Roman" w:cs="Times New Roman"/>
          <w:sz w:val="15"/>
          <w:szCs w:val="15"/>
          <w:spacing w:val="-9"/>
          <w:position w:val="7"/>
        </w:rPr>
        <w:t xml:space="preserve"> </w:t>
      </w:r>
      <w:r>
        <w:rPr>
          <w:rFonts w:ascii="SimSun" w:hAnsi="SimSun" w:eastAsia="SimSun" w:cs="SimSun"/>
          <w:sz w:val="24"/>
          <w:szCs w:val="24"/>
          <w:spacing w:val="-2"/>
        </w:rPr>
        <w:t>，一共占用植被面积约为</w:t>
      </w:r>
      <w:r>
        <w:rPr>
          <w:rFonts w:ascii="SimSun" w:hAnsi="SimSun" w:eastAsia="SimSun" w:cs="SimSun"/>
          <w:sz w:val="24"/>
          <w:szCs w:val="24"/>
          <w:spacing w:val="-53"/>
        </w:rPr>
        <w:t xml:space="preserve"> </w:t>
      </w:r>
      <w:r>
        <w:rPr>
          <w:rFonts w:ascii="Times New Roman" w:hAnsi="Times New Roman" w:eastAsia="Times New Roman" w:cs="Times New Roman"/>
          <w:sz w:val="24"/>
          <w:szCs w:val="24"/>
          <w:spacing w:val="-2"/>
        </w:rPr>
        <w:t>2.53km</w:t>
      </w:r>
      <w:r>
        <w:rPr>
          <w:rFonts w:ascii="Times New Roman" w:hAnsi="Times New Roman" w:eastAsia="Times New Roman" w:cs="Times New Roman"/>
          <w:sz w:val="15"/>
          <w:szCs w:val="15"/>
          <w:spacing w:val="-2"/>
          <w:position w:val="7"/>
        </w:rPr>
        <w:t>2 </w:t>
      </w:r>
      <w:r>
        <w:rPr>
          <w:rFonts w:ascii="SimSun" w:hAnsi="SimSun" w:eastAsia="SimSun" w:cs="SimSun"/>
          <w:sz w:val="24"/>
          <w:szCs w:val="24"/>
          <w:spacing w:val="-2"/>
        </w:rPr>
        <w:t>。由于露</w:t>
      </w:r>
      <w:r>
        <w:rPr>
          <w:rFonts w:ascii="SimSun" w:hAnsi="SimSun" w:eastAsia="SimSun" w:cs="SimSun"/>
          <w:sz w:val="24"/>
          <w:szCs w:val="24"/>
          <w:spacing w:val="-1"/>
        </w:rPr>
        <w:t>天区已实现内排，因此排土场不会新增植被破坏面积。</w:t>
      </w:r>
    </w:p>
    <w:p>
      <w:pPr>
        <w:ind w:left="563"/>
        <w:spacing w:line="220" w:lineRule="auto"/>
        <w:rPr>
          <w:rFonts w:ascii="SimSun" w:hAnsi="SimSun" w:eastAsia="SimSun" w:cs="SimSun"/>
          <w:sz w:val="24"/>
          <w:szCs w:val="24"/>
        </w:rPr>
      </w:pPr>
      <w:r>
        <w:pict>
          <v:shape id="_x0000_s1312" style="position:absolute;margin-left:24.06pt;margin-top:0.171631pt;mso-position-vertical-relative:text;mso-position-horizontal-relative:text;width:12.15pt;height:12.15pt;z-index:285382656;" filled="false" strokecolor="#000000" strokeweight="0.12pt" coordsize="242,242" coordorigin="0,0" path="m241,121c241,188,185,241,121,241c53,241,1,188,1,121c1,56,53,1,121,1c185,1,241,56,241,121e">
            <v:stroke endcap="round" miterlimit="10"/>
          </v:shape>
        </w:pict>
      </w:r>
      <w:r>
        <w:rPr>
          <w:rFonts w:ascii="SimSun" w:hAnsi="SimSun" w:eastAsia="SimSun" w:cs="SimSun"/>
          <w:sz w:val="19"/>
          <w:szCs w:val="19"/>
          <w:spacing w:val="-1"/>
        </w:rPr>
        <w:t>5  </w:t>
      </w:r>
      <w:r>
        <w:rPr>
          <w:rFonts w:ascii="SimSun" w:hAnsi="SimSun" w:eastAsia="SimSun" w:cs="SimSun"/>
          <w:sz w:val="24"/>
          <w:szCs w:val="24"/>
          <w:spacing w:val="-1"/>
        </w:rPr>
        <w:t>对土地损害的影响</w:t>
      </w:r>
    </w:p>
    <w:p>
      <w:pPr>
        <w:ind w:left="8" w:right="186" w:firstLine="486"/>
        <w:spacing w:before="152" w:line="339" w:lineRule="auto"/>
        <w:rPr>
          <w:rFonts w:ascii="SimSun" w:hAnsi="SimSun" w:eastAsia="SimSun" w:cs="SimSun"/>
          <w:sz w:val="24"/>
          <w:szCs w:val="24"/>
        </w:rPr>
      </w:pPr>
      <w:r>
        <w:rPr>
          <w:rFonts w:ascii="SimSun" w:hAnsi="SimSun" w:eastAsia="SimSun" w:cs="SimSun"/>
          <w:sz w:val="24"/>
          <w:szCs w:val="24"/>
          <w:spacing w:val="-2"/>
        </w:rPr>
        <w:t>露天矿全部开采结束后，最终预计拟损毁土地面积与现有情况相比，主要表现为重</w:t>
      </w:r>
      <w:r>
        <w:rPr>
          <w:rFonts w:ascii="SimSun" w:hAnsi="SimSun" w:eastAsia="SimSun" w:cs="SimSun"/>
          <w:sz w:val="24"/>
          <w:szCs w:val="24"/>
          <w:spacing w:val="-1"/>
        </w:rPr>
        <w:t>度损毁面积</w:t>
      </w:r>
      <w:r>
        <w:rPr>
          <w:rFonts w:ascii="SimSun" w:hAnsi="SimSun" w:eastAsia="SimSun" w:cs="SimSun"/>
          <w:sz w:val="24"/>
          <w:szCs w:val="24"/>
          <w:spacing w:val="-29"/>
        </w:rPr>
        <w:t xml:space="preserve"> </w:t>
      </w:r>
      <w:r>
        <w:rPr>
          <w:rFonts w:ascii="Times New Roman" w:hAnsi="Times New Roman" w:eastAsia="Times New Roman" w:cs="Times New Roman"/>
          <w:sz w:val="24"/>
          <w:szCs w:val="24"/>
          <w:spacing w:val="-1"/>
        </w:rPr>
        <w:t>10.</w:t>
      </w:r>
      <w:r>
        <w:rPr>
          <w:rFonts w:ascii="Times New Roman" w:hAnsi="Times New Roman" w:eastAsia="Times New Roman" w:cs="Times New Roman"/>
          <w:sz w:val="24"/>
          <w:szCs w:val="24"/>
          <w:spacing w:val="-32"/>
        </w:rPr>
        <w:t xml:space="preserve"> </w:t>
      </w:r>
      <w:r>
        <w:rPr>
          <w:rFonts w:ascii="Times New Roman" w:hAnsi="Times New Roman" w:eastAsia="Times New Roman" w:cs="Times New Roman"/>
          <w:sz w:val="24"/>
          <w:szCs w:val="24"/>
          <w:spacing w:val="-1"/>
        </w:rPr>
        <w:t>13km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，增加了</w:t>
      </w:r>
      <w:r>
        <w:rPr>
          <w:rFonts w:ascii="SimSun" w:hAnsi="SimSun" w:eastAsia="SimSun" w:cs="SimSun"/>
          <w:sz w:val="24"/>
          <w:szCs w:val="24"/>
          <w:spacing w:val="-48"/>
        </w:rPr>
        <w:t xml:space="preserve"> </w:t>
      </w:r>
      <w:r>
        <w:rPr>
          <w:rFonts w:ascii="Times New Roman" w:hAnsi="Times New Roman" w:eastAsia="Times New Roman" w:cs="Times New Roman"/>
          <w:sz w:val="24"/>
          <w:szCs w:val="24"/>
          <w:spacing w:val="-1"/>
        </w:rPr>
        <w:t>3km</w:t>
      </w:r>
      <w:r>
        <w:rPr>
          <w:rFonts w:ascii="Times New Roman" w:hAnsi="Times New Roman" w:eastAsia="Times New Roman" w:cs="Times New Roman"/>
          <w:sz w:val="15"/>
          <w:szCs w:val="15"/>
          <w:spacing w:val="-1"/>
          <w:position w:val="8"/>
        </w:rPr>
        <w:t>2</w:t>
      </w:r>
      <w:r>
        <w:rPr>
          <w:rFonts w:ascii="Times New Roman" w:hAnsi="Times New Roman" w:eastAsia="Times New Roman" w:cs="Times New Roman"/>
          <w:sz w:val="15"/>
          <w:szCs w:val="15"/>
          <w:spacing w:val="-7"/>
          <w:position w:val="8"/>
        </w:rPr>
        <w:t xml:space="preserve"> </w:t>
      </w:r>
      <w:r>
        <w:rPr>
          <w:rFonts w:ascii="SimSun" w:hAnsi="SimSun" w:eastAsia="SimSun" w:cs="SimSun"/>
          <w:sz w:val="24"/>
          <w:szCs w:val="24"/>
          <w:spacing w:val="-1"/>
        </w:rPr>
        <w:t>，主要为露天采掘场开采导</w:t>
      </w:r>
      <w:r>
        <w:rPr>
          <w:rFonts w:ascii="SimSun" w:hAnsi="SimSun" w:eastAsia="SimSun" w:cs="SimSun"/>
          <w:sz w:val="24"/>
          <w:szCs w:val="24"/>
          <w:spacing w:val="-2"/>
        </w:rPr>
        <w:t>致。通过对露天采场、</w:t>
      </w:r>
      <w:r>
        <w:rPr>
          <w:rFonts w:ascii="SimSun" w:hAnsi="SimSun" w:eastAsia="SimSun" w:cs="SimSun"/>
          <w:sz w:val="24"/>
          <w:szCs w:val="24"/>
          <w:spacing w:val="-2"/>
        </w:rPr>
        <w:t>排土场等进行复垦治理能够有效减少区域重度损毁面积，考虑煤矿开采结束后，排土场</w:t>
      </w:r>
      <w:r>
        <w:rPr>
          <w:rFonts w:ascii="SimSun" w:hAnsi="SimSun" w:eastAsia="SimSun" w:cs="SimSun"/>
          <w:sz w:val="24"/>
          <w:szCs w:val="24"/>
        </w:rPr>
        <w:t>全部回填采坑，工业场地拆除，内排土场恢复治理完成，损</w:t>
      </w:r>
      <w:r>
        <w:rPr>
          <w:rFonts w:ascii="SimSun" w:hAnsi="SimSun" w:eastAsia="SimSun" w:cs="SimSun"/>
          <w:sz w:val="24"/>
          <w:szCs w:val="24"/>
          <w:spacing w:val="-1"/>
        </w:rPr>
        <w:t>毁面积会进一步减少。</w:t>
      </w:r>
    </w:p>
    <w:p>
      <w:pPr>
        <w:ind w:left="561"/>
        <w:spacing w:before="1" w:line="220" w:lineRule="auto"/>
        <w:rPr>
          <w:rFonts w:ascii="SimSun" w:hAnsi="SimSun" w:eastAsia="SimSun" w:cs="SimSun"/>
          <w:sz w:val="24"/>
          <w:szCs w:val="24"/>
        </w:rPr>
      </w:pPr>
      <w:r>
        <w:pict>
          <v:shape id="_x0000_s1314" style="position:absolute;margin-left:24.06pt;margin-top:0.218537pt;mso-position-vertical-relative:text;mso-position-horizontal-relative:text;width:12.15pt;height:12.15pt;z-index:285381632;" filled="false" strokecolor="#000000" strokeweight="0.12pt" coordsize="242,242" coordorigin="0,0" path="m241,121c241,188,185,241,121,241c53,241,1,188,1,121c1,54,53,1,121,1c185,1,241,54,241,121e">
            <v:stroke endcap="round" miterlimit="10"/>
          </v:shape>
        </w:pict>
      </w:r>
      <w:r>
        <w:rPr>
          <w:rFonts w:ascii="SimSun" w:hAnsi="SimSun" w:eastAsia="SimSun" w:cs="SimSun"/>
          <w:sz w:val="19"/>
          <w:szCs w:val="19"/>
          <w:spacing w:val="-1"/>
        </w:rPr>
        <w:t>6  </w:t>
      </w:r>
      <w:r>
        <w:rPr>
          <w:rFonts w:ascii="SimSun" w:hAnsi="SimSun" w:eastAsia="SimSun" w:cs="SimSun"/>
          <w:sz w:val="24"/>
          <w:szCs w:val="24"/>
          <w:spacing w:val="-1"/>
        </w:rPr>
        <w:t>对土地利用的影响</w:t>
      </w:r>
    </w:p>
    <w:p>
      <w:pPr>
        <w:ind w:left="10" w:firstLine="484"/>
        <w:spacing w:before="153" w:line="338" w:lineRule="auto"/>
        <w:rPr>
          <w:rFonts w:ascii="SimSun" w:hAnsi="SimSun" w:eastAsia="SimSun" w:cs="SimSun"/>
          <w:sz w:val="24"/>
          <w:szCs w:val="24"/>
        </w:rPr>
      </w:pPr>
      <w:r>
        <w:rPr>
          <w:rFonts w:ascii="SimSun" w:hAnsi="SimSun" w:eastAsia="SimSun" w:cs="SimSun"/>
          <w:sz w:val="24"/>
          <w:szCs w:val="24"/>
          <w:spacing w:val="-3"/>
        </w:rPr>
        <w:t>露天区草地面积将减少</w:t>
      </w:r>
      <w:r>
        <w:rPr>
          <w:rFonts w:ascii="SimSun" w:hAnsi="SimSun" w:eastAsia="SimSun" w:cs="SimSun"/>
          <w:sz w:val="24"/>
          <w:szCs w:val="24"/>
          <w:spacing w:val="-44"/>
        </w:rPr>
        <w:t xml:space="preserve"> </w:t>
      </w:r>
      <w:r>
        <w:rPr>
          <w:rFonts w:ascii="Times New Roman" w:hAnsi="Times New Roman" w:eastAsia="Times New Roman" w:cs="Times New Roman"/>
          <w:sz w:val="24"/>
          <w:szCs w:val="24"/>
          <w:spacing w:val="-3"/>
        </w:rPr>
        <w:t>2.54km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，工矿用地增加</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3"/>
        </w:rPr>
        <w:t>2.68km</w:t>
      </w:r>
      <w:r>
        <w:rPr>
          <w:rFonts w:ascii="Times New Roman" w:hAnsi="Times New Roman" w:eastAsia="Times New Roman" w:cs="Times New Roman"/>
          <w:sz w:val="15"/>
          <w:szCs w:val="15"/>
          <w:spacing w:val="-3"/>
          <w:position w:val="8"/>
        </w:rPr>
        <w:t>2</w:t>
      </w:r>
      <w:r>
        <w:rPr>
          <w:rFonts w:ascii="SimSun" w:hAnsi="SimSun" w:eastAsia="SimSun" w:cs="SimSun"/>
          <w:sz w:val="24"/>
          <w:szCs w:val="24"/>
          <w:spacing w:val="-3"/>
        </w:rPr>
        <w:t>。全区服务期满时，评价区</w:t>
      </w:r>
      <w:r>
        <w:rPr>
          <w:rFonts w:ascii="SimSun" w:hAnsi="SimSun" w:eastAsia="SimSun" w:cs="SimSun"/>
          <w:sz w:val="24"/>
          <w:szCs w:val="24"/>
          <w:spacing w:val="1"/>
        </w:rPr>
        <w:t>北部将最终保留一定深度的采坑，内排到界区均</w:t>
      </w:r>
      <w:r>
        <w:rPr>
          <w:rFonts w:ascii="SimSun" w:hAnsi="SimSun" w:eastAsia="SimSun" w:cs="SimSun"/>
          <w:sz w:val="24"/>
          <w:szCs w:val="24"/>
        </w:rPr>
        <w:t>恢复为草地，期间布置道路以及林网。</w:t>
      </w:r>
      <w:r>
        <w:rPr>
          <w:rFonts w:ascii="SimSun" w:hAnsi="SimSun" w:eastAsia="SimSun" w:cs="SimSun"/>
          <w:sz w:val="24"/>
          <w:szCs w:val="24"/>
          <w:spacing w:val="-3"/>
        </w:rPr>
        <w:t>因此露天区开采对土地利用的影响是不断变化和暂时的，随着生态整治措施的全面实施，</w:t>
      </w:r>
      <w:r>
        <w:rPr>
          <w:rFonts w:ascii="SimSun" w:hAnsi="SimSun" w:eastAsia="SimSun" w:cs="SimSun"/>
          <w:sz w:val="24"/>
          <w:szCs w:val="24"/>
          <w:spacing w:val="-1"/>
        </w:rPr>
        <w:t>土地利用类型又由采矿用地转变为人工牧草地，生态环境逐步恢复。</w:t>
      </w:r>
    </w:p>
    <w:p>
      <w:pPr>
        <w:ind w:left="564"/>
        <w:spacing w:before="1" w:line="220" w:lineRule="auto"/>
        <w:rPr>
          <w:rFonts w:ascii="SimSun" w:hAnsi="SimSun" w:eastAsia="SimSun" w:cs="SimSun"/>
          <w:sz w:val="24"/>
          <w:szCs w:val="24"/>
        </w:rPr>
      </w:pPr>
      <w:r>
        <w:pict>
          <v:shape id="_x0000_s1316" style="position:absolute;margin-left:24.06pt;margin-top:0.338532pt;mso-position-vertical-relative:text;mso-position-horizontal-relative:text;width:12.15pt;height:12.15pt;z-index:285380608;" filled="false" strokecolor="#000000" strokeweight="0.12pt" coordsize="242,242" coordorigin="0,0" path="m241,121c241,185,185,241,121,241c53,241,1,185,1,121c1,53,53,1,121,1c185,1,241,53,241,121e">
            <v:stroke endcap="round" miterlimit="10"/>
          </v:shape>
        </w:pict>
      </w:r>
      <w:r>
        <w:rPr>
          <w:rFonts w:ascii="SimSun" w:hAnsi="SimSun" w:eastAsia="SimSun" w:cs="SimSun"/>
          <w:sz w:val="19"/>
          <w:szCs w:val="19"/>
          <w:spacing w:val="-2"/>
        </w:rPr>
        <w:t>7  </w:t>
      </w:r>
      <w:r>
        <w:rPr>
          <w:rFonts w:ascii="SimSun" w:hAnsi="SimSun" w:eastAsia="SimSun" w:cs="SimSun"/>
          <w:sz w:val="24"/>
          <w:szCs w:val="24"/>
          <w:spacing w:val="-2"/>
        </w:rPr>
        <w:t>对土壤侵蚀</w:t>
      </w:r>
    </w:p>
    <w:p>
      <w:pPr>
        <w:ind w:left="7" w:firstLine="481"/>
        <w:spacing w:before="156" w:line="338" w:lineRule="auto"/>
        <w:rPr>
          <w:rFonts w:ascii="SimSun" w:hAnsi="SimSun" w:eastAsia="SimSun" w:cs="SimSun"/>
          <w:sz w:val="24"/>
          <w:szCs w:val="24"/>
        </w:rPr>
      </w:pPr>
      <w:r>
        <w:rPr>
          <w:rFonts w:ascii="SimSun" w:hAnsi="SimSun" w:eastAsia="SimSun" w:cs="SimSun"/>
          <w:sz w:val="24"/>
          <w:szCs w:val="24"/>
          <w:spacing w:val="-3"/>
        </w:rPr>
        <w:t>根据露天区原地貌土壤侵蚀情况以及土壤侵蚀回顾性分析，随着采掘场挖损的占压，</w:t>
      </w:r>
      <w:r>
        <w:rPr>
          <w:rFonts w:ascii="SimSun" w:hAnsi="SimSun" w:eastAsia="SimSun" w:cs="SimSun"/>
          <w:sz w:val="24"/>
          <w:szCs w:val="24"/>
          <w:spacing w:val="-1"/>
        </w:rPr>
        <w:t>土壤侵蚀强度明显增加，轻度侵蚀面积减少</w:t>
      </w:r>
      <w:r>
        <w:rPr>
          <w:rFonts w:ascii="SimSun" w:hAnsi="SimSun" w:eastAsia="SimSun" w:cs="SimSun"/>
          <w:sz w:val="24"/>
          <w:szCs w:val="24"/>
          <w:spacing w:val="-2"/>
        </w:rPr>
        <w:t>，中度和强烈侵蚀面积增加。随着后期内排</w:t>
      </w:r>
      <w:r>
        <w:rPr>
          <w:rFonts w:ascii="SimSun" w:hAnsi="SimSun" w:eastAsia="SimSun" w:cs="SimSun"/>
          <w:sz w:val="24"/>
          <w:szCs w:val="24"/>
          <w:spacing w:val="-1"/>
        </w:rPr>
        <w:t>土场复垦工作的推进，以及植被演替、植被</w:t>
      </w:r>
      <w:r>
        <w:rPr>
          <w:rFonts w:ascii="SimSun" w:hAnsi="SimSun" w:eastAsia="SimSun" w:cs="SimSun"/>
          <w:sz w:val="24"/>
          <w:szCs w:val="24"/>
          <w:spacing w:val="-2"/>
        </w:rPr>
        <w:t>覆盖度升高，内排土场土壤侵蚀强度会有所</w:t>
      </w:r>
      <w:r>
        <w:rPr>
          <w:rFonts w:ascii="SimSun" w:hAnsi="SimSun" w:eastAsia="SimSun" w:cs="SimSun"/>
          <w:sz w:val="24"/>
          <w:szCs w:val="24"/>
          <w:spacing w:val="-4"/>
        </w:rPr>
        <w:t>降低，整个评价区的土壤侵蚀强度也会减轻。因此应及时布设合理有效的生态整治措施，</w:t>
      </w:r>
      <w:r>
        <w:rPr>
          <w:rFonts w:ascii="SimSun" w:hAnsi="SimSun" w:eastAsia="SimSun" w:cs="SimSun"/>
          <w:sz w:val="24"/>
          <w:szCs w:val="24"/>
          <w:spacing w:val="-1"/>
        </w:rPr>
        <w:t>避免区域水土流失的进一步加剧。</w:t>
      </w:r>
    </w:p>
    <w:p>
      <w:pPr>
        <w:ind w:left="560"/>
        <w:spacing w:line="220" w:lineRule="auto"/>
        <w:rPr>
          <w:rFonts w:ascii="SimSun" w:hAnsi="SimSun" w:eastAsia="SimSun" w:cs="SimSun"/>
          <w:sz w:val="24"/>
          <w:szCs w:val="24"/>
        </w:rPr>
      </w:pPr>
      <w:r>
        <w:pict>
          <v:shape id="_x0000_s1318" style="position:absolute;margin-left:24.06pt;margin-top:0.291611pt;mso-position-vertical-relative:text;mso-position-horizontal-relative:text;width:12.15pt;height:12.15pt;z-index:285379584;" filled="false" strokecolor="#000000" strokeweight="0.12pt" coordsize="242,242" coordorigin="0,0" path="m241,121c241,186,185,241,121,241c53,241,1,186,1,121c1,53,53,1,121,1c185,1,241,53,241,121e">
            <v:stroke endcap="round" miterlimit="10"/>
          </v:shape>
        </w:pict>
      </w:r>
      <w:r>
        <w:rPr>
          <w:rFonts w:ascii="SimSun" w:hAnsi="SimSun" w:eastAsia="SimSun" w:cs="SimSun"/>
          <w:sz w:val="19"/>
          <w:szCs w:val="19"/>
          <w:spacing w:val="-1"/>
        </w:rPr>
        <w:t>8  </w:t>
      </w:r>
      <w:r>
        <w:rPr>
          <w:rFonts w:ascii="SimSun" w:hAnsi="SimSun" w:eastAsia="SimSun" w:cs="SimSun"/>
          <w:sz w:val="24"/>
          <w:szCs w:val="24"/>
          <w:spacing w:val="-1"/>
        </w:rPr>
        <w:t>对野生动物的影响</w:t>
      </w:r>
    </w:p>
    <w:p>
      <w:pPr>
        <w:ind w:left="10" w:right="186" w:firstLine="484"/>
        <w:spacing w:before="157" w:line="339" w:lineRule="auto"/>
        <w:rPr>
          <w:rFonts w:ascii="SimSun" w:hAnsi="SimSun" w:eastAsia="SimSun" w:cs="SimSun"/>
          <w:sz w:val="24"/>
          <w:szCs w:val="24"/>
        </w:rPr>
      </w:pPr>
      <w:r>
        <w:rPr>
          <w:rFonts w:ascii="SimSun" w:hAnsi="SimSun" w:eastAsia="SimSun" w:cs="SimSun"/>
          <w:sz w:val="24"/>
          <w:szCs w:val="24"/>
          <w:spacing w:val="-2"/>
        </w:rPr>
        <w:t>露天矿工业场地、采掘场、排土场、地面运输系统等人工建筑的建成占用大面积的</w:t>
      </w:r>
      <w:r>
        <w:rPr>
          <w:rFonts w:ascii="SimSun" w:hAnsi="SimSun" w:eastAsia="SimSun" w:cs="SimSun"/>
          <w:sz w:val="24"/>
          <w:szCs w:val="24"/>
          <w:spacing w:val="-2"/>
        </w:rPr>
        <w:t>土地，使原来的草原变为建筑占地，减少了哺乳动物、爬行动物的栖息与活动的范围，</w:t>
      </w:r>
      <w:r>
        <w:rPr>
          <w:rFonts w:ascii="SimSun" w:hAnsi="SimSun" w:eastAsia="SimSun" w:cs="SimSun"/>
          <w:sz w:val="24"/>
          <w:szCs w:val="24"/>
          <w:spacing w:val="-2"/>
        </w:rPr>
        <w:t>迫使哺乳动物、爬行动物向远离人工建筑的四周迁移，导致矿田范围内哺乳动物、爬行</w:t>
      </w:r>
    </w:p>
    <w:p>
      <w:pPr>
        <w:spacing w:line="339" w:lineRule="auto"/>
        <w:sectPr>
          <w:headerReference w:type="default" r:id="rId34"/>
          <w:footerReference w:type="default" r:id="rId588"/>
          <w:pgSz w:w="11906" w:h="16838"/>
          <w:pgMar w:top="1170" w:right="1231" w:bottom="725" w:left="1416" w:header="837" w:footer="562" w:gutter="0"/>
        </w:sectPr>
        <w:rPr>
          <w:rFonts w:ascii="SimSun" w:hAnsi="SimSun" w:eastAsia="SimSun" w:cs="SimSun"/>
          <w:sz w:val="24"/>
          <w:szCs w:val="24"/>
        </w:rPr>
      </w:pPr>
    </w:p>
    <w:p>
      <w:pPr>
        <w:pStyle w:val="BodyText"/>
        <w:spacing w:line="314" w:lineRule="auto"/>
        <w:rPr/>
      </w:pPr>
      <w:r/>
    </w:p>
    <w:p>
      <w:pPr>
        <w:ind w:left="8" w:firstLine="1"/>
        <w:spacing w:before="78" w:line="338" w:lineRule="auto"/>
        <w:jc w:val="both"/>
        <w:rPr>
          <w:rFonts w:ascii="SimSun" w:hAnsi="SimSun" w:eastAsia="SimSun" w:cs="SimSun"/>
          <w:sz w:val="24"/>
          <w:szCs w:val="24"/>
        </w:rPr>
      </w:pPr>
      <w:r>
        <w:rPr>
          <w:rFonts w:ascii="SimSun" w:hAnsi="SimSun" w:eastAsia="SimSun" w:cs="SimSun"/>
          <w:sz w:val="24"/>
          <w:szCs w:val="24"/>
          <w:spacing w:val="-5"/>
        </w:rPr>
        <w:t>动物种群数量减少。同时，矿田开采使人类</w:t>
      </w:r>
      <w:r>
        <w:rPr>
          <w:rFonts w:ascii="SimSun" w:hAnsi="SimSun" w:eastAsia="SimSun" w:cs="SimSun"/>
          <w:sz w:val="24"/>
          <w:szCs w:val="24"/>
          <w:spacing w:val="-6"/>
        </w:rPr>
        <w:t>活动增加，将使周围的大气环境、生态环境、</w:t>
      </w:r>
      <w:r>
        <w:rPr>
          <w:rFonts w:ascii="SimSun" w:hAnsi="SimSun" w:eastAsia="SimSun" w:cs="SimSun"/>
          <w:sz w:val="24"/>
          <w:szCs w:val="24"/>
          <w:spacing w:val="-2"/>
        </w:rPr>
        <w:t>声环境发生一定的变化，从而对野生动物的栖息环境产生一定的影响。但随着内外排土</w:t>
      </w:r>
      <w:r>
        <w:rPr>
          <w:rFonts w:ascii="SimSun" w:hAnsi="SimSun" w:eastAsia="SimSun" w:cs="SimSun"/>
          <w:sz w:val="24"/>
          <w:szCs w:val="24"/>
          <w:spacing w:val="-2"/>
        </w:rPr>
        <w:t>场生态环境的逐步恢复，动物适宜生境条件逐步改善，周边野生动物将逐步回迁，多样</w:t>
      </w:r>
      <w:r>
        <w:rPr>
          <w:rFonts w:ascii="SimSun" w:hAnsi="SimSun" w:eastAsia="SimSun" w:cs="SimSun"/>
          <w:sz w:val="24"/>
          <w:szCs w:val="24"/>
          <w:spacing w:val="-2"/>
        </w:rPr>
        <w:t>性逐步增加。</w:t>
      </w:r>
    </w:p>
    <w:p>
      <w:pPr>
        <w:ind w:left="560"/>
        <w:spacing w:line="219" w:lineRule="auto"/>
        <w:rPr>
          <w:rFonts w:ascii="SimSun" w:hAnsi="SimSun" w:eastAsia="SimSun" w:cs="SimSun"/>
          <w:sz w:val="24"/>
          <w:szCs w:val="24"/>
        </w:rPr>
      </w:pPr>
      <w:r>
        <w:pict>
          <v:shape id="_x0000_s1320" style="position:absolute;margin-left:24.06pt;margin-top:0.309751pt;mso-position-vertical-relative:text;mso-position-horizontal-relative:text;width:12.15pt;height:12.15pt;z-index:285537280;" filled="false" strokecolor="#000000" strokeweight="0.12pt" coordsize="242,242" coordorigin="0,0" path="m241,121c241,185,185,241,121,241c53,241,1,185,1,121c1,54,53,1,121,1c185,1,241,54,241,121e">
            <v:stroke endcap="round" miterlimit="10"/>
          </v:shape>
        </w:pict>
      </w:r>
      <w:r>
        <w:rPr>
          <w:rFonts w:ascii="SimSun" w:hAnsi="SimSun" w:eastAsia="SimSun" w:cs="SimSun"/>
          <w:sz w:val="19"/>
          <w:szCs w:val="19"/>
          <w:spacing w:val="-1"/>
        </w:rPr>
        <w:t>9  </w:t>
      </w:r>
      <w:r>
        <w:rPr>
          <w:rFonts w:ascii="SimSun" w:hAnsi="SimSun" w:eastAsia="SimSun" w:cs="SimSun"/>
          <w:sz w:val="24"/>
          <w:szCs w:val="24"/>
          <w:spacing w:val="-1"/>
        </w:rPr>
        <w:t>对生态系统稳定性</w:t>
      </w:r>
    </w:p>
    <w:p>
      <w:pPr>
        <w:ind w:left="13" w:right="85" w:firstLine="422"/>
        <w:spacing w:before="158" w:line="338" w:lineRule="auto"/>
        <w:jc w:val="both"/>
        <w:rPr>
          <w:rFonts w:ascii="SimSun" w:hAnsi="SimSun" w:eastAsia="SimSun" w:cs="SimSun"/>
          <w:sz w:val="24"/>
          <w:szCs w:val="24"/>
        </w:rPr>
      </w:pPr>
      <w:r>
        <w:rPr>
          <w:rFonts w:ascii="SimSun" w:hAnsi="SimSun" w:eastAsia="SimSun" w:cs="SimSun"/>
          <w:sz w:val="24"/>
          <w:szCs w:val="24"/>
        </w:rPr>
        <w:t>在未采取治理措施前，煤矿大规模开发对该地区生态系统稳定性会产生</w:t>
      </w:r>
      <w:r>
        <w:rPr>
          <w:rFonts w:ascii="SimSun" w:hAnsi="SimSun" w:eastAsia="SimSun" w:cs="SimSun"/>
          <w:sz w:val="24"/>
          <w:szCs w:val="24"/>
          <w:spacing w:val="-1"/>
        </w:rPr>
        <w:t>不利影响，</w:t>
      </w:r>
      <w:r>
        <w:rPr>
          <w:rFonts w:ascii="SimSun" w:hAnsi="SimSun" w:eastAsia="SimSun" w:cs="SimSun"/>
          <w:sz w:val="24"/>
          <w:szCs w:val="24"/>
          <w:spacing w:val="-2"/>
        </w:rPr>
        <w:t>不利于稳定性的恢复，煤矿实施过程中，需要采取有效的生态综合治理措施，最大限度</w:t>
      </w:r>
      <w:r>
        <w:rPr>
          <w:rFonts w:ascii="SimSun" w:hAnsi="SimSun" w:eastAsia="SimSun" w:cs="SimSun"/>
          <w:sz w:val="24"/>
          <w:szCs w:val="24"/>
          <w:spacing w:val="-1"/>
        </w:rPr>
        <w:t>治理恢复受损植被，减小对生态系统稳定性的影响。</w:t>
      </w:r>
    </w:p>
    <w:p>
      <w:pPr>
        <w:ind w:left="443"/>
        <w:spacing w:line="220" w:lineRule="auto"/>
        <w:rPr>
          <w:rFonts w:ascii="SimSun" w:hAnsi="SimSun" w:eastAsia="SimSun" w:cs="SimSun"/>
          <w:sz w:val="24"/>
          <w:szCs w:val="24"/>
        </w:rPr>
      </w:pPr>
      <w:r>
        <w:rPr>
          <w:rFonts w:ascii="SimSun" w:hAnsi="SimSun" w:eastAsia="SimSun" w:cs="SimSun"/>
          <w:sz w:val="24"/>
          <w:szCs w:val="24"/>
          <w:spacing w:val="-2"/>
        </w:rPr>
        <w:t>（</w:t>
      </w:r>
      <w:r>
        <w:rPr>
          <w:rFonts w:ascii="Times New Roman" w:hAnsi="Times New Roman" w:eastAsia="Times New Roman" w:cs="Times New Roman"/>
          <w:sz w:val="24"/>
          <w:szCs w:val="24"/>
          <w:spacing w:val="-2"/>
        </w:rPr>
        <w:t>4</w:t>
      </w:r>
      <w:r>
        <w:rPr>
          <w:rFonts w:ascii="SimSun" w:hAnsi="SimSun" w:eastAsia="SimSun" w:cs="SimSun"/>
          <w:sz w:val="24"/>
          <w:szCs w:val="24"/>
          <w:spacing w:val="-2"/>
        </w:rPr>
        <w:t>）生态环境整治措施</w:t>
      </w:r>
    </w:p>
    <w:p>
      <w:pPr>
        <w:ind w:left="8" w:right="85" w:firstLine="430"/>
        <w:spacing w:before="154" w:line="338" w:lineRule="auto"/>
        <w:rPr>
          <w:rFonts w:ascii="SimSun" w:hAnsi="SimSun" w:eastAsia="SimSun" w:cs="SimSun"/>
          <w:sz w:val="24"/>
          <w:szCs w:val="24"/>
        </w:rPr>
      </w:pPr>
      <w:r>
        <w:rPr>
          <w:rFonts w:ascii="SimSun" w:hAnsi="SimSun" w:eastAsia="SimSun" w:cs="SimSun"/>
          <w:sz w:val="24"/>
          <w:szCs w:val="24"/>
        </w:rPr>
        <w:t>生态整治规划主要结合项目区生态特点和项目施工布局，施</w:t>
      </w:r>
      <w:r>
        <w:rPr>
          <w:rFonts w:ascii="SimSun" w:hAnsi="SimSun" w:eastAsia="SimSun" w:cs="SimSun"/>
          <w:sz w:val="24"/>
          <w:szCs w:val="24"/>
          <w:spacing w:val="-1"/>
        </w:rPr>
        <w:t>工影响强度进行综合布</w:t>
      </w:r>
      <w:r>
        <w:rPr>
          <w:rFonts w:ascii="SimSun" w:hAnsi="SimSun" w:eastAsia="SimSun" w:cs="SimSun"/>
          <w:sz w:val="24"/>
          <w:szCs w:val="24"/>
          <w:spacing w:val="-2"/>
        </w:rPr>
        <w:t>控，根据以往的防治经验和周边露天矿生产调研。本次评价提出主要应做好四个方面的</w:t>
      </w:r>
      <w:r>
        <w:rPr>
          <w:rFonts w:ascii="SimSun" w:hAnsi="SimSun" w:eastAsia="SimSun" w:cs="SimSun"/>
          <w:sz w:val="24"/>
          <w:szCs w:val="24"/>
          <w:spacing w:val="-1"/>
        </w:rPr>
        <w:t>工作：水土保持、地貌（土壤）重构、植被重建、生态修复。</w:t>
      </w:r>
    </w:p>
    <w:p>
      <w:pPr>
        <w:ind w:left="435"/>
        <w:spacing w:line="217" w:lineRule="auto"/>
        <w:rPr>
          <w:rFonts w:ascii="SimSun" w:hAnsi="SimSun" w:eastAsia="SimSun" w:cs="SimSun"/>
          <w:sz w:val="24"/>
          <w:szCs w:val="24"/>
        </w:rPr>
      </w:pPr>
      <w:r>
        <w:rPr>
          <w:rFonts w:ascii="SimSun" w:hAnsi="SimSun" w:eastAsia="SimSun" w:cs="SimSun"/>
          <w:sz w:val="24"/>
          <w:szCs w:val="24"/>
          <w:spacing w:val="-2"/>
        </w:rPr>
        <w:t>①水土保持</w:t>
      </w:r>
    </w:p>
    <w:p>
      <w:pPr>
        <w:ind w:left="9" w:right="85" w:firstLine="430"/>
        <w:spacing w:before="158" w:line="338" w:lineRule="auto"/>
        <w:rPr>
          <w:rFonts w:ascii="SimSun" w:hAnsi="SimSun" w:eastAsia="SimSun" w:cs="SimSun"/>
          <w:sz w:val="24"/>
          <w:szCs w:val="24"/>
        </w:rPr>
      </w:pPr>
      <w:r>
        <w:rPr>
          <w:rFonts w:ascii="SimSun" w:hAnsi="SimSun" w:eastAsia="SimSun" w:cs="SimSun"/>
          <w:sz w:val="24"/>
          <w:szCs w:val="24"/>
        </w:rPr>
        <w:t>水土流失是该地区最重要的环境问题，水土保持是区域生</w:t>
      </w:r>
      <w:r>
        <w:rPr>
          <w:rFonts w:ascii="SimSun" w:hAnsi="SimSun" w:eastAsia="SimSun" w:cs="SimSun"/>
          <w:sz w:val="24"/>
          <w:szCs w:val="24"/>
          <w:spacing w:val="-1"/>
        </w:rPr>
        <w:t>态恢复的根本，水土保持</w:t>
      </w:r>
      <w:r>
        <w:rPr>
          <w:rFonts w:ascii="SimSun" w:hAnsi="SimSun" w:eastAsia="SimSun" w:cs="SimSun"/>
          <w:sz w:val="24"/>
          <w:szCs w:val="24"/>
          <w:spacing w:val="-2"/>
        </w:rPr>
        <w:t>措施布局以水土保持林建设为主，采掘场及排土场营造水土保持林，控制泥沙输出，减</w:t>
      </w:r>
      <w:r>
        <w:rPr>
          <w:rFonts w:ascii="SimSun" w:hAnsi="SimSun" w:eastAsia="SimSun" w:cs="SimSun"/>
          <w:sz w:val="24"/>
          <w:szCs w:val="24"/>
          <w:spacing w:val="-2"/>
        </w:rPr>
        <w:t>少对周边环境影响。</w:t>
      </w:r>
    </w:p>
    <w:p>
      <w:pPr>
        <w:ind w:left="434"/>
        <w:spacing w:line="217" w:lineRule="auto"/>
        <w:rPr>
          <w:rFonts w:ascii="SimSun" w:hAnsi="SimSun" w:eastAsia="SimSun" w:cs="SimSun"/>
          <w:sz w:val="24"/>
          <w:szCs w:val="24"/>
        </w:rPr>
      </w:pPr>
      <w:r>
        <w:rPr>
          <w:rFonts w:ascii="SimSun" w:hAnsi="SimSun" w:eastAsia="SimSun" w:cs="SimSun"/>
          <w:sz w:val="24"/>
          <w:szCs w:val="24"/>
          <w:spacing w:val="-1"/>
        </w:rPr>
        <w:t>②地貌（土壤）重构</w:t>
      </w:r>
    </w:p>
    <w:p>
      <w:pPr>
        <w:ind w:left="8" w:right="85" w:firstLine="429"/>
        <w:spacing w:before="163" w:line="338" w:lineRule="auto"/>
        <w:rPr>
          <w:rFonts w:ascii="SimSun" w:hAnsi="SimSun" w:eastAsia="SimSun" w:cs="SimSun"/>
          <w:sz w:val="24"/>
          <w:szCs w:val="24"/>
        </w:rPr>
      </w:pPr>
      <w:r>
        <w:rPr>
          <w:rFonts w:ascii="SimSun" w:hAnsi="SimSun" w:eastAsia="SimSun" w:cs="SimSun"/>
          <w:sz w:val="24"/>
          <w:szCs w:val="24"/>
        </w:rPr>
        <w:t>保护好露天矿表层土是确保区域生态系统稳定，实施生态复垦</w:t>
      </w:r>
      <w:r>
        <w:rPr>
          <w:rFonts w:ascii="SimSun" w:hAnsi="SimSun" w:eastAsia="SimSun" w:cs="SimSun"/>
          <w:sz w:val="24"/>
          <w:szCs w:val="24"/>
          <w:spacing w:val="-1"/>
        </w:rPr>
        <w:t>和区域生态重建的关</w:t>
      </w:r>
      <w:r>
        <w:rPr>
          <w:rFonts w:ascii="SimSun" w:hAnsi="SimSun" w:eastAsia="SimSun" w:cs="SimSun"/>
          <w:sz w:val="24"/>
          <w:szCs w:val="24"/>
          <w:spacing w:val="-2"/>
        </w:rPr>
        <w:t>键。表土层含有丰富的有机物质和植物种子、块根、块茎等繁殖体是可以利用的宝贵资</w:t>
      </w:r>
      <w:r>
        <w:rPr>
          <w:rFonts w:ascii="SimSun" w:hAnsi="SimSun" w:eastAsia="SimSun" w:cs="SimSun"/>
          <w:sz w:val="24"/>
          <w:szCs w:val="24"/>
          <w:spacing w:val="-2"/>
        </w:rPr>
        <w:t>源。根据周边露天矿及本矿的土地复垦经验，矿区内有剥离意义的表土主要为可用于后</w:t>
      </w:r>
      <w:r>
        <w:rPr>
          <w:rFonts w:ascii="SimSun" w:hAnsi="SimSun" w:eastAsia="SimSun" w:cs="SimSun"/>
          <w:sz w:val="24"/>
          <w:szCs w:val="24"/>
          <w:spacing w:val="-3"/>
        </w:rPr>
        <w:t>期绿化覆土的表层土，剥离厚度根据地形地貌和土壤养分条件</w:t>
      </w:r>
      <w:r>
        <w:rPr>
          <w:rFonts w:ascii="SimSun" w:hAnsi="SimSun" w:eastAsia="SimSun" w:cs="SimSun"/>
          <w:sz w:val="24"/>
          <w:szCs w:val="24"/>
          <w:spacing w:val="-4"/>
        </w:rPr>
        <w:t>确定、一般为</w:t>
      </w:r>
      <w:r>
        <w:rPr>
          <w:rFonts w:ascii="SimSun" w:hAnsi="SimSun" w:eastAsia="SimSun" w:cs="SimSun"/>
          <w:sz w:val="24"/>
          <w:szCs w:val="24"/>
          <w:spacing w:val="-52"/>
        </w:rPr>
        <w:t xml:space="preserve"> </w:t>
      </w:r>
      <w:r>
        <w:rPr>
          <w:rFonts w:ascii="Times New Roman" w:hAnsi="Times New Roman" w:eastAsia="Times New Roman" w:cs="Times New Roman"/>
          <w:sz w:val="24"/>
          <w:szCs w:val="24"/>
          <w:spacing w:val="-4"/>
        </w:rPr>
        <w:t>0.5m</w:t>
      </w:r>
      <w:r>
        <w:rPr>
          <w:rFonts w:ascii="SimSun" w:hAnsi="SimSun" w:eastAsia="SimSun" w:cs="SimSun"/>
          <w:sz w:val="24"/>
          <w:szCs w:val="24"/>
          <w:spacing w:val="-4"/>
        </w:rPr>
        <w:t>，将该</w:t>
      </w:r>
      <w:r>
        <w:rPr>
          <w:rFonts w:ascii="SimSun" w:hAnsi="SimSun" w:eastAsia="SimSun" w:cs="SimSun"/>
          <w:sz w:val="24"/>
          <w:szCs w:val="24"/>
          <w:spacing w:val="-2"/>
        </w:rPr>
        <w:t>部分表土剥离堆存用于后期植被重建工作。表土经过扰动堆放后肥力损失严重，须采取</w:t>
      </w:r>
      <w:r>
        <w:rPr>
          <w:rFonts w:ascii="SimSun" w:hAnsi="SimSun" w:eastAsia="SimSun" w:cs="SimSun"/>
          <w:sz w:val="24"/>
          <w:szCs w:val="24"/>
          <w:spacing w:val="-1"/>
        </w:rPr>
        <w:t>一定的措施进行土壤改良与培肥。</w:t>
      </w:r>
    </w:p>
    <w:p>
      <w:pPr>
        <w:ind w:left="9" w:right="72" w:firstLine="427"/>
        <w:spacing w:before="2" w:line="338" w:lineRule="auto"/>
        <w:jc w:val="both"/>
        <w:rPr>
          <w:rFonts w:ascii="SimSun" w:hAnsi="SimSun" w:eastAsia="SimSun" w:cs="SimSun"/>
          <w:sz w:val="24"/>
          <w:szCs w:val="24"/>
        </w:rPr>
      </w:pPr>
      <w:r>
        <w:rPr>
          <w:rFonts w:ascii="SimSun" w:hAnsi="SimSun" w:eastAsia="SimSun" w:cs="SimSun"/>
          <w:sz w:val="24"/>
          <w:szCs w:val="24"/>
        </w:rPr>
        <w:t>根据项目区的特点，设计采用绿肥培肥措施改良土壤。绿肥是一</w:t>
      </w:r>
      <w:r>
        <w:rPr>
          <w:rFonts w:ascii="SimSun" w:hAnsi="SimSun" w:eastAsia="SimSun" w:cs="SimSun"/>
          <w:sz w:val="24"/>
          <w:szCs w:val="24"/>
          <w:spacing w:val="-1"/>
        </w:rPr>
        <w:t>种养分完全的生物</w:t>
      </w:r>
      <w:r>
        <w:rPr>
          <w:rFonts w:ascii="SimSun" w:hAnsi="SimSun" w:eastAsia="SimSun" w:cs="SimSun"/>
          <w:sz w:val="24"/>
          <w:szCs w:val="24"/>
          <w:spacing w:val="-2"/>
        </w:rPr>
        <w:t>肥源。其具有能够为农作物提供养分、减少养分损失、增加土壤有机质，改善土壤的物</w:t>
      </w:r>
      <w:r>
        <w:rPr>
          <w:rFonts w:ascii="SimSun" w:hAnsi="SimSun" w:eastAsia="SimSun" w:cs="SimSun"/>
          <w:sz w:val="24"/>
          <w:szCs w:val="24"/>
          <w:spacing w:val="-2"/>
        </w:rPr>
        <w:t>理性状，提高土壤保水、保肥和供肥能力等多重作用。绿肥植物种应选择在当地具有广</w:t>
      </w:r>
      <w:r>
        <w:rPr>
          <w:rFonts w:ascii="SimSun" w:hAnsi="SimSun" w:eastAsia="SimSun" w:cs="SimSun"/>
          <w:sz w:val="24"/>
          <w:szCs w:val="24"/>
          <w:spacing w:val="-2"/>
        </w:rPr>
        <w:t>泛种植历史、适生能力强、能够有效改善土壤环境的品种，种植后进行适当的管护，生</w:t>
      </w:r>
      <w:r>
        <w:rPr>
          <w:rFonts w:ascii="SimSun" w:hAnsi="SimSun" w:eastAsia="SimSun" w:cs="SimSun"/>
          <w:sz w:val="24"/>
          <w:szCs w:val="24"/>
          <w:spacing w:val="-1"/>
        </w:rPr>
        <w:t>长两年后将牧草茎叶及根整体翻入土中，增加土壤肥力，为最终复垦</w:t>
      </w:r>
      <w:r>
        <w:rPr>
          <w:rFonts w:ascii="SimSun" w:hAnsi="SimSun" w:eastAsia="SimSun" w:cs="SimSun"/>
          <w:sz w:val="24"/>
          <w:szCs w:val="24"/>
          <w:spacing w:val="-2"/>
        </w:rPr>
        <w:t>为耕地打好基础。</w:t>
      </w:r>
    </w:p>
    <w:p>
      <w:pPr>
        <w:ind w:left="434"/>
        <w:spacing w:line="217" w:lineRule="auto"/>
        <w:rPr>
          <w:rFonts w:ascii="SimSun" w:hAnsi="SimSun" w:eastAsia="SimSun" w:cs="SimSun"/>
          <w:sz w:val="24"/>
          <w:szCs w:val="24"/>
        </w:rPr>
      </w:pPr>
      <w:r>
        <w:rPr>
          <w:rFonts w:ascii="SimSun" w:hAnsi="SimSun" w:eastAsia="SimSun" w:cs="SimSun"/>
          <w:sz w:val="24"/>
          <w:szCs w:val="24"/>
          <w:spacing w:val="-2"/>
        </w:rPr>
        <w:t>③植被重建</w:t>
      </w:r>
    </w:p>
    <w:p>
      <w:pPr>
        <w:ind w:left="11" w:firstLine="424"/>
        <w:spacing w:before="159" w:line="340" w:lineRule="auto"/>
        <w:rPr>
          <w:rFonts w:ascii="SimSun" w:hAnsi="SimSun" w:eastAsia="SimSun" w:cs="SimSun"/>
          <w:sz w:val="24"/>
          <w:szCs w:val="24"/>
        </w:rPr>
      </w:pPr>
      <w:r>
        <w:rPr>
          <w:rFonts w:ascii="SimSun" w:hAnsi="SimSun" w:eastAsia="SimSun" w:cs="SimSun"/>
          <w:sz w:val="24"/>
          <w:szCs w:val="24"/>
        </w:rPr>
        <w:t>矿区的植被重建是相对复杂、长期的过程，需要根据不同时期的</w:t>
      </w:r>
      <w:r>
        <w:rPr>
          <w:rFonts w:ascii="SimSun" w:hAnsi="SimSun" w:eastAsia="SimSun" w:cs="SimSun"/>
          <w:sz w:val="24"/>
          <w:szCs w:val="24"/>
          <w:spacing w:val="-1"/>
        </w:rPr>
        <w:t>条件来选择不同的</w:t>
      </w:r>
      <w:r>
        <w:rPr>
          <w:rFonts w:ascii="SimSun" w:hAnsi="SimSun" w:eastAsia="SimSun" w:cs="SimSun"/>
          <w:sz w:val="24"/>
          <w:szCs w:val="24"/>
          <w:spacing w:val="-6"/>
        </w:rPr>
        <w:t>生物措施。在恢复、重建植被时，按乔灌草结合的原则、先治坡后治台、先南坡后北坡、</w:t>
      </w:r>
    </w:p>
    <w:p>
      <w:pPr>
        <w:spacing w:line="340" w:lineRule="auto"/>
        <w:sectPr>
          <w:headerReference w:type="default" r:id="rId6"/>
          <w:footerReference w:type="default" r:id="rId589"/>
          <w:pgSz w:w="11906" w:h="16838"/>
          <w:pgMar w:top="1170" w:right="1332" w:bottom="725" w:left="1416" w:header="837" w:footer="562" w:gutter="0"/>
        </w:sectPr>
        <w:rPr>
          <w:rFonts w:ascii="SimSun" w:hAnsi="SimSun" w:eastAsia="SimSun" w:cs="SimSun"/>
          <w:sz w:val="24"/>
          <w:szCs w:val="24"/>
        </w:rPr>
      </w:pPr>
    </w:p>
    <w:p>
      <w:pPr>
        <w:pStyle w:val="BodyText"/>
        <w:spacing w:line="311" w:lineRule="auto"/>
        <w:rPr/>
      </w:pPr>
      <w:r/>
    </w:p>
    <w:p>
      <w:pPr>
        <w:ind w:left="33" w:hanging="19"/>
        <w:spacing w:before="78" w:line="339" w:lineRule="auto"/>
        <w:rPr>
          <w:rFonts w:ascii="SimSun" w:hAnsi="SimSun" w:eastAsia="SimSun" w:cs="SimSun"/>
          <w:sz w:val="24"/>
          <w:szCs w:val="24"/>
        </w:rPr>
      </w:pPr>
      <w:r>
        <w:rPr>
          <w:rFonts w:ascii="SimSun" w:hAnsi="SimSun" w:eastAsia="SimSun" w:cs="SimSun"/>
          <w:sz w:val="24"/>
          <w:szCs w:val="24"/>
          <w:spacing w:val="-2"/>
        </w:rPr>
        <w:t>先覆土后建立人工植被的方法进行。边坡植被沿等高线布置，平台植被根据最终用地方</w:t>
      </w:r>
      <w:r>
        <w:rPr>
          <w:rFonts w:ascii="SimSun" w:hAnsi="SimSun" w:eastAsia="SimSun" w:cs="SimSun"/>
          <w:sz w:val="24"/>
          <w:szCs w:val="24"/>
          <w:spacing w:val="-4"/>
        </w:rPr>
        <w:t>向选择多种配置模式。</w:t>
      </w:r>
    </w:p>
    <w:p>
      <w:pPr>
        <w:ind w:left="434"/>
        <w:spacing w:line="217" w:lineRule="auto"/>
        <w:rPr>
          <w:rFonts w:ascii="SimSun" w:hAnsi="SimSun" w:eastAsia="SimSun" w:cs="SimSun"/>
          <w:sz w:val="24"/>
          <w:szCs w:val="24"/>
        </w:rPr>
      </w:pPr>
      <w:r>
        <w:rPr>
          <w:rFonts w:ascii="SimSun" w:hAnsi="SimSun" w:eastAsia="SimSun" w:cs="SimSun"/>
          <w:sz w:val="24"/>
          <w:szCs w:val="24"/>
          <w:spacing w:val="-2"/>
        </w:rPr>
        <w:t>④生态修复</w:t>
      </w:r>
    </w:p>
    <w:p>
      <w:pPr>
        <w:ind w:left="8" w:firstLine="427"/>
        <w:spacing w:before="157" w:line="340" w:lineRule="auto"/>
        <w:rPr>
          <w:rFonts w:ascii="SimSun" w:hAnsi="SimSun" w:eastAsia="SimSun" w:cs="SimSun"/>
          <w:sz w:val="24"/>
          <w:szCs w:val="24"/>
        </w:rPr>
      </w:pPr>
      <w:r>
        <w:rPr>
          <w:rFonts w:ascii="SimSun" w:hAnsi="SimSun" w:eastAsia="SimSun" w:cs="SimSun"/>
          <w:sz w:val="24"/>
          <w:szCs w:val="24"/>
        </w:rPr>
        <w:t>遵循自然界群落演替规律并进行人为干预，进行矿区生态修复，</w:t>
      </w:r>
      <w:r>
        <w:rPr>
          <w:rFonts w:ascii="SimSun" w:hAnsi="SimSun" w:eastAsia="SimSun" w:cs="SimSun"/>
          <w:sz w:val="24"/>
          <w:szCs w:val="24"/>
          <w:spacing w:val="-1"/>
        </w:rPr>
        <w:t>调制群落演替、加</w:t>
      </w:r>
      <w:r>
        <w:rPr>
          <w:rFonts w:ascii="SimSun" w:hAnsi="SimSun" w:eastAsia="SimSun" w:cs="SimSun"/>
          <w:sz w:val="24"/>
          <w:szCs w:val="24"/>
          <w:spacing w:val="-2"/>
        </w:rPr>
        <w:t>速群落演替时间、改变演替方向，从而加快矿区及周边生态系统的稳定。生态修复最本</w:t>
      </w:r>
      <w:r>
        <w:rPr>
          <w:rFonts w:ascii="SimSun" w:hAnsi="SimSun" w:eastAsia="SimSun" w:cs="SimSun"/>
          <w:sz w:val="24"/>
          <w:szCs w:val="24"/>
          <w:spacing w:val="-1"/>
        </w:rPr>
        <w:t>质的就是恢复系统的必要功能并达到系统自维护状态。</w:t>
      </w:r>
    </w:p>
    <w:p>
      <w:pPr>
        <w:ind w:left="19"/>
        <w:spacing w:before="68" w:line="222" w:lineRule="auto"/>
        <w:outlineLvl w:val="1"/>
        <w:rPr>
          <w:rFonts w:ascii="SimHei" w:hAnsi="SimHei" w:eastAsia="SimHei" w:cs="SimHei"/>
          <w:sz w:val="30"/>
          <w:szCs w:val="30"/>
        </w:rPr>
      </w:pPr>
      <w:bookmarkStart w:name="bookmark73" w:id="124"/>
      <w:bookmarkEnd w:id="124"/>
      <w:r>
        <w:rPr>
          <w:rFonts w:ascii="Times New Roman" w:hAnsi="Times New Roman" w:eastAsia="Times New Roman" w:cs="Times New Roman"/>
          <w:sz w:val="30"/>
          <w:szCs w:val="30"/>
          <w:b/>
          <w:bCs/>
          <w:spacing w:val="-4"/>
        </w:rPr>
        <w:t>11.5 </w:t>
      </w:r>
      <w:r>
        <w:rPr>
          <w:rFonts w:ascii="SimHei" w:hAnsi="SimHei" w:eastAsia="SimHei" w:cs="SimHei"/>
          <w:sz w:val="30"/>
          <w:szCs w:val="30"/>
          <w:b/>
          <w:bCs/>
          <w:spacing w:val="-4"/>
        </w:rPr>
        <w:t>环境影响经济损益分析</w:t>
      </w:r>
    </w:p>
    <w:p>
      <w:pPr>
        <w:ind w:left="8" w:firstLine="481"/>
        <w:spacing w:before="163" w:line="340" w:lineRule="auto"/>
        <w:jc w:val="both"/>
        <w:rPr>
          <w:rFonts w:ascii="SimSun" w:hAnsi="SimSun" w:eastAsia="SimSun" w:cs="SimSun"/>
          <w:sz w:val="24"/>
          <w:szCs w:val="24"/>
        </w:rPr>
      </w:pPr>
      <w:r>
        <w:rPr>
          <w:rFonts w:ascii="SimSun" w:hAnsi="SimSun" w:eastAsia="SimSun" w:cs="SimSun"/>
          <w:sz w:val="24"/>
          <w:szCs w:val="24"/>
          <w:spacing w:val="-2"/>
        </w:rPr>
        <w:t>本项目建成后，经济及社会效益明显，在采取了本环评报告要求的污染防治和生态</w:t>
      </w:r>
      <w:r>
        <w:rPr>
          <w:rFonts w:ascii="SimSun" w:hAnsi="SimSun" w:eastAsia="SimSun" w:cs="SimSun"/>
          <w:sz w:val="24"/>
          <w:szCs w:val="24"/>
          <w:spacing w:val="-2"/>
        </w:rPr>
        <w:t>保护措施后，项目区的水环境、大气环境、声环境和生态环境总体维持在原有水平。实</w:t>
      </w:r>
      <w:r>
        <w:rPr>
          <w:rFonts w:ascii="SimSun" w:hAnsi="SimSun" w:eastAsia="SimSun" w:cs="SimSun"/>
          <w:sz w:val="24"/>
          <w:szCs w:val="24"/>
          <w:spacing w:val="-2"/>
        </w:rPr>
        <w:t>现环境效益、社会效益、经济效益及资源效益的协调发展，使矿山的负面影响减小到最</w:t>
      </w:r>
      <w:r>
        <w:rPr>
          <w:rFonts w:ascii="SimSun" w:hAnsi="SimSun" w:eastAsia="SimSun" w:cs="SimSun"/>
          <w:sz w:val="24"/>
          <w:szCs w:val="24"/>
          <w:spacing w:val="-5"/>
        </w:rPr>
        <w:t>低。</w:t>
      </w:r>
    </w:p>
    <w:p>
      <w:pPr>
        <w:ind w:left="19"/>
        <w:spacing w:before="70" w:line="223" w:lineRule="auto"/>
        <w:outlineLvl w:val="1"/>
        <w:rPr>
          <w:rFonts w:ascii="SimHei" w:hAnsi="SimHei" w:eastAsia="SimHei" w:cs="SimHei"/>
          <w:sz w:val="30"/>
          <w:szCs w:val="30"/>
        </w:rPr>
      </w:pPr>
      <w:bookmarkStart w:name="bookmark74" w:id="125"/>
      <w:bookmarkEnd w:id="125"/>
      <w:r>
        <w:rPr>
          <w:rFonts w:ascii="Times New Roman" w:hAnsi="Times New Roman" w:eastAsia="Times New Roman" w:cs="Times New Roman"/>
          <w:sz w:val="30"/>
          <w:szCs w:val="30"/>
          <w:b/>
          <w:bCs/>
          <w:spacing w:val="-8"/>
        </w:rPr>
        <w:t>11.6</w:t>
      </w:r>
      <w:r>
        <w:rPr>
          <w:rFonts w:ascii="Times New Roman" w:hAnsi="Times New Roman" w:eastAsia="Times New Roman" w:cs="Times New Roman"/>
          <w:sz w:val="30"/>
          <w:szCs w:val="30"/>
          <w:b/>
          <w:bCs/>
          <w:spacing w:val="18"/>
        </w:rPr>
        <w:t xml:space="preserve"> </w:t>
      </w:r>
      <w:r>
        <w:rPr>
          <w:rFonts w:ascii="SimHei" w:hAnsi="SimHei" w:eastAsia="SimHei" w:cs="SimHei"/>
          <w:sz w:val="30"/>
          <w:szCs w:val="30"/>
          <w:b/>
          <w:bCs/>
          <w:spacing w:val="-8"/>
        </w:rPr>
        <w:t>公众参与</w:t>
      </w:r>
    </w:p>
    <w:p>
      <w:pPr>
        <w:ind w:left="492"/>
        <w:spacing w:before="159" w:line="218" w:lineRule="auto"/>
        <w:rPr>
          <w:rFonts w:ascii="SimSun" w:hAnsi="SimSun" w:eastAsia="SimSun" w:cs="SimSun"/>
          <w:sz w:val="24"/>
          <w:szCs w:val="24"/>
        </w:rPr>
      </w:pPr>
      <w:r>
        <w:rPr>
          <w:rFonts w:ascii="SimSun" w:hAnsi="SimSun" w:eastAsia="SimSun" w:cs="SimSun"/>
          <w:sz w:val="24"/>
          <w:szCs w:val="24"/>
          <w:color w:val="0C0C0C"/>
          <w:spacing w:val="-1"/>
        </w:rPr>
        <w:t>建设单位采取网络公示、报纸公示、张贴公告等方式开展了公众参与。</w:t>
      </w:r>
    </w:p>
    <w:p>
      <w:pPr>
        <w:ind w:left="495"/>
        <w:spacing w:before="158" w:line="219" w:lineRule="auto"/>
        <w:rPr>
          <w:rFonts w:ascii="SimSun" w:hAnsi="SimSun" w:eastAsia="SimSun" w:cs="SimSun"/>
          <w:sz w:val="24"/>
          <w:szCs w:val="24"/>
        </w:rPr>
      </w:pPr>
      <w:r>
        <w:rPr>
          <w:rFonts w:ascii="SimSun" w:hAnsi="SimSun" w:eastAsia="SimSun" w:cs="SimSun"/>
          <w:sz w:val="24"/>
          <w:szCs w:val="24"/>
          <w:color w:val="0C0C0C"/>
          <w:spacing w:val="-5"/>
        </w:rPr>
        <w:t>（1）</w:t>
      </w:r>
      <w:r>
        <w:rPr>
          <w:rFonts w:ascii="SimSun" w:hAnsi="SimSun" w:eastAsia="SimSun" w:cs="SimSun"/>
          <w:sz w:val="24"/>
          <w:szCs w:val="24"/>
          <w:spacing w:val="-5"/>
        </w:rPr>
        <w:t>建设单位于</w:t>
      </w:r>
      <w:r>
        <w:rPr>
          <w:rFonts w:ascii="SimSun" w:hAnsi="SimSun" w:eastAsia="SimSun" w:cs="SimSun"/>
          <w:sz w:val="24"/>
          <w:szCs w:val="24"/>
          <w:spacing w:val="-45"/>
        </w:rPr>
        <w:t xml:space="preserve"> </w:t>
      </w:r>
      <w:r>
        <w:rPr>
          <w:rFonts w:ascii="Times New Roman" w:hAnsi="Times New Roman" w:eastAsia="Times New Roman" w:cs="Times New Roman"/>
          <w:sz w:val="24"/>
          <w:szCs w:val="24"/>
          <w:spacing w:val="-5"/>
        </w:rPr>
        <w:t>2025 </w:t>
      </w:r>
      <w:r>
        <w:rPr>
          <w:rFonts w:ascii="SimSun" w:hAnsi="SimSun" w:eastAsia="SimSun" w:cs="SimSun"/>
          <w:sz w:val="24"/>
          <w:szCs w:val="24"/>
          <w:spacing w:val="-5"/>
        </w:rPr>
        <w:t>年</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5"/>
        </w:rPr>
        <w:t>3</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5"/>
        </w:rPr>
        <w:t>月</w:t>
      </w:r>
      <w:r>
        <w:rPr>
          <w:rFonts w:ascii="SimSun" w:hAnsi="SimSun" w:eastAsia="SimSun" w:cs="SimSun"/>
          <w:sz w:val="24"/>
          <w:szCs w:val="24"/>
          <w:spacing w:val="-32"/>
        </w:rPr>
        <w:t xml:space="preserve"> </w:t>
      </w:r>
      <w:r>
        <w:rPr>
          <w:rFonts w:ascii="Times New Roman" w:hAnsi="Times New Roman" w:eastAsia="Times New Roman" w:cs="Times New Roman"/>
          <w:sz w:val="24"/>
          <w:szCs w:val="24"/>
          <w:spacing w:val="-5"/>
        </w:rPr>
        <w:t>19  </w:t>
      </w:r>
      <w:r>
        <w:rPr>
          <w:rFonts w:ascii="SimSun" w:hAnsi="SimSun" w:eastAsia="SimSun" w:cs="SimSun"/>
          <w:sz w:val="24"/>
          <w:szCs w:val="24"/>
          <w:spacing w:val="-5"/>
        </w:rPr>
        <w:t>日在白音华海州之家</w:t>
      </w:r>
    </w:p>
    <w:p>
      <w:pPr>
        <w:ind w:left="10" w:firstLine="5"/>
        <w:spacing w:before="157" w:line="338" w:lineRule="auto"/>
        <w:rPr>
          <w:rFonts w:ascii="SimSun" w:hAnsi="SimSun" w:eastAsia="SimSun" w:cs="SimSun"/>
          <w:sz w:val="24"/>
          <w:szCs w:val="24"/>
        </w:rPr>
      </w:pPr>
      <w:r>
        <w:rPr>
          <w:rFonts w:ascii="SimSun" w:hAnsi="SimSun" w:eastAsia="SimSun" w:cs="SimSun"/>
          <w:sz w:val="24"/>
          <w:szCs w:val="24"/>
        </w:rPr>
        <w:t>（</w:t>
      </w:r>
      <w:hyperlink w:history="true" r:id="rId591">
        <w:r>
          <w:rPr>
            <w:rFonts w:ascii="Times New Roman" w:hAnsi="Times New Roman" w:eastAsia="Times New Roman" w:cs="Times New Roman"/>
            <w:sz w:val="24"/>
            <w:szCs w:val="24"/>
            <w:u w:val="single" w:color="auto"/>
          </w:rPr>
          <w:t>https://mp.weixin.qq.com/s/O1TVKMG9xnqz_P7whlo</w:t>
        </w:r>
        <w:r>
          <w:rPr>
            <w:rFonts w:ascii="Times New Roman" w:hAnsi="Times New Roman" w:eastAsia="Times New Roman" w:cs="Times New Roman"/>
            <w:sz w:val="24"/>
            <w:szCs w:val="24"/>
            <w:u w:val="single" w:color="auto"/>
            <w:spacing w:val="-1"/>
          </w:rPr>
          <w:t>Ejw</w:t>
        </w:r>
      </w:hyperlink>
      <w:r>
        <w:rPr>
          <w:rFonts w:ascii="SimSun" w:hAnsi="SimSun" w:eastAsia="SimSun" w:cs="SimSun"/>
          <w:sz w:val="24"/>
          <w:szCs w:val="24"/>
          <w:spacing w:val="-1"/>
        </w:rPr>
        <w:t>）发布了《西乌珠穆沁旗白音</w:t>
      </w:r>
      <w:r>
        <w:rPr>
          <w:rFonts w:ascii="SimSun" w:hAnsi="SimSun" w:eastAsia="SimSun" w:cs="SimSun"/>
          <w:sz w:val="24"/>
          <w:szCs w:val="24"/>
          <w:spacing w:val="-2"/>
        </w:rPr>
        <w:t>华煤田四号露天矿改建项目（优化调整开采范围及地面输煤系统改建）建设项目环境影</w:t>
      </w:r>
      <w:r>
        <w:rPr>
          <w:rFonts w:ascii="SimSun" w:hAnsi="SimSun" w:eastAsia="SimSun" w:cs="SimSun"/>
          <w:sz w:val="24"/>
          <w:szCs w:val="24"/>
          <w:spacing w:val="-2"/>
        </w:rPr>
        <w:t>响评价第一次公众参与公示》，</w:t>
      </w:r>
      <w:r>
        <w:rPr>
          <w:rFonts w:ascii="SimSun" w:hAnsi="SimSun" w:eastAsia="SimSun" w:cs="SimSun"/>
          <w:sz w:val="24"/>
          <w:szCs w:val="24"/>
          <w:color w:val="0C0C0C"/>
          <w:spacing w:val="-2"/>
        </w:rPr>
        <w:t>在信息公告期间，当地群众给予了广泛关注，提出的意</w:t>
      </w:r>
      <w:r>
        <w:rPr>
          <w:rFonts w:ascii="SimSun" w:hAnsi="SimSun" w:eastAsia="SimSun" w:cs="SimSun"/>
          <w:sz w:val="24"/>
          <w:szCs w:val="24"/>
          <w:color w:val="0C0C0C"/>
          <w:spacing w:val="-2"/>
        </w:rPr>
        <w:t>见及建议如下：</w:t>
      </w:r>
    </w:p>
    <w:p>
      <w:pPr>
        <w:spacing w:line="338" w:lineRule="auto"/>
        <w:sectPr>
          <w:headerReference w:type="default" r:id="rId79"/>
          <w:footerReference w:type="default" r:id="rId590"/>
          <w:pgSz w:w="11906" w:h="16838"/>
          <w:pgMar w:top="1170" w:right="1417" w:bottom="725" w:left="1416" w:header="837" w:footer="562" w:gutter="0"/>
        </w:sectPr>
        <w:rPr>
          <w:rFonts w:ascii="SimSun" w:hAnsi="SimSun" w:eastAsia="SimSun" w:cs="SimSun"/>
          <w:sz w:val="24"/>
          <w:szCs w:val="24"/>
        </w:rPr>
      </w:pPr>
    </w:p>
    <w:p>
      <w:pPr>
        <w:pStyle w:val="BodyText"/>
        <w:spacing w:line="244" w:lineRule="auto"/>
        <w:rPr/>
      </w:pPr>
      <w:r/>
    </w:p>
    <w:p>
      <w:pPr>
        <w:ind w:firstLine="480"/>
        <w:spacing w:line="8191" w:lineRule="exact"/>
        <w:rPr/>
      </w:pPr>
      <w:r>
        <w:rPr>
          <w:position w:val="-163"/>
        </w:rPr>
        <w:drawing>
          <wp:inline distT="0" distB="0" distL="0" distR="0">
            <wp:extent cx="5457444" cy="5201412"/>
            <wp:effectExtent l="0" t="0" r="0" b="0"/>
            <wp:docPr id="356" name="IM 356"/>
            <wp:cNvGraphicFramePr/>
            <a:graphic>
              <a:graphicData uri="http://schemas.openxmlformats.org/drawingml/2006/picture">
                <pic:pic>
                  <pic:nvPicPr>
                    <pic:cNvPr id="356" name="IM 356"/>
                    <pic:cNvPicPr/>
                  </pic:nvPicPr>
                  <pic:blipFill>
                    <a:blip r:embed="rId594"/>
                    <a:stretch>
                      <a:fillRect/>
                    </a:stretch>
                  </pic:blipFill>
                  <pic:spPr>
                    <a:xfrm rot="0">
                      <a:off x="0" y="0"/>
                      <a:ext cx="5457444" cy="5201412"/>
                    </a:xfrm>
                    <a:prstGeom prst="rect">
                      <a:avLst/>
                    </a:prstGeom>
                  </pic:spPr>
                </pic:pic>
              </a:graphicData>
            </a:graphic>
          </wp:inline>
        </w:drawing>
      </w:r>
    </w:p>
    <w:p>
      <w:pPr>
        <w:ind w:left="3431"/>
        <w:spacing w:before="283" w:line="221" w:lineRule="auto"/>
        <w:rPr>
          <w:rFonts w:ascii="SimHei" w:hAnsi="SimHei" w:eastAsia="SimHei" w:cs="SimHei"/>
          <w:sz w:val="24"/>
          <w:szCs w:val="24"/>
        </w:rPr>
      </w:pPr>
      <w:r>
        <w:rPr>
          <w:rFonts w:ascii="SimHei" w:hAnsi="SimHei" w:eastAsia="SimHei" w:cs="SimHei"/>
          <w:sz w:val="24"/>
          <w:szCs w:val="24"/>
          <w:spacing w:val="-5"/>
        </w:rPr>
        <w:t>图</w:t>
      </w:r>
      <w:r>
        <w:rPr>
          <w:rFonts w:ascii="SimHei" w:hAnsi="SimHei" w:eastAsia="SimHei" w:cs="SimHei"/>
          <w:sz w:val="24"/>
          <w:szCs w:val="24"/>
          <w:spacing w:val="-43"/>
        </w:rPr>
        <w:t xml:space="preserve"> </w:t>
      </w:r>
      <w:r>
        <w:rPr>
          <w:rFonts w:ascii="Times New Roman" w:hAnsi="Times New Roman" w:eastAsia="Times New Roman" w:cs="Times New Roman"/>
          <w:sz w:val="24"/>
          <w:szCs w:val="24"/>
          <w:spacing w:val="-5"/>
        </w:rPr>
        <w:t>2-2-3    </w:t>
      </w:r>
      <w:r>
        <w:rPr>
          <w:rFonts w:ascii="SimHei" w:hAnsi="SimHei" w:eastAsia="SimHei" w:cs="SimHei"/>
          <w:sz w:val="24"/>
          <w:szCs w:val="24"/>
          <w:spacing w:val="-5"/>
        </w:rPr>
        <w:t>居民</w:t>
      </w:r>
      <w:r>
        <w:rPr>
          <w:rFonts w:ascii="SimHei" w:hAnsi="SimHei" w:eastAsia="SimHei" w:cs="SimHei"/>
          <w:sz w:val="24"/>
          <w:szCs w:val="24"/>
          <w:spacing w:val="-32"/>
        </w:rPr>
        <w:t xml:space="preserve"> </w:t>
      </w:r>
      <w:r>
        <w:rPr>
          <w:rFonts w:ascii="Times New Roman" w:hAnsi="Times New Roman" w:eastAsia="Times New Roman" w:cs="Times New Roman"/>
          <w:sz w:val="24"/>
          <w:szCs w:val="24"/>
          <w:spacing w:val="-5"/>
        </w:rPr>
        <w:t>1</w:t>
      </w:r>
      <w:r>
        <w:rPr>
          <w:rFonts w:ascii="Times New Roman" w:hAnsi="Times New Roman" w:eastAsia="Times New Roman" w:cs="Times New Roman"/>
          <w:sz w:val="24"/>
          <w:szCs w:val="24"/>
          <w:spacing w:val="11"/>
        </w:rPr>
        <w:t xml:space="preserve"> </w:t>
      </w:r>
      <w:r>
        <w:rPr>
          <w:rFonts w:ascii="SimHei" w:hAnsi="SimHei" w:eastAsia="SimHei" w:cs="SimHei"/>
          <w:sz w:val="24"/>
          <w:szCs w:val="24"/>
          <w:spacing w:val="-5"/>
        </w:rPr>
        <w:t>反馈意见</w:t>
      </w:r>
    </w:p>
    <w:p>
      <w:pPr>
        <w:spacing w:line="221" w:lineRule="auto"/>
        <w:sectPr>
          <w:headerReference w:type="default" r:id="rId592"/>
          <w:footerReference w:type="default" r:id="rId593"/>
          <w:pgSz w:w="11906" w:h="16838"/>
          <w:pgMar w:top="1170" w:right="1415" w:bottom="725" w:left="1416" w:header="837" w:footer="562" w:gutter="0"/>
        </w:sectPr>
        <w:rPr>
          <w:rFonts w:ascii="SimHei" w:hAnsi="SimHei" w:eastAsia="SimHei" w:cs="SimHei"/>
          <w:sz w:val="24"/>
          <w:szCs w:val="24"/>
        </w:rPr>
      </w:pPr>
    </w:p>
    <w:p>
      <w:pPr>
        <w:pStyle w:val="BodyText"/>
        <w:spacing w:line="244" w:lineRule="auto"/>
        <w:rPr/>
      </w:pPr>
      <w:r/>
    </w:p>
    <w:p>
      <w:pPr>
        <w:ind w:firstLine="955"/>
        <w:spacing w:line="9357" w:lineRule="exact"/>
        <w:rPr/>
      </w:pPr>
      <w:r>
        <w:rPr>
          <w:position w:val="-187"/>
        </w:rPr>
        <w:drawing>
          <wp:inline distT="0" distB="0" distL="0" distR="0">
            <wp:extent cx="4841748" cy="5942075"/>
            <wp:effectExtent l="0" t="0" r="0" b="0"/>
            <wp:docPr id="358" name="IM 358"/>
            <wp:cNvGraphicFramePr/>
            <a:graphic>
              <a:graphicData uri="http://schemas.openxmlformats.org/drawingml/2006/picture">
                <pic:pic>
                  <pic:nvPicPr>
                    <pic:cNvPr id="358" name="IM 358"/>
                    <pic:cNvPicPr/>
                  </pic:nvPicPr>
                  <pic:blipFill>
                    <a:blip r:embed="rId596"/>
                    <a:stretch>
                      <a:fillRect/>
                    </a:stretch>
                  </pic:blipFill>
                  <pic:spPr>
                    <a:xfrm rot="0">
                      <a:off x="0" y="0"/>
                      <a:ext cx="4841748" cy="5942075"/>
                    </a:xfrm>
                    <a:prstGeom prst="rect">
                      <a:avLst/>
                    </a:prstGeom>
                  </pic:spPr>
                </pic:pic>
              </a:graphicData>
            </a:graphic>
          </wp:inline>
        </w:drawing>
      </w:r>
    </w:p>
    <w:p>
      <w:pPr>
        <w:ind w:left="3136"/>
        <w:spacing w:before="276" w:line="221" w:lineRule="auto"/>
        <w:rPr>
          <w:rFonts w:ascii="SimHei" w:hAnsi="SimHei" w:eastAsia="SimHei" w:cs="SimHei"/>
          <w:sz w:val="24"/>
          <w:szCs w:val="24"/>
        </w:rPr>
      </w:pPr>
      <w:r>
        <w:rPr>
          <w:rFonts w:ascii="SimHei" w:hAnsi="SimHei" w:eastAsia="SimHei" w:cs="SimHei"/>
          <w:sz w:val="24"/>
          <w:szCs w:val="24"/>
          <w:spacing w:val="-3"/>
        </w:rPr>
        <w:t>图</w:t>
      </w:r>
      <w:r>
        <w:rPr>
          <w:rFonts w:ascii="SimHei" w:hAnsi="SimHei" w:eastAsia="SimHei" w:cs="SimHei"/>
          <w:sz w:val="24"/>
          <w:szCs w:val="24"/>
          <w:spacing w:val="-41"/>
        </w:rPr>
        <w:t xml:space="preserve"> </w:t>
      </w:r>
      <w:r>
        <w:rPr>
          <w:rFonts w:ascii="Times New Roman" w:hAnsi="Times New Roman" w:eastAsia="Times New Roman" w:cs="Times New Roman"/>
          <w:sz w:val="24"/>
          <w:szCs w:val="24"/>
          <w:spacing w:val="-3"/>
        </w:rPr>
        <w:t>2-2-4    </w:t>
      </w:r>
      <w:r>
        <w:rPr>
          <w:rFonts w:ascii="SimHei" w:hAnsi="SimHei" w:eastAsia="SimHei" w:cs="SimHei"/>
          <w:sz w:val="24"/>
          <w:szCs w:val="24"/>
          <w:spacing w:val="-3"/>
        </w:rPr>
        <w:t>居民</w:t>
      </w:r>
      <w:r>
        <w:rPr>
          <w:rFonts w:ascii="SimHei" w:hAnsi="SimHei" w:eastAsia="SimHei" w:cs="SimHei"/>
          <w:sz w:val="24"/>
          <w:szCs w:val="24"/>
          <w:spacing w:val="-55"/>
        </w:rPr>
        <w:t xml:space="preserve"> </w:t>
      </w:r>
      <w:r>
        <w:rPr>
          <w:rFonts w:ascii="Times New Roman" w:hAnsi="Times New Roman" w:eastAsia="Times New Roman" w:cs="Times New Roman"/>
          <w:sz w:val="24"/>
          <w:szCs w:val="24"/>
          <w:spacing w:val="-3"/>
        </w:rPr>
        <w:t>2</w:t>
      </w:r>
      <w:r>
        <w:rPr>
          <w:rFonts w:ascii="Times New Roman" w:hAnsi="Times New Roman" w:eastAsia="Times New Roman" w:cs="Times New Roman"/>
          <w:sz w:val="24"/>
          <w:szCs w:val="24"/>
          <w:spacing w:val="12"/>
        </w:rPr>
        <w:t xml:space="preserve"> </w:t>
      </w:r>
      <w:r>
        <w:rPr>
          <w:rFonts w:ascii="SimHei" w:hAnsi="SimHei" w:eastAsia="SimHei" w:cs="SimHei"/>
          <w:sz w:val="24"/>
          <w:szCs w:val="24"/>
          <w:spacing w:val="-3"/>
        </w:rPr>
        <w:t>反馈意见（</w:t>
      </w:r>
      <w:r>
        <w:rPr>
          <w:rFonts w:ascii="Times New Roman" w:hAnsi="Times New Roman" w:eastAsia="Times New Roman" w:cs="Times New Roman"/>
          <w:sz w:val="24"/>
          <w:szCs w:val="24"/>
          <w:spacing w:val="-3"/>
        </w:rPr>
        <w:t>a</w:t>
      </w:r>
      <w:r>
        <w:rPr>
          <w:rFonts w:ascii="SimHei" w:hAnsi="SimHei" w:eastAsia="SimHei" w:cs="SimHei"/>
          <w:sz w:val="24"/>
          <w:szCs w:val="24"/>
          <w:spacing w:val="-3"/>
        </w:rPr>
        <w:t>）</w:t>
      </w:r>
    </w:p>
    <w:p>
      <w:pPr>
        <w:spacing w:line="221" w:lineRule="auto"/>
        <w:sectPr>
          <w:headerReference w:type="default" r:id="rId79"/>
          <w:footerReference w:type="default" r:id="rId595"/>
          <w:pgSz w:w="11906" w:h="16838"/>
          <w:pgMar w:top="1170" w:right="1417" w:bottom="725" w:left="1416" w:header="837" w:footer="562" w:gutter="0"/>
        </w:sectPr>
        <w:rPr>
          <w:rFonts w:ascii="SimHei" w:hAnsi="SimHei" w:eastAsia="SimHei" w:cs="SimHei"/>
          <w:sz w:val="24"/>
          <w:szCs w:val="24"/>
        </w:rPr>
      </w:pPr>
    </w:p>
    <w:p>
      <w:pPr>
        <w:pStyle w:val="BodyText"/>
        <w:spacing w:line="244" w:lineRule="auto"/>
        <w:rPr/>
      </w:pPr>
      <w:r/>
    </w:p>
    <w:p>
      <w:pPr>
        <w:ind w:firstLine="1065"/>
        <w:spacing w:line="9240" w:lineRule="exact"/>
        <w:rPr/>
      </w:pPr>
      <w:r>
        <w:rPr>
          <w:position w:val="-184"/>
        </w:rPr>
        <w:drawing>
          <wp:inline distT="0" distB="0" distL="0" distR="0">
            <wp:extent cx="4712207" cy="5867400"/>
            <wp:effectExtent l="0" t="0" r="0" b="0"/>
            <wp:docPr id="360" name="IM 360"/>
            <wp:cNvGraphicFramePr/>
            <a:graphic>
              <a:graphicData uri="http://schemas.openxmlformats.org/drawingml/2006/picture">
                <pic:pic>
                  <pic:nvPicPr>
                    <pic:cNvPr id="360" name="IM 360"/>
                    <pic:cNvPicPr/>
                  </pic:nvPicPr>
                  <pic:blipFill>
                    <a:blip r:embed="rId598"/>
                    <a:stretch>
                      <a:fillRect/>
                    </a:stretch>
                  </pic:blipFill>
                  <pic:spPr>
                    <a:xfrm rot="0">
                      <a:off x="0" y="0"/>
                      <a:ext cx="4712207" cy="5867400"/>
                    </a:xfrm>
                    <a:prstGeom prst="rect">
                      <a:avLst/>
                    </a:prstGeom>
                  </pic:spPr>
                </pic:pic>
              </a:graphicData>
            </a:graphic>
          </wp:inline>
        </w:drawing>
      </w:r>
    </w:p>
    <w:p>
      <w:pPr>
        <w:ind w:left="3131"/>
        <w:spacing w:before="273" w:line="221" w:lineRule="auto"/>
        <w:rPr>
          <w:rFonts w:ascii="SimHei" w:hAnsi="SimHei" w:eastAsia="SimHei" w:cs="SimHei"/>
          <w:sz w:val="24"/>
          <w:szCs w:val="24"/>
        </w:rPr>
      </w:pPr>
      <w:r>
        <w:rPr>
          <w:rFonts w:ascii="SimHei" w:hAnsi="SimHei" w:eastAsia="SimHei" w:cs="SimHei"/>
          <w:sz w:val="24"/>
          <w:szCs w:val="24"/>
          <w:spacing w:val="-2"/>
        </w:rPr>
        <w:t>图</w:t>
      </w:r>
      <w:r>
        <w:rPr>
          <w:rFonts w:ascii="SimHei" w:hAnsi="SimHei" w:eastAsia="SimHei" w:cs="SimHei"/>
          <w:sz w:val="24"/>
          <w:szCs w:val="24"/>
          <w:spacing w:val="-52"/>
        </w:rPr>
        <w:t xml:space="preserve"> </w:t>
      </w:r>
      <w:r>
        <w:rPr>
          <w:rFonts w:ascii="Times New Roman" w:hAnsi="Times New Roman" w:eastAsia="Times New Roman" w:cs="Times New Roman"/>
          <w:sz w:val="24"/>
          <w:szCs w:val="24"/>
          <w:spacing w:val="-2"/>
        </w:rPr>
        <w:t>2-2-5    </w:t>
      </w:r>
      <w:r>
        <w:rPr>
          <w:rFonts w:ascii="SimHei" w:hAnsi="SimHei" w:eastAsia="SimHei" w:cs="SimHei"/>
          <w:sz w:val="24"/>
          <w:szCs w:val="24"/>
          <w:spacing w:val="-2"/>
        </w:rPr>
        <w:t>居民</w:t>
      </w:r>
      <w:r>
        <w:rPr>
          <w:rFonts w:ascii="SimHei" w:hAnsi="SimHei" w:eastAsia="SimHei" w:cs="SimHei"/>
          <w:sz w:val="24"/>
          <w:szCs w:val="24"/>
          <w:spacing w:val="-55"/>
        </w:rPr>
        <w:t xml:space="preserve"> </w:t>
      </w:r>
      <w:r>
        <w:rPr>
          <w:rFonts w:ascii="Times New Roman" w:hAnsi="Times New Roman" w:eastAsia="Times New Roman" w:cs="Times New Roman"/>
          <w:sz w:val="24"/>
          <w:szCs w:val="24"/>
          <w:spacing w:val="-2"/>
        </w:rPr>
        <w:t>2 </w:t>
      </w:r>
      <w:r>
        <w:rPr>
          <w:rFonts w:ascii="SimHei" w:hAnsi="SimHei" w:eastAsia="SimHei" w:cs="SimHei"/>
          <w:sz w:val="24"/>
          <w:szCs w:val="24"/>
          <w:spacing w:val="-2"/>
        </w:rPr>
        <w:t>反馈意见（</w:t>
      </w:r>
      <w:r>
        <w:rPr>
          <w:rFonts w:ascii="Times New Roman" w:hAnsi="Times New Roman" w:eastAsia="Times New Roman" w:cs="Times New Roman"/>
          <w:sz w:val="24"/>
          <w:szCs w:val="24"/>
          <w:spacing w:val="-2"/>
        </w:rPr>
        <w:t>b</w:t>
      </w:r>
      <w:r>
        <w:rPr>
          <w:rFonts w:ascii="SimHei" w:hAnsi="SimHei" w:eastAsia="SimHei" w:cs="SimHei"/>
          <w:sz w:val="24"/>
          <w:szCs w:val="24"/>
          <w:spacing w:val="-2"/>
        </w:rPr>
        <w:t>）</w:t>
      </w:r>
    </w:p>
    <w:p>
      <w:pPr>
        <w:ind w:firstLine="480"/>
        <w:spacing w:before="39" w:line="722" w:lineRule="exact"/>
        <w:rPr/>
      </w:pPr>
      <w:r>
        <w:rPr>
          <w:position w:val="-14"/>
        </w:rPr>
        <w:drawing>
          <wp:inline distT="0" distB="0" distL="0" distR="0">
            <wp:extent cx="5452871" cy="458723"/>
            <wp:effectExtent l="0" t="0" r="0" b="0"/>
            <wp:docPr id="362" name="IM 362"/>
            <wp:cNvGraphicFramePr/>
            <a:graphic>
              <a:graphicData uri="http://schemas.openxmlformats.org/drawingml/2006/picture">
                <pic:pic>
                  <pic:nvPicPr>
                    <pic:cNvPr id="362" name="IM 362"/>
                    <pic:cNvPicPr/>
                  </pic:nvPicPr>
                  <pic:blipFill>
                    <a:blip r:embed="rId599"/>
                    <a:stretch>
                      <a:fillRect/>
                    </a:stretch>
                  </pic:blipFill>
                  <pic:spPr>
                    <a:xfrm rot="0">
                      <a:off x="0" y="0"/>
                      <a:ext cx="5452871" cy="458723"/>
                    </a:xfrm>
                    <a:prstGeom prst="rect">
                      <a:avLst/>
                    </a:prstGeom>
                  </pic:spPr>
                </pic:pic>
              </a:graphicData>
            </a:graphic>
          </wp:inline>
        </w:drawing>
      </w:r>
    </w:p>
    <w:p>
      <w:pPr>
        <w:ind w:left="3431"/>
        <w:spacing w:before="292" w:line="221" w:lineRule="auto"/>
        <w:rPr>
          <w:rFonts w:ascii="SimHei" w:hAnsi="SimHei" w:eastAsia="SimHei" w:cs="SimHei"/>
          <w:sz w:val="24"/>
          <w:szCs w:val="24"/>
        </w:rPr>
      </w:pPr>
      <w:r>
        <w:rPr>
          <w:rFonts w:ascii="SimHei" w:hAnsi="SimHei" w:eastAsia="SimHei" w:cs="SimHei"/>
          <w:sz w:val="24"/>
          <w:szCs w:val="24"/>
          <w:spacing w:val="-4"/>
        </w:rPr>
        <w:t>图</w:t>
      </w:r>
      <w:r>
        <w:rPr>
          <w:rFonts w:ascii="SimHei" w:hAnsi="SimHei" w:eastAsia="SimHei" w:cs="SimHei"/>
          <w:sz w:val="24"/>
          <w:szCs w:val="24"/>
          <w:spacing w:val="-42"/>
        </w:rPr>
        <w:t xml:space="preserve"> </w:t>
      </w:r>
      <w:r>
        <w:rPr>
          <w:rFonts w:ascii="Times New Roman" w:hAnsi="Times New Roman" w:eastAsia="Times New Roman" w:cs="Times New Roman"/>
          <w:sz w:val="24"/>
          <w:szCs w:val="24"/>
          <w:spacing w:val="-4"/>
        </w:rPr>
        <w:t>2-2-6    </w:t>
      </w:r>
      <w:r>
        <w:rPr>
          <w:rFonts w:ascii="SimHei" w:hAnsi="SimHei" w:eastAsia="SimHei" w:cs="SimHei"/>
          <w:sz w:val="24"/>
          <w:szCs w:val="24"/>
          <w:spacing w:val="-4"/>
        </w:rPr>
        <w:t>居民</w:t>
      </w:r>
      <w:r>
        <w:rPr>
          <w:rFonts w:ascii="SimHei" w:hAnsi="SimHei" w:eastAsia="SimHei" w:cs="SimHei"/>
          <w:sz w:val="24"/>
          <w:szCs w:val="24"/>
          <w:spacing w:val="-50"/>
        </w:rPr>
        <w:t xml:space="preserve"> </w:t>
      </w:r>
      <w:r>
        <w:rPr>
          <w:rFonts w:ascii="Times New Roman" w:hAnsi="Times New Roman" w:eastAsia="Times New Roman" w:cs="Times New Roman"/>
          <w:sz w:val="24"/>
          <w:szCs w:val="24"/>
          <w:spacing w:val="-4"/>
        </w:rPr>
        <w:t>3</w:t>
      </w:r>
      <w:r>
        <w:rPr>
          <w:rFonts w:ascii="Times New Roman" w:hAnsi="Times New Roman" w:eastAsia="Times New Roman" w:cs="Times New Roman"/>
          <w:sz w:val="24"/>
          <w:szCs w:val="24"/>
          <w:spacing w:val="11"/>
        </w:rPr>
        <w:t xml:space="preserve"> </w:t>
      </w:r>
      <w:r>
        <w:rPr>
          <w:rFonts w:ascii="SimHei" w:hAnsi="SimHei" w:eastAsia="SimHei" w:cs="SimHei"/>
          <w:sz w:val="24"/>
          <w:szCs w:val="24"/>
          <w:spacing w:val="-4"/>
        </w:rPr>
        <w:t>反馈意见</w:t>
      </w:r>
    </w:p>
    <w:p>
      <w:pPr>
        <w:ind w:left="10" w:firstLine="479"/>
        <w:spacing w:before="182" w:line="339" w:lineRule="auto"/>
        <w:jc w:val="both"/>
        <w:rPr>
          <w:rFonts w:ascii="SimSun" w:hAnsi="SimSun" w:eastAsia="SimSun" w:cs="SimSun"/>
          <w:sz w:val="24"/>
          <w:szCs w:val="24"/>
        </w:rPr>
      </w:pPr>
      <w:r>
        <w:rPr>
          <w:rFonts w:ascii="SimSun" w:hAnsi="SimSun" w:eastAsia="SimSun" w:cs="SimSun"/>
          <w:sz w:val="24"/>
          <w:szCs w:val="24"/>
          <w:spacing w:val="-2"/>
        </w:rPr>
        <w:t>针对上述意见，关于排土场绿化、施工扬尘、噪声污染等环境影响相关意见本项目</w:t>
      </w:r>
      <w:r>
        <w:rPr>
          <w:rFonts w:ascii="SimSun" w:hAnsi="SimSun" w:eastAsia="SimSun" w:cs="SimSun"/>
          <w:sz w:val="24"/>
          <w:szCs w:val="24"/>
          <w:spacing w:val="-1"/>
        </w:rPr>
        <w:t>已采纳，环评报告严格按照相关导则规范，提出相应的环境污染防</w:t>
      </w:r>
      <w:r>
        <w:rPr>
          <w:rFonts w:ascii="SimSun" w:hAnsi="SimSun" w:eastAsia="SimSun" w:cs="SimSun"/>
          <w:sz w:val="24"/>
          <w:szCs w:val="24"/>
          <w:spacing w:val="-2"/>
        </w:rPr>
        <w:t>治及生态保护措施。</w:t>
      </w:r>
      <w:r>
        <w:rPr>
          <w:rFonts w:ascii="SimSun" w:hAnsi="SimSun" w:eastAsia="SimSun" w:cs="SimSun"/>
          <w:sz w:val="24"/>
          <w:szCs w:val="24"/>
          <w:spacing w:val="-2"/>
        </w:rPr>
        <w:t>本次报告不涉及输煤栈桥建设内容，关于未办理相关征地手续、牧民要求生活区搬迁等</w:t>
      </w:r>
      <w:r>
        <w:rPr>
          <w:rFonts w:ascii="SimSun" w:hAnsi="SimSun" w:eastAsia="SimSun" w:cs="SimSun"/>
          <w:sz w:val="24"/>
          <w:szCs w:val="24"/>
          <w:spacing w:val="-1"/>
        </w:rPr>
        <w:t>问题已与牧民协商解决，经协商后该牧民同意本项目的建设。</w:t>
      </w:r>
    </w:p>
    <w:p>
      <w:pPr>
        <w:ind w:left="10" w:right="13" w:firstLine="485"/>
        <w:spacing w:before="4" w:line="338" w:lineRule="auto"/>
        <w:jc w:val="both"/>
        <w:rPr>
          <w:rFonts w:ascii="SimSun" w:hAnsi="SimSun" w:eastAsia="SimSun" w:cs="SimSun"/>
          <w:sz w:val="24"/>
          <w:szCs w:val="24"/>
        </w:rPr>
      </w:pPr>
      <w:r>
        <w:rPr>
          <w:rFonts w:ascii="SimSun" w:hAnsi="SimSun" w:eastAsia="SimSun" w:cs="SimSun"/>
          <w:sz w:val="24"/>
          <w:szCs w:val="24"/>
          <w:spacing w:val="-4"/>
        </w:rPr>
        <w:t>（</w:t>
      </w:r>
      <w:r>
        <w:rPr>
          <w:rFonts w:ascii="Times New Roman" w:hAnsi="Times New Roman" w:eastAsia="Times New Roman" w:cs="Times New Roman"/>
          <w:sz w:val="24"/>
          <w:szCs w:val="24"/>
          <w:spacing w:val="-4"/>
        </w:rPr>
        <w:t>2</w:t>
      </w:r>
      <w:r>
        <w:rPr>
          <w:rFonts w:ascii="SimSun" w:hAnsi="SimSun" w:eastAsia="SimSun" w:cs="SimSun"/>
          <w:sz w:val="24"/>
          <w:szCs w:val="24"/>
          <w:spacing w:val="-4"/>
        </w:rPr>
        <w:t>）建设单位于</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4"/>
        </w:rPr>
        <w:t>2025 </w:t>
      </w:r>
      <w:r>
        <w:rPr>
          <w:rFonts w:ascii="SimSun" w:hAnsi="SimSun" w:eastAsia="SimSun" w:cs="SimSun"/>
          <w:sz w:val="24"/>
          <w:szCs w:val="24"/>
          <w:spacing w:val="-4"/>
        </w:rPr>
        <w:t>年</w:t>
      </w:r>
      <w:r>
        <w:rPr>
          <w:rFonts w:ascii="SimSun" w:hAnsi="SimSun" w:eastAsia="SimSun" w:cs="SimSun"/>
          <w:sz w:val="24"/>
          <w:szCs w:val="24"/>
          <w:spacing w:val="-49"/>
        </w:rPr>
        <w:t xml:space="preserve"> </w:t>
      </w:r>
      <w:r>
        <w:rPr>
          <w:rFonts w:ascii="Times New Roman" w:hAnsi="Times New Roman" w:eastAsia="Times New Roman" w:cs="Times New Roman"/>
          <w:sz w:val="24"/>
          <w:szCs w:val="24"/>
          <w:spacing w:val="-4"/>
        </w:rPr>
        <w:t>5</w:t>
      </w:r>
      <w:r>
        <w:rPr>
          <w:rFonts w:ascii="Times New Roman" w:hAnsi="Times New Roman" w:eastAsia="Times New Roman" w:cs="Times New Roman"/>
          <w:sz w:val="24"/>
          <w:szCs w:val="24"/>
          <w:spacing w:val="16"/>
        </w:rPr>
        <w:t xml:space="preserve"> </w:t>
      </w:r>
      <w:r>
        <w:rPr>
          <w:rFonts w:ascii="SimSun" w:hAnsi="SimSun" w:eastAsia="SimSun" w:cs="SimSun"/>
          <w:sz w:val="24"/>
          <w:szCs w:val="24"/>
          <w:spacing w:val="-4"/>
        </w:rPr>
        <w:t>月</w:t>
      </w:r>
      <w:r>
        <w:rPr>
          <w:rFonts w:ascii="SimSun" w:hAnsi="SimSun" w:eastAsia="SimSun" w:cs="SimSun"/>
          <w:sz w:val="24"/>
          <w:szCs w:val="24"/>
          <w:spacing w:val="-51"/>
        </w:rPr>
        <w:t xml:space="preserve"> </w:t>
      </w:r>
      <w:r>
        <w:rPr>
          <w:rFonts w:ascii="Times New Roman" w:hAnsi="Times New Roman" w:eastAsia="Times New Roman" w:cs="Times New Roman"/>
          <w:sz w:val="24"/>
          <w:szCs w:val="24"/>
          <w:spacing w:val="-4"/>
        </w:rPr>
        <w:t>9  </w:t>
      </w:r>
      <w:r>
        <w:rPr>
          <w:rFonts w:ascii="SimSun" w:hAnsi="SimSun" w:eastAsia="SimSun" w:cs="SimSun"/>
          <w:sz w:val="24"/>
          <w:szCs w:val="24"/>
          <w:spacing w:val="-4"/>
        </w:rPr>
        <w:t>日</w:t>
      </w:r>
      <w:r>
        <w:rPr>
          <w:rFonts w:ascii="Times New Roman" w:hAnsi="Times New Roman" w:eastAsia="Times New Roman" w:cs="Times New Roman"/>
          <w:sz w:val="24"/>
          <w:szCs w:val="24"/>
          <w:spacing w:val="-5"/>
        </w:rPr>
        <w:t>-5</w:t>
      </w:r>
      <w:r>
        <w:rPr>
          <w:rFonts w:ascii="Times New Roman" w:hAnsi="Times New Roman" w:eastAsia="Times New Roman" w:cs="Times New Roman"/>
          <w:sz w:val="24"/>
          <w:szCs w:val="24"/>
          <w:spacing w:val="18"/>
        </w:rPr>
        <w:t xml:space="preserve"> </w:t>
      </w:r>
      <w:r>
        <w:rPr>
          <w:rFonts w:ascii="SimSun" w:hAnsi="SimSun" w:eastAsia="SimSun" w:cs="SimSun"/>
          <w:sz w:val="24"/>
          <w:szCs w:val="24"/>
          <w:spacing w:val="-5"/>
        </w:rPr>
        <w:t>月</w:t>
      </w:r>
      <w:r>
        <w:rPr>
          <w:rFonts w:ascii="SimSun" w:hAnsi="SimSun" w:eastAsia="SimSun" w:cs="SimSun"/>
          <w:sz w:val="24"/>
          <w:szCs w:val="24"/>
          <w:spacing w:val="-55"/>
        </w:rPr>
        <w:t xml:space="preserve"> </w:t>
      </w:r>
      <w:r>
        <w:rPr>
          <w:rFonts w:ascii="Times New Roman" w:hAnsi="Times New Roman" w:eastAsia="Times New Roman" w:cs="Times New Roman"/>
          <w:sz w:val="24"/>
          <w:szCs w:val="24"/>
          <w:spacing w:val="-5"/>
        </w:rPr>
        <w:t>23</w:t>
      </w:r>
      <w:r>
        <w:rPr>
          <w:rFonts w:ascii="Times New Roman" w:hAnsi="Times New Roman" w:eastAsia="Times New Roman" w:cs="Times New Roman"/>
          <w:sz w:val="24"/>
          <w:szCs w:val="24"/>
          <w:spacing w:val="50"/>
          <w:w w:val="101"/>
        </w:rPr>
        <w:t xml:space="preserve"> </w:t>
      </w:r>
      <w:r>
        <w:rPr>
          <w:rFonts w:ascii="SimSun" w:hAnsi="SimSun" w:eastAsia="SimSun" w:cs="SimSun"/>
          <w:sz w:val="24"/>
          <w:szCs w:val="24"/>
          <w:spacing w:val="-5"/>
        </w:rPr>
        <w:t>日，报告书征求意见稿完成后，在《北</w:t>
      </w:r>
      <w:r>
        <w:rPr>
          <w:rFonts w:ascii="SimSun" w:hAnsi="SimSun" w:eastAsia="SimSun" w:cs="SimSun"/>
          <w:sz w:val="24"/>
          <w:szCs w:val="24"/>
        </w:rPr>
        <w:t>方新报》上开展了</w:t>
      </w:r>
      <w:r>
        <w:rPr>
          <w:rFonts w:ascii="Times New Roman" w:hAnsi="Times New Roman" w:eastAsia="Times New Roman" w:cs="Times New Roman"/>
          <w:sz w:val="24"/>
          <w:szCs w:val="24"/>
        </w:rPr>
        <w:t>2</w:t>
      </w:r>
      <w:r>
        <w:rPr>
          <w:rFonts w:ascii="Times New Roman" w:hAnsi="Times New Roman" w:eastAsia="Times New Roman" w:cs="Times New Roman"/>
          <w:sz w:val="24"/>
          <w:szCs w:val="24"/>
          <w:spacing w:val="16"/>
          <w:w w:val="101"/>
        </w:rPr>
        <w:t xml:space="preserve"> </w:t>
      </w:r>
      <w:r>
        <w:rPr>
          <w:rFonts w:ascii="SimSun" w:hAnsi="SimSun" w:eastAsia="SimSun" w:cs="SimSun"/>
          <w:sz w:val="24"/>
          <w:szCs w:val="24"/>
        </w:rPr>
        <w:t>次报纸公示，进行了全本公示</w:t>
      </w:r>
      <w:r>
        <w:rPr>
          <w:rFonts w:ascii="SimSun" w:hAnsi="SimSun" w:eastAsia="SimSun" w:cs="SimSun"/>
          <w:sz w:val="24"/>
          <w:szCs w:val="24"/>
          <w:spacing w:val="-1"/>
        </w:rPr>
        <w:t>及公众意见表下载链接；在阜矿时讯</w:t>
      </w:r>
      <w:r>
        <w:rPr>
          <w:rFonts w:ascii="SimSun" w:hAnsi="SimSun" w:eastAsia="SimSun" w:cs="SimSun"/>
          <w:sz w:val="24"/>
          <w:szCs w:val="24"/>
          <w:spacing w:val="-2"/>
        </w:rPr>
        <w:t>发布了《西乌珠穆沁旗白音华煤田四号露天矿改建项目（优化调整开采范围及地面输煤</w:t>
      </w:r>
    </w:p>
    <w:p>
      <w:pPr>
        <w:spacing w:line="338" w:lineRule="auto"/>
        <w:sectPr>
          <w:headerReference w:type="default" r:id="rId10"/>
          <w:footerReference w:type="default" r:id="rId597"/>
          <w:pgSz w:w="11906" w:h="16838"/>
          <w:pgMar w:top="1170" w:right="1404" w:bottom="725" w:left="1416" w:header="837" w:footer="562" w:gutter="0"/>
        </w:sectPr>
        <w:rPr>
          <w:rFonts w:ascii="SimSun" w:hAnsi="SimSun" w:eastAsia="SimSun" w:cs="SimSun"/>
          <w:sz w:val="24"/>
          <w:szCs w:val="24"/>
        </w:rPr>
      </w:pPr>
    </w:p>
    <w:p>
      <w:pPr>
        <w:pStyle w:val="BodyText"/>
        <w:spacing w:line="312" w:lineRule="auto"/>
        <w:rPr/>
      </w:pPr>
      <w:r/>
    </w:p>
    <w:p>
      <w:pPr>
        <w:ind w:left="14"/>
        <w:spacing w:before="78" w:line="218" w:lineRule="auto"/>
        <w:rPr>
          <w:rFonts w:ascii="SimSun" w:hAnsi="SimSun" w:eastAsia="SimSun" w:cs="SimSun"/>
          <w:sz w:val="24"/>
          <w:szCs w:val="24"/>
        </w:rPr>
      </w:pPr>
      <w:r>
        <w:rPr>
          <w:rFonts w:ascii="SimSun" w:hAnsi="SimSun" w:eastAsia="SimSun" w:cs="SimSun"/>
          <w:sz w:val="24"/>
          <w:szCs w:val="24"/>
          <w:spacing w:val="-1"/>
        </w:rPr>
        <w:t>系统改建）环境影响评价第二次公示》</w:t>
      </w:r>
    </w:p>
    <w:p>
      <w:pPr>
        <w:ind w:left="8" w:right="13" w:firstLine="7"/>
        <w:spacing w:before="157" w:line="338" w:lineRule="auto"/>
        <w:rPr>
          <w:rFonts w:ascii="SimSun" w:hAnsi="SimSun" w:eastAsia="SimSun" w:cs="SimSun"/>
          <w:sz w:val="24"/>
          <w:szCs w:val="24"/>
        </w:rPr>
      </w:pPr>
      <w:r>
        <w:rPr>
          <w:rFonts w:ascii="SimSun" w:hAnsi="SimSun" w:eastAsia="SimSun" w:cs="SimSun"/>
          <w:sz w:val="24"/>
          <w:szCs w:val="24"/>
        </w:rPr>
        <w:t>（</w:t>
      </w:r>
      <w:hyperlink w:history="true" r:id="rId601">
        <w:r>
          <w:rPr>
            <w:rFonts w:ascii="Times New Roman" w:hAnsi="Times New Roman" w:eastAsia="Times New Roman" w:cs="Times New Roman"/>
            <w:sz w:val="24"/>
            <w:szCs w:val="24"/>
          </w:rPr>
          <w:t>https://mp.weixin.qq.com/s/hBkRZUS</w:t>
        </w:r>
        <w:r>
          <w:rPr>
            <w:rFonts w:ascii="Times New Roman" w:hAnsi="Times New Roman" w:eastAsia="Times New Roman" w:cs="Times New Roman"/>
            <w:sz w:val="24"/>
            <w:szCs w:val="24"/>
            <w:spacing w:val="-1"/>
          </w:rPr>
          <w:t>rHIeq4OwlaNmvnw</w:t>
        </w:r>
      </w:hyperlink>
      <w:r>
        <w:rPr>
          <w:rFonts w:ascii="SimSun" w:hAnsi="SimSun" w:eastAsia="SimSun" w:cs="SimSun"/>
          <w:sz w:val="24"/>
          <w:szCs w:val="24"/>
          <w:spacing w:val="6"/>
        </w:rPr>
        <w:t>），</w:t>
      </w:r>
      <w:r>
        <w:rPr>
          <w:rFonts w:ascii="SimSun" w:hAnsi="SimSun" w:eastAsia="SimSun" w:cs="SimSun"/>
          <w:sz w:val="24"/>
          <w:szCs w:val="24"/>
          <w:spacing w:val="-1"/>
        </w:rPr>
        <w:t>进行了全本公示及公众意</w:t>
      </w:r>
      <w:r>
        <w:rPr>
          <w:rFonts w:ascii="SimSun" w:hAnsi="SimSun" w:eastAsia="SimSun" w:cs="SimSun"/>
          <w:sz w:val="24"/>
          <w:szCs w:val="24"/>
        </w:rPr>
        <w:t>见表下载链接</w:t>
      </w:r>
      <w:r>
        <w:rPr>
          <w:rFonts w:ascii="SimSun" w:hAnsi="SimSun" w:eastAsia="SimSun" w:cs="SimSun"/>
          <w:sz w:val="24"/>
          <w:szCs w:val="24"/>
          <w:color w:val="0C0C0C"/>
        </w:rPr>
        <w:t>。</w:t>
      </w:r>
      <w:r>
        <w:rPr>
          <w:rFonts w:ascii="SimSun" w:hAnsi="SimSun" w:eastAsia="SimSun" w:cs="SimSun"/>
          <w:sz w:val="24"/>
          <w:szCs w:val="24"/>
        </w:rPr>
        <w:t>并在在地的村庄公示栏张贴公告，</w:t>
      </w:r>
      <w:r>
        <w:rPr>
          <w:rFonts w:ascii="SimSun" w:hAnsi="SimSun" w:eastAsia="SimSun" w:cs="SimSun"/>
          <w:sz w:val="24"/>
          <w:szCs w:val="24"/>
          <w:color w:val="0C0C0C"/>
        </w:rPr>
        <w:t>公告了查阅</w:t>
      </w:r>
      <w:r>
        <w:rPr>
          <w:rFonts w:ascii="SimSun" w:hAnsi="SimSun" w:eastAsia="SimSun" w:cs="SimSun"/>
          <w:sz w:val="24"/>
          <w:szCs w:val="24"/>
          <w:color w:val="0C0C0C"/>
          <w:spacing w:val="-1"/>
        </w:rPr>
        <w:t>全本公示文本链接及公</w:t>
      </w:r>
      <w:r>
        <w:rPr>
          <w:rFonts w:ascii="SimSun" w:hAnsi="SimSun" w:eastAsia="SimSun" w:cs="SimSun"/>
          <w:sz w:val="24"/>
          <w:szCs w:val="24"/>
          <w:color w:val="0C0C0C"/>
          <w:spacing w:val="-2"/>
        </w:rPr>
        <w:t>众意见表下载链接；在第二次公示期间，未收到以电话、传真、或网络邮件等形式的反</w:t>
      </w:r>
      <w:r>
        <w:rPr>
          <w:rFonts w:ascii="SimSun" w:hAnsi="SimSun" w:eastAsia="SimSun" w:cs="SimSun"/>
          <w:sz w:val="24"/>
          <w:szCs w:val="24"/>
          <w:color w:val="0C0C0C"/>
          <w:spacing w:val="-3"/>
        </w:rPr>
        <w:t>馈意见。</w:t>
      </w:r>
    </w:p>
    <w:p>
      <w:pPr>
        <w:ind w:left="8" w:right="13" w:firstLine="487"/>
        <w:spacing w:before="4" w:line="339" w:lineRule="auto"/>
        <w:jc w:val="both"/>
        <w:rPr>
          <w:rFonts w:ascii="SimSun" w:hAnsi="SimSun" w:eastAsia="SimSun" w:cs="SimSun"/>
          <w:sz w:val="24"/>
          <w:szCs w:val="24"/>
        </w:rPr>
      </w:pPr>
      <w:r>
        <w:rPr>
          <w:rFonts w:ascii="SimSun" w:hAnsi="SimSun" w:eastAsia="SimSun" w:cs="SimSun"/>
          <w:sz w:val="24"/>
          <w:szCs w:val="24"/>
          <w:spacing w:val="-1"/>
        </w:rPr>
        <w:t>（</w:t>
      </w:r>
      <w:r>
        <w:rPr>
          <w:rFonts w:ascii="Times New Roman" w:hAnsi="Times New Roman" w:eastAsia="Times New Roman" w:cs="Times New Roman"/>
          <w:sz w:val="24"/>
          <w:szCs w:val="24"/>
          <w:spacing w:val="-1"/>
        </w:rPr>
        <w:t>3</w:t>
      </w:r>
      <w:r>
        <w:rPr>
          <w:rFonts w:ascii="SimSun" w:hAnsi="SimSun" w:eastAsia="SimSun" w:cs="SimSun"/>
          <w:sz w:val="24"/>
          <w:szCs w:val="24"/>
          <w:spacing w:val="-1"/>
        </w:rPr>
        <w:t>）</w:t>
      </w:r>
      <w:r>
        <w:rPr>
          <w:rFonts w:ascii="Times New Roman" w:hAnsi="Times New Roman" w:eastAsia="Times New Roman" w:cs="Times New Roman"/>
          <w:sz w:val="24"/>
          <w:szCs w:val="24"/>
          <w:spacing w:val="-1"/>
        </w:rPr>
        <w:t>2025 </w:t>
      </w:r>
      <w:r>
        <w:rPr>
          <w:rFonts w:ascii="SimSun" w:hAnsi="SimSun" w:eastAsia="SimSun" w:cs="SimSun"/>
          <w:sz w:val="24"/>
          <w:szCs w:val="24"/>
          <w:spacing w:val="-1"/>
        </w:rPr>
        <w:t>年</w:t>
      </w:r>
      <w:r>
        <w:rPr>
          <w:rFonts w:ascii="SimSun" w:hAnsi="SimSun" w:eastAsia="SimSun" w:cs="SimSun"/>
          <w:sz w:val="24"/>
          <w:szCs w:val="24"/>
          <w:spacing w:val="-41"/>
        </w:rPr>
        <w:t xml:space="preserve"> </w:t>
      </w:r>
      <w:r>
        <w:rPr>
          <w:rFonts w:ascii="Times New Roman" w:hAnsi="Times New Roman" w:eastAsia="Times New Roman" w:cs="Times New Roman"/>
          <w:sz w:val="24"/>
          <w:szCs w:val="24"/>
          <w:spacing w:val="-1"/>
        </w:rPr>
        <w:t>6</w:t>
      </w:r>
      <w:r>
        <w:rPr>
          <w:rFonts w:ascii="Times New Roman" w:hAnsi="Times New Roman" w:eastAsia="Times New Roman" w:cs="Times New Roman"/>
          <w:sz w:val="24"/>
          <w:szCs w:val="24"/>
          <w:spacing w:val="15"/>
        </w:rPr>
        <w:t xml:space="preserve"> </w:t>
      </w:r>
      <w:r>
        <w:rPr>
          <w:rFonts w:ascii="SimSun" w:hAnsi="SimSun" w:eastAsia="SimSun" w:cs="SimSun"/>
          <w:sz w:val="24"/>
          <w:szCs w:val="24"/>
          <w:spacing w:val="-1"/>
        </w:rPr>
        <w:t>月，在拟向生态环境主管部门提交报请审查报请环评报告书之前，</w:t>
      </w:r>
      <w:r>
        <w:rPr>
          <w:rFonts w:ascii="SimSun" w:hAnsi="SimSun" w:eastAsia="SimSun" w:cs="SimSun"/>
          <w:sz w:val="24"/>
          <w:szCs w:val="24"/>
          <w:spacing w:val="-2"/>
        </w:rPr>
        <w:t>在阜矿时讯发布对项目环境影响报告书（全文公示本）及环境影响评价公众参与说明进</w:t>
      </w:r>
      <w:r>
        <w:rPr>
          <w:rFonts w:ascii="SimSun" w:hAnsi="SimSun" w:eastAsia="SimSun" w:cs="SimSun"/>
          <w:sz w:val="24"/>
          <w:szCs w:val="24"/>
          <w:spacing w:val="-2"/>
        </w:rPr>
        <w:t>行了公开。</w:t>
      </w:r>
    </w:p>
    <w:p>
      <w:pPr>
        <w:ind w:left="19"/>
        <w:spacing w:before="71" w:line="222" w:lineRule="auto"/>
        <w:outlineLvl w:val="1"/>
        <w:rPr>
          <w:rFonts w:ascii="SimHei" w:hAnsi="SimHei" w:eastAsia="SimHei" w:cs="SimHei"/>
          <w:sz w:val="30"/>
          <w:szCs w:val="30"/>
        </w:rPr>
      </w:pPr>
      <w:bookmarkStart w:name="bookmark75" w:id="126"/>
      <w:bookmarkEnd w:id="126"/>
      <w:r>
        <w:rPr>
          <w:rFonts w:ascii="Times New Roman" w:hAnsi="Times New Roman" w:eastAsia="Times New Roman" w:cs="Times New Roman"/>
          <w:sz w:val="30"/>
          <w:szCs w:val="30"/>
          <w:b/>
          <w:bCs/>
          <w:spacing w:val="-4"/>
        </w:rPr>
        <w:t>11.7 </w:t>
      </w:r>
      <w:r>
        <w:rPr>
          <w:rFonts w:ascii="SimHei" w:hAnsi="SimHei" w:eastAsia="SimHei" w:cs="SimHei"/>
          <w:sz w:val="30"/>
          <w:szCs w:val="30"/>
          <w:b/>
          <w:bCs/>
          <w:spacing w:val="-4"/>
        </w:rPr>
        <w:t>排污许可和总量控制</w:t>
      </w:r>
    </w:p>
    <w:p>
      <w:pPr>
        <w:ind w:left="10" w:right="13" w:firstLine="480"/>
        <w:spacing w:before="165" w:line="340" w:lineRule="auto"/>
        <w:rPr>
          <w:rFonts w:ascii="SimSun" w:hAnsi="SimSun" w:eastAsia="SimSun" w:cs="SimSun"/>
          <w:sz w:val="24"/>
          <w:szCs w:val="24"/>
        </w:rPr>
      </w:pPr>
      <w:r>
        <w:rPr>
          <w:rFonts w:ascii="SimSun" w:hAnsi="SimSun" w:eastAsia="SimSun" w:cs="SimSun"/>
          <w:sz w:val="24"/>
          <w:szCs w:val="24"/>
          <w:spacing w:val="-2"/>
        </w:rPr>
        <w:t>本项目不涉及新增污染源，污染防治措施与井田范围调整前一致，不项目不涉及新</w:t>
      </w:r>
      <w:r>
        <w:rPr>
          <w:rFonts w:ascii="SimSun" w:hAnsi="SimSun" w:eastAsia="SimSun" w:cs="SimSun"/>
          <w:sz w:val="24"/>
          <w:szCs w:val="24"/>
          <w:spacing w:val="-2"/>
        </w:rPr>
        <w:t>增总量指标。</w:t>
      </w:r>
    </w:p>
    <w:p>
      <w:pPr>
        <w:ind w:left="19"/>
        <w:spacing w:before="71" w:line="222" w:lineRule="auto"/>
        <w:outlineLvl w:val="1"/>
        <w:rPr>
          <w:rFonts w:ascii="SimHei" w:hAnsi="SimHei" w:eastAsia="SimHei" w:cs="SimHei"/>
          <w:sz w:val="30"/>
          <w:szCs w:val="30"/>
        </w:rPr>
      </w:pPr>
      <w:bookmarkStart w:name="bookmark76" w:id="127"/>
      <w:bookmarkEnd w:id="127"/>
      <w:r>
        <w:rPr>
          <w:rFonts w:ascii="Times New Roman" w:hAnsi="Times New Roman" w:eastAsia="Times New Roman" w:cs="Times New Roman"/>
          <w:sz w:val="30"/>
          <w:szCs w:val="30"/>
          <w:b/>
          <w:bCs/>
          <w:spacing w:val="-5"/>
        </w:rPr>
        <w:t>11.8 </w:t>
      </w:r>
      <w:r>
        <w:rPr>
          <w:rFonts w:ascii="SimHei" w:hAnsi="SimHei" w:eastAsia="SimHei" w:cs="SimHei"/>
          <w:sz w:val="30"/>
          <w:szCs w:val="30"/>
          <w:b/>
          <w:bCs/>
          <w:spacing w:val="-5"/>
        </w:rPr>
        <w:t>环境影响评价结论</w:t>
      </w:r>
    </w:p>
    <w:p>
      <w:pPr>
        <w:ind w:left="9" w:firstLine="480"/>
        <w:spacing w:before="164" w:line="339" w:lineRule="auto"/>
        <w:jc w:val="both"/>
        <w:rPr>
          <w:rFonts w:ascii="SimSun" w:hAnsi="SimSun" w:eastAsia="SimSun" w:cs="SimSun"/>
          <w:sz w:val="24"/>
          <w:szCs w:val="24"/>
        </w:rPr>
      </w:pPr>
      <w:r>
        <w:rPr>
          <w:rFonts w:ascii="SimSun" w:hAnsi="SimSun" w:eastAsia="SimSun" w:cs="SimSun"/>
          <w:sz w:val="24"/>
          <w:szCs w:val="24"/>
          <w:spacing w:val="-2"/>
        </w:rPr>
        <w:t>根据《产业结构调整指导名录》（</w:t>
      </w:r>
      <w:r>
        <w:rPr>
          <w:rFonts w:ascii="Times New Roman" w:hAnsi="Times New Roman" w:eastAsia="Times New Roman" w:cs="Times New Roman"/>
          <w:sz w:val="24"/>
          <w:szCs w:val="24"/>
          <w:spacing w:val="-2"/>
        </w:rPr>
        <w:t>2024 </w:t>
      </w:r>
      <w:r>
        <w:rPr>
          <w:rFonts w:ascii="SimSun" w:hAnsi="SimSun" w:eastAsia="SimSun" w:cs="SimSun"/>
          <w:sz w:val="24"/>
          <w:szCs w:val="24"/>
          <w:spacing w:val="-3"/>
        </w:rPr>
        <w:t>年本</w:t>
      </w:r>
      <w:r>
        <w:rPr>
          <w:rFonts w:ascii="SimSun" w:hAnsi="SimSun" w:eastAsia="SimSun" w:cs="SimSun"/>
          <w:sz w:val="24"/>
          <w:szCs w:val="24"/>
          <w:spacing w:val="-14"/>
        </w:rPr>
        <w:t>），</w:t>
      </w:r>
      <w:r>
        <w:rPr>
          <w:rFonts w:ascii="SimSun" w:hAnsi="SimSun" w:eastAsia="SimSun" w:cs="SimSun"/>
          <w:sz w:val="24"/>
          <w:szCs w:val="24"/>
          <w:spacing w:val="-3"/>
        </w:rPr>
        <w:t>本项目符合国家产业政策要求；项</w:t>
      </w:r>
      <w:r>
        <w:rPr>
          <w:rFonts w:ascii="SimSun" w:hAnsi="SimSun" w:eastAsia="SimSun" w:cs="SimSun"/>
          <w:sz w:val="24"/>
          <w:szCs w:val="24"/>
          <w:spacing w:val="2"/>
        </w:rPr>
        <w:t>目选址合理；当地环境质量现状较好；项目建设满足国家关于</w:t>
      </w:r>
      <w:r>
        <w:rPr>
          <w:rFonts w:ascii="Times New Roman" w:hAnsi="Times New Roman" w:eastAsia="Times New Roman" w:cs="Times New Roman"/>
          <w:sz w:val="24"/>
          <w:szCs w:val="24"/>
          <w:spacing w:val="2"/>
        </w:rPr>
        <w:t>“</w:t>
      </w:r>
      <w:r>
        <w:rPr>
          <w:rFonts w:ascii="SimSun" w:hAnsi="SimSun" w:eastAsia="SimSun" w:cs="SimSun"/>
          <w:sz w:val="24"/>
          <w:szCs w:val="24"/>
          <w:spacing w:val="2"/>
        </w:rPr>
        <w:t>环</w:t>
      </w:r>
      <w:r>
        <w:rPr>
          <w:rFonts w:ascii="SimSun" w:hAnsi="SimSun" w:eastAsia="SimSun" w:cs="SimSun"/>
          <w:sz w:val="24"/>
          <w:szCs w:val="24"/>
          <w:spacing w:val="1"/>
        </w:rPr>
        <w:t>境质量底线、资源消</w:t>
      </w:r>
      <w:r>
        <w:rPr>
          <w:rFonts w:ascii="SimSun" w:hAnsi="SimSun" w:eastAsia="SimSun" w:cs="SimSun"/>
          <w:sz w:val="24"/>
          <w:szCs w:val="24"/>
          <w:spacing w:val="2"/>
        </w:rPr>
        <w:t>耗上限、生态保护红线和环境生态准入清单</w:t>
      </w:r>
      <w:r>
        <w:rPr>
          <w:rFonts w:ascii="Times New Roman" w:hAnsi="Times New Roman" w:eastAsia="Times New Roman" w:cs="Times New Roman"/>
          <w:sz w:val="24"/>
          <w:szCs w:val="24"/>
          <w:spacing w:val="2"/>
        </w:rPr>
        <w:t>”</w:t>
      </w:r>
      <w:r>
        <w:rPr>
          <w:rFonts w:ascii="SimSun" w:hAnsi="SimSun" w:eastAsia="SimSun" w:cs="SimSun"/>
          <w:sz w:val="24"/>
          <w:szCs w:val="24"/>
          <w:spacing w:val="2"/>
        </w:rPr>
        <w:t>相关要求；针对第一次公示期间</w:t>
      </w:r>
      <w:r>
        <w:rPr>
          <w:rFonts w:ascii="SimSun" w:hAnsi="SimSun" w:eastAsia="SimSun" w:cs="SimSun"/>
          <w:sz w:val="24"/>
          <w:szCs w:val="24"/>
          <w:spacing w:val="1"/>
        </w:rPr>
        <w:t>，关于排</w:t>
      </w:r>
      <w:r>
        <w:rPr>
          <w:rFonts w:ascii="SimSun" w:hAnsi="SimSun" w:eastAsia="SimSun" w:cs="SimSun"/>
          <w:sz w:val="24"/>
          <w:szCs w:val="24"/>
          <w:spacing w:val="-2"/>
        </w:rPr>
        <w:t>土场绿化、施工扬尘、噪声污染等环境影响相关意见本项目已采纳，环评报告严格按照</w:t>
      </w:r>
      <w:r>
        <w:rPr>
          <w:rFonts w:ascii="SimSun" w:hAnsi="SimSun" w:eastAsia="SimSun" w:cs="SimSun"/>
          <w:sz w:val="24"/>
          <w:szCs w:val="24"/>
          <w:spacing w:val="-1"/>
        </w:rPr>
        <w:t>相关导则规范，提出相应的环境污染防治及生态保护措施。关于未办</w:t>
      </w:r>
      <w:r>
        <w:rPr>
          <w:rFonts w:ascii="SimSun" w:hAnsi="SimSun" w:eastAsia="SimSun" w:cs="SimSun"/>
          <w:sz w:val="24"/>
          <w:szCs w:val="24"/>
          <w:spacing w:val="-2"/>
        </w:rPr>
        <w:t>理相关征地手续、</w:t>
      </w:r>
      <w:r>
        <w:rPr>
          <w:rFonts w:ascii="SimSun" w:hAnsi="SimSun" w:eastAsia="SimSun" w:cs="SimSun"/>
          <w:sz w:val="24"/>
          <w:szCs w:val="24"/>
          <w:spacing w:val="-2"/>
        </w:rPr>
        <w:t>牧民要求生活区搬迁等问题已经协商解决。第二次公示期间未收到公众反馈意见。因此</w:t>
      </w:r>
      <w:r>
        <w:rPr>
          <w:rFonts w:ascii="SimSun" w:hAnsi="SimSun" w:eastAsia="SimSun" w:cs="SimSun"/>
          <w:sz w:val="24"/>
          <w:szCs w:val="24"/>
          <w:spacing w:val="-2"/>
        </w:rPr>
        <w:t>本项目在严格环境管理，认真落实本报告提出的污染防治和生态保护措施的前提下，项</w:t>
      </w:r>
      <w:r>
        <w:rPr>
          <w:rFonts w:ascii="SimSun" w:hAnsi="SimSun" w:eastAsia="SimSun" w:cs="SimSun"/>
          <w:sz w:val="24"/>
          <w:szCs w:val="24"/>
          <w:spacing w:val="-2"/>
        </w:rPr>
        <w:t>目建设可行。</w:t>
      </w:r>
    </w:p>
    <w:sectPr>
      <w:footerReference w:type="default" r:id="rId600"/>
      <w:pgSz w:w="11906" w:h="16838"/>
      <w:pgMar w:top="1170" w:right="1404" w:bottom="725" w:left="1416" w:header="837" w:footer="562"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KaiTi">
    <w:panose1 w:val="02010609060101010101"/>
    <w:charset w:val="86"/>
    <w:family w:val="auto"/>
    <w:pitch w:val="default"/>
    <w:sig w:usb0="800002BF" w:usb1="38CF7CFA" w:usb2="00000016" w:usb3="00000000" w:csb0="00040001" w:csb1="00000000"/>
  </w:font>
  <w:font w:name="Times New Roman">
    <w:panose1 w:val="02020603050405020304"/>
    <w:charset w:val="00"/>
    <w:family w:val="auto"/>
    <w:pitch w:val="variable"/>
    <w:sig w:usb0="E0002EFF" w:usb1="C000785B" w:usb2="00000009" w:usb3="00000000" w:csb0="400001FF" w:csb1="FFFF0000"/>
  </w:font>
  <w:font w:name="Microsoft YaHei">
    <w:panose1 w:val="020B0503020204020204"/>
    <w:charset w:val="86"/>
    <w:family w:val="auto"/>
    <w:pitch w:val="variable"/>
    <w:sig w:usb0="80000287" w:usb1="2ACF3C50" w:usb2="00000016" w:usb3="00000000" w:csb0="0004001F" w:csb1="00000000"/>
  </w:font>
  <w:font w:name="MS UI Gothic">
    <w:panose1 w:val="020B0600070205080204"/>
    <w:charset w:val="86"/>
    <w:family w:val="auto"/>
    <w:pitch w:val="variable"/>
    <w:sig w:usb0="E00002FF" w:usb1="6AC7FDFB" w:usb2="00000012" w:usb3="00000000" w:csb0="4002009F" w:csb1="DFD70000"/>
  </w:font>
  <w:font w:name="Malgun Gothic">
    <w:panose1 w:val="020B0503020000020004"/>
    <w:charset w:val="86"/>
    <w:family w:val="auto"/>
    <w:pitch w:val="variable"/>
    <w:sig w:usb0="9000002F" w:usb1="29D77CFB" w:usb2="00000012" w:usb3="00000000" w:csb0="00080001" w:csb1="00000000"/>
  </w:font>
  <w:font w:name="MS Gothic">
    <w:panose1 w:val="020B0609070205080204"/>
    <w:charset w:val="86"/>
    <w:family w:val="auto"/>
    <w:pitch w:val="default"/>
    <w:sig w:usb0="E00002FF" w:usb1="6AC7FDFB" w:usb2="08000012" w:usb3="00000000" w:csb0="4002009F" w:csb1="DFD70000"/>
  </w:font>
  <w:font w:name="Segoe UI Symbol">
    <w:panose1 w:val="020B0502040204020203"/>
    <w:charset w:val="00"/>
    <w:family w:val="auto"/>
    <w:pitch w:val="variable"/>
    <w:sig w:usb0="8000006F" w:usb1="1200FBEF" w:usb2="0064C000" w:usb3="00000002" w:csb0="00000001" w:csb1="40000000"/>
  </w:font>
  <w:font w:name="MS PGothic">
    <w:panose1 w:val="020B0600070205080204"/>
    <w:charset w:val="86"/>
    <w:family w:val="auto"/>
    <w:pitch w:val="variable"/>
    <w:sig w:usb0="E00002FF" w:usb1="6AC7FDFB" w:usb2="00000012" w:usb3="00000000" w:csb0="4002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1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1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2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0"/>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112</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113</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114</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115</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116</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117</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118</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9"/>
      </w:rPr>
      <w:t>119</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12</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120</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121</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122</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123</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124</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125</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126</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127</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128</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129</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13</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130</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131</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132</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133</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134</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135</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136</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8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137</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2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138</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139</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14</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140</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141</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142</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143</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144</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145</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146</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147</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148</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149</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5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15</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150</w:t>
    </w:r>
  </w:p>
</w:ftr>
</file>

<file path=word/footer1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151</w:t>
    </w:r>
  </w:p>
</w:ftr>
</file>

<file path=word/footer1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152</w:t>
    </w:r>
  </w:p>
</w:ftr>
</file>

<file path=word/footer1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153</w:t>
    </w:r>
  </w:p>
</w:ftr>
</file>

<file path=word/footer1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154</w:t>
    </w:r>
  </w:p>
</w:ftr>
</file>

<file path=word/footer1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155</w:t>
    </w:r>
  </w:p>
</w:ftr>
</file>

<file path=word/footer1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156</w:t>
    </w:r>
  </w:p>
</w:ftr>
</file>

<file path=word/footer1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157</w:t>
    </w:r>
  </w:p>
</w:ftr>
</file>

<file path=word/footer1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158</w:t>
    </w:r>
  </w:p>
</w:ftr>
</file>

<file path=word/footer1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159</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16</w:t>
    </w:r>
  </w:p>
</w:ftr>
</file>

<file path=word/footer1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160</w:t>
    </w:r>
  </w:p>
</w:ftr>
</file>

<file path=word/footer1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161</w:t>
    </w:r>
  </w:p>
</w:ftr>
</file>

<file path=word/footer1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162</w:t>
    </w:r>
  </w:p>
</w:ftr>
</file>

<file path=word/footer1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163</w:t>
    </w:r>
  </w:p>
</w:ftr>
</file>

<file path=word/footer1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164</w:t>
    </w:r>
  </w:p>
</w:ftr>
</file>

<file path=word/footer1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15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165</w:t>
    </w:r>
  </w:p>
</w:ftr>
</file>

<file path=word/footer1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166</w:t>
    </w:r>
  </w:p>
</w:ftr>
</file>

<file path=word/footer1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167</w:t>
    </w:r>
  </w:p>
</w:ftr>
</file>

<file path=word/footer1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1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168</w:t>
    </w:r>
  </w:p>
</w:ftr>
</file>

<file path=word/footer1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169</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17</w:t>
    </w:r>
  </w:p>
</w:ftr>
</file>

<file path=word/footer1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170</w:t>
    </w:r>
  </w:p>
</w:ftr>
</file>

<file path=word/footer1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171</w:t>
    </w:r>
  </w:p>
</w:ftr>
</file>

<file path=word/footer1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172</w:t>
    </w:r>
  </w:p>
</w:ftr>
</file>

<file path=word/footer1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173</w:t>
    </w:r>
  </w:p>
</w:ftr>
</file>

<file path=word/footer1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174</w:t>
    </w:r>
  </w:p>
</w:ftr>
</file>

<file path=word/footer1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175</w:t>
    </w:r>
  </w:p>
</w:ftr>
</file>

<file path=word/footer1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176</w:t>
    </w:r>
  </w:p>
</w:ftr>
</file>

<file path=word/footer1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177</w:t>
    </w:r>
  </w:p>
</w:ftr>
</file>

<file path=word/footer1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178</w:t>
    </w:r>
  </w:p>
</w:ftr>
</file>

<file path=word/footer1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179</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18</w:t>
    </w:r>
  </w:p>
</w:ftr>
</file>

<file path=word/footer1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180</w:t>
    </w:r>
  </w:p>
</w:ftr>
</file>

<file path=word/footer1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181</w:t>
    </w:r>
  </w:p>
</w:ftr>
</file>

<file path=word/footer1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1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182</w:t>
    </w:r>
  </w:p>
</w:ftr>
</file>

<file path=word/footer1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183</w:t>
    </w:r>
  </w:p>
</w:ftr>
</file>

<file path=word/footer1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184</w:t>
    </w:r>
  </w:p>
</w:ftr>
</file>

<file path=word/footer1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185</w:t>
    </w:r>
  </w:p>
</w:ftr>
</file>

<file path=word/footer1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186</w:t>
    </w:r>
  </w:p>
</w:ftr>
</file>

<file path=word/footer1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187</w:t>
    </w:r>
  </w:p>
</w:ftr>
</file>

<file path=word/footer1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188</w:t>
    </w:r>
  </w:p>
</w:ftr>
</file>

<file path=word/footer1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189</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5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1"/>
      </w:rPr>
      <w:t>19</w:t>
    </w:r>
  </w:p>
</w:ftr>
</file>

<file path=word/footer1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190</w:t>
    </w:r>
  </w:p>
</w:ftr>
</file>

<file path=word/footer1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191</w:t>
    </w:r>
  </w:p>
</w:ftr>
</file>

<file path=word/footer1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192</w:t>
    </w:r>
  </w:p>
</w:ftr>
</file>

<file path=word/footer1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0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193</w:t>
    </w:r>
  </w:p>
</w:ftr>
</file>

<file path=word/footer1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194</w:t>
    </w:r>
  </w:p>
</w:ftr>
</file>

<file path=word/footer1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195</w:t>
    </w:r>
  </w:p>
</w:ftr>
</file>

<file path=word/footer1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196</w:t>
    </w:r>
  </w:p>
</w:ftr>
</file>

<file path=word/footer1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197</w:t>
    </w:r>
  </w:p>
</w:ftr>
</file>

<file path=word/footer1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198</w:t>
    </w:r>
  </w:p>
</w:ftr>
</file>

<file path=word/footer1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7"/>
      </w:rPr>
      <w:t>199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5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20</w:t>
    </w:r>
  </w:p>
</w:ftr>
</file>

<file path=word/footer2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200</w:t>
    </w:r>
  </w:p>
</w:ftr>
</file>

<file path=word/footer2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201</w:t>
    </w:r>
  </w:p>
</w:ftr>
</file>

<file path=word/footer2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3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w:t>
    </w:r>
  </w:p>
</w:ftr>
</file>

<file path=word/footer2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203</w:t>
    </w:r>
  </w:p>
</w:ftr>
</file>

<file path=word/footer2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204</w:t>
    </w:r>
  </w:p>
</w:ftr>
</file>

<file path=word/footer2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205</w:t>
    </w:r>
  </w:p>
</w:ftr>
</file>

<file path=word/footer2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206</w:t>
    </w:r>
  </w:p>
</w:ftr>
</file>

<file path=word/footer2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207</w:t>
    </w:r>
  </w:p>
</w:ftr>
</file>

<file path=word/footer2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208</w:t>
    </w:r>
  </w:p>
</w:ftr>
</file>

<file path=word/footer2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1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209</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21</w:t>
    </w:r>
  </w:p>
</w:ftr>
</file>

<file path=word/footer2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210</w:t>
    </w:r>
  </w:p>
</w:ftr>
</file>

<file path=word/footer2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211</w:t>
    </w:r>
  </w:p>
</w:ftr>
</file>

<file path=word/footer2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212</w:t>
    </w:r>
  </w:p>
</w:ftr>
</file>

<file path=word/footer2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213</w:t>
    </w:r>
  </w:p>
</w:ftr>
</file>

<file path=word/footer2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214</w:t>
    </w:r>
  </w:p>
</w:ftr>
</file>

<file path=word/footer2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215</w:t>
    </w:r>
  </w:p>
</w:ftr>
</file>

<file path=word/footer2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216</w:t>
    </w:r>
  </w:p>
</w:ftr>
</file>

<file path=word/footer2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217</w:t>
    </w:r>
  </w:p>
</w:ftr>
</file>

<file path=word/footer2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218</w:t>
    </w:r>
  </w:p>
</w:ftr>
</file>

<file path=word/footer2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219</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22</w:t>
    </w:r>
  </w:p>
</w:ftr>
</file>

<file path=word/footer2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220</w:t>
    </w:r>
  </w:p>
</w:ftr>
</file>

<file path=word/footer2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221</w:t>
    </w:r>
  </w:p>
</w:ftr>
</file>

<file path=word/footer2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222</w:t>
    </w:r>
  </w:p>
</w:ftr>
</file>

<file path=word/footer2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223</w:t>
    </w:r>
  </w:p>
</w:ftr>
</file>

<file path=word/footer2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224</w:t>
    </w:r>
  </w:p>
</w:ftr>
</file>

<file path=word/footer2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225</w:t>
    </w:r>
  </w:p>
</w:ftr>
</file>

<file path=word/footer2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226</w:t>
    </w:r>
  </w:p>
</w:ftr>
</file>

<file path=word/footer2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227</w:t>
    </w:r>
  </w:p>
</w:ftr>
</file>

<file path=word/footer2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228</w:t>
    </w:r>
  </w:p>
</w:ftr>
</file>

<file path=word/footer2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229</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23</w:t>
    </w:r>
  </w:p>
</w:ftr>
</file>

<file path=word/footer2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230</w:t>
    </w:r>
  </w:p>
</w:ftr>
</file>

<file path=word/footer2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231</w:t>
    </w:r>
  </w:p>
</w:ftr>
</file>

<file path=word/footer2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232</w:t>
    </w:r>
  </w:p>
</w:ftr>
</file>

<file path=word/footer2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233</w:t>
    </w:r>
  </w:p>
</w:ftr>
</file>

<file path=word/footer2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234</w:t>
    </w:r>
  </w:p>
</w:ftr>
</file>

<file path=word/footer2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235</w:t>
    </w:r>
  </w:p>
</w:ftr>
</file>

<file path=word/footer2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236</w:t>
    </w:r>
  </w:p>
</w:ftr>
</file>

<file path=word/footer2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237</w:t>
    </w:r>
  </w:p>
</w:ftr>
</file>

<file path=word/footer2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238</w:t>
    </w:r>
  </w:p>
</w:ftr>
</file>

<file path=word/footer2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239</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24</w:t>
    </w:r>
  </w:p>
</w:ftr>
</file>

<file path=word/footer2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240</w:t>
    </w:r>
  </w:p>
</w:ftr>
</file>

<file path=word/footer2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241</w:t>
    </w:r>
  </w:p>
</w:ftr>
</file>

<file path=word/footer2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242</w:t>
    </w:r>
  </w:p>
</w:ftr>
</file>

<file path=word/footer2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243</w:t>
    </w:r>
  </w:p>
</w:ftr>
</file>

<file path=word/footer2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244</w:t>
    </w:r>
  </w:p>
</w:ftr>
</file>

<file path=word/footer2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245</w:t>
    </w:r>
  </w:p>
</w:ftr>
</file>

<file path=word/footer2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246</w:t>
    </w:r>
  </w:p>
</w:ftr>
</file>

<file path=word/footer2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247</w:t>
    </w:r>
  </w:p>
</w:ftr>
</file>

<file path=word/footer2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248</w:t>
    </w:r>
  </w:p>
</w:ftr>
</file>

<file path=word/footer2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249</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25</w:t>
    </w:r>
  </w:p>
</w:ftr>
</file>

<file path=word/footer2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250</w:t>
    </w:r>
  </w:p>
</w:ftr>
</file>

<file path=word/footer2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251</w:t>
    </w:r>
  </w:p>
</w:ftr>
</file>

<file path=word/footer2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1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252</w:t>
    </w:r>
  </w:p>
</w:ftr>
</file>

<file path=word/footer2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253</w:t>
    </w:r>
  </w:p>
</w:ftr>
</file>

<file path=word/footer2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254</w:t>
    </w:r>
  </w:p>
</w:ftr>
</file>

<file path=word/footer2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255</w:t>
    </w:r>
  </w:p>
</w:ftr>
</file>

<file path=word/footer2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256</w:t>
    </w:r>
  </w:p>
</w:ftr>
</file>

<file path=word/footer2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257</w:t>
    </w:r>
  </w:p>
</w:ftr>
</file>

<file path=word/footer2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258</w:t>
    </w:r>
  </w:p>
</w:ftr>
</file>

<file path=word/footer2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259</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26</w:t>
    </w:r>
  </w:p>
</w:ftr>
</file>

<file path=word/footer2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260</w:t>
    </w:r>
  </w:p>
</w:ftr>
</file>

<file path=word/footer2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261</w:t>
    </w:r>
  </w:p>
</w:ftr>
</file>

<file path=word/footer2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9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262</w:t>
    </w:r>
  </w:p>
</w:ftr>
</file>

<file path=word/footer2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1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263</w:t>
    </w:r>
  </w:p>
</w:ftr>
</file>

<file path=word/footer2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264</w:t>
    </w:r>
  </w:p>
</w:ftr>
</file>

<file path=word/footer2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265</w:t>
    </w:r>
  </w:p>
</w:ftr>
</file>

<file path=word/footer2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266</w:t>
    </w:r>
  </w:p>
</w:ftr>
</file>

<file path=word/footer2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267</w:t>
    </w:r>
  </w:p>
</w:ftr>
</file>

<file path=word/footer2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268</w:t>
    </w:r>
  </w:p>
</w:ftr>
</file>

<file path=word/footer2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269</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27</w:t>
    </w:r>
  </w:p>
</w:ftr>
</file>

<file path=word/footer2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270</w:t>
    </w:r>
  </w:p>
</w:ftr>
</file>

<file path=word/footer2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0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271</w:t>
    </w:r>
  </w:p>
</w:ftr>
</file>

<file path=word/footer2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1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272</w:t>
    </w:r>
  </w:p>
</w:ftr>
</file>

<file path=word/footer2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1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273</w:t>
    </w:r>
  </w:p>
</w:ftr>
</file>

<file path=word/footer2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274</w:t>
    </w:r>
  </w:p>
</w:ftr>
</file>

<file path=word/footer2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275</w:t>
    </w:r>
  </w:p>
</w:ftr>
</file>

<file path=word/footer2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9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276</w:t>
    </w:r>
  </w:p>
</w:ftr>
</file>

<file path=word/footer2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277</w:t>
    </w:r>
  </w:p>
</w:ftr>
</file>

<file path=word/footer2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278</w:t>
    </w:r>
  </w:p>
</w:ftr>
</file>

<file path=word/footer2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279</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28</w:t>
    </w:r>
  </w:p>
</w:ftr>
</file>

<file path=word/footer2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280</w:t>
    </w:r>
  </w:p>
</w:ftr>
</file>

<file path=word/footer2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281</w:t>
    </w:r>
  </w:p>
</w:ftr>
</file>

<file path=word/footer2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282</w:t>
    </w:r>
  </w:p>
</w:ftr>
</file>

<file path=word/footer2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283</w:t>
    </w:r>
  </w:p>
</w:ftr>
</file>

<file path=word/footer2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284</w:t>
    </w:r>
  </w:p>
</w:ftr>
</file>

<file path=word/footer2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285</w:t>
    </w:r>
  </w:p>
</w:ftr>
</file>

<file path=word/footer2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286</w:t>
    </w:r>
  </w:p>
</w:ftr>
</file>

<file path=word/footer2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287</w:t>
    </w:r>
  </w:p>
</w:ftr>
</file>

<file path=word/footer2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288</w:t>
    </w:r>
  </w:p>
</w:ftr>
</file>

<file path=word/footer2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289</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29</w:t>
    </w:r>
  </w:p>
</w:ftr>
</file>

<file path=word/footer2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290</w:t>
    </w:r>
  </w:p>
</w:ftr>
</file>

<file path=word/footer2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291</w:t>
    </w:r>
  </w:p>
</w:ftr>
</file>

<file path=word/footer2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292</w:t>
    </w:r>
  </w:p>
</w:ftr>
</file>

<file path=word/footer2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293</w:t>
    </w:r>
  </w:p>
</w:ftr>
</file>

<file path=word/footer2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58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294</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8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5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5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4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5"/>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2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2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27"/>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81"/>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8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85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9"/>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5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35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3"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83"/>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26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90"/>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5"/>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92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6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6"/>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79"/>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51"/>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2"/>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48"/>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74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4"/>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636"/>
      <w:spacing w:line="176"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80" style="position:absolute;margin-left:70.8pt;margin-top:55.44pt;mso-position-vertical-relative:page;mso-position-horizontal-relative:page;width:453.65pt;height:0.85pt;z-index:2516695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0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1"/>
      <w:spacing w:before="44" w:line="223" w:lineRule="auto"/>
      <w:rPr>
        <w:rFonts w:ascii="KaiTi" w:hAnsi="KaiTi" w:eastAsia="KaiTi" w:cs="KaiTi"/>
        <w:sz w:val="18"/>
        <w:szCs w:val="18"/>
      </w:rPr>
    </w:pPr>
    <w:r>
      <w:pict>
        <v:shape id="_x0000_s1274" style="position:absolute;margin-left:70.8pt;margin-top:55.44pt;mso-position-vertical-relative:page;mso-position-horizontal-relative:page;width:453.65pt;height:0.85pt;z-index:25187532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0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1"/>
      <w:spacing w:before="44" w:line="223" w:lineRule="auto"/>
      <w:rPr>
        <w:rFonts w:ascii="KaiTi" w:hAnsi="KaiTi" w:eastAsia="KaiTi" w:cs="KaiTi"/>
        <w:sz w:val="18"/>
        <w:szCs w:val="18"/>
      </w:rPr>
    </w:pPr>
    <w:r>
      <w:pict>
        <v:shape id="_x0000_s1276" style="position:absolute;margin-left:70.8pt;margin-top:55.44pt;mso-position-vertical-relative:page;mso-position-horizontal-relative:page;width:453.65pt;height:0.85pt;z-index:25187635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0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78" style="position:absolute;margin-left:70.8pt;margin-top:55.44pt;mso-position-vertical-relative:page;mso-position-horizontal-relative:page;width:453.65pt;height:0.85pt;z-index:2518784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0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0"/>
      <w:spacing w:before="44" w:line="223" w:lineRule="auto"/>
      <w:tabs>
        <w:tab w:val="left" w:pos="52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before="44" w:line="223" w:lineRule="auto"/>
      <w:tabs>
        <w:tab w:val="left" w:pos="420"/>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before="44" w:line="223" w:lineRule="auto"/>
      <w:tabs>
        <w:tab w:val="left" w:pos="420"/>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0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before="44" w:line="223" w:lineRule="auto"/>
      <w:tabs>
        <w:tab w:val="left" w:pos="420"/>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82" style="position:absolute;margin-left:70.8pt;margin-top:55.44pt;mso-position-vertical-relative:page;mso-position-horizontal-relative:page;width:453.65pt;height:0.85pt;z-index:25167052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10"/>
      <w:spacing w:before="44" w:line="223" w:lineRule="auto"/>
      <w:tabs>
        <w:tab w:val="left" w:pos="52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7"/>
      <w:spacing w:before="48" w:line="218" w:lineRule="auto"/>
      <w:rPr>
        <w:rFonts w:ascii="SimSun" w:hAnsi="SimSun" w:eastAsia="SimSun" w:cs="SimSun"/>
        <w:sz w:val="18"/>
        <w:szCs w:val="18"/>
      </w:rPr>
    </w:pPr>
    <w:r>
      <w:pict>
        <v:shape id="_x0000_s1282" style="position:absolute;margin-left:70.8pt;margin-top:55.44pt;mso-position-vertical-relative:page;mso-position-horizontal-relative:page;width:453.65pt;height:0.85pt;z-index:251906048;"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0"/>
      <w:spacing w:before="48" w:line="218" w:lineRule="auto"/>
      <w:rPr>
        <w:rFonts w:ascii="SimSun" w:hAnsi="SimSun" w:eastAsia="SimSun" w:cs="SimSun"/>
        <w:sz w:val="18"/>
        <w:szCs w:val="18"/>
      </w:rPr>
    </w:pPr>
    <w:r>
      <w:pict>
        <v:shape id="_x0000_s1284" style="position:absolute;margin-left:70.8pt;margin-top:55.44pt;mso-position-vertical-relative:page;mso-position-horizontal-relative:page;width:453.65pt;height:0.85pt;z-index:251907072;"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97"/>
      <w:spacing w:before="48" w:line="218" w:lineRule="auto"/>
      <w:rPr>
        <w:rFonts w:ascii="SimSun" w:hAnsi="SimSun" w:eastAsia="SimSun" w:cs="SimSun"/>
        <w:sz w:val="18"/>
        <w:szCs w:val="18"/>
      </w:rPr>
    </w:pPr>
    <w:r>
      <w:pict>
        <v:shape id="_x0000_s1286" style="position:absolute;margin-left:70.8pt;margin-top:55.44pt;mso-position-vertical-relative:page;mso-position-horizontal-relative:page;width:453.65pt;height:0.85pt;z-index:251908096;"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84" style="position:absolute;margin-left:70.8pt;margin-top:55.44pt;mso-position-vertical-relative:page;mso-position-horizontal-relative:page;width:453.65pt;height:0.85pt;z-index:25167155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7"/>
      <w:spacing w:before="48" w:line="218" w:lineRule="auto"/>
      <w:rPr>
        <w:rFonts w:ascii="SimSun" w:hAnsi="SimSun" w:eastAsia="SimSun" w:cs="SimSun"/>
        <w:sz w:val="18"/>
        <w:szCs w:val="18"/>
      </w:rPr>
    </w:pPr>
    <w:r>
      <w:pict>
        <v:shape id="_x0000_s1288" style="position:absolute;margin-left:70.8pt;margin-top:55.44pt;mso-position-vertical-relative:page;mso-position-horizontal-relative:page;width:453.65pt;height:0.85pt;z-index:251909120;"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7"/>
      <w:spacing w:before="48" w:line="218" w:lineRule="auto"/>
      <w:rPr>
        <w:rFonts w:ascii="SimSun" w:hAnsi="SimSun" w:eastAsia="SimSun" w:cs="SimSun"/>
        <w:sz w:val="18"/>
        <w:szCs w:val="18"/>
      </w:rPr>
    </w:pPr>
    <w:r>
      <w:pict>
        <v:shape id="_x0000_s1290" style="position:absolute;margin-left:70.8pt;margin-top:55.44pt;mso-position-vertical-relative:page;mso-position-horizontal-relative:page;width:453.65pt;height:0.85pt;z-index:251910144;"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00"/>
      <w:spacing w:before="48" w:line="218" w:lineRule="auto"/>
      <w:rPr>
        <w:rFonts w:ascii="SimSun" w:hAnsi="SimSun" w:eastAsia="SimSun" w:cs="SimSun"/>
        <w:sz w:val="18"/>
        <w:szCs w:val="18"/>
      </w:rPr>
    </w:pPr>
    <w:r>
      <w:pict>
        <v:shape id="_x0000_s1292" style="position:absolute;margin-left:70.8pt;margin-top:55.44pt;mso-position-vertical-relative:page;mso-position-horizontal-relative:page;width:453.65pt;height:0.85pt;z-index:251911168;" o:allowincell="f" fillcolor="#000000" filled="true" stroked="false" coordsize="9072,17" coordorigin="0,0" path="m,l9072,0l9072,16l0,16l0,0xe"/>
      </w:pict>
    </w:r>
    <w:r>
      <w:rPr>
        <w:rFonts w:ascii="SimSun" w:hAnsi="SimSun" w:eastAsia="SimSun" w:cs="SimSun"/>
        <w:sz w:val="18"/>
        <w:szCs w:val="18"/>
      </w:rPr>
      <w:t>西乌珠穆沁旗白音华煤田四号露天矿改建项目（优化调整开采范围及地面输</w:t>
    </w:r>
    <w:r>
      <w:rPr>
        <w:rFonts w:ascii="SimSun" w:hAnsi="SimSun" w:eastAsia="SimSun" w:cs="SimSun"/>
        <w:sz w:val="18"/>
        <w:szCs w:val="18"/>
        <w:spacing w:val="-1"/>
      </w:rPr>
      <w:t>煤系统改建）环境影响报告书</w:t>
    </w:r>
  </w:p>
</w:hdr>
</file>

<file path=word/header1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08"/>
      <w:spacing w:before="44" w:line="223" w:lineRule="auto"/>
      <w:tabs>
        <w:tab w:val="left" w:pos="522"/>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
      <w:spacing w:before="44" w:line="223" w:lineRule="auto"/>
      <w:tabs>
        <w:tab w:val="left" w:pos="445"/>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
      <w:spacing w:before="44" w:line="223" w:lineRule="auto"/>
      <w:tabs>
        <w:tab w:val="left" w:pos="420"/>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1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9"/>
      <w:spacing w:before="44" w:line="223" w:lineRule="auto"/>
      <w:rPr>
        <w:rFonts w:ascii="KaiTi" w:hAnsi="KaiTi" w:eastAsia="KaiTi" w:cs="KaiTi"/>
        <w:sz w:val="18"/>
        <w:szCs w:val="18"/>
      </w:rPr>
    </w:pPr>
    <w:r>
      <w:pict>
        <v:shape id="_x0000_s1294" style="position:absolute;margin-left:70.8pt;margin-top:55.44pt;mso-position-vertical-relative:page;mso-position-horizontal-relative:page;width:453.65pt;height:0.85pt;z-index:2519193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96" style="position:absolute;margin-left:70.8pt;margin-top:55.44pt;mso-position-vertical-relative:page;mso-position-horizontal-relative:page;width:453.65pt;height:0.85pt;z-index:25192345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8"/>
      <w:spacing w:before="44" w:line="223" w:lineRule="auto"/>
      <w:rPr>
        <w:rFonts w:ascii="KaiTi" w:hAnsi="KaiTi" w:eastAsia="KaiTi" w:cs="KaiTi"/>
        <w:sz w:val="18"/>
        <w:szCs w:val="18"/>
      </w:rPr>
    </w:pPr>
    <w:r>
      <w:pict>
        <v:shape id="_x0000_s1298" style="position:absolute;margin-left:70.8pt;margin-top:55.44pt;mso-position-vertical-relative:page;mso-position-horizontal-relative:page;width:453.65pt;height:0.85pt;z-index:2519255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5"/>
      <w:spacing w:before="44" w:line="223" w:lineRule="auto"/>
      <w:rPr>
        <w:rFonts w:ascii="KaiTi" w:hAnsi="KaiTi" w:eastAsia="KaiTi" w:cs="KaiTi"/>
        <w:sz w:val="18"/>
        <w:szCs w:val="18"/>
      </w:rPr>
    </w:pPr>
    <w:r>
      <w:pict>
        <v:shape id="_x0000_s1300" style="position:absolute;margin-left:70.8pt;margin-top:55.44pt;mso-position-vertical-relative:page;mso-position-horizontal-relative:page;width:453.65pt;height:0.85pt;z-index:25192652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704"/>
      <w:spacing w:before="44" w:line="223" w:lineRule="auto"/>
      <w:rPr>
        <w:rFonts w:ascii="KaiTi" w:hAnsi="KaiTi" w:eastAsia="KaiTi" w:cs="KaiTi"/>
        <w:sz w:val="18"/>
        <w:szCs w:val="18"/>
      </w:rPr>
    </w:pPr>
    <w:r>
      <w:pict>
        <v:shape id="_x0000_s286" style="position:absolute;margin-left:70.8pt;margin-top:55.44pt;mso-position-vertical-relative:page;mso-position-horizontal-relative:page;width:453.65pt;height:0.85pt;z-index:25167257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302" style="position:absolute;margin-left:70.8pt;margin-top:55.44pt;mso-position-vertical-relative:page;mso-position-horizontal-relative:page;width:453.65pt;height:0.85pt;z-index:2519296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5"/>
      <w:spacing w:before="44" w:line="223" w:lineRule="auto"/>
      <w:rPr>
        <w:rFonts w:ascii="KaiTi" w:hAnsi="KaiTi" w:eastAsia="KaiTi" w:cs="KaiTi"/>
        <w:sz w:val="18"/>
        <w:szCs w:val="18"/>
      </w:rPr>
    </w:pPr>
    <w:r>
      <w:pict>
        <v:shape id="_x0000_s1304" style="position:absolute;margin-left:70.8pt;margin-top:55.44pt;mso-position-vertical-relative:page;mso-position-horizontal-relative:page;width:453.65pt;height:0.85pt;z-index:25193574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306" style="position:absolute;margin-left:70.8pt;margin-top:55.44pt;mso-position-vertical-relative:page;mso-position-horizontal-relative:page;width:453.65pt;height:0.85pt;z-index:25194188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308" style="position:absolute;margin-left:70.8pt;margin-top:55.44pt;mso-position-vertical-relative:page;mso-position-horizontal-relative:page;width:453.65pt;height:0.85pt;z-index:2519449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310" style="position:absolute;margin-left:70.8pt;margin-top:55.44pt;mso-position-vertical-relative:page;mso-position-horizontal-relative:page;width:453.65pt;height:0.85pt;z-index:25194700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322" style="position:absolute;margin-left:70.8pt;margin-top:55.44pt;mso-position-vertical-relative:page;mso-position-horizontal-relative:page;width:453.65pt;height:0.85pt;z-index:2519552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25"/>
      <w:spacing w:before="44" w:line="223" w:lineRule="auto"/>
      <w:rPr>
        <w:rFonts w:ascii="KaiTi" w:hAnsi="KaiTi" w:eastAsia="KaiTi" w:cs="KaiTi"/>
        <w:sz w:val="18"/>
        <w:szCs w:val="18"/>
      </w:rPr>
    </w:pPr>
    <w:r>
      <w:pict>
        <v:shape id="_x0000_s288" style="position:absolute;margin-left:70.8pt;margin-top:55.44pt;mso-position-vertical-relative:page;mso-position-horizontal-relative:page;width:453.65pt;height:0.85pt;z-index:2516736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6"/>
      <w:spacing w:before="44" w:line="223" w:lineRule="auto"/>
      <w:rPr>
        <w:rFonts w:ascii="KaiTi" w:hAnsi="KaiTi" w:eastAsia="KaiTi" w:cs="KaiTi"/>
        <w:sz w:val="18"/>
        <w:szCs w:val="18"/>
      </w:rPr>
    </w:pPr>
    <w:r>
      <w:pict>
        <v:shape id="_x0000_s290" style="position:absolute;margin-left:70.8pt;margin-top:55.44pt;mso-position-vertical-relative:page;mso-position-horizontal-relative:page;width:453.65pt;height:0.85pt;z-index:25167462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25"/>
      <w:spacing w:before="44" w:line="223" w:lineRule="auto"/>
      <w:rPr>
        <w:rFonts w:ascii="KaiTi" w:hAnsi="KaiTi" w:eastAsia="KaiTi" w:cs="KaiTi"/>
        <w:sz w:val="18"/>
        <w:szCs w:val="18"/>
      </w:rPr>
    </w:pPr>
    <w:r>
      <w:pict>
        <v:shape id="_x0000_s292" style="position:absolute;margin-left:70.8pt;margin-top:55.44pt;mso-position-vertical-relative:page;mso-position-horizontal-relative:page;width:453.65pt;height:0.85pt;z-index:25167564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23"/>
      <w:spacing w:before="44" w:line="223" w:lineRule="auto"/>
      <w:rPr>
        <w:rFonts w:ascii="KaiTi" w:hAnsi="KaiTi" w:eastAsia="KaiTi" w:cs="KaiTi"/>
        <w:sz w:val="18"/>
        <w:szCs w:val="18"/>
      </w:rPr>
    </w:pPr>
    <w:r>
      <w:pict>
        <v:shape id="_x0000_s294" style="position:absolute;margin-left:70.8pt;margin-top:55.44pt;mso-position-vertical-relative:page;mso-position-horizontal-relative:page;width:453.65pt;height:0.85pt;z-index:25167769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25"/>
      <w:spacing w:before="44" w:line="223" w:lineRule="auto"/>
      <w:rPr>
        <w:rFonts w:ascii="KaiTi" w:hAnsi="KaiTi" w:eastAsia="KaiTi" w:cs="KaiTi"/>
        <w:sz w:val="18"/>
        <w:szCs w:val="18"/>
      </w:rPr>
    </w:pPr>
    <w:r>
      <w:pict>
        <v:shape id="_x0000_s296" style="position:absolute;margin-left:70.8pt;margin-top:55.44pt;mso-position-vertical-relative:page;mso-position-horizontal-relative:page;width:453.65pt;height:0.85pt;z-index:25167872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6"/>
      <w:spacing w:before="44" w:line="223" w:lineRule="auto"/>
      <w:rPr>
        <w:rFonts w:ascii="KaiTi" w:hAnsi="KaiTi" w:eastAsia="KaiTi" w:cs="KaiTi"/>
        <w:sz w:val="18"/>
        <w:szCs w:val="18"/>
      </w:rPr>
    </w:pPr>
    <w:r>
      <w:pict>
        <v:shape id="_x0000_s298" style="position:absolute;margin-left:70.8pt;margin-top:55.44pt;mso-position-vertical-relative:page;mso-position-horizontal-relative:page;width:453.65pt;height:0.85pt;z-index:25167974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44" w:line="223" w:lineRule="auto"/>
      <w:tabs>
        <w:tab w:val="left" w:pos="414"/>
      </w:tabs>
      <w:rPr>
        <w:rFonts w:ascii="KaiTi" w:hAnsi="KaiTi" w:eastAsia="KaiTi" w:cs="KaiTi"/>
        <w:sz w:val="18"/>
        <w:szCs w:val="18"/>
      </w:rPr>
    </w:pPr>
    <w:r>
      <w:rPr>
        <w:rFonts w:ascii="KaiTi" w:hAnsi="KaiTi" w:eastAsia="KaiTi" w:cs="KaiTi"/>
        <w:sz w:val="18"/>
        <w:szCs w:val="18"/>
        <w:u w:val="single" w:color="auto"/>
      </w:rPr>
      <w:tab/>
    </w:r>
    <w:r>
      <w:rPr>
        <w:rFonts w:ascii="KaiTi" w:hAnsi="KaiTi" w:eastAsia="KaiTi" w:cs="KaiTi"/>
        <w:sz w:val="18"/>
        <w:szCs w:val="18"/>
        <w:u w:val="single" w:color="auto"/>
        <w:spacing w:val="-1"/>
      </w:rPr>
      <w:t>西乌珠穆沁旗白音华煤田四号露天矿改建项目（优化调整开采范围</w:t>
    </w:r>
    <w:r>
      <w:rPr>
        <w:rFonts w:ascii="KaiTi" w:hAnsi="KaiTi" w:eastAsia="KaiTi" w:cs="KaiTi"/>
        <w:sz w:val="18"/>
        <w:szCs w:val="18"/>
        <w:u w:val="single" w:color="auto"/>
        <w:spacing w:val="-2"/>
      </w:rPr>
      <w:t>及地面输煤系统改建）环境影响报告书</w:t>
    </w:r>
    <w:r>
      <w:rPr>
        <w:rFonts w:ascii="KaiTi" w:hAnsi="KaiTi" w:eastAsia="KaiTi" w:cs="KaiTi"/>
        <w:sz w:val="18"/>
        <w:szCs w:val="18"/>
        <w:u w:val="single" w:color="auto"/>
        <w:spacing w:val="-2"/>
      </w:rPr>
      <w:t xml:space="preserve">     </w:t>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35"/>
      <w:spacing w:before="44" w:line="223" w:lineRule="auto"/>
      <w:rPr>
        <w:rFonts w:ascii="KaiTi" w:hAnsi="KaiTi" w:eastAsia="KaiTi" w:cs="KaiTi"/>
        <w:sz w:val="18"/>
        <w:szCs w:val="18"/>
      </w:rPr>
    </w:pPr>
    <w:r>
      <w:pict>
        <v:shape id="_x0000_s300" style="position:absolute;margin-left:70.8pt;margin-top:55.44pt;mso-position-vertical-relative:page;mso-position-horizontal-relative:page;width:453.65pt;height:0.85pt;z-index:25168076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25"/>
      <w:spacing w:before="44" w:line="223" w:lineRule="auto"/>
      <w:rPr>
        <w:rFonts w:ascii="KaiTi" w:hAnsi="KaiTi" w:eastAsia="KaiTi" w:cs="KaiTi"/>
        <w:sz w:val="18"/>
        <w:szCs w:val="18"/>
      </w:rPr>
    </w:pPr>
    <w:r>
      <w:pict>
        <v:shape id="_x0000_s302" style="position:absolute;margin-left:70.8pt;margin-top:55.44pt;mso-position-vertical-relative:page;mso-position-horizontal-relative:page;width:453.65pt;height:0.85pt;z-index:25168179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6"/>
      <w:spacing w:before="44" w:line="223" w:lineRule="auto"/>
      <w:rPr>
        <w:rFonts w:ascii="KaiTi" w:hAnsi="KaiTi" w:eastAsia="KaiTi" w:cs="KaiTi"/>
        <w:sz w:val="18"/>
        <w:szCs w:val="18"/>
      </w:rPr>
    </w:pPr>
    <w:r>
      <w:pict>
        <v:shape id="_x0000_s304" style="position:absolute;margin-left:70.8pt;margin-top:55.44pt;mso-position-vertical-relative:page;mso-position-horizontal-relative:page;width:453.65pt;height:0.85pt;z-index:25168486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306" style="position:absolute;margin-left:70.8pt;margin-top:55.44pt;mso-position-vertical-relative:page;mso-position-horizontal-relative:page;width:453.65pt;height:0.85pt;z-index:2516920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33"/>
      <w:spacing w:before="43" w:line="225" w:lineRule="auto"/>
      <w:rPr>
        <w:rFonts w:ascii="KaiTi" w:hAnsi="KaiTi" w:eastAsia="KaiTi" w:cs="KaiTi"/>
        <w:sz w:val="18"/>
        <w:szCs w:val="18"/>
      </w:rPr>
    </w:pPr>
    <w:r>
      <w:pict>
        <v:shape id="_x0000_s308" style="position:absolute;margin-left:56.52pt;margin-top:55.44pt;mso-position-vertical-relative:page;mso-position-horizontal-relative:page;width:714.5pt;height:0.85pt;z-index:251693056;" o:allowincell="f" fillcolor="#000000" filled="true" stroked="false" coordsize="14290,17" coordorigin="0,0" path="m,l14289,0l14289,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310" style="position:absolute;margin-left:70.8pt;margin-top:55.44pt;mso-position-vertical-relative:page;mso-position-horizontal-relative:page;width:453.65pt;height:0.85pt;z-index:2516951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7"/>
      <w:spacing w:before="44" w:line="223" w:lineRule="auto"/>
      <w:rPr>
        <w:rFonts w:ascii="KaiTi" w:hAnsi="KaiTi" w:eastAsia="KaiTi" w:cs="KaiTi"/>
        <w:sz w:val="18"/>
        <w:szCs w:val="18"/>
      </w:rPr>
    </w:pPr>
    <w:r>
      <w:pict>
        <v:shape id="_x0000_s312" style="position:absolute;margin-left:70.8pt;margin-top:55.44pt;mso-position-vertical-relative:page;mso-position-horizontal-relative:page;width:453.65pt;height:0.85pt;z-index:25169612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023"/>
      <w:spacing w:before="43" w:line="225" w:lineRule="auto"/>
      <w:rPr>
        <w:rFonts w:ascii="KaiTi" w:hAnsi="KaiTi" w:eastAsia="KaiTi" w:cs="KaiTi"/>
        <w:sz w:val="18"/>
        <w:szCs w:val="18"/>
      </w:rPr>
    </w:pPr>
    <w:r>
      <w:pict>
        <v:shape id="_x0000_s314" style="position:absolute;margin-left:56.52pt;margin-top:55.44pt;mso-position-vertical-relative:page;mso-position-horizontal-relative:page;width:714.5pt;height:0.85pt;z-index:251697152;" o:allowincell="f" fillcolor="#000000" filled="true" stroked="false" coordsize="14290,17" coordorigin="0,0" path="m,l14289,0l14289,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316" style="position:absolute;margin-left:70.8pt;margin-top:55.44pt;mso-position-vertical-relative:page;mso-position-horizontal-relative:page;width:453.65pt;height:0.85pt;z-index:25170227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318" style="position:absolute;margin-left:70.8pt;margin-top:55.44pt;mso-position-vertical-relative:page;mso-position-horizontal-relative:page;width:453.65pt;height:0.85pt;z-index:25170432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2" style="position:absolute;margin-left:70.8pt;margin-top:55.44pt;mso-position-vertical-relative:page;mso-position-horizontal-relative:page;width:453.65pt;height:0.85pt;z-index:25165824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320" style="position:absolute;margin-left:70.8pt;margin-top:55.44pt;mso-position-vertical-relative:page;mso-position-horizontal-relative:page;width:453.65pt;height:0.85pt;z-index:25170534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322" style="position:absolute;margin-left:70.8pt;margin-top:55.44pt;mso-position-vertical-relative:page;mso-position-horizontal-relative:page;width:453.65pt;height:0.85pt;z-index:25170636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326" style="position:absolute;margin-left:70.8pt;margin-top:55.44pt;mso-position-vertical-relative:page;mso-position-horizontal-relative:page;width:453.65pt;height:0.85pt;z-index:25170739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328" style="position:absolute;margin-left:70.8pt;margin-top:55.44pt;mso-position-vertical-relative:page;mso-position-horizontal-relative:page;width:453.65pt;height:0.85pt;z-index:25170841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334" style="position:absolute;margin-left:70.8pt;margin-top:55.44pt;mso-position-vertical-relative:page;mso-position-horizontal-relative:page;width:453.65pt;height:0.85pt;z-index:25171046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2"/>
      <w:spacing w:before="44" w:line="223" w:lineRule="auto"/>
      <w:rPr>
        <w:rFonts w:ascii="KaiTi" w:hAnsi="KaiTi" w:eastAsia="KaiTi" w:cs="KaiTi"/>
        <w:sz w:val="18"/>
        <w:szCs w:val="18"/>
      </w:rPr>
    </w:pPr>
    <w:r>
      <w:pict>
        <v:shape id="_x0000_s336" style="position:absolute;margin-left:70.8pt;margin-top:55.44pt;mso-position-vertical-relative:page;mso-position-horizontal-relative:page;width:453.65pt;height:0.85pt;z-index:25171148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338" style="position:absolute;margin-left:70.8pt;margin-top:55.44pt;mso-position-vertical-relative:page;mso-position-horizontal-relative:page;width:453.65pt;height:0.85pt;z-index:2517176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30"/>
      <w:spacing w:before="44" w:line="223" w:lineRule="auto"/>
      <w:rPr>
        <w:rFonts w:ascii="KaiTi" w:hAnsi="KaiTi" w:eastAsia="KaiTi" w:cs="KaiTi"/>
        <w:sz w:val="18"/>
        <w:szCs w:val="18"/>
      </w:rPr>
    </w:pPr>
    <w:r>
      <w:pict>
        <v:shape id="_x0000_s340" style="position:absolute;margin-left:70.8pt;margin-top:55.44pt;mso-position-vertical-relative:page;mso-position-horizontal-relative:page;width:453.65pt;height:0.85pt;z-index:25172582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342" style="position:absolute;margin-left:70.8pt;margin-top:55.44pt;mso-position-vertical-relative:page;mso-position-horizontal-relative:page;width:453.65pt;height:0.85pt;z-index:25172992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35"/>
      <w:spacing w:before="44" w:line="223" w:lineRule="auto"/>
      <w:rPr>
        <w:rFonts w:ascii="KaiTi" w:hAnsi="KaiTi" w:eastAsia="KaiTi" w:cs="KaiTi"/>
        <w:sz w:val="18"/>
        <w:szCs w:val="18"/>
      </w:rPr>
    </w:pPr>
    <w:r>
      <w:pict>
        <v:shape id="_x0000_s344" style="position:absolute;margin-left:56.4pt;margin-top:55.44pt;mso-position-vertical-relative:page;mso-position-horizontal-relative:page;width:714.6pt;height:0.85pt;z-index:251731968;" o:allowincell="f" fillcolor="#000000" filled="true" stroked="false" coordsize="14291,17" coordorigin="0,0" path="m,l14291,0l14291,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4" style="position:absolute;margin-left:70.8pt;margin-top:55.44pt;mso-position-vertical-relative:page;mso-position-horizontal-relative:page;width:453.65pt;height:0.85pt;z-index:25166131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227"/>
      <w:spacing w:before="43" w:line="225" w:lineRule="auto"/>
      <w:rPr>
        <w:rFonts w:ascii="KaiTi" w:hAnsi="KaiTi" w:eastAsia="KaiTi" w:cs="KaiTi"/>
        <w:sz w:val="18"/>
        <w:szCs w:val="18"/>
      </w:rPr>
    </w:pPr>
    <w:r>
      <w:pict>
        <v:shape id="_x0000_s346" style="position:absolute;margin-left:56.52pt;margin-top:55.44pt;mso-position-vertical-relative:page;mso-position-horizontal-relative:page;width:714.5pt;height:0.85pt;z-index:251738112;" o:allowincell="f" fillcolor="#000000" filled="true" stroked="false" coordsize="14290,17" coordorigin="0,0" path="m,l14289,0l14289,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348" style="position:absolute;margin-left:70.8pt;margin-top:69.6pt;mso-position-vertical-relative:page;mso-position-horizontal-relative:page;width:453.65pt;height:0.85pt;z-index:2517432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48"/>
      <w:spacing w:before="43" w:line="225" w:lineRule="auto"/>
      <w:rPr>
        <w:rFonts w:ascii="KaiTi" w:hAnsi="KaiTi" w:eastAsia="KaiTi" w:cs="KaiTi"/>
        <w:sz w:val="18"/>
        <w:szCs w:val="18"/>
      </w:rPr>
    </w:pP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352" style="position:absolute;margin-left:70.8pt;margin-top:69.6pt;mso-position-vertical-relative:page;mso-position-horizontal-relative:page;width:453.65pt;height:0.85pt;z-index:25174528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82"/>
      <w:spacing w:before="44" w:line="223" w:lineRule="auto"/>
      <w:rPr>
        <w:rFonts w:ascii="KaiTi" w:hAnsi="KaiTi" w:eastAsia="KaiTi" w:cs="KaiTi"/>
        <w:sz w:val="18"/>
        <w:szCs w:val="18"/>
      </w:rPr>
    </w:pPr>
    <w:r>
      <w:pict>
        <v:shape id="_x0000_s354" style="position:absolute;margin-left:70.8pt;margin-top:69.6pt;mso-position-vertical-relative:page;mso-position-horizontal-relative:page;width:453.65pt;height:0.85pt;z-index:2517463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5"/>
      <w:spacing w:before="44" w:line="223" w:lineRule="auto"/>
      <w:rPr>
        <w:rFonts w:ascii="KaiTi" w:hAnsi="KaiTi" w:eastAsia="KaiTi" w:cs="KaiTi"/>
        <w:sz w:val="18"/>
        <w:szCs w:val="18"/>
      </w:rPr>
    </w:pPr>
    <w:r>
      <w:pict>
        <v:shape id="_x0000_s356" style="position:absolute;margin-left:70.8pt;margin-top:55.44pt;mso-position-vertical-relative:page;mso-position-horizontal-relative:page;width:453.65pt;height:0.85pt;z-index:25174732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358" style="position:absolute;margin-left:70.8pt;margin-top:55.44pt;mso-position-vertical-relative:page;mso-position-horizontal-relative:page;width:453.65pt;height:0.85pt;z-index:2517504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31"/>
      <w:spacing w:before="44" w:line="223" w:lineRule="auto"/>
      <w:rPr>
        <w:rFonts w:ascii="KaiTi" w:hAnsi="KaiTi" w:eastAsia="KaiTi" w:cs="KaiTi"/>
        <w:sz w:val="18"/>
        <w:szCs w:val="18"/>
      </w:rPr>
    </w:pPr>
    <w:r>
      <w:pict>
        <v:shape id="_x0000_s360" style="position:absolute;margin-left:70.8pt;margin-top:55.44pt;mso-position-vertical-relative:page;mso-position-horizontal-relative:page;width:453.65pt;height:0.85pt;z-index:25175142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2"/>
      <w:spacing w:before="44" w:line="223" w:lineRule="auto"/>
      <w:rPr>
        <w:rFonts w:ascii="KaiTi" w:hAnsi="KaiTi" w:eastAsia="KaiTi" w:cs="KaiTi"/>
        <w:sz w:val="18"/>
        <w:szCs w:val="18"/>
      </w:rPr>
    </w:pPr>
    <w:r>
      <w:pict>
        <v:shape id="_x0000_s386" style="position:absolute;margin-left:70.8pt;margin-top:55.44pt;mso-position-vertical-relative:page;mso-position-horizontal-relative:page;width:453.65pt;height:0.85pt;z-index:25175347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28"/>
      <w:spacing w:before="44" w:line="223" w:lineRule="auto"/>
      <w:rPr>
        <w:rFonts w:ascii="KaiTi" w:hAnsi="KaiTi" w:eastAsia="KaiTi" w:cs="KaiTi"/>
        <w:sz w:val="18"/>
        <w:szCs w:val="18"/>
      </w:rPr>
    </w:pPr>
    <w:r>
      <w:pict>
        <v:shape id="_x0000_s518" style="position:absolute;margin-left:70.8pt;margin-top:55.44pt;mso-position-vertical-relative:page;mso-position-horizontal-relative:page;width:453.65pt;height:0.85pt;z-index:25175449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270" style="position:absolute;margin-left:70.8pt;margin-top:55.44pt;mso-position-vertical-relative:page;mso-position-horizontal-relative:page;width:453.65pt;height:0.85pt;z-index:2516633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520" style="position:absolute;margin-left:70.8pt;margin-top:55.44pt;mso-position-vertical-relative:page;mso-position-horizontal-relative:page;width:453.65pt;height:0.85pt;z-index:25175552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
      <w:spacing w:before="44" w:line="223" w:lineRule="auto"/>
      <w:rPr>
        <w:rFonts w:ascii="KaiTi" w:hAnsi="KaiTi" w:eastAsia="KaiTi" w:cs="KaiTi"/>
        <w:sz w:val="18"/>
        <w:szCs w:val="18"/>
      </w:rPr>
    </w:pPr>
    <w:r>
      <w:pict>
        <v:shape id="_x0000_s522" style="position:absolute;margin-left:70.8pt;margin-top:55.44pt;mso-position-vertical-relative:page;mso-position-horizontal-relative:page;width:453.65pt;height:0.85pt;z-index:25175756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
      <w:spacing w:before="44" w:line="223" w:lineRule="auto"/>
      <w:rPr>
        <w:rFonts w:ascii="KaiTi" w:hAnsi="KaiTi" w:eastAsia="KaiTi" w:cs="KaiTi"/>
        <w:sz w:val="18"/>
        <w:szCs w:val="18"/>
      </w:rPr>
    </w:pPr>
    <w:r>
      <w:pict>
        <v:shape id="_x0000_s524" style="position:absolute;margin-left:70.8pt;margin-top:55.44pt;mso-position-vertical-relative:page;mso-position-horizontal-relative:page;width:453.65pt;height:0.85pt;z-index:25175859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1"/>
      <w:spacing w:before="44" w:line="223" w:lineRule="auto"/>
      <w:rPr>
        <w:rFonts w:ascii="KaiTi" w:hAnsi="KaiTi" w:eastAsia="KaiTi" w:cs="KaiTi"/>
        <w:sz w:val="18"/>
        <w:szCs w:val="18"/>
      </w:rPr>
    </w:pPr>
    <w:r>
      <w:pict>
        <v:shape id="_x0000_s526" style="position:absolute;margin-left:70.8pt;margin-top:55.44pt;mso-position-vertical-relative:page;mso-position-horizontal-relative:page;width:453.65pt;height:0.85pt;z-index:25176166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5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26"/>
      <w:spacing w:before="44" w:line="223" w:lineRule="auto"/>
      <w:rPr>
        <w:rFonts w:ascii="KaiTi" w:hAnsi="KaiTi" w:eastAsia="KaiTi" w:cs="KaiTi"/>
        <w:sz w:val="18"/>
        <w:szCs w:val="18"/>
      </w:rPr>
    </w:pPr>
    <w:r>
      <w:pict>
        <v:shape id="_x0000_s528" style="position:absolute;margin-left:56.4pt;margin-top:55.32pt;mso-position-vertical-relative:page;mso-position-horizontal-relative:page;width:714.6pt;height:0.85pt;z-index:251762688;" o:allowincell="f" fillcolor="#000000" filled="true" stroked="false" coordsize="14291,17" coordorigin="0,0" path="m,l14291,0l14291,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5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5"/>
      <w:spacing w:before="44" w:line="223" w:lineRule="auto"/>
      <w:rPr>
        <w:rFonts w:ascii="KaiTi" w:hAnsi="KaiTi" w:eastAsia="KaiTi" w:cs="KaiTi"/>
        <w:sz w:val="18"/>
        <w:szCs w:val="18"/>
      </w:rPr>
    </w:pPr>
    <w:r>
      <w:pict>
        <v:shape id="_x0000_s530" style="position:absolute;margin-left:70.8pt;margin-top:55.44pt;mso-position-vertical-relative:page;mso-position-horizontal-relative:page;width:453.65pt;height:0.85pt;z-index:251763712;"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5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7"/>
      <w:spacing w:before="44" w:line="223" w:lineRule="auto"/>
      <w:rPr>
        <w:rFonts w:ascii="KaiTi" w:hAnsi="KaiTi" w:eastAsia="KaiTi" w:cs="KaiTi"/>
        <w:sz w:val="18"/>
        <w:szCs w:val="18"/>
      </w:rPr>
    </w:pPr>
    <w:r>
      <w:pict>
        <v:shape id="_x0000_s532" style="position:absolute;margin-left:70.8pt;margin-top:55.44pt;mso-position-vertical-relative:page;mso-position-horizontal-relative:page;width:453.65pt;height:0.85pt;z-index:251764736;"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5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8"/>
      <w:spacing w:before="44" w:line="223" w:lineRule="auto"/>
      <w:rPr>
        <w:rFonts w:ascii="KaiTi" w:hAnsi="KaiTi" w:eastAsia="KaiTi" w:cs="KaiTi"/>
        <w:sz w:val="18"/>
        <w:szCs w:val="18"/>
      </w:rPr>
    </w:pPr>
    <w:r>
      <w:pict>
        <v:shape id="_x0000_s534" style="position:absolute;margin-left:70.8pt;margin-top:55.44pt;mso-position-vertical-relative:page;mso-position-horizontal-relative:page;width:453.65pt;height:0.85pt;z-index:251765760;"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5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5"/>
      <w:spacing w:before="44" w:line="223" w:lineRule="auto"/>
      <w:rPr>
        <w:rFonts w:ascii="KaiTi" w:hAnsi="KaiTi" w:eastAsia="KaiTi" w:cs="KaiTi"/>
        <w:sz w:val="18"/>
        <w:szCs w:val="18"/>
      </w:rPr>
    </w:pPr>
    <w:r>
      <w:pict>
        <v:shape id="_x0000_s536" style="position:absolute;margin-left:70.8pt;margin-top:55.44pt;mso-position-vertical-relative:page;mso-position-horizontal-relative:page;width:453.65pt;height:0.85pt;z-index:251766784;"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5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5"/>
      <w:spacing w:before="44" w:line="223" w:lineRule="auto"/>
      <w:rPr>
        <w:rFonts w:ascii="KaiTi" w:hAnsi="KaiTi" w:eastAsia="KaiTi" w:cs="KaiTi"/>
        <w:sz w:val="18"/>
        <w:szCs w:val="18"/>
      </w:rPr>
    </w:pPr>
    <w:r>
      <w:pict>
        <v:shape id="_x0000_s538" style="position:absolute;margin-left:70.8pt;margin-top:55.44pt;mso-position-vertical-relative:page;mso-position-horizontal-relative:page;width:453.65pt;height:0.85pt;z-index:251767808;"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272" style="position:absolute;margin-left:70.8pt;margin-top:55.44pt;mso-position-vertical-relative:page;mso-position-horizontal-relative:page;width:453.65pt;height:0.85pt;z-index:25166438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6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5"/>
      <w:spacing w:before="44" w:line="223" w:lineRule="auto"/>
      <w:rPr>
        <w:rFonts w:ascii="KaiTi" w:hAnsi="KaiTi" w:eastAsia="KaiTi" w:cs="KaiTi"/>
        <w:sz w:val="18"/>
        <w:szCs w:val="18"/>
      </w:rPr>
    </w:pPr>
    <w:r>
      <w:pict>
        <v:shape id="_x0000_s1184" style="position:absolute;margin-left:70.8pt;margin-top:55.44pt;mso-position-vertical-relative:page;mso-position-horizontal-relative:page;width:453.65pt;height:0.85pt;z-index:251768832;"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05"/>
      <w:spacing w:before="44" w:line="223" w:lineRule="auto"/>
      <w:rPr>
        <w:rFonts w:ascii="KaiTi" w:hAnsi="KaiTi" w:eastAsia="KaiTi" w:cs="KaiTi"/>
        <w:sz w:val="18"/>
        <w:szCs w:val="18"/>
      </w:rPr>
    </w:pPr>
    <w:r>
      <w:pict>
        <v:shape id="_x0000_s1186" style="position:absolute;margin-left:70.8pt;margin-top:55.44pt;mso-position-vertical-relative:page;mso-position-horizontal-relative:page;width:453.65pt;height:0.85pt;z-index:251769856;"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3"/>
      <w:spacing w:before="44" w:line="223" w:lineRule="auto"/>
      <w:rPr>
        <w:rFonts w:ascii="KaiTi" w:hAnsi="KaiTi" w:eastAsia="KaiTi" w:cs="KaiTi"/>
        <w:sz w:val="18"/>
        <w:szCs w:val="18"/>
      </w:rPr>
    </w:pPr>
    <w:r>
      <w:pict>
        <v:shape id="_x0000_s1188" style="position:absolute;margin-left:70.8pt;margin-top:55.44pt;mso-position-vertical-relative:page;mso-position-horizontal-relative:page;width:453.65pt;height:0.85pt;z-index:251772928;"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5"/>
      <w:spacing w:before="44" w:line="223" w:lineRule="auto"/>
      <w:rPr>
        <w:rFonts w:ascii="KaiTi" w:hAnsi="KaiTi" w:eastAsia="KaiTi" w:cs="KaiTi"/>
        <w:sz w:val="18"/>
        <w:szCs w:val="18"/>
      </w:rPr>
    </w:pPr>
    <w:r>
      <w:pict>
        <v:shape id="_x0000_s1190" style="position:absolute;margin-left:70.8pt;margin-top:55.44pt;mso-position-vertical-relative:page;mso-position-horizontal-relative:page;width:453.65pt;height:0.85pt;z-index:251773952;"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65"/>
      <w:spacing w:before="44" w:line="223" w:lineRule="auto"/>
      <w:rPr>
        <w:rFonts w:ascii="KaiTi" w:hAnsi="KaiTi" w:eastAsia="KaiTi" w:cs="KaiTi"/>
        <w:sz w:val="18"/>
        <w:szCs w:val="18"/>
      </w:rPr>
    </w:pPr>
    <w:r>
      <w:pict>
        <v:shape id="_x0000_s1192" style="position:absolute;margin-left:70.8pt;margin-top:55.44pt;mso-position-vertical-relative:page;mso-position-horizontal-relative:page;width:453.65pt;height:0.85pt;z-index:251776000;"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65"/>
      <w:spacing w:before="44" w:line="223" w:lineRule="auto"/>
      <w:rPr>
        <w:rFonts w:ascii="KaiTi" w:hAnsi="KaiTi" w:eastAsia="KaiTi" w:cs="KaiTi"/>
        <w:sz w:val="18"/>
        <w:szCs w:val="18"/>
      </w:rPr>
    </w:pPr>
    <w:r>
      <w:pict>
        <v:shape id="_x0000_s1194" style="position:absolute;margin-left:70.8pt;margin-top:55.44pt;mso-position-vertical-relative:page;mso-position-horizontal-relative:page;width:453.65pt;height:0.85pt;z-index:251790336;"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3"/>
      <w:spacing w:before="44" w:line="223" w:lineRule="auto"/>
      <w:rPr>
        <w:rFonts w:ascii="KaiTi" w:hAnsi="KaiTi" w:eastAsia="KaiTi" w:cs="KaiTi"/>
        <w:sz w:val="18"/>
        <w:szCs w:val="18"/>
      </w:rPr>
    </w:pPr>
    <w:r>
      <w:pict>
        <v:shape id="_x0000_s1196" style="position:absolute;margin-left:70.8pt;margin-top:55.44pt;mso-position-vertical-relative:page;mso-position-horizontal-relative:page;width:453.65pt;height:0.85pt;z-index:251791360;"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5"/>
      <w:spacing w:before="44" w:line="223" w:lineRule="auto"/>
      <w:rPr>
        <w:rFonts w:ascii="KaiTi" w:hAnsi="KaiTi" w:eastAsia="KaiTi" w:cs="KaiTi"/>
        <w:sz w:val="18"/>
        <w:szCs w:val="18"/>
      </w:rPr>
    </w:pPr>
    <w:r>
      <w:pict>
        <v:shape id="_x0000_s1198" style="position:absolute;margin-left:70.8pt;margin-top:55.44pt;mso-position-vertical-relative:page;mso-position-horizontal-relative:page;width:453.65pt;height:0.85pt;z-index:251795456;"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84"/>
      <w:spacing w:before="44" w:line="223" w:lineRule="auto"/>
      <w:rPr>
        <w:rFonts w:ascii="KaiTi" w:hAnsi="KaiTi" w:eastAsia="KaiTi" w:cs="KaiTi"/>
        <w:sz w:val="18"/>
        <w:szCs w:val="18"/>
      </w:rPr>
    </w:pPr>
    <w:r>
      <w:pict>
        <v:shape id="_x0000_s1200" style="position:absolute;margin-left:70.8pt;margin-top:55.44pt;mso-position-vertical-relative:page;mso-position-horizontal-relative:page;width:453.65pt;height:0.85pt;z-index:251797504;"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6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31"/>
      <w:spacing w:before="44" w:line="223" w:lineRule="auto"/>
      <w:rPr>
        <w:rFonts w:ascii="KaiTi" w:hAnsi="KaiTi" w:eastAsia="KaiTi" w:cs="KaiTi"/>
        <w:sz w:val="18"/>
        <w:szCs w:val="18"/>
      </w:rPr>
    </w:pPr>
    <w:r>
      <w:pict>
        <v:shape id="_x0000_s1204" style="position:absolute;margin-left:70.8pt;margin-top:55.44pt;mso-position-vertical-relative:page;mso-position-horizontal-relative:page;width:453.65pt;height:0.85pt;z-index:251798528;"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74" style="position:absolute;margin-left:70.8pt;margin-top:55.44pt;mso-position-vertical-relative:page;mso-position-horizontal-relative:page;width:453.65pt;height:0.85pt;z-index:25166540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3"/>
      <w:spacing w:before="44" w:line="223" w:lineRule="auto"/>
      <w:rPr>
        <w:rFonts w:ascii="KaiTi" w:hAnsi="KaiTi" w:eastAsia="KaiTi" w:cs="KaiTi"/>
        <w:sz w:val="18"/>
        <w:szCs w:val="18"/>
      </w:rPr>
    </w:pPr>
    <w:r>
      <w:pict>
        <v:shape id="_x0000_s1206" style="position:absolute;margin-left:70.8pt;margin-top:55.44pt;mso-position-vertical-relative:page;mso-position-horizontal-relative:page;width:453.65pt;height:0.85pt;z-index:251803648;"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7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2"/>
      <w:spacing w:before="44" w:line="223" w:lineRule="auto"/>
      <w:rPr>
        <w:rFonts w:ascii="KaiTi" w:hAnsi="KaiTi" w:eastAsia="KaiTi" w:cs="KaiTi"/>
        <w:sz w:val="18"/>
        <w:szCs w:val="18"/>
      </w:rPr>
    </w:pPr>
    <w:r>
      <w:pict>
        <v:shape id="_x0000_s1208" style="position:absolute;margin-left:70.8pt;margin-top:55.44pt;mso-position-vertical-relative:page;mso-position-horizontal-relative:page;width:453.65pt;height:0.85pt;z-index:251805696;"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7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18"/>
      <w:spacing w:before="44" w:line="223" w:lineRule="auto"/>
      <w:rPr>
        <w:rFonts w:ascii="KaiTi" w:hAnsi="KaiTi" w:eastAsia="KaiTi" w:cs="KaiTi"/>
        <w:sz w:val="18"/>
        <w:szCs w:val="18"/>
      </w:rPr>
    </w:pPr>
    <w:r>
      <w:pict>
        <v:shape id="_x0000_s1210" style="position:absolute;margin-left:70.8pt;margin-top:55.44pt;mso-position-vertical-relative:page;mso-position-horizontal-relative:page;width:453.65pt;height:0.85pt;z-index:251806720;" o:allowincell="f" fillcolor="#000000" filled="true" stroked="false" coordsize="9072,17" coordorigin="0,0" path="m,l9072,0l9072,16l0,16l0,0xe"/>
      </w:pict>
    </w:r>
    <w:r>
      <w:rPr>
        <w:rFonts w:ascii="KaiTi" w:hAnsi="KaiTi" w:eastAsia="KaiTi" w:cs="KaiTi"/>
        <w:sz w:val="18"/>
        <w:szCs w:val="18"/>
      </w:rPr>
      <w:t>西乌珠穆沁旗白音华煤田四号露天矿改扩建项目（优化调</w:t>
    </w:r>
    <w:r>
      <w:rPr>
        <w:rFonts w:ascii="KaiTi" w:hAnsi="KaiTi" w:eastAsia="KaiTi" w:cs="KaiTi"/>
        <w:sz w:val="18"/>
        <w:szCs w:val="18"/>
        <w:spacing w:val="-1"/>
      </w:rPr>
      <w:t>整开采范围及地面输煤系统建设）环境影响报告书</w:t>
    </w:r>
  </w:p>
</w:hdr>
</file>

<file path=word/header7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14" style="position:absolute;margin-left:70.8pt;margin-top:56.64pt;mso-position-vertical-relative:page;mso-position-horizontal-relative:page;width:453.65pt;height:0.85pt;z-index:25181593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16" style="position:absolute;margin-left:70.8pt;margin-top:56.64pt;mso-position-vertical-relative:page;mso-position-horizontal-relative:page;width:453.65pt;height:0.85pt;z-index:2518169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18" style="position:absolute;margin-left:70.8pt;margin-top:56.64pt;mso-position-vertical-relative:page;mso-position-horizontal-relative:page;width:453.65pt;height:0.85pt;z-index:25181798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7"/>
      <w:spacing w:before="44" w:line="223" w:lineRule="auto"/>
      <w:rPr>
        <w:rFonts w:ascii="KaiTi" w:hAnsi="KaiTi" w:eastAsia="KaiTi" w:cs="KaiTi"/>
        <w:sz w:val="18"/>
        <w:szCs w:val="18"/>
      </w:rPr>
    </w:pPr>
    <w:r>
      <w:pict>
        <v:shape id="_x0000_s1220" style="position:absolute;margin-left:70.8pt;margin-top:56.64pt;mso-position-vertical-relative:page;mso-position-horizontal-relative:page;width:453.65pt;height:0.85pt;z-index:25181900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22" style="position:absolute;margin-left:70.8pt;margin-top:56.64pt;mso-position-vertical-relative:page;mso-position-horizontal-relative:page;width:453.65pt;height:0.85pt;z-index:2518200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24" style="position:absolute;margin-left:70.8pt;margin-top:56.64pt;mso-position-vertical-relative:page;mso-position-horizontal-relative:page;width:453.65pt;height:0.85pt;z-index:2518231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7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2965"/>
      <w:spacing w:before="44" w:line="223" w:lineRule="auto"/>
      <w:rPr>
        <w:rFonts w:ascii="KaiTi" w:hAnsi="KaiTi" w:eastAsia="KaiTi" w:cs="KaiTi"/>
        <w:sz w:val="18"/>
        <w:szCs w:val="18"/>
      </w:rPr>
    </w:pPr>
    <w:r>
      <w:pict>
        <v:shape id="_x0000_s1226" style="position:absolute;margin-left:71.88pt;margin-top:56.52pt;mso-position-vertical-relative:page;mso-position-horizontal-relative:page;width:697.95pt;height:0.85pt;z-index:251826176;" o:allowincell="f" fillcolor="#000000" filled="true" stroked="false" coordsize="13959,17" coordorigin="0,0" path="m,l13958,0l13958,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76" style="position:absolute;margin-left:70.8pt;margin-top:55.44pt;mso-position-vertical-relative:page;mso-position-horizontal-relative:page;width:453.65pt;height:0.85pt;z-index:2516664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2"/>
      <w:spacing w:before="44" w:line="223" w:lineRule="auto"/>
      <w:rPr>
        <w:rFonts w:ascii="KaiTi" w:hAnsi="KaiTi" w:eastAsia="KaiTi" w:cs="KaiTi"/>
        <w:sz w:val="18"/>
        <w:szCs w:val="18"/>
      </w:rPr>
    </w:pPr>
    <w:r>
      <w:pict>
        <v:shape id="_x0000_s1228" style="position:absolute;margin-left:70.8pt;margin-top:55.44pt;mso-position-vertical-relative:page;mso-position-horizontal-relative:page;width:453.65pt;height:0.85pt;z-index:25182822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3131"/>
      <w:spacing w:before="43" w:line="225" w:lineRule="auto"/>
      <w:rPr>
        <w:rFonts w:ascii="KaiTi" w:hAnsi="KaiTi" w:eastAsia="KaiTi" w:cs="KaiTi"/>
        <w:sz w:val="18"/>
        <w:szCs w:val="18"/>
      </w:rPr>
    </w:pPr>
    <w:r>
      <w:pict>
        <v:shape id="_x0000_s1230" style="position:absolute;margin-left:56.52pt;margin-top:55.44pt;mso-position-vertical-relative:page;mso-position-horizontal-relative:page;width:714.5pt;height:0.85pt;z-index:251829248;" o:allowincell="f" fillcolor="#000000" filled="true" stroked="false" coordsize="14290,17" coordorigin="0,0" path="m,l14289,0l14289,16l0,16l0,0xe"/>
      </w:pict>
    </w:r>
    <w:r>
      <w:rPr>
        <w:rFonts w:ascii="KaiTi" w:hAnsi="KaiTi" w:eastAsia="KaiTi" w:cs="KaiTi"/>
        <w:sz w:val="18"/>
        <w:szCs w:val="18"/>
      </w:rPr>
      <w:t>西乌珠穆沁旗白音华煤田四号露天矿改建项目（优化调整开</w:t>
    </w:r>
    <w:r>
      <w:rPr>
        <w:rFonts w:ascii="KaiTi" w:hAnsi="KaiTi" w:eastAsia="KaiTi" w:cs="KaiTi"/>
        <w:sz w:val="18"/>
        <w:szCs w:val="18"/>
        <w:spacing w:val="-1"/>
      </w:rPr>
      <w:t>采范围及地面输煤系统改建）环境影响报告书</w:t>
    </w:r>
  </w:p>
</w:hdr>
</file>

<file path=word/header8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2"/>
      <w:spacing w:before="44" w:line="223" w:lineRule="auto"/>
      <w:rPr>
        <w:rFonts w:ascii="KaiTi" w:hAnsi="KaiTi" w:eastAsia="KaiTi" w:cs="KaiTi"/>
        <w:sz w:val="18"/>
        <w:szCs w:val="18"/>
      </w:rPr>
    </w:pPr>
    <w:r>
      <w:pict>
        <v:shape id="_x0000_s1232" style="position:absolute;margin-left:70.8pt;margin-top:55.44pt;mso-position-vertical-relative:page;mso-position-horizontal-relative:page;width:453.65pt;height:0.85pt;z-index:25183027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3"/>
      <w:spacing w:before="44" w:line="223" w:lineRule="auto"/>
      <w:rPr>
        <w:rFonts w:ascii="KaiTi" w:hAnsi="KaiTi" w:eastAsia="KaiTi" w:cs="KaiTi"/>
        <w:sz w:val="18"/>
        <w:szCs w:val="18"/>
      </w:rPr>
    </w:pPr>
    <w:r>
      <w:pict>
        <v:shape id="_x0000_s1234" style="position:absolute;margin-left:70.8pt;margin-top:55.44pt;mso-position-vertical-relative:page;mso-position-horizontal-relative:page;width:453.65pt;height:0.85pt;z-index:25183232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36" style="position:absolute;margin-left:70.8pt;margin-top:55.44pt;mso-position-vertical-relative:page;mso-position-horizontal-relative:page;width:453.65pt;height:0.85pt;z-index:25183539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38" style="position:absolute;margin-left:70.8pt;margin-top:55.44pt;mso-position-vertical-relative:page;mso-position-horizontal-relative:page;width:453.65pt;height:0.85pt;z-index:2518425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40" style="position:absolute;margin-left:70.8pt;margin-top:55.44pt;mso-position-vertical-relative:page;mso-position-horizontal-relative:page;width:453.65pt;height:0.85pt;z-index:25184358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6"/>
      <w:spacing w:before="44" w:line="223" w:lineRule="auto"/>
      <w:rPr>
        <w:rFonts w:ascii="KaiTi" w:hAnsi="KaiTi" w:eastAsia="KaiTi" w:cs="KaiTi"/>
        <w:sz w:val="18"/>
        <w:szCs w:val="18"/>
      </w:rPr>
    </w:pPr>
    <w:r>
      <w:pict>
        <v:shape id="_x0000_s1242" style="position:absolute;margin-left:70.8pt;margin-top:55.44pt;mso-position-vertical-relative:page;mso-position-horizontal-relative:page;width:453.65pt;height:0.85pt;z-index:25184460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44" style="position:absolute;margin-left:70.8pt;margin-top:55.44pt;mso-position-vertical-relative:page;mso-position-horizontal-relative:page;width:453.65pt;height:0.85pt;z-index:2518456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8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46" style="position:absolute;margin-left:70.8pt;margin-top:55.44pt;mso-position-vertical-relative:page;mso-position-horizontal-relative:page;width:453.65pt;height:0.85pt;z-index:251846656;"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94"/>
      <w:spacing w:before="44" w:line="223" w:lineRule="auto"/>
      <w:rPr>
        <w:rFonts w:ascii="KaiTi" w:hAnsi="KaiTi" w:eastAsia="KaiTi" w:cs="KaiTi"/>
        <w:sz w:val="18"/>
        <w:szCs w:val="18"/>
      </w:rPr>
    </w:pPr>
    <w:r>
      <w:pict>
        <v:shape id="_x0000_s278" style="position:absolute;margin-left:70.8pt;margin-top:55.44pt;mso-position-vertical-relative:page;mso-position-horizontal-relative:page;width:453.65pt;height:0.85pt;z-index:25166848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48" style="position:absolute;margin-left:70.8pt;margin-top:55.44pt;mso-position-vertical-relative:page;mso-position-horizontal-relative:page;width:453.65pt;height:0.85pt;z-index:25184768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9"/>
      <w:spacing w:before="44" w:line="223" w:lineRule="auto"/>
      <w:rPr>
        <w:rFonts w:ascii="KaiTi" w:hAnsi="KaiTi" w:eastAsia="KaiTi" w:cs="KaiTi"/>
        <w:sz w:val="18"/>
        <w:szCs w:val="18"/>
      </w:rPr>
    </w:pPr>
    <w:r>
      <w:pict>
        <v:shape id="_x0000_s1250" style="position:absolute;margin-left:70.8pt;margin-top:55.44pt;mso-position-vertical-relative:page;mso-position-horizontal-relative:page;width:453.65pt;height:0.85pt;z-index:2518487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9"/>
      <w:spacing w:before="44" w:line="223" w:lineRule="auto"/>
      <w:rPr>
        <w:rFonts w:ascii="KaiTi" w:hAnsi="KaiTi" w:eastAsia="KaiTi" w:cs="KaiTi"/>
        <w:sz w:val="18"/>
        <w:szCs w:val="18"/>
      </w:rPr>
    </w:pPr>
    <w:r>
      <w:pict>
        <v:shape id="_x0000_s1252" style="position:absolute;margin-left:70.8pt;margin-top:55.44pt;mso-position-vertical-relative:page;mso-position-horizontal-relative:page;width:453.65pt;height:0.85pt;z-index:25185075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19"/>
      <w:spacing w:before="44" w:line="223" w:lineRule="auto"/>
      <w:rPr>
        <w:rFonts w:ascii="KaiTi" w:hAnsi="KaiTi" w:eastAsia="KaiTi" w:cs="KaiTi"/>
        <w:sz w:val="18"/>
        <w:szCs w:val="18"/>
      </w:rPr>
    </w:pPr>
    <w:r>
      <w:pict>
        <v:shape id="_x0000_s1254" style="position:absolute;margin-left:70.8pt;margin-top:55.44pt;mso-position-vertical-relative:page;mso-position-horizontal-relative:page;width:453.65pt;height:0.85pt;z-index:25185280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44" w:line="223" w:lineRule="auto"/>
      <w:rPr>
        <w:rFonts w:ascii="KaiTi" w:hAnsi="KaiTi" w:eastAsia="KaiTi" w:cs="KaiTi"/>
        <w:sz w:val="18"/>
        <w:szCs w:val="18"/>
      </w:rPr>
    </w:pPr>
    <w:r>
      <w:pict>
        <v:shape id="_x0000_s1262" style="position:absolute;margin-left:70.8pt;margin-top:55.44pt;mso-position-vertical-relative:page;mso-position-horizontal-relative:page;width:453.65pt;height:0.85pt;z-index:25186406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64" style="position:absolute;margin-left:70.8pt;margin-top:55.44pt;mso-position-vertical-relative:page;mso-position-horizontal-relative:page;width:453.65pt;height:0.85pt;z-index:25186508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14"/>
      <w:spacing w:before="44" w:line="223" w:lineRule="auto"/>
      <w:rPr>
        <w:rFonts w:ascii="KaiTi" w:hAnsi="KaiTi" w:eastAsia="KaiTi" w:cs="KaiTi"/>
        <w:sz w:val="18"/>
        <w:szCs w:val="18"/>
      </w:rPr>
    </w:pPr>
    <w:r>
      <w:pict>
        <v:shape id="_x0000_s1266" style="position:absolute;margin-left:70.8pt;margin-top:55.44pt;mso-position-vertical-relative:page;mso-position-horizontal-relative:page;width:453.65pt;height:0.85pt;z-index:251868160;"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4"/>
      <w:spacing w:before="44" w:line="223" w:lineRule="auto"/>
      <w:rPr>
        <w:rFonts w:ascii="KaiTi" w:hAnsi="KaiTi" w:eastAsia="KaiTi" w:cs="KaiTi"/>
        <w:sz w:val="18"/>
        <w:szCs w:val="18"/>
      </w:rPr>
    </w:pPr>
    <w:r>
      <w:pict>
        <v:shape id="_x0000_s1268" style="position:absolute;margin-left:70.8pt;margin-top:55.44pt;mso-position-vertical-relative:page;mso-position-horizontal-relative:page;width:453.65pt;height:0.85pt;z-index:251870208;"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443"/>
      <w:spacing w:before="44" w:line="223" w:lineRule="auto"/>
      <w:rPr>
        <w:rFonts w:ascii="KaiTi" w:hAnsi="KaiTi" w:eastAsia="KaiTi" w:cs="KaiTi"/>
        <w:sz w:val="18"/>
        <w:szCs w:val="18"/>
      </w:rPr>
    </w:pPr>
    <w:r>
      <w:pict>
        <v:shape id="_x0000_s1270" style="position:absolute;margin-left:70.8pt;margin-top:55.44pt;mso-position-vertical-relative:page;mso-position-horizontal-relative:page;width:453.65pt;height:0.85pt;z-index:251871232;"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header9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27"/>
      <w:spacing w:before="44" w:line="223" w:lineRule="auto"/>
      <w:rPr>
        <w:rFonts w:ascii="KaiTi" w:hAnsi="KaiTi" w:eastAsia="KaiTi" w:cs="KaiTi"/>
        <w:sz w:val="18"/>
        <w:szCs w:val="18"/>
      </w:rPr>
    </w:pPr>
    <w:r>
      <w:pict>
        <v:shape id="_x0000_s1272" style="position:absolute;margin-left:70.8pt;margin-top:55.44pt;mso-position-vertical-relative:page;mso-position-horizontal-relative:page;width:453.65pt;height:0.85pt;z-index:251874304;" o:allowincell="f" fillcolor="#000000" filled="true" stroked="false" coordsize="9072,17" coordorigin="0,0" path="m,l9072,0l9072,16l0,16l0,0xe"/>
      </w:pict>
    </w:r>
    <w:r>
      <w:rPr>
        <w:rFonts w:ascii="KaiTi" w:hAnsi="KaiTi" w:eastAsia="KaiTi" w:cs="KaiTi"/>
        <w:sz w:val="18"/>
        <w:szCs w:val="18"/>
      </w:rPr>
      <w:t>西乌珠穆沁旗白音华煤田四号露天矿改建项目（优化调</w:t>
    </w:r>
    <w:r>
      <w:rPr>
        <w:rFonts w:ascii="KaiTi" w:hAnsi="KaiTi" w:eastAsia="KaiTi" w:cs="KaiTi"/>
        <w:sz w:val="18"/>
        <w:szCs w:val="18"/>
        <w:spacing w:val="-1"/>
      </w:rPr>
      <w:t>整开采范围及地面输煤系统改建）环境影响报告书</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Times New Roman" w:hAnsi="Times New Roman" w:eastAsia="Times New Roman" w:cs="Times New Roman"/>
      <w:sz w:val="20"/>
      <w:szCs w:val="20"/>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4.png"/><Relationship Id="rId98" Type="http://schemas.openxmlformats.org/officeDocument/2006/relationships/footer" Target="footer46.xml"/><Relationship Id="rId97" Type="http://schemas.openxmlformats.org/officeDocument/2006/relationships/header" Target="header29.xml"/><Relationship Id="rId96" Type="http://schemas.openxmlformats.org/officeDocument/2006/relationships/footer" Target="footer45.xml"/><Relationship Id="rId95" Type="http://schemas.openxmlformats.org/officeDocument/2006/relationships/footer" Target="footer44.xml"/><Relationship Id="rId94" Type="http://schemas.openxmlformats.org/officeDocument/2006/relationships/header" Target="header28.xml"/><Relationship Id="rId93" Type="http://schemas.openxmlformats.org/officeDocument/2006/relationships/footer" Target="footer43.xml"/><Relationship Id="rId92" Type="http://schemas.openxmlformats.org/officeDocument/2006/relationships/footer" Target="footer42.xml"/><Relationship Id="rId91" Type="http://schemas.openxmlformats.org/officeDocument/2006/relationships/footer" Target="footer41.xml"/><Relationship Id="rId90" Type="http://schemas.openxmlformats.org/officeDocument/2006/relationships/footer" Target="footer40.xml"/><Relationship Id="rId9" Type="http://schemas.openxmlformats.org/officeDocument/2006/relationships/footer" Target="footer3.xml"/><Relationship Id="rId89" Type="http://schemas.openxmlformats.org/officeDocument/2006/relationships/footer" Target="footer39.xml"/><Relationship Id="rId88" Type="http://schemas.openxmlformats.org/officeDocument/2006/relationships/header" Target="header27.xml"/><Relationship Id="rId87" Type="http://schemas.openxmlformats.org/officeDocument/2006/relationships/footer" Target="footer38.xml"/><Relationship Id="rId86" Type="http://schemas.openxmlformats.org/officeDocument/2006/relationships/header" Target="header26.xml"/><Relationship Id="rId85" Type="http://schemas.openxmlformats.org/officeDocument/2006/relationships/footer" Target="footer37.xml"/><Relationship Id="rId84" Type="http://schemas.openxmlformats.org/officeDocument/2006/relationships/header" Target="header25.xml"/><Relationship Id="rId83" Type="http://schemas.openxmlformats.org/officeDocument/2006/relationships/footer" Target="footer36.xml"/><Relationship Id="rId82" Type="http://schemas.openxmlformats.org/officeDocument/2006/relationships/footer" Target="footer35.xml"/><Relationship Id="rId81" Type="http://schemas.openxmlformats.org/officeDocument/2006/relationships/header" Target="header24.xml"/><Relationship Id="rId80" Type="http://schemas.openxmlformats.org/officeDocument/2006/relationships/footer" Target="footer34.xml"/><Relationship Id="rId8" Type="http://schemas.openxmlformats.org/officeDocument/2006/relationships/footer" Target="footer2.xml"/><Relationship Id="rId79" Type="http://schemas.openxmlformats.org/officeDocument/2006/relationships/header" Target="header23.xml"/><Relationship Id="rId78" Type="http://schemas.openxmlformats.org/officeDocument/2006/relationships/footer" Target="footer33.xml"/><Relationship Id="rId77" Type="http://schemas.openxmlformats.org/officeDocument/2006/relationships/footer" Target="footer32.xml"/><Relationship Id="rId76" Type="http://schemas.openxmlformats.org/officeDocument/2006/relationships/footer" Target="footer31.xml"/><Relationship Id="rId75" Type="http://schemas.openxmlformats.org/officeDocument/2006/relationships/footer" Target="footer30.xml"/><Relationship Id="rId74" Type="http://schemas.openxmlformats.org/officeDocument/2006/relationships/footer" Target="footer29.xml"/><Relationship Id="rId73" Type="http://schemas.openxmlformats.org/officeDocument/2006/relationships/footer" Target="footer28.xml"/><Relationship Id="rId72" Type="http://schemas.openxmlformats.org/officeDocument/2006/relationships/footer" Target="footer27.xml"/><Relationship Id="rId71" Type="http://schemas.openxmlformats.org/officeDocument/2006/relationships/header" Target="header22.xml"/><Relationship Id="rId70" Type="http://schemas.openxmlformats.org/officeDocument/2006/relationships/footer" Target="footer26.xml"/><Relationship Id="rId7" Type="http://schemas.openxmlformats.org/officeDocument/2006/relationships/footer" Target="footer1.xml"/><Relationship Id="rId69" Type="http://schemas.openxmlformats.org/officeDocument/2006/relationships/footer" Target="footer25.xml"/><Relationship Id="rId68" Type="http://schemas.openxmlformats.org/officeDocument/2006/relationships/footer" Target="footer24.xml"/><Relationship Id="rId67" Type="http://schemas.openxmlformats.org/officeDocument/2006/relationships/header" Target="header21.xml"/><Relationship Id="rId66" Type="http://schemas.openxmlformats.org/officeDocument/2006/relationships/footer" Target="footer23.xml"/><Relationship Id="rId65" Type="http://schemas.openxmlformats.org/officeDocument/2006/relationships/header" Target="header20.xml"/><Relationship Id="rId64" Type="http://schemas.openxmlformats.org/officeDocument/2006/relationships/footer" Target="footer22.xml"/><Relationship Id="rId63" Type="http://schemas.openxmlformats.org/officeDocument/2006/relationships/header" Target="header19.xml"/><Relationship Id="rId62" Type="http://schemas.openxmlformats.org/officeDocument/2006/relationships/footer" Target="footer21.xml"/><Relationship Id="rId61" Type="http://schemas.openxmlformats.org/officeDocument/2006/relationships/header" Target="header18.xml"/><Relationship Id="rId604" Type="http://schemas.openxmlformats.org/officeDocument/2006/relationships/fontTable" Target="fontTable.xml"/><Relationship Id="rId603" Type="http://schemas.openxmlformats.org/officeDocument/2006/relationships/styles" Target="styles.xml"/><Relationship Id="rId602" Type="http://schemas.openxmlformats.org/officeDocument/2006/relationships/settings" Target="settings.xml"/><Relationship Id="rId601" Type="http://schemas.openxmlformats.org/officeDocument/2006/relationships/hyperlink" Target="https://mp.weixin.qq.com/s/hBkRZUSrHIeq4OwlaNmvnw" TargetMode="External"/><Relationship Id="rId600" Type="http://schemas.openxmlformats.org/officeDocument/2006/relationships/footer" Target="footer294.xml"/><Relationship Id="rId60" Type="http://schemas.openxmlformats.org/officeDocument/2006/relationships/footer" Target="footer20.xml"/><Relationship Id="rId6" Type="http://schemas.openxmlformats.org/officeDocument/2006/relationships/header" Target="header3.xml"/><Relationship Id="rId599" Type="http://schemas.openxmlformats.org/officeDocument/2006/relationships/image" Target="media/image170.jpeg"/><Relationship Id="rId598" Type="http://schemas.openxmlformats.org/officeDocument/2006/relationships/image" Target="media/image169.jpeg"/><Relationship Id="rId597" Type="http://schemas.openxmlformats.org/officeDocument/2006/relationships/footer" Target="footer293.xml"/><Relationship Id="rId596" Type="http://schemas.openxmlformats.org/officeDocument/2006/relationships/image" Target="media/image168.jpeg"/><Relationship Id="rId595" Type="http://schemas.openxmlformats.org/officeDocument/2006/relationships/footer" Target="footer292.xml"/><Relationship Id="rId594" Type="http://schemas.openxmlformats.org/officeDocument/2006/relationships/image" Target="media/image167.png"/><Relationship Id="rId593" Type="http://schemas.openxmlformats.org/officeDocument/2006/relationships/footer" Target="footer291.xml"/><Relationship Id="rId592" Type="http://schemas.openxmlformats.org/officeDocument/2006/relationships/header" Target="header135.xml"/><Relationship Id="rId591" Type="http://schemas.openxmlformats.org/officeDocument/2006/relationships/hyperlink" Target="https://mp.weixin.qq.com/s/O1TVKMG9xnqz_P7whloEjw" TargetMode="External"/><Relationship Id="rId590" Type="http://schemas.openxmlformats.org/officeDocument/2006/relationships/footer" Target="footer290.xml"/><Relationship Id="rId59" Type="http://schemas.openxmlformats.org/officeDocument/2006/relationships/header" Target="header17.xml"/><Relationship Id="rId589" Type="http://schemas.openxmlformats.org/officeDocument/2006/relationships/footer" Target="footer289.xml"/><Relationship Id="rId588" Type="http://schemas.openxmlformats.org/officeDocument/2006/relationships/footer" Target="footer288.xml"/><Relationship Id="rId587" Type="http://schemas.openxmlformats.org/officeDocument/2006/relationships/footer" Target="footer287.xml"/><Relationship Id="rId586" Type="http://schemas.openxmlformats.org/officeDocument/2006/relationships/footer" Target="footer286.xml"/><Relationship Id="rId585" Type="http://schemas.openxmlformats.org/officeDocument/2006/relationships/footer" Target="footer285.xml"/><Relationship Id="rId584" Type="http://schemas.openxmlformats.org/officeDocument/2006/relationships/footer" Target="footer284.xml"/><Relationship Id="rId583" Type="http://schemas.openxmlformats.org/officeDocument/2006/relationships/footer" Target="footer283.xml"/><Relationship Id="rId582" Type="http://schemas.openxmlformats.org/officeDocument/2006/relationships/header" Target="header134.xml"/><Relationship Id="rId581" Type="http://schemas.openxmlformats.org/officeDocument/2006/relationships/footer" Target="footer282.xml"/><Relationship Id="rId580" Type="http://schemas.openxmlformats.org/officeDocument/2006/relationships/footer" Target="footer281.xml"/><Relationship Id="rId58" Type="http://schemas.openxmlformats.org/officeDocument/2006/relationships/footer" Target="footer19.xml"/><Relationship Id="rId579" Type="http://schemas.openxmlformats.org/officeDocument/2006/relationships/header" Target="header133.xml"/><Relationship Id="rId578" Type="http://schemas.openxmlformats.org/officeDocument/2006/relationships/footer" Target="footer280.xml"/><Relationship Id="rId577" Type="http://schemas.openxmlformats.org/officeDocument/2006/relationships/footer" Target="footer279.xml"/><Relationship Id="rId576" Type="http://schemas.openxmlformats.org/officeDocument/2006/relationships/footer" Target="footer278.xml"/><Relationship Id="rId575" Type="http://schemas.openxmlformats.org/officeDocument/2006/relationships/header" Target="header132.xml"/><Relationship Id="rId574" Type="http://schemas.openxmlformats.org/officeDocument/2006/relationships/footer" Target="footer277.xml"/><Relationship Id="rId573" Type="http://schemas.openxmlformats.org/officeDocument/2006/relationships/footer" Target="footer276.xml"/><Relationship Id="rId572" Type="http://schemas.openxmlformats.org/officeDocument/2006/relationships/footer" Target="footer275.xml"/><Relationship Id="rId571" Type="http://schemas.openxmlformats.org/officeDocument/2006/relationships/footer" Target="footer274.xml"/><Relationship Id="rId570" Type="http://schemas.openxmlformats.org/officeDocument/2006/relationships/footer" Target="footer273.xml"/><Relationship Id="rId57" Type="http://schemas.openxmlformats.org/officeDocument/2006/relationships/footer" Target="footer18.xml"/><Relationship Id="rId569" Type="http://schemas.openxmlformats.org/officeDocument/2006/relationships/footer" Target="footer272.xml"/><Relationship Id="rId568" Type="http://schemas.openxmlformats.org/officeDocument/2006/relationships/header" Target="header131.xml"/><Relationship Id="rId567" Type="http://schemas.openxmlformats.org/officeDocument/2006/relationships/footer" Target="footer271.xml"/><Relationship Id="rId566" Type="http://schemas.openxmlformats.org/officeDocument/2006/relationships/footer" Target="footer270.xml"/><Relationship Id="rId565" Type="http://schemas.openxmlformats.org/officeDocument/2006/relationships/footer" Target="footer269.xml"/><Relationship Id="rId564" Type="http://schemas.openxmlformats.org/officeDocument/2006/relationships/footer" Target="footer268.xml"/><Relationship Id="rId563" Type="http://schemas.openxmlformats.org/officeDocument/2006/relationships/footer" Target="footer267.xml"/><Relationship Id="rId562" Type="http://schemas.openxmlformats.org/officeDocument/2006/relationships/footer" Target="footer266.xml"/><Relationship Id="rId561" Type="http://schemas.openxmlformats.org/officeDocument/2006/relationships/header" Target="header130.xml"/><Relationship Id="rId560" Type="http://schemas.openxmlformats.org/officeDocument/2006/relationships/image" Target="media/image166.png"/><Relationship Id="rId56" Type="http://schemas.openxmlformats.org/officeDocument/2006/relationships/header" Target="header16.xml"/><Relationship Id="rId559" Type="http://schemas.openxmlformats.org/officeDocument/2006/relationships/footer" Target="footer265.xml"/><Relationship Id="rId558" Type="http://schemas.openxmlformats.org/officeDocument/2006/relationships/footer" Target="footer264.xml"/><Relationship Id="rId557" Type="http://schemas.openxmlformats.org/officeDocument/2006/relationships/footer" Target="footer263.xml"/><Relationship Id="rId556" Type="http://schemas.openxmlformats.org/officeDocument/2006/relationships/header" Target="header129.xml"/><Relationship Id="rId555" Type="http://schemas.openxmlformats.org/officeDocument/2006/relationships/footer" Target="footer262.xml"/><Relationship Id="rId554" Type="http://schemas.openxmlformats.org/officeDocument/2006/relationships/header" Target="header128.xml"/><Relationship Id="rId553" Type="http://schemas.openxmlformats.org/officeDocument/2006/relationships/footer" Target="footer261.xml"/><Relationship Id="rId552" Type="http://schemas.openxmlformats.org/officeDocument/2006/relationships/footer" Target="footer260.xml"/><Relationship Id="rId551" Type="http://schemas.openxmlformats.org/officeDocument/2006/relationships/header" Target="header127.xml"/><Relationship Id="rId550" Type="http://schemas.openxmlformats.org/officeDocument/2006/relationships/footer" Target="footer259.xml"/><Relationship Id="rId55" Type="http://schemas.openxmlformats.org/officeDocument/2006/relationships/image" Target="media/image23.jpeg"/><Relationship Id="rId549" Type="http://schemas.openxmlformats.org/officeDocument/2006/relationships/footer" Target="footer258.xml"/><Relationship Id="rId548" Type="http://schemas.openxmlformats.org/officeDocument/2006/relationships/footer" Target="footer257.xml"/><Relationship Id="rId547" Type="http://schemas.openxmlformats.org/officeDocument/2006/relationships/footer" Target="footer256.xml"/><Relationship Id="rId546" Type="http://schemas.openxmlformats.org/officeDocument/2006/relationships/header" Target="header126.xml"/><Relationship Id="rId545" Type="http://schemas.openxmlformats.org/officeDocument/2006/relationships/footer" Target="footer255.xml"/><Relationship Id="rId544" Type="http://schemas.openxmlformats.org/officeDocument/2006/relationships/footer" Target="footer254.xml"/><Relationship Id="rId543" Type="http://schemas.openxmlformats.org/officeDocument/2006/relationships/footer" Target="footer253.xml"/><Relationship Id="rId542" Type="http://schemas.openxmlformats.org/officeDocument/2006/relationships/header" Target="header125.xml"/><Relationship Id="rId541" Type="http://schemas.openxmlformats.org/officeDocument/2006/relationships/footer" Target="footer252.xml"/><Relationship Id="rId540" Type="http://schemas.openxmlformats.org/officeDocument/2006/relationships/header" Target="header124.xml"/><Relationship Id="rId54" Type="http://schemas.openxmlformats.org/officeDocument/2006/relationships/footer" Target="footer17.xml"/><Relationship Id="rId539" Type="http://schemas.openxmlformats.org/officeDocument/2006/relationships/image" Target="media/image165.png"/><Relationship Id="rId538" Type="http://schemas.openxmlformats.org/officeDocument/2006/relationships/image" Target="media/image164.png"/><Relationship Id="rId537" Type="http://schemas.openxmlformats.org/officeDocument/2006/relationships/image" Target="media/image163.png"/><Relationship Id="rId536" Type="http://schemas.openxmlformats.org/officeDocument/2006/relationships/image" Target="media/image162.png"/><Relationship Id="rId535" Type="http://schemas.openxmlformats.org/officeDocument/2006/relationships/image" Target="media/image161.png"/><Relationship Id="rId534" Type="http://schemas.openxmlformats.org/officeDocument/2006/relationships/image" Target="media/image160.png"/><Relationship Id="rId533" Type="http://schemas.openxmlformats.org/officeDocument/2006/relationships/footer" Target="footer251.xml"/><Relationship Id="rId532" Type="http://schemas.openxmlformats.org/officeDocument/2006/relationships/footer" Target="footer250.xml"/><Relationship Id="rId531" Type="http://schemas.openxmlformats.org/officeDocument/2006/relationships/header" Target="header123.xml"/><Relationship Id="rId530" Type="http://schemas.openxmlformats.org/officeDocument/2006/relationships/footer" Target="footer249.xml"/><Relationship Id="rId53" Type="http://schemas.openxmlformats.org/officeDocument/2006/relationships/header" Target="header15.xml"/><Relationship Id="rId529" Type="http://schemas.openxmlformats.org/officeDocument/2006/relationships/footer" Target="footer248.xml"/><Relationship Id="rId528" Type="http://schemas.openxmlformats.org/officeDocument/2006/relationships/header" Target="header122.xml"/><Relationship Id="rId527" Type="http://schemas.openxmlformats.org/officeDocument/2006/relationships/footer" Target="footer247.xml"/><Relationship Id="rId526" Type="http://schemas.openxmlformats.org/officeDocument/2006/relationships/header" Target="header121.xml"/><Relationship Id="rId525" Type="http://schemas.openxmlformats.org/officeDocument/2006/relationships/footer" Target="footer246.xml"/><Relationship Id="rId524" Type="http://schemas.openxmlformats.org/officeDocument/2006/relationships/header" Target="header120.xml"/><Relationship Id="rId523" Type="http://schemas.openxmlformats.org/officeDocument/2006/relationships/footer" Target="footer245.xml"/><Relationship Id="rId522" Type="http://schemas.openxmlformats.org/officeDocument/2006/relationships/header" Target="header119.xml"/><Relationship Id="rId521" Type="http://schemas.openxmlformats.org/officeDocument/2006/relationships/footer" Target="footer244.xml"/><Relationship Id="rId520" Type="http://schemas.openxmlformats.org/officeDocument/2006/relationships/header" Target="header118.xml"/><Relationship Id="rId52" Type="http://schemas.openxmlformats.org/officeDocument/2006/relationships/footer" Target="footer16.xml"/><Relationship Id="rId519" Type="http://schemas.openxmlformats.org/officeDocument/2006/relationships/footer" Target="footer243.xml"/><Relationship Id="rId518" Type="http://schemas.openxmlformats.org/officeDocument/2006/relationships/header" Target="header117.xml"/><Relationship Id="rId517" Type="http://schemas.openxmlformats.org/officeDocument/2006/relationships/footer" Target="footer242.xml"/><Relationship Id="rId516" Type="http://schemas.openxmlformats.org/officeDocument/2006/relationships/footer" Target="footer241.xml"/><Relationship Id="rId515" Type="http://schemas.openxmlformats.org/officeDocument/2006/relationships/header" Target="header116.xml"/><Relationship Id="rId514" Type="http://schemas.openxmlformats.org/officeDocument/2006/relationships/footer" Target="footer240.xml"/><Relationship Id="rId513" Type="http://schemas.openxmlformats.org/officeDocument/2006/relationships/footer" Target="footer239.xml"/><Relationship Id="rId512" Type="http://schemas.openxmlformats.org/officeDocument/2006/relationships/image" Target="media/image159.png"/><Relationship Id="rId511" Type="http://schemas.openxmlformats.org/officeDocument/2006/relationships/image" Target="media/image158.png"/><Relationship Id="rId510" Type="http://schemas.openxmlformats.org/officeDocument/2006/relationships/footer" Target="footer238.xml"/><Relationship Id="rId51" Type="http://schemas.openxmlformats.org/officeDocument/2006/relationships/header" Target="header14.xml"/><Relationship Id="rId509" Type="http://schemas.openxmlformats.org/officeDocument/2006/relationships/image" Target="media/image157.png"/><Relationship Id="rId508" Type="http://schemas.openxmlformats.org/officeDocument/2006/relationships/image" Target="media/image156.png"/><Relationship Id="rId507" Type="http://schemas.openxmlformats.org/officeDocument/2006/relationships/image" Target="media/image155.png"/><Relationship Id="rId506" Type="http://schemas.openxmlformats.org/officeDocument/2006/relationships/image" Target="media/image154.png"/><Relationship Id="rId505" Type="http://schemas.openxmlformats.org/officeDocument/2006/relationships/footer" Target="footer237.xml"/><Relationship Id="rId504" Type="http://schemas.openxmlformats.org/officeDocument/2006/relationships/footer" Target="footer236.xml"/><Relationship Id="rId503" Type="http://schemas.openxmlformats.org/officeDocument/2006/relationships/image" Target="media/image153.jpeg"/><Relationship Id="rId502" Type="http://schemas.openxmlformats.org/officeDocument/2006/relationships/footer" Target="footer235.xml"/><Relationship Id="rId501" Type="http://schemas.openxmlformats.org/officeDocument/2006/relationships/header" Target="header115.xml"/><Relationship Id="rId500" Type="http://schemas.openxmlformats.org/officeDocument/2006/relationships/footer" Target="footer234.xml"/><Relationship Id="rId50" Type="http://schemas.openxmlformats.org/officeDocument/2006/relationships/footer" Target="footer15.xml"/><Relationship Id="rId5" Type="http://schemas.openxmlformats.org/officeDocument/2006/relationships/image" Target="media/image3.png"/><Relationship Id="rId499" Type="http://schemas.openxmlformats.org/officeDocument/2006/relationships/header" Target="header114.xml"/><Relationship Id="rId498" Type="http://schemas.openxmlformats.org/officeDocument/2006/relationships/image" Target="media/image152.jpeg"/><Relationship Id="rId497" Type="http://schemas.openxmlformats.org/officeDocument/2006/relationships/footer" Target="footer233.xml"/><Relationship Id="rId496" Type="http://schemas.openxmlformats.org/officeDocument/2006/relationships/image" Target="media/image151.jpeg"/><Relationship Id="rId495" Type="http://schemas.openxmlformats.org/officeDocument/2006/relationships/footer" Target="footer232.xml"/><Relationship Id="rId494" Type="http://schemas.openxmlformats.org/officeDocument/2006/relationships/header" Target="header113.xml"/><Relationship Id="rId493" Type="http://schemas.openxmlformats.org/officeDocument/2006/relationships/footer" Target="footer231.xml"/><Relationship Id="rId492" Type="http://schemas.openxmlformats.org/officeDocument/2006/relationships/header" Target="header112.xml"/><Relationship Id="rId491" Type="http://schemas.openxmlformats.org/officeDocument/2006/relationships/footer" Target="footer230.xml"/><Relationship Id="rId490" Type="http://schemas.openxmlformats.org/officeDocument/2006/relationships/footer" Target="footer229.xml"/><Relationship Id="rId49" Type="http://schemas.openxmlformats.org/officeDocument/2006/relationships/header" Target="header13.xml"/><Relationship Id="rId489" Type="http://schemas.openxmlformats.org/officeDocument/2006/relationships/header" Target="header111.xml"/><Relationship Id="rId488" Type="http://schemas.openxmlformats.org/officeDocument/2006/relationships/footer" Target="footer228.xml"/><Relationship Id="rId487" Type="http://schemas.openxmlformats.org/officeDocument/2006/relationships/header" Target="header110.xml"/><Relationship Id="rId486" Type="http://schemas.openxmlformats.org/officeDocument/2006/relationships/footer" Target="footer227.xml"/><Relationship Id="rId485" Type="http://schemas.openxmlformats.org/officeDocument/2006/relationships/footer" Target="footer226.xml"/><Relationship Id="rId484" Type="http://schemas.openxmlformats.org/officeDocument/2006/relationships/header" Target="header109.xml"/><Relationship Id="rId483" Type="http://schemas.openxmlformats.org/officeDocument/2006/relationships/footer" Target="footer225.xml"/><Relationship Id="rId482" Type="http://schemas.openxmlformats.org/officeDocument/2006/relationships/header" Target="header108.xml"/><Relationship Id="rId481" Type="http://schemas.openxmlformats.org/officeDocument/2006/relationships/footer" Target="footer224.xml"/><Relationship Id="rId480" Type="http://schemas.openxmlformats.org/officeDocument/2006/relationships/footer" Target="footer223.xml"/><Relationship Id="rId48" Type="http://schemas.openxmlformats.org/officeDocument/2006/relationships/footer" Target="footer14.xml"/><Relationship Id="rId479" Type="http://schemas.openxmlformats.org/officeDocument/2006/relationships/header" Target="header107.xml"/><Relationship Id="rId478" Type="http://schemas.openxmlformats.org/officeDocument/2006/relationships/footer" Target="footer222.xml"/><Relationship Id="rId477" Type="http://schemas.openxmlformats.org/officeDocument/2006/relationships/footer" Target="footer221.xml"/><Relationship Id="rId476" Type="http://schemas.openxmlformats.org/officeDocument/2006/relationships/header" Target="header106.xml"/><Relationship Id="rId475" Type="http://schemas.openxmlformats.org/officeDocument/2006/relationships/footer" Target="footer220.xml"/><Relationship Id="rId474" Type="http://schemas.openxmlformats.org/officeDocument/2006/relationships/header" Target="header105.xml"/><Relationship Id="rId473" Type="http://schemas.openxmlformats.org/officeDocument/2006/relationships/footer" Target="footer219.xml"/><Relationship Id="rId472" Type="http://schemas.openxmlformats.org/officeDocument/2006/relationships/image" Target="media/image150.jpeg"/><Relationship Id="rId471" Type="http://schemas.openxmlformats.org/officeDocument/2006/relationships/footer" Target="footer218.xml"/><Relationship Id="rId470" Type="http://schemas.openxmlformats.org/officeDocument/2006/relationships/header" Target="header104.xml"/><Relationship Id="rId47" Type="http://schemas.openxmlformats.org/officeDocument/2006/relationships/header" Target="header12.xml"/><Relationship Id="rId469" Type="http://schemas.openxmlformats.org/officeDocument/2006/relationships/footer" Target="footer217.xml"/><Relationship Id="rId468" Type="http://schemas.openxmlformats.org/officeDocument/2006/relationships/header" Target="header103.xml"/><Relationship Id="rId467" Type="http://schemas.openxmlformats.org/officeDocument/2006/relationships/image" Target="media/image149.jpeg"/><Relationship Id="rId466" Type="http://schemas.openxmlformats.org/officeDocument/2006/relationships/footer" Target="footer216.xml"/><Relationship Id="rId465" Type="http://schemas.openxmlformats.org/officeDocument/2006/relationships/header" Target="header102.xml"/><Relationship Id="rId464" Type="http://schemas.openxmlformats.org/officeDocument/2006/relationships/footer" Target="footer215.xml"/><Relationship Id="rId463" Type="http://schemas.openxmlformats.org/officeDocument/2006/relationships/footer" Target="footer214.xml"/><Relationship Id="rId462" Type="http://schemas.openxmlformats.org/officeDocument/2006/relationships/header" Target="header101.xml"/><Relationship Id="rId461" Type="http://schemas.openxmlformats.org/officeDocument/2006/relationships/footer" Target="footer213.xml"/><Relationship Id="rId460" Type="http://schemas.openxmlformats.org/officeDocument/2006/relationships/header" Target="header100.xml"/><Relationship Id="rId46" Type="http://schemas.openxmlformats.org/officeDocument/2006/relationships/footer" Target="footer13.xml"/><Relationship Id="rId459" Type="http://schemas.openxmlformats.org/officeDocument/2006/relationships/footer" Target="footer212.xml"/><Relationship Id="rId458" Type="http://schemas.openxmlformats.org/officeDocument/2006/relationships/header" Target="header99.xml"/><Relationship Id="rId457" Type="http://schemas.openxmlformats.org/officeDocument/2006/relationships/footer" Target="footer211.xml"/><Relationship Id="rId456" Type="http://schemas.openxmlformats.org/officeDocument/2006/relationships/footer" Target="footer210.xml"/><Relationship Id="rId455" Type="http://schemas.openxmlformats.org/officeDocument/2006/relationships/footer" Target="footer209.xml"/><Relationship Id="rId454" Type="http://schemas.openxmlformats.org/officeDocument/2006/relationships/header" Target="header98.xml"/><Relationship Id="rId453" Type="http://schemas.openxmlformats.org/officeDocument/2006/relationships/footer" Target="footer208.xml"/><Relationship Id="rId452" Type="http://schemas.openxmlformats.org/officeDocument/2006/relationships/header" Target="header97.xml"/><Relationship Id="rId451" Type="http://schemas.openxmlformats.org/officeDocument/2006/relationships/footer" Target="footer207.xml"/><Relationship Id="rId450" Type="http://schemas.openxmlformats.org/officeDocument/2006/relationships/image" Target="media/image148.jpeg"/><Relationship Id="rId45" Type="http://schemas.openxmlformats.org/officeDocument/2006/relationships/header" Target="header11.xml"/><Relationship Id="rId449" Type="http://schemas.openxmlformats.org/officeDocument/2006/relationships/footer" Target="footer206.xml"/><Relationship Id="rId448" Type="http://schemas.openxmlformats.org/officeDocument/2006/relationships/header" Target="header96.xml"/><Relationship Id="rId447" Type="http://schemas.openxmlformats.org/officeDocument/2006/relationships/footer" Target="footer205.xml"/><Relationship Id="rId446" Type="http://schemas.openxmlformats.org/officeDocument/2006/relationships/footer" Target="footer204.xml"/><Relationship Id="rId445" Type="http://schemas.openxmlformats.org/officeDocument/2006/relationships/footer" Target="footer203.xml"/><Relationship Id="rId444" Type="http://schemas.openxmlformats.org/officeDocument/2006/relationships/header" Target="header95.xml"/><Relationship Id="rId443" Type="http://schemas.openxmlformats.org/officeDocument/2006/relationships/footer" Target="footer202.xml"/><Relationship Id="rId442" Type="http://schemas.openxmlformats.org/officeDocument/2006/relationships/header" Target="header94.xml"/><Relationship Id="rId441" Type="http://schemas.openxmlformats.org/officeDocument/2006/relationships/image" Target="media/image147.png"/><Relationship Id="rId440" Type="http://schemas.openxmlformats.org/officeDocument/2006/relationships/image" Target="media/image146.png"/><Relationship Id="rId44" Type="http://schemas.openxmlformats.org/officeDocument/2006/relationships/footer" Target="footer12.xml"/><Relationship Id="rId439" Type="http://schemas.openxmlformats.org/officeDocument/2006/relationships/footer" Target="footer201.xml"/><Relationship Id="rId438" Type="http://schemas.openxmlformats.org/officeDocument/2006/relationships/image" Target="media/image145.png"/><Relationship Id="rId437" Type="http://schemas.openxmlformats.org/officeDocument/2006/relationships/footer" Target="footer200.xml"/><Relationship Id="rId436" Type="http://schemas.openxmlformats.org/officeDocument/2006/relationships/footer" Target="footer199.xml"/><Relationship Id="rId435" Type="http://schemas.openxmlformats.org/officeDocument/2006/relationships/image" Target="media/image144.png"/><Relationship Id="rId434" Type="http://schemas.openxmlformats.org/officeDocument/2006/relationships/footer" Target="footer198.xml"/><Relationship Id="rId433" Type="http://schemas.openxmlformats.org/officeDocument/2006/relationships/image" Target="media/image143.jpeg"/><Relationship Id="rId432" Type="http://schemas.openxmlformats.org/officeDocument/2006/relationships/footer" Target="footer197.xml"/><Relationship Id="rId431" Type="http://schemas.openxmlformats.org/officeDocument/2006/relationships/footer" Target="footer196.xml"/><Relationship Id="rId430" Type="http://schemas.openxmlformats.org/officeDocument/2006/relationships/footer" Target="footer195.xml"/><Relationship Id="rId43" Type="http://schemas.openxmlformats.org/officeDocument/2006/relationships/header" Target="header10.xml"/><Relationship Id="rId429" Type="http://schemas.openxmlformats.org/officeDocument/2006/relationships/image" Target="media/image142.png"/><Relationship Id="rId428" Type="http://schemas.openxmlformats.org/officeDocument/2006/relationships/footer" Target="footer194.xml"/><Relationship Id="rId427" Type="http://schemas.openxmlformats.org/officeDocument/2006/relationships/footer" Target="footer193.xml"/><Relationship Id="rId426" Type="http://schemas.openxmlformats.org/officeDocument/2006/relationships/footer" Target="footer192.xml"/><Relationship Id="rId425" Type="http://schemas.openxmlformats.org/officeDocument/2006/relationships/footer" Target="footer191.xml"/><Relationship Id="rId424" Type="http://schemas.openxmlformats.org/officeDocument/2006/relationships/header" Target="header93.xml"/><Relationship Id="rId423" Type="http://schemas.openxmlformats.org/officeDocument/2006/relationships/footer" Target="footer190.xml"/><Relationship Id="rId422" Type="http://schemas.openxmlformats.org/officeDocument/2006/relationships/footer" Target="footer189.xml"/><Relationship Id="rId421" Type="http://schemas.openxmlformats.org/officeDocument/2006/relationships/header" Target="header92.xml"/><Relationship Id="rId420" Type="http://schemas.openxmlformats.org/officeDocument/2006/relationships/footer" Target="footer188.xml"/><Relationship Id="rId42" Type="http://schemas.openxmlformats.org/officeDocument/2006/relationships/footer" Target="footer11.xml"/><Relationship Id="rId419" Type="http://schemas.openxmlformats.org/officeDocument/2006/relationships/footer" Target="footer187.xml"/><Relationship Id="rId418" Type="http://schemas.openxmlformats.org/officeDocument/2006/relationships/header" Target="header91.xml"/><Relationship Id="rId417" Type="http://schemas.openxmlformats.org/officeDocument/2006/relationships/footer" Target="footer186.xml"/><Relationship Id="rId416" Type="http://schemas.openxmlformats.org/officeDocument/2006/relationships/header" Target="header90.xml"/><Relationship Id="rId415" Type="http://schemas.openxmlformats.org/officeDocument/2006/relationships/image" Target="media/image141.jpeg"/><Relationship Id="rId414" Type="http://schemas.openxmlformats.org/officeDocument/2006/relationships/footer" Target="footer185.xml"/><Relationship Id="rId413" Type="http://schemas.openxmlformats.org/officeDocument/2006/relationships/header" Target="header89.xml"/><Relationship Id="rId412" Type="http://schemas.openxmlformats.org/officeDocument/2006/relationships/footer" Target="footer184.xml"/><Relationship Id="rId411" Type="http://schemas.openxmlformats.org/officeDocument/2006/relationships/header" Target="header88.xml"/><Relationship Id="rId410" Type="http://schemas.openxmlformats.org/officeDocument/2006/relationships/footer" Target="footer183.xml"/><Relationship Id="rId41" Type="http://schemas.openxmlformats.org/officeDocument/2006/relationships/header" Target="header9.xml"/><Relationship Id="rId409" Type="http://schemas.openxmlformats.org/officeDocument/2006/relationships/header" Target="header87.xml"/><Relationship Id="rId408" Type="http://schemas.openxmlformats.org/officeDocument/2006/relationships/image" Target="media/image140.jpeg"/><Relationship Id="rId407" Type="http://schemas.openxmlformats.org/officeDocument/2006/relationships/footer" Target="footer182.xml"/><Relationship Id="rId406" Type="http://schemas.openxmlformats.org/officeDocument/2006/relationships/header" Target="header86.xml"/><Relationship Id="rId405" Type="http://schemas.openxmlformats.org/officeDocument/2006/relationships/image" Target="media/image139.png"/><Relationship Id="rId404" Type="http://schemas.openxmlformats.org/officeDocument/2006/relationships/footer" Target="footer181.xml"/><Relationship Id="rId403" Type="http://schemas.openxmlformats.org/officeDocument/2006/relationships/header" Target="header85.xml"/><Relationship Id="rId402" Type="http://schemas.openxmlformats.org/officeDocument/2006/relationships/footer" Target="footer180.xml"/><Relationship Id="rId401" Type="http://schemas.openxmlformats.org/officeDocument/2006/relationships/footer" Target="footer179.xml"/><Relationship Id="rId400" Type="http://schemas.openxmlformats.org/officeDocument/2006/relationships/footer" Target="footer178.xml"/><Relationship Id="rId40" Type="http://schemas.openxmlformats.org/officeDocument/2006/relationships/footer" Target="footer10.xml"/><Relationship Id="rId4" Type="http://schemas.openxmlformats.org/officeDocument/2006/relationships/image" Target="media/image2.png"/><Relationship Id="rId399" Type="http://schemas.openxmlformats.org/officeDocument/2006/relationships/footer" Target="footer177.xml"/><Relationship Id="rId398" Type="http://schemas.openxmlformats.org/officeDocument/2006/relationships/footer" Target="footer176.xml"/><Relationship Id="rId397" Type="http://schemas.openxmlformats.org/officeDocument/2006/relationships/footer" Target="footer175.xml"/><Relationship Id="rId396" Type="http://schemas.openxmlformats.org/officeDocument/2006/relationships/footer" Target="footer174.xml"/><Relationship Id="rId395" Type="http://schemas.openxmlformats.org/officeDocument/2006/relationships/header" Target="header84.xml"/><Relationship Id="rId394" Type="http://schemas.openxmlformats.org/officeDocument/2006/relationships/image" Target="media/image138.png"/><Relationship Id="rId393" Type="http://schemas.openxmlformats.org/officeDocument/2006/relationships/footer" Target="footer173.xml"/><Relationship Id="rId392" Type="http://schemas.openxmlformats.org/officeDocument/2006/relationships/image" Target="media/image137.png"/><Relationship Id="rId391" Type="http://schemas.openxmlformats.org/officeDocument/2006/relationships/image" Target="media/image136.png"/><Relationship Id="rId390" Type="http://schemas.openxmlformats.org/officeDocument/2006/relationships/footer" Target="footer172.xml"/><Relationship Id="rId39" Type="http://schemas.openxmlformats.org/officeDocument/2006/relationships/footer" Target="footer9.xml"/><Relationship Id="rId389" Type="http://schemas.openxmlformats.org/officeDocument/2006/relationships/image" Target="media/image135.png"/><Relationship Id="rId388" Type="http://schemas.openxmlformats.org/officeDocument/2006/relationships/image" Target="media/image134.png"/><Relationship Id="rId387" Type="http://schemas.openxmlformats.org/officeDocument/2006/relationships/image" Target="media/image133.png"/><Relationship Id="rId386" Type="http://schemas.openxmlformats.org/officeDocument/2006/relationships/image" Target="media/image132.png"/><Relationship Id="rId385" Type="http://schemas.openxmlformats.org/officeDocument/2006/relationships/image" Target="media/image131.png"/><Relationship Id="rId384" Type="http://schemas.openxmlformats.org/officeDocument/2006/relationships/image" Target="media/image130.png"/><Relationship Id="rId383" Type="http://schemas.openxmlformats.org/officeDocument/2006/relationships/image" Target="media/image129.png"/><Relationship Id="rId382" Type="http://schemas.openxmlformats.org/officeDocument/2006/relationships/image" Target="media/image128.png"/><Relationship Id="rId381" Type="http://schemas.openxmlformats.org/officeDocument/2006/relationships/image" Target="media/image127.png"/><Relationship Id="rId380" Type="http://schemas.openxmlformats.org/officeDocument/2006/relationships/image" Target="media/image126.png"/><Relationship Id="rId38" Type="http://schemas.openxmlformats.org/officeDocument/2006/relationships/header" Target="header8.xml"/><Relationship Id="rId379" Type="http://schemas.openxmlformats.org/officeDocument/2006/relationships/image" Target="media/image125.png"/><Relationship Id="rId378" Type="http://schemas.openxmlformats.org/officeDocument/2006/relationships/image" Target="media/image124.png"/><Relationship Id="rId377" Type="http://schemas.openxmlformats.org/officeDocument/2006/relationships/image" Target="media/image123.png"/><Relationship Id="rId376" Type="http://schemas.openxmlformats.org/officeDocument/2006/relationships/image" Target="media/image122.png"/><Relationship Id="rId375" Type="http://schemas.openxmlformats.org/officeDocument/2006/relationships/image" Target="media/image121.png"/><Relationship Id="rId374" Type="http://schemas.openxmlformats.org/officeDocument/2006/relationships/image" Target="media/image120.png"/><Relationship Id="rId373" Type="http://schemas.openxmlformats.org/officeDocument/2006/relationships/image" Target="media/image119.png"/><Relationship Id="rId372" Type="http://schemas.openxmlformats.org/officeDocument/2006/relationships/footer" Target="footer171.xml"/><Relationship Id="rId371" Type="http://schemas.openxmlformats.org/officeDocument/2006/relationships/header" Target="header83.xml"/><Relationship Id="rId370" Type="http://schemas.openxmlformats.org/officeDocument/2006/relationships/footer" Target="footer170.xml"/><Relationship Id="rId37" Type="http://schemas.openxmlformats.org/officeDocument/2006/relationships/footer" Target="footer8.xml"/><Relationship Id="rId369" Type="http://schemas.openxmlformats.org/officeDocument/2006/relationships/footer" Target="footer169.xml"/><Relationship Id="rId368" Type="http://schemas.openxmlformats.org/officeDocument/2006/relationships/header" Target="header82.xml"/><Relationship Id="rId367" Type="http://schemas.openxmlformats.org/officeDocument/2006/relationships/footer" Target="footer168.xml"/><Relationship Id="rId366" Type="http://schemas.openxmlformats.org/officeDocument/2006/relationships/header" Target="header81.xml"/><Relationship Id="rId365" Type="http://schemas.openxmlformats.org/officeDocument/2006/relationships/image" Target="media/image118.jpeg"/><Relationship Id="rId364" Type="http://schemas.openxmlformats.org/officeDocument/2006/relationships/footer" Target="footer167.xml"/><Relationship Id="rId363" Type="http://schemas.openxmlformats.org/officeDocument/2006/relationships/header" Target="header80.xml"/><Relationship Id="rId362" Type="http://schemas.openxmlformats.org/officeDocument/2006/relationships/image" Target="media/image117.png"/><Relationship Id="rId361" Type="http://schemas.openxmlformats.org/officeDocument/2006/relationships/footer" Target="footer166.xml"/><Relationship Id="rId360" Type="http://schemas.openxmlformats.org/officeDocument/2006/relationships/footer" Target="footer165.xml"/><Relationship Id="rId36" Type="http://schemas.openxmlformats.org/officeDocument/2006/relationships/header" Target="header7.xml"/><Relationship Id="rId359" Type="http://schemas.openxmlformats.org/officeDocument/2006/relationships/header" Target="header79.xml"/><Relationship Id="rId358" Type="http://schemas.openxmlformats.org/officeDocument/2006/relationships/footer" Target="footer164.xml"/><Relationship Id="rId357" Type="http://schemas.openxmlformats.org/officeDocument/2006/relationships/footer" Target="footer163.xml"/><Relationship Id="rId356" Type="http://schemas.openxmlformats.org/officeDocument/2006/relationships/footer" Target="footer162.xml"/><Relationship Id="rId355" Type="http://schemas.openxmlformats.org/officeDocument/2006/relationships/header" Target="header78.xml"/><Relationship Id="rId354" Type="http://schemas.openxmlformats.org/officeDocument/2006/relationships/footer" Target="footer161.xml"/><Relationship Id="rId353" Type="http://schemas.openxmlformats.org/officeDocument/2006/relationships/footer" Target="footer160.xml"/><Relationship Id="rId352" Type="http://schemas.openxmlformats.org/officeDocument/2006/relationships/footer" Target="footer159.xml"/><Relationship Id="rId351" Type="http://schemas.openxmlformats.org/officeDocument/2006/relationships/header" Target="header77.xml"/><Relationship Id="rId350" Type="http://schemas.openxmlformats.org/officeDocument/2006/relationships/footer" Target="footer158.xml"/><Relationship Id="rId35" Type="http://schemas.openxmlformats.org/officeDocument/2006/relationships/footer" Target="footer7.xml"/><Relationship Id="rId349" Type="http://schemas.openxmlformats.org/officeDocument/2006/relationships/header" Target="header76.xml"/><Relationship Id="rId348" Type="http://schemas.openxmlformats.org/officeDocument/2006/relationships/footer" Target="footer157.xml"/><Relationship Id="rId347" Type="http://schemas.openxmlformats.org/officeDocument/2006/relationships/header" Target="header75.xml"/><Relationship Id="rId346" Type="http://schemas.openxmlformats.org/officeDocument/2006/relationships/footer" Target="footer156.xml"/><Relationship Id="rId345" Type="http://schemas.openxmlformats.org/officeDocument/2006/relationships/header" Target="header74.xml"/><Relationship Id="rId344" Type="http://schemas.openxmlformats.org/officeDocument/2006/relationships/footer" Target="footer155.xml"/><Relationship Id="rId343" Type="http://schemas.openxmlformats.org/officeDocument/2006/relationships/header" Target="header73.xml"/><Relationship Id="rId342" Type="http://schemas.openxmlformats.org/officeDocument/2006/relationships/footer" Target="footer154.xml"/><Relationship Id="rId341" Type="http://schemas.openxmlformats.org/officeDocument/2006/relationships/footer" Target="footer153.xml"/><Relationship Id="rId340" Type="http://schemas.openxmlformats.org/officeDocument/2006/relationships/footer" Target="footer152.xml"/><Relationship Id="rId34" Type="http://schemas.openxmlformats.org/officeDocument/2006/relationships/header" Target="header6.xml"/><Relationship Id="rId339" Type="http://schemas.openxmlformats.org/officeDocument/2006/relationships/footer" Target="footer151.xml"/><Relationship Id="rId338" Type="http://schemas.openxmlformats.org/officeDocument/2006/relationships/footer" Target="footer150.xml"/><Relationship Id="rId337" Type="http://schemas.openxmlformats.org/officeDocument/2006/relationships/footer" Target="footer149.xml"/><Relationship Id="rId336" Type="http://schemas.openxmlformats.org/officeDocument/2006/relationships/footer" Target="footer148.xml"/><Relationship Id="rId335" Type="http://schemas.openxmlformats.org/officeDocument/2006/relationships/footer" Target="footer147.xml"/><Relationship Id="rId334" Type="http://schemas.openxmlformats.org/officeDocument/2006/relationships/footer" Target="footer146.xml"/><Relationship Id="rId333" Type="http://schemas.openxmlformats.org/officeDocument/2006/relationships/header" Target="header72.xml"/><Relationship Id="rId332" Type="http://schemas.openxmlformats.org/officeDocument/2006/relationships/footer" Target="footer145.xml"/><Relationship Id="rId331" Type="http://schemas.openxmlformats.org/officeDocument/2006/relationships/header" Target="header71.xml"/><Relationship Id="rId330" Type="http://schemas.openxmlformats.org/officeDocument/2006/relationships/footer" Target="footer144.xml"/><Relationship Id="rId33" Type="http://schemas.openxmlformats.org/officeDocument/2006/relationships/image" Target="media/image22.jpeg"/><Relationship Id="rId329" Type="http://schemas.openxmlformats.org/officeDocument/2006/relationships/footer" Target="footer143.xml"/><Relationship Id="rId328" Type="http://schemas.openxmlformats.org/officeDocument/2006/relationships/header" Target="header70.xml"/><Relationship Id="rId327" Type="http://schemas.openxmlformats.org/officeDocument/2006/relationships/footer" Target="footer142.xml"/><Relationship Id="rId326" Type="http://schemas.openxmlformats.org/officeDocument/2006/relationships/footer" Target="footer141.xml"/><Relationship Id="rId325" Type="http://schemas.openxmlformats.org/officeDocument/2006/relationships/footer" Target="footer140.xml"/><Relationship Id="rId324" Type="http://schemas.openxmlformats.org/officeDocument/2006/relationships/image" Target="media/image116.jpeg"/><Relationship Id="rId323" Type="http://schemas.openxmlformats.org/officeDocument/2006/relationships/footer" Target="footer139.xml"/><Relationship Id="rId322" Type="http://schemas.openxmlformats.org/officeDocument/2006/relationships/image" Target="media/image115.png"/><Relationship Id="rId321" Type="http://schemas.openxmlformats.org/officeDocument/2006/relationships/footer" Target="footer138.xml"/><Relationship Id="rId320" Type="http://schemas.openxmlformats.org/officeDocument/2006/relationships/header" Target="header69.xml"/><Relationship Id="rId32" Type="http://schemas.openxmlformats.org/officeDocument/2006/relationships/footer" Target="footer6.xml"/><Relationship Id="rId319" Type="http://schemas.openxmlformats.org/officeDocument/2006/relationships/footer" Target="footer137.xml"/><Relationship Id="rId318" Type="http://schemas.openxmlformats.org/officeDocument/2006/relationships/header" Target="header68.xml"/><Relationship Id="rId317" Type="http://schemas.openxmlformats.org/officeDocument/2006/relationships/footer" Target="footer136.xml"/><Relationship Id="rId316" Type="http://schemas.openxmlformats.org/officeDocument/2006/relationships/footer" Target="footer135.xml"/><Relationship Id="rId315" Type="http://schemas.openxmlformats.org/officeDocument/2006/relationships/header" Target="header67.xml"/><Relationship Id="rId314" Type="http://schemas.openxmlformats.org/officeDocument/2006/relationships/image" Target="media/image114.png"/><Relationship Id="rId313" Type="http://schemas.openxmlformats.org/officeDocument/2006/relationships/image" Target="media/image113.png"/><Relationship Id="rId312" Type="http://schemas.openxmlformats.org/officeDocument/2006/relationships/footer" Target="footer134.xml"/><Relationship Id="rId311" Type="http://schemas.openxmlformats.org/officeDocument/2006/relationships/image" Target="media/image112.jpeg"/><Relationship Id="rId310" Type="http://schemas.openxmlformats.org/officeDocument/2006/relationships/footer" Target="footer133.xml"/><Relationship Id="rId31" Type="http://schemas.openxmlformats.org/officeDocument/2006/relationships/header" Target="header5.xml"/><Relationship Id="rId309" Type="http://schemas.openxmlformats.org/officeDocument/2006/relationships/footer" Target="footer132.xml"/><Relationship Id="rId308" Type="http://schemas.openxmlformats.org/officeDocument/2006/relationships/footer" Target="footer131.xml"/><Relationship Id="rId307" Type="http://schemas.openxmlformats.org/officeDocument/2006/relationships/header" Target="header66.xml"/><Relationship Id="rId306" Type="http://schemas.openxmlformats.org/officeDocument/2006/relationships/image" Target="media/image111.png"/><Relationship Id="rId305" Type="http://schemas.openxmlformats.org/officeDocument/2006/relationships/footer" Target="footer130.xml"/><Relationship Id="rId304" Type="http://schemas.openxmlformats.org/officeDocument/2006/relationships/header" Target="header65.xml"/><Relationship Id="rId303" Type="http://schemas.openxmlformats.org/officeDocument/2006/relationships/image" Target="media/image110.png"/><Relationship Id="rId302" Type="http://schemas.openxmlformats.org/officeDocument/2006/relationships/footer" Target="footer129.xml"/><Relationship Id="rId301" Type="http://schemas.openxmlformats.org/officeDocument/2006/relationships/image" Target="media/image109.png"/><Relationship Id="rId300" Type="http://schemas.openxmlformats.org/officeDocument/2006/relationships/footer" Target="footer128.xml"/><Relationship Id="rId30" Type="http://schemas.openxmlformats.org/officeDocument/2006/relationships/image" Target="media/image21.jpeg"/><Relationship Id="rId3" Type="http://schemas.openxmlformats.org/officeDocument/2006/relationships/header" Target="header2.xml"/><Relationship Id="rId299" Type="http://schemas.openxmlformats.org/officeDocument/2006/relationships/image" Target="media/image108.png"/><Relationship Id="rId298" Type="http://schemas.openxmlformats.org/officeDocument/2006/relationships/footer" Target="footer127.xml"/><Relationship Id="rId297" Type="http://schemas.openxmlformats.org/officeDocument/2006/relationships/image" Target="media/image107.png"/><Relationship Id="rId296" Type="http://schemas.openxmlformats.org/officeDocument/2006/relationships/footer" Target="footer126.xml"/><Relationship Id="rId295" Type="http://schemas.openxmlformats.org/officeDocument/2006/relationships/image" Target="media/image106.png"/><Relationship Id="rId294" Type="http://schemas.openxmlformats.org/officeDocument/2006/relationships/footer" Target="footer125.xml"/><Relationship Id="rId293" Type="http://schemas.openxmlformats.org/officeDocument/2006/relationships/image" Target="media/image105.png"/><Relationship Id="rId292" Type="http://schemas.openxmlformats.org/officeDocument/2006/relationships/footer" Target="footer124.xml"/><Relationship Id="rId291" Type="http://schemas.openxmlformats.org/officeDocument/2006/relationships/image" Target="media/image104.png"/><Relationship Id="rId290" Type="http://schemas.openxmlformats.org/officeDocument/2006/relationships/footer" Target="footer123.xml"/><Relationship Id="rId29" Type="http://schemas.openxmlformats.org/officeDocument/2006/relationships/image" Target="media/image20.png"/><Relationship Id="rId289" Type="http://schemas.openxmlformats.org/officeDocument/2006/relationships/image" Target="media/image103.png"/><Relationship Id="rId288" Type="http://schemas.openxmlformats.org/officeDocument/2006/relationships/footer" Target="footer122.xml"/><Relationship Id="rId287" Type="http://schemas.openxmlformats.org/officeDocument/2006/relationships/image" Target="media/image102.png"/><Relationship Id="rId286" Type="http://schemas.openxmlformats.org/officeDocument/2006/relationships/footer" Target="footer121.xml"/><Relationship Id="rId285" Type="http://schemas.openxmlformats.org/officeDocument/2006/relationships/image" Target="media/image101.png"/><Relationship Id="rId284" Type="http://schemas.openxmlformats.org/officeDocument/2006/relationships/footer" Target="footer120.xml"/><Relationship Id="rId283" Type="http://schemas.openxmlformats.org/officeDocument/2006/relationships/image" Target="media/image100.png"/><Relationship Id="rId282" Type="http://schemas.openxmlformats.org/officeDocument/2006/relationships/footer" Target="footer119.xml"/><Relationship Id="rId281" Type="http://schemas.openxmlformats.org/officeDocument/2006/relationships/image" Target="media/image99.png"/><Relationship Id="rId280" Type="http://schemas.openxmlformats.org/officeDocument/2006/relationships/footer" Target="footer118.xml"/><Relationship Id="rId28" Type="http://schemas.openxmlformats.org/officeDocument/2006/relationships/image" Target="media/image19.png"/><Relationship Id="rId279" Type="http://schemas.openxmlformats.org/officeDocument/2006/relationships/image" Target="media/image98.png"/><Relationship Id="rId278" Type="http://schemas.openxmlformats.org/officeDocument/2006/relationships/footer" Target="footer117.xml"/><Relationship Id="rId277" Type="http://schemas.openxmlformats.org/officeDocument/2006/relationships/image" Target="media/image97.png"/><Relationship Id="rId276" Type="http://schemas.openxmlformats.org/officeDocument/2006/relationships/footer" Target="footer116.xml"/><Relationship Id="rId275" Type="http://schemas.openxmlformats.org/officeDocument/2006/relationships/header" Target="header64.xml"/><Relationship Id="rId274" Type="http://schemas.openxmlformats.org/officeDocument/2006/relationships/footer" Target="footer115.xml"/><Relationship Id="rId273" Type="http://schemas.openxmlformats.org/officeDocument/2006/relationships/footer" Target="footer114.xml"/><Relationship Id="rId272" Type="http://schemas.openxmlformats.org/officeDocument/2006/relationships/header" Target="header63.xml"/><Relationship Id="rId271" Type="http://schemas.openxmlformats.org/officeDocument/2006/relationships/footer" Target="footer113.xml"/><Relationship Id="rId270" Type="http://schemas.openxmlformats.org/officeDocument/2006/relationships/header" Target="header62.xml"/><Relationship Id="rId27" Type="http://schemas.openxmlformats.org/officeDocument/2006/relationships/image" Target="media/image18.png"/><Relationship Id="rId269" Type="http://schemas.openxmlformats.org/officeDocument/2006/relationships/footer" Target="footer112.xml"/><Relationship Id="rId268" Type="http://schemas.openxmlformats.org/officeDocument/2006/relationships/footer" Target="footer111.xml"/><Relationship Id="rId267" Type="http://schemas.openxmlformats.org/officeDocument/2006/relationships/footer" Target="footer110.xml"/><Relationship Id="rId266" Type="http://schemas.openxmlformats.org/officeDocument/2006/relationships/header" Target="header61.xml"/><Relationship Id="rId265" Type="http://schemas.openxmlformats.org/officeDocument/2006/relationships/footer" Target="footer109.xml"/><Relationship Id="rId264" Type="http://schemas.openxmlformats.org/officeDocument/2006/relationships/header" Target="header60.xml"/><Relationship Id="rId263" Type="http://schemas.openxmlformats.org/officeDocument/2006/relationships/image" Target="media/image96.png"/><Relationship Id="rId262" Type="http://schemas.openxmlformats.org/officeDocument/2006/relationships/image" Target="media/image95.png"/><Relationship Id="rId261" Type="http://schemas.openxmlformats.org/officeDocument/2006/relationships/image" Target="media/image94.png"/><Relationship Id="rId260" Type="http://schemas.openxmlformats.org/officeDocument/2006/relationships/image" Target="media/image93.png"/><Relationship Id="rId26" Type="http://schemas.openxmlformats.org/officeDocument/2006/relationships/image" Target="media/image17.png"/><Relationship Id="rId259" Type="http://schemas.openxmlformats.org/officeDocument/2006/relationships/image" Target="media/image92.png"/><Relationship Id="rId258" Type="http://schemas.openxmlformats.org/officeDocument/2006/relationships/image" Target="media/image91.png"/><Relationship Id="rId257" Type="http://schemas.openxmlformats.org/officeDocument/2006/relationships/image" Target="media/image90.png"/><Relationship Id="rId256" Type="http://schemas.openxmlformats.org/officeDocument/2006/relationships/image" Target="media/image89.png"/><Relationship Id="rId255" Type="http://schemas.openxmlformats.org/officeDocument/2006/relationships/image" Target="media/image88.png"/><Relationship Id="rId254" Type="http://schemas.openxmlformats.org/officeDocument/2006/relationships/image" Target="media/image87.png"/><Relationship Id="rId253" Type="http://schemas.openxmlformats.org/officeDocument/2006/relationships/image" Target="media/image86.png"/><Relationship Id="rId252" Type="http://schemas.openxmlformats.org/officeDocument/2006/relationships/image" Target="media/image85.png"/><Relationship Id="rId251" Type="http://schemas.openxmlformats.org/officeDocument/2006/relationships/image" Target="media/image84.png"/><Relationship Id="rId250" Type="http://schemas.openxmlformats.org/officeDocument/2006/relationships/image" Target="media/image83.png"/><Relationship Id="rId25" Type="http://schemas.openxmlformats.org/officeDocument/2006/relationships/image" Target="media/image16.png"/><Relationship Id="rId249" Type="http://schemas.openxmlformats.org/officeDocument/2006/relationships/footer" Target="footer108.xml"/><Relationship Id="rId248" Type="http://schemas.openxmlformats.org/officeDocument/2006/relationships/header" Target="header59.xml"/><Relationship Id="rId247" Type="http://schemas.openxmlformats.org/officeDocument/2006/relationships/image" Target="media/image82.jpeg"/><Relationship Id="rId246" Type="http://schemas.openxmlformats.org/officeDocument/2006/relationships/image" Target="media/image81.jpeg"/><Relationship Id="rId245" Type="http://schemas.openxmlformats.org/officeDocument/2006/relationships/footer" Target="footer107.xml"/><Relationship Id="rId244" Type="http://schemas.openxmlformats.org/officeDocument/2006/relationships/header" Target="header58.xml"/><Relationship Id="rId243" Type="http://schemas.openxmlformats.org/officeDocument/2006/relationships/footer" Target="footer106.xml"/><Relationship Id="rId242" Type="http://schemas.openxmlformats.org/officeDocument/2006/relationships/header" Target="header57.xml"/><Relationship Id="rId241" Type="http://schemas.openxmlformats.org/officeDocument/2006/relationships/footer" Target="footer105.xml"/><Relationship Id="rId240" Type="http://schemas.openxmlformats.org/officeDocument/2006/relationships/header" Target="header56.xml"/><Relationship Id="rId24" Type="http://schemas.openxmlformats.org/officeDocument/2006/relationships/image" Target="media/image15.png"/><Relationship Id="rId239" Type="http://schemas.openxmlformats.org/officeDocument/2006/relationships/footer" Target="footer104.xml"/><Relationship Id="rId238" Type="http://schemas.openxmlformats.org/officeDocument/2006/relationships/header" Target="header55.xml"/><Relationship Id="rId237" Type="http://schemas.openxmlformats.org/officeDocument/2006/relationships/footer" Target="footer103.xml"/><Relationship Id="rId236" Type="http://schemas.openxmlformats.org/officeDocument/2006/relationships/header" Target="header54.xml"/><Relationship Id="rId235" Type="http://schemas.openxmlformats.org/officeDocument/2006/relationships/footer" Target="footer102.xml"/><Relationship Id="rId234" Type="http://schemas.openxmlformats.org/officeDocument/2006/relationships/header" Target="header53.xml"/><Relationship Id="rId233" Type="http://schemas.openxmlformats.org/officeDocument/2006/relationships/footer" Target="footer101.xml"/><Relationship Id="rId232" Type="http://schemas.openxmlformats.org/officeDocument/2006/relationships/footer" Target="footer100.xml"/><Relationship Id="rId231" Type="http://schemas.openxmlformats.org/officeDocument/2006/relationships/image" Target="media/image80.jpeg"/><Relationship Id="rId230" Type="http://schemas.openxmlformats.org/officeDocument/2006/relationships/footer" Target="footer99.xml"/><Relationship Id="rId23" Type="http://schemas.openxmlformats.org/officeDocument/2006/relationships/image" Target="media/image14.png"/><Relationship Id="rId229" Type="http://schemas.openxmlformats.org/officeDocument/2006/relationships/header" Target="header52.xml"/><Relationship Id="rId228" Type="http://schemas.openxmlformats.org/officeDocument/2006/relationships/image" Target="media/image79.png"/><Relationship Id="rId227" Type="http://schemas.openxmlformats.org/officeDocument/2006/relationships/image" Target="media/image78.png"/><Relationship Id="rId226" Type="http://schemas.openxmlformats.org/officeDocument/2006/relationships/image" Target="media/image77.png"/><Relationship Id="rId225" Type="http://schemas.openxmlformats.org/officeDocument/2006/relationships/image" Target="media/image76.png"/><Relationship Id="rId224" Type="http://schemas.openxmlformats.org/officeDocument/2006/relationships/footer" Target="footer98.xml"/><Relationship Id="rId223" Type="http://schemas.openxmlformats.org/officeDocument/2006/relationships/header" Target="header51.xml"/><Relationship Id="rId222" Type="http://schemas.openxmlformats.org/officeDocument/2006/relationships/image" Target="media/image75.png"/><Relationship Id="rId221" Type="http://schemas.openxmlformats.org/officeDocument/2006/relationships/footer" Target="footer97.xml"/><Relationship Id="rId220" Type="http://schemas.openxmlformats.org/officeDocument/2006/relationships/footer" Target="footer96.xml"/><Relationship Id="rId22" Type="http://schemas.openxmlformats.org/officeDocument/2006/relationships/image" Target="media/image13.png"/><Relationship Id="rId219" Type="http://schemas.openxmlformats.org/officeDocument/2006/relationships/header" Target="header50.xml"/><Relationship Id="rId218" Type="http://schemas.openxmlformats.org/officeDocument/2006/relationships/footer" Target="footer95.xml"/><Relationship Id="rId217" Type="http://schemas.openxmlformats.org/officeDocument/2006/relationships/header" Target="header49.xml"/><Relationship Id="rId216" Type="http://schemas.openxmlformats.org/officeDocument/2006/relationships/image" Target="media/image74.png"/><Relationship Id="rId215" Type="http://schemas.openxmlformats.org/officeDocument/2006/relationships/image" Target="media/image73.png"/><Relationship Id="rId214" Type="http://schemas.openxmlformats.org/officeDocument/2006/relationships/image" Target="media/image72.png"/><Relationship Id="rId213" Type="http://schemas.openxmlformats.org/officeDocument/2006/relationships/image" Target="media/image71.png"/><Relationship Id="rId212" Type="http://schemas.openxmlformats.org/officeDocument/2006/relationships/footer" Target="footer94.xml"/><Relationship Id="rId211" Type="http://schemas.openxmlformats.org/officeDocument/2006/relationships/header" Target="header48.xml"/><Relationship Id="rId210" Type="http://schemas.openxmlformats.org/officeDocument/2006/relationships/image" Target="media/image70.png"/><Relationship Id="rId21" Type="http://schemas.openxmlformats.org/officeDocument/2006/relationships/image" Target="media/image12.png"/><Relationship Id="rId209" Type="http://schemas.openxmlformats.org/officeDocument/2006/relationships/image" Target="media/image69.png"/><Relationship Id="rId208" Type="http://schemas.openxmlformats.org/officeDocument/2006/relationships/image" Target="media/image68.png"/><Relationship Id="rId207" Type="http://schemas.openxmlformats.org/officeDocument/2006/relationships/footer" Target="footer93.xml"/><Relationship Id="rId206" Type="http://schemas.openxmlformats.org/officeDocument/2006/relationships/footer" Target="footer92.xml"/><Relationship Id="rId205" Type="http://schemas.openxmlformats.org/officeDocument/2006/relationships/header" Target="header47.xml"/><Relationship Id="rId204" Type="http://schemas.openxmlformats.org/officeDocument/2006/relationships/footer" Target="footer91.xml"/><Relationship Id="rId203" Type="http://schemas.openxmlformats.org/officeDocument/2006/relationships/header" Target="header46.xml"/><Relationship Id="rId202" Type="http://schemas.openxmlformats.org/officeDocument/2006/relationships/footer" Target="footer90.xml"/><Relationship Id="rId201" Type="http://schemas.openxmlformats.org/officeDocument/2006/relationships/footer" Target="footer89.xml"/><Relationship Id="rId200" Type="http://schemas.openxmlformats.org/officeDocument/2006/relationships/footer" Target="footer88.xml"/><Relationship Id="rId20" Type="http://schemas.openxmlformats.org/officeDocument/2006/relationships/image" Target="media/image11.png"/><Relationship Id="rId2" Type="http://schemas.openxmlformats.org/officeDocument/2006/relationships/image" Target="media/image1.png"/><Relationship Id="rId199" Type="http://schemas.openxmlformats.org/officeDocument/2006/relationships/header" Target="header45.xml"/><Relationship Id="rId198" Type="http://schemas.openxmlformats.org/officeDocument/2006/relationships/footer" Target="footer87.xml"/><Relationship Id="rId197" Type="http://schemas.openxmlformats.org/officeDocument/2006/relationships/header" Target="header44.xml"/><Relationship Id="rId196" Type="http://schemas.openxmlformats.org/officeDocument/2006/relationships/footer" Target="footer86.xml"/><Relationship Id="rId195" Type="http://schemas.openxmlformats.org/officeDocument/2006/relationships/header" Target="header43.xml"/><Relationship Id="rId194" Type="http://schemas.openxmlformats.org/officeDocument/2006/relationships/footer" Target="footer85.xml"/><Relationship Id="rId193" Type="http://schemas.openxmlformats.org/officeDocument/2006/relationships/header" Target="header42.xml"/><Relationship Id="rId192" Type="http://schemas.openxmlformats.org/officeDocument/2006/relationships/footer" Target="footer84.xml"/><Relationship Id="rId191" Type="http://schemas.openxmlformats.org/officeDocument/2006/relationships/header" Target="header41.xml"/><Relationship Id="rId190" Type="http://schemas.openxmlformats.org/officeDocument/2006/relationships/footer" Target="footer83.xml"/><Relationship Id="rId19" Type="http://schemas.openxmlformats.org/officeDocument/2006/relationships/image" Target="media/image10.png"/><Relationship Id="rId189" Type="http://schemas.openxmlformats.org/officeDocument/2006/relationships/footer" Target="footer82.xml"/><Relationship Id="rId188" Type="http://schemas.openxmlformats.org/officeDocument/2006/relationships/footer" Target="footer81.xml"/><Relationship Id="rId187" Type="http://schemas.openxmlformats.org/officeDocument/2006/relationships/footer" Target="footer80.xml"/><Relationship Id="rId186" Type="http://schemas.openxmlformats.org/officeDocument/2006/relationships/footer" Target="footer79.xml"/><Relationship Id="rId185" Type="http://schemas.openxmlformats.org/officeDocument/2006/relationships/header" Target="header40.xml"/><Relationship Id="rId184" Type="http://schemas.openxmlformats.org/officeDocument/2006/relationships/footer" Target="footer78.xml"/><Relationship Id="rId183" Type="http://schemas.openxmlformats.org/officeDocument/2006/relationships/footer" Target="footer77.xml"/><Relationship Id="rId182" Type="http://schemas.openxmlformats.org/officeDocument/2006/relationships/footer" Target="footer76.xml"/><Relationship Id="rId181" Type="http://schemas.openxmlformats.org/officeDocument/2006/relationships/footer" Target="footer75.xml"/><Relationship Id="rId180" Type="http://schemas.openxmlformats.org/officeDocument/2006/relationships/footer" Target="footer74.xml"/><Relationship Id="rId18" Type="http://schemas.openxmlformats.org/officeDocument/2006/relationships/image" Target="media/image9.png"/><Relationship Id="rId179" Type="http://schemas.openxmlformats.org/officeDocument/2006/relationships/footer" Target="footer73.xml"/><Relationship Id="rId178" Type="http://schemas.openxmlformats.org/officeDocument/2006/relationships/header" Target="header39.xml"/><Relationship Id="rId177" Type="http://schemas.openxmlformats.org/officeDocument/2006/relationships/image" Target="media/image67.png"/><Relationship Id="rId176" Type="http://schemas.openxmlformats.org/officeDocument/2006/relationships/footer" Target="footer72.xml"/><Relationship Id="rId175" Type="http://schemas.openxmlformats.org/officeDocument/2006/relationships/image" Target="media/image66.png"/><Relationship Id="rId174" Type="http://schemas.openxmlformats.org/officeDocument/2006/relationships/footer" Target="footer71.xml"/><Relationship Id="rId173" Type="http://schemas.openxmlformats.org/officeDocument/2006/relationships/header" Target="header38.xml"/><Relationship Id="rId172" Type="http://schemas.openxmlformats.org/officeDocument/2006/relationships/footer" Target="footer70.xml"/><Relationship Id="rId171" Type="http://schemas.openxmlformats.org/officeDocument/2006/relationships/footer" Target="footer69.xml"/><Relationship Id="rId170" Type="http://schemas.openxmlformats.org/officeDocument/2006/relationships/footer" Target="footer68.xml"/><Relationship Id="rId17" Type="http://schemas.openxmlformats.org/officeDocument/2006/relationships/image" Target="media/image8.png"/><Relationship Id="rId169" Type="http://schemas.openxmlformats.org/officeDocument/2006/relationships/image" Target="media/image65.jpeg"/><Relationship Id="rId168" Type="http://schemas.openxmlformats.org/officeDocument/2006/relationships/image" Target="media/image64.jpeg"/><Relationship Id="rId167" Type="http://schemas.openxmlformats.org/officeDocument/2006/relationships/footer" Target="footer67.xml"/><Relationship Id="rId166" Type="http://schemas.openxmlformats.org/officeDocument/2006/relationships/header" Target="header37.xml"/><Relationship Id="rId165" Type="http://schemas.openxmlformats.org/officeDocument/2006/relationships/image" Target="media/image63.jpeg"/><Relationship Id="rId164" Type="http://schemas.openxmlformats.org/officeDocument/2006/relationships/footer" Target="footer66.xml"/><Relationship Id="rId163" Type="http://schemas.openxmlformats.org/officeDocument/2006/relationships/image" Target="media/image62.jpeg"/><Relationship Id="rId162" Type="http://schemas.openxmlformats.org/officeDocument/2006/relationships/image" Target="media/image61.jpeg"/><Relationship Id="rId161" Type="http://schemas.openxmlformats.org/officeDocument/2006/relationships/footer" Target="footer65.xml"/><Relationship Id="rId160" Type="http://schemas.openxmlformats.org/officeDocument/2006/relationships/image" Target="media/image60.jpeg"/><Relationship Id="rId16" Type="http://schemas.openxmlformats.org/officeDocument/2006/relationships/image" Target="media/image7.png"/><Relationship Id="rId159" Type="http://schemas.openxmlformats.org/officeDocument/2006/relationships/footer" Target="footer64.xml"/><Relationship Id="rId158" Type="http://schemas.openxmlformats.org/officeDocument/2006/relationships/footer" Target="footer63.xml"/><Relationship Id="rId157" Type="http://schemas.openxmlformats.org/officeDocument/2006/relationships/image" Target="media/image59.jpeg"/><Relationship Id="rId156" Type="http://schemas.openxmlformats.org/officeDocument/2006/relationships/image" Target="media/image58.jpeg"/><Relationship Id="rId155" Type="http://schemas.openxmlformats.org/officeDocument/2006/relationships/image" Target="media/image57.jpeg"/><Relationship Id="rId154" Type="http://schemas.openxmlformats.org/officeDocument/2006/relationships/image" Target="media/image56.jpeg"/><Relationship Id="rId153" Type="http://schemas.openxmlformats.org/officeDocument/2006/relationships/image" Target="media/image55.jpeg"/><Relationship Id="rId152" Type="http://schemas.openxmlformats.org/officeDocument/2006/relationships/image" Target="media/image54.jpeg"/><Relationship Id="rId151" Type="http://schemas.openxmlformats.org/officeDocument/2006/relationships/footer" Target="footer62.xml"/><Relationship Id="rId150" Type="http://schemas.openxmlformats.org/officeDocument/2006/relationships/footer" Target="footer61.xml"/><Relationship Id="rId15" Type="http://schemas.openxmlformats.org/officeDocument/2006/relationships/image" Target="media/image6.png"/><Relationship Id="rId149" Type="http://schemas.openxmlformats.org/officeDocument/2006/relationships/footer" Target="footer60.xml"/><Relationship Id="rId148" Type="http://schemas.openxmlformats.org/officeDocument/2006/relationships/footer" Target="footer59.xml"/><Relationship Id="rId147" Type="http://schemas.openxmlformats.org/officeDocument/2006/relationships/header" Target="header36.xml"/><Relationship Id="rId146" Type="http://schemas.openxmlformats.org/officeDocument/2006/relationships/footer" Target="footer58.xml"/><Relationship Id="rId145" Type="http://schemas.openxmlformats.org/officeDocument/2006/relationships/footer" Target="footer57.xml"/><Relationship Id="rId144" Type="http://schemas.openxmlformats.org/officeDocument/2006/relationships/image" Target="media/image53.png"/><Relationship Id="rId143" Type="http://schemas.openxmlformats.org/officeDocument/2006/relationships/image" Target="media/image52.png"/><Relationship Id="rId142" Type="http://schemas.openxmlformats.org/officeDocument/2006/relationships/image" Target="media/image51.png"/><Relationship Id="rId141" Type="http://schemas.openxmlformats.org/officeDocument/2006/relationships/image" Target="media/image50.png"/><Relationship Id="rId140" Type="http://schemas.openxmlformats.org/officeDocument/2006/relationships/footer" Target="footer56.xml"/><Relationship Id="rId14" Type="http://schemas.openxmlformats.org/officeDocument/2006/relationships/image" Target="media/image5.png"/><Relationship Id="rId139" Type="http://schemas.openxmlformats.org/officeDocument/2006/relationships/image" Target="media/image49.png"/><Relationship Id="rId138" Type="http://schemas.openxmlformats.org/officeDocument/2006/relationships/image" Target="media/image48.png"/><Relationship Id="rId137" Type="http://schemas.openxmlformats.org/officeDocument/2006/relationships/image" Target="media/image47.png"/><Relationship Id="rId136" Type="http://schemas.openxmlformats.org/officeDocument/2006/relationships/footer" Target="footer55.xml"/><Relationship Id="rId135" Type="http://schemas.openxmlformats.org/officeDocument/2006/relationships/image" Target="media/image46.png"/><Relationship Id="rId134" Type="http://schemas.openxmlformats.org/officeDocument/2006/relationships/image" Target="media/image45.png"/><Relationship Id="rId133" Type="http://schemas.openxmlformats.org/officeDocument/2006/relationships/footer" Target="footer54.xml"/><Relationship Id="rId132" Type="http://schemas.openxmlformats.org/officeDocument/2006/relationships/image" Target="media/image44.png"/><Relationship Id="rId131" Type="http://schemas.openxmlformats.org/officeDocument/2006/relationships/image" Target="media/image43.png"/><Relationship Id="rId130" Type="http://schemas.openxmlformats.org/officeDocument/2006/relationships/image" Target="media/image42.png"/><Relationship Id="rId13" Type="http://schemas.openxmlformats.org/officeDocument/2006/relationships/image" Target="media/image4.png"/><Relationship Id="rId129" Type="http://schemas.openxmlformats.org/officeDocument/2006/relationships/image" Target="media/image41.png"/><Relationship Id="rId128" Type="http://schemas.openxmlformats.org/officeDocument/2006/relationships/image" Target="media/image40.png"/><Relationship Id="rId127" Type="http://schemas.openxmlformats.org/officeDocument/2006/relationships/image" Target="media/image39.png"/><Relationship Id="rId126" Type="http://schemas.openxmlformats.org/officeDocument/2006/relationships/footer" Target="footer53.xml"/><Relationship Id="rId125" Type="http://schemas.openxmlformats.org/officeDocument/2006/relationships/header" Target="header35.xml"/><Relationship Id="rId124" Type="http://schemas.openxmlformats.org/officeDocument/2006/relationships/image" Target="media/image38.jpeg"/><Relationship Id="rId123" Type="http://schemas.openxmlformats.org/officeDocument/2006/relationships/footer" Target="footer52.xml"/><Relationship Id="rId122" Type="http://schemas.openxmlformats.org/officeDocument/2006/relationships/header" Target="header34.xml"/><Relationship Id="rId121" Type="http://schemas.openxmlformats.org/officeDocument/2006/relationships/image" Target="media/image37.jpeg"/><Relationship Id="rId120" Type="http://schemas.openxmlformats.org/officeDocument/2006/relationships/footer" Target="footer51.xml"/><Relationship Id="rId12" Type="http://schemas.openxmlformats.org/officeDocument/2006/relationships/footer" Target="footer5.xml"/><Relationship Id="rId119" Type="http://schemas.openxmlformats.org/officeDocument/2006/relationships/image" Target="media/image36.png"/><Relationship Id="rId118" Type="http://schemas.openxmlformats.org/officeDocument/2006/relationships/image" Target="media/image35.png"/><Relationship Id="rId117" Type="http://schemas.openxmlformats.org/officeDocument/2006/relationships/footer" Target="footer50.xml"/><Relationship Id="rId116" Type="http://schemas.openxmlformats.org/officeDocument/2006/relationships/header" Target="header33.xml"/><Relationship Id="rId115" Type="http://schemas.openxmlformats.org/officeDocument/2006/relationships/image" Target="media/image34.png"/><Relationship Id="rId114" Type="http://schemas.openxmlformats.org/officeDocument/2006/relationships/image" Target="media/image33.png"/><Relationship Id="rId113" Type="http://schemas.openxmlformats.org/officeDocument/2006/relationships/footer" Target="footer49.xml"/><Relationship Id="rId112" Type="http://schemas.openxmlformats.org/officeDocument/2006/relationships/header" Target="header32.xml"/><Relationship Id="rId111" Type="http://schemas.openxmlformats.org/officeDocument/2006/relationships/footer" Target="footer48.xml"/><Relationship Id="rId110" Type="http://schemas.openxmlformats.org/officeDocument/2006/relationships/header" Target="header31.xml"/><Relationship Id="rId11" Type="http://schemas.openxmlformats.org/officeDocument/2006/relationships/footer" Target="footer4.xml"/><Relationship Id="rId109" Type="http://schemas.openxmlformats.org/officeDocument/2006/relationships/image" Target="media/image32.png"/><Relationship Id="rId108" Type="http://schemas.openxmlformats.org/officeDocument/2006/relationships/footer" Target="footer47.xml"/><Relationship Id="rId107" Type="http://schemas.openxmlformats.org/officeDocument/2006/relationships/header" Target="header30.xml"/><Relationship Id="rId106" Type="http://schemas.openxmlformats.org/officeDocument/2006/relationships/image" Target="media/image31.png"/><Relationship Id="rId105" Type="http://schemas.openxmlformats.org/officeDocument/2006/relationships/image" Target="media/image30.png"/><Relationship Id="rId104" Type="http://schemas.openxmlformats.org/officeDocument/2006/relationships/image" Target="media/image29.png"/><Relationship Id="rId103" Type="http://schemas.openxmlformats.org/officeDocument/2006/relationships/image" Target="media/image28.png"/><Relationship Id="rId102" Type="http://schemas.openxmlformats.org/officeDocument/2006/relationships/image" Target="media/image27.png"/><Relationship Id="rId101" Type="http://schemas.openxmlformats.org/officeDocument/2006/relationships/image" Target="media/image26.png"/><Relationship Id="rId100" Type="http://schemas.openxmlformats.org/officeDocument/2006/relationships/image" Target="media/image25.png"/><Relationship Id="rId10" Type="http://schemas.openxmlformats.org/officeDocument/2006/relationships/header" Target="header4.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2026-03-13T16:50:13</vt:filetime>
  </property>
</Properties>
</file>